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CFE" w:rsidRDefault="00777CFE" w:rsidP="00777CFE">
      <w:pPr>
        <w:pStyle w:val="Portada1"/>
      </w:pPr>
      <w:bookmarkStart w:id="0" w:name="_GoBack"/>
      <w:bookmarkEnd w:id="0"/>
      <w:r>
        <w:t>TRIBUNAL CONSTITUCIONAL</w:t>
      </w:r>
    </w:p>
    <w:p w:rsidR="00D06117" w:rsidRDefault="00D06117" w:rsidP="00777CFE">
      <w:pPr>
        <w:pStyle w:val="Portada1"/>
      </w:pPr>
    </w:p>
    <w:p w:rsidR="00777CFE" w:rsidRDefault="00777CFE" w:rsidP="00777CFE">
      <w:pPr>
        <w:pStyle w:val="Portada2"/>
      </w:pPr>
      <w:r>
        <w:t>SECRETARÍA GENERAL</w:t>
      </w:r>
    </w:p>
    <w:p w:rsidR="00777CFE" w:rsidRDefault="00777CFE" w:rsidP="00777CFE">
      <w:pPr>
        <w:pStyle w:val="Portada2"/>
      </w:pPr>
    </w:p>
    <w:p w:rsidR="00777CFE" w:rsidRDefault="00777CFE" w:rsidP="00777CFE">
      <w:pPr>
        <w:pStyle w:val="Portada2"/>
      </w:pPr>
    </w:p>
    <w:p w:rsidR="00777CFE" w:rsidRDefault="00777CFE" w:rsidP="00777CFE">
      <w:pPr>
        <w:pStyle w:val="Portada2"/>
      </w:pPr>
    </w:p>
    <w:p w:rsidR="00777CFE" w:rsidRDefault="00777CFE" w:rsidP="00777CFE">
      <w:pPr>
        <w:pStyle w:val="Portada2"/>
      </w:pPr>
    </w:p>
    <w:p w:rsidR="00777CFE" w:rsidRDefault="00777CFE" w:rsidP="00777CFE">
      <w:pPr>
        <w:pStyle w:val="Portada2"/>
      </w:pPr>
    </w:p>
    <w:p w:rsidR="00777CFE" w:rsidRDefault="00777CFE" w:rsidP="00777CFE">
      <w:pPr>
        <w:pStyle w:val="Portada2"/>
      </w:pPr>
    </w:p>
    <w:p w:rsidR="00777CFE" w:rsidRDefault="00777CFE" w:rsidP="00777CFE">
      <w:pPr>
        <w:pStyle w:val="Portada2"/>
      </w:pPr>
    </w:p>
    <w:p w:rsidR="00777CFE" w:rsidRDefault="00777CFE" w:rsidP="00777CFE">
      <w:pPr>
        <w:pStyle w:val="Portada2"/>
      </w:pPr>
    </w:p>
    <w:p w:rsidR="00777CFE" w:rsidRDefault="00777CFE" w:rsidP="00777CFE">
      <w:pPr>
        <w:pStyle w:val="PortadaPrincipal"/>
      </w:pPr>
      <w:r>
        <w:t>JURISPRUDENCIA</w:t>
      </w:r>
    </w:p>
    <w:p w:rsidR="00777CFE" w:rsidRDefault="00777CFE" w:rsidP="00777CFE">
      <w:pPr>
        <w:pStyle w:val="PortadaPrincipal"/>
      </w:pPr>
      <w:r>
        <w:t>CONSTITUCIONAL</w:t>
      </w:r>
    </w:p>
    <w:p w:rsidR="00777CFE" w:rsidRDefault="00777CFE" w:rsidP="00777CFE">
      <w:pPr>
        <w:pStyle w:val="PortadaPrincipal"/>
      </w:pPr>
    </w:p>
    <w:p w:rsidR="00777CFE" w:rsidRPr="00777CFE" w:rsidRDefault="00777CFE" w:rsidP="00777CFE">
      <w:pPr>
        <w:pStyle w:val="Portada1"/>
        <w:rPr>
          <w:b/>
        </w:rPr>
      </w:pPr>
      <w:r w:rsidRPr="00777CFE">
        <w:rPr>
          <w:b/>
        </w:rPr>
        <w:t>TOMO NONAGÉSIMO</w:t>
      </w:r>
    </w:p>
    <w:p w:rsidR="00777CFE" w:rsidRPr="00777CFE" w:rsidRDefault="00777CFE" w:rsidP="00777CFE">
      <w:pPr>
        <w:pStyle w:val="Portada1"/>
        <w:rPr>
          <w:b/>
        </w:rPr>
      </w:pPr>
      <w:r w:rsidRPr="00777CFE">
        <w:rPr>
          <w:b/>
        </w:rPr>
        <w:t>(enero - junio 2012)</w:t>
      </w:r>
    </w:p>
    <w:p w:rsidR="00777CFE" w:rsidRDefault="00777CFE" w:rsidP="00777CFE">
      <w:pPr>
        <w:pStyle w:val="Portada1"/>
      </w:pPr>
    </w:p>
    <w:p w:rsidR="00777CFE" w:rsidRDefault="00777CFE" w:rsidP="00777CFE">
      <w:pPr>
        <w:pStyle w:val="Portada1"/>
      </w:pPr>
    </w:p>
    <w:p w:rsidR="00777CFE" w:rsidRDefault="00777CFE" w:rsidP="00777CFE">
      <w:pPr>
        <w:pStyle w:val="Portada1"/>
      </w:pPr>
    </w:p>
    <w:p w:rsidR="00777CFE" w:rsidRDefault="00777CFE" w:rsidP="00777CF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777CFE" w:rsidRDefault="00777CFE" w:rsidP="00777CFE">
      <w:pPr>
        <w:pStyle w:val="Portada1"/>
      </w:pPr>
    </w:p>
    <w:p w:rsidR="00777CFE" w:rsidRDefault="00777CFE" w:rsidP="00777CFE">
      <w:pPr>
        <w:pStyle w:val="Portada1"/>
      </w:pPr>
    </w:p>
    <w:p w:rsidR="00777CFE" w:rsidRDefault="00777CFE" w:rsidP="00777CFE">
      <w:pPr>
        <w:pStyle w:val="Portada1"/>
      </w:pPr>
    </w:p>
    <w:p w:rsidR="00777CFE" w:rsidRDefault="00777CFE" w:rsidP="00777CFE">
      <w:pPr>
        <w:pStyle w:val="Portada1"/>
      </w:pPr>
    </w:p>
    <w:p w:rsidR="00777CFE" w:rsidRDefault="00777CFE" w:rsidP="00777CFE">
      <w:pPr>
        <w:pStyle w:val="Portada1"/>
      </w:pPr>
    </w:p>
    <w:p w:rsidR="00777CFE" w:rsidRDefault="00777CFE" w:rsidP="00777CFE">
      <w:pPr>
        <w:pStyle w:val="Portada2"/>
      </w:pPr>
      <w:r>
        <w:t>MADRID 2012</w:t>
      </w:r>
    </w:p>
    <w:p w:rsidR="00294D44" w:rsidRDefault="00294D44">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94D44" w:rsidRDefault="00294D44" w:rsidP="00294D44">
      <w:pPr>
        <w:pStyle w:val="CabeceraApartadoDerecha"/>
      </w:pPr>
      <w:r>
        <w:lastRenderedPageBreak/>
        <w:t>CONTENIDO</w:t>
      </w:r>
    </w:p>
    <w:p w:rsidR="00D06117" w:rsidRDefault="00D06117" w:rsidP="00294D44">
      <w:pPr>
        <w:pStyle w:val="CabeceraApartadoDerecha"/>
      </w:pPr>
    </w:p>
    <w:p w:rsidR="00294D44" w:rsidRDefault="00294D44" w:rsidP="00294D44">
      <w:pPr>
        <w:pStyle w:val="EntradandiceSumario"/>
        <w:keepNext w:val="0"/>
      </w:pPr>
      <w:r>
        <w:t>1. SENTENCIAS: STC 1/2012 A STC 138/2012</w:t>
      </w:r>
      <w:r>
        <w:tab/>
      </w:r>
      <w:r>
        <w:tab/>
      </w:r>
      <w:r>
        <w:fldChar w:fldCharType="begin"/>
      </w:r>
      <w:r>
        <w:instrText xml:space="preserve"> PAGEREF SUMARIOSENTENCIAS \h </w:instrText>
      </w:r>
      <w:r>
        <w:fldChar w:fldCharType="separate"/>
      </w:r>
      <w:r w:rsidR="00A6693A">
        <w:rPr>
          <w:noProof/>
        </w:rPr>
        <w:t>3</w:t>
      </w:r>
      <w:r>
        <w:fldChar w:fldCharType="end"/>
      </w:r>
    </w:p>
    <w:p w:rsidR="00294D44" w:rsidRDefault="00294D44" w:rsidP="00294D44">
      <w:pPr>
        <w:pStyle w:val="EntradandiceSumario"/>
        <w:keepNext w:val="0"/>
      </w:pPr>
    </w:p>
    <w:p w:rsidR="00294D44" w:rsidRDefault="00294D44" w:rsidP="00294D44">
      <w:pPr>
        <w:pStyle w:val="EntradandiceSumario"/>
        <w:keepNext w:val="0"/>
      </w:pPr>
      <w:bookmarkStart w:id="1" w:name="SUMARIOSINDICES"/>
      <w:r>
        <w:t>2. AUTOS: ATC 1/2012 A ATC 135/2012</w:t>
      </w:r>
      <w:r>
        <w:tab/>
      </w:r>
      <w:r>
        <w:tab/>
      </w:r>
      <w:r>
        <w:fldChar w:fldCharType="begin"/>
      </w:r>
      <w:r>
        <w:instrText xml:space="preserve"> PAGEREF SUMARIOSAUTOS \h </w:instrText>
      </w:r>
      <w:r>
        <w:fldChar w:fldCharType="separate"/>
      </w:r>
      <w:r w:rsidR="00A6693A">
        <w:rPr>
          <w:noProof/>
        </w:rPr>
        <w:t>31</w:t>
      </w:r>
      <w:r>
        <w:fldChar w:fldCharType="end"/>
      </w:r>
    </w:p>
    <w:bookmarkEnd w:id="1"/>
    <w:p w:rsidR="00294D44" w:rsidRDefault="00294D44" w:rsidP="00294D44">
      <w:pPr>
        <w:pStyle w:val="EntradandiceSumario"/>
        <w:keepNext w:val="0"/>
      </w:pPr>
    </w:p>
    <w:p w:rsidR="00294D44" w:rsidRDefault="00294D44" w:rsidP="00294D44">
      <w:pPr>
        <w:pStyle w:val="EntradandiceSumario"/>
        <w:keepNext w:val="0"/>
      </w:pPr>
      <w:r>
        <w:t>3.</w:t>
      </w:r>
      <w:r w:rsidR="00EA4558">
        <w:t xml:space="preserve"> ÍNDICE DE DISPOSICIONES CON FUERZA DE LEY IMPUGNADAS</w:t>
      </w:r>
      <w:r>
        <w:t>:</w:t>
      </w:r>
    </w:p>
    <w:p w:rsidR="00294D44" w:rsidRDefault="00294D44" w:rsidP="00294D44">
      <w:pPr>
        <w:pStyle w:val="EntradandiceSumario"/>
        <w:keepNext w:val="0"/>
      </w:pPr>
    </w:p>
    <w:p w:rsidR="00294D44" w:rsidRDefault="00733A71" w:rsidP="00294D44">
      <w:pPr>
        <w:pStyle w:val="EntradandiceSumarioNivel2"/>
        <w:keepNext w:val="0"/>
      </w:pPr>
      <w:r>
        <w:t>A) Disposiciones con fuerza de ley del Estado</w:t>
      </w:r>
      <w:r w:rsidR="00294D44">
        <w:tab/>
      </w:r>
      <w:r w:rsidR="00294D44">
        <w:tab/>
      </w:r>
      <w:r w:rsidR="00294D44">
        <w:fldChar w:fldCharType="begin"/>
      </w:r>
      <w:r w:rsidR="00294D44">
        <w:instrText xml:space="preserve"> PAGEREF INDICE22802 \h </w:instrText>
      </w:r>
      <w:r w:rsidR="00294D44">
        <w:fldChar w:fldCharType="separate"/>
      </w:r>
      <w:r w:rsidR="00A6693A">
        <w:rPr>
          <w:noProof/>
        </w:rPr>
        <w:t>3155</w:t>
      </w:r>
      <w:r w:rsidR="00294D44">
        <w:fldChar w:fldCharType="end"/>
      </w:r>
    </w:p>
    <w:p w:rsidR="00294D44" w:rsidRDefault="00AD4E5A" w:rsidP="00294D44">
      <w:pPr>
        <w:pStyle w:val="EntradandiceSumarioNivel2"/>
        <w:keepNext w:val="0"/>
      </w:pPr>
      <w:r>
        <w:t>B) Disposiciones con fuerza de ley de las Comunidades Autónomas</w:t>
      </w:r>
      <w:r w:rsidR="00294D44">
        <w:tab/>
      </w:r>
      <w:r w:rsidR="00294D44">
        <w:tab/>
      </w:r>
      <w:r w:rsidR="00294D44">
        <w:fldChar w:fldCharType="begin"/>
      </w:r>
      <w:r w:rsidR="00294D44">
        <w:instrText xml:space="preserve"> PAGEREF INDICE22806 \h </w:instrText>
      </w:r>
      <w:r w:rsidR="00294D44">
        <w:fldChar w:fldCharType="separate"/>
      </w:r>
      <w:r w:rsidR="00A6693A">
        <w:rPr>
          <w:noProof/>
        </w:rPr>
        <w:t>3159</w:t>
      </w:r>
      <w:r w:rsidR="00294D44">
        <w:fldChar w:fldCharType="end"/>
      </w:r>
    </w:p>
    <w:p w:rsidR="00294D44" w:rsidRDefault="00294D44" w:rsidP="00294D44"/>
    <w:p w:rsidR="00294D44" w:rsidRDefault="00294D44" w:rsidP="00294D44">
      <w:pPr>
        <w:pStyle w:val="EntradandiceSumario"/>
        <w:keepNext w:val="0"/>
      </w:pPr>
      <w:r>
        <w:t xml:space="preserve">4. ÍNDICE DE </w:t>
      </w:r>
      <w:r w:rsidR="00970E95" w:rsidRPr="00970E95">
        <w:t>DISPOSICIONES GENERALES IMPUGNADAS</w:t>
      </w:r>
      <w:r>
        <w:t>:</w:t>
      </w:r>
    </w:p>
    <w:p w:rsidR="00294D44" w:rsidRDefault="00294D44" w:rsidP="00294D44">
      <w:pPr>
        <w:pStyle w:val="EntradandiceSumario"/>
        <w:keepNext w:val="0"/>
      </w:pPr>
    </w:p>
    <w:p w:rsidR="00294D44" w:rsidRDefault="00294D44" w:rsidP="00294D44">
      <w:pPr>
        <w:pStyle w:val="EntradandiceSumarioNivel2"/>
        <w:keepNext w:val="0"/>
      </w:pPr>
      <w:r>
        <w:t>A) Disposiciones del Estado</w:t>
      </w:r>
      <w:r>
        <w:tab/>
      </w:r>
      <w:r>
        <w:tab/>
      </w:r>
      <w:r>
        <w:fldChar w:fldCharType="begin"/>
      </w:r>
      <w:r>
        <w:instrText xml:space="preserve"> PAGEREF INDICE22803 \h </w:instrText>
      </w:r>
      <w:r>
        <w:fldChar w:fldCharType="separate"/>
      </w:r>
      <w:r w:rsidR="00A6693A">
        <w:rPr>
          <w:noProof/>
        </w:rPr>
        <w:t>3165</w:t>
      </w:r>
      <w:r>
        <w:fldChar w:fldCharType="end"/>
      </w:r>
    </w:p>
    <w:p w:rsidR="00294D44" w:rsidRDefault="00294D44" w:rsidP="00294D4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A6693A">
        <w:rPr>
          <w:noProof/>
        </w:rPr>
        <w:t>3167</w:t>
      </w:r>
      <w:r>
        <w:fldChar w:fldCharType="end"/>
      </w:r>
    </w:p>
    <w:p w:rsidR="00294D44" w:rsidRDefault="00294D44" w:rsidP="00294D44"/>
    <w:p w:rsidR="00294D44" w:rsidRDefault="00294D44" w:rsidP="00294D44">
      <w:pPr>
        <w:pStyle w:val="EntradandiceSumario"/>
        <w:keepNext w:val="0"/>
      </w:pPr>
      <w:r>
        <w:t>5. ÍNDICE DE DISPOSICIONES CITADAS:</w:t>
      </w:r>
    </w:p>
    <w:p w:rsidR="00294D44" w:rsidRDefault="00294D44" w:rsidP="00294D44">
      <w:pPr>
        <w:pStyle w:val="EntradandiceSumario"/>
        <w:keepNext w:val="0"/>
      </w:pPr>
    </w:p>
    <w:p w:rsidR="00294D44" w:rsidRDefault="00294D44" w:rsidP="00294D44">
      <w:pPr>
        <w:pStyle w:val="EntradandiceSumarioNivel2"/>
        <w:keepNext w:val="0"/>
      </w:pPr>
      <w:r>
        <w:t>A) Constitución</w:t>
      </w:r>
      <w:r>
        <w:tab/>
      </w:r>
      <w:r>
        <w:tab/>
      </w:r>
      <w:r>
        <w:fldChar w:fldCharType="begin"/>
      </w:r>
      <w:r>
        <w:instrText xml:space="preserve"> PAGEREF INDICE22804 \h </w:instrText>
      </w:r>
      <w:r>
        <w:fldChar w:fldCharType="separate"/>
      </w:r>
      <w:r w:rsidR="00A6693A">
        <w:rPr>
          <w:noProof/>
        </w:rPr>
        <w:t>3169</w:t>
      </w:r>
      <w:r>
        <w:fldChar w:fldCharType="end"/>
      </w:r>
    </w:p>
    <w:p w:rsidR="00294D44" w:rsidRDefault="00294D44" w:rsidP="00294D44">
      <w:pPr>
        <w:pStyle w:val="EntradandiceSumarioNivel2"/>
        <w:keepNext w:val="0"/>
      </w:pPr>
      <w:r>
        <w:t>B) Tribunal Constitucional</w:t>
      </w:r>
      <w:r>
        <w:tab/>
      </w:r>
      <w:r>
        <w:tab/>
      </w:r>
      <w:r>
        <w:fldChar w:fldCharType="begin"/>
      </w:r>
      <w:r>
        <w:instrText xml:space="preserve"> PAGEREF INDICE22843 \h </w:instrText>
      </w:r>
      <w:r>
        <w:fldChar w:fldCharType="separate"/>
      </w:r>
      <w:r w:rsidR="00A6693A">
        <w:rPr>
          <w:noProof/>
        </w:rPr>
        <w:t>3178</w:t>
      </w:r>
      <w:r>
        <w:fldChar w:fldCharType="end"/>
      </w:r>
    </w:p>
    <w:p w:rsidR="00294D44" w:rsidRDefault="00294D44" w:rsidP="00294D44">
      <w:pPr>
        <w:pStyle w:val="EntradandiceSumarioNivel2"/>
        <w:keepNext w:val="0"/>
      </w:pPr>
      <w:r>
        <w:t>C) Cortes Generales</w:t>
      </w:r>
      <w:r>
        <w:tab/>
      </w:r>
      <w:r>
        <w:tab/>
      </w:r>
      <w:r>
        <w:fldChar w:fldCharType="begin"/>
      </w:r>
      <w:r>
        <w:instrText xml:space="preserve"> PAGEREF INDICE22844 \h </w:instrText>
      </w:r>
      <w:r>
        <w:fldChar w:fldCharType="separate"/>
      </w:r>
      <w:r w:rsidR="00A6693A">
        <w:rPr>
          <w:noProof/>
        </w:rPr>
        <w:t>3184</w:t>
      </w:r>
      <w:r>
        <w:fldChar w:fldCharType="end"/>
      </w:r>
    </w:p>
    <w:p w:rsidR="00294D44" w:rsidRDefault="00294D44" w:rsidP="00294D44">
      <w:pPr>
        <w:pStyle w:val="EntradandiceSumarioNivel2"/>
        <w:keepNext w:val="0"/>
      </w:pPr>
      <w:r>
        <w:t>D) Leyes Orgánicas</w:t>
      </w:r>
      <w:r>
        <w:tab/>
      </w:r>
      <w:r>
        <w:tab/>
      </w:r>
      <w:r>
        <w:fldChar w:fldCharType="begin"/>
      </w:r>
      <w:r>
        <w:instrText xml:space="preserve"> PAGEREF INDICE22845 \h </w:instrText>
      </w:r>
      <w:r>
        <w:fldChar w:fldCharType="separate"/>
      </w:r>
      <w:r w:rsidR="00A6693A">
        <w:rPr>
          <w:noProof/>
        </w:rPr>
        <w:t>3184</w:t>
      </w:r>
      <w:r>
        <w:fldChar w:fldCharType="end"/>
      </w:r>
    </w:p>
    <w:p w:rsidR="00294D44" w:rsidRDefault="00294D44" w:rsidP="00294D44">
      <w:pPr>
        <w:pStyle w:val="EntradandiceSumarioNivel2"/>
        <w:keepNext w:val="0"/>
      </w:pPr>
      <w:r>
        <w:t>E) Leyes de las Cortes Generales</w:t>
      </w:r>
      <w:r>
        <w:tab/>
      </w:r>
      <w:r>
        <w:tab/>
      </w:r>
      <w:r>
        <w:fldChar w:fldCharType="begin"/>
      </w:r>
      <w:r>
        <w:instrText xml:space="preserve"> PAGEREF INDICE22846 \h </w:instrText>
      </w:r>
      <w:r>
        <w:fldChar w:fldCharType="separate"/>
      </w:r>
      <w:r w:rsidR="00A6693A">
        <w:rPr>
          <w:noProof/>
        </w:rPr>
        <w:t>3195</w:t>
      </w:r>
      <w:r>
        <w:fldChar w:fldCharType="end"/>
      </w:r>
    </w:p>
    <w:p w:rsidR="00294D44" w:rsidRDefault="00294D44" w:rsidP="00294D44">
      <w:pPr>
        <w:pStyle w:val="EntradandiceSumarioNivel2"/>
        <w:keepNext w:val="0"/>
      </w:pPr>
      <w:r>
        <w:t>F) Reales Decretos Legislativos</w:t>
      </w:r>
      <w:r>
        <w:tab/>
      </w:r>
      <w:r>
        <w:tab/>
      </w:r>
      <w:r>
        <w:fldChar w:fldCharType="begin"/>
      </w:r>
      <w:r>
        <w:instrText xml:space="preserve"> PAGEREF INDICE22847 \h </w:instrText>
      </w:r>
      <w:r>
        <w:fldChar w:fldCharType="separate"/>
      </w:r>
      <w:r w:rsidR="00A6693A">
        <w:rPr>
          <w:noProof/>
        </w:rPr>
        <w:t>3216</w:t>
      </w:r>
      <w:r>
        <w:fldChar w:fldCharType="end"/>
      </w:r>
    </w:p>
    <w:p w:rsidR="00294D44" w:rsidRDefault="00294D44" w:rsidP="00294D44">
      <w:pPr>
        <w:pStyle w:val="EntradandiceSumarioNivel2"/>
        <w:keepNext w:val="0"/>
      </w:pPr>
      <w:r>
        <w:t>G) Reales Decretos-leyes</w:t>
      </w:r>
      <w:r>
        <w:tab/>
      </w:r>
      <w:r>
        <w:tab/>
      </w:r>
      <w:r>
        <w:fldChar w:fldCharType="begin"/>
      </w:r>
      <w:r>
        <w:instrText xml:space="preserve"> PAGEREF INDICE22848 \h </w:instrText>
      </w:r>
      <w:r>
        <w:fldChar w:fldCharType="separate"/>
      </w:r>
      <w:r w:rsidR="00A6693A">
        <w:rPr>
          <w:noProof/>
        </w:rPr>
        <w:t>3220</w:t>
      </w:r>
      <w:r>
        <w:fldChar w:fldCharType="end"/>
      </w:r>
    </w:p>
    <w:p w:rsidR="00294D44" w:rsidRDefault="00294D44" w:rsidP="00294D4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A6693A">
        <w:rPr>
          <w:noProof/>
        </w:rPr>
        <w:t>3222</w:t>
      </w:r>
      <w:r>
        <w:fldChar w:fldCharType="end"/>
      </w:r>
    </w:p>
    <w:p w:rsidR="00294D44" w:rsidRDefault="00294D44" w:rsidP="00294D44">
      <w:pPr>
        <w:pStyle w:val="EntradandiceSumarioNivel2"/>
        <w:keepNext w:val="0"/>
      </w:pPr>
      <w:r>
        <w:t>I) Legislación preconstitucional</w:t>
      </w:r>
      <w:r>
        <w:tab/>
      </w:r>
      <w:r>
        <w:tab/>
      </w:r>
      <w:r>
        <w:fldChar w:fldCharType="begin"/>
      </w:r>
      <w:r>
        <w:instrText xml:space="preserve"> PAGEREF INDICE22850 \h </w:instrText>
      </w:r>
      <w:r>
        <w:fldChar w:fldCharType="separate"/>
      </w:r>
      <w:r w:rsidR="00A6693A">
        <w:rPr>
          <w:noProof/>
        </w:rPr>
        <w:t>3231</w:t>
      </w:r>
      <w:r>
        <w:fldChar w:fldCharType="end"/>
      </w:r>
    </w:p>
    <w:p w:rsidR="00294D44" w:rsidRDefault="00294D44" w:rsidP="00294D4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A6693A">
        <w:rPr>
          <w:noProof/>
        </w:rPr>
        <w:t>3236</w:t>
      </w:r>
      <w:r>
        <w:fldChar w:fldCharType="end"/>
      </w:r>
    </w:p>
    <w:p w:rsidR="00294D44" w:rsidRDefault="00294D44" w:rsidP="00294D44">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A6693A">
        <w:rPr>
          <w:noProof/>
        </w:rPr>
        <w:t>3262</w:t>
      </w:r>
      <w:r>
        <w:fldChar w:fldCharType="end"/>
      </w:r>
    </w:p>
    <w:p w:rsidR="00294D44" w:rsidRDefault="00294D44" w:rsidP="00294D4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A6693A">
        <w:rPr>
          <w:noProof/>
        </w:rPr>
        <w:t>3263</w:t>
      </w:r>
      <w:r>
        <w:fldChar w:fldCharType="end"/>
      </w:r>
    </w:p>
    <w:p w:rsidR="00294D44" w:rsidRDefault="00294D44" w:rsidP="00294D44">
      <w:pPr>
        <w:pStyle w:val="EntradandiceSumarioNivel2"/>
        <w:keepNext w:val="0"/>
      </w:pPr>
      <w:r>
        <w:t>M) Unión Europea</w:t>
      </w:r>
      <w:r>
        <w:tab/>
      </w:r>
      <w:r>
        <w:tab/>
      </w:r>
      <w:r>
        <w:fldChar w:fldCharType="begin"/>
      </w:r>
      <w:r>
        <w:instrText xml:space="preserve"> PAGEREF INDICE22871 \h </w:instrText>
      </w:r>
      <w:r>
        <w:fldChar w:fldCharType="separate"/>
      </w:r>
      <w:r w:rsidR="00A6693A">
        <w:rPr>
          <w:noProof/>
        </w:rPr>
        <w:t>3263</w:t>
      </w:r>
      <w:r>
        <w:fldChar w:fldCharType="end"/>
      </w:r>
    </w:p>
    <w:p w:rsidR="00294D44" w:rsidRDefault="00294D44" w:rsidP="00294D44">
      <w:pPr>
        <w:pStyle w:val="EntradandiceSumarioNivel2"/>
        <w:keepNext w:val="0"/>
      </w:pPr>
      <w:r>
        <w:t>N) Consejo de Europa</w:t>
      </w:r>
      <w:r>
        <w:tab/>
      </w:r>
      <w:r>
        <w:tab/>
      </w:r>
      <w:r>
        <w:fldChar w:fldCharType="begin"/>
      </w:r>
      <w:r>
        <w:instrText xml:space="preserve"> PAGEREF INDICE27994 \h </w:instrText>
      </w:r>
      <w:r>
        <w:fldChar w:fldCharType="separate"/>
      </w:r>
      <w:r w:rsidR="00A6693A">
        <w:rPr>
          <w:noProof/>
        </w:rPr>
        <w:t>3266</w:t>
      </w:r>
      <w:r>
        <w:fldChar w:fldCharType="end"/>
      </w:r>
    </w:p>
    <w:p w:rsidR="00294D44" w:rsidRDefault="00294D44" w:rsidP="00294D44"/>
    <w:p w:rsidR="00294D44" w:rsidRDefault="00294D44" w:rsidP="00294D44">
      <w:pPr>
        <w:pStyle w:val="EntradandiceSumario"/>
        <w:keepNext w:val="0"/>
      </w:pPr>
      <w:r>
        <w:t>6.</w:t>
      </w:r>
      <w:r w:rsidR="000376DD">
        <w:t xml:space="preserve"> ÍNDICE DE RESOLUCIONES JUDICIALES DE OTROS TRIBUNALES CITADAS</w:t>
      </w:r>
      <w:r>
        <w:t>:</w:t>
      </w:r>
    </w:p>
    <w:p w:rsidR="00294D44" w:rsidRDefault="00294D44" w:rsidP="00294D44">
      <w:pPr>
        <w:pStyle w:val="EntradandiceSumario"/>
        <w:keepNext w:val="0"/>
      </w:pPr>
    </w:p>
    <w:p w:rsidR="00294D44" w:rsidRDefault="00294D44" w:rsidP="00294D4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A6693A">
        <w:rPr>
          <w:noProof/>
        </w:rPr>
        <w:t>3268</w:t>
      </w:r>
      <w:r>
        <w:fldChar w:fldCharType="end"/>
      </w:r>
    </w:p>
    <w:p w:rsidR="00294D44" w:rsidRDefault="00294D44" w:rsidP="00294D4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A6693A">
        <w:rPr>
          <w:noProof/>
        </w:rPr>
        <w:t>3273</w:t>
      </w:r>
      <w:r>
        <w:fldChar w:fldCharType="end"/>
      </w:r>
    </w:p>
    <w:p w:rsidR="00294D44" w:rsidRDefault="00294D44" w:rsidP="00294D44">
      <w:pPr>
        <w:pStyle w:val="EntradandiceSumarioNivel2"/>
        <w:keepNext w:val="0"/>
      </w:pPr>
      <w:r>
        <w:t>C) Tribunal Supremo</w:t>
      </w:r>
      <w:r>
        <w:tab/>
      </w:r>
      <w:r>
        <w:tab/>
      </w:r>
      <w:r>
        <w:fldChar w:fldCharType="begin"/>
      </w:r>
      <w:r>
        <w:instrText xml:space="preserve"> PAGEREF INDICE22925 \h </w:instrText>
      </w:r>
      <w:r>
        <w:fldChar w:fldCharType="separate"/>
      </w:r>
      <w:r w:rsidR="00A6693A">
        <w:rPr>
          <w:noProof/>
        </w:rPr>
        <w:t>3274</w:t>
      </w:r>
      <w:r>
        <w:fldChar w:fldCharType="end"/>
      </w:r>
    </w:p>
    <w:p w:rsidR="00294D44" w:rsidRDefault="00294D44" w:rsidP="00294D44"/>
    <w:p w:rsidR="00294D44" w:rsidRDefault="00294D44" w:rsidP="00294D44">
      <w:pPr>
        <w:pStyle w:val="EntradandiceSumario"/>
        <w:keepNext w:val="0"/>
      </w:pPr>
      <w:r>
        <w:t>7. ÍNDICE ANALÍTICO</w:t>
      </w:r>
      <w:r>
        <w:tab/>
      </w:r>
      <w:r>
        <w:tab/>
      </w:r>
      <w:r>
        <w:fldChar w:fldCharType="begin"/>
      </w:r>
      <w:r>
        <w:instrText xml:space="preserve"> PAGEREF INDICE5ALFABETICO \h </w:instrText>
      </w:r>
      <w:r>
        <w:fldChar w:fldCharType="separate"/>
      </w:r>
      <w:r w:rsidR="00A6693A">
        <w:rPr>
          <w:noProof/>
        </w:rPr>
        <w:t>3275</w:t>
      </w:r>
      <w:r>
        <w:fldChar w:fldCharType="end"/>
      </w:r>
    </w:p>
    <w:p w:rsidR="00294D44" w:rsidRDefault="00294D44" w:rsidP="00294D44"/>
    <w:p w:rsidR="00294D44" w:rsidRDefault="00294D44" w:rsidP="00294D44">
      <w:pPr>
        <w:pStyle w:val="EntradandiceSumario"/>
        <w:keepNext w:val="0"/>
      </w:pPr>
      <w:r>
        <w:t>8. ABREVIATURAS Y ACRÓNIMOS</w:t>
      </w:r>
      <w:r>
        <w:tab/>
      </w:r>
      <w:r>
        <w:tab/>
      </w:r>
      <w:r>
        <w:fldChar w:fldCharType="begin"/>
      </w:r>
      <w:r>
        <w:instrText xml:space="preserve"> PAGEREF ACRONIMOS \h </w:instrText>
      </w:r>
      <w:r>
        <w:fldChar w:fldCharType="separate"/>
      </w:r>
      <w:r w:rsidR="00A6693A">
        <w:rPr>
          <w:noProof/>
        </w:rPr>
        <w:t>3314</w:t>
      </w:r>
      <w:r>
        <w:fldChar w:fldCharType="end"/>
      </w:r>
    </w:p>
    <w:p w:rsidR="00294D44" w:rsidRDefault="00294D44">
      <w:pPr>
        <w:spacing w:after="160" w:line="259" w:lineRule="auto"/>
        <w:rPr>
          <w:rFonts w:ascii="Times New Roman" w:eastAsia="Times New Roman" w:hAnsi="Times New Roman" w:cs="Times New Roman"/>
          <w:sz w:val="24"/>
          <w:szCs w:val="24"/>
          <w:lang w:eastAsia="es-ES"/>
        </w:rPr>
      </w:pPr>
      <w:r>
        <w:br w:type="page"/>
      </w:r>
    </w:p>
    <w:p w:rsidR="00294D44" w:rsidRDefault="00294D44" w:rsidP="00294D44">
      <w:pPr>
        <w:pStyle w:val="EntradandiceSumario"/>
        <w:keepNext w:val="0"/>
      </w:pPr>
    </w:p>
    <w:p w:rsidR="00294D44" w:rsidRDefault="00294D44" w:rsidP="00294D44"/>
    <w:p w:rsidR="00294D44" w:rsidRDefault="00294D44" w:rsidP="00294D44"/>
    <w:p w:rsidR="00294D44" w:rsidRDefault="00294D44" w:rsidP="00294D44">
      <w:pPr>
        <w:pStyle w:val="Ttulondice"/>
      </w:pPr>
      <w:bookmarkStart w:id="2" w:name="SUMARIOSENTENCIAS"/>
      <w:r>
        <w:t>1. SENTENCIAS: STC 1/2012 A STC 138/2012</w:t>
      </w:r>
    </w:p>
    <w:bookmarkEnd w:id="2"/>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EntradandiceSentencia"/>
      </w:pPr>
      <w:r>
        <w:t>Pleno. Sentencia 1/2012, de 13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71-2001. </w:t>
      </w:r>
      <w:r w:rsidRPr="00294D44">
        <w:rPr>
          <w:rStyle w:val="TextoNormalCursivaCaracter"/>
        </w:rPr>
        <w:t xml:space="preserve"> Límites a los decretos-leyes, distribución de competencias en materia de medio ambiente: nulidad del precepto que remite al reglamento la regulación del procedimiento de evaluación ambiental de determinados proyectos. Voto particular.</w:t>
      </w:r>
      <w:r>
        <w:tab/>
      </w:r>
      <w:r>
        <w:tab/>
      </w:r>
      <w:r>
        <w:fldChar w:fldCharType="begin"/>
      </w:r>
      <w:r>
        <w:instrText xml:space="preserve"> PAGEREF SENTENCIA_2012_1 \h </w:instrText>
      </w:r>
      <w:r>
        <w:fldChar w:fldCharType="separate"/>
      </w:r>
      <w:r w:rsidR="00A6693A">
        <w:rPr>
          <w:noProof/>
        </w:rPr>
        <w:t>47</w:t>
      </w:r>
      <w:r>
        <w:fldChar w:fldCharType="end"/>
      </w:r>
    </w:p>
    <w:p w:rsidR="00D06117" w:rsidRDefault="00D06117" w:rsidP="00294D44"/>
    <w:p w:rsidR="00294D44" w:rsidRDefault="00294D44" w:rsidP="00294D44">
      <w:pPr>
        <w:pStyle w:val="EntradandiceSentencia"/>
      </w:pPr>
      <w:r>
        <w:t>Pleno. Sentencia 2/2012, de 13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30-2002. </w:t>
      </w:r>
      <w:r w:rsidRPr="00294D44">
        <w:rPr>
          <w:rStyle w:val="TextoNormalCursivaCaracter"/>
        </w:rPr>
        <w:t xml:space="preserve"> Competencias sobre bases del régimen estatutario de la función pública y seguridad pública: nulidad del precepto legal autonómico que establece una dispensa de titulación para la promoción interna de los policías locales (STC 175/2011).</w:t>
      </w:r>
      <w:r>
        <w:tab/>
      </w:r>
      <w:r>
        <w:tab/>
      </w:r>
      <w:r>
        <w:fldChar w:fldCharType="begin"/>
      </w:r>
      <w:r>
        <w:instrText xml:space="preserve"> PAGEREF SENTENCIA_2012_2 \h </w:instrText>
      </w:r>
      <w:r>
        <w:fldChar w:fldCharType="separate"/>
      </w:r>
      <w:r w:rsidR="00A6693A">
        <w:rPr>
          <w:noProof/>
        </w:rPr>
        <w:t>77</w:t>
      </w:r>
      <w:r>
        <w:fldChar w:fldCharType="end"/>
      </w:r>
    </w:p>
    <w:p w:rsidR="00294D44" w:rsidRDefault="00294D44" w:rsidP="00294D44"/>
    <w:p w:rsidR="00294D44" w:rsidRDefault="00294D44" w:rsidP="00294D44">
      <w:pPr>
        <w:pStyle w:val="EntradandiceSentencia"/>
      </w:pPr>
      <w:r>
        <w:t>Pleno. Sentencia 3/2012, de 13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4346-2003. </w:t>
      </w:r>
      <w:r w:rsidRPr="00294D44">
        <w:rPr>
          <w:rStyle w:val="TextoNormalCursivaCaracter"/>
        </w:rPr>
        <w:t xml:space="preserve"> Competencias sobre bases del régimen estatutario de la función pública y seguridad pública: nulidad del precepto legal autonómico que establece una dispensa de titulación para la promoción interna de los policías locales (STC 175/2011).</w:t>
      </w:r>
      <w:r>
        <w:tab/>
      </w:r>
      <w:r>
        <w:tab/>
      </w:r>
      <w:r>
        <w:fldChar w:fldCharType="begin"/>
      </w:r>
      <w:r>
        <w:instrText xml:space="preserve"> PAGEREF SENTENCIA_2012_3 \h </w:instrText>
      </w:r>
      <w:r>
        <w:fldChar w:fldCharType="separate"/>
      </w:r>
      <w:r w:rsidR="00A6693A">
        <w:rPr>
          <w:noProof/>
        </w:rPr>
        <w:t>86</w:t>
      </w:r>
      <w:r>
        <w:fldChar w:fldCharType="end"/>
      </w:r>
    </w:p>
    <w:p w:rsidR="00294D44" w:rsidRDefault="00294D44" w:rsidP="00294D44"/>
    <w:p w:rsidR="00294D44" w:rsidRDefault="00294D44" w:rsidP="00294D44">
      <w:pPr>
        <w:pStyle w:val="EntradandiceSentencia"/>
      </w:pPr>
      <w:r>
        <w:t>Pleno. Sentencia 4/2012, de 13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1836-2005. </w:t>
      </w:r>
      <w:r w:rsidRPr="00294D44">
        <w:rPr>
          <w:rStyle w:val="TextoNormalCursivaCaracter"/>
        </w:rPr>
        <w:t xml:space="preserve"> Competencias sobre bases del régimen estatutario de la función pública y seguridad pública: nulidad del precepto legal autonómico que establece una dispensa de titulación para la promoción interna de los policías locales (STC 175/2011).</w:t>
      </w:r>
      <w:r>
        <w:tab/>
      </w:r>
      <w:r>
        <w:tab/>
      </w:r>
      <w:r>
        <w:fldChar w:fldCharType="begin"/>
      </w:r>
      <w:r>
        <w:instrText xml:space="preserve"> PAGEREF SENTENCIA_2012_4 \h </w:instrText>
      </w:r>
      <w:r>
        <w:fldChar w:fldCharType="separate"/>
      </w:r>
      <w:r w:rsidR="00A6693A">
        <w:rPr>
          <w:noProof/>
        </w:rPr>
        <w:t>100</w:t>
      </w:r>
      <w:r>
        <w:fldChar w:fldCharType="end"/>
      </w:r>
    </w:p>
    <w:p w:rsidR="00294D44" w:rsidRDefault="00294D44" w:rsidP="00294D44"/>
    <w:p w:rsidR="00294D44" w:rsidRDefault="00294D44" w:rsidP="00294D44">
      <w:pPr>
        <w:pStyle w:val="EntradandiceSentencia"/>
      </w:pPr>
      <w:r>
        <w:t>Pleno. Sentencia 5/2012, de 17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1121-1999. </w:t>
      </w:r>
      <w:r w:rsidRPr="00294D44">
        <w:rPr>
          <w:rStyle w:val="TextoNormalCursivaCaracter"/>
        </w:rPr>
        <w:t xml:space="preserve"> Competencias sobre telecomunicaciones y medios de comunicación social: nulidad de las resoluciones estatales que vulneran las potestades autonómicas de inspección y sanción de emisiones de televisión local sin título habilitante.</w:t>
      </w:r>
      <w:r>
        <w:tab/>
      </w:r>
      <w:r>
        <w:tab/>
      </w:r>
      <w:r>
        <w:fldChar w:fldCharType="begin"/>
      </w:r>
      <w:r>
        <w:instrText xml:space="preserve"> PAGEREF SENTENCIA_2012_5 \h </w:instrText>
      </w:r>
      <w:r>
        <w:fldChar w:fldCharType="separate"/>
      </w:r>
      <w:r w:rsidR="00A6693A">
        <w:rPr>
          <w:noProof/>
        </w:rPr>
        <w:t>115</w:t>
      </w:r>
      <w:r>
        <w:fldChar w:fldCharType="end"/>
      </w:r>
    </w:p>
    <w:p w:rsidR="00294D44" w:rsidRDefault="00294D44" w:rsidP="00294D44"/>
    <w:p w:rsidR="00294D44" w:rsidRDefault="00294D44" w:rsidP="00294D44">
      <w:pPr>
        <w:pStyle w:val="EntradandiceSentencia"/>
      </w:pPr>
      <w:r>
        <w:t>Pleno. Sentencia 6/2012, de 18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2799-1998. </w:t>
      </w:r>
      <w:r w:rsidRPr="00294D44">
        <w:rPr>
          <w:rStyle w:val="TextoNormalCursivaCaracter"/>
        </w:rPr>
        <w:t xml:space="preserve"> Competencias en materia de patrimonio histórico: prevalencia del título competencial correspondiente a la Generalitat de Cataluña; nulidad de las resoluciones impugnadas. Votos particulares.</w:t>
      </w:r>
      <w:r>
        <w:tab/>
      </w:r>
      <w:r>
        <w:tab/>
      </w:r>
      <w:r>
        <w:fldChar w:fldCharType="begin"/>
      </w:r>
      <w:r>
        <w:instrText xml:space="preserve"> PAGEREF SENTENCIA_2012_6 \h </w:instrText>
      </w:r>
      <w:r>
        <w:fldChar w:fldCharType="separate"/>
      </w:r>
      <w:r w:rsidR="00A6693A">
        <w:rPr>
          <w:noProof/>
        </w:rPr>
        <w:t>129</w:t>
      </w:r>
      <w:r>
        <w:fldChar w:fldCharType="end"/>
      </w:r>
    </w:p>
    <w:p w:rsidR="00294D44" w:rsidRDefault="00294D44" w:rsidP="00294D44"/>
    <w:p w:rsidR="00294D44" w:rsidRDefault="00294D44" w:rsidP="00294D44">
      <w:pPr>
        <w:pStyle w:val="EntradandiceSentencia"/>
      </w:pPr>
      <w:r>
        <w:t>Pleno. Sentencia 7/2012, de 18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3547-1999. </w:t>
      </w:r>
      <w:r w:rsidRPr="00294D44">
        <w:rPr>
          <w:rStyle w:val="TextoNormalCursivaCaracter"/>
        </w:rPr>
        <w:t xml:space="preserve"> Competencias en materia de administración de justicia, ordenación del territorio y medio ambiente: atribución de la presidencia de un órgano autonómico a un magistrado de lo contencioso-administrativo vulnerando la competencia estatal sobre administración de justicia; nulidad parcial de los preceptos legales autonómicos que establecen un régimen sancionador no acorde con la normativa básica de protección ambiental.</w:t>
      </w:r>
      <w:r>
        <w:tab/>
      </w:r>
      <w:r>
        <w:tab/>
      </w:r>
      <w:r>
        <w:fldChar w:fldCharType="begin"/>
      </w:r>
      <w:r>
        <w:instrText xml:space="preserve"> PAGEREF SENTENCIA_2012_7 \h </w:instrText>
      </w:r>
      <w:r>
        <w:fldChar w:fldCharType="separate"/>
      </w:r>
      <w:r w:rsidR="00A6693A">
        <w:rPr>
          <w:noProof/>
        </w:rPr>
        <w:t>153</w:t>
      </w:r>
      <w:r>
        <w:fldChar w:fldCharType="end"/>
      </w:r>
    </w:p>
    <w:p w:rsidR="00294D44" w:rsidRDefault="00294D44" w:rsidP="00294D44"/>
    <w:p w:rsidR="00294D44" w:rsidRDefault="00294D44" w:rsidP="00294D44">
      <w:pPr>
        <w:pStyle w:val="EntradandiceSentencia"/>
      </w:pPr>
      <w:r>
        <w:t>Pleno. Sentencia 8/2012, de 18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2194-2002. </w:t>
      </w:r>
      <w:r w:rsidRPr="00294D44">
        <w:rPr>
          <w:rStyle w:val="TextoNormalCursivaCaracter"/>
        </w:rPr>
        <w:t xml:space="preserve"> Competencias en materia de telecomunicaciones, control del espacio aéreo, ordenación del territorio, sanidad y protección del medio ambiente, principio de legalidad sancionadora: nulidad de los preceptos legales autonómicos que obligan a los operadores a incorporar las mejoras tecnológicas que vayan apareciendo y contribuyan a reducir los niveles de emisión de los sistemas radiantes y sancionan su incumplimiento; interpretación de preceptos legales.</w:t>
      </w:r>
      <w:r>
        <w:tab/>
      </w:r>
      <w:r>
        <w:tab/>
      </w:r>
      <w:r>
        <w:fldChar w:fldCharType="begin"/>
      </w:r>
      <w:r>
        <w:instrText xml:space="preserve"> PAGEREF SENTENCIA_2012_8 \h </w:instrText>
      </w:r>
      <w:r>
        <w:fldChar w:fldCharType="separate"/>
      </w:r>
      <w:r w:rsidR="00A6693A">
        <w:rPr>
          <w:noProof/>
        </w:rPr>
        <w:t>169</w:t>
      </w:r>
      <w:r>
        <w:fldChar w:fldCharType="end"/>
      </w:r>
    </w:p>
    <w:p w:rsidR="00294D44" w:rsidRDefault="00294D44" w:rsidP="00294D44"/>
    <w:p w:rsidR="00294D44" w:rsidRDefault="00294D44" w:rsidP="00294D44">
      <w:pPr>
        <w:pStyle w:val="EntradandiceSentencia"/>
      </w:pPr>
      <w:r>
        <w:t>Pleno. Sentencia 9/2012, de 18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1490-2010. </w:t>
      </w:r>
      <w:r w:rsidRPr="00294D44">
        <w:rPr>
          <w:rStyle w:val="TextoNormalCursivaCaracter"/>
        </w:rPr>
        <w:t xml:space="preserve"> Igualdad en el ejercicio de las funciones representativas: validez del precepto legal que regula los derechos económicos y políticos de los concejales no adscritos; nombramiento para cargos relacionados con el gobierno y administración del municipio que no forma parte </w:t>
      </w:r>
      <w:r w:rsidRPr="00294D44">
        <w:rPr>
          <w:rStyle w:val="TextoNormalCursivaCaracter"/>
        </w:rPr>
        <w:lastRenderedPageBreak/>
        <w:t>del núcleo esencial de las funciones representativas de los concejales. Voto particular.</w:t>
      </w:r>
      <w:r>
        <w:tab/>
      </w:r>
      <w:r>
        <w:tab/>
      </w:r>
      <w:r>
        <w:fldChar w:fldCharType="begin"/>
      </w:r>
      <w:r>
        <w:instrText xml:space="preserve"> PAGEREF SENTENCIA_2012_9 \h </w:instrText>
      </w:r>
      <w:r>
        <w:fldChar w:fldCharType="separate"/>
      </w:r>
      <w:r w:rsidR="00A6693A">
        <w:rPr>
          <w:noProof/>
        </w:rPr>
        <w:t>209</w:t>
      </w:r>
      <w:r>
        <w:fldChar w:fldCharType="end"/>
      </w:r>
    </w:p>
    <w:p w:rsidR="00294D44" w:rsidRDefault="00294D44" w:rsidP="00294D44"/>
    <w:p w:rsidR="00294D44" w:rsidRDefault="00294D44" w:rsidP="00294D44">
      <w:pPr>
        <w:pStyle w:val="EntradandiceSentencia"/>
      </w:pPr>
      <w:r>
        <w:t>Sala Segunda. Sentencia 10/2012, de 30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8533-2005. </w:t>
      </w:r>
      <w:r w:rsidRPr="00294D44">
        <w:rPr>
          <w:rStyle w:val="TextoNormalCursivaCaracter"/>
        </w:rPr>
        <w:t xml:space="preserve"> Vulneración del derecho a la tutela judicial efectiva (acceso a la justicia): apreciación indebida de la excepción de cosa juzgada material respecto de la alegación de nulidad de una obligación pecuniaria sobre la que no se habían pronunciado las resoluciones judiciales dictadas en un proceso ejecutivo previo.</w:t>
      </w:r>
      <w:r>
        <w:tab/>
      </w:r>
      <w:r>
        <w:tab/>
      </w:r>
      <w:r>
        <w:fldChar w:fldCharType="begin"/>
      </w:r>
      <w:r>
        <w:instrText xml:space="preserve"> PAGEREF SENTENCIA_2012_10 \h </w:instrText>
      </w:r>
      <w:r>
        <w:fldChar w:fldCharType="separate"/>
      </w:r>
      <w:r w:rsidR="00A6693A">
        <w:rPr>
          <w:noProof/>
        </w:rPr>
        <w:t>226</w:t>
      </w:r>
      <w:r>
        <w:fldChar w:fldCharType="end"/>
      </w:r>
    </w:p>
    <w:p w:rsidR="00294D44" w:rsidRDefault="00294D44" w:rsidP="00294D44"/>
    <w:p w:rsidR="00294D44" w:rsidRDefault="00294D44" w:rsidP="00294D44">
      <w:pPr>
        <w:pStyle w:val="EntradandiceSentencia"/>
      </w:pPr>
      <w:r>
        <w:t>Sala Segunda. Sentencia 11/2012, de 30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11278-2006. </w:t>
      </w:r>
      <w:r w:rsidRPr="00294D44">
        <w:rPr>
          <w:rStyle w:val="TextoNormalCursivaCaracter"/>
        </w:rPr>
        <w:t xml:space="preserve"> Supuesta vulneración del derecho a la tutela judicial efectiva (resolución fundada en Derecho): resoluciones dictadas por distintos órganos judiciales en instancias sucesivas de un mismo proceso cuya diferente motivación jurídica no es fruto de un error fáctico ni incoherente.</w:t>
      </w:r>
      <w:r>
        <w:tab/>
      </w:r>
      <w:r>
        <w:tab/>
      </w:r>
      <w:r>
        <w:fldChar w:fldCharType="begin"/>
      </w:r>
      <w:r>
        <w:instrText xml:space="preserve"> PAGEREF SENTENCIA_2012_11 \h </w:instrText>
      </w:r>
      <w:r>
        <w:fldChar w:fldCharType="separate"/>
      </w:r>
      <w:r w:rsidR="00A6693A">
        <w:rPr>
          <w:noProof/>
        </w:rPr>
        <w:t>239</w:t>
      </w:r>
      <w:r>
        <w:fldChar w:fldCharType="end"/>
      </w:r>
    </w:p>
    <w:p w:rsidR="00294D44" w:rsidRDefault="00294D44" w:rsidP="00294D44"/>
    <w:p w:rsidR="00294D44" w:rsidRDefault="00294D44" w:rsidP="00294D44">
      <w:pPr>
        <w:pStyle w:val="EntradandiceSentencia"/>
      </w:pPr>
      <w:r>
        <w:t>Sala Primera. Sentencia 12/2012, de 30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4821-2009, 4829-2009. </w:t>
      </w:r>
      <w:r w:rsidRPr="00294D44">
        <w:rPr>
          <w:rStyle w:val="TextoNormalCursivaCaracter"/>
        </w:rPr>
        <w:t xml:space="preserve"> Supuesta vulneración del derecho a la libre información: reportaje grabado con cámara oculta.</w:t>
      </w:r>
      <w:r>
        <w:tab/>
      </w:r>
      <w:r>
        <w:tab/>
      </w:r>
      <w:r>
        <w:fldChar w:fldCharType="begin"/>
      </w:r>
      <w:r>
        <w:instrText xml:space="preserve"> PAGEREF SENTENCIA_2012_12 \h </w:instrText>
      </w:r>
      <w:r>
        <w:fldChar w:fldCharType="separate"/>
      </w:r>
      <w:r w:rsidR="00A6693A">
        <w:rPr>
          <w:noProof/>
        </w:rPr>
        <w:t>247</w:t>
      </w:r>
      <w:r>
        <w:fldChar w:fldCharType="end"/>
      </w:r>
    </w:p>
    <w:p w:rsidR="00294D44" w:rsidRDefault="00294D44" w:rsidP="00294D44"/>
    <w:p w:rsidR="00294D44" w:rsidRDefault="00294D44" w:rsidP="00294D44">
      <w:pPr>
        <w:pStyle w:val="EntradandiceSentencia"/>
      </w:pPr>
      <w:r>
        <w:t>Sala Primera. Sentencia 13/2012, de 30 de enero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4264-2010. </w:t>
      </w:r>
      <w:r w:rsidRPr="00294D44">
        <w:rPr>
          <w:rStyle w:val="TextoNormalCursivaCaracter"/>
        </w:rPr>
        <w:t xml:space="preserve"> Supuesta vulneración de los derechos a la igualdad en la aplicación de la ley y a la tutela judicial efectiva: desestimación de la pretensión anulatoria de la liquidación del impuesto en aplicación de los criterios legales y jurisprudenciales sobre los límites de impugnación de las providencias de apremio y de los efectos de la declaración de inconstitucionalidad de la ley autonómica reguladora del tributo por la STC 289/2000.</w:t>
      </w:r>
      <w:r>
        <w:tab/>
      </w:r>
      <w:r>
        <w:tab/>
      </w:r>
      <w:r>
        <w:fldChar w:fldCharType="begin"/>
      </w:r>
      <w:r>
        <w:instrText xml:space="preserve"> PAGEREF SENTENCIA_2012_13 \h </w:instrText>
      </w:r>
      <w:r>
        <w:fldChar w:fldCharType="separate"/>
      </w:r>
      <w:r w:rsidR="00A6693A">
        <w:rPr>
          <w:noProof/>
        </w:rPr>
        <w:t>264</w:t>
      </w:r>
      <w:r>
        <w:fldChar w:fldCharType="end"/>
      </w:r>
    </w:p>
    <w:p w:rsidR="00294D44" w:rsidRDefault="00294D44" w:rsidP="00294D44"/>
    <w:p w:rsidR="00294D44" w:rsidRDefault="00294D44" w:rsidP="00294D44">
      <w:pPr>
        <w:pStyle w:val="EntradandiceSentencia"/>
      </w:pPr>
      <w:r>
        <w:t>Sección Cuarta. Sentencia 14/2012, de 6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3251-2007. </w:t>
      </w:r>
      <w:r w:rsidRPr="00294D44">
        <w:rPr>
          <w:rStyle w:val="TextoNormalCursivaCaracter"/>
        </w:rPr>
        <w:t xml:space="preserve"> Vulneración del derecho a participar en los asuntos públicos: STC 20/2011.</w:t>
      </w:r>
      <w:r>
        <w:tab/>
      </w:r>
      <w:r>
        <w:tab/>
      </w:r>
      <w:r>
        <w:fldChar w:fldCharType="begin"/>
      </w:r>
      <w:r>
        <w:instrText xml:space="preserve"> PAGEREF SENTENCIA_2012_14 \h </w:instrText>
      </w:r>
      <w:r>
        <w:fldChar w:fldCharType="separate"/>
      </w:r>
      <w:r w:rsidR="00A6693A">
        <w:rPr>
          <w:noProof/>
        </w:rPr>
        <w:t>273</w:t>
      </w:r>
      <w:r>
        <w:fldChar w:fldCharType="end"/>
      </w:r>
    </w:p>
    <w:p w:rsidR="00294D44" w:rsidRDefault="00294D44" w:rsidP="00294D44"/>
    <w:p w:rsidR="00294D44" w:rsidRDefault="00294D44" w:rsidP="00294D44">
      <w:pPr>
        <w:pStyle w:val="EntradandiceSentencia"/>
      </w:pPr>
      <w:r>
        <w:lastRenderedPageBreak/>
        <w:t>Sala Primera. Sentencia 15/2012, de 13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3313-2007. </w:t>
      </w:r>
      <w:r w:rsidRPr="00294D44">
        <w:rPr>
          <w:rStyle w:val="TextoNormalCursivaCaracter"/>
        </w:rPr>
        <w:t xml:space="preserve"> Vulneración del derecho a la tutela judicial efectiva (acceso a la justicia): resolución judicial que, soslayando las previsiones legales, deniega la personación en la pieza de calificación a quienes, por ser trabajadores de la empresa concursada, ostentan un interés legítimo.</w:t>
      </w:r>
      <w:r>
        <w:tab/>
      </w:r>
      <w:r>
        <w:tab/>
      </w:r>
      <w:r>
        <w:fldChar w:fldCharType="begin"/>
      </w:r>
      <w:r>
        <w:instrText xml:space="preserve"> PAGEREF SENTENCIA_2012_15 \h </w:instrText>
      </w:r>
      <w:r>
        <w:fldChar w:fldCharType="separate"/>
      </w:r>
      <w:r w:rsidR="00A6693A">
        <w:rPr>
          <w:noProof/>
        </w:rPr>
        <w:t>282</w:t>
      </w:r>
      <w:r>
        <w:fldChar w:fldCharType="end"/>
      </w:r>
    </w:p>
    <w:p w:rsidR="00294D44" w:rsidRDefault="00294D44" w:rsidP="00294D44"/>
    <w:p w:rsidR="00294D44" w:rsidRDefault="00294D44" w:rsidP="00294D44">
      <w:pPr>
        <w:pStyle w:val="EntradandiceSentencia"/>
      </w:pPr>
      <w:r>
        <w:t>Sala Primera. Sentencia 16/2012, de 13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2477-2009. </w:t>
      </w:r>
      <w:r w:rsidRPr="00294D44">
        <w:rPr>
          <w:rStyle w:val="TextoNormalCursivaCaracter"/>
        </w:rPr>
        <w:t xml:space="preserve"> Vulneración del derecho a la presunción de inocencia: condena penal impuesta sin concurrir el presupuesto típico al haber decaído la medida cautelar.</w:t>
      </w:r>
      <w:r>
        <w:tab/>
      </w:r>
      <w:r>
        <w:tab/>
      </w:r>
      <w:r>
        <w:fldChar w:fldCharType="begin"/>
      </w:r>
      <w:r>
        <w:instrText xml:space="preserve"> PAGEREF SENTENCIA_2012_16 \h </w:instrText>
      </w:r>
      <w:r>
        <w:fldChar w:fldCharType="separate"/>
      </w:r>
      <w:r w:rsidR="00A6693A">
        <w:rPr>
          <w:noProof/>
        </w:rPr>
        <w:t>291</w:t>
      </w:r>
      <w:r>
        <w:fldChar w:fldCharType="end"/>
      </w:r>
    </w:p>
    <w:p w:rsidR="00294D44" w:rsidRDefault="00294D44" w:rsidP="00294D44"/>
    <w:p w:rsidR="00294D44" w:rsidRDefault="00294D44" w:rsidP="00294D44">
      <w:pPr>
        <w:pStyle w:val="EntradandiceSentencia"/>
      </w:pPr>
      <w:r>
        <w:t>Sala Primera. Sentencia 17/2012, de 13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9894-2009. </w:t>
      </w:r>
      <w:r w:rsidRPr="00294D44">
        <w:rPr>
          <w:rStyle w:val="TextoNormalCursivaCaracter"/>
        </w:rPr>
        <w:t xml:space="preserve"> Alegada vulneración del derecho a la libre información (reportaje con cámara oculta): recurso de amparo extemporáneo al haberse planteado un incidente de nulidad de actuaciones manifiestamente improcedente.</w:t>
      </w:r>
      <w:r>
        <w:tab/>
      </w:r>
      <w:r>
        <w:tab/>
      </w:r>
      <w:r>
        <w:fldChar w:fldCharType="begin"/>
      </w:r>
      <w:r>
        <w:instrText xml:space="preserve"> PAGEREF SENTENCIA_2012_17 \h </w:instrText>
      </w:r>
      <w:r>
        <w:fldChar w:fldCharType="separate"/>
      </w:r>
      <w:r w:rsidR="00A6693A">
        <w:rPr>
          <w:noProof/>
        </w:rPr>
        <w:t>302</w:t>
      </w:r>
      <w:r>
        <w:fldChar w:fldCharType="end"/>
      </w:r>
    </w:p>
    <w:p w:rsidR="00294D44" w:rsidRDefault="00294D44" w:rsidP="00294D44"/>
    <w:p w:rsidR="00294D44" w:rsidRDefault="00294D44" w:rsidP="00294D44">
      <w:pPr>
        <w:pStyle w:val="EntradandiceSentencia"/>
      </w:pPr>
      <w:r>
        <w:t>Sala Primera. Sentencia 18/2012, de 13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111-2010. </w:t>
      </w:r>
      <w:r w:rsidRPr="00294D44">
        <w:rPr>
          <w:rStyle w:val="TextoNormalCursivaCaracter"/>
        </w:rPr>
        <w:t xml:space="preserve"> Supuesta vulneración del derecho a la tutela judicial efectiva (resolución fundada en Derecho): imposibilidad de reparar la lesión que se denuncia al hacer referencia a un reglamento autonómico que ya había sido declarado nulo por Sentencia que había ganado firmeza al momento de dictarse la resolución judicial impugnada.</w:t>
      </w:r>
      <w:r>
        <w:tab/>
      </w:r>
      <w:r>
        <w:tab/>
      </w:r>
      <w:r>
        <w:fldChar w:fldCharType="begin"/>
      </w:r>
      <w:r>
        <w:instrText xml:space="preserve"> PAGEREF SENTENCIA_2012_18 \h </w:instrText>
      </w:r>
      <w:r>
        <w:fldChar w:fldCharType="separate"/>
      </w:r>
      <w:r w:rsidR="00A6693A">
        <w:rPr>
          <w:noProof/>
        </w:rPr>
        <w:t>310</w:t>
      </w:r>
      <w:r>
        <w:fldChar w:fldCharType="end"/>
      </w:r>
    </w:p>
    <w:p w:rsidR="00294D44" w:rsidRDefault="00294D44" w:rsidP="00294D44"/>
    <w:p w:rsidR="00294D44" w:rsidRDefault="00294D44" w:rsidP="00294D44">
      <w:pPr>
        <w:pStyle w:val="EntradandiceSentencia"/>
      </w:pPr>
      <w:r>
        <w:t>Pleno. Sentencia 19/2012, de 15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1046-1999. </w:t>
      </w:r>
      <w:r w:rsidRPr="00294D44">
        <w:rPr>
          <w:rStyle w:val="TextoNormalCursivaCaracter"/>
        </w:rPr>
        <w:t xml:space="preserve"> Principios de interdicción de la arbitrariedad y seguridad jurídica, igualdad, progresividad y capacidad económica en materia tributaria, supletoriedad del Derecho estatal: inconstitucionalidad del requisito de la convivencia en la reducción por el mínimo familiar por descendientes.</w:t>
      </w:r>
      <w:r>
        <w:tab/>
      </w:r>
      <w:r>
        <w:tab/>
      </w:r>
      <w:r>
        <w:fldChar w:fldCharType="begin"/>
      </w:r>
      <w:r>
        <w:instrText xml:space="preserve"> PAGEREF SENTENCIA_2012_19 \h </w:instrText>
      </w:r>
      <w:r>
        <w:fldChar w:fldCharType="separate"/>
      </w:r>
      <w:r w:rsidR="00A6693A">
        <w:rPr>
          <w:noProof/>
        </w:rPr>
        <w:t>322</w:t>
      </w:r>
      <w:r>
        <w:fldChar w:fldCharType="end"/>
      </w:r>
    </w:p>
    <w:p w:rsidR="00294D44" w:rsidRDefault="00294D44" w:rsidP="00294D44"/>
    <w:p w:rsidR="00294D44" w:rsidRDefault="00294D44" w:rsidP="00294D44">
      <w:pPr>
        <w:pStyle w:val="EntradandiceSentencia"/>
      </w:pPr>
      <w:r>
        <w:t>Pleno. Sentencia 20/2012, de 16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647-2004. </w:t>
      </w:r>
      <w:r w:rsidRPr="00294D44">
        <w:rPr>
          <w:rStyle w:val="TextoNormalCursivaCaracter"/>
        </w:rPr>
        <w:t xml:space="preserve"> Derecho a la tutela judicial sin indefensión: constitucionalidad del precepto legal que supedita la tramitación de </w:t>
      </w:r>
      <w:r w:rsidRPr="00294D44">
        <w:rPr>
          <w:rStyle w:val="TextoNormalCursivaCaracter"/>
        </w:rPr>
        <w:lastRenderedPageBreak/>
        <w:t>las demandas presentadas por personas jurídicas con ánimo de lucro sujetas al impuesto sobre sociedades y que superen una determinada facturación anual al abono de la tasa por el ejercicio de la potestad jurisdiccional en el orden civil.</w:t>
      </w:r>
      <w:r>
        <w:tab/>
      </w:r>
      <w:r>
        <w:tab/>
      </w:r>
      <w:r>
        <w:fldChar w:fldCharType="begin"/>
      </w:r>
      <w:r>
        <w:instrText xml:space="preserve"> PAGEREF SENTENCIA_2012_20 \h </w:instrText>
      </w:r>
      <w:r>
        <w:fldChar w:fldCharType="separate"/>
      </w:r>
      <w:r w:rsidR="00A6693A">
        <w:rPr>
          <w:noProof/>
        </w:rPr>
        <w:t>374</w:t>
      </w:r>
      <w:r>
        <w:fldChar w:fldCharType="end"/>
      </w:r>
    </w:p>
    <w:p w:rsidR="00294D44" w:rsidRDefault="00294D44" w:rsidP="00294D44"/>
    <w:p w:rsidR="00294D44" w:rsidRDefault="00294D44" w:rsidP="00294D44">
      <w:pPr>
        <w:pStyle w:val="EntradandiceSentencia"/>
      </w:pPr>
      <w:r>
        <w:t>Pleno. Sentencia 21/2012, de 16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5394-2006. </w:t>
      </w:r>
      <w:r w:rsidRPr="00294D44">
        <w:rPr>
          <w:rStyle w:val="TextoNormalCursivaCaracter"/>
        </w:rPr>
        <w:t xml:space="preserve"> Distribución de competencias sobre legislación procesal: nulidad del precepto legal autonómico que permite la acumulación de la acción de división de cosa común en los procedimientos de nulidad, separación o divorcio para los matrimonios en régimen de separación de bienes. Voto particular.</w:t>
      </w:r>
      <w:r>
        <w:tab/>
      </w:r>
      <w:r>
        <w:tab/>
      </w:r>
      <w:r>
        <w:fldChar w:fldCharType="begin"/>
      </w:r>
      <w:r>
        <w:instrText xml:space="preserve"> PAGEREF SENTENCIA_2012_21 \h </w:instrText>
      </w:r>
      <w:r>
        <w:fldChar w:fldCharType="separate"/>
      </w:r>
      <w:r w:rsidR="00A6693A">
        <w:rPr>
          <w:noProof/>
        </w:rPr>
        <w:t>397</w:t>
      </w:r>
      <w:r>
        <w:fldChar w:fldCharType="end"/>
      </w:r>
    </w:p>
    <w:p w:rsidR="00294D44" w:rsidRDefault="00294D44" w:rsidP="00294D44"/>
    <w:p w:rsidR="00294D44" w:rsidRDefault="00294D44" w:rsidP="00294D44">
      <w:pPr>
        <w:pStyle w:val="EntradandiceSentencia"/>
      </w:pPr>
      <w:r>
        <w:t>Pleno. Sentencia 22/2012, de 16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1301-2007. </w:t>
      </w:r>
      <w:r w:rsidRPr="00294D44">
        <w:rPr>
          <w:rStyle w:val="TextoNormalCursivaCaracter"/>
        </w:rPr>
        <w:t xml:space="preserve"> Competencias en materia de sanidad: validez de los preceptos reglamentarios estatales que excluyen el carácter lucrativo para los establecimientos de tejidos, someten a plazos las autorizaciones administrativas, introducen un régimen de inspección periódica de esos establecimientos y regulan la recogida, custodia e intercambio de información.</w:t>
      </w:r>
      <w:r>
        <w:tab/>
      </w:r>
      <w:r>
        <w:tab/>
      </w:r>
      <w:r>
        <w:fldChar w:fldCharType="begin"/>
      </w:r>
      <w:r>
        <w:instrText xml:space="preserve"> PAGEREF SENTENCIA_2012_22 \h </w:instrText>
      </w:r>
      <w:r>
        <w:fldChar w:fldCharType="separate"/>
      </w:r>
      <w:r w:rsidR="00A6693A">
        <w:rPr>
          <w:noProof/>
        </w:rPr>
        <w:t>420</w:t>
      </w:r>
      <w:r>
        <w:fldChar w:fldCharType="end"/>
      </w:r>
    </w:p>
    <w:p w:rsidR="00294D44" w:rsidRDefault="00294D44" w:rsidP="00294D44"/>
    <w:p w:rsidR="00294D44" w:rsidRDefault="00294D44" w:rsidP="00294D44">
      <w:pPr>
        <w:pStyle w:val="EntradandiceSentencia"/>
      </w:pPr>
      <w:r>
        <w:t>Sala Primera. Sentencia 23/2012, de 27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10143-2009. </w:t>
      </w:r>
      <w:r w:rsidRPr="00294D44">
        <w:rPr>
          <w:rStyle w:val="TextoNormalCursivaCaracter"/>
        </w:rPr>
        <w:t xml:space="preserve"> Alegada vulneración del derecho a la libre información (reportaje con cámara oculta): recurso de amparo extemporáneo al haberse planteado un incidente de nulidad de actuaciones manifiestamente improcedente (STC 17/2012).</w:t>
      </w:r>
      <w:r>
        <w:tab/>
      </w:r>
      <w:r>
        <w:tab/>
      </w:r>
      <w:r>
        <w:fldChar w:fldCharType="begin"/>
      </w:r>
      <w:r>
        <w:instrText xml:space="preserve"> PAGEREF SENTENCIA_2012_23 \h </w:instrText>
      </w:r>
      <w:r>
        <w:fldChar w:fldCharType="separate"/>
      </w:r>
      <w:r w:rsidR="00A6693A">
        <w:rPr>
          <w:noProof/>
        </w:rPr>
        <w:t>444</w:t>
      </w:r>
      <w:r>
        <w:fldChar w:fldCharType="end"/>
      </w:r>
    </w:p>
    <w:p w:rsidR="00294D44" w:rsidRDefault="00294D44" w:rsidP="00294D44"/>
    <w:p w:rsidR="00294D44" w:rsidRDefault="00294D44" w:rsidP="00294D44">
      <w:pPr>
        <w:pStyle w:val="EntradandiceSentencia"/>
      </w:pPr>
      <w:r>
        <w:t>Sala Primera. Sentencia 24/2012, de 27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5267-2010, 5673-2010. </w:t>
      </w:r>
      <w:r w:rsidRPr="00294D44">
        <w:rPr>
          <w:rStyle w:val="TextoNormalCursivaCaracter"/>
        </w:rPr>
        <w:t xml:space="preserve"> Supuesta vulneración del derecho a la libre información: reportaje grabado con cámara oculta (STC 12/2012).</w:t>
      </w:r>
      <w:r>
        <w:tab/>
      </w:r>
      <w:r>
        <w:tab/>
      </w:r>
      <w:r>
        <w:fldChar w:fldCharType="begin"/>
      </w:r>
      <w:r>
        <w:instrText xml:space="preserve"> PAGEREF SENTENCIA_2012_24 \h </w:instrText>
      </w:r>
      <w:r>
        <w:fldChar w:fldCharType="separate"/>
      </w:r>
      <w:r w:rsidR="00A6693A">
        <w:rPr>
          <w:noProof/>
        </w:rPr>
        <w:t>452</w:t>
      </w:r>
      <w:r>
        <w:fldChar w:fldCharType="end"/>
      </w:r>
    </w:p>
    <w:p w:rsidR="00294D44" w:rsidRDefault="00294D44" w:rsidP="00294D44"/>
    <w:p w:rsidR="00294D44" w:rsidRDefault="00294D44" w:rsidP="00294D44">
      <w:pPr>
        <w:pStyle w:val="EntradandiceSentencia"/>
      </w:pPr>
      <w:r>
        <w:t>Sala Segunda. Sentencia 25/2012, de 27 de febrero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298-2011. </w:t>
      </w:r>
      <w:r w:rsidRPr="00294D44">
        <w:rPr>
          <w:rStyle w:val="TextoNormalCursivaCaracter"/>
        </w:rPr>
        <w:t xml:space="preserve"> Vulneración del derecho a la tutela judicial efectiva (incongruencia): Sentencia que deja sin respuesta una alegación sustancial relativa a la concreción del momento inicial del plazo de prescripción.</w:t>
      </w:r>
      <w:r>
        <w:tab/>
      </w:r>
      <w:r>
        <w:tab/>
      </w:r>
      <w:r>
        <w:fldChar w:fldCharType="begin"/>
      </w:r>
      <w:r>
        <w:instrText xml:space="preserve"> PAGEREF SENTENCIA_2012_25 \h </w:instrText>
      </w:r>
      <w:r>
        <w:fldChar w:fldCharType="separate"/>
      </w:r>
      <w:r w:rsidR="00A6693A">
        <w:rPr>
          <w:noProof/>
        </w:rPr>
        <w:t>458</w:t>
      </w:r>
      <w:r>
        <w:fldChar w:fldCharType="end"/>
      </w:r>
    </w:p>
    <w:p w:rsidR="00294D44" w:rsidRDefault="00294D44" w:rsidP="00294D44"/>
    <w:p w:rsidR="00294D44" w:rsidRDefault="00294D44" w:rsidP="00294D44">
      <w:pPr>
        <w:pStyle w:val="EntradandiceSentencia"/>
      </w:pPr>
      <w:r>
        <w:lastRenderedPageBreak/>
        <w:t>Pleno. Sentencia 26/2012, de 1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5061-2001. </w:t>
      </w:r>
      <w:r w:rsidRPr="00294D44">
        <w:rPr>
          <w:rStyle w:val="TextoNormalCursivaCaracter"/>
        </w:rPr>
        <w:t xml:space="preserve"> Competencias sobre igualdad básica, legislación civil y mercantil, ordenación general de la economía y bases del régimen jurídico de las Administraciones públicas; comercio interior y defensa de los consumidores y usuarios: nulidad de los preceptos legales autonómicos que contravienen la normativa básica en la definición del comercio minorista, la fijación del límite diario de horarios comerciales y la regulación de determinados tipos de venta; inconstitucionalidad de aquellos otros preceptos legales que limitan la apertura de nuevos establecimientos comerciales y excluyen la aplicación del régimen general de horarios comerciales a las zonas de gran afluencia turística.</w:t>
      </w:r>
      <w:r>
        <w:tab/>
      </w:r>
      <w:r>
        <w:tab/>
      </w:r>
      <w:r>
        <w:fldChar w:fldCharType="begin"/>
      </w:r>
      <w:r>
        <w:instrText xml:space="preserve"> PAGEREF SENTENCIA_2012_26 \h </w:instrText>
      </w:r>
      <w:r>
        <w:fldChar w:fldCharType="separate"/>
      </w:r>
      <w:r w:rsidR="00A6693A">
        <w:rPr>
          <w:noProof/>
        </w:rPr>
        <w:t>469</w:t>
      </w:r>
      <w:r>
        <w:fldChar w:fldCharType="end"/>
      </w:r>
    </w:p>
    <w:p w:rsidR="00294D44" w:rsidRDefault="00294D44" w:rsidP="00294D44"/>
    <w:p w:rsidR="00294D44" w:rsidRDefault="00294D44" w:rsidP="00294D44">
      <w:pPr>
        <w:pStyle w:val="EntradandiceSentencia"/>
      </w:pPr>
      <w:r>
        <w:t>Pleno. Sentencia 27/2012, de 1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5742-2001. </w:t>
      </w:r>
      <w:r w:rsidRPr="00294D44">
        <w:rPr>
          <w:rStyle w:val="TextoNormalCursivaCaracter"/>
        </w:rPr>
        <w:t xml:space="preserve"> Derecho a la igualdad en el acceso a las funciones públicas: nulidad del precepto legal que regula el acceso a plazas de funcionarios de la Junta de Andalucía atribuyendo una valoración desproporcionada a la experiencia profesional no justificada en la excepcionalidad del procedimiento selectivo.</w:t>
      </w:r>
      <w:r>
        <w:tab/>
      </w:r>
      <w:r>
        <w:tab/>
      </w:r>
      <w:r>
        <w:fldChar w:fldCharType="begin"/>
      </w:r>
      <w:r>
        <w:instrText xml:space="preserve"> PAGEREF SENTENCIA_2012_27 \h </w:instrText>
      </w:r>
      <w:r>
        <w:fldChar w:fldCharType="separate"/>
      </w:r>
      <w:r w:rsidR="00A6693A">
        <w:rPr>
          <w:noProof/>
        </w:rPr>
        <w:t>500</w:t>
      </w:r>
      <w:r>
        <w:fldChar w:fldCharType="end"/>
      </w:r>
    </w:p>
    <w:p w:rsidR="00294D44" w:rsidRDefault="00294D44" w:rsidP="00294D44"/>
    <w:p w:rsidR="00294D44" w:rsidRDefault="00294D44" w:rsidP="00294D44">
      <w:pPr>
        <w:pStyle w:val="EntradandiceSentencia"/>
      </w:pPr>
      <w:r>
        <w:t>Pleno. Sentencia 28/2012, de 1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6548-2001. </w:t>
      </w:r>
      <w:r w:rsidRPr="00294D44">
        <w:rPr>
          <w:rStyle w:val="TextoNormalCursivaCaracter"/>
        </w:rPr>
        <w:t xml:space="preserve"> Distribución de competencias sobre legislación civil: nulidad del precepto legal autonómico que constituye un derecho de retracto en favor de particulares.</w:t>
      </w:r>
      <w:r>
        <w:tab/>
      </w:r>
      <w:r>
        <w:tab/>
      </w:r>
      <w:r>
        <w:fldChar w:fldCharType="begin"/>
      </w:r>
      <w:r>
        <w:instrText xml:space="preserve"> PAGEREF SENTENCIA_2012_28 \h </w:instrText>
      </w:r>
      <w:r>
        <w:fldChar w:fldCharType="separate"/>
      </w:r>
      <w:r w:rsidR="00A6693A">
        <w:rPr>
          <w:noProof/>
        </w:rPr>
        <w:t>538</w:t>
      </w:r>
      <w:r>
        <w:fldChar w:fldCharType="end"/>
      </w:r>
    </w:p>
    <w:p w:rsidR="00294D44" w:rsidRDefault="00294D44" w:rsidP="00294D44"/>
    <w:p w:rsidR="00294D44" w:rsidRDefault="00294D44" w:rsidP="00294D44">
      <w:pPr>
        <w:pStyle w:val="EntradandiceSentencia"/>
      </w:pPr>
      <w:r>
        <w:t>Pleno. Sentencia 29/2012, de 1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2651-2005. </w:t>
      </w:r>
      <w:r w:rsidRPr="00294D44">
        <w:rPr>
          <w:rStyle w:val="TextoNormalCursivaCaracter"/>
        </w:rPr>
        <w:t xml:space="preserve"> Derecho a la igualdad en el acceso a las funciones públicas: validez del precepto legal que introduce un límite máximo de edad para participar en los procesos de acceso por el turno de movilidad con ascenso a los cuerpos de policía local de Andalucía.</w:t>
      </w:r>
      <w:r>
        <w:tab/>
      </w:r>
      <w:r>
        <w:tab/>
      </w:r>
      <w:r>
        <w:fldChar w:fldCharType="begin"/>
      </w:r>
      <w:r>
        <w:instrText xml:space="preserve"> PAGEREF SENTENCIA_2012_29 \h </w:instrText>
      </w:r>
      <w:r>
        <w:fldChar w:fldCharType="separate"/>
      </w:r>
      <w:r w:rsidR="00A6693A">
        <w:rPr>
          <w:noProof/>
        </w:rPr>
        <w:t>551</w:t>
      </w:r>
      <w:r>
        <w:fldChar w:fldCharType="end"/>
      </w:r>
    </w:p>
    <w:p w:rsidR="00294D44" w:rsidRDefault="00294D44" w:rsidP="00294D44"/>
    <w:p w:rsidR="00294D44" w:rsidRDefault="00294D44" w:rsidP="00294D44">
      <w:pPr>
        <w:pStyle w:val="EntradandiceSentencia"/>
      </w:pPr>
      <w:r>
        <w:t>Pleno. Sentencia 30/2012, de 1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5277-2011. </w:t>
      </w:r>
      <w:r w:rsidRPr="00294D44">
        <w:rPr>
          <w:rStyle w:val="TextoNormalCursivaCaracter"/>
        </w:rPr>
        <w:t xml:space="preserve"> Igualdad en el ejercicio de las funciones representativas: validez del precepto legal que regula los derechos económicos y políticos de los concejales no adscritos; nombramiento para cargos relacionados con el gobierno y administración del municipio que no forma parte del núcleo esencial de las funciones representativas de los concejales (STC 9/2012).</w:t>
      </w:r>
      <w:r>
        <w:tab/>
      </w:r>
      <w:r>
        <w:tab/>
      </w:r>
      <w:r>
        <w:fldChar w:fldCharType="begin"/>
      </w:r>
      <w:r>
        <w:instrText xml:space="preserve"> PAGEREF SENTENCIA_2012_30 \h </w:instrText>
      </w:r>
      <w:r>
        <w:fldChar w:fldCharType="separate"/>
      </w:r>
      <w:r w:rsidR="00A6693A">
        <w:rPr>
          <w:noProof/>
        </w:rPr>
        <w:t>570</w:t>
      </w:r>
      <w:r>
        <w:fldChar w:fldCharType="end"/>
      </w:r>
    </w:p>
    <w:p w:rsidR="00294D44" w:rsidRDefault="00294D44" w:rsidP="00294D44"/>
    <w:p w:rsidR="00294D44" w:rsidRDefault="00294D44" w:rsidP="00294D44">
      <w:pPr>
        <w:pStyle w:val="EntradandiceSentencia"/>
      </w:pPr>
      <w:r>
        <w:t>Sala Segunda. Sentencia 31/2012, de 12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2976-2011. </w:t>
      </w:r>
      <w:r w:rsidRPr="00294D44">
        <w:rPr>
          <w:rStyle w:val="TextoNormalCursivaCaracter"/>
        </w:rPr>
        <w:t xml:space="preserve"> Supuesta vulneración de los derechos a la tutela judicial efectiva y a la legalidad sancionadora: Sentencia que resuelve el debate de suplicación en los términos planteados por las partes en relación con unos hechos constitutivos de infracción administrativa al momento de producirse.</w:t>
      </w:r>
      <w:r>
        <w:tab/>
      </w:r>
      <w:r>
        <w:tab/>
      </w:r>
      <w:r>
        <w:fldChar w:fldCharType="begin"/>
      </w:r>
      <w:r>
        <w:instrText xml:space="preserve"> PAGEREF SENTENCIA_2012_31 \h </w:instrText>
      </w:r>
      <w:r>
        <w:fldChar w:fldCharType="separate"/>
      </w:r>
      <w:r w:rsidR="00A6693A">
        <w:rPr>
          <w:noProof/>
        </w:rPr>
        <w:t>582</w:t>
      </w:r>
      <w:r>
        <w:fldChar w:fldCharType="end"/>
      </w:r>
    </w:p>
    <w:p w:rsidR="00294D44" w:rsidRDefault="00294D44" w:rsidP="00294D44"/>
    <w:p w:rsidR="00294D44" w:rsidRDefault="00294D44" w:rsidP="00294D44">
      <w:pPr>
        <w:pStyle w:val="EntradandiceSentencia"/>
      </w:pPr>
      <w:r>
        <w:t>Pleno. Sentencia 32/2012, de 15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4124-1999, 4216-1999. </w:t>
      </w:r>
      <w:r w:rsidRPr="00294D44">
        <w:rPr>
          <w:rStyle w:val="TextoNormalCursivaCaracter"/>
        </w:rPr>
        <w:t xml:space="preserve"> Distribución de competencias en materia de juego: validez de las disposiciones reglamentarias estatales (STC 163/1994).</w:t>
      </w:r>
      <w:r>
        <w:tab/>
      </w:r>
      <w:r>
        <w:tab/>
      </w:r>
      <w:r>
        <w:fldChar w:fldCharType="begin"/>
      </w:r>
      <w:r>
        <w:instrText xml:space="preserve"> PAGEREF SENTENCIA_2012_32 \h </w:instrText>
      </w:r>
      <w:r>
        <w:fldChar w:fldCharType="separate"/>
      </w:r>
      <w:r w:rsidR="00A6693A">
        <w:rPr>
          <w:noProof/>
        </w:rPr>
        <w:t>596</w:t>
      </w:r>
      <w:r>
        <w:fldChar w:fldCharType="end"/>
      </w:r>
    </w:p>
    <w:p w:rsidR="00294D44" w:rsidRDefault="00294D44" w:rsidP="00294D44"/>
    <w:p w:rsidR="00294D44" w:rsidRDefault="00294D44" w:rsidP="00294D44">
      <w:pPr>
        <w:pStyle w:val="EntradandiceSentencia"/>
      </w:pPr>
      <w:r>
        <w:t>Pleno. Sentencia 33/2012, de 15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1081-2000. </w:t>
      </w:r>
      <w:r w:rsidRPr="00294D44">
        <w:rPr>
          <w:rStyle w:val="TextoNormalCursivaCaracter"/>
        </w:rPr>
        <w:t xml:space="preserve"> Distribución de competencias sobre legislación mercantil y colegios profesionales; tramitación del conflicto en la forma prevista para el recurso de inconstitucionalidad: validez de la Ley del Parlamento de Cataluña 7/1995, de 28 de junio, de creación del Colegio de censores jurados de cuentas de Cataluña; interpretación conforme de los preceptos de los estatutos colegiales relativos a funciones reservadas por la legislación estatal a las corporaciones representativas de los auditores.</w:t>
      </w:r>
      <w:r>
        <w:tab/>
      </w:r>
      <w:r>
        <w:tab/>
      </w:r>
      <w:r>
        <w:fldChar w:fldCharType="begin"/>
      </w:r>
      <w:r>
        <w:instrText xml:space="preserve"> PAGEREF SENTENCIA_2012_33 \h </w:instrText>
      </w:r>
      <w:r>
        <w:fldChar w:fldCharType="separate"/>
      </w:r>
      <w:r w:rsidR="00A6693A">
        <w:rPr>
          <w:noProof/>
        </w:rPr>
        <w:t>623</w:t>
      </w:r>
      <w:r>
        <w:fldChar w:fldCharType="end"/>
      </w:r>
    </w:p>
    <w:p w:rsidR="00294D44" w:rsidRDefault="00294D44" w:rsidP="00294D44"/>
    <w:p w:rsidR="00294D44" w:rsidRDefault="00294D44" w:rsidP="00294D44">
      <w:pPr>
        <w:pStyle w:val="EntradandiceSentencia"/>
      </w:pPr>
      <w:r>
        <w:t>Pleno. Sentencia 34/2012, de 15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4364-2001. </w:t>
      </w:r>
      <w:r w:rsidRPr="00294D44">
        <w:rPr>
          <w:rStyle w:val="TextoNormalCursivaCaracter"/>
        </w:rPr>
        <w:t xml:space="preserve"> Distribución de competencias sobre medio ambiente y procedimiento administrativo: constitucionalidad de la atribución a la Administración del Estado de la evaluación de impacto ambiental de los proyectos que le corresponda aprobar o autorizar (SSTC 13/1998 y 1/2012).</w:t>
      </w:r>
      <w:r>
        <w:tab/>
      </w:r>
      <w:r>
        <w:tab/>
      </w:r>
      <w:r>
        <w:fldChar w:fldCharType="begin"/>
      </w:r>
      <w:r>
        <w:instrText xml:space="preserve"> PAGEREF SENTENCIA_2012_34 \h </w:instrText>
      </w:r>
      <w:r>
        <w:fldChar w:fldCharType="separate"/>
      </w:r>
      <w:r w:rsidR="00A6693A">
        <w:rPr>
          <w:noProof/>
        </w:rPr>
        <w:t>648</w:t>
      </w:r>
      <w:r>
        <w:fldChar w:fldCharType="end"/>
      </w:r>
    </w:p>
    <w:p w:rsidR="00294D44" w:rsidRDefault="00294D44" w:rsidP="00294D44"/>
    <w:p w:rsidR="00294D44" w:rsidRDefault="00294D44" w:rsidP="00294D44">
      <w:pPr>
        <w:pStyle w:val="EntradandiceSentencia"/>
      </w:pPr>
      <w:r>
        <w:t>Pleno. Sentencia 35/2012, de 15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1847-2002. </w:t>
      </w:r>
      <w:r w:rsidRPr="00294D44">
        <w:rPr>
          <w:rStyle w:val="TextoNormalCursivaCaracter"/>
        </w:rPr>
        <w:t xml:space="preserve"> Distribución de competencias en materia de juego: inconstitucionalidad de la atribución al Estado de la competencia para autorizar los juegos que excedan los límites de una Comunidad Autónoma sin abarcar a la totalidad del territorio nacional.</w:t>
      </w:r>
      <w:r>
        <w:tab/>
      </w:r>
      <w:r>
        <w:tab/>
      </w:r>
      <w:r>
        <w:fldChar w:fldCharType="begin"/>
      </w:r>
      <w:r>
        <w:instrText xml:space="preserve"> PAGEREF SENTENCIA_2012_35 \h </w:instrText>
      </w:r>
      <w:r>
        <w:fldChar w:fldCharType="separate"/>
      </w:r>
      <w:r w:rsidR="00A6693A">
        <w:rPr>
          <w:noProof/>
        </w:rPr>
        <w:t>660</w:t>
      </w:r>
      <w:r>
        <w:fldChar w:fldCharType="end"/>
      </w:r>
    </w:p>
    <w:p w:rsidR="00294D44" w:rsidRDefault="00294D44" w:rsidP="00294D44"/>
    <w:p w:rsidR="00294D44" w:rsidRDefault="00294D44" w:rsidP="00294D44">
      <w:pPr>
        <w:pStyle w:val="EntradandiceSentencia"/>
      </w:pPr>
      <w:r>
        <w:lastRenderedPageBreak/>
        <w:t>Pleno. Sentencia 36/2012, de 15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1401-2008. </w:t>
      </w:r>
      <w:r w:rsidRPr="00294D44">
        <w:rPr>
          <w:rStyle w:val="TextoNormalCursivaCaracter"/>
        </w:rPr>
        <w:t xml:space="preserve"> Competencias sobre ordenación general de la economía, vivienda y asistencia social: nulidad de diversos preceptos reglamentarios que vulneran competencias autonómicas (STC 13/1992). Voto particular.</w:t>
      </w:r>
      <w:r>
        <w:tab/>
      </w:r>
      <w:r>
        <w:tab/>
      </w:r>
      <w:r>
        <w:fldChar w:fldCharType="begin"/>
      </w:r>
      <w:r>
        <w:instrText xml:space="preserve"> PAGEREF SENTENCIA_2012_36 \h </w:instrText>
      </w:r>
      <w:r>
        <w:fldChar w:fldCharType="separate"/>
      </w:r>
      <w:r w:rsidR="00A6693A">
        <w:rPr>
          <w:noProof/>
        </w:rPr>
        <w:t>684</w:t>
      </w:r>
      <w:r>
        <w:fldChar w:fldCharType="end"/>
      </w:r>
    </w:p>
    <w:p w:rsidR="00294D44" w:rsidRDefault="00294D44" w:rsidP="00294D44"/>
    <w:p w:rsidR="00294D44" w:rsidRDefault="00294D44" w:rsidP="00294D44">
      <w:pPr>
        <w:pStyle w:val="EntradandiceSentencia"/>
      </w:pPr>
      <w:r>
        <w:t>Pleno. Sentencia 37/2012, de 19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9689-2009. </w:t>
      </w:r>
      <w:r w:rsidRPr="00294D44">
        <w:rPr>
          <w:rStyle w:val="TextoNormalCursivaCaracter"/>
        </w:rPr>
        <w:t xml:space="preserve"> Principios de seguridad jurídica, independencia judicial y supremacía del Tribunal Constitucional en materia de garantías constitucionales: carácter vinculante de la doctrina sentada por el Tribunal Supremo al resolver recursos de casación en interés de ley que concreta el contenido normativo de los preceptos legales y que preserva la seguridad jurídica y la igualdad en la aplicación del Derecho en todo el territorio nacional; constitucionalidad de la doctrina legal que niega efectos prescriptivos de las infracciones y sanciones administrativas al transcurso del plazo de resolución de los recursos de alzada. Votos particulares.</w:t>
      </w:r>
      <w:r>
        <w:tab/>
      </w:r>
      <w:r>
        <w:tab/>
      </w:r>
      <w:r>
        <w:fldChar w:fldCharType="begin"/>
      </w:r>
      <w:r>
        <w:instrText xml:space="preserve"> PAGEREF SENTENCIA_2012_37 \h </w:instrText>
      </w:r>
      <w:r>
        <w:fldChar w:fldCharType="separate"/>
      </w:r>
      <w:r w:rsidR="00A6693A">
        <w:rPr>
          <w:noProof/>
        </w:rPr>
        <w:t>711</w:t>
      </w:r>
      <w:r>
        <w:fldChar w:fldCharType="end"/>
      </w:r>
    </w:p>
    <w:p w:rsidR="00294D44" w:rsidRDefault="00294D44" w:rsidP="00294D44"/>
    <w:p w:rsidR="00294D44" w:rsidRDefault="00294D44" w:rsidP="00294D44">
      <w:pPr>
        <w:pStyle w:val="EntradandiceSentencia"/>
      </w:pPr>
      <w:r>
        <w:t>Sala Segunda. Sentencia 38/2012, de 26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10801-2009. </w:t>
      </w:r>
      <w:r w:rsidRPr="00294D44">
        <w:rPr>
          <w:rStyle w:val="TextoNormalCursivaCaracter"/>
        </w:rPr>
        <w:t xml:space="preserve"> Distribución de competencias sobre medio ambiente: convocatoria estatal de subvenciones que vulnera las competencias de la Junta de Galicia (STC 13/1992).</w:t>
      </w:r>
      <w:r>
        <w:tab/>
      </w:r>
      <w:r>
        <w:tab/>
      </w:r>
      <w:r>
        <w:fldChar w:fldCharType="begin"/>
      </w:r>
      <w:r>
        <w:instrText xml:space="preserve"> PAGEREF SENTENCIA_2012_38 \h </w:instrText>
      </w:r>
      <w:r>
        <w:fldChar w:fldCharType="separate"/>
      </w:r>
      <w:r w:rsidR="00A6693A">
        <w:rPr>
          <w:noProof/>
        </w:rPr>
        <w:t>760</w:t>
      </w:r>
      <w:r>
        <w:fldChar w:fldCharType="end"/>
      </w:r>
    </w:p>
    <w:p w:rsidR="00294D44" w:rsidRDefault="00294D44" w:rsidP="00294D44"/>
    <w:p w:rsidR="00294D44" w:rsidRDefault="00294D44" w:rsidP="00294D44">
      <w:pPr>
        <w:pStyle w:val="EntradandiceSentencia"/>
      </w:pPr>
      <w:r>
        <w:t>Pleno. Sentencia 39/2012,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4893-2006. </w:t>
      </w:r>
      <w:r w:rsidRPr="00294D44">
        <w:rPr>
          <w:rStyle w:val="TextoNormalCursivaCaracter"/>
        </w:rPr>
        <w:t xml:space="preserve"> Vulneración de los derechos a la tutela judicial efectiva (intangibilidad) y a la libertad personal: resoluciones judiciales que desconocen lo anteriormente decidido con carácter firme acerca del criterio de cómputo de redenciones de penas privativas de libertad. Votos particulares.</w:t>
      </w:r>
      <w:r>
        <w:tab/>
      </w:r>
      <w:r>
        <w:tab/>
      </w:r>
      <w:r>
        <w:fldChar w:fldCharType="begin"/>
      </w:r>
      <w:r>
        <w:instrText xml:space="preserve"> PAGEREF SENTENCIA_2012_39 \h </w:instrText>
      </w:r>
      <w:r>
        <w:fldChar w:fldCharType="separate"/>
      </w:r>
      <w:r w:rsidR="00A6693A">
        <w:rPr>
          <w:noProof/>
        </w:rPr>
        <w:t>778</w:t>
      </w:r>
      <w:r>
        <w:fldChar w:fldCharType="end"/>
      </w:r>
    </w:p>
    <w:p w:rsidR="00294D44" w:rsidRDefault="00294D44" w:rsidP="00294D44"/>
    <w:p w:rsidR="00294D44" w:rsidRDefault="00294D44" w:rsidP="00294D44">
      <w:pPr>
        <w:pStyle w:val="EntradandiceSentencia"/>
      </w:pPr>
      <w:r>
        <w:t>Pleno. Sentencia 40/2012,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5560-2006.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SENTENCIA_2012_40 \h </w:instrText>
      </w:r>
      <w:r>
        <w:fldChar w:fldCharType="separate"/>
      </w:r>
      <w:r w:rsidR="00A6693A">
        <w:rPr>
          <w:noProof/>
        </w:rPr>
        <w:t>813</w:t>
      </w:r>
      <w:r>
        <w:fldChar w:fldCharType="end"/>
      </w:r>
    </w:p>
    <w:p w:rsidR="00294D44" w:rsidRDefault="00294D44" w:rsidP="00294D44"/>
    <w:p w:rsidR="00294D44" w:rsidRDefault="00294D44" w:rsidP="00294D44">
      <w:pPr>
        <w:pStyle w:val="EntradandiceSentencia"/>
      </w:pPr>
      <w:r>
        <w:t>Pleno. Sentencia 41/2012,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7325-2006.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SENTENCIA_2012_41 \h </w:instrText>
      </w:r>
      <w:r>
        <w:fldChar w:fldCharType="separate"/>
      </w:r>
      <w:r w:rsidR="00A6693A">
        <w:rPr>
          <w:noProof/>
        </w:rPr>
        <w:t>846</w:t>
      </w:r>
      <w:r>
        <w:fldChar w:fldCharType="end"/>
      </w:r>
    </w:p>
    <w:p w:rsidR="00294D44" w:rsidRDefault="00294D44" w:rsidP="00294D44"/>
    <w:p w:rsidR="00294D44" w:rsidRDefault="00294D44" w:rsidP="00294D44">
      <w:pPr>
        <w:pStyle w:val="EntradandiceSentencia"/>
      </w:pPr>
      <w:r>
        <w:t>Pleno. Sentencia 42/2012,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7991-2006.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SENTENCIA_2012_42 \h </w:instrText>
      </w:r>
      <w:r>
        <w:fldChar w:fldCharType="separate"/>
      </w:r>
      <w:r w:rsidR="00A6693A">
        <w:rPr>
          <w:noProof/>
        </w:rPr>
        <w:t>884</w:t>
      </w:r>
      <w:r>
        <w:fldChar w:fldCharType="end"/>
      </w:r>
    </w:p>
    <w:p w:rsidR="00294D44" w:rsidRDefault="00294D44" w:rsidP="00294D44"/>
    <w:p w:rsidR="00294D44" w:rsidRDefault="00294D44" w:rsidP="00294D44">
      <w:pPr>
        <w:pStyle w:val="EntradandiceSentencia"/>
      </w:pPr>
      <w:r>
        <w:t>Pleno. Sentencia 43/2012,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8345-2006.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SENTENCIA_2012_43 \h </w:instrText>
      </w:r>
      <w:r>
        <w:fldChar w:fldCharType="separate"/>
      </w:r>
      <w:r w:rsidR="00A6693A">
        <w:rPr>
          <w:noProof/>
        </w:rPr>
        <w:t>907</w:t>
      </w:r>
      <w:r>
        <w:fldChar w:fldCharType="end"/>
      </w:r>
    </w:p>
    <w:p w:rsidR="00294D44" w:rsidRDefault="00294D44" w:rsidP="00294D44"/>
    <w:p w:rsidR="00294D44" w:rsidRDefault="00294D44" w:rsidP="00294D44">
      <w:pPr>
        <w:pStyle w:val="EntradandiceSentencia"/>
      </w:pPr>
      <w:r>
        <w:t>Pleno. Sentencia 44/2012,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10112-2006.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SENTENCIA_2012_44 \h </w:instrText>
      </w:r>
      <w:r>
        <w:fldChar w:fldCharType="separate"/>
      </w:r>
      <w:r w:rsidR="00A6693A">
        <w:rPr>
          <w:noProof/>
        </w:rPr>
        <w:t>925</w:t>
      </w:r>
      <w:r>
        <w:fldChar w:fldCharType="end"/>
      </w:r>
    </w:p>
    <w:p w:rsidR="00294D44" w:rsidRDefault="00294D44" w:rsidP="00294D44"/>
    <w:p w:rsidR="00294D44" w:rsidRDefault="00294D44" w:rsidP="00294D44">
      <w:pPr>
        <w:pStyle w:val="EntradandiceSentencia"/>
      </w:pPr>
      <w:r>
        <w:lastRenderedPageBreak/>
        <w:t>Pleno. Sentencia 45/2012,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10121-2006.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SENTENCIA_2012_45 \h </w:instrText>
      </w:r>
      <w:r>
        <w:fldChar w:fldCharType="separate"/>
      </w:r>
      <w:r w:rsidR="00A6693A">
        <w:rPr>
          <w:noProof/>
        </w:rPr>
        <w:t>945</w:t>
      </w:r>
      <w:r>
        <w:fldChar w:fldCharType="end"/>
      </w:r>
    </w:p>
    <w:p w:rsidR="00294D44" w:rsidRDefault="00294D44" w:rsidP="00294D44"/>
    <w:p w:rsidR="00294D44" w:rsidRDefault="00294D44" w:rsidP="00294D44">
      <w:pPr>
        <w:pStyle w:val="EntradandiceSentencia"/>
      </w:pPr>
      <w:r>
        <w:t>Pleno. Sentencia 46/2012,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10245-2006.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SENTENCIA_2012_46 \h </w:instrText>
      </w:r>
      <w:r>
        <w:fldChar w:fldCharType="separate"/>
      </w:r>
      <w:r w:rsidR="00A6693A">
        <w:rPr>
          <w:noProof/>
        </w:rPr>
        <w:t>962</w:t>
      </w:r>
      <w:r>
        <w:fldChar w:fldCharType="end"/>
      </w:r>
    </w:p>
    <w:p w:rsidR="00294D44" w:rsidRDefault="00294D44" w:rsidP="00294D44"/>
    <w:p w:rsidR="00294D44" w:rsidRDefault="00294D44" w:rsidP="00294D44">
      <w:pPr>
        <w:pStyle w:val="EntradandiceSentencia"/>
      </w:pPr>
      <w:r>
        <w:t>Pleno. Sentencia 47/2012,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10718-2006.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SENTENCIA_2012_47 \h </w:instrText>
      </w:r>
      <w:r>
        <w:fldChar w:fldCharType="separate"/>
      </w:r>
      <w:r w:rsidR="00A6693A">
        <w:rPr>
          <w:noProof/>
        </w:rPr>
        <w:t>981</w:t>
      </w:r>
      <w:r>
        <w:fldChar w:fldCharType="end"/>
      </w:r>
    </w:p>
    <w:p w:rsidR="00294D44" w:rsidRDefault="00294D44" w:rsidP="00294D44"/>
    <w:p w:rsidR="00294D44" w:rsidRDefault="00294D44" w:rsidP="00294D44">
      <w:pPr>
        <w:pStyle w:val="EntradandiceSentencia"/>
      </w:pPr>
      <w:r>
        <w:t>Pleno. Sentencia 48/2012,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11106-2006.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SENTENCIA_2012_48 \h </w:instrText>
      </w:r>
      <w:r>
        <w:fldChar w:fldCharType="separate"/>
      </w:r>
      <w:r w:rsidR="00A6693A">
        <w:rPr>
          <w:noProof/>
        </w:rPr>
        <w:t>1008</w:t>
      </w:r>
      <w:r>
        <w:fldChar w:fldCharType="end"/>
      </w:r>
    </w:p>
    <w:p w:rsidR="00294D44" w:rsidRDefault="00294D44" w:rsidP="00294D44"/>
    <w:p w:rsidR="00294D44" w:rsidRDefault="00294D44" w:rsidP="00294D44">
      <w:pPr>
        <w:pStyle w:val="EntradandiceSentencia"/>
      </w:pPr>
      <w:r>
        <w:lastRenderedPageBreak/>
        <w:t>Pleno. Sentencia 49/2012,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11202-2006.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SENTENCIA_2012_49 \h </w:instrText>
      </w:r>
      <w:r>
        <w:fldChar w:fldCharType="separate"/>
      </w:r>
      <w:r w:rsidR="00A6693A">
        <w:rPr>
          <w:noProof/>
        </w:rPr>
        <w:t>1027</w:t>
      </w:r>
      <w:r>
        <w:fldChar w:fldCharType="end"/>
      </w:r>
    </w:p>
    <w:p w:rsidR="00294D44" w:rsidRDefault="00294D44" w:rsidP="00294D44"/>
    <w:p w:rsidR="00294D44" w:rsidRDefault="00294D44" w:rsidP="00294D44">
      <w:pPr>
        <w:pStyle w:val="EntradandiceSentencia"/>
      </w:pPr>
      <w:r>
        <w:t>Pleno. Sentencia 50/2012,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11643-2006.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SENTENCIA_2012_50 \h </w:instrText>
      </w:r>
      <w:r>
        <w:fldChar w:fldCharType="separate"/>
      </w:r>
      <w:r w:rsidR="00A6693A">
        <w:rPr>
          <w:noProof/>
        </w:rPr>
        <w:t>1046</w:t>
      </w:r>
      <w:r>
        <w:fldChar w:fldCharType="end"/>
      </w:r>
    </w:p>
    <w:p w:rsidR="00294D44" w:rsidRDefault="00294D44" w:rsidP="00294D44"/>
    <w:p w:rsidR="00294D44" w:rsidRDefault="00294D44" w:rsidP="00294D44">
      <w:pPr>
        <w:pStyle w:val="EntradandiceSentencia"/>
      </w:pPr>
      <w:r>
        <w:t>Pleno. Sentencia 51/2012,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1403-2007.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SENTENCIA_2012_51 \h </w:instrText>
      </w:r>
      <w:r>
        <w:fldChar w:fldCharType="separate"/>
      </w:r>
      <w:r w:rsidR="00A6693A">
        <w:rPr>
          <w:noProof/>
        </w:rPr>
        <w:t>1062</w:t>
      </w:r>
      <w:r>
        <w:fldChar w:fldCharType="end"/>
      </w:r>
    </w:p>
    <w:p w:rsidR="00294D44" w:rsidRDefault="00294D44" w:rsidP="00294D44"/>
    <w:p w:rsidR="00294D44" w:rsidRDefault="00294D44" w:rsidP="00294D44">
      <w:pPr>
        <w:pStyle w:val="EntradandiceSentencia"/>
      </w:pPr>
      <w:r>
        <w:t>Pleno. Sentencia 52/2012,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1582-2007.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SENTENCIA_2012_52 \h </w:instrText>
      </w:r>
      <w:r>
        <w:fldChar w:fldCharType="separate"/>
      </w:r>
      <w:r w:rsidR="00A6693A">
        <w:rPr>
          <w:noProof/>
        </w:rPr>
        <w:t>1083</w:t>
      </w:r>
      <w:r>
        <w:fldChar w:fldCharType="end"/>
      </w:r>
    </w:p>
    <w:p w:rsidR="00294D44" w:rsidRDefault="00294D44" w:rsidP="00294D44"/>
    <w:p w:rsidR="00294D44" w:rsidRDefault="00294D44" w:rsidP="00294D44">
      <w:pPr>
        <w:pStyle w:val="EntradandiceSentencia"/>
      </w:pPr>
      <w:r>
        <w:lastRenderedPageBreak/>
        <w:t>Pleno. Sentencia 53/2012,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3027-2007.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SENTENCIA_2012_53 \h </w:instrText>
      </w:r>
      <w:r>
        <w:fldChar w:fldCharType="separate"/>
      </w:r>
      <w:r w:rsidR="00A6693A">
        <w:rPr>
          <w:noProof/>
        </w:rPr>
        <w:t>1104</w:t>
      </w:r>
      <w:r>
        <w:fldChar w:fldCharType="end"/>
      </w:r>
    </w:p>
    <w:p w:rsidR="00294D44" w:rsidRDefault="00294D44" w:rsidP="00294D44"/>
    <w:p w:rsidR="00294D44" w:rsidRDefault="00294D44" w:rsidP="00294D44">
      <w:pPr>
        <w:pStyle w:val="EntradandiceSentencia"/>
      </w:pPr>
      <w:r>
        <w:t>Pleno. Sentencia 54/2012,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8620-2008.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SENTENCIA_2012_54 \h </w:instrText>
      </w:r>
      <w:r>
        <w:fldChar w:fldCharType="separate"/>
      </w:r>
      <w:r w:rsidR="00A6693A">
        <w:rPr>
          <w:noProof/>
        </w:rPr>
        <w:t>1121</w:t>
      </w:r>
      <w:r>
        <w:fldChar w:fldCharType="end"/>
      </w:r>
    </w:p>
    <w:p w:rsidR="00294D44" w:rsidRDefault="00294D44" w:rsidP="00294D44"/>
    <w:p w:rsidR="00294D44" w:rsidRDefault="00294D44" w:rsidP="00294D44">
      <w:pPr>
        <w:pStyle w:val="EntradandiceSentencia"/>
      </w:pPr>
      <w:r>
        <w:t>Pleno. Sentencia 55/2012,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362-2009.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SENTENCIA_2012_55 \h </w:instrText>
      </w:r>
      <w:r>
        <w:fldChar w:fldCharType="separate"/>
      </w:r>
      <w:r w:rsidR="00A6693A">
        <w:rPr>
          <w:noProof/>
        </w:rPr>
        <w:t>1138</w:t>
      </w:r>
      <w:r>
        <w:fldChar w:fldCharType="end"/>
      </w:r>
    </w:p>
    <w:p w:rsidR="00294D44" w:rsidRDefault="00294D44" w:rsidP="00294D44"/>
    <w:p w:rsidR="00294D44" w:rsidRDefault="00294D44" w:rsidP="00294D44">
      <w:pPr>
        <w:pStyle w:val="EntradandiceSentencia"/>
      </w:pPr>
      <w:r>
        <w:t>Pleno. Sentencia 56/2012,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4627-2009.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SENTENCIA_2012_56 \h </w:instrText>
      </w:r>
      <w:r>
        <w:fldChar w:fldCharType="separate"/>
      </w:r>
      <w:r w:rsidR="00A6693A">
        <w:rPr>
          <w:noProof/>
        </w:rPr>
        <w:t>1160</w:t>
      </w:r>
      <w:r>
        <w:fldChar w:fldCharType="end"/>
      </w:r>
    </w:p>
    <w:p w:rsidR="00294D44" w:rsidRDefault="00294D44" w:rsidP="00294D44"/>
    <w:p w:rsidR="00294D44" w:rsidRDefault="00294D44" w:rsidP="00294D44">
      <w:pPr>
        <w:pStyle w:val="EntradandiceSentencia"/>
      </w:pPr>
      <w:r>
        <w:lastRenderedPageBreak/>
        <w:t>Pleno. Sentencia 57/2012,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4793-2009. </w:t>
      </w:r>
      <w:r w:rsidRPr="00294D44">
        <w:rPr>
          <w:rStyle w:val="TextoNormalCursivaCaracter"/>
        </w:rPr>
        <w:t xml:space="preserve"> Vulneración de los derechos a la tutela judicial efectiva (intangibilidad) y a la libertad personal: resoluciones judiciales que desconocen lo anteriormente decidido con carácter firme acerca del criterio de cómputo de redenciones de penas privativas de libertad. Votos particulares.</w:t>
      </w:r>
      <w:r>
        <w:tab/>
      </w:r>
      <w:r>
        <w:tab/>
      </w:r>
      <w:r>
        <w:fldChar w:fldCharType="begin"/>
      </w:r>
      <w:r>
        <w:instrText xml:space="preserve"> PAGEREF SENTENCIA_2012_57 \h </w:instrText>
      </w:r>
      <w:r>
        <w:fldChar w:fldCharType="separate"/>
      </w:r>
      <w:r w:rsidR="00A6693A">
        <w:rPr>
          <w:noProof/>
        </w:rPr>
        <w:t>1179</w:t>
      </w:r>
      <w:r>
        <w:fldChar w:fldCharType="end"/>
      </w:r>
    </w:p>
    <w:p w:rsidR="00294D44" w:rsidRDefault="00294D44" w:rsidP="00294D44"/>
    <w:p w:rsidR="00294D44" w:rsidRDefault="00294D44" w:rsidP="00294D44">
      <w:pPr>
        <w:pStyle w:val="EntradandiceSentencia"/>
      </w:pPr>
      <w:r>
        <w:t>Pleno. Sentencia 58/2012,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4795-2009. </w:t>
      </w:r>
      <w:r w:rsidRPr="00294D44">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w:t>
      </w:r>
      <w:r>
        <w:tab/>
      </w:r>
      <w:r>
        <w:tab/>
      </w:r>
      <w:r>
        <w:fldChar w:fldCharType="begin"/>
      </w:r>
      <w:r>
        <w:instrText xml:space="preserve"> PAGEREF SENTENCIA_2012_58 \h </w:instrText>
      </w:r>
      <w:r>
        <w:fldChar w:fldCharType="separate"/>
      </w:r>
      <w:r w:rsidR="00A6693A">
        <w:rPr>
          <w:noProof/>
        </w:rPr>
        <w:t>1199</w:t>
      </w:r>
      <w:r>
        <w:fldChar w:fldCharType="end"/>
      </w:r>
    </w:p>
    <w:p w:rsidR="00294D44" w:rsidRDefault="00294D44" w:rsidP="00294D44"/>
    <w:p w:rsidR="00294D44" w:rsidRDefault="00294D44" w:rsidP="00294D44">
      <w:pPr>
        <w:pStyle w:val="EntradandiceSentencia"/>
      </w:pPr>
      <w:r>
        <w:t>Pleno. Sentencia 59/2012,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6285-2009.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SENTENCIA_2012_59 \h </w:instrText>
      </w:r>
      <w:r>
        <w:fldChar w:fldCharType="separate"/>
      </w:r>
      <w:r w:rsidR="00A6693A">
        <w:rPr>
          <w:noProof/>
        </w:rPr>
        <w:t>1209</w:t>
      </w:r>
      <w:r>
        <w:fldChar w:fldCharType="end"/>
      </w:r>
    </w:p>
    <w:p w:rsidR="00294D44" w:rsidRDefault="00294D44" w:rsidP="00294D44"/>
    <w:p w:rsidR="00294D44" w:rsidRDefault="00294D44" w:rsidP="00294D44">
      <w:pPr>
        <w:pStyle w:val="EntradandiceSentencia"/>
      </w:pPr>
      <w:r>
        <w:t>Pleno. Sentencia 60/2012,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7468-2009. </w:t>
      </w:r>
      <w:r w:rsidRPr="00294D44">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w:t>
      </w:r>
      <w:r>
        <w:tab/>
      </w:r>
      <w:r>
        <w:tab/>
      </w:r>
      <w:r>
        <w:fldChar w:fldCharType="begin"/>
      </w:r>
      <w:r>
        <w:instrText xml:space="preserve"> PAGEREF SENTENCIA_2012_60 \h </w:instrText>
      </w:r>
      <w:r>
        <w:fldChar w:fldCharType="separate"/>
      </w:r>
      <w:r w:rsidR="00A6693A">
        <w:rPr>
          <w:noProof/>
        </w:rPr>
        <w:t>1221</w:t>
      </w:r>
      <w:r>
        <w:fldChar w:fldCharType="end"/>
      </w:r>
    </w:p>
    <w:p w:rsidR="00294D44" w:rsidRDefault="00294D44" w:rsidP="00294D44"/>
    <w:p w:rsidR="00294D44" w:rsidRDefault="00294D44" w:rsidP="00294D44">
      <w:pPr>
        <w:pStyle w:val="EntradandiceSentencia"/>
      </w:pPr>
      <w:r>
        <w:t>Pleno. Sentencia 61/2012,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7852-2009.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SENTENCIA_2012_61 \h </w:instrText>
      </w:r>
      <w:r>
        <w:fldChar w:fldCharType="separate"/>
      </w:r>
      <w:r w:rsidR="00A6693A">
        <w:rPr>
          <w:noProof/>
        </w:rPr>
        <w:t>1234</w:t>
      </w:r>
      <w:r>
        <w:fldChar w:fldCharType="end"/>
      </w:r>
    </w:p>
    <w:p w:rsidR="00294D44" w:rsidRDefault="00294D44" w:rsidP="00294D44"/>
    <w:p w:rsidR="00294D44" w:rsidRDefault="00294D44" w:rsidP="00294D44">
      <w:pPr>
        <w:pStyle w:val="EntradandiceSentencia"/>
      </w:pPr>
      <w:r>
        <w:t>Pleno. Sentencia 62/2012,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10651-2009. </w:t>
      </w:r>
      <w:r w:rsidRPr="00294D44">
        <w:rPr>
          <w:rStyle w:val="TextoNormalCursivaCaracter"/>
        </w:rPr>
        <w:t xml:space="preserve"> Vulneración del derecho a la tutela judicial efectiva (intangibilidad): modificación, sin mediar recurso legal, de resolución judicial firme que se pronunciaba sobre el criterio de cómputo de redenciones de pena privativa de libertad.</w:t>
      </w:r>
      <w:r>
        <w:tab/>
      </w:r>
      <w:r>
        <w:tab/>
      </w:r>
      <w:r>
        <w:fldChar w:fldCharType="begin"/>
      </w:r>
      <w:r>
        <w:instrText xml:space="preserve"> PAGEREF SENTENCIA_2012_62 \h </w:instrText>
      </w:r>
      <w:r>
        <w:fldChar w:fldCharType="separate"/>
      </w:r>
      <w:r w:rsidR="00A6693A">
        <w:rPr>
          <w:noProof/>
        </w:rPr>
        <w:t>1250</w:t>
      </w:r>
      <w:r>
        <w:fldChar w:fldCharType="end"/>
      </w:r>
    </w:p>
    <w:p w:rsidR="00294D44" w:rsidRDefault="00294D44" w:rsidP="00294D44"/>
    <w:p w:rsidR="00294D44" w:rsidRDefault="00294D44" w:rsidP="00294D44">
      <w:pPr>
        <w:pStyle w:val="EntradandiceSentencia"/>
      </w:pPr>
      <w:r>
        <w:t>Pleno. Sentencia 63/2012,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2251-2010. </w:t>
      </w:r>
      <w:r w:rsidRPr="00294D44">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w:t>
      </w:r>
      <w:r>
        <w:tab/>
      </w:r>
      <w:r>
        <w:tab/>
      </w:r>
      <w:r>
        <w:fldChar w:fldCharType="begin"/>
      </w:r>
      <w:r>
        <w:instrText xml:space="preserve"> PAGEREF SENTENCIA_2012_63 \h </w:instrText>
      </w:r>
      <w:r>
        <w:fldChar w:fldCharType="separate"/>
      </w:r>
      <w:r w:rsidR="00A6693A">
        <w:rPr>
          <w:noProof/>
        </w:rPr>
        <w:t>1264</w:t>
      </w:r>
      <w:r>
        <w:fldChar w:fldCharType="end"/>
      </w:r>
    </w:p>
    <w:p w:rsidR="00294D44" w:rsidRDefault="00294D44" w:rsidP="00294D44"/>
    <w:p w:rsidR="00294D44" w:rsidRDefault="00294D44" w:rsidP="00294D44">
      <w:pPr>
        <w:pStyle w:val="EntradandiceSentencia"/>
      </w:pPr>
      <w:r>
        <w:t>Pleno. Sentencia 64/2012,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2383-2010.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SENTENCIA_2012_64 \h </w:instrText>
      </w:r>
      <w:r>
        <w:fldChar w:fldCharType="separate"/>
      </w:r>
      <w:r w:rsidR="00A6693A">
        <w:rPr>
          <w:noProof/>
        </w:rPr>
        <w:t>1275</w:t>
      </w:r>
      <w:r>
        <w:fldChar w:fldCharType="end"/>
      </w:r>
    </w:p>
    <w:p w:rsidR="00294D44" w:rsidRDefault="00294D44" w:rsidP="00294D44"/>
    <w:p w:rsidR="00294D44" w:rsidRDefault="00294D44" w:rsidP="00294D44">
      <w:pPr>
        <w:pStyle w:val="EntradandiceSentencia"/>
      </w:pPr>
      <w:r>
        <w:t>Pleno. Sentencia 65/2012,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2516-2010.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SENTENCIA_2012_65 \h </w:instrText>
      </w:r>
      <w:r>
        <w:fldChar w:fldCharType="separate"/>
      </w:r>
      <w:r w:rsidR="00A6693A">
        <w:rPr>
          <w:noProof/>
        </w:rPr>
        <w:t>1294</w:t>
      </w:r>
      <w:r>
        <w:fldChar w:fldCharType="end"/>
      </w:r>
    </w:p>
    <w:p w:rsidR="00294D44" w:rsidRDefault="00294D44" w:rsidP="00294D44"/>
    <w:p w:rsidR="00294D44" w:rsidRDefault="00294D44" w:rsidP="00294D44">
      <w:pPr>
        <w:pStyle w:val="EntradandiceSentencia"/>
      </w:pPr>
      <w:r>
        <w:t>Pleno. Sentencia 66/2012,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4169-2010. </w:t>
      </w:r>
      <w:r w:rsidRPr="00294D44">
        <w:rPr>
          <w:rStyle w:val="TextoNormalCursivaCaracter"/>
        </w:rPr>
        <w:t xml:space="preserve"> Supuesta vulneración de los derechos a la igualdad en la aplicación de la ley,  libertad personal, tutela judicial efectiva (intan</w:t>
      </w:r>
      <w:r w:rsidRPr="00294D44">
        <w:rPr>
          <w:rStyle w:val="TextoNormalCursivaCaracter"/>
        </w:rPr>
        <w:lastRenderedPageBreak/>
        <w:t>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SENTENCIA_2012_66 \h </w:instrText>
      </w:r>
      <w:r>
        <w:fldChar w:fldCharType="separate"/>
      </w:r>
      <w:r w:rsidR="00A6693A">
        <w:rPr>
          <w:noProof/>
        </w:rPr>
        <w:t>1312</w:t>
      </w:r>
      <w:r>
        <w:fldChar w:fldCharType="end"/>
      </w:r>
    </w:p>
    <w:p w:rsidR="00294D44" w:rsidRDefault="00294D44" w:rsidP="00294D44"/>
    <w:p w:rsidR="00294D44" w:rsidRDefault="00294D44" w:rsidP="00294D44">
      <w:pPr>
        <w:pStyle w:val="EntradandiceSentencia"/>
      </w:pPr>
      <w:r>
        <w:t>Pleno. Sentencia 67/2012,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4514-2010.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r>
        <w:tab/>
      </w:r>
      <w:r>
        <w:tab/>
      </w:r>
      <w:r>
        <w:fldChar w:fldCharType="begin"/>
      </w:r>
      <w:r>
        <w:instrText xml:space="preserve"> PAGEREF SENTENCIA_2012_67 \h </w:instrText>
      </w:r>
      <w:r>
        <w:fldChar w:fldCharType="separate"/>
      </w:r>
      <w:r w:rsidR="00A6693A">
        <w:rPr>
          <w:noProof/>
        </w:rPr>
        <w:t>1330</w:t>
      </w:r>
      <w:r>
        <w:fldChar w:fldCharType="end"/>
      </w:r>
    </w:p>
    <w:p w:rsidR="00294D44" w:rsidRDefault="00294D44" w:rsidP="00294D44"/>
    <w:p w:rsidR="00294D44" w:rsidRDefault="00294D44" w:rsidP="00294D44">
      <w:pPr>
        <w:pStyle w:val="EntradandiceSentencia"/>
      </w:pPr>
      <w:r>
        <w:t>Pleno. Sentencia 68/2012,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5150-2010.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SENTENCIA_2012_68 \h </w:instrText>
      </w:r>
      <w:r>
        <w:fldChar w:fldCharType="separate"/>
      </w:r>
      <w:r w:rsidR="00A6693A">
        <w:rPr>
          <w:noProof/>
        </w:rPr>
        <w:t>1350</w:t>
      </w:r>
      <w:r>
        <w:fldChar w:fldCharType="end"/>
      </w:r>
    </w:p>
    <w:p w:rsidR="00294D44" w:rsidRDefault="00294D44" w:rsidP="00294D44"/>
    <w:p w:rsidR="00294D44" w:rsidRDefault="00294D44" w:rsidP="00294D44">
      <w:pPr>
        <w:pStyle w:val="EntradandiceSentencia"/>
      </w:pPr>
      <w:r>
        <w:t>Pleno. Sentencia 69/2012, de 29 de marzo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7861-2010.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SENTENCIA_2012_69 \h </w:instrText>
      </w:r>
      <w:r>
        <w:fldChar w:fldCharType="separate"/>
      </w:r>
      <w:r w:rsidR="00A6693A">
        <w:rPr>
          <w:noProof/>
        </w:rPr>
        <w:t>1364</w:t>
      </w:r>
      <w:r>
        <w:fldChar w:fldCharType="end"/>
      </w:r>
    </w:p>
    <w:p w:rsidR="00294D44" w:rsidRDefault="00294D44" w:rsidP="00294D44"/>
    <w:p w:rsidR="00294D44" w:rsidRDefault="00294D44" w:rsidP="00294D44">
      <w:pPr>
        <w:pStyle w:val="EntradandiceSentencia"/>
      </w:pPr>
      <w:r>
        <w:t>Sala Primera. Sentencia 70/2012,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9432-2006. </w:t>
      </w:r>
      <w:r w:rsidRPr="00294D44">
        <w:rPr>
          <w:rStyle w:val="TextoNormalCursivaCaracter"/>
        </w:rPr>
        <w:t xml:space="preserve"> Supuesta vulneración de los derechos a la tutela judicial efectiva, presunción de inocencia y legalidad sancionadora: aptitud de los recursos administrativos para reparar la indefensión padecida en el expediente sancionador (STC 59/2004); falta de identidad subjetiva que determina la </w:t>
      </w:r>
      <w:r w:rsidRPr="00294D44">
        <w:rPr>
          <w:rStyle w:val="TextoNormalCursivaCaracter"/>
        </w:rPr>
        <w:lastRenderedPageBreak/>
        <w:t>inexistencia de bis in idem; eficacia probatoria de las actas de inspección; falta de rango legal de la norma de complemento aplicada para integrar el tipo que no incide en el derecho a la legalidad sancionadora.</w:t>
      </w:r>
      <w:r>
        <w:tab/>
      </w:r>
      <w:r>
        <w:tab/>
      </w:r>
      <w:r>
        <w:fldChar w:fldCharType="begin"/>
      </w:r>
      <w:r>
        <w:instrText xml:space="preserve"> PAGEREF SENTENCIA_2012_70 \h </w:instrText>
      </w:r>
      <w:r>
        <w:fldChar w:fldCharType="separate"/>
      </w:r>
      <w:r w:rsidR="00A6693A">
        <w:rPr>
          <w:noProof/>
        </w:rPr>
        <w:t>1384</w:t>
      </w:r>
      <w:r>
        <w:fldChar w:fldCharType="end"/>
      </w:r>
    </w:p>
    <w:p w:rsidR="00294D44" w:rsidRDefault="00294D44" w:rsidP="00294D44"/>
    <w:p w:rsidR="00294D44" w:rsidRDefault="00294D44" w:rsidP="00294D44">
      <w:pPr>
        <w:pStyle w:val="EntradandiceSentencia"/>
      </w:pPr>
      <w:r>
        <w:t>Sala Primera. Sentencia 71/2012,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7601-2007. </w:t>
      </w:r>
      <w:r w:rsidRPr="00294D44">
        <w:rPr>
          <w:rStyle w:val="TextoNormalCursivaCaracter"/>
        </w:rPr>
        <w:t xml:space="preserve"> Competencia estatal para resolver el expediente sancionador al producirse la hipotética desventaja competitiva en la explotación de una línea de transporte internacional, de modo que la práctica restrictiva tendría incidencia supraautonómica (STC 208/1999). Voto particular.</w:t>
      </w:r>
      <w:r>
        <w:tab/>
      </w:r>
      <w:r>
        <w:tab/>
      </w:r>
      <w:r>
        <w:fldChar w:fldCharType="begin"/>
      </w:r>
      <w:r>
        <w:instrText xml:space="preserve"> PAGEREF SENTENCIA_2012_71 \h </w:instrText>
      </w:r>
      <w:r>
        <w:fldChar w:fldCharType="separate"/>
      </w:r>
      <w:r w:rsidR="00A6693A">
        <w:rPr>
          <w:noProof/>
        </w:rPr>
        <w:t>1399</w:t>
      </w:r>
      <w:r>
        <w:fldChar w:fldCharType="end"/>
      </w:r>
    </w:p>
    <w:p w:rsidR="00294D44" w:rsidRDefault="00294D44" w:rsidP="00294D44"/>
    <w:p w:rsidR="00294D44" w:rsidRDefault="00294D44" w:rsidP="00294D44">
      <w:pPr>
        <w:pStyle w:val="EntradandiceSentencia"/>
      </w:pPr>
      <w:r>
        <w:t>Sala Primera. Sentencia 72/2012,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1608-2008 . </w:t>
      </w:r>
      <w:r w:rsidRPr="00294D44">
        <w:rPr>
          <w:rStyle w:val="TextoNormalCursivaCaracter"/>
        </w:rPr>
        <w:t xml:space="preserve"> Competencias sobre ordenación general de la economía, vivienda y asistencia social: STC 36/2012. Voto particular.</w:t>
      </w:r>
      <w:r>
        <w:tab/>
      </w:r>
      <w:r>
        <w:tab/>
      </w:r>
      <w:r>
        <w:fldChar w:fldCharType="begin"/>
      </w:r>
      <w:r>
        <w:instrText xml:space="preserve"> PAGEREF SENTENCIA_2012_72 \h </w:instrText>
      </w:r>
      <w:r>
        <w:fldChar w:fldCharType="separate"/>
      </w:r>
      <w:r w:rsidR="00A6693A">
        <w:rPr>
          <w:noProof/>
        </w:rPr>
        <w:t>1417</w:t>
      </w:r>
      <w:r>
        <w:fldChar w:fldCharType="end"/>
      </w:r>
    </w:p>
    <w:p w:rsidR="00294D44" w:rsidRDefault="00294D44" w:rsidP="00294D44"/>
    <w:p w:rsidR="00294D44" w:rsidRDefault="00294D44" w:rsidP="00294D44">
      <w:pPr>
        <w:pStyle w:val="EntradandiceSentencia"/>
      </w:pPr>
      <w:r>
        <w:t>Sala Segunda. Sentencia 73/2012,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7045-2009 . </w:t>
      </w:r>
      <w:r w:rsidRPr="00294D44">
        <w:rPr>
          <w:rStyle w:val="TextoNormalCursivaCaracter"/>
        </w:rPr>
        <w:t xml:space="preserve"> Competencias sobre ordenación general de la economía, vivienda y asistencia social: nulidad de diversos preceptos reglamentarios que vulneran competencias autonómicas (STC 36/2012).</w:t>
      </w:r>
      <w:r>
        <w:tab/>
      </w:r>
      <w:r>
        <w:tab/>
      </w:r>
      <w:r>
        <w:fldChar w:fldCharType="begin"/>
      </w:r>
      <w:r>
        <w:instrText xml:space="preserve"> PAGEREF SENTENCIA_2012_73 \h </w:instrText>
      </w:r>
      <w:r>
        <w:fldChar w:fldCharType="separate"/>
      </w:r>
      <w:r w:rsidR="00A6693A">
        <w:rPr>
          <w:noProof/>
        </w:rPr>
        <w:t>1427</w:t>
      </w:r>
      <w:r>
        <w:fldChar w:fldCharType="end"/>
      </w:r>
    </w:p>
    <w:p w:rsidR="00294D44" w:rsidRDefault="00294D44" w:rsidP="00294D44"/>
    <w:p w:rsidR="00294D44" w:rsidRDefault="00294D44" w:rsidP="00294D44">
      <w:pPr>
        <w:pStyle w:val="EntradandiceSentencia"/>
      </w:pPr>
      <w:r>
        <w:t>Sala Primera. Sentencia 74/2012,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8879-2009, 9173-2009. </w:t>
      </w:r>
      <w:r w:rsidRPr="00294D44">
        <w:rPr>
          <w:rStyle w:val="TextoNormalCursivaCaracter"/>
        </w:rPr>
        <w:t xml:space="preserve"> Supuesta vulneración del derecho a la libre información: reportaje grabado con cámara oculta (STC 12/2012).</w:t>
      </w:r>
      <w:r>
        <w:tab/>
      </w:r>
      <w:r>
        <w:tab/>
      </w:r>
      <w:r>
        <w:fldChar w:fldCharType="begin"/>
      </w:r>
      <w:r>
        <w:instrText xml:space="preserve"> PAGEREF SENTENCIA_2012_74 \h </w:instrText>
      </w:r>
      <w:r>
        <w:fldChar w:fldCharType="separate"/>
      </w:r>
      <w:r w:rsidR="00A6693A">
        <w:rPr>
          <w:noProof/>
        </w:rPr>
        <w:t>1437</w:t>
      </w:r>
      <w:r>
        <w:fldChar w:fldCharType="end"/>
      </w:r>
    </w:p>
    <w:p w:rsidR="00294D44" w:rsidRDefault="00294D44" w:rsidP="00294D44"/>
    <w:p w:rsidR="00294D44" w:rsidRDefault="00294D44" w:rsidP="00294D44">
      <w:pPr>
        <w:pStyle w:val="EntradandiceSentencia"/>
      </w:pPr>
      <w:r>
        <w:t>Sala Primera. Sentencia 75/2012,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2948-2010. </w:t>
      </w:r>
      <w:r w:rsidRPr="00294D44">
        <w:rPr>
          <w:rStyle w:val="TextoNormalCursivaCaracter"/>
        </w:rPr>
        <w:t xml:space="preserve"> Principios de seguridad jurídica, independencia judicial y supremacía del Tribunal Constitucional en materia de garantías constitucionales: STC 37/2012. Voto particular.</w:t>
      </w:r>
      <w:r>
        <w:tab/>
      </w:r>
      <w:r>
        <w:tab/>
      </w:r>
      <w:r>
        <w:fldChar w:fldCharType="begin"/>
      </w:r>
      <w:r>
        <w:instrText xml:space="preserve"> PAGEREF SENTENCIA_2012_75 \h </w:instrText>
      </w:r>
      <w:r>
        <w:fldChar w:fldCharType="separate"/>
      </w:r>
      <w:r w:rsidR="00A6693A">
        <w:rPr>
          <w:noProof/>
        </w:rPr>
        <w:t>1443</w:t>
      </w:r>
      <w:r>
        <w:fldChar w:fldCharType="end"/>
      </w:r>
    </w:p>
    <w:p w:rsidR="00294D44" w:rsidRDefault="00294D44" w:rsidP="00294D44"/>
    <w:p w:rsidR="00294D44" w:rsidRDefault="00294D44" w:rsidP="00294D44">
      <w:pPr>
        <w:pStyle w:val="EntradandiceSentencia"/>
      </w:pPr>
      <w:r>
        <w:t>Sala Primera. Sentencia 76/2012,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3132-2010. </w:t>
      </w:r>
      <w:r w:rsidRPr="00294D44">
        <w:rPr>
          <w:rStyle w:val="TextoNormalCursivaCaracter"/>
        </w:rPr>
        <w:t xml:space="preserve"> Vulneración del derecho a la tutela judicial efectiva (acceso a la justicia): interpretación rigorista y desproporcionada del </w:t>
      </w:r>
      <w:r w:rsidRPr="00294D44">
        <w:rPr>
          <w:rStyle w:val="TextoNormalCursivaCaracter"/>
        </w:rPr>
        <w:lastRenderedPageBreak/>
        <w:t>art. 41.4 de la Ley de arbitraje que resulta incompatible con el derecho del recurrente a disponer en su integridad del plazo para la presentación de su demanda de nulidad del laudo.</w:t>
      </w:r>
      <w:r>
        <w:tab/>
      </w:r>
      <w:r>
        <w:tab/>
      </w:r>
      <w:r>
        <w:fldChar w:fldCharType="begin"/>
      </w:r>
      <w:r>
        <w:instrText xml:space="preserve"> PAGEREF SENTENCIA_2012_76 \h </w:instrText>
      </w:r>
      <w:r>
        <w:fldChar w:fldCharType="separate"/>
      </w:r>
      <w:r w:rsidR="00A6693A">
        <w:rPr>
          <w:noProof/>
        </w:rPr>
        <w:t>1456</w:t>
      </w:r>
      <w:r>
        <w:fldChar w:fldCharType="end"/>
      </w:r>
    </w:p>
    <w:p w:rsidR="00294D44" w:rsidRDefault="00294D44" w:rsidP="00294D44"/>
    <w:p w:rsidR="00294D44" w:rsidRDefault="00294D44" w:rsidP="00294D44">
      <w:pPr>
        <w:pStyle w:val="EntradandiceSentencia"/>
      </w:pPr>
      <w:r>
        <w:t>Sala Segunda. Sentencia 77/2012,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1171-2011 . </w:t>
      </w:r>
      <w:r w:rsidRPr="00294D44">
        <w:rPr>
          <w:rStyle w:val="TextoNormalCursivaCaracter"/>
        </w:rPr>
        <w:t xml:space="preserve"> Competencias sobre ordenación general de la economía, vivienda y asistencia social: nulidad de diversos preceptos reglamentarios que vulneran competencias autonómicas (STC 36/2012).</w:t>
      </w:r>
      <w:r>
        <w:tab/>
      </w:r>
      <w:r>
        <w:tab/>
      </w:r>
      <w:r>
        <w:fldChar w:fldCharType="begin"/>
      </w:r>
      <w:r>
        <w:instrText xml:space="preserve"> PAGEREF SENTENCIA_2012_77 \h </w:instrText>
      </w:r>
      <w:r>
        <w:fldChar w:fldCharType="separate"/>
      </w:r>
      <w:r w:rsidR="00A6693A">
        <w:rPr>
          <w:noProof/>
        </w:rPr>
        <w:t>1464</w:t>
      </w:r>
      <w:r>
        <w:fldChar w:fldCharType="end"/>
      </w:r>
    </w:p>
    <w:p w:rsidR="00294D44" w:rsidRDefault="00294D44" w:rsidP="00294D44"/>
    <w:p w:rsidR="00294D44" w:rsidRDefault="00294D44" w:rsidP="00294D44">
      <w:pPr>
        <w:pStyle w:val="EntradandiceSentencia"/>
      </w:pPr>
      <w:r>
        <w:t>Sala Segunda. Sentencia 78/2012, de 16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4362-2011 . </w:t>
      </w:r>
      <w:r w:rsidRPr="00294D44">
        <w:rPr>
          <w:rStyle w:val="TextoNormalCursivaCaracter"/>
        </w:rPr>
        <w:t xml:space="preserve"> Discriminación por razón de edad: nulidad del precepto legal que limita el otorgamiento de autorización para la apertura de nuevas oficinas de farmacia a los farmacéuticos mayores de sesenta y cinco años exclusivamente al supuesto de que no existan otras solicitudes (STC 63/2011).</w:t>
      </w:r>
      <w:r>
        <w:tab/>
      </w:r>
      <w:r>
        <w:tab/>
      </w:r>
      <w:r>
        <w:fldChar w:fldCharType="begin"/>
      </w:r>
      <w:r>
        <w:instrText xml:space="preserve"> PAGEREF SENTENCIA_2012_78 \h </w:instrText>
      </w:r>
      <w:r>
        <w:fldChar w:fldCharType="separate"/>
      </w:r>
      <w:r w:rsidR="00A6693A">
        <w:rPr>
          <w:noProof/>
        </w:rPr>
        <w:t>1474</w:t>
      </w:r>
      <w:r>
        <w:fldChar w:fldCharType="end"/>
      </w:r>
    </w:p>
    <w:p w:rsidR="00294D44" w:rsidRDefault="00294D44" w:rsidP="00294D44"/>
    <w:p w:rsidR="00294D44" w:rsidRDefault="00294D44" w:rsidP="00294D44">
      <w:pPr>
        <w:pStyle w:val="EntradandiceSentencia"/>
      </w:pPr>
      <w:r>
        <w:t>Pleno. Sentencia 79/2012, de 17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1389-2005. </w:t>
      </w:r>
      <w:r w:rsidRPr="00294D44">
        <w:rPr>
          <w:rStyle w:val="TextoNormalCursivaCaracter"/>
        </w:rPr>
        <w:t xml:space="preserve"> Derecho a la tutela judicial sin indefensión: constitucionalidad del precepto legal que supedita la tramitación de recursos presentados por personas jurídicas con ánimo de lucro sujetas al impuesto sobre sociedades y que superen una determinada facturación anual al abono de la tasa por el ejercicio de la potestad jurisdiccional en el orden civil (STC 20/2012).</w:t>
      </w:r>
      <w:r>
        <w:tab/>
      </w:r>
      <w:r>
        <w:tab/>
      </w:r>
      <w:r>
        <w:fldChar w:fldCharType="begin"/>
      </w:r>
      <w:r>
        <w:instrText xml:space="preserve"> PAGEREF SENTENCIA_2012_79 \h </w:instrText>
      </w:r>
      <w:r>
        <w:fldChar w:fldCharType="separate"/>
      </w:r>
      <w:r w:rsidR="00A6693A">
        <w:rPr>
          <w:noProof/>
        </w:rPr>
        <w:t>1489</w:t>
      </w:r>
      <w:r>
        <w:fldChar w:fldCharType="end"/>
      </w:r>
    </w:p>
    <w:p w:rsidR="00294D44" w:rsidRDefault="00294D44" w:rsidP="00294D44"/>
    <w:p w:rsidR="00294D44" w:rsidRDefault="00294D44" w:rsidP="00294D44">
      <w:pPr>
        <w:pStyle w:val="EntradandiceSentencia"/>
      </w:pPr>
      <w:r>
        <w:t>Pleno. Sentencia 80/2012,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4033-1998. </w:t>
      </w:r>
      <w:r w:rsidRPr="00294D44">
        <w:rPr>
          <w:rStyle w:val="TextoNormalCursivaCaracter"/>
        </w:rPr>
        <w:t xml:space="preserve"> Competencias sobre cultura, deporte y relaciones exteriores: interpretación del precepto legal que atribuye a las federaciones deportivas vascas la condición de representantes únicas del deporte federado vasco en el ámbito internacional. Votos particulares.</w:t>
      </w:r>
      <w:r>
        <w:tab/>
      </w:r>
      <w:r>
        <w:tab/>
      </w:r>
      <w:r>
        <w:fldChar w:fldCharType="begin"/>
      </w:r>
      <w:r>
        <w:instrText xml:space="preserve"> PAGEREF SENTENCIA_2012_80 \h </w:instrText>
      </w:r>
      <w:r>
        <w:fldChar w:fldCharType="separate"/>
      </w:r>
      <w:r w:rsidR="00A6693A">
        <w:rPr>
          <w:noProof/>
        </w:rPr>
        <w:t>1503</w:t>
      </w:r>
      <w:r>
        <w:fldChar w:fldCharType="end"/>
      </w:r>
    </w:p>
    <w:p w:rsidR="00294D44" w:rsidRDefault="00294D44" w:rsidP="00294D44"/>
    <w:p w:rsidR="00294D44" w:rsidRDefault="00294D44" w:rsidP="00294D44">
      <w:pPr>
        <w:pStyle w:val="EntradandiceSentencia"/>
      </w:pPr>
      <w:r>
        <w:t>Pleno. Sentencia 81/2012,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4569-2000. </w:t>
      </w:r>
      <w:r w:rsidRPr="00294D44">
        <w:rPr>
          <w:rStyle w:val="TextoNormalCursivaCaracter"/>
        </w:rPr>
        <w:t xml:space="preserve"> Competencias sobre régimen local y reserva de ley orgánica en relación con la regulación de las elecciones locales </w:t>
      </w:r>
      <w:r w:rsidRPr="00294D44">
        <w:rPr>
          <w:rStyle w:val="TextoNormalCursivaCaracter"/>
        </w:rPr>
        <w:lastRenderedPageBreak/>
        <w:t>y el derecho al ejercicio de los cargos públicos representativos: nulidad del precepto legal autonómico que impide la presentación de una moción de censura al alcalde durante los períodos electorales.  Voto particular.</w:t>
      </w:r>
      <w:r>
        <w:tab/>
      </w:r>
      <w:r>
        <w:tab/>
      </w:r>
      <w:r>
        <w:fldChar w:fldCharType="begin"/>
      </w:r>
      <w:r>
        <w:instrText xml:space="preserve"> PAGEREF SENTENCIA_2012_81 \h </w:instrText>
      </w:r>
      <w:r>
        <w:fldChar w:fldCharType="separate"/>
      </w:r>
      <w:r w:rsidR="00A6693A">
        <w:rPr>
          <w:noProof/>
        </w:rPr>
        <w:t>1537</w:t>
      </w:r>
      <w:r>
        <w:fldChar w:fldCharType="end"/>
      </w:r>
    </w:p>
    <w:p w:rsidR="00294D44" w:rsidRDefault="00294D44" w:rsidP="00294D44"/>
    <w:p w:rsidR="00294D44" w:rsidRDefault="00294D44" w:rsidP="00294D44">
      <w:pPr>
        <w:pStyle w:val="EntradandiceSentencia"/>
      </w:pPr>
      <w:r>
        <w:t>Pleno. Sentencia 82/2012,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2054-2001. </w:t>
      </w:r>
      <w:r w:rsidRPr="00294D44">
        <w:rPr>
          <w:rStyle w:val="TextoNormalCursivaCaracter"/>
        </w:rPr>
        <w:t xml:space="preserve"> Competencias sobre medio ambiente y defensa nacional: validez de la declaración de espacio natural protegido sin elaboración previa del plan de ordenación de los recursos naturales de la zona y cuyo efectos se difieren al cambio de uso del suelo ocupado por un polígono de tiro. Votos particulares.</w:t>
      </w:r>
      <w:r>
        <w:tab/>
      </w:r>
      <w:r>
        <w:tab/>
      </w:r>
      <w:r>
        <w:fldChar w:fldCharType="begin"/>
      </w:r>
      <w:r>
        <w:instrText xml:space="preserve"> PAGEREF SENTENCIA_2012_82 \h </w:instrText>
      </w:r>
      <w:r>
        <w:fldChar w:fldCharType="separate"/>
      </w:r>
      <w:r w:rsidR="00A6693A">
        <w:rPr>
          <w:noProof/>
        </w:rPr>
        <w:t>1558</w:t>
      </w:r>
      <w:r>
        <w:fldChar w:fldCharType="end"/>
      </w:r>
    </w:p>
    <w:p w:rsidR="00294D44" w:rsidRDefault="00294D44" w:rsidP="00294D44"/>
    <w:p w:rsidR="00294D44" w:rsidRDefault="00294D44" w:rsidP="00294D44">
      <w:pPr>
        <w:pStyle w:val="EntradandiceSentencia"/>
      </w:pPr>
      <w:r>
        <w:t>Pleno. Sentencia 83/2012,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1902-2002. </w:t>
      </w:r>
      <w:r w:rsidRPr="00294D44">
        <w:rPr>
          <w:rStyle w:val="TextoNormalCursivaCaracter"/>
        </w:rPr>
        <w:t xml:space="preserve"> Competencias en materia de juego: atribución al Estado de la competencia para autorizar los juegos que excedan los límites de una Comunidad Autónoma sin abarcar a la totalidad del territorio nacional (STC 35/2012).</w:t>
      </w:r>
      <w:r>
        <w:tab/>
      </w:r>
      <w:r>
        <w:tab/>
      </w:r>
      <w:r>
        <w:fldChar w:fldCharType="begin"/>
      </w:r>
      <w:r>
        <w:instrText xml:space="preserve"> PAGEREF SENTENCIA_2012_83 \h </w:instrText>
      </w:r>
      <w:r>
        <w:fldChar w:fldCharType="separate"/>
      </w:r>
      <w:r w:rsidR="00A6693A">
        <w:rPr>
          <w:noProof/>
        </w:rPr>
        <w:t>1581</w:t>
      </w:r>
      <w:r>
        <w:fldChar w:fldCharType="end"/>
      </w:r>
    </w:p>
    <w:p w:rsidR="00294D44" w:rsidRDefault="00294D44" w:rsidP="00294D44"/>
    <w:p w:rsidR="00294D44" w:rsidRDefault="00294D44" w:rsidP="00294D44">
      <w:pPr>
        <w:pStyle w:val="EntradandiceSentencia"/>
      </w:pPr>
      <w:r>
        <w:t>Pleno. Sentencia 84/2012,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3151-2003. </w:t>
      </w:r>
      <w:r w:rsidRPr="00294D44">
        <w:rPr>
          <w:rStyle w:val="TextoNormalCursivaCaracter"/>
        </w:rPr>
        <w:t xml:space="preserve"> Derecho a la tutela judicial efectiva en relación con el obligado cumplimiento de las resoluciones judiciales firmes: incorrecta formulación del juicio de relevancia al promoverse la cuestión de inconstitucionalidad respecto de un precepto de cuya validez no depende el fallo que deba dictarse en el recurso de suplicación.</w:t>
      </w:r>
      <w:r>
        <w:tab/>
      </w:r>
      <w:r>
        <w:tab/>
      </w:r>
      <w:r>
        <w:fldChar w:fldCharType="begin"/>
      </w:r>
      <w:r>
        <w:instrText xml:space="preserve"> PAGEREF SENTENCIA_2012_84 \h </w:instrText>
      </w:r>
      <w:r>
        <w:fldChar w:fldCharType="separate"/>
      </w:r>
      <w:r w:rsidR="00A6693A">
        <w:rPr>
          <w:noProof/>
        </w:rPr>
        <w:t>1589</w:t>
      </w:r>
      <w:r>
        <w:fldChar w:fldCharType="end"/>
      </w:r>
    </w:p>
    <w:p w:rsidR="00294D44" w:rsidRDefault="00294D44" w:rsidP="00294D44"/>
    <w:p w:rsidR="00294D44" w:rsidRDefault="00294D44" w:rsidP="00294D44">
      <w:pPr>
        <w:pStyle w:val="EntradandiceSentencia"/>
      </w:pPr>
      <w:r>
        <w:t>Pleno. Sentencia 85/2012,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1584-2005. </w:t>
      </w:r>
      <w:r w:rsidRPr="00294D44">
        <w:rPr>
          <w:rStyle w:val="TextoNormalCursivaCaracter"/>
        </w:rPr>
        <w:t xml:space="preserve"> Derecho a la tutela judicial sin indefensión: STC 79/2012 (constitucionalidad del precepto legal que supedita la tramitación de recursos presentados por personas jurídicas con ánimo de lucro sujetas al impuesto sobre sociedades y que superen una determinada facturación anual al abono de la tasa por el ejercicio de la potestad jurisdiccional en el orden civil).</w:t>
      </w:r>
      <w:r>
        <w:tab/>
      </w:r>
      <w:r>
        <w:tab/>
      </w:r>
      <w:r>
        <w:fldChar w:fldCharType="begin"/>
      </w:r>
      <w:r>
        <w:instrText xml:space="preserve"> PAGEREF SENTENCIA_2012_85 \h </w:instrText>
      </w:r>
      <w:r>
        <w:fldChar w:fldCharType="separate"/>
      </w:r>
      <w:r w:rsidR="00A6693A">
        <w:rPr>
          <w:noProof/>
        </w:rPr>
        <w:t>1603</w:t>
      </w:r>
      <w:r>
        <w:fldChar w:fldCharType="end"/>
      </w:r>
    </w:p>
    <w:p w:rsidR="00294D44" w:rsidRDefault="00294D44" w:rsidP="00294D44"/>
    <w:p w:rsidR="00294D44" w:rsidRDefault="00294D44" w:rsidP="00294D44">
      <w:pPr>
        <w:pStyle w:val="EntradandiceSentencia"/>
      </w:pPr>
      <w:r>
        <w:lastRenderedPageBreak/>
        <w:t>Pleno. Sentencia 86/2012,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3210-2005 . </w:t>
      </w:r>
      <w:r w:rsidRPr="00294D44">
        <w:rPr>
          <w:rStyle w:val="TextoNormalCursivaCaracter"/>
        </w:rPr>
        <w:t xml:space="preserve"> Competencias sobre horarios comerciales: desaparición parcial de objeto de la cuestión en relación con el precepto anulado por la STC 26/2012; inaplicabilidad del Derecho sobrevenido a las cuestiones de inconstitucionalidad (STC 184/2011).</w:t>
      </w:r>
      <w:r>
        <w:tab/>
      </w:r>
      <w:r>
        <w:tab/>
      </w:r>
      <w:r>
        <w:fldChar w:fldCharType="begin"/>
      </w:r>
      <w:r>
        <w:instrText xml:space="preserve"> PAGEREF SENTENCIA_2012_86 \h </w:instrText>
      </w:r>
      <w:r>
        <w:fldChar w:fldCharType="separate"/>
      </w:r>
      <w:r w:rsidR="00A6693A">
        <w:rPr>
          <w:noProof/>
        </w:rPr>
        <w:t>1611</w:t>
      </w:r>
      <w:r>
        <w:fldChar w:fldCharType="end"/>
      </w:r>
    </w:p>
    <w:p w:rsidR="00294D44" w:rsidRDefault="00294D44" w:rsidP="00294D44"/>
    <w:p w:rsidR="00294D44" w:rsidRDefault="00294D44" w:rsidP="00294D44">
      <w:pPr>
        <w:pStyle w:val="EntradandiceSentencia"/>
      </w:pPr>
      <w:r>
        <w:t>Pleno. Sentencia 87/2012, de 18 de abril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5053-2006. </w:t>
      </w:r>
      <w:r w:rsidRPr="00294D44">
        <w:rPr>
          <w:rStyle w:val="TextoNormalCursivaCaracter"/>
        </w:rPr>
        <w:t xml:space="preserve"> Competencias sobre igualdad básica, medio ambiente y ordenación del territorio: nulidad del precepto legal autonómico que determina limitaciones o servidumbres sobre los terrenos colindantes con el dominio público marítimo-terrestre.</w:t>
      </w:r>
      <w:r>
        <w:tab/>
      </w:r>
      <w:r>
        <w:tab/>
      </w:r>
      <w:r>
        <w:fldChar w:fldCharType="begin"/>
      </w:r>
      <w:r>
        <w:instrText xml:space="preserve"> PAGEREF SENTENCIA_2012_87 \h </w:instrText>
      </w:r>
      <w:r>
        <w:fldChar w:fldCharType="separate"/>
      </w:r>
      <w:r w:rsidR="00A6693A">
        <w:rPr>
          <w:noProof/>
        </w:rPr>
        <w:t>1622</w:t>
      </w:r>
      <w:r>
        <w:fldChar w:fldCharType="end"/>
      </w:r>
    </w:p>
    <w:p w:rsidR="00294D44" w:rsidRDefault="00294D44" w:rsidP="00294D44"/>
    <w:p w:rsidR="00294D44" w:rsidRDefault="00294D44" w:rsidP="00294D44">
      <w:pPr>
        <w:pStyle w:val="EntradandiceSentencia"/>
      </w:pPr>
      <w:r>
        <w:t>Sala Primera. Sentencia 88/2012,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Recurso de amparo 6976-2006. a trámite la solicitud de creación de una comisión no permanente de investigación.</w:t>
      </w:r>
      <w:r w:rsidRPr="00294D44">
        <w:rPr>
          <w:rStyle w:val="TextoNormalCursivaCaracter"/>
        </w:rPr>
        <w:t xml:space="preserve"> Vulneración del derecho al ejercicio del cargo parlamentario: rechazo de la creación de una comisión parlamentaria en un asunto de interés general que contraviene las previsiones del reglamento parlamentario.</w:t>
      </w:r>
      <w:r>
        <w:tab/>
      </w:r>
      <w:r>
        <w:tab/>
      </w:r>
      <w:r>
        <w:fldChar w:fldCharType="begin"/>
      </w:r>
      <w:r>
        <w:instrText xml:space="preserve"> PAGEREF SENTENCIA_2012_88 \h </w:instrText>
      </w:r>
      <w:r>
        <w:fldChar w:fldCharType="separate"/>
      </w:r>
      <w:r w:rsidR="00A6693A">
        <w:rPr>
          <w:noProof/>
        </w:rPr>
        <w:t>1643</w:t>
      </w:r>
      <w:r>
        <w:fldChar w:fldCharType="end"/>
      </w:r>
    </w:p>
    <w:p w:rsidR="00294D44" w:rsidRDefault="00294D44" w:rsidP="00294D44"/>
    <w:p w:rsidR="00294D44" w:rsidRDefault="00294D44" w:rsidP="00294D44">
      <w:pPr>
        <w:pStyle w:val="EntradandiceSentencia"/>
      </w:pPr>
      <w:r>
        <w:t>Sala Segunda. Sentencia 89/2012,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5854-2008. </w:t>
      </w:r>
      <w:r w:rsidRPr="00294D44">
        <w:rPr>
          <w:rStyle w:val="TextoNormalCursivaCaracter"/>
        </w:rPr>
        <w:t xml:space="preserve"> Competencias sobre cultura: convocatoria estatal de ayudas que vulnera las competencias de la Generalitat de Cataluña.</w:t>
      </w:r>
      <w:r>
        <w:tab/>
      </w:r>
      <w:r>
        <w:tab/>
      </w:r>
      <w:r>
        <w:fldChar w:fldCharType="begin"/>
      </w:r>
      <w:r>
        <w:instrText xml:space="preserve"> PAGEREF SENTENCIA_2012_89 \h </w:instrText>
      </w:r>
      <w:r>
        <w:fldChar w:fldCharType="separate"/>
      </w:r>
      <w:r w:rsidR="00A6693A">
        <w:rPr>
          <w:noProof/>
        </w:rPr>
        <w:t>1658</w:t>
      </w:r>
      <w:r>
        <w:fldChar w:fldCharType="end"/>
      </w:r>
    </w:p>
    <w:p w:rsidR="00294D44" w:rsidRDefault="00294D44" w:rsidP="00294D44"/>
    <w:p w:rsidR="00294D44" w:rsidRDefault="00294D44" w:rsidP="00294D44">
      <w:pPr>
        <w:pStyle w:val="EntradandiceSentencia"/>
      </w:pPr>
      <w:r>
        <w:t>Sala Primera. Sentencia 90/2012,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7209-2009. </w:t>
      </w:r>
      <w:r w:rsidRPr="00294D44">
        <w:rPr>
          <w:rStyle w:val="TextoNormalCursivaCaracter"/>
        </w:rPr>
        <w:t xml:space="preserve"> Vulneración del derecho a la legalidad sancionadora: subsunción de los hechos en un ilícito administrativo tipificado por la Ley de la viña y del vino no aplicable en Castilla y León al no tener carácter básico.</w:t>
      </w:r>
      <w:r>
        <w:tab/>
      </w:r>
      <w:r>
        <w:tab/>
      </w:r>
      <w:r>
        <w:fldChar w:fldCharType="begin"/>
      </w:r>
      <w:r>
        <w:instrText xml:space="preserve"> PAGEREF SENTENCIA_2012_90 \h </w:instrText>
      </w:r>
      <w:r>
        <w:fldChar w:fldCharType="separate"/>
      </w:r>
      <w:r w:rsidR="00A6693A">
        <w:rPr>
          <w:noProof/>
        </w:rPr>
        <w:t>1683</w:t>
      </w:r>
      <w:r>
        <w:fldChar w:fldCharType="end"/>
      </w:r>
    </w:p>
    <w:p w:rsidR="00294D44" w:rsidRDefault="00294D44" w:rsidP="00294D44"/>
    <w:p w:rsidR="00294D44" w:rsidRDefault="00294D44" w:rsidP="00294D44">
      <w:pPr>
        <w:pStyle w:val="EntradandiceSentencia"/>
      </w:pPr>
      <w:r>
        <w:t>Sala Segunda. Sentencia 91/2012,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9690-2009. </w:t>
      </w:r>
      <w:r w:rsidRPr="00294D44">
        <w:rPr>
          <w:rStyle w:val="TextoNormalCursivaCaracter"/>
        </w:rPr>
        <w:t xml:space="preserve"> Principios de seguridad jurídica, independencia judicial y supremacía del Tribunal Constitucional en materia de garantías constitucionales: STC 37/2012.</w:t>
      </w:r>
      <w:r>
        <w:tab/>
      </w:r>
      <w:r>
        <w:tab/>
      </w:r>
      <w:r>
        <w:fldChar w:fldCharType="begin"/>
      </w:r>
      <w:r>
        <w:instrText xml:space="preserve"> PAGEREF SENTENCIA_2012_91 \h </w:instrText>
      </w:r>
      <w:r>
        <w:fldChar w:fldCharType="separate"/>
      </w:r>
      <w:r w:rsidR="00A6693A">
        <w:rPr>
          <w:noProof/>
        </w:rPr>
        <w:t>1700</w:t>
      </w:r>
      <w:r>
        <w:fldChar w:fldCharType="end"/>
      </w:r>
    </w:p>
    <w:p w:rsidR="00294D44" w:rsidRDefault="00294D44" w:rsidP="00294D44"/>
    <w:p w:rsidR="00294D44" w:rsidRDefault="00294D44" w:rsidP="00294D44">
      <w:pPr>
        <w:pStyle w:val="EntradandiceSentencia"/>
      </w:pPr>
      <w:r>
        <w:t>Sala Primera. Sentencia 92/2012,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791-2010. </w:t>
      </w:r>
      <w:r w:rsidRPr="00294D44">
        <w:rPr>
          <w:rStyle w:val="TextoNormalCursivaCaracter"/>
        </w:rPr>
        <w:t xml:space="preserve"> Vulneración del derecho a la libertad personal: prolongación ilegítima de la privación de libertad al no abonarse, para el cumplimiento de la pena de prisión impuesta, parte del tiempo de la prisión preventiva acordada en la misma causa (STC 57/2008).</w:t>
      </w:r>
      <w:r>
        <w:tab/>
      </w:r>
      <w:r>
        <w:tab/>
      </w:r>
      <w:r>
        <w:fldChar w:fldCharType="begin"/>
      </w:r>
      <w:r>
        <w:instrText xml:space="preserve"> PAGEREF SENTENCIA_2012_92 \h </w:instrText>
      </w:r>
      <w:r>
        <w:fldChar w:fldCharType="separate"/>
      </w:r>
      <w:r w:rsidR="00A6693A">
        <w:rPr>
          <w:noProof/>
        </w:rPr>
        <w:t>1713</w:t>
      </w:r>
      <w:r>
        <w:fldChar w:fldCharType="end"/>
      </w:r>
    </w:p>
    <w:p w:rsidR="00294D44" w:rsidRDefault="00294D44" w:rsidP="00294D44"/>
    <w:p w:rsidR="00294D44" w:rsidRDefault="00294D44" w:rsidP="00294D44">
      <w:pPr>
        <w:pStyle w:val="EntradandiceSentencia"/>
      </w:pPr>
      <w:r>
        <w:t>Sala Primera. Sentencia 93/2012,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1473-2010. </w:t>
      </w:r>
      <w:r w:rsidRPr="00294D44">
        <w:rPr>
          <w:rStyle w:val="TextoNormalCursivaCaracter"/>
        </w:rPr>
        <w:t xml:space="preserve"> Principios de seguridad jurídica, independencia judicial y supremacía del Tribunal Constitucional en materia de garantías constitucionales: STC 37/2012. Voto particular.</w:t>
      </w:r>
      <w:r>
        <w:tab/>
      </w:r>
      <w:r>
        <w:tab/>
      </w:r>
      <w:r>
        <w:fldChar w:fldCharType="begin"/>
      </w:r>
      <w:r>
        <w:instrText xml:space="preserve"> PAGEREF SENTENCIA_2012_93 \h </w:instrText>
      </w:r>
      <w:r>
        <w:fldChar w:fldCharType="separate"/>
      </w:r>
      <w:r w:rsidR="00A6693A">
        <w:rPr>
          <w:noProof/>
        </w:rPr>
        <w:t>1727</w:t>
      </w:r>
      <w:r>
        <w:fldChar w:fldCharType="end"/>
      </w:r>
    </w:p>
    <w:p w:rsidR="00294D44" w:rsidRDefault="00294D44" w:rsidP="00294D44"/>
    <w:p w:rsidR="00294D44" w:rsidRDefault="00294D44" w:rsidP="00294D44">
      <w:pPr>
        <w:pStyle w:val="EntradandiceSentencia"/>
      </w:pPr>
      <w:r>
        <w:t>Sala Segunda. Sentencia 94/2012,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3215-2010. </w:t>
      </w:r>
      <w:r w:rsidRPr="00294D44">
        <w:rPr>
          <w:rStyle w:val="TextoNormalCursivaCaracter"/>
        </w:rPr>
        <w:t xml:space="preserve"> Principios de seguridad jurídica, independencia judicial y supremacía del Tribunal Constitucional en materia de garantías constitucionales: STC 37/2012.</w:t>
      </w:r>
      <w:r>
        <w:tab/>
      </w:r>
      <w:r>
        <w:tab/>
      </w:r>
      <w:r>
        <w:fldChar w:fldCharType="begin"/>
      </w:r>
      <w:r>
        <w:instrText xml:space="preserve"> PAGEREF SENTENCIA_2012_94 \h </w:instrText>
      </w:r>
      <w:r>
        <w:fldChar w:fldCharType="separate"/>
      </w:r>
      <w:r w:rsidR="00A6693A">
        <w:rPr>
          <w:noProof/>
        </w:rPr>
        <w:t>1738</w:t>
      </w:r>
      <w:r>
        <w:fldChar w:fldCharType="end"/>
      </w:r>
    </w:p>
    <w:p w:rsidR="00294D44" w:rsidRDefault="00294D44" w:rsidP="00294D44"/>
    <w:p w:rsidR="00294D44" w:rsidRDefault="00294D44" w:rsidP="00294D44">
      <w:pPr>
        <w:pStyle w:val="EntradandiceSentencia"/>
      </w:pPr>
      <w:r>
        <w:t>Sala Segunda. Sentencia 95/2012,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6377-2010. </w:t>
      </w:r>
      <w:r w:rsidRPr="00294D44">
        <w:rPr>
          <w:rStyle w:val="TextoNormalCursivaCaracter"/>
        </w:rPr>
        <w:t xml:space="preserve"> Vulneración del derecho a la libertad personal: detención preventiva que duró más del tiempo estrictamente necesario, e inadmisión a trámite de una petición de habeas corpus por razones de fondo (STC 165/2007).</w:t>
      </w:r>
      <w:r>
        <w:tab/>
      </w:r>
      <w:r>
        <w:tab/>
      </w:r>
      <w:r>
        <w:fldChar w:fldCharType="begin"/>
      </w:r>
      <w:r>
        <w:instrText xml:space="preserve"> PAGEREF SENTENCIA_2012_95 \h </w:instrText>
      </w:r>
      <w:r>
        <w:fldChar w:fldCharType="separate"/>
      </w:r>
      <w:r w:rsidR="00A6693A">
        <w:rPr>
          <w:noProof/>
        </w:rPr>
        <w:t>1751</w:t>
      </w:r>
      <w:r>
        <w:fldChar w:fldCharType="end"/>
      </w:r>
    </w:p>
    <w:p w:rsidR="00294D44" w:rsidRDefault="00294D44" w:rsidP="00294D44"/>
    <w:p w:rsidR="00294D44" w:rsidRDefault="00294D44" w:rsidP="00294D44">
      <w:pPr>
        <w:pStyle w:val="EntradandiceSentencia"/>
      </w:pPr>
      <w:r>
        <w:t>Sala Primera. Sentencia 96/2012,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8640-2010. </w:t>
      </w:r>
      <w:r w:rsidRPr="00294D44">
        <w:rPr>
          <w:rStyle w:val="TextoNormalCursivaCaracter"/>
        </w:rPr>
        <w:t xml:space="preserve"> Vulneración del derecho a la tutela judicial efectiva en relación con el derecho a la protección de datos de carácter personal: resolución judicial que ordena la entrega a una asociación de la relación circunstanciada de quienes hubieran contratado con la entidad bancaria determinados productos financieros.</w:t>
      </w:r>
      <w:r>
        <w:tab/>
      </w:r>
      <w:r>
        <w:tab/>
      </w:r>
      <w:r>
        <w:fldChar w:fldCharType="begin"/>
      </w:r>
      <w:r>
        <w:instrText xml:space="preserve"> PAGEREF SENTENCIA_2012_96 \h </w:instrText>
      </w:r>
      <w:r>
        <w:fldChar w:fldCharType="separate"/>
      </w:r>
      <w:r w:rsidR="00A6693A">
        <w:rPr>
          <w:noProof/>
        </w:rPr>
        <w:t>1764</w:t>
      </w:r>
      <w:r>
        <w:fldChar w:fldCharType="end"/>
      </w:r>
    </w:p>
    <w:p w:rsidR="00294D44" w:rsidRDefault="00294D44" w:rsidP="00294D44"/>
    <w:p w:rsidR="00294D44" w:rsidRDefault="00294D44" w:rsidP="00294D44">
      <w:pPr>
        <w:pStyle w:val="EntradandiceSentencia"/>
      </w:pPr>
      <w:r>
        <w:lastRenderedPageBreak/>
        <w:t>Sala Segunda. Sentencia 97/2012,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2525-2011. </w:t>
      </w:r>
      <w:r w:rsidRPr="00294D44">
        <w:rPr>
          <w:rStyle w:val="TextoNormalCursivaCaracter"/>
        </w:rPr>
        <w:t xml:space="preserve"> Vulneración del derecho a la tutela judicial sin indefensión: citación incursa en defectos formales y en la que no se informaba a la interesada de su condición de denunciada en el proceso.</w:t>
      </w:r>
      <w:r>
        <w:tab/>
      </w:r>
      <w:r>
        <w:tab/>
      </w:r>
      <w:r>
        <w:fldChar w:fldCharType="begin"/>
      </w:r>
      <w:r>
        <w:instrText xml:space="preserve"> PAGEREF SENTENCIA_2012_97 \h </w:instrText>
      </w:r>
      <w:r>
        <w:fldChar w:fldCharType="separate"/>
      </w:r>
      <w:r w:rsidR="00A6693A">
        <w:rPr>
          <w:noProof/>
        </w:rPr>
        <w:t>1793</w:t>
      </w:r>
      <w:r>
        <w:fldChar w:fldCharType="end"/>
      </w:r>
    </w:p>
    <w:p w:rsidR="00294D44" w:rsidRDefault="00294D44" w:rsidP="00294D44"/>
    <w:p w:rsidR="00294D44" w:rsidRDefault="00294D44" w:rsidP="00294D44">
      <w:pPr>
        <w:pStyle w:val="EntradandiceSentencia"/>
      </w:pPr>
      <w:r>
        <w:t>Sala Primera. Sentencia 98/2012, de 7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127-2012. </w:t>
      </w:r>
      <w:r w:rsidRPr="00294D44">
        <w:rPr>
          <w:rStyle w:val="TextoNormalCursivaCaracter"/>
        </w:rPr>
        <w:t xml:space="preserve"> Principios de seguridad jurídica, independencia judicial y supremacía del Tribunal Constitucional en materia de garantías constitucionales: STC 37/2012. Voto particular.</w:t>
      </w:r>
      <w:r>
        <w:tab/>
      </w:r>
      <w:r>
        <w:tab/>
      </w:r>
      <w:r>
        <w:fldChar w:fldCharType="begin"/>
      </w:r>
      <w:r>
        <w:instrText xml:space="preserve"> PAGEREF SENTENCIA_2012_98 \h </w:instrText>
      </w:r>
      <w:r>
        <w:fldChar w:fldCharType="separate"/>
      </w:r>
      <w:r w:rsidR="00A6693A">
        <w:rPr>
          <w:noProof/>
        </w:rPr>
        <w:t>1806</w:t>
      </w:r>
      <w:r>
        <w:fldChar w:fldCharType="end"/>
      </w:r>
    </w:p>
    <w:p w:rsidR="00294D44" w:rsidRDefault="00294D44" w:rsidP="00294D44"/>
    <w:p w:rsidR="00294D44" w:rsidRDefault="00294D44" w:rsidP="00294D44">
      <w:pPr>
        <w:pStyle w:val="EntradandiceSentencia"/>
      </w:pPr>
      <w:r>
        <w:t>Pleno. Sentencia 99/2012, de 8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3549-2001. </w:t>
      </w:r>
      <w:r w:rsidRPr="00294D44">
        <w:rPr>
          <w:rStyle w:val="TextoNormalCursivaCaracter"/>
        </w:rPr>
        <w:t xml:space="preserve"> Competencias sobre agricultura, ganadería y ordenación general de la economía: regulación de ayudas estructurales cofinanciadas con fondos de la Unión Europea; ejercicio adecuado de la competencia estatal (STC 13/1992).</w:t>
      </w:r>
      <w:r>
        <w:tab/>
      </w:r>
      <w:r>
        <w:tab/>
      </w:r>
      <w:r>
        <w:fldChar w:fldCharType="begin"/>
      </w:r>
      <w:r>
        <w:instrText xml:space="preserve"> PAGEREF SENTENCIA_2012_99 \h </w:instrText>
      </w:r>
      <w:r>
        <w:fldChar w:fldCharType="separate"/>
      </w:r>
      <w:r w:rsidR="00A6693A">
        <w:rPr>
          <w:noProof/>
        </w:rPr>
        <w:t>1817</w:t>
      </w:r>
      <w:r>
        <w:fldChar w:fldCharType="end"/>
      </w:r>
    </w:p>
    <w:p w:rsidR="00294D44" w:rsidRDefault="00294D44" w:rsidP="00294D44"/>
    <w:p w:rsidR="00294D44" w:rsidRDefault="00294D44" w:rsidP="00294D44">
      <w:pPr>
        <w:pStyle w:val="EntradandiceSentencia"/>
      </w:pPr>
      <w:r>
        <w:t>Pleno. Sentencia 100/2012, de 8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3741-2001. </w:t>
      </w:r>
      <w:r w:rsidRPr="00294D44">
        <w:rPr>
          <w:rStyle w:val="TextoNormalCursivaCaracter"/>
        </w:rPr>
        <w:t xml:space="preserve"> Principios de irretroactividad de las leyes, de legalidad en materia tributaria y de libertad de circulación de bienes y personas, límites a los decretos-leyes: validez de las disposiciones legales que someten a exacción tributaria la entrada de determinadas mercancías en Canarias.</w:t>
      </w:r>
      <w:r>
        <w:tab/>
      </w:r>
      <w:r>
        <w:tab/>
      </w:r>
      <w:r>
        <w:fldChar w:fldCharType="begin"/>
      </w:r>
      <w:r>
        <w:instrText xml:space="preserve"> PAGEREF SENTENCIA_2012_100 \h </w:instrText>
      </w:r>
      <w:r>
        <w:fldChar w:fldCharType="separate"/>
      </w:r>
      <w:r w:rsidR="00A6693A">
        <w:rPr>
          <w:noProof/>
        </w:rPr>
        <w:t>1837</w:t>
      </w:r>
      <w:r>
        <w:fldChar w:fldCharType="end"/>
      </w:r>
    </w:p>
    <w:p w:rsidR="00294D44" w:rsidRDefault="00294D44" w:rsidP="00294D44"/>
    <w:p w:rsidR="00294D44" w:rsidRDefault="00294D44" w:rsidP="00294D44">
      <w:pPr>
        <w:pStyle w:val="EntradandiceSentencia"/>
      </w:pPr>
      <w:r>
        <w:t>Pleno. Sentencia 101/2012, de 8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de inconstitucionalidad 4246-2001. </w:t>
      </w:r>
      <w:r w:rsidRPr="00294D44">
        <w:rPr>
          <w:rStyle w:val="TextoNormalCursivaCaracter"/>
        </w:rPr>
        <w:t xml:space="preserve"> Principio de seguridad jurídica, derecho a la legalidad penal: nulidad de la tipificación, excesivamente abierta e indefinida, del delito de caza y pesca no autorizada.</w:t>
      </w:r>
      <w:r>
        <w:tab/>
      </w:r>
      <w:r>
        <w:tab/>
      </w:r>
      <w:r>
        <w:fldChar w:fldCharType="begin"/>
      </w:r>
      <w:r>
        <w:instrText xml:space="preserve"> PAGEREF SENTENCIA_2012_101 \h </w:instrText>
      </w:r>
      <w:r>
        <w:fldChar w:fldCharType="separate"/>
      </w:r>
      <w:r w:rsidR="00A6693A">
        <w:rPr>
          <w:noProof/>
        </w:rPr>
        <w:t>1872</w:t>
      </w:r>
      <w:r>
        <w:fldChar w:fldCharType="end"/>
      </w:r>
    </w:p>
    <w:p w:rsidR="00294D44" w:rsidRDefault="00294D44" w:rsidP="00294D44"/>
    <w:p w:rsidR="00294D44" w:rsidRDefault="00294D44" w:rsidP="00294D44">
      <w:pPr>
        <w:pStyle w:val="EntradandiceSentencia"/>
      </w:pPr>
      <w:r>
        <w:t>Pleno. Sentencia 102/2012, de 8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1921-2002. </w:t>
      </w:r>
      <w:r w:rsidRPr="00294D44">
        <w:rPr>
          <w:rStyle w:val="TextoNormalCursivaCaracter"/>
        </w:rPr>
        <w:t xml:space="preserve"> Principios de seguridad jurídica, solidaridad y equilibrio interterritorial; interdicción de la arbitrariedad: validez de los preceptos que, incluidos en una ley de contenido heterogéneo, afectan a la regulación jurídica del trasvase Tajo-Segura.</w:t>
      </w:r>
      <w:r>
        <w:tab/>
      </w:r>
      <w:r>
        <w:tab/>
      </w:r>
      <w:r>
        <w:fldChar w:fldCharType="begin"/>
      </w:r>
      <w:r>
        <w:instrText xml:space="preserve"> PAGEREF SENTENCIA_2012_102 \h </w:instrText>
      </w:r>
      <w:r>
        <w:fldChar w:fldCharType="separate"/>
      </w:r>
      <w:r w:rsidR="00A6693A">
        <w:rPr>
          <w:noProof/>
        </w:rPr>
        <w:t>1882</w:t>
      </w:r>
      <w:r>
        <w:fldChar w:fldCharType="end"/>
      </w:r>
    </w:p>
    <w:p w:rsidR="00294D44" w:rsidRDefault="00294D44" w:rsidP="00294D44"/>
    <w:p w:rsidR="00294D44" w:rsidRDefault="00294D44" w:rsidP="00294D44">
      <w:pPr>
        <w:pStyle w:val="EntradandiceSentencia"/>
      </w:pPr>
      <w:r>
        <w:lastRenderedPageBreak/>
        <w:t>Pleno. Sentencia 103/2012, de 9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interna de inconstitucionalidad 605-2011. </w:t>
      </w:r>
      <w:r w:rsidRPr="00294D44">
        <w:rPr>
          <w:rStyle w:val="TextoNormalCursivaCaracter"/>
        </w:rPr>
        <w:t xml:space="preserve"> Derecho a la tutela judicial sin indefensión: constitucionalidad del precepto legal que supedita la tramitación de recursos presentados por personas jurídicas con ánimo de lucro sujetas al impuesto sobre sociedades y que superen una determinada facturación anual al abono de la tasa por el ejercicio de la potestad jurisdiccional en el orden civil (STC 20/2012).</w:t>
      </w:r>
      <w:r>
        <w:tab/>
      </w:r>
      <w:r>
        <w:tab/>
      </w:r>
      <w:r>
        <w:fldChar w:fldCharType="begin"/>
      </w:r>
      <w:r>
        <w:instrText xml:space="preserve"> PAGEREF SENTENCIA_2012_103 \h </w:instrText>
      </w:r>
      <w:r>
        <w:fldChar w:fldCharType="separate"/>
      </w:r>
      <w:r w:rsidR="00A6693A">
        <w:rPr>
          <w:noProof/>
        </w:rPr>
        <w:t>1899</w:t>
      </w:r>
      <w:r>
        <w:fldChar w:fldCharType="end"/>
      </w:r>
    </w:p>
    <w:p w:rsidR="00294D44" w:rsidRDefault="00294D44" w:rsidP="00294D44"/>
    <w:p w:rsidR="00294D44" w:rsidRDefault="00294D44" w:rsidP="00294D44">
      <w:pPr>
        <w:pStyle w:val="EntradandiceSentencia"/>
      </w:pPr>
      <w:r>
        <w:t>Pleno. Sentencia 104/2012, de 10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Cuestión interna de inconstitucionalidad 644-2011. </w:t>
      </w:r>
      <w:r w:rsidRPr="00294D44">
        <w:rPr>
          <w:rStyle w:val="TextoNormalCursivaCaracter"/>
        </w:rPr>
        <w:t xml:space="preserve"> Derecho a la tutela judicial sin indefensión: STC 103/2012.</w:t>
      </w:r>
      <w:r>
        <w:tab/>
      </w:r>
      <w:r>
        <w:tab/>
      </w:r>
      <w:r>
        <w:fldChar w:fldCharType="begin"/>
      </w:r>
      <w:r>
        <w:instrText xml:space="preserve"> PAGEREF SENTENCIA_2012_104 \h </w:instrText>
      </w:r>
      <w:r>
        <w:fldChar w:fldCharType="separate"/>
      </w:r>
      <w:r w:rsidR="00A6693A">
        <w:rPr>
          <w:noProof/>
        </w:rPr>
        <w:t>1908</w:t>
      </w:r>
      <w:r>
        <w:fldChar w:fldCharType="end"/>
      </w:r>
    </w:p>
    <w:p w:rsidR="00294D44" w:rsidRDefault="00294D44" w:rsidP="00294D44"/>
    <w:p w:rsidR="00294D44" w:rsidRDefault="00294D44" w:rsidP="00294D44">
      <w:pPr>
        <w:pStyle w:val="EntradandiceSentencia"/>
      </w:pPr>
      <w:r>
        <w:t>Sala Primera. Sentencia 105/2012, de 11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electoral 2551-2012, 2562-2012, 2548-2012. </w:t>
      </w:r>
      <w:r w:rsidRPr="00294D44">
        <w:rPr>
          <w:rStyle w:val="TextoNormalCursivaCaracter"/>
        </w:rPr>
        <w:t xml:space="preserve"> Vulneración de los derechos de sufragio activo y pasivo: improcedencia de una nueva convocatoria electoral al existir garantías estadísticas sólidas para concluir que el cómputo de los votos controvertidos no es determinante del resultado final de la elección. Voto particular.</w:t>
      </w:r>
      <w:r>
        <w:tab/>
      </w:r>
      <w:r>
        <w:tab/>
      </w:r>
      <w:r>
        <w:fldChar w:fldCharType="begin"/>
      </w:r>
      <w:r>
        <w:instrText xml:space="preserve"> PAGEREF SENTENCIA_2012_105 \h </w:instrText>
      </w:r>
      <w:r>
        <w:fldChar w:fldCharType="separate"/>
      </w:r>
      <w:r w:rsidR="00A6693A">
        <w:rPr>
          <w:noProof/>
        </w:rPr>
        <w:t>1916</w:t>
      </w:r>
      <w:r>
        <w:fldChar w:fldCharType="end"/>
      </w:r>
    </w:p>
    <w:p w:rsidR="00294D44" w:rsidRDefault="00294D44" w:rsidP="00294D44"/>
    <w:p w:rsidR="00294D44" w:rsidRDefault="00294D44" w:rsidP="00294D44">
      <w:pPr>
        <w:pStyle w:val="EntradandiceSentencia"/>
      </w:pPr>
      <w:r>
        <w:t>Sala Primera. Sentencia 106/2012, de 21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2689-2004. </w:t>
      </w:r>
      <w:r w:rsidRPr="00294D44">
        <w:rPr>
          <w:rStyle w:val="TextoNormalCursivaCaracter"/>
        </w:rPr>
        <w:t xml:space="preserve"> Supuesta vulneración de los derechos a la intimidad, inviolabilidad del domicilio y tutela judicial efectiva: registro de celda realizado de acuerdo con las previsiones establecidas por la normativa penitenciaria para los departamentos especiales y sin la presencia del recluso por razones de seguridad justificadas por el centro penitenciario.</w:t>
      </w:r>
      <w:r>
        <w:tab/>
      </w:r>
      <w:r>
        <w:tab/>
      </w:r>
      <w:r>
        <w:fldChar w:fldCharType="begin"/>
      </w:r>
      <w:r>
        <w:instrText xml:space="preserve"> PAGEREF SENTENCIA_2012_106 \h </w:instrText>
      </w:r>
      <w:r>
        <w:fldChar w:fldCharType="separate"/>
      </w:r>
      <w:r w:rsidR="00A6693A">
        <w:rPr>
          <w:noProof/>
        </w:rPr>
        <w:t>1965</w:t>
      </w:r>
      <w:r>
        <w:fldChar w:fldCharType="end"/>
      </w:r>
    </w:p>
    <w:p w:rsidR="00294D44" w:rsidRDefault="00294D44" w:rsidP="00294D44"/>
    <w:p w:rsidR="00294D44" w:rsidRDefault="00294D44" w:rsidP="00294D44">
      <w:pPr>
        <w:pStyle w:val="EntradandiceSentencia"/>
      </w:pPr>
      <w:r>
        <w:t>Sala Segunda. Sentencia 107/2012, de 21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10268-2009. </w:t>
      </w:r>
      <w:r w:rsidRPr="00294D44">
        <w:rPr>
          <w:rStyle w:val="TextoNormalCursivaCaracter"/>
        </w:rPr>
        <w:t xml:space="preserve"> Vulneración de los derechos al secreto de las comunicaciones, a un proceso con todas las garantías y a la presunción de inocencia: resolución sancionadora cuyo relato de hechos trae causa de la intervención administrativa de las comunicaciones dirigidas por un recluso al juez de vigilancia penitenciaria.</w:t>
      </w:r>
      <w:r>
        <w:tab/>
      </w:r>
      <w:r>
        <w:tab/>
      </w:r>
      <w:r>
        <w:fldChar w:fldCharType="begin"/>
      </w:r>
      <w:r>
        <w:instrText xml:space="preserve"> PAGEREF SENTENCIA_2012_107 \h </w:instrText>
      </w:r>
      <w:r>
        <w:fldChar w:fldCharType="separate"/>
      </w:r>
      <w:r w:rsidR="00A6693A">
        <w:rPr>
          <w:noProof/>
        </w:rPr>
        <w:t>1978</w:t>
      </w:r>
      <w:r>
        <w:fldChar w:fldCharType="end"/>
      </w:r>
    </w:p>
    <w:p w:rsidR="00294D44" w:rsidRDefault="00294D44" w:rsidP="00294D44"/>
    <w:p w:rsidR="00294D44" w:rsidRDefault="00294D44" w:rsidP="00294D44">
      <w:pPr>
        <w:pStyle w:val="EntradandiceSentencia"/>
      </w:pPr>
      <w:r>
        <w:lastRenderedPageBreak/>
        <w:t>Sala Segunda. Sentencia 108/2012, de 21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2281-2010.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w:t>
      </w:r>
      <w:r>
        <w:tab/>
      </w:r>
      <w:r>
        <w:tab/>
      </w:r>
      <w:r>
        <w:fldChar w:fldCharType="begin"/>
      </w:r>
      <w:r>
        <w:instrText xml:space="preserve"> PAGEREF SENTENCIA_2012_108 \h </w:instrText>
      </w:r>
      <w:r>
        <w:fldChar w:fldCharType="separate"/>
      </w:r>
      <w:r w:rsidR="00A6693A">
        <w:rPr>
          <w:noProof/>
        </w:rPr>
        <w:t>1993</w:t>
      </w:r>
      <w:r>
        <w:fldChar w:fldCharType="end"/>
      </w:r>
    </w:p>
    <w:p w:rsidR="00294D44" w:rsidRDefault="00294D44" w:rsidP="00294D44"/>
    <w:p w:rsidR="00294D44" w:rsidRDefault="00294D44" w:rsidP="00294D44">
      <w:pPr>
        <w:pStyle w:val="EntradandiceSentencia"/>
      </w:pPr>
      <w:r>
        <w:t>Sala Primera. Sentencia 109/2012, de 21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3757-2010. </w:t>
      </w:r>
      <w:r w:rsidRPr="00294D44">
        <w:rPr>
          <w:rStyle w:val="TextoNormalCursivaCaracter"/>
        </w:rPr>
        <w:t xml:space="preserve"> Vulneración del derecho a la legalidad sancionadora: subsunción de los hechos en un ilícito administrativo tipificado por la Ley de la viña y del vino no aplicable en Castilla y León al no tener carácter básico (STC 90/2012).</w:t>
      </w:r>
      <w:r>
        <w:tab/>
      </w:r>
      <w:r>
        <w:tab/>
      </w:r>
      <w:r>
        <w:fldChar w:fldCharType="begin"/>
      </w:r>
      <w:r>
        <w:instrText xml:space="preserve"> PAGEREF SENTENCIA_2012_109 \h </w:instrText>
      </w:r>
      <w:r>
        <w:fldChar w:fldCharType="separate"/>
      </w:r>
      <w:r w:rsidR="00A6693A">
        <w:rPr>
          <w:noProof/>
        </w:rPr>
        <w:t>2011</w:t>
      </w:r>
      <w:r>
        <w:fldChar w:fldCharType="end"/>
      </w:r>
    </w:p>
    <w:p w:rsidR="00294D44" w:rsidRDefault="00294D44" w:rsidP="00294D44"/>
    <w:p w:rsidR="00294D44" w:rsidRDefault="00294D44" w:rsidP="00294D44">
      <w:pPr>
        <w:pStyle w:val="EntradandiceSentencia"/>
      </w:pPr>
      <w:r>
        <w:t>Pleno. Sentencia 110/2012, de 23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4596-1999. </w:t>
      </w:r>
      <w:r w:rsidRPr="00294D44">
        <w:rPr>
          <w:rStyle w:val="TextoNormalCursivaCaracter"/>
        </w:rPr>
        <w:t xml:space="preserve"> Competencias sobre cultura, deporte y relaciones exteriores: interpretación del precepto legal que atribuye a las federaciones deportivas catalanas la representación del deporte correspondiente en los ámbitos supraautonómicos (STC 80/2012).</w:t>
      </w:r>
      <w:r>
        <w:tab/>
      </w:r>
      <w:r>
        <w:tab/>
      </w:r>
      <w:r>
        <w:fldChar w:fldCharType="begin"/>
      </w:r>
      <w:r>
        <w:instrText xml:space="preserve"> PAGEREF SENTENCIA_2012_110 \h </w:instrText>
      </w:r>
      <w:r>
        <w:fldChar w:fldCharType="separate"/>
      </w:r>
      <w:r w:rsidR="00A6693A">
        <w:rPr>
          <w:noProof/>
        </w:rPr>
        <w:t>2024</w:t>
      </w:r>
      <w:r>
        <w:fldChar w:fldCharType="end"/>
      </w:r>
    </w:p>
    <w:p w:rsidR="00294D44" w:rsidRDefault="00294D44" w:rsidP="00294D44"/>
    <w:p w:rsidR="00294D44" w:rsidRDefault="00294D44" w:rsidP="00294D44">
      <w:pPr>
        <w:pStyle w:val="EntradandiceSentencia"/>
      </w:pPr>
      <w:r>
        <w:t>Pleno. Sentencia 111/2012, de 24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4937-2002, 5305-2002. </w:t>
      </w:r>
      <w:r w:rsidRPr="00294D44">
        <w:rPr>
          <w:rStyle w:val="TextoNormalCursivaCaracter"/>
        </w:rPr>
        <w:t xml:space="preserve"> Competencias sobre condiciones básicas de igualdad, trabajo y relaciones laborales y educación: nulidad de la reserva al Estado del desarrollo exclusivo de diversas previsiones legales.</w:t>
      </w:r>
      <w:r>
        <w:tab/>
      </w:r>
      <w:r>
        <w:tab/>
      </w:r>
      <w:r>
        <w:fldChar w:fldCharType="begin"/>
      </w:r>
      <w:r>
        <w:instrText xml:space="preserve"> PAGEREF SENTENCIA_2012_111 \h </w:instrText>
      </w:r>
      <w:r>
        <w:fldChar w:fldCharType="separate"/>
      </w:r>
      <w:r w:rsidR="00A6693A">
        <w:rPr>
          <w:noProof/>
        </w:rPr>
        <w:t>2048</w:t>
      </w:r>
      <w:r>
        <w:fldChar w:fldCharType="end"/>
      </w:r>
    </w:p>
    <w:p w:rsidR="00294D44" w:rsidRDefault="00294D44" w:rsidP="00294D44"/>
    <w:p w:rsidR="00294D44" w:rsidRDefault="00294D44" w:rsidP="00294D44">
      <w:pPr>
        <w:pStyle w:val="EntradandiceSentencia"/>
      </w:pPr>
      <w:r>
        <w:t>Pleno. Sentencia 112/2012, de 24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3280-2006. </w:t>
      </w:r>
      <w:r w:rsidRPr="00294D44">
        <w:rPr>
          <w:rStyle w:val="TextoNormalCursivaCaracter"/>
        </w:rPr>
        <w:t xml:space="preserve"> Competencias sobre carreteras: actuaciones autonómicas que vulneran las competencias estatales al versar sobre vías integradas en la red de carreteras del Estado.</w:t>
      </w:r>
      <w:r>
        <w:tab/>
      </w:r>
      <w:r>
        <w:tab/>
      </w:r>
      <w:r>
        <w:fldChar w:fldCharType="begin"/>
      </w:r>
      <w:r>
        <w:instrText xml:space="preserve"> PAGEREF SENTENCIA_2012_112 \h </w:instrText>
      </w:r>
      <w:r>
        <w:fldChar w:fldCharType="separate"/>
      </w:r>
      <w:r w:rsidR="00A6693A">
        <w:rPr>
          <w:noProof/>
        </w:rPr>
        <w:t>2101</w:t>
      </w:r>
      <w:r>
        <w:fldChar w:fldCharType="end"/>
      </w:r>
    </w:p>
    <w:p w:rsidR="00294D44" w:rsidRDefault="00294D44" w:rsidP="00294D44"/>
    <w:p w:rsidR="00294D44" w:rsidRDefault="00294D44" w:rsidP="00294D44">
      <w:pPr>
        <w:pStyle w:val="EntradandiceSentencia"/>
      </w:pPr>
      <w:r>
        <w:t>Pleno. Sentencia 113/2012, de 24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526-2007. </w:t>
      </w:r>
      <w:r w:rsidRPr="00294D44">
        <w:rPr>
          <w:rStyle w:val="TextoNormalCursivaCaracter"/>
        </w:rPr>
        <w:t xml:space="preserve"> Vulneración de los derechos a la tutela judicial efectiva (intangibilidad) y a la libertad personal: resoluciones judiciales que </w:t>
      </w:r>
      <w:r w:rsidRPr="00294D44">
        <w:rPr>
          <w:rStyle w:val="TextoNormalCursivaCaracter"/>
        </w:rPr>
        <w:lastRenderedPageBreak/>
        <w:t>desconocen lo anteriormente decidido con carácter firme acerca del criterio de cómputo de redenciones de penas privativas de libertad. Votos particulares.</w:t>
      </w:r>
      <w:r>
        <w:tab/>
      </w:r>
      <w:r>
        <w:tab/>
      </w:r>
      <w:r>
        <w:fldChar w:fldCharType="begin"/>
      </w:r>
      <w:r>
        <w:instrText xml:space="preserve"> PAGEREF SENTENCIA_2012_113 \h </w:instrText>
      </w:r>
      <w:r>
        <w:fldChar w:fldCharType="separate"/>
      </w:r>
      <w:r w:rsidR="00A6693A">
        <w:rPr>
          <w:noProof/>
        </w:rPr>
        <w:t>2120</w:t>
      </w:r>
      <w:r>
        <w:fldChar w:fldCharType="end"/>
      </w:r>
    </w:p>
    <w:p w:rsidR="00294D44" w:rsidRDefault="00294D44" w:rsidP="00294D44"/>
    <w:p w:rsidR="00294D44" w:rsidRDefault="00294D44" w:rsidP="00294D44">
      <w:pPr>
        <w:pStyle w:val="EntradandiceSentencia"/>
      </w:pPr>
      <w:r>
        <w:t>Pleno. Sentencia 114/2012, de 24 de mayo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7325-2010. </w:t>
      </w:r>
      <w:r w:rsidRPr="00294D44">
        <w:rPr>
          <w:rStyle w:val="TextoNormalCursivaCaracter"/>
        </w:rPr>
        <w:t xml:space="preserve"> 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r>
        <w:tab/>
      </w:r>
      <w:r>
        <w:tab/>
      </w:r>
      <w:r>
        <w:fldChar w:fldCharType="begin"/>
      </w:r>
      <w:r>
        <w:instrText xml:space="preserve"> PAGEREF SENTENCIA_2012_114 \h </w:instrText>
      </w:r>
      <w:r>
        <w:fldChar w:fldCharType="separate"/>
      </w:r>
      <w:r w:rsidR="00A6693A">
        <w:rPr>
          <w:noProof/>
        </w:rPr>
        <w:t>2154</w:t>
      </w:r>
      <w:r>
        <w:fldChar w:fldCharType="end"/>
      </w:r>
    </w:p>
    <w:p w:rsidR="00294D44" w:rsidRDefault="00294D44" w:rsidP="00294D44"/>
    <w:p w:rsidR="00294D44" w:rsidRDefault="00294D44" w:rsidP="00294D44">
      <w:pPr>
        <w:pStyle w:val="EntradandiceSentencia"/>
      </w:pPr>
      <w:r>
        <w:t>Sala Segunda. Sentencia 115/2012, de 4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2223-2004. </w:t>
      </w:r>
      <w:r w:rsidRPr="00294D44">
        <w:rPr>
          <w:rStyle w:val="TextoNormalCursivaCaracter"/>
        </w:rPr>
        <w:t xml:space="preserve"> Supuesta vulneración del derecho a la tutela judicial efectiva (acceso al recurso): resoluciones judiciales que declaran desierto el recurso de apelación por impago de la tasa por el ejercicio de la potestad jurisdiccional en el orden civil tras haber dado la oportunidad de subsanar el defecto padecido (STC 20/2012).</w:t>
      </w:r>
      <w:r>
        <w:tab/>
      </w:r>
      <w:r>
        <w:tab/>
      </w:r>
      <w:r>
        <w:fldChar w:fldCharType="begin"/>
      </w:r>
      <w:r>
        <w:instrText xml:space="preserve"> PAGEREF SENTENCIA_2012_115 \h </w:instrText>
      </w:r>
      <w:r>
        <w:fldChar w:fldCharType="separate"/>
      </w:r>
      <w:r w:rsidR="00A6693A">
        <w:rPr>
          <w:noProof/>
        </w:rPr>
        <w:t>2168</w:t>
      </w:r>
      <w:r>
        <w:fldChar w:fldCharType="end"/>
      </w:r>
    </w:p>
    <w:p w:rsidR="00294D44" w:rsidRDefault="00294D44" w:rsidP="00294D44"/>
    <w:p w:rsidR="00294D44" w:rsidRDefault="00294D44" w:rsidP="00294D44">
      <w:pPr>
        <w:pStyle w:val="EntradandiceSentencia"/>
      </w:pPr>
      <w:r>
        <w:t>Sala Primera. Sentencia 116/2012, de 4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2689-2004. </w:t>
      </w:r>
      <w:r w:rsidRPr="00294D44">
        <w:rPr>
          <w:rStyle w:val="TextoNormalCursivaCaracter"/>
        </w:rPr>
        <w:t xml:space="preserve"> Supuesta vulneración del derecho a la tutela judicial efectiva: archivo del recurso contencioso-administrativo por impago de la tasa por el ejercicio de la potestad jurisdiccional en el orden contencioso-administrativo tras haber dado la oportunidad de subsanar el defecto padecido (STC 20/2012); inadmisión del recurso de apelación fundada en una causa legalmente prevista (STC 59/2003).</w:t>
      </w:r>
      <w:r>
        <w:tab/>
      </w:r>
      <w:r>
        <w:tab/>
      </w:r>
      <w:r>
        <w:fldChar w:fldCharType="begin"/>
      </w:r>
      <w:r>
        <w:instrText xml:space="preserve"> PAGEREF SENTENCIA_2012_116 \h </w:instrText>
      </w:r>
      <w:r>
        <w:fldChar w:fldCharType="separate"/>
      </w:r>
      <w:r w:rsidR="00A6693A">
        <w:rPr>
          <w:noProof/>
        </w:rPr>
        <w:t>2176</w:t>
      </w:r>
      <w:r>
        <w:fldChar w:fldCharType="end"/>
      </w:r>
    </w:p>
    <w:p w:rsidR="00294D44" w:rsidRDefault="00294D44" w:rsidP="00294D44"/>
    <w:p w:rsidR="00294D44" w:rsidRDefault="00294D44" w:rsidP="00294D44">
      <w:pPr>
        <w:pStyle w:val="EntradandiceSentencia"/>
      </w:pPr>
      <w:r>
        <w:t>Sala Segunda. Sentencia 117/2012, de 4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325-2007. </w:t>
      </w:r>
      <w:r w:rsidRPr="00294D44">
        <w:rPr>
          <w:rStyle w:val="TextoNormalCursivaCaracter"/>
        </w:rPr>
        <w:t xml:space="preserve"> Supuesta vulneración del derecho a participar en los asuntos públicos: negativa municipal a tener por constituido el grupo mixto que no influye en los derechos de ejercicio individual de los concejales (STC 20/2011).</w:t>
      </w:r>
      <w:r>
        <w:tab/>
      </w:r>
      <w:r>
        <w:tab/>
      </w:r>
      <w:r>
        <w:fldChar w:fldCharType="begin"/>
      </w:r>
      <w:r>
        <w:instrText xml:space="preserve"> PAGEREF SENTENCIA_2012_117 \h </w:instrText>
      </w:r>
      <w:r>
        <w:fldChar w:fldCharType="separate"/>
      </w:r>
      <w:r w:rsidR="00A6693A">
        <w:rPr>
          <w:noProof/>
        </w:rPr>
        <w:t>2188</w:t>
      </w:r>
      <w:r>
        <w:fldChar w:fldCharType="end"/>
      </w:r>
    </w:p>
    <w:p w:rsidR="00294D44" w:rsidRDefault="00294D44" w:rsidP="00294D44"/>
    <w:p w:rsidR="00294D44" w:rsidRDefault="00294D44" w:rsidP="00294D44">
      <w:pPr>
        <w:pStyle w:val="EntradandiceSentencia"/>
      </w:pPr>
      <w:r>
        <w:lastRenderedPageBreak/>
        <w:t>Sala Primera. Sentencia 118/2012, de 4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3045-2008. </w:t>
      </w:r>
      <w:r w:rsidRPr="00294D44">
        <w:rPr>
          <w:rStyle w:val="TextoNormalCursivaCaracter"/>
        </w:rPr>
        <w:t xml:space="preserve"> Supuesta vulneración de los derechos a la igualdad, la tutela judicial efectiva y la libertad sindical: acuerdos en materia de negociación colectiva y crédito horario respetuosos, respectivamente, con la competencia negociadora de todos los legitimados y con la existencia de una carga adicional de trabajo.</w:t>
      </w:r>
      <w:r>
        <w:tab/>
      </w:r>
      <w:r>
        <w:tab/>
      </w:r>
      <w:r>
        <w:fldChar w:fldCharType="begin"/>
      </w:r>
      <w:r>
        <w:instrText xml:space="preserve"> PAGEREF SENTENCIA_2012_118 \h </w:instrText>
      </w:r>
      <w:r>
        <w:fldChar w:fldCharType="separate"/>
      </w:r>
      <w:r w:rsidR="00A6693A">
        <w:rPr>
          <w:noProof/>
        </w:rPr>
        <w:t>2199</w:t>
      </w:r>
      <w:r>
        <w:fldChar w:fldCharType="end"/>
      </w:r>
    </w:p>
    <w:p w:rsidR="00294D44" w:rsidRDefault="00294D44" w:rsidP="00294D44"/>
    <w:p w:rsidR="00294D44" w:rsidRDefault="00294D44" w:rsidP="00294D44">
      <w:pPr>
        <w:pStyle w:val="EntradandiceSentencia"/>
      </w:pPr>
      <w:r>
        <w:t>Sala Primera. Sentencia 119/2012, de 4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6215-2008. </w:t>
      </w:r>
      <w:r w:rsidRPr="00294D44">
        <w:rPr>
          <w:rStyle w:val="TextoNormalCursivaCaracter"/>
        </w:rPr>
        <w:t xml:space="preserve"> Vulneración del derecho a la tutela judicial efectiva (resolución fundada en Derecho): mantenimiento de la subrogación forzosa declarada inconstitucional por la STC 128/1994.</w:t>
      </w:r>
      <w:r>
        <w:tab/>
      </w:r>
      <w:r>
        <w:tab/>
      </w:r>
      <w:r>
        <w:fldChar w:fldCharType="begin"/>
      </w:r>
      <w:r>
        <w:instrText xml:space="preserve"> PAGEREF SENTENCIA_2012_119 \h </w:instrText>
      </w:r>
      <w:r>
        <w:fldChar w:fldCharType="separate"/>
      </w:r>
      <w:r w:rsidR="00A6693A">
        <w:rPr>
          <w:noProof/>
        </w:rPr>
        <w:t>2217</w:t>
      </w:r>
      <w:r>
        <w:fldChar w:fldCharType="end"/>
      </w:r>
    </w:p>
    <w:p w:rsidR="00294D44" w:rsidRDefault="00294D44" w:rsidP="00294D44"/>
    <w:p w:rsidR="00294D44" w:rsidRDefault="00294D44" w:rsidP="00294D44">
      <w:pPr>
        <w:pStyle w:val="EntradandiceSentencia"/>
      </w:pPr>
      <w:r>
        <w:t>Pleno. Sentencia 120/2012, de 4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1291-1999. </w:t>
      </w:r>
      <w:r w:rsidRPr="00294D44">
        <w:rPr>
          <w:rStyle w:val="TextoNormalCursivaCaracter"/>
        </w:rPr>
        <w:t xml:space="preserve"> Competencias sobre régimen local, tutela financiera de las entidades locales, bases de ordenación del crédito y general de la economía y hacienda general: validez de las previsiones legales que atribuyen al Estado la potestad para autorizar tanto las operaciones de crédito a largo plazo que concierten los entes locales con entidades financieras no residentes en España, o que se realicen en moneda distinta de la nacional, como determinados escenarios de consolidación presupuestaria.</w:t>
      </w:r>
      <w:r>
        <w:tab/>
      </w:r>
      <w:r>
        <w:tab/>
      </w:r>
      <w:r>
        <w:fldChar w:fldCharType="begin"/>
      </w:r>
      <w:r>
        <w:instrText xml:space="preserve"> PAGEREF SENTENCIA_2012_120 \h </w:instrText>
      </w:r>
      <w:r>
        <w:fldChar w:fldCharType="separate"/>
      </w:r>
      <w:r w:rsidR="00A6693A">
        <w:rPr>
          <w:noProof/>
        </w:rPr>
        <w:t>2232</w:t>
      </w:r>
      <w:r>
        <w:fldChar w:fldCharType="end"/>
      </w:r>
    </w:p>
    <w:p w:rsidR="00294D44" w:rsidRDefault="00294D44" w:rsidP="00294D44"/>
    <w:p w:rsidR="00294D44" w:rsidRDefault="00294D44" w:rsidP="00294D44">
      <w:pPr>
        <w:pStyle w:val="EntradandiceSentencia"/>
      </w:pPr>
      <w:r>
        <w:t>Pleno. Sentencia 121/2012, de 5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en defensa de la autonomía local 460-2001. </w:t>
      </w:r>
      <w:r w:rsidRPr="00294D44">
        <w:rPr>
          <w:rStyle w:val="TextoNormalCursivaCaracter"/>
        </w:rPr>
        <w:t xml:space="preserve"> Representantes de los entes locales en los órganos rectores de las cajas de ahorro: preceptos legales que no vulneran la autonomía local constitucionalmente garantizada al introducir el principio de proporcionalidad para la designación de los representantes locales y de las entidades locales fundadoras de cajas de ahorro, y modificar el porcentaje de representación del Ayuntamiento de Gijón en la Caja de Ahorros de Asturias.</w:t>
      </w:r>
      <w:r>
        <w:tab/>
      </w:r>
      <w:r>
        <w:tab/>
      </w:r>
      <w:r>
        <w:fldChar w:fldCharType="begin"/>
      </w:r>
      <w:r>
        <w:instrText xml:space="preserve"> PAGEREF SENTENCIA_2012_121 \h </w:instrText>
      </w:r>
      <w:r>
        <w:fldChar w:fldCharType="separate"/>
      </w:r>
      <w:r w:rsidR="00A6693A">
        <w:rPr>
          <w:noProof/>
        </w:rPr>
        <w:t>2262</w:t>
      </w:r>
      <w:r>
        <w:fldChar w:fldCharType="end"/>
      </w:r>
    </w:p>
    <w:p w:rsidR="00294D44" w:rsidRDefault="00294D44" w:rsidP="00294D44"/>
    <w:p w:rsidR="00294D44" w:rsidRDefault="00294D44" w:rsidP="00294D44">
      <w:pPr>
        <w:pStyle w:val="EntradandiceSentencia"/>
      </w:pPr>
      <w:r>
        <w:t>Pleno. Sentencia 122/2012, de 5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1772-2001. </w:t>
      </w:r>
      <w:r w:rsidRPr="00294D44">
        <w:rPr>
          <w:rStyle w:val="TextoNormalCursivaCaracter"/>
        </w:rPr>
        <w:t xml:space="preserve"> Límites de la potestad tributaria de las Comunidades Autónomas: impuesto autonómico con finalidad extrafiscal y cuyo hecho imponible no coincide con el gravado por el impuesto sobre actividades económicas (STC 289/2000).</w:t>
      </w:r>
      <w:r>
        <w:tab/>
      </w:r>
      <w:r>
        <w:tab/>
      </w:r>
      <w:r>
        <w:fldChar w:fldCharType="begin"/>
      </w:r>
      <w:r>
        <w:instrText xml:space="preserve"> PAGEREF SENTENCIA_2012_122 \h </w:instrText>
      </w:r>
      <w:r>
        <w:fldChar w:fldCharType="separate"/>
      </w:r>
      <w:r w:rsidR="00A6693A">
        <w:rPr>
          <w:noProof/>
        </w:rPr>
        <w:t>2287</w:t>
      </w:r>
      <w:r>
        <w:fldChar w:fldCharType="end"/>
      </w:r>
    </w:p>
    <w:p w:rsidR="00294D44" w:rsidRDefault="00294D44" w:rsidP="00294D44"/>
    <w:p w:rsidR="00294D44" w:rsidRDefault="00294D44" w:rsidP="00294D44">
      <w:pPr>
        <w:pStyle w:val="EntradandiceSentencia"/>
      </w:pPr>
      <w:r>
        <w:lastRenderedPageBreak/>
        <w:t>Pleno. Sentencia 123/2012, de 5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7315-2005 . </w:t>
      </w:r>
      <w:r w:rsidRPr="00294D44">
        <w:rPr>
          <w:rStyle w:val="TextoNormalCursivaCaracter"/>
        </w:rPr>
        <w:t xml:space="preserve"> Competencias en materia de juego: validez de las disposiciones reglamentarias estatales (STC 32/2012).</w:t>
      </w:r>
      <w:r>
        <w:tab/>
      </w:r>
      <w:r>
        <w:tab/>
      </w:r>
      <w:r>
        <w:fldChar w:fldCharType="begin"/>
      </w:r>
      <w:r>
        <w:instrText xml:space="preserve"> PAGEREF SENTENCIA_2012_123 \h </w:instrText>
      </w:r>
      <w:r>
        <w:fldChar w:fldCharType="separate"/>
      </w:r>
      <w:r w:rsidR="00A6693A">
        <w:rPr>
          <w:noProof/>
        </w:rPr>
        <w:t>2308</w:t>
      </w:r>
      <w:r>
        <w:fldChar w:fldCharType="end"/>
      </w:r>
    </w:p>
    <w:p w:rsidR="00294D44" w:rsidRDefault="00294D44" w:rsidP="00294D44"/>
    <w:p w:rsidR="00294D44" w:rsidRDefault="00294D44" w:rsidP="00294D44">
      <w:pPr>
        <w:pStyle w:val="EntradandiceSentencia"/>
      </w:pPr>
      <w:r>
        <w:t>Pleno. Sentencia 124/2012, de 5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4572-2006. </w:t>
      </w:r>
      <w:r w:rsidRPr="00294D44">
        <w:rPr>
          <w:rStyle w:val="TextoNormalCursivaCaracter"/>
        </w:rPr>
        <w:t xml:space="preserve"> Competencias sobre carreteras: actuaciones autonómicas que vulneran las competencias estatales al versar sobre vías integradas en la red de carreteras del Estado (STC 112/2012).</w:t>
      </w:r>
      <w:r>
        <w:tab/>
      </w:r>
      <w:r>
        <w:tab/>
      </w:r>
      <w:r>
        <w:fldChar w:fldCharType="begin"/>
      </w:r>
      <w:r>
        <w:instrText xml:space="preserve"> PAGEREF SENTENCIA_2012_124 \h </w:instrText>
      </w:r>
      <w:r>
        <w:fldChar w:fldCharType="separate"/>
      </w:r>
      <w:r w:rsidR="00A6693A">
        <w:rPr>
          <w:noProof/>
        </w:rPr>
        <w:t>2323</w:t>
      </w:r>
      <w:r>
        <w:fldChar w:fldCharType="end"/>
      </w:r>
    </w:p>
    <w:p w:rsidR="00294D44" w:rsidRDefault="00294D44" w:rsidP="00294D44"/>
    <w:p w:rsidR="00294D44" w:rsidRDefault="00294D44" w:rsidP="00294D44">
      <w:pPr>
        <w:pStyle w:val="EntradandiceSentencia"/>
      </w:pPr>
      <w:r>
        <w:t>Sala Segunda. Sentencia 125/2012,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5583-2005. </w:t>
      </w:r>
      <w:r w:rsidRPr="00294D44">
        <w:rPr>
          <w:rStyle w:val="TextoNormalCursivaCaracter"/>
        </w:rPr>
        <w:t xml:space="preserve"> Vulneración del derecho a la tutela judicial efectiva (acceso al recurso): archivo del recurso de apelación civil por impago de la tasa por ejercicio de la potestad jurisdiccional sin brindar la oportunidad de subsanar el defecto padecido (SSTC 20/2012 y 79/2012).</w:t>
      </w:r>
      <w:r>
        <w:tab/>
      </w:r>
      <w:r>
        <w:tab/>
      </w:r>
      <w:r>
        <w:fldChar w:fldCharType="begin"/>
      </w:r>
      <w:r>
        <w:instrText xml:space="preserve"> PAGEREF SENTENCIA_2012_125 \h </w:instrText>
      </w:r>
      <w:r>
        <w:fldChar w:fldCharType="separate"/>
      </w:r>
      <w:r w:rsidR="00A6693A">
        <w:rPr>
          <w:noProof/>
        </w:rPr>
        <w:t>2332</w:t>
      </w:r>
      <w:r>
        <w:fldChar w:fldCharType="end"/>
      </w:r>
    </w:p>
    <w:p w:rsidR="00294D44" w:rsidRDefault="00294D44" w:rsidP="00294D44"/>
    <w:p w:rsidR="00294D44" w:rsidRDefault="00294D44" w:rsidP="00294D44">
      <w:pPr>
        <w:pStyle w:val="EntradandiceSentencia"/>
      </w:pPr>
      <w:r>
        <w:t>Sala Segunda. Sentencia 126/2012,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1714-2009. </w:t>
      </w:r>
      <w:r w:rsidRPr="00294D44">
        <w:rPr>
          <w:rStyle w:val="TextoNormalCursivaCaracter"/>
        </w:rPr>
        <w:t xml:space="preserve"> Vulneración de los derechos a un proceso con todas las garantías, a la defensa y a la presunción de inocencia: condena pronunciada en apelación sin haber celebrado vista pública (STC 167/2002); elemento subjetivo del injusto apreciado valorando las declaraciones de testigos.</w:t>
      </w:r>
      <w:r>
        <w:tab/>
      </w:r>
      <w:r>
        <w:tab/>
      </w:r>
      <w:r>
        <w:fldChar w:fldCharType="begin"/>
      </w:r>
      <w:r>
        <w:instrText xml:space="preserve"> PAGEREF SENTENCIA_2012_126 \h </w:instrText>
      </w:r>
      <w:r>
        <w:fldChar w:fldCharType="separate"/>
      </w:r>
      <w:r w:rsidR="00A6693A">
        <w:rPr>
          <w:noProof/>
        </w:rPr>
        <w:t>2339</w:t>
      </w:r>
      <w:r>
        <w:fldChar w:fldCharType="end"/>
      </w:r>
    </w:p>
    <w:p w:rsidR="00294D44" w:rsidRDefault="00294D44" w:rsidP="00294D44"/>
    <w:p w:rsidR="00294D44" w:rsidRDefault="00294D44" w:rsidP="00294D44">
      <w:pPr>
        <w:pStyle w:val="EntradandiceSentencia"/>
      </w:pPr>
      <w:r>
        <w:t>Sala Segunda. Sentencia 127/2012,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7210-2009. </w:t>
      </w:r>
      <w:r w:rsidRPr="00294D44">
        <w:rPr>
          <w:rStyle w:val="TextoNormalCursivaCaracter"/>
        </w:rPr>
        <w:t xml:space="preserve"> Vulneración del derecho a la legalidad sancionadora: subsunción de los hechos en un ilícito administrativo tipificado por la Ley de la viña y del vino no aplicable en Castilla y León al no tener carácter básico (STC 90/2012).</w:t>
      </w:r>
      <w:r>
        <w:tab/>
      </w:r>
      <w:r>
        <w:tab/>
      </w:r>
      <w:r>
        <w:fldChar w:fldCharType="begin"/>
      </w:r>
      <w:r>
        <w:instrText xml:space="preserve"> PAGEREF SENTENCIA_2012_127 \h </w:instrText>
      </w:r>
      <w:r>
        <w:fldChar w:fldCharType="separate"/>
      </w:r>
      <w:r w:rsidR="00A6693A">
        <w:rPr>
          <w:noProof/>
        </w:rPr>
        <w:t>2354</w:t>
      </w:r>
      <w:r>
        <w:fldChar w:fldCharType="end"/>
      </w:r>
    </w:p>
    <w:p w:rsidR="00294D44" w:rsidRDefault="00294D44" w:rsidP="00294D44"/>
    <w:p w:rsidR="00294D44" w:rsidRDefault="00294D44" w:rsidP="00294D44">
      <w:pPr>
        <w:pStyle w:val="EntradandiceSentencia"/>
      </w:pPr>
      <w:r>
        <w:t>Sala Segunda. Sentencia 128/2012,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438-2010. </w:t>
      </w:r>
      <w:r w:rsidRPr="00294D44">
        <w:rPr>
          <w:rStyle w:val="TextoNormalCursivaCaracter"/>
        </w:rPr>
        <w:t xml:space="preserve"> 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r>
        <w:tab/>
      </w:r>
      <w:r>
        <w:tab/>
      </w:r>
      <w:r>
        <w:fldChar w:fldCharType="begin"/>
      </w:r>
      <w:r>
        <w:instrText xml:space="preserve"> PAGEREF SENTENCIA_2012_128 \h </w:instrText>
      </w:r>
      <w:r>
        <w:fldChar w:fldCharType="separate"/>
      </w:r>
      <w:r w:rsidR="00A6693A">
        <w:rPr>
          <w:noProof/>
        </w:rPr>
        <w:t>2367</w:t>
      </w:r>
      <w:r>
        <w:fldChar w:fldCharType="end"/>
      </w:r>
    </w:p>
    <w:p w:rsidR="00294D44" w:rsidRDefault="00294D44" w:rsidP="00294D44"/>
    <w:p w:rsidR="00294D44" w:rsidRDefault="00294D44" w:rsidP="00294D44">
      <w:pPr>
        <w:pStyle w:val="EntradandiceSentencia"/>
      </w:pPr>
      <w:r>
        <w:lastRenderedPageBreak/>
        <w:t>Sala Primera. Sentencia 129/2012,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5510-2010. </w:t>
      </w:r>
      <w:r w:rsidRPr="00294D44">
        <w:rPr>
          <w:rStyle w:val="TextoNormalCursivaCaracter"/>
        </w:rPr>
        <w:t xml:space="preserve"> Vulneración del derecho a la tutela judicial efectiva (acceso al recurso legal): consignación del depósito para recurrir llevada a cabo en el trámite expresamente ofrecido al efecto por el órgano judicial, que posteriormente le niega validez.</w:t>
      </w:r>
      <w:r>
        <w:tab/>
      </w:r>
      <w:r>
        <w:tab/>
      </w:r>
      <w:r>
        <w:fldChar w:fldCharType="begin"/>
      </w:r>
      <w:r>
        <w:instrText xml:space="preserve"> PAGEREF SENTENCIA_2012_129 \h </w:instrText>
      </w:r>
      <w:r>
        <w:fldChar w:fldCharType="separate"/>
      </w:r>
      <w:r w:rsidR="00A6693A">
        <w:rPr>
          <w:noProof/>
        </w:rPr>
        <w:t>2375</w:t>
      </w:r>
      <w:r>
        <w:fldChar w:fldCharType="end"/>
      </w:r>
    </w:p>
    <w:p w:rsidR="00294D44" w:rsidRDefault="00294D44" w:rsidP="00294D44"/>
    <w:p w:rsidR="00294D44" w:rsidRDefault="00294D44" w:rsidP="00294D44">
      <w:pPr>
        <w:pStyle w:val="EntradandiceSentencia"/>
      </w:pPr>
      <w:r>
        <w:t>Sala Primera. Sentencia 130/2012,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5682-2010. </w:t>
      </w:r>
      <w:r w:rsidRPr="00294D44">
        <w:rPr>
          <w:rStyle w:val="TextoNormalCursivaCaracter"/>
        </w:rPr>
        <w:t xml:space="preserve"> Vulneración del derecho a la tutela judicial efectiva (acceso al recurso): consignación del depósito para recurrir llevada a cabo al percatarse el propio recurrente del incumplimiento del requisito, tácitamente consentida por el Juzgado que dictó la resolución objeto de impugnación, a la que con posterioridad se niega validez.</w:t>
      </w:r>
      <w:r>
        <w:tab/>
      </w:r>
      <w:r>
        <w:tab/>
      </w:r>
      <w:r>
        <w:fldChar w:fldCharType="begin"/>
      </w:r>
      <w:r>
        <w:instrText xml:space="preserve"> PAGEREF SENTENCIA_2012_130 \h </w:instrText>
      </w:r>
      <w:r>
        <w:fldChar w:fldCharType="separate"/>
      </w:r>
      <w:r w:rsidR="00A6693A">
        <w:rPr>
          <w:noProof/>
        </w:rPr>
        <w:t>2386</w:t>
      </w:r>
      <w:r>
        <w:fldChar w:fldCharType="end"/>
      </w:r>
    </w:p>
    <w:p w:rsidR="00294D44" w:rsidRDefault="00294D44" w:rsidP="00294D44"/>
    <w:p w:rsidR="00294D44" w:rsidRDefault="00294D44" w:rsidP="00294D44">
      <w:pPr>
        <w:pStyle w:val="EntradandiceSentencia"/>
      </w:pPr>
      <w:r>
        <w:t>Sala Segunda. Sentencia 131/2012, de 18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4865-2011. </w:t>
      </w:r>
      <w:r w:rsidRPr="00294D44">
        <w:rPr>
          <w:rStyle w:val="TextoNormalCursivaCaracter"/>
        </w:rPr>
        <w:t xml:space="preserve"> Vulneración del derecho a la tutela judicial efectiva en relación con el derecho a no ser sometido a torturas ni a tratos inhumanos o degradantes: investigación insuficiente de una denuncia de tortura o tratos inhumanos y degradantes que se dicen sufridos bajo custodia policial (STC 34/2008).</w:t>
      </w:r>
      <w:r>
        <w:tab/>
      </w:r>
      <w:r>
        <w:tab/>
      </w:r>
      <w:r>
        <w:fldChar w:fldCharType="begin"/>
      </w:r>
      <w:r>
        <w:instrText xml:space="preserve"> PAGEREF SENTENCIA_2012_131 \h </w:instrText>
      </w:r>
      <w:r>
        <w:fldChar w:fldCharType="separate"/>
      </w:r>
      <w:r w:rsidR="00A6693A">
        <w:rPr>
          <w:noProof/>
        </w:rPr>
        <w:t>2396</w:t>
      </w:r>
      <w:r>
        <w:fldChar w:fldCharType="end"/>
      </w:r>
    </w:p>
    <w:p w:rsidR="00294D44" w:rsidRDefault="00294D44" w:rsidP="00294D44"/>
    <w:p w:rsidR="00294D44" w:rsidRDefault="00294D44" w:rsidP="00294D44">
      <w:pPr>
        <w:pStyle w:val="EntradandiceSentencia"/>
      </w:pPr>
      <w:r>
        <w:t>Pleno. Sentencia 132/2012, de 19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6433-2000. </w:t>
      </w:r>
      <w:r w:rsidRPr="00294D44">
        <w:rPr>
          <w:rStyle w:val="TextoNormalCursivaCaracter"/>
        </w:rPr>
        <w:t xml:space="preserve"> Competencias sobre régimen local; gobierno y administración de las islas: inconstitucionalidad del precepto legal autonómico que permite delegar en el presidente o en la comisión de gobierno el ejercicio de competencias reservadas por la legislación básica al pleno de las corporaciones locales; nulidad de la atribución a un consejero del cargo de secretario del consejo ejecutivo. Voto particular.</w:t>
      </w:r>
      <w:r>
        <w:tab/>
      </w:r>
      <w:r>
        <w:tab/>
      </w:r>
      <w:r>
        <w:fldChar w:fldCharType="begin"/>
      </w:r>
      <w:r>
        <w:instrText xml:space="preserve"> PAGEREF SENTENCIA_2012_132 \h </w:instrText>
      </w:r>
      <w:r>
        <w:fldChar w:fldCharType="separate"/>
      </w:r>
      <w:r w:rsidR="00A6693A">
        <w:rPr>
          <w:noProof/>
        </w:rPr>
        <w:t>2410</w:t>
      </w:r>
      <w:r>
        <w:fldChar w:fldCharType="end"/>
      </w:r>
    </w:p>
    <w:p w:rsidR="00294D44" w:rsidRDefault="00294D44" w:rsidP="00294D44"/>
    <w:p w:rsidR="00294D44" w:rsidRDefault="00294D44" w:rsidP="00294D44">
      <w:pPr>
        <w:pStyle w:val="EntradandiceSentencia"/>
      </w:pPr>
      <w:r>
        <w:t>Pleno. Sentencia 133/2012, de 19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3133-2006. </w:t>
      </w:r>
      <w:r w:rsidRPr="00294D44">
        <w:rPr>
          <w:rStyle w:val="TextoNormalCursivaCaracter"/>
        </w:rPr>
        <w:t xml:space="preserve"> Competencias en materia de juego: validez del reglamento estatal (STC 32/2012).</w:t>
      </w:r>
      <w:r>
        <w:tab/>
      </w:r>
      <w:r>
        <w:tab/>
      </w:r>
      <w:r>
        <w:fldChar w:fldCharType="begin"/>
      </w:r>
      <w:r>
        <w:instrText xml:space="preserve"> PAGEREF SENTENCIA_2012_133 \h </w:instrText>
      </w:r>
      <w:r>
        <w:fldChar w:fldCharType="separate"/>
      </w:r>
      <w:r w:rsidR="00A6693A">
        <w:rPr>
          <w:noProof/>
        </w:rPr>
        <w:t>2461</w:t>
      </w:r>
      <w:r>
        <w:fldChar w:fldCharType="end"/>
      </w:r>
    </w:p>
    <w:p w:rsidR="00294D44" w:rsidRDefault="00294D44" w:rsidP="00294D44"/>
    <w:p w:rsidR="00294D44" w:rsidRDefault="00294D44" w:rsidP="00294D44">
      <w:pPr>
        <w:pStyle w:val="EntradandiceSentencia"/>
      </w:pPr>
      <w:r>
        <w:lastRenderedPageBreak/>
        <w:t>Pleno. Sentencia 134/2012, de 19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Conflicto positivo de competencia 3134-2006. </w:t>
      </w:r>
      <w:r w:rsidRPr="00294D44">
        <w:rPr>
          <w:rStyle w:val="TextoNormalCursivaCaracter"/>
        </w:rPr>
        <w:t xml:space="preserve"> Competencias sobre juego: validez de los preceptos reglamentarios estatales (STC 32/2012).</w:t>
      </w:r>
      <w:r>
        <w:tab/>
      </w:r>
      <w:r>
        <w:tab/>
      </w:r>
      <w:r>
        <w:fldChar w:fldCharType="begin"/>
      </w:r>
      <w:r>
        <w:instrText xml:space="preserve"> PAGEREF SENTENCIA_2012_134 \h </w:instrText>
      </w:r>
      <w:r>
        <w:fldChar w:fldCharType="separate"/>
      </w:r>
      <w:r w:rsidR="00A6693A">
        <w:rPr>
          <w:noProof/>
        </w:rPr>
        <w:t>2471</w:t>
      </w:r>
      <w:r>
        <w:fldChar w:fldCharType="end"/>
      </w:r>
    </w:p>
    <w:p w:rsidR="00294D44" w:rsidRDefault="00294D44" w:rsidP="00294D44"/>
    <w:p w:rsidR="00294D44" w:rsidRDefault="00294D44" w:rsidP="00294D44">
      <w:pPr>
        <w:pStyle w:val="EntradandiceSentencia"/>
      </w:pPr>
      <w:r>
        <w:t>Pleno. Sentencia 135/2012, de 19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7745-2007. </w:t>
      </w:r>
      <w:r w:rsidRPr="00294D44">
        <w:rPr>
          <w:rStyle w:val="TextoNormalCursivaCaracter"/>
        </w:rPr>
        <w:t xml:space="preserve"> Competencias sobre ordenación general de la economía y bases del régimen energético; libertad de empresa y principio de interdicción de la arbitrariedad: validez del precepto legal según el cual las autorizaciones de construcción y explotación de instalaciones de distribución de gas natural han de otorgarse preferentemente a la empresa distribuidora de la zona, debiendo atenderse, en ausencia de ésta, a los principios de monopolio natural del transporte y la distribución, red única y realización al menor coste para el sistema gasista.</w:t>
      </w:r>
      <w:r>
        <w:tab/>
      </w:r>
      <w:r>
        <w:tab/>
      </w:r>
      <w:r>
        <w:fldChar w:fldCharType="begin"/>
      </w:r>
      <w:r>
        <w:instrText xml:space="preserve"> PAGEREF SENTENCIA_2012_135 \h </w:instrText>
      </w:r>
      <w:r>
        <w:fldChar w:fldCharType="separate"/>
      </w:r>
      <w:r w:rsidR="00A6693A">
        <w:rPr>
          <w:noProof/>
        </w:rPr>
        <w:t>2479</w:t>
      </w:r>
      <w:r>
        <w:fldChar w:fldCharType="end"/>
      </w:r>
    </w:p>
    <w:p w:rsidR="00294D44" w:rsidRDefault="00294D44" w:rsidP="00294D44"/>
    <w:p w:rsidR="00294D44" w:rsidRDefault="00294D44" w:rsidP="00294D44">
      <w:pPr>
        <w:pStyle w:val="EntradandiceSentencia"/>
      </w:pPr>
      <w:r>
        <w:t>Pleno. Sentencia 136/2012, de 19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2810-2009. </w:t>
      </w:r>
      <w:r w:rsidRPr="00294D44">
        <w:rPr>
          <w:rStyle w:val="TextoNormalCursivaCaracter"/>
        </w:rPr>
        <w:t xml:space="preserve"> Competencias sobre condiciones básicas de igualdad, bases y coordinación de la sanidad y Seguridad Social: nulidad de los preceptos legales que regulan la tasa autonómica por prestación de asistencia sanitaria y farmacéutica a los afiliados a diferentes mutualidades de funcionarios.</w:t>
      </w:r>
      <w:r>
        <w:tab/>
      </w:r>
      <w:r>
        <w:tab/>
      </w:r>
      <w:r>
        <w:fldChar w:fldCharType="begin"/>
      </w:r>
      <w:r>
        <w:instrText xml:space="preserve"> PAGEREF SENTENCIA_2012_136 \h </w:instrText>
      </w:r>
      <w:r>
        <w:fldChar w:fldCharType="separate"/>
      </w:r>
      <w:r w:rsidR="00A6693A">
        <w:rPr>
          <w:noProof/>
        </w:rPr>
        <w:t>2498</w:t>
      </w:r>
      <w:r>
        <w:fldChar w:fldCharType="end"/>
      </w:r>
    </w:p>
    <w:p w:rsidR="00294D44" w:rsidRDefault="00294D44" w:rsidP="00294D44"/>
    <w:p w:rsidR="00294D44" w:rsidRDefault="00294D44" w:rsidP="00294D44">
      <w:pPr>
        <w:pStyle w:val="EntradandiceSentencia"/>
      </w:pPr>
      <w:r>
        <w:t>Pleno. Sentencia 137/2012, de 19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inconstitucionalidad 3644-2009. </w:t>
      </w:r>
      <w:r w:rsidRPr="00294D44">
        <w:rPr>
          <w:rStyle w:val="TextoNormalCursivaCaracter"/>
        </w:rPr>
        <w:t xml:space="preserve"> Competencias sobre condiciones básicas de igualdad, legislación civil, medio ambiente y ordenación del territorio: nulidad del precepto legal autonómico que determina limitaciones o servidumbres sobre los terrenos colindantes con el dominio público marítimo-terrestre (STC 87/2012).</w:t>
      </w:r>
      <w:r>
        <w:tab/>
      </w:r>
      <w:r>
        <w:tab/>
      </w:r>
      <w:r>
        <w:fldChar w:fldCharType="begin"/>
      </w:r>
      <w:r>
        <w:instrText xml:space="preserve"> PAGEREF SENTENCIA_2012_137 \h </w:instrText>
      </w:r>
      <w:r>
        <w:fldChar w:fldCharType="separate"/>
      </w:r>
      <w:r w:rsidR="00A6693A">
        <w:rPr>
          <w:noProof/>
        </w:rPr>
        <w:t>2520</w:t>
      </w:r>
      <w:r>
        <w:fldChar w:fldCharType="end"/>
      </w:r>
    </w:p>
    <w:p w:rsidR="00294D44" w:rsidRDefault="00294D44" w:rsidP="00294D44"/>
    <w:p w:rsidR="00294D44" w:rsidRDefault="00294D44" w:rsidP="00294D44">
      <w:pPr>
        <w:pStyle w:val="EntradandiceSentencia"/>
      </w:pPr>
      <w:r>
        <w:t>Pleno. Sentencia 138/2012, de 20 de junio de 2012</w:t>
      </w:r>
    </w:p>
    <w:p w:rsidR="00294D44" w:rsidRDefault="00294D44" w:rsidP="00294D44">
      <w:pPr>
        <w:pStyle w:val="EntradandiceSentencia"/>
      </w:pPr>
    </w:p>
    <w:p w:rsidR="00294D44" w:rsidRDefault="00294D44" w:rsidP="00294D44">
      <w:pPr>
        <w:pStyle w:val="EntradaSumario"/>
      </w:pPr>
      <w:r w:rsidRPr="00294D44">
        <w:rPr>
          <w:rStyle w:val="TextoNormalCaracter"/>
        </w:rPr>
        <w:t xml:space="preserve">Recurso de amparo 2891-2011. </w:t>
      </w:r>
      <w:r w:rsidRPr="00294D44">
        <w:rPr>
          <w:rStyle w:val="TextoNormalCursivaCaracter"/>
        </w:rPr>
        <w:t xml:space="preserve"> Vulneración del derecho de asociación, en su vertiente de creación de partidos políticos: ausencia de elementos probatorios sólidos y cualificados que acrediten que el partido político que se pretende constituir viene a continuar o suceder la actividad de las formaciones políticas ilegalizadas y disueltas; relevancia en el momento inicial de los estatutos del nuevo partido político. Votos particulares.</w:t>
      </w:r>
      <w:r>
        <w:tab/>
      </w:r>
      <w:r>
        <w:tab/>
      </w:r>
      <w:r>
        <w:fldChar w:fldCharType="begin"/>
      </w:r>
      <w:r>
        <w:instrText xml:space="preserve"> PAGEREF SENTENCIA_2012_138 \h </w:instrText>
      </w:r>
      <w:r>
        <w:fldChar w:fldCharType="separate"/>
      </w:r>
      <w:r w:rsidR="00A6693A">
        <w:rPr>
          <w:noProof/>
        </w:rPr>
        <w:t>2536</w:t>
      </w:r>
      <w:r>
        <w:fldChar w:fldCharType="end"/>
      </w:r>
    </w:p>
    <w:p w:rsidR="00294D44" w:rsidRDefault="00294D44">
      <w:pPr>
        <w:spacing w:after="160" w:line="259" w:lineRule="auto"/>
      </w:pPr>
      <w:r>
        <w:br w:type="page"/>
      </w:r>
    </w:p>
    <w:p w:rsidR="00294D44" w:rsidRDefault="00294D44" w:rsidP="00294D44"/>
    <w:p w:rsidR="00294D44" w:rsidRDefault="00294D44" w:rsidP="00294D44"/>
    <w:p w:rsidR="00294D44" w:rsidRDefault="00294D44" w:rsidP="00294D44"/>
    <w:p w:rsidR="00294D44" w:rsidRDefault="00294D44" w:rsidP="00294D44">
      <w:pPr>
        <w:pStyle w:val="Ttulondice"/>
      </w:pPr>
      <w:bookmarkStart w:id="3" w:name="SUMARIOSAUTOS"/>
      <w:r>
        <w:t>2. AUTOS: ATC 1/2012 A ATC 135/2012</w:t>
      </w:r>
    </w:p>
    <w:bookmarkEnd w:id="3"/>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Ttulondice"/>
      </w:pPr>
    </w:p>
    <w:p w:rsidR="00294D44" w:rsidRDefault="00294D44" w:rsidP="00294D44">
      <w:pPr>
        <w:pStyle w:val="EntradandiceAuto"/>
      </w:pPr>
      <w:r>
        <w:t>Sección Primera. Auto 1/2012, de 11 de enero de 2012. Acuerda el desistimiento en el recurso de amparo 3840-2011, promovido en causa penal.</w:t>
      </w:r>
      <w:r>
        <w:tab/>
      </w:r>
      <w:r>
        <w:tab/>
      </w:r>
      <w:r>
        <w:fldChar w:fldCharType="begin"/>
      </w:r>
      <w:r>
        <w:instrText xml:space="preserve"> PAGEREF AUTO_2012_1 \h </w:instrText>
      </w:r>
      <w:r>
        <w:fldChar w:fldCharType="separate"/>
      </w:r>
      <w:r w:rsidR="00A6693A">
        <w:rPr>
          <w:noProof/>
        </w:rPr>
        <w:t>2615</w:t>
      </w:r>
      <w:r>
        <w:fldChar w:fldCharType="end"/>
      </w:r>
    </w:p>
    <w:p w:rsidR="00D06117" w:rsidRDefault="00D06117" w:rsidP="00294D44"/>
    <w:p w:rsidR="00294D44" w:rsidRDefault="00294D44" w:rsidP="00294D44">
      <w:pPr>
        <w:pStyle w:val="EntradandiceAuto"/>
      </w:pPr>
      <w:r>
        <w:t>Sección Primera. Auto 2/2012, de 11 de enero de 2012. Acuerda el desistimiento en el recurso de amparo 4096-2011, promovido en causa penal.</w:t>
      </w:r>
      <w:r>
        <w:tab/>
      </w:r>
      <w:r>
        <w:tab/>
      </w:r>
      <w:r>
        <w:fldChar w:fldCharType="begin"/>
      </w:r>
      <w:r>
        <w:instrText xml:space="preserve"> PAGEREF AUTO_2012_2 \h </w:instrText>
      </w:r>
      <w:r>
        <w:fldChar w:fldCharType="separate"/>
      </w:r>
      <w:r w:rsidR="00A6693A">
        <w:rPr>
          <w:noProof/>
        </w:rPr>
        <w:t>2616</w:t>
      </w:r>
      <w:r>
        <w:fldChar w:fldCharType="end"/>
      </w:r>
    </w:p>
    <w:p w:rsidR="00294D44" w:rsidRDefault="00294D44" w:rsidP="00294D44"/>
    <w:p w:rsidR="00294D44" w:rsidRDefault="00294D44" w:rsidP="00294D44">
      <w:pPr>
        <w:pStyle w:val="EntradandiceAuto"/>
      </w:pPr>
      <w:r>
        <w:t>Pleno. Auto 3/2012, de 13 de enero de 2012. Acuerda la extinción del conflicto en defensa de la autonomía local 3540-2003, planteado por once municipios de la conurbación de Barcelona en relación con el artículo 79 de la Ley del Parlamento de Cataluña 31/2002, de 30 de diciembre, de medidas fiscales y administrativas.</w:t>
      </w:r>
      <w:r>
        <w:tab/>
      </w:r>
      <w:r>
        <w:tab/>
      </w:r>
      <w:r>
        <w:fldChar w:fldCharType="begin"/>
      </w:r>
      <w:r>
        <w:instrText xml:space="preserve"> PAGEREF AUTO_2012_3 \h </w:instrText>
      </w:r>
      <w:r>
        <w:fldChar w:fldCharType="separate"/>
      </w:r>
      <w:r w:rsidR="00A6693A">
        <w:rPr>
          <w:noProof/>
        </w:rPr>
        <w:t>2617</w:t>
      </w:r>
      <w:r>
        <w:fldChar w:fldCharType="end"/>
      </w:r>
    </w:p>
    <w:p w:rsidR="00294D44" w:rsidRDefault="00294D44" w:rsidP="00294D44"/>
    <w:p w:rsidR="00294D44" w:rsidRDefault="00294D44" w:rsidP="00294D44">
      <w:pPr>
        <w:pStyle w:val="EntradandiceAuto"/>
      </w:pPr>
      <w:r>
        <w:t>Pleno. Auto 4/2012, de 13 de enero de 2012. Acuerda la extinción de la cuestión de inconstitucionalidad 5384-2003, planteada por el Juzgado de lo Contencioso-Administrativo núm. 1 de Las Palmas de Gran Canaria en relación con la disposición transitoria segunda de la Ley del Parlamento de Canarias 6/1997, de 4 de julio, de coordinación de policías locales.</w:t>
      </w:r>
      <w:r>
        <w:tab/>
      </w:r>
      <w:r>
        <w:tab/>
      </w:r>
      <w:r>
        <w:fldChar w:fldCharType="begin"/>
      </w:r>
      <w:r>
        <w:instrText xml:space="preserve"> PAGEREF AUTO_2012_4 \h </w:instrText>
      </w:r>
      <w:r>
        <w:fldChar w:fldCharType="separate"/>
      </w:r>
      <w:r w:rsidR="00A6693A">
        <w:rPr>
          <w:noProof/>
        </w:rPr>
        <w:t>2625</w:t>
      </w:r>
      <w:r>
        <w:fldChar w:fldCharType="end"/>
      </w:r>
    </w:p>
    <w:p w:rsidR="00294D44" w:rsidRDefault="00294D44" w:rsidP="00294D44"/>
    <w:p w:rsidR="00294D44" w:rsidRDefault="00294D44" w:rsidP="00294D44">
      <w:pPr>
        <w:pStyle w:val="EntradandiceAuto"/>
      </w:pPr>
      <w:r>
        <w:t>Pleno. Auto 5/2012, de 13 de enero de 2012. Acuerda la extinción de la cuestión de inconstitucionalidad 4465-2004, planteada por el Juzgado de lo Contencioso-Administrativo núm. 1 de Las Palmas de Gran Canaria en relación con la disposición transitoria segunda de la Ley del Parlamento de Canarias 6/1997, de 4 de julio, de coordinación de policías locales.</w:t>
      </w:r>
      <w:r>
        <w:tab/>
      </w:r>
      <w:r>
        <w:tab/>
      </w:r>
      <w:r>
        <w:fldChar w:fldCharType="begin"/>
      </w:r>
      <w:r>
        <w:instrText xml:space="preserve"> PAGEREF AUTO_2012_5 \h </w:instrText>
      </w:r>
      <w:r>
        <w:fldChar w:fldCharType="separate"/>
      </w:r>
      <w:r w:rsidR="00A6693A">
        <w:rPr>
          <w:noProof/>
        </w:rPr>
        <w:t>2634</w:t>
      </w:r>
      <w:r>
        <w:fldChar w:fldCharType="end"/>
      </w:r>
    </w:p>
    <w:p w:rsidR="00294D44" w:rsidRDefault="00294D44" w:rsidP="00294D44"/>
    <w:p w:rsidR="00294D44" w:rsidRDefault="00294D44" w:rsidP="00294D44">
      <w:pPr>
        <w:pStyle w:val="EntradandiceAuto"/>
      </w:pPr>
      <w:r>
        <w:lastRenderedPageBreak/>
        <w:t>Pleno. Auto 6/2012, de 13 de enero de 2012. Acuerda la extinción de la cuestión de inconstitucionalidad 1965-2006, planteada por el Juzgado de lo Contencioso-Administrativo núm. 1 de Las Palmas de Gran Canaria en relación con la disposición transitoria segunda de la Ley del Parlamento de Canarias 6/1997, de 4 de julio, de coordinación de policías locales.</w:t>
      </w:r>
      <w:r>
        <w:tab/>
      </w:r>
      <w:r>
        <w:tab/>
      </w:r>
      <w:r>
        <w:fldChar w:fldCharType="begin"/>
      </w:r>
      <w:r>
        <w:instrText xml:space="preserve"> PAGEREF AUTO_2012_6 \h </w:instrText>
      </w:r>
      <w:r>
        <w:fldChar w:fldCharType="separate"/>
      </w:r>
      <w:r w:rsidR="00A6693A">
        <w:rPr>
          <w:noProof/>
        </w:rPr>
        <w:t>2640</w:t>
      </w:r>
      <w:r>
        <w:fldChar w:fldCharType="end"/>
      </w:r>
    </w:p>
    <w:p w:rsidR="00294D44" w:rsidRDefault="00294D44" w:rsidP="00294D44"/>
    <w:p w:rsidR="00294D44" w:rsidRDefault="00294D44" w:rsidP="00294D44">
      <w:pPr>
        <w:pStyle w:val="EntradandiceAuto"/>
      </w:pPr>
      <w:r>
        <w:t>Pleno. Auto 7/2012, de 13 de enero de 2012. Inadmite a trámite el recurso de amparo 1598-2011, promovido por don Pedro María Gragera de Torres y 321 personas más en relación con el acuerdo del Pleno del Congreso de los Diputados de 16 de diciembre de 2010, de autorización de la prórroga del estado de alarma.</w:t>
      </w:r>
      <w:r>
        <w:tab/>
      </w:r>
      <w:r>
        <w:tab/>
      </w:r>
      <w:r>
        <w:fldChar w:fldCharType="begin"/>
      </w:r>
      <w:r>
        <w:instrText xml:space="preserve"> PAGEREF AUTO_2012_7 \h </w:instrText>
      </w:r>
      <w:r>
        <w:fldChar w:fldCharType="separate"/>
      </w:r>
      <w:r w:rsidR="00A6693A">
        <w:rPr>
          <w:noProof/>
        </w:rPr>
        <w:t>2649</w:t>
      </w:r>
      <w:r>
        <w:fldChar w:fldCharType="end"/>
      </w:r>
    </w:p>
    <w:p w:rsidR="00294D44" w:rsidRDefault="00294D44" w:rsidP="00294D44"/>
    <w:p w:rsidR="00294D44" w:rsidRDefault="00294D44" w:rsidP="00294D44">
      <w:pPr>
        <w:pStyle w:val="EntradandiceAuto"/>
      </w:pPr>
      <w:r>
        <w:t>Pleno. Auto 8/2012, de 13 de enero de 2012. Inadmite a trámite la cuestión de inconstitucionalidad 4239-2011, planteada por el Juzgado de lo Contencioso-Administrativo núm. 1 de Pontevedra en relación con el art. 1 del Real Decreto-ley 8/2010, de 20 de mayo, por el que se adoptan medidas extraordinarias para la reducción del déficit público.</w:t>
      </w:r>
      <w:r>
        <w:tab/>
      </w:r>
      <w:r>
        <w:tab/>
      </w:r>
      <w:r>
        <w:fldChar w:fldCharType="begin"/>
      </w:r>
      <w:r>
        <w:instrText xml:space="preserve"> PAGEREF AUTO_2012_8 \h </w:instrText>
      </w:r>
      <w:r>
        <w:fldChar w:fldCharType="separate"/>
      </w:r>
      <w:r w:rsidR="00A6693A">
        <w:rPr>
          <w:noProof/>
        </w:rPr>
        <w:t>2663</w:t>
      </w:r>
      <w:r>
        <w:fldChar w:fldCharType="end"/>
      </w:r>
    </w:p>
    <w:p w:rsidR="00294D44" w:rsidRDefault="00294D44" w:rsidP="00294D44"/>
    <w:p w:rsidR="00294D44" w:rsidRDefault="00294D44" w:rsidP="00294D44">
      <w:pPr>
        <w:pStyle w:val="EntradandiceAuto"/>
      </w:pPr>
      <w:r>
        <w:t>Pleno. Auto 9/2012, de 13 de enero de 2012. Inadmite a trámite el recurso de amparo 5241-2011, promovido por don Gaspar Llamazares Trigo y doña Nuria Buenaventura Puig, Diputados del Grupo Parlamentario Esquerra Republicana-Izquierda Unida-Iniciativa Per Catalunya Verds en el Congreso de los Diputados, en relación con una resolución y varios acuerdos de la Mesa del Congreso de los Diputados sobre tramitación de la proposición de reforma del artículo 135 de la Constitución.</w:t>
      </w:r>
      <w:r>
        <w:tab/>
      </w:r>
      <w:r>
        <w:tab/>
      </w:r>
      <w:r>
        <w:fldChar w:fldCharType="begin"/>
      </w:r>
      <w:r>
        <w:instrText xml:space="preserve"> PAGEREF AUTO_2012_9 \h </w:instrText>
      </w:r>
      <w:r>
        <w:fldChar w:fldCharType="separate"/>
      </w:r>
      <w:r w:rsidR="00A6693A">
        <w:rPr>
          <w:noProof/>
        </w:rPr>
        <w:t>2678</w:t>
      </w:r>
      <w:r>
        <w:fldChar w:fldCharType="end"/>
      </w:r>
    </w:p>
    <w:p w:rsidR="00294D44" w:rsidRDefault="00294D44" w:rsidP="00294D44"/>
    <w:p w:rsidR="00294D44" w:rsidRDefault="00294D44" w:rsidP="00294D44">
      <w:pPr>
        <w:pStyle w:val="EntradandiceAuto"/>
      </w:pPr>
      <w:r>
        <w:t>Sección Primera. Auto 10/2012, de 18 de enero de 2012. Acuerda el desistimiento en el recurso de amparo 5402-2011, promovido en causa penal.</w:t>
      </w:r>
      <w:r>
        <w:tab/>
      </w:r>
      <w:r>
        <w:tab/>
      </w:r>
      <w:r>
        <w:fldChar w:fldCharType="begin"/>
      </w:r>
      <w:r>
        <w:instrText xml:space="preserve"> PAGEREF AUTO_2012_10 \h </w:instrText>
      </w:r>
      <w:r>
        <w:fldChar w:fldCharType="separate"/>
      </w:r>
      <w:r w:rsidR="00A6693A">
        <w:rPr>
          <w:noProof/>
        </w:rPr>
        <w:t>2693</w:t>
      </w:r>
      <w:r>
        <w:fldChar w:fldCharType="end"/>
      </w:r>
    </w:p>
    <w:p w:rsidR="00294D44" w:rsidRDefault="00294D44" w:rsidP="00294D44"/>
    <w:p w:rsidR="00294D44" w:rsidRDefault="00294D44" w:rsidP="00294D44">
      <w:pPr>
        <w:pStyle w:val="EntradandiceAuto"/>
      </w:pPr>
      <w:r>
        <w:t>Sección Cuarta. Auto 11/2012, de 26 de enero de 2012. Desestima el recurso de súplica del Ministerio Fiscal sobre inadmisión del recurso de amparo 5048-2011, promovido por don Giuliano Cristian Cojocariu.</w:t>
      </w:r>
      <w:r>
        <w:tab/>
      </w:r>
      <w:r>
        <w:tab/>
      </w:r>
      <w:r>
        <w:fldChar w:fldCharType="begin"/>
      </w:r>
      <w:r>
        <w:instrText xml:space="preserve"> PAGEREF AUTO_2012_11 \h </w:instrText>
      </w:r>
      <w:r>
        <w:fldChar w:fldCharType="separate"/>
      </w:r>
      <w:r w:rsidR="00A6693A">
        <w:rPr>
          <w:noProof/>
        </w:rPr>
        <w:t>2694</w:t>
      </w:r>
      <w:r>
        <w:fldChar w:fldCharType="end"/>
      </w:r>
    </w:p>
    <w:p w:rsidR="00294D44" w:rsidRDefault="00294D44" w:rsidP="00294D44"/>
    <w:p w:rsidR="00294D44" w:rsidRDefault="00294D44" w:rsidP="00294D44">
      <w:pPr>
        <w:pStyle w:val="EntradandiceAuto"/>
      </w:pPr>
      <w:r>
        <w:t>Sala Segunda. Auto 12/2012, de 30 de enero de 2012. Acuerda la suspensión parcial en el recurso de amparo 1714-2009, promovido por don Francisco Real Granado.</w:t>
      </w:r>
      <w:r>
        <w:tab/>
      </w:r>
      <w:r>
        <w:tab/>
      </w:r>
      <w:r>
        <w:fldChar w:fldCharType="begin"/>
      </w:r>
      <w:r>
        <w:instrText xml:space="preserve"> PAGEREF AUTO_2012_12 \h </w:instrText>
      </w:r>
      <w:r>
        <w:fldChar w:fldCharType="separate"/>
      </w:r>
      <w:r w:rsidR="00A6693A">
        <w:rPr>
          <w:noProof/>
        </w:rPr>
        <w:t>2698</w:t>
      </w:r>
      <w:r>
        <w:fldChar w:fldCharType="end"/>
      </w:r>
    </w:p>
    <w:p w:rsidR="00294D44" w:rsidRDefault="00294D44" w:rsidP="00294D44"/>
    <w:p w:rsidR="00294D44" w:rsidRDefault="00294D44" w:rsidP="00294D44">
      <w:pPr>
        <w:pStyle w:val="EntradandiceAuto"/>
      </w:pPr>
      <w:r>
        <w:t>Sala Primera. Auto 13/2012, de 30 de enero de 2012. Acuerda la acumulación del recurso de amparo 9173-2009 al 8879-2009, promovidos ambos en procedimiento penal.</w:t>
      </w:r>
      <w:r>
        <w:tab/>
      </w:r>
      <w:r>
        <w:tab/>
      </w:r>
      <w:r>
        <w:fldChar w:fldCharType="begin"/>
      </w:r>
      <w:r>
        <w:instrText xml:space="preserve"> PAGEREF AUTO_2012_13 \h </w:instrText>
      </w:r>
      <w:r>
        <w:fldChar w:fldCharType="separate"/>
      </w:r>
      <w:r w:rsidR="00A6693A">
        <w:rPr>
          <w:noProof/>
        </w:rPr>
        <w:t>2703</w:t>
      </w:r>
      <w:r>
        <w:fldChar w:fldCharType="end"/>
      </w:r>
    </w:p>
    <w:p w:rsidR="00294D44" w:rsidRDefault="00294D44" w:rsidP="00294D44"/>
    <w:p w:rsidR="00294D44" w:rsidRDefault="00294D44" w:rsidP="00294D44">
      <w:pPr>
        <w:pStyle w:val="EntradandiceAuto"/>
      </w:pPr>
      <w:r>
        <w:lastRenderedPageBreak/>
        <w:t>Sala Primera. Auto 14/2012, de 30 de enero de 2012. Acepta una abstención en el recurso de amparo 167-2010, promovido por don José Luis Mazón Cuesta.</w:t>
      </w:r>
      <w:r>
        <w:tab/>
      </w:r>
      <w:r>
        <w:tab/>
      </w:r>
      <w:r>
        <w:fldChar w:fldCharType="begin"/>
      </w:r>
      <w:r>
        <w:instrText xml:space="preserve"> PAGEREF AUTO_2012_14 \h </w:instrText>
      </w:r>
      <w:r>
        <w:fldChar w:fldCharType="separate"/>
      </w:r>
      <w:r w:rsidR="00A6693A">
        <w:rPr>
          <w:noProof/>
        </w:rPr>
        <w:t>2704</w:t>
      </w:r>
      <w:r>
        <w:fldChar w:fldCharType="end"/>
      </w:r>
    </w:p>
    <w:p w:rsidR="00294D44" w:rsidRDefault="00294D44" w:rsidP="00294D44"/>
    <w:p w:rsidR="00294D44" w:rsidRDefault="00294D44" w:rsidP="00294D44">
      <w:pPr>
        <w:pStyle w:val="EntradandiceAuto"/>
      </w:pPr>
      <w:r>
        <w:t>Sala Segunda. Auto 15/2012, de 30 de enero de 2012. Deniega la suspensión en el recurso de amparo 438-2010, promovido por don Joseba Iñaki Urdiain Ziriza.</w:t>
      </w:r>
      <w:r>
        <w:tab/>
      </w:r>
      <w:r>
        <w:tab/>
      </w:r>
      <w:r>
        <w:fldChar w:fldCharType="begin"/>
      </w:r>
      <w:r>
        <w:instrText xml:space="preserve"> PAGEREF AUTO_2012_15 \h </w:instrText>
      </w:r>
      <w:r>
        <w:fldChar w:fldCharType="separate"/>
      </w:r>
      <w:r w:rsidR="00A6693A">
        <w:rPr>
          <w:noProof/>
        </w:rPr>
        <w:t>2706</w:t>
      </w:r>
      <w:r>
        <w:fldChar w:fldCharType="end"/>
      </w:r>
    </w:p>
    <w:p w:rsidR="00294D44" w:rsidRDefault="00294D44" w:rsidP="00294D44"/>
    <w:p w:rsidR="00294D44" w:rsidRDefault="00294D44" w:rsidP="00294D44">
      <w:pPr>
        <w:pStyle w:val="EntradandiceAuto"/>
      </w:pPr>
      <w:r>
        <w:t>Sala Primera. Auto 16/2012, de 30 de enero de 2012. Deniega la suspensión en el recurso de amparo 2271-2011, promovido por don Francisco Fuster González de la Riva y don Joaquín María Fuster González de la Riva.</w:t>
      </w:r>
      <w:r>
        <w:tab/>
      </w:r>
      <w:r>
        <w:tab/>
      </w:r>
      <w:r>
        <w:fldChar w:fldCharType="begin"/>
      </w:r>
      <w:r>
        <w:instrText xml:space="preserve"> PAGEREF AUTO_2012_16 \h </w:instrText>
      </w:r>
      <w:r>
        <w:fldChar w:fldCharType="separate"/>
      </w:r>
      <w:r w:rsidR="00A6693A">
        <w:rPr>
          <w:noProof/>
        </w:rPr>
        <w:t>2710</w:t>
      </w:r>
      <w:r>
        <w:fldChar w:fldCharType="end"/>
      </w:r>
    </w:p>
    <w:p w:rsidR="00294D44" w:rsidRDefault="00294D44" w:rsidP="00294D44"/>
    <w:p w:rsidR="00294D44" w:rsidRDefault="00294D44" w:rsidP="00294D44">
      <w:pPr>
        <w:pStyle w:val="EntradandiceAuto"/>
      </w:pPr>
      <w:r>
        <w:t>Sección Tercera. Auto 17/2012, de 30 de enero de 2012. Acuerda el desistimiento en el recurso de amparo 2337-2011, promovido en causa penal.</w:t>
      </w:r>
      <w:r>
        <w:tab/>
      </w:r>
      <w:r>
        <w:tab/>
      </w:r>
      <w:r>
        <w:fldChar w:fldCharType="begin"/>
      </w:r>
      <w:r>
        <w:instrText xml:space="preserve"> PAGEREF AUTO_2012_17 \h </w:instrText>
      </w:r>
      <w:r>
        <w:fldChar w:fldCharType="separate"/>
      </w:r>
      <w:r w:rsidR="00A6693A">
        <w:rPr>
          <w:noProof/>
        </w:rPr>
        <w:t>2714</w:t>
      </w:r>
      <w:r>
        <w:fldChar w:fldCharType="end"/>
      </w:r>
    </w:p>
    <w:p w:rsidR="00294D44" w:rsidRDefault="00294D44" w:rsidP="00294D44"/>
    <w:p w:rsidR="00294D44" w:rsidRDefault="00294D44" w:rsidP="00294D44">
      <w:pPr>
        <w:pStyle w:val="EntradandiceAuto"/>
      </w:pPr>
      <w:r>
        <w:t>Sala Segunda. Auto 18/2012, de 30 de enero de 2012. Mantiene las medidas cautelares acordadas por providencia en el recurso de amparo 3121-2011, promovido por doña María Cruz Jara Quejido.</w:t>
      </w:r>
      <w:r>
        <w:tab/>
      </w:r>
      <w:r>
        <w:tab/>
      </w:r>
      <w:r>
        <w:fldChar w:fldCharType="begin"/>
      </w:r>
      <w:r>
        <w:instrText xml:space="preserve"> PAGEREF AUTO_2012_18 \h </w:instrText>
      </w:r>
      <w:r>
        <w:fldChar w:fldCharType="separate"/>
      </w:r>
      <w:r w:rsidR="00A6693A">
        <w:rPr>
          <w:noProof/>
        </w:rPr>
        <w:t>2715</w:t>
      </w:r>
      <w:r>
        <w:fldChar w:fldCharType="end"/>
      </w:r>
    </w:p>
    <w:p w:rsidR="00294D44" w:rsidRDefault="00294D44" w:rsidP="00294D44"/>
    <w:p w:rsidR="00294D44" w:rsidRDefault="00294D44" w:rsidP="00294D44">
      <w:pPr>
        <w:pStyle w:val="EntradandiceAuto"/>
      </w:pPr>
      <w:r>
        <w:t>Sala Segunda. Auto 19/2012, de 30 de enero de 2012. Mantiene la suspensión acordada por providencia en el recurso de amparo 5822-2011, promovido por don Pedro González-Trevijano Sánchez.</w:t>
      </w:r>
      <w:r>
        <w:tab/>
      </w:r>
      <w:r>
        <w:tab/>
      </w:r>
      <w:r>
        <w:fldChar w:fldCharType="begin"/>
      </w:r>
      <w:r>
        <w:instrText xml:space="preserve"> PAGEREF AUTO_2012_19 \h </w:instrText>
      </w:r>
      <w:r>
        <w:fldChar w:fldCharType="separate"/>
      </w:r>
      <w:r w:rsidR="00A6693A">
        <w:rPr>
          <w:noProof/>
        </w:rPr>
        <w:t>2722</w:t>
      </w:r>
      <w:r>
        <w:fldChar w:fldCharType="end"/>
      </w:r>
    </w:p>
    <w:p w:rsidR="00294D44" w:rsidRDefault="00294D44" w:rsidP="00294D44"/>
    <w:p w:rsidR="00294D44" w:rsidRDefault="00294D44" w:rsidP="00294D44">
      <w:pPr>
        <w:pStyle w:val="EntradandiceAuto"/>
      </w:pPr>
      <w:r>
        <w:t>Sección Cuarta. Auto 20/2012, de 30 de enero de 2012. Acuerda el desistimiento en el recurso de amparo 6370-2011, promovido en proceso contencioso-administrativo.</w:t>
      </w:r>
      <w:r>
        <w:tab/>
      </w:r>
      <w:r>
        <w:tab/>
      </w:r>
      <w:r>
        <w:fldChar w:fldCharType="begin"/>
      </w:r>
      <w:r>
        <w:instrText xml:space="preserve"> PAGEREF AUTO_2012_20 \h </w:instrText>
      </w:r>
      <w:r>
        <w:fldChar w:fldCharType="separate"/>
      </w:r>
      <w:r w:rsidR="00A6693A">
        <w:rPr>
          <w:noProof/>
        </w:rPr>
        <w:t>2726</w:t>
      </w:r>
      <w:r>
        <w:fldChar w:fldCharType="end"/>
      </w:r>
    </w:p>
    <w:p w:rsidR="00294D44" w:rsidRDefault="00294D44" w:rsidP="00294D44"/>
    <w:p w:rsidR="00294D44" w:rsidRDefault="00294D44" w:rsidP="00294D44">
      <w:pPr>
        <w:pStyle w:val="EntradandiceAuto"/>
      </w:pPr>
      <w:r>
        <w:t>Sección Tercera. Auto 21/2012, de 30 de enero de 2012. Acuerda el desistimiento en el recurso de amparo 6645-2011, promovido en relación con actos parlamentarios.</w:t>
      </w:r>
      <w:r>
        <w:tab/>
      </w:r>
      <w:r>
        <w:tab/>
      </w:r>
      <w:r>
        <w:fldChar w:fldCharType="begin"/>
      </w:r>
      <w:r>
        <w:instrText xml:space="preserve"> PAGEREF AUTO_2012_21 \h </w:instrText>
      </w:r>
      <w:r>
        <w:fldChar w:fldCharType="separate"/>
      </w:r>
      <w:r w:rsidR="00A6693A">
        <w:rPr>
          <w:noProof/>
        </w:rPr>
        <w:t>2727</w:t>
      </w:r>
      <w:r>
        <w:fldChar w:fldCharType="end"/>
      </w:r>
    </w:p>
    <w:p w:rsidR="00294D44" w:rsidRDefault="00294D44" w:rsidP="00294D44"/>
    <w:p w:rsidR="00294D44" w:rsidRDefault="00294D44" w:rsidP="00294D44">
      <w:pPr>
        <w:pStyle w:val="EntradandiceAuto"/>
      </w:pPr>
      <w:r>
        <w:t>Pleno. Auto 22/2012, de 31 de enero de 2012. Deniega la suspensión en el recurso de amparo 5560-2006, promovido por don Joseba Koldobika Artola Ibarretxe.</w:t>
      </w:r>
      <w:r>
        <w:tab/>
      </w:r>
      <w:r>
        <w:tab/>
      </w:r>
      <w:r>
        <w:fldChar w:fldCharType="begin"/>
      </w:r>
      <w:r>
        <w:instrText xml:space="preserve"> PAGEREF AUTO_2012_22 \h </w:instrText>
      </w:r>
      <w:r>
        <w:fldChar w:fldCharType="separate"/>
      </w:r>
      <w:r w:rsidR="00A6693A">
        <w:rPr>
          <w:noProof/>
        </w:rPr>
        <w:t>2728</w:t>
      </w:r>
      <w:r>
        <w:fldChar w:fldCharType="end"/>
      </w:r>
    </w:p>
    <w:p w:rsidR="00294D44" w:rsidRDefault="00294D44" w:rsidP="00294D44"/>
    <w:p w:rsidR="00294D44" w:rsidRDefault="00294D44" w:rsidP="00294D44">
      <w:pPr>
        <w:pStyle w:val="EntradandiceAuto"/>
      </w:pPr>
      <w:r>
        <w:t>Pleno. Auto 23/2012, de 31 de enero de 2012. Deniega la suspensión en el recurso de amparo 526-2007, promovido por don Pello Josepe Etxebarría Lete.</w:t>
      </w:r>
      <w:r>
        <w:tab/>
      </w:r>
      <w:r>
        <w:tab/>
      </w:r>
      <w:r>
        <w:fldChar w:fldCharType="begin"/>
      </w:r>
      <w:r>
        <w:instrText xml:space="preserve"> PAGEREF AUTO_2012_23 \h </w:instrText>
      </w:r>
      <w:r>
        <w:fldChar w:fldCharType="separate"/>
      </w:r>
      <w:r w:rsidR="00A6693A">
        <w:rPr>
          <w:noProof/>
        </w:rPr>
        <w:t>2731</w:t>
      </w:r>
      <w:r>
        <w:fldChar w:fldCharType="end"/>
      </w:r>
    </w:p>
    <w:p w:rsidR="00294D44" w:rsidRDefault="00294D44" w:rsidP="00294D44"/>
    <w:p w:rsidR="00294D44" w:rsidRDefault="00294D44" w:rsidP="00294D44">
      <w:pPr>
        <w:pStyle w:val="EntradandiceAuto"/>
      </w:pPr>
      <w:r>
        <w:t>Sección Primera. Auto 24/2012, de 31 de enero de 2012. Estima el recurso de súplica del Ministerio Fiscal sobre inadmisión del recurso de amparo 7731-2008, promovido por don Daniel Conde Fernández de Montoya.</w:t>
      </w:r>
      <w:r>
        <w:tab/>
      </w:r>
      <w:r>
        <w:tab/>
      </w:r>
      <w:r>
        <w:fldChar w:fldCharType="begin"/>
      </w:r>
      <w:r>
        <w:instrText xml:space="preserve"> PAGEREF AUTO_2012_24 \h </w:instrText>
      </w:r>
      <w:r>
        <w:fldChar w:fldCharType="separate"/>
      </w:r>
      <w:r w:rsidR="00A6693A">
        <w:rPr>
          <w:noProof/>
        </w:rPr>
        <w:t>2734</w:t>
      </w:r>
      <w:r>
        <w:fldChar w:fldCharType="end"/>
      </w:r>
    </w:p>
    <w:p w:rsidR="00294D44" w:rsidRDefault="00294D44" w:rsidP="00294D44"/>
    <w:p w:rsidR="00294D44" w:rsidRDefault="00294D44" w:rsidP="00294D44">
      <w:pPr>
        <w:pStyle w:val="EntradandiceAuto"/>
      </w:pPr>
      <w:r>
        <w:lastRenderedPageBreak/>
        <w:t>Pleno. Auto 25/2012, de 31 de enero de 2012. Deniega la suspensión en el recurso de amparo 4793-2009, promovido por don Juan María Igarataundi Peñagaricano.</w:t>
      </w:r>
      <w:r>
        <w:tab/>
      </w:r>
      <w:r>
        <w:tab/>
      </w:r>
      <w:r>
        <w:fldChar w:fldCharType="begin"/>
      </w:r>
      <w:r>
        <w:instrText xml:space="preserve"> PAGEREF AUTO_2012_25 \h </w:instrText>
      </w:r>
      <w:r>
        <w:fldChar w:fldCharType="separate"/>
      </w:r>
      <w:r w:rsidR="00A6693A">
        <w:rPr>
          <w:noProof/>
        </w:rPr>
        <w:t>2738</w:t>
      </w:r>
      <w:r>
        <w:fldChar w:fldCharType="end"/>
      </w:r>
    </w:p>
    <w:p w:rsidR="00294D44" w:rsidRDefault="00294D44" w:rsidP="00294D44"/>
    <w:p w:rsidR="00294D44" w:rsidRDefault="00294D44" w:rsidP="00294D44">
      <w:pPr>
        <w:pStyle w:val="EntradandiceAuto"/>
      </w:pPr>
      <w:r>
        <w:t>Sección Primera. Auto 26/2012, de 31 de enero de 2012. Desestima el recurso de súplica del Ministerio Fiscal sobre inadmisión del recurso de amparo 6190-2009, promovido por don Miguel Fernández Fernández.</w:t>
      </w:r>
      <w:r>
        <w:tab/>
      </w:r>
      <w:r>
        <w:tab/>
      </w:r>
      <w:r>
        <w:fldChar w:fldCharType="begin"/>
      </w:r>
      <w:r>
        <w:instrText xml:space="preserve"> PAGEREF AUTO_2012_26 \h </w:instrText>
      </w:r>
      <w:r>
        <w:fldChar w:fldCharType="separate"/>
      </w:r>
      <w:r w:rsidR="00A6693A">
        <w:rPr>
          <w:noProof/>
        </w:rPr>
        <w:t>2742</w:t>
      </w:r>
      <w:r>
        <w:fldChar w:fldCharType="end"/>
      </w:r>
    </w:p>
    <w:p w:rsidR="00294D44" w:rsidRDefault="00294D44" w:rsidP="00294D44"/>
    <w:p w:rsidR="00294D44" w:rsidRDefault="00294D44" w:rsidP="00294D44">
      <w:pPr>
        <w:pStyle w:val="EntradandiceAuto"/>
      </w:pPr>
      <w:r>
        <w:t>Pleno. Auto 27/2012, de 31 de enero de 2012. Deniega la suspensión en el recurso de amparo 4169-2010, promovido por doña María Josefa Uzkudun Etxenagusia.</w:t>
      </w:r>
      <w:r>
        <w:tab/>
      </w:r>
      <w:r>
        <w:tab/>
      </w:r>
      <w:r>
        <w:fldChar w:fldCharType="begin"/>
      </w:r>
      <w:r>
        <w:instrText xml:space="preserve"> PAGEREF AUTO_2012_27 \h </w:instrText>
      </w:r>
      <w:r>
        <w:fldChar w:fldCharType="separate"/>
      </w:r>
      <w:r w:rsidR="00A6693A">
        <w:rPr>
          <w:noProof/>
        </w:rPr>
        <w:t>2747</w:t>
      </w:r>
      <w:r>
        <w:fldChar w:fldCharType="end"/>
      </w:r>
    </w:p>
    <w:p w:rsidR="00294D44" w:rsidRDefault="00294D44" w:rsidP="00294D44"/>
    <w:p w:rsidR="00294D44" w:rsidRDefault="00294D44" w:rsidP="00294D44">
      <w:pPr>
        <w:pStyle w:val="EntradandiceAuto"/>
      </w:pPr>
      <w:r>
        <w:t>Sala Segunda. Auto 28/2012, de 31 de enero de 2012. Archiva la pieza separada de suspensión en el recurso de amparo 7325-2010, promovido por don Luis Lizarralde Izaguirre.</w:t>
      </w:r>
      <w:r>
        <w:tab/>
      </w:r>
      <w:r>
        <w:tab/>
      </w:r>
      <w:r>
        <w:fldChar w:fldCharType="begin"/>
      </w:r>
      <w:r>
        <w:instrText xml:space="preserve"> PAGEREF AUTO_2012_28 \h </w:instrText>
      </w:r>
      <w:r>
        <w:fldChar w:fldCharType="separate"/>
      </w:r>
      <w:r w:rsidR="00A6693A">
        <w:rPr>
          <w:noProof/>
        </w:rPr>
        <w:t>2751</w:t>
      </w:r>
      <w:r>
        <w:fldChar w:fldCharType="end"/>
      </w:r>
    </w:p>
    <w:p w:rsidR="00294D44" w:rsidRDefault="00294D44" w:rsidP="00294D44"/>
    <w:p w:rsidR="00294D44" w:rsidRDefault="00294D44" w:rsidP="00294D44">
      <w:pPr>
        <w:pStyle w:val="EntradandiceAuto"/>
      </w:pPr>
      <w:r>
        <w:t>Sección Primera. Auto 29/2012, de 1 de febrero de 2012. Acuerda el desistimiento en el recurso de amparo 3090-2011, promovido en causa penal.</w:t>
      </w:r>
      <w:r>
        <w:tab/>
      </w:r>
      <w:r>
        <w:tab/>
      </w:r>
      <w:r>
        <w:fldChar w:fldCharType="begin"/>
      </w:r>
      <w:r>
        <w:instrText xml:space="preserve"> PAGEREF AUTO_2012_29 \h </w:instrText>
      </w:r>
      <w:r>
        <w:fldChar w:fldCharType="separate"/>
      </w:r>
      <w:r w:rsidR="00A6693A">
        <w:rPr>
          <w:noProof/>
        </w:rPr>
        <w:t>2753</w:t>
      </w:r>
      <w:r>
        <w:fldChar w:fldCharType="end"/>
      </w:r>
    </w:p>
    <w:p w:rsidR="00294D44" w:rsidRDefault="00294D44" w:rsidP="00294D44"/>
    <w:p w:rsidR="00294D44" w:rsidRDefault="00294D44" w:rsidP="00294D44">
      <w:pPr>
        <w:pStyle w:val="EntradandiceAuto"/>
      </w:pPr>
      <w:r>
        <w:t>Sección Primera. Auto 30/2012, de 8 de febrero de 2012. Declara la nulidad de lo actuado en el recurso de amparo 4108-2011, promovido por C.T.A.E., S.L., y deniega nombramiento de Abogado y Procurador de oficio a favor de esta entidad.</w:t>
      </w:r>
      <w:r>
        <w:tab/>
      </w:r>
      <w:r>
        <w:tab/>
      </w:r>
      <w:r>
        <w:fldChar w:fldCharType="begin"/>
      </w:r>
      <w:r>
        <w:instrText xml:space="preserve"> PAGEREF AUTO_2012_30 \h </w:instrText>
      </w:r>
      <w:r>
        <w:fldChar w:fldCharType="separate"/>
      </w:r>
      <w:r w:rsidR="00A6693A">
        <w:rPr>
          <w:noProof/>
        </w:rPr>
        <w:t>2754</w:t>
      </w:r>
      <w:r>
        <w:fldChar w:fldCharType="end"/>
      </w:r>
    </w:p>
    <w:p w:rsidR="00294D44" w:rsidRDefault="00294D44" w:rsidP="00294D44"/>
    <w:p w:rsidR="00294D44" w:rsidRDefault="00294D44" w:rsidP="00294D44">
      <w:pPr>
        <w:pStyle w:val="EntradandiceAuto"/>
      </w:pPr>
      <w:r>
        <w:t>Sala Segunda. Auto 31/2012, de 13 de febrero de 2012. Acuerda la extinción, por finalización del pleito civil, de la cuestión de inconstitucionalidad 6817-2010, planteada por el Juzgado de violencia sobre la mujer número 1 de Jaén en relación con el artículo 92.8 del Código civil.</w:t>
      </w:r>
      <w:r>
        <w:tab/>
      </w:r>
      <w:r>
        <w:tab/>
      </w:r>
      <w:r>
        <w:fldChar w:fldCharType="begin"/>
      </w:r>
      <w:r>
        <w:instrText xml:space="preserve"> PAGEREF AUTO_2012_31 \h </w:instrText>
      </w:r>
      <w:r>
        <w:fldChar w:fldCharType="separate"/>
      </w:r>
      <w:r w:rsidR="00A6693A">
        <w:rPr>
          <w:noProof/>
        </w:rPr>
        <w:t>2757</w:t>
      </w:r>
      <w:r>
        <w:fldChar w:fldCharType="end"/>
      </w:r>
    </w:p>
    <w:p w:rsidR="00294D44" w:rsidRDefault="00294D44" w:rsidP="00294D44"/>
    <w:p w:rsidR="00294D44" w:rsidRDefault="00294D44" w:rsidP="00294D44">
      <w:pPr>
        <w:pStyle w:val="EntradandiceAuto"/>
      </w:pPr>
      <w:r>
        <w:t>Sección Tercera. Auto 32/2012, de 13 de febrero de 2012. Acuerda el desistimiento en el recurso de amparo 7117-2011, promovido en contencioso-administrativo.</w:t>
      </w:r>
      <w:r>
        <w:tab/>
      </w:r>
      <w:r>
        <w:tab/>
      </w:r>
      <w:r>
        <w:fldChar w:fldCharType="begin"/>
      </w:r>
      <w:r>
        <w:instrText xml:space="preserve"> PAGEREF AUTO_2012_32 \h </w:instrText>
      </w:r>
      <w:r>
        <w:fldChar w:fldCharType="separate"/>
      </w:r>
      <w:r w:rsidR="00A6693A">
        <w:rPr>
          <w:noProof/>
        </w:rPr>
        <w:t>2761</w:t>
      </w:r>
      <w:r>
        <w:fldChar w:fldCharType="end"/>
      </w:r>
    </w:p>
    <w:p w:rsidR="00294D44" w:rsidRDefault="00294D44" w:rsidP="00294D44"/>
    <w:p w:rsidR="00294D44" w:rsidRDefault="00294D44" w:rsidP="00294D44">
      <w:pPr>
        <w:pStyle w:val="EntradandiceAuto"/>
      </w:pPr>
      <w:r>
        <w:t>Pleno. Auto 33/2012, de 14 de febrero de 2012. Desestima el recurso de súplica sobre inadmisión de la recusación de tres Magistrados en el recurso de amparo 1150-2009, promovido por don Miguel Villacampa Villacampa.</w:t>
      </w:r>
      <w:r>
        <w:tab/>
      </w:r>
      <w:r>
        <w:tab/>
      </w:r>
      <w:r>
        <w:fldChar w:fldCharType="begin"/>
      </w:r>
      <w:r>
        <w:instrText xml:space="preserve"> PAGEREF AUTO_2012_33 \h </w:instrText>
      </w:r>
      <w:r>
        <w:fldChar w:fldCharType="separate"/>
      </w:r>
      <w:r w:rsidR="00A6693A">
        <w:rPr>
          <w:noProof/>
        </w:rPr>
        <w:t>2762</w:t>
      </w:r>
      <w:r>
        <w:fldChar w:fldCharType="end"/>
      </w:r>
    </w:p>
    <w:p w:rsidR="00294D44" w:rsidRDefault="00294D44" w:rsidP="00294D44"/>
    <w:p w:rsidR="00294D44" w:rsidRDefault="00294D44" w:rsidP="00294D44">
      <w:pPr>
        <w:pStyle w:val="EntradandiceAuto"/>
      </w:pPr>
      <w:r>
        <w:t>Pleno. Auto 34/2012, de 14 de febrero de 2012. Inadmite a trámite la cuestión de inconstitucionalidad 5595-2011, planteada por el Juzgado de lo Contencioso-Administrativo núm. 13 de Barcelona en relación con el artículo 117.1 del texto refundido de la Ley de aguas.</w:t>
      </w:r>
      <w:r>
        <w:tab/>
      </w:r>
      <w:r>
        <w:tab/>
      </w:r>
      <w:r>
        <w:fldChar w:fldCharType="begin"/>
      </w:r>
      <w:r>
        <w:instrText xml:space="preserve"> PAGEREF AUTO_2012_34 \h </w:instrText>
      </w:r>
      <w:r>
        <w:fldChar w:fldCharType="separate"/>
      </w:r>
      <w:r w:rsidR="00A6693A">
        <w:rPr>
          <w:noProof/>
        </w:rPr>
        <w:t>2767</w:t>
      </w:r>
      <w:r>
        <w:fldChar w:fldCharType="end"/>
      </w:r>
    </w:p>
    <w:p w:rsidR="00294D44" w:rsidRDefault="00294D44" w:rsidP="00294D44"/>
    <w:p w:rsidR="00294D44" w:rsidRDefault="00294D44" w:rsidP="00294D44">
      <w:pPr>
        <w:pStyle w:val="EntradandiceAuto"/>
      </w:pPr>
      <w:r>
        <w:lastRenderedPageBreak/>
        <w:t>Pleno. Auto 35/2012, de 14 de febrero de 2012. Inadmite a trámite la cuestión de inconstitucionalidad 5850-2011, planteada por el Juzgado de lo Contencioso-Administrativo núm. 2 de Zaragoza en relación con el artículo 1 del Real Decreto-ley 8/2010, de 20 de mayo, de medidas extraordinarias para la reducción del déficit público.</w:t>
      </w:r>
      <w:r>
        <w:tab/>
      </w:r>
      <w:r>
        <w:tab/>
      </w:r>
      <w:r>
        <w:fldChar w:fldCharType="begin"/>
      </w:r>
      <w:r>
        <w:instrText xml:space="preserve"> PAGEREF AUTO_2012_35 \h </w:instrText>
      </w:r>
      <w:r>
        <w:fldChar w:fldCharType="separate"/>
      </w:r>
      <w:r w:rsidR="00A6693A">
        <w:rPr>
          <w:noProof/>
        </w:rPr>
        <w:t>2775</w:t>
      </w:r>
      <w:r>
        <w:fldChar w:fldCharType="end"/>
      </w:r>
    </w:p>
    <w:p w:rsidR="00294D44" w:rsidRDefault="00294D44" w:rsidP="00294D44"/>
    <w:p w:rsidR="00294D44" w:rsidRDefault="00294D44" w:rsidP="00294D44">
      <w:pPr>
        <w:pStyle w:val="EntradandiceAuto"/>
      </w:pPr>
      <w:r>
        <w:t>Sección Cuarta. Auto 36/2012, de 27 de febrero de 2012. Acuerda el desistimiento en el recurso de amparo 2799-2011, promovido en causa penal.</w:t>
      </w:r>
      <w:r>
        <w:tab/>
      </w:r>
      <w:r>
        <w:tab/>
      </w:r>
      <w:r>
        <w:fldChar w:fldCharType="begin"/>
      </w:r>
      <w:r>
        <w:instrText xml:space="preserve"> PAGEREF AUTO_2012_36 \h </w:instrText>
      </w:r>
      <w:r>
        <w:fldChar w:fldCharType="separate"/>
      </w:r>
      <w:r w:rsidR="00A6693A">
        <w:rPr>
          <w:noProof/>
        </w:rPr>
        <w:t>2788</w:t>
      </w:r>
      <w:r>
        <w:fldChar w:fldCharType="end"/>
      </w:r>
    </w:p>
    <w:p w:rsidR="00294D44" w:rsidRDefault="00294D44" w:rsidP="00294D44"/>
    <w:p w:rsidR="00294D44" w:rsidRDefault="00294D44" w:rsidP="00294D44">
      <w:pPr>
        <w:pStyle w:val="EntradandiceAuto"/>
      </w:pPr>
      <w:r>
        <w:t>Pleno. Auto 37/2012, de 28 de febrero de 2012. Acepta una abstención en la cuestión de inconstitucionalidad 5472-2001, planteada por la Sala de lo Contencioso-Administrativo del Tribunal Superior de Andalucía en relación con la disposición transitoria cuarta de la Ley 8/1997, de 23 de diciembre, por la que se aprueban medidas en materia tributaria, presupuestaria, de empresas de la Junta de Andalucía y otras entidades de recaudación, de contratación de función pública y de fianzas de arrendamientos y suministros.</w:t>
      </w:r>
      <w:r>
        <w:tab/>
      </w:r>
      <w:r>
        <w:tab/>
      </w:r>
      <w:r>
        <w:fldChar w:fldCharType="begin"/>
      </w:r>
      <w:r>
        <w:instrText xml:space="preserve"> PAGEREF AUTO_2012_37 \h </w:instrText>
      </w:r>
      <w:r>
        <w:fldChar w:fldCharType="separate"/>
      </w:r>
      <w:r w:rsidR="00A6693A">
        <w:rPr>
          <w:noProof/>
        </w:rPr>
        <w:t>2789</w:t>
      </w:r>
      <w:r>
        <w:fldChar w:fldCharType="end"/>
      </w:r>
    </w:p>
    <w:p w:rsidR="00294D44" w:rsidRDefault="00294D44" w:rsidP="00294D44"/>
    <w:p w:rsidR="00294D44" w:rsidRDefault="00294D44" w:rsidP="00294D44">
      <w:pPr>
        <w:pStyle w:val="EntradandiceAuto"/>
      </w:pPr>
      <w:r>
        <w:t>Pleno. Auto 38/2012, de 28 de febrero de 2012. Acepta una abstención en la cuestión de inconstitucionalidad 2651-2005, planteada por el Juzgado de lo Contencioso-Administrativo núm. 1 de Cádiz, en relación con el artículo 46 de la Ley del Parlamento de Andalucía 31/2001, de 11 de diciembre, de coordinación de policías locales.</w:t>
      </w:r>
      <w:r>
        <w:tab/>
      </w:r>
      <w:r>
        <w:tab/>
      </w:r>
      <w:r>
        <w:fldChar w:fldCharType="begin"/>
      </w:r>
      <w:r>
        <w:instrText xml:space="preserve"> PAGEREF AUTO_2012_38 \h </w:instrText>
      </w:r>
      <w:r>
        <w:fldChar w:fldCharType="separate"/>
      </w:r>
      <w:r w:rsidR="00A6693A">
        <w:rPr>
          <w:noProof/>
        </w:rPr>
        <w:t>2791</w:t>
      </w:r>
      <w:r>
        <w:fldChar w:fldCharType="end"/>
      </w:r>
    </w:p>
    <w:p w:rsidR="00294D44" w:rsidRDefault="00294D44" w:rsidP="00294D44"/>
    <w:p w:rsidR="00294D44" w:rsidRDefault="00294D44" w:rsidP="00294D44">
      <w:pPr>
        <w:pStyle w:val="EntradandiceAuto"/>
      </w:pPr>
      <w:r>
        <w:t>Pleno. Auto 39/2012, de 28 de febrero de 2012. Inadmite a trámite la cuestión de inconstitucionalidad 3812-2011, planteada por la Sala de lo Social del Tribunal Superior de Justicia de Castilla y León, con sede en Valladolid, en relación con el artículo 1 del Real Decreto-ley 8/2010, de 20 de mayo, por el que se adoptan medidas extraordinarias para la reducción del déficit público.</w:t>
      </w:r>
      <w:r>
        <w:tab/>
      </w:r>
      <w:r>
        <w:tab/>
      </w:r>
      <w:r>
        <w:fldChar w:fldCharType="begin"/>
      </w:r>
      <w:r>
        <w:instrText xml:space="preserve"> PAGEREF AUTO_2012_39 \h </w:instrText>
      </w:r>
      <w:r>
        <w:fldChar w:fldCharType="separate"/>
      </w:r>
      <w:r w:rsidR="00A6693A">
        <w:rPr>
          <w:noProof/>
        </w:rPr>
        <w:t>2793</w:t>
      </w:r>
      <w:r>
        <w:fldChar w:fldCharType="end"/>
      </w:r>
    </w:p>
    <w:p w:rsidR="00294D44" w:rsidRDefault="00294D44" w:rsidP="00294D44"/>
    <w:p w:rsidR="00294D44" w:rsidRDefault="00294D44" w:rsidP="00294D44">
      <w:pPr>
        <w:pStyle w:val="EntradandiceAuto"/>
      </w:pPr>
      <w:r>
        <w:t>Sección Segunda. Auto 40/2012, de 7 de marzo de 2012. Acuerda el desistimiento en el recurso de amparo 2291-2011, promovido en causa penal.</w:t>
      </w:r>
      <w:r>
        <w:tab/>
      </w:r>
      <w:r>
        <w:tab/>
      </w:r>
      <w:r>
        <w:fldChar w:fldCharType="begin"/>
      </w:r>
      <w:r>
        <w:instrText xml:space="preserve"> PAGEREF AUTO_2012_40 \h </w:instrText>
      </w:r>
      <w:r>
        <w:fldChar w:fldCharType="separate"/>
      </w:r>
      <w:r w:rsidR="00A6693A">
        <w:rPr>
          <w:noProof/>
        </w:rPr>
        <w:t>2806</w:t>
      </w:r>
      <w:r>
        <w:fldChar w:fldCharType="end"/>
      </w:r>
    </w:p>
    <w:p w:rsidR="00294D44" w:rsidRDefault="00294D44" w:rsidP="00294D44"/>
    <w:p w:rsidR="00294D44" w:rsidRDefault="00294D44" w:rsidP="00294D44">
      <w:pPr>
        <w:pStyle w:val="EntradandiceAuto"/>
      </w:pPr>
      <w:r>
        <w:t>Sección Segunda. Auto 41/2012, de 7 de marzo de 2012. Acuerda el desistimiento en el recurso de amparo 4357-2011, promovido en litigio civil.</w:t>
      </w:r>
      <w:r>
        <w:tab/>
      </w:r>
      <w:r>
        <w:tab/>
      </w:r>
      <w:r>
        <w:fldChar w:fldCharType="begin"/>
      </w:r>
      <w:r>
        <w:instrText xml:space="preserve"> PAGEREF AUTO_2012_41 \h </w:instrText>
      </w:r>
      <w:r>
        <w:fldChar w:fldCharType="separate"/>
      </w:r>
      <w:r w:rsidR="00A6693A">
        <w:rPr>
          <w:noProof/>
        </w:rPr>
        <w:t>2807</w:t>
      </w:r>
      <w:r>
        <w:fldChar w:fldCharType="end"/>
      </w:r>
    </w:p>
    <w:p w:rsidR="00294D44" w:rsidRDefault="00294D44" w:rsidP="00294D44"/>
    <w:p w:rsidR="00294D44" w:rsidRDefault="00294D44" w:rsidP="00294D44">
      <w:pPr>
        <w:pStyle w:val="EntradandiceAuto"/>
      </w:pPr>
      <w:r>
        <w:t>Sección Primera. Auto 42/2012, de 7 de marzo de 2012. Desestima el recurso de súplica del Ministerio Fiscal sobre inadmisión del recurso de amparo 4606-2011, promovido por doña Ana Perea Vega.</w:t>
      </w:r>
      <w:r>
        <w:tab/>
      </w:r>
      <w:r>
        <w:tab/>
      </w:r>
      <w:r>
        <w:fldChar w:fldCharType="begin"/>
      </w:r>
      <w:r>
        <w:instrText xml:space="preserve"> PAGEREF AUTO_2012_42 \h </w:instrText>
      </w:r>
      <w:r>
        <w:fldChar w:fldCharType="separate"/>
      </w:r>
      <w:r w:rsidR="00A6693A">
        <w:rPr>
          <w:noProof/>
        </w:rPr>
        <w:t>2808</w:t>
      </w:r>
      <w:r>
        <w:fldChar w:fldCharType="end"/>
      </w:r>
    </w:p>
    <w:p w:rsidR="00294D44" w:rsidRDefault="00294D44" w:rsidP="00294D44"/>
    <w:p w:rsidR="00294D44" w:rsidRDefault="00294D44" w:rsidP="00294D44">
      <w:pPr>
        <w:pStyle w:val="EntradandiceAuto"/>
      </w:pPr>
      <w:r>
        <w:t xml:space="preserve">Sección Primera. Auto 43/2012, de 9 de marzo de 2012. Desestima el recurso del Procurador de los Tribunales don Enrique Herrera Aguilar frente a la diligencia </w:t>
      </w:r>
      <w:r>
        <w:lastRenderedPageBreak/>
        <w:t>de ordenación de 5 de octubre de 2011 por la que se le emplaza para formular, bajo la dirección del Abogado designado al efecto, la correspondiente demanda en el recurso de amparo 4588-2011, promovido por don Pedro Martín García Socas.</w:t>
      </w:r>
      <w:r>
        <w:tab/>
      </w:r>
      <w:r>
        <w:tab/>
      </w:r>
      <w:r>
        <w:fldChar w:fldCharType="begin"/>
      </w:r>
      <w:r>
        <w:instrText xml:space="preserve"> PAGEREF AUTO_2012_43 \h </w:instrText>
      </w:r>
      <w:r>
        <w:fldChar w:fldCharType="separate"/>
      </w:r>
      <w:r w:rsidR="00A6693A">
        <w:rPr>
          <w:noProof/>
        </w:rPr>
        <w:t>2812</w:t>
      </w:r>
      <w:r>
        <w:fldChar w:fldCharType="end"/>
      </w:r>
    </w:p>
    <w:p w:rsidR="00294D44" w:rsidRDefault="00294D44" w:rsidP="00294D44"/>
    <w:p w:rsidR="00294D44" w:rsidRDefault="00294D44" w:rsidP="00294D44">
      <w:pPr>
        <w:pStyle w:val="EntradandiceAuto"/>
      </w:pPr>
      <w:r>
        <w:t>Sala Segunda. Auto 44/2012, de 12 de marzo de 2012. Deniega la suspensión en el recurso de amparo 3723-2011, promovido por don Eduardo González Nájera, contra la Sentencia de la Audiencia Provincial de la Rioja, Sección Primera de fecha 2 de mayo de 2011, dictada en el Recurso de Apelación núm. 32/2011.</w:t>
      </w:r>
      <w:r>
        <w:tab/>
      </w:r>
      <w:r>
        <w:tab/>
      </w:r>
      <w:r>
        <w:fldChar w:fldCharType="begin"/>
      </w:r>
      <w:r>
        <w:instrText xml:space="preserve"> PAGEREF AUTO_2012_44 \h </w:instrText>
      </w:r>
      <w:r>
        <w:fldChar w:fldCharType="separate"/>
      </w:r>
      <w:r w:rsidR="00A6693A">
        <w:rPr>
          <w:noProof/>
        </w:rPr>
        <w:t>2817</w:t>
      </w:r>
      <w:r>
        <w:fldChar w:fldCharType="end"/>
      </w:r>
    </w:p>
    <w:p w:rsidR="00294D44" w:rsidRDefault="00294D44" w:rsidP="00294D44"/>
    <w:p w:rsidR="00294D44" w:rsidRDefault="00294D44" w:rsidP="00294D44">
      <w:pPr>
        <w:pStyle w:val="EntradandiceAuto"/>
      </w:pPr>
      <w:r>
        <w:t>Pleno. Auto 45/2012, de 13 de marzo de 2012. Acepta una abstención en los conflictos positivos de competencia núms. 4124-1999 y 4216-1999 (acumulados), promovidos por el Consejo de Gobierno de la Junta de Andalucía y el Gobierno de la Generalitat de Cataluña en relación con determinados preceptos del Real Decreto 844/1999, de 21 de mayo.</w:t>
      </w:r>
      <w:r>
        <w:tab/>
      </w:r>
      <w:r>
        <w:tab/>
      </w:r>
      <w:r>
        <w:fldChar w:fldCharType="begin"/>
      </w:r>
      <w:r>
        <w:instrText xml:space="preserve"> PAGEREF AUTO_2012_45 \h </w:instrText>
      </w:r>
      <w:r>
        <w:fldChar w:fldCharType="separate"/>
      </w:r>
      <w:r w:rsidR="00A6693A">
        <w:rPr>
          <w:noProof/>
        </w:rPr>
        <w:t>2821</w:t>
      </w:r>
      <w:r>
        <w:fldChar w:fldCharType="end"/>
      </w:r>
    </w:p>
    <w:p w:rsidR="00294D44" w:rsidRDefault="00294D44" w:rsidP="00294D44"/>
    <w:p w:rsidR="00294D44" w:rsidRDefault="00294D44" w:rsidP="00294D44">
      <w:pPr>
        <w:pStyle w:val="EntradandiceAuto"/>
      </w:pPr>
      <w:r>
        <w:t>Pleno. Auto 46/2012, de 13 de marzo de 2012. Acepta una abstención en el recurso de inconstitucionalidad 4364-2001, promovido por el Consejo de Gobierno de la Junta de Andalucía en relación con el artículo único de la Ley 6/2001, de 8 de mayo.</w:t>
      </w:r>
      <w:r>
        <w:tab/>
      </w:r>
      <w:r>
        <w:tab/>
      </w:r>
      <w:r>
        <w:fldChar w:fldCharType="begin"/>
      </w:r>
      <w:r>
        <w:instrText xml:space="preserve"> PAGEREF AUTO_2012_46 \h </w:instrText>
      </w:r>
      <w:r>
        <w:fldChar w:fldCharType="separate"/>
      </w:r>
      <w:r w:rsidR="00A6693A">
        <w:rPr>
          <w:noProof/>
        </w:rPr>
        <w:t>2823</w:t>
      </w:r>
      <w:r>
        <w:fldChar w:fldCharType="end"/>
      </w:r>
    </w:p>
    <w:p w:rsidR="00294D44" w:rsidRDefault="00294D44" w:rsidP="00294D44"/>
    <w:p w:rsidR="00294D44" w:rsidRDefault="00294D44" w:rsidP="00294D44">
      <w:pPr>
        <w:pStyle w:val="EntradandiceAuto"/>
      </w:pPr>
      <w:r>
        <w:t>Pleno. Auto 47/2012, de 13 de marzo de 2012. Acuerda la extinción, por desaparición sobrevenida de su objeto, de la cuestión de inconstitucionalidad 767-2002, planteada por el Juzgado de Primera Instancia núm. 6 de San Bartolomé de Tirajana en relación con la disposición transitoria única del Parlamento de Canarias 5/1999, de 15 de marzo, de ordenación del turismo de Canarias.</w:t>
      </w:r>
      <w:r>
        <w:tab/>
      </w:r>
      <w:r>
        <w:tab/>
      </w:r>
      <w:r>
        <w:fldChar w:fldCharType="begin"/>
      </w:r>
      <w:r>
        <w:instrText xml:space="preserve"> PAGEREF AUTO_2012_47 \h </w:instrText>
      </w:r>
      <w:r>
        <w:fldChar w:fldCharType="separate"/>
      </w:r>
      <w:r w:rsidR="00A6693A">
        <w:rPr>
          <w:noProof/>
        </w:rPr>
        <w:t>2825</w:t>
      </w:r>
      <w:r>
        <w:fldChar w:fldCharType="end"/>
      </w:r>
    </w:p>
    <w:p w:rsidR="00294D44" w:rsidRDefault="00294D44" w:rsidP="00294D44"/>
    <w:p w:rsidR="00294D44" w:rsidRDefault="00294D44" w:rsidP="00294D44">
      <w:pPr>
        <w:pStyle w:val="EntradandiceAuto"/>
      </w:pPr>
      <w:r>
        <w:t>Pleno. Auto 48/2012, de 13 de marzo de 2012. Acuerda la extinción, por desaparición sobrevenida de su objeto, de la cuestión de inconstitucionalidad 3699-2003, planteada por el Juzgado de Primera Instancia núm. 4 de San Bartolomé de Tirajana en relación con el apartado cuarto de la disposición transitoria única de la Ley del Parlamento de Canarias 5/1999, de 15 de marzo, de ordenación del turismo de Canarias.</w:t>
      </w:r>
      <w:r>
        <w:tab/>
      </w:r>
      <w:r>
        <w:tab/>
      </w:r>
      <w:r>
        <w:fldChar w:fldCharType="begin"/>
      </w:r>
      <w:r>
        <w:instrText xml:space="preserve"> PAGEREF AUTO_2012_48 \h </w:instrText>
      </w:r>
      <w:r>
        <w:fldChar w:fldCharType="separate"/>
      </w:r>
      <w:r w:rsidR="00A6693A">
        <w:rPr>
          <w:noProof/>
        </w:rPr>
        <w:t>2828</w:t>
      </w:r>
      <w:r>
        <w:fldChar w:fldCharType="end"/>
      </w:r>
    </w:p>
    <w:p w:rsidR="00294D44" w:rsidRDefault="00294D44" w:rsidP="00294D44"/>
    <w:p w:rsidR="00294D44" w:rsidRDefault="00294D44" w:rsidP="00294D44">
      <w:pPr>
        <w:pStyle w:val="EntradandiceAuto"/>
      </w:pPr>
      <w:r>
        <w:t>Pleno. Auto 49/2012, de 13 de marzo de 2012. Acuerda la extinción, por desaparición sobrevenida de su objeto, del recurso de inconstitucionalidad 1383-2004, interpuesto por el Parlamento de Cataluña en relación con los artículos 38.4 y 189.2 del texto refundido de la Ley general de la Seguridad Social.</w:t>
      </w:r>
      <w:r>
        <w:tab/>
      </w:r>
      <w:r>
        <w:tab/>
      </w:r>
      <w:r>
        <w:fldChar w:fldCharType="begin"/>
      </w:r>
      <w:r>
        <w:instrText xml:space="preserve"> PAGEREF AUTO_2012_49 \h </w:instrText>
      </w:r>
      <w:r>
        <w:fldChar w:fldCharType="separate"/>
      </w:r>
      <w:r w:rsidR="00A6693A">
        <w:rPr>
          <w:noProof/>
        </w:rPr>
        <w:t>2831</w:t>
      </w:r>
      <w:r>
        <w:fldChar w:fldCharType="end"/>
      </w:r>
    </w:p>
    <w:p w:rsidR="00294D44" w:rsidRDefault="00294D44" w:rsidP="00294D44"/>
    <w:p w:rsidR="00294D44" w:rsidRDefault="00294D44" w:rsidP="00294D44">
      <w:pPr>
        <w:pStyle w:val="EntradandiceAuto"/>
      </w:pPr>
      <w:r>
        <w:t xml:space="preserve">Pleno. Auto 50/2012, de 13 de marzo de 2012. Acuerda la extinción, por desaparición sobrevenida de su objeto, de la cuestión de inconstitucionalidad 7146-2004, </w:t>
      </w:r>
      <w:r>
        <w:lastRenderedPageBreak/>
        <w:t>planteada por el Juzgado de Primera Instancia núm. 2 de San Bartolomé de Tirajana en relación con el apartado cuarto de la disposición transitoria única de la Ley del Parlamento de Canarias 5/1999, de 15 de marzo, de ordenación del turismo de Canarias.</w:t>
      </w:r>
      <w:r>
        <w:tab/>
      </w:r>
      <w:r>
        <w:tab/>
      </w:r>
      <w:r>
        <w:fldChar w:fldCharType="begin"/>
      </w:r>
      <w:r>
        <w:instrText xml:space="preserve"> PAGEREF AUTO_2012_50 \h </w:instrText>
      </w:r>
      <w:r>
        <w:fldChar w:fldCharType="separate"/>
      </w:r>
      <w:r w:rsidR="00A6693A">
        <w:rPr>
          <w:noProof/>
        </w:rPr>
        <w:t>2836</w:t>
      </w:r>
      <w:r>
        <w:fldChar w:fldCharType="end"/>
      </w:r>
    </w:p>
    <w:p w:rsidR="00294D44" w:rsidRDefault="00294D44" w:rsidP="00294D44"/>
    <w:p w:rsidR="00294D44" w:rsidRDefault="00294D44" w:rsidP="00294D44">
      <w:pPr>
        <w:pStyle w:val="EntradandiceAuto"/>
      </w:pPr>
      <w:r>
        <w:t>Pleno. Auto 51/2012, de 13 de marzo de 2012. Acuerda la extinción, por desaparición sobrevenida de su objeto, de la cuestión de inconstitucionalidad 1993-2005, planteada por el Juzgado de Primera Instancia e Instrucción núm. 8 de San Bartolomé de Tirajana en relación con el apartado cuarto de la disposición transitoria única de la Ley del Parlamento de Canarias 5/1999, de 15 de marzo, de ordenación del turismo de Canarias.</w:t>
      </w:r>
      <w:r>
        <w:tab/>
      </w:r>
      <w:r>
        <w:tab/>
      </w:r>
      <w:r>
        <w:fldChar w:fldCharType="begin"/>
      </w:r>
      <w:r>
        <w:instrText xml:space="preserve"> PAGEREF AUTO_2012_51 \h </w:instrText>
      </w:r>
      <w:r>
        <w:fldChar w:fldCharType="separate"/>
      </w:r>
      <w:r w:rsidR="00A6693A">
        <w:rPr>
          <w:noProof/>
        </w:rPr>
        <w:t>2839</w:t>
      </w:r>
      <w:r>
        <w:fldChar w:fldCharType="end"/>
      </w:r>
    </w:p>
    <w:p w:rsidR="00294D44" w:rsidRDefault="00294D44" w:rsidP="00294D44"/>
    <w:p w:rsidR="00294D44" w:rsidRDefault="00294D44" w:rsidP="00294D44">
      <w:pPr>
        <w:pStyle w:val="EntradandiceAuto"/>
      </w:pPr>
      <w:r>
        <w:t>Sección Segunda. Auto 52/2012, de 22 de marzo de 2012. Acuerda el desistimiento en el recurso de amparo 7576-2010, promovido en contencioso-administrativo.</w:t>
      </w:r>
      <w:r>
        <w:tab/>
      </w:r>
      <w:r>
        <w:tab/>
      </w:r>
      <w:r>
        <w:fldChar w:fldCharType="begin"/>
      </w:r>
      <w:r>
        <w:instrText xml:space="preserve"> PAGEREF AUTO_2012_52 \h </w:instrText>
      </w:r>
      <w:r>
        <w:fldChar w:fldCharType="separate"/>
      </w:r>
      <w:r w:rsidR="00A6693A">
        <w:rPr>
          <w:noProof/>
        </w:rPr>
        <w:t>2842</w:t>
      </w:r>
      <w:r>
        <w:fldChar w:fldCharType="end"/>
      </w:r>
    </w:p>
    <w:p w:rsidR="00294D44" w:rsidRDefault="00294D44" w:rsidP="00294D44"/>
    <w:p w:rsidR="00294D44" w:rsidRDefault="00294D44" w:rsidP="00294D44">
      <w:pPr>
        <w:pStyle w:val="EntradandiceAuto"/>
      </w:pPr>
      <w:r>
        <w:t>Sala Segunda. Auto 53/2012, de 26 de marzo de 2012. Deniega la suspensión en el recurso de amparo 5895-2010, promovido por Fontanería Gallardo, S.L.</w:t>
      </w:r>
      <w:r>
        <w:tab/>
      </w:r>
      <w:r>
        <w:tab/>
      </w:r>
      <w:r>
        <w:fldChar w:fldCharType="begin"/>
      </w:r>
      <w:r>
        <w:instrText xml:space="preserve"> PAGEREF AUTO_2012_53 \h </w:instrText>
      </w:r>
      <w:r>
        <w:fldChar w:fldCharType="separate"/>
      </w:r>
      <w:r w:rsidR="00A6693A">
        <w:rPr>
          <w:noProof/>
        </w:rPr>
        <w:t>2843</w:t>
      </w:r>
      <w:r>
        <w:fldChar w:fldCharType="end"/>
      </w:r>
    </w:p>
    <w:p w:rsidR="00294D44" w:rsidRDefault="00294D44" w:rsidP="00294D44"/>
    <w:p w:rsidR="00294D44" w:rsidRDefault="00294D44" w:rsidP="00294D44">
      <w:pPr>
        <w:pStyle w:val="EntradandiceAuto"/>
      </w:pPr>
      <w:r>
        <w:t>Sección Cuarta. Auto 54/2012, de 26 de marzo de 2012. Declara la falta de competencia del Tribunal Constitucional para conocer de la impugnación de resolución de la comisión central de asistencia jurídica gratuita dictada con ocasión del recurso de amparo 6834-2010, promovido por doña Sankhe Maimouna.</w:t>
      </w:r>
      <w:r>
        <w:tab/>
      </w:r>
      <w:r>
        <w:tab/>
      </w:r>
      <w:r>
        <w:fldChar w:fldCharType="begin"/>
      </w:r>
      <w:r>
        <w:instrText xml:space="preserve"> PAGEREF AUTO_2012_54 \h </w:instrText>
      </w:r>
      <w:r>
        <w:fldChar w:fldCharType="separate"/>
      </w:r>
      <w:r w:rsidR="00A6693A">
        <w:rPr>
          <w:noProof/>
        </w:rPr>
        <w:t>2846</w:t>
      </w:r>
      <w:r>
        <w:fldChar w:fldCharType="end"/>
      </w:r>
    </w:p>
    <w:p w:rsidR="00294D44" w:rsidRDefault="00294D44" w:rsidP="00294D44"/>
    <w:p w:rsidR="00294D44" w:rsidRDefault="00294D44" w:rsidP="00294D44">
      <w:pPr>
        <w:pStyle w:val="EntradandiceAuto"/>
      </w:pPr>
      <w:r>
        <w:t>Sala Segunda. Auto 55/2012, de 26 de marzo de 2012. Deniega la suspensión en el recurso de amparo 7271-2010, promovido por General de Galerías Comerciales, S.A.</w:t>
      </w:r>
      <w:r>
        <w:tab/>
      </w:r>
      <w:r>
        <w:tab/>
      </w:r>
      <w:r>
        <w:fldChar w:fldCharType="begin"/>
      </w:r>
      <w:r>
        <w:instrText xml:space="preserve"> PAGEREF AUTO_2012_55 \h </w:instrText>
      </w:r>
      <w:r>
        <w:fldChar w:fldCharType="separate"/>
      </w:r>
      <w:r w:rsidR="00A6693A">
        <w:rPr>
          <w:noProof/>
        </w:rPr>
        <w:t>2851</w:t>
      </w:r>
      <w:r>
        <w:fldChar w:fldCharType="end"/>
      </w:r>
    </w:p>
    <w:p w:rsidR="00294D44" w:rsidRDefault="00294D44" w:rsidP="00294D44"/>
    <w:p w:rsidR="00294D44" w:rsidRDefault="00294D44" w:rsidP="00294D44">
      <w:pPr>
        <w:pStyle w:val="EntradandiceAuto"/>
      </w:pPr>
      <w:r>
        <w:t>Sala Segunda. Auto 56/2012, de 26 de marzo de 2012. Deniega la suspensión en el recurso de amparo 8996-2010, promovido por Pinturas Eurotex, S.A., y Palacete de los Lasso, S.L.U.</w:t>
      </w:r>
      <w:r>
        <w:tab/>
      </w:r>
      <w:r>
        <w:tab/>
      </w:r>
      <w:r>
        <w:fldChar w:fldCharType="begin"/>
      </w:r>
      <w:r>
        <w:instrText xml:space="preserve"> PAGEREF AUTO_2012_56 \h </w:instrText>
      </w:r>
      <w:r>
        <w:fldChar w:fldCharType="separate"/>
      </w:r>
      <w:r w:rsidR="00A6693A">
        <w:rPr>
          <w:noProof/>
        </w:rPr>
        <w:t>2855</w:t>
      </w:r>
      <w:r>
        <w:fldChar w:fldCharType="end"/>
      </w:r>
    </w:p>
    <w:p w:rsidR="00294D44" w:rsidRDefault="00294D44" w:rsidP="00294D44"/>
    <w:p w:rsidR="00294D44" w:rsidRDefault="00294D44" w:rsidP="00294D44">
      <w:pPr>
        <w:pStyle w:val="EntradandiceAuto"/>
      </w:pPr>
      <w:r>
        <w:t>Sección Cuarta. Auto 57/2012, de 26 de marzo de 2012. Acuerda el desistimiento en el recurso de amparo 6034-2011, promovido en causa penal.</w:t>
      </w:r>
      <w:r>
        <w:tab/>
      </w:r>
      <w:r>
        <w:tab/>
      </w:r>
      <w:r>
        <w:fldChar w:fldCharType="begin"/>
      </w:r>
      <w:r>
        <w:instrText xml:space="preserve"> PAGEREF AUTO_2012_57 \h </w:instrText>
      </w:r>
      <w:r>
        <w:fldChar w:fldCharType="separate"/>
      </w:r>
      <w:r w:rsidR="00A6693A">
        <w:rPr>
          <w:noProof/>
        </w:rPr>
        <w:t>2859</w:t>
      </w:r>
      <w:r>
        <w:fldChar w:fldCharType="end"/>
      </w:r>
    </w:p>
    <w:p w:rsidR="00294D44" w:rsidRDefault="00294D44" w:rsidP="00294D44"/>
    <w:p w:rsidR="00294D44" w:rsidRDefault="00294D44" w:rsidP="00294D44">
      <w:pPr>
        <w:pStyle w:val="EntradandiceAuto"/>
      </w:pPr>
      <w:r>
        <w:t>Sala Segunda. Auto 58/2012, de 26 de marzo de 2012. Acuerda la suspensión en el recurso de amparo 6549-2011, promovido por don Yamid Arnobi Valencia Carmona.</w:t>
      </w:r>
      <w:r>
        <w:tab/>
      </w:r>
      <w:r>
        <w:tab/>
      </w:r>
      <w:r>
        <w:fldChar w:fldCharType="begin"/>
      </w:r>
      <w:r>
        <w:instrText xml:space="preserve"> PAGEREF AUTO_2012_58 \h </w:instrText>
      </w:r>
      <w:r>
        <w:fldChar w:fldCharType="separate"/>
      </w:r>
      <w:r w:rsidR="00A6693A">
        <w:rPr>
          <w:noProof/>
        </w:rPr>
        <w:t>2860</w:t>
      </w:r>
      <w:r>
        <w:fldChar w:fldCharType="end"/>
      </w:r>
    </w:p>
    <w:p w:rsidR="00294D44" w:rsidRDefault="00294D44" w:rsidP="00294D44"/>
    <w:p w:rsidR="00294D44" w:rsidRDefault="00294D44" w:rsidP="00294D44">
      <w:pPr>
        <w:pStyle w:val="EntradandiceAuto"/>
      </w:pPr>
      <w:r>
        <w:t>Sección Segunda. Auto 59/2012, de 28 de marzo de 2012. Acuerda el desistimiento en el recurso de amparo 5416-2011, promovido en contencioso-administrativo.</w:t>
      </w:r>
      <w:r>
        <w:tab/>
      </w:r>
      <w:r>
        <w:tab/>
      </w:r>
      <w:r>
        <w:fldChar w:fldCharType="begin"/>
      </w:r>
      <w:r>
        <w:instrText xml:space="preserve"> PAGEREF AUTO_2012_59 \h </w:instrText>
      </w:r>
      <w:r>
        <w:fldChar w:fldCharType="separate"/>
      </w:r>
      <w:r w:rsidR="00A6693A">
        <w:rPr>
          <w:noProof/>
        </w:rPr>
        <w:t>2863</w:t>
      </w:r>
      <w:r>
        <w:fldChar w:fldCharType="end"/>
      </w:r>
    </w:p>
    <w:p w:rsidR="00294D44" w:rsidRDefault="00294D44" w:rsidP="00294D44"/>
    <w:p w:rsidR="00294D44" w:rsidRDefault="00294D44" w:rsidP="00294D44">
      <w:pPr>
        <w:pStyle w:val="EntradandiceAuto"/>
      </w:pPr>
      <w:r>
        <w:lastRenderedPageBreak/>
        <w:t>Sección Segunda. Auto 60/2012, de 28 de marzo de 2012. Acuerda el desistimiento en el recurso de amparo 5736-2011, promovido en contencioso-administrativo.</w:t>
      </w:r>
      <w:r>
        <w:tab/>
      </w:r>
      <w:r>
        <w:tab/>
      </w:r>
      <w:r>
        <w:fldChar w:fldCharType="begin"/>
      </w:r>
      <w:r>
        <w:instrText xml:space="preserve"> PAGEREF AUTO_2012_60 \h </w:instrText>
      </w:r>
      <w:r>
        <w:fldChar w:fldCharType="separate"/>
      </w:r>
      <w:r w:rsidR="00A6693A">
        <w:rPr>
          <w:noProof/>
        </w:rPr>
        <w:t>2864</w:t>
      </w:r>
      <w:r>
        <w:fldChar w:fldCharType="end"/>
      </w:r>
    </w:p>
    <w:p w:rsidR="00294D44" w:rsidRDefault="00294D44" w:rsidP="00294D44"/>
    <w:p w:rsidR="00294D44" w:rsidRDefault="00294D44" w:rsidP="00294D44">
      <w:pPr>
        <w:pStyle w:val="EntradandiceAuto"/>
      </w:pPr>
      <w:r>
        <w:t>Sección Segunda. Auto 61/2012, de 11 de abril de 2012. Acuerda el desistimiento en el recurso de amparo 1675-2011, promovido en causa penal.</w:t>
      </w:r>
      <w:r>
        <w:tab/>
      </w:r>
      <w:r>
        <w:tab/>
      </w:r>
      <w:r>
        <w:fldChar w:fldCharType="begin"/>
      </w:r>
      <w:r>
        <w:instrText xml:space="preserve"> PAGEREF AUTO_2012_61 \h </w:instrText>
      </w:r>
      <w:r>
        <w:fldChar w:fldCharType="separate"/>
      </w:r>
      <w:r w:rsidR="00A6693A">
        <w:rPr>
          <w:noProof/>
        </w:rPr>
        <w:t>2865</w:t>
      </w:r>
      <w:r>
        <w:fldChar w:fldCharType="end"/>
      </w:r>
    </w:p>
    <w:p w:rsidR="00294D44" w:rsidRDefault="00294D44" w:rsidP="00294D44"/>
    <w:p w:rsidR="00294D44" w:rsidRDefault="00294D44" w:rsidP="00294D44">
      <w:pPr>
        <w:pStyle w:val="EntradandiceAuto"/>
      </w:pPr>
      <w:r>
        <w:t>Sección Segunda. Auto 62/2012, de 11 de abril de 2012. Acuerda el desistimiento en el recurso de amparo 2344-2011, promovido en causa penal.</w:t>
      </w:r>
      <w:r>
        <w:tab/>
      </w:r>
      <w:r>
        <w:tab/>
      </w:r>
      <w:r>
        <w:fldChar w:fldCharType="begin"/>
      </w:r>
      <w:r>
        <w:instrText xml:space="preserve"> PAGEREF AUTO_2012_62 \h </w:instrText>
      </w:r>
      <w:r>
        <w:fldChar w:fldCharType="separate"/>
      </w:r>
      <w:r w:rsidR="00A6693A">
        <w:rPr>
          <w:noProof/>
        </w:rPr>
        <w:t>2866</w:t>
      </w:r>
      <w:r>
        <w:fldChar w:fldCharType="end"/>
      </w:r>
    </w:p>
    <w:p w:rsidR="00294D44" w:rsidRDefault="00294D44" w:rsidP="00294D44"/>
    <w:p w:rsidR="00294D44" w:rsidRDefault="00294D44" w:rsidP="00294D44">
      <w:pPr>
        <w:pStyle w:val="EntradandiceAuto"/>
      </w:pPr>
      <w:r>
        <w:t>Sección Primera. Auto 63/2012, de 11 de abril de 2012. Acuerda el desistimiento en el recurso de amparo 6358-2011, promovido en causa penal.</w:t>
      </w:r>
      <w:r>
        <w:tab/>
      </w:r>
      <w:r>
        <w:tab/>
      </w:r>
      <w:r>
        <w:fldChar w:fldCharType="begin"/>
      </w:r>
      <w:r>
        <w:instrText xml:space="preserve"> PAGEREF AUTO_2012_63 \h </w:instrText>
      </w:r>
      <w:r>
        <w:fldChar w:fldCharType="separate"/>
      </w:r>
      <w:r w:rsidR="00A6693A">
        <w:rPr>
          <w:noProof/>
        </w:rPr>
        <w:t>2867</w:t>
      </w:r>
      <w:r>
        <w:fldChar w:fldCharType="end"/>
      </w:r>
    </w:p>
    <w:p w:rsidR="00294D44" w:rsidRDefault="00294D44" w:rsidP="00294D44"/>
    <w:p w:rsidR="00294D44" w:rsidRDefault="00294D44" w:rsidP="00294D44">
      <w:pPr>
        <w:pStyle w:val="EntradandiceAuto"/>
      </w:pPr>
      <w:r>
        <w:t>Sala Primera. Auto 64/2012, de 16 de abril de 2012. Deniega la suspensión en el recurso de amparo 5510-2010, promovido por Construcciones Conde, S.A.</w:t>
      </w:r>
      <w:r>
        <w:tab/>
      </w:r>
      <w:r>
        <w:tab/>
      </w:r>
      <w:r>
        <w:fldChar w:fldCharType="begin"/>
      </w:r>
      <w:r>
        <w:instrText xml:space="preserve"> PAGEREF AUTO_2012_64 \h </w:instrText>
      </w:r>
      <w:r>
        <w:fldChar w:fldCharType="separate"/>
      </w:r>
      <w:r w:rsidR="00A6693A">
        <w:rPr>
          <w:noProof/>
        </w:rPr>
        <w:t>2868</w:t>
      </w:r>
      <w:r>
        <w:fldChar w:fldCharType="end"/>
      </w:r>
    </w:p>
    <w:p w:rsidR="00294D44" w:rsidRDefault="00294D44" w:rsidP="00294D44"/>
    <w:p w:rsidR="00294D44" w:rsidRDefault="00294D44" w:rsidP="00294D44">
      <w:pPr>
        <w:pStyle w:val="EntradandiceAuto"/>
      </w:pPr>
      <w:r>
        <w:t>Sala Primera. Auto 65/2012, de 16 de abril de 2012. Deniega la suspensión en el recurso de amparo 5682-2010, promovido por don Tomás Chiscano Andújar.</w:t>
      </w:r>
      <w:r>
        <w:tab/>
      </w:r>
      <w:r>
        <w:tab/>
      </w:r>
      <w:r>
        <w:fldChar w:fldCharType="begin"/>
      </w:r>
      <w:r>
        <w:instrText xml:space="preserve"> PAGEREF AUTO_2012_65 \h </w:instrText>
      </w:r>
      <w:r>
        <w:fldChar w:fldCharType="separate"/>
      </w:r>
      <w:r w:rsidR="00A6693A">
        <w:rPr>
          <w:noProof/>
        </w:rPr>
        <w:t>2872</w:t>
      </w:r>
      <w:r>
        <w:fldChar w:fldCharType="end"/>
      </w:r>
    </w:p>
    <w:p w:rsidR="00294D44" w:rsidRDefault="00294D44" w:rsidP="00294D44"/>
    <w:p w:rsidR="00294D44" w:rsidRDefault="00294D44" w:rsidP="00294D44">
      <w:pPr>
        <w:pStyle w:val="EntradandiceAuto"/>
      </w:pPr>
      <w:r>
        <w:t>Sala Segunda. Auto 66/2012, de 16 de abril de 2012. Suspende la ejecución de la resolución de la Delegación del Gobierno en Madrid de 4 de junio de 2008 solicitada en el recurso de amparo 6022-2011, promovido por don Fredy Oswaldo Calle Quintero.</w:t>
      </w:r>
      <w:r>
        <w:tab/>
      </w:r>
      <w:r>
        <w:tab/>
      </w:r>
      <w:r>
        <w:fldChar w:fldCharType="begin"/>
      </w:r>
      <w:r>
        <w:instrText xml:space="preserve"> PAGEREF AUTO_2012_66 \h </w:instrText>
      </w:r>
      <w:r>
        <w:fldChar w:fldCharType="separate"/>
      </w:r>
      <w:r w:rsidR="00A6693A">
        <w:rPr>
          <w:noProof/>
        </w:rPr>
        <w:t>2876</w:t>
      </w:r>
      <w:r>
        <w:fldChar w:fldCharType="end"/>
      </w:r>
    </w:p>
    <w:p w:rsidR="00294D44" w:rsidRDefault="00294D44" w:rsidP="00294D44"/>
    <w:p w:rsidR="00294D44" w:rsidRDefault="00294D44" w:rsidP="00294D44">
      <w:pPr>
        <w:pStyle w:val="EntradandiceAuto"/>
      </w:pPr>
      <w:r>
        <w:t>Pleno. Auto 67/2012, de 17 de abril de 2012. Acuerda la extinción del conflicto positivo de competencia 81-2008, promovido por el Gobierno de Aragón en relación con diversos preceptos del Real Decreto 1069/2007, de 27 de julio, por el que se regula el procedimiento para la tramitación de las solicitudes de inscripción en el registro comunitario de las denominaciones de origen protegidas y de las indicaciones geográficas protegidas y la oposición a ellas.</w:t>
      </w:r>
      <w:r>
        <w:tab/>
      </w:r>
      <w:r>
        <w:tab/>
      </w:r>
      <w:r>
        <w:fldChar w:fldCharType="begin"/>
      </w:r>
      <w:r>
        <w:instrText xml:space="preserve"> PAGEREF AUTO_2012_67 \h </w:instrText>
      </w:r>
      <w:r>
        <w:fldChar w:fldCharType="separate"/>
      </w:r>
      <w:r w:rsidR="00A6693A">
        <w:rPr>
          <w:noProof/>
        </w:rPr>
        <w:t>2880</w:t>
      </w:r>
      <w:r>
        <w:fldChar w:fldCharType="end"/>
      </w:r>
    </w:p>
    <w:p w:rsidR="00294D44" w:rsidRDefault="00294D44" w:rsidP="00294D44"/>
    <w:p w:rsidR="00294D44" w:rsidRDefault="00294D44" w:rsidP="00294D44">
      <w:pPr>
        <w:pStyle w:val="EntradandiceAuto"/>
      </w:pPr>
      <w:r>
        <w:t>Pleno. Auto 68/2012, de 17 de abril de 2012. Inadmite a trámite la cuestión de inconstitucionalidad 6252-2011, planteada por la Sala de lo Contencioso-Administrativo del Tribunal Superior de Justicia de Extremadura en relación con la disposición transitoria tercera de la Ley de Extremadura 3/1990, de 24 de mayo, de la función pública.</w:t>
      </w:r>
      <w:r>
        <w:tab/>
      </w:r>
      <w:r>
        <w:tab/>
      </w:r>
      <w:r>
        <w:fldChar w:fldCharType="begin"/>
      </w:r>
      <w:r>
        <w:instrText xml:space="preserve"> PAGEREF AUTO_2012_68 \h </w:instrText>
      </w:r>
      <w:r>
        <w:fldChar w:fldCharType="separate"/>
      </w:r>
      <w:r w:rsidR="00A6693A">
        <w:rPr>
          <w:noProof/>
        </w:rPr>
        <w:t>2882</w:t>
      </w:r>
      <w:r>
        <w:fldChar w:fldCharType="end"/>
      </w:r>
    </w:p>
    <w:p w:rsidR="00294D44" w:rsidRDefault="00294D44" w:rsidP="00294D44"/>
    <w:p w:rsidR="00294D44" w:rsidRDefault="00294D44" w:rsidP="00294D44">
      <w:pPr>
        <w:pStyle w:val="EntradandiceAuto"/>
      </w:pPr>
      <w:r>
        <w:t>Pleno. Auto 69/2012, de 17 de abril de 2012. Levanta la suspensión de los artículos 6 y 10 de la Ley 3/2011, de 24 de febrero, de medidas en materia de contratos del sector público de Aragón, impugnados por el Presidente del Gobierno en el recurso de inconstitucionalidad 6720-2011.</w:t>
      </w:r>
      <w:r>
        <w:tab/>
      </w:r>
      <w:r>
        <w:tab/>
      </w:r>
      <w:r>
        <w:fldChar w:fldCharType="begin"/>
      </w:r>
      <w:r>
        <w:instrText xml:space="preserve"> PAGEREF AUTO_2012_69 \h </w:instrText>
      </w:r>
      <w:r>
        <w:fldChar w:fldCharType="separate"/>
      </w:r>
      <w:r w:rsidR="00A6693A">
        <w:rPr>
          <w:noProof/>
        </w:rPr>
        <w:t>2890</w:t>
      </w:r>
      <w:r>
        <w:fldChar w:fldCharType="end"/>
      </w:r>
    </w:p>
    <w:p w:rsidR="00294D44" w:rsidRDefault="00294D44" w:rsidP="00294D44"/>
    <w:p w:rsidR="00294D44" w:rsidRDefault="00294D44" w:rsidP="00294D44">
      <w:pPr>
        <w:pStyle w:val="EntradandiceAuto"/>
      </w:pPr>
      <w:r>
        <w:lastRenderedPageBreak/>
        <w:t>Sección Primera. Auto 70/2012, de 18 de abril de 2012. Acuerda el desistimiento en el recurso de amparo 255-2012, promovido en pleito civil.</w:t>
      </w:r>
      <w:r>
        <w:tab/>
      </w:r>
      <w:r>
        <w:tab/>
      </w:r>
      <w:r>
        <w:fldChar w:fldCharType="begin"/>
      </w:r>
      <w:r>
        <w:instrText xml:space="preserve"> PAGEREF AUTO_2012_70 \h </w:instrText>
      </w:r>
      <w:r>
        <w:fldChar w:fldCharType="separate"/>
      </w:r>
      <w:r w:rsidR="00A6693A">
        <w:rPr>
          <w:noProof/>
        </w:rPr>
        <w:t>2898</w:t>
      </w:r>
      <w:r>
        <w:fldChar w:fldCharType="end"/>
      </w:r>
    </w:p>
    <w:p w:rsidR="00294D44" w:rsidRDefault="00294D44" w:rsidP="00294D44"/>
    <w:p w:rsidR="00294D44" w:rsidRDefault="00294D44" w:rsidP="00294D44">
      <w:pPr>
        <w:pStyle w:val="EntradandiceAuto"/>
      </w:pPr>
      <w:r>
        <w:t>Sala Primera. Auto 71/2012, de 7 de mayo de 2012. Deniega la suspensión en el recurso de amparo 5391-2009, promovido por doña Itziar Martínez Sustarxa.</w:t>
      </w:r>
      <w:r>
        <w:tab/>
      </w:r>
      <w:r>
        <w:tab/>
      </w:r>
      <w:r>
        <w:fldChar w:fldCharType="begin"/>
      </w:r>
      <w:r>
        <w:instrText xml:space="preserve"> PAGEREF AUTO_2012_71 \h </w:instrText>
      </w:r>
      <w:r>
        <w:fldChar w:fldCharType="separate"/>
      </w:r>
      <w:r w:rsidR="00A6693A">
        <w:rPr>
          <w:noProof/>
        </w:rPr>
        <w:t>2899</w:t>
      </w:r>
      <w:r>
        <w:fldChar w:fldCharType="end"/>
      </w:r>
    </w:p>
    <w:p w:rsidR="00294D44" w:rsidRDefault="00294D44" w:rsidP="00294D44"/>
    <w:p w:rsidR="00294D44" w:rsidRDefault="00294D44" w:rsidP="00294D44">
      <w:pPr>
        <w:pStyle w:val="EntradandiceAuto"/>
      </w:pPr>
      <w:r>
        <w:t>Sala Primera. Auto 72/2012, de 7 de mayo de 2012. Deniega la suspensión en el recurso de amparo 6106-2009, promovido por don Jesús Díaz de Heredia Ruiz de Arbulo.</w:t>
      </w:r>
      <w:r>
        <w:tab/>
      </w:r>
      <w:r>
        <w:tab/>
      </w:r>
      <w:r>
        <w:fldChar w:fldCharType="begin"/>
      </w:r>
      <w:r>
        <w:instrText xml:space="preserve"> PAGEREF AUTO_2012_72 \h </w:instrText>
      </w:r>
      <w:r>
        <w:fldChar w:fldCharType="separate"/>
      </w:r>
      <w:r w:rsidR="00A6693A">
        <w:rPr>
          <w:noProof/>
        </w:rPr>
        <w:t>2902</w:t>
      </w:r>
      <w:r>
        <w:fldChar w:fldCharType="end"/>
      </w:r>
    </w:p>
    <w:p w:rsidR="00294D44" w:rsidRDefault="00294D44" w:rsidP="00294D44"/>
    <w:p w:rsidR="00294D44" w:rsidRDefault="00294D44" w:rsidP="00294D44">
      <w:pPr>
        <w:pStyle w:val="EntradandiceAuto"/>
      </w:pPr>
      <w:r>
        <w:t>Sala Primera. Auto 73/2012, de 7 de mayo de 2012. Deniega la suspensión en el recurso de amparo 7189-2009, promovido por don Ignacio Mendiburu Iturrain.</w:t>
      </w:r>
      <w:r>
        <w:tab/>
      </w:r>
      <w:r>
        <w:tab/>
      </w:r>
      <w:r>
        <w:fldChar w:fldCharType="begin"/>
      </w:r>
      <w:r>
        <w:instrText xml:space="preserve"> PAGEREF AUTO_2012_73 \h </w:instrText>
      </w:r>
      <w:r>
        <w:fldChar w:fldCharType="separate"/>
      </w:r>
      <w:r w:rsidR="00A6693A">
        <w:rPr>
          <w:noProof/>
        </w:rPr>
        <w:t>2905</w:t>
      </w:r>
      <w:r>
        <w:fldChar w:fldCharType="end"/>
      </w:r>
    </w:p>
    <w:p w:rsidR="00294D44" w:rsidRDefault="00294D44" w:rsidP="00294D44"/>
    <w:p w:rsidR="00294D44" w:rsidRDefault="00294D44" w:rsidP="00294D44">
      <w:pPr>
        <w:pStyle w:val="EntradandiceAuto"/>
      </w:pPr>
      <w:r>
        <w:t>Sala Primera. Auto 74/2012, de 7 de mayo de 2012. Deniega la suspensión en el recurso de amparo 8136-2009, promovido por don Juan María Gabirondo Agote.</w:t>
      </w:r>
      <w:r>
        <w:tab/>
      </w:r>
      <w:r>
        <w:tab/>
      </w:r>
      <w:r>
        <w:fldChar w:fldCharType="begin"/>
      </w:r>
      <w:r>
        <w:instrText xml:space="preserve"> PAGEREF AUTO_2012_74 \h </w:instrText>
      </w:r>
      <w:r>
        <w:fldChar w:fldCharType="separate"/>
      </w:r>
      <w:r w:rsidR="00A6693A">
        <w:rPr>
          <w:noProof/>
        </w:rPr>
        <w:t>2908</w:t>
      </w:r>
      <w:r>
        <w:fldChar w:fldCharType="end"/>
      </w:r>
    </w:p>
    <w:p w:rsidR="00294D44" w:rsidRDefault="00294D44" w:rsidP="00294D44"/>
    <w:p w:rsidR="00294D44" w:rsidRDefault="00294D44" w:rsidP="00294D44">
      <w:pPr>
        <w:pStyle w:val="EntradandiceAuto"/>
      </w:pPr>
      <w:r>
        <w:t>Sala Primera. Auto 75/2012, de 7 de mayo de 2012. Deniega la suspensión en el recurso de amparo 1200-2010, promovido por don Ángel Viguri Camino.</w:t>
      </w:r>
      <w:r>
        <w:tab/>
      </w:r>
      <w:r>
        <w:tab/>
      </w:r>
      <w:r>
        <w:fldChar w:fldCharType="begin"/>
      </w:r>
      <w:r>
        <w:instrText xml:space="preserve"> PAGEREF AUTO_2012_75 \h </w:instrText>
      </w:r>
      <w:r>
        <w:fldChar w:fldCharType="separate"/>
      </w:r>
      <w:r w:rsidR="00A6693A">
        <w:rPr>
          <w:noProof/>
        </w:rPr>
        <w:t>2911</w:t>
      </w:r>
      <w:r>
        <w:fldChar w:fldCharType="end"/>
      </w:r>
    </w:p>
    <w:p w:rsidR="00294D44" w:rsidRDefault="00294D44" w:rsidP="00294D44"/>
    <w:p w:rsidR="00294D44" w:rsidRDefault="00294D44" w:rsidP="00294D44">
      <w:pPr>
        <w:pStyle w:val="EntradandiceAuto"/>
      </w:pPr>
      <w:r>
        <w:t>Sala Segunda. Auto 76/2012, de 7 de mayo de 2012. Acuerda la suspensión parcial en el recurso de amparo 5637-2010, promovido por don Antonio Muñiz García y otras personas.</w:t>
      </w:r>
      <w:r>
        <w:tab/>
      </w:r>
      <w:r>
        <w:tab/>
      </w:r>
      <w:r>
        <w:fldChar w:fldCharType="begin"/>
      </w:r>
      <w:r>
        <w:instrText xml:space="preserve"> PAGEREF AUTO_2012_76 \h </w:instrText>
      </w:r>
      <w:r>
        <w:fldChar w:fldCharType="separate"/>
      </w:r>
      <w:r w:rsidR="00A6693A">
        <w:rPr>
          <w:noProof/>
        </w:rPr>
        <w:t>2914</w:t>
      </w:r>
      <w:r>
        <w:fldChar w:fldCharType="end"/>
      </w:r>
    </w:p>
    <w:p w:rsidR="00294D44" w:rsidRDefault="00294D44" w:rsidP="00294D44"/>
    <w:p w:rsidR="00294D44" w:rsidRDefault="00294D44" w:rsidP="00294D44">
      <w:pPr>
        <w:pStyle w:val="EntradandiceAuto"/>
      </w:pPr>
      <w:r>
        <w:t>Sala Primera. Auto 77/2012, de 7 de mayo de 2012. Acuerda el desistimiento en el incidente de suspensión del recurso de amparo 7077-2010, promovido por don Francisco Calatayud Moreno.</w:t>
      </w:r>
      <w:r>
        <w:tab/>
      </w:r>
      <w:r>
        <w:tab/>
      </w:r>
      <w:r>
        <w:fldChar w:fldCharType="begin"/>
      </w:r>
      <w:r>
        <w:instrText xml:space="preserve"> PAGEREF AUTO_2012_77 \h </w:instrText>
      </w:r>
      <w:r>
        <w:fldChar w:fldCharType="separate"/>
      </w:r>
      <w:r w:rsidR="00A6693A">
        <w:rPr>
          <w:noProof/>
        </w:rPr>
        <w:t>2918</w:t>
      </w:r>
      <w:r>
        <w:fldChar w:fldCharType="end"/>
      </w:r>
    </w:p>
    <w:p w:rsidR="00294D44" w:rsidRDefault="00294D44" w:rsidP="00294D44"/>
    <w:p w:rsidR="00294D44" w:rsidRDefault="00294D44" w:rsidP="00294D44">
      <w:pPr>
        <w:pStyle w:val="EntradandiceAuto"/>
      </w:pPr>
      <w:r>
        <w:t>Sala Primera. Auto 78/2012, de 7 de mayo de 2012. Deniega la suspensión en el recurso de amparo 8612-2010, promovido por don Ignacio Erro Zazu.</w:t>
      </w:r>
      <w:r>
        <w:tab/>
      </w:r>
      <w:r>
        <w:tab/>
      </w:r>
      <w:r>
        <w:fldChar w:fldCharType="begin"/>
      </w:r>
      <w:r>
        <w:instrText xml:space="preserve"> PAGEREF AUTO_2012_78 \h </w:instrText>
      </w:r>
      <w:r>
        <w:fldChar w:fldCharType="separate"/>
      </w:r>
      <w:r w:rsidR="00A6693A">
        <w:rPr>
          <w:noProof/>
        </w:rPr>
        <w:t>2919</w:t>
      </w:r>
      <w:r>
        <w:fldChar w:fldCharType="end"/>
      </w:r>
    </w:p>
    <w:p w:rsidR="00294D44" w:rsidRDefault="00294D44" w:rsidP="00294D44"/>
    <w:p w:rsidR="00294D44" w:rsidRDefault="00294D44" w:rsidP="00294D44">
      <w:pPr>
        <w:pStyle w:val="EntradandiceAuto"/>
      </w:pPr>
      <w:r>
        <w:t>Sala Primera. Auto 79/2012, de 7 de mayo de 2012. Deniega la suspensión en el recurso de amparo 8742-2010, promovido por don Jon Koldo Aguinagalde Urrestarazu.</w:t>
      </w:r>
      <w:r>
        <w:tab/>
      </w:r>
      <w:r>
        <w:tab/>
      </w:r>
      <w:r>
        <w:fldChar w:fldCharType="begin"/>
      </w:r>
      <w:r>
        <w:instrText xml:space="preserve"> PAGEREF AUTO_2012_79 \h </w:instrText>
      </w:r>
      <w:r>
        <w:fldChar w:fldCharType="separate"/>
      </w:r>
      <w:r w:rsidR="00A6693A">
        <w:rPr>
          <w:noProof/>
        </w:rPr>
        <w:t>2922</w:t>
      </w:r>
      <w:r>
        <w:fldChar w:fldCharType="end"/>
      </w:r>
    </w:p>
    <w:p w:rsidR="00294D44" w:rsidRDefault="00294D44" w:rsidP="00294D44"/>
    <w:p w:rsidR="00294D44" w:rsidRDefault="00294D44" w:rsidP="00294D44">
      <w:pPr>
        <w:pStyle w:val="EntradandiceAuto"/>
      </w:pPr>
      <w:r>
        <w:t>Sección Cuarta. Auto 80/2012, de 7 de mayo de 2012. Declara la falta de competencia del Tribunal Constitucional para conocer de la impugnación de la resolución de la Comisión central de asistencia jurídica gratuita dictada con ocasión del recurso de amparo 41-2011, promovido por don Antoni Rius i Cardona.</w:t>
      </w:r>
      <w:r>
        <w:tab/>
      </w:r>
      <w:r>
        <w:tab/>
      </w:r>
      <w:r>
        <w:fldChar w:fldCharType="begin"/>
      </w:r>
      <w:r>
        <w:instrText xml:space="preserve"> PAGEREF AUTO_2012_80 \h </w:instrText>
      </w:r>
      <w:r>
        <w:fldChar w:fldCharType="separate"/>
      </w:r>
      <w:r w:rsidR="00A6693A">
        <w:rPr>
          <w:noProof/>
        </w:rPr>
        <w:t>2925</w:t>
      </w:r>
      <w:r>
        <w:fldChar w:fldCharType="end"/>
      </w:r>
    </w:p>
    <w:p w:rsidR="00294D44" w:rsidRDefault="00294D44" w:rsidP="00294D44"/>
    <w:p w:rsidR="00294D44" w:rsidRDefault="00294D44" w:rsidP="00294D44">
      <w:pPr>
        <w:pStyle w:val="EntradandiceAuto"/>
      </w:pPr>
      <w:r>
        <w:lastRenderedPageBreak/>
        <w:t>Sala Segunda. Auto 81/2012, de 7 de mayo de 2012. Deniega la suspensión en el recurso de amparo 827-2011, promovido por doña Ana Fernández Martín.</w:t>
      </w:r>
      <w:r>
        <w:tab/>
      </w:r>
      <w:r>
        <w:tab/>
      </w:r>
      <w:r>
        <w:fldChar w:fldCharType="begin"/>
      </w:r>
      <w:r>
        <w:instrText xml:space="preserve"> PAGEREF AUTO_2012_81 \h </w:instrText>
      </w:r>
      <w:r>
        <w:fldChar w:fldCharType="separate"/>
      </w:r>
      <w:r w:rsidR="00A6693A">
        <w:rPr>
          <w:noProof/>
        </w:rPr>
        <w:t>2930</w:t>
      </w:r>
      <w:r>
        <w:fldChar w:fldCharType="end"/>
      </w:r>
    </w:p>
    <w:p w:rsidR="00294D44" w:rsidRDefault="00294D44" w:rsidP="00294D44"/>
    <w:p w:rsidR="00294D44" w:rsidRDefault="00294D44" w:rsidP="00294D44">
      <w:pPr>
        <w:pStyle w:val="EntradandiceAuto"/>
      </w:pPr>
      <w:r>
        <w:t>Sección Cuarta. Auto 82/2012, de 7 de mayo de 2012. Acuerda el desistimiento en el recurso de amparo 5450-2011, promovido en pleito civil.</w:t>
      </w:r>
      <w:r>
        <w:tab/>
      </w:r>
      <w:r>
        <w:tab/>
      </w:r>
      <w:r>
        <w:fldChar w:fldCharType="begin"/>
      </w:r>
      <w:r>
        <w:instrText xml:space="preserve"> PAGEREF AUTO_2012_82 \h </w:instrText>
      </w:r>
      <w:r>
        <w:fldChar w:fldCharType="separate"/>
      </w:r>
      <w:r w:rsidR="00A6693A">
        <w:rPr>
          <w:noProof/>
        </w:rPr>
        <w:t>2934</w:t>
      </w:r>
      <w:r>
        <w:fldChar w:fldCharType="end"/>
      </w:r>
    </w:p>
    <w:p w:rsidR="00294D44" w:rsidRDefault="00294D44" w:rsidP="00294D44"/>
    <w:p w:rsidR="00294D44" w:rsidRDefault="00294D44" w:rsidP="00294D44">
      <w:pPr>
        <w:pStyle w:val="EntradandiceAuto"/>
      </w:pPr>
      <w:r>
        <w:t>Sección Cuarta. Auto 83/2012, de 7 de mayo de 2012. Acuerda el desistimiento en el recurso de amparo 592-2012, promovido en causa penal.</w:t>
      </w:r>
      <w:r>
        <w:tab/>
      </w:r>
      <w:r>
        <w:tab/>
      </w:r>
      <w:r>
        <w:fldChar w:fldCharType="begin"/>
      </w:r>
      <w:r>
        <w:instrText xml:space="preserve"> PAGEREF AUTO_2012_83 \h </w:instrText>
      </w:r>
      <w:r>
        <w:fldChar w:fldCharType="separate"/>
      </w:r>
      <w:r w:rsidR="00A6693A">
        <w:rPr>
          <w:noProof/>
        </w:rPr>
        <w:t>2935</w:t>
      </w:r>
      <w:r>
        <w:fldChar w:fldCharType="end"/>
      </w:r>
    </w:p>
    <w:p w:rsidR="00294D44" w:rsidRDefault="00294D44" w:rsidP="00294D44"/>
    <w:p w:rsidR="00294D44" w:rsidRDefault="00294D44" w:rsidP="00294D44">
      <w:pPr>
        <w:pStyle w:val="EntradandiceAuto"/>
      </w:pPr>
      <w:r>
        <w:t>Sala Primera. Auto 84/2012, de 7 de mayo de 2012. Acuerda la resolución en Sentencia única de los recursos de amparo electoral 2548-2012, 2551-2012 y 2562-2012.</w:t>
      </w:r>
      <w:r>
        <w:tab/>
      </w:r>
      <w:r>
        <w:tab/>
      </w:r>
      <w:r>
        <w:fldChar w:fldCharType="begin"/>
      </w:r>
      <w:r>
        <w:instrText xml:space="preserve"> PAGEREF AUTO_2012_84 \h </w:instrText>
      </w:r>
      <w:r>
        <w:fldChar w:fldCharType="separate"/>
      </w:r>
      <w:r w:rsidR="00A6693A">
        <w:rPr>
          <w:noProof/>
        </w:rPr>
        <w:t>2936</w:t>
      </w:r>
      <w:r>
        <w:fldChar w:fldCharType="end"/>
      </w:r>
    </w:p>
    <w:p w:rsidR="00294D44" w:rsidRDefault="00294D44" w:rsidP="00294D44"/>
    <w:p w:rsidR="00294D44" w:rsidRDefault="00294D44" w:rsidP="00294D44">
      <w:pPr>
        <w:pStyle w:val="EntradandiceAuto"/>
      </w:pPr>
      <w:r>
        <w:t>Pleno. Auto 85/2012, de 8 de mayo de 2012. Levanta la suspensión en el recurso de inconstitucionalidad 6984-2011, interpuesto por el Presidente del Gobierno en relación con la Ley de Castilla-La Mancha 6/2011, de 10 de marzo, de declaración del parque natural del valle de Alcudia y sierra Madrona.</w:t>
      </w:r>
      <w:r>
        <w:tab/>
      </w:r>
      <w:r>
        <w:tab/>
      </w:r>
      <w:r>
        <w:fldChar w:fldCharType="begin"/>
      </w:r>
      <w:r>
        <w:instrText xml:space="preserve"> PAGEREF AUTO_2012_85 \h </w:instrText>
      </w:r>
      <w:r>
        <w:fldChar w:fldCharType="separate"/>
      </w:r>
      <w:r w:rsidR="00A6693A">
        <w:rPr>
          <w:noProof/>
        </w:rPr>
        <w:t>2938</w:t>
      </w:r>
      <w:r>
        <w:fldChar w:fldCharType="end"/>
      </w:r>
    </w:p>
    <w:p w:rsidR="00294D44" w:rsidRDefault="00294D44" w:rsidP="00294D44"/>
    <w:p w:rsidR="00294D44" w:rsidRDefault="00294D44" w:rsidP="00294D44">
      <w:pPr>
        <w:pStyle w:val="EntradandiceAuto"/>
      </w:pPr>
      <w:r>
        <w:t>Pleno. Auto 86/2012, de 8 de mayo de 2012. Levanta parcialmente la suspensión en el recurso de inconstitucionalidad 6985-2011, interpuesto por el Presidente del Gobierno en relación con la Ley de Castilla-La Mancha 5/2011, de 10 de marzo, de declaración del parque natural de la sierra norte de Guadalajara.</w:t>
      </w:r>
      <w:r>
        <w:tab/>
      </w:r>
      <w:r>
        <w:tab/>
      </w:r>
      <w:r>
        <w:fldChar w:fldCharType="begin"/>
      </w:r>
      <w:r>
        <w:instrText xml:space="preserve"> PAGEREF AUTO_2012_86 \h </w:instrText>
      </w:r>
      <w:r>
        <w:fldChar w:fldCharType="separate"/>
      </w:r>
      <w:r w:rsidR="00A6693A">
        <w:rPr>
          <w:noProof/>
        </w:rPr>
        <w:t>2947</w:t>
      </w:r>
      <w:r>
        <w:fldChar w:fldCharType="end"/>
      </w:r>
    </w:p>
    <w:p w:rsidR="00294D44" w:rsidRDefault="00294D44" w:rsidP="00294D44"/>
    <w:p w:rsidR="00294D44" w:rsidRDefault="00294D44" w:rsidP="00294D44">
      <w:pPr>
        <w:pStyle w:val="EntradandiceAuto"/>
      </w:pPr>
      <w:r>
        <w:t>Pleno. Auto 87/2012, de 10 de mayo de 2012. Levanta parcialmente la suspensión en el recurso de inconstitucionalidad 55-2012, interpuesto por el Presidente del Gobierno en relación con la Ley Foral 7/2011, de 24 de marzo, por la que se modifica el texto refundido del estatuto del personal al servicio de las Administraciones públicas de Navarra.</w:t>
      </w:r>
      <w:r>
        <w:tab/>
      </w:r>
      <w:r>
        <w:tab/>
      </w:r>
      <w:r>
        <w:fldChar w:fldCharType="begin"/>
      </w:r>
      <w:r>
        <w:instrText xml:space="preserve"> PAGEREF AUTO_2012_87 \h </w:instrText>
      </w:r>
      <w:r>
        <w:fldChar w:fldCharType="separate"/>
      </w:r>
      <w:r w:rsidR="00A6693A">
        <w:rPr>
          <w:noProof/>
        </w:rPr>
        <w:t>2957</w:t>
      </w:r>
      <w:r>
        <w:fldChar w:fldCharType="end"/>
      </w:r>
    </w:p>
    <w:p w:rsidR="00294D44" w:rsidRDefault="00294D44" w:rsidP="00294D44"/>
    <w:p w:rsidR="00294D44" w:rsidRDefault="00294D44" w:rsidP="00294D44">
      <w:pPr>
        <w:pStyle w:val="EntradandiceAuto"/>
      </w:pPr>
      <w:r>
        <w:t>Sala Primera. Auto 88/2012, de 21 de mayo de 2012. Deniega la suspensión en el recurso de amparo 9017-2008, promovido por don Ignacio Fernández de Larrinoa Pérez de Lucco.</w:t>
      </w:r>
      <w:r>
        <w:tab/>
      </w:r>
      <w:r>
        <w:tab/>
      </w:r>
      <w:r>
        <w:fldChar w:fldCharType="begin"/>
      </w:r>
      <w:r>
        <w:instrText xml:space="preserve"> PAGEREF AUTO_2012_88 \h </w:instrText>
      </w:r>
      <w:r>
        <w:fldChar w:fldCharType="separate"/>
      </w:r>
      <w:r w:rsidR="00A6693A">
        <w:rPr>
          <w:noProof/>
        </w:rPr>
        <w:t>2972</w:t>
      </w:r>
      <w:r>
        <w:fldChar w:fldCharType="end"/>
      </w:r>
    </w:p>
    <w:p w:rsidR="00294D44" w:rsidRDefault="00294D44" w:rsidP="00294D44"/>
    <w:p w:rsidR="00294D44" w:rsidRDefault="00294D44" w:rsidP="00294D44">
      <w:pPr>
        <w:pStyle w:val="EntradandiceAuto"/>
      </w:pPr>
      <w:r>
        <w:t>Sala Primera. Auto 89/2012, de 21 de mayo de 2012. Deniega la suspensión en el recurso de amparo 4017-2009, promovido por don Ignacio Pujana Alberdi.</w:t>
      </w:r>
      <w:r>
        <w:tab/>
      </w:r>
      <w:r>
        <w:tab/>
      </w:r>
      <w:r>
        <w:fldChar w:fldCharType="begin"/>
      </w:r>
      <w:r>
        <w:instrText xml:space="preserve"> PAGEREF AUTO_2012_89 \h </w:instrText>
      </w:r>
      <w:r>
        <w:fldChar w:fldCharType="separate"/>
      </w:r>
      <w:r w:rsidR="00A6693A">
        <w:rPr>
          <w:noProof/>
        </w:rPr>
        <w:t>2975</w:t>
      </w:r>
      <w:r>
        <w:fldChar w:fldCharType="end"/>
      </w:r>
    </w:p>
    <w:p w:rsidR="00294D44" w:rsidRDefault="00294D44" w:rsidP="00294D44"/>
    <w:p w:rsidR="00294D44" w:rsidRDefault="00294D44" w:rsidP="00294D44">
      <w:pPr>
        <w:pStyle w:val="EntradandiceAuto"/>
      </w:pPr>
      <w:r>
        <w:t>Sala Primera. Auto 90/2012, de 21 de mayo de 2012. Deniega la suspensión en el recurso de amparo 4796-2009, promovido por don Nicolás Francisco Rodríguez.</w:t>
      </w:r>
      <w:r>
        <w:tab/>
      </w:r>
      <w:r>
        <w:tab/>
      </w:r>
      <w:r>
        <w:fldChar w:fldCharType="begin"/>
      </w:r>
      <w:r>
        <w:instrText xml:space="preserve"> PAGEREF AUTO_2012_90 \h </w:instrText>
      </w:r>
      <w:r>
        <w:fldChar w:fldCharType="separate"/>
      </w:r>
      <w:r w:rsidR="00A6693A">
        <w:rPr>
          <w:noProof/>
        </w:rPr>
        <w:t>2978</w:t>
      </w:r>
      <w:r>
        <w:fldChar w:fldCharType="end"/>
      </w:r>
    </w:p>
    <w:p w:rsidR="00294D44" w:rsidRDefault="00294D44" w:rsidP="00294D44"/>
    <w:p w:rsidR="00294D44" w:rsidRDefault="00294D44" w:rsidP="00294D44">
      <w:pPr>
        <w:pStyle w:val="EntradandiceAuto"/>
      </w:pPr>
      <w:r>
        <w:lastRenderedPageBreak/>
        <w:t>Sala Primera. Auto 91/2012, de 21 de mayo de 2012. Deniega la suspensión en el recurso de amparo 5499-2009, promovido por doña Miren Maitane Sagastume Arrieta.</w:t>
      </w:r>
      <w:r>
        <w:tab/>
      </w:r>
      <w:r>
        <w:tab/>
      </w:r>
      <w:r>
        <w:fldChar w:fldCharType="begin"/>
      </w:r>
      <w:r>
        <w:instrText xml:space="preserve"> PAGEREF AUTO_2012_91 \h </w:instrText>
      </w:r>
      <w:r>
        <w:fldChar w:fldCharType="separate"/>
      </w:r>
      <w:r w:rsidR="00A6693A">
        <w:rPr>
          <w:noProof/>
        </w:rPr>
        <w:t>2981</w:t>
      </w:r>
      <w:r>
        <w:fldChar w:fldCharType="end"/>
      </w:r>
    </w:p>
    <w:p w:rsidR="00294D44" w:rsidRDefault="00294D44" w:rsidP="00294D44"/>
    <w:p w:rsidR="00294D44" w:rsidRDefault="00294D44" w:rsidP="00294D44">
      <w:pPr>
        <w:pStyle w:val="EntradandiceAuto"/>
      </w:pPr>
      <w:r>
        <w:t>Sala Primera. Auto 92/2012, de 21 de mayo de 2012. Deniega la suspensión en el recurso de amparo 6666-2009, promovido por don Bautista Barandalla Iriarte.</w:t>
      </w:r>
      <w:r>
        <w:tab/>
      </w:r>
      <w:r>
        <w:tab/>
      </w:r>
      <w:r>
        <w:fldChar w:fldCharType="begin"/>
      </w:r>
      <w:r>
        <w:instrText xml:space="preserve"> PAGEREF AUTO_2012_92 \h </w:instrText>
      </w:r>
      <w:r>
        <w:fldChar w:fldCharType="separate"/>
      </w:r>
      <w:r w:rsidR="00A6693A">
        <w:rPr>
          <w:noProof/>
        </w:rPr>
        <w:t>2984</w:t>
      </w:r>
      <w:r>
        <w:fldChar w:fldCharType="end"/>
      </w:r>
    </w:p>
    <w:p w:rsidR="00294D44" w:rsidRDefault="00294D44" w:rsidP="00294D44"/>
    <w:p w:rsidR="00294D44" w:rsidRDefault="00294D44" w:rsidP="00294D44">
      <w:pPr>
        <w:pStyle w:val="EntradandiceAuto"/>
      </w:pPr>
      <w:r>
        <w:t>Sala Primera. Auto 93/2012, de 21 de mayo de 2012. Deniega la suspensión en el recurso de amparo 7814-2009, promovido por don Ignacio Orotegui Ochandorena.</w:t>
      </w:r>
      <w:r>
        <w:tab/>
      </w:r>
      <w:r>
        <w:tab/>
      </w:r>
      <w:r>
        <w:fldChar w:fldCharType="begin"/>
      </w:r>
      <w:r>
        <w:instrText xml:space="preserve"> PAGEREF AUTO_2012_93 \h </w:instrText>
      </w:r>
      <w:r>
        <w:fldChar w:fldCharType="separate"/>
      </w:r>
      <w:r w:rsidR="00A6693A">
        <w:rPr>
          <w:noProof/>
        </w:rPr>
        <w:t>2987</w:t>
      </w:r>
      <w:r>
        <w:fldChar w:fldCharType="end"/>
      </w:r>
    </w:p>
    <w:p w:rsidR="00294D44" w:rsidRDefault="00294D44" w:rsidP="00294D44"/>
    <w:p w:rsidR="00294D44" w:rsidRDefault="00294D44" w:rsidP="00294D44">
      <w:pPr>
        <w:pStyle w:val="EntradandiceAuto"/>
      </w:pPr>
      <w:r>
        <w:t>Sala Primera. Auto 94/2012, de 21 de mayo de 2012. Deniega la suspensión en el recurso de amparo 9479-2009, promovido por doña Inés del Río Prada.</w:t>
      </w:r>
      <w:r>
        <w:tab/>
      </w:r>
      <w:r>
        <w:tab/>
      </w:r>
      <w:r>
        <w:fldChar w:fldCharType="begin"/>
      </w:r>
      <w:r>
        <w:instrText xml:space="preserve"> PAGEREF AUTO_2012_94 \h </w:instrText>
      </w:r>
      <w:r>
        <w:fldChar w:fldCharType="separate"/>
      </w:r>
      <w:r w:rsidR="00A6693A">
        <w:rPr>
          <w:noProof/>
        </w:rPr>
        <w:t>2990</w:t>
      </w:r>
      <w:r>
        <w:fldChar w:fldCharType="end"/>
      </w:r>
    </w:p>
    <w:p w:rsidR="00294D44" w:rsidRDefault="00294D44" w:rsidP="00294D44"/>
    <w:p w:rsidR="00294D44" w:rsidRDefault="00294D44" w:rsidP="00294D44">
      <w:pPr>
        <w:pStyle w:val="EntradandiceAuto"/>
      </w:pPr>
      <w:r>
        <w:t>Sala Primera. Auto 95/2012, de 21 de mayo de 2012. Deniega la suspensión en el recurso de amparo 3971-2010, promovido por don Kepa Mirena Solana Arrondo.</w:t>
      </w:r>
      <w:r>
        <w:tab/>
      </w:r>
      <w:r>
        <w:tab/>
      </w:r>
      <w:r>
        <w:fldChar w:fldCharType="begin"/>
      </w:r>
      <w:r>
        <w:instrText xml:space="preserve"> PAGEREF AUTO_2012_95 \h </w:instrText>
      </w:r>
      <w:r>
        <w:fldChar w:fldCharType="separate"/>
      </w:r>
      <w:r w:rsidR="00A6693A">
        <w:rPr>
          <w:noProof/>
        </w:rPr>
        <w:t>2993</w:t>
      </w:r>
      <w:r>
        <w:fldChar w:fldCharType="end"/>
      </w:r>
    </w:p>
    <w:p w:rsidR="00294D44" w:rsidRDefault="00294D44" w:rsidP="00294D44"/>
    <w:p w:rsidR="00294D44" w:rsidRDefault="00294D44" w:rsidP="00294D44">
      <w:pPr>
        <w:pStyle w:val="EntradandiceAuto"/>
      </w:pPr>
      <w:r>
        <w:t>Sala Primera. Auto 96/2012, de 21 de mayo de 2012. Deniega la suspensión en el recurso de amparo 7493-2010, promovido por doña Miren Gorzone López de Luzuriaga Fernández.</w:t>
      </w:r>
      <w:r>
        <w:tab/>
      </w:r>
      <w:r>
        <w:tab/>
      </w:r>
      <w:r>
        <w:fldChar w:fldCharType="begin"/>
      </w:r>
      <w:r>
        <w:instrText xml:space="preserve"> PAGEREF AUTO_2012_96 \h </w:instrText>
      </w:r>
      <w:r>
        <w:fldChar w:fldCharType="separate"/>
      </w:r>
      <w:r w:rsidR="00A6693A">
        <w:rPr>
          <w:noProof/>
        </w:rPr>
        <w:t>2996</w:t>
      </w:r>
      <w:r>
        <w:fldChar w:fldCharType="end"/>
      </w:r>
    </w:p>
    <w:p w:rsidR="00294D44" w:rsidRDefault="00294D44" w:rsidP="00294D44"/>
    <w:p w:rsidR="00294D44" w:rsidRDefault="00294D44" w:rsidP="00294D44">
      <w:pPr>
        <w:pStyle w:val="EntradandiceAuto"/>
      </w:pPr>
      <w:r>
        <w:t>Sala Primera. Auto 97/2012, de 21 de mayo de 2012. Deniega la suspensión en el recurso de amparo 8128-2010, promovido por don Iñigo Acaiturri Irazábal.</w:t>
      </w:r>
      <w:r>
        <w:tab/>
      </w:r>
      <w:r>
        <w:tab/>
      </w:r>
      <w:r>
        <w:fldChar w:fldCharType="begin"/>
      </w:r>
      <w:r>
        <w:instrText xml:space="preserve"> PAGEREF AUTO_2012_97 \h </w:instrText>
      </w:r>
      <w:r>
        <w:fldChar w:fldCharType="separate"/>
      </w:r>
      <w:r w:rsidR="00A6693A">
        <w:rPr>
          <w:noProof/>
        </w:rPr>
        <w:t>2999</w:t>
      </w:r>
      <w:r>
        <w:fldChar w:fldCharType="end"/>
      </w:r>
    </w:p>
    <w:p w:rsidR="00294D44" w:rsidRDefault="00294D44" w:rsidP="00294D44"/>
    <w:p w:rsidR="00294D44" w:rsidRDefault="00294D44" w:rsidP="00294D44">
      <w:pPr>
        <w:pStyle w:val="EntradandiceAuto"/>
      </w:pPr>
      <w:r>
        <w:t>Sala Primera. Auto 98/2012, de 21 de mayo de 2012. Deniega la suspensión en el recurso de amparo 8327-2010, promovido por don Raúl Ibáñez Díez.</w:t>
      </w:r>
      <w:r>
        <w:tab/>
      </w:r>
      <w:r>
        <w:tab/>
      </w:r>
      <w:r>
        <w:fldChar w:fldCharType="begin"/>
      </w:r>
      <w:r>
        <w:instrText xml:space="preserve"> PAGEREF AUTO_2012_98 \h </w:instrText>
      </w:r>
      <w:r>
        <w:fldChar w:fldCharType="separate"/>
      </w:r>
      <w:r w:rsidR="00A6693A">
        <w:rPr>
          <w:noProof/>
        </w:rPr>
        <w:t>3002</w:t>
      </w:r>
      <w:r>
        <w:fldChar w:fldCharType="end"/>
      </w:r>
    </w:p>
    <w:p w:rsidR="00294D44" w:rsidRDefault="00294D44" w:rsidP="00294D44"/>
    <w:p w:rsidR="00294D44" w:rsidRDefault="00294D44" w:rsidP="00294D44">
      <w:pPr>
        <w:pStyle w:val="EntradandiceAuto"/>
      </w:pPr>
      <w:r>
        <w:t>Sala Primera. Auto 99/2012, de 21 de mayo de 2012. Deniega la suspensión en el recurso de amparo 238-2011, promovido por doña Inmaculada Pacho Martín.</w:t>
      </w:r>
      <w:r>
        <w:tab/>
      </w:r>
      <w:r>
        <w:tab/>
      </w:r>
      <w:r>
        <w:fldChar w:fldCharType="begin"/>
      </w:r>
      <w:r>
        <w:instrText xml:space="preserve"> PAGEREF AUTO_2012_99 \h </w:instrText>
      </w:r>
      <w:r>
        <w:fldChar w:fldCharType="separate"/>
      </w:r>
      <w:r w:rsidR="00A6693A">
        <w:rPr>
          <w:noProof/>
        </w:rPr>
        <w:t>3005</w:t>
      </w:r>
      <w:r>
        <w:fldChar w:fldCharType="end"/>
      </w:r>
    </w:p>
    <w:p w:rsidR="00294D44" w:rsidRDefault="00294D44" w:rsidP="00294D44"/>
    <w:p w:rsidR="00294D44" w:rsidRDefault="00294D44" w:rsidP="00294D44">
      <w:pPr>
        <w:pStyle w:val="EntradandiceAuto"/>
      </w:pPr>
      <w:r>
        <w:t>Sala Segunda. Auto 100/2012, de 21 de mayo de 2012. Deniega la acumulación del recurso de amparo 444-2011 al 8640-2010, promovidos ambos en relación con diligencias preliminares.</w:t>
      </w:r>
      <w:r>
        <w:tab/>
      </w:r>
      <w:r>
        <w:tab/>
      </w:r>
      <w:r>
        <w:fldChar w:fldCharType="begin"/>
      </w:r>
      <w:r>
        <w:instrText xml:space="preserve"> PAGEREF AUTO_2012_100 \h </w:instrText>
      </w:r>
      <w:r>
        <w:fldChar w:fldCharType="separate"/>
      </w:r>
      <w:r w:rsidR="00A6693A">
        <w:rPr>
          <w:noProof/>
        </w:rPr>
        <w:t>3008</w:t>
      </w:r>
      <w:r>
        <w:fldChar w:fldCharType="end"/>
      </w:r>
    </w:p>
    <w:p w:rsidR="00294D44" w:rsidRDefault="00294D44" w:rsidP="00294D44"/>
    <w:p w:rsidR="00294D44" w:rsidRDefault="00294D44" w:rsidP="00294D44">
      <w:pPr>
        <w:pStyle w:val="EntradandiceAuto"/>
      </w:pPr>
      <w:r>
        <w:t>Sala Primera. Auto 101/2012, de 21 de mayo de 2012. Deniega la suspensión en el recurso de amparo 1246-2011, promovido por don Moisés Posada Sarmiento.</w:t>
      </w:r>
      <w:r>
        <w:tab/>
      </w:r>
      <w:r>
        <w:tab/>
      </w:r>
      <w:r>
        <w:fldChar w:fldCharType="begin"/>
      </w:r>
      <w:r>
        <w:instrText xml:space="preserve"> PAGEREF AUTO_2012_101 \h </w:instrText>
      </w:r>
      <w:r>
        <w:fldChar w:fldCharType="separate"/>
      </w:r>
      <w:r w:rsidR="00A6693A">
        <w:rPr>
          <w:noProof/>
        </w:rPr>
        <w:t>3010</w:t>
      </w:r>
      <w:r>
        <w:fldChar w:fldCharType="end"/>
      </w:r>
    </w:p>
    <w:p w:rsidR="00294D44" w:rsidRDefault="00294D44" w:rsidP="00294D44"/>
    <w:p w:rsidR="00294D44" w:rsidRDefault="00294D44" w:rsidP="00294D44">
      <w:pPr>
        <w:pStyle w:val="EntradandiceAuto"/>
      </w:pPr>
      <w:r>
        <w:lastRenderedPageBreak/>
        <w:t>Sala Primera. Auto 102/2012, de 21 de mayo de 2012. Deniega la suspensión en el recurso de amparo 1771-2011, promovido por don Aritz Labiano Zezeaga y otra persona.</w:t>
      </w:r>
      <w:r>
        <w:tab/>
      </w:r>
      <w:r>
        <w:tab/>
      </w:r>
      <w:r>
        <w:fldChar w:fldCharType="begin"/>
      </w:r>
      <w:r>
        <w:instrText xml:space="preserve"> PAGEREF AUTO_2012_102 \h </w:instrText>
      </w:r>
      <w:r>
        <w:fldChar w:fldCharType="separate"/>
      </w:r>
      <w:r w:rsidR="00A6693A">
        <w:rPr>
          <w:noProof/>
        </w:rPr>
        <w:t>3014</w:t>
      </w:r>
      <w:r>
        <w:fldChar w:fldCharType="end"/>
      </w:r>
    </w:p>
    <w:p w:rsidR="00294D44" w:rsidRDefault="00294D44" w:rsidP="00294D44"/>
    <w:p w:rsidR="00294D44" w:rsidRDefault="00294D44" w:rsidP="00294D44">
      <w:pPr>
        <w:pStyle w:val="EntradandiceAuto"/>
      </w:pPr>
      <w:r>
        <w:t>Sala Segunda. Auto 103/2012, de 21 de mayo de 2012. Deniega la suspensión en el recurso de amparo 2090-2011, promovido por don Juan Esteban Castilla Borrallo y doña Maria Piedad Castilla Borrallo.</w:t>
      </w:r>
      <w:r>
        <w:tab/>
      </w:r>
      <w:r>
        <w:tab/>
      </w:r>
      <w:r>
        <w:fldChar w:fldCharType="begin"/>
      </w:r>
      <w:r>
        <w:instrText xml:space="preserve"> PAGEREF AUTO_2012_103 \h </w:instrText>
      </w:r>
      <w:r>
        <w:fldChar w:fldCharType="separate"/>
      </w:r>
      <w:r w:rsidR="00A6693A">
        <w:rPr>
          <w:noProof/>
        </w:rPr>
        <w:t>3017</w:t>
      </w:r>
      <w:r>
        <w:fldChar w:fldCharType="end"/>
      </w:r>
    </w:p>
    <w:p w:rsidR="00294D44" w:rsidRDefault="00294D44" w:rsidP="00294D44"/>
    <w:p w:rsidR="00294D44" w:rsidRDefault="00294D44" w:rsidP="00294D44">
      <w:pPr>
        <w:pStyle w:val="EntradandiceAuto"/>
      </w:pPr>
      <w:r>
        <w:t>Sala Segunda. Auto 104/2012, de 21 de mayo de 2012. Mantiene la suspensión acordada por providencia, y confirmada por el ATC 19/2012, de 30 de enero, en el recurso de amparo 5822-2011, promovido por don Pedro González-Trevijano Sánchez.</w:t>
      </w:r>
      <w:r>
        <w:tab/>
      </w:r>
      <w:r>
        <w:tab/>
      </w:r>
      <w:r>
        <w:fldChar w:fldCharType="begin"/>
      </w:r>
      <w:r>
        <w:instrText xml:space="preserve"> PAGEREF AUTO_2012_104 \h </w:instrText>
      </w:r>
      <w:r>
        <w:fldChar w:fldCharType="separate"/>
      </w:r>
      <w:r w:rsidR="00A6693A">
        <w:rPr>
          <w:noProof/>
        </w:rPr>
        <w:t>3021</w:t>
      </w:r>
      <w:r>
        <w:fldChar w:fldCharType="end"/>
      </w:r>
    </w:p>
    <w:p w:rsidR="00294D44" w:rsidRDefault="00294D44" w:rsidP="00294D44"/>
    <w:p w:rsidR="00294D44" w:rsidRDefault="00294D44" w:rsidP="00294D44">
      <w:pPr>
        <w:pStyle w:val="EntradandiceAuto"/>
      </w:pPr>
      <w:r>
        <w:t>Sección Tercera. Auto 105/2012, de 21 de mayo de 2012. Acuerda el desistimiento en el recurso de amparo 109-2012, promovido en litigio civil.</w:t>
      </w:r>
      <w:r>
        <w:tab/>
      </w:r>
      <w:r>
        <w:tab/>
      </w:r>
      <w:r>
        <w:fldChar w:fldCharType="begin"/>
      </w:r>
      <w:r>
        <w:instrText xml:space="preserve"> PAGEREF AUTO_2012_105 \h </w:instrText>
      </w:r>
      <w:r>
        <w:fldChar w:fldCharType="separate"/>
      </w:r>
      <w:r w:rsidR="00A6693A">
        <w:rPr>
          <w:noProof/>
        </w:rPr>
        <w:t>3026</w:t>
      </w:r>
      <w:r>
        <w:fldChar w:fldCharType="end"/>
      </w:r>
    </w:p>
    <w:p w:rsidR="00294D44" w:rsidRDefault="00294D44" w:rsidP="00294D44"/>
    <w:p w:rsidR="00294D44" w:rsidRDefault="00294D44" w:rsidP="00294D44">
      <w:pPr>
        <w:pStyle w:val="EntradandiceAuto"/>
      </w:pPr>
      <w:r>
        <w:t>Pleno. Auto 106/2012, de 22 de mayo de 2012. Declara que se ha producido un funcionamiento anormal en la tramitación del recurso de amparo 2441-1996, promovido por don Miguel Ángel Sánchez Leandro.</w:t>
      </w:r>
      <w:r>
        <w:tab/>
      </w:r>
      <w:r>
        <w:tab/>
      </w:r>
      <w:r>
        <w:fldChar w:fldCharType="begin"/>
      </w:r>
      <w:r>
        <w:instrText xml:space="preserve"> PAGEREF AUTO_2012_106 \h </w:instrText>
      </w:r>
      <w:r>
        <w:fldChar w:fldCharType="separate"/>
      </w:r>
      <w:r w:rsidR="00A6693A">
        <w:rPr>
          <w:noProof/>
        </w:rPr>
        <w:t>3027</w:t>
      </w:r>
      <w:r>
        <w:fldChar w:fldCharType="end"/>
      </w:r>
    </w:p>
    <w:p w:rsidR="00294D44" w:rsidRDefault="00294D44" w:rsidP="00294D44"/>
    <w:p w:rsidR="00294D44" w:rsidRDefault="00294D44" w:rsidP="00294D44">
      <w:pPr>
        <w:pStyle w:val="EntradandiceAuto"/>
      </w:pPr>
      <w:r>
        <w:t>Pleno. Auto 107/2012, de 22 de mayo de 2012. Acuerda la acumulación del recurso de inconstitucionalidad 5305-2002 al 4937-2002, interpuestos ambos en relación con diversos preceptos de la Ley Orgánica 5/2002, de 19 de junio, de las cualificaciones y de la formación profesional.</w:t>
      </w:r>
      <w:r>
        <w:tab/>
      </w:r>
      <w:r>
        <w:tab/>
      </w:r>
      <w:r>
        <w:fldChar w:fldCharType="begin"/>
      </w:r>
      <w:r>
        <w:instrText xml:space="preserve"> PAGEREF AUTO_2012_107 \h </w:instrText>
      </w:r>
      <w:r>
        <w:fldChar w:fldCharType="separate"/>
      </w:r>
      <w:r w:rsidR="00A6693A">
        <w:rPr>
          <w:noProof/>
        </w:rPr>
        <w:t>3034</w:t>
      </w:r>
      <w:r>
        <w:fldChar w:fldCharType="end"/>
      </w:r>
    </w:p>
    <w:p w:rsidR="00294D44" w:rsidRDefault="00294D44" w:rsidP="00294D44"/>
    <w:p w:rsidR="00294D44" w:rsidRDefault="00294D44" w:rsidP="00294D44">
      <w:pPr>
        <w:pStyle w:val="EntradandiceAuto"/>
      </w:pPr>
      <w:r>
        <w:t>Pleno. Auto 108/2012, de 22 de mayo de 2012. Deniega la aclaración de la Sentencia 68/2012, de 29 de marzo, dictada en el recurso de amparo 5150-2010, promovido por don Antonio García Carbonell.</w:t>
      </w:r>
      <w:r>
        <w:tab/>
      </w:r>
      <w:r>
        <w:tab/>
      </w:r>
      <w:r>
        <w:fldChar w:fldCharType="begin"/>
      </w:r>
      <w:r>
        <w:instrText xml:space="preserve"> PAGEREF AUTO_2012_108 \h </w:instrText>
      </w:r>
      <w:r>
        <w:fldChar w:fldCharType="separate"/>
      </w:r>
      <w:r w:rsidR="00A6693A">
        <w:rPr>
          <w:noProof/>
        </w:rPr>
        <w:t>3038</w:t>
      </w:r>
      <w:r>
        <w:fldChar w:fldCharType="end"/>
      </w:r>
    </w:p>
    <w:p w:rsidR="00294D44" w:rsidRDefault="00294D44" w:rsidP="00294D44"/>
    <w:p w:rsidR="00294D44" w:rsidRDefault="00294D44" w:rsidP="00294D44">
      <w:pPr>
        <w:pStyle w:val="EntradandiceAuto"/>
      </w:pPr>
      <w:r>
        <w:t>Pleno. Auto 109/2012, de 22 de mayo de 2012. Inadmite a trámite la cuestión de inconstitucionalidad 6526-2011, planteada por el Tribunal Militar Territorial Primero en relación con el artículo 454 de la Ley Orgánica procesal militar.</w:t>
      </w:r>
      <w:r>
        <w:tab/>
      </w:r>
      <w:r>
        <w:tab/>
      </w:r>
      <w:r>
        <w:fldChar w:fldCharType="begin"/>
      </w:r>
      <w:r>
        <w:instrText xml:space="preserve"> PAGEREF AUTO_2012_109 \h </w:instrText>
      </w:r>
      <w:r>
        <w:fldChar w:fldCharType="separate"/>
      </w:r>
      <w:r w:rsidR="00A6693A">
        <w:rPr>
          <w:noProof/>
        </w:rPr>
        <w:t>3041</w:t>
      </w:r>
      <w:r>
        <w:fldChar w:fldCharType="end"/>
      </w:r>
    </w:p>
    <w:p w:rsidR="00294D44" w:rsidRDefault="00294D44" w:rsidP="00294D44"/>
    <w:p w:rsidR="00294D44" w:rsidRDefault="00294D44" w:rsidP="00294D44">
      <w:pPr>
        <w:pStyle w:val="EntradandiceAuto"/>
      </w:pPr>
      <w:r>
        <w:t>Pleno. Auto 110/2012, de 22 de mayo de 2012. Inadmite a trámite la cuestión de inconstitucionalidad 6527-2011, planteada por el Tribunal Militar Territorial Primero en relación con el artículo 454 de la Ley Orgánica procesal militar.</w:t>
      </w:r>
      <w:r>
        <w:tab/>
      </w:r>
      <w:r>
        <w:tab/>
      </w:r>
      <w:r>
        <w:fldChar w:fldCharType="begin"/>
      </w:r>
      <w:r>
        <w:instrText xml:space="preserve"> PAGEREF AUTO_2012_110 \h </w:instrText>
      </w:r>
      <w:r>
        <w:fldChar w:fldCharType="separate"/>
      </w:r>
      <w:r w:rsidR="00A6693A">
        <w:rPr>
          <w:noProof/>
        </w:rPr>
        <w:t>3050</w:t>
      </w:r>
      <w:r>
        <w:fldChar w:fldCharType="end"/>
      </w:r>
    </w:p>
    <w:p w:rsidR="00294D44" w:rsidRDefault="00294D44" w:rsidP="00294D44"/>
    <w:p w:rsidR="00294D44" w:rsidRDefault="00294D44" w:rsidP="00294D44">
      <w:pPr>
        <w:pStyle w:val="EntradandiceAuto"/>
      </w:pPr>
      <w:r>
        <w:t>Pleno. Auto 111/2012, de 22 de mayo de 2012. Inadmite a trámite la cuestión de inconstitucionalidad 426-2012, planteada por el Juzgado de lo Contencioso-Administrativo núm. 13 de Barcelona en relación con el artículo 117.1 del texto refundido de la Ley de aguas.</w:t>
      </w:r>
      <w:r>
        <w:tab/>
      </w:r>
      <w:r>
        <w:tab/>
      </w:r>
      <w:r>
        <w:fldChar w:fldCharType="begin"/>
      </w:r>
      <w:r>
        <w:instrText xml:space="preserve"> PAGEREF AUTO_2012_111 \h </w:instrText>
      </w:r>
      <w:r>
        <w:fldChar w:fldCharType="separate"/>
      </w:r>
      <w:r w:rsidR="00A6693A">
        <w:rPr>
          <w:noProof/>
        </w:rPr>
        <w:t>3059</w:t>
      </w:r>
      <w:r>
        <w:fldChar w:fldCharType="end"/>
      </w:r>
    </w:p>
    <w:p w:rsidR="00294D44" w:rsidRDefault="00294D44" w:rsidP="00294D44"/>
    <w:p w:rsidR="00294D44" w:rsidRDefault="00294D44" w:rsidP="00294D44">
      <w:pPr>
        <w:pStyle w:val="EntradandiceAuto"/>
      </w:pPr>
      <w:r>
        <w:t>Sección Tercera. Auto 112/2012, de 31 de mayo de 2012. Declara la falta de competencia del Tribunal Constitucional para conocer de la impugnación de la resolución de la Comisión central de asistencia jurídica gratuita dictada con ocasión del recurso de amparo 157-2011, promovido por don Antoni Rius i Cardona.</w:t>
      </w:r>
      <w:r>
        <w:tab/>
      </w:r>
      <w:r>
        <w:tab/>
      </w:r>
      <w:r>
        <w:fldChar w:fldCharType="begin"/>
      </w:r>
      <w:r>
        <w:instrText xml:space="preserve"> PAGEREF AUTO_2012_112 \h </w:instrText>
      </w:r>
      <w:r>
        <w:fldChar w:fldCharType="separate"/>
      </w:r>
      <w:r w:rsidR="00A6693A">
        <w:rPr>
          <w:noProof/>
        </w:rPr>
        <w:t>3065</w:t>
      </w:r>
      <w:r>
        <w:fldChar w:fldCharType="end"/>
      </w:r>
    </w:p>
    <w:p w:rsidR="00294D44" w:rsidRDefault="00294D44" w:rsidP="00294D44"/>
    <w:p w:rsidR="00294D44" w:rsidRDefault="00294D44" w:rsidP="00294D44">
      <w:pPr>
        <w:pStyle w:val="EntradandiceAuto"/>
      </w:pPr>
      <w:r>
        <w:t>Sala Primera. Auto 113/2012, de 4 de junio de 2012. Deniega la suspensión en el recurso de amparo 10210-2008, promovido por don José Ramón Martínez de la Fuente Inchaurregui, sobre licenciamiento definitivo.</w:t>
      </w:r>
      <w:r>
        <w:tab/>
      </w:r>
      <w:r>
        <w:tab/>
      </w:r>
      <w:r>
        <w:fldChar w:fldCharType="begin"/>
      </w:r>
      <w:r>
        <w:instrText xml:space="preserve"> PAGEREF AUTO_2012_113 \h </w:instrText>
      </w:r>
      <w:r>
        <w:fldChar w:fldCharType="separate"/>
      </w:r>
      <w:r w:rsidR="00A6693A">
        <w:rPr>
          <w:noProof/>
        </w:rPr>
        <w:t>3069</w:t>
      </w:r>
      <w:r>
        <w:fldChar w:fldCharType="end"/>
      </w:r>
    </w:p>
    <w:p w:rsidR="00294D44" w:rsidRDefault="00294D44" w:rsidP="00294D44"/>
    <w:p w:rsidR="00294D44" w:rsidRDefault="00294D44" w:rsidP="00294D44">
      <w:pPr>
        <w:pStyle w:val="EntradandiceAuto"/>
      </w:pPr>
      <w:r>
        <w:t>Sala Segunda. Auto 114/2012, de 4 de junio de 2012. Acuerda el desistimiento en el recurso de amparo 7432-2009, promovido por el Ayuntamiento de Castello de la Ribera, en proceso contencioso-administrativo.</w:t>
      </w:r>
      <w:r>
        <w:tab/>
      </w:r>
      <w:r>
        <w:tab/>
      </w:r>
      <w:r>
        <w:fldChar w:fldCharType="begin"/>
      </w:r>
      <w:r>
        <w:instrText xml:space="preserve"> PAGEREF AUTO_2012_114 \h </w:instrText>
      </w:r>
      <w:r>
        <w:fldChar w:fldCharType="separate"/>
      </w:r>
      <w:r w:rsidR="00A6693A">
        <w:rPr>
          <w:noProof/>
        </w:rPr>
        <w:t>3072</w:t>
      </w:r>
      <w:r>
        <w:fldChar w:fldCharType="end"/>
      </w:r>
    </w:p>
    <w:p w:rsidR="00294D44" w:rsidRDefault="00294D44" w:rsidP="00294D44"/>
    <w:p w:rsidR="00294D44" w:rsidRDefault="00294D44" w:rsidP="00294D44">
      <w:pPr>
        <w:pStyle w:val="EntradandiceAuto"/>
      </w:pPr>
      <w:r>
        <w:t>Sala Segunda. Auto 115/2012, de 4 de junio de 2012. Mantiene las medidas cautelares acordadas mediante providencia en el recurso de amparo 4759-2011, promovido por don Gabriel Ricardo Dias Acedo, en proceso de extradición.</w:t>
      </w:r>
      <w:r>
        <w:tab/>
      </w:r>
      <w:r>
        <w:tab/>
      </w:r>
      <w:r>
        <w:fldChar w:fldCharType="begin"/>
      </w:r>
      <w:r>
        <w:instrText xml:space="preserve"> PAGEREF AUTO_2012_115 \h </w:instrText>
      </w:r>
      <w:r>
        <w:fldChar w:fldCharType="separate"/>
      </w:r>
      <w:r w:rsidR="00A6693A">
        <w:rPr>
          <w:noProof/>
        </w:rPr>
        <w:t>3074</w:t>
      </w:r>
      <w:r>
        <w:fldChar w:fldCharType="end"/>
      </w:r>
    </w:p>
    <w:p w:rsidR="00294D44" w:rsidRDefault="00294D44" w:rsidP="00294D44"/>
    <w:p w:rsidR="00294D44" w:rsidRDefault="00294D44" w:rsidP="00294D44">
      <w:pPr>
        <w:pStyle w:val="EntradandiceAuto"/>
      </w:pPr>
      <w:r>
        <w:t>Sección Cuarta. Auto 116/2012, de 4 de junio de 2012. Desestima el recurso de súplica del Ministerio Fiscal sobre inadmisión del recurso de amparo 5151-2011, promovido por don Rafael Gimeno-Bayón Cobos, en proceso contencioso-administrativo.</w:t>
      </w:r>
      <w:r>
        <w:tab/>
      </w:r>
      <w:r>
        <w:tab/>
      </w:r>
      <w:r>
        <w:fldChar w:fldCharType="begin"/>
      </w:r>
      <w:r>
        <w:instrText xml:space="preserve"> PAGEREF AUTO_2012_116 \h </w:instrText>
      </w:r>
      <w:r>
        <w:fldChar w:fldCharType="separate"/>
      </w:r>
      <w:r w:rsidR="00A6693A">
        <w:rPr>
          <w:noProof/>
        </w:rPr>
        <w:t>3078</w:t>
      </w:r>
      <w:r>
        <w:fldChar w:fldCharType="end"/>
      </w:r>
    </w:p>
    <w:p w:rsidR="00294D44" w:rsidRDefault="00294D44" w:rsidP="00294D44"/>
    <w:p w:rsidR="00294D44" w:rsidRDefault="00294D44" w:rsidP="00294D44">
      <w:pPr>
        <w:pStyle w:val="EntradandiceAuto"/>
      </w:pPr>
      <w:r>
        <w:t>Sección Segunda. Auto 117/2012, de 4 de junio de 2012. Acuerda el desistimiento en el recurso de amparo 6360-2011, promovido en causa penal.</w:t>
      </w:r>
      <w:r>
        <w:tab/>
      </w:r>
      <w:r>
        <w:tab/>
      </w:r>
      <w:r>
        <w:fldChar w:fldCharType="begin"/>
      </w:r>
      <w:r>
        <w:instrText xml:space="preserve"> PAGEREF AUTO_2012_117 \h </w:instrText>
      </w:r>
      <w:r>
        <w:fldChar w:fldCharType="separate"/>
      </w:r>
      <w:r w:rsidR="00A6693A">
        <w:rPr>
          <w:noProof/>
        </w:rPr>
        <w:t>3085</w:t>
      </w:r>
      <w:r>
        <w:fldChar w:fldCharType="end"/>
      </w:r>
    </w:p>
    <w:p w:rsidR="00294D44" w:rsidRDefault="00294D44" w:rsidP="00294D44"/>
    <w:p w:rsidR="00294D44" w:rsidRDefault="00294D44" w:rsidP="00294D44">
      <w:pPr>
        <w:pStyle w:val="EntradandiceAuto"/>
      </w:pPr>
      <w:r>
        <w:t>Pleno. Auto 118/2012, de 5 de junio de 2012. Acuerda la extinción, por desaparición sobrevenida de su objeto, del recurso de inconstitucionalidad 1580-2004, interpuesto por el Parlamento de Navarra en relación con el artículo 1 de la Ley 52/2003, de 10 de diciembre, de disposiciones específicas en materia de Seguridad Social.</w:t>
      </w:r>
      <w:r>
        <w:tab/>
      </w:r>
      <w:r>
        <w:tab/>
      </w:r>
      <w:r>
        <w:fldChar w:fldCharType="begin"/>
      </w:r>
      <w:r>
        <w:instrText xml:space="preserve"> PAGEREF AUTO_2012_118 \h </w:instrText>
      </w:r>
      <w:r>
        <w:fldChar w:fldCharType="separate"/>
      </w:r>
      <w:r w:rsidR="00A6693A">
        <w:rPr>
          <w:noProof/>
        </w:rPr>
        <w:t>3086</w:t>
      </w:r>
      <w:r>
        <w:fldChar w:fldCharType="end"/>
      </w:r>
    </w:p>
    <w:p w:rsidR="00294D44" w:rsidRDefault="00294D44" w:rsidP="00294D44"/>
    <w:p w:rsidR="00294D44" w:rsidRDefault="00294D44" w:rsidP="00294D44">
      <w:pPr>
        <w:pStyle w:val="EntradandiceAuto"/>
      </w:pPr>
      <w:r>
        <w:t>Pleno. Auto 119/2012, de 5 de junio de 2012. Inadmite a trámite la cuestión de inconstitucionalidad 6664-2011, planteada por el Tribunal Militar Territorial Primero en relación con el artículo 454 de la Ley Orgánica 2/1989, de 13 de abril, procesal militar.</w:t>
      </w:r>
      <w:r>
        <w:tab/>
      </w:r>
      <w:r>
        <w:tab/>
      </w:r>
      <w:r>
        <w:fldChar w:fldCharType="begin"/>
      </w:r>
      <w:r>
        <w:instrText xml:space="preserve"> PAGEREF AUTO_2012_119 \h </w:instrText>
      </w:r>
      <w:r>
        <w:fldChar w:fldCharType="separate"/>
      </w:r>
      <w:r w:rsidR="00A6693A">
        <w:rPr>
          <w:noProof/>
        </w:rPr>
        <w:t>3091</w:t>
      </w:r>
      <w:r>
        <w:fldChar w:fldCharType="end"/>
      </w:r>
    </w:p>
    <w:p w:rsidR="00294D44" w:rsidRDefault="00294D44" w:rsidP="00294D44"/>
    <w:p w:rsidR="00294D44" w:rsidRDefault="00294D44" w:rsidP="00294D44">
      <w:pPr>
        <w:pStyle w:val="EntradandiceAuto"/>
      </w:pPr>
      <w:r>
        <w:t>Sección Primera. Auto 120/2012, de 6 de junio de 2012. Declara que no procede hacer ningún pronunciamiento sobre si se ha producido un funcionamiento anormal en la tramitación del recurso de amparo 5432-2010 promovido por doña Eva Gelabert Claveguera y don Eduard Arboix Lleopart.</w:t>
      </w:r>
      <w:r>
        <w:tab/>
      </w:r>
      <w:r>
        <w:tab/>
      </w:r>
      <w:r>
        <w:fldChar w:fldCharType="begin"/>
      </w:r>
      <w:r>
        <w:instrText xml:space="preserve"> PAGEREF AUTO_2012_120 \h </w:instrText>
      </w:r>
      <w:r>
        <w:fldChar w:fldCharType="separate"/>
      </w:r>
      <w:r w:rsidR="00A6693A">
        <w:rPr>
          <w:noProof/>
        </w:rPr>
        <w:t>3100</w:t>
      </w:r>
      <w:r>
        <w:fldChar w:fldCharType="end"/>
      </w:r>
    </w:p>
    <w:p w:rsidR="00294D44" w:rsidRDefault="00294D44" w:rsidP="00294D44"/>
    <w:p w:rsidR="00294D44" w:rsidRDefault="00294D44" w:rsidP="00294D44">
      <w:pPr>
        <w:pStyle w:val="EntradandiceAuto"/>
      </w:pPr>
      <w:r>
        <w:t>Sección Segunda. Auto 121/2012, de 13 de junio de 2012. Acuerda el desistimiento en el recurso de amparo 2301-2012, promovido en proceso contencioso-administrativo.</w:t>
      </w:r>
      <w:r>
        <w:tab/>
      </w:r>
      <w:r>
        <w:tab/>
      </w:r>
      <w:r>
        <w:fldChar w:fldCharType="begin"/>
      </w:r>
      <w:r>
        <w:instrText xml:space="preserve"> PAGEREF AUTO_2012_121 \h </w:instrText>
      </w:r>
      <w:r>
        <w:fldChar w:fldCharType="separate"/>
      </w:r>
      <w:r w:rsidR="00A6693A">
        <w:rPr>
          <w:noProof/>
        </w:rPr>
        <w:t>3104</w:t>
      </w:r>
      <w:r>
        <w:fldChar w:fldCharType="end"/>
      </w:r>
    </w:p>
    <w:p w:rsidR="00294D44" w:rsidRDefault="00294D44" w:rsidP="00294D44"/>
    <w:p w:rsidR="00294D44" w:rsidRDefault="00294D44" w:rsidP="00294D44">
      <w:pPr>
        <w:pStyle w:val="EntradandiceAuto"/>
      </w:pPr>
      <w:r>
        <w:t>Sala Primera. Auto 122/2012, de 18 de junio de 2012. Deniega la suspensión en el recurso de amparo 3268-2011, promovido por don Mansueto Sayols Vendrell en proceso contencioso-administrativo.</w:t>
      </w:r>
      <w:r>
        <w:tab/>
      </w:r>
      <w:r>
        <w:tab/>
      </w:r>
      <w:r>
        <w:fldChar w:fldCharType="begin"/>
      </w:r>
      <w:r>
        <w:instrText xml:space="preserve"> PAGEREF AUTO_2012_122 \h </w:instrText>
      </w:r>
      <w:r>
        <w:fldChar w:fldCharType="separate"/>
      </w:r>
      <w:r w:rsidR="00A6693A">
        <w:rPr>
          <w:noProof/>
        </w:rPr>
        <w:t>3106</w:t>
      </w:r>
      <w:r>
        <w:fldChar w:fldCharType="end"/>
      </w:r>
    </w:p>
    <w:p w:rsidR="00294D44" w:rsidRDefault="00294D44" w:rsidP="00294D44"/>
    <w:p w:rsidR="00294D44" w:rsidRDefault="00294D44" w:rsidP="00294D44">
      <w:pPr>
        <w:pStyle w:val="EntradandiceAuto"/>
      </w:pPr>
      <w:r>
        <w:t>Sala Segunda. Auto 123/2012, de 18 de junio de 2012. Estima el recurso de súplica del Ministerio Fiscal sobre inadmisión del recurso de amparo 5375-2011, promovido por don Rafael y don José Luis Segado Rodríguez, en causa penal.</w:t>
      </w:r>
      <w:r>
        <w:tab/>
      </w:r>
      <w:r>
        <w:tab/>
      </w:r>
      <w:r>
        <w:fldChar w:fldCharType="begin"/>
      </w:r>
      <w:r>
        <w:instrText xml:space="preserve"> PAGEREF AUTO_2012_123 \h </w:instrText>
      </w:r>
      <w:r>
        <w:fldChar w:fldCharType="separate"/>
      </w:r>
      <w:r w:rsidR="00A6693A">
        <w:rPr>
          <w:noProof/>
        </w:rPr>
        <w:t>3110</w:t>
      </w:r>
      <w:r>
        <w:fldChar w:fldCharType="end"/>
      </w:r>
    </w:p>
    <w:p w:rsidR="00294D44" w:rsidRDefault="00294D44" w:rsidP="00294D44"/>
    <w:p w:rsidR="00294D44" w:rsidRDefault="00294D44" w:rsidP="00294D44">
      <w:pPr>
        <w:pStyle w:val="EntradandiceAuto"/>
      </w:pPr>
      <w:r>
        <w:t>Sala Segunda. Auto 124/2012, de 18 de junio de 2012. Deniega la suspensión en el recurso de amparo 6818-2011, promovido por doña Ana Fernández Martín, en proceso contencioso-administrativo.</w:t>
      </w:r>
      <w:r>
        <w:tab/>
      </w:r>
      <w:r>
        <w:tab/>
      </w:r>
      <w:r>
        <w:fldChar w:fldCharType="begin"/>
      </w:r>
      <w:r>
        <w:instrText xml:space="preserve"> PAGEREF AUTO_2012_124 \h </w:instrText>
      </w:r>
      <w:r>
        <w:fldChar w:fldCharType="separate"/>
      </w:r>
      <w:r w:rsidR="00A6693A">
        <w:rPr>
          <w:noProof/>
        </w:rPr>
        <w:t>3113</w:t>
      </w:r>
      <w:r>
        <w:fldChar w:fldCharType="end"/>
      </w:r>
    </w:p>
    <w:p w:rsidR="00294D44" w:rsidRDefault="00294D44" w:rsidP="00294D44"/>
    <w:p w:rsidR="00294D44" w:rsidRDefault="00294D44" w:rsidP="00294D44">
      <w:pPr>
        <w:pStyle w:val="EntradandiceAuto"/>
      </w:pPr>
      <w:r>
        <w:t>Sección Tercera. Auto 125/2012, de 18 de junio de 2012. Acuerda el desistimiento en el recurso de amparo 411-2012, promovido en proceso contencioso-administrativo.</w:t>
      </w:r>
      <w:r>
        <w:tab/>
      </w:r>
      <w:r>
        <w:tab/>
      </w:r>
      <w:r>
        <w:fldChar w:fldCharType="begin"/>
      </w:r>
      <w:r>
        <w:instrText xml:space="preserve"> PAGEREF AUTO_2012_125 \h </w:instrText>
      </w:r>
      <w:r>
        <w:fldChar w:fldCharType="separate"/>
      </w:r>
      <w:r w:rsidR="00A6693A">
        <w:rPr>
          <w:noProof/>
        </w:rPr>
        <w:t>3116</w:t>
      </w:r>
      <w:r>
        <w:fldChar w:fldCharType="end"/>
      </w:r>
    </w:p>
    <w:p w:rsidR="00294D44" w:rsidRDefault="00294D44" w:rsidP="00294D44"/>
    <w:p w:rsidR="00294D44" w:rsidRDefault="00294D44" w:rsidP="00294D44">
      <w:pPr>
        <w:pStyle w:val="EntradandiceAuto"/>
      </w:pPr>
      <w:r>
        <w:t>Pleno. Auto 126/2012, de 19 de junio de 2012. Acuerda la extinción de la cuestión de inconstitucionalidad 4916-2002, planteada por el Juzgado de lo Penal núm. 1 de Ponferrada en relación con el artículo 335 del Código penal.</w:t>
      </w:r>
      <w:r>
        <w:tab/>
      </w:r>
      <w:r>
        <w:tab/>
      </w:r>
      <w:r>
        <w:fldChar w:fldCharType="begin"/>
      </w:r>
      <w:r>
        <w:instrText xml:space="preserve"> PAGEREF AUTO_2012_126 \h </w:instrText>
      </w:r>
      <w:r>
        <w:fldChar w:fldCharType="separate"/>
      </w:r>
      <w:r w:rsidR="00A6693A">
        <w:rPr>
          <w:noProof/>
        </w:rPr>
        <w:t>3118</w:t>
      </w:r>
      <w:r>
        <w:fldChar w:fldCharType="end"/>
      </w:r>
    </w:p>
    <w:p w:rsidR="00294D44" w:rsidRDefault="00294D44" w:rsidP="00294D44"/>
    <w:p w:rsidR="00294D44" w:rsidRDefault="00294D44" w:rsidP="00294D44">
      <w:pPr>
        <w:pStyle w:val="EntradandiceAuto"/>
      </w:pPr>
      <w:r>
        <w:t>Pleno. Auto 127/2012, de 19 de junio de 2012. Inadmite a trámite, por faltar las condiciones procesales, la cuestión de inconstitucionalidad 2713-2011, planteada por el Juzgado de Primera Instancia e Instrucción núm. 4 de Figueres en relación con el artículo 764.4 de la Ley de enjuiciamiento criminal.</w:t>
      </w:r>
      <w:r>
        <w:tab/>
      </w:r>
      <w:r>
        <w:tab/>
      </w:r>
      <w:r>
        <w:fldChar w:fldCharType="begin"/>
      </w:r>
      <w:r>
        <w:instrText xml:space="preserve"> PAGEREF AUTO_2012_127 \h </w:instrText>
      </w:r>
      <w:r>
        <w:fldChar w:fldCharType="separate"/>
      </w:r>
      <w:r w:rsidR="00A6693A">
        <w:rPr>
          <w:noProof/>
        </w:rPr>
        <w:t>3124</w:t>
      </w:r>
      <w:r>
        <w:fldChar w:fldCharType="end"/>
      </w:r>
    </w:p>
    <w:p w:rsidR="00294D44" w:rsidRDefault="00294D44" w:rsidP="00294D44"/>
    <w:p w:rsidR="00294D44" w:rsidRDefault="00294D44" w:rsidP="00294D44">
      <w:pPr>
        <w:pStyle w:val="EntradandiceAuto"/>
      </w:pPr>
      <w:r>
        <w:t>Pleno. Auto 128/2012, de 19 de junio de 2012. Inadmite a trámite la cuestión de inconstitucionalidad 5494-2011, planteada por el Juzgado de lo Contencioso-Administrativo núm. 6 de Las Palmas de Gran Canaria en relación con el Real Decreto-ley 8/2012, de 20 de mayo, por el que se adoptan medidas extraordinarias para la reducción del déficit público.</w:t>
      </w:r>
      <w:r>
        <w:tab/>
      </w:r>
      <w:r>
        <w:tab/>
      </w:r>
      <w:r>
        <w:fldChar w:fldCharType="begin"/>
      </w:r>
      <w:r>
        <w:instrText xml:space="preserve"> PAGEREF AUTO_2012_128 \h </w:instrText>
      </w:r>
      <w:r>
        <w:fldChar w:fldCharType="separate"/>
      </w:r>
      <w:r w:rsidR="00A6693A">
        <w:rPr>
          <w:noProof/>
        </w:rPr>
        <w:t>3129</w:t>
      </w:r>
      <w:r>
        <w:fldChar w:fldCharType="end"/>
      </w:r>
    </w:p>
    <w:p w:rsidR="00294D44" w:rsidRDefault="00294D44" w:rsidP="00294D44"/>
    <w:p w:rsidR="00294D44" w:rsidRDefault="00294D44" w:rsidP="00294D44">
      <w:pPr>
        <w:pStyle w:val="EntradandiceAuto"/>
      </w:pPr>
      <w:r>
        <w:t>Sección Segunda. Auto 129/2012, de 21 de junio de 2012. Acuerda el desistimiento en el recurso de amparo 1712-2012, promovido en proceso contencioso-administrativo.</w:t>
      </w:r>
      <w:r>
        <w:tab/>
      </w:r>
      <w:r>
        <w:tab/>
      </w:r>
      <w:r>
        <w:fldChar w:fldCharType="begin"/>
      </w:r>
      <w:r>
        <w:instrText xml:space="preserve"> PAGEREF AUTO_2012_129 \h </w:instrText>
      </w:r>
      <w:r>
        <w:fldChar w:fldCharType="separate"/>
      </w:r>
      <w:r w:rsidR="00A6693A">
        <w:rPr>
          <w:noProof/>
        </w:rPr>
        <w:t>3140</w:t>
      </w:r>
      <w:r>
        <w:fldChar w:fldCharType="end"/>
      </w:r>
    </w:p>
    <w:p w:rsidR="00294D44" w:rsidRDefault="00294D44" w:rsidP="00294D44"/>
    <w:p w:rsidR="00294D44" w:rsidRDefault="00294D44" w:rsidP="00294D44">
      <w:pPr>
        <w:pStyle w:val="EntradandiceAuto"/>
      </w:pPr>
      <w:r>
        <w:lastRenderedPageBreak/>
        <w:t>Sección Segunda. Auto 130/2012, de 25 de junio de 2012. Desestima el recurso de súplica del Ministerio Fiscal sobre inadmisión del recurso de amparo 6963-2010, promovido por Euro 5 Aquamarine, S.L., en proceso contencioso-administrativo.</w:t>
      </w:r>
      <w:r>
        <w:tab/>
      </w:r>
      <w:r>
        <w:tab/>
      </w:r>
      <w:r>
        <w:fldChar w:fldCharType="begin"/>
      </w:r>
      <w:r>
        <w:instrText xml:space="preserve"> PAGEREF AUTO_2012_130 \h </w:instrText>
      </w:r>
      <w:r>
        <w:fldChar w:fldCharType="separate"/>
      </w:r>
      <w:r w:rsidR="00A6693A">
        <w:rPr>
          <w:noProof/>
        </w:rPr>
        <w:t>3141</w:t>
      </w:r>
      <w:r>
        <w:fldChar w:fldCharType="end"/>
      </w:r>
    </w:p>
    <w:p w:rsidR="00294D44" w:rsidRDefault="00294D44" w:rsidP="00294D44"/>
    <w:p w:rsidR="00294D44" w:rsidRDefault="00294D44" w:rsidP="00294D44">
      <w:pPr>
        <w:pStyle w:val="EntradandiceAuto"/>
      </w:pPr>
      <w:r>
        <w:t>Sección Segunda. Auto 131/2012, de 25 de junio de 2012. Desestima el recurso de súplica del Ministerio Fiscal sobre inadmisión del recurso de amparo 3736-2011, promovido por don Mohamed Said Alaoui, en proceso de extradición.</w:t>
      </w:r>
      <w:r>
        <w:tab/>
      </w:r>
      <w:r>
        <w:tab/>
      </w:r>
      <w:r>
        <w:fldChar w:fldCharType="begin"/>
      </w:r>
      <w:r>
        <w:instrText xml:space="preserve"> PAGEREF AUTO_2012_131 \h </w:instrText>
      </w:r>
      <w:r>
        <w:fldChar w:fldCharType="separate"/>
      </w:r>
      <w:r w:rsidR="00A6693A">
        <w:rPr>
          <w:noProof/>
        </w:rPr>
        <w:t>3144</w:t>
      </w:r>
      <w:r>
        <w:fldChar w:fldCharType="end"/>
      </w:r>
    </w:p>
    <w:p w:rsidR="00294D44" w:rsidRDefault="00294D44" w:rsidP="00294D44"/>
    <w:p w:rsidR="00294D44" w:rsidRDefault="00294D44" w:rsidP="00294D44">
      <w:pPr>
        <w:pStyle w:val="EntradandiceAuto"/>
      </w:pPr>
      <w:r>
        <w:t>Sección Segunda. Auto 132/2012, de 26 de junio de 2012. Desestima el recurso de súplica del Ministerio Fiscal sobre inadmisión del recurso de amparo 9233-2007, promovido por don Josep Roselló Pardo en pleito civil.</w:t>
      </w:r>
      <w:r>
        <w:tab/>
      </w:r>
      <w:r>
        <w:tab/>
      </w:r>
      <w:r>
        <w:fldChar w:fldCharType="begin"/>
      </w:r>
      <w:r>
        <w:instrText xml:space="preserve"> PAGEREF AUTO_2012_132 \h </w:instrText>
      </w:r>
      <w:r>
        <w:fldChar w:fldCharType="separate"/>
      </w:r>
      <w:r w:rsidR="00A6693A">
        <w:rPr>
          <w:noProof/>
        </w:rPr>
        <w:t>3147</w:t>
      </w:r>
      <w:r>
        <w:fldChar w:fldCharType="end"/>
      </w:r>
    </w:p>
    <w:p w:rsidR="00294D44" w:rsidRDefault="00294D44" w:rsidP="00294D44"/>
    <w:p w:rsidR="00294D44" w:rsidRDefault="00294D44" w:rsidP="00294D44">
      <w:pPr>
        <w:pStyle w:val="EntradandiceAuto"/>
      </w:pPr>
      <w:r>
        <w:t>Sección Segunda. Auto 133/2012, de 27 de junio de 2012. Acuerda el desistimiento en el recurso de amparo 2219-2011, promovido en proceso contencioso-administrativo.</w:t>
      </w:r>
      <w:r>
        <w:tab/>
      </w:r>
      <w:r>
        <w:tab/>
      </w:r>
      <w:r>
        <w:fldChar w:fldCharType="begin"/>
      </w:r>
      <w:r>
        <w:instrText xml:space="preserve"> PAGEREF AUTO_2012_133 \h </w:instrText>
      </w:r>
      <w:r>
        <w:fldChar w:fldCharType="separate"/>
      </w:r>
      <w:r w:rsidR="00A6693A">
        <w:rPr>
          <w:noProof/>
        </w:rPr>
        <w:t>3152</w:t>
      </w:r>
      <w:r>
        <w:fldChar w:fldCharType="end"/>
      </w:r>
    </w:p>
    <w:p w:rsidR="00294D44" w:rsidRDefault="00294D44" w:rsidP="00294D44"/>
    <w:p w:rsidR="00294D44" w:rsidRDefault="00294D44" w:rsidP="00294D44">
      <w:pPr>
        <w:pStyle w:val="EntradandiceAuto"/>
      </w:pPr>
      <w:r>
        <w:t>Sección Segunda. Auto 134/2012, de 27 de junio de 2012. Acuerda el desistimiento en el recurso de amparo 4738-2011, promovido en litigio civil.</w:t>
      </w:r>
      <w:r>
        <w:tab/>
      </w:r>
      <w:r>
        <w:tab/>
      </w:r>
      <w:r>
        <w:fldChar w:fldCharType="begin"/>
      </w:r>
      <w:r>
        <w:instrText xml:space="preserve"> PAGEREF AUTO_2012_134 \h </w:instrText>
      </w:r>
      <w:r>
        <w:fldChar w:fldCharType="separate"/>
      </w:r>
      <w:r w:rsidR="00A6693A">
        <w:rPr>
          <w:noProof/>
        </w:rPr>
        <w:t>3153</w:t>
      </w:r>
      <w:r>
        <w:fldChar w:fldCharType="end"/>
      </w:r>
    </w:p>
    <w:p w:rsidR="00294D44" w:rsidRDefault="00294D44" w:rsidP="00294D44"/>
    <w:p w:rsidR="00294D44" w:rsidRDefault="00294D44" w:rsidP="00294D44">
      <w:pPr>
        <w:pStyle w:val="EntradandiceAuto"/>
      </w:pPr>
      <w:r>
        <w:t>Sección Segunda. Auto 135/2012, de 27 de junio de 2012. Acuerda el desistimiento en el recurso de amparo 4898-2011, promovido en litigio civil.</w:t>
      </w:r>
      <w:r>
        <w:tab/>
      </w:r>
      <w:r>
        <w:tab/>
      </w:r>
      <w:r>
        <w:fldChar w:fldCharType="begin"/>
      </w:r>
      <w:r>
        <w:instrText xml:space="preserve"> PAGEREF AUTO_2012_135 \h </w:instrText>
      </w:r>
      <w:r>
        <w:fldChar w:fldCharType="separate"/>
      </w:r>
      <w:r w:rsidR="00A6693A">
        <w:rPr>
          <w:noProof/>
        </w:rPr>
        <w:t>3154</w:t>
      </w:r>
      <w:r>
        <w:fldChar w:fldCharType="end"/>
      </w:r>
    </w:p>
    <w:p w:rsidR="00294D44" w:rsidRDefault="00294D44">
      <w:pPr>
        <w:spacing w:after="160" w:line="259" w:lineRule="auto"/>
      </w:pPr>
      <w:r>
        <w:br w:type="page"/>
      </w:r>
    </w:p>
    <w:p w:rsidR="00294D44" w:rsidRDefault="00294D44" w:rsidP="00D06117"/>
    <w:p w:rsidR="00294D44" w:rsidRDefault="00294D44" w:rsidP="00D06117"/>
    <w:p w:rsidR="00D06117" w:rsidRDefault="00D06117" w:rsidP="00D06117"/>
    <w:p w:rsidR="00D06117" w:rsidRDefault="00D06117" w:rsidP="00D06117"/>
    <w:p w:rsidR="00D06117" w:rsidRDefault="00D06117" w:rsidP="00D06117"/>
    <w:p w:rsidR="00D06117" w:rsidRDefault="00D06117" w:rsidP="00D06117"/>
    <w:p w:rsidR="00D06117" w:rsidRDefault="00D06117" w:rsidP="00D06117"/>
    <w:p w:rsidR="00D06117" w:rsidRDefault="00D06117" w:rsidP="00D06117"/>
    <w:p w:rsidR="00D06117" w:rsidRDefault="00D06117" w:rsidP="00D06117">
      <w:pPr>
        <w:pStyle w:val="CabeceraApartado"/>
      </w:pPr>
      <w:r>
        <w:t>SENTENCIAS</w:t>
      </w:r>
    </w:p>
    <w:p w:rsidR="00D06117" w:rsidRDefault="00D06117">
      <w:pPr>
        <w:spacing w:after="160" w:line="259" w:lineRule="auto"/>
        <w:rPr>
          <w:rFonts w:ascii="Times New Roman" w:eastAsia="Times New Roman" w:hAnsi="Times New Roman" w:cs="Times New Roman"/>
          <w:sz w:val="48"/>
          <w:szCs w:val="24"/>
          <w:lang w:eastAsia="es-ES"/>
        </w:rPr>
      </w:pPr>
      <w:r>
        <w:br w:type="page"/>
      </w:r>
    </w:p>
    <w:p w:rsidR="00D06117" w:rsidRDefault="00D06117" w:rsidP="00D06117">
      <w:pPr>
        <w:pStyle w:val="TtuloResolucin"/>
      </w:pPr>
      <w:bookmarkStart w:id="4" w:name="SENTENCIA_2012_1"/>
      <w:r>
        <w:lastRenderedPageBreak/>
        <w:t>SENTENCIA 1/2012, de 13 de enero de 2012</w:t>
      </w:r>
    </w:p>
    <w:bookmarkEnd w:id="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ECLI:ES:TC:2012:1</w:t>
      </w:r>
    </w:p>
    <w:p w:rsidR="00D06117" w:rsidRDefault="00D06117" w:rsidP="00D06117">
      <w:pPr>
        <w:pStyle w:val="SntesisDescriptiva"/>
      </w:pPr>
    </w:p>
    <w:p w:rsidR="00D06117" w:rsidRDefault="00D06117" w:rsidP="00D06117">
      <w:pPr>
        <w:pStyle w:val="SntesisDescriptiva"/>
      </w:pPr>
      <w:r>
        <w:t>Recurso de inconstitucionalidad 71-2001. Interpuesto por el Consejo de Gobierno de la Comunidad Autónoma de Andalucía en relación con diversos preceptos del Real Decreto-ley 9/2000, de 6 de octubre, de modificación del Real Decreto Legislativo 1302/1986, de 28 de junio, de evaluación de impacto ambiental.</w:t>
      </w:r>
    </w:p>
    <w:p w:rsidR="00D06117" w:rsidRDefault="00D06117" w:rsidP="00D06117">
      <w:pPr>
        <w:pStyle w:val="SntesisDescriptiva"/>
      </w:pPr>
    </w:p>
    <w:p w:rsidR="00D06117" w:rsidRDefault="00D06117" w:rsidP="00D06117">
      <w:pPr>
        <w:pStyle w:val="SntesisAnaltica"/>
      </w:pPr>
      <w:r>
        <w:t>Límites a los decretos-leyes, distribución de competencias en materia de medio ambiente: nulidad del precepto que remite al reglamento la regulación del procedimiento de evaluación ambiental de determinados proyectos. Voto particular.</w:t>
      </w:r>
    </w:p>
    <w:p w:rsidR="00D06117" w:rsidRDefault="00D06117" w:rsidP="00D06117">
      <w:pPr>
        <w:pStyle w:val="SntesisAnaltica"/>
      </w:pPr>
    </w:p>
    <w:p w:rsidR="00D06117" w:rsidRDefault="00D06117" w:rsidP="00D06117">
      <w:pPr>
        <w:pStyle w:val="Extracto"/>
      </w:pPr>
      <w:r>
        <w:t>1.</w:t>
      </w:r>
      <w:r>
        <w:tab/>
        <w:t>Es inconstitucional la disposición del Real Decreto-ley impugnado que contempla que la evaluación ambiental se llevará a cabo de conformidad con un procedimiento abreviado cuya regulación se remite en blanco a un futuro reglamento que el Gobierno habría de aprobar en una fecha posterior sin concretar, debiendo señalarse que todavía no se ha hecho uso de la deslegalización, pese al tiempo transcurrido (STC 29/1982) [FJ 12].</w:t>
      </w:r>
    </w:p>
    <w:p w:rsidR="00D06117" w:rsidRDefault="00D06117" w:rsidP="00D06117">
      <w:pPr>
        <w:pStyle w:val="Extracto"/>
      </w:pPr>
    </w:p>
    <w:p w:rsidR="00D06117" w:rsidRDefault="00D06117" w:rsidP="00D06117">
      <w:pPr>
        <w:pStyle w:val="Extracto"/>
      </w:pPr>
      <w:r>
        <w:t>2.</w:t>
      </w:r>
      <w:r>
        <w:tab/>
        <w:t>Las razones de extraordinaria y urgente necesidad no amparan la inclusión de un precepto que remite al futuro la regulación de la materia deslegalizada, máxime cuando no se fija un plazo perentorio para dictar tal regulación, que habrá de ser inferior al necesario para tramitar la deslegalización como proyecto de ley por el procedimiento de urgencia (STC 29/1982) [FJ 12].</w:t>
      </w:r>
    </w:p>
    <w:p w:rsidR="00D06117" w:rsidRDefault="00D06117" w:rsidP="00D06117">
      <w:pPr>
        <w:pStyle w:val="Extracto"/>
      </w:pPr>
    </w:p>
    <w:p w:rsidR="00D06117" w:rsidRDefault="00D06117" w:rsidP="00D06117">
      <w:pPr>
        <w:pStyle w:val="Extracto"/>
      </w:pPr>
      <w:r>
        <w:t>3.</w:t>
      </w:r>
      <w:r>
        <w:tab/>
        <w:t xml:space="preserve">Concurre en el presente caso el presupuesto habilitante de la extraordinaria y urgente necesidad requerido por el art. 86.1 CE por la incidencia conjunta de un elemento temporal –el retraso en la transposición de directivas–, un elemento causal –la existencia de dos procedimientos de incumplimiento contra España en la transposición de directivas– y un elemento material –el sometimiento, </w:t>
      </w:r>
      <w:r w:rsidRPr="00D06117">
        <w:rPr>
          <w:i/>
        </w:rPr>
        <w:t>ex</w:t>
      </w:r>
      <w:r>
        <w:t xml:space="preserve"> art. 45 CE, de la casi totalidad de los proyectos con relevancia económica y social a la evaluación de impacto ambiental– [FJ 10].</w:t>
      </w:r>
    </w:p>
    <w:p w:rsidR="00D06117" w:rsidRDefault="00D06117" w:rsidP="00D06117">
      <w:pPr>
        <w:pStyle w:val="Extracto"/>
      </w:pPr>
    </w:p>
    <w:p w:rsidR="00D06117" w:rsidRDefault="00D06117" w:rsidP="00D06117">
      <w:pPr>
        <w:pStyle w:val="Extracto"/>
      </w:pPr>
      <w:r>
        <w:t>4.</w:t>
      </w:r>
      <w:r>
        <w:tab/>
        <w:t>No cabe incluir en un decreto-ley disposiciones que por su estructura misma, independientemente de su contenido, no modifican de manera instantánea la situación jurídica existente, pues de ellas difícilmente podrá justificarse la extraordinaria y urgente necesidad (STC 29/1982) [FJ 12].</w:t>
      </w:r>
    </w:p>
    <w:p w:rsidR="00D06117" w:rsidRDefault="00D06117" w:rsidP="00D06117">
      <w:pPr>
        <w:pStyle w:val="Extracto"/>
      </w:pPr>
    </w:p>
    <w:p w:rsidR="00D06117" w:rsidRDefault="00D06117" w:rsidP="00D06117">
      <w:pPr>
        <w:pStyle w:val="Extracto"/>
      </w:pPr>
      <w:r>
        <w:t>5.</w:t>
      </w:r>
      <w:r>
        <w:tab/>
        <w:t xml:space="preserve">El presupuesto habilitante de la extraordinaria y urgente necesidad del decreto-ley, </w:t>
      </w:r>
      <w:r w:rsidRPr="00D06117">
        <w:rPr>
          <w:i/>
        </w:rPr>
        <w:t>ex</w:t>
      </w:r>
      <w:r>
        <w:t xml:space="preserve"> art. 86.1 CE, exige la presentación explícita y razonada de los motivos que han sido tenidos en cuenta por el Gobierno en su aprobación y la existencia de una necesaria conexión entre la situación de urgencia y la medida adoptada (SSTC 29/1982, 137/2003) [FFJJ 6, 7, 11, 12].</w:t>
      </w:r>
    </w:p>
    <w:p w:rsidR="00D06117" w:rsidRDefault="00D06117" w:rsidP="00D06117">
      <w:pPr>
        <w:pStyle w:val="Extracto"/>
      </w:pPr>
    </w:p>
    <w:p w:rsidR="00D06117" w:rsidRDefault="00D06117" w:rsidP="00D06117">
      <w:pPr>
        <w:pStyle w:val="Extracto"/>
      </w:pPr>
      <w:r>
        <w:lastRenderedPageBreak/>
        <w:t>6.</w:t>
      </w:r>
      <w:r>
        <w:tab/>
        <w:t>Doctrina sobre el sentido y alcance del presupuesto legitimador de la extraordinaria y urgente necesidad del decreto-ley (SSTC 68/2007, 329/2005) [FFJJ 4, 6].</w:t>
      </w:r>
    </w:p>
    <w:p w:rsidR="00D06117" w:rsidRDefault="00D06117" w:rsidP="00D06117">
      <w:pPr>
        <w:pStyle w:val="Extracto"/>
      </w:pPr>
    </w:p>
    <w:p w:rsidR="00D06117" w:rsidRDefault="00D06117" w:rsidP="00D06117">
      <w:pPr>
        <w:pStyle w:val="Extracto"/>
      </w:pPr>
      <w:r>
        <w:t>7.</w:t>
      </w:r>
      <w:r>
        <w:tab/>
        <w:t>Proporcionar seguridad jurídica en cuanto al carácter básico de la legislación que se adopta mediante un real decreto-ley no puede desvincularse de la finalidad normativa a la que responde la aprobación de dicha norma, so pena de restringir excesivamente el ámbito material del real decreto-ley, limitación que no se desprende del art. 86.1 CE ni de precepto constitucional alguno [FJ 12].</w:t>
      </w:r>
    </w:p>
    <w:p w:rsidR="00D06117" w:rsidRDefault="00D06117" w:rsidP="00D06117">
      <w:pPr>
        <w:pStyle w:val="Extracto"/>
      </w:pPr>
    </w:p>
    <w:p w:rsidR="00D06117" w:rsidRDefault="00D06117" w:rsidP="00D06117">
      <w:pPr>
        <w:pStyle w:val="Extracto"/>
      </w:pPr>
      <w:r>
        <w:t>8.</w:t>
      </w:r>
      <w:r>
        <w:tab/>
        <w:t>Es conforme con el orden constitucional de competencias que la normativa impugnada confíe la evaluación del impacto ambiental a la propia Administración que realiza o autoriza el proyecto de una obra, instalación o actividad que se encuentra sujeta a su competencia (SSTC 13/1998, 101/2006) [FJ 14].</w:t>
      </w:r>
    </w:p>
    <w:p w:rsidR="00D06117" w:rsidRDefault="00D06117" w:rsidP="00D06117">
      <w:pPr>
        <w:pStyle w:val="Extracto"/>
      </w:pPr>
    </w:p>
    <w:p w:rsidR="00D06117" w:rsidRDefault="00D06117" w:rsidP="00D06117">
      <w:pPr>
        <w:pStyle w:val="Extracto"/>
      </w:pPr>
      <w:r>
        <w:t>9.</w:t>
      </w:r>
      <w:r>
        <w:tab/>
        <w:t>La traslación al ordenamiento interno del Derecho de la Unión Europea debe realizarse desde el pleno respeto de la estructura territorial del Estado, sin que afecte a los criterios constitucionales de reparto competencial, que no resultan alterados ni por el ingreso de España en la Comunidad Europea ni por la promulgación de normas comunitarias (STC 96/2002) [FJ 9].</w:t>
      </w:r>
    </w:p>
    <w:p w:rsidR="00D06117" w:rsidRDefault="00D06117" w:rsidP="00D06117">
      <w:pPr>
        <w:pStyle w:val="Extracto"/>
      </w:pPr>
    </w:p>
    <w:p w:rsidR="00D06117" w:rsidRDefault="00D06117" w:rsidP="00D06117">
      <w:pPr>
        <w:pStyle w:val="Extracto"/>
      </w:pPr>
      <w:r>
        <w:t>10.</w:t>
      </w:r>
      <w:r>
        <w:tab/>
        <w:t>Cuando los procesos constitucionales tienen por objeto disputas competenciales con origen en la trasposición al Derecho interno de una Directiva comunitaria no corresponde al Tribunal Constitucional decidir si ha sido o no correctamente incorporada, ni si está siendo correctamente aplicada (SSTC 64/1991, 13/1998) [FJ9].</w:t>
      </w:r>
    </w:p>
    <w:p w:rsidR="00D06117" w:rsidRDefault="00D06117" w:rsidP="00D06117">
      <w:pPr>
        <w:pStyle w:val="Extracto"/>
      </w:pPr>
    </w:p>
    <w:p w:rsidR="00D06117" w:rsidRDefault="00D06117" w:rsidP="00D06117">
      <w:pPr>
        <w:pStyle w:val="Extracto"/>
      </w:pPr>
      <w:r>
        <w:t>11.</w:t>
      </w:r>
      <w:r>
        <w:tab/>
        <w:t>No carece de la necesaria conexión de sentido, en la trasposición al Derecho interno de la Directiva comunitaria y en virtud del principio de cooperación leal entre la Unión Europea y los Estados miembros, la inclusión de una referencia normativa al marco básico de atribuciones y potestades aplicable a la delimitación competencial en materia de evaluación de impacto ambiental [FJ 12].</w:t>
      </w:r>
    </w:p>
    <w:p w:rsidR="00D06117" w:rsidRDefault="00D06117" w:rsidP="00D06117">
      <w:pPr>
        <w:pStyle w:val="Extracto"/>
      </w:pPr>
    </w:p>
    <w:p w:rsidR="00D06117" w:rsidRDefault="00D06117" w:rsidP="00D06117">
      <w:pPr>
        <w:pStyle w:val="Extracto"/>
      </w:pPr>
      <w:r>
        <w:t>12.</w:t>
      </w:r>
      <w:r>
        <w:tab/>
        <w:t>Cuando las tachas de inconstitucionalidad de un decreto-ley sean de orden competencial y no competencial se debe comenzar con la pretensión impugnatoria vinculada a la vulneración de lo dispuesto en el art. 86 CE, toda vez que si se estimaran estas alegaciones resultaría innecesario el examen de las restantes (SSTC 11/2002, 31/2011) [FJ 3].</w:t>
      </w:r>
    </w:p>
    <w:p w:rsidR="00D06117" w:rsidRDefault="00D06117" w:rsidP="00D06117">
      <w:pPr>
        <w:pStyle w:val="Extracto"/>
      </w:pPr>
    </w:p>
    <w:p w:rsidR="00D06117" w:rsidRDefault="00D06117" w:rsidP="00D06117">
      <w:pPr>
        <w:pStyle w:val="Extracto"/>
      </w:pPr>
      <w:r>
        <w:t>13.</w:t>
      </w:r>
      <w:r>
        <w:tab/>
        <w:t xml:space="preserve">La apertura del trámite de audiencia </w:t>
      </w:r>
      <w:r w:rsidRPr="00D06117">
        <w:rPr>
          <w:i/>
        </w:rPr>
        <w:t>ex</w:t>
      </w:r>
      <w:r>
        <w:t xml:space="preserve"> art. 84 LOTC,  en la medida en que la parte demandada ha solicitado expresamente a este Tribunal una decisión jurisdiccional constatando si existe o no la extralimitación competencial denunciada, permite concluir que el conflicto competencial ínsito en el presente recurso de inconstitucionalidad no ha perdido objeto [FJ 13].</w:t>
      </w:r>
    </w:p>
    <w:p w:rsidR="00D06117" w:rsidRDefault="00D06117" w:rsidP="00D06117">
      <w:pPr>
        <w:pStyle w:val="Extracto"/>
      </w:pPr>
    </w:p>
    <w:p w:rsidR="00D06117" w:rsidRDefault="00D06117" w:rsidP="00D06117">
      <w:pPr>
        <w:pStyle w:val="Extracto"/>
      </w:pPr>
      <w:r>
        <w:t>14.</w:t>
      </w:r>
      <w:r>
        <w:tab/>
        <w:t>Si bien carece de sentido, en el seno de un recurso de inconstitucionalidad, pronunciarse sobre normas que el legislador ha expulsado del ordenamiento, sin ul</w:t>
      </w:r>
      <w:r>
        <w:lastRenderedPageBreak/>
        <w:t>traactividad, puede resultar conveniente su enjuiciamiento para excluir toda aplicación posterior de la disposición controvertida, privándola del vestigio de vigencia que pudiera conservar (SSTC 160/1987, 385/1993) [FJ 3].</w:t>
      </w:r>
    </w:p>
    <w:p w:rsidR="00D06117" w:rsidRDefault="00D06117" w:rsidP="00D06117">
      <w:pPr>
        <w:pStyle w:val="Extracto"/>
      </w:pPr>
    </w:p>
    <w:p w:rsidR="00D06117" w:rsidRDefault="00D06117" w:rsidP="00D06117">
      <w:pPr>
        <w:pStyle w:val="Extracto"/>
      </w:pPr>
      <w:r>
        <w:t>15.</w:t>
      </w:r>
      <w:r>
        <w:tab/>
        <w:t>Doctrina sobre los efectos de la pérdida sobrevenida de la vigencia del precepto legal impugnado en los recursos de inconstitucionalidad de índole competencial (SSTC 182/1988, 77/2004) [FFJJ 3, 13].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don 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71-2001, promovido por el Consejo de Gobierno de la Comunidad Autónoma de Andalucía contra el artículo único, cardinales uno, dos y tres, del Real Decreto-ley 9/2000, de 6 de octubre, de modificación del Real Decreto Legislativo 1302/1986, de 28 de junio, de evaluación de impacto ambiental. Ha intervenido el Abogado del Estado.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5 de enero de 2001 tuvo entrada en el Registro General de este Tribunal Constitucional escrito de la Letrada del Consejo de Gobierno de la Comunidad Autónoma de Andalucía en nombre y representación de la misma, por el que se interpuso recurso de inconstitucionalidad contra el artículo único, cardinales uno, dos y tres, del Real Decreto-ley 9/2000, de 6 de octubre, de modificación del Real Decreto Legislativo 1302/1986, de 28 de junio, de evaluación de impacto ambiental, por cuanto modifica los artículos 5 y 7 e introduce unas disposiciones adicional tercera y final tercera en aquel real decreto legislativo. Estima el Consejo de Gobierno recurrente que dichos preceptos “resultan contrarios al bloque de la constitucionalidad, concretamente a los arts. 86 y 149.1.23 y concordantes de la Constitución Española, así como a los arts. 15.1.7 y concordantes del Estatuto de Autonomía para Andalucía”.</w:t>
      </w:r>
    </w:p>
    <w:p w:rsidR="00D06117" w:rsidRDefault="00D06117" w:rsidP="00D06117">
      <w:pPr>
        <w:pStyle w:val="TextoNormal"/>
      </w:pPr>
    </w:p>
    <w:p w:rsidR="00D06117" w:rsidRDefault="00D06117" w:rsidP="00D06117">
      <w:pPr>
        <w:pStyle w:val="TextoNormal"/>
      </w:pPr>
      <w:r>
        <w:t>Los preceptos recurridos (contenidos en el artículo único del Real Decreto-ley 9/2000, en los concretos extremos objeto de recurso) se pronuncian en los siguientes términos literales:</w:t>
      </w:r>
    </w:p>
    <w:p w:rsidR="00D06117" w:rsidRDefault="00D06117" w:rsidP="00D06117">
      <w:pPr>
        <w:pStyle w:val="TextoNormal"/>
      </w:pPr>
    </w:p>
    <w:p w:rsidR="00D06117" w:rsidRDefault="00D06117" w:rsidP="00D06117">
      <w:pPr>
        <w:pStyle w:val="TextoNormal"/>
      </w:pPr>
      <w:r>
        <w:t>“Artículo único. Modificaciones a introducir en el Real Decreto Legislativo 1302/1986, de 26 de junio, de evaluación de impacto ambiental.</w:t>
      </w:r>
    </w:p>
    <w:p w:rsidR="00D06117" w:rsidRDefault="00D06117" w:rsidP="00D06117">
      <w:pPr>
        <w:pStyle w:val="TextoNormal"/>
      </w:pPr>
    </w:p>
    <w:p w:rsidR="00D06117" w:rsidRDefault="00D06117" w:rsidP="00D06117">
      <w:pPr>
        <w:pStyle w:val="TextoNormal"/>
      </w:pPr>
      <w:r>
        <w:t>Uno. Se modifican los artículos 1, 2, 4.2, 5, 6 y 7 del Real Decreto Legislativo 1302/1986, de 28 de junio, de evaluación de impacto ambiental, que quedan redactados en los siguientes términos:</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t>Artículo 5: 1. A efectos de lo establecido en este Real Decreto legislativo y, en su caso, en la legislación de las Comunidades Autónomas, el Ministerio de Medio Ambiente será órgano ambiental en relación con los proyectos que deban ser autorizados o aprobados por la Administración General del Estado. 2. Cuando se trate de proyectos distintos a los señalados en el apartado 1, será órgano ambiental el que determine cada Comunidad Autónoma en su respectivo ámbito territorial. 3. Cuando corresponda a la Administración General del Estado formular la declaración de impacto ambiental será consultado preceptivamente el órgano ambiental de la Comunidad Autónoma en donde se ubique territorialmente el proyecto.</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t>Artículo 7: Corresponde a los órganos competentes por razón de la materia o a los órganos que, en su caso, designen las Comunidades Autónomas respecto a los proyectos, que no sean de competencia estatal, el seguimiento y vigilancia del cumplimiento de la declaración de impacto. Sin perjuicio de ello, el órgano ambiental podrá recabar información de aquéllos al respecto, así como efectuar las comprobaciones necesarias en orden a verificar el cumplimiento del condicionado.</w:t>
      </w:r>
    </w:p>
    <w:p w:rsidR="00D06117" w:rsidRDefault="00D06117" w:rsidP="00D06117">
      <w:pPr>
        <w:pStyle w:val="TextoNormal"/>
      </w:pPr>
    </w:p>
    <w:p w:rsidR="00D06117" w:rsidRDefault="00D06117" w:rsidP="00D06117">
      <w:pPr>
        <w:pStyle w:val="TextoNormal"/>
      </w:pPr>
      <w:r>
        <w:t>Dos. Se introduce una nueva disposición adicional tercera en el Real Decreto Legislativo 1302/1986, de 28 de junio, de evaluación de impacto ambiental, con el siguiente contenido:</w:t>
      </w:r>
    </w:p>
    <w:p w:rsidR="00D06117" w:rsidRDefault="00D06117" w:rsidP="00D06117">
      <w:pPr>
        <w:pStyle w:val="TextoNormal"/>
      </w:pPr>
    </w:p>
    <w:p w:rsidR="00D06117" w:rsidRDefault="00D06117" w:rsidP="00D06117">
      <w:pPr>
        <w:pStyle w:val="TextoNormal"/>
      </w:pPr>
      <w:r>
        <w:t>Disposición adicional tercera. Tratándose de proyectos, públicos y privados, que corresponda autorizar o aprobar a la Administración General del Estado y no sujetos a evaluación de impacto ambiental conforme a lo previsto en el presente Real Decreto legislativo, que, sin embargo, deban someterse a la misma por indicarlo la legislación de la Comunidad Autónoma en donde deban ejecutarse, la citada evaluación se llevará a cabo de conformidad con el procedimiento abreviado que a tal efecto se establezca reglamentariamente por el Estado.</w:t>
      </w:r>
    </w:p>
    <w:p w:rsidR="00D06117" w:rsidRDefault="00D06117" w:rsidP="00D06117">
      <w:pPr>
        <w:pStyle w:val="TextoNormal"/>
      </w:pPr>
    </w:p>
    <w:p w:rsidR="00D06117" w:rsidRDefault="00D06117" w:rsidP="00D06117">
      <w:pPr>
        <w:pStyle w:val="TextoNormal"/>
      </w:pPr>
      <w:r>
        <w:t>Tres. Se introduce una nueva disposición final tercera en el Real Decreto Legislativo 1302/1986, de 28 de junio, de evaluación de impacto ambiental, con el siguiente contenido:</w:t>
      </w:r>
    </w:p>
    <w:p w:rsidR="00D06117" w:rsidRDefault="00D06117" w:rsidP="00D06117">
      <w:pPr>
        <w:pStyle w:val="TextoNormal"/>
      </w:pPr>
    </w:p>
    <w:p w:rsidR="00D06117" w:rsidRDefault="00D06117" w:rsidP="00D06117">
      <w:pPr>
        <w:pStyle w:val="TextoNormal"/>
      </w:pPr>
      <w:r>
        <w:t>Disposición final tercera. Este Real Decreto legislativo tiene el carácter de legislación básica sobre protección del medio ambiente, de acuerdo con lo establecido en el artículo 149.1.23 de la Constitución.”</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Después de ofrecer una serie de apreciaciones sobre el cumplimiento de los requisitos procesales del recurso, en su escrito el Consejo de Gobierno andaluz pasa a desgranar sus alegaciones acerca de la supuesta inconstitucionalidad de los preceptos más arriba trascritos, alegaciones que se cifran, por una parte, y con carácter general, en un óbice formal, por entender que la aprobación de los preceptos recurridos bajo la forma de real decreto-ley supone una infracción del art. 86.1 CE, y, por otra, desde un punto de vista material, por considerar que dichos preceptos desconocen el bloque de la constitucionalidad.</w:t>
      </w:r>
    </w:p>
    <w:p w:rsidR="00D06117" w:rsidRDefault="00D06117" w:rsidP="00D06117">
      <w:pPr>
        <w:pStyle w:val="TextoNormal"/>
      </w:pPr>
    </w:p>
    <w:p w:rsidR="00D06117" w:rsidRDefault="00D06117" w:rsidP="00D06117">
      <w:pPr>
        <w:pStyle w:val="TextoNormal"/>
      </w:pPr>
      <w:r>
        <w:t>Resultaría así, a juicio de la Comunidad Autónoma recurrente, por una parte, vulnerado por todos los preceptos recurridos el art. 86.1 CE, dado que, en su opinión, no concurren los presupuestos constitucionalmente exigidos por dicho artículo para que el Gobierno pueda hacer uso legítimo de la facultad excepcional que le reconoce aquel artículo constitucional. En concreto, con apoyo en las SSTC 29/1982 y 6/1983 y partiendo de las especificaciones ofrecidas por la exposición de motivos del Real Decreto-ley sostiene que no concurriría la “extraordinaria y urgente necesidad” habilitante del uso de dicha facultad, ya que, por una parte, “se ha sobrepasado con creces el plazo de que disponían los Estados miembros para su cumplimiento” y, por otra parte, los preceptos recurridos “se refieren a aspectos ajenos a la adecuación a la normativa comunitaria” de referencia. Tampoco puede sustentarse en la intención de adaptar el Real Decreto Legislativo 1302/1986 a la doctrina constitucional sentada en la STC 13/1998, de 22 de enero, ya que han trascurrido más de dos años y medio desde su publicación en el momento de aprobarse el real decreto-ley. Además, se pone de relieve que la nueva redacción del artículo 5 tendría “cabida en la anterior”, de modo que “no resultaría justificada la extraordinaria y urgente necesidad”, ya que, en aquélla, “dado su carácter genérico, se reconocía la condición de órgano ambiental a órganos insertos en la Administración General del Estado, así como a órganos insertos en la Administración de las Comunidades Autónomas”. A lo que se suma, finalmente, la consideración de que, afectando a las Comunidades Autónomas, la posibilidad de uso del decreto-ley debe ser restrictiva, teniendo en cuenta que en el proceso para su elaboración y convalidación no interviene el Senado, “órgano legislativo al que la Constitución asigna las funciones de Cámara de representación territorial”.</w:t>
      </w:r>
    </w:p>
    <w:p w:rsidR="00D06117" w:rsidRDefault="00D06117" w:rsidP="00D06117">
      <w:pPr>
        <w:pStyle w:val="TextoNormal"/>
      </w:pPr>
    </w:p>
    <w:p w:rsidR="00D06117" w:rsidRDefault="00D06117" w:rsidP="00D06117">
      <w:pPr>
        <w:pStyle w:val="TextoNormal"/>
      </w:pPr>
      <w:r>
        <w:t>Sumado a lo anterior, y entrando en el contenido de los preceptos recurridos, estima el Consejo de Gobierno andaluz que todos ellos lesionan los arts. 13.14 y 15.1.17 del Estatuto de Autonomía para Andalucía, por incurrir en un exceso en el ejercicio de la competencia del art. 149.1.23 CE, al modificar la redacción de los arts. 5 y 7 e introducir unas nuevas disposiciones adicional tercera y final tercera en el Real Decreto Legislativo 1302/1986. Y ello por cuanto tales preceptos, aunque son respetuosos con la doctrina sentada al respecto por la STC 13/1998, de 22 de enero (que el recurrente discute, alineándose expresamente con el sentido del Voto particular), desconocen que es a las Comunidades Autónomas a las que corresponde, en todo caso, las funciones relativas a la evaluación ambiental, por ser ésta una actuación “integrante de la función de gestión dentro de la competencia de medio ambiente”, y ello “con independencia de qué Administración sea la competente para autorizar, aprobar o ejecutar el proyecto de que se trate”.</w:t>
      </w:r>
    </w:p>
    <w:p w:rsidR="00D06117" w:rsidRDefault="00D06117" w:rsidP="00D06117">
      <w:pPr>
        <w:pStyle w:val="TextoNormal"/>
      </w:pPr>
    </w:p>
    <w:p w:rsidR="00D06117" w:rsidRDefault="00D06117" w:rsidP="00D06117">
      <w:pPr>
        <w:pStyle w:val="TextoNormal"/>
      </w:pPr>
      <w:r>
        <w:t xml:space="preserve">Tales fundamentos sustentan según la Comunidad Autónoma recurrente, la inconstitucionalidad de la nueva redacción del artículo 5, tanto por cuanto su apartado 1 reconoce al Ministerio de Medio Ambiente la competencia para aprobar la evaluación ambiental cuando se refiera a proyectos que deban ser autorizados o aprobados por la Administración General </w:t>
      </w:r>
      <w:r>
        <w:lastRenderedPageBreak/>
        <w:t>del Estado, como por cuanto su apartado 3, en tales casos, reduce la competencia de las Comunidades Autónomas territorialmente concernidas a la emisión de un mero informe, reservando, además, al Estado la competencia para regular el correspondiente procedimiento. Igualmente se considera, por las mismas razones, inconstitucional la nueva redacción dada al art. 7, ya que, interpretado en conjunción con el art. 5, permite atribuir a la Administración General del Estado la competencia para el “seguimiento y vigilancia del cumplimiento de la declaración de impacto”, facultades que establecen “una clara competencia de ejecución en este ámbito” que sería propia de la Comunidad Autónoma recurrente.</w:t>
      </w:r>
    </w:p>
    <w:p w:rsidR="00D06117" w:rsidRDefault="00D06117" w:rsidP="00D06117">
      <w:pPr>
        <w:pStyle w:val="TextoNormal"/>
      </w:pPr>
    </w:p>
    <w:p w:rsidR="00D06117" w:rsidRDefault="00D06117" w:rsidP="00D06117">
      <w:pPr>
        <w:pStyle w:val="TextoNormal"/>
      </w:pPr>
      <w:r>
        <w:t>En términos idénticos se razona respecto de la nueva disposición adicional tercera del real decreto legislativo, introducida por el apartado dos del artículo único del Real Decreto-ley 9/2000, que atribuye al Estado la competencia para establecer reglamentariamente el procedimiento conforme al cual la Administración General del Estado habrá de emitir evaluación de impacto sobre proyectos de su competencia material en los casos en los que, no exigiendo tal evaluación el propio real decreto legislativo, “deban someterse a la misma por indicarlo la legislación de la Comunidad Autónoma en donde deban ejecutarse”. Estima el Consejo de Gobierno recurrente que la competencia ejecutiva autonómica en materia de medio ambiente abarca “también la regulación del procedimiento a través del cual ha de llevarse a cabo la evaluación, pues es un elemento indisoluble de la competencia principal que ha de estar atribuido necesariamente a su titular”, y por ello denuncia que, en este caso, el Estado está dictando una norma interpretativa de las competencias constitucionales que fue proscrita por la STC 76/1983. Finalmente se recurre el apartado 3 del mismo artículo único del Decreto-ley por introducir una nueva disposición final tercera en el Real Decreto Legislativo 1302/1986, por la que se le atribuye carácter básico en el marco del art. 149.1.23, por cuanto que (como dice literalmente el escrito del Consejo de Gobierno andaluz) a ello se ve “obligado en función de la necesaria coherencia procesal … en base a los motivos argumentados con anterioridad en el cuerpo del escrito”.</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providencia de 30 de enero de 2001 la Sección Cuarta de este Tribunal acordó admitir a trámite el presente recurso de inconstitucionalidad y dar traslado de la demanda y documentos presentados, conforme establece el art. 34 de la Ley Orgánica del Tribunal Constitucional (LOTC), al Congreso de los Diputados y al Senado, por conducto de sus respectivos Presidentes, y al Gobierno, a través del Ministro de Justicia, al objeto de que, en el plazo de quince días, pudieran personarse en el proceso y formular alegaciones. Por último se acordó igualmente publicar la incoación del procedimiento en el “Boletín Oficial del Estado”, lo que se verificó en el núm. 34, de 8 de febrero de 2001.</w:t>
      </w:r>
    </w:p>
    <w:p w:rsidR="00D06117" w:rsidRDefault="00D06117" w:rsidP="00D06117">
      <w:pPr>
        <w:pStyle w:val="TextoNormal"/>
      </w:pPr>
    </w:p>
    <w:p w:rsidR="00D06117" w:rsidRDefault="00D06117" w:rsidP="00D06117">
      <w:pPr>
        <w:pStyle w:val="TextoNormal"/>
      </w:pPr>
      <w:r w:rsidRPr="00D06117">
        <w:rPr>
          <w:rStyle w:val="NumeroAFNegritaCaracter"/>
        </w:rPr>
        <w:t>4</w:t>
      </w:r>
      <w:r>
        <w:t>. Por escrito registrado el 15 de febrero de 2001 el Presidente del Congreso de los Diputados comunicó a este Tribunal que, en virtud de acuerdo de la Mesa del día 5 de febrero, la Cámara decide no personarse en el procedimiento ni presentar alegaciones, si bien pone a su disposición las actuaciones de la Cámara que pueda precisar.</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presentado en el Registro General de este Tribunal el 19 de febrero de 2001 el Presidente del Senado comunicó el acuerdo de la Mesa de la Cámara del 5 de febrero en el que se decide dar por personada a esta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El 22 de febrero de 2001 el Abogado del Estado se personó en el procedimiento en nombre del Gobierno, formulando alegaciones que concluyen solicitando la desestimación íntegra del recurso.</w:t>
      </w:r>
    </w:p>
    <w:p w:rsidR="00D06117" w:rsidRDefault="00D06117" w:rsidP="00D06117">
      <w:pPr>
        <w:pStyle w:val="TextoNormal"/>
      </w:pPr>
    </w:p>
    <w:p w:rsidR="00D06117" w:rsidRDefault="00D06117" w:rsidP="00D06117">
      <w:pPr>
        <w:pStyle w:val="TextoNormal"/>
      </w:pPr>
      <w:r>
        <w:t>Respecto de la supuesta vulneración del art. 86 CE sostiene el Abogado del Estado, tras citar la STC 29/1982 y trascribir la exposición de motivos del real decreto-ley, que la extraordinaria y urgente necesidad deriva de la intención de evitar sendas condenas a España por mala transposición y retraso en la incorporación al Derecho interno, respectivamente, de dos directivas, la 85/337/CEE y la 97/11/CE. De este modo, en palabras del Abogado del Estado, con el decreto-ley “no se trata, en realidad de adecuar en plazo el Derecho interno al comunitario, sino de evitar la condena en los procedimientos abiertos y sus consecuencias”. A tales efectos recuerda el Abogado del Estado que, según la doctrina constitucional, el juicio que le corresponde hacer al Tribunal sobre el cumplimiento del art. 86 CE “no alcanza a enjuiciar ‘la bondad técnica de las medidas’ adoptadas o su oportunidad o eficacia, sino que ha de tener por objeto verificar que la situación es explícita y razonada y que exista una conexión de sentido o relación de adecuación entre la situación que constituye el presupuesto habilitante y las medidas que contiene el Decreto-ley (STC 182/1997, FFJJ 3 y 4)”. A ello añade que gracias a la aprobación del Decreto-ley se ha conseguido evitar la condena en el primero de los procedimientos (asunto C-474/99) y solicitar el archivo del segundo en el trámite de contestación a la demanda (asunto C-342/2000).</w:t>
      </w:r>
    </w:p>
    <w:p w:rsidR="00D06117" w:rsidRDefault="00D06117" w:rsidP="00D06117">
      <w:pPr>
        <w:pStyle w:val="TextoNormal"/>
      </w:pPr>
    </w:p>
    <w:p w:rsidR="00D06117" w:rsidRDefault="00D06117" w:rsidP="00D06117">
      <w:pPr>
        <w:pStyle w:val="TextoNormal"/>
      </w:pPr>
      <w:r>
        <w:t>Resultaría, por otra parte, relevante a los efectos de justificar el cumplimiento del presupuesto del art. 86.1 CE la consideración del ámbito material del real decreto-ley recurrido, dado que la introducción de medidas preventivas en materia de medio ambiente, vinculada con valores de tanta importancia como la protección de la salud humana y la mejora de la calidad de vida, “justifica su entrada en vigor y aplicación lo antes posible”. En respuesta a la alegación del Consejo de Gobierno recurrente sobre la imposibilidad de que se apele a la extraordinaria y urgente necesidad para justificar lo que califica de innovación competencial, el Abogado del Estado alega que la regulación contra la que se dirige el recurso es “puramente accesoria de la principal medida normativa que adoptó el Decreto-ley recurrido”, consistente en la ampliación del número de casos que requieren la declaración de impacto ambiental, así como en la regulación del procedimiento para determinar su exigencia en otros casos y, en general, en dar cumplimiento a los imperativos comunitarios en la tramitación de esos procedimientos. Sólo de forma accesoria se regula, “por exigencia del ordenamiento jurídico interno, la forma en que han de actuar las Administraciones del Reino de España para llevar a cabo tales procedimientos medioambientales”, regulación ésta que resulta sustancialmente igual a la anterior, como lo prueba el hecho de que la STC 13/1998, de 22 de enero, “que provocó [dice] las alteraciones discutidas, declaró que la normativa objeto del procedimiento era constitucional”, de modo que “los cambios se refieren, exclusivamente, a mejoras técnicas que dan mayor seguridad jurídica a la normativa a la luz del criterio sentado por la citada STC”.</w:t>
      </w:r>
    </w:p>
    <w:p w:rsidR="00D06117" w:rsidRDefault="00D06117" w:rsidP="00D06117">
      <w:pPr>
        <w:pStyle w:val="TextoNormal"/>
      </w:pPr>
    </w:p>
    <w:p w:rsidR="00D06117" w:rsidRDefault="00D06117" w:rsidP="00D06117">
      <w:pPr>
        <w:pStyle w:val="TextoNormal"/>
      </w:pPr>
      <w:r>
        <w:t xml:space="preserve">A juicio del Abogado del Estado “estas modificaciones se han tenido que incluir en el Real Decreto-ley para permitir que la regulación que tiene carácter de extraordinaria y urgente necesidad pueda desenvolver su eficacia en nuestro ordenamiento jurídico con todas las garantías y plena eficacia”, de lo que deduce que “seguramente, si no se hubiesen realizado los cambios a los que se refiere la parte recurrente, ésta habría intentado invocar la inconstitucionalidad de la regulación por no haber cumplido el Gobierno, rigurosamente, el </w:t>
      </w:r>
      <w:r>
        <w:lastRenderedPageBreak/>
        <w:t>criterio competencial contenido en la STC 13/1998”. Acotación que trata de justificar el Abogado del Estado ofreciendo “una simple comparación entre la regulación derogada y la actual”, de la que deduce que las modificaciones introducidas por el real decreto-ley en los distintos artículos del real decreto legislativo identificados por la Comunidad Autónoma recurrente tienen un efecto meramente clarificador a la luz de la doctrina sentada por la STC 13/1998. A ello suma, finalmente, el Abogado del Estado la constatación de que “el proyecto de norma fue suficientemente conocido y debatido por las Comunidades Autónomas en el seno de la Conferencia Sectorial de Medio Ambiente”.</w:t>
      </w:r>
    </w:p>
    <w:p w:rsidR="00D06117" w:rsidRDefault="00D06117" w:rsidP="00D06117">
      <w:pPr>
        <w:pStyle w:val="TextoNormal"/>
      </w:pPr>
    </w:p>
    <w:p w:rsidR="00D06117" w:rsidRDefault="00D06117" w:rsidP="00D06117">
      <w:pPr>
        <w:pStyle w:val="TextoNormal"/>
      </w:pPr>
      <w:r>
        <w:t>Sentado lo anterior respecto de la supuesta vulneración del art. 86 CE, el escrito del Abogado del Estado expone sus argumentos para descartar que los preceptos objeto de recurso hayan incurrido en las vulneraciones del bloque de la constitucionalidad que el Consejo de Gobierno recurrente les imputa, sobre la base de entender que todas las alegaciones vertidas respecto de cada uno de los preceptos identificados son “manifestación de un solo conflicto competencial”, que “no es otro que el de determinar qué Administración es la competente para emitir la declaración de impacto cuando competencialmente corresponde aprobar el proyecto al Estado”. Cuestión ésta que ha sido, según afirma, claramente resuelta por la STC 13/1998, reconociendo la competencia para emitir la declaración de impacto a la Administración titular del proyecto correspondiente, de lo que, por otra parte, sería perfectamente consciente el propio recurrente cuando pretende acogerse al Voto particular emitido en aquella Sentencia.</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providencia de 12 de mayo de 2009 el Pleno de este Tribunal acordó, de conformidad con lo dispuesto en el art. 84 LOTC, oír a las partes personadas, por término de diez días, para que alegasen en relación al efecto que sobre el objeto del proceso pueda haber tenido la aprobación del Real Decreto Legislativo 1/2008, de 11 de enero, por el que se aprueba el texto refundido de la Ley de evaluación de impacto ambiental, tanto por cuanto su disposición derogatoria única, apartado d), determina la derogación del Real Decreto-ley 9/2000, de 6 de octubre, por el que se modifica el Real Decreto Legislativo 1302/1986, de 28 de junio, de evaluación de impacto ambiental, como porque los concretos preceptos del real decreto-ley objeto de impugnación han visto modificada su redacción.</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escrito que tuvo entrada en el Registro de este Tribunal el día 29 de mayo de 2009 la Letrada de la Junta de Andalucía dio contestación al trámite de alegaciones abierto, señalando, en una alegación única, lo siguiente: “Único: Que, en efecto, el presente recurso dado el cambio normativo ha quedado sin objeto”.</w:t>
      </w:r>
    </w:p>
    <w:p w:rsidR="00D06117" w:rsidRDefault="00D06117" w:rsidP="00D06117">
      <w:pPr>
        <w:pStyle w:val="TextoNormal"/>
      </w:pPr>
    </w:p>
    <w:p w:rsidR="00D06117" w:rsidRDefault="00D06117" w:rsidP="00D06117">
      <w:pPr>
        <w:pStyle w:val="TextoNormal"/>
      </w:pPr>
      <w:r>
        <w:t>El Abogado del Estado, por su parte, presentó el 29 de mayo de 2009 escrito de alegaciones en el que se hace una doble advertencia en relación con los grupos de alegaciones contenidas en el recurso de inconstitucionalidad. Por una parte, respecto de la duda de constitucionalidad formulada a partir del art. 86.1 CE, se precisa que, en aplicación de doctrina constitucional consolidada (a efecto de lo cual cita las SSTC 111/1983 y 68/2007, entre otras), no desaparece el objeto del proceso aunque el decreto-ley fuera sucesivamente convalidado y definitivamente derogado por el Decreto Legislativo 1/2008. Por otra, en lo que atañe a las concretas dudas de constitucionalidad formuladas respecto de los preceptos del Real Decreto Legislativo 1302/1986 modificados por el real decreto-ley recurrido en supuesta vulneración del orden constitucional de competencias, concluye el Abogado del Es</w:t>
      </w:r>
      <w:r>
        <w:lastRenderedPageBreak/>
        <w:t>tado que no han perdido objeto, en aplicación de la doctrina de este Tribunal sobre la pervivencia del objeto de los recursos de inconstitucionalidad una vez hubieran sido derogados los preceptos recurridos cuando se discuta, precisamente, la posible vulneración del orden constitucional de competencias y no haya desaparecido la controversia competencial implícita en el recurso. A estos efectos coteja la redacción de los preceptos recurridos y la de los equivalentes contenidos en el vigente Real Decreto Legislativo 1/2008 para concluir que, en efecto, la controversia competencial, tal y como fue en su momento formulada en el recurso de inconstitucionalidad, pervive.</w:t>
      </w:r>
    </w:p>
    <w:p w:rsidR="00D06117" w:rsidRDefault="00D06117" w:rsidP="00D06117">
      <w:pPr>
        <w:pStyle w:val="TextoNormal"/>
      </w:pPr>
    </w:p>
    <w:p w:rsidR="00D06117" w:rsidRDefault="00D06117" w:rsidP="00D06117">
      <w:pPr>
        <w:pStyle w:val="TextoNormal"/>
      </w:pPr>
      <w:r w:rsidRPr="00D06117">
        <w:rPr>
          <w:rStyle w:val="NumeroAFNegritaCaracter"/>
        </w:rPr>
        <w:t>9</w:t>
      </w:r>
      <w:r>
        <w:t>. Por Auto de 18 de octubre de 2011, el Pleno acordó aceptar la abstención de la Magistrada doña Elisa Pérez Vera, comunicada el día 17 del presente mes al Excmo. Sr. Presidente de este Tribunal.</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13 de enero de 2012 se acordó señalar para la deliberación y votación de la presente Sentencia el día 13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Tal y como ha quedado explicado en los antecedentes de esta resolución el presente recurso de inconstitucionalidad ha sido formulado por el Consejo de Gobierno de la Comunidad Autónoma andaluza contra el artículo único, cardinales uno, dos y tres, del Real Decreto-ley 9/2000, de 6 de octubre, de modificación del Real Decreto Legislativo 1302/1986, de 28 de junio, de evaluación de impacto ambiental, por cuanto modifica específicamente los artículos 5 y 7 e introduce las disposiciones adicional tercera y final tercera en aquel real decreto legislativo. En la consideración de la Comunidad Autónoma recurrente dichos preceptos resultarían contrarios a la Constitución, tanto desde un plano formal, por haber incurrido en un exceso en la aplicación del presupuesto exigido en el art. 86.1 CE para la aprobación de un decreto-ley, como, desde una consideración sustantiva, por oponerse al reparto constitucional de competencias. El Abogado del Estado expresa su opinión divergente, suplicando la desestimación íntegra del recurso.</w:t>
      </w:r>
    </w:p>
    <w:p w:rsidR="00D06117" w:rsidRDefault="00D06117" w:rsidP="00D06117">
      <w:pPr>
        <w:pStyle w:val="TextoNormal"/>
      </w:pPr>
    </w:p>
    <w:p w:rsidR="00D06117" w:rsidRDefault="00D06117" w:rsidP="00D06117">
      <w:pPr>
        <w:pStyle w:val="TextoNormal"/>
      </w:pPr>
      <w:r w:rsidRPr="00D06117">
        <w:rPr>
          <w:rStyle w:val="NumeroAFNegritaCaracter"/>
        </w:rPr>
        <w:t>2</w:t>
      </w:r>
      <w:r>
        <w:t>. La resolución del recurso que nos ocupa exige hacer una precisión previa sobre el impacto que en su objeto pueda haber tenido la aprobación del Real Decreto Legislativo 1/2008, de 11 de enero, por el que se aprueba el texto refundido de la Ley de evaluación de impacto ambiental, que, conviene advertirlo, no ha sido objeto de recurso por el Consejo de Gobierno aquí recurrente. Esta cuestión fue, de hecho, sometida a la consideración de las partes, tal y como ha quedado reflejado en los antecedentes 7 y 8 de esta resolución, y así como la representación del recurrente afirmó, sin mayor desarrollo, que el recurso habría perdido objeto tras la aprobación de aquel real decreto legislativo, el Abogado del Estado sostuvo la pervivencia del mismo, en lo referente tanto a su alegación formal como a su alegación sustantiva.</w:t>
      </w:r>
    </w:p>
    <w:p w:rsidR="00D06117" w:rsidRDefault="00D06117" w:rsidP="00D06117">
      <w:pPr>
        <w:pStyle w:val="TextoNormal"/>
      </w:pPr>
    </w:p>
    <w:p w:rsidR="00D06117" w:rsidRDefault="00D06117" w:rsidP="00D06117">
      <w:pPr>
        <w:pStyle w:val="TextoNormal"/>
      </w:pPr>
      <w:r>
        <w:t xml:space="preserve">El Real Decreto Legislativo 1/2008, de 11 de enero, por el que se aprueba el texto refundido de la Ley de evaluación de impacto ambiental —recientemente modificado por la Ley 6/2010, de 24 de marzo, en extremos que no afectan al presente recurso—, incluye, en el apartado d) de su disposición derogatoria única, una referencia concreta al Real Decreto-ley </w:t>
      </w:r>
      <w:r>
        <w:lastRenderedPageBreak/>
        <w:t>9/2000, de 6 de octubre, que resulta por ello formalmente derogado a partir de la entrada en vigor de aquél. Sin perjuicio de esta derogación formal, y en atención a su propia naturaleza, el texto refundido de la Ley de evaluación de impacto ambiental aprobado por el Real Decreto Legislativo 1/2008, posteriormente modificado por la Ley 6/2010, de 24 de marzo, contiene varios preceptos que se corresponden, con ciertas modificaciones, con los que son objeto del presente recurso. Se trata de los siguientes preceptos:</w:t>
      </w:r>
    </w:p>
    <w:p w:rsidR="00D06117" w:rsidRDefault="00D06117" w:rsidP="00D06117">
      <w:pPr>
        <w:pStyle w:val="TextoNormal"/>
      </w:pPr>
    </w:p>
    <w:p w:rsidR="00D06117" w:rsidRDefault="00D06117" w:rsidP="00D06117">
      <w:pPr>
        <w:pStyle w:val="TextoNormal"/>
      </w:pPr>
      <w:r>
        <w:t>a) El art. 4 del texto refundido vigente es virtualmente idéntico al art. 5 del Real Decreto Legislativo 1302/1986 en la redacción dada por el real decreto-ley recurrido:</w:t>
      </w:r>
    </w:p>
    <w:p w:rsidR="00D06117" w:rsidRDefault="00D06117" w:rsidP="00D06117">
      <w:pPr>
        <w:pStyle w:val="TextoNormal"/>
      </w:pPr>
    </w:p>
    <w:p w:rsidR="00D06117" w:rsidRDefault="00D06117" w:rsidP="00D06117">
      <w:pPr>
        <w:pStyle w:val="TextoNormal"/>
      </w:pPr>
      <w:r>
        <w:t>“Artículo 4. Competencias. 1. A efectos de lo establecido en esta Ley y, en su caso, en la legislación de las Comunidades Autónomas, el Ministerio de Medio Ambiente será órgano ambiental en relación con los proyectos que deban ser autorizados o aprobados por la Administración General del Estado. 2. Cuando se trate de proyectos distintos a los señalados en el apartado 1, será órgano ambiental el que determine cada Comunidad Autónoma en su respectivo ámbito territorial. 3. Cuando corresponda a la Administración General del Estado formular la declaración de impacto ambiental regulada en esta Ley, será consultado preceptivamente el órgano ambiental de la Comunidad Autónoma en donde se ubique territorialmente el proyecto, en los términos previstos en los artículos 8 y 9 así como, en su caso, en el artículo 17.2.”</w:t>
      </w:r>
    </w:p>
    <w:p w:rsidR="00D06117" w:rsidRDefault="00D06117" w:rsidP="00D06117">
      <w:pPr>
        <w:pStyle w:val="TextoNormal"/>
      </w:pPr>
    </w:p>
    <w:p w:rsidR="00D06117" w:rsidRDefault="00D06117" w:rsidP="00D06117">
      <w:pPr>
        <w:pStyle w:val="TextoNormal"/>
      </w:pPr>
      <w:r>
        <w:t>b) El art. 7 del Real Decreto Legislativo 1302/1986 en la redacción objeto del presente recurso encuentra correspondencia con el art. 18 del texto refundido vigente:</w:t>
      </w:r>
    </w:p>
    <w:p w:rsidR="00D06117" w:rsidRDefault="00D06117" w:rsidP="00D06117">
      <w:pPr>
        <w:pStyle w:val="TextoNormal"/>
      </w:pPr>
    </w:p>
    <w:p w:rsidR="00D06117" w:rsidRDefault="00D06117" w:rsidP="00D06117">
      <w:pPr>
        <w:pStyle w:val="TextoNormal"/>
      </w:pPr>
      <w:r>
        <w:t>“Artículo 18. Seguimiento y vigilancia del cumplimiento de la declaración de impacto ambiental. 1. Corresponde al órgano sustantivo o a los órganos que, en su caso, designen las Comunidades Autónomas respecto de los proyectos que no sean de competencia estatal, el seguimiento y vigilancia del cumplimiento de la declaración de impacto ambiental. Sin perjuicio de ello, el órgano ambiental podrá recabar información de aquél al respecto, así como efectuar las comprobaciones necesarias para verificar el cumplimiento del condicionado. 2. El órgano sustantivo comunicará al órgano ambiental el comienzo y el final de las obras, así como el comienzo de la fase de explotación.”</w:t>
      </w:r>
    </w:p>
    <w:p w:rsidR="00D06117" w:rsidRDefault="00D06117" w:rsidP="00D06117">
      <w:pPr>
        <w:pStyle w:val="TextoNormal"/>
      </w:pPr>
    </w:p>
    <w:p w:rsidR="00D06117" w:rsidRDefault="00D06117" w:rsidP="00D06117">
      <w:pPr>
        <w:pStyle w:val="TextoNormal"/>
      </w:pPr>
      <w:r>
        <w:t>c) La disposición adicional tercera del texto refundido vigente es idéntica a la disposición adicional tercera del Real Decreto Legislativo 1302/1986 en la redacción recurrida:</w:t>
      </w:r>
    </w:p>
    <w:p w:rsidR="00D06117" w:rsidRDefault="00D06117" w:rsidP="00D06117">
      <w:pPr>
        <w:pStyle w:val="TextoNormal"/>
      </w:pPr>
    </w:p>
    <w:p w:rsidR="00D06117" w:rsidRDefault="00D06117" w:rsidP="00D06117">
      <w:pPr>
        <w:pStyle w:val="TextoNormal"/>
      </w:pPr>
      <w:r>
        <w:t>“Disposición adicional tercera. Proyectos estatales que deban someterse al trámite de evaluación de impacto ambiental por aplicación de la legislación autonómica. 1. Los proyectos que deban ser autorizados o aprobados por la Administración General del Estado y no hayan de sujetarse a evaluación de impacto ambiental conforme a lo establecido en esta Ley podrán quedar sujetos a dicha evaluación cuando así lo determine la legislación de cualquier comunidad autónoma afectada por el proyecto. En tales casos será de aplicación lo dispuesto en el anexo I, grupo 9, letra d) y en el anexo II, grupo 9, letra n). 2. La evaluación a la que se refiere el apartado anterior se llevará a cabo de conformidad con el procedimiento abreviado que a tal efecto se establezca reglamentariamente por el Gobierno.”</w:t>
      </w:r>
    </w:p>
    <w:p w:rsidR="00D06117" w:rsidRDefault="00D06117" w:rsidP="00D06117">
      <w:pPr>
        <w:pStyle w:val="TextoNormal"/>
      </w:pPr>
    </w:p>
    <w:p w:rsidR="00D06117" w:rsidRDefault="00D06117" w:rsidP="00D06117">
      <w:pPr>
        <w:pStyle w:val="TextoNormal"/>
      </w:pPr>
      <w:r>
        <w:t xml:space="preserve">d) La disposición final tercera del Real Decreto Legislativo 1302/1986 introducida por el real decreto-ley objeto del presente recurso encuentra equivalencia en la disposición final </w:t>
      </w:r>
      <w:r>
        <w:lastRenderedPageBreak/>
        <w:t>primera del texto refundido vigente, si bien con una salvedad a destacar: en su apartado segundo, se descarta expresamente, en sendos subapartados (que no han sido particularmente modificados por la citada Ley 6/2010, de 24 de marzo, de modificación del texto refundido de la Ley de evaluación de impacto ambiental de proyectos, aprobado por el Real Decreto Legislativo 1/2008, de 11 de enero), que los apartados 1 y 3 del art. 4 y la disposición adicional tercera tengan carácter básico. La disposición final primera del texto refundido, en la versión dada por la Ley 6/2010, de 24 de marzo, establece lo siguiente:</w:t>
      </w:r>
    </w:p>
    <w:p w:rsidR="00D06117" w:rsidRDefault="00D06117" w:rsidP="00D06117">
      <w:pPr>
        <w:pStyle w:val="TextoNormal"/>
      </w:pPr>
    </w:p>
    <w:p w:rsidR="00D06117" w:rsidRDefault="00D06117" w:rsidP="00D06117">
      <w:pPr>
        <w:pStyle w:val="TextoNormal"/>
      </w:pPr>
      <w:r>
        <w:t>“Disposición final primera. Título competencial. 1. Este Real Decreto Legislativo tiene el carácter de legislación básica de protección del medio ambiente al amparo de lo dispuesto en el artículo 149.1.23 de la Constitución. 2. No son básicos y sólo serán de aplicación a la Administración General del Estado y a sus organismos públicos los siguientes preceptos: a) Los apartados 1 y 3 del artículo 4… r) la disposición adicional tercera.”</w:t>
      </w:r>
    </w:p>
    <w:p w:rsidR="00D06117" w:rsidRDefault="00D06117" w:rsidP="00D06117">
      <w:pPr>
        <w:pStyle w:val="TextoNormal"/>
      </w:pPr>
    </w:p>
    <w:p w:rsidR="00D06117" w:rsidRDefault="00D06117" w:rsidP="00D06117">
      <w:pPr>
        <w:pStyle w:val="TextoNormal"/>
      </w:pPr>
      <w:r w:rsidRPr="00D06117">
        <w:rPr>
          <w:rStyle w:val="NumeroAFNegritaCaracter"/>
        </w:rPr>
        <w:t>3</w:t>
      </w:r>
      <w:r>
        <w:t>. Tal y como ha recordado la STC 68/2007, de 28 de marzo, citando a su vez a la STC 134/2004, de 22 de julio (FJ 3), es reiterada la doctrina constitucional que establece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ejemplo, SSTC 233/1999, de 12 de diciembre, FJ 3; 148/2000, de 1 de junio, FJ 3; 190/2000, de 13 de julio, FJ 2; y 16/2003, de 30 de enero, FJ 2)”.</w:t>
      </w:r>
    </w:p>
    <w:p w:rsidR="00D06117" w:rsidRDefault="00D06117" w:rsidP="00D06117">
      <w:pPr>
        <w:pStyle w:val="TextoNormal"/>
      </w:pPr>
    </w:p>
    <w:p w:rsidR="00D06117" w:rsidRDefault="00D06117" w:rsidP="00D06117">
      <w:pPr>
        <w:pStyle w:val="TextoNormal"/>
      </w:pPr>
      <w:r>
        <w:t>La proyección de este planteamiento de principio sobre el recurso de inconstitucionalidad, tal y como ha recordado la STC 124/2003, de 19 de junio, FJ 3, por tratarse de un “recurso abstracto y orientado a la depuración objetiva del ordenamiento”, determina que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 De modo que, si bien carece de sentido, en el seno de un recurso de inconstitucionalidad, “pronunciarse sobre normas que el mismo legislador ha expulsado ya de dicho ordenamiento ... de modo total, sin ultraactividad” (SSTC 160/1987, de 27 de octubre, FJ 6; 150/1990, de 4 de octubre, FJ 8; y 385/1993, de 23 de diciembre, FJ 2), puede resultar útil y conveniente su enjuiciamiento, aun cuando hayan sido derogadas, para excluir “toda aplicación posterior de la disposición legal controvertida, privándola así del vestigio de vigencia que pudiera conservar” (SSTC 160/1987, FJ 6; y 385/1993, FJ 2).</w:t>
      </w:r>
    </w:p>
    <w:p w:rsidR="00D06117" w:rsidRDefault="00D06117" w:rsidP="00D06117">
      <w:pPr>
        <w:pStyle w:val="TextoNormal"/>
      </w:pPr>
    </w:p>
    <w:p w:rsidR="00D06117" w:rsidRDefault="00D06117" w:rsidP="00D06117">
      <w:pPr>
        <w:pStyle w:val="TextoNormal"/>
      </w:pPr>
      <w:r>
        <w:t xml:space="preserve">En suma, en lo que al recurso de inconstitucionalidad se refiere, la derogación tiene, como regla general, efecto extintivo del objeto. Esta regla consiente, sin embargo, por su propio fundamento, ciertas excepciones y, entre ellas, dos que ahora interesan en consideración a las dos concretas alegaciones en que se fundamenta el presente recurso de inconstitucionalidad. En efecto, en el presente caso las tachas de inconstitucionalidad que se oponen a los preceptos impugnados son, a la vez, de orden competencial y no competencial. A la hora de dar respuesta a dichas tachas de inconstitucionalidad debemos comenzar con la </w:t>
      </w:r>
      <w:r>
        <w:lastRenderedPageBreak/>
        <w:t>pretensión impugnatoria vinculada a la vulneración de lo dispuesto en el art. 86 CE, ya que, conforme a doctrina reiterada (SSTC 11/2002, de 17 de enero, FJ 2; 332/2005, de 15 de diciembre, FJ 4; y 31/2011, de 17 de marzo, FJ 2, entre otras), el examen de las infracciones que se refieren al art. 86 CE ha de ser prioritario en el orden de nuestro enjuiciamiento, toda vez que en este caso las infracciones denunciadas inciden directamente sobre la validez de los preceptos impugnados y se cuestiona la legitimidad constitucional de su inclusión en una norma de urgencia como el Real Decreto-ley 9/2000, de modo que, si se estimaran las alegaciones relativas al art. 86 CE, resultaría innecesario el examen de las restantes alegaciones.</w:t>
      </w:r>
    </w:p>
    <w:p w:rsidR="00D06117" w:rsidRDefault="00D06117" w:rsidP="00D06117">
      <w:pPr>
        <w:pStyle w:val="TextoNormal"/>
      </w:pPr>
    </w:p>
    <w:p w:rsidR="00D06117" w:rsidRDefault="00D06117" w:rsidP="00D06117">
      <w:pPr>
        <w:pStyle w:val="TextoNormal"/>
      </w:pPr>
      <w:r w:rsidRPr="00D06117">
        <w:rPr>
          <w:rStyle w:val="NumeroAFNegritaCaracter"/>
        </w:rPr>
        <w:t>4</w:t>
      </w:r>
      <w:r>
        <w:t>. La primera alegación del recurso que nos ocupa se refiere a la supuesta vulneración de las exigencias del art. 86.1 CE, por cuanto se habría incumplido el presupuesto de la “extraordinaria y urgente necesidad” justificativa de la aprobación de un decreto-ley. Constituye reiterada doctrina constitucional, recordada por la citada STC 68/2007, de 28 de marzo, FJ 4 (con cita de la STC 155/2005, de 9 de junio, en su FJ 2)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Insistiendo en esta línea, hemos afirmado también que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serían operativos en el tiempo que media entre el Decreto-ley y su convalidación o su conversión en ley, esto es, en un tiempo en el que este Tribunal nunca podrá materialmente pronunciarse” (STC 155/2005, de 9 de junio, FJ 2).</w:t>
      </w:r>
    </w:p>
    <w:p w:rsidR="00D06117" w:rsidRDefault="00D06117" w:rsidP="00D06117">
      <w:pPr>
        <w:pStyle w:val="TextoNormal"/>
      </w:pPr>
    </w:p>
    <w:p w:rsidR="00D06117" w:rsidRDefault="00D06117" w:rsidP="00D06117">
      <w:pPr>
        <w:pStyle w:val="TextoNormal"/>
      </w:pPr>
      <w:r>
        <w:t>Resulta así que, en todo caso, como hiciera notar el Abogado del Estado en su escrito de contestación al trámite de audiencia abierto en aplicación del art. 84 de la Ley Orgánica del Tribunal Constitucional (LOTC), pervive el objeto del presente recurso por lo que hace a la alegación de vulneración del art. 86.1 CE por parte del Real Decreto-ley 9/2000, sin que se haya visto afectado en este extremo por su posterior derogación formal mediante el Real Decreto Legislativo 1/2008. Por otro lado, también debe analizarse si la citada derogación afecta a la subsistencia de la impugnación presentada, en su vertiente material, referida a la supuesta vulneración por el real decreto-ley impugnado del régimen de distribución de competencias en materia de medioambiente, cuestión que pasamos a analizar a continuación.</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Tal y como quedó reflejado en los antecedentes de hecho de esta resolución, el Consejo de Gobierno andaluz sostiene que los preceptos por él recurridos, al ser aprobados bajo </w:t>
      </w:r>
      <w:r>
        <w:lastRenderedPageBreak/>
        <w:t>la forma de decreto-ley, vulneraron lo dispuesto en el art. 86.1 CE, por no concurrir la “extraordinaria y urgente necesidad” habilitante del uso de dicha facultad, dado que no puede justificarse su aprobación por ninguna de las razones apuntadas en su exposición de motivos. Ni en función de la supuesta finalidad de adecuación del Real Decreto Legislativo 1302/1986 a unas concretas directivas comunitarias, porque, al margen de que se habrían agotado, holgadamente, los correspondientes plazos de transposición, los preceptos recurridos tratan de “aspectos ajenos a la adecuación a la normativa comunitaria” de referencia. Ni en la intención de adaptar la legislación estatal a la doctrina constitucional sentada en la STC 13/1998, por haber transcurrido más de dos años y medio desde su publicación en el momento de aprobarse el real decreto-ley. A todo lo cual se suma, por lo que hace al art. 5, que la nueva redacción tendría “cabida en la anterior”, y, con carácter general, que la utilización del decreto-ley con incidencia competencial debe ser restrictiva, por cuanto en el procedimiento para su elaboración y convalidación no interviene el Senado, “órgano legislativo al que la Constitución asigna las funciones de Cámara de representación territorial”.</w:t>
      </w:r>
    </w:p>
    <w:p w:rsidR="00D06117" w:rsidRDefault="00D06117" w:rsidP="00D06117">
      <w:pPr>
        <w:pStyle w:val="TextoNormal"/>
      </w:pPr>
    </w:p>
    <w:p w:rsidR="00D06117" w:rsidRDefault="00D06117" w:rsidP="00D06117">
      <w:pPr>
        <w:pStyle w:val="TextoNormal"/>
      </w:pPr>
      <w:r>
        <w:t>El Abogado del Estado afirma, sustancialmente, que la extraordinaria y urgente necesidad justificativa de la aprobación del decreto-ley derivaría de la intención de evitar condenas a España por mala transposición y retraso en la incorporación al Derecho interno de las correspondientes directivas, y que las concretas previsiones objeto del recurso serían “puramente accesoria de la principal medida normativa que adoptó el Decreto-ley recurrido”, ya que únicamente pretenden determinar “por exigencia del ordenamiento jurídico interno, la forma en que han de actuar las Administraciones del Reino de España para llevar a cabo tales procedimientos medioambientales”, estableciendo una regulación sustancialmente igual a la anterior. Así lo probaría el hecho de que la STC 13/1998, “que provocó [dice] las alteraciones discutidas declaró que la normativa objeto del procedimiento era constitucional”, de modo que “los cambios se refieren, exclusivamente, a mejoras técnicas que dan mayor seguridad jurídica a la normativa a la luz del criterio sentado por la citada STC”. A lo que añade la consideración de que, en todo caso, al ser el objeto material de la norma la introducción de medidas preventivas en materia de medio ambiente (lo que por sí mismo afecta a valores como la protección de la salud humana y la mejora de la calidad de vida), estaría justificada su entrada en vigor y aplicación lo antes posible.</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Así planteado el problema constitucional, a la luz del art. 86.1 CE debemos acudir a la doctrina establecida por este Tribunal sobre el sentido y alcance del presupuesto legitimador de la extraordinaria y urgente necesidad. Dicha doctrina ha sido reiterada por la STC 68/2007, de 28 de marzo, y más recientemente por las SSTC 31/2011, de 17 de marzo, y 137/2011, de 14 de septiembre, con cita, entre otras, de las SSTC 182/1997, de 28 de octubre, 11/2002, de 17 de enero, 137/2003, de 3 de julio, 189/2005, de 7 de julio, FJ 3, y 329/2005, de 15 de diciembre, FJ 5. En estas Sentencias,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w:t>
      </w:r>
      <w:r>
        <w:lastRenderedPageBreak/>
        <w:t>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00D06117" w:rsidRDefault="00D06117" w:rsidP="00D06117">
      <w:pPr>
        <w:pStyle w:val="TextoNormal"/>
      </w:pPr>
    </w:p>
    <w:p w:rsidR="00D06117" w:rsidRDefault="00D06117" w:rsidP="00D06117">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Ello no quiere decir que tal definición expresa de la extraordinaria y urgente necesidad haya de contenerse siempre en el propio real decreto-ley, sino que tal presupuesto quepa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 Igualmente,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último debe subrayarse que la perspectiva desde la que ha de examinarse la concurrencia del presupuesto habilitante del art. 86.1 CE es la del momento en que se aprueba el correspondiente decreto-ley, de manera que el presupuesto de la validez de dicha norma no queda alterado por datos o circunstancias posteriores que pudieran cuestionar la apreciación de la urgencia o de la necesidad afirmadas en aquel momento.</w:t>
      </w:r>
    </w:p>
    <w:p w:rsidR="00D06117" w:rsidRDefault="00D06117" w:rsidP="00D06117">
      <w:pPr>
        <w:pStyle w:val="TextoNormal"/>
      </w:pPr>
    </w:p>
    <w:p w:rsidR="00D06117" w:rsidRDefault="00D06117" w:rsidP="00D06117">
      <w:pPr>
        <w:pStyle w:val="TextoNormal"/>
      </w:pPr>
      <w:r w:rsidRPr="00D06117">
        <w:rPr>
          <w:rStyle w:val="NumeroAFNegritaCaracter"/>
        </w:rPr>
        <w:t>7</w:t>
      </w:r>
      <w:r>
        <w:t>. En el marco de la doctrina citada debemos comprobar ahora si en los concretos preceptos del Real Decreto-ley 9/2000 objeto del presente recurso concurre el presupuesto habilitante de la “extraordinaria y urgente necesidad” exigido por el art. 86.1 CE, sin que quepa, en ningún caso acoger el argumento de la Comunidad recurrente acerca de la supuesta restricción del recurso al decreto-ley en materias con incidencia competencial, por carecer de la apoyatura que resultaría necesaria al efecto en el texto constitucional.</w:t>
      </w:r>
    </w:p>
    <w:p w:rsidR="00D06117" w:rsidRDefault="00D06117" w:rsidP="00D06117">
      <w:pPr>
        <w:pStyle w:val="TextoNormal"/>
      </w:pPr>
    </w:p>
    <w:p w:rsidR="00D06117" w:rsidRDefault="00D06117" w:rsidP="00D06117">
      <w:pPr>
        <w:pStyle w:val="TextoNormal"/>
      </w:pPr>
      <w:r>
        <w:lastRenderedPageBreak/>
        <w:t>Siguiendo la doctrina expuesta debemos por tanto analizar dos elementos: en primer lugar, la presentación explícita y razonada de los motivos que han sido tenidos en cuenta por el Gobierno en su aprobación (SSTC 29/1982, de 31 de mayo, FJ 3; 111/1983, de 2 de diciembre, FJ 5; 182/1997, de 20 de octubre, FJ 3; y 137/2003, de 3 de julio, FJ 4); en segundo lugar, la existencia de una necesaria conexión entre la situación de urgencia definida y la medida concreta adoptada para subvenir a ella (SSTC 29/1982, de 31 de mayo, FJ 3; 182/1997, de 20 de octubre, FJ 3; y 137/2003, de 3 de julio, FJ 4).</w:t>
      </w:r>
    </w:p>
    <w:p w:rsidR="00D06117" w:rsidRDefault="00D06117" w:rsidP="00D06117">
      <w:pPr>
        <w:pStyle w:val="TextoNormal"/>
      </w:pPr>
    </w:p>
    <w:p w:rsidR="00D06117" w:rsidRDefault="00D06117" w:rsidP="00D06117">
      <w:pPr>
        <w:pStyle w:val="TextoNormal"/>
      </w:pPr>
      <w:r>
        <w:t>Entrando, en primer lugar, a analizar los motivos explicitados por el Gobierno para la aprobación de los concretos preceptos del real decreto-ley objeto del presente recurso, debemos acudir a la exposición de motivos de la norma, así como al debate parlamentario de convalidación y, en su caso, al expediente de elaboración de la norma (por todas, STC 137/2003, de 3 de julio, FJ 3).</w:t>
      </w:r>
    </w:p>
    <w:p w:rsidR="00D06117" w:rsidRDefault="00D06117" w:rsidP="00D06117">
      <w:pPr>
        <w:pStyle w:val="TextoNormal"/>
      </w:pPr>
    </w:p>
    <w:p w:rsidR="00D06117" w:rsidRDefault="00D06117" w:rsidP="00D06117">
      <w:pPr>
        <w:pStyle w:val="TextoNormal"/>
      </w:pPr>
      <w:r>
        <w:t>En la exposición de motivos del real decreto-ley se afirma que “para dar cumplimiento al mandato comunitario, y sin perjuicio de que en un futuro próximo sea necesario regular las evaluaciones estratégicas de planes y programas, dado que ya existe en el ámbito comunitario una propuesta de directiva sobre la que el pasado 30 de marzo se adoptó la posición común (CE) 25/2000, este Real Decreto-ley tiene por objeto incorporar plenamente a nuestro derecho interno la Directiva 85/337/CEE, con las modificaciones introducidas por la Directiva 97/11/CE”. A tal fin se modifican los arts. 1, 2 y 6 del Real Decreto Legislativo 1302/1986, cuyo efecto más inmediato es ampliar el ámbito de aplicación de la evaluación de impacto ambiental. De forma sucesiva se advierte que “se incluyen en el art. 5 del Real Decreto legislativo los cambios necesarios para adaptar la legislación estatal a los criterios recogidos en la Sentencia del Tribunal Constitucional de 22 de enero de 1998, que exige la necesaria colaboración entre las distintas Administraciones públicas en el ejercicio de sus respectivas competencias”, pasando a explicar el alcance de la novedad consistente en la introducción de un nuevo apartado 2 en el art. 1 del Real Decreto Legislativo. No se ofrece, sin embargo, explicación alguna de la modificación introducida en la redacción original del art. 7, ni respecto a la introducción de las nuevas disposiciones adicional tercera y final tercera. La exposición de motivos se cierra con la indicación de las razones en las que se justifica el recurso a la forma de real decreto-ley: “Dado que la Comisión Europea interpuso, el 14 de diciembre de 1999 ante el Tribunal de Justicia de las Comunidades Europeas, una demanda contra el Reino de España por la inadecuada incorporación de la Directiva 85/337/CEE, por no incluir el Real Decreto Legislativo 1302/1986 dentro de su ámbito de aplicación a varios de los grupos de proyectos que figuraban en el anexo II de la norma comunitaria, y que, asimismo, el 15 de septiembre de 2000 ha presentado una nueva demanda por la no transposición de la Directiva 97/11/CE en el plazo en ella fijado, resulta justificada la regulación de esta materia mediante Real Decreto-ley, de acuerdo con lo establecido en el artículo 86.1 de la Constitución”.</w:t>
      </w:r>
    </w:p>
    <w:p w:rsidR="00D06117" w:rsidRDefault="00D06117" w:rsidP="00D06117">
      <w:pPr>
        <w:pStyle w:val="TextoNormal"/>
      </w:pPr>
    </w:p>
    <w:p w:rsidR="00D06117" w:rsidRDefault="00D06117" w:rsidP="00D06117">
      <w:pPr>
        <w:pStyle w:val="TextoNormal"/>
      </w:pPr>
      <w:r>
        <w:t xml:space="preserve">De la literalidad de la exposición de motivos del Real Decreto-ley, por tanto, se desprende que la justificación de la aprobación del mismo en el marco del art. 86.1 se concreta en la necesidad de reaccionar ante sendas demandas interpuestas contra el Reino de España ante el Tribunal de Justicia de las Comunidades Europeas por inadecuada incorporación de la Directiva 85/337/CEE y por no transposición en plazo de la Directiva 97/11/CE, aunque respecto de uno de los preceptos objeto del presente recurso, el art. 5 reformado, se advierte que los cambios en él introducidos se derivan de la necesidad de “adaptar la legislación </w:t>
      </w:r>
      <w:r>
        <w:lastRenderedPageBreak/>
        <w:t>estatal a los criterios recogidos en la Sentencia del Tribunal Constitucional de 22 de enero de 1998, que exige la necesaria colaboración entre las distintas Administraciones públicas en el ejercicio de sus respectivas competencias”.</w:t>
      </w:r>
    </w:p>
    <w:p w:rsidR="00D06117" w:rsidRDefault="00D06117" w:rsidP="00D06117">
      <w:pPr>
        <w:pStyle w:val="TextoNormal"/>
      </w:pPr>
    </w:p>
    <w:p w:rsidR="00D06117" w:rsidRDefault="00D06117" w:rsidP="00D06117">
      <w:pPr>
        <w:pStyle w:val="TextoNormal"/>
      </w:pPr>
      <w:r>
        <w:t>En el trámite de convalidación del Real Decreto-ley, en la defensa del texto ofrecida por el Ministro de Medio Ambiente, en nombre del Gobierno, ante el Pleno del Congreso de los Diputados (Cortes Generales. “Diario de Sesiones del Congreso de los Diputados”. Pleno y Diputación Permanente. VII Legislatura. Año 2000, núm. 35, sesión plenaria núm. 33 del 19 de octubre de 2000, págs. 1561 a 1571), se afirma que “la principal finalidad de este Real Decreto-ley de evaluación de impacto ambiental, es dar cumplimiento a las exigencias establecidas en esta normativa comunitaria sobre esta materia y, en particular, incorporar plenamente a nuestro derecho interno la Directiva 85/337, de la Comunidad Europea, regulando la evaluación de impacto ambiental de los proyectos del denominado anexo II. Todas estas razones aconsejan tramitar la presente reforma legal por la vía del real decreto-ley”. Con esta finalidad se vinculan los siguientes cambios operados por el real decreto-ley: modificación de los anexos del real decreto legislativo, en conexión con el art. 1 y con el nuevo apartado 3 del art. 2; introducción de nuevo segundo párrafo en el apartado 2 del art. 2; modificación del apartado 1 del art. 6.</w:t>
      </w:r>
    </w:p>
    <w:p w:rsidR="00D06117" w:rsidRDefault="00D06117" w:rsidP="00D06117">
      <w:pPr>
        <w:pStyle w:val="TextoNormal"/>
      </w:pPr>
    </w:p>
    <w:p w:rsidR="00D06117" w:rsidRDefault="00D06117" w:rsidP="00D06117">
      <w:pPr>
        <w:pStyle w:val="TextoNormal"/>
      </w:pPr>
      <w:r>
        <w:t>Una vez expuestas las mencionadas modificaciones del Real Decreto Legislativo 1302/1986 por el Real Decreto-ley 9/2000, en la defensa del texto ofrecida por el Ministro se afirma a continuación que “[a]l margen de las modificaciones exigidas por la adaptación comunitaria, el real decreto-ley introduce también algunos otros cambios en la normativa vigente, que vienen motivados principalmente por la necesidad de adaptar su actual regulación a los criterios competenciales establecidos en la jurisprudencia constitucional”, sin incluir mayores precisiones al respecto. Con esta finalidad, confesadamente desvinculada de la necesaria adaptación del ordenamiento interno a la normativa comunitaria, se justifica en concreto la modificación de los arts. 5 y 7 y la introducción de la nueva disposición adicional tercera. Por lo que respecta a la modificación del art. 5 se advierte que “si bien se mantiene el principio de que el Ministerio de Medio Ambiente será el órgano ambiental, en el caso de la evaluación de proyectos autorizados o aprobados por la Administración general del Estado y se incluye, de acuerdo con esta jurisprudencia constitucional, un nuevo apartado 3, estableciendo en estos supuestos la obligación de que sea consultado preceptivamente el órgano ambiental de la comunidad autónoma en donde se ubique territorialmente el proyecto”. Asimismo, se explica que la nueva disposición adicional tercera “reconoce la necesidad de regular un procedimiento específico para aquellos proyectos de titularidad estatal que no estando sujetos a evaluación, de acuerdo con lo previsto en el real decreto legislativo, deban someterse al mismo como consecuencia de exigirlo, en ejercicio de su competencia para aprobar normas adicionales de protección, la legislación de las Comunidades Autónomas en donde deba ejecutarse el proyecto”. Aun sin hacer mención expresa del número del precepto, pero claramente en relación con el contenido del art. 7, se señala después que “a solicitud de diversas Comunidades Autónomas, el real decreto legislativo deja en manos de dichas comunidades la posibilidad de que regulen respecto de los proyectos de su competencia, de forma diferente a la prevista en la normativa básica, la resolución de conflictos entre el órgano ambiental y el órgano sustantivo o la determinación del órgano que debe realizar las tareas de seguimiento y vigilancia del cumplimiento de la declaración de impacto”.</w:t>
      </w:r>
    </w:p>
    <w:p w:rsidR="00D06117" w:rsidRDefault="00D06117" w:rsidP="00D06117">
      <w:pPr>
        <w:pStyle w:val="TextoNormal"/>
      </w:pPr>
    </w:p>
    <w:p w:rsidR="00D06117" w:rsidRDefault="00D06117" w:rsidP="00D06117">
      <w:pPr>
        <w:pStyle w:val="TextoNormal"/>
      </w:pPr>
      <w:r>
        <w:lastRenderedPageBreak/>
        <w:t>Finalmente, en el trámite de convalidación el Ministro de Medio Ambiente destacó dos aspectos generales del real decreto-ley aprobado: de un lado, “el extraordinario alcance de la modificación” así como “la importancia que supone para el medio ambiente y la preservación de los recursos naturales tener la garantía de que prácticamente todos los proyectos que van a tener un mínimo de importancia económica y social van a ser analizados desde el punto de vista ambiental, estudiándose los impactos negativos y sus posibles correcciones y compensaciones”, ya que “de las actuales 12 categorías de proyectos incluidos en el derogado anexo del Real Decreto Legislativo 1302/1986 que se sometían con anterioridad a la presente reforma a esta evaluación de impacto ambiental pasamos, tras la modificación que supone este real decreto (sic), a 115 categorías de proyectos respecto de los cuales, bien mediante una evaluación obligatoria o mediante un estudio caso por caso, se debe considerar, previamente a su realización o ejecución, si el mismo tiene o no efectos ambientales significativos”; de otro lado se subrayó “el carácter básico de la normativa que estamos modificando”.</w:t>
      </w:r>
    </w:p>
    <w:p w:rsidR="00D06117" w:rsidRDefault="00D06117" w:rsidP="00D06117">
      <w:pPr>
        <w:pStyle w:val="TextoNormal"/>
      </w:pPr>
    </w:p>
    <w:p w:rsidR="00D06117" w:rsidRDefault="00D06117" w:rsidP="00D06117">
      <w:pPr>
        <w:pStyle w:val="TextoNormal"/>
      </w:pPr>
      <w:r>
        <w:t>Para completar el análisis de los motivos alegados por el Gobierno, procede traer a colación el dictamen emitido por el Consejo de Estado, en tanto que dicho dictamen constituye un trámite sustancial del procedimiento de elaboración de la norma impugnada. En el dictamen núm. 2934/2000 emitido por unanimidad por la Comisión Permanente del Consejo de Estado en sesión celebrada el día 14 de septiembre de 2000, se consideró que “la urgencia está avalada en el presente caso por dos circunstancias, que son: 1) el plazo de transposición de la Directiva 97/11/CE venció el 14 de marzo de 1999; y 2) en la actualidad se halla pendiente ante el Tribunal de Justicia de las Comunidades Europeas un litigio promovido contra el Reino de España por incumplimiento de la anterior Directiva 85/337/CEE sobre la misma materia. Pero la extraordinaria necesidad de acudir a esta forma excepcional no es manifiesta, al menos con los elementos de juicio que obran en el expediente. Por eso, sin formular una objeción frontal, el Consejo de Estado estima que hubiera sido preferible tramitar un proyecto de Ley, tal como figuraba en el expediente desde su iniciación hasta pocos días antes de remitirlo en consulta. A menos que se piense, con fundamento, que de este modo se está todavía a tiempo de evitar una sentencia condenatoria”.</w:t>
      </w:r>
    </w:p>
    <w:p w:rsidR="00D06117" w:rsidRDefault="00D06117" w:rsidP="00D06117">
      <w:pPr>
        <w:pStyle w:val="TextoNormal"/>
      </w:pPr>
    </w:p>
    <w:p w:rsidR="00D06117" w:rsidRDefault="00D06117" w:rsidP="00D06117">
      <w:pPr>
        <w:pStyle w:val="TextoNormal"/>
      </w:pPr>
      <w:r w:rsidRPr="00D06117">
        <w:rPr>
          <w:rStyle w:val="NumeroAFNegritaCaracter"/>
        </w:rPr>
        <w:t>8</w:t>
      </w:r>
      <w:r>
        <w:t>. Una vez expuestos los motivos aducidos por el Gobierno en el propio real decreto-ley, en su proceso de convalidación y en el procedimiento de elaboración de la norma, podemos entrar a analizar su pertinencia. En el presente recurso se suscitan dos objeciones desde la perspectiva del art. 86.1 CE. La primera, más general y abstracta, plantea la adecuación constitucional del real decreto-ley como cauce para la incorporación al ordenamiento interno de las directivas de la Unión Europea. La segunda objeción sostiene que los concretos preceptos objeto del presente recurso de inconstitucionalidad son ajenos a la finalidad de adecuación a la normativa de la Unión Europea, que es la finalidad principal aducida por el Gobierno, y que, por tanto, quedarían fuera del presupuesto habilitante de la urgente y extraordinaria necesidad aducida por el Gobierno.</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Antes de comenzar con el examen de la primera objeción indicada, conviene delimitar el alcance de nuestro pronunciamiento y precisar el canon de enjuiciamiento. Por un lado, el presente recurso no versa sobre la recta aplicación del Derecho de la Unión Europea por los poderes públicos nacionales, que como ya hemos declarado anteriormente es en principio una cuestión que, procesalmente, no tiene rango constitucional (por todas STC 58/2004, </w:t>
      </w:r>
      <w:r>
        <w:lastRenderedPageBreak/>
        <w:t>de 19 de abril, FJ 10), sino sobre la recta aplicación de la Constitución, por un órgano constitucional, en el desarrollo normativo del Derecho de la Unión Europea. Como afirmamos en la STC 13/1998, de 22 de enero (FJ 3), cuando los procesos constitucionales “tienen por objeto disputas competenciales que tengan su origen en la trasposición al Derecho interno de una Directiva comunitaria, como en el caso enjuiciado, no corresponde a este Tribunal decidir si la Directiva ha sido o no correctamente incorporada al ordenamiento interno ni, en su caso, si está siendo correctamente aplicada (SSTC 64/1991, fundamento jurídico 4, y 147/1996, fundamento jurídico 3)”. Por otro lado, las consideraciones que se realizan a continuación no pretenden agotar la cuestión de la idoneidad del decreto-ley para la ejecución normativa de las diversas modalidades de actos jurídicos que puedan adoptar las instituciones de la Unión, sino únicamente si en el presente caso el Gobierno ha hecho un uso legítimo de la potestad legislativa de urgencia que la Constitución le reconoce en el art. 86 CE en relación con la incorporación de dos directivas al ordenamiento jurídico interno.</w:t>
      </w:r>
    </w:p>
    <w:p w:rsidR="00D06117" w:rsidRDefault="00D06117" w:rsidP="00D06117">
      <w:pPr>
        <w:pStyle w:val="TextoNormal"/>
      </w:pPr>
    </w:p>
    <w:p w:rsidR="00D06117" w:rsidRDefault="00D06117" w:rsidP="00D06117">
      <w:pPr>
        <w:pStyle w:val="TextoNormal"/>
      </w:pPr>
      <w:r>
        <w:t>La transposición de las Directivas 85/337/CEE y 97/11/CE al Derecho español mediante el Real Decreto-ley 9/2000 debe ser analizada desde la perspectiva de su adecuación constitucional. Nuestro análisis debe partir del siguiente postulado: las normas internas adoptadas para la incorporación de las directivas al ordenamiento español deben respetar tanto los condicionantes jurídicos del Derecho de la Unión como los del propio marco constitucional. Las exigencias derivadas del Derecho de la Unión no pueden ser irrelevantes a la hora de establecer los márgenes constitucionalmente admisibles de libertad de apreciación política de que gozan los órganos constitucionales. Pero la invocación de los condicionantes establecidos en los Tratados de la Unión Europea o la existencia de una obligación más o menos apremiante derivada del Derecho de la Unión tampoco pueden conducir a ignorar o minusvalorar los principios y requisitos que la Constitución impone a los poderes públicos nacionales, como por ejemplo el principio de legalidad, los derechos fundamentales o la función del legislador democrático.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w:t>
      </w:r>
    </w:p>
    <w:p w:rsidR="00D06117" w:rsidRDefault="00D06117" w:rsidP="00D06117">
      <w:pPr>
        <w:pStyle w:val="TextoNormal"/>
      </w:pPr>
    </w:p>
    <w:p w:rsidR="00D06117" w:rsidRDefault="00D06117" w:rsidP="00D06117">
      <w:pPr>
        <w:pStyle w:val="TextoNormal"/>
      </w:pPr>
      <w:r>
        <w:t>Como ha reiterado este Tribunal, el desarrollo normativo del Derecho de la Unión Europea en el ordenamiento interno debe realizarse desde el pleno respeto de la estructura territorial del Estado. Tal como recordamos en la STC 96/2002, de 25 de abril (FJ 10), la distribución competencial entre el Estado y las Comunidades Autónomas que el texto constitucional ha configurado rige también para la ejecución del Derecho de la Unión Europea. La traslación al ordenamiento interno de este Derecho supranacional no afecta a los criterios constitucionales de reparto competencial, que no resultan alterados ni por el ingreso de España en la Comunidad Europea ni por la promulgación de normas comunitarias.</w:t>
      </w:r>
    </w:p>
    <w:p w:rsidR="00D06117" w:rsidRDefault="00D06117" w:rsidP="00D06117">
      <w:pPr>
        <w:pStyle w:val="TextoNormal"/>
      </w:pPr>
    </w:p>
    <w:p w:rsidR="00D06117" w:rsidRDefault="00D06117" w:rsidP="00D06117">
      <w:pPr>
        <w:pStyle w:val="TextoNormal"/>
      </w:pPr>
      <w:r>
        <w:t xml:space="preserve">El mismo parámetro de corrección funcional debe aplicarse por lo que respecta a la distribución horizontal de poderes establecida en la Constitución. El Gobierno no puede disponer libremente de la distribución constitucional de competencias entre el Parlamento y el Gobierno en cuanto a la producción de las fuentes primarias del ordenamiento, esto es, las normas con valor de ley. Tal como señalamos en la mencionada STC 96/2002 (FJ 10), una norma adoptada para dar cumplimiento a un mandato de la Unión Europea responde a una finalidad constitucionalmente legítima, pero ello “no implica necesariamente que el medio </w:t>
      </w:r>
      <w:r>
        <w:lastRenderedPageBreak/>
        <w:t>utilizado para alcanzar el fin sea adecuado al mismo, en sentido de razonable y proporcionado”.</w:t>
      </w:r>
    </w:p>
    <w:p w:rsidR="00D06117" w:rsidRDefault="00D06117" w:rsidP="00D06117">
      <w:pPr>
        <w:pStyle w:val="TextoNormal"/>
      </w:pPr>
    </w:p>
    <w:p w:rsidR="00D06117" w:rsidRDefault="00D06117" w:rsidP="00D06117">
      <w:pPr>
        <w:pStyle w:val="TextoNormal"/>
      </w:pPr>
      <w:r>
        <w:t>Por otra parte, también conviene recordar que el art. 93 de la Constitución atribuye “a las Cortes Generales o al Gobierno, según los casos, la garantía del cumplimiento de estos tratados y de las resoluciones emanadas de los organismos internacionales o supranacionales titulares de la cesión”. A este respecto este Tribunal ha declarado que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No obstante, en la misma Sentencia este Tribunal continua señalando que “tampoco cabe ignorar ‘la necesidad de proporcionar al Gobierno los instrumentos indispensables para desempeñar la función que le atribuye el art. 93 CE’ (STC 252/1988, FJ 2) ... esto es, para adoptar las medidas necesarias a fin de garantizar el cumplimiento de las resoluciones de los organismos internacionales en cuyo favor se han cedido competencias” (STC 33/2005, de 17 de febrero, FJ 3).</w:t>
      </w:r>
    </w:p>
    <w:p w:rsidR="00D06117" w:rsidRDefault="00D06117" w:rsidP="00D06117">
      <w:pPr>
        <w:pStyle w:val="TextoNormal"/>
      </w:pPr>
    </w:p>
    <w:p w:rsidR="00D06117" w:rsidRDefault="00D06117" w:rsidP="00D06117">
      <w:pPr>
        <w:pStyle w:val="TextoNormal"/>
      </w:pPr>
      <w:r>
        <w:t>Nuestra jurisprudencia ha examinado en una ocasión la procedencia de la forma de decreto-ley en relación con la transposición de una directiva comunitaria al ordenamiento jurídico interno. Concretamente en la STC 329/2005, de 15 de diciembre, con relación a la legitimidad constitucional del Real Decreto-ley 1/1997, de 31 de enero, que regulaba por primera vez la transmisión digital de señales de televisión por satélite mediante el sistema de acceso condicional, y lo hacía siguiendo la Directiva 95/47/CE, cuyo propósito era establecer normas comunes para ese nuevo mercado a fin de favorecer la libre competencia entre los operadores. Entonces subrayamos que la concurrencia del presupuesto habilitante del mencionado decreto-ley se fundamentaba en una doble circunstancia alegada por el Gobierno: “según lo manifestado por el Gobierno, la situación que habría dado lugar a la aprobación de la disposición impugnada vendría creada, no sólo por el patente retraso por parte del Estado español en incorporar la Directiva 95/47/CE, cuyo plazo había finalizado el 23 de agosto de 1996, sino por la necesidad de establecer normas para la transmisión digital de señales de televisión por satélite mediante el sistema de acceso condicional, previamente a la introducción en el mercado de los servicios vinculados a ese tipo de transmisiones, es decir, antes de que los operadores iniciaran su actividad, con el fin de favorecer eficazmente la libre competencia y defender la libertad de elección de los consumidores, regulación inexistente hasta ese momento y que se lleva a cabo mediante la incorporación de la Directiva” (STC 329/2005, FJ 6). En dicha Sentencia apreciamos que la importancia de los intereses en juego existentes en el sector en cuestión era lo que reclamaba una regulación normativa inmediata por los poderes públicos. Esta interpretación es, por lo demás, coherente con nuestra doctrina constitucional en la materia, pues, en relación con la concurrencia del presupuesto habilitante, siempre hemos atendido a la existencia de una justificación material, sin conformarnos con argumentos meramente formales.</w:t>
      </w:r>
    </w:p>
    <w:p w:rsidR="00D06117" w:rsidRDefault="00D06117" w:rsidP="00D06117">
      <w:pPr>
        <w:pStyle w:val="TextoNormal"/>
      </w:pPr>
    </w:p>
    <w:p w:rsidR="00D06117" w:rsidRDefault="00D06117" w:rsidP="00D06117">
      <w:pPr>
        <w:pStyle w:val="TextoNormal"/>
      </w:pPr>
      <w:r>
        <w:t xml:space="preserve">En suma, el recurso al decreto-ley como cauce de incorporación al ordenamiento interno del Derecho de la Unión Europea por la mera razón de que hubiera transcurrido el plazo de transposición, sin mayores precisiones, no se adecuaría al presupuesto habilitante de la urgente y extraordinaria necesidad, por lo que constituiría un uso abusivo de una facultad excepcional conforme a la Constitución española como es la legislación de urgencia y conduce a un reforzamiento de la posición institucional del poder ejecutivo en detrimento de la </w:t>
      </w:r>
      <w:r>
        <w:lastRenderedPageBreak/>
        <w:t>del legislativo, y en especial a una postergación del Senado que nuestra Carta Magna concibe como “la Cámara de representación territorial” (art. 69.1 CE). Ya en nuestra STC 29/1982, de 31 de mayo (FJ 1), resaltamos que la Constitución reconoce a las Cortes Generales como “las depositarias de la potestad legislativa en su ejercicio ordinario”, pues son ellas las que representan al pueblo español (art. 66.1 CE), y que el Gobierno ejerce la iniciativa legislativa, de conformidad con el art. 87.1 CE, por lo que la potestad que ostenta para dictar decretos-leyes, en virtud del art. 86.1 CE, se configura “como una excepción al procedimiento ordinario de elaboración de las leyes y en consecuencia está sometida en cuanto a su ejercicio a la necesaria concurrencia de determinados requisitos que lo legitiman”.</w:t>
      </w:r>
    </w:p>
    <w:p w:rsidR="00D06117" w:rsidRDefault="00D06117" w:rsidP="00D06117">
      <w:pPr>
        <w:pStyle w:val="TextoNormal"/>
      </w:pPr>
    </w:p>
    <w:p w:rsidR="00D06117" w:rsidRDefault="00D06117" w:rsidP="00D06117">
      <w:pPr>
        <w:pStyle w:val="TextoNormal"/>
      </w:pPr>
      <w:r>
        <w:t>De mantenerse otra interpretación se alentaría la progresiva atracción de la incorporación de las directivas hacia el ámbito funcional del decreto-ley, en detrimento de los principios de legitimidad democrática directa y de legalidad que recaen inicialmente en la acción de las Cortes Generales en cuanto que representantes del pueblo soberano. Como hemos afirmado recientemente en la STC 119/2011, de 5 de julio (FJ 7), a propósito de una utilización indebida del derecho de enmienda en el procedimiento legislativo, “desatender los límites constitucionales bajo el paraguas de la urgencia normativa no deja de ser una lesión constitucional por mucho que pueda parecer conveniente coyunturalmente. Una buena política legislativa puede evitarlo y cuando excepcionalmente no sea posible debe asumir el coste democrático que pueda tener pero no forzar la Constitución”. Tanto más cuanto que la incorporación de las directivas de la Unión Europea constituye una obligación normal, previsible y hasta cotidiana derivada de nuestra pertenencia a la Unión Europea.</w:t>
      </w:r>
    </w:p>
    <w:p w:rsidR="00D06117" w:rsidRDefault="00D06117" w:rsidP="00D06117">
      <w:pPr>
        <w:pStyle w:val="TextoNormal"/>
      </w:pPr>
    </w:p>
    <w:p w:rsidR="00D06117" w:rsidRDefault="00D06117" w:rsidP="00D06117">
      <w:pPr>
        <w:pStyle w:val="TextoNormal"/>
      </w:pPr>
      <w:r w:rsidRPr="00D06117">
        <w:rPr>
          <w:rStyle w:val="NumeroAFNegritaCaracter"/>
        </w:rPr>
        <w:t>10</w:t>
      </w:r>
      <w:r>
        <w:t>. Ciñéndonos ya al caso concreto, cabe recordar que el Gobierno ha alegado expresamente dos circunstancias concretas para fundamentar el recurso al decreto-ley: la expiración del plazo de transposición de las dos directivas a las que pretende dar cumplimiento el Real Decreto-ley 9/2000, y la existencia de dos litigios promovidos por la Comisión Europea contra el Reino de España por incumplimiento de la transposición de ambas directivas. Y adicionalmente ha invocado el “alcance extraordinario” de la modificación pretendido por el decreto-ley, en cuanto que, a partir del mencionado decreto-ley, casi la totalidad de los proyectos con relevancia económica y social quedarían sometidos a evaluación de impacto ambiental, con la importancia que ello suponía para la tutela del medio ambiente y la preservación de los recursos naturales, finalidad que sin duda cabe considerar como constitucionalmente legítima con arreglo al art. 45 CE.</w:t>
      </w:r>
    </w:p>
    <w:p w:rsidR="00D06117" w:rsidRDefault="00D06117" w:rsidP="00D06117">
      <w:pPr>
        <w:pStyle w:val="TextoNormal"/>
      </w:pPr>
    </w:p>
    <w:p w:rsidR="00D06117" w:rsidRDefault="00D06117" w:rsidP="00D06117">
      <w:pPr>
        <w:pStyle w:val="TextoNormal"/>
      </w:pPr>
      <w:r>
        <w:t>En el presente caso es evidente que el Estado había incurrido en un patente retraso respecto a la transposición de las dos directivas aludidas. El Real Decreto-ley 9/2000, de 6 de octubre, objeto del recurso interpuesto por la Comunidad Autónoma recurrente, se adoptó para “incorporar plenamente a nuestro derecho interno la Directiva 85/337/CEE, con las modificaciones introducidas por la Directiva 97/11/CE”. Pues bien, el art. 12 de la primera directiva estableció un plazo de transposición de tres años a partir de la notificación, que tuvo lugar el 3 de julio de 1985; y el art. 3 de la segunda directiva dispuso que debía ser incorporada por los Estados miembros a más tardar el 14 de marzo de 1999. Por tanto, el Real Decreto-ley 9/2000, de 6 de octubre, fue adoptado en un momento en el que se superaba con creces los plazos establecidos para la transposición de las dos directivas mencionadas.</w:t>
      </w:r>
    </w:p>
    <w:p w:rsidR="00D06117" w:rsidRDefault="00D06117" w:rsidP="00D06117">
      <w:pPr>
        <w:pStyle w:val="TextoNormal"/>
      </w:pPr>
    </w:p>
    <w:p w:rsidR="00D06117" w:rsidRDefault="00D06117" w:rsidP="00D06117">
      <w:pPr>
        <w:pStyle w:val="TextoNormal"/>
      </w:pPr>
      <w:r>
        <w:lastRenderedPageBreak/>
        <w:t>No obstante, el patente retraso en la incorporación de las directivas mencionadas no es la única circunstancia invocada por el Gobierno insistentemente tanto en la elaboración y aprobación de la norma impugnada como en el seno de este proceso constitucional. En efecto, la exposición de motivos del Real Decreto-ley 9/2000 aduce igualmente que resulta justificada la regulación de la materia mediante real decreto-ley “dado que la Comisión Europea interpuso, el 14 de diciembre de 1999 ante el Tribunal de Justicia de las Comunidades Europeas, una demanda contra el Reino de España por la inadecuada incorporación de la Directiva 85/337/CEE por no incluir el Real Decreto Legislativo 1302/1986 dentro de su ámbito de aplicación a varios de los grupos de proyectos que figuraban en el anexo II de la norma comunitaria, y que, asimismo, el 15 de septiembre de 2000 ha presentado una nueva demanda por la no transposición de la Directiva 97/11/CE en el plazo en ella fijado”. Y el Abogado del Estado señala que la finalidad última de la adopción del decreto-ley no es tanto la transposición en plazo de dos directivas como la de “evitar la condena en los procedimientos abiertos y sus consecuencias”.</w:t>
      </w:r>
    </w:p>
    <w:p w:rsidR="00D06117" w:rsidRDefault="00D06117" w:rsidP="00D06117">
      <w:pPr>
        <w:pStyle w:val="TextoNormal"/>
      </w:pPr>
    </w:p>
    <w:p w:rsidR="00D06117" w:rsidRDefault="00D06117" w:rsidP="00D06117">
      <w:pPr>
        <w:pStyle w:val="TextoNormal"/>
      </w:pPr>
      <w:r>
        <w:t>Es cierto que la transposición extemporánea, posterior al planteamiento del recurso de incumplimiento ante el Tribunal de Justicia, no garantiza siempre la extinción del recurso de incumplimiento planteado por la Comisión Europea, porque el recurso de incumplimiento previsto en el art. 258 del Tratado de funcionamiento de la Unión Europea tiene un carácter objetivo y su interposición y mantenimiento incumbe exclusivamente a la Comisión como “guardiana de los Tratados”. De forma que si la Comisión decide mantener el recurso, a pesar del cumplimiento tardío de la obligación de que se trate y a pesar de que el Estado miembro en cuestión solicite su archivo, el Tribunal de Justicia debe entrar a examinar la demanda y puede, en su caso, constatar que ha existido el incumplimiento denunciado, como se desprende de la jurisprudencia reiterada del Tribunal de Luxemburgo.</w:t>
      </w:r>
    </w:p>
    <w:p w:rsidR="00D06117" w:rsidRDefault="00D06117" w:rsidP="00D06117">
      <w:pPr>
        <w:pStyle w:val="TextoNormal"/>
      </w:pPr>
    </w:p>
    <w:p w:rsidR="00D06117" w:rsidRDefault="00D06117" w:rsidP="00D06117">
      <w:pPr>
        <w:pStyle w:val="TextoNormal"/>
      </w:pPr>
      <w:r>
        <w:t>Así ocurrió también con la transposición tardía por el Reino de España de las Directivas 85/337/CEE y 97/11/CE mediante el Real Decreto-ley 9/2000 objeto del presente recurso. Si bien la Comisión se dio por satisfecha por lo que respecta a la transposición de una de las directivas —la Directiva 97/11/CE— y, en el marco de su potestad discrecional, accedió a archivar el recurso el 6 de marzo de 2001 (asunto C-342-2000), en cambio no se conformó con la transposición tardía, posterior a la interposición de la demanda de incumplimiento, de la Directiva 85/337/CEE, por lo que el Tribunal de Justicia entró a conocer el fondo y estimó finalmente la demanda, declarando que el Reino de España había incumplido las obligaciones resultantes de dicha directiva y condenándolo al pago de las costas (STJCE de 13 de junio de 2002, asunto C-474/99, Comisión/Reino de España). Es cierto que el Gobierno sólo alcanzó parte de los objetivos perseguidos pues la Comisión Europea sólo retiró una de las dos demandas de incumplimiento presentadas y pendientes de resolución ante el Tribunal de Justicia, pero lo relevante a los efectos de valorar la concurrencia del presupuesto habilitante del art. 86.1 CE es si la finalidad de alcanzar aquellos objetivos resultaba razonable en ese momento. El éxito, aunque parcial, que obtuvo la acción gubernamental de transposición tardía de las mencionadas directivas mediante el controvertido real decreto-ley pone de manifiesto que la finalidad pretendida sí era razonable y que, en circunstancias como las del presente caso, la utilización del decreto-ley sí puede contribuir a que la Comisión tome cuanto antes la decisión de archivar un procedimiento ya abierto y, por ende, puede contribuir a evitar que el Tribunal de Justicia dicte una sentencia que declare un incumplimiento por parte del Reino de España.</w:t>
      </w:r>
    </w:p>
    <w:p w:rsidR="00D06117" w:rsidRDefault="00D06117" w:rsidP="00D06117">
      <w:pPr>
        <w:pStyle w:val="TextoNormal"/>
      </w:pPr>
    </w:p>
    <w:p w:rsidR="00D06117" w:rsidRDefault="00D06117" w:rsidP="00D06117">
      <w:pPr>
        <w:pStyle w:val="TextoNormal"/>
      </w:pPr>
      <w:r>
        <w:lastRenderedPageBreak/>
        <w:t>De lo expuesto se deriva, en suma, que debemos considerar como factores relevantes para nuestro examen no sólo el elemento temporal (el patente retraso en la transposición de las directivas correspondientes) sino muy especialmente el elemento causal (la existencia de dos procedimientos de incumplimiento contra el Reino de España, cuya terminación mediante sendas sentencias que constataran el correspondiente incumplimiento se quería evitar a todo trance) así como el elemento material (la importancia que, conforme al art. 45 CE, cabe conferir a que la casi totalidad de los proyectos con relevancia económica y social quedara sometida cuanto antes a evaluación de impacto ambiental), por lo que, a la vista de la incidencia conjunta de estos tres factores en el presente caso, es preciso concluir que concurre el presupuesto habilitante de la extraordinaria y urgente necesidad requerido por el art. 86.1 CE.</w:t>
      </w:r>
    </w:p>
    <w:p w:rsidR="00D06117" w:rsidRDefault="00D06117" w:rsidP="00D06117">
      <w:pPr>
        <w:pStyle w:val="TextoNormal"/>
      </w:pPr>
    </w:p>
    <w:p w:rsidR="00D06117" w:rsidRDefault="00D06117" w:rsidP="00D06117">
      <w:pPr>
        <w:pStyle w:val="TextoNormal"/>
      </w:pPr>
      <w:r w:rsidRPr="00D06117">
        <w:rPr>
          <w:rStyle w:val="NumeroAFNegritaCaracter"/>
        </w:rPr>
        <w:t>11</w:t>
      </w:r>
      <w:r>
        <w:t>. Una vez rechazada la objeción genérica sobre la inadecuación constitucional del Real Decreto-ley como cauce para la incorporación al ordenamiento interno de las dos mencionadas directivas, debemos entrar a analizar la segunda objeción alegada, que se refiere a que los concretos preceptos objeto del presente recurso de inconstitucionalidad son ajenos a la finalidad de adecuación a la normativa de la Unión Europea, que es la finalidad principal aducida por el Gobierno, y que, por tanto, no quedarían amparados en el presupuesto habilitante de la urgente y extraordinaria necesidad aducida por el Gobierno. Esta objeción se refiere en realidad al segundo elemento a analizar por este Tribunal en la tarea de control del presupuesto habilitante del art. 86.1 CE, esto es, la conexión entre la situación de urgencia definida y las medidas concretas adoptadas para afrontarla, que figuran en la disposición impugnada.</w:t>
      </w:r>
    </w:p>
    <w:p w:rsidR="00D06117" w:rsidRDefault="00D06117" w:rsidP="00D06117">
      <w:pPr>
        <w:pStyle w:val="TextoNormal"/>
      </w:pPr>
    </w:p>
    <w:p w:rsidR="00D06117" w:rsidRDefault="00D06117" w:rsidP="00D06117">
      <w:pPr>
        <w:pStyle w:val="TextoNormal"/>
      </w:pPr>
      <w:r>
        <w:t>De la mera lectura de la exposición de motivos del Real Decreto-ley 9/2000, reproducida en lo que aquí interesa en el fundamento jurídico 9 de esta Sentencia, se desprende ciertamente que el propio Gobierno ha desvinculado expresamente la introducción de los preceptos objeto del presente recurso de la justificación “principal” de la aprobación del real decreto-ley en el que se incardinan, conectada con la declarada necesidad de reacción frente a sendos procedimientos comunitarios de infracción. La justificación ofrecida de la introducción de los concretos preceptos recurridos se conecta exclusivamente, según reconoce el Gobierno en la exposición de motivos del real decreto-ley y en la defensa del mismo en el trámite de convalidación en el Congreso, con la supuesta “necesidad de adaptar su actual regulación a los criterios competenciales establecidos en la jurisprudencia constitucional”, lo que corrobora el Abogado del Estado en sus alegaciones cuando afirma que la concreta regulación contra la que se dirige el recurso es “puramente accesoria de la principal medida normativa que adoptó el Real Decreto-ley recurrido”.</w:t>
      </w:r>
    </w:p>
    <w:p w:rsidR="00D06117" w:rsidRDefault="00D06117" w:rsidP="00D06117">
      <w:pPr>
        <w:pStyle w:val="TextoNormal"/>
      </w:pPr>
    </w:p>
    <w:p w:rsidR="00D06117" w:rsidRDefault="00D06117" w:rsidP="00D06117">
      <w:pPr>
        <w:pStyle w:val="TextoNormal"/>
      </w:pPr>
      <w:r>
        <w:t xml:space="preserve">No obstante, una vez efectuada la anterior constatación debemos proceder todavía a examinar si existe una conexión de sentido entre la situación definida y cada una de las medidas del Real Decreto-ley que han sido impugnadas. Ya en la varias veces recordada STC 29/1982 consideramos que la concurrencia del presupuesto habilitante del art. 86.1 CE para el conjunto de un decreto-ley no excluía un examen individualizado de aquellas disposiciones incluidas en el real decreto-ley que la parte recurrente consideraba no amparadas por la finalidad a la que servía la adopción de dicha norma legislativa de urgencia. En la citada Sentencia afirmamos además un doble criterio o perspectiva para valorar la existencia de la conexión de sentido: el contenido, por un lado, y la estructura, por otro, de las disposiciones incluidas en el real decreto-ley controvertido. Así señalamos que la competencia que tienen </w:t>
      </w:r>
      <w:r>
        <w:lastRenderedPageBreak/>
        <w:t>los órganos políticos para “determinar cuándo una situación, por consideraciones de extraordinaria y urgente necesidad, requiere el establecimiento de una norma por vía de Decreto-ley … no les autoriza … sin embargo, para incluir en el Decreto-ley cualquier género de disposiciones: ni aquéllas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pues de ellas difícilmente podrá predicarse la justificación de la extraordinaria y urgente necesidad” (STC 29/1982, FJ 3). En la misma Sentencia, ahondando en el segundo criterio mencionado, consideramos que “las razones de extraordinaria y urgente necesidad, que excepcionalmente pueden habilitar al Gobierno, como ha quedado establecido, para abordar el tratamiento innovativo de determinadas materias reguladas por ley formal, no amparan bajo ningún punto de vista la inclusión de un precepto exclusivamente deslegalizador, que remite al futuro la regulación de la materia deslegalizada, máxime cuando no se fija un plazo perentorio para dictar tal regulación, que habría de ser inferior al necesario para tramitar la deslegalización como proyecto de Ley por el procedimiento de urgencia” (STC 29/1982, FJ 6).</w:t>
      </w:r>
    </w:p>
    <w:p w:rsidR="00D06117" w:rsidRDefault="00D06117" w:rsidP="00D06117">
      <w:pPr>
        <w:pStyle w:val="TextoNormal"/>
      </w:pPr>
    </w:p>
    <w:p w:rsidR="00D06117" w:rsidRDefault="00D06117" w:rsidP="00D06117">
      <w:pPr>
        <w:pStyle w:val="TextoNormal"/>
      </w:pPr>
      <w:r>
        <w:t>En atención al entendimiento expuesto en la STC 29/1982 declaramos inconstitucional una disposición adicional incluida en un real decreto-ley que establecía la degradación de rango normativo de determinados preceptos legales relativos a la creación y funciones de un cuerpo de funcionarios y a la integración en él de funcionarios pertenecientes a otro cuerpo. Y más recientemente, en la STC 31/2011, de 17 de marzo, hemos considerado que no existía conexión de sentido entre la situación de urgencia definida por el Gobierno en el Real Decreto-ley 6/2000 y una medida en materia de horarios comerciales adoptada para afrontarla, debido a la inexistencia de un vacío normativo que fundamentase la necesidad de una apremiante actuación legislativa en la materia, porque la efectividad de dicha medida quedaba diferida al menos hasta el año 2005, porque su adopción tuvo lugar seis meses antes de que acabara el plazo de vigencia de la normativa vigente y porque tampoco ofrecía un tratamiento novedoso de la materia respecto a la regulación que venía a sustituir.</w:t>
      </w:r>
    </w:p>
    <w:p w:rsidR="00D06117" w:rsidRDefault="00D06117" w:rsidP="00D06117">
      <w:pPr>
        <w:pStyle w:val="TextoNormal"/>
      </w:pPr>
    </w:p>
    <w:p w:rsidR="00D06117" w:rsidRDefault="00D06117" w:rsidP="00D06117">
      <w:pPr>
        <w:pStyle w:val="TextoNormal"/>
      </w:pPr>
      <w:r w:rsidRPr="00D06117">
        <w:rPr>
          <w:rStyle w:val="NumeroAFNegritaCaracter"/>
        </w:rPr>
        <w:t>12</w:t>
      </w:r>
      <w:r>
        <w:t>. Comenzando nuestro examen individualizado por las disposiciones recurridas pertenecientes al apartado uno del artículo único del Real Decreto-ley 9/2000, cabe recordar que se trata de modificaciones que dan nueva redacción a los arts. 5 y 7 del Real Decreto Legislativo 1302/1986, de 26 de junio, de evaluación de impacto ambiental y cuyo objeto de regulación es la delimitación competencial aplicable en la materia. Así, los nuevos arts. 5 y 7 establecen que a los efectos de la legislación de evaluación de impacto ambiental el Ministerio de Medio Ambiente será órgano ambiental en relación con los proyectos que deban ser autorizados o aprobados por la Administración General del Estado, que en los demás proyectos será órgano ambiental el que determine la Comunidad Autónoma correspondiente, que la Administración General del Estado consultará preceptivamente al órgano ambiental de la Comunidad Autónoma en la que se ubique territorialmente el proyecto y que a los órganos competentes por razón de la materia o a los órganos que designen las Comunidades Autónomas respecto a los proyectos que no sean de competencia estatal corresponderá el seguimiento y la vigilancia del cumplimiento de la declaración de impacto, sin perjuicio de que el órgano ambiental competente pueda recabar información al respecto de dichos órganos y pueda efectuar las comprobaciones necesarias en orden a verificar el cumplimiento del condicionado.</w:t>
      </w:r>
    </w:p>
    <w:p w:rsidR="00D06117" w:rsidRDefault="00D06117" w:rsidP="00D06117">
      <w:pPr>
        <w:pStyle w:val="TextoNormal"/>
      </w:pPr>
    </w:p>
    <w:p w:rsidR="00D06117" w:rsidRDefault="00D06117" w:rsidP="00D06117">
      <w:pPr>
        <w:pStyle w:val="TextoNormal"/>
      </w:pPr>
      <w:r>
        <w:lastRenderedPageBreak/>
        <w:t>Si bien las citadas disposiciones no provienen del contenido de las directivas objeto de transposición, la conexión de sentido debe valorarse en relación con las medidas adoptadas para la incorporación de dichas directivas al ordenamiento jurídico interno. En nuestra jurisprudencia hemos atendido al contenido de las disposiciones incluidas en un decreto-ley para valorar la existencia de conexión de sentido, descartando que ésta exista cuando las disposiciones incluidas en un decreto-ley “por su contenido y de manera evidente, no guarden relación alguna, directa ni indirecta, con la situación que se trata de afrontar” (STC 29/1982, FJ 3). Pues bien, puede afirmarse que esa relación existe de manera evidente cuando, como ocurre en el presente caso, el contenido de las disposiciones enjuiciadas reviste un carácter manifiestamente instrumental y accesorio con respecto a las normas sustantivas que vienen a conformar el cuerpo normativo regulador de la materia de que se trate. Su objetivo es precisar las atribuciones estatales y autonómicas resultantes de la regulación que se pretende modificar, complementando dicha regulación y contribuyendo así a garantizar el correcto cumplimiento de las obligaciones derivadas de las dos directivas europeas. Las disposiciones correspondientes de la norma legal objeto de modificación (el Real Decreto Legislativo 1302/1986), que establecen de forma sucinta el marco de atribuciones aplicable en la materia, constituyen en definitiva un elemento instrumental y accesorio del conjunto del cuerpo normativo mencionado, por lo que su modificación no puede quedar vedada a un real decreto-ley en el que concurre efectivamente, tal como hemos apreciado anteriormente, el presupuesto habilitante requerido por el art. 86.1 CE. De lo contrario se produciría el absurdo de que un real decreto-ley sí podría modificar la regulación legal sustantiva de una materia en atención a una situación de extraordinaria y urgente necesidad, pero no podría modificar al mismo tiempo aquellas disposiciones accesorias e instrumentales como las que establecen el marco básico de atribuciones y potestades aplicable en la materia.</w:t>
      </w:r>
    </w:p>
    <w:p w:rsidR="00D06117" w:rsidRDefault="00D06117" w:rsidP="00D06117">
      <w:pPr>
        <w:pStyle w:val="TextoNormal"/>
      </w:pPr>
    </w:p>
    <w:p w:rsidR="00D06117" w:rsidRDefault="00D06117" w:rsidP="00D06117">
      <w:pPr>
        <w:pStyle w:val="TextoNormal"/>
      </w:pPr>
      <w:r>
        <w:t>Además, es preciso destacar que el principio de cooperación leal entre la Unión Europea y los Estados miembros, que viene consagrado desde hace décadas por el Derecho comunitario europeo y se recoge actualmente en el art. 4.3 del Tratado de la Unión Europea, prescribe con carácter general que “los Estados miembros adoptarán todas las medidas generales o particulares apropiadas para asegurar el cumplimiento de las obligaciones derivadas de los Tratados o resultantes de los actos de las instituciones de la Unión”. Por tanto, cuando las autoridades de un Estado miembro se proponen incorporar al Derecho interno el contenido de una directiva, no tienen por qué limitarse a incorporar únicamente las medidas requeridas explícitamente por dicha norma europea, sino que, conforme al Derecho de la propia Unión, deben también adoptar “todas las medidas generales o particulares apropiadas para asegurar el cumplimiento de las obligaciones” resultantes del acto de la Unión que se pretende incorporar al Derecho interno. En suma, no puede considerarse que la inclusión de una referencia normativa al marco básico de atribuciones y potestades aplicable al objeto de regulación que se pretende introducir o modificar carezca de la necesaria conexión de sentido con la finalidad a la que responde la normativa contenida en el real decreto-ley.</w:t>
      </w:r>
    </w:p>
    <w:p w:rsidR="00D06117" w:rsidRDefault="00D06117" w:rsidP="00D06117">
      <w:pPr>
        <w:pStyle w:val="TextoNormal"/>
      </w:pPr>
    </w:p>
    <w:p w:rsidR="00D06117" w:rsidRDefault="00D06117" w:rsidP="00D06117">
      <w:pPr>
        <w:pStyle w:val="TextoNormal"/>
      </w:pPr>
      <w:r>
        <w:t xml:space="preserve">En cuanto al apartado tres del artículo único del Real Decreto-ley 9/2000, podemos aplicar igualmente el criterio de la conexión de sentido referido al contenido de la disposición en cuestión. El referido precepto se limita a reconocer al Real Decreto Legislativo 1302/1986 carácter de legislación básica sobre protección del medio ambiente (art. 149.1.23 CE). Pues bien, la explicitación formal del carácter básico que el legislador estatal atribuye al conjunto de la normativa objeto de modificación guarda relación, de manera evidente, con la situación que se trata de abordar por el decreto-ley. En efecto, proporcionar seguridad </w:t>
      </w:r>
      <w:r>
        <w:lastRenderedPageBreak/>
        <w:t>jurídica en cuanto al carácter básico de la legislación que se adopta o se modifica mediante un real decreto-ley no puede desvincularse cabalmente de la finalidad normativa a la que responde la aprobación de dicha norma, so pena de restringir excesivamente el ámbito material del real decreto-ley, de forma que sólo pudieran incluirse en él disposiciones que fueran sustantivas, limitación que no se desprende del art. 86.1 CE ni de precepto constitucional alguno.</w:t>
      </w:r>
    </w:p>
    <w:p w:rsidR="00D06117" w:rsidRDefault="00D06117" w:rsidP="00D06117">
      <w:pPr>
        <w:pStyle w:val="TextoNormal"/>
      </w:pPr>
    </w:p>
    <w:p w:rsidR="00D06117" w:rsidRDefault="00D06117" w:rsidP="00D06117">
      <w:pPr>
        <w:pStyle w:val="TextoNormal"/>
      </w:pPr>
      <w:r>
        <w:t>Por último, en cuanto al apartado dos del artículo único del real decreto-ley 9/2000, que introduce una nueva disposición adicional tercera en el Real Decreto Legislativo 1302/1986, la aplicación del canon sentado en la STC 29/1982 nos conduce a una conclusión diferente. A la disposición ahora analizada procede aplicar el segundo criterio sentado en la STC 29/1982 (FJ 3), según el cual entre las disposiciones que no cabe incluir en un decreto-ley se encuentran “muy especialmente, aquellas que, por su estructura misma, independientemente de su contenido, no modifican de manera instantánea la situación jurídica existente, pues de ellas difícilmente podrá predicarse la justificación de la extraordinaria y urgente necesidad”. En efecto, el precepto analizado constituye una disposición adicional que contempla que la evaluación ambiental que no venga establecida por la legislación estatal sino por la legislación autonómica respecto de proyectos, públicos o privados, que corresponda autorizar o aprobar a la Administración General del Estado “se llevará a cabo de conformidad con el procedimiento abreviado que a tal efecto se establezca reglamentariamente por el Estado”. Si bien no se pretende exclusivamente una deslegalización de una cuestión regulada previamente por norma de rango legal, como fue el caso abordado por la STC 29/1982, se puede apreciar que el supuesto es muy similar, de forma que lo que señalamos entonces se puede trasladar a la disposición ahora analizada. Efectivamente, esta disposición se limita a prever un determinado procedimiento abreviado cuya concreta regulación se remite en blanco a un futuro reglamento que el Gobierno habría de aprobar en una fecha posterior sin concretar, por lo que, conforme al criterio sentado en la STC 29/1982, podemos afirmar igualmente ahora que la inclusión de dicha disposición adicional tercera “no queda en absoluto acreditada por la exigencia de tener que afrontar una situación de extraordinaria y urgente necesidad porque, en primer lugar, no afecta a la regulación de una situación jurídica dada, sino que habilita para un cambio … que podrá llevar a cabo el Gobierno haciendo uso de la deslegalización; en segundo lugar, se trata de un precepto exclusivamente deslegalizador que no afronta directamente la solución de extraordinaria y urgente necesidad, ni fija plazo perentorio alguno para que el Gobierno dicte las disposiciones dirigidas a tal fin, y, por último, debe señalarse que todavía no se ha hecho uso de la deslegalización, pese al tiempo transcurrido” (FJ 6). Incluso la última circunstancia aludida, que entonces mencionamos como confirmación de la inexistencia de la extraordinaria y urgente necesidad, se puede reiterar también en el presente caso. En efecto, pese a haber transcurrido más de una década desde su publicación, tampoco se ha hecho uso de la habilitación contenida en la disposición adicional tercera del Real Decreto Legislativo 1302/1986, habilitación que se reiteró en la Ley 6/2001, de 8 de mayo, que sustituyó al Real Decreto-ley 9/2000, y que pervive todavía hoy en la disposición adicional tercera del Real Decreto Legislativo 1/2008, de 11 de enero, de evaluación del impacto ambiental. De todo ello se desprende asimismo que la situación aquí enjuiciada es diferente de la analizada en la STC 11/2002, de 17 de enero, en la que apreciamos que la disposición adicional única del Real Decreto-ley 8/1994 sobre supresión de las cámaras de la propiedad urbana, que incluía un contenido habilitante para la adopción del régimen definitivo con arreglo al cual habría de verificarse la desapa</w:t>
      </w:r>
      <w:r>
        <w:lastRenderedPageBreak/>
        <w:t>rición efectiva de dichas cámaras de la propiedad urbana, no carecía de la necesaria conexión de sentido por relación a las razones de extraordinaria y urgente necesidad de justificaron la adopción de aquel real decreto-ley.</w:t>
      </w:r>
    </w:p>
    <w:p w:rsidR="00D06117" w:rsidRDefault="00D06117" w:rsidP="00D06117">
      <w:pPr>
        <w:pStyle w:val="TextoNormal"/>
      </w:pPr>
    </w:p>
    <w:p w:rsidR="00D06117" w:rsidRDefault="00D06117" w:rsidP="00D06117">
      <w:pPr>
        <w:pStyle w:val="TextoNormal"/>
      </w:pPr>
      <w:r>
        <w:t>De todo ello se desprende asimismo que la situación aquí enjuiciada es diferente de las analizadas en otras Sentencias de este Tribunal en las que se ha considerado que lo verdaderamente importante, desde el punto de vista constitucional, es que las disposiciones del decreto-ley produzcan una innovación normativa efectiva, y no que el régimen jurídico introducido a través del decreto-ley sea completo o definitivo (por todas, STC 332/2005, de 15 de diciembre, FJ 7). Así, en la STC 11/2002, de 17 de enero, apreciamos que la disposición adicional única del Real Decreto-ley 8/1994 sobre supresión de las cámaras de la propiedad urbana, que incluía un contenido habilitante para la adopción del régimen definitivo con arreglo al cual habría de verificarse la desaparición efectiva de dichas cámaras de la propiedad urbana, no carecía de la necesaria conexión de sentido por relación a las razones de extraordinaria y urgente necesidad de justificaron la adopción de aquel real decreto-ley. Igualmente, en la STC 332/2005, de 15 de diciembre, estimamos que la remisión reglamentaria contenida en una concreta disposición de un real decreto-ley constituía un ejemplo de complemento normativo indispensable entre una norma con rango de ley y un reglamento, en cuanto que habilitaba al Gobierno a determinar en el plazo de cuatro meses los requisitos técnicos que debían cumplir las instalaciones a las que se aplicaba la liberalización de la prestación de servicios de inspección técnica de vehículos que establecía de forma efectiva el decreto-ley en cuestión.</w:t>
      </w:r>
    </w:p>
    <w:p w:rsidR="00D06117" w:rsidRDefault="00D06117" w:rsidP="00D06117">
      <w:pPr>
        <w:pStyle w:val="TextoNormal"/>
      </w:pPr>
    </w:p>
    <w:p w:rsidR="00D06117" w:rsidRDefault="00D06117" w:rsidP="00D06117">
      <w:pPr>
        <w:pStyle w:val="TextoNormal"/>
      </w:pPr>
      <w:r>
        <w:t>En estas condiciones, pues, debe concluirse que no concurren razones de extraordinaria y urgente necesidad que justifiquen el apartado dos del artículo único del Real Decreto-ley 9/2000, que, en consecuencia, ha de declararse inconstitucional.</w:t>
      </w:r>
    </w:p>
    <w:p w:rsidR="00D06117" w:rsidRDefault="00D06117" w:rsidP="00D06117">
      <w:pPr>
        <w:pStyle w:val="TextoNormal"/>
      </w:pPr>
    </w:p>
    <w:p w:rsidR="00D06117" w:rsidRDefault="00D06117" w:rsidP="00D06117">
      <w:pPr>
        <w:pStyle w:val="TextoNormal"/>
      </w:pPr>
      <w:r w:rsidRPr="00D06117">
        <w:rPr>
          <w:rStyle w:val="NumeroAFNegritaCaracter"/>
        </w:rPr>
        <w:t>13</w:t>
      </w:r>
      <w:r>
        <w:t xml:space="preserve">. Una vez descartada la inconstitucionalidad de los apartados uno y tres del artículo único del Real Decreto-ley 9/2000 desde la perspectiva del art. 86.1 CE, debemos entrar a examinar el segundo motivo de impugnación relativo a la vulneración competencial. La segunda de las excepciones a la regla general, ya descrita en el fundamento jurídico 3 de esta Sentencia, de que el recurso de inconstitucionalidad pierde su objeto como consecuencia de la derogación formal de la norma contra la que se dirige, atiende a la circunstancia de que el recurso plantee, en realidad, una controversia competencial, no susceptible de verse formalizada a través del cauce del conflicto de competencias precisamente en consideración al rango legal de la norma contra la que se dirige. A este respecto resulta aplicable al presente recurso la consolidada doctrina (formulada en la STC 182/1992, de 16 de noviembre, FJ 1, y reiterada posteriormente en las SSTC 385/1993, de 23 de diciembre, FJ 2; 43/1996, de 14 de marzo, FJ 3; y 61/1997, de 20 de marzo, FJ 3) que extiende a los recursos de inconstitucionalidad el criterio sostenido en relación con los conflictos positivos de competencia, conforme al cual “si la norma objeto de un conflicto es derogada por otra posterior puede provocarse sobrevenidamente la pérdida del objeto del conflicto mismo y, en consecuencia, resultar improcedente que éste sea resuelto mediante Sentencia” (STC 248/1988, de 20 de diciembre, FJ 2). Ahora bien, como señalamos en la STC 196/1997, de 13 de noviembre, FJ 2, y reiteramos en la STC 109/2003, de 5 de junio, FJ 2, “hay que huir de todo automatismo en los efectos que en los procesos conflictuales quepa conceder a las modificaciones o derogaciones sobrevenidas de las disposiciones discutidas, puesto que no </w:t>
      </w:r>
      <w:r>
        <w:lastRenderedPageBreak/>
        <w:t>basta con el mero agotamiento de la disposición o resolución impugnada o con su derogación o modificación para concluir si se requiere una decisión sobre el fondo … y hay que estar sustancialmente a la persistencia o no de la controversia competencial … con el fin de salvaguardar el principio de la irrenunciabilidad o indisponibilidad de las competencias por las partes y, al tiempo, custodiar la vigencia de las normas constitucionales y estatutarias atributivas de competencias”. En la misma Sentencia reiteramos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En relación con los conflictos positivos de competencias este Tribunal viene descartando la incidencia posterior en el objeto del proceso de las modificaciones operadas sobre las normas controvertidas “cuando las modificaciones o derogaciones operadas en dichas normas dejaban subsistentes o irresueltas las cuestiones debatidas y las partes mantuvieron su interés en encontrar una respuesta a sus pretensiones, como se puso de relieve al no haber desistido del conflicto la parte actora ni tampoco haberse allanado la parte demandada” (STC 77/2004, FJ 2), o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(STC 128/1999, FJ 4).</w:t>
      </w:r>
    </w:p>
    <w:p w:rsidR="00D06117" w:rsidRDefault="00D06117" w:rsidP="00D06117">
      <w:pPr>
        <w:pStyle w:val="TextoNormal"/>
      </w:pPr>
    </w:p>
    <w:p w:rsidR="00D06117" w:rsidRDefault="00D06117" w:rsidP="00D06117">
      <w:pPr>
        <w:pStyle w:val="TextoNormal"/>
      </w:pPr>
      <w:r>
        <w:t>Conforme a la doctrina expuesta debemos valorar si en el presente recurso pervive la controversia competencial planteada respecto de ciertos preceptos modificados o introducidos por el Real Decreto-ley 9/2000, sin que el hecho de que hayan sido derogados por el texto refundido aprobado mediante Real Decreto Legislativo 1/2008 (no recurrido por la Comunidad aquí recurrente) represente, per se, obstáculo alguno para su enjuiciamiento.</w:t>
      </w:r>
    </w:p>
    <w:p w:rsidR="00D06117" w:rsidRDefault="00D06117" w:rsidP="00D06117">
      <w:pPr>
        <w:pStyle w:val="TextoNormal"/>
      </w:pPr>
    </w:p>
    <w:p w:rsidR="00D06117" w:rsidRDefault="00D06117" w:rsidP="00D06117">
      <w:pPr>
        <w:pStyle w:val="TextoNormal"/>
      </w:pPr>
      <w:r>
        <w:t>Debemos acudir, en primer lugar, a las respuestas ofrecidas por las partes en el trámite de audiencia abierto a estos efectos en aplicación del art. 84 LOTC. Tal y como quedó reflejado en el antecedente 8 de esta resolución, la Letrada de la Junta de Andalucía se limitó a afirmar, en una alegación única, de forma literal, “que, en efecto, el presente recurso dado el cambio normativo ha quedado sin objeto”. No obstante, el Abogado del Estado contestó al mismo trámite, en lo que afecta a la alegación sustantiva del recurso, poniendo de manifiesto que la comparación entre los preceptos recurridos (y formalmente derogados) y los equivalentes contenidos en el vigente Real Decreto Legislativo 1/2008 permitiría concluir que la controversia competencial pervive en los términos en que fue formulada en el recurso de inconstitucionalidad.</w:t>
      </w:r>
    </w:p>
    <w:p w:rsidR="00D06117" w:rsidRDefault="00D06117" w:rsidP="00D06117">
      <w:pPr>
        <w:pStyle w:val="TextoNormal"/>
      </w:pPr>
    </w:p>
    <w:p w:rsidR="00D06117" w:rsidRDefault="00D06117" w:rsidP="00D06117">
      <w:pPr>
        <w:pStyle w:val="TextoNormal"/>
      </w:pPr>
      <w:r>
        <w:t xml:space="preserve">A la vista de lo anterior podemos concluir que el conflicto competencial ínsito en el presente recurso de inconstitucionalidad no ha perdido objeto. En efecto, en la medida en </w:t>
      </w:r>
      <w:r>
        <w:lastRenderedPageBreak/>
        <w:t>que la parte demandada no se ha allanado, sino que por el contrario ha solicitado expresamente a este Tribunal una decisión jurisdiccional constatando si existe o no la extralimitación competencial denunciada, no cabe declarar la pérdida sobrevenida del objeto. Por tanto, la apertura del trámite del art. 84 LOTC permite concluir que no ha desaparecido la controversia competencial que está en la base del presente recurso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14</w:t>
      </w:r>
      <w:r>
        <w:t>. Comenzando nuestro examen por el apartado uno del artículo único del citado real decreto-ley que da nueva redacción a los arts. 5 y 7 del Real Decreto Legislativo 1302/1986, cabe advertir la coincidencia existente entre la impugnación del art. 5 del real decreto legislativo mencionado y la cuestión suscitada, primero, en el conflicto positivo de competencia promovido por el Gobierno Vasco contra el Real Decreto 1131/1988, de 30 de septiembre, por el que se aprobó el Reglamento para la ejecución del Real Decreto Legislativo 1302/1986, de 28 de junio, de evaluación de impacto ambiental, conflicto resuelto por la STC 13/1998, de 22 de enero, y, segundo, en el recurso de inconstitucionalidad 2870-1998 interpuesto por el Presidente del Gobierno en relación con la Ley del Parlamento Vasco 3/1998, de 27 de febrero, general de protección del medio ambiente del País Vasco, recurso resuelto por la STC 101/2006, de 30 de marzo.</w:t>
      </w:r>
    </w:p>
    <w:p w:rsidR="00D06117" w:rsidRDefault="00D06117" w:rsidP="00D06117">
      <w:pPr>
        <w:pStyle w:val="TextoNormal"/>
      </w:pPr>
    </w:p>
    <w:p w:rsidR="00D06117" w:rsidRDefault="00D06117" w:rsidP="00D06117">
      <w:pPr>
        <w:pStyle w:val="TextoNormal"/>
      </w:pPr>
      <w:r>
        <w:t>Precisamente en la STC 101/2006, además de resaltar que se trataba de una controversia que para entonces ya estaba resuelta por la STC 13/1998, y antes de recordar los criterios que configuraron su ratio decidendi, declaramos que tales criterios “ha[bía]n sido ya expresamente asumidos por el legislador, que en la exposición de motivos de la Ley 6/2001, de 8 de mayo, que modifica el Real Decreto Legislativo 1302/1986, de 28 de junio, de evaluación de impacto ambiental, subraya que ‘se incluyen en el art. 5 del Real Decreto Legislativo los cambios necesarios para adaptar la legislación estatal a los criterios recogidos en la Sentencia del Tribunal Constitucional de 22 de enero de 1998’”, y a continuación reprodujimos el texto completo de dicho precepto (STC 101/2006, FJ 4). Pues bien, la redacción del art. 5 del Real Decreto Legislativo 1302/1986 dada por el apartado uno del artículo único del Real Decreto-ley 9/2000 coincide plenamente con la redacción del mismo precepto proporcionada por la Ley 6/2001.</w:t>
      </w:r>
    </w:p>
    <w:p w:rsidR="00D06117" w:rsidRDefault="00D06117" w:rsidP="00D06117">
      <w:pPr>
        <w:pStyle w:val="TextoNormal"/>
      </w:pPr>
    </w:p>
    <w:p w:rsidR="00D06117" w:rsidRDefault="00D06117" w:rsidP="00D06117">
      <w:pPr>
        <w:pStyle w:val="TextoNormal"/>
      </w:pPr>
      <w:r>
        <w:t>Por otra parte, en el presente recurso se impugna también el art. 7 del Real Decreto Legislativo 1302/1986 en la medida en que, interpretado en conjunción con el art. 5, permite atribuir a la Administración General del Estado la competencia para el “seguimiento y vigilancia del cumplimiento de la declaración de impacto”.</w:t>
      </w:r>
    </w:p>
    <w:p w:rsidR="00D06117" w:rsidRDefault="00D06117" w:rsidP="00D06117">
      <w:pPr>
        <w:pStyle w:val="TextoNormal"/>
      </w:pPr>
    </w:p>
    <w:p w:rsidR="00D06117" w:rsidRDefault="00D06117" w:rsidP="00D06117">
      <w:pPr>
        <w:pStyle w:val="TextoNormal"/>
      </w:pPr>
      <w:r>
        <w:t>Pues bien, las SSTC 13/1998 y 101/2006 ya concluyeron que no era inconstitucional la atribución al Estado de la competencia de evaluación de impacto ambiental respecto a los proyectos que deban ser autorizados o aprobados por la Administración General del Estado, por cuanto que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(STC 13/1998, FJ 8). Por tanto, toda vez que los argumentos para sostener la inconstitucionalidad de los arts. 5 y 7 del Real Decreto Legislativo 1302/1986 en la redacción dada por el Real Decreto-ley 9/2000 son esencialmente los mismos que los que ya fueron objeto de análisis y rechazo en las citadas Sentencias, nos remitimos ahora para su desestimación a lo expuesto en los fundamentos jurídicos 7 y 8 de la STC 13/1998 y 4 y 5 de la STC 101/2006.</w:t>
      </w:r>
    </w:p>
    <w:p w:rsidR="00D06117" w:rsidRDefault="00D06117" w:rsidP="00D06117">
      <w:pPr>
        <w:pStyle w:val="TextoNormal"/>
      </w:pPr>
    </w:p>
    <w:p w:rsidR="00D06117" w:rsidRDefault="00D06117" w:rsidP="00D06117">
      <w:pPr>
        <w:pStyle w:val="TextoNormal"/>
      </w:pPr>
      <w:r w:rsidRPr="00D06117">
        <w:rPr>
          <w:rStyle w:val="NumeroAFNegritaCaracter"/>
        </w:rPr>
        <w:t>15</w:t>
      </w:r>
      <w:r>
        <w:t>. Por último ha de desestimarse el recurso en lo relativo a la impugnación del apartado tres del artículo único del Real Decreto-ley 9/2000 que introduce una disposición final tercera en el Real Decreto Legislativo 1302/1986. Como el propio recurrente pone de manifiesto, esta impugnación, que se refiere a que los preceptos objeto del presente proceso no han quedado excluidos de la calificación como norma básica que se predica genéricamente del conjunto del real decreto legislativo, no es autónoma, sino que se encuentra vinculada a la de los demás preceptos que hemos examinado hasta ahora, de tal forma que hemos de concluir que el reproche que se formula a la citada disposición final tercera ha sido ya respondido en el fundamento jurídico anterior mediante remisión a lo expuesto en las SSTC 13/1998 y 101/2006.</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parcialmente el recurso de inconstitucionalidad núm. 71-2001, promovido por el Consejo de Gobierno de la Comunidad Autónoma de Andalucía, contra el artículo único, cardinales uno (en cuanto que modifica los artículos 5 y 7 del Real Decreto Legislativo 1302/1986, de 26 de junio, de evaluación de impacto ambiental), dos y tres, del Real Decreto-ley 9/2000, de 6 de octubre, y en consecuencia:</w:t>
      </w:r>
    </w:p>
    <w:p w:rsidR="00D06117" w:rsidRDefault="00D06117" w:rsidP="00D06117">
      <w:pPr>
        <w:pStyle w:val="TextoNormal"/>
      </w:pPr>
    </w:p>
    <w:p w:rsidR="00D06117" w:rsidRDefault="00D06117" w:rsidP="00D06117">
      <w:pPr>
        <w:pStyle w:val="TextoNormal"/>
      </w:pPr>
      <w:r>
        <w:t>1º Declarar la inconstitucionalidad del artículo único, cardinal dos, del Real Decreto-ley 9/2000.</w:t>
      </w:r>
    </w:p>
    <w:p w:rsidR="00D06117" w:rsidRDefault="00D06117" w:rsidP="00D06117">
      <w:pPr>
        <w:pStyle w:val="TextoNormal"/>
      </w:pPr>
    </w:p>
    <w:p w:rsidR="00D06117" w:rsidRDefault="00D06117" w:rsidP="00D06117">
      <w:pPr>
        <w:pStyle w:val="TextoNormal"/>
      </w:pPr>
      <w:r>
        <w:t>2º Desestimar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Valencia, a trece de enero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Francisco José Hernando Santiago a la Sentencia que resuelve el recurso de inconstitucionalidad núm. 71-2001.</w:t>
      </w:r>
    </w:p>
    <w:p w:rsidR="00D06117" w:rsidRDefault="00D06117" w:rsidP="00D06117">
      <w:pPr>
        <w:pStyle w:val="TextoNormalNegritaCentrado"/>
        <w:keepNext/>
      </w:pPr>
    </w:p>
    <w:p w:rsidR="00D06117" w:rsidRDefault="00D06117" w:rsidP="00D06117">
      <w:pPr>
        <w:pStyle w:val="TextoNormal"/>
      </w:pPr>
      <w:r>
        <w:t>Con el respeto que siempre profeso al parecer de la mayoría, creo necesario hacer uso de la facultad establecida en el art. 90.2 LOTC de formular Voto particular, por disentir de la Sentencia que ha estimado parcialmente el recurso de inconstitucionalidad promovido por el Consejo de Gobierno de la Comunidad Autónoma de Andalucía, en la medida en que declara inconstitucional el cardinal dos del artículo único del Real Decreto-ley 9/2000, de 6 de octubre, de modificación del Real Decreto Legislativo 1302/1986, de 28 de junio, de evaluación de impacto ambiental.</w:t>
      </w:r>
    </w:p>
    <w:p w:rsidR="00D06117" w:rsidRDefault="00D06117" w:rsidP="00D06117">
      <w:pPr>
        <w:pStyle w:val="TextoNormal"/>
      </w:pPr>
    </w:p>
    <w:p w:rsidR="00D06117" w:rsidRDefault="00D06117" w:rsidP="00D06117">
      <w:pPr>
        <w:pStyle w:val="TextoNormal"/>
      </w:pPr>
      <w:r>
        <w:lastRenderedPageBreak/>
        <w:t>La Sentencia aprobada declara la inconstitucionalidad del precepto invocando para ello (FJ 12) el criterio que desde la STC 29/1982, de 31 de mayo, se viene aplicando a las disposiciones deslegalizadoras contenidas en un decreto-ley que no produzcan una innovación normativa efectiva.</w:t>
      </w:r>
    </w:p>
    <w:p w:rsidR="00D06117" w:rsidRDefault="00D06117" w:rsidP="00D06117">
      <w:pPr>
        <w:pStyle w:val="TextoNormal"/>
      </w:pPr>
    </w:p>
    <w:p w:rsidR="00D06117" w:rsidRDefault="00D06117" w:rsidP="00D06117">
      <w:pPr>
        <w:pStyle w:val="TextoNormal"/>
      </w:pPr>
      <w:r>
        <w:t>Mi discrepancia nace de negar que la disposición impugnada tenga ese carácter, pues toda operación deslegalizadora supone la reducción del rango normativo de una materia regulada por norma legal en el momento en que se dicta la ley deslegalizadora, de tal manera que a partir de ésta y en su virtud pueda ser regulada por normas reglamentarias. Por el contrario, la disposición que ahora se declara inconstitucional se limita a habilitar al Estado para regular reglamentariamente una materia meramente procedimental, que no estaba regulada ni sometida a reserva de ley.</w:t>
      </w:r>
    </w:p>
    <w:p w:rsidR="00D06117" w:rsidRDefault="00D06117" w:rsidP="00D06117">
      <w:pPr>
        <w:pStyle w:val="TextoNormal"/>
      </w:pPr>
    </w:p>
    <w:p w:rsidR="00D06117" w:rsidRDefault="00D06117" w:rsidP="00D06117">
      <w:pPr>
        <w:pStyle w:val="TextoNormal"/>
      </w:pPr>
      <w:r>
        <w:t>Esta condición de norma exclusivamente habilitante es decisiva porque el empleo del aludido canon creado para las disposiciones deslegalizadoras ha sido excluido de modo expreso y repetido en relación con las disposiciones que contienen simples habilitaciones reglamentarias, como se constata en las propias resoluciones citadas en la Sentencia de la que discrepo: SSTC 29/1986, de 20 de febrero, FJ 2.c; 23/1993, de 21 de enero, FJ 6; 11/2002, de 17 de enero, FJ 7; y 332/2005, de 15 de diciembre, FJ 7.</w:t>
      </w:r>
    </w:p>
    <w:p w:rsidR="00D06117" w:rsidRDefault="00D06117" w:rsidP="00D06117">
      <w:pPr>
        <w:pStyle w:val="TextoNormal"/>
      </w:pPr>
    </w:p>
    <w:p w:rsidR="00D06117" w:rsidRDefault="00D06117" w:rsidP="00D06117">
      <w:pPr>
        <w:pStyle w:val="TextoNormal"/>
      </w:pPr>
      <w:r>
        <w:t>Por lo demás, la falta de posterior aprobación de esa regulación reglamentaria no parece que deba afectar a la constitucionalidad del decreto-ley, como se destacó en la STC 332/2005, de 15 de diciembre (FJ 7), lo cual es perfectamente lógico, pues aunque, ciertamente, sea reprochable que el Estado no hubiera hecho uso de la habilitación que se le concedía, sin embargo la constitucionalidad del propio decreto-ley no puede hacerse depender de una eventualidad que, como tal, resulta futura e incierta en el momento de aprobarse.</w:t>
      </w:r>
    </w:p>
    <w:p w:rsidR="00D06117" w:rsidRDefault="00D06117" w:rsidP="00D06117">
      <w:pPr>
        <w:pStyle w:val="TextoNormal"/>
      </w:pPr>
    </w:p>
    <w:p w:rsidR="00D06117" w:rsidRDefault="00D06117" w:rsidP="00D06117">
      <w:pPr>
        <w:pStyle w:val="TextoNormal"/>
      </w:pPr>
      <w:r>
        <w:t>En lo restante comparto íntegramente la Sentencia.</w:t>
      </w:r>
    </w:p>
    <w:p w:rsidR="00D06117" w:rsidRDefault="00D06117" w:rsidP="00D06117">
      <w:pPr>
        <w:pStyle w:val="TextoNormal"/>
      </w:pPr>
    </w:p>
    <w:p w:rsidR="00D06117" w:rsidRDefault="00D06117" w:rsidP="00D06117">
      <w:pPr>
        <w:pStyle w:val="TextoNormal"/>
      </w:pPr>
      <w:r>
        <w:t>Valencia, a trece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 w:name="SENTENCIA_2012_2"/>
      <w:r>
        <w:lastRenderedPageBreak/>
        <w:t>SENTENCIA 2/2012, de 13 de enero de 2012</w:t>
      </w:r>
    </w:p>
    <w:bookmarkEnd w:id="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ECLI:ES:TC:2012:2</w:t>
      </w:r>
    </w:p>
    <w:p w:rsidR="00D06117" w:rsidRDefault="00D06117" w:rsidP="00D06117">
      <w:pPr>
        <w:pStyle w:val="SntesisDescriptiva"/>
      </w:pPr>
    </w:p>
    <w:p w:rsidR="00D06117" w:rsidRDefault="00D06117" w:rsidP="00D06117">
      <w:pPr>
        <w:pStyle w:val="SntesisDescriptiva"/>
      </w:pPr>
      <w:r>
        <w:t>Cuestión de inconstitucionalidad 30-2002. Planteada por el Juzgado de lo Contencioso-Administrativo núm. 2 de Las Palmas de Gran Canaria en relación con la disposición transitoria segunda de la Ley del Parlamento de Canarias 6/1997, de 4 de julio, de coordinación de policías locales.</w:t>
      </w:r>
    </w:p>
    <w:p w:rsidR="00D06117" w:rsidRDefault="00D06117" w:rsidP="00D06117">
      <w:pPr>
        <w:pStyle w:val="SntesisDescriptiva"/>
      </w:pPr>
    </w:p>
    <w:p w:rsidR="00D06117" w:rsidRDefault="00D06117" w:rsidP="00D06117">
      <w:pPr>
        <w:pStyle w:val="SntesisAnaltica"/>
      </w:pPr>
      <w:r>
        <w:t>Competencias sobre bases del régimen estatutario de la función pública y seguridad pública: nulidad del precepto legal autonómico que establece una dispensa de titulación para la promoción interna de los policías locales (STC 175/2011).</w:t>
      </w:r>
    </w:p>
    <w:p w:rsidR="00D06117" w:rsidRDefault="00D06117" w:rsidP="00D06117">
      <w:pPr>
        <w:pStyle w:val="SntesisAnaltica"/>
      </w:pPr>
    </w:p>
    <w:p w:rsidR="00D06117" w:rsidRDefault="00D06117" w:rsidP="00D06117">
      <w:pPr>
        <w:pStyle w:val="Extracto"/>
      </w:pPr>
      <w:r>
        <w:t>1.</w:t>
      </w:r>
      <w:r>
        <w:tab/>
        <w:t>Aplica la doctrina sobre promoción interna de funcionarios que presten sus servicios en los Cuerpos de Policía Local de la STC 175/2011 [FFJJ 3, 4].</w:t>
      </w:r>
    </w:p>
    <w:p w:rsidR="00D06117" w:rsidRDefault="00D06117" w:rsidP="00D06117">
      <w:pPr>
        <w:pStyle w:val="Extracto"/>
      </w:pPr>
    </w:p>
    <w:p w:rsidR="00D06117" w:rsidRDefault="00D06117" w:rsidP="00D06117">
      <w:pPr>
        <w:pStyle w:val="Extracto"/>
      </w:pPr>
      <w:r>
        <w:t>2.</w:t>
      </w:r>
      <w:r>
        <w:tab/>
        <w:t>En las normas que configuran el régimen jurídico de los funcionarios que presten sus servicios en los Cuerpos de Policía Local, la titulación se erige en requisito esencial de la promoción interna –</w:t>
      </w:r>
      <w:r w:rsidRPr="00D06117">
        <w:rPr>
          <w:i/>
        </w:rPr>
        <w:t>ex</w:t>
      </w:r>
      <w:r>
        <w:t xml:space="preserve"> art. 92 LBRL–, elemento éste del régimen estatutario de los funcionarios públicos, lo cual conduce a su encuadramiento material en el título competencial del art. 149.1.18 CE (STC 175/2011) [FJ 3].</w:t>
      </w:r>
    </w:p>
    <w:p w:rsidR="00D06117" w:rsidRDefault="00D06117" w:rsidP="00D06117">
      <w:pPr>
        <w:pStyle w:val="Extracto"/>
      </w:pPr>
    </w:p>
    <w:p w:rsidR="00D06117" w:rsidRDefault="00D06117" w:rsidP="00D06117">
      <w:pPr>
        <w:pStyle w:val="Extracto"/>
      </w:pPr>
      <w:r>
        <w:t>3.</w:t>
      </w:r>
      <w:r>
        <w:tab/>
        <w:t>En el ámbito funcionarial de la policía local, la regulación de las materias de ‘promoción interna’ y ‘titulación’, ostentan carácter básico –</w:t>
      </w:r>
      <w:r w:rsidRPr="00D06117">
        <w:rPr>
          <w:i/>
        </w:rPr>
        <w:t>ex</w:t>
      </w:r>
      <w:r>
        <w:t xml:space="preserve"> art. 1.3 LMFP–, y se encuadra sin dificultad en el ‘régimen estatutario de los funcionarios públicos’ del art. 149.1.18 CE (STC 175/2011) [FJ 3].</w:t>
      </w:r>
    </w:p>
    <w:p w:rsidR="00D06117" w:rsidRDefault="00D06117" w:rsidP="00D06117">
      <w:pPr>
        <w:pStyle w:val="Extracto"/>
      </w:pPr>
    </w:p>
    <w:p w:rsidR="00D06117" w:rsidRDefault="00D06117" w:rsidP="00D06117">
      <w:pPr>
        <w:pStyle w:val="Extracto"/>
      </w:pPr>
      <w:r>
        <w:t>4.</w:t>
      </w:r>
      <w:r>
        <w:tab/>
        <w:t>No puede estimarse encuadrable la materia de ‘titulación’, aunque se refiera a las policías locales, en el art. 149.1.29 CE de ‘seguridad pública’, porque el art. 39 c) LOFCS no habilita a las Comunidades Autónomas para alterar el régimen de titulaciones del art. 25 LMFP en contra de la legislación básica de homogeneización de los principios del ‘mérito’ y la ‘capacidad’ para toda la función pública (STC 175/2011) [FJ 3].</w:t>
      </w:r>
    </w:p>
    <w:p w:rsidR="00D06117" w:rsidRDefault="00D06117" w:rsidP="00D06117">
      <w:pPr>
        <w:pStyle w:val="Extracto"/>
      </w:pPr>
    </w:p>
    <w:p w:rsidR="00D06117" w:rsidRDefault="00D06117" w:rsidP="00D06117">
      <w:pPr>
        <w:pStyle w:val="Extracto"/>
      </w:pPr>
      <w:r>
        <w:t>5.</w:t>
      </w:r>
      <w:r>
        <w:tab/>
        <w:t xml:space="preserve">Procede declarar la inconstitucionalidad y nulidad de la disposición cuestionada, por cuanto en ella se establece, aún con carácter transitorio, una dispensa de la titulación necesaria para participar en procesos de promoción interna que es contraria a la ordenación que con carácter básico ha establecido el Estado en el ejercicio de su competencia exclusiva, </w:t>
      </w:r>
      <w:r w:rsidRPr="00D06117">
        <w:rPr>
          <w:i/>
        </w:rPr>
        <w:t>ex</w:t>
      </w:r>
      <w:r>
        <w:t xml:space="preserve"> art. 149.1.18 CE, para la regulación de las bases del régimen estatutario de los funcionarios públicos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 xml:space="preserve">El Pleno del Tribunal Constitucional, compuesto por don Pascual Sala Sánchez, Presidente, don Eugeni Gay Montalvo, don Javier Delgado Barrio, doña Elisa Pérez Vera, don </w:t>
      </w:r>
      <w:r>
        <w:lastRenderedPageBreak/>
        <w:t>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30/2002, promovida por el Juzgado de lo Contencioso-Administrativo núm. 2 de Las Palmas de Gran Canaria en relación con la disposición transitoria segunda de la Ley del Parlamento de Canarias 6/1997, de 4 de julio, de coordinación de policías locales. Han intervenido y formulado alegaciones el Abogado del Estado, el Gobierno y el Parlamento de Canarias, así como el Fiscal General del Estado. Ha sido Ponente el Magistrado don Francisco Pérez de los Cobos Orihuel,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oficio registrado en este Tribunal el día 4 de enero de 2002, el Secretario del Juzgado de lo Contencioso-Administrativo núm. 2 de Las Palmas de Gran Canaria remitió testimonio del Auto de 5 de diciembre de 2001, dictado por el titular del indicado Juzgado, mediante el que se plantea ante este Tribunal cuestión de inconstitucionalidad en relación con la disposición legal a que se ha hecho referencia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La cuestión de inconstitucionalidad se plantea en el seno del recurso contencioso-administrativo núm. 303/2001 en el que se impugnaban ante ese orden jurisdiccional las bases para la provisión en propiedad de una plaza de oficial de la policía local del Ilustre Ayuntamiento de Santa Brígida (Las Palmas), publicadas en el “Boletín Oficial de la Provincia” de Las Palmas de 5 de marzo de 2001.</w:t>
      </w:r>
    </w:p>
    <w:p w:rsidR="00D06117" w:rsidRDefault="00D06117" w:rsidP="00D06117">
      <w:pPr>
        <w:pStyle w:val="TextoNormal"/>
      </w:pPr>
    </w:p>
    <w:p w:rsidR="00D06117" w:rsidRDefault="00D06117" w:rsidP="00D06117">
      <w:pPr>
        <w:pStyle w:val="TextoNormal"/>
      </w:pPr>
      <w:r>
        <w:t xml:space="preserve">Del análisis conjunto de la demanda y las alegaciones formuladas en la fase de juicio oral se desprende que la impugnación de la base segunda de la convocatoria, en cuanto admitía la participación en el concurso-oposición con la dispensa de la titulación de licenciado si se contaba con el aprobado en el curso de dispensa de grado del “B” al “A” emitida por la Academia Canaria de Seguridad, se basaba en que la indicada base tenía su soporte normativo en la disposición transitoria segunda de la Ley Canaria 6/1997, de 4 de julio, de coordinación de policías locales. La parte demandante aducía que el indicado precepto vulnera el orden constitucional de competencias en cuanto contraviene lo dispuesto en el art. 25 de la Ley 30/1984, de 2 de agosto, de medidas de reforma de la función pública, precepto este que, a tenor de lo dispuesto en el art. 1.3 de la propia norma, tiene carácter básico y, consecuentemente, ha sido dictado en el ejercicio de la competencia atribuida al Estado por el art. </w:t>
      </w:r>
      <w:r>
        <w:lastRenderedPageBreak/>
        <w:t>149.1.18 CE. Del mismo modo se afirmaba que la norma ahora cuestionada supone el ejercicio por la Comunidad Autónoma de la competencia para la regulación de la convalidación de títulos, competencia que reside en exclusiva al Estado por mandato del art. 149.1.30 CE.</w:t>
      </w:r>
    </w:p>
    <w:p w:rsidR="00D06117" w:rsidRDefault="00D06117" w:rsidP="00D06117">
      <w:pPr>
        <w:pStyle w:val="TextoNormal"/>
      </w:pPr>
    </w:p>
    <w:p w:rsidR="00D06117" w:rsidRDefault="00D06117" w:rsidP="00D06117">
      <w:pPr>
        <w:pStyle w:val="TextoNormal"/>
      </w:pPr>
      <w:r>
        <w:t>Concluso el procedimiento, el Juez de lo Contencioso-Administrativo dictó providencia de 2 de octubre de 2001 por la que, de conformidad con lo dispuesto en el art. 35.2 de la Ley Orgánica del Tribunal Constitucional (LOTC) y con suspensión del plazo para dictar Sentencia, daba traslado al Ministerio Fiscal y a las partes personadas para que en término común de diez días pudieran formular alegaciones en relación con la pertinencia de plantear cuestión de inconstitucionalidad sobre la disposición transitoria segunda de la Ley Canaria 6/1997, de 4 de julio, de coordinación de policías locales, por posible vulneración de los arts. 149.1, apartados 18 y 30 CE. Evacuando el traslado conferido, el Ministerio Fiscal y la parte recurrente solicitaron el planteamiento de la cuestión de inconstitucionalidad, mientras que la Administración demandada y el codemandado se mostraron contrarios a su planteamiento.</w:t>
      </w:r>
    </w:p>
    <w:p w:rsidR="00D06117" w:rsidRDefault="00D06117" w:rsidP="00D06117">
      <w:pPr>
        <w:pStyle w:val="TextoNormal"/>
      </w:pPr>
    </w:p>
    <w:p w:rsidR="00D06117" w:rsidRDefault="00D06117" w:rsidP="00D06117">
      <w:pPr>
        <w:pStyle w:val="TextoNormal"/>
      </w:pPr>
      <w:r w:rsidRPr="00D06117">
        <w:rPr>
          <w:rStyle w:val="NumeroAFNegritaCaracter"/>
        </w:rPr>
        <w:t>3</w:t>
      </w:r>
      <w:r>
        <w:t>. Por Auto de 5 de diciembre de 2001, el Juez de lo Contencioso-Administrativo núm. 2 de Las Palmas de Gran Canaria planteó cuestión de inconstitucionalidad en relación con la disposición transitoria segunda de la Ley Canaria 6/1997, de 4 de julio, de coordinación de policías locales, por posible vulneración de los arts. 149.1.18 CE, en relación con los arts. 22.1 y 25 de la Ley 30/1984, de 2 de agosto, y 149.1.30 CE. Su argumentación es, sucintamente expuesta, la siguiente:</w:t>
      </w:r>
    </w:p>
    <w:p w:rsidR="00D06117" w:rsidRDefault="00D06117" w:rsidP="00D06117">
      <w:pPr>
        <w:pStyle w:val="TextoNormal"/>
      </w:pPr>
    </w:p>
    <w:p w:rsidR="00D06117" w:rsidRDefault="00D06117" w:rsidP="00D06117">
      <w:pPr>
        <w:pStyle w:val="TextoNormal"/>
      </w:pPr>
      <w:r>
        <w:t>a) Tras reproducir la base segunda de las impugnadas en el proceso contencioso-administrativo a quo y la disposición transitoria segunda de la Ley canaria 6/1997, de 4 de julio, de coordinación de policías locales, que le sirve de apoyo, considera que este último precepto permite el acceso a un cuerpo o escala funcionarial encuadrada en el grupo A sin estar en posesión de la titulación exigida por la norma básica para la promoción interna —arts. 22.1 y 25 de la Ley 30/1984, de 2 de agosto, de medidas de reforma de la función pública. Por esta razón el precepto cuestionado vulnera la competencia estatal establecida en el art. 149.1.18 CE, tal como se desprende de la STC 388/1993, de 23 de diciembre, cuyo contenido literal reproduce parcialmente.</w:t>
      </w:r>
    </w:p>
    <w:p w:rsidR="00D06117" w:rsidRDefault="00D06117" w:rsidP="00D06117">
      <w:pPr>
        <w:pStyle w:val="TextoNormal"/>
      </w:pPr>
    </w:p>
    <w:p w:rsidR="00D06117" w:rsidRDefault="00D06117" w:rsidP="00D06117">
      <w:pPr>
        <w:pStyle w:val="TextoNormal"/>
      </w:pPr>
      <w:r>
        <w:t>b) En segundo lugar considera que, aun cuando se entendiera que el precepto cuestionado no exime de la titulación requerida por la norma básica sino que declara la equivalencia de aquellas titulaciones con la realización de los cursos y la obtención de diplomas correspondientes en la Academia Canaria de Seguridad, entonces el precepto legal vulneraría la competencia exclusiva estatal ex art. 149.1.30 CE para la regulación de las condiciones de obtención, expedición y homologación de títulos académicos y profesionales, reforzando su argumentación con la cita de la STC 82/1993, de 8 de marzo, cuyo paralelismo con el supuesto analizado resalta.</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Mediante providencia de 26 de febrero de 2002, la Sección Segunda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Canarias, por conducto de sus Presidentes, al objeto de que, en el improrrogable plazo de </w:t>
      </w:r>
      <w:r>
        <w:lastRenderedPageBreak/>
        <w:t>quince días, pudieran personarse en el proceso y formular las alegaciones que estimasen convenientes. En la misma providencia se acordó publicar la incoación de la cuestión en el “Boletín Oficial del Estado” y en el de Canarias, lo que se produjo, respecto del primero, en el del día 8 de marzo de 2002.</w:t>
      </w:r>
    </w:p>
    <w:p w:rsidR="00D06117" w:rsidRDefault="00D06117" w:rsidP="00D06117">
      <w:pPr>
        <w:pStyle w:val="TextoNormal"/>
      </w:pPr>
    </w:p>
    <w:p w:rsidR="00D06117" w:rsidRDefault="00D06117" w:rsidP="00D06117">
      <w:pPr>
        <w:pStyle w:val="TextoNormal"/>
      </w:pPr>
      <w:r w:rsidRPr="00D06117">
        <w:rPr>
          <w:rStyle w:val="NumeroAFNegritaCaracter"/>
        </w:rPr>
        <w:t>5</w:t>
      </w:r>
      <w:r>
        <w:t>. El día 14 de marzo de 2002 se recibió escrito de la Presidenta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00D06117" w:rsidRDefault="00D06117" w:rsidP="00D06117">
      <w:pPr>
        <w:pStyle w:val="TextoNormal"/>
      </w:pPr>
    </w:p>
    <w:p w:rsidR="00D06117" w:rsidRDefault="00D06117" w:rsidP="00D06117">
      <w:pPr>
        <w:pStyle w:val="TextoNormal"/>
      </w:pPr>
      <w:r>
        <w:t>Con fecha 12 de marzo de 2002,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formuló alegaciones mediante escrito registrado en este Tribunal el día 20 de marzo de 2002, en las cuales solicitó la estimación de la cuestión plantada y la declaración de inconstitucionalidad y nulidad de la disposición transitoria cuestionada. A tal efecto razona que la disposición cuestionada —dictada con el evidente propósito de favorecer a los policías locales nombrados a la entrada en vigor de la ley— dispensa de un grado de titulación a efectos de promoción interna y sustituye este requisito por la realización de “cursos” y la obtención de “diplomas” expedidos por la Academia Canaria de Seguridad. La cuestión suscitada guarda gran afinidad con la cuestión de inconstitucionalidad núm. 1323-1999, por lo que anuncia que sus alegaciones seguirán la línea de las formuladas en él.</w:t>
      </w:r>
    </w:p>
    <w:p w:rsidR="00D06117" w:rsidRDefault="00D06117" w:rsidP="00D06117">
      <w:pPr>
        <w:pStyle w:val="TextoNormal"/>
      </w:pPr>
    </w:p>
    <w:p w:rsidR="00D06117" w:rsidRDefault="00D06117" w:rsidP="00D06117">
      <w:pPr>
        <w:pStyle w:val="TextoNormal"/>
      </w:pPr>
      <w:r>
        <w:t>Considera el Abogado del Estado que la aplicación al caso de la doctrina sentada en la STC 388/1993, oportunamente recordada en el Auto de planteamiento, conduce a la estimación de la cuestión planteada, pues la disposición legal en discusión desconoce la ley básica en cuanto ésta configura los títulos académicos como criterio taxonómico para la clasificación los cuerpos, escalas, clases y categorías de funcionarios (art. 25 de la Ley básica) que ha de ser respetada en la promoción interna (art. 22.1). Tal desconocimiento hace incurrir al precepto en inconstitucionalidad por vulneración del art. 149.1.18 CE, en relación con los arts. 1.3, 22.1 (primer párrafo) y 25 de la Ley 30/1984.</w:t>
      </w:r>
    </w:p>
    <w:p w:rsidR="00D06117" w:rsidRDefault="00D06117" w:rsidP="00D06117">
      <w:pPr>
        <w:pStyle w:val="TextoNormal"/>
      </w:pPr>
    </w:p>
    <w:p w:rsidR="00D06117" w:rsidRDefault="00D06117" w:rsidP="00D06117">
      <w:pPr>
        <w:pStyle w:val="TextoNormal"/>
      </w:pPr>
      <w:r>
        <w:t>Igualmente comparte el Abogado del Estado el criterio del órgano judicial proponente de la cuestión en cuanto, con invocación de la doctrina de la STC 82/1993, de 8 de marzo, considera vulnerada la reserva estatal establecida en el art. 149.1.30 CE. En el presente supuesto es el legislador canario el que establece una dispensa de titulación que él mismo ha exigido en el art. 16.2 de su propia Ley en obediencia a los preceptos básicos de la Ley 30/1984, defiriendo a su propia Administración la determinación de los cursos y diplomas equivalentes a la titulación exigida, esto es, confiriéndose la facultad de homologación de los estudios efectuados en la Academia Canaria de Seguridad con la titulación exigida para el acceso al grupo funcionarial correspondiente, lo que implica la vulneración de la competencia exclusiva del Estado ya mencionada.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La representación procesal del Parlamento de Canarias formuló alegaciones el 25 de marzo de 2002. Aduce en primer término que el Auto de planteamiento de la cuestión de inconstitucionalidad adolece del rigor y la motivación suficiente porque plantea la duda de constitucionalidad sobre la base de efectuar una interpretación del precepto contraria a la Constitución y luego denunciar su desajuste con ella. Así, rechaza que en la disposición cuestionada se equiparen los diplomas de la Academia con los títulos mencionados en el art. 16.2 de la ley canaria, sino que simplemente se excepciona el requisito de la titulación exigido en él, razón por la cual no puede afirmarse que la disposición transitoria segunda se dicte invadiendo la competencia estatal recogida en el art. 143.1.30 CE, sino en el ejercicio de la competencia sobre seguridad ciudadana asumida en el art. 34.1 de su Estatuto de Autonomía conforme a lo dispuesto en el art. 148.1.22 CE. Se establece una norma transitoria semejante a la introducida por otras Comunidades Autónomas y al sistema arbitrado en la disposición transitoria octava de la Ley Orgánica 2/1986, de 13 de marzo, de fuerzas y cuerpos de seguridad (LOFCS), luego derogada por la Ley 26/1994, de 29 de septiembre. De ahí que, no siendo el título competencial el de desarrollo de las bases estatales incorporadas a la Ley 30/1984, de 2 de agosto, no quepa entender que se haya vulnerado tal competencia estatal. El precepto autonómico encuentra su cobertura en el art. 39, apartado c) de la Ley Orgánica 2/1986, de 13 de marzo, según el cual corresponde a las Comunidades Autónomas “fijar los criterios de selección, formación, promoción y movilidad de las Policías locales, determinando los distintos niveles educativos exigibles para cada categoría, sin que, en ningún caso, el nivel pueda ser inferior a Graduado Escolar”. Afirma que el legislador canario podía regular la promoción interna, incluyendo un régimen transitorio semejante al establecido en la ley estatal para orillar así tratamientos discriminatorios entre funcionarios policiales. Consecuentemente, afirma el Parlamento de Canarias, “la indagación determinante del juicio de constitucionalidad que merezca el precepto cuestionado habrá de relacionarse primordialmente con el encaje que la disposición tenga respecto a las competencias reconocidas en el art. 39 de la Ley Orgánica 2/1986 a la Comunidad Autónoma y con los elementos estructurales de dicha norma legal”. Por lo demás afirma la representación procesal del Parlamento de Canarias que la norma impugnada no es sino el trasunto de lo dispuesto originariamente en la norma estatal (apartado 8 de la disposición transitoria primera LOFCS) en relación a la Cuerpo Nacional de Policía, por lo cual no puede negarse a la Comunidad Autónoma la posibilidad de establecer un régimen de dispensa de titulación semejante.</w:t>
      </w:r>
    </w:p>
    <w:p w:rsidR="00D06117" w:rsidRDefault="00D06117" w:rsidP="00D06117">
      <w:pPr>
        <w:pStyle w:val="TextoNormal"/>
      </w:pPr>
    </w:p>
    <w:p w:rsidR="00D06117" w:rsidRDefault="00D06117" w:rsidP="00D06117">
      <w:pPr>
        <w:pStyle w:val="TextoNormal"/>
      </w:pPr>
      <w:r w:rsidRPr="00D06117">
        <w:rPr>
          <w:rStyle w:val="NumeroAFNegritaCaracter"/>
        </w:rPr>
        <w:t>8</w:t>
      </w:r>
      <w:r>
        <w:t>. El Gobierno de Canarias, en alegaciones presentadas el 27 de marzo de 2002, rechaza que, tal como sostiene el Juez proponente de la cuestión, la Ley 30/1984, de 2 de agosto, sea aplicable a los cuerpos de seguridad, entre ellos la policía local, pues la indicada ley se dicta en el ejercicio de la competencia estatal reconocida en el art. 149.1.18 CE, mientras que el régimen de las fuerzas de seguridad se ampara en el art. 104.2 CE que llama a una ley orgánica específica para regular el estatuto de estos específicos funcionarios en razón a las funciones de seguridad que desempeñan. Consecuentemente, sostiene que el título competencial afectado no es el estatal relativo a las bases del régimen jurídico de la función pública sino el de seguridad pública.</w:t>
      </w:r>
    </w:p>
    <w:p w:rsidR="00D06117" w:rsidRDefault="00D06117" w:rsidP="00D06117">
      <w:pPr>
        <w:pStyle w:val="TextoNormal"/>
      </w:pPr>
    </w:p>
    <w:p w:rsidR="00D06117" w:rsidRDefault="00D06117" w:rsidP="00D06117">
      <w:pPr>
        <w:pStyle w:val="TextoNormal"/>
      </w:pPr>
      <w:r>
        <w:t xml:space="preserve">Una vez descartada la aplicación directa, con el carácter de básica, de la Ley 30/1984, de 2 de agosto, señala el Gobierno de Canarias que el art. 39 c) LOFCS atribuye competencia a las Comunidades Autónomas para “fijar los criterios de selección, formación y movilidad de las Policías Locales, determinando los distintos niveles educativos exigibles para cada categoría, sin que en ningún caso, el nivel pueda ser inferior a Graduado Escolar”, y que </w:t>
      </w:r>
      <w:r>
        <w:lastRenderedPageBreak/>
        <w:t>fruto de esta competencia son notables las diferencias de regulación en las distintas Comunidades Autónomas. Por lo que respecta a la Comunidad Autónoma de Canarias, tal competencia ha sido ejercida en la Ley 6/1997, de 4 de julio, de coordinación de policías locales de Canarias, introduciendo un régimen transitorio que no vulnera el art. 22.1 de la Ley 30/1984 porque dicha norma no es aplicable, o al menos no como básica, en la Comunidad Canaria. Es más, la policía local está englobada en la escala de administración especial precisamente porque lo que la define no es la titulación exigida para el ingreso en ella sino la especificidad de sus funciones, de suerte que el encuadramiento en alguno de los grupos establecidos en la Ley 30/1984 tiene un carácter fundamentalmente retributivo, tal como se desprende del Real Decreto 861/1986, sobre retribuciones del personal al servicio de la Administración local.</w:t>
      </w:r>
    </w:p>
    <w:p w:rsidR="00D06117" w:rsidRDefault="00D06117" w:rsidP="00D06117">
      <w:pPr>
        <w:pStyle w:val="TextoNormal"/>
      </w:pPr>
    </w:p>
    <w:p w:rsidR="00D06117" w:rsidRDefault="00D06117" w:rsidP="00D06117">
      <w:pPr>
        <w:pStyle w:val="TextoNormal"/>
      </w:pPr>
      <w:r>
        <w:t>Según el Gobierno de Canarias la disposición cuestionada no hace sino trasponer en el ámbito de la policía local de la Comunidad Canaria la norma estatal de dispensa transitoria de grado en la promoción profesional que se contiene en la disposición transitoria primera, apartado 8 LOFCS, norma que lógicamente se refiere exclusivamente al Cuerpo Nacional de Policía para respetar la competencia autonómica que el citado art. 39 c) LOFCS atribuye para regular la promoción profesional en el seno de la policía local. Por lo demás, la dispensa de grado para la promoción profesional tiene carácter transitorio y limitado en el tiempo para dar respuesta y solución a una situación única e irrepetible de variación de los requisitos de titulación exigidos para el ingreso en determinados escalones profesionales dentro de la policía local. Pues bien, la adopción de medidas excepcionales para la consecución de un fin constitucionalmente legítimo como la promoción profesional (art. 35.1 CE) ha sido considerada como adecuada a los principios de mérito y capacidad propios de la función pública —art. 103.3 CE— por la doctrina constitucional (STC 27/1991).</w:t>
      </w:r>
    </w:p>
    <w:p w:rsidR="00D06117" w:rsidRDefault="00D06117" w:rsidP="00D06117">
      <w:pPr>
        <w:pStyle w:val="TextoNormal"/>
      </w:pPr>
    </w:p>
    <w:p w:rsidR="00D06117" w:rsidRDefault="00D06117" w:rsidP="00D06117">
      <w:pPr>
        <w:pStyle w:val="TextoNormal"/>
      </w:pPr>
      <w:r>
        <w:t>Finalmente se rechaza en las alegaciones del Gobierno de Canarias que la disposición legal cuestionada invada la competencia exclusiva estatal ex art. 149.1.30 para la homologación de títulos, pues tal homologación no se establece por la norma transitoria impugnada, sino que tan sólo se dispensa transitoriamente del requisito de la titulación pero sometiendo tal dispensa al requisito de superar ciertos cursos, lo cual es cosa muy distinta según la representación procesal del Gobierno autonómico.</w:t>
      </w:r>
    </w:p>
    <w:p w:rsidR="00D06117" w:rsidRDefault="00D06117" w:rsidP="00D06117">
      <w:pPr>
        <w:pStyle w:val="TextoNormal"/>
      </w:pPr>
    </w:p>
    <w:p w:rsidR="00D06117" w:rsidRDefault="00D06117" w:rsidP="00D06117">
      <w:pPr>
        <w:pStyle w:val="TextoNormal"/>
      </w:pPr>
      <w:r w:rsidRPr="00D06117">
        <w:rPr>
          <w:rStyle w:val="NumeroAFNegritaCaracter"/>
        </w:rPr>
        <w:t>9</w:t>
      </w:r>
      <w:r>
        <w:t>. . El Ministerio Fiscal interesó de este Tribunal que declarase inconstitucional y nula la disposición transitoria segunda de la Ley del Parlamento de Canarias 6/1997, de 4 de julio, de coordinación de policías locales, por invasión de la competencia exclusiva del Estado para regular las bases del régimen estatutario de los funcionarios de las Administraciones Públicas, establecida en el art. 149.1.18 CE, en relación con los arts. 22.1 y 25 de la Ley 30/1984, de 2 de agosto, de medidas para la reforma de la función pública.</w:t>
      </w:r>
    </w:p>
    <w:p w:rsidR="00D06117" w:rsidRDefault="00D06117" w:rsidP="00D06117">
      <w:pPr>
        <w:pStyle w:val="TextoNormal"/>
      </w:pPr>
    </w:p>
    <w:p w:rsidR="00D06117" w:rsidRDefault="00D06117" w:rsidP="00D06117">
      <w:pPr>
        <w:pStyle w:val="TextoNormal"/>
      </w:pPr>
      <w:r>
        <w:t>En primer término descarta que la disposición legal cuestionada invada la competencia reservada al Estado en materia de obtención, expedición y homologación de títulos académicos y profesionales, pues la dispensa de titulación que la norma contiene agota sus efectos en el proceso de promoción profesional, pero carece de los efectos generales propios de la homologación.</w:t>
      </w:r>
    </w:p>
    <w:p w:rsidR="00D06117" w:rsidRDefault="00D06117" w:rsidP="00D06117">
      <w:pPr>
        <w:pStyle w:val="TextoNormal"/>
      </w:pPr>
    </w:p>
    <w:p w:rsidR="00D06117" w:rsidRDefault="00D06117" w:rsidP="00D06117">
      <w:pPr>
        <w:pStyle w:val="TextoNormal"/>
      </w:pPr>
      <w:r>
        <w:t xml:space="preserve">Por lo que se refiere a la adecuación de la norma cuestionada con el orden constitucional de competencias previsto en el art. 149.1.18 CE, parte el Fiscal del reconocimiento por este </w:t>
      </w:r>
      <w:r>
        <w:lastRenderedPageBreak/>
        <w:t>Tribunal en su STC 388/1993 del carácter básico de los arts. 22.1 y 25 de la Ley 30/1984, de 2 de agosto, y pone de relieve lo que considera la patente contradicción de la dispensa de titulación prevista en la norma transitoria canaria —no así en los arts. 16, 21, 23 y 24— con las exigencias de aquellos preceptos estatales de que la promoción interna del personal se haga respetando la titulación correspondiente a cada grupo profesional, lo que hace incurrir al precepto cuestionado en la inconstitucionalidad denunciada.</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del 13 de enero de 2012 se señaló para el mismo día la deliberación y votación de la presente Sentencia.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cuestión de inconstitucionalidad se suscita por el Juez de lo Contencioso-Administrativo núm. 2 de Las Palmas de Gran Canaria en relación con la disposición transitoria segunda de la Ley del Parlamento de Canarias 6/1997, de 4 de julio, de coordinación de policías locales, precepto de cuya aplicación depende el fallo del proceso contencioso-administrativo núm. 303/200, en el cual se impugnaban las bases para la provisión en propiedad de una plaza de oficial de la policía local del Ilustre Ayuntamiento de Santa Brígida (Las Palmas).</w:t>
      </w:r>
    </w:p>
    <w:p w:rsidR="00D06117" w:rsidRDefault="00D06117" w:rsidP="00D06117">
      <w:pPr>
        <w:pStyle w:val="TextoNormal"/>
      </w:pPr>
    </w:p>
    <w:p w:rsidR="00D06117" w:rsidRDefault="00D06117" w:rsidP="00D06117">
      <w:pPr>
        <w:pStyle w:val="TextoNormal"/>
      </w:pPr>
      <w:r>
        <w:t>El precepto legal que suscita la duda de constitucionalidad es del siguiente tenor literal:</w:t>
      </w:r>
    </w:p>
    <w:p w:rsidR="00D06117" w:rsidRDefault="00D06117" w:rsidP="00D06117">
      <w:pPr>
        <w:pStyle w:val="TextoNormal"/>
      </w:pPr>
    </w:p>
    <w:p w:rsidR="00D06117" w:rsidRDefault="00D06117" w:rsidP="00D06117">
      <w:pPr>
        <w:pStyle w:val="TextoNormal"/>
      </w:pPr>
      <w:r>
        <w:t>“Para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00D06117" w:rsidRDefault="00D06117" w:rsidP="00D06117">
      <w:pPr>
        <w:pStyle w:val="TextoNormal"/>
      </w:pPr>
    </w:p>
    <w:p w:rsidR="00D06117" w:rsidRDefault="00D06117" w:rsidP="00D06117">
      <w:pPr>
        <w:pStyle w:val="TextoNormal"/>
      </w:pPr>
      <w:r w:rsidRPr="00D06117">
        <w:rPr>
          <w:rStyle w:val="NumeroAFNegritaCaracter"/>
        </w:rPr>
        <w:t>2</w:t>
      </w:r>
      <w:r>
        <w:t>. Dos son las razones por las cuales el órgano judicial considera que la disposición transitoria cuestionada resulta contraria al orden constitucional de competencias.</w:t>
      </w:r>
    </w:p>
    <w:p w:rsidR="00D06117" w:rsidRDefault="00D06117" w:rsidP="00D06117">
      <w:pPr>
        <w:pStyle w:val="TextoNormal"/>
      </w:pPr>
    </w:p>
    <w:p w:rsidR="00D06117" w:rsidRDefault="00D06117" w:rsidP="00D06117">
      <w:pPr>
        <w:pStyle w:val="TextoNormal"/>
      </w:pPr>
      <w:r>
        <w:t>De una parte entiende que la dispensa de un grado de titulación que para la promoción interna de los funcionarios de policía local se contiene en el precepto legal indicado, es contraria a lo dispuesto por los arts. 22.1 y 25 de la Ley 30/1984, de 2 de agosto, de medidas para la reforma de la función pública, en los cuales se exige que los funcionarios que participen en procesos de promoción interna posean la titulación exigida para el grupo funcionarial superior. Dado que estos preceptos, a tenor de lo dispuesto por el art. 1.3 de la propia ley, se “consideran bases del régimen estatutario de los funcionarios públicos, dictadas al amparo del artículo 149.1.18 de la Constitución”, y que la oposición entre la norma cuestionada y estos preceptos es patente, el órgano judicial concluye que aquélla resulta contraria a la competencia exclusiva del Estado dispuesta en el art. 149.1.18 CE.</w:t>
      </w:r>
    </w:p>
    <w:p w:rsidR="00D06117" w:rsidRDefault="00D06117" w:rsidP="00D06117">
      <w:pPr>
        <w:pStyle w:val="TextoNormal"/>
      </w:pPr>
    </w:p>
    <w:p w:rsidR="00D06117" w:rsidRDefault="00D06117" w:rsidP="00D06117">
      <w:pPr>
        <w:pStyle w:val="TextoNormal"/>
      </w:pPr>
      <w:r>
        <w:t xml:space="preserve">En segundo término considera el órgano judicial que, de no apreciarse el anterior motivo de inconstitucionalidad, la norma cuestionada supone la equiparación entre la realización de cursos y la obtención de diplomas en la Academia Canaria de Seguridad con la titulación correspondiente al grado superior de que se trate, lo cual vulnera la competencia exclusiva </w:t>
      </w:r>
      <w:r>
        <w:lastRenderedPageBreak/>
        <w:t>estatal para la regulación de las condiciones de obtención, expedición y homologación de títulos académicos y profesionales establecida en el art. 149.1.30 CE.</w:t>
      </w:r>
    </w:p>
    <w:p w:rsidR="00D06117" w:rsidRDefault="00D06117" w:rsidP="00D06117">
      <w:pPr>
        <w:pStyle w:val="TextoNormal"/>
      </w:pPr>
    </w:p>
    <w:p w:rsidR="00D06117" w:rsidRDefault="00D06117" w:rsidP="00D06117">
      <w:pPr>
        <w:pStyle w:val="TextoNormal"/>
      </w:pPr>
      <w:r>
        <w:t>El Abogado del Estado considera que la norma cuestionada incide en los dos motivos de inconstitucionalidad propuestos por el órgano judicial, mientras que el Ministerio Fiscal tan sólo apoya la concurrencia del primero de ellos. Por su parte, ni el Parlamento de Canarias ni el Gobierno de la Comunidad Autónoma aceptan las tachas de inconstitucionalidad propuestas por el Juez de lo contencioso ante el que se tramita el proceso judicial a quo.</w:t>
      </w:r>
    </w:p>
    <w:p w:rsidR="00D06117" w:rsidRDefault="00D06117" w:rsidP="00D06117">
      <w:pPr>
        <w:pStyle w:val="TextoNormal"/>
      </w:pPr>
    </w:p>
    <w:p w:rsidR="00D06117" w:rsidRDefault="00D06117" w:rsidP="00D06117">
      <w:pPr>
        <w:pStyle w:val="TextoNormal"/>
      </w:pPr>
      <w:r w:rsidRPr="00D06117">
        <w:rPr>
          <w:rStyle w:val="NumeroAFNegritaCaracter"/>
        </w:rPr>
        <w:t>3</w:t>
      </w:r>
      <w:r>
        <w:t>. El núcleo de la controversia suscitada se contrae al encuadramiento competencial de la norma cuestionada, pues mientras que el órgano judicial (con la concurrencia del Abogado del Estado y del Ministerio Fiscal) parte de que se trata de una norma que incide en el régimen estatutario de los funcionarios públicos —los policías locales— para el que el Estado tiene competencia exclusiva en cuanto a su régimen jurídico básico, tanto el Parlamento como el Gobierno de la Comunidad Canaria sostienen que su encuadramiento material es el de la “seguridad ciudadana” que la Comunidad asumió en el art. 34.1 de su Estatuto de Autonomía “en los términos establecidos en el artículo 148, apartado 1, número 22, de la Constitución”.</w:t>
      </w:r>
    </w:p>
    <w:p w:rsidR="00D06117" w:rsidRDefault="00D06117" w:rsidP="00D06117">
      <w:pPr>
        <w:pStyle w:val="TextoNormal"/>
      </w:pPr>
    </w:p>
    <w:p w:rsidR="00D06117" w:rsidRDefault="00D06117" w:rsidP="00D06117">
      <w:pPr>
        <w:pStyle w:val="TextoNormal"/>
      </w:pPr>
      <w:r>
        <w:t>Pues bien, sobre el encuadramiento material de una norma semejante a la ahora cuestionada ya se ha pronunciado este Tribunal en la reciente STC 175/2011, de 8 de noviembre, cuya doctrina y conclusiones son de plena aplicación al presente supuesto. En ella, tras analizar las normas que configuran el régimen jurídico de los funcionarios de policía local —análisis contenido en el fundamento jurídico 4 al que nos remitimos ahora— concluíamos que de él se desprende que “la ‘titulación’ se erige en requisito esencial de la ‘promoción interna’ (ex art. 92 LBRL), elemento éste del ‘régimen estatutario de los funcionarios públicos’, lo cual conduce al título competencial del art. 149.1.18 CE”. Seguidamente, sirviéndonos de la doctrina sentada en las SSTC 99/1987, de 11 de junio, FJ 4, y 388/1993, de 23 de diciembre, FJ 2, llegábamos a la conclusión de que en este ámbito funcionarial “la regulación de las materias de ‘promoción interna’ y ‘titulación’, ostentan carácter básico (ex art. 1.3 de la Ley 30/1984, de 2 de agosto, de medidas para la reforma de la función pública), y se encuadra sin dificultad en el ‘régimen estatutario de los funcionarios públicos’ del art. 149.1.18 CE” (FJ 5).</w:t>
      </w:r>
    </w:p>
    <w:p w:rsidR="00D06117" w:rsidRDefault="00D06117" w:rsidP="00D06117">
      <w:pPr>
        <w:pStyle w:val="TextoNormal"/>
      </w:pPr>
    </w:p>
    <w:p w:rsidR="00D06117" w:rsidRDefault="00D06117" w:rsidP="00D06117">
      <w:pPr>
        <w:pStyle w:val="TextoNormal"/>
      </w:pPr>
      <w:r>
        <w:t>Del propio modo, en esta misma Sentencia descartábamos que pueda “estimarse encuadrable la materia de ‘titulación’, aunque se refiera a las policías locales, en el art. 149.1.29 CE de ‘seguridad pública’, porque sólo sería posible mediante una interpretación forzada del art. 39 c) LOFCS que atribuye a las Comunidades Autónomas ‘fijar los criterios de selección, formación, promoción y movilidad de las policías locales, determinando los niveles educativos exigibles para cada categoría, sin que en ningún caso el nivel pueda ser inferior a graduado escolar’, esto es que el nivel mínimo es el de graduado escolar y que a partir del mismo han de determinarse los niveles educativos de cada categoría dentro del cuerpo policial, pero sin que ello habilite a las Comunidades Autónomas para alterar el régimen de titulaciones del art. 25 de la Ley de medidas de reforma de la función pública en contra de la legislación básica de homogeneización de los principios del ‘mérito’ y la ‘capacidad’ para toda la función pública, y especialmente para la Administración local”.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La aplicación de la anterior doctrina al presente supuesto conduce derechamente a la declaración de inconstitucionalidad y nulidad de la disposición transitoria segunda de la Ley Canaria 6/1997, de 4 de julio, de coordinación de policías locales, por cuanto en ella se establece, aún con carácter transitorio, una dispensa de la titulación necesaria para participar en procesos de promoción interna que es contraria a la ordenación que con carácter básico ha establecido el Estado en el ejercicio de su competencia exclusiva, ex art. 149.1.18 CE, para la regulación de las bases del régimen estatutario de los funcionarios públicos. Por esta razón la disposición transitoria sometida a examen de constitucionalidad incurre en el exceso competencial puesto de manifiesto por el órgano judicial, toda vez que las partes intervinientes en este proceso constitucional no niegan que en tal norma se establece una dispensa de titulación que no se compadece con la norma estatal básica sino que afirman la competencia de la Comunidad Autónoma para establecer tal dispensa al amparo de su competencia en materia de seguridad pública que hemos descartado que pueda otorgar la cobertura constitucional pretendida.</w:t>
      </w:r>
    </w:p>
    <w:p w:rsidR="00D06117" w:rsidRDefault="00D06117" w:rsidP="00D06117">
      <w:pPr>
        <w:pStyle w:val="TextoNormal"/>
      </w:pPr>
    </w:p>
    <w:p w:rsidR="00D06117" w:rsidRDefault="00D06117" w:rsidP="00D06117">
      <w:pPr>
        <w:pStyle w:val="TextoNormal"/>
      </w:pPr>
      <w:r>
        <w:t>La conclusión alcanzada convierte en innecesario ya el análisis de toda argumentación que parta del encuadramiento constitucional en la “seguridad pública” de la concreta materia regulada en la disposición sometida a examen de constitucionalidad y que, a partir de la afirmación de la competencia autonómica, centre el análisis de constitucionalidad en la compatibilidad del precepto cuestionado con el art. 103.3 CE en razón de la excepcionalidad de la medida legislativa. Del propio modo, carece de sentido abordar la pretendida vulneración por ésta de la competencia exclusiva estatal para la regulación de las condiciones de obtención, expedición y homologación de títulos académicos y profesionales —art. 149.1.30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cuestión de inconstitucionalidad y, en consecuencia, declarar inconstitucional y nula la disposición transitoria segunda de la Ley Canaria 6/1997, de 4 de julio, de coordinación de policías locales.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Valencia, a trece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 w:name="SENTENCIA_2012_3"/>
      <w:r>
        <w:lastRenderedPageBreak/>
        <w:t>SENTENCIA 3/2012, de 13 de enero de 2012</w:t>
      </w:r>
    </w:p>
    <w:bookmarkEnd w:id="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ECLI:ES:TC:2012:3</w:t>
      </w:r>
    </w:p>
    <w:p w:rsidR="00D06117" w:rsidRDefault="00D06117" w:rsidP="00D06117">
      <w:pPr>
        <w:pStyle w:val="SntesisDescriptiva"/>
      </w:pPr>
    </w:p>
    <w:p w:rsidR="00D06117" w:rsidRDefault="00D06117" w:rsidP="00D06117">
      <w:pPr>
        <w:pStyle w:val="SntesisDescriptiva"/>
      </w:pPr>
      <w:r>
        <w:t>Cuestión de inconstitucionalidad 4346-2003. Planteada por el Juzgado de lo Contencioso-Administrativo núm. 7 de Sevilla en relación con la disposición transitoria cuarta de la Ley del Parlamento de Andalucía 13/2001, de 11 de diciembre, de coordinación de las policías locales.</w:t>
      </w:r>
    </w:p>
    <w:p w:rsidR="00D06117" w:rsidRDefault="00D06117" w:rsidP="00D06117">
      <w:pPr>
        <w:pStyle w:val="SntesisDescriptiva"/>
      </w:pPr>
    </w:p>
    <w:p w:rsidR="00D06117" w:rsidRDefault="00D06117" w:rsidP="00D06117">
      <w:pPr>
        <w:pStyle w:val="SntesisAnaltica"/>
      </w:pPr>
      <w:r>
        <w:t>Competencias sobre bases del régimen estatutario de la función pública y seguridad pública: nulidad del precepto legal autonómico que establece una dispensa de titulación para la promoción interna de los policías locales (STC 175/2011).</w:t>
      </w:r>
    </w:p>
    <w:p w:rsidR="00D06117" w:rsidRDefault="00D06117" w:rsidP="00D06117">
      <w:pPr>
        <w:pStyle w:val="SntesisAnaltica"/>
      </w:pPr>
    </w:p>
    <w:p w:rsidR="00D06117" w:rsidRDefault="00D06117" w:rsidP="00D06117">
      <w:pPr>
        <w:pStyle w:val="Extracto"/>
      </w:pPr>
      <w:r>
        <w:t>1.</w:t>
      </w:r>
      <w:r>
        <w:tab/>
        <w:t>Aplica la doctrina sobre promoción interna de funcionarios que presten sus servicios en los Cuerpos de Policía Local de la STC 175/2011 [FFJJ 4, 5].</w:t>
      </w:r>
    </w:p>
    <w:p w:rsidR="00D06117" w:rsidRDefault="00D06117" w:rsidP="00D06117">
      <w:pPr>
        <w:pStyle w:val="Extracto"/>
      </w:pPr>
    </w:p>
    <w:p w:rsidR="00D06117" w:rsidRDefault="00D06117" w:rsidP="00D06117">
      <w:pPr>
        <w:pStyle w:val="Extracto"/>
      </w:pPr>
      <w:r>
        <w:t>2.</w:t>
      </w:r>
      <w:r>
        <w:tab/>
        <w:t>En las normas que configuran el régimen jurídico de los funcionarios que presten sus servicios en los Cuerpos de Policía Local, la titulación se erige en requisito esencial de la promoción interna –</w:t>
      </w:r>
      <w:r w:rsidRPr="00D06117">
        <w:rPr>
          <w:i/>
        </w:rPr>
        <w:t>ex</w:t>
      </w:r>
      <w:r>
        <w:t xml:space="preserve"> art. 92 LBRL–, elemento éste del régimen estatutario de los funcionarios públicos, lo cual conduce a su encuadramiento material en el título competencial del art. 149.1.18 CE (STC 175/2011) [FJ 4].</w:t>
      </w:r>
    </w:p>
    <w:p w:rsidR="00D06117" w:rsidRDefault="00D06117" w:rsidP="00D06117">
      <w:pPr>
        <w:pStyle w:val="Extracto"/>
      </w:pPr>
    </w:p>
    <w:p w:rsidR="00D06117" w:rsidRDefault="00D06117" w:rsidP="00D06117">
      <w:pPr>
        <w:pStyle w:val="Extracto"/>
      </w:pPr>
      <w:r>
        <w:t>3.</w:t>
      </w:r>
      <w:r>
        <w:tab/>
        <w:t>En el ámbito funcionarial de la policía local, la regulación de las materias de ‘promoción interna’ y ‘titulación’, ostentan carácter básico –</w:t>
      </w:r>
      <w:r w:rsidRPr="00D06117">
        <w:rPr>
          <w:i/>
        </w:rPr>
        <w:t>ex</w:t>
      </w:r>
      <w:r>
        <w:t xml:space="preserve"> art. 1.3 LMFP–, y se encuadra sin dificultad en el ‘régimen estatutario de los funcionarios públicos’ del art. 149.1.18 CE (STC 175/2011) [FJ 4].</w:t>
      </w:r>
    </w:p>
    <w:p w:rsidR="00D06117" w:rsidRDefault="00D06117" w:rsidP="00D06117">
      <w:pPr>
        <w:pStyle w:val="Extracto"/>
      </w:pPr>
    </w:p>
    <w:p w:rsidR="00D06117" w:rsidRDefault="00D06117" w:rsidP="00D06117">
      <w:pPr>
        <w:pStyle w:val="Extracto"/>
      </w:pPr>
      <w:r>
        <w:t>4.</w:t>
      </w:r>
      <w:r>
        <w:tab/>
        <w:t>No puede estimarse encuadrable la materia de ‘titulación’, aunque se refiera a las policías locales, en el art. 149.1.29 CE de ‘seguridad pública’, porque el art. 39 c) LOFCS no habilita a las Comunidades Autónomas para alterar el régimen de titulaciones del art. 25 LMFP en contra de la legislación básica de homogeneización de los principios del ‘mérito’ y la ‘capacidad’ para toda la función pública (STC 175/2011) [FJ 4].</w:t>
      </w:r>
    </w:p>
    <w:p w:rsidR="00D06117" w:rsidRDefault="00D06117" w:rsidP="00D06117">
      <w:pPr>
        <w:pStyle w:val="Extracto"/>
      </w:pPr>
    </w:p>
    <w:p w:rsidR="00D06117" w:rsidRDefault="00D06117" w:rsidP="00D06117">
      <w:pPr>
        <w:pStyle w:val="Extracto"/>
      </w:pPr>
      <w:r>
        <w:t>5.</w:t>
      </w:r>
      <w:r>
        <w:tab/>
        <w:t xml:space="preserve">Procede declarar la inconstitucionalidad y nulidad de la disposición cuestionada, por cuanto en ella se establece, aún con carácter transitorio, una dispensa de la titulación necesaria para participar en procesos de promoción interna que es contraria a la ordenación que con carácter básico ha establecido el Estado en el ejercicio de su competencia exclusiva, </w:t>
      </w:r>
      <w:r w:rsidRPr="00D06117">
        <w:rPr>
          <w:i/>
        </w:rPr>
        <w:t>ex</w:t>
      </w:r>
      <w:r>
        <w:t xml:space="preserve"> art. 149.1.18 CE, para la regulación de las bases del régimen estatutario de los funcionarios públicos [FJ 5].</w:t>
      </w:r>
    </w:p>
    <w:p w:rsidR="00D06117" w:rsidRDefault="00D06117" w:rsidP="00D06117">
      <w:pPr>
        <w:pStyle w:val="Extracto"/>
      </w:pPr>
    </w:p>
    <w:p w:rsidR="00D06117" w:rsidRDefault="00D06117" w:rsidP="00D06117">
      <w:pPr>
        <w:pStyle w:val="Extracto"/>
      </w:pPr>
      <w:r>
        <w:t>6.</w:t>
      </w:r>
      <w:r>
        <w:tab/>
        <w:t xml:space="preserve">En las cuestiones de inconstitucionalidad el control de los preceptos que pudieren haber incurrido en un exceso competencial no ha de efectuarse con arreglo a las normas del bloque constitucional vigentes en el momento de dictarse la Sentencia, </w:t>
      </w:r>
      <w:r>
        <w:lastRenderedPageBreak/>
        <w:t xml:space="preserve">sino de acuerdo con las normas vigentes en el momento en que fue planteada la cuestión en el proceso </w:t>
      </w:r>
      <w:r w:rsidRPr="00D06117">
        <w:rPr>
          <w:i/>
        </w:rPr>
        <w:t>a quo</w:t>
      </w:r>
      <w:r>
        <w:t xml:space="preserve"> (STC 175/2011) [FJ 4].</w:t>
      </w:r>
    </w:p>
    <w:p w:rsidR="00D06117" w:rsidRDefault="00D06117" w:rsidP="00D06117">
      <w:pPr>
        <w:pStyle w:val="Extracto"/>
      </w:pPr>
    </w:p>
    <w:p w:rsidR="00D06117" w:rsidRDefault="00D06117" w:rsidP="00D06117">
      <w:pPr>
        <w:pStyle w:val="Extracto"/>
      </w:pPr>
      <w:r>
        <w:t>7.</w:t>
      </w:r>
      <w:r>
        <w:tab/>
        <w:t xml:space="preserve">Ha de entenderse adecuadamente formulado el juicio de relevancia dado que existe una relación lógica entre la eventual anulación de la disposición legal cuestionada y la satisfacción de la pretensión ejercitada en el proceso </w:t>
      </w:r>
      <w:r w:rsidRPr="00D06117">
        <w:rPr>
          <w:i/>
        </w:rPr>
        <w:t>a quo</w:t>
      </w:r>
      <w:r>
        <w:t>, por cuanto la resolución de aquel proceso judicial depende, en último término, de la validez de la norma cuestionada (SSTC 27/1991, 12/1999)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4346-2003, promovida por el Juzgado de lo Contencioso-Administrativo núm. 7 de Sevilla en relación con la disposición transitoria cuarta de la Ley del Parlamento de Andalucía 13/2001, de 11 de diciembre, de coordinación de las policías locales. Han intervenido y formulado alegaciones el Abogado del Estado, el Consejo de Gobierno de la Junta de Andalucía y el Parlamento de Andalucía, así como el Fiscal General del Estado. Ha sido Ponente el Magistrado don Luis Ignacio Ortega Álvarez,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 de julio de 2003 tuvo entrada en el Registro General de este Tribunal escrito del Juzgado de lo Contencioso-Administrativo núm. 7 de Sevilla, al que se acompaña, junto con el testimonio del procedimiento abreviado núm. 155-2003 que se tramita ante dicho Juzgado, el Auto de 24 de junio de 2003, por el que se acuerda plantear cuestión de inconstitucionalidad respecto de la disposición transitoria cuarta de la Ley del Parlamento de Andalucía 13/2001, de 11 de diciembre, de coordinación de las policías locales por su posible contradicción con los arts. 149.1.18 y 149.1.30 CE.</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de los que trae causa la cuestión de inconstitucionalidad planteada son, sucintamente expuestos, los siguientes:</w:t>
      </w:r>
    </w:p>
    <w:p w:rsidR="00D06117" w:rsidRDefault="00D06117" w:rsidP="00D06117">
      <w:pPr>
        <w:pStyle w:val="TextoNormal"/>
      </w:pPr>
    </w:p>
    <w:p w:rsidR="00D06117" w:rsidRDefault="00D06117" w:rsidP="00D06117">
      <w:pPr>
        <w:pStyle w:val="TextoNormal"/>
      </w:pPr>
      <w:r>
        <w:t xml:space="preserve">a) Ante el Juzgado de lo Contencioso-Administrativo núm. 7 de Sevilla se sigue el procedimiento abreviado núm. 155-2003, interpuesto por don R.J.M.P. contra la desestimación </w:t>
      </w:r>
      <w:r>
        <w:lastRenderedPageBreak/>
        <w:t>por silencio del recurso de alzada formulado contra la resolución de 31 de octubre de 2002 de la Dirección General de Política Interior de la Consejería de Gobernación de la Junta de Andalucía, por la que se publica el plan anual de formación de la Escuela de Seguridad Pública de Andalucía para el curso académico 2003, que el demandante impugna en el extremo referido al curso sobre dispensa de un grado de titulación académica, regulado en el apartado 1.1.13 de dicha resolución en aplicación de la disposición transitoria cuarta de la citada Ley del Parlamento de Andalucía 13/2001. En su demanda el actor solicitaba del órgano judicial que plantease cuestión de inconstitucionalidad respecto de la referida disposición.</w:t>
      </w:r>
    </w:p>
    <w:p w:rsidR="00D06117" w:rsidRDefault="00D06117" w:rsidP="00D06117">
      <w:pPr>
        <w:pStyle w:val="TextoNormal"/>
      </w:pPr>
    </w:p>
    <w:p w:rsidR="00D06117" w:rsidRDefault="00D06117" w:rsidP="00D06117">
      <w:pPr>
        <w:pStyle w:val="TextoNormal"/>
      </w:pPr>
      <w:r>
        <w:t>b) Concluido el procedimiento, el Juzgado, mediante providencia de 29 de mayo de 2003, acordó de conformidad con el art. 35.2 de la Ley Orgánica del Tribunal Constitucional (LOTC), oír al Ministerio Fiscal y al demandante por plazo común de diez días para que formulasen alegaciones sobre la pertinencia de plantear cuestión de inconstitucionalidad respecto de la disposición transitoria cuarta de la Ley del Parlamento de Andalucía 13/2001, de 11 de diciembre, de coordinación de las policías locales, por su posible contradicción con los apartados 18 y 30 del art. 149.1 CE. De forma detallada, la providencia, que cita las SSTC 82/1993, de 8 de marzo y 302/1993, de 21 de octubre, se refiere a que la resolución impugnada trae causa de la referida disposición legal, que transcribe en sus términos literales, razonando a continuación que la dispensa de un grado de titulación que la misma establece puede ser inconstitucional por vulnerar la competencia exclusiva que el art. 149.1.18 CE reconoce al Estado para dictar las normas básicas del Estado en materia de función pública, en concreto los arts. 22.1 y 25 de la Ley 30/1984, de 2 agosto, de medidas para la reforma de la función pública, que establecen la titulación exigida para el ingreso en los cuerpos o escalas de funcionarios, y asimismo por vulnerar el art. 149.1.30 CE, que establece como competencia exclusiva del Estado regular las condiciones de obtención, expedición y homologación de títulos académicos o profesionales.</w:t>
      </w:r>
    </w:p>
    <w:p w:rsidR="00D06117" w:rsidRDefault="00D06117" w:rsidP="00D06117">
      <w:pPr>
        <w:pStyle w:val="TextoNormal"/>
      </w:pPr>
    </w:p>
    <w:p w:rsidR="00D06117" w:rsidRDefault="00D06117" w:rsidP="00D06117">
      <w:pPr>
        <w:pStyle w:val="TextoNormal"/>
      </w:pPr>
      <w:r>
        <w:t>c) El Ministerio Fiscal presentó su escrito de alegaciones con fecha 17 de junio de 2003, señalando que no se oponía a la formulación de la cuestión de inconstitucionalidad, por cuanto, en principio, la disposición transitoria cuarta de la Ley del Parlamento de Andalucía 13/2001, entra en contradicción con dos normas básicas estatales, los arts. 22.1 y 25 de la Ley 30/1984. El Letrado de la Junta de Andalucía, mediante escrito presentado el 18 de junio de 2003, se opuso al planteamiento de la cuestión de inconstitucionalidad mientras que el demandante no presentó escrito de alegaciones.</w:t>
      </w:r>
    </w:p>
    <w:p w:rsidR="00D06117" w:rsidRDefault="00D06117" w:rsidP="00D06117">
      <w:pPr>
        <w:pStyle w:val="TextoNormal"/>
      </w:pPr>
    </w:p>
    <w:p w:rsidR="00D06117" w:rsidRDefault="00D06117" w:rsidP="00D06117">
      <w:pPr>
        <w:pStyle w:val="TextoNormal"/>
      </w:pPr>
      <w:r>
        <w:t>d) El Juzgado de lo Contencioso-Administrativo núm. 7 de Sevilla dictó Auto el 24 de junio de 2003, en cuya parte dispositiva se acuerda textualmente: “plantear ante el Tribunal Constitucional la inconstitucionalidad de la disposición transitoria cuarta de la Ley 13/2001, de 11 de diciembre, de coordinación de las policías locales, por violación de los apartados 18 y 30 del art. 149.1 de la Constitución Española”.</w:t>
      </w:r>
    </w:p>
    <w:p w:rsidR="00D06117" w:rsidRDefault="00D06117" w:rsidP="00D06117">
      <w:pPr>
        <w:pStyle w:val="TextoNormal"/>
      </w:pPr>
    </w:p>
    <w:p w:rsidR="00D06117" w:rsidRDefault="00D06117" w:rsidP="00D06117">
      <w:pPr>
        <w:pStyle w:val="TextoNormal"/>
      </w:pPr>
      <w:r w:rsidRPr="00D06117">
        <w:rPr>
          <w:rStyle w:val="NumeroAFNegritaCaracter"/>
        </w:rPr>
        <w:t>3</w:t>
      </w:r>
      <w:r>
        <w:t>. El Auto de 24 de junio de 2003 del Juzgado de lo Contencioso-Administrativo núm. 7 de Sevilla fundamenta el planteamiento de la cuestión de inconstitucionalidad en las consideraciones que seguidamente se resumen.</w:t>
      </w:r>
    </w:p>
    <w:p w:rsidR="00D06117" w:rsidRDefault="00D06117" w:rsidP="00D06117">
      <w:pPr>
        <w:pStyle w:val="TextoNormal"/>
      </w:pPr>
    </w:p>
    <w:p w:rsidR="00D06117" w:rsidRDefault="00D06117" w:rsidP="00D06117">
      <w:pPr>
        <w:pStyle w:val="TextoNormal"/>
      </w:pPr>
      <w:r>
        <w:lastRenderedPageBreak/>
        <w:t>a) Comienza por referirse al denominado juicio de relevancia, en cuanto requisito de procedibilidad de la cuestión de inconstitucionalidad, señalando al respecto que la resolución que ha sido impugnada en el proceso, en el concreto apartado 1.1.13, que establece el curso de dispensa de grado, tiene apoyo directo en la disposición transitoria cuarta de la Ley del Parlamento de Andalucía 13/2001, de 11 de diciembre, de coordinación de las policías locales. El juicio de constitucionalidad sobre la disposición legal cuestionada es indispensable, por tanto, para dictar sentencia sobre el fondo del asunto, ya que no cabe decidir sobre la legalidad del curso en cuestión sin resolver previamente la constitucionalidad de la norma de apoyo.</w:t>
      </w:r>
    </w:p>
    <w:p w:rsidR="00D06117" w:rsidRDefault="00D06117" w:rsidP="00D06117">
      <w:pPr>
        <w:pStyle w:val="TextoNormal"/>
      </w:pPr>
    </w:p>
    <w:p w:rsidR="00D06117" w:rsidRDefault="00D06117" w:rsidP="00D06117">
      <w:pPr>
        <w:pStyle w:val="TextoNormal"/>
      </w:pPr>
      <w:r>
        <w:t>b) En cuanto a la duda de constitucionalidad que le suscita la disposición transitoria cuarta de la Ley del Parlamento de Andalucía 13/2001, de 11 de diciembre, de coordinación de las policías locales, el Juzgado proponente considera, en primer lugar, que aquella disposición vulnera el art. 149.1.18 CE. Los arts. 22.1 y 25 de la Ley 30/1984, de 2 de agosto, de medidas para la reforma de la función pública (en la redacción dada a estos preceptos por la Ley 23/1988, de 28 de julio), normas básicas dictadas al amparo del art. 149.1.18 CE, según establece el art. 1.3 de la propia Ley 30/1984, exigen para la promoción interna consistente en el ascenso de un cuerpo o escala de un grupo de titulación a otro inmediato superior, entre otros requisitos, estar en posesión de la titulación exigida para el ingreso en el grupo superior y que en este caso, para ser intendente (grupo A) sería el título de doctor, licenciado, ingeniero, arquitecto o equivalente, mientras que la norma impugnada permite que, mediante la realización del curso de dispensa de grado, pueda ascender a intendente quien ostente el título de diplomado universitario (grupo B). De esta forma el precepto cuestionado de la ley andaluza sería inconstitucional por oponerse a sendos preceptos básicos dictados al amparo del art. 149.1.18 CE, como resulta de la doctrina sentada por el Tribunal Constitucional en STC 388/1993, de 23 de diciembre, en la que se declaró la inconstitucionalidad y nulidad de un precepto de la Ley de la Asamblea Regional de Cantabria 4/1993, de 10 de marzo, de la función pública de dicha Comunidad, que permitía crear cuerpos o escalas a extinguir para integrar en ellos como funcionarios a personal hasta entonces laboral sin poseer la titulación académica exigible para cada nivel.</w:t>
      </w:r>
    </w:p>
    <w:p w:rsidR="00D06117" w:rsidRDefault="00D06117" w:rsidP="00D06117">
      <w:pPr>
        <w:pStyle w:val="TextoNormal"/>
      </w:pPr>
    </w:p>
    <w:p w:rsidR="00D06117" w:rsidRDefault="00D06117" w:rsidP="00D06117">
      <w:pPr>
        <w:pStyle w:val="TextoNormal"/>
      </w:pPr>
      <w:r>
        <w:t>Y si se entendiera —continúa argumentando el Juzgado— que el precepto de la ley andaluza cuestionado no exime de la titulación exigida por la ley estatal básica, sino que declara la equivalencia de aquellas titulaciones con la realización del curso sobre dispensa de grado en la Escuela de Seguridad Pública de Andalucía previsto en la resolución impugnada por el demandante, dicho precepto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STC 82/1993, de 8 de marzo, que declaró la inconstitucionalidad y nulidad de un precepto similar al cuestionado, de la Ley de las Cortes Valencianas 2/1990, de coordinación de policías locales (FJ 5).</w:t>
      </w:r>
    </w:p>
    <w:p w:rsidR="00D06117" w:rsidRDefault="00D06117" w:rsidP="00D06117">
      <w:pPr>
        <w:pStyle w:val="TextoNormal"/>
      </w:pPr>
    </w:p>
    <w:p w:rsidR="00D06117" w:rsidRDefault="00D06117" w:rsidP="00D06117">
      <w:pPr>
        <w:pStyle w:val="TextoNormal"/>
      </w:pPr>
      <w:r>
        <w:t xml:space="preserve">c) En fin, resalta el Juzgado que el Tribunal Constitucional por providencia de 27 de abril de 1999 admitió a trámite la cuestión de inconstitucionalidad núm. 1323-1999, planteada sobre la disposición transitoria segunda de la Ley de la Asamblea Regional de Cantabria 7/1994, de 19 de mayo, de coordinación de policías locales, y asimismo mediante providencia de 26 de febrero de 2002 admitió a trámite la cuestión de inconstitucionalidad núm. 30-2002, a propósito de la disposición transitoria segunda de la Ley del Parlamento de Canarias </w:t>
      </w:r>
      <w:r>
        <w:lastRenderedPageBreak/>
        <w:t>6/1997, de 4 de julio, de coordinación de policías locales, ambas con un contenido esencialmente idéntico al ahora cuestionado.</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16 de septiembre de 2003 la Sección Segunda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Consejo de Gobierno de la Junta de Andalucía y al Parlamento de Andalucía,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de la Junta de Andalucía.</w:t>
      </w:r>
    </w:p>
    <w:p w:rsidR="00D06117" w:rsidRDefault="00D06117" w:rsidP="00D06117">
      <w:pPr>
        <w:pStyle w:val="TextoNormal"/>
      </w:pPr>
    </w:p>
    <w:p w:rsidR="00D06117" w:rsidRDefault="00D06117" w:rsidP="00D06117">
      <w:pPr>
        <w:pStyle w:val="TextoNormal"/>
      </w:pPr>
      <w:r w:rsidRPr="00D06117">
        <w:rPr>
          <w:rStyle w:val="NumeroAFNegritaCaracter"/>
        </w:rPr>
        <w:t>5</w:t>
      </w:r>
      <w:r>
        <w:t>. El día 2 de octubre de 2003 se recibió escrito de la Presidenta del Congreso de los Diputados comunicando el acuerdo adoptado por la Mesa de la Cámara en el que se decide que el Congreso de los Diputados no se personará en la presente cuestión de inconstitucionalidad ni formulará alegaciones. En la misma fecha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formuló alegaciones mediante escrito registrado en este Tribunal el día 2 de octubre de 2003 solicitando la estimación de la cuestión plantada y la declaración de inconstitucionalidad y nulidad de la disposición transitoria cuestionada.</w:t>
      </w:r>
    </w:p>
    <w:p w:rsidR="00D06117" w:rsidRDefault="00D06117" w:rsidP="00D06117">
      <w:pPr>
        <w:pStyle w:val="TextoNormal"/>
      </w:pPr>
    </w:p>
    <w:p w:rsidR="00D06117" w:rsidRDefault="00D06117" w:rsidP="00D06117">
      <w:pPr>
        <w:pStyle w:val="TextoNormal"/>
      </w:pPr>
      <w:r>
        <w:t>Tras aludir a las concretas circunstancias del caso estimando cumplido el requisito de la relevancia, señala que la cuestión de fondo atañe a si la Comunidad Autónoma de Andalucía puede dictar esa norma habilitante de una dispensa de grado para la promoción interna de funcionarios de la policía local, al amparo de una competencia de coordinación. Según el Auto existe poco margen de duda, en cuanto el precepto cuestionado contraviene claramente los artículos 22.1 y 25 de la Ley 30/1984 de 2 de agosto, de medidas para la reforma de la función pública. Según estos preceptos el acceso a la función pública requiere hallarse en posesión de las titulaciones en cada caso exigidas, incluso en el caso de promoción interna. Esta ley tiene la condición de básica y se dicta al amparo de la competencia prevista en el art. 149.1.18 CE, por lo que la ley andaluza al introducir tal dispensa vulnera abiertamente esa ley estatal y con ella las competencias constitucionales que corresponden al Estado sin que la competencia ejercitada pueda ampararse en lo previsto en el art. 39.3 de la Ley Orgánica de 13 de marzo de 1986, ya que dicha competencia de las Comunidades Autónomas en materia de policías municipales se contrae a la mera fijación de criterios y determinación de niveles educativos. Sin embargo, lo que rebasa absolutamente el marco de esta competencia es la dispensa ocasional o temporal de las titulaciones exigidas sin que tampoco la circunstancia de la temporalidad de la ley reguladora de esta dispensa justifique la competencia ejercitada por la norma cuestionada.</w:t>
      </w:r>
    </w:p>
    <w:p w:rsidR="00D06117" w:rsidRDefault="00D06117" w:rsidP="00D06117">
      <w:pPr>
        <w:pStyle w:val="TextoNormal"/>
      </w:pPr>
      <w:r>
        <w:tab/>
      </w:r>
    </w:p>
    <w:p w:rsidR="00D06117" w:rsidRDefault="00D06117" w:rsidP="00D06117">
      <w:pPr>
        <w:pStyle w:val="TextoNormal"/>
      </w:pPr>
      <w:r>
        <w:t xml:space="preserve">En cuanto a la lesión del art. 149.1.30 CE estima que la dispensa de un requisito ordinariamente condicionante de una consecuencia jurídica, implica una forma de equiparación o </w:t>
      </w:r>
      <w:r>
        <w:lastRenderedPageBreak/>
        <w:t>igualación entre las situaciones en las que se cumple el requisito y aquella en que se produce la dispensa. La dispensa de un grado para alcanzar una situación funcionarial que ordinariamente requiere la obtención de un título, equivaldría, según el Abogado del Estado, a dar regulación indirecta al propio título, al configurar una titulación equiparada al mismo, razón por la que entiende procedente la estimación de la cuestión planteada.</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interesó de este Tribunal que declarase inconstitucional y nula la disposición transitoria cuarta de la Ley del Parlamento de Andalucía 13/2001, de 11 de diciembre, de coordinación de las policías locales, por invasión de la competencia exclusiva del Estado para regular las bases del régimen estatutario de los funcionarios de las Administraciones públicas, establecida en el art. 149.1.18 CE, en relación con los arts. 22.1 y 25 de la Ley 30/1984, de 2 de agosto, de medidas para la reforma de la función pública.</w:t>
      </w:r>
    </w:p>
    <w:p w:rsidR="00D06117" w:rsidRDefault="00D06117" w:rsidP="00D06117">
      <w:pPr>
        <w:pStyle w:val="TextoNormal"/>
      </w:pPr>
    </w:p>
    <w:p w:rsidR="00D06117" w:rsidRDefault="00D06117" w:rsidP="00D06117">
      <w:pPr>
        <w:pStyle w:val="TextoNormal"/>
      </w:pPr>
      <w:r>
        <w:t>Tras señalar el paralelismo de la presente cuestión con la tramitada con el núm. 30-2002 descarta, en primer término, que la disposición legal cuestionada invada la competencia reservada al Estado en materia de obtención, expedición y homologación de títulos académicos y profesionales, pues la dispensa de titulación que la norma contiene agota sus efectos en el proceso de promoción profesional, pero carece de los efectos generales propios de la homologación.</w:t>
      </w:r>
    </w:p>
    <w:p w:rsidR="00D06117" w:rsidRDefault="00D06117" w:rsidP="00D06117">
      <w:pPr>
        <w:pStyle w:val="TextoNormal"/>
      </w:pPr>
    </w:p>
    <w:p w:rsidR="00D06117" w:rsidRDefault="00D06117" w:rsidP="00D06117">
      <w:pPr>
        <w:pStyle w:val="TextoNormal"/>
      </w:pPr>
      <w:r>
        <w:t>Por lo que se refiere a la adecuación de la norma cuestionada con el orden constitucional de competencias previsto en el art. 149.1.18 CE, parte el Fiscal del reconocimiento por este Tribunal en su STC 388/1993 del carácter básico de los arts. 22.1 y 25 de la Ley 30/1984, de 2 de agosto, y pone de relieve lo que considera la patente contradicción de la dispensa de titulación prevista en la norma transitoria andaluza —no así en los arts. 19, 38 y 44— con las exigencias de aquellos preceptos estatales de que la promoción interna del personal se haga respetando la titulación correspondiente a cada grupo profesional, lo que hace incurrir al precepto cuestionado en la inconstitucionalidad denunciada.</w:t>
      </w:r>
    </w:p>
    <w:p w:rsidR="00D06117" w:rsidRDefault="00D06117" w:rsidP="00D06117">
      <w:pPr>
        <w:pStyle w:val="TextoNormal"/>
      </w:pPr>
    </w:p>
    <w:p w:rsidR="00D06117" w:rsidRDefault="00D06117" w:rsidP="00D06117">
      <w:pPr>
        <w:pStyle w:val="TextoNormal"/>
      </w:pPr>
      <w:r w:rsidRPr="00D06117">
        <w:rPr>
          <w:rStyle w:val="NumeroAFNegritaCaracter"/>
        </w:rPr>
        <w:t>8</w:t>
      </w:r>
      <w:r>
        <w:t>. . El Presidente del Parlamento de Andalucía formuló alegaciones el 13 de octubre de 2003.</w:t>
      </w:r>
    </w:p>
    <w:p w:rsidR="00D06117" w:rsidRDefault="00D06117" w:rsidP="00D06117">
      <w:pPr>
        <w:pStyle w:val="TextoNormal"/>
      </w:pPr>
    </w:p>
    <w:p w:rsidR="00D06117" w:rsidRDefault="00D06117" w:rsidP="00D06117">
      <w:pPr>
        <w:pStyle w:val="TextoNormal"/>
      </w:pPr>
      <w:r>
        <w:t xml:space="preserve">Aduce en primer término que el Auto de planteamiento de la cuestión de inconstitucionalidad adolece del adecuado planteamiento del juicio relevancia en cuanto no se justifica en qué medida la decisión del proceso de que conoce depende de la validez de la norma de la ley de cuya constitucionalidad duda. Así indica que la cuestión de inconstitucionalidad trae causa de un recurso contencioso-administrativo interpuesto contra el apartado 1.1.13 del anexo 1 de la resolución de 31 de octubre de 2002, de la Dirección General de Política Interior de la Consejería de Gobernación, por la que se publica el plan anual de formación de la Escuela de Seguridad Pública de Andalucía, para el curso académico 2003, apartado que contempla, dentro del plan de formación de la Escuela de Seguridad Pública de Andalucía, el curso de dispensa de grado con el objetivo de facilitar la promoción interna de los funcionarios policiales de los grupos C y B, pero limitándose a fijar los requisitos necesarios para acceder al mismo, las fases en las que éste se va a desarrollar, los cursos programados y las fechas previstas para su realización. Por tanto, la resolución de 31 de octubre de 2002 no reproduce ni total, ni parcialmente, la disposición transitoria cuya inconstitucionalidad se denuncia. Por otra parte los problemas de constitucionalidad que se plantean son absolutamente irrelevantes para la decisión del proceso a quo, por cuanto que aquella resolución </w:t>
      </w:r>
      <w:r>
        <w:lastRenderedPageBreak/>
        <w:t>sólo se limita a convocar el curso de formación para la dispensa de grado, pero sin producir el efecto de integrar a los funcionarios que participen en ellos en categorías profesionales con una titulación superior, ni declarar la equivalencia de estos cursos con concretos títulos académicos. Este efecto sólo sería imputable, en su caso, a las resoluciones o actos posteriores, a través de los cuales se lleve a cabo la promoción interna de los funcionarios, pero no a la convocatoria de un curso de formación por parte de la Comunidad Autónoma. Por ello concluye el Presidente del Parlamento de Andalucía que el mero hecho de que aquella resolución tenga como “norma de apoyo” la disposición transitoria ahora impugnada, no es, pues, razón suficiente para justificar la relevancia del problema constitucional que se plantea, a efectos de la decisión del proceso.</w:t>
      </w:r>
    </w:p>
    <w:p w:rsidR="00D06117" w:rsidRDefault="00D06117" w:rsidP="00D06117">
      <w:pPr>
        <w:pStyle w:val="TextoNormal"/>
      </w:pPr>
    </w:p>
    <w:p w:rsidR="00D06117" w:rsidRDefault="00D06117" w:rsidP="00D06117">
      <w:pPr>
        <w:pStyle w:val="TextoNormal"/>
      </w:pPr>
      <w:r>
        <w:t>Entrando en el fondo del asunto examina, en primer lugar, si en el presente caso se ha producido la invasión de la competencia reconocida al Estado por el artículo 149.1.18 CE. A este respecto reconoce que a través de esta disposición transitoria se permite la dispensa en un grado del requisito de titulación en la promoción interna de los miembros de los cuerpos de policía local incluidos en su ámbito de aplicación, que superen el correspondiente curso de dispensa en la Escuela de Seguridad Pública de Andalucía. Discrepa en cambio respecto al alcance que se da al contenido de los artículos 22.1 y 25 de la Ley 30/1984, de 2 de agosto, de medidas para la reforma de la función pública, en relación con el régimen estatutario de los miembros de los cuerpos de policía local, ya que estima que se están desconociendo, además de las particularidades del régimen estatutario de los funcionarios de estos cuerpos, las competencias específicas asumidas en esta materia por la Comunidad Autónoma de Andalucía, en virtud de lo dispuesto en el artículo 14.2 del su Estatuto de Autonomía. Conforme a este precepto compete a la Comunidad Autónoma la coordinación de las policías locales andaluzas, sin perjuicio de la dependencia de las autoridades municipales. En tal sentido plantea que los artículos 22.1 y 25 de la Ley 30/1984, de 2 de agosto, de medidas para la reforma de la función pública, no serían aplicables al régimen estatutario de los funcionarios de los cuerpos de policía local por cuanto, conforme a lo dispuesto en el artículo 2, apartado c) de la Ley Orgánica 2/1986, de 13 de marzo, de fuerzas y cuerpos de seguridad, los cuerpos de policía dependientes de las corporaciones locales, son fuerzas y cuerpos de seguridad de manera que su régimen estatutario entronca directamente con el artículo 104 de la Constitución, que los somete a un régimen estatutario específico, establecido en la propia Ley Orgánica 2/1986, y no en la Ley 30/1984, de 2 de agosto, de medidas para la reforma de la función pública. El mero hecho de que el artículo 104.2 CE haya tomado en consideración las peculiaridades y especificidades de los cuerpos de seguridad para remitir la determinación de su estatuto a una Ley Orgánica, priva a los preceptos citados en el artículo 1.3 de la Ley 30/1984 de la condición de bases del régimen estatutario de estos cuerpos pues es la Ley Orgánica 2/1986, de 13 de marzo, de fuerzas y cuerpos de seguridad, la que contiene los principios estatutarios comunes para todas los cuerpos de seguridad del Estado, sometiéndolos a un régimen unitario distinto del establecido para el común de los funcionarios públicos en la Ley 30/1984, de 2 de agosto, por razón de la función específica que tienen encomendada relativa al mantenimiento de la seguridad pública, especificidad de su régimen que se confirma con el examen tanto de la exposición de motivos como del contenido sustantivo de la norma.</w:t>
      </w:r>
    </w:p>
    <w:p w:rsidR="00D06117" w:rsidRDefault="00D06117" w:rsidP="00D06117">
      <w:pPr>
        <w:pStyle w:val="TextoNormal"/>
      </w:pPr>
    </w:p>
    <w:p w:rsidR="00D06117" w:rsidRDefault="00D06117" w:rsidP="00D06117">
      <w:pPr>
        <w:pStyle w:val="TextoNormal"/>
      </w:pPr>
      <w:r>
        <w:t>Asimismo la consideración como derecho supletorio de las normas contenidas en la Ley 30/1984 pondría también de manifiesto, a juicio del Presidente del Parlamento de Andalu</w:t>
      </w:r>
      <w:r>
        <w:lastRenderedPageBreak/>
        <w:t>cía, la imposibilidad de atribuir a sus disposiciones la condición de legislación básica aplicable a los cuerpos de seguridad. Ello sería contrario a la propia noción o definición que de las normas básicas se deriva de la Constitución, pues éstas, en cuanto mínimo común normativo aplicable a todas las Administraciones públicas y en cuyo marco estas pueden actuar y desarrollar su poder normativo, son incompatibles con una posible consideración como Derecho supletorio.</w:t>
      </w:r>
    </w:p>
    <w:p w:rsidR="00D06117" w:rsidRDefault="00D06117" w:rsidP="00D06117">
      <w:pPr>
        <w:pStyle w:val="TextoNormal"/>
      </w:pPr>
    </w:p>
    <w:p w:rsidR="00D06117" w:rsidRDefault="00D06117" w:rsidP="00D06117">
      <w:pPr>
        <w:pStyle w:val="TextoNormal"/>
      </w:pPr>
      <w:r>
        <w:t>La conclusión que extrae el Presidente del Parlamento de Andalucía, de lo expuesto es que los artículos 22.1 y 25 de la Ley 30/1984, de 2 de agosto, que se utilizan como canon para medir la constitucionalidad de la disposición transitoria impugnada, no son aplicables a los miembros de los cuerpos de policía local de Andalucía, y que como consecuencia tampoco se ha podido producir la lesión competencial denunciada por el órgano a quo.</w:t>
      </w:r>
    </w:p>
    <w:p w:rsidR="00D06117" w:rsidRDefault="00D06117" w:rsidP="00D06117">
      <w:pPr>
        <w:pStyle w:val="TextoNormal"/>
      </w:pPr>
    </w:p>
    <w:p w:rsidR="00D06117" w:rsidRDefault="00D06117" w:rsidP="00D06117">
      <w:pPr>
        <w:pStyle w:val="TextoNormal"/>
      </w:pPr>
      <w:r>
        <w:t>Finalmente el escrito de la Cámara autonómica destaca que tanto la disposición transitoria impugnada, como la Ley 13/2001 en la que la misma se inserta, se encuentran plenamente amparadas por las competencias asumidas por la Comunidad Autónoma de Andalucía en virtud de lo dispuesto en el artículo 14.2 del Estatuto de Autonomía para Andalucía que le atribuye la competencia para la coordinación de las policías locales andaluzas, sin perjuicio de su dependencia de las autoridades municipales. Como contenido propio de esta competencia de coordinación de las policías locales de Andalucía, el artículo 39 de la Ley Orgánica 2/1986 le atribuye, entre otras, las funciones de “fijar los criterios de selección, formación, promoción y movilidad de los Policías Locales, determinando los distintos niveles educativos exigibles para cada categoría, sin que en ningún caso el nivel pueda ser inferior a graduado escolar” y de “coordinar la formación profesional de las Policías Locales, mediante la creación de las Escuelas de Formación de Mandos y de Formación Básica” (apartados c y d). Según establece este mismo precepto estas competencias se ejercen “de conformidad con la presente Ley y con las bases de régimen local”. Y si ello se pone en relación con la disposición final tercera de la Ley 7/1985, de 2 de abril, reguladora de las bases del régimen local, en la cual se establece que “[e]l personal de las policías municipales gozará de un estatuto especifico, aprobado reglamentariamente, teniendo en cuenta lo dispuesto en la Ley de Fuerzas y Cuerpos de Seguridad del Estado”, se comprueba que desde la perspectiva de las competencias de los artículos 149.1.18 y 149.1.29 CE, el único condicionamiento que se impone a la Comunidad Autónoma para el ejercicio de estas funciones, es el respeto a los principios estatutarios comunes establecidos en el título l de esta ley orgánica, y a los principios o normas específicos contenidos en la misma en relación con la policía local; así por ejemplo la prohibición de establecer niveles educativos inferiores al graduado escolar para acceder a estos cuerpos, o el necesario respeto al principio de autonomía local, que se menciona también a lo largo de esta ley, y que deriva directamente de la Constitución. Pues bien, a este respecto debe tenerse en cuenta que esta ley orgánica, ni declara aplicable a los cuerpos de policía local la estructura de los cuerpos y escalas establecida para el personal al servicio de las Administraciones públicas en el artículo 25 de la Ley 30/1984, ni exige para el acceso por promoción interna a escalas de un grupo superior de titulación, el requisito establecido en el artículo 22.1 de la misma ley, de poseer la titulación exigida para estos puestos. Es decir, en esta ley orgánica no se contiene ningún precepto que contenga principios similares a los que el Tribunal a quo considera infringidos, ni está sujeto a los límites que de allí se derivan.</w:t>
      </w:r>
    </w:p>
    <w:p w:rsidR="00D06117" w:rsidRDefault="00D06117" w:rsidP="00D06117">
      <w:pPr>
        <w:pStyle w:val="TextoNormal"/>
      </w:pPr>
    </w:p>
    <w:p w:rsidR="00D06117" w:rsidRDefault="00D06117" w:rsidP="00D06117">
      <w:pPr>
        <w:pStyle w:val="TextoNormal"/>
      </w:pPr>
      <w:r>
        <w:lastRenderedPageBreak/>
        <w:t>Por ello concluye que la disposición transitoria cuya constitucionalidad se cuestiona se ajusta precisamente al contenido de estas normas en cuanto la misma se limita a establecer una excepción al régimen general de titulaciones exigido para acceder a las distintas escalas y categorías. Esta disposición ni crea un nuevo título académico, ni declara la equivalencia entre el “curso de dispensa de un grado de titulación” y los títulos académicos establecidos en el artículo 38 de la ley sino que se circunscribe a fijar los requisitos de titulación con los que durante el período transitorio que en ella se indica, se podrá acceder a las diferentes escalas y categorías de los cuerpos de policía local función, que entra de lleno en el ámbito de las funciones que se atribuyen a la Comunidad Autónoma por el artículo 39 c) de la Ley Orgánica 2/1986. Así, la misma se encuentra definida en términos generales y abstractos, sin referencias ad personam (STC 27/1991, de 14 de febrero), mientras que por su parte, la superación del “curso de dispensa de grado”, con unos contenidos fijados por la Escuela de Seguridad Pública, es un mérito adicional a la posesión de una titulación académica, que al menos en los términos abstractos en los que se encuentra redactada la ley, es susceptible de poner de manifiesto una aptitud y una capacidad suficiente y similar a la que demuestra una titulación académica para ascender a puestos de categoría superior dentro de los cuerpos de policía local. Habiendo quedado así demostrado que la disposición transitoria impugnada, ni crea un nuevo título académico, ni declara la equivalencia entre el curso de dispensa de grado y la titulación académica exigida para acceder a las diferentes categorías, estima innecesario entrar a analizar la supuesta invasión de las competencias atribuidas al Estado por el artículo 149.1.30 CE.</w:t>
      </w:r>
    </w:p>
    <w:p w:rsidR="00D06117" w:rsidRDefault="00D06117" w:rsidP="00D06117">
      <w:pPr>
        <w:pStyle w:val="TextoNormal"/>
      </w:pPr>
    </w:p>
    <w:p w:rsidR="00D06117" w:rsidRDefault="00D06117" w:rsidP="00D06117">
      <w:pPr>
        <w:pStyle w:val="TextoNormal"/>
      </w:pPr>
      <w:r>
        <w:t>Por todo lo expuesto el Presidente del Parlamento de Andalucía solicita la inadmisión a trámite de la cuestión de inconstitucionalidad planteada o, subsidiariamente, su desestimación.</w:t>
      </w:r>
    </w:p>
    <w:p w:rsidR="00D06117" w:rsidRDefault="00D06117" w:rsidP="00D06117">
      <w:pPr>
        <w:pStyle w:val="TextoNormal"/>
      </w:pPr>
    </w:p>
    <w:p w:rsidR="00D06117" w:rsidRDefault="00D06117" w:rsidP="00D06117">
      <w:pPr>
        <w:pStyle w:val="TextoNormal"/>
      </w:pPr>
      <w:r w:rsidRPr="00D06117">
        <w:rPr>
          <w:rStyle w:val="NumeroAFNegritaCaracter"/>
        </w:rPr>
        <w:t>9</w:t>
      </w:r>
      <w:r>
        <w:t>. La Letrada de la Junta de Andalucía presentó sus alegaciones el día 17 de octubre de 2003 interesando la desestimación de la cuestión planteada.</w:t>
      </w:r>
    </w:p>
    <w:p w:rsidR="00D06117" w:rsidRDefault="00D06117" w:rsidP="00D06117">
      <w:pPr>
        <w:pStyle w:val="TextoNormal"/>
      </w:pPr>
    </w:p>
    <w:p w:rsidR="00D06117" w:rsidRDefault="00D06117" w:rsidP="00D06117">
      <w:pPr>
        <w:pStyle w:val="TextoNormal"/>
      </w:pPr>
      <w:r>
        <w:t xml:space="preserve">Descarta en primer lugar que se vulnere el art. 149.1.18 CE, precepto constitucional citado que atribuye al Estado la competencia exclusiva para regular las bases del régimen estatutario de los funcionarios públicos, bases contenidas en la Ley 30/1984, de 2 de agosto, de medidas para la reforma de la función pública, por cuanto entiende que este régimen jurídico básico de la función pública en general, cuya competencia exclusiva, indiscutiblemente corresponde al Estado, no resulta de aplicación a los cuerpos de policía, cuyo régimen estatutario ha de ser contemplado por las normas que al efecto prevé el ordenamiento jurídico. Considera que basta con acudir al artículo primero de la ley estatal, para advertir que dentro de su ámbito de aplicación no se contempla el cuerpo de policía local, al que se aplica, en tanto que se consideran dentro del grupo de fuerzas y cuerpos de seguridad, la Ley Orgánica 2/1986, de 13 de marzo, de fuerzas y cuerpos de seguridad. Ello implica, de un lado, que no se puede confundir régimen estatutario de los funcionarios públicos en general con las especificidades del régimen estatutario de los cuerpos de policía, ya sean estatales, autonómico o locales, y de otro, que será de aplicación en primer término la Ley Orgánica 2/1986, en cuanto a su régimen jurídico, norma que forma parte del bloque de constitucionalidad a efectos de resolver la cuestión planteada. De conformidad con ello hay que tener en cuenta que el art. 39 de la ley anterior, establece expresamente que “[c]orresponde a las Comunidades Autónomas... c) Fijar los criterios de selección, formación, promoción y movilidad de las policías locales, determinando los distintos niveles educativos exigibles </w:t>
      </w:r>
      <w:r>
        <w:lastRenderedPageBreak/>
        <w:t>para cada categoría, sin que, en ningún caso, el nivel pueda ser inferior a Graduado Escolar”. Así, según la Letrada de la Junta de Andalucía, la disposición cuestionada no hace sino ajustarse a los términos de la ley orgánica, en cuanto que explícitamente le permite “fijar los criterios para la promoción interna de los policías locales” y ello amparado porque es la propia ley orgánica la que dice que el régimen estatutario de la función pública es el que en la misma se establece atribuyendo a este cuerpo esa individualidad o especificidad que lo diferencia del régimen general de la función pública, sin que ello signifique contradicción o vulneración del mismo, sino más bien al contrario, puntualización o matización.</w:t>
      </w:r>
    </w:p>
    <w:p w:rsidR="00D06117" w:rsidRDefault="00D06117" w:rsidP="00D06117">
      <w:pPr>
        <w:pStyle w:val="TextoNormal"/>
      </w:pPr>
    </w:p>
    <w:p w:rsidR="00D06117" w:rsidRDefault="00D06117" w:rsidP="00D06117">
      <w:pPr>
        <w:pStyle w:val="TextoNormal"/>
      </w:pPr>
      <w:r>
        <w:t>En segundo lugar estima que tampoco se produce la denunciada vulneración del art. 149.1.30 CE ya que el precepto en absoluto se refiere a la equivalencia u homologación de títulos, sino a su dispensa en circunstancias muy particulares, lo cual resulta plenamente acorde con el texto constitucional, o más bien, con el bloque de constitucionalidad, particularmente con la Ley Orgánica 2/1986.</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del 13 de enero de 2012 se señaló, para deliberación y votación de la presente Sentencia, el mismo día,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núm.7 de Sevilla plantea cuestión de inconstitucionalidad en relación con la disposición transitoria cuarta de la Ley del Parlamento de Andalucía 13/2001, de 11 de diciembre, de coordinación de las policías locales, por su contradicción con los arts. 149.1.18 y 149.1.30 CE.</w:t>
      </w:r>
    </w:p>
    <w:p w:rsidR="00D06117" w:rsidRDefault="00D06117" w:rsidP="00D06117">
      <w:pPr>
        <w:pStyle w:val="TextoNormal"/>
      </w:pPr>
    </w:p>
    <w:p w:rsidR="00D06117" w:rsidRDefault="00D06117" w:rsidP="00D06117">
      <w:pPr>
        <w:pStyle w:val="TextoNormal"/>
      </w:pPr>
      <w:r>
        <w:t>Esta disposición transitoria establece lo siguiente:</w:t>
      </w:r>
    </w:p>
    <w:p w:rsidR="00D06117" w:rsidRDefault="00D06117" w:rsidP="00D06117">
      <w:pPr>
        <w:pStyle w:val="TextoNormal"/>
      </w:pPr>
    </w:p>
    <w:p w:rsidR="00D06117" w:rsidRDefault="00D06117" w:rsidP="00D06117">
      <w:pPr>
        <w:pStyle w:val="TextoNormal"/>
      </w:pPr>
      <w:r>
        <w:t>“1. Los funcionarios que presten sus servicios en los Cuerpos de la Policía Local a la finalización del período establecido en la Disposición Transitoria Primera y que carezcan de la titulación exigida podrán ejercer el derecho a la promoción interna siempre que superen en la Escuela de Seguridad Pública de Andalucía o en las Escuelas Municipales o Comarcales de la Policía Local el correspondiente curso de dispensa en un grado del requisito de titulación. Este derecho sólo podrá ejercitarse durante los cinco años siguientes a la entrada en vigor de la presente Ley.</w:t>
      </w:r>
    </w:p>
    <w:p w:rsidR="00D06117" w:rsidRDefault="00D06117" w:rsidP="00D06117">
      <w:pPr>
        <w:pStyle w:val="TextoNormal"/>
      </w:pPr>
    </w:p>
    <w:p w:rsidR="00D06117" w:rsidRDefault="00D06117" w:rsidP="00D06117">
      <w:pPr>
        <w:pStyle w:val="TextoNormal"/>
      </w:pPr>
      <w:r>
        <w:t>2. Los contenidos de estos cursos serán los que apruebe el Consejo Rector de la Escuela de Seguridad Pública en Andalucía.”</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Dos son las razones por las cuales el órgano judicial considera que la disposición transitoria cuestionada resulta contraria al orden constitucional de competencias. De una parte entiende que la dispensa de un grado de titulación que para la promoción interna de los funcionarios de policía local se contiene en el precepto legal indicado, es contraria a lo dispuesto por los arts. 22.1 y 25 de la Ley 30/1984, de 2 de agosto, de medidas para la reforma de la función pública, en los cuales se exige que los funcionarios que participen en procesos de promoción interna posean la titulación exigida para el grupo funcionarial superior. Dado que estos preceptos, a tenor de lo dispuesto por el art. 1.3 de la propia ley, se consideran bases del régimen estatutario de los funcionarios públicos, dictadas al amparo </w:t>
      </w:r>
      <w:r>
        <w:lastRenderedPageBreak/>
        <w:t>del artículo 149.1.18 CE, y que la oposición entre la norma cuestionada y estos preceptos es patente, el órgano judicial concluye que aquélla resulta contraria a la competencia exclusiva del Estado dispuesta en el art. 149.1.18 CE. En segundo término considera el órgano judicial que, de no apreciarse el anterior motivo de inconstitucionalidad, la norma cuestionada supone la equiparación entre la realización de cursos en la Escuela de Seguridad Pública de Andalucía o en las escuelas municipales o comarcales de la policía local con la titulación correspondiente al grado superior de que se trate, lo cual vulnera la competencia exclusiva estatal para la regulación de las condiciones de obtención, expedición y homologación de títulos académicos y profesionales establecida en el art. 149.1.30 CE.</w:t>
      </w:r>
    </w:p>
    <w:p w:rsidR="00D06117" w:rsidRDefault="00D06117" w:rsidP="00D06117">
      <w:pPr>
        <w:pStyle w:val="TextoNormal"/>
      </w:pPr>
    </w:p>
    <w:p w:rsidR="00D06117" w:rsidRDefault="00D06117" w:rsidP="00D06117">
      <w:pPr>
        <w:pStyle w:val="TextoNormal"/>
      </w:pPr>
      <w:r>
        <w:t>El Abogado del Estado considera que la norma cuestionada incide en los dos motivos de inconstitucionalidad señalados por el órgano judicial, mientras que el Ministerio Fiscal tan sólo apoya la concurrencia del primero de ellos. Por su parte, ni el Parlamento de Andalucía ni el Gobierno de la Junta de Andalucía aceptan las tachas de inconstitucionalidad formuladas por el Juez de lo Contencioso ante el que se tramita el proceso judicial a quo.</w:t>
      </w:r>
    </w:p>
    <w:p w:rsidR="00D06117" w:rsidRDefault="00D06117" w:rsidP="00D06117">
      <w:pPr>
        <w:pStyle w:val="TextoNormal"/>
      </w:pPr>
    </w:p>
    <w:p w:rsidR="00D06117" w:rsidRDefault="00D06117" w:rsidP="00D06117">
      <w:pPr>
        <w:pStyle w:val="TextoNormal"/>
      </w:pPr>
      <w:r w:rsidRPr="00D06117">
        <w:rPr>
          <w:rStyle w:val="NumeroAFNegritaCaracter"/>
        </w:rPr>
        <w:t>3</w:t>
      </w:r>
      <w:r>
        <w:t>. Expuesta la duda de constitucionalidad planteada y las posiciones de las partes comparecidas debemos ahora examinar el óbice procesal formulado por el Parlamento de Andalucía que entiende que no se habría cumplido satisfactoriamente el denominado juicio de relevancia debiendo inadmitirse la cuestión por tal motivo. Argumenta al respecto que la cuestión de inconstitucionalidad trae causa de un recurso contencioso-administrativo interpuesto contra el apartado 1.1.13 del anexo 1 de la resolución de 31 de octubre de 2002, de la Dirección General de Política Interior de la Consejería de Gobernación, por la que se publica el plan anual de formación de la Escuela de Seguridad Pública de Andalucía, para el curso académico 2003, el cual se limita a fijar los requisitos necesarios para acceder al curso previsto en la disposición cuestionada, las fases en las que éste se va a desarrollar, los cursos programados y las fechas previstas para su realización sin que esta resolución reproduzca ni total, ni parcialmente, la disposición transitoria cuya inconstitucionalidad se denuncia ni produzca los efectos de integrar a los funcionarios que participen en ellos en categorías profesionales con una titulación superior, o de declarar la equivalencia de estos cursos con concretos títulos académicos. Este efecto sólo sería imputable, en su caso, a las resoluciones o actos posteriores, a través de los cuales se lleve a cabo la promoción interna de los funcionarios, pero no a la convocatoria de un curso de formación por parte de la Comunidad Autónoma.</w:t>
      </w:r>
    </w:p>
    <w:p w:rsidR="00D06117" w:rsidRDefault="00D06117" w:rsidP="00D06117">
      <w:pPr>
        <w:pStyle w:val="TextoNormal"/>
      </w:pPr>
    </w:p>
    <w:p w:rsidR="00D06117" w:rsidRDefault="00D06117" w:rsidP="00D06117">
      <w:pPr>
        <w:pStyle w:val="TextoNormal"/>
      </w:pPr>
      <w:r>
        <w:t>El óbice formulado no puede ser acogido ya que el órgano judicial ha satisfecho la exigencia de justificar la medida en que la decisión del proceso depende de la validez de la norma cuestionada (art. 35.2 de la Ley Orgánica del Tribunal Constitucional), es decir, el requisito conocido como juicio de relevancia. En efecto, el Juzgado afirma en su Auto de planteamiento de la cuestión de inconstitucionalidad que el sentido del fallo en el proceso a quo depende de la validez de la norma legal cuestionada, toda vez que la resolución que ha sido impugnada en el proceso, el concreto apartado 1.1.13, que establece el curso de dispensa de grado, tiene apoyo directo en la disposición transitoria cuarta de la Ley del Parlamento de Andalucía 13/2001, de 11 de diciembre, de coordinación de las policías locales, de suerte que el mismo no existiría de no mediar la expresa previsión legal. Es por ello evidente que la resolución de aquel proceso judicial, en cuanto a la impugnación de la referida resolución, depende, en último término, de la validez de la norma cuestionada.</w:t>
      </w:r>
    </w:p>
    <w:p w:rsidR="00D06117" w:rsidRDefault="00D06117" w:rsidP="00D06117">
      <w:pPr>
        <w:pStyle w:val="TextoNormal"/>
      </w:pPr>
    </w:p>
    <w:p w:rsidR="00D06117" w:rsidRDefault="00D06117" w:rsidP="00D06117">
      <w:pPr>
        <w:pStyle w:val="TextoNormal"/>
      </w:pPr>
      <w:r>
        <w:lastRenderedPageBreak/>
        <w:t>De esta forma el proceso judicial no puede resolverse si antes no se despeja la duda acerca de la adecuación o no a la Constitución de la regulación legal relativa a la dispensa de la exigencia de titulación y su sustitución por la superación de un curso convocado al efecto de manera que el pronunciamiento de este Tribunal no resulta ser innecesario o indiferente para la decisión del proceso en el que la cuestión se suscita. Así, el juicio de relevancia, entendido como el esquema argumental en razón del cual el contenido del fallo del órgano judicial depende precisamente de la norma cuya constitucionalidad se cuestiona, ha de entenderse adecuadamente formulado dado que existe una relación lógica entre la eventual anulación de la disposición legal cuestionada y la satisfacción de la pretensión ejercitada en el proceso a quo en relación con la resolución impugnada (SSTC 27/1991, de 14 de febrero, FJ 3 in fine, y 12/1999, de 11 de febrero, FJ l), por cuanto la resolución de aquel proceso judicial depende, en último término, de la validez de la cuestionada disposición transitoria cuarta de la Ley del Parlamento de Andalucía 13/2001.</w:t>
      </w:r>
    </w:p>
    <w:p w:rsidR="00D06117" w:rsidRDefault="00D06117" w:rsidP="00D06117">
      <w:pPr>
        <w:pStyle w:val="TextoNormal"/>
      </w:pPr>
    </w:p>
    <w:p w:rsidR="00D06117" w:rsidRDefault="00D06117" w:rsidP="00D06117">
      <w:pPr>
        <w:pStyle w:val="TextoNormal"/>
      </w:pPr>
      <w:r w:rsidRPr="00D06117">
        <w:rPr>
          <w:rStyle w:val="NumeroAFNegritaCaracter"/>
        </w:rPr>
        <w:t>4</w:t>
      </w:r>
      <w:r>
        <w:t>. Descartado en la forma expuesta el óbice planteado resulta necesario ahora precisar el canon de enjuiciamiento de la presente cuestión pues, como recuerda la STC 175/2011, de 8 de noviembre, FJ 2, “el control de los preceptos que pudieren haber incurrido en un exceso competencial no ha de efectuarse con arreglo a las normas del bloque constitucional vigentes en el momento de dictarse la Sentencia, sino de acuerdo con las normas vigentes en el momento en que fue planteada la cuestión en el proceso a quo”. Consecuencia de lo expuesto será que valoremos la tacha de inconstitucionalidad que se imputa al precepto cuestionado de acuerdo con las normas vigentes en el momento en que fue planteada la cuestión en el proceso a quo, lo que conduce a tomar en consideración lo establecido en el Estatuto de Autonomía de Andalucía aprobado por Ley Orgánica 6/1981, de 30 de diciembre así como lo dispuesto en los arts. 22.1 y 25 de la Ley 30/1984, de 2 de agosto, de medidas para la reforma de la función pública, preceptos estos últimos propuestos por el órgano a quo como parámetro de control de la disposición cuestionada, careciendo, por el contrario, de relevancia para la resolución de la presente cuestión la modificación estatutaria realizada por la Ley Orgánica 2/2007, de 19 de marzo, ni tampoco las modificaciones introducidas por la Ley 7/2007, de 12 abril, del estatuto básico del empleado público.</w:t>
      </w:r>
    </w:p>
    <w:p w:rsidR="00D06117" w:rsidRDefault="00D06117" w:rsidP="00D06117">
      <w:pPr>
        <w:pStyle w:val="TextoNormal"/>
      </w:pPr>
    </w:p>
    <w:p w:rsidR="00D06117" w:rsidRDefault="00D06117" w:rsidP="00D06117">
      <w:pPr>
        <w:pStyle w:val="TextoNormal"/>
      </w:pPr>
      <w:r>
        <w:t>Señalado lo anterior es posible apreciar que el núcleo de la controversia suscitada se contrae al encuadramiento competencial de la norma cuestionada, pues mientras que el órgano judicial (con la concurrencia del Abogado del Estado y del Ministerio Fiscal) parte de que se trata de una norma que incide en el régimen estatutario de los funcionarios públicos —los policías locales— para el que el Estado tiene competencia exclusiva en cuanto a su régimen jurídico básico, tanto el Parlamento de Andalucía como el Gobierno de la Junta de Andalucía sostienen que se trataría de una especificidad propia del régimen estatutario de los cuerpos de policía local establecida en atención a su función de mantenimiento de la seguridad pública que la Comunidad Autónoma podría establecer en el ejercicio de sus competencias en materia de coordinación de las policías locales andaluzas reconocidas en el art. 14.2 del Estatuto de Autonomía.</w:t>
      </w:r>
    </w:p>
    <w:p w:rsidR="00D06117" w:rsidRDefault="00D06117" w:rsidP="00D06117">
      <w:pPr>
        <w:pStyle w:val="TextoNormal"/>
      </w:pPr>
    </w:p>
    <w:p w:rsidR="00D06117" w:rsidRDefault="00D06117" w:rsidP="00D06117">
      <w:pPr>
        <w:pStyle w:val="TextoNormal"/>
      </w:pPr>
      <w:r>
        <w:t xml:space="preserve">Pues bien, sobre el encuadramiento material de una norma semejante a la ahora cuestionada ya se ha pronunciado este Tribunal en la citada STC 175/2011, de 8 de noviembre, cuya doctrina y conclusiones son de plena aplicación al presente supuesto. En ella, tras analizar las normas que configuran el régimen jurídico de los funcionarios de policía local —análisis contenido en el fundamento jurídico 4 al que nos remitimos ahora— concluíamos </w:t>
      </w:r>
      <w:r>
        <w:lastRenderedPageBreak/>
        <w:t>que de él se desprende que “la ‘titulación’ se erige en requisito esencial de la ‘promoción interna’ (ex art. 92 LBRL), elemento éste del ‘régimen estatutario de los funcionarios públicos’, lo cual conduce al título competencial del art. 149.1.18 CE”. Seguidamente, sirviéndonos de la doctrina sentada en las SSTC 99/1987, de 11 de junio, FJ 4, y 388/1993, de 23 de diciembre, FJ 2, llegábamos a la conclusión de que en este ámbito funcionarial “la regulación de las materias de ‘promoción interna’ y ‘titulación’, ostentan carácter básico (ex art. 1.3 de la Ley 30/1984, de 2 de agosto, de medidas para la reforma de la función pública), y se encuadra sin dificultad en el ‘régimen estatutario de los funcionarios públicos’ del art. 149.1.18 CE” (FJ 5).</w:t>
      </w:r>
    </w:p>
    <w:p w:rsidR="00D06117" w:rsidRDefault="00D06117" w:rsidP="00D06117">
      <w:pPr>
        <w:pStyle w:val="TextoNormal"/>
      </w:pPr>
    </w:p>
    <w:p w:rsidR="00D06117" w:rsidRDefault="00D06117" w:rsidP="00D06117">
      <w:pPr>
        <w:pStyle w:val="TextoNormal"/>
      </w:pPr>
      <w:r>
        <w:t>Del propio modo, en esta misma Sentencia descartábamos que pueda “estimarse encuadrable la materia de ‘titulación’, aunque se refiera a las policías locales, en el art. 149.1.29 CE de ‘seguridad pública’, porque sólo sería posible mediante una interpretación forzada del art. 39 c) LOFCS que atribuye a las Comunidades Autónomas “fijar los criterios de selección, formación, promoción y movilidad de las policías locales, determinando los niveles educativos exigibles para cada categoría, sin que en ningún caso el nivel pueda ser inferior a graduado escolar”, esto es que el nivel mínimo es el de graduado escolar y que a partir del mismo han de determinarse los niveles educativos de cada categoría dentro del cuerpo policial, pero sin que ello habilite a las Comunidades Autónomas para alterar el régimen de titulaciones del art. 25 de la Ley de medidas de reforma de la función pública en contra de la legislación básica de homogeneización de los principios del ‘mérito’ y la ‘capacidad’ para toda la función pública, y especialmente para la Administración local”.</w:t>
      </w:r>
    </w:p>
    <w:p w:rsidR="00D06117" w:rsidRDefault="00D06117" w:rsidP="00D06117">
      <w:pPr>
        <w:pStyle w:val="TextoNormal"/>
      </w:pPr>
    </w:p>
    <w:p w:rsidR="00D06117" w:rsidRDefault="00D06117" w:rsidP="00D06117">
      <w:pPr>
        <w:pStyle w:val="TextoNormal"/>
      </w:pPr>
      <w:r w:rsidRPr="00D06117">
        <w:rPr>
          <w:rStyle w:val="NumeroAFNegritaCaracter"/>
        </w:rPr>
        <w:t>5</w:t>
      </w:r>
      <w:r>
        <w:t>. La aplicación de la anterior doctrina al presente supuesto conduce derechamente a la declaración de inconstitucionalidad y nulidad de la disposición transitoria cuarta de la Ley del Parlamento de Andalucía 13/2001, de 11 de diciembre, de coordinación de las policías locales, por cuanto en ella se establece, aún con carácter transitorio, una dispensa de la titulación necesaria para participar en procesos de promoción interna que es contraria a la ordenación que con carácter básico ha establecido el Estado en el ejercicio de su competencia exclusiva, ex art. 149.1.18 CE, para la regulación de las bases del régimen estatutario de los funcionarios públicos. Por esta razón la disposición transitoria sometida a examen de constitucionalidad incurre en el exceso competencial puesto de manifiesto por el órgano judicial, toda vez que las partes intervinientes en este proceso constitucional no niegan que en tal norma se establece una dispensa de titulación que no se compadece con la norma estatal básica sino que afirman la competencia de la Comunidad Autónoma para establecer tal dispensa al amparo de su competencia en materia de coordinación de policías locales que hemos descartado que pueda otorgar la cobertura constitucional pretendida.</w:t>
      </w:r>
    </w:p>
    <w:p w:rsidR="00D06117" w:rsidRDefault="00D06117" w:rsidP="00D06117">
      <w:pPr>
        <w:pStyle w:val="TextoNormal"/>
      </w:pPr>
    </w:p>
    <w:p w:rsidR="00D06117" w:rsidRDefault="00D06117" w:rsidP="00D06117">
      <w:pPr>
        <w:pStyle w:val="TextoNormal"/>
      </w:pPr>
      <w:r>
        <w:t>La conclusión alcanzada convierte ya en innecesario abordar la pretendida vulneración de la competencia exclusiva estatal para la regulación de las condiciones de obtención, expedición y homologación de títulos académicos y profesionales ex art. 149.1.30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Estimar la presente cuestión de inconstitucionalidad y, en consecuencia, declarar la inconstitucionalidad y nulidad de la disposición transitoria cuarta de la Ley del Parlamento de Andalucía 13/2001, de 11 de diciembre, de coordinación de las policías locales.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Valencia, a trece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 w:name="SENTENCIA_2012_4"/>
      <w:r>
        <w:lastRenderedPageBreak/>
        <w:t>SENTENCIA 4/2012, de 13 de enero de 2012</w:t>
      </w:r>
    </w:p>
    <w:bookmarkEnd w:id="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ECLI:ES:TC:2012:4</w:t>
      </w:r>
    </w:p>
    <w:p w:rsidR="00D06117" w:rsidRDefault="00D06117" w:rsidP="00D06117">
      <w:pPr>
        <w:pStyle w:val="SntesisDescriptiva"/>
      </w:pPr>
    </w:p>
    <w:p w:rsidR="00D06117" w:rsidRDefault="00D06117" w:rsidP="00D06117">
      <w:pPr>
        <w:pStyle w:val="SntesisDescriptiva"/>
      </w:pPr>
      <w:r>
        <w:t>Cuestión de inconstitucionalidad 1836-2005. Planteada por el Juzgado de lo Contencioso-Administrativo núm. 2 de Córdoba en relación con el apartado segundo de la disposición transitoria primera de la Ley del Parlamento de Andalucía 13/2001, de 11 de diciembre, de coordinación de policías locales.</w:t>
      </w:r>
    </w:p>
    <w:p w:rsidR="00D06117" w:rsidRDefault="00D06117" w:rsidP="00D06117">
      <w:pPr>
        <w:pStyle w:val="SntesisDescriptiva"/>
      </w:pPr>
    </w:p>
    <w:p w:rsidR="00D06117" w:rsidRDefault="00D06117" w:rsidP="00D06117">
      <w:pPr>
        <w:pStyle w:val="SntesisAnaltica"/>
      </w:pPr>
      <w:r>
        <w:t>Competencias sobre bases del régimen estatutario de la función pública y seguridad pública: nulidad del precepto legal autonómico que establece una dispensa de titulación para la promoción interna de los policías locales (STC 175/2011).</w:t>
      </w:r>
    </w:p>
    <w:p w:rsidR="00D06117" w:rsidRDefault="00D06117" w:rsidP="00D06117">
      <w:pPr>
        <w:pStyle w:val="SntesisAnaltica"/>
      </w:pPr>
    </w:p>
    <w:p w:rsidR="00D06117" w:rsidRDefault="00D06117" w:rsidP="00D06117">
      <w:pPr>
        <w:pStyle w:val="Extracto"/>
      </w:pPr>
      <w:r>
        <w:t>1.</w:t>
      </w:r>
      <w:r>
        <w:tab/>
        <w:t>Aplica la doctrina sobre promoción interna de funcionarios que presten sus servicios en los Cuerpos de Policía Local de la STC 175/2011 [FFJJ 5, 6].</w:t>
      </w:r>
    </w:p>
    <w:p w:rsidR="00D06117" w:rsidRDefault="00D06117" w:rsidP="00D06117">
      <w:pPr>
        <w:pStyle w:val="Extracto"/>
      </w:pPr>
    </w:p>
    <w:p w:rsidR="00D06117" w:rsidRDefault="00D06117" w:rsidP="00D06117">
      <w:pPr>
        <w:pStyle w:val="Extracto"/>
      </w:pPr>
      <w:r>
        <w:t>2.</w:t>
      </w:r>
      <w:r>
        <w:tab/>
        <w:t>En las normas que configuran el régimen jurídico de los funcionarios que presten sus servicios en los Cuerpos de Policía Local, la titulación se erige en requisito esencial de la promoción interna –</w:t>
      </w:r>
      <w:r w:rsidRPr="00D06117">
        <w:rPr>
          <w:i/>
        </w:rPr>
        <w:t>ex</w:t>
      </w:r>
      <w:r>
        <w:t xml:space="preserve"> art. 92 LBRL–, elemento éste del régimen estatutario de los funcionarios públicos, lo cual conduce a su encuadramiento material en el título competencial del art. 149.1.18 CE (STC 175/2011) [FJ 5].</w:t>
      </w:r>
    </w:p>
    <w:p w:rsidR="00D06117" w:rsidRDefault="00D06117" w:rsidP="00D06117">
      <w:pPr>
        <w:pStyle w:val="Extracto"/>
      </w:pPr>
    </w:p>
    <w:p w:rsidR="00D06117" w:rsidRDefault="00D06117" w:rsidP="00D06117">
      <w:pPr>
        <w:pStyle w:val="Extracto"/>
      </w:pPr>
      <w:r>
        <w:t>3.</w:t>
      </w:r>
      <w:r>
        <w:tab/>
        <w:t>En el ámbito funcionarial de la policía local, la regulación de las materias de ‘promoción interna’ y ‘titulación’, ostentan carácter básico –</w:t>
      </w:r>
      <w:r w:rsidRPr="00D06117">
        <w:rPr>
          <w:i/>
        </w:rPr>
        <w:t>ex</w:t>
      </w:r>
      <w:r>
        <w:t xml:space="preserve"> art. 1.3 LMFP–, y se encuadra sin dificultad en el ‘régimen estatutario de los funcionarios públicos’ del art. 149.1.18 CE (STC 175/2011) [FJ 5].</w:t>
      </w:r>
    </w:p>
    <w:p w:rsidR="00D06117" w:rsidRDefault="00D06117" w:rsidP="00D06117">
      <w:pPr>
        <w:pStyle w:val="Extracto"/>
      </w:pPr>
    </w:p>
    <w:p w:rsidR="00D06117" w:rsidRDefault="00D06117" w:rsidP="00D06117">
      <w:pPr>
        <w:pStyle w:val="Extracto"/>
      </w:pPr>
      <w:r>
        <w:t>4.</w:t>
      </w:r>
      <w:r>
        <w:tab/>
        <w:t>No puede estimarse encuadrable la materia de ‘titulación’, aunque se refiera a las policías locales, en el art. 149.1.29 CE de ‘seguridad pública’, porque el art. 39 c) LOFCS no habilita a las Comunidades Autónomas para alterar el régimen de titulaciones del art. 25 LMFP en contra de la legislación básica de homogeneización de los principios del ‘mérito’ y la ‘capacidad’ para toda la función pública (STC 175/2011) [FJ 5].</w:t>
      </w:r>
    </w:p>
    <w:p w:rsidR="00D06117" w:rsidRDefault="00D06117" w:rsidP="00D06117">
      <w:pPr>
        <w:pStyle w:val="Extracto"/>
      </w:pPr>
    </w:p>
    <w:p w:rsidR="00D06117" w:rsidRDefault="00D06117" w:rsidP="00D06117">
      <w:pPr>
        <w:pStyle w:val="Extracto"/>
      </w:pPr>
      <w:r>
        <w:t>5.</w:t>
      </w:r>
      <w:r>
        <w:tab/>
        <w:t xml:space="preserve">Procede declarar la inconstitucionalidad y nulidad de la disposición cuestionada, por cuanto en ella se establece, aún con carácter transitorio, una dispensa de la titulación necesaria para el acceso a la categoría de Subinspector, que es contraria a la ordenación que con carácter básico ha establecido el Estado en el ejercicio de su competencia exclusiva, </w:t>
      </w:r>
      <w:r w:rsidRPr="00D06117">
        <w:rPr>
          <w:i/>
        </w:rPr>
        <w:t>ex</w:t>
      </w:r>
      <w:r>
        <w:t xml:space="preserve"> art. 149.1.18 CE, para la regulación de las bases del régimen estatutario de los funcionarios públicos [FJ 6].</w:t>
      </w:r>
    </w:p>
    <w:p w:rsidR="00D06117" w:rsidRDefault="00D06117" w:rsidP="00D06117">
      <w:pPr>
        <w:pStyle w:val="Extracto"/>
      </w:pPr>
    </w:p>
    <w:p w:rsidR="00D06117" w:rsidRDefault="00D06117" w:rsidP="00D06117">
      <w:pPr>
        <w:pStyle w:val="Extracto"/>
      </w:pPr>
      <w:r>
        <w:t>6.</w:t>
      </w:r>
      <w:r>
        <w:tab/>
        <w:t xml:space="preserve">En las cuestiones de inconstitucionalidad el control de los preceptos que pudieren haber incurrido en un exceso competencial no ha de efectuarse con arreglo a las normas del bloque constitucional vigentes en el momento de dictarse la Sentencia, </w:t>
      </w:r>
      <w:r>
        <w:lastRenderedPageBreak/>
        <w:t xml:space="preserve">sino de acuerdo con las normas vigentes en el momento en que fue planteada la cuestión en el proceso </w:t>
      </w:r>
      <w:r w:rsidRPr="00D06117">
        <w:rPr>
          <w:i/>
        </w:rPr>
        <w:t>a quo</w:t>
      </w:r>
      <w:r>
        <w:t xml:space="preserve"> (STC 175/2011) [FJ 4].</w:t>
      </w:r>
    </w:p>
    <w:p w:rsidR="00D06117" w:rsidRDefault="00D06117" w:rsidP="00D06117">
      <w:pPr>
        <w:pStyle w:val="Extracto"/>
      </w:pPr>
    </w:p>
    <w:p w:rsidR="00D06117" w:rsidRDefault="00D06117" w:rsidP="00D06117">
      <w:pPr>
        <w:pStyle w:val="Extracto"/>
      </w:pPr>
      <w:r>
        <w:t>7.</w:t>
      </w:r>
      <w:r>
        <w:tab/>
        <w:t xml:space="preserve">Ha de entenderse adecuadamente formulado el juicio de relevancia dado que existe una relación lógica entre la eventual anulación de la disposición legal cuestionada y la satisfacción de la pretensión ejercitada en el proceso </w:t>
      </w:r>
      <w:r w:rsidRPr="00D06117">
        <w:rPr>
          <w:i/>
        </w:rPr>
        <w:t>a quo</w:t>
      </w:r>
      <w:r>
        <w:t>, por cuanto la resolución de aquel proceso judicial depende, en último término, de la validez de la norma cuestionada (SSTC 27/1991, 12/1999)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1836-2005, promovida por el Juzgado de lo Contencioso-Administrativo núm. 2 de Córdoba en relación con la disposición transitoria primera, apartado 2 de la Ley del Parlamento de Andalucía 13/2001, de 11 de diciembre, de coordinación de policías locales. Han intervenido y formulado alegaciones el Abogado del Estado, el Parlamento de Andalucía y el Consejo de Gobierno de la Junta de Andalucía, así como el Fiscal General del Estado.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16 de marzo de 2005 tuvo entrada en el Registro General de este Tribunal escrito del Juzgado de lo Contencioso-Administrativo núm. 2 de Córdoba, al que se acompañaba, junto con el testimonio de las actuaciones en el procedimiento abreviado 514-2003 que se tramita ante dicho Juzgado, el Auto de 22 de febrero de 2005, por el que se acuerda plantear cuestión de inconstitucionalidad respecto de la disposición transitoria primera, apartado 2 de la Ley del Parlamento de Andalucía 13/2001, de 11 de diciembre, de coordinación de policías locales, por posible vulneración del art. 149.1.18 y 30 CE.</w:t>
      </w:r>
    </w:p>
    <w:p w:rsidR="00D06117" w:rsidRDefault="00D06117" w:rsidP="00D06117">
      <w:pPr>
        <w:pStyle w:val="TextoNormal"/>
      </w:pPr>
    </w:p>
    <w:p w:rsidR="00D06117" w:rsidRDefault="00D06117" w:rsidP="00D06117">
      <w:pPr>
        <w:pStyle w:val="TextoNormal"/>
      </w:pPr>
      <w:r w:rsidRPr="00D06117">
        <w:rPr>
          <w:rStyle w:val="NumeroAFNegritaCaracter"/>
        </w:rPr>
        <w:t>2</w:t>
      </w:r>
      <w:r>
        <w:t>. La cuestión de inconstitucionalidad se plantea en el seno del procedimiento abreviado 514-2003 en el que se impugnaba la base tercera de la convocatoria para la provisión de una plaza de Subinspector de la policía local en el Ayuntamiento de Rute (Córdoba), publicada en el “Boletín Oficial de la Junta de Andalucía” de 4 de diciembre de 2003.</w:t>
      </w:r>
    </w:p>
    <w:p w:rsidR="00D06117" w:rsidRDefault="00D06117" w:rsidP="00D06117">
      <w:pPr>
        <w:pStyle w:val="TextoNormal"/>
      </w:pPr>
    </w:p>
    <w:p w:rsidR="00D06117" w:rsidRDefault="00D06117" w:rsidP="00D06117">
      <w:pPr>
        <w:pStyle w:val="TextoNormal"/>
      </w:pPr>
      <w:r>
        <w:lastRenderedPageBreak/>
        <w:t>Del análisis de la demanda se desprende que la impugnación de la base tercera de la convocatoria, que establece que los aspirantes deberán poseer titulación académica de graduado escolar, formación profesional de primer grado o equivalente, se basa en la inconstitucionalidad de la norma legal que le sirve de apoyo, la disposición transitoria primera, apartado 2 de la Ley del Parlamento de Andalucía 13/2001. El recurrente aduce que el indicado requisito de tener la titulación de bachiller o equivalente para poder optar a una plaza que, de acuerdo con los arts. 18, 19 y 38 de la Ley del Parlamento de Andalucía 13/2001, pertenece al grupo B y le corresponde la titulación establecida en el art. 25 de la Ley 30/1984, de 2 de agosto, de medidas de reforma de la función pública, invade las competencias estatales establecidas en el art. 149.1.18 CE en cuanto contraviene lo dispuesto en el art. 25 de la Ley 30/1984, de 2 de agosto, de medidas de reforma de la función pública, precepto éste que, a tenor de lo dispuesto en el art. 1.3 de la propia norma, tiene carácter básico. Asimismo se afirma que la disposición transitoria primera, apartado 2 de la Ley del Parlamento de Andalucía 13/2001, que sirve de apoyo al mencionado requisito incluido en la base tercera de la convocatoria, contraviene dicha legalidad obligatoria, al eximir del requisito de titulación, durante dos años, desde la entrada en vigor de la Ley andaluza, exigiéndose en el periodo intermedio solamente la de bachiller o equivalente para acceder a la categoría de subinspector.</w:t>
      </w:r>
    </w:p>
    <w:p w:rsidR="00D06117" w:rsidRDefault="00D06117" w:rsidP="00D06117">
      <w:pPr>
        <w:pStyle w:val="TextoNormal"/>
      </w:pPr>
    </w:p>
    <w:p w:rsidR="00D06117" w:rsidRDefault="00D06117" w:rsidP="00D06117">
      <w:pPr>
        <w:pStyle w:val="TextoNormal"/>
      </w:pPr>
      <w:r>
        <w:t>Concluso el procedimiento, y dentro del plazo para dictar sentencia, el Juez de lo Contencioso-Administrativo dictó providencia de fecha 22 de noviembre de 2004 por la que, de conformidad con lo dispuesto en el art. 35.2 de la Ley Orgánica del Tribunal Constitucional (LOTC), daba traslado al Ministerio Fiscal y a las partes personadas para que en el término común de diez días pudieran formular alegaciones en relación con la pertinencia de plantear cuestión de inconstitucionalidad sobre la disposición transitoria primera, apartado 2 de la Ley del Parlamento de Andalucía 13/2001, de 11 de diciembre, de coordinación de policías locales, por posible vulneración de los apartados 18 y 30 del art. 149.1 CE. Por el Ministerio Fiscal se evacuó el trámite apoyando el planteamiento de la cuestión de inconstitucionalidad. El recurrente se limitó a dar por reproducidos los argumentos que se contienen en el informe del Fiscal y en el Auto de planteamiento de una cuestión de inconstitucionalidad que estima similar y que fue admitida a trámite por este Tribunal con el número 4346-2003, en la que se plantea la inconstitucionalidad de la disposición transitoria cuarta de la Ley del Parlamento de Andalucía 13/2001, de 11 de diciembre, de coordinación de policías locales, por violación de los apartados 18 y 30 del art. 149.1 CE. La Administración demandada no formuló alegación alguna.</w:t>
      </w:r>
    </w:p>
    <w:p w:rsidR="00D06117" w:rsidRDefault="00D06117" w:rsidP="00D06117">
      <w:pPr>
        <w:pStyle w:val="TextoNormal"/>
      </w:pPr>
    </w:p>
    <w:p w:rsidR="00D06117" w:rsidRDefault="00D06117" w:rsidP="00D06117">
      <w:pPr>
        <w:pStyle w:val="TextoNormal"/>
      </w:pPr>
      <w:r w:rsidRPr="00D06117">
        <w:rPr>
          <w:rStyle w:val="NumeroAFNegritaCaracter"/>
        </w:rPr>
        <w:t>3</w:t>
      </w:r>
      <w:r>
        <w:t>. Por Auto de 22 de febrero de 2005, el Juez de lo Contencioso-Administrativo núm. 2 de Córdoba planteó cuestión de inconstitucionalidad en relación con la disposición transitoria primera, apartado 2 de la Ley del Parlamento de Andalucía 13/2001, de 11 de diciembre, de coordinación de policías locales, por posible vulneración del art. 149.1.18 y 30 CE, en relación con los arts. 22.1 y 25 de la Ley 30/1984, de 2 de agosto, y 149.1.30 CE. Su argumentación puede sintetizarse de la siguiente forma:</w:t>
      </w:r>
    </w:p>
    <w:p w:rsidR="00D06117" w:rsidRDefault="00D06117" w:rsidP="00D06117">
      <w:pPr>
        <w:pStyle w:val="TextoNormal"/>
      </w:pPr>
    </w:p>
    <w:p w:rsidR="00D06117" w:rsidRDefault="00D06117" w:rsidP="00D06117">
      <w:pPr>
        <w:pStyle w:val="TextoNormal"/>
      </w:pPr>
      <w:r>
        <w:t xml:space="preserve">a) La norma legal cuya constitucionalidad se cuestiona es la disposición transitoria primera, apartado 2 de la Ley del Parlamento de Andalucía 13/2001, de 11 de diciembre, de coordinación de policías locales, que establece lo siguiente: “La titulación de diplomado universitario o equivalente para el acceso a la categoría de subinspector, establecida en el </w:t>
      </w:r>
      <w:r>
        <w:lastRenderedPageBreak/>
        <w:t>art. 38, sólo será exigible a partir de los dos años de la entrada en vigor de la presente Ley, exigiéndose hasta tanto la titulación de bachiller o equivalente”.</w:t>
      </w:r>
    </w:p>
    <w:p w:rsidR="00D06117" w:rsidRDefault="00D06117" w:rsidP="00D06117">
      <w:pPr>
        <w:pStyle w:val="TextoNormal"/>
      </w:pPr>
    </w:p>
    <w:p w:rsidR="00D06117" w:rsidRDefault="00D06117" w:rsidP="00D06117">
      <w:pPr>
        <w:pStyle w:val="TextoNormal"/>
      </w:pPr>
      <w:r>
        <w:t>b) La Ley estatal 30/1984, de 2 de agosto, de medidas de reforma de la función pública, fija las bases del régimen estatutario de los funcionarios públicos. En particular su art. 1.3 incluye entre las “bases del régimen estatutario de los funcionarios públicos, dictadas al amparo del artículo 149.1.18 CE, y en consecuencia aplicables al personal de todas las Administraciones Públicas”, entre otros, los arts. 22.1 (a excepción de los dos últimos párrafos) y 25. El art. 22.1 de la Ley 3/1984, sobre fomento de la promoción interna, exige, entre otros requisitos, que, para promocionar desde cuerpos o escalas de un grupo de titulación a otros del inmediato superior, “los funcionarios deberán para ello poseer la titulación exigida para el ingreso en los últimos”. Y el art. 25 de la misma ley determina la ineludible exigencia de estar en posesión de determinadas titulaciones académicas para el ingreso en los diferentes grupos. En concreto, para ser subinspector (grupo B) se exige por la ley estatal ser diplomado universitario, mientras que el precepto autonómico cuestionado —aun de forma transitoria durante dos años— permite el acceso a dicha condición desde la titulación de bachiller. Por esta razón el precepto cuestionado vulnera la competencia estatal establecida en el art. 149.1.18 CE, tal como se desprende de la STC 388/1993, de 23 de diciembre, cuyo contenido literal reproduce parcialmente.</w:t>
      </w:r>
    </w:p>
    <w:p w:rsidR="00D06117" w:rsidRDefault="00D06117" w:rsidP="00D06117">
      <w:pPr>
        <w:pStyle w:val="TextoNormal"/>
      </w:pPr>
    </w:p>
    <w:p w:rsidR="00D06117" w:rsidRDefault="00D06117" w:rsidP="00D06117">
      <w:pPr>
        <w:pStyle w:val="TextoNormal"/>
      </w:pPr>
      <w:r>
        <w:t>c) Si se entendiera que el precepto legal cuestionado exime en realidad provisionalmente de la titulación exigida por la ley estatal, se vulneraría también la competencia exclusiva estatal ex art. 149.1.30 CE para la regulación de las condiciones de obtención, expedición y homologación de títulos académicos y profesionales, siquiera en el ámbito de la promoción para policías locales. En apoyo de su argumentación cita la STC 82/1993, de 8 de marzo, cuyo paralelismo con el supuesto analizado resalta.</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19 de abril de 2005, la Sección Tercera de este Tribunal acordó admitir a trámite la presente cuestión de inconstitucionalidad y, de conformidad con lo dispuesto en el art. 37.2 LOTC, dar traslado de las actuaciones recibidas al Congreso de Diputados y al Senado, por conducto de sus Presidentes, al Gobierno, por conducto del Ministro de Justicia, y al Fiscal General del Estado, así como al Parlamento y al Consejo de Gobierno de la Junta de Andalucía,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de la Junta de Andalucía, lo que se produjo, respecto del primero, en el del día 27 de abril de 2005.</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Mediante escrito registrado en este Tribunal el día 28 de abril de 2005 el Abogado del Estado formuló alegaciones, en las cuales solicitó la estimación de la cuestión plantada y la declaración de inconstitucionalidad y nulidad de la disposición transitoria cuestionada. A tal efecto razona que el art. 22.1 de la Ley 30/1984 exige para la promoción interna de funcionarios de escalas o grupos a otro inmediato superior estar en posesión de la titulación exigida para este último. Sin embargo, en la norma autonómica cuestionada se dispensa esa exigencia, siquiera para un periodo transitorio de dos años desde su entrada en vigor. Para el Abogado del Estado, la norma autonómica contraviene claramente los arts. 22.1 y 25 de la Ley 30/1984, norma dictada al amparo de la competencia estatal prevista en el art. </w:t>
      </w:r>
      <w:r>
        <w:lastRenderedPageBreak/>
        <w:t>149.1.18 CE, por lo que la dispensa introducida por la norma autonómica vulnera abiertamente la ley estatal y con ello las competencias estatales. Asimismo, el Abogado del Estado comparte el criterio del órgano judicial proponente de la cuestión de que el precepto legal cuestionado lesiona también el art. 149.1.30 CE, por cuanto la dispensa de un requisito ordinariamente condicionante de una consecuencia jurídica, implica una forma de equiparación o igualación entre las situaciones en las que se cumple el requisito y aquella en que se produce la dispensa, de forma que la dispensa de un grado para alcanzar una situación funcionarial que ordinariamente requiere la obtención de un título, equivale obviamente a dar regulación indirecta al propio título, al configurar una titulación equiparada al mismo. Igualmente considera aplicable al caso la STC 82/1993 que cita el auto de planteamiento.</w:t>
      </w:r>
    </w:p>
    <w:p w:rsidR="00D06117" w:rsidRDefault="00D06117" w:rsidP="00D06117">
      <w:pPr>
        <w:pStyle w:val="TextoNormal"/>
      </w:pPr>
    </w:p>
    <w:p w:rsidR="00D06117" w:rsidRDefault="00D06117" w:rsidP="00D06117">
      <w:pPr>
        <w:pStyle w:val="TextoNormal"/>
      </w:pPr>
      <w:r w:rsidRPr="00D06117">
        <w:rPr>
          <w:rStyle w:val="NumeroAFNegritaCaracter"/>
        </w:rPr>
        <w:t>6</w:t>
      </w:r>
      <w:r>
        <w:t>. En escrito recibido el día 4 de mayo de 2005 el Presidente del Congreso de los Diputados transmitió el acuerdo adoptado por la Mesa de la Cámara de comunicar al Tribunal Constitucional que el Congreso de los Diputados no se personaría en la presente cuestión de inconstitucionalidad ni formularía alegaciones, con remisión del recurso a la dirección de estudios y documentación y al departamento de asesoría jurídica de la Secretaría General.</w:t>
      </w:r>
    </w:p>
    <w:p w:rsidR="00D06117" w:rsidRDefault="00D06117" w:rsidP="00D06117">
      <w:pPr>
        <w:pStyle w:val="TextoNormal"/>
      </w:pPr>
    </w:p>
    <w:p w:rsidR="00D06117" w:rsidRDefault="00D06117" w:rsidP="00D06117">
      <w:pPr>
        <w:pStyle w:val="TextoNormal"/>
      </w:pPr>
      <w:r>
        <w:t>Con fecha 13 de mayo de 2005 tuvo entrada en este Tribunal escrito del Presidente del Senado por el que pone en su conocimiento el acuerdo de la Mesa de la Cámara de dar por personada a 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La representación procesal de la Junta de Andalucía formuló alegaciones mediante escrito registrado en este Tribunal el 16 de mayo de 2005. Aduce que para comprender la finalidad de la disposición transitoria primera, apartado 2 es importante tener en cuenta la situación anterior a la establecida en la Ley 13/2001. Con arreglo a la legislación previa (Ley 1/1989, de 8 de mayo, de coordinación de policía local) existían tres escalas: técnica, con las categorías de inspector, subinspector y oficial; ejecutiva, con las categorías de suboficial y sargento; y básica, con las categorías de cabo y policía (art. 14). Con respecto a la titulación exigida para acceder a las distintas escalas se establecía la siguiente correspondencia con la establecida para los grupos fijados en el art. 25 de la Ley 30/1984: Escala técnica, grupo A; escala ejecutiva, grupos B y C; y escala básica, grupo D (art. 16). Lo que hizo la nueva Ley 13/2001, fue una reclasificación dentro de cada una de las escalas de los diferentes grupos. Así, los arts. 18 y siguientes establecen las siguientes escalas: técnica, con las categorías de superintendente, intendente mayor e intendente; ejecutiva, con las categorías de inspector y subinspector; básica, con las categorías de oficial y policía. Esta reclasificación requería igualmente un ajuste de grupos con sus correspondientes titulaciones: Escala técnica, grupo A; escala ejecutiva, grupo B; y escala básica, grupo C. La Letrada de la Junta de Andalucía estima que en ningún momento se altera el sistema de titulaciones exigido para cada grupo por la Ley de reforma de la función pública, el único cambio siendo que en la escala ejecutiva desaparece el grupo C que pasa a escala básica, desapareciendo igualmente el grupo D. A su juicio, la resolución impugnada convoca una plaza del grupo C, para el cual el art. 25 de la Ley 30/1984 exige la titulación de bachiller, formación profesional de segundo grado o equivalente. A ello respondería precisamente la disposición transitoria cuestionada, que demora esa exigencia de titulación hasta transcurridos dos años; en otras palabras, se aplica la anterior ley en cuanto a la titulación exigida pero siempre teniendo en cuenta la exigida para los grupos previstos en la Ley 30/1984. Por tanto, si antes en la escala ejecutiva se incardinaban dos grupos, el B y el C, lo que hace la convocatoria </w:t>
      </w:r>
      <w:r>
        <w:lastRenderedPageBreak/>
        <w:t>en aplicación de la disposición transitoria primera, apartado 2 es exigir la titulación correspondiente al grupo de la plaza que se convoca, resultando que es una plaza del grupo C, y por ello se exige la titulación de bachiller, formación profesional de segundo grado o equivalente, con la única diferencia de la denominación de la plaza “subinspector” a los efectos de unificarlas con las que se apliquen por la nueva ley.</w:t>
      </w:r>
    </w:p>
    <w:p w:rsidR="00D06117" w:rsidRDefault="00D06117" w:rsidP="00D06117">
      <w:pPr>
        <w:pStyle w:val="TextoNormal"/>
      </w:pPr>
    </w:p>
    <w:p w:rsidR="00D06117" w:rsidRDefault="00D06117" w:rsidP="00D06117">
      <w:pPr>
        <w:pStyle w:val="TextoNormal"/>
      </w:pPr>
      <w:r>
        <w:t>La representación procesal de la Junta de Andalucía considera por tanto que ha existido un error de interpretación de la norma cuestionada. El juzgador de instancia estima que el art. 38 de la Ley 13/2001 exige para la escala ejecutiva, grupo B, la titulación prevista en el art. 25 de la Ley 30/1984, esto es, la diplomatura. Sin embargo, la disposición transitoria primera, apartado 2 exime de tal titulación durante dos años, permitiendo acceder a este grupo B a los que sólo tengan título de bachiller o equivalente. No se trata de permitir que acceda a la escala ejecutiva, grupo B, quien no tenga la titulación exigida para este grupo por la ley estatal, sino de aplicar el régimen anteriormente vigente de forma transitoria, es decir, que puedan acceder a la escala ejecutiva, no sólo los del grupo B sino también los del grupo C, exigiéndose respecto a este último la titulación correspondiente al grupo C —la de bachiller o equivalente—.</w:t>
      </w:r>
    </w:p>
    <w:p w:rsidR="00D06117" w:rsidRDefault="00D06117" w:rsidP="00D06117">
      <w:pPr>
        <w:pStyle w:val="TextoNormal"/>
      </w:pPr>
    </w:p>
    <w:p w:rsidR="00D06117" w:rsidRDefault="00D06117" w:rsidP="00D06117">
      <w:pPr>
        <w:pStyle w:val="TextoNormal"/>
      </w:pPr>
      <w:r>
        <w:t>Lo que hace la disposición transitoria cuestionada es simplemente mantener la correspondencia anterior, sin alterar la titulación-grupo de la ley estatal. En la resolución impugnada se convoca una plaza del grupo C para la escala ejecutiva, exigiendo conforme a la Ley 30/1984 la titulación que se requiere para ese grupo.</w:t>
      </w:r>
    </w:p>
    <w:p w:rsidR="00D06117" w:rsidRDefault="00D06117" w:rsidP="00D06117">
      <w:pPr>
        <w:pStyle w:val="TextoNormal"/>
      </w:pPr>
    </w:p>
    <w:p w:rsidR="00D06117" w:rsidRDefault="00D06117" w:rsidP="00D06117">
      <w:pPr>
        <w:pStyle w:val="TextoNormal"/>
      </w:pPr>
      <w:r>
        <w:t>La Letrada de la Junta de Andalucía aduce que el juzgador de instancia no hace sino reproducir los argumentos que otro órgano jurisdiccional mantuvo para plantear la cuestión de inconstitucionalidad de otra disposición transitoria distinta, la disposición transitoria cuarta de la misma Ley 13/2001, relativa a la dispensa de titulación para la promoción interna.</w:t>
      </w:r>
    </w:p>
    <w:p w:rsidR="00D06117" w:rsidRDefault="00D06117" w:rsidP="00D06117">
      <w:pPr>
        <w:pStyle w:val="TextoNormal"/>
      </w:pPr>
    </w:p>
    <w:p w:rsidR="00D06117" w:rsidRDefault="00D06117" w:rsidP="00D06117">
      <w:pPr>
        <w:pStyle w:val="TextoNormal"/>
      </w:pPr>
      <w:r>
        <w:t>Finaliza sus alegaciones señalando que la disposición transitoria primera, apartado 2 respeta la titulación que la ley estatal asigna a cada uno de los grupos, tratándose simplemente de demorar la correspondencia en cada una de las escalas de dichos grupos.</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escrito registrado en este Tribunal el 19 de mayo de 2005, el Fiscal General del Estado interesó de este Tribunal que declarase inadmisible la cuestión planteada por falta de aplicabilidad de la disposición transitoria primera, apartado 2 de la Ley del Parlamento de Andalucía 13/2001, de 11 de diciembre, de coordinación de las policías locales o, subsidiariamente, que estimase la cuestión declarando la inconstitucionalidad de la norma cuestionada.</w:t>
      </w:r>
    </w:p>
    <w:p w:rsidR="00D06117" w:rsidRDefault="00D06117" w:rsidP="00D06117">
      <w:pPr>
        <w:pStyle w:val="TextoNormal"/>
      </w:pPr>
    </w:p>
    <w:p w:rsidR="00D06117" w:rsidRDefault="00D06117" w:rsidP="00D06117">
      <w:pPr>
        <w:pStyle w:val="TextoNormal"/>
      </w:pPr>
      <w:r>
        <w:t xml:space="preserve">Tras reproducir las disposiciones estatales y autonómicas aplicables al caso, el Fiscal General estima que la disposición cuestionada no es relevante para la resolución del caso, por lo que debería ser inadmitida. Para ello se basa en la lectura detenida de las bases de la convocatoria impugnada en el procedimiento contencioso-administrativo. En la base primera se establece que “la plaza citada adscrita a la Escala Ejecutiva, conforme determina el artículo 108 de la Ley 13/2001, de 11 de diciembre, de Coordinación de las Policías Locales de Andalucía, se encuadra en el Grupo C del artículo 25 de la Ley 30/1984, de 2 de agosto, de Medidas para la Reforma de la Ley de la Función Pública, sin perjuicio de lo establecido </w:t>
      </w:r>
      <w:r>
        <w:lastRenderedPageBreak/>
        <w:t>en la Disposición transitoria primera de la citada Ley 13/2001”. Aunque consta una referencia a la disposición transitoria primera, está claro el encuadramiento en el grupo C de la plaza de subinspector que simultáneamente está adscrita a la escala ejecutiva. De forma que cuando en la base tercera, sobre los requisitos de los aspirantes, se establece como requisito b) “estar en posesión del título de Bachiller, Técnico Superior de Formación Profesional o equivalente”, únicamente se está señalando la consecuencia —en cuanto al título exigible— del encuadramiento de la plaza en el grupo C del art. 25 de la Ley 30/1984. Concluye su razonamiento el Fiscal General del Estado señalando que las bases de la convocatoria no han hecho aplicación de la disposición transitoria cuestionada, lo que no obsta para considerar —sin pretender inmiscuirse en la función judicial de resolución del conflicto— que el encuadramiento de la plaza en cuestión en el grupo C parece contrario al art. 19 de la Ley 13/2001. Como no puede saberse si el Ayuntamiento, en caso de anulación de las bases y nueva convocatoria con un encuadramiento de la plaza en el grupo B, podrá aplicar la disposición transitoria cuestionada, procede la inadmisión de la cuestión planteada, ya que en la convocatoria impugnada no se ha aplicado la repetida disposición transitoria.</w:t>
      </w:r>
    </w:p>
    <w:p w:rsidR="00D06117" w:rsidRDefault="00D06117" w:rsidP="00D06117">
      <w:pPr>
        <w:pStyle w:val="TextoNormal"/>
      </w:pPr>
    </w:p>
    <w:p w:rsidR="00D06117" w:rsidRDefault="00D06117" w:rsidP="00D06117">
      <w:pPr>
        <w:pStyle w:val="TextoNormal"/>
      </w:pPr>
      <w:r>
        <w:t>A continuación, por si no se estimase la causa de inadmisibilidad propuesta, el Fiscal General entra en el fondo de lo planteado. Comienza descartando que la disposición legal cuestionada invada la competencia reservada al Estado en materia de obtención, expedición y homologación de títulos académicos y profesionales, ya que no es aplicable al caso el paralelismo que señala el Auto de planteamiento en relación con la STC 82/1993. En el presente caso únicamente existe una dispensa de titulación, no una equivalencia de títulos no homologados por el Estado con otros que sí lo están, ni el reconocimiento de unos títulos sin que se cumplan los requisitos que se han establecido por el Estado.</w:t>
      </w:r>
    </w:p>
    <w:p w:rsidR="00D06117" w:rsidRDefault="00D06117" w:rsidP="00D06117">
      <w:pPr>
        <w:pStyle w:val="TextoNormal"/>
      </w:pPr>
    </w:p>
    <w:p w:rsidR="00D06117" w:rsidRDefault="00D06117" w:rsidP="00D06117">
      <w:pPr>
        <w:pStyle w:val="TextoNormal"/>
      </w:pPr>
      <w:r>
        <w:t xml:space="preserve">Por lo que se refiere a la adecuación de la norma cuestionada con el orden constitucional de competencias previsto en el art. 149.1.18 CE, el Fiscal subraya que de forma preliminar habría que estudiar si los artículos de la Ley 30/1984 que se citan en el Auto de planteamiento tienen el carácter de legislación básica, reproduciendo en este sentido lo señalado en la STC 103/1997 (FJ 2) sobre el carácter básico de las disposiciones de la Ley 30/1984 que se mencionan en su art. 1.3. No obstante, afirma que el carácter básico de los arts. 22.1 y 25 viene reconocido por su aplicación como tales en la STC 388/1993, citada literalmente en el Auto de planteamiento y que el Fiscal reproduce también ampliamente en sus alegaciones. Destaca que la normativa de la Ley del Parlamento de Andalucía 13/2001 es conforme con la legislación estatal a este respecto, como se advierte al confrontar los arts. 18, 19, 38 y 44 con los correspondientes de la Ley 30/1984, siendo únicamente la disposición transitoria cuestionada la que permite la dispensa de titulación en un grado para el acceso a la categoría de subinspector. Atendiendo a lo señalado en la exposición de motivos de la Ley 13/2001 se constata que dicha dispensa de titulación se justifica expresamente en la transitoriedad de las disposiciones. Sostiene que disposiciones de este tipo suelen justificarse en la necesidad transitoria de cubrir los puestos de un nuevo cuerpo de funcionarios para que comience a cumplir su misión. Pero esta argumentación no sería aplicable al caso, porque no se trata de cuerpos de nueva creación o estructuración. La Ley 13/2001 vino a sustituir a la Ley 1/1989, de 8 de mayo, que ya regulaba los cuerpos de policía local de forma similar a la actual, con el establecimiento de iguales escalas y similares categorías a las establecidas en la Ley 13/2001. Con arreglo a dicha ley y por espacio de doce años, se constituyeron los correspondientes cuerpos de policía local, gozando durante el primer lustro de la dispensa de un grado del requisito de titulación y con unas exigencias de titulación menores (en las escalas </w:t>
      </w:r>
      <w:r>
        <w:lastRenderedPageBreak/>
        <w:t>ejecutiva y básica) a las establecidas en la ley más reciente e inferiores a las establecidas en la Ley 30/1984. Como consecuencia de lo anterior, el problema que tiene que resolver la nueva Ley 13/2001 es el de lograr que quienes han alcanzado una categoría que ahora exige un título académico superior al que tienen, lo obtengan; de ahí la disposición transitoria tercera, de la que se desprende la tendencia del sistema a que los funcionarios que no tengan la titulación exigida en la ley la adquieran. Por lo que carece de lógica que, durante los mismos años otorgados para que adquieran la titulación exigida se siga permitiendo el ingreso de funcionarios en categorías para las que no dispongan de la titulación exigida en los preceptos legales. De todo lo anterior el Fiscal General del Estado concluye que, al ser la disposición transitoria cuestionada contraria a la normativa estatal en materia cuyas bases están reservadas a la competencia exclusiva del Estado y al no apreciarse justificación razonable y suficiente del régimen transitorio que se establece, procede declarar la inconstitucionalidad de la disposición transitoria.</w:t>
      </w:r>
    </w:p>
    <w:p w:rsidR="00D06117" w:rsidRDefault="00D06117" w:rsidP="00D06117">
      <w:pPr>
        <w:pStyle w:val="TextoNormal"/>
      </w:pPr>
    </w:p>
    <w:p w:rsidR="00D06117" w:rsidRDefault="00D06117" w:rsidP="00D06117">
      <w:pPr>
        <w:pStyle w:val="TextoNormal"/>
      </w:pPr>
      <w:r w:rsidRPr="00D06117">
        <w:rPr>
          <w:rStyle w:val="NumeroAFNegritaCaracter"/>
        </w:rPr>
        <w:t>9</w:t>
      </w:r>
      <w:r>
        <w:t>. Por escrito registrado el 20 de mayo de 2005 la Letrada del Parlamento de Andalucía, en la representación que de éste ostenta, formuló sus alegaciones. De forma preliminar se queja del carácter incompleto de las actuaciones recibidas, señalando la falta del expediente administrativo y del acta del juicio oral, que hubieran sido importantes para verificar la idoneidad del juicio de relevancia. Entrando en el fondo, argumenta la inadmisibilidad de la cuestión planteada, por indebida motivación del juicio de relevancia y por falta de relevancia de la duda de constitucionalidad planteada para la decisión del proceso a quo. La duda de constitucionalidad parte de una premisa errónea y no guarda relación con el contenido de la disposición impugnada, pues basta una simple lectura de la misma para comprobar que, aunque sí permite que durante los dos años siguientes a la entrada en vigor de la ley pueden ingresar en la categoría de subinspector quienes sólo posean la titulación correspondiente al grupo C, en ningún momento establece que estos subinspectores queden o vayan a quedar integrados en el grupo B. Es más, aunque en el art. 19 se establece que los subinspectores se clasifican en el grupo B, durante el periodo transitorio de dos años al que se refiere esta disposición los subinspectores continúan integrados en el grupo C. Ello se deduce claramente del contexto normativo en el que se inserta la disposición transitoria cuestionada, el cual ha sido ignorado por el órgano proponente de la cuestión.</w:t>
      </w:r>
    </w:p>
    <w:p w:rsidR="00D06117" w:rsidRDefault="00D06117" w:rsidP="00D06117">
      <w:pPr>
        <w:pStyle w:val="TextoNormal"/>
      </w:pPr>
    </w:p>
    <w:p w:rsidR="00D06117" w:rsidRDefault="00D06117" w:rsidP="00D06117">
      <w:pPr>
        <w:pStyle w:val="TextoNormal"/>
      </w:pPr>
      <w:r>
        <w:t xml:space="preserve">A continuación desarrolla el argumento, indicando que en la anterior estructura de los cuerpos de policía local establecida en los arts. 14 y 16 de la Ley 1/1989, de 8 de mayo, de coordinación de policías locales de Andalucía, la titulación exigida para acceder a la categoría de sargento (que es la que, de conformidad con lo dispuesto en la disposición transitoria octava de la nueva ley, se correspondía con la actual categoría de subinspector) era la fijada para el grupo C en el art. 25 de la Ley 30/1984, mientras que la titulación exigida para acceder a las dos categorías incluidas en la escala básica (cabo y policía) era la correspondiente al grupo D de los establecidos en aquel precepto. Una de las novedades que introduce la nueva Ley 13/2001 es precisamente la modificación de esa estructura, de modo que en el art. 19 la categoría de subinspector pasa a quedar integrada dentro del grupo B, y las dos categorías incluidas dentro de la escala básica (que pasan a denominarse oficial y policía) en el grupo C. Ahora bien, en contra de lo que parece deducirse del Auto de planteamiento, la aplicación de lo dispuesto en el art. 19 —la integración de la categoría de subinspector en los nuevos grupos de clasificación— no se produce automáticamente con la mera entrada en vigor de la nueva ley. En la nueva ley se establece un régimen transitorio cuyas principales características consisten en que la integración de los funcionarios pertenecientes a la </w:t>
      </w:r>
      <w:r>
        <w:lastRenderedPageBreak/>
        <w:t>categoría de subinspector en el grupo B no se produce hasta que hayan transcurrido dos años desde la entrada en vigor de la ley y en que mientras tanto, hasta que llegue ese momento, los subinspectores sólo percibirán las retribuciones correspondientes al grupo C, manteniéndose, por tanto, en todo lo demás los antiguos grupos de clasificación, que de este modo continúan vigentes. Todo ello se desprende del apartado tercero de la disposición transitoria primera y de la disposición transitoria tercera, que no son objeto de la presente cuestión de inconstitucionalidad.</w:t>
      </w:r>
    </w:p>
    <w:p w:rsidR="00D06117" w:rsidRDefault="00D06117" w:rsidP="00D06117">
      <w:pPr>
        <w:pStyle w:val="TextoNormal"/>
      </w:pPr>
    </w:p>
    <w:p w:rsidR="00D06117" w:rsidRDefault="00D06117" w:rsidP="00D06117">
      <w:pPr>
        <w:pStyle w:val="TextoNormal"/>
      </w:pPr>
      <w:r>
        <w:t>Si lo anterior se pone en conexión con el contenido de la disposición legal cuestionada, se comprueba que la duda de constitucionalidad está mal acotada, porque no guarda relación alguna con esta disposición. El tenor literal del apartado 2 de la disposición transitoria primera se limita a exigir la titulación correspondiente al grupo C para acceder a unas plazas que, durante el periodo transitorio al que se refiere, y en virtud de lo dispuesto en el apartado 3 de la misma disposición transitoria y en la disposición transitoria tercera, pertenecen al grupo C. Por ello, y en contra de lo que se afirma en el auto de planteamiento, la disposición cuestionada no produce el efecto de permitir que accedan al grupo B quienes no ostentan la titulación requerida para ello en el art. 25. Este, en su caso, sería un vicio imputable a la disposición transitoria tercera, o al apartado 3 de la disposición transitoria primera; ahora bien, ninguna de estas disposiciones ha sido acotada como objeto de la presente cuestión de inconstitucionalidad.</w:t>
      </w:r>
    </w:p>
    <w:p w:rsidR="00D06117" w:rsidRDefault="00D06117" w:rsidP="00D06117">
      <w:pPr>
        <w:pStyle w:val="TextoNormal"/>
      </w:pPr>
    </w:p>
    <w:p w:rsidR="00D06117" w:rsidRDefault="00D06117" w:rsidP="00D06117">
      <w:pPr>
        <w:pStyle w:val="TextoNormal"/>
      </w:pPr>
      <w:r>
        <w:t>La anterior conclusión es reforzada con la reproducción de parte del párrafo segundo de la base primera de la convocatoria, en el cual se afirma que “la plaza citada adscrita a la Escala Ejecutiva, conforme determina el artículo 108 de la Ley 13/2001, de 11 de diciembre, de Coordinación de las Policías Locales de Andalucía, se encuadra en el Grupo C del artículo 25 de la Ley 30/1984, de 2 de agosto, de Medidas para la Reforma de la Ley de la Función Pública, sin perjuicio de lo establecido en la Disposición transitoria primera de la citada Ley 13/2001”. La rotundidad con la que se expresa la base citada, unida al hecho de que no haya sido impugnada en el proceso a quo y que la Sentencia que se dicte ha de ser congruente con la pretensión del recurrente, pone también de manifiesto que, aunque se declarase la invalidez de la disposición cuestionada, el fallo del proceso no habría de ser necesariamente estimatorio de la pretensión anulatoria del demandante, pues en cualquier caso la plaza objeto de la convocatoria, en tanto no se impugnase la base primera de la misma, continuaría perteneciendo al grupo C.</w:t>
      </w:r>
    </w:p>
    <w:p w:rsidR="00D06117" w:rsidRDefault="00D06117" w:rsidP="00D06117">
      <w:pPr>
        <w:pStyle w:val="TextoNormal"/>
      </w:pPr>
    </w:p>
    <w:p w:rsidR="00D06117" w:rsidRDefault="00D06117" w:rsidP="00D06117">
      <w:pPr>
        <w:pStyle w:val="TextoNormal"/>
      </w:pPr>
      <w:r>
        <w:t>Seguidamente argumenta la Letrada del Parlamento de Andalucía que, aun en el caso de que se considere que el planteamiento del órgano judicial es correcto, en el presente caso tampoco se produciría la invasión competencial denunciada. El argumento, que se desarrolla en detalle, puede sintetizarse de la siguiente forma. No se ha producido una vulneración de los arts. 22.1 y 25 de la Ley 30/1984, ya que estos preceptos no forman parte del régimen estatutario de los miembros de los cuerpos de policía local, ni la disposición transitoria cuestionada se incardina en el ámbito propio de la materia contemplada en el art. 149.1.18 CE. En la interpretación del Tribunal a quo se desconocen, además de las peculiaridades del régimen estatutario de los funcionarios de estos cuerpos de policía local, las competencias específicas asumidas por la Comunidad Autónoma de Andalucía en materia de coordinación de las policías locales, en virtud de lo dispuesto en el art. 14.2 de su Estatuto de Autonomía.</w:t>
      </w:r>
    </w:p>
    <w:p w:rsidR="00D06117" w:rsidRDefault="00D06117" w:rsidP="00D06117">
      <w:pPr>
        <w:pStyle w:val="TextoNormal"/>
      </w:pPr>
    </w:p>
    <w:p w:rsidR="00D06117" w:rsidRDefault="00D06117" w:rsidP="00D06117">
      <w:pPr>
        <w:pStyle w:val="TextoNormal"/>
      </w:pPr>
      <w:r>
        <w:lastRenderedPageBreak/>
        <w:t>Por último concluye argumentando que no existe vulneración de las competencias reconocidas al Estado por el art. 149.1.30 CE. Destaca que las referencias que se aducen a este respecto en el auto de planteamiento de la cuestión no guardan relación con el presente supuesto, sino con el establecimiento de cursos de dispensa de grado. Si bien en dichos supuestos se considera inconstitucional que una Comunidad Autónoma se atribuya la facultad de establecer la equivalencia entre los títulos académicos exigidos legalmente para acceder a las diversas escales y categorías y los cursos realizados en determinados centros, nada de eso se establece en la disposición transitoria cuestionada, sino la titulación académica necesaria para acceder a una de las categorías en las que se estructuran los cuerpos de policía local de Andalucía. En cualquier caso, estima que resulta obvio que la determinación de la titulación exigible para acceder a una de dichas categorías no se incluye dentro del ámbito propio de la materia a la que se refiere el art. 149.1.30 CE, tal y como éste ha sido delimitado en las SSTC 42/1981 y 82/1993.</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13 de enero de 2012, se señaló para deliberación y votación de la presente Sentencia el día 13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cuestión de inconstitucionalidad se suscita por el Juez de lo Contencioso-Administrativo núm. 2 de Córdoba en relación con la disposición transitoria primera, apartado 2 de la Ley del Parlamento de Andalucía 13/2001, de 11 de diciembre, de coordinación de policías locales, precepto de cuya aplicación depende el fallo del procedimiento abreviado 514-2003, en el cual se impugnaba la base tercera de la convocatoria para la provisión en propiedad de una plaza de subinspector de la policía local del Ayuntamiento de Rute (Córdoba).</w:t>
      </w:r>
    </w:p>
    <w:p w:rsidR="00D06117" w:rsidRDefault="00D06117" w:rsidP="00D06117">
      <w:pPr>
        <w:pStyle w:val="TextoNormal"/>
      </w:pPr>
    </w:p>
    <w:p w:rsidR="00D06117" w:rsidRDefault="00D06117" w:rsidP="00D06117">
      <w:pPr>
        <w:pStyle w:val="TextoNormal"/>
      </w:pPr>
      <w:r>
        <w:t>La norma legal cuya constitucionalidad se cuestiona tiene el siguiente tenor:</w:t>
      </w:r>
    </w:p>
    <w:p w:rsidR="00D06117" w:rsidRDefault="00D06117" w:rsidP="00D06117">
      <w:pPr>
        <w:pStyle w:val="TextoNormal"/>
      </w:pPr>
    </w:p>
    <w:p w:rsidR="00D06117" w:rsidRDefault="00D06117" w:rsidP="00D06117">
      <w:pPr>
        <w:pStyle w:val="TextoNormal"/>
      </w:pPr>
      <w:r>
        <w:t>“La titulación de diplomado universitario o equivalente para el acceso a la categoría de Subinspector, establecida en el artículo 38, sólo será exigible a partir de los dos años de la entrada en vigor de la presente Ley, exigiéndose hasta tanto la titulación de bachiller o equivalente.”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Dos son las razones por las cuales el órgano judicial considera que la disposición transitoria cuestionada resulta contraria al orden constitucional de competencias. En primer lugar, entiende que la dispensa de un grado de titulación que para la promoción interna de los funcionarios de policía local se contiene en el precepto legal indicado, es contraria a lo dispuesto por los arts. 22.1 y 25 de la Ley 30/1984, de 2 de agosto, de medidas para la reforma de la función pública, en los cuales se exige que los funcionarios que participen en procesos de promoción interna posean la titulación exigida para el grupo funcionarial superior. Dado que estos preceptos, a tenor de lo dispuesto por el art. 1.3 de la propia ley, se “consideran bases del régimen estatutario de los funcionarios públicos, dictadas al amparo del artículo 149.1.18 de la Constitución”, y que la oposición entre la norma cuestionada y estos preceptos es patente, el órgano judicial concluye que aquélla resulta contraria a la competencia exclusiva del Estado dispuesta en el art. 149.1.18 CE. En segundo lugar, de no apreciarse el anterior motivo de inconstitucionalidad, el órgano judicial considera que la </w:t>
      </w:r>
      <w:r>
        <w:lastRenderedPageBreak/>
        <w:t>norma cuestionada vulnera la competencia exclusiva estatal para la regulación de las condiciones de obtención, expedición y homologación de títulos académicos y profesionales establecida en el art. 149.1.30 CE.</w:t>
      </w:r>
    </w:p>
    <w:p w:rsidR="00D06117" w:rsidRDefault="00D06117" w:rsidP="00D06117">
      <w:pPr>
        <w:pStyle w:val="TextoNormal"/>
      </w:pPr>
    </w:p>
    <w:p w:rsidR="00D06117" w:rsidRDefault="00D06117" w:rsidP="00D06117">
      <w:pPr>
        <w:pStyle w:val="TextoNormal"/>
      </w:pPr>
      <w:r>
        <w:t>El Abogado del Estado considera que la norma cuestionada incide en los dos motivos de inconstitucionalidad propuestos por el órgano judicial, mientras que el Ministerio Fiscal interesa que se declara inadmisible la cuestión planteada por falta de aplicabilidad de la norma cuestionada o, subsidiariamente, la estimación de la cuestión por el primero de los motivos propuestos por el órgano judicial. Por su parte, el Gobierno de la Junta de Andalucía no acepta las tachas de inconstitucionalidad formuladas por el órgano judicial, y el Parlamento de la Comunidad Autónoma solicita que se declare inadmisible la cuestión planteada, por indebida motivación del juicio de relevancia y por falta de relevancia de la duda de constitucionalidad planteada para la decisión del proceso a quo o, subsidiariamente, que se descarten las tachas de inconstitucionalidad formuladas.</w:t>
      </w:r>
    </w:p>
    <w:p w:rsidR="00D06117" w:rsidRDefault="00D06117" w:rsidP="00D06117">
      <w:pPr>
        <w:pStyle w:val="TextoNormal"/>
      </w:pPr>
    </w:p>
    <w:p w:rsidR="00D06117" w:rsidRDefault="00D06117" w:rsidP="00D06117">
      <w:pPr>
        <w:pStyle w:val="TextoNormal"/>
      </w:pPr>
      <w:r w:rsidRPr="00D06117">
        <w:rPr>
          <w:rStyle w:val="NumeroAFNegritaCaracter"/>
        </w:rPr>
        <w:t>3</w:t>
      </w:r>
      <w:r>
        <w:t>. Expuestas la duda de constitucionalidad planteada y las posiciones de las partes comparecidas debemos ahora examinar el óbice procesal formulado por el Ministerio Fiscal y el Parlamento de Andalucía relativo al incumplimiento del denominado juicio de relevancia, lo que acarrearía la inadmisión de la cuestión. El Ministerio Fiscal argumenta que, aunque la clasificación de la plaza convocada como perteneciente al grupo C parezca contraria a la Ley 13/2001 —determinación que, se subraya, únicamente corresponde efectuar a los órganos judiciales competentes para resolver el conflicto—, lo decisivo a su juicio es que las bases de la convocatoria impugnada no hacen aplicación de la disposición transitoria cuestionada. Por su parte, el Parlamento de Andalucía basa el incumplimiento del denominado juicio de relevancia en un doble motivo: por un lado, la duda de constitucionalidad está mal acotada, porque la disposición que permite que accedan al grupo B quienes no ostentan la titulación requerida para ello en el art. 25 de la Ley del Parlamento de Andalucía 13/2001 no es la disposición cuestionada, sino la disposición transitoria tercera o el apartado 3 de la disposición transitoria primera; por otro se aduce que la declaración de inconstitucionalidad de la disposición cuestionada no conduciría necesariamente a estimar la pretensión anulatoria, pues la plaza objeto de convocatoria, en tanto no se impugnase la base primera, la misma continuaría perteneciendo al grupo C.</w:t>
      </w:r>
    </w:p>
    <w:p w:rsidR="00D06117" w:rsidRDefault="00D06117" w:rsidP="00D06117">
      <w:pPr>
        <w:pStyle w:val="TextoNormal"/>
      </w:pPr>
    </w:p>
    <w:p w:rsidR="00D06117" w:rsidRDefault="00D06117" w:rsidP="00D06117">
      <w:pPr>
        <w:pStyle w:val="TextoNormal"/>
      </w:pPr>
      <w:r>
        <w:t>El óbice formulado no puede ser acogido ya que el órgano judicial ha satisfecho la exigencia de justificar la medida en que la decisión del proceso depende la validez de la norma cuestionada [art. 35.2 de la Ley Orgánica del Tribunal Constitucional (LOTC)], es decir, el requisito conocido como juicio de relevancia. En efecto, el Juzgado afirma en su Auto de planteamiento de la cuestión de inconstitucionalidad que el sentido del fallo del proceso a quo depende la validez de la norma legal cuestionada, toda vez que la resolución que ha sido impugnada en el proceso, en concreto la base tercera del concurso-oposición, que establece como requisito de acceso a la plaza convocada de subinspector de la policía local del Ayuntamiento de Rute, la titulación académica de bachiller, técnico superior de formación profesional o equivalente, tiene apoyo directo en la disposición transitoria primera, apartado 2 de la Ley del Parlamento de Andalucía 13/2001, de 11 de diciembre, de coordinación de las policías locales, por lo que es evidente que la resolución de aquel proceso judicial, en cuanto a la impugnación de la referida resolución, depende, en último término de la validez de la norma cuestionada.</w:t>
      </w:r>
    </w:p>
    <w:p w:rsidR="00D06117" w:rsidRDefault="00D06117" w:rsidP="00D06117">
      <w:pPr>
        <w:pStyle w:val="TextoNormal"/>
      </w:pPr>
    </w:p>
    <w:p w:rsidR="00D06117" w:rsidRDefault="00D06117" w:rsidP="00D06117">
      <w:pPr>
        <w:pStyle w:val="TextoNormal"/>
      </w:pPr>
      <w:r>
        <w:lastRenderedPageBreak/>
        <w:t>Sin duda existe una relación lógica entre el contenido de la disposición transitoria primera, apartado 2 de la Ley 13/2001 y la titulación académica requerida en la base tercera de la convocatoria de la plaza de policía local cuya legalidad se discute en el proceso a quo. Ciertamente la única razón jurídica plausible por la que las bases de una convocatoria de una plaza de subinspector de policía local que pertenece a la escala ejecutiva y al grupo B (arts. 18 y 19 de la Ley 13/2001) y para la cual la legislación autonómica establece claramente que la titulación académica requerida a tal efecto es la de ingeniero técnico, diplomado universitario, arquitecto técnico, formación profesional de tercer grado o equivalente (art. 38 de la Ley 13/2001 en conexión con el art. 25 de la Ley de medidas para la reforma de la función pública) podrían separarse de dicha exigencia general y determinar que la titulación académica requerida sea inferior sólo puede encontrarse cabalmente en la norma cuestionada que prevé una dispensa de titulación en un grado específica para el acceso a la categoría de subinspector durante un periodo de tiempo de dos años a partir de los dos años de la entrada en vigor de la ley, exigiéndose “hasta tanto la titulación de bachiller o equivalente”. Al mismo tiempo es indiscutible que la norma cuestionada resulta aplicable ratione temporis a la convocatoria para la provisión de una plaza de subinspector cuyos requisitos han sido impugnados en el proceso a quo, pues la Ley 13/2001 entró en vigor a los veinte días de su publicación en el “Boletín Oficial de la Junta de Andalucía” (lo que ocurrió en el boletín núm. 144, de 15 de diciembre de 2001) y el Decreto de la Alcaldía convocando la provisión de una plaza de subinspector se adoptó el 19 de noviembre de 2003 y se publicó en el “Boletín Oficial de la Junta de Andalucía” el 4 de diciembre de 2003, esto es, dentro del plazo de dos años establecido por la norma cuestionada.</w:t>
      </w:r>
    </w:p>
    <w:p w:rsidR="00D06117" w:rsidRDefault="00D06117" w:rsidP="00D06117">
      <w:pPr>
        <w:pStyle w:val="TextoNormal"/>
      </w:pPr>
    </w:p>
    <w:p w:rsidR="00D06117" w:rsidRDefault="00D06117" w:rsidP="00D06117">
      <w:pPr>
        <w:pStyle w:val="TextoNormal"/>
      </w:pPr>
      <w:r>
        <w:t>Por otra parte, debemos rechazar el argumento del Parlamento de Andalucía de que la disposición cuestionada, aunque sí permite que durante los dos años siguientes a la entrada en vigor de la ley pueden ingresar en la categoría de subinspector quienes sólo posean la titulación correspondiente al grupo C, en ningún momento establece que estos subinspectores queden o vayan a quedar integrados en el grupo B. La simple lectura de las disposiciones subsiguientes a la cuestionada evidencia lo contrario: así, durante el periodo de dos años a partir de la entrada en vigor de la ley, los funcionarios que accedan a la categoría de subinspector con arreglo a la disposición transitoria primera, apartado 2 “se entenderán clasificados, sólo a efectos retributivos” en el grupo B (disposición transitoria primera, apartado.3) y, posteriormente, a los dos años de la entrada en vigor de la ley, los funcionarios que carezcan de la titulación académica requerida para la categoría a la que pertenecen “se clasificarán en el correspondiente nuevo grupo [en este caso, el grupo B] como situación a extinguir, con respeto de sus derechos, permaneciendo en dicha situación hasta que acrediten haber obtenido los nuevos niveles de titulación exigidos en cada caso” (disposición transitoria tercera). Así pues, aun recogiendo algunas restricciones que no viene al caso analizar ahora, la propia Ley 13/2001 establece cómo los funcionarios que, de conformidad con lo previsto en la disposición transitoria primera, apartado 2, accedan a la categoría de subinspector con la titulación de bachiller o equivalente se integrarán en el grupo B.</w:t>
      </w:r>
    </w:p>
    <w:p w:rsidR="00D06117" w:rsidRDefault="00D06117" w:rsidP="00D06117">
      <w:pPr>
        <w:pStyle w:val="TextoNormal"/>
      </w:pPr>
    </w:p>
    <w:p w:rsidR="00D06117" w:rsidRDefault="00D06117" w:rsidP="00D06117">
      <w:pPr>
        <w:pStyle w:val="TextoNormal"/>
      </w:pPr>
      <w:r>
        <w:t xml:space="preserve">De lo anterior se desprende, en suma, que el proceso judicial no puede resolverse si antes no se despeja la duda acerca de la adecuación o no a la Constitución de la regulación legal relativa a la dispensa transitoria en un grado de la exigencia de la titulación requerida para el acceso a la plaza de subinspector de policía local, de manera que el pronunciamiento de este Tribunal no resulta ser innecesario o indiferente para la decisión del proceso en el que la cuestión se suscita. Así, el juicio de relevancia, entendido como el esquema argumental </w:t>
      </w:r>
      <w:r>
        <w:lastRenderedPageBreak/>
        <w:t>en razón del cual el contenido del fallo del órgano judicial depende precisamente de la norma cuya constitucionalidad se cuestiona, ha de entenderse adecuadamente formulado dado que existe una relación lógica entre la eventual anulación de la disposición legal cuestionada y la satisfacción de la pretensión ejercitada en el proceso a quo en relación con la resolución impugnada (SSTC 27/1991, de 14 de febrero, FJ 3 in fine; y 12/1999, de 11 de febrero, FJ l), por cuanto la resolución de aquel proceso judicial depende, en último término, de la validez de la cuestionada disposición transitoria primera, apartado 2 de la Ley del Parlamento de Andalucía 13/2001.</w:t>
      </w:r>
    </w:p>
    <w:p w:rsidR="00D06117" w:rsidRDefault="00D06117" w:rsidP="00D06117">
      <w:pPr>
        <w:pStyle w:val="TextoNormal"/>
      </w:pPr>
    </w:p>
    <w:p w:rsidR="00D06117" w:rsidRDefault="00D06117" w:rsidP="00D06117">
      <w:pPr>
        <w:pStyle w:val="TextoNormal"/>
      </w:pPr>
      <w:r w:rsidRPr="00D06117">
        <w:rPr>
          <w:rStyle w:val="NumeroAFNegritaCaracter"/>
        </w:rPr>
        <w:t>4</w:t>
      </w:r>
      <w:r>
        <w:t>. Descartado en la forma expuesta el óbice planteado resulta necesario ahora precisar el canon de enjuiciamiento de la presente cuestión pues, como recuerda la STC 175/2011, de 8 de noviembre, FJ 2, en las cuestiones de inconstitucionalidad, “el control de los preceptos que pudieren haber incurrido en un exceso competencial no ha de efectuarse con arreglo a las normas del bloque constitucional vigentes en el momento de dictarse la Sentencia, sino de acuerdo con las normas vigentes en el momento en que fue planteada la cuestión en el proceso a quo”. En efecto, debemos valorar la tacha de inconstitucionalidad que se imputa al precepto cuestionado de acuerdo con la normas vigentes en el momento en que fue planteada la cuestión en el proceso a quo, lo que conduce a tomar en consideración lo establecido en el Estatuto de Autonomía de Andalucía aprobado por Ley Orgánica 6/1981, de 30 de diciembre así como lo dispuesto en los arts. 22.1 y 25 de la Ley 30/1984, de 2 de agosto, de medidas para la reforma de la función pública, preceptos estos últimos propuestos por el órgano a quo como parámetro de control de la disposición cuestionada, careciendo, por el contrario, de relevancia para la resolución de la presente cuestión la modificación estatutaria realizada por la Ley Orgánica 2/2007, de 19 de marzo, ni tampoco las modificaciones introducidas por la Ley 7/2007, de 12 abril, del estatuto básico del empleado público.</w:t>
      </w:r>
    </w:p>
    <w:p w:rsidR="00D06117" w:rsidRDefault="00D06117" w:rsidP="00D06117">
      <w:pPr>
        <w:pStyle w:val="TextoNormal"/>
      </w:pPr>
    </w:p>
    <w:p w:rsidR="00D06117" w:rsidRDefault="00D06117" w:rsidP="00D06117">
      <w:pPr>
        <w:pStyle w:val="TextoNormal"/>
      </w:pPr>
      <w:r w:rsidRPr="00D06117">
        <w:rPr>
          <w:rStyle w:val="NumeroAFNegritaCaracter"/>
        </w:rPr>
        <w:t>5</w:t>
      </w:r>
      <w:r>
        <w:t>. Señalado lo anterior es posible apreciar que el núcleo de la controversia suscitada se contrae al encuadramiento competencial de la norma cuestionada, pues mientras que el órgano judicial (con la concurrencia del Abogado del Estado y del Ministerio Fiscal) parte de que se trata de una norma que incide en el régimen estatutario de los funcionarios públicos —los policías locales— para el que el Estado tiene competencia exclusiva en cuanto a su régimen jurídico básico, el Parlamento de Andalucía sostiene que se trataría de una especificidad propia del régimen estatutario de los cuerpos de policía local que la Comunidad Autónoma podría establecer en el ejercicio de sus competencias en materia de coordinación de las policías locales andaluzas reconocidas en el art. 14.2 del Estatuto de Autonomía de 1981.</w:t>
      </w:r>
    </w:p>
    <w:p w:rsidR="00D06117" w:rsidRDefault="00D06117" w:rsidP="00D06117">
      <w:pPr>
        <w:pStyle w:val="TextoNormal"/>
      </w:pPr>
    </w:p>
    <w:p w:rsidR="00D06117" w:rsidRDefault="00D06117" w:rsidP="00D06117">
      <w:pPr>
        <w:pStyle w:val="TextoNormal"/>
      </w:pPr>
      <w:r>
        <w:t xml:space="preserve">Pues bien, sobre el encuadramiento material de una norma semejante a la ahora cuestionada ya se ha pronunciado este Tribunal en la citada STC 175/2011, de 8 de noviembre, cuya doctrina y conclusiones son de plena aplicación al presente supuesto. En ella, tras analizar las normas que configuran el régimen jurídico de los funcionarios de policía local —análisis contenido en el fundamento jurídico 4 al que nos remitimos ahora— concluíamos que de él se desprende que “la ‘titulación’ se erige en requisito esencial de la ‘promoción interna’ (ex art. 92 LBRL), elemento éste del ‘régimen estatutario de los funcionarios públicos’, lo cual conduce al título competencial del art. 149.1.18 CE” (STC 175/2011, FJ 5). Seguidamente, sirviéndonos de la doctrina sentada en las SSTC 99/1987, de 11 de junio, FJ 4, y 388/1993, de 23 de diciembre, FJ 2, llegábamos a la conclusión de que en este ámbito </w:t>
      </w:r>
      <w:r>
        <w:lastRenderedPageBreak/>
        <w:t>funcionarial “la regulación de las materias de ‘promoción interna’ y ‘titulación’, ostentan carácter básico (ex art. 1.3 de la Ley 30/1984, de 2 de agosto, de medidas para la reforma de la función pública), y se encuadra sin dificultad en el ‘régimen estatutario de los funcionarios públicos’ del art. 149.1.18 CE” (STC 175/2011, FJ 5).</w:t>
      </w:r>
    </w:p>
    <w:p w:rsidR="00D06117" w:rsidRDefault="00D06117" w:rsidP="00D06117">
      <w:pPr>
        <w:pStyle w:val="TextoNormal"/>
      </w:pPr>
    </w:p>
    <w:p w:rsidR="00D06117" w:rsidRDefault="00D06117" w:rsidP="00D06117">
      <w:pPr>
        <w:pStyle w:val="TextoNormal"/>
      </w:pPr>
      <w:r>
        <w:t>Del propio modo, en esta misma Sentencia descartábamos que pueda “estimarse encuadrable la materia de ‘titulación’, aunque se refiera a las policías locales, en el art. 149.1.29 CE de ‘seguridad pública’, porque sólo sería posible mediante una interpretación forzada del art. 39 c) LOFCS que atribuye a las Comunidades Autónomas ‘fijar los criterios de selección, formación, promoción y movilidad de las policías locales, determinando los niveles educativos exigibles para cada categoría, sin que en ningún caso el nivel pueda ser inferior a graduado escolar’, esto es que el nivel mínimo es el de graduado escolar y que a partir del mismo han de determinarse los niveles educativos de cada categoría dentro del cuerpo policial, pero sin que ello habilite a las Comunidades Autónomas para alterar el régimen de titulaciones del art. 25 de la Ley de medidas de reforma de la función pública en contra de la legislación básica de homogeneización de los principios del ‘mérito’ y la ‘capacidad’ para toda la función pública, y especialmente para la Administración local”.</w:t>
      </w:r>
    </w:p>
    <w:p w:rsidR="00D06117" w:rsidRDefault="00D06117" w:rsidP="00D06117">
      <w:pPr>
        <w:pStyle w:val="TextoNormal"/>
      </w:pPr>
    </w:p>
    <w:p w:rsidR="00D06117" w:rsidRDefault="00D06117" w:rsidP="00D06117">
      <w:pPr>
        <w:pStyle w:val="TextoNormal"/>
      </w:pPr>
      <w:r w:rsidRPr="00D06117">
        <w:rPr>
          <w:rStyle w:val="NumeroAFNegritaCaracter"/>
        </w:rPr>
        <w:t>6</w:t>
      </w:r>
      <w:r>
        <w:t>. La aplicación de la anterior doctrina al presente supuesto conduce derechamente a la declaración de inconstitucionalidad y nulidad de la disposición transitoria primera, apartado 2, de la Ley del Parlamento de Andalucía 13/2001, de 11 de diciembre, de coordinación de las policías locales, por cuanto en ella se establece, aún con carácter transitorio, una dispensa de la titulación necesaria para el acceso a la categoría de Subinspector, que es contraria a la ordenación que con carácter básico ha establecido el Estado en el ejercicio de su competencia exclusiva, ex art. 149.1.18 CE, para la regulación de las bases del régimen estatutario de los funcionarios públicos. Por esta razón la disposición transitoria sometida a examen de constitucionalidad incurre en el exceso competencial puesto de manifiesto por el órgano judicial, toda vez que las partes intervinientes en este proceso constitucional no niegan que en tal norma se establece una dispensa de titulación que no se compadece con la norma estatal básica, sino que afirman la competencia de la Comunidad Autónoma para establecer tal dispensa al amparo de su competencia en materia de coordinación de policías locales que hemos descartado que pueda otorgar la cobertura constitucional pretendida.</w:t>
      </w:r>
    </w:p>
    <w:p w:rsidR="00D06117" w:rsidRDefault="00D06117" w:rsidP="00D06117">
      <w:pPr>
        <w:pStyle w:val="TextoNormal"/>
      </w:pPr>
    </w:p>
    <w:p w:rsidR="00D06117" w:rsidRDefault="00D06117" w:rsidP="00D06117">
      <w:pPr>
        <w:pStyle w:val="TextoNormal"/>
      </w:pPr>
      <w:r>
        <w:t>La conclusión alcanzada convierte ya en innecesario abordar la pretendida vulneración de la competencia exclusiva estatal para la regulación de las condiciones de obtención, expedición y homologación de títulos académicos y profesionales ex art. 149.1.30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 xml:space="preserve">Estimar la presente cuestión de inconstitucionalidad y, en consecuencia, declarar la inconstitucionalidad y nulidad de la disposición transitoria primera, apartado 2 de la Ley del </w:t>
      </w:r>
      <w:r>
        <w:lastRenderedPageBreak/>
        <w:t>Parlamento de Andalucía 13/2001, de 11 de diciembre, de coordinación de las policías locales.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Valencia, a trece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 w:name="SENTENCIA_2012_5"/>
      <w:r>
        <w:lastRenderedPageBreak/>
        <w:t>SENTENCIA 5/2012, de 17 de enero de 2012</w:t>
      </w:r>
    </w:p>
    <w:bookmarkEnd w:id="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ECLI:ES:TC:2012:5</w:t>
      </w:r>
    </w:p>
    <w:p w:rsidR="00D06117" w:rsidRDefault="00D06117" w:rsidP="00D06117">
      <w:pPr>
        <w:pStyle w:val="SntesisDescriptiva"/>
      </w:pPr>
    </w:p>
    <w:p w:rsidR="00D06117" w:rsidRDefault="00D06117" w:rsidP="00D06117">
      <w:pPr>
        <w:pStyle w:val="SntesisDescriptiva"/>
      </w:pPr>
      <w:r>
        <w:t>Conflicto positivo de competencia 1121-1999. Interpuesto por el Gobierno de la Generalitat de Cataluña en relación con diversas resoluciones del Ministerio de Fomento por las que se imponen sanciones y medidas cautelares por la utilización de frecuencias radioeléctricas sin autorización administrativa.</w:t>
      </w:r>
    </w:p>
    <w:p w:rsidR="00D06117" w:rsidRDefault="00D06117" w:rsidP="00D06117">
      <w:pPr>
        <w:pStyle w:val="SntesisDescriptiva"/>
      </w:pPr>
    </w:p>
    <w:p w:rsidR="00D06117" w:rsidRDefault="00D06117" w:rsidP="00D06117">
      <w:pPr>
        <w:pStyle w:val="SntesisAnaltica"/>
      </w:pPr>
      <w:r>
        <w:t>Competencias sobre telecomunicaciones y medios de comunicación social: nulidad de las resoluciones estatales que vulneran las potestades autonómicas de inspección y sanción de emisiones de televisión local sin título habilitante.</w:t>
      </w:r>
    </w:p>
    <w:p w:rsidR="00D06117" w:rsidRDefault="00D06117" w:rsidP="00D06117">
      <w:pPr>
        <w:pStyle w:val="SntesisAnaltica"/>
      </w:pPr>
    </w:p>
    <w:p w:rsidR="00D06117" w:rsidRDefault="00D06117" w:rsidP="00D06117">
      <w:pPr>
        <w:pStyle w:val="Extracto"/>
      </w:pPr>
      <w:r>
        <w:t>1.</w:t>
      </w:r>
      <w:r>
        <w:tab/>
        <w:t>Corresponde a la Generalitat de Cataluña la titularidad de las facultades de inspección, interrupción de emisiones, precintado y depósito de los equipos, y determinación de las responsabilidades administrativas que correspondan a las personas físicas o jurídicas que realicen emisiones de televisión local sin ostentar el correspondiente título habilitante en los casos en los que éste haya de ser otorgado por la Generalitat [FJ 7].</w:t>
      </w:r>
    </w:p>
    <w:p w:rsidR="00D06117" w:rsidRDefault="00D06117" w:rsidP="00D06117">
      <w:pPr>
        <w:pStyle w:val="Extracto"/>
      </w:pPr>
    </w:p>
    <w:p w:rsidR="00D06117" w:rsidRDefault="00D06117" w:rsidP="00D06117">
      <w:pPr>
        <w:pStyle w:val="Extracto"/>
      </w:pPr>
      <w:r>
        <w:t>2.</w:t>
      </w:r>
      <w:r>
        <w:tab/>
        <w:t>Habida cuenta de la indiscutida competencia autonómica para el otorgamiento del título habilitante para la prestación del servicio de televisión local por ondas terrestres, a esa misma instancia han de corresponder las potestades de naturaleza ejecutiva vinculadas a esa ausencia de título y referidas tanto a la inspección, vigilancia y control de las emisoras de televisión local que carezcan del preceptivo título habilitante, como a la adopción de medidas provisionales y a la instrucción de expedientes sancionadores [FJ 6].</w:t>
      </w:r>
    </w:p>
    <w:p w:rsidR="00D06117" w:rsidRDefault="00D06117" w:rsidP="00D06117">
      <w:pPr>
        <w:pStyle w:val="Extracto"/>
      </w:pPr>
    </w:p>
    <w:p w:rsidR="00D06117" w:rsidRDefault="00D06117" w:rsidP="00D06117">
      <w:pPr>
        <w:pStyle w:val="Extracto"/>
      </w:pPr>
      <w:r>
        <w:t>3.</w:t>
      </w:r>
      <w:r>
        <w:tab/>
        <w:t>La titularidad de la competencia para la inspección y sanción de las emisoras clandestinas encuentra su ubicación específica en el art. 149.1.27 CE y no el art. 149.1.21 CE, pues prima la naturaleza de servicio de difusión y comunicación social, frente al soporte técnico de la emisora o red de radiocomunicación de que se sirve (SSTC 26/1982, 278/1993) [FFJJ 5, 6].</w:t>
      </w:r>
    </w:p>
    <w:p w:rsidR="00D06117" w:rsidRDefault="00D06117" w:rsidP="00D06117">
      <w:pPr>
        <w:pStyle w:val="Extracto"/>
      </w:pPr>
    </w:p>
    <w:p w:rsidR="00D06117" w:rsidRDefault="00D06117" w:rsidP="00D06117">
      <w:pPr>
        <w:pStyle w:val="Extracto"/>
      </w:pPr>
      <w:r>
        <w:t>4.</w:t>
      </w:r>
      <w:r>
        <w:tab/>
        <w:t xml:space="preserve">Corresponde al Estado </w:t>
      </w:r>
      <w:r w:rsidRPr="00D06117">
        <w:rPr>
          <w:i/>
        </w:rPr>
        <w:t>ex</w:t>
      </w:r>
      <w:r>
        <w:t xml:space="preserve"> art. 149.1.21 CE la regulación de los extremos técnicos del soporte del cual la radio y la televisión se sirven, ordenando así el dominio público radioeléctrico, mientras que el art. 149.1.27 CE articula un régimen de competencias compartidas según el cual corresponde al Estado dictar las normas básicas, asumiendo la Comunidad Autónoma competencias de desarrollo legislativo, una potestad reglamentaria y la función ejecutiva correspondiente a la materia (SSTC 26/1982, 180/2000) [FJ 5].</w:t>
      </w:r>
    </w:p>
    <w:p w:rsidR="00D06117" w:rsidRDefault="00D06117" w:rsidP="00D06117">
      <w:pPr>
        <w:pStyle w:val="Extracto"/>
      </w:pPr>
    </w:p>
    <w:p w:rsidR="00D06117" w:rsidRDefault="00D06117" w:rsidP="00D06117">
      <w:pPr>
        <w:pStyle w:val="Extracto"/>
      </w:pPr>
      <w:r>
        <w:t>5.</w:t>
      </w:r>
      <w:r>
        <w:tab/>
        <w:t>Doctrina sobre el deslinde competencial entre las reglas recogidas en los arts. 149.1.21 –telecomunicaciones y radiocomunicación– y 149.1.27 –radio y televisión– CE (SSTC 168/1993, 244/1993) [FJ 5].</w:t>
      </w:r>
    </w:p>
    <w:p w:rsidR="00D06117" w:rsidRDefault="00D06117" w:rsidP="00D06117">
      <w:pPr>
        <w:pStyle w:val="Extracto"/>
      </w:pPr>
    </w:p>
    <w:p w:rsidR="00D06117" w:rsidRDefault="00D06117" w:rsidP="00D06117">
      <w:pPr>
        <w:pStyle w:val="Extracto"/>
      </w:pPr>
      <w:r>
        <w:t>6.</w:t>
      </w:r>
      <w:r>
        <w:tab/>
        <w:t xml:space="preserve">Aplica la doctrina del </w:t>
      </w:r>
      <w:r w:rsidRPr="00D06117">
        <w:rPr>
          <w:i/>
        </w:rPr>
        <w:t>ius superveniens</w:t>
      </w:r>
      <w:r>
        <w:t xml:space="preserve"> en cuanto al canon de control a utilizar dada la incidencia que haya podido tener en el mismo la reforma del Estatuto de Autonomía de Cataluña llevada a cabo por la Ley Orgánica 6/2006 [FJ 3].</w:t>
      </w:r>
    </w:p>
    <w:p w:rsidR="00D06117" w:rsidRDefault="00D06117" w:rsidP="00D06117">
      <w:pPr>
        <w:pStyle w:val="Extracto"/>
      </w:pPr>
    </w:p>
    <w:p w:rsidR="00D06117" w:rsidRDefault="00D06117" w:rsidP="00D06117">
      <w:pPr>
        <w:pStyle w:val="Extracto"/>
      </w:pPr>
      <w:r>
        <w:t>7.</w:t>
      </w:r>
      <w:r>
        <w:tab/>
        <w:t>Procede declarar la inconstitucionalidad y nulidad de las resoluciones del Estado en las que se adoptan medidas cautelares consistentes en el precintado de equipos e instalaciones y se imponen sanciones pecuniarias a diversas entidades emisoras de televisión local por la utilización de frecuencias radioeléctricas sin autorización administrativa [FJ 7].</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1121-1999 interpuesto por el Gobierno de la Generalitat de Cataluña contra resoluciones del Ministerio de Fomento de 10 de noviembre de 1998 recaídas en expedientes CI/S 02727/1997, CI/S 02726/1997, CI/S 01519/1997, CI/S 02388/1997 y CI/S 02846/1997, mediante las que se imponen sanciones y medidas cautelares a diversas entidades por la utilización de frecuencias radioeléctricas sin autorización administrativa. Ha formulado alegaciones el Abogado del Estado. Ha sido Ponente el Magistrado don Javier Delgado Barrio,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15 de marzo de 1999 el Letrado de la Generalitat de Cataluña, en la representación que ostenta, promueve conflicto positivo de competencia frente al Gobierno de la Nación contra cinco resoluciones del Ministerio de Fomento de 10 de noviembre de 1998 recaídas en los expedientes CI/S 02727/1997, CI/S 02726/1997, CI/S 01519/1997, CI/S 02388/1997 y CI/S 02846/1997, mediante las que se imponen sanciones y medidas cautelares a diversas entidades por la utilización de frecuencias radioeléctricas para la realización de emisiones de televisión local por ondas terrestres sin contar con autorización administrativa.</w:t>
      </w:r>
    </w:p>
    <w:p w:rsidR="00D06117" w:rsidRDefault="00D06117" w:rsidP="00D06117">
      <w:pPr>
        <w:pStyle w:val="TextoNormal"/>
      </w:pPr>
    </w:p>
    <w:p w:rsidR="00D06117" w:rsidRDefault="00D06117" w:rsidP="00D06117">
      <w:pPr>
        <w:pStyle w:val="TextoNormal"/>
      </w:pPr>
      <w:r>
        <w:t>El conflicto se fundamenta en los motivos que, resumidamente, se exponen a continuación:</w:t>
      </w:r>
    </w:p>
    <w:p w:rsidR="00D06117" w:rsidRDefault="00D06117" w:rsidP="00D06117">
      <w:pPr>
        <w:pStyle w:val="TextoNormal"/>
      </w:pPr>
    </w:p>
    <w:p w:rsidR="00D06117" w:rsidRDefault="00D06117" w:rsidP="00D06117">
      <w:pPr>
        <w:pStyle w:val="TextoNormal"/>
      </w:pPr>
      <w:r>
        <w:t>Tras exponer el objeto del conflicto y el cumplimiento de los requisitos procesales exigidos para su planteamiento, el Letrado de la Generalitat alega que el Ministerio de Fomento, al incumplir el deber legal de planificar las frecuencias para las emisoras de televisión local, impidió a la Generalitat el ejercicio de su competencia para otorgar las concesiones a las emisoras ahora sancionadas pese a que éstas las solicitaron en tiempo y forma. A este respecto señala que si con su inicial inactividad el Ministerio de Fomento incumplía un deber legal de actuar, establecido en la Ley 41/1995, de 22 de diciembre, de televisión local por ondas terrestres, obstaculizando con ello el ejercicio de las competencias autonómicas en materia de televisión, la imposición de las sanciones invade claramente las competencias autonómicas en esta materia. Al respecto indica que la disposición transitoria única de la citada Ley 41/1995 reconoce las televisiones locales existentes estableciendo el procedimiento para la obtención de la correspondiente concesión y admitiendo expresamente que podían continuar emitiendo hasta transcurridos ocho meses desde la resolución del concurso. Las cinco emisoras sancionadas participaron en el concurso convocado por la Generalitat de Cataluña, concurso que no ha podido concluir debido a que no se ha llevado a cabo la previa planificación estatal de frecuencias ordenada por esa misma disposición transitoria por lo que, a juicio de la Generalitat, resulta innegable que las emisoras cuentan con una autorización legal para ejercer su actividad pese al incumplimiento por el Ministerio de Fomento de su deber legal de planificar las frecuencias precisas para permitir la utilización exclusiva de los radioenlaces de esas televisiones locales. Por ello considera que son del todo improcedentes las sanciones impuestas por utilización de frecuencias sin autorización pues de lo que carecen es de concesión y no por causas atribuibles a las propias entidades emisoras sino por el irregular proceder del Ministerio. De este modo, además de causar perjuicios a las emisoras, el Ministerio de Fomento ha impedido a la Generalitat de Cataluña proseguir el procedimiento de concesión previsto en la propia Ley 41/1995, con lo que se ha obstaculizado e impedido el ejercicio de la competencia que le corresponde, realizando, además, unas actuaciones claramente desproporcionadas ya que, con los antecedentes expuestos, hubieran debido habilitarse las soluciones técnicas precisas para que las emisoras que cuentan con autorización legal pudieran seguir emitiendo hasta el momento en que se hubiera completado la planificación pendiente del espectro radioeléctrico.</w:t>
      </w:r>
    </w:p>
    <w:p w:rsidR="00D06117" w:rsidRDefault="00D06117" w:rsidP="00D06117">
      <w:pPr>
        <w:pStyle w:val="TextoNormal"/>
      </w:pPr>
    </w:p>
    <w:p w:rsidR="00D06117" w:rsidRDefault="00D06117" w:rsidP="00D06117">
      <w:pPr>
        <w:pStyle w:val="TextoNormal"/>
      </w:pPr>
      <w:r>
        <w:t xml:space="preserve">En segundo lugar, el escrito de interposición del conflicto aborda la concreta reivindicación competencial indicando que el Tribunal Constitucional ya ha reconocido las competencias autonómicas para la sanción de las emisoras clandestinas en las modalidades de radio o televisión en las que otorga la concesión, pues se trata de un ámbito material que ha sido objeto de abundante conflictividad competencial. En esencia la controversia viene dada porque el Estado entiende que encajan en su competencia en materia de telecomunicaciones (art. 149.1.21 CE) unas resoluciones sancionadoras, mientras que la Generalitat considera que la instrucción y resolución de los expedientes y las sanciones y medidas cautelares que hubieran debido imponerse corresponden a la Comunidad Autónoma en mérito a su competencia en materia de televisión y medios de comunicación social. Señala en este sentido, con cita de las SSTC 168/1993, de 27 de mayo, 244/1993, de 15 de julio, y 278/1993, de 23 de septiembre, que el Tribunal Constitucional ha deslindado los ámbitos materiales que corresponden respectivamente a las competencias que los apartados 21 y 27 del art. 149.1 CE reservan al Estado, señalando que ambos títulos se limitan y contrapesan entre sí impidiendo el mutuo vaciamiento de sus contenidos respectivos y ni pueden desligarse totalmente ni </w:t>
      </w:r>
      <w:r>
        <w:lastRenderedPageBreak/>
        <w:t>solaparse a la hora de ofrecer cobertura a una determinada regulación legal. En el caso resuelto en la STC 168/1993, de 27 de mayo, el Tribunal Constitucional estimó que mientras tenía natural acomodo en el art. 149.1.27 CE la regulación básica de los aspectos relacionados con la concesión de emisoras de radiodifusión en ondas métricas con modulación de frecuencia, en cambio otros aspectos claramente atinentes a la regulación de los extremos técnicos del soporte o instrumento del cual la radio o la televisión se sirven quedan dentro de la materia de telecomunicación y, por tanto, de la competencia estatal ex art. 149.1.21 CE, título competencial este último que debía ser interpretado restrictivamente para evitar una exclusión de las competencias autonómicas en materia de radio y televisión.</w:t>
      </w:r>
    </w:p>
    <w:p w:rsidR="00D06117" w:rsidRDefault="00D06117" w:rsidP="00D06117">
      <w:pPr>
        <w:pStyle w:val="TextoNormal"/>
      </w:pPr>
    </w:p>
    <w:p w:rsidR="00D06117" w:rsidRDefault="00D06117" w:rsidP="00D06117">
      <w:pPr>
        <w:pStyle w:val="TextoNormal"/>
      </w:pPr>
      <w:r>
        <w:t>Igualmente recuerda el Letrado autonómico que el Tribunal Constitucional, partiendo de su reiterada doctrina según la cual correspondía a la Generalitat de Cataluña la resolución de las solicitudes de concesión de radiodifusión en ondas métricas con modulación de frecuencias, declaró en la STC 108/1993, de 25 de marzo, que a la misma correspondían también las facultades accesorias a esa principal, reconociendo la competencia autonómica para la inspección de los servicios e imposición de sanciones derivadas de infracciones a la normativa autonómica reguladora del procedimiento de concesión de las emisoras, llegando a precisar, en esa misma Sentencia, que a la Comunidad Autónoma correspondía la facultad de interrumpir provisionalmente el funcionamiento de las emisoras clandestinas, entendiendo por tales las que emitan sin poseer la correspondiente concesión administrativa, y la clausura de sus equipos. Así pues en la STC 108/1993, de 25 de marzo, el Tribunal Constitucional aplicó el criterio de que el otorgamiento de la concesión o su denegación, o la falta de solicitud —en virtud de la naturaleza de ese acto administrativo— es el punto de referencia que determina la titularidad de la competencia para la inspección y sanción de las emisoras clandestinas correspondiendo dicha competencia a la Generalitat de Cataluña. Tales consideraciones, expresadas en relación a las emisoras radiofónicas en modulación de frecuencia, se reiteraron en la posterior STC 279/1993, de 27 de septiembre, aplicando esos mismos criterios a la televisión, lo que implica que haya de reconocerse a la Generalitat la competencia en el caso de la actuación sancionadora sobre las televisiones locales por ondas terrestres en ejercicio de sus competencias de desarrollo legislativo y ejecución de las bases estatales en relación con este tipo de televisiones, competencias reconocidas por la propia Ley estatal 41/1995 y que ya han sido ejercitadas por la Generalitat de Cataluña aprobando el régimen jurídico de dichas televisiones y realizando las posteriores actuaciones encaminadas a la concesión efectiva de los servicios.</w:t>
      </w:r>
    </w:p>
    <w:p w:rsidR="00D06117" w:rsidRDefault="00D06117" w:rsidP="00D06117">
      <w:pPr>
        <w:pStyle w:val="TextoNormal"/>
      </w:pPr>
    </w:p>
    <w:p w:rsidR="00D06117" w:rsidRDefault="00D06117" w:rsidP="00D06117">
      <w:pPr>
        <w:pStyle w:val="TextoNormal"/>
      </w:pPr>
      <w:r>
        <w:t>En cuanto al régimen sancionador, el escrito de planteamiento del conflicto hace referencia a la doctrina constitucional que tiene establecido que, en la medida que corresponda a la Generalitat de Cataluña la competencia sustantiva para el otorgamiento de las concesiones de emisoras de radio o televisión, a ella corresponden también las facultades accesorias a aquella principal, de inspección y control de emisiones clandestinas, el precintado de los equipos y, en su caso, la sanción correspondiente. De acuerdo con ello estima que resulta palmario el exceso competencial en el que ha incurrido el Ministerio de Fomento por cuanto sus resoluciones sancionan e imponen medidas cautelares por utilización de frecuencias sin autorización a emisoras de televisión local que carecían de la concesión. Así señala que de los cinco expedientes, cuatro concluyeron con la imputación de esa única infracción y solamente en uno de ellos, el identificado como CI/S 02846/1997, se imputó una segunda infracción administrativa por producción de interferencias, infracción que queda fuera del ob</w:t>
      </w:r>
      <w:r>
        <w:lastRenderedPageBreak/>
        <w:t>jeto del conflicto. La utilización de frecuencias sin autorización se calificó como una infracción muy grave de las tipificadas en el art. 33.2 a) de las Ley 31/1987, de 18 de diciembre, de ordenación de las telecomunicaciones, sin que en los fundamentos jurídicos se hiciese alusión alguna al reconocimiento que la legislación estatal ha hecho de la competencia autonómica para otorgar concesiones y para sancionar las emisiones clandestinas, tal como se deriva de los arts. 26 y 36 de la Ley 31/1987 en el sentido en el que fueron interpretados por el Tribunal Constitucional en las SSTC 108/1993, de 25 de marzo, 168/1993, de 27 de mayo, y 278/1993, de 23 de septiembre. Lo mismo debe deducirse de las previsiones de la Ley 41/1995 respecto de las emisoras clandestinas de televisión local por ondas terrestres puesto que, a pesar de contar con autorización legal para emitir, carecen de concesión, de manera que, en tanto no se perfecciona el procedimiento concesional, la inspección, instrucción de expedientes sancionadores y, en su caso, la imposición de sanciones y la adopción de medidas cautelares son actuaciones administrativas que se inscriben en la competencia ejecutiva de la Generalitat de Cataluña sin que tal conclusión se vea alterada por la modificación de la normativa estatal en materia de telecomunicaciones por la Ley 11/1998, de 24 de abril, general de telecomunicaciones. En ese marco de distribución competencial no cabe distinguir entre la imposición de sanciones o medidas cautelares por prestar el servicio careciendo de la concesión y, por otra, la utilización de frecuencias careciendo de la autorización administrativa necesaria como si se tratase de materias competenciales distintas e independientes pues se estaría produciendo el solapamiento de las materias competenciales a las que se refieren los apartados 21 y 27 del art. 149.1 CE y que se rechazó expresamente por el Tribunal Constitucional en las SSTC 168/1993, de 27 de mayo, 244/1993, de 15 de julio, y 278/1993, de 23 de septiembre, amen de una duplicidad de actuaciones incompatible con el carácter exclusivo de las competencias ejecutivas asumidas por la Generalitat de Cataluña en esta materia.</w:t>
      </w:r>
    </w:p>
    <w:p w:rsidR="00D06117" w:rsidRDefault="00D06117" w:rsidP="00D06117">
      <w:pPr>
        <w:pStyle w:val="TextoNormal"/>
      </w:pPr>
    </w:p>
    <w:p w:rsidR="00D06117" w:rsidRDefault="00D06117" w:rsidP="00D06117">
      <w:pPr>
        <w:pStyle w:val="TextoNormal"/>
      </w:pPr>
      <w:r w:rsidRPr="00D06117">
        <w:rPr>
          <w:rStyle w:val="NumeroAFNegritaCaracter"/>
        </w:rPr>
        <w:t>2</w:t>
      </w:r>
      <w:r>
        <w:t>. Por providencia de la Sección Cuarta del Tribunal Constitucional de 23 de marzo de 1999 se acordó admitir a trámite el conflicto positivo de competencia en relación con las resoluciones del Ministerio de Fomento de 10 de noviembre de 1998, recaídas en los expedientes CI/S 02727/1997, CI/S 02726/1997, CI/S 01519/1997, CI/S 02388/1997 y CI/S 02846/1997, mediante las que se imponen sanciones y medidas cautelares a diversas entidades por la utilización de frecuencias radioeléctricas sin autorización administrativa,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 la Audiencia Nacional, por si ante la misma estuvieran impugnadas o se impugnaren las referidas resoluciones, en cuyo caso se suspenderá el curso del proceso hasta la decisión del conflicto, según dispone el art. 61.2 LOTC, así como publicar la incoación del conflicto en el “Boletín Oficial del Estado” y en el “Diario Oficial de la Generalitat de Cataluña”.</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El Abogado del Estado, en la representación que legalmente ostenta, presentó su escrito de alegaciones el día 15 de abril de 1999 instando la desestimación del conflicto, pues considera, en primer lugar, que las alegaciones de la Generalitat de Cataluña relacionadas con la falta de desarrollo reglamentario de la Ley 41/1995 y su incidencia en las competencias autonómicas resultan ineficaces en el presente conflicto que tiene por objeto debatir quién tiene la competencia para adoptar medidas sancionadoras y cautelares en relación con </w:t>
      </w:r>
      <w:r>
        <w:lastRenderedPageBreak/>
        <w:t>la utilización de frecuencias que afecten a la ordenación del espectro radioeléctrico. En tal sentido, entiende que para enmarcar el debate competencial trabado es de aplicación la clara distinción aportada por la Generalitat de Cataluña entre la administración y gestión del espectro radioeléctrico, que corresponde al Estado, y las concesiones para la prestación del servicio de comunicación, que reconoce de competencia autonómica, de suerte que, dado que el titular de la competencia principal tiene la accesoria sancionadora, resultaría que se está reconociendo que corresponde al Estado la competencia para sancionar las actuaciones que perturben o afecten a la ordenación del espectro radioeléctrico.</w:t>
      </w:r>
    </w:p>
    <w:p w:rsidR="00D06117" w:rsidRDefault="00D06117" w:rsidP="00D06117">
      <w:pPr>
        <w:pStyle w:val="TextoNormal"/>
      </w:pPr>
    </w:p>
    <w:p w:rsidR="00D06117" w:rsidRDefault="00D06117" w:rsidP="00D06117">
      <w:pPr>
        <w:pStyle w:val="TextoNormal"/>
      </w:pPr>
      <w:r>
        <w:t>A continuación señala que la STC 108/1993, de 25 de marzo, ha afirmado que el contenido material del art. 149.1.27 CE, en lo que respecta al desarrollo normativo y la ejecución que corresponde a la Comunidad Autónoma, alcanza las facultades de inspección y la adopción de medidas provisionales en relación con las emisoras que emitan sin poseer la correspondiente concesión. Sin embargo el Abogado del Estado recalca el carácter exclusivo de la competencia estatal del art. 149.1.21 CE, relativa a la ordenación del espectro radioeléctrico, competencia en la que se encuadrarían las actuaciones realizadas por el Ministerio de Fomento pues las mismas tienen como finalidad el orden y control del espacio radioeléctrico dado que en todas ellas se dan dos circunstancias que afectan a dicho espacio: utilización de frecuencias no asignadas y producción de interferencias en frecuencias asignadas a servicios, infracciones ambas descritas en el art. 33 de la Ley 31/1987 y cuya sanción corresponde al Estado. Asimismo, el Abogado del Estado señala que la actuación estatal se limitó a tomar las medidas mínimas e indispensables para restablecer el orden y el control del espectro radioeléctrico, motivo por el que, a fin de evitar el uso de frecuencias no asignadas, se acuerda el precintado de los equipos y la clausura de las instalaciones en tanto no se disponga del correspondiente título habilitante. Todas estas actuaciones constituyen el desenvolvimiento de la competencia estatal del art. 149.1.21 CE que se ejecuta mediante diversos instrumentos de los que el Abogado del Estado destaca el establecimiento de un cuadro nacional de atribuciones de frecuencias para los distintos servicios de radiocomunicaciones y el despliegue de una red nacional de comprobación técnica de emisiones radioeléctricas dedicada al control del espacio radioeléctrico, control del que los expedientes objeto de este conflicto son consecuencia.</w:t>
      </w:r>
    </w:p>
    <w:p w:rsidR="00D06117" w:rsidRDefault="00D06117" w:rsidP="00D06117">
      <w:pPr>
        <w:pStyle w:val="TextoNormal"/>
      </w:pPr>
    </w:p>
    <w:p w:rsidR="00D06117" w:rsidRDefault="00D06117" w:rsidP="00D06117">
      <w:pPr>
        <w:pStyle w:val="TextoNormal"/>
      </w:pPr>
      <w:r>
        <w:t>Finalmente, el Abogado del Estado concluye señalando la improsperabilidad del criterio de reparto de competencias defendido por la Generalitat de Cataluña dado que el mismo supone de modo claro y evidente un vaciamiento de la competencia estatal sobre el espectro radioeléctrico, vaciamiento que resulta inconstitucional por cuanto comporta una interpretación del reparto de competencias que lleva a enervar el ejercicio de competencias que, en virtud de un título competencial específico, corresponden al Estado y como tales han sido establecidas en el art. 33 de la Ley 31/1987, expresamente declarado constitucional en la STC 168/1993, de 27 de mayo. De ello deduce que resulta incontrovertible que, sin perjuicio de las competencias autonómicas sobre concesiones, el Estado tiene competencias para controlar y proteger el espacio o dominio radioeléctrico mediante la incoación de expedientes y la imposición de sanciones.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17 de enero 2012, se señaló para deliberación y votación de la presente Sentencia el día 17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resolución ha de resolver el conflicto positivo de competencia planteado por la Generalitat de Cataluña contra cinco resoluciones del Ministerio de Fomento en las que se adoptan medidas cautelares consistentes en el precintado de equipos e instalaciones y se imponen sanciones pecuniarias a diversas entidades emisoras de televisión local por la utilización de frecuencias radioeléctricas sin autorización administrativa.</w:t>
      </w:r>
    </w:p>
    <w:p w:rsidR="00D06117" w:rsidRDefault="00D06117" w:rsidP="00D06117">
      <w:pPr>
        <w:pStyle w:val="TextoNormal"/>
      </w:pPr>
    </w:p>
    <w:p w:rsidR="00D06117" w:rsidRDefault="00D06117" w:rsidP="00D06117">
      <w:pPr>
        <w:pStyle w:val="TextoNormal"/>
      </w:pPr>
      <w:r>
        <w:t>Como ha quedado expuesto en los antecedentes la Generalitat de Cataluña considera que dichas actuaciones administrativas resultan contrarias al orden constitucional de distribución de competencias pues estima que, conforme al art. 149.1.27 CE y a las previsiones del Estatuto de Autonomía de Cataluña, las competencias para la inspección y sanción de las emisoras que carecen de título habilitante para funcionar corresponden a la Generalitat de Cataluña en el ejercicio de sus competencias de desarrollo legislativo y ejecución en materia de medios de comunicación social, de tal forma que la actuación estatal ha supuesto una invasión de su ámbito competencial constitucional y estatutariamente delimitado. Al anterior planteamiento se ha opuesto el Abogado del Estado señalando que los expedientes cuestionados tienen como finalidad el control del espectro radioeléctrico por lo que dicha actuación se ampararía en la competencia exclusiva estatal en materia de telecomunicaciones ex art. 149.1.21 CE.</w:t>
      </w:r>
    </w:p>
    <w:p w:rsidR="00D06117" w:rsidRDefault="00D06117" w:rsidP="00D06117">
      <w:pPr>
        <w:pStyle w:val="TextoNormal"/>
      </w:pPr>
    </w:p>
    <w:p w:rsidR="00D06117" w:rsidRDefault="00D06117" w:rsidP="00D06117">
      <w:pPr>
        <w:pStyle w:val="TextoNormal"/>
      </w:pPr>
      <w:r w:rsidRPr="00D06117">
        <w:rPr>
          <w:rStyle w:val="NumeroAFNegritaCaracter"/>
        </w:rPr>
        <w:t>2</w:t>
      </w:r>
      <w:r>
        <w:t>. Expuestas las posiciones de las partes en el proceso en el que se plantea una discrepancia puramente competencial debemos precisar cuál es el objeto de nuestro enjuiciamiento. Como acabamos de indicar, el conflicto se plantea formalmente contra cinco resoluciones del Ministerio de Fomento por las que se sanciona a diversas emisoras de televisión local por ondas terrestres por la utilización de frecuencias sin autorización administrativa, conflicto que se fundamenta en el entendimiento de que la inspección y eventual sanción de dichas conductas habría de corresponder a la Generalitat de Cataluña en el ejercicio de sus competencias en materia de medios de comunicación social. Así pues, conforme a dicha causa petendi, no procede entrar a examinar, por ser ajenas a los términos en los que se ha trabado el presente conflicto y a la reivindicación competencial en el mismo ejercida, lo que la Generalitat de Cataluña ha calificado como incumplimiento por el Estado del deber legal de planificación de las frecuencias para su asignación a las emisoras de televisión local al amparo de lo previsto en la regulación transitoria contenida en la Ley 41/1995, omisión sobre la que, en realidad, no existe controversia competencial apta para dar lugar a una declaración del Tribunal acerca de la titularidad de la competencia controvertida que es la materia propia de esta clase de litigios constitucionales.</w:t>
      </w:r>
    </w:p>
    <w:p w:rsidR="00D06117" w:rsidRDefault="00D06117" w:rsidP="00D06117">
      <w:pPr>
        <w:pStyle w:val="TextoNormal"/>
      </w:pPr>
    </w:p>
    <w:p w:rsidR="00D06117" w:rsidRDefault="00D06117" w:rsidP="00D06117">
      <w:pPr>
        <w:pStyle w:val="TextoNormal"/>
      </w:pPr>
      <w:r>
        <w:t xml:space="preserve">Por ello, como también ha puesto expresamente de manifiesto el recurrente en el escrito rector de este proceso constitucional, el conflicto, trabado a partir de lo que se considera una acción positiva de invasión de la esfera competencial del ente que lo plantea, versa sobre la delimitación de la competencia para inspeccionar y, en su caso, sancionar a las entidades que realicen emisiones de televisión local careciendo del previo título habilitante para el ejercicio de dicha actividad. Consecuentemente, dicha delimitación del objeto del conflicto determina que haya de quedar excluido del mismo la actuación administrativa consistente en la imposición de sanciones y medidas cautelares por causas distintas de aquella utilización de frecuencias careciendo del previo título habilitante. Es el caso de uno de los cinco </w:t>
      </w:r>
      <w:r>
        <w:lastRenderedPageBreak/>
        <w:t>expedientes cuestionados —el referenciado como CI/S 02846/1997— en el que, además de por dicha carencia de título, se sanciona a una emisora de televisión local por la comisión de una segunda infracción administrativa consistente en la producción de interferencias perjudiciales a otros servicios de telecomunicación, sanción esta última que no forma parte, en consecuencia, del presente conflicto circunscrito, por tanto, exclusivamente a determinar la instancia competente para inspeccionar y, en su caso, sancionar la conducta consistente en la realización de emisiones de televisión local por ondas terrestres utilizando frecuencias sin contar con la preceptiva y previa habilitación.</w:t>
      </w:r>
    </w:p>
    <w:p w:rsidR="00D06117" w:rsidRDefault="00D06117" w:rsidP="00D06117">
      <w:pPr>
        <w:pStyle w:val="TextoNormal"/>
      </w:pPr>
    </w:p>
    <w:p w:rsidR="00D06117" w:rsidRDefault="00D06117" w:rsidP="00D06117">
      <w:pPr>
        <w:pStyle w:val="TextoNormal"/>
      </w:pPr>
      <w:r w:rsidRPr="00D06117">
        <w:rPr>
          <w:rStyle w:val="NumeroAFNegritaCaracter"/>
        </w:rPr>
        <w:t>3</w:t>
      </w:r>
      <w:r>
        <w:t>. Centrados así los términos del debate procesal hemos de considerar ahora la cuestión del canon de control a utilizar en el presente proceso constitucional, pues resulta necesario pronunciarse sobre la incidencia que haya podido tener en el mismo la reforma del Estatuto de Autonomía de Cataluña llevada a cabo por la Ley Orgánica 6/2006, de 19 de julio, en la medida en que la misma haya afectado a las competencias asumidas por la Comunidad Autónoma que ésta considera vulneradas, esto es, a las relativas a la materia de medios de comunicación social.</w:t>
      </w:r>
    </w:p>
    <w:p w:rsidR="00D06117" w:rsidRDefault="00D06117" w:rsidP="00D06117">
      <w:pPr>
        <w:pStyle w:val="TextoNormal"/>
      </w:pPr>
    </w:p>
    <w:p w:rsidR="00D06117" w:rsidRDefault="00D06117" w:rsidP="00D06117">
      <w:pPr>
        <w:pStyle w:val="TextoNormal"/>
      </w:pPr>
      <w:r>
        <w:t>Es aquí aplicable nuestra doctrina sobre el ius superveniens, según la cual el control de las normas que incurren en un posible exceso competencial debe hacerse de acuerdo con las normas del bloque de la constitucionalidad vigentes en el momento de dictar Sentencia (por todas STC 1/2011, de 14 de febrero, FJ 2 y doctrina allí citada) lo cual debe llevarnos a analizar su constitucionalidad a la luz de la delimitación de competencias que se deriva de la mencionada reforma del Estatuto de Cataluña. En este sentido el art. 146 del citado Estatuto atribuye a la Generalitat competencias exclusivas, entre otros aspectos, en materia de organización “de los servicios públicos de comunicación audiovisual de ámbito local, respetando la garantía de la autonomía local” [apartado 1 a)]. Y este extremo no se ve aquí concernido en tanto que lo discutido no es el aspecto funcional de la prestación de un servicio público sino las actuaciones de control sobre la actividad de emisoras de televisión local por ondas terrestres que operan en régimen de concesión. Por ello hemos de entender aquí de aplicación la competencia compartida sobre “la regulación y el control de los servicios de comunicación audiovisual que utilicen cualquiera de los soportes y tecnologías disponibles dirigidos al público de Cataluña”, al cuestionarse en el presente proceso actuaciones de naturaleza sancionadora y, por tanto, ejecutiva llevadas a cabo por el Ministerio de Fomento. Con respecto a esta última competencia, establecida en el apartado 1 b) del art. 146, es posible entender que la misma no plantea cambios sustanciales con respecto a las aducidas en el momento de plantearse el conflicto por el Gobierno autonómico pues, conforme a los arts. 149.1.27 CE y 16 del Estatuto de Autonomía de 1979, a la Generalitat de Cataluña correspondía el desarrollo legislativo y la ejecución en materia de medios de comunicación social.</w:t>
      </w:r>
    </w:p>
    <w:p w:rsidR="00D06117" w:rsidRDefault="00D06117" w:rsidP="00D06117">
      <w:pPr>
        <w:pStyle w:val="TextoNormal"/>
      </w:pPr>
    </w:p>
    <w:p w:rsidR="00D06117" w:rsidRDefault="00D06117" w:rsidP="00D06117">
      <w:pPr>
        <w:pStyle w:val="TextoNormal"/>
      </w:pPr>
      <w:r w:rsidRPr="00D06117">
        <w:rPr>
          <w:rStyle w:val="NumeroAFNegritaCaracter"/>
        </w:rPr>
        <w:t>4</w:t>
      </w:r>
      <w:r>
        <w:t>. Señalado lo anterior, ha de hacerse ahora referencia al contexto legal en el que se enmarca la cuestión controvertida habida cuenta de que dicho marco normativo ha sufrido diversas modificaciones durante la pendencia del presente proceso.</w:t>
      </w:r>
    </w:p>
    <w:p w:rsidR="00D06117" w:rsidRDefault="00D06117" w:rsidP="00D06117">
      <w:pPr>
        <w:pStyle w:val="TextoNormal"/>
      </w:pPr>
    </w:p>
    <w:p w:rsidR="00D06117" w:rsidRDefault="00D06117" w:rsidP="00D06117">
      <w:pPr>
        <w:pStyle w:val="TextoNormal"/>
      </w:pPr>
      <w:r>
        <w:t xml:space="preserve">En este sentido es necesario mencionar, en primer lugar, la Ley 41/1995, de 22 de diciembre, de televisión local por ondas terrestres, norma que caracteriza a la misma como un servicio público (art. 2), gestionado por las entidades locales o por personas naturales o jurídicas, con o sin ánimo de lucro, previa la obtención en ambos casos de la correspondiente </w:t>
      </w:r>
      <w:r>
        <w:lastRenderedPageBreak/>
        <w:t>concesión administrativa para emitir (art. 5), concesión administrativa que debía ser otorgada por las Comunidades Autónomas (art. 9) si bien su adjudicación exigía la previa asignación estatal de frecuencias para esas emisoras de televisión local (art. 10.2 en relación con el 19). La norma estatal reconocía la existencia previa de televisiones locales, exigiendo para continuar su actividad la solicitud y obtención de la correspondiente concesión en los términos previstos en la disposición transitoria única (posteriormente disposición transitoria primera), previa la asignación de frecuencias y demás características técnicas que se determinasen de acuerdo con lo dispuesto en la Ley 41/1995. Finalmente (art. 17) la norma menciona expresamente la competencia sancionadora de las Comunidades Autónomas salvo en los supuestos de infracciones que pudieran cometerse contra la normativa reguladora de aspectos técnicos y de protección del espectro radioeléctrico. Dicha Ley 41/1995 se modificó por diversas leyes posteriores, de entre las que ha de mencionarse la Ley 53/2002, de 30 de diciembre, que introduce reformas dirigidas a facilitar el desarrollo de la televisión digital para lo cual, entre otras medidas, se preveía la previa aprobación del plan nacional de la televisión digital local, aprobación que se llevó a cabo por Real Decreto 439/2004, de 12 de marzo. Finalmente la Ley 41/1995 ha sido derogada en su totalidad por la Ley 7/2010, de 31 de marzo, general de la comunicación audiovisual. Ésta reconoce la competencia autonómica para el otorgamiento de las licencias de televisión de ámbito local (art. 22.3 y 4 in fine), adjudicación que lleva implícita la concesión de uso privativo del dominio público radioeléctrico de conformidad con la planificación establecida por el Estado (art. 24.2). Igualmente, ya en el plano sancionador, el art. 56 alude a las competencias autonómicas de supervisión, control y protección activa para garantizar el cumplimiento de lo previsto en la ley y a la correspondiente potestad sancionadora en relación con los servicios de comunicación audiovisual cuyo ámbito de cobertura, cualquiera que sea el medio de transmisión empleado, no sobrepase sus respectivos límites territoriales así como en relación con los servicios audiovisuales cuya prestación se realice directamente por ellas o por entidades a las que hayan conferido su gestión dentro del correspondiente ámbito autonómico. En esa línea el art. 57.6 tipifica como infracción muy grave “[l]a prestación del servicio de comunicación audiovisual sin disponer de la correspondiente licencia o sin haber cumplido el deber de comunicación previa”. Regulación toda ella que se entiende dictada al amparo de la competencia del Estado en el campo de la legislación básica del régimen de prensa, radio y televisión recogida en el artículo 149.1.27 CE, según reza la disposición final sexta de la propia Ley 7/2010.</w:t>
      </w:r>
    </w:p>
    <w:p w:rsidR="00D06117" w:rsidRDefault="00D06117" w:rsidP="00D06117">
      <w:pPr>
        <w:pStyle w:val="TextoNormal"/>
      </w:pPr>
    </w:p>
    <w:p w:rsidR="00D06117" w:rsidRDefault="00D06117" w:rsidP="00D06117">
      <w:pPr>
        <w:pStyle w:val="TextoNormal"/>
      </w:pPr>
      <w:r>
        <w:t xml:space="preserve">Por su parte, en la medida en que el Abogado del Estado ha argumentado que las sanciones se han impuesto en el ejercicio de la competencia estatal exclusiva en materia de telecomunicaciones, preciso será hacer referencia, siquiera sumariamente, a la legislación estatal en esta materia. En tal sentido las resoluciones que constituyen el objeto del presente proceso califican las conductas sancionadas como utilización de frecuencias radioeléctricas sin autorización administrativa, tipificada en su momento como infracción muy grave de las previstas en el art. 33.2 a) de la Ley 31/1987, de 18 de diciembre, de ordenación de las telecomunicaciones. Dicha Ley 31/1987 fue posteriormente derogada casi en su totalidad por la Ley 11/1998, de 24 de abril, general de telecomunicaciones, la cual en su art. 79.1 incluía un precepto muy similar al que se acaba de mencionar calificando como infracción muy grave la conducta consistente en “la realización de actividades o la prestación de servicios de telecomunicaciones sin título habilitante cuando sea legalmente necesario”. Finalmente la Ley 32/2003, de 3 de noviembre, general de telecomunicaciones, que deroga prácticamente en su totalidad la citada Ley 11/1998, tiene por objeto, conforme su art. 1 “la </w:t>
      </w:r>
      <w:r>
        <w:lastRenderedPageBreak/>
        <w:t>regulación de las telecomunicaciones, que comprenden la explotación de las redes y la prestación de comunicaciones electrónicas y los recursos asociados”; sometiendo el régimen de las redes que son soporte de los servicios de radiodifusión y televisión al régimen general de las redes de comunicaciones electrónicas mientras que, el apartado segundo de ese mismo art. 1 excluye del ámbito de la ley “el régimen aplicable a los contenidos de carácter audiovisual transmitidos a través de las redes, así como el régimen básico de los medios de comunicación social”. En el ámbito sancionador, tipifica como infracción muy grave “la realización de actividades sin título habilitante cuando sea legalmente necesario” [art. 53 a)].</w:t>
      </w:r>
    </w:p>
    <w:p w:rsidR="00D06117" w:rsidRDefault="00D06117" w:rsidP="00D06117">
      <w:pPr>
        <w:pStyle w:val="TextoNormal"/>
      </w:pPr>
    </w:p>
    <w:p w:rsidR="00D06117" w:rsidRDefault="00D06117" w:rsidP="00D06117">
      <w:pPr>
        <w:pStyle w:val="TextoNormal"/>
      </w:pPr>
      <w:r w:rsidRPr="00D06117">
        <w:rPr>
          <w:rStyle w:val="NumeroAFNegritaCaracter"/>
        </w:rPr>
        <w:t>5</w:t>
      </w:r>
      <w:r>
        <w:t>. De cuanto se ha expuesto hasta ahora podemos apreciar que la discrepancia entre ambas Administraciones implicadas responde a un diferente entendimiento del deslinde competencial entre las reglas recogidas en el art. 149.1.21 y 27 CE, así como respecto de la selección del título aplicable de entre éstos, a la hora de enjuiciar la cobertura competencial de las actuaciones administrativas controvertidas.</w:t>
      </w:r>
    </w:p>
    <w:p w:rsidR="00D06117" w:rsidRDefault="00D06117" w:rsidP="00D06117">
      <w:pPr>
        <w:pStyle w:val="TextoNormal"/>
      </w:pPr>
    </w:p>
    <w:p w:rsidR="00D06117" w:rsidRDefault="00D06117" w:rsidP="00D06117">
      <w:pPr>
        <w:pStyle w:val="TextoNormal"/>
      </w:pPr>
      <w:r>
        <w:t>Trabada en tales términos la disputa competencial, en su resolución hemos de partir de nuestra doctrina en torno a la relación de los títulos competenciales antes citados e inevitablemente relacionados entre sí. En ese sentido, la STC 244/1993, de 15 de julio, FJ 2, recuerda que:</w:t>
      </w:r>
    </w:p>
    <w:p w:rsidR="00D06117" w:rsidRDefault="00D06117" w:rsidP="00D06117">
      <w:pPr>
        <w:pStyle w:val="TextoNormal"/>
      </w:pPr>
    </w:p>
    <w:p w:rsidR="00D06117" w:rsidRDefault="00D06117" w:rsidP="00D06117">
      <w:pPr>
        <w:pStyle w:val="TextoNormal"/>
      </w:pPr>
      <w:r>
        <w:t xml:space="preserve">“Para la solución de esta controversia constitucional, cabe remitirse a la fundamentación ya expuesta con detalle en la STC 168/1993, que analiza desde la perspectiva competencial la Ley de ordenación de las telecomunicaciones, y en cuyo fundamento jurídico 4 interpretamos con carácter general (dicho ahora en síntesis y sin perjuicio de las limitaciones y matices que en esa fundamentación se hicieron) ambos títulos competenciales, destacando su alcance distinto y sosteniendo que no pueden superponerse o solaparse, si bien se limitan entre sí mutuamente: una competencia exclusiva del Estado para ordenar la telecomunicación y la radiocomunicación (art. 149.1.21 CE), y otra compartida con las Comunidades Autónomas acerca de la radio y la televisión en cuanto medios de comunicación social, en la que sólo incumbe al Estado dictar las normas básicas (art. 149.1.27 CE). El punto de conexión que permite seleccionar la aplicación de uno u otro título es, por una parte, la directa relación de la radiodifusión, en cuanto medio de comunicación social, con las libertades y derechos fundamentales recogidos en el art. 20 CE y referidos de algún modo al derecho a comunicar y recibir información y a la libertad de expresión, circunstancia que hace que tanto la radio como la televisión configuren un fenómeno, en esencia, no distinto a la prensa; juega en estos casos el art.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ex art. 149.1.21 CE para ordenar el dominio público radioeléctrico; dominio que no es ocioso ahora recordarlo, es susceptible de distintos usos para otros tipos de comunicaciones que se efectúan también mediante ondas radioeléctricas y distintas de la radiodifusión; razón por la cual es menester una ordenación unitaria del problema mediante la asignación de frecuencias y potencias para cada uno de los usos, en cumplimiento de la disciplina internacional del tema, así como la previsión de otros problemas como, v. gr., puede ser la evitación de interferencias. Dicho esto con la advertencia de que el empleo de uno u otro punto de conexión debe venir presidido por una inevitable cautela: habida cuenta de que el título competencial del art. 149.1.21 CE es virtualmente más expansivo que el dispuesto en el art. </w:t>
      </w:r>
      <w:r>
        <w:lastRenderedPageBreak/>
        <w:t>149.1.27 CE y para impedir una injustificable exclusión de las competencias autonómicas sobre radio y televisión aquella regla de deslinde debe ser interpretada restrictivamente.”</w:t>
      </w:r>
    </w:p>
    <w:p w:rsidR="00D06117" w:rsidRDefault="00D06117" w:rsidP="00D06117">
      <w:pPr>
        <w:pStyle w:val="TextoNormal"/>
      </w:pPr>
    </w:p>
    <w:p w:rsidR="00D06117" w:rsidRDefault="00D06117" w:rsidP="00D06117">
      <w:pPr>
        <w:pStyle w:val="TextoNormal"/>
      </w:pPr>
      <w:r>
        <w:t>Se constata así que ambos títulos competenciales se limitan entre sí impidiendo su mutuo vaciamiento de modo que corresponde al Estado ex art. 149.1.21 CE la regulación de los extremos técnicos del soporte o instrumento del cual la radio y la televisión se sirven —las ondas radioeléctricas o electromagnéticas (como recuerda la STC 180/2000, de 29 de junio, FJ 12)—, ordenando así el dominio público radioeléctrico mientras que el art. 149.1.27 CE permite la articulación de un régimen de competencias compartidas entre el Estado y la Comunidad Autónoma según el cual corresponde al Estado dictar las normas básicas, asumiendo la Comunidad Autónoma competencias de desarrollo legislativo que en todo caso habrá de respetar aquella normativa básica, una potestad reglamentaria igualmente de desarrollo, y, finalmente, la función ejecutiva correspondiente a la materia (STC 26/1982, de 24 de mayo, FJ 2). En aplicación de dicho criterio en la citada STC 26/1982 reconocimos las facultades autonómicas para el otorgamiento de concesiones de emisoras de radiodifusión en frecuencia modulada, que venían condicionadas por las bases y los términos fijados en la legislación estatal, indicando que, entre los extremos que permanecían en el ámbito de la regulación estatal, están la delimitación del dominio público radioeléctrico, la elaboración de planes nacionales y la fijación de las condiciones técnicas para la prestación del servicio, y el cumplimiento de la disciplina internacional en la materia.</w:t>
      </w:r>
    </w:p>
    <w:p w:rsidR="00D06117" w:rsidRDefault="00D06117" w:rsidP="00D06117">
      <w:pPr>
        <w:pStyle w:val="TextoNormal"/>
      </w:pPr>
    </w:p>
    <w:p w:rsidR="00D06117" w:rsidRDefault="00D06117" w:rsidP="00D06117">
      <w:pPr>
        <w:pStyle w:val="TextoNormal"/>
      </w:pPr>
      <w:r>
        <w:t>Más concretamente, en relación con las que hemos denominado emisoras clandestinas, esto es, aquellas que emitan sin poseer la correspondiente concesión administrativa, hemos considerado que ha de ser “el otorgamiento de la concesión o su denegación, o la falta de solicitud —en virtud de la naturaleza de ese acto administrativo— el punto de referencia que determine la titularidad de la competencia para la inspección y sanción de las emisoras clandestinas”. Criterio que, avanzado ya en la STC 26/1982, de 24 de mayo, establecimos en la STC 108/1993, de 25 de marzo, en relación con emisoras de radiodifusión en frecuencia modulada cuyo otorgamiento en régimen de concesión correspondía a las Comunidades Autónomas, y reiteramos en la STC 168/1993, de 27 de mayo, FJ 4, estimando que el otorgamiento de concesiones para la gestión del servicio encuentra su ubicación específica en el título del art. 149.1.27 CE pues prima la naturaleza de un servicio de difusión y comunicación social, cuyo ejercicio la concesión autoriza, frente al soporte técnico de la emisora o red de radiocomunicación de que se sirve. En consecuencia, dado el carácter ejecutivo de la potestad, su adopción incumbe a las Comunidades Autónomas con competencias en la materia lo que determina que a las mismas correspondan las facultades accesorias a la competencia principal referidas a la inspección de los servicios e imposición de sanciones (al respecto, STC 168/1993, de 27 de mayo, FJ 8).</w:t>
      </w:r>
    </w:p>
    <w:p w:rsidR="00D06117" w:rsidRDefault="00D06117" w:rsidP="00D06117">
      <w:pPr>
        <w:pStyle w:val="TextoNormal"/>
      </w:pPr>
    </w:p>
    <w:p w:rsidR="00D06117" w:rsidRDefault="00D06117" w:rsidP="00D06117">
      <w:pPr>
        <w:pStyle w:val="TextoNormal"/>
      </w:pPr>
      <w:r>
        <w:t>Finalmente, por ser su doctrina directamente aplicable al caso que nos ocupa, procede mencionar la STC 278/1993, de 23 de septiembre, resolutoria del conflicto positivo de competencia planteado por el Gobierno de la Nación frente al Decreto 270/1985, de 19 de septiembre, de la Generalitat de Cataluña, regulador en el ámbito territorial de Cataluña de las actividades relativas a la televisión, la cual, señala que (FJ 2):</w:t>
      </w:r>
    </w:p>
    <w:p w:rsidR="00D06117" w:rsidRDefault="00D06117" w:rsidP="00D06117">
      <w:pPr>
        <w:pStyle w:val="TextoNormal"/>
      </w:pPr>
    </w:p>
    <w:p w:rsidR="00D06117" w:rsidRDefault="00D06117" w:rsidP="00D06117">
      <w:pPr>
        <w:pStyle w:val="TextoNormal"/>
      </w:pPr>
      <w:r>
        <w:t xml:space="preserve">“Conviene recordar, pues, que la consideración de la Constitución como un todo sistemático exento de contradicciones lógicas y la necesidad de encontrar una interpretación que salvaguarde la vigencia de cada uno de sus preceptos —según dijimos en la STC </w:t>
      </w:r>
      <w:r>
        <w:lastRenderedPageBreak/>
        <w:t>168/1993— obliga a pensar que ambos títulos competenciales se limitan y contrapesan entre sí, impidiendo el mutuo vaciamiento de sus contenidos respectivos; de suerte que el otorgamiento de concesiones para la gestión del servicio, por su estrecha conexión con los medios de comunicación social solicitantes de concesiones y con las libertades y derechos fundamentales recogidos en el art. 20 de la Norma Fundamental, es una medida que encuentra un acomodo natural y específico en el art. 149.1.27 de la Constitución, y, en general, cualesquiera otros aspectos en los que igualmente prime la naturaleza de un servicio de difusión y comunicación social, y en los cuales la radio y la televisión configuran fenómenos sustancialmente iguales al de la prensa; frente a los aspectos técnicos de la emisión relativos al uso de las ondas radioeléctricas o electromagnéticas, que caen en la órbita del art. 149.1.21 de la Constitución y de la competencia estatal para regular la radiocomunicación, y en los cuales la radio y la televisión se asemejan a otras clases de usos del dominio público radioeléctrico y que, precisamente por ello, incumbe ordenar de manera unitaria al Estado de forma que se cohonesten y hagan posibles todos estos usos.</w:t>
      </w:r>
    </w:p>
    <w:p w:rsidR="00D06117" w:rsidRDefault="00D06117" w:rsidP="00D06117">
      <w:pPr>
        <w:pStyle w:val="TextoNormal"/>
      </w:pPr>
    </w:p>
    <w:p w:rsidR="00D06117" w:rsidRDefault="00D06117" w:rsidP="00D06117">
      <w:pPr>
        <w:pStyle w:val="TextoNormal"/>
      </w:pPr>
      <w:r>
        <w:t>Hemos tenido ocasión también de señalar en la STC 108/1993 (fundamento jurídico 3), en relación con el funcionamiento de una emisora clandestina de radiodifusión en frecuencia modulada y actuando dentro del ámbito disciplinado por el art. 149.1.27 de la Constitución —algo que en realidad ya resolvimos en la STC 26/1982, fundamento jurídico 2—, que debe ser la competencia sobre el otorgamiento de la concesión y no la atribución de frecuencias y potencias, el punto de referencia que determine la titularidad de la competencia para la inspección y, en su caso, imposición de sanciones o para la adopción de medidas provisionales como puede ser el precintado de las instalaciones. Ello es así —según dijimos entonces— en virtud de la naturaleza de la concesión en cuanto acto administrativo a partir del cual se establece una peculiar relación de colaboración entre la Administración concedente y el concesionario en el ámbito de la gestión del servicio. Un criterio cuya corrección y adecuación a la Constitución ratificamos en la citada STC 168/1993 (fundamento jurídico 3).</w:t>
      </w:r>
    </w:p>
    <w:p w:rsidR="00D06117" w:rsidRDefault="00D06117" w:rsidP="00D06117">
      <w:pPr>
        <w:pStyle w:val="TextoNormal"/>
      </w:pPr>
    </w:p>
    <w:p w:rsidR="00D06117" w:rsidRDefault="00D06117" w:rsidP="00D06117">
      <w:pPr>
        <w:pStyle w:val="TextoNormal"/>
      </w:pPr>
      <w:r>
        <w:t>Por consiguiente y como resultado de cuanto precede, podemos extraer dos criterios jurisprudenciales para la solución del litigio: de un lado, es el art. 149.1.27 de la Constitución el que contiene las reglas de competencia atinentes a las emisiones clandestinas, ya sean de radio o de televisión, y no el art. 149.1.21 como pretende en este proceso el Abogado del Estado; y de otra parte, quien ostente la competencia sustantiva para el otorgamiento de las concesiones de emisoras es quien debe poseer también las facultades, accesorias de aquella principal, de inspección y control de emisiones clandestinas, precintado de los equipos y, en su caso, sanción.”</w:t>
      </w:r>
    </w:p>
    <w:p w:rsidR="00D06117" w:rsidRDefault="00D06117" w:rsidP="00D06117">
      <w:pPr>
        <w:pStyle w:val="TextoNormal"/>
      </w:pPr>
    </w:p>
    <w:p w:rsidR="00D06117" w:rsidRDefault="00D06117" w:rsidP="00D06117">
      <w:pPr>
        <w:pStyle w:val="TextoNormal"/>
      </w:pPr>
      <w:r w:rsidRPr="00D06117">
        <w:rPr>
          <w:rStyle w:val="NumeroAFNegritaCaracter"/>
        </w:rPr>
        <w:t>6</w:t>
      </w:r>
      <w:r>
        <w:t>. Llegados a este punto es claro que la aplicación de la regla de deslinde competencial contenida en la doctrina expuesta, según la cual las cuestiones relacionadas con la carencia de título habilitante de determinadas emisoras es una cuestión atinente al ámbito del art. 149.1.27 CE, conduce derechamente a la estimación del conflicto planteado pues de dicho encuadramiento deriva la consiguiente asunción autonómica de competencias ejecutivas cuando a las Comunidades Autónomas corresponda el otorgamiento de dicho título, competencias ejecutivas que incluyen, en tanto que se trata de potestades de ejecución, las actuaciones inspectoras y sancionadoras que resulten procedentes.</w:t>
      </w:r>
    </w:p>
    <w:p w:rsidR="00D06117" w:rsidRDefault="00D06117" w:rsidP="00D06117">
      <w:pPr>
        <w:pStyle w:val="TextoNormal"/>
      </w:pPr>
    </w:p>
    <w:p w:rsidR="00D06117" w:rsidRDefault="00D06117" w:rsidP="00D06117">
      <w:pPr>
        <w:pStyle w:val="TextoNormal"/>
      </w:pPr>
      <w:r>
        <w:lastRenderedPageBreak/>
        <w:t>Así pues, en el caso que examinamos, habida cuenta de la indiscutida competencia autonómica para otorgar la concesión, a esa misma instancia han de corresponder las potestades de naturaleza ejecutiva vinculadas a esa ausencia de título y referidas tanto a la inspección, vigilancia y control de las emisoras de televisión local que carezcan del preceptivo título habilitante, como a la adopción de medidas provisionales como son el precintado y depósito de los equipos, y a la instrucción de expedientes sancionadores ya que son éstas quienes ostentan las competencias principales en la materia de las que derivan esas otras accesorias de aquéllas. Criterio consolidado en nuestra doctrina que, por lo demás, es coincidente con el expresado, con posterioridad al planteamiento de la presente controversia, por el legislador básico estatal en la Ley 7/2010 a la que ya hemos aludido.</w:t>
      </w:r>
    </w:p>
    <w:p w:rsidR="00D06117" w:rsidRDefault="00D06117" w:rsidP="00D06117">
      <w:pPr>
        <w:pStyle w:val="TextoNormal"/>
      </w:pPr>
    </w:p>
    <w:p w:rsidR="00D06117" w:rsidRDefault="00D06117" w:rsidP="00D06117">
      <w:pPr>
        <w:pStyle w:val="TextoNormal"/>
      </w:pPr>
      <w:r>
        <w:t>La conclusión así alcanzada no puede verse enervada por el alegato formulado de contrario por el Abogado del Estado en torno a la eventual aplicación al caso de autos del art. 33 de la Ley estatal 31/1987 pues la doctrina constitucional recaída al respecto (STC 168/1993, de 25 de mayo, FJ 8), descarta la interpretación por él propuesta. Ha de tenerse presente que, frente a lo aducido por el Abogado del Estado, en los expedientes sancionadores controvertidos —con la excepción a la que hemos aludido en el fundamento jurídico 2 y que no forma parte del objeto del presente conflicto— no se han puesto de manifiesto la existencia de otros problemas como pudieran ser la comisión de infracciones relativas a la producción de interferencias perjudiciales a otros servicios de telecomunicación que hubieran, en su caso, determinado la aplicación de la competencia sustantiva estatal sobre telecomunicaciones y radiocomunicación. Por el contrario las entidades sancionadas lo son exclusivamente por emitir sin título habilitante, esto es, por la mera utilización de frecuencias careciendo de autorización administrativa supuesto éste que, conforme a la doctrina que hemos expuesto, corresponde apreciar a las Comunidades Autónomas cuando, como no se ha controvertido en el caso, resulten ser éstas, en el ejercicio de sus competencias de ejecución en materia de medios de comunicación social, las competentes para el otorgamiento del título habilitante para la prestación del servicio de televisión local por ondas terrestres.</w:t>
      </w:r>
    </w:p>
    <w:p w:rsidR="00D06117" w:rsidRDefault="00D06117" w:rsidP="00D06117">
      <w:pPr>
        <w:pStyle w:val="TextoNormal"/>
      </w:pPr>
    </w:p>
    <w:p w:rsidR="00D06117" w:rsidRDefault="00D06117" w:rsidP="00D06117">
      <w:pPr>
        <w:pStyle w:val="TextoNormal"/>
      </w:pPr>
      <w:r w:rsidRPr="00D06117">
        <w:rPr>
          <w:rStyle w:val="NumeroAFNegritaCaracter"/>
        </w:rPr>
        <w:t>7</w:t>
      </w:r>
      <w:r>
        <w:t>. En mérito de todo lo expuesto hemos de concluir que corresponde a la Generalitat de Cataluña la titularidad de las facultades de inspección, interrupción de emisiones, precintado y depósito de los equipos y determinación de las responsabilidades administrativas que correspondan a las personas físicas o jurídicas que realicen emisiones de televisión local sin ostentar el correspondiente titulo habilitante en los casos en los que éste ha de ser otorgado por la Generalitat. Facultades indebidamente ejercidas por el Estado en las resoluciones administrativas objeto del presente conflicto, que determinan que las mismas sean contrarias al orden constitucional de distribución de competencias y, por tanto, inconstitucionales y nulas. Inconstitucionalidad y nulidad que no alcanza, en tanto no forma parte del objeto de este proceso, a la sanción y medida cautelar impuesta en el expediente sancionador CI/S 02846/1997 por la realización de la conducta consistente en la producción de interferencias perjudiciales a otros servicios de telecomunicación legalmente establecidos.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1º Estimar el conflicto positivo de competencia núm. 1121-1999 y, en consecuencia, declarar la inconstitucionalidad y consiguiente nulidad de las resoluciones del Ministerio de Fomento de 10 de noviembre de 1998, recaídas en los expedientes CI/S 02727/1997, CI/S 02726/1997, CI/S 01519/1997, CI/S 02388/1997 y CI/S 02846/1997 salvo, en este último caso, en lo atinente a la sanción y medida cautelar impuesta por la realización de la conducta consistente en la producción de interferencias perjudiciales a otros servicios de telecomunicación legalmente establecidos.</w:t>
      </w:r>
    </w:p>
    <w:p w:rsidR="00D06117" w:rsidRDefault="00D06117" w:rsidP="00D06117">
      <w:pPr>
        <w:pStyle w:val="TextoNormal"/>
      </w:pPr>
    </w:p>
    <w:p w:rsidR="00D06117" w:rsidRDefault="00D06117" w:rsidP="00D06117">
      <w:pPr>
        <w:pStyle w:val="TextoNormal"/>
      </w:pPr>
      <w:r>
        <w:t>2º Declarar que corresponde a la Generalitat de Cataluña la titularidad de las facultades de inspección y sanción en relación con las personas físicas o jurídicas que realicen emisiones de televisión local sin ostentar el correspondiente titulo habilitante en los casos en los que éste ha de ser otorgado por la Generalitat.</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diecisiete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 w:name="SENTENCIA_2012_6"/>
      <w:r>
        <w:lastRenderedPageBreak/>
        <w:t>SENTENCIA 6/2012, de 18 de enero de 2012</w:t>
      </w:r>
    </w:p>
    <w:bookmarkEnd w:id="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ECLI:ES:TC:2012:6</w:t>
      </w:r>
    </w:p>
    <w:p w:rsidR="00D06117" w:rsidRDefault="00D06117" w:rsidP="00D06117">
      <w:pPr>
        <w:pStyle w:val="SntesisDescriptiva"/>
      </w:pPr>
    </w:p>
    <w:p w:rsidR="00D06117" w:rsidRDefault="00D06117" w:rsidP="00D06117">
      <w:pPr>
        <w:pStyle w:val="SntesisDescriptiva"/>
      </w:pPr>
      <w:r>
        <w:t>Conflicto positivo de competencia 2799-1998. Interpuesto por el Gobierno de la Generalitat de Cataluña en relación con las órdenes del Consejero de Educación y Cultura de la Diputación General de Aragón de 8 de agosto de 1997 y 10 de febrero de 1998, relativas al ejercicio del derecho de retracto respecto de determinados bienes procedentes del Monasterio de Sigena.</w:t>
      </w:r>
    </w:p>
    <w:p w:rsidR="00D06117" w:rsidRDefault="00D06117" w:rsidP="00D06117">
      <w:pPr>
        <w:pStyle w:val="SntesisDescriptiva"/>
      </w:pPr>
    </w:p>
    <w:p w:rsidR="00D06117" w:rsidRDefault="00D06117" w:rsidP="00D06117">
      <w:pPr>
        <w:pStyle w:val="SntesisAnaltica"/>
      </w:pPr>
      <w:r>
        <w:t>Competencias en materia de patrimonio histórico: prevalencia del título competencial correspondiente a la Generalitat de Cataluña; nulidad de las resoluciones impugnadas. Votos particulares.</w:t>
      </w:r>
    </w:p>
    <w:p w:rsidR="00D06117" w:rsidRDefault="00D06117" w:rsidP="00D06117">
      <w:pPr>
        <w:pStyle w:val="SntesisAnaltica"/>
      </w:pPr>
    </w:p>
    <w:p w:rsidR="00D06117" w:rsidRDefault="00D06117" w:rsidP="00D06117">
      <w:pPr>
        <w:pStyle w:val="Extracto"/>
      </w:pPr>
      <w:r>
        <w:t>1.</w:t>
      </w:r>
      <w:r>
        <w:tab/>
        <w:t>Ante la concurrencia de competencias en un mismo espacio físico y la falta de recurso a las técnicas de colaboración entre Comunidades Autónomas, prevalece la competencia que corresponde a Cataluña sobre los bienes procedentes del Monasterio de Sigena que se hallan en su territorio —con independencia de cuál sea el origen de los mismos—, al venir cumpliendo con la función de su preservación, resultando constitucionalmente congruente, desde esta perspectiva, que los mismos permanezcan en dicha Comunidad Autónoma [FJ 8].</w:t>
      </w:r>
    </w:p>
    <w:p w:rsidR="00D06117" w:rsidRDefault="00D06117" w:rsidP="00D06117">
      <w:pPr>
        <w:pStyle w:val="Extracto"/>
      </w:pPr>
    </w:p>
    <w:p w:rsidR="00D06117" w:rsidRDefault="00D06117" w:rsidP="00D06117">
      <w:pPr>
        <w:pStyle w:val="Extracto"/>
      </w:pPr>
      <w:r>
        <w:t>2.</w:t>
      </w:r>
      <w:r>
        <w:tab/>
        <w:t>El recurso al derecho de retracto como instrumento de la política de recuperación del patrimonio cultural de las Administraciones autonómicas ubicado fuera de su territorio cumple la función de garantizar la protección de los bienes de esta naturaleza desde el entendimiento de que en determinadas ocasiones esta protección se va a realizar mejor en manos de dichas Administraciones, facultad que podrán ejercitar frente a los particulares y frente a otras Administraciones públicas (SSTC 170/1989, 156/1995) [FFJJ 7, 8].</w:t>
      </w:r>
    </w:p>
    <w:p w:rsidR="00D06117" w:rsidRDefault="00D06117" w:rsidP="00D06117">
      <w:pPr>
        <w:pStyle w:val="Extracto"/>
      </w:pPr>
    </w:p>
    <w:p w:rsidR="00D06117" w:rsidRDefault="00D06117" w:rsidP="00D06117">
      <w:pPr>
        <w:pStyle w:val="Extracto"/>
      </w:pPr>
      <w:r>
        <w:t>3.</w:t>
      </w:r>
      <w:r>
        <w:tab/>
        <w:t xml:space="preserve">La competencia para ejercer los derechos de tanteo y retracto en casos de expoliación de bienes muebles integrantes del patrimonio histórico español, así como de adquisición de bienes muebles para museos, archivos o bibliotecas de titularidad estatal, pertenece al Estado, </w:t>
      </w:r>
      <w:r w:rsidRPr="00D06117">
        <w:rPr>
          <w:i/>
        </w:rPr>
        <w:t>ex</w:t>
      </w:r>
      <w:r>
        <w:t xml:space="preserve"> art. 149.1.28 CE, pudiendo constituirse dichos derechos en favor de las Comunidades Autónomas cuando estas hayan asumido en sus Estatutos competencias normativas sobre la materia en la que se incardinan (SSTC 170/1989, 17/1991) [FJ 7].</w:t>
      </w:r>
    </w:p>
    <w:p w:rsidR="00D06117" w:rsidRDefault="00D06117" w:rsidP="00D06117">
      <w:pPr>
        <w:pStyle w:val="Extracto"/>
      </w:pPr>
    </w:p>
    <w:p w:rsidR="00D06117" w:rsidRDefault="00D06117" w:rsidP="00D06117">
      <w:pPr>
        <w:pStyle w:val="Extracto"/>
      </w:pPr>
      <w:r>
        <w:t>4.</w:t>
      </w:r>
      <w:r>
        <w:tab/>
        <w:t>El principio según el cual el territorio es elemento delimitador de las competencias de las Comunidades Autónomas en su relación con las demás Comunidades y con el Estado, no puede ser interpretado en unos términos que impidan a las instancias autonómicas, en el ejercicio de sus propias competencias, adoptar decisiones cuyas consecuencias puedan proyectarse sobre otros lugares del territorio nacional (SSTC 37/1981, 168/2004) [FJ 6].</w:t>
      </w:r>
    </w:p>
    <w:p w:rsidR="00D06117" w:rsidRDefault="00D06117" w:rsidP="00D06117">
      <w:pPr>
        <w:pStyle w:val="Extracto"/>
      </w:pPr>
    </w:p>
    <w:p w:rsidR="00D06117" w:rsidRDefault="00D06117" w:rsidP="00D06117">
      <w:pPr>
        <w:pStyle w:val="Extracto"/>
      </w:pPr>
      <w:r>
        <w:lastRenderedPageBreak/>
        <w:t>5.</w:t>
      </w:r>
      <w:r>
        <w:tab/>
        <w:t>En el ámbito procesal propio de los conflictos constitucionales de competencia cabe tanto la reivindicación de la competencia como la denuncia de los excesos en el ejercicio de una competencia ajena, siempre que ese exceso vulnere el sistema de distribución de competencias diseñado en el bloque de la constitucionalidad (SSTC 243/1993, 87/1997) [FFJJ 3, 4].</w:t>
      </w:r>
    </w:p>
    <w:p w:rsidR="00D06117" w:rsidRDefault="00D06117" w:rsidP="00D06117">
      <w:pPr>
        <w:pStyle w:val="Extracto"/>
      </w:pPr>
    </w:p>
    <w:p w:rsidR="00D06117" w:rsidRDefault="00D06117" w:rsidP="00D06117">
      <w:pPr>
        <w:pStyle w:val="Extracto"/>
      </w:pPr>
      <w:r>
        <w:t>6.</w:t>
      </w:r>
      <w:r>
        <w:tab/>
        <w:t>El conflicto positivo de competencia promovido por la Generalitat de Cataluña encaja en las previsiones de los arts. 59, 61 y 63.1 LOTC, ya que lo esencial para utilizar dicha vía no es la naturaleza o la forma del acto objeto del mismo sino la real existencia de una controversia ante un evidente ejercicio de competencias supuestamente lesivo del orden constitucional (SSTC 143/1985, 137/1989) [FJ 3].</w:t>
      </w:r>
    </w:p>
    <w:p w:rsidR="00D06117" w:rsidRDefault="00D06117" w:rsidP="00D06117">
      <w:pPr>
        <w:pStyle w:val="Extracto"/>
      </w:pPr>
    </w:p>
    <w:p w:rsidR="00D06117" w:rsidRDefault="00D06117" w:rsidP="00D06117">
      <w:pPr>
        <w:pStyle w:val="Extracto"/>
      </w:pPr>
      <w:r>
        <w:t>7.</w:t>
      </w:r>
      <w:r>
        <w:tab/>
        <w:t>Doctrina sobre el objeto y límites del conflicto positivo de competencia (SSTC 243/1993, 44/2007) [FFJJ 3, 4].</w:t>
      </w:r>
    </w:p>
    <w:p w:rsidR="00D06117" w:rsidRDefault="00D06117" w:rsidP="00D06117">
      <w:pPr>
        <w:pStyle w:val="Extracto"/>
      </w:pPr>
    </w:p>
    <w:p w:rsidR="00D06117" w:rsidRDefault="00D06117" w:rsidP="00D06117">
      <w:pPr>
        <w:pStyle w:val="Extracto"/>
      </w:pPr>
      <w:r>
        <w:t>8.</w:t>
      </w:r>
      <w:r>
        <w:tab/>
        <w:t xml:space="preserve">Doctrina sobre el </w:t>
      </w:r>
      <w:r w:rsidRPr="00D06117">
        <w:rPr>
          <w:i/>
        </w:rPr>
        <w:t>ius superveniens</w:t>
      </w:r>
      <w:r>
        <w:t xml:space="preserve"> en los conflictos positivos de competencia en materia de patrimonio histórico y cultural (SSTC 28/1997, 1/2003)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2799-1998, planteado por el Gobierno de la Generalitat de Cataluña, representado por la Abogada doña Dolors Feliu i Torrent, frente al Gobierno de Aragón, en relación con el ejercicio del derecho de retracto que se inició mediante la Orden del Consejero de Educación y Cultura de la Diputación General de Aragón de 8 de agosto de 1997, y que posteriormente se concretó mediante la Orden del mismo Consejero de 10 de febrero de 1998, respecto de los bienes que se relacionan en el anexo de esta última procedentes del Monasterio de Sigena y adquiridos por la Generalitat de Cataluña. Ha comparecido la Diputación General de Aragón, representada por el Letrado don Rafael Santacruz Blanco.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este Tribunal el 22 de junio de 1998, el Gobierno de la Generalitat de Cataluña formalizó conflicto positivo de competencia frente al Gobierno de Aragón en relación con el ejercicio del derecho de retracto respecto de los bienes que se relacionan en el anexo de la Orden del Consejero de Educación y Cultura de la Diputación General de Aragón, de 10 de febrero de 1998, procedentes del Monasterio de Sigena y adquiridos por la Generalitat de Cataluña. En el escrito se pide que se dicte Sentencia en la que se declare que la competencia controvertida corresponde a la Generalitat de Cataluña, y la consiguiente nulidad de las órdenes a que se ha hecho referencia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Según se expone en el escrito de formalización los antecedentes del presente conflicto positivo de competencia son los siguientes:</w:t>
      </w:r>
    </w:p>
    <w:p w:rsidR="00D06117" w:rsidRDefault="00D06117" w:rsidP="00D06117">
      <w:pPr>
        <w:pStyle w:val="TextoNormal"/>
      </w:pPr>
    </w:p>
    <w:p w:rsidR="00D06117" w:rsidRDefault="00D06117" w:rsidP="00D06117">
      <w:pPr>
        <w:pStyle w:val="TextoNormal"/>
      </w:pPr>
      <w:r>
        <w:t>a) Por Orden de 8 de agosto de 1997 el Departamento de Educación y Cultura de la Diputación General de Aragón acordó el ejercicio del derecho de retracto sobre determinados bienes adquiridos por la Generalitat de Cataluña, provenientes del tesoro artístico del Monasterio de Sigena, referidos en el anexo I de la misma. Dicha orden fue remitida al Departamento de Cultura de la Generalitat de Cataluña, mediante escrito que tuvo entrada el 26 de agosto de 1997.</w:t>
      </w:r>
    </w:p>
    <w:p w:rsidR="00D06117" w:rsidRDefault="00D06117" w:rsidP="00D06117">
      <w:pPr>
        <w:pStyle w:val="TextoNormal"/>
      </w:pPr>
    </w:p>
    <w:p w:rsidR="00D06117" w:rsidRDefault="00D06117" w:rsidP="00D06117">
      <w:pPr>
        <w:pStyle w:val="TextoNormal"/>
      </w:pPr>
      <w:r>
        <w:t>Al no figurar en la misma el citado anexo, el Departamento de Cultura de la Generalitat de Cataluña lo puso de manifiesto al Departamento de Educación y Cultura de la Diputación General de Aragón mediante escrito fechado el 5 de septiembre de 1997.</w:t>
      </w:r>
    </w:p>
    <w:p w:rsidR="00D06117" w:rsidRDefault="00D06117" w:rsidP="00D06117">
      <w:pPr>
        <w:pStyle w:val="TextoNormal"/>
      </w:pPr>
    </w:p>
    <w:p w:rsidR="00D06117" w:rsidRDefault="00D06117" w:rsidP="00D06117">
      <w:pPr>
        <w:pStyle w:val="TextoNormal"/>
      </w:pPr>
      <w:r>
        <w:t>En el citado Departamento de la Generalitat de Cataluña tuvo entrada el 23 de septiembre siguiente un escrito incluyendo el anexo I de la Orden de 8 de agosto de 1997, el cual consistía en una relación de bienes sobre los que decía ejercer el retracto por un precio global que no coincidía con el que se expresaba en la orden.</w:t>
      </w:r>
    </w:p>
    <w:p w:rsidR="00D06117" w:rsidRDefault="00D06117" w:rsidP="00D06117">
      <w:pPr>
        <w:pStyle w:val="TextoNormal"/>
      </w:pPr>
    </w:p>
    <w:p w:rsidR="00D06117" w:rsidRDefault="00D06117" w:rsidP="00D06117">
      <w:pPr>
        <w:pStyle w:val="TextoNormal"/>
      </w:pPr>
      <w:r>
        <w:t>Dado que esta circunstancia impedía conocer cuáles eran los bienes sobre los que se pretendía ejercer el derecho de retracto el Departamento de Cultura de la Generalitat de Cataluña lo puso en conocimiento del Departamento de Educación y Cultura de la Diputación General de Aragón mediante un escrito de 1 de octubre de 1997.</w:t>
      </w:r>
    </w:p>
    <w:p w:rsidR="00D06117" w:rsidRDefault="00D06117" w:rsidP="00D06117">
      <w:pPr>
        <w:pStyle w:val="TextoNormal"/>
      </w:pPr>
    </w:p>
    <w:p w:rsidR="00D06117" w:rsidRDefault="00D06117" w:rsidP="00D06117">
      <w:pPr>
        <w:pStyle w:val="TextoNormal"/>
      </w:pPr>
      <w:r>
        <w:t>Posteriormente, mediante nueva Orden del Departamento de Educación y Cultura de la Diputación General de Aragón, de 10 de febrero de 1998, notificada el 24 de febrero de 1998, se estableció la relación de bienes, contenida en su anexo, sobre los que se acordaba el ejercicio del derecho de retracto.</w:t>
      </w:r>
    </w:p>
    <w:p w:rsidR="00D06117" w:rsidRDefault="00D06117" w:rsidP="00D06117">
      <w:pPr>
        <w:pStyle w:val="TextoNormal"/>
      </w:pPr>
    </w:p>
    <w:p w:rsidR="00D06117" w:rsidRDefault="00D06117" w:rsidP="00D06117">
      <w:pPr>
        <w:pStyle w:val="TextoNormal"/>
      </w:pPr>
      <w:r>
        <w:t xml:space="preserve">b) El Gobierno de la Generalitat de Cataluña, en su reunión de 16 de abril de 1998, acordó dirigir a la Diputación General de Aragón requerimiento de incompetencia al considerar que el ejercicio del referido derecho de retracto constituía una invasión de las competencias que estatutariamente había asumido en las materias de patrimonio histórico y artístico, y de museos [art. 9.5 y 9.6 del Estatuto de Autonomía de Cataluña (EAC), conforme al texto entonces vigente]. En el mismo escrito se instaba a la Diputación General de Aragón para que derogara y dejara sin efecto las órdenes del Consejero de Educación y Cultura de 8 de agosto </w:t>
      </w:r>
      <w:r>
        <w:lastRenderedPageBreak/>
        <w:t>de 1997 y 10 de febrero de 1998 por las que se pretendía ejercer el derecho de retracto respecto de los señalados bienes procedentes del Monasterio de Sigena adquiridos por la Generalitat de Cataluña.</w:t>
      </w:r>
    </w:p>
    <w:p w:rsidR="00D06117" w:rsidRDefault="00D06117" w:rsidP="00D06117">
      <w:pPr>
        <w:pStyle w:val="TextoNormal"/>
      </w:pPr>
    </w:p>
    <w:p w:rsidR="00D06117" w:rsidRDefault="00D06117" w:rsidP="00D06117">
      <w:pPr>
        <w:pStyle w:val="TextoNormal"/>
      </w:pPr>
      <w:r>
        <w:t>El requerimiento fue presentado ante la Diputación General de Aragón el 22 de abril de 1998. En la misma fecha, y en cumplimiento de lo dispuesto en el art. 63.2 de la Ley Orgánica del Tribunal Constitucional (LOTC), se presentó ante la Delegación del Gobierno en Cataluña escrito por el que se da cuenta al Gobierno de la Nación del requerimiento formulado.</w:t>
      </w:r>
    </w:p>
    <w:p w:rsidR="00D06117" w:rsidRDefault="00D06117" w:rsidP="00D06117">
      <w:pPr>
        <w:pStyle w:val="TextoNormal"/>
      </w:pPr>
    </w:p>
    <w:p w:rsidR="00D06117" w:rsidRDefault="00D06117" w:rsidP="00D06117">
      <w:pPr>
        <w:pStyle w:val="TextoNormal"/>
      </w:pPr>
      <w:r>
        <w:t>c) En su reunión celebrada el día 15 de abril de 1998, el Gobierno de Aragón acordó rechazar el requerimiento de incompetencia formulado por el Gobierno de la Generalitat de Cataluña, alegando la inexistencia de razones jurídicas que justificaran su aceptación, por cuanto en virtud de las competencias asumidas en su Estatuto de Autonomía en materia de patrimonio cultural, histórico, artístico, monumental, arqueológico y científico de interés para la Comunidad Autónoma [art. 35.1.33 del Estatuto de Autonomía de Aragón (EAAr), en la redacción entonces vigente], le corresponde a ésta ejercer el derecho de retracto sobre los bienes en cuestión.</w:t>
      </w:r>
    </w:p>
    <w:p w:rsidR="00D06117" w:rsidRDefault="00D06117" w:rsidP="00D06117">
      <w:pPr>
        <w:pStyle w:val="TextoNormal"/>
      </w:pPr>
    </w:p>
    <w:p w:rsidR="00D06117" w:rsidRDefault="00D06117" w:rsidP="00D06117">
      <w:pPr>
        <w:pStyle w:val="TextoNormal"/>
      </w:pPr>
      <w:r w:rsidRPr="00D06117">
        <w:rPr>
          <w:rStyle w:val="NumeroAFNegritaCaracter"/>
        </w:rPr>
        <w:t>3</w:t>
      </w:r>
      <w:r>
        <w:t>. En el escrito de formalización del conflicto positivo de competencias, la Letrada del Gobierno de la Generalitat de Cataluña señala que este conflicto tiene por objeto la actuación de la Diputación General de Aragón fuera de los límites de sus competencias, con invasión de las que ha asumido la Generalitat de Cataluña, es decir, el ejercicio extralimitado de una competencia ajena con menoscabo de la propia. De ahí que la petición que se formula en este proceso no sea la determinación de la titularidad de los bienes controvertidos sino la delimitación del alcance de la potestad administrativa de tutela sobre patrimonio histórico, que corresponde a la Generalitat en virtud de su Estatuto de Autonomía (arts. 9.5 y 9.6 EAC 1979), y la consiguiente nulidad del acto vulnerador del orden competencial.</w:t>
      </w:r>
    </w:p>
    <w:p w:rsidR="00D06117" w:rsidRDefault="00D06117" w:rsidP="00D06117">
      <w:pPr>
        <w:pStyle w:val="TextoNormal"/>
      </w:pPr>
    </w:p>
    <w:p w:rsidR="00D06117" w:rsidRDefault="00D06117" w:rsidP="00D06117">
      <w:pPr>
        <w:pStyle w:val="TextoNormal"/>
      </w:pPr>
      <w:r>
        <w:t>Antes de entrar a analizar la controversia competencial, el escrito de la Generalitat de Cataluña examina con apoyo de un informe técnico el origen y las vicisitudes de los bienes controvertidos.</w:t>
      </w:r>
    </w:p>
    <w:p w:rsidR="00D06117" w:rsidRDefault="00D06117" w:rsidP="00D06117">
      <w:pPr>
        <w:pStyle w:val="TextoNormal"/>
      </w:pPr>
    </w:p>
    <w:p w:rsidR="00D06117" w:rsidRDefault="00D06117" w:rsidP="00D06117">
      <w:pPr>
        <w:pStyle w:val="TextoNormal"/>
      </w:pPr>
      <w:r>
        <w:t>Éstos habían sido depositados por la Orden de San Juan de Jerusalén, que ocupaba las dependencias del Monasterio de Sigena, en diversas instituciones museísticas catalanas a causa del deterioro y destrucción del Monasterio, especialmente después del incendio sufrido en 1936. En 1983 la Generalitat adquirió parte de esos bienes a la citada Orden religiosa, que en 1970 se había trasladado a Valldoreix (Barcelona), los cuales fueron depositados en el Museo Diocesano de Lérida; en 1992 se compraron otros bienes que habían sido previamente depositados en el Museo Nacional de Arte de Cataluña y en el Centro de restauración de la Generalitat.</w:t>
      </w:r>
    </w:p>
    <w:p w:rsidR="00D06117" w:rsidRDefault="00D06117" w:rsidP="00D06117">
      <w:pPr>
        <w:pStyle w:val="TextoNormal"/>
      </w:pPr>
    </w:p>
    <w:p w:rsidR="00D06117" w:rsidRDefault="00D06117" w:rsidP="00D06117">
      <w:pPr>
        <w:pStyle w:val="TextoNormal"/>
      </w:pPr>
      <w:r>
        <w:t xml:space="preserve">Los bienes adquiridos por la Generalitat no tendrían la condición de bien de interés cultural porque la Real Orden de 28 marzo de 1923, que declaró monumento nacional el Real Monasterio de Sigena, no afectó a los bienes muebles, y tampoco tienen tal condición de acuerdo con el art. 27 de la Ley 13/1985, de 25 de junio, del patrimonio histórico español. En consecuencia, al no poder atribuirles carácter de bienes de interés cultural ni estar incluidos en el Inventario General al que se refiere el art. 26 de la Ley del patrimonio histórico </w:t>
      </w:r>
      <w:r>
        <w:lastRenderedPageBreak/>
        <w:t>español, los controvertidos bienes no cumplen las condiciones para que la Diputación General de Aragón pueda ejercer sobre ellos el retracto previsto en el art. 38 de dicha ley y el art. 40.3 del Real Decreto 111/1986, de 10 de enero, del patrimonio histórico español.</w:t>
      </w:r>
    </w:p>
    <w:p w:rsidR="00D06117" w:rsidRDefault="00D06117" w:rsidP="00D06117">
      <w:pPr>
        <w:pStyle w:val="TextoNormal"/>
      </w:pPr>
    </w:p>
    <w:p w:rsidR="00D06117" w:rsidRDefault="00D06117" w:rsidP="00D06117">
      <w:pPr>
        <w:pStyle w:val="TextoNormal"/>
      </w:pPr>
      <w:r>
        <w:t>A continuación, el escrito de formalización del conflicto examina el marco competencial en el que se plantea esta controversia. A estos efectos, relaciona las competencias asumidas estatutariamente por la Generalitat en materia de patrimonio histórico y centros de depósito cultural (arts. 9.5 y 9.6 EAC), así como los museos de titularidad estatal (art. 11.7 EAC), y la correspondiente transferencia de servicios operada por el Real Decreto 1010/1981, de 27 de febrero.</w:t>
      </w:r>
    </w:p>
    <w:p w:rsidR="00D06117" w:rsidRDefault="00D06117" w:rsidP="00D06117">
      <w:pPr>
        <w:pStyle w:val="TextoNormal"/>
      </w:pPr>
    </w:p>
    <w:p w:rsidR="00D06117" w:rsidRDefault="00D06117" w:rsidP="00D06117">
      <w:pPr>
        <w:pStyle w:val="TextoNormal"/>
      </w:pPr>
      <w:r>
        <w:t>Acto seguido describe el marco normativo desarrollado por la Generalitat en esas materias, quedando así demostrado que a mediados de 1981 la Comunidad Autónoma ya había asumido plenamente competencias sobre la protección del patrimonio histórico y los museos en Cataluña. En ejercicio de estas competencias, la Generalitat adquirió los controvertidos bienes en cumplimiento de la legislación vigente (art. 8 de la Ley 16/1985, de 25 de junio, del patrimonio histórico español), actuando a favor de la protección de los mismos, al pasar a formar parte del patrimonio de la Generalitat y resultar protegidos por la Ley 11/1981, de 7 de diciembre, del patrimonio de la Generalitat, integrándose asimismo en un museo.</w:t>
      </w:r>
    </w:p>
    <w:p w:rsidR="00D06117" w:rsidRDefault="00D06117" w:rsidP="00D06117">
      <w:pPr>
        <w:pStyle w:val="TextoNormal"/>
      </w:pPr>
    </w:p>
    <w:p w:rsidR="00D06117" w:rsidRDefault="00D06117" w:rsidP="00D06117">
      <w:pPr>
        <w:pStyle w:val="TextoNormal"/>
      </w:pPr>
      <w:r>
        <w:t>De todo ello concluye que cuando realizó las adquisiciones que pretende retractar el Gobierno de Aragón la Generalitat actuó en el más estricto ejercicio de sus competencias.</w:t>
      </w:r>
    </w:p>
    <w:p w:rsidR="00D06117" w:rsidRDefault="00D06117" w:rsidP="00D06117">
      <w:pPr>
        <w:pStyle w:val="TextoNormal"/>
      </w:pPr>
    </w:p>
    <w:p w:rsidR="00D06117" w:rsidRDefault="00D06117" w:rsidP="00D06117">
      <w:pPr>
        <w:pStyle w:val="TextoNormal"/>
      </w:pPr>
      <w:r>
        <w:t>Tras afirmar la competencia de la Generalitat para la protección de los bienes objeto de controversia en este conflicto, se alega que la Comunidad Autónoma de Aragón ha excedido los límites de sus competencias con menoscabo de las que corresponden a aquélla. Para la representación de la Generalitat esta extralimitación es triple: temporal, territorial y material.</w:t>
      </w:r>
    </w:p>
    <w:p w:rsidR="00D06117" w:rsidRDefault="00D06117" w:rsidP="00D06117">
      <w:pPr>
        <w:pStyle w:val="TextoNormal"/>
      </w:pPr>
    </w:p>
    <w:p w:rsidR="00D06117" w:rsidRDefault="00D06117" w:rsidP="00D06117">
      <w:pPr>
        <w:pStyle w:val="TextoNormal"/>
      </w:pPr>
      <w:r>
        <w:t>Así, la Comunidad Autónoma de Aragón asumió en su Estatuto de Autonomía (Ley Orgánica 1/1982, de 10 de agosto, modificado posteriormente por la Ley Orgánica 6/1994 y la Ley Orgánica 5/1996) competencias en materia de patrimonio histórico y cultural, y con posterioridad le fueron transferidas competencias mediante la Ley Orgánica 9/1992, de 23 de diciembre. Pero no asumió el ejercicio de tales competencias hasta el Real Decreto 3065/1983, de 5 de octubre, que entró en vigor el 12 de diciembre de 1983. De ahí que cuando se efectuó la compra para el Museo diocesano de los bienes procedentes de Sigena, el 28 de enero de 1983, la Comunidad Autónoma de Aragón no podía haber realizado actuación alguna porque no tenía traspasadas las competencias, y en consecuencia, la actuación del Gobierno de Aragón constituye una extralimitación temporal en el ejercicio de la competencia controvertida.</w:t>
      </w:r>
    </w:p>
    <w:p w:rsidR="00D06117" w:rsidRDefault="00D06117" w:rsidP="00D06117">
      <w:pPr>
        <w:pStyle w:val="TextoNormal"/>
      </w:pPr>
    </w:p>
    <w:p w:rsidR="00D06117" w:rsidRDefault="00D06117" w:rsidP="00D06117">
      <w:pPr>
        <w:pStyle w:val="TextoNormal"/>
      </w:pPr>
      <w:r>
        <w:t xml:space="preserve">Por otra parte, la actuación del Gobierno de Aragón habría supuesto una extralimitación territorial al extender la capacidad de retracto a bienes, como los adquiridos por la Generalitat en 1992, que no quedaron incluidos en el ámbito de la competencia asumida por la Diputación General de Aragón al haber salido de su territorio con anterioridad a la aprobación de su Estatuto de Autonomía. Eso sería contrario a la configuración del territorio como </w:t>
      </w:r>
      <w:r>
        <w:lastRenderedPageBreak/>
        <w:t>elemento delimitador de las competencias de las Comunidades Autónomas en relación con las demás Comunidades Autónomas y con el Estado, según la jurisprudencia constitucional.</w:t>
      </w:r>
    </w:p>
    <w:p w:rsidR="00D06117" w:rsidRDefault="00D06117" w:rsidP="00D06117">
      <w:pPr>
        <w:pStyle w:val="TextoNormal"/>
      </w:pPr>
    </w:p>
    <w:p w:rsidR="00D06117" w:rsidRDefault="00D06117" w:rsidP="00D06117">
      <w:pPr>
        <w:pStyle w:val="TextoNormal"/>
      </w:pPr>
      <w:r>
        <w:t>Finalmente, la Letrada de la Generalitat aduce que se habría producido también una extralimitación material en el ejercicio de la competencia puesto que la actuación del Gobierno de Aragón ha excedido del alcance de sus atribuciones al actuar una potestad que nunca ha formado parte de su acervo competencial. Y ello porque la figura del retracto no puede ser legalmente utilizada entre Comunidades Autónomas respecto de bienes adquiridos a instituciones eclesiásticas. Por una parte, los controvertidos bienes no tenían la condición de bien de interés cultural en el momento de su compra, lo que impide legalmente a la Comunidad Autónoma ejercer las actuaciones de retracto previstas en el art. 38 de la Ley del patrimonio histórico español. Por otra parte, ni con la Ley de 13 de mayo de 1933 ni con la citada Ley del patrimonio histórico español (art. 28) es posible el retracto de bienes histórico-artísticos entre Comunidades Autónomas sobre bienes de titularidad pública o pertenecientes a instituciones eclesiásticas.</w:t>
      </w:r>
    </w:p>
    <w:p w:rsidR="00D06117" w:rsidRDefault="00D06117" w:rsidP="00D06117">
      <w:pPr>
        <w:pStyle w:val="TextoNormal"/>
      </w:pPr>
    </w:p>
    <w:p w:rsidR="00D06117" w:rsidRDefault="00D06117" w:rsidP="00D06117">
      <w:pPr>
        <w:pStyle w:val="TextoNormal"/>
      </w:pPr>
      <w:r>
        <w:t>Junto a estos tres motivos, la Letrada de la Generalitat de Cataluña expone un último razonamiento: la competencia de las Comunidades Autónomas en protección del patrimonio histórico tiene como objetivo la preservación de los bienes de esta naturaleza; esta competencia se ejerce sobre una realidad material que es la resultante de que a lo largo de los siglos y en la medida que lo permitían los recursos disponibles en cada momento, las distintas Administraciones, estatal y local, adoptaran legítimamente decisiones que han permitido preservar el patrimonio histórico y artístico de España, sin que la constitución de las Comunidades autónomas ni la Ley del patrimonio histórico español permitan abrir un proceso de revisión de aquellas actuaciones. De ahí que la legislación establezca como punto de conexión para determinar la competencia la ubicación del bien y no su procedencia en origen.</w:t>
      </w:r>
    </w:p>
    <w:p w:rsidR="00D06117" w:rsidRDefault="00D06117" w:rsidP="00D06117">
      <w:pPr>
        <w:pStyle w:val="TextoNormal"/>
      </w:pPr>
    </w:p>
    <w:p w:rsidR="00D06117" w:rsidRDefault="00D06117" w:rsidP="00D06117">
      <w:pPr>
        <w:pStyle w:val="TextoNormal"/>
      </w:pPr>
      <w:r>
        <w:t>Por los motivos expuestos, la representación de la Generalitat solicita que se dicte Sentencia por la que se declare que la competencia controvertida corresponde a la Generalitat de Cataluña, y la consiguiente nulidad de las órdenes impugnadas.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21 de julio de 1998, la Sección Cuarta del Tribunal acordó admitir a trámite el presente conflicto; dar traslado de la demanda y documentos presentados al Gobierno de la Diputación General de Aragón por conducto de su Presidente, con el fin de que formulase las alegaciones que estimara procedentes en el plazo de veinte días; comunicar la incoación del conflicto a la Sala de lo Contencioso-Administrativo del Tribunal Superior de Justicia de Aragón, a los efectos previstos en el art. 61.2 LOTC; publicar la incoación del conflicto en los boletines oficiales del Estado, y de Aragón, y en el “Diario Oficial de la Generalitat de Cataluña”.</w:t>
      </w:r>
    </w:p>
    <w:p w:rsidR="00D06117" w:rsidRDefault="00D06117" w:rsidP="00D06117">
      <w:pPr>
        <w:pStyle w:val="TextoNormal"/>
      </w:pPr>
    </w:p>
    <w:p w:rsidR="00D06117" w:rsidRDefault="00D06117" w:rsidP="00D06117">
      <w:pPr>
        <w:pStyle w:val="TextoNormal"/>
      </w:pPr>
      <w:r w:rsidRPr="00D06117">
        <w:rPr>
          <w:rStyle w:val="NumeroAFNegritaCaracter"/>
        </w:rPr>
        <w:t>5</w:t>
      </w:r>
      <w:r>
        <w:t>. El Letrado de la Comunidad Autónoma de Aragón presentó su escrito de alegaciones, en representación de su Gobierno, con fecha 19 de septiembre de 1998, solicitando que se dictara Sentencia por la cual se declarase la falta de jurisdicción de este Tribunal para conocer del presente conflicto, o subsidiariamente, declarase que la Comunidad Autónoma de Aragón es titular de la competencia controvertida, sin perjuicio de que la Generalitat de Cataluña pueda acudir a los Tribunales ordinarios para impugnar las órdenes objeto de este proceso constitucional.</w:t>
      </w:r>
    </w:p>
    <w:p w:rsidR="00D06117" w:rsidRDefault="00D06117" w:rsidP="00D06117">
      <w:pPr>
        <w:pStyle w:val="TextoNormal"/>
      </w:pPr>
    </w:p>
    <w:p w:rsidR="00D06117" w:rsidRDefault="00D06117" w:rsidP="00D06117">
      <w:pPr>
        <w:pStyle w:val="TextoNormal"/>
      </w:pPr>
      <w:r>
        <w:lastRenderedPageBreak/>
        <w:t>El escrito se inicia con una relación de hechos que recoge los antecedentes del presente conflicto, cuyo objeto se circunscribe a las citadas órdenes impugnadas por la Generalitat de Cataluña, que han sido igualmente objeto de un recurso contencioso-administrativo ante el Tribunal Superior de Justicia de Aragón, cuya tramitación ha quedado en suspenso con la interposición del que ahora debe resolver este Tribunal.</w:t>
      </w:r>
    </w:p>
    <w:p w:rsidR="00D06117" w:rsidRDefault="00D06117" w:rsidP="00D06117">
      <w:pPr>
        <w:pStyle w:val="TextoNormal"/>
      </w:pPr>
    </w:p>
    <w:p w:rsidR="00D06117" w:rsidRDefault="00D06117" w:rsidP="00D06117">
      <w:pPr>
        <w:pStyle w:val="TextoNormal"/>
      </w:pPr>
      <w:r>
        <w:t>En cuanto a la fundamentación jurídica, lo primero que alega el representante de la Comunidad Autónoma de Aragón es la falta de relevancia o contenido constitucional del conflicto planteado por el Gobierno de la Generalitat de Cataluña, elemento específico y definitorio del conflicto positivo de competencia según la jurisprudencia constitucional (STC 88/1989, de 11 de mayo). De ahí que el Tribunal Constitucional debería declarar su falta de jurisdicción por tratarse de una controversia a dilucidar ante los Tribunales ordinarios.</w:t>
      </w:r>
    </w:p>
    <w:p w:rsidR="00D06117" w:rsidRDefault="00D06117" w:rsidP="00D06117">
      <w:pPr>
        <w:pStyle w:val="TextoNormal"/>
      </w:pPr>
    </w:p>
    <w:p w:rsidR="00D06117" w:rsidRDefault="00D06117" w:rsidP="00D06117">
      <w:pPr>
        <w:pStyle w:val="TextoNormal"/>
      </w:pPr>
      <w:r>
        <w:t>En este sentido, se sostiene que en el presente caso no está en cuestión la competencia de la Generalitat o de la Diputación General de Aragón sobre patrimonio histórico y artístico, sino sólo una discrepancia sobre cuestiones fácticas y de legalidad ordinaria respecto del ejercicio del derecho de retracto por parte de esta última. Así se desprende de los argumentos de la Generalitat, basados en la consideración de los controvertidos bienes como bienes de interés cultural, su carácter de bien mueble, o la existencia de un régimen legal diferenciado para los bienes de instituciones eclesiásticas. Todo ello revela que no se está discutiendo la existencia o no de un título competencial atribuido a la Comunidad Autónoma por el bloque de la constitucionalidad, sino el concreto ejercicio de esa competencia sobre unos determinados bienes por entender que en ellos no concurren los requisitos legales para ejercer el derecho de retracto.</w:t>
      </w:r>
    </w:p>
    <w:p w:rsidR="00D06117" w:rsidRDefault="00D06117" w:rsidP="00D06117">
      <w:pPr>
        <w:pStyle w:val="TextoNormal"/>
      </w:pPr>
    </w:p>
    <w:p w:rsidR="00D06117" w:rsidRDefault="00D06117" w:rsidP="00D06117">
      <w:pPr>
        <w:pStyle w:val="TextoNormal"/>
      </w:pPr>
      <w:r>
        <w:t>En segundo lugar, el Letrado de la Comunidad Autónoma de Aragón afirma que ésta es competente para ejercitar el derecho de tanteo y retracto en las ventas de bienes de interés cultural. Esta competencia se enmarca dentro de las competencias de ejecución en materia de patrimonio histórico y que le corresponden en virtud del art. 36.1 g) EAAr (Ley Orgánica 8/1982), cuya posterior reforma mediante Ley Orgánica 5/1996, de 30 de diciembre, les dio el carácter de competencias exclusivas (art. 35.1.33 EAAr). De lo anterior deduce que la alegación de la Generalitat según la cual la Comunidad Autónoma de Aragón no podía haber realizado actuación alguna porque no tenía traspasadas las competencias hasta la entrada en vigor del Real Decreto 3065/1983, es meramente formal, y ello porque según una reiterada doctrina de este Tribunal es posible el ejercicio inmediato de las competencias cuya titularidad se asume ipso iure en virtud del Estatuto.</w:t>
      </w:r>
    </w:p>
    <w:p w:rsidR="00D06117" w:rsidRDefault="00D06117" w:rsidP="00D06117">
      <w:pPr>
        <w:pStyle w:val="TextoNormal"/>
      </w:pPr>
    </w:p>
    <w:p w:rsidR="00D06117" w:rsidRDefault="00D06117" w:rsidP="00D06117">
      <w:pPr>
        <w:pStyle w:val="TextoNormal"/>
      </w:pPr>
      <w:r>
        <w:t>En tercer lugar alega que, aun tratándose de una cuestión de legalidad ordinaria, los bienes retractados ostentan la condición de bienes de interés cultural de acuerdo con la disposición adicional primera de la Ley del patrimonio histórico español, dado que el Real Monasterio de Sigena fue declarado monumento nacional en 1923, y en él deben entenderse comprendidas las pinturas murales o los sepulcros, puertas, capiteles o columnas, elementos que deben considerarse consustanciales con el edificio y formando parte del mismo (art. 14 de dicha ley).</w:t>
      </w:r>
    </w:p>
    <w:p w:rsidR="00D06117" w:rsidRDefault="00D06117" w:rsidP="00D06117">
      <w:pPr>
        <w:pStyle w:val="TextoNormal"/>
      </w:pPr>
    </w:p>
    <w:p w:rsidR="00D06117" w:rsidRDefault="00D06117" w:rsidP="00D06117">
      <w:pPr>
        <w:pStyle w:val="TextoNormal"/>
      </w:pPr>
      <w:r>
        <w:t xml:space="preserve">En fin, de acuerdo con la legislación vigente, nada se opone a que la Diputación General de Aragón ejerza el derecho de retracto sobre dichos bienes, a pesar de ser propiedad de instituciones eclesiásticas, y a pesar de su ubicación actual. En todo caso, la representación </w:t>
      </w:r>
      <w:r>
        <w:lastRenderedPageBreak/>
        <w:t>de la Comunidad Autónoma de Aragón insiste en que la Generalitat de Cataluña no cuestiona las competencias de aquélla para ejercitar el derecho de retracto en el caso de enajenaciones de bienes de interés cultural.</w:t>
      </w:r>
    </w:p>
    <w:p w:rsidR="00D06117" w:rsidRDefault="00D06117" w:rsidP="00D06117">
      <w:pPr>
        <w:pStyle w:val="TextoNormal"/>
      </w:pPr>
    </w:p>
    <w:p w:rsidR="00D06117" w:rsidRDefault="00D06117" w:rsidP="00D06117">
      <w:pPr>
        <w:pStyle w:val="TextoNormal"/>
      </w:pPr>
      <w:r>
        <w:t>Finalmente, se aduce que la Comunidad Autónoma de Aragón no desconoce ni menoscaba las competencias estatutarias de la Generalitat de Cataluña en materia de patrimonio histórico y museos pues la adquisición de los controvertidos bienes por ésta no se ha realizado en el ejercicio de sus competencias ya que se trata de una compraventa estrictamente civil, que no supone actuación de potestad alguna. En definitiva, la Generalitat de Cataluña no discute ninguna competencia al plantear el presente conflicto, sino una cuestión sin relevancia constitucional (el carácter de los bienes controvertidos).</w:t>
      </w:r>
    </w:p>
    <w:p w:rsidR="00D06117" w:rsidRDefault="00D06117" w:rsidP="00D06117">
      <w:pPr>
        <w:pStyle w:val="TextoNormal"/>
      </w:pPr>
    </w:p>
    <w:p w:rsidR="00D06117" w:rsidRDefault="00D06117" w:rsidP="00D06117">
      <w:pPr>
        <w:pStyle w:val="TextoNormal"/>
      </w:pPr>
      <w:r>
        <w:t>Por todo lo dicho el Tribunal Constitucional debería declarar su falta de jurisdicción conforme al art. 4 LOTC.</w:t>
      </w:r>
    </w:p>
    <w:p w:rsidR="00D06117" w:rsidRDefault="00D06117" w:rsidP="00D06117">
      <w:pPr>
        <w:pStyle w:val="TextoNormal"/>
      </w:pPr>
    </w:p>
    <w:p w:rsidR="00D06117" w:rsidRDefault="00D06117" w:rsidP="00D06117">
      <w:pPr>
        <w:pStyle w:val="TextoNormal"/>
      </w:pPr>
      <w:r w:rsidRPr="00D06117">
        <w:rPr>
          <w:rStyle w:val="NumeroAFNegritaCaracter"/>
        </w:rPr>
        <w:t>6</w:t>
      </w:r>
      <w:r>
        <w:t>. Por providencia de 17 de enero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En el presente proceso constitucional, el Gobierno de la Generalitat de Cataluña plantea conflicto positivo de competencia frente al Gobierno de la Diputación General de Aragón en relación con el ejercicio del derecho de retracto que se inició por Orden del Consejero de Educación y Cultura de la Diputación General de Aragón, de 8 de agosto de 1997, y que, posteriormente, se concretó mediante Orden del mismo Consejero de 10 de febrero de 1998, respecto de los bienes que se relacionan en el anexo de esta última procedentes del Monasterio de Sigena, adquiridos en su día por la Generalitat de Cataluña según se relata en los antecedentes de esta Sentencia.</w:t>
      </w:r>
    </w:p>
    <w:p w:rsidR="00D06117" w:rsidRDefault="00D06117" w:rsidP="00D06117">
      <w:pPr>
        <w:pStyle w:val="TextoNormal"/>
      </w:pPr>
    </w:p>
    <w:p w:rsidR="00D06117" w:rsidRDefault="00D06117" w:rsidP="00D06117">
      <w:pPr>
        <w:pStyle w:val="TextoNormal"/>
      </w:pPr>
      <w:r>
        <w:t>La representación del Gobierno de la Generalitat de Cataluña sostiene que adquirió los citados bienes en ejercicio de las competencias asumidas en el Estatuto de Autonomía de Cataluña (EAC) aprobado por la Ley Orgánica 4/1979, de 18 de diciembre, en materia de patrimonio histórico y museos (arts. 9.5, 9.6 y 11.7 EAC), y en cumplimiento de la legislación vigente (art. 8 de la Ley 16/1985, de 25 de junio, del patrimonio histórico español), que le impone la obligación de actuar cuando observe peligro de destrucción o deterioro en un bien integrante del patrimonio histórico español.</w:t>
      </w:r>
    </w:p>
    <w:p w:rsidR="00D06117" w:rsidRDefault="00D06117" w:rsidP="00D06117">
      <w:pPr>
        <w:pStyle w:val="TextoNormal"/>
      </w:pPr>
    </w:p>
    <w:p w:rsidR="00D06117" w:rsidRDefault="00D06117" w:rsidP="00D06117">
      <w:pPr>
        <w:pStyle w:val="TextoNormal"/>
      </w:pPr>
      <w:r>
        <w:t xml:space="preserve">En su demanda argumenta, en primer lugar, que dichos bienes no tienen la condición de bien de interés cultural y, en consecuencia, no cumplen las condiciones legales para que la Diputación General de Aragón pueda ejercer el retracto previsto en al art. 38 de la Ley del patrimonio histórico español. En segundo lugar, expone que, al pretender ejercer el derecho de retracto sobre ellos, la Comunidad Autónoma de Aragón habría excedido los límites de sus competencias con menoscabo de las que corresponden al Gobierno de la Generalitat. Esta actuación comportaría una extralimitación temporal en el ejercicio de sus competencias en materia de patrimonio histórico y cultural, que no tenía transferidas cuando se efectuó la compra de los bienes procedentes del Monasterio de Sigena, en 1983. En segundo lugar, supondría una extralimitación territorial al extender la capacidad de retracto a bienes, como </w:t>
      </w:r>
      <w:r>
        <w:lastRenderedPageBreak/>
        <w:t>los adquiridos en 1992, que no quedaron incluidos en el ámbito de la Comunidad Autónoma de Aragón al haber salido de su territorio con anterioridad a la aprobación de su Estatuto. En tercer lugar, se habría producido una extralimitación material en el ejercicio de su competencia puesto que, de acuerdo con la legislación vigente (art. 28 de la Ley del patrimonio histórico español), el retracto de bienes histórico-artísticos no puede ser utilizado entre Comunidades Autónomas respecto de bienes adquiridos a instituciones eclesiásticas. Finalmente, la Letrada de la Generalitat de Cataluña señala que la competencia de las Comunidades Autónomas en materia de protección del patrimonio histórico se ejerce sobre una realidad material resultado de las decisiones adoptadas a lo largo del tiempo por las Administraciones respecto de determinados bienes que no queda alterada por la constitución de las Comunidades Autónomas, de tal modo que la ubicación del bien, y no su procedencia en origen, es el criterio para determinar a qué Administración autonómica corresponde la competencia en materia de protección artística y cultural.</w:t>
      </w:r>
    </w:p>
    <w:p w:rsidR="00D06117" w:rsidRDefault="00D06117" w:rsidP="00D06117">
      <w:pPr>
        <w:pStyle w:val="TextoNormal"/>
      </w:pPr>
    </w:p>
    <w:p w:rsidR="00D06117" w:rsidRDefault="00D06117" w:rsidP="00D06117">
      <w:pPr>
        <w:pStyle w:val="TextoNormal"/>
      </w:pPr>
      <w:r>
        <w:t>Por su parte, el Letrado de la Comunidad Autónoma de Aragón sostiene que el conflicto planteado por el Gobierno de la Generalitat de Cataluña carece de relevancia constitucional ya que versa sobre cuestiones fácticas y de legalidad ordinaria relativas al ejercicio del derecho de retracto que deben ser resueltas por los Tribunales ordinarios, señalando que la Generalitat ha recurrido también en la vía contencioso-administrativa las órdenes impugnadas en el presente conflicto. En consecuencia, dado que la controversia planteada en este proceso no discute las competencias de la Comunidad Autónoma de Aragón, sino el concreto ejercicio de las mismas, propone que el Tribunal declare su falta de jurisdicción [art. 4.2 de la Ley Orgánica del Tribunal Constitucional (LOTC)]. En todo caso, la representación de la Comunidad Autónoma de Aragón afirma que el ejercicio del derecho de retracto sobre los bienes objeto de litigio, que a su juicio sí constituyen bienes de interés cultural, forma parte de las competencias de ejecución en materia de patrimonio histórico asumidas por la Comunidad Autónoma [art. 36.1 g) del Estatuto de Automía de Aragón (EAAr)], que después de la reforma llevada a cabo por la Ley Orgánica 5/1996, de 30 de diciembre, ostenta con carácter exclusivo (art. 35.1.33 EAAr), y por ello interesa subsidiariamente que se declare a dicha Comunidad titular de la competencia controvertida.</w:t>
      </w:r>
    </w:p>
    <w:p w:rsidR="00D06117" w:rsidRDefault="00D06117" w:rsidP="00D06117">
      <w:pPr>
        <w:pStyle w:val="TextoNormal"/>
      </w:pPr>
    </w:p>
    <w:p w:rsidR="00D06117" w:rsidRDefault="00D06117" w:rsidP="00D06117">
      <w:pPr>
        <w:pStyle w:val="TextoNormal"/>
      </w:pPr>
      <w:r w:rsidRPr="00D06117">
        <w:rPr>
          <w:rStyle w:val="NumeroAFNegritaCaracter"/>
        </w:rPr>
        <w:t>2</w:t>
      </w:r>
      <w:r>
        <w:t>. La resolución de este conflicto debe partir de la consideración de la jurisdicción del Tribunal Constitucional para resolverlo (art. 4.2 LOTC), pues la representación de la Comunidad Autónoma de Aragón ha alegado la falta de dicha jurisdicción argumentando al efecto la carencia de relevancia constitucional de la controversia planteada por la Generalitat de Cataluña, que a su juicio versa sobre cuestiones fácticas y de legalidad ordinaria relativas al ejercicio del derecho de retracto. De ahí que aquella representación solicite del Tribunal un pronunciamiento que así lo declare.</w:t>
      </w:r>
    </w:p>
    <w:p w:rsidR="00D06117" w:rsidRDefault="00D06117" w:rsidP="00D06117">
      <w:pPr>
        <w:pStyle w:val="TextoNormal"/>
      </w:pPr>
    </w:p>
    <w:p w:rsidR="00D06117" w:rsidRDefault="00D06117" w:rsidP="00D06117">
      <w:pPr>
        <w:pStyle w:val="TextoNormal"/>
      </w:pPr>
      <w:r>
        <w:t xml:space="preserve">Es muy cierto que, como señala el Gobierno de Aragón, en el presente caso subyace un conflicto de legalidad ordinaria que se refiere, en primer lugar, a la naturaleza de los bienes procedentes del Monasterio de Sigena que fueron adquiridos por la Generalitat. Así, la Diputación General de Aragón defiende que los bienes adquiridos por la Generalitat de Cataluña son bienes de interés público, ya que la declaración del Monasterio de Sigena como monumento nacional abarca no sólo al inmueble sino a todas sus partes integrantes. Del mismo modo, la Diputación General de Aragón considera que la enajenación de estos bienes muebles no se ha realizado de acuerdo con lo establecido en el art. 38.1 de la Ley del patrimonio </w:t>
      </w:r>
      <w:r>
        <w:lastRenderedPageBreak/>
        <w:t>histórico español, ya que la comunidad de religiosas de Sigena no la notificó ni a la Administración del Estado ni a la Diputación de Aragón a fin de que pudieran ejercer el derecho de tanteo, ni fue tampoco publicada en el “Diario Oficial de la Generalitat de Cataluña”. Y de lo anterior concluye que, siendo los bienes parte integrante del Monasterio de Sigena, el ejercicio del derecho de retracto corresponde a la Diputación General de Aragón. Frente a lo anterior la Generalitat opone que la declaración del Monasterio de Sigena como bien de interés cultural se refería únicamente a diversas partes de la edificación y no aludía a otros elementos, por lo que los bienes enajenados no son bienes de interés cultural, sin que resulte necesario que la Diputación General de Aragón pueda ejercer el retracto previsto en la Ley del patrimonio histórico español. Por lo demás, la Generalitat recuerda que los bienes en cuestión se encontraban en Cataluña desde antes del año 1970 depositados en museos y que su adquisición por la Generalitat se hizo a instancias de las religiosas de la Orden de San Juan de Jerusalén.</w:t>
      </w:r>
    </w:p>
    <w:p w:rsidR="00D06117" w:rsidRDefault="00D06117" w:rsidP="00D06117">
      <w:pPr>
        <w:pStyle w:val="TextoNormal"/>
      </w:pPr>
    </w:p>
    <w:p w:rsidR="00D06117" w:rsidRDefault="00D06117" w:rsidP="00D06117">
      <w:pPr>
        <w:pStyle w:val="TextoNormal"/>
      </w:pPr>
      <w:r>
        <w:t>Del mismo modo, el presente asunto contiene una controversia sobre la naturaleza del derecho de retracto en tanto que instrumento reconocido a la Administración pública para la protección del patrimonio cultural y sobre los límites a su ejercicio.</w:t>
      </w:r>
    </w:p>
    <w:p w:rsidR="00D06117" w:rsidRDefault="00D06117" w:rsidP="00D06117">
      <w:pPr>
        <w:pStyle w:val="TextoNormal"/>
      </w:pPr>
    </w:p>
    <w:p w:rsidR="00D06117" w:rsidRDefault="00D06117" w:rsidP="00D06117">
      <w:pPr>
        <w:pStyle w:val="TextoNormal"/>
      </w:pPr>
      <w:r>
        <w:t>En efecto, la Generalitat de Cataluña impugna las referidas órdenes del Consejero de Educación y Cultura de la Diputación General de Aragón recurriendo a diversos argumentos, algunos sin duda de mera legalidad o basados en apreciaciones fácticas. En primer lugar, se niega a los bienes objeto de litigio la condición de bienes de interés cultural, de acuerdo con la legislación anterior (Real Orden de 28 de marzo de 1923, que declaró monumento nacional el Real Monasterio de Sigena) y vigente (art. 26 y disposición adicional primera de la Ley del patrimonio histórico español). En segundo lugar, y derivado de lo anterior, se rechaza que tales bienes puedan ser objeto del derecho de retracto por parte de la Comunidad Autónoma de Aragón por no concurrir los presupuestos objetivos exigidos por la legislación en materia de patrimonio histórico (art. 38.4 de la Ley del patrimonio histórico español y art. 40 Real Decreto 111/1986, de 10 de enero, de desarrollo parcial de la misma). Y en tercer lugar, se señala la imposibilidad de retracto de bienes histórico-artísticos entre Comunidades Autónomas sobre bienes adquiridos a instituciones eclesiásticas (art. 28 y disposición transitoria quinta de la Ley del patrimonio histórico español).</w:t>
      </w:r>
    </w:p>
    <w:p w:rsidR="00D06117" w:rsidRDefault="00D06117" w:rsidP="00D06117">
      <w:pPr>
        <w:pStyle w:val="TextoNormal"/>
      </w:pPr>
    </w:p>
    <w:p w:rsidR="00D06117" w:rsidRDefault="00D06117" w:rsidP="00D06117">
      <w:pPr>
        <w:pStyle w:val="TextoNormal"/>
      </w:pPr>
      <w:r>
        <w:t>Todas estas cuestiones deben excluirse del objeto del conflicto constitucional, dado su carácter fáctico o de legalidad ordinaria, pues ciertamente atienden a la calificación de los bienes y a eventuales vicios de legalidad en el proceso de enajenación. La verificación de dichos requisitos corresponde en exclusiva a los Tribunales ordinarios, a los que ya ha acudido la entidad promotora del conflicto.</w:t>
      </w:r>
    </w:p>
    <w:p w:rsidR="00D06117" w:rsidRDefault="00D06117" w:rsidP="00D06117">
      <w:pPr>
        <w:pStyle w:val="TextoNormal"/>
      </w:pPr>
    </w:p>
    <w:p w:rsidR="00D06117" w:rsidRDefault="00D06117" w:rsidP="00D06117">
      <w:pPr>
        <w:pStyle w:val="TextoNormal"/>
      </w:pPr>
      <w:r w:rsidRPr="00D06117">
        <w:rPr>
          <w:rStyle w:val="NumeroAFNegritaCaracter"/>
        </w:rPr>
        <w:t>3</w:t>
      </w:r>
      <w:r>
        <w:t>. Ahora bien, en el escrito de demanda se puntualiza que la petición formulada al Tribunal no es la determinación de la titularidad de dichos bienes sino la declaración de que la potestad administrativa de tutela sobre patrimonio histórico corresponde a la Generalitat, como efectivamente se hace en el petitum de la demanda (“en mérito de todo lo expuesto, previo los trámites legales oportunos, dicte Sentencia por la que declare que la competencia controvertida corresponde a la Generalitat de Cataluña y la consiguiente nulidad de las referidas Órdenes”). Desde este punto de vista, procede considerar si el presente asunto que enjuiciamos plantea un conflicto competencial que merezca de nuestra consideración.</w:t>
      </w:r>
    </w:p>
    <w:p w:rsidR="00D06117" w:rsidRDefault="00D06117" w:rsidP="00D06117">
      <w:pPr>
        <w:pStyle w:val="TextoNormal"/>
      </w:pPr>
    </w:p>
    <w:p w:rsidR="00D06117" w:rsidRDefault="00D06117" w:rsidP="00D06117">
      <w:pPr>
        <w:pStyle w:val="TextoNormal"/>
      </w:pPr>
      <w:r>
        <w:lastRenderedPageBreak/>
        <w:t>Como es sabido, nuestra jurisprudencia ha ido configurando un concepto amplio de conflicto positivo de competencia a partir de su regulación en los arts. 62 a 67 LOTC, afirmando que en este tipo de procesos no resulta indispensable que el ente que los formaliza recabe para sí la competencia ejercida por otro; basta que entienda que una disposición, resolución o acto emanados de ese otro ente no respeta el orden de competencias establecido en el bloque de la constitucionalidad y, en el caso de las Comunidades Autónomas, además, que tal disposición, resolución o acto afecte a su ámbito de autonomía condicionando o configurando sus competencias de una forma que juzga contraria a este orden competencial. Así, en el ámbito procesal propio de los conflictos constitucionales de competencia cabe, tanto la reivindicación de la titularidad del acto controvertido, como la denuncia de los excesos en el ejercicio de una competencia ajena siempre que ese exceso vulnere el sistema de distribución de competencias diseñado en el bloque de la constitucionalidad (SSTC 243/1993, de 15 de julio, FJ 2, y 87/1997, de 24 de abril, FJ 2).</w:t>
      </w:r>
    </w:p>
    <w:p w:rsidR="00D06117" w:rsidRDefault="00D06117" w:rsidP="00D06117">
      <w:pPr>
        <w:pStyle w:val="TextoNormal"/>
      </w:pPr>
    </w:p>
    <w:p w:rsidR="00D06117" w:rsidRDefault="00D06117" w:rsidP="00D06117">
      <w:pPr>
        <w:pStyle w:val="TextoNormal"/>
      </w:pPr>
      <w:r>
        <w:t>En coherencia con esta doctrina, el objeto y los límites del conflicto positivo de competencia se han interpretado con un criterio amplio, comprensivo no sólo de los supuestos que cabría calificar como normales, en los que el ente que plantea el conflicto ejerce una verdadera vindicatio potestatis por considerarse despojado de una competencia que le corresponde, sino también de aquellos otros supuestos en los que no se reivindica stricto sensu una competencia como propia, sino que se pretende la anulación del acto o disposición objeto del conflicto porque no ha respetado el orden de competencias establecido, en menoscabo de las que corresponden al ente que promueve el conflicto (ATC 886/1988, de 5 de julio, FJ 1).</w:t>
      </w:r>
    </w:p>
    <w:p w:rsidR="00D06117" w:rsidRDefault="00D06117" w:rsidP="00D06117">
      <w:pPr>
        <w:pStyle w:val="TextoNormal"/>
      </w:pPr>
    </w:p>
    <w:p w:rsidR="00D06117" w:rsidRDefault="00D06117" w:rsidP="00D06117">
      <w:pPr>
        <w:pStyle w:val="TextoNormal"/>
      </w:pPr>
      <w:r>
        <w:t>No obstante, hemos advertido que no cualquier pretensión que afecte a la titularidad o al ejercicio de una competencia puede incluirse, sin más, en el proceso relativo a los conflictos constitucionales de competencia, ya que para ello se requiere, entre otras condiciones, que la controversia afecte a la definición o delimitación de los títulos competenciales en litigio y, más exactamente, a la delimitación de los títulos contenida en la Constitución, los Estatutos de Autonomía o las leyes del bloque de la constitucionalidad que delimitan las competencias estatales y autonómicas (STC 243/1993, FJ 2).</w:t>
      </w:r>
    </w:p>
    <w:p w:rsidR="00D06117" w:rsidRDefault="00D06117" w:rsidP="00D06117">
      <w:pPr>
        <w:pStyle w:val="TextoNormal"/>
      </w:pPr>
    </w:p>
    <w:p w:rsidR="00D06117" w:rsidRDefault="00D06117" w:rsidP="00D06117">
      <w:pPr>
        <w:pStyle w:val="TextoNormal"/>
      </w:pPr>
      <w:r>
        <w:t>Más recientemente, la STC 44/2007, de 1 de marzo, FJ 3, tras realizar la síntesis de nuestra jurisprudencia, ha señalado que “el conflicto positivo de competencia es un proceso configurado no sólo al servicio de la reivindicación competencial y, consiguientemente, de la declaración de la titularidad de la competencia ejercitada y manifestada en el acto o disposición objeto de la controversia, sino que también posibilita la defensa de las competencias propias frente a aquellos actos y disposiciones de otros entes que menoscaban o interfieren el legítimo ejercicio de dichas competencias, entendiendo por tal tanto lo que atañe a la titularidad de las mismas como lo que afecta o incide en su legítimo y pacífico ejercicio. Dicho de otro modo, 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w:t>
      </w:r>
    </w:p>
    <w:p w:rsidR="00D06117" w:rsidRDefault="00D06117" w:rsidP="00D06117">
      <w:pPr>
        <w:pStyle w:val="TextoNormal"/>
      </w:pPr>
    </w:p>
    <w:p w:rsidR="00D06117" w:rsidRDefault="00D06117" w:rsidP="00D06117">
      <w:pPr>
        <w:pStyle w:val="TextoNormal"/>
      </w:pPr>
      <w:r>
        <w:t xml:space="preserve">La demanda tiene cuidado de especificar que en el conflicto se plantea únicamente que corresponde a la Generalitat la competencia para proteger los bienes controvertidos y que </w:t>
      </w:r>
      <w:r>
        <w:lastRenderedPageBreak/>
        <w:t>Aragón ha excedido los límites de sus competencias en materia de patrimonio histórico y cultural [art. 36.1 g) EAAr, posteriormente art. 35.1.33 EAAr], con invasión de sus propias competencias en esa materia, asumidas en el Estatuto de Autonomía (arts. 9.5 y 9.6 EAC).</w:t>
      </w:r>
    </w:p>
    <w:p w:rsidR="00D06117" w:rsidRDefault="00D06117" w:rsidP="00D06117">
      <w:pPr>
        <w:pStyle w:val="TextoNormal"/>
      </w:pPr>
    </w:p>
    <w:p w:rsidR="00D06117" w:rsidRDefault="00D06117" w:rsidP="00D06117">
      <w:pPr>
        <w:pStyle w:val="TextoNormal"/>
      </w:pPr>
      <w:r w:rsidRPr="00D06117">
        <w:rPr>
          <w:rStyle w:val="NumeroAFNegritaCaracter"/>
        </w:rPr>
        <w:t>4</w:t>
      </w:r>
      <w:r>
        <w:t>. Delimitado el enfoque constitucional de la demanda que rige el asunto y expuesta nuestra jurisprudencia sobre el concepto de conflicto positivo de competencia, procede aplicar nuestra doctrina al presente caso, lo que nos lleva a rechazar la pretendida falta de jurisdicción opuesta por la representación del Gobierno de Aragón, dado que el conflicto promovido por el Gobierno de la Generalitat de Cataluña sí plantea una controversia competencial.</w:t>
      </w:r>
    </w:p>
    <w:p w:rsidR="00D06117" w:rsidRDefault="00D06117" w:rsidP="00D06117">
      <w:pPr>
        <w:pStyle w:val="TextoNormal"/>
      </w:pPr>
    </w:p>
    <w:p w:rsidR="00D06117" w:rsidRDefault="00D06117" w:rsidP="00D06117">
      <w:pPr>
        <w:pStyle w:val="TextoNormal"/>
      </w:pPr>
      <w:r>
        <w:t>En efecto, contrariamente a lo alegado por la representación del Gobierno aragonés, la parte promotora del conflicto discute en su demanda las competencias de la Comunidad Autónoma de Aragón en materia de patrimonio histórico y cultural [art. 36.1 g) EAAr, posteriormente art. 35.1.33 EAAr] pues denuncia que su titular las ha ejercido extralimitadamente con invasión de sus propias competencias en esta materia, asumidas en el Estatuto de Autonomía (arts. 9.5 y 9.6). A juicio de la entidad demandante, el exceso de los límites competenciales se habría producido al pretender ejercitar el Gobierno de Aragón, mediante las citadas órdenes del Consejero de Educación y Cultura de la Diputación General de Aragón, el derecho de retracto sobre unos bienes eclesiásticos procedentes del Monasterio de Sigena que fueron adquiridos en 1983 y 1992 por la Generalitat de Cataluña, y en los que no concurrían los requisitos legales y fácticos que permiten ejercer tal derecho. En el escrito de demanda se puntualiza que la petición formulada a este Tribunal no es la determinación de la titularidad de dichos bienes, sino la declaración de que la potestad administrativa de tutela sobre patrimonio histórico corresponde a la Generalitat en virtud de su Estatuto de Autonomía, como efectivamente se hace en el petitum de la demanda, en el que se solicita la consiguiente nulidad de las órdenes impugnadas por estimar que vulneran el orden competencial.</w:t>
      </w:r>
    </w:p>
    <w:p w:rsidR="00D06117" w:rsidRDefault="00D06117" w:rsidP="00D06117">
      <w:pPr>
        <w:pStyle w:val="TextoNormal"/>
      </w:pPr>
    </w:p>
    <w:p w:rsidR="00D06117" w:rsidRDefault="00D06117" w:rsidP="00D06117">
      <w:pPr>
        <w:pStyle w:val="TextoNormal"/>
      </w:pPr>
      <w:r>
        <w:t>Dichas órdenes deben considerarse “disposiciones” emanadas de la autoridad de otra Comunidad (art. 63.1 LOTC en relación con los arts. 61.2 y 62 LOTC) impugnables en vía de conflicto constitucional pues según una consolidada jurisprudencia “lo importante a estos efectos no es tanto la naturaleza o la forma del acto como la real existencia de una controversia o disputa ante un evidente ejercicio de competencias supuestamente lesivo del orden constitucional” (por todas, STC 101/1995, de 20 de junio, FJ 6). Y ello porque lo esencial para utilizar la vía del conflicto positivo de competencia “no es la naturaleza del acto que se discuta en el mismo, sino … la afirmación por un ente de poseer una competencia … frente a otro ente al que se le niega poseerla” (SSTC 143/1985, de 24 de octubre, FJ 3; 137/1989, de 20 de junio, FJ 2).</w:t>
      </w:r>
    </w:p>
    <w:p w:rsidR="00D06117" w:rsidRDefault="00D06117" w:rsidP="00D06117">
      <w:pPr>
        <w:pStyle w:val="TextoNormal"/>
      </w:pPr>
    </w:p>
    <w:p w:rsidR="00D06117" w:rsidRDefault="00D06117" w:rsidP="00D06117">
      <w:pPr>
        <w:pStyle w:val="TextoNormal"/>
      </w:pPr>
      <w:r>
        <w:t xml:space="preserve">Por otra parte, también hemos declarado que la existencia o inexistencia de la supuesta vulneración del orden de competencias “no se halla subordinada a la eficacia real del acto que la ocasione, sino a la conexión necesaria entre el acto y el ejercicio de una competencia, cuya titularidad reclama para sí el promotor del proceso constitucional” (STC 137/1989, de 20 de julio, FJ 2). En este sentido, las órdenes impugnadas por las que se acuerda ejercitar el derecho de retracto legal sobre los mencionados bienes constituyen efectivamente un ejercicio de la competencia de ejecución en materia de patrimonio histórico asumida por la Comunidad Autónoma de Aragón [art. 36.1 g) EAAr, posteriormente art. 35.1.33 EAAr], </w:t>
      </w:r>
      <w:r>
        <w:lastRenderedPageBreak/>
        <w:t>tal como admite el Letrado de dicha Comunidad en sus alegaciones. Ello es así porque la decisión de ejercitar tal derecho es un acto formal de la Comunidad Autónoma, que realiza como tal de conformidad con el art. 38 de la Ley del patrimonio histórico español y los arts. 40, 41 y 42 del Real Decreto 111/1986, de 10 de enero, según reza el fundamento jurídico segundo de la Orden de 8 de agosto de 1997. Los preceptos citados contemplan la posibilidad de retracto de determinados bienes culturales por parte de “los demás organismos competentes para la ejecución de esta Ley” (art. 38.4 de la Ley del patrimonio histórico español), entre los que figuran aquellos que “en cada Comunidad Autónoma tengan a su cargo la protección del Patrimonio Histórico” [art. 6 a) de la misma ley], en este caso el Consejero de Educación y Cultura de la Diputación General de Aragón. La Generalitat de Cataluña también entiende que mediante las órdenes impugnadas el Gobierno de Aragón habría ejercido las potestades inherentes a la tutela administrativa sobre el patrimonio artístico, si bien fuera de los límites competenciales y legales fijados en el bloque de la constitucionalidad.</w:t>
      </w:r>
    </w:p>
    <w:p w:rsidR="00D06117" w:rsidRDefault="00D06117" w:rsidP="00D06117">
      <w:pPr>
        <w:pStyle w:val="TextoNormal"/>
      </w:pPr>
    </w:p>
    <w:p w:rsidR="00D06117" w:rsidRDefault="00D06117" w:rsidP="00D06117">
      <w:pPr>
        <w:pStyle w:val="TextoNormal"/>
      </w:pPr>
      <w:r>
        <w:t>Por las razones que se acaban de exponer, debemos también rechazar que la compraventa de los controvertidos bienes por parte de la Generalitat no supusiera actuación de potestad alguna, como sostiene la representación del Gobierno de Aragón. De la misma forma que el ejercicio del derecho de retracto sobre aquellos bienes constituye un ejercicio de la competencia de ejecución en materia de patrimonio histórico por parte del Gobierno de Aragón, su previa adquisición por parte de la Generalitat se realizó, como sostiene su escrito de requerimiento de 16 de abril de 1998, en ejercicio de las competencias en materia de patrimonio cultural y de museos asumidas estatutariamente (arts. 9.5 y 9.6 EAC), y en cumplimiento de lo dispuesto en la legislación sobre patrimonio histórico (arts. 6 y 8 de la Ley del patrimonio histórico español y art. 40.3 del Real Decreto 111/1986).</w:t>
      </w:r>
    </w:p>
    <w:p w:rsidR="00D06117" w:rsidRDefault="00D06117" w:rsidP="00D06117">
      <w:pPr>
        <w:pStyle w:val="TextoNormal"/>
      </w:pPr>
    </w:p>
    <w:p w:rsidR="00D06117" w:rsidRDefault="00D06117" w:rsidP="00D06117">
      <w:pPr>
        <w:pStyle w:val="TextoNormal"/>
      </w:pPr>
      <w:r>
        <w:t>El conflicto promovido por la Generalitat de Cataluña se plantea precisamente por entender que con la decisión de ejercitar ese derecho de retracto legal, la Comunidad Autónoma de Aragón se habría extralimitado en el ejercicio de sus competencias sobre patrimonio histórico y cultural, menoscabando las que le corresponden al Gobierno de la Generalitat. La pretensión de incompetencia se funda pues en un ejercicio de las competencias por parte de la Comunidad Autónoma de Aragón que condicionaría el ejercicio de las que corresponden a la Generalitat de Cataluña de forma contraria al orden competencial establecido en el bloque de la constitucionalidad, y por ello revelaría un entendimiento del alcance de las competencias implícitas opuesto a ese sistema de distribución de competencias (STC 243/1993, FJ 2). La Generalitat de Cataluña interesa de este Tribunal que declare que la competencia controvertida corresponde a la Generalitat.</w:t>
      </w:r>
    </w:p>
    <w:p w:rsidR="00D06117" w:rsidRDefault="00D06117" w:rsidP="00D06117">
      <w:pPr>
        <w:pStyle w:val="TextoNormal"/>
      </w:pPr>
    </w:p>
    <w:p w:rsidR="00D06117" w:rsidRDefault="00D06117" w:rsidP="00D06117">
      <w:pPr>
        <w:pStyle w:val="TextoNormal"/>
      </w:pPr>
      <w:r>
        <w:t>De todo lo anterior, debemos concluir que, en el presente caso, la pretensión competencial de la actora tiene indudable relieve constitucional y de ahí que el conflicto positivo de competencia promovido por la Generalitat de Cataluña encaja en las previsiones de la LOTC (arts. 59, 61 y 63.1), sin que pueda ser atendida la objeción procesal opuesta por la representación de la Comunidad Autónoma de Aragón.</w:t>
      </w:r>
    </w:p>
    <w:p w:rsidR="00D06117" w:rsidRDefault="00D06117" w:rsidP="00D06117">
      <w:pPr>
        <w:pStyle w:val="TextoNormal"/>
      </w:pPr>
    </w:p>
    <w:p w:rsidR="00D06117" w:rsidRDefault="00D06117" w:rsidP="00D06117">
      <w:pPr>
        <w:pStyle w:val="TextoNormal"/>
      </w:pPr>
      <w:r w:rsidRPr="00D06117">
        <w:rPr>
          <w:rStyle w:val="NumeroAFNegritaCaracter"/>
        </w:rPr>
        <w:t>5</w:t>
      </w:r>
      <w:r>
        <w:t>. Descartado el óbice procesal planteado, procede resolver el conflicto positivo de competencia que nos ha sido planteado. Para hacerlo debemos examinar el sistema constitucional de distribución de competencias en materia de patrimonio histórico, pues como señalamos en la temprana Sentencia 143/1985, de 24 de octubre, FJ 6, y en otras muchas poste</w:t>
      </w:r>
      <w:r>
        <w:lastRenderedPageBreak/>
        <w:t>riores, “el conflicto positivo de competencias es un proceso constitucional singular y específico del que debe conocer este Tribunal en exclusiva, para dirimir la titularidad de las competencias que dos entes pretenden poseer uno frente a otro”.</w:t>
      </w:r>
    </w:p>
    <w:p w:rsidR="00D06117" w:rsidRDefault="00D06117" w:rsidP="00D06117">
      <w:pPr>
        <w:pStyle w:val="TextoNormal"/>
      </w:pPr>
    </w:p>
    <w:p w:rsidR="00D06117" w:rsidRDefault="00D06117" w:rsidP="00D06117">
      <w:pPr>
        <w:pStyle w:val="TextoNormal"/>
      </w:pPr>
      <w:r>
        <w:t>Nuestro estudio, pues, ha de partir de la consideración del sistema constitucional de distribución de competencias en materia de patrimonio histórico, incluso el vigente en este momento, pues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Resulta por ello evidente que ha de servir de marco de enjuiciamiento en este proceso el ius superveniens representado por la legislación básica del Estado vigente en este momento” (STC 1/2003, de 16 de enero, FJ 9).</w:t>
      </w:r>
    </w:p>
    <w:p w:rsidR="00D06117" w:rsidRDefault="00D06117" w:rsidP="00D06117">
      <w:pPr>
        <w:pStyle w:val="TextoNormal"/>
      </w:pPr>
    </w:p>
    <w:p w:rsidR="00D06117" w:rsidRDefault="00D06117" w:rsidP="00D06117">
      <w:pPr>
        <w:pStyle w:val="TextoNormal"/>
      </w:pPr>
      <w:r>
        <w:t>La Constitución Española, además de imponer a los poderes públicos la obligación de conservar y promover “el enriquecimiento del patrimonio histórico, cultural y artístico de los pueblos de España y de los bienes que lo integran, cualquiera que sea su régimen jurídico y su titularidad” (art. 46 CE), estableció el régimen de distribución competencial entre el Estado y las Comunidades Autónomas en materia de patrimonio histórico y cultural. Según éste el Estado, tiene competencia exclusiva sobre: a) la “defensa del patrimonio cultural, artístico y monumental español contra la exportación y la expoliación” y b) “los museos, bibliotecas y archivos de titularidad estatal, sin perjuicio de su gestión por parte de las Comunidades Autónomas” (art. 149.1.28 CE). El núcleo de competencias en materia de patrimonio histórico y cultural corresponde, por consiguiente, a las Comunidades Autónomas (art. 148.1.16 CE).</w:t>
      </w:r>
    </w:p>
    <w:p w:rsidR="00D06117" w:rsidRDefault="00D06117" w:rsidP="00D06117">
      <w:pPr>
        <w:pStyle w:val="TextoNormal"/>
      </w:pPr>
    </w:p>
    <w:p w:rsidR="00D06117" w:rsidRDefault="00D06117" w:rsidP="00D06117">
      <w:pPr>
        <w:pStyle w:val="TextoNormal"/>
      </w:pPr>
      <w:r>
        <w:t>En la STC 17/1991, de 31 de enero, que resolvió los recursos de inconstitucionalidad interpuestos frente a la Ley 16/1985, de 25 de junio, del patrimonio histórico español, deducidos por el Consejo Ejecutivo de la Generalitat de Cataluña, la Junta de Galicia, el Gobierno Vasco y el Parlamento de Cataluña, nos referimos a este régimen. Allí, en fundamentos que ahora resumimos, dijimos que los distintos Estatutos de Autonomía de las Comunidades recurrentes asumen competencias exclusivas en materia de patrimonio histórico, artístico, monumental y arqueológico y en archivos, bibliotecas y museos que no sean de titularidad estatal, y destacamos que esa atribución de competencia en la materia “se extiende a todo el patrimonio histórico, artístico, monumental, arqueológico y científico, puesto que sólo se atribuye expresamente al Estado en cuanto a la defensa contra la exportación y la expoliación o a los museos, bibliotecas, y archivos de su titularidad (art. 149.1.28).” (FJ 2). Lo anterior no ha de implicar, sin embargo, que “la eventual afectación de intereses generales o la concurrencia de otros títulos competenciales del Estado en materia determinada no deban también tenerse presentes como límites que habrá que ponderar en cada caso concreto (así los títulos que resultan, v. gr. de los números 6 y 8 del art. 149.1)” (FJ 3).</w:t>
      </w:r>
    </w:p>
    <w:p w:rsidR="00D06117" w:rsidRDefault="00D06117" w:rsidP="00D06117">
      <w:pPr>
        <w:pStyle w:val="TextoNormal"/>
      </w:pPr>
    </w:p>
    <w:p w:rsidR="00D06117" w:rsidRDefault="00D06117" w:rsidP="00D06117">
      <w:pPr>
        <w:pStyle w:val="TextoNormal"/>
      </w:pPr>
      <w:r>
        <w:t>De acuerdo con este esquema desde la aprobación del Estatuto de Autonomía de Cataluña de 1979 la Generalitat de Cataluña asumió la competencia exclusiva en materia de cultura (art. 9.4), patrimonio histórico, artístico, monumental, arquitectónico, arqueológico y científico (art. 9.5) y en materia de archivos, bibliotecas, museos y otros centros de depósito cultural que no sean de titularidad estatal (art. 9.6).</w:t>
      </w:r>
    </w:p>
    <w:p w:rsidR="00D06117" w:rsidRDefault="00D06117" w:rsidP="00D06117">
      <w:pPr>
        <w:pStyle w:val="TextoNormal"/>
      </w:pPr>
    </w:p>
    <w:p w:rsidR="00D06117" w:rsidRDefault="00D06117" w:rsidP="00D06117">
      <w:pPr>
        <w:pStyle w:val="TextoNormal"/>
      </w:pPr>
      <w:r>
        <w:t>Este marco normativo ha sido refrendado por el art. 127.1 del vigente Estatuto de 2006 (Ley Orgánica 6/2006, de 19 de julio, de reforma del Estatuto de Autonomía de Cataluña), el cual añade que, “en todo caso”, esta competencia comprende “el patrimonio cultural”, que, a su vez, incluye “en todo caso: Primero. La regulación y la ejecución de medidas destinadas a garantizar el enriquecimiento y la difusión del patrimonio cultural de Cataluña y a facilitar su acceso. Segundo. La inspección, inventario y restauración del patrimonio arquitectónico, arqueológico, científico, técnico, histórico, artístico, etnológico y cultural en general. Tercero. El establecimiento del régimen jurídico de las actuaciones sobre bienes muebles e inmuebles integrantes del patrimonio cultural de Cataluña y la determinación del régimen jurídico de los bienes inmuebles, así como la declaración y la gestión de estos bienes con la excepción de aquéllos que sean de la titularidad del Estado. Cuarto. La protección del patrimonio cultural de Cataluña, que incluye la conservación, la reparación, el régimen de vigilancia y el control de los bienes, sin perjuicio de la competencia estatal para la defensa de los bienes integrantes de este patrimonio contra la exportación y la expoliación”.</w:t>
      </w:r>
    </w:p>
    <w:p w:rsidR="00D06117" w:rsidRDefault="00D06117" w:rsidP="00D06117">
      <w:pPr>
        <w:pStyle w:val="TextoNormal"/>
      </w:pPr>
    </w:p>
    <w:p w:rsidR="00D06117" w:rsidRDefault="00D06117" w:rsidP="00D06117">
      <w:pPr>
        <w:pStyle w:val="TextoNormal"/>
      </w:pPr>
      <w:r>
        <w:t>Por lo que se refiere a la competencia en materia de cultura asumida por la Comunidad Autónoma de Aragón, debemos indicar que en el artículo 36 de la redacción original de su Estatuto (Ley Orgánica 8/1982, de 10 de agosto) la Comunidad Autónoma de Aragón asume, en el marco de la legislación básica del Estado, la función de ejecución y desarrollo legislativo en materia de: patrimonio cultural, histórico, artístico, monumental, arqueológico, arquitectónico de interés para la Comunidad Autónoma” [art. 36.1 g)]. La reforma estatutaria efectuada por la Ley Orgánica 6/1994, de 24 de marzo, no alteró esta caracterización de la competencia estatutaria en la materia (art. 36.Uno.3). Sí lo hizo, en cambio, la reforma operada por la Ley Orgánica 5/1996, de 30 de diciembre, que incorporó el art. 35.1.33 EAAr que atribuye a la Comunidad Autónoma la competencia exclusiva sobre “patrimonio cultural, histórico, artístico, monumental, arqueológico, arquitectónico y científico de interés para la Comunidad Autónoma”.</w:t>
      </w:r>
    </w:p>
    <w:p w:rsidR="00D06117" w:rsidRDefault="00D06117" w:rsidP="00D06117">
      <w:pPr>
        <w:pStyle w:val="TextoNormal"/>
      </w:pPr>
    </w:p>
    <w:p w:rsidR="00D06117" w:rsidRDefault="00D06117" w:rsidP="00D06117">
      <w:pPr>
        <w:pStyle w:val="TextoNormal"/>
      </w:pPr>
      <w:r>
        <w:t>Finalmente, la Ley Orgánica 5/2007, de 20 de abril, de reforma del Estatuto de Autonomía de Aragón, establece en su artículo 71.45 que corresponde a la Comunidad Autónoma la competencia exclusiva en la materia “patrimonio cultural, histórico, artístico, monumental, arqueológico, arquitectónico, científico y cualquier otro de interés para la Comunidad Autónoma, en especial las políticas necesarias encaminadas a recuperar el patrimonio aragonés que se encuentre ubicado fuera del territorio de Aragón”. Su art. 22, por otra parte, recoge entre los principios rectores de las políticas públicas, el principio de patrimonio cultural, según el cual “1. Los poderes públicos aragoneses promoverán la conservación, conocimiento y difusión del patrimonio cultural, histórico y artístico de Aragón, su recuperación y enriquecimiento. 2. En particular, los poderes públicos aragoneses desarrollarán las actuaciones necesarias para hacer realidad el regreso a Aragón de todos los bienes integrantes de su patrimonio cultural, histórico y artístico que se encuentran fuera de su territorio”.</w:t>
      </w:r>
    </w:p>
    <w:p w:rsidR="00D06117" w:rsidRDefault="00D06117" w:rsidP="00D06117">
      <w:pPr>
        <w:pStyle w:val="TextoNormal"/>
      </w:pPr>
    </w:p>
    <w:p w:rsidR="00D06117" w:rsidRDefault="00D06117" w:rsidP="00D06117">
      <w:pPr>
        <w:pStyle w:val="TextoNormal"/>
      </w:pPr>
      <w:r>
        <w:t>En ejercicio de la señalada competencia exclusiva, las Comunidades Autónomas han aprobado leyes sobre el patrimonio cultural. Así, la Ley 9/1993 del patrimonio cultural catalán (“Diario Oficial de la Generalitat de Cataluña” de 11 de octubre) y la Ley 3/1999 del patrimonio cultural aragonés (“Boletín Oficial de Aragón” de 29 de marzo), junto a las que debe mencionarse la Ley 16/1985, del Patrimonio histórico español (“Boletín Oficial del Estado” de 29 de junio).</w:t>
      </w:r>
    </w:p>
    <w:p w:rsidR="00D06117" w:rsidRDefault="00D06117" w:rsidP="00D06117">
      <w:pPr>
        <w:pStyle w:val="TextoNormal"/>
      </w:pPr>
    </w:p>
    <w:p w:rsidR="00D06117" w:rsidRDefault="00D06117" w:rsidP="00D06117">
      <w:pPr>
        <w:pStyle w:val="TextoNormal"/>
      </w:pPr>
      <w:r w:rsidRPr="00D06117">
        <w:rPr>
          <w:rStyle w:val="NumeroAFNegritaCaracter"/>
        </w:rPr>
        <w:t>6</w:t>
      </w:r>
      <w:r>
        <w:t>. En el presente caso, por tanto, nos hallamos ante dos Comunidades Autónomas que poseen competencia exclusiva en materia de protección de patrimonio histórico y cultural. Ambas Comunidades Autónomas ejercen dicha competencia respecto de unos determinados bienes procedentes del Monasterio de Sigena que habían sido trasladados a Cataluña por su propietaria (Orden de San Juan de Jerusalén), de tal modo que, mientras que el Gobierno de la Generalitat de Cataluña, estando éstos ya en su territorio procedió en 1983 y 1992 a su adquisición, y ha actuado desde entonces a favor de su protección; el Gobierno de Aragón ejerció respecto de ellos el derecho de retracto como un modo para procurar el retorno de los mismos a su territorio. Por tanto aquí el elemento determinante del presente conflicto positivo de competencia radica en que cada parte actúa con la legitimidad constitucional que les confiere la norma estatutaria propia a tenor de los títulos competenciales que cada una de ellas tiene atribuidos. Así, mientras el Gobierno de la Generalitat de Cataluña ha actuado respecto de unos bienes que estaban ya en su territorio procediendo a su adquisición y actuando a favor de su protección ex art. 127 EAC, el Gobierno de Aragón ejerció respecto de ellos el derecho de retracto como un modo para procurar el retorno de los mismos a su territorio. Así lo hizo en el ejercicio de su competencia exclusiva sobre “patrimonio cultural, histórico, artístico, monumental, arqueológico, arquitectónico, científico y cualquier otro de interés para la Comunidad Autónoma”, que comporta la adopción de “las políticas necesarias encaminadas a recuperar el patrimonio aragonés que se encuentre ubicado fuera del territorio de Aragón” (arts. 71.45 y 22.2 EAAr).</w:t>
      </w:r>
    </w:p>
    <w:p w:rsidR="00D06117" w:rsidRDefault="00D06117" w:rsidP="00D06117">
      <w:pPr>
        <w:pStyle w:val="TextoNormal"/>
      </w:pPr>
    </w:p>
    <w:p w:rsidR="00D06117" w:rsidRDefault="00D06117" w:rsidP="00D06117">
      <w:pPr>
        <w:pStyle w:val="TextoNormal"/>
      </w:pPr>
      <w:r>
        <w:t>Ante la confluencia material que surge de la aplicación de ambas normas, puesto que las mismas suponen la actuación sobre idénticos bienes integrantes del patrimonio histórico, la Generalitat de Cataluña sostiene que las competencias de Aragón carecen de virtualidad en razón de la extraterritorialidad de su ejercicio, es decir, por proyectarse en unos límites físicos que no forman parte de su territorio.</w:t>
      </w:r>
    </w:p>
    <w:p w:rsidR="00D06117" w:rsidRDefault="00D06117" w:rsidP="00D06117">
      <w:pPr>
        <w:pStyle w:val="TextoNormal"/>
      </w:pPr>
    </w:p>
    <w:p w:rsidR="00D06117" w:rsidRDefault="00D06117" w:rsidP="00D06117">
      <w:pPr>
        <w:pStyle w:val="TextoNormal"/>
      </w:pPr>
      <w:r>
        <w:t>En reiteradas ocasiones nos hemos referido al principio según el cual el territorio es elemento delimitador de los poderes públicos territoriales en el ejercicio de las competencias que les corresponden y, más en concreto, es elemento delimitador de las competencias de las Comunidades Autónomas en su relación con las demás Comunidades y con el Estado (con cita de las SSTC 44/1984, de 27 de marzo; 180/1992, de 16 de noviembre; 118/1996, de 27 de junio; y 132/1996, de 22 de julio), pues hemos indicado también que este principio no puede ser interpretado “en unos términos que impidan a las instancias autonómicas, en el ejercicio de sus propias competencias, adoptar decisiones cuyas consecuencias puedan proyectarse sobre otros lugares del territorio nacional” [SSTC 37/1981, de 16 de noviembre, FJ 1; 150/1990, de 4 de octubre, FJ 5; y 126/2002, de 23 de mayo, FJ 9 a); y 168/2004, de 6 de octubre, FJ 4].</w:t>
      </w:r>
    </w:p>
    <w:p w:rsidR="00D06117" w:rsidRDefault="00D06117" w:rsidP="00D06117">
      <w:pPr>
        <w:pStyle w:val="TextoNormal"/>
      </w:pPr>
    </w:p>
    <w:p w:rsidR="00D06117" w:rsidRDefault="00D06117" w:rsidP="00D06117">
      <w:pPr>
        <w:pStyle w:val="TextoNormal"/>
      </w:pPr>
      <w:r w:rsidRPr="00D06117">
        <w:rPr>
          <w:rStyle w:val="NumeroAFNegritaCaracter"/>
        </w:rPr>
        <w:t>7</w:t>
      </w:r>
      <w:r>
        <w:t>. Tal sería el caso del ejercicio por la Diputación General de Aragón del derecho de retracto como expresión de “las políticas necesarias encaminadas a recuperar el patrimonio aragonés que se encuentre ubicado fuera del territorio de Aragón” (art. 71.45 EAAr).</w:t>
      </w:r>
    </w:p>
    <w:p w:rsidR="00D06117" w:rsidRDefault="00D06117" w:rsidP="00D06117">
      <w:pPr>
        <w:pStyle w:val="TextoNormal"/>
      </w:pPr>
    </w:p>
    <w:p w:rsidR="00D06117" w:rsidRDefault="00D06117" w:rsidP="00D06117">
      <w:pPr>
        <w:pStyle w:val="TextoNormal"/>
      </w:pPr>
      <w:r>
        <w:t xml:space="preserve">En el asunto que dio lugar a la STC 17/1991, ya citada, las entidades demandantes cuestionaban que la Ley del patrimonio histórico español reconociera estos derechos de tanteo y retracto, alegando, entre otros extremos, que de este modo se concede a la Administración </w:t>
      </w:r>
      <w:r>
        <w:lastRenderedPageBreak/>
        <w:t>del Estado una preferencia respecto de las Comunidades Autónomas para el ejercicio efectivo de aquéllos.</w:t>
      </w:r>
    </w:p>
    <w:p w:rsidR="00D06117" w:rsidRDefault="00D06117" w:rsidP="00D06117">
      <w:pPr>
        <w:pStyle w:val="TextoNormal"/>
      </w:pPr>
    </w:p>
    <w:p w:rsidR="00D06117" w:rsidRDefault="00D06117" w:rsidP="00D06117">
      <w:pPr>
        <w:pStyle w:val="TextoNormal"/>
      </w:pPr>
      <w:r>
        <w:t>Para el Tribunal, es claro que la competencia para ejercer los derechos de tanteo y retracto en los casos de expoliación de bienes muebles integrantes del patrimonio histórico español (art. 33 de la Ley del patrimonio histórico español) así como en los casos en los que “se trate de adquirir bienes muebles para un museo, archivo o biblioteca de titularidad estatal” pertenece al Estado (art. 149.1.28 CE). Por lo demás, el Tribunal recordó que “los derechos de tanteo y retracto pueden ser ejercidos en idénticos términos por los demás organismos competentes para la ejecución de esta Ley (los de cada Comunidad Autónoma según el art. 6)”, según lo establecido en el art. 38.4 de la Ley del patrimonio histórico español, por lo que no pueden entenderse establecidos única o preferentemente a favor del Estado (STC 17/1991 FJ 18).</w:t>
      </w:r>
    </w:p>
    <w:p w:rsidR="00D06117" w:rsidRDefault="00D06117" w:rsidP="00D06117">
      <w:pPr>
        <w:pStyle w:val="TextoNormal"/>
      </w:pPr>
    </w:p>
    <w:p w:rsidR="00D06117" w:rsidRDefault="00D06117" w:rsidP="00D06117">
      <w:pPr>
        <w:pStyle w:val="TextoNormal"/>
      </w:pPr>
      <w:r>
        <w:t>La posible instauración de los derechos de tanteo y retracto a favor de las Administraciones autonómicas en el marco de una materia sobre la que ejercen competencia exclusiva ha sido refrendada en diversas ocasiones por este Tribunal que ha establecido que nada impide que los derechos de tanteo y retracto “puedan constituirse en favor de las Administraciones públicas para servir finalidades públicas con adecuado respaldo constitucional, siendo en tal caso regulados por la correspondiente legislación administrativa, e insertándose en las competencias de titularidad autonómica cuando las Comunidades Autónomas hayan asumido en sus Estatutos competencias normativas sobre la materia en que dichos derechos reales se incardinan” (SSTC 170/1989 y 102/1995, de 26 de junio). Así, en materia de medio ambiente con finalidad protectora de determinados espacios naturales (SSTC 170/1989 y 156/1995, de 26 de octubre) o en materia de urbanismo y vivienda como un mecanismo o técnica jurídica establecida con la finalidad de combatir el fenómeno de la especulación del suelo.</w:t>
      </w:r>
    </w:p>
    <w:p w:rsidR="00D06117" w:rsidRDefault="00D06117" w:rsidP="00D06117">
      <w:pPr>
        <w:pStyle w:val="TextoNormal"/>
      </w:pPr>
    </w:p>
    <w:p w:rsidR="00D06117" w:rsidRDefault="00D06117" w:rsidP="00D06117">
      <w:pPr>
        <w:pStyle w:val="TextoNormal"/>
      </w:pPr>
      <w:r>
        <w:t>Ahora bien, la función que cumple el retracto en la legislación del patrimonio histórico es garantizar la protección de los bienes de esta naturaleza desde el entendimiento de que en determinadas ocasiones esta protección se va a realizar mejor en manos de la Administración. He aquí la finalidad de la atribución a las Comunidades Autónomas de la facultad de retracto; facultad que, de darse las circunstancias que precisaran de la actuación de preservación y protección del patrimonio, podrán, sin duda, ejercitarla frente a los particulares y frente a otras Administraciones públicas.</w:t>
      </w:r>
    </w:p>
    <w:p w:rsidR="00D06117" w:rsidRDefault="00D06117" w:rsidP="00D06117">
      <w:pPr>
        <w:pStyle w:val="TextoNormal"/>
      </w:pPr>
    </w:p>
    <w:p w:rsidR="00D06117" w:rsidRDefault="00D06117" w:rsidP="00D06117">
      <w:pPr>
        <w:pStyle w:val="TextoNormal"/>
      </w:pPr>
      <w:r w:rsidRPr="00D06117">
        <w:rPr>
          <w:rStyle w:val="NumeroAFNegritaCaracter"/>
        </w:rPr>
        <w:t>8</w:t>
      </w:r>
      <w:r>
        <w:t xml:space="preserve">. Resulta pues evidente que una de las políticas a emprender por los poderes públicos aragoneses es el procurar “el regreso a Aragón de todos los bienes integrantes de su patrimonio cultural, histórico y artístico que se encuentran fuera de su territorio” como expresamente establecen los artículos 22.2 (donde se enuncia como un principio rector de la política de patrimonio cultural de la Comunidad de Aragón) y 71.45 EEAr (donde la recuperación “del patrimonio aragonés que se encuentre ubicado fuera del territorio de Aragón” se menciona como expresión de la materia “patrimonio cultural, histórico, artístico, monumental, arqueológico, arquitectónico, científico y cualquier otro de interés para la Comunidad Autónoma las políticas necesarias encaminadas a recuperar el patrimonio aragonés que se encuentre ubicado fuera del territorio de Aragón”, competencia exclusiva de la Comunidad </w:t>
      </w:r>
      <w:r>
        <w:lastRenderedPageBreak/>
        <w:t>Autónoma de Aragón). Es claro igualmente que, en el desempeño de tales políticas de recuperación de bienes, el Gobierno autonómico podría recurrir al ejercicio de potestades públicas como el retracto u otras que pudieran servir al fin de recuperación del patrimonio.</w:t>
      </w:r>
    </w:p>
    <w:p w:rsidR="00D06117" w:rsidRDefault="00D06117" w:rsidP="00D06117">
      <w:pPr>
        <w:pStyle w:val="TextoNormal"/>
      </w:pPr>
    </w:p>
    <w:p w:rsidR="00D06117" w:rsidRDefault="00D06117" w:rsidP="00D06117">
      <w:pPr>
        <w:pStyle w:val="TextoNormal"/>
      </w:pPr>
      <w:r>
        <w:t>Ahora bien, el ejercicio de las potestades públicas ha de hacerse, en todo caso, en términos conformes con el orden competencial y atendiendo los contornos posibles de las mismas. En relación al primero de estos aspectos debemos recordar que en el presente caso el recurso al derecho de retracto como instrumento de la política de recuperación del patrimonio cultural ubicado fuera del territorio de Aragón —que se realiza en ejercicio de la competencia exclusiva sobre patrimonio histórico y cultural— choca con la competencia autonómica catalana en materia de preservación del patrimonio que ha de entenderse que se extiende a aquel que está en su territorio, independientemente de su origen (art. 127 EAC).</w:t>
      </w:r>
    </w:p>
    <w:p w:rsidR="00D06117" w:rsidRDefault="00D06117" w:rsidP="00D06117">
      <w:pPr>
        <w:pStyle w:val="TextoNormal"/>
      </w:pPr>
    </w:p>
    <w:p w:rsidR="00D06117" w:rsidRDefault="00D06117" w:rsidP="00D06117">
      <w:pPr>
        <w:pStyle w:val="TextoNormal"/>
      </w:pPr>
      <w:r>
        <w:t>Presentándose, como se ha expuesto, el conflicto, y descartada su solución por la vía de los instrumentos de cooperación entre Comunidades Autónomas, este Tribunal no puede por más que dirimir, en el caso concreto, qué competencia ha de prevalecer y en razón de qué causa.</w:t>
      </w:r>
    </w:p>
    <w:p w:rsidR="00D06117" w:rsidRDefault="00D06117" w:rsidP="00D06117">
      <w:pPr>
        <w:pStyle w:val="TextoNormal"/>
      </w:pPr>
    </w:p>
    <w:p w:rsidR="00D06117" w:rsidRDefault="00D06117" w:rsidP="00D06117">
      <w:pPr>
        <w:pStyle w:val="TextoNormal"/>
      </w:pPr>
      <w:r>
        <w:t>Así, desde la consideración de que el objetivo de las competencias de las Comunidades Autónomas en materia de protección del patrimonio histórico es la preservación de los bienes de esta naturaleza y tomando en cuenta no sólo la señalada funcionalidad general del territorio en el entramado de distribución de competencias operado por la Constitución, los Estatutos de Autonomía y demás leyes integradas en el bloque de la constitucionalidad, sino también que nos encontramos ante la concurrencia de competencias en un mismo espacio físico y ante la falta de recurso a las técnicas de colaboración entre Comunidades Autónomas, debemos concluir que en el presente caso prevalece la competencia que corresponde a Cataluña, a cuyo cuidado —y como resultado de las más diversas circunstancias— se hallan los bienes relacionados en las órdenes dictadas por el Consejero de Educación y Cultura de la Diputación General de Aragón. Ciertamente, al ejercer su competencia sobre patrimonio histórico sobre los bienes que se hallan en su territorio —con independencia de cuál sea el origen de los mismos—, Cataluña viene cumpliendo la señalada función de preservación del patrimonio histórico y artístico de España, y resulta constitucionalmente congruente desde esta perspectiva, toda vez que los bienes sobre los que versa la controversia están en adecuadas condiciones de conservación en Cataluña, que los mismos permanezcan en la Comunidad Autónoma en la que se encuentran.</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 xml:space="preserve">Estimar el conflicto positivo de competencia núm. 2799-1998 planteado por el Gobierno de la Generalitat de Cataluña, en relación con el ejercicio del derecho de retracto que se inició mediante la Orden del Consejero de Educación y Cultura de la Diputación General de Aragón de 8 de agosto de 1997 y que posteriormente se concretó mediante la Orden del </w:t>
      </w:r>
      <w:r>
        <w:lastRenderedPageBreak/>
        <w:t>mismo Consejero de 10 de febrero de 1998, por la que se ejerce el derecho de retracto respecto de los bienes que se relacionan en el anexo de esta última procedentes del Monasterio de Sigena y adquiridos por la Generalitat de Cataluña, y, en consecuencia, declarar la inconstitucionalidad y consiguiente nulidad de ambas disposiciones.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enero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Elisa Pérez Vera respecto de la Sentencia del Pleno de este Tribunal dictada en el conflicto positivo de competencia núm. 2799-1998, al que se adhiere el Magistrado don Ramón Rodríguez Arribas.</w:t>
      </w:r>
    </w:p>
    <w:p w:rsidR="00D06117" w:rsidRDefault="00D06117" w:rsidP="00D06117">
      <w:pPr>
        <w:pStyle w:val="TextoNormalNegritaCentrado"/>
        <w:keepNext/>
      </w:pPr>
    </w:p>
    <w:p w:rsidR="00D06117" w:rsidRDefault="00D06117" w:rsidP="00D06117">
      <w:pPr>
        <w:pStyle w:val="TextoNormal"/>
      </w:pPr>
      <w:r>
        <w:t>Con el mayor respeto hacia el criterio mayoritario reflejado en la Sentencia, me siento en la obligación de ejercitar frente a él la facultad prevista en el artículo 90.2 LOTC, con el fin de reflejar fielmente la posición que mantuve en la deliberación del Pleno, expresando a través de este Voto mi discrepancia con el fallo y con los argumentos que lo sustentan.</w:t>
      </w:r>
    </w:p>
    <w:p w:rsidR="00D06117" w:rsidRDefault="00D06117" w:rsidP="00D06117">
      <w:pPr>
        <w:pStyle w:val="TextoNormal"/>
      </w:pPr>
    </w:p>
    <w:p w:rsidR="00D06117" w:rsidRDefault="00D06117" w:rsidP="00D06117">
      <w:pPr>
        <w:pStyle w:val="TextoNormal"/>
      </w:pPr>
      <w:r>
        <w:t>1. Como se refleja en el texto de la Sentencia apoyado por la mayoría la primera cuestión a dilucidar ha sido la de si estábamos o no ante un auténtico conflicto positivo de competencia, o bien ante un problema de interpretación y aplicación de la legalidad para cuya resolución este Tribunal carece de jurisdicción.</w:t>
      </w:r>
    </w:p>
    <w:p w:rsidR="00D06117" w:rsidRDefault="00D06117" w:rsidP="00D06117">
      <w:pPr>
        <w:pStyle w:val="TextoNormal"/>
      </w:pPr>
    </w:p>
    <w:p w:rsidR="00D06117" w:rsidRDefault="00D06117" w:rsidP="00D06117">
      <w:pPr>
        <w:pStyle w:val="TextoNormal"/>
      </w:pPr>
      <w:r>
        <w:t>Puedo compartir sin dificultad la doctrina que postula una concepción amplia de los conflictos positivos de competencia en los términos fijados en el fundamento jurídico 3, no así la aplicación que de la misma se hace. En efecto, señala la Sentencia que, “a juicio de la entidad demandante, el exceso de los límites competenciales se habría producido al pretender ejercer el Gobierno de Aragón … el derecho de retracto sobre unos bienes … en los que no concurrían los requisitos legales y fácticos que permiten ejercer tal derecho”, añadiendo que “[e]n el escrito de demanda se puntualiza que la petición formulada a este Tribunal no es la determinación de la titularidad de dichos bienes, sino la declaración de que la potestad administrativa de tutela sobre patrimonio histórico corresponde a la Generalitat en virtud de su Estatuto, como efectivamente se hace en el petitum de la demanda, en el que se solicita la consiguiente nulidad de las órdenes impugnadas por estimar que vulneran el orden competencial” (FJ 4).</w:t>
      </w:r>
    </w:p>
    <w:p w:rsidR="00D06117" w:rsidRDefault="00D06117" w:rsidP="00D06117">
      <w:pPr>
        <w:pStyle w:val="TextoNormal"/>
      </w:pPr>
    </w:p>
    <w:p w:rsidR="00D06117" w:rsidRDefault="00D06117" w:rsidP="00D06117">
      <w:pPr>
        <w:pStyle w:val="TextoNormal"/>
      </w:pPr>
      <w:r>
        <w:t xml:space="preserve">Así pues, la competencia reivindicada por el Gobierno de la Generalitat de Cataluña es la referida a la protección de su patrimonio cultural (hoy recogida en el art. 127.1 EAC), sin que en su demanda planteando el conflicto de competencia se cuestione que el ejercicio por el Gobierno de Aragón del derecho de retracto se realiza en ejecución de la competencia autonómica en materia de patrimonio histórico [art. 36.1 g), posteriormente art. 35.1.33 EAAr], al amparo de lo dispuesto en el art. 38.4 de la Ley del patrimonio histórico español (Ley 16/1985, de 25 de junio), a la que se refiere la STC 17/1991, de 31 de enero, cuando afirma que “los derechos de tanteo y retracto pueden ser ejercidos en idénticos términos por los demás organismos competentes para la ejecución de esta Ley (los de cada Comunidad Autónoma según el art. 6)” (FJ 18). En la actualidad, además, el EAAr, en la reforma introducida por la Ley Orgánica 5/2007, de 20 de abril, incluye entre las competencias exclusivas </w:t>
      </w:r>
      <w:r>
        <w:lastRenderedPageBreak/>
        <w:t>“respetando lo dispuesto en los artículos 140 y 149.1 de la Constitución”, la competencia sobre el patrimonio cultural en sentido amplio y “en especial las políticas necesarias encaminadas a recuperar el patrimonio aragonés que se encuentre ubicado fuera del territorio de Aragón” (art. 71.45), que se corresponde con el principio rector de las políticas públicas contenido en el art. 22 del propio Estatuto.</w:t>
      </w:r>
    </w:p>
    <w:p w:rsidR="00D06117" w:rsidRDefault="00D06117" w:rsidP="00D06117">
      <w:pPr>
        <w:pStyle w:val="TextoNormal"/>
      </w:pPr>
    </w:p>
    <w:p w:rsidR="00D06117" w:rsidRDefault="00D06117" w:rsidP="00D06117">
      <w:pPr>
        <w:pStyle w:val="TextoNormal"/>
      </w:pPr>
      <w:r>
        <w:t>En suma, aunque las competencias de Aragón y Cataluña coinciden materialmente sobre unos mismos bienes (los procedentes del Monasterio de Sigena sito en Aragón, adquiridos por la Generalitat de Cataluña), los títulos competenciales que se pretenden ejercer por cada una de ellas son heterogéneos: si Cataluña alega la competencia para proteger el patrimonio, Aragón pretende la recuperación o regreso de ese mismo patrimonio situado fuera de su territorio. En tales circunstancias, en ausencia de mecanismos de cooperación entre Comunidades, el ejercicio por Aragón de la acción de retracto en los términos fijados por el legislador estatal hubiera debido permitir a los Tribunales ordinarios dar una respuesta jurídica a pretensiones que, desde el punto de vista competencial, encuentran perfecto acomodo en los respectivos Estatutos de Autonomía. Como dijimos ante una situación en la que también se planteaba el ejercicio de competencias autonómicas parcialmente heterogéneas, “[e]s innegable que a fin de cuentas existe un conflicto o controversia entre las dos Comunidades Autónomas, pero que no es ni puede ser de naturaleza competencial desde su perspectiva constitucional” (STC 195/2001, de 4 de octubre, FJ 3), por lo que también en el supuesto considerado nuestro fallo hubiera debido de ser de inadmisión por falta de jurisdicción de este Tribunal.</w:t>
      </w:r>
    </w:p>
    <w:p w:rsidR="00D06117" w:rsidRDefault="00D06117" w:rsidP="00D06117">
      <w:pPr>
        <w:pStyle w:val="TextoNormal"/>
      </w:pPr>
    </w:p>
    <w:p w:rsidR="00D06117" w:rsidRDefault="00D06117" w:rsidP="00D06117">
      <w:pPr>
        <w:pStyle w:val="TextoNormal"/>
      </w:pPr>
      <w:r>
        <w:t>2. En rigor, en el punto anterior podía concluirse este Voto particular. No obstante, en la medida en que la Sentencia de la que discrepo llega a una conclusión diferente, y lo hace a través de un determinado razonamiento, me parece necesario manifestar las razones de mi discrepancia sobre ambos aspectos, incluso si aceptara a efectos dialécticos la existencia, como hace la mayoría, de un conflicto positivo de competencia.</w:t>
      </w:r>
    </w:p>
    <w:p w:rsidR="00D06117" w:rsidRDefault="00D06117" w:rsidP="00D06117">
      <w:pPr>
        <w:pStyle w:val="TextoNormal"/>
      </w:pPr>
    </w:p>
    <w:p w:rsidR="00D06117" w:rsidRDefault="00D06117" w:rsidP="00D06117">
      <w:pPr>
        <w:pStyle w:val="TextoNormal"/>
      </w:pPr>
      <w:r>
        <w:t>Desde esta perspectiva mi apartamiento de la Sentencia se refiere tanto al criterio de solución, como al procedimiento seguido. Y es que, la Sentencia que analiza las órdenes del Consejero de Educación y Cultura de la Diputación General de Aragón, que están en el origen de la controversia, para llegar a la conclusión de que se trata de “disposiciones” impugnables en vía de conflicto constitucional, (FJ 4), hace después un análisis de las competencias autonómicas en abstracto, sin ponerlas en relación con las órdenes controvertidas. Ahora bien, resulta claro que las órdenes en cuestión (las “disposiciones” impugnadas) en cuanto medidas de ejecución de una competencia autonómica, no pueden merecer reproche autónomo alguno, ya que habría que formularlo también respecto del precepto estatutario del que trae causa. Pero para llegar a tal conclusión el procedimiento debería haberse tramitado, de acuerdo con lo dispuesto en el art. 67 LOTC, “en la forma prevista para el recurso de inconstitucionalidad”, puesto que no cabe duda de que “la competencia controvertida h[a] sido atribuida por una Ley o norma con rango de Ley”, que en este caso es, nada menos que la cabecera del ordenamiento autonómico. Ello hubiera permitido a este Tribunal conocer la posición del Abogado del Estado (no olvidemos que estamos ante unas normas incluidas en un Estatuto de Autonomía proclamado en una ley orgánica) al respecto, así como la de las instancias autonómicas no sólo sobre el ejercicio del derecho de retracto sino también sobre el alcance de las competencias asumidas en el Estatuto de Autonomía.</w:t>
      </w:r>
    </w:p>
    <w:p w:rsidR="00D06117" w:rsidRDefault="00D06117" w:rsidP="00D06117">
      <w:pPr>
        <w:pStyle w:val="TextoNormal"/>
      </w:pPr>
    </w:p>
    <w:p w:rsidR="00D06117" w:rsidRDefault="00D06117" w:rsidP="00D06117">
      <w:pPr>
        <w:pStyle w:val="TextoNormal"/>
      </w:pPr>
      <w:r>
        <w:lastRenderedPageBreak/>
        <w:t>Al no haberlo hecho así, el criterio de solución adoptado me resulta inasumible tanto en sí mismo como en sus consecuencias. En sí mismo, porque al “concluir que en el presente caso prevalece la competencia que corresponde a Cataluña, a cuyo cuidado –y como resultado de las más diversas circunstancias— se hallan los bienes relacionados en las órdenes dictadas por el Consejero de Educación y Cultura de la Diputación General de Aragón” (FJ 8), se está afirmando sin matices el criterio de la territorialidad como delimitador de las competencias autonómicas. Pese a ello, previamente, en el fundamento jurídico 6, se rechaza el argumento utilizado por la Generalitat de Cataluña sobre la pretendida extraterritorialidad en el ejercicio de sus competencias por Aragón, recordando que es doctrina de este Tribunal que el principio de la territorialidad no puede ser interpretado “en unos términos que impidan a las instancias autonómicas, en el ejercicio de sus propias competencias, adoptar decisiones cuyas consecuencia puedan proyectarse sobre otros lugares del territorio nacional [SSTC 37/1981, de 16 de noviembre, FJ 1; 150/1990, de 4 de octubre, FJ 5; 126/2002, de 23 de mayo, FJ 9 a); 168/2004, de 6 de octubre, FJ 4)]”. Resulta cuando menos sorprendente que reconociendo en teoría que una Comunidad Autónoma pueda ejercer acciones en relación con bienes situados fuera de su territorio, afirmemos sin ambages que “al ejercer su competencia sobre patrimonio histórico sobre los bienes que se hallan en su territorio —con independencia de cuál sea el origen de los mismos—, Cataluña viene cumpliendo la señalada función de preservación del patrimonio histórico y artístico de España, y resulta constitucionalmente congruente desde esta perspectiva … que los mismos permanezcan en la Comunidad Autónoma en que se encuentran” (FJ 8). Afirmaciones sobre una realidad fáctica que hubieran debido quedar extra muros de nuestro pronunciamiento y que se hacen, además, sin delimitar el alcance de la competencia aragonesa que, insisto, hubiera debido hacerse tramitando el conflicto como recurso.</w:t>
      </w:r>
    </w:p>
    <w:p w:rsidR="00D06117" w:rsidRDefault="00D06117" w:rsidP="00D06117">
      <w:pPr>
        <w:pStyle w:val="TextoNormal"/>
      </w:pPr>
    </w:p>
    <w:p w:rsidR="00D06117" w:rsidRDefault="00D06117" w:rsidP="00D06117">
      <w:pPr>
        <w:pStyle w:val="TextoNormal"/>
      </w:pPr>
      <w:r>
        <w:t>Aún más graves resultan, en mi opinión, las consecuencias a que conduce el fallo por el que se declaran inconstitucionales y nulas las órdenes consideradas en la medida en que cercena, tras la tramitación de un procedimiento inadecuado, las competencias asumidas por la Comunidad Autónoma de Aragón en su Estatuto de Autonomía, al imponer una interpretación restrictiva de su alcance, claramente contraria a su tenor literal.</w:t>
      </w:r>
    </w:p>
    <w:p w:rsidR="00D06117" w:rsidRDefault="00D06117" w:rsidP="00D06117">
      <w:pPr>
        <w:pStyle w:val="TextoNormal"/>
      </w:pPr>
    </w:p>
    <w:p w:rsidR="00D06117" w:rsidRDefault="00D06117" w:rsidP="00D06117">
      <w:pPr>
        <w:pStyle w:val="TextoNormal"/>
      </w:pPr>
      <w:r>
        <w:t>3. De menor entidad, aunque no por ello de menor importancia, es mi objeción a que la Sentencia realice pronunciamientos que considero que exceden el ámbito de la jurisdicción constitucional, al interpretar instituciones legalmente configuradas cuyo alcance y significado corresponde en exclusiva a los órganos de la jurisdicción ordinaria, ex art. 117 CE. Así ocurre, en particular, cuando la Sentencia de la que disiento se adentra en la consideración del retracto afirmando que “la función que cumple el retracto en la legislación del patrimonio histórico es garantizar la protección de los bienes de esta naturaleza desde el entendimiento de que en determinadas ocasiones esta protección se va a realizar mejor en manos de la Administración. He aquí la finalidad de la atribución a las Comunidades Autónomas de la facultad de retracto, facultad que, de darse las circunstancias que precisaran de la actuación de preservación y protección del patrimonio, podrán, sin duda, ejercitarla frente a los particulares y frente a otras Administraciones públicas” (FJ 7).</w:t>
      </w:r>
    </w:p>
    <w:p w:rsidR="00D06117" w:rsidRDefault="00D06117" w:rsidP="00D06117">
      <w:pPr>
        <w:pStyle w:val="TextoNormal"/>
      </w:pPr>
    </w:p>
    <w:p w:rsidR="00D06117" w:rsidRDefault="00D06117" w:rsidP="00D06117">
      <w:pPr>
        <w:pStyle w:val="TextoNormal"/>
      </w:pPr>
      <w:r>
        <w:t>Pues bien, entiendo que, en ausencia de connotaciones constitucionales, la utilización de la figura del retracto (como la de cualquier otra institución establecida por ley) no debería condicionarse por el Tribunal Constitucional que, haciéndolo, ha excedido su jurisdicción.</w:t>
      </w:r>
    </w:p>
    <w:p w:rsidR="00D06117" w:rsidRDefault="00D06117" w:rsidP="00D06117">
      <w:pPr>
        <w:pStyle w:val="TextoNormal"/>
      </w:pPr>
    </w:p>
    <w:p w:rsidR="00D06117" w:rsidRDefault="00D06117" w:rsidP="00D06117">
      <w:pPr>
        <w:pStyle w:val="TextoNormal"/>
      </w:pPr>
      <w:r>
        <w:lastRenderedPageBreak/>
        <w:t>Madrid, a dieciocho de enero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Francisco José Hernando Santiago a la Sentencia que resuelve el conflicto positivo de competencia núm. 2799-1998, al que se adhiere el Magistrado don Francisco Pérez de los Cobos Orihuel.</w:t>
      </w:r>
    </w:p>
    <w:p w:rsidR="00D06117" w:rsidRDefault="00D06117" w:rsidP="00D06117">
      <w:pPr>
        <w:pStyle w:val="TextoNormalNegritaCentrado"/>
        <w:keepNext/>
      </w:pPr>
    </w:p>
    <w:p w:rsidR="00D06117" w:rsidRDefault="00D06117" w:rsidP="00D06117">
      <w:pPr>
        <w:pStyle w:val="TextoNormal"/>
      </w:pPr>
      <w:r>
        <w:t>Con el respeto que siempre profeso al parecer de la mayoría, creo necesario hacer uso de la facultad establecida en el art. 90.2 LOTC de formular Voto particular, por disentir de la Sentencia que ha estimado el conflicto positivo de competencia planteado por el Gobierno de la Generalitat de Cataluña en relación con el ejercicio del derecho de retracto por la Diputación General de Aragón sobre determinados bienes originarios del Monasterio de Sigena.</w:t>
      </w:r>
    </w:p>
    <w:p w:rsidR="00D06117" w:rsidRDefault="00D06117" w:rsidP="00D06117">
      <w:pPr>
        <w:pStyle w:val="TextoNormal"/>
      </w:pPr>
    </w:p>
    <w:p w:rsidR="00D06117" w:rsidRDefault="00D06117" w:rsidP="00D06117">
      <w:pPr>
        <w:pStyle w:val="TextoNormal"/>
      </w:pPr>
      <w:r>
        <w:t>1. La discrepancia nace de considerar que, de acuerdo con lo dispuesto en el art. 4.1 LOTC, procedía haber declarado la falta de jurisdicción de este Tribunal Constitucional para conocer de la pretensión deducida, cuya resolución entiendo que correspondía a la jurisdicción contencioso-administrativa, ante la que ya pendía un proceso con el mismo objeto.</w:t>
      </w:r>
    </w:p>
    <w:p w:rsidR="00D06117" w:rsidRDefault="00D06117" w:rsidP="00D06117">
      <w:pPr>
        <w:pStyle w:val="TextoNormal"/>
      </w:pPr>
    </w:p>
    <w:p w:rsidR="00D06117" w:rsidRDefault="00D06117" w:rsidP="00D06117">
      <w:pPr>
        <w:pStyle w:val="TextoNormal"/>
      </w:pPr>
      <w:r>
        <w:t>Como con detalle se expone en la Sentencia, la Comunidad Autónoma de Aragón ha intentado ejercer un derecho de adquisición preferente sobre ciertos bienes que en su día formaron parte del Monasterio de Sigena y que actualmente se encuentran en Cataluña. Ocurre que ambas Comunidades Autónomas pretenden la titularidad de los bienes controvertidos, si bien en virtud de títulos competenciales heterogéneos: mientras que el Gobierno de la Generalitat de Cataluña invoca su competencia para la protección de bienes que están en su territorio (art 127 EAC) tras haber procedido a su adquisición, por su parte el Gobierno de Aragón aduce su competencia exclusiva sobre “patrimonio cultural, histórico, artístico, monumental, arqueológico, arquitectónico, científico y cualquier otro de interés para la Comunidad Autónoma”, que comporta la adopción de “las políticas necesarias encaminadas a recuperar el patrimonio aragonés que se encuentre ubicado fuera del territorio de Aragón” (arts. 71.45 y 22.2 EAAr).</w:t>
      </w:r>
    </w:p>
    <w:p w:rsidR="00D06117" w:rsidRDefault="00D06117" w:rsidP="00D06117">
      <w:pPr>
        <w:pStyle w:val="TextoNormal"/>
      </w:pPr>
    </w:p>
    <w:p w:rsidR="00D06117" w:rsidRDefault="00D06117" w:rsidP="00D06117">
      <w:pPr>
        <w:pStyle w:val="TextoNormal"/>
      </w:pPr>
      <w:r>
        <w:t>Para la Sentencia la atribución a la jurisdicción constitucional de la competencia para resolver la controversia es la consecuencia de venir fundada la demanda conflictual en una extralimitación en el ejercicio de su competencia por parte de la Comunidad Autónoma de Aragón que condiciona el ejercicio de las que corresponden a la Generalitat de Cataluña de una forma contraria al orden competencial establecido en el bloque de constitucionalidad. Ciertamente, la extralimitación en el ejercicio de una competencia, lesionando la esfera competencial del ente que promueve el proceso, forma parte del ámbito del conflicto positivo de competencia. Pero ya en ocasiones precedentes hemos afirmado que no cualquier pretensión que afecte a la titularidad o al ejercicio de una competencia puede residenciarse, sin más, en esta clase de proceso constitucional, sino que para ello se requiere, entre otras condiciones, que la controversia afecte a la definición o delimitación de los títulos competenciales en litigio y, más exactamente, a la delimitación de estos títulos contenida en la Constitución, los Estatutos de Autonomía o las leyes integrantes del bloque de la constitucionalidad que delimitan las competencias estatales y autonómicas (así, STC 243/1993, de 15 de julio, FJ 2).</w:t>
      </w:r>
    </w:p>
    <w:p w:rsidR="00D06117" w:rsidRDefault="00D06117" w:rsidP="00D06117">
      <w:pPr>
        <w:pStyle w:val="TextoNormal"/>
      </w:pPr>
    </w:p>
    <w:p w:rsidR="00D06117" w:rsidRDefault="00D06117" w:rsidP="00D06117">
      <w:pPr>
        <w:pStyle w:val="TextoNormal"/>
      </w:pPr>
      <w:r>
        <w:t>Por ello, cuando la controversia se reduce a discutir el ejercicio concreto de las competencias en relación a supuestos específicos, no es a la jurisdicción de este Tribunal Constitucional a la que corresponde su resolución, puesto que el conflicto positivo de competencia no constituye el cauce procesal idóneo cuando admitiéndose que el ente frente al que se interpone el conflicto ha ejercido una competencia de la que es sin duda titular, se alega, sin embargo, que el ejercicio de la misma infringe por otros motivos el ordenamiento jurídico, con la consecuencia de que tal infracción obstaculiza o dificulta el normal desempeño de las atribuciones que el promotor del conflicto ostenta en virtud de las normas constitucionales, estatutarias o legales. Y ello aunque las vulneraciones del ordenamiento que se invoquen en la demanda se refieran también genéricamente a normas o principios constitucionales o, de manera más específica, a los principios generales que informan las relaciones entre el Estado y las Comunidades Autónomas, pero no en concreto a las normas sobre distribución de competencias incluidas en el bloque de la constitucionalidad (STC 120/1992, de 21 de septiembre, FJ 5). Como ya hemos tenido ocasión de señalar, “este tipo de pretensiones, no obstante su trascendencia para el normal funcionamiento del Estado de las Autonomías, puede tener su acomodo en otros cauces procesales, singularmente en el recurso contencioso-administrativo, sin olvidar que también los órganos jurisdiccionales que han de resolver aquéllas se encuentran vinculados por las normas y principios constitucionales. No es posible, en cambio, residenciarlas ante esta jurisdicción sin forzar el contenido y la finalidad de los preceptos legales que regulan el conflicto positivo de competencia y sin desvirtuar, por tanto, el sentido y encaje constitucional de este especifico proceso constitucional” (ATC 886/1988, de 5 de julio, FJ 1).</w:t>
      </w:r>
    </w:p>
    <w:p w:rsidR="00D06117" w:rsidRDefault="00D06117" w:rsidP="00D06117">
      <w:pPr>
        <w:pStyle w:val="TextoNormal"/>
      </w:pPr>
    </w:p>
    <w:p w:rsidR="00D06117" w:rsidRDefault="00D06117" w:rsidP="00D06117">
      <w:pPr>
        <w:pStyle w:val="TextoNormal"/>
      </w:pPr>
      <w:r>
        <w:t>Esto es lo que entiendo que ocurre en el presente caso, en el que no estamos, en realidad, ante un problema de definición de los límites de las respectivas competencias autonómicas, sino de verificación de su ejercicio concreto. Esto explica que la demanda conflictual se sustente en argumentos de legalidad ordinaria, tales como objetar que los bienes en litigio ostenten la condición de “bienes de interés cultural”, de acuerdo con la legislación pasada (Real Orden de 28 de marzo de 1923, que declaró monumento nacional al Real Monasterio de Sigena) y vigente (art. 26 y disposición adicional primera de la Ley 16/1985, de 25 de junio, del patrimonio histórico español); o rechazar que tales bienes puedan ser objeto de la acción de retracto por parte de la Comunidad Autónoma de Aragón por no concurrir los presupuestos objetivos exigidos por la legislación en materia de patrimonio histórico (art. 38.4 de la Ley del patrimonio histórico español y art. 40 Real Decreto 111/1986, de 10 de enero); o negar la posibilidad de retracto de bienes histórico-artísticos entre Comunidades Autónomas sobre bienes adquiridos a instituciones eclesiásticas (art. 28 y disposición transitoria quinta de la Ley 16/1985, de 25 de junio, del patrimonio histórico español).</w:t>
      </w:r>
    </w:p>
    <w:p w:rsidR="00D06117" w:rsidRDefault="00D06117" w:rsidP="00D06117">
      <w:pPr>
        <w:pStyle w:val="TextoNormal"/>
      </w:pPr>
    </w:p>
    <w:p w:rsidR="00D06117" w:rsidRDefault="00D06117" w:rsidP="00D06117">
      <w:pPr>
        <w:pStyle w:val="TextoNormal"/>
      </w:pPr>
      <w:r>
        <w:t xml:space="preserve">2. La Sentencia, una vez afirmada la competencia del Tribunal para dirimir el conflicto, incorpora la ratio decidendi en su último párrafo, en el que se apuntan razones diversas cuya incidencia real en la decisión no resulta nítida. Así, junto a “la funcionalidad general del territorio en el entramado de distribución de competencias operado por la Constitución, los Estatutos de Autonomía y demás leyes integradas en el bloque de la constitucionalidad” y el estar “ante la concurrencia de competencias en un mismo espacio físico”, también se traen a colación otras razones como “la falta de recurso a las técnicas de colaboración entre Comunidades Autónomas” o a que “Cataluña venga cumpliendo la función de preservación </w:t>
      </w:r>
      <w:r>
        <w:lastRenderedPageBreak/>
        <w:t>del patrimonio histórico y artístico de España” y a que los bienes sobre los que versa la controversia “están en adecuadas condiciones de conservación en Cataluña”.</w:t>
      </w:r>
    </w:p>
    <w:p w:rsidR="00D06117" w:rsidRDefault="00D06117" w:rsidP="00D06117">
      <w:pPr>
        <w:pStyle w:val="TextoNormal"/>
      </w:pPr>
    </w:p>
    <w:p w:rsidR="00D06117" w:rsidRDefault="00D06117" w:rsidP="00D06117">
      <w:pPr>
        <w:pStyle w:val="TextoNormal"/>
      </w:pPr>
      <w:r>
        <w:t>En cualquier caso, parece que la ratio decidendi estriba en la idea de que el principio de territorialidad avoca a que los bienes controvertidos han de permanecer en la Comunidad Autónoma en la que se actualmente se encuentran. Pero la invocación del principio de territorialidad, sin más aditamento, resulta insuficiente pues, como la propia Sentencia reconoce en su fundamento jurídico 6 “este principio no puede ser interpretado en unos términos que impidan a las instancias autonómicas, en el ejercicio de sus propias competencias, adoptar decisiones cuyas consecuencias puedan proyectarse sobre otros lugares del territorio nacional”.</w:t>
      </w:r>
    </w:p>
    <w:p w:rsidR="00D06117" w:rsidRDefault="00D06117" w:rsidP="00D06117">
      <w:pPr>
        <w:pStyle w:val="TextoNormal"/>
      </w:pPr>
    </w:p>
    <w:p w:rsidR="00D06117" w:rsidRDefault="00D06117" w:rsidP="00D06117">
      <w:pPr>
        <w:pStyle w:val="TextoNormal"/>
      </w:pPr>
      <w:r>
        <w:t>Efectivamente, como recordó la STC 31/2010, de 28 de junio (FJ 63) al resolver sobre la constitucionalidad del art. 115 del Estatuto de Cataluña —referido al alcance territorial y los efectos de las competencias estatutarias—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w:t>
      </w:r>
    </w:p>
    <w:p w:rsidR="00D06117" w:rsidRDefault="00D06117" w:rsidP="00D06117">
      <w:pPr>
        <w:pStyle w:val="TextoNormal"/>
      </w:pPr>
    </w:p>
    <w:p w:rsidR="00D06117" w:rsidRDefault="00D06117" w:rsidP="00D06117">
      <w:pPr>
        <w:pStyle w:val="TextoNormal"/>
      </w:pPr>
      <w:r>
        <w:t>Por tanto, hubiera sido deseable que la decisión del conflicto viniera sustentada en una exposición argumental que, más allá de resolver el concreto destino de los bienes controvertidos, supusiera una verdadera delimitación competencial —como exige el art. 66 LOTC— pues es obvio que si la adopción de medidas de ejecución “encaminadas a recuperar el patrimonio aragonés que se encuentre ubicado fuera del territorio de Aragón” (arts. 71.45 y 22.2 EAAr) tiene como límite constitucional el que los bienes reclamados (“con independencia de cuál sea el origen de los mismos” se dice en el mencionado último párrafo) no se encuentren fuera de su territorio, en tal caso la previsión del Estatuto aragonés deviene en vacía o no tiene otro alcance, al menos respecto de bienes que se encuentren en posesión de instituciones públicas de Cataluña, que el recurso a las técnicas de colaboración entre Comunidades Autónomas.</w:t>
      </w:r>
    </w:p>
    <w:p w:rsidR="00D06117" w:rsidRDefault="00D06117" w:rsidP="00D06117">
      <w:pPr>
        <w:pStyle w:val="TextoNormal"/>
      </w:pPr>
    </w:p>
    <w:p w:rsidR="00D06117" w:rsidRDefault="00D06117" w:rsidP="00D06117">
      <w:pPr>
        <w:pStyle w:val="TextoNormal"/>
      </w:pPr>
      <w:r>
        <w:t>Si, por el contrario, se pretende ceñir el alcance de la Sentencia a los concretos bienes que han provocado la controversia, se estaría reconociendo implícitamente que el Tribunal ha actuado haciendo suya la función que el art. 117.3 de la Constitución atribuye a los Juzgados y Tribunales ordinarios.</w:t>
      </w:r>
    </w:p>
    <w:p w:rsidR="00D06117" w:rsidRDefault="00D06117" w:rsidP="00D06117">
      <w:pPr>
        <w:pStyle w:val="TextoNormal"/>
      </w:pPr>
    </w:p>
    <w:p w:rsidR="00D06117" w:rsidRDefault="00D06117" w:rsidP="00D06117">
      <w:pPr>
        <w:pStyle w:val="TextoNormal"/>
      </w:pPr>
      <w:r>
        <w:t>Madrid, a dieciocho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 w:name="SENTENCIA_2012_7"/>
      <w:r>
        <w:lastRenderedPageBreak/>
        <w:t>SENTENCIA 7/2012, de 18 de enero de 2012</w:t>
      </w:r>
    </w:p>
    <w:bookmarkEnd w:id="1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ECLI:ES:TC:2012:7</w:t>
      </w:r>
    </w:p>
    <w:p w:rsidR="00D06117" w:rsidRDefault="00D06117" w:rsidP="00D06117">
      <w:pPr>
        <w:pStyle w:val="SntesisDescriptiva"/>
      </w:pPr>
    </w:p>
    <w:p w:rsidR="00D06117" w:rsidRDefault="00D06117" w:rsidP="00D06117">
      <w:pPr>
        <w:pStyle w:val="SntesisDescriptiva"/>
      </w:pPr>
      <w:r>
        <w:t>Recurso de inconstitucionalidad 3547-1999. Interpuesto por el Presidente del Gobierno en relación con diversos preceptos de la Ley del Parlamento de Canarias 9/1999, de 13 de mayo, de ordenación del territorio de Canarias.</w:t>
      </w:r>
    </w:p>
    <w:p w:rsidR="00D06117" w:rsidRDefault="00D06117" w:rsidP="00D06117">
      <w:pPr>
        <w:pStyle w:val="SntesisDescriptiva"/>
      </w:pPr>
    </w:p>
    <w:p w:rsidR="00D06117" w:rsidRDefault="00D06117" w:rsidP="00D06117">
      <w:pPr>
        <w:pStyle w:val="SntesisAnaltica"/>
      </w:pPr>
      <w:r>
        <w:t>Competencias en materia de administración de justicia, ordenación del territorio y medio ambiente: atribución de la presidencia de un órgano autonómico a un magistrado de lo contencioso-administrativo vulnerando la competencia estatal sobre administración de justicia; nulidad parcial de los preceptos legales autonómicos que establecen un régimen sancionador no acorde con la normativa básica de protección ambiental.</w:t>
      </w:r>
    </w:p>
    <w:p w:rsidR="00D06117" w:rsidRDefault="00D06117" w:rsidP="00D06117">
      <w:pPr>
        <w:pStyle w:val="SntesisAnaltica"/>
      </w:pPr>
    </w:p>
    <w:p w:rsidR="00D06117" w:rsidRDefault="00D06117" w:rsidP="00D06117">
      <w:pPr>
        <w:pStyle w:val="Extracto"/>
      </w:pPr>
      <w:r>
        <w:t>1.</w:t>
      </w:r>
      <w:r>
        <w:tab/>
        <w:t>El artículo impugnado, en su redacción original, en la medida en que atribuía la Presidencia de la comisión de valoraciones de Canarias a un Magistrado de lo Contencioso-Administrativo, resultaba contrario al orden constitucional de distribución de competencias, porque la regulación de las funciones que hayan de desempeñar los Jueces y Magistrados se incardina en la competencia exclusiva respecto de la “Administración de Justicia” que el art. 149.1.5 CE otorga al Estado (SSTC 150/1998, 127/1999) [FJ 2].</w:t>
      </w:r>
    </w:p>
    <w:p w:rsidR="00D06117" w:rsidRDefault="00D06117" w:rsidP="00D06117">
      <w:pPr>
        <w:pStyle w:val="Extracto"/>
      </w:pPr>
    </w:p>
    <w:p w:rsidR="00D06117" w:rsidRDefault="00D06117" w:rsidP="00D06117">
      <w:pPr>
        <w:pStyle w:val="Extracto"/>
      </w:pPr>
      <w:r>
        <w:t>2.</w:t>
      </w:r>
      <w:r>
        <w:tab/>
        <w:t>El artículo impugnado sobre alteración de las especies de la flora y fauna naturales o de sus hábitats, en cuanto a las sanciones que el mismo prevé, es inconstitucional, si bien la inconstitucionalidad ha de contraerse a las infracciones administrativas que se refieran a las especies de fauna y flora incluidas en la categoría “en peligro de extinción”, así como a la destrucción o deterioro de hábitats, por ser éstos los extremos en los que, coincidiendo con las infracciones previstas en la normativa básica estatal, en la autonómica se produce una reducción de las sanciones previstas en aquella [FJ 6].</w:t>
      </w:r>
    </w:p>
    <w:p w:rsidR="00D06117" w:rsidRDefault="00D06117" w:rsidP="00D06117">
      <w:pPr>
        <w:pStyle w:val="Extracto"/>
      </w:pPr>
    </w:p>
    <w:p w:rsidR="00D06117" w:rsidRDefault="00D06117" w:rsidP="00D06117">
      <w:pPr>
        <w:pStyle w:val="Extracto"/>
      </w:pPr>
      <w:r>
        <w:t>3.</w:t>
      </w:r>
      <w:r>
        <w:tab/>
        <w:t>Los artículos impugnados sobre vertidos de residuos y utilización de productos químicos y sustancias biológicas, en cuanto que, al señalar unas multas de inferior cuantía a la prevista por el legislador básico estatal, rebajan el nivel de protección otorgado por la normativa básica de modo contrario al orden constitucional de distribución de competencias, son inconstitucionales, si bien la inconstitucionalidad ha de contraerse a la sanción de las infracciones en las que concurra el supuesto previsto en el art. 76.2 de la Ley de patrimonio natural y biodiversidad que determina la calificación de la infracción como muy grave [FJ 7].</w:t>
      </w:r>
    </w:p>
    <w:p w:rsidR="00D06117" w:rsidRDefault="00D06117" w:rsidP="00D06117">
      <w:pPr>
        <w:pStyle w:val="Extracto"/>
      </w:pPr>
    </w:p>
    <w:p w:rsidR="00D06117" w:rsidRDefault="00D06117" w:rsidP="00D06117">
      <w:pPr>
        <w:pStyle w:val="Extracto"/>
      </w:pPr>
      <w:r>
        <w:t>4.</w:t>
      </w:r>
      <w:r>
        <w:tab/>
        <w:t xml:space="preserve">Los arts. 76 y 77 de la Ley del patrimonio natural y biodiversidad han de ser considerados básicos ya que el Estado, con la finalidad de garantizar unos mínimos comunes de protección del medio ambiente en todo el territorio nacional, puede </w:t>
      </w:r>
      <w:r>
        <w:lastRenderedPageBreak/>
        <w:t>establecer un catálogo de infracciones sancionables administrativamente que establecen una protección mínima que debe ser común en todo el territorio nacional (SSTC 102/1995, 196/1996) [FJ 4].</w:t>
      </w:r>
    </w:p>
    <w:p w:rsidR="00D06117" w:rsidRDefault="00D06117" w:rsidP="00D06117">
      <w:pPr>
        <w:pStyle w:val="Extracto"/>
      </w:pPr>
    </w:p>
    <w:p w:rsidR="00D06117" w:rsidRDefault="00D06117" w:rsidP="00D06117">
      <w:pPr>
        <w:pStyle w:val="Extracto"/>
      </w:pPr>
      <w:r>
        <w:t>5.</w:t>
      </w:r>
      <w:r>
        <w:tab/>
        <w:t>Doctrina sobre legislación básica en materia de medio ambiente de la STC 166/2002 [FJ 5].</w:t>
      </w:r>
    </w:p>
    <w:p w:rsidR="00D06117" w:rsidRDefault="00D06117" w:rsidP="00D06117">
      <w:pPr>
        <w:pStyle w:val="Extracto"/>
      </w:pPr>
    </w:p>
    <w:p w:rsidR="00D06117" w:rsidRDefault="00D06117" w:rsidP="00D06117">
      <w:pPr>
        <w:pStyle w:val="Extracto"/>
      </w:pPr>
      <w:r>
        <w:t>6.</w:t>
      </w:r>
      <w:r>
        <w:tab/>
        <w:t>No puede apreciarse que la modificación legal del precepto impugnado haya producido desaparición sobrevenida del objeto del recurso porque, tratándose de una controversia puramente competencial, persiste el interés en la determinación de la competencia controvertida [FJ 2].</w:t>
      </w:r>
    </w:p>
    <w:p w:rsidR="00D06117" w:rsidRDefault="00D06117" w:rsidP="00D06117">
      <w:pPr>
        <w:pStyle w:val="Extracto"/>
      </w:pPr>
    </w:p>
    <w:p w:rsidR="00D06117" w:rsidRDefault="00D06117" w:rsidP="00D06117">
      <w:pPr>
        <w:pStyle w:val="Extracto"/>
      </w:pPr>
      <w:r>
        <w:t>7.</w:t>
      </w:r>
      <w:r>
        <w:tab/>
        <w:t>Aplica la doctrina sobre la pérdida de objeto del proceso de la STC 18/2011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3547-1999, interpuesto por el Presidente del Gobierno, representado por el Abogado del Estado, contra los arts. 217; 220.2, salvo el inciso relativo a los vertidos al mar; 224.1 a) y 228.3 a) de la Ley del Parlamento de Canarias 9/1999, de 13 de mayo, de ordenación del territorio de Canarias. Han comparecido y formulado alegaciones el Gobierno y el Parlamento de Canarias, por medio de sus respectivos Letrados. Ha sido Ponente el magistrado don Francisco Pérez de los Cobos Orihuel,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5 de agosto de 1999, el Abogado del Estado, en la representación que legalmente ostenta, interpone recurso de inconstitucionalidad contra los arts. 217; 220.2, salvo el inciso relativo a los vertidos al mar; 224.1 a) y 228.3 a) de la Ley del Parlamento de Canarias 9/1999, de 13 de mayo, de ordenación del territorio de Canarias, publicada en el “Boletín Oficial de Canarias”, núm. 61, de 14 de mayo de 1999. En la demanda se hace invocación expresa del art. 161.2 CE a los efectos de que se acuerde la suspensión de la vigencia y aplicación de los preceptos legales impugnados.</w:t>
      </w:r>
    </w:p>
    <w:p w:rsidR="00D06117" w:rsidRDefault="00D06117" w:rsidP="00D06117">
      <w:pPr>
        <w:pStyle w:val="TextoNormal"/>
      </w:pPr>
    </w:p>
    <w:p w:rsidR="00D06117" w:rsidRDefault="00D06117" w:rsidP="00D06117">
      <w:pPr>
        <w:pStyle w:val="TextoNormal"/>
      </w:pPr>
      <w:r w:rsidRPr="00D06117">
        <w:rPr>
          <w:rStyle w:val="NumeroAFNegritaCaracter"/>
        </w:rPr>
        <w:t>2</w:t>
      </w:r>
      <w:r>
        <w:t>. En síntesis, el Abogado del Estado realiza las siguientes alegaciones:</w:t>
      </w:r>
    </w:p>
    <w:p w:rsidR="00D06117" w:rsidRDefault="00D06117" w:rsidP="00D06117">
      <w:pPr>
        <w:pStyle w:val="TextoNormal"/>
      </w:pPr>
    </w:p>
    <w:p w:rsidR="00D06117" w:rsidRDefault="00D06117" w:rsidP="00D06117">
      <w:pPr>
        <w:pStyle w:val="TextoNormal"/>
      </w:pPr>
      <w:r>
        <w:t>a) Comienza reproduciendo los preceptos impugnados, los cuales disponen lo siguiente.</w:t>
      </w:r>
    </w:p>
    <w:p w:rsidR="00D06117" w:rsidRDefault="00D06117" w:rsidP="00D06117">
      <w:pPr>
        <w:pStyle w:val="TextoNormal"/>
      </w:pPr>
    </w:p>
    <w:p w:rsidR="00D06117" w:rsidRDefault="00D06117" w:rsidP="00D06117">
      <w:pPr>
        <w:pStyle w:val="TextoNormal"/>
      </w:pPr>
      <w:r>
        <w:t xml:space="preserve">Art. 217: </w:t>
      </w:r>
    </w:p>
    <w:p w:rsidR="00D06117" w:rsidRDefault="00D06117" w:rsidP="00D06117">
      <w:pPr>
        <w:pStyle w:val="TextoNormal"/>
      </w:pPr>
    </w:p>
    <w:p w:rsidR="00D06117" w:rsidRDefault="00D06117" w:rsidP="00D06117">
      <w:pPr>
        <w:pStyle w:val="TextoNormal"/>
      </w:pPr>
      <w:r>
        <w:t>“La destrucción o alteración de las especies de la flora y fauna naturales o de sus hábitats, que estuvieran protegidos por la normativa vigente, se sancionarán con multas de 100.000 a 100.000.000 de pesetas. La multa se graduará en función a la mayor o menor trascendencia de la acción sancionada”.</w:t>
      </w:r>
    </w:p>
    <w:p w:rsidR="00D06117" w:rsidRDefault="00D06117" w:rsidP="00D06117">
      <w:pPr>
        <w:pStyle w:val="TextoNormal"/>
      </w:pPr>
    </w:p>
    <w:p w:rsidR="00D06117" w:rsidRDefault="00D06117" w:rsidP="00D06117">
      <w:pPr>
        <w:pStyle w:val="TextoNormal"/>
      </w:pPr>
      <w:r>
        <w:t xml:space="preserve">Art. 220.2: </w:t>
      </w:r>
    </w:p>
    <w:p w:rsidR="00D06117" w:rsidRDefault="00D06117" w:rsidP="00D06117">
      <w:pPr>
        <w:pStyle w:val="TextoNormal"/>
      </w:pPr>
    </w:p>
    <w:p w:rsidR="00D06117" w:rsidRDefault="00D06117" w:rsidP="00D06117">
      <w:pPr>
        <w:pStyle w:val="TextoNormal"/>
      </w:pPr>
      <w:r>
        <w:t>“Si el vertido fuere al mar o alterase las condiciones naturales de un Espacio Natural Protegido o de su zona periférica de protección o le ocasione daños se sancionará con multa de 1.000.000 a 50.000.000 de pesetas.”</w:t>
      </w:r>
    </w:p>
    <w:p w:rsidR="00D06117" w:rsidRDefault="00D06117" w:rsidP="00D06117">
      <w:pPr>
        <w:pStyle w:val="TextoNormal"/>
      </w:pPr>
    </w:p>
    <w:p w:rsidR="00D06117" w:rsidRDefault="00D06117" w:rsidP="00D06117">
      <w:pPr>
        <w:pStyle w:val="TextoNormal"/>
      </w:pPr>
      <w:r>
        <w:t xml:space="preserve">Art. 224.1 a): </w:t>
      </w:r>
    </w:p>
    <w:p w:rsidR="00D06117" w:rsidRDefault="00D06117" w:rsidP="00D06117">
      <w:pPr>
        <w:pStyle w:val="TextoNormal"/>
      </w:pPr>
    </w:p>
    <w:p w:rsidR="00D06117" w:rsidRDefault="00D06117" w:rsidP="00D06117">
      <w:pPr>
        <w:pStyle w:val="TextoNormal"/>
      </w:pPr>
      <w:r>
        <w:t>“Se sancionará con multa de 1.000.001 a 100.000.000 de pesetas:</w:t>
      </w:r>
    </w:p>
    <w:p w:rsidR="00D06117" w:rsidRDefault="00D06117" w:rsidP="00D06117">
      <w:pPr>
        <w:pStyle w:val="TextoNormal"/>
      </w:pPr>
    </w:p>
    <w:p w:rsidR="00D06117" w:rsidRDefault="00D06117" w:rsidP="00D06117">
      <w:pPr>
        <w:pStyle w:val="TextoNormal"/>
      </w:pPr>
      <w:r>
        <w:t>a) La utilización de productos químicos y sustancias biológicas que alteren las condiciones naturales o produzcan daños a los valores objeto de protección.”</w:t>
      </w:r>
    </w:p>
    <w:p w:rsidR="00D06117" w:rsidRDefault="00D06117" w:rsidP="00D06117">
      <w:pPr>
        <w:pStyle w:val="TextoNormal"/>
      </w:pPr>
    </w:p>
    <w:p w:rsidR="00D06117" w:rsidRDefault="00D06117" w:rsidP="00D06117">
      <w:pPr>
        <w:pStyle w:val="TextoNormal"/>
      </w:pPr>
      <w:r>
        <w:t>Art. 228.3 a):</w:t>
      </w:r>
    </w:p>
    <w:p w:rsidR="00D06117" w:rsidRDefault="00D06117" w:rsidP="00D06117">
      <w:pPr>
        <w:pStyle w:val="TextoNormal"/>
      </w:pPr>
    </w:p>
    <w:p w:rsidR="00D06117" w:rsidRDefault="00D06117" w:rsidP="00D06117">
      <w:pPr>
        <w:pStyle w:val="TextoNormal"/>
      </w:pPr>
      <w:r>
        <w:t>“La Comisión de Valoraciones de Canarias se compone de los siguientes miembros: Presidente, que debe ser un Magistrado de las Salas o Juzgados de lo Contencioso-Administrativo del Tribunal Superior de Justicia de Canarias, elegido por dicho Tribunal.”</w:t>
      </w:r>
    </w:p>
    <w:p w:rsidR="00D06117" w:rsidRDefault="00D06117" w:rsidP="00D06117">
      <w:pPr>
        <w:pStyle w:val="TextoNormal"/>
      </w:pPr>
    </w:p>
    <w:p w:rsidR="00D06117" w:rsidRDefault="00D06117" w:rsidP="00D06117">
      <w:pPr>
        <w:pStyle w:val="TextoNormal"/>
      </w:pPr>
      <w:r>
        <w:t>b) A continuación se indica que el recurso se extiende a dos materias perfectamente diferenciadas. De un lado, se impugnan los arts. 217, 220 —salvo el inciso relativo a los vertidos al mar— y 224.1 a) de la Ley del Parlamento de Canarias 9/1999 en la medida en que ignoran el carácter básico de los arts. 38 y 39 de la Ley 4/1989, de 27 de marzo, de conservación de los espacios naturales y de la flora y fauna silvestre (en adelante, LCEN) al sancionar diversas infracciones con cuantías inferiores a las previstas en la mencionada ley estatal, infringiéndose así la doctrina contenida en las SSTC 102/1995, 156/1995 y 16/1997.</w:t>
      </w:r>
    </w:p>
    <w:p w:rsidR="00D06117" w:rsidRDefault="00D06117" w:rsidP="00D06117">
      <w:pPr>
        <w:pStyle w:val="TextoNormal"/>
      </w:pPr>
    </w:p>
    <w:p w:rsidR="00D06117" w:rsidRDefault="00D06117" w:rsidP="00D06117">
      <w:pPr>
        <w:pStyle w:val="TextoNormal"/>
      </w:pPr>
      <w:r>
        <w:t>De otro lado, se impugna el art. 228.3 a) por atribuir a un Magistrado de las Salas de lo Contencioso-Administrativo o de los Juzgados del indicado orden jurisdiccional la presidencia de la comisión de valoraciones de Canarias, invadiéndose así las competencias reservadas al Estado ex art. 149.1.5 CE y contraviniendo la doctrina de las SSTC 150/1998 y 127/1999.</w:t>
      </w:r>
    </w:p>
    <w:p w:rsidR="00D06117" w:rsidRDefault="00D06117" w:rsidP="00D06117">
      <w:pPr>
        <w:pStyle w:val="TextoNormal"/>
      </w:pPr>
    </w:p>
    <w:p w:rsidR="00D06117" w:rsidRDefault="00D06117" w:rsidP="00D06117">
      <w:pPr>
        <w:pStyle w:val="TextoNormal"/>
      </w:pPr>
      <w:r>
        <w:t>c) Por lo que hace al primer motivo de impugnación, el escrito de demanda indica que, en la medida en que los preceptos recurridos establecen unas sanciones pecuniarias sustan</w:t>
      </w:r>
      <w:r>
        <w:lastRenderedPageBreak/>
        <w:t>cialmente inferiores a las previstas para las infracciones en ellos contempladas por la normativa básica estatal en la materia, se trata de una clara vulneración de las competencias que, en relación con la protección del medio ambiente, corresponden al Estado en virtud del art. 149.1.23 CE. Tras señalar la coincidencia existente entre los supuestos tipificados, con carácter de legislación básica, en la LCEN con los de la ley autonómica, así como las diferencias apreciadas en las cuantías mínimas de las sanciones con que tales conductas son castigadas (de 100.000 ó 1.000.000 de pesetas según los casos en la ley impugnada, frente a los 10.000.001 de pesetas en la ley estatal), se recuerda la doctrina constitucional recogida en las SSTC 102/1995, FJ 32; 156/1995, FJ 8; 196/1996, FJ 2 y 16/1997, FJ 2. El Abogado del Estado subraya que las diferencias cuantitativas denunciadas suponen una quiebra de la unidad del régimen sancionador, mínimo y común en materia ambiental, en cuanto disminuyen notablemente la protección administrativo sancionadora que dispensan los arts. 38 y 39 LCEN, incidiendo en una materia de carácter básico y reservada al Estado por el art. 149.1.23 CE. A este respecto se hace invocación expresa de la STC 16/1997, FJ 3.</w:t>
      </w:r>
    </w:p>
    <w:p w:rsidR="00D06117" w:rsidRDefault="00D06117" w:rsidP="00D06117">
      <w:pPr>
        <w:pStyle w:val="TextoNormal"/>
      </w:pPr>
    </w:p>
    <w:p w:rsidR="00D06117" w:rsidRDefault="00D06117" w:rsidP="00D06117">
      <w:pPr>
        <w:pStyle w:val="TextoNormal"/>
      </w:pPr>
      <w:r>
        <w:t>d) En relación con la impugnación del art. 228.3 a), la representación procesal del Estado señala que, si bien desde la perspectiva de los arts. 117.4 y 122.2 CE y 2.2 LOPJ no resulta materialmente inconstitucional la atribución a los Jueces y Magistrados de funciones distintas de la exclusivamente jurisdiccional, importa determinar qué legislador ostenta la competencia para delimitar el ámbito de esas atribuciones extrajudiciales. A este respecto, y tras hacer referencia al art. 149.1.5 CE, se recuerda la doctrina contenida en las SSTC 59/1990, 62/1990 y 158/1992, conforme a la cual, por imperativo del mencionado precepto, la regulación del estatuto y régimen jurídico de los miembros del Poder Judicial es una materia inaccesible a las Comunidades Autónomas. Igualmente, se hace alusión a las SSTC 150/1990 y 127/1999, en las que este Tribunal ha declarado la inconstitucionalidad de las Leyes de las Cortes de Castilla y León 14/1990, de 28 de noviembre, de concentración parcelaria de Castilla y León y del Parlamento de Galicia 13/1989, de 10 de octubre, de montes vecinales en mano común de Galicia, en cuanto atribuían a un miembro del Poder Judicial la presidencia de las comisiones locales de concentración y de los jurados provinciales de clasificación de montes vecinales, respectivamente.</w:t>
      </w:r>
    </w:p>
    <w:p w:rsidR="00D06117" w:rsidRDefault="00D06117" w:rsidP="00D06117">
      <w:pPr>
        <w:pStyle w:val="TextoNormal"/>
      </w:pPr>
    </w:p>
    <w:p w:rsidR="00D06117" w:rsidRDefault="00D06117" w:rsidP="00D06117">
      <w:pPr>
        <w:pStyle w:val="TextoNormal"/>
      </w:pPr>
      <w:r>
        <w:t>En opinión del Abogado del Estado, la fundamentación jurídica recogida en dichas resoluciones es de plena aplicación al presente caso, tanto en lo que se refiere al título competencial exclusivo del Estado, como al argumento, esgrimible de contrario, de que la comisión de valoraciones prevista en la ley del Parlamento de Canarias, es equiparable al jurado provincial de expropiación forzosa. En consecuencia, se sostiene que el legislador autonómico carece de competencia para integrar en dicho órgano a los miembros del Poder Judicial.</w:t>
      </w:r>
    </w:p>
    <w:p w:rsidR="00D06117" w:rsidRDefault="00D06117" w:rsidP="00D06117">
      <w:pPr>
        <w:pStyle w:val="TextoNormal"/>
      </w:pPr>
    </w:p>
    <w:p w:rsidR="00D06117" w:rsidRDefault="00D06117" w:rsidP="00D06117">
      <w:pPr>
        <w:pStyle w:val="TextoNormal"/>
      </w:pPr>
      <w:r>
        <w:t>e) El Abogado del Estado concluye su escrito solicitando la admisión del recurso de inconstitucionalidad y que, previos los trámites procesales legalmente previstos, se dicte en su momento Sentencia por la que se declare la inconstitucionalidad de los arts. 217; 220.2, salvo el inciso relativo a los vertidos al mar; 224.1 a) y 228.3 a) de la Ley del Parlamento de Canarias 9/1999, de 13 de mayo, de ordenación del territorio de Canarias.</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Mediante providencia de 15 de septiembre de 1999, la Sección Primera del Tribunal Constitucional acordó admitir a trámite el recurso de inconstitucionalidad y dar traslado de la demanda y documentos presentados al Congreso de los Diputados y al Senado, así como </w:t>
      </w:r>
      <w:r>
        <w:lastRenderedPageBreak/>
        <w:t>al Gobierno y al Parlamento de Canarias, al objeto de que en el plazo de quince días 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de Canarias.</w:t>
      </w:r>
    </w:p>
    <w:p w:rsidR="00D06117" w:rsidRDefault="00D06117" w:rsidP="00D06117">
      <w:pPr>
        <w:pStyle w:val="TextoNormal"/>
      </w:pPr>
    </w:p>
    <w:p w:rsidR="00D06117" w:rsidRDefault="00D06117" w:rsidP="00D06117">
      <w:pPr>
        <w:pStyle w:val="TextoNormal"/>
      </w:pPr>
      <w:r w:rsidRPr="00D06117">
        <w:rPr>
          <w:rStyle w:val="NumeroAFNegritaCaracter"/>
        </w:rPr>
        <w:t>4</w:t>
      </w:r>
      <w:r>
        <w:t>. El día 23 de septiembre de 1999 se registró en el Tribunal Constitucional un escrito del Presidente del Congreso de los Diputados en el que comunicaba que dicha Cámara no se personaría en el proceso ni formularía alegaciones.</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sendos escritos registrados en este Tribunal Constitucional los días 1 y 5 de octubre de 1999 respectivamente, el Director General del servicio jurídico del Gobierno de Canarias y el Letrado Secretario General del Parlamento de Canarias, en la representación que legalmente ostentan, se personaron en el procedimiento solicitando una prórroga del plazo inicialmente concedido para formular alegaciones. Mediante providencia de 6 de octubre de 1999, de la Sección Primera de este Tribunal Constitucional, se les tuvo por personados y partes, accediéndose, asimismo, a la prórroga en ocho días del plazo inicial.</w:t>
      </w:r>
    </w:p>
    <w:p w:rsidR="00D06117" w:rsidRDefault="00D06117" w:rsidP="00D06117">
      <w:pPr>
        <w:pStyle w:val="TextoNormal"/>
      </w:pPr>
    </w:p>
    <w:p w:rsidR="00D06117" w:rsidRDefault="00D06117" w:rsidP="00D06117">
      <w:pPr>
        <w:pStyle w:val="TextoNormal"/>
      </w:pPr>
      <w:r w:rsidRPr="00D06117">
        <w:rPr>
          <w:rStyle w:val="NumeroAFNegritaCaracter"/>
        </w:rPr>
        <w:t>6</w:t>
      </w:r>
      <w:r>
        <w:t>. La Presidenta del Senado, mediante escrito registrado el 7 de octubre de 1999, comunicó que la Cámara se personaba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Director General del servicio jurídico del Gobierno de Canarias presentó su escrito de alegaciones el día 18 de octubre de 1999. En el mismo, distingue entre los dos grupos de preceptos impugnados.</w:t>
      </w:r>
    </w:p>
    <w:p w:rsidR="00D06117" w:rsidRDefault="00D06117" w:rsidP="00D06117">
      <w:pPr>
        <w:pStyle w:val="TextoNormal"/>
      </w:pPr>
    </w:p>
    <w:p w:rsidR="00D06117" w:rsidRDefault="00D06117" w:rsidP="00D06117">
      <w:pPr>
        <w:pStyle w:val="TextoNormal"/>
      </w:pPr>
      <w:r>
        <w:t>a) Respecto de los arts. 217, 220.2 y 224.1 a) de la Ley del Parlamento de Canarias 9/1999, de 13 de mayo, de ordenación del territorio de Canarias, relativos al ejercicio de la potestad sancionadora por parte del Gobierno de Canarias, señala que se impugnan por su eventual contradicción material con la legislación básica estatal constituida por el art. 38.1, 6 y 7 en relación con el 39.2 todos ellos de la LCEN, contradicción que es negada por la representación procesal del Gobierno de Canarias teniendo en cuenta tres motivos fundamentales: el art. 39.2 de la ley estatal no califica directamente las infracciones previstas en los apartados 1, 6 y 7 del art. 38 como infracciones muy graves, sino que tal calificación deberá ser realizada por el órgano sancionador tomando en cuenta los criterios específicos contenidos en el propio art 39.2 de la Ley 4/1989 relativos al “valor natural y a la importancia del bien protegido”, los cuales funcionan así como parámetros para la calificación de la infracción por parte del operador jurídico.</w:t>
      </w:r>
    </w:p>
    <w:p w:rsidR="00D06117" w:rsidRDefault="00D06117" w:rsidP="00D06117">
      <w:pPr>
        <w:pStyle w:val="TextoNormal"/>
      </w:pPr>
    </w:p>
    <w:p w:rsidR="00D06117" w:rsidRDefault="00D06117" w:rsidP="00D06117">
      <w:pPr>
        <w:pStyle w:val="TextoNormal"/>
      </w:pPr>
      <w:r>
        <w:t>En segundo lugar, indica que las infracciones tipificadas en los preceptos impugnados son más amplias que las previstas en los preceptos estatales, de tal forma que no toda infracción tipificada en la ley canaria sería subsumible en los preceptos estatales y en los que casos en que así fuera la graduación de la sanción a aplicar se situaría en los niveles más altos de la ley canaria que coincidirían con los parámetros de sanción previstos en la LCEN para las infracciones muy graves. Para el resto de los casos señala que, respecto al art. 217 de la Ley del Parlamento de Canarias 9/1999, éste contempla no sólo la destrucción de es</w:t>
      </w:r>
      <w:r>
        <w:lastRenderedPageBreak/>
        <w:t>pecies y sus hábitats, como hace la LCEN sino también la alteración de los mismos y proyecta su protección sobre toda especie protegida por la normativa vigente, concepto también más amplio que el utilizado por el art. 38.6 y 7 de la norma estatal, la cual se refiere únicamente a las especies en peligro de extinción o sensibles a la alteración de su hábitat. Por su parte, las infracciones tipificadas en los arts. 220.2 y 224 de la Ley del Parlamento de Canarias 9/1999, se refieren tanto a los espacios naturales protegidos, único objeto de protección por la LCEN, como a las zonas periféricas de protección y en cuanto a los efectos de la acción, la ley canaria contempla la producción alternativa de dos efectos bien la alteración de las condiciones naturales bien la producción de daños mientras que la LCEN es más restrictiva al exigir la concurrencia conjunta de dos efectos, la alteración de las condiciones de habitabilidad de los espacios naturales con daño para los valores en ellos contenidos.</w:t>
      </w:r>
    </w:p>
    <w:p w:rsidR="00D06117" w:rsidRDefault="00D06117" w:rsidP="00D06117">
      <w:pPr>
        <w:pStyle w:val="TextoNormal"/>
      </w:pPr>
    </w:p>
    <w:p w:rsidR="00D06117" w:rsidRDefault="00D06117" w:rsidP="00D06117">
      <w:pPr>
        <w:pStyle w:val="TextoNormal"/>
      </w:pPr>
      <w:r>
        <w:t>Finalmente, en tercer lugar, se alega que no existe rebaja sensible de la cuantía de las sanciones, pues las divergencias se registran únicamente en el mínimo a aplicar, 100.000 ó 1.000.000 de pesetas en el caso de la norma autonómica, frente a los 10.000.001 de pesetas de la norma estatal, diferencia que se justifica por la mayor amplitud de los tipos infractores previstos por la Ley del Parlamento de Canarias 9/1999 lo que hace que nos hallemos ante una modulación del régimen sancionador establecido en la normativa básica estatal, sin que existan divergencias desproporcionadas respecto a esta última.</w:t>
      </w:r>
    </w:p>
    <w:p w:rsidR="00D06117" w:rsidRDefault="00D06117" w:rsidP="00D06117">
      <w:pPr>
        <w:pStyle w:val="TextoNormal"/>
      </w:pPr>
    </w:p>
    <w:p w:rsidR="00D06117" w:rsidRDefault="00D06117" w:rsidP="00D06117">
      <w:pPr>
        <w:pStyle w:val="TextoNormal"/>
      </w:pPr>
      <w:r>
        <w:t>b) En relación al art. 228.3 a) el Director General del servicio jurídico del Gobierno de Canarias considera que debe tenerse en cuenta que el precepto se limita a aplicar al órgano autonómico un criterio de composición tomado de la legislación estatal sobre expropiación forzosa en aras a dotar a dicho órgano de una naturaleza y un ámbito competencial semejante al previsto por el Estado para los jurados de expropiación, en el entendimiento de que dicho criterio resulta de aplicación a los órganos autonómicos con funciones similares dado que garantiza la imparcialidad y garantía de la legalidad de dicho órgano. Así, el nombramiento de un Magistrado como Presidente en aplicación de este criterio se justifica por un triple motivo: por su designación por un órgano judicial, por las funciones que tiene atribuidas en cuanto presidente y por la especial autoridad que ostenta en su condición de Magistrado, garante de la legalidad del procedimiento y de los derechos de los interesados en el mismo. Asimismo considera que una previsión de este tipo, establecida por la ley estatal y desarrollada en la autonómica, ha de ser considerada una base del régimen jurídico de las Administraciones públicas en el ámbito expropiatorio, dada la naturaleza arbitral del órgano y la incidencia de su composición sobre su modo de actuación y sus efectos respecto a los terceros. En coherencia con tal consideración de base estatal, deducida del art. 32.1 de la Ley de expropiación forzosa de 1954, corresponderá a las Comunidades su desarrollo legislativo, mediante la incorporación de Magistrados en los órganos autonómicos que, en materia de expropiación forzosa y valoración, se constituyan al efecto.</w:t>
      </w:r>
    </w:p>
    <w:p w:rsidR="00D06117" w:rsidRDefault="00D06117" w:rsidP="00D06117">
      <w:pPr>
        <w:pStyle w:val="TextoNormal"/>
      </w:pPr>
    </w:p>
    <w:p w:rsidR="00D06117" w:rsidRDefault="00D06117" w:rsidP="00D06117">
      <w:pPr>
        <w:pStyle w:val="TextoNormal"/>
      </w:pPr>
      <w:r w:rsidRPr="00D06117">
        <w:rPr>
          <w:rStyle w:val="NumeroAFNegritaCaracter"/>
        </w:rPr>
        <w:t>8</w:t>
      </w:r>
      <w:r>
        <w:t>. El Parlamento de Canarias, mediante escrito de 18 de octubre de 1999, se adhirió a las alegaciones formuladas por el Gobierno de Canarias que se han recogido en el antecedente anterior.</w:t>
      </w:r>
    </w:p>
    <w:p w:rsidR="00D06117" w:rsidRDefault="00D06117" w:rsidP="00D06117">
      <w:pPr>
        <w:pStyle w:val="TextoNormal"/>
      </w:pPr>
    </w:p>
    <w:p w:rsidR="00D06117" w:rsidRDefault="00D06117" w:rsidP="00D06117">
      <w:pPr>
        <w:pStyle w:val="TextoNormal"/>
      </w:pPr>
      <w:r w:rsidRPr="00D06117">
        <w:rPr>
          <w:rStyle w:val="NumeroAFNegritaCaracter"/>
        </w:rPr>
        <w:t>9</w:t>
      </w:r>
      <w:r>
        <w:t>. Próximo a finalizar el plazo de los cinco meses que determina el art. 161.2 CE desde que se produjo la suspensión de la vigencia y aplicación de los preceptos impugnados en el recurso de inconstitucionalidad núm. 3547-1999, la Sección Primera de este Tribunal Cons</w:t>
      </w:r>
      <w:r>
        <w:lastRenderedPageBreak/>
        <w:t>titucional acordó, mediante providencia de 10 de diciembre de 1999, oír a las partes personadas en el mismo para que, en el plazo común de cinco días, pudieran alegar lo que estimaren pertinente acerca del mantenimiento o levantamiento de dicha suspensión. Evacuado por las partes el trámite de alegaciones conferido, el Pleno de este Tribunal, por el ATC 25/2000, de 28 de enero, acordó mantener la suspensión de la vigencia de los arts. 217 y 228.3 a) de la Ley de la Comunidad Autónoma de Canarias 9/1999, de 13 de mayo, de ordenación del territorio y, asimismo, mantener la suspensión de la vigencia de los arts. 220. 2, salvo el inciso relativo a los vertidos al mar, y 224.1 a), si bien levantando la suspensión para las referencias a las zonas periféricas de protección efectuadas en estos preceptos.</w:t>
      </w:r>
    </w:p>
    <w:p w:rsidR="00D06117" w:rsidRDefault="00D06117" w:rsidP="00D06117">
      <w:pPr>
        <w:pStyle w:val="TextoNormal"/>
      </w:pPr>
    </w:p>
    <w:p w:rsidR="00D06117" w:rsidRDefault="00D06117" w:rsidP="00D06117">
      <w:pPr>
        <w:pStyle w:val="TextoNormal"/>
      </w:pPr>
      <w:r w:rsidRPr="00D06117">
        <w:rPr>
          <w:rStyle w:val="NumeroAFNegritaCaracter"/>
        </w:rPr>
        <w:t>10</w:t>
      </w:r>
      <w:r>
        <w:t>. El día 29 de junio de 2000 tuvo entrada en el Registro General de este Tribunal Constitucional un escrito del Abogado del Estado en relación con el presente recurso de inconstitucionalidad solicitando la modificación de su objeto. En concreto, se interesaba que en lugar de referirse a los arts. 217; 220.2, salvo el inciso relativo a los vertidos al mar; 224.1 a) y 228.3 a) de la Ley del Parlamento de Canarias 9/1999, de 13 de mayo, de ordenación del territorio de Canarias, este recurso se entienda referido a los mismos preceptos del texto refundido de las Leyes de ordenación del territorio de Canarias y de espacios naturales de Canarias, aprobado por el Decreto Legislativo 1/2000, de 8 de mayo, argumentando que se trata de un texto refundido que se limita a reproducir, manteniendo su numeración, los preceptos en su día impugnados.</w:t>
      </w:r>
    </w:p>
    <w:p w:rsidR="00D06117" w:rsidRDefault="00D06117" w:rsidP="00D06117">
      <w:pPr>
        <w:pStyle w:val="TextoNormal"/>
      </w:pPr>
    </w:p>
    <w:p w:rsidR="00D06117" w:rsidRDefault="00D06117" w:rsidP="00D06117">
      <w:pPr>
        <w:pStyle w:val="TextoNormal"/>
      </w:pPr>
      <w:r w:rsidRPr="00D06117">
        <w:rPr>
          <w:rStyle w:val="NumeroAFNegritaCaracter"/>
        </w:rPr>
        <w:t>11</w:t>
      </w:r>
      <w:r>
        <w:t>. El 11 de julio de 2000 la Sección Primera de este Tribunal Constitucional dictó providencia acordando tener por recibido el escrito del Abogado del Estado antes mencionado y dar traslado del mismo al Parlamento y al Gobierno de Canarias para que, en el plazo común de quince días, alegasen lo que estimasen oportuno sobre la solicitud.</w:t>
      </w:r>
    </w:p>
    <w:p w:rsidR="00D06117" w:rsidRDefault="00D06117" w:rsidP="00D06117">
      <w:pPr>
        <w:pStyle w:val="TextoNormal"/>
      </w:pPr>
    </w:p>
    <w:p w:rsidR="00D06117" w:rsidRDefault="00D06117" w:rsidP="00D06117">
      <w:pPr>
        <w:pStyle w:val="TextoNormal"/>
      </w:pPr>
      <w:r w:rsidRPr="00D06117">
        <w:rPr>
          <w:rStyle w:val="NumeroAFNegritaCaracter"/>
        </w:rPr>
        <w:t>12</w:t>
      </w:r>
      <w:r>
        <w:t>. El día 1 de septiembre de 2000 se registró en este Tribunal Constitucional el escrito del Parlamento de Canarias, que no se opone a lo solicitado por el Abogado del Estado, con la excepción del art. 228.3 a), que atribuía la presidencia de la comisión de valoraciones de Canarias a un Magistrado. Para el órgano parlamentario autonómico el recurso habría perdido aquí su objeto, puesto que dicho precepto ha sido derogado por la Ley del Parlamento de Canarias 2/2000, de 17 de julio, de medidas económicas, en materia de organización y relativas al personal de la Comunidad Autónoma de Canarias y de establecimiento de normas tributarias.</w:t>
      </w:r>
    </w:p>
    <w:p w:rsidR="00D06117" w:rsidRDefault="00D06117" w:rsidP="00D06117">
      <w:pPr>
        <w:pStyle w:val="TextoNormal"/>
      </w:pPr>
    </w:p>
    <w:p w:rsidR="00D06117" w:rsidRDefault="00D06117" w:rsidP="00D06117">
      <w:pPr>
        <w:pStyle w:val="TextoNormal"/>
      </w:pPr>
      <w:r w:rsidRPr="00D06117">
        <w:rPr>
          <w:rStyle w:val="NumeroAFNegritaCaracter"/>
        </w:rPr>
        <w:t>13</w:t>
      </w:r>
      <w:r>
        <w:t>. El escrito de alegaciones del Gobierno de Canarias se presentó en este Tribunal el 4 de septiembre de 2000. En dicho escrito se sostiene básicamente el mismo criterio ya expresado por el Parlamento de Canarias, haciéndose hincapié en la pérdida sobrevenida de objeto por lo que hace al art. 228.3 a), puesto que este precepto ha sido expulsado del ordenamiento jurídico.</w:t>
      </w:r>
    </w:p>
    <w:p w:rsidR="00D06117" w:rsidRDefault="00D06117" w:rsidP="00D06117">
      <w:pPr>
        <w:pStyle w:val="TextoNormal"/>
      </w:pPr>
    </w:p>
    <w:p w:rsidR="00D06117" w:rsidRDefault="00D06117" w:rsidP="00D06117">
      <w:pPr>
        <w:pStyle w:val="TextoNormal"/>
      </w:pPr>
      <w:r w:rsidRPr="00D06117">
        <w:rPr>
          <w:rStyle w:val="NumeroAFNegritaCaracter"/>
        </w:rPr>
        <w:t>14</w:t>
      </w:r>
      <w:r>
        <w:t xml:space="preserve">. El Tribunal Constitucional, por providencia de 3 de octubre de 2000, acordó acceder a lo solicitado por el Abogado del Estado y, en su virtud, entender referido el presente recurso de inconstitucionalidad contra el artículo único del texto refundido de las Leyes de ordenación del territorio de Canarias y de espacios naturales de Canarias, aprobado por Decreto Legislativo 1/2000, de 8 de mayo en la medida en que redacta los artículos 217; 220.2, salvo el inciso relativo a vertidos al mar; 224.1 a) y 228.3 a), siendo dicha redacción idéntica </w:t>
      </w:r>
      <w:r>
        <w:lastRenderedPageBreak/>
        <w:t>a la que se atribuyó a los mismos preceptos por la Ley del Parlamento de Canarias 9/1999, de 13 de mayo, de ordenación del territorio de Canarias, objeto del recurso interpuesto el 5 de agosto de 1999 y admitido a trámite por providencia de 15 de septiembre siguiente. Asimismo acordó que la eficacia de la suspensión de los artículos impugnados, con excepción de las referencias en ellos contenidas a las zonas periféricas de protección, acordada en el ATC 25/2000, de 28 de enero, debía entenderse referida a los artículos 217; 220.2, salvo el inciso relativo a vertidos al mar; 224.1 a) y 228.3 a), del texto refundido de las Leyes de ordenación del territorio de Canarias y de espacios naturales de Canarias, aprobado por Decreto Legislativo 1/2000, de 8 de mayo, así como comunicar tal decisión a los presidentes del Gobierno y del Parlamento de Canarias.</w:t>
      </w:r>
    </w:p>
    <w:p w:rsidR="00D06117" w:rsidRDefault="00D06117" w:rsidP="00D06117">
      <w:pPr>
        <w:pStyle w:val="TextoNormal"/>
      </w:pPr>
    </w:p>
    <w:p w:rsidR="00D06117" w:rsidRDefault="00D06117" w:rsidP="00D06117">
      <w:pPr>
        <w:pStyle w:val="TextoNormal"/>
      </w:pPr>
      <w:r w:rsidRPr="00D06117">
        <w:rPr>
          <w:rStyle w:val="NumeroAFNegritaCaracter"/>
        </w:rPr>
        <w:t>15</w:t>
      </w:r>
      <w:r>
        <w:t>. . Por providencia de 17 de enero de 2012 se señaló para deliberación y votación de la presente Sentencia el día 18 de dicho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Presidente del Gobierno plantea recurso de inconstitucionalidad contra los arts. 217; 220.2, salvo el inciso relativo a los vertidos al mar; 224.1 a) y 228.3 a) de la Ley del Parlamento de Canarias 9/1999, de 13 de mayo, de ordenación del territorio de Canarias, preceptos todos ellos que fueron objeto de refundición manteniéndose su misma redacción y numeración por el Decreto Legislativo 1/2000, de 8 de mayo, que aprueba el texto refundido de las Leyes de ordenación del territorio de Canarias y de espacios naturales de Canarias de forma que, tal y como se ha expuesto en los antecedentes 10 a 14 de la presente resolución, el recurso de inconstitucionalidad ha de entenderse planteado frente a los preceptos contenidos en este texto refundido.</w:t>
      </w:r>
    </w:p>
    <w:p w:rsidR="00D06117" w:rsidRDefault="00D06117" w:rsidP="00D06117">
      <w:pPr>
        <w:pStyle w:val="TextoNormal"/>
      </w:pPr>
    </w:p>
    <w:p w:rsidR="00D06117" w:rsidRDefault="00D06117" w:rsidP="00D06117">
      <w:pPr>
        <w:pStyle w:val="TextoNormal"/>
      </w:pPr>
      <w:r>
        <w:t>La impugnación se extiende a dos materias perfectamente diferenciadas. Por un lado son objeto de recurso los arts. 217; 220.2, salvo el inciso relativo a vertidos al mar y 224.1 a), del texto refundido de las Leyes de ordenación del territorio de Canarias y de espacios naturales de Canarias respecto de los cuales se alega la vulneración de las competencias estatales en materia de legislación básica sobre protección del medio ambiente ex art. 149.1.23 CE, vulneración que se materializaba en la infracción de los arts. 38 y 39 de la entonces vigente Ley 4/1989, de 27 de marzo, de conservación de los espacios naturales y de la flora y fauna silvestre. En segundo término, se impugna el art. 228.3 a) del texto refundido de las Leyes de ordenación del territorio de Canarias y de espacios naturales de Canarias por cuanto en la medida en que atribuye a un Magistrado de las Salas o Juzgados de lo Contencioso-Administrativo del Tribunal Superior de Justicia de Canarias la presidencia de la comisión de valoraciones de Canarias, órgano al que, entre otras, se le atribuye la competencia para la fijación del justiprecio en determinadas expropiaciones vulnera las competencias del Estado en materia de administración de justicia del art. 149.1.5 CE pues únicamente correspondería al Estado la atribución a los Jueces y Magistrados de funciones distintas de la jurisdiccional, careciendo, por tanto, la Comunidad Autónoma de Canarias de competencia para integrar a los miembros del Poder Judicial en la antedicha comisión de valoraciones.</w:t>
      </w:r>
    </w:p>
    <w:p w:rsidR="00D06117" w:rsidRDefault="00D06117" w:rsidP="00D06117">
      <w:pPr>
        <w:pStyle w:val="TextoNormal"/>
      </w:pPr>
    </w:p>
    <w:p w:rsidR="00D06117" w:rsidRDefault="00D06117" w:rsidP="00D06117">
      <w:pPr>
        <w:pStyle w:val="TextoNormal"/>
      </w:pPr>
      <w:r>
        <w:t xml:space="preserve">A ambas argumentaciones se opone el representante del Gobierno de Canarias, oposición a la que se adhiere la representación procesal del Parlamento de esa Comunidad Autónoma. En el caso de los arts. 217; 220.2, salvo el inciso relativo a vertidos al mar, y 224.1 a) del </w:t>
      </w:r>
      <w:r>
        <w:lastRenderedPageBreak/>
        <w:t>texto refundido de las Leyes de ordenación del territorio de Canarias y de espacios naturales de Canarias, se niega la contradicción con la legislación básica estatal señalando que la decisión de calificar como muy graves las conductas previstas por el legislador estatal no se deriva de esa legislación estatal sino que corresponderá al órgano sancionador, aplicando los parámetros contenidos al efecto en la citada legislación. A ello se añade que la tipificación de infracciones prevista en los preceptos impugnados es más amplia que la prevista en los preceptos estatales que se reputan vulnerados y que en los supuestos en que existe coincidencia, la sanción a aplicar se situará en los niveles más altos de la ley canaria, evitándose la vulneración competencial. Por último, se alega que las eventuales discrepancias en las sanciones a imponer, centradas en la atenuación del mínimo a aplicar, no suponen una divergencia desproporcionada respecto de la protección sancionadora otorgada por los preceptos estatales. Por lo que al art. 228.3 a) del texto refundido de las Leyes de ordenación del territorio de Canarias y de espacios naturales de Canarias respecta, su constitucionalidad se defiende alegando que se trata de un precepto de índole organizativa, tomado de la legislación estatal de expropiación forzosa y considerado una base del régimen jurídico de las Administraciones públicas en el ámbito expropiatorio, de tal modo que constituye un mero desarrollo legislativo de las previsiones estatales en la materia.</w:t>
      </w:r>
    </w:p>
    <w:p w:rsidR="00D06117" w:rsidRDefault="00D06117" w:rsidP="00D06117">
      <w:pPr>
        <w:pStyle w:val="TextoNormal"/>
      </w:pPr>
    </w:p>
    <w:p w:rsidR="00D06117" w:rsidRDefault="00D06117" w:rsidP="00D06117">
      <w:pPr>
        <w:pStyle w:val="TextoNormal"/>
      </w:pPr>
      <w:r w:rsidRPr="00D06117">
        <w:rPr>
          <w:rStyle w:val="NumeroAFNegritaCaracter"/>
        </w:rPr>
        <w:t>2</w:t>
      </w:r>
      <w:r>
        <w:t>. Así delimitadas las cuestiones objeto de debate, y por conveniencia de la argumentación, comenzaremos nuestro análisis por el último de los preceptos impugnados, el art. 228.3 a) del texto refundido de las Leyes de ordenación del territorio de Canarias y de espacios naturales de Canarias, el cual en su redacción original y bajo la rúbrica “Comisión de Valoraciones de Canarias” disponía lo siguiente:</w:t>
      </w:r>
    </w:p>
    <w:p w:rsidR="00D06117" w:rsidRDefault="00D06117" w:rsidP="00D06117">
      <w:pPr>
        <w:pStyle w:val="TextoNormal"/>
      </w:pPr>
    </w:p>
    <w:p w:rsidR="00D06117" w:rsidRDefault="00D06117" w:rsidP="00D06117">
      <w:pPr>
        <w:pStyle w:val="TextoNormal"/>
      </w:pPr>
      <w:r>
        <w:t xml:space="preserve">“La Comisión de Valoraciones de Canarias se compone de los siguientes miembros: </w:t>
      </w:r>
    </w:p>
    <w:p w:rsidR="00D06117" w:rsidRDefault="00D06117" w:rsidP="00D06117">
      <w:pPr>
        <w:pStyle w:val="TextoNormal"/>
      </w:pPr>
    </w:p>
    <w:p w:rsidR="00D06117" w:rsidRDefault="00D06117" w:rsidP="00D06117">
      <w:pPr>
        <w:pStyle w:val="TextoNormal"/>
      </w:pPr>
      <w:r>
        <w:t>a) Presidente, que debe ser un Magistrado de las Salas o Juzgados de lo Contencioso-Administrativo del Tribunal Superior de Justicia de Canarias, elegido por dicho Tribunal.”</w:t>
      </w:r>
    </w:p>
    <w:p w:rsidR="00D06117" w:rsidRDefault="00D06117" w:rsidP="00D06117">
      <w:pPr>
        <w:pStyle w:val="TextoNormal"/>
      </w:pPr>
    </w:p>
    <w:p w:rsidR="00D06117" w:rsidRDefault="00D06117" w:rsidP="00D06117">
      <w:pPr>
        <w:pStyle w:val="TextoNormal"/>
      </w:pPr>
      <w:r>
        <w:t>Con posterioridad a la interposición del presente recurso, y tal y como se ha expuesto en los antecedentes, el precepto impugnado ha sido modificado por el art. 7.2 de la Ley del Parlamento de Canarias 2/2000, de 17 de julio, de medidas económicas, en materia de organización y relativas al personal de la Comunidad Autónoma de Canarias y de establecimiento de normas tributarias, de tal forma que la nueva redacción del art. 228.3 a) dispone que el presidente de la comisión de valoraciones será el Director General del servicio jurídico del Gobierno de Canarias, suprimiendo de este modo la atribución de la presidencia de la citada comisión a un Magistrado.</w:t>
      </w:r>
    </w:p>
    <w:p w:rsidR="00D06117" w:rsidRDefault="00D06117" w:rsidP="00D06117">
      <w:pPr>
        <w:pStyle w:val="TextoNormal"/>
      </w:pPr>
    </w:p>
    <w:p w:rsidR="00D06117" w:rsidRDefault="00D06117" w:rsidP="00D06117">
      <w:pPr>
        <w:pStyle w:val="TextoNormal"/>
      </w:pPr>
      <w:r>
        <w:t xml:space="preserve">En consecuencia, a la vista de la modificación sufrida por el precepto impugnado, debemos pronunciarnos acerca de si el reproche de inconstitucionalidad formulado al art. 228.3 a) del texto refundido de las Leyes de ordenación del territorio de Canarias y de espacios naturales de Canarias, ha desaparecido pues en tal caso habría quedando sobrevenidamente sin objeto la controversia suscitada en torno al mismo. Procede recordar ahora que, como recuerda la STC 18/2011, de 3 de marzo, FJ 3, “con respecto a las modificaciones normativas en procesos constitucionales de naturaleza competencial es doctrina reiterada de este Tribunal que la eventual apreciación de la pérdida de objeto del proceso dependerá de la incidencia real que sobre el mismo tenga la derogación, sustitución o modificación de la </w:t>
      </w:r>
      <w:r>
        <w:lastRenderedPageBreak/>
        <w:t>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147/1998, de 2 de julio, FJ 5; 233/1999, de 16 de diciembre, FJ 3; 148/2000, de 1 de junio, FJ 3; 190/2000, de 13 de julio, FJ 2; 223/2000, de 21 de septiembre, FJ 3; 24/2002, de 31 de enero, FJ 4; y 16/2003, de 30 de enero, FJ 2).”</w:t>
      </w:r>
    </w:p>
    <w:p w:rsidR="00D06117" w:rsidRDefault="00D06117" w:rsidP="00D06117">
      <w:pPr>
        <w:pStyle w:val="TextoNormal"/>
      </w:pPr>
    </w:p>
    <w:p w:rsidR="00D06117" w:rsidRDefault="00D06117" w:rsidP="00D06117">
      <w:pPr>
        <w:pStyle w:val="TextoNormal"/>
      </w:pPr>
      <w:r>
        <w:t>Aplicada la doctrina expuesta al presente caso resulta que no puede apreciarse que la aludida modificación legal haya hecho perder su objeto al recurso en este punto pues el alegato del Abogado del Estado se centra exclusivamente en la vulneración del orden constitucional de distribución de competencias, en concreto las competencias estatales en materia de Administración de justicia ex. art. 149.1.5 CE. Tratándose así de una controversia puramente competencial no puede apreciarse que se haya producido su desaparición sobrevenida pues persiste el interés en la determinación de la competencia controvertida.</w:t>
      </w:r>
    </w:p>
    <w:p w:rsidR="00D06117" w:rsidRDefault="00D06117" w:rsidP="00D06117">
      <w:pPr>
        <w:pStyle w:val="TextoNormal"/>
      </w:pPr>
    </w:p>
    <w:p w:rsidR="00D06117" w:rsidRDefault="00D06117" w:rsidP="00D06117">
      <w:pPr>
        <w:pStyle w:val="TextoNormal"/>
      </w:pPr>
      <w:r>
        <w:t>Señalado lo anterior resulta que la controversia trabada entre las partes ha de reputarse resuelta por la doctrina que este Tribunal estableció en las SSTC 150/1998, de 2 de julio, FJ 2, y 127/1999, de 1 de junio, FJ 2 en las que consideramos que la regulación de las funciones que hayan de desempeñar los Jueces y Magistrados, titulares del Poder Judicial se incardina en la competencia exclusiva respecto de la “Administración de Justicia” del art. 149.1.5 CE de manera que “debe ser el Estado, titular exclusivo de la competencia, quien pondere qué funciones gubernativas pueden realizar aquéllos sin que por tal motivo la exclusividad y la independencia de la función jurisdiccional queden menoscabadas”.</w:t>
      </w:r>
    </w:p>
    <w:p w:rsidR="00D06117" w:rsidRDefault="00D06117" w:rsidP="00D06117">
      <w:pPr>
        <w:pStyle w:val="TextoNormal"/>
      </w:pPr>
    </w:p>
    <w:p w:rsidR="00D06117" w:rsidRDefault="00D06117" w:rsidP="00D06117">
      <w:pPr>
        <w:pStyle w:val="TextoNormal"/>
      </w:pPr>
      <w:r>
        <w:t>En consecuencia no queda sino concluir que el art. 228.3 a) del texto refundido de las Leyes de ordenación del territorio de Canarias y de espacios naturales de Canarias, en su redacción original, resultaba contrario al orden constitucional de distribución de competencias en la medida en que atribuía la Presidencia de la comisión de valoraciones de Canarias a un Magistrado de las Salas o Juzgados de lo Contencioso-Administrativo del Tribunal Superior de Justicia de Canarias.</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relación a los restantes preceptos impugnados, todas las partes intervinientes en este proceso están de acuerdo en la determinación de la materia afectada, la protección del medio ambiente, criterio que hemos de confirmar pues la cuestión en disputa se centra en la delimitación de las competencias estatales y autonómicas relativas al medio ambiente, en particular, en su vertiente sancionadora dado que las discrepancias se producen a la hora de determinar si los preceptos impugnados han infringido o no la legislación aprobada por el Estado con carácter básico y, con ello, el orden competencial. Se plantea así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 Conforme a nuestra reiterada doctrina (por todas, STC 113/2010, de 24 de noviembre, FJ 2),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w:t>
      </w:r>
      <w:r>
        <w:lastRenderedPageBreak/>
        <w:t>como, en segundo lugar, que la contradicción entre ambas normas, estatal y autonómica, sea efectiva e insalvable por vía interpretativa.</w:t>
      </w:r>
    </w:p>
    <w:p w:rsidR="00D06117" w:rsidRDefault="00D06117" w:rsidP="00D06117">
      <w:pPr>
        <w:pStyle w:val="TextoNormal"/>
      </w:pPr>
    </w:p>
    <w:p w:rsidR="00D06117" w:rsidRDefault="00D06117" w:rsidP="00D06117">
      <w:pPr>
        <w:pStyle w:val="TextoNormal"/>
      </w:pPr>
      <w:r>
        <w:t>En la realización de ese examen también hemos de tener en cuenta que la normativa estatal que ha de servir como elemento de referencia para el enjuiciamiento de las normas autonómicas ha de ser la vigente en el momento de adoptarse la decisión por parte de este Tribunal. Por esa razón debemos determinar, en primer lugar, cuál sea esta normativa básica, vigente en el momento de la resolución del presente recurso de inconstitucionalidad, que ha de operar, llegado el caso, como parámetro de constitucionalidad de los preceptos autonómicos impugnados. Así, es de advertir que la Ley 4/1989, de 27 de marzo, de conservación de los espacios naturales y de la flora y fauna silvestre, dos de cuyos preceptos se proponían por el Abogado del Estado como parámetro desde el que examinar la constitucionalidad de los impugnados, ha sido derogada en su totalidad por la Ley 42/2007, de 13 de diciembre, de patrimonio natural y biodiversidad. De esta suerte, en la medida en que constituyen la normativa que ha ocupado el lugar de los, en su momento invocados, arts. 38 y 39 de la Ley 4/1989, debemos ahora tener en cuenta en nuestro enjuiciamiento lo dispuesto en los arts. 76, relativo a la tipificación y clasificación de las infracciones, y 77, referente a la clasificación de las sanciones, de la Ley del patrimonio natural y biodiversidad.</w:t>
      </w:r>
    </w:p>
    <w:p w:rsidR="00D06117" w:rsidRDefault="00D06117" w:rsidP="00D06117">
      <w:pPr>
        <w:pStyle w:val="TextoNormal"/>
      </w:pPr>
    </w:p>
    <w:p w:rsidR="00D06117" w:rsidRDefault="00D06117" w:rsidP="00D06117">
      <w:pPr>
        <w:pStyle w:val="TextoNormal"/>
      </w:pPr>
      <w:r w:rsidRPr="00D06117">
        <w:rPr>
          <w:rStyle w:val="NumeroAFNegritaCaracter"/>
        </w:rPr>
        <w:t>4</w:t>
      </w:r>
      <w:r>
        <w:t>. Ambos preceptos han de ser considerados básicos no solamente desde el punto de vista formal que viene determinado por su expresa proclamación como tales en la disposición final segunda de la citada Ley del patrimonio natural y biodiversidad sino porque su carácter materialmente básico se deduce sin dificultad de anteriores pronunciamientos de este Tribunal, en particular, de la STC 102/1995, de 25 de junio, cuyo fundamento jurídico 32, declaró, en lo que aquí importa, el carácter básico y, por ende, la constitucionalidad de las normas de naturaleza administrativo-sancionadora contenidas en los arts. 38 y 39 de la Ley 4/1989 con unos criterios que son perfectamente trasladables a los citados arts. 76 y 77 de la Ley 42/2007. Igualmente procede recordar que con apoyo en la doctrina de la citada STC 102/1995, en las SSTC 156/1995, de 26 de octubre, y 196/1996, de 28 de noviembre, declaró este Tribunal que el Estado, con la finalidad de garantizar unos mínimos comunes de protección del medio ambiente en todo el territorio nacional, puede establecer con carácter básico un catálogo de infracciones —ampliable por el legislador autonómico— sancionables administrativamente que establecen una protección mínima que debe ser común en todo el territorio nacional.</w:t>
      </w:r>
    </w:p>
    <w:p w:rsidR="00D06117" w:rsidRDefault="00D06117" w:rsidP="00D06117">
      <w:pPr>
        <w:pStyle w:val="TextoNormal"/>
      </w:pPr>
    </w:p>
    <w:p w:rsidR="00D06117" w:rsidRDefault="00D06117" w:rsidP="00D06117">
      <w:pPr>
        <w:pStyle w:val="TextoNormal"/>
      </w:pPr>
      <w:r>
        <w:t xml:space="preserve">Así, por lo que respecta al art. 76, el precepto tipifica una serie de infracciones administrativas todas y cada una de las cuales guardan una relación inmediata, directa y unívoca con el medio ambiente sin que el mismo excluya o impida la tipificación de otras conductas por las Comunidades Autónomas mediante normas adicionales y su actividad legiferante en desarrollo de la estatal, posibilidad que deja a salvo desde su principio el precepto en cuestión al hacer referencia, mediante la cláusula “sin perjuicio”, a lo que al respecto disponga la legislación autonómica. Lo propio cabe decir de las sanciones del art. 77 cuya clasificación genérica está necesitada por sí misma de un desarrollo legislativo a cargo de las Comunidades Autónomas siendo una regla mínima, cuya modulación a través de las circunstancias modificativas de la responsabilidad queda en manos de los legisladores y administradores autonómicos para configurarlas en normas y aplicarlas al caso concreto, respectivamente sin que tales límites máximos y mínimos de las sanciones no sólo pueden tener carácter básico (STC 227/1988) sino además que, por lo mismo, “no vacían de contenido la </w:t>
      </w:r>
      <w:r>
        <w:lastRenderedPageBreak/>
        <w:t>competencia legiferante al respecto” de las Comunidades Autónomas (STC 385/1993). Por su parte, al art. 76.2, en punto a la obligada calificación como muy graves de las infracciones tipificadas en la propia ley para el caso de que los daños derivados de las mismas supere ciertos umbrales, le es aplicable cuanto respecto a la calificación por el art. 39.2 de la Ley 4/1989 de las infracciones previstas en el art. 38.1, 6 y 7 como muy graves, ya señalamos en las citadas SSTC 102/1995, FJ 32, y 156/1995, FJ 8, indicando que dicha calificación, que supone que determinadas conductas debían ser siempre consideradas por el legislador autonómico como infracciones muy graves, no rebasa el ámbito de lo básico. Por ello tampoco el art. 76.2 rebasa el ámbito de lo básico en la medida en que constituyen un mínimo modulable por las Comunidades Autónomas a las que también corresponde (art. 7 de la Ley 26/2007, de 23 de octubre, de responsabilidad medioambiental) la evaluación del daño medioambiental derivado de la infracción cometida determinante de la aplicación de la norma estatal.</w:t>
      </w:r>
    </w:p>
    <w:p w:rsidR="00D06117" w:rsidRDefault="00D06117" w:rsidP="00D06117">
      <w:pPr>
        <w:pStyle w:val="TextoNormal"/>
      </w:pPr>
    </w:p>
    <w:p w:rsidR="00D06117" w:rsidRDefault="00D06117" w:rsidP="00D06117">
      <w:pPr>
        <w:pStyle w:val="TextoNormal"/>
      </w:pPr>
      <w:r w:rsidRPr="00D06117">
        <w:rPr>
          <w:rStyle w:val="NumeroAFNegritaCaracter"/>
        </w:rPr>
        <w:t>5</w:t>
      </w:r>
      <w:r>
        <w:t>. Así pues, apreciada la competencia del Estado para dictar legislación básica destinada a la protección del medio ambiente estableciendo un catálogo de infracciones sancionables administrativamente la cuestión se contrae a determinar si los preceptos impugnados contravienen ese mínimo dispuesto en la legislación básica estatal y, en consecuencia, el orden constitucional de distribución de competencias, para lo cual conviene exponer brevemente nuestra doctrina en la materia, sintetizada en el fundamento jurídico 9 de la STC 166/2002, de 18 de septiembre, en los términos siguientes:</w:t>
      </w:r>
    </w:p>
    <w:p w:rsidR="00D06117" w:rsidRDefault="00D06117" w:rsidP="00D06117">
      <w:pPr>
        <w:pStyle w:val="TextoNormal"/>
      </w:pPr>
    </w:p>
    <w:p w:rsidR="00D06117" w:rsidRDefault="00D06117" w:rsidP="00D06117">
      <w:pPr>
        <w:pStyle w:val="TextoNormal"/>
      </w:pPr>
      <w:r>
        <w:t>“Ante todo, como recuerda la STC 16/1997, de 30 de enero (FJ 2), en la STC 102/1995 declaramos el carácter básico de las normas sancionadoras contenidas en los artículos 38 y 39 LCEN. Ahora bien, como señala la STC 196/1996, de 28 de noviembre (FJ 2), en el ámbito del artículo 149.1.23 CE la legislación básica posee la característica técnica de normas mínimas de protección que permiten normas adicionales o un plus de protección, de forma que la legislación básica del Estado no cumple en este caso una función de uniformidad relativa, sino más bien de ordenación mediante mínimos que han de respetarse en todo caso, pero que pueden permitir que cada una de las Comunidades Autónomas, con competencias en la materia, establezca niveles de protección más altos, que no entrarían por sólo eso en contradicción con la normativa básica del Estado sobre protección del medio ambiente, siendo el sentido del texto constitucional el de que las bases estatales son de carácter mínimo y, por tanto, los niveles de protección que establecen pueden ser ampliados o mejorados por la normativa autonómica. En definitiva, la protección concedida por la Ley estatal puede ser ampliada y mejorada por la Ley autonómica; lo que resulta constitucionalmente improcedente es que resulte restringida o disminuida.”</w:t>
      </w:r>
    </w:p>
    <w:p w:rsidR="00D06117" w:rsidRDefault="00D06117" w:rsidP="00D06117">
      <w:pPr>
        <w:pStyle w:val="TextoNormal"/>
      </w:pPr>
    </w:p>
    <w:p w:rsidR="00D06117" w:rsidRDefault="00D06117" w:rsidP="00D06117">
      <w:pPr>
        <w:pStyle w:val="TextoNormal"/>
      </w:pPr>
      <w:r>
        <w:t>De este modo, establecido ya que el Estado dispone de competencias ex art. 149.1.23 CE para establecer unos mínimos tanto desde el punto de vista de las infracciones como el de las sanciones que procedan, mínimos que han de ser respetados por las Comunidades Autónomas en el ejercicio de sus competencias en materia de desarrollo legislativo y ejecución de las bases estatales, el examen de los preceptos impugnados desde la perspectiva de su adecuación al orden de distribución de competencias exigirá valorar si, a partir de la citada coincidencia o similitud en la tipificación de la infracción, efectivamente se produce la reducción de la sanción con respecto a la establecida con carácter básico dado que ello deter</w:t>
      </w:r>
      <w:r>
        <w:lastRenderedPageBreak/>
        <w:t>minará la apreciación de la vulneración competencial señalada por el recurrente en aplicación de la doctrina contenida en las SSTC 156/1995, de 26 de octubre; 16/1997, de 30 de enero y, especialmente, 166/2002, de 18 de septiembre.</w:t>
      </w:r>
    </w:p>
    <w:p w:rsidR="00D06117" w:rsidRDefault="00D06117" w:rsidP="00D06117">
      <w:pPr>
        <w:pStyle w:val="TextoNormal"/>
      </w:pPr>
    </w:p>
    <w:p w:rsidR="00D06117" w:rsidRDefault="00D06117" w:rsidP="00D06117">
      <w:pPr>
        <w:pStyle w:val="TextoNormal"/>
      </w:pPr>
      <w:r w:rsidRPr="00D06117">
        <w:rPr>
          <w:rStyle w:val="NumeroAFNegritaCaracter"/>
        </w:rPr>
        <w:t>6</w:t>
      </w:r>
      <w:r>
        <w:t>. De acuerdo con los criterios de enjuiciamiento que se han expuesto, comenzaremos examinando la infracción tipificada en el art. 217 del texto refundido de las Leyes de ordenación del territorio de Canarias y de espacios naturales de Canarias teniendo en cuenta lo previsto por el legislador básico estatal en el art. 76.1 de la Ley del patrimonio natural y biodiversidad. A tal efecto debemos recordar el contenido del precepto impugnado, el cual, rubricado “Flora, fauna y sus hábitats” tiene el siguiente tenor literal:</w:t>
      </w:r>
    </w:p>
    <w:p w:rsidR="00D06117" w:rsidRDefault="00D06117" w:rsidP="00D06117">
      <w:pPr>
        <w:pStyle w:val="TextoNormal"/>
      </w:pPr>
    </w:p>
    <w:p w:rsidR="00D06117" w:rsidRDefault="00D06117" w:rsidP="00D06117">
      <w:pPr>
        <w:pStyle w:val="TextoNormal"/>
      </w:pPr>
      <w:r>
        <w:t>“La destrucción o alteración de las especies de la flora y fauna naturales o de sus hábitats, que estuvieran protegidos por la normativa vigente, se sancionarán con multas de 100.000 a 100.000.000 de pesetas. La multa se graduará en función a la mayor o menor trascendencia de la acción sancionada.”</w:t>
      </w:r>
    </w:p>
    <w:p w:rsidR="00D06117" w:rsidRDefault="00D06117" w:rsidP="00D06117">
      <w:pPr>
        <w:pStyle w:val="TextoNormal"/>
      </w:pPr>
    </w:p>
    <w:p w:rsidR="00D06117" w:rsidRDefault="00D06117" w:rsidP="00D06117">
      <w:pPr>
        <w:pStyle w:val="TextoNormal"/>
      </w:pPr>
      <w:r>
        <w:t>De la lectura de los preceptos de la ley estatal que hemos de tomar como referencia, los arts. 76 y 77 de la Ley del patrimonio natural y biodiversidad, en relación con el autonómico que acabamos de transcribir, así como del contraste entre unos y otro, se deriva que existe, en el fondo, coincidencia sustancial entre ambos. En ese sentido, en lo relativo a la protección dispensada a la fauna y flora, los apartados b), j) y m) del art. 76.1 de la Ley del patrimonio natural y biodiversidad hacen referencia a especies en peligro de extinción, vulnerables o en régimen de protección especial, en correspondencia con el sistema diseñado en los arts. 53 y 55 de la propia Ley del patrimonio natural y biodiversidad que prevé un listado de especies en régimen de protección especial en el que se singularizan las especies amenazadas distinguiendo en estas últimas entre especies vulnerables y especies en peligro de extinción, mientras que el art. 217 de la norma canaria utiliza la expresión “especies de la flora y fauna naturales que estuvieran protegidos por la normativa vigente”, expresión que es evidente que incluye las categorías a las que acabamos de aludir y resulta coherente con las previsiones de la propia Ley del patrimonio natural y biodiversidad que permiten a las Comunidades Autónomas establecer categorías adicionales a las previstas en la norma estatal (así, arts. 53.4 y 55.3 y 4). Lo propio ocurre con la protección dispensada a los hábitats pues los apartados c), d), e), g), i), k), n) y p) del art. 76.1 de la Ley del patrimonio natural y biodiversidad tipifican como infracción conductas relativas a su destrucción, deterioro o alteración.</w:t>
      </w:r>
    </w:p>
    <w:p w:rsidR="00D06117" w:rsidRDefault="00D06117" w:rsidP="00D06117">
      <w:pPr>
        <w:pStyle w:val="TextoNormal"/>
      </w:pPr>
    </w:p>
    <w:p w:rsidR="00D06117" w:rsidRDefault="00D06117" w:rsidP="00D06117">
      <w:pPr>
        <w:pStyle w:val="TextoNormal"/>
      </w:pPr>
      <w:r>
        <w:t xml:space="preserve">En cuanto a la cuantía de la multa prevista en el art. 217 del texto refundido de las Leyes de ordenación del territorio de Canarias y de espacios naturales de Canarias , aspecto en el que el Abogado del Estado ha centrado sus quejas, la misma oscila de 100.000 a 100 millones de pesetas, en función de la transcendencia de la acción sancionada. En este sentido el art. 76 de la Ley del patrimonio natural y biodiversidad tiene un carácter abierto en lo que respecta a la calificación de las infracciones, si bien dicha ausencia de calificación tiene, como única excepción, la del supuesto previsto en su apartado segundo [“Tendrán en todo caso la consideración de infracciones muy graves las recogidas en los apartados a), b), c), d), e) y f), cuando la valoración de los daños derivados supere los 100.000 euros, y cualquiera de las otras si la valoración de daños supera los 200.000 euros”], supuesto en el cual, conforme al art. 77.1 c), la sanción a imponer será de multa de 200.001 a 2.000.000 de euros, sin perjuicio de que las Comunidades Autónomas puedan aumentar el importe máximo. Por </w:t>
      </w:r>
      <w:r>
        <w:lastRenderedPageBreak/>
        <w:t>ello, a tenor de cuanto venimos exponiendo, resulta que, en los aspectos en los que existe coincidencia entre las infracciones del art. 76.1 en relación con el 76.2 de la Ley del patrimonio natural y biodiversidad con las previstas en el recurrido art. 217 del texto refundido de las Leyes de ordenación del territorio de Canarias y de espacios naturales de Canarias concurriendo además los daños derivados de la infracción a los que se refiere el citado art. 76.2 determinantes de la calificación de la infracción como muy grave, se vulneran las previsiones del artículo 149.1.23 CE. Dicha vulneración se produce por cuanto la norma autonómica fija sanciones inferiores a las previstas por el legislador básico estatal para estos casos tanto en su nivel mínimo, 100.000 pesetas (o 600 euros) frente a los 200.001 euros de la norma estatal, como máximo, 100 millones de pesetas (o 600.000 euros) frente a los 2 millones de euros de la base estatal, rebajando así el nivel de protección determinado por el mismo. Por ello, la notable disparidad de las sanciones previstas en las normas en contraste, determina que debamos considerar inconstitucional el artículo 217 del texto refundido de las Leyes de ordenación del territorio de Canarias y de espacios naturales de Canarias, en cuanto a las sanciones que el mismo prevé, si bien, en coherencia con lo anteriormente expuesto, debemos precisar que la inconstitucionalidad de este precepto ha de contraerse a las infracciones administrativas en las que, concurriendo el supuesto previsto en el art. 76.2 de la Ley del patrimonio natural y biodiversidad, se refieran a las especies de fauna y flora incluidas en la categoría “en peligro de extinción” así como a la destrucción o deterioro de hábitats, esto es, las previstas en los apartados b), c), d) y e) del art. 76.1 de la misma ley, por ser éstos los extremos en los que coinciden las infracciones previstas en la normativa estatal y en la autonómica y se produce la reducción de las sanciones previstas en la normativa básica estatal dado que, conforme con la misma, dichas infracciones habrán de ser consideradas en todo caso como muy graves y sancionadas en consecuencia.</w:t>
      </w:r>
    </w:p>
    <w:p w:rsidR="00D06117" w:rsidRDefault="00D06117" w:rsidP="00D06117">
      <w:pPr>
        <w:pStyle w:val="TextoNormal"/>
      </w:pPr>
    </w:p>
    <w:p w:rsidR="00D06117" w:rsidRDefault="00D06117" w:rsidP="00D06117">
      <w:pPr>
        <w:pStyle w:val="TextoNormal"/>
      </w:pPr>
      <w:r w:rsidRPr="00D06117">
        <w:rPr>
          <w:rStyle w:val="NumeroAFNegritaCaracter"/>
        </w:rPr>
        <w:t>7</w:t>
      </w:r>
      <w:r>
        <w:t>. Los restantes preceptos del texto refundido de las Leyes de ordenación del territorio de Canarias y de espacios naturales de Canarias impugnados por minorar la protección otorgada por el legislador básico estatal son los arts. 220.2, salvo el inciso relativo a los vertidos al mar y 224.1 a), los cuales disponen lo siguiente.</w:t>
      </w:r>
    </w:p>
    <w:p w:rsidR="00D06117" w:rsidRDefault="00D06117" w:rsidP="00D06117">
      <w:pPr>
        <w:pStyle w:val="TextoNormal"/>
      </w:pPr>
    </w:p>
    <w:p w:rsidR="00D06117" w:rsidRDefault="00D06117" w:rsidP="00D06117">
      <w:pPr>
        <w:pStyle w:val="TextoNormal"/>
      </w:pPr>
      <w:r>
        <w:t xml:space="preserve">Art. 220.2, bajo la rúbrica “Vertidos de residuos”: </w:t>
      </w:r>
    </w:p>
    <w:p w:rsidR="00D06117" w:rsidRDefault="00D06117" w:rsidP="00D06117">
      <w:pPr>
        <w:pStyle w:val="TextoNormal"/>
      </w:pPr>
    </w:p>
    <w:p w:rsidR="00D06117" w:rsidRDefault="00D06117" w:rsidP="00D06117">
      <w:pPr>
        <w:pStyle w:val="TextoNormal"/>
      </w:pPr>
      <w:r>
        <w:t>“Si el vertido fuere al mar o alterase las condiciones naturales de un Espacio Natural Protegido o de su zona periférica de protección o le ocasione daños se sancionará con multa de 1.000.000 a 50.000.000 de pesetas.”</w:t>
      </w:r>
    </w:p>
    <w:p w:rsidR="00D06117" w:rsidRDefault="00D06117" w:rsidP="00D06117">
      <w:pPr>
        <w:pStyle w:val="TextoNormal"/>
      </w:pPr>
    </w:p>
    <w:p w:rsidR="00D06117" w:rsidRDefault="00D06117" w:rsidP="00D06117">
      <w:pPr>
        <w:pStyle w:val="TextoNormal"/>
      </w:pPr>
      <w:r>
        <w:t xml:space="preserve">Art. 224.1 a), rubricado “Actos en espacios naturales protegidos o sus zonas periféricas de protección”: </w:t>
      </w:r>
    </w:p>
    <w:p w:rsidR="00D06117" w:rsidRDefault="00D06117" w:rsidP="00D06117">
      <w:pPr>
        <w:pStyle w:val="TextoNormal"/>
      </w:pPr>
    </w:p>
    <w:p w:rsidR="00D06117" w:rsidRDefault="00D06117" w:rsidP="00D06117">
      <w:pPr>
        <w:pStyle w:val="TextoNormal"/>
      </w:pPr>
      <w:r>
        <w:t>“Se sancionará con multa de 1.000.001 a 100.000.000 de pesetas: La utilización de productos químicos y sustancias biológicas que alteren las condiciones naturales o produzcan daños a los valores objeto de protección.”</w:t>
      </w:r>
    </w:p>
    <w:p w:rsidR="00D06117" w:rsidRDefault="00D06117" w:rsidP="00D06117">
      <w:pPr>
        <w:pStyle w:val="TextoNormal"/>
      </w:pPr>
    </w:p>
    <w:p w:rsidR="00D06117" w:rsidRDefault="00D06117" w:rsidP="00D06117">
      <w:pPr>
        <w:pStyle w:val="TextoNormal"/>
      </w:pPr>
      <w:r>
        <w:t>Ambos preceptos han de ser puestos en conexión con el art. 76.1 a) de la Ley del patrimonio natural y biodiversidad el cual, relativo a la tipificación y clasificación de las infracciones, dispone que:</w:t>
      </w:r>
    </w:p>
    <w:p w:rsidR="00D06117" w:rsidRDefault="00D06117" w:rsidP="00D06117">
      <w:pPr>
        <w:pStyle w:val="TextoNormal"/>
      </w:pPr>
    </w:p>
    <w:p w:rsidR="00D06117" w:rsidRDefault="00D06117" w:rsidP="00D06117">
      <w:pPr>
        <w:pStyle w:val="TextoNormal"/>
      </w:pPr>
      <w:r>
        <w:lastRenderedPageBreak/>
        <w:t>“A los efectos de esta Ley, y sin perjuicio de lo que disponga al respecto la legislación autonómica, se considerarán infracciones administrativas:</w:t>
      </w:r>
    </w:p>
    <w:p w:rsidR="00D06117" w:rsidRDefault="00D06117" w:rsidP="00D06117">
      <w:pPr>
        <w:pStyle w:val="TextoNormal"/>
      </w:pPr>
    </w:p>
    <w:p w:rsidR="00D06117" w:rsidRDefault="00D06117" w:rsidP="00D06117">
      <w:pPr>
        <w:pStyle w:val="TextoNormal"/>
      </w:pPr>
      <w:r>
        <w:t>a) La utilización de productos químicos, sustancias biológicas, la realización de vertidos o el derrame de residuos que alteren las condiciones de los ecosistemas con daño para los valores en ellos contenidos.”</w:t>
      </w:r>
    </w:p>
    <w:p w:rsidR="00D06117" w:rsidRDefault="00D06117" w:rsidP="00D06117">
      <w:pPr>
        <w:pStyle w:val="TextoNormal"/>
      </w:pPr>
    </w:p>
    <w:p w:rsidR="00D06117" w:rsidRDefault="00D06117" w:rsidP="00D06117">
      <w:pPr>
        <w:pStyle w:val="TextoNormal"/>
      </w:pPr>
      <w:r>
        <w:t>Para la adecuada solución de la cuestión que nos ocupa consideraremos conjuntamente los dos preceptos autonómicos impugnados dada la identidad existente entre las conductas tipificadas en ambos con la prevista por el precepto estatal. En ese sentido el art. 224.1 a) se refiere a “la utilización de productos químicos y sustancias biológicas” mientras que el art. 220.1 —al que se remite implícitamente el impugnado 220.2— menciona el “vertido no autorizado de escombros o cualesquiera otros residuos”, circunstancias ambas que son las contempladas por el art. 76.1 a) de la Ley del patrimonio natural y biodiversidad.</w:t>
      </w:r>
    </w:p>
    <w:p w:rsidR="00D06117" w:rsidRDefault="00D06117" w:rsidP="00D06117">
      <w:pPr>
        <w:pStyle w:val="TextoNormal"/>
      </w:pPr>
    </w:p>
    <w:p w:rsidR="00D06117" w:rsidRDefault="00D06117" w:rsidP="00D06117">
      <w:pPr>
        <w:pStyle w:val="TextoNormal"/>
      </w:pPr>
      <w:r>
        <w:t>A partir de aquí deberemos analizar los contenidos de ambos preceptos autonómicos para determinar si existe la coincidencia con el art. 76.1 a) en relación con el art. 77 de la Ley del patrimonio natural y biodiversidad a efectos de enjuiciar su adecuación al orden constitucional de distribución de competencias. En este sentido ha de tenerse presente que la norma básica alude, en la determinación del ámbito relevante para la calificación de la acción infractora, coincidente en la norma estatal y en las autonómicas, a los ecosistemas, definidos éstos (art. 3.10 de la Ley del patrimonio natural y biodiversidad) como el “complejo dinámico de comunidades vegetales, animales y de microorganismos y su medio no viviente que interactúan como una comunidad funcional” mientras que, en las normas autonómicas dicho ámbito se restringe a los espacios naturales protegidos y a sus zonas periféricas de protección, tal como los primeros se definen en el art. 48 del texto refundido de las Leyes de ordenación del territorio de Canarias y de espacios naturales de Canarias —precepto que lleva por rúbrica “Protección de espacios naturales y declaración como tales”—. No obstante la antedicha diferencia no resulta ser relevante a los efectos del examen que se nos demanda por cuanto, en el caso del art. 220.2 del texto refundido de las Leyes de ordenación del territorio de Canarias y de espacios naturales de Canarias, el mismo resulta ser una concreción, para los espacios naturales protegidos y su zona periférica de protección, de la genérica prohibición de vertido no autorizado de escombros o cualesquiera otros residuos del art. 220.1 del texto refundido de las Leyes de ordenación del territorio de Canarias y de espacios naturales de Canarias, mientras que, en el caso del art. 224.1 a), tal limitación resulta lógica pues, conforme a su título el art. 224 regula los actos constitutivos de infracción administrativa realizados en espacios naturales protegidos o sus zonas periféricas de protección.</w:t>
      </w:r>
    </w:p>
    <w:p w:rsidR="00D06117" w:rsidRDefault="00D06117" w:rsidP="00D06117">
      <w:pPr>
        <w:pStyle w:val="TextoNormal"/>
      </w:pPr>
    </w:p>
    <w:p w:rsidR="00D06117" w:rsidRDefault="00D06117" w:rsidP="00D06117">
      <w:pPr>
        <w:pStyle w:val="TextoNormal"/>
      </w:pPr>
      <w:r>
        <w:t xml:space="preserve">Para completar el análisis del contenido de los arts. 220.2 y 224.1 a) resta por examinar, a los efectos del presente proceso, la cuestión relativa a la sanción de la conducta tipificada. En esta cuestión ha de tenerse presente que, conforme al ya aludido art. 76.2, la conducta tipificada en el apartado 1 a) de ese mismo art. 76 ha de ser calificada como muy grave [sancionable con multa de 200.001 a 2.000.000 de euros, conforme al art. 77.1 c)] cuando la valoración de los daños derivados de la misma, determinados conforme a lo previsto en la Ley 26/2007, de 23 de octubre, de responsabilidad medioambiental, supere los 100.000 euros. Por ello, es de apreciar una sustancial discordancia entre las cuantías mínimas y máximas de la multa con que sancionan las infracciones por la norma canaria [1 millón de </w:t>
      </w:r>
      <w:r>
        <w:lastRenderedPageBreak/>
        <w:t>pesetas (6.000 euros) y 50 y 100 millones de pesetas (300.000 o 600.000 euros), según el caso, respectivamente] y la prevista en la norma básica para el caso previsto en el art. 76.2 de la Ley del patrimonio natural y biodiversidad y LCEN. Ello conlleva que debamos considerar inconstitucionales en este concreto punto los arts. 220.2, salvo el inciso relativo a los vertidos al mar, y 224.1 a) del texto refundido de las Leyes de ordenación del territorio de Canarias y de espacios naturales de Canarias en cuanto que, al señalar unas multas de inferior cuantía a la prevista por el legislador básico estatal, rebajan el nivel de protección otorgado por la normativa básica de modo contrario al orden constitucional de distribución de competencias. Dicho esto, debemos precisar que, como ya expusimos en relación con el art. 217 del texto refundido de las Leyes de ordenación del territorio de Canarias y de espacios naturales de Canarias, la inconstitucionalidad de este precepto ha de contraerse a la sanción de las infracciones administrativas cometidas en espacios naturales protegidos o en su zona periférica de protección en las que concurra el supuesto previsto en el art. 76.2 de la Ley de patrimonio natural y biodiversidad que determina la calificación de la infracción como muy grave.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parcialmente el recurso de inconstitucionalidad y, en consecuencia, declarar:</w:t>
      </w:r>
    </w:p>
    <w:p w:rsidR="00D06117" w:rsidRDefault="00D06117" w:rsidP="00D06117">
      <w:pPr>
        <w:pStyle w:val="TextoNormal"/>
      </w:pPr>
    </w:p>
    <w:p w:rsidR="00D06117" w:rsidRDefault="00D06117" w:rsidP="00D06117">
      <w:pPr>
        <w:pStyle w:val="TextoNormal"/>
      </w:pPr>
      <w:r>
        <w:t>1º Que el art. 228.3 a) del Decreto Legislativo 1/2000, de 8 de mayo, que aprueba el texto refundido de las Leyes de ordenación del territorio de Canarias y de espacios naturales de Canarias, vulnera las competencias del Estado.</w:t>
      </w:r>
    </w:p>
    <w:p w:rsidR="00D06117" w:rsidRDefault="00D06117" w:rsidP="00D06117">
      <w:pPr>
        <w:pStyle w:val="TextoNormal"/>
      </w:pPr>
    </w:p>
    <w:p w:rsidR="00D06117" w:rsidRDefault="00D06117" w:rsidP="00D06117">
      <w:pPr>
        <w:pStyle w:val="TextoNormal"/>
      </w:pPr>
      <w:r>
        <w:t>2º Que es inconstitucional y nulo el art. 217 del citado texto refundido en cuanto a las cuantías de las multas para las infracciones previstas en el mismo, si bien en los términos establecidos en el fundamento jurídico 6 de esta Sentencia.</w:t>
      </w:r>
    </w:p>
    <w:p w:rsidR="00D06117" w:rsidRDefault="00D06117" w:rsidP="00D06117">
      <w:pPr>
        <w:pStyle w:val="TextoNormal"/>
      </w:pPr>
    </w:p>
    <w:p w:rsidR="00D06117" w:rsidRDefault="00D06117" w:rsidP="00D06117">
      <w:pPr>
        <w:pStyle w:val="TextoNormal"/>
      </w:pPr>
      <w:r>
        <w:t>3º Que son inconstitucionales y nulos los arts. 220.2, salvo el inciso relativo a los vertidos al mar, y 224.1 a) del citado texto refundido en cuanto a las cuantías de las multas para las infracciones previstas en los mismos, si bien en los términos establecidos en el fundamento jurídico 7 de esta Sentencia.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 w:name="SENTENCIA_2012_8"/>
      <w:r>
        <w:lastRenderedPageBreak/>
        <w:t>SENTENCIA 8/2012, de 18 de enero de 2012</w:t>
      </w:r>
    </w:p>
    <w:bookmarkEnd w:id="11"/>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ECLI:ES:TC:2012:8</w:t>
      </w:r>
    </w:p>
    <w:p w:rsidR="00D06117" w:rsidRDefault="00D06117" w:rsidP="00D06117">
      <w:pPr>
        <w:pStyle w:val="SntesisDescriptiva"/>
      </w:pPr>
    </w:p>
    <w:p w:rsidR="00D06117" w:rsidRDefault="00D06117" w:rsidP="00D06117">
      <w:pPr>
        <w:pStyle w:val="SntesisDescriptiva"/>
      </w:pPr>
      <w:r>
        <w:t>Recurso de inconstitucionalidad 2194-2002. Interpuesto por el Presidente del Gobierno en relación con diversos preceptos de la Ley de las Cortes de Castilla-La Mancha, 8/2001, de 28 de junio, para la ordenación de las instalaciones de radiocomunicación en Castilla-La Mancha.</w:t>
      </w:r>
    </w:p>
    <w:p w:rsidR="00D06117" w:rsidRDefault="00D06117" w:rsidP="00D06117">
      <w:pPr>
        <w:pStyle w:val="SntesisDescriptiva"/>
      </w:pPr>
    </w:p>
    <w:p w:rsidR="00D06117" w:rsidRDefault="00D06117" w:rsidP="00D06117">
      <w:pPr>
        <w:pStyle w:val="SntesisAnaltica"/>
      </w:pPr>
      <w:r>
        <w:t>Competencias en materia de telecomunicaciones, control del espacio aéreo, ordenación del territorio, sanidad y protección del medio ambiente, principio de legalidad sancionadora: nulidad de los preceptos legales autonómicos que obligan a los operadores a incorporar las mejoras tecnológicas que vayan apareciendo y contribuyan a reducir los niveles de emisión de los sistemas radiantes y sancionan su incumplimiento; interpretación de preceptos legales.</w:t>
      </w:r>
    </w:p>
    <w:p w:rsidR="00D06117" w:rsidRDefault="00D06117" w:rsidP="00D06117">
      <w:pPr>
        <w:pStyle w:val="SntesisAnaltica"/>
      </w:pPr>
    </w:p>
    <w:p w:rsidR="00D06117" w:rsidRDefault="00D06117" w:rsidP="00D06117">
      <w:pPr>
        <w:pStyle w:val="Extracto"/>
      </w:pPr>
      <w:r>
        <w:t>1.</w:t>
      </w:r>
      <w:r>
        <w:tab/>
        <w:t>Dado el carácter básico de la regulación estatal de los niveles tolerables de emisión radioeléctrica, las Comunidades Autónomas no pueden alterar esos estándares, ni imponer a los operadores una obligación de incorporar nuevas tecnologías para lograr una minimización de las emisiones, no sólo porque resulte contrario a las bases establecidas por el Estado en materia sanitaria, sino también porque se vulnerarían las competencias del Estado en materia de telecomunicaciones [FJ 6].</w:t>
      </w:r>
    </w:p>
    <w:p w:rsidR="00D06117" w:rsidRDefault="00D06117" w:rsidP="00D06117">
      <w:pPr>
        <w:pStyle w:val="Extracto"/>
      </w:pPr>
    </w:p>
    <w:p w:rsidR="00D06117" w:rsidRDefault="00D06117" w:rsidP="00D06117">
      <w:pPr>
        <w:pStyle w:val="Extracto"/>
      </w:pPr>
      <w:r>
        <w:t>2.</w:t>
      </w:r>
      <w:r>
        <w:tab/>
        <w:t xml:space="preserve">La norma estatal que establece los niveles de emisión radioeléctrica, basada en la competencia para establecer las bases en materia de sanidad </w:t>
      </w:r>
      <w:r w:rsidRPr="00D06117">
        <w:rPr>
          <w:i/>
        </w:rPr>
        <w:t>ex</w:t>
      </w:r>
      <w:r>
        <w:t xml:space="preserve"> art. 149.1.16 CE, que sirve de canon de constitucionalidad del precepto autonómico, satisface los requisitos, tanto de orden material como formal, que han de reunir las normas básicas (SSTC 69/1988, 148/2011) [FJ 6].</w:t>
      </w:r>
    </w:p>
    <w:p w:rsidR="00D06117" w:rsidRDefault="00D06117" w:rsidP="00D06117">
      <w:pPr>
        <w:pStyle w:val="Extracto"/>
      </w:pPr>
    </w:p>
    <w:p w:rsidR="00D06117" w:rsidRDefault="00D06117" w:rsidP="00D06117">
      <w:pPr>
        <w:pStyle w:val="Extracto"/>
      </w:pPr>
      <w:r>
        <w:t>3.</w:t>
      </w:r>
      <w:r>
        <w:tab/>
        <w:t>Cumple con las exigencias constitucionales, desde una perspectiva formal, que las normas básicas sean de rango reglamentario siempre que tengan una conexión clara con una norma legal y que la remisión a la norma reglamentaria se justifique por la naturaleza de la materia, justificación que, en el supuesto que ahora nos ocupa, deriva del carácter marcadamente técnico de la regulación (SSTC 148/2011) [FJ 6].</w:t>
      </w:r>
    </w:p>
    <w:p w:rsidR="00D06117" w:rsidRDefault="00D06117" w:rsidP="00D06117">
      <w:pPr>
        <w:pStyle w:val="Extracto"/>
      </w:pPr>
    </w:p>
    <w:p w:rsidR="00D06117" w:rsidRDefault="00D06117" w:rsidP="00D06117">
      <w:pPr>
        <w:pStyle w:val="Extracto"/>
      </w:pPr>
      <w:r>
        <w:t>4.</w:t>
      </w:r>
      <w:r>
        <w:tab/>
        <w:t>Desde una perspectiva material, el carácter básico de las normas garantiza, en todo el territorio del Estado, una normativa común dirigida a asegurar, de manera unitaria y en condiciones de igualdad, los intereses generales a partir de los cuales cada Comunidad Autónoma puede introducir las peculiaridades que estime convenientes, dentro del marco competencial que le asigne su Estatuto (STC 69/1988) [FJ 6].</w:t>
      </w:r>
    </w:p>
    <w:p w:rsidR="00D06117" w:rsidRDefault="00D06117" w:rsidP="00D06117">
      <w:pPr>
        <w:pStyle w:val="Extracto"/>
      </w:pPr>
    </w:p>
    <w:p w:rsidR="00D06117" w:rsidRDefault="00D06117" w:rsidP="00D06117">
      <w:pPr>
        <w:pStyle w:val="Extracto"/>
      </w:pPr>
      <w:r>
        <w:t>5.</w:t>
      </w:r>
      <w:r>
        <w:tab/>
        <w:t xml:space="preserve">Corresponde al Estado la regulación de los niveles de emisión radioeléctrica ya que responde a un claro interés general y ofrece, para todo el ámbito nacional, una </w:t>
      </w:r>
      <w:r>
        <w:lastRenderedPageBreak/>
        <w:t>solución de equilibrio entre la preservación de la protección de la salud y la ordenación del sector de las telecomunicaciones [FJ 6].</w:t>
      </w:r>
    </w:p>
    <w:p w:rsidR="00D06117" w:rsidRDefault="00D06117" w:rsidP="00D06117">
      <w:pPr>
        <w:pStyle w:val="Extracto"/>
      </w:pPr>
    </w:p>
    <w:p w:rsidR="00D06117" w:rsidRDefault="00D06117" w:rsidP="00D06117">
      <w:pPr>
        <w:pStyle w:val="Extracto"/>
      </w:pPr>
      <w:r>
        <w:t>6.</w:t>
      </w:r>
      <w:r>
        <w:tab/>
        <w:t>La omisión de la referencia a las instalaciones de telecomunicaciones afectas al sistema de navegación aérea no es inconstitucional siempre que su silencio no se interprete como inclusión de las instalaciones radioeléctricas necesarias para el funcionamiento de los aeropuertos de interés general o para el control del espacio aéreo español y la seguridad del tránsito y transporte aéreo en el mismo, cuya competencia corresponde al Estado (STC 204/2002) [FJ 5].</w:t>
      </w:r>
    </w:p>
    <w:p w:rsidR="00D06117" w:rsidRDefault="00D06117" w:rsidP="00D06117">
      <w:pPr>
        <w:pStyle w:val="Extracto"/>
      </w:pPr>
    </w:p>
    <w:p w:rsidR="00D06117" w:rsidRDefault="00D06117" w:rsidP="00D06117">
      <w:pPr>
        <w:pStyle w:val="Extracto"/>
      </w:pPr>
      <w:r>
        <w:t>7.</w:t>
      </w:r>
      <w:r>
        <w:tab/>
        <w:t>No es inconstitucional la legislación castellano-manchega que impone la obligación de actualización tecnológica para minimizar el impacto ambiental y visual de las instalaciones radioeléctricas, siempre que sea acorde con el principio de proporcionalidad –que deberá valorarse en función del interés público que se trata de salvaguardar–, no incida en las competencias estatales sobre las características técnicas y explotación de la red, e implique medidas de cooperación entre el Estado y la Comunidad Autónoma [FJ 7].</w:t>
      </w:r>
    </w:p>
    <w:p w:rsidR="00D06117" w:rsidRDefault="00D06117" w:rsidP="00D06117">
      <w:pPr>
        <w:pStyle w:val="Extracto"/>
      </w:pPr>
    </w:p>
    <w:p w:rsidR="00D06117" w:rsidRDefault="00D06117" w:rsidP="00D06117">
      <w:pPr>
        <w:pStyle w:val="Extracto"/>
      </w:pPr>
      <w:r>
        <w:t>8.</w:t>
      </w:r>
      <w:r>
        <w:tab/>
        <w:t>No vulnera la competencia estatal de planificación en materia de telecomunicaciones el sometimiento de los operadores a la presentación de planes territoriales de despliegue de red, que han de proporcionar la información necesaria para que la Comunidad Autónoma pueda realizar un control previo de la conformidad de las previsiones de nuevas instalaciones con la normativa sectorial que haya dictado, en ejercicio de sus competencias, para la preservación de intereses públicos que le están encomendados de forma exclusiva o compartida con el Estado [FJ 8].</w:t>
      </w:r>
    </w:p>
    <w:p w:rsidR="00D06117" w:rsidRDefault="00D06117" w:rsidP="00D06117">
      <w:pPr>
        <w:pStyle w:val="Extracto"/>
      </w:pPr>
    </w:p>
    <w:p w:rsidR="00D06117" w:rsidRDefault="00D06117" w:rsidP="00D06117">
      <w:pPr>
        <w:pStyle w:val="Extracto"/>
      </w:pPr>
      <w:r>
        <w:t>9.</w:t>
      </w:r>
      <w:r>
        <w:tab/>
        <w:t>No cabe apreciar una vulneración de la competencia estatal de telecomunicaciones porque se distorsione u obstaculice la eficacia del derecho de ocupación, que la regulación estatal reconoce a los operadores de telecomunicaciones, ya que este derecho ni es ni puede ser absoluto e incondicionado y la regulación estatal del mismo no puede obviar las competencias que corresponden a las Comunidades Autónomas [FJ 8].</w:t>
      </w:r>
    </w:p>
    <w:p w:rsidR="00D06117" w:rsidRDefault="00D06117" w:rsidP="00D06117">
      <w:pPr>
        <w:pStyle w:val="Extracto"/>
      </w:pPr>
    </w:p>
    <w:p w:rsidR="00D06117" w:rsidRDefault="00D06117" w:rsidP="00D06117">
      <w:pPr>
        <w:pStyle w:val="Extracto"/>
      </w:pPr>
      <w:r>
        <w:t>10.</w:t>
      </w:r>
      <w:r>
        <w:tab/>
        <w:t>El entrecruzamiento competencial obliga a que, en el ejercicio de sus respectivas competencias, Estado y Comunidades Autónomas se mantengan dentro de los límites propios y establezcan una regulación cuidadosamente respetuosa de las esferas de decisión que corresponden a cada instancia territorial, acudiéndose, cuando sea preciso, a fórmulas de cooperación (SSTC 46/2007, 204/2002) [FJ 9].</w:t>
      </w:r>
    </w:p>
    <w:p w:rsidR="00D06117" w:rsidRDefault="00D06117" w:rsidP="00D06117">
      <w:pPr>
        <w:pStyle w:val="Extracto"/>
      </w:pPr>
    </w:p>
    <w:p w:rsidR="00D06117" w:rsidRDefault="00D06117" w:rsidP="00D06117">
      <w:pPr>
        <w:pStyle w:val="Extracto"/>
      </w:pPr>
      <w:r>
        <w:t>11.</w:t>
      </w:r>
      <w:r>
        <w:tab/>
        <w:t>Las Administraciones pueden imponer a los operadores la coubicación y compartición de infraestructuras de telecomunicaciones, correspondiendo al Estado la determinación imperativa de las condiciones del uso compartido a falta de acuerdo entre operadores, con la finalidad de preservar la competencia, debiendo este atender a los contenidos de los informes preceptivos sectoriales, emitidos por las Administraciones competentes, que persiguen la salvaguarda de los intereses públicos cuya tutela tengan encomendados [FJ 9].</w:t>
      </w:r>
    </w:p>
    <w:p w:rsidR="00D06117" w:rsidRDefault="00D06117" w:rsidP="00D06117">
      <w:pPr>
        <w:pStyle w:val="Extracto"/>
      </w:pPr>
    </w:p>
    <w:p w:rsidR="00D06117" w:rsidRDefault="00D06117" w:rsidP="00D06117">
      <w:pPr>
        <w:pStyle w:val="Extracto"/>
      </w:pPr>
      <w:r>
        <w:lastRenderedPageBreak/>
        <w:t>12.</w:t>
      </w:r>
      <w:r>
        <w:tab/>
        <w:t>Es conforme a la distribución constitucional de competencias la regulación autonómica que prevé que la Administración autonómica negocie con todos los operadores para propiciar acuerdos dirigidos a la compartición de infraestructuras, así como que la formalización de tales acuerdos supone la aprobación de los planes territoriales de despliegue de red [FJ 9].</w:t>
      </w:r>
    </w:p>
    <w:p w:rsidR="00D06117" w:rsidRDefault="00D06117" w:rsidP="00D06117">
      <w:pPr>
        <w:pStyle w:val="Extracto"/>
      </w:pPr>
    </w:p>
    <w:p w:rsidR="00D06117" w:rsidRDefault="00D06117" w:rsidP="00D06117">
      <w:pPr>
        <w:pStyle w:val="Extracto"/>
      </w:pPr>
      <w:r>
        <w:t>13.</w:t>
      </w:r>
      <w:r>
        <w:tab/>
        <w:t>No invade las competencias estatales en materia de telecomunicaciones la regulación autonómica que establece que, a falta de acuerdo entre operadores, la Administración autonómica determine en la aprobación de los planes territoriales de despliegue de red, los emplazamientos que los operadores deberán compartir, en atención a los principios de protección de la salud, del medio ambiente y del paisaje, si bien la decisión de utilización compartida del dominio público o de la propiedad privada deberá adoptarse respetando lo dispuesto en la legislación estatal [FJ 9].</w:t>
      </w:r>
    </w:p>
    <w:p w:rsidR="00D06117" w:rsidRDefault="00D06117" w:rsidP="00D06117">
      <w:pPr>
        <w:pStyle w:val="Extracto"/>
      </w:pPr>
    </w:p>
    <w:p w:rsidR="00D06117" w:rsidRDefault="00D06117" w:rsidP="00D06117">
      <w:pPr>
        <w:pStyle w:val="Extracto"/>
      </w:pPr>
      <w:r>
        <w:t>14.</w:t>
      </w:r>
      <w:r>
        <w:tab/>
        <w:t>Doctrina sobre competencias estatales en materia de telecomunicaciones [FFFJ 3, 7].</w:t>
      </w:r>
    </w:p>
    <w:p w:rsidR="00D06117" w:rsidRDefault="00D06117" w:rsidP="00D06117">
      <w:pPr>
        <w:pStyle w:val="Extracto"/>
      </w:pPr>
    </w:p>
    <w:p w:rsidR="00D06117" w:rsidRDefault="00D06117" w:rsidP="00D06117">
      <w:pPr>
        <w:pStyle w:val="Extracto"/>
      </w:pPr>
      <w:r>
        <w:t>15.</w:t>
      </w:r>
      <w:r>
        <w:tab/>
        <w:t>Doctrina sobre la delimitación competencial en los casos de coexistencia de competencias autonómicas en materia de ordenación del territorio y estatales en materia de telecomunicaciones sobre el mismo espacio físico (SSTC 113/1983, 204/2002) [FFJJ 3, 8].</w:t>
      </w:r>
    </w:p>
    <w:p w:rsidR="00D06117" w:rsidRDefault="00D06117" w:rsidP="00D06117">
      <w:pPr>
        <w:pStyle w:val="Extracto"/>
      </w:pPr>
    </w:p>
    <w:p w:rsidR="00D06117" w:rsidRDefault="00D06117" w:rsidP="00D06117">
      <w:pPr>
        <w:pStyle w:val="Extracto"/>
      </w:pPr>
      <w:r>
        <w:t>16.</w:t>
      </w:r>
      <w:r>
        <w:tab/>
        <w:t>Si bien las Comunidades Autónomas pueden adoptar normas sancionadoras cuando tengan competencia sobre la materia sustantiva de que se trate, siempre que se acomoden a las garantías del Derecho administrativo sancionador y no introduzcan divergencias irrazonables y desproporcionadas respecto del régimen jurídico aplicable a otras partes del territorio, en el presente caso debe reputarse inconstitucional el precepto impugnado referente a la infracción por incumplimiento de la obligación de reducción de emisiones radioeléctricas, al carecer la Comunidad Autónoma de competencia para la regulación sustantiva de esta materia [FJ 11].</w:t>
      </w:r>
    </w:p>
    <w:p w:rsidR="00D06117" w:rsidRDefault="00D06117" w:rsidP="00D06117">
      <w:pPr>
        <w:pStyle w:val="Extracto"/>
      </w:pPr>
    </w:p>
    <w:p w:rsidR="00D06117" w:rsidRDefault="00D06117" w:rsidP="00D06117">
      <w:pPr>
        <w:pStyle w:val="Extracto"/>
      </w:pPr>
      <w:r>
        <w:t>17.</w:t>
      </w:r>
      <w:r>
        <w:tab/>
        <w:t>Para integrar competencias concurrentes del Estado y las Comunidad Autónomas sobre el mismo espacio físico se debe acudir a fórmulas de cooperación que busquen optimizar el ejercicio de las competencias, no obstante si esos cauces resultan insuficientes, la decisión final corresponderá al titular de la competencia prevalente (SSTC 18/1982, 204/2002) [FFJJ 3, 8, 9].</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2194-2002 interpuesto por el Presidente del Gobierno, representado por la Abogada del Estado, contra los artículos 2.2; 7; 12.1 párrafos primero, tercero y cuarto, en relación con el artículo 10; 14, y, por conexión, los artículos 19, apartados 2, 3 y 20, apartado 1 de la Ley de las Cortes de Castilla-La Mancha, 8/2001, de 28 de junio, para la ordenación de las instalaciones de radiocomunicación en Castilla-La Mancha. Han comparecido y formulado alegaciones la Junta de Comunidades de Castilla-La Mancha, en representación del Consejo de Gobierno, y las Cortes de Castilla-La Mancha.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de este Tribunal Constitucional el día 10 de abril de 2002, la Abogada del Estado, en nombre del Presidente del Gobierno, interpuso recurso de inconstitucionalidad contra los artículos 2.2; 7; 12.1 párrafos 1, 3 y 4, en relación con el artículo 10; 14; y, por conexión, los artículos 19.2 y 3 y 20.1 de la Ley de las Cortes de Castilla-La Mancha, 8/2001, de 28 de junio, para la ordenación de las instalaciones de radiocomunicación en Castilla-La Mancha (“Diario Oficial de Castilla-La Mancha” de 10 de julio de 2001). En la demanda se hizo expresa invocación de los arts. 161.2 CE y 30 de la Ley Orgánica del Tribunal Constitucional (LOTC), a los efectos de que se acordase la suspensión de la vigencia y aplicación de los preceptos recurridos.</w:t>
      </w:r>
    </w:p>
    <w:p w:rsidR="00D06117" w:rsidRDefault="00D06117" w:rsidP="00D06117">
      <w:pPr>
        <w:pStyle w:val="TextoNormal"/>
      </w:pPr>
    </w:p>
    <w:p w:rsidR="00D06117" w:rsidRDefault="00D06117" w:rsidP="00D06117">
      <w:pPr>
        <w:pStyle w:val="TextoNormal"/>
      </w:pPr>
      <w:r w:rsidRPr="00D06117">
        <w:rPr>
          <w:rStyle w:val="NumeroAFNegritaCaracter"/>
        </w:rPr>
        <w:t>2</w:t>
      </w:r>
      <w:r>
        <w:t>. Los motivos del recurso inconstitucionalidad interpuesto por el Presidente del Gobierno son los que, sucintamente, se recogen a continuación:</w:t>
      </w:r>
    </w:p>
    <w:p w:rsidR="00D06117" w:rsidRDefault="00D06117" w:rsidP="00D06117">
      <w:pPr>
        <w:pStyle w:val="TextoNormal"/>
      </w:pPr>
    </w:p>
    <w:p w:rsidR="00D06117" w:rsidRDefault="00D06117" w:rsidP="00D06117">
      <w:pPr>
        <w:pStyle w:val="TextoNormal"/>
      </w:pPr>
      <w:r>
        <w:t>a) Con carácter preliminar, la demanda justifica el cumplimiento del plazo de interposición del recurso, afirmando que, al haberse hecho uso del procedimiento conciliatorio del art. 33.2 LOTC, es de aplicación el plazo de nueve meses, ya que se han cumplido todos los requisitos procedimentales que impone el mencionado precepto. El acuerdo inicial de la comisión bilateral de cooperación se comunicó por el Ministro de Administraciones públicas al Tribunal Constitucional mediante escrito de 5 de octubre de 2001, que fue registrado en el Tribunal Constitucional el 9 de octubre, publicándose en el “Boletín Oficial del Estado” y en el “Diario Oficial de Castilla-La Mancha” ese mismo día. Se cumplió, pues, con el requisito de notificación al Tribunal y de publicación con anterioridad a la finalización del plazo de tres meses siguientes a la publicación de la Ley de las Cortes de Castilla-La Mancha 8/2001, que tuvo lugar el día 10 de julio de 2001.</w:t>
      </w:r>
    </w:p>
    <w:p w:rsidR="00D06117" w:rsidRDefault="00D06117" w:rsidP="00D06117">
      <w:pPr>
        <w:pStyle w:val="TextoNormal"/>
      </w:pPr>
    </w:p>
    <w:p w:rsidR="00D06117" w:rsidRDefault="00D06117" w:rsidP="00D06117">
      <w:pPr>
        <w:pStyle w:val="TextoNormal"/>
      </w:pPr>
      <w:r>
        <w:t xml:space="preserve">b) Entrando ya en el fondo del asunto, la demanda señala que la ley tiene por objeto “la regulación de las condiciones para el establecimiento y funcionamiento de instalaciones de </w:t>
      </w:r>
      <w:r>
        <w:lastRenderedPageBreak/>
        <w:t>radiocomunicación, sus elementos y equipos, a fin de que su implantación no tenga efectos negativos para la salud de las personas y produzca el mínimo impacto sobre el medio ambiente desde el punto de vista espacial y visual” y afirma que la misma excede el marco de la distribución competencial que establece el artículo 149.1.21 CE, ya que éste atribuye al Estado competencia exclusiva en materia de “régimen general de comunicaciones; … correos y telecomunicaciones; cables aéreos, submarinos y radiocomunicación”.</w:t>
      </w:r>
    </w:p>
    <w:p w:rsidR="00D06117" w:rsidRDefault="00D06117" w:rsidP="00D06117">
      <w:pPr>
        <w:pStyle w:val="TextoNormal"/>
      </w:pPr>
    </w:p>
    <w:p w:rsidR="00D06117" w:rsidRDefault="00D06117" w:rsidP="00D06117">
      <w:pPr>
        <w:pStyle w:val="TextoNormal"/>
      </w:pPr>
      <w:r>
        <w:t>La Abogada del Estado destaca, citando doctrina constitucional (STC 169/1993 y 278/1993), que los aspectos relativos a la regulación de los extremos técnicos del espacio electromagnético u ondas radioeléctricas —de dominio público— caen dentro de la materia de radiocomunicación de competencia exclusiva del Estado (art. 149.1.21 CE) a diferencia, por ejemplo, de la regulación de los servicios de difusión que usan ese soporte, como la radio y la televisión, sobre las que, de acuerdo con el art. 149.1.27 CE, cabe competencia compartida entre el Estado y las Comunidades Autónomas. De ahí que la Ley general de telecomunicaciones de 1998 atribuya a la Administración General del Estado las facultades de reglamentación, planificación, administración, gestión, control, inspección y sanción del espectro de frecuencias radioeléctricas.</w:t>
      </w:r>
    </w:p>
    <w:p w:rsidR="00D06117" w:rsidRDefault="00D06117" w:rsidP="00D06117">
      <w:pPr>
        <w:pStyle w:val="TextoNormal"/>
      </w:pPr>
    </w:p>
    <w:p w:rsidR="00D06117" w:rsidRDefault="00D06117" w:rsidP="00D06117">
      <w:pPr>
        <w:pStyle w:val="TextoNormal"/>
      </w:pPr>
      <w:r>
        <w:t>Por ello, considera que, en el ámbito de la radiocomunicación, las competencias de las Comunidades Autónomas se hallan circunscritas a intervenir cuando lo hagan a través de títulos conexos vinculados a ella, en concreto, cuando la implantación de las infraestructuras de las telecomunicaciones incidan sobre el urbanismo, sobre la ordenación territorial o puedan afectar a la salud o al medio ambiente.</w:t>
      </w:r>
    </w:p>
    <w:p w:rsidR="00D06117" w:rsidRDefault="00D06117" w:rsidP="00D06117">
      <w:pPr>
        <w:pStyle w:val="TextoNormal"/>
      </w:pPr>
    </w:p>
    <w:p w:rsidR="00D06117" w:rsidRDefault="00D06117" w:rsidP="00D06117">
      <w:pPr>
        <w:pStyle w:val="TextoNormal"/>
      </w:pPr>
      <w:r>
        <w:t>La Abogada del Estado admite, no obstante, que puede producirse una concurrencia de competencias de diversos entes cuando tales competencias recayendo sobre un mismo espacio físico tienen distintos objetos jurídicos y afirma que así ocurre en el presente caso pues, por un lado, se encuentran las competencias autonómicas de ordenación territorial, protección medio ambiental y salud y, por otro, una competencia sectorial estatal que incide sobre dicho espacio. Sin embargo, tras reconocer la posible concurrencia competencial, considera que debe tenerse presente que, en estos casos, para integrar las competencias concurrentes hay que acudir a fórmulas de cooperación, pero, cuando las mismas fallan, la decisión final sobre el conflicto corresponderá al titular de la competencia prevalente (STC 77/1984) y, en cualquier caso, lo que no puede ocurrir es que el Estado se vea privado de sus competencias exclusivas por la existencia de una competencia, aunque sea también exclusiva, de una Comunidad Autónoma (STC 56/1986).</w:t>
      </w:r>
    </w:p>
    <w:p w:rsidR="00D06117" w:rsidRDefault="00D06117" w:rsidP="00D06117">
      <w:pPr>
        <w:pStyle w:val="TextoNormal"/>
      </w:pPr>
    </w:p>
    <w:p w:rsidR="00D06117" w:rsidRDefault="00D06117" w:rsidP="00D06117">
      <w:pPr>
        <w:pStyle w:val="TextoNormal"/>
      </w:pPr>
      <w:r>
        <w:t>En materia de radiocomunicación, reconoce que las Comunidades Autónomas tienen competencias en materia de ordenación del territorio, medio ambiente y sanidad que les permiten intervenir en el campo de la radiocomunicación, siempre que ello sea sin menoscabar o desplazar el ejercicio de la competencia estatal sobre telecomunicaciones, y concluye que, en todo caso, “es evidente la prevalencia en esta materia de la competencia estatal, pudiéndose llegar a condicionar las competencias autonómicas que concurran con aquéllas”, ya que “debe tenerse en cuenta que la existencia subyacente de un interés general en la materia, interés en el que cabe englobar la organización eficaz del espectro de frecuencias, evitando interferencias perjudiciales entre los sistemas de telecomunicaciones, la seguridad del funcionamiento de las redes, el mantenimiento de su integridad, necesita de un trata</w:t>
      </w:r>
      <w:r>
        <w:lastRenderedPageBreak/>
        <w:t>miento global y unitario, que además requiere la modulación del ejercicio de las competencias autonómicas que se ostenten sobre la ordenación del territorio, urbanismo, protección del medio ambiente o de la salud”.</w:t>
      </w:r>
    </w:p>
    <w:p w:rsidR="00D06117" w:rsidRDefault="00D06117" w:rsidP="00D06117">
      <w:pPr>
        <w:pStyle w:val="TextoNormal"/>
      </w:pPr>
    </w:p>
    <w:p w:rsidR="00D06117" w:rsidRDefault="00D06117" w:rsidP="00D06117">
      <w:pPr>
        <w:pStyle w:val="TextoNormal"/>
      </w:pPr>
      <w:r>
        <w:t>La ley que se recurre —sigue argumentando la Abogada del Estado— ofrece una respuesta jurídica al fenómeno de la radiocomunicación, atendiendo a aspectos técnicos y regulando requisitos, condiciones y obligaciones de tal carácter, por lo que invade la competencia estatal para ordenar de manera exclusiva la radiocomunicación.</w:t>
      </w:r>
    </w:p>
    <w:p w:rsidR="00D06117" w:rsidRDefault="00D06117" w:rsidP="00D06117">
      <w:pPr>
        <w:pStyle w:val="TextoNormal"/>
      </w:pPr>
    </w:p>
    <w:p w:rsidR="00D06117" w:rsidRDefault="00D06117" w:rsidP="00D06117">
      <w:pPr>
        <w:pStyle w:val="TextoNormal"/>
      </w:pPr>
      <w:r>
        <w:t>c) Realizado este análisis general, la Abogada del Estado se adentra en el análisis de la inconstitucionalidad de los preceptos recurridos, comenzando con el art. 2.2.</w:t>
      </w:r>
    </w:p>
    <w:p w:rsidR="00D06117" w:rsidRDefault="00D06117" w:rsidP="00D06117">
      <w:pPr>
        <w:pStyle w:val="TextoNormal"/>
      </w:pPr>
    </w:p>
    <w:p w:rsidR="00D06117" w:rsidRDefault="00D06117" w:rsidP="00D06117">
      <w:pPr>
        <w:pStyle w:val="TextoNormal"/>
      </w:pPr>
      <w:r>
        <w:t>El art. 2.2 de la ley se reputa inconstitucional por cuanto no prevé, como supuesto de exclusión de la aplicación de la misma, las instalaciones radioeléctricas afectas al sistema de navegación aérea que garantizan el control del espacio aéreo español y la seguridad del tránsito y transporte aéreo en el mismo. La Abogada del Estado afirma que, de igual forma que el art. 2.2 de la ley excluye de su ámbito de aplicación los equipos y estaciones de telecomunicación para la defensa nacional, la seguridad pública y protección civil, en razón de la exclusiva competencia del Estado en estos campos, resulta obligado —por concurrir exacto fundamento— excluir de su ámbito las instalaciones radioeléctricas afectas al sistema de navegación aérea. Y argumenta también que la omisión de la exclusión equivale a incluir este tipo de instalaciones en el ámbito de aplicación de la ley autonómica, apoyándose para ello en la doctrina de este Tribunal sobre la relevancia constitucional de las omisiones normativas (con cita de las SSTC 5/1982, de 8 de febrero, FJ 2; 73/1997, de 11 de abril, FJ 4, y 172/1996, de 31 de octubre, FFJJ 2 y 3).</w:t>
      </w:r>
    </w:p>
    <w:p w:rsidR="00D06117" w:rsidRDefault="00D06117" w:rsidP="00D06117">
      <w:pPr>
        <w:pStyle w:val="TextoNormal"/>
      </w:pPr>
    </w:p>
    <w:p w:rsidR="00D06117" w:rsidRDefault="00D06117" w:rsidP="00D06117">
      <w:pPr>
        <w:pStyle w:val="TextoNormal"/>
      </w:pPr>
      <w:r>
        <w:t xml:space="preserve">Esta inclusión implícita de las instalaciones radioeléctricas afectas al sistema de navegación aérea supone, según la Abogada del Estado, una clara vulneración de la competencia reservada al Estado con carácter exclusivo por el art. 149.1.20 CE en materia de “puertos de interés general; aeropuertos de interés general; control del espacio aéreo y transporte aéreo”, pues de acuerdo con este título competencial, es a la Administración General del Estado a la que compete la gestión de los servicios aeronáuticos relacionados con el control del espacio aéreo y con el tránsito y transporte aéreos, así como la delimitación, en los aeropuertos de interés general, de una zona de servicio mediante la aprobación del correspondiente plan director, sin perjuicio de que se recaben los oportunos informes de las Administraciones públicas competentes en materia de ordenación del territorio y urbanismo. Y ello porque “la aplicación de la Ley autonómica a las instalaciones radioeléctricas afectas al sistema de navegación aérea … supone el que dichas instalaciones, así como los aeropuertos de interés general que dependan de su funcionamiento y la propia configuración del sistema de navegación aérea en España, en aquello que dependa de instalaciones ubicadas en el territorio de Castilla-La Mancha, requieran la aprobación de la Comunidad Autónoma, invadiéndose la competencia estatal sobre el control aéreo”; una competencia que, de acuerdo con lo dispuesto en la STC 68/1984 (FJ 7), “conlleva la necesidad de controlar el número, ubicación y características de todo tipo de aeropuertos, sean quienes sean los titulares de las diversas competencias sobre los mismos”. Es más, la regulación de aspectos esenciales del funcionamiento de las comunicaciones radioeléctricas en el espacio aeroportuario es inherente al ejercicio de la competencia estatal en materia de aeropuertos de interés general, y </w:t>
      </w:r>
      <w:r>
        <w:lastRenderedPageBreak/>
        <w:t>precisamente por ello, entre las servidumbres establecidas, de acuerdo con la Ley de navegación aérea de 1960, por el Decreto 584/1972, de 24 de febrero, de servidumbres aeronáuticas, modificado por Decreto 2490/1974, de 9 de agosto, se encuentran las servidumbres de las instalaciones radioeléctricas aeronáuticas, que como aclara el propio Real Decreto son “aquellas que son necesarias para garantizar su correcto funcionamiento, del que depende en gran parte la regularidad del tráfico aéreo”, resultando pues “evidente la íntima conexión entre las competencias enumeradas en el art. 149.1.20 CE y las instalaciones radioeléctricas precisas para garantizar la seguridad del tránsito y transporte aéreo y el control del espacio aéreo español, de forma que necesariamente ha de considerarse que las cuestiones referidas a tales instalaciones radioeléctricas caen dentro de la competencia estatal y, en concreto, la determinación de los lugares y condiciones en que deban ubicarse las instalaciones de radiocomunicación necesarias para la aviación civil es una facultad inherente al ejercicio de las competencias atribuidas al Estado ex art. 149.1.20 CE”.</w:t>
      </w:r>
    </w:p>
    <w:p w:rsidR="00D06117" w:rsidRDefault="00D06117" w:rsidP="00D06117">
      <w:pPr>
        <w:pStyle w:val="TextoNormal"/>
      </w:pPr>
    </w:p>
    <w:p w:rsidR="00D06117" w:rsidRDefault="00D06117" w:rsidP="00D06117">
      <w:pPr>
        <w:pStyle w:val="TextoNormal"/>
      </w:pPr>
      <w:r>
        <w:t>Por otra parte, según la Abogada del Estado, la inconstitucionalidad del art. 2.2 de la ley también deriva de la vulneración del título competencial del art. 149.1.21 CE, pues en ejercicio del mismo el Estado creó, en la Ley general de telecomunicaciones de 1998, un cuadro nacional de atribución de frecuencias para los diferentes tipos de servicios de radiocomunicaciones —que concreta la atribución de bandas, sub-bandas, canales y circuitos radioeléctricos correspondientes, y reservas de parte del espectro para servicios determinados— cuya funcionalidad se vería distorsionada por la aplicación de la ley autonómica a las instalaciones afectas al sistema de navegación aérea sitas en su territorio.</w:t>
      </w:r>
    </w:p>
    <w:p w:rsidR="00D06117" w:rsidRDefault="00D06117" w:rsidP="00D06117">
      <w:pPr>
        <w:pStyle w:val="TextoNormal"/>
      </w:pPr>
    </w:p>
    <w:p w:rsidR="00D06117" w:rsidRDefault="00D06117" w:rsidP="00D06117">
      <w:pPr>
        <w:pStyle w:val="TextoNormal"/>
      </w:pPr>
      <w:r>
        <w:t>d) El artículo 7 de la ley obliga a los operadores a mantener las instalaciones “en las debidas condiciones de seguridad, estabilidad y conservación así como a incorporar las mejoras tecnológicas que vayan apareciendo y contribuyan a reducir los niveles de emisión de los sistemas radiantes y a minimizar el impacto ambiental y visual” y “a revisar las instalaciones anualmente, notificando en el plazo de dos meses a la Consejería la acreditación de dicha revisión” y la Abogada del Estado argumenta que con ello se invade la competencia estatal en materia de telecomunicaciones (art. 149.1.21 CE) en la medida en que, de acuerdo con lo señalado en la STC 168/1993, “la autorización estatal de las inversiones en redes de telecomunicación busca fundamentalmente garantizar que la introducción de nuevas tecnologías no distorsione la prestación de servicios preexistentes, entre otras razones, mediante el mantenimiento de una imprescindible homogeneidad o normalización técnica”. La regulación autonómica vulnera la competencia estatal al configurar unos deberes nuevos para los operadores que distorsionan la necesaria homogeneidad técnica en materia de radiocomunicación, así como las potestades de gestión del espectro radioeléctrico que comprenden el otorgamiento del derecho a su uso, la comprobación de las emisiones radioeléctricas y la inspección y control de las condiciones técnicas de las emisoras (arts. 61 y 65 de la Ley general de telecomunicaciones y STC 26/1982). Y, por otra parte y finalmente, interfiere, también, en las potestades de planificación del espectro radioeléctrico que corresponden al Estado (art. 4 del reglamento de desarrollo de la Ley general de telecomunicaciones aprobado por Orden de 9 de marzo de 2000), entre cuyas finalidades se encuentra la ordenación de su uso atendiendo a características de los emisores tales como el emplazamiento, la emisión y las condiciones de radiación, con la finalidad de impedir que se produzcan interferencias entre unas y otras emisiones del mismo tipo.</w:t>
      </w:r>
    </w:p>
    <w:p w:rsidR="00D06117" w:rsidRDefault="00D06117" w:rsidP="00D06117">
      <w:pPr>
        <w:pStyle w:val="TextoNormal"/>
      </w:pPr>
    </w:p>
    <w:p w:rsidR="00D06117" w:rsidRDefault="00D06117" w:rsidP="00D06117">
      <w:pPr>
        <w:pStyle w:val="TextoNormal"/>
      </w:pPr>
      <w:r>
        <w:lastRenderedPageBreak/>
        <w:t>e) La Abogada del Estado sostiene que el artículo 12.1, párrafos primero, tercero y cuarto, en relación con el artículo 10 de la Ley de las Cortes de Castilla-La Mancha 8/2001, confiere a la Comunidad de Castilla-La Mancha una intervención a través de la previa e indispensable aprobación del Plan territorial de despliegue de red que invade la competencia que corresponde al Estado en virtud de los artículos 61.2 y 62 de la Ley 11/1998, general de telecomunicaciones, para la elaboración y aprobación de los planes de ordenación y utilización del espectro radioeléctrico. Si bien es cierto —reconoce la Abogada del Estado— que el propio artículo 8 del reglamento de la Ley general de telecomunicaciones condiciona la autorización de los emplazamientos de las estaciones fijas al cumplimiento de las disposiciones vigentes en materia de medio ambiente, de ordenación del territorio o cualquier otra que le resulte de aplicación, ello no puede servir para justificar el carácter indispensable que se otorga por el art. 12.1 de la Ley de las Cortes de Castilla-La Mancha 8/2001 a la actuación de la Comunidad Autónoma, sin cuya autorización no es posible llevar a cabo el despliegue de la red ni, en consecuencia, prestar los servicios, “pues ello sería tanto como admitir la existencia de una autorización paralela a la estatal, máxime si se tiene en cuenta la información técnica de la que disfruta la Comunidad Autónoma en atención a la clase de datos que se hallan obligados a facilitar a aquélla los correspondientes operadores, en aplicación del artículo 10 de la Ley 8/2001”.</w:t>
      </w:r>
    </w:p>
    <w:p w:rsidR="00D06117" w:rsidRDefault="00D06117" w:rsidP="00D06117">
      <w:pPr>
        <w:pStyle w:val="TextoNormal"/>
      </w:pPr>
    </w:p>
    <w:p w:rsidR="00D06117" w:rsidRDefault="00D06117" w:rsidP="00D06117">
      <w:pPr>
        <w:pStyle w:val="TextoNormal"/>
      </w:pPr>
      <w:r>
        <w:t>Por otra parte, para la elaboración de los planes territoriales de despliegue de red se solicitan a los operadores datos que no son, según la Abogada del Estado, necesarios para conocer si una instalación de radiocomunicación incide o no negativamente en el entorno autonómico desde un punto de vista medioambiental, sanitario o urbanístico, tales como el “esquema general de la red, indicando los principales nodos y localización de la cabecera, enlaces y posibles alternativas, áreas de cobertura, margen de frecuencias y potencia de emisión, ganancia con respecto a una antena isotrópica, número de porteadores y canales máximos por sector, diagrama de radiación indicando la potencia isotópica radiada equivalente (W) en todas las direcciones, ángulo de elevación del sistema de elevación del sistema radiante, abertura del haz”. Se convierten, así, estos planes virtualmente en instrumentos de planificación y ordenación de telecomunicaciones en sentido estricto, con vulneración de las competencias exclusivas del Estado en materia de radiocomunicación. Y la vulneración es aún más patente, argumenta la Abogada del Estado, “a la vista de la sujeción establecida en el art. 12.1 párrafos primero y tercero de la Ley 8/2001, de la necesaria aprobación del correspondiente Plan territorial de despliegue de red, por un lado, a la autorización de la comisión de redes de radiocomunicación, para la construcción de nuevas instalaciones de radiocomunicación en suelo rústico y, por otro, a la previa de la Administración de la Junta de Comunidades para el otorgamiento de las correspondientes licencias municipales para el establecimiento de dichas instalaciones, procediendo pues la declaración de inconstitucionalidad de ambos preceptos”.</w:t>
      </w:r>
    </w:p>
    <w:p w:rsidR="00D06117" w:rsidRDefault="00D06117" w:rsidP="00D06117">
      <w:pPr>
        <w:pStyle w:val="TextoNormal"/>
      </w:pPr>
    </w:p>
    <w:p w:rsidR="00D06117" w:rsidRDefault="00D06117" w:rsidP="00D06117">
      <w:pPr>
        <w:pStyle w:val="TextoNormal"/>
      </w:pPr>
      <w:r>
        <w:t xml:space="preserve">La Abogada del Estado considera, además, que esta regulación de los planes territoriales de despliegue entra en contradicción con el derecho a la ocupación de los bienes de dominio público que la legislación estatal reconoce a los operadores (art. 44 de la Ley general de telecomunicaciones) pues la actividad de explotación de redes públicas de telecomunicaciones no puede llevarse a cabo de manera efectiva sin la ocupación de los distintos suelos y, por ello, el artículo 44.3 de la misma ley vincula los diferentes instrumentos de planificación territorial o urbanística con la obligación de recoger las necesidades de establecimiento de las redes públicas que se estimen en los informes del Ministerio de Fomento que se prevén </w:t>
      </w:r>
      <w:r>
        <w:lastRenderedPageBreak/>
        <w:t>en el artículo y que tienen carácter vinculante, por lo que “los instrumentos de planeamiento deberán estar hechos de tal forma que den satisfacción a las necesidades de establecimiento de redes públicas de telecomunicaciones previstas en el informe, obligación ésta de los instrumentos de planificación territorial que se encuentra absolutamente ignorada en los artículos recurridos”.</w:t>
      </w:r>
    </w:p>
    <w:p w:rsidR="00D06117" w:rsidRDefault="00D06117" w:rsidP="00D06117">
      <w:pPr>
        <w:pStyle w:val="TextoNormal"/>
      </w:pPr>
    </w:p>
    <w:p w:rsidR="00D06117" w:rsidRDefault="00D06117" w:rsidP="00D06117">
      <w:pPr>
        <w:pStyle w:val="TextoNormal"/>
      </w:pPr>
      <w:r>
        <w:t>No discute, no obstante, la Abogada del Estado que la Comunidad Autónoma de Castilla-La Mancha ostenta competencias que le permiten incidir en materia de telecomunicaciones, “resultando pues necesario articular la concurrencia de los títulos competenciales estatal y autonómicos que recaen sobre una misma realidad física, el dominio público radioeléctrico”. Y ello le lleva a afirmar —con cita de las SSTC 113/1983, 77/1984, 103/1989, 149/1999, 13/1992 y 36/1994— que “revisten gran importancia las fórmulas de colaboración … debiendo tenerse en cuenta la procedencia en este supuesto de ejercitar las competencias autonómicas sobre ordenación del territorio, urbanismo, medio ambiente y salud sin menoscabo de la exclusiva del Estado en materia de telecomunicaciones, al hallarse previstas en la legislación estatal vigente en dicha materia actuaciones conjuntas y coordinadas, bien mediante fórmulas procedimentales bien mediante instrumentos de integración de políticas sectoriales, como el planeamiento”.</w:t>
      </w:r>
    </w:p>
    <w:p w:rsidR="00D06117" w:rsidRDefault="00D06117" w:rsidP="00D06117">
      <w:pPr>
        <w:pStyle w:val="TextoNormal"/>
      </w:pPr>
    </w:p>
    <w:p w:rsidR="00D06117" w:rsidRDefault="00D06117" w:rsidP="00D06117">
      <w:pPr>
        <w:pStyle w:val="TextoNormal"/>
      </w:pPr>
      <w:r>
        <w:t>f) El artículo 14 que regula el uso compartido de las infraestructuras es inconstitucional, según argumenta la Abogada del Estado, porque su contenido resulta contrario a la regulación, dictada al amparo del art. 149.1.21 CE, del procedimiento y condiciones para la utilización compartida de bienes de titularidad pública o privada ya contenida en el art. 47 de la Ley general de telecomunicaciones y en los artículos 43 y siguientes del Real Decreto 1736/1998, que, entre otros aspectos, prevén la necesaria intervención al efecto de la Comisión del Mercado de las Telecomunicaciones que es a quien corresponde fijar las condiciones para dicho uso compartido. Concretamente, la Abogada del Estado señala que “mientras que el recurrido art. 14 de la Ley 8/2001 establece que, en el caso de que no se alcanzasen acuerdos con los operadores para compartir las infraestructuras, será la Administración de la Junta de Comunidades quien fijará, en la aprobación de los Planes Territoriales de Despliegue de Red, los emplazamientos que deberán compartir aquéllos, debiendo permitir el alojamiento de antenas de, como mínimo, cuatro operadores, los arts. 47 de la LGT y 49 del Reglamento… preceptúan, para el supuesto de que el acuerdo no fructificase, que cualquiera de los operadores pueda solicitar a la CMT que, en uso de las facultades arbitrales y en defensa de la libre competencia que tiene atribuidas, dicte una resolución vinculante sobre los términos de la discusión”. El precepto recurrido vulnera, pues, la competencia exclusiva del Estado en materia de telecomunicaciones “al restringir el derecho de despliegue de redes de los operadores y asumir la Administración autonómica la función arbitral que corresponde a la CMT para resolver los conflictos que surjan entre operadores de redes y servicios del sector, cuando los interesados así lo acuerden”.</w:t>
      </w:r>
    </w:p>
    <w:p w:rsidR="00D06117" w:rsidRDefault="00D06117" w:rsidP="00D06117">
      <w:pPr>
        <w:pStyle w:val="TextoNormal"/>
      </w:pPr>
    </w:p>
    <w:p w:rsidR="00D06117" w:rsidRDefault="00D06117" w:rsidP="00D06117">
      <w:pPr>
        <w:pStyle w:val="TextoNormal"/>
      </w:pPr>
      <w:r>
        <w:t xml:space="preserve">g) La Abogada del Estado argumenta que son también inconstitucionales los apartados 2 y 3 del art. 19 y el apartado 1 del art. 20 al estar estrechamente vinculados a las competencias sustantivas que atribuye, indebidamente, a la Comunidad Autónoma de Castilla-La Mancha, el art. 7 de la Ley 8/2001. La competencia para la regulación de las infracciones que se tipifican en estos preceptos corresponde necesariamente al Estado, ya que, de acuerdo con la doctrina constitucional (por todas, STC 195/1996), la atribución competencial de la potestad sancionadora ha de efectuarse al que tiene la competencia sobre la materia en que se </w:t>
      </w:r>
      <w:r>
        <w:lastRenderedPageBreak/>
        <w:t>ejerce, de manera que siendo indudable la competencia del Estado en materia de radiocomunicación, cabe afirmar su potestad sancionadora para declarar la concreta existencia de infracciones en la misma y afirma que, de acuerdo con el art. 61.1 de la Ley general de telecomunicaciones, “competen al Estado las facultades para la inspección y control del espectro de frecuencias radioeléctricas” que “comprenden a su vez… las de detección, localización, identificación y eliminación de interferencias perjudiciales, irregularidades y perturbaciones en los sistemas de telecomunicaciones con el inicio, en su caso, del oportuno procedimiento sancionador”. Por ello, el art. 76 de la Ley general de telecomunicaciones prescribe “que será competencia de la Administración General del Estado tanto la aplicación del régimen sancionador como la inspección de los servicios y de las redes de telecomunicaciones, de sus condiciones de prestación, de los equipos, de los aparatos, de las instalaciones y de los sistemas civiles de telecomunicación”.</w:t>
      </w:r>
    </w:p>
    <w:p w:rsidR="00D06117" w:rsidRDefault="00D06117" w:rsidP="00D06117">
      <w:pPr>
        <w:pStyle w:val="TextoNormal"/>
      </w:pPr>
    </w:p>
    <w:p w:rsidR="00D06117" w:rsidRDefault="00D06117" w:rsidP="00D06117">
      <w:pPr>
        <w:pStyle w:val="TextoNormal"/>
      </w:pPr>
      <w:r>
        <w:t>Por último, la Abogada del Estado afirma que la tipificación de estas infracciones en la ley autonómica vulnera, también, el principio de legalidad recogido en el art. 25 CE, pues en la Ley general de telecomunicaciones no se encuentran tipificadas como infracción tales conductas (arts. 79 y 80). La tipificación de las mismas en una norma autonómica afecta al principio de legalidad “que impone, en el ámbito del Derecho estatal sancionador, una doble garantía, material y formal, la primera claramente vulnerada por los preceptos autonómicos recurridos, de alcance absoluto, refleja la especial trascendencia del principio de seguridad jurídica en los ámbitos penal y de las sanciones administrativas y supone la necesidad de predeterminación normativa de las conductas ilícitas y de las sanciones correspondientes mediante preceptos jurídicos que permitan predecir, con suficiente grado de certeza, las conductas que constituyan una infracción y las penas o sanciones aplicables”, entendiendo que también se vulnera la garantía formal “referida al rango necesario de las normas tipificadoras de las infracciones y reguladoras de las sanciones”.</w:t>
      </w:r>
    </w:p>
    <w:p w:rsidR="00D06117" w:rsidRDefault="00D06117" w:rsidP="00D06117">
      <w:pPr>
        <w:pStyle w:val="TextoNormal"/>
      </w:pPr>
    </w:p>
    <w:p w:rsidR="00D06117" w:rsidRDefault="00D06117" w:rsidP="00D06117">
      <w:pPr>
        <w:pStyle w:val="TextoNormal"/>
      </w:pPr>
      <w:r w:rsidRPr="00D06117">
        <w:rPr>
          <w:rStyle w:val="NumeroAFNegritaCaracter"/>
        </w:rPr>
        <w:t>3</w:t>
      </w:r>
      <w:r>
        <w:t>. El Tribunal, por providencia de 7 de mayo de 2002 de la Sección Tercera, acordó admitir a trámite el recurso de inconstitucionalidad y dar traslado de la demanda y documentos presentados, conforme establece el artículo 34 LOTC, al Congreso de los Diputados y al Senado, así como a las Cortes y al Consejo de Gobierno de la Junta de Comunidades de Castilla-La Mancha, por conducto de sus Presidentes, al objeto de que en el plazo de quince días pudieran personarse en el proceso y formular las alegaciones que estimen convenientes. Asimismo, acordó tener por invocado el artículo 161.2 CE, lo que, conforme dispone el art. 30 LOTC, produce la suspensión de la vigencia y aplicación de los preceptos impugnados desde la fecha de interposición del recurso para las partes del proceso, y desde el día en que aparezca publicada en el “Boletín Oficial del Estado” para los terceros. Por último, también se ordenó publicar la incoación del recurso y de la suspensión acordada en el “Boletín Oficial del Estado” y en el “Diario Oficial de Castilla-La Mancha”.</w:t>
      </w:r>
    </w:p>
    <w:p w:rsidR="00D06117" w:rsidRDefault="00D06117" w:rsidP="00D06117">
      <w:pPr>
        <w:pStyle w:val="TextoNormal"/>
      </w:pPr>
    </w:p>
    <w:p w:rsidR="00D06117" w:rsidRDefault="00D06117" w:rsidP="00D06117">
      <w:pPr>
        <w:pStyle w:val="TextoNormal"/>
      </w:pPr>
      <w:r w:rsidRPr="00D06117">
        <w:rPr>
          <w:rStyle w:val="NumeroAFNegritaCaracter"/>
        </w:rPr>
        <w:t>4</w:t>
      </w:r>
      <w:r>
        <w:t>. Por escrito registrado en el Tribunal el 17 de mayo de 2002, la Presidenta del Congreso de los Diputados comunicó el acuerdo de la Mesa de la Cámara de no personarse en el proceso.</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en el Tribunal el 28 de mayo de 2002, se personó el Letrado de las Cortes de Castilla-La Mancha, en representación de dicha Asamblea Legislativa, solicitando prórroga de ocho días del plazo para contestar a la demanda.</w:t>
      </w:r>
    </w:p>
    <w:p w:rsidR="00D06117" w:rsidRDefault="00D06117" w:rsidP="00D06117">
      <w:pPr>
        <w:pStyle w:val="TextoNormal"/>
      </w:pPr>
    </w:p>
    <w:p w:rsidR="00D06117" w:rsidRDefault="00D06117" w:rsidP="00D06117">
      <w:pPr>
        <w:pStyle w:val="TextoNormal"/>
      </w:pPr>
      <w:r>
        <w:t>El Pleno del Tribunal, mediante providencia de 28 de mayo de 2002, acordó incorporar a las actuaciones el escrito presentado por el Letrado de las Cortes de Castilla-La Mancha y prorrogar en ocho días el plazo concedido para la formulación de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en el Tribunal el 31 de mayo de 2002, se personó el Letrado de la Junta de Comunidades de Castilla-La Mancha, en representación del Consejo de Gobierno de la Comunidad Autónoma, interesando la desestimación del recurso interpuesto por las razones que, resumidamente, se exponen a continuación:</w:t>
      </w:r>
    </w:p>
    <w:p w:rsidR="00D06117" w:rsidRDefault="00D06117" w:rsidP="00D06117">
      <w:pPr>
        <w:pStyle w:val="TextoNormal"/>
      </w:pPr>
    </w:p>
    <w:p w:rsidR="00D06117" w:rsidRDefault="00D06117" w:rsidP="00D06117">
      <w:pPr>
        <w:pStyle w:val="TextoNormal"/>
      </w:pPr>
      <w:r>
        <w:t>a) Con carácter previo, el Letrado de la Junta de Comunidades, después de transcribir el contenido del “Informe en relación con la Ley de las Cortes de Castilla-La Mancha 8/2001, de 28 de junio, para la ordenación de las instalaciones de radiocomunicación en Castilla-La Mancha” que el Ministerio de Administraciones Públicas remitió a la Junta de Comunidades de Castilla-La Mancha con la finalidad de dar inicio al procedimiento conciliatorio que antecedió a la interposición del recurso, afirma que en el mismo no se discutió la constitucionalidad del artículo 10.2 de la ley autonómica, por lo que cuando, ahora, “en el escrito de recurso se dice que los datos requeridos por el artículo 10.2 de la Ley se inscriben dentro del título estatal exclusivo de telecomunicaciones, se está rebasando el marco del debate tal y como la propia Administración del Estado lo configuró en su informe de 18 de septiembre de 2001, por lo que el reproche de inconstitucionalidad deviene extemporáneo al introducirse ex novo en el recurso, sin verse, por ello, beneficiado de la ampliación del plazo para formularlo que deriva del artículo 33.2 de la Ley Orgánica del Tribunal Constitucional”.</w:t>
      </w:r>
    </w:p>
    <w:p w:rsidR="00D06117" w:rsidRDefault="00D06117" w:rsidP="00D06117">
      <w:pPr>
        <w:pStyle w:val="TextoNormal"/>
      </w:pPr>
    </w:p>
    <w:p w:rsidR="00D06117" w:rsidRDefault="00D06117" w:rsidP="00D06117">
      <w:pPr>
        <w:pStyle w:val="TextoNormal"/>
      </w:pPr>
      <w:r>
        <w:t>b) Señalado lo anterior, el Letrado de la Junta de Comunidades expone que, tal y como se indica en la exposición de motivos de la Ley de las Cortes de Castilla-La Mancha 8/2001, la regulación que la misma aborda de las infraestructuras de radiocomunicación tiene por finalidad ordenar y planificar la distribución de las mismas en el territorio de la Comunidad Autónoma y prevenir y proteger la salud de la población y minimizar el impacto medioambiental, visual y urbanístico que estas infraestructuras producen, regulando materias de su competencia, como la ordenación del territorio, el urbanismo, la sanidad e higiene, la promoción, prevención y restauración de la salud pública y la protección del medio ambiente (arts. 31.1.2, 32.2 y 32.7 del Estatuto de Autonomía de Castilla-La Mancha, aprobado por la Ley Orgánica 8/1982, de 10 de agosto). Con ello, no se interfiere en la competencia estatal exclusiva en materia de radiocomunicación porque la regulación autonómica incide exclusivamente sobre el terreno, imponiendo limitaciones respecto de la concreta ubicación de las antenas de telefonía móvil, sin que las limitaciones afecten al dominio público radioeléctrico como medio por el que se propagan las ondas radioeléctricas o electromagnéticas.</w:t>
      </w:r>
    </w:p>
    <w:p w:rsidR="00D06117" w:rsidRDefault="00D06117" w:rsidP="00D06117">
      <w:pPr>
        <w:pStyle w:val="TextoNormal"/>
      </w:pPr>
    </w:p>
    <w:p w:rsidR="00D06117" w:rsidRDefault="00D06117" w:rsidP="00D06117">
      <w:pPr>
        <w:pStyle w:val="TextoNormal"/>
      </w:pPr>
      <w:r>
        <w:t>Por ello, a juicio del Letrado de la Junta de Comunidades, la Comunidad de Castilla-La Mancha y el Estado no están ejerciendo competencias sobre un mismo espacio, sino sobre espacios claramente diferenciados: “la estatal sobre el espacio radioeléctrico, que es el medio por el que se propagan las ondas electromagnéticas, y la regional sobre el terreno, como soporte físico de las instalaciones de radiocomunicación”.</w:t>
      </w:r>
    </w:p>
    <w:p w:rsidR="00D06117" w:rsidRDefault="00D06117" w:rsidP="00D06117">
      <w:pPr>
        <w:pStyle w:val="TextoNormal"/>
      </w:pPr>
    </w:p>
    <w:p w:rsidR="00D06117" w:rsidRDefault="00D06117" w:rsidP="00D06117">
      <w:pPr>
        <w:pStyle w:val="TextoNormal"/>
      </w:pPr>
      <w:r>
        <w:t xml:space="preserve">c) El Letrado de la Junta de Comunidades afirma que no se ha cuestionado la constitucionalidad de los artículos 4, 5, 6, 8 y 9 “de donde se deduce el reconocimiento de que los mismos obedecen a los títulos competenciales de la Comunidad Autónoma, sin que exista </w:t>
      </w:r>
      <w:r>
        <w:lastRenderedPageBreak/>
        <w:t>en ellos intromisión en el de ordenación de las radiocomunicaciones reservado al Estado por el artículo 149.1.21 CE” y que el artículo 10 es, sin embargo, necesario complemento del 9 en la medida en que se limita a concretar el contenido del Plan territorial de despliegue de red ya previsto en este precepto que es el que impone a los operadores la obligación de presentar un plan de despliegue de red que proporcione la información necesaria para la adecuada integración de las instalaciones en la ordenación medioambiental y territorial y asegurar el cumplimiento de las limitaciones establecidas en la ley. Es más, en su informe de 18 de septiembre de 2001, la Administración del Estado admite que la Comunidad Autónoma está legitimada para exigir la información que se pormenoriza en el apartado 2 de este artículo 10, cuyo conocimiento se reconoce que es necesario para el adecuado cumplimiento de sus competencias propias. Y es que, según el Letrado de la Junta de Comunidades, “es evidente que todos los datos que deben proporcionar los operadores según el artículo 10.2 son necesarios para verificar el cumplimiento de las prescripciones territoriales o urbanísticas, medioambientales y sanitarias que impone la Ley en virtud de las competencias que ostenta la Comunidad Autónoma, sin que ello suponga en modo alguno, el ejercicio de facultades de administración, gestión y control del espectro de frecuencias radioeléctricas, propias de la Administración del Estado”.</w:t>
      </w:r>
    </w:p>
    <w:p w:rsidR="00D06117" w:rsidRDefault="00D06117" w:rsidP="00D06117">
      <w:pPr>
        <w:pStyle w:val="TextoNormal"/>
      </w:pPr>
    </w:p>
    <w:p w:rsidR="00D06117" w:rsidRDefault="00D06117" w:rsidP="00D06117">
      <w:pPr>
        <w:pStyle w:val="TextoNormal"/>
      </w:pPr>
      <w:r>
        <w:t>d) Respecto al artículo 12, el Letrado de la Junta de Comunidades afirma que la competencia de aprobación del Plan territorial de despliegue de red que atribuye el precepto a la comisión de redes de radiocomunicación tiene por objeto la comprobación de que los emplazamientos de las instalaciones respetan las limitaciones impuestas por la ley, sin que, en modo alguno, se pueda producir alteración del espectro radioeléctrico. El acto aprobatorio del plan territorial es declarativo de que las instalaciones cumplen los requisitos urbanísticos, sanitarios y medioambientales, por lo que cae, claramente, dentro del ámbito competencial regional.</w:t>
      </w:r>
    </w:p>
    <w:p w:rsidR="00D06117" w:rsidRDefault="00D06117" w:rsidP="00D06117">
      <w:pPr>
        <w:pStyle w:val="TextoNormal"/>
      </w:pPr>
    </w:p>
    <w:p w:rsidR="00D06117" w:rsidRDefault="00D06117" w:rsidP="00D06117">
      <w:pPr>
        <w:pStyle w:val="TextoNormal"/>
      </w:pPr>
      <w:r>
        <w:t>e) El artículo 14 de la ley tampoco invade, según el Letrado de la Junta de Comunidades, las competencias exclusivas del Estado en materia de telecomunicaciones, pues la regulación del uso compartido de las infraestructuras se refiere únicamente al terreno como soporte físico de las instalaciones, sin que ello afecte a la administración del espectro radioeléctrico, “debiendo resaltarse que … la intervención de la Administración regional se limita a precisar, en su caso, los emplazamientos que deben compartir los distintos operadores atendiendo a principios de protección de la salud, ambiental y paisajística”.</w:t>
      </w:r>
    </w:p>
    <w:p w:rsidR="00D06117" w:rsidRDefault="00D06117" w:rsidP="00D06117">
      <w:pPr>
        <w:pStyle w:val="TextoNormal"/>
      </w:pPr>
    </w:p>
    <w:p w:rsidR="00D06117" w:rsidRDefault="00D06117" w:rsidP="00D06117">
      <w:pPr>
        <w:pStyle w:val="TextoNormal"/>
      </w:pPr>
      <w:r>
        <w:t>f) Las obligaciones para los operadores que establece el artículo 7 de la ley y, concretamente, la obligación de incorporar las mejoras tecnológicas que vayan apareciendo y que minimicen los niveles de emisión y el impacto ambiental de las instalaciones, se imponen, en opinión del Letrado de la Junta de Comunidades, desde una “perspectiva medioambiental y de salud pública”, sin que con ello se incida en la gestión del espacio radioeléctrico que compete a la Administración estatal.</w:t>
      </w:r>
    </w:p>
    <w:p w:rsidR="00D06117" w:rsidRDefault="00D06117" w:rsidP="00D06117">
      <w:pPr>
        <w:pStyle w:val="TextoNormal"/>
      </w:pPr>
    </w:p>
    <w:p w:rsidR="00D06117" w:rsidRDefault="00D06117" w:rsidP="00D06117">
      <w:pPr>
        <w:pStyle w:val="TextoNormal"/>
      </w:pPr>
      <w:r>
        <w:t>g) Por último, el Letrado de la Junta de Comunidades considera constitucional el artículo 2.2.1 ya que las instalaciones afectas a la seguridad aérea “pueden entenderse subsumidas en el concepto más amplio de Seguridad Pública empleado por la Ley”.</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El Letrado de las Cortes de Castilla-La Mancha en su escrito de alegaciones, que tuvo entrada en el Registro del Tribunal Constitucional el 4 de junio de 2002, interesa la desestimación del recurso de inconstitucionalidad por las razones que, resumidamente, se exponen a continuación:</w:t>
      </w:r>
    </w:p>
    <w:p w:rsidR="00D06117" w:rsidRDefault="00D06117" w:rsidP="00D06117">
      <w:pPr>
        <w:pStyle w:val="TextoNormal"/>
      </w:pPr>
    </w:p>
    <w:p w:rsidR="00D06117" w:rsidRDefault="00D06117" w:rsidP="00D06117">
      <w:pPr>
        <w:pStyle w:val="TextoNormal"/>
      </w:pPr>
      <w:r>
        <w:t>a) En primer lugar, el Letrado de las Cortes castellano-manchegas afirma que la ley recurrida tiene por objeto la regulación de las infraestructuras de radiocomunicación “con la exclusiva finalidad de protección de la salud y del medio ambiente”, tal y como se desprende no sólo de la exposición de motivos sino de la propia normativa y para ello las Cortes de Castilla-La Mancha se han apoyado en las competencias que tiene atribuidas, de acuerdo con la Constitución, por el Estatuto de Autonomía (sanidad e higiene; promoción, prevención y restauración de la salud; defensa del consumidor y usuario; protección del medio ambiente y de los ecosistemas; ordenación del territorio y urbanismo). Concretamente, el Letrado de las Cortes castellano-manchegas invoca los artículos 31, 32 y 43.2 del Estatuto de Autonomía de Castilla-La Mancha aprobado por Ley Orgánica 9/1982. Por ello, en su opinión, no existe conflicto competencial: la legislación autonómica establece una serie de limitaciones y requisitos relativos a la ubicación física y características de las infraestructuras de radiocomunicación y, especialmente, de las antenas de telefonía móvil, mientras que la legislación estatal tiene por objeto la ordenación y gestión del dominio público radioeléctrico. Y añade, con cita de las SSTC 149/1991, de 4 de julio, y 102/1995, de 26 de junio, que la existencia de ese dominio público no puede convertirse en “un criterio de limitación competencial, ni puede restar competencias a las Comunidades Autónomas sobre el entorno físico de ese dominio público cuya titularidad corresponde al Estado”.</w:t>
      </w:r>
    </w:p>
    <w:p w:rsidR="00D06117" w:rsidRDefault="00D06117" w:rsidP="00D06117">
      <w:pPr>
        <w:pStyle w:val="TextoNormal"/>
      </w:pPr>
    </w:p>
    <w:p w:rsidR="00D06117" w:rsidRDefault="00D06117" w:rsidP="00D06117">
      <w:pPr>
        <w:pStyle w:val="TextoNormal"/>
      </w:pPr>
      <w:r>
        <w:t>b) El Letrado de las Cortes castellano-manchegas sostiene que no procede declarar inconstitucional el artículo 2 de la Ley de las Cortes de Castilla-La Mancha 8/2001 por un doble motivo: en primer lugar, porque ello llevaría “a la incongruencia de admitir la inexistencia de excepciones en el ámbito de aplicación de la Ley” y, en segundo lugar, porque hay que entender que cuando el legislador autonómico hace referencia a los equipos y estaciones de telecomunicaciones para la seguridad pública no está identificando este concepto con el de orden público, sino que se está refiriendo a su acepción más amplia, pudiendo afirmarse que “las estaciones y equipos para la regulación del sistema de navegación se encuentran excluidos … como instalaciones básicas para la seguridad pública”.</w:t>
      </w:r>
    </w:p>
    <w:p w:rsidR="00D06117" w:rsidRDefault="00D06117" w:rsidP="00D06117">
      <w:pPr>
        <w:pStyle w:val="TextoNormal"/>
      </w:pPr>
    </w:p>
    <w:p w:rsidR="00D06117" w:rsidRDefault="00D06117" w:rsidP="00D06117">
      <w:pPr>
        <w:pStyle w:val="TextoNormal"/>
      </w:pPr>
      <w:r>
        <w:t>c) En el análisis de la constitucionalidad del artículo 7 de la ley, el Letrado de las Cortes castellano-manchegas distingue la parte relativa a las instalaciones activas y la que se refiere a los equipos que han cesado en su actividad. La regulación de estos últimos equipos no puede invadir las competencias estatales en materia de telecomunicaciones, pues se trata de instalaciones que ya “no ejercen actividad alguna, ni de telecomunicación ni de ningún tipo”, siendo lógico que sea la Comunidad Autónoma, en ejercicio de sus competencias medioambientales, la que imponga a los operadores la obligación de recuperación del entorno una vez cesada la actividad.</w:t>
      </w:r>
    </w:p>
    <w:p w:rsidR="00D06117" w:rsidRDefault="00D06117" w:rsidP="00D06117">
      <w:pPr>
        <w:pStyle w:val="TextoNormal"/>
      </w:pPr>
    </w:p>
    <w:p w:rsidR="00D06117" w:rsidRDefault="00D06117" w:rsidP="00D06117">
      <w:pPr>
        <w:pStyle w:val="TextoNormal"/>
      </w:pPr>
      <w:r>
        <w:t xml:space="preserve">La constitucionalidad de la regulación de las obligaciones que corresponden a los operadores con instalaciones activas se defiende por el Letrado de las Cortes castellano-manchegas afirmando que tales obligaciones “no tienen relación alguna con consideraciones técnicas” y se imponen, tal y como establece el propio precepto, “de acuerdo con los fines de </w:t>
      </w:r>
      <w:r>
        <w:lastRenderedPageBreak/>
        <w:t>esta Ley”, es decir, con los fines de la protección de la salud y el medioambiente. La obligación de mantener las instalaciones en las debidas condiciones de seguridad, estabilidad y conservación no supone añadir nuevas obligaciones que modifiquen la relación entre el Estado y el concesionario o autorizado. Y la incorporación de las mejoras que —“sin alterar en ningún caso los requerimientos técnicos establecidos por el Estado”— “contribuyan a reducir los niveles de emisión de los sistemas radiantes y a minimizar el impacto ambiental y visual” se considera una obligación que la Comunidad Autónoma puede imponer en ejercicio de sus competencias en materia de salud y protección medioambiental. Finalmente, la obligación de revisión anual y subsanación de deficiencias debe entenderse relacionada con los fines de las obligaciones anteriores, esto es, la preservación de la salud y el medio ambiente, sin que pueda, por tanto, tacharse de inconstitucional.</w:t>
      </w:r>
    </w:p>
    <w:p w:rsidR="00D06117" w:rsidRDefault="00D06117" w:rsidP="00D06117">
      <w:pPr>
        <w:pStyle w:val="TextoNormal"/>
      </w:pPr>
    </w:p>
    <w:p w:rsidR="00D06117" w:rsidRDefault="00D06117" w:rsidP="00D06117">
      <w:pPr>
        <w:pStyle w:val="TextoNormal"/>
      </w:pPr>
      <w:r>
        <w:t>d) Respecto a la constitucionalidad del art. 12.1, párrafos primero, tercero y cuarto, en relación con el artículo 10, el Letrado de las Cortes castellano-manchegas afirma que la comisión de redes de radiocomunicaciones que sustituye a las anteriores comisiones de urbanismo, saneamiento y medio ambiente en aras de la simplificación administrativa, tiene competencias para aprobar los planes territoriales de despliegue de red con el objeto de comprobar que se cumplen los requisitos establecidos en la propia Ley 8/2001 y que se protegen otros bienes jurídicos (patrimonio histórico-artístico, salud…). Y para la realización de esta actividad de control es precisa la información que exige el artículo 10, necesaria para proceder a una adecuada “ordenación de los emplazamientos”. El apartado primero del precepto solicita una información general para que la comisión de redes pueda adoptar sus decisiones con un criterio formado. El apartado segundo exige una información que es necesaria para decidir el lugar idóneo de ubicación de la instalación, sin que ello ponga, en ningún caso, en peligro el despliegue de red por parte del Estado y los operadores.</w:t>
      </w:r>
    </w:p>
    <w:p w:rsidR="00D06117" w:rsidRDefault="00D06117" w:rsidP="00D06117">
      <w:pPr>
        <w:pStyle w:val="TextoNormal"/>
      </w:pPr>
    </w:p>
    <w:p w:rsidR="00D06117" w:rsidRDefault="00D06117" w:rsidP="00D06117">
      <w:pPr>
        <w:pStyle w:val="TextoNormal"/>
      </w:pPr>
      <w:r>
        <w:t>El conocimiento de ciertos datos técnicos —argumenta el Letrado de las Cortes castellano-manchegas— es “absolutamente imprescindible para el ejercicio de las competencias estatutarias”. Así, el uso compartido de instalaciones suma las potencias de emisión, por lo que el impacto sobre la salud es diferente; la altura del emplazamiento y de las antenas también tiene relevancia, puesto que a mayor altura la exposición es menor; el área de cobertura es un dato que permite establecer si afecta o no a centros sensibles; la potencia y la ganancia son imprescindibles para conocer la exposición a las radiaciones o campos electromagnéticos; y el número de portadoras y canales máximos por sector permite conocer la potencia máxima de emisión de la antena.</w:t>
      </w:r>
    </w:p>
    <w:p w:rsidR="00D06117" w:rsidRDefault="00D06117" w:rsidP="00D06117">
      <w:pPr>
        <w:pStyle w:val="TextoNormal"/>
      </w:pPr>
    </w:p>
    <w:p w:rsidR="00D06117" w:rsidRDefault="00D06117" w:rsidP="00D06117">
      <w:pPr>
        <w:pStyle w:val="TextoNormal"/>
      </w:pPr>
      <w:r>
        <w:t>El tercer apartado del artículo 10 se limita a solicitar que la información anterior se facilite en modo gráfico, por lo que el Letrado de las Cortes castellano-manchegas no considera necesaria argumentación ulterior al respecto.</w:t>
      </w:r>
    </w:p>
    <w:p w:rsidR="00D06117" w:rsidRDefault="00D06117" w:rsidP="00D06117">
      <w:pPr>
        <w:pStyle w:val="TextoNormal"/>
      </w:pPr>
    </w:p>
    <w:p w:rsidR="00D06117" w:rsidRDefault="00D06117" w:rsidP="00D06117">
      <w:pPr>
        <w:pStyle w:val="TextoNormal"/>
      </w:pPr>
      <w:r>
        <w:t>e) En cuanto a la alegada inconstitucionalidad del artículo 14, estima que este precepto “regula el procedimiento a seguir para lograr el uso compartido de las infraestructuras de telecomunicaciones “atendiendo a principios de protección de la salud, ambiental y paisajística”, sin que ello obste a que el Estado, en base a los criterios técnicos que estime oportunos, pueda imponer en determinados casos el uso compartido de instalaciones”.</w:t>
      </w:r>
    </w:p>
    <w:p w:rsidR="00D06117" w:rsidRDefault="00D06117" w:rsidP="00D06117">
      <w:pPr>
        <w:pStyle w:val="TextoNormal"/>
      </w:pPr>
    </w:p>
    <w:p w:rsidR="00D06117" w:rsidRDefault="00D06117" w:rsidP="00D06117">
      <w:pPr>
        <w:pStyle w:val="TextoNormal"/>
      </w:pPr>
      <w:r>
        <w:t xml:space="preserve">Recuerda el Letrado de las Cortes castellano-manchegas que en el “Informe Técnico sobre campos electromagnéticos y salud pública” elaborado por el propio comité de expertos </w:t>
      </w:r>
      <w:r>
        <w:lastRenderedPageBreak/>
        <w:t>del Ministerio de Sanidad y Consumo, se recomienda —en aras del principio de precaución— que se evite que el haz de emisión directa de la antenas de telefonía afecte a espacios sensibles (hospitales, escuelas, parques…) y que, donde sea posible, se arbitren medidas para promover el uso compartido de las estaciones, siendo lo lógico que este tipo de medidas se adopten por las Comunidades Autónomas que son las que tienen competencias para ello.</w:t>
      </w:r>
    </w:p>
    <w:p w:rsidR="00D06117" w:rsidRDefault="00D06117" w:rsidP="00D06117">
      <w:pPr>
        <w:pStyle w:val="TextoNormal"/>
      </w:pPr>
    </w:p>
    <w:p w:rsidR="00D06117" w:rsidRDefault="00D06117" w:rsidP="00D06117">
      <w:pPr>
        <w:pStyle w:val="TextoNormal"/>
      </w:pPr>
      <w:r>
        <w:t>f) Sobre la supuesta inconstitucionalidad de los artículos 19, apartados 2 y 3, y 20, apartado 1, se alega que la ley autonómica “en ningún caso califica como infracción, ni por tanto sanciona, interferencias, irregularidades o perturbaciones en los sistemas de telecomunicaciones”, sino únicamente actuaciones que inciden en la salud, medio ambiente u ordenación territorial, competencias todas ellas asumidas por la Comunidad Autónoma en su Estatuto de Autonomía, por lo que, conforme a la doctrina constitucional (STC 108/1993) son indiscutibles sus facultades de inspección y sanción.</w:t>
      </w:r>
    </w:p>
    <w:p w:rsidR="00D06117" w:rsidRDefault="00D06117" w:rsidP="00D06117">
      <w:pPr>
        <w:pStyle w:val="TextoNormal"/>
      </w:pPr>
    </w:p>
    <w:p w:rsidR="00D06117" w:rsidRDefault="00D06117" w:rsidP="00D06117">
      <w:pPr>
        <w:pStyle w:val="TextoNormal"/>
      </w:pPr>
      <w:r w:rsidRPr="00D06117">
        <w:rPr>
          <w:rStyle w:val="NumeroAFNegritaCaracter"/>
        </w:rPr>
        <w:t>8</w:t>
      </w:r>
      <w:r>
        <w:t>. Próximo a finalizar el plazo de los cinco meses que señala el art. 161.2 CE desde que se produjo la suspensión de la vigencia de los preceptos impugnados en este recurso de inconstitucionalidad, el Pleno del Tribunal Constitucional, por providencia de 29 de agosto de 2002, acordó oír a las partes personadas para que, en el plazo de cinco días, expusieran lo que considerasen conveniente acerca del mantenimiento o levantamiento de dicha suspensión.</w:t>
      </w:r>
    </w:p>
    <w:p w:rsidR="00D06117" w:rsidRDefault="00D06117" w:rsidP="00D06117">
      <w:pPr>
        <w:pStyle w:val="TextoNormal"/>
      </w:pPr>
    </w:p>
    <w:p w:rsidR="00D06117" w:rsidRDefault="00D06117" w:rsidP="00D06117">
      <w:pPr>
        <w:pStyle w:val="TextoNormal"/>
      </w:pPr>
      <w:r>
        <w:t>Evacuado el trámite de alegaciones conferido, el Pleno del Tribunal Constitucional, por ATC 175/2002, de 1 de octubre, acordó levantar la suspensión de los preceptos recurridos.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diecisiete de enero de 2012 se señaló para deliberación y votación de la presente Sentencia el día dieciocho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inconstitucionalidad se interpone por el Presidente del Gobierno frente a diversos preceptos de la Ley de las Cortes de Castilla-La Mancha 8/2001, de 28 de junio, para la ordenación de las instalaciones de radiocomunicación en Castilla-La Mancha. En concreto, los preceptos impugnados son: arts. 2.2; 7; 12.1 párrafos 1, 3 y 4 en relación con el art. 10; 14; y, por conexión, arts. 19.2 y 3 y 20.1.</w:t>
      </w:r>
    </w:p>
    <w:p w:rsidR="00D06117" w:rsidRDefault="00D06117" w:rsidP="00D06117">
      <w:pPr>
        <w:pStyle w:val="TextoNormal"/>
      </w:pPr>
    </w:p>
    <w:p w:rsidR="00D06117" w:rsidRDefault="00D06117" w:rsidP="00D06117">
      <w:pPr>
        <w:pStyle w:val="TextoNormal"/>
      </w:pPr>
      <w:r>
        <w:t>La Abogada del Estado considera que los preceptos recurridos regulan materias que exceden de la competencia autonómica e invaden, primordialmente, la competencia exclusiva que atribuye el artículo 149.1.21 CE al Estado en materia de telecomunicaciones y, más concretamente, en materia de radiocomunicación e incluso, en el caso del art. 2.2, la competencia exclusiva que corresponde al Estado en materia de aeropuertos de interés general y control de espacio aéreo, tránsito y transporte aéreo por mor del artículo 149.1.20 CE. Por otra parte, se afirma que la tipificación de infracciones contenida en los arts. 19.2 y 3 y 20.1 además de vulnerar la competencia estatal en materia de radiocomunicación infringe también el principio de legalidad que consagra el artículo 25 CE.</w:t>
      </w:r>
    </w:p>
    <w:p w:rsidR="00D06117" w:rsidRDefault="00D06117" w:rsidP="00D06117">
      <w:pPr>
        <w:pStyle w:val="TextoNormal"/>
      </w:pPr>
    </w:p>
    <w:p w:rsidR="00D06117" w:rsidRDefault="00D06117" w:rsidP="00D06117">
      <w:pPr>
        <w:pStyle w:val="TextoNormal"/>
      </w:pPr>
      <w:r>
        <w:lastRenderedPageBreak/>
        <w:t>Por su parte, las representaciones procesales de las instituciones autonómicas comparecidas se oponen al anterior planteamiento con argumentaciones muy similares. Ambas representaciones coinciden en defender que los preceptos recurridos se dictan en ejercicio de competencias que corresponden, en virtud de su Estatuto de Autonomía (arts. 31 y 32), a la Comunidad Autónoma de Castilla-La Mancha, singularmente en materia de ordenación del territorio, urbanismo, sanidad e higiene, promoción, prevención y restauración de la salud pública y protección del medio ambiente, sin que se produzca en ningún caso invasión de la competencia que corresponde al Estado en materia de radiocomunicación puesto que tales preceptos ni regulan el espacio radioeléctrico, ni implican ejercicio de potestades de planificación, administración, gestión y control del mismo.</w:t>
      </w:r>
    </w:p>
    <w:p w:rsidR="00D06117" w:rsidRDefault="00D06117" w:rsidP="00D06117">
      <w:pPr>
        <w:pStyle w:val="TextoNormal"/>
      </w:pPr>
    </w:p>
    <w:p w:rsidR="00D06117" w:rsidRDefault="00D06117" w:rsidP="00D06117">
      <w:pPr>
        <w:pStyle w:val="TextoNormal"/>
      </w:pPr>
      <w:r w:rsidRPr="00D06117">
        <w:rPr>
          <w:rStyle w:val="NumeroAFNegritaCaracter"/>
        </w:rPr>
        <w:t>2</w:t>
      </w:r>
      <w:r>
        <w:t>. Una vez expuestas sucintamente las posiciones de las partes enfrentadas en el presente proceso constitucional, hemos de proceder al examen de algunos aspectos que conviene analizar con carácter previo.</w:t>
      </w:r>
    </w:p>
    <w:p w:rsidR="00D06117" w:rsidRDefault="00D06117" w:rsidP="00D06117">
      <w:pPr>
        <w:pStyle w:val="TextoNormal"/>
      </w:pPr>
    </w:p>
    <w:p w:rsidR="00D06117" w:rsidRDefault="00D06117" w:rsidP="00D06117">
      <w:pPr>
        <w:pStyle w:val="TextoNormal"/>
      </w:pPr>
      <w:r>
        <w:t>a) En primer lugar, es preciso abordar la cuestión planteada por el Letrado de la Junta de Comunidades de Castilla-La Mancha sobre el alcance de este recurso de inconstitucionalidad. Este Letrado sostiene que en el informe de 18 de septiembre de 2001, que remitió el Ministerio de Administraciones Públicas a la Junta de Comunidades de Castilla-La Mancha con la finalidad de dar inicio al procedimiento conciliatorio previsto en el art. 33.2 de la Ley Orgánica del Tribunal Constitucional (LOTC) y que antecedió a la interposición del presente recurso, no se discutió la constitucionalidad del apartado 2 del artículo 10 de la ley autonómica por lo que, cuando se afirma, en el escrito del recurso, que los datos requeridos por el apartado 2 del artículo 10 de la ley se inscriben dentro del título estatal exclusivo de telecomunicaciones, se está rebasando el marco del debate tal y como la propia Administración del Estado lo configuró en su informe, por lo que el reproche de inconstitucionalidad deviene extemporáneo al introducirse ex novo en el recurso y no poder beneficiarse de la ampliación del plazo para formularlo que deriva del artículo 33.2 LOTC.</w:t>
      </w:r>
    </w:p>
    <w:p w:rsidR="00D06117" w:rsidRDefault="00D06117" w:rsidP="00D06117">
      <w:pPr>
        <w:pStyle w:val="TextoNormal"/>
      </w:pPr>
    </w:p>
    <w:p w:rsidR="00D06117" w:rsidRDefault="00D06117" w:rsidP="00D06117">
      <w:pPr>
        <w:pStyle w:val="TextoNormal"/>
      </w:pPr>
      <w:r>
        <w:t>Esta argumentación no puede compartirse porque el marco de la discrepancia o controversia no se establece en el informe que remite la Administración del Estado, sino en el acuerdo sobre iniciación de las negociaciones que es objeto de publicación oficial y se comunica al Tribunal Constitucional. Es este acuerdo, por tanto, el que desempeña una función de delimitación del contenido de un eventual recurso de inconstitucionalidad posterior y, en el presente caso, en él se afirma que se inician las negociaciones para resolver “las discrepancias sobre los artículos … 12.1 párrafos primero, tercero y cuarto, en relación con el artículo 10”.</w:t>
      </w:r>
    </w:p>
    <w:p w:rsidR="00D06117" w:rsidRDefault="00D06117" w:rsidP="00D06117">
      <w:pPr>
        <w:pStyle w:val="TextoNormal"/>
      </w:pPr>
    </w:p>
    <w:p w:rsidR="00D06117" w:rsidRDefault="00D06117" w:rsidP="00D06117">
      <w:pPr>
        <w:pStyle w:val="TextoNormal"/>
      </w:pPr>
      <w:r>
        <w:t xml:space="preserve">b) Despejada esta primera cuestión, debemos considerar la incidencia de las modificaciones normativas que pueden haber tenido lugar durante la pendencia de este proceso constitucional. La ley autonómica recurrida no ha sido objeto de modificación, pero la Ley general de telecomunicaciones de 1998 (Ley 11/1998, de 24 de abril), sobre la que gira la argumentación de las partes en sus respectivos escritos y que sirvió en su momento de parámetro interpretativo, ha sido derogada por la Ley general de telecomunicaciones de 2003 (Ley 32/2003, de 3 de noviembre) salvo en sus disposiciones adicionales quinta, sexta y séptima, y sus disposiciones transitorias sexta, séptima y duodécima, por lo que, de acuerdo con nuestra doctrina sobre procesos de naturaleza competencial (SSTC 134/2011, de 20 de julio, FJ 2; y 179/1998, de 16 de septiembre, FJ 2, y las Sentencias en esta última citadas), </w:t>
      </w:r>
      <w:r>
        <w:lastRenderedPageBreak/>
        <w:t>será esta legislación vigente la que se tendrá en cuenta, cuando proceda, para resolver las cuestiones planteadas en el presente recurso. El mismo criterio de atender a la normativa actualmente vigente se adoptará respecto a cualesquiera otras normas que, mencionadas o no en el escrito de las partes, tengan relevancia interpretativa en la controversia.</w:t>
      </w:r>
    </w:p>
    <w:p w:rsidR="00D06117" w:rsidRDefault="00D06117" w:rsidP="00D06117">
      <w:pPr>
        <w:pStyle w:val="TextoNormal"/>
      </w:pPr>
    </w:p>
    <w:p w:rsidR="00D06117" w:rsidRDefault="00D06117" w:rsidP="00D06117">
      <w:pPr>
        <w:pStyle w:val="TextoNormal"/>
      </w:pPr>
      <w:r w:rsidRPr="00D06117">
        <w:rPr>
          <w:rStyle w:val="NumeroAFNegritaCaracter"/>
        </w:rPr>
        <w:t>3</w:t>
      </w:r>
      <w:r>
        <w:t>. Tras lo expuesto, procede ya entrar en el examen del fondo del recurso, señalando que, en relación con el encuadramiento competencial de las cuestiones controvertidas, las partes coinciden en los títulos que consideran de aplicación para la resolución del presente proceso, centrándose, principalmente, la discrepancia en la materia que regulan los preceptos recurridos: telecomunicaciones, radiocomunicación (art. 149.1.21 CE) e incluso aeropuertos de interés general y control aéreo (art. 149.1.20 CE), según la Abogada del Estado, y ordenación del territorio [art. 31.1.2 del Estatuto de Autonomía de Castilla-La Mancha (EACM)], medio ambiente (art. 32.7 EACM), sanidad, higiene y salud pública (art. 32.3 EACM), según las representaciones procesales de las instituciones autonómicas.</w:t>
      </w:r>
    </w:p>
    <w:p w:rsidR="00D06117" w:rsidRDefault="00D06117" w:rsidP="00D06117">
      <w:pPr>
        <w:pStyle w:val="TextoNormal"/>
      </w:pPr>
    </w:p>
    <w:p w:rsidR="00D06117" w:rsidRDefault="00D06117" w:rsidP="00D06117">
      <w:pPr>
        <w:pStyle w:val="TextoNormal"/>
      </w:pPr>
      <w:r>
        <w:t>En definitiva, la controversia se plantea primordialmente entre un título competencial sectorial (telecomunicaciones) y títulos de carácter transversal u horizontal (ordenación del territorio, protección del medio ambiente), aunque también esté en juego otro título de carácter sectorial como la sanidad (art. 149.1.16 CE). Pese a ser el título competencial en materia de telecomunicaciones un título de carácter sectorial, lo cierto es que tiene un gran potencial expansivo puesto que el régimen de las telecomunicaciones incide, con mayor o menor intensidad, en muchas otras materias. Por un lado, en el desenvolvimiento de medios de comunicación social como la radio o la televisión. Por otro lado, en la ordenación del territorio y el urbanismo en la medida en que la faceta de infraestructura de las telecomunicaciones hace preciso adoptar decisiones en torno a su adecuada localización, tanto en el ámbito rural como urbano. Esa localización puede, a su vez, tener un impacto sobre el medio ambiente y el paisaje. Y, por último, y en lo que ahora interesa, la exposición a campos electromagnéticos puede tener una incidencia sobre la salud que exige medidas de protección sanitaria, en especial para aquellos colectivos que se consideran más sensibles.</w:t>
      </w:r>
    </w:p>
    <w:p w:rsidR="00D06117" w:rsidRDefault="00D06117" w:rsidP="00D06117">
      <w:pPr>
        <w:pStyle w:val="TextoNormal"/>
      </w:pPr>
    </w:p>
    <w:p w:rsidR="00D06117" w:rsidRDefault="00D06117" w:rsidP="00D06117">
      <w:pPr>
        <w:pStyle w:val="TextoNormal"/>
      </w:pPr>
      <w:r>
        <w:t>El estrecho entrecruzamiento competencial que se produce en estas materias hace que la delimitación sea singularmente complicada. Así se evidenció en las Sentencias en las que este Tribunal se ha pronunciado acerca de la delimitación entre los títulos de telecomunicaciones (art. 149.1.21 CE) y de medios de comunicación social (art. 149.1.27 CE). Dijimos, entonces, que estos dos títulos “se limitan y contrapesan entre sí impidiendo el mutuo vaciamiento de sus contenidos respectivos” (STC 168/1993, de 27 de mayo, FJ 4). Un criterio interpretativo que es también aplicable a la concurrencia competencial que ahora nos ocupa: telecomunicaciones, ordenación del territorio, urbanismo, protección del medio ambiente y protección de la salud son títulos que se limitan y contrapesan recíprocamente, que no pueden vaciarse mutuamente de contenidos y que han de ejercerse con pleno respeto a las competencias sobre otras materias que pueden corresponder a otra instancia territorial.</w:t>
      </w:r>
    </w:p>
    <w:p w:rsidR="00D06117" w:rsidRDefault="00D06117" w:rsidP="00D06117">
      <w:pPr>
        <w:pStyle w:val="TextoNormal"/>
      </w:pPr>
    </w:p>
    <w:p w:rsidR="00D06117" w:rsidRDefault="00D06117" w:rsidP="00D06117">
      <w:pPr>
        <w:pStyle w:val="TextoNormal"/>
      </w:pPr>
      <w:r>
        <w:t xml:space="preserve">La dificultad estriba en saber hasta dónde puede llegar el ejercicio de una u otra competencia y, más concretamente, en qué materia se incardinan los preceptos impugnados, tal y como pone de manifiesto la discrepancia sobre este punto entre las partes. Por ello, conviene tener presente que, tal y como ha afirmado este Tribunal, “cuando se ofrezcan por las partes en el proceso constitucional diversas calificaciones sustantivas de las disposiciones o actos en conflicto que pudieran llevar a identificaciones competenciales también distintas, ha de </w:t>
      </w:r>
      <w:r>
        <w:lastRenderedPageBreak/>
        <w:t>apreciarse para llegar a una calificación competencial correcta, tanto el sentido o finalidad de los variados títulos competenciales y estatutarios, como el carácter, sentido y finalidad de las disposiciones traídas al conflicto, es decir, el contenido del precepto controvertido delimitando así la regla competencial aplicable al caso” (SSTC 153/1989, de 5 de octubre, FJ 5; y 197/1996, de 28 de noviembre, FJ 3).</w:t>
      </w:r>
    </w:p>
    <w:p w:rsidR="00D06117" w:rsidRDefault="00D06117" w:rsidP="00D06117">
      <w:pPr>
        <w:pStyle w:val="TextoNormal"/>
      </w:pPr>
    </w:p>
    <w:p w:rsidR="00D06117" w:rsidRDefault="00D06117" w:rsidP="00D06117">
      <w:pPr>
        <w:pStyle w:val="TextoNormal"/>
      </w:pPr>
      <w:r>
        <w:t>Por otra parte, cuando el entrecruzamiento se produce, además, entre una competencia estatal sectorial con proyección o incidencia sobre el mismo espacio físico, como es el caso de las telecomunicaciones, y una competencia autonómica horizontal como la ordenación territorial, debe tenerse presente la doctrina de este Tribunal conforme a la cual “por lo que a la coexistencia de las competencias autonómicas sobre ordenación del suelo y de las competencias estatales de carácter sectorial se refiere, debe tenerse en cuenta, en primer lugar, que la competencia sobre ordenación del territorio tiene, precisamente, la finalidad de que su titular pueda formular una política global para su territorio, con lo que se trata de coordinar las actuaciones públicas y privadas que inciden en el mismo y que, por ello, no pueden ser obviadas por las distintas Administraciones, incluida la estatal” mientras que, por otro lado, “este tipo de competencias de las que es titular el Estado, si bien no persiguen de forma directa la ordenación del territorio, sí … viene a condicionar la capacidad de decisión de las Comunidades Autónomas” (SSTC 40/1998, de 19 de febrero, FJ 30; y 204/2002, de 31 de octubre, FJ 7). Por ello, “al objeto de integrar ambas competencias, se debe acudir, en primer lugar, a fórmulas de cooperación” pues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No obstante, si esos cauces resultan insuficientes, el Tribunal ha afirmado que “la decisión final corresponderá al titular de la competencia prevalente” (STC 77/1984, de 3 de julio, FJ 3), sin que el Estado pueda “verse privado del ejercicio de sus competencias exclusivas por la existencia de una competencia, aunque también sea exclusiva, de una Comunidad Autónoma” (STC 56/1986, de 13 de mayo, FJ 3; STC 204/2002, de 31 de octubre, FJ 7).</w:t>
      </w:r>
    </w:p>
    <w:p w:rsidR="00D06117" w:rsidRDefault="00D06117" w:rsidP="00D06117">
      <w:pPr>
        <w:pStyle w:val="TextoNormal"/>
      </w:pPr>
    </w:p>
    <w:p w:rsidR="00D06117" w:rsidRDefault="00D06117" w:rsidP="00D06117">
      <w:pPr>
        <w:pStyle w:val="TextoNormal"/>
      </w:pPr>
      <w:r>
        <w:t>Estos son, pues, los criterios hermenéuticos en los que habrá de basarse el análisis de constitucionalidad de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El principal motivo de inconstitucionalidad de los preceptos recurridos se refiere a la vulneración del artículo 149.1.21 CE, esto es, a la invasión de la competencia exclusiva en materia de telecomunicaciones y, específicamente, en materia de radiocomunicación, por lo que interesa recordar que este Tribunal, en diversas Sentencias, ha conectado la materia telecomunicaciones con los aspectos técnicos de la emisión relativos al uso de las ondas radioeléctricas o electromagnéticas, es decir, del dominio público radioeléctrico (SSTC </w:t>
      </w:r>
      <w:r>
        <w:lastRenderedPageBreak/>
        <w:t>168/1993, de 27 de mayo, FJ 4; 244/1993, de 15 de julio, FJ 2; 127/1994, de 5 de mayo, FFJJ 5 y 8; y 31/2010, de 28 de junio, FJ 85) y ha señalado que “es constitucionalmente legítimo que el Estado regule desde una concepción unitaria —dada la unidad intrínseca del fenómeno— la utilización del dominio público radioeléctrico, y proceda a una ordenación conjunta de todas las variantes de telecomunicación y radiocomunicación” (STC 168/1993, de 27 de mayo, FJ 4) mediante “la asignación de frecuencias y potencias para cada uno de los usos, en cumplimiento de la disciplina internacional del tema, así como la previsión de otros problemas como, v. gr., puede ser la evitación de interferencias” (STC 244/1993, FJ 2). También se ha entendido que cae dentro de la competencia estatal, ex artículo 149.1.21 CE: la regulación del régimen de la autorización administrativa para la tenencia y uso de equipos y aparatos radioeléctricos, así como para hacer funcionar una estación o red de estaciones radioeléctricas, con el fin de que el Gobierno pueda proceder a la asignación de frecuencias así como a fijar las condiciones y características técnicas de cada estación o de cada tipo de equipo y aparato radioeléctrico, impidiendo interferencias perjudiciales (STC 167/1993, de 7 de mayo, FJ 3); la regulación del procedimiento para la autorización administrativa de la instalación y funcionamiento de las estaciones radioeléctricas receptoras de televisión trasmitidos en servicio fijo por satélite y la asunción en este campo de competencias de autorización, inspección y sanción con la finalidad de evitar interferencias y homologar y normalizar los equipos e instalaciones (STC 244/1993, de 5 de julio, FFJJ 4, 5 y 6); y las facultades de inspección y control del cumplimiento de las condiciones técnicas de las emisoras de radio y televisión (STC 26/1982, de 24 de mayo, FJ 6; y STC 108/1993, de 25 de marzo, FFJJ 2 y 3).</w:t>
      </w:r>
    </w:p>
    <w:p w:rsidR="00D06117" w:rsidRDefault="00D06117" w:rsidP="00D06117">
      <w:pPr>
        <w:pStyle w:val="TextoNormal"/>
      </w:pPr>
    </w:p>
    <w:p w:rsidR="00D06117" w:rsidRDefault="00D06117" w:rsidP="00D06117">
      <w:pPr>
        <w:pStyle w:val="TextoNormal"/>
      </w:pPr>
      <w:r>
        <w:t>Finalmente, en la STC 31/2010, de 28 de junio, FJ 85, se ha aclarado que “las infraestructuras comunes de telecomunicaciones guardan una relación más estrecha con el ‘régimen general de comunicaciones’ que con la materia de telecomunicaciones en sentido estricto o que con la materia de medios de comunicación social” pues “en puridad, las infraestructuras de las telecomunicaciones ni constituyen un elemento propio del espectro radioeléctrico ni son elemento vinculado a la protección del derecho fundamental previsto en el art. 20 CE”. Las infraestructuras “se inscriben con naturalidad en el señalado “régimen general de comunicaciones” en cuanto aseguran la efectividad de las comunicaciones en todo el territorio nacional y con ello la virtualidad de las competencias estatales afectadas (art. 149.1.21 y 149.1.27)” (STC 31/2010, FJ 85). Por ello, es preciso tener en cuenta que “esta competencia de régimen atribuida al Estado comprende, desde luego, la totalidad de las competencias normativas sobre la misma (SSTC 84/1982, FJ 4; y 38/1983, FJ 3); pero implica también un plus”, ya que “puede comportar la atribución de las competencias de ejecución necesarias para configurar un sistema materialmente unitario” (STC 195/1996, de 28 de noviembre, FJ 6)” (nuevamente, STC 31/2010, FJ 85).</w:t>
      </w:r>
    </w:p>
    <w:p w:rsidR="00D06117" w:rsidRDefault="00D06117" w:rsidP="00D06117">
      <w:pPr>
        <w:pStyle w:val="TextoNormal"/>
      </w:pPr>
    </w:p>
    <w:p w:rsidR="00D06117" w:rsidRDefault="00D06117" w:rsidP="00D06117">
      <w:pPr>
        <w:pStyle w:val="TextoNormal"/>
      </w:pPr>
      <w:r w:rsidRPr="00D06117">
        <w:rPr>
          <w:rStyle w:val="NumeroAFNegritaCaracter"/>
        </w:rPr>
        <w:t>5</w:t>
      </w:r>
      <w:r>
        <w:t>. Teniendo presente lo anterior, se procede ya al examen de los preceptos impugnados de la Ley 8/2001, siendo el primero el art. 2.2 que dispone:</w:t>
      </w:r>
    </w:p>
    <w:p w:rsidR="00D06117" w:rsidRDefault="00D06117" w:rsidP="00D06117">
      <w:pPr>
        <w:pStyle w:val="TextoNormal"/>
      </w:pPr>
    </w:p>
    <w:p w:rsidR="00D06117" w:rsidRDefault="00D06117" w:rsidP="00D06117">
      <w:pPr>
        <w:pStyle w:val="TextoNormal"/>
      </w:pPr>
      <w:r>
        <w:t>“Se excluyen del ámbito de aplicación de esta Ley:</w:t>
      </w:r>
    </w:p>
    <w:p w:rsidR="00D06117" w:rsidRDefault="00D06117" w:rsidP="00D06117">
      <w:pPr>
        <w:pStyle w:val="TextoNormal"/>
      </w:pPr>
    </w:p>
    <w:p w:rsidR="00D06117" w:rsidRDefault="00D06117" w:rsidP="00D06117">
      <w:pPr>
        <w:pStyle w:val="TextoNormal"/>
      </w:pPr>
      <w:r>
        <w:t>1. Los equipos y estaciones de Telecomunicación para la Defensa Nacional, la Seguridad Pública y Protección Civil.</w:t>
      </w:r>
    </w:p>
    <w:p w:rsidR="00D06117" w:rsidRDefault="00D06117" w:rsidP="00D06117">
      <w:pPr>
        <w:pStyle w:val="TextoNormal"/>
      </w:pPr>
    </w:p>
    <w:p w:rsidR="00D06117" w:rsidRDefault="00D06117" w:rsidP="00D06117">
      <w:pPr>
        <w:pStyle w:val="TextoNormal"/>
      </w:pPr>
      <w:r>
        <w:lastRenderedPageBreak/>
        <w:t>2. Las instalaciones catalogadas de aficionados, siempre que reúnan las dos circunstancias siguientes:</w:t>
      </w:r>
    </w:p>
    <w:p w:rsidR="00D06117" w:rsidRDefault="00D06117" w:rsidP="00D06117">
      <w:pPr>
        <w:pStyle w:val="TextoNormal"/>
      </w:pPr>
    </w:p>
    <w:p w:rsidR="00D06117" w:rsidRDefault="00D06117" w:rsidP="00D06117">
      <w:pPr>
        <w:pStyle w:val="TextoNormal"/>
      </w:pPr>
      <w:r>
        <w:t>a) Sean de potencia media inferior a 250 W.</w:t>
      </w:r>
    </w:p>
    <w:p w:rsidR="00D06117" w:rsidRDefault="00D06117" w:rsidP="00D06117">
      <w:pPr>
        <w:pStyle w:val="TextoNormal"/>
      </w:pPr>
    </w:p>
    <w:p w:rsidR="00D06117" w:rsidRDefault="00D06117" w:rsidP="00D06117">
      <w:pPr>
        <w:pStyle w:val="TextoNormal"/>
      </w:pPr>
      <w:r>
        <w:t>b) Transmitan de forma discontinua.”</w:t>
      </w:r>
    </w:p>
    <w:p w:rsidR="00D06117" w:rsidRDefault="00D06117" w:rsidP="00D06117">
      <w:pPr>
        <w:pStyle w:val="TextoNormal"/>
      </w:pPr>
    </w:p>
    <w:p w:rsidR="00D06117" w:rsidRDefault="00D06117" w:rsidP="00D06117">
      <w:pPr>
        <w:pStyle w:val="TextoNormal"/>
      </w:pPr>
      <w:r>
        <w:t>El principal reproche que se dirige contra este precepto consiste en que no contempla entre los supuestos en los que procede la exclusión de la aplicación de la ley, las instalaciones radioeléctricas afectas al sistema de navegación aérea que garantizan el control del espacio aéreo español y la seguridad del tránsito y transporte en el mismo, equivaliendo esta omisión a la inclusión de las mismas dentro del ámbito de aplicación de la ley, lo que vulnera las competencias estatales en materia de telecomunicaciones (art. 149.1.21 CE) y aeropuertos de interés general, control del espacio aéreo y transporte aéreo (art. 149.1.20 CE). Las representaciones procesales de las instituciones autonómicas consideran, por su parte, que el precepto no pretende incluir dentro de su ámbito de aplicación este tipo de instalaciones y que es constitucional en la medida en que las instalaciones afectas a la seguridad aérea pueden entenderse incluidas en el concepto más amplio de equipos y estaciones de telecomunicación para la seguridad pública.</w:t>
      </w:r>
    </w:p>
    <w:p w:rsidR="00D06117" w:rsidRDefault="00D06117" w:rsidP="00D06117">
      <w:pPr>
        <w:pStyle w:val="TextoNormal"/>
      </w:pPr>
    </w:p>
    <w:p w:rsidR="00D06117" w:rsidRDefault="00D06117" w:rsidP="00D06117">
      <w:pPr>
        <w:pStyle w:val="TextoNormal"/>
      </w:pPr>
      <w:r>
        <w:t>Sin embargo, lo cierto es que las instalaciones radioeléctricas aeronáuticas no pueden entenderse comprendidas en el concepto “equipos y estaciones de Telecomunicación para la Seguridad Pública” enunciado en el subapartado 1 del art. 2.2 de la ley castellano-manchega, pues la materia seguridad pública, según ha afirmado en varias ocasiones este Tribunal (SSTC 33/1982, de 8 de junio, FJ 3, y 154/2005, de 9 de junio, FJ 5), hace referencia a una actividad dirigida a la protección de bienes y personas con la finalidad de garantizar la tranquilidad y el orden ciudadano, mientras que las instalaciones radioeléctricas aeronáuticas tienen una función distinta, de corte más específico, de garantía de la seguridad y correcto funcionamiento de los aeropuertos, así como de un adecuado control del espacio aéreo y de la regularidad del tráfico en el mismo.</w:t>
      </w:r>
    </w:p>
    <w:p w:rsidR="00D06117" w:rsidRDefault="00D06117" w:rsidP="00D06117">
      <w:pPr>
        <w:pStyle w:val="TextoNormal"/>
      </w:pPr>
    </w:p>
    <w:p w:rsidR="00D06117" w:rsidRDefault="00D06117" w:rsidP="00D06117">
      <w:pPr>
        <w:pStyle w:val="TextoNormal"/>
      </w:pPr>
      <w:r>
        <w:t>Respecto a la relevancia constitucional de las omisiones que existan en la legislación autonómica, este Tribunal se ha pronunciado en supuestos en los que la ley autonómica omite algunas previsiones recogidas en la legislación estatal básica y ha dicho al respecto que “es obvio que la omisión en una Ley particular de unas precisiones cualesquiera de carácter básico establecidas en la Ley general no vicia de inconstitucionalidad a aquella Ley particular, pues estas precisiones mantienen su plena vigencia con independencia de que sean recordadas o no por el legislador comunitario, cuya referencia a ellas sólo este carácter de recordatorio puede revestir” (STC 5/1982, de 8 de febrero, FJ 2). No obstante, también se ha señalado que la conclusión será distinta, y concurrirá un vicio de inconstitucionalidad, cuando la única exégesis posible de la omisión —total o parcial— lleve a entender que la regulación autonómica está estableciendo una regulación contraria a la legislación básica estatal, al tratarse de omisiones que, al no poder considerarse inocuas, indiferentes o neutras, alteran el régimen jurídico previsto en la misma, como es el caso de la omisión de requisitos esenciales en una determinada regulación que el desarrollo autonómico no puede desconocer (STC 172/1996, de 31 de octubre, FJ 2) u omisiones muy significativas que sólo pueden entenderse como reducción del nivel de rigor que en la materia establece la legislación básica estatal (STC 73/1997, de 11 de abril, FJ 4).</w:t>
      </w:r>
    </w:p>
    <w:p w:rsidR="00D06117" w:rsidRDefault="00D06117" w:rsidP="00D06117">
      <w:pPr>
        <w:pStyle w:val="TextoNormal"/>
      </w:pPr>
    </w:p>
    <w:p w:rsidR="00D06117" w:rsidRDefault="00D06117" w:rsidP="00D06117">
      <w:pPr>
        <w:pStyle w:val="TextoNormal"/>
      </w:pPr>
      <w:r>
        <w:t>En el presente caso, el subapartado 1 del art. 2.2 en la medida en que prevé como supuestos de exclusión del ámbito de aplicación de la ley autonómica, instalaciones de competencia exclusiva del Estado en virtud de títulos competenciales adicionales al de telecomunicaciones y que tienen una regulación específica —como es el caso de los servicios de telecomunicaciones para la defensa nacional y la protección civil— opera como una simple norma de recordatorio de aquellas otras estatales que regulan las mismas.</w:t>
      </w:r>
    </w:p>
    <w:p w:rsidR="00D06117" w:rsidRDefault="00D06117" w:rsidP="00D06117">
      <w:pPr>
        <w:pStyle w:val="TextoNormal"/>
      </w:pPr>
    </w:p>
    <w:p w:rsidR="00D06117" w:rsidRDefault="00D06117" w:rsidP="00D06117">
      <w:pPr>
        <w:pStyle w:val="TextoNormal"/>
      </w:pPr>
      <w:r>
        <w:t>La omisión de la referencia a las instalaciones de telecomunicaciones afectas al sistema de navegación aérea, respecto de las cuales el Estado ostenta también un título competencial adicional al de telecomunicaciones y que cuentan igualmente con una regulación específica, solo puede interpretarse como un simple olvido, inducido quizás por la propia legislación estatal de telecomunicaciones (hoy, art. 4 de la Ley general de telecomunicaciones de 2003; anteriormente, art. 5 de la Ley general de telecomunicaciones de 1998) que sólo menciona expresamente el régimen singular de los servicios de telecomunicaciones para la defensa nacional y la protección civil. Siendo esto así, conviene recordar que el silencio de la norma no elimina ni las competencias estatales, ni la regulación específica de las instalaciones de telecomunicaciones afectas al sistema de navegación aérea, y que las normas que las establecen mantienen plenamente su vigencia y eficacia. Como ya dijimos en la STC 204/2002 (FJ 8), las normas del ordenamiento jurídico no son elementos aislados en el mismo, sino que coexisten con las restantes que lo integran, sin que el silencio respecto al contenido de estas otras deba llevar a la conclusión de que excluyan su aplicación, salvo que ésta fuera la única exégesis razonable y plausible de la norma, lo que no es el caso puesto que ni los términos explícitos, ni el sentido inequívoco del precepto cierran el juego de otras normas distintas de ella. Por otra parte, y en coherencia con su carácter de simple recordatorio, el art. 2.2 no establece ninguna regulación específica —como tampoco lo hace ningún otro precepto de la ley— para las instalaciones de telecomunicaciones aeronáuticas, por lo que difícilmente puede considerarse que establezca una “regulación contraria” a la estatal o que pretenda alterar su régimen jurídico.</w:t>
      </w:r>
    </w:p>
    <w:p w:rsidR="00D06117" w:rsidRDefault="00D06117" w:rsidP="00D06117">
      <w:pPr>
        <w:pStyle w:val="TextoNormal"/>
      </w:pPr>
    </w:p>
    <w:p w:rsidR="00D06117" w:rsidRDefault="00D06117" w:rsidP="00D06117">
      <w:pPr>
        <w:pStyle w:val="TextoNormal"/>
      </w:pPr>
      <w:r>
        <w:t>En consecuencia, el precepto impugnado no es inconstitucional siempre que su silencio no se interprete como inclusión de las instalaciones radioeléctricas necesarias para el funcionamiento de los aeropuertos de interés general o para el control del espacio aéreo español y la seguridad del tránsito y transporte aéreo en el mismo. Esta interpretación de conformidad se llevará al fallo.</w:t>
      </w:r>
    </w:p>
    <w:p w:rsidR="00D06117" w:rsidRDefault="00D06117" w:rsidP="00D06117">
      <w:pPr>
        <w:pStyle w:val="TextoNormal"/>
      </w:pPr>
    </w:p>
    <w:p w:rsidR="00D06117" w:rsidRDefault="00D06117" w:rsidP="00D06117">
      <w:pPr>
        <w:pStyle w:val="TextoNormal"/>
      </w:pPr>
      <w:r w:rsidRPr="00D06117">
        <w:rPr>
          <w:rStyle w:val="NumeroAFNegritaCaracter"/>
        </w:rPr>
        <w:t>6</w:t>
      </w:r>
      <w:r>
        <w:t>. El siguiente precepto impugnado es el artículo 7 de la Ley castellano-manchega 8/2001, que impone ciertos deberes a los operadores de instalaciones de radiocomunicación en los siguientes términos:</w:t>
      </w:r>
    </w:p>
    <w:p w:rsidR="00D06117" w:rsidRDefault="00D06117" w:rsidP="00D06117">
      <w:pPr>
        <w:pStyle w:val="TextoNormal"/>
      </w:pPr>
    </w:p>
    <w:p w:rsidR="00D06117" w:rsidRDefault="00D06117" w:rsidP="00D06117">
      <w:pPr>
        <w:pStyle w:val="TextoNormal"/>
      </w:pPr>
      <w:r>
        <w:t>“Los operadores están obligados a mantener sus instalaciones en las debidas condiciones de seguridad, estabilidad y conservación así como a incorporar las mejoras tecnológicas que vayan apareciendo y contribuyan a reducir los niveles de emisión de los sistemas radiantes y a minimizar el impacto ambiental y visual de acuerdo con los fines de esta Ley.</w:t>
      </w:r>
    </w:p>
    <w:p w:rsidR="00D06117" w:rsidRDefault="00D06117" w:rsidP="00D06117">
      <w:pPr>
        <w:pStyle w:val="TextoNormal"/>
      </w:pPr>
    </w:p>
    <w:p w:rsidR="00D06117" w:rsidRDefault="00D06117" w:rsidP="00D06117">
      <w:pPr>
        <w:pStyle w:val="TextoNormal"/>
      </w:pPr>
      <w:r>
        <w:t>Los operadores tendrán que revisar las instalaciones anualmente, notificando en el plazo de dos meses a la Consejería competente la acreditación de dicha revisión.</w:t>
      </w:r>
    </w:p>
    <w:p w:rsidR="00D06117" w:rsidRDefault="00D06117" w:rsidP="00D06117">
      <w:pPr>
        <w:pStyle w:val="TextoNormal"/>
      </w:pPr>
    </w:p>
    <w:p w:rsidR="00D06117" w:rsidRDefault="00D06117" w:rsidP="00D06117">
      <w:pPr>
        <w:pStyle w:val="TextoNormal"/>
      </w:pPr>
      <w:r>
        <w:lastRenderedPageBreak/>
        <w:t>Los titulares de las instalaciones estarán obligados a subsanar las deficiencias de conservación en un plazo máximo de quince días a partir de la notificación de la irregularidad. Cuando existan situaciones de peligro para las personas o bienes, las medidas deberán adoptarse de forma inmediata.</w:t>
      </w:r>
    </w:p>
    <w:p w:rsidR="00D06117" w:rsidRDefault="00D06117" w:rsidP="00D06117">
      <w:pPr>
        <w:pStyle w:val="TextoNormal"/>
      </w:pPr>
    </w:p>
    <w:p w:rsidR="00D06117" w:rsidRDefault="00D06117" w:rsidP="00D06117">
      <w:pPr>
        <w:pStyle w:val="TextoNormal"/>
      </w:pPr>
      <w:r>
        <w:t>En los supuestos de cese definitivo de la actividad o existencia de elementos de la instalación en desuso, el operador o, en su caso, el propietario de las instalaciones deberá realizar las actuaciones necesarias para desmantelar y retirar los equipos de radiocomunicación o sus elementos, y dejar el terreno, la construcción o edificio que sirva de soporte a dicha instalación, en el estado anterior al establecimiento de los mismos.”</w:t>
      </w:r>
    </w:p>
    <w:p w:rsidR="00D06117" w:rsidRDefault="00D06117" w:rsidP="00D06117">
      <w:pPr>
        <w:pStyle w:val="TextoNormal"/>
      </w:pPr>
    </w:p>
    <w:p w:rsidR="00D06117" w:rsidRDefault="00D06117" w:rsidP="00D06117">
      <w:pPr>
        <w:pStyle w:val="TextoNormal"/>
      </w:pPr>
      <w:r>
        <w:t>La Abogada del Estado considera que este precepto vulnera la competencia estatal en materia de telecomunicaciones (art. 149.1.21 CE) y, concretamente, la competencia que corresponde al Estado para asegurar la necesaria homogeneidad técnica en materia de radiocomunicación pues, tal y como se señaló en la STC 168/1993, “la autorización estatal de las inversiones en redes de telecomunicación busca fundamentalmente garantizar que la introducción de nuevas tecnologías no distorsione la prestación de servicios preexistentes, entre otras razones, mediante el mantenimiento de una imprescindible homogeneidad o normalización técnica”. Se vulnera, también, a su juicio, la competencia estatal para la gestión del espectro radioeléctrico que comprende el otorgamiento del derecho a su uso, la comprobación de las emisiones radioeléctricas y la inspección y control de las condiciones técnicas de las emisoras (arts. 61 y 65 de la Ley general de telecomunicaciones y STC 26/1982, de 24 de mayo). Y, finalmente, concluye la Abogada del Estado, que la regulación autonómica interfiere en las potestades del Estado para la planificación del espectro radioeléctrico, entre cuyas finalidades se encuentra la ordenación de su uso atendiendo a características de los emisores tales como el emplazamiento, la emisión y las condiciones de radiación, con la finalidad de impedir que se produzcan interferencias entre unas y otras emisiones del mismo tipo.</w:t>
      </w:r>
    </w:p>
    <w:p w:rsidR="00D06117" w:rsidRDefault="00D06117" w:rsidP="00D06117">
      <w:pPr>
        <w:pStyle w:val="TextoNormal"/>
      </w:pPr>
    </w:p>
    <w:p w:rsidR="00D06117" w:rsidRDefault="00D06117" w:rsidP="00D06117">
      <w:pPr>
        <w:pStyle w:val="TextoNormal"/>
      </w:pPr>
      <w:r>
        <w:t>Las representaciones procesales de las instituciones autonómicas defienden la constitucionalidad del precepto afirmando que la regulación ni afecta, ni puede interferir en las competencias de gestión del espacio radioeléctrico puesto que las obligaciones se imponen a los operadores exclusivamente con fines de protección de la salud y el medio ambiente y en ejercicio de las competencias que, en ambos campos, corresponden a la Comunidad Autónoma (arts. 32.3 y 32.7 EACM). Se señala, además, que la obligación que se impone de mantener las instalaciones en las debidas condiciones de seguridad, estabilidad y conservación no supone añadir nuevas obligaciones que modifiquen la relación entre el Estado y el concesionario o autorizado, y que la revisión anual y subsanación de deficiencias ha de entenderse circunscrita a los fines señalados de protección medioambiental y de la salud. Por otra parte, también se considera que la regulación de los equipos que han cesado en su actividad no puede invadir las competencias estatales en materia de telecomunicaciones, puesto que se trata de instalaciones en las que ya no se desarrolla actividad alguna, ni de telecomunicación, ni de otro tipo, siendo lógico que sean las autoridades con competencias medioambientales las que impongan la obligación de recuperación del entorno.</w:t>
      </w:r>
    </w:p>
    <w:p w:rsidR="00D06117" w:rsidRDefault="00D06117" w:rsidP="00D06117">
      <w:pPr>
        <w:pStyle w:val="TextoNormal"/>
      </w:pPr>
    </w:p>
    <w:p w:rsidR="00D06117" w:rsidRDefault="00D06117" w:rsidP="00D06117">
      <w:pPr>
        <w:pStyle w:val="TextoNormal"/>
      </w:pPr>
      <w:r>
        <w:t xml:space="preserve">Una vez expuestas las posiciones de las partes, debemos precisar que el artículo 7 de la Ley 8/2001 impone diversas obligaciones a los operadores. En primer lugar, establece que </w:t>
      </w:r>
      <w:r>
        <w:lastRenderedPageBreak/>
        <w:t>éstos tienen la obligación de mantener sus instalaciones en las debidas condiciones de seguridad, estabilidad y conservación, derivándose de esta obligación otras adicionales, como son la revisión anual de las instalaciones y la subsanación de deficiencias de conservación en plazo. En segundo lugar, dispone que deberán incorporar las mejoras tecnológicas que vayan apareciendo y contribuyan a reducir los niveles de emisión de los sistemas radiantes y a minimizar el impacto ambiental y visual de acuerdo con los fines de la ley castellano-manchega. En tercer lugar, en los supuestos de cese definitivo de la actividad o existencia de elementos de la instalación en desuso, también impone —al operador o al propietario de las instalaciones— el desmantelamiento y retirada de los equipos de radiocomunicaciones o sus elementos, así como dejar el terreno, la construcción o edificio que sirva de soporte en el estado anterior al establecimiento de los mismos.</w:t>
      </w:r>
    </w:p>
    <w:p w:rsidR="00D06117" w:rsidRDefault="00D06117" w:rsidP="00D06117">
      <w:pPr>
        <w:pStyle w:val="TextoNormal"/>
      </w:pPr>
    </w:p>
    <w:p w:rsidR="00D06117" w:rsidRDefault="00D06117" w:rsidP="00D06117">
      <w:pPr>
        <w:pStyle w:val="TextoNormal"/>
      </w:pPr>
      <w:r>
        <w:t>En virtud de sus competencias en materia de telecomunicaciones (art. 149.1.21 CE), corresponde al Estado la administración, gestión, planificación y control del espectro radioeléctrico, lo que incluye el establecimiento de las condiciones para el uso del mismo, así como funciones de inspección y comprobación técnica. En este sentido, interesa ahora destacar que el artículo 50 de la Ley general de telecomunicaciones de 2003 dispone que será competencia del Ministerio de Ciencia y Tecnología la inspección de los servicios y de las redes de telecomunicaciones, de sus condiciones de prestación, de los equipos, de los aparatos, de las instalaciones y de los servicios civiles, que contará con un servicio central de inspección técnica de telecomunicaciones (art. 50.2 de la Ley general de telecomunicaciones de 2003).</w:t>
      </w:r>
    </w:p>
    <w:p w:rsidR="00D06117" w:rsidRDefault="00D06117" w:rsidP="00D06117">
      <w:pPr>
        <w:pStyle w:val="TextoNormal"/>
      </w:pPr>
    </w:p>
    <w:p w:rsidR="00D06117" w:rsidRDefault="00D06117" w:rsidP="00D06117">
      <w:pPr>
        <w:pStyle w:val="TextoNormal"/>
      </w:pPr>
      <w:r>
        <w:t>Las obligaciones que la legislación castellano-manchega establece respecto del mantenimiento de las instalaciones en condiciones de seguridad, estabilidad y conservación, así como correlativamente, de revisión y subsanación de deficiencias, no han de entenderse referidas a aspectos relativos a la utilización del espectro radioeléctrico, al cumplimiento de las condiciones técnicas o a las características de las emisiones, aspectos todos ellos de competencia estatal, que la ley castellano-manchega no aborda y en los cuales no pretende interferir. No debe olvidarse que esta ley regula las infraestructuras e instalaciones de telecomunicaciones con la finalidad de preservar los intereses públicos que están encomendados a la Comunidad Autónoma y, singularmente, los intereses de ordenación territorial y urbana, el medio ambiente, el paisaje y la salud y la seguridad públicas.</w:t>
      </w:r>
    </w:p>
    <w:p w:rsidR="00D06117" w:rsidRDefault="00D06117" w:rsidP="00D06117">
      <w:pPr>
        <w:pStyle w:val="TextoNormal"/>
      </w:pPr>
    </w:p>
    <w:p w:rsidR="00D06117" w:rsidRDefault="00D06117" w:rsidP="00D06117">
      <w:pPr>
        <w:pStyle w:val="TextoNormal"/>
      </w:pPr>
      <w:r>
        <w:t>La imposición a los operadores de las obligaciones genéricas de mantenimiento de sus instalaciones en condiciones adecuadas de seguridad, estabilidad y conservación, así como de revisión periódica y subsanación de las deficiencias de conservación entra dentro de las competencias autonómicas en materia de urbanismo (art. 148.1.3 CE; art. 31.1.2 EACM), siendo esta previsión una regulación especial, en atención a las características de las instalaciones de telecomunicaciones, de la regulación urbanística clásica del deber general de los propietarios de conservar y mantener sus construcciones e instalaciones en condiciones adecuadas.</w:t>
      </w:r>
    </w:p>
    <w:p w:rsidR="00D06117" w:rsidRDefault="00D06117" w:rsidP="00D06117">
      <w:pPr>
        <w:pStyle w:val="TextoNormal"/>
      </w:pPr>
    </w:p>
    <w:p w:rsidR="00D06117" w:rsidRDefault="00D06117" w:rsidP="00D06117">
      <w:pPr>
        <w:pStyle w:val="TextoNormal"/>
      </w:pPr>
      <w:r>
        <w:t>Más problemática es la obligación que se impone a los operadores de incorporar las mejoras tecnológicas que vayan apareciendo y contribuyan a reducir los niveles de emisión de los sistemas radiantes y a minimizar el impacto ambiental y visual de acuerdo con los fines de la ley autonómica.</w:t>
      </w:r>
    </w:p>
    <w:p w:rsidR="00D06117" w:rsidRDefault="00D06117" w:rsidP="00D06117">
      <w:pPr>
        <w:pStyle w:val="TextoNormal"/>
      </w:pPr>
    </w:p>
    <w:p w:rsidR="00D06117" w:rsidRDefault="00D06117" w:rsidP="00D06117">
      <w:pPr>
        <w:pStyle w:val="TextoNormal"/>
      </w:pPr>
      <w:r>
        <w:lastRenderedPageBreak/>
        <w:t>Esta regulación tiene dos finalidades distintas: la reducción de los niveles de emisión de los sistemas radiantes con la finalidad de proteger la salud y la minimización del impacto ambiental y visual. Son, por tanto, las competencias de sanidad (art. 32.3 EACM), protección medioambiental (art. 32.7 EACM) y urbanismo (art. 31.1.2 EACM), las que pueden ofrecer cobertura a la misma. En materia de urbanismo, las Comunidades Autónomas tienen competencias exclusivas (art. 148.1.3 CE), mientras que, en relación con la protección general del medio ambiente, ciertamente, las Comunidades Autónomas tienen competencias no sólo de desarrollo de la legislación básica medioambiental, sino también para dictar normas adicionales de protección (art. 149.1.23 CE). En el ámbito sanitario, la competencia es igualmente compartida, correspondiendo al Estado el establecimiento de la legislación básica (art. 149.1.16 CE).</w:t>
      </w:r>
    </w:p>
    <w:p w:rsidR="00D06117" w:rsidRDefault="00D06117" w:rsidP="00D06117">
      <w:pPr>
        <w:pStyle w:val="TextoNormal"/>
      </w:pPr>
    </w:p>
    <w:p w:rsidR="00D06117" w:rsidRDefault="00D06117" w:rsidP="00D06117">
      <w:pPr>
        <w:pStyle w:val="TextoNormal"/>
      </w:pPr>
      <w:r>
        <w:t>En ejercicio de sus competencias en materia de telecomunicaciones pero también de sanidad, y más concretamente en desarrollo tanto de la Ley general de telecomunicaciones de 1998, como de la Ley 14/1986, de 25 de abril, general de sanidad, el Estado ha dictado el Real Decreto 1066/2001, de 28 de septiembre, por el que se aprueba el reglamento que establece condiciones de protección del dominio público radioeléctrico, restricciones a las emisiones radioeléctricas y medidas de protección sanitaria frente a emisiones radioeléctricas. En su artículo 44.1, la Ley general de telecomunicaciones de 2003 dispone que, por vía reglamentaria, se regulará, entre otros aspectos “el procedimiento de determinación, control e inspección de los niveles de emisión radioeléctrica tolerable y que no supongan un peligro para la salud pública, en concordancia con lo dispuesto por las recomendaciones de la Comisión Europea” debiendo tales límites “ser respetados, en todo caso, por el resto de las Administraciones públicas, tanto autonómicas como locales”. Y en el artículo 1 del Real Decreto 1066/2001, de 28 de septiembre, se afirma que su objeto es el “el desarrollo de la Ley 11/1998, de 24 de abril, General de Telecomunicaciones, en lo relativo al establecimiento de condiciones de protección del dominio público radioeléctrico, a la autorización, planificación e inspección de instalaciones radioeléctricas en relación con los límites de exposición a las emisiones, la evaluación de equipos y aparatos y el régimen sancionador aplicable”, así como también el de la Ley 14/1986, de 25 de abril, general de sanidad, “en relación con el establecimiento de límites de exposición para la protección sanitaria y la evaluación de riesgos por emisiones radioeléctricas”.</w:t>
      </w:r>
    </w:p>
    <w:p w:rsidR="00D06117" w:rsidRDefault="00D06117" w:rsidP="00D06117">
      <w:pPr>
        <w:pStyle w:val="TextoNormal"/>
      </w:pPr>
    </w:p>
    <w:p w:rsidR="00D06117" w:rsidRDefault="00D06117" w:rsidP="00D06117">
      <w:pPr>
        <w:pStyle w:val="TextoNormal"/>
      </w:pPr>
      <w:r>
        <w:t xml:space="preserve">A esos efectos, en el artículo 6 del Real Decreto 1066/2001 se regulan los límites de exposición a las emisiones radioeléctricas fijándose las restricciones básicas y los niveles de referencia, estableciéndose que “con el fin de garantizar una adecuada protección de la salud del público en general, se aplicarán los límites de exposición que figuran en el anexo II” y que éstos “se cumplirán en las zonas en las que puedan permanecer habitualmente las personas y en la exposición a las emisiones de los equipos terminales, sin perjuicio de lo dispuesto en otras disposiciones específicas en el ámbito laboral”. Y a continuación, en el artículo 7 del citado Real Decreto, dictado también en desarrollo de la Ley general de sanidad según se dice en la exposición de motivos, se establece que el Ministerio de Sanidad y Consumo, en coordinación con las Comunidades Autónomas y con el Ministerio de Ciencia y Tecnología, evaluará los riesgos sanitarios potenciales de la exposición al público en general a las emisiones radioeléctricas y desarrollará los criterios sanitarios destinados a evaluar las fuentes y prácticas que puedan dar lugar a la exposición a este tipo de emisiones con el fin de aplicar medidas para controlar, reducir o evitar esta exposición. Es más, se establece también que el Ministerio de Sanidad y Consumo adaptará al progreso científico el anexo </w:t>
      </w:r>
      <w:r>
        <w:lastRenderedPageBreak/>
        <w:t>II, teniendo en cuenta el principio de precaución y las evaluaciones realizadas por las organizaciones nacionales e internacionales competentes.</w:t>
      </w:r>
    </w:p>
    <w:p w:rsidR="00D06117" w:rsidRDefault="00D06117" w:rsidP="00D06117">
      <w:pPr>
        <w:pStyle w:val="TextoNormal"/>
      </w:pPr>
    </w:p>
    <w:p w:rsidR="00D06117" w:rsidRDefault="00D06117" w:rsidP="00D06117">
      <w:pPr>
        <w:pStyle w:val="TextoNormal"/>
      </w:pPr>
      <w:r>
        <w:t>Por su parte, el artículo 8 del Real Decreto 1066/2001, dictado en desarrollo de la Ley general de telecomunicaciones, regula los requisitos para la autorización de estaciones radioeléctricas previendo que los operadores deberán presentar un estudio técnico competente que indique los niveles de exposición radioeléctrica en áreas cercanas a sus instalaciones radioeléctricas fijas en las que puedan permanecer habitualmente personas, que deberán cumplir los límites establecidos en el anexo II de este reglamento. Y el artículo 9 contempla obligaciones de los operadores de certificación del cumplimiento de los límites de exposición establecidos en el anexo II, así como inspecciones técnicas estatales, disponiendo que se dará información sobre el resultado, tanto de las certificaciones como de las inspecciones, a las Comunidades Autónomas cuando así lo soliciten.</w:t>
      </w:r>
    </w:p>
    <w:p w:rsidR="00D06117" w:rsidRDefault="00D06117" w:rsidP="00D06117">
      <w:pPr>
        <w:pStyle w:val="TextoNormal"/>
      </w:pPr>
    </w:p>
    <w:p w:rsidR="00D06117" w:rsidRDefault="00D06117" w:rsidP="00D06117">
      <w:pPr>
        <w:pStyle w:val="TextoNormal"/>
      </w:pPr>
      <w:r>
        <w:t>En definitiva, el Estado en ejercicio de sus competencias en materia de sanidad y telecomunicaciones, está configurando un procedimiento para la determinación de los niveles de emisión radioeléctrica tolerable, para su actualización conforme al progreso científico, así como para el control del cumplimiento por los operadores de estos niveles de emisión a través de un sistema de autorización, seguimiento, inspección y control, en el que se entrelazan aspectos sanitarios y aspectos de telecomunicaciones. Y correlativamente está regulando las condiciones y obligaciones que corresponden a los operadores de telecomunicaciones. Así lo evidencia el que precisamente en el Real Decreto 424/2005, de 15 de abril, por el que se aprueba el reglamento sobre las condiciones para la prestación de servicios de comunicaciones electrónicas, el servicio universal y la protección de usuarios, dictado al amparo del título competencial de telecomunicaciones (disposición final sexta), se establezca entre las condiciones exigibles a los operadores que exploten redes públicas de comunicaciones electrónicas [art. 18 e)] la de “respetar las limitaciones establecidas en la Ley 32/2003, de 3 de noviembre, y en su normativa de desarrollo en relación con las emisiones radioeléctricas y la exposición al público a campos electromagnéticos”.</w:t>
      </w:r>
    </w:p>
    <w:p w:rsidR="00D06117" w:rsidRDefault="00D06117" w:rsidP="00D06117">
      <w:pPr>
        <w:pStyle w:val="TextoNormal"/>
      </w:pPr>
    </w:p>
    <w:p w:rsidR="00D06117" w:rsidRDefault="00D06117" w:rsidP="00D06117">
      <w:pPr>
        <w:pStyle w:val="TextoNormal"/>
      </w:pPr>
      <w:r>
        <w:t xml:space="preserve">De acuerdo con lo que se deduce de la propia regulación estatal, la determinación por el Estado de los niveles tolerables de emisión no se basa en la competencia de telecomunicaciones, sino en la competencia para establecer las bases en materia de sanidad ex art. 149.1.16 CE. Es preciso, por tanto, afirmar que la norma que establece los niveles de emisión y que sirve de canon de constitucionalidad del precepto autonómico, satisface los requisitos, tanto de orden material como formal, que han de reunir las normas básicas, de acuerdo con la doctrina de este Tribunal (entre otras, SSTC 69/1988, de 19 de abril, FJ 5; 109/2003, de 5 de junio, FJ 4; 88/2010, de 15 de noviembre, FJ 4; y 148/2011, de 28 de septiembre, FJ 6). Desde una perspectiva formal, cumple con las exigencias constitucionales porque este Tribunal ha aceptado que las normas básicas sean de rango reglamentario siempre que tengan una conexión clara con una norma legal —como hemos visto que, efectivamente, ocurre en este caso— y que la remisión a la norma reglamentaria se justifique por la naturaleza de la materia; justificación que, en el supuesto que ahora nos ocupa, deriva del carácter marcadamente técnico de la regulación (por todas, STC 148/2011, de 28 de septiembre, FJ 6). Desde una perspectiva material, el precepto también tiene carácter básico —calificación que corresponde a este Tribunal en control de la definición realizada por el legislador o el Gobierno estatal— pues establece unos estándares que garantizan en todo el </w:t>
      </w:r>
      <w:r>
        <w:lastRenderedPageBreak/>
        <w:t>territorio del Estado un común denominador normativo dirigido a asegurar, de manera unitaria y en condiciones de igualdad, los intereses generales a partir de los cuales cada Comunidad Autónoma puede, en defensa de sus propios intereses, introducir las peculiaridades que estime convenientes y oportunas, dentro del marco competencial que en la materia le asigne su Estatuto (por todas, SSTC 69/1988, de 19 de abril, FJ 5). En efecto, la regulación de los niveles de emisión persigue una uniformidad que responde a un claro interés general no sólo porque los niveles tolerables para la salud han de serlo para todos los ciudadanos por igual, sino también porque los mismos operan como un presupuesto del ejercicio de las competencias estatales en materia de telecomunicaciones y, concretamente, del ejercicio de las facultades de autorización, seguimiento e inspección de las instalaciones radioeléctricas. Es más, correlativamente, esos niveles de emisión fijados por el Estado funcionan, también, como un elemento determinante del régimen jurídico de los operadores de instalaciones de radiocomunicación, así como de la funcionalidad del mercado de las telecomunicaciones, asegurando su unidad. En definitiva, a través del Real Decreto 1066/2001, el Estado ha establecido una regulación que ofrece, para todo el ámbito nacional, una solución de equilibrio entre la preservación de la protección de la salud y el interés público al que responde la ordenación del sector de las telecomunicaciones.</w:t>
      </w:r>
    </w:p>
    <w:p w:rsidR="00D06117" w:rsidRDefault="00D06117" w:rsidP="00D06117">
      <w:pPr>
        <w:pStyle w:val="TextoNormal"/>
      </w:pPr>
    </w:p>
    <w:p w:rsidR="00D06117" w:rsidRDefault="00D06117" w:rsidP="00D06117">
      <w:pPr>
        <w:pStyle w:val="TextoNormal"/>
      </w:pPr>
      <w:r>
        <w:t>Constatado el carácter básico de la regulación estatal de los niveles tolerables de emisión, es preciso concluir que las Comunidades Autónomas no pueden alterar esos estándares, ni imponer a los operadores una obligación de incorporar nuevas tecnologías para lograr una minimización de las emisiones, no sólo porque ello resulte contrario a las bases establecidas por el Estado en materia sanitaria, sino también porque de esa forma se vulnerarían, en último término, las competencias legítimas del Estado en materia de telecomunicaciones. Procede, pues, declarar la inconstitucionalidad del inciso del artículo 7 de la ley castellano-manchega en el que se obliga a los operadores a “incorporar las mejoras tecnológicas que vayan apareciendo y contribuyan a reducir los niveles de emisión de los sistemas radiantes”.</w:t>
      </w:r>
    </w:p>
    <w:p w:rsidR="00D06117" w:rsidRDefault="00D06117" w:rsidP="00D06117">
      <w:pPr>
        <w:pStyle w:val="TextoNormal"/>
      </w:pPr>
    </w:p>
    <w:p w:rsidR="00D06117" w:rsidRDefault="00D06117" w:rsidP="00D06117">
      <w:pPr>
        <w:pStyle w:val="TextoNormal"/>
      </w:pPr>
      <w:r w:rsidRPr="00D06117">
        <w:rPr>
          <w:rStyle w:val="NumeroAFNegritaCaracter"/>
        </w:rPr>
        <w:t>7</w:t>
      </w:r>
      <w:r>
        <w:t>. Resuelto el problema que plantea la obligación de incorporar las mejoras tecnológicas que vayan apareciendo y contribuyan a reducir los niveles de emisión de los sistemas radiantes, procede ahora analizar la constitucionalidad de la obligación que impone también el artículo 7 de la Ley Castellano-Manchega 8/2001 de incorporar esas mejoras con la finalidad de minimizar el impacto ambiental y visual de acuerdo con los fines de la ley autonómica.</w:t>
      </w:r>
    </w:p>
    <w:p w:rsidR="00D06117" w:rsidRDefault="00D06117" w:rsidP="00D06117">
      <w:pPr>
        <w:pStyle w:val="TextoNormal"/>
      </w:pPr>
    </w:p>
    <w:p w:rsidR="00D06117" w:rsidRDefault="00D06117" w:rsidP="00D06117">
      <w:pPr>
        <w:pStyle w:val="TextoNormal"/>
      </w:pPr>
      <w:r>
        <w:t>Esta previsión tiene por finalidad preservar intereses públicos medioambientales y urbanísticos, por lo que, efectivamente, la cuestión es si puede encontrar cobertura en las competencias exclusivas de la Comunidad Autónoma en materia de urbanismo, así como en sus competencias para establecer legislación de desarrollo y normas adicionales de protección en materia de medio ambiente. O si, por el contrario, tal regulación invade las competencias estatales en materia de telecomunicaciones.</w:t>
      </w:r>
    </w:p>
    <w:p w:rsidR="00D06117" w:rsidRDefault="00D06117" w:rsidP="00D06117">
      <w:pPr>
        <w:pStyle w:val="TextoNormal"/>
      </w:pPr>
    </w:p>
    <w:p w:rsidR="00D06117" w:rsidRDefault="00D06117" w:rsidP="00D06117">
      <w:pPr>
        <w:pStyle w:val="TextoNormal"/>
      </w:pPr>
      <w:r>
        <w:t xml:space="preserve">A efectos de resolver esta cuestión, es preciso tener en cuenta que hemos dicho que el título competencial en materia de telecomunicaciones permite al Estado regular los aspectos técnicos de la emisión relativos al uso del dominio público radioeléctrico (SSTC 168/1993, FJ 4; 244/1993, FJ 2; 127/1994, FFJJ 5 y 8; y 31/2010, FJ 85), así como el régimen de títulos habilitantes para su utilización y para el funcionamiento de las redes o estaciones radioeléctricas (SSTC 167/1993, FJ 3, y 244/1993, FFJJ 4, 5 y 6). A lo que debe ahora añadirse que </w:t>
      </w:r>
      <w:r>
        <w:lastRenderedPageBreak/>
        <w:t>dicho título, más allá de estas cuestiones específicas, permite al Estado la regulación del sector de las telecomunicaciones —sin perjuicio de las competencias autonómicas sobre medios de comunicación social—, así como las condiciones de prestación del servicio y de explotación de las redes, y el régimen jurídico de los operadores.</w:t>
      </w:r>
    </w:p>
    <w:p w:rsidR="00D06117" w:rsidRDefault="00D06117" w:rsidP="00D06117">
      <w:pPr>
        <w:pStyle w:val="TextoNormal"/>
      </w:pPr>
    </w:p>
    <w:p w:rsidR="00D06117" w:rsidRDefault="00D06117" w:rsidP="00D06117">
      <w:pPr>
        <w:pStyle w:val="TextoNormal"/>
      </w:pPr>
      <w:r>
        <w:t>La Ley general de telecomunicaciones de 2003 enuncia entre sus objetivos y principios el fomento del uso de normas y especificaciones técnicas en los acuerdos de acceso e interconexión (art. 15) y, además, la evaluación de conformidad o certificación voluntaria de los aparatos de telecomunicaciones (art. 40), pero más allá de estas previsiones consagra el principio de neutralidad tecnológica [art. 3 f)], de acuerdo con el cual, en un contexto de libre mercado y competencia, es a los operadores a quienes corresponde la elección de la tecnología que estimen más acorde a sus intereses. En la misma idea insiste el Real Decreto 863/2008, de 23 de mayo, por el que se aprueba el reglamento de desarrollo de la Ley general de telecomunicaciones de 2003 en lo relativo al uso del dominio público radioeléctrico, pues en su artículo 2 enuncia, como objetivo y principio de la regulación, “fomentar la neutralidad tecnológica y de los servicios como elementos flexibilizadores en el uso eficiente del dominio público radioeléctrico”.</w:t>
      </w:r>
    </w:p>
    <w:p w:rsidR="00D06117" w:rsidRDefault="00D06117" w:rsidP="00D06117">
      <w:pPr>
        <w:pStyle w:val="TextoNormal"/>
      </w:pPr>
    </w:p>
    <w:p w:rsidR="00D06117" w:rsidRDefault="00D06117" w:rsidP="00D06117">
      <w:pPr>
        <w:pStyle w:val="TextoNormal"/>
      </w:pPr>
      <w:r>
        <w:t>Por otra parte, el art. 44.1 c) de la Ley general de telecomunicaciones de 2003 dispone que por vía reglamentaria se regularán “los procedimientos de otorgamiento de derechos de uso del dominio público radioeléctrico” y que tales procedimientos “tendrán en cuenta, entre otras circunstancias, la tecnología utilizada”. Estos procedimientos han sido establecidos en el Real Decreto 863/2008, relativo al uso del dominio público radioeléctrico. En el mismo se establece, que cuando el uso del dominio público radioeléctrico requiera concesión —que será en la mayor parte de los casos, pues el uso especial tiene un carácter residual— la obtención del título habilitante exige la presentación previa de una documentación que ha de ir acompañada de la correspondiente propuesta técnica (art. 20 del Real Decreto 863/2008). En esta propuesta técnica se describe la solución técnica adoptada en función de las necesidades de radiocomunicaciones planteadas y se especifican las características técnicas de la red que se pretende instalar [art. 20.1 b)]. En caso de que sea preciso para garantizar una gestión eficaz y eficiente del dominio público radioeléctrico, la Agencia Estatal de Radiocomunicaciones puede modificar las características técnicas solicitadas en cuyo caso la validez del título se condiciona a la aceptación del solicitante (art. 20.3). La agencia puede, además, durante la vigencia del título habilitante original, modificar las características técnicas cuando ello sea preciso para su adecuación al cuadro nacional de atribución de frecuencias, por obligaciones de uso eficaz y eficiente del dominio público radioeléctrico o por obligaciones derivadas del cumplimiento de la normativa internacional o comunitaria (art. 25.1 del Real Decreto 863/2008). La utilización del dominio público radioeléctrico exige la inspección o reconocimiento de las instalaciones con el fin de comprobar que se ajustan a las condiciones previamente autorizadas (art. 19 del Real Decreto 863/2008), correspondiendo a la agencia expedir la autorización de puesta en funcionamiento de la red o inicio de la prestación efectiva del servicio.</w:t>
      </w:r>
    </w:p>
    <w:p w:rsidR="00D06117" w:rsidRDefault="00D06117" w:rsidP="00D06117">
      <w:pPr>
        <w:pStyle w:val="TextoNormal"/>
      </w:pPr>
    </w:p>
    <w:p w:rsidR="00D06117" w:rsidRDefault="00D06117" w:rsidP="00D06117">
      <w:pPr>
        <w:pStyle w:val="TextoNormal"/>
      </w:pPr>
      <w:r>
        <w:t xml:space="preserve">Por otra parte, el régimen de condiciones y obligaciones que los operadores han de cumplir para la explotación de redes y prestación de servicios de comunicaciones electrónicas se establece en el Real Decreto 424/2005, de servicios de comunicaciones electrónicas, refiriéndose una de esas condiciones al respeto de la normativa urbanística, medioambiental y de salud pública en relación con el ejercicio del derecho de ocupación del dominio público </w:t>
      </w:r>
      <w:r>
        <w:lastRenderedPageBreak/>
        <w:t>y de la propiedad privada, de acuerdo con lo dispuesto en el art. 28 de la Ley general de telecomunicaciones de 2003.</w:t>
      </w:r>
    </w:p>
    <w:p w:rsidR="00D06117" w:rsidRDefault="00D06117" w:rsidP="00D06117">
      <w:pPr>
        <w:pStyle w:val="TextoNormal"/>
      </w:pPr>
    </w:p>
    <w:p w:rsidR="00D06117" w:rsidRDefault="00D06117" w:rsidP="00D06117">
      <w:pPr>
        <w:pStyle w:val="TextoNormal"/>
      </w:pPr>
      <w:r>
        <w:t>La obligación de actualización tecnológica para minimizar el impacto ambiental y visual de las instalaciones que impone la legislación castellano-manchega ha de interpretarse de conformidad con la legislación estatal de telecomunicaciones. Por tanto, por un lado, hay que entender que la obligación que se impone a los operadores de incorporar las mejoras tecnológicas que vayan apareciendo queda circunscrita a aquellos supuestos en los que, estando justificado en aras de la protección medioambiental o urbanística, el uso de una nueva tecnología no afecte, incida o altere las características técnicas de la red, las condiciones de prestación del servicio y de explotación de la red, ni modifique las condiciones de gestión del espacio radioeléctrico, pues, en caso contrario, se estaría invadiendo la competencia estatal en materia de telecomunicaciones. Y, por otro lado, hay que tener en cuenta que la obligación de actualización puede entrar en colisión con el derecho de ocupación que le reconoce la legislación estatal.</w:t>
      </w:r>
    </w:p>
    <w:p w:rsidR="00D06117" w:rsidRDefault="00D06117" w:rsidP="00D06117">
      <w:pPr>
        <w:pStyle w:val="TextoNormal"/>
      </w:pPr>
    </w:p>
    <w:p w:rsidR="00D06117" w:rsidRDefault="00D06117" w:rsidP="00D06117">
      <w:pPr>
        <w:pStyle w:val="TextoNormal"/>
      </w:pPr>
      <w:r>
        <w:t>Ciertamente, las Comunidades Autónomas pueden imponer límites al derecho de ocupación del dominio público y de la propiedad privada que los operadores tienen reconocido en la legislación estatal de telecomunicaciones, siempre que sea necesario para preservar los intereses públicos que tienen encomendados, entre ellos los medioambientales, paisajísticos y urbanísticos. De hecho, el sometimiento de los operadores a las normas sobre protección medio ambiental y urbanismo se reconoce en el artículo 28 de la Ley general de telecomunicaciones de 2003 cuando se afirma que en la autorización de ocupación del dominio público y de la propiedad privada para la instalación de redes de comunicaciones electrónicas es de aplicación la normativa específica dictada por las Administraciones públicas con competencias sectoriales, entre ellas en materia de medio ambiente y ordenación urbana. Y, en la misma línea, el Real Decreto 424/2005 antes citado, recoge entre las condiciones exigibles a los operadores que exploten redes públicas de comunicaciones electrónicas, el respeto a “las normas y resoluciones aprobadas por las autoridades competentes en materia de urbanismo, de medio ambiente y ordenación del territorio, salud pública, seguridad pública, defensa nacional y tributación por ocupación del dominio público, conforme al artículo 28 de la Ley 32/2003” [art. 18 b)]. Este artículo 28 de la Ley general de telecomunicaciones de 2003 remite, no obstante, al artículo 29 de esta misma ley que sujeta al principio de proporcionalidad las previsiones en la normativa sectorial de condiciones o limitaciones al ejercicio del derecho de ocupación; proporcionalidad que deberá valorarse en función del concreto interés público que se trate, en cada caso, de salvaguardar.</w:t>
      </w:r>
    </w:p>
    <w:p w:rsidR="00D06117" w:rsidRDefault="00D06117" w:rsidP="00D06117">
      <w:pPr>
        <w:pStyle w:val="TextoNormal"/>
      </w:pPr>
    </w:p>
    <w:p w:rsidR="00D06117" w:rsidRDefault="00D06117" w:rsidP="00D06117">
      <w:pPr>
        <w:pStyle w:val="TextoNormal"/>
      </w:pPr>
      <w:r>
        <w:t xml:space="preserve">Se impone, por tanto, una interpretación del primer apartado del artículo 7 de la ley castellano-manchega impugnada acorde con la legislación estatal de telecomunicaciones, conforme a la cual este artículo lo que establece es una obligación de actualización tecnológica debidamente justificada en aras de la protección de intereses ambientales o urbanísticos y siempre que ello sea acorde con el principio de proporcionalidad y no se incida en las competencias del Estado, perturbándolas o menoscabándolas, esto es, siempre que no se incida o se alteren las competencias estatales sobre las características técnicas de la red y las condiciones de prestación del servicio, de gestión del espacio radioeléctrico o de explotación de la red. Ello implica, naturalmente, la instrumentación de medidas de cooperación entre el Estado y la Comunidad Autónoma, que a este Tribunal no le corresponde determinar, de modo que la actualización tecnológica que prevé el precepto debe ser conocida previamente </w:t>
      </w:r>
      <w:r>
        <w:lastRenderedPageBreak/>
        <w:t>por el Estado a fin de que pueda expresar su criterio sobre la afectación que dicha actualización pueda tener sobre sus propias competencias. Así interpretado el precepto no invade las competencias estatales en materia de telecomunicaciones y, en consecuencia, puede considerarse constitucional, por lo que esta interpretación de conformidad del precepto se llevará al fallo.</w:t>
      </w:r>
    </w:p>
    <w:p w:rsidR="00D06117" w:rsidRDefault="00D06117" w:rsidP="00D06117">
      <w:pPr>
        <w:pStyle w:val="TextoNormal"/>
      </w:pPr>
    </w:p>
    <w:p w:rsidR="00D06117" w:rsidRDefault="00D06117" w:rsidP="00D06117">
      <w:pPr>
        <w:pStyle w:val="TextoNormal"/>
      </w:pPr>
      <w:r>
        <w:t>El alcance del apartado segundo y tercero del artículo 7 —que impone obligaciones de revisión anual y de subsanación de deficiencias— debe, por su parte, interpretarse a la luz de lo que acaba de indicarse. Partiendo de que no existen motivos para considerar desproporcionado el sometimiento de las instalaciones a revisión con una periodicidad anual, ha de entenderse que esta revisión se circunscribe a los aspectos de estricta competencia autonómica en los términos ya señalados, sin que pueda extenderse a aquellos otros aspectos que son de competencia estatal. Esta interpretación de conformidad con la Constitución de los apartados segundo y tercero del artículo 7 se llevará al fallo.</w:t>
      </w:r>
    </w:p>
    <w:p w:rsidR="00D06117" w:rsidRDefault="00D06117" w:rsidP="00D06117">
      <w:pPr>
        <w:pStyle w:val="TextoNormal"/>
      </w:pPr>
    </w:p>
    <w:p w:rsidR="00D06117" w:rsidRDefault="00D06117" w:rsidP="00D06117">
      <w:pPr>
        <w:pStyle w:val="TextoNormal"/>
      </w:pPr>
      <w:r>
        <w:t>Por lo que se refiere al último apartado del artículo 7, se trata de un precepto que regula la obligación de desmantelamiento y retirada de los equipos de radiocomunicación o de sus elementos cuando cesa definitivamente la actividad o cuando, continuando la misma, ciertos elementos han dejado de ser funcionales y han caído en desuso. Lo que se aborda, por tanto, es la obligación de recuperación y restauración del entorno afectado por la instalación de radiocomunicación (edificio o terreno); regulación que, en modo alguno, pertenece a la esfera de la materia telecomunicaciones pues se refiere a instalaciones o elementos de las mismas, que por cese o por desuso, han perdido su funcionalidad, encuadrándose, por tanto, la norma, con claridad, en las materias de medio ambiente y urbanismo. En todo caso, como señala el Letrado de las Cortes de Castilla-La Mancha, lo cierto es que la Abogada del Estado no dedica ninguna argumentación a cuestionar la constitucionalidad de esta parte del precepto, quizás precisamente porque no aprecia motivo alguno de inconstitucionalidad en ella, siendo, en todo caso, este incumplimiento de la carga de argumentar motivo suficiente para desestimar esta parte del recurso de inconstitucionalidad (STC 43/1996, de 14 de marzo, FJ 5).</w:t>
      </w:r>
    </w:p>
    <w:p w:rsidR="00D06117" w:rsidRDefault="00D06117" w:rsidP="00D06117">
      <w:pPr>
        <w:pStyle w:val="TextoNormal"/>
      </w:pPr>
    </w:p>
    <w:p w:rsidR="00D06117" w:rsidRDefault="00D06117" w:rsidP="00D06117">
      <w:pPr>
        <w:pStyle w:val="TextoNormal"/>
      </w:pPr>
      <w:r w:rsidRPr="00D06117">
        <w:rPr>
          <w:rStyle w:val="NumeroAFNegritaCaracter"/>
        </w:rPr>
        <w:t>8</w:t>
      </w:r>
      <w:r>
        <w:t>. Se impugnan, también, los párrafos 1, 3 y 4 del artículo 12.1 de la Ley castellano-manchega 8/2001 en relación con su artículo 10. Estos párrafos del artículo 12 disponen que:</w:t>
      </w:r>
    </w:p>
    <w:p w:rsidR="00D06117" w:rsidRDefault="00D06117" w:rsidP="00D06117">
      <w:pPr>
        <w:pStyle w:val="TextoNormal"/>
      </w:pPr>
    </w:p>
    <w:p w:rsidR="00D06117" w:rsidRDefault="00D06117" w:rsidP="00D06117">
      <w:pPr>
        <w:pStyle w:val="TextoNormal"/>
      </w:pPr>
      <w:r>
        <w:t xml:space="preserve">“La Comisión de Redes de Radiocomunicación aprobará las previsiones de nuevas instalaciones incluidas en los Planes Territoriales de Despliegue de Red en suelo rústico. Esta aprobación se resolverá en que los operadores deberán presentar un Plan Territorial de Despliegue de Red en suelo rústico para su aprobación por la Comisión de Redes de Radiocomunicación. Este órgano deberá resolver en un plazo máximo de tres meses a contar desde la presentación del Plan o de sus modificaciones. En caso de falta de resolución expresa en este plazo se entenderá favorable al interesado.” (párrafo primero) </w:t>
      </w:r>
    </w:p>
    <w:p w:rsidR="00D06117" w:rsidRDefault="00D06117" w:rsidP="00D06117">
      <w:pPr>
        <w:pStyle w:val="TextoNormal"/>
      </w:pPr>
    </w:p>
    <w:p w:rsidR="00D06117" w:rsidRDefault="00D06117" w:rsidP="00D06117">
      <w:pPr>
        <w:pStyle w:val="TextoNormal"/>
      </w:pPr>
      <w:r>
        <w:t xml:space="preserve">“La aprobación del Plan Territorial de Despliegue de Red por parte de la Administración de la Junta de Comunidades será condición indispensable para que los Municipios puedan otorgar las licencias pertinentes para el establecimiento de las instalaciones. La concesión de una licencia municipal sin la previa aprobación administrativa del plan será nula de pleno derecho.” (párrafo tercero) </w:t>
      </w:r>
    </w:p>
    <w:p w:rsidR="00D06117" w:rsidRDefault="00D06117" w:rsidP="00D06117">
      <w:pPr>
        <w:pStyle w:val="TextoNormal"/>
      </w:pPr>
    </w:p>
    <w:p w:rsidR="00D06117" w:rsidRDefault="00D06117" w:rsidP="00D06117">
      <w:pPr>
        <w:pStyle w:val="TextoNormal"/>
      </w:pPr>
      <w:r>
        <w:t>“El acto de aprobación de este Plan será publicado en el Diario Oficial de Castilla-La Mancha, sin perjuicio de su notificación al operador interesado.” (párrafo cuarto)</w:t>
      </w:r>
    </w:p>
    <w:p w:rsidR="00D06117" w:rsidRDefault="00D06117" w:rsidP="00D06117">
      <w:pPr>
        <w:pStyle w:val="TextoNormal"/>
      </w:pPr>
    </w:p>
    <w:p w:rsidR="00D06117" w:rsidRDefault="00D06117" w:rsidP="00D06117">
      <w:pPr>
        <w:pStyle w:val="TextoNormal"/>
      </w:pPr>
      <w:r>
        <w:t>Por su parte, el artículo 10 establece que “para la ordenación de los emplazamientos, los operadores de radiocomunicación han de facilitar a la Administración Autonómica información suficiente sobre la red existente y la previsión, para al menos un año, de las nuevas instalaciones que desarrollarán su red territorial, debiendo contener: 1) con carácter general: Esquema general de la red, indicando los principales nodos y localización de la cabecera, enlaces y posibles alternativas; Descripción de los servicios prestados y tecnologías utilizadas; Programa y calendario de ejecución de las nuevas instalaciones, 2) para cada emplazamiento: Disposición del terreno, accesos y suministros; calificación urbanística del terreno, afecciones medioambientales y al patrimonio histórico-artístico; posibilidad de uso compartido; justificación de la solución técnica propuesta; indicación expresa en planos de la cota altimétrica; altura del emplazamiento y altura de las antenas del sistema radiante; áreas de cobertura; margen de frecuencias y potencia de emisión; ganancia con respecto a una antena isotrópica; número y tipo de antenas; número de portadoras y canales máximos por sector; diagrama de radiación indicando la potencia isótropa radiada equivalente (W) en todas las direcciones; ángulo de elevación del sistema radiante y abertura del haz; 3) la información gráfica ha de señalar los lugares de emplazamiento, con coordenadas UTM y sobre la cartografía siguiente: a) A escala 1: 25.000 para las instalaciones que se emplacen en la demarcación no urbana, b) A escala 1: 2.000 para las instalaciones que se emplacen la demarcación urbana.” El precepto se cierra señalando que “los operadores indicarán de forma expresa aquella parte de la información suministrada que tiene carácter de confidencial, al amparo de la legislación vigente”.</w:t>
      </w:r>
    </w:p>
    <w:p w:rsidR="00D06117" w:rsidRDefault="00D06117" w:rsidP="00D06117">
      <w:pPr>
        <w:pStyle w:val="TextoNormal"/>
      </w:pPr>
    </w:p>
    <w:p w:rsidR="00D06117" w:rsidRDefault="00D06117" w:rsidP="00D06117">
      <w:pPr>
        <w:pStyle w:val="TextoNormal"/>
      </w:pPr>
      <w:r>
        <w:t>La Abogada del Estado sostiene que estos párrafos del artículo 12.1 en relación con el 10 confieren a la Comunidad de Castilla-La Mancha una intervención, a través de la previa e indispensable aprobación del plan territorial de despliegue de red, que invade la competencia que corresponde al Estado para la elaboración y aprobación de los planes de ordenación y utilización del espacio radioeléctrico, pues estos instrumentos, tal y como están configurados, se convierten en una autorización paralela a la estatal que puede impedir el despliegue de la red y que entra en contradicción con el derecho de ocupación que la legislación estatal reconoce a los operadores. La Abogada del Estado considera, también, que se solicitan a los operadores datos que no son necesarios para conocer si una instalación de radiocomunicación incide o no negativamente en el entorno autonómico desde un punto de vista medioambiental, sanitario o urbanístico, tales como “el esquema general de la red, indicando los principales nodos y localización de la cabecera, enlaces y posibles alternativas, áreas de cobertura, margen de frecuencias y potencia de emisión, ganancia con respecto a una antena isotrópica, número de porteadores y canales máximos por sector, diagrama de radiación indicando la potencia isotópica radiada equivalente (W) en todas las direcciones, ángulo de elevación del sistema radiante y abertura de haz”. En definitiva, se convierten estos instrumentos en planes de ordenación de las telecomunicaciones en sentido estricto, con vulneración de las competencias estatales en materia de radiocomunicación (art. 149.1.21 CE).</w:t>
      </w:r>
    </w:p>
    <w:p w:rsidR="00D06117" w:rsidRDefault="00D06117" w:rsidP="00D06117">
      <w:pPr>
        <w:pStyle w:val="TextoNormal"/>
      </w:pPr>
    </w:p>
    <w:p w:rsidR="00D06117" w:rsidRDefault="00D06117" w:rsidP="00D06117">
      <w:pPr>
        <w:pStyle w:val="TextoNormal"/>
      </w:pPr>
      <w:r>
        <w:t xml:space="preserve">Por el contrario, para las representaciones procesales de las instituciones autonómicas, la competencia de aprobación del plan territorial de despliegue de red tiene por única finalidad </w:t>
      </w:r>
      <w:r>
        <w:lastRenderedPageBreak/>
        <w:t>la comprobación de que los emplazamientos de las instalaciones respetan las limitaciones impuestas por la ley, sin que se produzca alteración de la ordenación del espacio radioeléctrico. El acto aprobatorio del plan de despliegue es únicamente declarativo de que se cumplen los requisitos urbanísticos, sanitarios y medioambientales, por lo que cae dentro del ámbito competencial autonómico. Se afirma, también, que a esos efectos, y en aras de la simplificación administrativa, la comisión de redes de radiocomunicaciones sustituye a las anteriores comisiones de urbanismo, saneamiento y medio ambiente. Y por otra parte, se defiende que la información a la que hace referencia el artículo 10 es necesaria para proceder a la adecuada ordenación de los emplazamientos: la información general enunciada en el apartado primero permite a la comisión de redes adoptar sus decisiones con un criterio formado; los datos a los que se refiere el apartado segundo son necesarios para indicar el lugar idóneo de ubicación de la instalación. Así, el uso compartido de instalaciones incrementa las potencias de emisión por lo que tiene un impacto distinto sobre la salud; la altura del emplazamiento y de las antenas tiene relevancia pues a mayor altura menor exposición; el área de cobertura es un dato que permite establecer si se va a afectar o no a centros sensibles; la potencia y la ganancia son imprescindibles para conocer la exposición a las radiaciones o campos electromagnéticos; y el número de portadoras y canales máximos por sector permite conocer la potencia máxima de emisión de la antena.</w:t>
      </w:r>
    </w:p>
    <w:p w:rsidR="00D06117" w:rsidRDefault="00D06117" w:rsidP="00D06117">
      <w:pPr>
        <w:pStyle w:val="TextoNormal"/>
      </w:pPr>
    </w:p>
    <w:p w:rsidR="00D06117" w:rsidRDefault="00D06117" w:rsidP="00D06117">
      <w:pPr>
        <w:pStyle w:val="TextoNormal"/>
      </w:pPr>
      <w:r>
        <w:t>Para resolver la discrepancia competencial en torno al artículo 12 de la ley castellano-manchega es preciso tener en cuenta que, tal y como están configurados, los planes territoriales de despliegue de red en suelo rústico no son un instrumento para la regulación, ordenación o gestión del dominio público radioeléctrico, sino para facilitar la ordenación de los emplazamientos en suelo rústico de las instalaciones de radiocomunicación en el contexto más general de la ordenación territorial, es decir, de la planificación de usos sobre el territorio y de la protección, a través de la misma, de otros intereses públicos sectoriales que también competen a la Comunidad Autónoma (protección medioambiental, sanitaria, del patrimonio histórico-artístico). De hecho, así se deduce de lo dispuesto en el artículo 9 de la ley autonómica que no ha sido impugnado y en cual se establece el plan territorial de despliegue “proporcionará la información necesaria para la adecuada integración de estas instalaciones en la ordenación medioambiental y territorial y asegurar el cumplimiento de las limitaciones establecidas en esta Ley”. Se incardina, pues, la regulación del artículo 12 en la competencia sobre ordenación del territorio (arts. 148.1.3 CE y 31.1.2 EACM) cuyo núcleo fundamental está constituido, tal y como ha señalado reiteradamente este Tribunal, por un conjunto de actuaciones públicas de contenido planificador cuyo objeto consiste en la fijación de los usos de los suelo o espacio físico territorial [SSTC 77/1984, de 3 de julio, FJ 2; 149/1991, de 4 de julio, FJ 1 b); 36/1994, de 10 de febrero, FJ 3; y 28/1997, de 13 de febrero, FJ 5].</w:t>
      </w:r>
    </w:p>
    <w:p w:rsidR="00D06117" w:rsidRDefault="00D06117" w:rsidP="00D06117">
      <w:pPr>
        <w:pStyle w:val="TextoNormal"/>
      </w:pPr>
    </w:p>
    <w:p w:rsidR="00D06117" w:rsidRDefault="00D06117" w:rsidP="00D06117">
      <w:pPr>
        <w:pStyle w:val="TextoNormal"/>
      </w:pPr>
      <w:r>
        <w:t xml:space="preserve">La competencia estatal de planificación en materia de telecomunicaciones que se incardina en el art. 149.1.21 CE tiene un objeto bien distinto. En efecto, los planes nacionales contemplados en el art. 17 de la Ley general de telecomunicaciones de 2003 ordenan la numeración telefónica garantizando la disponibilidad de números apropiados para todos los servicios de telecomunicaciones y los restantes planes de utilización del dominio público radioeléctrico tienen por objeto, tal y como establece el art. 4 del Real Decreto 863/2008, de 23 de mayo, la delimitación de las bandas y canales atribuidos a cada uno de los servicios. Ninguna invasión de estas competencias se produce mediante el sometimiento de los operadores a la presentación de planes territoriales de despliegue de red que han de proporcionar </w:t>
      </w:r>
      <w:r>
        <w:lastRenderedPageBreak/>
        <w:t>la información necesaria para que la Comunidad Autónoma afectada pueda realizar un control previo de la conformidad de las previsiones de nuevas instalaciones con la normativa sectorial que haya dictado en ejercicio de sus competencias para la preservación de intereses públicos que le están encomendados de forma exclusiva o compartida con el Estado (ordenación del territorio, urbanismo, medio ambiente, sanidad).</w:t>
      </w:r>
    </w:p>
    <w:p w:rsidR="00D06117" w:rsidRDefault="00D06117" w:rsidP="00D06117">
      <w:pPr>
        <w:pStyle w:val="TextoNormal"/>
      </w:pPr>
    </w:p>
    <w:p w:rsidR="00D06117" w:rsidRDefault="00D06117" w:rsidP="00D06117">
      <w:pPr>
        <w:pStyle w:val="TextoNormal"/>
      </w:pPr>
      <w:r>
        <w:t>Tampoco cabe apreciar una vulneración de la competencia estatal de telecomunicaciones porque se distorsione u obstaculice la eficacia del derecho de ocupación que la regulación estatal reconoce a los operadores de telecomunicaciones. Este derecho ni es ni puede ser absoluto e incondicionado y la regulación estatal del mismo no puede obviar las competencias que legítimamente corresponden a las Comunidades Autónomas en materias como la ordenación territorial y el urbanismo (arts.148.1.3 CE y 32.1.2 EACM), el medio ambiente (arts.149.1.23 CE y 32.7 EACM) o la sanidad (arts.149.1.16 CE y 32.3 EACM).</w:t>
      </w:r>
    </w:p>
    <w:p w:rsidR="00D06117" w:rsidRDefault="00D06117" w:rsidP="00D06117">
      <w:pPr>
        <w:pStyle w:val="TextoNormal"/>
      </w:pPr>
    </w:p>
    <w:p w:rsidR="00D06117" w:rsidRDefault="00D06117" w:rsidP="00D06117">
      <w:pPr>
        <w:pStyle w:val="TextoNormal"/>
      </w:pPr>
      <w:r>
        <w:t>La Ley general de telecomunicaciones de 1998 no era clara sobre este punto y la literalidad de la regulación podía llevar a la conclusión de que el derecho de ocupación de los operadores se imponía a las Comunidades Autónomas en detrimento del ejercicio de sus competencias. Sin embargo, como establece ahora con mayor claridad la nueva legislación de telecomunicaciones, las competencias de telecomunicaciones, ordenación territorial, urbanismo, medio ambiente y sanidad se limitan recíprocamente, imponiéndose una regulación tanto estatal como autonómica —cada una de ellas en su ámbito respectivo— que sea respetuosa con la esfera de regulación que corresponde a cada instancia territorial.</w:t>
      </w:r>
    </w:p>
    <w:p w:rsidR="00D06117" w:rsidRDefault="00D06117" w:rsidP="00D06117">
      <w:pPr>
        <w:pStyle w:val="TextoNormal"/>
      </w:pPr>
    </w:p>
    <w:p w:rsidR="00D06117" w:rsidRDefault="00D06117" w:rsidP="00D06117">
      <w:pPr>
        <w:pStyle w:val="TextoNormal"/>
      </w:pPr>
      <w:r>
        <w:t>En efecto, como ha señalado este Tribunal, la distribución constitucional de competencias entre Estado y Comunidades Autónomas hace posible que se ejerzan diversas competencias sobre el mismo espacio físico que tienen, no obstante, un distinto objeto jurídico (SSTC 113/1983, de 6 de diciembre, FJ 1, y 77/1984, de 3 de julio, FJ 2). Pues bien, cuando lo que se produce es una coexistencia de competencias autonómicas sobre ordenación del suelo y de competencias estatales de carácter sectorial debe tenerse en cuenta “en primer lugar, que la competencia sobre ordenación del territorio tiene, precisamente, la finalidad de que su titular pueda formular una política global para su territorio, con la que se trata de coordinar las actuaciones públicas y privadas que inciden en el mismo”, pero por otro lado, las competencias sectoriales del Estado “si bien no persiguen de forma directa la ordenación del territorio, sí implican una disposición sobre determinadas porciones del mismo que viene a condicionar la capacidad de decisión de las Comunidades Autónomas” (STC 40/1998, FJ 30). Ahora bien, “la ordenación del territorio es, en nuestro sistema constitucional, un título competencial específico que tampoco puede ser ignorado, reduciéndolo a la simple capacidad de planificar, desde el punto de vista de su incidencia en el territorio, las actuaciones que por otros títulos ha de llevar a cabo el ente titular de aquella competencia, sin que de ésta se derive consecuencia alguna para la actuación de otros entes públicos sobre el mismo territorio” (SSTC 77/1984, FJ 2; 149/1991, FJ 1; y 204/2002, FJ 30). De ahí la obligación de buscar las fórmulas de cooperación que, en cada caso, permitan la concreta articulación de las competencias concurrentes; fórmulas que han de perseguir la optimización de las competencias en cuestión (STC 40/1998, FJ 30), pudiendo elegirse la técnica que se estime más adecuada a estos efectos: mutuo intercambio de información, la emisión de informes previos en los ámbitos de la propia competencia, la creación de órganos de composición mixta, etc. (STC 204/2002, FJ 30).</w:t>
      </w:r>
    </w:p>
    <w:p w:rsidR="00D06117" w:rsidRDefault="00D06117" w:rsidP="00D06117">
      <w:pPr>
        <w:pStyle w:val="TextoNormal"/>
      </w:pPr>
    </w:p>
    <w:p w:rsidR="00D06117" w:rsidRDefault="00D06117" w:rsidP="00D06117">
      <w:pPr>
        <w:pStyle w:val="TextoNormal"/>
      </w:pPr>
      <w:r>
        <w:lastRenderedPageBreak/>
        <w:t>En plena concordancia con esta doctrina constitucional, la actual legislación de telecomunicaciones, tras establecer que los operadores tendrán derecho de ocupación del dominio público y privado en la medida en que ello sea necesario para el establecimiento de la red pública de comunicaciones electrónicas de que se trate, dispone también que los órganos encargados de la redacción de los distintos instrumentos de planificación territorial o urbanística deberán recabar de la Administración General del Estado el oportuno informe del Ministerio de Ciencia y Tecnología sobre las necesidades de redes públicas de comunicaciones electrónicas en el ámbito territorial al que se refieran, y deberán recoger en esos instrumentos estas necesidades garantizando la no discriminación entre los operadores y el mantenimiento de condiciones de competencia efectiva en el sector (art. 26 de la Ley general de telecomunicaciones de 2003). Los instrumentos de planificación territorial y urbanística deben realizarse, por tanto, de tal forma que conciliando los diferentes intereses en juego, se adopten soluciones que den satisfacción a esas necesidades de redes identificadas en el informe estatal asegurando la no discriminación y la competencia entre operadores.</w:t>
      </w:r>
    </w:p>
    <w:p w:rsidR="00D06117" w:rsidRDefault="00D06117" w:rsidP="00D06117">
      <w:pPr>
        <w:pStyle w:val="TextoNormal"/>
      </w:pPr>
    </w:p>
    <w:p w:rsidR="00D06117" w:rsidRDefault="00D06117" w:rsidP="00D06117">
      <w:pPr>
        <w:pStyle w:val="TextoNormal"/>
      </w:pPr>
      <w:r>
        <w:t>Ahora bien, por otra parte, la legislación de telecomunicaciones vigente reconoce inequívocamente las competencias sectoriales de los titulares del dominio público y de las Comunidades Autónomas. En efecto, se establece ahora que, con carácter previo a la aprobación del proyecto técnico presentado por operadores que precisen de la ocupación de propiedad privada, se requiera informe a la Comunidad Autónoma competente en materia de ordenación del territorio (art. 27 de la Ley general de telecomunicaciones de 2003). También se prevé que, en la autorización de ocupación, será de aplicación “la normativa específica dictada por las Administraciones Públicas con competencias en medio ambiente, salud pública, seguridad pública, defensa nacional, ordenación urbana o territorial y tributación por ocupación del dominio público” (art. 28.) y que esta normativa, en cumplimiento de la legislación europea, podrá imponer límites y condiciones al ejercicio del derecho de ocupación en atención a estos intereses públicos (art. 29.1) . No obstante, los límites y condiciones que se prevean deberán ser proporcionados en atención al interés que se trate de preservar y no podrán implicar restricciones absolutas al derecho de ocupación, debiendo, en caso de que una condición pudiera ser determinante de imposibilidad, por falta de alternativas, ésta deberá ir acompañada de medidas adecuadas, entre ellas el uso compartido de infraestructuras, para garantizar el derecho de ocupación y su ejercicio en igualdad de condiciones (art. 29.1).</w:t>
      </w:r>
    </w:p>
    <w:p w:rsidR="00D06117" w:rsidRDefault="00D06117" w:rsidP="00D06117">
      <w:pPr>
        <w:pStyle w:val="TextoNormal"/>
      </w:pPr>
    </w:p>
    <w:p w:rsidR="00D06117" w:rsidRDefault="00D06117" w:rsidP="00D06117">
      <w:pPr>
        <w:pStyle w:val="TextoNormal"/>
      </w:pPr>
      <w:r>
        <w:t>La legislación estatal de telecomunicaciones ha resuelto, por tanto, la difícil articulación en esta materia de las competencias del Estado y de las Comunidades Autónomas a través de la figura de los informes vinculantes que, efectivamente, tal y como ha señalado este Tribunal, es una técnica legítima (STC 149/1991, de 4 de julio, FJ 7), un expediente adecuado “de acomodación o integración entre dos competencias concurrentes —estatal y autonómica— que, partiendo de títulos diversos y con distinto objeto jurídico, convergen sobre un mismo espacio físico, y que están llamadas en consecuencia, a cohonestarse” (SSTC 103/1989, de 8 de junio, FJ 3, y 40/1998, de 19 de febrero, FJ 38).</w:t>
      </w:r>
    </w:p>
    <w:p w:rsidR="00D06117" w:rsidRDefault="00D06117" w:rsidP="00D06117">
      <w:pPr>
        <w:pStyle w:val="TextoNormal"/>
      </w:pPr>
    </w:p>
    <w:p w:rsidR="00D06117" w:rsidRDefault="00D06117" w:rsidP="00D06117">
      <w:pPr>
        <w:pStyle w:val="TextoNormal"/>
      </w:pPr>
      <w:r>
        <w:t xml:space="preserve">En este contexto, los planes territoriales de despliegue de red en suelo rústico operan como un instrumento que permite a la Comunidad Autónoma obtener el conocimiento necesario sobre las previsiones de nuevas instalaciones de los operadores con la finalidad de ordenar los emplazamientos conciliando los diferentes intereses en juego de competencia autonómica, así como buscar las soluciones más adecuadas para, respetando el derecho de los operadores, integrar las redes en la ordenación territorial y medioambiental y asegurar </w:t>
      </w:r>
      <w:r>
        <w:lastRenderedPageBreak/>
        <w:t>el cumplimiento de las limitaciones y condiciones que legítimamente imponga la normativa autonómica.</w:t>
      </w:r>
    </w:p>
    <w:p w:rsidR="00D06117" w:rsidRDefault="00D06117" w:rsidP="00D06117">
      <w:pPr>
        <w:pStyle w:val="TextoNormal"/>
      </w:pPr>
    </w:p>
    <w:p w:rsidR="00D06117" w:rsidRDefault="00D06117" w:rsidP="00D06117">
      <w:pPr>
        <w:pStyle w:val="TextoNormal"/>
      </w:pPr>
      <w:r>
        <w:t>La información que las Comunidades Autónomas pueden requerir a los operadores en relación con sus previsiones de nuevas instalaciones es estrictamente aquella que es necesaria para el ejercicio de sus competencias. Así lo dispone, en la actualidad, el art. 29.2 d) de la Ley general de telecomunicaciones de 2003, de acuerdo con el cual, “las solicitudes de información que se realicen a los operadores deberán ser motivadas, tener una justificación objetiva, ser proporcionadas al fin perseguido y limitarse a lo estrictamente necesario”. Como hemos visto, la Abogada del Estado afirma que el artículo 12.1 en relación con el artículo 10 impone a los operadores la obligación de proporcionar información en los planes de despliegue que es innecesaria para valorar la incidencia medioambiental, urbanística o sanitaria de una instalación de radiocomunicación, mientras que el Letrado de las Cortes de Castilla-La Mancha ha defendido, por el contrario, que el conocimiento de los datos técnicos que se exigen en el plan territorial de despliegue son imprescindibles para el ejercicio de las competencias autonómicas.</w:t>
      </w:r>
    </w:p>
    <w:p w:rsidR="00D06117" w:rsidRDefault="00D06117" w:rsidP="00D06117">
      <w:pPr>
        <w:pStyle w:val="TextoNormal"/>
      </w:pPr>
    </w:p>
    <w:p w:rsidR="00D06117" w:rsidRDefault="00D06117" w:rsidP="00D06117">
      <w:pPr>
        <w:pStyle w:val="TextoNormal"/>
      </w:pPr>
      <w:r>
        <w:t>El precepto no puede reputarse tampoco, en este punto, inconstitucional, no sólo por la justificación —que ciertamente no es completa, pues no se refiere a todos y cada uno de los datos que figuran en el art. 10— que ha proporcionado el Letrado de las Cortes de Castilla-La Mancha sobre el carácter necesario de los datos que se solicitan a los operadores para el adecuado ejercicio de las competencias autonómicas, sino principalmente porque la argumentación de la Abogada del Estado se mantiene en un nivel general o abstracto sin descender a los distintos datos técnicos que exige el art. 10 y, por tanto, sin ofrecer razones suficientes que permitan, efectivamente, considerar que esos datos no son necesarios o proporcionados al fin que persigue la norma. No debe olvidarse que, como hemos afirmado reiteradamente (por todas, STC 16/2003, de 30 de enero, FJ 9, y las allí citadas) la carga argumental en torno a la inconstitucionalidad del precepto corresponde a la parte que lo impugna y que la presunción de constitucionalidad de las normas con rango de ley no puede desvirtuarse sin un mínimo de argumentación, no siendo suficientes impugnaciones globales que no se apoyan en motivos suficientemente razonados [STC 43/1996, de 14 de marzo (FJ 5)], como sucede en el presente caso.</w:t>
      </w:r>
    </w:p>
    <w:p w:rsidR="00D06117" w:rsidRDefault="00D06117" w:rsidP="00D06117">
      <w:pPr>
        <w:pStyle w:val="TextoNormal"/>
      </w:pPr>
    </w:p>
    <w:p w:rsidR="00D06117" w:rsidRDefault="00D06117" w:rsidP="00D06117">
      <w:pPr>
        <w:pStyle w:val="TextoNormal"/>
      </w:pPr>
      <w:r w:rsidRPr="00D06117">
        <w:rPr>
          <w:rStyle w:val="NumeroAFNegritaCaracter"/>
        </w:rPr>
        <w:t>9</w:t>
      </w:r>
      <w:r>
        <w:t>. La Abogada del Estado impugna a continuación el artículo 14 de la ley castellano-manchega que regula el uso compartido de infraestructuras estableciendo lo siguiente:</w:t>
      </w:r>
    </w:p>
    <w:p w:rsidR="00D06117" w:rsidRDefault="00D06117" w:rsidP="00D06117">
      <w:pPr>
        <w:pStyle w:val="TextoNormal"/>
      </w:pPr>
    </w:p>
    <w:p w:rsidR="00D06117" w:rsidRDefault="00D06117" w:rsidP="00D06117">
      <w:pPr>
        <w:pStyle w:val="TextoNormal"/>
      </w:pPr>
      <w:r>
        <w:t>“La Administración regional negociará con todos los operadores para propiciar acuerdos dirigidos a que éstos compartan las infraestructuras. La formalización de estos acuerdos entre la Administración de la Junta de Comunidades y los operadores supondrá la aprobación de los Planes Territoriales de Despliegue de Red. De no conseguirse los mencionados acuerdos, la Administración Autonómica determinará, en la aprobación de los planes, los emplazamientos que deberán compartir los distintos operadores, atendiendo a principios de protección de la salud, ambiental y paisajística y, especialmente, cuando la cercanía de las instalaciones así lo aconsejen. Para facilitar la compartición, al menos las nuevas infraestructuras que formen parte del plan territorial de despliegue de red de un operador deberán permitir el alojamiento de antenas de como mínimo cuatro operadores.”</w:t>
      </w:r>
    </w:p>
    <w:p w:rsidR="00D06117" w:rsidRDefault="00D06117" w:rsidP="00D06117">
      <w:pPr>
        <w:pStyle w:val="TextoNormal"/>
      </w:pPr>
    </w:p>
    <w:p w:rsidR="00D06117" w:rsidRDefault="00D06117" w:rsidP="00D06117">
      <w:pPr>
        <w:pStyle w:val="TextoNormal"/>
      </w:pPr>
      <w:r>
        <w:lastRenderedPageBreak/>
        <w:t>La Abogada del Estado argumenta que este precepto es inconstitucional porque su contenido resulta contrario a la regulación estatal, dictada al amparo del art. 149.1.21 CE, del procedimiento y condiciones para la utilización compartida de bienes de titularidad pública o privada (art. 47 de la Ley general de telecomunicaciones de 1998) que, entre otros extremos, atribuye una función arbitral a la Comisión del Mercado de las Telecomunicaciones que la regulación castellano-manchega confiere a la Administración autonómica. Por el contrario, las representaciones procesales de las instituciones autonómicas consideran que la regulación entra dentro de su ámbito competencial pues se refiere a la imposición del uso compartido, por razones sanitarias, medioambientales o paisajísticas, del terreno, esto es, del soporte físico de las instalaciones, sin que ello afecte a la regulación o gestión del espectro radioeléctrico y sin que las competencias autonómicas impidan que el Estado, pueda imponer en otros casos, en atención a criterios técnicos, el uso compartido de instalaciones.</w:t>
      </w:r>
    </w:p>
    <w:p w:rsidR="00D06117" w:rsidRDefault="00D06117" w:rsidP="00D06117">
      <w:pPr>
        <w:pStyle w:val="TextoNormal"/>
      </w:pPr>
    </w:p>
    <w:p w:rsidR="00D06117" w:rsidRDefault="00D06117" w:rsidP="00D06117">
      <w:pPr>
        <w:pStyle w:val="TextoNormal"/>
      </w:pPr>
      <w:r>
        <w:t>La delimitación competencial en este punto resulta especialmente compleja y delicada debido a la diversidad de intereses afectados (intereses medioambientales, sanitarios, de seguridad pública, de ordenación territorial y urbana, de prestación de servicios de telecomunicaciones, de garantía de la competencia entre operadores), a la concurrencia competencial y a la propia singularidad de la coubicación y compartición de las infraestructuras de telecomunicaciones.</w:t>
      </w:r>
    </w:p>
    <w:p w:rsidR="00D06117" w:rsidRDefault="00D06117" w:rsidP="00D06117">
      <w:pPr>
        <w:pStyle w:val="TextoNormal"/>
      </w:pPr>
    </w:p>
    <w:p w:rsidR="00D06117" w:rsidRDefault="00D06117" w:rsidP="00D06117">
      <w:pPr>
        <w:pStyle w:val="TextoNormal"/>
      </w:pPr>
      <w:r>
        <w:t>La regulación de la coubicación y compartición de infraestructuras cae, sin lugar a dudas, dentro de la esfera de competencias del Estado. En primer lugar, porque en la medida en que persigue hacer efectivo el derecho de ocupación de los operadores necesario para el establecimiento de la red y afecta a las condiciones de prestación de los servicios de telecomunicaciones y al régimen jurídico de los operadores, la regulación entra dentro de la competencia estatal en materia de telecomunicaciones (art. 149.1.21 CE). Y, en segundo lugar, porque al tratarse de una regulación de las infraestructuras que persigue asegurar la efectividad de las comunicaciones y la virtualidad de las competencias estatales en materia de telecomunicaciones, se encuentra también dentro de la competencia estatal para establecer el régimen general de las comunicaciones.</w:t>
      </w:r>
    </w:p>
    <w:p w:rsidR="00D06117" w:rsidRDefault="00D06117" w:rsidP="00D06117">
      <w:pPr>
        <w:pStyle w:val="TextoNormal"/>
      </w:pPr>
    </w:p>
    <w:p w:rsidR="00D06117" w:rsidRDefault="00D06117" w:rsidP="00D06117">
      <w:pPr>
        <w:pStyle w:val="TextoNormal"/>
      </w:pPr>
      <w:r>
        <w:t>Ahora bien, no puede olvidarse que, tal y como se deduce incluso de la normativa europea (art. 12 de la Directiva 2002/21/CE, de 7 de marzo, relativa a un marco regulador común de las redes y los servicios de comunicaciones electrónicas), la coubicación y compartición de infraestructuras es también una técnica que se configura primordial, aunque no exclusivamente, como una herramienta para resolver el conflicto que puede surgir entre la necesidad de despliegue de redes de telecomunicaciones y la preservación de otros intereses públicos afectados por el mismo como la ordenación territorial y urbana, el medio ambiente, la salud o la seguridad pública. Son estos intereses públicos, dada la imperativa protección que los mismos requieren, los que pueden determinar que, en ciertas ocasiones, el despliegue de redes previsto no sea posible o conveniente, no existiendo, a veces, siquiera, opciones alternativas viables.</w:t>
      </w:r>
    </w:p>
    <w:p w:rsidR="00D06117" w:rsidRDefault="00D06117" w:rsidP="00D06117">
      <w:pPr>
        <w:pStyle w:val="TextoNormal"/>
      </w:pPr>
    </w:p>
    <w:p w:rsidR="00D06117" w:rsidRDefault="00D06117" w:rsidP="00D06117">
      <w:pPr>
        <w:pStyle w:val="TextoNormal"/>
      </w:pPr>
      <w:r>
        <w:t xml:space="preserve">En tales casos, la coubicación y compartición de infraestructuras se presenta como un instrumento que permite conciliar los diferentes intereses en juego, correspondiendo, como es lógico, a las Administraciones con competencias sectoriales para la preservación de esos intereses públicos la decisión sobre la necesidad o conveniencia de la coubicación y compartición de infraestructuras. En efecto, la valoración de la pertinencia de la coubicación y </w:t>
      </w:r>
      <w:r>
        <w:lastRenderedPageBreak/>
        <w:t>compartición desde la perspectiva de la ordenación territorial y urbana, así como de la salud y el medio ambiente corresponde a las Comunidades Autónomas en virtud de las competencias exclusivas o compartidas que ostentan en estas materias (arts. 148.1.3 y 21; y 149.1.16 y 23 CE). La regulación estatal de la coubicación y compartición de infraestructuras no puede, por tanto, eliminar la esfera de decisión y regulación que ostentan, en virtud de sus competencias, las Comunidades Autónomas acerca de la localización de las infraestructuras de telecomunicaciones. Ahora bien, tampoco puede obviarse, ni por tanto olvidarse en la regulación autonómica, que la técnica de la coubicación y compartición de infraestructuras tiene también incidencia en ciertos intereses públicos que corresponde preservar al Estado en el ejercicio de sus competencias en materia de telecomunicaciones, singularmente, la preservación de la competencia entre operadores.</w:t>
      </w:r>
    </w:p>
    <w:p w:rsidR="00D06117" w:rsidRDefault="00D06117" w:rsidP="00D06117">
      <w:pPr>
        <w:pStyle w:val="TextoNormal"/>
      </w:pPr>
    </w:p>
    <w:p w:rsidR="00D06117" w:rsidRDefault="00D06117" w:rsidP="00D06117">
      <w:pPr>
        <w:pStyle w:val="TextoNormal"/>
      </w:pPr>
      <w:r>
        <w:t>El estrecho entrecruzamiento competencial que se produce, por tanto, en esta materia obliga a que, en el ejercicio de sus respectivas competencias, Estado y Comunidades Autónomas se mantengan dentro de los límites propios y establezcan una regulación cuidadosamente respetuosa de las esferas de decisión que corresponden a cada instancia territorial, acudiéndose, cuando sea preciso, a fórmulas de cooperación que, como ha afirmado reiteradamente este Tribunal, resultan esenciales para resolver las situaciones de concurrencia competencial (entre otras, SSTC 46/2007, de 1 de marzo, FJ 7, y 204/2002, de 31 de octubre, FJ 7).</w:t>
      </w:r>
    </w:p>
    <w:p w:rsidR="00D06117" w:rsidRDefault="00D06117" w:rsidP="00D06117">
      <w:pPr>
        <w:pStyle w:val="TextoNormal"/>
      </w:pPr>
    </w:p>
    <w:p w:rsidR="00D06117" w:rsidRDefault="00D06117" w:rsidP="00D06117">
      <w:pPr>
        <w:pStyle w:val="TextoNormal"/>
      </w:pPr>
      <w:r>
        <w:t>La anterior Ley general de telecomunicaciones de 1998 establecía, en su artículo 47, una regulación del uso compartido de los bienes de titularidad pública y privada objeto de los derechos de ocupación que, en su literalidad, parecía configurar esta técnica como un instrumento cuya utilización dependía exclusivamente del posible interés de los operadores en la misma, así como, en caso de ausencia de acuerdo entre los mismos, de la decisión que adoptara al respecto la Comisión del Mercado de las Telecomunicaciones en función de que la coutilización se considerara económicamente viable y no requiriera obras adicionales de importancia. Parecía, así, obviarse la normativa comunitaria (entonces, Directiva 97/33/CE) que consideraba esencial el recurso a la coubicación y compartición como instrumento para preservar las conocidas como “exigencias esenciales”, esto es, motivos de interés general de naturaleza no económica como la ordenación territorial y urbana o el medio ambiente. Y, correlativamente, parecía olvidarse también la esfera de decisión que, en consecuencia, corresponde respecto a la decisión de la coubicación y compartición a las Comunidades Autónomas en virtud de sus competencias.</w:t>
      </w:r>
    </w:p>
    <w:p w:rsidR="00D06117" w:rsidRDefault="00D06117" w:rsidP="00D06117">
      <w:pPr>
        <w:pStyle w:val="TextoNormal"/>
      </w:pPr>
    </w:p>
    <w:p w:rsidR="00D06117" w:rsidRDefault="00D06117" w:rsidP="00D06117">
      <w:pPr>
        <w:pStyle w:val="TextoNormal"/>
      </w:pPr>
      <w:r>
        <w:t xml:space="preserve">Es muy posible que esta insuficiencia de la regulación estatal que es la que, como puede deducirse de la argumentación de la Abogada del Estado sobre este punto del recurso de inconstitucionalidad, generó —al menos, en gran medida— la controversia competencial que se ha suscitado en relación con el art. 14 de la ley castellano-manchega, pudiera salvarse por vía interpretativa. Pero, en todo caso, derogada ya aquella regulación, interesa ahora señalar que los términos de la cuestión han cambiado sustancialmente con la nueva Ley general de telecomunicaciones de 2003. El artículo 30 de la misma recoge ahora la preferencia por la coubicación y compartición de infraestructuras al establecer que “las Administraciones Públicas fomentarán la celebración de acuerdos voluntarios entre operadores para la ubicación compartida y el uso compartido de infraestructuras situadas en bienes de titularidad pública o privada” (art. 30.1). Y establece una regulación respetuosa con las competencias sectoriales que pueden corresponder a distintas Administraciones (entre ellas, las </w:t>
      </w:r>
      <w:r>
        <w:lastRenderedPageBreak/>
        <w:t>autonómicas). Así, dispone que “cuando los operadores tengan derecho a la ocupación de la propiedad pública o privada y no puedan ejercitar por separado dichos derechos, por no existir alternativas por motivos justificados en razones de medio ambiente, salud pública, seguridad pública u ordenación urbana y territorial, la Administración competente en dichas materias, previo trámite de información pública, acordará la utilización compartida del dominio público o la propiedad privada en que se van a establecer las redes públicas de comunicaciones electrónicas o el uso compartido de las infraestructuras en que se vayan a apoyar tales redes, según resulte necesario” (art. 30.2).</w:t>
      </w:r>
    </w:p>
    <w:p w:rsidR="00D06117" w:rsidRDefault="00D06117" w:rsidP="00D06117">
      <w:pPr>
        <w:pStyle w:val="TextoNormal"/>
      </w:pPr>
    </w:p>
    <w:p w:rsidR="00D06117" w:rsidRDefault="00D06117" w:rsidP="00D06117">
      <w:pPr>
        <w:pStyle w:val="TextoNormal"/>
      </w:pPr>
      <w:r>
        <w:t>Ahora bien, los términos y condiciones en que se lleve a cabo la compartición de infraestructuras se dejan en principio al juego de la autonomía de la voluntad de los operadores, pues se dispone que “el uso compartido se articulará mediante acuerdos entre los operadores interesados” (art. 30.3) y sólo “a falta de acuerdo”, esas condiciones se establecerán por la Comisión del Mercado de las Telecomunicaciones, aunque “previo informe preceptivo” de las Administraciones con competencias sectoriales (art. 30.3). La resolución de la comisión deberá, además, “incorporar, en su caso, los contenidos del informe emitido por la Administración competente interesada que ésta califique como esenciales para la salvaguarda de los intereses públicos cuya tutela tenga encomendados” (art. 30.3).</w:t>
      </w:r>
    </w:p>
    <w:p w:rsidR="00D06117" w:rsidRDefault="00D06117" w:rsidP="00D06117">
      <w:pPr>
        <w:pStyle w:val="TextoNormal"/>
      </w:pPr>
    </w:p>
    <w:p w:rsidR="00D06117" w:rsidRDefault="00D06117" w:rsidP="00D06117">
      <w:pPr>
        <w:pStyle w:val="TextoNormal"/>
      </w:pPr>
      <w:r>
        <w:t>En resumen, la legislación estatal incorpora hoy una regulación acorde a la concurrencia competencial, deslindando adecuadamente las esferas de decisión correspondientes a las distintas instancias territoriales y regulando, allí donde es preciso, mecanismos de cooperación, como los informes. Se reconoce que las Administraciones autonómicas y locales pueden, en ejercicio de sus respectivas competencias, imponer a los operadores la coubicación y compartición de infraestructuras, si bien la determinación imperativa de los términos y condiciones del uso compartido corresponde a la Comisión del Mercado de las Telecomunicaciones, con la finalidad de preservar la competencia entre operadores, aunque la comisión deberá atender a los contenidos de los informes sectoriales que persiguen la salvaguarda de las “exigencias esenciales”.</w:t>
      </w:r>
    </w:p>
    <w:p w:rsidR="00D06117" w:rsidRDefault="00D06117" w:rsidP="00D06117">
      <w:pPr>
        <w:pStyle w:val="TextoNormal"/>
      </w:pPr>
    </w:p>
    <w:p w:rsidR="00D06117" w:rsidRDefault="00D06117" w:rsidP="00D06117">
      <w:pPr>
        <w:pStyle w:val="TextoNormal"/>
      </w:pPr>
      <w:r>
        <w:t xml:space="preserve">En este nuevo contexto normativo, es más clara la conformidad a la distribución constitucional de competencias de la regulación contenida en el artículo 14 de la ley castellano-manchega que prevé que la Administración autonómica negocie con todos los operadores para propiciar acuerdos dirigidos a la compartición de infraestructuras, así como que la formalización de tales acuerdos entre la Administración autonómica y los operadores supone la aprobación de los planes territoriales de despliegue de red. También es acorde con las competencias autonómicas y no invade las estatales en materia de telecomunicaciones que se establezca que, en caso de no conseguirse el acuerdo correspondiente, la Administración autonómica determine en la aprobación de los planes, los emplazamientos que los operadores deberán compartir, en atención a los principios de protección de la salud, del medio ambiente y del paisaje, si bien la decisión de utilización compartida del dominio público o de la propiedad privada deberá adoptarse respetando lo dispuesto en la legislación estatal, singularmente la obligación de realizar previamente un trámite de información pública (art. 30.2 de la Ley general de telecomunicaciones de 2003), correspondiendo, por otra parte, a la Comisión del Mercado de las Telecomunicaciones, a falta de acuerdo entre operadores, la determinación imperativa de las condiciones del uso compartido de infraestructuras. Así </w:t>
      </w:r>
      <w:r>
        <w:lastRenderedPageBreak/>
        <w:t>interpretado, el precepto no invade las competencias estatales en materia de telecomunicaciones y, en consecuencia, puede considerarse constitucional, por lo que esta interpretación de conformidad se llevará al fallo.</w:t>
      </w:r>
    </w:p>
    <w:p w:rsidR="00D06117" w:rsidRDefault="00D06117" w:rsidP="00D06117">
      <w:pPr>
        <w:pStyle w:val="TextoNormal"/>
      </w:pPr>
    </w:p>
    <w:p w:rsidR="00D06117" w:rsidRDefault="00D06117" w:rsidP="00D06117">
      <w:pPr>
        <w:pStyle w:val="TextoNormal"/>
      </w:pPr>
      <w:r w:rsidRPr="00D06117">
        <w:rPr>
          <w:rStyle w:val="NumeroAFNegritaCaracter"/>
        </w:rPr>
        <w:t>10</w:t>
      </w:r>
      <w:r>
        <w:t>. Finalmente, el art. 14 dispone que:</w:t>
      </w:r>
    </w:p>
    <w:p w:rsidR="00D06117" w:rsidRDefault="00D06117" w:rsidP="00D06117">
      <w:pPr>
        <w:pStyle w:val="TextoNormal"/>
      </w:pPr>
    </w:p>
    <w:p w:rsidR="00D06117" w:rsidRDefault="00D06117" w:rsidP="00D06117">
      <w:pPr>
        <w:pStyle w:val="TextoNormal"/>
      </w:pPr>
      <w:r>
        <w:t>“para facilitar la compartición, al menos las nuevas infraestructuras que formen parte del plan territorial de despliegue de red de un operador deberán permitir el alojamiento de antenas de como mínimo cuatro operadores.”</w:t>
      </w:r>
    </w:p>
    <w:p w:rsidR="00D06117" w:rsidRDefault="00D06117" w:rsidP="00D06117">
      <w:pPr>
        <w:pStyle w:val="TextoNormal"/>
      </w:pPr>
    </w:p>
    <w:p w:rsidR="00D06117" w:rsidRDefault="00D06117" w:rsidP="00D06117">
      <w:pPr>
        <w:pStyle w:val="TextoNormal"/>
      </w:pPr>
      <w:r>
        <w:t>Este último párrafo del precepto no está realmente regulando el procedimiento de coubicación y compartición de infraestructuras, sino las características que han de reunir las nuevas infraestructuras previstas en los planes territoriales de despliegue de red a efectos de facilitar una futura compartición cuando ello sea necesario para la preservación de los intereses sectoriales que la Comunidad Autónoma tiene encomendada. Sin embargo, el reproche de constitucionalidad que hace la Abogada del Estado al artículo 14 se refiere a la regulación del procedimiento y condiciones de la compartición de infraestructuras, sin que se haya dedicado argumentación alguna a afirmar la inconstitucionalidad de la regulación autonómica de las características de las infraestructuras de las telecomunicaciones. Esta ausencia de argumentación en el escrito de la Abogada del Estado no puede suplirse por este Tribunal sin que proceda, por tanto, pronunciarse al respecto.</w:t>
      </w:r>
    </w:p>
    <w:p w:rsidR="00D06117" w:rsidRDefault="00D06117" w:rsidP="00D06117">
      <w:pPr>
        <w:pStyle w:val="TextoNormal"/>
      </w:pPr>
    </w:p>
    <w:p w:rsidR="00D06117" w:rsidRDefault="00D06117" w:rsidP="00D06117">
      <w:pPr>
        <w:pStyle w:val="TextoNormal"/>
      </w:pPr>
      <w:r w:rsidRPr="00D06117">
        <w:rPr>
          <w:rStyle w:val="NumeroAFNegritaCaracter"/>
        </w:rPr>
        <w:t>11</w:t>
      </w:r>
      <w:r>
        <w:t>. En último lugar, es preciso analizar la constitucionalidad de los apartados 2 y 3 del artículo 19 y el apartado 1 del artículo 20 de la ley castellano-manchega que regulan varias conductas constitutivas de infracciones graves: 1) el incumplimiento de la obligación de incorporar las mejoras tecnológicas que supongan una reducción significativa de las emisiones radioeléctricas [art. 19.2)]; 2) el incumplimiento de la obligación de revisar las instalaciones cada año [art. 19.3)]; y 3) la construcción de instalaciones que no estén incluidas en los planes territoriales de despliegue aprobados (art. 20.1).</w:t>
      </w:r>
    </w:p>
    <w:p w:rsidR="00D06117" w:rsidRDefault="00D06117" w:rsidP="00D06117">
      <w:pPr>
        <w:pStyle w:val="TextoNormal"/>
      </w:pPr>
    </w:p>
    <w:p w:rsidR="00D06117" w:rsidRDefault="00D06117" w:rsidP="00D06117">
      <w:pPr>
        <w:pStyle w:val="TextoNormal"/>
      </w:pPr>
      <w:r>
        <w:t>La Abogada del Estado considera que estos preceptos también vulneran la competencia del Estado ex art. 149.1.21 CE, puesto que correspondiendo al Estado la regulación de estos aspectos sustantivos de telecomunicaciones y radiocomunicación, sólo a él compete también el establecimiento de las correspondientes infracciones y sanciones, sin que pueda la Comunidad Autónoma entrar en su regulación. Además, afirma también la Abogada del Estado que se vulnera la garantía formal, referida al rango necesario de las normas tipificadoras de las infracciones y sancione, así como la necesaria predeterminación normativa de las conductas ilícitas y el necesario grado de certeza y seguridad jurídica.</w:t>
      </w:r>
    </w:p>
    <w:p w:rsidR="00D06117" w:rsidRDefault="00D06117" w:rsidP="00D06117">
      <w:pPr>
        <w:pStyle w:val="TextoNormal"/>
      </w:pPr>
    </w:p>
    <w:p w:rsidR="00D06117" w:rsidRDefault="00D06117" w:rsidP="00D06117">
      <w:pPr>
        <w:pStyle w:val="TextoNormal"/>
      </w:pPr>
      <w:r>
        <w:t xml:space="preserve">El juicio de constitucionalidad sobre estos preceptos está estrechamente conectado al de las regulaciones sustantivas a las que están vinculados y sobre las que nos hemos pronunciado anteriormente. En efecto, “es una regla de deslinde competencial muy reiterada por este Tribunal que la titularidad de la potestad sancionadora va normalmente pareja, como instrumental, a la competencia sustantiva de que se trate” (STC 168/1993, FJ 8; 87/1985, de 16 de julio, FJ 8; y 48/1988, de 22 de marzo, FJ 25). Por ello, como dijimos en la STC 124/2003, de 19 de junio (FJ 8), las Comunidades Autónomas “pueden adoptar normas administrativas sancionadoras cuando tengan competencia sobre la materia sustantiva de que se trate, debiendo acomodarse las disposiciones que dicten a las garantías constitucionales </w:t>
      </w:r>
      <w:r>
        <w:lastRenderedPageBreak/>
        <w:t>dispuestas en este ámbito del Derecho administrativo sancionador (art. 25.1 CE), y no introducir divergencias irrazonables y desproporcionadas al fin perseguido respecto del régimen jurídico aplicable a otras partes del territorio (art. 149.1.1 CE; SSTC 87/1985, de 16 de julio, FJ 8; y 196/1996, de 28 de noviembre, FJ 3)”.</w:t>
      </w:r>
    </w:p>
    <w:p w:rsidR="00D06117" w:rsidRDefault="00D06117" w:rsidP="00D06117">
      <w:pPr>
        <w:pStyle w:val="TextoNormal"/>
      </w:pPr>
    </w:p>
    <w:p w:rsidR="00D06117" w:rsidRDefault="00D06117" w:rsidP="00D06117">
      <w:pPr>
        <w:pStyle w:val="TextoNormal"/>
      </w:pPr>
      <w:r>
        <w:t>En aplicación de esta doctrina y en coherencia con lo afirmado en relación con las competencias sustantivas, debe reputarse únicamente inconstitucional el apartado 2 del artículo 19 de la ley castellano-manchega al carecer la Comunidad Autónoma de competencia para la regulación sustantiva de esta materia. El apartado 3 del artículo 19 y el apartado 1 del artículo 20 son, por el contrario, constitucionales pues están vinculadas a regulaciones sustantivas para las que la Comunidad Autónoma tiene competencia —si bien, en el caso del apartado 3 del artículo 19 habrá de estarse a la interpretación de conformidad del apartado segundo del artículo 7 realizada en el fundamento jurídico 7—, sin que pueda acogerse la argumentación de la Abogada del Estado sobre la vulneración de las garantías del artículo 25 CE, puesto que, por un lado, el rango de la norma —una ley— es el adecuado para la regulación de infracciones y, por otro, las conductas constitutivas de infracción están claramente determinadas en los preceptos, pudiendo el ciudadano conocer con el suficiente grado de certeza las conductas sancionables.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parcialmente el presente recurso de inconstitucionalidad y, en consecuencia, declarar que:</w:t>
      </w:r>
    </w:p>
    <w:p w:rsidR="00D06117" w:rsidRDefault="00D06117" w:rsidP="00D06117">
      <w:pPr>
        <w:pStyle w:val="TextoNormal"/>
      </w:pPr>
    </w:p>
    <w:p w:rsidR="00D06117" w:rsidRDefault="00D06117" w:rsidP="00D06117">
      <w:pPr>
        <w:pStyle w:val="TextoNormal"/>
      </w:pPr>
      <w:r>
        <w:t>1º Son inconstitucionales y nulos el art. 7, en el inciso en el que obliga a los operadores a “incorporar las mejoras tecnológicas que vayan apareciendo y contribuyan a reducir los niveles de emisión de los sistemas radiantes”, y el apartado 2 del art. 19, ambos de la Ley de las Cortes de Castilla-La Mancha, 8/2001, de 28 de junio, para la ordenación de las instalaciones de radiocomunicación en Castilla-La Mancha.</w:t>
      </w:r>
    </w:p>
    <w:p w:rsidR="00D06117" w:rsidRDefault="00D06117" w:rsidP="00D06117">
      <w:pPr>
        <w:pStyle w:val="TextoNormal"/>
      </w:pPr>
    </w:p>
    <w:p w:rsidR="00D06117" w:rsidRDefault="00D06117" w:rsidP="00D06117">
      <w:pPr>
        <w:pStyle w:val="TextoNormal"/>
      </w:pPr>
      <w:r>
        <w:t>2º Son conformes a la Constitución el subapartado 1 del art. 2.2, el inciso del art. 7 en el que se obliga a los operadores a “incorporar las mejoras tecnológicas que vayan apareciendo y contribuyan … a minimizar el impacto ambiental y visual”, los apartados segundo y tercero de este art. 7, y el artículo 14, todos ellos de la Ley de Cortes de Castilla-La Mancha, 8/2001, de 28 de junio, para la ordenación de las instalaciones de radiocomunicación en Castilla-La Mancha, siempre que se interpreten tal y como se ha indicado en los fundamentos jurídicos 5, 7 y 9, respectivamente, de esta Sentencia.</w:t>
      </w:r>
    </w:p>
    <w:p w:rsidR="00D06117" w:rsidRDefault="00D06117" w:rsidP="00D06117">
      <w:pPr>
        <w:pStyle w:val="TextoNormal"/>
      </w:pPr>
    </w:p>
    <w:p w:rsidR="00D06117" w:rsidRDefault="00D06117" w:rsidP="00D06117">
      <w:pPr>
        <w:pStyle w:val="TextoNormal"/>
      </w:pPr>
      <w:r>
        <w:t>3º Se desestima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lastRenderedPageBreak/>
        <w:br w:type="page"/>
      </w:r>
    </w:p>
    <w:p w:rsidR="00D06117" w:rsidRDefault="00D06117" w:rsidP="00D06117">
      <w:pPr>
        <w:pStyle w:val="TtuloResolucin"/>
      </w:pPr>
      <w:bookmarkStart w:id="12" w:name="SENTENCIA_2012_9"/>
      <w:r>
        <w:lastRenderedPageBreak/>
        <w:t>SENTENCIA 9/2012, de 18 de enero de 2012</w:t>
      </w:r>
    </w:p>
    <w:bookmarkEnd w:id="1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36, de 11 de febrero de 2012)</w:t>
      </w:r>
    </w:p>
    <w:p w:rsidR="00D06117" w:rsidRDefault="00D06117" w:rsidP="00D06117">
      <w:pPr>
        <w:pStyle w:val="TtuloBOE"/>
      </w:pPr>
    </w:p>
    <w:p w:rsidR="00D06117" w:rsidRDefault="00D06117" w:rsidP="00D06117">
      <w:pPr>
        <w:pStyle w:val="SntesisDescriptiva"/>
      </w:pPr>
      <w:r>
        <w:t>ECLI:ES:TC:2012:9</w:t>
      </w:r>
    </w:p>
    <w:p w:rsidR="00D06117" w:rsidRDefault="00D06117" w:rsidP="00D06117">
      <w:pPr>
        <w:pStyle w:val="SntesisDescriptiva"/>
      </w:pPr>
    </w:p>
    <w:p w:rsidR="00D06117" w:rsidRDefault="00D06117" w:rsidP="00D06117">
      <w:pPr>
        <w:pStyle w:val="SntesisDescriptiva"/>
      </w:pPr>
      <w:r>
        <w:t>Cuestión de inconstitucionalidad 1490-2010. Planteada por el Juzgado de lo Contencioso-Administrativo núm. 2 de Alicante en relación con el párrafo tercero del art. 73.3 de la Ley 7/1985, de 2 de abril, reguladora de las bases del régimen local.</w:t>
      </w:r>
    </w:p>
    <w:p w:rsidR="00D06117" w:rsidRDefault="00D06117" w:rsidP="00D06117">
      <w:pPr>
        <w:pStyle w:val="SntesisDescriptiva"/>
      </w:pPr>
    </w:p>
    <w:p w:rsidR="00D06117" w:rsidRDefault="00D06117" w:rsidP="00D06117">
      <w:pPr>
        <w:pStyle w:val="SntesisAnaltica"/>
      </w:pPr>
      <w:r>
        <w:t>Igualdad en el ejercicio de las funciones representativas: validez del precepto legal que regula los derechos económicos y políticos de los concejales no adscritos; nombramiento para cargos relacionados con el gobierno y administración del municipio que no forma parte del núcleo esencial de las funciones representativas de los concejales. Voto particular.</w:t>
      </w:r>
    </w:p>
    <w:p w:rsidR="00D06117" w:rsidRDefault="00D06117" w:rsidP="00D06117">
      <w:pPr>
        <w:pStyle w:val="SntesisAnaltica"/>
      </w:pPr>
    </w:p>
    <w:p w:rsidR="00D06117" w:rsidRDefault="00D06117" w:rsidP="00D06117">
      <w:pPr>
        <w:pStyle w:val="Extracto"/>
      </w:pPr>
      <w:r>
        <w:t>1.</w:t>
      </w:r>
      <w:r>
        <w:tab/>
        <w:t>El artículo impugnado, en cuanto impide al representante no adscrito ser elegido miembro de la Junta o comisión de gobierno y Teniente de Alcalde, cuando el resto de concejales de la corporación pueden optar a dichos cargos no vulnera el art. 23 CE ya que el nombramiento para cargos relacionados con el gobierno y la administración del municipio no se integra en el núcleo esencial de las funciones representativas del concejal [FJ 4].</w:t>
      </w:r>
    </w:p>
    <w:p w:rsidR="00D06117" w:rsidRDefault="00D06117" w:rsidP="00D06117">
      <w:pPr>
        <w:pStyle w:val="Extracto"/>
      </w:pPr>
    </w:p>
    <w:p w:rsidR="00D06117" w:rsidRDefault="00D06117" w:rsidP="00D06117">
      <w:pPr>
        <w:pStyle w:val="Extracto"/>
      </w:pPr>
      <w:r>
        <w:t>2.</w:t>
      </w:r>
      <w:r>
        <w:tab/>
        <w:t>Entre las funciones que pertenecen al núcleo inherente a la función representativa que constitucionalmente corresponde a los miembros de una corporación se encuentran la de participar en la actividad de control del gobierno, participar en las deliberaciones del pleno de la corporación y votar en los asuntos sometidos a votación en este órgano, así como el derecho a obtener la información necesaria para poder ejercerlas (STC 169/2009) [FJ 4].</w:t>
      </w:r>
    </w:p>
    <w:p w:rsidR="00D06117" w:rsidRDefault="00D06117" w:rsidP="00D06117">
      <w:pPr>
        <w:pStyle w:val="Extracto"/>
      </w:pPr>
    </w:p>
    <w:p w:rsidR="00D06117" w:rsidRDefault="00D06117" w:rsidP="00D06117">
      <w:pPr>
        <w:pStyle w:val="Extracto"/>
      </w:pPr>
      <w:r>
        <w:t>3.</w:t>
      </w:r>
      <w:r>
        <w:tab/>
        <w:t>El distinto trato que el artículo impugnado otorga a los miembros de las corporaciones locales en función de su adscripción o no a un grupo político está justificado en la diferente situación en la que se encuentran, al no haberse incorporado, los no adscritos, al grupo político constituido por la formación electoral por la que fueron elegidos, pues no conlleva una limitación de las facultades que constituyen el núcleo de sus funciones representativas (SSTC 32/1985, 169/2009) [FJ 4].</w:t>
      </w:r>
    </w:p>
    <w:p w:rsidR="00D06117" w:rsidRDefault="00D06117" w:rsidP="00D06117">
      <w:pPr>
        <w:pStyle w:val="Extracto"/>
      </w:pPr>
    </w:p>
    <w:p w:rsidR="00D06117" w:rsidRDefault="00D06117" w:rsidP="00D06117">
      <w:pPr>
        <w:pStyle w:val="Extracto"/>
      </w:pPr>
      <w:r>
        <w:t>4.</w:t>
      </w:r>
      <w:r>
        <w:tab/>
        <w:t xml:space="preserve">No cualquier acto que afecte al </w:t>
      </w:r>
      <w:r w:rsidRPr="00D06117">
        <w:rPr>
          <w:i/>
        </w:rPr>
        <w:t>status</w:t>
      </w:r>
      <w:r>
        <w:t xml:space="preserve"> jurídico aplicable al representante político lesiona el derecho fundamental de participación política, ya que sólo poseen relevancia los derechos o facultades que pertenezcan al núcleo de su función representativa (SSTC 38/1999, 169/2009) [FJ 4].</w:t>
      </w:r>
    </w:p>
    <w:p w:rsidR="00D06117" w:rsidRDefault="00D06117" w:rsidP="00D06117">
      <w:pPr>
        <w:pStyle w:val="Extracto"/>
      </w:pPr>
    </w:p>
    <w:p w:rsidR="00D06117" w:rsidRDefault="00D06117" w:rsidP="00D06117">
      <w:pPr>
        <w:pStyle w:val="Extracto"/>
      </w:pPr>
      <w:r>
        <w:t>5.</w:t>
      </w:r>
      <w:r>
        <w:tab/>
        <w:t>Doctrina sobre el derecho de participación política (SSTC 53/1982, 169/2009)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don Javier Delgado Barrio, doña Elisa Pérez Vera, don Ramón Rodríguez Arribas,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1490-2010, planteada por el Juzgado de lo Contencioso-Administrativo núm. 2 de Alicante, sobre supuesta inconstitucionalidad del párrafo tercero del art. 73.3 de la Ley 7/1985, de 2 de abril, reguladora de las bases del régimen local, ante su posible contradicción con el art. 23 CE. Han intervenido en el procedimiento el Fiscal General del Estado, el Abogado del Estado y el Ayuntamiento de Denia.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24 de febrero de 2010 tuvo entrada en el Registro General de este Tribunal un oficio del Juzgado de lo Contencioso-Administrativo núm. 2 de Alicante, al que se acompañaba testimonio de las actuaciones (procedimiento ordinario núm. 121-2008), del que forma parte el Auto de 10 de febrero de 2010 por el que se acuerda plantear cuestión de inconstitucionalidad en relación con el párrafo tercero del art. 73.3 de la Ley 7/1985, de 2 de abril, reguladora de las bases del régimen local (LBRL), ante su posible contradicción con el art. 23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presente cuestión de inconstitucionalidad son, sucintamente expuestos, los siguientes:</w:t>
      </w:r>
    </w:p>
    <w:p w:rsidR="00D06117" w:rsidRDefault="00D06117" w:rsidP="00D06117">
      <w:pPr>
        <w:pStyle w:val="TextoNormal"/>
      </w:pPr>
    </w:p>
    <w:p w:rsidR="00D06117" w:rsidRDefault="00D06117" w:rsidP="00D06117">
      <w:pPr>
        <w:pStyle w:val="TextoNormal"/>
      </w:pPr>
      <w:r>
        <w:t>a) Con fecha 16 de junio de 2007 se constituyó la corporación municipal de Denia, figurando entre sus miembros el concejal don J.C.C.F., perteneciente al Grupo Socialista (PSOE), procediéndose a la elección de Alcalde.</w:t>
      </w:r>
    </w:p>
    <w:p w:rsidR="00D06117" w:rsidRDefault="00D06117" w:rsidP="00D06117">
      <w:pPr>
        <w:pStyle w:val="TextoNormal"/>
      </w:pPr>
    </w:p>
    <w:p w:rsidR="00D06117" w:rsidRDefault="00D06117" w:rsidP="00D06117">
      <w:pPr>
        <w:pStyle w:val="TextoNormal"/>
      </w:pPr>
      <w:r>
        <w:t xml:space="preserve">b) De la certificación del Secretario del Ayuntamiento de Denia resulta que: i) Por resolución de la Alcaldía de fecha 25 de junio de 2007 se efectuaron delegaciones especiales en determinados concejales, entre ellos, don J.C.C.F. en el área de Alcaldía, en el área de promoción económica local y desarrollo de sectores estratégicos y en el área de servicios municipales, si bien mediante Decreto de Alcaldía de 10 de diciembre 2007 se revocó la delegación especial concedida. ii) En sesión plenaria de 12 de julio de 2007, don J.C.C.F. pasó a formar parte de diversas comisiones, consejos y otros organismos como titular: comisión </w:t>
      </w:r>
      <w:r>
        <w:lastRenderedPageBreak/>
        <w:t>especial de cuentas e informativa de hacienda y promoción económica local; comisión informativa de modernización de la Administración, régimen interior, descentralización, seguridad y movilidad; comisión informativa de igualdad de género, promoción, cohesión e integración social; comisión informativa de cultura, educación y deportes; consejo de administración de aguas de Denia; consejo de la Gerencia municipal de urbanismo; comisión para el seguimiento del contrato de agua; y mesa de contratación. Esta delegación resultó modificada por Decreto de la Alcaldía de 27 de julio de 2007, en el área de Alcaldía, de promoción económica local y desarrollo de sectores estratégicos y en el área de servicios municipales.</w:t>
      </w:r>
    </w:p>
    <w:p w:rsidR="00D06117" w:rsidRDefault="00D06117" w:rsidP="00D06117">
      <w:pPr>
        <w:pStyle w:val="TextoNormal"/>
      </w:pPr>
    </w:p>
    <w:p w:rsidR="00D06117" w:rsidRDefault="00D06117" w:rsidP="00D06117">
      <w:pPr>
        <w:pStyle w:val="TextoNormal"/>
      </w:pPr>
      <w:r>
        <w:t>c) Don J.C.C.F. solicitó el 30 de noviembre de 2007 causar baja en el grupo PSPV-PSOE, con el que había concurrido a las elecciones municipales. Mediante escrito de fecha 3 de diciembre de 2007 solicitó su incorporación, en su condición de concejal no adscrito, a diversas comisiones y consejos.</w:t>
      </w:r>
    </w:p>
    <w:p w:rsidR="00D06117" w:rsidRDefault="00D06117" w:rsidP="00D06117">
      <w:pPr>
        <w:pStyle w:val="TextoNormal"/>
      </w:pPr>
    </w:p>
    <w:p w:rsidR="00D06117" w:rsidRDefault="00D06117" w:rsidP="00D06117">
      <w:pPr>
        <w:pStyle w:val="TextoNormal"/>
      </w:pPr>
      <w:r>
        <w:t>d) Como consecuencia de la moción de censura de 7 de julio de 2008, y tras una votación en el Pleno extraordinario, resultó elegida nueva Alcaldesa con 11 votos a favor de la moción, incluido el de don J.C.C.F., y 10 en contra.</w:t>
      </w:r>
    </w:p>
    <w:p w:rsidR="00D06117" w:rsidRDefault="00D06117" w:rsidP="00D06117">
      <w:pPr>
        <w:pStyle w:val="TextoNormal"/>
      </w:pPr>
    </w:p>
    <w:p w:rsidR="00D06117" w:rsidRDefault="00D06117" w:rsidP="00D06117">
      <w:pPr>
        <w:pStyle w:val="TextoNormal"/>
      </w:pPr>
      <w:r>
        <w:t>e) Ya por la nueva Alcaldesa, se dictaron los siguientes acuerdos: i) Por resolución de la Alcaldía de 8 de julio de 2008 se nombran los miembros de la Junta local y Tenencia de Alcaldía, encontrándose entre ellos don J.C.C.F., que también resulta nombrado cuarto Teniente de Alcalde. ii) Por resolución de la Alcaldía de 10 de julio de 2008 se acuerdan delegaciones generales a favor de determinados concejales, entre ellas en materia de medio ambiente y desarrollo sostenible a favor del concejal don J.C.C.F. iii) Por acuerdo adoptado en sesión plenaria del Ayuntamiento de 14 de julio de 2008, se acuerda la moción de la Alcaldía aprobando la relación de cargos que se desempeñarán con dedicación exclusiva, entre ellos, el de don J.C.C.F. como concejal de medio ambiente y desarrollo sostenible, con un sueldo bruto de 44.671,32 euros.</w:t>
      </w:r>
    </w:p>
    <w:p w:rsidR="00D06117" w:rsidRDefault="00D06117" w:rsidP="00D06117">
      <w:pPr>
        <w:pStyle w:val="TextoNormal"/>
      </w:pPr>
    </w:p>
    <w:p w:rsidR="00D06117" w:rsidRDefault="00D06117" w:rsidP="00D06117">
      <w:pPr>
        <w:pStyle w:val="TextoNormal"/>
      </w:pPr>
      <w:r>
        <w:t>f) Por acuerdo adoptado en sesión plenaria de 31 de julio de 2008, se acuerda aprobar la moción de la Alcaldía sobre número, denominación y composición de las comisiones informativas permanentes, figurando entre los integrantes de las cinco creadas y como miembro del grupo no integrado el concejal don J.C.C.F.</w:t>
      </w:r>
    </w:p>
    <w:p w:rsidR="00D06117" w:rsidRDefault="00D06117" w:rsidP="00D06117">
      <w:pPr>
        <w:pStyle w:val="TextoNormal"/>
      </w:pPr>
    </w:p>
    <w:p w:rsidR="00D06117" w:rsidRDefault="00D06117" w:rsidP="00D06117">
      <w:pPr>
        <w:pStyle w:val="TextoNormal"/>
      </w:pPr>
      <w:r>
        <w:t>g) Por la Subdelegación del Gobierno en Alicante, mediante escrito de 28 de julio de 2008, se solicitó del Ayuntamiento de Denia la remisión de diversa información sobre el acuerdo plenario antes referido. Recibida la información, la Subdelegación del Gobierno, mediante resolución de 11 de septiembre de 2008, requirió al Ayuntamiento la anulación de las resoluciones de 8 de julio, 10 de julio y 14 de julio de 2008, en virtud de lo dispuesto en el art. 65 LBRL. Finalmente, no habiéndose recibido contestación a dicho requerimiento, la Subdelegación del Gobierno dictó resolución de fecha 7 de noviembre de 2008, por la que disponía, de acuerdo con el art. 65.5 LBRL, la impugnación contenciosa de las resoluciones citadas, lo que se llevó a cabo el 10 de diciembre de 2008.</w:t>
      </w:r>
    </w:p>
    <w:p w:rsidR="00D06117" w:rsidRDefault="00D06117" w:rsidP="00D06117">
      <w:pPr>
        <w:pStyle w:val="TextoNormal"/>
      </w:pPr>
    </w:p>
    <w:p w:rsidR="00D06117" w:rsidRDefault="00D06117" w:rsidP="00D06117">
      <w:pPr>
        <w:pStyle w:val="TextoNormal"/>
      </w:pPr>
      <w:r>
        <w:t xml:space="preserve">h) Habiendo correspondido el conocimiento del recurso al Juzgado de lo Contencioso-Administrativo núm. 2 de Alicante, por Auto de 3 de junio de 2009 se acuerda recibir a prueba el procedimiento, y una vez finalizado el período probatorio, tras diversas vicisitudes </w:t>
      </w:r>
      <w:r>
        <w:lastRenderedPageBreak/>
        <w:t>procesales, se presentaron los respectivos escritos de conclusiones por demandante y demandado, declarándose el pleito concluso para Sentencia mediante providencia de 16 de noviembre de 2009.</w:t>
      </w:r>
    </w:p>
    <w:p w:rsidR="00D06117" w:rsidRDefault="00D06117" w:rsidP="00D06117">
      <w:pPr>
        <w:pStyle w:val="TextoNormal"/>
      </w:pPr>
    </w:p>
    <w:p w:rsidR="00D06117" w:rsidRDefault="00D06117" w:rsidP="00D06117">
      <w:pPr>
        <w:pStyle w:val="TextoNormal"/>
      </w:pPr>
      <w:r>
        <w:t>i) Con fecha 26 de noviembre de 2009, el Juzgado dictó providencia, a fin de que las partes y el Ministerio Fiscal pudieran efectuar alegaciones sobre la pertinencia de plantear cuestión de inconstitucionalidad, o sobre el fondo de ésta, apreciando el órgano judicial en relación con el art. 73.3 LBRL que “si bien existen algunos pronunciamientos jurisprudenciales sobre el art. 73.3 que van perfilando el Estatuto jurídico de los Concejales no adscritos, el párrafo tercero del art. 73.3 podría contravenir el 23.1 CE, al limitar el acceso del concejal no adscrito a un nuevo proyecto de gobierno municipal. Por ello es necesario oír a las partes y al Ministerio Fiscal para que en el plazo de diez días aleguen lo que deseen sobre la pertinencia de plantear una cuestión de inconstitucionalidad o sobre el fondo de la misma”.</w:t>
      </w:r>
    </w:p>
    <w:p w:rsidR="00D06117" w:rsidRDefault="00D06117" w:rsidP="00D06117">
      <w:pPr>
        <w:pStyle w:val="TextoNormal"/>
      </w:pPr>
    </w:p>
    <w:p w:rsidR="00D06117" w:rsidRDefault="00D06117" w:rsidP="00D06117">
      <w:pPr>
        <w:pStyle w:val="TextoNormal"/>
      </w:pPr>
      <w:r>
        <w:t>j) El Abogado del Estado, mediante escrito presentado el 23 de diciembre de 2009, manifestó su parecer contrario al planteamiento de la cuestión de inconstitucionalidad por entender que el precepto no afectaba al núcleo esencial del derecho reconocido en el art. 23 CE y lo mismo hizo el Ministerio Fiscal en su escrito de 18 de diciembre de 2009. Por el contrario, la representación procesal del Ayuntamiento de Denia, mediante escrito presentado el 15 de diciembre de 2009, se pronunció a favor del cuestionamiento del precepto legal, lo que había solicitado ya en su escrito de contestación a la demanda, argumentando que la falta de definición y concreción de las limitaciones impuestas respecto a los derechos del concejal no adscrito, así como respecto a la forma en que se regularán, genera en la práctica una inseguridad jurídica manifiesta, que vulnera los derechos individuales de dichos concejales, los cuales, por actuar al margen de un grupo político, verían coartado y limitado el ejercicio de su derecho de representación, con un claro quebranto del principio de igualdad, respecto al resto de concejales integrados en grupos políticos.</w:t>
      </w:r>
    </w:p>
    <w:p w:rsidR="00D06117" w:rsidRDefault="00D06117" w:rsidP="00D06117">
      <w:pPr>
        <w:pStyle w:val="TextoNormal"/>
      </w:pPr>
    </w:p>
    <w:p w:rsidR="00D06117" w:rsidRDefault="00D06117" w:rsidP="00D06117">
      <w:pPr>
        <w:pStyle w:val="TextoNormal"/>
      </w:pPr>
      <w:r>
        <w:t>k) El 10 de febrero de 2010 el Juzgado dictó Auto planteando la cuestión de inconstitucionalidad sobre el indicado párrafo tercero del art. 73.3 LBRL, ante su posible contradicción con el art. 23 CE, en los términos que a continuación se detallan.</w:t>
      </w:r>
    </w:p>
    <w:p w:rsidR="00D06117" w:rsidRDefault="00D06117" w:rsidP="00D06117">
      <w:pPr>
        <w:pStyle w:val="TextoNormal"/>
      </w:pPr>
    </w:p>
    <w:p w:rsidR="00D06117" w:rsidRDefault="00D06117" w:rsidP="00D06117">
      <w:pPr>
        <w:pStyle w:val="TextoNormal"/>
      </w:pPr>
      <w:r w:rsidRPr="00D06117">
        <w:rPr>
          <w:rStyle w:val="NumeroAFNegritaCaracter"/>
        </w:rPr>
        <w:t>3</w:t>
      </w:r>
      <w:r>
        <w:t>. En el Auto de planteamiento de la cuestión de inconstitucionalidad el órgano judicial comienza recordando que, conforme a la doctrina de este Tribunal Constitucional, el art. 23.2 CE no sólo consagra el derecho de acceso al cargo público, sino el de permanecer en el mismo y el del ejercicio del cargo. Señala el órgano judicial que la cuestión de inconstitucionalidad que se plantea se centra en el derecho de don J.C.C.F. al ejercicio del cargo. Considera el órgano promotor que, en el caso analizado, el precepto citado impide al mismo ser miembro de la comisión de gobierno del Ayuntamiento de Denia y Teniente de Alcalde, al no haber ocupado con anterioridad dichos cargos en el grupo político de procedencia. A su juicio, se impide al representante ser elegido por el Alcalde de la corporación miembro de la comisión de gobierno y Teniente de Alcalde, cuando el resto de concejales sí pueden optar a dichos cargos. Añade que no puede obviarse la inconcreción del estatuto del miembro no adscrito, en tanto que como representante de la totalidad de los ciudadanos de su circunscripción, se le impide ocupar determinados cargos cuyas funciones inciden directa</w:t>
      </w:r>
      <w:r>
        <w:lastRenderedPageBreak/>
        <w:t>mente sobre el núcleo de su función representativa, hasta el punto de que, en el caso analizado, podrían permitir incluso al referido concejal, en determinadas circunstancias, asumir el cargo de Alcalde en el Ayuntamiento de Denia.</w:t>
      </w:r>
    </w:p>
    <w:p w:rsidR="00D06117" w:rsidRDefault="00D06117" w:rsidP="00D06117">
      <w:pPr>
        <w:pStyle w:val="TextoNormal"/>
      </w:pPr>
    </w:p>
    <w:p w:rsidR="00D06117" w:rsidRDefault="00D06117" w:rsidP="00D06117">
      <w:pPr>
        <w:pStyle w:val="TextoNormal"/>
      </w:pPr>
      <w:r>
        <w:t>Por último, señala que la esencia de la duda de constitucionalidad se materializa en si el diferente trato que el art. 73.3 párrafo tercero LBRL dispensa al referido concejal está justificado en la diferente situación en la que se encuentra, al haber abandonado el grupo político constituido por la formación en la que concurrió a las elecciones del municipio de Denia. A su entender, el trato diferente recibido incide en el núcleo esencial de sus funciones representativas, en la medida en que sólo los concejales pueden ser miembros de la comisión de gobierno y Tenientes de Alcalde; ya que, de lo contrario, se estaría reconociendo que la función representativa y el ejercicio del cargo quedaría colmado con ser concejal, limitando los derechos económicos y políticos de quien representa a la totalidad del censo electoral de su circunscripción.</w:t>
      </w:r>
    </w:p>
    <w:p w:rsidR="00D06117" w:rsidRDefault="00D06117" w:rsidP="00D06117">
      <w:pPr>
        <w:pStyle w:val="TextoNormal"/>
      </w:pPr>
    </w:p>
    <w:p w:rsidR="00D06117" w:rsidRDefault="00D06117" w:rsidP="00D06117">
      <w:pPr>
        <w:pStyle w:val="TextoNormal"/>
      </w:pPr>
      <w:r w:rsidRPr="00D06117">
        <w:rPr>
          <w:rStyle w:val="NumeroAFNegritaCaracter"/>
        </w:rPr>
        <w:t>4</w:t>
      </w:r>
      <w:r>
        <w:t>. La Sección Cuarta de este Tribunal Constitucional, por providencia de 14 de abril de 2010, a los efectos que determina el art. 37.1 de la Ley Orgánica del Tribunal Constitucional (LOTC), acordó oír al Fiscal General del Estado para que, en el plazo de diez días, alegara lo que considere conveniente acerca de la admisibilidad de la cuestión de inconstitucionalidad, en relación con el cumplimiento de los requisitos procesales y por si fuera notoriamente infundada.</w:t>
      </w:r>
    </w:p>
    <w:p w:rsidR="00D06117" w:rsidRDefault="00D06117" w:rsidP="00D06117">
      <w:pPr>
        <w:pStyle w:val="TextoNormal"/>
      </w:pPr>
    </w:p>
    <w:p w:rsidR="00D06117" w:rsidRDefault="00D06117" w:rsidP="00D06117">
      <w:pPr>
        <w:pStyle w:val="TextoNormal"/>
      </w:pPr>
      <w:r w:rsidRPr="00D06117">
        <w:rPr>
          <w:rStyle w:val="NumeroAFNegritaCaracter"/>
        </w:rPr>
        <w:t>5</w:t>
      </w:r>
      <w:r>
        <w:t>. El Fiscal General del Estado evacuó el trámite de alegaciones mediante escrito registrado el 10 de mayo de 2010, en el que considera que la cuestión de inconstitucionalidad debía ser inadmitida, por resultar notoriamente infundada. Partiendo de la doctrina sentada en la STC 231/1998, de 1 de diciembre, expuso que el derecho contemplado en el art. 23 CE es un derecho de configuración legal. Pero añade, recordando la STC 298/2006, de 23 de octubre, que la remisión del constituyente a “los requisitos que señalen las leyes” no significa que el contenido constitucionalmente garantizado de este derecho sea el que en cada caso resulte de la legislación vigente; el derecho de acceso a las funciones y cargos públicos representativos se impone también, en su contenido esencial, al legislador, de tal manera que éste no podrá imponer restricciones a la permanencia en los mismos que, más allá de los imperativos del principio de igualdad, y desde la perspectiva constitucional, no se ordenen a un fin legítimo. A continuación señala que según doctrina del Tribunal Constitucional sólo tienen relevancia constitucional los derechos y deberes que afectan al núcleo de la función representativa y cita en este sentido la STC 39/2008, de 10 de marzo, y la STEDH de 2 de marzo de 2010 (Sección Tercera) en relación con el art. 3 del protocolo núm. 1, adicional al Convenio Europeo de Derechos Humanos. Y, en el mismo sentido, cita la STC 169/2009, de 9 de julio, que, con relación a los miembros de una corporación provincial, destaca aspectos que forman parte del núcleo fundamental de la función representativa, como el participar en la actividad de control del gobierno provincial, participar en las deliberaciones del pleno de la corporación, votar en los asuntos sometidos a votación en este órgano y obtener la información necesaria para poder ejercer las funciones anteriores.</w:t>
      </w:r>
    </w:p>
    <w:p w:rsidR="00D06117" w:rsidRDefault="00D06117" w:rsidP="00D06117">
      <w:pPr>
        <w:pStyle w:val="TextoNormal"/>
      </w:pPr>
    </w:p>
    <w:p w:rsidR="00D06117" w:rsidRDefault="00D06117" w:rsidP="00D06117">
      <w:pPr>
        <w:pStyle w:val="TextoNormal"/>
      </w:pPr>
      <w:r>
        <w:t>A la luz de la doctrina citada, el Fiscal General del Estado hace las siguientes consideraciones:</w:t>
      </w:r>
    </w:p>
    <w:p w:rsidR="00D06117" w:rsidRDefault="00D06117" w:rsidP="00D06117">
      <w:pPr>
        <w:pStyle w:val="TextoNormal"/>
      </w:pPr>
    </w:p>
    <w:p w:rsidR="00D06117" w:rsidRDefault="00D06117" w:rsidP="00D06117">
      <w:pPr>
        <w:pStyle w:val="TextoNormal"/>
      </w:pPr>
      <w:r>
        <w:lastRenderedPageBreak/>
        <w:t>a) El origen del precepto impugnado, el párrafo tercero del art. 73.3 LBRL, se remonta al acuerdo sobre un código de conducta política en relación con el transfuguismo en las corporaciones locales, que se firmó por la práctica totalidad de los partidos políticos con fecha 7 de julio de 1998, que fue renovado por nuevos acuerdos de 26 de septiembre de 2000 y 23 de mayo de 2006.</w:t>
      </w:r>
    </w:p>
    <w:p w:rsidR="00D06117" w:rsidRDefault="00D06117" w:rsidP="00D06117">
      <w:pPr>
        <w:pStyle w:val="TextoNormal"/>
      </w:pPr>
    </w:p>
    <w:p w:rsidR="00D06117" w:rsidRDefault="00D06117" w:rsidP="00D06117">
      <w:pPr>
        <w:pStyle w:val="TextoNormal"/>
      </w:pPr>
      <w:r>
        <w:t>b) El precepto cuestionado establece un marco regulador y restrictivo de carácter general, pero la mera previsión del mantenimiento —no superación— del contenido político y económico de las funciones de concejal no comporta necesariamente una limitación vulneradora del precepto constitucional.</w:t>
      </w:r>
    </w:p>
    <w:p w:rsidR="00D06117" w:rsidRDefault="00D06117" w:rsidP="00D06117">
      <w:pPr>
        <w:pStyle w:val="TextoNormal"/>
      </w:pPr>
    </w:p>
    <w:p w:rsidR="00D06117" w:rsidRDefault="00D06117" w:rsidP="00D06117">
      <w:pPr>
        <w:pStyle w:val="TextoNormal"/>
      </w:pPr>
      <w:r>
        <w:t>c) La doctrina constitucional sólo admite la posible vulneración del derecho cuando afecta al núcleo esencial del mandato representativo, de forma que éste no resulte desnaturalizado, y así, admite la posibilidad de una regulación diferenciada para los miembros no adscritos. El propio art. 73.3 contempla algunos supuestos limitativos no impugnados como son: el párrafo primero, en cuanto prohíbe la integración de los no adscritos en un grupo político; y, el apartado 6, en cuanto que, en caso de abandono de un grupo político por parte de la mayoría de sus componentes, los que permanezcan siguen manteniendo las prerrogativas que corresponden al grupo político.</w:t>
      </w:r>
    </w:p>
    <w:p w:rsidR="00D06117" w:rsidRDefault="00D06117" w:rsidP="00D06117">
      <w:pPr>
        <w:pStyle w:val="TextoNormal"/>
      </w:pPr>
    </w:p>
    <w:p w:rsidR="00D06117" w:rsidRDefault="00D06117" w:rsidP="00D06117">
      <w:pPr>
        <w:pStyle w:val="TextoNormal"/>
      </w:pPr>
      <w:r>
        <w:t>d) Las restricciones responden a un fin legítimo y son adecuadas y proporcionadas. La actitud del tránsfuga, que, aun ejerciendo su derecho individual, altera el equilibrio de fuerzas derivado del grupo político con el que había concurrido a las elecciones, otorgando con su conducta la mayoría a otro grupo hasta ese momento minoritario, altera, aun en un segundo nivel, la representación democrática, pues la votación a un determinado partido político se efectúa no solo por la calidad de las personas que lo integran en las listas electorales, sino por la perspectiva política e ideológica que representan.</w:t>
      </w:r>
    </w:p>
    <w:p w:rsidR="00D06117" w:rsidRDefault="00D06117" w:rsidP="00D06117">
      <w:pPr>
        <w:pStyle w:val="TextoNormal"/>
      </w:pPr>
    </w:p>
    <w:p w:rsidR="00D06117" w:rsidRDefault="00D06117" w:rsidP="00D06117">
      <w:pPr>
        <w:pStyle w:val="TextoNormal"/>
      </w:pPr>
      <w:r>
        <w:t>e) En este caso, algunas de las modificaciones del status del concejal —como la dedicación exclusiva y su percepción económica— están expresamente excluidas del contenido fundamental representativo. Otras están expresamente respetadas y forman parte del contenido esencial, como la integración en las comisiones informativas. Y, finalmente, los aspectos a que se refiere concretamente el Auto de planteamiento —pertenencia a la Junta local, designación como Teniente de Alcalde— no están incluidas en el núcleo básico del mandato representativo y constituyen aspectos de la organización y estructura consistorial dentro de las potestades, no ilimitadas, del Alcalde.</w:t>
      </w:r>
    </w:p>
    <w:p w:rsidR="00D06117" w:rsidRDefault="00D06117" w:rsidP="00D06117">
      <w:pPr>
        <w:pStyle w:val="TextoNormal"/>
      </w:pPr>
    </w:p>
    <w:p w:rsidR="00D06117" w:rsidRDefault="00D06117" w:rsidP="00D06117">
      <w:pPr>
        <w:pStyle w:val="TextoNormal"/>
      </w:pPr>
      <w:r>
        <w:t>f) Cuestión distinta será si la aplicación concreta del precepto cuestionado puede constituir algún tipo de vulneración constitucional por afectar al contenido esencial del precepto constitucional. Porque, en definitiva, la cuestión planteada no está tanto en la posible confrontación del párrafo tercero del art. 73.3 LBRL con el art. 23 CE, sino en la aplicación concreta de aquél, lo que no es materia del presente procedimiento, ya que se trata de interpretar si los actos de aplicación concreta pueden o no lesionar un derecho fundamental bajo la cobertura del art. 73.3 LBRL, pero no implican la inconstitucionalidad de un precepto que otorga cobertura a actos perfectamente ajustados a la Constitución. Ahora bien, la determinación concreta de qué aspectos pueden afectar al núcleo esencial es una cuestión interpretativa del alcance del precepto cuestionado y como tal, de legalidad ordinaria.</w:t>
      </w:r>
    </w:p>
    <w:p w:rsidR="00D06117" w:rsidRDefault="00D06117" w:rsidP="00D06117">
      <w:pPr>
        <w:pStyle w:val="TextoNormal"/>
      </w:pPr>
    </w:p>
    <w:p w:rsidR="00D06117" w:rsidRDefault="00D06117" w:rsidP="00D06117">
      <w:pPr>
        <w:pStyle w:val="TextoNormal"/>
      </w:pPr>
      <w:r>
        <w:lastRenderedPageBreak/>
        <w:t>En conclusión, el Fiscal General del Estado interesa la inadmisión de la cuestión de inconstitucionalidad por ser notoriamente infundada.</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providencia de 10 de julio de 2010, el Pleno acordó admitir a trámite la cuestión de inconstitucionalidad, reservando para sí su resolución, así como dar traslado de las actuaciones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lo que tuvo lugar en el ejemplar publicado el 3 de agosto de 2010 (núm. 187 de ese año).</w:t>
      </w:r>
    </w:p>
    <w:p w:rsidR="00D06117" w:rsidRDefault="00D06117" w:rsidP="00D06117">
      <w:pPr>
        <w:pStyle w:val="TextoNormal"/>
      </w:pPr>
    </w:p>
    <w:p w:rsidR="00D06117" w:rsidRDefault="00D06117" w:rsidP="00D06117">
      <w:pPr>
        <w:pStyle w:val="TextoNormal"/>
      </w:pPr>
      <w:r w:rsidRPr="00D06117">
        <w:rPr>
          <w:rStyle w:val="NumeroAFNegritaCaracter"/>
        </w:rPr>
        <w:t>7</w:t>
      </w:r>
      <w:r>
        <w:t>. El 7 de septiembre de 2010 tuvo entrada en el Registro General del Tribunal el escrito del Presidente del Congreso poniendo en conocimiento el acuerdo de la Mesa de la Cámara por el que se decide su personación el procedimiento, ofreciendo su colaboración a los efectos del art. 88.1 LOTC. El Presidente del Senado, por su parte, mediante escrito que tuvo entrada el 9 de septiembre de 2010, comunica que la Mesa de la Cámara ha acordado su personación en el procedimiento, ofreciendo su colaboración a los efectos de lo previsto en el citado art. 88.1 LOTC.</w:t>
      </w:r>
    </w:p>
    <w:p w:rsidR="00D06117" w:rsidRDefault="00D06117" w:rsidP="00D06117">
      <w:pPr>
        <w:pStyle w:val="TextoNormal"/>
      </w:pPr>
    </w:p>
    <w:p w:rsidR="00D06117" w:rsidRDefault="00D06117" w:rsidP="00D06117">
      <w:pPr>
        <w:pStyle w:val="TextoNormal"/>
      </w:pPr>
      <w:r w:rsidRPr="00D06117">
        <w:rPr>
          <w:rStyle w:val="NumeroAFNegritaCaracter"/>
        </w:rPr>
        <w:t>8</w:t>
      </w:r>
      <w:r>
        <w:t>. El Abogado del Estado presentó su escrito de alegaciones el 10 de septiembre de 2010, en el que comienza señalando que la STC 169/2009, de 9 de julio (FJ 4), ha declarado que mediante el primer inciso del párrafo cuestionado el legislador persigue “la satisfacción de un interés legítimo”. La regla de cuya constitucionalidad duda el Juez cuestionante recoge una media anti-tránsfugas, cuya finalidad es que, respetando el núcleo de sus funciones representativas, el tránsfuga no se beneficie de un modo de proceder que claramente perturba el buen y estable gobierno de las Administraciones locales, y —al menos en un porcentaje significativo de casos— va asociado a conductas impropias y, en ocasiones, delictivas.</w:t>
      </w:r>
    </w:p>
    <w:p w:rsidR="00D06117" w:rsidRDefault="00D06117" w:rsidP="00D06117">
      <w:pPr>
        <w:pStyle w:val="TextoNormal"/>
      </w:pPr>
    </w:p>
    <w:p w:rsidR="00D06117" w:rsidRDefault="00D06117" w:rsidP="00D06117">
      <w:pPr>
        <w:pStyle w:val="TextoNormal"/>
      </w:pPr>
      <w:r>
        <w:t xml:space="preserve">El Abogado del Estado analiza a continuación si es cierto que la posibilidad de optar a un nombramiento libre del Alcalde (miembro de la Junta de gobierno local, Teniente de Alcalde), y la percepción de una retribución como delegado de medio ambiente y desarrollo sostenible con dedicación exclusiva, deben reputarse integrados en el núcleo de la función representativa de un concejal. La respuesta, a su juicio, debe ser negativa, y así se desprende de la propia STC 169/2009, que en su fundamento jurídico 3 señala que el núcleo esencial de las funciones representativas “se corresponde con aquellas funciones que sólo pueden ejercer los titulares del cargo público por ser la expresión del carácter representativo de la institución”. Para el Abogado del Estado el núcleo de las funciones representativas para las que los concejales han sido elegidos se condensa en participar en la actividad de control del ejecutivo o gobierno municipal, deliberar y votar en el Pleno y en obtener la información precisa para ejercer las anteriores funciones. Por ello afirma que, ni por el título de acceso al cargo (nombramiento y no elección), ni por el contenido de sus funciones, puede afirmarse que la posibilidad de optar a ser nombrado miembro de la Junta de gobierno local o </w:t>
      </w:r>
      <w:r>
        <w:lastRenderedPageBreak/>
        <w:t>Teniente de Alcalde con delegación en materia de medio ambiente y desarrollo sostenible se integre en el núcleo esencial de la función representativa de los concejales.</w:t>
      </w:r>
    </w:p>
    <w:p w:rsidR="00D06117" w:rsidRDefault="00D06117" w:rsidP="00D06117">
      <w:pPr>
        <w:pStyle w:val="TextoNormal"/>
      </w:pPr>
    </w:p>
    <w:p w:rsidR="00D06117" w:rsidRDefault="00D06117" w:rsidP="00D06117">
      <w:pPr>
        <w:pStyle w:val="TextoNormal"/>
      </w:pPr>
      <w:r>
        <w:t>Asimismo señala el Abogado del Estado que la interpretación de la que parte el Juez proponente no es la única que admite el tercer párrafo del art. 73.3 LBRL. La gran indeterminación del tercer párrafo del art. 73.3 LBRL permite, a su entender, justificar racionalmente muy distintas interpretaciones, algunas de las cuales podrían llevar a concluir que aquélla de la que parte el Auto de planteamiento no cuenta con razones irrefutables para imponerse definitivamente. Señala el Abogado del Estado que de entre las interpretaciones posibles del tercer párrafo del art. 73.3 LBRL, las hay más gravosas o más benignas con el tránsfuga, pero el afirmar que la finalidad discernible del párrafo cuestionado sea desincentivar el transfuguismo no obliga necesariamente a considerar más aceptables las propuestas hermenéuticas más perjudiciales para el concejal que no se incorpora o abandona el grupo vinculado a la formación electoral que le propuso como candidato.</w:t>
      </w:r>
    </w:p>
    <w:p w:rsidR="00D06117" w:rsidRDefault="00D06117" w:rsidP="00D06117">
      <w:pPr>
        <w:pStyle w:val="TextoNormal"/>
      </w:pPr>
    </w:p>
    <w:p w:rsidR="00D06117" w:rsidRDefault="00D06117" w:rsidP="00D06117">
      <w:pPr>
        <w:pStyle w:val="TextoNormal"/>
      </w:pPr>
      <w:r>
        <w:t>Por todo lo expuesto solicita que se dicte Sentencia desestimatoria de la cuestión planteada.</w:t>
      </w:r>
    </w:p>
    <w:p w:rsidR="00D06117" w:rsidRDefault="00D06117" w:rsidP="00D06117">
      <w:pPr>
        <w:pStyle w:val="TextoNormal"/>
      </w:pPr>
    </w:p>
    <w:p w:rsidR="00D06117" w:rsidRDefault="00D06117" w:rsidP="00D06117">
      <w:pPr>
        <w:pStyle w:val="TextoNormal"/>
      </w:pPr>
      <w:r w:rsidRPr="00D06117">
        <w:rPr>
          <w:rStyle w:val="NumeroAFNegritaCaracter"/>
        </w:rPr>
        <w:t>9</w:t>
      </w:r>
      <w:r>
        <w:t>. El Fiscal General del Estado presentó su escrito de alegaciones el 28 de septiembre de 2010, en el que solicita la desestimación de la cuestión de inconstitucionalidad por las mismas razones que adujo en su momento para proponer su inadmisión, reiterando íntegramente el anterior informe.</w:t>
      </w:r>
    </w:p>
    <w:p w:rsidR="00D06117" w:rsidRDefault="00D06117" w:rsidP="00D06117">
      <w:pPr>
        <w:pStyle w:val="TextoNormal"/>
      </w:pPr>
    </w:p>
    <w:p w:rsidR="00D06117" w:rsidRDefault="00D06117" w:rsidP="00D06117">
      <w:pPr>
        <w:pStyle w:val="TextoNormal"/>
      </w:pPr>
      <w:r w:rsidRPr="00D06117">
        <w:rPr>
          <w:rStyle w:val="NumeroAFNegritaCaracter"/>
        </w:rPr>
        <w:t>10</w:t>
      </w:r>
      <w:r>
        <w:t>. La representación procesal del Ayuntamiento de Denia, tras su personación, presentó escrito de alegaciones el 30 de septiembre de 2010. En su escrito muestra su conformidad con el planteamiento de la cuestión de inconstitucionalidad planteada. A su juicio, el derecho de representación, en su dimensión de ejercicio del cargo, resulta vulnerado por el párrafo tercero del art. 73.3 LBRL, y la interpretación dada por la Subdelegación del Gobierno, en tanto que se pretende limitar los derechos del concejal no adscrito en el ejercicio de su cargo, distorsiona el estatuto del mismo, por la falta de definición de la situación en la que quedaría dicho concejal no adscrito como consecuencia de su salida del grupo político de procedencia.</w:t>
      </w:r>
    </w:p>
    <w:p w:rsidR="00D06117" w:rsidRDefault="00D06117" w:rsidP="00D06117">
      <w:pPr>
        <w:pStyle w:val="TextoNormal"/>
      </w:pPr>
    </w:p>
    <w:p w:rsidR="00D06117" w:rsidRDefault="00D06117" w:rsidP="00D06117">
      <w:pPr>
        <w:pStyle w:val="TextoNormal"/>
      </w:pPr>
      <w:r>
        <w:t>Señala que las delegaciones, nombramientos o designaciones que ostentó el concejal antes de abandonar el partido, no conforman los derechos del concejal no adscrito, ni condicionan o limitan al mismo, en el supuesto de abandonar o ser separado de un partido, porque, en base a la doctrina constitucional —STC 10/1983, FJ 3—, el cese o expulsión de un electo del partido político en cuyas listas compareció a un proceso electoral, no le hace perder a aquél su cargo, ni los derechos representativos inherentes al mismo, porque son los candidatos, y no el partido, quienes reciben el mandato representativo. Añade que todos los concejales ostentan los mismos derechos y deberes individuales, que en su condición de representantes del cuerpo electoral tienen inherentes, sin que su nombramiento o destitución como miembro de la Junta de gobierno local, Teniente de Alcalde, concejal delegado, etc., deba suponer un aumento o minoración de los mismos.</w:t>
      </w:r>
    </w:p>
    <w:p w:rsidR="00D06117" w:rsidRDefault="00D06117" w:rsidP="00D06117">
      <w:pPr>
        <w:pStyle w:val="TextoNormal"/>
      </w:pPr>
    </w:p>
    <w:p w:rsidR="00D06117" w:rsidRDefault="00D06117" w:rsidP="00D06117">
      <w:pPr>
        <w:pStyle w:val="TextoNormal"/>
      </w:pPr>
      <w:r>
        <w:t xml:space="preserve">Continúa razonando que los derechos políticos y económicos a los que se hace referencia en el art. 73.3 LBRL, deben limitarse a los que vengan regulados en el reglamento orgánico de cada corporación y que se representarían, entre otros, en los derechos de asistencia y voto </w:t>
      </w:r>
      <w:r>
        <w:lastRenderedPageBreak/>
        <w:t>a las sesiones plenarias, o su participación en las comisiones informativas, derechos económicos de asignación a los grupos políticos con cargo a los presupuestos anuales de la corporación local, fijos y variables en función del número de integrantes, etc.</w:t>
      </w:r>
    </w:p>
    <w:p w:rsidR="00D06117" w:rsidRDefault="00D06117" w:rsidP="00D06117">
      <w:pPr>
        <w:pStyle w:val="TextoNormal"/>
      </w:pPr>
    </w:p>
    <w:p w:rsidR="00D06117" w:rsidRDefault="00D06117" w:rsidP="00D06117">
      <w:pPr>
        <w:pStyle w:val="TextoNormal"/>
      </w:pPr>
      <w:r>
        <w:t>Por último, sostiene que el párrafo tercero del art. 73.3 LBRL se articula como una herramienta de control político que no sólo busca coartar la voluntad de los concejales y el ejercicio del cargo de representación que ostentan, sino que lo que pretende es condicionar la máxima acción de control al gobierno municipal, como es la moción de censura, limitando el ejercicio de las atribuciones de gobierno y administración municipal del Alcalde proclamado tras dicha moción, por cuanto que los concejales no adscritos que pudieran entrar a formar parte del nuevo equipo de gobierno no podrían ejercitar sus funciones de representación en condiciones de igualdad.</w:t>
      </w:r>
    </w:p>
    <w:p w:rsidR="00D06117" w:rsidRDefault="00D06117" w:rsidP="00D06117">
      <w:pPr>
        <w:pStyle w:val="TextoNormal"/>
      </w:pPr>
    </w:p>
    <w:p w:rsidR="00D06117" w:rsidRDefault="00D06117" w:rsidP="00D06117">
      <w:pPr>
        <w:pStyle w:val="TextoNormal"/>
      </w:pPr>
      <w:r w:rsidRPr="00D06117">
        <w:rPr>
          <w:rStyle w:val="NumeroAFNegritaCaracter"/>
        </w:rPr>
        <w:t>11</w:t>
      </w:r>
      <w:r>
        <w:t>. Mediante providencia de 17 de enero de 2012 se señaló para deliberación y votación de la presente Sentencia el día 18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planteamiento de la presente cuestión de inconstitucionalidad se sustenta en la duda del órgano judicial promotor acerca de la constitucionalidad de la norma que restringe los derechos económicos y políticos de los miembros de la corporaciones locales no adscritos al impedir que dichos derechos sean superiores a los que les hubiesen correspondido de permanecer en el grupo municipal de procedencia.</w:t>
      </w:r>
    </w:p>
    <w:p w:rsidR="00D06117" w:rsidRDefault="00D06117" w:rsidP="00D06117">
      <w:pPr>
        <w:pStyle w:val="TextoNormal"/>
      </w:pPr>
    </w:p>
    <w:p w:rsidR="00D06117" w:rsidRDefault="00D06117" w:rsidP="00D06117">
      <w:pPr>
        <w:pStyle w:val="TextoNormal"/>
      </w:pPr>
      <w:r>
        <w:t>En efecto, el párrafo tercero del art. 73.3 de la Ley reguladora de las bases de régimen local (LBRL), dispone:</w:t>
      </w:r>
    </w:p>
    <w:p w:rsidR="00D06117" w:rsidRDefault="00D06117" w:rsidP="00D06117">
      <w:pPr>
        <w:pStyle w:val="TextoNormal"/>
      </w:pPr>
    </w:p>
    <w:p w:rsidR="00D06117" w:rsidRDefault="00D06117" w:rsidP="00D06117">
      <w:pPr>
        <w:pStyle w:val="TextoNormal"/>
      </w:pPr>
      <w:r>
        <w:t>“Los derechos económicos y políticos de los miembros no adscritos no podrán ser superiores a los que les hubiesen correspondido de permanecer en el grupo de procedencia, y se ejercerán en la forma que determine el reglamento orgánico de cada corporación.”</w:t>
      </w:r>
    </w:p>
    <w:p w:rsidR="00D06117" w:rsidRDefault="00D06117" w:rsidP="00D06117">
      <w:pPr>
        <w:pStyle w:val="TextoNormal"/>
      </w:pPr>
    </w:p>
    <w:p w:rsidR="00D06117" w:rsidRDefault="00D06117" w:rsidP="00D06117">
      <w:pPr>
        <w:pStyle w:val="TextoNormal"/>
      </w:pPr>
      <w:r>
        <w:t>Entiende el órgano judicial que el precepto cuestionado vulnera el art. 23 CE, en la medida en que impide al representante no adscrito ser elegido por el Alcalde de la corporación como miembro de la comisión de gobierno (actualmente Junta de gobierno local) y Teniente de Alcalde, cuando no ostentase esa condición antes de abandonar el grupo municipal, a diferencia del resto de concejales de la corporación, que sí pueden desempeñar dichos cargos. Para el órgano judicial el trato diferente recibido incide en el núcleo esencial de sus funciones representativas, en la medida en que sólo los concejales pueden ser miembros de la comisión de gobierno y Tenientes de Alcalde y, a su juicio, de entenderse lo contrario, se estaría reconociendo que la función representativa y el ejercicio del cargo quedaría colmado con ser concejal, limitando los derechos económicos y políticos de quien representa a la totalidad del censo electoral de su circunscripción.</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Como recuerda el Fiscal General del Estado en su escrito de alegaciones, el origen del precepto impugnado se remonta al acuerdo sobre un código de conducta política en relación con el transfuguismo en las corporaciones locales, que se firmó por la práctica totalidad de </w:t>
      </w:r>
      <w:r>
        <w:lastRenderedPageBreak/>
        <w:t>los partidos políticos con fecha 7 de julio de 1998, y que fue renovado por nuevos acuerdos de 26 de septiembre de 2000 y 23 de mayo de 2006. La finalidad de los mismos es la de respetar la voluntad de los ciudadanos manifestada en las elecciones, en cuanto constituye la expresión esencial de un régimen democrático. Con este objetivo se disponen una serie de medidas “para frenar y reducir el condenable fenómeno de deslealtad política conocido como transfuguismo” entre las que se encuentra la creación legal de la figura de los “concejales no adscritos”, que no pueden integrarse en grupo alguno.</w:t>
      </w:r>
    </w:p>
    <w:p w:rsidR="00D06117" w:rsidRDefault="00D06117" w:rsidP="00D06117">
      <w:pPr>
        <w:pStyle w:val="TextoNormal"/>
      </w:pPr>
    </w:p>
    <w:p w:rsidR="00D06117" w:rsidRDefault="00D06117" w:rsidP="00D06117">
      <w:pPr>
        <w:pStyle w:val="TextoNormal"/>
      </w:pPr>
      <w:r>
        <w:t>En efecto, como consecuencia de dicho acuerdo, la Ley 57/2003, de 16 de diciembre, de medidas para la modernización del gobierno local, modificó el art. 73.3 LBRL e introdujo la figura de los miembros de las corporaciones locales no adscritos a ningún grupo político, esto es, los concejales que no se integren en el grupo político que constituya la formación electoral por la que fueron elegidos o que abandonen su grupo de procedencia, siendo así que con anterioridad a la introducción de esta figura por la Ley 57/2003, los miembros de las entidades locales en esta situación pasaban a integrarse en el grupo mixto.</w:t>
      </w:r>
    </w:p>
    <w:p w:rsidR="00D06117" w:rsidRDefault="00D06117" w:rsidP="00D06117">
      <w:pPr>
        <w:pStyle w:val="TextoNormal"/>
      </w:pPr>
    </w:p>
    <w:p w:rsidR="00D06117" w:rsidRDefault="00D06117" w:rsidP="00D06117">
      <w:pPr>
        <w:pStyle w:val="TextoNormal"/>
      </w:pPr>
      <w:r>
        <w:t>En este sentido, el art. 73.3 LBRL regula un aspecto que se integra en el ámbito organizativo de la corporación local, como es el de los grupos políticos en los que se integran los concejales a los efectos de su actuación corporativa. Al respecto, hasta la reforma operada en la LBRL por la Ley 57/2003, de 16 de diciembre, el legislador había establecido un criterio de organización del trabajo de la corporación consistente en el encuadramiento en grupos de los concejales que la integran; y disponía la obligatoria adscripción de todo concejal a un grupo municipal, constituyendo el grupo mixto aquellos concejales que no quedaran integrados en ningún otro grupo municipal. Sin embargo, con la reforma del art. 73.3 LBRL el legislador ha optado por un sistema de organización que no se basa, como antes, exclusivamente en los grupos políticos, sino que, en dicho diseño organizativo, introduce, como hemos dicho, la figura del concejal no adscrito.</w:t>
      </w:r>
    </w:p>
    <w:p w:rsidR="00D06117" w:rsidRDefault="00D06117" w:rsidP="00D06117">
      <w:pPr>
        <w:pStyle w:val="TextoNormal"/>
      </w:pPr>
    </w:p>
    <w:p w:rsidR="00D06117" w:rsidRDefault="00D06117" w:rsidP="00D06117">
      <w:pPr>
        <w:pStyle w:val="TextoNormal"/>
      </w:pPr>
      <w:r>
        <w:t>Debe añadirse que, obviamente, el art. 73.3 LBRL no fija un régimen jurídico completo de las facultades y derechos de los concejales no adscritos, sino que deja un amplio margen que debe ser completado por las leyes de régimen local de cada Comunidad Autónoma y el reglamento orgánico de cada Ayuntamiento. No se especifica, por tanto, cuál será su estatuto legal, pero se establece que sus derechos económicos y políticos no podrán ser superiores a los que les hubiesen correspondido de permanecer en el grupo de procedencia.</w:t>
      </w:r>
    </w:p>
    <w:p w:rsidR="00D06117" w:rsidRDefault="00D06117" w:rsidP="00D06117">
      <w:pPr>
        <w:pStyle w:val="TextoNormal"/>
      </w:pPr>
    </w:p>
    <w:p w:rsidR="00D06117" w:rsidRDefault="00D06117" w:rsidP="00D06117">
      <w:pPr>
        <w:pStyle w:val="TextoNormal"/>
      </w:pPr>
      <w:r>
        <w:t>La redacción del precepto establece así una regla general —los concejales, a efectos de su actuación corporativa, se constituirán en grupos políticos, correspondiéndoles el derecho-deber de estar adscritos a uno de ellos— que tiene como excepciones las relativas a aquellos concejales “que no se integren en el grupo político que constituya la formación electoral por la que fueron elegidos o que abandonen su grupo de procedencia”, supuestos en los que “tendrán la consideración de miembros no adscritos”, sin que la LBRL les reconozca derecho alguno ni a constituir un nuevo grupo ni a integrarse en alguno de los existentes en la corporación. Relacionada con tal imposibilidad la norma establece una limitación más, que en este proceso constitucional se cuestiona, al impedir que los derechos económicos y políticos de los miembros no adscritos puedan ser superiores a los que ostentaban en su calidad de miembros del grupo en el que deberían haberse integrado o del grupo de procedencia que han abandonado.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Antes de abordar el examen de la duda de constitucionalidad planteada debemos advertir que no nos corresponde dilucidar si, como el órgano judicial interpreta, el párrafo tercero del art. 73.3 LBRL impide que, en concreto, un concejal no adscrito sea nombrado para determinados cargos en el equipo de gobierno municipal, si no los hubiera venido ostentando con anterioridad a su tránsito a la referida condición de no adscrito, sino que al resolver la cuestión de inconstitucionalidad planteada debemos exclusivamente pronunciarnos acerca de si el precepto, tal y como es entendido por el órgano judicial, afecta al núcleo del derecho al ejercicio de cargos públicos protegido por el art. 23.2 CE.</w:t>
      </w:r>
    </w:p>
    <w:p w:rsidR="00D06117" w:rsidRDefault="00D06117" w:rsidP="00D06117">
      <w:pPr>
        <w:pStyle w:val="TextoNormal"/>
      </w:pPr>
    </w:p>
    <w:p w:rsidR="00D06117" w:rsidRDefault="00D06117" w:rsidP="00D06117">
      <w:pPr>
        <w:pStyle w:val="TextoNormal"/>
      </w:pPr>
      <w:r>
        <w:t>Hecha tal precisión, el examen de la cuestión de constitucionalidad planteada debe partir de que, como hemos señalado en reiteradas ocasiones, existe una directa conexión entre el derecho de participación política de los cargos públicos representativos (art. 23.2 CE) y el derecho de los ciudadanos a participar en los asuntos públicos (art. 23.1 CE), puesto que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y 40/2003, de 27 de febrero, FJ 2].</w:t>
      </w:r>
    </w:p>
    <w:p w:rsidR="00D06117" w:rsidRDefault="00D06117" w:rsidP="00D06117">
      <w:pPr>
        <w:pStyle w:val="TextoNormal"/>
      </w:pPr>
    </w:p>
    <w:p w:rsidR="00D06117" w:rsidRDefault="00D06117" w:rsidP="00D06117">
      <w:pPr>
        <w:pStyle w:val="TextoNormal"/>
      </w:pPr>
      <w:r>
        <w:t>De este modo, el derecho de participación política, en sus distintas manifestaciones, es “un derecho que se otorga a los ciudadanos en cuanto tales y, por consiguiente, a las personas individuales. No es un derecho que pueda reconocerse genéricamente a las personas jurídicas o entes, como los sindicatos o los mismos partidos políticos (SSTC 53/1982, de 22 de julio, FJ 1; 5/1983, de 4 de febrero, FJ 4; 23/1983, de 25 de marzo, FJ 4; 51/1984, de 25 de abril, FJ 2; 63/1987, de 20 de mayo, FJ 5; y con especial referencia al apartado segundo del art. 23 CE, la STC 36/1990, de 1 de marzo, FJ 1)” (STC 298/2006, de 23 de octubre, FJ 4).</w:t>
      </w:r>
    </w:p>
    <w:p w:rsidR="00D06117" w:rsidRDefault="00D06117" w:rsidP="00D06117">
      <w:pPr>
        <w:pStyle w:val="TextoNormal"/>
      </w:pPr>
    </w:p>
    <w:p w:rsidR="00D06117" w:rsidRDefault="00D06117" w:rsidP="00D06117">
      <w:pPr>
        <w:pStyle w:val="TextoNormal"/>
      </w:pPr>
      <w:r>
        <w:t xml:space="preserve">Es también doctrina de este Tribunal, que “el art. 23.2 CE, en lo que ahora interesa, consagra la dimensión pasiva del derecho de participación política, enunciando el derecho de los ciudadanos a acceder en condiciones de igualdad a las funciones y cargos públicos, con los requisitos que señalen las leyes. A este contenido explícito del precepto ha aunado nuestra jurisprudencia un contenido implícito cual es, en primer lugar, el derecho a permanecer, en condiciones de igualdad y con los requisitos que señalen las leyes, en los cargos o funciones públicas a los que se accedió (STC 5/1983, de 4 de febrero, FJ 3), no pudiendo ser removido de los mismos si no es por causas y de acuerdo con procedimientos legalmente establecidos (STC 10/1983, de 21 de febrero, FJ 2). Y, además, hemos declarado el derecho al ejercicio o desempeño del cargo público representativo conforme a lo previsto en las leyes (STC 32/1985, de 6 de marzo, FJ 3). Cualquiera de las dimensiones que hemos identificado como integrantes del derecho de participación política reconocido en el art. 23.2 CE —acceso, permanencia y ejercicio— está delimitada —con arreglo al propio precepto constitucional— por la necesidad de llevarse a cabo en condiciones de igualdad y de acuerdo con los requisitos que señalen las leyes” (STC 298/2006, de 23 de octubre, FJ 6). En consecuencia, hemos destacado el carácter de configuración legal del derecho fundamental reconocido en el art. 23.2 CE, en el sentido de que corresponde primeramente a las leyes fijar y ordenar los derechos y atribuciones que corresponden a los representantes políticos, de manera que </w:t>
      </w:r>
      <w:r>
        <w:lastRenderedPageBreak/>
        <w:t>“una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que se integren” (por todas, SSTC 208/2003, de 1 de diciembre, FJ 4; 141/2007, de 18 de junio, FJ 3; y 169/2009, de 9 de julio, FJ 2).</w:t>
      </w:r>
    </w:p>
    <w:p w:rsidR="00D06117" w:rsidRDefault="00D06117" w:rsidP="00D06117">
      <w:pPr>
        <w:pStyle w:val="TextoNormal"/>
      </w:pPr>
    </w:p>
    <w:p w:rsidR="00D06117" w:rsidRDefault="00D06117" w:rsidP="00D06117">
      <w:pPr>
        <w:pStyle w:val="TextoNormal"/>
      </w:pPr>
      <w:r w:rsidRPr="00D06117">
        <w:rPr>
          <w:rStyle w:val="NumeroAFNegritaCaracter"/>
        </w:rPr>
        <w:t>4</w:t>
      </w:r>
      <w:r>
        <w:t>. Ciertamente, el precepto cuestionado limita los derechos del concejal, en cuanto, al ser calificado legalmente como no adscrito, deja de ser miembro de un grupo político de los que integran la corporación. Ahora bien, hemos señalado en la STC 169/2009, de 9 de julio (FJ 7), que el distinto trato que el art. 73.3 LBRL otorga a los miembros de las corporaciones locales en función de su adscripción o no a un grupo político “está justificado en la diferente situación en la que se encuentran, al no haberse incorporado al grupo político constituido por la formación electoral por la que fueron elegidos: puede someterse a un régimen jurídico parcialmente diferente a los representantes que no se integran en el grupo político constituido por la formación en la que concurrieron a las elecciones respecto de aquéllos que sí lo hacen, todo ello sin perjuicio de respetar las facultades de representación que son propias del cargo electo, pues, como se ha indicado, el diferente trato que se otorga en este caso a los diputados no adscritos no conlleva una limitación de las facultades que constituyen el núcleo de sus funciones representativas”.</w:t>
      </w:r>
    </w:p>
    <w:p w:rsidR="00D06117" w:rsidRDefault="00D06117" w:rsidP="00D06117">
      <w:pPr>
        <w:pStyle w:val="TextoNormal"/>
      </w:pPr>
    </w:p>
    <w:p w:rsidR="00D06117" w:rsidRDefault="00D06117" w:rsidP="00D06117">
      <w:pPr>
        <w:pStyle w:val="TextoNormal"/>
      </w:pPr>
      <w:r>
        <w:t>En principio, las restricciones o limitaciones impuestas a los concejales no adscritos responden a un fin legítimo. Como señala el Fiscal General del Estado en su escrito de alegaciones, “la actitud del tránsfuga, que, aun ejerciendo su derecho individual, altera el equilibrio de fuerzas derivado del grupo político con el que había concurrido a las elecciones, otorgando con su conducta la mayoría a otro grupo hasta ese momento minoritario, altera, aun en un segundo nivel, la representación democrática, pues la votación a un determinado partido político se efectúa no sólo por la calidad de las personas que lo integran en las listas electorales, sino por la perspectiva política e ideológica que representan”. En este sentido, debemos recordar que este Tribunal ha puesto de manifiesto la relevancia jurídica de la adscripción política de los representantes, entre otras, en la STC 32/1985, de 6 de marzo (FJ 2), en la que hemos afirmado que “es claro, en efecto,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w:t>
      </w:r>
    </w:p>
    <w:p w:rsidR="00D06117" w:rsidRDefault="00D06117" w:rsidP="00D06117">
      <w:pPr>
        <w:pStyle w:val="TextoNormal"/>
      </w:pPr>
    </w:p>
    <w:p w:rsidR="00D06117" w:rsidRDefault="00D06117" w:rsidP="00D06117">
      <w:pPr>
        <w:pStyle w:val="TextoNormal"/>
      </w:pPr>
      <w:r>
        <w:t>Pues bien, no cualquier acto que afecte al status jurídico aplicable al representante político lesiona el derecho fundamental invocado, “pues sólo poseen relevancia constitucional a estos efectos los derechos o facultades atribuidos al representante que pertenezcan al núcleo de su función representativa” (SSTC 38/1999, de 22 de marzo, FJ 2; 107/2001, de 23 de abril, FJ 3; 208/2003, de 1 de diciembre, FJ 4; 141/2007, de 18 de junio, FJ 3; y 169/2009, de 9 de julio FJ 2).</w:t>
      </w:r>
    </w:p>
    <w:p w:rsidR="00D06117" w:rsidRDefault="00D06117" w:rsidP="00D06117">
      <w:pPr>
        <w:pStyle w:val="TextoNormal"/>
      </w:pPr>
    </w:p>
    <w:p w:rsidR="00D06117" w:rsidRDefault="00D06117" w:rsidP="00D06117">
      <w:pPr>
        <w:pStyle w:val="TextoNormal"/>
      </w:pPr>
      <w:r>
        <w:lastRenderedPageBreak/>
        <w:t>Por tanto, para poder dar respuesta a la cuestión de inconstitucionalidad planteada debemos determinar qué derechos o facultades atribuidos al representante político se integran en el núcleo de su función representativa, pues sólo así podremos concluir si el párrafo tercero del art. 73.3 LBRL vulnera el art. 23 CE.</w:t>
      </w:r>
    </w:p>
    <w:p w:rsidR="00D06117" w:rsidRDefault="00D06117" w:rsidP="00D06117">
      <w:pPr>
        <w:pStyle w:val="TextoNormal"/>
      </w:pPr>
    </w:p>
    <w:p w:rsidR="00D06117" w:rsidRDefault="00D06117" w:rsidP="00D06117">
      <w:pPr>
        <w:pStyle w:val="TextoNormal"/>
      </w:pPr>
      <w:r>
        <w:t>En este sentido, la STC 169/2009, de 9 de julio (FJ 3), establece un criterio que, predicado de los miembros de las corporaciones provinciales, puede, sin duda, ser trasladado a las funciones de representación que son propias de un concejal. Así, señalamos en la citada Sentencia que “entre las funciones que pertenecen al núcleo inherente a la función representativa que constitucionalmente corresponde a los miembros de una corporación provincial se encuentran la de participar en la actividad de control del gobierno provincial, la de participar en las deliberaciones del pleno de la corporación, la de votar en los asuntos sometidos a votación en este órgano, así como el derecho a obtener la información necesaria para poder ejercer las anteriores”.</w:t>
      </w:r>
    </w:p>
    <w:p w:rsidR="00D06117" w:rsidRDefault="00D06117" w:rsidP="00D06117">
      <w:pPr>
        <w:pStyle w:val="TextoNormal"/>
      </w:pPr>
    </w:p>
    <w:p w:rsidR="00D06117" w:rsidRDefault="00D06117" w:rsidP="00D06117">
      <w:pPr>
        <w:pStyle w:val="TextoNormal"/>
      </w:pPr>
      <w:r>
        <w:t>A la luz de esta doctrina, debemos rechazar la inconstitucionalidad del tercer párrafo del art. 73.3 LBRL, propugnada en el Auto de planteamiento de la presente cuestión de inconstitucionalidad. En efecto, definido en los términos ya señalados el sentido del precepto legal cuestionado, es claro que la garantía que proporciona el art. 23.2 CE no se ve vulnerada en un supuesto como el planteado por el órgano judicial promotor de esta cuestión de inconstitucionalidad. El órgano judicial considera que el precepto cuestionado vulnera el art. 23 CE, en la medida en que impide al representante no adscrito ser elegido, por el Alcalde de la corporación, miembro de la Junta o comisión de gobierno y Teniente de Alcalde, cuando el resto de concejales de la corporación pueden optar a dichos cargos. Como señala el Fiscal General del Estado en su escrito de alegaciones, los aspectos a los que se refiere concretamente el Auto de planteamiento de esta cuestión de inconstitucionalidad —pertenencia a la Junta o comisión de gobierno y designación como Teniente de Alcalde— no están incluidos en el núcleo básico del mandato representativo y constituyen aspectos de la organización y estructura consistorial dentro de las potestades, no ilimitadas, del Alcalde. En efecto, tales nombramientos dependen de la voluntad de un tercero, el Alcalde de la corporación, voluntad que ha de ser ejercida en los términos y condiciones determinados al respecto por la Ley de bases de régimen local (arts. 23.1 y 125.1).</w:t>
      </w:r>
    </w:p>
    <w:p w:rsidR="00D06117" w:rsidRDefault="00D06117" w:rsidP="00D06117">
      <w:pPr>
        <w:pStyle w:val="TextoNormal"/>
      </w:pPr>
    </w:p>
    <w:p w:rsidR="00D06117" w:rsidRDefault="00D06117" w:rsidP="00D06117">
      <w:pPr>
        <w:pStyle w:val="TextoNormal"/>
      </w:pPr>
      <w:r>
        <w:t>Por cuanto antecede, hemos de concluir que el nombramiento para cargos relacionados con el gobierno y la administración del municipio no se integra en el núcleo esencial de las funciones representativas del concejal. Se trata de ámbitos ajenos al ejercicio de la función representativa atribuida al mismo, lo que determina que el art. 23 CE no se vea aquí vulnerado.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enero de dos mil doce</w:t>
      </w:r>
    </w:p>
    <w:p w:rsidR="00D06117" w:rsidRDefault="00D06117" w:rsidP="00D06117">
      <w:pPr>
        <w:pStyle w:val="ParrafoNormal"/>
      </w:pPr>
    </w:p>
    <w:p w:rsidR="00D06117" w:rsidRDefault="00D06117" w:rsidP="00D06117">
      <w:pPr>
        <w:pStyle w:val="TextoNormalNegritaCentrado"/>
        <w:keepNext/>
      </w:pPr>
      <w:r>
        <w:t>Voto particular concurrente que formula el Magistrado don Luis Ignacio Ortega Álvarez a la Sentencia relativa a la cuestión de inconstitucionalidad núm. 1490-2010.</w:t>
      </w:r>
    </w:p>
    <w:p w:rsidR="00D06117" w:rsidRDefault="00D06117" w:rsidP="00D06117">
      <w:pPr>
        <w:pStyle w:val="TextoNormalNegritaCentrado"/>
        <w:keepNext/>
      </w:pPr>
    </w:p>
    <w:p w:rsidR="00D06117" w:rsidRDefault="00D06117" w:rsidP="00D06117">
      <w:pPr>
        <w:pStyle w:val="TextoNormal"/>
      </w:pPr>
      <w:r>
        <w:t>En el ejercicio de la facultad conferida por el art. 90.2 LOTC, formulo el presente Voto concurrente por cuanto, pese a que comparto plenamente el fallo y la casi totalidad de la fundamentación del texto aprobado también con mi voto por la mayoría de este Tribunal, me siento en la obligación de exponer mi discrepancia en un aspecto concreto del mismo a fin de ser coherente con la posición mantenida durante su deliberación en el Pleno.</w:t>
      </w:r>
    </w:p>
    <w:p w:rsidR="00D06117" w:rsidRDefault="00D06117" w:rsidP="00D06117">
      <w:pPr>
        <w:pStyle w:val="TextoNormal"/>
      </w:pPr>
    </w:p>
    <w:p w:rsidR="00D06117" w:rsidRDefault="00D06117" w:rsidP="00D06117">
      <w:pPr>
        <w:pStyle w:val="TextoNormal"/>
      </w:pPr>
      <w:r>
        <w:t>En primer lugar ninguna duda me ofrece la conclusión a la que llega la Sentencia en el sentido de que el derecho fundamental protegido en el art. 23.2 CE no se ve concernido por la regulación establecida en el tercer párrafo del art. 73.3 LBRL. Sin embargo estimo que la Sentencia, cuya conclusión comparto, debía haber apurado las posibilidades de colaboración entre la jurisdicción constitucional y los órganos judiciales que ofrece un proceso con las características de la cuestión de inconstitucionalidad y, en tal sentido, avanzar un paso mas en la línea de razonamiento que se expresa en la Sentencia descartando la posibilidad de una interpretación del precepto cuestionado como la que se apunta en el Auto de planteamiento de la cuestión.</w:t>
      </w:r>
    </w:p>
    <w:p w:rsidR="00D06117" w:rsidRDefault="00D06117" w:rsidP="00D06117">
      <w:pPr>
        <w:pStyle w:val="TextoNormal"/>
      </w:pPr>
    </w:p>
    <w:p w:rsidR="00D06117" w:rsidRDefault="00D06117" w:rsidP="00D06117">
      <w:pPr>
        <w:pStyle w:val="TextoNormal"/>
      </w:pPr>
      <w:r>
        <w:t>En ese sentido toda su argumentación parte de una premisa, ya presente en la demanda que dio origen al proceso a quo, premisa que no es otra que entender que el párrafo tercero del art. 73.3 LBRL es de aplicación al supuesto de hecho que se plantea en la demanda, consistente básicamente en la integración en un nuevo equipo de gobierno municipal de un concejal que tiene la condición de no adscrito por haber abandonado previamente su grupo de procedencia. Dicho en otros términos es la interpretación que el órgano judicial, siguiendo lo señalado por el Abogado del Estado en su demanda, propone del precepto que cuestiona la que determina su aplicabilidad y, como consecuencia, su relevancia para la resolución del caso sometido a su enjuiciamiento. Dicha interpretación se centra en considerar que el párrafo tercero del art. 73.3 LBRL impediría que el concejal no adscrito fuese nombrado para determinados cargos en el equipo de gobierno municipal que no hubiera venido ostentando con anterioridad a su tránsito a la referida condición de no adscrito, impedimento o limitación que, a su vez, afectaría al núcleo del derecho al ejercicio de cargos públicos protegido por el art. 23.2 CE.</w:t>
      </w:r>
    </w:p>
    <w:p w:rsidR="00D06117" w:rsidRDefault="00D06117" w:rsidP="00D06117">
      <w:pPr>
        <w:pStyle w:val="TextoNormal"/>
      </w:pPr>
    </w:p>
    <w:p w:rsidR="00D06117" w:rsidRDefault="00D06117" w:rsidP="00D06117">
      <w:pPr>
        <w:pStyle w:val="TextoNormal"/>
      </w:pPr>
      <w:r>
        <w:t xml:space="preserve">A mi juicio no son claras las razones que llevan al órgano judicial a sostener dicha interpretación, ya que la misma hace entera abstracción del precepto en su conjunto y subsume el supuesto de hecho sometido la consideración del órgano judicial en una previsión legal que, atendiendo a su contenido e interpretación sistemática, resulta ajena a aquél y, a partir de ahí, afirma la inconstitucionalidad de esa norma legal por vulnerar el art. 23.2 CE, vulneración que es correctamente rechazada en nuestra Sentencia, pese a lo cual estimo que la cuestión que se planteaba carecía de base en la medida en que la interpretación del precepto </w:t>
      </w:r>
      <w:r>
        <w:lastRenderedPageBreak/>
        <w:t>de la que se partía para plantearla es, a mi juicio, claramente cuestionable y de ello debería haberse dejado constancia también en la Sentencia.</w:t>
      </w:r>
    </w:p>
    <w:p w:rsidR="00D06117" w:rsidRDefault="00D06117" w:rsidP="00D06117">
      <w:pPr>
        <w:pStyle w:val="TextoNormal"/>
      </w:pPr>
    </w:p>
    <w:p w:rsidR="00D06117" w:rsidRDefault="00D06117" w:rsidP="00D06117">
      <w:pPr>
        <w:pStyle w:val="TextoNormal"/>
      </w:pPr>
      <w:r>
        <w:t>En tal sentido, el examen del precepto legal cuestionado permite, en mi criterio, rechazar la interpretación del sentido y alcance del tercer párrafo del art. 73.3 LBRL propugnado en el Auto de planteamiento de la presente cuestión de inconstitucionalidad. El precepto tiene a mi entender un sentido normativo claro pues introduce en nuestra legislación la figura del concejal no adscrito estableciendo la previsión de que, junto a los grupos políticos, puedan existir en una corporación local miembros no adscritos a ninguno de esos grupos, figura ésta del concejal no adscrito que también recoge la Ley de las Cortes Valencianas 8/2010, de 23 de junio, de régimen local de Valencia, en su art. 134.4 sin que la LBRL (ni tampoco la Ley de las Cortes Valencianas 8/2010) reconozca a tales concejales derecho alguno ni a constituir un nuevo grupo ni a integrarse en alguno de los existentes en la corporación. De este modo respecto a estos concejales no adscritos es posible predicar la inexistencia del derecho-deber de integrarse en un grupo político que, en principio, pesa sobre los restantes miembros de la corporación local. Directamente relacionada con tal imposibilidad de formar un nuevo grupo o integrarse en alguno de los existentes la norma establece además la limitación que ahora se cuestiona, la cual impide que los derechos económicos y políticos de los miembros no adscritos puedan ser superiores a los que ostentaban en su calidad de miembros del grupo en el que deberían haberse integrado o bien del grupo de procedencia que han abandonado.</w:t>
      </w:r>
    </w:p>
    <w:p w:rsidR="00D06117" w:rsidRDefault="00D06117" w:rsidP="00D06117">
      <w:pPr>
        <w:pStyle w:val="TextoNormal"/>
      </w:pPr>
    </w:p>
    <w:p w:rsidR="00D06117" w:rsidRDefault="00D06117" w:rsidP="00D06117">
      <w:pPr>
        <w:pStyle w:val="TextoNormal"/>
      </w:pPr>
      <w:r>
        <w:t>Fácilmente se aprecia que nada de esto sucede en el proceso a quo en el que lo cuestionado han sido las resoluciones de la Alcaldía por las que se ha nombrado a un concejal no adscrito como miembro de la Junta de gobierno local, cuarto Teniente de Alcalde y Concejal delegado de medio ambiente y desarrollo sostenible, nombramientos todos ellos que no tienen porqué vincularse a la pertenencia a un determinado grupo municipal ni mucho menos, como se razona en la Sentencia, se integran en el ius in officium propio del concejal. Es por ello posible concluir que el diferente marco regulador establecido para los concejales no adscritos respecto a aquellos integrados en los grupos, consistente fundamentalmente en la imposibilidad de constituir un nuevo grupo municipal o integrarse en alguno de los existentes, con la consiguiente pérdida de facultades o beneficios que ello conlleva, encuentra su justificación precisamente en la falta de encuadramiento o el abandono del grupo político constituido por la formación electoral en cuyas filas concurrieron a las elecciones y por la que fueron elegidos. Esta falta de equiparación del concejal no adscrito con respecto a los integrados en el correspondiente grupo político está sometida a mayores concreciones en la forma que determine el reglamento orgánico municipal y supone otorgar relevancia jurídica a conductas que entran en contradicción con la, en principio, previsible adscripción al grupo político constituido por los representantes de la formación política con la que se concurrió a las elecciones.</w:t>
      </w:r>
    </w:p>
    <w:p w:rsidR="00D06117" w:rsidRDefault="00D06117" w:rsidP="00D06117">
      <w:pPr>
        <w:pStyle w:val="TextoNormal"/>
      </w:pPr>
    </w:p>
    <w:p w:rsidR="00D06117" w:rsidRDefault="00D06117" w:rsidP="00D06117">
      <w:pPr>
        <w:pStyle w:val="TextoNormal"/>
      </w:pPr>
      <w:r>
        <w:t xml:space="preserve">Así pues el precepto cuestionado encuentra su pleno sentido en relación con la pérdida de facultades o beneficios que se derivan de la pertenencia a un grupo sin que haga referencia a cuantas facultades tiene atribuidas el concejal al servicio de la función representativa que desempeña, esto es, conservando los derechos de ejercicio individual que, como a todo concejal miembro de la corporación, le corresponden en su condición de representante político (en tal sentido, STC 169/2009, de 9 de julio, FJ 5). Así, es claro que el precepto modifica la posición del concejal, en cuanto que, al ser calificado legalmente como no adscrito, </w:t>
      </w:r>
      <w:r>
        <w:lastRenderedPageBreak/>
        <w:t>deja de ser miembro de un grupo político de los que integran la corporación con la consiguiente pérdida de facultades o beneficios vinculados a la previa pertenencia a un concreto grupo político pero, al no afectar al núcleo de las funciones representativas del concejal, no priva al representante de las facultades inherentes a su cargo. Limitación que, en cuanto relativa a la pertenencia al grupo político, lo que impide es que los concejales no adscritos puedan percibir o beneficiarse de los recursos económicos y materiales puestos a disposición de los grupos políticos de la corporación [así, lo dispuesto en el propio art. 73.3, segundo párrafo, LBRL; arts. 27 y 28 del reglamento de organización, funcionamiento y régimen jurídico de las entidades locales o, en el mismo sentido que los citados, art. 135.3 de la Ley de las Cortes Valencianas 8/2010] y que, por otro lado, tampoco puedan ejercer o intervenir en las actividades que, conforme a la propia legislación de régimen local, se canalizan a través de dichos grupos (al respecto, por ejemplo, imposibilidad de presentar individualmente mociones o propuestas de resolución o no integración en la junta de portavoces, arts. 114, 116 y 118 y 135 y 136, respectivamente, de la Ley de las Cortes Valencianas 8/2010).</w:t>
      </w:r>
    </w:p>
    <w:p w:rsidR="00D06117" w:rsidRDefault="00D06117" w:rsidP="00D06117">
      <w:pPr>
        <w:pStyle w:val="TextoNormal"/>
      </w:pPr>
    </w:p>
    <w:p w:rsidR="00D06117" w:rsidRDefault="00D06117" w:rsidP="00D06117">
      <w:pPr>
        <w:pStyle w:val="TextoNormal"/>
      </w:pPr>
      <w:r>
        <w:t>Por el contrario, los nombramientos discutidos en el proceso a quo resultan completamente ajenos al ámbito al que se viene haciendo referencia pues, en tanto que relacionados con la organización y estructura del gobierno municipal, dependen de la voluntad un tercero, el Alcalde de la corporación, voluntad ejercida en los términos y condiciones determinados por la ley (al respecto, arts. 23.1, 20.2 y 23.3 y 23.4 LBRL, respectivamente), esto es, con el único límite, en este caso, de que los nombrados hayan de ser concejales del Ayuntamiento. Resulta entonces que del estatuto jurídico de los miembros no adscritos no puede deducirse limitación alguna a este respecto dado que se deriva de lo dispuesto en el párrafo cuestionado —que sus derechos económicos y políticos no sean superiores a los que hubieran correspondido de permanecer en el grupo de procedencia— no se refiere a los que se ostentaban en tanto que vinculados a la condición de concejal sino solamente a aquellos que lo eran en atención a la cualidad de miembro de uno de los grupos municipales sin afectar, por tanto, ni al derecho a ejercer las funciones de concejal en condiciones de igualdad, derecho que, por lo demás, no puede extenderse hasta alcanzar a la configuración del equipo de gobierno municipal ni tampoco al derecho de los ciudadanos a participar en los asuntos públicos por medio de representantes democráticamente elegidos. De esta forma es claro que, tal y como nuestra doctrina ha definido la función representativa que constitucionalmente corresponde a los representantes en las corporaciones locales, el nombramiento para cargos relacionados con el gobierno y la administración del municipio en nada afecta a la relación jurídica representativa del concejal con independencia de que el mismo se encuentre integrado en un grupo político o tenga la condición de no adscrito, en cuanto que se trata de ámbitos ajenos al ejercicio de la función representativa atribuida al concejal, lo que determina que el art. 23.2 CE no se vea aquí concernido.</w:t>
      </w:r>
    </w:p>
    <w:p w:rsidR="00D06117" w:rsidRDefault="00D06117" w:rsidP="00D06117">
      <w:pPr>
        <w:pStyle w:val="TextoNormal"/>
      </w:pPr>
    </w:p>
    <w:p w:rsidR="00D06117" w:rsidRDefault="00D06117" w:rsidP="00D06117">
      <w:pPr>
        <w:pStyle w:val="TextoNormal"/>
      </w:pPr>
      <w:r>
        <w:t>En suma, considero que los reproches dirigidos al precepto cuestionado se asientan sobre la premisa de que el mismo, al limitar indebidamente las eventuales atribuciones que corresponden al concejal no adscrito en razón de su condición legal, podría vulnerar el art. 23 CE, por lo que entiendo que una vez negada la premisa de este razonamiento, en los términos que han quedado expuestos, quedaba manifiestamente desprovista de fundamento la cuestión de inconstitucionalidad planteada, extremo que debería haberse establecido claramente en la Sentencia.</w:t>
      </w:r>
    </w:p>
    <w:p w:rsidR="00D06117" w:rsidRDefault="00D06117" w:rsidP="00D06117">
      <w:pPr>
        <w:pStyle w:val="TextoNormal"/>
      </w:pPr>
    </w:p>
    <w:p w:rsidR="00D06117" w:rsidRDefault="00D06117" w:rsidP="00D06117">
      <w:pPr>
        <w:pStyle w:val="TextoNormal"/>
      </w:pPr>
      <w:r>
        <w:lastRenderedPageBreak/>
        <w:t>Madrid, a dieciocho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 w:name="SENTENCIA_2012_10"/>
      <w:r>
        <w:lastRenderedPageBreak/>
        <w:t>SENTENCIA 10/2012, de 30 de enero de 2012</w:t>
      </w:r>
    </w:p>
    <w:bookmarkEnd w:id="13"/>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47, de 24 de febrero de 2012)</w:t>
      </w:r>
    </w:p>
    <w:p w:rsidR="00D06117" w:rsidRDefault="00D06117" w:rsidP="00D06117">
      <w:pPr>
        <w:pStyle w:val="TtuloBOE"/>
      </w:pPr>
    </w:p>
    <w:p w:rsidR="00D06117" w:rsidRDefault="00D06117" w:rsidP="00D06117">
      <w:pPr>
        <w:pStyle w:val="SntesisDescriptiva"/>
      </w:pPr>
      <w:r>
        <w:t>ECLI:ES:TC:2012:10</w:t>
      </w:r>
    </w:p>
    <w:p w:rsidR="00D06117" w:rsidRDefault="00D06117" w:rsidP="00D06117">
      <w:pPr>
        <w:pStyle w:val="SntesisDescriptiva"/>
      </w:pPr>
    </w:p>
    <w:p w:rsidR="00D06117" w:rsidRDefault="00D06117" w:rsidP="00D06117">
      <w:pPr>
        <w:pStyle w:val="SntesisDescriptiva"/>
      </w:pPr>
      <w:r>
        <w:t>Recurso de amparo 8533-2005. Promovido por don Alejandro Rojas Llamas en relación con las Sentencias de la Audiencia Provincial de Barcelona y de un Juzgado de Primera Instancia de Barcelona que desestimaron su demanda de reclamación de cantidad.</w:t>
      </w:r>
    </w:p>
    <w:p w:rsidR="00D06117" w:rsidRDefault="00D06117" w:rsidP="00D06117">
      <w:pPr>
        <w:pStyle w:val="SntesisDescriptiva"/>
      </w:pPr>
    </w:p>
    <w:p w:rsidR="00D06117" w:rsidRDefault="00D06117" w:rsidP="00D06117">
      <w:pPr>
        <w:pStyle w:val="SntesisAnaltica"/>
      </w:pPr>
      <w:r>
        <w:t>Vulneración del derecho a la tutela judicial efectiva (acceso a la justicia): apreciación indebida de la excepción de cosa juzgada material respecto de la alegación de nulidad de una obligación pecuniaria sobre la que no se habían pronunciado las resoluciones judiciales dictadas en un proceso ejecutivo previo.</w:t>
      </w:r>
    </w:p>
    <w:p w:rsidR="00D06117" w:rsidRDefault="00D06117" w:rsidP="00D06117">
      <w:pPr>
        <w:pStyle w:val="SntesisAnaltica"/>
      </w:pPr>
    </w:p>
    <w:p w:rsidR="00D06117" w:rsidRDefault="00D06117" w:rsidP="00D06117">
      <w:pPr>
        <w:pStyle w:val="Extracto"/>
      </w:pPr>
      <w:r>
        <w:t>1.</w:t>
      </w:r>
      <w:r>
        <w:tab/>
        <w:t xml:space="preserve">Resulta contrario al principio </w:t>
      </w:r>
      <w:r w:rsidRPr="00D06117">
        <w:rPr>
          <w:i/>
        </w:rPr>
        <w:t>pro actione</w:t>
      </w:r>
      <w:r>
        <w:t>, que rige con toda intensidad en la faceta de acceso a la jurisdicción, el llevar al actor a un callejón sin salida en el que primero se le niega la respuesta en vía ejecutiva, porque debe tenerla en un proceso de declaración, y luego, cuando éste se formaliza, también se le priva de una tutela de fondo bajo la premisa errónea de que este punto ya había quedado resuelto en el proceso ejecutivo anterior [FJ 4].</w:t>
      </w:r>
    </w:p>
    <w:p w:rsidR="00D06117" w:rsidRDefault="00D06117" w:rsidP="00D06117">
      <w:pPr>
        <w:pStyle w:val="Extracto"/>
      </w:pPr>
    </w:p>
    <w:p w:rsidR="00D06117" w:rsidRDefault="00D06117" w:rsidP="00D06117">
      <w:pPr>
        <w:pStyle w:val="Extracto"/>
      </w:pPr>
      <w:r>
        <w:t>2.</w:t>
      </w:r>
      <w:r>
        <w:tab/>
        <w:t>La fijación de si concurre o no la identidad subjetiva y objetiva entre procesos para declarar la excepción de cosa juzgada es susceptible del control del amparo constitucional cuando resulte evidente que la pretensión quedo formalmente imprejuzgada, tanto por no haberla planteado el actor como por haber decidido el órgano judicial que el asunto debía ser resuelto en otro tipo de procedimiento, o cuando la pretensión interpuesta en el segundo proceso diverge de la pretensión resuelta por la Sentencia firme que se ofrece de contraste (SSTC 5/2009, 71/2010) [FJ 3].</w:t>
      </w:r>
    </w:p>
    <w:p w:rsidR="00D06117" w:rsidRDefault="00D06117" w:rsidP="00D06117">
      <w:pPr>
        <w:pStyle w:val="Extracto"/>
      </w:pPr>
    </w:p>
    <w:p w:rsidR="00D06117" w:rsidRDefault="00D06117" w:rsidP="00D06117">
      <w:pPr>
        <w:pStyle w:val="Extracto"/>
      </w:pPr>
      <w:r>
        <w:t>3.</w:t>
      </w:r>
      <w:r>
        <w:tab/>
        <w:t>Doctrina sobre las implicaciones que tiene la declaración de cosa juzgada como impeditivo de una decisión de fondo, desde la perspectiva de la afectación al derecho de acceso a la jurisdicción (SSTC 121/1994, 71/2010) [FJ 3].</w:t>
      </w:r>
    </w:p>
    <w:p w:rsidR="00D06117" w:rsidRDefault="00D06117" w:rsidP="00D06117">
      <w:pPr>
        <w:pStyle w:val="Extracto"/>
      </w:pPr>
    </w:p>
    <w:p w:rsidR="00D06117" w:rsidRDefault="00D06117" w:rsidP="00D06117">
      <w:pPr>
        <w:pStyle w:val="Extracto"/>
      </w:pPr>
      <w:r>
        <w:t>4.</w:t>
      </w:r>
      <w:r>
        <w:tab/>
        <w:t>El justiciable no posee un derecho a la elección del procedimiento aplicable para conocer de sus pretensiones, sino que su establecimiento ha de fijarse en cada caso por el órgano judicial competente aplicando las normas legales en la materia, quedando abierta la tutela jurisdiccional a través del procedimiento que sí resulte procedente, a fin de cuentas, el ejercitado por el demandante de amparo en el declarativo ordinario posterior (SSTC 41/1986, 214/2000) [FJ 2].</w:t>
      </w:r>
    </w:p>
    <w:p w:rsidR="00D06117" w:rsidRDefault="00D06117" w:rsidP="00D06117">
      <w:pPr>
        <w:pStyle w:val="Extracto"/>
      </w:pPr>
    </w:p>
    <w:p w:rsidR="00D06117" w:rsidRDefault="00D06117" w:rsidP="00D06117">
      <w:pPr>
        <w:pStyle w:val="Extracto"/>
      </w:pPr>
      <w:r>
        <w:t>5.</w:t>
      </w:r>
      <w:r>
        <w:tab/>
        <w:t xml:space="preserve">Se rechaza el óbice procesal de falta de agotamiento de la vía judicial ya que no resulta procedente el acceso a la casación por razón de la cuantía, de acuerdo con los criterios aplicados por la Sala Primera del Tribunal Supremo y que este Tribunal ha declarado conforme con el derecho a la tutela judicial efectiva, al no alcanzar esta la </w:t>
      </w:r>
      <w:r w:rsidRPr="00D06117">
        <w:rPr>
          <w:i/>
        </w:rPr>
        <w:t>summa gravaminis</w:t>
      </w:r>
      <w:r>
        <w:t xml:space="preserve"> exigible (SSTC 150/2004, 114/2009)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8533-2005, promovido por don Alejandro Rojas Llamas, representado por el Procurador de los Tribunales don Francisco de Paula Martín Fernández y asistido por el Abogado don Felipe Ronda Zuloaga, contra la Sentencia del Juzgado de Primera Instancia núm. 13 de Barcelona, de 4 de abril de 2005, y contra la dictada en apelación por la Sección Decimonovena de la Audiencia Provincial de Barcelona el 26 de octubre de 2005, confirmando la anterior. Ha intervenido el Ministerio Fiscal. Han actuado como parte, la entidad Allen Edmonds Shoe Corporation, representada por el Procurador don Argimiro Vázquez Guillén y defendida por el Abogado don Fernando Scornik Gerstein; así como la entidad Slogan, S.A., representada por el Procurador don Miguel Ángel Montero Reiter y defendida por la Abogada doña Sandra López Velasco. Ha sido Ponente el Magistrado don Francisco Pérez de los Cobos Orihuel,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el 25 de noviembre de 2005, el Procurador de los Tribunales don Francisco de Paula Martín Fernández, en nombre y representación de don Alejandro Rojas Llamas, interpuso recurso de amparo contra las resoluciones judiciales a las que se ha hecho referencia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con relevancia para la resolución del presente recurso de amparo son los siguientes:</w:t>
      </w:r>
    </w:p>
    <w:p w:rsidR="00D06117" w:rsidRDefault="00D06117" w:rsidP="00D06117">
      <w:pPr>
        <w:pStyle w:val="TextoNormal"/>
      </w:pPr>
    </w:p>
    <w:p w:rsidR="00D06117" w:rsidRDefault="00D06117" w:rsidP="00D06117">
      <w:pPr>
        <w:pStyle w:val="TextoNormal"/>
      </w:pPr>
      <w:r>
        <w:t>a) La mercantil Slogan Madrid, S.A., interpuso juicio ejecutivo cambiario contra el aquí recurrente en amparo, para el cobro de un pagaré por importe de 2.707.608 pesetas (16.273,05 euros) que este último tenía garantizado con una fianza personal y solidaria.</w:t>
      </w:r>
    </w:p>
    <w:p w:rsidR="00D06117" w:rsidRDefault="00D06117" w:rsidP="00D06117">
      <w:pPr>
        <w:pStyle w:val="TextoNormal"/>
      </w:pPr>
    </w:p>
    <w:p w:rsidR="00D06117" w:rsidRDefault="00D06117" w:rsidP="00D06117">
      <w:pPr>
        <w:pStyle w:val="TextoNormal"/>
      </w:pPr>
      <w:r>
        <w:t xml:space="preserve">El ejecutado presentó escrito de oposición a la ejecución invocando como excepción material del art. 67 de la Ley cambiaria y del cheque, de un lado la inexistencia de obligación principal, por faltar relaciones comerciales entre las partes y mediar sólo una relación laboral; y de otro lado y con base en los arts. 1274 y 1275 del Código civil (CC), la falta absoluta de causa en la obligación de fianza garantizada con aquel pagaré, pues su suscripción le fue impuesta por la propia Slogan Madrid, S.A., como condición para poder firmar el finiquito </w:t>
      </w:r>
      <w:r>
        <w:lastRenderedPageBreak/>
        <w:t>como directivo de esta empresa, convirtiéndose de esta manera en fiador personal y solidario de una deuda contraída a favor de la mencionada Slogan Madrid, S.A. por la mercantil Allen Edmons Shoe Corporation, con la cual el recurrente no había tenido a su vez ninguna relación.</w:t>
      </w:r>
    </w:p>
    <w:p w:rsidR="00D06117" w:rsidRDefault="00D06117" w:rsidP="00D06117">
      <w:pPr>
        <w:pStyle w:val="TextoNormal"/>
      </w:pPr>
    </w:p>
    <w:p w:rsidR="00D06117" w:rsidRDefault="00D06117" w:rsidP="00D06117">
      <w:pPr>
        <w:pStyle w:val="TextoNormal"/>
      </w:pPr>
      <w:r>
        <w:t>b) El Juzgado de Primera Instancia núm. 5 de Madrid dictó Sentencia de remate el 6 de noviembre de 2002 (juicio ejecutivo núm. 66-1994), rechazando la oposición del ejecutado. Así, tras verter algunas consideraciones en su fundamento de Derecho segundo acerca de la naturaleza del juicio ejecutivo cambiario, su limitación de objeto así como la de las excepciones que pueden hacerse valer en él ex art. 67 Ley cambiaria y del cheque, la Sentencia desestima en primer término el motivo de inexistencia de la obligación principal. Aunque da por probada la relación laboral del recurrente con Slogan Madrid, S.A., afirma en el fundamento tercero que tanto antes como a raíz de la terminación de aquella relación, ambas partes suscribieron una serie de pactos de manera libre entre los que se incluyó el de la garantía de afianzamiento ahora ejecutada. La Sentencia se limita a dar por buenas todas esas convenciones, aplicando al ejecutado el principio de no poder actuar contra sus propios actos:</w:t>
      </w:r>
    </w:p>
    <w:p w:rsidR="00D06117" w:rsidRDefault="00D06117" w:rsidP="00D06117">
      <w:pPr>
        <w:pStyle w:val="TextoNormal"/>
      </w:pPr>
    </w:p>
    <w:p w:rsidR="00D06117" w:rsidRDefault="00D06117" w:rsidP="00D06117">
      <w:pPr>
        <w:pStyle w:val="TextoNormal"/>
      </w:pPr>
      <w:r>
        <w:t>“Lo que resulta evidente si no quiere el demandado contrariar sus propios actos es que tales fueron los pactos y sin perjuicio de la complejidad de las relaciones entre las partes en relación a la cantidad aquí reclamada tales pactos sin duda vinculan a ambas partes…”</w:t>
      </w:r>
    </w:p>
    <w:p w:rsidR="00D06117" w:rsidRDefault="00D06117" w:rsidP="00D06117">
      <w:pPr>
        <w:pStyle w:val="TextoNormal"/>
      </w:pPr>
    </w:p>
    <w:p w:rsidR="00D06117" w:rsidRDefault="00D06117" w:rsidP="00D06117">
      <w:pPr>
        <w:pStyle w:val="TextoNormal"/>
      </w:pPr>
      <w:r>
        <w:t>En relación con el segundo tema, el de la falta de causa de la obligación de fianza, la Sentencia en el mismo fundamento tercero se limita a constatar la existencia de la deuda contraída por Allen Edmonds Shoe Corporation con la actora Slogan Madrid, S.A., sin que pueda examinarse la alegación de nulidad ex arts. 1274 y 1275 CC, dada la naturaleza de dicho proceso especial. De esta guisa y presumida ex lege la causa de la obligación, sólo cabría haber opuesto la extinción de la deuda a la fecha de vencimiento de la cambial, lo que, añade, no ha ocurrido en este caso:</w:t>
      </w:r>
    </w:p>
    <w:p w:rsidR="00D06117" w:rsidRDefault="00D06117" w:rsidP="00D06117">
      <w:pPr>
        <w:pStyle w:val="TextoNormal"/>
      </w:pPr>
    </w:p>
    <w:p w:rsidR="00D06117" w:rsidRDefault="00D06117" w:rsidP="00D06117">
      <w:pPr>
        <w:pStyle w:val="TextoNormal"/>
      </w:pPr>
      <w:r>
        <w:t>“… este tramite no permite discutir ni determinar con mas profundidad el crédito que el pagaré garantiza por tanto no puede considerarse como pretende el ejecutado la falta absoluta de causa en los términos de los arts. 1274 y 1275 del CC. Además de ello y dada la vinculación como ejecutivo del demandado sin duda debe entenderse que existió a su favor unas contraprestaciones a su favor. Abundando en la cuestión existe un principio del derecho civil que la causa se presume que existe y es lícita, en las obligaciones abstractas corresponderá la carga de la prueba a quien oponga la excepción (art. 1277 CC), lo que significa que la falta de provisión de fondos como basada en las relaciones personales tendrá que ser el librado quien acredite que en el momento de vencimiento de la cambial no era deudor el librador de una cantidad igual o mayor … lo que no ha ocurrido en autos…”</w:t>
      </w:r>
    </w:p>
    <w:p w:rsidR="00D06117" w:rsidRDefault="00D06117" w:rsidP="00D06117">
      <w:pPr>
        <w:pStyle w:val="TextoNormal"/>
      </w:pPr>
    </w:p>
    <w:p w:rsidR="00D06117" w:rsidRDefault="00D06117" w:rsidP="00D06117">
      <w:pPr>
        <w:pStyle w:val="TextoNormal"/>
      </w:pPr>
      <w:r>
        <w:t>c) El aquí recurrente en amparo apeló la Sentencia, articulando para ello su recurso en dos motivos: el primero, relativo a “la ilegitimidad de la causa de la obligación de fianza que instrumenta el pagaré conforme a los artículos 1274 y 1275 CC”; y un segundo motivo, insistiendo en la inexistencia de la obligación principal garantizada.</w:t>
      </w:r>
    </w:p>
    <w:p w:rsidR="00D06117" w:rsidRDefault="00D06117" w:rsidP="00D06117">
      <w:pPr>
        <w:pStyle w:val="TextoNormal"/>
      </w:pPr>
    </w:p>
    <w:p w:rsidR="00D06117" w:rsidRDefault="00D06117" w:rsidP="00D06117">
      <w:pPr>
        <w:pStyle w:val="TextoNormal"/>
      </w:pPr>
      <w:r>
        <w:lastRenderedPageBreak/>
        <w:t>d) La Audiencia Provincial de Madrid, Sección Octava, dictó Sentencia el 26 de julio de 2004 desestimando el recurso de apelación interpuesto (rollo núm. 260-2003), y confirmando la del inferior.</w:t>
      </w:r>
    </w:p>
    <w:p w:rsidR="00D06117" w:rsidRDefault="00D06117" w:rsidP="00D06117">
      <w:pPr>
        <w:pStyle w:val="TextoNormal"/>
      </w:pPr>
    </w:p>
    <w:p w:rsidR="00D06117" w:rsidRDefault="00D06117" w:rsidP="00D06117">
      <w:pPr>
        <w:pStyle w:val="TextoNormal"/>
      </w:pPr>
      <w:r>
        <w:t>Para ello, en su fundamento de Derecho segundo la Audiencia rechaza entrar a conocer de los dos motivos de fondo de la apelación, coincidiendo con la tesis del Juzgado sobre la inadecuación de procedimiento, pero incluso extendiéndola a aquello que el Juzgado sí había resuelto (la existencia de la obligación principal). Para la Audiencia, sin embargo, estatuir sobre cualquiera de esos dos puntos:</w:t>
      </w:r>
    </w:p>
    <w:p w:rsidR="00D06117" w:rsidRDefault="00D06117" w:rsidP="00D06117">
      <w:pPr>
        <w:pStyle w:val="TextoNormal"/>
      </w:pPr>
    </w:p>
    <w:p w:rsidR="00D06117" w:rsidRDefault="00D06117" w:rsidP="00D06117">
      <w:pPr>
        <w:pStyle w:val="TextoNormal"/>
      </w:pPr>
      <w:r>
        <w:t>“… la pretendida nulidad del pacto suscrito por las partes, la nulidad de la fianza por ilicitud de la causa o por falta o inexistencia de la obligación principal afianzada, significa el examen de la completa relación existente entre las partes, que no es propia de un juicio ejecutivo, sino de un eventual juicio declarativo, como decía el artículo 1479 de la Ley de Enjuiciamiento Civil de 1881, pues no cabe duda que el juicio ejecutivo es un procedimiento especial sumario, caracterizado como procedimiento monitorio, por la inversión del contradictorio y por la limitación del conocimiento del Juez que queda constreñido a las causas de oposición legalmente previstas, relegando las de mayor profundidad al procedimiento plenario posterior y tratándose de los juicios ejecutivos cambiarios, los motivos de oposición que puede hacer valer el deudor se hallan contenidos en el artículo 67 de la Ley Cambiaria y del Cheque, debiendo destacarse como las resoluciones de los tribunales han venido entendiendo que la posibilidad de oponer las excepciones personales que correspondan al deudor frente al ejecutante, no permite traer a colación el íntegro conocimiento de la relación causal subyacente. Por todo lo que debemos desestimar el recurso de apelación interpuesto.”</w:t>
      </w:r>
    </w:p>
    <w:p w:rsidR="00D06117" w:rsidRDefault="00D06117" w:rsidP="00D06117">
      <w:pPr>
        <w:pStyle w:val="TextoNormal"/>
      </w:pPr>
    </w:p>
    <w:p w:rsidR="00D06117" w:rsidRDefault="00D06117" w:rsidP="00D06117">
      <w:pPr>
        <w:pStyle w:val="TextoNormal"/>
      </w:pPr>
      <w:r>
        <w:t>e) Ateniéndose a lo que ya había resuelto la Sentencia de primera instancia y mientras se tramitaba su recurso de apelación, el aquí recurrente presentó el 30 de marzo de 2004 demanda en juicio declarativo ordinario contra las entidades Slogan, S.A., (antes Slogan Madrid, S.A.), y Allen Edmons Shoe Corporation. Como pretensión principal se adujo que la obligación de fianza contraída por el actor con Slogan, S.A., era nula tanto por carecer de causa lícita como por la inexistencia de la deuda garantizada, reiterando para ello los argumentos ya defendidos en el anterior proceso ejecutivo (inexistencia de relaciones comerciales sino sólo laborales entre las partes; e imposición indebida de la fianza por Slogan Madrid, S.A., como condición necesaria para firmarle su finiquito de la empresa); proceso del que incluso da cuenta y aporta copia de la Sentencia: “El Juzgado de Primera Instancia núm. 5 de Madrid dictó el 6 de noviembre de 2002 sentencia por la que mandaba seguir adelante la ejecución, no entrando en el fondo de los motivos de oposición planteados por esta parte, hecho que provocó la interposición por parte de mi representado del correspondiente recurso de apelación, que en la actualidad se está tramitando ante la Sección 8 de la Ilma. Audiencia Provincial de Madrid (rollo 260-2003)”. En consecuencia solicitó la condena a Slogan, S.A., para que le abonase la cantidad de 29.750,10 euros que le fueron retenidos extrajudicialmente, así como los 16.273,05 euros consignados para hacer frente al pagaré judicialmente reclamado (en el anterior proceso ejecutivo) por la demandada; más los intereses legales, los daños ocasionados por el juicio ejecutivo y las costas de este nuevo litigio.</w:t>
      </w:r>
    </w:p>
    <w:p w:rsidR="00D06117" w:rsidRDefault="00D06117" w:rsidP="00D06117">
      <w:pPr>
        <w:pStyle w:val="TextoNormal"/>
      </w:pPr>
    </w:p>
    <w:p w:rsidR="00D06117" w:rsidRDefault="00D06117" w:rsidP="00D06117">
      <w:pPr>
        <w:pStyle w:val="TextoNormal"/>
      </w:pPr>
      <w:r>
        <w:t xml:space="preserve">Subsidiariamente, ejercitó también el aquí recurrente acción de regreso contra Allen Edmonds Shoe Corporation, respecto de las mismas pretensiones de condena deducidas contra aquella otra mercantil, en la eventualidad de que se estimasen en este proceso como válidas </w:t>
      </w:r>
      <w:r>
        <w:lastRenderedPageBreak/>
        <w:t>las obligaciones adquiridas por el actor con Slogan, S.A., y ya satisfechas (en vía extrajudicial, y ejecutiva), pues entonces él ya habría pagado al acreedor y tendría derecho en vía de regreso al correspondiente resarcimiento del deudor principal.</w:t>
      </w:r>
    </w:p>
    <w:p w:rsidR="00D06117" w:rsidRDefault="00D06117" w:rsidP="00D06117">
      <w:pPr>
        <w:pStyle w:val="TextoNormal"/>
      </w:pPr>
    </w:p>
    <w:p w:rsidR="00D06117" w:rsidRDefault="00D06117" w:rsidP="00D06117">
      <w:pPr>
        <w:pStyle w:val="TextoNormal"/>
      </w:pPr>
      <w:r>
        <w:t>f) El Juzgado de Primera Instancia núm 13 de Barcelona encargado del caso (procedimiento ordinario núm. 263-2004), dictó Sentencia el 4 de abril de 2005, en desestimación de la demanda interpuesta.</w:t>
      </w:r>
    </w:p>
    <w:p w:rsidR="00D06117" w:rsidRDefault="00D06117" w:rsidP="00D06117">
      <w:pPr>
        <w:pStyle w:val="TextoNormal"/>
      </w:pPr>
    </w:p>
    <w:p w:rsidR="00D06117" w:rsidRDefault="00D06117" w:rsidP="00D06117">
      <w:pPr>
        <w:pStyle w:val="TextoNormal"/>
      </w:pPr>
      <w:r>
        <w:t>En lo que aquí importa considerar, el Juzgado se centra en el estudio de lo tratado y resuelto en el anterior juicio ejecutivo, resolviendo en el fundamento de Derecho quinto que “no cabe duda” de que en aquel juicio ejecutivo “se entran a analizar las cuestiones objeto del pedimento principal de la demanda que hoy nos ocupa” y que la Sentencia del Juzgado recaída entonces concluyó que era “válido y eficaz el contrato de fianza, al existir y ser lícita la causa”, infiriéndolo de la propia conducta del ejecutado y la teoría de los actos propios:</w:t>
      </w:r>
    </w:p>
    <w:p w:rsidR="00D06117" w:rsidRDefault="00D06117" w:rsidP="00D06117">
      <w:pPr>
        <w:pStyle w:val="TextoNormal"/>
      </w:pPr>
    </w:p>
    <w:p w:rsidR="00D06117" w:rsidRDefault="00D06117" w:rsidP="00D06117">
      <w:pPr>
        <w:pStyle w:val="TextoNormal"/>
      </w:pPr>
      <w:r>
        <w:t>“En conclusión pues … en el ejecutivo sí se analizaron las causas de oposición coincidentes con las causas de nulidad que aquí se ejercita, utilizando el actor este cauce para rebatir los razonamientos vertidos en la sentencia recaída en el juicio ejecutivo … lo que impide volver a examinar la cuestión planteada como principal, debiendo estar a la conclusión a que se llegó en la sentencia dictada en juicio ejecutivo de estimar válida y eficaz el pacto de fianza suscrito entre el actor y SLOGAN…”</w:t>
      </w:r>
    </w:p>
    <w:p w:rsidR="00D06117" w:rsidRDefault="00D06117" w:rsidP="00D06117">
      <w:pPr>
        <w:pStyle w:val="TextoNormal"/>
      </w:pPr>
    </w:p>
    <w:p w:rsidR="00D06117" w:rsidRDefault="00D06117" w:rsidP="00D06117">
      <w:pPr>
        <w:pStyle w:val="TextoNormal"/>
      </w:pPr>
      <w:r>
        <w:t>El Juzgado de Barcelona apreció así la cosa juzgada entre los dos procesos, como si en aquel anterior se hubiera resuelto ese fondo.</w:t>
      </w:r>
    </w:p>
    <w:p w:rsidR="00D06117" w:rsidRDefault="00D06117" w:rsidP="00D06117">
      <w:pPr>
        <w:pStyle w:val="TextoNormal"/>
      </w:pPr>
    </w:p>
    <w:p w:rsidR="00D06117" w:rsidRDefault="00D06117" w:rsidP="00D06117">
      <w:pPr>
        <w:pStyle w:val="TextoNormal"/>
      </w:pPr>
      <w:r>
        <w:t>Por lo que respecta a la pretensión subsidiaria de este segundo proceso (la acción de regreso contra la entidad Edmons Shoe Corporation), ésta se resuelve en el fundamento de Derecho octavo donde, tras el análisis de la prueba documental aportada, concluye que no se ha acreditado la existencia de relaciones comerciales entre esta codemandada y el actor, quien en ese tiempo se relacionó a título personal con un tal señor Belda, vinculado a la mencionada entidad Edmons Shoe Corporation, pero que no consta actuara en nombre de ella.</w:t>
      </w:r>
    </w:p>
    <w:p w:rsidR="00D06117" w:rsidRDefault="00D06117" w:rsidP="00D06117">
      <w:pPr>
        <w:pStyle w:val="TextoNormal"/>
      </w:pPr>
    </w:p>
    <w:p w:rsidR="00D06117" w:rsidRDefault="00D06117" w:rsidP="00D06117">
      <w:pPr>
        <w:pStyle w:val="TextoNormal"/>
      </w:pPr>
      <w:r>
        <w:t>g) Se interpuso contra dicha Sentencia recurso de apelación, donde entre otras infracciones se denunció la vulneración del derecho a la tutela judicial efectiva (art. 24.1 CE) por no haberse proveído a una respuesta de fondo sobre sus pretensiones, so pretexto de una inexistente cosa juzgada material.</w:t>
      </w:r>
    </w:p>
    <w:p w:rsidR="00D06117" w:rsidRDefault="00D06117" w:rsidP="00D06117">
      <w:pPr>
        <w:pStyle w:val="TextoNormal"/>
      </w:pPr>
    </w:p>
    <w:p w:rsidR="00D06117" w:rsidRDefault="00D06117" w:rsidP="00D06117">
      <w:pPr>
        <w:pStyle w:val="TextoNormal"/>
      </w:pPr>
      <w:r>
        <w:t>La Audiencia Provincial de Barcelona, Sección Decimonovena, dictó Sentencia el 26 de octubre de 2005 (rollo núm. 423-2005), desestimatoria del recurso. Así, en lo que atañe a la apreciación de cosa juzgada material por el inferior, confirma esta decisión razonando, en su fundamento de Derecho segundo, que:</w:t>
      </w:r>
    </w:p>
    <w:p w:rsidR="00D06117" w:rsidRDefault="00D06117" w:rsidP="00D06117">
      <w:pPr>
        <w:pStyle w:val="TextoNormal"/>
      </w:pPr>
    </w:p>
    <w:p w:rsidR="00D06117" w:rsidRDefault="00D06117" w:rsidP="00D06117">
      <w:pPr>
        <w:pStyle w:val="TextoNormal"/>
      </w:pPr>
      <w:r>
        <w:t xml:space="preserve">“… las cuestiones planteadas [en aquel proceso ejecutivo anterior] fueron las mismas que en el presente procedimiento, cual es la nulidad de la fianza por ilicitud de la causa y la nulidad de la fianza por inexistencia de la obligación principal garantizada, acciones que se discutieron en el referido procedimiento ejecutivo … extremos todos ellos que constan en el fundamento primero de la sentencia del juicio ejecutivo 274-2002 seguido ante el Juzgado </w:t>
      </w:r>
      <w:r>
        <w:lastRenderedPageBreak/>
        <w:t>de Primera Instancia nº 5 de Madrid, confirmada en apelación, por lo que las sentencias dictadas en sede de procedimiento ejecutivo tienen los efectos de cosa juzgada, cosa juzgada que también se hace extensivo a la pretensión ex novo planteada en la primera instancia del juicio ordinario del que el presente rollo dimana, cual es la devolución por Slogan S.A. de la pretensión de la cantidad de 29.750,10 €…”</w:t>
      </w:r>
    </w:p>
    <w:p w:rsidR="00D06117" w:rsidRDefault="00D06117" w:rsidP="00D06117">
      <w:pPr>
        <w:pStyle w:val="TextoNormal"/>
      </w:pPr>
    </w:p>
    <w:p w:rsidR="00D06117" w:rsidRDefault="00D06117" w:rsidP="00D06117">
      <w:pPr>
        <w:pStyle w:val="TextoNormal"/>
      </w:pPr>
      <w:r>
        <w:t>Por ello resuelve, con arreglo a la “ doctrina jurisprudencial de los efectos de cosa juzgada, [que] es ajustado a derecho la desestimación del recurso respecto a la pretensión de inexistencia de cosa juzgada”.</w:t>
      </w:r>
    </w:p>
    <w:p w:rsidR="00D06117" w:rsidRDefault="00D06117" w:rsidP="00D06117">
      <w:pPr>
        <w:pStyle w:val="TextoNormal"/>
      </w:pPr>
    </w:p>
    <w:p w:rsidR="00D06117" w:rsidRDefault="00D06117" w:rsidP="00D06117">
      <w:pPr>
        <w:pStyle w:val="TextoNormal"/>
      </w:pPr>
      <w:r>
        <w:t>Y en lo que respecta al pronunciamiento desestimatorio de la Sentencia de primera instancia sobre la acción de regreso, la de apelación lo estudia en su fundamento de Derecho tercero, valorando de nuevo la prueba obrante en autos y, con base en lo dispuesto en el art. 217 de la Ley de enjuiciamiento civil (LEC) (reglas sobre distribución del onus probandi), concluye que: “no hay prueba documental ni de otro tipo que acredite que la mercantil Allen Edmonds encargase una publicidad que luego no quisiera pagar, por lo que atendiendo a la doctrina expuesta no existe prueba de cargo acreditativa de la pretensión”.</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achaca a las dos Sentencias de instancia recurridas, la vulneración del derecho a la tutela judicial efectiva (art. 24.1 CE), tanto en su vertiente de acceso a la jurisdicción como del derecho a la obtención de una resolución jurídicamente fundada.</w:t>
      </w:r>
    </w:p>
    <w:p w:rsidR="00D06117" w:rsidRDefault="00D06117" w:rsidP="00D06117">
      <w:pPr>
        <w:pStyle w:val="TextoNormal"/>
      </w:pPr>
    </w:p>
    <w:p w:rsidR="00D06117" w:rsidRDefault="00D06117" w:rsidP="00D06117">
      <w:pPr>
        <w:pStyle w:val="TextoNormal"/>
      </w:pPr>
      <w:r>
        <w:t>Se señala al respecto que en el año de 1993 el recurrente se vio obligado a afianzar diversos créditos que la empresa para la que trabajaba, Slogan, S.A., tenía con varios de sus clientes, condicionando esta última la firma del finiquito con el recurrente al otorgamiento de la referida fianza, hecha efectiva por dos vías: la emisión de un pagaré, y la retención de cierta cantidad por Slogan, S.A., que le adeudaba por concepto de salarios. Una vez se dirigió demanda ejecutiva en su contra para el cobro del pagaré, se opuso a la misma alegando el doble motivo de carecer de causa el afianzamiento y no existir la obligación principal garantizada.</w:t>
      </w:r>
    </w:p>
    <w:p w:rsidR="00D06117" w:rsidRDefault="00D06117" w:rsidP="00D06117">
      <w:pPr>
        <w:pStyle w:val="TextoNormal"/>
      </w:pPr>
    </w:p>
    <w:p w:rsidR="00D06117" w:rsidRDefault="00D06117" w:rsidP="00D06117">
      <w:pPr>
        <w:pStyle w:val="TextoNormal"/>
      </w:pPr>
      <w:r>
        <w:t>Tales pretensiones, refiere la demanda de amparo, quedaron imprejuzgadas en ese juicio ejecutivo, razón por la cual hubo la necesidad de instar un segundo proceso esta vez de naturaleza declarativa, con el fin de que se declarasen tales cuestiones, con las consecuencias económicas de condena a su favor por el dinero que desembolsó en aquel primer proceso ejecutivo.</w:t>
      </w:r>
    </w:p>
    <w:p w:rsidR="00D06117" w:rsidRDefault="00D06117" w:rsidP="00D06117">
      <w:pPr>
        <w:pStyle w:val="TextoNormal"/>
      </w:pPr>
    </w:p>
    <w:p w:rsidR="00D06117" w:rsidRDefault="00D06117" w:rsidP="00D06117">
      <w:pPr>
        <w:pStyle w:val="TextoNormal"/>
      </w:pPr>
      <w:r>
        <w:t>Sin embargo, prosigue diciendo, en este proceso declarativo las Sentencias dictadas han acogido la excepción de cosa juzgada respecto de aquel proceso ejecutivo anterior, dejando sin resolver la pretensión de ilicitud de la fianza por falta de causa; lo que ha llevado a su vez a desestimar también la acción de regreso formulada como pretensión subsidiaria frente a la codemandada Allen Edmonds Shoe Corporation, por no haberse probado la existencia de la obligación, incurriendo con ello en aplicación arbitraria e irrazonable de las normas; ocasionando en conjunto la vulneración doblemente del art. 24.1 CE.</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Tras solicitarse a la parte recurrente por diligencia de ordenación de 3 de marzo de 2008, que aportara copia de los escritos de alegaciones y de la Sentencia dictada en el recurso de apelación del juicio ejecutivo, lo que se cumplimentó por escrito de 26 de marzo </w:t>
      </w:r>
      <w:r>
        <w:lastRenderedPageBreak/>
        <w:t>de 2008, la Sección Tercera de este Tribunal acordó por providencia de 24 de julio de 2008, conceder a la parte demandante de amparo y al Ministerio Fiscal un plazo de diez días para que formulasen las alegaciones pertinentes en relación con lo dispuesto en el art. 50.1 de la Ley Orgánica del Tribunal Constitucional (LOTC), trámite abierto conforme el número 3 del mismo precepto en su redacción anterior a la Ley Orgánica 6/2007 de 24 de mayo y la disposición transitoria tercera de la referida Ley.</w:t>
      </w:r>
    </w:p>
    <w:p w:rsidR="00D06117" w:rsidRDefault="00D06117" w:rsidP="00D06117">
      <w:pPr>
        <w:pStyle w:val="TextoNormal"/>
      </w:pPr>
    </w:p>
    <w:p w:rsidR="00D06117" w:rsidRDefault="00D06117" w:rsidP="00D06117">
      <w:pPr>
        <w:pStyle w:val="TextoNormal"/>
      </w:pPr>
      <w:r>
        <w:t>En su respuesta, el representante del recurrente presentó escrito el 15 de septiembre de 2009 defendiendo la inexistencia de óbices procesales y reiterando la invocación de las lesiones constitucionales denunciadas, con la consiguiente solicitud de admisión del recurso.</w:t>
      </w:r>
    </w:p>
    <w:p w:rsidR="00D06117" w:rsidRDefault="00D06117" w:rsidP="00D06117">
      <w:pPr>
        <w:pStyle w:val="TextoNormal"/>
      </w:pPr>
    </w:p>
    <w:p w:rsidR="00D06117" w:rsidRDefault="00D06117" w:rsidP="00D06117">
      <w:pPr>
        <w:pStyle w:val="TextoNormal"/>
      </w:pPr>
      <w:r>
        <w:t>Por su lado, el Ministerio Fiscal dedujo escrito el 8 de octubre de 2008, interesando la inadmisión de la demanda por falta de contenido constitucional de la misma, al no haberse producido las referidas vulneraciones [art. 50.1 b) LOTC].</w:t>
      </w:r>
    </w:p>
    <w:p w:rsidR="00D06117" w:rsidRDefault="00D06117" w:rsidP="00D06117">
      <w:pPr>
        <w:pStyle w:val="TextoNormal"/>
      </w:pPr>
    </w:p>
    <w:p w:rsidR="00D06117" w:rsidRDefault="00D06117" w:rsidP="00D06117">
      <w:pPr>
        <w:pStyle w:val="TextoNormal"/>
      </w:pPr>
      <w:r w:rsidRPr="00D06117">
        <w:rPr>
          <w:rStyle w:val="NumeroAFNegritaCaracter"/>
        </w:rPr>
        <w:t>5</w:t>
      </w:r>
      <w:r>
        <w:t>. Con fecha 3 de marzo de 2011, la Sala Segunda de este Tribunal dictó providencia admitiendo a trámite la demanda de amparo, ordenándose dirigir comunicación a la Sección Decimonovena de la Audiencia Provincial de Barcelona y al Juzgado de Primera Instancia núm. 13 de la misma ciudad, a efectos de que remitieran en el plazo de diez días ex art. 51 LOTC, certificación o fotocopia adverada de las actuaciones correspondientes, respectivamente, a los procedimientos núm. 423-2005 y 263-2004. Con emplazamiento asimismo a las partes del proceso 263-2004 para su posible comparecencia ante este Tribunal, exceptuando al recurrente; y todo ello condicionado a que en el propio plazo de diez días el Procurador de este último aportara poder notarial acreditativo de su representación, apercibiéndole de que, de no verificarlo, se tendría a su representado por decaído. Dicho poder se consignó mediante escrito de la parte, de 22 de marzo de 2011.</w:t>
      </w:r>
    </w:p>
    <w:p w:rsidR="00D06117" w:rsidRDefault="00D06117" w:rsidP="00D06117">
      <w:pPr>
        <w:pStyle w:val="TextoNormal"/>
      </w:pPr>
    </w:p>
    <w:p w:rsidR="00D06117" w:rsidRDefault="00D06117" w:rsidP="00D06117">
      <w:pPr>
        <w:pStyle w:val="TextoNormal"/>
      </w:pPr>
      <w:r w:rsidRPr="00D06117">
        <w:rPr>
          <w:rStyle w:val="NumeroAFNegritaCaracter"/>
        </w:rPr>
        <w:t>6</w:t>
      </w:r>
      <w:r>
        <w:t>. Como resultado de los emplazamientos efectuados, se presentó escrito el 17 de mayo de 2011 por el Procurador don Argimiro Vázquez Guillén, en representación de la entidad Allen Edmonds Shoe Corporation, solicitando su personación en el recurso.</w:t>
      </w:r>
    </w:p>
    <w:p w:rsidR="00D06117" w:rsidRDefault="00D06117" w:rsidP="00D06117">
      <w:pPr>
        <w:pStyle w:val="TextoNormal"/>
      </w:pPr>
    </w:p>
    <w:p w:rsidR="00D06117" w:rsidRDefault="00D06117" w:rsidP="00D06117">
      <w:pPr>
        <w:pStyle w:val="TextoNormal"/>
      </w:pPr>
      <w:r>
        <w:t>Asimismo, el 23 de mayo de 2011 el Procurador don Miguel Ángel Montero Reiter, en representación de la entidad Slogan, S.A., formalizó escrito solicitando su personación.</w:t>
      </w:r>
    </w:p>
    <w:p w:rsidR="00D06117" w:rsidRDefault="00D06117" w:rsidP="00D06117">
      <w:pPr>
        <w:pStyle w:val="TextoNormal"/>
      </w:pPr>
    </w:p>
    <w:p w:rsidR="00D06117" w:rsidRDefault="00D06117" w:rsidP="00D06117">
      <w:pPr>
        <w:pStyle w:val="TextoNormal"/>
      </w:pPr>
      <w:r w:rsidRPr="00D06117">
        <w:rPr>
          <w:rStyle w:val="NumeroAFNegritaCaracter"/>
        </w:rPr>
        <w:t>7</w:t>
      </w:r>
      <w:r>
        <w:t>. Por diligencia de ordenación de la Secretaría de Justicia de la Sala Segunda de este Tribunal, de 24 de mayo de 2011, se tuvo por personadas a las dos sociedades ya indicadas, dando plazo de veinte días a todas las partes para formular alegaciones (art. 52.1 LOTC), bien que sujeto en el caso de los Procuradores señores Vázquez Guillén y Montero Reiter, a la aportación de sus respectivas escrituras de poder original, con advertencia de que de no verificar el requerimiento se continuaría la tramitación del recurso sin su intervención.</w:t>
      </w:r>
    </w:p>
    <w:p w:rsidR="00D06117" w:rsidRDefault="00D06117" w:rsidP="00D06117">
      <w:pPr>
        <w:pStyle w:val="TextoNormal"/>
      </w:pPr>
    </w:p>
    <w:p w:rsidR="00D06117" w:rsidRDefault="00D06117" w:rsidP="00D06117">
      <w:pPr>
        <w:pStyle w:val="TextoNormal"/>
      </w:pPr>
      <w:r>
        <w:t>La aportación de poderes se realizó mediante escritos de 3 de junio de 2011 (Allen Edmonds Shoe Corporation) y 9 de junio de 2011 (Slogan, S.A.), no considerándose sin embargo correcta su cumplimentación en el caso de la segunda de las nombradas, a la que se otorgó por diligencia de ordenación de 10 de junio de 2011 nuevo plazo de diez días para que aportara el original y no la copia del poder, con apercibimiento de continuar adelante la tramitación del recurso sin dicha parte, caso de no atender al requerimiento.</w:t>
      </w:r>
    </w:p>
    <w:p w:rsidR="00D06117" w:rsidRDefault="00D06117" w:rsidP="00D06117">
      <w:pPr>
        <w:pStyle w:val="TextoNormal"/>
      </w:pPr>
    </w:p>
    <w:p w:rsidR="00D06117" w:rsidRDefault="00D06117" w:rsidP="00D06117">
      <w:pPr>
        <w:pStyle w:val="TextoNormal"/>
      </w:pPr>
      <w:r>
        <w:t>Finalmente tuvo lugar la aportación de poder por Slogan, S.A., en virtud de escrito de 15 de junio de 2011.</w:t>
      </w:r>
    </w:p>
    <w:p w:rsidR="00D06117" w:rsidRDefault="00D06117" w:rsidP="00D06117">
      <w:pPr>
        <w:pStyle w:val="TextoNormal"/>
      </w:pPr>
    </w:p>
    <w:p w:rsidR="00D06117" w:rsidRDefault="00D06117" w:rsidP="00D06117">
      <w:pPr>
        <w:pStyle w:val="TextoNormal"/>
      </w:pPr>
      <w:r w:rsidRPr="00D06117">
        <w:rPr>
          <w:rStyle w:val="NumeroAFNegritaCaracter"/>
        </w:rPr>
        <w:t>8</w:t>
      </w:r>
      <w:r>
        <w:t>. El 20 de junio de 2011, el Procurador don Argimiro Vázquez Guillén presentó escrito de alegaciones en nombre de la mercantil Allen Edmonds Shoe Corporation, suscrito por el abogado don Fernando Scornik Gerstein, oponiéndose al recurso interpuesto de contrario, al entender que no se han lesionado las garantías procesales del recurrente, ni por aplicarse la excepción de cosa juzgada frente a la pretensión del recurrente para que se declarara la ilicitud de la fianza, ni por desestimarse la acción de regreso, trayendo a colación los razonamientos contenidos en las Sentencias aquí impugnadas.</w:t>
      </w:r>
    </w:p>
    <w:p w:rsidR="00D06117" w:rsidRDefault="00D06117" w:rsidP="00D06117">
      <w:pPr>
        <w:pStyle w:val="TextoNormal"/>
      </w:pPr>
    </w:p>
    <w:p w:rsidR="00D06117" w:rsidRDefault="00D06117" w:rsidP="00D06117">
      <w:pPr>
        <w:pStyle w:val="TextoNormal"/>
      </w:pPr>
      <w:r>
        <w:t>Asimismo formuló sus alegaciones la entidad Slogan, S.A., por escrito presentado el 24 de junio de 2011 por el Procurador don Miguel Ángel Montero Reiter y firmado por la abogada doña Sandra López Velasco. Como primer punto, interesa esta parte la inadmisión del recurso por incumplimiento del requisito de agotamiento de la vía judicial previa [art. 44.1 a) LOTC], aduciendo que frente a la Sentencia dictada en apelación por la Audiencia Provincial de Barcelona cabía recurso de casación, con base en el motivo de interés casacional del art. 477.2.3 LEC, recurso que por tanto debió intentarse junto con el extraordinario por infracción procesal, a objeto de que se repararan las lesiones del art. 24 CE que aquí denuncia.</w:t>
      </w:r>
    </w:p>
    <w:p w:rsidR="00D06117" w:rsidRDefault="00D06117" w:rsidP="00D06117">
      <w:pPr>
        <w:pStyle w:val="TextoNormal"/>
      </w:pPr>
    </w:p>
    <w:p w:rsidR="00D06117" w:rsidRDefault="00D06117" w:rsidP="00D06117">
      <w:pPr>
        <w:pStyle w:val="TextoNormal"/>
      </w:pPr>
      <w:r>
        <w:t>En todo caso y todavía en la línea de la inadmisión por defectuoso agotamiento de la vía judicial, se discrepa de la opción seguida por el recurrente en cuanto a promover un proceso plenario para tratar lo que, en su caso, no serían sino lesiones sufridas en aquel proceso sumario anterior, por lo que lo correcto era haber seguido interponiendo recurso —no precisa cuál—, contra la Sentencia de la Audiencia Provincial de Madrid en el primer proceso.</w:t>
      </w:r>
    </w:p>
    <w:p w:rsidR="00D06117" w:rsidRDefault="00D06117" w:rsidP="00D06117">
      <w:pPr>
        <w:pStyle w:val="TextoNormal"/>
      </w:pPr>
    </w:p>
    <w:p w:rsidR="00D06117" w:rsidRDefault="00D06117" w:rsidP="00D06117">
      <w:pPr>
        <w:pStyle w:val="TextoNormal"/>
      </w:pPr>
      <w:r>
        <w:t>Sobre las quejas de fondo, rechaza la parte las lesiones que suscita la demanda de amparo, defendiendo que las Sentencias del primer proceso sí resolvieron la excepción material mencionada, que por ende existe cosa juzgada que ha sido debidamente apreciada y que no se incurre en ningún defecto de razonamiento en la respuesta dada, solicitando por ello, subsidiariamente, la desestimación del recurso.</w:t>
      </w:r>
    </w:p>
    <w:p w:rsidR="00D06117" w:rsidRDefault="00D06117" w:rsidP="00D06117">
      <w:pPr>
        <w:pStyle w:val="TextoNormal"/>
      </w:pPr>
    </w:p>
    <w:p w:rsidR="00D06117" w:rsidRDefault="00D06117" w:rsidP="00D06117">
      <w:pPr>
        <w:pStyle w:val="TextoNormal"/>
      </w:pPr>
      <w:r w:rsidRPr="00D06117">
        <w:rPr>
          <w:rStyle w:val="NumeroAFNegritaCaracter"/>
        </w:rPr>
        <w:t>9</w:t>
      </w:r>
      <w:r>
        <w:t>. Por escrito consignado el 27 de junio de 2011, la representación del aquí recurrente presentó sus alegaciones, reiterando lo argumentado en su escrito de demanda e interesando en consecuencia que se dictara sentencia estimatoria del amparo.</w:t>
      </w:r>
    </w:p>
    <w:p w:rsidR="00D06117" w:rsidRDefault="00D06117" w:rsidP="00D06117">
      <w:pPr>
        <w:pStyle w:val="TextoNormal"/>
      </w:pPr>
    </w:p>
    <w:p w:rsidR="00D06117" w:rsidRDefault="00D06117" w:rsidP="00D06117">
      <w:pPr>
        <w:pStyle w:val="TextoNormal"/>
      </w:pPr>
      <w:r w:rsidRPr="00D06117">
        <w:rPr>
          <w:rStyle w:val="NumeroAFNegritaCaracter"/>
        </w:rPr>
        <w:t>10</w:t>
      </w:r>
      <w:r>
        <w:t xml:space="preserve">. Por último, el Ministerio Fiscal presentó escrito de alegaciones registrado el 4 de julio de 2011. Refiriéndose directamente a las quejas de fondo de la demanda interpuesta, se insiste en la postura ya defendida en el trámite de admisión del recurso, en el sentido de que la Sentencia dictada por el Juzgado en el juicio cambiario resolvió las excepciones materiales opuestas entonces por el aquí recurrente, declarando la existencia de causa en el libramiento del pagaré “con referencia a los artículos 1274, 1275 y 1277 del Código Civil con los consiguientes efectos en cuanto a prueba” y la existencia de la obligación garantizada en atención a las “relaciones comerciales y no meramente laborales entre el recurrente y Slogan”. Entiende la Fiscalía que carece de relevancia la frase incluida en la Sentencia de </w:t>
      </w:r>
      <w:r>
        <w:lastRenderedPageBreak/>
        <w:t>primera instancia que da pie a considerar imprejuzgada la acción (“este trámite no permite discutir n[i] determinar con más profundidad el crédito que el pagaré garantiza”) porque a su parecer ya se había analizado con detalle en la Sentencia que la obligación existía y no adolecía de falta de causa; pronunciamientos que confirmó la Sentencia de apelación de aquel primer proceso. Estaríamos así ante la misma pretensión que se viene luego a deducir en el juicio ordinario 263-2004 ante el Juzgado de Primera Instancia de Barcelona, a la que se acumula una acción de regreso contra la entidad Allen Edmonds Shoe Corporation, esta última a su parecer la única novedosa y que, pese a lo dicho por el recurrente, no se vincula con aquella otra y en todo caso tampoco se muestra irrazonable o arbitraria. En definitiva, no se habría producido lesión del art. 24.1 CE y debe desestimarse la demanda de amparo.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fecha de 26 de enero de 2012, se señaló para deliberación y votación de la presente Sentencia el día 30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Se interpone el presente recurso de amparo contra las Sentencias recaídas en el proceso declarativo ordinario de reclamación de cantidad promovido por el aquí recurrente, a las que se atribuye la vulneración de su derecho a la tutela judicial efectiva (art. 24.1 CE) desde una doble vertiente, cada una de ellas proyectada respectivamente sobre la respuesta dada por los Tribunales aquí actuantes, a las dos pretensiones deducidas por el actor en el proceso: de un lado, la lesión del derecho de acceso a la jurisdicción, por apreciarse indebidamente la excepción de cosa juzgada material, quedando así imprejuzgada la solicitud de declaración de nulidad de la obligación de fianza garantizada con el pagaré objeto de controversia. Y de otro lado la lesión del derecho a la obtención de una resolución jurídicamente fundada, por lo que hace al pronunciamiento desestimatorio del Juzgado y la Audiencia Provincial en cuanto a la acción de regreso formulada contra una de las entidades codemandadas. Se trata éste de un amparo interpuesto en fecha anterior a la entrada en vigor de la Ley Orgánica 6/2007, de 24 de mayo, de reforma parcial de la Ley Orgánica reguladora de este Tribunal y, por tanto, al mismo no le es exigible [disposición transitoria tercera de la Ley Orgánica del Tribunal Constitucional (LOTC)] el requisito de justificación de la especial trascendencia constitucional del recurso, al que se refieren los vigentes arts. 49.1 y 50.1 b) de la misma LOTC.</w:t>
      </w:r>
    </w:p>
    <w:p w:rsidR="00D06117" w:rsidRDefault="00D06117" w:rsidP="00D06117">
      <w:pPr>
        <w:pStyle w:val="TextoNormal"/>
      </w:pPr>
    </w:p>
    <w:p w:rsidR="00D06117" w:rsidRDefault="00D06117" w:rsidP="00D06117">
      <w:pPr>
        <w:pStyle w:val="TextoNormal"/>
      </w:pPr>
      <w:r w:rsidRPr="00D06117">
        <w:rPr>
          <w:rStyle w:val="NumeroAFNegritaCaracter"/>
        </w:rPr>
        <w:t>2</w:t>
      </w:r>
      <w:r>
        <w:t>. Previo al análisis de las dos quejas de fondo que fundamentan la demanda de amparo, ha de darse respuesta al óbice de inadmisibilidad por falta de agotamiento de la vía judicial [art. 44.1 a) LOTC] que suscita la entidad, Slogan, S.A., personada en este recurso.</w:t>
      </w:r>
    </w:p>
    <w:p w:rsidR="00D06117" w:rsidRDefault="00D06117" w:rsidP="00D06117">
      <w:pPr>
        <w:pStyle w:val="TextoNormal"/>
      </w:pPr>
    </w:p>
    <w:p w:rsidR="00D06117" w:rsidRDefault="00D06117" w:rsidP="00D06117">
      <w:pPr>
        <w:pStyle w:val="TextoNormal"/>
      </w:pPr>
      <w:r>
        <w:t xml:space="preserve">Se reprocha, en primer lugar, que el recurrente no hubiese interpuesto recurso extraordinario por infracción procesal contra la Sentencia de apelación, dictada por la Audiencia Provincial de Barcelona, a fin de intentar la reparación ante el Tribunal Supremo de las lesiones denunciadas, antes de venir en amparo. Sin embargo, el recurso extraordinario no resultaba procedente en este concreto caso conforme a la ley: ante todo y como bien dice la parte, sería preciso que la Sentencia fuera recurrible también en casación, pues no cabe su interposición autónoma [disposición final decimosexta, apartado primero de la Ley de enjuiciamiento civil (LEC)], premisa que no se cumplía aquí, pues el litigio se sustanció en primera instancia por el cauce del juicio ordinario por razón de la cuantía, no de la materia, </w:t>
      </w:r>
      <w:r>
        <w:lastRenderedPageBreak/>
        <w:t>tal como expresamente señala el Auto de admisión a trámite de la demanda dictado por el Juzgado competente el 5 de abril de 2004 (obrante al tomo I de las actuaciones). Por tanto, su acceso a casación, de acuerdo con los criterios que ya entonces venía aplicando la Sala Primera del Tribunal Supremo y que incluso este Tribunal ha declarado conforme con el derecho a la tutela judicial efectiva (SSTC 150/2004, de 20 de septiembre, FJ 3; 164/2004, de 4 de octubre, FJ 3; 11/2009, de 12 de enero, FJ 3; y 114/2009, de 14 de mayo, FJ 4), sólo podía serlo por la vía del art. 477.2.2 LEC, el criterio de la cuantía, siendo así que la fijada por la demanda y aceptada por el Juez en el mismo Auto de admisión (46.023,15 euros) no alcanzaba con mucho la summa gravaminis exigible (150.000 euros).</w:t>
      </w:r>
    </w:p>
    <w:p w:rsidR="00D06117" w:rsidRDefault="00D06117" w:rsidP="00D06117">
      <w:pPr>
        <w:pStyle w:val="TextoNormal"/>
      </w:pPr>
    </w:p>
    <w:p w:rsidR="00D06117" w:rsidRDefault="00D06117" w:rsidP="00D06117">
      <w:pPr>
        <w:pStyle w:val="TextoNormal"/>
      </w:pPr>
      <w:r>
        <w:t>En segundo término critica la entidad Slogan, S.A., lo que considera una errónea estrategia del aquí recurrente por haber instado un proceso declarativo ordinario para obtener una respuesta de fondo a las excepciones materiales que al quedar imprejuzgadas en el proceso ejecutivo previo, debió dar lugar, según entiende, a que continuase recurriendo contra la Sentencia de apelación dictada entonces por la Audiencia Provincial de Madrid (rollo núm. 260-2003). Esta objeción tampoco puede tener acogida: la parte interesada en la inadmisión ni siquiera identifica cuáles son los “recursos” que habrían debido utilizarse contra aquella Sentencia de apelación, ni los criterios para su procedencia, en todo caso, el efecto derivado del pronunciamiento de aquel primer proceso no era la denegación absoluta del derecho a obtener una respuesta de fondo a su pretensión, como ahora sí se aduce, sino su exclusión del ámbito del objeto enjuiciado en aquel proceso ejecutivo sumario, con la consiguiente reserva de su ejercicio en vía declarativa ordinaria, como claramente determinó la Audiencia. Sin que contra tal decisión pudiera haber podido alegar entonces el aquí recurrente la lesión de sus derechos fundamentales, teniendo en cuenta que tiene aseverado con reiteración este Tribunal, que el justiciable no posee un derecho a la elección del procedimiento aplicable para conocer de sus pretensiones, sino que su establecimiento ha de fijarse en cada caso por el órgano judicial competente aplicando las normas legales en la materia (SSTC 41/1986, de 2 de abril, FJ 3; 20/1993, de 18 de enero, FJ 5; 160/1998, de 14 de julio, FJ 4; y 214/2000, de 18 de septiembre, FJ 5), en la lógica medida en que, precisamente no se cierra el camino de su tutela jurisdiccional a través del (otro) procedimiento que sí resulte el procedente. A fin de cuentas, el ejercitado por el demandante de amparo en el declarativo ordinario posterior.</w:t>
      </w:r>
    </w:p>
    <w:p w:rsidR="00D06117" w:rsidRDefault="00D06117" w:rsidP="00D06117">
      <w:pPr>
        <w:pStyle w:val="TextoNormal"/>
      </w:pPr>
    </w:p>
    <w:p w:rsidR="00D06117" w:rsidRDefault="00D06117" w:rsidP="00D06117">
      <w:pPr>
        <w:pStyle w:val="TextoNormal"/>
      </w:pPr>
      <w:r w:rsidRPr="00D06117">
        <w:rPr>
          <w:rStyle w:val="NumeroAFNegritaCaracter"/>
        </w:rPr>
        <w:t>3</w:t>
      </w:r>
      <w:r>
        <w:t>. Expuesta la doctrina constitucional relevante para la resolución de este caso, abordaremos en primer lugar si las resoluciones impugnadas vulneraron o no el derecho de acceso a la tutela judicial efectiva (art. 24.1 CE) del demandante de amparo en la vertiente de acceso a la jurisdicción. En su opinión tal lesión se habría producido porque las Sentencias de instancia y apelación dictadas en el proceso declarativo del que este amparo trae causa, apreciaron erróneamente la excepción de cosa juzgada material respecto de la pretensión de declaración de nulidad de la obligación garantizada con el pagaré por falta de causa ex arts. 1274 y 1275 del Código civil (CC), pues entendieron que tal cuestión había sido ya resuelta en el proceso ejecutivo previamente tramitado. El error radicaría en que, contrariamente a lo afirmado en la Sentencias recurridas, tal cuestión fue expresamente dejada al margen del conocimiento judicial en el proceso ejecutivo previo y remitida a su planteamiento en un ulterior proceso declarativo ordinario, afirmación que se desprendería del análisis conjunto de las Sentencias de instancia y apelación dictadas en el ya referido juicio ejecutivo antecedente.</w:t>
      </w:r>
    </w:p>
    <w:p w:rsidR="00D06117" w:rsidRDefault="00D06117" w:rsidP="00D06117">
      <w:pPr>
        <w:pStyle w:val="TextoNormal"/>
      </w:pPr>
    </w:p>
    <w:p w:rsidR="00D06117" w:rsidRDefault="00D06117" w:rsidP="00D06117">
      <w:pPr>
        <w:pStyle w:val="TextoNormal"/>
      </w:pPr>
      <w:r>
        <w:lastRenderedPageBreak/>
        <w:t>Así enunciado el problema constitucional que se somete a nuestro examen, hemos de recordar ante todo la doctrina de este Tribunal en torno a las implicaciones que tiene la declaración judicial del óbice de cosa juzgada como impeditivo de una decisión de fondo, desde la perspectiva de su afectación al mencionado derecho de acceso a la jurisdicción. En tal sentido y recogiendo pronunciamientos precedentes, hemos afirmado en la STC 5/2009, de 12 de enero, FJ 4:</w:t>
      </w:r>
    </w:p>
    <w:p w:rsidR="00D06117" w:rsidRDefault="00D06117" w:rsidP="00D06117">
      <w:pPr>
        <w:pStyle w:val="TextoNormal"/>
      </w:pPr>
    </w:p>
    <w:p w:rsidR="00D06117" w:rsidRDefault="00D06117" w:rsidP="00D06117">
      <w:pPr>
        <w:pStyle w:val="TextoNormal"/>
      </w:pPr>
      <w:r>
        <w:t>“…aun cuando la actividad de fijación de si concurre o no la identidad subjetiva y objetiva entre procesos para declarar la excepción de cosa juzgada resulta confiada a los Jueces y Tribunales de la jurisdicción ordinaria, ex art. 117.3 CE, sin embargo tal tipo de decisión puede resultar vulneradora de aquel derecho fundamental [acceso a la jurisdicción] y hacerla, por ende, susceptible del control del amparo constitucional en dos supuestos perfectamente identificables. El primero, en caso de que resulte evidente, por los términos de la decisión adoptada en el primer proceso, que la pretensión, aun cuando podría haber sido enjuiciada en el mismo, no lo fue por no haberse deducido, y por tanto, al haber quedado formalmente imprejuzgada entonces, no existe peligro de un doble enjuiciamiento ni ruptura de la seguridad jurídica si se plantea a la postre en otro proceso posterior (SSTC 121/1994, de 25 de abril, FJ 3; 15/2002, de 28 de enero, FJ 4; 236/2006, de 17 de julio, FJ 5; 17/2008, de 31 de enero, FFJJ 4 y 5). El segundo, cuando, sin necesidad de abordar específicas disquisiciones jurídicas, propias más bien de la legalidad ordinaria, la sola lectura de la pretensión interpuesta en el segundo proceso manifiesta la palmaria realidad de la divergencia de uno o más de sus elementos constitutivos (subjetivo u objetivo) con los contenidos en la pretensión resuelta por la Sentencia firme que se ofrece de contraste, lo que impide de suyo apreciar la existencia de la cosa juzgada material, de tal guisa convertida en obstáculo indebido para una decisión de fondo (STC 43/2002, de 25 de febrero, FJ 4)…”</w:t>
      </w:r>
    </w:p>
    <w:p w:rsidR="00D06117" w:rsidRDefault="00D06117" w:rsidP="00D06117">
      <w:pPr>
        <w:pStyle w:val="TextoNormal"/>
      </w:pPr>
    </w:p>
    <w:p w:rsidR="00D06117" w:rsidRDefault="00D06117" w:rsidP="00D06117">
      <w:pPr>
        <w:pStyle w:val="TextoNormal"/>
      </w:pPr>
      <w:r>
        <w:t>Completando esta doctrina, la posterior STC 71/2010, de 18 de octubre, FJ 5, ha añadido un último y lógico supuesto a ese restringido elenco de situaciones declarativas de la excepción de cosa juzgada, constitucionalmente relevantes por repercutir sobre el derecho de acceso a la jurisdicción. A saber: cuando la pretensión hubiere quedado imprejuzgada en el primer proceso, no ya por no haberla planteado el actor sino por quedar ésta excluida del ámbito de la controversia enjuiciada, como resultado de haberlo decidido así el órgano judicial por entender que el asunto debía ser resuelto en otro tipo de procedimiento (en el caso, reclamación de intereses legales del art. 20 de la Ley de contrato de seguro, ejercitada ab initio junto con la acción de responsabilidad civil por daños en accidente de circulación, dejándose aquella imprejuzgada en el primer proceso). Como además se precisa en esta última Sentencia, mismo FJ 5:</w:t>
      </w:r>
    </w:p>
    <w:p w:rsidR="00D06117" w:rsidRDefault="00D06117" w:rsidP="00D06117">
      <w:pPr>
        <w:pStyle w:val="TextoNormal"/>
      </w:pPr>
    </w:p>
    <w:p w:rsidR="00D06117" w:rsidRDefault="00D06117" w:rsidP="00D06117">
      <w:pPr>
        <w:pStyle w:val="TextoNormal"/>
      </w:pPr>
      <w:r>
        <w:t>“…difícilmente se cohonesta con el principio pro actione, que opera como canon en el ámbito del derecho de acceso al proceso, la circunstancia de que en este caso un mismo órgano judicial haya remitido a la recurrente en amparo a otro proceso … y con posterioridad aprecie la excepción de cosa juzgada en el procedimiento en el que se pretende, en virtud de una precedente decisión judicial, el ejercicio de aquella acción de reclamación.”</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La exposición de la doctrina precedente, sobre todo la última mencionada STC 71/2010 con la que guarda similitud, ha de conducir a la estimación de la demanda de amparo en relación con el primero de sus motivos. La lectura conjunta de las Sentencias dictadas por el Juzgado de Primera Instancia núm. 5 de Madrid y en apelación por la Audiencia </w:t>
      </w:r>
      <w:r>
        <w:lastRenderedPageBreak/>
        <w:t>Provincial de Madrid en el proceso ejecutivo cambiario permite comprobar que, tras un recordatorio de principio sobre las limitaciones de objeto que caracterizan a dicho procedimiento sumario, específicamente las que atañen a las posibles excepciones materiales que puede verter el ejecutado, y dando por acreditada la existencia de una serie de pactos entre las partes, entre ellos el que se controvierte de afianzamiento por el ejecutado de la obligación adquirida por una entidad con la ejecutante Slogan, S.A., el Juzgado se inhibe de entrar a resolver la excepción de falta de causa de la obligación ex arts. 1274 y 1275 CC, razonando a tal efecto que “este trámite no permite discutir ni determinar con más profundidad el crédito que el pagaré garantiza por tanto no puede considerarse como pretende el ejecutado la falta absoluta de causa en los términos de los arts. 1274 y 1275 del CC”, bastando al Juzgado con invocar, a los efectos de dicho juicio cambiario, la presunción ex lege de existencia de causa lícita de las obligaciones (“existe un principio del derecho civil que la causa se presume que existe y es lícita”); permitiendo únicamente, pero no era el caso, que el ejecutado demostrara la extinción de la obligación, que no su nulidad (“tendrá que ser el librado quien acredite que en el momento de vencimiento de la cambial no era deudor el librador de una cantidad igual o mayor”).</w:t>
      </w:r>
    </w:p>
    <w:p w:rsidR="00D06117" w:rsidRDefault="00D06117" w:rsidP="00D06117">
      <w:pPr>
        <w:pStyle w:val="TextoNormal"/>
      </w:pPr>
    </w:p>
    <w:p w:rsidR="00D06117" w:rsidRDefault="00D06117" w:rsidP="00D06117">
      <w:pPr>
        <w:pStyle w:val="TextoNormal"/>
      </w:pPr>
      <w:r>
        <w:t>Y si esto es así en cuanto a la Sentencia de primera instancia, menos duda puede suscitar que el punto litigioso quedó formalmente imprejuzgado, luego de pasar por el control de alzada de la Audiencia Provincial de Madrid. Ejercitando ésta sus poderes plenos de revisión que le corresponden en el marco de un recurso ordinario como es el de apelación, la Sección juzgadora proclama que haber conocido de la “pretendida nulidad del pacto suscrito entre las partes, la nulidad de la fianza por ilicitud de la causa o por falta o inexistencia de la obligación principal afianzada, significa el examen de la completa relación existente entre las partes, que no es propia de un juicio ejecutivo, sino de un eventual juicio declarativo”, explayándose en su razonamiento a este respecto —como dejamos reproducido en los antecedentes— y determinando en definitiva que los dos motivos aducidos para defender la excepción de nulidad por el ejecutado, quedasen fuera del objeto material juzgado en dicho proceso.</w:t>
      </w:r>
    </w:p>
    <w:p w:rsidR="00D06117" w:rsidRDefault="00D06117" w:rsidP="00D06117">
      <w:pPr>
        <w:pStyle w:val="TextoNormal"/>
      </w:pPr>
    </w:p>
    <w:p w:rsidR="00D06117" w:rsidRDefault="00D06117" w:rsidP="00D06117">
      <w:pPr>
        <w:pStyle w:val="TextoNormal"/>
      </w:pPr>
      <w:r>
        <w:t>De este modo, la decisión de los órganos judiciales actuantes fue la de considerar inadecuada la vía procedimental seguida por el ejecutado para hacer valer sus derechos, con lo que la alternativa sólo podía residir ya en un ejercicio posterior de la correspondiente acción en un ulterior proceso declarativo ordinario, tal como hizo el aquí recurrente. Topándose sin embargo al actuar consecuentemente con lo que se le había indicado, con el obstáculo de una apreciación indebida de la cosa juzgada material. Desde el mero control externo de las resoluciones impugnadas que nos es propio, resulta contrario a la aplicación del principio pro actione que rige con toda intensidad en esta faceta de acceso a la jurisdicción, esto es, del derecho a la obtención de una respuesta de fondo a una pretensión lícitamente deducida, el llevar al actor a un callejón sin salida en el que primero se le niega esa respuesta en vía ejecutiva, porque puede y debe tenerla en un proceso de declaración siempre que cumpla con la carga de instarlo, y luego sin embargo cuando éste se formaliza también se le priva de una tutela de fondo, en cuanto a la estimación o en su caso declaración de no haber lugar —lo que corresponda en aplicación de la ley— a la acción anulatoria referida, bajo la premisa errónea de que este punto ya había quedado resuelto en el proceso anterior.</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Consecuentemente con lo expuesto, ha de apreciarse la aducida vulneración a la primera de las facetas del derecho a la tutela judicial efectiva (art. 24.1 CE) del aquí recurrente </w:t>
      </w:r>
      <w:r>
        <w:lastRenderedPageBreak/>
        <w:t>que se dice han sido lesionadas, así como la anulación de las Sentencias frente a las que se demanda amparo y la retroacción de las actuaciones judiciales al momento inmediatamente anterior al dictado de la primera de ellas para que se dicte otra respetuosa con el derecho fundamental vulnerado. De ahí que resulte ya innecesario el análisis del resto de las vulneraciones de derechos fundamentales aducidas en la demanda.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don Alejandro Rojas Llamas y, en consecuencia:</w:t>
      </w:r>
    </w:p>
    <w:p w:rsidR="00D06117" w:rsidRDefault="00D06117" w:rsidP="00D06117">
      <w:pPr>
        <w:pStyle w:val="TextoNormal"/>
      </w:pPr>
    </w:p>
    <w:p w:rsidR="00D06117" w:rsidRDefault="00D06117" w:rsidP="00D06117">
      <w:pPr>
        <w:pStyle w:val="TextoNormal"/>
      </w:pPr>
      <w:r>
        <w:t>1º Declarar que se ha vulnerado el derecho fundamental a la tutela judicial efectiva (art. 24.1 CE) del recurrente.</w:t>
      </w:r>
    </w:p>
    <w:p w:rsidR="00D06117" w:rsidRDefault="00D06117" w:rsidP="00D06117">
      <w:pPr>
        <w:pStyle w:val="TextoNormal"/>
      </w:pPr>
    </w:p>
    <w:p w:rsidR="00D06117" w:rsidRDefault="00D06117" w:rsidP="00D06117">
      <w:pPr>
        <w:pStyle w:val="TextoNormal"/>
      </w:pPr>
      <w:r>
        <w:t>2º Restablecerle en la integridad de su derecho y, a tal fin, declarar la nulidad de la Sentencia del Juzgado de Primera Instancia núm. 13 de Barcelona, de 4 de abril de 2005 (procedimiento núm. 263-2004) y la Sentencia de la Sección Decimonovena de la Audiencia Provincial de Barcelona, de 26 de octubre de 2005 (rollo de apelación núm. 423-2005), retrotrayendo el procedimiento al momento inmediato anterior a dictarse Sentencia de fondo por el Juzgado, para que en su lugar se dicte otra resolución que resulte respetuosa con el derecho fundamental vulnerado.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treinta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4" w:name="SENTENCIA_2012_11"/>
      <w:r>
        <w:lastRenderedPageBreak/>
        <w:t>SENTENCIA 11/2012, de 30 de enero de 2012</w:t>
      </w:r>
    </w:p>
    <w:bookmarkEnd w:id="14"/>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47, de 24 de febrero de 2012)</w:t>
      </w:r>
    </w:p>
    <w:p w:rsidR="00D06117" w:rsidRDefault="00D06117" w:rsidP="00D06117">
      <w:pPr>
        <w:pStyle w:val="TtuloBOE"/>
      </w:pPr>
    </w:p>
    <w:p w:rsidR="00D06117" w:rsidRDefault="00D06117" w:rsidP="00D06117">
      <w:pPr>
        <w:pStyle w:val="SntesisDescriptiva"/>
      </w:pPr>
      <w:r>
        <w:t>ECLI:ES:TC:2012:11</w:t>
      </w:r>
    </w:p>
    <w:p w:rsidR="00D06117" w:rsidRDefault="00D06117" w:rsidP="00D06117">
      <w:pPr>
        <w:pStyle w:val="SntesisDescriptiva"/>
      </w:pPr>
    </w:p>
    <w:p w:rsidR="00D06117" w:rsidRDefault="00D06117" w:rsidP="00D06117">
      <w:pPr>
        <w:pStyle w:val="SntesisDescriptiva"/>
      </w:pPr>
      <w:r>
        <w:t>Recurso de amparo 11278-2006. Promovido por Comadex, S.A., en relación con los Autos de la Audiencia Provincial de Alicante y de un Juzgado de Primera Instancia de Denia que rechazaron su solicitud de incoación de expediente de jurisdicción voluntaria de ofrecimiento de pago y consignación de la parte pendiente de abono de un crédito hipotecario.</w:t>
      </w:r>
    </w:p>
    <w:p w:rsidR="00D06117" w:rsidRDefault="00D06117" w:rsidP="00D06117">
      <w:pPr>
        <w:pStyle w:val="SntesisDescriptiva"/>
      </w:pPr>
    </w:p>
    <w:p w:rsidR="00D06117" w:rsidRDefault="00D06117" w:rsidP="00D06117">
      <w:pPr>
        <w:pStyle w:val="SntesisAnaltica"/>
      </w:pPr>
      <w:r>
        <w:t>Supuesta vulneración del derecho a la tutela judicial efectiva (resolución fundada en Derecho): resoluciones dictadas por distintos órganos judiciales en instancias sucesivas de un mismo proceso cuya diferente motivación jurídica no es fruto de un error fáctico ni incoherente.</w:t>
      </w:r>
    </w:p>
    <w:p w:rsidR="00D06117" w:rsidRDefault="00D06117" w:rsidP="00D06117">
      <w:pPr>
        <w:pStyle w:val="SntesisAnaltica"/>
      </w:pPr>
    </w:p>
    <w:p w:rsidR="00D06117" w:rsidRDefault="00D06117" w:rsidP="00D06117">
      <w:pPr>
        <w:pStyle w:val="Extracto"/>
      </w:pPr>
      <w:r>
        <w:t>1.</w:t>
      </w:r>
      <w:r>
        <w:tab/>
        <w:t>No se produjeron las lesiones constitucionales invocadas por la parte recurrente ya que, de existir algún error en los Autos del Juzgado de Primera Instancia y de la Audiencia Provincial, éste sería en la valoración jurídica de los hechos, a efectos de la selección de la norma aplicable, pero no en los hechos mismos como tales, que en ambos casos son contemplados sin confusión, aunque con distinta interpretación en Derecho [FJ 4].</w:t>
      </w:r>
    </w:p>
    <w:p w:rsidR="00D06117" w:rsidRDefault="00D06117" w:rsidP="00D06117">
      <w:pPr>
        <w:pStyle w:val="Extracto"/>
      </w:pPr>
    </w:p>
    <w:p w:rsidR="00D06117" w:rsidRDefault="00D06117" w:rsidP="00D06117">
      <w:pPr>
        <w:pStyle w:val="Extracto"/>
      </w:pPr>
      <w:r>
        <w:t>2.</w:t>
      </w:r>
      <w:r>
        <w:tab/>
        <w:t>No puede afirmarse que hubiera error por incoherencia en las motivaciones jurídicas, ya que en cada instancia se formularon de manera que de ellas se desprenden las razones de la decisión, y al tratarse, en caso de la Audiencia Provincial, de un recurso de apelación en materia civil, y por tanto con “plenitud revisora”, no tiene por qué ser la misma o partir de los mismos datos que tuvo en cuenta el órgano de primera instancia (STC 250/2004) [FJ 4].</w:t>
      </w:r>
    </w:p>
    <w:p w:rsidR="00D06117" w:rsidRDefault="00D06117" w:rsidP="00D06117">
      <w:pPr>
        <w:pStyle w:val="Extracto"/>
      </w:pPr>
    </w:p>
    <w:p w:rsidR="00D06117" w:rsidRDefault="00D06117" w:rsidP="00D06117">
      <w:pPr>
        <w:pStyle w:val="Extracto"/>
      </w:pPr>
      <w:r>
        <w:t>3.</w:t>
      </w:r>
      <w:r>
        <w:tab/>
        <w:t>Resulta aplicable al expediente de jurisdicción voluntaria de consignación del art. 1176 párrafo 2 CC el derecho a una resolución motivada no incursa en error, arbitrariedad o irrazonabilidad, requiriendo el error, para que tenga relevancia constitucional, que sea fáctico, patente, decisorio, no imputable a la parte y con efectos negativos en sus intereses, correspondiéndole a esta la carga alegatoria al respecto (SSTC 3/2011, 155/2011) [FJ 4].</w:t>
      </w:r>
    </w:p>
    <w:p w:rsidR="00D06117" w:rsidRDefault="00D06117" w:rsidP="00D06117">
      <w:pPr>
        <w:pStyle w:val="Extracto"/>
      </w:pPr>
    </w:p>
    <w:p w:rsidR="00D06117" w:rsidRDefault="00D06117" w:rsidP="00D06117">
      <w:pPr>
        <w:pStyle w:val="Extracto"/>
      </w:pPr>
      <w:r>
        <w:t>4.</w:t>
      </w:r>
      <w:r>
        <w:tab/>
        <w:t>La motivación constitucionalmente tutelada en amparo no incluye un pretendido derecho al acierto judicial en la selección, interpretación y aplicación de las disposiciones legales, salvo que con ellas se afecte al contenido de otros derechos fundamentales distintos al de la tutela judicial efectiva y, por ende, la simple discrepancia con la interpretación razonada que de la legalidad ordinaria realizan los Jueces y Tribunales no tiene cabida en el marco objetivo del recurso de amparo, por no implicar dicha discrepancia, por sí sola, la vulneración de ningún derecho fundamental (SSTC 122/1994, 163/2008) [FJ 4].</w:t>
      </w:r>
    </w:p>
    <w:p w:rsidR="00D06117" w:rsidRDefault="00D06117" w:rsidP="00D06117">
      <w:pPr>
        <w:pStyle w:val="Extracto"/>
      </w:pPr>
    </w:p>
    <w:p w:rsidR="00D06117" w:rsidRDefault="00D06117" w:rsidP="00D06117">
      <w:pPr>
        <w:pStyle w:val="Extracto"/>
      </w:pPr>
      <w:r>
        <w:lastRenderedPageBreak/>
        <w:t>5.</w:t>
      </w:r>
      <w:r>
        <w:tab/>
        <w:t>Procede la inadmisión de la queja de incongruencia porque, cuando se denuncia incongruencia omisiva, lesiva del art. 24.1 CE en la vertiente de derecho a una resolución motivada, resulta imprescindible, para cumplir con el carácter subsidiario del recurso de amparo, la previa interposición del incidente de nulidad de actuaciones, para poder estimar agotada la vía judicial previa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Eugenio Gay Montalvo, Presidente,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11278-2006, promovido por Comadex, S.A., representada por la Procuradora de los Tribunales doña María José Bueno Ramírez y asistida por el Letrado don Eliseo M. Martínez Martínez, contra el Auto núm. 170/2006 de 23 de octubre de la Sección Sexta de la Audiencia Provincial de Alicante que confirmaba en apelación el Auto del Juzgado de Primera Instancia núm. 1 de Denia de 30 de marzo de 2006 (jurisdicción voluntaria núm. 798-2005) denegando la consignación para el pago en concurrencia de acreedores [art. 1176 párrafo 2 del Código civil (CC)]. Ha intervenido el Ministerio Fiscal.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 El 15 diciembre 2006 se interpuso por la representación procesal de Comadex, S.A., recurso de amparo, por vulneración del derecho a la tutela judicial efectiva e interdicción de indefensión (art. 24.1 CE), contra el Auto núm. 170/2006 de 23 octubre de la Audiencia Provincial de Alicante (Sala de lo Civil, Sección Sexta) confirmando el Auto del Juzgado de Primera Instancia núm. 1 de Denia de 30 marzo 2006, inadmitiendo la consignación para el pago en el procedimiento de jurisdicción voluntaria núm. 798-2005 del mismo órgano.</w:t>
      </w:r>
    </w:p>
    <w:p w:rsidR="00D06117" w:rsidRDefault="00D06117" w:rsidP="00D06117">
      <w:pPr>
        <w:pStyle w:val="TextoNormal"/>
      </w:pPr>
    </w:p>
    <w:p w:rsidR="00D06117" w:rsidRDefault="00D06117" w:rsidP="00D06117">
      <w:pPr>
        <w:pStyle w:val="TextoNormal"/>
      </w:pPr>
      <w:r>
        <w:t>Los antecedentes procesales de este recurso son —sucintamente expuestos— los siguientes:</w:t>
      </w:r>
    </w:p>
    <w:p w:rsidR="00D06117" w:rsidRDefault="00D06117" w:rsidP="00D06117">
      <w:pPr>
        <w:pStyle w:val="TextoNormal"/>
      </w:pPr>
    </w:p>
    <w:p w:rsidR="00D06117" w:rsidRDefault="00D06117" w:rsidP="00D06117">
      <w:pPr>
        <w:pStyle w:val="TextoNormal"/>
      </w:pPr>
      <w:r>
        <w:t xml:space="preserve">a) En procedimiento de ejecución hipotecaria núm. 167-2004 del Juzgado de Primera Instancia núm. 3 de Denia se dictó Auto de 15 abril de 2005 de adjudicación de la finca núm. 52193 del Registro de la Propiedad núm. 1 de Denia (apartamento, C/ Lago Baikal, Urbanización Royal Plaza-2-10, bloque IV, planta 1, puerta 11, de Denia) propiedad de Michel Denis Bregueon a Comadex, S.A., si bien el inmueble constaba gravado con otra </w:t>
      </w:r>
      <w:r>
        <w:lastRenderedPageBreak/>
        <w:t>hipoteca precedente en favor de la Caja de Ahorros del Mediterráneo, y a la vez había sido incluido en el activo del procedimiento concursal del señor Bregueon ante el Tribunal de Comercio de Angers (Francia). Circunstancia que manifestó conocer Comadex, S.A.</w:t>
      </w:r>
    </w:p>
    <w:p w:rsidR="00D06117" w:rsidRDefault="00D06117" w:rsidP="00D06117">
      <w:pPr>
        <w:pStyle w:val="TextoNormal"/>
      </w:pPr>
    </w:p>
    <w:p w:rsidR="00D06117" w:rsidRDefault="00D06117" w:rsidP="00D06117">
      <w:pPr>
        <w:pStyle w:val="TextoNormal"/>
      </w:pPr>
      <w:r>
        <w:t>Ante tales circunstancias Comadex, S.A., procedió a consignar en la cuenta general de depósitos de los Juzgados de Denia 130.510,33 € de la parte pendiente del crédito hipotecario de la Caja de Ahorros del Mediterráneo, solicitando la incoación de expediente de jurisdicción voluntaria de ofrecimiento de pago y consignación del art. 1176 CC (jurisdicción voluntaria núm. 798-2005 del Juzgado de Primera Instancia núm. 1 de Denia), en el cual, tras los trámites oportunos (en los que sólo se personó la Caja de Ahorros del Mediterráneo solicitando la adjudicación), se dictó Auto de 30 marzo 2006 de sobreseimiento, al considerar que “la falta de previo ofrecimiento de pago a los acreedores hacía inviable la consignación”, y que “la indeterminación del acreedor real, evidenciaba el carácter contencioso del expediente”.</w:t>
      </w:r>
    </w:p>
    <w:p w:rsidR="00D06117" w:rsidRDefault="00D06117" w:rsidP="00D06117">
      <w:pPr>
        <w:pStyle w:val="TextoNormal"/>
      </w:pPr>
    </w:p>
    <w:p w:rsidR="00D06117" w:rsidRDefault="00D06117" w:rsidP="00D06117">
      <w:pPr>
        <w:pStyle w:val="TextoNormal"/>
      </w:pPr>
      <w:r>
        <w:t>b) Interpuesto recurso de apelación sobre la procedencia de la consignación, la Audiencia Provincial de Alicante, en Auto de 23 de octubre de 2006, desestima el recurso, al considerar improcedente la consignación “por existir un único acreedor” que “no se ha negado a recibir el pago”; por lo tanto no concurriría el supuesto del art. 1176 párrafo 2 CC, sino al contrario, máxime si la Caja de Ahorros del Mediterráneo había instado la ejecución núm. 588-2005 del Juzgado de Primera Instancia núm. 3 de Denia, en el que Comadex, S.A., era tercero.</w:t>
      </w:r>
    </w:p>
    <w:p w:rsidR="00D06117" w:rsidRDefault="00D06117" w:rsidP="00D06117">
      <w:pPr>
        <w:pStyle w:val="TextoNormal"/>
      </w:pPr>
    </w:p>
    <w:p w:rsidR="00D06117" w:rsidRDefault="00D06117" w:rsidP="00D06117">
      <w:pPr>
        <w:pStyle w:val="TextoNormal"/>
      </w:pPr>
      <w:r w:rsidRPr="00D06117">
        <w:rPr>
          <w:rStyle w:val="NumeroAFNegritaCaracter"/>
        </w:rPr>
        <w:t>2</w:t>
      </w:r>
      <w:r>
        <w:t>. La recurrente interpone la demanda de amparo por vulneración del derecho a la tutela judicial efectiva, en su vertiente de falta de motivación por error, al entender que ésta resulta aplicable a los expedientes de jurisdicción voluntaria, y en concreto al de consignación de pago en caso de pluralidad de acreedores del art. 1176 CC.</w:t>
      </w:r>
    </w:p>
    <w:p w:rsidR="00D06117" w:rsidRDefault="00D06117" w:rsidP="00D06117">
      <w:pPr>
        <w:pStyle w:val="TextoNormal"/>
      </w:pPr>
    </w:p>
    <w:p w:rsidR="00D06117" w:rsidRDefault="00D06117" w:rsidP="00D06117">
      <w:pPr>
        <w:pStyle w:val="TextoNormal"/>
      </w:pPr>
      <w:r>
        <w:t xml:space="preserve">En los antecedentes fácticos, expone como la adjudicataria Comadex, S.A., se puso en contacto con la Caja de Ahorros del Mediterráneo (titular del crédito hipotecario preferente según certificación registral) a fin de liquidarle el remanente (principal, intereses, gastos y costas), teniendo —entonces— conocimiento del procedimiento concursal contra el señor Bregueon, en Angers (resolución del comisario de la quiebra de 13 octubre de 2005), en el que se decretaba “la no inclusión del crédito de la Caja de Ahorros del Mediterráneo en el pasivo y su extinción”. Ante tales circunstancias, Comadex, S.A., procedió a anunciar a los acreedores (Caja de Ahorros del Mediterráneo y masa de la quiebra del señor Bregueon) la consignación judicial por importe pendiente (130.510,33 €), dando lugar al expediente de jurisdicción voluntaria núm. 798-2005 del Juzgado de Primera Instancia núm. 1 de Denia, en el que con la intervención exclusiva de la Caja de Ahorros del Mediterráneo, que solicitó la adjudicación, se dictó Auto de 30 marzo de 2006, el cual decretaba el carácter contencioso del expediente y su archivo, por “la falta de acreditación del ofrecimiento a los acreedores” y “por ignorarse quién es el verdadero acreedor”. Interpuesto recurso de apelación por considerar errónea la aplicación a la consignación del primer párrafo del art. 1176 CC (ofrecimiento de pago, negativa a recibirlo y consignación) a un caso de consignación al que era aplicable el segundo párrafo del art. 1176 CC (pluralidad de acreedores y ulterior consignación), la Audiencia Provincial de Alicante lo desestimó en Auto de 23 octubre de 2006, que la recurrente reputa igualmente erróneo, pues citaba jurisprudencia relativa a casos de ofrecimiento de pago-consignación y afirmaba que la Caja de Ahorros del Mediterráneo era la </w:t>
      </w:r>
      <w:r>
        <w:lastRenderedPageBreak/>
        <w:t>única acreedora (cuando constaba igualmente la masa de la quiebra tramitada en el Tribunal de Angers).</w:t>
      </w:r>
    </w:p>
    <w:p w:rsidR="00D06117" w:rsidRDefault="00D06117" w:rsidP="00D06117">
      <w:pPr>
        <w:pStyle w:val="TextoNormal"/>
      </w:pPr>
    </w:p>
    <w:p w:rsidR="00D06117" w:rsidRDefault="00D06117" w:rsidP="00D06117">
      <w:pPr>
        <w:pStyle w:val="TextoNormal"/>
      </w:pPr>
      <w:r>
        <w:t>Considera la recurrente que el Auto de la Audiencia Provincial de Alicante, de 23 de octubre de 2006 le genera indefensión, y un grave daño patrimonial (pago de intereses), al prohibirle ejercitar la facultad de consignación prevista en el art. 1176 párrafo 2 CC, habiendo cumplido los requisitos de comunicación previa a los acreedores (Caja de Ahorros del Mediterráneo y masa de la quiebra), sin poder determinar quién es el titular del crédito. De esta manera, se le ha privado de la función liberatoria de la consignación, y se le somete al riesgo de un doble pago; privándosele de la seguridad y confianza legítima en la institución de la consignación para el pago.</w:t>
      </w:r>
    </w:p>
    <w:p w:rsidR="00D06117" w:rsidRDefault="00D06117" w:rsidP="00D06117">
      <w:pPr>
        <w:pStyle w:val="TextoNormal"/>
      </w:pPr>
    </w:p>
    <w:p w:rsidR="00D06117" w:rsidRDefault="00D06117" w:rsidP="00D06117">
      <w:pPr>
        <w:pStyle w:val="TextoNormal"/>
      </w:pPr>
      <w:r>
        <w:t>Igualmente considera que el Auto de 23 octubre de 2006 ha vulnerado su derecho a una resolución judicial fundada y congruente con las peticiones. Considera que la única resolución posible hubiera sido el pronunciamiento sobre si la consignación estaba bien o mal hecha; y por el contrario la Audiencia decretó erróneamente que la Caja de Ahorros del Mediterráneo era el único acreedor y que no se había negado al cobro. La evidencia de la existencia de dos acreedores (acreditada por documental del pleito de origen, mediante copia de la comunicación del Juez de la quiebra francesa) patentiza un error, que priva a la decisión final de la motivación y fundamentación constitucional exigible (SSTC 23/1987, 24/1990 y 25/1990), generando indefensión. A mayor abundamiento, la decisión de la Audiencia sobre que la Caja de Ahorros del Mediterráneo resultaba la única acreedora constituyó una incongruencia extra petitum (STC 191/1995), como consecuencia de premisas falsas.</w:t>
      </w:r>
    </w:p>
    <w:p w:rsidR="00D06117" w:rsidRDefault="00D06117" w:rsidP="00D06117">
      <w:pPr>
        <w:pStyle w:val="TextoNormal"/>
      </w:pPr>
    </w:p>
    <w:p w:rsidR="00D06117" w:rsidRDefault="00D06117" w:rsidP="00D06117">
      <w:pPr>
        <w:pStyle w:val="TextoNormal"/>
      </w:pPr>
      <w:r w:rsidRPr="00D06117">
        <w:rPr>
          <w:rStyle w:val="NumeroAFNegritaCaracter"/>
        </w:rPr>
        <w:t>3</w:t>
      </w:r>
      <w:r>
        <w:t>. En providencia de 15 octubre de 2008 de la Sección Cuarta, de la Sala Segunda del Tribunal Constitucional se acordó abrir el trámite del antiguo art. 50.3 LOTC (aplicable ex disposición transitoria tercera de la Ley Orgánica 6/2007 de 24 de mayo) de alegaciones sobre la admisibilidad del recurso de amparo y su contenido constitucional.</w:t>
      </w:r>
    </w:p>
    <w:p w:rsidR="00D06117" w:rsidRDefault="00D06117" w:rsidP="00D06117">
      <w:pPr>
        <w:pStyle w:val="TextoNormal"/>
      </w:pPr>
    </w:p>
    <w:p w:rsidR="00D06117" w:rsidRDefault="00D06117" w:rsidP="00D06117">
      <w:pPr>
        <w:pStyle w:val="TextoNormal"/>
      </w:pPr>
      <w:r>
        <w:t>Mediante escrito de 5 de noviembre 2008 la representación procesal de Comadex, S.A., se ratificó en su escrito de demanda y aportó documentos.</w:t>
      </w:r>
    </w:p>
    <w:p w:rsidR="00D06117" w:rsidRDefault="00D06117" w:rsidP="00D06117">
      <w:pPr>
        <w:pStyle w:val="TextoNormal"/>
      </w:pPr>
    </w:p>
    <w:p w:rsidR="00D06117" w:rsidRDefault="00D06117" w:rsidP="00D06117">
      <w:pPr>
        <w:pStyle w:val="TextoNormal"/>
      </w:pPr>
      <w:r>
        <w:t>El 11 de noviembre de 2008 el Fiscal ante el Tribunal Constitucional despachó informe interesando la admisión del presente recurso de amparo por concurrir en él contenido constitucional. Tras la exposición de los antecedentes fácticos, precisa que la impugnación se basa en la discrepancia de fondo con la motivación de la resolución impugnada —cuestión de “legalidad ordinaria sobre el ofrecimiento de pago y consignación”—, pero reproduce los fundamentos jurídicos de las decisiones, apreciando la existencia de contradicción entre el Auto del Juzgado de Primera Instancia núm. 1 de Denia de 30 de marzo de 2006, que se basa en la falta de ofrecimiento a los acreedores, y el Auto de la Audiencia Provincial de Alicante, de 23 octubre de 2006, que se basa en el discernimiento de un único acreedor. Por ello, concluye el representante del Ministerio Público que el sobreseimiento del expediente confirmado por la Audiencia podría no ser congruente en su motivación con la declaración de la existencia de un único acreedor identificado, razón por la cual debe admitirse a trámite la demanda.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Mediante providencia de 18 de diciembre de 2008 la Sala Segunda del Tribunal Constitucional admitió a trámite el recurso amparo núm. 11278-2006, recabando las actuaciones de la Sección Sexta de la Audiencia Provincial Alicante y del Juzgado de Primera Instancia núm. 1 de Denia, con emplazamiento de las partes.</w:t>
      </w:r>
    </w:p>
    <w:p w:rsidR="00D06117" w:rsidRDefault="00D06117" w:rsidP="00D06117">
      <w:pPr>
        <w:pStyle w:val="TextoNormal"/>
      </w:pPr>
    </w:p>
    <w:p w:rsidR="00D06117" w:rsidRDefault="00D06117" w:rsidP="00D06117">
      <w:pPr>
        <w:pStyle w:val="TextoNormal"/>
      </w:pPr>
      <w:r>
        <w:t>El 6 de abril de 2009 la representación legal de Comadex, S.A., presentó escrito en el que solicitó que se adjuntase la documentación aportada, consistente en la copia de la nota simple del Registro a la Propiedad núm. 1 de Denia, omitida en su escrito de alegaciones de 5 de noviembre de 2008.</w:t>
      </w:r>
    </w:p>
    <w:p w:rsidR="00D06117" w:rsidRDefault="00D06117" w:rsidP="00D06117">
      <w:pPr>
        <w:pStyle w:val="TextoNormal"/>
      </w:pPr>
    </w:p>
    <w:p w:rsidR="00D06117" w:rsidRDefault="00D06117" w:rsidP="00D06117">
      <w:pPr>
        <w:pStyle w:val="TextoNormal"/>
      </w:pPr>
      <w:r>
        <w:t>El Fiscal ante el Tribunal Constitucional despachó el trámite de alegaciones en escrito de 15 de abril de 2009 interesando el otorgamiento del amparo por vulneración de la tutela judicial efectiva en la vertiente de falta de motivación, por irrazonabilidad (STC 258/2007). Reitera que lo que se recurre es la motivación de la resolución de la Audiencia Provincial, para proceder —sin embargo— a reproducir y analizar comparativamente la fundamentación jurídica del Auto del Juzgado de Primera Instancia y del Auto de la Audiencia Provincial, concluyendo que ambas incurren en errores (en la primera, al negar el ofrecimiento a ambos acreedores, y en la segunda, al afirmar la existencia de un único acreedor) incurriendo a su vez en incompatibilidad por contradicción (la primera, decreta que hay concurrencia de acreedores y ofrecimiento de pago; la segunda, afirma que hay un solo acreedor que estaba dispuesto a aceptar el pago).</w:t>
      </w:r>
    </w:p>
    <w:p w:rsidR="00D06117" w:rsidRDefault="00D06117" w:rsidP="00D06117">
      <w:pPr>
        <w:pStyle w:val="TextoNormal"/>
      </w:pPr>
    </w:p>
    <w:p w:rsidR="00D06117" w:rsidRDefault="00D06117" w:rsidP="00D06117">
      <w:pPr>
        <w:pStyle w:val="TextoNormal"/>
      </w:pPr>
      <w:r>
        <w:t>Sin embargo, considera que no concurre lesión de la tutela judicial efectiva, en la vertiente de falta de motivación, por incongruencia, en cuanto que se habría producido una falta de agotamiento de la vía judicial por la no interposición del incidente de nulidad de actuaciones contra el Auto de la Audiencia Provincial de Alicante de 23 de octubre de 2006; sin perjuicio de que —subsidiariamente— el contenido de dicha resolución se encuentre dentro de los límites y términos en los que se formuló la petición.</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26 de enero de 2012 se señaló para deliberación y votación de la presente resolución, dictándose Sentencia el día 30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 El presente recurso de amparo tiene por objeto decidir si el Auto núm. 170/2006 de 23 octubre de la Sección Sexta de la Audiencia Provincial de Alicante, que confirmaba el sobreseimiento del expediente de consignación judicial para pago por concurrencia de acreedores [art. 1176 párrafo 2 del Código civil (CC)] decretado por el Juzgado de Primera Instancia núm. 1 de Denia (expediente jurisdicción voluntaria núm. 728-2005) habría vulnerado el derecho a la tutela judicial efectiva de la recurrente, en vertiente de falta de motivación por error e incongruencia, produciéndose indefensión.</w:t>
      </w:r>
    </w:p>
    <w:p w:rsidR="00D06117" w:rsidRDefault="00D06117" w:rsidP="00D06117">
      <w:pPr>
        <w:pStyle w:val="TextoNormal"/>
      </w:pPr>
    </w:p>
    <w:p w:rsidR="00D06117" w:rsidRDefault="00D06117" w:rsidP="00D06117">
      <w:pPr>
        <w:pStyle w:val="TextoNormal"/>
      </w:pPr>
      <w:r>
        <w:t xml:space="preserve">La recurrente impugna el Auto de 23 de octubre de 2006 de la Audiencia Provincial de Alicante, considerando que éste ha lesionado su derecho a la tutela judicial efectiva, en la vertiente de falta de motivación, al haber incurrido en un error patente, consistente en decretar que no se daba el presupuesto de la consignación por concurrencia de acreedores, al </w:t>
      </w:r>
      <w:r>
        <w:lastRenderedPageBreak/>
        <w:t>existir sólo uno de éstos, que además estaba dispuesto a recibir el pago. Asimismo, considera la recurrente que esta decisión es incongruente con su recurso de apelación, en el que se solicitaba pronunciamiento sobre si la consignación estaba bien hecha, en cuanto que se había efectuado el previo anuncio-ofrecimiento a los acreedores exigido por el art. 1176 CC.</w:t>
      </w:r>
    </w:p>
    <w:p w:rsidR="00D06117" w:rsidRDefault="00D06117" w:rsidP="00D06117">
      <w:pPr>
        <w:pStyle w:val="TextoNormal"/>
      </w:pPr>
    </w:p>
    <w:p w:rsidR="00D06117" w:rsidRDefault="00D06117" w:rsidP="00D06117">
      <w:pPr>
        <w:pStyle w:val="TextoNormal"/>
      </w:pPr>
      <w:r>
        <w:t>El Fiscal ante el Tribunal Constitucional interesa el otorgamiento del amparo, por lesión de la tutela judicial efectiva, en la vertiente de falta de motivación, por irrazonabilidad, en cuanto que tanto el Auto de 30 marzo de 2006 del Juzgado de Primera Instancia núm. 1 de Denia, como el Auto de 23 octubre de 2006 de la Audiencia Provincial de Alicante, incurren en errores o contradicciones internas y en argumentos incompatibles entre uno y otro, que privan al recurrente de su derecho fundamental a obtener un pronunciamiento fundado en Derecho. Por el contrario, entiende el representante del Ministerio Público que la queja de incongruencia extra petita debe ser inadmitida por falta de agotamiento de la vía judicial; y subsidiariamente desestimada, en cuanto que el pronunciamiento del Auto de 23 de octubre de 2006 es coherente con el pedimento del recurso de apelación.</w:t>
      </w:r>
    </w:p>
    <w:p w:rsidR="00D06117" w:rsidRDefault="00D06117" w:rsidP="00D06117">
      <w:pPr>
        <w:pStyle w:val="TextoNormal"/>
      </w:pPr>
    </w:p>
    <w:p w:rsidR="00D06117" w:rsidRDefault="00D06117" w:rsidP="00D06117">
      <w:pPr>
        <w:pStyle w:val="TextoNormal"/>
      </w:pPr>
      <w:r w:rsidRPr="00D06117">
        <w:rPr>
          <w:rStyle w:val="NumeroAFNegritaCaracter"/>
        </w:rPr>
        <w:t>2</w:t>
      </w:r>
      <w:r>
        <w:t>. Comenzando por el óbice procesal suscitado por el Ministerio público, relativo a la falta de agotamiento de la vía judicial respecto del Auto núm. 170/2006 de la Audiencia Provincial de Alicante por la no interposición del incidente de nulidad de actuaciones frente a la denunciada incongruencia, hemos de precisar que la resolución impugnada en amparo ha sido exclusivamente el Auto de 23 de octubre de 2006 de la Audiencia Provincial de Alicante (Sección Sexta), al cual se achacan defectos conexos relativos a la motivación (encuadrados ambos en el art. 24.1 CE): el primero, sobre la falta de motivación por error, y el segundo, sobre la falta de motivación por incongruencia. La recurrente considera que esta resolución no habría efectuado pronunciamiento alguno sobre lo que era objeto del expediente de jurisdicción voluntaria, esto es, sobre si la consignación estaba bien o mal hecha.</w:t>
      </w:r>
    </w:p>
    <w:p w:rsidR="00D06117" w:rsidRDefault="00D06117" w:rsidP="00D06117">
      <w:pPr>
        <w:pStyle w:val="TextoNormal"/>
      </w:pPr>
    </w:p>
    <w:p w:rsidR="00D06117" w:rsidRDefault="00D06117" w:rsidP="00D06117">
      <w:pPr>
        <w:pStyle w:val="TextoNormal"/>
      </w:pPr>
      <w:r>
        <w:t>Debemos ahora recordar que cuando se denuncia incongruencia omisiva, lesiva del art. 24.1 CE en la vertiente de derecho a una resolución motivada, resulta imprescindible, para cumplir con el carácter subsidiario del recurso de amparo, la previa interposición del incidente de nulidad de actuaciones, para poder estimar agotada la vía judicial previa. Así lo hemos recordado entre otras en la reciente STC 51/2010, de 4 de octubre, FJ 2, diciendo: “Este Tribunal ha reiterado que el incidente de nulidad de actuaciones previsto en el art. 241 LOPJ —en la redacción dada por la Ley Orgánica 19/2003, de 23 de diciembre, aplicable al caso— constituye el remedio procesal idóneo para obtener la reparación de, entre otras vulneraciones, la incongruencia del fallo cometido por una resolución que no sea susceptible de recurso. De ese modo, en los supuestos en que se alegue la existencia de un vicio de incongruencia omisiva que no pueda ser reparado en la vía ordinaria resulta necesario acudir al incidente de nulidad de actuaciones con carácter previo a la interposición del recurso de amparo, para, en respeto de la subsidiariedad de esta jurisdicción, agotar correctamente la vía judicial”.</w:t>
      </w:r>
    </w:p>
    <w:p w:rsidR="00D06117" w:rsidRDefault="00D06117" w:rsidP="00D06117">
      <w:pPr>
        <w:pStyle w:val="TextoNormal"/>
      </w:pPr>
    </w:p>
    <w:p w:rsidR="00D06117" w:rsidRDefault="00D06117" w:rsidP="00D06117">
      <w:pPr>
        <w:pStyle w:val="TextoNormal"/>
      </w:pPr>
      <w:r>
        <w:t>Procederá por lo tanto la estimación del óbice alegado e inadmisión de dicha queja de incongruencia, aunque sea en este momento final del procedimiento (STC 114/2009, de 14 de mayo, FJ 2).</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Respecto de la otra vulneración del art. 24.1 CE denunciada, consistente en el error en la motivación del Auto de 23 de octubre de 2006, debemos precisar que se alega por la </w:t>
      </w:r>
      <w:r>
        <w:lastRenderedPageBreak/>
        <w:t>recurrente la concurrencia de dos errores diferenciados: uno derivado de la denegación de la consignación por “falta de ofrecimiento de pago a los acreedores e indeterminación del acreedor real” (imputado al Auto del Juzgado recurrido en apelación), y el segundo, consistente en la confirmación de la negativa por “existencia exclusivamente de un acreedor que no se había negado a recibir el pago” (atribuido al Auto de la Audiencia de 23 de octubre de 2006 recurrido en amparo). A este respecto considera el Ministerio Fiscal que el error emana del “examen cruzado de esas dos argumentaciones judiciales”, especialmente cuando el Auto de apelación identifica a un único acreedor dispuesto a recibir el pago.</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ha de señalarse que resulta aplicable al expediente de jurisdicción voluntaria de consignación del art. 1176 párrafo 2 CC el derecho a una resolución motivada no incursa en error, arbitrariedad o irrazonabilidad (ex STC 155/2011, de 17 de octubre, FJ 3), requiriendo el error para que tenga relevancia constitucional, sucesivamente, que sea fáctico, patente, decisorio, no imputable a la parte y con efectos negativos en sus intereses, correspondiéndole a esta la carga alegatoria al respecto (por todas STC 3/2011, de 14 de febrero, FJ 3).</w:t>
      </w:r>
    </w:p>
    <w:p w:rsidR="00D06117" w:rsidRDefault="00D06117" w:rsidP="00D06117">
      <w:pPr>
        <w:pStyle w:val="TextoNormal"/>
      </w:pPr>
    </w:p>
    <w:p w:rsidR="00D06117" w:rsidRDefault="00D06117" w:rsidP="00D06117">
      <w:pPr>
        <w:pStyle w:val="TextoNormal"/>
      </w:pPr>
      <w:r>
        <w:t>Ahora bien, por otro lado, la motivación constitucionalmente tutelada en amparo “no incluye un pretendido derecho al acierto judicial en la selección, interpretación y aplicación de las disposiciones legales, salvo que con ellas se afecte al contenido de otros derechos fundamentales distintos al de la tutela judicial efectiva” y por ende “la simple discrepancia con la interpretación razonada que de la legalidad ordinaria realizan los Jueces y Tribunales integrantes del Poder Judicial no tiene cabida en el marco objetivo del recurso de amparo, por no implicar dicha discrepancia, por sí sola, la vulneración de ningún derecho fundamental” (principio reiterado desde la STC 122/1994, de 25 de abril, FJ 5, a la STC 163/2008, de 15 de diciembre, FFJJ 3 y 6).</w:t>
      </w:r>
    </w:p>
    <w:p w:rsidR="00D06117" w:rsidRDefault="00D06117" w:rsidP="00D06117">
      <w:pPr>
        <w:pStyle w:val="TextoNormal"/>
      </w:pPr>
    </w:p>
    <w:p w:rsidR="00D06117" w:rsidRDefault="00D06117" w:rsidP="00D06117">
      <w:pPr>
        <w:pStyle w:val="TextoNormal"/>
      </w:pPr>
      <w:r>
        <w:t>El Auto de 23 octubre de 2006 de la Audiencia, apreciando las circunstancias aportadas y —sobre todo— las alegaciones formuladas en la apelación, no aplicó el art. 1176 CC (párrafo 2, cuyo presupuesto es que “varias personas tengan derecho a cobrar”) al estimar que existía un único acreedor que estaba dispuesto a recibir el pago, confirmando en su parte dispositiva, aunque con distinta fundamentación, la resolución apelada; y en estos términos, por una parte, resulta patente que el error en que —en su caso— podría haber incurrido la resolución resultaría de la aplicación equivocada de la legalidad ordinaria. Asimismo, el Auto de 30 de marzo de 2006 del Juzgado al exigir el ofrecimiento de pago previo (del art. 1176 párrafo 1 CC) en su fundamento jurídico 1, y aunque no es objeto directo del recurso de amparo, tampoco incurrió en un error de hecho (puesto que su razonamiento dispositivo se contenía en su siguiente fundamento jurídico 2), y además el mismo versaba sobre la selección e interpretación de la legalidad ordinaria del art. 1176 CC. Igualmente la declaración de que existían dos acreedores del fundamento jurídico 2 del Auto del Juzgado, debe entenderse con la previa constatación de la existencia de otro litigio (en otro Juzgado), lo cual evidenciaría según el Juzgado el carácter contencioso del expediente de jurisdicción voluntaria, remitiendo al juicio declarativo correspondiente (ex art. 1817 de la Ley de enjuiciamiento civil de 1881). Por ello, de nuevo, de existir algún error en aquel otro Auto del Juzgado, el mismo sería también en la aplicación e interpretación de la legalidad ordinaria, pero no fáctico. Todo ello, sin perjuicio de que únicamente se denuncia una simple vertiente (motivación) de la tutela judicial efectiva y respecto del Auto de la Audiencia.</w:t>
      </w:r>
    </w:p>
    <w:p w:rsidR="00D06117" w:rsidRDefault="00D06117" w:rsidP="00D06117">
      <w:pPr>
        <w:pStyle w:val="TextoNormal"/>
      </w:pPr>
    </w:p>
    <w:p w:rsidR="00D06117" w:rsidRDefault="00D06117" w:rsidP="00D06117">
      <w:pPr>
        <w:pStyle w:val="TextoNormal"/>
      </w:pPr>
      <w:r>
        <w:lastRenderedPageBreak/>
        <w:t>Cierto es, por otra parte, que el Ministerio Fiscal en sus alegaciones en este proceso constitucional ha sostenido que la vulneración de la tutela judicial efectiva se produjo por la motivación insuficiente, haciendo un análisis comparativo de los dos Autos, el del Juzgado de Primera Instancia y el de la Audiencia Provincial, para concluir que en los dos había errores al examinar el número de acreedores, ya que el primero parte de que había dos acreedores y en el Auto dictado en apelación se declara que sólo había uno y además, a éste no se le hizo el ofrecimiento de pago. Ahora bien, la tesis, en cualquier caso, no es asumible, en primer lugar porque el error sería, como ya hemos dicho, en la valoración jurídica de los hechos, a efectos de la selección de la norma aplicable, pero no en los hechos mismos como tales, que en ambos casos son contemplados sin confusión, aunque con distinta interpretación en Derecho.</w:t>
      </w:r>
    </w:p>
    <w:p w:rsidR="00D06117" w:rsidRDefault="00D06117" w:rsidP="00D06117">
      <w:pPr>
        <w:pStyle w:val="TextoNormal"/>
      </w:pPr>
    </w:p>
    <w:p w:rsidR="00D06117" w:rsidRDefault="00D06117" w:rsidP="00D06117">
      <w:pPr>
        <w:pStyle w:val="TextoNormal"/>
      </w:pPr>
      <w:r>
        <w:t>En segundo lugar, tampoco puede afirmarse que hubiera error por incoherencia en las motivaciones jurídicas, ya que en cada instancia se formularon de manera que de ellas se desprenden las razones de la decisión, tanto del Juzgado como de la Audiencia y al tratarse, en este segundo caso, de un recurso de apelación en materia civil, y por lo tanto con “plenitud revisora” [STC 250/2004, de 20 de diciembre, FJ 3 c)] no tiene por qué ser la misma o partir de los mismos datos que tuvo en cuenta el órgano de primera instancia, porque la pretensión impugnatoria contra el primer Auto fue diferente a la que se formuló para realizar la consignación que dio lugar al mismo y en consecuencia no es posible aplicar la coherencia como requisito interno a las diferentes argumentaciones de dos resoluciones dictadas sucesivamente por distintos órganos judiciales en instancias diferentes en un mismo proceso.</w:t>
      </w:r>
    </w:p>
    <w:p w:rsidR="00D06117" w:rsidRDefault="00D06117" w:rsidP="00D06117">
      <w:pPr>
        <w:pStyle w:val="TextoNormal"/>
      </w:pPr>
    </w:p>
    <w:p w:rsidR="00D06117" w:rsidRDefault="00D06117" w:rsidP="00D06117">
      <w:pPr>
        <w:pStyle w:val="TextoNormal"/>
      </w:pPr>
      <w:r>
        <w:t>En definitiva, no se produjeron las lesiones constitucionales invocadas por la parte recurrente.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recurso de amparo interpuesto por Comadex, S.A.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treinta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5" w:name="SENTENCIA_2012_12"/>
      <w:r>
        <w:lastRenderedPageBreak/>
        <w:t>SENTENCIA 12/2012, de 30 de enero de 2012</w:t>
      </w:r>
    </w:p>
    <w:bookmarkEnd w:id="15"/>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47, de 24 de febrero de 2012)</w:t>
      </w:r>
    </w:p>
    <w:p w:rsidR="00D06117" w:rsidRDefault="00D06117" w:rsidP="00D06117">
      <w:pPr>
        <w:pStyle w:val="TtuloBOE"/>
      </w:pPr>
    </w:p>
    <w:p w:rsidR="00D06117" w:rsidRDefault="00D06117" w:rsidP="00D06117">
      <w:pPr>
        <w:pStyle w:val="SntesisDescriptiva"/>
      </w:pPr>
      <w:r>
        <w:t>ECLI:ES:TC:2012:12</w:t>
      </w:r>
    </w:p>
    <w:p w:rsidR="00D06117" w:rsidRDefault="00D06117" w:rsidP="00D06117">
      <w:pPr>
        <w:pStyle w:val="SntesisDescriptiva"/>
      </w:pPr>
    </w:p>
    <w:p w:rsidR="00D06117" w:rsidRDefault="00D06117" w:rsidP="00D06117">
      <w:pPr>
        <w:pStyle w:val="SntesisDescriptiva"/>
      </w:pPr>
      <w:r>
        <w:t>Recurso de amparo 4821-2009, 4829-2009. Promovidos por Canal Mundo Producciones Audiovisuales, S.A., y por Televisión Autonómica Valenciana, S.A., frente a la Sentencia de la Sala de lo Civil del Tribunal Supremo que las condenó a abonar una indemnización por infracción de los derechos a la intimidad y a la propia imagen.</w:t>
      </w:r>
    </w:p>
    <w:p w:rsidR="00D06117" w:rsidRDefault="00D06117" w:rsidP="00D06117">
      <w:pPr>
        <w:pStyle w:val="SntesisDescriptiva"/>
      </w:pPr>
    </w:p>
    <w:p w:rsidR="00D06117" w:rsidRDefault="00D06117" w:rsidP="00D06117">
      <w:pPr>
        <w:pStyle w:val="SntesisAnaltica"/>
      </w:pPr>
      <w:r>
        <w:t>Supuesta vulneración del derecho a la libre información: reportaje grabado con cámara oculta.</w:t>
      </w:r>
    </w:p>
    <w:p w:rsidR="00D06117" w:rsidRDefault="00D06117" w:rsidP="00D06117">
      <w:pPr>
        <w:pStyle w:val="SntesisAnaltica"/>
      </w:pPr>
    </w:p>
    <w:p w:rsidR="00D06117" w:rsidRDefault="00D06117" w:rsidP="00D06117">
      <w:pPr>
        <w:pStyle w:val="Extracto"/>
      </w:pPr>
      <w:r>
        <w:t>1.</w:t>
      </w:r>
      <w:r>
        <w:tab/>
        <w:t>En el uso de la cámara oculta por el periodista, la libertad de información no prevalece respecto a los derechos a la intimidad personal y a la propia imagen, no solo porque la captación intrusiva no es la única que permite la averiguación de la actividad desarrollada, sino porque, tuviese o no relevancia pública lo investigado, lo que está constitucionalmente prohibido es justamente la utilización de la misma [FJ 7].</w:t>
      </w:r>
    </w:p>
    <w:p w:rsidR="00D06117" w:rsidRDefault="00D06117" w:rsidP="00D06117">
      <w:pPr>
        <w:pStyle w:val="Extracto"/>
      </w:pPr>
    </w:p>
    <w:p w:rsidR="00D06117" w:rsidRDefault="00D06117" w:rsidP="00D06117">
      <w:pPr>
        <w:pStyle w:val="Extracto"/>
      </w:pPr>
      <w:r>
        <w:t>2.</w:t>
      </w:r>
      <w:r>
        <w:tab/>
        <w:t>Lo determinante para resolver el conflicto entre la libertad de información y el derecho a la intimidad es la relevancia pública de la información y no la veracidad del contenido de la información divulgada, en cuanto que, a diferencia de lo que sucede en las intromisiones en el honor, la veracidad no es paliativo sino presupuesto de la lesión de la intimidad (STC 185/2002) [FJ 7].</w:t>
      </w:r>
    </w:p>
    <w:p w:rsidR="00D06117" w:rsidRDefault="00D06117" w:rsidP="00D06117">
      <w:pPr>
        <w:pStyle w:val="Extracto"/>
      </w:pPr>
    </w:p>
    <w:p w:rsidR="00D06117" w:rsidRDefault="00D06117" w:rsidP="00D06117">
      <w:pPr>
        <w:pStyle w:val="Extracto"/>
      </w:pPr>
      <w:r>
        <w:t>3.</w:t>
      </w:r>
      <w:r>
        <w:tab/>
        <w:t>En lo que respecta al interés general del reportaje, aun cuando la información hubiera sido de relevancia pública, la forma en que se obtuvo y registró, mediante el uso de una cámara oculta, constituye en todo caso una ilegítima intromisión en los derechos fundamentales a la intimidad personal y a la propia imagen [FJ 7].</w:t>
      </w:r>
    </w:p>
    <w:p w:rsidR="00D06117" w:rsidRDefault="00D06117" w:rsidP="00D06117">
      <w:pPr>
        <w:pStyle w:val="Extracto"/>
      </w:pPr>
    </w:p>
    <w:p w:rsidR="00D06117" w:rsidRDefault="00D06117" w:rsidP="00D06117">
      <w:pPr>
        <w:pStyle w:val="Extracto"/>
      </w:pPr>
      <w:r>
        <w:t>4.</w:t>
      </w:r>
      <w:r>
        <w:tab/>
        <w:t>La especial posición que ostenta el derecho a la libertad de información en nuestro Ordenamiento reside en que no sólo se protege el interés individual sino que su tutela entraña el reconocimiento y garantía de la posibilidad de existencia de una opinión pública libre, indisolublemente unida al pluralismo político propio del Estado democrático (STC 68/2008) [FJ 4].</w:t>
      </w:r>
    </w:p>
    <w:p w:rsidR="00D06117" w:rsidRDefault="00D06117" w:rsidP="00D06117">
      <w:pPr>
        <w:pStyle w:val="Extracto"/>
      </w:pPr>
    </w:p>
    <w:p w:rsidR="00D06117" w:rsidRDefault="00D06117" w:rsidP="00D06117">
      <w:pPr>
        <w:pStyle w:val="Extracto"/>
      </w:pPr>
      <w:r>
        <w:t>5.</w:t>
      </w:r>
      <w:r>
        <w:tab/>
        <w:t>La protección del derecho a la libertad de información está sometida a límites inmanentes, entre los que se encuentran los requisitos de veracidad y de interés general o relevancia pública de la información, decayendo el respaldo constitucional de la libertad de información en ausencia de dichos requisitos (SSTC 68/2008, 129/2009) [FJ 4].</w:t>
      </w:r>
    </w:p>
    <w:p w:rsidR="00D06117" w:rsidRDefault="00D06117" w:rsidP="00D06117">
      <w:pPr>
        <w:pStyle w:val="Extracto"/>
      </w:pPr>
    </w:p>
    <w:p w:rsidR="00D06117" w:rsidRDefault="00D06117" w:rsidP="00D06117">
      <w:pPr>
        <w:pStyle w:val="Extracto"/>
      </w:pPr>
      <w:r>
        <w:t>6.</w:t>
      </w:r>
      <w:r>
        <w:tab/>
        <w:t xml:space="preserve">La protección constitucional de la relevancia pública de la información se ciñe a la transmisión de hechos “noticiables” que, por su relevancia social para contribuir a la formación de la opinión pública, versen sobre la proyección pública de la </w:t>
      </w:r>
      <w:r>
        <w:lastRenderedPageBreak/>
        <w:t>persona a la que se refiere o a las características del hecho en que esa persona se haya visto involucrada (STC 29/2009) [FJ 4].</w:t>
      </w:r>
    </w:p>
    <w:p w:rsidR="00D06117" w:rsidRDefault="00D06117" w:rsidP="00D06117">
      <w:pPr>
        <w:pStyle w:val="Extracto"/>
      </w:pPr>
    </w:p>
    <w:p w:rsidR="00D06117" w:rsidRDefault="00D06117" w:rsidP="00D06117">
      <w:pPr>
        <w:pStyle w:val="Extracto"/>
      </w:pPr>
      <w:r>
        <w:t>7.</w:t>
      </w:r>
      <w:r>
        <w:tab/>
        <w:t xml:space="preserve">El factor decisivo en la ponderación entre la protección de la vida privada y la libertad de expresión estriba en la contribución que la información publicada realice a un debate de interés general, sin que la satisfacción de la curiosidad de una parte del público en relación con detalles de la vida privada de una persona pueda considerarse contribución a tal efecto (STEDH caso </w:t>
      </w:r>
      <w:r w:rsidRPr="00D06117">
        <w:rPr>
          <w:i/>
        </w:rPr>
        <w:t>Von Hannover c. Alemania</w:t>
      </w:r>
      <w:r>
        <w:t>, de 24 de junio de 2004) [FJ 4].</w:t>
      </w:r>
    </w:p>
    <w:p w:rsidR="00D06117" w:rsidRDefault="00D06117" w:rsidP="00D06117">
      <w:pPr>
        <w:pStyle w:val="Extracto"/>
      </w:pPr>
    </w:p>
    <w:p w:rsidR="00D06117" w:rsidRDefault="00D06117" w:rsidP="00D06117">
      <w:pPr>
        <w:pStyle w:val="Extracto"/>
      </w:pPr>
      <w:r>
        <w:t>8.</w:t>
      </w:r>
      <w:r>
        <w:tab/>
        <w:t>El derecho a la intimidad se funda en la necesidad de garantizar la existencia de un ámbito propio y reservado frente a la acción y conocimiento de los demás, necesario para mantener una calidad mínima de la vida humana, que puede ceder ante el derecho a la información cuando se refiera a hechos con relevancia pública, en el sentido de noticiables, y a que dicha información sea veraz (STC 77/2009) [FJ 5].</w:t>
      </w:r>
    </w:p>
    <w:p w:rsidR="00D06117" w:rsidRDefault="00D06117" w:rsidP="00D06117">
      <w:pPr>
        <w:pStyle w:val="Extracto"/>
      </w:pPr>
    </w:p>
    <w:p w:rsidR="00D06117" w:rsidRDefault="00D06117" w:rsidP="00D06117">
      <w:pPr>
        <w:pStyle w:val="Extracto"/>
      </w:pPr>
      <w:r>
        <w:t>9.</w:t>
      </w:r>
      <w:r>
        <w:tab/>
        <w:t>El derecho a la intimidad atribuye a su titular el poder de resguardar ese ámbito reservado por el individuo para sí y su familia de una publicidad no querida y, en consecuencia, el poder jurídico de imponer a terceros el deber de abstenerse de toda intromisión en la esfera íntima y la prohibición de hacer uso de lo así conocido (SSTC 231/1988, 60/2010) [FJ 5 ].</w:t>
      </w:r>
    </w:p>
    <w:p w:rsidR="00D06117" w:rsidRDefault="00D06117" w:rsidP="00D06117">
      <w:pPr>
        <w:pStyle w:val="Extracto"/>
      </w:pPr>
    </w:p>
    <w:p w:rsidR="00D06117" w:rsidRDefault="00D06117" w:rsidP="00D06117">
      <w:pPr>
        <w:pStyle w:val="Extracto"/>
      </w:pPr>
      <w:r>
        <w:t>10.</w:t>
      </w:r>
      <w:r>
        <w:tab/>
        <w:t xml:space="preserve">La intimidad, </w:t>
      </w:r>
      <w:r w:rsidRPr="00D06117">
        <w:rPr>
          <w:i/>
        </w:rPr>
        <w:t>ex</w:t>
      </w:r>
      <w:r>
        <w:t xml:space="preserve"> art. 18.1 CE, no se reduce al ámbito doméstico o privado, siendo doctrina del TEDH que la noción de vida privada protegida, </w:t>
      </w:r>
      <w:r w:rsidRPr="00D06117">
        <w:rPr>
          <w:i/>
        </w:rPr>
        <w:t>ex</w:t>
      </w:r>
      <w:r>
        <w:t xml:space="preserve"> art. 8.1 CEDH, no se restringe a un “círculo íntimo” en el que el individuo puede conducir su vida personal a su manera y excluir plenamente el mundo exterior no incluido en este círculo, ya que en otros ámbitos, y en particular en el relacionado con trabajo o la profesión, se desarrollan relaciones interpersonales que pueden constituir manifestaciones de la vida privada (SSTEDH casos </w:t>
      </w:r>
      <w:r w:rsidRPr="00D06117">
        <w:rPr>
          <w:i/>
        </w:rPr>
        <w:t>Niemietz c. Alemania</w:t>
      </w:r>
      <w:r>
        <w:t xml:space="preserve">, de 16 de diciembre de 1992; </w:t>
      </w:r>
      <w:r w:rsidRPr="00D06117">
        <w:rPr>
          <w:i/>
        </w:rPr>
        <w:t>Rotaru c. Rumania</w:t>
      </w:r>
      <w:r>
        <w:t xml:space="preserve">, de 4 de mayo de 2000; y </w:t>
      </w:r>
      <w:r w:rsidRPr="00D06117">
        <w:rPr>
          <w:i/>
        </w:rPr>
        <w:t>Sidabras y Džiautas c. Lituania</w:t>
      </w:r>
      <w:r>
        <w:t>, de 27 de julio de 2004) [FJ 5].</w:t>
      </w:r>
    </w:p>
    <w:p w:rsidR="00D06117" w:rsidRDefault="00D06117" w:rsidP="00D06117">
      <w:pPr>
        <w:pStyle w:val="Extracto"/>
      </w:pPr>
    </w:p>
    <w:p w:rsidR="00D06117" w:rsidRDefault="00D06117" w:rsidP="00D06117">
      <w:pPr>
        <w:pStyle w:val="Extracto"/>
      </w:pPr>
      <w:r>
        <w:t>11.</w:t>
      </w:r>
      <w:r>
        <w:tab/>
        <w:t xml:space="preserve">Un criterio para determinar cuándo nos encontramos ante manifestaciones de la vida privada es el de las expectativas razonables de encontrarse al resguardo de la observación ajena, no pudiendo abrigarse tales expectativas cuando de forma consciente se participa en actividades que claramente pueden ser objeto de registro o información pública (SSTEDH casos </w:t>
      </w:r>
      <w:r w:rsidRPr="00D06117">
        <w:rPr>
          <w:i/>
        </w:rPr>
        <w:t>P.G. y J.H. c. Reino Unido</w:t>
      </w:r>
      <w:r>
        <w:t xml:space="preserve">, de 25 de septiembre de 2001; y </w:t>
      </w:r>
      <w:r w:rsidRPr="00D06117">
        <w:rPr>
          <w:i/>
        </w:rPr>
        <w:t>Peck c. Reino Unido</w:t>
      </w:r>
      <w:r>
        <w:t>, de 28 de enero de 2003) [FJ 5].</w:t>
      </w:r>
    </w:p>
    <w:p w:rsidR="00D06117" w:rsidRDefault="00D06117" w:rsidP="00D06117">
      <w:pPr>
        <w:pStyle w:val="Extracto"/>
      </w:pPr>
    </w:p>
    <w:p w:rsidR="00D06117" w:rsidRDefault="00D06117" w:rsidP="00D06117">
      <w:pPr>
        <w:pStyle w:val="Extracto"/>
      </w:pPr>
      <w:r>
        <w:t>12.</w:t>
      </w:r>
      <w:r>
        <w:tab/>
        <w:t>El derecho a la propia imagen permite determinar la información gráfica generada por los rasgos físicos personales de su titular que puede tener difusión pública, comprendiendo su ámbito de protección la facultad de impedir la obtención, reproducción o publicación de la propia imagen por un tercero no autorizado, sea cual sea la finalidad perseguida por quien la capta o difunde, y muy destacadamente frente a su utilización con fines puramente lucrativos (STC 23/2010) [FJ 5].</w:t>
      </w:r>
    </w:p>
    <w:p w:rsidR="00D06117" w:rsidRDefault="00D06117" w:rsidP="00D06117">
      <w:pPr>
        <w:pStyle w:val="Extracto"/>
      </w:pPr>
    </w:p>
    <w:p w:rsidR="00D06117" w:rsidRDefault="00D06117" w:rsidP="00D06117">
      <w:pPr>
        <w:pStyle w:val="Extracto"/>
      </w:pPr>
      <w:r>
        <w:lastRenderedPageBreak/>
        <w:t>13.</w:t>
      </w:r>
      <w:r>
        <w:tab/>
        <w:t xml:space="preserve">El derecho a la propia imagen, </w:t>
      </w:r>
      <w:r w:rsidRPr="00D06117">
        <w:rPr>
          <w:i/>
        </w:rPr>
        <w:t>ex</w:t>
      </w:r>
      <w:r>
        <w:t xml:space="preserve"> art. 18.1 CE, al par de los de honor y la intimidad personal, forma parte de los derechos de la personalidad y como tal garantiza el ámbito de libertad de una persona respecto de sus atributos más característicos, propios e inmediatos como son la imagen física, la voz o el nombre, cualidades definitorias del ser propio y atribuidas como posesión inherente e irreductible a toda persona (STC 117/1994) [FJ 5].</w:t>
      </w:r>
    </w:p>
    <w:p w:rsidR="00D06117" w:rsidRDefault="00D06117" w:rsidP="00D06117">
      <w:pPr>
        <w:pStyle w:val="Extracto"/>
      </w:pPr>
    </w:p>
    <w:p w:rsidR="00D06117" w:rsidRDefault="00D06117" w:rsidP="00D06117">
      <w:pPr>
        <w:pStyle w:val="Extracto"/>
      </w:pPr>
      <w:r>
        <w:t>14.</w:t>
      </w:r>
      <w:r>
        <w:tab/>
        <w:t>Los derechos fundamentales a la intimidad personal, a la propia imagen y al honor tienen sustantividad y contenido propio, de modo que ninguno queda subsumido en el otro (SSTC 81/2001, 156/2001) [FJ 5].</w:t>
      </w:r>
    </w:p>
    <w:p w:rsidR="00D06117" w:rsidRDefault="00D06117" w:rsidP="00D06117">
      <w:pPr>
        <w:pStyle w:val="Extracto"/>
      </w:pPr>
    </w:p>
    <w:p w:rsidR="00D06117" w:rsidRDefault="00D06117" w:rsidP="00D06117">
      <w:pPr>
        <w:pStyle w:val="Extracto"/>
      </w:pPr>
      <w:r>
        <w:t>15.</w:t>
      </w:r>
      <w:r>
        <w:tab/>
        <w:t>La intromisión en los derechos fundamentales de terceros por el ejercicio de la libertad de información sólo será legítima en la medida en que la afectación de dichos derechos resulte adecuada, necesaria y proporcionada para ese ejercicio, quedando deslegitimada aquella actividad informativa, innecesariamente invasora de la intimidad o la imagen ajenos, a la que quepa acceder sin necesidad de colisionar con los derechos referidos [FJ 6].</w:t>
      </w:r>
    </w:p>
    <w:p w:rsidR="00D06117" w:rsidRDefault="00D06117" w:rsidP="00D06117">
      <w:pPr>
        <w:pStyle w:val="Extracto"/>
      </w:pPr>
    </w:p>
    <w:p w:rsidR="00D06117" w:rsidRDefault="00D06117" w:rsidP="00D06117">
      <w:pPr>
        <w:pStyle w:val="Extracto"/>
      </w:pPr>
      <w:r>
        <w:t>16.</w:t>
      </w:r>
      <w:r>
        <w:tab/>
        <w:t xml:space="preserve">La libertad de los periodistas de elegir los métodos o técnicas que consideren más pertinentes para la transmisión informativa, que debe ser acorde a las exigencias de objetividad y neutralidad, no está exenta de límites, no pudiendo considerarse legítimas aquellas técnicas que invaden derechos protegidos, ni aquellos métodos que vulneren las exigencias de la ética periodística en cuanto a la solvencia y objetividad del contenido informativo (SSTEDH casos </w:t>
      </w:r>
      <w:r w:rsidRPr="00D06117">
        <w:rPr>
          <w:i/>
        </w:rPr>
        <w:t>Jersild c. Dinamarca</w:t>
      </w:r>
      <w:r>
        <w:t xml:space="preserve">, de 23 de septiembre de 1994; </w:t>
      </w:r>
      <w:r w:rsidRPr="00D06117">
        <w:rPr>
          <w:i/>
        </w:rPr>
        <w:t>MGN Limited c. Reino Unido</w:t>
      </w:r>
      <w:r>
        <w:t xml:space="preserve">, de 18 de enero de 2011; y </w:t>
      </w:r>
      <w:r w:rsidRPr="00D06117">
        <w:rPr>
          <w:i/>
        </w:rPr>
        <w:t>Mosley c. Reino Unido</w:t>
      </w:r>
      <w:r>
        <w:t>, de 10 de mayo de 2011) [FJ 6].</w:t>
      </w:r>
    </w:p>
    <w:p w:rsidR="00D06117" w:rsidRDefault="00D06117" w:rsidP="00D06117">
      <w:pPr>
        <w:pStyle w:val="Extracto"/>
      </w:pPr>
    </w:p>
    <w:p w:rsidR="00D06117" w:rsidRDefault="00D06117" w:rsidP="00D06117">
      <w:pPr>
        <w:pStyle w:val="Extracto"/>
      </w:pPr>
      <w:r>
        <w:t>17.</w:t>
      </w:r>
      <w:r>
        <w:tab/>
        <w:t xml:space="preserve">La ausencia de conocimiento y consentimiento de la persona fotografiada respecto a la intromisión en su vida privada es un factor decisivo en la necesaria ponderación de los derechos en conflicto –libertad de información y derechos a la intimidad y a la propia imagen– (SSTEDH casos </w:t>
      </w:r>
      <w:r w:rsidRPr="00D06117">
        <w:rPr>
          <w:i/>
        </w:rPr>
        <w:t>Von Hannover c. Alemania</w:t>
      </w:r>
      <w:r>
        <w:t xml:space="preserve">, de 24 de junio de 2004; y </w:t>
      </w:r>
      <w:r w:rsidRPr="00D06117">
        <w:rPr>
          <w:i/>
        </w:rPr>
        <w:t>Mosley c. Reino Unido</w:t>
      </w:r>
      <w:r>
        <w:t>, de 10 de mayo de 2011) [FJ 6].</w:t>
      </w:r>
    </w:p>
    <w:p w:rsidR="00D06117" w:rsidRDefault="00D06117" w:rsidP="00D06117">
      <w:pPr>
        <w:pStyle w:val="Extracto"/>
      </w:pPr>
    </w:p>
    <w:p w:rsidR="00D06117" w:rsidRDefault="00D06117" w:rsidP="00D06117">
      <w:pPr>
        <w:pStyle w:val="Extracto"/>
      </w:pPr>
      <w:r>
        <w:t>18.</w:t>
      </w:r>
      <w:r>
        <w:tab/>
        <w:t xml:space="preserve">Es necesario reforzar la protección de la vida privada para luchar contra los peligros derivados la toma de imágenes sin que la persona afectada pueda percatarse, tal y como ocurre con las grabaciones obtenidas mediante la utilización de cámaras ocultas con la finalidad de su difusión no consentida en el medio televisivo, cuya capacidad de incidencia en la expansión de lo publicado es muy superior al de la prensa escrita (SSTEDH casos </w:t>
      </w:r>
      <w:r w:rsidRPr="00D06117">
        <w:rPr>
          <w:i/>
        </w:rPr>
        <w:t>Jersild c. Dinamarca</w:t>
      </w:r>
      <w:r>
        <w:t xml:space="preserve">, de 23 de septiembre de 1994; y </w:t>
      </w:r>
      <w:r w:rsidRPr="00D06117">
        <w:rPr>
          <w:i/>
        </w:rPr>
        <w:t>Von Hannover c. Alemania</w:t>
      </w:r>
      <w:r>
        <w:t>, 24 de junio de 2004) [FJ 6].</w:t>
      </w:r>
    </w:p>
    <w:p w:rsidR="00D06117" w:rsidRDefault="00D06117" w:rsidP="00D06117">
      <w:pPr>
        <w:pStyle w:val="Extracto"/>
      </w:pPr>
    </w:p>
    <w:p w:rsidR="00D06117" w:rsidRDefault="00D06117" w:rsidP="00D06117">
      <w:pPr>
        <w:pStyle w:val="Extracto"/>
      </w:pPr>
      <w:r>
        <w:t>19.</w:t>
      </w:r>
      <w:r>
        <w:tab/>
        <w:t>Doctrina sobre los límites externos al ejercicio de la libertad de información (SSTC 156/2001, 23/2010) [FJ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los recursos de amparo acumulados núm. 4821-2009 y 4829-2009, promovidos respectivamente por Canal Mundo Producciones Audiovisuales, S.A., representado inicialmente por el Procurador de los Tribunales don Javier Zabala Falcó y posteriormente por la Procuradora de los Tribunales doña María Luisa Montero Correal y asistido inicialmente por el Abogado don Javier López Gutiérrez y posteriormente por el Abogado don Juan Luis Ortega Peña, y por Televisión Autonómica Valenciana, S.A., representada por la Procuradora de los Tribunales doña Gloria Rincón Mayoral y asistida por la Letrada doña María Jesús Villanueva Lázaro, contra la Sentencia núm. 1233/2008, de fecha 16 de enero de 2009 y la providencia de 14 de abril de 2009 de la Sala de lo Civil del Tribunal Supremo dictadas en el recurso de casación núm. 1171-2002. Ha intervenido el Ministerio Fiscal.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22 de mayo de 2009, el Procurador de los Tribunales don Javier Zabala Falcó, en nombre y representación de Canal Mundo Producciones Audiovisuales, S.A., y con la asistencia letrada del Abogado don Javier López Gutiérrez, interpuso recurso de amparo contra la resolución judicial que se menciona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Por escrito registrado en este Tribunal el día 22 de mayo de 2009, la Procuradora de los Tribunales doña Gloria Rincón Mayoral, en nombre y representación de Televisión Autonómica Valenciana, S.A., y asistida por la Letrada doña María Jesús Villanueva Lázaro, interpuso igualmente recurso de amparo contra la resolución judicial que se menciona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3</w:t>
      </w:r>
      <w:r>
        <w:t>. Las demandas de amparo tienen su origen en los siguientes antecedentes:</w:t>
      </w:r>
    </w:p>
    <w:p w:rsidR="00D06117" w:rsidRDefault="00D06117" w:rsidP="00D06117">
      <w:pPr>
        <w:pStyle w:val="TextoNormal"/>
      </w:pPr>
    </w:p>
    <w:p w:rsidR="00D06117" w:rsidRDefault="00D06117" w:rsidP="00D06117">
      <w:pPr>
        <w:pStyle w:val="TextoNormal"/>
      </w:pPr>
      <w:r>
        <w:t>a) La periodista doña Lidia González Hermida, contratada por la productora Canal Mundo Producciones Audiovisuales, S.A., acudió a la consulta de doña Rosa María Fornés Tamarit, esteticista y naturista, haciéndose pasar por una paciente, por lo que fue atendida por ésta en la parte de su vivienda destinada a consulta, ocasión utilizada por la primera para grabar la voz y la imagen de la segunda por medio de una cámara oculta.</w:t>
      </w:r>
    </w:p>
    <w:p w:rsidR="00D06117" w:rsidRDefault="00D06117" w:rsidP="00D06117">
      <w:pPr>
        <w:pStyle w:val="TextoNormal"/>
      </w:pPr>
    </w:p>
    <w:p w:rsidR="00D06117" w:rsidRDefault="00D06117" w:rsidP="00D06117">
      <w:pPr>
        <w:pStyle w:val="TextoNormal"/>
      </w:pPr>
      <w:r>
        <w:t xml:space="preserve">b) Canal Mundo Producciones Audiovisuales, S.A., cedió la grabación obtenida a Televisión Autonómica Valenciana, S.A., que la emitió en el programa PVP de la cadena de televisión Canal 9, dirigido por don Javier Ángel Preciado de Cossío y presentado por doña Manuela Lacomba Ríos. Además de emitirse la grabación con las imágenes y la voz captada </w:t>
      </w:r>
      <w:r>
        <w:lastRenderedPageBreak/>
        <w:t>a doña Rosa María Fornés Tamarit, en el programa se desarrolló también una tertulia sobre la existencia de falsos profesionales que actúan en el mundo de la salud, con intervención de un representante de la asociación española de fisioterapeutas, el Letrado que había defendido los intereses de la misma en el proceso penal contra doña Rosa María Fornés Tamarit al que se hará mención a continuación, así como una paciente que había sido atendida en una ocasión por esta última. En la tertulia los intervinientes criticaron a doña Rosa María Fornés Tamarit, cuya imagen apareció en un ángulo de la pantalla, y pusieron de manifiesto la existencia, casi tres años antes de la grabación emitida, de una condena penal previa contra dicha persona por delito de intrusismo por haber actuado como fisioterapeuta sin ostentar título para ello.</w:t>
      </w:r>
    </w:p>
    <w:p w:rsidR="00D06117" w:rsidRDefault="00D06117" w:rsidP="00D06117">
      <w:pPr>
        <w:pStyle w:val="TextoNormal"/>
      </w:pPr>
    </w:p>
    <w:p w:rsidR="00D06117" w:rsidRDefault="00D06117" w:rsidP="00D06117">
      <w:pPr>
        <w:pStyle w:val="TextoNormal"/>
      </w:pPr>
      <w:r>
        <w:t>c) Considerando que los comentarios expresados en dicho programa de televisión lesionaban su derecho al honor y que la captación y publicación de sus imágenes dañaban su derecho a la propia imagen y a la intimidad, doña Rosa María Fornés Tamarit interpuso el 5 de febrero de 2001 ante el Juzgado de Primera Instancia núm. 17 de Valencia demanda de juicio ordinario contra doña Lidia González Hermida, Canal Mundo Producciones Audiovisuales, S.A., doña Manuela Lacomba Ríos, don Javier Ángel Preciado de Cossío y Televisión Autonómica Valenciana, S.A., interesando la condena de los demandados a la difusión íntegra en el programa de televisión Canal 9 de la sentencia que se fallase y a indemnizar solidariamente a doña Rosa María Fornés Tamarit por una cantidad de setenta y cinco millones de pesetas.</w:t>
      </w:r>
    </w:p>
    <w:p w:rsidR="00D06117" w:rsidRDefault="00D06117" w:rsidP="00D06117">
      <w:pPr>
        <w:pStyle w:val="TextoNormal"/>
      </w:pPr>
    </w:p>
    <w:p w:rsidR="00D06117" w:rsidRDefault="00D06117" w:rsidP="00D06117">
      <w:pPr>
        <w:pStyle w:val="TextoNormal"/>
      </w:pPr>
      <w:r>
        <w:t>El Juzgado de Primera Instancia núm. 17 de Valencia dictó Sentencia desestimando la demanda el 26 de junio de 2001. Declara el juzgador de instancia que la actuación desarrollada por la periodista mediante la cámara oculta se enmarca en el llamado periodismo de investigación, al que es consustancial la simulación de la situación, el carácter oculto de la cámara de grabación así como la no revelación de la identidad periodística del interlocutor. Por otra parte, las manifestaciones efectuadas por la presentadora del programa o por terceros en el curso del mismo no constituyen infracción de derecho alguna, pues era indudable el ánimo puramente informativo que inspiraba la emisión, vertiéndose datos ciertos y objetivos como la prosecución de actuaciones penales por delito de intrusismo frente a la actora que concluyeron en Sentencia firme condenatoria.</w:t>
      </w:r>
    </w:p>
    <w:p w:rsidR="00D06117" w:rsidRDefault="00D06117" w:rsidP="00D06117">
      <w:pPr>
        <w:pStyle w:val="TextoNormal"/>
      </w:pPr>
    </w:p>
    <w:p w:rsidR="00D06117" w:rsidRDefault="00D06117" w:rsidP="00D06117">
      <w:pPr>
        <w:pStyle w:val="TextoNormal"/>
      </w:pPr>
      <w:r>
        <w:t>d) Interpuesto recurso de apelación por doña Rosa María Fornés Tamarit, la Sección Sexta de la Audiencia Provincial de Valencia dictó, con fecha de 24 de enero de 2002, Sentencia desestimándolo y confirmando íntegramente la Sentencia recurrida. El Tribunal destaca que la doctrina de la información neutral, aducida por el juzgador de instancia resulta perfectamente aplicable a las declaraciones vertidas por los intervinientes del programa televisivo, las cuales resultan amparadas por el ejercicio de la libertad de expresión ante unos hechos veraces, y que en ningún momento se vierte manifestación alguna que pueda entenderse insultante o vejatoria contra el honor de la parte apelante. El Tribunal de apelación concluyó que el reportaje objeto de recurso reunía todos los requisitos necesarios (veracidad, objetividad, interés general y propósito esencialmente informativo) que permitían considerar que el informante había procedido dentro del ámbito protegido constitucionalmente sin atentar contra ningún derecho constitucionalmente amparado.</w:t>
      </w:r>
    </w:p>
    <w:p w:rsidR="00D06117" w:rsidRDefault="00D06117" w:rsidP="00D06117">
      <w:pPr>
        <w:pStyle w:val="TextoNormal"/>
      </w:pPr>
    </w:p>
    <w:p w:rsidR="00D06117" w:rsidRDefault="00D06117" w:rsidP="00D06117">
      <w:pPr>
        <w:pStyle w:val="TextoNormal"/>
      </w:pPr>
      <w:r>
        <w:t xml:space="preserve">e) La demandante interpuso recurso de casación, que fue tramitado con el núm. 1171-2002, alegando infracción del art. 18.1 CE en relación con el art. 7, apartados 1, 5 y 7, de la </w:t>
      </w:r>
      <w:r>
        <w:lastRenderedPageBreak/>
        <w:t>Ley Orgánica 1/1982, de 5 de mayo. Con fecha de 16 de enero de 2009, la Sala de lo Civil del Tribunal Supremo declaró haber lugar al recurso de casación. El Tribunal Supremo declaró que procedía estimar el recurso de apelación interpuesto por doña Rosa María Fornés Tamarit contra la Sentencia dictada por el Juzgado de Primera Instancia núm. 17 de Valencia con fecha 26 de junio de 2001, la cual quedó sin efecto, sin especial pronunciamiento sobre las costas de la segunda instancia y, en lugar de ella, estimó en parte la demanda interpuesta contra doña Lidia González Hermida, Canal Mundo Producciones Audiovisuales, S.A., don Javier Ángel Preciado de Cossío y Televisión Autonómica Valenciana, S.A., a los que se condenó solidariamente a indemnizar a doña Rosa María Fornés Tamarit en la suma de treinta mil cincuenta euros con sesenta y un céntimos, sin pronunciamiento condenatorio en costas, al tiempo que desestimaba la demanda en cuanto dirigida contra doña Manuela Lacomba Ríos, con imposición a la actora de las correspondientes costas.</w:t>
      </w:r>
    </w:p>
    <w:p w:rsidR="00D06117" w:rsidRDefault="00D06117" w:rsidP="00D06117">
      <w:pPr>
        <w:pStyle w:val="TextoNormal"/>
      </w:pPr>
    </w:p>
    <w:p w:rsidR="00D06117" w:rsidRDefault="00D06117" w:rsidP="00D06117">
      <w:pPr>
        <w:pStyle w:val="TextoNormal"/>
      </w:pPr>
      <w:r>
        <w:t>El Tribunal Supremo descarta la vulneración del derecho al honor, pero estima el motivo de casación basado en la infracción del derecho a la intimidad (art. 18.1 CE) sobre la base de que, al no mediar consentimiento expreso, exigible con arreglo al art. 2.2 en relación con el art. 7.1 de la Ley Orgánica 1/1982, de 5 de mayo, la intromisión fue ilegítima. La Sentencia de casación señala que las intromisiones ilegítimas se produjeron en dos planos distintos: la grabación de la actuación de la actora en su consulta, y la emisión televisiva de las imágenes grabadas. El Tribunal Supremo no discute que el reportaje fuera plenamente veraz ni tampoco el interés general en informar de los riesgos del intrusismo profesional, pero estima que tales datos no eran suficientes para resolver el conflicto entre el derecho a la intimidad y la libertad de información. El Tribunal destaca que del reportaje no resulta con suficiente claridad que la actora ejerciera sin título la condición de fisioterapeuta; tampoco se aclara por qué fue ella la persona elegida para dar un ejemplo público de una práctica inadmisible, sin que la condena anterior bastara a tal efecto. Considera igualmente que el material obtenido y difundido públicamente carecía de la relevancia necesaria para justificar el sacrificio de un derecho fundamental imprescindible en la vida de relación, y que el método utilizado para consumar la primera fase de la intromisión —la llamada cámara oculta— no era imprescindible para descubrir la verdad de lo que acontecía en la consulta de la actora, habiendo bastado a tal efecto con realizar entrevistas a sus clientes.</w:t>
      </w:r>
    </w:p>
    <w:p w:rsidR="00D06117" w:rsidRDefault="00D06117" w:rsidP="00D06117">
      <w:pPr>
        <w:pStyle w:val="TextoNormal"/>
      </w:pPr>
    </w:p>
    <w:p w:rsidR="00D06117" w:rsidRDefault="00D06117" w:rsidP="00D06117">
      <w:pPr>
        <w:pStyle w:val="TextoNormal"/>
      </w:pPr>
      <w:r>
        <w:t>El Tribunal Supremo estima asimismo el motivo de casación basado en la infracción del derecho a la propia imagen (art. 18.1 CE), en cuanto que la demandante en casación fue privada, tanto en el momento de la grabación como en el de la emisión televisiva, del derecho a decidir, para consentirla o impedirla, sobre la reproducción de la representación de su aspecto físico determinante de una plena identificación. Por otro lado, en cuanto que el reportaje se centró en la persona de la demandante, incluso emitiendo su imagen durante las manifestaciones de los invitados, la convirtió en elemento fundamental de la información, no cabe entender que se grabara y publicara una imagen meramente accesoria de la información a los efectos del apartado segundo del art. 8.2 c) de la Ley Orgánica 1/1982.</w:t>
      </w:r>
    </w:p>
    <w:p w:rsidR="00D06117" w:rsidRDefault="00D06117" w:rsidP="00D06117">
      <w:pPr>
        <w:pStyle w:val="TextoNormal"/>
      </w:pPr>
    </w:p>
    <w:p w:rsidR="00D06117" w:rsidRDefault="00D06117" w:rsidP="00D06117">
      <w:pPr>
        <w:pStyle w:val="TextoNormal"/>
      </w:pPr>
      <w:r>
        <w:t xml:space="preserve">f) Con fecha de 14 de abril de 2009 el Tribunal Supremo declaró no haber lugar al incidente de nulidad de actuaciones planteado por Canal Mundo Producciones Audiovisuales, S.A., y por Televisión Autonómica Valenciana, S.A., mediante sendos escritos de 10 y 16 de marzo de 2009, respectivamente, razonando que la petición de nulidad no tenía más fundamento que mostrar su disconformidad con los razonamientos de la Sentencia, cuestionando bajo la denuncia de la infracción del art. 20.1 d) CE referido al derecho a la libertad </w:t>
      </w:r>
      <w:r>
        <w:lastRenderedPageBreak/>
        <w:t>de información, el juicio de ponderación y proporcionalidad realizado entre aquel derecho y los derechos a la intimidad y a la propia imagen.</w:t>
      </w:r>
    </w:p>
    <w:p w:rsidR="00D06117" w:rsidRDefault="00D06117" w:rsidP="00D06117">
      <w:pPr>
        <w:pStyle w:val="TextoNormal"/>
      </w:pPr>
    </w:p>
    <w:p w:rsidR="00D06117" w:rsidRDefault="00D06117" w:rsidP="00D06117">
      <w:pPr>
        <w:pStyle w:val="TextoNormal"/>
      </w:pPr>
      <w:r w:rsidRPr="00D06117">
        <w:rPr>
          <w:rStyle w:val="NumeroAFNegritaCaracter"/>
        </w:rPr>
        <w:t>4</w:t>
      </w:r>
      <w:r>
        <w:t>. Canal Mundo Producciones Audiovisuales, S.A., aduce en su demanda de amparo la vulneración del derecho a comunicar libremente información veraz del art. 20.1 d) CE, por cuanto la Sentencia del Tribunal Supremo desatendió los criterios de ponderación y proporcionalidad tradicionalmente admitidos por la jurisprudencia del Tribunal Constitucional y del Tribunal Europeo de Derechos Humanos como legitimadores del derecho a la libertad de información frente a los derechos a la intimidad y a la propia imagen. Invoca la prevalencia del derecho a informar frente a los derechos individuales de la persona, en particular frente a los derechos a la intimidad personal y a la propia imagen (art. 18.1 CE). Sostiene que el empleo de cámara oculta no puede limitar per se el derecho a informar del art. 20.1 d) CE. Lo que por el contrario determina la licitud o ilicitud de la utilización de la cámara oculta es la concurrencia de los requisitos señalados por la jurisprudencia constitucional y europea: veracidad, interés general y fin informativo. La productora recurrente alega que el reportaje de investigación producido informó verazmente sobre un problema social que interesa sobremanera por afectar a algo tan básico y esencial como son la salud y los fraudes que en su nombre se cometen, y que no afectó a la intimidad de la persona grabada, en cuanto que el reportaje reprodujo lo que aquella voluntariamente comunicó a la que creía su paciente, no versó en ningún momento sobre cuestiones relacionadas con la intimidad de la actora, y tuvo lugar en la parte de la vivienda destinada a consulta. La recurrente aduce que la Sentencia del Tribunal Supremo genera una situación de inseguridad jurídica a todos aquellos operadores que emplean la técnica de la cámara oculta para la producción de reportajes de investigación en televisión.</w:t>
      </w:r>
    </w:p>
    <w:p w:rsidR="00D06117" w:rsidRDefault="00D06117" w:rsidP="00D06117">
      <w:pPr>
        <w:pStyle w:val="TextoNormal"/>
      </w:pPr>
    </w:p>
    <w:p w:rsidR="00D06117" w:rsidRDefault="00D06117" w:rsidP="00D06117">
      <w:pPr>
        <w:pStyle w:val="TextoNormal"/>
      </w:pPr>
      <w:r w:rsidRPr="00D06117">
        <w:rPr>
          <w:rStyle w:val="NumeroAFNegritaCaracter"/>
        </w:rPr>
        <w:t>5</w:t>
      </w:r>
      <w:r>
        <w:t>. Televisión Autonómica Valenciana, S.A., alega en su demanda de amparo la vulneración del derecho a comunicar o recibir libremente información veraz por cualquier medio de comunicación consagrado en el art. 20.1 d) CE, por cuanto la Sentencia del Tribunal Supremo realizó una errónea ponderación al analizar los derechos a la intimidad y a la imagen, por un lado, y el derecho a la información, por otro. En cuanto a la ponderación relativa al derecho a la intimidad, la recurrente subraya que la Sentencia recurrida en amparo reconoció la veracidad y el interés general del reportaje, así como la inexistencia de lesión en el derecho al honor de la actora. En cambio, los motivos en los que se basa la Sentencia recurrida (que la periodista no recabó el consentimiento para su grabación, que la relación entre actora y periodista se desarrolló en un ámbito indudablemente privado, y que la cámara no era necesaria para descubrir la verdad de lo que acontecía en la consulta de la actora) no cuentan con el apoyo de la doctrina constitucional o se apartan de la jurisprudencia del Tribunal Europeo de Derechos Humanos: por un lado, con la exigencia de consentimiento se estaría negándose el periodismo de investigación, el cual viene avalado por la jurisprudencia del Tribunal Europeo; por otro, con cita de la Sentencia del Tribunal Europeo de Derechos Humanos de 23 de septiembre de 1994 (Jersild c. Dinamarca), aduce que la decisión de la técnica de información corresponde a los periodistas. Igualmente considera que se apartan de la doctrina constitucional el motivo por el que se apreció la vulneración del derecho a la propia imagen: a saber, que la actora fue identificada por sus rasgos físicos durante la emisión del reportaje, sin que se recabara su consentimiento.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La Sala Primera del Tribunal Constitucional, por sendas providencias de 15 de noviembre de 2010, acordó admitir a trámite las demandas de amparo. Asimismo, en ambas providencias, en aplicación de lo dispuesto en el art. 51 de la Ley Orgánica del Tribunal Constitucional (LOTC), se acordó dirigir atenta comunicación a la Sala de lo Civil del Tribunal Supremo, a la Sección Sexta de la Audiencia Provincial de Valencia y al Juzgado de Primera Instancia núm. 17 de Valencia, a fin de que, en plazo que no exceda de diez días, remitieran respectivamente certificación o fotocopia adverada de las actuaciones correspondientes al recurso de casación 1171-2002, al rollo de apelación 579-2001 y al juicio declarativo ordinario 100-2001.</w:t>
      </w:r>
    </w:p>
    <w:p w:rsidR="00D06117" w:rsidRDefault="00D06117" w:rsidP="00D06117">
      <w:pPr>
        <w:pStyle w:val="TextoNormal"/>
      </w:pPr>
    </w:p>
    <w:p w:rsidR="00D06117" w:rsidRDefault="00D06117" w:rsidP="00D06117">
      <w:pPr>
        <w:pStyle w:val="TextoNormal"/>
      </w:pPr>
      <w:r w:rsidRPr="00D06117">
        <w:rPr>
          <w:rStyle w:val="NumeroAFNegritaCaracter"/>
        </w:rPr>
        <w:t>7</w:t>
      </w:r>
      <w:r>
        <w:t>. Posteriormente, mediante dos diligencias de ordenación de la Secretaría de Justicia de la Sala Primera de este Tribunal, de fecha 25 de enero de 2011 (recurso de amparo núm. 4829-2009) y 7 de febrero de 2011 (recurso de amparo núm. 4821-2009), se tuvo por recibido testimonio de las actuaciones remitidas por el Juzgado de Primera Instancia núm. 17 de Valencia, la Sección Sexta de la Audiencia Provincial de Valencia y la Sala de lo Civil del Tribunal Supremo y, a tenor de lo dispuesto en el art. 52 LOTC, se dio vista de las actuaciones, por un plazo común de veinte días, al Ministerio Fiscal y a las partes personadas, para que dentro de dicho término pudieran presentar las alegaciones que a su derecho convinieran. En la misma diligencia de ordenación de 7 de febrero de 2011, la Secretaría de Justicia de la Sala Primera de este Tribunal se tuvo por designado para la defensa de Canal Mundo Producciones Audiovisuales, S.A., al Letrado don Juan Luis Ortega Peña.</w:t>
      </w:r>
    </w:p>
    <w:p w:rsidR="00D06117" w:rsidRDefault="00D06117" w:rsidP="00D06117">
      <w:pPr>
        <w:pStyle w:val="TextoNormal"/>
      </w:pPr>
    </w:p>
    <w:p w:rsidR="00D06117" w:rsidRDefault="00D06117" w:rsidP="00D06117">
      <w:pPr>
        <w:pStyle w:val="TextoNormal"/>
      </w:pPr>
      <w:r w:rsidRPr="00D06117">
        <w:rPr>
          <w:rStyle w:val="NumeroAFNegritaCaracter"/>
        </w:rPr>
        <w:t>8</w:t>
      </w:r>
      <w:r>
        <w:t>. Canal Mundo Producciones Audiovisuales, S.A., y Televisión Autonómica Valenciana, S.A., por sendos escritos de 10 y 22 de febrero de 2011, se afirmaron y ratificaron en las argumentaciones contenidas en los respectivos recursos de amparo formulados en su día.</w:t>
      </w:r>
    </w:p>
    <w:p w:rsidR="00D06117" w:rsidRDefault="00D06117" w:rsidP="00D06117">
      <w:pPr>
        <w:pStyle w:val="TextoNormal"/>
      </w:pPr>
    </w:p>
    <w:p w:rsidR="00D06117" w:rsidRDefault="00D06117" w:rsidP="00D06117">
      <w:pPr>
        <w:pStyle w:val="TextoNormal"/>
      </w:pPr>
      <w:r w:rsidRPr="00D06117">
        <w:rPr>
          <w:rStyle w:val="NumeroAFNegritaCaracter"/>
        </w:rPr>
        <w:t>9</w:t>
      </w:r>
      <w:r>
        <w:t>. El Ministerio Fiscal, por escritos registrados los días 3 (recurso de amparo núm. 4829-2009) y 8 (recurso de amparo núm. 4821-2009) de marzo de 2011, interesó que se desestimaran los amparos. A su juicio el objeto de los amparos solicitados se ciñe a examinar desde el plano constitucional si se vulneró el derecho fundamental a la libertad de información del art. 20.1 d) CE en su relación con el derecho a la intimidad, por un lado, y al derecho a la propia imagen, por otro, derechos ambos reconocidos en el art. 18.1 CE con un contenido propio y específico cada uno. Las alegaciones preliminares del Ministerio Fiscal comienzan en ambos escritos por enmarcar el conflicto entre libertad de información y derecho a la intimidad. Si bien ocupa una posición especial en nuestro sistema de derechos fundamentales, se recuerda que la libertad de información no goza de un valor preferente o superior frente a otros derechos fundamentales y que las intromisiones en otros derechos fundamentales han de guardar congruencia con la finalidad pretendida. Mientras los criterios de veracidad o la teoría del reportaje neutral no son relevantes para el enjuiciamiento del caso, sí lo es a juicio del Ministerio Fiscal el criterio de la relevancia pública de la información captada y emitida, relevancia que no debe ser confundida con el simple interés del público o con la simple satisfacción de la curiosidad ajena.</w:t>
      </w:r>
    </w:p>
    <w:p w:rsidR="00D06117" w:rsidRDefault="00D06117" w:rsidP="00D06117">
      <w:pPr>
        <w:pStyle w:val="TextoNormal"/>
      </w:pPr>
    </w:p>
    <w:p w:rsidR="00D06117" w:rsidRDefault="00D06117" w:rsidP="00D06117">
      <w:pPr>
        <w:pStyle w:val="TextoNormal"/>
      </w:pPr>
      <w:r>
        <w:t xml:space="preserve">En los dos escritos presentados estima el Ministerio Fiscal que en el presente caso adquiere una singular importancia la forma de obtención de la información mediante el empleo de una cámara oculta: “El carácter oculto que caracteriza a este medio impide que la persona </w:t>
      </w:r>
      <w:r>
        <w:lastRenderedPageBreak/>
        <w:t>que está siendo grabada pueda ejercer su legítimo poder de exclusión frente a dicha grabación, oponiéndose a su realización y posterior publicación, pues el contexto secreto y clandestino se mantiene hasta el mismo momento de la emisión y publicitación televisiva de lo grabado, escenificándose con ello una situación que, en su origen, responde a una previa provocación del periodista interviniente, verdadero motor de la noticia”. Señala que en estas condiciones no puede afirmarse que mediase consentimiento expreso, válido y eficaz para la grabación ni para su posterior emisión en un medio televisivo: la autorización de acceso al domicilio se limita a ese concreto aspecto y no excluye, por tanto, la existencia de intromisión en la esfera de intimidad de la persona grabada.</w:t>
      </w:r>
    </w:p>
    <w:p w:rsidR="00D06117" w:rsidRDefault="00D06117" w:rsidP="00D06117">
      <w:pPr>
        <w:pStyle w:val="TextoNormal"/>
      </w:pPr>
    </w:p>
    <w:p w:rsidR="00D06117" w:rsidRDefault="00D06117" w:rsidP="00D06117">
      <w:pPr>
        <w:pStyle w:val="TextoNormal"/>
      </w:pPr>
      <w:r>
        <w:t>A juicio del Fiscal, son constitucionalmente válidos y avalan la corrección del juicio de ponderación los argumentos que utiliza el Tribunal de casación para sostener la irrelevancia pública del material obtenido y difundido y, por tanto, la ilegitimidad de la intromisión en la esfera de la intimidad. Dada la singular capacidad de intromisión de la “cámara oculta”, para legitimar una intromisión en el derecho a la intimidad no basta un interés público in genere, sino que sería necesaria una especial relevancia pública o general en la temática objeto de la noticia o en su tratamiento periodístico. En el presente caso la finalidad de denuncia de una práctica socialmente reprobable aparece debilitada y difuminada desde el momento en que el reportaje centra su atención en la actuación de la persona objeto de la grabación, personalizando la finalidad de denuncia que pierde así su vocación o carácter general, sin que del reportaje pudiera concluirse de forma terminante que la persona objeto de la grabación estuviera claramente llevando a cabo una práctica de intrusismo. A ello se añade que la información obtenida mediante la grabación tenía un escaso interés informativo y no guardaba correspondencia con la finalidad de denuncia que alega la parte recurrente. El Fiscal considera inaceptable por simplista la equiparación entre utilización de cámara oculta y periodismo de investigación, y estima que en el tratamiento de la noticia primaron “otros aspectos ajenos a ese fin más propios de una información superficial caracterizada por una cierta banalización y trivialización en la exposición de los temas noticiables o con una finalidad meramente polemista, más propia del mantenimiento de cuotas de pantalla que de la consecución de fines democráticamente relevantes como el de la formación de una opinión pública libre”.</w:t>
      </w:r>
    </w:p>
    <w:p w:rsidR="00D06117" w:rsidRDefault="00D06117" w:rsidP="00D06117">
      <w:pPr>
        <w:pStyle w:val="TextoNormal"/>
      </w:pPr>
    </w:p>
    <w:p w:rsidR="00D06117" w:rsidRDefault="00D06117" w:rsidP="00D06117">
      <w:pPr>
        <w:pStyle w:val="TextoNormal"/>
      </w:pPr>
      <w:r>
        <w:t>El Fiscal rechaza la tesis de los dos recurrentes en amparo según la cual corresponde a los profesionales de la información decidir qué fuentes y qué medios técnicos pueden utilizarse, ya que conduciría a una situación de franca desprotección de los terceros. En los dos escritos presentados sostiene que tanto la idoneidad como la necesidad del medio o medios elegidos por dichos profesionales son susceptibles de control constitucional, más aun tratándose de una cámara oculta, señalando al respecto lo siguiente: “El carácter altamente injerente de la ‘cámara oculta’ hace que su utilización deba considerarse como un recurso técnico de última instancia (ultima ratio) sólo admisible cuando el registro periodístico no pueda obtenerse por otros medios y siempre que concurra un interés general altamente relevante o cualificado”, circunstancias que no concurrían en el presente caso.</w:t>
      </w:r>
    </w:p>
    <w:p w:rsidR="00D06117" w:rsidRDefault="00D06117" w:rsidP="00D06117">
      <w:pPr>
        <w:pStyle w:val="TextoNormal"/>
      </w:pPr>
    </w:p>
    <w:p w:rsidR="00D06117" w:rsidRDefault="00D06117" w:rsidP="00D06117">
      <w:pPr>
        <w:pStyle w:val="TextoNormal"/>
      </w:pPr>
      <w:r>
        <w:t xml:space="preserve">En ambos escritos el Fiscal estima que debe igualmente descartarse el motivo de amparo por vulneración del derecho a la libertad de información en su relación con el derecho a la propia imagen. La obtención de la imagen de la persona objeto de la grabación y su posterior cesión para su difusión en el programa televisivo se hizo sin contar con su consentimiento expreso en ambos momentos. Además, la ulterior difusión de las imágenes grabadas durante </w:t>
      </w:r>
      <w:r>
        <w:lastRenderedPageBreak/>
        <w:t>el programa televisivo permitió la plena identificación de la actora, al no utilizarse ninguna técnica que permitiera ocultar, distorsionar o difuminar su imagen hasta hacerla irreconocible. Más aún, durante la emisión del programa se utilizaron técnicas que atraían la atención de los televidentes hacia la imagen de la actora, colocándola en un plano principal o protagonista durante la emisión del programa.</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dos diligencias de ordenación de fecha 29 de septiembre de 2011 de la Secretaría de Justicia de la Sala Primera de este Tribunal, se concedió un plazo común de diez días al Ministerio Fiscal y a las Procuradoras doña María Luisa Montero Correal y doña Gloria Rincón Mayoral, para que dentro de dicho término y de conformidad con el art. 83 LOTC, alegasen lo que estimaren pertinente en relación con la posible acumulación del recurso de amparo núm. 4829-2009 al tramitado con el núm. 4821-2009.</w:t>
      </w:r>
    </w:p>
    <w:p w:rsidR="00D06117" w:rsidRDefault="00D06117" w:rsidP="00D06117">
      <w:pPr>
        <w:pStyle w:val="TextoNormal"/>
      </w:pPr>
    </w:p>
    <w:p w:rsidR="00D06117" w:rsidRDefault="00D06117" w:rsidP="00D06117">
      <w:pPr>
        <w:pStyle w:val="TextoNormal"/>
      </w:pPr>
      <w:r>
        <w:t>Mediante escrito con fecha de 24 de octubre de 2011 el Fiscal ante el Tribunal Constitucional, en la representación que ostenta, declaró no oponerse a la acumulación del recurso de amparo núm. 4829-2009 al recurso núm. 4821-2009. Igualmente, mediante sendos escritos de 11 y 17 de octubre de 2011, respectivamente, la Procuradora de los Tribunales doña María Luisa Montero Correal y la Procuradora de los Tribunales doña Gloria Rincón Mayoral mostraron su conformidad con la acumulación al recurso de amparo núm. 4821-2009 del seguido bajo el núm. 4829-2009.</w:t>
      </w:r>
    </w:p>
    <w:p w:rsidR="00D06117" w:rsidRDefault="00D06117" w:rsidP="00D06117">
      <w:pPr>
        <w:pStyle w:val="TextoNormal"/>
      </w:pPr>
    </w:p>
    <w:p w:rsidR="00D06117" w:rsidRDefault="00D06117" w:rsidP="00D06117">
      <w:pPr>
        <w:pStyle w:val="TextoNormal"/>
      </w:pPr>
      <w:r>
        <w:t>Por Auto de fecha 21 de noviembre de 2011, la Sala Primera de este Tribunal acordó la acumulación del recurso de amparo más moderno al más antiguo para su resolución conjunta.</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26 de enero de 2012 se señaló para deliberación y fallo de la Sentencia el día 30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Como ha quedado expuesto en los antecedentes, las presentes demandas de amparo tienen por objeto la impugnación de la Sentencia de la Sala de lo Civil del Tribunal Supremo de 16 de enero de 2009, recaída en recurso de casación núm. 1171-2002. Los recurrentes aducen la vulneración por la Sala de lo Civil del Tribunal Supremo del art. 20.1 d) CE, en su concreción de derecho a comunicar libremente información veraz, en cuanto que la Sentencia recurrida desatendió los criterios de ponderación y proporcionalidad tradicionalmente admitidos por la jurisprudencia del Tribunal Constitucional y del Tribunal Europeo de Derechos Humanos como legitimadores del derecho a la libertad de información frente a los derechos a la intimidad y a la propia imagen. El Ministerio Fiscal interesa la desestimación del amparo solicitado.</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La controversia planteada en los presentes recursos de amparo atañe, en sentido estricto, al conflicto entre la libertad de comunicar información veraz de un medio de comunicación y los derechos fundamentales a la intimidad personal y a la propia imagen de la esteticista/naturista que fue objeto de grabación mediante una cámara oculta en su propio gabinete profesional por quien se hizo pasar por cliente interesado en sus servicios. No entra </w:t>
      </w:r>
      <w:r>
        <w:lastRenderedPageBreak/>
        <w:t>aquí en cuestión su derecho al honor, que no ha sido declarado vulnerado por ninguna de las tres instancias judiciales que han conocido de la controversia, en cuanto que no se han vertido expresiones ofensivas o ultrajantes durante el programa televisivo. En suma, el objeto de los presentes recursos de amparo consiste en resolver si, en la ponderación de los mencionados derechos fundamentales en juego, la Sentencia de la Sala de lo Civil del Tribunal Supremo vulneró el art. 20.1 d) CE en su concreción de derecho a la libertad de información. Para ello debemos partir de nuestra doctrina reiterada, que hemos recordado recientemente en la STC 23/2010, de 27 de abril, FJ 2, según la cual, ante quejas de esta naturaleza, “la competencia de este Tribunal no se circunscribe a examinar la suficiencia y consistencia de la motivación de las resoluciones judiciales bajo el prisma del art. 24 CE”, sino que, por el contrario, en su condición de garante máximo de los derechos fundamentales, el Tribunal Constitucional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independientemente de que sí le vinculen los hechos declarados probados en la vía judicial [art. 44.1 b) de la Ley Orgánica del Tribunal Constitucional (LOTC)].</w:t>
      </w:r>
    </w:p>
    <w:p w:rsidR="00D06117" w:rsidRDefault="00D06117" w:rsidP="00D06117">
      <w:pPr>
        <w:pStyle w:val="TextoNormal"/>
      </w:pPr>
    </w:p>
    <w:p w:rsidR="00D06117" w:rsidRDefault="00D06117" w:rsidP="00D06117">
      <w:pPr>
        <w:pStyle w:val="TextoNormal"/>
      </w:pPr>
      <w:r w:rsidRPr="00D06117">
        <w:rPr>
          <w:rStyle w:val="NumeroAFNegritaCaracter"/>
        </w:rPr>
        <w:t>3</w:t>
      </w:r>
      <w:r>
        <w:t>. Para el análisis de la posible lesión del derecho a la libertad de información resulta oportuno recordar las líneas generales de la doctrina de este Tribunal dictada en procesos de amparo en los que nos ha correspondido realizar el necesario juicio de ponderación entre el citado derecho fundamental y los derechos fundamentales a la intimidad personal y a la propia imagen (art. 18.1 CE), o con uno de dichos derechos. Comenzaremos sintetizando la doctrina constitucional sobre el contenido de la libertad de información, por un lado, y de los derechos a la intimidad y a la propia imagen, por otro, para posteriormente exponer nuestro canon de enjuiciamiento sobre los eventuales conflictos entre dichos derechos. Canon que a continuación proyectaremos sobre este caso particular donde por primera vez debemos abordar las singularidades del uso de una cámara oculta de grabación videográfica como medio de intromisión en un reducto privado donde se registra de forma íntegra la imagen, voz y la forma de conducirse en una conversación mantenida en un espacio de la actividad profesional de la afectada.</w:t>
      </w:r>
    </w:p>
    <w:p w:rsidR="00D06117" w:rsidRDefault="00D06117" w:rsidP="00D06117">
      <w:pPr>
        <w:pStyle w:val="TextoNormal"/>
      </w:pPr>
    </w:p>
    <w:p w:rsidR="00D06117" w:rsidRDefault="00D06117" w:rsidP="00D06117">
      <w:pPr>
        <w:pStyle w:val="TextoNormal"/>
      </w:pPr>
      <w:r w:rsidRPr="00D06117">
        <w:rPr>
          <w:rStyle w:val="NumeroAFNegritaCaracter"/>
        </w:rPr>
        <w:t>4</w:t>
      </w:r>
      <w:r>
        <w:t>. Como hemos señalado reiteradamente, la especial posición que ostenta el derecho a la libertad de información en nuestro Ordenamiento reside en que “no sólo se protege un interés individual sino que su tutela entraña el reconocimiento y garantía de la posibilidad de existencia de una opinión pública libre, indisolublemente unida al pluralismo político propio del Estado democrático” (STC 68/2008, de 23 de junio, FJ 3). Sin embargo, tal protección especial queda sometida a determinados límites tanto inmanentes como externos que este Tribunal ha ido perfilando progresivamente. Entre los límites inmanentes se encuentran los requisitos de veracidad y de interés general o relevancia pública de la información (SSTC 68/2008, FJ 3; y 129/2009, de 1 de junio, FJ 2); en ausencia de los dos mencionados requisitos decae el respaldo constitucional de la libertad de información. Por otro lado, como límites externos el derecho a la información se sitúan los derechos específicamente enunciados en el art. 20.4 CE.</w:t>
      </w:r>
    </w:p>
    <w:p w:rsidR="00D06117" w:rsidRDefault="00D06117" w:rsidP="00D06117">
      <w:pPr>
        <w:pStyle w:val="TextoNormal"/>
      </w:pPr>
    </w:p>
    <w:p w:rsidR="00D06117" w:rsidRDefault="00D06117" w:rsidP="00D06117">
      <w:pPr>
        <w:pStyle w:val="TextoNormal"/>
      </w:pPr>
      <w:r>
        <w:t>En cuanto a la relevancia pública de la información, este Tribunal ha subrayado que dado que la protección constitucional se ciñe a la transmisión de hechos “noticiables” por su im</w:t>
      </w:r>
      <w:r>
        <w:lastRenderedPageBreak/>
        <w:t>portancia o relevancia social para contribuir a la formación de la opinión pública, tales hechos deben versar sobre aspectos conectados a la proyección pública de la persona a la que se refiere, o a las características del hecho en que esa persona se haya visto involucrada. De manera que, “sólo tras haber constatado la concurrencia de estas circunstancias resulta posible afirmar que la información de que se trate está especialmente protegida por ser susceptible de encuadrarse dentro del espacio que a una prensa libre debe ser asegurado en un sistema democrático” (STC 29/2009, de 26 de enero, FJ 4). Igualmente, el Tribunal Europeo de Derechos Humanos ha destacado que el factor decisivo en la ponderación entre la protección de la vida privada y la libertad de expresión estriba en la contribución que la información publicada realice a un debate de interés general, sin que la satisfacción de la curiosidad de una parte del público en relación con detalles de la vida privada de una persona pueda considerarse contribución a tal efecto (por todas, STEDH de 24 de junio de 2004, Von Hannover c. Alemania, §§ 65 y 76).</w:t>
      </w:r>
    </w:p>
    <w:p w:rsidR="00D06117" w:rsidRDefault="00D06117" w:rsidP="00D06117">
      <w:pPr>
        <w:pStyle w:val="TextoNormal"/>
      </w:pPr>
    </w:p>
    <w:p w:rsidR="00D06117" w:rsidRDefault="00D06117" w:rsidP="00D06117">
      <w:pPr>
        <w:pStyle w:val="TextoNormal"/>
      </w:pPr>
      <w:r w:rsidRPr="00D06117">
        <w:rPr>
          <w:rStyle w:val="NumeroAFNegritaCaracter"/>
        </w:rPr>
        <w:t>5</w:t>
      </w:r>
      <w:r>
        <w:t>. En el presente caso la ponderación debe efectuarse respecto a la afectación de los derechos fundamentales a la intimidad personal y a la propia imagen, derechos que la Sentencia impugnada estimó vulnerados por la entidad demandante. Ha de recordarse que los derechos fundamentales a la intimidad personal y a la propia imagen, al igual que el derecho al honor reconocido en el mismo precepto constitucional, tienen sustantividad y contenido propio en nuestro ordenamiento, de modo que ninguno queda subsumido en el otro (SSTC 81/2001, de 26 de marzo, FJ 2, y 156/2001, de 2 de julio, FJ 3). Por ello, una determinada forma de captación de la información, o de presentación de la misma, puede llegar a producir al mismo tiempo tanto una intromisión ilegítima en la intimidad como una vulneración del derecho a la propia imagen o, incluso, una lesión al derecho al honor, o bien puede afectar únicamente a alguno de ellos. Así, en el presente caso, la dimensión lesiva de la conducta se proyecta sobre el derecho a la intimidad y el derecho a la propia imagen, sin que se ponga en cuestión la posible afección del derecho al honor, porque lo que cobra relieve aquí no es el contenido estricto de la información obtenida, sino cómo se ha recogido y registrado mediante videograbación subrepticia, y el lugar donde se ha llevado a cabo, el reducto reservado de una consulta profesional.</w:t>
      </w:r>
    </w:p>
    <w:p w:rsidR="00D06117" w:rsidRDefault="00D06117" w:rsidP="00D06117">
      <w:pPr>
        <w:pStyle w:val="TextoNormal"/>
      </w:pPr>
    </w:p>
    <w:p w:rsidR="00D06117" w:rsidRDefault="00D06117" w:rsidP="00D06117">
      <w:pPr>
        <w:pStyle w:val="TextoNormal"/>
      </w:pPr>
      <w:r>
        <w:t>En relación con el derecho a la intimidad, este Tribunal ha reiterado que se funda en la necesidad de garantizar “la existencia de un ámbito propio y reservado frente a la acción y conocimiento de los demás, necesario, según las pautas de nuestra cultura, para mantener una calidad mínima de la vida humana, que puede ceder ante la prevalencia de otros derechos, como el derecho a la información cuando se refiera a hechos con relevancia pública, en el sentido de noticiables, y a que dicha información sea veraz” (STC 77/2009, de 23 de marzo, FJ 2). Con unos u otros términos, nuestra doctrina constitucional insiste en que el derecho a la intimidad atribuye a su titular “el poder de resguardar ese ámbito reservado por el individuo para sí y su familia de una publicidad no querida” (entre otras, SSTC 231/1988, de 2 de diciembre, FJ 3; 236/2007, de 7 de noviembre, FJ 11; y 60/2010, de 7 de octubre, FJ 8), y, en consecuencia, “el poder jurídico de imponer a terceros el deber de abstenerse de toda intromisión en la esfera íntima y la prohibición de hacer uso de lo así conocido” (entre otras, SSTC196/2004, de 15 de noviembre, FJ 2; 206/2007, de 24 de septiembre, FJ 5; y 70/2009, de 23 de marzo, FJ 2).</w:t>
      </w:r>
    </w:p>
    <w:p w:rsidR="00D06117" w:rsidRDefault="00D06117" w:rsidP="00D06117">
      <w:pPr>
        <w:pStyle w:val="TextoNormal"/>
      </w:pPr>
    </w:p>
    <w:p w:rsidR="00D06117" w:rsidRDefault="00D06117" w:rsidP="00D06117">
      <w:pPr>
        <w:pStyle w:val="TextoNormal"/>
      </w:pPr>
      <w:r>
        <w:t xml:space="preserve">La intimidad protegida por el art. 18.1 CE no se reduce necesariamente a la que se desarrolla en un ámbito doméstico o privado. El Tribunal Europeo de Derechos Humanos ha </w:t>
      </w:r>
      <w:r>
        <w:lastRenderedPageBreak/>
        <w:t>señalado que sería muy restrictivo limitar la noción de vida privada protegida por el art. 8.1 del Convenio europeo para la protección de los derechos humanos y de las libertades fundamentales a un “círculo íntimo” en el que el individuo puede conducir su vida personal a su manera y excluir plenamente el mundo exterior no incluido en este círculo. No puede desconocerse que también en otros ámbitos, y en particular en el relacionado con el trabajo o la profesión, se desarrollan relaciones interpersonales, vínculos o actuaciones que pueden constituir manifestación de la vida privada (STEDH de 16 de diciembre de 1992, Niemietz c. Alemania, § 29; doctrina reiterada en las SSTEDH de 4 de mayo de 2000, Rotaru c. Rumania, § 43, y de 27 de julio de 2004, Sidabras y Džiautas c. Lituania, § 44). La protección de la vida privada en el ámbito del Convenio Europeo de Derechos Humanos, en suma, se extiende más allá del círculo familiar privado y puede alcanzar también a otros ámbitos de interacción social (SSTEDH de 16 de diciembre de 1992, Niemietz c. Alemania, § 29; de 22 de febrero de 1994, Burghartz c. Suiza, § 24; y de 24 de junio de 2004, Von Hannover c. Alemania, § 69).</w:t>
      </w:r>
    </w:p>
    <w:p w:rsidR="00D06117" w:rsidRDefault="00D06117" w:rsidP="00D06117">
      <w:pPr>
        <w:pStyle w:val="TextoNormal"/>
      </w:pPr>
    </w:p>
    <w:p w:rsidR="00D06117" w:rsidRDefault="00D06117" w:rsidP="00D06117">
      <w:pPr>
        <w:pStyle w:val="TextoNormal"/>
      </w:pPr>
      <w:r>
        <w:t>Un criterio a tener en cuenta para determinar cuándo nos encontramos ante manifestaciones de la vida privada protegible frente a intromisiones ilegítimas es el de las expectativas razonables que la propia persona, o cualquier otra en su lugar en esa circunstancia, pueda tener de encontrarse al resguardo de la observación o del escrutinio ajeno. Así por ejemplo cuando se encuentra en un paraje inaccesible o en un lugar solitario debido a la hora del día, puede conducirse con plena espontaneidad en la confianza fundada de la ausencia de observadores. Por el contrario,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P.G. y J.H. c. Reino Unido, § 57, y de 28 de enero de 2003, Peck c. Reino Unido, § 58).</w:t>
      </w:r>
    </w:p>
    <w:p w:rsidR="00D06117" w:rsidRDefault="00D06117" w:rsidP="00D06117">
      <w:pPr>
        <w:pStyle w:val="TextoNormal"/>
      </w:pPr>
    </w:p>
    <w:p w:rsidR="00D06117" w:rsidRDefault="00D06117" w:rsidP="00D06117">
      <w:pPr>
        <w:pStyle w:val="TextoNormal"/>
      </w:pPr>
      <w:r>
        <w:t>Conforme al criterio de expectativa razonable de no ser escuchado u observado por terceras personas, resulta patente que una conversación mantenida en un lugar específicamente ordenado a asegurar la discreción de lo hablado, como ocurre por ejemplo en el despacho donde se realizan las consultas profesionales, pertenece al ámbito de la intimidad.</w:t>
      </w:r>
    </w:p>
    <w:p w:rsidR="00D06117" w:rsidRDefault="00D06117" w:rsidP="00D06117">
      <w:pPr>
        <w:pStyle w:val="TextoNormal"/>
      </w:pPr>
    </w:p>
    <w:p w:rsidR="00D06117" w:rsidRDefault="00D06117" w:rsidP="00D06117">
      <w:pPr>
        <w:pStyle w:val="TextoNormal"/>
      </w:pPr>
      <w:r>
        <w:t>Por lo que respecta al otro derecho fundamental en conflicto, el derecho a la propia imagen queda cifrado, conforme a nuestra doctrina, en el “derecho a determinar la información gráfica generada por los rasgos físicos personales de su titular que puede tener difusión pública. Su ámbito de protección comprende, en esencia, la facultad de poder impedir la obtención, reproducción o publicación de la propia imagen por parte de un tercero no autorizado, sea cual sea la finalidad perseguida por quien la capta o difunde”, y, por lo tanto, abarca “la defensa frente a los usos no consentidos de la representación pública de la persona que no encuentren amparo en ningún otro derecho fundamental, muy destacadamente frente a la utilización de la imagen con fines puramente lucrativos” (STC 23/2010, de 27 de abril, FJ 4).</w:t>
      </w:r>
    </w:p>
    <w:p w:rsidR="00D06117" w:rsidRDefault="00D06117" w:rsidP="00D06117">
      <w:pPr>
        <w:pStyle w:val="TextoNormal"/>
      </w:pPr>
    </w:p>
    <w:p w:rsidR="00D06117" w:rsidRDefault="00D06117" w:rsidP="00D06117">
      <w:pPr>
        <w:pStyle w:val="TextoNormal"/>
      </w:pPr>
      <w:r>
        <w:t xml:space="preserve">Ya habíamos señalado en nuestra STC 117/1994, FJ 3, que “[e]l derecho a la propia imagen, reconocido por el art. 18.1 de la Constitución al par de los de honor y la intimidad personal, forma parte de los derechos de la personalidad y como tal garantiza el ámbito de libertad de una persona respecto de sus atributos más característicos, propios e inmediatos </w:t>
      </w:r>
      <w:r>
        <w:lastRenderedPageBreak/>
        <w:t>como son la imagen física, la voz o el nombre, cualidades definitorias del ser propio y atribuidas como posesión inherente e irreductible a toda persona. En la medida en que la libertad de ésta se manifiesta en el mundo físico por medio de la actuación de su cuerpo y las cualidades del mismo, es evidente que con la protección de la imagen se salvaguarda el ámbito de la intimidad y, al tiempo, el poder de decisión sobre los fines a los que hayan de aplicarse las manifestaciones de la persona a través de su imagen, su identidad o su voz.”. En el caso de una grabación oculta como la que aquí nos ocupa, la captación no sólo de la imagen sino también de la voz intensifica la vulneración del derecho a la propia imagen mediante la captación no consentida de específicos rasgos distintivos de la persona que hacen más fácil su identificación.</w:t>
      </w:r>
    </w:p>
    <w:p w:rsidR="00D06117" w:rsidRDefault="00D06117" w:rsidP="00D06117">
      <w:pPr>
        <w:pStyle w:val="TextoNormal"/>
      </w:pPr>
    </w:p>
    <w:p w:rsidR="00D06117" w:rsidRDefault="00D06117" w:rsidP="00D06117">
      <w:pPr>
        <w:pStyle w:val="TextoNormal"/>
      </w:pPr>
      <w:r w:rsidRPr="00D06117">
        <w:rPr>
          <w:rStyle w:val="NumeroAFNegritaCaracter"/>
        </w:rPr>
        <w:t>6</w:t>
      </w:r>
      <w:r>
        <w:t>. En cuanto al canon de enjuiciamiento de las eventuales colisiones entre la libertad de información y los derechos a la intimidad y a la propia imagen, recordemos que estos dos últimos constituyen unos límites externos al correcto ejercicio de la libertad de información. Así, en la reciente STC 23/2010, de 27 de abril, FJ 3, hemos reiterado que “el propio apartado 4 del art. 20 CE dispone que todas las libertades reconocidas en el precepto tienen su límite en el derecho al honor, a la intimidad, a la propia imagen y a la protección de la juventud y de la infancia, que cumplen así lo que hemos denominado ‘función limitadora’ en relación con dichas libertades”. Asimismo hemos señalado que “el derecho a comunicar y a emitir libremente información veraz no otorga a sus titulares un poder ilimitado sobre cualquier ámbito de la realidad, sino que, al venir reconocido como medio de formación de la opinión pública solamente puede legitimar las intromisiones en otros derechos fundamentales que guarden congruencia con la finalidad expresada, careciendo de efecto legitimador cuando se ejercite de modo desmesurado y exorbitante al fin en atención al cual la Constitución le atribuye especial protección” (STC 185/2002, de 14 de octubre, FJ 3), o que “en aquellos casos en los que, a pesar de producirse una intromisión en la intimidad, tal intromisión se revela como necesaria para lograr un fin constitucionalmente legítimo, proporcionada para alcanzarlo y se lleve a cabo utilizando los medios necesarios para procurar una mínima afectación del ámbito garantizado por este derecho, no podrá considerarse ilegítima” (STC 156/2001, de 2 de julio, FJ 4). En definitiva, la intromisión en los derechos fundamentales de terceros resultante del ejercicio de la libertad de información sólo será legítima en la medida en que la afectación de dichos derechos resulte adecuada, necesaria y proporcionada para la realización constitucional del derecho a la libertad de información. Por lo tanto, allí donde quepa acceder a la información pretendida sin necesidad de colisionar con los derechos referidos, queda deslegitimada, por desorbitada o desproporcionada, aquella actividad informativa innecesariamente invasora de la intimidad o la imagen ajenos.</w:t>
      </w:r>
    </w:p>
    <w:p w:rsidR="00D06117" w:rsidRDefault="00D06117" w:rsidP="00D06117">
      <w:pPr>
        <w:pStyle w:val="TextoNormal"/>
      </w:pPr>
    </w:p>
    <w:p w:rsidR="00D06117" w:rsidRDefault="00D06117" w:rsidP="00D06117">
      <w:pPr>
        <w:pStyle w:val="TextoNormal"/>
      </w:pPr>
      <w:r>
        <w:t xml:space="preserve">El presente caso presenta unos contornos o perfiles singulares derivados de la especial capacidad intrusiva del medio específico utilizado para obtener y dejar registradas las imágenes y la voz de una persona. Por un lado, como razona en sus alegaciones el Ministerio Fiscal, el carácter oculto que caracteriza a la técnica de investigación periodística llamada “cámara oculta” impide que la persona que está siendo grabada pueda ejercer su legítimo poder de exclusión frente a dicha grabación, oponiéndose a su realización y posterior publicación, pues el contexto secreto y clandestino se mantiene hasta el mismo momento de la emisión y difusión televisiva de lo grabado, escenificándose con ello una situación o una conversación que, en su origen, responde a una previa provocación del periodista interviniente, verdadero motor de la noticia que luego se pretende difundir. La ausencia de conocimiento y, por tanto, de consentimiento de la persona fotografiada respecto a la intromisión </w:t>
      </w:r>
      <w:r>
        <w:lastRenderedPageBreak/>
        <w:t>en su vida privada es un factor decisivo en la necesaria ponderación de los derechos en conflicto, como subraya el Tribunal Europeo de Derechos Humanos (SSTEDH de 24 de junio de 2004, Von Hannover c. Alemania, § 68, y de 10 de mayo de 2011, Mosley c. Reino Unido, § 11).</w:t>
      </w:r>
    </w:p>
    <w:p w:rsidR="00D06117" w:rsidRDefault="00D06117" w:rsidP="00D06117">
      <w:pPr>
        <w:pStyle w:val="TextoNormal"/>
      </w:pPr>
    </w:p>
    <w:p w:rsidR="00D06117" w:rsidRDefault="00D06117" w:rsidP="00D06117">
      <w:pPr>
        <w:pStyle w:val="TextoNormal"/>
      </w:pPr>
      <w:r>
        <w:t>Por otro lado, es evidente que la utilización de un dispositivo oculto de captación de la voz y la imagen se basa en un ardid o engaño que el periodista despliega simulando una identidad oportuna según el contexto, para poder acceder a un ámbito reservado de la persona afectada con la finalidad de grabar su comportamiento o actuación desinhibida, provocar sus comentarios y reacciones así como registrar subrepticiamente declaraciones sobre hechos o personas, que no es seguro que hubiera podido lograr si se hubiera presentado con su verdadera identidad y con sus auténticas intenciones.</w:t>
      </w:r>
    </w:p>
    <w:p w:rsidR="00D06117" w:rsidRDefault="00D06117" w:rsidP="00D06117">
      <w:pPr>
        <w:pStyle w:val="TextoNormal"/>
      </w:pPr>
    </w:p>
    <w:p w:rsidR="00D06117" w:rsidRDefault="00D06117" w:rsidP="00D06117">
      <w:pPr>
        <w:pStyle w:val="TextoNormal"/>
      </w:pPr>
      <w:r>
        <w:t>La finalidad frecuente de las grabaciones de imágenes y sonido obtenidas mediante la utilización de cámaras ocultas es su difusión no consentida en el medio televisivo cuya capacidad de incidencia en la expansión de lo publicado es muy superior al de la prensa escrita (en este sentido, la STEDH de 23 de septiembre de 1994, Jersild c. Dinamarca, § 31). No hay duda de que ello hace necesario reforzar la vigilancia en la protección de la vida privada para luchar contra los peligros derivados de un uso invasivo de las nuevas tecnologías de la comunicación, las cuales, entre otras cosas, facilitan la toma sistemática de imágenes sin que la persona afectada pueda percatarse de ello, así como su difusión a amplios segmentos del público, como subrayaba el Tribunal Europeo de Derechos Humanos en relación a un caso de captación fotográfica a cientos de metros de distancia (STEDH de 24 de junio de 2004, Von Hannover c. Alemania, § 70).</w:t>
      </w:r>
    </w:p>
    <w:p w:rsidR="00D06117" w:rsidRDefault="00D06117" w:rsidP="00D06117">
      <w:pPr>
        <w:pStyle w:val="TextoNormal"/>
      </w:pPr>
    </w:p>
    <w:p w:rsidR="00D06117" w:rsidRDefault="00D06117" w:rsidP="00D06117">
      <w:pPr>
        <w:pStyle w:val="TextoNormal"/>
      </w:pPr>
      <w:r>
        <w:t>En cuanto a las técnicas periodísticas que puedan utilizarse para la presentación de una información, es cierto, como indica el recurrente en amparo, que el Tribunal Europeo de Derechos Humanos reconoce a los profesionales correspondientes la libertad de elegir los métodos o técnicas que consideren más pertinentes para la transmisión informativa, que debe ser acorde a las exigencias de objetividad y neutralidad (STEDH de 23 de septiembre de 1994, Jersild c. Dinamarca, § 34). Pero asimismo dicho Tribunal ha subrayado que en la elección de los medios referidos, la libertad reconocida a los periodistas no está exenta de límites, y que en ningún caso pueden considerarse legítimas aquellas técnicas que invaden derechos protegidos, ni aquellos métodos que vulneren las exigencias de la ética periodística en cuanto a la solvencia y objetividad del contenido informativo (SSTEDH de 18 de enero de 2011, MGN Limited c. Reino Unido, § 141; y de 10 de mayo de 2011, Mosley c. Reino Unido, § 113).</w:t>
      </w:r>
    </w:p>
    <w:p w:rsidR="00D06117" w:rsidRDefault="00D06117" w:rsidP="00D06117">
      <w:pPr>
        <w:pStyle w:val="TextoNormal"/>
      </w:pPr>
    </w:p>
    <w:p w:rsidR="00D06117" w:rsidRDefault="00D06117" w:rsidP="00D06117">
      <w:pPr>
        <w:pStyle w:val="TextoNormal"/>
      </w:pPr>
      <w:r w:rsidRPr="00D06117">
        <w:rPr>
          <w:rStyle w:val="NumeroAFNegritaCaracter"/>
        </w:rPr>
        <w:t>7</w:t>
      </w:r>
      <w:r>
        <w:t>. La aplicación de las reglas descritas en los fundamentos jurídicos anteriores al enjuiciamiento constitucional del presente asunto exige tomar en consideración en primer lugar, atendiendo a los límites inmanentes, las circunstancias específicas en las que se ha ejercitado la libertad de comunicación, ponderando a continuación adecuadamente la posible afectación de otros derechos fundamentales en juego.</w:t>
      </w:r>
    </w:p>
    <w:p w:rsidR="00D06117" w:rsidRDefault="00D06117" w:rsidP="00D06117">
      <w:pPr>
        <w:pStyle w:val="TextoNormal"/>
      </w:pPr>
    </w:p>
    <w:p w:rsidR="00D06117" w:rsidRDefault="00D06117" w:rsidP="00D06117">
      <w:pPr>
        <w:pStyle w:val="TextoNormal"/>
      </w:pPr>
      <w:r>
        <w:t xml:space="preserve">Las entidades recurrentes han alegado con insistencia la veracidad del contenido del reportaje, tanto en la vía judicial como en apoyo de su pretensión de impugnación en amparo de la Sentencia del Tribunal Supremo. Este argumento no puede acogerse, no sólo porque </w:t>
      </w:r>
      <w:r>
        <w:lastRenderedPageBreak/>
        <w:t>en la vía judicial previa no se ha controvertido en ningún momento la veracidad de la información divulgada alegando, por ejemplo, manipulación o alteración de los registros de imagen y sonido obtenidos, sino fundamentalmente porque este Tribunal viene reiterando que, cuando se afecta al derecho a la intimidad, lo determinante para resolver el conflicto de derechos es la relevancia pública de la información y no la veracidad del contenido de la información divulgada, en cuanto que, a diferencia de lo que sucede en las intromisiones en el honor, la veracidad no es paliativo sino presupuesto de la lesión de la intimidad (por todas, STC 185/2002, de 14 de octubre, FJ 4).</w:t>
      </w:r>
    </w:p>
    <w:p w:rsidR="00D06117" w:rsidRDefault="00D06117" w:rsidP="00D06117">
      <w:pPr>
        <w:pStyle w:val="TextoNormal"/>
      </w:pPr>
    </w:p>
    <w:p w:rsidR="00D06117" w:rsidRDefault="00D06117" w:rsidP="00D06117">
      <w:pPr>
        <w:pStyle w:val="TextoNormal"/>
      </w:pPr>
      <w:r>
        <w:t>En cuanto al interés general del reportaje que alegan los recurrentes, resulta procedente señalar que, aun cuando la información hubiera sido de relevancia pública, los términos en que se obtuvo y registró, mediante el uso de una cámara oculta, constituyen en todo caso una ilegítima intromisión en los derechos fundamentales a la intimidad personal y a la propia imagen. En cuanto a la vulneración de la intimidad, hay que rechazar en primer lugar que tanto el carácter accesible al público de la parte de la vivienda dedicada a consulta por la esteticista/naturista, como la aparente relación profesional entablada entre dicha persona y la periodista que se hizo pasar por una paciente, tengan la capacidad de situar la actuación de la recurrente extramuros del ámbito del derecho a la intimidad de aquélla, constitucionalmente protegido también en relaciones de naturaleza profesional. La Sentencia del Tribunal Supremo impugnada señala correctamente que la relación entre la periodista y la esteticista/naturista se desarrolló en un ámbito indudablemente privado. No existiendo consentimiento expreso, válido y eficaz prestado por la titular del derecho afectado, es forzoso concluir que hubo una intromisión ilegítima en el derecho fundamental a la intimidad personal.</w:t>
      </w:r>
    </w:p>
    <w:p w:rsidR="00D06117" w:rsidRDefault="00D06117" w:rsidP="00D06117">
      <w:pPr>
        <w:pStyle w:val="TextoNormal"/>
      </w:pPr>
    </w:p>
    <w:p w:rsidR="00D06117" w:rsidRDefault="00D06117" w:rsidP="00D06117">
      <w:pPr>
        <w:pStyle w:val="TextoNormal"/>
      </w:pPr>
      <w:r>
        <w:t>Y en cuanto al derecho a la propia imagen, debemos alcanzar idéntica conclusión. En efecto, como apreció correctamente la Sentencia de la Sala de lo Civil del Tribunal Supremo, la persona grabada subrepticiamente fue privada del derecho a decidir, para consentirla o para impedirla, sobre la reproducción de la representación de su aspecto físico y de su voz, determinantes de su plena identificación como persona.</w:t>
      </w:r>
    </w:p>
    <w:p w:rsidR="00D06117" w:rsidRDefault="00D06117" w:rsidP="00D06117">
      <w:pPr>
        <w:pStyle w:val="TextoNormal"/>
      </w:pPr>
    </w:p>
    <w:p w:rsidR="00D06117" w:rsidRDefault="00D06117" w:rsidP="00D06117">
      <w:pPr>
        <w:pStyle w:val="TextoNormal"/>
      </w:pPr>
      <w:r>
        <w:t xml:space="preserve">La Sentencia impugnada valora correctamente los datos que concurren en la presente situación, y concluye con la negación de la pretendida prevalencia de la libertad de información. Conclusión constitucionalmente adecuada, no sólo porque el método utilizado para obtener la captación intrusiva —la llamada cámara oculta– en absoluto fuese necesario ni adecuado para el objetivo de la averiguación de la actividad desarrollada, para lo que hubiera bastado con realizar entrevistas a sus clientes, sino, sobre todo, y en todo caso, porque, tuviese o no relevancia pública lo investigado por el periodista, lo que está constitucionalmente prohibido es justamente la utilización del método mismo (cámara oculta) por las razones que antes hemos expuesto. </w:t>
      </w:r>
    </w:p>
    <w:p w:rsidR="00D06117" w:rsidRDefault="00D06117" w:rsidP="00D06117">
      <w:pPr>
        <w:pStyle w:val="TextoNormal"/>
      </w:pPr>
    </w:p>
    <w:p w:rsidR="00D06117" w:rsidRDefault="00D06117" w:rsidP="00D06117">
      <w:pPr>
        <w:pStyle w:val="TextoNormal"/>
      </w:pPr>
      <w:r>
        <w:t>De todo lo anterior se concluye que la restricción impuesta por el Tribunal Supremo en su Sentencia a las entidades recurrentes, mediante la correspondiente condena, está constitucionalmente justificada.</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los amparos solicitados por Canal Mundo Producciones Audiovisuales, S.A. (núm. 4821-2009) y por Televisión Autonómica Valenciana, S.A. (núm. 4829-2009).</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treinta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6" w:name="SENTENCIA_2012_13"/>
      <w:r>
        <w:lastRenderedPageBreak/>
        <w:t>SENTENCIA 13/2012, de 30 de enero de 2012</w:t>
      </w:r>
    </w:p>
    <w:bookmarkEnd w:id="16"/>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47, de 24 de febrero de 2012)</w:t>
      </w:r>
    </w:p>
    <w:p w:rsidR="00D06117" w:rsidRDefault="00D06117" w:rsidP="00D06117">
      <w:pPr>
        <w:pStyle w:val="TtuloBOE"/>
      </w:pPr>
    </w:p>
    <w:p w:rsidR="00D06117" w:rsidRDefault="00D06117" w:rsidP="00D06117">
      <w:pPr>
        <w:pStyle w:val="SntesisDescriptiva"/>
      </w:pPr>
      <w:r>
        <w:t>ECLI:ES:TC:2012:13</w:t>
      </w:r>
    </w:p>
    <w:p w:rsidR="00D06117" w:rsidRDefault="00D06117" w:rsidP="00D06117">
      <w:pPr>
        <w:pStyle w:val="SntesisDescriptiva"/>
      </w:pPr>
    </w:p>
    <w:p w:rsidR="00D06117" w:rsidRDefault="00D06117" w:rsidP="00D06117">
      <w:pPr>
        <w:pStyle w:val="SntesisDescriptiva"/>
      </w:pPr>
      <w:r>
        <w:t>Recurso de amparo 4264-2010. Promovido por Repsol Comercial de Productos Petrolíferos, S.A., en relación con las Sentencias de la Sala de lo Contencioso-Administrativo del Tribunal Supremo y del Tribunal Superior de Justicia de las Illes Balears que desestimaron su recurso sobre liquidación del impuesto autonómico sobre instalaciones que inciden en el medio ambiente.</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y a la tutela judicial efectiva: desestimación de la pretensión anulatoria de la liquidación del impuesto en aplicación de los criterios legales y jurisprudenciales sobre los límites de impugnación de las providencias de apremio y de los efectos de la declaración de inconstitucionalidad de la ley autonómica reguladora del tributo por la STC 289/2000.</w:t>
      </w:r>
    </w:p>
    <w:p w:rsidR="00D06117" w:rsidRDefault="00D06117" w:rsidP="00D06117">
      <w:pPr>
        <w:pStyle w:val="SntesisAnaltica"/>
      </w:pPr>
    </w:p>
    <w:p w:rsidR="00D06117" w:rsidRDefault="00D06117" w:rsidP="00D06117">
      <w:pPr>
        <w:pStyle w:val="Extracto"/>
      </w:pPr>
      <w:r>
        <w:t>1.</w:t>
      </w:r>
      <w:r>
        <w:tab/>
        <w:t>La Sentencia impugnada en amparo cumple con las exigencias constitucionales del art. 24.1 CE, al basarse en una interpretación de la legalidad ordinaria y de la jurisprudencia aplicable en relación con la impugnación de las providencias de apremio y la posibilidad de oponer frente a ellas las posibles causas de nulidad de pleno derecho relativas a las liquidaciones originarias que no resulta manifiestamente irrazonable o arbitraria no pudiendo por tanto calificarse de no fundada en Derecho [FJ 5].</w:t>
      </w:r>
    </w:p>
    <w:p w:rsidR="00D06117" w:rsidRDefault="00D06117" w:rsidP="00D06117">
      <w:pPr>
        <w:pStyle w:val="Extracto"/>
      </w:pPr>
    </w:p>
    <w:p w:rsidR="00D06117" w:rsidRDefault="00D06117" w:rsidP="00D06117">
      <w:pPr>
        <w:pStyle w:val="Extracto"/>
      </w:pPr>
      <w:r>
        <w:t>2.</w:t>
      </w:r>
      <w:r>
        <w:tab/>
        <w:t>La Sentencia impugnada se funda en una interpretación razonable y motivada del régimen legal en materia de práctica de la notificación y sigue la doctrina sobre notificaciones a personas jurídicas en lo referente a la innecesariedad de identificar a la persona física que la recibe, bastando con que en el correspondiente acuse de recibido conste el sello de la empresa, por lo que no es posible apreciar la infracción del derecho a la tutela judicial efectiva, sin indefensión que se denuncia [FJ 5].</w:t>
      </w:r>
    </w:p>
    <w:p w:rsidR="00D06117" w:rsidRDefault="00D06117" w:rsidP="00D06117">
      <w:pPr>
        <w:pStyle w:val="Extracto"/>
      </w:pPr>
    </w:p>
    <w:p w:rsidR="00D06117" w:rsidRDefault="00D06117" w:rsidP="00D06117">
      <w:pPr>
        <w:pStyle w:val="Extracto"/>
      </w:pPr>
      <w:r>
        <w:t>3.</w:t>
      </w:r>
      <w:r>
        <w:tab/>
        <w:t>No cabe alegar, con motivo de la impugnación de la providencia de apremio, cuestiones relativas a la nulidad de pleno derecho de los actos de liquidación del tributo autonómico declarado inconstitucional, si por entonces son ya firmes, ya que dicha inconstitucionalidad limita su alcance a las situaciones sobre las que habiendo sido impugnadas en tiempo y forma no hubiera recaído todavía una resolución administrativa o judicial firme al tiempo de la publicación en el BOE de la declaración de inconstitucionalidad (STC 289/2000) [FJ 4].</w:t>
      </w:r>
    </w:p>
    <w:p w:rsidR="00D06117" w:rsidRDefault="00D06117" w:rsidP="00D06117">
      <w:pPr>
        <w:pStyle w:val="Extracto"/>
      </w:pPr>
    </w:p>
    <w:p w:rsidR="00D06117" w:rsidRDefault="00D06117" w:rsidP="00D06117">
      <w:pPr>
        <w:pStyle w:val="Extracto"/>
      </w:pPr>
      <w:r>
        <w:t>4.</w:t>
      </w:r>
      <w:r>
        <w:tab/>
        <w:t xml:space="preserve">Determinar si la práctica de la notificación exige que el receptor deba quedar plenamente identificado mediante su firma manuscrita o si, por el contrario, basta en determinadas circunstancias con el sello corporativo de la empresa destinataria, son cuestiones de estricta legalidad ordinaria sobre las que este Tribunal no puede </w:t>
      </w:r>
      <w:r>
        <w:lastRenderedPageBreak/>
        <w:t>pronunciarse, salvo que la motivación judicial resultara irrazonable, arbitraria o incursa en error patente (STC 141/2011) [FJ 5].</w:t>
      </w:r>
    </w:p>
    <w:p w:rsidR="00D06117" w:rsidRDefault="00D06117" w:rsidP="00D06117">
      <w:pPr>
        <w:pStyle w:val="Extracto"/>
      </w:pPr>
    </w:p>
    <w:p w:rsidR="00D06117" w:rsidRDefault="00D06117" w:rsidP="00D06117">
      <w:pPr>
        <w:pStyle w:val="Extracto"/>
      </w:pPr>
      <w:r>
        <w:t>5.</w:t>
      </w:r>
      <w:r>
        <w:tab/>
        <w:t>Reitera la doctrina sobre la limitación del alcance de la declaración de inconstitucionalidad de la Ley Balear sobre el impuesto de instalaciones que inciden en el medio ambiente, de la STC 289/2000 [FFJJ 2 a 5].</w:t>
      </w:r>
    </w:p>
    <w:p w:rsidR="00D06117" w:rsidRDefault="00D06117" w:rsidP="00D06117">
      <w:pPr>
        <w:pStyle w:val="Extracto"/>
      </w:pPr>
    </w:p>
    <w:p w:rsidR="00D06117" w:rsidRDefault="00D06117" w:rsidP="00D06117">
      <w:pPr>
        <w:pStyle w:val="Extracto"/>
      </w:pPr>
      <w:r>
        <w:t>6.</w:t>
      </w:r>
      <w:r>
        <w:tab/>
        <w:t>Doctrina sobre el derecho a obtener de los Jueces y Tribunales una resolución motivada y fundada en Derecho sobre el fondo de las pretensiones oportunamente deducidas por las partes en el proceso [FJ 3].</w:t>
      </w:r>
    </w:p>
    <w:p w:rsidR="00D06117" w:rsidRDefault="00D06117" w:rsidP="00D06117">
      <w:pPr>
        <w:pStyle w:val="Extracto"/>
      </w:pPr>
    </w:p>
    <w:p w:rsidR="00D06117" w:rsidRDefault="00D06117" w:rsidP="00D06117">
      <w:pPr>
        <w:pStyle w:val="Extracto"/>
      </w:pPr>
      <w:r>
        <w:t>7.</w:t>
      </w:r>
      <w:r>
        <w:tab/>
        <w:t>Doctrina sobre la exigencia de invocación previa del derecho fundamental eventualmente vulnerado para salvaguardar el carácter subsidiario del recurso de amparo (STC 45/2011)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promovido por la entidad Repsol Comercial de Productos Petrolíferos, S.A., representada por el Procurador de los Tribunales don José Luis Martín Juareguibeitia y asistida por el Abogado don Ramón Falcón y Tella, contra la Sentencia de la Sección Segunda de la Sala de lo Contencioso-Administrativo del Tribunal Supremo de 30 de octubre de 2009, que desestimó el recurso de casación interpuesto contra la Sentencia del Tribunal Superior de Justicia de las Illes Balears, de 24 de octubre de 2003, sobre providencia de apremio de liquidación tributaria. Han intervenido el Abogado de la Comunidad Autónoma de las Illes Balears y el Ministerio Fiscal.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Constitucional el 21 de mayo de 2010 el Procurador de los Tribunales don José Luis Martín Juareguibeitia, en nombre y representación de Repsol Comercial de Productos Petrolíferos, S.A., interpuso recurso de amparo contra las resoluciones judiciales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que fundamentan la demanda de amparo son resumidamente los siguientes:</w:t>
      </w:r>
    </w:p>
    <w:p w:rsidR="00D06117" w:rsidRDefault="00D06117" w:rsidP="00D06117">
      <w:pPr>
        <w:pStyle w:val="TextoNormal"/>
      </w:pPr>
    </w:p>
    <w:p w:rsidR="00D06117" w:rsidRDefault="00D06117" w:rsidP="00D06117">
      <w:pPr>
        <w:pStyle w:val="TextoNormal"/>
      </w:pPr>
      <w:r>
        <w:t>a) El 17 de septiembre de 1999, mediante correo certificado, la Administración tributaria notificó en su domicilio social a la entidad mercantil Repsol Comercial de Productos Petrolíferos, S.A., la liquidación practicada por el jefe de gestión e inspección tributaria de la Consejería de Economía y Hacienda del Gobierno de las Illes Balears por el impuesto correspondiente al ejercicio de 1998 sobre instalaciones que inciden en el medio ambiente previsto en la Ley del Parlamento de las Illes Balears 12/1991, de 20 de diciembre, por un importe de 3.829.451,95 euros. En el acuse de recibo de la certificación del servicio de correos consta estampillado el nombre y DNI de un empleado de la citada mercantil y su sello corporativo.</w:t>
      </w:r>
    </w:p>
    <w:p w:rsidR="00D06117" w:rsidRDefault="00D06117" w:rsidP="00D06117">
      <w:pPr>
        <w:pStyle w:val="TextoNormal"/>
      </w:pPr>
    </w:p>
    <w:p w:rsidR="00D06117" w:rsidRDefault="00D06117" w:rsidP="00D06117">
      <w:pPr>
        <w:pStyle w:val="TextoNormal"/>
      </w:pPr>
      <w:r>
        <w:t>b) Transcurrido el periodo para el pago voluntario de la citada liquidación la recaudación de tributos de la Comunidad Autónoma de las Illes Balears, con fecha de 20 de octubre de 2000, notificó por idéntica vía a la sociedad mercantil demandante de amparo la correspondiente providencia de apremio.</w:t>
      </w:r>
    </w:p>
    <w:p w:rsidR="00D06117" w:rsidRDefault="00D06117" w:rsidP="00D06117">
      <w:pPr>
        <w:pStyle w:val="TextoNormal"/>
      </w:pPr>
    </w:p>
    <w:p w:rsidR="00D06117" w:rsidRDefault="00D06117" w:rsidP="00D06117">
      <w:pPr>
        <w:pStyle w:val="TextoNormal"/>
      </w:pPr>
      <w:r>
        <w:t>c) Contra esta última resolución de iniciación de la vía ejecutiva la entidad hoy demandante de amparo interpuso reclamación económico administrativa ante la Junta Superior de Hacienda de Baleares, denunciado la defectuosa notificación de la liquidación practicada y su nulidad en cualquier caso como consecuencia de la inconstitucionalidad de la Ley del Parlamento de las Illes Balears 12/1991, de 20 de diciembre, sobre el impuesto de instalaciones que inciden en el medio ambiente del Parlamento de las Illes Balears, declarada por la Sentencia del Tribunal Constitucional 289/2000, de 30 de noviembre, publicada el siguiente 4 de enero de 2001.</w:t>
      </w:r>
    </w:p>
    <w:p w:rsidR="00D06117" w:rsidRDefault="00D06117" w:rsidP="00D06117">
      <w:pPr>
        <w:pStyle w:val="TextoNormal"/>
      </w:pPr>
    </w:p>
    <w:p w:rsidR="00D06117" w:rsidRDefault="00D06117" w:rsidP="00D06117">
      <w:pPr>
        <w:pStyle w:val="TextoNormal"/>
      </w:pPr>
      <w:r>
        <w:t>d) Mediante resolución de 6 de marzo de 2001 la Junta Superior de Hacienda de Baleares desestimó la citada reclamación, de un lado, por considerar correcta la notificación de la liquidación considerada y, de otro, habida cuenta de la firmeza de dicha liquidación y la precisión de la citada STC 289/2000, que expresamente declara que “por exigencias del principio de seguridad jurídica (art. 9.3 CE) y siguiendo los precedentes sentados en supuestos que presentan rasgos similares al caso aquí enjuiciado (por todas, STC 45/1989, FJ 11), únicamente han de considerarse situaciones susceptibles de ser revisadas con fundamento en esta Sentencia aquellas que, a la fecha de publicación de la misma, no hayan adquirido firmeza por haber sido impugnadas en tiempo y forma y no haber recaído una resolución administrativa o judicial firme” (FJ 7).</w:t>
      </w:r>
    </w:p>
    <w:p w:rsidR="00D06117" w:rsidRDefault="00D06117" w:rsidP="00D06117">
      <w:pPr>
        <w:pStyle w:val="TextoNormal"/>
      </w:pPr>
    </w:p>
    <w:p w:rsidR="00D06117" w:rsidRDefault="00D06117" w:rsidP="00D06117">
      <w:pPr>
        <w:pStyle w:val="TextoNormal"/>
      </w:pPr>
      <w:r>
        <w:t>e) Contra la resolución de la Junta Superior de Hacienda de 6 de marzo de 2001 Repsol Comercial de Productos Petrolíferos, S.A., interpuso recurso contencioso-administrativo. Por Sentencia de fecha 24 de febrero de 2003 la Sala de lo Contencioso-Administrativo del Tribunal Superior de Justicia de las Illes Balears desestimó el recurso interpuesto y confirmó la legalidad de los actos administrativos impugnados.</w:t>
      </w:r>
    </w:p>
    <w:p w:rsidR="00D06117" w:rsidRDefault="00D06117" w:rsidP="00D06117">
      <w:pPr>
        <w:pStyle w:val="TextoNormal"/>
      </w:pPr>
    </w:p>
    <w:p w:rsidR="00D06117" w:rsidRDefault="00D06117" w:rsidP="00D06117">
      <w:pPr>
        <w:pStyle w:val="TextoNormal"/>
      </w:pPr>
      <w:r>
        <w:t xml:space="preserve">f) Frente a esta Sentencia la entidad recurrente en amparo interpuso recurso de casación articulado en tres motivos. Por el primero denunciaba que la Sentencia de instancia había desconocido la inconstitucionalidad declarada por la citada STC 289/2000 de la Ley autonómica 12/1991, de 20 de diciembre, del impuesto sobre instalaciones que inciden en el medio ambiente, y que determina a su vez la nulidad de los actos administrativos dictados en su ejecución. En el segundo motivo negaba la aplicación al caso de la precisión hecha </w:t>
      </w:r>
      <w:r>
        <w:lastRenderedPageBreak/>
        <w:t>por la citada Sentencia constitucional que sólo permite la revisión de las situaciones que a la fecha de su publicación no fueran ya firmes, toda vez que en el asunto considerado no se había producido por entonces todavía ningún ingreso. Y finalmente discutía que la notificación liquidación fuera correcta, como había entendido sin embargo la Sentencia del Tribunal Superior de Justicia entonces recurrida.</w:t>
      </w:r>
    </w:p>
    <w:p w:rsidR="00D06117" w:rsidRDefault="00D06117" w:rsidP="00D06117">
      <w:pPr>
        <w:pStyle w:val="TextoNormal"/>
      </w:pPr>
    </w:p>
    <w:p w:rsidR="00D06117" w:rsidRDefault="00D06117" w:rsidP="00D06117">
      <w:pPr>
        <w:pStyle w:val="TextoNormal"/>
      </w:pPr>
      <w:r>
        <w:t>g) Con fecha 30 de octubre de 2009 la Sección Segunda de la Sala de lo Contencioso-Administrativo del Tribunal Supremo dictó Sentencia declarando no haber lugar al recurso de casación interpuesto. De modo principal, en cuanto a los dos primeros motivos, por considerar, de consuno con la declaración de instancia, que el carácter prospectivo de los efectos de la STC 289/2000, de 30 de noviembre, impide anular la providencia de apremio con fundamento en la pretendida nulidad de pleno derecho de la liquidación tributaria originaria, por ser ya firme y consentida a la fecha de la publicación de la citada Sentencia constitucional. Para añadir que, aunque esta conclusión pugne con la jurisprudencia de la Sala que admite alegar en vía de apremio la nulidad de pleno derecho de la liquidación que motivó la providencia de apremio, la misma es la única que procede toda vez que, entenderlo de otro modo, supondría desnaturalizar la decisión del Tribunal Constitucional que expresamente ha querido limitar los efectos de su declaración de inconstitucionalidad a las situaciones que no fueran por entonces firmes. Y en cuanto al motivo que cuestionaba la validez de la notificación de la liquidación por considerar que, según es su propia doctrina jurisprudencial, en el caso de las notificaciones a personas jurídicas no es necesario que se identifique a la persona que la recibe, bastando con que en el acuse de recibido conste el sello de la empresa.</w:t>
      </w:r>
    </w:p>
    <w:p w:rsidR="00D06117" w:rsidRDefault="00D06117" w:rsidP="00D06117">
      <w:pPr>
        <w:pStyle w:val="TextoNormal"/>
      </w:pPr>
    </w:p>
    <w:p w:rsidR="00D06117" w:rsidRDefault="00D06117" w:rsidP="00D06117">
      <w:pPr>
        <w:pStyle w:val="TextoNormal"/>
      </w:pPr>
      <w:r>
        <w:t>h) Contra esta Sentencia la sociedad mercantil recurrente promovió incidente de nulidad de actuaciones con arreglo a lo dispuesto en el art. 241.1 de la Ley Orgánica del Poder Judicial denunciando la vulneración del derecho a la tutela judicial efectiva (art. 24.1 CE) en la que, según su criterio, habría incurrido la misma, primero, por no tener en cuenta la declaración de inconstitucionalidad del impuesto balear considerado y desconocer, en consecuencia, la eficacia erga omnes de dicha declaración, y sus propios precedentes. Y segundo al otorgar validez a la notificación recibida por una persona no identificada. Mediante Auto de 20 de abril de 2010 el Tribunal Supremo acordó no haber lugar al incidente de nulidad promovido que, precisa, traduce simplemente la discrepancia de la mercantil recurrente con la Sentencia dictada.</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La entidad mercantil demandante de amparo denuncia en primer lugar que la Sentencia del Tribunal Supremo de 30 de octubre de 2009, así como su posterior Auto que la confirma, al no anular la providencia de apremio considerada en el presente asunto ha desconocido la eficacia erga omnes de la declaración de inconstitucionalidad del impuesto balear. Por este motivo razona que la citada Sentencia no puede considerarse una resolución judicial fundada en Derecho y, por tanto, que vulnera el derecho a la tutela judicial efectiva que garantiza el art. 24.1 CE. Y para demostrarlo insiste, como ya hiciera antes en la vía judicial, que en el presente asunto no se trata de revisar ninguna situación consolidada ni de solicitar la devolución de cantidades previamente ingresadas por el citado impuesto balear, luego declarado inconstitucional, sino de evitar que la Administración tributaria pueda seguir dictando, y los Tribunales de Justicia confirmando, actos de aplicación de un tributo declarado inconstitucional. En consecuencia, a su juicio, no se trata tanto de dar eficacia </w:t>
      </w:r>
      <w:r>
        <w:lastRenderedPageBreak/>
        <w:t>retroactiva a la declaración de inconstitucionalidad ni de revisar situaciones pretendidamente consolidadas, sino de evitar conceder ultra eficacia a la norma declarada inconstitucional, que a partir de la publicación en el “Boletín Oficial del Estado” de la STC 289/2000, de 30 de noviembre, no puede servir de cobertura para ningún acto de aplicación del tributo declarado inconstitucional.</w:t>
      </w:r>
    </w:p>
    <w:p w:rsidR="00D06117" w:rsidRDefault="00D06117" w:rsidP="00D06117">
      <w:pPr>
        <w:pStyle w:val="TextoNormal"/>
      </w:pPr>
    </w:p>
    <w:p w:rsidR="00D06117" w:rsidRDefault="00D06117" w:rsidP="00D06117">
      <w:pPr>
        <w:pStyle w:val="TextoNormal"/>
      </w:pPr>
      <w:r>
        <w:t>En segundo lugar la sociedad recurrente denuncia la lesión del principio de igualdad en la aplicación de la ley (art. 14 CE), por considerar que la Sentencia recurrida se ha apartado sin ninguna justificación razonable del criterio mantenido por el propio órgano judicial en otros asuntos anteriores del todo semejantes. Y finalmente, en tercer lugar, denuncia, como también hiciera en el proceso judicial a quo, la vulneración del art. 24.1 CE como consecuencia ahora de que la Sentencia recurrida haya considerado válida la notificación realizada a una persona no identificada con su firma.</w:t>
      </w:r>
    </w:p>
    <w:p w:rsidR="00D06117" w:rsidRDefault="00D06117" w:rsidP="00D06117">
      <w:pPr>
        <w:pStyle w:val="TextoNormal"/>
      </w:pPr>
    </w:p>
    <w:p w:rsidR="00D06117" w:rsidRDefault="00D06117" w:rsidP="00D06117">
      <w:pPr>
        <w:pStyle w:val="TextoNormal"/>
      </w:pPr>
      <w:r>
        <w:t>Por estos motivos la entidad mercantil recurrente interesa el otorgamiento del amparo solicitado y, en consecuencia, la anulación de las resoluciones judiciales impugnadas, así como de la providencia de apremio.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5 de enero de 2011 la Sala Primera de este Tribunal acordó admitir a trámite la demanda de amparo y, de conformidad con lo dispuesto en el art. 51 de la Ley Orgánica del Tribunal Constitucional (LOTC), dirigir atenta comunicación al Tribunal Supremo y al Tribunal Superior de Justicia de las Illes Balears a fin de que respectiva y oportunamente remitiese certificación o copia adverada de las actuaciones correspondientes al recurso de casación núm. 2574-2003 y autos núm. 405-2001, y emplazase a quienes hubieran sido parte en este procedimiento, con excepción de la parte recurrente en amparo, para que en el plazo de diez días pudieran comparecen en este proceso constitucional de amparo; lo que así hizo el siguiente día 4 de febrero el Director de la Abogacía de la Comunidad Autónoma de las Illes Balears, solicitando se le tuviera en su nombre y representación por parte demandada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del Secretario de Justicia de la Sala Primera de este Tribunal de 8 de febrero de 2011 se acordó tener por recibidos los testimonios de las actuaciones reclamadas, por personada y parte a la Comunidad Autónoma de las Illes Balears, y, con arreglo a lo dispuesto en el art. 52.1 LOTC, conceder al Ministerio Fiscal y a las partes personadas plazo común de veinte días para que, con vista de las actuaciones recibidas, formulasen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Con fecha 8 de marzo de 2011 el representante de la Comunidad Autónoma de las Illes Balears presentó su escrito de alegaciones solicitando la desestimación del amparo interesado. Luego de resumir los antecedentes del caso y razonar sobre el alcance de las Sentencias constitucionales que declaran la inconstitucionalidad de un precepto legal, el representante autonómico concluye que la declaración de inconstitucionalidad del impuesto balear considerada no alcanza a la liquidación tributaria cuestionada en el presente asunto, por haber sido notificada en forma válida y, en consecuencia, ser una resolución administrativa firme y consentida a la fecha de la publicación de la STC 289/2000, todo ello según así lo declaró la Sentencia del Tribunal Supremo impugnada en forma razonada, motivada y fundada y, por consiguiente, con pleno respeto al derecho a la tutela judicial (art. 24.1 CE) de </w:t>
      </w:r>
      <w:r>
        <w:lastRenderedPageBreak/>
        <w:t>la mercantil recurrente en amparo. Por último el representante de la Comunidad Autónoma niega igualmente que la citada Sentencia impugnada haya vulnerado el principio de igualdad en la aplicación judicial de la ley (art. 14 CE), toda vez que, en su criterio, el tertium comparationis aportado por la entidad recurrente no es idóneo para probar la desigualdad que ha denunciado.</w:t>
      </w:r>
    </w:p>
    <w:p w:rsidR="00D06117" w:rsidRDefault="00D06117" w:rsidP="00D06117">
      <w:pPr>
        <w:pStyle w:val="TextoNormal"/>
      </w:pPr>
    </w:p>
    <w:p w:rsidR="00D06117" w:rsidRDefault="00D06117" w:rsidP="00D06117">
      <w:pPr>
        <w:pStyle w:val="TextoNormal"/>
      </w:pPr>
      <w:r w:rsidRPr="00D06117">
        <w:rPr>
          <w:rStyle w:val="NumeroAFNegritaCaracter"/>
        </w:rPr>
        <w:t>7</w:t>
      </w:r>
      <w:r>
        <w:t>. El siguiente 10 de marzo de 2011 la sociedad mercantil demandante de amparo presentó su escrito de alegaciones insistiendo en las ya formuladas en su escrito de demanda de amparo constitucional.</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escrito registrado en este Tribunal el 18 de marzo de 2011 el Ministerio Fiscal formuló sus alegaciones interesando la denegación del amparo solicitado por considerar, en primer término, que la Sentencia del Tribunal Supremo impugnada es una resolución judicial que se funda motivadamente en una interpretación razonable del pronunciamiento de la STC 289/2000, de 30 de noviembre, y del Derecho aplicable y, por tanto, resulta respetuosa con el derecho fundamental del art. 24.1 CE, que no garantiza además el acierto judicial en la selección, interpretación y aplicación del Derecho. En segundo término, respecto de la vulneración del art. 14 CE denunciada, el Ministerio Fiscal considera que concurre el óbice procesal del art. 44.1 c) LOTC, toda vez que no consta que la entidad recurrente hubiera denunciado esa vulneración constitucional en el previo incidente de nulidad, y, en todo caso, interesa la desestimación de ese motivo puesto que, además de que el término de comparación ofrecido no es idóneo, sucede también que la Sentencia recurrida motiva con detalle las razones de su cambio de criterio. Finalmente el Fiscal rechaza que la decisión judicial de otorgar validez a la notificación de la liquidación considerada haya lesionado el derecho a la tutela judicial efectiva (art. 24.1 CE), habida cuenta que se funda en una interpretación asimismo razonable y razonada del régimen de notificaciones a personas jurídicas.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enero de 2012, se señaló para deliberación y votación de la presente Sentencia el día 30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sociedad mercantil demandante de amparo impugna la Sentencia de 30 de octubre de 2009 de la Sala de lo Contencioso-Administrativo del Tribunal Supremo, y su posterior Auto de 20 de abril de 2010, que declaró no haber lugar al incidente de nulidad de actuaciones promovido contra la citada Sentencia, por considerar que, al no anular la providencia de apremio cuestionada en el proceso judicial, la misma ignoró la inconstitucionalidad del tributo autonómico objeto de apremio declarada por la STC 289/2000, de 30 de noviembre, así como su propia jurisprudencia en la materia y, en consecuencia, vulneró su derecho a la tutela judicial efectiva (art. 24.1 CE) y el principio de igualdad en la aplicación judicial de la ley (art. 14 CE). También denuncia la sociedad demandante que la Sentencia que impugna vulneró igualmente el art. 24.1 CE al confirmar la validez de la notificación administrativa de la liquidación del impuesto, origen de la controvertida providencia de apremio.</w:t>
      </w:r>
    </w:p>
    <w:p w:rsidR="00D06117" w:rsidRDefault="00D06117" w:rsidP="00D06117">
      <w:pPr>
        <w:pStyle w:val="TextoNormal"/>
      </w:pPr>
    </w:p>
    <w:p w:rsidR="00D06117" w:rsidRDefault="00D06117" w:rsidP="00D06117">
      <w:pPr>
        <w:pStyle w:val="TextoNormal"/>
      </w:pPr>
      <w:r>
        <w:lastRenderedPageBreak/>
        <w:t>Tanto el Ministerio Fiscal, como el representante de la Comunidad Autónoma de las Illes Balears, personada en este proceso constitucional, rechazan la existencia de las citadas infracciones constitucionales, que consideran, bien que por razones parcialmente distintas, infundadas y, en consecuencia, interesan la íntegra desestimación del amparo solicitado.</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examinar el fondo del asunto debemos pronunciarnos sobre el obstáculo procesal opuesto por el Ministerio Fiscal en su escrito de alegaciones respecto de la tacha de desigualdad en la aplicación judicial de la ley (art. 14 CE) que la sociedad recurrente reprocha a la Sentencia del Tribunal Supremo. En su opinión, conforme con más detalle se ha expuesto en los antecedentes, esa pretendida vulneración del principio de igualdad que garantiza el art. 14 CE debe ser excluida de nuestro examen por cuanto la recurrente no denunció esa vulneración constitucional en el previo incidente de nulidad de actuaciones y, por tanto, no lo hizo tan pronto como, una vez conocida, hubo lugar para ello, según exige el art. 44.1 c) de la Ley Orgánica del Tribunal Constitucional (LOTC).</w:t>
      </w:r>
    </w:p>
    <w:p w:rsidR="00D06117" w:rsidRDefault="00D06117" w:rsidP="00D06117">
      <w:pPr>
        <w:pStyle w:val="TextoNormal"/>
      </w:pPr>
    </w:p>
    <w:p w:rsidR="00D06117" w:rsidRDefault="00D06117" w:rsidP="00D06117">
      <w:pPr>
        <w:pStyle w:val="TextoNormal"/>
      </w:pPr>
      <w:r>
        <w:t>Este Tribunal ha puesto repetidamente de manifiesto, en una consolidada y unánime doctrina constitucional, que la exigencia de la invocación previa del derecho fundamental eventualmente vulnerado no es ningún requisito retórico o injustificado, sino que responde a la necesidad de dar a los órganos judiciales la oportunidad de pronunciarse sobre la eventual lesión constitucional y restablecer, en su caso, el derecho fundamental en sede jurisdiccional ordinaria, para salvaguardar de este modo el carácter subsidiario del recurso de amparo (últimamente, por todas, STC 45/2011, de 11 de abril; FJ 2).</w:t>
      </w:r>
    </w:p>
    <w:p w:rsidR="00D06117" w:rsidRDefault="00D06117" w:rsidP="00D06117">
      <w:pPr>
        <w:pStyle w:val="TextoNormal"/>
      </w:pPr>
    </w:p>
    <w:p w:rsidR="00D06117" w:rsidRDefault="00D06117" w:rsidP="00D06117">
      <w:pPr>
        <w:pStyle w:val="TextoNormal"/>
      </w:pPr>
      <w:r>
        <w:t>Con arreglo a estos presupuestos el examen de las actuaciones judiciales aportadas a este proceso constitucional permite comprobar que efectivamente, como advierte el Ministerio Fiscal y está reconocido además en la propia demanda de amparo, la sociedad recurrente no denunció la vulneración del art. 14 CE en el previo incidente de nulidad de actuaciones y, por tanto, que no proporcionó al órgano judicial la oportunidad de reparar esa eventual lesión constitucional. En consecuencia este motivo del recurso de amparo debe ser inadmitido de conformidad a lo dispuesto en el art. 50.1 a), en relación con el art. 44.1 c), ambos de la LOTC.</w:t>
      </w:r>
    </w:p>
    <w:p w:rsidR="00D06117" w:rsidRDefault="00D06117" w:rsidP="00D06117">
      <w:pPr>
        <w:pStyle w:val="TextoNormal"/>
      </w:pPr>
    </w:p>
    <w:p w:rsidR="00D06117" w:rsidRDefault="00D06117" w:rsidP="00D06117">
      <w:pPr>
        <w:pStyle w:val="TextoNormal"/>
      </w:pPr>
      <w:r w:rsidRPr="00D06117">
        <w:rPr>
          <w:rStyle w:val="NumeroAFNegritaCaracter"/>
        </w:rPr>
        <w:t>3</w:t>
      </w:r>
      <w:r>
        <w:t>. Una vez delimitado el objeto de nuestro examen debemos determinar si las resoluciones judiciales recurridas vulneraron efectivamente, como denuncia la entidad demandante de amparo, su derecho a la tutela judicial efectiva o, por el contrario, como es el criterio del Ministerio Fiscal y opina también la Comunidad Autónoma de las Illes Balears, las mismas son irreprochables constitucionalmente ex art. 24.1 CE.</w:t>
      </w:r>
    </w:p>
    <w:p w:rsidR="00D06117" w:rsidRDefault="00D06117" w:rsidP="00D06117">
      <w:pPr>
        <w:pStyle w:val="TextoNormal"/>
      </w:pPr>
    </w:p>
    <w:p w:rsidR="00D06117" w:rsidRDefault="00D06117" w:rsidP="00D06117">
      <w:pPr>
        <w:pStyle w:val="TextoNormal"/>
      </w:pPr>
      <w:r>
        <w:t xml:space="preserve">Según es consolidada y unánime doctrina constitucional el derecho a obtener la tutela judicial efectiva, garantizado en el art. 24.1 CE, comprende el derecho a obtener de los Jueces y Tribunales una resolución motivada y fundada en Derecho sobre el fondo de las pretensiones oportunamente deducidas por las partes en el proceso (últimamente, por todas, STC 38/2011, de 28 de marzo, FJ 3). Lo que significa, en primer lugar, que la resolución judicial ha de estar motivada, es decir, contener los elementos y razones de juicio que permitan conocer cuáles han sido los criterios jurídicos que fundamentan la decisión; y en segundo lugar, que la motivación esté fundada en Derecho (SSTC 276/2006, de 25 de septiembre, FJ 2, y 64/2010, de 18 de octubre; FJ 3) o, lo que es lo mismo, que sea consecuencia de una exégesis racional del ordenamiento y no fruto de un error patente o de la arbitrariedad </w:t>
      </w:r>
      <w:r>
        <w:lastRenderedPageBreak/>
        <w:t>(por todas, STC 146/2005, de 6 de junio, FJ 7). En resumidas cuentas, el art. 24 CE impone a los órganos judiciales “no sólo la obligación de ofrecer una respuesta motivada a las pretensiones deducidas, sino que, además, ésta ha de tener contenido jurídico y no resultar arbitraria” (STC 8/2005, de 17 de enero, FJ 3).</w:t>
      </w:r>
    </w:p>
    <w:p w:rsidR="00D06117" w:rsidRDefault="00D06117" w:rsidP="00D06117">
      <w:pPr>
        <w:pStyle w:val="TextoNormal"/>
      </w:pPr>
    </w:p>
    <w:p w:rsidR="00D06117" w:rsidRDefault="00D06117" w:rsidP="00D06117">
      <w:pPr>
        <w:pStyle w:val="TextoNormal"/>
      </w:pPr>
      <w:r>
        <w:t>Conviene no obstante recordar que en esa misma doctrina constitucional está igualmente dicho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00D06117" w:rsidRDefault="00D06117" w:rsidP="00D06117">
      <w:pPr>
        <w:pStyle w:val="TextoNormal"/>
      </w:pPr>
    </w:p>
    <w:p w:rsidR="00D06117" w:rsidRDefault="00D06117" w:rsidP="00D06117">
      <w:pPr>
        <w:pStyle w:val="TextoNormal"/>
      </w:pPr>
      <w:r w:rsidRPr="00D06117">
        <w:rPr>
          <w:rStyle w:val="NumeroAFNegritaCaracter"/>
        </w:rPr>
        <w:t>4</w:t>
      </w:r>
      <w:r>
        <w:t>. En el presente asunto, conforme se ha recordado con más detalle en los antecedentes de esta resolución, la Sentencia del Tribunal Supremo de 30 de octubre de 2009 rechazó la declaración de nulidad de la liquidación tributaria interesada por la demandante de amparo por considerar, al igual que la Sentencia dictada en instancia y, ya antes, la resolución de la Junta Superior de Hacienda de Baleares impugnada en el proceso judicial a quo, que no cabe alegar, con motivo de la impugnación de la providencia de apremio, cuestiones relativas a la nulidad de pleno derecho de los actos de liquidación, si por entonces son ya firmes. Para alcanzar esta conclusión el Tribunal Supremo tiene muy en cuenta la precisión de la STC 289/2000, de 30 de noviembre (FJ 7), que antes se ha recordado y que expresamente limita el alcance de la declaración de inconstitucionalidad de la Ley del Parlamento de las Illes Balears 12/1991, de 20 de diciembre, sobre el impuesto de instalaciones que inciden en el medio ambiente, a las situaciones que, al tiempo de su publicación en el “Boletín Oficial del Estado”, no hayan adquirido firmeza al haber sido impugnadas en tiempo y forma y no haber recaído todavía una resolución administrativa o judicial firme. Una precisión ciertamente imposible de pasar por alto, que sigue la pauta marcada por otras sentencias constitucionales, y que en el criterio del Tribunal Supremo, que es además el mismo que luce también en otras sentencias del propio órgano judicial, distingue el presente asunto y, en consecuencia, impide aplicar al mismo la doctrina jurisprudencial que en casos muy singulares ha admitido la posibilidad de atacar la liquidación tributaria originaria con ocasión de la impugnación de la providencia de apremio y con fundamento en la posterior anulación de la disposición reglamentaria aplicada por la Administración tributaria.</w:t>
      </w:r>
    </w:p>
    <w:p w:rsidR="00D06117" w:rsidRDefault="00D06117" w:rsidP="00D06117">
      <w:pPr>
        <w:pStyle w:val="TextoNormal"/>
      </w:pPr>
    </w:p>
    <w:p w:rsidR="00D06117" w:rsidRDefault="00D06117" w:rsidP="00D06117">
      <w:pPr>
        <w:pStyle w:val="TextoNormal"/>
      </w:pPr>
      <w:r>
        <w:t>Asimismo la Sentencia impugnada, de conformidad con la propia jurisprudencia que repetidamente ha declarado que en los supuestos de notificaciones a personas jurídicas no es necesario que se identifique a la persona física que la recibe, bastando con que en el correspondiente acuse de recibido conste el sello de la empresa, explica igualmente por qué en el presente caso la notificación de la liquidación tributaria considerada fue correcta y, por consiguiente, la misma era ya al tiempo de la publicación de la STC 289/2000 un acto de liquidación firme, por consentido.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Con arreglo a estos presupuestos no hay duda de que la Sentencia del Tribunal Supremo recurrida en amparo, como ya antes la dictada en la instancia, se justifica por lo pronto en una interpretación de la legalidad ordinaria y de la jurisprudencia aplicables en relación con la impugnación de las providencias de apremio y la posibilidad de oponer frente a ellas las posibles causas de nulidad de pleno derecho de las liquidaciones originarias, así como del alcance de la declaración de inconstitucionalidad de la Ley autonómica 12/1991 efectuada por la tantas veces citada STC 289/2000, que está razonada y que no resulta manifiestamente irrazonable o arbitraria y, por tanto, se trata de una resolución judicial que no puede calificarse a la vista de no fundada en Derecho, con independencia de su acierto o desacierto últimos. En estas condiciones, y al igual que hemos declarado asimismo en otras ocasiones semejantes (SSTC 22/1996, de 12 de febrero; 105/2009, de 4 de mayo; y 38/2011, de 28 de marzo), la Sentencia impugnada en amparo cumple con las exigencias constitucionales del art. 24.1 CE.</w:t>
      </w:r>
    </w:p>
    <w:p w:rsidR="00D06117" w:rsidRDefault="00D06117" w:rsidP="00D06117">
      <w:pPr>
        <w:pStyle w:val="TextoNormal"/>
      </w:pPr>
    </w:p>
    <w:p w:rsidR="00D06117" w:rsidRDefault="00D06117" w:rsidP="00D06117">
      <w:pPr>
        <w:pStyle w:val="TextoNormal"/>
      </w:pPr>
      <w:r>
        <w:t>Desde esta misma perspectiva constitucional de control de la motivación de las resoluciones judiciales carece igualmente de fundamento la vulneración del art. 24.1 CE que la sociedad recurrente denuncia para combatir la interpretación judicial que confirmó la validez de la notificación administrativa de la liquidación tributaria originaria. Pues determinar si la práctica de la notificación exige que el receptor deba quedar plenamente identificado mediante su firma manuscrita, que ha de ser además legible o si, por el contrario, basta en determinadas circunstancias con el sello corporativo de la empresa destinataria, son todas ellas cuestiones de estricta legalidad ordinaria sobre las que este Tribunal, que no es una tercera instancia, según hemos declarado repetidamente, no puede en efecto pronunciarse, salvo que la motivación judicial resultara irrazonable, arbitraria o incursa en error patente (últimamente, por todas, STC 141/2011, de 26 de septiembre). Tachas que no concurren en el presente caso toda vez que, según también se ha dejado anotado, la Sentencia impugnada se funda ahora también en una interpretación razonable y motivada del régimen legal en materia de práctica de la notificación, y que sigue además la propia doctrina jurisprudencial sobre notificaciones a personas jurídicas. En consecuencia tampoco por este otro motivo es posible apreciar la infracción del derecho a la tutela judicial efectiva, sin indefensión (art. 24.1 CE) que se denuncia.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Repsol Comercial de Productos Petrolíferos, S.A.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treinta de enero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7" w:name="SENTENCIA_2012_14"/>
      <w:r>
        <w:lastRenderedPageBreak/>
        <w:t>SENTENCIA 14/2012, de 6 de febrero de 2012</w:t>
      </w:r>
    </w:p>
    <w:bookmarkEnd w:id="17"/>
    <w:p w:rsidR="00D06117" w:rsidRDefault="00D06117" w:rsidP="00D06117">
      <w:pPr>
        <w:pStyle w:val="TtuloResolucin"/>
      </w:pPr>
      <w:r>
        <w:t>Sección Cuarta</w:t>
      </w:r>
    </w:p>
    <w:p w:rsidR="00D06117" w:rsidRDefault="00D06117" w:rsidP="00D06117">
      <w:pPr>
        <w:pStyle w:val="TtuloResolucin"/>
      </w:pPr>
    </w:p>
    <w:p w:rsidR="00D06117" w:rsidRDefault="00D06117" w:rsidP="00D06117">
      <w:pPr>
        <w:pStyle w:val="TtuloBOE"/>
      </w:pPr>
      <w:r>
        <w:t>("BOE" núm. 47, de 24 de febrero de 2012)</w:t>
      </w:r>
    </w:p>
    <w:p w:rsidR="00D06117" w:rsidRDefault="00D06117" w:rsidP="00D06117">
      <w:pPr>
        <w:pStyle w:val="TtuloBOE"/>
      </w:pPr>
    </w:p>
    <w:p w:rsidR="00D06117" w:rsidRDefault="00D06117" w:rsidP="00D06117">
      <w:pPr>
        <w:pStyle w:val="SntesisDescriptiva"/>
      </w:pPr>
      <w:r>
        <w:t>ECLI:ES:TC:2012:14</w:t>
      </w:r>
    </w:p>
    <w:p w:rsidR="00D06117" w:rsidRDefault="00D06117" w:rsidP="00D06117">
      <w:pPr>
        <w:pStyle w:val="SntesisDescriptiva"/>
      </w:pPr>
    </w:p>
    <w:p w:rsidR="00D06117" w:rsidRDefault="00D06117" w:rsidP="00D06117">
      <w:pPr>
        <w:pStyle w:val="SntesisDescriptiva"/>
      </w:pPr>
      <w:r>
        <w:t>Recurso de amparo 3251-2007.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D06117" w:rsidRDefault="00D06117" w:rsidP="00D06117">
      <w:pPr>
        <w:pStyle w:val="SntesisDescriptiva"/>
      </w:pPr>
    </w:p>
    <w:p w:rsidR="00D06117" w:rsidRDefault="00D06117" w:rsidP="00D06117">
      <w:pPr>
        <w:pStyle w:val="SntesisAnaltica"/>
      </w:pPr>
      <w:r>
        <w:t>Vulneración del derecho a participar en los asuntos públicos: STC 20/2011.</w:t>
      </w:r>
    </w:p>
    <w:p w:rsidR="00D06117" w:rsidRDefault="00D06117" w:rsidP="00D06117">
      <w:pPr>
        <w:pStyle w:val="SntesisAnaltica"/>
      </w:pPr>
    </w:p>
    <w:p w:rsidR="00D06117" w:rsidRDefault="00D06117" w:rsidP="00D06117">
      <w:pPr>
        <w:pStyle w:val="Extracto"/>
      </w:pPr>
      <w:r>
        <w:t>1.</w:t>
      </w:r>
      <w:r>
        <w:tab/>
        <w:t xml:space="preserve">La decisión de permitir a los concejales no adscritos la asistencia y la participación en las deliberaciones de las comisiones informativas, pero no el derecho a votar, dificulta la posterior defensa de sus posiciones políticas mediante la participación en las deliberaciones y la votación de los asuntos en el Pleno, e incide en el núcleo de las funciones de representación que son propias del cargo de concejal, lo que determina que se haya producido la lesión de los derechos de participación política </w:t>
      </w:r>
      <w:r w:rsidRPr="00D06117">
        <w:rPr>
          <w:i/>
        </w:rPr>
        <w:t>ex</w:t>
      </w:r>
      <w:r>
        <w:t xml:space="preserve"> art. 23 CE (SSTC 169/2009, 20/2011) [FJ 2].</w:t>
      </w:r>
    </w:p>
    <w:p w:rsidR="00D06117" w:rsidRDefault="00D06117" w:rsidP="00D06117">
      <w:pPr>
        <w:pStyle w:val="Extracto"/>
      </w:pPr>
    </w:p>
    <w:p w:rsidR="00D06117" w:rsidRDefault="00D06117" w:rsidP="00D06117">
      <w:pPr>
        <w:pStyle w:val="Extracto"/>
      </w:pPr>
      <w:r>
        <w:t>2.</w:t>
      </w:r>
      <w:r>
        <w:tab/>
        <w:t>De la lesión de los derechos de participación política derivada de la decisión de excluir del derecho a voto en las comisiones informativas a los concejales no adscritos no se deriva que estos tengan derecho a que su voto compute en los mismos términos que el de los miembros adscritos a grupo, ya que si así fuera, teniendo en cuenta que la comisión informativa es una división interna del Pleno de la corporación, los miembros no adscritos disfrutarían en su seno de una posición de sobrerrepresentación (SSTC 169/2009, 20/2011) [FJ 2].</w:t>
      </w:r>
    </w:p>
    <w:p w:rsidR="00D06117" w:rsidRDefault="00D06117" w:rsidP="00D06117">
      <w:pPr>
        <w:pStyle w:val="Extracto"/>
      </w:pPr>
    </w:p>
    <w:p w:rsidR="00D06117" w:rsidRDefault="00D06117" w:rsidP="00D06117">
      <w:pPr>
        <w:pStyle w:val="Extracto"/>
      </w:pPr>
      <w:r>
        <w:t>3.</w:t>
      </w:r>
      <w:r>
        <w:tab/>
        <w:t>Para evitar la materialización del riesgo de sobrerrepresentación de la minoría que se deriva del derecho de participación directa en las comisiones informativas que corresponde a los miembros no adscritos de la corporación resulta necesario que se adopten las disposiciones organizativas que procedan para garantizar que el derecho de los concejales no adscritos a participar en las deliberaciones y a votar en las comisiones informativas no altere la exigencia de proporcionalidad (SSTC 169/2009, 20/2011) [FJ 2].</w:t>
      </w:r>
    </w:p>
    <w:p w:rsidR="00D06117" w:rsidRDefault="00D06117" w:rsidP="00D06117">
      <w:pPr>
        <w:pStyle w:val="Extracto"/>
      </w:pPr>
    </w:p>
    <w:p w:rsidR="00D06117" w:rsidRDefault="00D06117" w:rsidP="00D06117">
      <w:pPr>
        <w:pStyle w:val="Extracto"/>
      </w:pPr>
      <w:r>
        <w:t>4.</w:t>
      </w:r>
      <w:r>
        <w:tab/>
        <w:t xml:space="preserve">Ni la consideración como concejales no adscritos, con la consiguiente imposibilidad de formar parte de ningún grupo político municipal, ni las consecuencias que de ello se derivan, vulneran el derecho de a ejercer el </w:t>
      </w:r>
      <w:r w:rsidRPr="00D06117">
        <w:rPr>
          <w:i/>
        </w:rPr>
        <w:t>ius in officium</w:t>
      </w:r>
      <w:r>
        <w:t xml:space="preserve">, </w:t>
      </w:r>
      <w:r w:rsidRPr="00D06117">
        <w:rPr>
          <w:i/>
        </w:rPr>
        <w:t>ex</w:t>
      </w:r>
      <w:r>
        <w:t xml:space="preserve"> art. 23 CE (STC 20/2011) [FJ 2].</w:t>
      </w:r>
    </w:p>
    <w:p w:rsidR="00D06117" w:rsidRDefault="00D06117" w:rsidP="00D06117">
      <w:pPr>
        <w:pStyle w:val="Extracto"/>
      </w:pPr>
    </w:p>
    <w:p w:rsidR="00D06117" w:rsidRDefault="00D06117" w:rsidP="00D06117">
      <w:pPr>
        <w:pStyle w:val="Extracto"/>
      </w:pPr>
      <w:r>
        <w:t>5.</w:t>
      </w:r>
      <w:r>
        <w:tab/>
        <w:t xml:space="preserve">Aplica la doctrina sobre la vulneración del derecho fundamental de participación política, </w:t>
      </w:r>
      <w:r w:rsidRPr="00D06117">
        <w:rPr>
          <w:i/>
        </w:rPr>
        <w:t>ex</w:t>
      </w:r>
      <w:r>
        <w:t xml:space="preserve"> art. 23 CE, derivada de la privación a los concejales no adscritos del derecho al voto en las comisiones informativas, de las SSTC 169/2009 y 20/2011 [FJ 2].</w:t>
      </w:r>
    </w:p>
    <w:p w:rsidR="00D06117" w:rsidRDefault="00D06117" w:rsidP="00D06117">
      <w:pPr>
        <w:pStyle w:val="Extracto"/>
      </w:pPr>
    </w:p>
    <w:p w:rsidR="00D06117" w:rsidRDefault="00D06117" w:rsidP="00D06117">
      <w:pPr>
        <w:pStyle w:val="Extracto"/>
      </w:pPr>
      <w:r>
        <w:t>6.</w:t>
      </w:r>
      <w:r>
        <w:tab/>
        <w:t>Procede declarar la lesión del derecho fundamental de los recurrentes a la participación política en condiciones de igualdad y la nulidad del acto de la corporación municipal que impidió su ejercicio, sin necesidad de adoptar una medida destinada al pleno restablecimiento del derecho vulnerado, toda vez que ha finalizado ya el mandato para el que los recurrentes fueron elegidos y en el que se adoptó la decisión municipal de privarles de derecho al voto en la comisión informativa (STC 20/2011)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Sección Cuarta del Tribunal Constitucional, compuesta por doña Elisa Pérez Vera, Presidenta, don Ramón Rodríguez Arribas y don Luis Ignacio Ortega Álvarez,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3251-2007, promovido por don José Luis Peña Domingo y don Juan José Moreno Alonso, representados por el Procurador de los Tribunales don Luis José García Barrenechea y asistidos por el Abogado don Ángel Galindo Álvarez, contra la Sentencia de 29 de septiembre de 2006 del Juzgado de lo Contencioso-Administrativo núm. 1 de Madrid recaída en el procedimiento de protección de derechos fundamentales núm. 1-2006, y contra la Sentencia de 22 de febrero de 2007 de la Sección Novena de la Sala de lo Contencioso-Administrativo del Tribunal Superior de Justicia de Madrid por la que se desestima el recurso de apelación núm. 561-2006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Ramón Rodríguez Arribas, quien expresa el parecer de la Sección.</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que resultan relevantes para su resolución son, sucintamente expuestos, los siguientes:</w:t>
      </w:r>
    </w:p>
    <w:p w:rsidR="00D06117" w:rsidRDefault="00D06117" w:rsidP="00D06117">
      <w:pPr>
        <w:pStyle w:val="TextoNormal"/>
      </w:pPr>
    </w:p>
    <w:p w:rsidR="00D06117" w:rsidRDefault="00D06117" w:rsidP="00D06117">
      <w:pPr>
        <w:pStyle w:val="TextoNormal"/>
      </w:pPr>
      <w:r>
        <w:lastRenderedPageBreak/>
        <w:t>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w:t>
      </w:r>
    </w:p>
    <w:p w:rsidR="00D06117" w:rsidRDefault="00D06117" w:rsidP="00D06117">
      <w:pPr>
        <w:pStyle w:val="TextoNormal"/>
      </w:pPr>
    </w:p>
    <w:p w:rsidR="00D06117" w:rsidRDefault="00D06117" w:rsidP="00D06117">
      <w:pPr>
        <w:pStyle w:val="TextoNormal"/>
      </w:pPr>
      <w:r>
        <w:t>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w:t>
      </w:r>
    </w:p>
    <w:p w:rsidR="00D06117" w:rsidRDefault="00D06117" w:rsidP="00D06117">
      <w:pPr>
        <w:pStyle w:val="TextoNormal"/>
      </w:pPr>
    </w:p>
    <w:p w:rsidR="00D06117" w:rsidRDefault="00D06117" w:rsidP="00D06117">
      <w:pPr>
        <w:pStyle w:val="TextoNormal"/>
      </w:pPr>
      <w:r>
        <w:t>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w:t>
      </w:r>
    </w:p>
    <w:p w:rsidR="00D06117" w:rsidRDefault="00D06117" w:rsidP="00D06117">
      <w:pPr>
        <w:pStyle w:val="TextoNormal"/>
      </w:pPr>
    </w:p>
    <w:p w:rsidR="00D06117" w:rsidRDefault="00D06117" w:rsidP="00D06117">
      <w:pPr>
        <w:pStyle w:val="TextoNormal"/>
      </w:pPr>
      <w:r>
        <w:t>c) El presidente de la comisión informativa de áreas y servicios del Ayuntamiento de Majadahonda convocó a los concejales señores Peña y Moreno a la sesión ordinaria de la referida comisión informativa a celebrar el día 25 de enero de 2006, con voz pero sin voto.</w:t>
      </w:r>
    </w:p>
    <w:p w:rsidR="00D06117" w:rsidRDefault="00D06117" w:rsidP="00D06117">
      <w:pPr>
        <w:pStyle w:val="TextoNormal"/>
      </w:pPr>
    </w:p>
    <w:p w:rsidR="00D06117" w:rsidRDefault="00D06117" w:rsidP="00D06117">
      <w:pPr>
        <w:pStyle w:val="TextoNormal"/>
      </w:pPr>
      <w:r>
        <w:t>d) Los demandantes de amparo interpusieron recurso contencioso-administrativo por el procedimiento de protección de derechos fundamentales contra la referida convocatoria, así como frente a los acuerdos adoptados por la comisión de áreas y servicios del Ayuntamiento de Majadahonda en la sesión celebrada el 25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w:t>
      </w:r>
    </w:p>
    <w:p w:rsidR="00D06117" w:rsidRDefault="00D06117" w:rsidP="00D06117">
      <w:pPr>
        <w:pStyle w:val="TextoNormal"/>
      </w:pPr>
    </w:p>
    <w:p w:rsidR="00D06117" w:rsidRDefault="00D06117" w:rsidP="00D06117">
      <w:pPr>
        <w:pStyle w:val="TextoNormal"/>
      </w:pPr>
      <w:r>
        <w:t xml:space="preserve">e) El recurso contencioso-administrativo de los demandantes fue desestimado por Sentencia de 29 de septiembre de 2006 del Juzgado de lo Contencioso-Administrativo núm. 1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ha de entenderse que los concejales que </w:t>
      </w:r>
      <w:r>
        <w:lastRenderedPageBreak/>
        <w:t>abandonen su grupo de procedencia no tienen derecho a constituirse en grupo político, y ello para impedir que ejerza la gestión política de los intereses de los ciudadanos de modo no sólo diferente a como podían prever los votantes, sino además en un grupo político opuesto al que se dirigieron los votos.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w:t>
      </w:r>
    </w:p>
    <w:p w:rsidR="00D06117" w:rsidRDefault="00D06117" w:rsidP="00D06117">
      <w:pPr>
        <w:pStyle w:val="TextoNormal"/>
      </w:pPr>
    </w:p>
    <w:p w:rsidR="00D06117" w:rsidRDefault="00D06117" w:rsidP="00D06117">
      <w:pPr>
        <w:pStyle w:val="TextoNormal"/>
      </w:pPr>
      <w:r>
        <w:t>f) Contra esta Sentencia interpusieron los demandantes recurso de apelación, que fue desestimado por Sentencia de 22 de febrero de 2007 de la Sección Novena de la Sala de lo Contencioso-Administrativo del Tribunal Superior de Justicia de Madrid (recurso de apelación núm. 561-2006), que reitera los razonamientos de la Sentencia de instancia.</w:t>
      </w:r>
    </w:p>
    <w:p w:rsidR="00D06117" w:rsidRDefault="00D06117" w:rsidP="00D06117">
      <w:pPr>
        <w:pStyle w:val="TextoNormal"/>
      </w:pPr>
    </w:p>
    <w:p w:rsidR="00D06117" w:rsidRDefault="00D06117" w:rsidP="00D06117">
      <w:pPr>
        <w:pStyle w:val="TextoNormal"/>
      </w:pPr>
      <w:r w:rsidRPr="00D06117">
        <w:rPr>
          <w:rStyle w:val="NumeroAFNegritaCaracter"/>
        </w:rPr>
        <w:t>3</w:t>
      </w:r>
      <w:r>
        <w:t>.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w:t>
      </w:r>
    </w:p>
    <w:p w:rsidR="00D06117" w:rsidRDefault="00D06117" w:rsidP="00D06117">
      <w:pPr>
        <w:pStyle w:val="TextoNormal"/>
      </w:pPr>
    </w:p>
    <w:p w:rsidR="00D06117" w:rsidRDefault="00D06117" w:rsidP="00D0611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Contencioso-Administrativo del Tribunal Superior de Justicia de Madrid y al Juzgado de lo Contencioso-Administrativo núm. 1 de Madrid a fin de que en el plazo de diez días remitieran certificación o copia adverada de las actuaciones respectivas, correspondientes al recurso de apelación núm. 561-2006 y al procedimiento de protección de derechos fundamentales núm. 1-2006, con emplazamiento a quienes hubieran sido parte en ese procedimiento, para comparecer en el plazo de diez días, si así lo estiman oportuno,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en este Tribunal el día 1 de junio de 2011 se personó en el presente recurso de amparo el Procurador de los Tribunales don David García Riquelme, en nombre y representación del Ayuntamiento de Majadahonda.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Mediante diligencia de ordenación de 6 de octubre de 2011 la Secretaria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 los recurrentes en amparo presentó su escrito de alegaciones en este Tribunal el 14 de noviembre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w:t>
      </w:r>
    </w:p>
    <w:p w:rsidR="00D06117" w:rsidRDefault="00D06117" w:rsidP="00D06117">
      <w:pPr>
        <w:pStyle w:val="TextoNormal"/>
      </w:pPr>
    </w:p>
    <w:p w:rsidR="00D06117" w:rsidRDefault="00D06117" w:rsidP="00D06117">
      <w:pPr>
        <w:pStyle w:val="TextoNormal"/>
      </w:pPr>
      <w:r>
        <w:t>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w:t>
      </w:r>
    </w:p>
    <w:p w:rsidR="00D06117" w:rsidRDefault="00D06117" w:rsidP="00D06117">
      <w:pPr>
        <w:pStyle w:val="TextoNormal"/>
      </w:pPr>
    </w:p>
    <w:p w:rsidR="00D06117" w:rsidRDefault="00D06117" w:rsidP="00D06117">
      <w:pPr>
        <w:pStyle w:val="TextoNormal"/>
      </w:pPr>
      <w:r>
        <w:t>No obstante, advierten los recurrentes que aun si se entendiera correcta la calificación de concejales no adscritos, con la que fueron convocados a la sesión ordinaria de la comisión informativa de áreas y servicios del Ayuntamiento de Majadahonda que se celebró el 25 de enero de 2006, con voz pero sin voto, ha de concluirse que, conforme al criterio sentado por la citada STC 169/2009, al privarles de su derecho de voto se vulneraron sus derechos fundamentales garantizados por el art. 23 CE.</w:t>
      </w:r>
    </w:p>
    <w:p w:rsidR="00D06117" w:rsidRDefault="00D06117" w:rsidP="00D06117">
      <w:pPr>
        <w:pStyle w:val="TextoNormal"/>
      </w:pPr>
    </w:p>
    <w:p w:rsidR="00D06117" w:rsidRDefault="00D06117" w:rsidP="00D06117">
      <w:pPr>
        <w:pStyle w:val="TextoNormal"/>
      </w:pPr>
      <w:r w:rsidRPr="00D06117">
        <w:rPr>
          <w:rStyle w:val="NumeroAFNegritaCaracter"/>
        </w:rPr>
        <w:t>8</w:t>
      </w:r>
      <w:r>
        <w:t>. El Procurador don David García Riquelme, en nombre y representación del Ayuntamiento de Majadahonda, formuló alegaciones mediante escrito registrado en este Tribunal el 11 de noviembre de 2011. Tras resumir los antecedentes del asunto y con cita de doctrina constitucional sobre los derechos fundamentales garantizados por el art. 23 CE, particular</w:t>
      </w:r>
      <w:r>
        <w:lastRenderedPageBreak/>
        <w:t>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25 de enero de 2006.</w:t>
      </w:r>
    </w:p>
    <w:p w:rsidR="00D06117" w:rsidRDefault="00D06117" w:rsidP="00D06117">
      <w:pPr>
        <w:pStyle w:val="TextoNormal"/>
      </w:pPr>
    </w:p>
    <w:p w:rsidR="00D06117" w:rsidRDefault="00D06117" w:rsidP="00D06117">
      <w:pPr>
        <w:pStyle w:val="TextoNormal"/>
      </w:pPr>
      <w:r>
        <w:t>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w:t>
      </w:r>
    </w:p>
    <w:p w:rsidR="00D06117" w:rsidRDefault="00D06117" w:rsidP="00D06117">
      <w:pPr>
        <w:pStyle w:val="TextoNormal"/>
      </w:pPr>
    </w:p>
    <w:p w:rsidR="00D06117" w:rsidRDefault="00D06117" w:rsidP="00D0611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El Fiscal ante el Tribunal Constitucional presentó su escrito de alegaciones el 8 de noviembre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w:t>
      </w:r>
      <w:r>
        <w:lastRenderedPageBreak/>
        <w:t>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12 de diciembre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 de febrero de 2012 se señaló para deliberación y votación de la presente Sentencia el día 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del presente recurso de amparo consiste en determinar si la decisión del Presidente de la comisión informativa de áreas y servicios del Ayuntamiento de Majadahonda de convocar a los recurrentes a la sesión ordinaria de dicha comisión que se celebró el 25 de enero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D06117" w:rsidRDefault="00D06117" w:rsidP="00D06117">
      <w:pPr>
        <w:pStyle w:val="TextoNormal"/>
      </w:pPr>
    </w:p>
    <w:p w:rsidR="00D06117" w:rsidRDefault="00D06117" w:rsidP="00D0611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D06117" w:rsidRDefault="00D06117" w:rsidP="00D06117">
      <w:pPr>
        <w:pStyle w:val="TextoNormal"/>
      </w:pPr>
    </w:p>
    <w:p w:rsidR="00D06117" w:rsidRDefault="00D06117" w:rsidP="00D06117">
      <w:pPr>
        <w:pStyle w:val="TextoNormal"/>
      </w:pPr>
      <w:r w:rsidRPr="00D0611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 Dicho criterio ha sido posteriormente confirmado por la Sección Cuarta del Tribunal mediante SSTC 82/2011 y 85/2011, ambas de 6 de junio.</w:t>
      </w:r>
    </w:p>
    <w:p w:rsidR="00D06117" w:rsidRDefault="00D06117" w:rsidP="00D06117">
      <w:pPr>
        <w:pStyle w:val="TextoNormal"/>
      </w:pPr>
    </w:p>
    <w:p w:rsidR="00D06117" w:rsidRDefault="00D06117" w:rsidP="00D0611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w:t>
      </w:r>
      <w:r>
        <w:lastRenderedPageBreak/>
        <w:t>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D06117" w:rsidRDefault="00D06117" w:rsidP="00D06117">
      <w:pPr>
        <w:pStyle w:val="TextoNormal"/>
      </w:pPr>
    </w:p>
    <w:p w:rsidR="00D06117" w:rsidRDefault="00D06117" w:rsidP="00D0611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D06117" w:rsidRDefault="00D06117" w:rsidP="00D06117">
      <w:pPr>
        <w:pStyle w:val="TextoNormal"/>
      </w:pPr>
    </w:p>
    <w:p w:rsidR="00D06117" w:rsidRDefault="00D06117" w:rsidP="00D0611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D06117" w:rsidRDefault="00D06117" w:rsidP="00D06117">
      <w:pPr>
        <w:pStyle w:val="TextoNormal"/>
      </w:pPr>
    </w:p>
    <w:p w:rsidR="00D06117" w:rsidRDefault="00D06117" w:rsidP="00D0611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interpuesto por don José Luis Peña Domingo y don Juan José Moreno Alonso, y en consecuencia:</w:t>
      </w:r>
    </w:p>
    <w:p w:rsidR="00D06117" w:rsidRDefault="00D06117" w:rsidP="00D06117">
      <w:pPr>
        <w:pStyle w:val="TextoNormal"/>
      </w:pPr>
    </w:p>
    <w:p w:rsidR="00D06117" w:rsidRDefault="00D06117" w:rsidP="00D06117">
      <w:pPr>
        <w:pStyle w:val="TextoNormal"/>
      </w:pPr>
      <w:r>
        <w:t>1º Declarar que se ha vulnerado el derecho fundamental a la participación política en condiciones de igualdad (art. 23 CE) de los demandantes de amparo.</w:t>
      </w:r>
    </w:p>
    <w:p w:rsidR="00D06117" w:rsidRDefault="00D06117" w:rsidP="00D06117">
      <w:pPr>
        <w:pStyle w:val="TextoNormal"/>
      </w:pPr>
    </w:p>
    <w:p w:rsidR="00D06117" w:rsidRDefault="00D06117" w:rsidP="00D06117">
      <w:pPr>
        <w:pStyle w:val="TextoNormal"/>
      </w:pPr>
      <w:r>
        <w:t>2º Restablecerlos en su derecho y, a tal fin, declarar la nulidad de la convocatoria a la sesión ordinaria de la comisión informativa de áreas y servicios del Ayuntamiento de Majadahonda del 25 de enero de 2006, así como de la Sentencia de 29 de septiembre de 2006 del Juzgado de lo Contencioso-Administrativo núm. 1 de Madrid, dictada en el procedimiento de protección de derechos fundamentales núm. 1-2006, y de la Sentencia de 22 de febrero de 2007, de la Sección Novena de la Sala de lo Contencioso-Administrativo del Tribunal Superior de Justicia de Madrid, recaída en el recurso de apelación núm. 561-2006, en lo que respecta a la privación a los recurrentes del derecho a votar en las comisiones informativas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seis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8" w:name="SENTENCIA_2012_15"/>
      <w:r>
        <w:lastRenderedPageBreak/>
        <w:t>SENTENCIA 15/2012, de 13 de febrero de 2012</w:t>
      </w:r>
    </w:p>
    <w:bookmarkEnd w:id="18"/>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ECLI:ES:TC:2012:15</w:t>
      </w:r>
    </w:p>
    <w:p w:rsidR="00D06117" w:rsidRDefault="00D06117" w:rsidP="00D06117">
      <w:pPr>
        <w:pStyle w:val="SntesisDescriptiva"/>
      </w:pPr>
    </w:p>
    <w:p w:rsidR="00D06117" w:rsidRDefault="00D06117" w:rsidP="00D06117">
      <w:pPr>
        <w:pStyle w:val="SntesisDescriptiva"/>
      </w:pPr>
      <w:r>
        <w:t>Recurso de amparo 3313-2007. Promovido por doña Estrella Gil Díaz y otras personas en relación con el Auto de un Juzgado de lo Mercantil de Palma que dejaba sin efecto su intervención como parte en la sección de calificación de un concurso de acreedores.</w:t>
      </w:r>
    </w:p>
    <w:p w:rsidR="00D06117" w:rsidRDefault="00D06117" w:rsidP="00D06117">
      <w:pPr>
        <w:pStyle w:val="SntesisDescriptiva"/>
      </w:pPr>
    </w:p>
    <w:p w:rsidR="00D06117" w:rsidRDefault="00D06117" w:rsidP="00D06117">
      <w:pPr>
        <w:pStyle w:val="SntesisAnaltica"/>
      </w:pPr>
      <w:r>
        <w:t>Vulneración del derecho a la tutela judicial efectiva (acceso a la justicia): resolución judicial que, soslayando las previsiones legales, deniega la personación en la pieza de calificación a quienes, por ser trabajadores de la empresa concursada, ostentan un interés legítimo.</w:t>
      </w:r>
    </w:p>
    <w:p w:rsidR="00D06117" w:rsidRDefault="00D06117" w:rsidP="00D06117">
      <w:pPr>
        <w:pStyle w:val="SntesisAnaltica"/>
      </w:pPr>
    </w:p>
    <w:p w:rsidR="00D06117" w:rsidRDefault="00D06117" w:rsidP="00D06117">
      <w:pPr>
        <w:pStyle w:val="Extracto"/>
      </w:pPr>
      <w:r>
        <w:t>1.</w:t>
      </w:r>
      <w:r>
        <w:tab/>
        <w:t>Apartar de la sección de calificación, con carácter absoluto, a los trabajadores de la empresa en concurso constituye una interpretación judicial que, apartándose de las previsiones legales que declaran que quien ha acreditado poseer un interés legítimo en el procedimiento puede personarse en el mismo, restringe de manera constitucionalmente reprochable el derecho de acceso a la jurisdicción garantizado por el art. 24.1 CE [FJ 4].</w:t>
      </w:r>
    </w:p>
    <w:p w:rsidR="00D06117" w:rsidRDefault="00D06117" w:rsidP="00D06117">
      <w:pPr>
        <w:pStyle w:val="Extracto"/>
      </w:pPr>
    </w:p>
    <w:p w:rsidR="00D06117" w:rsidRDefault="00D06117" w:rsidP="00D06117">
      <w:pPr>
        <w:pStyle w:val="Extracto"/>
      </w:pPr>
      <w:r>
        <w:t>2.</w:t>
      </w:r>
      <w:r>
        <w:tab/>
        <w:t>Doctrina sobre acceso a la justicia de terceros interesados (SSTC 24/1987, 166/2003)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3313-2007, promovido por doña Estrella Gil Díaz, doña Catalina Sampol Morro, don Juan Sastre Sampol, don Antonio Jiménez Galisteo, doña María del Carmen Pinto Jiménez, don José Esteva Aguilo, don Juan Comas Garriga, doña Pedrona Socias Crespi, doña Carmen Ramírez Ramos, don Manuel Egea Rodríguez, don Sebastián Crespí Moyá, don Antonio José Navarta Morales, don Manuel Huertas Caballero, doña Genoveva Mármol Cañadillas, doña Antonia Torres Mármol, doña Francisca Merino López, doña Francisca Gonzales Valle, doña Salvadora Martínez García, doña Remedios Miras Jurado, doña Catalina Pascual Negre, don Gabriel Molina Escudero, don Miguel Torres Moro, doña Antonia Mármol Cañadillas, doña Catalina Sans Horrach, doña Francisca </w:t>
      </w:r>
      <w:r>
        <w:lastRenderedPageBreak/>
        <w:t>Asunción Ferragut Bibiloni, doña Rafaela Soler Capo, doña María Josefa Merino López, doña Gertrudis Merino López, doña Antonia Capo Pons, doña Isabel Bota Bisquerra, don Gerardo López González, doña Margarita Mulet Ferragut, doña Margarita Cantallops Roca, don Abdón Tobarías Moreno, doña Antonia Mayol Mayol, doña Francisca Gemar Astorga, don Juan Romero Lara, don Bernardo Ferragut Mut, don Moisés Tobarías Ruiz, doña María del Carmen Rodríguez Pedreño, don Bartolomé Monserrat Mudoy, doña María Garcias Bibiloni, doña Isabel Jaume Clar, doña Juana Ordinas Cardona, doña Margarita Antich Ferrer, doña María Antich Ferrer, don Juan Boscana Rigo, don Juan Gari Belmonte, don José Rojas Gema, doña Josefa Gálvez Astorga, doña Margarita Sastre Tomas, doña Antonia Morro Blanch, doña Magdalena Ferriol Vanrell. doña María Dolores Molina Picón, doña María Perelló Gelabert, doña Hilaria Rodríguez García, doña Isabel González Celdrán, doña María Blanca Ester Rosas Martín, doña Elena Mas Tudela, doña Catalina Pons Pujol, don Jaime Tugores Bergas, doña Barbara Trujillos Tirado, doña Margarita Pons Pujol, don Juan José Tornero Morro, doña María del Rosario Gemar Astorga, don Jaime Martorell Bonet y don Pedro Antonio Salva Puig; representados por la Procuradora de los Tribunales doña María Isabel Díaz Solano y asistidos por el Abogado don Manuel Pomar Carrió, contra el Auto del Juzgado de lo Mercantil núm. 1 de Palma de Mallorca de 9 de marzo de 2007, sobre nulidad parcial de actuaciones y pérdida de la condición de parte en pieza de calificación de concurso de acreedores. Ha intervenido el Ministerio Fiscal.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el 12 de abril de 2007, la Procuradora de los Tribunales doña María Isabel Díaz Solano, en nombre y representación de los recurrentes citados en el encabezamiento de esta Sentencia, interpuso demanda de amparo contra la resolución referida en el mismo.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con relevancia para la resolución del presente recurso de amparo son los siguientes:</w:t>
      </w:r>
    </w:p>
    <w:p w:rsidR="00D06117" w:rsidRDefault="00D06117" w:rsidP="00D06117">
      <w:pPr>
        <w:pStyle w:val="TextoNormal"/>
      </w:pPr>
    </w:p>
    <w:p w:rsidR="00D06117" w:rsidRDefault="00D06117" w:rsidP="00D06117">
      <w:pPr>
        <w:pStyle w:val="TextoNormal"/>
      </w:pPr>
      <w:r>
        <w:t>a) Por escrito presentado el 26 de octubre de 2005 ante los Juzgados de lo Mercantil de Palma de Mallorca, la representación procesal de la entidad Yanko, S.A., formuló solicitud para la declaración de concurso voluntario de su representada.</w:t>
      </w:r>
    </w:p>
    <w:p w:rsidR="00D06117" w:rsidRDefault="00D06117" w:rsidP="00D06117">
      <w:pPr>
        <w:pStyle w:val="TextoNormal"/>
      </w:pPr>
    </w:p>
    <w:p w:rsidR="00D06117" w:rsidRDefault="00D06117" w:rsidP="00D06117">
      <w:pPr>
        <w:pStyle w:val="TextoNormal"/>
      </w:pPr>
      <w:r>
        <w:t>b) El Juzgado de lo Mercantil núm. 1 de Palma de Mallorca, encargado del caso, declaró el concurso voluntario mediante Auto de 15 de diciembre de 2005 (procedimiento concurso ordinario núm. 350-2005), con designación de los administradores concursales.</w:t>
      </w:r>
    </w:p>
    <w:p w:rsidR="00D06117" w:rsidRDefault="00D06117" w:rsidP="00D06117">
      <w:pPr>
        <w:pStyle w:val="TextoNormal"/>
      </w:pPr>
    </w:p>
    <w:p w:rsidR="00D06117" w:rsidRDefault="00D06117" w:rsidP="00D06117">
      <w:pPr>
        <w:pStyle w:val="TextoNormal"/>
      </w:pPr>
      <w:r>
        <w:t>c) En virtud de providencia de 13 de julio de 2006, el Juzgado ordenó la formación de la sección (pieza separada) sexta de calificación del concurso, abriendo trámite de alegaciones “a los interesados y a los acreedores”.</w:t>
      </w:r>
    </w:p>
    <w:p w:rsidR="00D06117" w:rsidRDefault="00D06117" w:rsidP="00D06117">
      <w:pPr>
        <w:pStyle w:val="TextoNormal"/>
      </w:pPr>
    </w:p>
    <w:p w:rsidR="00D06117" w:rsidRDefault="00D06117" w:rsidP="00D06117">
      <w:pPr>
        <w:pStyle w:val="TextoNormal"/>
      </w:pPr>
      <w:r>
        <w:t xml:space="preserve">d) El 28 de julio de 2006 la representación procesal de los sindicatos UGT y CC OO, así como los trabajadores de la empresa Yanko, S.A., entre los que se encuentran los demandantes de amparo, se personaron en la sección de calificación y solicitaron la declaración de culpabilidad del concurso con condena a don Javier Camp Vila, en calidad de administrador </w:t>
      </w:r>
      <w:r>
        <w:lastRenderedPageBreak/>
        <w:t>de la concursada, y a Forbic, S.L., por contar con el poder decisorio en la misma. El 1 de septiembre de 2006 presentaron escrito de ampliación del anterior, interesando que la declaración de culpabilidad del concurso afectase también a otras entidades.</w:t>
      </w:r>
    </w:p>
    <w:p w:rsidR="00D06117" w:rsidRDefault="00D06117" w:rsidP="00D06117">
      <w:pPr>
        <w:pStyle w:val="TextoNormal"/>
      </w:pPr>
    </w:p>
    <w:p w:rsidR="00D06117" w:rsidRDefault="00D06117" w:rsidP="00D06117">
      <w:pPr>
        <w:pStyle w:val="TextoNormal"/>
      </w:pPr>
      <w:r>
        <w:t>e) Por providencia de 12 de septiembre de 2006 se tuvieron por presentados dichos escritos y por personados a UGT, a CC OO, y a los trabajadores mencionados en la sección de calificación, concediéndose a la administración concursal un plazo de quince días para que emitiese informe sobre los hechos relevantes para la calificación del concurso, con propuesta de resolución. Así lo hicieron los administradores concursales de Yanko, S.A., en escrito de 6 de octubre de 2006.</w:t>
      </w:r>
    </w:p>
    <w:p w:rsidR="00D06117" w:rsidRDefault="00D06117" w:rsidP="00D06117">
      <w:pPr>
        <w:pStyle w:val="TextoNormal"/>
      </w:pPr>
    </w:p>
    <w:p w:rsidR="00D06117" w:rsidRDefault="00D06117" w:rsidP="00D06117">
      <w:pPr>
        <w:pStyle w:val="TextoNormal"/>
      </w:pPr>
      <w:r>
        <w:t>f) El Juzgado dictó providencia el 13 de diciembre de 2006 en la que emplazaba “a todos los que, según resulta de lo actuado pudieran resultar afectados, es decir, D. Xavier Camp Vila, administrador de la concursada y las entidades Forbic SL, de la que se desconoce el domicilio, debiendo requerirse a la Procuradora Sra. Montané a fin de que aporte el mismo, y las entidades Cesgarden SA, Palau Arxapa 10 SL, Grupo Inmobiliario Castellvi y Auren Auditors Consultors a través de sus respectivas representaciones procesales en las piezas incidentales de rescisión, a fin de que en el término de cinco días comparezcan en esta Sección”.</w:t>
      </w:r>
    </w:p>
    <w:p w:rsidR="00D06117" w:rsidRDefault="00D06117" w:rsidP="00D06117">
      <w:pPr>
        <w:pStyle w:val="TextoNormal"/>
      </w:pPr>
    </w:p>
    <w:p w:rsidR="00D06117" w:rsidRDefault="00D06117" w:rsidP="00D06117">
      <w:pPr>
        <w:pStyle w:val="TextoNormal"/>
      </w:pPr>
      <w:r>
        <w:t>El requerimiento de aportación de domicilio de Forbic, S.L., fue cumplimentado por la Procuradora de los aquí recurrentes, señora Montané, por escrito registrado el día 21 de diciembre de 2006, procediéndose a su emplazamiento en providencia de 22 de diciembre de 2006. En respuesta a la petición de aclaración efectuada por la Procuradora de una de las entidades emplazadas, que solicitó que se señalara la razón por la que se citaba a la compañía Auren Auditors Consultors Barcelona, S.A., frente a la que ninguna pretensión formulaban ni el informe de la administración concursal ni el del Ministerio Fiscal, la providencia reseñada establecía lo siguiente: “se hace constar que por la representación procesal de UGT, CCOO y trabajadores de Yanko, mediante escrito de 1 de septiembre, se solicitaba que la declaración de culpabilidad afectara igualmente a la entidad Auren Auditors Consultors Barcelona SA”.</w:t>
      </w:r>
    </w:p>
    <w:p w:rsidR="00D06117" w:rsidRDefault="00D06117" w:rsidP="00D06117">
      <w:pPr>
        <w:pStyle w:val="TextoNormal"/>
      </w:pPr>
    </w:p>
    <w:p w:rsidR="00D06117" w:rsidRDefault="00D06117" w:rsidP="00D06117">
      <w:pPr>
        <w:pStyle w:val="TextoNormal"/>
      </w:pPr>
      <w:r>
        <w:t>g) Auren Auditors Consultors Barcelona, S.A., presentó entonces escrito de 12 de enero de 2007 solicitando se declarara la nulidad de la providencia de 13 de diciembre de 2006, ya que se le emplazaba como afectada por la calificación del concurso pese a no aparecer señalada como tal en los escritos de la administración concursal ni del Ministerio Fiscal, únicos que cuentan —alegaba— con la condición de parte. Aducía que los sindicatos y trabajadores de la empresa concursada, como terceros interesados en el concurso (art. 168 de la Ley 22/2003, concursal, de 9 de julio ), tienen legitimación para formular alegaciones en la sección de calificación, pero no para deducir pretensiones, como sería la de que se le tuviere como afectada por la calificación del concurso.</w:t>
      </w:r>
    </w:p>
    <w:p w:rsidR="00D06117" w:rsidRDefault="00D06117" w:rsidP="00D06117">
      <w:pPr>
        <w:pStyle w:val="TextoNormal"/>
      </w:pPr>
    </w:p>
    <w:p w:rsidR="00D06117" w:rsidRDefault="00D06117" w:rsidP="00D06117">
      <w:pPr>
        <w:pStyle w:val="TextoNormal"/>
      </w:pPr>
      <w:r>
        <w:t>h) El Juzgado, por Auto de 7 de febrero de 2007, declaró la nulidad parcial de las actuaciones de la sección de calificación, dejando sin efecto la providencia de 13 de diciembre de 2006 en lo referente al emplazamiento, como persona afectada por la calificación, de Auren Auditors Consultors Barcelona, S.A.</w:t>
      </w:r>
    </w:p>
    <w:p w:rsidR="00D06117" w:rsidRDefault="00D06117" w:rsidP="00D06117">
      <w:pPr>
        <w:pStyle w:val="TextoNormal"/>
      </w:pPr>
    </w:p>
    <w:p w:rsidR="00D06117" w:rsidRDefault="00D06117" w:rsidP="00D06117">
      <w:pPr>
        <w:pStyle w:val="TextoNormal"/>
      </w:pPr>
      <w:r>
        <w:lastRenderedPageBreak/>
        <w:t>i) Asimismo, el 16 de febrero de 2007, el juzgador dictó providencia por la que, de oficio, acordó iniciar un trámite de nulidad de actuaciones al considerar que había cometido una infracción procesal por haber admitido la personación en la sección de calificación de los trabajadores de la concursada y de los sindicatos UGT y CC OO. De dicha resolución se dio traslado a las partes para que pudieran efectuar alegaciones. Los aquí recurrentes evacuaron el trámite mediante escrito de 28 de febrero de 2007, oponiéndose a la declaración de nulidad al entender que ostentaban legitimación suficiente para actuar en la pieza de calificación. Por su parte, los administradores concursales de Yanko, S.A., en escrito de 23 de febrero de 2007, consideraron procedente la nulidad.</w:t>
      </w:r>
    </w:p>
    <w:p w:rsidR="00D06117" w:rsidRDefault="00D06117" w:rsidP="00D06117">
      <w:pPr>
        <w:pStyle w:val="TextoNormal"/>
      </w:pPr>
    </w:p>
    <w:p w:rsidR="00D06117" w:rsidRDefault="00D06117" w:rsidP="00D06117">
      <w:pPr>
        <w:pStyle w:val="TextoNormal"/>
      </w:pPr>
      <w:r>
        <w:t>El día 9 de marzo de 2007 el Juzgado dictó Auto con la siguiente parte dispositiva: “declarar la nulidad parcial de las actuaciones de la presente Sección de calificación debiendo dejar sin efecto, solo, cualquier intervención que como parte se hubiere admitido a los Trabajadores de Yanko SA y a los Sindicatos UGT y CCOO en la mencionada Sección”.</w:t>
      </w:r>
    </w:p>
    <w:p w:rsidR="00D06117" w:rsidRDefault="00D06117" w:rsidP="00D06117">
      <w:pPr>
        <w:pStyle w:val="TextoNormal"/>
      </w:pPr>
    </w:p>
    <w:p w:rsidR="00D06117" w:rsidRDefault="00D06117" w:rsidP="00D06117">
      <w:pPr>
        <w:pStyle w:val="TextoNormal"/>
      </w:pPr>
      <w:r>
        <w:t>Para fundamentar su decisión, tras recordar la potestad que posee el juzgador para acordar la nulidad de oficio de las actuaciones (arts. 240 de la Ley Orgánica del Poder Judicial), señala la resolución que el procedimiento ha de regirse por lo dispuesto en los arts. 193, 168 y 170 de la Ley concursal, en tanto que ley especial, y que conforme a éstos, especialmente el art. 168, “el legislador ha querido que como parte actora de la Sección de calificación, como únicos legitimados, aparezcan la Administración Concursal y el Ministerio Fiscal, únicas partes a las que se le facultan para que puedan emitir informes, solicitar condenas, proponer pruebas, participar en la práctica de las mismas; en cambio el legislador ha querido (ya que así lo recoge expresamente) que cualquier otro tercero, con interés en la tramitación de la Sección, su intervención quede reducida a formular alegaciones dirigidas a ilustrar a los intervinientes en la Sección, pero nada más. Y ello es coherente con el resto de la regulación de la Sección, dado que, conforme dispone el art. 170, el juzgador solo queda vinculado por la calificación que hagan la Administración Concursal y el Ministerio Fiscal, sin tener en consideración lo que terceros puedan opinar o alegar al respecto”.</w:t>
      </w:r>
    </w:p>
    <w:p w:rsidR="00D06117" w:rsidRDefault="00D06117" w:rsidP="00D06117">
      <w:pPr>
        <w:pStyle w:val="TextoNormal"/>
      </w:pPr>
    </w:p>
    <w:p w:rsidR="00D06117" w:rsidRDefault="00D06117" w:rsidP="00D06117">
      <w:pPr>
        <w:pStyle w:val="TextoNormal"/>
      </w:pPr>
      <w:r>
        <w:t>Tras añadir que la exposición de motivos de la Ley concursal, en su apartado VIII, párrafo cuarto, “expresamente recoge que el juicio referente a la calificación se decidirá mediante un contradictorio, en el que serán partes el Ministerio Fiscal, la Administración concursal, el deudor y todas las personas que pudieran resultar afectadas por la calificación, esto es, todas aquellas personas relatadas en el art. 170.2 en relación con el art. 172, ambos de la LC”, concluye que “los trabajadores de la concursada y los Sindicatos UGT y CCOO no pueden ser parte en el presente expediente”. De ello derivaría, según se expresa en el Auto, que “si los trabajadores, o los sindicatos o cualquier otro tercero, no pueden ser parte en la Sección de calificación, por voluntad del legislador, realmente se ha cometido la infracción que el propio Juzgado pone de manifiesto, lo que comportaría la nulidad de todo lo relativo a aquellos, desde el momento mismo en que se personan como parte legítima, dejando sin efecto cualquier intervención que como parte se les hubiese reconocido en la presente Sección de calificación”. Se declara, en consecuencia, la nulidad parcial de las actuaciones en los términos anteriormente expuestos.</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La demanda de amparo achaca al Auto impugnado la vulneración del derecho a la tutela judicial efectiva (art. 24.1 CE) desde dos vertientes, la del derecho a la obtención de una resolución judicial congruente y la del acceso a la jurisdicción, vulneración producida </w:t>
      </w:r>
      <w:r>
        <w:lastRenderedPageBreak/>
        <w:t>por la decisión del Juzgado competente de excluirles de toda intervención como parte en la sección de calificación del concurso instado por la empresa en la que trabajan, Yanko, S.A.</w:t>
      </w:r>
    </w:p>
    <w:p w:rsidR="00D06117" w:rsidRDefault="00D06117" w:rsidP="00D06117">
      <w:pPr>
        <w:pStyle w:val="TextoNormal"/>
      </w:pPr>
    </w:p>
    <w:p w:rsidR="00D06117" w:rsidRDefault="00D06117" w:rsidP="00D06117">
      <w:pPr>
        <w:pStyle w:val="TextoNormal"/>
      </w:pPr>
      <w:r>
        <w:t>Los recurrentes afirman, por un lado, que el Auto impugnado vulnera su derecho de acceso a la jurisdicción, precisamente por excluirles del procedimiento de calificación con negación de su condición de parte. Citan en su apoyo doctrina científica y resoluciones de otros Juzgados de lo Mercantil y sostienen que tienen derecho a manifestar en la pieza que el concurso es culpable, señalar a las personas responsables de ello y proponer y que se practiquen las pruebas necesarias para lograr su resarcimiento, con igualdad de armas para replicar dialécticamente las posiciones contrarias. En definitiva, insisten, “[n]o cabe duda de que los trabajadores son parte en el concurso y son parte además en virtud del art. 24 de la CE, art. 168.1 de la Ley concursal y del art. 13 de la LEC”.</w:t>
      </w:r>
    </w:p>
    <w:p w:rsidR="00D06117" w:rsidRDefault="00D06117" w:rsidP="00D06117">
      <w:pPr>
        <w:pStyle w:val="TextoNormal"/>
      </w:pPr>
    </w:p>
    <w:p w:rsidR="00D06117" w:rsidRDefault="00D06117" w:rsidP="00D06117">
      <w:pPr>
        <w:pStyle w:val="TextoNormal"/>
      </w:pPr>
      <w:r>
        <w:t>Por otro lado, extienden su queja a la consecuencia derivada de la decisión de apartarles de la sección de calificación, en tanto que la sentencia que deba dictarse poniendo cierre a la pieza dejaría sin respuesta las peticiones que habían presentado sobre resarcimiento, culpabilidad y complicidad de ciertas personas, dado que ninguno de los demás sujetos intervinientes está llamado a defender sus posiciones en el procedimiento.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la Sección Segunda de este Tribunal, de 12 de junio de 2008, antes de resolver sobre la admisión de la demanda presentada, se acordó, conforme a lo dispuesto en el apartado 3 del artículo 50 de la Ley Orgánica del Tribunal Constitucional (LOTC) en su redacción anterior a la entrada en vigor de la Ley Orgánica 6/2007, de 24 de mayo, disposición transitoria tercera, conceder a la parte demandante y al Ministerio Fiscal un plazo común de diez días para que formulasen alegaciones en relación con la causa de inadmisión de carencia manifiesta de contenido constitucional de la demanda —art. 50.1 c) LOTC—.</w:t>
      </w:r>
    </w:p>
    <w:p w:rsidR="00D06117" w:rsidRDefault="00D06117" w:rsidP="00D06117">
      <w:pPr>
        <w:pStyle w:val="TextoNormal"/>
      </w:pPr>
    </w:p>
    <w:p w:rsidR="00D06117" w:rsidRDefault="00D06117" w:rsidP="00D06117">
      <w:pPr>
        <w:pStyle w:val="TextoNormal"/>
      </w:pPr>
      <w:r>
        <w:t>La representación de la parte recurrente defendió la existencia de las lesiones constitucionales denunciadas, mientras que el Ministerio Fiscal interesó la admisión a trámite de la demanda de amparo en lo relativo a la denuncia de lesión del derecho de acceso a la jurisdicción, al entender que el recurso no carecía en ese punto de contenido constitucional.</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la Sala Primera de este Tribunal, de 18 de octubre de 2010, se acordó la admisión a trámite de la demanda de amparo. Asimismo, en aplicación de lo dispuesto en el art. 51 LOTC, se dirigió comunicación al Juzgado de lo Mercantil núm. 1 de Palma de Mallorca para que remitiera certificación o fotocopia adverada de las actuaciones del procedimiento concurso ordinario núm. 350-2005, y para que procediera a los emplazamientos correspondientes.</w:t>
      </w:r>
    </w:p>
    <w:p w:rsidR="00D06117" w:rsidRDefault="00D06117" w:rsidP="00D06117">
      <w:pPr>
        <w:pStyle w:val="TextoNormal"/>
      </w:pPr>
    </w:p>
    <w:p w:rsidR="00D06117" w:rsidRDefault="00D06117" w:rsidP="00D06117">
      <w:pPr>
        <w:pStyle w:val="TextoNormal"/>
      </w:pPr>
      <w:r w:rsidRPr="00D06117">
        <w:rPr>
          <w:rStyle w:val="NumeroAFNegritaCaracter"/>
        </w:rPr>
        <w:t>6</w:t>
      </w:r>
      <w:r>
        <w:t>. Cumplido lo anterior, la Secretaría de Justicia de la Sección Segunda de este Tribunal, en diligencia de ordenación de 11 de febrero de 2011, abrió el plazo legalmente previsto para presentación de alegaciones (art. 52 LOTC).</w:t>
      </w:r>
    </w:p>
    <w:p w:rsidR="00D06117" w:rsidRDefault="00D06117" w:rsidP="00D06117">
      <w:pPr>
        <w:pStyle w:val="TextoNormal"/>
      </w:pPr>
    </w:p>
    <w:p w:rsidR="00D06117" w:rsidRDefault="00D06117" w:rsidP="00D06117">
      <w:pPr>
        <w:pStyle w:val="TextoNormal"/>
      </w:pPr>
      <w:r>
        <w:t xml:space="preserve">La representación procesal de los recurrentes llevó a cabo dicho trámite mediante escrito de 21 de marzo de 2011, en el que, en esencia, reiteraba los contenidos de la demanda de </w:t>
      </w:r>
      <w:r>
        <w:lastRenderedPageBreak/>
        <w:t>amparo, además de poner de manifiesto al Tribunal la necesidad de solicitar nueva documentación al Juzgado de lo Mercantil núm.1 de Palma de Mallorca para la mejor comprensión de la cuestión objeto del recurso.</w:t>
      </w:r>
    </w:p>
    <w:p w:rsidR="00D06117" w:rsidRDefault="00D06117" w:rsidP="00D06117">
      <w:pPr>
        <w:pStyle w:val="TextoNormal"/>
      </w:pPr>
    </w:p>
    <w:p w:rsidR="00D06117" w:rsidRDefault="00D06117" w:rsidP="00D06117">
      <w:pPr>
        <w:pStyle w:val="TextoNormal"/>
      </w:pPr>
      <w:r w:rsidRPr="00D06117">
        <w:rPr>
          <w:rStyle w:val="NumeroAFNegritaCaracter"/>
        </w:rPr>
        <w:t>7</w:t>
      </w:r>
      <w:r>
        <w:t>. El Fiscal ante este Tribunal Constitucional presentó su escrito de alegaciones el día 23 de marzo de 2011. En primer lugar, entiende que la queja de incongruencia carece manifiestamente de fundamento, pues la demanda no ofrece argumentos para colegir que haya habido una desviación entre las pretensiones de las partes y lo resuelto por el Auto impugnado. A su juicio, la demanda de amparo califica erróneamente como incongruencia omisiva una hipótesis de futuro que no formaba parte del debate procesal que debía resolver el Auto impugnado (a saber: si la exclusión de la personación de los trabajadores provocaría que quedasen sin respuesta las peticiones de condena que éstos pretendían contra los administradores y sus cómplices).</w:t>
      </w:r>
    </w:p>
    <w:p w:rsidR="00D06117" w:rsidRDefault="00D06117" w:rsidP="00D06117">
      <w:pPr>
        <w:pStyle w:val="TextoNormal"/>
      </w:pPr>
    </w:p>
    <w:p w:rsidR="00D06117" w:rsidRDefault="00D06117" w:rsidP="00D06117">
      <w:pPr>
        <w:pStyle w:val="TextoNormal"/>
      </w:pPr>
      <w:r>
        <w:t>En cuanto a la queja por vulneración del derecho de acceso a la justicia, el Ministerio Público considera que no concurre irracionalidad o arbitrariedad en los razonamientos del Auto recurrido, que niega la legitimación de los trabajadores de la empresa concursada en la pieza de calificación, que reserva únicamente a la administración concursal y al Ministerio Fiscal el derecho a formular peticiones y que reconoce a los “interesados”, únicamente, el derecho a personarse en la pieza para formular alegaciones. Dicha interpretación, afirma, puede resultar doctrinalmente discutible pero está debidamente argumentada y no constituye una aplicación de la ley que quepa calificar de irrazonable, arbitraria o enervante del derecho de acceso al proceso, como exige la jurisprudencia constitucional para declarar la lesión del derecho fundamental del art. 24.1 CE en esa vertiente de acceso a la jurisdicción.</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diligencia de ordenación dictada por la Secretaría de Justicia de la Sección Segunda de este Tribunal, de 5 de diciembre de 2011, se acordó solicitar al Juzgado de lo Mercantil núm.1 de Palma de Mallorca las actuaciones que se hubieren dictado en la pieza de calificación dimanante del procedimiento de concurso ordinario núm. 305-2005 con posterioridad al 13 de diciembre de 2010, fecha de remisión por dicho órgano judicial de las practicadas hasta ese momento. La diligencia se hizo efectiva a través de contacto telefónico, del que se obtuvo respuesta por fax el mismo día 5 de diciembre, quedando unidas las actuaciones enviadas.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9 de febrero de 2012 se señaló para deliberación y votación de la presente Sentencia el día 13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Se interpone el presente recurso de amparo por los trabajadores de la empresa Yanko, S.A., que impugnan el Auto dictado por el Juzgado de lo Mercantil núm. 1 de Palma de Mallorca, de 9 de marzo de 2007, que acordó negarles la condición de parte en la pieza o sección de calificación del concurso abierto en relación con dicha entidad, anulando “cualquier intervención que como parte se hubiere admitido” previamente a dichos trabajadores. Entienden los recurrentes que su derecho fundamental a la tutela judicial efectiva (art. 24.1 CE) ha sido lesionado por la negación del derecho de acceso al proceso, y asimismo porque </w:t>
      </w:r>
      <w:r>
        <w:lastRenderedPageBreak/>
        <w:t>su exclusión sobrevenida impedirá toda respuesta a las pretensiones que habían hecho valer previamente, lo que provocará un efecto de incongruencia.</w:t>
      </w:r>
    </w:p>
    <w:p w:rsidR="00D06117" w:rsidRDefault="00D06117" w:rsidP="00D06117">
      <w:pPr>
        <w:pStyle w:val="TextoNormal"/>
      </w:pPr>
    </w:p>
    <w:p w:rsidR="00D06117" w:rsidRDefault="00D06117" w:rsidP="00D06117">
      <w:pPr>
        <w:pStyle w:val="TextoNormal"/>
      </w:pPr>
      <w:r w:rsidRPr="00D06117">
        <w:rPr>
          <w:rStyle w:val="NumeroAFNegritaCaracter"/>
        </w:rPr>
        <w:t>2</w:t>
      </w:r>
      <w:r>
        <w:t>. Para centrarnos en la cuestión verdaderamente controvertida debemos rechazar, en primer lugar, la queja de la demanda de amparo formulada por incongruencia, que carece abiertamente de contenido, como acertadamente señala el Ministerio Fiscal en su escrito de alegaciones. En efecto, no estamos propiamente ante una falta de pronunciamiento ni ante una desviación entre el objeto de lo pretendido por la parte y lo resuelto en el Auto impugnado, expresiones de la incongruencia con relevancia constitucional (últimamente, SSTC 165/2008, de 15 de diciembre, FJ 2; 51/2010, de 4 de octubre, FJ 3; 91/2010, de 15 de noviembre, FJ 5, y las anteriores que en ellas se citan), sino sólo ante la denuncia de unos hipotéticos efectos futuros, que supuestamente causaría la exclusión de los recurrentes de la sección de calificación. Se revela con ello su discrepancia con el Auto recurrido, pero no la incongruencia de éste, que resolvía lo planteado, de modo que el auténtico debate que se suscita en este procedimiento constitucional se ciñe a la queja relativa a la vulneración del derecho de acceso a la jurisdicción, que recibirá seguidamente respuesta.</w:t>
      </w:r>
    </w:p>
    <w:p w:rsidR="00D06117" w:rsidRDefault="00D06117" w:rsidP="00D06117">
      <w:pPr>
        <w:pStyle w:val="TextoNormal"/>
      </w:pPr>
    </w:p>
    <w:p w:rsidR="00D06117" w:rsidRDefault="00D06117" w:rsidP="00D06117">
      <w:pPr>
        <w:pStyle w:val="TextoNormal"/>
      </w:pPr>
      <w:r w:rsidRPr="00D06117">
        <w:rPr>
          <w:rStyle w:val="NumeroAFNegritaCaracter"/>
        </w:rPr>
        <w:t>3</w:t>
      </w:r>
      <w:r>
        <w:t>. Este Tribunal ha tenido oportunidad de ocuparse de decisiones judiciales que negaron la intervención dentro de un proceso determinado a terceros que reclamaban su personación en el mismo al amparo del derecho de acceso a la jurisdicción (art. 24.1 CE), fijando una doctrina aplicable mutatis mutandis a casos como el actual. En relación con ello, por ejemplo en la STC 166/2003, de 29 de septiembre, FJ 4, establecimos: “Más concretamente, a propósito de la falta de legitimación activa, este Tribunal Constitucional tiene declarado que, al conceder el art. 24.1 CE el derecho a la tutela judicial 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comprobar que las limitaciones establecidas, en su caso, por el legislador en la determinación de los legitimados activamente para hacer valer una pretensión respetan el contenido del derecho a acceder a la jurisdicción y resultan proporcionadas a la consecución de finalidades constitucionalmente lícitas (STC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y 34/1994, de 31 de enero, FJ 3, entre otras muchas, y AATC 136/1991, de 30 de abril; 250/1993, de 19 de julio; 252/1993, de 19 de julio).”</w:t>
      </w:r>
    </w:p>
    <w:p w:rsidR="00D06117" w:rsidRDefault="00D06117" w:rsidP="00D06117">
      <w:pPr>
        <w:pStyle w:val="TextoNormal"/>
      </w:pPr>
    </w:p>
    <w:p w:rsidR="00D06117" w:rsidRDefault="00D06117" w:rsidP="00D06117">
      <w:pPr>
        <w:pStyle w:val="TextoNormal"/>
      </w:pPr>
      <w:r>
        <w:t>Esa doctrina de referencia ha de conducir a la estimación del amparo solicitado. En efecto, el Auto reseñado, tras realizar una distinción entre alegaciones y formulación de pretensiones, resuelve, de manera tajante y sin ninguna matización, apartar de la sección con carácter absoluto a los recurrentes, hasta tal punto que acuerda “la nulidad de todo lo relativo a aquéllos, desde el momento en que se personan como parte legítima, dejando sin efecto cualquier intervención que como parte se les hubiese reconocido en la presente Sección de calificación”. No cabe ninguna duda, por lo tanto, del carácter absoluto de la decisión del Juez respecto a la intervención de los recurrentes en la fase previa al contradictorio.</w:t>
      </w:r>
    </w:p>
    <w:p w:rsidR="00D06117" w:rsidRDefault="00D06117" w:rsidP="00D06117">
      <w:pPr>
        <w:pStyle w:val="TextoNormal"/>
      </w:pPr>
    </w:p>
    <w:p w:rsidR="00D06117" w:rsidRDefault="00D06117" w:rsidP="00D06117">
      <w:pPr>
        <w:pStyle w:val="TextoNormal"/>
      </w:pPr>
      <w:r>
        <w:lastRenderedPageBreak/>
        <w:t>La Ley concursal resulta diáfana al prever que se emplace a los terceros que puedan resultar afectados para que comparezcan en la sección a formular alegaciones. Por tanto, el Auto impugnado es claro que soslaya las previsiones establecidas por el ordenamiento que declaran que quien ha acreditado poseer un interés legítimo en el procedimiento pueda personarse en el mismo. La limitación de la actuación de los terceros con interés legítimo —en este caso, los aquí recurrentes— a la fase ulterior del contradictorio constituye una interpretación judicial que, apartándose de forma patente de las previsiones legales, restringe de manera constitucionalmente reprochable el derecho de acceso a la jurisdicción garantizado por el art. 24.1 CE.</w:t>
      </w:r>
    </w:p>
    <w:p w:rsidR="00D06117" w:rsidRDefault="00D06117" w:rsidP="00D06117">
      <w:pPr>
        <w:pStyle w:val="TextoNormal"/>
      </w:pPr>
    </w:p>
    <w:p w:rsidR="00D06117" w:rsidRDefault="00D06117" w:rsidP="00D06117">
      <w:pPr>
        <w:pStyle w:val="TextoNormal"/>
      </w:pPr>
      <w:r w:rsidRPr="00D06117">
        <w:rPr>
          <w:rStyle w:val="NumeroAFNegritaCaracter"/>
        </w:rPr>
        <w:t>4</w:t>
      </w:r>
      <w:r>
        <w:t>. Procede, por tanto, la estimación del presente recurso de amparo, por vulneración del derecho a la tutela judicial efectiva (art. 24.1 CE), en su vertiente de acceso a la jurisdicción, lo que trae como consecuencia la nulidad del Auto de 9 de marzo de 2007 dictado por el Juzgado competente, así como la cesación de efectos de lo dispuesto por dicha resolución. Esto último ha de implicar, como medida para la plena restitución del derecho vulnerado [art. 55.1 c) de la Ley Orgánica del Tribunal Constitucional], que se reintegre a los recurrentes en la sección con las alegaciones que éstos habían formulado.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 xml:space="preserve">Otorgar el amparo solicitado por doña Estrella Gil Díaz, doña Catalina Sampol Morro, don Juan Sastre Sampol, don Antonio Jiménez Galisteo, doña María del Carmen Pinto Jiménez, don José Esteva Aguilo, don Juan Comas Garriga, doña Pedrona Socias Crespi, doña Carmen Ramírez Ramos, don Manuel Egea Rodríguez, don Sebastián Crespí Moyá, don Antonio José Navarta Morales, don Manuel Huertas Caballero, doña Genoveva Mármol Cañadillas, doña Antonia Torres Mármol, doña Francisca Merino López, doña Francisca Gonzales Valle, doña Salvadora Martínez García, doña Remedios Miras Jurado, doña Catalina Pascual Negre, don Gabriel Molina Escudero, don Miguel Torres Moro, doña Antonia Mármol Cañadillas, doña Catalina Sans Horrach, doña Francisca Asunción Ferragut Bibiloni, doña Rafaela Soler Capo, doña María Josefa Merino López, doña Gertrudis Merino López, doña Antonia Capo Pons, doña Isabel Bota Bisquerra, don Gerardo López González, doña Margarita Mulet Ferragut, doña Margarita Cantallops Roca, don Abdón Tobarías Moreno, doña Antonia Mayol Mayol, doña Francisca Gemar Astorga, don Juan Romero Lara, don Bernardo Ferragut Mut, don Moisés Tobarías Ruiz, doña María del Carmen Rodríguez Pedreño, don Bartolomé Monserrat Mudoy, doña María Garcias Bibiloni, doña Isabel Jaume Clar, doña Juana Ordinas Cardona, doña Margarita Antich Ferrer, doña María Antich Ferrer, don Juan Boscana Rigo, don Juan Gari Belmonte, don José Rojas Gema, doña Josefa Gálvez Astorga, doña Margarita Sastre Tomas, doña Antonia Morro Blanch, doña Magdalena Ferriol Vanrell, doña María Dolores Molina Picón, doña María Perelló Gelabert, doña Hilaria Rodríguez García, doña Isabel González Celdrán, doña María Blanca Ester Rosas Martín, doña Elena Mas Tudela, doña Catalina Pons Pujol, don Jaime Tugores Bergas, doña Barbara Trujillos Tirado, doña Margarita Pons Pujol, don Juan José Tornero Morro, doña María del </w:t>
      </w:r>
      <w:r>
        <w:lastRenderedPageBreak/>
        <w:t>Rosario Gemar Astorga, don Jaime Martorell Bonet y don Pedro Antonio Salva Puig, y, en consecuencia:</w:t>
      </w:r>
    </w:p>
    <w:p w:rsidR="00D06117" w:rsidRDefault="00D06117" w:rsidP="00D06117">
      <w:pPr>
        <w:pStyle w:val="TextoNormal"/>
      </w:pPr>
    </w:p>
    <w:p w:rsidR="00D06117" w:rsidRDefault="00D06117" w:rsidP="00D06117">
      <w:pPr>
        <w:pStyle w:val="TextoNormal"/>
      </w:pPr>
      <w:r>
        <w:t>1º Reconocer su derecho fundamental a la tutela judicial efectiva (art. 24.1 CE).</w:t>
      </w:r>
    </w:p>
    <w:p w:rsidR="00D06117" w:rsidRDefault="00D06117" w:rsidP="00D06117">
      <w:pPr>
        <w:pStyle w:val="TextoNormal"/>
      </w:pPr>
    </w:p>
    <w:p w:rsidR="00D06117" w:rsidRDefault="00D06117" w:rsidP="00D06117">
      <w:pPr>
        <w:pStyle w:val="TextoNormal"/>
      </w:pPr>
      <w:r>
        <w:t>2º Declarar la nulidad del Auto dictado el 9 de marzo de 2007 por el Juzgado de lo Mercantil núm. 1 de Palma de Mallorca en la sección de calificación del concurso (procedimiento concurso ordinario núm. 350-2005).</w:t>
      </w:r>
    </w:p>
    <w:p w:rsidR="00D06117" w:rsidRDefault="00D06117" w:rsidP="00D06117">
      <w:pPr>
        <w:pStyle w:val="TextoNormal"/>
      </w:pPr>
    </w:p>
    <w:p w:rsidR="00D06117" w:rsidRDefault="00D06117" w:rsidP="00D06117">
      <w:pPr>
        <w:pStyle w:val="TextoNormal"/>
      </w:pPr>
      <w:r>
        <w:t>3º Ordenar a dicho Juzgado que reintegre a los recurrentes en la sección de calificación del concurso indicado, en los términos que se señalan en el fundamento jurídico 4 de la presente Sentencia.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trece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9" w:name="SENTENCIA_2012_16"/>
      <w:r>
        <w:lastRenderedPageBreak/>
        <w:t>SENTENCIA 16/2012, de 13 de febrero de 2012</w:t>
      </w:r>
    </w:p>
    <w:bookmarkEnd w:id="19"/>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ECLI:ES:TC:2012:16</w:t>
      </w:r>
    </w:p>
    <w:p w:rsidR="00D06117" w:rsidRDefault="00D06117" w:rsidP="00D06117">
      <w:pPr>
        <w:pStyle w:val="SntesisDescriptiva"/>
      </w:pPr>
    </w:p>
    <w:p w:rsidR="00D06117" w:rsidRDefault="00D06117" w:rsidP="00D06117">
      <w:pPr>
        <w:pStyle w:val="SntesisDescriptiva"/>
      </w:pPr>
      <w:r>
        <w:t>Recurso de amparo 2477-2009. Promovido por don Raúl Cebrián Díaz en relación con las Sentencias de la Audiencia Provincial de Zaragoza y de un Juzgado de lo Penal de Zaragoza que le condenaron por un delito de quebrantamiento de medida cautelar.</w:t>
      </w:r>
    </w:p>
    <w:p w:rsidR="00D06117" w:rsidRDefault="00D06117" w:rsidP="00D06117">
      <w:pPr>
        <w:pStyle w:val="SntesisDescriptiva"/>
      </w:pPr>
    </w:p>
    <w:p w:rsidR="00D06117" w:rsidRDefault="00D06117" w:rsidP="00D06117">
      <w:pPr>
        <w:pStyle w:val="SntesisAnaltica"/>
      </w:pPr>
      <w:r>
        <w:t>Vulneración del derecho a la presunción de inocencia: condena penal impuesta sin concurrir el presupuesto típico al haber decaído la medida cautelar.</w:t>
      </w:r>
    </w:p>
    <w:p w:rsidR="00D06117" w:rsidRDefault="00D06117" w:rsidP="00D06117">
      <w:pPr>
        <w:pStyle w:val="SntesisAnaltica"/>
      </w:pPr>
    </w:p>
    <w:p w:rsidR="00D06117" w:rsidRDefault="00D06117" w:rsidP="00D06117">
      <w:pPr>
        <w:pStyle w:val="Extracto"/>
      </w:pPr>
      <w:r>
        <w:t>1.</w:t>
      </w:r>
      <w:r>
        <w:tab/>
        <w:t>La condena de la que ha sido objeto el recurrente de amparo, por un delito de quebrantamiento de medida cautelar, ha vulnerado su derecho a la presunción de inocencia, pues el razonamiento formulado para entender probada la concurrencia de uno de los elementos del tipo penal ha sido irrazonable, contraria al tenor de las normas aplicadas y discrepante respecto de las pautas interpretativas al uso en la comunidad jurídica [FJ 6].</w:t>
      </w:r>
    </w:p>
    <w:p w:rsidR="00D06117" w:rsidRDefault="00D06117" w:rsidP="00D06117">
      <w:pPr>
        <w:pStyle w:val="Extracto"/>
      </w:pPr>
    </w:p>
    <w:p w:rsidR="00D06117" w:rsidRDefault="00D06117" w:rsidP="00D06117">
      <w:pPr>
        <w:pStyle w:val="Extracto"/>
      </w:pPr>
      <w:r>
        <w:t>2.</w:t>
      </w:r>
      <w:r>
        <w:tab/>
        <w:t>La argumentación utilizada por los órganos judiciales, que viene a ligar de manera no justificada la falta de firmeza de la Sentencia absolutoria con la prórroga de la medida de alejamiento, resulta irrazonable al quebrantar el contenido del art. 69 de la Ley Orgánica 1/2004, de medidas de protección integral contra la violencia de género, siendo una interpretación inaceptable desde la perspectiva constitucional [FJ 4].</w:t>
      </w:r>
    </w:p>
    <w:p w:rsidR="00D06117" w:rsidRDefault="00D06117" w:rsidP="00D06117">
      <w:pPr>
        <w:pStyle w:val="Extracto"/>
      </w:pPr>
    </w:p>
    <w:p w:rsidR="00D06117" w:rsidRDefault="00D06117" w:rsidP="00D06117">
      <w:pPr>
        <w:pStyle w:val="Extracto"/>
      </w:pPr>
      <w:r>
        <w:t>3.</w:t>
      </w:r>
      <w:r>
        <w:tab/>
        <w:t>Se ha vulnerado el derecho a la presunción de inocencia ya que las Sentencias impugnadas han considerado hecho probado que se encontraba vigente la orden de alejamiento en aplicación del art. 69 de la Ley Orgánica de medidas de protección integral contra la violencia de género, que determina que las medidas cautelares podrán mantenerse tras la sentencia definitiva y durante la tramitación de los eventuales recursos que correspondiesen, en cuyo caso, deberá hacerse constar en la sentencia el mantenimiento de tales medidas, hecho que no ocurre en el presente caso [FJ 4].</w:t>
      </w:r>
    </w:p>
    <w:p w:rsidR="00D06117" w:rsidRDefault="00D06117" w:rsidP="00D06117">
      <w:pPr>
        <w:pStyle w:val="Extracto"/>
      </w:pPr>
    </w:p>
    <w:p w:rsidR="00D06117" w:rsidRDefault="00D06117" w:rsidP="00D06117">
      <w:pPr>
        <w:pStyle w:val="Extracto"/>
      </w:pPr>
      <w:r>
        <w:t>4.</w:t>
      </w:r>
      <w:r>
        <w:tab/>
        <w:t>El momento en el que se procede por el Juez al pronunciamiento de una Sentencia absolutoria representa un acontecimiento relevante en el proceso, al desaparecer en principio los indicios incriminatorios contra el acusado, por lo que la consecuencia lógica ha de ser el levantamiento de la medida de protección [FJ 5].</w:t>
      </w:r>
    </w:p>
    <w:p w:rsidR="00D06117" w:rsidRDefault="00D06117" w:rsidP="00D06117">
      <w:pPr>
        <w:pStyle w:val="Extracto"/>
      </w:pPr>
    </w:p>
    <w:p w:rsidR="00D06117" w:rsidRDefault="00D06117" w:rsidP="00D06117">
      <w:pPr>
        <w:pStyle w:val="Extracto"/>
      </w:pPr>
      <w:r>
        <w:t>5.</w:t>
      </w:r>
      <w:r>
        <w:tab/>
        <w:t>La falta de pronunciamiento sobre el mantenimiento de la medida cautelar por parte del Juzgado determina el decaimiento de la referida medida de protección y su pérdida de eficacia, aunque la Sentencia dictada no fuera firme y estuviera pendiente de recurso o no hubiera transcurrido el plazo legal previsto para su interposición [FJ 4].</w:t>
      </w:r>
    </w:p>
    <w:p w:rsidR="00D06117" w:rsidRDefault="00D06117" w:rsidP="00D06117">
      <w:pPr>
        <w:pStyle w:val="Extracto"/>
      </w:pPr>
    </w:p>
    <w:p w:rsidR="00D06117" w:rsidRDefault="00D06117" w:rsidP="00D06117">
      <w:pPr>
        <w:pStyle w:val="Extracto"/>
      </w:pPr>
      <w:r>
        <w:lastRenderedPageBreak/>
        <w:t>6.</w:t>
      </w:r>
      <w:r>
        <w:tab/>
        <w:t>Las medidas cautelares están sometidas al principio de variabilidad, como instrumental del proceso penal en curso, de tal modo que el órgano judicial debe dejarlas sin efecto cuando se modifiquen las circunstancias que aconsejaron su imposición [FJ 5].</w:t>
      </w:r>
    </w:p>
    <w:p w:rsidR="00D06117" w:rsidRDefault="00D06117" w:rsidP="00D06117">
      <w:pPr>
        <w:pStyle w:val="Extracto"/>
      </w:pPr>
    </w:p>
    <w:p w:rsidR="00D06117" w:rsidRDefault="00D06117" w:rsidP="00D06117">
      <w:pPr>
        <w:pStyle w:val="Extracto"/>
      </w:pPr>
      <w:r>
        <w:t>7.</w:t>
      </w:r>
      <w:r>
        <w:tab/>
        <w:t>La concurrencia de la situación típica de la que dimana la prohibición judicial de aproximación constituye el elemento específico del delito de quebrantamiento de medida cautelar, del que surge la prohibición de la conducta de acercamiento y, por ello, la inexistencia del presupuesto típico hace decaer la relevancia penal del comportamiento [FJ 4].</w:t>
      </w:r>
    </w:p>
    <w:p w:rsidR="00D06117" w:rsidRDefault="00D06117" w:rsidP="00D06117">
      <w:pPr>
        <w:pStyle w:val="Extracto"/>
      </w:pPr>
    </w:p>
    <w:p w:rsidR="00D06117" w:rsidRDefault="00D06117" w:rsidP="00D06117">
      <w:pPr>
        <w:pStyle w:val="Extracto"/>
      </w:pPr>
      <w:r>
        <w:t>8.</w:t>
      </w:r>
      <w:r>
        <w:tab/>
        <w:t>Doctrina sobre derecho a la presunción de inocencia (SSTC 252/1994, 26/2010)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2477-2009, promovido por don Raúl Cebrián Díaz, representado por la Procuradora de los Tribunales doña Paloma Alejandra Briones Torralba y asistido por la Letrada doña Rocío Antonia Gallego Ortiz, contra la Sentencia de la Sección Tercera de la Audiencia Provincial de Zaragoza de 11 de febrero de 2009, dictada en el rollo de apelación núm. 38-2009, que confirma la condena impuesta al recurrente por un delito de quebrantamiento de medida cautelar por Sentencia del Juzgado de lo Penal núm. 4 de Zaragoza de 19 de diciembre de 2008, en el juicio oral núm. 476-2008. Ha intervenido el Ministerio Fiscal. Ha sido Ponente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día 17 de marzo de 2009, don Raúl Cebrián Díaz manifestó su intención de interponer recurso de amparo contra las resoluciones citadas en el encabezamiento, a cuyo fin solicitaba la designación de Procurador y Letrado del turno de oficio. Una vez realizados dichos nombramientos, la Procuradora de los Tribunales doña Paloma Alejandra Briones Torralba formalizó la demanda de amparo mediante escrito que tuvo entrada en el Registro General de este Tribunal el 23 de junio de 2009.</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El recurso tiene su origen en los siguientes antecedentes:</w:t>
      </w:r>
    </w:p>
    <w:p w:rsidR="00D06117" w:rsidRDefault="00D06117" w:rsidP="00D06117">
      <w:pPr>
        <w:pStyle w:val="TextoNormal"/>
      </w:pPr>
    </w:p>
    <w:p w:rsidR="00D06117" w:rsidRDefault="00D06117" w:rsidP="00D06117">
      <w:pPr>
        <w:pStyle w:val="TextoNormal"/>
      </w:pPr>
      <w:r>
        <w:t>a) El Juzgado de lo Penal núm. 4 de Zaragoza dictó Sentencia de 19 de diciembre de 2008, en el juicio oral núm. 476-2008 dimanante del Juzgado de Instrucción núm. 8, por la que condenaba al recurrente, como autor de un delito de quebrantamiento de medida cautelar del art. 468.2 del Código penal (CP), a la pena de seis meses de prisión, con la accesoria de inhabilitación especial para el derecho de sufragio pasivo durante el tiempo de la condena, así como al pago de las costas procesales.</w:t>
      </w:r>
    </w:p>
    <w:p w:rsidR="00D06117" w:rsidRDefault="00D06117" w:rsidP="00D06117">
      <w:pPr>
        <w:pStyle w:val="TextoNormal"/>
      </w:pPr>
    </w:p>
    <w:p w:rsidR="00D06117" w:rsidRDefault="00D06117" w:rsidP="00D06117">
      <w:pPr>
        <w:pStyle w:val="TextoNormal"/>
      </w:pPr>
      <w:r>
        <w:t>Dicha resolución declaró como probados los siguientes hechos:</w:t>
      </w:r>
    </w:p>
    <w:p w:rsidR="00D06117" w:rsidRDefault="00D06117" w:rsidP="00D06117">
      <w:pPr>
        <w:pStyle w:val="TextoNormal"/>
      </w:pPr>
    </w:p>
    <w:p w:rsidR="00D06117" w:rsidRDefault="00D06117" w:rsidP="00D06117">
      <w:pPr>
        <w:pStyle w:val="TextoNormal"/>
      </w:pPr>
      <w:r>
        <w:t>“Por auto de fecha 11 de octubre de 2008 el Juzgado de Instrucción núm. 3 de Zaragoza acordó en Diligencias Indeterminadas núm. 159-2008 la prohibición del acusado de aproximarse a su ex pareja Esperanza Sánchez Ortiz a una distancia de cien metros, así como a comunicarse con ella.</w:t>
      </w:r>
    </w:p>
    <w:p w:rsidR="00D06117" w:rsidRDefault="00D06117" w:rsidP="00D06117">
      <w:pPr>
        <w:pStyle w:val="TextoNormal"/>
      </w:pPr>
    </w:p>
    <w:p w:rsidR="00D06117" w:rsidRDefault="00D06117" w:rsidP="00D06117">
      <w:pPr>
        <w:pStyle w:val="TextoNormal"/>
      </w:pPr>
      <w:r>
        <w:t>Después de dictarse la referida orden, Esperanza Sánchez iba al domicilio de la madre del acusado, donde también vivía éste con la hija común, a recoger a su hija para ejercer el derecho de visita y, en alguna ocasión, el acusado le bajó a la niña y hablaron, y en alguna ocasión también la denunciante había consentido estar en el parque con el acusado o comer con él y la niña en el antiguo domicilio común, para darle una oportunidad y evitar que la hija de ambos sufriera.</w:t>
      </w:r>
    </w:p>
    <w:p w:rsidR="00D06117" w:rsidRDefault="00D06117" w:rsidP="00D06117">
      <w:pPr>
        <w:pStyle w:val="TextoNormal"/>
      </w:pPr>
    </w:p>
    <w:p w:rsidR="00D06117" w:rsidRDefault="00D06117" w:rsidP="00D06117">
      <w:pPr>
        <w:pStyle w:val="TextoNormal"/>
      </w:pPr>
      <w:r>
        <w:t>Dictada sentencia absolutoria para el acusado en el procedimiento derivado de la medida cautelar (Juicio Rápido núm. 405/08 del Juzgado de lo Penal núm. 5), el acusado llamó a su abogado para preguntarle si podía aproximarse a la acusada y éste le dijo que pensaba que no se iba a recurrir la sentencia. Ante ello, el acusado sin esperar, ni cerciorarse de tal extremo, a las 11,40 horas del día 1 de diciembre de 2008 se presentó en el lugar de trabajo de su ex compañera, Casa de Andalucía, sita en la calle Julio Carcía Condoy de esta ciudad, para decirle en tono amenazante que tenían que arreglar las cosas y que como no espabilara se iba a presentar en su casa a llevarse los muebles. Ante esta actuación del acusado, la denunciante llamó a la Policía, ausentándose el acusado del bar.</w:t>
      </w:r>
    </w:p>
    <w:p w:rsidR="00D06117" w:rsidRDefault="00D06117" w:rsidP="00D06117">
      <w:pPr>
        <w:pStyle w:val="TextoNormal"/>
      </w:pPr>
    </w:p>
    <w:p w:rsidR="00D06117" w:rsidRDefault="00D06117" w:rsidP="00D06117">
      <w:pPr>
        <w:pStyle w:val="TextoNormal"/>
      </w:pPr>
      <w:r>
        <w:t>La sentencia que absolvía al acusado fue recurrida en apelación por la acusación particular encontrándose todavía vigente la orden de alejamiento.”</w:t>
      </w:r>
    </w:p>
    <w:p w:rsidR="00D06117" w:rsidRDefault="00D06117" w:rsidP="00D06117">
      <w:pPr>
        <w:pStyle w:val="TextoNormal"/>
      </w:pPr>
    </w:p>
    <w:p w:rsidR="00D06117" w:rsidRDefault="00D06117" w:rsidP="00D06117">
      <w:pPr>
        <w:pStyle w:val="TextoNormal"/>
      </w:pPr>
      <w:r>
        <w:t>En su fundamento jurídico primero se razona que los hechos transcritos son constitutivos del mencionado tipo penal atendiendo, entre otras, a las siguientes consideraciones:</w:t>
      </w:r>
    </w:p>
    <w:p w:rsidR="00D06117" w:rsidRDefault="00D06117" w:rsidP="00D06117">
      <w:pPr>
        <w:pStyle w:val="TextoNormal"/>
      </w:pPr>
    </w:p>
    <w:p w:rsidR="00D06117" w:rsidRDefault="00D06117" w:rsidP="00D06117">
      <w:pPr>
        <w:pStyle w:val="TextoNormal"/>
      </w:pPr>
      <w:r>
        <w:t>“En efecto, el acusado reconoció en el acto del juicio que conocía la orden de alejamiento y que llamó a su abogada para preguntarle si podía aproximarse a su ex pareja y que pudo cometer el error de pensar que la resolución era firme. En efecto, de las manifestaciones del acusado se desprende que su abogada le advirtió que la sentencia no era firme y que estimaba que no sería recurrida, pero no le dio seguridad, con lo cual el acusado tenía que ser consciente, cuando se presentó en el bar donde trabajaba su compañera, de que podía seguir vigente la orden de alejamiento.</w:t>
      </w:r>
    </w:p>
    <w:p w:rsidR="00D06117" w:rsidRDefault="00D06117" w:rsidP="00D06117">
      <w:pPr>
        <w:pStyle w:val="TextoNormal"/>
      </w:pPr>
    </w:p>
    <w:p w:rsidR="00D06117" w:rsidRDefault="00D06117" w:rsidP="00D06117">
      <w:pPr>
        <w:pStyle w:val="TextoNormal"/>
      </w:pPr>
      <w:r>
        <w:lastRenderedPageBreak/>
        <w:t>Es cierto que vigente la orden, ha quedado probado que el acusado se aproximó a la denunciante en algunas ocasiones, cuando ésta acudía a recoger a su hija a la casa de su madre y él se la bajaba y que en alguna ocasión aislada que la denunciante consintió estar en el parque o comer con el acusado y la niña para ver si se podían arreglar las cosas, si bien manifestó que ello no fue posible.</w:t>
      </w:r>
    </w:p>
    <w:p w:rsidR="00D06117" w:rsidRDefault="00D06117" w:rsidP="00D06117">
      <w:pPr>
        <w:pStyle w:val="TextoNormal"/>
      </w:pPr>
    </w:p>
    <w:p w:rsidR="00D06117" w:rsidRDefault="00D06117" w:rsidP="00D06117">
      <w:pPr>
        <w:pStyle w:val="TextoNormal"/>
      </w:pPr>
      <w:r>
        <w:t>Por tanto, es claro que hubo encuentros consentidos pero de ello no podía extraer el acusado la conclusión de que la denunciante le permitía acudir a su lugar de trabajo, pues sino no hubiera llamado a su abogado. El acusado manifestó que se presentó en el bar y que la denunciante le dijo ¿qué me tienes que decir a mí? Y que él le dijo ‘como no espabiles, me voy a llevar los muebles’.</w:t>
      </w:r>
    </w:p>
    <w:p w:rsidR="00D06117" w:rsidRDefault="00D06117" w:rsidP="00D06117">
      <w:pPr>
        <w:pStyle w:val="TextoNormal"/>
      </w:pPr>
    </w:p>
    <w:p w:rsidR="00D06117" w:rsidRDefault="00D06117" w:rsidP="00D06117">
      <w:pPr>
        <w:pStyle w:val="TextoNormal"/>
      </w:pPr>
      <w:r>
        <w:t>De todo lo expuesto resulta que el acusado cuando se presentó en el bar sin previo aviso, y sin asegurarse de si la orden de alejamiento estaba vigente, cometió el delito enjuiciado, ya que tal encuentro no estaba consentido por la denunciante y el acusado tenía conciencia de ilicitud, dolo eventual, pues su abogado no le había informado de la firmeza de la sentencia, sino de que pensaba que no se recurriría.”</w:t>
      </w:r>
    </w:p>
    <w:p w:rsidR="00D06117" w:rsidRDefault="00D06117" w:rsidP="00D06117">
      <w:pPr>
        <w:pStyle w:val="TextoNormal"/>
      </w:pPr>
    </w:p>
    <w:p w:rsidR="00D06117" w:rsidRDefault="00D06117" w:rsidP="00D06117">
      <w:pPr>
        <w:pStyle w:val="TextoNormal"/>
      </w:pPr>
      <w:r>
        <w:t>b) El recurrente interpuso recurso de apelación contra la Sentencia condenatoria, denunciando la indebida aplicación del artículo 468.2 CP, en relación con el artículo 69 de la Ley Orgánica 1/2004, de 28 de diciembre, de medidas de protección integral contra la violencia de género. Alegaba que la Sentencia que le absolvió en la causa anterior por delito de malos tratos en el ámbito familiar no contenía pronunciamiento alguno manteniendo la orden de alejamiento dictada por el Juzgado de Instrucción, durante el tiempo de sustanciación de los recursos, por lo que dicha medida había perdido vigencia y, en consecuencia, su conducta habría de reputarse atípica. Por otra parte, se invocaba también como vulnerado en el referido recurso el principio in dubio pro reo porque la duda acerca de la vigencia o no de la orden alejamiento y de la existencia de un hipotético recurso de apelación no debe utilizarse en contra del acusado, sino a favor del mismo, por lo que éste debe ser un motivo adicional para su absolución. Sin perjuicio de considerar también que de la propia actuación de la denunciante, al haber consentido diversos encuentros con el acusado y la hija común, parecía desprenderse que ésta había renunciado voluntariamente al contenido de dicha medida de alejamiento.</w:t>
      </w:r>
    </w:p>
    <w:p w:rsidR="00D06117" w:rsidRDefault="00D06117" w:rsidP="00D06117">
      <w:pPr>
        <w:pStyle w:val="TextoNormal"/>
      </w:pPr>
    </w:p>
    <w:p w:rsidR="00D06117" w:rsidRDefault="00D06117" w:rsidP="00D06117">
      <w:pPr>
        <w:pStyle w:val="TextoNormal"/>
      </w:pPr>
      <w:r>
        <w:t>c) La Sección Tercera de la Audiencia Provincial de Zaragoza desestimó el recurso presentado por Sentencia de 11 de febrero de 2009, recaída en el rollo de apelación núm. 38-2009, confirmando el pronunciamiento condenatorio de instancia.</w:t>
      </w:r>
    </w:p>
    <w:p w:rsidR="00D06117" w:rsidRDefault="00D06117" w:rsidP="00D06117">
      <w:pPr>
        <w:pStyle w:val="TextoNormal"/>
      </w:pPr>
    </w:p>
    <w:p w:rsidR="00D06117" w:rsidRDefault="00D06117" w:rsidP="00D06117">
      <w:pPr>
        <w:pStyle w:val="TextoNormal"/>
      </w:pPr>
      <w:r>
        <w:t>En su fundamento jurídico primero indica:</w:t>
      </w:r>
    </w:p>
    <w:p w:rsidR="00D06117" w:rsidRDefault="00D06117" w:rsidP="00D06117">
      <w:pPr>
        <w:pStyle w:val="TextoNormal"/>
      </w:pPr>
    </w:p>
    <w:p w:rsidR="00D06117" w:rsidRDefault="00D06117" w:rsidP="00D06117">
      <w:pPr>
        <w:pStyle w:val="TextoNormal"/>
      </w:pPr>
      <w:r>
        <w:t>“La medida cautelar no había sido dejada sin efecto, y aunque en la Sentencia de primera instancia, no se hiciera constar que subsistía, debe entenderse que existía, y, lo realmente relevante, es que el acusado, incluso ha reconocido conocer de su vigencia e informarse ante su letrado, acerca de la Sentencia absolutoria de primera instancia y si iba a ser o no recurrida. El procedimiento todavía no concluye, pues termina cuando el pronunciamiento deviene firme y las sentencias son firmes cuando se deja pasar el plazo sin interponer recurso, o cuando recae resolución definitiva, en este caso, en la segunda instancia, contra la que no cabe recurso ordinario.</w:t>
      </w:r>
    </w:p>
    <w:p w:rsidR="00D06117" w:rsidRDefault="00D06117" w:rsidP="00D06117">
      <w:pPr>
        <w:pStyle w:val="TextoNormal"/>
      </w:pPr>
    </w:p>
    <w:p w:rsidR="00D06117" w:rsidRDefault="00D06117" w:rsidP="00D06117">
      <w:pPr>
        <w:pStyle w:val="TextoNormal"/>
      </w:pPr>
      <w:r>
        <w:t>Por ello, no puede entenderse que la conducta sea atípica, como pretende la parte apelante, con base en el precedente motivo esgrimido o invocado, máxime si tenemos en cuenta las declaraciones prestadas por el propio acusado en el acto del juicio, interesándose y preguntando al letrado sobre la sentencia recaída en primera instancia.”</w:t>
      </w:r>
    </w:p>
    <w:p w:rsidR="00D06117" w:rsidRDefault="00D06117" w:rsidP="00D06117">
      <w:pPr>
        <w:pStyle w:val="TextoNormal"/>
      </w:pPr>
    </w:p>
    <w:p w:rsidR="00D06117" w:rsidRDefault="00D06117" w:rsidP="00D06117">
      <w:pPr>
        <w:pStyle w:val="TextoNormal"/>
      </w:pPr>
      <w:r>
        <w:t>Por otra parte, la Sala descarta la pretendida lesión del principio in dubio pro reo poniendo de relieve en el fundamento jurídico segundo de su resolución:</w:t>
      </w:r>
    </w:p>
    <w:p w:rsidR="00D06117" w:rsidRDefault="00D06117" w:rsidP="00D06117">
      <w:pPr>
        <w:pStyle w:val="TextoNormal"/>
      </w:pPr>
    </w:p>
    <w:p w:rsidR="00D06117" w:rsidRDefault="00D06117" w:rsidP="00D06117">
      <w:pPr>
        <w:pStyle w:val="TextoNormal"/>
      </w:pPr>
      <w:r>
        <w:t>“El acusado solicitó del letrado y obtuvo información acerca de si la Sentencia se había recurrido o no y, por ende, sabía que la Sentencia pese a que aún no se había recurrido, restando plazo para ello, no era firme y pendía la orden de alejamiento. En cualquier caso, también podría haber acudido al Juzgado para despejar cualquier duda. En definitiva, el acusado conocía la realidad de la medida cautelar acordada y de su vigencia, así como de las consecuencias de su infracción.”</w:t>
      </w:r>
    </w:p>
    <w:p w:rsidR="00D06117" w:rsidRDefault="00D06117" w:rsidP="00D06117">
      <w:pPr>
        <w:pStyle w:val="TextoNormal"/>
      </w:pPr>
    </w:p>
    <w:p w:rsidR="00D06117" w:rsidRDefault="00D06117" w:rsidP="00D06117">
      <w:pPr>
        <w:pStyle w:val="TextoNormal"/>
      </w:pPr>
      <w:r>
        <w:t>Finalmente, el Tribunal contesta en el fundamento jurídico tercero de la mencionada Sentencia a las alegaciones que hace el acusado sobre el consentimiento de la víctima para ciertos encuentros, lo que habría de dejar sin contenido la orden de protección dictada, reseñando que “se trata de unos encuentros muy puntuales, que fueron explicados por Esperanza, motivados por la existencia de una hija común, y existentes por el bien de dicha menor. Pero de ello, no puede colegirse, una voluntad contraria a la existencia de la medida cautelar de alejamiento vigente”. En consecuencia, dichos encuentros no equivalían a una “reanudación de las relaciones entre ambos, de entidad suficiente para dejar sin efecto la orden de alejamiento”.</w:t>
      </w:r>
    </w:p>
    <w:p w:rsidR="00D06117" w:rsidRDefault="00D06117" w:rsidP="00D06117">
      <w:pPr>
        <w:pStyle w:val="TextoNormal"/>
      </w:pPr>
    </w:p>
    <w:p w:rsidR="00D06117" w:rsidRDefault="00D06117" w:rsidP="00D06117">
      <w:pPr>
        <w:pStyle w:val="TextoNormal"/>
      </w:pPr>
      <w:r>
        <w:t>d) El Juzgado de lo Penal núm. 4 de Zaragoza, por Auto de 29 de abril de 2009, acordó sustituir la pena de prisión impuesta al demandante de amparo por la de seis meses de trabajos en beneficio de la comunidad, en atención a la naturaleza del hecho delictivo y el bajo nivel de peligrosidad del condenado.</w:t>
      </w:r>
    </w:p>
    <w:p w:rsidR="00D06117" w:rsidRDefault="00D06117" w:rsidP="00D06117">
      <w:pPr>
        <w:pStyle w:val="TextoNormal"/>
      </w:pPr>
    </w:p>
    <w:p w:rsidR="00D06117" w:rsidRDefault="00D06117" w:rsidP="00D06117">
      <w:pPr>
        <w:pStyle w:val="TextoNormal"/>
      </w:pPr>
      <w:r w:rsidRPr="00D06117">
        <w:rPr>
          <w:rStyle w:val="NumeroAFNegritaCaracter"/>
        </w:rPr>
        <w:t>3</w:t>
      </w:r>
      <w:r>
        <w:t>. El demandante de amparo interesa en su recurso la nulidad de las Sentencias impugnadas, con su consiguiente absolución del delito de quebrantamiento de medida cautelar por el que ha sido condenado, al haberse vulnerado por las mismas el derecho a la tutela judicial efectiva (art. 24.1 CE). Razona a tal fin que dichas resoluciones infringieron lo previsto en el artículo 69 de la Ley Orgánica 1/2004, de 28 de diciembre, de medidas de protección integral contra la violencia de género, en cuanto determina que la Sentencia que se dicte habrá de hacer constar el mantenimiento o no de las medidas adoptadas durante el procedimiento. Por el contrario, en la Sentencia del Juzgado de lo Penal núm. 5 de Zaragoza, que absolvía al ahora recurrente del delito que se le imputaba (malos tratos en el ámbito familiar), no se establecía absolutamente nada sobre la vigencia de la prohibición de aproximación y comunicación que en su momento había dictado el Juzgado de Instrucción, por lo que un eventual recurso de apelación contra dicha Sentencia nunca podía mantener en vigor la medida cautelar que la Audiencia Provincial de Zaragoza consideró que había sido quebrantada. Por otra parte, se añade en la demanda presentada, la decisión condenatoria adoptada por el Tribunal habría supuesto también una vulneración del derecho a la presunción de inocencia del recurrente, generándole una grave indefensión.</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La Sala Primera de este Tribunal, por providencia de 4 de octubre de 2010,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de quienes hubiesen sido parte en el procedimiento, a excepción del demandante de amparo, para que, si lo desearen, pudiesen comparecer en el plazo de diez días en el presente proceso de amparo.</w:t>
      </w:r>
    </w:p>
    <w:p w:rsidR="00D06117" w:rsidRDefault="00D06117" w:rsidP="00D06117">
      <w:pPr>
        <w:pStyle w:val="TextoNormal"/>
      </w:pPr>
    </w:p>
    <w:p w:rsidR="00D06117" w:rsidRDefault="00D06117" w:rsidP="00D06117">
      <w:pPr>
        <w:pStyle w:val="TextoNormal"/>
      </w:pPr>
      <w:r>
        <w:t>Igualmente se acordó formar la correspondiente pieza separada de suspensión, en la que, tras los trámites oportunos, se dictó por la Sala Primera el ATC 188/2010, de 29 de noviembre, acordando suspender la ejecución de la Sentencia condenatoria dictada, exclusivamente en lo relativo a la pena de seis meses de trabajos en beneficio de la comunidad y la accesoria de inhabilitación especial para el derecho de sufragio pasivo durante el tiempo de la condena.</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Secretaria de Justicia de la Sala Primera de este Tribunal de 17 de noviembre de 2010 se acordó dar vista de las actuaciones recibidas al Ministerio Fiscal y a las partes personadas, por plazo común de veinte días, para presentar las alegaciones que estimasen pertinentes, de conformidad con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 la parte recurrente cumplimentó el trámite de alegaciones conferido mediante escrito registrado en fecha 23 de diciembre de 2010, limitándose a ratificar las consideraciones vertidas en su recurso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por su parte, presentó sus alegaciones por escrito registrado en este Tribunal el día 10 de enero de 2011, interesando la estimación de la demanda de amparo.</w:t>
      </w:r>
    </w:p>
    <w:p w:rsidR="00D06117" w:rsidRDefault="00D06117" w:rsidP="00D06117">
      <w:pPr>
        <w:pStyle w:val="TextoNormal"/>
      </w:pPr>
    </w:p>
    <w:p w:rsidR="00D06117" w:rsidRDefault="00D06117" w:rsidP="00D06117">
      <w:pPr>
        <w:pStyle w:val="TextoNormal"/>
      </w:pPr>
      <w:r>
        <w:t xml:space="preserve">Para ello comienza por entender que las resoluciones impugnadas habrían vulnerado el derecho a la tutela judicial efectiva del recurrente (art. 24.1 CE), en relación con el derecho a la libertad personal (art. 17 CE) y el principio de legalidad penal (art. 25.1 CE), en la medida en que dichas resoluciones supusieron la condena del mismo a una pena privativa de libertad por un delito de quebrantamiento de medida cautelar del art. 468.2 CP. En efecto, las Sentencias dictadas por el Juzgado de lo Penal y la Audiencia Provincial de Zaragoza no se ajustan al estándar de razonabilidad exigido, pues el fundamento nuclear de su pronunciamiento condenatorio es la vigencia de la referida orden de alejamiento dictada por el Juez de Instrucción. No obstante, la ausencia de todo pronunciamiento expreso en la Sentencia absolutoria del Juzgado de lo Penal núm. 5 de Zaragoza determina, por aplicación de lo previsto en el art. 69 de la Ley Orgánica 1/2004, el decaimiento de dicha medida y, por tanto, su pérdida total de eficacia, aunque la Sentencia no fuera firme o estuviera pendiente de recurso de apelación. El mencionado art. 69 se incardina dentro de una dinámica de la necesaria revisión y control judicial de las medidas cautelares, al acordar que en el momento de dictar sentencia el Juez podrá acordar el mantenimiento de las medidas de protección de la víctima adoptadas en su momento, en cuyo caso deberá pronunciarse expresamente sobre tal extremo. En este caso, el argumento empleado por los órganos judiciales, además de carecer de toda justificación, está basado en una especie de presunción de subsistencia de la vigencia de la medida acordada en el proceso precedente, al aunar falta de firmeza de la </w:t>
      </w:r>
      <w:r>
        <w:lastRenderedPageBreak/>
        <w:t>Sentencia absolutoria con vigencia o prórroga tácita de la medida cautelar, que contradice abiertamente el contenido del citado art. 69, por lo que no cumple con el parámetro de razonabilidad exigido constitucionalmente, máxime cuando dicha interpretación fue la base sobre la cual descansó el pronunciamiento condenatorio.</w:t>
      </w:r>
    </w:p>
    <w:p w:rsidR="00D06117" w:rsidRDefault="00D06117" w:rsidP="00D06117">
      <w:pPr>
        <w:pStyle w:val="TextoNormal"/>
      </w:pPr>
    </w:p>
    <w:p w:rsidR="00D06117" w:rsidRDefault="00D06117" w:rsidP="00D06117">
      <w:pPr>
        <w:pStyle w:val="TextoNormal"/>
      </w:pPr>
      <w:r>
        <w:t>Por otra parte, argumenta el Fiscal que la condena del demandante de amparo por el delito de quebrantamiento de medida cautelar, no estando vigente la medida, sería también contraria al derecho a la presunción de inocencia (art. 24.2 CE). Así según reiterada doctrina constitucional, la presunción de inocencia, como regla probatoria, exige la concurrencia de prueba de cargo, no sólo de la participación del acusado en los hechos, sino también referida a los elementos esenciales, objetivos y subjetivos, que integran el delito objeto de imputación [cita al efecto las SSTC 147/2002, de 15 de julio, FJ 5 y 70/2010, de 18 de octubre, FJ 3 a)]. En este caso, no se habría acreditado por los órganos judiciales intervinientes el elemento nuclear de este tipo penal, consistente precisamente en la vigencia objetiva y efectiva de dicha medida cautelar.</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9 de febrero de dos mil doce, se señaló para deliberación y fallo de la Sentencia el día 13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Es objeto de impugnación en este recurso de amparo la Sentencia de la Sección Tercera de la Audiencia Provincial de Zaragoza de 11 de febrero de 2009, que confirma la Sentencia del Juzgado de lo Penal núm. 4 de la misma ciudad de 19 de diciembre de 2008, por la que se condena al recurrente como autor de un delito de quebrantamiento de medida cautelar. Éste considera que las referidas resoluciones judiciales han vulnerado su derecho a la tutela judicial efectiva (art. 24.1 CE), al haber sido condenado por dicho tipo penal no obstante no estar vigente la orden de protección que se dice infringida, habiéndose también lesionado, por el mismo motivo, el derecho a la presunción de inocencia (art. 24.2 CE).</w:t>
      </w:r>
    </w:p>
    <w:p w:rsidR="00D06117" w:rsidRDefault="00D06117" w:rsidP="00D06117">
      <w:pPr>
        <w:pStyle w:val="TextoNormal"/>
      </w:pPr>
    </w:p>
    <w:p w:rsidR="00D06117" w:rsidRDefault="00D06117" w:rsidP="00D06117">
      <w:pPr>
        <w:pStyle w:val="TextoNormal"/>
      </w:pPr>
      <w:r>
        <w:t>El Ministerio Fiscal interesa la estimación de la demanda, al haber vulnerado las resoluciones impugnadas el derecho a la tutela judicial efectiva del recurrente (art 24.1 CE), en relación con el derecho a la libertad personal (art. 17 CE) y el principio de legalidad penal (art. 25.1 CE), ya que dichas resoluciones supusieron su condena a una pena privativa de libertad por el delito previsto en el art. 468.2 del Código penal (CP). A tal fin razona que la interpretación desarrollada por el órgano judicial, en particular del art. 69 de la Ley Orgánica 1/2004, de 28 de diciembre, de medidas de protección integral contra la violencia de género, es irrazonable desde la perspectiva constitucional, coincidiendo con el recurrente en que dicha medida de protección estaba privada de eficacia. Por ello, se habría también infringido la presunción de inocencia —art. 24.2 CE—, al no haberse acreditado el elemento nuclear del tipo penal de la condena, consistente en la vigencia efectiva de la medida cautelar.</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Sobre la base de las alegaciones del recurrente, que invoca el derecho a la tutela judicial efectiva —art. 24.1 CE—, y las precisiones del Ministerio Fiscal, que añade la vulneración del principio de legalidad penal —art. 25.1 CE— y de la presunción de inocencia, —art. 24.2 CE— hemos de señalar que el conjunto de cuestiones que suscitan los hechos que </w:t>
      </w:r>
      <w:r>
        <w:lastRenderedPageBreak/>
        <w:t>integran el sustrato de este proceso nos llevan a indicar, en primer término, que la tipificación del delito contenida en el art. 468. 2 CP no plantea duda ninguna respecto de la certeza de la descripción que formula, de suerte que resulta claramente “previsible” la aplicación del precepto cuando se produzcan las conductas en él descritas: la decisión sancionadora será “un fruto previsible de una razonable administración judicial o administrativa de la soberanía popular” —STC 13/2003, de 28 de enero, FJ 3—.</w:t>
      </w:r>
    </w:p>
    <w:p w:rsidR="00D06117" w:rsidRDefault="00D06117" w:rsidP="00D06117">
      <w:pPr>
        <w:pStyle w:val="TextoNormal"/>
      </w:pPr>
    </w:p>
    <w:p w:rsidR="00D06117" w:rsidRDefault="00D06117" w:rsidP="00D06117">
      <w:pPr>
        <w:pStyle w:val="TextoNormal"/>
      </w:pPr>
      <w:r>
        <w:t>Ya en un segundo momento, hemos de indicar que el elemento central, en lo que ahora importa, del delito tipificado en el art. 468.2 CP es la existencia de una medida cautelar, dato este cuya concurrencia nos ha de llevar al examen de la prueba, de modo que de no estar acreditada tal existencia se habrá producido una vulneración del derecho a la presunción de inocencia —art. 24.2. CE—.</w:t>
      </w:r>
    </w:p>
    <w:p w:rsidR="00D06117" w:rsidRDefault="00D06117" w:rsidP="00D06117">
      <w:pPr>
        <w:pStyle w:val="TextoNormal"/>
      </w:pPr>
    </w:p>
    <w:p w:rsidR="00D06117" w:rsidRDefault="00D06117" w:rsidP="00D06117">
      <w:pPr>
        <w:pStyle w:val="TextoNormal"/>
      </w:pPr>
      <w:r>
        <w:t>Y finalmente, sólo en el caso de que apareciera probada la concurrencia de la medida cautelar, habríamos de examinar el proceso de subsunción de los hechos probados en el precepto aplicado, ya en el campo de la legalidad penal —art. 25.1 CE—.</w:t>
      </w:r>
    </w:p>
    <w:p w:rsidR="00D06117" w:rsidRDefault="00D06117" w:rsidP="00D06117">
      <w:pPr>
        <w:pStyle w:val="TextoNormal"/>
      </w:pPr>
    </w:p>
    <w:p w:rsidR="00D06117" w:rsidRDefault="00D06117" w:rsidP="00D06117">
      <w:pPr>
        <w:pStyle w:val="TextoNormal"/>
      </w:pPr>
      <w:r w:rsidRPr="00D06117">
        <w:rPr>
          <w:rStyle w:val="NumeroAFNegritaCaracter"/>
        </w:rPr>
        <w:t>3</w:t>
      </w:r>
      <w:r>
        <w:t>. No planteándose aquí, como ya hemos dicho, ninguna cuestión respecto de la interpretación del art. 468.2 CP, el estudio del caso nos lleva al derecho a la presunción de inocencia —art. 24.2 CE—. Reiteradamente hemos declarado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135/2003, de 30 de junio, FJ 2; 137/2005, de 23 de mayo, FJ 2; 26/2010, de 27 de abril, FJ 6).” (STC 229/2003, de 18 de diciembre, FJ 24).</w:t>
      </w:r>
    </w:p>
    <w:p w:rsidR="00D06117" w:rsidRDefault="00D06117" w:rsidP="00D06117">
      <w:pPr>
        <w:pStyle w:val="TextoNormal"/>
      </w:pPr>
    </w:p>
    <w:p w:rsidR="00D06117" w:rsidRDefault="00D06117" w:rsidP="00D06117">
      <w:pPr>
        <w:pStyle w:val="TextoNormal"/>
      </w:pPr>
      <w:r>
        <w:t>Y es de añadir “que la prueba de cargo ha de estar referida a los elementos esenciales del delito objeto de condena tanto de naturaleza objetiva como subjetiva (SSTC 252/1994, de 19 de septiembre, FJ 5; 35/1995, de 6 de febrero, FJ 3; 68/2001, de 17 de marzo, FJ 5, y 222/2001, de 5 de noviembre, FJ 3).” (STC 147/2002, de 15 de julio, FJ 5).</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Para aplicar la doctrina expuesta al caso que enjuiciamos, ha de indicarse, como se expuso en los antecedentes, que el Juzgado de lo Penal núm. 4 de Zaragoza condenó al recurrente por un delito de quebrantamiento de medida cautelar al declarar probado que tenía pendiente una orden de alejamiento acordada en otra causa y que pese a ello se acercó al lugar de trabajo de su ex-compañera. Cuando ya se había dictado Sentencia absolutoria en esta última causa, Sentencia que nada declaró sobre la subsistencia de la orden de alejamiento, el recurrente “se presentó en el lugar de trabajo de su ex-compañera”, hechos estos que dieron lugar a la condena del demandante. La Audiencia Provincial de Zaragoza, al resolver la apelación, confirmó la condena del demandante por el delito de quebrantamiento de medida cautelar al entender que ésta no había sido dejada sin efecto, pues “aunque en la Sentencia de primera instancia, no se hiciera constar que subsistía, debe entenderse que existía”, razonando que “el procedimiento todavía no concluye, pues termina cuando el pronunciamiento deviene firme y las sentencias son firmes cuando se deja pasar el plazo sin </w:t>
      </w:r>
      <w:r>
        <w:lastRenderedPageBreak/>
        <w:t>interponer recurso, o cuando recae resolución definitiva, en este caso en la segunda instancia, contra la que no cabe recurso ordinario”.</w:t>
      </w:r>
    </w:p>
    <w:p w:rsidR="00D06117" w:rsidRDefault="00D06117" w:rsidP="00D06117">
      <w:pPr>
        <w:pStyle w:val="TextoNormal"/>
      </w:pPr>
    </w:p>
    <w:p w:rsidR="00D06117" w:rsidRDefault="00D06117" w:rsidP="00D06117">
      <w:pPr>
        <w:pStyle w:val="TextoNormal"/>
      </w:pPr>
      <w:r>
        <w:t>Resulta así que las Sentencias impugnadas han considerado hecho probado que se encontraba “todavía vigente la orden de alejamiento”. Para llegar a este resultado sobre el elemento esencial del delito, la prueba documental tenida en cuenta se integra por: 1º) El Auto de 11 de octubre de 2008 del Juzgado de Instrucción núm. 3 de Zaragoza, dictado en las diligencias indeterminadas núm. 159-2008, que imponía al recurrente la prohibición de aproximarse a su ex-pareja a una distancia de cien metros y 2º) la Sentencia absolutoria dictada en el procedimiento derivado de tales diligencias (juicio rápido núm. 405-2008 del Juzgado de lo Penal núm. 5), que nada decidió sobre la subsistencia de la citada orden. En esta base probatoria documental destacan dos notas que han sido la base misma del razonamiento judicial: el silencio, por un lado, y la falta de firmeza, por otro, de la Sentencia absolutoria recaída en los autos en los que se impuso el alejamiento.</w:t>
      </w:r>
    </w:p>
    <w:p w:rsidR="00D06117" w:rsidRDefault="00D06117" w:rsidP="00D06117">
      <w:pPr>
        <w:pStyle w:val="TextoNormal"/>
      </w:pPr>
    </w:p>
    <w:p w:rsidR="00D06117" w:rsidRDefault="00D06117" w:rsidP="00D06117">
      <w:pPr>
        <w:pStyle w:val="TextoNormal"/>
      </w:pPr>
      <w:r>
        <w:t>Y es claro que no resulta razonable el iter discursivo que conduce a la declaración como hecho probado que estaba “todavía vigente la orden de alejamiento” en el momento en que el demandante se presentó en el lugar de trabajo de la ex-compañera. Este delito se consuma cuando se realiza la actividad prohibida por la resolución judicial, en este caso el acercamiento del imputado a su ex compañera sentimental, pero para ello es inexcusable que la orden que contiene la prohibición se encuentre vigente. En esta línea, el art. 69 de la Ley Orgánica 1/2004, de 28 de diciembre, de medidas de protección integral contra la violencia de género, determina que “las medidas de este capítulo podrán mantenerse tras la sentencia definitiva y durante la tramitación de los eventuales recursos que correspondiesen. En este caso, deberá hacerse constar en la sentencia el mantenimiento de tales medidas.”</w:t>
      </w:r>
    </w:p>
    <w:p w:rsidR="00D06117" w:rsidRDefault="00D06117" w:rsidP="00D06117">
      <w:pPr>
        <w:pStyle w:val="TextoNormal"/>
      </w:pPr>
    </w:p>
    <w:p w:rsidR="00D06117" w:rsidRDefault="00D06117" w:rsidP="00D06117">
      <w:pPr>
        <w:pStyle w:val="TextoNormal"/>
      </w:pPr>
      <w:r>
        <w:t>Así las cosas, dado que bajo la expresión “las medidas de este capítulo” se incluye la medida de alejamiento impuesta al recurrente (vid. art. 64.3 de la Ley Orgánica 1/2004 citada) y que por Sentencia “definitiva” debe entenderse, no la Sentencia firme —lo que sería contradictorio con la posibilidad de recurso—, sino la Sentencia dictada en la instancia, es evidente que la ausencia de mención expresa sobre el mantenimiento de la medida cautelar en la Sentencia absolutoria del Juzgado de lo Penal (hecho aceptado por las propias resoluciones ahora impugnadas) conlleva la finalización de la vigencia de dicha medida en el momento en que tal Sentencia fue dictada. En consecuencia, la falta de este pronunciamiento por parte del Juzgado determina el decaimiento de la referida medida de protección y, por ello, su pérdida de eficacia, aunque la Sentencia dictada no fuera firme y estuviera pendiente de recurso o no hubiera transcurrido el plazo legal previsto para su interposición.</w:t>
      </w:r>
    </w:p>
    <w:p w:rsidR="00D06117" w:rsidRDefault="00D06117" w:rsidP="00D06117">
      <w:pPr>
        <w:pStyle w:val="TextoNormal"/>
      </w:pPr>
    </w:p>
    <w:p w:rsidR="00D06117" w:rsidRDefault="00D06117" w:rsidP="00D06117">
      <w:pPr>
        <w:pStyle w:val="TextoNormal"/>
      </w:pPr>
      <w:r>
        <w:t>Es por tanto de concluir que la argumentación utilizada por los órganos judiciales intervinientes, en los términos expuestos, que viene a ligar de manera no justificada la falta de firmeza de la Sentencia absolutoria de instancia con la prórroga de la medida de alejamiento, resulta irrazonable al quebrantar el contenido del citado art. 69, siendo una interpretación inaceptable desde la perspectiva constitucional.</w:t>
      </w:r>
    </w:p>
    <w:p w:rsidR="00D06117" w:rsidRDefault="00D06117" w:rsidP="00D06117">
      <w:pPr>
        <w:pStyle w:val="TextoNormal"/>
      </w:pPr>
    </w:p>
    <w:p w:rsidR="00D06117" w:rsidRDefault="00D06117" w:rsidP="00D06117">
      <w:pPr>
        <w:pStyle w:val="TextoNormal"/>
      </w:pPr>
      <w:r>
        <w:t>Y es que en el presente caso la concurrencia de la situación típica de la que dimana la prohibición judicial de aproximación constituye el elemento específico de este delito, del que surge la prohibición de la conducta de acercamiento. La inexistencia del presupuesto típico hace decaer la relevancia penal del comportamiento.</w:t>
      </w:r>
    </w:p>
    <w:p w:rsidR="00D06117" w:rsidRDefault="00D06117" w:rsidP="00D06117">
      <w:pPr>
        <w:pStyle w:val="TextoNormal"/>
      </w:pPr>
    </w:p>
    <w:p w:rsidR="00D06117" w:rsidRDefault="00D06117" w:rsidP="00D06117">
      <w:pPr>
        <w:pStyle w:val="TextoNormal"/>
      </w:pPr>
      <w:r w:rsidRPr="00D06117">
        <w:rPr>
          <w:rStyle w:val="NumeroAFNegritaCaracter"/>
        </w:rPr>
        <w:t>5</w:t>
      </w:r>
      <w:r>
        <w:t>. Por otra parte, tal modo de razonar de los órganos judiciales, además de ser contrario al tenor de los preceptos estudiados (art. 468.2 CP en relación con el art. 69 de la Ley Orgánica 1/2004), puede considerarse divergente de las pautas de interpretación comúnmente aceptadas, a la vista de los intereses y valores constitucionales en juego. En efecto, la orden de protección, de acuerdo con su naturaleza de medida cautelar, tiene como presupuesto, entre otros, la razonada previsión de un hecho punible a una persona determinada, pudiéndose mantener por el Juez en tanto en cuanto subsistan las condiciones que la han justificado, en el caso de los delitos de violencia doméstica ante la existencia de una situación objetiva de riesgo para la víctima (544.ter de la Ley de enjuiciamiento criminal). Por ello, esta medida está sometida al principio de variabilidad, como instrumental del proceso penal en curso, de tal modo que el órgano judicial debe dejarla sin efecto cuando se modifiquen las circunstancias que aconsejaron su imposición.</w:t>
      </w:r>
    </w:p>
    <w:p w:rsidR="00D06117" w:rsidRDefault="00D06117" w:rsidP="00D06117">
      <w:pPr>
        <w:pStyle w:val="TextoNormal"/>
      </w:pPr>
    </w:p>
    <w:p w:rsidR="00D06117" w:rsidRDefault="00D06117" w:rsidP="00D06117">
      <w:pPr>
        <w:pStyle w:val="TextoNormal"/>
      </w:pPr>
      <w:r>
        <w:t>Y es incuestionable que el momento en que se procede por el Juez al pronunciamiento de una Sentencia absolutoria representa un acontecimiento relevante en el proceso, al desaparecer en principio los indicios incriminatorios contra el acusado, por lo que la consecuencia lógica ha de ser el levantamiento de la expresada medida de protección, máxime cuando dicha medida afecta a derechos y libertades del imputado también constitucionalmente protegidos. Por ello, el mantenimiento de la orden de protección en este supuesto de sentencia absolutoria se supedita por el legislador (art. 69 de la Ley Orgánica 1/2004), como hemos visto, a que se haga constar expresamente en dicha resolución, lo que requerirá un plus de motivación al órgano judicial, desde el canon de la proporcionalidad, para justificar las razones por las que se acuerda en tales circunstancias la prórroga de la medida.</w:t>
      </w:r>
    </w:p>
    <w:p w:rsidR="00D06117" w:rsidRDefault="00D06117" w:rsidP="00D06117">
      <w:pPr>
        <w:pStyle w:val="TextoNormal"/>
      </w:pPr>
    </w:p>
    <w:p w:rsidR="00D06117" w:rsidRDefault="00D06117" w:rsidP="00D06117">
      <w:pPr>
        <w:pStyle w:val="TextoNormal"/>
      </w:pPr>
      <w:r w:rsidRPr="00D06117">
        <w:rPr>
          <w:rStyle w:val="NumeroAFNegritaCaracter"/>
        </w:rPr>
        <w:t>6</w:t>
      </w:r>
      <w:r>
        <w:t>. Todo ello conduce, de conformidad con lo previsto en el art. 53 a) de la Ley Orgánica del Tribunal Constitucional, a la estimación del recurso de amparo interpuesto por don Raúl Cebrián Díaz, dado que la condena de que ha sido objeto por parte del Juzgado de lo Penal núm. 4 y Sección Tercera de la Audiencia Provincial de Zaragoza, por un delito de quebrantamiento de medida cautelar del art. 468.2 CP, ha vulnerado su derecho a la presunción de inocencia —art. 24.2 CE—, pues el razonamiento que han formulado para entender probada la concurrencia de uno de los elementos del tipo penal ha sido irrazonable, contraria al tenor de las normas aplicadas y discrepante respecto de las pautas interpretativas al uso en la comunidad jurídica.</w:t>
      </w:r>
    </w:p>
    <w:p w:rsidR="00D06117" w:rsidRDefault="00D06117" w:rsidP="00D06117">
      <w:pPr>
        <w:pStyle w:val="TextoNormal"/>
      </w:pPr>
    </w:p>
    <w:p w:rsidR="00D06117" w:rsidRDefault="00D06117" w:rsidP="00D06117">
      <w:pPr>
        <w:pStyle w:val="TextoNormal"/>
      </w:pPr>
      <w:r>
        <w:t>Ello conlleva la nulidad de las Sentencias impugnadas, sin retroacción de actuaciones.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don Raúl Cebrián Díaz, y, en consecuencia:</w:t>
      </w:r>
    </w:p>
    <w:p w:rsidR="00D06117" w:rsidRDefault="00D06117" w:rsidP="00D06117">
      <w:pPr>
        <w:pStyle w:val="TextoNormal"/>
      </w:pPr>
    </w:p>
    <w:p w:rsidR="00D06117" w:rsidRDefault="00D06117" w:rsidP="00D06117">
      <w:pPr>
        <w:pStyle w:val="TextoNormal"/>
      </w:pPr>
      <w:r>
        <w:t>1º Reconocer su derecho a la presunción de inocencia —art. 24.2 CE—.</w:t>
      </w:r>
    </w:p>
    <w:p w:rsidR="00D06117" w:rsidRDefault="00D06117" w:rsidP="00D06117">
      <w:pPr>
        <w:pStyle w:val="TextoNormal"/>
      </w:pPr>
    </w:p>
    <w:p w:rsidR="00D06117" w:rsidRDefault="00D06117" w:rsidP="00D06117">
      <w:pPr>
        <w:pStyle w:val="TextoNormal"/>
      </w:pPr>
      <w:r>
        <w:t>2º Declarar la nulidad de la Sentencia de la Sección Tercera de la Audiencia Provincial de Zaragoza de 11 de febrero de 2009, dictada en el rollo de apelación núm. 38-2009, así como de la Sentencia del Juzgado de lo Penal núm. 4 de la misma ciudad de 19 de diciembre de 2008, recaída en el juicio oral núm. 476-2008.</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trece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0" w:name="SENTENCIA_2012_17"/>
      <w:r>
        <w:lastRenderedPageBreak/>
        <w:t>SENTENCIA 17/2012, de 13 de febrero de 2012</w:t>
      </w:r>
    </w:p>
    <w:bookmarkEnd w:id="20"/>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ECLI:ES:TC:2012:17</w:t>
      </w:r>
    </w:p>
    <w:p w:rsidR="00D06117" w:rsidRDefault="00D06117" w:rsidP="00D06117">
      <w:pPr>
        <w:pStyle w:val="SntesisDescriptiva"/>
      </w:pPr>
    </w:p>
    <w:p w:rsidR="00D06117" w:rsidRDefault="00D06117" w:rsidP="00D06117">
      <w:pPr>
        <w:pStyle w:val="SntesisDescriptiva"/>
      </w:pPr>
      <w:r>
        <w:t>Recurso de amparo 9894-2009. Promovido por Canal Mundo Producciones Audiovisuales, S.A., en relación con las Sentencias de la Sala de lo Civil del Tribunal Supremo, de la Audiencia Provincial de Madrid y de un Juzgado de Primera Instancia de Madrid que la condenaron a abonar una indemnización por intromisión en el derecho a la propia imagen.</w:t>
      </w:r>
    </w:p>
    <w:p w:rsidR="00D06117" w:rsidRDefault="00D06117" w:rsidP="00D06117">
      <w:pPr>
        <w:pStyle w:val="SntesisDescriptiva"/>
      </w:pPr>
    </w:p>
    <w:p w:rsidR="00D06117" w:rsidRDefault="00D06117" w:rsidP="00D06117">
      <w:pPr>
        <w:pStyle w:val="SntesisAnaltica"/>
      </w:pPr>
      <w:r>
        <w:t>Alegada vulneración del derecho a la libre información (reportaje con cámara oculta): recurso de amparo extemporáneo al haberse planteado un incidente de nulidad de actuaciones manifiestamente improcedente.</w:t>
      </w:r>
    </w:p>
    <w:p w:rsidR="00D06117" w:rsidRDefault="00D06117" w:rsidP="00D06117">
      <w:pPr>
        <w:pStyle w:val="SntesisAnaltica"/>
      </w:pPr>
    </w:p>
    <w:p w:rsidR="00D06117" w:rsidRDefault="00D06117" w:rsidP="00D06117">
      <w:pPr>
        <w:pStyle w:val="Extracto"/>
      </w:pPr>
      <w:r>
        <w:t>1.</w:t>
      </w:r>
      <w:r>
        <w:tab/>
        <w:t>La formulación del incidente de nulidad frente a la Sentencia de casación era manifiestamente improcedente, dado que en el incidente se denunció por la recurrente la lesión del derecho fundamental a la información, garantizado por el art. 20.1 CE, que no derivaba originariamente de dicha Sentencia, sino de las Sentencias anteriores de primera instancia y apelación, pues en las dos instancias ya se había planteado la posible vulneración del citado derecho [FJ 4].</w:t>
      </w:r>
    </w:p>
    <w:p w:rsidR="00D06117" w:rsidRDefault="00D06117" w:rsidP="00D06117">
      <w:pPr>
        <w:pStyle w:val="Extracto"/>
      </w:pPr>
    </w:p>
    <w:p w:rsidR="00D06117" w:rsidRDefault="00D06117" w:rsidP="00D06117">
      <w:pPr>
        <w:pStyle w:val="Extracto"/>
      </w:pPr>
      <w:r>
        <w:t>2.</w:t>
      </w:r>
      <w:r>
        <w:tab/>
        <w:t>El plazo de interposición del recurso de amparo es de caducidad, improrrogable y no susceptible de suspensión, por lo que no cabe su alargamiento mediante la interposición de recursos manifiestamente improcedentes, de modo que el tiempo invertido en la resolución de esos medios de impugnación, cuando exceda del plazo establecido para presentar el recurso de amparo, determinará la extemporaneidad de éste (SSTC 72/1991, 323/2006; ATC 177/2010) [FJ 3].</w:t>
      </w:r>
    </w:p>
    <w:p w:rsidR="00D06117" w:rsidRDefault="00D06117" w:rsidP="00D06117">
      <w:pPr>
        <w:pStyle w:val="Extracto"/>
      </w:pPr>
    </w:p>
    <w:p w:rsidR="00D06117" w:rsidRDefault="00D06117" w:rsidP="00D06117">
      <w:pPr>
        <w:pStyle w:val="Extracto"/>
      </w:pPr>
      <w:r>
        <w:t>3.</w:t>
      </w:r>
      <w:r>
        <w:tab/>
        <w:t>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(ATC 42/2010) [FJ 3].</w:t>
      </w:r>
    </w:p>
    <w:p w:rsidR="00D06117" w:rsidRDefault="00D06117" w:rsidP="00D06117">
      <w:pPr>
        <w:pStyle w:val="Extracto"/>
      </w:pPr>
    </w:p>
    <w:p w:rsidR="00D06117" w:rsidRDefault="00D06117" w:rsidP="00D06117">
      <w:pPr>
        <w:pStyle w:val="Extracto"/>
      </w:pPr>
      <w:r>
        <w:t>4.</w:t>
      </w:r>
      <w:r>
        <w:tab/>
        <w:t>Doctrina sobre la interpretación de lo que debe entenderse por recurso manifiestamente improcedente (SSTC 50/1990, 172/2009; ATC 42/2010) [FJ 3].</w:t>
      </w:r>
    </w:p>
    <w:p w:rsidR="00D06117" w:rsidRDefault="00D06117" w:rsidP="00D06117">
      <w:pPr>
        <w:pStyle w:val="Extracto"/>
      </w:pPr>
    </w:p>
    <w:p w:rsidR="00D06117" w:rsidRDefault="00D06117" w:rsidP="00D06117">
      <w:pPr>
        <w:pStyle w:val="Extracto"/>
      </w:pPr>
      <w:r>
        <w:t>5.</w:t>
      </w:r>
      <w:r>
        <w:tab/>
        <w:t>Los defectos insubsanables de que pudiera estar afectado el recurso de amparo no resultan sanados porque la demanda haya sido inicialmente admitida a trámite (SSTC 32/2002, 69/2011)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9894-2009, promovido por Canal Mundo Producciones Audiovisuales, S.A., representado por la Procuradora de los Tribunales doña María Luisa Montero Correal y asistido inicialmente por el Abogado don Javier López Gutiérrez que fue sustituido por don Juan Luis Ortega Peña, contra la Sentencia de la Sala Primera del Tribunal Supremo núm. 506/2009, de fecha 6 de julio de 2009, dictada en recurso de casación núm. 1801-2005. Ha intervenido el Ministerio Fiscal. Ha sido Ponente el Magistrado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24 de noviembre de 2009 tuvo entrada en el registro general de este Tribunal, escrito de la Procuradora de los Tribunales, doña María Luisa Montero Correal, actuando en nombre y representación de Canal Mundo Producciones Audiovisuales, S.A., y bajo la dirección letrada del Abogado don Javier López Gutiérrez, mediante el que interpuso recurso de amparo contra la resolución judicial que se menciona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La demanda de amparo tiene su origen en los siguientes antecedentes:</w:t>
      </w:r>
    </w:p>
    <w:p w:rsidR="00D06117" w:rsidRDefault="00D06117" w:rsidP="00D06117">
      <w:pPr>
        <w:pStyle w:val="TextoNormal"/>
      </w:pPr>
    </w:p>
    <w:p w:rsidR="00D06117" w:rsidRDefault="00D06117" w:rsidP="00D06117">
      <w:pPr>
        <w:pStyle w:val="TextoNormal"/>
      </w:pPr>
      <w:r>
        <w:t>a) El 31 de enero de 2003, doña R.M.O.B. promovió demanda de juicio ordinario por infracción de sus derechos fundamentales al honor, intimidad personal y familiar, y propia imagen (art. 18.1 CE) contra la entidad El Mundo Televisión (Canal Mundo Producciones Audiovisuales, S.A). y contra don Ricardo Sanz Ramos, director del reportaje aparecido en el programa “Investigación TV”, emitido por la cadena “Telemadrid” los días 18 de junio y 19 de noviembre de 2002, que versaba sobre el resurgir de la extrema derecha en España.</w:t>
      </w:r>
    </w:p>
    <w:p w:rsidR="00D06117" w:rsidRDefault="00D06117" w:rsidP="00D06117">
      <w:pPr>
        <w:pStyle w:val="TextoNormal"/>
      </w:pPr>
    </w:p>
    <w:p w:rsidR="00D06117" w:rsidRDefault="00D06117" w:rsidP="00D06117">
      <w:pPr>
        <w:pStyle w:val="TextoNormal"/>
      </w:pPr>
      <w:r>
        <w:t>En dicho reportaje se informa por una voz “en off” que los periodistas, fingiendo que querían formar parte de su grupo, se introducen en la sede del partido denominado Democracia Nacional. En el reportaje se emiten imágenes captadas ya en el interior, mediante cámara oculta, en las que aparece la demandante en primer plano y se oye su voz dirigiéndose a otras personas que no aparecen en la imagen, formulando opiniones xenófobas que son presentadas en el programa de televisión como ejemplo del ideario antidemocrático de dicho grupo.</w:t>
      </w:r>
    </w:p>
    <w:p w:rsidR="00D06117" w:rsidRDefault="00D06117" w:rsidP="00D06117">
      <w:pPr>
        <w:pStyle w:val="TextoNormal"/>
      </w:pPr>
    </w:p>
    <w:p w:rsidR="00D06117" w:rsidRDefault="00D06117" w:rsidP="00D06117">
      <w:pPr>
        <w:pStyle w:val="TextoNormal"/>
      </w:pPr>
      <w:r>
        <w:t xml:space="preserve">b) El Juzgado de Primera Instancia núm. 26 de Madrid dictó Sentencia el 6 de noviembre de 2003, en la que, estimando en parte la demanda, declaró la existencia de una intromisión ilegítima en la imagen de la actora, negando, sin embargo, haber lugar a la protección del derecho al honor y a declarar intromisión ilegítima en la intimidad de la actora. Con examen </w:t>
      </w:r>
      <w:r>
        <w:lastRenderedPageBreak/>
        <w:t>de los requisitos propios del derecho a la libertad de información —art. 20.1 d) CE— considera el juzgador de instancia que el reportaje emitido no afecta al derecho al honor ni a la intimidad pues cumple los requisitos necesarios para considerarse que, en este caso, debe primar el derecho a informar, lo que descarta, en cambio, en el caso del derecho a la imagen. Respecto de este último razona que ha existido una intromisión ilegítima por no ser la demandante titular de un cargo público, haberse tomado las imágenes con cámara oculta y sin su autorización y haberse grabado en un sitio que no puede considerarse un lugar público. Señala, además, que la imagen de la actora era absolutamente innecesaria pues el contenido del reportaje hubiera tenido el mismo calado y significado sin ella.</w:t>
      </w:r>
    </w:p>
    <w:p w:rsidR="00D06117" w:rsidRDefault="00D06117" w:rsidP="00D06117">
      <w:pPr>
        <w:pStyle w:val="TextoNormal"/>
      </w:pPr>
    </w:p>
    <w:p w:rsidR="00D06117" w:rsidRDefault="00D06117" w:rsidP="00D06117">
      <w:pPr>
        <w:pStyle w:val="TextoNormal"/>
      </w:pPr>
      <w:r>
        <w:t>c) Interpuesto recurso de apelación por Canal Mundo Producciones Audiovisuales, S.A., la Sección Vigésima de la Audiencia Provincial de Madrid dictó, el 7 de febrero de 2005, Sentencia por la que desestima el recurso de apelación y confirma en sus propios términos la resolución recurrida. Señala la sentencia de apelación que no puede primar el derecho a la información esgrimido por la apelante sobre el derecho a la propia imagen de la actora, confirmando los argumentos del Juzgado a los que añade, aún, la consideración de que no aparece justificada la utilización de una cámara oculta pues las opiniones de la autora no suponen un riesgo para la sociedad que hagan necesario obtener dicha información por métodos subrepticios, ni que no pudieran obtenerse de otra forma menos lesiva para sus derechos.</w:t>
      </w:r>
    </w:p>
    <w:p w:rsidR="00D06117" w:rsidRDefault="00D06117" w:rsidP="00D06117">
      <w:pPr>
        <w:pStyle w:val="TextoNormal"/>
      </w:pPr>
    </w:p>
    <w:p w:rsidR="00D06117" w:rsidRDefault="00D06117" w:rsidP="00D06117">
      <w:pPr>
        <w:pStyle w:val="TextoNormal"/>
      </w:pPr>
      <w:r>
        <w:t>d) La demandante interpuso recurso de casación que fue tramitado con el núm. 1801-2005, con un único motivo de casación y al amparo de lo dispuesto en el artículo 477.2 párrafo 1 de la Ley de enjuiciamiento civil 1/2000, por vulneración del derecho fundamental a la libertad de información (art. 20 CE) en relación con el derecho a la propia imagen y la jurisprudencia que lo desarrolla. El recurso fue desestimado por Sentencia de 6 de julio de 2009, de la Sala de lo Civil del Tribunal Supremo, que confirmó los razonamientos de la Sala de apelación, concluyendo que el derecho a la libertad de información no puede prevalecer en el caso pues la imagen de la actora no es un elemento imprescindible para la finalidad informativa, sin que la filmada fuera persona que ejerza profesión de notoriedad o proyección pública ni el lugar o dependencia donde se realizó la filmación fuera lugar abierto al público, lo que hace que la imagen de la actora no fuera de especial importancia para la transmisión a la opinión pública de la información que se quería ofrecer, habiéndose producido, en consecuencia, una intromisión ilegítima en su derecho a la propia imagen.</w:t>
      </w:r>
    </w:p>
    <w:p w:rsidR="00D06117" w:rsidRDefault="00D06117" w:rsidP="00D06117">
      <w:pPr>
        <w:pStyle w:val="TextoNormal"/>
      </w:pPr>
    </w:p>
    <w:p w:rsidR="00D06117" w:rsidRDefault="00D06117" w:rsidP="00D06117">
      <w:pPr>
        <w:pStyle w:val="TextoNormal"/>
      </w:pPr>
      <w:r>
        <w:t>e) El 30 de julio de 2009, Canal Mundo Producciones, S.A., solicita nulidad de actuaciones de la Sentencia que acaba de mencionarse, por vulnerar el derecho contemplado en el artículo 20.1 d) CE a comunicar o recibir libremente información veraz por cualquier medio. El incidente es inadmitido por providencia de la Sala de lo Civil del Tribunal Supremo de fecha 27 de octubre de 2009 que entiende que, a través del planteamiento del incidente, se está cuestionando el tema principal del debate discutido a lo largo del proceso excediendo, en consecuencia, del ámbito previsto por el artículo 241 de la Ley Orgánica del Poder Judicial (LOPJ).</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Canal Mundo Producciones Audiovisuales, S.A., aduce en su demanda de amparo la vulneración del derecho a comunicar libremente información veraz del art. 20.1 d) CE, por cuanto la Sentencia del Tribunal Supremo desatendió los criterios de ponderación y proporcionalidad tradicionalmente admitidos por la jurisprudencia del Tribunal Constitucional y </w:t>
      </w:r>
      <w:r>
        <w:lastRenderedPageBreak/>
        <w:t>del Tribunal Europeo de Derechos Humanos como legitimadores del derecho a la libertad de información frente a los derechos a la intimidad y a la propia imagen. Invoca la prevalencia del derecho a informar frente a los derechos individuales de la persona. Tras destacar el papel esencial que juega la libertad de expresión y el derecho a la información en la formación de la opinión pública en una sociedad democrática, sostiene que cuando estos derechos entran en conflicto con otros derechos fundamentales, las limitaciones que puedan generarse sobre los primeros deben ser interpretadas de forma restrictiva para que no se vea afectado su núcleo esencial, lo que supone otorgar un lugar preminente al derecho de información frente a los derechos personales cuando concurre el triple elemento de la veracidad, el interés y relevancia de la información divulgada y, finalmente, el animus informandi.</w:t>
      </w:r>
    </w:p>
    <w:p w:rsidR="00D06117" w:rsidRDefault="00D06117" w:rsidP="00D06117">
      <w:pPr>
        <w:pStyle w:val="TextoNormal"/>
      </w:pPr>
    </w:p>
    <w:p w:rsidR="00D06117" w:rsidRDefault="00D06117" w:rsidP="00D06117">
      <w:pPr>
        <w:pStyle w:val="TextoNormal"/>
      </w:pPr>
      <w:r>
        <w:t>Por esta razón, continúa argumentando la demanda, el mero empleo de la cámara oculta no determina la licitud o ilicitud de la información pues ésta debe ser concluida a partir de los tres elementos expuestos. Concurriendo en el caso enjuiciado los requisitos de veracidad, fin informativo e interés general, considera la demandante de amparo que no puede prevalecer el derecho a la propia imagen sobre el artículo 20.1 d) CE.</w:t>
      </w:r>
    </w:p>
    <w:p w:rsidR="00D06117" w:rsidRDefault="00D06117" w:rsidP="00D06117">
      <w:pPr>
        <w:pStyle w:val="TextoNormal"/>
      </w:pPr>
    </w:p>
    <w:p w:rsidR="00D06117" w:rsidRDefault="00D06117" w:rsidP="00D06117">
      <w:pPr>
        <w:pStyle w:val="TextoNormal"/>
      </w:pPr>
      <w:r w:rsidRPr="00D06117">
        <w:rPr>
          <w:rStyle w:val="NumeroAFNegritaCaracter"/>
        </w:rPr>
        <w:t>4</w:t>
      </w:r>
      <w:r>
        <w:t>. Por diligencia de ordenación de 7 de septiembre de 2010, de la Secretaría de Justicia de la Sala Primera, se tiene por designado para la dirección letrada de la entidad recurrente al Letrado don Juan Luis Ortega Peña en sustitución del designado en la demanda, don Javier López Gutiérrez.</w:t>
      </w:r>
    </w:p>
    <w:p w:rsidR="00D06117" w:rsidRDefault="00D06117" w:rsidP="00D06117">
      <w:pPr>
        <w:pStyle w:val="TextoNormal"/>
      </w:pPr>
    </w:p>
    <w:p w:rsidR="00D06117" w:rsidRDefault="00D06117" w:rsidP="00D06117">
      <w:pPr>
        <w:pStyle w:val="TextoNormal"/>
      </w:pPr>
      <w:r w:rsidRPr="00D06117">
        <w:rPr>
          <w:rStyle w:val="NumeroAFNegritaCaracter"/>
        </w:rPr>
        <w:t>5</w:t>
      </w:r>
      <w:r>
        <w:t>. La Sala Primera del Tribunal Constitucional, por providencia de 15 de noviembre de 2010, acordó admitir a trámite la demanda y dirigir atenta comunicación a la Sala de lo Civil del Tribunal Supremo y a la Sección Vigésima de la Audiencia Provincial de Madrid a fin de que, en plazo que no exceda de diez días, remitieran respectivamente certificación o fotocopia adverada de las actuaciones correspondientes al recurso de casación 1801-2005, y al recurso de apelación 374-2004. Asimismo dirige atenta comunicación al Juzgado de Primera Instancia núm. 26 de Madrid para que en el mismo plazo remita las actuaciones correspondientes al juicio ordinario sobre protección de los derechos fundamentales seguido con el núm. 180-2002, debiendo previamente emplazar a quienes hubieran sido parte en el procedimiento, salvo al recurrente en amparo.</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la Secretaría de Justicia de la Sala Primera de este Tribunal, de fecha 1 de febrero de 2011, se tuvo por recibido testimonio de las actuaciones, de las que se dio vista, por un plazo común de veinte días, al Ministerio Fiscal y a las partes personadas, para que dentro de dicho término pudieran presentar las alegaciones que a su derecho convinieran.</w:t>
      </w:r>
    </w:p>
    <w:p w:rsidR="00D06117" w:rsidRDefault="00D06117" w:rsidP="00D06117">
      <w:pPr>
        <w:pStyle w:val="TextoNormal"/>
      </w:pPr>
    </w:p>
    <w:p w:rsidR="00D06117" w:rsidRDefault="00D06117" w:rsidP="00D06117">
      <w:pPr>
        <w:pStyle w:val="TextoNormal"/>
      </w:pPr>
      <w:r w:rsidRPr="00D06117">
        <w:rPr>
          <w:rStyle w:val="NumeroAFNegritaCaracter"/>
        </w:rPr>
        <w:t>7</w:t>
      </w:r>
      <w:r>
        <w:t>. Por diligencia de ordenación de 10 de marzo de 2011 de la Secretaría de Justicia de la Sala Primera de este Tribunal, se acuerda requerir al Juzgado de Primera instancia núm. 26 de Madrid, en los términos interesados por el Ministerio Fiscal en su escrito de 8 de marzo de 2011, para que remita en el plazo de diez días copia del video que contiene el reportaje televisivo base de la demanda, accediendo asimismo a la suspensión del plazo para presentación de alegaciones por éste solicitada. Por diligencia de ordenación de 5 de mayo de 2011 de la misma Secretaría se habilita un nuevo plazo de diez días para que el video pueda ser conocido por las partes y puedan alegar lo que a su derecho convenga.</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presenta sus alegaciones mediante escrito de fecha 28 de junio del mismo año, alegando en primer lugar la extemporaneidad del recurso de amparo, por incumplimiento del artículo 44.1 y, derivadamente, del plazo del artículo 44.2, ambos de la Ley Orgánica del Tribunal Constitucional, puesto que tanto en el recurso de apelación como en el de casación interpuestos por la demandante de amparo se invocó la lesión del derecho a la libertad de información pudiéndose defender la prevalencia de tal derecho frente al derecho a la imagen. Esta es la motivación de la providencia de la Sala Primera del Tribunal Supremo, de 27 de octubre de 2009, que inadmite a trámite el incidente de nulidad de actuaciones.</w:t>
      </w:r>
    </w:p>
    <w:p w:rsidR="00D06117" w:rsidRDefault="00D06117" w:rsidP="00D06117">
      <w:pPr>
        <w:pStyle w:val="TextoNormal"/>
      </w:pPr>
    </w:p>
    <w:p w:rsidR="00D06117" w:rsidRDefault="00D06117" w:rsidP="00D06117">
      <w:pPr>
        <w:pStyle w:val="TextoNormal"/>
      </w:pPr>
      <w:r>
        <w:t>En segundo lugar, en cuanto al fondo del asunto, considera el Fiscal que la veracidad de la información y su interés general son requisitos necesarios pero no legitiman por sí solos cualquier actuación invasiva de la vida privada siendo necesario un juicio de ponderación que no se ha realizado por el demandante de amparo. Entiende el Fiscal que la libertad de información obliga al sacrificio de determinados derechos pero con los límites y condiciones establecidas por la doctrina constitucional que viene fijada en las SSTC 72/2007, 158/2009, sobre imágenes de menor, 77/2009, sobre desnudos, así como en el ATC 28/2004, sobre topless en la playa. La jurisprudencia del Tribunal Europeo de Derechos Humanos, en especial las Sentencias 2004/45 en la que se ponderan los artículos 8 y 10 del Convenio Europeo de Derechos Humanos (CEDH) haciendo una defensa de la vida privada de las personas, Egeland y Hanseid contra Noruega, de 16 de abril de 2009, sobre imagen de detenidos sin consentimiento; la Sentencia dictada en el caso Reklos y Davourlis contra Austria, de 15 de enero de 2009, avalaría también esta doctrina.</w:t>
      </w:r>
    </w:p>
    <w:p w:rsidR="00D06117" w:rsidRDefault="00D06117" w:rsidP="00D06117">
      <w:pPr>
        <w:pStyle w:val="TextoNormal"/>
      </w:pPr>
    </w:p>
    <w:p w:rsidR="00D06117" w:rsidRDefault="00D06117" w:rsidP="00D06117">
      <w:pPr>
        <w:pStyle w:val="TextoNormal"/>
      </w:pPr>
      <w:r>
        <w:t>Lo anteriormente señalado lleva al Ministerio Fiscal a concluir, a la vista de la prueba practicada en los autos —falta de consentimiento de la actora, nitidez con que aparecen la imagen y voz que constituyen la parte protagonista del reportaje, ausencia de relevancia pública de la actora que la hiciera indispensable para el reportaje, e inexistencia de un local abierto al público—, que existe una desproporción en el uso de la información por el medio televisivo que revierte el juicio de ponderación que debe decantarse por el derecho de imagen de la actora que fue adecuadamente valorado por las tres resoluciones judiciales recaídas en el proceso.</w:t>
      </w:r>
    </w:p>
    <w:p w:rsidR="00D06117" w:rsidRDefault="00D06117" w:rsidP="00D06117">
      <w:pPr>
        <w:pStyle w:val="TextoNormal"/>
      </w:pPr>
    </w:p>
    <w:p w:rsidR="00D06117" w:rsidRDefault="00D06117" w:rsidP="00D06117">
      <w:pPr>
        <w:pStyle w:val="TextoNormal"/>
      </w:pPr>
      <w:r w:rsidRPr="00D06117">
        <w:rPr>
          <w:rStyle w:val="NumeroAFNegritaCaracter"/>
        </w:rPr>
        <w:t>9</w:t>
      </w:r>
      <w:r>
        <w:t>. Por escrito de 15 de junio de 2011, Canal Mundo Producciones Audiovisuales, S.A., afirma y ratifica las argumentaciones contenidas en la demanda de amparo a las que expresamente se remite.</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9 de febrero de 2012 se señaló para deliberación y fallo de la Sentencia el día 13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Como ha quedado expuesto en los antecedentes, esta demanda de amparo tiene por objeto la impugnación de la Sentencia de la Sala Primera del Tribunal Supremo núm. 506/2009, de 6 de julio de 2009, dictada en el recurso de casación núm. 1801-2005. La </w:t>
      </w:r>
      <w:r>
        <w:lastRenderedPageBreak/>
        <w:t>recurrente invoca la vulneración por la Sala de lo Civil del Tribunal Supremo del art. 20.1 d) CE, en concreto del derecho a comunicar libremente información veraz, en cuanto que la Sentencia recurrida desatendió los criterios de ponderación y proporcionalidad tradicionalmente admitidos por la jurisprudencia del Tribunal Constitucional y del Tribunal Europeo de Derechos Humanos como legitimadores del derecho a la libertad de información frente al derecho a la propia imagen. El Ministerio Fiscal interesa la inadmisión o, en su caso, la desestimación del amparo solicitado.</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en el fondo de la controversia planteada debemos pronunciarnos, sin embargo, sobre el reparo procesal puesto de manifiesto por el Ministerio Fiscal, esto es, la extemporaneidad del recurso de amparo, que razona destacando que tanto en el recurso de apelación como en el de casación interpuestos por la demandante de amparo se invocó la lesión del derecho a la libertad de información, por lo que habiéndose podido defender en dos ocasiones mediante los recursos procesales pertinentes la prevalencia del derecho fundamental a la información sobre el derecho a la propia imagen, la nulidad de actuaciones resulta manifiestamente improcedente.</w:t>
      </w:r>
    </w:p>
    <w:p w:rsidR="00D06117" w:rsidRDefault="00D06117" w:rsidP="00D06117">
      <w:pPr>
        <w:pStyle w:val="TextoNormal"/>
      </w:pPr>
    </w:p>
    <w:p w:rsidR="00D06117" w:rsidRDefault="00D06117" w:rsidP="00D06117">
      <w:pPr>
        <w:pStyle w:val="TextoNormal"/>
      </w:pPr>
      <w:r>
        <w:t>A este respecto debemos recordar que es doctrina reiterada de este Tribunal que los defectos insubsanables de que pudiera estar afectado el recurso de amparo no resultan sanados porque la demanda haya sido inicialmente admitida a trámite. Así lo declaramos, entre otras, en la STC 69/2011, de 16 de mayo, cuyo FJ 2 afirma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32/2002, de 11 de febrero, FJ 2; 204/2005, de 18 de julio, FJ 2; 237/2006, de 17 de julio, FJ 4; 7/2007, de 15 de enero, FJ 2; 28/2011, de 14 de marzo, FJ 3; y 29/2011 de 14 de marzo, FJ 3)”.</w:t>
      </w:r>
    </w:p>
    <w:p w:rsidR="00D06117" w:rsidRDefault="00D06117" w:rsidP="00D06117">
      <w:pPr>
        <w:pStyle w:val="TextoNormal"/>
      </w:pPr>
    </w:p>
    <w:p w:rsidR="00D06117" w:rsidRDefault="00D06117" w:rsidP="00D06117">
      <w:pPr>
        <w:pStyle w:val="TextoNormal"/>
      </w:pPr>
      <w:r w:rsidRPr="00D06117">
        <w:rPr>
          <w:rStyle w:val="NumeroAFNegritaCaracter"/>
        </w:rPr>
        <w:t>3</w:t>
      </w:r>
      <w:r>
        <w:t>. El art. 44.2 de la Ley Orgánica del Tribunal Constitucional (LOTC) exige que el recurso de amparo se interponga en el plazo de treinta días desde la notificación de la resolución recaída en el proceso judicial. Pues bien, tal y como señalamos, entre otros, en el fundamento jurídico 1 del ATC 177/2010, de 24 de noviembre, este plazo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w:t>
      </w:r>
    </w:p>
    <w:p w:rsidR="00D06117" w:rsidRDefault="00D06117" w:rsidP="00D06117">
      <w:pPr>
        <w:pStyle w:val="TextoNormal"/>
      </w:pPr>
    </w:p>
    <w:p w:rsidR="00D06117" w:rsidRDefault="00D06117" w:rsidP="00D06117">
      <w:pPr>
        <w:pStyle w:val="TextoNormal"/>
      </w:pPr>
      <w:r>
        <w:t>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 (ATC 42/2010, de 12 de abril, FJ 1).</w:t>
      </w:r>
    </w:p>
    <w:p w:rsidR="00D06117" w:rsidRDefault="00D06117" w:rsidP="00D06117">
      <w:pPr>
        <w:pStyle w:val="TextoNormal"/>
      </w:pPr>
    </w:p>
    <w:p w:rsidR="00D06117" w:rsidRDefault="00D06117" w:rsidP="00D06117">
      <w:pPr>
        <w:pStyle w:val="TextoNormal"/>
      </w:pPr>
      <w:r>
        <w:t>Y en el mismo Auto que acabamos de citar declarábamos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00D06117" w:rsidRDefault="00D06117" w:rsidP="00D06117">
      <w:pPr>
        <w:pStyle w:val="TextoNormal"/>
      </w:pPr>
    </w:p>
    <w:p w:rsidR="00D06117" w:rsidRDefault="00D06117" w:rsidP="00D06117">
      <w:pPr>
        <w:pStyle w:val="TextoNormal"/>
      </w:pPr>
      <w:r w:rsidRPr="00D06117">
        <w:rPr>
          <w:rStyle w:val="NumeroAFNegritaCaracter"/>
        </w:rPr>
        <w:t>4</w:t>
      </w:r>
      <w:r>
        <w:t>. En el proceso que nos ocupa, el enfrentamiento entre el derecho fundamental a la información y el derecho a la propia imagen ha constituido el objeto de la controversia judicial ya desde la primera instancia, de modo que la vulneración del derecho a la libertad de información pudo ser y, de hecho, fue denunciada antes del incidente de nulidad de actuaciones.</w:t>
      </w:r>
    </w:p>
    <w:p w:rsidR="00D06117" w:rsidRDefault="00D06117" w:rsidP="00D06117">
      <w:pPr>
        <w:pStyle w:val="TextoNormal"/>
      </w:pPr>
    </w:p>
    <w:p w:rsidR="00D06117" w:rsidRDefault="00D06117" w:rsidP="00D06117">
      <w:pPr>
        <w:pStyle w:val="TextoNormal"/>
      </w:pPr>
      <w:r>
        <w:t>En efecto, la Sentencia del Juzgado declaró la prevalencia del derecho a la propia imagen en detrimento del derecho a la información, rechazando que existiera una lesión del derecho al honor y a la intimidad. En su recurso de apelación, la demandante de amparo alegó que no existía intromisión ilegítima en el derecho a la propia imagen de la actora, dado que la información difundida era veraz, de interés general y se había realizado con animus informandi. La Sentencia 374/2004 de la Sección Vigésima de la Audiencia Provincial de Madrid, que resuelve el recurso de apelación, tras confirmar los razonamientos del Juzgado, concluye que no se justifica el sacrificio del derecho de la actora a su propia imagen publicada en varios medios de comunicación, en aras a una información sobre sus opiniones que debe considerarse irrelevante e innecesario por lo que las molestias y sinsabores que ha producido a la actora la emisión de su imagen en el reportaje litigioso no aparecen proporcionadas al rédito social que supuestamente se pretende obtener con la información publicada.</w:t>
      </w:r>
    </w:p>
    <w:p w:rsidR="00D06117" w:rsidRDefault="00D06117" w:rsidP="00D06117">
      <w:pPr>
        <w:pStyle w:val="TextoNormal"/>
      </w:pPr>
    </w:p>
    <w:p w:rsidR="00D06117" w:rsidRDefault="00D06117" w:rsidP="00D06117">
      <w:pPr>
        <w:pStyle w:val="TextoNormal"/>
      </w:pPr>
      <w:r>
        <w:t>El recurso de casación que se interpone contra la Sentencia de apelación citada se basa en un único motivo, la vulneración del derecho a la libertad de información (art. 20 CE) en relación con el derecho a la propia imagen y la jurisprudencia que lo desarrolla, vulneración que nuevamente es rechazada, ahora por la Sala de lo Civil del Tribunal Supremo que, en su Sentencia 506/2009, declara no haber lugar al recurso de casación interpuesto por la demandante de amparo.</w:t>
      </w:r>
    </w:p>
    <w:p w:rsidR="00D06117" w:rsidRDefault="00D06117" w:rsidP="00D06117">
      <w:pPr>
        <w:pStyle w:val="TextoNormal"/>
      </w:pPr>
    </w:p>
    <w:p w:rsidR="00D06117" w:rsidRDefault="00D06117" w:rsidP="00D06117">
      <w:pPr>
        <w:pStyle w:val="TextoNormal"/>
      </w:pPr>
      <w:r>
        <w:t>En este único motivo fundamenta también la demandante de amparo, con reiteración de los argumentos esgrimidos en las sucesivas instancias judiciales, el incidente de nulidad de actuaciones, pidiendo al órgano judicial que se pronuncie sobre la vulneración del derecho a la información, incidente que es inadmitido por la Sala porque su carácter subsidiario requiere que la vulneración del derecho fundamental invocado no haya podido denunciarse antes de recaer resolución que ponga fin al proceso, no siendo posible utilizar este incidente para postular una suerte de reposición de lo resuelto motivadamente, proceder que el legislador veda con la previsión de no recurribilidad de las Sentencias dictadas en casación.</w:t>
      </w:r>
    </w:p>
    <w:p w:rsidR="00D06117" w:rsidRDefault="00D06117" w:rsidP="00D06117">
      <w:pPr>
        <w:pStyle w:val="TextoNormal"/>
      </w:pPr>
    </w:p>
    <w:p w:rsidR="00D06117" w:rsidRDefault="00D06117" w:rsidP="00D06117">
      <w:pPr>
        <w:pStyle w:val="TextoNormal"/>
      </w:pPr>
      <w:r>
        <w:t xml:space="preserve">Y es indudable que, en las circunstancias concurrentes en el presente caso, la formulación del incidente de nulidad frente a la Sentencia de casación era manifiestamente improcedente, dado que en el incidente se denunció por la recurrente la lesión de un derecho fundamental </w:t>
      </w:r>
      <w:r>
        <w:lastRenderedPageBreak/>
        <w:t>(el garantizado por el art. 20.1 CE) que no derivaba originariamente de dicha Sentencia, sino de las Sentencias anteriores de primera instancia y apelación, pues en las dos instancias ya se había planteado la posible vulneración del citado derecho. No se trata, así, de una supuesta lesión de un derecho fundamental “que no haya podido denunciarse antes de recaer resolución que ponga fin al proceso”, como exige el art. 241.1 de la Ley Orgánica del Poder Judicial (LOPJ).</w:t>
      </w:r>
    </w:p>
    <w:p w:rsidR="00D06117" w:rsidRDefault="00D06117" w:rsidP="00D06117">
      <w:pPr>
        <w:pStyle w:val="TextoNormal"/>
      </w:pPr>
    </w:p>
    <w:p w:rsidR="00D06117" w:rsidRDefault="00D06117" w:rsidP="00D06117">
      <w:pPr>
        <w:pStyle w:val="TextoNormal"/>
      </w:pPr>
      <w:r>
        <w:t>Siendo, por tanto, manifiestamente improcedente el incidente de nulidad de actuaciones interpuesto por la demandante de amparo es de concluir que, como quiera que la Sentencia de la Sala de lo Civil del Tribunal Supremo de 6 de julio de 2009 le fue notificada el día 13 de ese mismo mes y año y el recurso de amparo no se interpuso hasta el 24 de noviembre de 2009, se habría excedido con creces el plazo de treinta días previsto en el art. 44.2 LOTC para la interposición del presente recurso de amparo, que resulta, así, extemporáneo.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el amparo solicitado por Canal Mundo Producciones Audiovisuales, S.A.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trece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1" w:name="SENTENCIA_2012_18"/>
      <w:r>
        <w:lastRenderedPageBreak/>
        <w:t>SENTENCIA 18/2012, de 13 de febrero de 2012</w:t>
      </w:r>
    </w:p>
    <w:bookmarkEnd w:id="21"/>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ECLI:ES:TC:2012:18</w:t>
      </w:r>
    </w:p>
    <w:p w:rsidR="00D06117" w:rsidRDefault="00D06117" w:rsidP="00D06117">
      <w:pPr>
        <w:pStyle w:val="SntesisDescriptiva"/>
      </w:pPr>
    </w:p>
    <w:p w:rsidR="00D06117" w:rsidRDefault="00D06117" w:rsidP="00D06117">
      <w:pPr>
        <w:pStyle w:val="SntesisDescriptiva"/>
      </w:pPr>
      <w:r>
        <w:t>Recurso de amparo 111-2010. Promovido por la Generalitat Valenciana en relación con la Sentencia de la Sala de lo Contencioso-Administrativo del Tribunal Supremo que declaró haber lugar al recurso de casación formulado frente a la Sentencia del Tribunal Superior de Justicia de la Comunidad Valenciana desestimatoria de la impugnación del decreto autonómico de ordenación de las zonas periféricas de protección del sistema de zonas húmedas del sur de Alicante.</w:t>
      </w:r>
    </w:p>
    <w:p w:rsidR="00D06117" w:rsidRDefault="00D06117" w:rsidP="00D06117">
      <w:pPr>
        <w:pStyle w:val="SntesisDescriptiva"/>
      </w:pPr>
    </w:p>
    <w:p w:rsidR="00D06117" w:rsidRDefault="00D06117" w:rsidP="00D06117">
      <w:pPr>
        <w:pStyle w:val="SntesisAnaltica"/>
      </w:pPr>
      <w:r>
        <w:t>Supuesta vulneración del derecho a la tutela judicial efectiva (resolución fundada en Derecho): imposibilidad de reparar la lesión que se denuncia al hacer referencia a un reglamento autonómico que ya había sido declarado nulo por Sentencia que había ganado firmeza al momento de dictarse la resolución judicial impugnada.</w:t>
      </w:r>
    </w:p>
    <w:p w:rsidR="00D06117" w:rsidRDefault="00D06117" w:rsidP="00D06117">
      <w:pPr>
        <w:pStyle w:val="SntesisAnaltica"/>
      </w:pPr>
    </w:p>
    <w:p w:rsidR="00D06117" w:rsidRDefault="00D06117" w:rsidP="00D06117">
      <w:pPr>
        <w:pStyle w:val="Extracto"/>
      </w:pPr>
      <w:r>
        <w:t>1.</w:t>
      </w:r>
      <w:r>
        <w:tab/>
        <w:t xml:space="preserve">El presente recurso de amparo carecía de objeto </w:t>
      </w:r>
      <w:r w:rsidRPr="00D06117">
        <w:rPr>
          <w:i/>
        </w:rPr>
        <w:t>ab initio</w:t>
      </w:r>
      <w:r>
        <w:t>, pues se interpuso cuando este Tribunal no podía restablecer o preservar el derecho fundamental que se dice vulnerado, ya que no es la Sentencia impugnada la que anula el decreto de la Generalitat Valenciana, pues dicho decreto se había declarado nulo antes de que recayera aquélla [FJ 2].</w:t>
      </w:r>
    </w:p>
    <w:p w:rsidR="00D06117" w:rsidRDefault="00D06117" w:rsidP="00D06117">
      <w:pPr>
        <w:pStyle w:val="Extracto"/>
      </w:pPr>
    </w:p>
    <w:p w:rsidR="00D06117" w:rsidRDefault="00D06117" w:rsidP="00D06117">
      <w:pPr>
        <w:pStyle w:val="Extracto"/>
      </w:pPr>
      <w:r>
        <w:t>2.</w:t>
      </w:r>
      <w:r>
        <w:tab/>
        <w:t>Carecería de sentido la concesión de un amparo que se limitase a anular una parte de la motivación de una Sentencia, manteniendo en cambio la integridad de su fallo, de la misma manera que carecería de sentido anular totalmente la Sentencia, incluido el fallo, con el único objeto de que el órgano judicial dictase una nueva Sentencia en la que confirmase el fallo tras corregir posibles errores o desaciertos contenidos en la redacción de su fundamentación jurídica (STC 298/1993) [FJ 2].</w:t>
      </w:r>
    </w:p>
    <w:p w:rsidR="00D06117" w:rsidRDefault="00D06117" w:rsidP="00D06117">
      <w:pPr>
        <w:pStyle w:val="Extracto"/>
      </w:pPr>
    </w:p>
    <w:p w:rsidR="00D06117" w:rsidRDefault="00D06117" w:rsidP="00D06117">
      <w:pPr>
        <w:pStyle w:val="Extracto"/>
      </w:pPr>
      <w:r>
        <w:t>3.</w:t>
      </w:r>
      <w:r>
        <w:tab/>
        <w:t>Este Tribunal es un órgano jurisdiccional y no un órgano consultivo y por ello no le compete enjuiciar o corregir los razonamientos judiciales o el modo de expresarlos, sino determinar si lo decidido, resuelto o actuado vulnera un derecho fundamental (AATC 836/1986, 226/1993) [FJ 2].</w:t>
      </w:r>
    </w:p>
    <w:p w:rsidR="00D06117" w:rsidRDefault="00D06117" w:rsidP="00D06117">
      <w:pPr>
        <w:pStyle w:val="Extracto"/>
      </w:pPr>
    </w:p>
    <w:p w:rsidR="00D06117" w:rsidRDefault="00D06117" w:rsidP="00D06117">
      <w:pPr>
        <w:pStyle w:val="Extracto"/>
      </w:pPr>
      <w:r>
        <w:t>4.</w:t>
      </w:r>
      <w:r>
        <w:tab/>
        <w:t>El recurso de amparo se orienta a la reparación de efectivas vulneraciones de los derechos fundamentales y no a la depuración objetiva de aquellos vicios que puedan concurrir en la acción de los poderes públicos (SSTC 44/1987, 298/1993) [FJ 2].</w:t>
      </w:r>
    </w:p>
    <w:p w:rsidR="00D06117" w:rsidRDefault="00D06117" w:rsidP="00D06117">
      <w:pPr>
        <w:pStyle w:val="Extracto"/>
      </w:pPr>
    </w:p>
    <w:p w:rsidR="00D06117" w:rsidRDefault="00D06117" w:rsidP="00D06117">
      <w:pPr>
        <w:pStyle w:val="Extracto"/>
      </w:pPr>
      <w:r>
        <w:t>5.</w:t>
      </w:r>
      <w:r>
        <w:tab/>
        <w:t>Doctrina constitucional sobre el objeto y alcance del recurso de amparo (SSTC 52/1992, 11/2011)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111-2010, promovido por la Generalitat Valenciana, contra la Sentencia dictada el 30 de septiembre de 2009 por la Sección Quinta de la Sala de lo Contencioso-Administrativo del Tribunal Supremo en el recurso de casación núm. 3742-2005 interpuesto por Oleza Inversiones, S.L., contra la Sentencia de 13 de enero de 2005 de la Sección Tercera de la Sala del mismo orden jurisdiccional del Tribunal Superior de Justicia de la Comunidad Valenciana que desestimó el recurso contencioso-administrativo núm. 1140-2003 promovido por la antes citada compañía contra el Decreto 60/2003, 13 de mayo, del Consell de la Generalitat, por el que se aprueba la ordenación de las zonas periféricas de protección del sistema de zonas húmedas del sur de Alicante (Salinas de Santa Pola, Lagunas de la Mata y Torrevieja y el Fondó). Ha comparecido Oleza Inversiones, S.L., representada por la Procuradora doña Pilar Azorín-Albiñana López, asistida del Abogado don Federico Ros Cámara. Ha intervenido el Ministerio Fiscal. Ha sido ponente el Magistrado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el 8 de enero de 2010 la Abogada de los Servicios Jurídicos de la Generalitat Valenciana interpuso recurso de amparo contra la Sentencia del Tribunal Supremo que se ha citado en el encabezamiento. Los hechos en los que tiene su origen el recurso y relevantes para su resolución son, sucintamente expuestos, los siguientes:</w:t>
      </w:r>
    </w:p>
    <w:p w:rsidR="00D06117" w:rsidRDefault="00D06117" w:rsidP="00D06117">
      <w:pPr>
        <w:pStyle w:val="TextoNormal"/>
      </w:pPr>
    </w:p>
    <w:p w:rsidR="00D06117" w:rsidRDefault="00D06117" w:rsidP="00D06117">
      <w:pPr>
        <w:pStyle w:val="TextoNormal"/>
      </w:pPr>
      <w:r>
        <w:t xml:space="preserve">a) Oleza Inversiones, S.L., interpuso recurso contencioso-administrativo contra el Decreto 60/2003, de 13 de mayo, del Consell de la Generalitat Valenciana, por el que se aprueba la ordenación de las zonas periféricas de protección del sistema de zonas húmedas del sur de Alicante (Salinas de Santa Pola, Lagunas de La Mata y Torrevieja y el Fondó). En su recurso contencioso-administrativo Oleza Inversiones, S.L., entre otras alegaciones, denunció que el Decreto impugnado, que establecía la ordenación de los usos y actividades de las zonas periféricas de protección de los Parques Naturales de las Salinas de Santa Pola, Lagunas de la Mata y Torrevieja y el Fondó de Crevillent-Elx, había quedado privado de objeto en lo que se refería al Paraje Natural (luego Parque Natural) de las lagunas de La Mata y Torrevieja, y ello porque el art. 3 del Plan rector de uso y gestión del Paraje Natural de la Comunidad Valenciana de las Lagunas de La Mata y Torrevieja, aprobado por Decreto 49/1995, de 22 de marzo, artículo que fijaba un perímetro de quinientos metros de zona de protección, había sido objeto de anulación previa en la Sentencia de la Sala de lo Contencioso-Administrativo del Tribunal Supremo de 16 de junio de 2003, recaída en el recurso </w:t>
      </w:r>
      <w:r>
        <w:lastRenderedPageBreak/>
        <w:t>de casación 2609/1998. Alegó igualmente que el Decreto que impugnaba no podía establecer ex novo la zona de protección, pues lo vedaba el art. 18 de la Ley 4/1989, de 27 de marzo, de conservación de los espacios naturales y de la flora y fauna silvestre (LCEN, en lo sucesivo), entonces vigente, que reservaba a la ley la posibilidad de establecer zonas periféricas de protección del espacio natural protegido propiamente dicho.</w:t>
      </w:r>
    </w:p>
    <w:p w:rsidR="00D06117" w:rsidRDefault="00D06117" w:rsidP="00D06117">
      <w:pPr>
        <w:pStyle w:val="TextoNormal"/>
      </w:pPr>
    </w:p>
    <w:p w:rsidR="00D06117" w:rsidRDefault="00D06117" w:rsidP="00D06117">
      <w:pPr>
        <w:pStyle w:val="TextoNormal"/>
      </w:pPr>
      <w:r>
        <w:t>b) La Sección Tercera de la Sala de lo Contencioso-Administrativo del Tribunal Superior de Justicia de la Comunidad Valenciana, a la que correspondió conocer del recurso de Oleza Inversiones, S.L., lo desestimó en su Sentencia de 13 de mayo de 2005. Se razona en dicha Sentencia que fue la disposición adicional segunda de la Ley 11/1994, de 27 de diciembre, de espacios naturales protegidos de la Comunidad Valenciana, la que creó el Parque Natural de las Lagunas de La Mata y Torrevieja, y que el art. 29 de dicha Ley disponía, en su apartado 1, que la declaración de espacio natural protegido podría incluir la delimitación de áreas de amortiguación de impactos en las que se aplicarán medidas específicas destinadas a evitar impactos negativos sobre los espacios protegidos, y en su apartado 2 que el establecimiento o alteración de la delimitación de dichas áreas de amortiguación de impactos y el régimen de protección aplicable en las mismas podría llevarse a cabo también en los instrumentos de ordenación del espacio protegido. “Nos encontraremos, pues, con una normativa legal autonómica que, en su ámbito competencial, crea un espacio natural protegido (el Parque Natural de las Salinas de la Mata y Torrevieja) y que posibilita la creación de áreas de amortiguación de impactos (zonas periféricas de protección) destinadas a evitar impactos negativos sobre el espacio protegido, de manera que el Decreto 60/2003 constituye un instrumento de ordenación de usos y actividades en el ámbito de la zona periférica de protección del Parque natural de las Salinas de la Mata y Torrevieja, con la finalidad de compatibilizar dichos usos con los objetivos de protección del Parque Natural, todo ello de conformidad a la normativa autonómica citada, al artículo 18 de la Ley estatal 4/1989 y a la STS de 16-6-2003”.</w:t>
      </w:r>
    </w:p>
    <w:p w:rsidR="00D06117" w:rsidRDefault="00D06117" w:rsidP="00D06117">
      <w:pPr>
        <w:pStyle w:val="TextoNormal"/>
      </w:pPr>
    </w:p>
    <w:p w:rsidR="00D06117" w:rsidRDefault="00D06117" w:rsidP="00D06117">
      <w:pPr>
        <w:pStyle w:val="TextoNormal"/>
      </w:pPr>
      <w:r>
        <w:t>c) Oleza Inversiones, S.L., interpuso recurso de casación contra la Sentencia del Tribunal Superior de Justicia de la Comunidad Valenciana. Denunció que la Sentencia impugnada infringía el art. 18 y la disposición adicional quinta LCEN, así como el artículo 149.1.23 CE. Según la recurrente, conforme al art. 18 LCEN, precepto declarado básico en la disposición adicional quinta de dicha Ley, la zona periférica de protección sólo se puede establecer en los espacios naturales protegidos creados por una norma con rango de ley. Como el espacio natural protegido en cuestión había sido creado por el Decreto 237/1996 de la Generalidad Valenciana en lugar de por una ley, no cabía establecer zonas periféricas de protección como las que pretendía ordenar el Decreto 60/2003 impugnado. Debería haber sido la propia ley de creación del espacio protegido la que, en su caso, estableciera las limitaciones. Además, el art. 29.2 de la Ley 11/1994, de 27 de diciembre, de espacios naturales protegidos de la Comunidad Valenciana, contradecía la legislación básica estatal al permitir la creación o alteración de la zona periférica de protección al margen de la norma con rango de ley de creación del espacio natural protegido. Pidió la recurrente que se dictara Sentencia por la que se casara y anulara la recurrida, declarándose la nulidad del Decreto 60/2003, de 13 de mayo. Admitido el recurso de casación, la representación procesal de la Generalidad Valenciana formuló oposición al mismo.</w:t>
      </w:r>
    </w:p>
    <w:p w:rsidR="00D06117" w:rsidRDefault="00D06117" w:rsidP="00D06117">
      <w:pPr>
        <w:pStyle w:val="TextoNormal"/>
      </w:pPr>
    </w:p>
    <w:p w:rsidR="00D06117" w:rsidRDefault="00D06117" w:rsidP="00D06117">
      <w:pPr>
        <w:pStyle w:val="TextoNormal"/>
      </w:pPr>
      <w:r>
        <w:t xml:space="preserve">d) El 30 de septiembre de 2009 la Sección Quinta de la Sala de lo Contencioso-administrativo del Tribunal Supremo dictó Sentencia. En su fundamento jurídico segundo se deja </w:t>
      </w:r>
      <w:r>
        <w:lastRenderedPageBreak/>
        <w:t>constancia de que contra el Decreto 60/2003, de 13 de mayo, se habían interpuesto otros cuatro recursos contencioso-administrativos, además del promovido por Oleza Inversiones, S.L., que habían resultado siendo desestimados en otras tantas Sentencias del Tribunal Superior de Justicia de la Comunidad Valenciana. Tres de esas Sentencias habían sido objeto de sendos recursos de casación, de los cuales, los dos ya resueltos lo habían sido en sentido estimatorio, llevando a la anulación del Decreto en Sentencias de 30 de junio y 1 de julio de 2009. Y en el fundamento jurídico quinto la Sentencia declara que “este recurso de casación ha quedado, sobrevenidamente, desprovisto de objeto” y ello porque en las dos Sentencias de 30 de junio y 1 de julio de 2009 a que se había hecho antes referencia se había anulado el Decreto 60/2003, de 13 de mayo, objeto del pleito. Seguidamente se reproduce en lo sustancial el fundamento jurídico quinto de esta última Sentencia, resolutoria del recurso de casación 589 de 2005. En el pasaje reproducido se razona que en el art. 18 LCEN se impone una reserva formal de ley para la creación de zonas de protección de los parques naturales y que, en cuanto “al artículo 29 de la Ley valenciana 11/1994, de 27 de diciembre, de Espacios Naturales Protegidos de la Comunidad Valenciana, en relación con el 37.2 del mismo texto legal autonómico, en los que fundamentalmente insiste la sentencia de instancia … la contradicción entre dichas normas autonómicas con la básica estatal (18 de la LCEN) parece evidente, ya que la posibilidad de establecimiento —o alteración— de las zonas de protección a través de instrumentos de ordenación del espacio protegido, y no a través de la norma con rango de ley, se opone a lo establecido en la legislación estatal, sin que la normativa autonómica pueda dejar sin efecto la reserva legal estatal contendida, además, en una norma básica. Debe, pues, rechazarse el apoyo que la sentencia de instancia intenta encontrar en dichos preceptos para mantener la legalidad del Decreto 60/2003 impugnado, cuando se dice que ‘el Decreto 60/03 constituye un instrumento de ordenación de usos y actividades en el ámbito de la zona periférica de protección del Parque Natural de las Salinas de la Mata y Torrevieja’, o bien, cuando añade que ‘el artículo 37.2 de la Ley valenciana 11/1994, otorga cobertura legal a la ordenación impugnada, sustitutiva del régimen previsto para los perímetros de protección por el anterior PRUG de 22 de marzo de 1995’.”. Se continúa la cita de la Sentencia de 1 julio de 2009 argumentando que, además, “el Decreto 60/2003 impugnado no puede ser considerado como un ‘instrumento de ordenación de usos y actividades en el ámbito de la zona periférica de protección’, por cuanto tal misión —artículo 15 de la LCEN— está encomendada a los Planes de Ordenación de Recursos Naturales, que debe ser aprobado con anterioridad al PRUG, como dispone, además del precepto de la citada Ley estatal, el mismo artículo 31.1 de la ley autonómica valenciana 11/1994 . El supuesto excepcional de declaración de parques y reservas naturales —sin previa aprobación de un PORN—, que se contempla en el artículo 15.2 de la LCEN, tampoco resulta de recibo en el supuesto de autos por evidentes razones temporales (un año a partir de la declaración del parque) y materiales —esto es, porque no es un PORN, sino un PRUG—, y, todo ello, además, por no haberse justificado, de forma expresa, las razones que exigían su creación.” Por esas mismas razones, dice la Sentencia impugnada en este recurso de amparo, “procede declarar haber lugar a este recurso de casación, a fin de revocar la sentencia de instancia”. En el fallo se declara haber lugar al recurso de casación y en consecuencia se revoca la Sentencia de 13 de enero de 2005, de la Sala de lo Contencioso-Administrativo del Tribunal Superior de Justicia de la Comunidad Valenciana, se estima el recurso contencioso-administrativo y se anula el Decreto 60/2003, de 13 de mayo, que se declara disconforme a Derecho.</w:t>
      </w:r>
    </w:p>
    <w:p w:rsidR="00D06117" w:rsidRDefault="00D06117" w:rsidP="00D06117">
      <w:pPr>
        <w:pStyle w:val="TextoNormal"/>
      </w:pPr>
    </w:p>
    <w:p w:rsidR="00D06117" w:rsidRDefault="00D06117" w:rsidP="00D06117">
      <w:pPr>
        <w:pStyle w:val="TextoNormal"/>
      </w:pPr>
      <w:r>
        <w:lastRenderedPageBreak/>
        <w:t>e) Notificada la Sentencia del Tribunal Supremo, la representación procesal de la Generalitat Valenciana promovió incidente de nulidad de actuaciones, denunciando que aquélla vulneraba su derecho a la tutela judicial efectiva por la errónea interpretación del sistema de fuentes del Derecho establecido en la Constitución, obviando que los Jueces y Tribunales están sujetos al imperio de la ley. Tal vulneración derivaba del desplazamiento que había efectuado la Sentencia de los arts. 29 y 37.2 de la Ley 11/1994, de 27 de diciembre, de espacios naturales protegidos de la Comunidad Valenciana, por considerar que entraban en contradicción con el art. 18 LCEN, sin planteamiento de la cuestión de inconstitucionalidad en relación con los preceptos legales autonómicos inaplicados. Aunque la selección de la norma aplicable al caso forma parte de las facultades inherentes a la potestad de juzgar, el constituyente ha querido sustraer al juez ordinario la posibilidad de inaplicar una ley de desarrollo ante un eventual juicio de incompatibilidad con la norma básica o la Constitución. Se interesó que se declarara la nulidad de la Sentencia con retroacción de las actuaciones, para que se dictara otra nueva, previo planteamiento de la cuestión de inconstitucionalidad con carácter previo a la adopción de cualquier resolución por la que se dejara de aplicar un precepto legislativo autonómico.</w:t>
      </w:r>
    </w:p>
    <w:p w:rsidR="00D06117" w:rsidRDefault="00D06117" w:rsidP="00D06117">
      <w:pPr>
        <w:pStyle w:val="TextoNormal"/>
      </w:pPr>
    </w:p>
    <w:p w:rsidR="00D06117" w:rsidRDefault="00D06117" w:rsidP="00D06117">
      <w:pPr>
        <w:pStyle w:val="TextoNormal"/>
      </w:pPr>
      <w:r>
        <w:t>f) En providencia de 10 de noviembre de 2009 la Sección Quinta de la Sala de lo Contencioso-Administrativo del Tribunal Supremo declaró no haber lugar a la admisión del incidente porque “el problema de las relaciones y el significado de la Ley básica estatal 4/1989 y la Ley autonómica 11/1994 fue profusamente tratado por la entidad ‘Oleza Inversiones, S. L.’ en su escrito de casación (motivo primero), al que la Generalidad Valenciana respondió o pudo responder lo que tuvo a bien su escrito de oposición. Se trata, en consecuencia, de una cuestión planteada por las partes y decidida por el Tribunal en su sentencia … sobre la cual no se puede volver por medio de un incidente de nulidad de actuaciones cuyo campo de acción queda limitado a cuestiones sobre las que el Tribunal sentenciador no se ha pronunciado”.</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En su demanda de amparo la Generalitat Valenciana, tras exponer los antecedentes del caso, denuncia la vulneración de su derecho a la tutela judicial efectiva (art. 24.1 CE), comenzando por defender que es titular del mencionado derecho fundamental. Denuncia la incorrecta interpretación del sistema de fuentes establecido en la CE. Concretamente discute el “efecto desplazamiento” que argumenta la Sentencia impugnada. En palabras de la recurrente, “la Sentencia que ahora impugnamos abre una fisura en el sistema concentrado de control de la constitucionalidad de las leyes, porque cualquier juez o tribunal podría considerar que una ley autonómica de desarrollo vulnera la norma básica, del mismo modo que también podría considerar que lo básico ha invadido las competencias de las normas de desarrollo, abocando a un sistema disperso o difuso de control de constitucionalidad, que encuentra un reparo: que no es el previsto en la Constitución, ni en su sistema de fuentes, ni en el modo de control de las mismas, es decir, con el planteamiento de la correspondiente cuestión de inconstitucionalidad”. Dicho de otro modo, en el núcleo de la queja se sitúa el no planteamiento de la pertinente cuestión de inconstitucionalidad cuando el órgano judicial albergaba dudas (por decir lo menos) acerca de la validez de la norma autonómica de desarrollo de las bases estatales en materia de protección ambiental. En apoyo de su pretensión anulatoria de la Sentencia impugnada cita la recurrente la doctrina contenida en la STC 173/2002, de 9 de octubre, que otorgó el amparo por inaplicación de una ley. Además, se mencionan otras resoluciones de este Tribunal Constitucional (por orden de cita, SSTC 90/1990, de 23 de mayo, 23/1988, de 22 de febrero, y 12/1991, de 28 de enero). Corolario </w:t>
      </w:r>
      <w:r>
        <w:lastRenderedPageBreak/>
        <w:t>de lo expuesto es que la resolución judicial controvertida ha rebasado el “ámbito jurisdiccional atribuido por el ordenamiento jurídico”, incurriendo en arbitrariedad, pues la solución adoptada no puede calificarse de exégesis racional del ordenamiento ni supone el ejercicio de la potestad de selección de la norma jurídica aplicable reconocida a los órganos judiciales en el art. 117.3 CE, habida cuenta de que ese precepto constitucional “no faculta al juez a que, una vez seleccionada la única norma aplicable al caso concreto, simplemente la inaplique, desconociendo el principio de legalidad inherente al Estado de Derecho que la Constitución enuncia en su Título Preliminar (art. 9.3), y que es un límite no sólo de la actuación administrativa (art. 103.1 CE) sino también de la judicial (art. 117.1 CE; STC 137/1997, de 21 de julio, FJ 2), y soslayando en el supuesto de colisión internormativa el procedimiento expresamente establecido en la norma suprema a tal fin, la cuestión de inconstitucionalidad del art. 163. La norma legal, en tanto que este Tribunal no la declare inconstitucional y por ello nula, está vigente (STC 23/1988, de 22 de febrero, FJ 1) y por ello deberá aplicarse.”</w:t>
      </w:r>
    </w:p>
    <w:p w:rsidR="00D06117" w:rsidRDefault="00D06117" w:rsidP="00D06117">
      <w:pPr>
        <w:pStyle w:val="TextoNormal"/>
      </w:pPr>
    </w:p>
    <w:p w:rsidR="00D06117" w:rsidRDefault="00D06117" w:rsidP="00D06117">
      <w:pPr>
        <w:pStyle w:val="TextoNormal"/>
      </w:pPr>
      <w:r>
        <w:t>En cuanto a la especial trascendencia constitucional del recurso, se alega que lo que subyace en el mismo no es sólo la defensa del interés general que corresponde a la Administración demandante, sino también, y especialmente, la protección de los principios básicos de un sistema democrático encarnados en la dignidad de una ley aprobada por un Parlamento que representa la voluntad del pueblo valenciano. El Tribunal Supremo ha dictado una resolución sin atender al sistema de fuentes establecido, con el trastorno que ello supone para el adecuado funcionamiento del sistema de distribución de poderes basado en la legitimación democrática de las leyes por “la voluntad popular, plasmada en la aprobación de una Ley por la Asamblea Legislativa legítimamente constituida, como es en este caso el Parlamento valenciano”.</w:t>
      </w:r>
    </w:p>
    <w:p w:rsidR="00D06117" w:rsidRDefault="00D06117" w:rsidP="00D06117">
      <w:pPr>
        <w:pStyle w:val="TextoNormal"/>
      </w:pPr>
    </w:p>
    <w:p w:rsidR="00D06117" w:rsidRDefault="00D06117" w:rsidP="00D06117">
      <w:pPr>
        <w:pStyle w:val="TextoNormal"/>
      </w:pPr>
      <w:r>
        <w:t>Termina la demanda pidiéndonos que dictemos Sentencia declarando la vulneración del derecho de la demandante a la tutela judicial efectiva, a una Sentencia fundada en Derecho y a un proceso con todas las garantías y restableciendo en su derecho a la parte recurrente y que, a tal fin, declaremos la nulidad de la Sentencia impugnada, retrotrayendo las actuaciones al momento procesal inmediatamente anterior al de dictarse la misma a fin de que se pronuncie otra en la que se respeten los derechos vulnerados.</w:t>
      </w:r>
    </w:p>
    <w:p w:rsidR="00D06117" w:rsidRDefault="00D06117" w:rsidP="00D06117">
      <w:pPr>
        <w:pStyle w:val="TextoNormal"/>
      </w:pPr>
    </w:p>
    <w:p w:rsidR="00D06117" w:rsidRDefault="00D06117" w:rsidP="00D06117">
      <w:pPr>
        <w:pStyle w:val="TextoNormal"/>
      </w:pPr>
      <w:r w:rsidRPr="00D06117">
        <w:rPr>
          <w:rStyle w:val="NumeroAFNegritaCaracter"/>
        </w:rPr>
        <w:t>3</w:t>
      </w:r>
      <w:r>
        <w:t>. En providencia de esta Sala de 4 de octubre de 2010 se acordó la admisión a trámite de la demanda de amparo de la Generalitat Valenciana y, a tenor de lo dispuesto en el art. 51 de la Ley Orgánica del Tribunal Constitucional (LOTC), requerir de las Salas de lo Contencioso-Administrativo del Tribunal Superior de Justicia de la Comunidad Valenciana y del Tribunal Supremo la remisión de testimonios de los recursos contenciosos-administrativos y de casación ante ellas tramitados e interesar de aquélla que emplazara a quienes hubieran sido parte en el procedimiento ordinario núm. 1140-2003, con excepción de la recurrente en amparo, para que en el plazo de diez días pudieran comparecer en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diligencia de ordenación de la Secretaría de la Sección Primera de 17 de noviembre de 2010 se tuvieron por recibidos los testimonios de las actuaciones y por comparecida y parte en nombre de Oleza Inversiones, S.L., a la Procuradora doña Pilar Azorín-Albiñana López y se dio vista de las actuaciones de este proceso constitucional al Ministerio Fiscal y a las partes personadas a fin de que dentro del plazo de veinte días pudieran presentar alegaciones, conforme a lo establecido en el art. 52 LOTC.</w:t>
      </w:r>
    </w:p>
    <w:p w:rsidR="00D06117" w:rsidRDefault="00D06117" w:rsidP="00D06117">
      <w:pPr>
        <w:pStyle w:val="TextoNormal"/>
      </w:pPr>
    </w:p>
    <w:p w:rsidR="00D06117" w:rsidRDefault="00D06117" w:rsidP="00D06117">
      <w:pPr>
        <w:pStyle w:val="TextoNormal"/>
      </w:pPr>
      <w:r w:rsidRPr="00D06117">
        <w:rPr>
          <w:rStyle w:val="NumeroAFNegritaCaracter"/>
        </w:rPr>
        <w:t>5</w:t>
      </w:r>
      <w:r>
        <w:t>. La Abogada de la Generalitat Valenciana registró su escrito el día 21 de diciembre de 2010 reiterando las alegaciones de la demanda de amparo por ella formulada.</w:t>
      </w:r>
    </w:p>
    <w:p w:rsidR="00D06117" w:rsidRDefault="00D06117" w:rsidP="00D06117">
      <w:pPr>
        <w:pStyle w:val="TextoNormal"/>
      </w:pPr>
    </w:p>
    <w:p w:rsidR="00D06117" w:rsidRDefault="00D06117" w:rsidP="00D06117">
      <w:pPr>
        <w:pStyle w:val="TextoNormal"/>
      </w:pPr>
      <w:r w:rsidRPr="00D06117">
        <w:rPr>
          <w:rStyle w:val="NumeroAFNegritaCaracter"/>
        </w:rPr>
        <w:t>6</w:t>
      </w:r>
      <w:r>
        <w:t>. En la misma fecha presentó sus alegaciones la Procuradora señora Azorín-Albiñana López en nombre de Oleza Inversiones, S.L. Comienza por señalar que la Sentencia recurrida resolvió el recurso de casación en base exclusivamente a que había quedado sobrevenidamente desprovisto de objeto, pues la disposición impugnada había sido ya anulada por dos Sentencias anteriores. No puede, pues, imputarse de modo inmediato y directo a la Sentencia impugnada la violación del derecho a la tutela judicial efectiva que denuncia la Generalitat Valenciana, ni ésta ha interpuesto contra los fallos judiciales anteriores recurso de amparo, a pesar de que sería a ellos y no a la Sentencia impugnada en este proceso constitucional a los que sería imputable la anulación del Decreto 60/2003, de 13 de mayo. La Sentencia impugnada no hace sino extender la nulidad ya declarada anteriormente.</w:t>
      </w:r>
    </w:p>
    <w:p w:rsidR="00D06117" w:rsidRDefault="00D06117" w:rsidP="00D06117">
      <w:pPr>
        <w:pStyle w:val="TextoNormal"/>
      </w:pPr>
    </w:p>
    <w:p w:rsidR="00D06117" w:rsidRDefault="00D06117" w:rsidP="00D06117">
      <w:pPr>
        <w:pStyle w:val="TextoNormal"/>
      </w:pPr>
      <w:r>
        <w:t>Este recurso de amparo carece igualmente de objeto, toda vez que aunque se estimara y se accediera a lo pedido por la Administración que lo ha promovido, ello carecería de toda relevancia, pues el Decreto cuya defensa se pretende con este recurso ha desaparecido del ordenamiento jurídico. Puesto que no se puede imputar a la Sentencia del Tribunal Supremo impugnada la alegada vulneración del derecho fundamental, falta en este proceso el requisito establecido en el art. 44.1 b) LOTC, lo mismo que el enunciado seguidamente bajo la letra c), pues la denuncia formal de la supuesta vulneración debió hacerse tan pronto como se dictó la primera Sentencia sobre esta cuestión, cosa que no se hizo.</w:t>
      </w:r>
    </w:p>
    <w:p w:rsidR="00D06117" w:rsidRDefault="00D06117" w:rsidP="00D06117">
      <w:pPr>
        <w:pStyle w:val="TextoNormal"/>
      </w:pPr>
    </w:p>
    <w:p w:rsidR="00D06117" w:rsidRDefault="00D06117" w:rsidP="00D06117">
      <w:pPr>
        <w:pStyle w:val="TextoNormal"/>
      </w:pPr>
      <w:r>
        <w:t>Con independencia de lo anterior, la fundamentación a la que se remite la Sentencia impugnada no vulnera el derecho a la tutela judicial efectiva, pues la misma no inaplica los preceptos autonómicos ni afirma su inconstitucionalidad, sino que se limita a interpretarlos; lo que hace la Sentencia impugnada, según la representación de Oleza Inversiones, S.L., es negar que por el hecho de que el art. 29.1 de la Ley 11/1994, de 27 de diciembre, de espacios naturales protegidos de la Comunidad Valenciana, previera que la declaración de un espacio natural protegido podía incluir la delimitación de “áreas de amortiguación de impactos” tal previsión se hubiera satisfecho respecto de los espacios naturales en cuestión; además, la Sentencia del Tribunal Supremo razona que, en cualquier caso, el Decreto 60/2003, de 13 de mayo, en ningún caso podría ser considerado como instrumento de ordenación de usos y actividades en el ámbito de la zona periférica de protección, por lo que no podría encontrar cobertura en el art. 29.2 de la Ley autonómica. Terminó sus alegaciones la Procuradora señora Azorín-Albiñana López solicitando que desestimáramos el recurso de amparo, con imposición de las costas a la parte que lo ha promovido.</w:t>
      </w:r>
    </w:p>
    <w:p w:rsidR="00D06117" w:rsidRDefault="00D06117" w:rsidP="00D06117">
      <w:pPr>
        <w:pStyle w:val="TextoNormal"/>
      </w:pPr>
    </w:p>
    <w:p w:rsidR="00D06117" w:rsidRDefault="00D06117" w:rsidP="00D06117">
      <w:pPr>
        <w:pStyle w:val="TextoNormal"/>
      </w:pPr>
      <w:r w:rsidRPr="00D06117">
        <w:rPr>
          <w:rStyle w:val="NumeroAFNegritaCaracter"/>
        </w:rPr>
        <w:t>7</w:t>
      </w:r>
      <w:r>
        <w:t>. El Fiscal, que presentó sus alegaciones el 29 de diciembre de 2010, interesó que se otorgara el amparo solicitado y se anulara la Sentencia impugnada, retrotrayendo las actuaciones al momento procesal inmediatamente anterior a fin de que se dicte otra respetuosa del derecho fundamental vulnerado.</w:t>
      </w:r>
    </w:p>
    <w:p w:rsidR="00D06117" w:rsidRDefault="00D06117" w:rsidP="00D06117">
      <w:pPr>
        <w:pStyle w:val="TextoNormal"/>
      </w:pPr>
    </w:p>
    <w:p w:rsidR="00D06117" w:rsidRDefault="00D06117" w:rsidP="00D06117">
      <w:pPr>
        <w:pStyle w:val="TextoNormal"/>
      </w:pPr>
      <w:r>
        <w:t xml:space="preserve">Comenzó por exponer que, de acuerdo con la jurisprudencia constitucional, la regla general es que la protección que el art. 24.1 CE otorga a las Administraciones públicas es bastante reducida cuando la actuación judicial es consecuencia de la reacción del particular </w:t>
      </w:r>
      <w:r>
        <w:lastRenderedPageBreak/>
        <w:t>frente a los actos de aquéllas; en tal caso la protección que el art. 24 CE les dispensa se limita al derecho a no padecer indefensión en el proceso, lo cual implica, exclusivamente, que se les respeten los derechos procesales que establece el art. 24 CE. Según el Fiscal, en el presente caso, la Administración recurrente, partiendo de su consideración inicial de parte demandada en el recurso iniciado como consecuencia de la impugnación por un particular del Decreto 60/2003, de 13 de mayo, pretende no una determinada interpretación de una norma, sino la aplicación —con independencia de su interpretación— de una ley autonómica, que podría constituir, precisamente, la cobertura fundamental del decreto impugnado.</w:t>
      </w:r>
    </w:p>
    <w:p w:rsidR="00D06117" w:rsidRDefault="00D06117" w:rsidP="00D06117">
      <w:pPr>
        <w:pStyle w:val="TextoNormal"/>
      </w:pPr>
    </w:p>
    <w:p w:rsidR="00D06117" w:rsidRDefault="00D06117" w:rsidP="00D06117">
      <w:pPr>
        <w:pStyle w:val="TextoNormal"/>
      </w:pPr>
      <w:r>
        <w:t>Como en el caso resuelto en la STC 173/2002, de 9 de octubre, lo que subyace en éste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 en la medida en que ha sido inaplicada por un juez ordinario sin acudir al proceso establecido al efecto.” Entiende, pues, el Fiscal que la demandante reúne las condiciones de legitimación para la interposición del presente recurso de amparo al pretender la aplicación de una norma autonómica con respeto no sólo a los principios básicos de nuestro sistema constitucional, sino al sistema procesal establecido al efecto, derivado del eventual exceso de jurisdicción por parte del órgano judicial.</w:t>
      </w:r>
    </w:p>
    <w:p w:rsidR="00D06117" w:rsidRDefault="00D06117" w:rsidP="00D06117">
      <w:pPr>
        <w:pStyle w:val="TextoNormal"/>
      </w:pPr>
    </w:p>
    <w:p w:rsidR="00D06117" w:rsidRDefault="00D06117" w:rsidP="00D06117">
      <w:pPr>
        <w:pStyle w:val="TextoNormal"/>
      </w:pPr>
      <w:r>
        <w:t>Según el Fiscal fue precisamente la contradicción entre la norma estatal —art. 18 LCEN— y la ley autonómica —arts. 29 y 37.2 y disposición adicional primera de la Ley 11/1994— y la subordinación de ésta a aquella que establece el fundamento jurídico quinto de la Sentencia impugnada lo que resulta determinante de la falta de aplicación de esta última, con la consecuencia de negar la correspondiente cobertura legal al Decreto 60/2003 impugnado, acordando en el fallo su anulación. La Sentencia objeto de este recurso está abordando, pues, por vía de legalidad ordinaria, en cuanto conflicto entre una ley estatal y otra autonómica, lo que, en realidad, constituye la aplicación e interpretación de preceptos constitucionales: baste citar el art. 149.1.23 CE, que determina las competencias del Estado y de las Comunidad Autónomas en el ámbito medioambiental. De esta manera, se ejerce la potestad jurisdiccional, pero superando el límite del art. 117.3 CE, en cuanto que, exigiéndose la interpretación de las normas constitucionales que regulan las respectivas competencias del Estado y las Comunidades Autónomas a través de una norma con rango de Ley, su atribución corresponde al Tribunal Constitucional (arts. 161 y 165 CE) como supremo intérprete de la Constitución (art. 1.1 LOTC). Por ello, la resolución así planteada, comporta incidir en una competencia que le es ajena y, en consecuencia, implica una extralimitación en sus funciones por exceso de jurisdicción. Además, el art. 47 del Estatuto de Autonomía de la Comunidad Valenciana (EACV), desde su reforma por la Ley Orgánica 1/2006 de 10 de abril, excluye de forma expresa la impugnación de las leyes valencianas ante la tribunales contencioso-administrativos. El art. 153 a) CE reserva al Tribunal Constitucional, el control de la constitucionalidad de las disposiciones normativas con fuerza de ley de las Comunidades Autónomas. El respeto al proceso debido exige plantear una cuestión de inconstitucionalidad, en su caso, pero no, como ha ocurrido, soslayar la aplicación de la norma autonómica –con su consecuencia de derogación de un Decreto–, sin aplicar el art. 163 CE y 35 LOTC, ocasionando así la preterición del sistema de fuentes.</w:t>
      </w:r>
    </w:p>
    <w:p w:rsidR="00D06117" w:rsidRDefault="00D06117" w:rsidP="00D06117">
      <w:pPr>
        <w:pStyle w:val="TextoNormal"/>
      </w:pPr>
    </w:p>
    <w:p w:rsidR="00D06117" w:rsidRDefault="00D06117" w:rsidP="00D06117">
      <w:pPr>
        <w:pStyle w:val="TextoNormal"/>
      </w:pPr>
      <w:r>
        <w:t xml:space="preserve">En definitiva, concluye el Fiscal, la argumentación de la Sentencia del Tribunal Supremo impugnada, excluyendo, por potestad propia, la aplicación de una ley autonómica por su </w:t>
      </w:r>
      <w:r>
        <w:lastRenderedPageBreak/>
        <w:t>contradicción con una norma básica estatal supone una resolución judicial sólo aparente o formalmente motivada y una extralimitación de funciones que elude el procedimiento previsto en los arts. 163 CE y 35 LOTC, lo que implica una infracción del derecho a la tutela judicial efectiva en cuanto constituye, al mismo tiempo, la vulneración de un derecho a un proceso con todas las garantías, evitando la eficacia normativa plena de la norma autonómica, en lugar de encauzar el eventual conflicto determinante de su inaplicación a través de los citados artículos. Y ello, además, supuso la indefensión de la recurrente pues, como señala la STC 173/2002, de 9 de octubre, “ni tuvo oportunidad u ocasión de prever, dado el sometimiento judicial al amparo de la ley, tal preterición del sistema de fuentes, ni pudo hacer uso del trámite de alegaciones del art. 35 LOTC”.</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providencia de 9 de febrero de 2012 se señaló para deliberación y votación de la presente Sentencia el día 13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Como acabamos de exponer, el presente recurso de amparo se dirige contra la Sentencia de 30 de septiembre de 2009 de la Sección Quinta de la Sala de lo Contencioso-Administrativo del Tribunal Supremo, dictada en el recurso de casación interpuesto contra la que había dictado el Tribunal Superior de Justicia de la Comunidad Valenciana desestimando la impugnación promovida contra el Decreto 60/2003, de 13 de mayo, del Consell de la Generalitat Valenciana, por el que se aprueba la ordenación de las zonas periféricas de protección del sistema de zonas húmedas del sur de Alicante (Salinas de Santa Pola, Lagunas de La Mata y Torrevieja y el Fondó). En su Sentencia el Tribunal Supremo, tras afirmar que el recurso de casación que estaba llamado a resolver había quedado sobrevenidamente desprovisto de objeto, lo estimó, revocando la Sentencia del Tribunal Superior de Justicia de la Comunidad Valenciana, y estimó el recurso contencioso-administrativo interpuesto contra el Decreto antes citado, pronunciando su anulación.</w:t>
      </w:r>
    </w:p>
    <w:p w:rsidR="00D06117" w:rsidRDefault="00D06117" w:rsidP="00D06117">
      <w:pPr>
        <w:pStyle w:val="TextoNormal"/>
      </w:pPr>
    </w:p>
    <w:p w:rsidR="00D06117" w:rsidRDefault="00D06117" w:rsidP="00D06117">
      <w:pPr>
        <w:pStyle w:val="TextoNormal"/>
      </w:pPr>
      <w:r>
        <w:t>La Generalitat Valenciana demandante alega que la Sentencia impugnada ha supuesto el desplazamiento e inaplicación de la Ley 11/1994, de 27 de diciembre, de espacios naturales protegidos de la Comunidad Valenciana, por su supuesta disconformidad con las bases estatales contenidas en la Ley 4/1989, de 27 de marzo, de conservación de los espacios naturales y de la flora y fauna silvestre (LCEN), y que ello ha determinado que, al dictarla, el Tribunal Supremo se haya apartado del sistema de fuentes establecido en la Constitución Española, que no permite a los tribunales ordinarios la inaplicación de normas postconstitucionales con rango de ley, sino sólo el planteamiento de cuestión de inconstitucionalidad ante este Tribunal; la demandante, con cita, entre otras, de la STC 173/2002, de 9 de octubre, argumenta que ello ha supuesto la vulneración de su derecho a la tutela judicial efectiva.</w:t>
      </w:r>
    </w:p>
    <w:p w:rsidR="00D06117" w:rsidRDefault="00D06117" w:rsidP="00D06117">
      <w:pPr>
        <w:pStyle w:val="TextoNormal"/>
      </w:pPr>
    </w:p>
    <w:p w:rsidR="00D06117" w:rsidRDefault="00D06117" w:rsidP="00D06117">
      <w:pPr>
        <w:pStyle w:val="TextoNormal"/>
      </w:pPr>
      <w:r>
        <w:t>El Fiscal, coincide con la Administración demandante en afirmar que la Sentencia impugnada desplazó indebidamente la ley valenciana; considera, con mayor apego a la jurisprudencia constitucional, que ello supuso la vulneración de los derechos de la Administración autonómica a un proceso con todas las garantías y a no sufrir indefensión.</w:t>
      </w:r>
    </w:p>
    <w:p w:rsidR="00D06117" w:rsidRDefault="00D06117" w:rsidP="00D06117">
      <w:pPr>
        <w:pStyle w:val="TextoNormal"/>
      </w:pPr>
    </w:p>
    <w:p w:rsidR="00D06117" w:rsidRDefault="00D06117" w:rsidP="00D06117">
      <w:pPr>
        <w:pStyle w:val="TextoNormal"/>
      </w:pPr>
      <w:r>
        <w:t xml:space="preserve">La entidad que promovió el recurso contencioso-administrativo contra el tan repetido Decreto 60/2003, de 13 de mayo, considera, en cambio, que no procede el otorgamiento del </w:t>
      </w:r>
      <w:r>
        <w:lastRenderedPageBreak/>
        <w:t>amparo, pues, a su juicio, la Sentencia del Tribunal Supremo ni inaplica los preceptos autonómicos ni afirma su inconstitucionalidad, ya que, ante todo, lo en ella decidido se basó en la circunstancia de que el recurso de casación había quedado sobrevenidamente desprovisto de objeto en virtud de Sentencias anteriores a la impugnada en este recurso de amparo, que anularon el Decreto 60/2003, de 13 de mayo.</w:t>
      </w:r>
    </w:p>
    <w:p w:rsidR="00D06117" w:rsidRDefault="00D06117" w:rsidP="00D06117">
      <w:pPr>
        <w:pStyle w:val="TextoNormal"/>
      </w:pPr>
    </w:p>
    <w:p w:rsidR="00D06117" w:rsidRDefault="00D06117" w:rsidP="00D06117">
      <w:pPr>
        <w:pStyle w:val="TextoNormal"/>
      </w:pPr>
      <w:r w:rsidRPr="00D06117">
        <w:rPr>
          <w:rStyle w:val="NumeroAFNegritaCaracter"/>
        </w:rPr>
        <w:t>2</w:t>
      </w:r>
      <w:r>
        <w:t>. Es preciso comenzar por analizar la alegación de la sociedad mercantil que ha comparecido en este proceso, y que acabamos de sintetizar, que centra su atención en desentrañar la ratio decidendi de la Sentencia impugnada. Como hemos expuesto en los antecedentes, la citada Sentencia declara en su fundamento jurídico quinto que “este recurso de casación ha quedado, sobrevenidamente, desprovisto de objeto” y ello, según se explica seguidamente, porque en dos Sentencias de la propia Sala de lo Contencioso-Administrativo de 30 de junio y 1 de julio de 2009 el Tribunal Supremo ya había anulado el Decreto 60/2003, de 13 de mayo, anulación que era la pretensión última que interesaba la recurrente en casación. El citado fundamento jurídico quinto no se detuvo en constatar la pérdida de objeto del recurso de casación, sino que, tras reproducir fragmentos de la fundamentación de una de las dos Sentencias anulatorias del Decreto, declaró que, “por esas mismas razones, procede haber lugar a este recurso de casación, a fin de revocar la sentencia de instancia, que desestimó indebidamente el recurso contencioso-administrativo”. El fallo, como también hemos dicho, declara haber lugar al recurso de casación y revoca la Sentencia de instancia y, estimando el recurso contencioso-administrativo, anula el Decreto impugnado.</w:t>
      </w:r>
    </w:p>
    <w:p w:rsidR="00D06117" w:rsidRDefault="00D06117" w:rsidP="00D06117">
      <w:pPr>
        <w:pStyle w:val="TextoNormal"/>
      </w:pPr>
    </w:p>
    <w:p w:rsidR="00D06117" w:rsidRDefault="00D06117" w:rsidP="00D06117">
      <w:pPr>
        <w:pStyle w:val="TextoNormal"/>
      </w:pPr>
      <w:r>
        <w:t>Sin entrar a examinar la corrección constitucional de la inaplicación de la ley autonómica en las Sentencias de 30 de junio y 1 de julio de 2009, es de señalar que el fallo de la resolución impugnada no se ajusta a los patrones usuales que sigue la Sala de lo Contencioso-Administrativo del Tribunal Supremo cuando tiene que pronunciarse en sentencia sobre recursos de casación relativos en última instancia a la validez o nulidad de una disposición general que ha resultado previamente anulada en sentencia firme; cuando se producen esos supuestos el Tribunal Supremo suele declarar en el fallo la pérdida de objeto del recurso de casación, sin pronunciarse sobre la procedencia o improcedencia del recurso (vid. por ejemplo, la Sentencia de la Sección Segunda de 20 de mayo de 2009, recaída en el recurso 7177-2005, o la más reciente, de la Sección Quinta, de 14 de junio de 2011, dictada en el recurso 4879-2011). En tales casos la pérdida de objeto del recurso de casación, en cuanto con él se persigue un pronunciamiento sobre la validez o la invalidez de la disposición general, es una consecuencia ineludible de la eficacia general de la firmeza de los fallos anulatorios de esas disposiciones, que ningún pronunciamiento judicial posterior podría desconocer. En este caso la Sentencia impugnada no ha llevado al fallo la declaración de pérdida sobrevenida del objeto del recurso de casación que enuncia en su fundamento jurídico quinto, pero no resulta dudoso que es precisamente la firmeza de la previa declaración de nulidad del Decreto —o, lo que es lo mismo, esa pérdida sobrevenida de objeto— lo que determina un fallo que, en definitiva, nada innova. La situación jurídica resultante del fallo emitido es idéntica a la que habría producido un fallo meramente declarativo de la pérdida del objeto del recurso.</w:t>
      </w:r>
    </w:p>
    <w:p w:rsidR="00D06117" w:rsidRDefault="00D06117" w:rsidP="00D06117">
      <w:pPr>
        <w:pStyle w:val="TextoNormal"/>
      </w:pPr>
    </w:p>
    <w:p w:rsidR="00D06117" w:rsidRDefault="00D06117" w:rsidP="00D06117">
      <w:pPr>
        <w:pStyle w:val="TextoNormal"/>
      </w:pPr>
      <w:r>
        <w:t xml:space="preserve">Constatar esa obvia identidad no es irrelevante cuando tenemos que resolver un recurso de amparo en el que se nos pide que anulemos la Sentencia retrotrayendo las actuaciones al momento anterior al de su pronunciamiento, pero sin negar que se hubiera producido la </w:t>
      </w:r>
      <w:r>
        <w:lastRenderedPageBreak/>
        <w:t>anulación previa y firme de la disposición administrativa objeto del proceso judicial ni discutir que tal anulación suponía la pérdida de objeto del recurso de casación.</w:t>
      </w:r>
    </w:p>
    <w:p w:rsidR="00D06117" w:rsidRDefault="00D06117" w:rsidP="00D06117">
      <w:pPr>
        <w:pStyle w:val="TextoNormal"/>
      </w:pPr>
    </w:p>
    <w:p w:rsidR="00D06117" w:rsidRDefault="00D06117" w:rsidP="00D06117">
      <w:pPr>
        <w:pStyle w:val="TextoNormal"/>
      </w:pPr>
      <w:r>
        <w:t>El art. 41 de la Ley Orgánica del Tribunal Constitucional (LOTC) establece en su apartado 1 que el recurso de amparo protege frente a las violaciones de los derechos y libertades fundamentales originadas en disposiciones, actos jurídicos, omisiones y vías de hecho de los poderes públicos y en su apartado 2 que en dicho proceso constitucional no pueden hacerse valer otras pretensiones que las dirigidas a restablecer o preservar los derechos o libertades. Estas previsiones suponen que el proceso de amparo, que es un verdadero proceso del que conoce un auténtico órgano jurisdiccional (art. 1.2 LOTC), se dirige contra decisiones, resoluciones o vías de hecho, pero no frente a los razonamientos en que dicen sustentarse, de modo que si lo decidido no supone la vulneración de un derecho fundamental, no cabrá pretender su declaración de nulidad, que es el pronunciamiento típico de las Sentencias que otorgan el amparo, con arreglo al art. 55.1 a) LOTC. El art. 54 LOTC se cuida de recordarnos que nuestra función es concretar si se han vulnerado los derechos o libertades invocados por el demandante y preservarlos o restablecerlos, exigiéndonos que nos abstengamos de cualquier otra consideración sobre la actuación de los órganos judiciales.</w:t>
      </w:r>
    </w:p>
    <w:p w:rsidR="00D06117" w:rsidRDefault="00D06117" w:rsidP="00D06117">
      <w:pPr>
        <w:pStyle w:val="TextoNormal"/>
      </w:pPr>
    </w:p>
    <w:p w:rsidR="00D06117" w:rsidRDefault="00D06117" w:rsidP="00D06117">
      <w:pPr>
        <w:pStyle w:val="TextoNormal"/>
      </w:pPr>
      <w:r>
        <w:t>Pues bien, este Tribunal, como órgano jurisdiccional que es, sólo si nuestro juicio pudiera deparar la anulación de lo resuelto en la Sentencia impugnada, podría entrar en el examen de la denuncia de la parte demandante y que apoya el Fiscal, de que dicha Sentencia ha inaplicado o desplazado la ley valenciana por considerarla contraria a las bases estatales vulnerando con ello los derechos fundamentales que se invocan, pero en este caso, cualquiera que fuera nuestro juicio sobre los razonamientos que reproduce la Sentencia impugnada, es claro que no podríamos anularla, pues no dejaría de haber perdido el recurso de casación su contenido ni dejaría de haber quedado anulado el Decreto.</w:t>
      </w:r>
    </w:p>
    <w:p w:rsidR="00D06117" w:rsidRDefault="00D06117" w:rsidP="00D06117">
      <w:pPr>
        <w:pStyle w:val="TextoNormal"/>
      </w:pPr>
    </w:p>
    <w:p w:rsidR="00D06117" w:rsidRDefault="00D06117" w:rsidP="00D06117">
      <w:pPr>
        <w:pStyle w:val="TextoNormal"/>
      </w:pPr>
      <w:r>
        <w:t>Este Tribunal es un órgano jurisdiccional y no un órgano consultivo y por ello no le compete enjuiciar o corregir los razonamientos judiciales o el modo de expresarlos (ATC 836/1986, de 22 de octubre, FJ 2; en el mismo sentido, AATC 85/1992, de 30 de marzo, FJ 4; y 226/1993, de 12 de julio, FJ 5, entre otras resoluciones), sino determinar si lo decidido, resuelto o actuado vulnera un derecho fundamental. Pese a las transformaciones que el legislador ha ido introduciendo en el régimen del recurso de amparo —en especial, pese a la operada en virtud de la Ley Orgánica 6/2007, de 24 de mayo— el mismo sigue siendo un recurso de tutela de derechos fundamentales (STC 155/2009, de 25 de junio, FJ 2), por más que la lesión (o la apariencia de lesión) de uno de esos derechos, siendo requisito necesario para su admisión, no sea, sin embargo, requisito suficiente.</w:t>
      </w:r>
    </w:p>
    <w:p w:rsidR="00D06117" w:rsidRDefault="00D06117" w:rsidP="00D06117">
      <w:pPr>
        <w:pStyle w:val="TextoNormal"/>
      </w:pPr>
    </w:p>
    <w:p w:rsidR="00D06117" w:rsidRDefault="00D06117" w:rsidP="00D06117">
      <w:pPr>
        <w:pStyle w:val="TextoNormal"/>
      </w:pPr>
      <w:r>
        <w:t xml:space="preserve">Y como tuvimos ocasión de declarar en la STC 52/1992, de 8 de abril, “la vía procesal del amparo constitucional no es el cauce adecuado para solicitar y obtener un pronunciamiento abstracto y genérico sobre la constitucionalidad de determinado criterio de interpretación de la norma. La posible incorrección o inaplicabilidad de un criterio interpretativo sólo puede ser analizada por este Tribunal a través de este procedimiento cuando sea inexcusable para corregir la lesión de un derecho fundamental que sea consecuencia de la aplicación de dicho criterio” (FJ 1). O, como hemos expresado con otras palabras en la más reciente STC 11/2011, de 28 de febrero, “carecería de sentido la concesión de un amparo que se limitase a anular una parte de la motivación de una Sentencia, manteniendo en cambio la integridad de su fallo, de la misma manera que carecería de sentido anular totalmente </w:t>
      </w:r>
      <w:r>
        <w:lastRenderedPageBreak/>
        <w:t>la Sentencia, incluido el fallo, con el único objeto de que el órgano judicial dictase una nueva Sentencia en la que confirmase el fallo tras corregir posibles errores o desaciertos contenidos en la redacción de su fundamentación jurídica (STC 298/1993, de 18 de octubre, FJ 5). Y es que, como señalan la STC 298/1993 citada o la STC 44/1987, de 9 de abril (FJ 2), el recurso de amparo se orienta a la reparación de efectivas vulneraciones de los derechos fundamentales y no a la depuración objetiva de aquellos vicios que puedan concurrir en la acción de los poderes públicos, desprendiéndose así inequívocamente de los arts. 41, 54 y 55 LOTC” (FJ 5).</w:t>
      </w:r>
    </w:p>
    <w:p w:rsidR="00D06117" w:rsidRDefault="00D06117" w:rsidP="00D06117">
      <w:pPr>
        <w:pStyle w:val="TextoNormal"/>
      </w:pPr>
    </w:p>
    <w:p w:rsidR="00D06117" w:rsidRDefault="00D06117" w:rsidP="00D06117">
      <w:pPr>
        <w:pStyle w:val="TextoNormal"/>
      </w:pPr>
      <w:r>
        <w:t>En el presente caso no es la Sentencia impugnada la que anula el decreto de la Generalitat Valenciana, decreto que se había declarado nulo antes de que recayera aquélla, lo que implica que este recurso de amparo carecía de objeto ab initio, pues se interpuso cuando este Tribunal no podía restablecer o preservar el derecho fundamental que se dice vulnerado.</w:t>
      </w:r>
    </w:p>
    <w:p w:rsidR="00D06117" w:rsidRDefault="00D06117" w:rsidP="00D06117">
      <w:pPr>
        <w:pStyle w:val="TextoNormal"/>
      </w:pPr>
    </w:p>
    <w:p w:rsidR="00D06117" w:rsidRDefault="00D06117" w:rsidP="00D06117">
      <w:pPr>
        <w:pStyle w:val="TextoNormal"/>
      </w:pPr>
      <w:r>
        <w:t>Procede, pues, el pronunciamiento previsto en el art. 53 a) LOTC.</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la Generalitat Valenciana.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trece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2" w:name="SENTENCIA_2012_19"/>
      <w:r>
        <w:lastRenderedPageBreak/>
        <w:t>SENTENCIA 19/2012, de 15 de febrero de 2012</w:t>
      </w:r>
    </w:p>
    <w:bookmarkEnd w:id="2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ECLI:ES:TC:2012:19</w:t>
      </w:r>
    </w:p>
    <w:p w:rsidR="00D06117" w:rsidRDefault="00D06117" w:rsidP="00D06117">
      <w:pPr>
        <w:pStyle w:val="SntesisDescriptiva"/>
      </w:pPr>
    </w:p>
    <w:p w:rsidR="00D06117" w:rsidRDefault="00D06117" w:rsidP="00D06117">
      <w:pPr>
        <w:pStyle w:val="SntesisDescriptiva"/>
      </w:pPr>
      <w:r>
        <w:t>Recurso de inconstitucionalidad 1046-1999. Interpuesto por 89 Diputados del Grupo Parlamentario Socialista en el Congreso de los Diputados en relación con diversos preceptos de la Ley 40/1998, de 9 de diciembre, del impuesto sobre la renta de las personas físicas y otras normas tributarias.</w:t>
      </w:r>
    </w:p>
    <w:p w:rsidR="00D06117" w:rsidRDefault="00D06117" w:rsidP="00D06117">
      <w:pPr>
        <w:pStyle w:val="SntesisDescriptiva"/>
      </w:pPr>
    </w:p>
    <w:p w:rsidR="00D06117" w:rsidRDefault="00D06117" w:rsidP="00D06117">
      <w:pPr>
        <w:pStyle w:val="SntesisAnaltica"/>
      </w:pPr>
      <w:r>
        <w:t>Principios de interdicción de la arbitrariedad y seguridad jurídica, igualdad, progresividad y capacidad económica en materia tributaria, supletoriedad del Derecho estatal: inconstitucionalidad del requisito de la convivencia en la reducción por el mínimo familiar por descendientes.</w:t>
      </w:r>
    </w:p>
    <w:p w:rsidR="00D06117" w:rsidRDefault="00D06117" w:rsidP="00D06117">
      <w:pPr>
        <w:pStyle w:val="SntesisAnaltica"/>
      </w:pPr>
    </w:p>
    <w:p w:rsidR="00D06117" w:rsidRDefault="00D06117" w:rsidP="00D06117">
      <w:pPr>
        <w:pStyle w:val="Extracto"/>
      </w:pPr>
      <w:r>
        <w:t>1.</w:t>
      </w:r>
      <w:r>
        <w:tab/>
        <w:t>Cabe declarar la inconstitucionalidad de la expresión “conviva con el contribuyente y” del precepto impugnado, al no ajustarse la norma controvertida al fin perseguido –la protección de la familia mediante la deducción de parte de los gastos que provoca el deber constitucional de asistencia a los hijos–, al no ser las consecuencias jurídicas que resultan proporcionadas al mismo ni respetar el principio constitucional de igualdad, en la medida en que excluye de su aplicación a los contribuyentes que prestan asistencia económica a sus descendientes sin convivir con ellos [FJ 5].</w:t>
      </w:r>
    </w:p>
    <w:p w:rsidR="00D06117" w:rsidRDefault="00D06117" w:rsidP="00D06117">
      <w:pPr>
        <w:pStyle w:val="Extracto"/>
      </w:pPr>
    </w:p>
    <w:p w:rsidR="00D06117" w:rsidRDefault="00D06117" w:rsidP="00D06117">
      <w:pPr>
        <w:pStyle w:val="Extracto"/>
      </w:pPr>
      <w:r>
        <w:t>2.</w:t>
      </w:r>
      <w:r>
        <w:tab/>
        <w:t>No procede declarar la nulidad de la expresión “conviva con el contribuyente y” del precepto impugnado porque suprimido el requisito de la convivencia sin poderlo sustituir por ningún otro, la norma resultante provocaría un derecho automático a la aplicación del mínimo familiar por todo descendiente soltero menor de veinticinco años con independencia de las circunstancias concurrentes, lo que ciertamente no se compadecería con la finalidad de la reducción prevista [FJ 5].</w:t>
      </w:r>
    </w:p>
    <w:p w:rsidR="00D06117" w:rsidRDefault="00D06117" w:rsidP="00D06117">
      <w:pPr>
        <w:pStyle w:val="Extracto"/>
      </w:pPr>
    </w:p>
    <w:p w:rsidR="00D06117" w:rsidRDefault="00D06117" w:rsidP="00D06117">
      <w:pPr>
        <w:pStyle w:val="Extracto"/>
      </w:pPr>
      <w:r>
        <w:t>3.</w:t>
      </w:r>
      <w:r>
        <w:tab/>
        <w:t>La decisión de no someter a gravamen un mínimo vital para quienes quedan de forma genérica obligados a contribuir por el impuesto sobre la renta mediante la aplicación de una reducción en la base imponible es una opción legislativa que no puede calificarse de contraria al texto constitucional, pues de los preceptos constitucionales se deduce, como garantía básica, la necesidad de un mínimo protegido de la acción de los poderes públicos, pero no la forma en que debe articularse dicha protección [FJ 4].</w:t>
      </w:r>
    </w:p>
    <w:p w:rsidR="00D06117" w:rsidRDefault="00D06117" w:rsidP="00D06117">
      <w:pPr>
        <w:pStyle w:val="Extracto"/>
      </w:pPr>
    </w:p>
    <w:p w:rsidR="00D06117" w:rsidRDefault="00D06117" w:rsidP="00D06117">
      <w:pPr>
        <w:pStyle w:val="Extracto"/>
      </w:pPr>
      <w:r>
        <w:t>4.</w:t>
      </w:r>
      <w:r>
        <w:tab/>
        <w:t>La forma en que se ha articulado la reducción por el mínimo personal es una opción legislativa válida ya que, en la medida que la fórmula de moderación de la progresividad, no sólo se aplica de forma genérica a todos los contribuyentes del impuesto, sino que tiene un efecto mucho más potenciado en las bases menores que en las mayores, no puede concluirse que sea irrazonable y, por tanto, contraria a los principios constitucionales que necesariamente deben regir la articulación del impuesto [FJ 4].</w:t>
      </w:r>
    </w:p>
    <w:p w:rsidR="00D06117" w:rsidRDefault="00D06117" w:rsidP="00D06117">
      <w:pPr>
        <w:pStyle w:val="Extracto"/>
      </w:pPr>
    </w:p>
    <w:p w:rsidR="00D06117" w:rsidRDefault="00D06117" w:rsidP="00D06117">
      <w:pPr>
        <w:pStyle w:val="Extracto"/>
      </w:pPr>
      <w:r>
        <w:t>5.</w:t>
      </w:r>
      <w:r>
        <w:tab/>
        <w:t>El principio constitucional de igualdad no consagra un derecho a la desigualdad de trato, ni ampara la falta de distinción entre supuestos desiguales, por lo que no existe ningún derecho subjetivo al trato normativo desigual y menos consagra un pretendido derecho al trato igual de situaciones desiguales (SSTC 308/1994, 69/2007) [FJ 4].</w:t>
      </w:r>
    </w:p>
    <w:p w:rsidR="00D06117" w:rsidRDefault="00D06117" w:rsidP="00D06117">
      <w:pPr>
        <w:pStyle w:val="Extracto"/>
      </w:pPr>
    </w:p>
    <w:p w:rsidR="00D06117" w:rsidRDefault="00D06117" w:rsidP="00D06117">
      <w:pPr>
        <w:pStyle w:val="Extracto"/>
      </w:pPr>
      <w:r>
        <w:t>6.</w:t>
      </w:r>
      <w:r>
        <w:tab/>
        <w:t xml:space="preserve">La progresividad que reclama el art. 31.1 CE es del sistema tributario en su conjunto, siendo así que en un sistema tributario justo pueden tener cabida tributos que no sean progresivos, siempre que no se vea afectada la progresividad del sistema y, por tanto, el hecho de que en la determinación de un tributo, un aspecto pueda tener un efecto regresivo, no convierte </w:t>
      </w:r>
      <w:r w:rsidRPr="00D06117">
        <w:rPr>
          <w:i/>
        </w:rPr>
        <w:t>per se</w:t>
      </w:r>
      <w:r>
        <w:t xml:space="preserve"> ni al tributo en regresivo ni a la medida adoptada en inconstitucional (SSTC 27/1981, 7/2010) [FJ 4].</w:t>
      </w:r>
    </w:p>
    <w:p w:rsidR="00D06117" w:rsidRDefault="00D06117" w:rsidP="00D06117">
      <w:pPr>
        <w:pStyle w:val="Extracto"/>
      </w:pPr>
    </w:p>
    <w:p w:rsidR="00D06117" w:rsidRDefault="00D06117" w:rsidP="00D06117">
      <w:pPr>
        <w:pStyle w:val="Extracto"/>
      </w:pPr>
      <w:r>
        <w:t>7.</w:t>
      </w:r>
      <w:r>
        <w:tab/>
        <w:t>Debe rechazarse la vulneración del art. 31.1 CE imputada al tratamiento fiscal que la Ley 40/1998 confiere, dentro de los rendimientos derivados del trabajo y del capital inmobiliario a las prestaciones percibidas en forma de capital de contratos de seguros colectivos por recoger unas reducciones distintas a las previstas para las rentas irregulares, pues no se trata de rendimientos generados por idéntica razón, sino de rendimientos de naturaleza, causa y finalidad muy distinta [FJ 6].</w:t>
      </w:r>
    </w:p>
    <w:p w:rsidR="00D06117" w:rsidRDefault="00D06117" w:rsidP="00D06117">
      <w:pPr>
        <w:pStyle w:val="Extracto"/>
      </w:pPr>
    </w:p>
    <w:p w:rsidR="00D06117" w:rsidRDefault="00D06117" w:rsidP="00D06117">
      <w:pPr>
        <w:pStyle w:val="Extracto"/>
      </w:pPr>
      <w:r>
        <w:t>8.</w:t>
      </w:r>
      <w:r>
        <w:tab/>
        <w:t>El gravamen de forma diferenciada de las ganancias patrimoniales respecto de otro tipo de rentas no es, por sí solo, contrario al principio de igualdad tributaria, dado que, en el ejercicio de su libertad de configuración normativa, el legislador puede someter a tributación de forma distinta a diferentes clases de rendimientos gravados en el impuesto, pues lo que el art. 31.1 CE prohíbe es que, salvo que exista una justificación razonable, el legislador grave de manera diferente idénticas manifestaciones de riqueza (SSTC 46/2000, 295/2006) [FJ 7].</w:t>
      </w:r>
    </w:p>
    <w:p w:rsidR="00D06117" w:rsidRDefault="00D06117" w:rsidP="00D06117">
      <w:pPr>
        <w:pStyle w:val="Extracto"/>
      </w:pPr>
    </w:p>
    <w:p w:rsidR="00D06117" w:rsidRDefault="00D06117" w:rsidP="00D06117">
      <w:pPr>
        <w:pStyle w:val="Extracto"/>
      </w:pPr>
      <w:r>
        <w:t>9.</w:t>
      </w:r>
      <w:r>
        <w:tab/>
        <w:t>Debe rechazarse el recurso en relación con la exclusión de la consideración de renta en especie de las primas satisfechas por el empresario a las entidades aseguradoras para la cobertura de la enfermedad del trabajador, porque el término de comparación al que apelan los recurrentes para ilustrar la pretendida desigualdad de trato no es válido al no tratarse de supuestos comparables, por no ser homogéneos [FJ 8].</w:t>
      </w:r>
    </w:p>
    <w:p w:rsidR="00D06117" w:rsidRDefault="00D06117" w:rsidP="00D06117">
      <w:pPr>
        <w:pStyle w:val="Extracto"/>
      </w:pPr>
    </w:p>
    <w:p w:rsidR="00D06117" w:rsidRDefault="00D06117" w:rsidP="00D06117">
      <w:pPr>
        <w:pStyle w:val="Extracto"/>
      </w:pPr>
      <w:r>
        <w:t>10.</w:t>
      </w:r>
      <w:r>
        <w:tab/>
        <w:t>No puede apreciarse que contradiga el principio de capacidad económica el límite del 10% para la valoración de la renta en especie consistente en la utilización de vivienda por razón de cargo o empleo, dado que el límite controvertido no sólo contribuye a otorgar un trato más igualitario a los trabajadores sino que sirve a la finalidad de impedir que se desnaturalice la valoración de las rentas en especie como forma de contraprestación del trabajo realizado [FJ 8].</w:t>
      </w:r>
    </w:p>
    <w:p w:rsidR="00D06117" w:rsidRDefault="00D06117" w:rsidP="00D06117">
      <w:pPr>
        <w:pStyle w:val="Extracto"/>
      </w:pPr>
    </w:p>
    <w:p w:rsidR="00D06117" w:rsidRDefault="00D06117" w:rsidP="00D06117">
      <w:pPr>
        <w:pStyle w:val="Extracto"/>
      </w:pPr>
      <w:r>
        <w:t>11.</w:t>
      </w:r>
      <w:r>
        <w:tab/>
        <w:t xml:space="preserve">Debe rechazarse el recurso en relación con el régimen de compensaciones por deducciones en adquisición y arrendamiento de vivienda ya que no puede calificarse de irrazonable la opción del legislador de reducir, o incluso suprimir, el alcance de un determinado beneficio fiscal afectando sólo a quienes a partir de la entrada </w:t>
      </w:r>
      <w:r>
        <w:lastRenderedPageBreak/>
        <w:t>en vigor de la nueva regulación incidan en el supuesto de hecho previsto en la norma, manteniéndose en los mismos términos la aplicación del citado beneficio a quienes, hasta la citada modificación, habían articulado sus relaciones económicas de acuerdo con las previsiones normativas entonces aplicables [FJ 9].</w:t>
      </w:r>
    </w:p>
    <w:p w:rsidR="00D06117" w:rsidRDefault="00D06117" w:rsidP="00D06117">
      <w:pPr>
        <w:pStyle w:val="Extracto"/>
      </w:pPr>
    </w:p>
    <w:p w:rsidR="00D06117" w:rsidRDefault="00D06117" w:rsidP="00D06117">
      <w:pPr>
        <w:pStyle w:val="Extracto"/>
      </w:pPr>
      <w:r>
        <w:t>12.</w:t>
      </w:r>
      <w:r>
        <w:tab/>
        <w:t>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(SSTC 38/1995, 84/2008) [FJ 9].</w:t>
      </w:r>
    </w:p>
    <w:p w:rsidR="00D06117" w:rsidRDefault="00D06117" w:rsidP="00D06117">
      <w:pPr>
        <w:pStyle w:val="Extracto"/>
      </w:pPr>
    </w:p>
    <w:p w:rsidR="00D06117" w:rsidRDefault="00D06117" w:rsidP="00D06117">
      <w:pPr>
        <w:pStyle w:val="Extracto"/>
      </w:pPr>
      <w:r>
        <w:t>13.</w:t>
      </w:r>
      <w:r>
        <w:tab/>
        <w:t>La remisión que hace la Ley 40/1998 a la posterior regulación por la ley de presupuestos generales del Estado del procedimiento y condiciones para el disfrute de las compensaciones fiscales no vulnera el principio de seguridad jurídica, porque la técnica de la remisión entre disposiciones generales no es causante por sí misma ni de una incertidumbre insuperable ni de la imprevisibilidad de sus efectos, en tanto, posteriormente, la norma remitida integre el espacio normativo que le ha dejado la norma remitente [FJ 10].</w:t>
      </w:r>
    </w:p>
    <w:p w:rsidR="00D06117" w:rsidRDefault="00D06117" w:rsidP="00D06117">
      <w:pPr>
        <w:pStyle w:val="Extracto"/>
      </w:pPr>
    </w:p>
    <w:p w:rsidR="00D06117" w:rsidRDefault="00D06117" w:rsidP="00D06117">
      <w:pPr>
        <w:pStyle w:val="Extracto"/>
      </w:pPr>
      <w:r>
        <w:t>14.</w:t>
      </w:r>
      <w:r>
        <w:tab/>
        <w:t>Debe rechazarse la impugnación del precepto de la Ley 40/1998 que establece la obligación de declarar, al no apreciarse que la norma cuestionada establezca discriminación de ningún tipo ni pudiéndosele imputar incertidumbre de ninguna clase que contraríe el principio de seguridad jurídica pues no produce confusión o duda alguna que pueda generar en sus destinatarios una incertidumbre razonablemente insuperable acerca de la conducta exigible para su cumplimiento o sobre la previsibilidad de sus efectos (SSTC 150/1990, 136/2011) [FJ 10].</w:t>
      </w:r>
    </w:p>
    <w:p w:rsidR="00D06117" w:rsidRDefault="00D06117" w:rsidP="00D06117">
      <w:pPr>
        <w:pStyle w:val="Extracto"/>
      </w:pPr>
    </w:p>
    <w:p w:rsidR="00D06117" w:rsidRDefault="00D06117" w:rsidP="00D06117">
      <w:pPr>
        <w:pStyle w:val="Extracto"/>
      </w:pPr>
      <w:r>
        <w:t>15.</w:t>
      </w:r>
      <w:r>
        <w:tab/>
        <w:t>Los preceptos impugnados de la Ley 40/1998 no modifican el concepto constitucional de impuesto cedido porque la atribución al impuesto sobre la renta de las personas físicas de la condición de tributo cedido parcialmente no viene hecha por dicha Ley, sino por la Ley Orgánica 3/1996 –que le atribuye la condición de tributo “cedible”–, siendo imputable exclusivamente a ésta, en su caso, la pretendida mutación o alteración del concepto constitucional de tributo cedido [FJ 11].</w:t>
      </w:r>
    </w:p>
    <w:p w:rsidR="00D06117" w:rsidRDefault="00D06117" w:rsidP="00D06117">
      <w:pPr>
        <w:pStyle w:val="Extracto"/>
      </w:pPr>
    </w:p>
    <w:p w:rsidR="00D06117" w:rsidRDefault="00D06117" w:rsidP="00D06117">
      <w:pPr>
        <w:pStyle w:val="Extracto"/>
      </w:pPr>
      <w:r>
        <w:t>16.</w:t>
      </w:r>
      <w:r>
        <w:tab/>
        <w:t>No cabe sino rechazar la modificación del concepto constitucional de impuesto cedido que se imputa a los preceptos impugnados de la Ley 40/1998 al no haberse producido alteración o mutación de ninguna clase de dicho concepto sino efectuado únicamente una concreción de su contenido que en modo alguno altera los rasgos o elementos que, desde un punto de vista constitucional, son definidores del mismo [FJ 11].</w:t>
      </w:r>
    </w:p>
    <w:p w:rsidR="00D06117" w:rsidRDefault="00D06117" w:rsidP="00D06117">
      <w:pPr>
        <w:pStyle w:val="Extracto"/>
      </w:pPr>
    </w:p>
    <w:p w:rsidR="00D06117" w:rsidRDefault="00D06117" w:rsidP="00D06117">
      <w:pPr>
        <w:pStyle w:val="Extracto"/>
      </w:pPr>
      <w:r>
        <w:t>17.</w:t>
      </w:r>
      <w:r>
        <w:tab/>
        <w:t>No puede compartirse la visión de los recurrentes conforme a la cual el concepto de tributo cedido sería el deducido de los art. 157.1 a) CE y 11 LOFCA en su redacción originaria, concepto que debería permanecer inmutable en el tiempo, ya que ello impediría al legislador desplegar su libertad de conformación del ordenamiento jurídico consagrando una petrificación del modelo de financiación autonómica, que no se compadece ni con el carácter dinámico del Ordenamiento jurídico, ni con el propio dinamismo de la economía (SSTC 178/1989, 133/1997) [FJ 11].</w:t>
      </w:r>
    </w:p>
    <w:p w:rsidR="00D06117" w:rsidRDefault="00D06117" w:rsidP="00D06117">
      <w:pPr>
        <w:pStyle w:val="Extracto"/>
      </w:pPr>
    </w:p>
    <w:p w:rsidR="00D06117" w:rsidRDefault="00D06117" w:rsidP="00D06117">
      <w:pPr>
        <w:pStyle w:val="Extracto"/>
      </w:pPr>
      <w:r>
        <w:lastRenderedPageBreak/>
        <w:t>18.</w:t>
      </w:r>
      <w:r>
        <w:tab/>
        <w:t>Doctrina sobre los elementos definidores del concepto constitucional de “tributo cedido” (SSTC 192/2000, 156/2004) [FJ 11].</w:t>
      </w:r>
    </w:p>
    <w:p w:rsidR="00D06117" w:rsidRDefault="00D06117" w:rsidP="00D06117">
      <w:pPr>
        <w:pStyle w:val="Extracto"/>
      </w:pPr>
    </w:p>
    <w:p w:rsidR="00D06117" w:rsidRDefault="00D06117" w:rsidP="00D06117">
      <w:pPr>
        <w:pStyle w:val="Extracto"/>
      </w:pPr>
      <w:r>
        <w:t>19.</w:t>
      </w:r>
      <w:r>
        <w:tab/>
        <w:t xml:space="preserve">Debe rechazarse la infracción del art. 149.3 CE por vulneración de la doctrina constitucional sobre la supletoriedad del Derecho estatal ya que el Estado es titular de una competencia exclusiva </w:t>
      </w:r>
      <w:r w:rsidRPr="00D06117">
        <w:rPr>
          <w:i/>
        </w:rPr>
        <w:t>ex</w:t>
      </w:r>
      <w:r>
        <w:t xml:space="preserve"> arts. 133.1, 149.1.14 y 157.3 CE, respecto de la cual se prevé la posibilidad de que el ejercicio de la regulación de una tarifa autonómica sea asumido por las Comunidades Autónomas, condicionado al momento en que se produzca la efectiva regulación por parte de cada Comunidad Autónoma de esa tarifa complementaria [FJ 11].</w:t>
      </w:r>
    </w:p>
    <w:p w:rsidR="00D06117" w:rsidRDefault="00D06117" w:rsidP="00D06117">
      <w:pPr>
        <w:pStyle w:val="Extracto"/>
      </w:pPr>
    </w:p>
    <w:p w:rsidR="00D06117" w:rsidRDefault="00D06117" w:rsidP="00D06117">
      <w:pPr>
        <w:pStyle w:val="Extracto"/>
      </w:pPr>
      <w:r>
        <w:t>20.</w:t>
      </w:r>
      <w:r>
        <w:tab/>
        <w:t>La regulación efectuada por la Ley 40/1998 no afectó al ejercicio de las facultades conferidas a las Comunidades Autónomas en materia de tributos cedidos y de sus facultades para regular las deducciones en dicho impuesto, al operar estas exclusivamente sobre la parte del tributo efectivamente cedido y, por tanto, actuando de forma independiente a la reestructuración operada en el citado impuesto [FJ 11].</w:t>
      </w:r>
    </w:p>
    <w:p w:rsidR="00D06117" w:rsidRDefault="00D06117" w:rsidP="00D06117">
      <w:pPr>
        <w:pStyle w:val="Extracto"/>
      </w:pPr>
    </w:p>
    <w:p w:rsidR="00D06117" w:rsidRDefault="00D06117" w:rsidP="00D06117">
      <w:pPr>
        <w:pStyle w:val="Extracto"/>
      </w:pPr>
      <w:r>
        <w:t>21.</w:t>
      </w:r>
      <w:r>
        <w:tab/>
        <w:t>El hecho de que la Ley 40/1998, haya sido derogada por la disposición derogatoria única del Real Decreto legislativo 3/2004, y esta última, a su vez, por la disposición derogatoria primera de la Ley 35/2006, no priva de objeto al presente recurso dado que, aun tratándose de una norma formalmente derogada, no se puede asegurar que sus mandatos hayan dejado ya hoy de desplegar sus efectos [FJ 2].</w:t>
      </w:r>
    </w:p>
    <w:p w:rsidR="00D06117" w:rsidRDefault="00D06117" w:rsidP="00D06117">
      <w:pPr>
        <w:pStyle w:val="Extracto"/>
      </w:pPr>
    </w:p>
    <w:p w:rsidR="00D06117" w:rsidRDefault="00D06117" w:rsidP="00D06117">
      <w:pPr>
        <w:pStyle w:val="Extracto"/>
      </w:pPr>
      <w:r>
        <w:t>22.</w:t>
      </w:r>
      <w:r>
        <w:tab/>
        <w:t>En relación con los cambios sobrevenidos en la normativa concernida por el presente recurso de inconstitucionalidad, hay que tener en cuenta los que se han producido en algunos de los Estatutos de Autonomía que la demanda considera vulnerados, de tal modo que los preceptos estatutarios a considerar deben ser los contenidos en los Estatutos en vigor que, hay que subrayarlo, son sustancialmente iguales a los derogados [FJ 2].</w:t>
      </w:r>
    </w:p>
    <w:p w:rsidR="00D06117" w:rsidRDefault="00D06117" w:rsidP="00D06117">
      <w:pPr>
        <w:pStyle w:val="Extracto"/>
      </w:pPr>
    </w:p>
    <w:p w:rsidR="00D06117" w:rsidRDefault="00D06117" w:rsidP="00D06117">
      <w:pPr>
        <w:pStyle w:val="Extracto"/>
      </w:pPr>
      <w:r>
        <w:t>23.</w:t>
      </w:r>
      <w:r>
        <w:tab/>
        <w:t>Doctrina sobre pérdida de objeto en los recursos de inconstitucionalidad (SSTC 160/1987, 134/2011) [FJ 2].</w:t>
      </w:r>
    </w:p>
    <w:p w:rsidR="00D06117" w:rsidRDefault="00D06117" w:rsidP="00D06117">
      <w:pPr>
        <w:pStyle w:val="Extracto"/>
      </w:pPr>
    </w:p>
    <w:p w:rsidR="00D06117" w:rsidRDefault="00D06117" w:rsidP="00D06117">
      <w:pPr>
        <w:pStyle w:val="Extracto"/>
      </w:pPr>
      <w:r>
        <w:t>24.</w:t>
      </w:r>
      <w:r>
        <w:tab/>
        <w:t>Doctrina sobre los fines extrafiscales de los tributos (SSTC 37/1987, 179/2006) [FJ 3].</w:t>
      </w:r>
    </w:p>
    <w:p w:rsidR="00D06117" w:rsidRDefault="00D06117" w:rsidP="00D06117">
      <w:pPr>
        <w:pStyle w:val="Extracto"/>
      </w:pPr>
    </w:p>
    <w:p w:rsidR="00D06117" w:rsidRDefault="00D06117" w:rsidP="00D06117">
      <w:pPr>
        <w:pStyle w:val="Extracto"/>
      </w:pPr>
      <w:r>
        <w:t>25.</w:t>
      </w:r>
      <w:r>
        <w:tab/>
        <w:t>La ausencia en la Constitución de una definición del modelo de sistema tributario aplicable y, por tanto, su indefinición, habilitan al legislador estatal para realizar su conceptuación jurídica en cada momento, entre diferentes alternativas, en atención a las circunstancias económicas subyacentes y a las necesidades sociales a las que se pretenda dar cobertura [FJ 3].</w:t>
      </w:r>
    </w:p>
    <w:p w:rsidR="00D06117" w:rsidRDefault="00D06117" w:rsidP="00D06117">
      <w:pPr>
        <w:pStyle w:val="Extracto"/>
      </w:pPr>
    </w:p>
    <w:p w:rsidR="00D06117" w:rsidRDefault="00D06117" w:rsidP="00D06117">
      <w:pPr>
        <w:pStyle w:val="Extracto"/>
      </w:pPr>
      <w:r>
        <w:t>26.</w:t>
      </w:r>
      <w:r>
        <w:tab/>
        <w:t>Doctrina sobre el impuesto sobre las personas físicas como pieza básica del sistema tributario (SSTC 134/1996, 189/2005)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1046-1999, planteado por 89 Diputados del Grupo Parlamentario Socialista en el Congreso contra los arts. 2.2, 15.1, 15.3.4, 17.2 c) y d), 24.2 b) y c), 39, 40, 43.2 f), 44.1.1 a), 48, 51, 53, 58, 60, 61, 62, 63, 64, 81.1, 2 y 3, y disposiciones transitorias cuarta, quinta apartado 2, sexta y séptima, de la Ley 40/1998, de 9 de diciembre, del impuesto sobre la renta de las personas físicas y otras normas tributarias. Ha intervenido el Abogado del Estado, en representación del Gobierno de la Nación.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Constitucional el día 10 de marzo de 1999, don Roberto Granizo Palomeque, comisionado por 89 Diputados del Congreso, interpuso recurso de inconstitucionalidad contra los arts. 2.2, 15.1, 15.3.4, 17.2 c) y d), 24.2 b) y c), 39, 40, 43.2 f), 44.1.1 a), 48, 51, 53, 58, 60, 61, 62, 63, 64, 81.1, 2 y 3, y disposiciones transitorias cuarta, quinta apartado 2, sexta y séptima, de la Ley 40/1998, de 9 de diciembre, del impuesto sobre la renta de las personas físicas y otras normas tributarias. Al mismo se acompañaba declaración expresa de la voluntad de los Diputados de recurrir contra dicha ley.</w:t>
      </w:r>
    </w:p>
    <w:p w:rsidR="00D06117" w:rsidRDefault="00D06117" w:rsidP="00D06117">
      <w:pPr>
        <w:pStyle w:val="TextoNormal"/>
      </w:pPr>
    </w:p>
    <w:p w:rsidR="00D06117" w:rsidRDefault="00D06117" w:rsidP="00D06117">
      <w:pPr>
        <w:pStyle w:val="TextoNormal"/>
      </w:pPr>
      <w:r w:rsidRPr="00D06117">
        <w:rPr>
          <w:rStyle w:val="NumeroAFNegritaCaracter"/>
        </w:rPr>
        <w:t>2</w:t>
      </w:r>
      <w:r>
        <w:t>. En el escrito de interposición del recurso, los recurrentes arrancan exponiendo sintéticamente la doctrina sentada por este Tribunal en relación con el impuesto sobre la renta de las personas físicas (en adelante IRPF). A este respecto, comienza el recurso recordando que, conforme a nuestra doctrina, dada su estructura y hecho imponible, el IRPF es una figura impositiva primordial para conseguir que el sistema tributario cumpla con los principios de justicia tributaria que impone el art. 31.1 CE, razón por la cual constituye uno de los pilares estructurales de dicho sistema (SSTC 209/1988, 45/1989, 134/1996 y 182/1997).</w:t>
      </w:r>
    </w:p>
    <w:p w:rsidR="00D06117" w:rsidRDefault="00D06117" w:rsidP="00D06117">
      <w:pPr>
        <w:pStyle w:val="TextoNormal"/>
      </w:pPr>
    </w:p>
    <w:p w:rsidR="00D06117" w:rsidRDefault="00D06117" w:rsidP="00D06117">
      <w:pPr>
        <w:pStyle w:val="TextoNormal"/>
      </w:pPr>
      <w:r>
        <w:t xml:space="preserve">Seguidamente hacen tres aclaraciones, tras subrayar que, pese a que el legislador goza de un amplio margen de libertad en la configuración del IRPF, ello no impide que quede sometido a los límites que derivan de los principios constitucionales establecidos en el art. 31.1 CE (STC 214/1994). En primer lugar, señalan que, con independencia de que consideren que existen otras soluciones técnicas que realizan más adecuadamente los principios constitucionales, para enjuiciar la Ley 40/1998 no utilizan como parámetro la anterior o </w:t>
      </w:r>
      <w:r>
        <w:lastRenderedPageBreak/>
        <w:t>anteriores leyes reguladoras del IRPF, sino exclusivamente la Constitución. En segundo lugar, precisan que el recurso no emplea como fundamento de inconstitucionalidad la disminución global de la carga tributaria que provoca la ley impugnada. En tercer lugar, subrayan que no pueden equipararse la libertad política de la que goza el Gobierno con la libertad que este Tribunal predica del legislador.</w:t>
      </w:r>
    </w:p>
    <w:p w:rsidR="00D06117" w:rsidRDefault="00D06117" w:rsidP="00D06117">
      <w:pPr>
        <w:pStyle w:val="TextoNormal"/>
      </w:pPr>
    </w:p>
    <w:p w:rsidR="00D06117" w:rsidRDefault="00D06117" w:rsidP="00D06117">
      <w:pPr>
        <w:pStyle w:val="TextoNormal"/>
      </w:pPr>
      <w:r>
        <w:t>A continuación, destacan los recurrentes que, aunque el principio de capacidad económica y sus correlatos —los de igualdad y progresividad— se predican, no sólo del IRPF, sino del conjunto del “sistema tributario”, el principio de capacidad económica se aplica de manera diferente en unos y otros tributos, siendo en el IRPF donde se garantiza el reparto de la carga tributaria que exige un sistema tributario para poder ser considerado justo.</w:t>
      </w:r>
    </w:p>
    <w:p w:rsidR="00D06117" w:rsidRDefault="00D06117" w:rsidP="00D06117">
      <w:pPr>
        <w:pStyle w:val="TextoNormal"/>
      </w:pPr>
    </w:p>
    <w:p w:rsidR="00D06117" w:rsidRDefault="00D06117" w:rsidP="00D06117">
      <w:pPr>
        <w:pStyle w:val="TextoNormal"/>
      </w:pPr>
      <w:r>
        <w:t>Finalmente, ponen de relieve los pronunciamientos de este Tribunal en relación con la aplicación de los principios del art. 31.1 CE en el IRPF y, en especial, en el ámbito de las circunstancias personales y familiares (con cita de las SSTC 209/1988, 45/1989, 146/1994 y 214/1994), para, una vez examinada la doctrina de este Tribunal, exponer los aspectos de la Ley 40/1998 que estiman de mayor trascendencia a efectos del presente recurso, concretamente, la “renta gravable”, el mínimo personal y familiar, la estructura y tramos de la tarifa del impuesto, el tratamiento “a tanto alzado” de las rentas irregulares y el régimen fiscal de los seguros, la tributación a tipo fijo y único de las ganancias y pérdidas patrimoniales, la supresión de deducciones en la cuota del IRPF, la regulación de las rentas en especie, los contribuyentes no obligados a presentar declaración y devoluciones tributarias y, finalmente, el gravamen autonómico o complementario. Y del análisis de esos aspectos llegan a la conclusión de que la nueva regulación no se ha contrastado suficientemente con los principios constitucionales que debe respetar nuestro sistema tributario.</w:t>
      </w:r>
    </w:p>
    <w:p w:rsidR="00D06117" w:rsidRDefault="00D06117" w:rsidP="00D06117">
      <w:pPr>
        <w:pStyle w:val="TextoNormal"/>
      </w:pPr>
    </w:p>
    <w:p w:rsidR="00D06117" w:rsidRDefault="00D06117" w:rsidP="00D06117">
      <w:pPr>
        <w:pStyle w:val="TextoNormal"/>
      </w:pPr>
      <w:r>
        <w:t>A continuación describen los recurrentes el contenido de los preceptos de la Ley 40/1998 que son objeto de impugnación: en particular, los arts. 2.2, 15.1, 15.3.4, 17.2 c) y d), 24.2 b) y c), 39, 40, 43.2 f), 44.1.1 a), 48, 51, 53, 61, 62, 63, 64, 81.1,2,3 y disposición transitoria cuarta de la Ley 40/1998; y por conexión son también objeto de recurso los artículos 58 y 60 y las disposiciones transitorias quinta apartado 2, sexta y séptima de la citada ley, estableciendo seguidamente las causas de inconstitucionalidad en que se basa el recurso. A estos efectos distinguen los recurrentes entre aquellos preceptos de la Ley 40/1998 que resultan contrarios a los principios de igualdad, progresividad y capacidad económica reconocidos todos ellos en el art. 31.1 CE, y los bienes conexos constitucionalmente protegidos (artículos 9.2, 10 y 39.2 CE); aquellos otros que contravienen el art. 9.3 CE; y, en fin, ciertas disposiciones que contradicen el art. 149.3 CE, así como diversas disposiciones adicionales de varios Estatutos de Autonomía, en particular, la segunda apartado.3 del Estatuto de Autonomía de Aragón, la tercera del Estatuto de Autonomía del Principado de Asturias, la tercera apartado 2 del Estatuto de Autonomía de las Illes Balears, la segunda apartado 2 del Estatuto de Autonomía de Canarias, la tercera del Estatuto de Autonomía de Cantabria, la primera apartado.3 del Estatuto de Autonomía de Castilla y León, la sexta apartado 3 de Estatuto de Autonomía de Cataluña, la primera apartado 3 del Estatuto de Autonomía de Galicia, la primera apartado 3 del Estatuto de Autonomía de La Rioja, la primera apartado 2 del Estatuto de Autonomía de la Región de Murcia, la primera apartado 3 del Estatuto de Autonomía de Madrid, y el art. 52.5 del Estatuto de Autonomía de la Comunitat Valenciana.</w:t>
      </w:r>
    </w:p>
    <w:p w:rsidR="00D06117" w:rsidRDefault="00D06117" w:rsidP="00D06117">
      <w:pPr>
        <w:pStyle w:val="TextoNormal"/>
      </w:pPr>
    </w:p>
    <w:p w:rsidR="00D06117" w:rsidRDefault="00D06117" w:rsidP="00D06117">
      <w:pPr>
        <w:pStyle w:val="TextoNormal"/>
      </w:pPr>
      <w:r>
        <w:lastRenderedPageBreak/>
        <w:t>Por lo que se refiere al primer grupo de preceptos, los recurrentes efectúan las consideraciones que siguen:</w:t>
      </w:r>
    </w:p>
    <w:p w:rsidR="00D06117" w:rsidRDefault="00D06117" w:rsidP="00D06117">
      <w:pPr>
        <w:pStyle w:val="TextoNormal"/>
      </w:pPr>
    </w:p>
    <w:p w:rsidR="00D06117" w:rsidRDefault="00D06117" w:rsidP="00D06117">
      <w:pPr>
        <w:pStyle w:val="TextoNormal"/>
      </w:pPr>
      <w:r>
        <w:t>a) Comienzan, en primer lugar, exponiendo las razones por las que consideran que los arts. 2.2 (que define “la renta disponible” que grava el impuesto como el resultado de disminuir la renta en la cuantía del mínimo personal y familiar), 15.1 (que señala que la base imponible del impuesto está constituida por el importe de la renta disponible), 15.3.4 (en virtud del cual se reducirá de la base imponible la cuantía correspondiente al mínimo personal y familiar que la ley reconoce al contribuyente en función de sus circunstancias personales y familiares), 40 (que regula el mínimo personal y familiar, fijando sus cuantías), y 51 y 62 (preceptos que establecen que los contribuyentes que satisfagan anualidades por alimentos a sus hijos por decisión judicial aplicarán separadamente la escala general del impuesto al importe de dichas anualidades), de dicha ley, contradicen los principios de igualdad, progresividad y capacidad económica recogidos en el art. 31.1 CE, la igualdad real y efectiva del individuo a que alude el art. 9.2 CE, la dignidad de la persona y el libre desarrollo de la personalidad que proclama el art. 10.1 CE, la protección de la familia que exige el art. 39.1 CE y la igualdad de los hijos ante la ley que reconoce el art. 39.2 CE.</w:t>
      </w:r>
    </w:p>
    <w:p w:rsidR="00D06117" w:rsidRDefault="00D06117" w:rsidP="00D06117">
      <w:pPr>
        <w:pStyle w:val="TextoNormal"/>
      </w:pPr>
    </w:p>
    <w:p w:rsidR="00D06117" w:rsidRDefault="00D06117" w:rsidP="00D06117">
      <w:pPr>
        <w:pStyle w:val="TextoNormal"/>
      </w:pPr>
      <w:r>
        <w:t>Con este fin, tras recordar que, conforme a la doctrina de este Tribunal, el principio de igualdad tributaria se halla indisociablemente unido a los de generalidad, capacidad económica, justicia y progresividad (con cita de la STC 209/1988), y que el impuesto sobre la renta de las personas físicas es el tributo en el que dichos principios encuentran una más cabal proyección (STC 19/1997), los Diputados recurrentes subrayan dos corolarios que se desprenden de los citados preceptos legales. El primero de ellos es que, como en la Ley 40/1998 el mínimo personal y familiar se aplica a reducir la parte general de la base imponible, siendo iguales las circunstancias personales y familiares, cuanto más elevadas son las rentas de los sujetos pasivos más aumenta la desgravación por dichas circunstancias, fenómeno que, desde el punto de vista de la capacidad económica, constituiría una regresión. El segundo de los corolarios es que en la deducción por mínimo familiar, la Ley 40/1998 establece un trato injustificadamente desigual en función de que los contribuyentes convivan o no con los hijos, dado que, a igualdad de condiciones —esto es, de cargas familiares—, la deducción sólo resulta aplicable en el primer caso, sin que la medida prevista en los arts. 51 y 62 de la Ley (que establecen, como novedad, que los contribuyentes que satisfagan anualidades por alimentos a sus hijos por decisión judicial aplicarán la escala general del impuesto o la escala autonómica o complementaria “separadamente al importe de las anualidades por alimentos y al resto de la base liquidable general”) tenga nada que ver con dicho mínimo existencial. Para los Diputados recurrentes la minoración de las cuotas que supone la aplicación de esos mínimos es mayor según van siendo mayores los ingresos o rentas de los contribuyentes, de manera que su aplicación no reduce la progresividad del impuesto, operando sólo como un mecanismo para la corrección de la progresividad de las rentas más elevadas.</w:t>
      </w:r>
    </w:p>
    <w:p w:rsidR="00D06117" w:rsidRDefault="00D06117" w:rsidP="00D06117">
      <w:pPr>
        <w:pStyle w:val="TextoNormal"/>
      </w:pPr>
    </w:p>
    <w:p w:rsidR="00D06117" w:rsidRDefault="00D06117" w:rsidP="00D06117">
      <w:pPr>
        <w:pStyle w:val="TextoNormal"/>
      </w:pPr>
      <w:r>
        <w:t xml:space="preserve">Consideran los Diputados recurrentes que en un impuesto progresivo que grava la renta de las personas físicas tiene que haber una determinada cantidad que se deja al margen del gravamen (un mínimo existencial), siendo la capacidad económica gravable la renta disponible restante, porque la dignidad humana impone que sea incompatible el pago del impuesto con una parte de la renta que es necesaria para que el contribuyente atienda a sus necesidades vitales, constituyendo esa parte un mínimo personal o individual que tiene </w:t>
      </w:r>
      <w:r>
        <w:lastRenderedPageBreak/>
        <w:t>como finalidad dejar una renta disponible para el contribuyente una vez que se ha pagado el impuesto, y sin que el derecho al libre desarrollo de la personalidad exija que se reconozca a todos los obligados tributarios un mínimo de existencia exento, razón por la cual puede afirmarse que no es constitucionalmente exigible que los “ricos” tengan un mínimo de existencia.</w:t>
      </w:r>
    </w:p>
    <w:p w:rsidR="00D06117" w:rsidRDefault="00D06117" w:rsidP="00D06117">
      <w:pPr>
        <w:pStyle w:val="TextoNormal"/>
      </w:pPr>
    </w:p>
    <w:p w:rsidR="00D06117" w:rsidRDefault="00D06117" w:rsidP="00D06117">
      <w:pPr>
        <w:pStyle w:val="TextoNormal"/>
      </w:pPr>
      <w:r>
        <w:t>Pues bien, estando presentes en la Ley 40/1998 los dos axiomas anteriores (mínimo existencial y renta disponible gravable), sin embargo, se reduce el concepto de renta disponible a la capacidad económica puesta de manifiesto en el IRPF, olvidando la presión fiscal producida por el resto de los tributos del sistema y que son pagados por todos los ciudadanos con su renta e ingresos. En suma, concluyen los recurrentes, aunque el sistema del mínimo personal y familiar tal y como se regula en la Ley 40/1998 no es una exigencia que venga impuesta por el art. 31.1 CE y, singularmente, por el principio de capacidad económica, su presencia no sólo produce efectos contrarios a los principios recogidos en ese precepto constitucional, sino que vulnera además otros principios constitucionales que se pueden considerar fundamento del mismo, al no darse un trato desigual a rentas personales o familiares en función del nivel de dichas rentas, lo que contraría los arts. 9.2 (condiciones para una igualdad real y efectiva), 10.1 (dignidad de la persona y libre desarrollo de la personalidad, patrimonial y profesional) y 39 (protección integral de los hijos y de la familia), todos ellos de la CE.</w:t>
      </w:r>
    </w:p>
    <w:p w:rsidR="00D06117" w:rsidRDefault="00D06117" w:rsidP="00D06117">
      <w:pPr>
        <w:pStyle w:val="TextoNormal"/>
      </w:pPr>
    </w:p>
    <w:p w:rsidR="00D06117" w:rsidRDefault="00D06117" w:rsidP="00D06117">
      <w:pPr>
        <w:pStyle w:val="TextoNormal"/>
      </w:pPr>
      <w:r>
        <w:t>b) En segundo lugar, consideran los Diputados recurrentes que el tratamiento fiscal que se confiere a los seguros en los arts. 17.2 c) y d), y 24.2 b) y c), y, por conexión, en las disposiciones transitorias sexta y séptima, resulta contraria al principio de igualdad. Al objeto de evidenciar la inconstitucionalidad que se denuncia, comienzan señalando que la Ley 40/1998, en materia de rentas irregulares, opta, en general, por el establecimiento de una reducción del 30 por 100 al objeto de cuantificar el rendimiento neto imputable a este tipo de rendimiento, porcentaje de reducción que, sin embargo, no se aplica a las prestaciones provenientes de contratos de seguros donde, en determinados supuestos y modalidades, las reducciones pueden llegar hasta el 70 por 100. Es este diverso tratamiento que se otorga a los rendimientos procedentes de un determinado instrumento o negocio jurídico, como son los seguros, frente a los restantes rendimientos de trabajo o del capital, el que se considera contrario a la Constitución.</w:t>
      </w:r>
    </w:p>
    <w:p w:rsidR="00D06117" w:rsidRDefault="00D06117" w:rsidP="00D06117">
      <w:pPr>
        <w:pStyle w:val="TextoNormal"/>
      </w:pPr>
    </w:p>
    <w:p w:rsidR="00D06117" w:rsidRDefault="00D06117" w:rsidP="00D06117">
      <w:pPr>
        <w:pStyle w:val="TextoNormal"/>
      </w:pPr>
      <w:r>
        <w:t>Comenzando por el tratamiento que se confiere a los seguros en el ámbito de los rendimientos del trabajo, los recurrentes inician su argumentación enumerando las prestaciones que proviniendo de sistemas públicos y privados de previsión reciben esta calificación de conformidad con el art. 16.2 a) de la Ley 40/1998. Y a este respecto hacen constar que, tal y como se deduce del art. 17.2 de la Ley, en relación con las prestaciones por jubilación o invalidez percibidas en forma de capital, que deban calificarse como rendimiento del trabajo ex art. 16.2 a), existen dos tratamientos fiscales diferentes: el general, donde se aplica una reducción del 40 por 100 (las abonadas, por ejemplo, por regímenes públicos), y uno especial, donde las reducciones pueden llegar hasta el 70 por 100, que se diferencia por la naturaleza de la entidad pagadora, esto es, si es una entidad de seguros, con exclusión de las mutualidades de previsión social. A juicio de los recurrentes, nos encontramos, por tanto, ante rentas de idéntica naturaleza (prestaciones por jubilación o incapacidad percibidas en forma de capital), diferenciadas no obstante en función de quién sea la persona o entidad que abone el rendimiento.</w:t>
      </w:r>
    </w:p>
    <w:p w:rsidR="00D06117" w:rsidRDefault="00D06117" w:rsidP="00D06117">
      <w:pPr>
        <w:pStyle w:val="TextoNormal"/>
      </w:pPr>
    </w:p>
    <w:p w:rsidR="00D06117" w:rsidRDefault="00D06117" w:rsidP="00D06117">
      <w:pPr>
        <w:pStyle w:val="TextoNormal"/>
      </w:pPr>
      <w:r>
        <w:t>Este tratamiento desigual resultaría especialmente significativo en los supuestos de aplicación de la letra e) del apartado 2 del art. 17, que prevé expresamente que las reducciones a que se refiere dicho apartado no se aplicarán a las prestaciones a que se refiere el art. 16.2 a) cuando las contribuciones empresariales imputadas reduzcan la base imponible, de acuerdo con el art. 46.1 de la Ley. Aunque la interpretación del precepto no es clara, de su literalidad podría entenderse “que sólo las cantidades que no reduzcan la base imponible, esto es, las que se aporten por los empresarios a determinados sistemas alternativos (contratos de seguros colectivos) podrán ser objeto de la aplicación de los coeficientes reductores, y no cuando se trate de contribuciones empresariales imputadas que reduzcan la base imponible en concepto de aportaciones a planes de pensiones o mutualidades de previsión social”, tratamiento desigual que, según se subraya, resultaría significativo.</w:t>
      </w:r>
    </w:p>
    <w:p w:rsidR="00D06117" w:rsidRDefault="00D06117" w:rsidP="00D06117">
      <w:pPr>
        <w:pStyle w:val="TextoNormal"/>
      </w:pPr>
    </w:p>
    <w:p w:rsidR="00D06117" w:rsidRDefault="00D06117" w:rsidP="00D06117">
      <w:pPr>
        <w:pStyle w:val="TextoNormal"/>
      </w:pPr>
      <w:r>
        <w:t>Lo mismo sucedería con el tratamiento de los seguros en el ámbito de los rendimientos del capital mobiliario, en los cuales también se produce, a su juicio, una discriminación efectiva y relevante, según que las mismas sean consecuencia o no de la existencia de una relación aseguradora, por lo que resultan aplicables las consideraciones y concretas infracciones que se alegan en relación con los rendimientos del trabajo personal.</w:t>
      </w:r>
    </w:p>
    <w:p w:rsidR="00D06117" w:rsidRDefault="00D06117" w:rsidP="00D06117">
      <w:pPr>
        <w:pStyle w:val="TextoNormal"/>
      </w:pPr>
    </w:p>
    <w:p w:rsidR="00D06117" w:rsidRDefault="00D06117" w:rsidP="00D06117">
      <w:pPr>
        <w:pStyle w:val="TextoNormal"/>
      </w:pPr>
      <w:r>
        <w:t>Finalmente, se refieren los demandantes a la posibilidad de que las medidas expuestas tengan como fundamento no tanto favorecer a los seguros privados cuanto proteger al presupuesto del Estado de un carga excesiva de prestaciones sociales, posibilidad ésta que entienden asimismo inadmisible.</w:t>
      </w:r>
    </w:p>
    <w:p w:rsidR="00D06117" w:rsidRDefault="00D06117" w:rsidP="00D06117">
      <w:pPr>
        <w:pStyle w:val="TextoNormal"/>
      </w:pPr>
    </w:p>
    <w:p w:rsidR="00D06117" w:rsidRDefault="00D06117" w:rsidP="00D06117">
      <w:pPr>
        <w:pStyle w:val="TextoNormal"/>
      </w:pPr>
      <w:r>
        <w:t>Por todo ello, consideran los recurrentes que los arts. 17.2 c) y d), y 24.2 b) y c) y, por conexión, las disposiciones transitorias sexta y séptima de la Ley 40/1998, de 9 de diciembre, resultan contrarios a lo dispuesto en el art. 31.1 CE.</w:t>
      </w:r>
    </w:p>
    <w:p w:rsidR="00D06117" w:rsidRDefault="00D06117" w:rsidP="00D06117">
      <w:pPr>
        <w:pStyle w:val="TextoNormal"/>
      </w:pPr>
    </w:p>
    <w:p w:rsidR="00D06117" w:rsidRDefault="00D06117" w:rsidP="00D06117">
      <w:pPr>
        <w:pStyle w:val="TextoNormal"/>
      </w:pPr>
      <w:r>
        <w:t xml:space="preserve">c) La tercera causa de inconstitucionalidad que se aduce en el recurso tiene por objeto la tributación a tipo fijo y único de las ganancias y pérdidas patrimoniales establecida en los arts. 39, 48, 53 y 63 y, por conexión, en la disposición transitoria quinta apartado 2. Reiteran así los recurrentes una de las causas de impugnación que en su día alegaron 50 Diputados pertenecientes al Grupo Parlamentario Socialista en el recurso interpuesto contra el Real Decreto-ley 7/1996, de 7 de junio, en el que se mantenía que tal tributación a tipo fijo y único incurría en inconstitucionalidad por infracción de los principios de igualdad, progresividad y capacidad económica (art. 31.1 CE) y se advertía que, cualquiera que fuera el instrumento normativo utilizado, la causa de inconstitucionalidad perduraría y daría lugar nuevamente a la oposición de los recurrentes. Esto sentado consideran los recurrentes que los principios constitucionales afectados por los preceptos objeto de impugnación son los de igualdad, capacidad y progresividad, y es que, al decir de la parte actora, en el caso de la regulación de las ganancias y pérdidas patrimoniales por la Ley 40/1998 se origina un efecto contrario al que este Tribunal “deduce de aplicar un tratamiento con ‘una cierta desigualdad cualitativa’, ya que: 1º) se produce una desigualdad entre estas rentas y el resto de fuentes gravadas por IRPF; 2º) la progresividad desaparece al establecerse un tipo de gravamen proporcional; 3º) el principio de capacidad se abandona porque no se va a buscar la riqueza real en donde se encuentra; y 4º) resultan aplicables a este tipo de rentas, sin limitación, también el mínimo personal y familiar, con las consecuencias que, en la pérdida de progresividad, ya han sido expuestas” previamente. Y así llegan a la conclusión de que se produce </w:t>
      </w:r>
      <w:r>
        <w:lastRenderedPageBreak/>
        <w:t>un resultado “especialmente gravoso o desmedido” en el reparto de la carga tributaria para el sostenimiento de los gastos públicos entre los contribuyentes por obligación personal del IRPF.</w:t>
      </w:r>
    </w:p>
    <w:p w:rsidR="00D06117" w:rsidRDefault="00D06117" w:rsidP="00D06117">
      <w:pPr>
        <w:pStyle w:val="TextoNormal"/>
      </w:pPr>
    </w:p>
    <w:p w:rsidR="00D06117" w:rsidRDefault="00D06117" w:rsidP="00D06117">
      <w:pPr>
        <w:pStyle w:val="TextoNormal"/>
      </w:pPr>
      <w:r>
        <w:t>Al objeto de profundizar en la inconstitucionalidad que denuncian, los demandantes aclaran que la impugnación del régimen de tributación de las ganancias y pérdidas patrimoniales se centra en aquellas que se ponen de manifiesto con ocasión de transmisiones de elementos patrimoniales adquiridos con más de dos años de antelación. Pues bien, a juicio de los recurrentes, se infringe el principio de capacidad económica “al dar el mismo tratamiento en la determinación de la base imponible y en la de la cuota líquida del impuesto a contribuyentes que tributarán al tipo progresivo de la tarifa frente a sujetos que sólo verán gravados sus rendimientos, o parte de los mismos, con el tipo fijo del 20 por 100”; y se infringe igualmente el principio de progresividad “al considerar posible y compatible, al mismo tiempo, la aplicación de normas establecidas para una tarifa progresiva con el gravamen único de determinadas fuentes de renta”. Por todo ello, se estima en el recurso que los artículos 39, 48, 53 y 63 y, por conexión, la disposición transitoria quinta apartado 2, de la Ley 40/1998, de 9 de diciembre, han incurrido en inconstitucionalidad por infracción de los principios de igualdad, progresividad y capacidad económica establecidos en el art. 31.1 CE.</w:t>
      </w:r>
    </w:p>
    <w:p w:rsidR="00D06117" w:rsidRDefault="00D06117" w:rsidP="00D06117">
      <w:pPr>
        <w:pStyle w:val="TextoNormal"/>
      </w:pPr>
    </w:p>
    <w:p w:rsidR="00D06117" w:rsidRDefault="00D06117" w:rsidP="00D06117">
      <w:pPr>
        <w:pStyle w:val="TextoNormal"/>
      </w:pPr>
      <w:r>
        <w:t>d) En cuarto lugar, se recurre el régimen tributario de determinadas rentas en especie. En particular, el previsto en el art. 43.2 f), precepto en virtud del cual no tienen la consideración de renta en especie las primas o cuotas satisfechas por el empresario a las entidades aseguradoras para la cobertura de la enfermedad del trabajador, y el establecido en el art. 44.1.1 a), en el que se disponen las reglas de valoración de la renta en especie consistente en la utilización de vivienda y la cuantía máxima de dicha valoración.</w:t>
      </w:r>
    </w:p>
    <w:p w:rsidR="00D06117" w:rsidRDefault="00D06117" w:rsidP="00D06117">
      <w:pPr>
        <w:pStyle w:val="TextoNormal"/>
      </w:pPr>
    </w:p>
    <w:p w:rsidR="00D06117" w:rsidRDefault="00D06117" w:rsidP="00D06117">
      <w:pPr>
        <w:pStyle w:val="TextoNormal"/>
      </w:pPr>
      <w:r>
        <w:t>En relación con el primero de estos preceptos señalan los recurrentes que al excluir de la consideración de renta en especie las primas satisfechas por el empresario a las entidades aseguradoras para la cobertura de la enfermedad del trabajador, se confiere un tratamiento claramente favorable a la contratación de prestaciones con entidades de seguros médicos, dado el beneficio fiscal que de la misma se obtiene: no es renta para el perceptor y constituye gasto deducible para la persona o entidad pagadora.</w:t>
      </w:r>
    </w:p>
    <w:p w:rsidR="00D06117" w:rsidRDefault="00D06117" w:rsidP="00D06117">
      <w:pPr>
        <w:pStyle w:val="TextoNormal"/>
      </w:pPr>
    </w:p>
    <w:p w:rsidR="00D06117" w:rsidRDefault="00D06117" w:rsidP="00D06117">
      <w:pPr>
        <w:pStyle w:val="TextoNormal"/>
      </w:pPr>
      <w:r>
        <w:t>Respecto del art. 44.1.1 a), consideran los recurrentes que también incurre en inconstitucionalidad, pero esta vez por vulneración del principio de capacidad económica establecido en el art. 31.1 CE. Este precepto, relativo a la renta en especie consistente en la utilización de vivienda, limita su valoración, en todos los supuestos, a la imputación de un determinado porcentaje de su valor catastral (10 ó 5 por 100), y al 10 por 100 de las restantes contraprestaciones del trabajo del contribuyente. Con ello se producen dos claros efectos: de un lado, el perceptor ve como, sin razón aparente, se limitan a efectos del IRPF sus retribuciones, o parte de las mismas, que quedan exentas de tributación y, de otro lado, dicha forma de remuneración sigue siendo conveniente para el pagador del rendimiento, pues, calificada como retribución en especie, el importe íntegro del gasto resulta deducible del impuesto personal que le corresponda (IRPF o impuesto sobre sociedades). De este modo, la limitación, incondicionada y en todos los casos, del rendimiento a imputar a la cifra máxima del 10 por 100 de las restantes contraprestaciones del contribuyente, incluso cuando el coste para el pagador sea fácilmente determinable por existir una relación arrendaticia, infringe el principio de capacidad económica establecido en el art. 31.1 CE.</w:t>
      </w:r>
    </w:p>
    <w:p w:rsidR="00D06117" w:rsidRDefault="00D06117" w:rsidP="00D06117">
      <w:pPr>
        <w:pStyle w:val="TextoNormal"/>
      </w:pPr>
    </w:p>
    <w:p w:rsidR="00D06117" w:rsidRDefault="00D06117" w:rsidP="00D06117">
      <w:pPr>
        <w:pStyle w:val="TextoNormal"/>
      </w:pPr>
      <w:r>
        <w:t>e) En quinto lugar, consideran los demandantes contrario a la Constitución, en concreto, contrario a los principios de igualdad y capacidad económica, el régimen de compensaciones por deducciones en adquisición y arrendamiento de vivienda que se articula en la disposición transitoria cuarta de la Ley 40/1998 a favor de los contribuyentes que hubieran adquirido su vivienda habitual con anterioridad al 4 de mayo de 1998 y tuvieran derecho a la deducción por adquisición de vivienda, así como de los contribuyentes con derecho a la deducción por alquiler de vivienda por razón de contrato de antigüedad anterior al 24 de abril de 1998, que mantuvieran el sistema de arrendamiento para su vivienda habitual. Los primeros, de conformidad con la disposición recurrida, recibirán una compensación económica a determinar por la Ley de presupuestos generales del Estado, en el supuesto de que la aplicación del régimen establecido en la Ley 40/1998 para dicha reducción les resultara menos favorable que el regulado en la Ley 18/1991, de 6 de junio; y los segundos, tendrían derecho asimismo a una compensación en el caso de que la Ley 40/1998 les fuera menos ventajosa que su precursora —la Ley 18/1991—, como consecuencia de la no aplicación de la mencionada deducción por alquiler.</w:t>
      </w:r>
    </w:p>
    <w:p w:rsidR="00D06117" w:rsidRDefault="00D06117" w:rsidP="00D06117">
      <w:pPr>
        <w:pStyle w:val="TextoNormal"/>
      </w:pPr>
    </w:p>
    <w:p w:rsidR="00D06117" w:rsidRDefault="00D06117" w:rsidP="00D06117">
      <w:pPr>
        <w:pStyle w:val="TextoNormal"/>
      </w:pPr>
      <w:r>
        <w:t>En relación con estas previsiones precisan los recurrentes que ni se recurre la eficacia retroactiva que la Ley 40/1998 pudiera tener en este caso concreto, ni la posibilidad del ordenamiento jurídico para introducir cambios que se estimen necesarios en el tratamiento de las situaciones de los contribuyentes. Dicho esto, a su juicio, resulta claro que en la Ley 40/1998 se abre una brecha entre los adquirentes de vivienda con anterioridad al 4 de mayo de 1998 y arrendatarios de vivienda con anterioridad al 24 de abril de 1998, y los adquirentes y arrendatarios de vivienda con posterioridad a tales fechas; ambas categorías de contribuyentes pueden manifestar idéntica capacidad económica y, sin embargo, tener un muy dispar nivel de tributación efectiva.</w:t>
      </w:r>
    </w:p>
    <w:p w:rsidR="00D06117" w:rsidRDefault="00D06117" w:rsidP="00D06117">
      <w:pPr>
        <w:pStyle w:val="TextoNormal"/>
      </w:pPr>
    </w:p>
    <w:p w:rsidR="00D06117" w:rsidRDefault="00D06117" w:rsidP="00D06117">
      <w:pPr>
        <w:pStyle w:val="TextoNormal"/>
      </w:pPr>
      <w:r>
        <w:t>En definitiva, en tanto que la disposición transitoria cuarta de la Ley dé lugar a una desigualdad entre contribuyentes que manifiestan idéntica capacidad económica, carente de la suficiente justificación objetiva y razonable, resulta contraria a los principios de igualdad y capacidad económica contenidos en el art. 31.1 CE.</w:t>
      </w:r>
    </w:p>
    <w:p w:rsidR="00D06117" w:rsidRDefault="00D06117" w:rsidP="00D06117">
      <w:pPr>
        <w:pStyle w:val="TextoNormal"/>
      </w:pPr>
    </w:p>
    <w:p w:rsidR="00D06117" w:rsidRDefault="00D06117" w:rsidP="00D06117">
      <w:pPr>
        <w:pStyle w:val="TextoNormal"/>
      </w:pPr>
      <w:r>
        <w:t>Hasta aquí las tachas de inconstitucionalidad que los recurrentes encuentran en la Ley 40/1998 por vulneración de los principios materiales de justicia tributaria contenidos en el art. 31.1 CE.</w:t>
      </w:r>
    </w:p>
    <w:p w:rsidR="00D06117" w:rsidRDefault="00D06117" w:rsidP="00D06117">
      <w:pPr>
        <w:pStyle w:val="TextoNormal"/>
      </w:pPr>
    </w:p>
    <w:p w:rsidR="00D06117" w:rsidRDefault="00D06117" w:rsidP="00D06117">
      <w:pPr>
        <w:pStyle w:val="TextoNormal"/>
      </w:pPr>
      <w:r>
        <w:t>A continuación, se aduce la inconstitucionalidad de diversos preceptos de la Ley por violación del principio de seguridad jurídica contenido en el art. 9.3 CE.</w:t>
      </w:r>
    </w:p>
    <w:p w:rsidR="00D06117" w:rsidRDefault="00D06117" w:rsidP="00D06117">
      <w:pPr>
        <w:pStyle w:val="TextoNormal"/>
      </w:pPr>
    </w:p>
    <w:p w:rsidR="00D06117" w:rsidRDefault="00D06117" w:rsidP="00D06117">
      <w:pPr>
        <w:pStyle w:val="TextoNormal"/>
      </w:pPr>
      <w:r>
        <w:t xml:space="preserve">a) La primera de las disposiciones impugnadas es el art. 81, apartados 1 a 3, de la Ley 40/1998, en la que se establece la obligación de declarar y se articula un nuevo procedimiento para las devoluciones tributarias de aquellos contribuyentes no obligados a presentar declaración. Conforme a dicho procedimiento la Administración tributaria no viene obligada a practicar liquidación alguna, debiendo comunicar al sujeto pasivo únicamente, a efectos meramente informativos, el resultado de los cálculos efectuados, de manera que aquellos contribuyentes que quieran conocer con certeza su situación tributaria, deberán solicitar expresamente de la Administración que les practique y notifique la correspondiente liquidación. Asimismo estiman los demandantes que el precepto recurrido introduce otra </w:t>
      </w:r>
      <w:r>
        <w:lastRenderedPageBreak/>
        <w:t>incertidumbre, pues del mismo no se deduce claramente si estos contribuyentes podrán presentar declaración por el impuesto o, caso de pretenderse una devolución, el procedimiento será sólo el indicado.</w:t>
      </w:r>
    </w:p>
    <w:p w:rsidR="00D06117" w:rsidRDefault="00D06117" w:rsidP="00D06117">
      <w:pPr>
        <w:pStyle w:val="TextoNormal"/>
      </w:pPr>
    </w:p>
    <w:p w:rsidR="00D06117" w:rsidRDefault="00D06117" w:rsidP="00D06117">
      <w:pPr>
        <w:pStyle w:val="TextoNormal"/>
      </w:pPr>
      <w:r>
        <w:t>De entre esas circunstancias, se centran los demandantes en la primera de ellas. Consideran, en concreto, que en el esquema del art. 81 es posible la fijación y cuantificación de las obligaciones tributarias de los contribuyentes sin la existencia previa de un acto de liquidación, lo que es indicativo, por sí mismo, de la arbitrariedad e inseguridad jurídica que del mismo puede derivarse.</w:t>
      </w:r>
    </w:p>
    <w:p w:rsidR="00D06117" w:rsidRDefault="00D06117" w:rsidP="00D06117">
      <w:pPr>
        <w:pStyle w:val="TextoNormal"/>
      </w:pPr>
    </w:p>
    <w:p w:rsidR="00D06117" w:rsidRDefault="00D06117" w:rsidP="00D06117">
      <w:pPr>
        <w:pStyle w:val="TextoNormal"/>
      </w:pPr>
      <w:r>
        <w:t>En suma, a juicio de los recurrentes, el precepto impugnado introduce, de forma notoria y evidente, un grado de inseguridad jurídica inaceptable, contrario a las exigencias que dimanan del art. 9.3 CE.</w:t>
      </w:r>
    </w:p>
    <w:p w:rsidR="00D06117" w:rsidRDefault="00D06117" w:rsidP="00D06117">
      <w:pPr>
        <w:pStyle w:val="TextoNormal"/>
      </w:pPr>
    </w:p>
    <w:p w:rsidR="00D06117" w:rsidRDefault="00D06117" w:rsidP="00D06117">
      <w:pPr>
        <w:pStyle w:val="TextoNormal"/>
      </w:pPr>
      <w:r>
        <w:t>b) El segundo de los preceptos que consideran que vulnera el principio de seguridad jurídica reconocido en el art. 9.3 CE es la disposición transitoria cuarta de la Ley, relativa a las compensaciones por deducciones en adquisición y arrendamiento de vivienda. En efecto, dicha disposición “anuncia” determinadas compensaciones, pero sin contener ninguna regulación significativa de las mismas, y remitiendo a una futura ley de presupuestos su concreción, de modo que el texto de la disposición recurrida —concluyen los demandantes— genera en sus destinatarios una incertidumbre insuperable acerca de la previsibilidad de sus efectos, circunstancia que se ha venido tomando reiteradamente en consideración por la doctrina constitucional para deducir la infracción del principio de seguridad jurídica.</w:t>
      </w:r>
    </w:p>
    <w:p w:rsidR="00D06117" w:rsidRDefault="00D06117" w:rsidP="00D06117">
      <w:pPr>
        <w:pStyle w:val="TextoNormal"/>
      </w:pPr>
    </w:p>
    <w:p w:rsidR="00D06117" w:rsidRDefault="00D06117" w:rsidP="00D06117">
      <w:pPr>
        <w:pStyle w:val="TextoNormal"/>
      </w:pPr>
      <w:r>
        <w:t>En la última parte del recurso de inconstitucionalidad defienden los recurrentes que algunos preceptos de la Ley 40/1998 son inconstitucionales por vulneración del art. 149.3 CE y de ciertas disposiciones adicionales de varios Estatutos de Autonomía, concretamente, de las disposiciones adicionales segunda apartado 3 (Estatuto de Autonomía de Aragón), tercera (Estatuto de Autonomía del Principado de Asturias), tercera apartado 2 (Estatuto de Autonomía de Illes Balears), segunda apartado 2 (Estatuto de Autonomía de Canarias), tercera (Estatuto de Autonomía de Cantabria), primera apartado 3 (Estatuto de Autonomía de Castilla y León), sexta apartado 3 (Estatuto de Autonomía de Cataluña), primera apartado 3 (Estatuto de Autonomía de Galicia), primera apartado 3 (Estatuto de Autonomía de La Rioja), primera apartado 2 (Estatuto de Autonomía de la Región de Murcia) y primera apartado 3 (Estatuto de Autonomía de la Comunidad de Madrid), así como el art. 52.5 (Estatuto de Autonomía de la Comunitat Valenciana). A este respecto se comienza dejando claro que no se está impugnando el modelo de financiación que arranca del acuerdo del Consejo de Política Fiscal y Financiera de 23 de septiembre de 1996 para el quinquenio 1997-2001, sino una ley estatal que, en desarrollo complementario de las que regulan el sistema de financiación, infringe tanto el art. 149.3 CE (sobre la supletoriedad del derecho estatal) como preceptos de distintos Estatutos de Autonomía, por cuanto que la Ley 40/1998 supone la modificación de las condiciones de cesión sin que para ello se haya seguido el procedimiento constitucionalmente exigible. Concretamente, en opinión de los recurrentes son dos las causas de inconstitucionalidad en las que incurren los arts. 61 y 64 y, por conexión, los arts. 58 y 60, de la nueva Ley del IRPF. No obstante, antes de abordar estas últimas se efectúa en el recurso una referencia previa al concepto constitucional de impuesto cedido del art. 157.1 a) CE al que las impugnaciones van dirigidas.</w:t>
      </w:r>
    </w:p>
    <w:p w:rsidR="00D06117" w:rsidRDefault="00D06117" w:rsidP="00D06117">
      <w:pPr>
        <w:pStyle w:val="TextoNormal"/>
      </w:pPr>
    </w:p>
    <w:p w:rsidR="00D06117" w:rsidRDefault="00D06117" w:rsidP="00D06117">
      <w:pPr>
        <w:pStyle w:val="TextoNormal"/>
      </w:pPr>
      <w:r>
        <w:lastRenderedPageBreak/>
        <w:t>De acuerdo con los recurrentes, en el modelo de la “corresponsabilidad fiscal efectiva” de septiembre de 1996 se acuña un nuevo concepto de tributo cedido de características diferentes al articulado en la Ley Orgánica de financiación de las Comunidades Autónomas (LOFCA) de 1980 y que a efectos del IRPF supone la aparición de la competencia normativa que abarca parcialmente a elementos cuantitativos (escala de tipos de gravamen) y cualitativos (deducciones), la reserva en exclusiva al Estado de la competencia para la gestión y la atribución a las Comunidades Autónomas de un determinado porcentaje de la recaudación (en el caso del IRPF, hasta un 30 por 100).</w:t>
      </w:r>
    </w:p>
    <w:p w:rsidR="00D06117" w:rsidRDefault="00D06117" w:rsidP="00D06117">
      <w:pPr>
        <w:pStyle w:val="TextoNormal"/>
      </w:pPr>
    </w:p>
    <w:p w:rsidR="00D06117" w:rsidRDefault="00D06117" w:rsidP="00D06117">
      <w:pPr>
        <w:pStyle w:val="TextoNormal"/>
      </w:pPr>
      <w:r>
        <w:t>Pues bien, consideran los recurrentes que las Comunidades Autónomas que asumieron el modelo de financiación de la corresponsabilidad fiscal efectiva y modificaron incluso sus Estatutos de Autonomía para dar entrada a esta competencia normativa en el IRPF, tendrán que depender de sus propias decisiones legislativas en la materia, encontrándose el Estado a partir de este momento ayuno de título competencial para hacerlo en este concreto ámbito, de lo que se deriva la consecuencia de que, por contrarias al art. 149.3 CE, hay que considerar “viciadas de incompetencia y, por ello, nulas las normas que el Estado dicte con el único propósito de crear Derecho supletorio del de las Comunidades Autónomas en materias que sean de exclusiva competencia de éstas” (STC 147/1991, FJ 7).</w:t>
      </w:r>
    </w:p>
    <w:p w:rsidR="00D06117" w:rsidRDefault="00D06117" w:rsidP="00D06117">
      <w:pPr>
        <w:pStyle w:val="TextoNormal"/>
      </w:pPr>
    </w:p>
    <w:p w:rsidR="00D06117" w:rsidRDefault="00D06117" w:rsidP="00D06117">
      <w:pPr>
        <w:pStyle w:val="TextoNormal"/>
      </w:pPr>
      <w:r>
        <w:t>Finalmente se refieren los recurrentes a la modificación de las deducciones cedidas sin haberse observado el procedimiento constitucional y estatutariamente establecido. Y a este respecto hacen constar que en el art. 64.1 b) de la nueva Ley del IRPF se establece la deducción de la cuota íntegra autonómica de las “deducciones establecidas por la Comunidad Autónoma en el ejercicio de las competencias previstas en la Ley 14/1996, de 30 de diciembre”. En dicho artículo, apartado uno.1 b), se transfiere la competencia para regular las “deducciones por circunstancias personales y familiares, por inversiones no empresariales y por aplicación de renta” con una serie de condiciones. Pues bien, por lo que respecta a las “deducciones personales y familiares”, consideran los demandantes que esa competencia autonómica desaparece por la Ley 40/1998 al haber desaparecido de la estructura del impuesto (art. 55) las deducciones personales y familiares que se han subsumido en el “mínimo personal y familiar” para cuya regulación no son competentes las Comunidades Autónomas, según determina el art. 58 de la Ley que, en esa medida y por conexión, deberá ser igualmente declarado inconstitucional. Y la inconstitucionalidad deriva de que la modificación de los términos de la cesión de esta competencia no ha sido objeto del acuerdo bilateral imprescindible entre el Estado y las correspondientes Comunidades Autónomas que la tenían asumida. Por lo expuesto, consideran que los artículos 61 y 64 y, por conexión, los artículos 58 y 60 de la Ley 40/1988 son contrarios al artículo 149.3 CE y a las distintas disposiciones adicionales de los Estatutos de Autonomía citados.</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Por providencia de 23 de marzo de 1999, la Sección Tercera de este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Ministerio de Justicia, al objeto de que, en el plazo de quince días, pudieran personarse en el proceso y formular las alegaciones que estimaren convenientes, oír a las partes sobre la posible acumulación del presente recurso con el recurso de inconstitucionalidad núm. 1030-1999, interpuesto por la Junta de Andalucía, </w:t>
      </w:r>
      <w:r>
        <w:lastRenderedPageBreak/>
        <w:t>sobre la misma materia, y, finalmente, publicar la incoación del recurso en el “Boletín Oficial del Estado” (que se llevó a efecto en el “Boletín Oficial del Estado” núm. 82, de 6 de abril de 1999).</w:t>
      </w:r>
    </w:p>
    <w:p w:rsidR="00D06117" w:rsidRDefault="00D06117" w:rsidP="00D06117">
      <w:pPr>
        <w:pStyle w:val="TextoNormal"/>
      </w:pPr>
    </w:p>
    <w:p w:rsidR="00D06117" w:rsidRDefault="00D06117" w:rsidP="00D06117">
      <w:pPr>
        <w:pStyle w:val="TextoNormal"/>
      </w:pPr>
      <w:r w:rsidRPr="00D06117">
        <w:rPr>
          <w:rStyle w:val="NumeroAFNegritaCaracter"/>
        </w:rPr>
        <w:t>4</w:t>
      </w:r>
      <w:r>
        <w:t>. El 7 de abril de 1999 tuvo entrada en el Registro General un escrito del Abogado del Estado, en la representación del Gobierno que legalmente ostenta, por el cual solicitaba se le tuviera por personado en el presente recurso de inconstitucionalidad y se le concediese prórroga del plazo inicialmente otorgado para formular alegaciones por ocho días más.</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13 de abril de 1999 la Sección Tercera del Tribunal Constitucional acordó incorporar a las actuaciones el escrito presentado por el Abogado del Estado, concediéndosele una prorroga en ocho días en el plazo acordado para formular alegaciones, a contar desde el siguiente al de la expiración del ordinario.</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del Presidente del Congreso de los Diputados, que tuvo entrada en el Registro de este Tribunal el día 13 de abril de 1999, comunicaba a este Tribunal el acuerdo de la Mesa de dicha Cámara en el sentido de que, aun cuando no se personaría en el procedimiento ni formularía alegaciones, ponía a disposición de este Tribunal las actuaciones de la Cámara que pudiera precisar, remitiendo a estos efectos a la Dirección de estudios y documentación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en este Tribunal el día 15 de abril de 1999, don Roberto Granizo Palomeque, en nombre y representación de los Diputados del Grupo Parlamentario Socialista recurrentes, puso de manifiesto la ausencia de los presupuestos que, conforme al art. 83 LOTC, justificarían la acumulación del presente recurso con el registrado bajo el núm. 1030-1999, dado que, pese a que en este último se impugnan igualmente los arts. 58, 60, 61, 62, 63 y 64 de la Ley 40/1998, de 9 de diciembre, el presente recurso de inconstitucionalidad se basa en argumentos y fundamentos distintos de los alegados en el recurso 1030-1999 y se dirige, principalmente, contra otros aspectos de la Ley 40/1998.</w:t>
      </w:r>
    </w:p>
    <w:p w:rsidR="00D06117" w:rsidRDefault="00D06117" w:rsidP="00D06117">
      <w:pPr>
        <w:pStyle w:val="TextoNormal"/>
      </w:pPr>
    </w:p>
    <w:p w:rsidR="00D06117" w:rsidRDefault="00D06117" w:rsidP="00D06117">
      <w:pPr>
        <w:pStyle w:val="TextoNormal"/>
      </w:pPr>
      <w:r w:rsidRPr="00D06117">
        <w:rPr>
          <w:rStyle w:val="NumeroAFNegritaCaracter"/>
        </w:rPr>
        <w:t>8</w:t>
      </w:r>
      <w:r>
        <w:t>. El 22 de abril de 1999 se presentó en el Registro de este Tribunal un escrito de la Presidenta del Senado en el que se comunicaba el acuerdo de la Mesa de dicha Cámara de solicitar que se tuviera a la misma por personada en este procedimiento, y de ofrecer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El día 26 de abril de 1999 tuvo entrada en el Registro de este Tribunal el escrito de alegaciones del Abogado del Estado. En dicho escrito el representante del Estado comienza examinando la constitucionalidad de los artículos 2.2, 15.1, 40, 51 y 62 relativos todos ellos al denominado mínimo personal y familiar. Tras denunciar, con carácter general, que los recurrentes incurren en el vicio que tratan de evitar, a saber, efectuar juicios comparativos de conveniencia y oportunidad de las técnicas legislativas empleadas en las diversas leyes reguladoras del IRPF, se pronuncia sobre la cuestión que constituye la principal tacha de inconstitucionalidad que se invoca en el recurso: la opción legal por un sistema en el que las circunstancias personales y familiares reduzcan la cuantía de la base imponible del impuesto y no la cuota. De acuerdo con el Abogado del Estado, las conclusiones alcanzadas por los recurrentes en la demanda derivan de la realización de un juicio comparativo entre </w:t>
      </w:r>
      <w:r>
        <w:lastRenderedPageBreak/>
        <w:t>los resultados de operar la deducción en la base del gravamen a practicarla sobre la cuota y parten de una concepción errónea de la progresividad (art. 31.1 CE), expresión que se entiende como evocadora de una determinada dirección práctica u orientación ideológica de las cosas que permite considerar como contraria a la Constitución cualquier desviación de ese historicismo, esto es, cualquier solución legal que resulte “menos progresiva” que la establecida en la anterior configuración positiva y es precisamente este planteamiento el que, a juicio del representante del Estado, lleva a postular en la demanda la descalificación jurídico-constitucional de la regulación legal del mínimo personal y familiar. Efectuado un juicio de relatividad, los recurrentes llegan a la conclusión de que la regulación del mínimo exento en la Ley 40/1998 resulta “menos progresiva” que en su anterior configuración positiva y sostienen, en consecuencia, que resulta inconstitucional.</w:t>
      </w:r>
    </w:p>
    <w:p w:rsidR="00D06117" w:rsidRDefault="00D06117" w:rsidP="00D06117">
      <w:pPr>
        <w:pStyle w:val="TextoNormal"/>
      </w:pPr>
    </w:p>
    <w:p w:rsidR="00D06117" w:rsidRDefault="00D06117" w:rsidP="00D06117">
      <w:pPr>
        <w:pStyle w:val="TextoNormal"/>
      </w:pPr>
      <w:r>
        <w:t>Para el Abogado del Estado, en cambio, la progresividad en el ámbito tributario no significa la congelación perpetua de aquellas situaciones legales que, un juicio político o sociológico, pueda calificar de “socialmente más progresivas”, sino que representa lo contrario a la proporcionalidad: un gravamen es progresivo cuando los tipos impositivos no son simplemente proporcionales, sino que varían al alza al aumentar la base y éste es un juicio que se puede efectuar autónomamente. El único límite a las posibilidades de la progresividad sería, según la demanda, el de la no confiscación, y se concretaría en un mínimo exento común; pero las alternativas que a este respecto se proponen no pasan de ser, según el Abogado del Estado, el reflejo de una mera cuestión técnica y el resultado de “progresividad” de la fórmula que finalmente se arbitrase dependería de su precisa configuración positiva.</w:t>
      </w:r>
    </w:p>
    <w:p w:rsidR="00D06117" w:rsidRDefault="00D06117" w:rsidP="00D06117">
      <w:pPr>
        <w:pStyle w:val="TextoNormal"/>
      </w:pPr>
    </w:p>
    <w:p w:rsidR="00D06117" w:rsidRDefault="00D06117" w:rsidP="00D06117">
      <w:pPr>
        <w:pStyle w:val="TextoNormal"/>
      </w:pPr>
      <w:r>
        <w:t>Seguidamente se refiere el Abogado del Estado a la impugnación de los arts. 51 y 62 de la Ley 40/1998, a los que se les formula un reproche autónomo del derecho de igualdad, al margen de la progresión de los tipos del tributo. Se trata en este caso de la distinta regla aplicada a los contribuyentes con cargas familiares, según que el importe o cuantía de éstas resulte cifrado o no en una resolución judicial. En la demanda se supone cometida una discriminación basada en el dato de la convivencia y en perjuicio de los hijos que no conviven con el padre alimentante. A juicio del representante del Estado, en cambio, la diferencia no está en el dato de la convivencia, sino en el grado de determinación de la cuantía del gasto originado por atenciones familiares, pues en el caso de un cumplimiento espontáneo de la obligación alimenticia, el legislador tiene que partir de hipótesis medias y cálculos aproximativos, mientras que en los casos de obligaciones judicialmente declaradas parte de un dato cierto como es el importe fijado por el juez. El sistema que se arbitra es, entonces, desigual para los obligados por deber alimenticio, según haya mediado o no resolución judicial, pero esta diferencia responde a la propia esencia del impuesto y a las técnicas normativas disponibles en cada caso.</w:t>
      </w:r>
    </w:p>
    <w:p w:rsidR="00D06117" w:rsidRDefault="00D06117" w:rsidP="00D06117">
      <w:pPr>
        <w:pStyle w:val="TextoNormal"/>
      </w:pPr>
    </w:p>
    <w:p w:rsidR="00D06117" w:rsidRDefault="00D06117" w:rsidP="00D06117">
      <w:pPr>
        <w:pStyle w:val="TextoNormal"/>
      </w:pPr>
      <w:r>
        <w:t>Esto sentado, considera, finalmente, el representante del Estado que los preceptos impugnados no vulneran el art. 31.1 CE y tampoco resultan contrarios a los arts. 9.2, 10.1 y 39.2 CE, que se dicen quebrantados en la demanda, pues en relación con estos últimos preceptos debe ser el legislador “el que en cada momento configure las medidas para alcanzar esos objetivos”, y sólo podrá reconocerse que una normativa vulnera tales preceptos cuando traspase los límites que a esa acción establece la Constitución, circunstancia ésta que no se deduce que haya concurrido en las disposiciones que se enjuician.</w:t>
      </w:r>
    </w:p>
    <w:p w:rsidR="00D06117" w:rsidRDefault="00D06117" w:rsidP="00D06117">
      <w:pPr>
        <w:pStyle w:val="TextoNormal"/>
      </w:pPr>
    </w:p>
    <w:p w:rsidR="00D06117" w:rsidRDefault="00D06117" w:rsidP="00D06117">
      <w:pPr>
        <w:pStyle w:val="TextoNormal"/>
      </w:pPr>
      <w:r>
        <w:lastRenderedPageBreak/>
        <w:t>La segunda cuestión que aborda el Abogado del Estado en sus alegaciones es la constitucionalidad del tratamiento fiscal de los seguros para lo que comienza describiendo el tipo específico de seguro a que se refiere el art. 17, apartado dos, letras c) y d), de la Ley 40/1998. Y es que, de acuerdo con el representante del Estado, sólo partiendo de esta premisa resulta posible razonar y justificar por qué el resto de los supuestos previstos en dicho precepto no pueden servir como término de comparación para considerar que existe en la Ley un trato discriminatorio inconstitucional. El régimen jurídico de este seguro, que se contiene no sólo en el art. 17.2 c) y d), sino también en el art. 16.2.5 de la Ley del impuesto sobre la renta de las personas físicas y en la disposición adicional primera de la Ley de planes y fondos de pensiones, tiene unas notas características que explican el tratamiento fiscal específico que la Ley 40/1998 establece para la misma: ahorro a largo plazo, vinculación a las relaciones laborales, carácter colectivo del mismo, carácter de ahorro finalista, e iliquidez e indisponibilidad con anterioridad al acaecimiento de las contingencias cubiertas. Además, precisa el Abogado del Estado, pese a lo defendido en la demanda, no se confiere un tratamiento peyorativo a los contratos de seguro que aparecen otorgados por las mutualidades de previsión social que, siempre que reúnan los requisitos que acaban de mencionarse, pueden acogerse al régimen fiscal específico que se impugna.</w:t>
      </w:r>
    </w:p>
    <w:p w:rsidR="00D06117" w:rsidRDefault="00D06117" w:rsidP="00D06117">
      <w:pPr>
        <w:pStyle w:val="TextoNormal"/>
      </w:pPr>
    </w:p>
    <w:p w:rsidR="00D06117" w:rsidRDefault="00D06117" w:rsidP="00D06117">
      <w:pPr>
        <w:pStyle w:val="TextoNormal"/>
      </w:pPr>
      <w:r>
        <w:t>A continuación, el Abogado del Estado se refiere al tratamiento fiscal y característico de las prestaciones que aparecen determinadas en el recurso como término de comparación y que, a su juicio, no parece que puedan servir válidamente como tal. En concreto, las pensiones de seguridad social y prestaciones similares recibidas de mutualidades generales obligatorias de funcionarios a que se refieren los ordinales primero y segundo del art. 16.2 a) de la Ley 40/1998 no pueden servir de términos de comparación en cuanto que forman parte del régimen obligatorio de la Seguridad Social, mientras que en los seguros colectivos de vida que se vienen examinando estamos ante fórmulas de previsión voluntaria, que han de ser necesariamente incentivadas desde un punto de vista fiscal. A juicio del Abogado del Estado, tampoco constituyen términos válidos de comparación las prestaciones percibidas por los beneficiarios de planes de pensiones [ordinal tercero del art. 16.2 a)], pues nos encontramos nuevamente ante instituciones jurídicas completamente diferentes, con su propia regulación sustantiva y fiscal, no susceptible de comparación parcial.</w:t>
      </w:r>
    </w:p>
    <w:p w:rsidR="00D06117" w:rsidRDefault="00D06117" w:rsidP="00D06117">
      <w:pPr>
        <w:pStyle w:val="TextoNormal"/>
      </w:pPr>
    </w:p>
    <w:p w:rsidR="00D06117" w:rsidRDefault="00D06117" w:rsidP="00D06117">
      <w:pPr>
        <w:pStyle w:val="TextoNormal"/>
      </w:pPr>
      <w:r>
        <w:t>En fin, por lo que respecta al ordinal cuarto del art. 16.2 a), relativo a las prestaciones percibidas por los beneficiarios de contratos de seguro concertados por mutualidades de previsión social en determinados casos, el precepto se refiere a las disposiciones contenidas en el art. 28.1, párrafo segundo, y en el art. 48.1, ordinales primero a tercero, de la propia Ley 40/1998, referidos todos ellos a las mutualidades de profesionales o empresarios individuales, lo que pone de manifiesto la evidente improcedencia como término de comparación a los efectos de justificar la existencia de un trato discriminatorio.</w:t>
      </w:r>
    </w:p>
    <w:p w:rsidR="00D06117" w:rsidRDefault="00D06117" w:rsidP="00D06117">
      <w:pPr>
        <w:pStyle w:val="TextoNormal"/>
      </w:pPr>
    </w:p>
    <w:p w:rsidR="00D06117" w:rsidRDefault="00D06117" w:rsidP="00D06117">
      <w:pPr>
        <w:pStyle w:val="TextoNormal"/>
      </w:pPr>
      <w:r>
        <w:t xml:space="preserve">Por los anteriores motivos, considera el Abogado del Estado que fundar en este caso, como hacen los recurrentes, la inconstitucionalidad en la doctrina contenida en la STC 134/1996 resulta de todo punto improcedente, pues no se trata, como en el supuesto enjuiciado en este pronunciamiento, de identidad de causas y discriminación de trato, sino de atribución de un trato específico a cada rendimiento dependiendo del régimen jurídico-tributario aplicable a su forma de generación, encontrándose, precisamente, la justificación de ese diferente trato en las especialidades del proceso económico que ha dado lugar al pago del rendimiento. Más bien habría que citar aquí la STC 146/1994 (FJ 5), que afirma que es </w:t>
      </w:r>
      <w:r>
        <w:lastRenderedPageBreak/>
        <w:t>constitucional un diferente trato a rentas de distinta naturaleza que sea congruente con la peculiaridad que caracteriza a cada una de ellas.</w:t>
      </w:r>
    </w:p>
    <w:p w:rsidR="00D06117" w:rsidRDefault="00D06117" w:rsidP="00D06117">
      <w:pPr>
        <w:pStyle w:val="TextoNormal"/>
      </w:pPr>
    </w:p>
    <w:p w:rsidR="00D06117" w:rsidRDefault="00D06117" w:rsidP="00D06117">
      <w:pPr>
        <w:pStyle w:val="TextoNormal"/>
      </w:pPr>
      <w:r>
        <w:t>Finalmente, y en relación también con el tratamiento fiscal de los seguros, se refiere el representante del Estado en su escrito de alegaciones a los argumentos de la impugnación del art. 24.2, letras b) y c), de la Ley 40/1998, y disposición transitoria concordante, que regula el tratamiento fiscal de los seguros de capital diferido o que otorguen prestaciones por invalidez y que, a su modo de ver, tampoco resulta inconstitucional. Una vez más considera el Abogado del Estado que, a pesar de lo que afirman los recurrentes, el resto de las reducciones previstas en el precepto no sirve como término de comparación adecuado para justificar una discriminación inconstitucional. En efecto, el apartado a) regula las reducciones de los rendimientos del capital mobiliario calificados exclusivamente por su periodo de generación, sin tomar en consideración el origen de los mismos ni otras implicaciones tributarias derivadas del modo en que se generan. En el caso de las letras b) y c) se tiene en cuenta el periodo de generación en relación con la causa de generación, que sólo puede ser o un seguro de vida o un seguro que dé lugar a prestaciones en capital de invalidez, siempre que sea distinto a los previstos en el art. 16.2 a) apartado 5 de la Ley. Trasladando mutatis mutandis los argumentos articulados anteriormente, concluye el Abogado del Estado sus alegaciones en relación con este punto señalando que es “lógico y está plenamente justificado que las prestaciones a que se refiere el art. 24.2 b) y c), en cuanto están en su generación sometidas a un régimen jurídico-tributario especial, tengan un tratamiento fiscal especial que sea acorde con éste”; tratamiento fiscal diferente que no cabe considerar que derive de la naturaleza o caracterización de la entidad pagadora de las prestaciones y que, por lo demás, tiene una justificación histórica que se remonta a la Ley 44/1978.</w:t>
      </w:r>
    </w:p>
    <w:p w:rsidR="00D06117" w:rsidRDefault="00D06117" w:rsidP="00D06117">
      <w:pPr>
        <w:pStyle w:val="TextoNormal"/>
      </w:pPr>
    </w:p>
    <w:p w:rsidR="00D06117" w:rsidRDefault="00D06117" w:rsidP="00D06117">
      <w:pPr>
        <w:pStyle w:val="TextoNormal"/>
      </w:pPr>
      <w:r>
        <w:t>Seguidamente se refiere el Abogado del Estado a la constitucionalidad de la tributación de las ganancias y pérdidas patrimoniales sometidas a un tipo fijo. En primer lugar, procede a acotar el objeto del recurso que desde su punto de vista se extiende indebidamente a los arts. 39, 48 y disposición transitoria quinta, apartado 2, pues tales preceptos se limitan a regular la integración de la llamada “parte especial de la base imponible” y su tratamiento en el tiempo si fuese negativa, ya que atendiendo a las razones alegadas para fundar la inconstitucionalidad resulta patente que ningún vicio de esta naturaleza puede encontrarse en dichas previsiones. Donde sí podría encontrarse la inconstitucionalidad, de prosperar la tesis de los recurrentes, sería en los arts. 53 y 63, en cuanto establecen un tipo fijo para la parte especial de la base constituida por las ganancias patrimoniales.</w:t>
      </w:r>
    </w:p>
    <w:p w:rsidR="00D06117" w:rsidRDefault="00D06117" w:rsidP="00D06117">
      <w:pPr>
        <w:pStyle w:val="TextoNormal"/>
      </w:pPr>
    </w:p>
    <w:p w:rsidR="00D06117" w:rsidRDefault="00D06117" w:rsidP="00D06117">
      <w:pPr>
        <w:pStyle w:val="TextoNormal"/>
      </w:pPr>
      <w:r>
        <w:t>En segundo lugar, se remite el representante del Estado, al igual que se hace en la demanda del recurso, a las alegaciones que en su día se formularon en el recurso de inconstitucionalidad que se interpuso contra el Real Decreto-ley 7/1996, que introdujo en el IRPF el establecimiento de un tipo fijo para gravar las ganancias patrimoniales, aunque recuerda, a este respecto, que en dichas alegaciones ya se puso de manifiesto que el legislador tiene capacidad para decidir en cada momento el grado de progresividad del sistema tributario y que la innovación producida por aquel real decreto-ley no privaba al sistema tributario español del carácter progresivo.</w:t>
      </w:r>
    </w:p>
    <w:p w:rsidR="00D06117" w:rsidRDefault="00D06117" w:rsidP="00D06117">
      <w:pPr>
        <w:pStyle w:val="TextoNormal"/>
      </w:pPr>
    </w:p>
    <w:p w:rsidR="00D06117" w:rsidRDefault="00D06117" w:rsidP="00D06117">
      <w:pPr>
        <w:pStyle w:val="TextoNormal"/>
      </w:pPr>
      <w:r>
        <w:t xml:space="preserve">En tercer lugar, en fin, tampoco aprecia el Abogado del Estado el trato discriminatorio que se denuncia entre las ganancias patrimoniales y las demás fuentes de renta por estar sometidas las primeras a un tipo fijo y las segundas a una escala progresiva. Y ello por </w:t>
      </w:r>
      <w:r>
        <w:lastRenderedPageBreak/>
        <w:t>cuanto la diferente naturaleza de las rentas justifica un diferente trato, y el régimen especial de tributación de las ganancias patrimoniales está plenamente justificado, tanto en la norma que lo incorporó a nuestro ordenamiento tributario como en la Ley actual del IRPF: potenciar el crecimiento económico mediante la remoción de obstáculos para la transmisión de inversiones.</w:t>
      </w:r>
    </w:p>
    <w:p w:rsidR="00D06117" w:rsidRDefault="00D06117" w:rsidP="00D06117">
      <w:pPr>
        <w:pStyle w:val="TextoNormal"/>
      </w:pPr>
    </w:p>
    <w:p w:rsidR="00D06117" w:rsidRDefault="00D06117" w:rsidP="00D06117">
      <w:pPr>
        <w:pStyle w:val="TextoNormal"/>
      </w:pPr>
      <w:r>
        <w:t>Siguiendo el orden de las alegaciones efectuadas por los recurrentes, se refiere a continuación el Abogado del Estado a la constitucionalidad del régimen de determinadas rentas en especie, diferenciando entre la no consideración como renta en especie de las primas o cuotas satisfechas a entidades aseguradoras para la cobertura de enfermedad del trabajador y la constitucionalidad del régimen tributario de la renta en especie consistente en la utilización de vivienda. Por lo que se refiere a la primera, subraya que el enfoque que se le da en la demanda es claramente erróneo y desviado, pues se comparan las primas o cuotas satisfechas a entidades aseguradoras de enfermedad con los tradicionalmente llamados gastos médicos cuando lo razonable es equiparar estas cuotas o primas a las que se satisfacen a la Seguridad Social o Mutualidades obligatorias para el mismo fin. Pues bien, para el Abogado del Estado resulta lógico y justificado que el legislador no grave como renta las cuotas o primas pagadas por la empresa para asegurar la enfermedad, pues pretende fomentar este tipo de aseguramiento alternativo al obligatorio dándole el mismo trato. Además, este trato especial tiene por objeto favorecer al trabajador, sin perjuicio de que pueda tener un efecto reflejo sobre la actividad propia de las entidades de seguro, pero que en modo alguno ha sido previsto específicamente en la Ley para favorecer a estas últimas. Asimismo, subraya, el hecho de que se considere por los recurrentes que las cuotas de los seguros de enfermedad pagadas por la empresa a favor de sus trabajadores no sea renta en especie genera una discriminación contraria a la Constitución porque tal previsión no cubre todos los gastos médicos sino sólo los que se pagan a las entidades aseguradoras en ese concepto, no encuentra fundamento en la doctrina que se sienta en la STC 134/1996, que es la que citan los recurrentes en apoyo de su tesis. Y es que el caso que se enjuicia es distinto del resuelto en dicho pronunciamiento por dos motivos fundamentales: no se discrimina a distintos tipos de contribuyentes, pues es una previsión general sin excepciones, y la causa u origen de las cantidades es distinta, pues no puede identificarse un gasto médico, realizado por un enfermo, con las primas o cuotas que paga una empresa para concertar y mantener contratos de seguros de enfermedad de sus trabajadores. A mayor abundamiento, este régimen de las cuotas de seguros de enfermedad es el mismo que el previsto para las primas o cuotas satisfechas por la empresa en virtud de contrato de seguro de accidente laboral o responsabilidad civil del trabajador [letra e) del mismo artículo de la Ley] y sobre él los recurrentes no han formulado ninguna alegación de inconstitucionalidad.</w:t>
      </w:r>
    </w:p>
    <w:p w:rsidR="00D06117" w:rsidRDefault="00D06117" w:rsidP="00D06117">
      <w:pPr>
        <w:pStyle w:val="TextoNormal"/>
      </w:pPr>
    </w:p>
    <w:p w:rsidR="00D06117" w:rsidRDefault="00D06117" w:rsidP="00D06117">
      <w:pPr>
        <w:pStyle w:val="TextoNormal"/>
      </w:pPr>
      <w:r>
        <w:t xml:space="preserve">Por lo que se refiere al régimen tributario de la renta en especie consistente en la utilización de vivienda [art. 44.1.1 a) de la Ley 40/1998], el Abogado del Estado considera asimismo que es conforme con el texto constitucional por diversas razones. Pese a lo que se afirma en la demanda, señala que la formula utilizada en la Ley 40/1998 es razonable, por cuanto atribuye a esta renta en especie una carga proporcional al resto de las contraprestaciones del trabajo (la utilización de la vivienda cedida por la empresa mantiene su equilibrio natural en relación con la retribución en dinero) y no produce los efectos inconstitucionales que se denuncian. En efecto, su incidencia en la “economía de opción” cuando es mayor la renta es despreciable o inexistente, pues no se puede olvidar que cuanto mayor es la renta </w:t>
      </w:r>
      <w:r>
        <w:lastRenderedPageBreak/>
        <w:t>mayor es el 10 por 100 y por tanto el límite máximo, de modo que si se le ofrece una vivienda lujosa a un trabajador con contraprestaciones por trabajo bajas resultará mucho más beneficiado que si se le ofrece a quienes las tienen más altas. Por otra parte —pese a lo que también se denuncia—, el régimen de tributación de la renta en especie de la utilización de vivienda con el límite del 10 por 100 del resto de las contraprestaciones del trabajo no vulnera el principio de capacidad económica pues recae inequívocamente sobre un flujo económico “revelador de la titularidad de una riqueza real o virtual cuya dimensión mayor o menor determina la mayor o menor cuantía del impuesto” (STC 37/1987, FJ 13) y resulta, por ende, compatible con el art. 31.1 CE.</w:t>
      </w:r>
    </w:p>
    <w:p w:rsidR="00D06117" w:rsidRDefault="00D06117" w:rsidP="00D06117">
      <w:pPr>
        <w:pStyle w:val="TextoNormal"/>
      </w:pPr>
    </w:p>
    <w:p w:rsidR="00D06117" w:rsidRDefault="00D06117" w:rsidP="00D06117">
      <w:pPr>
        <w:pStyle w:val="TextoNormal"/>
      </w:pPr>
      <w:r>
        <w:t>La siguiente cuestión sobre la que se pronuncia el Abogado del Estado es la relativa a la constitucionalidad del régimen aplicable a la adquisición y arrendamiento de vivienda previsto en la disposición transitoria cuarta de la Ley 40/1998 en relación con el art. 31.1 CE. Contra lo que afirman los recurrentes, el representante del Estado entiende que nos encontramos ante un problema de Derecho transitorio o entrada en vigor de la norma, de manera que la cuestión planteada pasa necesariamente por dilucidar si la disposición transitoria impugnada vulnera el principio de irretroactividad tanto por establecer la fecha de entrada en vigor antes de la publicación de la Ley como por modificar la situación tributaria de los contribuyentes sometidos al régimen anterior. La respuesta a esta pregunta debe ser negativa, a juicio del Abogado del Estado, por dos razones. La primera, porque se trata de un supuesto de retroactividad impropia en los términos de la STC 182/1997, FJ 11, pues no afecta a situaciones consumadas, sino que su efecto se proyecta sobre contratos vigentes que dan lugar a prestaciones periódicas en el tiempo sin alterar las que ya han sido satisfechas, circunstancia esta que unida a la naturaleza no sancionadora o restrictiva de derechos individuales de la norma cuestionada lleva directamente a afirmar que el efecto retroactivo denunciado no es inconstitucional. Y la segunda, porque “la seguridad jurídica no es un valor absoluto, pues ello daría lugar a la petrificación del ordenamiento jurídico, no puede entenderse tampoco como un derecho de los ciudadanos … al mantenimiento de un determinado régimen fiscal”, por lo que es evidente que un cambio normativo fiscal, como el que aquí se enjuicia, que se produce en una fecha determinada, va a implicar un distinto trato constitucional a aquellos contribuyentes que realizan el presupuesto de la aplicación de la norma tributaria, antes y después de la fecha en cuestión. En consecuencia, en opinión del Abogado del Estado, la inconstitucionalidad alegada por los recurrentes debe ser descartada pues la pretendida discriminación entre grupos de contribuyentes no es más que la necesaria consecuencia de la aplicación de un cambio normativo tributario en una determinada fecha que coincide con el momento en que se hizo pública la modificación normativa y que fue elegida para evitar el “efecto anuncio” que podría condicionar el comportamiento de los contribuyentes.</w:t>
      </w:r>
    </w:p>
    <w:p w:rsidR="00D06117" w:rsidRDefault="00D06117" w:rsidP="00D06117">
      <w:pPr>
        <w:pStyle w:val="TextoNormal"/>
      </w:pPr>
    </w:p>
    <w:p w:rsidR="00D06117" w:rsidRDefault="00D06117" w:rsidP="00D06117">
      <w:pPr>
        <w:pStyle w:val="TextoNormal"/>
      </w:pPr>
      <w:r>
        <w:t xml:space="preserve">Por lo que se refiere a la constitucionalidad del régimen regulador de la obligación de declarar y del nuevo procedimiento de las devoluciones tributarias entiende el Abogado del Estado que no es contrario al principio de seguridad jurídica establecido en el art. 9.3 CE por cuanto que las razones en que se fundamenta la inconstitucionalidad de este régimen en el escrito de demanda derivan de una interpretación desviada del art. 81 de la Ley 40/1998 y desconocen el objetivo último que persigue esta norma legal en la regulación de este extremo: establecer un régimen eficaz, flexible y sencillo para obtener las devoluciones. Pese a lo que afirman los recurrentes, el procedimiento fijado en el citado precepto, según el </w:t>
      </w:r>
      <w:r>
        <w:lastRenderedPageBreak/>
        <w:t>parecer del Abogado del Estado, “no limita en absoluto la seguridad jurídica del contribuyente, no sólo porque si lo desea podrá presentar declaración y continuar el procedimiento ordinario, sino también porque en ningún momento se le prohíbe, impide o dificulta la obtención del acto administrativo que delimite su obligación tributaria y sus consecuencias”. Además, subraya que el pretendido impulso a la renuncia a la devolución es una afirmación gratuita de los recurrentes, “pues por sí misma la regulación del art. 81 de la Ley no tiene que producir ese efecto, más bien, al contrario, su antiformalismo parece claramente dirigido a favorecer la comodidad para solicitar la devolución”.</w:t>
      </w:r>
    </w:p>
    <w:p w:rsidR="00D06117" w:rsidRDefault="00D06117" w:rsidP="00D06117">
      <w:pPr>
        <w:pStyle w:val="TextoNormal"/>
      </w:pPr>
    </w:p>
    <w:p w:rsidR="00D06117" w:rsidRDefault="00D06117" w:rsidP="00D06117">
      <w:pPr>
        <w:pStyle w:val="TextoNormal"/>
      </w:pPr>
      <w:r>
        <w:t>La siguiente causa de inconstitucionalidad analizada por el Abogado del Estado es la relativa al régimen de deducciones por adquisición y arrendamiento de vivienda y su contraste con el art. 9.3 CE. A juicio del representante del Estado, el hecho de que la disposición transitoria cuarta de la Ley reenvíe la regulación de una compensación a determinados contribuyentes a una futura ley de presupuestos no constituye una quiebra del principio de seguridad jurídica por diversas razones. En primer lugar, porque “este régimen compensatorio se establece en beneficio del contribuyente sin que el legislador esté obligado a ello, porque no supone, en realidad, una aplicación de una norma sancionadora no favorable o restrictiva de derechos individuales (art. 9.3 CE), lo que supone que la libertad del legislador para su configuración es prácticamente total y, por tanto, la posibilidad de afectar con esa configuración la seguridad jurídica es inexistente”. En segundo lugar, porque la alegación resulta prematura, pues hasta que no se apruebe la ley de presupuestos a que se refiere la disposición transitoria no podrá saberse si efectivamente se ha vulnerado el art. 9.3 de la CE. Y, en tercer lugar, en fin, porque los términos del precepto impugnado son claros e inequívocos por lo que los contribuyentes no deben tener ninguna incertidumbre sobre el alcance de su deducción por adquisición o arrendamiento de vivienda. Estamos, a estos efectos, ante “una norma cierta, precisa y formalmente publicada” (STC 27/1981, FJ 10).</w:t>
      </w:r>
    </w:p>
    <w:p w:rsidR="00D06117" w:rsidRDefault="00D06117" w:rsidP="00D06117">
      <w:pPr>
        <w:pStyle w:val="TextoNormal"/>
      </w:pPr>
    </w:p>
    <w:p w:rsidR="00D06117" w:rsidRDefault="00D06117" w:rsidP="00D06117">
      <w:pPr>
        <w:pStyle w:val="TextoNormal"/>
      </w:pPr>
      <w:r>
        <w:t>A mayor abundamiento, y para el caso de que no se estimara la alegación anterior, el Abogado del Estado defiende la constitucionalidad de la futura regulación de la compensación en una ley de presupuestos aduciendo, por una parte, que, conforme a la doctrina sentada por este Tribunal en la STC 182/1997, “la naturaleza periódica del tributo afectado y la configuración de su hecho imponible no impiden, en principio, que el legislador pueda modificar algunos aspectos del mismo por medio de disposiciones legales dictadas precisamente durante el periodo impositivo en el que debe surtir efectos”. Y, por otra parte, que la previsibilidad de la medida compensatoria a adoptar es evidente desde el mismo momento en que se publica la Ley 40/1998, por lo que de ningún modo se podrá decir cuando se regule la compensación en la ley de presupuestos que se ha hecho por sorpresa.</w:t>
      </w:r>
    </w:p>
    <w:p w:rsidR="00D06117" w:rsidRDefault="00D06117" w:rsidP="00D06117">
      <w:pPr>
        <w:pStyle w:val="TextoNormal"/>
      </w:pPr>
    </w:p>
    <w:p w:rsidR="00D06117" w:rsidRDefault="00D06117" w:rsidP="00D06117">
      <w:pPr>
        <w:pStyle w:val="TextoNormal"/>
      </w:pPr>
      <w:r>
        <w:t xml:space="preserve">Finalmente se pronuncia el Abogado del Estado sobre la alegada inconstitucionalidad de los arts. 61 y 64, y, por conexión, de los arts. 58 y 60 de la Ley 40/1998, por vulneración del art. 149.3 CE (en la cláusula de supletoriedad que contiene su inciso final) y diversos preceptos de algunos Estatutos de Autonomía. Antes de nada, el Abogado del Estado resume la argumentación impugnatoria en dos puntos. En primer lugar, que los demandantes parecen sugerir que atribuir a las Comunidades Autónomas potestad normativa puede entrañar la vulneración del concepto constitucional del impuesto cedido y, por tanto, del art. 157.1 a) CE. Y, en segundo lugar, que, aun aceptando que es constitucionalmente correcta la atribución de potestad legislativa a las Comunidades Autónomas sobre determinados extremos del IRPF, dos aspectos de la nueva regulación seguirían siendo inconstitucionales: de un </w:t>
      </w:r>
      <w:r>
        <w:lastRenderedPageBreak/>
        <w:t>lado, la escala del art. 61, que habría de calificarse de derecho estatal supletorio y habría sido creada inconstitucionalmente (SSTC 147/1991, 118/1996 y 61/1997), en la medida en que el Estado carece de título competencial sobre los extremos del IRPF cuya formación ha quedado atribuida a las Comunidades Autónomas; y, de otro, la nueva regulación del mínimo personal y familiar, por cuanto que se ha hecho desaparecer la competencia autonómica para establecer deducciones personales y familiares [art. 13.uno.1 b) de la Ley 14/1996] sin observar el procedimiento previsto en los Estatutos de Autonomía (necesidad de acuerdo entre el Gobierno y la Comunidad Autónoma tramitado como proyecto de ley).</w:t>
      </w:r>
    </w:p>
    <w:p w:rsidR="00D06117" w:rsidRDefault="00D06117" w:rsidP="00D06117">
      <w:pPr>
        <w:pStyle w:val="TextoNormal"/>
      </w:pPr>
    </w:p>
    <w:p w:rsidR="00D06117" w:rsidRDefault="00D06117" w:rsidP="00D06117">
      <w:pPr>
        <w:pStyle w:val="TextoNormal"/>
      </w:pPr>
      <w:r>
        <w:t>Pues bien, a juicio del Abogado del Estado, las alegaciones expuestas no pueden prosperar por diversas razones. Por lo que respecta a la configuración del IRPF como impuesto cedido señala que “la concreción del concepto constitucional de impuesto cedido —art. 157.1 a) CE— ha sido confiada por el constituyente a la Ley orgánica prevista en el art. 157.3 CE, esto es, la LOFCA”, de manera que corresponde “al legislador orgánico a que se refiere el art. 157.3 CE, en el ejercicio de su libertad política de configuración, elegir el tipo, nivel y modalidad de cesión dentro de los límites constitucionales”. Sobre este particular el legislador orgánico (arts. 10 y 19.2 LOFCA) ha optado por una cesión de rendimiento y, en los términos que determine la ley de cesión, también de competencias normativas y, por delegación, de competencias gestoras, entendidas en sentido amplio. Pero es que, añade el Abogado del Estado, “la regulación del alcance y condiciones o de los términos de la cesión de tributos a las Comunidades Autónomas queda incluida en la materia Hacienda general (art. 149.1.14 CE) y el Estado goza de plena competencia para establecer normas aplicables con carácter subsidiario, esto es, para el caso de que las Comunidades Autónomas no ejerzan la potestad normativa limitada que se les ha cedido. Consecuentemente, el Estado dicta normas subsidiarias o, si se quiere, supletorias, en ejercicio de un título competencial propio, el que resulta del art. 149.1.14 CE en relación con los arts. 133.1 y 157.3 CE”. En efecto, lo que la doctrina constitucional entiende prohibido es dictar normas con el único propósito de crear Derecho supletorio en materia de competencia autonómica y esto es algo que aquí no se ha producido habida cuenta de que la materia —parcial cesión del IRPF— es de competencia estatal, desde todos los puntos de vista. A esta misma conclusión se llega también, según el Abogado del Estado, si consideramos el art. 150.1 CE, invocado en las diversas leyes de cesión a cada Comunidad Autónoma, según el cual la ley marco opera “en materias de competencia estatal” que, en el presente caso, sería la de la hacienda general prevista en el art. 149.1.14 CE, por lo que tampoco por esta vía habría lesión alguna de la regla constitucional de supletoriedad. Por todo ello, a juicio del Abogado del Estado, el párrafo segundo del art. 61.1 de la Ley 40/1998, única parte del precepto al que podría alcanzar las argumentaciones del recurso de inconstitucionalidad, no quebranta el art. 149.3 CE.</w:t>
      </w:r>
    </w:p>
    <w:p w:rsidR="00D06117" w:rsidRDefault="00D06117" w:rsidP="00D06117">
      <w:pPr>
        <w:pStyle w:val="TextoNormal"/>
      </w:pPr>
    </w:p>
    <w:p w:rsidR="00D06117" w:rsidRDefault="00D06117" w:rsidP="00D06117">
      <w:pPr>
        <w:pStyle w:val="TextoNormal"/>
      </w:pPr>
      <w:r>
        <w:t xml:space="preserve">Rechaza el Abogado del Estado, en último lugar, la pretendida inconstitucionalidad del art. 64.1 b) de la Ley 40/1998 por infringir preceptos contenidos en diversos Estatutos de Autonomía por tres motivos. En primer lugar, porque la regulación del mínimo personal y familiar no impide que las Comunidades Autónomas cesionarias puedan, en los términos del art. 13.uno.1 b) de la Ley 14/1996, establecer ulteriores deducciones “por circunstancias personales y familiares” si así lo estiman oportuno. En segundo lugar, porque el precepto controvertido “no sólo no impide sino que expresamente reitera la posibilidad de que las Comunidades Autónomas puedan establecer ulteriores deducciones por circunstancias personales y familiares, deducciones que afectarían ya a la renta disponible, esto es a la que está por encima del mínimo personal y familiar”. Y, en tercer lugar, porque el concepto de </w:t>
      </w:r>
      <w:r>
        <w:lastRenderedPageBreak/>
        <w:t>modificación de la cesión debe ser entendido de manera formal y estricta cuando de impuestos estatales parcialmente cedidos se trata, y más aún, si el impuesto parcialmente cedido es aquel que vertebra toda la imposición directa, pues de lo contrario se amenazaría seriamente la existencia misma de una política fiscal general que ex art. 149.1.14 CE corresponde exclusivamente al Estado.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14 de febrero de 2012 se señaló para deliberación y votación de la presente Sentencia, el día 15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Como ha quedado expuesto en los antecedentes, el presente recurso de inconstitucionalidad versa sobre la impugnación de los arts. 2.2, 15.1, 15.3.4, 17.2 c) y d), 39, 40, 43.2 f), 44.1.1 a), 48, 51, 53, 58, 60, 61, 62, 63, 64, 81.1, 2 y 3, y disposiciones transitorias cuarta, quinta apartado 2, sexta y séptima, de la Ley 40/1998, de 9 de diciembre, del impuesto sobre la renta de las personas físicas y otras normas tributarias, que realizan ochenta y nueve Diputados del Grupo Parlamentario Socialista en el Congreso de los Diputados, al entender que los mismos contradicen los artículos 9.3, 31.1 (en sí mismo y en conexión con los arts. 9.2, 10 y 39.1 y 2) y 149.3, todos ellos de la Constitución, así como diversos preceptos de diferentes Estatutos de Autonomía.</w:t>
      </w:r>
    </w:p>
    <w:p w:rsidR="00D06117" w:rsidRDefault="00D06117" w:rsidP="00D06117">
      <w:pPr>
        <w:pStyle w:val="TextoNormal"/>
      </w:pPr>
    </w:p>
    <w:p w:rsidR="00D06117" w:rsidRDefault="00D06117" w:rsidP="00D06117">
      <w:pPr>
        <w:pStyle w:val="TextoNormal"/>
      </w:pPr>
      <w:r>
        <w:t>El Abogado del Estado, tras examinar, según queda reflejado en el antecedente 9 de esta resolución, las distintas impugnaciones planteadas en el recurso, concluye defendiendo su constitucionalidad, con invocación de la doctrina de este Tribunal Constitucional sobre los preceptos constitucionales que la demanda considera infringidos.</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a dar respuesta a las cuestiones planteadas en este presente proceso constitucional conviene precisar, siquiera brevemente, que el hecho de que la Ley 40/1998, de 9 de diciembre, del impuesto sobre la renta de las personas físicas y otras normas tributarias, haya sido derogada por la disposición derogatoria única del Real Decreto legislativo 3/2004, de 5 de marzo, por el que se aprobaba el texto refundido de la Ley del impuesto sobre la renta de las personas físicas, y esta última, a su vez, por la disposición derogatoria primera de la Ley 35/2006, de 28 de noviembre, del impuesto sobre la renta de las personas físicas y de modificación parcial de las leyes de los impuestos sobre sociedades, sobre la renta de no residentes y sobre el patrimonio, no priva de objeto al presente recurso.</w:t>
      </w:r>
    </w:p>
    <w:p w:rsidR="00D06117" w:rsidRDefault="00D06117" w:rsidP="00D06117">
      <w:pPr>
        <w:pStyle w:val="TextoNormal"/>
      </w:pPr>
    </w:p>
    <w:p w:rsidR="00D06117" w:rsidRDefault="00D06117" w:rsidP="00D06117">
      <w:pPr>
        <w:pStyle w:val="TextoNormal"/>
      </w:pPr>
      <w:r>
        <w:t xml:space="preserve">En efecto, en relación con la pérdida de objeto de los procesos constitucionales hemos señalado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(por ejemplo, SSTC 233/1999, de 16 de diciembre, FJ 3; 148/2000, de 1 de junio, FJ 3; 190/2000, de 13 de julio, FJ 2; 16/2003, de 30 de enero, FJ 2; 68/2007, de 28 de marzo, FJ 4; y 134/2011, de 20 de julio, FJ 2). Concretamente, en el ámbito del recurso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w:t>
      </w:r>
      <w:r>
        <w:lastRenderedPageBreak/>
        <w:t>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SSTC 160/1987, de 27 de octubre, FJ 6 b); 385/1993, de 23 de diciembre, FJ 2; 196/1997, de 13 de noviembre, FJ 2; 109/2003, de 5 de junio, FJ 2; 194/2004, de 4 de noviembre, FJ 4; 329/2005, de 15 de diciembre, FJ 2; 68/2007, de 28 de marzo, FJ 4; y 134/2011, de 20 de julio, FJ 2]. Ahora bien, ello no quita que para excluir “toda aplicación posterior de la disposición legal controvertida, privándola así del vestigio de vigencia que pudiera conservar”, pudiera resultar útil o conveniente su enjuiciamiento, aun cuando haya sido derogada (SSTC 385/1993, de 23 de diciembre, FJ 2; y 68/2007, de 28 de marzo, FJ 4).</w:t>
      </w:r>
    </w:p>
    <w:p w:rsidR="00D06117" w:rsidRDefault="00D06117" w:rsidP="00D06117">
      <w:pPr>
        <w:pStyle w:val="TextoNormal"/>
      </w:pPr>
    </w:p>
    <w:p w:rsidR="00D06117" w:rsidRDefault="00D06117" w:rsidP="00D06117">
      <w:pPr>
        <w:pStyle w:val="TextoNormal"/>
      </w:pPr>
      <w:r>
        <w:t>Pues bien, no cabe duda de que en cuanto a la Ley 40/1998 es necesario que este Tribunal Constitucional se pronuncie dado que, aun tratándose de una norma formalmente derogada, no se puede asegurar que sus mandatos hayan dejado ya hoy de desplegar sus efectos. Por lo demás, cabe recordar que la actual Ley 35/2006, de 30 de noviembre, del impuesto sobre la renta de las personas físicas y de modificación parcial de los impuestos sobre sociedades, sobre la renta de no residentes y sobre el patrimonio, no sólo conserva la estructura de su antecesora, sino la literalidad de muchos de los preceptos que son objeto del presente recurso de inconstitucionalidad.</w:t>
      </w:r>
    </w:p>
    <w:p w:rsidR="00D06117" w:rsidRDefault="00D06117" w:rsidP="00D06117">
      <w:pPr>
        <w:pStyle w:val="TextoNormal"/>
      </w:pPr>
    </w:p>
    <w:p w:rsidR="00D06117" w:rsidRDefault="00D06117" w:rsidP="00D06117">
      <w:pPr>
        <w:pStyle w:val="TextoNormal"/>
      </w:pPr>
      <w:r>
        <w:t>En relación todavía con los cambios sobrevenidos en la normativa concernida por el presente recurso de inconstitucionalidad, hay que tener en cuenta los que se han producido en algunos de los Estatutos de Autonomía que la demanda considera vulnerados, de tal modo que los preceptos estatutarios a considerar deben ser los contenidos en los Estatutos en vigor que, hay que subrayarlo, son sustancialmente iguales a los derogados. En concreto, tal es el caso de la disposición adicional segunda apartado 3 del Estatuto de Autonomía de Aragón, materialmente idéntica a la actual; de la disposición adicional tercera apartado 2 del Estatuto de Autonomía de las Illes Balears, hoy disposición adicional cuarta apartado 3; disposición adicional sexta apartado 3 del Estatuto de Autonomía de Cataluña, hoy disposición adicional séptima, apartado tercero; y del art. 52.5 del Estatuto de Autonomía de la Comunidad Valenciana, que se corresponde con el actual art. 73.3.</w:t>
      </w:r>
    </w:p>
    <w:p w:rsidR="00D06117" w:rsidRDefault="00D06117" w:rsidP="00D06117">
      <w:pPr>
        <w:pStyle w:val="TextoNormal"/>
      </w:pPr>
    </w:p>
    <w:p w:rsidR="00D06117" w:rsidRDefault="00D06117" w:rsidP="00D06117">
      <w:pPr>
        <w:pStyle w:val="TextoNormal"/>
      </w:pPr>
      <w:r w:rsidRPr="00D06117">
        <w:rPr>
          <w:rStyle w:val="NumeroAFNegritaCaracter"/>
        </w:rPr>
        <w:t>3</w:t>
      </w:r>
      <w:r>
        <w:t>. Como se ha visto en los antecedentes, comienzan los Diputados recurrentes su escrito de recurso haciendo una crítica generalizada a la nueva regulación efectuada por la Ley 40/1998, de 9 de diciembre, del impuesto sobre la renta de las personas físicas y otras normas tributarias, y, más concretamente, a los que son, a su juicio, los cambios más relevantes respecto de la anterior Ley 18/1991, de 6 de junio, del impuesto sobre la renta de las personas físicas. Conviene realizar, entonces, antes de entrar a analizar cada uno de los preceptos impugnados de aquella ley, algunas precisiones generales en torno al impuesto sobre la renta de las personas físicas.</w:t>
      </w:r>
    </w:p>
    <w:p w:rsidR="00D06117" w:rsidRDefault="00D06117" w:rsidP="00D06117">
      <w:pPr>
        <w:pStyle w:val="TextoNormal"/>
      </w:pPr>
    </w:p>
    <w:p w:rsidR="00D06117" w:rsidRDefault="00D06117" w:rsidP="00D06117">
      <w:pPr>
        <w:pStyle w:val="TextoNormal"/>
      </w:pPr>
      <w:r>
        <w:t>a) A tal fin, es necesario recordar que el art. 1 de la Ley 58/2003, de 17 de diciembre, general tributaria, reconoce que “[l]os tributos, además de ser medios para obtener los re</w:t>
      </w:r>
      <w:r>
        <w:lastRenderedPageBreak/>
        <w:t>cursos necesarios para el sostenimiento de los gastos públicos, podrán servir como instrumentos de la política económica general y atender a la realización de los principios y fines contenidos en la Constitución”. Es decir, como hemos tenido ocasión de señalar desde muy antiguo, “el tributo puede no ser sólo una fuente de ingresos, una manera de allegar medios económicos a los entes territoriales para satisfacer sus necesidades financieras (fin fiscal), sino que también puede responder a políticas sectoriales distintas de la puramente recaudatoria (fin extrafiscal)” (SSTC 37/1987, de 26 de marzo, FJ 13; 197/1992, de 19 de noviembre, FJ 6; 194/2000, de 19 de julio, FJ 7; 276/2000, de 16 de noviembre, FJ 4; y 179/2006, de 13 de junio, FJ 3).</w:t>
      </w:r>
    </w:p>
    <w:p w:rsidR="00D06117" w:rsidRDefault="00D06117" w:rsidP="00D06117">
      <w:pPr>
        <w:pStyle w:val="TextoNormal"/>
      </w:pPr>
    </w:p>
    <w:p w:rsidR="00D06117" w:rsidRDefault="00D06117" w:rsidP="00D06117">
      <w:pPr>
        <w:pStyle w:val="TextoNormal"/>
      </w:pPr>
      <w:r>
        <w:t>El legislador puede configurar el tributo, entonces, no sólo para atender a su finalidad recaudatoria o redistributiva, sino que también puede articularlo teniendo en cuenta consideraciones extrafiscales (SSTC 37/1987, de 26 de marzo, FJ 13; 197/1992, de 19 de noviembre, FJ 6; 194/2000, de 19 de julio, FJ 8; y 276/2000, de 16 de noviembre, FJ 6). Dicho de otra manera, desde una perspectiva constitucional, nada cabe oponer al uso de los tributos “no sólo como instrumento recaudatorio, sino también como medio para la consecución de tales fines extrafiscales” (STC 173/1996, de 31 de octubre, FJ 5), razón por la cual nada impide el uso de los tributos como un instrumento de política económica sobre un determinado sector (STC 7/2010, de 27 de abril, FJ 5), pues a ello no se opone “el principio de capacidad económica establecido en el artículo 31.1 de la Constitución”, dado que “el respeto a dicho principio no impide que el legislador pueda configurar el presupuesto de hecho del tributo teniendo en cuenta consideraciones extrafiscales” (STC 31/1987, de 26 de marzo, FJ 12) o, lo que es lo mismo, “es admisible que el legislador establezca impuestos que, sin desconocer o contradecir el principio de capacidad económica, estén orientados al cumplimiento de fines o a la satisfacción de intereses públicos que la Constitución preconiza o garantiza” (SSTC 37/1987, de 26 de marzo, FJ 13; y 221/1992, de 11 de diciembre, FJ 4).</w:t>
      </w:r>
    </w:p>
    <w:p w:rsidR="00D06117" w:rsidRDefault="00D06117" w:rsidP="00D06117">
      <w:pPr>
        <w:pStyle w:val="TextoNormal"/>
      </w:pPr>
    </w:p>
    <w:p w:rsidR="00D06117" w:rsidRDefault="00D06117" w:rsidP="00D06117">
      <w:pPr>
        <w:pStyle w:val="TextoNormal"/>
      </w:pPr>
      <w:r>
        <w:t>b) Sentado lo anterior, debe precisarse a renglón seguido que la Constitución de 1978 no diseña un concreto modelo de sistema tributario que sea aplicable en un momento dado, habiendo dejado al legislador estatal su determinación. Por esta razón, si el art. 31.3 CE dispone que el establecimiento de prestaciones patrimoniales se debe hacer con arreglo a la ley, el art. 133.1 CE atribuye al Estado la potestad originaria para establecer los tributos mediante ley, y el art. 149.1.14 CE le confiere la competencia exclusiva para dictar un conjunto de normas en materia de “hacienda general” que proporcionen el marco jurídico fundamental para la estructura y funcionamiento del sistema tributario. Con estas previsiones constitucionales se está estableciendo la exigencia de que el Estado ordene por ley “los criterios o principios con arreglo a los cuales se ha de regir la materia tributaria” (STC 19/1987, de 17 de febrero, FJ 4), desde una concepción “del conjunto de tributos como ‘sistema’ o estructura unitaria” (STC 135/1992, de 5 de octubre, FJ 6), pues el art. 31.1 CE reclama que el régimen jurídico de ordenación de los tributos sea considerado como un sistema (STC 19/1987, de 17 de febrero, FJ 4).</w:t>
      </w:r>
    </w:p>
    <w:p w:rsidR="00D06117" w:rsidRDefault="00D06117" w:rsidP="00D06117">
      <w:pPr>
        <w:pStyle w:val="TextoNormal"/>
      </w:pPr>
    </w:p>
    <w:p w:rsidR="00D06117" w:rsidRDefault="00D06117" w:rsidP="00D06117">
      <w:pPr>
        <w:pStyle w:val="TextoNormal"/>
      </w:pPr>
      <w:r>
        <w:t xml:space="preserve">Los preceptos acabados de citar hay que ponerlos en relación, de un lado, con los arts. 139.1 y 149.1.1, ambos de la Constitución, que no sólo habilitan al Estado, sino que le imponen, la obligación de establecer las condiciones básicas que garanticen la igualdad de todos los españoles en el ejercicio de los derechos y en el cumplimiento de los deberes constitucionales, deberes estos entre los que se encuentra el previsto en el art. 31.1 CE, esto es, el de contribuir al sostenimiento de los gastos públicos de acuerdo con su capacidad </w:t>
      </w:r>
      <w:r>
        <w:lastRenderedPageBreak/>
        <w:t>económica. Y, de otro lado, con el art. 149.1.13 CE, que atribuye al Estado las “[b]ases y coordinación de la planificación general de la actividad económica”, “responde al principio de unidad económica y abarca las líneas de actuación tendentes a alcanzar los objetivos de política económica global o sectorial fijados por la propia Constitución, así como la adopción de medidas precisas para garantizar la realización de los mismos” (entre muchas otras, SSTC 45/2001, de 15 de febrero, FJ 8; 95/2001, de 5 de abril, FJ 3; 124/2003, de 19 de junio, FJ 3; y 13/2007, de 18 de enero, FJ 6).</w:t>
      </w:r>
    </w:p>
    <w:p w:rsidR="00D06117" w:rsidRDefault="00D06117" w:rsidP="00D06117">
      <w:pPr>
        <w:pStyle w:val="TextoNormal"/>
      </w:pPr>
    </w:p>
    <w:p w:rsidR="00D06117" w:rsidRDefault="00D06117" w:rsidP="00D06117">
      <w:pPr>
        <w:pStyle w:val="TextoNormal"/>
      </w:pPr>
      <w:r>
        <w:t>c) La ausencia en la Constitución de una definición del modelo de sistema tributario aplicable y, por tanto, su indefinición, habilitan al legislador estatal para realizar su conceptuación jurídica en cada momento, entre diferentes alternativas, en atención a las circunstancias económicas subyacentes y a las necesidades sociales a las que se pretenda dar cobertura. Es evidente que el constituyente no quiso definir el modelo de sistema tributario aplicable, ni tampoco restringir la acción del legislador más allá de los límites que le ha impuesto, dejándole un importante ámbito de posibilidades para configurar el sistema tributario y para articular cada tributo no sólo como un instrumento de recaudación, sino también como un vehículo a través del cual alcanzar los fines que la Constitución le impone.</w:t>
      </w:r>
    </w:p>
    <w:p w:rsidR="00D06117" w:rsidRDefault="00D06117" w:rsidP="00D06117">
      <w:pPr>
        <w:pStyle w:val="TextoNormal"/>
      </w:pPr>
    </w:p>
    <w:p w:rsidR="00D06117" w:rsidRDefault="00D06117" w:rsidP="00D06117">
      <w:pPr>
        <w:pStyle w:val="TextoNormal"/>
      </w:pPr>
      <w:r>
        <w:t>d) Dentro del sistema tributario, el impuesto sobre la renta de las personas físicas se erige en uno de “los pilares estructurales” (SSTC 134/1996, de 22 de julio, FJ 6; 47/2001, de 15 de febrero, FJ 9; y 137/2003, de 3 de julio, FJ 7), en una de “las piezas básicas” (SSTC 182/1997, de 20 de octubre, FJ 9; y 46/2000, de 14 de febrero, FJ 6) o, en fin, en “una figura primordial” (SSTC 134/1996, de 22 de julio, FJ 6; 182/1997, de 28 de octubre, FJ 9; 46/2000, de 14 de febrero, FJ 6; 137/2003, de 3 de julio, FJ 7; 108/2004, de 30 de junio, FJ 8; y 189/2005, de 7 de julio, FJ 8), a través del cual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(SSTC 134/1996, de 22 de julio, FJ 6; 182/1997, de 28 de octubre, FJ 9; 46/2000, de 14 de febrero, FJ 6; y 137/2003, de 3 de julio, FJ 7) y “los objetivos de redistribución de la renta (art. 131.1 CE) y de solidaridad (art. 138.1 CE)” (SSTC 19/1987, de 17 de febrero, FJ 4; 134/1996, de 22 de julio, FJ 6; 182/1997, de 28 de octubre, FJ 9; 46/2000, de 14 de febrero, FJ 6; 47/2001, de 15 de febrero, FJ 9; 137/2003, de 3 de julio, FJ 7; 189/2005, de 7 de julio, FJ 7; y 7/2010, de 27 de abril, FJ 7). Eso sí, la justicia tributaria que reclama el art. 31.1 CE “no es un principio constitucional del que deriven derechos u obligaciones para los ciudadanos, sino un fin del sistema tributario, que sólo se conseguirá en la medida en que se respeten los restantes principios constitucionales (seguridad jurídica, igualdad, capacidad económica, progresividad y no confiscatoriedad)” (AATC 207/2005, de 10 de mayo, FJ 6; y 222/2005, de 24 de mayo, FJ 7).</w:t>
      </w:r>
    </w:p>
    <w:p w:rsidR="00D06117" w:rsidRDefault="00D06117" w:rsidP="00D06117">
      <w:pPr>
        <w:pStyle w:val="TextoNormal"/>
      </w:pPr>
    </w:p>
    <w:p w:rsidR="00D06117" w:rsidRDefault="00D06117" w:rsidP="00D06117">
      <w:pPr>
        <w:pStyle w:val="TextoNormal"/>
      </w:pPr>
      <w:r>
        <w:t xml:space="preserve">Dicho lo que antecede conviene precisar a renglón seguido que de la evolución legislativa que ha experimentado el impuesto sobre la renta de las personas físicas a lo largo de estos últimos treinta años, se puede extraer una clara conclusión: cada norma reguladora del impuesto sobre la renta de las personas físicas representa una opción legislativa diferente cohonestada con el uso del tributo por el Gobierno y el Parlamento de cada momento temporal, como un instrumento al servicio, no ya de una política recaudatoria, sino de una concreta política económica y social. Como señalaba a este respecto la exposición de motivos de la Ley 46/2002, “[l]a política fiscal, como instrumento de la política económica del Gobierno, </w:t>
      </w:r>
      <w:r>
        <w:lastRenderedPageBreak/>
        <w:t>debe servir para la consecución de los objetivos fundamentales en materia económica” (apartado I). Y como apunta la exposición de motivos de la vigente Ley 35/2006, desde la reforma tributaria de 1978 el impuesto personal sobre la renta de las personas físicas “ha conocido diferentes modelos derivados de los distintos objetivos de política económica y social que se han articulado a través de esta figura impositiva” (apartado I).</w:t>
      </w:r>
    </w:p>
    <w:p w:rsidR="00D06117" w:rsidRDefault="00D06117" w:rsidP="00D06117">
      <w:pPr>
        <w:pStyle w:val="TextoNormal"/>
      </w:pPr>
    </w:p>
    <w:p w:rsidR="00D06117" w:rsidRDefault="00D06117" w:rsidP="00D06117">
      <w:pPr>
        <w:pStyle w:val="TextoNormal"/>
      </w:pPr>
      <w:r>
        <w:t>Cada norma reguladora del impuesto sobre la renta de las personas físicas representa, entonces, una opción legislativa diferente respecto de la cual no es suficiente la mera discrepancia política para destruir la presunción de constitucionalidad de la ley (en sentido parecido, aunque con relación a la imputación de arbitrariedad a la obra del legislador democrático, SSTC 233/1999, de 16 de diciembre, FJ 12; 73/2000, de 14 de marzo, FJ 4; 13/2007, de 18 de enero, FJ 4; 45/2007, de 1 de marzo, FJ 7; 49/2008, de 9 de abril, FJ 5; y 19/2011, de 3 de marzo, FJ 12). Ahora bien, ello no quita que aun cuando “[n]o compete a este Tribunal enjuiciar si las soluciones adoptadas en la Ley impugnada son las más correctas técnicamente”, sin embargo, “sí nos hallamos indudablemente facultados para determinar si la modificación legal operada por el precepto impugnado ha sobrepasado o no los límites al ejercicio [del] poder tributario que se derivan de los principios constitucionales contenidos en el art. 31.1 CE” (STC 7/2010, de 27 de abril, FJ 6, que cita las SSTC 27/1981, de 20 de julio, FJ 4; 221/1992, de 11 de diciembre, FJ 4; 214/1994, de 14 de julio, FJ 5, 46/2000, de 14 de febrero, FJ 4), de modo que, cualesquiera que sean los fines que guíen al legislador en la configuración del tributo (fiscales, extrafiscales o ambos), en todo caso deben respetarse los principios establecidos en el art. 31.1 CE [SSTC 37/1987, de 26 de marzo, FJ 13; 186/1993, de 7 de junio, FJ 4 a); 194/2000, de 19 de julio, FJ 8; y 276/2000, de 16 de noviembre, FJ 6], en orden a conseguir un sistema tributario justo que, en ningún caso, tenga alcance confiscatorio.</w:t>
      </w:r>
    </w:p>
    <w:p w:rsidR="00D06117" w:rsidRDefault="00D06117" w:rsidP="00D06117">
      <w:pPr>
        <w:pStyle w:val="TextoNormal"/>
      </w:pPr>
    </w:p>
    <w:p w:rsidR="00D06117" w:rsidRDefault="00D06117" w:rsidP="00D06117">
      <w:pPr>
        <w:pStyle w:val="TextoNormal"/>
      </w:pPr>
      <w:r>
        <w:t>Lo que se acaba de señalar es importante pues, antes de entrar a conocer las diferentes denuncias que los recurrentes realizan en el escrito de su recurso, debemos llamar la atención sobre el hecho de que aun cuando los recurrentes aseguran que no van a justificar la inconstitucionalidad de la Ley 40/1998 en su comparación con la Ley 18/1991, sin embargo, incurren constantemente en el análisis comparativo de ambas normas legales, para considerar sólo correctas las soluciones legislativas adoptadas por ésta e inconstitucionales las asumidas por aquélla. En efecto, como señala el Abogado del Estado, los recurrentes incurren en el vicio que tratan de evitar, a saber, efectuar juicios comparativos de conveniencia y oportunidad de las técnicas legislativas empleadas en las diversas leyes reguladoras del impuesto sobre la renta. De esta manera, defienden a través del presente recurso su modelo de impuesto sobre la renta, como si se tratara del único válido.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Denuncian los Diputados recurrentes, en primer lugar, la forma en que se han articulado los conceptos de renta disponible y de mínimo personal y familiar en los arts. 2.2 (que define “la renta disponible” que grava el impuesto como el resultado de disminuir la renta en la cuantía del mínimo personal y familiar), 15.1 (que señala que la base imponible del impuesto está constituida por el importe de la renta disponible), 15.3.4 (en virtud del cual se reducirá de la base imponible la cuantía correspondiente al mínimo personal y familiar que la ley reconoce al contribuyente en función de sus circunstancias personales y familiares), 40 (que regula el mínimo personal y familiar, fijando sus cuantías), y 51 y 62 (preceptos que establecen que los contribuyentes que satisfagan anualidades por alimentos a sus hijos por decisión judicial aplicarán separadamente la escala general del impuesto al importe de </w:t>
      </w:r>
      <w:r>
        <w:lastRenderedPageBreak/>
        <w:t>dichas anualidades), todos ellos de la Ley 40/1998, que consideran que contradicen los principios de igualdad, progresividad y capacidad económica recogidos en el art. 31.1 CE, la igualdad real y efectiva del individuo a que alude el art. 9.2 CE, la dignidad de la persona y el libre desarrollo de la personalidad que proclama el art. 10.1 CE, la protección de la familia que exige el art. 39.1 CE y la igualdad de los hijos ante la ley que reconoce el art. 39.2 CE.</w:t>
      </w:r>
    </w:p>
    <w:p w:rsidR="00D06117" w:rsidRDefault="00D06117" w:rsidP="00D06117">
      <w:pPr>
        <w:pStyle w:val="TextoNormal"/>
      </w:pPr>
    </w:p>
    <w:p w:rsidR="00D06117" w:rsidRDefault="00D06117" w:rsidP="00D06117">
      <w:pPr>
        <w:pStyle w:val="TextoNormal"/>
      </w:pPr>
      <w:r>
        <w:t>Para los Diputados recurrentes, el mínimo personal y familiar se aplica a reducir la parte general de la base imponible y no de la cuota, por lo que, siendo iguales las circunstancias personales y familiares, cuanto más elevadas son las rentas de los sujetos pasivos más aumenta la desgravación por dichas circunstancias, fenómeno que, desde el punto de vista de la capacidad económica, constituiría una regresión.</w:t>
      </w:r>
    </w:p>
    <w:p w:rsidR="00D06117" w:rsidRDefault="00D06117" w:rsidP="00D06117">
      <w:pPr>
        <w:pStyle w:val="TextoNormal"/>
      </w:pPr>
    </w:p>
    <w:p w:rsidR="00D06117" w:rsidRDefault="00D06117" w:rsidP="00D06117">
      <w:pPr>
        <w:pStyle w:val="TextoNormal"/>
      </w:pPr>
      <w:r>
        <w:t>a) Con relación a la salvaguarda de un mínimo existencial no sometido a tributación, siendo cierto que toda persona física, desde la primera unidad de renta generada, exterioriza, en abstracto, una capacidad económica susceptible de ser sometida a imposición, también lo es, sin embargo, que su capacidad contributiva, entendida como la aptitud para concurrir al sostenimiento de los gastos del Estado, en un impuesto a través del cual no sólo “se realiza la personalización del reparto de la carga fiscal en el sistema tributario según los criterios de capacidad económica, igualdad y progresividad”, sino que es “el instrumento más idóneo para alcanzar los objetivos de redistribución de la renta (art. 131.1 CE) y de solidaridad (art. 138.1 CE)” (SSTC 134/1996, de 22 de julio, FJ 6; 182/1997, de 28 de octubre, FJ 7; 189/2005, de 7 de julio, FJ 7; y 7/2010, de 27 de abril, FJ 6), debe producirse una vez superado un determinado umbral de renta que proteja la renta necesaria destinada a la satisfacción de las necesidades vitales del obligado tributario (renta vital de subsistencia), individualmente consideradas o, en su caso, de la unidad familiar. De hecho, como hemos tenido oportunidad de señalar, aunque todo beneficio fiscal (y una reducción en base imponible lo es cualquiera que sea la finalidad a la que responda), supone una quiebra del principio de generalidad que rige la materia tributaria, al neutralizar todo o parte de la obligación tributaria derivada de la realización de un hecho revelador de capacidad económica, sin embargo, hemos considerado que esa quiebra es constitucionalmente válida “siempre que responda a fines de interés general que la justifiquen”, como sucede, por ejemplo, cuando sirven “para atender al mínimo de subsistencia” (SSTC 96/2002, de 25 de abril, FJ 7; y 10/2005, de 20 de enero, FJ 5).</w:t>
      </w:r>
    </w:p>
    <w:p w:rsidR="00D06117" w:rsidRDefault="00D06117" w:rsidP="00D06117">
      <w:pPr>
        <w:pStyle w:val="TextoNormal"/>
      </w:pPr>
    </w:p>
    <w:p w:rsidR="00D06117" w:rsidRDefault="00D06117" w:rsidP="00D06117">
      <w:pPr>
        <w:pStyle w:val="TextoNormal"/>
      </w:pPr>
      <w:r>
        <w:t>El mínimo vital de subsistencia no sometido a tributación no sólo es, como acabamos de señalar, un elemento inescindible del principio de capacidad económica especialmente relevante en tributos que, como el impuesto sobre la renta, afectan a la renta integral de los sujetos, sino que es fruto de la justicia que como valor del Estado social y democrático reclama el art. 1.1 CE, y como exigencia del sistema tributario impone el art. 31.1 CE, en conexión directa con la garantía de la dignidad de la persona (art. 10.1 CE) y con la obligación de aseguramiento por los poderes públicos de la protección de la familia (art. 39.1 CE). No podría calificarse de justo un Estado que se denominara como “social y democrático de Derecho” si privase a sus ciudadanos, a través de su sistema tributario, de la renta mínima de supervivencia, so pretexto del deber de contribuir a los gastos generales, pues con ello no sólo perdería su legitimidad política y democrática sino que atentaría a la esencia misma de la dignidad humana.</w:t>
      </w:r>
    </w:p>
    <w:p w:rsidR="00D06117" w:rsidRDefault="00D06117" w:rsidP="00D06117">
      <w:pPr>
        <w:pStyle w:val="TextoNormal"/>
      </w:pPr>
    </w:p>
    <w:p w:rsidR="00D06117" w:rsidRDefault="00D06117" w:rsidP="00D06117">
      <w:pPr>
        <w:pStyle w:val="TextoNormal"/>
      </w:pPr>
      <w:r>
        <w:lastRenderedPageBreak/>
        <w:t>Hemos afirmado, a este respecto, que el respeto a la dignidad humana se ha configurado por nuestro texto constitucional como el primero de los fundamentos del orden político y de la paz social al cual repugna “que la efectividad de los derechos patrimoniales se lleve al extremo de sacrificar el mínimo vital del deudor, privándole de los medios indispensables para la realización de sus fines personales así como en la protección de la familia, el mantenimiento de la salud y el uso de una vivienda digna y adecuada, valores éstos que, unidos a las prestaciones sociales suficientes ante situaciones de necesidad que debe garantizar el régimen público de Seguridad Social, están constitucionalmente consagrados en los arts. 39, 41, 43 y 47 de la Constitución, y obligan a los poderes públicos, no sólo al despliegue de la correspondiente acción administrativa prestacional, sino además a desarrollar la acción normativa que resulte necesaria para asegurar el cumplimiento de esos mandatos constitucionales, a cuyo fin resulta razonable y congruente crear una esfera patrimonial intangible a la acción ejecutiva de los acreedores que coadyuve a que el deudor pueda mantener la posibilidad de una existencia digna” (STC 113/1989, de 22 de junio, FJ 3). Con base en esta doctrina debemos afirmar ahora que la exigencia constitucional de contribuir al sostenimiento de los gastos públicos no legitima a los poderes públicos, garantes de la dignidad de la persona y de la protección de la familia, a someter a tributación la renta de las personas desde su primera unidad económica, sino sólo a partir de un mínimo vital de subsistencia, inmune a su acción, que les permita satisfacer sus necesidades más básicas en garantía de una existencia digna.</w:t>
      </w:r>
    </w:p>
    <w:p w:rsidR="00D06117" w:rsidRDefault="00D06117" w:rsidP="00D06117">
      <w:pPr>
        <w:pStyle w:val="TextoNormal"/>
      </w:pPr>
    </w:p>
    <w:p w:rsidR="00D06117" w:rsidRDefault="00D06117" w:rsidP="00D06117">
      <w:pPr>
        <w:pStyle w:val="TextoNormal"/>
      </w:pPr>
      <w:r>
        <w:t>Dicho lo anterior, es necesario señalar a renglón seguido que la forma de garantizar ese mínimo vital no sometido a tributación queda a la libre elección del legislador, tanto en relación con el o los tributos en que se establezca como en cuanto a la técnica utilizada, ya que puede optar entre operar en la base imponible (por ejemplo, a través de exenciones, deducciones o reducciones), en la cuota tributaria (por ejemplo, mediante deducciones o bonificaciones), en la tarifa (por ejemplo, estableciendo un tipo cero para un primer tramo de renta), o, en todas ellas.</w:t>
      </w:r>
    </w:p>
    <w:p w:rsidR="00D06117" w:rsidRDefault="00D06117" w:rsidP="00D06117">
      <w:pPr>
        <w:pStyle w:val="TextoNormal"/>
      </w:pPr>
    </w:p>
    <w:p w:rsidR="00D06117" w:rsidRDefault="00D06117" w:rsidP="00D06117">
      <w:pPr>
        <w:pStyle w:val="TextoNormal"/>
      </w:pPr>
      <w:r>
        <w:t>En suma, la decisión de no someter a gravamen un mínimo vital para quienes quedan de forma genérica obligados a contribuir por el impuesto sobre la renta mediante la aplicación de una reducción en la base imponible es una opción legislativa que, en tanto dirigida a la consecución de las finalidades descritas, no puede calificarse de contraria al texto constitucional. Y no desmerece esta conclusión el hecho de que dicho mínimo vital de subsistencia se garantice a todas las personas por igual, con independencia de su nivel de renta, pues de los preceptos constitucionales analizados se deduce, como garantía básica, la necesidad de un mínimo protegido de la acción de los poderes públicos, pero no la forma en que debe articularse dicha protección, lo que supone que pudiendo ser valida la opción de condicionar la aplicación de ese mínimo hasta un determinado umbral de renta, igual de válida es la opción contraria, esto es, la de garantizar aquel mínimo vital de subsistencia libre de gravamen para todos los obligados al sostenimiento de los gastos públicos.</w:t>
      </w:r>
    </w:p>
    <w:p w:rsidR="00D06117" w:rsidRDefault="00D06117" w:rsidP="00D06117">
      <w:pPr>
        <w:pStyle w:val="TextoNormal"/>
      </w:pPr>
    </w:p>
    <w:p w:rsidR="00D06117" w:rsidRDefault="00D06117" w:rsidP="00D06117">
      <w:pPr>
        <w:pStyle w:val="TextoNormal"/>
      </w:pPr>
      <w:r>
        <w:t xml:space="preserve">b) Respecto del concepto de renta gravable, lo que vienen a discutir los recurrentes es que al aplicarse las deducciones personales —o reducciones— sobre la base imponible en lugar de hacerse sobre la cuota, a igualdad de circunstancias personales y familiares, el efecto en cuota es que es mayor la deducción cuanto más elevadas son las rentas, lo que vendría a dotar al impuesto de un cierto efecto regresivo. Pues bien, como ya hemos tenido ocasión de señalar en otra ocasión “la regresividad de una norma tributaria debe apreciarse </w:t>
      </w:r>
      <w:r>
        <w:lastRenderedPageBreak/>
        <w:t>en términos globales y no en relación con un precepto aislado”, tanto más cuando, como decíamos entonces y tenemos que repetir ahora, “lo cierto es que, en este caso, los recurrentes acusan la regresividad en un sentido muy peculiar: mientras que la significación habitual, en el orden tributario, de la regresividad, atiende a una incidencia de una medida fiscal en la economía del contribuyente, de forma inversa a su capacidad contributiva, de suerte que, al contrario de lo que exige el principio de progresividad, el tipo de gravamen se reduce a medida que aumenta la base, aquí la acusación de regresividad se refiere a la comparación del nuevo régimen legal con la normativa anterior. Es decir, no se trata de comparar la incidencia de la norma en economías diversas, sino de relacionar uno y otro régimen” (STC 27/1981, de 20 de julio, FJ 5). En efecto, como señala el Abogado del Estado, los recurrentes parten de una concepción errónea de la progresividad a la que apela el art. 31.1 CE que les lleva a la conclusión de que cualquier solución legal que resulte “menos progresiva” que la establecida en la Ley 18/1991 es contraria a la Constitución, cuando lo cierto es que la progresividad es una regla técnica matemática en la que pueden tener cabida multitud de combinaciones constitucionalmente lícitas.</w:t>
      </w:r>
    </w:p>
    <w:p w:rsidR="00D06117" w:rsidRDefault="00D06117" w:rsidP="00D06117">
      <w:pPr>
        <w:pStyle w:val="TextoNormal"/>
      </w:pPr>
    </w:p>
    <w:p w:rsidR="00D06117" w:rsidRDefault="00D06117" w:rsidP="00D06117">
      <w:pPr>
        <w:pStyle w:val="TextoNormal"/>
      </w:pPr>
      <w:r>
        <w:t>De entrada, debe precisarse que, como tantas veces hemos dicho, la progresividad que reclama el art. 31.1 CE es del “sistema tributario” en su conjunto, es decir, se trata de “la progresividad global del sistema tributario” (STC 27/1981, de 20 de julio, FJ 4), pues a diferencia del principio de capacidad económica que opera, en principio, respecto “de cada uno” (SSTC 27/1981, de 20 de julio, FJ 4; y 7/2010, de 27 de abril, FJ 6; con la matización realizada en el ATC 71/2008, de 26 de febrero, FJ 5), el principio de progresividad se relaciona con el “sistema tributario” (STC 182/1997, de 28 de octubre, FJ 7), al erigirse en un “criterio inspirador” [STC 19/1987, de 17 de febrero, FJ 3; y también SSTC 76/1990, de 26 de abril, FJ 6 B); y 7/2010, de 27 de abril, FJ 6]. Por esta razón, hemos tenido ya la oportunidad de afirmar que “en un sistema tributario justo pueden tener cabida tributos que no sean progresivos, siempre que no se vea afectada la progresividad del sistema”,. (STC 7/2010, de 27 de abril, FJ 6), y, debemos añadir ahora, que el hecho de que en la determinación de un tributo, un aspecto pueda tener un efecto regresivo, no convierte per se ni al tributo en regresivo ni a la medida adoptada en inconstitucional, siempre y cuando esa medida tenga una incidencia menor “en el conjunto del sistema tributario” (STC 7/2010, de 27 de abril, FJ 6).</w:t>
      </w:r>
    </w:p>
    <w:p w:rsidR="00D06117" w:rsidRDefault="00D06117" w:rsidP="00D06117">
      <w:pPr>
        <w:pStyle w:val="TextoNormal"/>
      </w:pPr>
    </w:p>
    <w:p w:rsidR="00D06117" w:rsidRDefault="00D06117" w:rsidP="00D06117">
      <w:pPr>
        <w:pStyle w:val="TextoNormal"/>
      </w:pPr>
      <w:r>
        <w:t xml:space="preserve">En el caso que nos ocupa, aun siendo claro que la aplicación de las deducciones personales en la base imponible provoca un cierto efecto regresivo, moderando la progresividad de la escala, también lo es que el efecto es mayor en quienes tienen bases imponibles menores y menor en quienes tienen bases imponibles mayores. A diferencia de la deducción en cuota que se aplica de forma horizontal y, por tanto, tiene un efecto homogéneo en todos los contribuyentes, al operar de la misma manera con independencia de su base imponible y, por tanto, de su tipo efectivo de gravamen, las reducciones aplicables en la base imponible tienen un efecto en cuota directamente proporcional al tipo efectivo de gravamen, por lo que a mayor tipo efectivo de gravamen, mayor minoración de la cuota tributaria. Dicho esto, sin embargo, debe señalarse a renglón seguido que, en la medida que la fórmula de moderación de la progresividad, no sólo se aplica de forma genérica a todos los contribuyentes del impuesto, sino que tiene un efecto mucho más potenciado en las bases menores que en las mayores, no puede concluirse que sea irrazonable y, por tanto, contraria a los principios constitucionales que necesariamente deben regir la articulación del impuesto. Si de conformidad con el art. 40.2 de la Ley 40/1998, la cuantía del mínimo personal era, con carácter </w:t>
      </w:r>
      <w:r>
        <w:lastRenderedPageBreak/>
        <w:t>general, de 550.000 pesetas (3.305,56 €), la reducción del tipo medio efectivo de gravamen que provocaba la aplicación del mínimo personal en unas bases imponibles, por ejemplo, de 2.650.000 pesetas (15.926,82 €) y de 11.550.000 pesetas (69.416,89 €), aplicándoles la escala del ejercicio, tanto estatal (art. 50.1) como autonómica (art. 61.1), era de 6,29 puntos, para el primer caso, y de 2,28 puntos, para el segundo, al pasarse, en el primero, de un tipo medio efectivo de gravamen del 23,95 al 17,66 por 100, y, en el segundo, del 36,43 al 34,15 por 100. Es evidente, pues, que la reducción cuestionada, en términos porcentuales, tiene un efecto más favorable cuando menor es la base imponible sobre la que se aplica.</w:t>
      </w:r>
    </w:p>
    <w:p w:rsidR="00D06117" w:rsidRDefault="00D06117" w:rsidP="00D06117">
      <w:pPr>
        <w:pStyle w:val="TextoNormal"/>
      </w:pPr>
    </w:p>
    <w:p w:rsidR="00D06117" w:rsidRDefault="00D06117" w:rsidP="00D06117">
      <w:pPr>
        <w:pStyle w:val="TextoNormal"/>
      </w:pPr>
      <w:r>
        <w:t>De este modo, lo que están haciendo verdaderamente los recurrentes es cuestionar el trato desigual de situaciones diferentes (la aplicación de una misma reducción sobre bases diferentes supone una deducción efectiva distinta sobre la cuota del tributo), cuando, a su juicio, debían tratarse todas las situaciones, aun reconociendo que son diferentes, de la misma forma. Pues bien, si conforme a reiterada doctrina de este Tribunal, el principio constitucional de igualdad no consagra “un derecho a la desigualdad de trato, ni ampara la falta de distinción entre supuestos desiguales, por lo que no existe ningún derecho subjetivo al trato normativo desigual” [STC 69/2007, de 16 de abril, FJ 4, en relación con el principio de igualdad del art. 14 CE; en el mismo sentido, SSTC 117/2006, de 24 de abril, FJ 2 c); 257/2005, de 24 de octubre, FJ 4; 231/2005, de 26 de septiembre, FJ 5; 104/2005, de 9 de mayo, FJ 3; 156/2003, de 15 de septiembre, FJ 3; 88/2001, de 2 de abril, FJ 3; 21/2001, de 29 de enero, FJ 2; 181/2000, de 29 de junio, FJ 11; 36/1999, de 22 de marzo, FJ 4; 211/1996, de 17 de diciembre, FJ 4; y 308/1994, de 21 de noviembre, FJ 5], menos consagra un pretendido derecho al trato igual de situaciones desiguales. No cabe descuidar que la mención en el art. 31.1 CE del principio de igualdad conjuntamente con el de progresividad evidencia que el primero de ellos “no puede ser entendido en términos tales que impidan al legislador, al establecer el sistema fiscal que estima justo, introducir diferencias entre los contribuyentes, bien sea atendiendo a la cuantía de sus rentas, al origen de éstas o cualesquiera condición social que considere relevante para atender al fin de la justicia” (STC 159/1997, de 2 de octubre, FJ 3).</w:t>
      </w:r>
    </w:p>
    <w:p w:rsidR="00D06117" w:rsidRDefault="00D06117" w:rsidP="00D06117">
      <w:pPr>
        <w:pStyle w:val="TextoNormal"/>
      </w:pPr>
    </w:p>
    <w:p w:rsidR="00D06117" w:rsidRDefault="00D06117" w:rsidP="00D06117">
      <w:pPr>
        <w:pStyle w:val="TextoNormal"/>
      </w:pPr>
      <w:r>
        <w:t>En suma, la forma en que se ha articulado la reducción por el mínimo personal no deja de ser una opción legislativa válida que no implica, en los términos en que ha sido configurada, la violación de los principios del art. 31.1 CE a los que apelan los Diputados recurrentes. Ello conduce a rechazar el vicio denunciado desde esta perspectiva.</w:t>
      </w:r>
    </w:p>
    <w:p w:rsidR="00D06117" w:rsidRDefault="00D06117" w:rsidP="00D06117">
      <w:pPr>
        <w:pStyle w:val="TextoNormal"/>
      </w:pPr>
    </w:p>
    <w:p w:rsidR="00D06117" w:rsidRDefault="00D06117" w:rsidP="00D06117">
      <w:pPr>
        <w:pStyle w:val="TextoNormal"/>
      </w:pPr>
      <w:r w:rsidRPr="00D06117">
        <w:rPr>
          <w:rStyle w:val="NumeroAFNegritaCaracter"/>
        </w:rPr>
        <w:t>5</w:t>
      </w:r>
      <w:r>
        <w:t>. En cuanto a la articulación del mínimo personal y familiar, los recurrentes analizan comparativamente el sistema adoptado por la Ley 18/1991 (de deducciones en la cuota del tributo en función de determinadas circunstancias subjetivas) con el articulado por la Ley 40/1998 (de reducciones en la base imponible en función de determinas circunstancias subjetivas) para concluir que es únicamente válido aquel sistema e inconstitucional éste, no sólo porque sostienen —como ya hemos visto en el apartado anterior— que cuanto más elevadas son las rentas de los sujetos pasivos más aumenta la desgravación por dichas circunstancias, sino porque consideran —y es lo que ahora interesa— que en la deducción por el mínimo familiar se establece un trato injustificadamente desigual en función de que los contribuyentes convivan o no con los hijos, dado que, a igualdad de condiciones —esto es, de cargas familiares—, la deducción sólo resulta aplicable en el primer caso, sin que la medida prevista en los arts. 51 y 62 de la Ley corrija la situación.</w:t>
      </w:r>
    </w:p>
    <w:p w:rsidR="00D06117" w:rsidRDefault="00D06117" w:rsidP="00D06117">
      <w:pPr>
        <w:pStyle w:val="TextoNormal"/>
      </w:pPr>
    </w:p>
    <w:p w:rsidR="00D06117" w:rsidRDefault="00D06117" w:rsidP="00D06117">
      <w:pPr>
        <w:pStyle w:val="TextoNormal"/>
      </w:pPr>
      <w:r>
        <w:lastRenderedPageBreak/>
        <w:t>Antes de analizar este nuevo motivo de inconstitucionalidad cabe hacer dos precisiones. La primera hace referencia a su objeto, pues aun cuando los recurrentes impugnan la totalidad del art. 40 (que regula el mínimo personal y familiar, fijando sus cuantías), y, en conexión con él, los arts. 51 y 62 (preceptos que establecen que los contribuyentes que satisfagan anualidades por alimentos a sus hijos por decisión judicial aplicarán separadamente la escala general del impuesto al importe de dichas anualidades), sin embargo, su denuncia se limita a poner de manifiesto el trato dispar que reciben los progenitores en la aplicación del mínimo familiar por descendientes por el hecho de la convivencia o no [art. 40.3.1 b)], razón por la cual es a este aspecto exclusivamente al que se va a contraer nuestro análisis.</w:t>
      </w:r>
    </w:p>
    <w:p w:rsidR="00D06117" w:rsidRDefault="00D06117" w:rsidP="00D06117">
      <w:pPr>
        <w:pStyle w:val="TextoNormal"/>
      </w:pPr>
    </w:p>
    <w:p w:rsidR="00D06117" w:rsidRDefault="00D06117" w:rsidP="00D06117">
      <w:pPr>
        <w:pStyle w:val="TextoNormal"/>
      </w:pPr>
      <w:r>
        <w:t>La segunda precisión se dirige a señalar que la protección de la familia por parte de los poderes públicos a la que apela el art. 39.1 CE, si bien no obliga a que necesariamente se dispense “a través de medidas de una determinada naturaleza” (STC 214/1994, de 14 de julio, FJ 7) o, más concretamente, “a través del sistema tributario” (ATC 289/1999, de 30 de noviembre, FJ 7), y ni mucho menos a que se adopten “medidas fiscales de una determinada intensidad” (ATC 289/1999, de 30 de noviembre, FJ 7), “sin perjuicio de la legitimidad de medidas fiscales orientadas a la protección de la familia (art. 39.1 CE)” (STC 209/1988, de 10 de noviembre, FJ 9), sí impide, sin embargo, que a través de medidas de naturaleza tributaria se vaya en contra de ese mandato por imponer un tratamiento más gravoso a quienes están incluidos en una unidad familiar (SSTC 209/1988, de 10 de noviembre, FJ 9; y 45/1989, de 20 de febrero, FJ 7).</w:t>
      </w:r>
    </w:p>
    <w:p w:rsidR="00D06117" w:rsidRDefault="00D06117" w:rsidP="00D06117">
      <w:pPr>
        <w:pStyle w:val="TextoNormal"/>
      </w:pPr>
    </w:p>
    <w:p w:rsidR="00D06117" w:rsidRDefault="00D06117" w:rsidP="00D06117">
      <w:pPr>
        <w:pStyle w:val="TextoNormal"/>
      </w:pPr>
      <w:r>
        <w:t>Dicho lo que antecede, debe señalarse que ha sido habitual, y sigue siéndolo hoy, que el legislador condicione la aplicación de las deducciones (en cuota) o reducciones (en base) familiares, tanto por ascendientes como por descendientes, al hecho de la “convivencia” con el sujeto pasivo del impuesto. La convivencia, es y ha sido, no sólo el elemento definidor del concepto de “unidad familiar” (cónyuges con hijos menores que no vivan independientes de los padres, y padre o madre y los hijos menores que convivan con uno u otro), sino el elemento determinante para ajustar la tributación (vía deducción en cuota o vía reducción en base) de aquellos contribuyentes con cargas familiares por descendientes. Ello supone que, en el caso de familias monoparentales, la reducción se la aplica por entero el progenitor con quien conviven los descendientes, y, en el supuesto de familias biparentales (por matrimonio), la reducción o deducción se la practican ambos progenitores, de forma prorrateada. El legislador ha rechazado, pues, acudir al criterio de la “dependencia económica” para optar por el de la “convivencia”, de forma que atribuye el derecho a practicarse la reducción por los gastos que genera el mantenimiento de los descendientes, no a quienes efectivamente soporten esos gastos, sino exclusivamente al progenitor con quien convivan los descendientes. Nos encontramos, entonces, con que, ante situaciones de hecho iguales (padres o madres que concurren al sostenimiento de los hijos comunes), la razón del trato dispar que les dispensa la normativa tributaria (reducción por mínimo familiar) se basa en el criterio de la “convivencia”.</w:t>
      </w:r>
    </w:p>
    <w:p w:rsidR="00D06117" w:rsidRDefault="00D06117" w:rsidP="00D06117">
      <w:pPr>
        <w:pStyle w:val="TextoNormal"/>
      </w:pPr>
    </w:p>
    <w:p w:rsidR="00D06117" w:rsidRDefault="00D06117" w:rsidP="00D06117">
      <w:pPr>
        <w:pStyle w:val="TextoNormal"/>
      </w:pPr>
      <w:r>
        <w:t xml:space="preserve">Sobre las exigencias que la igualdad impone en la creación del Derecho existe una muy amplia doctrina de este Tribunal que puede sintetizarse ahora recordando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así perseguido. En este sentido, este Tribunal ha venido exigiendo para permitir el trato </w:t>
      </w:r>
      <w:r>
        <w:lastRenderedPageBreak/>
        <w:t>dispar de situaciones homologables, además del fin lícito,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la proporcionalidad de la medida, pues el principio de igualdad no prohíbe al legislador cualquier desigualdad de trato sino sólo aquellas desigualdades en las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desde una perspectiva constitucional, evitando resultados especialmente gravosos o desmedidos (por todas, las SSTC 76/1990, de 26 de abril, FJ 9; 214/1994, de 14 de julio, FJ 8; 46/1999, de 22 de marzo, FJ 2; 200/2001, de 4 de octubre, FJ 4; 39/2002, de 14 de febrero, FJ 4; y 96/2002, de 25 de abril, FJ 7).</w:t>
      </w:r>
    </w:p>
    <w:p w:rsidR="00D06117" w:rsidRDefault="00D06117" w:rsidP="00D06117">
      <w:pPr>
        <w:pStyle w:val="TextoNormal"/>
      </w:pPr>
    </w:p>
    <w:p w:rsidR="00D06117" w:rsidRDefault="00D06117" w:rsidP="00D06117">
      <w:pPr>
        <w:pStyle w:val="TextoNormal"/>
      </w:pPr>
      <w:r>
        <w:t>Para alcanzar una conclusión sobre la razonabilidad del criterio asumido por el legislador es preciso recordar antes de nada que el art. 39.3 CE impone a los padres el deber de “prestar asistencia de todo orden a los hijos habidos dentro o fuera del matrimonio, durante su minoría de edad”. Ese precepto constitucional, que “refleja una conexión directa con el art. 14 CE” (STC 154/2006, de 22 de mayo, FJ 8), impone a los padres, por igual, el deber de prestar asistencia a los hijos, “—asistencia que, naturalmente, incluye la contribución a los alimentos— con independencia de que éstos hayan sido concebidos dentro o fuera del matrimonio (art. 39.3 CE), de que se haya producido la nulidad matrimonial, la separación legal o la disolución del matrimonio por divorcio (art. 92 del Código civil), o incluso, en fin, de que el progenitor quede excluido de la patria potestad y demás funciones tuitivas (arts. 110 y 111, in fine, CC)” (STC 33/2006, de 13 de febrero, FJ 4). Tales alimentos, conforme al art. 142 del Código civil (CC), incluyen el sustento, habitación, vestido, asistencia médica y educación de los hijos, y deben satisfacerse en medida proporcionada al caudal o medios de quien los da y a las necesidades de quien los recibe (art. 146 CC) (SSTC 1/2001, de 15 de enero, FJ 3; y 33/2006, de 13 de febrero, FJ 4). De la misma manera que el texto constitucional no hace depender exclusivamente el concepto constitucional de familia a la que tiene su origen en el matrimonio (SSTC 222/1992, de 11 de diciembre, FJ 5; 47/1993, de 8 de febrero, FJ 2; y 116/1999, de 17 de junio, FJ 13), ni tampoco la limita a las relaciones con descendencia (STC 116/1999, de 17 de junio, FJ 13), es evidente que la familia a la que manda proteger el art. 39.1 CE nada tiene que ver con el hecho físico de la convivencia entre los miembros que la integran, de modo que no es posible admitir que el progenitor que no vive con sus descendientes pero que mantiene, por imposición legal o judicial, la obligación de prestarles asistencia de todo orden, quede excluido por esa circunstancia del ámbito de protección que exige aquel precepto constitucional.</w:t>
      </w:r>
    </w:p>
    <w:p w:rsidR="00D06117" w:rsidRDefault="00D06117" w:rsidP="00D06117">
      <w:pPr>
        <w:pStyle w:val="TextoNormal"/>
      </w:pPr>
    </w:p>
    <w:p w:rsidR="00D06117" w:rsidRDefault="00D06117" w:rsidP="00D06117">
      <w:pPr>
        <w:pStyle w:val="TextoNormal"/>
      </w:pPr>
      <w:r>
        <w:t xml:space="preserve">Pues bien, si los padres vienen obligados por la Constitución a prestar asistencia de todo orden a sus hijos menores (art. 39.3 CE), los poderes públicos vienen obligados, a su vez, a asegurar la protección económica de la familia (art. 39.1 CE), y, aunque, como hemos dicho, desde un punto de vista constitucional, tan válida es la opción legislativa dirigida a permitir la deducción del coste de mantenimiento de los hijos como la de no permitir dicha deducción (SSTC 1/2001, de 15 de enero, FJ 3; y 57/2005, de 14 de marzo, FJ 4), sin embargo, si el </w:t>
      </w:r>
      <w:r>
        <w:lastRenderedPageBreak/>
        <w:t>legislador opta por garantizar la protección económica de la familia permitiendo la deducción de una parte de los gastos que aquella asistencia provoca, debe hacerlo “sin establecer discriminaciones injustificadas entre sus potenciales destinatarios, al tratarse a fin de cuentas, de la igualdad de todos ante una exigencia constitucional —el deber de contribuir o la solidaridad en el levantamiento de las cargas públicas—” (STC 57/2005, de 14 de marzo, FJ 4), por lo que la reducción así establecida debe beneficiar a todos los progenitores que —por imperativo constitucional (art. 39.3 CE) y legal (arts. 110, 111 y 143 CC)— han de prestar asistencia de todo orden a sus hijos. Por eso, es fundamental determinar si la “convivencia” como criterio determinante de la aplicación de la reducción citada y, por tanto, del trato dispar entre los progenitores que concurren al mantenimiento de sus hijos, es o no un criterio que legitime dicha diferenciación.</w:t>
      </w:r>
    </w:p>
    <w:p w:rsidR="00D06117" w:rsidRDefault="00D06117" w:rsidP="00D06117">
      <w:pPr>
        <w:pStyle w:val="TextoNormal"/>
      </w:pPr>
    </w:p>
    <w:p w:rsidR="00D06117" w:rsidRDefault="00D06117" w:rsidP="00D06117">
      <w:pPr>
        <w:pStyle w:val="TextoNormal"/>
      </w:pPr>
      <w:r>
        <w:t>La Ley 40/1998 introduce la “convivencia” como factor diferencial de la situación jurídica que contempla sin que exista en su exposición de motivos razón alguna que justifique aquel trato desigual. Tampoco puede encontrarse en el estudio y propuesta de medidas para la reforma del impuesto sobre la renta de las personas físicas (1998), ni en el proyecto de ley, ni en los textos y debates de la tramitación parlamentaria de la citada ley. En este sentido, el art. 40.3 b) del proyecto de ley acogía la controvertida reducción por descendientes asociada a la “dependencia” del contribuyente [“Boletín Oficial de las Cortes Generales”, Congreso de los Diputados, VI Legislatura, Serie A: Proyectos de Ley, 4 de mayo de 1998, núm. 114-1 (pág. 18)], de conformidad con la propuesta contenida en el informe de la Comisión para el estudio y propuesta de medidas para la reforma del IRPF (pág. 107), siendo durante la tramitación en el Congreso cuando se sustituye esa “dependencia”, como factor determinante para aplicación del mínimo por descendientes, por el de la “convivencia” [enmiendas núm. 66, 130 y 261, “Boletín Oficial de las Cortes Generales”, Congreso de los Diputados, VI Legislatura, Serie A: Proyectos de Ley, 25 de junio de 1998, núm. 114-8, págs. 81, 104 y 143, respectivamente]. Sin embargo, no es posible encontrar la razón de ese cambio ni en la justificación de las citadas enmiendas ni durante los debates a que dieron lugar [Cortes Generales, “Diario de Sesiones del Congreso de los Diputados”, Comisiones, Economía, Comercio y Hacienda, año 1998, VI Legislatura, núm. 505, Sesión núm. 49 (extraordinaria), 14 de julio de 1998, pág. 14574; y Cortes Generales, “Diario de Sesiones del Congreso de los Diputados”, Pleno y Diputación Permanente, año 1998, VI Legislatura, núm. 178, Sesión Plenaria núm. 172, 17 de septiembre de 1998, pág. 9553]. Y aunque durante la tramitación en el Senado se propuso nuevamente, también sin explicitar la razón, la aplicación del criterio de la “dependencia” [enmienda núm. 15, “Boletín Oficial de las Cortes Generales”, Senado, VI Legislatura, Serie II: Proyectos de Ley, 19 de octubre de 1998, núm. 100 (d), pág. 73], finalmente, la redacción definitiva del art. 40, aquí impugnado, asumiría la “convivencia” como criterio determinante.</w:t>
      </w:r>
    </w:p>
    <w:p w:rsidR="00D06117" w:rsidRDefault="00D06117" w:rsidP="00D06117">
      <w:pPr>
        <w:pStyle w:val="TextoNormal"/>
      </w:pPr>
    </w:p>
    <w:p w:rsidR="00D06117" w:rsidRDefault="00D06117" w:rsidP="00D06117">
      <w:pPr>
        <w:pStyle w:val="TextoNormal"/>
      </w:pPr>
      <w:r>
        <w:t xml:space="preserve">Según lo que antecede, la norma controvertida atribuye el derecho a practicarse la reducción por los gastos que genera el mantenimiento de los descendientes, no a quienes efectivamente soportan esos gastos, sino exclusivamente al progenitor o progenitores con quien conviven, asumiendo el criterio de la “convivencia” como factor diferencial en lugar del de la “dependencia económica”. Sin embargo, si resulta, de un lado, que el legislador ha optado por garantizar la protección económica de la familia permitiendo a tal fin la reducción de la base en el IRPF de una parte de los gastos que provoca la asistencia de todo orden a los hijos, y, de otro, que la familia a la que manda proteger el art. 39.1 CE no viene determinada </w:t>
      </w:r>
      <w:r>
        <w:lastRenderedPageBreak/>
        <w:t>por el hecho físico de la convivencia, se puede concluir que el criterio adoptado por el legislador quiebra el axioma de que toda deducción (o reducción) de un gasto debe aprovechar, en principio, a quien lo soporta, salvo que haya una razón que justifique el recurso a otro criterio.</w:t>
      </w:r>
    </w:p>
    <w:p w:rsidR="00D06117" w:rsidRDefault="00D06117" w:rsidP="00D06117">
      <w:pPr>
        <w:pStyle w:val="TextoNormal"/>
      </w:pPr>
    </w:p>
    <w:p w:rsidR="00D06117" w:rsidRDefault="00D06117" w:rsidP="00D06117">
      <w:pPr>
        <w:pStyle w:val="TextoNormal"/>
      </w:pPr>
      <w:r>
        <w:t>Siendo cierto que, en la mayoría de los casos, el hecho de la convivencia permite presumir la dependencia económica de los descendientes, también lo es que no toda dependencia económica se basa en la convivencia, como sucede no sólo en los supuestos de nulidad, separación o divorcio, sino también en aquellos otros en los que, sin existir esa nulidad, separación o divorcio, los contribuyentes sostienen a sus hijos sin convivir con ellos. Pues bien, debe señalarse que, en contra de lo que mantienen los recurrentes, esta diferencia de trato que dispensa la norma legal carece de relevancia constitucional respecto de los contribuyentes que satisfacen anualidades por alimentos a sus hijos por decisión judicial, pues la medida prevista en los arts. 51 y 62 de la Ley 40/1998, aunque distinta en su forma de articulación a la reducción impugnada, basándose en el criterio de la “dependencia económica”, viene a producir un efecto equivalente, al minorar la tributación final mediante la reducción de la progresividad del impuesto.</w:t>
      </w:r>
    </w:p>
    <w:p w:rsidR="00D06117" w:rsidRDefault="00D06117" w:rsidP="00D06117">
      <w:pPr>
        <w:pStyle w:val="TextoNormal"/>
      </w:pPr>
    </w:p>
    <w:p w:rsidR="00D06117" w:rsidRDefault="00D06117" w:rsidP="00D06117">
      <w:pPr>
        <w:pStyle w:val="TextoNormal"/>
      </w:pPr>
      <w:r>
        <w:t>Por el contrario, dicha diferencia de trato adquiere relevancia constitucional, con relación a aquellos otros contribuyentes que, teniendo hijos que dependen económicamente de ellos, ni conviven con los mismos —por diferentes causas— ni satisfacen anualidades por alimentos en virtud de una decisión judicial. Estos casos no son una mera excepción a la regla general, al no tratarse de “situaciones puntuales”, esto es, de “supuestos patológicos”, no previstos o no queridos por la ley (por todas, STC 113/2006, de 5 de abril, FJ 9), sino justamente de lo contrario, de una decisión legislativa que asume como consecuencia inmediata la exclusión de su ámbito de aplicación de todo contribuyente que aun concurriendo al sostenimiento de sus hijos no convive con ellos.</w:t>
      </w:r>
    </w:p>
    <w:p w:rsidR="00D06117" w:rsidRDefault="00D06117" w:rsidP="00D06117">
      <w:pPr>
        <w:pStyle w:val="TextoNormal"/>
      </w:pPr>
    </w:p>
    <w:p w:rsidR="00D06117" w:rsidRDefault="00D06117" w:rsidP="00D06117">
      <w:pPr>
        <w:pStyle w:val="TextoNormal"/>
      </w:pPr>
      <w:r>
        <w:t>De acuerdo con lo señalado hasta este momento es importante subrayar que no le corresponde a este Tribunal decidir cuál es la forma en la que se debe articular la reducción por el mínimo familiar por descendientes. Sí nos corresponde, sin embargo, determinar si la articulación que se ha hecho en la normativa impugnada es respetuosa del principio constitucional de igualdad, en la medida en que excluye de su aplicación, sin razón que lo justifique, a un grupo importante de contribuyentes que prestan asistencia económica a sus descendientes por el sólo hecho de no convivir con ellos. Por ello, debe concluirse que, no ajustándose la norma controvertida al fin perseguido (la protección de la familia mediante la deducción de parte de los gastos que provoca el deber constitucional de asistencia de todo orden a los hijos), al no ser las consecuencias jurídicas que resultan proporcionadas al mismo, no cabe sino declarar la inconstitucionalidad de la expresión “conviva con el contribuyente y” de la letra b) del apartado 1 del art. 40.3 de la Ley 40/1998, de 9 de diciembre, del impuesto sobre la renta de las personas físicas y otras normas tributarias. Por el contrario, no procede declarar su nulidad, no sólo porque la norma impugnada ya ha sido derogada, sino porque suprimido el requisito de la convivencia sin poderlo sustituir por ningún otro, la norma resultante provocaría un derecho automático a la aplicación del mínimo familiar por todo descendiente soltero menor de veinticinco años con independencia de las circunstancias concurrentes, lo que ciertamente no se compadecería con la finalidad de la reducción prevista.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Los Diputados recurrentes imputan a los arts. 17.2 c) y d), 24.2 b) y c), y por conexión, a las disposiciones transitorias sexta y séptima, de la Ley 40/1998, la vulneración del art. 31.1 CE. Consideran los Diputados recurrentes, a este respecto, que el tratamiento fiscal que la Ley 40/1998 confiere, dentro de los rendimientos del trabajo, a los rendimientos derivados de prestaciones de jubilación de los contratos de seguros colectivos percibidos en forma de capital [art. 17.2 c)] y de prestaciones por invalidez percibidas en forma de capital [art. 17.2 d)], y, dentro de los rendimientos del capital mobiliario, a los de percepciones de contratos de seguro de vida recibidas en forma de capital [art. 24.2 b)] y de prestaciones por invalidez percibidas en forma de capital [art. 24.2 c)], así como el régimen transitorio previsto (disposiciones transitorias sexta y séptima), son inconstitucionales por contradecir el principio de igualdad en la contribución a las cargas públicas del art. 31.1 CE, por recoger unas reducciones distintas a las previstas, con carácter general, para las rentas irregulares (del 30 por 100).</w:t>
      </w:r>
    </w:p>
    <w:p w:rsidR="00D06117" w:rsidRDefault="00D06117" w:rsidP="00D06117">
      <w:pPr>
        <w:pStyle w:val="TextoNormal"/>
      </w:pPr>
    </w:p>
    <w:p w:rsidR="00D06117" w:rsidRDefault="00D06117" w:rsidP="00D06117">
      <w:pPr>
        <w:pStyle w:val="TextoNormal"/>
      </w:pPr>
      <w:r>
        <w:t>Ciertamente, como apuntan los recurrentes, la Ley 40/1998 distingue entre un régimen general, consistente en aplicar una reducción del 30 ó 40 por 100, y un régimen especial, en el que las reducciones pueden llegar a ser de hasta el 70 por 100. Pues bien, a este respecto es necesario señalar que el trato fiscal que se otorga a los rendimientos del trabajo o del capital procedentes de los contratos de seguros citados buscaba incentivar el ahorro a largo plazo instrumentado a través de esos productos (de modo que la reducción variaba en función de la antigüedad de la prima), con la finalidad de fomentar un sistema de previsión social complementaria al sistema público de pensiones. En efecto, puesto que el sistema público de pensiones es limitado, se pretendía fomentar su complemento mediante el uso de productos alternativos, razón por la cual, se bonificaba fiscalmente para estimular su contratación. Como señala la exposición de motivos de la norma impugnada, “se aclara la fiscalidad de los sistemas alternativos a los planes de pensiones, se mejora su regulación actual al servicio de la neutralidad y se da un tratamiento sencillo y unitario, favorable al ahorro a largo plazo, a los rendimientos derivados de contratos de seguros. En este terreno se ha optado por un esquema de máxima simplicidad en la calificación, evitando las injustificadas discriminaciones actuales entre las diferentes modalidades de contratación” (apartado IV, párrafo 7).</w:t>
      </w:r>
    </w:p>
    <w:p w:rsidR="00D06117" w:rsidRDefault="00D06117" w:rsidP="00D06117">
      <w:pPr>
        <w:pStyle w:val="TextoNormal"/>
      </w:pPr>
    </w:p>
    <w:p w:rsidR="00D06117" w:rsidRDefault="00D06117" w:rsidP="00D06117">
      <w:pPr>
        <w:pStyle w:val="TextoNormal"/>
      </w:pPr>
      <w:r>
        <w:t>Ahora bien, es evidente que el hecho de que tenga una finalidad razonable y legítima no impide que el trato que se dispensa a los diferentes instrumentos públicos y privados pueda no ser respetuoso con el principio de igualdad ante la ley tributaria. Para ello, es preciso, en primer lugar, determinar si las situaciones que se pretenden comparar son iguales, para, en segundo lugar, concretar si existe, no ya una razón para adoptar la medida controvertida, sino una razón objetiva y razonable que permita dispensar un trato desigual a situaciones que, de hecho, sean iguales.</w:t>
      </w:r>
    </w:p>
    <w:p w:rsidR="00D06117" w:rsidRDefault="00D06117" w:rsidP="00D06117">
      <w:pPr>
        <w:pStyle w:val="TextoNormal"/>
      </w:pPr>
    </w:p>
    <w:p w:rsidR="00D06117" w:rsidRDefault="00D06117" w:rsidP="00D06117">
      <w:pPr>
        <w:pStyle w:val="TextoNormal"/>
      </w:pPr>
      <w:r>
        <w:t xml:space="preserve">Respecto de las situaciones sobre las que los recurrentes pretenden realizar un juicio de igualdad, éstos comparan, in toto, el régimen de las prestaciones derivadas de los regímenes públicos percibidas en forma de capital y el de las prestaciones derivadas de instrumentos del ahorro privado también percibidas en forma de capital, cuando existen tantas variantes en uno y otro sistema, que no hacen posible realizar el pretendido juicio de igualdad. Es doctrina reiterada de este Tribunal que la impugnación de las normas debe ir acompañada de la preceptiva fundamentación y precisión que permitan conocer las razones por las que los recurrentes entienden que las disposiciones impugnadas vulneran el orden constitucional </w:t>
      </w:r>
      <w:r>
        <w:lastRenderedPageBreak/>
        <w:t>(SSTC 118/1996, de 27 de junio, FJ 2; 118/1998, de 4 de junio, FJ 4; 233/1999, de 16 de diciembre, FJ 2; 104/2000, de 13 de abril, FJ 5; 96/2002, de 25 de abril, FJ 4; y 16/2003, de 30 de enero, FJ 9), mediante un pormenorizado análisis de las graves cuestiones que se suscitan, de modo que cuando los recurrentes no cumplen con esta carga, se incurre en una falta de la diligencia procesalmente exigible (SSTC 11/1981, de 8 de abril, FJ 3; 36/1994, de 10 de febrero, FJ 1; 43/1996, de 14 de marzo, FJ 3; 61/1997, de 20 de marzo, FJ 13; 118/1998, de 4 de junio, FJ 4; 233/1999, de 16 de diciembre, FJ 2; y 16/2003, de 30 de enero, FJ 9).</w:t>
      </w:r>
    </w:p>
    <w:p w:rsidR="00D06117" w:rsidRDefault="00D06117" w:rsidP="00D06117">
      <w:pPr>
        <w:pStyle w:val="TextoNormal"/>
      </w:pPr>
    </w:p>
    <w:p w:rsidR="00D06117" w:rsidRDefault="00D06117" w:rsidP="00D06117">
      <w:pPr>
        <w:pStyle w:val="TextoNormal"/>
      </w:pPr>
      <w:r>
        <w:t>Así, no sólo hemos admitido que la presunción de constitucionalidad de las normas con rango de ley no pueda desvirtuarse sin un mínimo de argumentación, sino que hemos rechazado “impugnaciones globales y carentes de una razón suficientemente desarrollada” (por todas, SSTC 43/1996, de 14 de marzo, FJ 5; y 16/2003, de 30 de enero, FJ 9), como sucede en el presente supuesto, donde los Diputados recurrentes se limitan a imputar la lesión del principio de igualdad sobre la base genérica de que se establece una discriminación inaceptable entre las prestaciones por jubilación e incapacidad en función de la naturaleza de la entidad pagadora, esto es, se precisa, según procedan de una entidad de seguros o no, con exclusión de las mutualidades de previsión social, pero sin haber entrado a analizar cuáles son las concretas situaciones que injustificadamente reciben un tratamiento diferente, cuando, según su criterio, deberían recibirlo igual, por tener naturalezas y finalidades idénticas.</w:t>
      </w:r>
    </w:p>
    <w:p w:rsidR="00D06117" w:rsidRDefault="00D06117" w:rsidP="00D06117">
      <w:pPr>
        <w:pStyle w:val="TextoNormal"/>
      </w:pPr>
    </w:p>
    <w:p w:rsidR="00D06117" w:rsidRDefault="00D06117" w:rsidP="00D06117">
      <w:pPr>
        <w:pStyle w:val="TextoNormal"/>
      </w:pPr>
      <w:r>
        <w:t>Pero no sólo eso, sino que, incluso admitiendo a los meros efectos dialécticos que el planteamiento fuese correcto (diverso tratamiento que se otorga a los rendimientos procedentes de un determinado instrumento o negocio jurídico como son los seguros), de las alegaciones de los Diputados recurrentes no es posible alcanzar la convicción de si la inconstitucionalidad deriva de la no aplicación de los porcentajes de reducción incrementados a las prestaciones que no tienen derecho a ello (las que no derivan de seguro), por considerar que éstas deberían tener el mismo tratamiento favorable, o si deriva de la aplicación misma del tratamiento favorable a las que sí lo tienen, por considerar que no deberían tenerlo.</w:t>
      </w:r>
    </w:p>
    <w:p w:rsidR="00D06117" w:rsidRDefault="00D06117" w:rsidP="00D06117">
      <w:pPr>
        <w:pStyle w:val="TextoNormal"/>
      </w:pPr>
    </w:p>
    <w:p w:rsidR="00D06117" w:rsidRDefault="00D06117" w:rsidP="00D06117">
      <w:pPr>
        <w:pStyle w:val="TextoNormal"/>
      </w:pPr>
      <w:r>
        <w:t>Por lo demás, ni siquiera los términos genéricos que utilizan los recurrentes admiten la comparación pues, como hemos señalado antes, no se trata de rendimientos generados por idéntica razón, sino de rendimientos de naturaleza, causa y finalidad muy distinta. En consecuencia, debe rechazarse también este motivo de recurso.</w:t>
      </w:r>
    </w:p>
    <w:p w:rsidR="00D06117" w:rsidRDefault="00D06117" w:rsidP="00D06117">
      <w:pPr>
        <w:pStyle w:val="TextoNormal"/>
      </w:pPr>
    </w:p>
    <w:p w:rsidR="00D06117" w:rsidRDefault="00D06117" w:rsidP="00D06117">
      <w:pPr>
        <w:pStyle w:val="TextoNormal"/>
      </w:pPr>
      <w:r w:rsidRPr="00D06117">
        <w:rPr>
          <w:rStyle w:val="NumeroAFNegritaCaracter"/>
        </w:rPr>
        <w:t>7</w:t>
      </w:r>
      <w:r>
        <w:t>. A juicio de los recurrentes, la tributación a tipo fijo y único de las ganancias y pérdidas patrimoniales establecida en los arts. 39, 48, 53 y 63 y, por conexión en la disposición transitoria quinta, apartado 2, es inconstitucional por infracción de los principios de igualdad, progresividad y capacidad económica (art. 31.1 CE), pues se somete a las ganancias y pérdidas patrimoniales a un impuesto autónomo de producto (del 20 por 100) y, con ello, se produce una desigualdad entre esas rentas (que soportarán el impuesto al tipo fijo) y el resto de rentas gravadas por el impuesto (que lo soportarán conforme a una tarifa progresiva), desapareciendo la progresividad y abandonándose el principio de capacidad al no buscarse la riqueza real en donde se encuentra.</w:t>
      </w:r>
    </w:p>
    <w:p w:rsidR="00D06117" w:rsidRDefault="00D06117" w:rsidP="00D06117">
      <w:pPr>
        <w:pStyle w:val="TextoNormal"/>
      </w:pPr>
    </w:p>
    <w:p w:rsidR="00D06117" w:rsidRDefault="00D06117" w:rsidP="00D06117">
      <w:pPr>
        <w:pStyle w:val="TextoNormal"/>
      </w:pPr>
      <w:r>
        <w:t xml:space="preserve">Es cierto que, tal y como fue articulado por la Ley 40/1998 el régimen de tributación las ganancias patrimoniales, de forma separada y a un tipo fijo proporcional del 20 por 100, </w:t>
      </w:r>
      <w:r>
        <w:lastRenderedPageBreak/>
        <w:t>además de afectar al carácter sintético del impuesto, le dotó de un cierto efecto inequitativo, por tratar de forma igual a los contribuyentes con independencia de la capacidad económica manifestada a través de la renta generada. Sin embargo, el que en la aplicación parcial del tributo se produzca un efecto contrario a la equidad, no puede convertir a la norma en cuestión —eo ipso— en contraria a los principios del art. 31.1 CE y, concretamente, al principio de justicia tributaria, salvo que esa afectación, bien sea ilegítima, por carecer de una razón que la justifique, bien sea desproporcionada cuando, aun gozando de una justificación que la legitime, sea mayor el sacrificio producido en los principios constitucionalmente consagrados que el beneficio que a través de su finalidad se pretende obtener.</w:t>
      </w:r>
    </w:p>
    <w:p w:rsidR="00D06117" w:rsidRDefault="00D06117" w:rsidP="00D06117">
      <w:pPr>
        <w:pStyle w:val="TextoNormal"/>
      </w:pPr>
    </w:p>
    <w:p w:rsidR="00D06117" w:rsidRDefault="00D06117" w:rsidP="00D06117">
      <w:pPr>
        <w:pStyle w:val="TextoNormal"/>
      </w:pPr>
      <w:r>
        <w:t>No cabe negar que, con carácter general, la modificación operada por los artículos impugnados tenía una razón que la legitimaba. De un lado, según la exposición de motivos de la Ley 40/1998, con la modificación operada se pretendía someter a gravamen aquellas ganancias de capital “que con arreglo a la Ley del año 1991 quedaban exentas de tributación si el capital se inmovilizaba en un período de tiempo determinado, lo que menoscaba[ba] el principio de justicia tributaria y entorpec[ía] al mismo tiempo el crecimiento económico” (apartado II, párrafo 1), de forma que, como apuntábamos en el ATC 245/2009, de 29 de septiembre, aquella modificación se dirigía a corregir una medida injusta, como era la exoneración de las plusvalías de largo plazo (FJ 4). De otro lado, aquella modificación, como tuvimos oportunidad de señalar en la STC 189/2005, de 7 de julio, constituía una de las “medidas potencialmente favorables a una activación del mercado de capitales, al dirigirse a liberar el dinero y a estimular su movilidad, lo que a su vez [podía] incidir favorablemente en la recuperación de la actividad económica a la que se aspiraba para el cumplimiento de los criterios de convergencia” (FJ 5).</w:t>
      </w:r>
    </w:p>
    <w:p w:rsidR="00D06117" w:rsidRDefault="00D06117" w:rsidP="00D06117">
      <w:pPr>
        <w:pStyle w:val="TextoNormal"/>
      </w:pPr>
    </w:p>
    <w:p w:rsidR="00D06117" w:rsidRDefault="00D06117" w:rsidP="00D06117">
      <w:pPr>
        <w:pStyle w:val="TextoNormal"/>
      </w:pPr>
      <w:r>
        <w:t>Contando la modificación operada con una razón que la legitima, que en modo alguno puede calificarse de irrazonable o arbitraria, resta determinar si el sometimiento separado de las ganancias patrimoniales a un tipo fijo y proporcional del 20 por 100, lesiona alguno de los principios proclamados en el art. 31.1 CE y, concretamente, el principio de capacidad económica, el principio de igualdad o el principio de progresividad. Pues bien, no cabe duda alguna de que, en primer lugar, el gravamen de las ganancias patrimoniales responde al principio de capacidad económica en la medida en que somete a tributación una concreta manifestación de riqueza o de renta real, que no inexistente, virtual o ficticia (SSTC 221/1992, de 11 de diciembre, FJ 4; y 193/2004, de 4 de noviembre, FJ 6).</w:t>
      </w:r>
    </w:p>
    <w:p w:rsidR="00D06117" w:rsidRDefault="00D06117" w:rsidP="00D06117">
      <w:pPr>
        <w:pStyle w:val="TextoNormal"/>
      </w:pPr>
    </w:p>
    <w:p w:rsidR="00D06117" w:rsidRDefault="00D06117" w:rsidP="00D06117">
      <w:pPr>
        <w:pStyle w:val="TextoNormal"/>
      </w:pPr>
      <w:r>
        <w:t xml:space="preserve">En segundo término, el gravamen de forma diferenciada de las ganancias patrimoniales respecto de otro tipo de rentas tampoco es, por sí solo, contrario al principio de igualdad tributaria, dado que, como ya hemos tenido ocasión de señalar, precisamente con relación al impuesto sobre la renta de las personas físicas, “en el ejercicio de su libertad de configuración normativa, el legislador puede someter a tributación de forma distinta a diferentes clases de rendimientos gravados en el impuesto, en atención a su naturaleza, por simples razones de política financiera o de técnica tributaria” (STC 46/2000, de 14 de febrero, FJ 6; y ATC 245/2009, de 29 de septiembre, FJ 4; también STC 194/2000, de 19 de julio, FJ 8), pues lo que el art. 31.1 CE prohíbe es que, salvo que exista una justificación razonable, el legislador grave de manera diferente “idénticas manifestaciones de riqueza” (SSTC 57/2005, de 14 de marzo, FJ 3; 33/2006, de 13 de febrero, FJ 3; y 295/2006, de 11 de octubre, FJ 5). Es evidente, sin embargo, que las diferentes rentas, en función de la fuente de la que provengan, por mucho que puedan coincidir en su cuantía, no representan idénticas </w:t>
      </w:r>
      <w:r>
        <w:lastRenderedPageBreak/>
        <w:t>manifestaciones de capacidad económica susceptibles de ser, en principio, comparables. Así lo afirmamos con relación a la diferencia de trato derivada del gravamen de forma distinta de las rentas irregulares del trabajo y de las rentas del ahorro o ganancias patrimoniales, diferencia respecto de la cual consideramos que no sólo contaba con una justificación objetiva y razonable que legitimaba la medida, sino que “la igualdad ante o en la ley impone al legislador el deber de dispensar un mismo tratamiento a quienes se encuentran en situaciones jurídicas iguales”, lo que en el caso analizado había que referir sólo a los perceptores de rendimientos irregulares del trabajo y no de rentas de ahorro o ganancias patrimoniales (ATC 245/2009, de 29 de septiembre FJ 4). Lo mismo sucede en el presente caso respecto de los perceptores de ganancias del capital o rentas del ahorro, en el que la eventual comparación debe efectuarse entre ellos y no con los perceptores de otra clase de rentas.</w:t>
      </w:r>
    </w:p>
    <w:p w:rsidR="00D06117" w:rsidRDefault="00D06117" w:rsidP="00D06117">
      <w:pPr>
        <w:pStyle w:val="TextoNormal"/>
      </w:pPr>
    </w:p>
    <w:p w:rsidR="00D06117" w:rsidRDefault="00D06117" w:rsidP="00D06117">
      <w:pPr>
        <w:pStyle w:val="TextoNormal"/>
      </w:pPr>
      <w:r>
        <w:t>Por otra parte, tampoco el sometimiento de las ganancias a un tipo fijo proporcional constante vulnera el principio de progresividad pues, como venimos señalando desde épocas muy tempranas, la progresividad no es exigible de cada tributo en particular, sino del sistema tributario en su conjunto [SSTC 27/1981, de 20 de julio, FJ 4 in fine; 37/1987, de 26 de marzo; 76/1990, de 26 de abril , FJ 6 b); 150/1990, de 4 de octubre, FJ 9; 173/1996, de 31 de octubre, FJ 1; 14/1998, de 22 de enero, FJ 11 b); y 327/2006, de 20 de noviembre, FJ 4], lo que no impide que en un sistema tributario, no sólo pueden tener cabida tributos que no sean progresivos, sino que incluso dentro de los tributos progresivos, algunos aspectos del mismo puedan determinarse de forma proporcional, eso sí, siempre que con ello no se vea afectada ni la progresividad ni la justicia del conjunto del sistema, ya que “el legislador constituyente ha dejado bien claro que el sistema justo que se proclama no puede separarse, en ningún caso, del principio de progresividad” (STC 27/1981, de 20 de julio, FJ 4).</w:t>
      </w:r>
    </w:p>
    <w:p w:rsidR="00D06117" w:rsidRDefault="00D06117" w:rsidP="00D06117">
      <w:pPr>
        <w:pStyle w:val="TextoNormal"/>
      </w:pPr>
    </w:p>
    <w:p w:rsidR="00D06117" w:rsidRDefault="00D06117" w:rsidP="00D06117">
      <w:pPr>
        <w:pStyle w:val="TextoNormal"/>
      </w:pPr>
      <w:r>
        <w:t>Por último, aunque los recurrentes alegan también la infracción del principio de capacidad económica respecto del gravamen fijo del 20 por 100 al considerar, sin más argumentación, que se da el mismo tratamiento en la determinación de la base imponible y de la cuota líquida del impuesto a aquellos contribuyentes que tributarán al tipo progresivo de la tarifa frente a sujetos que sólo verán gravados sus rendimientos, o parte de los mismos, con el tipo fijo del 20 por 100, sin embargo, lo que están denunciando es, una vez más, el trato igual de situaciones que consideran desiguales cuando, como hemos señalado anteriormente, el principio constitucional de igualdad no consagra el derecho a la desigualdad de trato, ni ampara la falta de distinción entre supuestos desiguales, por lo que no existe ningún derecho subjetivo al trato normativo desigual.</w:t>
      </w:r>
    </w:p>
    <w:p w:rsidR="00D06117" w:rsidRDefault="00D06117" w:rsidP="00D06117">
      <w:pPr>
        <w:pStyle w:val="TextoNormal"/>
      </w:pPr>
    </w:p>
    <w:p w:rsidR="00D06117" w:rsidRDefault="00D06117" w:rsidP="00D06117">
      <w:pPr>
        <w:pStyle w:val="TextoNormal"/>
      </w:pPr>
      <w:r>
        <w:t>Deben rechazarse, pues, los vicios de inconstitucionalidad denunciados desde esta perspectiva.</w:t>
      </w:r>
    </w:p>
    <w:p w:rsidR="00D06117" w:rsidRDefault="00D06117" w:rsidP="00D06117">
      <w:pPr>
        <w:pStyle w:val="TextoNormal"/>
      </w:pPr>
    </w:p>
    <w:p w:rsidR="00D06117" w:rsidRDefault="00D06117" w:rsidP="00D06117">
      <w:pPr>
        <w:pStyle w:val="TextoNormal"/>
      </w:pPr>
      <w:r w:rsidRPr="00D06117">
        <w:rPr>
          <w:rStyle w:val="NumeroAFNegritaCaracter"/>
        </w:rPr>
        <w:t>8</w:t>
      </w:r>
      <w:r>
        <w:t xml:space="preserve">. Impugnan también los Diputados recurrentes los arts. 43.2 f) y 44.1.1 a) de la Ley 40/1998, relativos ambos al régimen tributario de determinadas rentas en especie. En relación con el primero de estos preceptos, el art. 43.2 f), consideran que vulnera el principio de igualdad del art. 31.1 CE, al excluir de la consideración de renta en especie las primas satisfechas por el empresario a las entidades aseguradoras para la cobertura de la enfermedad del trabajador, con lo que se confiere un tratamiento claramente favorable a la contratación de prestaciones con entidades de seguros médicos, creándose una desigualdad entre los contribuyentes que se benefician de esos seguros y aquellos otros que, sin ser beneficiarios de esos seguros, incurren en gastos de enfermedad que no son tomados en consideración </w:t>
      </w:r>
      <w:r>
        <w:lastRenderedPageBreak/>
        <w:t>por la normativa del IRPF, más allá de su genérica inclusión en la cuantía del mínimo personal y familiar. Respecto del otro precepto impugnado, el art. 44.1.1 a), a juicio de los Diputados recurrentes, vulnera el principio de capacidad económica establecido en el art. 31.1 CE, pues al limitar de forma genérica e incondicionada la valoración de la renta en especie consistente en la utilización de vivienda al 10 por 100 de las restantes contraprestaciones del trabajo del contribuyente, está renunciando al gravamen de una renta sin que medie una razón objetiva y razonable.</w:t>
      </w:r>
    </w:p>
    <w:p w:rsidR="00D06117" w:rsidRDefault="00D06117" w:rsidP="00D06117">
      <w:pPr>
        <w:pStyle w:val="TextoNormal"/>
      </w:pPr>
    </w:p>
    <w:p w:rsidR="00D06117" w:rsidRDefault="00D06117" w:rsidP="00D06117">
      <w:pPr>
        <w:pStyle w:val="TextoNormal"/>
      </w:pPr>
      <w:r>
        <w:t>a) Con relación al art. 43.2 f) de la Ley 40/1998, que excluye de la consideración de renta en especie del trabajo a “[l]as primas o cuotas satisfechas a entidades aseguradoras para la cobertura de la enfermedad del trabajador”, debe señalarse que la razón de esta exclusión se encuentra, según se constata en los debates parlamentarios del proyecto de ley, en la desaparición de la deducción en la cuota del 15 por 100 de los gastos de enfermedad, porque “de producirse una cancelación importante del número de primas actuales con la eliminación de la desgravación del 15 por ciento, el trasvase de la responsabilidad de la atención sanitaria podría perjudicar el funcionamiento del Sistema Nacional de Salud”. Por esta razón, se abre una nueva vía que permite a las empresas “que se pued[a]n deducir en el Impuesto sobre Sociedades el gasto de las primas”, que las entidades aseguradoras “puedan incrementar su mercado”, que el sistema nacional de Salud no se vea sobrecargado “con un trasvase de ciudadanos a los que se vea obligado a dar cobertura de golpe” y que los trabajadores puedan “mejorar su situación económica y de salud, gozando de una nueva prestación que no es considerada como renta en especie” [Cortes Generales, “Diario de Sesiones del Congreso de los Diputados”, Comisiones (Economía, Comercio y Hacienda) año 1998, VI Legislatura, núm. 505, sesión núm. 49, 14 de julio de 1998, pág. 14577].</w:t>
      </w:r>
    </w:p>
    <w:p w:rsidR="00D06117" w:rsidRDefault="00D06117" w:rsidP="00D06117">
      <w:pPr>
        <w:pStyle w:val="TextoNormal"/>
      </w:pPr>
    </w:p>
    <w:p w:rsidR="00D06117" w:rsidRDefault="00D06117" w:rsidP="00D06117">
      <w:pPr>
        <w:pStyle w:val="TextoNormal"/>
      </w:pPr>
      <w:r>
        <w:t>Como se puede comprobar, el término de comparación al que apelan los Diputados recurrentes para ilustrar la pretendida desigualdad de trato no es válido (trabajadores por cuenta ajena que se benefician de los seguros asumidos por la empresa para la cobertura de su enfermedad, de un lado, y contribuyentes que incurren en gastos de enfermedad, de otro), al no tratarse de supuestos comparables, por no ser homogéneos.</w:t>
      </w:r>
    </w:p>
    <w:p w:rsidR="00D06117" w:rsidRDefault="00D06117" w:rsidP="00D06117">
      <w:pPr>
        <w:pStyle w:val="TextoNormal"/>
      </w:pPr>
    </w:p>
    <w:p w:rsidR="00D06117" w:rsidRDefault="00D06117" w:rsidP="00D06117">
      <w:pPr>
        <w:pStyle w:val="TextoNormal"/>
      </w:pPr>
      <w:r>
        <w:t>Por lo demás nos encontramos ante una disposición que no se muestra desprovista de fundamento, por lo que aunque pueda legítimamente discreparse de la concreta solución, entrar en un enjuiciamiento de cuál sería su medida justa supone discutir una opción tomada por el legislador que no resulta arbitraria ni irracional. Debe rechazarse, pues, también este motivo de recurso.</w:t>
      </w:r>
    </w:p>
    <w:p w:rsidR="00D06117" w:rsidRDefault="00D06117" w:rsidP="00D06117">
      <w:pPr>
        <w:pStyle w:val="TextoNormal"/>
      </w:pPr>
    </w:p>
    <w:p w:rsidR="00D06117" w:rsidRDefault="00D06117" w:rsidP="00D06117">
      <w:pPr>
        <w:pStyle w:val="TextoNormal"/>
      </w:pPr>
      <w:r>
        <w:t>b) Respecto del art. 44.1.1 a) de la Ley 40/1998, los Diputados recurrentes cuestionan el límite del 10 por 100 (sobre las restantes contraprestaciones del trabajo) para la valoración de la renta en especie consistente en la utilización de vivienda por razón de cargo o empleo, al considerar que con el mismo se está renunciando al eventual gravamen de rentas superiores sin que medie una razón objetiva y razonable.</w:t>
      </w:r>
    </w:p>
    <w:p w:rsidR="00D06117" w:rsidRDefault="00D06117" w:rsidP="00D06117">
      <w:pPr>
        <w:pStyle w:val="TextoNormal"/>
      </w:pPr>
    </w:p>
    <w:p w:rsidR="00D06117" w:rsidRDefault="00D06117" w:rsidP="00D06117">
      <w:pPr>
        <w:pStyle w:val="TextoNormal"/>
      </w:pPr>
      <w:r>
        <w:t xml:space="preserve">Hasta la aprobación de la regulación impugnada, la renta imputable a un trabajador por razón del uso de la vivienda con ocasión de su cargo o empleo, aun pudiendo tener eventualmente un mismo valor, variaba en función del título que tenía el empleador (propiedad o arrendamiento), usándose, entonces, una circunstancia subjetiva de un tercero y, por tanto, ajena al propio trabajador o a su prestación de servicios, como parámetro de imputación de </w:t>
      </w:r>
      <w:r>
        <w:lastRenderedPageBreak/>
        <w:t>una renta. La Ley 40/1998 procede a corregir la anterior desigualdad imputando a los trabajadores una renta en especie (con carácter general, el 10 por 100 del valor catastral de la vivienda puesta a su disposición, la tenga el empleador en propiedad o en arrendamiento), con un mismo límite para todos (el 10 por 100 de las restantes contraprestaciones del trabajo) [art. 44.1.1 a)], de modo que es, de un lado, el valor de la vivienda usada —y no el título que tenga el empleador sobre ella— el que determina la cuantía de la renta imputada, y, de otro lado, el importe de las restantes contraprestaciones del trabajo el que determina el límite máximo de renta imputable, recuperando así un límite que existe en nuestro sistema tributario, por lo menos, desde la Ley de 20 de diciembre de 1932 (“Gaceta de Madrid” núm. 358, de 23 diciembre) por la que se establecía una contribución general sobre la renta (art. 10).</w:t>
      </w:r>
    </w:p>
    <w:p w:rsidR="00D06117" w:rsidRDefault="00D06117" w:rsidP="00D06117">
      <w:pPr>
        <w:pStyle w:val="TextoNormal"/>
      </w:pPr>
    </w:p>
    <w:p w:rsidR="00D06117" w:rsidRDefault="00D06117" w:rsidP="00D06117">
      <w:pPr>
        <w:pStyle w:val="TextoNormal"/>
      </w:pPr>
      <w:r>
        <w:t>La razón de limitar el importe máximo imputable por el uso o disfrute de bienes o derechos con ocasión de la prestación del trabajo personal por cuenta ajena responde a la necesidad de respetar la proporción que necesariamente debe guardar la retribución del trabajo en especie con la retribución en dinero. No hay que olvidar que, el salario, como contraprestación por el trabajo realizado, tiene un contenido fundamentalmente dinerario, de modo que, aun cuando los beneficios o utilidades en especie formen parte de la contraprestación por el trabajo, en ningún caso el salario en especie “podrá superar el 30 por 100 de las percepciones salariales del trabajador” (art. 26.1 del Real Decreto Legislativo 1/1995, de 24 de marzo, por el que se aprueba el texto refundido de la Ley del estatuto de los trabajadores). La falta de límites en la imputación de rendimientos por el uso o disfrute de bienes o derechos de forma gratuita o por precio inferior al de mercado como consecuencia de la relación laboral, podría provocar la eventualidad de que con su valoración se agotase el importe íntegro de la remuneración y, por tanto, que se privase al trabajador de la disposición de un numerario suficiente con el que hacer frente a la satisfacción de sus necesidades vitales.</w:t>
      </w:r>
    </w:p>
    <w:p w:rsidR="00D06117" w:rsidRDefault="00D06117" w:rsidP="00D06117">
      <w:pPr>
        <w:pStyle w:val="TextoNormal"/>
      </w:pPr>
    </w:p>
    <w:p w:rsidR="00D06117" w:rsidRDefault="00D06117" w:rsidP="00D06117">
      <w:pPr>
        <w:pStyle w:val="TextoNormal"/>
      </w:pPr>
      <w:r>
        <w:t>Pues bien, dado que el límite controvertido no sólo contribuye a otorgar un trato más igualitario a los trabajadores sino que sirve a la finalidad de impedir que se desnaturalice la valoración de las rentas en especie como forma de contraprestación del trabajo realizado, no puede apreciarse que contradiga el principio de capacidad económica. Nuevamente, nos encontramos ante una disposición que no se muestra como desprovista de fundamento, razón por la cual, aunque pueda legítimamente discreparse de la concreta solución, entrar en un enjuiciamiento de cuál sería su medida justa supone discutir una opción tomada por el legislador que, aunque pueda ser discutible, no resulta arbitraria ni irracional; por ello debemos desestimar el recurso en este punto concreto.</w:t>
      </w:r>
    </w:p>
    <w:p w:rsidR="00D06117" w:rsidRDefault="00D06117" w:rsidP="00D06117">
      <w:pPr>
        <w:pStyle w:val="TextoNormal"/>
      </w:pPr>
    </w:p>
    <w:p w:rsidR="00D06117" w:rsidRDefault="00D06117" w:rsidP="00D06117">
      <w:pPr>
        <w:pStyle w:val="TextoNormal"/>
      </w:pPr>
      <w:r w:rsidRPr="00D06117">
        <w:rPr>
          <w:rStyle w:val="NumeroAFNegritaCaracter"/>
        </w:rPr>
        <w:t>9</w:t>
      </w:r>
      <w:r>
        <w:t>. Consideran los demandantes que es contrario a los principios de igualdad y capacidad económica recogidos en el art. 31.1 CE, el régimen de compensaciones por deducciones en adquisición y arrendamiento de vivienda que se articula en la disposición transitoria cuarta de la Ley 40/1998. A su juicio, la disposición transitoria impugnada establece un beneficio mayor a la adquisición y arrendamiento de vivienda para unos contribuyentes (los que adquirieron su vivienda habitual antes del 4 de mayo de 1998 y los que la alquilaron antes del 24 de abril de 1998) en detrimento de otros (los que compraron o alquilaron su vivienda habitual después de esas fechas), consagrando una desigualdad entre contribuyentes que manifiestan idéntica capacidad económica, carente de la suficiente justificación objetiva y razonable.</w:t>
      </w:r>
    </w:p>
    <w:p w:rsidR="00D06117" w:rsidRDefault="00D06117" w:rsidP="00D06117">
      <w:pPr>
        <w:pStyle w:val="TextoNormal"/>
      </w:pPr>
    </w:p>
    <w:p w:rsidR="00D06117" w:rsidRDefault="00D06117" w:rsidP="00D06117">
      <w:pPr>
        <w:pStyle w:val="TextoNormal"/>
      </w:pPr>
      <w:r>
        <w:lastRenderedPageBreak/>
        <w:t>Sobre este particular es preciso destacar que la doctrina de este Tribunal Constitucional ha venido rechazando, para efectuar un juicio de igualdad, aquellas comparaciones que intentan establecerse “entre la configuración jurídica que se encontraba vigente en distintos momentos temporales”, pues el principio de igualdad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(STC 53/1999, de 12 de abril, FJ 5). Por tanto, 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(SSTC 38/1995, de 13 de febrero, FJ 4; 339/2006, de 11 de diciembre, FJ 3; y 84/2008, de 21 de julio, FJ 7). Esto supone que en los supuestos de sucesión de normas “la diferencia de trato en razón de las distintas condiciones de cada régimen o sistema” (SSTC 158/1990, de 18 de octubre, FJ 5; y 58/1991, de 14 de marzo, FJ 4), razón por la cual “no puede hacerse equivaler a una desigualdad de trato temporal ni constituye, en sí misma, infracción del art. 14 de la Constitución” (STC 128/1989, de 17 de julio, FJ 3). En suma, “la diferenciación normativa entre sujetos del ordenamiento a causa de la sucesión de normas en el tiempo no puede presentarse, prima facie, como atentatoria del principio [de igualdad]” (ATC 152/1985, de 6 de marzo, FJ 4).</w:t>
      </w:r>
    </w:p>
    <w:p w:rsidR="00D06117" w:rsidRDefault="00D06117" w:rsidP="00D06117">
      <w:pPr>
        <w:pStyle w:val="TextoNormal"/>
      </w:pPr>
    </w:p>
    <w:p w:rsidR="00D06117" w:rsidRDefault="00D06117" w:rsidP="00D06117">
      <w:pPr>
        <w:pStyle w:val="TextoNormal"/>
      </w:pPr>
      <w:r>
        <w:t>Más concretamente y con relación a la materia tributaria hemos señalado que la desigualdad generada como consecuencia de modificaciones normativas no constituye, en sí misma, una infracción del principio de igualdad cuando la diferencia de régimen es consecuencia de una sucesión de normas que responden a principios y condiciones diversas (SSTC 103/1984, de 12 de noviembre, FJ 3; 121/1984, de 12 de diciembre, FJ 2; 128/1989, de 17 de julio, FJ 3; y 54/2006, de 27 de febrero, FJ 5). Esto lo hemos afirmado, concretamente, respecto de la reducción de cinco a cuatro años del plazo para adquirir o rehabilitar la vivienda para poder deducir las cantidades depositadas en las cuentas ahorro–vivienda (STC 54/2006, de 27 de febrero, FJ 7), razón por la cual, aun siendo cierto que el cambio normativo ha supuesto una diferencia en el régimen de las deducciones en adquisición y arrendamiento de vivienda y, por tanto, un diferente tratamiento tributario a situaciones de hecho, en principio, iguales, no puede concluirse que con ello se haya lesionado el principio de igualdad ante la ley o se haya discriminado a quienes hayan accedido a un arrendamiento o a una compra de vivienda después de la entrada en vigor de los preceptos impugnados, pues el principio de igualdad ampara la igualdad ante la ley “pero no impide que a través de cambios normativos se ofrezca un tratamiento desigual a lo largo del tiempo” (ATC 112/1996, de 29 de abril, FJ 3; y también AATC 787/1985, de 13 de noviembre, FJ 2; 226/1987, de 25 de febrero, FJ 2; 1118/1988, de 10 de octubre, FJ único; y 237/1993, de 12 de julio, FJ 2). No hay que olvidar, además, que el espíritu de la reforma llevada a cabo por la ley impugnada fue sustituir casi completamente el sistema de deducciones en cuota por la aplicación de un mínimo exento —personal y familiar— en la base imponible (para cuyo cálculo se habían incluido los gastos mínimos para la cobertura del alquiler de vivienda), con la intención de gravar la renta discrecional del sujeto pasivo (esto es, la renta de la que podía disponer libremente que excediese de la que había de dedicar de forma obligada a la cobertura de las necesidades básicas, tanto individuales como familiares).</w:t>
      </w:r>
    </w:p>
    <w:p w:rsidR="00D06117" w:rsidRDefault="00D06117" w:rsidP="00D06117">
      <w:pPr>
        <w:pStyle w:val="TextoNormal"/>
      </w:pPr>
    </w:p>
    <w:p w:rsidR="00D06117" w:rsidRDefault="00D06117" w:rsidP="00D06117">
      <w:pPr>
        <w:pStyle w:val="TextoNormal"/>
      </w:pPr>
      <w:r>
        <w:lastRenderedPageBreak/>
        <w:t>Por otro lado, es cierto que no sólo hemos señalado que no existe un derecho al mantenimiento de un determinado régimen fiscal [SSTC 126/1987, de 16 de julio, FJ 11; 15/1990, de 4 de octubre, FJ 8; 134/1996, de 22 de julio, FJ 3; 173/1996, de 31 de octubre, FJ 3; 182/1997, de 28 de octubre, FJ 11 c); 1/2001, de 15 de febrero, FJ 1; y 54/2006, de 27 de febrero, FJ 5], sino que, incluso con relación a un pretendido derecho al mantenimiento de una exención o bonificación tributaria otorgada en un momento dado por el legislador, hemos afirmado que “no puede hablarse en puridad de un auténtico derecho a la bonificación tributaria o al mantenimiento del régimen jurídico-tributario de bonificación” (STC 6/1983, de 4 de febrero, FJ 2), esto es, su existencia legal no configura un auténtico derecho subjetivo a su mantenimiento (SSTC 6/1983, de 4 de febrero, FJ 2; 134/1986, de 29 de octubre, FJ 3; y 234/2001, de 13 de diciembre, FJ 8). Por esta razón, entra dentro del ámbito de libertad de legislador, su modificación o, incluso, su supresión, sin afectar de modo inconstitucional a quienes hasta entonces venían siendo sus beneficiarios, pues la exención y la bonificación, como privilegio de quienes las disfrutan y, por tanto, “como quiebra del principio de generalidad que rige la materia tributaria (art. 31.1 CE), en cuanto que neutraliza la obligación tributaria derivada de la realización de un hecho generador de capacidad económica” (STC 96/2002, de 25 de abril, FJ 7), ni se incorporan al patrimonio de los sujetos bajo la naturaleza de derechos adquiridos, ni se convierten en situaciones consolidadas generadoras de derechos públicos subjetivos.</w:t>
      </w:r>
    </w:p>
    <w:p w:rsidR="00D06117" w:rsidRDefault="00D06117" w:rsidP="00D06117">
      <w:pPr>
        <w:pStyle w:val="TextoNormal"/>
      </w:pPr>
    </w:p>
    <w:p w:rsidR="00D06117" w:rsidRDefault="00D06117" w:rsidP="00D06117">
      <w:pPr>
        <w:pStyle w:val="TextoNormal"/>
      </w:pPr>
      <w:r>
        <w:t>Ahora bien, dicho lo que antecede, no puede calificarse de irrazonable la opción del legislador de reducir, o incluso suprimir, el alcance de un determinado beneficio fiscal afectando sólo a quienes a partir de la entrada en vigor de la nueva regulación incidan en el supuesto de hecho previsto en la norma, manteniéndose en los mismos términos la aplicación del citado beneficio a quienes, a su amparo y hasta la citada modificación, habían articulado sus relaciones económicas de acuerdo con las previsiones normativas entonces aplicables. Como ya hemos tenido ocasión de señalar, “[e]l Ordenamiento jurídico, por su propia naturaleza, se resiste a ser congelado en un momento histórico determinado: ordena relaciones de convivencia humana y debe responder a la realidad social de cada momento, como instrumento de progreso y de perfeccionamiento. Normalmente, lo hace así, al establecer relaciones pro futuro. Pero difícilmente una norma puede evitar que la regla de futuro incida sobre relaciones jurídicas preexistentes, que constituyen el basamento de las relaciones venideras; y es por ello que, a menudo tales normas deben contener unas cautelas de transitoriedad que reglamentan el ritmo de la sustitución de uno por otro régimen jurídico” (STC 27/1981, de 20 de julio, FJ 10).</w:t>
      </w:r>
    </w:p>
    <w:p w:rsidR="00D06117" w:rsidRDefault="00D06117" w:rsidP="00D06117">
      <w:pPr>
        <w:pStyle w:val="TextoNormal"/>
      </w:pPr>
    </w:p>
    <w:p w:rsidR="00D06117" w:rsidRDefault="00D06117" w:rsidP="00D06117">
      <w:pPr>
        <w:pStyle w:val="TextoNormal"/>
      </w:pPr>
      <w:r>
        <w:t>Aunque, como defienden los recurrentes, el legislador podía, sin más, haber modificado el régimen de la deducción por adquisición de vivienda habitual y haber suprimido el régimen de la deducción por alquiler, ningún reproche se le puede hacer por el hecho de que haya procurado no afectar a quienes hasta entonces venían aplicándose el beneficio fiscal, pues la opción tomada es “respetuosa con el respeto a las situaciones preexistentes” (STC 87/2009, de 20 de abril, FJ 7). Debe rechazarse, por tanto, también este motivo de recurso.</w:t>
      </w:r>
    </w:p>
    <w:p w:rsidR="00D06117" w:rsidRDefault="00D06117" w:rsidP="00D06117">
      <w:pPr>
        <w:pStyle w:val="TextoNormal"/>
      </w:pPr>
    </w:p>
    <w:p w:rsidR="00D06117" w:rsidRDefault="00D06117" w:rsidP="00D06117">
      <w:pPr>
        <w:pStyle w:val="TextoNormal"/>
      </w:pPr>
      <w:r w:rsidRPr="00D06117">
        <w:rPr>
          <w:rStyle w:val="NumeroAFNegritaCaracter"/>
        </w:rPr>
        <w:t>10</w:t>
      </w:r>
      <w:r>
        <w:t>. Consideran también los Diputados recurrentes que el art. 81, apartados 1, 2 y 3 (obligación de declarar), así como la disposición transitoria cuarta de la Ley 40/1998 (deducciones en adquisición y arrendamiento de vivienda), son contrarios al art. 9.3 CE, por vulnerar el principio de interdicción de la arbitrariedad y el de seguridad jurídica.</w:t>
      </w:r>
    </w:p>
    <w:p w:rsidR="00D06117" w:rsidRDefault="00D06117" w:rsidP="00D06117">
      <w:pPr>
        <w:pStyle w:val="TextoNormal"/>
      </w:pPr>
    </w:p>
    <w:p w:rsidR="00D06117" w:rsidRDefault="00D06117" w:rsidP="00D06117">
      <w:pPr>
        <w:pStyle w:val="TextoNormal"/>
      </w:pPr>
      <w:r>
        <w:lastRenderedPageBreak/>
        <w:t>a) Señalan, a este respecto, que el art. 81, apartados 1 a 3, de la Ley 40/1998, en el que se establece la obligación de declarar, es inconstitucional porque articula un nuevo procedimiento para las devoluciones tributarias (de aquellos contribuyentes no obligados a presentar declaración) que adolece de numerosas incertidumbres, como son, de un lado, el hecho de que la Administración tributaria sólo comunique a los contribuyentes, a efectos meramente informativos, el resultado de los cálculos efectuados; y, de otro, porque no se sabe si esos contribuyentes podrán presentar la declaración por el impuesto o tendrán que instar una liquidación administrativa, caso de pretenderse una devolución. Estas situaciones son indicativas, a juicio de los recurrentes, no sólo de la arbitrariedad de la norma, sino de que, además, introduce un grado de inseguridad jurídica inaceptable, que la hace contraria al art. 9.3 CE.</w:t>
      </w:r>
    </w:p>
    <w:p w:rsidR="00D06117" w:rsidRDefault="00D06117" w:rsidP="00D06117">
      <w:pPr>
        <w:pStyle w:val="TextoNormal"/>
      </w:pPr>
    </w:p>
    <w:p w:rsidR="00D06117" w:rsidRDefault="00D06117" w:rsidP="00D06117">
      <w:pPr>
        <w:pStyle w:val="TextoNormal"/>
      </w:pPr>
      <w:r>
        <w:t>El art. 81 de la Ley 40/1998 acoge el procedimiento para “la devolución de la cantidad que resulte procedente” a los contribuyentes que no tengan obligación de presentar declaración por el impuesto, de modo que, los contribuyentes “podrán dirigir una comunicación a la Administración tributaria solicitando la devolución de la cantidad que resulte procedente” (apartado 1), de conformidad con los modelos aprobados por la Agencia Estatal de Administración Tributaria (apartado 2), procediendo la Administración tributaria a la vista de la anterior comunicación, de un lado, a efectuar “si procede, la devolución que resulte” y, de otro, a comunicar “el resultado de los cálculos efectuados”, pudiendo, entonces, los contribuyentes solicitar “que la Administración practique una liquidación provisional” (apartado 3).</w:t>
      </w:r>
    </w:p>
    <w:p w:rsidR="00D06117" w:rsidRDefault="00D06117" w:rsidP="00D06117">
      <w:pPr>
        <w:pStyle w:val="TextoNormal"/>
      </w:pPr>
    </w:p>
    <w:p w:rsidR="00D06117" w:rsidRDefault="00D06117" w:rsidP="00D06117">
      <w:pPr>
        <w:pStyle w:val="TextoNormal"/>
      </w:pPr>
      <w:r>
        <w:t>El control de la constitucionalidad de las leyes debe ejercerse por este Tribunal de forma que no se impongan constricciones indebidas al Poder Legislativo y se respeten sus legítimas opciones políticas, de modo que este Tribunal ha de observar un exquisito cuidado para mantenerse dentro de los límites del control del legislador democrático, cuidado que debe extremarse cuando se trata de aplicar preceptos generales e indeterminados, como es el de la interdicción de la arbitrariedad. Así, al examinar una norma legal impugnada desde el punto de vista de la arbitrariedad,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[entre muchas, SSTC 47/2005, de 3 de marzo, FJ 7; 13/2007, de 18 de enero, FJ 4; 49/2008, de 9 de abril, FJ 5; 90/2009, de 20 de abril, FJ 6; y 136/2011, de 13 de septiembre, FJ 12 b)].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(por todas, SSTC 239/1992, de 17 de diciembre, FJ 5; 47/2005, de 3 de marzo, FJ 7; 13/2007, de 18 de enero, FJ 4; 45/2007, de 1 de marzo, FJ 4; 49/2008, de 9 de abril, FJ 5; y 19/2011, de 3 de marzo, FJ 12).</w:t>
      </w:r>
    </w:p>
    <w:p w:rsidR="00D06117" w:rsidRDefault="00D06117" w:rsidP="00D06117">
      <w:pPr>
        <w:pStyle w:val="TextoNormal"/>
      </w:pPr>
    </w:p>
    <w:p w:rsidR="00D06117" w:rsidRDefault="00D06117" w:rsidP="00D06117">
      <w:pPr>
        <w:pStyle w:val="TextoNormal"/>
      </w:pPr>
      <w:r>
        <w:t xml:space="preserve">Esto sentado hemos de afirmar que no se aprecia que la norma cuestionada establezca discriminación de ningún tipo, ni tampoco que carezca de toda explicación racional al pretender, mediante el sistema articulado, la devolución a los contribuyentes del eventual exceso en la suma de los pagos a cuenta realizados durante un ejercicio (retenciones, ingresos </w:t>
      </w:r>
      <w:r>
        <w:lastRenderedPageBreak/>
        <w:t>a cuenta y pagos fraccionados) en relación con la cuota líquida de ese mismo ejercicio (minorada en el importe de las deducciones por doble imposición de dividendos e internacional).</w:t>
      </w:r>
    </w:p>
    <w:p w:rsidR="00D06117" w:rsidRDefault="00D06117" w:rsidP="00D06117">
      <w:pPr>
        <w:pStyle w:val="TextoNormal"/>
      </w:pPr>
    </w:p>
    <w:p w:rsidR="00D06117" w:rsidRDefault="00D06117" w:rsidP="00D06117">
      <w:pPr>
        <w:pStyle w:val="TextoNormal"/>
      </w:pPr>
      <w:r>
        <w:t>Tampoco se le puede imputar incertidumbre de ninguna clase que contraríe el principio de seguridad jurídica previsto en el art. 9.3 CE pues no produce confusión o duda alguna que pueda generar en sus destinatarios “una incertidumbre razonablemente insuperable acerca de la conducta exigible para su cumplimiento o sobre la previsibilidad de sus efectos” (SSTC 150/1990, de 4 de octubre, FJ 8; 142/1993, de 22 de abril, FJ 4; 212/1996, de 19 de diciembre, FJ 15; 104/2000, de 13 de abril, FJ 7; 96/2002, de 2 de abril, FJ 5; 248/2007, de 13 de diciembre, FJ 5; 84/2008, de 21 de julio, FJ 8; 90/2009, de 20 de abril, FJ 4; y 136/2011, de 13 de septiembre, FJ 9), al tratarse de una previsión legal clara en sus términos y precisa en su contenido y efectos, y ello sin perjuicio de que algunos de sus extremos hayan podido quedar relegados a un posterior desarrollo reglamentario. En consecuencia, debe rechazarse la impugnación del precepto desde esta perspectiva.</w:t>
      </w:r>
    </w:p>
    <w:p w:rsidR="00D06117" w:rsidRDefault="00D06117" w:rsidP="00D06117">
      <w:pPr>
        <w:pStyle w:val="TextoNormal"/>
      </w:pPr>
    </w:p>
    <w:p w:rsidR="00D06117" w:rsidRDefault="00D06117" w:rsidP="00D06117">
      <w:pPr>
        <w:pStyle w:val="TextoNormal"/>
      </w:pPr>
      <w:r>
        <w:t>b) Consideran los Diputados recurrentes que la disposición transitoria cuarta, relativa —como hemos visto en el anterior fundamento jurídico 7— a las compensaciones por deducciones en adquisición y arrendamiento de vivienda, vulnera también el principio de seguridad jurídica reconocido en el art. 9.3 CE, dado que, a su juicio, no sólo la citada disposición “anuncia” determinadas compensaciones, pero sin regularlas, remitiendo su concreción a una futura ley de presupuestos, sino que, además, ni siquiera para el ejercicio en el que las “compensaciones” deberían ser ya aplicables existió precisión alguna, pues la Ley 49/1998, de 30 de diciembre, de presupuestos generales del Estado para 1999 omitió cualquier regulación sobre el particular menoscabándose de esta forma la exigencia de certeza de la norma o protección de la confianza de los ciudadanos.</w:t>
      </w:r>
    </w:p>
    <w:p w:rsidR="00D06117" w:rsidRDefault="00D06117" w:rsidP="00D06117">
      <w:pPr>
        <w:pStyle w:val="TextoNormal"/>
      </w:pPr>
    </w:p>
    <w:p w:rsidR="00D06117" w:rsidRDefault="00D06117" w:rsidP="00D06117">
      <w:pPr>
        <w:pStyle w:val="TextoNormal"/>
      </w:pPr>
      <w:r>
        <w:t>La disposición transitoria cuarta de la Ley 40/1998, bajo el título de “Compensaciones por deducciones en adquisición y arrendamiento de vivienda” se remite, como bien señalan los Diputados recurrentes, a la ley de presupuestos generales del Estado en orden a determinar “el procedimiento y las condiciones para la percepción de compensaciones económicas”, en primer lugar, en el caso de contribuyentes “que hubieran adquirido su vivienda habitual con anterioridad al 4 de mayo de 1998 y tuvieran derecho a la deducción por adquisición de vivienda, en el supuesto de que la aplicación del régimen establecido en la presente Ley para dicha deducción les resulte menos favorable” [apartado 1 a)]; y, en segundo lugar, en el caso de contribuyentes “con derecho a la deducción por alquiler de vivienda por razón de contrato de antigüedad anterior al 24 de abril de 1998, en el caso de que la presente Ley les resulte menos favorable” [apartado 1 b)].</w:t>
      </w:r>
    </w:p>
    <w:p w:rsidR="00D06117" w:rsidRDefault="00D06117" w:rsidP="00D06117">
      <w:pPr>
        <w:pStyle w:val="TextoNormal"/>
      </w:pPr>
    </w:p>
    <w:p w:rsidR="00D06117" w:rsidRDefault="00D06117" w:rsidP="00D06117">
      <w:pPr>
        <w:pStyle w:val="TextoNormal"/>
      </w:pPr>
      <w:r>
        <w:t>Antes de entrar a responder a la cuestión planteada debe efectuarse una precisión: la Ley 40/1998, de 9 de diciembre, del impuesto sobre la renta de las personas físicas, entró en vigor el día 1 de enero de 1999 (disposición final séptima), habiendo sido la Ley 54/1999, de 29 de diciembre, de presupuestos generales del Estado para 2000, la que, en cumplimiento de lo previsto en la disposición transitoria cuarta aquí impugnada, reguló el procedimiento y las condiciones para la aplicación tanto de la “compensación fiscal a los arrendatarios de vivienda habitual en 1999” (disposición transitoria cuarta) como de la “compen</w:t>
      </w:r>
      <w:r>
        <w:lastRenderedPageBreak/>
        <w:t>sación fiscal por deducción en adquisición de vivienda habitual en 1999” (disposición transitoria quinta), siendo de aplicación, por tanto, una y otra en el primer ejercicio de vigencia de la Ley 40/1998, a saber, el de 1999.</w:t>
      </w:r>
    </w:p>
    <w:p w:rsidR="00D06117" w:rsidRDefault="00D06117" w:rsidP="00D06117">
      <w:pPr>
        <w:pStyle w:val="TextoNormal"/>
      </w:pPr>
    </w:p>
    <w:p w:rsidR="00D06117" w:rsidRDefault="00D06117" w:rsidP="00D06117">
      <w:pPr>
        <w:pStyle w:val="TextoNormal"/>
      </w:pPr>
      <w:r>
        <w:t>Pues bien, hecha la anterior precisión podemos ya afirmar que la remisión que hace la Ley 40/1998 a la posterior regulación por la ley de presupuestos generales del Estado del procedimiento y condiciones para el disfrute de las compensaciones fiscales citadas no vulnera el principio de seguridad jurídica previsto en el art. 9.3 CE porque la técnica de la remisión o reenvío entre disposiciones generales como medio de deferir el contenido ordenador de una determinada materia o de un aspecto concreto de una determinada materia, no es causante por sí misma ni de una incertidumbre insuperable ni de la imprevisibilidad de sus efectos, en tanto, posteriormente, la norma remitida, como norma instrumental, integre el espacio normativo que le ha dejado la norma remitente, como así ha sucedido en el supuesto analizado, razón por la cual, debe rechazarse también este motivo.</w:t>
      </w:r>
    </w:p>
    <w:p w:rsidR="00D06117" w:rsidRDefault="00D06117" w:rsidP="00D06117">
      <w:pPr>
        <w:pStyle w:val="TextoNormal"/>
      </w:pPr>
    </w:p>
    <w:p w:rsidR="00D06117" w:rsidRDefault="00D06117" w:rsidP="00D06117">
      <w:pPr>
        <w:pStyle w:val="TextoNormal"/>
      </w:pPr>
      <w:r w:rsidRPr="00D06117">
        <w:rPr>
          <w:rStyle w:val="NumeroAFNegritaCaracter"/>
        </w:rPr>
        <w:t>11</w:t>
      </w:r>
      <w:r>
        <w:t>. Asimismo, los Diputados recurrentes imputan a los arts. 61 (escala autonómica o complementaria del impuesto), 64 (cuota líquida autonómica o complementaria) y, por conexión con estos, a los arts. 58 (normas comunes aplicables para la determinación del gravamen autonómico o complementario) y 60 (cuota íntegra autonómica o complementaria) de la Ley 40/1998, la vulneración tanto del art. 149.3 CE, como de las disposiciones adicionales segunda apartado 3 (del Estatuto de Autonomía Aragón), tercera (del Estatuto de Autonomía del Principado de Asturias), tercera apartado 2 (del Estatuto de Autonomía de Illes Balears), segunda apartado 2 (del Estatuto de Autonomía de Canarias), tercera (del Estatuto de Autonomía de Cantabria), primera apartado 3 (del Estatuto de Autonomía de Castilla-León), sexta apartado 3 (del Estatuto de Autonomía de Cataluña), primera apartado 3 (del Estatuto de Autonomía de Galicia), primera apartado 3 (del Estatuto de Autonomía de La Rioja), primera apartado 2 (del Estatuto de Autonomía de la Región de Murcia) y primera apartado 3 (del Estatuto de Autonomía de la Comunidad de Madrid), y del art. 52.5 (del Estatuto de Autonomía de la Comunitat Valenciana).</w:t>
      </w:r>
    </w:p>
    <w:p w:rsidR="00D06117" w:rsidRDefault="00D06117" w:rsidP="00D06117">
      <w:pPr>
        <w:pStyle w:val="TextoNormal"/>
      </w:pPr>
    </w:p>
    <w:p w:rsidR="00D06117" w:rsidRDefault="00D06117" w:rsidP="00D06117">
      <w:pPr>
        <w:pStyle w:val="TextoNormal"/>
      </w:pPr>
      <w:r>
        <w:t>Aunque los recurrentes reconocen que no pueden impugnar en este proceso constitucional la modificación operada por la Ley Orgánica 3/1996, sin embargo, precisan que ello no supone que admitan la corrección constitucional de esa modificación. Dicho esto, imputan a la Ley 40/1998 tres vicios:</w:t>
      </w:r>
    </w:p>
    <w:p w:rsidR="00D06117" w:rsidRDefault="00D06117" w:rsidP="00D06117">
      <w:pPr>
        <w:pStyle w:val="TextoNormal"/>
      </w:pPr>
    </w:p>
    <w:p w:rsidR="00D06117" w:rsidRDefault="00D06117" w:rsidP="00D06117">
      <w:pPr>
        <w:pStyle w:val="TextoNormal"/>
      </w:pPr>
      <w:r>
        <w:t xml:space="preserve">a) Consideran, en primer lugar, que se ha producido la modificación del concepto constitucional de impuesto cedido, pues se ha pasado de un sistema [el contenido en la Ley Orgánica de financiación de las Comunidades Autónomas (LOFCA) en su redacción originaria de 1980] donde el Estado era el único titular de la competencia normativa sobre un tributo cedido y de su ejercicio, y la Comunidad Autónoma sólo era competente para su gestión, por delegación del Estado, y para obtener el 100 por 100 de su recaudación, a otro sistema (el de la LOFCA en la redacción de 1996) donde se ceden tributos, como el IRPF, cuya gestión retiene el Estado, pero cede competencias normativas sobre una parte de la recaudación que puede llegar a ser de hasta el 30 por 100. A su juicio, resulta que si el tributo cedido es una participación en los ingresos del Estado, como dijo la STC 13/1992, de 6 de febrero (FJ 7), la nueva configuración que se da a los tributos cedidos por la Ley Orgánica 3/1996 supone una modificación del concepto constitucional de impuesto cedido que no le es dado hacer a la LOFCA, por mucho que forme parte del llamado “bloque de la </w:t>
      </w:r>
      <w:r>
        <w:lastRenderedPageBreak/>
        <w:t>constitucionalidad”, pues no puede esta norma concretar el contenido de las normas constitucionales en un sentido contrario al que se desprende del texto constitucional.</w:t>
      </w:r>
    </w:p>
    <w:p w:rsidR="00D06117" w:rsidRDefault="00D06117" w:rsidP="00D06117">
      <w:pPr>
        <w:pStyle w:val="TextoNormal"/>
      </w:pPr>
    </w:p>
    <w:p w:rsidR="00D06117" w:rsidRDefault="00D06117" w:rsidP="00D06117">
      <w:pPr>
        <w:pStyle w:val="TextoNormal"/>
      </w:pPr>
      <w:r>
        <w:t>Sobre este particular hemos de recordar, de un lado, que el art. 157.1 a) CE incluye dentro de los recursos de las Comunidades Autónomas a los “[i]mpuestos cedidos total o parcialmente por el Estado”, y, de otro, que “la regulación esencial de la cesión de tributos a las Comunidades Autónomas corresponde … al Estado, mediante Ley Orgánica” (SSTC 181/1988, de 13 de octubre FJ 3; 192/2000, de 13 de julio, FJ 6; 16/2003, de 30 de enero, FJ 11; 72/2003, de 10 de abril, FJ 5; y 31/2010, de 28 de julio, FJ 132), lo que se ha llevado a efecto en la Ley Orgánica 8/1980, de 22 de septiembre, de financiación de las Comunidades Autónomas. Pues bien, el art. 10.2 LOFCA dispone que la cesión se entiende efectuada “cuando haya tenido lugar en virtud de precepto expreso del Estatuto correspondiente, sin perjuicio de que el alcance y condiciones de la misma se establezca en una Ley específica”, eso sí, teniéndose en cuenta que, de conformidad con las diferentes normas estatuarias, “[l]a eventual supresión o modificación” de los tributos cedidos “implicará la extinción o modificación de la cesión”.</w:t>
      </w:r>
    </w:p>
    <w:p w:rsidR="00D06117" w:rsidRDefault="00D06117" w:rsidP="00D06117">
      <w:pPr>
        <w:pStyle w:val="TextoNormal"/>
      </w:pPr>
    </w:p>
    <w:p w:rsidR="00D06117" w:rsidRDefault="00D06117" w:rsidP="00D06117">
      <w:pPr>
        <w:pStyle w:val="TextoNormal"/>
      </w:pPr>
      <w:r>
        <w:t>No basta, pues, “con la atribución del rendimiento de un tributo a una Comunidad Autónoma para dotar a éste de la naturaleza de ‘cedido’, pues para ello es exigible la concurrencia, además, de un doble requisito: la previsión estatutaria expresa en tal sentido y la existencia de una ley específica que establezca la cesión” (SSTC 16/2003, de 30 de enero, FJ 11; y 156/2004, de 21 de septiembre, FJ 4). Eso sí, es importante tener presente, de un lado, que “[e]l Estado es el único titular del tributo cedido y, en su efecto, de las competencias de normación y gestión del mismo, salvo que, bien conforme al art. 156.2 CE, bien al amparo del art. 157.1 a) CE, delegue o ceda su gestión lo que, sin embargo, no alteraría la titularidad sobre el mismo” (SSTC 16/2003, de 30 de enero, FJ 11; y 72/2003, de 10 de abril, FJ 5); y, de otro, que “la cesión del tributo no implica, en modo alguno, ni la transmisión de la titularidad sobre el mismo o sobre el ejercicio de las competencias que le son inherentes” (SSTC 16/2003, de 30 de enero, FJ 11; y 72/2003, de 10 de abril, FJ 5), ni el carácter irrevocable de la cesión (SSTC 192/2000, de 13 de julio, FJ 8; 16/2003, de 30 de enero, FJ 11; y 72/2003, de 10 de abril, FJ 5), so pena de afectar “el ámbito de la competencia estatal del art. 149.1.14, en su conexión con el art. 133.1, ambos de la Constitución” y de poner en cuestión “el principio de la potestad tributaria originaria del Estado” (STC 192/2000, de 13 de julio, FJ 8).</w:t>
      </w:r>
    </w:p>
    <w:p w:rsidR="00D06117" w:rsidRDefault="00D06117" w:rsidP="00D06117">
      <w:pPr>
        <w:pStyle w:val="TextoNormal"/>
      </w:pPr>
    </w:p>
    <w:p w:rsidR="00D06117" w:rsidRDefault="00D06117" w:rsidP="00D06117">
      <w:pPr>
        <w:pStyle w:val="TextoNormal"/>
      </w:pPr>
      <w:r>
        <w:t>De las normas que integran el bloque de la constitucionalidad —en este caso, la Constitución, la LOFCA y los Estatutos de Autonomía—, la doctrina de este Tribunal Constitucional ha extraído los elementos definidores del concepto constitucional de “tributo cedido”, que se concretan en los siguientes: en primer lugar, es la Ley Orgánica del art. 157.3 CE (en la actualidad la LOFCA), la que puede atribuir a un tributo del Estado la condición de “cedible”; en segundo lugar, para que el tributo sea “formalmente cedido” tiene que existir una previsión estatutaria que lo asuma en tal sentido; en tercer lugar, el tributo alcanzará la condición de “materialmente cedido” cuando así lo establezca una ley estatal específica que determine su alcance y condiciones; en cuarto lugar, la cesión de un tributo del Estado a una Comunidad Autónoma no hace perder a aquél ni la titularidad sobre el mismo, ni sobre el ejercicio de las competencias que le son inherentes; y, en quinto lugar, la cesión tiene, en todo caso, carácter revocable ex arts. 133.1 y 149.1.14 CE.</w:t>
      </w:r>
    </w:p>
    <w:p w:rsidR="00D06117" w:rsidRDefault="00D06117" w:rsidP="00D06117">
      <w:pPr>
        <w:pStyle w:val="TextoNormal"/>
      </w:pPr>
    </w:p>
    <w:p w:rsidR="00D06117" w:rsidRDefault="00D06117" w:rsidP="00D06117">
      <w:pPr>
        <w:pStyle w:val="TextoNormal"/>
      </w:pPr>
      <w:r>
        <w:lastRenderedPageBreak/>
        <w:t>Pues bien, tras la modificación operada por la Ley Orgánica 3/1996, de 27 de diciembre, de modificación parcial de la Ley Orgánica 8/1980, de 22 de septiembre, de financiación de las Comunidades Autónomas, se atribuye al impuesto sobre la renta de las personas físicas la condición de tributo “cedible” a las Comunidades Autónomas “con carácter parcial con el límite máximo del 30 por 100” [art. 11 a)], cesión que “podrá comprender competencias normativas, en los términos que determine la Ley de Cesión de Tributos” (art. 10.3).</w:t>
      </w:r>
    </w:p>
    <w:p w:rsidR="00D06117" w:rsidRDefault="00D06117" w:rsidP="00D06117">
      <w:pPr>
        <w:pStyle w:val="TextoNormal"/>
      </w:pPr>
    </w:p>
    <w:p w:rsidR="00D06117" w:rsidRDefault="00D06117" w:rsidP="00D06117">
      <w:pPr>
        <w:pStyle w:val="TextoNormal"/>
      </w:pPr>
      <w:r>
        <w:t>Por su parte, la Ley 14/1996, de 30 de diciembre, de cesión de tributos del Estado a las Comunidades Autónomas y de medidas fiscales complementarias, declara tributo “cedido” a las Comunidades Autónomas al impuesto sobre la renta de las personas físicas [art. 2.Uno a)], precisando a renglón seguido, de un lado, que “[l]os tributos cuyo rendimiento se cede a las Comunidades Autónomas se regirán por … la Ley propia de cada tributo” (art. 4.Uno), y, de otro, que “[l]a normativa que dicten las Comunidades Autónomas en relación con las materias cuya competencia les corresponda de acuerdo con su Estatuto de Autonomía” deberá ajustarse en cuanto al régimen tributario “al establecido por las normas estatales” (art. 4.Dos). A continuación, y con relación al “Alcance de las competencias normativas” en los tributos cedidos se establece que las Comunidades Autónomas “podrán asumir” competencias normativas en el IRPF, tributo en el cual “podrán regular”, de un lado, “la tarifa autonómica, individual y conjunta, aplicable a la base liquidable regular”, aunque “[s]i una Comunidad Autónoma no regulara para un período impositivo alguna de las modalidades de la tarifa autonómica, se aplicará la complementaria que a estos efectos se determine por la Ley … del impuesto sobre la renta de las personas físicas” [art. 13.Uno.1 a)]; y, de otro lado, las “[d]educciones por circunstancias personales y familiares, por inversiones no empresariales y por aplicación de renta, siempre que no supongan, directa o indirectamente, una minoración del gravamen efectivo de alguna o algunas categorías de renta” [art. 13.Uno.1 b)].</w:t>
      </w:r>
    </w:p>
    <w:p w:rsidR="00D06117" w:rsidRDefault="00D06117" w:rsidP="00D06117">
      <w:pPr>
        <w:pStyle w:val="TextoNormal"/>
      </w:pPr>
    </w:p>
    <w:p w:rsidR="00D06117" w:rsidRDefault="00D06117" w:rsidP="00D06117">
      <w:pPr>
        <w:pStyle w:val="TextoNormal"/>
      </w:pPr>
      <w:r>
        <w:t>Dentro de ese nuevo sistema de financiación, el art. 61.1 de la Ley 40/1998, dispone que “[l]a base liquidable general será gravada a los tipos de la escala autonómica del impuesto que, conforme a lo previsto en el artículo 13.Uno.1 a) de la Ley 14/1996, de 30 de diciembre, de Cesión de Tributos del Estado a las Comunidades Autónomas y de Medidas Fiscales Complementarias, haya sido aprobada por la Comunidad Autónoma”. Y añade a renglón seguido que “[s]i la Comunidad Autónoma no hubiese aprobado la escala a que se refiere el párrafo anterior o no hubiese asumido competencias normativas en materia del Impuesto sobre la Renta de las Personas Físicas, será aplicable la siguiente escala complementaria”. A su vez, el art. 64.1 de esa misma Ley 40/1998 establece que “[l]a cuota líquida autonómica o complementaria será el resultado de disminuir la cuota íntegra autonómica o complementaria en la suma de: a) El 15 por 100 del importe total de las deducciones que procedan de las previstas en el artículo 55 de esta Ley, con los límites y requisitos de situación patrimonial previstos en los artículos 56 y 57 de la misma. b) El importe de las deducciones establecidas por la Comunidad Autónoma en el ejercicio de las competencias previstas en la Ley 14/1996, de 30 de diciembre, de Cesión de Tributos del Estado a las Comunidades Autónomas y de Medidas Fiscales Complementarias”. Por su parte, los arts. 58 y 60 concretan, de un lado, las normas aplicables para la determinación del gravamen autonómico o complementario, y, determinan, de otro, la forma de calcular la cuota íntegra o complementaria.</w:t>
      </w:r>
    </w:p>
    <w:p w:rsidR="00D06117" w:rsidRDefault="00D06117" w:rsidP="00D06117">
      <w:pPr>
        <w:pStyle w:val="TextoNormal"/>
      </w:pPr>
    </w:p>
    <w:p w:rsidR="00D06117" w:rsidRDefault="00D06117" w:rsidP="00D06117">
      <w:pPr>
        <w:pStyle w:val="TextoNormal"/>
      </w:pPr>
      <w:r>
        <w:lastRenderedPageBreak/>
        <w:t>Habiéndose atribuido, en primer lugar, al IRPF la condición de tributo cedible parcialmente por el art. 11 a) LOFCA, en la redacción que le dio la Ley Orgánica 3/1996, de 27 de diciembre; habiéndose asumido, en segundo lugar, la cesión por las correspondientes normas estatutarias [concretamente por las disposiciones adicionales segunda apartado 1 a) del Estatuto de Autonomía de Aragón (hoy en la segunda apartado 1 b); primera a) del Estatuto de Autonomía de Asturias; tercera apartado 1 a) del Estatuto de Autonomía de las Illes Balears (hoy cuarta apartado 1 b); segunda apartado 1 a) del Estatuto de Autonomía de Canarias; primera apartado 1 a) del Estatuto de Autonomía de Cantabria; primera apartado 1 a) del Estatuto de Autonomía de Castilla y León; sexta apartado 1 a) del Estatuto de Autonomía de Cataluña (hoy séptima b); primera apartado 1 a) del Estatuto de Autonomía de Galicia; primera apartado 1 a) del Estatuto de Autonomía de La Rioja; primera apartado 1 a) del Estatuto de Autonomía de la Región de Murcia; primera apartado 1 a) del Estatuto de Autonomía de la Comunidad de Madrid; y art. 52.1 a) del Estatuto de Autonomía de la Comunidad Valenciana, (hoy 73.1 a)]; y habiéndose concretado, en tercer lugar, el alcance y condiciones de la cesión mediante Ley del Estado [concretamente por las Leyes 25/1997, de 4 de agosto (Aragón), 26/1997, de 4 de agosto (Asturias), 27/1997, de 4 de agosto (Illes Balears), 28/1997, de 4 de agosto (Canarias), 29/1997, de 4 de agosto (Cantabria), 30/1997, de 4 de agosto (Castilla y León), 31/1997, de 4 de agosto (Cataluña), 32/1997, de 4 de agosto (Galicia), 35/1997, de 4 de agosto (La Rioja), 34/1997, de 4 de agosto (Murcia), 33/1997, de 4 de agosto (Comunidad de Madrid) y 36/1997, de 4 de agosto (Comunitat Valenciana)], no cabe duda de que se han respetado los requisitos que, desde la normas que integran el bloque de la constitucionalidad se exigen en materia de cesión de tributos del Estado a las Comunidades Autónomas.</w:t>
      </w:r>
    </w:p>
    <w:p w:rsidR="00D06117" w:rsidRDefault="00D06117" w:rsidP="00D06117">
      <w:pPr>
        <w:pStyle w:val="TextoNormal"/>
      </w:pPr>
    </w:p>
    <w:p w:rsidR="00D06117" w:rsidRDefault="00D06117" w:rsidP="00D06117">
      <w:pPr>
        <w:pStyle w:val="TextoNormal"/>
      </w:pPr>
      <w:r>
        <w:t>Dicho lo anterior, no puede compartirse la visión de los recurrentes conforme a la cual el concepto de tributo cedido sería el deducido de los art. 157.1 a) CE y 11 de la Ley Orgánica 8/1980, de 22 de septiembre, de financiación de las Comunidades Autónomas, en su redacción originaria, concepto que debería permanecer inmutable en el tiempo al entender que no le es dado al legislador estatal alterarlo. Ciertamente, si, como los recurrentes admiten, la ley orgánica a la que llama el art. 157.3 CE pudo concretar el concepto de tributo cedido a que hace referencia el art. 157.1 a) CE, ninguna razón existe, desde el punto de vista constitucional, que impida que aquella ley orgánica pueda adecuar el citado concepto a las necesidades de cada momento, tanto más cuando es “al Estado a quien corresponde, en el momento de establecer la participación de las Comunidades Autónomas en los ingresos transferibles, ponderar los intereses en juego, tanto los del conjunto de las Comunidades Autónomas como de los suyos propios, en virtud de la competencia exclusiva que sobre la materia le atribuye el art. 149.1.14 CE” (STC 13/2007, de 18 de enero, FJ 6), a través de la ley orgánica a que hace referencia el art. 157.3 CE, habida cuenta que “la Constitución no predetermina cuál haya de ser el sistema de financiación autonómica, sino que atribuye esa función a una ley orgánica, que cumple de este modo una función delimitadora de las competencias financieras estatales y autonómicas previstas en el artículo 157 CE” (STC 192/2000, de 13 de julio, FJ 4). De hecho, es el Estado, “dentro de los márgenes que la Constitución le otorga y respetando los principios y las competencias financieras autonómicas en ella establecidas (singularmente en el art. 157 C.E.)”, el único “constitucionalmente habilitado para establecer uno u otro sistema de financiación autonómica”, como así “se ha puesto de manifiesto en las sucesivas reformas de la LOFCA” (STC 192/2000, de 13 de julio, FJ 10).</w:t>
      </w:r>
    </w:p>
    <w:p w:rsidR="00D06117" w:rsidRDefault="00D06117" w:rsidP="00D06117">
      <w:pPr>
        <w:pStyle w:val="TextoNormal"/>
      </w:pPr>
    </w:p>
    <w:p w:rsidR="00D06117" w:rsidRDefault="00D06117" w:rsidP="00D06117">
      <w:pPr>
        <w:pStyle w:val="TextoNormal"/>
      </w:pPr>
      <w:r>
        <w:lastRenderedPageBreak/>
        <w:t>En consecuencia, no cabe sino rechazar este vicio que se imputa a la Ley 40/1998 —desde esta perspectiva— por tres motivos. En primer lugar, porque la atribución al impuesto sobre la renta de las personas físicas de la condición de tributo cedido parcialmente no viene hecha por la Ley 40/1998, sino por la Ley Orgánica 3/1996 (que le atribuye la condición de tributo “cedible”), siendo imputable exclusivamente a ésta, en su caso, la pretendida mutación o alteración del concepto constitucional de tributo cedido. Pero es que, en segundo lugar, porque no se ha producido alteración o mutación de ninguna clase del concepto constitucional de “tributo cedido”, al haberse efectuado únicamente una concreción de su contenido que en modo alguno altera los rasgos o elementos que, desde un punto de vista constitucional, son definidores del mismo. En tercer lugar y sin perjuicio de lo anterior, porque admitir la visión de los recurrentes sería tanto como “constreñir indebidamente la legítima opción del legislador de modificar, en todo o en parte, la regulación jurídica de una determinada materia o de un concreto sector del Ordenamiento” (STC 73/2000, de 14 de marzo, FJ 7), o lo que es lo mismo, impedirle “desplegar su libertad de conformación del ordenamiento jurídico” (STC 178/1989, de 2 de noviembre, FJ 9), además de consagrar una petrificación o congelación del modelo de financiación autonómica, que no se compadece ni “con el carácter dinámico del Ordenamiento jurídico” (STC 332/2005, de 15 de diciembre, FJ 17), ni “con el propio dinamismo del sector de la economía en el cual se insertan” [STC 133/1997, de 16 de julio, FJ 8 b)]. Es importante tener presente que “la consecución de los intereses generales perseguidos por la regulación estatal en esa materia concreta exige atenerse ‘a circunstancias coyunturales y a objetivos de política monetaria y financiera’” (STC 135/1992, de 5 de octubre, FJ 2).</w:t>
      </w:r>
    </w:p>
    <w:p w:rsidR="00D06117" w:rsidRDefault="00D06117" w:rsidP="00D06117">
      <w:pPr>
        <w:pStyle w:val="TextoNormal"/>
      </w:pPr>
    </w:p>
    <w:p w:rsidR="00D06117" w:rsidRDefault="00D06117" w:rsidP="00D06117">
      <w:pPr>
        <w:pStyle w:val="TextoNormal"/>
      </w:pPr>
      <w:r>
        <w:t>b) Consideran los Diputados recurrentes, en segundo lugar, que si la LOFCA atribuye la competencia normativa a las Comunidades Autónomas (en materia de tarifa autonómica y deducciones), y las leyes específicas de cesión de tributos (Leyes 25/1997 a 36/1997), como leyes marco atributivas de esa competencia al amparo del art. 150.2 CE, reafirman esa competencia (competencia que no ejercitó ninguna Comunidad Autónoma de las que asumieron el nuevo sistema de financiación), el hecho de que se les haya aplicado la escala autonómica estatal de modo supletorio supone que la normativa del Estado en tal sentido está viciada de incompetencia y, por tanto, es nula por contradecir el art. 149.3 CE (con cita de las SSTC 118/1996, FJ 6; y 147/1991, FJ 7).</w:t>
      </w:r>
    </w:p>
    <w:p w:rsidR="00D06117" w:rsidRDefault="00D06117" w:rsidP="00D06117">
      <w:pPr>
        <w:pStyle w:val="TextoNormal"/>
      </w:pPr>
    </w:p>
    <w:p w:rsidR="00D06117" w:rsidRDefault="00D06117" w:rsidP="00D06117">
      <w:pPr>
        <w:pStyle w:val="TextoNormal"/>
      </w:pPr>
      <w:r>
        <w:t>Tampoco este segundo vicio que se imputa a la Ley 40/1998 puede prosperar. En efecto, debemos partir de que la aplicabilidad de la normativa estatal en defecto de regulación específica de las Comunidades Autónomas concernidas ya se establecía en el art. 13.Uno.1 a) de la Ley 14/1996, de 30 de diciembre, de cesión de tributos del Estado a las Comunidades Autónomas y de medidas fiscales complementarias, que es el que precisa que “[s]i una Comunidad Autónoma no regulara para un período impositivo algunas de las modalidades de la tarifa autonómica, se aplicará la complementaria que a estos efectos se determine por la Ley 18/1991, de 6 de junio, del impuesto sobre la renta de la personas físicas” (referencia a la Ley 18/1991 que debe entenderse hecha a la Ley 40/1998, tras su aprobación), que no constituye el objeto del presente proceso constitucional.</w:t>
      </w:r>
    </w:p>
    <w:p w:rsidR="00D06117" w:rsidRDefault="00D06117" w:rsidP="00D06117">
      <w:pPr>
        <w:pStyle w:val="TextoNormal"/>
      </w:pPr>
    </w:p>
    <w:p w:rsidR="00D06117" w:rsidRDefault="00D06117" w:rsidP="00D06117">
      <w:pPr>
        <w:pStyle w:val="TextoNormal"/>
      </w:pPr>
      <w:r>
        <w:t xml:space="preserve">Pues bien, sentado lo anterior, hay que descartar la denunciada infracción del art. 149.3 CE por vulneración de la doctrina constitucional sobre la supletoriedad del Derecho estatal (por todas, STC 118/1996, FJ 6), según la cual el Estado no puede dictar normas supletorias en áreas atribuidas a las Comunidades Autónomas. Sin embargo, no es éste el caso habida </w:t>
      </w:r>
      <w:r>
        <w:lastRenderedPageBreak/>
        <w:t>cuenta de que nos encontramos ante una situación en la que el Estado es titular de una competencia exclusiva ex arts. 133.1, 149.1.14 y 157.3, todos ellos de la Constitución Española, respecto de la cual se prevé la posibilidad de que el ejercicio de una de las facultades que la integran (la regulación de una tarifa autonómica, individual y conjunta, sobre la parte del tributo cedida) sea asumida por las Comunidades Autónomas [“podrán asumir” señala el art. 13 de la Ley 14/1996], pero “con el alcance a que se refiere este artículo” (art. 13 de la Ley 14/1996), a saber y entre otros aspectos, condicionada al momento en que se produzca la efectiva regulación por parte de cada Comunidad Autónoma de esa tarifa complementaria, momento “en el cual” la tarifa autonómica complementaria desplazará a la tarifa estatal complementaria y momento “hasta el cual” será necesariamente de aplicación la “tarifa” (en terminología de la Ley 14/1996) o “escala” (en terminología de la Ley 40/1998) general y la tarifa o escala complementaria previstas en la normativa estatal, a los efectos no sólo de garantizar la correcta aplicación del impuesto parcialmente cedido sino, lo que es más importante, de asegurar la tributación de los obligados tributarios al tipo de gravamen efectivo que les corresponda en función de las rentas obtenidas durante el ejercicio. En consecuencia, debe rechazarse el motivo.</w:t>
      </w:r>
    </w:p>
    <w:p w:rsidR="00D06117" w:rsidRDefault="00D06117" w:rsidP="00D06117">
      <w:pPr>
        <w:pStyle w:val="TextoNormal"/>
      </w:pPr>
    </w:p>
    <w:p w:rsidR="00D06117" w:rsidRDefault="00D06117" w:rsidP="00D06117">
      <w:pPr>
        <w:pStyle w:val="TextoNormal"/>
      </w:pPr>
      <w:r>
        <w:t>c) Por último, entienden los Diputados recurrentes que se han modificado las condiciones de la cesión del IRPF sin que se haya seguido para ello el procedimiento constitucional y estatutariamente exigible, pues si de conformidad con la Ley 14/1996, se transfería a las Comunidades Autónomas la competencia para regular las deducciones personales y familiares, por inversiones no empresariales y por aplicación de renta, esta competencia autonómica desaparece en la Ley 40/1998 al desaparecer de la estructura del impuesto (art. 55) las deducciones personales y familiares, que se han subsumido en el “mínimo personal y familiar” (art. 40), sobre el cual las Comunidades Autónomas no van a ser competentes (art. 58). De esta manera, el hecho de que la modificación de los términos de la cesión no haya sido objeto de acuerdo bilateral entre el Estado y las correspondientes Comunidades Autónomas —en las comisiones mixtas— y se hayan tramitado dichos acuerdos como proyectos de ley —según exigen las normas estatutarias citadas anteriormente— convierte en inconstitucionales los preceptos afectados.</w:t>
      </w:r>
    </w:p>
    <w:p w:rsidR="00D06117" w:rsidRDefault="00D06117" w:rsidP="00D06117">
      <w:pPr>
        <w:pStyle w:val="TextoNormal"/>
      </w:pPr>
    </w:p>
    <w:p w:rsidR="00D06117" w:rsidRDefault="00D06117" w:rsidP="00D06117">
      <w:pPr>
        <w:pStyle w:val="TextoNormal"/>
      </w:pPr>
      <w:r>
        <w:t>Debe recordarse, antes de nada que, como ya hemos tenido la ocasión de señalar anteriormente, de conformidad con las diferentes normas estatuarias, “[l]a eventual supresión o modificación” de los tributos cedidos “implicará la extinción o modificación de la cesión”, por lo que la modificación del impuesto sobre la renta de las personas físicas por la Ley 40/1998 conlleva eo ipso la modificación de la cesión de este tributo. Dicho esto, es necesario añadir a renglón seguido que la regulación efectuada por la Ley 40/1998 no afectó en modo alguno al ejercicio de las facultades conferidas a las Comunidades Autónomas en materia de tributos cedidos y, concretamente, de sus facultades para regular las deducciones en el impuesto sobre la renta de las personas físicas, al operar estas exclusivamente sobre la parte del tributo efectivamente cedido y, por tanto, actuando de forma independiente a la reestructuración operada en el citado impuesto.</w:t>
      </w:r>
    </w:p>
    <w:p w:rsidR="00D06117" w:rsidRDefault="00D06117" w:rsidP="00D06117">
      <w:pPr>
        <w:pStyle w:val="TextoNormal"/>
      </w:pPr>
    </w:p>
    <w:p w:rsidR="00D06117" w:rsidRDefault="00D06117" w:rsidP="00D06117">
      <w:pPr>
        <w:pStyle w:val="TextoNormal"/>
      </w:pPr>
      <w:r>
        <w:t xml:space="preserve">Buena muestra de ello es que tras la aprobación de la Ley 40/1998, las Comunidades Autónomas que así lo decidieron hicieron uso de esa facultad, introduciendo sobre la parte del tributo que les fue cedida, las correspondientes deducciones autonómicas. Baste con citar el desarrollo normativo autonómico que coexistió con la vigencia de la Ley 40/1998 y </w:t>
      </w:r>
      <w:r>
        <w:lastRenderedPageBreak/>
        <w:t>que fue realizado, por ejemplo, entre los años 1997 y 2002, por las Comunidades Autónomas de Aragón [deducción “por nacimiento o adopción de hijos” (Ley 26/2001, de 28 de diciembre, de medias tributarias y administrativas)], de Asturias [deducciones “por acogimiento no remunerado de mayores de 65 años”, “por adquisición o adecuación de vivienda habitual en el Principado de Asturias para contribuyentes discapacitados”, “por adquisición o adecuación de vivienda habitual para contribuyentes con los que convivan sus cónyuges, ascendientes o descendientes minusválidos”, “por inversión en vivienda habitual que tenga la consideración de protegida”, “por alquiler de vivienda habitual”, “para desempleados menores de 30 años y desempleadas que se establezcan como trabajadores por cuenta propia o autónomos”, “a favor de los trabajadores autónomos o por cuenta propia” y “por incentivos a la donación de fincas rústicas a favor del Principado de Asturias” (Ley 15/2002, de 27 de diciembre, de medidas presupuestarias, administrativas y fiscales)], de las Illes Balears [deducciones “por sujeto pasivo de edad igual o superior a los 65 años”, “por minusvalía”, “por gastos en guarderías y centros escolares”, “por adquisición o rehabilitación de vivienda habitual, en Baleares, por jóvenes con residencia en la Comunidad Autónoma de las Islas Baleares” y “por estudios universitarios fuera del territorio de las Islas Baleares” (Ley 9/1997, de 22 diciembre, de diversas medidas tributarias y administrativas); “por gastos de conservación y mejora en áreas de suelo rústico protegido” (Ley 6/1999, de 3 abril, de las directrices de ordenación territorial de las Illes Balears y de medidas tributarias); y “por gastos de guardería y similares” (Ley 12/1999, de 23 de diciembre, de medidas tributarias, administrativas y de función pública y económicas)], de Castilla y León [deducciones “por familia numerosa”, “por nacimiento o adopción de hijos”, “por cantidades donadas para rehabilitación o conservación del patrimonio histórico artístico de Castilla y León” y “por cantidades destinadas a restauración, rehabilitación o reparación” (Ley 13/1998, de 23 de diciembre, de medidas económicas, fiscales y administrativas); “por familia numerosa”, “por nacimiento o adopción de hijos”, “por cantidades donadas para rehabilitación o conservación del Patrimonio Histórico Artístico de Castilla y León” y “por cantidades destinadas a restauración, rehabilitación o reparación” (Ley 6/1999, de 27 de diciembre, de medidas económicas, fiscales y administrativas)] o de Cataluña [deducciones “por nacimiento de hijos” (Leyes 25/1998, de 31 de diciembre, de medidas administrativas, fiscales y de adaptación al euro, y 4/2000, de 26 de mayo, de medidas fiscales y administrativas)].</w:t>
      </w:r>
    </w:p>
    <w:p w:rsidR="00D06117" w:rsidRDefault="00D06117" w:rsidP="00D06117">
      <w:pPr>
        <w:pStyle w:val="TextoNormal"/>
      </w:pPr>
    </w:p>
    <w:p w:rsidR="00D06117" w:rsidRDefault="00D06117" w:rsidP="00D06117">
      <w:pPr>
        <w:pStyle w:val="TextoNormal"/>
      </w:pPr>
      <w:r>
        <w:t>No puede prosperar, por tanto, este motivo de impugnación.</w:t>
      </w:r>
    </w:p>
    <w:p w:rsidR="00D06117" w:rsidRDefault="00D06117" w:rsidP="00D06117">
      <w:pPr>
        <w:pStyle w:val="TextoNormal"/>
      </w:pPr>
    </w:p>
    <w:p w:rsidR="00D06117" w:rsidRDefault="00D06117" w:rsidP="00D06117">
      <w:pPr>
        <w:pStyle w:val="TextoNormal"/>
      </w:pPr>
      <w:r w:rsidRPr="00D06117">
        <w:rPr>
          <w:rStyle w:val="NumeroAFNegritaCaracter"/>
        </w:rPr>
        <w:t>12</w:t>
      </w:r>
      <w:r>
        <w:t>. Debe rechazarse, en consecuencia, el presente recurso de inconstitucionalidad promovido por 89 Diputados del Grupo Parlamentario Socialista en el Congreso contra los arts. 2.2, 15.1, 15.3.4, 17.2 c) y d), 24.2 b) y c), 39, 40, 43.2 f), 44.1.1 a), 48, 51, 53, 58, 60, 61, 62, 63, 64, 81.1, 2 y 3, y disposiciones transitorias cuarta, quinta apartado 2, sexta y séptima, de la Ley 40/1998, de 9 de diciembre, del impuesto sobre la renta de las personas físicas y otras normas tributarias, salvo en lo referente a la expresión “conviva con el contribuyente y” de la letra b) del apartado 1 del art. 40.3 de la citada norma legal, que debe declararse inconstitucional en los términos señalados en el fundamento jurídico 5.</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parcialmente el recurso de inconstitucionalidad núm. 1046-1999, interpuesto por 89 Diputados del Grupo Parlamentario Socialista en el Congreso y, en su consecuencia:</w:t>
      </w:r>
    </w:p>
    <w:p w:rsidR="00D06117" w:rsidRDefault="00D06117" w:rsidP="00D06117">
      <w:pPr>
        <w:pStyle w:val="TextoNormal"/>
      </w:pPr>
    </w:p>
    <w:p w:rsidR="00D06117" w:rsidRDefault="00D06117" w:rsidP="00D06117">
      <w:pPr>
        <w:pStyle w:val="TextoNormal"/>
      </w:pPr>
      <w:r>
        <w:t>1. Declarar que la expresión “conviva con el contribuyente y” de la letra b) del número 1 del art. 40.3 de la Ley 40/1998, de 9 de diciembre, del impuesto sobre la renta de las personas físicas y otras normas tributarias, es inconstitucional.</w:t>
      </w:r>
    </w:p>
    <w:p w:rsidR="00D06117" w:rsidRDefault="00D06117" w:rsidP="00D06117">
      <w:pPr>
        <w:pStyle w:val="TextoNormal"/>
      </w:pPr>
    </w:p>
    <w:p w:rsidR="00D06117" w:rsidRDefault="00D06117" w:rsidP="00D06117">
      <w:pPr>
        <w:pStyle w:val="TextoNormal"/>
      </w:pPr>
      <w:r>
        <w:t>2. Desestimar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quince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3" w:name="SENTENCIA_2012_20"/>
      <w:r>
        <w:lastRenderedPageBreak/>
        <w:t>SENTENCIA 20/2012, de 16 de febrero de 2012</w:t>
      </w:r>
    </w:p>
    <w:bookmarkEnd w:id="2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ECLI:ES:TC:2012:20</w:t>
      </w:r>
    </w:p>
    <w:p w:rsidR="00D06117" w:rsidRDefault="00D06117" w:rsidP="00D06117">
      <w:pPr>
        <w:pStyle w:val="SntesisDescriptiva"/>
      </w:pPr>
    </w:p>
    <w:p w:rsidR="00D06117" w:rsidRDefault="00D06117" w:rsidP="00D06117">
      <w:pPr>
        <w:pStyle w:val="SntesisDescriptiva"/>
      </w:pPr>
      <w:r>
        <w:t>Cuestión de inconstitucionalidad 647-2004. Planteada por el Juzgado de Primera Instancia núm. 8 de A Coruña en relación con el apartado segundo del art. 35.Siete de la Ley 53/2002, de 30 de diciembre, de medidas fiscales, administrativas y del orden social.</w:t>
      </w:r>
    </w:p>
    <w:p w:rsidR="00D06117" w:rsidRDefault="00D06117" w:rsidP="00D06117">
      <w:pPr>
        <w:pStyle w:val="SntesisDescriptiva"/>
      </w:pPr>
    </w:p>
    <w:p w:rsidR="00D06117" w:rsidRDefault="00D06117" w:rsidP="00D06117">
      <w:pPr>
        <w:pStyle w:val="SntesisAnaltica"/>
      </w:pPr>
      <w:r>
        <w:t>Derecho a la tutela judicial sin indefensión: constitucionalidad del precepto legal que supedita la tramitación de las demandas presentadas por personas jurídicas con ánimo de lucro sujetas al impuesto sobre sociedades y que superen una determinada facturación anual al abono de la tasa por el ejercicio de la potestad jurisdiccional en el orden civil.</w:t>
      </w:r>
    </w:p>
    <w:p w:rsidR="00D06117" w:rsidRDefault="00D06117" w:rsidP="00D06117">
      <w:pPr>
        <w:pStyle w:val="SntesisAnaltica"/>
      </w:pPr>
    </w:p>
    <w:p w:rsidR="00D06117" w:rsidRDefault="00D06117" w:rsidP="00D06117">
      <w:pPr>
        <w:pStyle w:val="Extracto"/>
      </w:pPr>
      <w:r>
        <w:t>1.</w:t>
      </w:r>
      <w:r>
        <w:tab/>
        <w:t>Las tasas judiciales establecidas por la Ley 53/2002, como condición para que los Tribunales del orden jurisdiccional civil den curso a las demandas presentadas por las personas jurídicas con ánimo de lucro son tributos cuyo hecho imponible no es ajeno a la función jurisdiccional y, por consiguiente, es constitucionalmente válido condicionar la sustanciación del proceso a que acrediten que las han satisfecho (STC 141/1988) [FJ 12].</w:t>
      </w:r>
    </w:p>
    <w:p w:rsidR="00D06117" w:rsidRDefault="00D06117" w:rsidP="00D06117">
      <w:pPr>
        <w:pStyle w:val="Extracto"/>
      </w:pPr>
    </w:p>
    <w:p w:rsidR="00D06117" w:rsidRDefault="00D06117" w:rsidP="00D06117">
      <w:pPr>
        <w:pStyle w:val="Extracto"/>
      </w:pPr>
      <w:r>
        <w:t>2.</w:t>
      </w:r>
      <w:r>
        <w:tab/>
        <w:t xml:space="preserve">En principio no vulnera la Constitución que una norma de rango legal someta a las entidades mercantiles que libremente decidan presentar demandas ante los Tribunales del orden civil al pago de unas tasas pero esta apreciación podría verse modificada si se mostrase que la cuantía de dichas tasas, son tan elevadas que impiden en la práctica el acceso a la jurisdicción o lo obstaculizan en un caso concreto en términos irrazonables (STC 84/1992; SSTEDH casos </w:t>
      </w:r>
      <w:r w:rsidRPr="00D06117">
        <w:rPr>
          <w:i/>
        </w:rPr>
        <w:t>Kniat c. Polonia</w:t>
      </w:r>
      <w:r>
        <w:t xml:space="preserve">, de 26 de julio de 2005 y </w:t>
      </w:r>
      <w:r w:rsidRPr="00D06117">
        <w:rPr>
          <w:i/>
        </w:rPr>
        <w:t>Urbanek c. Austria</w:t>
      </w:r>
      <w:r>
        <w:t xml:space="preserve">, de 9 de diciembre de 2010; STJUE caso </w:t>
      </w:r>
      <w:r w:rsidRPr="00D06117">
        <w:rPr>
          <w:i/>
        </w:rPr>
        <w:t>DEB Deutsche Energiehandels und Beratungsgesellschaft mb</w:t>
      </w:r>
      <w:r>
        <w:t>H, de 22 de diciembre de 2010) [FFJJ 9, 10].</w:t>
      </w:r>
    </w:p>
    <w:p w:rsidR="00D06117" w:rsidRDefault="00D06117" w:rsidP="00D06117">
      <w:pPr>
        <w:pStyle w:val="Extracto"/>
      </w:pPr>
    </w:p>
    <w:p w:rsidR="00D06117" w:rsidRDefault="00D06117" w:rsidP="00D06117">
      <w:pPr>
        <w:pStyle w:val="Extracto"/>
      </w:pPr>
      <w:r>
        <w:t>3.</w:t>
      </w:r>
      <w:r>
        <w:tab/>
        <w:t>Siendo constitucional subordinar la prestación de la actividad jurisdiccional en el orden civil al abono de unas tasas judiciales por la interposición de la demanda, es lícito que el legislador adopte medidas para lograr un alto grado espontáneo de la obligación de pagar un tributo legítimo, aun cuando esas medidas incidan en el ejercicio del derecho de acceso a la jurisdicción (STC 133/2004) [FJ 11].</w:t>
      </w:r>
    </w:p>
    <w:p w:rsidR="00D06117" w:rsidRDefault="00D06117" w:rsidP="00D06117">
      <w:pPr>
        <w:pStyle w:val="Extracto"/>
      </w:pPr>
    </w:p>
    <w:p w:rsidR="00D06117" w:rsidRDefault="00D06117" w:rsidP="00D06117">
      <w:pPr>
        <w:pStyle w:val="Extracto"/>
      </w:pPr>
      <w:r>
        <w:t>4.</w:t>
      </w:r>
      <w:r>
        <w:tab/>
        <w:t>El hecho imponible de la tasa se vincula a una actividad o servicio de la Administración pública, lo que conlleva que el importe de la cuota se fije esencialmente atendiendo al coste de la actividad o servicio prestado, con los que tiene una relación más o menos intensa de contraprestación, aunque deba reconocerse que el acceso a la jurisdicción no es equivalente a la prestación de un servicio público por la Administración (STC 296/1994) [FJ 11].</w:t>
      </w:r>
    </w:p>
    <w:p w:rsidR="00D06117" w:rsidRDefault="00D06117" w:rsidP="00D06117">
      <w:pPr>
        <w:pStyle w:val="Extracto"/>
      </w:pPr>
    </w:p>
    <w:p w:rsidR="00D06117" w:rsidRDefault="00D06117" w:rsidP="00D06117">
      <w:pPr>
        <w:pStyle w:val="Extracto"/>
      </w:pPr>
      <w:r>
        <w:t>5.</w:t>
      </w:r>
      <w:r>
        <w:tab/>
        <w:t xml:space="preserve">La Constitución no ha proclamado la gratuidad de la administración de justicia, sino un derecho a la gratuidad de la justicia en los casos y forma que el legislador </w:t>
      </w:r>
      <w:r>
        <w:lastRenderedPageBreak/>
        <w:t>determine –</w:t>
      </w:r>
      <w:r w:rsidRPr="00D06117">
        <w:rPr>
          <w:i/>
        </w:rPr>
        <w:t>ex</w:t>
      </w:r>
      <w:r>
        <w:t xml:space="preserve"> art. 119 CE–, gozando este de un amplio margen de libertad en la configuración de los tributos que sirven para sostener los gastos públicos (SSTC 27/1981, 7/2010) [FJ 8].</w:t>
      </w:r>
    </w:p>
    <w:p w:rsidR="00D06117" w:rsidRDefault="00D06117" w:rsidP="00D06117">
      <w:pPr>
        <w:pStyle w:val="Extracto"/>
      </w:pPr>
    </w:p>
    <w:p w:rsidR="00D06117" w:rsidRDefault="00D06117" w:rsidP="00D06117">
      <w:pPr>
        <w:pStyle w:val="Extracto"/>
      </w:pPr>
      <w:r>
        <w:t>6.</w:t>
      </w:r>
      <w:r>
        <w:tab/>
        <w:t xml:space="preserve">El contenido indisponible del derecho a la justicia gratuita sólo es reconducible a la persona física, única de la que puede predicarse el nivel mínimo de subsistencia personal o familiar al que se refiere el art. 119 CE, no siendo inconstitucional la exclusión de sus beneficios a las sociedades mercantiles (STC 117/1998; SSTEDH casos </w:t>
      </w:r>
      <w:r w:rsidRPr="00D06117">
        <w:rPr>
          <w:i/>
        </w:rPr>
        <w:t>O’Limo c. España</w:t>
      </w:r>
      <w:r>
        <w:t xml:space="preserve">, de 24 de noviembre de 2009 y </w:t>
      </w:r>
      <w:r w:rsidRPr="00D06117">
        <w:rPr>
          <w:i/>
        </w:rPr>
        <w:t>Kreuz c. Polonia</w:t>
      </w:r>
      <w:r>
        <w:t>, de 19 de junio de 2001) [FJ 9].</w:t>
      </w:r>
    </w:p>
    <w:p w:rsidR="00D06117" w:rsidRDefault="00D06117" w:rsidP="00D06117">
      <w:pPr>
        <w:pStyle w:val="Extracto"/>
      </w:pPr>
    </w:p>
    <w:p w:rsidR="00D06117" w:rsidRDefault="00D06117" w:rsidP="00D06117">
      <w:pPr>
        <w:pStyle w:val="Extracto"/>
      </w:pPr>
      <w:r>
        <w:t>7.</w:t>
      </w:r>
      <w:r>
        <w:tab/>
        <w:t>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(SSTC 220/1993, 34/1994) [FJ 7].</w:t>
      </w:r>
    </w:p>
    <w:p w:rsidR="00D06117" w:rsidRDefault="00D06117" w:rsidP="00D06117">
      <w:pPr>
        <w:pStyle w:val="Extracto"/>
      </w:pPr>
    </w:p>
    <w:p w:rsidR="00D06117" w:rsidRDefault="00D06117" w:rsidP="00D06117">
      <w:pPr>
        <w:pStyle w:val="Extracto"/>
      </w:pPr>
      <w:r>
        <w:t>8.</w:t>
      </w:r>
      <w:r>
        <w:tab/>
        <w:t>El derecho a la tutela judicial efectiva es un derecho prestacional y de configuración legal, cuyo ejercicio está sujeto a la concurrencia de los presupuestos y requisitos procesales constitucionalmente válidos que, en cada caso, haya establecido el legislador respetando su contenido esencial (SSTC 158/1987, 133/2004) [FJ 7].</w:t>
      </w:r>
    </w:p>
    <w:p w:rsidR="00D06117" w:rsidRDefault="00D06117" w:rsidP="00D06117">
      <w:pPr>
        <w:pStyle w:val="Extracto"/>
      </w:pPr>
    </w:p>
    <w:p w:rsidR="00D06117" w:rsidRDefault="00D06117" w:rsidP="00D06117">
      <w:pPr>
        <w:pStyle w:val="Extracto"/>
      </w:pPr>
      <w:r>
        <w:t>9.</w:t>
      </w:r>
      <w:r>
        <w:tab/>
        <w:t>El derecho reconocido en el art. 24.1 CE puede verse conculcado por aquellas disposiciones legales que impongan requisitos impeditivos u obstaculizadores del acceso a la jurisdicción, si tales trabas resultan innecesarias, excesivas y carecen de razonabilidad o proporcionalidad respecto de los fines que lícitamente puede perseguir el legislador (SSTC 60/1989, 273/2005) [FJ 7].</w:t>
      </w:r>
    </w:p>
    <w:p w:rsidR="00D06117" w:rsidRDefault="00D06117" w:rsidP="00D06117">
      <w:pPr>
        <w:pStyle w:val="Extracto"/>
      </w:pPr>
    </w:p>
    <w:p w:rsidR="00D06117" w:rsidRDefault="00D06117" w:rsidP="00D06117">
      <w:pPr>
        <w:pStyle w:val="Extracto"/>
      </w:pPr>
      <w:r>
        <w:t>10.</w:t>
      </w:r>
      <w:r>
        <w:tab/>
        <w:t>Doctrina sobre la exigencia de que la norma cuestionada sea aplicable al caso que se dilucida en el proceso donde la cuestión de inconstitucionalidad se suscita (STC 6/2010) [FJ 4].</w:t>
      </w:r>
    </w:p>
    <w:p w:rsidR="00D06117" w:rsidRDefault="00D06117" w:rsidP="00D06117">
      <w:pPr>
        <w:pStyle w:val="Extracto"/>
      </w:pPr>
    </w:p>
    <w:p w:rsidR="00D06117" w:rsidRDefault="00D06117" w:rsidP="00D06117">
      <w:pPr>
        <w:pStyle w:val="Extracto"/>
      </w:pPr>
      <w:r>
        <w:t>11.</w:t>
      </w:r>
      <w:r>
        <w:tab/>
        <w:t>Doctrina sobre el diferente relieve constitucional que poseen los derechos de acceso a la jurisdicción y de acceso a los recursos legalmente establecidos (SSTC 42/1982, 37/1995, 35/2011) [FJ 5].</w:t>
      </w:r>
    </w:p>
    <w:p w:rsidR="00D06117" w:rsidRDefault="00D06117" w:rsidP="00D06117">
      <w:pPr>
        <w:pStyle w:val="Extracto"/>
      </w:pPr>
    </w:p>
    <w:p w:rsidR="00D06117" w:rsidRDefault="00D06117" w:rsidP="00D06117">
      <w:pPr>
        <w:pStyle w:val="Extracto"/>
      </w:pPr>
      <w:r>
        <w:t>12.</w:t>
      </w:r>
      <w:r>
        <w:tab/>
        <w:t>Nuestra labor de depuración del ordenamiento debe partir de la interpretación de la disposición legal que aporta el órgano judicial cuestionante, pues a él compete interpretar la ley, y sólo si la norma, así interpretada, resultara inconstitucional habríamos de explorar las posibilidades interpretativas del precepto cuestionado, por si hubiera alguna que permitiera salvar la primacía de la Constitución (SSTC 76/1996, 59/2008) [FJ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 xml:space="preserve">El Pleno del Tribunal Constitucional, compuesto por don Pascual Sala Sánchez, Presidente; don Eugeni Gay Montalvo, doña Elisa Pérez Vera, don Ramón Rodríguez Arribas, </w:t>
      </w:r>
      <w:r>
        <w:lastRenderedPageBreak/>
        <w:t>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647-2004, planteada por el Juzgado de Primera Instancia núm. 8 de A Coruña, en relación con el artículo 35, apartado 7, párrafo 2, de la Ley 53/2002, de 30 de diciembre, de medidas fiscales, administrativas y del orden social. Ha comparecido el Gobierno de la Nación, representado por el Abogado del Estado, y ha intervenido el Fiscal General del Estado.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6 de febrero de 2004 tuvo entrada en el Registro General de este Tribunal un escrito del Juzgado de Primera Instancia núm. 8 de A Coruña al que se acompañaba, junto con el testimonio del correspondiente procedimiento (juicio verbal 808-2003), el Auto de dicho Juzgado, por el que se plantea cuestión de inconstitucionalidad en relación con el art. 35.7.2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presente cuestión de inconstitucionalidad son los siguientes:</w:t>
      </w:r>
    </w:p>
    <w:p w:rsidR="00D06117" w:rsidRDefault="00D06117" w:rsidP="00D06117">
      <w:pPr>
        <w:pStyle w:val="TextoNormal"/>
      </w:pPr>
    </w:p>
    <w:p w:rsidR="00D06117" w:rsidRDefault="00D06117" w:rsidP="00D06117">
      <w:pPr>
        <w:pStyle w:val="TextoNormal"/>
      </w:pPr>
      <w:r>
        <w:t>a) El día 21 de abril de 1990 un particular concertó una póliza de seguro con Aegón Unión Aseguradora, S.A., por la cual se aseguraba el inmueble sito en el bajo del núm. 5 de la calle Real de A Coruña.</w:t>
      </w:r>
    </w:p>
    <w:p w:rsidR="00D06117" w:rsidRDefault="00D06117" w:rsidP="00D06117">
      <w:pPr>
        <w:pStyle w:val="TextoNormal"/>
      </w:pPr>
    </w:p>
    <w:p w:rsidR="00D06117" w:rsidRDefault="00D06117" w:rsidP="00D06117">
      <w:pPr>
        <w:pStyle w:val="TextoNormal"/>
      </w:pPr>
      <w:r>
        <w:t>b) El día 7 de noviembre de 2001 el referido bajo sufrió una serie de daños como consecuencia de la caída de agua procedente de las instalaciones de fontanería del segundo piso del citado inmueble, por filtración de agua desde el primer piso.</w:t>
      </w:r>
    </w:p>
    <w:p w:rsidR="00D06117" w:rsidRDefault="00D06117" w:rsidP="00D06117">
      <w:pPr>
        <w:pStyle w:val="TextoNormal"/>
      </w:pPr>
    </w:p>
    <w:p w:rsidR="00D06117" w:rsidRDefault="00D06117" w:rsidP="00D06117">
      <w:pPr>
        <w:pStyle w:val="TextoNormal"/>
      </w:pPr>
      <w:r>
        <w:t>c) Con fecha 3 de octubre de 2003, Aegón Unión Aseguradora, S.A., formuló demanda de juicio declarativo verbal en reclamación de cantidad contra una particular y la entidad aseguradora Caser, que tenían suscrita en la fecha del siniestro la correspondiente póliza de seguros.</w:t>
      </w:r>
    </w:p>
    <w:p w:rsidR="00D06117" w:rsidRDefault="00D06117" w:rsidP="00D06117">
      <w:pPr>
        <w:pStyle w:val="TextoNormal"/>
      </w:pPr>
    </w:p>
    <w:p w:rsidR="00D06117" w:rsidRDefault="00D06117" w:rsidP="00D06117">
      <w:pPr>
        <w:pStyle w:val="TextoNormal"/>
      </w:pPr>
      <w:r>
        <w:t xml:space="preserve">La demanda reclama el resarcimiento de los 342,57 euros que la compañía Aegón se vio obligada a abonar a su asegurado como indemnización por los daños sufridos en el bajo, con fundamento en la responsabilidad extracontractual incurrida por el causante del daño [arts. 1902 del Código civil (CC) y 43 de la Ley 50/1980, de 8 de octubre, reguladora del </w:t>
      </w:r>
      <w:r>
        <w:lastRenderedPageBreak/>
        <w:t>contrato de seguro] y una vez cumplimentadas sin éxito las acciones de conciliación ante los Juzgados de Primera Instancia núms. 1 y 9 de A Coruña. Al tratarse de un juicio verbal donde se reclamaba el pago de una indemnización, con una cuantía litigiosa fijada en 342,57 euros, debían abonarse unas tasas judiciales de 91,71 euros.</w:t>
      </w:r>
    </w:p>
    <w:p w:rsidR="00D06117" w:rsidRDefault="00D06117" w:rsidP="00D06117">
      <w:pPr>
        <w:pStyle w:val="TextoNormal"/>
      </w:pPr>
    </w:p>
    <w:p w:rsidR="00D06117" w:rsidRDefault="00D06117" w:rsidP="00D06117">
      <w:pPr>
        <w:pStyle w:val="TextoNormal"/>
      </w:pPr>
      <w:r>
        <w:t>d) Mediante diligencia de constancia de 22 de octubre de 2003, la Secretaría Judicial del Juzgado de Primera Instancia núm. 8 de A Coruña hace constar que “hecha la comprobación a que se refiere el art. 6.2 de la Orden Ministerial de 24 de marzo de 2003 por la que se aprueba el modelo de autoliquidación de la tasa por el ejercicio de la potestad jurisdiccional en el orden civil, no aparece la incorporación del modelo 696 al escrito procesal causante del hecho imponible de la tasa”.</w:t>
      </w:r>
    </w:p>
    <w:p w:rsidR="00D06117" w:rsidRDefault="00D06117" w:rsidP="00D06117">
      <w:pPr>
        <w:pStyle w:val="TextoNormal"/>
      </w:pPr>
    </w:p>
    <w:p w:rsidR="00D06117" w:rsidRDefault="00D06117" w:rsidP="00D06117">
      <w:pPr>
        <w:pStyle w:val="TextoNormal"/>
      </w:pPr>
      <w:r>
        <w:t>e) Por diligencia de ordenación de 23 de octubre de 2003, la Secretaría de dicho Juzgado tiene por recibido el escrito de demanda y por personado al Procurador don Manuel Lado Fernández y “vista la ausencia de incorporación del modelo 696 que liquida la tasa por el ejercicio de la potestad jurisdiccional en el orden civil con cargo al sujeto pasivo”, requiere a dicho Procurador para que en el plazo de diez días subsane la omisión, “apercibiéndole de no dar curso a la demanda o escrito procesal ... de conformidad con el art. 6.3 de la Orden Ministerial HAC/661/2003, de 24 de marzo, por la que se aprueba el modelo de autoliquidación de la tasa de relación con el art. 35.7.2 de la Ley 53/2002, de medidas fiscales, administrativas y del orden social”.</w:t>
      </w:r>
    </w:p>
    <w:p w:rsidR="00D06117" w:rsidRDefault="00D06117" w:rsidP="00D06117">
      <w:pPr>
        <w:pStyle w:val="TextoNormal"/>
      </w:pPr>
    </w:p>
    <w:p w:rsidR="00D06117" w:rsidRDefault="00D06117" w:rsidP="00D06117">
      <w:pPr>
        <w:pStyle w:val="TextoNormal"/>
      </w:pPr>
      <w:r>
        <w:t>f) Constatado, con fecha 12 de noviembre de 2003, que ha transcurrido en exceso el plazo de diez días concedido al sujeto pasivo para que incorporara a las actuaciones el modelo 696, sin haberlo realizado, la Secretaría Judicial dicta diligencia de ordenación el mismo día 12 de noviembre de 2003, notificando “a la Agencia Estatal de Administración Tributaria de esta ciudad dicha circunstancia ... de conformidad con el art. 6.4 de la Orden Ministerial HAC/661/2003, de 24 de marzo”.</w:t>
      </w:r>
    </w:p>
    <w:p w:rsidR="00D06117" w:rsidRDefault="00D06117" w:rsidP="00D06117">
      <w:pPr>
        <w:pStyle w:val="TextoNormal"/>
      </w:pPr>
    </w:p>
    <w:p w:rsidR="00D06117" w:rsidRDefault="00D06117" w:rsidP="00D06117">
      <w:pPr>
        <w:pStyle w:val="TextoNormal"/>
      </w:pPr>
      <w:r>
        <w:t>g) Con fecha 25 de noviembre de 2003, el Magistrado-Juez del Juzgado de Primera Instancia núm. 8 de A Coruña dicta providencia, de conformidad con lo dispuesto en el art. 35.2 de la Ley Orgánica del Tribunal Constitucional (LOTC), para que en el plazo de diez días el Fiscal y las partes aleguen lo que estimen conveniente sobre la pertinencia de plantear la cuestión de inconstitucionalidad “por la posible vulneración por el art. 35.Siete, 2 de la Ley 53/2002, de 30 de diciembre, de medidas fiscales, administrativas y del orden social, de lo dispuesto en el art. 24.1 de la Constitución española”.</w:t>
      </w:r>
    </w:p>
    <w:p w:rsidR="00D06117" w:rsidRDefault="00D06117" w:rsidP="00D06117">
      <w:pPr>
        <w:pStyle w:val="TextoNormal"/>
      </w:pPr>
    </w:p>
    <w:p w:rsidR="00D06117" w:rsidRDefault="00D06117" w:rsidP="00D06117">
      <w:pPr>
        <w:pStyle w:val="TextoNormal"/>
      </w:pPr>
      <w:r>
        <w:t>h) El Fiscal evacúa el trámite conferido con fecha 5 de diciembre de 2003, informando desfavorablemente sobre la pertinencia de plantear la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Auto de 15 de diciembre de 2003, el Juzgado de Primera Instancia núm. 8 de A Coruña formalizó la cuestión de inconstitucionalidad en relación con el art. 35.7.2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t>El órgano judicial realiza en dicho Auto las siguientes consideraciones:</w:t>
      </w:r>
    </w:p>
    <w:p w:rsidR="00D06117" w:rsidRDefault="00D06117" w:rsidP="00D06117">
      <w:pPr>
        <w:pStyle w:val="TextoNormal"/>
      </w:pPr>
    </w:p>
    <w:p w:rsidR="00D06117" w:rsidRDefault="00D06117" w:rsidP="00D06117">
      <w:pPr>
        <w:pStyle w:val="TextoNormal"/>
      </w:pPr>
      <w:r>
        <w:t xml:space="preserve">a) Se refiere, en primer lugar, a los hechos del proceso entablado por Aegón Unión Aseguradora, S.A., señalando que no se acompañó a la demanda el justificante del pago de las </w:t>
      </w:r>
      <w:r>
        <w:lastRenderedPageBreak/>
        <w:t>tasas previstas en el art. 35 de la Ley 53/2002, no habiéndose subsanado este extremo en el plazo concedido para ello.</w:t>
      </w:r>
    </w:p>
    <w:p w:rsidR="00D06117" w:rsidRDefault="00D06117" w:rsidP="00D06117">
      <w:pPr>
        <w:pStyle w:val="TextoNormal"/>
      </w:pPr>
    </w:p>
    <w:p w:rsidR="00D06117" w:rsidRDefault="00D06117" w:rsidP="00D06117">
      <w:pPr>
        <w:pStyle w:val="TextoNormal"/>
      </w:pPr>
      <w:r>
        <w:t>Seguidamente, alude a la providencia dictada el día 25 de noviembre de 2003, de conformidad con lo regulado en el art. 35.2 LOTC, con el fin de que las partes y el Ministerio Fiscal se pronunciaran sobre la pertinencia de plantear la cuestión de inconstitucionalidad.</w:t>
      </w:r>
    </w:p>
    <w:p w:rsidR="00D06117" w:rsidRDefault="00D06117" w:rsidP="00D06117">
      <w:pPr>
        <w:pStyle w:val="TextoNormal"/>
      </w:pPr>
    </w:p>
    <w:p w:rsidR="00D06117" w:rsidRDefault="00D06117" w:rsidP="00D06117">
      <w:pPr>
        <w:pStyle w:val="TextoNormal"/>
      </w:pPr>
      <w:r>
        <w:t>b) Tras ello, el órgano judicial inicia los razonamientos jurídicos:</w:t>
      </w:r>
    </w:p>
    <w:p w:rsidR="00D06117" w:rsidRDefault="00D06117" w:rsidP="00D06117">
      <w:pPr>
        <w:pStyle w:val="TextoNormal"/>
      </w:pPr>
    </w:p>
    <w:p w:rsidR="00D06117" w:rsidRDefault="00D06117" w:rsidP="00D06117">
      <w:pPr>
        <w:pStyle w:val="TextoNormal"/>
      </w:pPr>
      <w:r>
        <w:t>Comienza poniendo de relieve que el art. 35 de la Ley 53/2002 establece un sistema de acceso a la jurisdicción mediante el pago de una tasa en determinados supuestos, constituyendo el hecho imponible de la misma el ejercicio de la potestad jurisdiccional a instancia de parte en los órdenes civil y contencioso-administrativo, precisando el apartado 7. 2 de dicho precepto que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t>De ello deduce el órgano judicial que al no abonarse la tasa ni siquiera en el plazo de subsanación, la consecuencia sería la no admisión de la demanda mediante el dictado de una resolución en forma de Auto [art. 206.2.2 de la Ley de enjuiciamiento civil (LEC), en conexión con el art. 266.5 de la misma ley].</w:t>
      </w:r>
    </w:p>
    <w:p w:rsidR="00D06117" w:rsidRDefault="00D06117" w:rsidP="00D06117">
      <w:pPr>
        <w:pStyle w:val="TextoNormal"/>
      </w:pPr>
    </w:p>
    <w:p w:rsidR="00D06117" w:rsidRDefault="00D06117" w:rsidP="00D06117">
      <w:pPr>
        <w:pStyle w:val="TextoNormal"/>
      </w:pPr>
      <w:r>
        <w:t>Este planteamiento determina, según el órgano judicial, que el art. 35.7.2 de la Ley 53/2002, suscite dudas de constitucionalidad por vulneración del derecho de acceso al proceso, regulado en el art. 24.1 CE.</w:t>
      </w:r>
    </w:p>
    <w:p w:rsidR="00D06117" w:rsidRDefault="00D06117" w:rsidP="00D06117">
      <w:pPr>
        <w:pStyle w:val="TextoNormal"/>
      </w:pPr>
    </w:p>
    <w:p w:rsidR="00D06117" w:rsidRDefault="00D06117" w:rsidP="00D06117">
      <w:pPr>
        <w:pStyle w:val="TextoNormal"/>
      </w:pPr>
      <w:r>
        <w:t>c) El Auto examina seguidamente el cumplimiento de los requisitos que impone el art. 35.1 LOTC para el planteamiento de la cuestión de inconstitucionalidad.</w:t>
      </w:r>
    </w:p>
    <w:p w:rsidR="00D06117" w:rsidRDefault="00D06117" w:rsidP="00D06117">
      <w:pPr>
        <w:pStyle w:val="TextoNormal"/>
      </w:pPr>
    </w:p>
    <w:p w:rsidR="00D06117" w:rsidRDefault="00D06117" w:rsidP="00D06117">
      <w:pPr>
        <w:pStyle w:val="TextoNormal"/>
      </w:pPr>
      <w:r>
        <w:t>El primer requisito es que la norma aplicable al caso tenga rango de ley, lo que se satisface en este supuesto por parte del precepto cuestionado.</w:t>
      </w:r>
    </w:p>
    <w:p w:rsidR="00D06117" w:rsidRDefault="00D06117" w:rsidP="00D06117">
      <w:pPr>
        <w:pStyle w:val="TextoNormal"/>
      </w:pPr>
    </w:p>
    <w:p w:rsidR="00D06117" w:rsidRDefault="00D06117" w:rsidP="00D06117">
      <w:pPr>
        <w:pStyle w:val="TextoNormal"/>
      </w:pPr>
      <w:r>
        <w:t>El segundo requisito es que pueda apreciarse contradicción entre el precepto legal aplicable y la Constitución. En este supuesto, el art. 35.7.2 de la Ley 52/2002, al prohibir que los órganos jurisdiccionales den curso a ciertos escritos de no constar el pago de determinadas tasas, puede afectar al derecho a la acción al impedir la admisión de la demanda cuando con su interposición no se acredite el pago de la tasa, lo que parece contrario al art. 24.1 CE.</w:t>
      </w:r>
    </w:p>
    <w:p w:rsidR="00D06117" w:rsidRDefault="00D06117" w:rsidP="00D06117">
      <w:pPr>
        <w:pStyle w:val="TextoNormal"/>
      </w:pPr>
    </w:p>
    <w:p w:rsidR="00D06117" w:rsidRDefault="00D06117" w:rsidP="00D06117">
      <w:pPr>
        <w:pStyle w:val="TextoNormal"/>
      </w:pPr>
      <w:r>
        <w:t>Las consecuencias derivadas del precepto cuestionado ninguna relación guardan, según el Auto, con el objeto y finalidad del proceso, tratándose de un mero tributo que, aunque responde a una finalidad constitucionalmente legítima (deber recogido en el art. 31.1 CE), limitan el ejercicio del derecho fundamental previsto en el art. 24.1 CE de forma desproporcionada e innecesaria y sin respetar su contenido esencial (SSTC 141/1988, 70/2002 y 56/2003).</w:t>
      </w:r>
    </w:p>
    <w:p w:rsidR="00D06117" w:rsidRDefault="00D06117" w:rsidP="00D06117">
      <w:pPr>
        <w:pStyle w:val="TextoNormal"/>
      </w:pPr>
    </w:p>
    <w:p w:rsidR="00D06117" w:rsidRDefault="00D06117" w:rsidP="00D06117">
      <w:pPr>
        <w:pStyle w:val="TextoNormal"/>
      </w:pPr>
      <w:r>
        <w:t xml:space="preserve">La falta de proporcionalidad entre el objetivo que se persigue (la recaudación del impuesto) y la limitación que se establece (denegación del acceso a la justicia) parece evidente, </w:t>
      </w:r>
      <w:r>
        <w:lastRenderedPageBreak/>
        <w:t>pues aquél podría lograrse por otros medios, como la simple obligación del órgano jurisdiccional de comunicar a la Agencia tributaria la existencia de un documento sin liquidar. Sin embargo, el establecimiento de una medida que obstaculiza el acceso a la justicia resulta innecesario al afectar a un derecho fundamental.</w:t>
      </w:r>
    </w:p>
    <w:p w:rsidR="00D06117" w:rsidRDefault="00D06117" w:rsidP="00D06117">
      <w:pPr>
        <w:pStyle w:val="TextoNormal"/>
      </w:pPr>
    </w:p>
    <w:p w:rsidR="00D06117" w:rsidRDefault="00D06117" w:rsidP="00D06117">
      <w:pPr>
        <w:pStyle w:val="TextoNormal"/>
      </w:pPr>
      <w:r>
        <w:t>En este caso no se limitan los medios de prueba, supuesto que se contemplaba en la STC 141/1988, sino que se veda el proceso mismo. Aunque existen supuestos en que la forma del título condiciona de antemano su eficacia ejecutiva (así, el requisito del timbre en las letras de cambio), sin embargo en tales supuestos no se impide acudir a otras modalidades procedimentales para obtener la satisfacción del derecho, mientras que en el presente se imposibilita el acceso a la jurisdicción.</w:t>
      </w:r>
    </w:p>
    <w:p w:rsidR="00D06117" w:rsidRDefault="00D06117" w:rsidP="00D06117">
      <w:pPr>
        <w:pStyle w:val="TextoNormal"/>
      </w:pPr>
    </w:p>
    <w:p w:rsidR="00D06117" w:rsidRDefault="00D06117" w:rsidP="00D06117">
      <w:pPr>
        <w:pStyle w:val="TextoNormal"/>
      </w:pPr>
      <w:r>
        <w:t>Tampoco resultan equiparables los supuestos de consignación para recurrir en materia arrendataria o de tráfico, pues como recuerda la STC 141/1988 constituyen cargas que persiguen fines vinculados al proceso mismo, o tendentes a evitar disfunciones. Y lo propio cabe decir respecto de la exigencia de postulación (art. 440.2 LEC).</w:t>
      </w:r>
    </w:p>
    <w:p w:rsidR="00D06117" w:rsidRDefault="00D06117" w:rsidP="00D06117">
      <w:pPr>
        <w:pStyle w:val="TextoNormal"/>
      </w:pPr>
    </w:p>
    <w:p w:rsidR="00D06117" w:rsidRDefault="00D06117" w:rsidP="00D06117">
      <w:pPr>
        <w:pStyle w:val="TextoNormal"/>
      </w:pPr>
      <w:r>
        <w:t>En ninguno de estos casos la exigencia se proyecta, como en el presente, con carácter general, de manera que obedece a una finalidad recaudatoria constitucionalmente legítima pero que produce una consecuencia desproporcionada, pues no se cuestiona el hecho imponible sino la consecuencia derivada de la no aportación del justificante de pago.</w:t>
      </w:r>
    </w:p>
    <w:p w:rsidR="00D06117" w:rsidRDefault="00D06117" w:rsidP="00D06117">
      <w:pPr>
        <w:pStyle w:val="TextoNormal"/>
      </w:pPr>
    </w:p>
    <w:p w:rsidR="00D06117" w:rsidRDefault="00D06117" w:rsidP="00D06117">
      <w:pPr>
        <w:pStyle w:val="TextoNormal"/>
      </w:pPr>
      <w:r>
        <w:t>d) El tercer requisito exigido por el art. 35.1 LOTC para el planteamiento de la cuestión de inconstitucionalidad es que el precepto sea aplicable al caso y que de su validez dependa el fallo, es decir, que exista conexión entre la validez de la norma y la pretensión del proceso a quo.</w:t>
      </w:r>
    </w:p>
    <w:p w:rsidR="00D06117" w:rsidRDefault="00D06117" w:rsidP="00D06117">
      <w:pPr>
        <w:pStyle w:val="TextoNormal"/>
      </w:pPr>
    </w:p>
    <w:p w:rsidR="00D06117" w:rsidRDefault="00D06117" w:rsidP="00D06117">
      <w:pPr>
        <w:pStyle w:val="TextoNormal"/>
      </w:pPr>
      <w:r>
        <w:t>La jurisprudencia constitucional ha otorgado al concepto de “fallo” una interpretación flexible, entendiendo por tal el pronunciamiento decisivo o imperativo de una resolución judicial no coincidente de modo necesario con la Sentencia, sino incluyendo las que pudieran dictarse con forma de Auto, con ciertas limitaciones. Esta posibilidad se circunscribe, con carácter general a leyes procesales y sólo se admite en relación con leyes de naturaleza sustantiva cuando la ulterior tramitación del proceso no pueda aportar ningún elemento adicional de juicio sobre la aplicabilidad de la norma legal cuestionada ni sobre su efecto determinante del fallo o cuando la norma tenga una incidencia anticipada e irreversible en el proceso en curso (SSTC 54/1983; 25/1984; 55/1990; 186/1990 y 234/1997; AATC 121/1990; 60/1991; 92/1991 y 236/1998).</w:t>
      </w:r>
    </w:p>
    <w:p w:rsidR="00D06117" w:rsidRDefault="00D06117" w:rsidP="00D06117">
      <w:pPr>
        <w:pStyle w:val="TextoNormal"/>
      </w:pPr>
    </w:p>
    <w:p w:rsidR="00D06117" w:rsidRDefault="00D06117" w:rsidP="00D06117">
      <w:pPr>
        <w:pStyle w:val="TextoNormal"/>
      </w:pPr>
      <w:r>
        <w:t>El art. 35.2 LOTC exige al órgano judicial que justifique en qué medida la decisión del proceso depende de la validez de la norma cuestionada, explicitando, así, lo que se denomina “juicio de relevancia”. En este caso, según el Auto, no se presenta ninguna duda de que el art. 35.7.2 de la Ley 53/2002 es aplicable al caso, pues se está en uno de los supuestos del hecho imponible (interposición de la demanda), que devenga la tasa regulada. No concurriendo ninguna de las exenciones previstas en la propia ley y no habiéndose acompañado a la demanda el justificante de pago de dicha tasa, procede aplicar aquel precepto y no dar curso a la demanda.</w:t>
      </w:r>
    </w:p>
    <w:p w:rsidR="00D06117" w:rsidRDefault="00D06117" w:rsidP="00D06117">
      <w:pPr>
        <w:pStyle w:val="TextoNormal"/>
      </w:pPr>
    </w:p>
    <w:p w:rsidR="00D06117" w:rsidRDefault="00D06117" w:rsidP="00D06117">
      <w:pPr>
        <w:pStyle w:val="TextoNormal"/>
      </w:pPr>
      <w:r>
        <w:lastRenderedPageBreak/>
        <w:t>Es también claro que la validez del precepto legal incide en la resolución a dictar, pues si aquél es constitucional procederá la inadmisión de la demanda, mientras que si fuere inconstitucional continuaría la tramitación del proceso.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29 de junio de 2004, la Sección Tercera acordó oír al Fiscal General del Estado acerca de la admisibilidad de la cuestión, a tenor del art. 37.1 LOTC.</w:t>
      </w:r>
    </w:p>
    <w:p w:rsidR="00D06117" w:rsidRDefault="00D06117" w:rsidP="00D06117">
      <w:pPr>
        <w:pStyle w:val="TextoNormal"/>
      </w:pPr>
    </w:p>
    <w:p w:rsidR="00D06117" w:rsidRDefault="00D06117" w:rsidP="00D06117">
      <w:pPr>
        <w:pStyle w:val="TextoNormal"/>
      </w:pPr>
      <w:r>
        <w:t>El Fiscal informó el 26 de julio proponiendo la inadmisión a trámite de la cuestión, por estar notoriamente infundada.</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2 de febrero de 2005, la Sección Tercera admitió la cuestión a trámite y dio traslado al Congreso de los Diputados, al Senado, al Gobierno y a la Fiscalía General del Estado. Asimismo, acordó publicar la incoación de la cuestión en el “Boletín Oficial del Estado”, lo que tuvo lugar en el ejemplar de 22 de febrero de 2005.</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de 15 de febrero de 2005, registrado el siguiente día 21, el Presidente del Congreso de los Diputados comunicó al Tribunal que el Congreso no se personaría en el proceso ni formularía alegaciones, pero que ponía a su disposición las actuaciones de la Cámara que pudiere precisar.</w:t>
      </w:r>
    </w:p>
    <w:p w:rsidR="00D06117" w:rsidRDefault="00D06117" w:rsidP="00D06117">
      <w:pPr>
        <w:pStyle w:val="TextoNormal"/>
      </w:pPr>
    </w:p>
    <w:p w:rsidR="00D06117" w:rsidRDefault="00D06117" w:rsidP="00D06117">
      <w:pPr>
        <w:pStyle w:val="TextoNormal"/>
      </w:pPr>
      <w:r>
        <w:t>Por escrito de 22 de febrero de 2005, registrado el siguiente día 24, el Presidente del Senado comunicó asimismo que la Cámara se personaba en el procedimiento y ofrecía su colaboración.</w:t>
      </w:r>
    </w:p>
    <w:p w:rsidR="00D06117" w:rsidRDefault="00D06117" w:rsidP="00D06117">
      <w:pPr>
        <w:pStyle w:val="TextoNormal"/>
      </w:pPr>
    </w:p>
    <w:p w:rsidR="00D06117" w:rsidRDefault="00D06117" w:rsidP="00D06117">
      <w:pPr>
        <w:pStyle w:val="TextoNormal"/>
      </w:pPr>
      <w:r w:rsidRPr="00D06117">
        <w:rPr>
          <w:rStyle w:val="NumeroAFNegritaCaracter"/>
        </w:rPr>
        <w:t>7</w:t>
      </w:r>
      <w:r>
        <w:t>. El Abogado del Estado, por escrito de 1 de marzo de 2005, presentado en el Registro General el mismo día, formuló alegaciones a favor de la desestimación de la cuestión de inconstitucionalidad:</w:t>
      </w:r>
    </w:p>
    <w:p w:rsidR="00D06117" w:rsidRDefault="00D06117" w:rsidP="00D06117">
      <w:pPr>
        <w:pStyle w:val="TextoNormal"/>
      </w:pPr>
    </w:p>
    <w:p w:rsidR="00D06117" w:rsidRDefault="00D06117" w:rsidP="00D06117">
      <w:pPr>
        <w:pStyle w:val="TextoNormal"/>
      </w:pPr>
      <w:r>
        <w:t>Tras afirmar que la cuestión cumple los requisitos procesales de admisión, y recordar sus términos, razona que su fundamento único es la traslación automática de la doctrina sentada en la STC 141/1988, que resolvió un caso no análogo; y añade que el precepto legal es válido y que, incluso si se le pusieran reparos a la interpretación que mantiene el órgano cuestionante, es susceptible de otras interpretaciones de constitucionalidad indudable.</w:t>
      </w:r>
    </w:p>
    <w:p w:rsidR="00D06117" w:rsidRDefault="00D06117" w:rsidP="00D06117">
      <w:pPr>
        <w:pStyle w:val="TextoNormal"/>
      </w:pPr>
    </w:p>
    <w:p w:rsidR="00D06117" w:rsidRDefault="00D06117" w:rsidP="00D06117">
      <w:pPr>
        <w:pStyle w:val="TextoNormal"/>
      </w:pPr>
      <w:r>
        <w:t>La propia STC 141/1988 excluye que el caso resuelto entonces pueda compararse con el que nos ocupa: su fundamentación subrayó las diferencias entre el impuesto sobre actos jurídicos documentados y otras figuras, como las tasas judiciales, e indicó expresamente que las limitaciones asociadas a estas últimas sí se imponen “en función de la propia realidad o finalidad del proceso” (FJ 7). La tasa, a diferencia del impuesto, es un tributo cuyo hecho imponible consiste en la prestación de servicios que benefician al sujeto pasivo; por eso, se fija en función del coste del servicio que financia (art. 2 de la Ley general tributaria de 2003 y de la Ley de tasas y precios públicos de 1989), como ha recogido la jurisprudencia constitucional (STC 296/1994, FJ 4).</w:t>
      </w:r>
    </w:p>
    <w:p w:rsidR="00D06117" w:rsidRDefault="00D06117" w:rsidP="00D06117">
      <w:pPr>
        <w:pStyle w:val="TextoNormal"/>
      </w:pPr>
    </w:p>
    <w:p w:rsidR="00D06117" w:rsidRDefault="00D06117" w:rsidP="00D06117">
      <w:pPr>
        <w:pStyle w:val="TextoNormal"/>
      </w:pPr>
      <w:r>
        <w:t xml:space="preserve">Esta vinculación entre la tasa y el servicio resulta de la regulación general que en materia de tasas hace la Ley 8/1989, aplicable a las tasas judiciales [art. 13 m), redactado por la Ley 53/2002]. No sólo el hecho imponible consiste en la prestación del servicio, en el caso el </w:t>
      </w:r>
      <w:r>
        <w:lastRenderedPageBreak/>
        <w:t>ejercicio de la potestad jurisdiccional a instancia de parte en los órdenes civil y contencioso-administrativo; sino que su importe no puede exceder, en su conjunto, del coste real o previsible del servicio (art. 19.2 de la Ley 8/1989, STS de 18 de octubre de 1994).</w:t>
      </w:r>
    </w:p>
    <w:p w:rsidR="00D06117" w:rsidRDefault="00D06117" w:rsidP="00D06117">
      <w:pPr>
        <w:pStyle w:val="TextoNormal"/>
      </w:pPr>
    </w:p>
    <w:p w:rsidR="00D06117" w:rsidRDefault="00D06117" w:rsidP="00D06117">
      <w:pPr>
        <w:pStyle w:val="TextoNormal"/>
      </w:pPr>
      <w:r>
        <w:t>Seguidamente, el Abogado del Estado examina los requisitos para que una limitación al derecho fundamental a la tutela judicial efectiva sea admisible (STC 133/2004, FJ 4). No se cuestiona que la finalidad de la tasa sea legítima, en cuanto se dirige a financiar el servicio público de la Administración de Justicia, por lo que se centra en los restantes: que sean razonables y proporcionadas en relación con el objeto pretendido y no afecten al contenido esencial. Las tasas judiciales enjuiciadas funcionan como todas las demás: devengándose cuando se presenta la solicitud que inicia la actuación, que no se realizará sin que se haya efectuado el pago correspondiente, como muestra la legislación general [art. 15.1 b) de la Ley 8/1989], otras tasas similares y el Derecho comparado. De la STEDH Kreuz contra Polonia, de 19 de junio de 2001, se desprende: 1) que el establecimiento de restricciones financieras al acceso a la justicia no afecta, en principio, al núcleo esencial del derecho a accionar; 2) el requisito de pagar tasa a los Tribunales civiles no puede ser considerado per se una restricción del derecho de acceso a un Tribunal; 3) son factores importantes a tener en cuenta la cuantía de las tasas, a la luz de las circunstancias de un caso dado, incluyendo la capacidad de pago del demandante y la fase del procedimiento. En el caso, se concluyó que existía vulneración del art. 6 del Convenio europeo exclusivamente porque las tasas eran “excesivas”.</w:t>
      </w:r>
    </w:p>
    <w:p w:rsidR="00D06117" w:rsidRDefault="00D06117" w:rsidP="00D06117">
      <w:pPr>
        <w:pStyle w:val="TextoNormal"/>
      </w:pPr>
    </w:p>
    <w:p w:rsidR="00D06117" w:rsidRDefault="00D06117" w:rsidP="00D06117">
      <w:pPr>
        <w:pStyle w:val="TextoNormal"/>
      </w:pPr>
      <w:r>
        <w:t>De este modo, la constitucionalidad no vendría determinada porque la tasa se exija como presupuesto de la acción, sino porque se establezca una barrera desproporcionada, atendiendo especialmente a la cuantía.</w:t>
      </w:r>
    </w:p>
    <w:p w:rsidR="00D06117" w:rsidRDefault="00D06117" w:rsidP="00D06117">
      <w:pPr>
        <w:pStyle w:val="TextoNormal"/>
      </w:pPr>
    </w:p>
    <w:p w:rsidR="00D06117" w:rsidRDefault="00D06117" w:rsidP="00D06117">
      <w:pPr>
        <w:pStyle w:val="TextoNormal"/>
      </w:pPr>
      <w:r>
        <w:t>El examen de la Ley 53/2002, cuando define los sujetos pasivos y las exenciones al pago de la tasa, resulta que las únicas que deben pagarlas son personas jurídicas con ánimo de lucro que no sean de reducida dimensión, es decir cuyo importe neto de la cifra de negocios sea superior a seis millones de euros (art. 108 de la Ley del impuesto de sociedades de 2004). Teniendo en cuenta el importe de la tasa, no parece que pueda suponer un obstáculo irrazonable o desproporcionado al ejercicio de la acción. A su vez, el sistema de gestión del tributo que establece le parece al Abogado del Estado el único que garantiza un grado alto de cumplimiento de la obligación tributaria, habida cuenta del número de actuaciones procesales sujetas a la tasa y de los medios de que dispone la Agencia tributaria.</w:t>
      </w:r>
    </w:p>
    <w:p w:rsidR="00D06117" w:rsidRDefault="00D06117" w:rsidP="00D06117">
      <w:pPr>
        <w:pStyle w:val="TextoNormal"/>
      </w:pPr>
    </w:p>
    <w:p w:rsidR="00D06117" w:rsidRDefault="00D06117" w:rsidP="00D06117">
      <w:pPr>
        <w:pStyle w:val="TextoNormal"/>
      </w:pPr>
      <w:r>
        <w:t xml:space="preserve">Aun en el improbable supuesto de que no se aceptara lo anterior, el Abogado del Estado recuerda que otros Tribunales han sostenido una interpretación del precepto que sería indudablemente respetuosa del derecho fundamental. Las leyes procesales no exigen expresamente el documento que acredita la autoliquidación de la tasa para admitir a trámite la demanda [arts. 266.5 y 269.2 LEC y 45 y 69 de la Ley reguladora de la jurisdicción contencioso-administrativa]. El art. 35 de la Ley 53/2002, desarrollado por la Orden HAC/661/2003 y la resolución de la Secretaría de Estado de Justicia de 8 de noviembre de 2003, impone a los órganos judiciales el deber de suministrar información a la Administración tributaria, en particular si se omite la presentación del justificante del pago, para que la Delegación de Hacienda pueda practicar la liquidación de oficio. Por tanto, la falta de pago podría dar lugar a la paralización del procedimiento en el estado en que se encuentre; situación reversible si posteriormente se justifica el pago de la tasa, aun tardío, hasta el momento </w:t>
      </w:r>
      <w:r>
        <w:lastRenderedPageBreak/>
        <w:t>en que se decreta la caducidad del proceso (Audiencia Nacional); o situación transitoria, hasta que se pague la tasa o transcurra el plazo de diez días para hacerlo (Audiencia Provincial de Lleida).</w:t>
      </w:r>
    </w:p>
    <w:p w:rsidR="00D06117" w:rsidRDefault="00D06117" w:rsidP="00D06117">
      <w:pPr>
        <w:pStyle w:val="TextoNormal"/>
      </w:pPr>
    </w:p>
    <w:p w:rsidR="00D06117" w:rsidRDefault="00D06117" w:rsidP="00D06117">
      <w:pPr>
        <w:pStyle w:val="TextoNormal"/>
      </w:pPr>
      <w:r w:rsidRPr="00D06117">
        <w:rPr>
          <w:rStyle w:val="NumeroAFNegritaCaracter"/>
        </w:rPr>
        <w:t>8</w:t>
      </w:r>
      <w:r>
        <w:t>. El Fiscal General del Estado, por escrito de 7 de marzo de 2005, registrado el siguiente día 8, informó a favor de la desestimación de la cuestión:</w:t>
      </w:r>
    </w:p>
    <w:p w:rsidR="00D06117" w:rsidRDefault="00D06117" w:rsidP="00D06117">
      <w:pPr>
        <w:pStyle w:val="TextoNormal"/>
      </w:pPr>
    </w:p>
    <w:p w:rsidR="00D06117" w:rsidRDefault="00D06117" w:rsidP="00D06117">
      <w:pPr>
        <w:pStyle w:val="TextoNormal"/>
      </w:pPr>
      <w:r>
        <w:t>Tras sintetizar los hechos, puntualiza que el art. 35.7.2 de la Ley 53/2002 afecta a la tutela judicial efectiva del art. 24.1 CE en su vertiente de acceso a la jurisdicción, si se atiende al proceso que se encuentra en el origen de la cuestión de inconstitucionalidad; si bien podría afectar asimismo al derecho de acceso al recurso (SSTC 37/1995, 220/1993 y 166/2003), si respeta el primero con mayor razón respetará el segundo.</w:t>
      </w:r>
    </w:p>
    <w:p w:rsidR="00D06117" w:rsidRDefault="00D06117" w:rsidP="00D06117">
      <w:pPr>
        <w:pStyle w:val="TextoNormal"/>
      </w:pPr>
    </w:p>
    <w:p w:rsidR="00D06117" w:rsidRDefault="00D06117" w:rsidP="00D06117">
      <w:pPr>
        <w:pStyle w:val="TextoNormal"/>
      </w:pPr>
      <w:r>
        <w:t>El hecho imponible del que nace la obligación de pagar la tasa judicial consiste en la presentación de demandas, pero no en todos los órdenes jurisdiccionales, sino solamente en el civil y en el contencioso-administrativo (art. 35.1); en los restantes (penal, laboral o militar) no hay obligación de pagar tasa alguna. Por otra parte, el art. 35.3 de la Ley 53/2002 establece un amplio abanico de excepciones objetivas y subjetivas, que el Fiscal analiza con detalle. Concluye con la observación de que la tasa recae sobre grandes empresas que instan procesos civiles y contencioso-administrativos.</w:t>
      </w:r>
    </w:p>
    <w:p w:rsidR="00D06117" w:rsidRDefault="00D06117" w:rsidP="00D06117">
      <w:pPr>
        <w:pStyle w:val="TextoNormal"/>
      </w:pPr>
    </w:p>
    <w:p w:rsidR="00D06117" w:rsidRDefault="00D06117" w:rsidP="00D06117">
      <w:pPr>
        <w:pStyle w:val="TextoNormal"/>
      </w:pPr>
      <w:r>
        <w:t>Dicho con otras palabras, son los grandes usuarios del servicio público en que la Administración de Justicia consiste los que vienen obligados al pago de la tasa, y sólo en las materias no exentas. Ello entraña una gran diferencia con el caso resuelto por la STC 141/1988.</w:t>
      </w:r>
    </w:p>
    <w:p w:rsidR="00D06117" w:rsidRDefault="00D06117" w:rsidP="00D06117">
      <w:pPr>
        <w:pStyle w:val="TextoNormal"/>
      </w:pPr>
    </w:p>
    <w:p w:rsidR="00D06117" w:rsidRDefault="00D06117" w:rsidP="00D06117">
      <w:pPr>
        <w:pStyle w:val="TextoNormal"/>
      </w:pPr>
      <w:r>
        <w:t>La duda de constitucionalidad no consiste en el establecimiento de una tasa por la prestación de la justicia porque, en todo caso, la gratuidad que prescribe el art. 119 CE no resulta comprometida: ese mandato constitucional es de configuración legal y, además, la regulación positiva no supone ningún riesgo de que la actividad jurisdiccional deje de prestarse por insuficiencia económica de quien la pida, como muestra el caso de la compañía aseguradora que dio lugar al proceso donde surge la cuestión de inconstitucionalidad.</w:t>
      </w:r>
    </w:p>
    <w:p w:rsidR="00D06117" w:rsidRDefault="00D06117" w:rsidP="00D06117">
      <w:pPr>
        <w:pStyle w:val="TextoNormal"/>
      </w:pPr>
    </w:p>
    <w:p w:rsidR="00D06117" w:rsidRDefault="00D06117" w:rsidP="00D06117">
      <w:pPr>
        <w:pStyle w:val="TextoNormal"/>
      </w:pPr>
      <w:r>
        <w:t>En segundo lugar, el texto legal no establece que el Juzgado inadmitirá la demanda, cuando no vaya acompañada del documento justificativo del pago de la tasa, sino que “el secretario judicial no dará curso” al escrito en cuestión e informará a las autoridades tributarias. Lo que la norma cuestionada impone es una actuación, no jurisdiccional, sino de colaboración con la Administración del Estado justificada en el art. 117, apartados 3 y 4, CE.</w:t>
      </w:r>
    </w:p>
    <w:p w:rsidR="00D06117" w:rsidRDefault="00D06117" w:rsidP="00D06117">
      <w:pPr>
        <w:pStyle w:val="TextoNormal"/>
      </w:pPr>
    </w:p>
    <w:p w:rsidR="00D06117" w:rsidRDefault="00D06117" w:rsidP="00D06117">
      <w:pPr>
        <w:pStyle w:val="TextoNormal"/>
      </w:pPr>
      <w:r>
        <w:t>Claro que, aunque la presentación de un escrito de demanda en tales condiciones no dé lugar directamente a su inadmisión, es obvio que no se dictará resolución judicial mientras no se subsane la falta de pago, bien porque se satisfaga la tasa dentro del plazo de prescripción o caducidad de la acción, bien porque la Administración tributaria gestione su cobro [art. 98 y ss. de la Ley general tributaria]. Tampoco en el presente caso, a diferencia de lo que ocurría en el supuesto de la STC 141/1988, la Administración tributaria cuenta con un procedimiento reduplicado para obtener el cobro del tributo.</w:t>
      </w:r>
    </w:p>
    <w:p w:rsidR="00D06117" w:rsidRDefault="00D06117" w:rsidP="00D06117">
      <w:pPr>
        <w:pStyle w:val="TextoNormal"/>
      </w:pPr>
    </w:p>
    <w:p w:rsidR="00D06117" w:rsidRDefault="00D06117" w:rsidP="00D06117">
      <w:pPr>
        <w:pStyle w:val="TextoNormal"/>
      </w:pPr>
      <w:r>
        <w:lastRenderedPageBreak/>
        <w:t>Es indudable que la presentación de una demanda sin el pago de la tasa no genera ninguno de los efectos consustanciales al acto de presentación, singularmente los de producción de la litispendencia o de la perpetuatio jurisdictionis (arts. 410 y 411 LEC) o la interrupción del plazo prescriptivo (art. 1973 CC). Por lo cual, aun cuando la actividad del Secretario judicial de no dar curso a la demanda pudiera no ser calificada como actividad jurisdiccional, se impide la admisión de la demanda y continúa transcurriendo el plazo de prescripción para el ejercicio de la acción por lo que, una vez transcurrido, será preciso acordar la inadmisión de la demanda o su archivo de oficio o a instancia de la otra parte procesal, por lo que sí que entraña una limitación del acceso al proceso. Pero esta limitación es constitucionalmente legítima.</w:t>
      </w:r>
    </w:p>
    <w:p w:rsidR="00D06117" w:rsidRDefault="00D06117" w:rsidP="00D06117">
      <w:pPr>
        <w:pStyle w:val="TextoNormal"/>
      </w:pPr>
    </w:p>
    <w:p w:rsidR="00D06117" w:rsidRDefault="00D06117" w:rsidP="00D06117">
      <w:pPr>
        <w:pStyle w:val="TextoNormal"/>
      </w:pPr>
      <w:r>
        <w:t>No puede ponerse en duda que la tasa pretende un fin legítimo, pues se trata de un tributo para obtener ingresos necesarios para el sostenimiento de los gastos públicos (art. 31 CE). La limitación que impone en el acceso a la jurisdicción parece razonable y proporcionada en relación con el fin que pretende: recabar recursos de quienes, potencialmente, son los mayores usuarios de un servicio público para contribuir a su financiación, por lo que parece adecuado que se condicione la prestación del servicio a quien no satisfaga la tasa. Y no afecta al núcleo esencial del derecho fundamental porque la tasa se impone a personas cuya capacidad económica para hacer frente al pago resulta indiscutida. Además, cuando por razón de la materia de la controversia o de la pretensión ejercitada el interés público es manifiesto, la propia ley declara la exención de la tasa.</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14 de febrero de 2012 se señaló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artículo 35 de la Ley 53/2002, de 30 de diciembre, de medidas fiscales, administrativas y del orden social, creó la tasa por el ejercicio de la potestad jurisdiccional en los órdenes civil y contencioso-administrativo. Su apartado 7, párrafo 2, al que concretamente refiere de la presente cuestión de inconstitucionalidad, dispuso:</w:t>
      </w:r>
    </w:p>
    <w:p w:rsidR="00D06117" w:rsidRDefault="00D06117" w:rsidP="00D06117">
      <w:pPr>
        <w:pStyle w:val="TextoNormal"/>
      </w:pPr>
    </w:p>
    <w:p w:rsidR="00D06117" w:rsidRDefault="00D06117" w:rsidP="00D06117">
      <w:pPr>
        <w:pStyle w:val="TextoNormal"/>
      </w:pPr>
      <w:r>
        <w:t>“El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t>Este precepto ha sido cuestionado por vulnerar el derecho de acceso a la justicia que forma parte del derecho a la tutela judicial efectiva enunciado por el art. 24.1 de la Constitución. El Auto de planteamiento afirma, como se ha resumido con más detalle en los antecedentes, que existen medidas al alcance de la Hacienda pública para obtener el cobro de la tasa menos drásticas que la de impedir el curso del proceso. Por el contrario, tanto el Abogado del Estado como el Fiscal General del Estado sostienen la constitucionalidad del precepto cuestionado.</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Este artículo fue introducido por el Senado durante la tramitación parlamentaria que culminaría con la aprobación de la Ley de medidas para el año 2003. El grupo parlamentario </w:t>
      </w:r>
      <w:r>
        <w:lastRenderedPageBreak/>
        <w:t>Popular en el Senado formuló la enmienda número 269 para añadir un nuevo artículo, así como la enmienda 270 para efectuar la correlativa modificación de la Ley 8/1989, de 13 de abril, de tasas y precios públicos. El contenido de estas enmiendas coincide sustancialmente con el que fue aprobado como artículos 35 de la Ley de medidas y 13 m) de la Ley de tasas, primero por la Cámara alta y, finalmente, por el Congreso de los Diputados.</w:t>
      </w:r>
    </w:p>
    <w:p w:rsidR="00D06117" w:rsidRDefault="00D06117" w:rsidP="00D06117">
      <w:pPr>
        <w:pStyle w:val="TextoNormal"/>
      </w:pPr>
    </w:p>
    <w:p w:rsidR="00D06117" w:rsidRDefault="00D06117" w:rsidP="00D06117">
      <w:pPr>
        <w:pStyle w:val="TextoNormal"/>
      </w:pPr>
      <w:r>
        <w:t>En el proyecto de ley se introducían cambios en diversas tasas y se creaban otras nuevas (capítulo III de la Ley 53/2002, que comprende sus arts. 12 al 36) como explica el preámbulo de la Ley: “Por lo que se refiere a las tasas, se incorporan, como cada año, modificaciones de diversa índole. Así, se modifican las siguientes tasas y cánones: tasa por la autorización, celebración u organización de rifas, tómbolas, apuestas y combinaciones aleatorias, tasa por actuaciones de los registros de buques y empresas navieras, tasa por redacción de proyectos, confrontación y tasación de obras y proyectos, tasas de la Jefatura Central de Tráfico, tasa de aterrizaje, tasa por inspecciones y controles veterinarios de productos de origen animal no destinados a consumo humano, que se introduzcan en territorio nacional procedentes de países no comunitarios, cánones por concesiones y autorizaciones sobre dominio público marítimo-terrestre, tasas del Boletín Oficial del Estado, tasas exigibles por los servicios y actividades realizados en relación con la financiación con cargo a fondos de la Seguridad Social y fijación de precio de los efectos y accesorios (Ley del medicamento) y los cánones a percibir por el gestor de infraestructuras ferroviarias hasta la entrada en vigor del nuevo marco normativo del sector ferroviario. De otra parte, se crean, entre otras, las siguientes tasas y cánones: tasa por derechos de examen para las titulaciones para el gobierno de las embarcaciones de recreo, tasa por los servicios de habilitación nacional del profesorado universitario, tasa por homologación y convalidación de títulos y estudios extranjeros, tasa de examen preliminar internacional de la Oficina Española de Patentes y Marcas, tasas por los servicios y actividades en materia de industrias alimentarias, preparados alimenticios para regímenes especiales y/o dietéticos y aguas minerales naturales y de manantial, tasas en materia de adjudicación del Código de identificación de los alimentos dietéticos destinados a usos médicos especiales susceptibles de financiación por el Sistema Nacional de Salud, clasificación por tipo de dieta, así como los cambios de nombre y/o composición de los referidos productos y tasas exigibles para los servicios y actividades realizados en materia de plaguicidas de uso ambiental y en la industria alimentaria, así como para todos los biocidas en general”.</w:t>
      </w:r>
    </w:p>
    <w:p w:rsidR="00D06117" w:rsidRDefault="00D06117" w:rsidP="00D06117">
      <w:pPr>
        <w:pStyle w:val="TextoNormal"/>
      </w:pPr>
    </w:p>
    <w:p w:rsidR="00D06117" w:rsidRDefault="00D06117" w:rsidP="00D06117">
      <w:pPr>
        <w:pStyle w:val="TextoNormal"/>
      </w:pPr>
      <w:r>
        <w:t>Como puede apreciarse, el legislador no mencionó expresamente en el preámbulo de la ley las tasas judiciales, que habían sido introducidas directamente por las Cortes Generales durante la tramitación del proyecto de ley; tampoco dio ninguna explicación de su creación. Por otra parte, poco puede deducirse de la escueta justificación de la enmienda núm. 269 ofrecida por el grupo parlamentario que la propuso (“Boletín Oficial de las Cortes Generales” Senado, 29 de noviembre de 2002, serie II, núm. 95-d, pág. 239). Tampoco nos iluminan los debates parlamentarios que, en lo que aquí interesa, se centraron en si una ley de medidas era o no instrumento adecuado para las abundantes reformas que introducía en medio centenar de leyes vigentes, entre las que se incluía la creación de numerosas tasas, así como en la contraposición genérica de distintos modelos tributarios y sus efectos macroeconómicos (“Diario de sesiones”, Senado, VII Legislatura, año 2002, Comisiones, núm. 394, y Pleno, núm. 116). Por ello, para enjuiciar el precepto legal es preciso atenerse a su texto y a su inserción en el conjunto de normas que regulan el sistema tributario y el poder judicial españoles, tal y como han hecho las partes en este proceso constitucional.</w:t>
      </w:r>
    </w:p>
    <w:p w:rsidR="00D06117" w:rsidRDefault="00D06117" w:rsidP="00D06117">
      <w:pPr>
        <w:pStyle w:val="TextoNormal"/>
      </w:pPr>
    </w:p>
    <w:p w:rsidR="00D06117" w:rsidRDefault="00D06117" w:rsidP="00D06117">
      <w:pPr>
        <w:pStyle w:val="TextoNormal"/>
      </w:pPr>
      <w:r>
        <w:t>Conviene tener presente que las tasas o aranceles judiciales se remontan a los orígenes de los Tribunales de justicia en España. En el momento en que fue aprobada la Constitución española se encontraban reguladas por el Decreto 1035/1959, de 18 de junio, que convalidó y reguló la exacción de las numerosas y variadas tasas judiciales que se encontraban vigentes en aquel entonces, en cumplimiento de la racionalización impuesta por la Ley de 26 de diciembre de 1958, reguladora de las tasas y exacciones parafiscales. Las tasas que gravaban la actividad judicial fueron suprimidas posteriormente, por la Ley 25/1986, de 24 de diciembre. Esta Ley recordaba en su preámbulo que la Constitución dispone que “la justicia será gratuita cuando así lo disponga la Ley” (art. 119 CE); y que la libertad y la igualdad sólo serán reales y efectivas si todos los ciudadanos pueden obtener justicia “cualquiera que sea su situación económica o su posición social”. Luego añadía que “la ordenación actual de las tasas judiciales, sobre ser incompatible con algunos principios tributarios vigentes, es causante de notables distorsiones en el funcionamiento de la Administración de Justicia”, relacionadas con el hecho de que eran los Secretarios judiciales quienes debían encargarse de la gestión del tributo.</w:t>
      </w:r>
    </w:p>
    <w:p w:rsidR="00D06117" w:rsidRDefault="00D06117" w:rsidP="00D06117">
      <w:pPr>
        <w:pStyle w:val="TextoNormal"/>
      </w:pPr>
    </w:p>
    <w:p w:rsidR="00D06117" w:rsidRDefault="00D06117" w:rsidP="00D06117">
      <w:pPr>
        <w:pStyle w:val="TextoNormal"/>
      </w:pPr>
      <w:r>
        <w:t>No es inoportuno subrayar las hondas diferencias que separan a las tasas preconstitucionales con las tasas judiciales creadas por la Ley 53/2002, que son las que deben ser enjuiciadas en este proceso. Aquéllas se originaban por la actuación de los Tribunales en los órdenes civil, contencioso-administrativo y penal. Recaían sobre todas las personas que acudían a la justicia, tanto físicas como jurídicas, con las únicas excepciones del Estado, el Ministerio Fiscal, los simples denunciantes de delitos o querellantes por delitos privados, así como quienes disfrutaran del beneficio de pobreza. La cuantía se fijaba mediante unos aranceles detallados y casuísticos, donde eran frecuentes tipos de gravamen entre el 6 y el 15 por 100 de la cuantía del proceso, salvo en materia criminal. La liquidación de aquellas tasas judiciales estaban encomendadas a las Secretarías de los Tribunales y Juzgados y su gestión competía al Ministerio de Justicia, a través de una comisión integrada por Magistrados, Fiscales, Secretarios de la Administración de Justicia y otros funcionarios. Finalmente, el Decreto de 1959 disponía que el producto de las tasas judiciales debía aplicarse a remunerar a los funcionarios de la Administración de Justicia. Todos estos rasgos son ajenos a las tasas vigentes en la actualidad.</w:t>
      </w:r>
    </w:p>
    <w:p w:rsidR="00D06117" w:rsidRDefault="00D06117" w:rsidP="00D06117">
      <w:pPr>
        <w:pStyle w:val="TextoNormal"/>
      </w:pPr>
    </w:p>
    <w:p w:rsidR="00D06117" w:rsidRDefault="00D06117" w:rsidP="00D06117">
      <w:pPr>
        <w:pStyle w:val="TextoNormal"/>
      </w:pPr>
      <w:r w:rsidRPr="00D06117">
        <w:rPr>
          <w:rStyle w:val="NumeroAFNegritaCaracter"/>
        </w:rPr>
        <w:t>3</w:t>
      </w:r>
      <w:r>
        <w:t>. Para enjuiciar adecuadamente el precepto legal cuestionado, es preciso tener en cuenta el contenido, finalidad y efectos de la norma de la que forma parte: el artículo 35 de la Ley de medidas para el año 2003, que es el que ha creado las tasas judiciales vigentes.</w:t>
      </w:r>
    </w:p>
    <w:p w:rsidR="00D06117" w:rsidRDefault="00D06117" w:rsidP="00D06117">
      <w:pPr>
        <w:pStyle w:val="TextoNormal"/>
      </w:pPr>
    </w:p>
    <w:p w:rsidR="00D06117" w:rsidRDefault="00D06117" w:rsidP="00D06117">
      <w:pPr>
        <w:pStyle w:val="TextoNormal"/>
      </w:pPr>
      <w:r>
        <w:t>Este precepto aclara que el hecho imponible de la tasa consiste en el ejercicio de la potestad jurisdiccional, a instancia de parte, en los órdenes jurisdiccionales civil y contencioso-administrativo, mediante la realización de alguno de los siguientes actos procesales: “a) La interposición de la demanda en toda clase de procesos declarativos y de ejecución en el orden jurisdiccional civil, así como la formulación de reconvención. — b) La interposición de recursos de apelación, extraordinario por infracción procesal y de casación en el orden civil. — c) La interposición de recurso contencioso-administrativo. — d) La interposición de recursos de apelación y casación en el ámbito de la jurisdicción contencioso-administrativa” (art. 35.1).</w:t>
      </w:r>
    </w:p>
    <w:p w:rsidR="00D06117" w:rsidRDefault="00D06117" w:rsidP="00D06117">
      <w:pPr>
        <w:pStyle w:val="TextoNormal"/>
      </w:pPr>
    </w:p>
    <w:p w:rsidR="00D06117" w:rsidRDefault="00D06117" w:rsidP="00D06117">
      <w:pPr>
        <w:pStyle w:val="TextoNormal"/>
      </w:pPr>
      <w:r>
        <w:lastRenderedPageBreak/>
        <w:t>La tasa se devenga en el momento de interponer la demanda o el recurso y su sujeto pasivo son quienes promueven el ejercicio de la potestad jurisdiccional (apartados 4 y 2 del art. 35). La cuantía de la tasa se fija, tal y como disponen los apartados 5 y 6 del artículo 35 (modificado por la disposición final segunda de la Ley 37/2011, de 10 de octubre, de medidas de agilización procesal), por la adición de dos factores: a) una cantidad variable, cifrada en función de la cuantía del procedimiento judicial, con un tipo de gravamen de 0,5 por 100 hasta el primer millón, y de 0,25 por 100 sobre el resto; b) una cantidad fija en función del tipo de proceso, que en el orden civil se gradúa desde los 50 euros (que corresponde al juicio monitorio en cuantía que exceda de 3.000 euros), 90 euros (juicios verbal y cambiario), 150 euros (juicio ordinario, ejecución extrajudicial y procedimiento concursal) y 300 euros (recurso de apelación) hasta los 600 euros (recursos de casación y de infracción procesal).</w:t>
      </w:r>
    </w:p>
    <w:p w:rsidR="00D06117" w:rsidRDefault="00D06117" w:rsidP="00D06117">
      <w:pPr>
        <w:pStyle w:val="TextoNormal"/>
      </w:pPr>
    </w:p>
    <w:p w:rsidR="00D06117" w:rsidRDefault="00D06117" w:rsidP="00D06117">
      <w:pPr>
        <w:pStyle w:val="TextoNormal"/>
      </w:pPr>
      <w:r>
        <w:t>El apartado 7, cuyo segundo párrafo es sometido al control de constitucionalidad, dispone en el primero que los sujetos pasivos deben autoliquidar la tasa en el modelo oficial establecido por el Ministerio de Hacienda e ingresarla en el Tesoro público con arreglo a la legislación tributaria. La gestión de la tasa corresponde a dicho Ministerio (apartado 8). Finalmente, los apartados 3 y 9 establecen una serie de exenciones y bonificaciones, en cuyo detalle no interesa entrar ahora.</w:t>
      </w:r>
    </w:p>
    <w:p w:rsidR="00D06117" w:rsidRDefault="00D06117" w:rsidP="00D06117">
      <w:pPr>
        <w:pStyle w:val="TextoNormal"/>
      </w:pPr>
    </w:p>
    <w:p w:rsidR="00D06117" w:rsidRDefault="00D06117" w:rsidP="00D06117">
      <w:pPr>
        <w:pStyle w:val="TextoNormal"/>
      </w:pPr>
      <w:r w:rsidRPr="00D06117">
        <w:rPr>
          <w:rStyle w:val="NumeroAFNegritaCaracter"/>
        </w:rPr>
        <w:t>4</w:t>
      </w:r>
      <w:r>
        <w:t>. La lectura del precepto donde se inserta el párrafo cuestionado muestra varios rasgos decisivos para el juicio que debemos formular. El primero, que sólo son gravados por la tasa dos de los cinco órdenes jurisdiccionales en que se articula hoy el poder judicial en España: el civil y el contencioso-administrativo. Los órdenes penal, social y militar siguen ejerciendo la potestad jurisdiccional gratuitamente, sin que el precepto legal cuestionado guarde ninguna relación con ellos. Este dato es relevante, teniendo en cuenta las especiales características que protegen el acceso a la justicia en materia penal (SSTC 148/1987, de 28 de septiembre, FJ 2; 31/1996, de 27 de febrero, FJ 10; y 94/2010, de 15 de noviembre, FJ 3), militar (STC 115/2001, de 10 de mayo, FJ 5) y social (SSTC 3/1983, de 25 de enero, FJ 3; 118/1987, de 8 de julio, FJ 3; y 48/1995, de 14 de febrero, FJ 3).</w:t>
      </w:r>
    </w:p>
    <w:p w:rsidR="00D06117" w:rsidRDefault="00D06117" w:rsidP="00D06117">
      <w:pPr>
        <w:pStyle w:val="TextoNormal"/>
      </w:pPr>
    </w:p>
    <w:p w:rsidR="00D06117" w:rsidRDefault="00D06117" w:rsidP="00D06117">
      <w:pPr>
        <w:pStyle w:val="TextoNormal"/>
      </w:pPr>
      <w:r>
        <w:t xml:space="preserve">En este proceso constitucional tampoco procede analizar las tasas que gravan el ejercicio de la jurisdicción contencioso-administrativa, cuyo acceso también ofrece peculiaridades desde el punto de vista constitucional, consecuencia del mandato contenido en el art. 106.1 CE que ordena y garantiza el control jurisdiccional de la Administración por parte de los Tribunales (SSTC 294/1994, de 7 de noviembre, FJ 3, y 177/2011, de 8 de noviembre, FJ 3; en el mismo sentido, STEDH Gran Sala Perdigâo c. Portugal, de 16 de noviembre de 2010, as. 24768/06, § 72). La razón estriba, igualmente, en que dichas tasas no tienen aplicación en el proceso judicial del que dimana la cuestión de inconstitucionalidad, que es un litigio civil. Desde la Sentencia 17/1981, de 1 de junio (FJ 1), venimos manteniendo que la cuestión de inconstitucionalidad no es un instrumento procesal que quepa utilizar “para buscar a través suyo una depuración abstracta del ordenamiento”. Conforme establece el art. 163 CE, y recuerda el art. 35.1 LOTC, el planteamiento de la cuestión de inconstitucionalidad por los Tribunales exige que la norma cuestionada sea “aplicable al caso” que se dilucida en el proceso donde la cuestión se suscita y, además, que de su validez dependa el fallo que el Juez o Tribunal haya de dictar. Ese juicio de relevancia no sólo condiciona el planteamiento de la cuestión, sino que delimita su alcance: pues el constituyente ha configurado la cuestión de inconstitucionalidad en estrecha relación con el proceso judicial en el que la aplicación de la norma cuestionada resulta necesaria, sin perjuicio de la existencia de un </w:t>
      </w:r>
      <w:r>
        <w:lastRenderedPageBreak/>
        <w:t>notorio interés público y general en la depuración del Ordenamiento jurídico y en la conformidad con la Constitución de las normas que lo integran (por todas, STC 6/2010, de 14 de abril, FJ 2).</w:t>
      </w:r>
    </w:p>
    <w:p w:rsidR="00D06117" w:rsidRDefault="00D06117" w:rsidP="00D06117">
      <w:pPr>
        <w:pStyle w:val="TextoNormal"/>
      </w:pPr>
    </w:p>
    <w:p w:rsidR="00D06117" w:rsidRDefault="00D06117" w:rsidP="00D06117">
      <w:pPr>
        <w:pStyle w:val="TextoNormal"/>
      </w:pPr>
      <w:r>
        <w:t>Por consiguiente, sólo procede controlar la validez del párrafo segundo del art. 35.7 en relación con las tasas del orden jurisdiccional civil.</w:t>
      </w:r>
    </w:p>
    <w:p w:rsidR="00D06117" w:rsidRDefault="00D06117" w:rsidP="00D06117">
      <w:pPr>
        <w:pStyle w:val="TextoNormal"/>
      </w:pPr>
    </w:p>
    <w:p w:rsidR="00D06117" w:rsidRDefault="00D06117" w:rsidP="00D06117">
      <w:pPr>
        <w:pStyle w:val="TextoNormal"/>
      </w:pPr>
      <w:r w:rsidRPr="00D06117">
        <w:rPr>
          <w:rStyle w:val="NumeroAFNegritaCaracter"/>
        </w:rPr>
        <w:t>5</w:t>
      </w:r>
      <w:r>
        <w:t>. Un segundo rasgo de las tasas judiciales establecidas en la Ley de medidas para el año 2003 es que gravan tanto la presentación de demandas como la interposición de recursos [letras a) y b) del art. 35.1 de la Ley 53/2002]. Sólo el primer aspecto es relevante en este proceso constitucional, puesto que la decisión que debe adoptar el Juzgado que ha suscitado la presente cuestión versa sobre una demanda, no sobre ninguno de los otros tipos de actuaciones sujetos al gravamen por la disposición de rango legal.</w:t>
      </w:r>
    </w:p>
    <w:p w:rsidR="00D06117" w:rsidRDefault="00D06117" w:rsidP="00D06117">
      <w:pPr>
        <w:pStyle w:val="TextoNormal"/>
      </w:pPr>
    </w:p>
    <w:p w:rsidR="00D06117" w:rsidRDefault="00D06117" w:rsidP="00D06117">
      <w:pPr>
        <w:pStyle w:val="TextoNormal"/>
      </w:pPr>
      <w:r>
        <w:t>Desde la Sentencia de Pleno 37/1995, de 7 de febrero (FJ 5), este Tribunal ha subrayado el diferente relieve constitucional que 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(SSTC 42/1982, de 5 de julio; 33/1989, de 13 de febrero; y 48/2008, de 11 de marzo); el derecho al recurso legal no nace directamente de la Constitución, sino de lo que hayan dispuesto las leyes procesales que los crean, y se incorpora al derecho fundamental en su configuración legal (en el mismo sentido, entre otras muchas, SSTC 46/2004, de 23 de marzo, FJ 4; 15/2006, de 16 de enero, FJ 3; 181/2007, de 10 de septiembre, FJ 2; y 35/2011, de 28 de marzo, FJ 3).</w:t>
      </w:r>
    </w:p>
    <w:p w:rsidR="00D06117" w:rsidRDefault="00D06117" w:rsidP="00D06117">
      <w:pPr>
        <w:pStyle w:val="TextoNormal"/>
      </w:pPr>
    </w:p>
    <w:p w:rsidR="00D06117" w:rsidRDefault="00D06117" w:rsidP="00D06117">
      <w:pPr>
        <w:pStyle w:val="TextoNormal"/>
      </w:pPr>
      <w:r>
        <w:t>Lo anterior se traduce en que el principio hermenéutico pro actione protege el derecho de acceso a la justicia, dada la diferente trascendencia que cabe otorgar —desde la perspectiva constitucional— a los requisitos legales de acceso al proceso, en tanto pueden obstaculizar o eliminar el derecho de los ciudadanos a someter el caso al conocimiento y pronunciamiento de un Juez y por tanto causar indefensión. Por el contrario, el control constitucional de los requisitos de admisión de los recursos legalmente establecidos es más laxo, puesto que lo que se pide en ese momento no es más que la revisión de la respuesta judicial contenida en la Sentencia de instancia previamente dictada la cual, si resuelve el fondo del asunto, ya habría satisfecho el núcleo del derecho fundamental a una tutela judicial efectiva sin indefensión de todas las partes procesales, y el acceso al recurso debe ser contrapesado con el derecho de las otras partes a un proceso sin dilaciones indebidas y a la ejecución de lo resuelto (SSTC 55/1995, de 6 de marzo, FJ 2; 309/2005, de 12 de diciembre, FJ 2; 51/2007, de 12 de marzo, FJ 4; y 27/2009, de 26 de enero, FJ 3).</w:t>
      </w:r>
    </w:p>
    <w:p w:rsidR="00D06117" w:rsidRDefault="00D06117" w:rsidP="00D06117">
      <w:pPr>
        <w:pStyle w:val="TextoNormal"/>
      </w:pPr>
    </w:p>
    <w:p w:rsidR="00D06117" w:rsidRDefault="00D06117" w:rsidP="00D06117">
      <w:pPr>
        <w:pStyle w:val="TextoNormal"/>
      </w:pPr>
      <w:r>
        <w:t xml:space="preserve">Por consiguiente, en atención a las razones expuestas en el fundamento jurídico anterior sobre el juicio de relevancia, en este proceso debemos limitarnos a examinar la constitucionalidad del párrafo segundo del art. 35.7 en relación con las tasas del orden jurisdiccional civil que gravan la presentación de la demanda [art. 35.1 a) de la Ley 53/2002], y dejar fuera </w:t>
      </w:r>
      <w:r>
        <w:lastRenderedPageBreak/>
        <w:t>cualquier duda que pudiera suscitarse acerca de las tasas que gravan el ejercicio de la jurisdicción civil con ocasión de la presentación de recursos (art. 35.1 b).</w:t>
      </w:r>
    </w:p>
    <w:p w:rsidR="00D06117" w:rsidRDefault="00D06117" w:rsidP="00D06117">
      <w:pPr>
        <w:pStyle w:val="TextoNormal"/>
      </w:pPr>
    </w:p>
    <w:p w:rsidR="00D06117" w:rsidRDefault="00D06117" w:rsidP="00D06117">
      <w:pPr>
        <w:pStyle w:val="TextoNormal"/>
      </w:pPr>
      <w:r w:rsidRPr="00D06117">
        <w:rPr>
          <w:rStyle w:val="NumeroAFNegritaCaracter"/>
        </w:rPr>
        <w:t>6</w:t>
      </w:r>
      <w:r>
        <w:t>. Un último aspecto del art. 35 de la Ley 53/2002 que debe ser destacado es que su intelección suscita varias dudas, que han dado lugar a desacuerdos sobre el significado del precepto enjuiciado entre quienes han tomado parte en este proceso constitucional. El Juzgado que ha planteado la cuestión sostiene que la falta de pago de la tasa conduce a la inadmisión de la demanda. Más detalladamente, razona que si una demanda ha sido presentada sin acompañarla del documento normalizado que acredite la liquidación y pago de la tasa, el Secretario judicial no procedería a darle curso, otorgando un plazo de diez días para subsanar el defecto advertido, mediante diligencia de ordenación [art. 223 de la Ley de enjuiciamiento civil (LEC)]. Ese plazo sería improrrogable y no podría darse relevancia alguna a un cumplimiento tardío (arts. 134 y 231 LEC). Por consiguiente, una vez transcurridos los diez días sin que el demandante hubiese aportado el documento que acredite el abono de la tasa, previa dación de cuenta del Secretario, el Juez debería proceder a dictar un Auto de inadmisión de la demanda (art. 206.2.2 LEC y art. 285 de la Ley Orgánica del Poder Judicial).</w:t>
      </w:r>
    </w:p>
    <w:p w:rsidR="00D06117" w:rsidRDefault="00D06117" w:rsidP="00D06117">
      <w:pPr>
        <w:pStyle w:val="TextoNormal"/>
      </w:pPr>
    </w:p>
    <w:p w:rsidR="00D06117" w:rsidRDefault="00D06117" w:rsidP="00D06117">
      <w:pPr>
        <w:pStyle w:val="TextoNormal"/>
      </w:pPr>
      <w:r>
        <w:t xml:space="preserve">En este punto esencial discrepan con el Auto de planteamiento tanto el Fiscal General del Estado como el Abogado del Estado. Aunque con distintos matices, ambos sostienen que cabe una interpretación distinta del precepto legal, que no conduce a la inadmisión de la demanda en caso de impago de la tasa, sino a la paralización del proceso mientras no sea abonada. El Abogado del Estado insiste en que, si no se admitiera la constitucionalidad del precepto tal y como lo interpreta el órgano judicial, cabría sostener que la Ley de enjuiciamiento civil solamente supedita la admisión de las demandas a la presentación de “aquellos otros documentos que ésta u otra ley exija expresamente para la admisión de la demanda” (art. 266.5 LEC, en relación con su art. 269.2). Como el precepto cuestionado no dispone literalmente que la presentación del documento tributario sea necesaria para la “admisión” de la demanda, la falta de justificación del pago de la tasa sólo podría acarrear la paralización del procedimiento judicial, que quedaría pendiente de que se acredite en cualquier momento posterior el abono de la tasa; así como el deber del Secretario de justicia de comunicar a la Administración tributaria la circunstancia de que la tasa correspondiente no ha sido abonada (tal y como exigen las normas de desarrollo del precepto legal cuestionado, la Orden Ministerial HAC/661/2003, de 24 de marzo, modificada recientemente por la Orden EHA/3552/2011, de 19 de diciembre, y la resolución de la Secretaría de Estado de Justicia de 8 de noviembre de 2003, que detallan el deber de facilitar información tributaria por parte de los Tribunales previsto por el art. 94.3 de la Ley general tributaria de 2003, antiguo art. 112 de la Ley general tributaria 1963). El proceso judicial se mantendría suspendido hasta el abono de la tasa o, en su caso, hasta que caducase la instancia (art. 237 y ss. LEC). El Fiscal General del Estado, en el mismo sentido, razona que el precepto cuestionado no prevé la inadmisión de la demanda cuando la tasa judicial no ha sido declarada y abonada, sino que no se le dará curso; y que debe ofrecerse a quien la haya presentado la posibilidad de cumplir el requisito de liquidar y pagar la tasa y acreditar que lo ha efectuado. Aunque, añade el Fiscal, la presentación del escrito de demanda sin haber cumplido el deber tributario no generaría ninguno de los efectos que son consustanciales a dicho acto de presentación, singularmente la producción de la litispendencia o la perpetuatio jurisdictionis (arts. 410 y 411 LEC) o la interrupción de la prescripción para ejercer la acción (art. 1973 del Código </w:t>
      </w:r>
      <w:r>
        <w:lastRenderedPageBreak/>
        <w:t>civil). Por lo que, una vez transcurrido el plazo de prescripción o caducidad de la acción, sería necesario acordar la inadmisión de su demanda o su archivo.</w:t>
      </w:r>
    </w:p>
    <w:p w:rsidR="00D06117" w:rsidRDefault="00D06117" w:rsidP="00D06117">
      <w:pPr>
        <w:pStyle w:val="TextoNormal"/>
      </w:pPr>
    </w:p>
    <w:p w:rsidR="00D06117" w:rsidRDefault="00D06117" w:rsidP="00D06117">
      <w:pPr>
        <w:pStyle w:val="TextoNormal"/>
      </w:pPr>
      <w:r>
        <w:t>Este interesante debate sobre la correcta intelección de los efectos del precepto legal cuestionado resulta innecesario para resolver esta cuestión. Es doctrina constitucional que la cuestión de inconstitucionalidad versa sobre el texto de la ley, no sobre las distintas interpretaciones que de dicho texto pueden ser realizadas; sin que este Tribunal deba rectificar el entendimiento que muestra el órgano judicial promotor sobre su sujeción al enunciado legal de cuya constitucionalidad duda (SSTC 157/1990, de 18 de octubre, FJ 2 y 222/1992, de 11 de diciembre, FJ 2). El órgano cuestionante no nos traslada un problema interpretativo abstracto, sino muy ceñido al caso que ha de juzgar; ni nos eleva tampoco una mera perplejidad interpretativa por no saber cómo puede interpretarse el precepto rector de su decisión, sino que solicita de este Tribunal un pronunciamiento sobre la adecuación o no a la Constitución del precepto con rango de ley en una de sus posibles interpretaciones, que es la que razonadamente mantiene en el proceso a quo (SSTC 92/1992, de 11 de junio, FJ 4 y 273/2005, de 27 de octubre, FJ 2). Por lo demás, nuestra labor de depuración del ordenamiento debe partir de la interpretación de la disposición legal que aporta el órgano judicial cuestionante, pues a él compete interpretar la ley (art. 117.3 CE) y porque dicha interpretación es la que presenta un mayor rigor con el derecho fundamental en cuestión; sólo si la norma, así interpretada, resultara inconstitucional habríamos de “explorar las posibilidades interpretativas del precepto cuestionado, por si hubiera alguna que permitiera salvar la primacía de la Constitución” (SSTC 76/1996, de 30 de abril, FJ 5; 233/1999, de 16 de diciembre, FJ 18; 202/2003, de 17 de noviembre, FJ 6; 235/2007, de 7 de noviembre, FJ 7; y 59/2008, de 14 de mayo, FJ 4).</w:t>
      </w:r>
    </w:p>
    <w:p w:rsidR="00D06117" w:rsidRDefault="00D06117" w:rsidP="00D06117">
      <w:pPr>
        <w:pStyle w:val="TextoNormal"/>
      </w:pPr>
    </w:p>
    <w:p w:rsidR="00D06117" w:rsidRDefault="00D06117" w:rsidP="00D06117">
      <w:pPr>
        <w:pStyle w:val="TextoNormal"/>
      </w:pPr>
      <w:r>
        <w:t>En definitiva, debemos enjuiciar si es constitucional la previsión legal de que las demandas civiles que no vayan acompañadas del documento que acredite el pago de la tasa judicial prevista por el art. 35 de la Ley 53/2002, no serán cursadas por el Secretario judicial y, por ende, serán inadmitidas por el Juzgado transcurrido el plazo de los diez días de subsanación previsto por el mismo apartado 7, párrafo 2, de este art. 35.</w:t>
      </w:r>
    </w:p>
    <w:p w:rsidR="00D06117" w:rsidRDefault="00D06117" w:rsidP="00D06117">
      <w:pPr>
        <w:pStyle w:val="TextoNormal"/>
      </w:pPr>
    </w:p>
    <w:p w:rsidR="00D06117" w:rsidRDefault="00D06117" w:rsidP="00D06117">
      <w:pPr>
        <w:pStyle w:val="TextoNormal"/>
      </w:pPr>
      <w:r w:rsidRPr="00D06117">
        <w:rPr>
          <w:rStyle w:val="NumeroAFNegritaCaracter"/>
        </w:rPr>
        <w:t>7</w:t>
      </w:r>
      <w:r>
        <w:t>. Las precisiones efectuadas en los fundamentos jurídicos anteriores acerca del objeto de esta cuestión de inconstitucionalidad permiten fijar el canon de control que debemos aplicar para enjuiciar la validez del art. 35.7.2 de la Ley 53/2002. La inadmisión de una demanda civil [art. 35.1 a) de la Ley], a la que aboca el precepto legal cuando no se acompaña el documento que acredita que la correspondiente tasa judicial ha sido autoliquidada y pagada a la Administración tributaria, afecta de lleno al derecho a la tutela judicial efectiva en su vertiente de acceso a la justicia.</w:t>
      </w:r>
    </w:p>
    <w:p w:rsidR="00D06117" w:rsidRDefault="00D06117" w:rsidP="00D06117">
      <w:pPr>
        <w:pStyle w:val="TextoNormal"/>
      </w:pPr>
    </w:p>
    <w:p w:rsidR="00D06117" w:rsidRDefault="00D06117" w:rsidP="00D06117">
      <w:pPr>
        <w:pStyle w:val="TextoNormal"/>
      </w:pPr>
      <w:r>
        <w:t xml:space="preserve">Es doctrina reiterada de este Tribunal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(SSTC 220/1993, de 30 de junio, FJ 2 y 34/1994, de 31 de enero, FJ 2, entre otras). Asimismo, hemos dicho que el derecho a la tutela judicial efectiva no es un derecho de libertad, ejercitable sin más y directamente a partir de la Constitución, sino que es un derecho prestacional y de configuración legal, cuyo ejercicio está sujeto a la concurrencia de los presupuestos y requisitos procesales que, en cada caso, haya establecido el legislador (SSTC </w:t>
      </w:r>
      <w:r>
        <w:lastRenderedPageBreak/>
        <w:t>99/1985, de 30 de septiembre, FJ 4 y 182/2004, de 2 de noviembre, FJ 2). Ello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(STC 206/1987, de 21 de diciembre,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32/1991, de 14 de febrero, FJ 4; y 133/2004, de 22 de julio, FJ 4, recaída precisamente al controlar la constitucionalidad de una norma que limitaba el acceso a la justicia en aras al cumplimiento de deberes tributarios). En principio, pues, el derecho reconocido en el art. 24.1 CE puede verse conculcado por aquellas disposiciones legales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114/1992, de 14 de septiembre, FJ 3; y 273/2005, de 27 de octubre, FJ 5).</w:t>
      </w:r>
    </w:p>
    <w:p w:rsidR="00D06117" w:rsidRDefault="00D06117" w:rsidP="00D06117">
      <w:pPr>
        <w:pStyle w:val="TextoNormal"/>
      </w:pPr>
    </w:p>
    <w:p w:rsidR="00D06117" w:rsidRDefault="00D06117" w:rsidP="00D06117">
      <w:pPr>
        <w:pStyle w:val="TextoNormal"/>
      </w:pPr>
      <w:r w:rsidRPr="00D06117">
        <w:rPr>
          <w:rStyle w:val="NumeroAFNegritaCaracter"/>
        </w:rPr>
        <w:t>8</w:t>
      </w:r>
      <w:r>
        <w:t>. No se han suscitado dudas en este proceso acerca de la legitimidad de los fines que persigue la tasa, en cuanto se dirige a financiar el servicio público de la Administración de Justicia con cargo a los justiciables que más se benefician de la actividad jurisdiccional, disminuyendo correlativamente la financiación procedente de los impuestos, a cargo de todos los ciudadanos. Conviene precisar ese aserto, en el que coinciden el Fiscal General del Estado y el Abogado del Estado.</w:t>
      </w:r>
    </w:p>
    <w:p w:rsidR="00D06117" w:rsidRDefault="00D06117" w:rsidP="00D06117">
      <w:pPr>
        <w:pStyle w:val="TextoNormal"/>
      </w:pPr>
    </w:p>
    <w:p w:rsidR="00D06117" w:rsidRDefault="00D06117" w:rsidP="00D06117">
      <w:pPr>
        <w:pStyle w:val="TextoNormal"/>
      </w:pPr>
      <w:r>
        <w:t xml:space="preserve">La justicia puede ser declarada gratuita, como hizo la Ley 25/1986. Pero resulta obvio que la justicia no es gratis. Si los justiciables no abonan el coste del funcionamiento de la justicia, el Poder judicial debe ser financiado mediante impuestos, sufragados por los contribuyentes. Aunque resulta evidente que la justicia, en tanto que garantía del Estado de Derecho, implica beneficios colectivos que trascienden el interés del justiciable considerado individualmente, lo cierto es que la financiación pura mediante impuestos conlleva siempre que los ciudadanos que nunca acuden ante los Tribunales estarían coadyuvando a financiar las actuaciones realizadas por los Juzgados y las Salas de justicia en beneficio de quienes demandan justicia una, varias o muchas veces. Optar por un modelo de financiación de la justicia civil mediante impuestos o por otro en el que sean los justiciables quienes deben subvenir a los gastos generados por su demanda de justicia mediante tasas o aranceles, o bien por cualquiera de los posibles modelos mixtos en donde el funcionamiento de los Tribunales del orden civil es financiado parcialmente con cargo a los impuestos y con cargo a tasas abonadas por quienes resultan beneficiados por la actuación judicial, en distintas proporciones, es una decisión que en una democracia, como la que establece la Constitución española, corresponde al legislador. Como ha declarado una consolidada jurisprudencia, el legislador goza de un amplio margen de libertad en la configuración de los impuestos y los demás tributos que sirven para sostener los gastos públicos (SSTC 27/1981, de 20 de julio, FJ 4; 221/1992, de 11 de diciembre, FJ 5; 96/2002, de 25 de abril, FJ 6; y 7/2010, de 27 de abril, FJ 6). En el ejercicio de su libertad de configuración normativa, el legislador debe tomar en consideración las circunstancias y los datos relevantes, atendida la naturaleza y </w:t>
      </w:r>
      <w:r>
        <w:lastRenderedPageBreak/>
        <w:t>finalidad de los distintos impuestos, tasas y otras figuras tributarias que puede establecer, dentro de los márgenes constitucionales [STC 185/1995, de 14 de diciembre, FJ 6 a)]. Como afirmamos en la Sentencia 214/1994, de 14 de julio, “es obvio que el legislador puede estar guiado por razones de política financiera o de técnica tributaria, que le lleven a elegir la [regulación] más conveniente o adecuada”; lo que no corresponde en modo alguno a este Tribunal es enjuiciar si las soluciones adoptadas en la ley tributaria sometida a control de constitucionalidad son las más correctas técnicamente, aunque indudablemente se halla facultado para determinar si en el régimen legal del tributo el legislador ha sobrepasado o no los límites constitucionales [FJ 5 b)].</w:t>
      </w:r>
    </w:p>
    <w:p w:rsidR="00D06117" w:rsidRDefault="00D06117" w:rsidP="00D06117">
      <w:pPr>
        <w:pStyle w:val="TextoNormal"/>
      </w:pPr>
    </w:p>
    <w:p w:rsidR="00D06117" w:rsidRDefault="00D06117" w:rsidP="00D06117">
      <w:pPr>
        <w:pStyle w:val="TextoNormal"/>
      </w:pPr>
      <w:r>
        <w:t>La libertad de configuración del legislador alcanza igualmente a la vertiente del gasto público. Los servicios y prestaciones públicos “corresponde delimitarlos al legislador atendiendo a los intereses públicos y privados implicados y a las concretas disponibilidades presupuestarias”, como dijimos en la Sentencia 16/1994, de 20 de enero (FJ 3), específicamente en relación con la gratuidad de la justicia. Con ocasión de enjuiciar el régimen de justicia gratuita que había establecido la Ley 34/1984, de 6 de agosto, subrayamos que la Constitución no ha proclamado la gratuidad de la administración de justicia, sino “un derecho a la gratuidad de la justicia … en los casos y en la forma que el legislador determine”, tal y como dispone el art. 119 CE. “El reconocimiento de esta amplia libertad de configuración legal resulta manifiesta en el primer inciso del art. 119 al afirmar que ‘la justicia será gratuita cuando así lo disponga la ley’. El legislador podrá atribuir el beneficio de justicia gratuita a quienes reúnan las características y requisitos que considere relevantes, podrá modular la gratuidad en función del orden jurisdiccional afectado —penal, laboral, civil, etc.— o incluso del tipo concreto de proceso y, por supuesto, en función de los recursos económicos de los que pueda disponer en cada momento”.</w:t>
      </w:r>
    </w:p>
    <w:p w:rsidR="00D06117" w:rsidRDefault="00D06117" w:rsidP="00D06117">
      <w:pPr>
        <w:pStyle w:val="TextoNormal"/>
      </w:pPr>
    </w:p>
    <w:p w:rsidR="00D06117" w:rsidRDefault="00D06117" w:rsidP="00D06117">
      <w:pPr>
        <w:pStyle w:val="TextoNormal"/>
      </w:pPr>
      <w:r w:rsidRPr="00D06117">
        <w:rPr>
          <w:rStyle w:val="NumeroAFNegritaCaracter"/>
        </w:rPr>
        <w:t>9</w:t>
      </w:r>
      <w:r>
        <w:t>. Es cierto que la Constitución ha explicitado un contenido constitucional del derecho a la gratuidad de la justicia que resulta indisponible y que acota la facultad de libre disposición del legislador. Lo hace en el segundo inciso del art. 119 CE, al proclamar que “en todo caso” la gratuidad se reconocerá “a quienes acrediten insuficiencia de recursos para litigar”. Este concepto jurídico indeterminado ha sido precisado por varias Sentencias de este Tribunal, entre las que se encuentran la STC 16/1994, de 20 de enero, que acabamos de recordar, junto a las SSTC 12/1998, de 15 de enero; 117/1998, de 2 de junio; y 95/2003, de 22 de mayo.</w:t>
      </w:r>
    </w:p>
    <w:p w:rsidR="00D06117" w:rsidRDefault="00D06117" w:rsidP="00D06117">
      <w:pPr>
        <w:pStyle w:val="TextoNormal"/>
      </w:pPr>
    </w:p>
    <w:p w:rsidR="00D06117" w:rsidRDefault="00D06117" w:rsidP="00D06117">
      <w:pPr>
        <w:pStyle w:val="TextoNormal"/>
      </w:pPr>
      <w:r>
        <w:t>Sin embargo, no es preciso profundizar ahora en ese concepto constitucional. El Auto que ha planteado la cuestión de inconstitucionalidad no alberga duda alguna sobre la capacidad económica de la entidad litigante, una importante compañía de seguros, para abonar la tasa judicial prevista por el art. 35 de la Ley 53/2002. Lo cual obedece a la configuración legal de la tasa que ha sido creada por dicha Ley, totalmente diversa de las antiguas tasas judiciales que se encontraban en vigor cuando fue aprobada la Constitución y siguieron rigiendo hasta su derogación en 1986, como vimos en el fundamento jurídico 2.</w:t>
      </w:r>
    </w:p>
    <w:p w:rsidR="00D06117" w:rsidRDefault="00D06117" w:rsidP="00D06117">
      <w:pPr>
        <w:pStyle w:val="TextoNormal"/>
      </w:pPr>
    </w:p>
    <w:p w:rsidR="00D06117" w:rsidRDefault="00D06117" w:rsidP="00D06117">
      <w:pPr>
        <w:pStyle w:val="TextoNormal"/>
      </w:pPr>
      <w:r>
        <w:t xml:space="preserve">Como subrayan tanto el Fiscal General del Estado como el Abogado del Estado, la tasa judicial vigente desde el 1 de abril de 2003 tiene un ámbito limitado, que viene claramente definido por las numerosas exenciones objetivas y subjetivas que enumera el apartado 3 de dicho art. 35. En el orden civil, único relevante en este proceso constitucional, están exentas de tasa las demandas que inician procesos en materia de estado civil de las personas, de </w:t>
      </w:r>
      <w:r>
        <w:lastRenderedPageBreak/>
        <w:t>familia y de sucesiones; es decir, quedan gravados por la tasa los procesos en los que se litigan obligaciones y contratos, derechos reales y daños y perjuicios, litigios todos ellos donde se controvierten derechos de contenido económico. Tampoco quedan sujetas al pago de la tasa judicial las personas físicas: ninguna persona física que litigue debe abonar tasas judiciales, sean cuales sean sus circunstancias económicas y el objeto del litigio que promuevan. De entre las personas jurídicas, se encuentran exentas las entidades sin fines lucrativos, las que no están sujetas al impuesto de sociedades y los sujetos pasivos que, según la legislación de dicho impuesto, son considerados de reducida dimensión. Como precisa el Abogado del Estado, estas exenciones legales conducen a que solamente queden sujetas al pago de las tasas judiciales las personas jurídicas con ánimo de lucro cuya cifra de negocios hubiere alcanzado, en el período impositivo anterior, un importe neto superior a seis millones de euros. El Fiscal concluye, igualmente, que quienes vienen obligadas al pago de las tasas judiciales son las grandes empresas que acuden a la justicia a reclamar sus derechos económicos, como son las compañías de seguros de grandes dimensiones.</w:t>
      </w:r>
    </w:p>
    <w:p w:rsidR="00D06117" w:rsidRDefault="00D06117" w:rsidP="00D06117">
      <w:pPr>
        <w:pStyle w:val="TextoNormal"/>
      </w:pPr>
    </w:p>
    <w:p w:rsidR="00D06117" w:rsidRDefault="00D06117" w:rsidP="00D06117">
      <w:pPr>
        <w:pStyle w:val="TextoNormal"/>
      </w:pPr>
      <w:r>
        <w:t>Resulta, por tanto, indudable que el régimen vigente de las tasas judiciales que gravan la presentación de demandas civiles, a cuya eficacia sirve el mecanismo previsto en el precepto sometido a control en este proceso, es plenamente respetuoso con las previsiones constitucionales sobre la gratuidad de la justicia. Como dijimos en la Sentencia 117/1998, de 2 de junio, el contenido indisponible del derecho a la justicia gratuita sólo es reconducible a la persona física, única de la que puede predicarse el “nivel mínimo de subsistencia personal o familiar” al que se refiere el art. 119 CE, y que no es una creación del legislador, a diferencia de las personas jurídicas (FFJJ 4 y 5). De ahí que concluyésemos entonces que era constitucional que la Ley 1/1996, de 10 de enero, de asistencia jurídica gratuita, excluyera de sus beneficios a las sociedades mercantiles. Y aunque el derecho a la tutela judicial efectiva protege tanto a las personas físicas como a las jurídicas (SSTC 53/1985, de 20 de junio, FJ 1, y 137/1985, de 17 de octubre, FJ 3), no debe ser olvidado que la situación de unas y otras es distinta respecto a la gratuidad de la justicia. La Sentencia 117/1998 afirmó que esa diferencia es especialmente predicable de las sociedades mercantiles de capital, que son un tipo de entidades en que el substratum que justifica su personificación jurídica se halla en la existencia de un pacto asociativo dirigido a racionalizar los riesgos de la actividad empresarial, limitando al valor de la aportación social la responsabilidad patrimonial de sus socios, y que deben ser ellos quienes sopesen si les interesa aportar fondos a la sociedad para alcanzar el acceso a la justicia a través de la persona jurídica (STC 117/1998, de 2 de junio, FJ 7).</w:t>
      </w:r>
    </w:p>
    <w:p w:rsidR="00D06117" w:rsidRDefault="00D06117" w:rsidP="00D06117">
      <w:pPr>
        <w:pStyle w:val="TextoNormal"/>
      </w:pPr>
    </w:p>
    <w:p w:rsidR="00D06117" w:rsidRDefault="00D06117" w:rsidP="00D06117">
      <w:pPr>
        <w:pStyle w:val="TextoNormal"/>
      </w:pPr>
      <w:r>
        <w:t xml:space="preserve">Estos criterios han sido confirmados plenamente por el Tribunal Europeo de Derechos Humanos. En su Auto O’Limo contra España, de 24 de noviembre de 2009 (asunto núm. 33732/05) concluyó que el sistema establecido por el legislador español para facilitar asistencia jurídica gratuita ofrece “unas garantías sustanciales” para el derecho de acceso a los Tribunales, aunque queden excluidos de él las sociedades mercantiles o las asociaciones que, como la recurrente en aquel caso, no son de utilidad pública (§ 25). Para apreciar que excluir a las personas jurídicas de la gratuidad de la justicia no contradice, por sí mismo, el derecho de acceso a la tutela judicial que protege el art. 6.1 del Convenio europeo de derechos humanos, el Tribunal de Estrasburgo subrayó que los fondos de los que disponen las asociaciones y las sociedades privadas para la defensa jurídica de sus derechos proceden de los recursos que sus miembros o socios acuerdan y aportan libremente, en función de sus intereses: no debe exigirse al Estado que gaste recursos económicos públicos en beneficio </w:t>
      </w:r>
      <w:r>
        <w:lastRenderedPageBreak/>
        <w:t>de entidades cuyos socios han decidido libremente no aportar los recursos económicos precisos para desarrollar sus actividades normales, especialmente cuando se trata de actividades procesales en relación con litigios sobre derechos de propiedad que no afectan más que a los particulares interesados en los hechos (§ 26).</w:t>
      </w:r>
    </w:p>
    <w:p w:rsidR="00D06117" w:rsidRDefault="00D06117" w:rsidP="00D06117">
      <w:pPr>
        <w:pStyle w:val="TextoNormal"/>
      </w:pPr>
    </w:p>
    <w:p w:rsidR="00D06117" w:rsidRDefault="00D06117" w:rsidP="00D06117">
      <w:pPr>
        <w:pStyle w:val="TextoNormal"/>
      </w:pPr>
      <w:r>
        <w:t>En todo caso, desde nuestra perspectiva, debemos poner de manifiesto que en principio no vulnera la Constitución que una norma de rango legal someta a entidades mercantiles, con un elevado volumen de facturación, al pago de unas tasas que sirven para financiar los costes generados por la actividad jurisdiccional que conlleva juzgar las demandas que libremente deciden presentar ante los Tribunales del orden civil para defender sus derechos e intereses legítimos.</w:t>
      </w:r>
    </w:p>
    <w:p w:rsidR="00D06117" w:rsidRDefault="00D06117" w:rsidP="00D06117">
      <w:pPr>
        <w:pStyle w:val="TextoNormal"/>
      </w:pPr>
    </w:p>
    <w:p w:rsidR="00D06117" w:rsidRDefault="00D06117" w:rsidP="00D06117">
      <w:pPr>
        <w:pStyle w:val="TextoNormal"/>
      </w:pPr>
      <w:r w:rsidRPr="00D06117">
        <w:rPr>
          <w:rStyle w:val="NumeroAFNegritaCaracter"/>
        </w:rPr>
        <w:t>10</w:t>
      </w:r>
      <w:r>
        <w:t>. Esta conclusión general sólo podría verse modificada si se mostrase que la cuantía de las tasas establecidas por la Ley 53/2002, de 30 de diciembre, son tan elevadas que impiden en la práctica el acceso a la jurisdicción o lo obstaculizan en un caso concreto en términos irrazonables, atendiendo a los criterios de la jurisprudencia expuestos en el fundamento jurídico 7. En esta misma línea se ha pronunciado el Tribunal Europeo de Derechos Humanos que, a partir de la Sentencia Kreuz contra Polonia, de 19 de junio de 2001 (asunto núm. 28249/95), mantiene que el requisito de abonar tasas judiciales en procesos civiles no infringe por sí solo el derecho de acceso a un tribunal protegido por el art. 6.1 del Convenio de Roma. Sin embargo, la cuantía de las tasas no debe ser excesiva, a la luz de las circunstancias propias de cada caso, de tal modo que impida satisfacer el contenido esencial del derecho de acceso efectivo a la justicia (§§ 60 y 66; en el mismo sentido, SSTEDH de 26 de julio de 2005, Kniat c. Polonia, as. 71731/01; 28 de noviembre de 2006, Apostol c. Georgia, as. 40765/02; y 9 de diciembre de 2010, Urbanek c. Austria, as. 35123/05).</w:t>
      </w:r>
    </w:p>
    <w:p w:rsidR="00D06117" w:rsidRDefault="00D06117" w:rsidP="00D06117">
      <w:pPr>
        <w:pStyle w:val="TextoNormal"/>
      </w:pPr>
    </w:p>
    <w:p w:rsidR="00D06117" w:rsidRDefault="00D06117" w:rsidP="00D06117">
      <w:pPr>
        <w:pStyle w:val="TextoNormal"/>
      </w:pPr>
      <w:r>
        <w:t>Estos criterios son compartidos por la Unión Europea, en virtud del derecho a una tutela judicial efectiva que ha consagrado el art. 47 de la Carta de los derechos fundamentales, tal y como ha expuesto la Sentencia del Tribunal de Justicia de 22 de diciembre de 2010 en el asunto DEB Deutsche Energiehandels- und Beratungsgesellschaft mbH (núm. C-279/09). Con la particularidad de que esta resolución no cuestiona en modo alguno la financiación de la actividad judicial a costa de las empresas que instan litigios civiles; lo que impone el principio de tutela judicial efectiva es que una persona jurídica, que invoca en el proceso derechos otorgados por el Derecho comunitario, pueda obtener la dispensa del pago anticipado de las costas procesales si dicho abono, anterior a la Sentencia, constituyera un obstáculo insuperable para su acceso a la justicia. Regla que se encuentra en sintonía con las exigencias que dimanan del derecho enunciado en el art. 24.1 CE (STC 84/1992, de 28 de mayo, FJ 4).</w:t>
      </w:r>
    </w:p>
    <w:p w:rsidR="00D06117" w:rsidRDefault="00D06117" w:rsidP="00D06117">
      <w:pPr>
        <w:pStyle w:val="TextoNormal"/>
      </w:pPr>
    </w:p>
    <w:p w:rsidR="00D06117" w:rsidRDefault="00D06117" w:rsidP="00D06117">
      <w:pPr>
        <w:pStyle w:val="TextoNormal"/>
      </w:pPr>
      <w:r w:rsidRPr="00D06117">
        <w:rPr>
          <w:rStyle w:val="NumeroAFNegritaCaracter"/>
        </w:rPr>
        <w:t>11</w:t>
      </w:r>
      <w:r>
        <w:t xml:space="preserve">. El Auto de planteamiento de la cuestión insiste en la falta de proporción que existiría entre la finalidad que persigue la norma, el pago de la tasa judicial, y la limitación que establece para conseguirla: la previsión legal de que no se dará curso al escrito de demanda, lo que conlleva la inadmisión de dicha demanda y la denegación del acceso a la justicia. Para evidenciar la desproporción, el órgano judicial observa que existe un medio menos restrictivo para obtener el fin recaudatorio, que consistiría en que la Administración tributaria, una vez que los Tribunales le hubiesen comunicado la falta de declaración del hecho imponible y del pago del tributo cuando fuese preceptivo, procediese de oficio a liquidar las tasas judiciales devengadas y a iniciar los procedimientos ejecutivos necesarios para obtener </w:t>
      </w:r>
      <w:r>
        <w:lastRenderedPageBreak/>
        <w:t>su cobro. El Abogado del Estado, por el contrario, sostiene que el sistema de gestión del tributo establecido por el precepto cuestionado es el único que permite un alto grado de cumplimiento de la obligación tributaria, habida cuenta del número de actuaciones procesales sujetas a la tasa y de los medios de que dispone la Agencia Estatal de la Administración Tributaria.</w:t>
      </w:r>
    </w:p>
    <w:p w:rsidR="00D06117" w:rsidRDefault="00D06117" w:rsidP="00D06117">
      <w:pPr>
        <w:pStyle w:val="TextoNormal"/>
      </w:pPr>
    </w:p>
    <w:p w:rsidR="00D06117" w:rsidRDefault="00D06117" w:rsidP="00D06117">
      <w:pPr>
        <w:pStyle w:val="TextoNormal"/>
      </w:pPr>
      <w:r>
        <w:t>El problema de este modo de razonar estriba en que hace supuesto de la cuestión. Lo que ha hecho el legislador no es establecer un impuesto que grave a quienes demandan justicia ante los Tribunales del orden civil, impuesto que efectivamente podría ser gestionado por la Administración tributaria mientras aquéllos seguían sustanciando los procesos judiciales. El legislador ha establecido una tasa, que es un tributo que, a diferencia de los impuestos, debe ser satisfecho, total o parcialmente, como requisito imprescindible para iniciar la prestación del servicio o la realización de la actividad que benefician de modo particular al sujeto pasivo, tal y como establece con carácter general la legislación tributaria, reformada para adaptarse a la doctrina constitucional declarada en la Sentencia de Pleno 185/1995, de 14 de diciembre (arts. 6 y 15.1 de la Ley general tributaria de 28 de diciembre de 1963, en la redacción dada por la Ley 25/1998, de 13 de julio, que coincide con las disposiciones vigentes, aprobadas por la Ley 58/2003, de 17 de diciembre, y la Ley 8/1989, de 13 de abril, de tasas y precios públicos). Aunque tanto los impuestos como las tasas son creados en ejercicio de la potestad tributaria, “el hecho imponible de la tasa se vincula a una actividad o servicio de la Administración pública, mientras que el hecho imponible del impuesto se relaciona con negocios, actos o hechos que ponen de manifiesto la capacidad económica del sujeto pasivo. Ello a su vez conlleva que en las tasas la determinación del sujeto pasivo se realice por referencia a la actividad administrativa y el importe de la cuota se fije esencialmente atendiendo al coste de la actividad o servicio prestado por la Administración, con los que tiene una relación más o menos intensa de contraprestación” (STC 296/1994, de 10 de noviembre, FJ 4). Y ello es así sustancialmente en este caso, aunque en él y además del servicio a los ciudadanos, deba reconocerse que el acceso a la jurisdicción no es equivalente a la prestación de un servicio público por la Administración, ya que se trata de la puesta en marcha de un proceso ante un Poder del Estado en ejercicio del derecho fundamental a la tutela judicial efectiva.</w:t>
      </w:r>
    </w:p>
    <w:p w:rsidR="00D06117" w:rsidRDefault="00D06117" w:rsidP="00D06117">
      <w:pPr>
        <w:pStyle w:val="TextoNormal"/>
      </w:pPr>
    </w:p>
    <w:p w:rsidR="00D06117" w:rsidRDefault="00D06117" w:rsidP="00D06117">
      <w:pPr>
        <w:pStyle w:val="TextoNormal"/>
      </w:pPr>
      <w:r>
        <w:t xml:space="preserve">Una vez obtenida la conclusión, en los fundamentos jurídicos anteriores, de que es constitucional subordinar la prestación de la actividad jurisdiccional en el orden civil al abono de unas tasas judiciales por la interposición de la demanda, tal y como establece el art. 35 de la Ley 53/2002, de 30 de diciembre, carece de lógica reprochar que el legislador haya decidido que la contribución de los justiciables a la financiación de la justicia se produzca mediante tasas, cuyo previo pago es requerido como regla general para obtener el beneficio ínsito en la prestación pública, y sostener que debería ser liquidado y ejecutado de un modo más adecuado a la estructura típica de los impuestos, que es lo que en definitiva afirma el Auto de planteamiento de la cuestión. Lo que el legislador ha decidido, en términos que son constitucionalmente irreprochables, es que las sociedades de grandes dimensiones, según la legislación tributaria, sólo puedan obtener la prestación de la actividad jurisdiccional cuando presenten demandas civiles si liquidan y abonan una tasa que permite sufragar parcialmente el coste que implica para la justicia atender y resolver su demanda. La previsión legal de que, si la tasa judicial no es liquidada y abonada, la potestad jurisdiccional civil no debe ser ejercida en beneficio del sujeto pasivo, es una consecuencia ineludible de la regulación legal, que no suscita reparo de constitucionalidad. Es lícito que el legislador adopte medidas </w:t>
      </w:r>
      <w:r>
        <w:lastRenderedPageBreak/>
        <w:t>para lograr un alto grado espontáneo de la obligación de pagar un tributo legítimo, aun cuando esas medidas incidan en el ejercicio del derecho de acceso a la jurisdicción, como dijimos en la Sentencia 133/2004, de 22 de julio (FJ 4), al enjuiciar una previsión legal distinta a la cuestionada en este proceso, que disponía que el defecto de timbre de las letras de cambio les privaba de su fuerza ejecutiva. Y ya en la Sentencia 233/1999, de 16 de diciembre (FJ 14), rechazamos un argumento similar, dirigido entonces contra la previsión de que las entidades locales exigiesen anticipadamente el pago de determinados tributos (art. 33.2 de la Ley de haciendas locales): pues esa norma no carece de una justificación razonable y no es contraria al principio de capacidad económica, tal y como hemos visto que ocurre en relación con las tasas judiciales por la presentación de demandas civiles establecidas por la Ley 53/2002.</w:t>
      </w:r>
    </w:p>
    <w:p w:rsidR="00D06117" w:rsidRDefault="00D06117" w:rsidP="00D06117">
      <w:pPr>
        <w:pStyle w:val="TextoNormal"/>
      </w:pPr>
    </w:p>
    <w:p w:rsidR="00D06117" w:rsidRDefault="00D06117" w:rsidP="00D06117">
      <w:pPr>
        <w:pStyle w:val="TextoNormal"/>
      </w:pPr>
      <w:r w:rsidRPr="00D06117">
        <w:rPr>
          <w:rStyle w:val="NumeroAFNegritaCaracter"/>
        </w:rPr>
        <w:t>12</w:t>
      </w:r>
      <w:r>
        <w:t>. Estas reflexiones permiten entender que la doctrina de la Sentencia 141/1988, de 12 de julio, fundamento principal de la duda de constitucionalidad suscitada por el Juzgado cuestionante, no solamente no conduce a sostener que el art. 35.7.2 de la Ley 53/2002 contradice la Constitución, sino cabalmente a lo contrario, tal y como afirman el Abogado del Estado y el Fiscal General del Estado.</w:t>
      </w:r>
    </w:p>
    <w:p w:rsidR="00D06117" w:rsidRDefault="00D06117" w:rsidP="00D06117">
      <w:pPr>
        <w:pStyle w:val="TextoNormal"/>
      </w:pPr>
    </w:p>
    <w:p w:rsidR="00D06117" w:rsidRDefault="00D06117" w:rsidP="00D06117">
      <w:pPr>
        <w:pStyle w:val="TextoNormal"/>
      </w:pPr>
      <w:r>
        <w:t>En dicha Sentencia se declaró inconstitucional y nulo el inciso del art. 57.1 del antiguo texto refundido de la Ley del impuesto de transmisiones patrimoniales y actos jurídicos documentados, aprobado por Real Decreto Legislativo 3050/1980, de 30 de diciembre, que privaba de efecto en los Tribunales, prohibiendo incluso su admisión ante ellos, a los documentos sujetos al impuesto si no se justificaba su pago. Las razones que llevaron a entender que esa previsión legal vulneraba el derecho a la tutela judicial efectiva fueron varias. El Auto de planteamiento de la cuestión se hace eco de las contenidas en el último párrafo del fundamento jurídico 7 de la Sentencia, que se limitaban a completar el razonamiento desarrollado en los párrafos anteriores, dando respuesta a una alegación adicional del Abogado del Estado. Sin embargo, la ratio decidendi de la Sentencia 141/1988 consistió en que las limitaciones al acceso a la justicia impuestas por la norma legal “no guardan relación alguna con el objeto y la finalidad del proceso”, pues “se trata de un tributo cuyo hecho imponible es ajeno a la función jurisdiccional” (FJ 7, párrafo 4). Precisamente por ello, la Sentencia negó que la norma enjuiciada entonces pudiera compararse con las que regulan otros supuestos en los que el ordenamiento condiciona el ejercicio de derechos o de acciones judiciales al previo desembolso de dinero, señalando respecto a estas últimas que “constituyen cargas que persiguen algún fin vinculado al mismo proceso o tendente a evitar disfunciones que éste puede originar” y llegando, incluso, a mencionar expresamente el deber de pagar aranceles o tasas judiciales “por la prestación de la Administración de Justicia como servicio público”, que es una limitación que “está en función de la propia realidad o finalidad del proceso” (STC 141/1988, FJ 7.2).</w:t>
      </w:r>
    </w:p>
    <w:p w:rsidR="00D06117" w:rsidRDefault="00D06117" w:rsidP="00D06117">
      <w:pPr>
        <w:pStyle w:val="TextoNormal"/>
      </w:pPr>
    </w:p>
    <w:p w:rsidR="00D06117" w:rsidRDefault="00D06117" w:rsidP="00D06117">
      <w:pPr>
        <w:pStyle w:val="TextoNormal"/>
      </w:pPr>
      <w:r>
        <w:t xml:space="preserve">Es evidente que las tasas judiciales establecidas por la Ley 53/2002 como condición para que los Tribunales del orden jurisdiccional civil den curso a las demandas presentadas por los justiciables, en los términos que han sido examinados por esta Sentencia, son tributos cuyo hecho imponible no es ajeno a la función jurisdiccional y que imponen una carga económica que persigue un fin vinculado al proceso mismo. Por consiguiente, la doctrina de la Sentencia 141/1988 nos lleva a concluir que es constitucionalmente válida la limitación impuesta por la norma legal enjuiciada, que consiste en condicionar la sustanciación del proceso instado en la demanda civil que presentan las personas jurídicas con ánimo de lucro, </w:t>
      </w:r>
      <w:r>
        <w:lastRenderedPageBreak/>
        <w:t>sujetas al impuesto de sociedades y con una facturación anual elevada, a que acrediten que han satisfecho el deber de contribuir al sostenimiento del gasto público que conlleva el ejercicio de la potestad jurisdiccional, que les beneficia de modo particular en la medida en que juzga las pretensiones deducidas en defensa de sus derechos e interés legítimos en el orden civil.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cuestión de inconstitucionalidad núm. 647-2004 relativa al artículo 35, apartado 7, párrafo segundo,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4" w:name="SENTENCIA_2012_21"/>
      <w:r>
        <w:lastRenderedPageBreak/>
        <w:t>SENTENCIA 21/2012, de 16 de febrero de 2012</w:t>
      </w:r>
    </w:p>
    <w:bookmarkEnd w:id="2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ECLI:ES:TC:2012:21</w:t>
      </w:r>
    </w:p>
    <w:p w:rsidR="00D06117" w:rsidRDefault="00D06117" w:rsidP="00D06117">
      <w:pPr>
        <w:pStyle w:val="SntesisDescriptiva"/>
      </w:pPr>
    </w:p>
    <w:p w:rsidR="00D06117" w:rsidRDefault="00D06117" w:rsidP="00D06117">
      <w:pPr>
        <w:pStyle w:val="SntesisDescriptiva"/>
      </w:pPr>
      <w:r>
        <w:t>Cuestión de inconstitucionalidad 5394-2006. Planteada por el Juzgado de Primera Instancia e Instrucción núm. 1 de Arenys de Mar, respecto del art. 43.1 de la Ley del Parlamento de Cataluña 9/1998, de 15 de julio, del Código de familia.</w:t>
      </w:r>
    </w:p>
    <w:p w:rsidR="00D06117" w:rsidRDefault="00D06117" w:rsidP="00D06117">
      <w:pPr>
        <w:pStyle w:val="SntesisDescriptiva"/>
      </w:pPr>
    </w:p>
    <w:p w:rsidR="00D06117" w:rsidRDefault="00D06117" w:rsidP="00D06117">
      <w:pPr>
        <w:pStyle w:val="SntesisAnaltica"/>
      </w:pPr>
      <w:r>
        <w:t>Distribución de competencias sobre legislación procesal: nulidad del precepto legal autonómico que permite la acumulación de la acción de división de cosa común en los procedimientos de nulidad, separación o divorcio para los matrimonios en régimen de separación de bienes. Voto particular.</w:t>
      </w:r>
    </w:p>
    <w:p w:rsidR="00D06117" w:rsidRDefault="00D06117" w:rsidP="00D06117">
      <w:pPr>
        <w:pStyle w:val="SntesisAnaltica"/>
      </w:pPr>
    </w:p>
    <w:p w:rsidR="00D06117" w:rsidRDefault="00D06117" w:rsidP="00D06117">
      <w:pPr>
        <w:pStyle w:val="Extracto"/>
      </w:pPr>
      <w:r>
        <w:t>1.</w:t>
      </w:r>
      <w:r>
        <w:tab/>
        <w:t>El art. 43.1 de la Ley Parlamento de Cataluña 9/1998 del Código de familia, que regula la acumulación de la acción de división de la cosa común con la de disolución del matrimonio, no se adecua al orden constitucional de distribución de competencias, al no tener cabida en la habilitación competencial operada por el art. 149.1.6 CE las normas procesales cuya razón de ser es introducir una mejora de la legislación procesal general para la Comunidad Autónoma [FJ 9].</w:t>
      </w:r>
    </w:p>
    <w:p w:rsidR="00D06117" w:rsidRDefault="00D06117" w:rsidP="00D06117">
      <w:pPr>
        <w:pStyle w:val="Extracto"/>
      </w:pPr>
    </w:p>
    <w:p w:rsidR="00D06117" w:rsidRDefault="00D06117" w:rsidP="00D06117">
      <w:pPr>
        <w:pStyle w:val="Extracto"/>
      </w:pPr>
      <w:r>
        <w:t>2.</w:t>
      </w:r>
      <w:r>
        <w:tab/>
        <w:t>Las singularidades procesales que se permiten a las Comunidades Autónomas, al amparo de la salvedad recogida en el art. 149.1.6 CE, han de limitarse a aquéllas que, por la conexión directa con las particularidades del Derecho sustantivo autonómico, vengan requeridas por éstas (SSTC 71/1982, 47/2004) [FFJJ 3, 6 a 9].</w:t>
      </w:r>
    </w:p>
    <w:p w:rsidR="00D06117" w:rsidRDefault="00D06117" w:rsidP="00D06117">
      <w:pPr>
        <w:pStyle w:val="Extracto"/>
      </w:pPr>
    </w:p>
    <w:p w:rsidR="00D06117" w:rsidRDefault="00D06117" w:rsidP="00D06117">
      <w:pPr>
        <w:pStyle w:val="Extracto"/>
      </w:pPr>
      <w:r>
        <w:t>3.</w:t>
      </w:r>
      <w:r>
        <w:tab/>
        <w:t>No se ajusta a la doctrina constitucional reducir el concepto de particularidad sustantiva, recogida en el art. 149.1.6 CE, a las instituciones recogidas únicamente en un Derecho foral o autonómico que, paralelamente, resulten desconocidas para el Derecho común y para cualquier otro Derecho foral o especial [FJ 4].</w:t>
      </w:r>
    </w:p>
    <w:p w:rsidR="00D06117" w:rsidRDefault="00D06117" w:rsidP="00D06117">
      <w:pPr>
        <w:pStyle w:val="Extracto"/>
      </w:pPr>
    </w:p>
    <w:p w:rsidR="00D06117" w:rsidRDefault="00D06117" w:rsidP="00D06117">
      <w:pPr>
        <w:pStyle w:val="Extracto"/>
      </w:pPr>
      <w:r>
        <w:t>4.</w:t>
      </w:r>
      <w:r>
        <w:tab/>
        <w:t>Si bien es dable tomar en consideración la realidad social al objeto de valorar la necesidad de la innovación procesal introducida por el Derecho autonómico, es incontestable que, aunque se tenga en cuenta la realidad social al objeto de valorar la necesidad de la innovación procesal introducida por el Derecho autonómico, debe existir una conexión ineludible entre aquella y la norma procesal cuestionada (SSTC 83/1986, 135/2006) [FJ 8].</w:t>
      </w:r>
    </w:p>
    <w:p w:rsidR="00D06117" w:rsidRDefault="00D06117" w:rsidP="00D06117">
      <w:pPr>
        <w:pStyle w:val="Extracto"/>
      </w:pPr>
    </w:p>
    <w:p w:rsidR="00D06117" w:rsidRDefault="00D06117" w:rsidP="00D06117">
      <w:pPr>
        <w:pStyle w:val="Extracto"/>
      </w:pPr>
      <w:r>
        <w:t>5.</w:t>
      </w:r>
      <w:r>
        <w:tab/>
        <w:t>Corresponde al legislador autonómico justificar, en defensa de la ley impugnada, la necesidad de alterar las reglas procesales comúnmente aplicables por venir requeridas por las particularidades del Derecho sustantivo autonómico, salvo que del propio examen de la Ley se puedan desprender o inferir esas necesarias especialidades (STC 127/1999, 135/2006) [FFJJ 3, 7].</w:t>
      </w:r>
    </w:p>
    <w:p w:rsidR="00D06117" w:rsidRDefault="00D06117" w:rsidP="00D06117">
      <w:pPr>
        <w:pStyle w:val="Extracto"/>
      </w:pPr>
    </w:p>
    <w:p w:rsidR="00D06117" w:rsidRDefault="00D06117" w:rsidP="00D06117">
      <w:pPr>
        <w:pStyle w:val="Extracto"/>
      </w:pPr>
      <w:r>
        <w:lastRenderedPageBreak/>
        <w:t>6.</w:t>
      </w:r>
      <w:r>
        <w:tab/>
        <w:t>La atribución al Estado de la competencia exclusiva sobre legislación procesal responde a la necesidad de salvaguardar la uniformidad de los instrumentos jurisdiccionales, de forma que las Comunidades Autónomas tan sólo pueden introducir aquellas innovaciones procesales que inevitablemente se deduzcan de las reclamaciones jurídicas sustantivas configuradas por la norma autonómica (SSTC 71/1982, 47/2004) [FFJJ 3, 6].</w:t>
      </w:r>
    </w:p>
    <w:p w:rsidR="00D06117" w:rsidRDefault="00D06117" w:rsidP="00D06117">
      <w:pPr>
        <w:pStyle w:val="Extracto"/>
      </w:pPr>
    </w:p>
    <w:p w:rsidR="00D06117" w:rsidRDefault="00D06117" w:rsidP="00D06117">
      <w:pPr>
        <w:pStyle w:val="Extracto"/>
      </w:pPr>
      <w:r>
        <w:t>7.</w:t>
      </w:r>
      <w:r>
        <w:tab/>
        <w:t>Aplica la doctrina sobre distribución de competencias entre el Estado y las Comunidades Autónomas en materia de legislación procesal (SSTC 83/1986, 47/2004) [FFJJ 3, 4, 6 a 9].</w:t>
      </w:r>
    </w:p>
    <w:p w:rsidR="00D06117" w:rsidRDefault="00D06117" w:rsidP="00D06117">
      <w:pPr>
        <w:pStyle w:val="Extracto"/>
      </w:pPr>
    </w:p>
    <w:p w:rsidR="00D06117" w:rsidRDefault="00D06117" w:rsidP="00D06117">
      <w:pPr>
        <w:pStyle w:val="Extracto"/>
      </w:pPr>
      <w:r>
        <w:t>8.</w:t>
      </w:r>
      <w:r>
        <w:tab/>
        <w:t>Doctrina sobre la pervivencia del objeto de la cuestión de inconstitucionalidad pese a la derogación, modificación o sustitución de la norma (SSTC 174/1998, 81/2009)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5394-2006, planteada por el Juzgado de Primera Instancia e Instrucción núm. 1 de Arenys de Mar, respecto del art. 43.1 de la Ley del Parlamento de Cataluña 9/1998, de 15 de julio, del Código de familia, por supuesta vulneración del art. 149.1.6 CE. Han intervenido el Abogado del Estado, el Abogado de la Generalitat de Cataluña y el Letrado del Parlamento de Cataluña, en la representación que cada uno ostenta, así como el Fiscal General del Estado.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17 de mayo de 2006 tuvo entrada en el Registro del Tribunal Constitucional escrito del Juzgado de Primera Instancia e Instrucción núm. 1 de Arenys de Mar, por medio del cual se elevó la presente cuestión de inconstitucionalidad. Al escrito se acompañaba, junto al testimonio de las actuaciones, el Auto del referido Juzgado, de 5 de mayo de 2006, en el que se acuerda plantear la posible inconstitucionalidad del art. 43.1 de la Ley del Parlamento de Cataluña 9/1998, de 15 de julio, del Código de familia, por vulneración del art. 149.1.6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cuestión son los siguientes:</w:t>
      </w:r>
    </w:p>
    <w:p w:rsidR="00D06117" w:rsidRDefault="00D06117" w:rsidP="00D06117">
      <w:pPr>
        <w:pStyle w:val="TextoNormal"/>
      </w:pPr>
    </w:p>
    <w:p w:rsidR="00D06117" w:rsidRDefault="00D06117" w:rsidP="00D06117">
      <w:pPr>
        <w:pStyle w:val="TextoNormal"/>
      </w:pPr>
      <w:r>
        <w:t>a) La Procuradora de los Tribunales doña Amanda Pons, en representación de don Higinio Ruiz Castillo, presentó demanda de divorcio contencioso, que tuvo entrada en el Juzgado de Primera Instancia e Instrucción núm. 1 de Arenys de Mar el 17 de noviembre de 2005. La demanda fue admitida por Auto de 18 de noviembre de 2005 y el procedimiento, con núm. 770-2005, se siguió por los trámites del juicio verbal.</w:t>
      </w:r>
    </w:p>
    <w:p w:rsidR="00D06117" w:rsidRDefault="00D06117" w:rsidP="00D06117">
      <w:pPr>
        <w:pStyle w:val="TextoNormal"/>
      </w:pPr>
    </w:p>
    <w:p w:rsidR="00D06117" w:rsidRDefault="00D06117" w:rsidP="00D06117">
      <w:pPr>
        <w:pStyle w:val="TextoNormal"/>
      </w:pPr>
      <w:r>
        <w:t>b) En la demanda se solicitaba la disolución del vínculo por divorcio, el cese de la atribución a la esposa del uso de la vivienda familiar y la división de la cosa común con el consiguiente cese en el indiviso sobre la citada vivienda “al amparo del art. 43 del Codi de familia de Catalunya, lo que se llevará a efecto en ejecución de sentencia”. En la contestación a la demanda, la demandada manifestó su conformidad con la disolución del matrimonio y solicitó el mantenimiento de la atribución del uso de la vivienda familiar; también declaró no oponerse a la división de la cosa común siempre y cuando se mantuviera la atribución del uso de la vivienda familiar.</w:t>
      </w:r>
    </w:p>
    <w:p w:rsidR="00D06117" w:rsidRDefault="00D06117" w:rsidP="00D06117">
      <w:pPr>
        <w:pStyle w:val="TextoNormal"/>
      </w:pPr>
    </w:p>
    <w:p w:rsidR="00D06117" w:rsidRDefault="00D06117" w:rsidP="00D06117">
      <w:pPr>
        <w:pStyle w:val="TextoNormal"/>
      </w:pPr>
      <w:r>
        <w:t>c) Por providencia de 8 de febrero de 2006, concluso el procedimiento y dentro del plazo para dictar Sentencia, el Juzgado abrió el trámite previsto en el art. 35.2 de la Ley Orgánica del Tribunal Constitucional (LOTC), acordando dar traslado a las partes para que, con carácter previo al posible planteamiento de una cuestión de inconstitucionalidad, fueran oídas sobre lo siguiente: “a) Vinculación de la norma con rango de ley cuestionada en este caso el art. 43 de la Ley 9/1998 de 15 de julio de 1998 del Parlamento de Cataluña y la Sentencia de la que penden los autos; b) Posible vulneración del art. 43 de la Ley 9/1998 de 15 de julio de 1998 del Parlamento de Cataluña con respecto al precepto constitucional art. 149.1.6 CE”.</w:t>
      </w:r>
    </w:p>
    <w:p w:rsidR="00D06117" w:rsidRDefault="00D06117" w:rsidP="00D06117">
      <w:pPr>
        <w:pStyle w:val="TextoNormal"/>
      </w:pPr>
    </w:p>
    <w:p w:rsidR="00D06117" w:rsidRDefault="00D06117" w:rsidP="00D06117">
      <w:pPr>
        <w:pStyle w:val="TextoNormal"/>
      </w:pPr>
      <w:r>
        <w:t>El demandante evacuó el trámite por escrito de 20 de febrero de 2006, con entrada en el Juzgado el 22 del mismo mes, y se pronunció sobre la posible vulneración del art. 149.1.6 CE por el precepto cuestionado en los siguientes términos: por una parte, argumentaba a favor de la viabilidad de la norma, vista la especialidad del Derecho civil catalán y la economía procesal que comporta la solución acogida; por otra, reconocía que “puede existir técnicamente la vulneración denunciada”. La demandada evacuó el trámite por escrito de 28 de febrero de 2006, con entrada en el Juzgado el 2 de marzo, en el que afirmaba la vinculación de la norma cuestionada con la Sentencia pendiente y consideraba “cuando menos dudosa la adecuación del art. 43 de la Ley 9/1998, aprobada por el Parlamento de Cataluña, a la Constitución y por tanto plausible y fundamentado el sometimiento de la cuestión al Tribunal Constitucional”, pues debería valorarse si existe una particularidad en el Derecho sustantivo catalán que justifique la necesidad de la especialidad procesal. En escrito de 20 de marzo de 2006, con entrada en el Juzgado el 21 del mismo mes, el Fiscal dio por cumplidos los requisitos formales para someter la cuestión de inconstitucionalidad y señaló que “pudiera haber base suficiente para considerar pertinente el planteamiento de la cuestión”, sin entrar a valorar el fondo del asunto.</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Por Auto del Juzgado de Primera Instancia e Instrucción núm. 1 de Arenys de Mar, de 5 de mayo de 2006, se acordó plantear a este Tribunal “la eventual contradicción del art. </w:t>
      </w:r>
      <w:r>
        <w:lastRenderedPageBreak/>
        <w:t>43.1 de la Ley 9/1998 de 15 de julio del Parlamento de Cataluña con relación al art. 149.1.6 de la Constitución Española”.</w:t>
      </w:r>
    </w:p>
    <w:p w:rsidR="00D06117" w:rsidRDefault="00D06117" w:rsidP="00D06117">
      <w:pPr>
        <w:pStyle w:val="TextoNormal"/>
      </w:pPr>
    </w:p>
    <w:p w:rsidR="00D06117" w:rsidRDefault="00D06117" w:rsidP="00D06117">
      <w:pPr>
        <w:pStyle w:val="TextoNormal"/>
      </w:pPr>
      <w:r>
        <w:t>a) En cuanto al juicio de relevancia, el órgano proponente manifiesta que el precepto cuestionado, “citado como sustento de la pretensión ejercitada”, presenta una vinculación clara con la resolución del procedimiento en curso pues, si el art. 43.1 del Código de familia resultara inconstitucional sería de aplicación la regulación prevista en la Ley de enjuiciamiento civil (LEC), que prohíbe la acumulación de acciones, por lo que no entraría a resolver sobre la acción de división de la cosa común; y, si la norma resultara constitucional, el órgano judicial sí entraría a conocer de la acción de división de la cosa común.</w:t>
      </w:r>
    </w:p>
    <w:p w:rsidR="00D06117" w:rsidRDefault="00D06117" w:rsidP="00D06117">
      <w:pPr>
        <w:pStyle w:val="TextoNormal"/>
      </w:pPr>
    </w:p>
    <w:p w:rsidR="00D06117" w:rsidRDefault="00D06117" w:rsidP="00D06117">
      <w:pPr>
        <w:pStyle w:val="TextoNormal"/>
      </w:pPr>
      <w:r>
        <w:t>b) La eventual contradicción del art. 43.1 de la Ley 9/1998, de 15 de julio del Parlamento de Cataluña con el art. 149.1.6 CE se argumenta como sigue: primero, de conformidad con el art. 149.1.6 CE el Estado tiene competencia exclusiva sobre “legislación procesal, sin perjuicio de las necesarias especialidades que en este orden se deriven de las particularidades del derecho sustantivo de las Comunidades Autónomas”; segundo, el art. 43.1 del Código de familia es una innovación del ordenamiento procesal pues permite la acumulación de la acción de división de la cosa común a la acción de disolución del matrimonio y no existe conexión directa con una particularidad del Derecho sustantivo catalán que justifique la necesidad de dicha innovación. Luego, como conclusión, la norma cuestionada vulnera el art. 149.1.6 CE, “no estando la Comunidad Autónoma Catalana, amparada por la competencia que ha asumido como exclusiva ex art. 9.3 del Estatuto de la Comunidad Autónoma Catalana aprobado por Ley Orgánica 4/1979 de 18 diciembre 1979, ‘La Generalidad de Cataluña tiene competencia exclusiva sobre las siguientes materias: 3. Normas procesales y de procedimiento administrativo que se deriven de las particularidades del derecho sustantivo de Cataluña o de las especialidades de la organización de la Generalidad’”.</w:t>
      </w:r>
    </w:p>
    <w:p w:rsidR="00D06117" w:rsidRDefault="00D06117" w:rsidP="00D06117">
      <w:pPr>
        <w:pStyle w:val="TextoNormal"/>
      </w:pPr>
    </w:p>
    <w:p w:rsidR="00D06117" w:rsidRDefault="00D06117" w:rsidP="00D06117">
      <w:pPr>
        <w:pStyle w:val="TextoNormal"/>
      </w:pPr>
      <w:r>
        <w:t>c) El Auto de planteamiento desarrolla la premisa primera, esto es, el significado y alcance de la fórmula de reparto de competencias en la materia, conforme a la doctrina constitucional. En este sentido, parte de que la competencia exclusiva del Estado en materia de legislación procesal responde a la necesidad de salvaguardar la uniformidad del Derecho procesal, que se vería quebrantada por la innovación jurídica procedente de la legislación autonómica, y de que la distribución de competencias en la materia tiene dos efectos: por una parte, la reserva competencial a la legislación estatal y, por otra, la limitación competencial a la legislación autonómica, que no puede reproducir con carácter general las normas procesales estatales y que sólo puede innovar en materia procesal si se trata de necesarias especialidades que en este orden se deriven de las particularidades del Derecho sustantivo de las Comunidades Autónomas. En este contexto, continúa el órgano proponente, se engarza y “alcanza plenitud” lo dispuesto por el art. 9.3 del Estatuto de Autonomía de Cataluña (EAC), en materia de competencias exclusivas. Sigue el Auto de planteamiento con el análisis del concepto “necesarias especialidades” según la doctrina constitucional y destaca que serán “las que inevitablemente se deduzcan, desde el punto de vista de la defensa judicial, de las relaciones jurídicas sustantivas configuradas por la norma autonómica” y que “debe existir una conexión directa con las particularidades del Derecho sustantivo autonómico, de modo que las singularidades procesales vengan requeridas por dichas particularidades sustantivas”.</w:t>
      </w:r>
    </w:p>
    <w:p w:rsidR="00D06117" w:rsidRDefault="00D06117" w:rsidP="00D06117">
      <w:pPr>
        <w:pStyle w:val="TextoNormal"/>
      </w:pPr>
    </w:p>
    <w:p w:rsidR="00D06117" w:rsidRDefault="00D06117" w:rsidP="00D06117">
      <w:pPr>
        <w:pStyle w:val="TextoNormal"/>
      </w:pPr>
      <w:r>
        <w:lastRenderedPageBreak/>
        <w:t>d) El Auto de planteamiento explica entonces la premisa segunda, esto es, que el precepto cuestionado introduce una innovación procesal sin conexión directa con una particularidad sustantiva del Derecho catalán que la justifique. Para ello analiza el art. 43.1 del Código de familia dentro de los dos contextos normativos en que se mueve: la regulación de la Ley de enjuiciamiento civil en materia de acumulación de acciones y el Derecho sustantivo catalán en materia de régimen económico del matrimonio.</w:t>
      </w:r>
    </w:p>
    <w:p w:rsidR="00D06117" w:rsidRDefault="00D06117" w:rsidP="00D06117">
      <w:pPr>
        <w:pStyle w:val="TextoNormal"/>
      </w:pPr>
    </w:p>
    <w:p w:rsidR="00D06117" w:rsidRDefault="00D06117" w:rsidP="00D06117">
      <w:pPr>
        <w:pStyle w:val="TextoNormal"/>
      </w:pPr>
      <w:r>
        <w:t>Vista la regulación de la Ley de enjuiciamiento civil, concluye que el art. 43.1 del Código de familia, que permite la acumulación de la acción de división de la cosa común a la acción de disolución del matrimonio, incorpora una verdadera especialidad procesal frente al Derecho procesal común. En efecto, el art. 753 LEC, en general respecto de los procedimientos sobre capacidad, filiación, matrimonio y menores, y el art. 770.1 LEC, en particular respecto de los procesos matrimoniales y de menores, deriva las demandas de separación y divorcio contenciosos al juicio verbal, el art. 438.3 LEC no admite en el juicio verbal la acumulación objetiva de acciones y el art. 73.1.2 condiciona la acumulación de acciones a que las acciones acumuladas no deban, por razón de su materia, ventilarse en juicios de diferente tipo, lo que en el caso resulta de los arts. 249.2 y 251.2 y 3.6; por último, destaca el órgano proponente, el art. 806 LEC establece expresamente el procedimiento para la liquidación de regímenes matrimoniales que comportan la existencia de una masa común de bienes y derechos sujeta a cargas y obligaciones.</w:t>
      </w:r>
    </w:p>
    <w:p w:rsidR="00D06117" w:rsidRDefault="00D06117" w:rsidP="00D06117">
      <w:pPr>
        <w:pStyle w:val="TextoNormal"/>
      </w:pPr>
    </w:p>
    <w:p w:rsidR="00D06117" w:rsidRDefault="00D06117" w:rsidP="00D06117">
      <w:pPr>
        <w:pStyle w:val="TextoNormal"/>
      </w:pPr>
      <w:r>
        <w:t>Y visto el Derecho sustantivo catalán en materia de régimen económico del matrimonio, concluye que la especialidad procesal incorporada por el art. 43.1 del Código de familia no es una especialidad necesaria derivada de las particularidades de aquel Derecho sustantivo. Conforme al Derecho civil catalán, el régimen económico matrimonial es el pactado por las partes y, a falta de pacto, el de separación de bienes. De la comparación con el art. 1435 del Código civil, que regula el régimen de separación de bienes en el Derecho común, el órgano proponente infiere que “no se observa particularidad o especialidad que justifique la diversa regulación procesal contemplada en el art. 43 de la mencionada Ley 9/1998, de 15 de julio, esto es, no existe particularidad sustantiva que habilite la singularidad procesal contemplada en el mencionado artículo”.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24 de octubre de 2006, la Sección Cuarta del Tribunal Constitucional acordó admitir a trámite la cuestión de inconstitucionalidad núm. 5394-2006, tener por recibidas las actuaciones remitidas por el Juzgado de Primera Instancia e Instrucción núm. 1 de Arenys de Mar y dar traslado de las mismas, conforme al art. 37.2 LOTC, al Congreso de los Diputados y al Senado, por conducto de sus Presidentes, al Gobierno, por conducto del Ministerio de Justicia, y al Fiscal General del Estado, así como al Gobierno y al Parlamento de Cataluña, por conducto de sus Presidentes, al objeto de que en el plazo de quince días pudieran personarse y formular las alegaciones que estimasen convenientes. En la misma providencia se acordó publicar la incoación de la cuestión de inconstitucionalidad en el “Boletín Oficial del Estado” y en el “Diari Oficial de la Generalitat de Catalunya”.</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que tuvo entrada en este Tribunal el 14 de noviembre de 2006, el Presidente del Congreso de los Diputados comunicó el acuerdo de la Mesa de la Cámara de dar por personada a aquella Cámara en el procedimiento y por ofrecida su colaboración a los efectos del art. 88.1 LOTC, con remisión a la Dirección de estudios y documentación y al departamento de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que tuvo entrada en el Tribunal Constitucional el 15 de noviembre de 2006, el Presidente del Senado comunicó el acuerdo de la Mesa de la Cámara de dar por personada a aquella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Abogado del Estado presentó su escrito de alegaciones, con entrada en el Registro General de este Tribunal el 23 de noviembre de 2006, en el que pedía la estimación de la cuestión de inconstitucionalidad planteada, por considerar que “el precepto legal cuestionado es inconstitucional y nulo”.</w:t>
      </w:r>
    </w:p>
    <w:p w:rsidR="00D06117" w:rsidRDefault="00D06117" w:rsidP="00D06117">
      <w:pPr>
        <w:pStyle w:val="TextoNormal"/>
      </w:pPr>
    </w:p>
    <w:p w:rsidR="00D06117" w:rsidRDefault="00D06117" w:rsidP="00D06117">
      <w:pPr>
        <w:pStyle w:val="TextoNormal"/>
      </w:pPr>
      <w:r>
        <w:t>a) El Abogado del Estado comienza sus alegaciones recordando que el art. 9.3 del Estatuto de Autonomía de Cataluña de 1979, vigente al momento de proponerse la cuestión de inconstitucionalidad, y el art. 130 del ahora vigente Estatuto de Autonomía de Cataluña, prevén su competencia para “dictar las normas procesales específicas que deriven de las particularidades del derecho sustantivo de Cataluña” (art. 130 del Estatuto de Autonomía de Cataluña), y señala que la omisión en la literalidad de estas disposiciones del elemento esencial derivado del art. 149.1.6 CE, esto es, la necesidad de una norma procesal específica, “carece, sin embargo, de mayor trascendencia como pone de relieve la propia doctrina constitucional”.</w:t>
      </w:r>
    </w:p>
    <w:p w:rsidR="00D06117" w:rsidRDefault="00D06117" w:rsidP="00D06117">
      <w:pPr>
        <w:pStyle w:val="TextoNormal"/>
      </w:pPr>
    </w:p>
    <w:p w:rsidR="00D06117" w:rsidRDefault="00D06117" w:rsidP="00D06117">
      <w:pPr>
        <w:pStyle w:val="TextoNormal"/>
      </w:pPr>
      <w:r>
        <w:t>b) Invoca a continuación la doctrina constitucional en materia de distribución de competencias sobre legislación procesal entre el Estado y las Comunidades Autónomas, tal y como resulta estructurada por la STC 47/2004, de 25 de marzo, y de su aplicación al caso concluye la “incuestionable” inconstitucionalidad del precepto catalán.</w:t>
      </w:r>
    </w:p>
    <w:p w:rsidR="00D06117" w:rsidRDefault="00D06117" w:rsidP="00D06117">
      <w:pPr>
        <w:pStyle w:val="TextoNormal"/>
      </w:pPr>
    </w:p>
    <w:p w:rsidR="00D06117" w:rsidRDefault="00D06117" w:rsidP="00D06117">
      <w:pPr>
        <w:pStyle w:val="TextoNormal"/>
      </w:pPr>
      <w:r>
        <w:t>A la luz de la precitada Sentencia, el examen de la norma procesal autonómica pasa, en primer lugar, por determinar el Derecho sustantivo autonómico en cuya virtud se pretende introducir la especialidad procesal. La norma controvertida, el art. 43.1 del Código de familia de Cataluña, es una norma asociada al régimen económico matrimonial de separación de bienes, régimen general en Cataluña a falta de capitulaciones. En segundo lugar, procede señalar respecto de qué legislación procesal estatal se predican las eventuales especialidades de orden procesal incorporadas por el legislador autonómico. En el caso de autos, dado que la cuantía del bien indiviso excede la señalada en el art. 249.2 LEC, la norma procesal estatal concernida, explica el Abogado del Estado, es el art. 73.1.2 LEC, que condiciona la acumulación de acciones a que no deban, por razón de su materia, ventilarse en juicios de diferente tipo. Como es el caso: la demanda de divorcio se ha de seguir por los trámites del juicio verbal (arts. 753 y 770 LEC) y la acción de división de la cosa común por los del juicio ordinario (art. 249.2 en relación con el art. 251.2 y 3.6 LEC). Señala también el Abogado del Estado que la desviación de ambas regulaciones es muy similar si se considera la Ley de enjuiciamiento civil de 1881, vigente al momento de entrada en vigor del Código de familia de Cataluña.</w:t>
      </w:r>
    </w:p>
    <w:p w:rsidR="00D06117" w:rsidRDefault="00D06117" w:rsidP="00D06117">
      <w:pPr>
        <w:pStyle w:val="TextoNormal"/>
      </w:pPr>
    </w:p>
    <w:p w:rsidR="00D06117" w:rsidRDefault="00D06117" w:rsidP="00D06117">
      <w:pPr>
        <w:pStyle w:val="TextoNormal"/>
      </w:pPr>
      <w:r>
        <w:t xml:space="preserve">Por último, sigue el Abogado del Estado, la doctrina constitucional requiere indagar si entre las peculiaridades del ordenamiento sustantivo de Cataluña y las singularidades procesales incorporadas por el legislador catalán en el precepto cuestionado, existe una conexión directa tal que justifique las especialidades procesales, es decir, que las legitime como necesarias en los términos de la cláusula competencial del art. 149.1.6 CE, teniendo presente </w:t>
      </w:r>
      <w:r>
        <w:lastRenderedPageBreak/>
        <w:t>que la necesidad a que ésta se refiere no puede ser entendida como absoluta. En este punto el Abogado del Estado pone de relieve que el régimen de separación de bienes “no es una peculiaridad absoluta del Derecho civil catalán” y que reglas como el art. 40 del Código de Familia catalán, que presume la proindivisión por mitades respecto de los bienes de titularidad dudosa, pueden también encontrarse en el Código civil (art. 1441) y en otros Derechos forales, sin que ello haya derivado, ni en tales territorios, ni en el régimen común, en una norma procesal especial como la prevista en el art. 43.1 del Código de Familia. A ello añade la propia explicación dada por el legislador catalán en la Exposición de Motivos de la Ley 9/1998, que justifica el art 43.1 del Código de Familia catalán como “innovación interesante … por razones de economía procesal”. Por todo lo cual, concluye el Abogado del Estado, “ni puede hablarse en rigor de particularidad o peculiaridad del derecho civil catalán que justifique la innovación procesal, porque la posibilidad de proindivisiones entre los cónyuges puede darse en cualquier punto del territorio del Estado donde un matrimonio se acoja a la separación de bienes; ni la razón para introducir la regla procesal del art. 43.1 del Código de Familia de Cataluña —en completa desarmonía con la legislación procesal que regía en 1998 y con la vigente— está conectada directamente con una particularidad sustantiva (civil) catalana sino con la economía procesal”.</w:t>
      </w:r>
    </w:p>
    <w:p w:rsidR="00D06117" w:rsidRDefault="00D06117" w:rsidP="00D06117">
      <w:pPr>
        <w:pStyle w:val="TextoNormal"/>
      </w:pPr>
    </w:p>
    <w:p w:rsidR="00D06117" w:rsidRDefault="00D06117" w:rsidP="00D06117">
      <w:pPr>
        <w:pStyle w:val="TextoNormal"/>
      </w:pPr>
      <w:r w:rsidRPr="00D06117">
        <w:rPr>
          <w:rStyle w:val="NumeroAFNegritaCaracter"/>
        </w:rPr>
        <w:t>8</w:t>
      </w:r>
      <w:r>
        <w:t>. El Fiscal General del Estado presentó su escrito de alegaciones, con entrada en este Tribunal el 4 de diciembre de 2006, en el que pedía la desestimación de la cuestión de inconstitucionalidad, por considerar que, primero, la innovación procesal del art. 43.1. del Código de familia tiene un “modesto alcance” y, segundo, que aun en la hipótesis de no valorarse así, la norma catalana puede explicarse constitucionalmente como una necesaria especialidad procesal derivada de las particularidades del Derecho sustantivo de la Comunidad Autónoma.</w:t>
      </w:r>
    </w:p>
    <w:p w:rsidR="00D06117" w:rsidRDefault="00D06117" w:rsidP="00D06117">
      <w:pPr>
        <w:pStyle w:val="TextoNormal"/>
      </w:pPr>
    </w:p>
    <w:p w:rsidR="00D06117" w:rsidRDefault="00D06117" w:rsidP="00D06117">
      <w:pPr>
        <w:pStyle w:val="TextoNormal"/>
      </w:pPr>
      <w:r>
        <w:t>a) Con el marco de la doctrina constitucional en la materia, según quedó resumida en la STC 47/2004, de 25 de marzo, el Fiscal analiza si el precepto cuestionado constituye una innovación procesal respecto de la legislación procesal de Derecho común. En este sentido, observa que la norma catalana formula la acumulación de la acción de división de la cosa común a las acciones personales de ruptura matrimonial como facultad, no como obligación, sólo para el caso de que el régimen económico matrimonial sea el de separación de bienes y con un limitado efecto, por cuanto la acción de división de la cosa común conduce a la declaración de la cosa como dividida pero su ejecución se difiere. Esto significa, sigue el Fiscal, que la liquidación de los bienes se deriva a un proceso ulterior de liquidación, en ejecución de la Sentencia dictada, y que la liquidación del indiviso declarado divisible se realizará de conformidad con el Derecho procesal común, arts. 806 y ss. LEC. En suma, la innovación procesal de la norma catalana se constriñe a lo siguiente: “permitir, no obligar, a la acumulación de dos acciones declarativas: ésta es, pues la diferencia con la legislación común ya que la descomposición entre declaración y ejecución en un mismo proceso (en legislación foral) o en dos (según la legislación común) es más artificiosa que real, visto además que la liquidación en el sistema de Derecho común, es asumida por el mismo juez que conoció de la acción constitutiva del nuevo estado civil (art. 807 LEC)”. Por todo ello, a criterio del Fiscal, la incursión autonómica en el Derecho estatal es de “modesto alcance”; lo que, además, explicaría que la exposición de motivos de la Ley 9/1998, diera por justificación suficiente del precepto la invocación del principio de economía procesal, sin necesidad de otras explicaciones en clave competencial.</w:t>
      </w:r>
    </w:p>
    <w:p w:rsidR="00D06117" w:rsidRDefault="00D06117" w:rsidP="00D06117">
      <w:pPr>
        <w:pStyle w:val="TextoNormal"/>
      </w:pPr>
    </w:p>
    <w:p w:rsidR="00D06117" w:rsidRDefault="00D06117" w:rsidP="00D06117">
      <w:pPr>
        <w:pStyle w:val="TextoNormal"/>
      </w:pPr>
      <w:r>
        <w:lastRenderedPageBreak/>
        <w:t>b) Pero aun en la hipótesis de que no se compartiera el limitado alcance de la innovación procesal de la norma catalana, a juicio del Fiscal, el art. 43.1 del Código de familia no sería inconstitucional pues constituye una necesaria especialidad procesal derivada de las particularidades del Derecho sustantivo de la Comunidad Autónoma, en el entendido de que este concepto, según expresa la doctrina constitucional, no comporta “un juicio tan rígido que imponga una conexión ineludible entre norma sustantiva y norma procesal”. En este contexto, dice el Fiscal, “es lógico” prever una acumulación de acciones como la prevista en la norma catalana cuando el régimen económico matrimonial general es el de separación de bienes, donde el grueso de los bienes no son compartidos, de forma que, para las propiedades compartidas, “si las hubiere”, la división en el mismo proceso evita dilaciones y reduce gastos.</w:t>
      </w:r>
    </w:p>
    <w:p w:rsidR="00D06117" w:rsidRDefault="00D06117" w:rsidP="00D06117">
      <w:pPr>
        <w:pStyle w:val="TextoNormal"/>
      </w:pPr>
    </w:p>
    <w:p w:rsidR="00D06117" w:rsidRDefault="00D06117" w:rsidP="00D06117">
      <w:pPr>
        <w:pStyle w:val="TextoNormal"/>
      </w:pPr>
      <w:r w:rsidRPr="00D06117">
        <w:rPr>
          <w:rStyle w:val="NumeroAFNegritaCaracter"/>
        </w:rPr>
        <w:t>9</w:t>
      </w:r>
      <w:r>
        <w:t>. La Generalitat de Cataluña presentó escrito de alegaciones, con entrada en el Registro del Tribunal el 30 de noviembre de 2006, por el que solicita la desestimación de la cuestión de inconstitucionalidad planteada. Con carácter preliminar, además de compartir el juicio de relevancia, el Abogado de la Generalitat señala que, en todo caso, se estaría planteando una cuestión de inconstitucionalidad sobrevenida pues el precepto debatido fue incorporado por la Ley 9/1998, anterior a la regulación procesal de la Ley de enjuiciamiento civil de 2000, cuya regulación es la que se toma como referencia para afirmar la innovación de la norma autonómica. Entrando en el fondo, el Abogado de la Generalitat manifestaba su convencimiento de que la norma debatida “resulta plenamente conforme con el orden de reparto competencial, significando una particularidad procesal de índole menor que responde a las características del derecho civil catalán tanto en su aspecto legal como práctico”.</w:t>
      </w:r>
    </w:p>
    <w:p w:rsidR="00D06117" w:rsidRDefault="00D06117" w:rsidP="00D06117">
      <w:pPr>
        <w:pStyle w:val="TextoNormal"/>
      </w:pPr>
    </w:p>
    <w:p w:rsidR="00D06117" w:rsidRDefault="00D06117" w:rsidP="00D06117">
      <w:pPr>
        <w:pStyle w:val="TextoNormal"/>
      </w:pPr>
      <w:r>
        <w:t>a) El Abogado de la Generalitat empieza refiriéndose al contenido y sentido del precepto cuestionado. Así, recuerda que el régimen de separación de bienes es uno de los rasgos tradicionalmente más característicos del Derecho de familia catalán y que el art. 43 del Código de familia se encuentra entre las disposiciones relativas a dicho régimen. Señala también que el art. 43 contiene tres reglas distintas. Por una parte, el art. 43, apartado 1, contiene dos reglas: la primera faculta a cualquiera de las partes a ejercer la acción de división de la cosa común en el proceso de disolución del vínculo matrimonial; la segunda es una regla de naturaleza sustantiva, que regula una especificidad en cuanto a la práctica de la división, para el caso de que haya varios bienes afectados. Por otra parte, el art. 43, apartado 2, recoge una tercera regla: cuando, según la Sentencia, proceda la división de la cosa común, ésta tendrá lugar en el trámite de ejecución. Sobre esta regla el Abogado de la Generalitat observa que: “el hecho de que con posterioridad a la aprobación de la Ley del Código de Familia de 1998 se dictara la Ley de Enjuiciamiento Civil de 2000, que contiene un procedimiento especial para la liquidación de cualquier régimen económico matrimonial que determine la existencia de una masa común de bienes y derechos (arts. 806 a 811), puede haber contribuido a crear dudas sobre la interpretación que debe darse al art. 43 del Código de familia”. En este sentido, destaca que, en supuestos como el del caso de autos, en el que la masa común se limita a la vivienda familiar, lo previsto por la norma catalana es “suficiente y adecuado”.</w:t>
      </w:r>
    </w:p>
    <w:p w:rsidR="00D06117" w:rsidRDefault="00D06117" w:rsidP="00D06117">
      <w:pPr>
        <w:pStyle w:val="TextoNormal"/>
      </w:pPr>
    </w:p>
    <w:p w:rsidR="00D06117" w:rsidRDefault="00D06117" w:rsidP="00D06117">
      <w:pPr>
        <w:pStyle w:val="TextoNormal"/>
      </w:pPr>
      <w:r>
        <w:t xml:space="preserve">Al hilo de lo anterior, delimita el objeto de la cuestión de inconstitucionalidad. El Auto de planteamiento se refiere al art. 43.1 del Código de familia pero, de las dos reglas contenidas en este precepto, sólo la primera suscita dudas y sólo sobre ella se argumenta en el </w:t>
      </w:r>
      <w:r>
        <w:lastRenderedPageBreak/>
        <w:t>Auto. En consecuencia, el objeto de la cuestión de inconstitucionalidad se circunscribe al párrafo primero del art. 43.1 del Código de familia de Cataluña.</w:t>
      </w:r>
    </w:p>
    <w:p w:rsidR="00D06117" w:rsidRDefault="00D06117" w:rsidP="00D06117">
      <w:pPr>
        <w:pStyle w:val="TextoNormal"/>
      </w:pPr>
    </w:p>
    <w:p w:rsidR="00D06117" w:rsidRDefault="00D06117" w:rsidP="00D06117">
      <w:pPr>
        <w:pStyle w:val="TextoNormal"/>
      </w:pPr>
      <w:r>
        <w:t>El Abogado de la Generalitat sostiene que el art. 43.1 “puede calificarse de especialidad del derecho catalán acorde con las reglas que regulan el régimen de separación de bienes en Cataluña, para aquellos casos en los que puede decirse que propiamente no se debe liquidar un régimen económico matrimonial sino sólo dividir alguna cosa en común, sin que se discuta ni la titularidad, ni la cuota, ni nada más”. En este contexto, la regla primera contenida en el art. 43.1 constituye “una especialidad procesal” dirigida a facilitar la liquidación dadas las circunstancias expuestas.</w:t>
      </w:r>
    </w:p>
    <w:p w:rsidR="00D06117" w:rsidRDefault="00D06117" w:rsidP="00D06117">
      <w:pPr>
        <w:pStyle w:val="TextoNormal"/>
      </w:pPr>
    </w:p>
    <w:p w:rsidR="00D06117" w:rsidRDefault="00D06117" w:rsidP="00D06117">
      <w:pPr>
        <w:pStyle w:val="TextoNormal"/>
      </w:pPr>
      <w:r>
        <w:t>b) Para sustentar la corrección constitucional del precepto cuestionado, el Abogado de la Generalitat parte de la doctrina constitucional sobre el significado y alcance de las fórmulas de distribución de competencias en materia de legislación procesal contempladas en el art. 149.1.6 CE y el art. 9.3 del EAC de 1979, que concreta en la STC 47/2004, de 25 de marzo. Proyectada la precitada Sentencia sobre el caso de autos el Abogado de la Generalitat afirma la necesidad de la especialidad procesal discutida e indica las particularidades de Derecho sustantivo catalán que la fundan.</w:t>
      </w:r>
    </w:p>
    <w:p w:rsidR="00D06117" w:rsidRDefault="00D06117" w:rsidP="00D06117">
      <w:pPr>
        <w:pStyle w:val="TextoNormal"/>
      </w:pPr>
    </w:p>
    <w:p w:rsidR="00D06117" w:rsidRDefault="00D06117" w:rsidP="00D06117">
      <w:pPr>
        <w:pStyle w:val="TextoNormal"/>
      </w:pPr>
      <w:r>
        <w:t>En cuanto a la necesidad de la especialidad procesal, el Abogado de la Generalitat deduce de la doctrina constitucional “un cierto margen de discrecionalidad para formular el juicio sobre la necesidad” de la especialidad procesal, de suerte que “la normativa procesal autonómica está suficientemente legitimada, desde una perspectiva constitucional, cuando se orienta a hacer substancialmente más operativas las normas substantivas autonómicas que la han motivado”. En este sentido, el Abogado de la Generalitat sostiene que la exclusión de la facultad abierta por el art. 43.1 del Código de familia hace más gravoso el régimen económico de separación de bienes; especialmente si se observa en comparación con el régimen de gananciales al que el Derecho procesal brinda una liquidación más sencilla pues la Ley de enjuiciamiento civil articula la liquidación del régimen de gananciales conforme a “un procedimiento que permite su tramitación junto al procedimiento matrimonial principal por el mismo juez que esté conociendo del mismo”. Además, ha de considerarse que, al momento de entrada en vigor de la Ley 9/1998, se admitía la liquidación del régimen de gananciales en la resolución que declaraba la disolución del matrimonio, o en ejecución de sentencia, sin necesidad de acudir al declarativo; soluciones que, dice el Abogado de la Generalitat, no se admitían para la liquidación del régimen de separación de bienes. En consecuencia, la previsión del art. 43.1 “puede y debe entenderse como necesaria para preservar y proteger el régimen catalán de separación de bienes” porque “nació para responder a una situación especial, muy frecuente en Cataluña, que es consecuencia de la coexistencia del régimen de separación de bienes propio de Cataluña y de la realidad social, consistente en la existencia de algún bien en común, dentro de dicho régimen matrimonial” y porque compensa el agravio comparativo respecto del trato procesal dispensado a la liquidación del régimen de gananciales.</w:t>
      </w:r>
    </w:p>
    <w:p w:rsidR="00D06117" w:rsidRDefault="00D06117" w:rsidP="00D06117">
      <w:pPr>
        <w:pStyle w:val="TextoNormal"/>
      </w:pPr>
    </w:p>
    <w:p w:rsidR="00D06117" w:rsidRDefault="00D06117" w:rsidP="00D06117">
      <w:pPr>
        <w:pStyle w:val="TextoNormal"/>
      </w:pPr>
      <w:r>
        <w:t xml:space="preserve">Respecto a las particularidades sustantivas que justifican la especialidad procesal, el Abogado de la Generalitat pone de relieve que, de conformidad con la STC 47/2004, “pueden derivarse de características de hecho, empíricas, de la realidad social que toma en consideración el legislador autonómico”, lo que le lleva a defender el precepto debatido a partir </w:t>
      </w:r>
      <w:r>
        <w:lastRenderedPageBreak/>
        <w:t>de la práctica social actual que ha derivado en que, si bien el régimen económico matrimonial general en Cataluña es el de separación de bienes, es sumamente frecuente la adquisición en pro indiviso de la vivienda familiar.</w:t>
      </w:r>
    </w:p>
    <w:p w:rsidR="00D06117" w:rsidRDefault="00D06117" w:rsidP="00D06117">
      <w:pPr>
        <w:pStyle w:val="TextoNormal"/>
      </w:pPr>
    </w:p>
    <w:p w:rsidR="00D06117" w:rsidRDefault="00D06117" w:rsidP="00D06117">
      <w:pPr>
        <w:pStyle w:val="TextoNormal"/>
      </w:pPr>
      <w:r>
        <w:t>c) La respuesta del Derecho común para la situación jurídica que viene a resolver la regla primera del art. 43.1 del Código de familia de Cataluña abunda en su calificación como especialidad procesal necesaria, sigue el Abogado de la Generalitat, como demuestra la comparación de la regulación prevista para la liquidación del régimen de separación de bienes en el Derecho común y la propuesta por el Derecho catalán.</w:t>
      </w:r>
    </w:p>
    <w:p w:rsidR="00D06117" w:rsidRDefault="00D06117" w:rsidP="00D06117">
      <w:pPr>
        <w:pStyle w:val="TextoNormal"/>
      </w:pPr>
    </w:p>
    <w:p w:rsidR="00D06117" w:rsidRDefault="00D06117" w:rsidP="00D06117">
      <w:pPr>
        <w:pStyle w:val="TextoNormal"/>
      </w:pPr>
      <w:r>
        <w:t>El Derecho común se plantea tal liquidación como excepción pues el régimen de separación de bienes se concibe “en un contexto de separación absoluta” de patrimonios. Con este fondo, el procedimiento para la liquidación del régimen de separación de bienes, sostiene el Abogado de la Generalitat, es controvertido. A falta de acuerdo de las partes, se difiere al juicio declarativo correspondiente por razón de la cuantía. Pero la jurisprudencia recurre también a otras soluciones como la liquidación por el procedimiento de los arts. 806 y ss. LEC o “la formulación de una declaración de disolución del régimen económico matrimonial de separación de bienes en la sentencia de separación matrimonial, con remisión de la liquidación a la ejecución de la sentencia”.</w:t>
      </w:r>
    </w:p>
    <w:p w:rsidR="00D06117" w:rsidRDefault="00D06117" w:rsidP="00D06117">
      <w:pPr>
        <w:pStyle w:val="TextoNormal"/>
      </w:pPr>
    </w:p>
    <w:p w:rsidR="00D06117" w:rsidRDefault="00D06117" w:rsidP="00D06117">
      <w:pPr>
        <w:pStyle w:val="TextoNormal"/>
      </w:pPr>
      <w:r>
        <w:t>A la vista de este panorama, la respuesta del artículo 43.1 del Código de familia de Cataluña es “clarificadora y favorecedora de la seguridad jurídica”; sin obligar, permite una solución que es utilizada por el Derecho común “ante la falta de una respuesta adecuada ad hoc en la propia Ley de Enjuiciamiento Civil”, favoreciendo la economía procesal y la celeridad para cerrar la crisis matrimonial</w:t>
      </w:r>
    </w:p>
    <w:p w:rsidR="00D06117" w:rsidRDefault="00D06117" w:rsidP="00D06117">
      <w:pPr>
        <w:pStyle w:val="TextoNormal"/>
      </w:pPr>
    </w:p>
    <w:p w:rsidR="00D06117" w:rsidRDefault="00D06117" w:rsidP="00D06117">
      <w:pPr>
        <w:pStyle w:val="TextoNormal"/>
      </w:pPr>
      <w:r>
        <w:t>d) A los anteriores argumentos, y como razón principal, en favor del art. 43.1 del Código de familia como especialidad procesal necesaria, el Abogado de la Generalitat añade un análisis sistemático del precepto, dentro del conjunto normativo que constituye la regulación del régimen de separación de bienes construido en el Código de familia catalán.</w:t>
      </w:r>
    </w:p>
    <w:p w:rsidR="00D06117" w:rsidRDefault="00D06117" w:rsidP="00D06117">
      <w:pPr>
        <w:pStyle w:val="TextoNormal"/>
      </w:pPr>
    </w:p>
    <w:p w:rsidR="00D06117" w:rsidRDefault="00D06117" w:rsidP="00D06117">
      <w:pPr>
        <w:pStyle w:val="TextoNormal"/>
      </w:pPr>
      <w:r>
        <w:t>Del régimen de separación de bienes en el Derecho catalán interesa retener dos elementos: actúa por defecto, siendo el régimen general, y no se configura como una separación absoluta de patrimonios sino que implica “una comunidad de intereses”. Esta concepción se materializa en diversas normas: de forma especial en el art. 41 del Código de familia, pero también en otras (arts. 39, 44 a 47, 40 del Código de familia). La consecuencia es que la liquidación del régimen de separación de bienes no es excepcional y requiere medidas “que, en cambio no son imprescindibles (aunque también podrían ser útiles)” en otros ordenamientos en los que el régimen de separación de bienes no es el régimen general y se concibe como una separación patrimonial más estricta. El Abogado de la Generalitat propone, en esta línea, el deber de compensación económica previsto en el art. 41 del Código de familia, que se ha considerado “como una verdadera norma de liquidación del régimen económico matrimonial”.</w:t>
      </w:r>
    </w:p>
    <w:p w:rsidR="00D06117" w:rsidRDefault="00D06117" w:rsidP="00D06117">
      <w:pPr>
        <w:pStyle w:val="TextoNormal"/>
      </w:pPr>
    </w:p>
    <w:p w:rsidR="00D06117" w:rsidRDefault="00D06117" w:rsidP="00D06117">
      <w:pPr>
        <w:pStyle w:val="TextoNormal"/>
      </w:pPr>
      <w:r>
        <w:t xml:space="preserve">En este marco, las operaciones de liquidación del régimen de separación de bienes “no divergen funcionalmente” de las de otro régimen económico matrimonial, de suerte que “se puede considerar un agravio comparativo y una carga innecesaria obligar a los cónyuges </w:t>
      </w:r>
      <w:r>
        <w:lastRenderedPageBreak/>
        <w:t>catalanes casados en separación de bienes a entablar, aparte del proceso de familia, un ulterior proceso declarativo”.</w:t>
      </w:r>
    </w:p>
    <w:p w:rsidR="00D06117" w:rsidRDefault="00D06117" w:rsidP="00D06117">
      <w:pPr>
        <w:pStyle w:val="TextoNormal"/>
      </w:pPr>
    </w:p>
    <w:p w:rsidR="00D06117" w:rsidRDefault="00D06117" w:rsidP="00D06117">
      <w:pPr>
        <w:pStyle w:val="TextoNormal"/>
      </w:pPr>
      <w:r>
        <w:t>Al fin, señala el Abogado de la Generalitat, el art. 43.1 del Código de familia es una exigencia del art. 76.3 e) del Código de familia que establece, entre los aspectos objeto de regulación en caso de nulidad, separación judicial o divorcio, “la liquidación, en su caso, del régimen matrimonial y la división de los bienes comunes, de acuerdo con lo establecido en el art. 43”. Este precepto “constituye el instrumento procesal dispuesto por el legislador para que pueda hacerse plenamente efectiva dicha previsión sustantiva”.</w:t>
      </w:r>
    </w:p>
    <w:p w:rsidR="00D06117" w:rsidRDefault="00D06117" w:rsidP="00D06117">
      <w:pPr>
        <w:pStyle w:val="TextoNormal"/>
      </w:pPr>
    </w:p>
    <w:p w:rsidR="00D06117" w:rsidRDefault="00D06117" w:rsidP="00D06117">
      <w:pPr>
        <w:pStyle w:val="TextoNormal"/>
      </w:pPr>
      <w:r>
        <w:t>e) Como argumento de cierre el Abogado de la Generalitat señala que el precepto debatido no supone “una ruptura de la coherencia del sistema procesal general, sino que introduce una leve excepción”, cuando el propio sistema general admite otras excepciones (articulo 438.3 de la Ley de enjuiciamiento civil).</w:t>
      </w:r>
    </w:p>
    <w:p w:rsidR="00D06117" w:rsidRDefault="00D06117" w:rsidP="00D06117">
      <w:pPr>
        <w:pStyle w:val="TextoNormal"/>
      </w:pPr>
    </w:p>
    <w:p w:rsidR="00D06117" w:rsidRDefault="00D06117" w:rsidP="00D06117">
      <w:pPr>
        <w:pStyle w:val="TextoNormal"/>
      </w:pPr>
      <w:r w:rsidRPr="00D06117">
        <w:rPr>
          <w:rStyle w:val="NumeroAFNegritaCaracter"/>
        </w:rPr>
        <w:t>10</w:t>
      </w:r>
      <w:r>
        <w:t>. Por escrito con entrada en el Registro General del Tribunal el 1 de diciembre de 2006, el Parlamento de Cataluña solicita la desestimación de la cuestión de inconstitucionalidad planteada; también manifiesta la conveniencia de una tramitación urgente y prioritaria de la cuestión, por afectar al ejercicio efectivo de derechos personalísimos de las partes en el proceso, como es el derecho a contraer un nuevo matrimonio, que debe vincularse a la obligación de todos los poderes públicos de asegurar la protección social, económica y jurídica de la familia (art. 39 CE). En apoyo de su solicitud de desestimación de la cuestión de inconstitucionalidad el Parlamento de Cataluña formula las siguientes alegaciones:</w:t>
      </w:r>
    </w:p>
    <w:p w:rsidR="00D06117" w:rsidRDefault="00D06117" w:rsidP="00D06117">
      <w:pPr>
        <w:pStyle w:val="TextoNormal"/>
      </w:pPr>
    </w:p>
    <w:p w:rsidR="00D06117" w:rsidRDefault="00D06117" w:rsidP="00D06117">
      <w:pPr>
        <w:pStyle w:val="TextoNormal"/>
      </w:pPr>
      <w:r>
        <w:t>a) El Letrado del Parlamento de Cataluña, tras señalar las disposiciones que enmarcan la presente cuestión de inconstitucionalidad, con referencia al art. 130 del Estatuto de Autonomía de Cataluña como parámetro actual de constitucionalidad, parte de la regulación del régimen de separación de bienes en el Derecho catalán y su adecuación a la realidad social, como marco en el que se inscribe el art. 43.1 del Código de familia. En este sentido destaca que el régimen de separación de bienes no sólo es el legal a falta de pacto en Cataluña sino que, de hecho, es el que rige la mayoría de los matrimonios sujetos al Derecho catalán. También pone de relieve que, siendo un régimen de independencia patrimonial de los cónyuges, tal y como resulta de la regulación operada por el Derecho catalán, esta afirmación es relativa. Como ejemplo se sugiere el art. 9.1 (que establece limitaciones a la libre disposición de los bienes propios), el art. 41 (relativo a la compensación económica por trabajo en crisis matrimoniales) o el art. 40 del Código de familia (sobre presunción de pro indiviso por mitades respecto de los bienes de titularidad dudosa, a salvo algunos).</w:t>
      </w:r>
    </w:p>
    <w:p w:rsidR="00D06117" w:rsidRDefault="00D06117" w:rsidP="00D06117">
      <w:pPr>
        <w:pStyle w:val="TextoNormal"/>
      </w:pPr>
    </w:p>
    <w:p w:rsidR="00D06117" w:rsidRDefault="00D06117" w:rsidP="00D06117">
      <w:pPr>
        <w:pStyle w:val="TextoNormal"/>
      </w:pPr>
      <w:r>
        <w:t>Todas estas disposiciones son, en opinión del Letrado del Parlamento, manifestación de la adecuación del régimen de separación de bienes a la realidad social actual y sostiene que el art. 43.1 del Código de familia debe entenderse en esta línea, esto es, como una especialidad procesal vinculada, no sólo al lugar legal que ocupa el régimen de separación de bienes en el Derecho catalán o a la economía procesal, sino, y principalmente, al hecho de que en la actualidad los matrimonios sujetos al régimen de separación de bienes constituyen de facto un patrimonio común ligado al matrimonio, al que debe facilitarse, por tanto, que siga su suerte.</w:t>
      </w:r>
    </w:p>
    <w:p w:rsidR="00D06117" w:rsidRDefault="00D06117" w:rsidP="00D06117">
      <w:pPr>
        <w:pStyle w:val="TextoNormal"/>
      </w:pPr>
    </w:p>
    <w:p w:rsidR="00D06117" w:rsidRDefault="00D06117" w:rsidP="00D06117">
      <w:pPr>
        <w:pStyle w:val="TextoNormal"/>
      </w:pPr>
      <w:r>
        <w:lastRenderedPageBreak/>
        <w:t>Con remisión a la doctrina constitucional contenida en la STC 47/2004, de 25 de marzo, el Letrado del Parlamento cierra este argumento y afirma que el art. 43.1 del Código de familia de Cataluña “responde a la necesaria adecuación del régimen de separación de bienes a la realidad social catalana”; afirmación que completa con diversas citas de Audiencia Provinciales que se pronuncian sobre el referido precepto. Al hilo de esta explicación el Letrado del Parlamento manifiesta sus dudas en cuanto al juicio de relevancia, por cuanto en el proceso a quo el demandante solicitó la división de la cosa común, ex art. 43.1 del Código de familia y la demandada no se opuso sino al cese de la atribución de su uso, “lo que haría intrascendente el art. 43.1 del Código de familia de Cataluña, ya que la división derivaría del acuerdo entre las partes recogido entre las medidas definitivas, sin perjuicio de que, si no hubiera acuerdo sobre el procedimiento, éste se determinara de conformidad con las normas adecuadas en la ejecución”.</w:t>
      </w:r>
    </w:p>
    <w:p w:rsidR="00D06117" w:rsidRDefault="00D06117" w:rsidP="00D06117">
      <w:pPr>
        <w:pStyle w:val="TextoNormal"/>
      </w:pPr>
    </w:p>
    <w:p w:rsidR="00D06117" w:rsidRDefault="00D06117" w:rsidP="00D06117">
      <w:pPr>
        <w:pStyle w:val="TextoNormal"/>
      </w:pPr>
      <w:r>
        <w:t>b) Apoya también su juicio a favor de la constitucionalidad del art. 43.1 del Código de familia, en la apreciación de que la especialidad procesal incorporada por la norma catalana es armónica con la Ley de enjuiciamiento civil. Así, el Letrado del Parlamento, a la vista de los arts. 770 y 753, sostiene que la remisión al juicio verbal de las causas de disolución del vínculo matrimonial se hace a los efectos de la tramitación pues, al regular el contenido de la demanda, la Ley de enjuiciamiento civil prevé el planteamiento de otras cuestiones conexas, entre ellas, la disolución y liquidación del régimen económico, sin que suponga una acumulación de acciones prohibida. A ello se une, sigue el Letrado del Parlamento, la inadaptación del procedimiento para la liquidación del régimen económico matrimonial previsto en los arts. 806 y ss. LEC para resolver la liquidación del régimen de separación de bienes tal y como, según se ha descrito, se configura en el Derecho catalán y constituye la realidad social a la que se aplica; que es precisamente lo que viene a resolver la norma cuestionada. En consecuencia, el art. 43.1 del Código de familia constituye una especialidad procesal, armónica con el art. 770 LEC y justificada dentro del marco del art. 130 de la Ley Orgánica 6/2006, de 19 de julio, de reforma del Estatuto de Autonomía de Cataluña y no contraria al art. 149.1.6 CE.</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14 de febrero de 2012, se señaló para votación y fallo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cuestión de inconstitucionalidad, promovida por el Juzgado de Primera Instancia e Instrucción núm. 1 de Arenys de Mar, por Auto de 5 de mayo de 2006, plantea la posible vulneración del art. 149.1.6 CE, en cuanto reserva al Estado competencia exclusiva sobre “legislación procesal, sin perjuicio de las necesarias especialidades que en este orden se deriven de las particularidades del derecho sustantivo de las Comunidades Autónomas”, por el art. 43.1 de la Ley del Parlamento de Cataluña 9/1998, de 15 de julio, del Código de familia, que establece lo siguiente:</w:t>
      </w:r>
    </w:p>
    <w:p w:rsidR="00D06117" w:rsidRDefault="00D06117" w:rsidP="00D06117">
      <w:pPr>
        <w:pStyle w:val="TextoNormal"/>
      </w:pPr>
    </w:p>
    <w:p w:rsidR="00D06117" w:rsidRDefault="00D06117" w:rsidP="00D06117">
      <w:pPr>
        <w:pStyle w:val="TextoNormal"/>
      </w:pPr>
      <w:r>
        <w:t>“En los procedimiento de separación, divorcio o nulidad y de ejecución en el orden civil de las resoluciones o decisiones eclesiásticas a que hace referencia el art. 42, de matrimonios sujetos al régimen de separación de bienes, cualquiera de los cónyuges puede ejercer simul</w:t>
      </w:r>
      <w:r>
        <w:lastRenderedPageBreak/>
        <w:t>táneamente la acción de división de cosa comuna con respecto a los que tengan en pro indiviso. Si los bienes afectados son más de uno y la autoridad judicial lo estima procedente, aquéllos pueden ser considerados en conjunto, a efectos de la división.”</w:t>
      </w:r>
    </w:p>
    <w:p w:rsidR="00D06117" w:rsidRDefault="00D06117" w:rsidP="00D06117">
      <w:pPr>
        <w:pStyle w:val="TextoNormal"/>
      </w:pPr>
    </w:p>
    <w:p w:rsidR="00D06117" w:rsidRDefault="00D06117" w:rsidP="00D06117">
      <w:pPr>
        <w:pStyle w:val="TextoNormal"/>
      </w:pPr>
      <w:r>
        <w:t>El órgano proponente entiende que el art. 43.1 del Código de familia constituye una innovación del ordenamiento procesal que no se justifica por su conexión directa con una particularidad del Derecho sustantivo catalán. Por tanto, no se trataría de una “necesaria especialidad” cubierta por el art. 149.1.6 CE, según la interpretación que del mismo ha hecho la jurisprudencia constitucional, y por la correlativa previsión estatutaria.</w:t>
      </w:r>
    </w:p>
    <w:p w:rsidR="00D06117" w:rsidRDefault="00D06117" w:rsidP="00D06117">
      <w:pPr>
        <w:pStyle w:val="TextoNormal"/>
      </w:pPr>
    </w:p>
    <w:p w:rsidR="00D06117" w:rsidRDefault="00D06117" w:rsidP="00D06117">
      <w:pPr>
        <w:pStyle w:val="TextoNormal"/>
      </w:pPr>
      <w:r>
        <w:t>El Abogado del Estado concluye en la incuestionable inconstitucionalidad del art. 43.1 del Código de familia porque niega la existencia de la particularidad sustantiva en el Derecho civil catalán a la que se vincula la norma cuestionada. Por el contrario, el Fiscal General del Estado, el Abogado de la Generalitat de Cataluña y el Letrado del Parlamento de Cataluña afirman la existencia de esa particularidad sustantiva en el Derecho civil catalán, que hace necesaria la especialidad procesal incorporada en el art. 43.1 del Código de familia, entendiendo que la justificación constitucional del precepto controvertido pasa por una interpretación flexible del concepto “necesidad”. En tal sentido, señalan que el vínculo entre una y otra no debe entenderse como una conexión ineludible (Fiscal General del Estado), sino interpretarse con un cierto margen (Abogado de la Generalitat), explicándose la necesidad de la especialidad procesal por la mayor eficacia de la norma sustantiva (Abogado de la Generalitat), por coadyuvar a adecuar la norma sustantiva a la realidad social catalana en la que se aplica (Abogado de la Generalitat y Letrado del Parlamento de Cataluña) o por salvar la falta de una respuesta adecuada del Derecho procesal estatal para esa realidad (Abogado de la Generalitat y Letrado del Parlamento de Cataluña), compensándose así el agravio comparativo en que incurre dicho Derecho procesal respecto del trato que dispensa a la liquidación del régimen de gananciales (Abogado de la Generalitat).</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en el fondo de la cuestión de inconstitucionalidad, debemos precisar la delimitación de su objeto y el marco jurídico de referencia. En cuanto al objeto, el Auto de planteamiento concreta la norma cuestionada en el art. 43.1 del Código de familia, precepto que cita y reproduce textualmente. Por tanto, ésta es la norma con fuerza de ley cuya constitucionalidad se cuestiona, sin que sea obstáculo para ello que la duda de constitucionalidad se exprese, especialmente, respecto del primer inciso del art. 43.1, habida cuenta que el segundo inciso presenta una indiscutible vinculación con el primero, que determina que deba seguir su suerte.</w:t>
      </w:r>
    </w:p>
    <w:p w:rsidR="00D06117" w:rsidRDefault="00D06117" w:rsidP="00D06117">
      <w:pPr>
        <w:pStyle w:val="TextoNormal"/>
      </w:pPr>
    </w:p>
    <w:p w:rsidR="00D06117" w:rsidRDefault="00D06117" w:rsidP="00D06117">
      <w:pPr>
        <w:pStyle w:val="TextoNormal"/>
      </w:pPr>
      <w:r>
        <w:t>En cuanto al juicio de relevancia, señala el Auto de planteamiento de la cuestión que el precepto controvertido, sustento de la pretensión ejercitada, presenta una vinculación clara con la resolución del procedimiento en curso, toda vez que de su suerte dependerá que el órgano judicial entre a resolver sobre la acción de división de la cosa común ejercitada acumuladamente o rechace su planteamiento, pues, si el art. 43.1 del Código de familia resultara inconstitucional, sería de aplicación al caso la regulación prevista en la Ley de enjuiciamiento civil (especialmente, arts. 770.1, en relación con 438.3 y concordantes), que prohíbe la acumulación de acciones en supuestos como el sometido a su decisión. De hecho, en la demanda rectora del proceso contencioso de divorcio que está en el origen de la presente cuestión, se invoca el art. 43.1 del Código de familia como base jurídica de la pretensión, lo que, además, es asumido por la contestación a la demanda.</w:t>
      </w:r>
    </w:p>
    <w:p w:rsidR="00D06117" w:rsidRDefault="00D06117" w:rsidP="00D06117">
      <w:pPr>
        <w:pStyle w:val="TextoNormal"/>
      </w:pPr>
    </w:p>
    <w:p w:rsidR="00D06117" w:rsidRDefault="00D06117" w:rsidP="00D06117">
      <w:pPr>
        <w:pStyle w:val="TextoNormal"/>
      </w:pPr>
      <w:r>
        <w:t>Por otra parte, hay que considerar que, con posterioridad a la interposición de la presente cuestión de inconstitucionalidad, se ha producido la derogación de la Ley 9/1998, de 15 de julio, del Código de familia, por la Ley 25/2010, de 29 de julio, del libro segundo del Código civil de Cataluña, relativo a la persona y la familia. Con independencia de que la nueva Ley regula la cuestión en términos semejantes al controvertido art. 43.1 del Código de familia, los efectos de la derogación sobre la presente cuestión de inconstitucionalidad vienen determinados, según nuestra doctrina, por dos datos: uno, que la norma cuestionada siga resultando aplicable en el proceso a quo; y, otro, que de su validez dependa la decisión a adoptar en el mismo. En efecto, en cuanto a las consecuencias de la pérdida de vigencia, modificación o sustitución de un determinado precepto legal, ulterior a su cuestionamiento judicial, es doctrina reiterada de este Tribunal que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(por todas, SSTC 174/1998, de 23 de julio, FJ 1; 273/2000, de 15 de noviembre, FJ 3; 109/2001, de 26 de abril, FJ 4; 37/2002, de 14 de febrero, FJ 3; y 81/2009, de 23 de marzo, FJ 2). Pues bien, en el presente caso, la derogación del art. 43.1 del Código de familia no implica la pérdida sobrevenida del objeto de la cuestión de inconstitucionalidad ahora considerada, pues dicho precepto resulta aún de aplicación en el procedimiento a quo, sin verse afectado por la nueva regulación, de acuerdo con lo previsto en la disposición transitoria tercera de la Ley 25/2010.</w:t>
      </w:r>
    </w:p>
    <w:p w:rsidR="00D06117" w:rsidRDefault="00D06117" w:rsidP="00D06117">
      <w:pPr>
        <w:pStyle w:val="TextoNormal"/>
      </w:pPr>
    </w:p>
    <w:p w:rsidR="00D06117" w:rsidRDefault="00D06117" w:rsidP="00D06117">
      <w:pPr>
        <w:pStyle w:val="TextoNormal"/>
      </w:pPr>
      <w:r>
        <w:t>De la misma forma, la norma estatutaria que, como integrante del bloque de la constitucionalidad, se tomará como referencia para el enjuiciamiento de la presente cuestión será el Estatuto de Autonomía de la Comunidad Autónoma de Cataluña aprobado por Ley Orgánica 4/1979, de 18 diciembre, bajo cuya vigencia se dictó la norma cuestionada y se inició el procedimiento origen de la cuestión de inconstitucionalidad, con anterioridad a la reforma del mencionado Estatuto operada por la Ley Orgánica 6/2006, de 19 julio, que, por lo demás, contiene en su art. 130 una previsión similar a la del art. 9.3 del Estatuto de 1979 en cuanto a la competencia de la Comunidad Autónoma para dictar normas procesales derivadas de las particularidades de su Derecho sustantivo.</w:t>
      </w:r>
    </w:p>
    <w:p w:rsidR="00D06117" w:rsidRDefault="00D06117" w:rsidP="00D06117">
      <w:pPr>
        <w:pStyle w:val="TextoNormal"/>
      </w:pPr>
    </w:p>
    <w:p w:rsidR="00D06117" w:rsidRDefault="00D06117" w:rsidP="00D06117">
      <w:pPr>
        <w:pStyle w:val="TextoNormal"/>
      </w:pPr>
      <w:r w:rsidRPr="00D06117">
        <w:rPr>
          <w:rStyle w:val="NumeroAFNegritaCaracter"/>
        </w:rPr>
        <w:t>3</w:t>
      </w:r>
      <w:r>
        <w:t>. Como ya se ha expuesto, el órgano judicial promotor de la cuestión duda de que el art. 43.1 del Código de familia tenga encaje en la cláusula de excepción del art. 149.1.6 CE, por lo que podría exceder de la competencia ex art. 9.3 del Estatuto de Autonomía de Cataluña de 1979, a la sazón vigente. Así pues, el parámetro de control constitucional del precepto discutido es el mencionado art. 149.1.6 CE, que reserva al Estado la competencia exclusiva sobre la legislación procesal, “sin perjuicio de las necesarias especialidades que en este orden se deriven de las particularidades del derecho sustantivo de las Comunidades Autónomas”.</w:t>
      </w:r>
    </w:p>
    <w:p w:rsidR="00D06117" w:rsidRDefault="00D06117" w:rsidP="00D06117">
      <w:pPr>
        <w:pStyle w:val="TextoNormal"/>
      </w:pPr>
    </w:p>
    <w:p w:rsidR="00D06117" w:rsidRDefault="00D06117" w:rsidP="00D06117">
      <w:pPr>
        <w:pStyle w:val="TextoNormal"/>
      </w:pPr>
      <w:r>
        <w:t xml:space="preserve">La doctrina constitucional en relación con el art. 149.1.6 CE ha quedado resumida y estructurada en la STC 47/2004, de 25 de marzo, en los siguientes términos: “en primer lugar, que la atribución al Estado de la competencia exclusiva sobre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w:t>
      </w:r>
      <w:r>
        <w:lastRenderedPageBreak/>
        <w:t>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[STC 47/2004, de 25 de marzo, FJ 4; doctrina reiterada en las SSTC 243/2004, de 16 de diciembre, FJ 6, y 135/2006, de 27 de abril, FJ 2 e)].</w:t>
      </w:r>
    </w:p>
    <w:p w:rsidR="00D06117" w:rsidRDefault="00D06117" w:rsidP="00D06117">
      <w:pPr>
        <w:pStyle w:val="TextoNormal"/>
      </w:pPr>
    </w:p>
    <w:p w:rsidR="00D06117" w:rsidRDefault="00D06117" w:rsidP="00D06117">
      <w:pPr>
        <w:pStyle w:val="TextoNormal"/>
      </w:pPr>
      <w:r>
        <w:t>Igualmente, la referida Sentencia 47/2004, en su fundamento jurídico 5, aporta las premisas en que ha de descansar el entendimiento de la salvedad competencial “necesarias especialidades”, señalando que la primera operación jurídica ha de ser la de determinar cuál es en este caso el Derecho sustantivo autonómico, “pues solamente a las particularidades que presente tal Derecho se les reconoce por el constituyente capacidad para justificar, en su caso, una normación autonómica específica en el orden procesal. El segundo estadio de nuestro análisis consistirá en señalar respecto de qué legislación procesal estatal, y por tanto general o común, se predican las eventuales especialidades de orden procesal incorporadas por el legislador… Finalmente, habremos de indagar si entre las peculiaridades del ordenamiento sustantivo … y las singularidades procesales incorporadas por el legislador … en la Ley impugnada, existe una conexión directa tal que justifique las especialidades procesales, es decir, que las legitime como ‘necesarias’ en los términos de la cláusula competencial del art. 149.1.6 CE, teniendo presente que la necesidad a que ésta se refiere no puede ser entendida como absoluta, pues tal intelección del precepto constitucional dejaría vacía de contenido y aplicación la habilitación competencial que éste reconoce en favor de las Comunidades Autónomas”.</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La duda de constitucionalidad promovida versa sobre una norma del Derecho catalán referida al régimen económico matrimonial de separación de bienes, que incorpora una regla para la división de los bienes que existan en pro indiviso, en los supuestos de separación, divorcio o nulidad y ejecución en el orden civil de las resoluciones y decisiones eclesiásticas a que se refiere el art. 42.2 del Código de familia. Como hemos señalado, el juicio de constitucionalidad de la norma controvertida exige, como prius, la concurrencia de una particularidad en el Derecho sustantivo, que es su requisito primero e imprescindible por cuanto solamente a las particularidades que presente el Derecho sustantivo se les reconoce por la </w:t>
      </w:r>
      <w:r>
        <w:lastRenderedPageBreak/>
        <w:t>Constitución capacidad para justificar, en su caso, una normación autonómica específica en el orden procesal.</w:t>
      </w:r>
    </w:p>
    <w:p w:rsidR="00D06117" w:rsidRDefault="00D06117" w:rsidP="00D06117">
      <w:pPr>
        <w:pStyle w:val="TextoNormal"/>
      </w:pPr>
    </w:p>
    <w:p w:rsidR="00D06117" w:rsidRDefault="00D06117" w:rsidP="00D06117">
      <w:pPr>
        <w:pStyle w:val="TextoNormal"/>
      </w:pPr>
      <w:r>
        <w:t>El órgano judicial proponente de la cuestión, tras comparar el régimen de separación de bienes del Derecho civil catalán y el regulado en los arts. 1435 y siguientes del Código civil, niega la existencia de esa particularidad o especialidad sustantiva que habilite la singularidad procesal del precepto discutido. Coincide con esta tesis el Abogado del Estado, para quien el régimen de separación de bienes no es una “peculiaridad absoluta” del Derecho catalán. Por el contrario, defienden la existencia de la especialidad sustantiva tanto el Abogado de la Generalitat como el Letrado del Parlamento de Cataluña, aduciendo que dicha particularidad deriva, de acuerdo con la doctrina establecida en la STC 47/2004, de la práctica social actual, al resultar muy frecuente la adquisición de la vivienda familiar en pro indiviso, a pesar del régimen de separación de bienes. Por su parte, el Fiscal General del Estado apela a la necesidad de evitar dilaciones y reducir gastos en los casos del régimen de separación de bienes.</w:t>
      </w:r>
    </w:p>
    <w:p w:rsidR="00D06117" w:rsidRDefault="00D06117" w:rsidP="00D06117">
      <w:pPr>
        <w:pStyle w:val="TextoNormal"/>
      </w:pPr>
    </w:p>
    <w:p w:rsidR="00D06117" w:rsidRDefault="00D06117" w:rsidP="00D06117">
      <w:pPr>
        <w:pStyle w:val="TextoNormal"/>
      </w:pPr>
      <w:r>
        <w:t>La perspectiva de análisis en la que se sitúan las partes, esto es, la del régimen de separación de bienes observado como institución aislada, llevaría a reducir el concepto “particularidad sustantiva”, en el sentido del art. 149.1.6 CE, a las instituciones recogidas únicamente en un Derecho foral o autonómico, y que, paralelamente, resulten desconocidas para el Derecho común y para cualquier otro Derecho foral o especial y, en consecuencia, sólo en tal supuesto se podría reconocer la capacidad para justificar, en su caso, una normación autonómica específica en el orden procesal. Sin embargo, tal concepción reductora de la cuestión no se ajusta a la doctrina constitucional reproducida.</w:t>
      </w:r>
    </w:p>
    <w:p w:rsidR="00D06117" w:rsidRDefault="00D06117" w:rsidP="00D06117">
      <w:pPr>
        <w:pStyle w:val="TextoNormal"/>
      </w:pPr>
    </w:p>
    <w:p w:rsidR="00D06117" w:rsidRDefault="00D06117" w:rsidP="00D06117">
      <w:pPr>
        <w:pStyle w:val="TextoNormal"/>
      </w:pPr>
      <w:r>
        <w:t>Resulta claro que el Derecho especial de Cataluña organiza el régimen económico del matrimonio de forma distinta al Derecho común. Ciertamente, como sucede en todos los ordenamientos jurídicos actuales, incluido el Código civil, en el Código de familia se reconoce la más amplia libertad de los cónyuges para elegir y regular el régimen jurídico por el que desean que se rijan las relaciones económicas de su matrimonio y su orden familiar. Así, ha de decirse que, en ambos ordenamientos, el primer régimen económico matrimonial es el paccionado. El art. 15 del Código de familia expresamente permite realizar en capitulaciones matrimoniales la determinación del régimen económico conyugal (art. 10.1), convenir heredamientos, realizar donaciones y establecer las estipulaciones y pactos lícitos que los cónyuges consideran convenientes, incluso en previsión de una ruptura matrimonial. El único límite que con carácter general se establece para la validez de estos pactos es su consonancia con la ley, o lo que es lo mismo, su licitud.</w:t>
      </w:r>
    </w:p>
    <w:p w:rsidR="00D06117" w:rsidRDefault="00D06117" w:rsidP="00D06117">
      <w:pPr>
        <w:pStyle w:val="TextoNormal"/>
      </w:pPr>
    </w:p>
    <w:p w:rsidR="00D06117" w:rsidRDefault="00D06117" w:rsidP="00D06117">
      <w:pPr>
        <w:pStyle w:val="TextoNormal"/>
      </w:pPr>
      <w:r>
        <w:t>Es una arraigada tradición catalana la del otorgamiento de los capítulos matrimoniales, no sólo por el hecho de que mediante este instrumento los cónyuges pueden elegir el régimen económico de su matrimonio, sino sobre todo porque pueden modificar el régimen legal de separación de bienes para adaptarlo a sus necesidades y previsiones. Ha sido, y continúa siendo generalizado el uso de los pactos o capítulos, además, para establecer la institución contractual del hereu, que sólo puede llevarse a cabo mediante capitulaciones, así como para constituir algunos concretos derechos viduales a favor del cónyuge supérstite, como es el caso del usufructo vidual capitular.</w:t>
      </w:r>
    </w:p>
    <w:p w:rsidR="00D06117" w:rsidRDefault="00D06117" w:rsidP="00D06117">
      <w:pPr>
        <w:pStyle w:val="TextoNormal"/>
      </w:pPr>
    </w:p>
    <w:p w:rsidR="00D06117" w:rsidRDefault="00D06117" w:rsidP="00D06117">
      <w:pPr>
        <w:pStyle w:val="TextoNormal"/>
      </w:pPr>
      <w:r>
        <w:lastRenderedPageBreak/>
        <w:t>Ahora bien, a diferencia de lo que sucede en el Derecho civil común en el que para el caso de falta de capitulaciones o ineficacia de las mismas el régimen económico que ha de aplicarse como supletorio de primer grado es el de la sociedad de gananciales (art. 1316 Código civil), en el Derecho civil catalán lo es el de separación de bienes, según establece el art. 10.2 del Código de familia. Y estas diferencias entre el Derecho común y el Derecho especial catalán no pueden minusvalorarse porque son estructurales.</w:t>
      </w:r>
    </w:p>
    <w:p w:rsidR="00D06117" w:rsidRDefault="00D06117" w:rsidP="00D06117">
      <w:pPr>
        <w:pStyle w:val="TextoNormal"/>
      </w:pPr>
    </w:p>
    <w:p w:rsidR="00D06117" w:rsidRDefault="00D06117" w:rsidP="00D06117">
      <w:pPr>
        <w:pStyle w:val="TextoNormal"/>
      </w:pPr>
      <w:r w:rsidRPr="00D06117">
        <w:rPr>
          <w:rStyle w:val="NumeroAFNegritaCaracter"/>
        </w:rPr>
        <w:t>5</w:t>
      </w:r>
      <w:r>
        <w:t>. Dicho lo anterior, procede examinar si, con causa en el Derecho sustantivo catalán relativo al régimen económico matrimonial, el art. 43.1 del Código de familia ha generado una “innovación procesal” constitucionalmente válida. En tal análisis ha de identificarse respecto de qué legislación procesal se predica la especialidad, lo que, en el caso concreto, dado que el citado art. 43.1 versa sobre la acumulación de acciones, nos conduce a la regulación del Derecho procesal estatal sobre esta cuestión, contenida en la Ley de enjuiciamiento civil.</w:t>
      </w:r>
    </w:p>
    <w:p w:rsidR="00D06117" w:rsidRDefault="00D06117" w:rsidP="00D06117">
      <w:pPr>
        <w:pStyle w:val="TextoNormal"/>
      </w:pPr>
    </w:p>
    <w:p w:rsidR="00D06117" w:rsidRDefault="00D06117" w:rsidP="00D06117">
      <w:pPr>
        <w:pStyle w:val="TextoNormal"/>
      </w:pPr>
      <w:r>
        <w:t>El art. 43.1 del Código de familia, como ya ha quedado recogido, permite la acumulación de acciones en un supuesto específico: la acción de división de cosa común respecto de los bienes en pro indiviso, en los procedimientos de separación, divorcio o nulidad y de ejecución en el orden civil de las resoluciones o decisiones eclesiásticas a que hace referencia el art. 42, de matrimonios sujetos al régimen de separación de bienes. Frente a ello, de la integración de los preceptos de la Ley de enjuiciamiento civil relativos al tema, resulta una solución distinta. Como el órgano proponente señala en el Auto de planteamiento, el art. 770.1 de la Ley de enjuiciamiento civil (LEC) deriva las demandas de separación y divorcio contenciosos al juicio verbal, en el que el art. 438.3 LEC no admite la acumulación objetiva de acciones, y, con carácter general, el art. 73.1.2 del mismo cuerpo legal sólo permite la acumulación de acciones cuando las acciones acumuladas no deban, por razón de su materia, ventilarse en juicios de diferente tipo (circunstancia que se produciría en el proceso a quo, y en todos aquellos en los que la cuantía fuera superior a 3.000 euros o no se pudiera calcular, en aplicación de los arts. 249.2 y 251.2 y 3.6 LEC). Por su parte, el procedimiento para la liquidación del régimen económico matrimonial en la que existe una masa común de bienes y derechos sujeta a determinadas cargas y obligaciones, establecido en los arts. 806 y ss. LEC, condiciona la solicitud de la liquidación a la previa firmeza de la resolución judicial que declare disuelto el régimen económico matrimonial (arts. 810 y 811 LEC).</w:t>
      </w:r>
    </w:p>
    <w:p w:rsidR="00D06117" w:rsidRDefault="00D06117" w:rsidP="00D06117">
      <w:pPr>
        <w:pStyle w:val="TextoNormal"/>
      </w:pPr>
    </w:p>
    <w:p w:rsidR="00D06117" w:rsidRDefault="00D06117" w:rsidP="00D06117">
      <w:pPr>
        <w:pStyle w:val="TextoNormal"/>
      </w:pPr>
      <w:r>
        <w:t>Por consiguiente, comparadas ambas regulaciones y visto que la solución del precepto catalán es distinta a la contenida en la Ley de enjuiciamiento civil, no podemos sino concluir que la especialidad de la norma catalana —cuya existencia misma es pacífica para los intervinientes en este proceso— constituye una innovación procesal, sin que el mayor o menor grado de la misma pueda alterar esa conclusión.</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Determinada la existencia de tal innovación procesal, para dilucidar si resulta constitucionalmente válida ha de valorarse la concurrencia o no en la presente cuestión de una relación de necesidad entre la particularidad sustantiva y la especialidad procesal controvertida, esto es, si “existe una conexión directa tal que justifique las especialidades procesales, es decir, que las legitime como ‘necesarias’ en los términos de la cláusula competencial del art. 149.1.6 CE” (STC 47/2004, de 25 de marzo, FJ 5), pues este precepto constitucional no </w:t>
      </w:r>
      <w:r>
        <w:lastRenderedPageBreak/>
        <w:t>permite, sin más, a las Comunidades Autónomas introducir en su ordenamiento normas procesales, por el mero hecho de haber promulgado regulaciones de Derecho sustantivo, en ejercicio de sus competencias (STC 127/1999, de 1 de julio, FJ 5).</w:t>
      </w:r>
    </w:p>
    <w:p w:rsidR="00D06117" w:rsidRDefault="00D06117" w:rsidP="00D06117">
      <w:pPr>
        <w:pStyle w:val="TextoNormal"/>
      </w:pPr>
    </w:p>
    <w:p w:rsidR="00D06117" w:rsidRDefault="00D06117" w:rsidP="00D06117">
      <w:pPr>
        <w:pStyle w:val="TextoNormal"/>
      </w:pPr>
      <w:r>
        <w:t>El concreto margen con que este Tribunal ha venido interpretando el concepto de “necesidad” de la especialidad procesal de origen autonómico resulta de “la necesidad de salvaguardar la uniformidad de los instrumentos jurisdiccionales”, fin al que se ordena la atribución al Estado de la competencia exclusiva sobre legislación procesal [SSTC 71/1982, de 30 de noviembre, FJ 20; 83/1986, de 26 de junio, FJ 2; 173/1998, de 23 de julio, FJ 16 c), y 47/2004, de 25 de marzo, FJ 4]. De ahí los términos con que la doctrina constitucional se ha pronunciado sobre la cuestión, al señalar que las Comunidades Autónomas “tan sólo pueden introducir aquellas innovaciones procesales que inevitablemente se deduzcan, desde la perspectiva de la defensa judicial, de las reclamaciones jurídicas sustantivas configuradas por la norma autonómica”, es decir, que “las singularidades procesales que se permiten a las Comunidades Autónomas han de limitarse a aquéllas que, por la conexión directa con las particularidades del Derecho sustantivo autonómico, vengan requeridas por éstas” [SSTC 47/2004, de 25 de marzo, FJ 4; 243/2004, de 16 de diciembre, FJ 6; y 135/2006, de 27 de abril, FJ 2 e)]. Ahora bien, ninguna interpretación puede vaciar de contenido y aplicación la habilitación competencial en favor de las Comunidades Autónomas operada por el art. 149.1.6 CE, lo que proscribe la exigencia de una necesidad absoluta (STC 47/2004, de 25 de marzo, FJ 5).</w:t>
      </w:r>
    </w:p>
    <w:p w:rsidR="00D06117" w:rsidRDefault="00D06117" w:rsidP="00D06117">
      <w:pPr>
        <w:pStyle w:val="TextoNormal"/>
      </w:pPr>
    </w:p>
    <w:p w:rsidR="00D06117" w:rsidRDefault="00D06117" w:rsidP="00D06117">
      <w:pPr>
        <w:pStyle w:val="TextoNormal"/>
      </w:pPr>
      <w:r w:rsidRPr="00D06117">
        <w:rPr>
          <w:rStyle w:val="NumeroAFNegritaCaracter"/>
        </w:rPr>
        <w:t>7</w:t>
      </w:r>
      <w:r>
        <w:t>. Como ya hemos dicho, corresponde al legislador autonómico o, en su defecto, a quienes asuman la defensa de la ley en su caso impugnada, ofrecer la suficiente justificación sobre la necesidad de alterar las reglas procesales estatales por requerirlo así las particularidades del Derecho sustantivo autonómico, salvo que del propio examen de la ley se puedan desprender o inferir esas necesarias especialidades (STC 243/2004, de 16 de diciembre, FJ 6).</w:t>
      </w:r>
    </w:p>
    <w:p w:rsidR="00D06117" w:rsidRDefault="00D06117" w:rsidP="00D06117">
      <w:pPr>
        <w:pStyle w:val="TextoNormal"/>
      </w:pPr>
    </w:p>
    <w:p w:rsidR="00D06117" w:rsidRDefault="00D06117" w:rsidP="00D06117">
      <w:pPr>
        <w:pStyle w:val="TextoNormal"/>
      </w:pPr>
      <w:r>
        <w:t xml:space="preserve">Pues bien, la exposición de motivos de la Ley 9/1998 se refiere al contenido del art 43.1 del Código de familia como una “innovación interesante”, limitándose a señalar que se justifica “por razones de economía procesal”. En cuanto a los intervinientes en este proceso constitucional, la Generalitat de Cataluña califica el precepto cuestionado como “suficiente y adecuado” en casos como el de autos, en los que propiamente no se procede a la liquidación de un régimen económico matrimonial sino sólo a dividir alguna cosa en común, particularmente la vivienda, sin que se discutan otras cuestiones. Con este marco, dice el Abogado de la Generalitat, la norma “nació para responder a una situación especial, muy frecuente en Cataluña, que es consecuencia de la coexistencia del régimen de separación de bienes propio de Cataluña y de la realidad social, consistente en la existencia de algún bien en común, dentro de dicho régimen matrimonial” y recuerda que la STC 47/2004 ya tomó en consideración la realidad social al objeto de valorar la necesidad. A ello se añade que la normativa procesal autonómica se orienta a hacer substancialmente más operativas las normas sustantivas autonómicas. Al fin, la Generalitat reclama la constitucionalidad de la norma porque compensa el agravio comparativo respecto del trato dispensado por la legislación procesal común a la liquidación del régimen de gananciales, mejor atendido en su opinión. Según sostiene, mientras el Derecho procesal común da una respuesta confusa a la liquidación del régimen de separación de bienes pues se concibe “en un contexto de separación absoluta” de patrimonios, la norma cuestionada es “clarificadora y favorecedora de </w:t>
      </w:r>
      <w:r>
        <w:lastRenderedPageBreak/>
        <w:t>la seguridad jurídica”, de la economía procesal y de la celeridad para cerrar la crisis matrimonial. En Cataluña, continúa, la liquidación del régimen de separación de bienes no es excepcional y requiere medidas “que, en cambio no son imprescindibles (aunque también podrían ser útiles)” en otros ordenamientos en los que el régimen de separación de bienes, ni es el régimen general, ni se concibe como una separación patrimonial más estricta. En suma, “se puede considerar un agravio comparativo y una carga innecesaria obligar a los cónyuges catalanes casados en separación de bienes a entablar, aparte del proceso de familia, un ulterior proceso declarativo”.</w:t>
      </w:r>
    </w:p>
    <w:p w:rsidR="00D06117" w:rsidRDefault="00D06117" w:rsidP="00D06117">
      <w:pPr>
        <w:pStyle w:val="TextoNormal"/>
      </w:pPr>
    </w:p>
    <w:p w:rsidR="00D06117" w:rsidRDefault="00D06117" w:rsidP="00D06117">
      <w:pPr>
        <w:pStyle w:val="TextoNormal"/>
      </w:pPr>
      <w:r>
        <w:t>En el mismo sentido se orientan los argumentos esgrimidos por el Letrado del Parlamento de Cataluña, según el cual, el art. 43.1 del Código de familia se vincula, no sólo al lugar legal que ocupa el régimen de separación de bienes en el Derecho catalán o a la economía procesal, sino, y principalmente, al hecho de que, en la actualidad, los matrimonios sujetos al régimen de separación de bienes, que rige la mayoría de los matrimonios sujetos al Derecho catalán, constituyen de facto un patrimonio común ligado al matrimonio, al que debe facilitarse, por tanto, que siga su suerte; igualmente señala la falta de una respuesta adecuada en el Derecho procesal estatal para la liquidación del régimen de separación tal y como está previsto en el Derecho de familia de Cataluña, en atención a cómo se plantea el problema en la realidad social.</w:t>
      </w:r>
    </w:p>
    <w:p w:rsidR="00D06117" w:rsidRDefault="00D06117" w:rsidP="00D06117">
      <w:pPr>
        <w:pStyle w:val="TextoNormal"/>
      </w:pPr>
    </w:p>
    <w:p w:rsidR="00D06117" w:rsidRDefault="00D06117" w:rsidP="00D06117">
      <w:pPr>
        <w:pStyle w:val="TextoNormal"/>
      </w:pPr>
      <w:r>
        <w:t>Finalmente, el Fiscal General del Estado defiende la necesidad de la norma porque el juicio sobre la necesidad no ha de ser “un juicio tan rígido que imponga una conexión ineludible entre norma sustantiva y norma procesal”. En este sentido, el precepto procesal cuestionado, dice, “es lógico” cuando el régimen económico matrimonial general es el de separación de bienes, donde el grueso de los bienes no son compartidos, de forma que, para las excepcionales propiedades compartidas, la división en el mismo proceso evita dilaciones y disminuye gastos.</w:t>
      </w:r>
    </w:p>
    <w:p w:rsidR="00D06117" w:rsidRDefault="00D06117" w:rsidP="00D06117">
      <w:pPr>
        <w:pStyle w:val="TextoNormal"/>
      </w:pPr>
    </w:p>
    <w:p w:rsidR="00D06117" w:rsidRDefault="00D06117" w:rsidP="00D06117">
      <w:pPr>
        <w:pStyle w:val="TextoNormal"/>
      </w:pPr>
      <w:r w:rsidRPr="00D06117">
        <w:rPr>
          <w:rStyle w:val="NumeroAFNegritaCaracter"/>
        </w:rPr>
        <w:t>8</w:t>
      </w:r>
      <w:r>
        <w:t>. Por tanto, la justificación competencial de la innovación procesal cuestionada se concreta en que, según sus defensores, constituye una respuesta jurídica idónea (permitir la acumulación de la acción de división de la cosa común con la de disolución del matrimonio), más adecuada que la prevista en el Derecho procesal estatal, para un supuesto determinado (régimen de separación de bienes), que es el habitual en Cataluña. En lo atinente al reparto constitucional de competencias, lo esencial de este razonamiento es que, dado que este supuesto es el más frecuente, una respuesta jurídica idónea es más necesaria en Cataluña que en aquellos territorios sometidos al Derecho común, de suerte que no sólo sería útil sino imprescindible.</w:t>
      </w:r>
    </w:p>
    <w:p w:rsidR="00D06117" w:rsidRDefault="00D06117" w:rsidP="00D06117">
      <w:pPr>
        <w:pStyle w:val="TextoNormal"/>
      </w:pPr>
    </w:p>
    <w:p w:rsidR="00D06117" w:rsidRDefault="00D06117" w:rsidP="00D06117">
      <w:pPr>
        <w:pStyle w:val="TextoNormal"/>
      </w:pPr>
      <w:r>
        <w:t xml:space="preserve">Ante todo, ha de recordarse que, si bien es dable tomar en consideración la realidad social al objeto de valorar la necesidad de la innovación procesal introducida por el Derecho autonómico, la doctrina de este Tribunal, como ya hemos indicado anteriormente, es constante en cuanto a que la distribución de competencias entre el Estado y las Comunidades Autónomas en materia procesal sólo permite aquellas normas autonómicas que “inevitablemente se deduzcan, desde la perspectiva de la defensa judicial, de las reclamaciones jurídicas sustantivas configuradas por la norma autonómica” y “han de limitarse a aquéllas que, por la conexión directa con las particularidades del Derecho sustantivo autonómico, vengan requeridas por éstas” [SSTC 47/2004, de 25 de marzo, FJ 4, y 135/2006, de 27 de abril, FJ 2 e)]. Por tanto, no cabe interpretar que el art. 149.1.6 CE permite innovar el ordenamiento </w:t>
      </w:r>
      <w:r>
        <w:lastRenderedPageBreak/>
        <w:t>procesal a las Comunidades autónomas en relación con la defensa jurídica de aquellos derechos e intereses jurídicos que materialmente regulen, lo que equivaldría a vaciar de contenido o privar de todo significado a la especificidad con que la cláusula de excepción en favor de la competencia de las Comunidades Autónomas se contempla en el art. 149.1.6 CE (STC 83/1986, de 26 de junio, FJ 2). Es, así, incontestable que, aunque más allá de la norma sustantiva se tenga en cuenta la realidad social, debe existir una conexión ineludible entre aquella y la norma procesal cuestionada.</w:t>
      </w:r>
    </w:p>
    <w:p w:rsidR="00D06117" w:rsidRDefault="00D06117" w:rsidP="00D06117">
      <w:pPr>
        <w:pStyle w:val="TextoNormal"/>
      </w:pPr>
    </w:p>
    <w:p w:rsidR="00D06117" w:rsidRDefault="00D06117" w:rsidP="00D06117">
      <w:pPr>
        <w:pStyle w:val="TextoNormal"/>
      </w:pPr>
      <w:r>
        <w:t>Se afirma también que la necesidad de la norma procesal específica para el Derecho catalán proviene del hecho notorio de que el régimen económico legal supletorio en primer grado en esta Comunidad Autónoma es el de separación de bienes y que a él está sometida la mayor parte de las parejas. De esta premisa —que sin lugar a dudas es cierta— pretende hacerse derivar la consecuencia de que Cataluña requiere una norma procesal especial de división de los bienes conyugales comunes cuando los cónyuges sometidos al régimen de separación solicitan judicialmente la disolución de su matrimonio. Ahora bien, parece claro, y el propio argumento utilizado lo evidencia, que el problema que resuelve el art. 43.1 del Código de familia no es exclusivo de Cataluña, ni jurídica ni socialmente. En efecto, si bien puede entenderse que el lugar prioritario o preferente que ocupa la separación de bienes dentro de los posibles regímenes económico-matrimoniales admitidos por el ordenamiento jurídico catalán constituye una particularidad sustantiva, no lo es menos que esos mismos regímenes son los establecidos en el resto de ordenamientos civiles existentes en nuestro Estado plurilegislativo. En consecuencia, no se puede por menos que afirmar que la necesidad de una singular norma procesal que resuelva la división de las cosas comunes en el supuesto de liquidación del régimen de separación de bienes por razón de separación o divorcio se produce con la misma intensidad en el Derecho civil catalán, en los demás derechos civiles especiales o forales y en el Derecho civil común. En suma, la realidad social que viene a atender la norma cuestionada no es distinta de la existente en otros territorios con Derecho civil propio en el que se admite como régimen económico conyugal el de separación de bienes, como tampoco puede afirmarse que la situación de sus destinatarios sería distinta a la de los otros cónyuges sujetos al régimen de separación de bienes en virtud de la aplicación de las normas del Derecho civil común. Y en todos estos casos el Derecho sustantivo se somete a la legislación procesal estatal.</w:t>
      </w:r>
    </w:p>
    <w:p w:rsidR="00D06117" w:rsidRDefault="00D06117" w:rsidP="00D06117">
      <w:pPr>
        <w:pStyle w:val="TextoNormal"/>
      </w:pPr>
    </w:p>
    <w:p w:rsidR="00D06117" w:rsidRDefault="00D06117" w:rsidP="00D06117">
      <w:pPr>
        <w:pStyle w:val="TextoNormal"/>
      </w:pPr>
      <w:r>
        <w:t>Llevado el argumento al límite, si nos atenemos a la realidad social, lo cierto es que el problema que viene a resolver la norma cuestionada no es necesariamente exclusivo de la liquidación del régimen de separación de bienes. Se ha dicho que el artículo 43.1 del Código de familia se orienta a facilitar, al momento de la disolución del vínculo matrimonial, la división de un limitado caudal común, particularmente la vivienda, sin que se discutan otras cuestiones. Pues bien, en la actualidad la realidad descrita, propia de los cónyuges sometidos al régimen de separación de bienes, no es ajena a aquellos otros que lo estén al régimen de participación en las ganancias o al de sociedad de gananciales, ya sean en aplicación de los distintos Derechos civiles especiales, ya del Derecho civil común.</w:t>
      </w:r>
    </w:p>
    <w:p w:rsidR="00D06117" w:rsidRDefault="00D06117" w:rsidP="00D06117">
      <w:pPr>
        <w:pStyle w:val="TextoNormal"/>
      </w:pPr>
    </w:p>
    <w:p w:rsidR="00D06117" w:rsidRDefault="00D06117" w:rsidP="00D06117">
      <w:pPr>
        <w:pStyle w:val="TextoNormal"/>
      </w:pPr>
      <w:r>
        <w:t xml:space="preserve">En estas condiciones no puede sostenerse que una innovación procesal como la cuestionada pueda establecerse por el Derecho autonómico sin apartarse de la consolidada doctrina de este Tribunal. Por lo demás no procede que este Tribunal se pronuncie sobre la pretendida idoneidad de la norma controvertida, cuestión de política legislativa, ajena a su función, y que, en todo caso, sólo puede ser apreciada por el Estado que, con la excepción examinada, </w:t>
      </w:r>
      <w:r>
        <w:lastRenderedPageBreak/>
        <w:t>es el titular de la competencia exclusiva sobre la legislación procesal [SSTC 71/1982, de 30 de noviembre, FJ 20; 83/1986, de 26 de junio, FJ 2; 173/1998, de 23 de julio, FJ 16 c), y STC 47/2004, de 25 de marzo, FJ 4].</w:t>
      </w:r>
    </w:p>
    <w:p w:rsidR="00D06117" w:rsidRDefault="00D06117" w:rsidP="00D06117">
      <w:pPr>
        <w:pStyle w:val="TextoNormal"/>
      </w:pPr>
    </w:p>
    <w:p w:rsidR="00D06117" w:rsidRDefault="00D06117" w:rsidP="00D06117">
      <w:pPr>
        <w:pStyle w:val="TextoNormal"/>
      </w:pPr>
      <w:r w:rsidRPr="00D06117">
        <w:rPr>
          <w:rStyle w:val="NumeroAFNegritaCaracter"/>
        </w:rPr>
        <w:t>9</w:t>
      </w:r>
      <w:r>
        <w:t>. En suma, la justificación de la norma cuestionada queda constreñida a los argumentos relativos a su eficacia. Ahora bien, la doctrina constitucional ha establecido que no tienen cabida en la habilitación competencial operada por el art. 149.1.6 CE las normas procesales cuya razón de ser es introducir lo que el legislador autonómico plantea como una mejora de la legislación procesal general para la Comunidad Autónoma. Precisamente por esta razón hemos rechazado como argumentos en favor de la constitucionalidad de normas procesales de origen autonómico el que, según sus valedores, presentaran “una indudable ventaja, frente a otros criterios” (STC 47/2004, de 25 de marzo, FJ 15), o respondieran a “un puro y simple prurito de perfección técnico-jurídica, muy alejado de lo que debe constituir, en los términos competenciales que acota el art. 149.1.6 CE, una necesaria especialidad procesal que legitime constitucionalmente la intervención del legislador autonómico en este ámbito del ordenamiento procesal” (STC 47/2004, de 25 de marzo, FJ 9). Como ya ha dicho este Tribunal, que una especialidad procesal pueda “considerarse más o menos adecuada desde la perspectiva de la política legislativa en función de la realidad” (STC 83/1986, de 26 de junio, FJ 2) no es una razón que legitime constitucionalmente una innovación procesal de origen autonómico. La traslación de la precitada doctrina a la presente cuestión de inconstitucionalidad conduce inexorablemente a estimar que la norma procesal cuestionada no se adecua al orden constitucional de distribución de competencias, por lo que procede su declaración de inconstitucionalidad.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cuestión de inconstitucionalidad y, en su virtud, declarar inconstitucional y nulo el art. 43.1 de la Ley del Parlamento de Cataluña 9/1998, de 15 de julio, del Código de familia.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febrero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la Cuestión de Inconstitucionalidad núm. 5394-2006.</w:t>
      </w:r>
    </w:p>
    <w:p w:rsidR="00D06117" w:rsidRDefault="00D06117" w:rsidP="00D06117">
      <w:pPr>
        <w:pStyle w:val="TextoNormalNegritaCentrado"/>
        <w:keepNext/>
      </w:pPr>
    </w:p>
    <w:p w:rsidR="00D06117" w:rsidRDefault="00D06117" w:rsidP="00D06117">
      <w:pPr>
        <w:pStyle w:val="TextoNormal"/>
      </w:pPr>
      <w:r>
        <w:t>1. Con el respeto que me merece la opinión de la mayoría y en mérito de lo establecido en el art. 90.2 LOTC, de acuerdo con la opinión que he defendido en el debate, formulo el siguiente Voto particular relativo a la cuestión de inconstitucionalidad número 5394/2006.</w:t>
      </w:r>
    </w:p>
    <w:p w:rsidR="00D06117" w:rsidRDefault="00D06117" w:rsidP="00D06117">
      <w:pPr>
        <w:pStyle w:val="TextoNormal"/>
      </w:pPr>
    </w:p>
    <w:p w:rsidR="00D06117" w:rsidRDefault="00D06117" w:rsidP="00D06117">
      <w:pPr>
        <w:pStyle w:val="TextoNormal"/>
      </w:pPr>
      <w:r>
        <w:lastRenderedPageBreak/>
        <w:t>La respuesta que da la Sentencia de la que discrepo declara la inconstitucionalidad del artículo 43.1 del Código de familia de Cataluña. Este artículo permite la acumulación de acciones en los procedimientos de separación, divorcio o nulidad y de ejecución en el orden civil de las resoluciones o decisiones eclesiásticas a que hace referencia el art. 42 del Código de familia, de matrimonios sujetos al régimen de separación de bienes, por considerar que supone una vulneración del art. 149.1 CE, que reserva al Estado la competencia exclusiva sobre “legislación procesal”.</w:t>
      </w:r>
    </w:p>
    <w:p w:rsidR="00D06117" w:rsidRDefault="00D06117" w:rsidP="00D06117">
      <w:pPr>
        <w:pStyle w:val="TextoNormal"/>
      </w:pPr>
    </w:p>
    <w:p w:rsidR="00D06117" w:rsidRDefault="00D06117" w:rsidP="00D06117">
      <w:pPr>
        <w:pStyle w:val="TextoNormal"/>
      </w:pPr>
      <w:r>
        <w:t>La cuestión estriba en que este precepto constitucional introduce una excepción a la señalada competencia exclusiva del Estado. Pues bien, debo afirmar que si de determinadas particularidades del derecho sustantivo de las Comunidades Autónomas se derivan especialidades procesales, éstas podrán ser reguladas por los Parlamentos autonómicos. De este modo, el art. 149.1.6 CE establece que corresponde al Estado la competencia exclusiva sobre “legislación procesal, sin perjuicio de las necesarias especialidades que en este orden se deriven de las particularidades del derecho sustantivo de las Comunidades Autónomas”.</w:t>
      </w:r>
    </w:p>
    <w:p w:rsidR="00D06117" w:rsidRDefault="00D06117" w:rsidP="00D06117">
      <w:pPr>
        <w:pStyle w:val="TextoNormal"/>
      </w:pPr>
    </w:p>
    <w:p w:rsidR="00D06117" w:rsidRDefault="00D06117" w:rsidP="00D06117">
      <w:pPr>
        <w:pStyle w:val="TextoNormal"/>
      </w:pPr>
      <w:r>
        <w:t>2. Mi discrepancia respecto de la Sentencia se refiere, en consecuencia, a la interpretación que realiza de nuestra doctrina sobre la necesaria vinculación entre el derecho sustantivo de las Comunidades Autónomas y las particularidades en la legislación procesal que pueden derivarse de éste. Así, tras analizar la doctrina de este Tribunal sobre el concepto de “necesidad”, el fundamento jurídico 7 de la Sentencia afirma que, según ésta, corresponde al legislador autonómico justificar tal relación de necesidad, para, a continuación, concluir que en el presente caso los argumentos ofrecidos no son suficientes, pues se limitan a destacar la eficacia de la norma en Cataluña.</w:t>
      </w:r>
    </w:p>
    <w:p w:rsidR="00D06117" w:rsidRDefault="00D06117" w:rsidP="00D06117">
      <w:pPr>
        <w:pStyle w:val="TextoNormal"/>
      </w:pPr>
    </w:p>
    <w:p w:rsidR="00D06117" w:rsidRDefault="00D06117" w:rsidP="00D06117">
      <w:pPr>
        <w:pStyle w:val="TextoNormal"/>
      </w:pPr>
      <w:r>
        <w:t>Sin embargo, tanto el Parlamento de Cataluña como la Generalitat han señalado que el régimen económico de separación de bienes es una singularidad del derecho sustantivo autonómico, lo que ciertamente en modo alguno puede ignorar o desconocer este Tribunal y que, por otra parte, la Sentencia reconoce expresamente (FJ 4) y así han razonado la conexión de dicho régimen con la regla procesal que permite la acumulación de acciones; regla que se justifica por motivos de economía procesal, agilidad y eficiencia en la respuesta judicial, y, podría añadirse, por razones vinculadas a la economía doméstica de las partes. No cabe duda, pues, que la regla procesal recogida en el art. 43.1 del Código de familia no sólo se corresponde con una institución singular del Derecho catalán —de la que es lógica su derivación procesal prevista en el art. 149.1.6 CE— sino que también responde adecuadamente a la realidad social.</w:t>
      </w:r>
    </w:p>
    <w:p w:rsidR="00D06117" w:rsidRDefault="00D06117" w:rsidP="00D06117">
      <w:pPr>
        <w:pStyle w:val="TextoNormal"/>
      </w:pPr>
    </w:p>
    <w:p w:rsidR="00D06117" w:rsidRDefault="00D06117" w:rsidP="00D06117">
      <w:pPr>
        <w:pStyle w:val="TextoNormal"/>
      </w:pPr>
      <w:r>
        <w:t>Estos argumentos han sido acertadamente aportados por el Fiscal General del Estado quien introduce una reflexión que la Sentencia no ha tomado en debida consideración. Consiste ésta en afirmar que nos hallamos ante una regla procesal dispositiva, esto es, que permite y no impone, la acumulación. Tal es el motivo —añade— de que la exposición de motivos de la Ley no se detenga más que someramente en justificar la introducción de esta modesta innovación procesal, razón por la cual el Fiscal General del Estado solicita la desestimación de la cuestión.</w:t>
      </w:r>
    </w:p>
    <w:p w:rsidR="00D06117" w:rsidRDefault="00D06117" w:rsidP="00D06117">
      <w:pPr>
        <w:pStyle w:val="TextoNormal"/>
      </w:pPr>
    </w:p>
    <w:p w:rsidR="00D06117" w:rsidRDefault="00D06117" w:rsidP="00D06117">
      <w:pPr>
        <w:pStyle w:val="TextoNormal"/>
      </w:pPr>
      <w:r>
        <w:t xml:space="preserve">3. Debo indicar finalmente que la STC 47/2004, de 25 de marzo, relativa a las competencias de las Comunidades Autónomas en materia de derecho procesal y en la que se apoya </w:t>
      </w:r>
      <w:r>
        <w:lastRenderedPageBreak/>
        <w:t>la Sentencia de la que discrepo, señala explícitamente que “la necesidad a que ésta (la cláusula competencial del art. 149.1.6 CE) se refiere no puede ser entendida como absoluta, pues tal intelección del precepto constitucional dejaría vacía de contenido y aplicación la habilitación competencial que éste reconoce en favor de las Comunidades Autónomas” (FJ 5 in fine).</w:t>
      </w:r>
    </w:p>
    <w:p w:rsidR="00D06117" w:rsidRDefault="00D06117" w:rsidP="00D06117">
      <w:pPr>
        <w:pStyle w:val="TextoNormal"/>
      </w:pPr>
    </w:p>
    <w:p w:rsidR="00D06117" w:rsidRDefault="00D06117" w:rsidP="00D06117">
      <w:pPr>
        <w:pStyle w:val="TextoNormal"/>
      </w:pPr>
      <w:r>
        <w:t>En conclusión, una disposición que ha vivido pacíficamente en nuestro ordenamiento jurídico durante años, se ve expulsada precisamente en un momento en que la política de racionalización, economía procesal y ordenación del gasto público es predicada por los responsables de los poderes públicos. Así, una norma alabada por la propia Sentencia de la que discrepo, derivada de la especialidad sustantiva del derecho que la sustenta, no puede formar parte de nuestro ordenamiento jurídico.</w:t>
      </w:r>
    </w:p>
    <w:p w:rsidR="00D06117" w:rsidRDefault="00D06117" w:rsidP="00D06117">
      <w:pPr>
        <w:pStyle w:val="TextoNormal"/>
      </w:pPr>
    </w:p>
    <w:p w:rsidR="00D06117" w:rsidRDefault="00D06117" w:rsidP="00D06117">
      <w:pPr>
        <w:pStyle w:val="TextoNormal"/>
      </w:pPr>
      <w:r>
        <w:t>Naturalmente, en modo alguno, puedo compartir el criterio mayoritario que, por otra parte, merece todo mi respeto y de ahí mi Voto discrepante.</w:t>
      </w:r>
    </w:p>
    <w:p w:rsidR="00D06117" w:rsidRDefault="00D06117" w:rsidP="00D06117">
      <w:pPr>
        <w:pStyle w:val="TextoNormal"/>
      </w:pPr>
    </w:p>
    <w:p w:rsidR="00D06117" w:rsidRDefault="00D06117" w:rsidP="00D06117">
      <w:pPr>
        <w:pStyle w:val="TextoNormal"/>
      </w:pPr>
      <w:r>
        <w:t>Madrid, dieciséis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5" w:name="SENTENCIA_2012_22"/>
      <w:r>
        <w:lastRenderedPageBreak/>
        <w:t>SENTENCIA 22/2012, de 16 de febrero de 2012</w:t>
      </w:r>
    </w:p>
    <w:bookmarkEnd w:id="2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61, de 12 de marzo de 2012)</w:t>
      </w:r>
    </w:p>
    <w:p w:rsidR="00D06117" w:rsidRDefault="00D06117" w:rsidP="00D06117">
      <w:pPr>
        <w:pStyle w:val="TtuloBOE"/>
      </w:pPr>
    </w:p>
    <w:p w:rsidR="00D06117" w:rsidRDefault="00D06117" w:rsidP="00D06117">
      <w:pPr>
        <w:pStyle w:val="SntesisDescriptiva"/>
      </w:pPr>
      <w:r>
        <w:t>ECLI:ES:TC:2012:22</w:t>
      </w:r>
    </w:p>
    <w:p w:rsidR="00D06117" w:rsidRDefault="00D06117" w:rsidP="00D06117">
      <w:pPr>
        <w:pStyle w:val="SntesisDescriptiva"/>
      </w:pPr>
    </w:p>
    <w:p w:rsidR="00D06117" w:rsidRDefault="00D06117" w:rsidP="00D06117">
      <w:pPr>
        <w:pStyle w:val="SntesisDescriptiva"/>
      </w:pPr>
      <w:r>
        <w:t>Conflicto positivo de competencia 1301-2007. Interpuesto por el Consejo de Gobierno de la Comunidad Autónoma de Madrid en relación con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w:t>
      </w:r>
    </w:p>
    <w:p w:rsidR="00D06117" w:rsidRDefault="00D06117" w:rsidP="00D06117">
      <w:pPr>
        <w:pStyle w:val="SntesisDescriptiva"/>
      </w:pPr>
    </w:p>
    <w:p w:rsidR="00D06117" w:rsidRDefault="00D06117" w:rsidP="00D06117">
      <w:pPr>
        <w:pStyle w:val="SntesisAnaltica"/>
      </w:pPr>
      <w:r>
        <w:t>Competencias en materia de sanidad: validez de los preceptos reglamentarios estatales que excluyen el carácter lucrativo para los establecimientos de tejidos, someten a plazos las autorizaciones administrativas, introducen un régimen de inspección periódica de esos establecimientos y regulan la recogida, custodia e intercambio de información.</w:t>
      </w:r>
    </w:p>
    <w:p w:rsidR="00D06117" w:rsidRDefault="00D06117" w:rsidP="00D06117">
      <w:pPr>
        <w:pStyle w:val="SntesisAnaltica"/>
      </w:pPr>
    </w:p>
    <w:p w:rsidR="00D06117" w:rsidRDefault="00D06117" w:rsidP="00D06117">
      <w:pPr>
        <w:pStyle w:val="Extracto"/>
      </w:pPr>
      <w:r>
        <w:t>1.</w:t>
      </w:r>
      <w:r>
        <w:tab/>
        <w:t>Doctrina constitucional sobre el sistema de distribución de competencias en materia de sanidad, a tenor de la cual corresponde al Estado establecer en materia de sanidad interior las bases, la coordinación general y la alta inspección (STC 32/1983) [FJ 3].</w:t>
      </w:r>
    </w:p>
    <w:p w:rsidR="00D06117" w:rsidRDefault="00D06117" w:rsidP="00D06117">
      <w:pPr>
        <w:pStyle w:val="Extracto"/>
      </w:pPr>
    </w:p>
    <w:p w:rsidR="00D06117" w:rsidRDefault="00D06117" w:rsidP="00D06117">
      <w:pPr>
        <w:pStyle w:val="Extracto"/>
      </w:pPr>
      <w:r>
        <w:t>2.</w:t>
      </w:r>
      <w:r>
        <w:tab/>
        <w:t>No incurre en infracción del orden constitucional de distribución de competencias la fijación, por la norma estatal, de una periodicidad en las inspecciones, al ser una norma que trata de establecer un criterio común de control de la eficacia en todo el Estado con la finalidad de garantizar que los establecimientos de tejidos autorizados cumplen con los requisitos del RD 1301/2006 y aplican las medidas de control de calidad exigidas en él [FJ 5].</w:t>
      </w:r>
    </w:p>
    <w:p w:rsidR="00D06117" w:rsidRDefault="00D06117" w:rsidP="00D06117">
      <w:pPr>
        <w:pStyle w:val="Extracto"/>
      </w:pPr>
    </w:p>
    <w:p w:rsidR="00D06117" w:rsidRDefault="00D06117" w:rsidP="00D06117">
      <w:pPr>
        <w:pStyle w:val="Extracto"/>
      </w:pPr>
      <w:r>
        <w:t>3.</w:t>
      </w:r>
      <w:r>
        <w:tab/>
        <w:t>El fijar un determinado contenido a la autorización que permite la apertura y funcionamiento de los centros, confirma un mínimo común normativo para todo el territorio nacional –por lo que la norma se configura como básica– que responde a la necesidad de garantizar en todo el territorio del Estado la calidad y la seguridad de los tejidos y células (SSTC 32/1983, 80/1984) [FJ 6].</w:t>
      </w:r>
    </w:p>
    <w:p w:rsidR="00D06117" w:rsidRDefault="00D06117" w:rsidP="00D06117">
      <w:pPr>
        <w:pStyle w:val="Extracto"/>
      </w:pPr>
    </w:p>
    <w:p w:rsidR="00D06117" w:rsidRDefault="00D06117" w:rsidP="00D06117">
      <w:pPr>
        <w:pStyle w:val="Extracto"/>
      </w:pPr>
      <w:r>
        <w:t>4.</w:t>
      </w:r>
      <w:r>
        <w:tab/>
        <w:t>La determinación del ámbito objetivo y subjetivo de la actuación inspectora constituye un elemento normativo básico cuya fijación compete al Estado, pues se trata de fijar un ámbito común en materia de inspección a partir del cual cada Comunidad Autónoma podrá desarrollar sus propias competencias [FJ 7].</w:t>
      </w:r>
    </w:p>
    <w:p w:rsidR="00D06117" w:rsidRDefault="00D06117" w:rsidP="00D06117">
      <w:pPr>
        <w:pStyle w:val="Extracto"/>
      </w:pPr>
    </w:p>
    <w:p w:rsidR="00D06117" w:rsidRDefault="00D06117" w:rsidP="00D06117">
      <w:pPr>
        <w:pStyle w:val="Extracto"/>
      </w:pPr>
      <w:r>
        <w:t>5.</w:t>
      </w:r>
      <w:r>
        <w:tab/>
        <w:t>Se desestima la impugnación realizada sobre el precepto que dispone que las actividades de los establecimientos de tejidos no tendrán carácter lucrativo ya que no es procesalmente posible utilizar el cauce del conflicto positivo de competencias para cuestionar en la demandad una indirecta limitación del derecho de libertad de empresa (SSTC 67/1983, 104/1988) [FJ 8].</w:t>
      </w:r>
    </w:p>
    <w:p w:rsidR="00D06117" w:rsidRDefault="00D06117" w:rsidP="00D06117">
      <w:pPr>
        <w:pStyle w:val="Extracto"/>
      </w:pPr>
    </w:p>
    <w:p w:rsidR="00D06117" w:rsidRDefault="00D06117" w:rsidP="00D06117">
      <w:pPr>
        <w:pStyle w:val="Extracto"/>
      </w:pPr>
      <w:r>
        <w:lastRenderedPageBreak/>
        <w:t>6.</w:t>
      </w:r>
      <w:r>
        <w:tab/>
        <w:t>En el marco de la función de coordinación constitucionalmente atribuida al Estado en materia sanitaria, la fijación por la norma estatal de un sistema de información responde a la necesidad de establecer mecanismos de información coordinados entre los distintos órganos con competencia en la materia, pues sólo así la Organización Nacional de trasplantes puede cumplir con su función de coordinar las actividades de donación, extracción, preservación, distribución y trasplante de órganos, tejidos y células en el conjunto del sistema sanitario español [FJ 9].</w:t>
      </w:r>
    </w:p>
    <w:p w:rsidR="00D06117" w:rsidRDefault="00D06117" w:rsidP="00D06117">
      <w:pPr>
        <w:pStyle w:val="Extracto"/>
      </w:pPr>
    </w:p>
    <w:p w:rsidR="00D06117" w:rsidRDefault="00D06117" w:rsidP="00D06117">
      <w:pPr>
        <w:pStyle w:val="Extracto"/>
      </w:pPr>
      <w:r>
        <w:t>7.</w:t>
      </w:r>
      <w:r>
        <w:tab/>
        <w:t>Ha de calificarse como competencia sanitaria de carácter básico y, por tanto, estatal, la determinación con carácter general de los métodos de análisis y medición y de los requisitos técnicos y condiciones mínimas en materia de control sanitario (SSTC 32/1983 y 42/1983) [FJ 7].</w:t>
      </w:r>
    </w:p>
    <w:p w:rsidR="00D06117" w:rsidRDefault="00D06117" w:rsidP="00D06117">
      <w:pPr>
        <w:pStyle w:val="Extracto"/>
      </w:pPr>
    </w:p>
    <w:p w:rsidR="00D06117" w:rsidRDefault="00D06117" w:rsidP="00D06117">
      <w:pPr>
        <w:pStyle w:val="Extracto"/>
      </w:pPr>
      <w:r>
        <w:t>8.</w:t>
      </w:r>
      <w:r>
        <w:tab/>
        <w:t>Doctrina sobre sistema constitucional y estatutario de distribución de competencias en materia de sanidad (SSTC 1/1982, 15272003) [FJ 3].</w:t>
      </w:r>
    </w:p>
    <w:p w:rsidR="00D06117" w:rsidRDefault="00D06117" w:rsidP="00D06117">
      <w:pPr>
        <w:pStyle w:val="Extracto"/>
      </w:pPr>
    </w:p>
    <w:p w:rsidR="00D06117" w:rsidRDefault="00D06117" w:rsidP="00D06117">
      <w:pPr>
        <w:pStyle w:val="Extracto"/>
      </w:pPr>
      <w:r>
        <w:t>9.</w:t>
      </w:r>
      <w:r>
        <w:tab/>
        <w:t>Doctrina sobre la carga del recurrente de aportar una argumentación consistente sobre la transgresión del orden constitucional y estatutario de distribución de competencias que denuncia (SSTC 11/1981, 61/1997) [FJ 2].</w:t>
      </w:r>
    </w:p>
    <w:p w:rsidR="00D06117" w:rsidRDefault="00D06117" w:rsidP="00D06117">
      <w:pPr>
        <w:pStyle w:val="Extracto"/>
      </w:pPr>
    </w:p>
    <w:p w:rsidR="00D06117" w:rsidRDefault="00D06117" w:rsidP="00D06117">
      <w:pPr>
        <w:pStyle w:val="Extracto"/>
      </w:pPr>
      <w:r>
        <w:t>10.</w:t>
      </w:r>
      <w:r>
        <w:tab/>
        <w:t>Doctrina sobre los requisitos del requerimiento previo al planteamiento de un conflicto positivo de competencia (SSTC 96/1986, 128/1999)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1301-2007, promovido por el Consejo de Gobierno de la Comunidad Autónoma de Madrid, representado por el Letrado don Eugenio López Álvarez, contra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Ha comparecido y formulado alegaciones el Abogado del Estado.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día 14 de febrero de 2007 el Letrado de la Comunidad Autónoma de Madrid, en la representación que legalmente ostenta, promueve conflicto positivo de competencia contra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y, subsidiariamente, contra sus arts. 3.5, 13, 14.2, 25, 26.2, 26.4, 28, 30.2, 35.4 y 35.6.</w:t>
      </w:r>
    </w:p>
    <w:p w:rsidR="00D06117" w:rsidRDefault="00D06117" w:rsidP="00D06117">
      <w:pPr>
        <w:pStyle w:val="TextoNormal"/>
      </w:pPr>
    </w:p>
    <w:p w:rsidR="00D06117" w:rsidRDefault="00D06117" w:rsidP="00D06117">
      <w:pPr>
        <w:pStyle w:val="TextoNormal"/>
      </w:pPr>
      <w:r w:rsidRPr="00D06117">
        <w:rPr>
          <w:rStyle w:val="NumeroAFNegritaCaracter"/>
        </w:rPr>
        <w:t>2</w:t>
      </w:r>
      <w:r>
        <w:t>. Conforme al escrito de interposición, el conflicto se fundamenta en los motivos que, sintéticamente, se recogen a continuación.</w:t>
      </w:r>
    </w:p>
    <w:p w:rsidR="00D06117" w:rsidRDefault="00D06117" w:rsidP="00D06117">
      <w:pPr>
        <w:pStyle w:val="TextoNormal"/>
      </w:pPr>
    </w:p>
    <w:p w:rsidR="00D06117" w:rsidRDefault="00D06117" w:rsidP="00D06117">
      <w:pPr>
        <w:pStyle w:val="TextoNormal"/>
      </w:pPr>
      <w:r>
        <w:t>El Letrado de la Comunidad de Madrid comienza precisando que el presente conflicto positivo de competencia debe enmarcarse en el sistema constitucional y estatutario de distribución de competencias en materia de sanidad. El Estado tiene competencia exclusiva en materia de sanidad exterior, bases y coordinación general de la sanidad y legislación sobre productos farmacéuticos, de conformidad con el art. 149.1.16 CE. La Comunidad de Madrid tiene atribuidas las competencias de desarrollo legislativo, potestad reglamentaria y ejecución en materia de sanidad e higiene y coordinación hospitalaria en general, incluida la de la Seguridad Social, todo ello en el marco de la legislación básica del Estado y, en su caso, en los términos que la misma establezca, en virtud del art. 27.4 y 5 del Estatuto de Autonomía de la Comunidad de Madrid. La coordinación de este sistema de distribución de competencias en materia de sanidad e higiene debe realizarse conforme ha establecido la jurisprudencia del Tribunal Constitucional, y, con la finalidad de recordar dicha doctrina, en el escrito de interposición del conflicto de competencia se reproducen el fundamento jurídico 6 de la STC 98/2004, de 25 de mayo y el fundamento jurídico 3 de la STC 152/2003, de 17 de julio.</w:t>
      </w:r>
    </w:p>
    <w:p w:rsidR="00D06117" w:rsidRDefault="00D06117" w:rsidP="00D06117">
      <w:pPr>
        <w:pStyle w:val="TextoNormal"/>
      </w:pPr>
    </w:p>
    <w:p w:rsidR="00D06117" w:rsidRDefault="00D06117" w:rsidP="00D06117">
      <w:pPr>
        <w:pStyle w:val="TextoNormal"/>
      </w:pPr>
      <w:r>
        <w:t>Una vez precisado el encuadre competencial del conflicto planteado, el Letrado de la Comunidad de Madrid aclara que a través del presente conflicto constitucional el Gobierno de la Comunidad de Madrid no está discutiendo la titularidad de las competencias que el Estado ha invocado para dictar el Real Decreto 1301/2006, de 10 de noviembre, sino que su vindicatio potestatis se refiere a la forma en que han ejercido las competencias estatales, que afecta de tal modo al ámbito de competencia de la Comunidad de Madrid que ha llegado a alterarlo, imposibilitando o condicionando de forma decisiva su ejercicio. Añade que esta modalidad de conflicto de competencia está expresamente admitida por la jurisprudencia de este Tribunal y se reproduce el fundamento jurídico 2 de la STC 253/2005 para justificar esta afirmación.</w:t>
      </w:r>
    </w:p>
    <w:p w:rsidR="00D06117" w:rsidRDefault="00D06117" w:rsidP="00D06117">
      <w:pPr>
        <w:pStyle w:val="TextoNormal"/>
      </w:pPr>
    </w:p>
    <w:p w:rsidR="00D06117" w:rsidRDefault="00D06117" w:rsidP="00D06117">
      <w:pPr>
        <w:pStyle w:val="TextoNormal"/>
      </w:pPr>
      <w:r>
        <w:t>A continuación, se entra ya en el análisis de los motivos de impugnación.</w:t>
      </w:r>
    </w:p>
    <w:p w:rsidR="00D06117" w:rsidRDefault="00D06117" w:rsidP="00D06117">
      <w:pPr>
        <w:pStyle w:val="TextoNormal"/>
      </w:pPr>
    </w:p>
    <w:p w:rsidR="00D06117" w:rsidRDefault="00D06117" w:rsidP="00D06117">
      <w:pPr>
        <w:pStyle w:val="TextoNormal"/>
      </w:pPr>
      <w:r>
        <w:t xml:space="preserve">a) El primer motivo cabe sintetizarlo de la siguiente manera: el Estado ha fijado la normativa básica en materia de utilización de células y tejidos humanos, que es objeto de reserva de ley, mediante un reglamento que carece de habilitación y fundamento en una norma legal, con lo que infringe el principio de ley formal para la determinación de las bases, </w:t>
      </w:r>
      <w:r>
        <w:lastRenderedPageBreak/>
        <w:t>formulado por la doctrina reiterada de este Tribunal, en la que se insiste en que el control de la normativa básica exige valorar en la misma una doble esfera, material y formal, desde la STC 69/1988, de 19 de abril, FJ 5. Añade que es cierto que el Tribunal Constitucional excepcionalmente ha estimado que pueden considerarse básicas algunas regulaciones no contenidas en normas con rango legal, pero tras reproducir numerosas sentencias del Tribunal sobre este tema, el Letrado de la Comunidad de Madrid afirma que el Real Decreto 1301/2006, de 10 de noviembre, sólo satisface las exigencias formales de la normativa básica en el limitado aspecto de la mención expresa de dicho carácter, cosa que se verifica en el penúltimo párrafo de su preámbulo y en la disposición final primera. Considera, sin embargo, que no alcanza a llenar los mínimos constitucionales antedichos relativos al rango necesario, dado que no puede calificarse como “complemento indispensable” de ninguna legislación básica estatal. A su juicio no es un complemento, porque carece de fundamento o habilitación legal, pues no es posible hallar ninguna ley anterior o posterior a la Constitución que regule la utilización de células y tejidos humanos y el régimen jurídico de los bancos o establecimientos de tejidos. Y tampoco es indispensable, porque aunque sí se puede apreciar el carácter marcadamente técnico de esta regulación, los principios que formula y la materia que constituye su objeto carecen de la naturaleza coyuntural y cambiante exigida por la doctrina del Tribunal Constitucional. El Real Decreto 1301/2006, de 10 de noviembre, es, a juicio del Letrado de la Comunidad de Madrid, un auténtico reglamento autónomo o independiente que, además, vulnera los principios de legalidad, jerarquía normativa y reserva de ley, ya que las materias sobre las que incide deben ser objeto de una norma con rango de ley, por afectar al derecho a disponer del propio cuerpo, a la dignidad de la persona (art. 10.1 CE), al derecho fundamental a la integridad física (art. 15 CE) y a la libertad de empresa (art. 38 CE), de conformidad con el art. 53.1 CE, así como el derecho a la protección de la salud (art. 43 CE) y el principio de protección integral de la familia y de los hijos (art. 39 CE).</w:t>
      </w:r>
    </w:p>
    <w:p w:rsidR="00D06117" w:rsidRDefault="00D06117" w:rsidP="00D06117">
      <w:pPr>
        <w:pStyle w:val="TextoNormal"/>
      </w:pPr>
    </w:p>
    <w:p w:rsidR="00D06117" w:rsidRDefault="00D06117" w:rsidP="00D06117">
      <w:pPr>
        <w:pStyle w:val="TextoNormal"/>
      </w:pPr>
      <w:r>
        <w:t>b) El segundo motivo de impugnación del Real Decreto 1301/2006, de 10 de noviembre, se basa en el carácter excesivamente exhaustivo, minucioso y detallado de la regulación aprobada, rasgos que se pueden apreciar con una simple lectura de la citada disposición, que apenas deja margen de maniobra para que las Comunidades Autónomas puedan adoptar no ya políticas propias en la materia, sino tan siquiera complementar la normativa estatal para adaptarla a sus peculiaridades, invadiendo con ello las competencias autonómicas de desarrollo legislativo y ejecución de la normativa básica e infringiendo la prohibición de agotamiento de la materia que se deriva de los requisitos materiales de las bases estatales. Esta prohibición de agotamiento está expresamente reiterada para la materia de sanidad en la STC 98/2004, de 25 de mayo, FJ 6.</w:t>
      </w:r>
    </w:p>
    <w:p w:rsidR="00D06117" w:rsidRDefault="00D06117" w:rsidP="00D06117">
      <w:pPr>
        <w:pStyle w:val="TextoNormal"/>
      </w:pPr>
    </w:p>
    <w:p w:rsidR="00D06117" w:rsidRDefault="00D06117" w:rsidP="00D06117">
      <w:pPr>
        <w:pStyle w:val="TextoNormal"/>
      </w:pPr>
      <w:r>
        <w:t>c) Aunque el vicio de agotamiento de la materia es predicable de la totalidad del Real Decreto 1301/2006, de 10 de noviembre, el Letrado de la Comunidad de Madrid procede a continuación a explicitar los preceptos concretos de la disposición impugnada que se enumeraban en el requerimiento de incompetencia dirigido al Gobierno de la Nación como máximos exponentes de esta invasión competencial, aclarando no obstante que la referencia que se hacía en el requerimiento a las competencias de autoorganización aludía realmente a las competencias de desarrollo legislativo y, sobre todo, ejecutivas, que ostenta la Comunidad de Madrid.</w:t>
      </w:r>
    </w:p>
    <w:p w:rsidR="00D06117" w:rsidRDefault="00D06117" w:rsidP="00D06117">
      <w:pPr>
        <w:pStyle w:val="TextoNormal"/>
      </w:pPr>
    </w:p>
    <w:p w:rsidR="00D06117" w:rsidRDefault="00D06117" w:rsidP="00D06117">
      <w:pPr>
        <w:pStyle w:val="TextoNormal"/>
      </w:pPr>
      <w:r>
        <w:t>Los preceptos del real decreto impugnados, con carácter subsidiario, son los siguientes:</w:t>
      </w:r>
    </w:p>
    <w:p w:rsidR="00D06117" w:rsidRDefault="00D06117" w:rsidP="00D06117">
      <w:pPr>
        <w:pStyle w:val="TextoNormal"/>
      </w:pPr>
    </w:p>
    <w:p w:rsidR="00D06117" w:rsidRDefault="00D06117" w:rsidP="00D06117">
      <w:pPr>
        <w:pStyle w:val="TextoNormal"/>
      </w:pPr>
      <w:r>
        <w:t>1º. El art. 35.4, que obliga a las Comunidades Autónomas a efectuar inspecciones regulares con un intervalo entre dos inspecciones que no podrá superar los dos años y que además no figura en las directivas comunitarias que se dice que transpone a la regulación nacional.</w:t>
      </w:r>
    </w:p>
    <w:p w:rsidR="00D06117" w:rsidRDefault="00D06117" w:rsidP="00D06117">
      <w:pPr>
        <w:pStyle w:val="TextoNormal"/>
      </w:pPr>
    </w:p>
    <w:p w:rsidR="00D06117" w:rsidRDefault="00D06117" w:rsidP="00D06117">
      <w:pPr>
        <w:pStyle w:val="TextoNormal"/>
      </w:pPr>
      <w:r>
        <w:t>2º. En el mismo sentido se entiende que afecta al ámbito propio de competencias ejecutivas de la Comunidad de Madrid, concretamente a la organización de los planes de inspección de la Consejería de Sanidad y Consumo, lo establecido en los arts. 14.2 y 26.2, en los que se especifica un plazo de validez para las autorizaciones entre dos y cuatro años, sin explicar las diferencias ni las razones de los mismos, y que contraviene el espíritu del Real Decreto 1277/2003, que establece, por ejemplo, en su art. 3.2, que será la Comunidad Autónoma la que establezca la periodicidad de la renovación de las autorizaciones. La Comunidad de Madrid tiene establecido un plazo con carácter general para todos los centros sanitarios de cinco años.</w:t>
      </w:r>
    </w:p>
    <w:p w:rsidR="00D06117" w:rsidRDefault="00D06117" w:rsidP="00D06117">
      <w:pPr>
        <w:pStyle w:val="TextoNormal"/>
      </w:pPr>
    </w:p>
    <w:p w:rsidR="00D06117" w:rsidRDefault="00D06117" w:rsidP="00D06117">
      <w:pPr>
        <w:pStyle w:val="TextoNormal"/>
      </w:pPr>
      <w:r>
        <w:t>3º. El art. 35.6, que al prever que la inspección no sólo afectará a los establecimientos de tejidos sino también a todos aquellos terceros con los que existan relaciones contractuales, implica un gran cambio en el ámbito y planteamiento de los programas de inspección.</w:t>
      </w:r>
    </w:p>
    <w:p w:rsidR="00D06117" w:rsidRDefault="00D06117" w:rsidP="00D06117">
      <w:pPr>
        <w:pStyle w:val="TextoNormal"/>
      </w:pPr>
    </w:p>
    <w:p w:rsidR="00D06117" w:rsidRDefault="00D06117" w:rsidP="00D06117">
      <w:pPr>
        <w:pStyle w:val="TextoNormal"/>
      </w:pPr>
      <w:r>
        <w:t>4º. El art. 3.5, que establece que las actividades de los establecimientos de tejidos no tendrán carácter lucrativo. Para el Letrado de la Comunidad de Madrid esta disposición limitará la posibilidad de que se establezcan empresas dedicadas al depósito de células sanguíneas de cordón umbilical, dado que no se prevé beneficio comercial para las mismas. Por ello se entiende que indirectamente está limitando la capacidad de libre empresa establecida en el art. 38 CE.</w:t>
      </w:r>
    </w:p>
    <w:p w:rsidR="00D06117" w:rsidRDefault="00D06117" w:rsidP="00D06117">
      <w:pPr>
        <w:pStyle w:val="TextoNormal"/>
      </w:pPr>
    </w:p>
    <w:p w:rsidR="00D06117" w:rsidRDefault="00D06117" w:rsidP="00D06117">
      <w:pPr>
        <w:pStyle w:val="TextoNormal"/>
      </w:pPr>
      <w:r>
        <w:t>5º. En último lugar, en relación con el sistema de información que recoge el Real Decreto, señala el escrito de interposición del conflicto que los circuitos de información previstos plantean algunos problemas en su aplicación que inciden en las competencias ejecutivas propias de la Comunidad Autónoma al establecerse una doble comunicación a la Organización Nacional de Trasplantes, en tiempo real, de las autorizaciones de los centros o unidades de aplicación por parte de dos unidades diferentes de las Comunidades Autónomas (arts. 26.4 y 30.2; 13, 25 y 28).</w:t>
      </w:r>
    </w:p>
    <w:p w:rsidR="00D06117" w:rsidRDefault="00D06117" w:rsidP="00D06117">
      <w:pPr>
        <w:pStyle w:val="TextoNormal"/>
      </w:pPr>
    </w:p>
    <w:p w:rsidR="00D06117" w:rsidRDefault="00D06117" w:rsidP="00D06117">
      <w:pPr>
        <w:pStyle w:val="TextoNormal"/>
      </w:pPr>
      <w:r>
        <w:t xml:space="preserve">d) Finalmente, y una vez señalados los preceptos concretos que subsidiariamente se impugnan, recuerda el Letrado de la Comunidad de Madrid que no cabe oponer a la vindicatio potestatis de la Comunidad de Madrid el hecho de que el Real Decreto 1301/2006, de 10 de noviembre, incorpore al ordenamiento jurídico español la Directiva 2004/23/CE del Parlamento Europeo y del Consejo, de 31 de marzo de 2004, relativa al establecimiento de normas de calidad y de seguridad para la donación, la obtención, la evaluación, el procesamiento, la preservación, el almacenamiento y la distribución de células y tejidos humanos, así como la Directiva 2006/17/CE de la Comisión, de 8 de febrero de 2006, por la que se aplica la Directiva 2004/23 del Parlamento Europeo y del Consejo en lo relativo a determinados requisitos técnicos para la donación, la obtención y la evaluación de células y tejidos humanos (disposición final segunda del Real Decreto), y que tales directivas tienen el mismo grado de detalle y minuciosidad que el imputado al citado Real Decreto. La razón es que, según reiterada doctrina del Tribunal Constitucional, el ingreso de España en la Unión </w:t>
      </w:r>
      <w:r>
        <w:lastRenderedPageBreak/>
        <w:t>Europea y la consiguiente transposición de las normas de Derecho comunitario derivado no alteran las reglas constitucionales de distribución de competencias.</w:t>
      </w:r>
    </w:p>
    <w:p w:rsidR="00D06117" w:rsidRDefault="00D06117" w:rsidP="00D06117">
      <w:pPr>
        <w:pStyle w:val="TextoNormal"/>
      </w:pPr>
    </w:p>
    <w:p w:rsidR="00D06117" w:rsidRDefault="00D06117" w:rsidP="00D06117">
      <w:pPr>
        <w:pStyle w:val="TextoNormal"/>
      </w:pPr>
      <w:r>
        <w:t>El escrito de interposición del conflicto concluye solicitando que se dicte sentencia por la que se declare que el Real Decreto 1301/2006, de 10 de noviembre, vulnera las competencias de la Comunidad de Madrid y, consiguientemente, se anule la referida disposición; y subsidiariamente, que se dicte Sentencia por la que, estimando parcialmente el conflicto, declare inconstitucionales y nulos los siguientes preceptos de la disposición impugnada: 3.5, 13, 14.2, 25, 26.2, 26.4, 28, 30.2, 35.4 y 35.6.</w:t>
      </w:r>
    </w:p>
    <w:p w:rsidR="00D06117" w:rsidRDefault="00D06117" w:rsidP="00D06117">
      <w:pPr>
        <w:pStyle w:val="TextoNormal"/>
      </w:pPr>
    </w:p>
    <w:p w:rsidR="00D06117" w:rsidRDefault="00D06117" w:rsidP="00D06117">
      <w:pPr>
        <w:pStyle w:val="TextoNormal"/>
      </w:pPr>
      <w:r w:rsidRPr="00D06117">
        <w:rPr>
          <w:rStyle w:val="NumeroAFNegritaCaracter"/>
        </w:rPr>
        <w:t>3</w:t>
      </w:r>
      <w:r>
        <w:t>. Por providencia de 27 de febrero de 2007, a propuesta de la Sección Cuarta, el Pleno del Tribunal Constitucional acordó admitir a trámite el conflicto positivo de competencia promovido por el Consejo de Gobierno de la Comunidad de Madrid, en relación con el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dar traslado de la demanda y documentos presentados al Gobierno de la Nación, por conducto de su Presidente, al objeto de que en el plazo de veinte días y, por medio de la representación procesal que determina el art. 82.2 Ley Orgánica del Tribunal Constitucional (LOTC), aporte cuantos documentos y alegaciones considere convenientes; oír al Gobierno de la Nación a fin de que, en el mismo plazo concedido en el apartado anterior, efectúe las alegaciones que estime oportunas en lo relativo a la suspensión del real decreto solicitado en la demanda por la parte actora;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LOTC y, finalmente publicar la incoación del conflicto en el “Boletín Oficial del Estado” y en el “Boletín Oficial de la Comunidad de Madrid”.</w:t>
      </w:r>
    </w:p>
    <w:p w:rsidR="00D06117" w:rsidRDefault="00D06117" w:rsidP="00D06117">
      <w:pPr>
        <w:pStyle w:val="TextoNormal"/>
      </w:pPr>
    </w:p>
    <w:p w:rsidR="00D06117" w:rsidRDefault="00D06117" w:rsidP="00D06117">
      <w:pPr>
        <w:pStyle w:val="TextoNormal"/>
      </w:pPr>
      <w:r w:rsidRPr="00D06117">
        <w:rPr>
          <w:rStyle w:val="NumeroAFNegritaCaracter"/>
        </w:rPr>
        <w:t>4</w:t>
      </w:r>
      <w:r>
        <w:t>. 4. El Abogado del Estado, mediante escrito registrado el 7 de marzo de 2007, se personó en el procedimiento, solicitando la prórroga, por el máximo legal, del plazo concedido para formular alegaciones. El Pleno, por providencia de fecha 12 de marzo de 2007, acordó incorporar a las actuaciones el escrito presentado por el Abogado del Estado, teniéndole por personado en la representación que legalmente ostenta, prorrogando en diez días más el plazo inicialmente concedido por providencia de 27 de febrero de 2007.</w:t>
      </w:r>
    </w:p>
    <w:p w:rsidR="00D06117" w:rsidRDefault="00D06117" w:rsidP="00D06117">
      <w:pPr>
        <w:pStyle w:val="TextoNormal"/>
      </w:pPr>
    </w:p>
    <w:p w:rsidR="00D06117" w:rsidRDefault="00D06117" w:rsidP="00D06117">
      <w:pPr>
        <w:pStyle w:val="TextoNormal"/>
      </w:pPr>
      <w:r>
        <w:t>El día 16 de abril de 2007 presentó su escrito de alegaciones en el que se opone a las pretensiones deducidas por las razones que, resumidamente, se recogen a continuación.</w:t>
      </w:r>
    </w:p>
    <w:p w:rsidR="00D06117" w:rsidRDefault="00D06117" w:rsidP="00D06117">
      <w:pPr>
        <w:pStyle w:val="TextoNormal"/>
      </w:pPr>
    </w:p>
    <w:p w:rsidR="00D06117" w:rsidRDefault="00D06117" w:rsidP="00D06117">
      <w:pPr>
        <w:pStyle w:val="TextoNormal"/>
      </w:pPr>
      <w:r>
        <w:t>a) El Abogado del Estado comienza su escrito haciendo alusión a dos cuestiones de orden procesal que, a su juicio, pudieran conducir a la inadmisibilidad del conflicto:</w:t>
      </w:r>
    </w:p>
    <w:p w:rsidR="00D06117" w:rsidRDefault="00D06117" w:rsidP="00D06117">
      <w:pPr>
        <w:pStyle w:val="TextoNormal"/>
      </w:pPr>
    </w:p>
    <w:p w:rsidR="00D06117" w:rsidRDefault="00D06117" w:rsidP="00D06117">
      <w:pPr>
        <w:pStyle w:val="TextoNormal"/>
      </w:pPr>
      <w:r>
        <w:t xml:space="preserve">1º. La primera es la relativa a la discordancia que en el presente procedimiento es posible apreciar entre el requerimiento y el escrito del planteamiento del conflicto, que constituye, a su juicio, un óbice de procedibilidad, al no cumplirse exactamente lo dispuesto en el art. 63.3 LOTC, en tanto los motivos de incompetencia alegados en el escrito de planteamiento no coinciden con los formulados en el requerimiento. Así, por una parte, se prescinde en la demanda de imputar a cualquiera de los preceptos del Real Decreto tacha alguna de incidir </w:t>
      </w:r>
      <w:r>
        <w:lastRenderedPageBreak/>
        <w:t>en la competencia de autoorganización autonómica y, por otra, se denuncia novedosamente la infracción de la reserva de ley formal al estimar insuficiente el rango del Real Decreto 1301/2006 calificándolo de reglamento autónomo o independiente.</w:t>
      </w:r>
    </w:p>
    <w:p w:rsidR="00D06117" w:rsidRDefault="00D06117" w:rsidP="00D06117">
      <w:pPr>
        <w:pStyle w:val="TextoNormal"/>
      </w:pPr>
    </w:p>
    <w:p w:rsidR="00D06117" w:rsidRDefault="00D06117" w:rsidP="00D06117">
      <w:pPr>
        <w:pStyle w:val="TextoNormal"/>
      </w:pPr>
      <w:r>
        <w:t>2º. Y la segunda cuestión de orden procesal es la relativa a que las alegaciones contenidas en el escrito de promoción resultan de todo punto insuficientes a los efectos de obtener el pronunciamiento de vulneración competencial y consiguiente anulación en su totalidad que persigue en relación con el carácter básico atribuido al Real Decreto 1301/2006. Se contienen en la demanda aseveraciones genéricas, huérfanas de razonamiento, que difícilmente permitirán al Tribunal entrar a valorar el problema de fondo planteado. Ese carácter genérico y no argumentado de la alegación sería suficiente para su rechazo, citando numerosas sentencias que el Abogado del Estado reproduce en su escrito (SSTC 118/1996, de 27 de junio, FJ 2; 118/1998, de 4 de junio, FJ 4; 233/1999, de 16 de diciembre, FJ 2; 104/2000, de 13 de abril, FJ 5 y 96/2002, de 25 de abril, FJ 4).</w:t>
      </w:r>
    </w:p>
    <w:p w:rsidR="00D06117" w:rsidRDefault="00D06117" w:rsidP="00D06117">
      <w:pPr>
        <w:pStyle w:val="TextoNormal"/>
      </w:pPr>
    </w:p>
    <w:p w:rsidR="00D06117" w:rsidRDefault="00D06117" w:rsidP="00D06117">
      <w:pPr>
        <w:pStyle w:val="TextoNormal"/>
      </w:pPr>
      <w:r>
        <w:t>Por otra parte, resalta el Abogado del Estado dos circunstancias con carácter previo a las alegaciones que a continuación formula en defensa del texto cuestionado. En primer lugar, que el presente conflicto constitucional de competencias se traba en relación con la calificación de legislación básica que de los preceptos del Real Decreto 1301/2006 hace su disposición final primera y, en segundo lugar, que el presente conflicto ha de ser resuelto exclusivamente conforme a las reglas de Derecho interno, sin que puedan ser consideradas necesariamente básicas las normas estatales que adaptan a nuestro ordenamiento la normativa comunitaria, pues, si bien esa necesaria adaptación puede llevar en ciertos casos a establecer normas internas de contenido prácticamente uniforme para todo el territorio de la Nación, tal regulación sólo corresponde hacerla al Estado mediante normas de carácter básico en la medida que así lo permita la Constitución.</w:t>
      </w:r>
    </w:p>
    <w:p w:rsidR="00D06117" w:rsidRDefault="00D06117" w:rsidP="00D06117">
      <w:pPr>
        <w:pStyle w:val="TextoNormal"/>
      </w:pPr>
    </w:p>
    <w:p w:rsidR="00D06117" w:rsidRDefault="00D06117" w:rsidP="00D06117">
      <w:pPr>
        <w:pStyle w:val="TextoNormal"/>
      </w:pPr>
      <w:r>
        <w:t>b) Una vez expuestos los óbices de procedibilidad, el Abogado del Estado afirma que resulta de gran importancia en este conflicto el alcance formal que procede asignar al título competencial de la coordinación sanitaria, pese a no contener la demanda ninguna referencia al mismo. La normativa básica que se ampare en el título competencial previsto en el art. 149.1.16 CE ha de cumplir dos condiciones esenciales: que se refiera a la materia objeto del título, es decir, sanidad, y que suponga el establecimiento de un común denominador normativo dirigido a garantizar intereses generales a partir de los cuales pueda cada Comunidad Autónoma introducir las peculiaridades propias de su territorio o bien el establecimiento de unas pautas organizativas, la fijación de medios y de sistemas de relación que hagan posible la información recíproca, la homogeneidad técnica en diversos aspectos y la acción conjunta de las autoridades sanitarias estatales y comunitarias, de tal modo que se logre la integración de los actos parciales en la globalidad del sistema sanitario. A su juicio, en el presente caso el cumplimiento de estas dos condiciones es indiscutible y para justificar esta afirmación reproduce los siguientes preceptos de la Ley 14/1986, de 25 de abril, general de sanidad: el art. 40 que viene a relacionar las concretas competencias estatales en el ámbito sanitario y los arts. 25.1 y 29.1 y 2 sobre la exigencia de autorización administrativa. En todo caso, las bases generales sobre autorización de centros, servicios y establecimientos sanitarios se hallan recogidas en el Real Decreto 1277/2003, de 10 de octubre, cuyo carácter de norma básica proclama su disposición final primera y el carácter básico de la específica materia de extracción y trasplante de órganos ha sido reconocido por este Tribunal en sus Sentencias 42/1983 y 80/1984.</w:t>
      </w:r>
    </w:p>
    <w:p w:rsidR="00D06117" w:rsidRDefault="00D06117" w:rsidP="00D06117">
      <w:pPr>
        <w:pStyle w:val="TextoNormal"/>
      </w:pPr>
    </w:p>
    <w:p w:rsidR="00D06117" w:rsidRDefault="00D06117" w:rsidP="00D06117">
      <w:pPr>
        <w:pStyle w:val="TextoNormal"/>
      </w:pPr>
      <w:r>
        <w:t>c) En relación con la primera de las objeciones que, con carácter general, opone la Comunidad de Madrid a la constitucionalidad del Real Decreto 1301/2006 (las reglas básicas deben establecerse mediante ley formal), señala el Abogado del Estado que el Real Decreto 1301/2006 pretende actuar como complemento básico indispensable de la Ley  14/1986, general de sanidad, llevando a cabo un desarrollo reglamentario relativo a cuestiones consideradas, por su detallismo y su carácter técnico, impropias de una ley.</w:t>
      </w:r>
    </w:p>
    <w:p w:rsidR="00D06117" w:rsidRDefault="00D06117" w:rsidP="00D06117">
      <w:pPr>
        <w:pStyle w:val="TextoNormal"/>
      </w:pPr>
    </w:p>
    <w:p w:rsidR="00D06117" w:rsidRDefault="00D06117" w:rsidP="00D06117">
      <w:pPr>
        <w:pStyle w:val="TextoNormal"/>
      </w:pPr>
      <w:r>
        <w:t>Desde el punto de vista material, el Real Decreto objeto de conflicto debe considerarse básico no sólo por cuanto trae causa de la Ley general de sanidad, constituyendo desarrollo de la misma, sino también porque su contenido tiene vocación de serlo derivando de su exposición de motivos su necesaria aplicación a todo el territorio nacional, pues lleva a cabo la transposición de las Directivas 2004/23/CE y 2006/17/CE.</w:t>
      </w:r>
    </w:p>
    <w:p w:rsidR="00D06117" w:rsidRDefault="00D06117" w:rsidP="00D06117">
      <w:pPr>
        <w:pStyle w:val="TextoNormal"/>
      </w:pPr>
    </w:p>
    <w:p w:rsidR="00D06117" w:rsidRDefault="00D06117" w:rsidP="00D06117">
      <w:pPr>
        <w:pStyle w:val="TextoNormal"/>
      </w:pPr>
      <w:r>
        <w:t>Nos encontramos, a juicio del Abogado del Estado, ante una norma que se caracteriza como garante de un común denominador mínimo en todo el Estado dirigido a garantizar intereses generales sin invadir ni anular las competencias autonómicas en la materia. Es necesario que existan unos mismos criterios de carácter técnico para toda España por repercutir en bienes vitales de primer orden en que la igualdad entre los españoles debe ser preservada. La preservación de esta unidad sistemática exige una homogeneidad de determinadas condiciones mínimas en los centros, unidades y establecimientos sanitarios que sólo puede lograrse concentrando en el Estado la competencia para su fijación.</w:t>
      </w:r>
    </w:p>
    <w:p w:rsidR="00D06117" w:rsidRDefault="00D06117" w:rsidP="00D06117">
      <w:pPr>
        <w:pStyle w:val="TextoNormal"/>
      </w:pPr>
    </w:p>
    <w:p w:rsidR="00D06117" w:rsidRDefault="00D06117" w:rsidP="00D06117">
      <w:pPr>
        <w:pStyle w:val="TextoNormal"/>
      </w:pPr>
      <w:r>
        <w:t>En definitiva, entiende que no se puede negar que el real decreto impugnado tiene plena cobertura en el título competencial estatal de bases y coordinación general de la sanidad, ya que es en sentido técnico una regulación básica y coordinadora en la materia.</w:t>
      </w:r>
    </w:p>
    <w:p w:rsidR="00D06117" w:rsidRDefault="00D06117" w:rsidP="00D06117">
      <w:pPr>
        <w:pStyle w:val="TextoNormal"/>
      </w:pPr>
    </w:p>
    <w:p w:rsidR="00D06117" w:rsidRDefault="00D06117" w:rsidP="00D06117">
      <w:pPr>
        <w:pStyle w:val="TextoNormal"/>
      </w:pPr>
      <w:r>
        <w:t>d) Sobre los concretos preceptos cuestionados en el escrito de promoción del conflicto, el Abogado del Estado señala lo siguiente:</w:t>
      </w:r>
    </w:p>
    <w:p w:rsidR="00D06117" w:rsidRDefault="00D06117" w:rsidP="00D06117">
      <w:pPr>
        <w:pStyle w:val="TextoNormal"/>
      </w:pPr>
    </w:p>
    <w:p w:rsidR="00D06117" w:rsidRDefault="00D06117" w:rsidP="00D06117">
      <w:pPr>
        <w:pStyle w:val="TextoNormal"/>
      </w:pPr>
      <w:r>
        <w:t>1º. Art. 35.4. La periodicidad de las inspecciones fijada en este precepto no sólo constituye una manifestación del ejercicio de la función de coordinación constitucionalmente atribuida al Estado en materia sanitaria, sino que además resulta plenamente coherente con el art. 7.3 de la Directiva 2004/23/CE.</w:t>
      </w:r>
    </w:p>
    <w:p w:rsidR="00D06117" w:rsidRDefault="00D06117" w:rsidP="00D06117">
      <w:pPr>
        <w:pStyle w:val="TextoNormal"/>
      </w:pPr>
    </w:p>
    <w:p w:rsidR="00D06117" w:rsidRDefault="00D06117" w:rsidP="00D06117">
      <w:pPr>
        <w:pStyle w:val="TextoNormal"/>
      </w:pPr>
      <w:r>
        <w:t>2º. Arts. 14.2 y 26.2. Estos preceptos están en íntima conexión con el art. 35.4. El acotamiento del período de validez de las autorizaciones no menoscaba la competencia autonómica ni para otorgarlas ni para concretar su vigencia dentro del respeto a esos límites mínimo y máximo, sin que pueda calificarse como vicio de inconstitucionalidad la concreción reglamentaria de estos plazos por el hecho de no resultar así previsto con carácter general para la autorización sanitaria de funcionamiento a que se refiere el art. 3.2 Real Decreto 1277/2003.</w:t>
      </w:r>
    </w:p>
    <w:p w:rsidR="00D06117" w:rsidRDefault="00D06117" w:rsidP="00D06117">
      <w:pPr>
        <w:pStyle w:val="TextoNormal"/>
      </w:pPr>
    </w:p>
    <w:p w:rsidR="00D06117" w:rsidRDefault="00D06117" w:rsidP="00D06117">
      <w:pPr>
        <w:pStyle w:val="TextoNormal"/>
      </w:pPr>
      <w:r>
        <w:t>3º. Art. 35.6. La determinación del ámbito objetivo y subjetivo de la actuación inspectora constituye un elemento normativo básico cuya fijación compete al Estado, teniendo en cuenta, no obstante, que las actuaciones de control sobre terceros con los que existan rela</w:t>
      </w:r>
      <w:r>
        <w:lastRenderedPageBreak/>
        <w:t>ciones contractuales versan exclusivamente sobre aquellas actividades que tengan una implicación directa sobre los estándares de calidad y seguridad de las células y tejidos obtenidos, procesados y utilizados.</w:t>
      </w:r>
    </w:p>
    <w:p w:rsidR="00D06117" w:rsidRDefault="00D06117" w:rsidP="00D06117">
      <w:pPr>
        <w:pStyle w:val="TextoNormal"/>
      </w:pPr>
    </w:p>
    <w:p w:rsidR="00D06117" w:rsidRDefault="00D06117" w:rsidP="00D06117">
      <w:pPr>
        <w:pStyle w:val="TextoNormal"/>
      </w:pPr>
      <w:r>
        <w:t>4º. Art. 3.5. En cuanto a la indirecta limitación de “la capacidad de libre empresa establecida en el art. 38 CE” que la demanda imputa al art. 3.5 del Real Decreto, se afirma que bastaría con interesar su rechazo a limine por cuanto tal objeción carece de fundamento competencial y su examen no resulta adecuado en este concreto procedimiento constitucional. No obstante, conviene recordar que el principio de gratuidad y carácter no lucrativo que recoge el art. 3.5 responde a lo establecido en la Directiva 2004/23/CE.</w:t>
      </w:r>
    </w:p>
    <w:p w:rsidR="00D06117" w:rsidRDefault="00D06117" w:rsidP="00D06117">
      <w:pPr>
        <w:pStyle w:val="TextoNormal"/>
      </w:pPr>
    </w:p>
    <w:p w:rsidR="00D06117" w:rsidRDefault="00D06117" w:rsidP="00D06117">
      <w:pPr>
        <w:pStyle w:val="TextoNormal"/>
      </w:pPr>
      <w:r>
        <w:t>5º. Arts. 26.4, 30.2 y 13. La imputación que se dirige contra los citados preceptos que conforman el sistema de información previsto en el Real Decreto 1301/2006 revela una denuncia que, además de ajena a este proceso conflictual pues no entraña ninguna controversia competencial, adolece de carácter preventivo e hipotético en cuanto se fundamenta en supuestos futuros problemas de funcionamiento.</w:t>
      </w:r>
    </w:p>
    <w:p w:rsidR="00D06117" w:rsidRDefault="00D06117" w:rsidP="00D06117">
      <w:pPr>
        <w:pStyle w:val="TextoNormal"/>
      </w:pPr>
    </w:p>
    <w:p w:rsidR="00D06117" w:rsidRDefault="00D06117" w:rsidP="00D06117">
      <w:pPr>
        <w:pStyle w:val="TextoNormal"/>
      </w:pPr>
      <w:r>
        <w:t>Por todo ello, suplica que se dicte sentencia desestimando el conflicto planteado y declarando la constitucionalidad del Real Decreto 1301/2006 y, por consecuencia, que no ha lugar a la anulación de adverso pretendida del citado real decreto ni de ninguno de sus artículos.</w:t>
      </w:r>
    </w:p>
    <w:p w:rsidR="00D06117" w:rsidRDefault="00D06117" w:rsidP="00D06117">
      <w:pPr>
        <w:pStyle w:val="TextoNormal"/>
      </w:pPr>
    </w:p>
    <w:p w:rsidR="00D06117" w:rsidRDefault="00D06117" w:rsidP="00D06117">
      <w:pPr>
        <w:pStyle w:val="TextoNormal"/>
      </w:pPr>
      <w:r w:rsidRPr="00D06117">
        <w:rPr>
          <w:rStyle w:val="NumeroAFNegritaCaracter"/>
        </w:rPr>
        <w:t>5</w:t>
      </w:r>
      <w:r>
        <w:t>. Por otrosí en el escrito de promoción del conflicto positivo de competencia, el Letrado de la Comunidad de Madrid solicita, al amparo del art. 64.3 LOTC, la suspensión de la vigencia de la totalidad del Real Decreto 1301/2006, de 10 de noviembre, o, subsidiariamente, de sus arts. 3.5. 13, 14.2, 25, 26.2 y 4, 28, 30.2 y 35.4 y 6, por entender que el mantenimiento de la efectividad de la resolución impugnada o de los preceptos citados podría producir perjuicios de imposible o difícil reparación.</w:t>
      </w:r>
    </w:p>
    <w:p w:rsidR="00D06117" w:rsidRDefault="00D06117" w:rsidP="00D06117">
      <w:pPr>
        <w:pStyle w:val="TextoNormal"/>
      </w:pPr>
    </w:p>
    <w:p w:rsidR="00D06117" w:rsidRDefault="00D06117" w:rsidP="00D06117">
      <w:pPr>
        <w:pStyle w:val="TextoNormal"/>
      </w:pPr>
      <w:r>
        <w:t>Mediante otrosí en su escrito de alegaciones el Abogado del Estado se opone a la suspensión solicitada, al entender que no resultan acreditados los graves perjuicios de reparación imposible que se irrogarían a los ciudadanos y a las empresas por la restrictiva regulación de los establecimientos privados de tejidos destinados al uso autólogo eventual. Asimismo, destaca el Abogado del Estado el perjuicio que, para el interés general, daría lugar la suspensión de la vigencia del real decreto impugnado, en tanto que dicha suspensión dejaría sin control sanitario real y efectivo numerosas actividades previstas en el mismo y ello entrañaría un riesgo evidente para la salud de los ciudadanos así como evidentes perjuicios al interés general en materia de seguridad biológica.</w:t>
      </w:r>
    </w:p>
    <w:p w:rsidR="00D06117" w:rsidRDefault="00D06117" w:rsidP="00D06117">
      <w:pPr>
        <w:pStyle w:val="TextoNormal"/>
      </w:pPr>
    </w:p>
    <w:p w:rsidR="00D06117" w:rsidRDefault="00D06117" w:rsidP="00D06117">
      <w:pPr>
        <w:pStyle w:val="TextoNormal"/>
      </w:pPr>
      <w:r>
        <w:t>Por ATC 258/2007, de 23 de mayo, el Pleno del Tribunal Constitucional acordó no acceder a la suspensión de la vigencia del Real Decreto 1301/2006 ni a la de sus arts. 3.5, 13, 14.2, 25, 26.2 y 4, 28, 30.2 y 35.4 y 6, al estimar que la suspensión de los preceptos cuestionados durante la tramitación del presente proceso constitucional irrogaría evidentes perjuicios para el interés general, en cuanto que quedarían sin regulación numerosas actividades relacionadas con la aplicación terapéutica de células y tejidos humanos, con el consiguiente riesgo para la salud pública.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Por providencia de 14 de febrero de 2012 se acordó señalar para deliberación y votación de la presente Sentencia el día 16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Consejo de Gobierno de la Comunidad Autónoma de Madrid frente al Real Decreto 1301/2006, de 10 de noviembre, por el que se establecen las normas de calidad y seguridad para la donación, la obtención, la evaluación, el procesamiento, la preservación, el almacenamiento y la distribución de células y tejidos humanos y se aprueban las normas de coordinación y funcionamiento para su uso en humanos, y, subsidiariamente, contra sus arts. 3.5, 13, 14.2, 25, 26.2, 26.4, 28, 30.2, 35.4 y 35.6.</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en el análisis del conflicto planteado debemos dar respuesta a las dos cuestiones de orden procesal formuladas por el Abogado del Estado y que, a su juicio, darían lugar a la inadmisibilidad del mismo:</w:t>
      </w:r>
    </w:p>
    <w:p w:rsidR="00D06117" w:rsidRDefault="00D06117" w:rsidP="00D06117">
      <w:pPr>
        <w:pStyle w:val="TextoNormal"/>
      </w:pPr>
    </w:p>
    <w:p w:rsidR="00D06117" w:rsidRDefault="00D06117" w:rsidP="00D06117">
      <w:pPr>
        <w:pStyle w:val="TextoNormal"/>
      </w:pPr>
      <w:r>
        <w:t>a) La primera es la relativa a la discordancia entre el requerimiento del Gobierno de la Comunidad de Madrid al Gobierno de la Nación para que derogue el Real Decreto 1301/2006, de 10 de noviembre, y el escrito de demanda. Para el Abogado del Estado, se prescinde en la demanda de imputar a cualquiera de los preceptos del Real Decreto tacha alguna de incidir en la competencia de autoorganización autonómica y, por otra, se denuncia novedosamente la infracción de la reserva de ley formal al estimar insuficiente el rango del Real Decreto 1301/2006 calificándolo de reglamento autónomo o independiente.</w:t>
      </w:r>
    </w:p>
    <w:p w:rsidR="00D06117" w:rsidRDefault="00D06117" w:rsidP="00D06117">
      <w:pPr>
        <w:pStyle w:val="TextoNormal"/>
      </w:pPr>
    </w:p>
    <w:p w:rsidR="00D06117" w:rsidRDefault="00D06117" w:rsidP="00D06117">
      <w:pPr>
        <w:pStyle w:val="TextoNormal"/>
      </w:pPr>
      <w:r>
        <w:t xml:space="preserve">En relación con esta cuestión previa de índole procesal, la resolución que adoptemos debe tener en cuenta nuestra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LOTC responde a la finalidad primordial de apurar las posibilidades de resolución convencional o negociada de las diferencias entre el Estado y las Comunidades Autónomas.” (STC 128/1999, de 1 de julio, FJ. 3). En efecto, “en un sistema de distribución territorial del poder público inspirado en principios de colaboración y buena fe, a que tantas veces ha hecho referencia este Tribunal, es obvio que el requerimiento previo a que se refiere el art. 63 de la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derecho constitucionalmente reconocido que, en cualquier caso, no justifica que se prive al Gobierno de la Nación de la </w:t>
      </w:r>
      <w:r>
        <w:lastRenderedPageBreak/>
        <w:t>oportunidad y la facultad que la ley le atribuye de evitar, si lo estima necesario o conveniente, la impugnación de sus actos o disposiciones y el consiguiente enfrentamiento en un proceso constitucional” (STC 104/1989, de 8 de junio, FJ 1). Del mismo modo que la existencia del previo requerimiento determina la viabilidad de la formalización de la demanda, “también los requisitos que se establecen en los apartados 2 a 5 del art. 63 LOTC operan de modo imperativo para la válida formalización del conflicto” (SSTC 96/1986, de 10 de julio, y 104/1989; ATC 55/1981, de 3 de junio). En suma, “no cabe estimar que el requerimiento previo al planteamiento de un conflicto positivo de competencia constituya un mero obstáculo o requisito de carácter formalista cuyo incumplimiento pueda ser sanado de oficio por vía interpretativa, o que su finalidad sea simplemente la de permitir a la parte demandada preparar anticipadamente su defensa, de modo que la omisión, siquiera parcial, de aquel trámite previo pudiera entenderse convalidada con las alegaciones formuladas en la posterior demanda” (STC 101/1995, de 20 de junio, FJ 2).</w:t>
      </w:r>
    </w:p>
    <w:p w:rsidR="00D06117" w:rsidRDefault="00D06117" w:rsidP="00D06117">
      <w:pPr>
        <w:pStyle w:val="TextoNormal"/>
      </w:pPr>
    </w:p>
    <w:p w:rsidR="00D06117" w:rsidRDefault="00D06117" w:rsidP="00D06117">
      <w:pPr>
        <w:pStyle w:val="TextoNormal"/>
      </w:pPr>
      <w:r>
        <w:t>Pues bien, conforme a esta doctrina, el reproche de procedibilidad debe ser estimado. No existe en el presente supuesto una clara correlación entre el requerimiento y la demanda de tal manera que es en el escrito de demanda cuando se plantea por primera vez que el Estado ha infringido el principio de reserva de ley formal para la determinación de las bases, al fijar la normativa básica en materia de utilización de células y tejidos humanos mediante un reglamento que carece de habilitación y fundamento en una norma legal. En consecuencia, no podemos entrar en el aspecto relativo a la infracción del invocado principio de reserva de ley formal en la determinación de las bases, pues al no haberse planteado esta cuestión en el escrito de requerimiento éste no puede cumplir la finalidad primordial de generar las posibilidades de resolución convencional o negociada de las diferencias entre la Comunidad Autónoma y el Estado.</w:t>
      </w:r>
    </w:p>
    <w:p w:rsidR="00D06117" w:rsidRDefault="00D06117" w:rsidP="00D06117">
      <w:pPr>
        <w:pStyle w:val="TextoNormal"/>
      </w:pPr>
    </w:p>
    <w:p w:rsidR="00D06117" w:rsidRDefault="00D06117" w:rsidP="00D06117">
      <w:pPr>
        <w:pStyle w:val="TextoNormal"/>
      </w:pPr>
      <w:r>
        <w:t>Por el contrario, el requerimiento de incompetencia apreciaba que el Real Decreto 1301/2006 afecta a las competencias autonómicas de autoorganización de la Administración autonómica de Madrid en su actuación como autoridad sanitaria, lo que, sin embargo, no figura en la demanda. Pues bien, la decisión de la Comunidad Autónoma de no incluir en la demanda conflictual este aspecto conlleva que quede al margen del presente proceso.</w:t>
      </w:r>
    </w:p>
    <w:p w:rsidR="00D06117" w:rsidRDefault="00D06117" w:rsidP="00D06117">
      <w:pPr>
        <w:pStyle w:val="TextoNormal"/>
      </w:pPr>
    </w:p>
    <w:p w:rsidR="00D06117" w:rsidRDefault="00D06117" w:rsidP="00D06117">
      <w:pPr>
        <w:pStyle w:val="TextoNormal"/>
      </w:pPr>
      <w:r>
        <w:t>b) La segunda cuestión de orden procesal planteada por el Abogado del Estado se refiere a que las alegaciones contenidas en la demanda resultan de todo punto insuficientes a los efectos de obtener el pronunciamiento de vulneración competencial y consiguiente anulación en su totalidad que persigue en relación con el carácter básico atribuido al Real Decreto 1301/2006. Se contienen, a su juicio, aseveraciones genéricas, huérfanas de razonamiento, que difícilmente permitirán a este Tribunal entrar a valorar el problema de fondo planteado.</w:t>
      </w:r>
    </w:p>
    <w:p w:rsidR="00D06117" w:rsidRDefault="00D06117" w:rsidP="00D06117">
      <w:pPr>
        <w:pStyle w:val="TextoNormal"/>
      </w:pPr>
    </w:p>
    <w:p w:rsidR="00D06117" w:rsidRDefault="00D06117" w:rsidP="00D06117">
      <w:pPr>
        <w:pStyle w:val="TextoNormal"/>
      </w:pPr>
      <w:r>
        <w:t xml:space="preserve">En este punto, es necesario recordar de nuevo, como tempranamente tuvimos ocasión de afirmar,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de 8 de abril, FJ 3, reiterada en las SSTC 43/1996, de 15 de abril, </w:t>
      </w:r>
      <w:r>
        <w:lastRenderedPageBreak/>
        <w:t>FJ 3; 36/1994, de 10 de febrero, FJ 1; y 61/1997, de 20 de marzo, FJ 13). Ello supone que no debe estimarse una pretensión que sólo descansa en la mera aseveración genérica, huérfana de toda argumentación, de una supuesta afectación de títulos competenciales, pues “no puede este Tribunal razonar en abstracto cuando el proceso constitucional atiende a controversias fundadas en una vindicatio potestatis porque entonces la carga del actor de pormenorizar el despojo competencial que denuncia es, si cabe, mayor que en otros procesos” (SSTC 43/1996, de 15 de abril, FJ 3; y 61/1997, de 20 de marzo, FJ 13). Nuestra jurisprudencia no admite que las controversias competenciales sean suscitadas desde un plano abstracto y generalizado, que prescinda de contrastar, de manera singularizada, los títulos competenciales invocados y el concreto contenido de cada uno de los preceptos sobre los cuales se proyecta la impugnación (SSTC 147/1991, de 4 de julio, FJ 4; 141/1993, de 22 de abril, FJ 5; y 146/1996, de 19 de septiembre, FJ 1).</w:t>
      </w:r>
    </w:p>
    <w:p w:rsidR="00D06117" w:rsidRDefault="00D06117" w:rsidP="00D06117">
      <w:pPr>
        <w:pStyle w:val="TextoNormal"/>
      </w:pPr>
    </w:p>
    <w:p w:rsidR="00D06117" w:rsidRDefault="00D06117" w:rsidP="00D06117">
      <w:pPr>
        <w:pStyle w:val="TextoNormal"/>
      </w:pPr>
      <w:r>
        <w:t>A partir de lo anterior no cabe advertir contenido argumentativo suficiente dirigido a la impugnación como un todo del Real Decreto 1301/2006, de 10 de noviembre, al limitarse a afirmar el Consejo de Gobierno de la Comunidad de Madrid que su impugnación, “se basa en el carácter excesivamente exhaustivo, minucioso y detallado de la regulación aprobada, rasgo que se puede apreciar con una simple lectura de la citada disposición, y que apenas deja margen de maniobra para que las Comunidades Autónomas puedan adoptar no ya políticas propias en la materia, sino tan siquiera complementar la normativa estatal para adaptarla a sus peculiaridades, invadiendo con ello las competencias autonómicas de desarrollo legislativo y ejecución de la normativa básica e infringiendo la prohibición de agotamiento de la materia que se deriva de los requisitos materiales de las bases estatales”.</w:t>
      </w:r>
    </w:p>
    <w:p w:rsidR="00D06117" w:rsidRDefault="00D06117" w:rsidP="00D06117">
      <w:pPr>
        <w:pStyle w:val="TextoNormal"/>
      </w:pPr>
    </w:p>
    <w:p w:rsidR="00D06117" w:rsidRDefault="00D06117" w:rsidP="00D06117">
      <w:pPr>
        <w:pStyle w:val="TextoNormal"/>
      </w:pPr>
      <w:r>
        <w:t>La pretensión del Consejo de Gobierno de la Comunidad de Madrid, en efecto, no está acompañada de la preceptiva fundamentación y precisión que resultan exigibles y que permitan al Abogado del Estado —al que asiste, como parte recurrida, el derecho de defensa— así como a este Tribunal —que ha de pronunciar la Sentencia— conocer las razones por las que la Comunidad de Madrid considera que el Real Decreto 1301/2006 en su totalidad transgrede el orden constitucional y estatutario de distribución de competencias entre el Estado y las Comunidades Autónomas.</w:t>
      </w:r>
    </w:p>
    <w:p w:rsidR="00D06117" w:rsidRDefault="00D06117" w:rsidP="00D06117">
      <w:pPr>
        <w:pStyle w:val="TextoNormal"/>
      </w:pPr>
    </w:p>
    <w:p w:rsidR="00D06117" w:rsidRDefault="00D06117" w:rsidP="00D06117">
      <w:pPr>
        <w:pStyle w:val="TextoNormal"/>
      </w:pPr>
      <w:r>
        <w:t>Por ello, hemos de ceñir nuestro enjuiciamiento únicamente de aquellos preceptos —que se dicen impugnados con carácter subsidiario— respecto de los cuales la demanda contiene la argumentación imprescindible para hacer posible el pronunciamiento de este Tribunal, esto es, respecto de los arts. 3.5, 13, 14.2, 25, 26.2 y 4, 28, 30.2 y 35.4 y 6 del Real Decreto 1301/2006, a los que más adelante aludiremos en detalle.</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El presente conflicto positivo de competencia debe enmarcarse en el sistema constitucional y estatutario de distribución de competencias en materia de sanidad. En relación con este marco competencial, es preciso recordar, que “corresponden al Estado en materia de sanidad interior las bases, la coordinación general y la alta inspección” (STC 32/1983, de 28 de abril, FJ 2).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w:t>
      </w:r>
      <w:r>
        <w:lastRenderedPageBreak/>
        <w:t>tiempo, el punto de partida y el límite a partir del cual puede ejercer la Comunidad Autónoma, en defensa del propio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 Por tanto, ni la fijación de las bases ni la coordinación general a la que también se refiere la regla 16 del art. 149.1 CE (que persigue la integración de la diversidad de las partes o subsistemas en el conjunto o sistema, evitando contradicciones, y reduciendo disfunciones según SSTC 32/1983, de 28 de abril, FJ 2; 42/1983, de 20 de mayo, FJ 3; 80/1985, de 4 de julio, FJ 2), deben llegar a tal grado de desarrollo que dejen vacías de contenido las correspondientes competencias que las Comunidades Autónomas hayan asumido en la materia (STC 32/1983, de 28 de abril, FJ 2)” (STC 98/2004, de 25 de mayo, FJ 6). Efectivamente, continúa señalando la STC 98/2004, de 25 de mayo, FJ 7,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w:t>
      </w:r>
    </w:p>
    <w:p w:rsidR="00D06117" w:rsidRDefault="00D06117" w:rsidP="00D06117">
      <w:pPr>
        <w:pStyle w:val="TextoNormal"/>
      </w:pPr>
    </w:p>
    <w:p w:rsidR="00D06117" w:rsidRDefault="00D06117" w:rsidP="00D06117">
      <w:pPr>
        <w:pStyle w:val="TextoNormal"/>
      </w:pPr>
      <w:r>
        <w:t xml:space="preserve">Por lo que se refiere a la coordinación, ésta “persigue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 propósito de la cual conviene señalar las siguientes precisiones: en primer lugar, es una competencia distinta a la de fijación de bases; en segundo término, la competencia de coordinación general presupone lógicamente que hay algo que debe ser coordinado, esto es, presupone la existencia de competencias de las Comunidades en materia de Sanidad, competencia que el Estado, al coordinarlas, debe obviamente respetar; por otro lado,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ha de precisarse también, por lo que ahora interesa, que la coordinación general debe ser entendida como la fijación de medios </w:t>
      </w:r>
      <w:r>
        <w:lastRenderedPageBreak/>
        <w:t>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parciales en la globalidad del sistema sanitario. Todo ello, en el mismo sentido de nuestra anterior Sentencia de 28 de abril de 1983” (STC 42/1983, de 20 de mayo, FJ 3).</w:t>
      </w:r>
    </w:p>
    <w:p w:rsidR="00D06117" w:rsidRDefault="00D06117" w:rsidP="00D06117">
      <w:pPr>
        <w:pStyle w:val="TextoNormal"/>
      </w:pPr>
    </w:p>
    <w:p w:rsidR="00D06117" w:rsidRDefault="00D06117" w:rsidP="00D06117">
      <w:pPr>
        <w:pStyle w:val="TextoNormal"/>
      </w:pPr>
      <w:r>
        <w:t>A los anteriores conceptos de “bases y coordinación” hay que añadir el de “alta inspección”. Este título competencial, que no recoge expresamente el art. 149.1.16 CE, sí viene reconocido por los Estatutos de Autonomía de las Comunidades Autónomas, en el de Madrid, aprobado por la Ley Orgánica 3/1983, de 25 de febrero, en el art. 28.1.1.1, y en la Ley 16/2003, de 28 de mayo, de cohesión y calidad del sistema nacional de salud (capítulo XI). Como hemos indicado, entre otras, en las Sentencias 32/1983, de 28 de abril, FJ 2, y 42/1983, de 20 de mayo, FJ 3, “la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a las Comunidades Autónomas, pero no a sustituirlos convirtiendo a dicha Alta inspección en un mecanismo de control”.</w:t>
      </w:r>
    </w:p>
    <w:p w:rsidR="00D06117" w:rsidRDefault="00D06117" w:rsidP="00D06117">
      <w:pPr>
        <w:pStyle w:val="TextoNormal"/>
      </w:pPr>
    </w:p>
    <w:p w:rsidR="00D06117" w:rsidRDefault="00D06117" w:rsidP="00D06117">
      <w:pPr>
        <w:pStyle w:val="TextoNormal"/>
      </w:pPr>
      <w:r>
        <w:t>Una vez que hemos recordado la doctrina constitucional en relación con el sistema de distribución de competencias en materia de sanidad, lo que debemos comprobar acto seguido es si, en los concretos preceptos a los que ya hemos aludido del Real Decreto 1301/2006, el Estado se ha excedido en el ejercicio de las competencias que le reconoce el art. 149.1.16 CE, invadiendo, por tanto, las competencias de la Comunidad de Madrid en materia de sanidad.</w:t>
      </w:r>
    </w:p>
    <w:p w:rsidR="00D06117" w:rsidRDefault="00D06117" w:rsidP="00D06117">
      <w:pPr>
        <w:pStyle w:val="TextoNormal"/>
      </w:pPr>
    </w:p>
    <w:p w:rsidR="00D06117" w:rsidRDefault="00D06117" w:rsidP="00D06117">
      <w:pPr>
        <w:pStyle w:val="TextoNormal"/>
      </w:pPr>
      <w:r w:rsidRPr="00D06117">
        <w:rPr>
          <w:rStyle w:val="NumeroAFNegritaCaracter"/>
        </w:rPr>
        <w:t>4</w:t>
      </w:r>
      <w:r>
        <w:t>. A fin de responder a las cuestiones planteadas en el presente conflicto hemos de partir del concreto contenido de la norma impugnada. Conforme a su art. 1 su finalidad es regular las actividades relacionadas con la utilización de células y tejidos humanos y los productos elaborados derivados de ellos, cuando están destinados a ser aplicados en el ser humano. Las actividades reguladas incluyen su donación, obtención, evaluación, procesamiento, preservación, almacenamiento, distribución, aplicación e investigación clínica.</w:t>
      </w:r>
    </w:p>
    <w:p w:rsidR="00D06117" w:rsidRDefault="00D06117" w:rsidP="00D06117">
      <w:pPr>
        <w:pStyle w:val="TextoNormal"/>
      </w:pPr>
    </w:p>
    <w:p w:rsidR="00D06117" w:rsidRDefault="00D06117" w:rsidP="00D06117">
      <w:pPr>
        <w:pStyle w:val="TextoNormal"/>
      </w:pPr>
      <w:r>
        <w:t>Con objeto de asegurar la calidad y seguridad de las células y tejidos utilizados, el real decreto regula los sistemas de control de los procesos que se suceden desde la obtención de las células y tejidos hasta su implantación, y las condiciones que deben reunir los centros y unidades de obtención y aplicación, y los establecimientos de tejidos. Esta norma incorpora al ordenamiento jurídico el contenido de la Directiva 2004/23/CE del Parlamento Europeo y del Consejo, de 31 de marzo de 2004, relativa al establecimiento de normas de calidad y de seguridad para la donación, la obtención, la evaluación, el procesamiento, la preservación, el almacenamiento y la distribución de células y tejidos humanos, y la Directiva 2006/17/CE de la Comisión, de 8 de febrero de 2006, por la que se aplica la Directiva 2004/23/CE del Parlamento Europeo y del Consejo, en lo relativo a determinados requisitos técnicos para la donación, la obtención y la evaluación de células y tejidos humanos.</w:t>
      </w:r>
    </w:p>
    <w:p w:rsidR="00D06117" w:rsidRDefault="00D06117" w:rsidP="00D06117">
      <w:pPr>
        <w:pStyle w:val="TextoNormal"/>
      </w:pPr>
    </w:p>
    <w:p w:rsidR="00D06117" w:rsidRDefault="00D06117" w:rsidP="00D06117">
      <w:pPr>
        <w:pStyle w:val="TextoNormal"/>
      </w:pPr>
      <w:r>
        <w:t xml:space="preserve">El capítulo I (artículos 1 a 6) regula el objeto y ámbito de aplicación del real decreto, recoge un listado de definiciones y concreta los principios generales de gratuidad, carácter </w:t>
      </w:r>
      <w:r>
        <w:lastRenderedPageBreak/>
        <w:t>no lucrativo y confidencialidad, determina los límites de las actividades de promoción y publicidad y define el desarrollo de acciones de formación y educación. El capítulo II (artículos 7 a 13) regula la donación y obtención de células y tejidos de donantes vivos y fallecidos, los usos autólogos y alogénicos, los requisitos de autorización de los centros y unidades de obtención de células y tejidos, los procedimientos de selección y evaluación de los donantes, la obtención de las células y tejidos, su empaquetado, etiquetado y transporte, y el sistema de recogida y custodia de la información de estos centros. El capítulo III (artículos 14 a 25) establece el sistema de autorización de actividades en los establecimientos de tejidos y sus condiciones generales de funcionamiento, así como el sistema de responsabilidad en su organización y funcionamiento; se fijan los criterios para la recepción, procesamiento, almacenamiento, identificación y distribución de las células y tejidos desde los establecimientos y se regulan la importación y exportación a países no integrantes de la Unión Europea, las relaciones entre los establecimientos de tejidos y terceros y el sistema de recogida y custodia de la información. El capítulo IV (artículos 26 a 29) regula la aplicación de las células y tejidos mediante la determinación del sistema de autorización de los centros y unidades de aplicación, la fijación de los principios de disponibilidad y accesibilidad de las células y tejidos almacenados, el sistema de recogida de información, y la investigación clínica con células y tejidos. El capítulo V (artículos 30 a 34) prevé la creación de un registro nacional de centros y unidades de obtención y aplicación de células y tejidos y de establecimientos de tejidos, establece un sistema de información general, la trazabilidad como elemento central del sistema, un sistema de codificación y un sistema de biovigilancia. Y, el capítulo VI (artículos 35 a 37) regula la inspección y evaluación de los establecimientos, la evaluación y acreditación de excelencia de los centros y servicios y las infracciones y sanciones en la materia.</w:t>
      </w:r>
    </w:p>
    <w:p w:rsidR="00D06117" w:rsidRDefault="00D06117" w:rsidP="00D06117">
      <w:pPr>
        <w:pStyle w:val="TextoNormal"/>
      </w:pPr>
    </w:p>
    <w:p w:rsidR="00D06117" w:rsidRDefault="00D06117" w:rsidP="00D06117">
      <w:pPr>
        <w:pStyle w:val="TextoNormal"/>
      </w:pPr>
      <w:r>
        <w:t>Tal y como apuntamos en el fundamento jurídico 2 la representación procesal del Consejo de Gobierno de la Comunidad de Madrid considera que incurren en extralimitación competencial los arts. 3.5, en cuanto prevé que las actividades de los establecimientos de tejidos no tendrán carácter lucrativo; 13, 25, 26.4, 28 y 30.2, en cuanto plantean problemas en los circuitos de información que inciden en las competencias ejecutivas propias de la Comunidad Autónoma; 14.2 y 26.2, al especificar un plazo de validez para las autorizaciones entre dos y cuatro años; 35.4, en los referente a la obligación de las Comunidades Autónomas de efectuar inspecciones regulares con un intervalo entre dos inspecciones que no podrá superar los dos años; y, 35.6, al prever que la inspección afectará no sólo a los establecimientos de tejidos sino también a todos aquellos terceros con los que existan relaciones contractuales.</w:t>
      </w:r>
    </w:p>
    <w:p w:rsidR="00D06117" w:rsidRDefault="00D06117" w:rsidP="00D06117">
      <w:pPr>
        <w:pStyle w:val="TextoNormal"/>
      </w:pPr>
    </w:p>
    <w:p w:rsidR="00D06117" w:rsidRDefault="00D06117" w:rsidP="00D06117">
      <w:pPr>
        <w:pStyle w:val="TextoNormal"/>
      </w:pPr>
      <w:r w:rsidRPr="00D06117">
        <w:rPr>
          <w:rStyle w:val="NumeroAFNegritaCaracter"/>
        </w:rPr>
        <w:t>5</w:t>
      </w:r>
      <w:r>
        <w:t>. Conforme a las consideraciones generales expuestas, procede a continuación examinar sistemáticamente la constitucionalidad de los preceptos impugnados, desde el punto de vista de su adecuación o no al orden de competencias, siguiendo el orden en el que han sido impugnados en el escrito de interposición del conflicto.</w:t>
      </w:r>
    </w:p>
    <w:p w:rsidR="00D06117" w:rsidRDefault="00D06117" w:rsidP="00D06117">
      <w:pPr>
        <w:pStyle w:val="TextoNormal"/>
      </w:pPr>
    </w:p>
    <w:p w:rsidR="00D06117" w:rsidRDefault="00D06117" w:rsidP="00D06117">
      <w:pPr>
        <w:pStyle w:val="TextoNormal"/>
      </w:pPr>
      <w:r>
        <w:t xml:space="preserve">Comenzamos, en consecuencia, nuestro enjuiciamiento por el art. 35.4. Según establece el apartado 1 del art. 35 del Real Decreto 1301/2006, las autoridades competentes de las Comunidades Autónomas efectuarán inspecciones periódicas para garantizar que los establecimientos de tejidos autorizados en el ámbito de sus competencias cumplen los requisitos de este real decreto y aplican las medidas de control de calidad exigidas en él. El apartado </w:t>
      </w:r>
      <w:r>
        <w:lastRenderedPageBreak/>
        <w:t>4 del art. 35, que es el precepto impugnado, señala: “4. El intervalo entre dos inspecciones regulares será de dos años”.</w:t>
      </w:r>
    </w:p>
    <w:p w:rsidR="00D06117" w:rsidRDefault="00D06117" w:rsidP="00D06117">
      <w:pPr>
        <w:pStyle w:val="TextoNormal"/>
      </w:pPr>
    </w:p>
    <w:p w:rsidR="00D06117" w:rsidRDefault="00D06117" w:rsidP="00D06117">
      <w:pPr>
        <w:pStyle w:val="TextoNormal"/>
      </w:pPr>
      <w:r>
        <w:t>A juicio del Letrado de la Comunidad de Madrid este aspecto no figura en las directivas comunitarias traspuestas por el texto impugnado y afecta al ámbito propio de competencias ejecutivas de la Comunidad Autónoma. Por su parte, para el Abogado del Estado, basta una lectura del apartado 3 del art. 7 de la Directiva 2004/23/CE para refutar el argumento expuesto de contrario: “La autoridad o autoridades competentes organizarán inspecciones y aplicarán medidas de control periódicamente. El intervalo entre dos inspecciones no podrá ser superior a dos años”. Para el Abogado del Estado la periodicidad de las inspecciones no sólo constituye una manifestación del ejercicio de la función de coordinación constitucionalmente atribuida al Estado en materia sanitaria, sino que además resulta plenamente coherente con el citado art. 7.3 de la Directiva 2004/23/CE.</w:t>
      </w:r>
    </w:p>
    <w:p w:rsidR="00D06117" w:rsidRDefault="00D06117" w:rsidP="00D06117">
      <w:pPr>
        <w:pStyle w:val="TextoNormal"/>
      </w:pPr>
    </w:p>
    <w:p w:rsidR="00D06117" w:rsidRDefault="00D06117" w:rsidP="00D06117">
      <w:pPr>
        <w:pStyle w:val="TextoNormal"/>
      </w:pPr>
      <w:r>
        <w:t>Apreciada la relación entre la norma recurrida y la Directiva comunitaria citada, hay que señalar que nuestra doctrina ha reiterado que “aunque se trate de disposiciones que articulan o aplican otras del Derecho derivado europeo … las normas que han de servir de pauta para la resolución de estos conflictos son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pues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(STC 79/1992, de 28 de mayo, FJ 1).</w:t>
      </w:r>
    </w:p>
    <w:p w:rsidR="00D06117" w:rsidRDefault="00D06117" w:rsidP="00D06117">
      <w:pPr>
        <w:pStyle w:val="TextoNormal"/>
      </w:pPr>
    </w:p>
    <w:p w:rsidR="00D06117" w:rsidRDefault="00D06117" w:rsidP="00D06117">
      <w:pPr>
        <w:pStyle w:val="TextoNormal"/>
      </w:pPr>
      <w:r>
        <w:t xml:space="preserve">Como hemos señalado en el fundamento jurídico 3, los Estatutos de Autonomía que han contemplado competencias en materia de organización y administración de los servicios sanitarios y la Ley 16/2003, de 28 de mayo, de cohesión y calidad del sistema nacional de salud, han reservado a favor del Estado la alta inspección, correspondiendo a las Comunidades Autónomas la inspección ordinaria. La fijación por la norma estatal de un intervalo para que las autoridades competentes de las Comunidades Autónomas efectúen la inspección regular de los establecimientos de tejidos autorizados es una regla que no se puede subsumir dentro de la alta inspección que corresponde al Estado, pero sí encaja dentro de la coordinación general de la Sanidad. La periodicidad de las inspecciones fijada en el art. 35.4 constituye, como señala el Abogado del Estado, una manifestación de la función de coordinación constitucionalmente atribuida al Estado en materia sanitaria. Así, el art. 73 de la Ley 14/1986, de 25 de abril, general de sanidad, recogiendo lo dispuesto en la STC 32/1983, de 28 de abril, define la coordinación general sanitaria como “la fijación de medios y sistemas de relación para facilitar la información recíproca, la homogeneidad técnica en determinados aspectos y la acción conjunta de las Administraciones públicas y sanitarias, en el ejercicio de sus respectivas competencias, de tal modo que se logre la integración de actos parciales en la globalidad del Sistema Nacional de Salud”. Por tanto, debemos afirmar que la fijación por la norma estatal de una periodicidad en las inspecciones es una norma de seguridad que trata de establecer un criterio común de control o de evaluación de la eficacia en </w:t>
      </w:r>
      <w:r>
        <w:lastRenderedPageBreak/>
        <w:t>todo el Estado con la finalidad de garantizar que los establecimientos de tejidos autorizados cumplen los requisitos del Real Decreto 1301/2006 y aplican las medidas de control de calidad exigidas en él. En consecuencia, en la medida en que el art. 35.4 contiene una regla de coordinación general en materia sanitaria no incurre en infracción del orden constitucional de distribución de competencias.</w:t>
      </w:r>
    </w:p>
    <w:p w:rsidR="00D06117" w:rsidRDefault="00D06117" w:rsidP="00D06117">
      <w:pPr>
        <w:pStyle w:val="TextoNormal"/>
      </w:pPr>
    </w:p>
    <w:p w:rsidR="00D06117" w:rsidRDefault="00D06117" w:rsidP="00D06117">
      <w:pPr>
        <w:pStyle w:val="TextoNormal"/>
      </w:pPr>
      <w:r w:rsidRPr="00D06117">
        <w:rPr>
          <w:rStyle w:val="NumeroAFNegritaCaracter"/>
        </w:rPr>
        <w:t>6</w:t>
      </w:r>
      <w:r>
        <w:t>. En segundo lugar, nuestro enjuiciamiento se centra en los arts. 14.2 y 26.2 del Real Decreto 1301/2006. De conformidad con lo establecido en el apartado 1 del art. 14, las actividades relacionadas con el procesamiento, almacenamiento y distribución de células y tejidos humanos podrán realizarse sólo en aquellos centros o unidades sanitarias debidamente autorizados por la autoridad sanitaria competente, siguiendo las bases generales de autorización de centros, servicios y establecimientos sanitarios que establece el Real Decreto 1277/2003, de 10 de octubre, y siempre que se cumpla con los requisitos y condiciones mínimas recogidos en el anexo I.2 de este real decreto. A continuación, el apartado 2 del art. 14, reiterando lo dispuesto en el art. 9.2 del Real Decreto 1301/2006 —precepto que sin embargo no se impugna—, señala:</w:t>
      </w:r>
    </w:p>
    <w:p w:rsidR="00D06117" w:rsidRDefault="00D06117" w:rsidP="00D06117">
      <w:pPr>
        <w:pStyle w:val="TextoNormal"/>
      </w:pPr>
    </w:p>
    <w:p w:rsidR="00D06117" w:rsidRDefault="00D06117" w:rsidP="00D06117">
      <w:pPr>
        <w:pStyle w:val="TextoNormal"/>
      </w:pPr>
      <w:r>
        <w:t>“2. Estos centros y unidades sanitarias deberán contar con una autorización específica para el desarrollo de cada uno de los procesos y actividades del apartado anterior por cada tipo de tejido o grupo celular, según los requisitos recogidos en el anexo I.3. La validez de las autorizaciones se extenderá por un periodo de tiempo determinado no inferior a dos años ni superior a cuatro, al término del cual se podrá proceder a su renovación, previa constatación de que persisten las condiciones y requisitos que dieron lugar a su concesión. En ningún caso se entenderá prorrogada de forma automática.”</w:t>
      </w:r>
    </w:p>
    <w:p w:rsidR="00D06117" w:rsidRDefault="00D06117" w:rsidP="00D06117">
      <w:pPr>
        <w:pStyle w:val="TextoNormal"/>
      </w:pPr>
    </w:p>
    <w:p w:rsidR="00D06117" w:rsidRDefault="00D06117" w:rsidP="00D06117">
      <w:pPr>
        <w:pStyle w:val="TextoNormal"/>
      </w:pPr>
      <w:r>
        <w:t>Por su parte, el art. 26 del Real Decreto 1301/2006 hace referencia a la autorización de la aplicación de células y tejidos en centros o unidades de aplicación. De conformidad con lo establecido en su apartado 1 la aplicación de células y tejidos humanos podrá realizarse sólo en aquellos centros o unidades sanitarias debidamente autorizados por la autoridad sanitaria competente siguiendo las bases generales de autorización de centros, servicios y establecimientos sanitarios que fija el Real Decreto 1277/2003, de 10 de octubre, y siempre que se cumpla con los requisitos y condiciones mínimas recogidos en el anexo I.4 de este real decreto. Seguidamente, el apartado 2 del art. 26 señala:</w:t>
      </w:r>
    </w:p>
    <w:p w:rsidR="00D06117" w:rsidRDefault="00D06117" w:rsidP="00D06117">
      <w:pPr>
        <w:pStyle w:val="TextoNormal"/>
      </w:pPr>
    </w:p>
    <w:p w:rsidR="00D06117" w:rsidRDefault="00D06117" w:rsidP="00D06117">
      <w:pPr>
        <w:pStyle w:val="TextoNormal"/>
      </w:pPr>
      <w:r>
        <w:t>“2. Estos centros y unidades sanitarias deberán contar con una autorización específica para cada actividad de aplicación o implante de células y tejidos y para cada tipo de células y tejidos. La autoridad sanitaria competente de cada comunidad autónoma determinará el periodo de vigencia de las autorizaciones, que no deberá ser inferior a dos años ni superior a cuatro, así como los requisitos para su posible renovación.</w:t>
      </w:r>
    </w:p>
    <w:p w:rsidR="00D06117" w:rsidRDefault="00D06117" w:rsidP="00D06117">
      <w:pPr>
        <w:pStyle w:val="TextoNormal"/>
      </w:pPr>
    </w:p>
    <w:p w:rsidR="00D06117" w:rsidRDefault="00D06117" w:rsidP="00D06117">
      <w:pPr>
        <w:pStyle w:val="TextoNormal"/>
      </w:pPr>
      <w:r>
        <w:t>Cualquier modificación sustancial en las condiciones o requisitos que motivaron la concesión de la autorización deberá ser notificada a la autoridad sanitaria competente, y podrá dar lugar a su revisión o incluso a la revocación de la autorización si las modificaciones suponen una alteración sustancial de las circunstancias que justificaron la concesión.”</w:t>
      </w:r>
    </w:p>
    <w:p w:rsidR="00D06117" w:rsidRDefault="00D06117" w:rsidP="00D06117">
      <w:pPr>
        <w:pStyle w:val="TextoNormal"/>
      </w:pPr>
    </w:p>
    <w:p w:rsidR="00D06117" w:rsidRDefault="00D06117" w:rsidP="00D06117">
      <w:pPr>
        <w:pStyle w:val="TextoNormal"/>
      </w:pPr>
      <w:r>
        <w:t xml:space="preserve">Según se plantea en el escrito de demanda, los arts. 14.2 y 26.2 del Real Decreto, al especificar un plazo de validez para las autorizaciones entre dos y cuatro años, sin explicar </w:t>
      </w:r>
      <w:r>
        <w:lastRenderedPageBreak/>
        <w:t>las diferencias ni las razones de los mismos, afectan al ámbito propio de competencias ejecutivas de la Comunidad de Madrid, concretamente a la organización de los planes de inspección de la Consejería de Sanidad y Consumo y contravienen el espíritu del Real Decreto 1277/2003, de 10 de octubre, por el que se establecen las bases generales sobre autorización de centros, servicios y establecimientos sanitarios, que señala, por ejemplo, en su art. 3.2, que será la Comunidad Autónoma la que establezca la periodicidad de la renovación de las autorizaciones. Por su parte, para el Abogado del Estado estos preceptos están en íntima conexión con el art. 35.4 del Real Decreto 1301/2006 también impugnado. En su opinión, dicho acotamiento del período de validez de estas autorizaciones no menoscaba la competencia autonómica ni para otorgarlas ni para concretar su vigencia dentro del respeto a esos límites mínimo y máximo, sin que pueda calificarse como vicio de inconstitucionalidad la concreción reglamentaria de estos plazos por el hecho de no resultar así previsto con carácter general para la autorización sanitaria de funcionamiento a que se refiere el art. 3.2 del Real Decreto 1277/2003.</w:t>
      </w:r>
    </w:p>
    <w:p w:rsidR="00D06117" w:rsidRDefault="00D06117" w:rsidP="00D06117">
      <w:pPr>
        <w:pStyle w:val="TextoNormal"/>
      </w:pPr>
    </w:p>
    <w:p w:rsidR="00D06117" w:rsidRDefault="00D06117" w:rsidP="00D06117">
      <w:pPr>
        <w:pStyle w:val="TextoNormal"/>
      </w:pPr>
      <w:r>
        <w:t>Pues bien, este Tribunal ya se ha pronunciado en sus SSTC 32/1983, de 28 de abril, y 80/1984, de 20 de julio, acerca de la materia en que debe encuadrarse competencialmente el régimen jurídico de los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w:t>
      </w:r>
    </w:p>
    <w:p w:rsidR="00D06117" w:rsidRDefault="00D06117" w:rsidP="00D06117">
      <w:pPr>
        <w:pStyle w:val="TextoNormal"/>
      </w:pPr>
    </w:p>
    <w:p w:rsidR="00D06117" w:rsidRDefault="00D06117" w:rsidP="00D06117">
      <w:pPr>
        <w:pStyle w:val="TextoNormal"/>
      </w:pPr>
      <w:r>
        <w:t xml:space="preserve">La fijación de las condiciones mínimas que deben ser exigidas para la regulación y autorización por parte de las Comunidades Autónomas de la apertura y puesta en funcionamiento en su respectivo ámbito territorial de los centros, servicios y establecimientos sanitarios, se ha llevado a cabo por el Real Decreto 1277/2003, de 10 de octubre, por el que se establecen las bases generales sobre autorización de centros, servicios y establecimientos sanitarios. La finalidad de este real decreto es, entre otras, regular las bases generales del procedimiento de autorización de centros, servicios y establecimientos sanitarios por las Comunidades Autónomas. En este sentido, la norma establece unos requisitos mínimos comunes para la autorización de instalación, funcionamiento o modificación de un centro, servicio o establecimiento sanitario que podrán ser complementados en cada Comunidad Autónoma por la Administración sanitaria correspondiente para los centros, servicios y establecimientos sanitarios de su ámbito. Por lo que se refiere a las autorizaciones de funcionamiento, la norma no fija plazo de vigencia alguno a dicha autorización sino que, según establece el art. 3.2 del Real Decreto 1277/2003, serán renovadas, en su caso, con la periodicidad que determine cada Comunidad Autónoma. Pero, al margen de los requisitos que los centros sanitarios deben cumplir para la obtención de la correspondiente autorización de apertura y puesta en funcionamiento, en algunos supuestos se exige a los mismos una autorización específica </w:t>
      </w:r>
      <w:r>
        <w:lastRenderedPageBreak/>
        <w:t>para realizar determinadas actividades. Éste es el caso de los centros que lleven a cabo actividades relacionadas con el procesamiento, almacenamiento y distribución de células y tejidos humanos según lo previsto en los arts. 14 y 26 del Real Decreto 1301/2006, de 10 de noviembre. Estos preceptos señalan los requisitos mínimos que cada Comunidad Autónoma deberá exigir para la concesión de la autorización y fijan además un plazo de validez a las autorizaciones, entre dos y cuatro años, a juicio de cada Comunidad Autónoma. La duda es si la fijación de unos plazos mínimo y máximo a la validez de las autorizaciones es una norma básica y, por tanto, competencia del Estado o, por el contrario, es una cuestión meramente de ejecución, competencia de las Comunidades Autónomas.</w:t>
      </w:r>
    </w:p>
    <w:p w:rsidR="00D06117" w:rsidRDefault="00D06117" w:rsidP="00D06117">
      <w:pPr>
        <w:pStyle w:val="TextoNormal"/>
      </w:pPr>
    </w:p>
    <w:p w:rsidR="00D06117" w:rsidRDefault="00D06117" w:rsidP="00D06117">
      <w:pPr>
        <w:pStyle w:val="TextoNormal"/>
      </w:pPr>
      <w:r>
        <w:t>Pues bien, el plazo de validez de la autorización no es ni un requisito técnico ni una condición mínima que deba cumplir el establecimiento sanitario para la obtención de la autorización, en cuyo caso la competencia estatal vendría confirmada por la doctrina de las SSTC 32/1983, de 28 de abril, y 80/1984, de 20 de julio, sino que el plazo de validez forma parte del contenido de la propia autorización que se otorga. El fijar un determinado contenido a la autorización, como es en este caso el período mínimo y máximo de vigencia de la misma, confirma un mínimo común normativo para todo el territorio nacional, por lo que la norma debe configurarse como básica. La fijación de un plazo de validez a la autorización no constituye una norma procedimental o de ejecución competencia de la Comunidad Autónoma sino una norma básica que responde a la necesidad de garantizar en todo el territorio del Estado la calidad y la seguridad de los tejidos y células. En efecto, la autorización administrativa es un instrumento de intervención, de carácter preventivo, que protege el interés general y es precisamente esta protección del interés general lo que justifica la fijación por parte del Estado de un período de vigencia a las autorizaciones para llevar a cabo actividades relacionadas con el procesamiento, almacenamiento y distribución de células y tejidos humanos. Así, la fijación de un período de vigencia a la autorización superior a cuatro años puede mermar la prestación de la actividad en las condiciones de calidad y seguridad necesarias. Por su parte, la fijación de un período de vigencia no inferior a dos años está en íntima conexión con el art. 35.4 del Real Decreto 1301/2006 que, como hemos señalado anteriormente, prevé que las garantías de calidad y seguridad sean inspeccionadas por las autoridades en períodos que no excedan los dos años, por lo que resulta coherente que las autorizaciones estén vigentes, como mínimo, ese mismo período.</w:t>
      </w:r>
    </w:p>
    <w:p w:rsidR="00D06117" w:rsidRDefault="00D06117" w:rsidP="00D06117">
      <w:pPr>
        <w:pStyle w:val="TextoNormal"/>
      </w:pPr>
    </w:p>
    <w:p w:rsidR="00D06117" w:rsidRDefault="00D06117" w:rsidP="00D06117">
      <w:pPr>
        <w:pStyle w:val="TextoNormal"/>
      </w:pPr>
      <w:r w:rsidRPr="00D06117">
        <w:rPr>
          <w:rStyle w:val="NumeroAFNegritaCaracter"/>
        </w:rPr>
        <w:t>7</w:t>
      </w:r>
      <w:r>
        <w:t>. En tercer lugar, nuestro enjuiciamiento se centra en el art. 35.6 del Real Decreto 1301/2006. Según este precepto:</w:t>
      </w:r>
    </w:p>
    <w:p w:rsidR="00D06117" w:rsidRDefault="00D06117" w:rsidP="00D06117">
      <w:pPr>
        <w:pStyle w:val="TextoNormal"/>
      </w:pPr>
    </w:p>
    <w:p w:rsidR="00D06117" w:rsidRDefault="00D06117" w:rsidP="00D06117">
      <w:pPr>
        <w:pStyle w:val="TextoNormal"/>
      </w:pPr>
      <w:r>
        <w:t>“La inspección no sólo afectará a los establecimientos de tejidos sino también a todos aquellos terceros con los que existan relaciones contractuales, e implicará el examen, evaluación y verificación de cualquier infraestructura, equipamiento, información, documento o registro relacionado con lo regulado en este Real Decreto.”</w:t>
      </w:r>
    </w:p>
    <w:p w:rsidR="00D06117" w:rsidRDefault="00D06117" w:rsidP="00D06117">
      <w:pPr>
        <w:pStyle w:val="TextoNormal"/>
      </w:pPr>
    </w:p>
    <w:p w:rsidR="00D06117" w:rsidRDefault="00D06117" w:rsidP="00D06117">
      <w:pPr>
        <w:pStyle w:val="TextoNormal"/>
      </w:pPr>
      <w:r>
        <w:t xml:space="preserve">El Letrado de la Comunidad Autónoma de Madrid alega que este precepto implica un gran cambio en el ámbito y planteamiento de los programas de inspección, al ampliar el ámbito de la función inspectora a las entidades que establezcan relaciones contractuales con los centros autorizados, y que ello supone un rebasamiento del límite material de lo básico y una injerencia directa sobre su potestad organizatoria. Para el Abogado del Estado la determinación del ámbito objetivo y subjetivo de la actuación inspectora constituye un elemento normativo básico cuya fijación compete al Estado, teniendo en cuenta, no obstante, </w:t>
      </w:r>
      <w:r>
        <w:lastRenderedPageBreak/>
        <w:t>que las actuaciones de control sobre terceros con los que existan relaciones contractuales versan exclusivamente sobre aquellas actividades que tengan una implicación directa sobre los estándares de calidad y seguridad de las células y tejidos obtenidos, procesados y utilizados.</w:t>
      </w:r>
    </w:p>
    <w:p w:rsidR="00D06117" w:rsidRDefault="00D06117" w:rsidP="00D06117">
      <w:pPr>
        <w:pStyle w:val="TextoNormal"/>
      </w:pPr>
    </w:p>
    <w:p w:rsidR="00D06117" w:rsidRDefault="00D06117" w:rsidP="00D06117">
      <w:pPr>
        <w:pStyle w:val="TextoNormal"/>
      </w:pPr>
      <w:r>
        <w:t>El art. 24 del Real Decreto 1301/2006, siguiendo lo dispuesto en el art. 24 de la Directiva 2004/23/CE del Parlamento Europeo y del Consejo de 31 de marzo de 2004 (relativa al establecimiento de normas de calidad y de seguridad para la donación, la obtención, la evaluación, el procesamiento, la preservación, el almacenamiento y la distribución de células y tejidos humanos) posibilita y regula las relaciones entre los establecimientos de tejidos y terceros cuya actividad influya o pueda influir en la calidad y en la seguridad de los tejidos y/o células procesadas, y determina que estos vínculos se establezcan por contratos que regulen explícitamente las obligaciones y responsabilidades de las partes y que los contratos y sus titulares sean conocidos por la autoridad competente. La cuestión que se plantea es si al prever el art. 35.6 del Real Decreto 1301/2006 que la actuación inspectora se extienda a los medios, procedimientos e instalaciones utilizados por las empresas con las que se contrata el servicio se está invadiendo la competencia autonómica en materia de inspección.</w:t>
      </w:r>
    </w:p>
    <w:p w:rsidR="00D06117" w:rsidRDefault="00D06117" w:rsidP="00D06117">
      <w:pPr>
        <w:pStyle w:val="TextoNormal"/>
      </w:pPr>
    </w:p>
    <w:p w:rsidR="00D06117" w:rsidRDefault="00D06117" w:rsidP="00D06117">
      <w:pPr>
        <w:pStyle w:val="TextoNormal"/>
      </w:pPr>
      <w:r>
        <w:t>Como se dijo en las SSTC 32/1983, de 28 de abril (FJ 2), y 42/1983, de 20 de mayo (FJ 5), “ha de calificarse como competencia sanitaria de carácter básico y, por tanto, estatal, la determinación con carácter general de los métodos de análisis y medición y de los requisitos técnicos y condiciones mínimas en materia de control sanitario”. En relación con la inspección, el art. 35.6 del Real Decreto 1301/2006 establece la obligación de que la misma se extienda a quienes celebren contratos con los establecimientos sanitarios para desarrollar una actividad que influya o pueda influir en la calidad y en la seguridad de los tejidos y unas condiciones mínimas que debe cumplir dicha inspección que, no obstante, toda Comunidad Autónoma con competencias sanitarias podrá ampliar o desarrollar en la medida en que así lo estime oportuno y adecuado. La norma no invade, por tanto, el ámbito competencial de la Comunidad Autónoma. Como señala el Abogado del Estado, la determinación del ámbito objetivo y subjetivo de la actuación inspectora constituye un elemento normativo básico cuya fijación compete al Estado, pues se trata de fijar un ámbito común en materia de inspección a partir del cual cada Comunidad Autónoma podrá desarrollar sus propias competencias.</w:t>
      </w:r>
    </w:p>
    <w:p w:rsidR="00D06117" w:rsidRDefault="00D06117" w:rsidP="00D06117">
      <w:pPr>
        <w:pStyle w:val="TextoNormal"/>
      </w:pPr>
    </w:p>
    <w:p w:rsidR="00D06117" w:rsidRDefault="00D06117" w:rsidP="00D06117">
      <w:pPr>
        <w:pStyle w:val="TextoNormal"/>
      </w:pPr>
      <w:r w:rsidRPr="00D06117">
        <w:rPr>
          <w:rStyle w:val="NumeroAFNegritaCaracter"/>
        </w:rPr>
        <w:t>8</w:t>
      </w:r>
      <w:r>
        <w:t>. En cuarto lugar, nuestro enjuiciamiento versa sobre el art. 3.5 del Real Decreto 1301/2006. Según lo dispuesto en este artículo:</w:t>
      </w:r>
    </w:p>
    <w:p w:rsidR="00D06117" w:rsidRDefault="00D06117" w:rsidP="00D06117">
      <w:pPr>
        <w:pStyle w:val="TextoNormal"/>
      </w:pPr>
    </w:p>
    <w:p w:rsidR="00D06117" w:rsidRDefault="00D06117" w:rsidP="00D06117">
      <w:pPr>
        <w:pStyle w:val="TextoNormal"/>
      </w:pPr>
      <w:r>
        <w:t>“Las actividades de los establecimientos de tejidos no tendrán carácter lucrativo, y exclusivamente podrán repercutirse los costes efectivos de los servicios prestados por el desarrollo de las actividades autorizadas.”</w:t>
      </w:r>
    </w:p>
    <w:p w:rsidR="00D06117" w:rsidRDefault="00D06117" w:rsidP="00D06117">
      <w:pPr>
        <w:pStyle w:val="TextoNormal"/>
      </w:pPr>
    </w:p>
    <w:p w:rsidR="00D06117" w:rsidRDefault="00D06117" w:rsidP="00D06117">
      <w:pPr>
        <w:pStyle w:val="TextoNormal"/>
      </w:pPr>
      <w:r>
        <w:t xml:space="preserve">Para la Comunidad de Madrid esta disposición limitará la posibilidad de que se establezcan empresas dedicadas al depósito de células sanguíneas de cordón umbilical, dado que no se prevé beneficio comercial para las mismas e indirectamente se está limitando la capacidad de libre empresa establecida en el art. 38 CE. Por su parte, el Abogado del Estado señala que basta con interesar su rechazo a limine por cuanto tal objeción carece de fundamento competencial y su examen no resulta adecuado en este concreto procedimiento constitucional. No obstante, recuerda que el principio de gratuidad y carácter no lucrativo que recoge </w:t>
      </w:r>
      <w:r>
        <w:lastRenderedPageBreak/>
        <w:t>el art. 3.5 responde a lo establecido en la Directiva 2004/23/CE y que dicho principio aparece también recogido, entre otras, en la Ley 30/1979, de 27 de octubre, sobre extracción y trasplante de órganos y en el Real Decreto 1088/2005, de 16 de septiembre, sobre hemodonación, centros y servicios de transfusión.</w:t>
      </w:r>
    </w:p>
    <w:p w:rsidR="00D06117" w:rsidRDefault="00D06117" w:rsidP="00D06117">
      <w:pPr>
        <w:pStyle w:val="TextoNormal"/>
      </w:pPr>
    </w:p>
    <w:p w:rsidR="00D06117" w:rsidRDefault="00D06117" w:rsidP="00D06117">
      <w:pPr>
        <w:pStyle w:val="TextoNormal"/>
      </w:pPr>
      <w:r>
        <w:t>En efecto, la impugnación del art. 3.5 del Real Decreto 1301/2006 ha de ser desestimada. No es procesalmente posible utilizar el cauce del conflicto positivo de competencias para cuestionar en la demanda una indirecta limitación del derecho de libertad de empresa establecido en el art. 38 CE, pues ni estamos ante una verdadera reivindicación de competencias ocasionada por una previa invasión de atribuciones propias (entre otras, SSTC 67/1983, de 22 de julio, FJ 3; 166/1987, de 28 de octubre, FJ 2; y 220/1992, de 11 de diciembre, FJ 8), ni tampoco se desprende del razonamiento efectuado en la demanda que del precepto estatal cuestionado se derive —a causa del desbordamiento— una imposibilidad de ejercicio de las competencias autonómicas o un efectivo menoscabo de las mismas a causa de interferencias indebidas (STC 104/1988, de 8 de junio, FJ 1).</w:t>
      </w:r>
    </w:p>
    <w:p w:rsidR="00D06117" w:rsidRDefault="00D06117" w:rsidP="00D06117">
      <w:pPr>
        <w:pStyle w:val="TextoNormal"/>
      </w:pPr>
    </w:p>
    <w:p w:rsidR="00D06117" w:rsidRDefault="00D06117" w:rsidP="00D06117">
      <w:pPr>
        <w:pStyle w:val="TextoNormal"/>
      </w:pPr>
      <w:r>
        <w:t>9. En quinto, y último lugar, nuestro enjuiciamiento se centra en los arts. 26.4, 30.2, 13 y 28 del Real Decreto 1301/2006. El contenido de los citados preceptos es el siguiente.</w:t>
      </w:r>
    </w:p>
    <w:p w:rsidR="00D06117" w:rsidRDefault="00D06117" w:rsidP="00D06117">
      <w:pPr>
        <w:pStyle w:val="TextoNormal"/>
      </w:pPr>
    </w:p>
    <w:p w:rsidR="00D06117" w:rsidRDefault="00D06117" w:rsidP="00D06117">
      <w:pPr>
        <w:pStyle w:val="TextoNormal"/>
      </w:pPr>
      <w:r>
        <w:t>Art. 26.4:</w:t>
      </w:r>
    </w:p>
    <w:p w:rsidR="00D06117" w:rsidRDefault="00D06117" w:rsidP="00D06117">
      <w:pPr>
        <w:pStyle w:val="TextoNormal"/>
      </w:pPr>
    </w:p>
    <w:p w:rsidR="00D06117" w:rsidRDefault="00D06117" w:rsidP="00D06117">
      <w:pPr>
        <w:pStyle w:val="TextoNormal"/>
      </w:pPr>
      <w:r>
        <w:t>“La autoridad sanitaria competente de las comunidades autónomas notificará en tiempo real a la Organización Nacional de Trasplantes las autorizaciones que se concedan, denieguen y revoquen.”</w:t>
      </w:r>
    </w:p>
    <w:p w:rsidR="00D06117" w:rsidRDefault="00D06117" w:rsidP="00D06117">
      <w:pPr>
        <w:pStyle w:val="TextoNormal"/>
      </w:pPr>
    </w:p>
    <w:p w:rsidR="00D06117" w:rsidRDefault="00D06117" w:rsidP="00D06117">
      <w:pPr>
        <w:pStyle w:val="TextoNormal"/>
      </w:pPr>
      <w:r>
        <w:t>Art. 30.2:</w:t>
      </w:r>
    </w:p>
    <w:p w:rsidR="00D06117" w:rsidRDefault="00D06117" w:rsidP="00D06117">
      <w:pPr>
        <w:pStyle w:val="TextoNormal"/>
      </w:pPr>
    </w:p>
    <w:p w:rsidR="00D06117" w:rsidRDefault="00D06117" w:rsidP="00D06117">
      <w:pPr>
        <w:pStyle w:val="TextoNormal"/>
      </w:pPr>
      <w:r>
        <w:t>“Las unidades de coordinación de trasplantes de las comunidades autónomas deberán comunicar en tiempo real a la Organización Nacional de Trasplantes la información relativa a los establecimientos de tejidos y centros o unidades de obtención y aplicación de tejidos y células que se autoricen en el ámbito de su competencia, con el fin de incluirla en este registro. Dicha información deberá incluir, al menos, el nombre y ubicación del establecimiento, unidad o centro autorizado, las actividades para las que están autorizados y los periodos de vigencia de dichas autorizaciones.”</w:t>
      </w:r>
    </w:p>
    <w:p w:rsidR="00D06117" w:rsidRDefault="00D06117" w:rsidP="00D06117">
      <w:pPr>
        <w:pStyle w:val="TextoNormal"/>
      </w:pPr>
    </w:p>
    <w:p w:rsidR="00D06117" w:rsidRDefault="00D06117" w:rsidP="00D06117">
      <w:pPr>
        <w:pStyle w:val="TextoNormal"/>
      </w:pPr>
      <w:r>
        <w:t>Art. 13:</w:t>
      </w:r>
    </w:p>
    <w:p w:rsidR="00D06117" w:rsidRDefault="00D06117" w:rsidP="00D06117">
      <w:pPr>
        <w:pStyle w:val="TextoNormal"/>
      </w:pPr>
    </w:p>
    <w:p w:rsidR="00D06117" w:rsidRDefault="00D06117" w:rsidP="00D06117">
      <w:pPr>
        <w:pStyle w:val="TextoNormal"/>
      </w:pPr>
      <w:r>
        <w:t>“Sistema de recogida y custodia de la información.</w:t>
      </w:r>
    </w:p>
    <w:p w:rsidR="00D06117" w:rsidRDefault="00D06117" w:rsidP="00D06117">
      <w:pPr>
        <w:pStyle w:val="TextoNormal"/>
      </w:pPr>
    </w:p>
    <w:p w:rsidR="00D06117" w:rsidRDefault="00D06117" w:rsidP="00D06117">
      <w:pPr>
        <w:pStyle w:val="TextoNormal"/>
      </w:pPr>
      <w:r>
        <w:t>1. Los centros y unidades autorizados para la obtención de células y tejidos deberán disponer de un sistema de recogida y custodia de la información de sus actividades que permita el cumplimiento de las previsiones sobre codificación y trazabilidad de este Real Decreto.</w:t>
      </w:r>
    </w:p>
    <w:p w:rsidR="00D06117" w:rsidRDefault="00D06117" w:rsidP="00D06117">
      <w:pPr>
        <w:pStyle w:val="TextoNormal"/>
      </w:pPr>
    </w:p>
    <w:p w:rsidR="00D06117" w:rsidRDefault="00D06117" w:rsidP="00D06117">
      <w:pPr>
        <w:pStyle w:val="TextoNormal"/>
      </w:pPr>
      <w:r>
        <w:t>2. Los centros y unidades autorizados para la obtención de células y/o tejidos deberán facilitar los datos relativos a su actividad que les sean requeridos por las autoridades sanitarias competentes de su comunidad autónoma, que los remitirá a la Organización Nacional de Trasplantes según lo previsto en el capítulo V de este Real Decreto.”</w:t>
      </w:r>
    </w:p>
    <w:p w:rsidR="00D06117" w:rsidRDefault="00D06117" w:rsidP="00D06117">
      <w:pPr>
        <w:pStyle w:val="TextoNormal"/>
      </w:pPr>
    </w:p>
    <w:p w:rsidR="00D06117" w:rsidRDefault="00D06117" w:rsidP="00D06117">
      <w:pPr>
        <w:pStyle w:val="TextoNormal"/>
      </w:pPr>
      <w:r>
        <w:lastRenderedPageBreak/>
        <w:t xml:space="preserve">Art. 28: </w:t>
      </w:r>
    </w:p>
    <w:p w:rsidR="00D06117" w:rsidRDefault="00D06117" w:rsidP="00D06117">
      <w:pPr>
        <w:pStyle w:val="TextoNormal"/>
      </w:pPr>
    </w:p>
    <w:p w:rsidR="00D06117" w:rsidRDefault="00D06117" w:rsidP="00D06117">
      <w:pPr>
        <w:pStyle w:val="TextoNormal"/>
      </w:pPr>
      <w:r>
        <w:t>“Sistema de recogida y custodia de la información.</w:t>
      </w:r>
    </w:p>
    <w:p w:rsidR="00D06117" w:rsidRDefault="00D06117" w:rsidP="00D06117">
      <w:pPr>
        <w:pStyle w:val="TextoNormal"/>
      </w:pPr>
    </w:p>
    <w:p w:rsidR="00D06117" w:rsidRDefault="00D06117" w:rsidP="00D06117">
      <w:pPr>
        <w:pStyle w:val="TextoNormal"/>
      </w:pPr>
      <w:r>
        <w:t>1. Los centros y unidades autorizados para la aplicación en humanos de células o tejidos humanos deberán disponer de un sistema de recogida y custodia de información sobre las actividades realizadas en este ámbito, de acceso restringido y confidencial, donde constarán los usos y aplicaciones clínicos realizados con los datos necesarios para la identificación de los receptores, de los tejidos y/o células implantados así como su procedencia, de forma que se permita el adecuado seguimiento en caso necesario, conforme a lo especificado en el capítulo V.</w:t>
      </w:r>
    </w:p>
    <w:p w:rsidR="00D06117" w:rsidRDefault="00D06117" w:rsidP="00D06117">
      <w:pPr>
        <w:pStyle w:val="TextoNormal"/>
      </w:pPr>
    </w:p>
    <w:p w:rsidR="00D06117" w:rsidRDefault="00D06117" w:rsidP="00D06117">
      <w:pPr>
        <w:pStyle w:val="TextoNormal"/>
      </w:pPr>
      <w:r>
        <w:t>2. Los centros y unidades autorizados para la aplicación de células o tejidos humanos remitirán información trimestral de sus actividades a la unidad de coordinación de trasplantes y a la autoridad competente de la comunidad autónoma correspondiente y en todo momento tendrán a disposición de ésta su sistema de recogida y custodia de la información.</w:t>
      </w:r>
    </w:p>
    <w:p w:rsidR="00D06117" w:rsidRDefault="00D06117" w:rsidP="00D06117">
      <w:pPr>
        <w:pStyle w:val="TextoNormal"/>
      </w:pPr>
    </w:p>
    <w:p w:rsidR="00D06117" w:rsidRDefault="00D06117" w:rsidP="00D06117">
      <w:pPr>
        <w:pStyle w:val="TextoNormal"/>
      </w:pPr>
      <w:r>
        <w:t>3. Los centros de aplicación de células y tejidos deberán informar al establecimiento de tejidos o, en su caso, al centro de obtención que les ha suministrado las células y tejidos, sobre el destino final de la aplicación en humanos de dichas células o tejidos, y en el caso de que finalmente no se produzca la aplicación, la causa que no la hizo posible.”</w:t>
      </w:r>
    </w:p>
    <w:p w:rsidR="00D06117" w:rsidRDefault="00D06117" w:rsidP="00D06117">
      <w:pPr>
        <w:pStyle w:val="TextoNormal"/>
      </w:pPr>
    </w:p>
    <w:p w:rsidR="00D06117" w:rsidRDefault="00D06117" w:rsidP="00D06117">
      <w:pPr>
        <w:pStyle w:val="TextoNormal"/>
      </w:pPr>
      <w:r>
        <w:t>Los preceptos impugnados diseñan el sistema de información a seguir y, a juicio del Letrado de la Comunidad de Madrid, aunque mejoran el acceso a la información desde las Comunidades Autónomas, plantean algunos problemas en su aplicación que inciden en las competencias ejecutivas propias de las mismas. Así, se establece una doble comunicación a la Organización Nacional de Trasplantes, en tiempo real, de las autorizaciones de los centros o unidades de aplicación por parte de dos unidades diferentes de las Comunidades Autónomas. Por una parte, según el art. 26.4 se deberán comunicar por la autoridad sanitaria competente de la Comunidad Autónoma y según el art. 30.2, por la unidad de coordinación de trasplantes de la misma. Y respecto a la remisión de información por parte de las distintas unidades o centros, se establece bien la remisión de la información a la autoridad sanitaria competente de la Comunidad Autónoma, o bien tanto a ésta como a la unidad de coordinación de trasplantes de la Comunidad Autónoma, según el tipo de centro de que se trate (arts. 13 y 28). Para el Abogado del Estado la imputación que se dirige contra los preceptos que conforman el sistema de información previsto en el Real Decreto 1301/2006 revela una denuncia que, además de ajena a este proceso conflictual, pues no entraña ninguna controversia competencial, adolece de carácter preventivo e hipotético en cuando se fundamenta en supuestos futuros problemas de funcionamiento.</w:t>
      </w:r>
    </w:p>
    <w:p w:rsidR="00D06117" w:rsidRDefault="00D06117" w:rsidP="00D06117">
      <w:pPr>
        <w:pStyle w:val="TextoNormal"/>
      </w:pPr>
    </w:p>
    <w:p w:rsidR="00D06117" w:rsidRDefault="00D06117" w:rsidP="00D06117">
      <w:pPr>
        <w:pStyle w:val="TextoNormal"/>
      </w:pPr>
      <w:r>
        <w:t xml:space="preserve">Los reproches de la Comunidad de Madrid se dirigen, por tanto, no a la decisión estatal de centralizar en un registro nacional la información sobre establecimientos de tejidos y de unidades o centros de obtención y aplicación de células y tejidos humanos autorizados —decisión que se encuentra plenamente amparada por la doctrina constitucional (SSTC 197/1996, de 28 de noviembre, FJ 12; y 236/1991, de 12 de diciembre, FJ 6)— sino a los circuitos de suministro de información, ya que el Real Decreto 1301/2006 impone deberes de suministro de información a la Organización Nacional de Trasplantes por parte de la autoridad sanitaria competente de las Comunidades Autónomas (art. 26.4) y por parte de las </w:t>
      </w:r>
      <w:r>
        <w:lastRenderedPageBreak/>
        <w:t>unidades de coordinación de trasplantes de la Comunidad Autónoma (art. 30.2). Asimismo los centros y unidades autorizados para la obtención de células y tejidos (art. 13) deberán facilitar la información requerida a la autoridad sanitaria competente de la Comunidad Autónoma, que a su vez la remitirá a la unidad de coordinación de trasplantes y, por su parte, los centros y unidades autorizados para la aplicación en humanos de células o tejidos humanos (art. 28) deberán facilitar la información correspondiente a la autoridad sanitaria competente de las Comunidades Autónomas y a las unidades de coordinación de trasplantes.</w:t>
      </w:r>
    </w:p>
    <w:p w:rsidR="00D06117" w:rsidRDefault="00D06117" w:rsidP="00D06117">
      <w:pPr>
        <w:pStyle w:val="TextoNormal"/>
      </w:pPr>
    </w:p>
    <w:p w:rsidR="00D06117" w:rsidRDefault="00D06117" w:rsidP="00D06117">
      <w:pPr>
        <w:pStyle w:val="TextoNormal"/>
      </w:pPr>
      <w:r>
        <w:t>La Organización Nacional de Trasplantes es un organismo autónomo adscrito al Ministerio de Sanidad, Servicios Sociales e Igualdad actualmente regulado por el Real Decreto 1825/2009, de 27 de noviembre, por el que se aprueba el Estatuto de la Organización Nacional de Trasplantes. Entre los fines generales de la Organización Nacional de Trasplantes debemos destacar la coordinación de la política de donación y trasplantes de órganos y tejidos de aplicación en humanos en España. Por su parte el Real Decreto 2070/1999, de 30 de diciembre, por el que se regulan las actividades de obtención y utilización clínica de órganos humanos y la coordinación territorial en materia de donación y trasplante de órganos y tejidos, prevé, en su art. 20, la creación por parte de las Comunidades Autónomas de unidades de coordinación autonómica de trasplantes, dirigidas por un coordinador autonómico que forma parte de la comisión de trasplantes del consejo interterritorial del Sistema Nacional de Salud, así como de unidades de coordinación hospitalaria en todos los centros autorizados para la extracción y el trasplante de órganos y tejidos. También establece la posibilidad de crear unidades de coordinación sectorial.</w:t>
      </w:r>
    </w:p>
    <w:p w:rsidR="00D06117" w:rsidRDefault="00D06117" w:rsidP="00D06117">
      <w:pPr>
        <w:pStyle w:val="TextoNormal"/>
      </w:pPr>
    </w:p>
    <w:p w:rsidR="00D06117" w:rsidRDefault="00D06117" w:rsidP="00D06117">
      <w:pPr>
        <w:pStyle w:val="TextoNormal"/>
      </w:pPr>
      <w:r>
        <w:t>Pues bien, el Real Decreto 1301/2006 impone un deber de información a la Organización Nacional de Trasplantes por parte de las Comunidades Autónomas acerca de las autorizaciones concedidas a centros o unidades sanitarias para la aplicación de células y tejidos, en concreto, la información deberá ser remitida por la autoridad sanitaria competente y por la unidad de coordinación de trasplantes de la Comunidad Autónoma. Además, la norma establece una obligación de información por parte de los centros y unidades autorizados a los órganos competentes dentro de la Comunidad Autónoma acerca de las actividades realizadas, en particular, a la autoridad sanitaria competente y a la unidad de coordinación de trasplantes de la Comunidad Autónoma.</w:t>
      </w:r>
    </w:p>
    <w:p w:rsidR="00D06117" w:rsidRDefault="00D06117" w:rsidP="00D06117">
      <w:pPr>
        <w:pStyle w:val="TextoNormal"/>
      </w:pPr>
    </w:p>
    <w:p w:rsidR="00D06117" w:rsidRDefault="00D06117" w:rsidP="00D06117">
      <w:pPr>
        <w:pStyle w:val="TextoNormal"/>
      </w:pPr>
      <w:r>
        <w:t>Aunque la impugnación se dirige contra los cuatro preceptos señalados (arts. 26.4, 30.2, 13 y 28), los argumentos de la Comunidad de Madrid en los que trata de justificar la vulneración por parte del Real Decreto 1301/2006 de las competencias autonómicas en materia de sanidad se centran exclusivamente en los arts. 26.4 y 30.2. En efecto, para la Comunidad de Madrid, como hemos señalado, este sistema de información plantea algunos problemas en su aplicación que inciden en las competencias ejecutivas propias de la Comunidad Autónoma al establecerse una doble comunicación a la Organización Nacional de Trasplantes, en tiempo real, de las autorizaciones de los centros o unidades de aplicación por parte de dos unidades diferentes de las Comunidades Autónomas. Por tanto, la Comunidad de Madrid no hace referencia a la información que los centros y unidades autorizados para la obtención de células y tejidos o para la aplicación en humanos de células o tejidos humanos deben remitir a la autoridad sanitaria y a la unidad de coordinación de trasplantes de la Comunidad Autónoma (arts. 13 y 28 del Real Decreto 1301/2006). Por ello, nuestro enjuiciamiento se centra exclusivamente en los arts. 26.4 y 30.2 del Real Decreto 1301/2006.</w:t>
      </w:r>
    </w:p>
    <w:p w:rsidR="00D06117" w:rsidRDefault="00D06117" w:rsidP="00D06117">
      <w:pPr>
        <w:pStyle w:val="TextoNormal"/>
      </w:pPr>
    </w:p>
    <w:p w:rsidR="00D06117" w:rsidRDefault="00D06117" w:rsidP="00D06117">
      <w:pPr>
        <w:pStyle w:val="TextoNormal"/>
      </w:pPr>
      <w:r>
        <w:lastRenderedPageBreak/>
        <w:t>En relación con estos dos preceptos, debemos afirmar que la fijación por la norma estatal de un sistema de información como el descrito responde a la necesidad de establecer mecanismos de información coordinados entre los distintos órganos con competencia en la materia, pues sólo así la Organización Nacional de Trasplantes puede cumplir con su función de coordinar las actividades de donación, extracción, preservación, distribución y trasplante de órganos, tejidos y células en el conjunto del sistema sanitario español. Nos encontramos, por tanto, ante una manifestación de la función de coordinación constitucionalmente atribuida al Estado en materia sanitaria. Ahora bien, el que el sistema de información previsto en el Real Decreto 1301/2006 pueda plantear eventuales problemas de funcionamiento al exigir la norma una doble comunicación a la Organización Nacional de Trasplantes por parte de dos órganos de la Comunidad Autónoma es una cuestión, como señala el Abogado del Estado, ajena a este proceso conflictual que, en consecuencia, debe ser rechazada.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conflicto positivo de competencia promovido por la Comunidad de Madrid.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6" w:name="SENTENCIA_2012_23"/>
      <w:r>
        <w:lastRenderedPageBreak/>
        <w:t>SENTENCIA 23/2012, de 27 de febrero de 2012</w:t>
      </w:r>
    </w:p>
    <w:bookmarkEnd w:id="26"/>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ECLI:ES:TC:2012:23</w:t>
      </w:r>
    </w:p>
    <w:p w:rsidR="00D06117" w:rsidRDefault="00D06117" w:rsidP="00D06117">
      <w:pPr>
        <w:pStyle w:val="SntesisDescriptiva"/>
      </w:pPr>
    </w:p>
    <w:p w:rsidR="00D06117" w:rsidRDefault="00D06117" w:rsidP="00D06117">
      <w:pPr>
        <w:pStyle w:val="SntesisDescriptiva"/>
      </w:pPr>
      <w:r>
        <w:t>Recurso de amparo 10143-2009. Promovido por Canal Mundo Producciones Audiovisuales, S.A., en relación con las Sentencias de la Sala de lo Civil del Tribunal Supremo, de la Audiencia Provincial de Valencia y de un Juzgado de Primera Instancia e Instrucción de Sueca que le condenaron a abonar una indemnización por intromisión en el derecho al honor.</w:t>
      </w:r>
    </w:p>
    <w:p w:rsidR="00D06117" w:rsidRDefault="00D06117" w:rsidP="00D06117">
      <w:pPr>
        <w:pStyle w:val="SntesisDescriptiva"/>
      </w:pPr>
    </w:p>
    <w:p w:rsidR="00D06117" w:rsidRDefault="00D06117" w:rsidP="00D06117">
      <w:pPr>
        <w:pStyle w:val="SntesisAnaltica"/>
      </w:pPr>
      <w:r>
        <w:t>Alegada vulneración del derecho a la libre información (reportaje con cámara oculta): recurso de amparo extemporáneo al haberse planteado un incidente de nulidad de actuaciones manifiestamente improcedente (STC 17/2012).</w:t>
      </w:r>
    </w:p>
    <w:p w:rsidR="00D06117" w:rsidRDefault="00D06117" w:rsidP="00D06117">
      <w:pPr>
        <w:pStyle w:val="SntesisAnaltica"/>
      </w:pPr>
    </w:p>
    <w:p w:rsidR="00D06117" w:rsidRDefault="00D06117" w:rsidP="00D06117">
      <w:pPr>
        <w:pStyle w:val="Extracto"/>
      </w:pPr>
      <w:r>
        <w:t>1.</w:t>
      </w:r>
      <w:r>
        <w:tab/>
        <w:t>La formulación del incidente de nulidad frente a la Sentencia de casación era manifiestamente improcedente, dado que en el incidente se denunció por la recurrente la lesión del derecho fundamental a la libertad de información, garantizado por el art. 20.1 d) CE, que no derivaba originariamente de dicha Sentencia, sino de las Sentencias anteriores de primera instancia y apelación, pues en las dos instancias ya se había planteado la posible vulneración del citado derecho [FJ 4].</w:t>
      </w:r>
    </w:p>
    <w:p w:rsidR="00D06117" w:rsidRDefault="00D06117" w:rsidP="00D06117">
      <w:pPr>
        <w:pStyle w:val="Extracto"/>
      </w:pPr>
    </w:p>
    <w:p w:rsidR="00D06117" w:rsidRDefault="00D06117" w:rsidP="00D06117">
      <w:pPr>
        <w:pStyle w:val="Extracto"/>
      </w:pPr>
      <w:r>
        <w:t>2.</w:t>
      </w:r>
      <w:r>
        <w:tab/>
        <w:t>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(STC 17/2012; ATC 42/2010) [FJ 2].</w:t>
      </w:r>
    </w:p>
    <w:p w:rsidR="00D06117" w:rsidRDefault="00D06117" w:rsidP="00D06117">
      <w:pPr>
        <w:pStyle w:val="Extracto"/>
      </w:pPr>
    </w:p>
    <w:p w:rsidR="00D06117" w:rsidRDefault="00D06117" w:rsidP="00D06117">
      <w:pPr>
        <w:pStyle w:val="Extracto"/>
      </w:pPr>
      <w:r>
        <w:t>3.</w:t>
      </w:r>
      <w:r>
        <w:tab/>
        <w:t>El plazo de interposición del recurso de amparo es de caducidad, improrrogable y no susceptible de suspensión, por lo que no cabe su alargamiento mediante la interposición de recursos manifiestamente improcedentes, de modo que el tiempo invertido en la resolución de esos medios de impugnación, cuando exceda del plazo establecido para presentar el recurso de amparo, determinará la extemporaneidad de éste (SSTC 72/1991, 17/2012; ATC 177/2010) [FJ 2].</w:t>
      </w:r>
    </w:p>
    <w:p w:rsidR="00D06117" w:rsidRDefault="00D06117" w:rsidP="00D06117">
      <w:pPr>
        <w:pStyle w:val="Extracto"/>
      </w:pPr>
    </w:p>
    <w:p w:rsidR="00D06117" w:rsidRDefault="00D06117" w:rsidP="00D06117">
      <w:pPr>
        <w:pStyle w:val="Extracto"/>
      </w:pPr>
      <w:r>
        <w:t>4.</w:t>
      </w:r>
      <w:r>
        <w:tab/>
        <w:t>Los defectos insubsanables de que pudiera estar afectado el recurso de amparo no resultan sanados porque la demanda haya sido inicialmente admitida a trámite (SSTC 32/2002, 17/2012) [FJ 2].</w:t>
      </w:r>
    </w:p>
    <w:p w:rsidR="00D06117" w:rsidRDefault="00D06117" w:rsidP="00D06117">
      <w:pPr>
        <w:pStyle w:val="Extracto"/>
      </w:pPr>
    </w:p>
    <w:p w:rsidR="00D06117" w:rsidRDefault="00D06117" w:rsidP="00D06117">
      <w:pPr>
        <w:pStyle w:val="Extracto"/>
      </w:pPr>
      <w:r>
        <w:t>5.</w:t>
      </w:r>
      <w:r>
        <w:tab/>
        <w:t>Doctrina sobre la interpretación de lo que debe entenderse por recurso manifiestamente improcedente (SSTC 50/1990, 17/2012; ATC 42/2010) [FJ 2].</w:t>
      </w:r>
    </w:p>
    <w:p w:rsidR="00D06117" w:rsidRDefault="00D06117" w:rsidP="00D06117">
      <w:pPr>
        <w:pStyle w:val="Extracto"/>
      </w:pPr>
    </w:p>
    <w:p w:rsidR="00D06117" w:rsidRDefault="00D06117" w:rsidP="00D06117">
      <w:pPr>
        <w:pStyle w:val="Extracto"/>
      </w:pPr>
      <w:r>
        <w:t>6.</w:t>
      </w:r>
      <w:r>
        <w:tab/>
        <w:t>Aplica la doctrina sobre la inadmisión del recurso de amparo por planteamiento de incidente de nulidad de actuaciones manifiestamente improcedente de la STC 17/2012 [FFJJ 2,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Manuel Aragón Reyes, don Pablo Pérez Tremps,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10143-2009, promovido por Canal Mundo Producciones Audiovisuales, S.A., representado por la Procuradora de los Tribunales doña María Luisa Montero Correal y asistido inicialmente por el Abogado don Javier López Gutiérrez y posteriormente por el Abogado don Juan Luis Ortega Peña, contra la Sentencia de la Sala Primera del Tribunal Supremo núm. 522/2009, de fecha 7 de julio de 2009, dictada en el recurso de casación núm. 1992-2005. Ha intervenido el Ministerio Fiscal.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 de diciembre de 2009 tuvo entrada en el Registro General de este Tribunal escrito presentado por la Procuradora de los Tribunales doña María Luisa Montero Correal, actuando en nombre y representación de Canal Mundo Producciones Audiovisuales, S.A., y bajo la dirección letrada del Abogado don Javier López Gutiérrez, mediante el que interpuso recurso de amparo contra la resolución judicial que se menciona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La demanda de amparo tiene su origen en los siguientes antecedentes:</w:t>
      </w:r>
    </w:p>
    <w:p w:rsidR="00D06117" w:rsidRDefault="00D06117" w:rsidP="00D06117">
      <w:pPr>
        <w:pStyle w:val="TextoNormal"/>
      </w:pPr>
    </w:p>
    <w:p w:rsidR="00D06117" w:rsidRDefault="00D06117" w:rsidP="00D06117">
      <w:pPr>
        <w:pStyle w:val="TextoNormal"/>
      </w:pPr>
      <w:r>
        <w:t>a) El 23 de septiembre de 2002, el centro geriátrico La Lonja, S.L., y doña María Rafaela Claur Marín, promovieron demanda de juicio ordinario por infracción de sus derechos fundamentales al honor, el primero, y a la intimidad personal y a la propia imagen, la segunda, ante el Juzgado de Primera Instancia e Instrucción núm. 1 de Sueca, contra Canal Mundo Producciones Audiovisuales, S.A., y contra la cadena Antena 3 Televisión, S.A., que el 15 de mayo de 2002 había emitido el programa “Al Descubierto”, que versaba sobre residencias de tercera edad y reproducía la investigación realizada en tres residencias concretas, una de las cuales era el centro geriátrico La Lonja, S.L.</w:t>
      </w:r>
    </w:p>
    <w:p w:rsidR="00D06117" w:rsidRDefault="00D06117" w:rsidP="00D06117">
      <w:pPr>
        <w:pStyle w:val="TextoNormal"/>
      </w:pPr>
    </w:p>
    <w:p w:rsidR="00D06117" w:rsidRDefault="00D06117" w:rsidP="00D06117">
      <w:pPr>
        <w:pStyle w:val="TextoNormal"/>
      </w:pPr>
      <w:r>
        <w:t xml:space="preserve">En dicho reportaje se informa de que un periodista acudió al citado establecimiento y manifestó su intención de contratar sus servicios, siendo atendido por la directora, doña María Rafaela Claur Marín, y por la gobernanta del centro. En el reportaje se emiten imágenes de varias dependencias, captadas mediante cámara oculta, y se transmite la voz y la imagen de la directora. También se difunde la grabación realizada en un local abierto al público obtenida asimismo con cámara oculta, de unas conversaciones que se desarrollaron entre dos periodistas y varias personas —trabajadoras y ex trabajadoras de la residencia, </w:t>
      </w:r>
      <w:r>
        <w:lastRenderedPageBreak/>
        <w:t>residentes, un vecino de la finca y dos inspectores— que efectúan manifestaciones sobre el centro. El programa concluye con un coloquio en el que se afirma, en resumen, que en la residencia existen numerosas irregularidades, como consecuencia de las cuales la comunidad de vecinos, los trabajadores y los residentes han formulado quince denuncias, y se emiten comentarios peyorativos que ponen en duda la reputación del centro geriátrico.</w:t>
      </w:r>
    </w:p>
    <w:p w:rsidR="00D06117" w:rsidRDefault="00D06117" w:rsidP="00D06117">
      <w:pPr>
        <w:pStyle w:val="TextoNormal"/>
      </w:pPr>
    </w:p>
    <w:p w:rsidR="00D06117" w:rsidRDefault="00D06117" w:rsidP="00D06117">
      <w:pPr>
        <w:pStyle w:val="TextoNormal"/>
      </w:pPr>
      <w:r>
        <w:t>b) El Juzgado de Primera Instancia e Instrucción núm. 1 de Sueca dictó Sentencia el 12 de enero de 2004 en la que, estimando en parte la demanda, declaró la existencia de una intromisión en el derecho al honor del centro geriátrico La Lonja, S.L., pero negó que hubiera existido violación de los derechos de la señora Claur. Tras examinar los requisitos propios del derecho a la libertad de información [art. 20.1 d) CE], el Juzgador aprecia que la presentación va más allá de un reportaje neutral, no sólo porque ya antes de la emisión del video se está prejuzgando sino también porque la visión de los telespectadores queda condicionada por el propio contexto —sobre prácticas atentatorias contra la dignidad de los ancianos— en el que se emite el reportaje, atacándose así el honor, la reputación y la fama del centro. Por otra parte, entiende que, tratándose de un programa de “periodismo de investigación”, debe exigirse un mínimo de contraste y verificación de la información, de lo que es responsable el programa, que debía haber comprobado la existencia de las denuncias descritas por los particulares. De todo lo anterior concluye que el derecho a la libertad de información debe ceder en este caso frente al derecho al honor del centro geriátrico.</w:t>
      </w:r>
    </w:p>
    <w:p w:rsidR="00D06117" w:rsidRDefault="00D06117" w:rsidP="00D06117">
      <w:pPr>
        <w:pStyle w:val="TextoNormal"/>
      </w:pPr>
    </w:p>
    <w:p w:rsidR="00D06117" w:rsidRDefault="00D06117" w:rsidP="00D06117">
      <w:pPr>
        <w:pStyle w:val="TextoNormal"/>
      </w:pPr>
      <w:r>
        <w:t>c) Interpuestos recursos de apelación por Canal Mundo Producciones Audiovisuales, S.A., Antena 3 Televisión, S.A., centro geriátrico La Lonja, S.L., y doña María Rafaela Claur Marín, la Sección Octava de la Audiencia Provincial de Valencia dictó, con fecha de 7 de junio de 2005, Sentencia desestimatoria que confirmó íntegramente la recurrida, declarando que el derecho a la libertad de información no puede prevalecer en este caso frente al derecho al honor del centro. El Tribunal recuerda que el derecho al honor sólo cede ante la libertad de información cuando es veraz y se refiere a asuntos públicos de interés general. Y ratifica que en este caso aunque la cuestión inicialmente abordada, la atención prestada a los mayores residentes en centros de tercera edad y la acomodación de dichos centros a la normativa que rige en la materia, tenía apariencia de interés general, el programa ha desmerecido la reputación del centro mostrando su actividad como rayana en la ilicitud o incluso sumida en ella, sin la observancia de veracidad que le es exigible, siendo inadmisible la ausencia de verificación y de contraste tanto de lo grabado como de las denuncias referidas por la voz en off y por el propio presentador que la Sentencia detalla.</w:t>
      </w:r>
    </w:p>
    <w:p w:rsidR="00D06117" w:rsidRDefault="00D06117" w:rsidP="00D06117">
      <w:pPr>
        <w:pStyle w:val="TextoNormal"/>
      </w:pPr>
    </w:p>
    <w:p w:rsidR="00D06117" w:rsidRDefault="00D06117" w:rsidP="00D06117">
      <w:pPr>
        <w:pStyle w:val="TextoNormal"/>
      </w:pPr>
      <w:r>
        <w:t>d) Frente a la anterior Sentencia interpuso recurso de casación Canal Mundo Producciones Audiovisuales, S.A., que fue tramitado con el núm. 1992-2005, en el que alegó la infracción del derecho fundamental a la libertad de información contenido en el art. 20.1 a) CE en relación con el derecho al honor y con la jurisprudencia que lo desarrolla. El recurso fue desestimado por Sentencia de 7 de julio de 2009, dictada por la Sala de lo Civil del Tribunal Supremo, que confirmó los razonamientos de la Sala de apelación, concluyendo que el derecho a la libertad de información no puede prevalecer en el caso, porque los autores del reportaje no han realizado comprobación, verificación o contraste alguno y han ofrecido un reportaje que desacredita de forma rotunda al centro geriátrico demandante, imputándole numerosas irregularidades, hasta el punto de hablarse de una situación insostenible, lo que desmerece profundamente la reputación de la entidad.</w:t>
      </w:r>
    </w:p>
    <w:p w:rsidR="00D06117" w:rsidRDefault="00D06117" w:rsidP="00D06117">
      <w:pPr>
        <w:pStyle w:val="TextoNormal"/>
      </w:pPr>
    </w:p>
    <w:p w:rsidR="00D06117" w:rsidRDefault="00D06117" w:rsidP="00D06117">
      <w:pPr>
        <w:pStyle w:val="TextoNormal"/>
      </w:pPr>
      <w:r>
        <w:lastRenderedPageBreak/>
        <w:t>e) Con fecha de 20 de octubre de 2009 el Tribunal Supremo declaró no haber lugar a admitir a trámite el incidente de nulidad de actuaciones planteado por Canal Mundo Producciones Audiovisuales, S.A., razonando que la petición de nulidad planteaba una cuestión ajena al ámbito del incidente, en el que no cabe volver a enjuiciar la cuestión que constituyó el tema de debate en el proceso, en este caso el conflicto entre el derecho al honor y la libertad de información.</w:t>
      </w:r>
    </w:p>
    <w:p w:rsidR="00D06117" w:rsidRDefault="00D06117" w:rsidP="00D06117">
      <w:pPr>
        <w:pStyle w:val="TextoNormal"/>
      </w:pPr>
    </w:p>
    <w:p w:rsidR="00D06117" w:rsidRDefault="00D06117" w:rsidP="00D06117">
      <w:pPr>
        <w:pStyle w:val="TextoNormal"/>
      </w:pPr>
      <w:r w:rsidRPr="00D06117">
        <w:rPr>
          <w:rStyle w:val="NumeroAFNegritaCaracter"/>
        </w:rPr>
        <w:t>3</w:t>
      </w:r>
      <w:r>
        <w:t>. Canal Mundo Producciones Audiovisuales, S.A., aduce en su demanda de amparo la vulneración del derecho a comunicar libremente información veraz del art. 20.1 d) CE, por cuanto la Sentencia del Tribunal Supremo desatendió los criterios de ponderación y proporcionalidad tradicionalmente admitidos por la jurisprudencia del Tribunal Constitucional y del Tribunal Europeo de Derechos Humanos como legitimadores del derecho a la libertad de información, que prevalece frente a los derechos individuales de la persona (art. 18.1 CE). Tras destacar el papel esencial que juega la libertad de expresión y el derecho a la información en la formación de la opinión pública en una sociedad democrática, sostiene que cuando estos derechos entran en conflicto con otros derechos fundamentales, las limitaciones que puedan generarse sobre los primeros deben ser interpretadas de forma restrictiva para que no se vea afectado su núcleo esencial, lo que supone otorgar un lugar preminente al derecho de información frente a los derechos personales cuando concurre el triple elemento de la veracidad, el interés y relevancia de la información divulgada y, finalmente, el animus informandi.</w:t>
      </w:r>
    </w:p>
    <w:p w:rsidR="00D06117" w:rsidRDefault="00D06117" w:rsidP="00D06117">
      <w:pPr>
        <w:pStyle w:val="TextoNormal"/>
      </w:pPr>
    </w:p>
    <w:p w:rsidR="00D06117" w:rsidRDefault="00D06117" w:rsidP="00D06117">
      <w:pPr>
        <w:pStyle w:val="TextoNormal"/>
      </w:pPr>
      <w:r>
        <w:t>Por esta razón, sostiene la demanda, el mero empleo de cámara oculta no determina la licitud o ilicitud de la información, pues ésta debe ser concluida a partir de los tres elementos expuestos. Concurriendo en el caso enjuiciado los requisitos de veracidad, fin informativo e interés general, considera la demandante de amparo que no puede prevalecer el derecho al honor sobre el derecho a la libertad de información contenido en el art. 20.1 d) CE.</w:t>
      </w:r>
    </w:p>
    <w:p w:rsidR="00D06117" w:rsidRDefault="00D06117" w:rsidP="00D06117">
      <w:pPr>
        <w:pStyle w:val="TextoNormal"/>
      </w:pPr>
    </w:p>
    <w:p w:rsidR="00D06117" w:rsidRDefault="00D06117" w:rsidP="00D06117">
      <w:pPr>
        <w:pStyle w:val="TextoNormal"/>
      </w:pPr>
      <w:r w:rsidRPr="00D06117">
        <w:rPr>
          <w:rStyle w:val="NumeroAFNegritaCaracter"/>
        </w:rPr>
        <w:t>4</w:t>
      </w:r>
      <w:r>
        <w:t>. Por diligencia de ordenación de 7 de septiembre de 2010 la Secretaría de Justicia de la Sala Primera tuvo por designado para la dirección letrada de la entidad recurrente al Letrado don Juan Luis Ortega Peña, en sustitución del designado en la demanda don Javier López Gutiérrez.</w:t>
      </w:r>
    </w:p>
    <w:p w:rsidR="00D06117" w:rsidRDefault="00D06117" w:rsidP="00D06117">
      <w:pPr>
        <w:pStyle w:val="TextoNormal"/>
      </w:pPr>
    </w:p>
    <w:p w:rsidR="00D06117" w:rsidRDefault="00D06117" w:rsidP="00D06117">
      <w:pPr>
        <w:pStyle w:val="TextoNormal"/>
      </w:pPr>
      <w:r w:rsidRPr="00D06117">
        <w:rPr>
          <w:rStyle w:val="NumeroAFNegritaCaracter"/>
        </w:rPr>
        <w:t>5</w:t>
      </w:r>
      <w:r>
        <w:t>. La Sala Primera del Tribunal Constitucional, por providencia de 15 de noviembre de 2010, acordó admitir a trámite la demanda de amparo. Asimismo, en aplicación de lo dispuesto en el art. 51 LOTC, acordó dirigir atenta comunicación a la Sala de lo Civil del Tribunal Supremo, a la Audiencia Provincial de Valencia y al Juzgado de Primera Instancia e Instrucción núm. 1 de Sueca, a fin de que, en plazo que no exceda de diez días, remitieran respectivamente certificación o fotocopia adverada de las actuaciones correspondientes al recurso de casación 1992-2005, al rollo de apelación 906-2004 y al juicio declarativo ordinario 394-2002, debiendo previamente el Juzgado de Primera Instancia e Instrucción núm. 1 de Sueca emplazar, para que puedan comparecer en el recurso de amparo en el plazo de diez días, a quienes hubieran sido parte en el procedimiento, excepto a la parte recurrente en amparo.</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Por diligencia de ordenación de la Secretaría de Justicia de la Sala Primera de este Tribunal de fecha 21 de febrero de 2011, se tuvo por recibido testimonio de las actuaciones </w:t>
      </w:r>
      <w:r>
        <w:lastRenderedPageBreak/>
        <w:t>remitidas por el Juzgado de Primera Instancia e Instrucción núm. 1 de Sueca, por la Sección Octava de la Audiencia Provincial de Valencia y por la Sala de lo Civil del Tribunal Supremo y, a tenor de lo dispuesto en el art. 52 LOTC, se dio vista de las actuaciones, por un plazo común de veinte días, al Ministerio Fiscal y a las partes personadas para que dentro de dicho término pudieran presentar las alegaciones que a su derecho conviniera.</w:t>
      </w:r>
    </w:p>
    <w:p w:rsidR="00D06117" w:rsidRDefault="00D06117" w:rsidP="00D06117">
      <w:pPr>
        <w:pStyle w:val="TextoNormal"/>
      </w:pPr>
    </w:p>
    <w:p w:rsidR="00D06117" w:rsidRDefault="00D06117" w:rsidP="00D06117">
      <w:pPr>
        <w:pStyle w:val="TextoNormal"/>
      </w:pPr>
      <w:r w:rsidRPr="00D06117">
        <w:rPr>
          <w:rStyle w:val="NumeroAFNegritaCaracter"/>
        </w:rPr>
        <w:t>7</w:t>
      </w:r>
      <w:r>
        <w:t>. Canal Mundo Producciones Audiovisuales, S.A., por escrito de 23 de marzo de 2011, se afirmó y ratificó en las argumentaciones contenidas en el recurso de amparo formulado en su día, a las que se remitió expresamente.</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presentó sus alegaciones mediante escrito registrado el 25 de marzo de 2011, en el que alegó en primer lugar la extemporaneidad del recurso de amparo, por incumplimiento del art. 44.1 LOTC y, derivadamente, del plazo del art. 44.2 LOTC, puesto que tanto en el recurso de apelación como en el de casación interpuestos por la demandante de amparo se invocó la lesión del derecho a la libertad de información, pudiéndose defender la prevalencia de tal derecho frente al derecho al honor y no siendo el incidente de nulidad de actuaciones más que una reproducción del motivo nuclear que sustentaba la pretensión casacional. Ésta es la motivación del Auto de la Sala Primera del Tribunal Supremo, de 20 de octubre de 2009, que inadmite a trámite el incidente de nulidad de actuaciones.</w:t>
      </w:r>
    </w:p>
    <w:p w:rsidR="00D06117" w:rsidRDefault="00D06117" w:rsidP="00D06117">
      <w:pPr>
        <w:pStyle w:val="TextoNormal"/>
      </w:pPr>
    </w:p>
    <w:p w:rsidR="00D06117" w:rsidRDefault="00D06117" w:rsidP="00D06117">
      <w:pPr>
        <w:pStyle w:val="TextoNormal"/>
      </w:pPr>
      <w:r>
        <w:t>En segundo lugar, en cuanto al fondo del asunto, considera el Ministerio Fiscal que el objeto del amparo solicitado se ciñe a examinar desde el plano constitucional si se vulneró el derecho fundamental a la libertad de información del art. 20.1 d) CE en su relación con el derecho al honor reconocido en el art. 18.1 CE, a cuyo efecto recuerda que si bien la libertad de información ocupa una posición especial en nuestro sistema de derechos fundamentales, no goza de un valor preferente o superior frente a otros derechos fundamentales, y que las intromisiones en otros derechos fundamentales han de guardar congruencia con la finalidad pretendida.</w:t>
      </w:r>
    </w:p>
    <w:p w:rsidR="00D06117" w:rsidRDefault="00D06117" w:rsidP="00D06117">
      <w:pPr>
        <w:pStyle w:val="TextoNormal"/>
      </w:pPr>
    </w:p>
    <w:p w:rsidR="00D06117" w:rsidRDefault="00D06117" w:rsidP="00D06117">
      <w:pPr>
        <w:pStyle w:val="TextoNormal"/>
      </w:pPr>
      <w:r>
        <w:t>El Fiscal señala que la protección constitucional de la libertad de información exige que verse sobre hechos de relevancia pública y que reúna la cualidad de ser veraz, requisito éste que, a la vista de los términos en que se planteó el debate, constituyó la cuestión en el proceso a quo y la integra en el presente recurso de amparo. El Fiscal estima que las Sentencias impugnadas aplicaron correctamente la doctrina constitucional relativa al requisito de la veracidad de la información que, en este caso, no puede prevalecer frente al derecho al honor porque el reportaje no cumple con el estándar constitucional de veracidad, que requiere una labor seria, rigurosa y diligente de verificación y de contraste del contenido, apreciándose, por el contrario, un marcado carácter tendencioso del programa al elevar a la categoría de información veraz lo que eran simples insinuaciones o quejas de terceros sin la menor indagación que confirmara mínimamente su objetividad.</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23 de febrero de 2012 se señaló para deliberación y fallo de la Sentencia el día 27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demanda de amparo tiene por objeto la impugnación de la Sentencia de la Sala Primera del Tribunal Supremo núm. 522/2009, de 7 de julio, dictada en el recurso de casación núm. 1992-2005. La recurrente invoca la vulneración por la Sala de lo Civil del Tribunal Supremo del art. 20.1 d) CE, en concreto del derecho a comunicar libremente información veraz, en cuanto la Sentencia recurrida desatendió los criterios de ponderación y proporcionalidad tradicionalmente admitidos por la jurisprudencia del Tribunal Constitucional y del Tribunal Europeo de Derechos Humanos como legitimadores del derecho a la libertad de información frente a los derechos individuales reconocidos en el art. 18.1 CE. El Ministerio Fiscal interesa la inadmisión del recurso o, subsidiariamente, la denegación del amparo solicitado.</w:t>
      </w:r>
    </w:p>
    <w:p w:rsidR="00D06117" w:rsidRDefault="00D06117" w:rsidP="00D06117">
      <w:pPr>
        <w:pStyle w:val="TextoNormal"/>
      </w:pPr>
    </w:p>
    <w:p w:rsidR="00D06117" w:rsidRDefault="00D06117" w:rsidP="00D06117">
      <w:pPr>
        <w:pStyle w:val="TextoNormal"/>
      </w:pPr>
      <w:r w:rsidRPr="00D06117">
        <w:rPr>
          <w:rStyle w:val="NumeroAFNegritaCaracter"/>
        </w:rPr>
        <w:t>2</w:t>
      </w:r>
      <w:r>
        <w:t>. Este procedimiento se plantea en los mismos términos en que se formuló el recurso de amparo núm. 9894-2009, promovido por el mismo recurrente, que dio lugar a la STC 17/2012 —de la que ésta es tributaria— si bien en aquél sostenía el demandante la prevalencia del derecho a la información sobre el derecho a la propia imagen y en éste la mantiene en relación con el derecho al honor. Dijimos entonces lo siguiente:</w:t>
      </w:r>
    </w:p>
    <w:p w:rsidR="00D06117" w:rsidRDefault="00D06117" w:rsidP="00D06117">
      <w:pPr>
        <w:pStyle w:val="TextoNormal"/>
      </w:pPr>
    </w:p>
    <w:p w:rsidR="00D06117" w:rsidRDefault="00D06117" w:rsidP="00D06117">
      <w:pPr>
        <w:pStyle w:val="TextoNormal"/>
      </w:pPr>
      <w:r>
        <w:t>“2. Antes de entrar en el fondo de la controversia planteada debemos pronunciarnos, sin embargo, sobre el reparo procesal puesto de manifiesto por el Ministerio Fiscal, esto es, la extemporaneidad del recurso de amparo, que razona destacando que tanto en el recurso de apelación como en el de casación interpuestos por la demandante de amparo se invocó la lesión del derecho a la libertad de información por lo que, habiéndose podido defender en dos ocasiones mediante los recursos procesales pertinentes la prevalencia del derecho fundamental a la información sobre el derecho [al honor], la nulidad de actuaciones resulta manifiestamente improcedente.</w:t>
      </w:r>
    </w:p>
    <w:p w:rsidR="00D06117" w:rsidRDefault="00D06117" w:rsidP="00D06117">
      <w:pPr>
        <w:pStyle w:val="TextoNormal"/>
      </w:pPr>
    </w:p>
    <w:p w:rsidR="00D06117" w:rsidRDefault="00D06117" w:rsidP="00D06117">
      <w:pPr>
        <w:pStyle w:val="TextoNormal"/>
      </w:pPr>
      <w:r>
        <w:t>A este respecto debemos recordar que es doctrina reiterada de este Tribunal que los defectos insubsanables de que pudiera estar afectado el recurso de amparo no resultan sanados porque la demanda haya sido inicialmente admitida a trámite. Así lo declaramos, entre otras, en la STC 69/2011, de 16 de mayo, cuyo FJ 2 afirma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32/2002, de 11 de febrero, FJ 2; 204/2005, de 18 de julio, FJ 2; 237/2006, de 17 de julio, FJ 4; 7/2007, de 15 de enero, FJ 2; 28/2011, de 14 de marzo, FJ 3; y 29/2011 de 14 de marzo, FJ 3)’.</w:t>
      </w:r>
    </w:p>
    <w:p w:rsidR="00D06117" w:rsidRDefault="00D06117" w:rsidP="00D06117">
      <w:pPr>
        <w:pStyle w:val="TextoNormal"/>
      </w:pPr>
    </w:p>
    <w:p w:rsidR="00D06117" w:rsidRDefault="00D06117" w:rsidP="00D06117">
      <w:pPr>
        <w:pStyle w:val="TextoNormal"/>
      </w:pPr>
      <w:r>
        <w:t xml:space="preserve">3. El art. 44.2 LOTC exige que el recurso de amparo se interponga en el plazo de treinta días desde la notificación de la resolución recaída en el proceso judicial. Pues bien, tal y como señalamos, entre otros, en el FJ 1 del ATC 177/2010, de 24 de noviembre, este plazo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w:t>
      </w:r>
      <w:r>
        <w:lastRenderedPageBreak/>
        <w:t>éste (por todas, SSTC 72/1991, de 8 de abril, FJ 2; 78/2000, de 27 de marzo, FJ 2; 185/2004, de 2 de noviembre, FJ 3; y 323/2006, de 20 de noviembre, FJ 2)’ (ATC 42/2010, de 12 de abril, FJ 2).</w:t>
      </w:r>
    </w:p>
    <w:p w:rsidR="00D06117" w:rsidRDefault="00D06117" w:rsidP="00D06117">
      <w:pPr>
        <w:pStyle w:val="TextoNormal"/>
      </w:pPr>
    </w:p>
    <w:p w:rsidR="00D06117" w:rsidRDefault="00D06117" w:rsidP="00D06117">
      <w:pPr>
        <w:pStyle w:val="TextoNormal"/>
      </w:pPr>
      <w:r>
        <w:t>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 (ATC 42/2010, de 12 de abril, FJ 1).</w:t>
      </w:r>
    </w:p>
    <w:p w:rsidR="00D06117" w:rsidRDefault="00D06117" w:rsidP="00D06117">
      <w:pPr>
        <w:pStyle w:val="TextoNormal"/>
      </w:pPr>
    </w:p>
    <w:p w:rsidR="00D06117" w:rsidRDefault="00D06117" w:rsidP="00D06117">
      <w:pPr>
        <w:pStyle w:val="TextoNormal"/>
      </w:pPr>
      <w:r>
        <w:t>Y en el mismo Auto que acabamos de citar (FJ 2) declarábamos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00D06117" w:rsidRDefault="00D06117" w:rsidP="00D06117">
      <w:pPr>
        <w:pStyle w:val="TextoNormal"/>
      </w:pPr>
    </w:p>
    <w:p w:rsidR="00D06117" w:rsidRDefault="00D06117" w:rsidP="00D06117">
      <w:pPr>
        <w:pStyle w:val="TextoNormal"/>
      </w:pPr>
      <w:r>
        <w:t>4. En el proceso que nos ocupa, el enfrentamiento entre el derecho fundamental a la información y el derecho [al honor] ha constituido el objeto de la controversia judicial ya desde la primera instancia, de modo que la vulneración del derecho a la libertad de información pudo ser y, de hecho fue, denunciada antes del incidente de nulidad de actuaciones.”</w:t>
      </w:r>
    </w:p>
    <w:p w:rsidR="00D06117" w:rsidRDefault="00D06117" w:rsidP="00D06117">
      <w:pPr>
        <w:pStyle w:val="TextoNormal"/>
      </w:pPr>
    </w:p>
    <w:p w:rsidR="00D06117" w:rsidRDefault="00D06117" w:rsidP="00D06117">
      <w:pPr>
        <w:pStyle w:val="TextoNormal"/>
      </w:pPr>
      <w:r w:rsidRPr="00D06117">
        <w:rPr>
          <w:rStyle w:val="NumeroAFNegritaCaracter"/>
        </w:rPr>
        <w:t>3</w:t>
      </w:r>
      <w:r>
        <w:t>. La Sentencia dictada por el Juzgado de Primera Instancia e Instrucción núm. 1 de Sueca en el recurso 394-2002, declaró la prevalencia del derecho al honor del centro geriátrico La Lonja, S.L., en detrimento del derecho a la información, rechazando que existiera una lesión del derecho a la intimidad personal y a la propia imagen de doña María Rafaela Claur Marín. En su recurso de apelación, la demandante de amparo alegó que no existía vulneración del derecho al honor, dado que la información difundida era veraz, de interés general y se había realizado con animus informandi. La Sentencia núm. 326, dictada por la Sección Octava de la Audiencia Provincial de Valencia, que resuelve el recurso de apelación núm. 906-2004, tras confirmar los razonamientos del Juzgado, concluye que no se justifica el sacrificio del derecho de la parte actora al honor, en aras a una información que, bajo la apariencia de una cuestión de interés general como es la atención prestada a los mayores residentes en centros de tercera edad y la acomodación de dichos centros a la normativa vigente, en la emisión presenta la actividad desarrollada por la actora como rayana en la ilicitud o incluso sumida en ella, lo que no aparece proporcionado al rédito social que supuestamente se pretende obtener con la información emitida.</w:t>
      </w:r>
    </w:p>
    <w:p w:rsidR="00D06117" w:rsidRDefault="00D06117" w:rsidP="00D06117">
      <w:pPr>
        <w:pStyle w:val="TextoNormal"/>
      </w:pPr>
    </w:p>
    <w:p w:rsidR="00D06117" w:rsidRDefault="00D06117" w:rsidP="00D06117">
      <w:pPr>
        <w:pStyle w:val="TextoNormal"/>
      </w:pPr>
      <w:r>
        <w:t>El recurso de casación que se interpone contra la Sentencia de apelación citada se basa en un único motivo, la vulneración del derecho a la libertad de información [art. 20.1 a) CE] en relación con el derecho al honor y la jurisprudencia que lo desarrolla, vulneración que nuevamente es rechazada, ahora por la Sala de lo Civil del Tribunal Supremo que, en su Sentencia 522/2009, declara no haber lugar al recurso de casación interpuesto por la demandante de amparo.</w:t>
      </w:r>
    </w:p>
    <w:p w:rsidR="00D06117" w:rsidRDefault="00D06117" w:rsidP="00D06117">
      <w:pPr>
        <w:pStyle w:val="TextoNormal"/>
      </w:pPr>
    </w:p>
    <w:p w:rsidR="00D06117" w:rsidRDefault="00D06117" w:rsidP="00D06117">
      <w:pPr>
        <w:pStyle w:val="TextoNormal"/>
      </w:pPr>
      <w:r>
        <w:t>En este único motivo fundamenta también la demandante de amparo, con reiteración de los argumentos esgrimidos en las sucesivas instancias judiciales, el incidente de nulidad de actuaciones, pidiendo al órgano judicial que se pronuncie sobre la vulneración del derecho a la información. El incidente es inadmitido por la Sala porque plantea una cuestión ajena al ámbito del mismo, en el que no cabe volver a enjuiciar la cuestión que constituyó el tema de debate en el proceso, en este caso el conflicto entre el derecho al honor y la libertad de información.</w:t>
      </w:r>
    </w:p>
    <w:p w:rsidR="00D06117" w:rsidRDefault="00D06117" w:rsidP="00D06117">
      <w:pPr>
        <w:pStyle w:val="TextoNormal"/>
      </w:pPr>
    </w:p>
    <w:p w:rsidR="00D06117" w:rsidRDefault="00D06117" w:rsidP="00D06117">
      <w:pPr>
        <w:pStyle w:val="TextoNormal"/>
      </w:pPr>
      <w:r w:rsidRPr="00D06117">
        <w:rPr>
          <w:rStyle w:val="NumeroAFNegritaCaracter"/>
        </w:rPr>
        <w:t>4</w:t>
      </w:r>
      <w:r>
        <w:t>. Y concluíamos en la STC 17/2012 citada (FJ 4) que: “[E]s indudable que, en las circunstancias concurrentes en el presente caso, la formulación del incidente de nulidad frente a la Sentencia de casación era manifiestamente improcedente, dado que en el incidente se denunció por la recurrente la lesión de un derecho fundamental, el derecho a la libertad de información garantizado por el art. 20.1 d) CE, que no derivaba originariamente de dicha Sentencia, sino de las Sentencias anteriores de primera instancia y apelación, pues en las dos instancias ya se había planteado la posible vulneración del citado derecho. No se trata, así, de una supuesta lesión de un derecho fundamental ‘que no haya podido denunciarse antes de recaer resolución que ponga fin al proceso’, como exige el art. 241.1 LOPJ.”</w:t>
      </w:r>
    </w:p>
    <w:p w:rsidR="00D06117" w:rsidRDefault="00D06117" w:rsidP="00D06117">
      <w:pPr>
        <w:pStyle w:val="TextoNormal"/>
      </w:pPr>
    </w:p>
    <w:p w:rsidR="00D06117" w:rsidRDefault="00D06117" w:rsidP="00D06117">
      <w:pPr>
        <w:pStyle w:val="TextoNormal"/>
      </w:pPr>
      <w:r>
        <w:t>Siendo, por tanto, manifiestamente improcedente el incidente de nulidad de actuaciones interpuesto por la demandante de amparo es de concluir que, como quiera que la Sentencia de la Sala de lo Civil del Tribunal Supremo de 7 de julio de 2009 le fue notificada el día 13 de ese mismo mes y año y el recurso de amparo no se interpuso hasta el 2 de diciembre de 2009, se habría excedido con creces el plazo de treinta días previsto en el art. 44.2 de la Ley Orgánica del Tribunal Constitucional para la interposición del presente recurso de amparo, que resulta, así, extemporáneo.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el amparo solicitado por Canal Mundo Producciones Audiovisuales, S.A.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veintisiete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7" w:name="SENTENCIA_2012_24"/>
      <w:r>
        <w:lastRenderedPageBreak/>
        <w:t>SENTENCIA 24/2012, de 27 de febrero de 2012</w:t>
      </w:r>
    </w:p>
    <w:bookmarkEnd w:id="27"/>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ECLI:ES:TC:2012:24</w:t>
      </w:r>
    </w:p>
    <w:p w:rsidR="00D06117" w:rsidRDefault="00D06117" w:rsidP="00D06117">
      <w:pPr>
        <w:pStyle w:val="SntesisDescriptiva"/>
      </w:pPr>
    </w:p>
    <w:p w:rsidR="00D06117" w:rsidRDefault="00D06117" w:rsidP="00D06117">
      <w:pPr>
        <w:pStyle w:val="SntesisDescriptiva"/>
      </w:pPr>
      <w:r>
        <w:t>Recurso de amparo 5267-2010, 5673-2010. Promovidos por Canal Mundo Producciones Audiovisuales, S.A., y Antena 3 de Televisión, S.A., en relación con las Sentencias de la Sala de lo Civil del Tribunal Supremo y de la Audiencia Provincial de Madrid, que les condenaron a abonar una indemnización por intromisión en el derecho a la propia imagen.</w:t>
      </w:r>
    </w:p>
    <w:p w:rsidR="00D06117" w:rsidRDefault="00D06117" w:rsidP="00D06117">
      <w:pPr>
        <w:pStyle w:val="SntesisDescriptiva"/>
      </w:pPr>
    </w:p>
    <w:p w:rsidR="00D06117" w:rsidRDefault="00D06117" w:rsidP="00D06117">
      <w:pPr>
        <w:pStyle w:val="SntesisAnaltica"/>
      </w:pPr>
      <w:r>
        <w:t>Supuesta vulneración del derecho a la libre información: reportaje grabado con cámara oculta (STC 12/2012).</w:t>
      </w:r>
    </w:p>
    <w:p w:rsidR="00D06117" w:rsidRDefault="00D06117" w:rsidP="00D06117">
      <w:pPr>
        <w:pStyle w:val="SntesisAnaltica"/>
      </w:pPr>
    </w:p>
    <w:p w:rsidR="00D06117" w:rsidRDefault="00D06117" w:rsidP="00D06117">
      <w:pPr>
        <w:pStyle w:val="Extracto"/>
      </w:pPr>
      <w:r>
        <w:t>1.</w:t>
      </w:r>
      <w:r>
        <w:tab/>
        <w:t>Con independencia de la relevancia pública de la información que se pretenda obtener y difundir, la captación videográfica inconsentida de imágenes mediante la utilización de cámaras ocultas para su posterior difusión, no resulta adecuada, desde la perspectiva del derecho a la libertad de información, al existir métodos de obtención de la información y manera de difundirla en que no quedan comprometidos y afectados otros derechos con rango y protección constitucional [FFJJ 2, 3].</w:t>
      </w:r>
    </w:p>
    <w:p w:rsidR="00D06117" w:rsidRDefault="00D06117" w:rsidP="00D06117">
      <w:pPr>
        <w:pStyle w:val="Extracto"/>
      </w:pPr>
    </w:p>
    <w:p w:rsidR="00D06117" w:rsidRDefault="00D06117" w:rsidP="00D06117">
      <w:pPr>
        <w:pStyle w:val="Extracto"/>
      </w:pPr>
      <w:r>
        <w:t>2.</w:t>
      </w:r>
      <w:r>
        <w:tab/>
        <w:t>La intromisión en los derechos fundamentales de terceros en el ejercicio de la libertad de información sólo es constitucionalmente legítima cuando resulte necesaria, adecuada y proporcionada a la realización de este derecho constitucional (STC 12/2012) [FJ 2].</w:t>
      </w:r>
    </w:p>
    <w:p w:rsidR="00D06117" w:rsidRDefault="00D06117" w:rsidP="00D06117">
      <w:pPr>
        <w:pStyle w:val="Extracto"/>
      </w:pPr>
    </w:p>
    <w:p w:rsidR="00D06117" w:rsidRDefault="00D06117" w:rsidP="00D06117">
      <w:pPr>
        <w:pStyle w:val="Extracto"/>
      </w:pPr>
      <w:r>
        <w:t>3.</w:t>
      </w:r>
      <w:r>
        <w:tab/>
        <w:t>Aplica la doctrina sobre la influencia que el uso de la técnica periodística denominada “cámara oculta” tiene en la ponderación entre los derechos a la propia imagen y a la información, de la STC 12/2012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los recursos de amparo núms. 5267-2010 y 5673-2010, promovidos, el primero, por Canal Mundo Producciones Audiovisuales, S.A., y, el segundo, por Antena 3 de Televisión, </w:t>
      </w:r>
      <w:r>
        <w:lastRenderedPageBreak/>
        <w:t>S.A., representados por los Procuradores de los Tribunales doña María Luisa Montero Correal y don Manuel Lanchares Perlado, bajo la dirección de las Letradas doña Cristina Peña Carles y doña Marina Arto del Prado, respectivamente, contra la Sentencia de la Sala de lo Civil del Tribunal Supremo de 12 de mayo de 2010, por la que se desestima el recurso de casación núm. 1303-2007 interpuesto contra la Sentencia de la Sección Decimonovena de la Audiencia Provincial de Madrid de 3 de abril de 2007, por la que se estima parcialmente el recurso de apelación núm. 106-2007 interpuesto contra la Sentencia del Juzgado de Primera Instancia núm. 49 de Madrid de 13 de septiembre de 2006, dictada en el procedimiento ordinario núm. 215-2006. Ha comparecido doña Carmen Arribes Pastor, representada por la Procuradora de los Tribunales doña Ana Leal Labrador, bajo la dirección del Letrado don Gustavo Galán Abad. Ha intervenido el Ministerio Fiscal. Ha sido Ponente el Magistrado don Pablo Pérez Tremps,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sendos escritos registrados en este Tribunal el 28 de junio y el 13 de julio de 2010, la Procuradora de los Tribunales doña María Luisa Montero Corral, en nombre y representación de Canal Mundo Producciones Audiovisuales, S.A., y bajo la dirección de la Letrada doña Cristina Peña Carles, y el Procurador de los Tribunales don Manuel Lanchares Perlado, en nombre y representación de Antena 3 de Televisión, S.A., y bajo la dirección de la Letrada doña Marina Arto de Prado, formularon sendas demandas de amparo que fueron turnadas, respectivamente, con los núms. 5267-2010 y 5637-2010, contra las Sentencias que se mencionan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El recurso tiene su origen en los siguientes antecedentes:</w:t>
      </w:r>
    </w:p>
    <w:p w:rsidR="00D06117" w:rsidRDefault="00D06117" w:rsidP="00D06117">
      <w:pPr>
        <w:pStyle w:val="TextoNormal"/>
      </w:pPr>
    </w:p>
    <w:p w:rsidR="00D06117" w:rsidRDefault="00D06117" w:rsidP="00D06117">
      <w:pPr>
        <w:pStyle w:val="TextoNormal"/>
      </w:pPr>
      <w:r>
        <w:t>a) La Sentencia del Juzgado de Primera Instancia núm. 49 de Madrid de 13 de septiembre de 2006, dictada en el procedimiento ordinario núm. 215-2006, desestimó la demanda interpuesta por doña Carmen Arribas Pastor contra las entidades ahora demandantes de amparo por intromisión ilegítima en su derecho a la propia imagen. La Sentencia pone de manifiesto que la entonces recurrente, coordinadora de una marca comercial de estética, fundamentó su demanda en que el 10 de junio de 2004 en el programa “Siete días, siete noches”, emitido por Antena 3 de Televisión, S.A., y producido por Canal Mundo Producciones Audiovisuales, S.A., se reprodujeron una imágenes suyas, si bien algo distorsionadas, obtenidas con el método de cámara oculta en que aparecía en su despacho de la clínica atendiendo una consulta con una periodista, que se había hecho pasar por una cliente solicitante de asesoramiento de un tratamiento de adelgazamiento. La desestimación de la demanda se basó en que si bien existió una intromisión en el derecho a la propia imagen, éste no es un derecho absoluto y en este caso debía ceder tanto ante el interés general del tema tratado como a la circunstancia de la veracidad de la información, mostrando la práctica irregular en los tratamientos estéticos y la indebida información dada por la recurrente, que no tenía la condición de médico.</w:t>
      </w:r>
    </w:p>
    <w:p w:rsidR="00D06117" w:rsidRDefault="00D06117" w:rsidP="00D06117">
      <w:pPr>
        <w:pStyle w:val="TextoNormal"/>
      </w:pPr>
    </w:p>
    <w:p w:rsidR="00D06117" w:rsidRDefault="00D06117" w:rsidP="00D06117">
      <w:pPr>
        <w:pStyle w:val="TextoNormal"/>
      </w:pPr>
      <w:r>
        <w:t xml:space="preserve">b) Interpuesto recurso de apelación —tramitado con el núm. 106-2007 por la Sección Decimonovena de la Audiencia Provincial de Madrid—, fue estimado parcialmente por Sentencia de 3 de abril de 2007, condenándose a las ahora demandantes de amparo a abonar </w:t>
      </w:r>
      <w:r>
        <w:lastRenderedPageBreak/>
        <w:t>solidariamente la cantidad de seis mil euros y a la cadena de televisión a difundir la Sentencia en su programación. A esos efectos, la Sentencia argumenta que en la emisión es patente la cognoscibilidad de la recurrente y la ausencia de consentimiento a ser grabada y destaca que, con independencia del interés general del tema tratado en el reportaje, nada añadía al mismo la publicidad de la imagen de la demandante que resultaba innecesaria para su realización.</w:t>
      </w:r>
    </w:p>
    <w:p w:rsidR="00D06117" w:rsidRDefault="00D06117" w:rsidP="00D06117">
      <w:pPr>
        <w:pStyle w:val="TextoNormal"/>
      </w:pPr>
    </w:p>
    <w:p w:rsidR="00D06117" w:rsidRDefault="00D06117" w:rsidP="00D06117">
      <w:pPr>
        <w:pStyle w:val="TextoNormal"/>
      </w:pPr>
      <w:r>
        <w:t>c) Interpuesto recurso de casación por las entidades ahora demandantes de amparo  —tramitado con el núm. 1303-2007 por la Sala de lo Civil del Tribunal Supremo—, por Sentencia de 12 de mayo de 2010 se declaró no haber lugar al mismo, insistiendo en que, si bien la temática abordada tenía relevancia social, no cabía hacer prevalecer el derecho a la información sobre el derecho a la propia imagen, ya que la imagen no era un elemento imprescindible ni esencial para la finalidad informativa, habiendo existido la posibilidad de emplear técnicas digitales para difuminar el rostro. A ello se añadió que la afectada no era una persona que ejerza profesión de notoriedad o proyección pública ni el lugar o dependencia donde se realizó la filmación era un lugar abierto al público.</w:t>
      </w:r>
    </w:p>
    <w:p w:rsidR="00D06117" w:rsidRDefault="00D06117" w:rsidP="00D06117">
      <w:pPr>
        <w:pStyle w:val="TextoNormal"/>
      </w:pPr>
    </w:p>
    <w:p w:rsidR="00D06117" w:rsidRDefault="00D06117" w:rsidP="00D06117">
      <w:pPr>
        <w:pStyle w:val="TextoNormal"/>
      </w:pPr>
      <w:r w:rsidRPr="00D06117">
        <w:rPr>
          <w:rStyle w:val="NumeroAFNegritaCaracter"/>
        </w:rPr>
        <w:t>3</w:t>
      </w:r>
      <w:r>
        <w:t>. Las entidades recurrentes aducen en sus respectivas demandas de amparo la vulneración del derecho a comunicar libremente información veraz [art. 20.1 d) CE], argumentando que, dentro del llamado periodismo de investigación, la utilización de cámaras ocultas viene justificada, como es este caso, cuando, tratándose de información veraz y refiriéndose a temas de singular interés general, resulta proporcionada, ya que a dicha información no se podría haber accedido de otro modo. Igualmente, se destaca que lo captado era la imagen de una persona que pasaba consulta sin poseer ningún tipo de titulación médica, por lo que resultaba un contendido esencial de la información cuyo objetivo era denunciar la ejecución de una actividad ilícita y que, además, la imagen se emitió de manera difuminada.</w:t>
      </w:r>
    </w:p>
    <w:p w:rsidR="00D06117" w:rsidRDefault="00D06117" w:rsidP="00D06117">
      <w:pPr>
        <w:pStyle w:val="TextoNormal"/>
      </w:pPr>
    </w:p>
    <w:p w:rsidR="00D06117" w:rsidRDefault="00D06117" w:rsidP="00D06117">
      <w:pPr>
        <w:pStyle w:val="TextoNormal"/>
      </w:pPr>
      <w:r w:rsidRPr="00D06117">
        <w:rPr>
          <w:rStyle w:val="NumeroAFNegritaCaracter"/>
        </w:rPr>
        <w:t>4</w:t>
      </w:r>
      <w:r>
        <w:t>. La Sala Primera de este Tribunal, por providencia de 15 de noviembre de 2010, y la Sala Segunda, por providencia de 23 de noviembre de 2010, acordaron respectivamente admitir a trámite los recursos de amparo núms. 5267-2010 y 5673-2010 y, en aplicación de lo dispuesto en el art. 51 de la Ley Orgánica del Tribunal Constitucional (LOTC), requerir atentamente del órgano judicial para que remitiera copia adverada de las actuaciones y emplazara a quienes hubieran sido parte en el procedimiento, a excepción de las entidades recurrentes, para que pudiesen comparecer en el plazo de diez días en el presente proceso de amparo. Igualmente se acordó formar las correspondientes piezas separadas de suspensión, en las que, tras los trámites oportunos, se dictaron los AATC 204/2010, de 21 de diciembre, y 208/2010, de 30 de diciembre, acordando acceder a la suspensión de la resolución judicial impugnada exclusivamente en lo referido a su difusión a través de la cadena televisiva.</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La Secretaría de Justicia de la Sala Primera de este Tribunal, por diligencia de ordenación de 23 de marzo de 2011, acordó en el recurso de amparo núm. 5267-2010 tener por recibido el testimonio de las actuaciones, por personado y parte a los Procuradores de los Tribunales don Manuel Lanchares Perlado y doña Ana Leal Labrador, en nombre y representación de Antena 3 de Televisión, S.A., y de doña Carmen Arribas Pastor, respectivamente, y dar vista de las actuaciones al Ministerio Fiscal y a las partes personadas por plazo </w:t>
      </w:r>
      <w:r>
        <w:lastRenderedPageBreak/>
        <w:t>común de veinte días para presentar las alegaciones que estimasen pertinentes, de conformidad con el art. 52 LOTC. Por su parte, la Secretaría de Justicia de la Sala Segunda de este Tribunal, por diligencia de ordenación de 17 de junio de 2011, acordó en el recurso de amparo núm. 5673-2010 tener por personado y parte a la Procuradora de los Tribunales doña Ana Leal Labrador, en nombre y representación de doña Carmen Arribas Pastor, y dar vista de las actuaciones al Ministerio Fiscal y a las partes personadas por plazo común de veinte días para presentar las alegaciones que estimasen pertinentes, de conformidad con el art. 52 LOTC.</w:t>
      </w:r>
    </w:p>
    <w:p w:rsidR="00D06117" w:rsidRDefault="00D06117" w:rsidP="00D06117">
      <w:pPr>
        <w:pStyle w:val="TextoNormal"/>
      </w:pPr>
    </w:p>
    <w:p w:rsidR="00D06117" w:rsidRDefault="00D06117" w:rsidP="00D06117">
      <w:pPr>
        <w:pStyle w:val="TextoNormal"/>
      </w:pPr>
      <w:r w:rsidRPr="00D06117">
        <w:rPr>
          <w:rStyle w:val="NumeroAFNegritaCaracter"/>
        </w:rPr>
        <w:t>6</w:t>
      </w:r>
      <w:r>
        <w:t>. El Ministerio Fiscal, mediante sendos escritos registrados el 29 de abril y 7 de junio de 2011, formuló alegaciones interesando la desestimación de los recursos de amparo núms. 5267-2010 y 5673-2010. El Ministerio Fiscal señala que, partiendo como hechos probados de la ausencia de consentimiento de la afectada y de la nitidez con la que se emitió su imagen en el programa de televisión, debe concluirse que hubo una afectación al derecho a la propia imagen desproporcionada en relación con el derecho a la información, ya que, a pesar del interés público de la noticia emitida, la difusión se produjo sin ningún mecanismo que eliminara o paliara el reconocimiento de la persona.</w:t>
      </w:r>
    </w:p>
    <w:p w:rsidR="00D06117" w:rsidRDefault="00D06117" w:rsidP="00D06117">
      <w:pPr>
        <w:pStyle w:val="TextoNormal"/>
      </w:pPr>
    </w:p>
    <w:p w:rsidR="00D06117" w:rsidRDefault="00D06117" w:rsidP="00D06117">
      <w:pPr>
        <w:pStyle w:val="TextoNormal"/>
      </w:pPr>
      <w:r w:rsidRPr="00D06117">
        <w:rPr>
          <w:rStyle w:val="NumeroAFNegritaCaracter"/>
        </w:rPr>
        <w:t>7</w:t>
      </w:r>
      <w:r>
        <w:t>. La entidad demandante en el recurso de amparo núm. 5267-2010, mediante escrito registrado el 20 de abril de 2011, formuló alegaciones ratificándose en lo expuesto en su demanda de amparo. La entidad demandante en el recurso de amparo núm. 5673-2010, mediante escrito registrado el 28 de junio de 2011, formuló alegaciones ratificándose en lo expuesto en su demanda de amparo y, mediante escrito registrado el 26 de abril de 2011, hizo lo propio en el recurso de amparo núm. 5267-2010 como parte comparecida, apoyando la pretensión de la entidad recurrente de que se otorgara el amparo por la vulneración del derecho a comunicar libremente información veraz [art. 20.1 d) CE]. La Procuradora de los Tribunales doña Ana Leal Labrador, mediante sendos escritos registrados el 27 de abril y 27 de julio de 2011, formuló alegaciones en los recursos de amparo núms. 5267-2010 y 5673-2010 solicitando la denegación del amparo.</w:t>
      </w:r>
    </w:p>
    <w:p w:rsidR="00D06117" w:rsidRDefault="00D06117" w:rsidP="00D06117">
      <w:pPr>
        <w:pStyle w:val="TextoNormal"/>
      </w:pPr>
    </w:p>
    <w:p w:rsidR="00D06117" w:rsidRDefault="00D06117" w:rsidP="00D06117">
      <w:pPr>
        <w:pStyle w:val="TextoNormal"/>
      </w:pPr>
      <w:r w:rsidRPr="00D06117">
        <w:rPr>
          <w:rStyle w:val="NumeroAFNegritaCaracter"/>
        </w:rPr>
        <w:t>8</w:t>
      </w:r>
      <w:r>
        <w:t>. La Secretaría de Justicia de la Sala Primera de este Tribunal, mediante diligencia de ordenación de 2 de noviembre de 2011, concedió un plazo común de diez días para que, de acuerdo con el art. 83 LOTC, se pronunciaran el Ministerio Fiscal y las partes personadas en relación con la posible acumulación de los recursos, lo que fue acordado por la Sala Primera de este Tribunal por ATC 166/2011, de 12 de diciembre.</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23 de febrero de 2012 se señaló para la deliberación y votación de la presente Sentencia el día 27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del presente recurso de amparo es determinar si las resoluciones judiciales impugnadas han vulnerado el derecho de las entidades recurrentes a comunicar libremente información veraz [art. 20.1 d) CE], al haber sido condenadas por intromisión en el derecho a la propia imagen por la difusión de unas imágenes obtenidas con el método de la “cámara oculta”.</w:t>
      </w:r>
    </w:p>
    <w:p w:rsidR="00D06117" w:rsidRDefault="00D06117" w:rsidP="00D06117">
      <w:pPr>
        <w:pStyle w:val="TextoNormal"/>
      </w:pPr>
    </w:p>
    <w:p w:rsidR="00D06117" w:rsidRDefault="00D06117" w:rsidP="00D06117">
      <w:pPr>
        <w:pStyle w:val="TextoNormal"/>
      </w:pPr>
      <w:r w:rsidRPr="00D06117">
        <w:rPr>
          <w:rStyle w:val="NumeroAFNegritaCaracter"/>
        </w:rPr>
        <w:t>2</w:t>
      </w:r>
      <w:r>
        <w:t>. La influencia que el uso de la técnica periodística denominada “cámara oculta” tiene en la ponderación entre los derechos a la propia imagen y a la información ha sido objeto de reciente pronunciamiento en un asunto similar al presente por este Tribunal en la STC 12/2012, de 30 de enero, a la que, para evitar reiteraciones innecesarias, es preciso remitirse. Esta resolución —partiendo de la reiterada doctrina de este Tribunal sobre que la intromisión en los derechos fundamentales de terceros en el ejercicio de la libertad de información sólo es constitucionalmente legítima cuando resulte necesaria, adecuada y proporcionada a la realización de este derecho constitucional— concluye que, con independencia de la relevancia pública de la información que se pretenda obtener y difundir, la captación videográfica inconsentida de imágenes mediante la utilización de cámaras ocultas para su posterior difusión, también inconsentida, en que aparezca plenamente identificado el afectado, no resulta necesaria ni adecuada, desde la perspectiva del derecho a la libertad de información [art. 20.1 d) CE], al existir, con carácter general, métodos de obtención de la información y, en su caso, una manera de difundirla en que no queden comprometidos y afectados otros derechos con rango y protección constitucional.</w:t>
      </w:r>
    </w:p>
    <w:p w:rsidR="00D06117" w:rsidRDefault="00D06117" w:rsidP="00D06117">
      <w:pPr>
        <w:pStyle w:val="TextoNormal"/>
      </w:pPr>
    </w:p>
    <w:p w:rsidR="00D06117" w:rsidRDefault="00D06117" w:rsidP="00D06117">
      <w:pPr>
        <w:pStyle w:val="TextoNormal"/>
      </w:pPr>
      <w:r w:rsidRPr="00D06117">
        <w:rPr>
          <w:rStyle w:val="NumeroAFNegritaCaracter"/>
        </w:rPr>
        <w:t>3</w:t>
      </w:r>
      <w:r>
        <w:t>. En el presente caso, tal como ha sido expuesto con más detalle en los antecedentes, ha quedado acreditado que las entidades demandantes de amparo produjeron y emitieron, respectivamente, unas imágenes grabadas con el método de cámara oculta en que se observaba cómo una periodista se hacia pasar por una potencial cliente de una clínica de estética para captar la reacción de la persona que le atendía, con la finalidad de hacer público y denunciar que en este tipo de establecimientos priman intereses económicos frente a criterios estrictamente médicos. Las imágenes, tal como también han declarado probado las resoluciones judiciales, se obtuvieron y reprodujeron sin el consentimiento de la persona afectada y su emisión se efectuó, como también ha quedado constatado, de manera que, si bien estaba algo difuminada parte del rostro, ello no impedía reconocer plenamente a la afectada.</w:t>
      </w:r>
    </w:p>
    <w:p w:rsidR="00D06117" w:rsidRDefault="00D06117" w:rsidP="00D06117">
      <w:pPr>
        <w:pStyle w:val="TextoNormal"/>
      </w:pPr>
    </w:p>
    <w:p w:rsidR="00D06117" w:rsidRDefault="00D06117" w:rsidP="00D06117">
      <w:pPr>
        <w:pStyle w:val="TextoNormal"/>
      </w:pPr>
      <w:r>
        <w:t>En atención a lo expuesto, debe concluirse que no se ha producido la vulneración aducida por los recurrentes de su derecho a la información [art. 20.1 d) CE], toda vez que, desde la perspectiva legitimadora del ejercicio de este derecho, no resultaba necesario ni adecuado acudir a la captación y reproducción de la imagen de la afectada sin su consentimiento para cumplir la finalidad informativa pretendida, ya que existían métodos de obtención de la información y, en su caso, una manera de difundirla que no implicara la incidencia que tiene esta concreta técnica de la cámara oculta en otros derechos con rango y protección constitucional.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los amparos solicitados por Canal Mundo Producciones Audiovisuales, S.A., y Antena 3 de Televisión, S.A.</w:t>
      </w:r>
    </w:p>
    <w:p w:rsidR="00D06117" w:rsidRDefault="00D06117" w:rsidP="00D06117">
      <w:pPr>
        <w:pStyle w:val="TextoNormal"/>
      </w:pPr>
    </w:p>
    <w:p w:rsidR="00D06117" w:rsidRDefault="00D06117" w:rsidP="00D06117">
      <w:pPr>
        <w:pStyle w:val="TextoNormal"/>
      </w:pPr>
      <w:r>
        <w:lastRenderedPageBreak/>
        <w:t>Publíquese esta Sentencia en el “Boletín Oficial del Estado”.</w:t>
      </w:r>
    </w:p>
    <w:p w:rsidR="00D06117" w:rsidRDefault="00D06117" w:rsidP="00D06117">
      <w:pPr>
        <w:pStyle w:val="TextoNormal"/>
      </w:pPr>
      <w:r>
        <w:t>Dada en Madrid, a veintisiete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8" w:name="SENTENCIA_2012_25"/>
      <w:r>
        <w:lastRenderedPageBreak/>
        <w:t>SENTENCIA 25/2012, de 27 de febrero de 2012</w:t>
      </w:r>
    </w:p>
    <w:bookmarkEnd w:id="28"/>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ECLI:ES:TC:2012:25</w:t>
      </w:r>
    </w:p>
    <w:p w:rsidR="00D06117" w:rsidRDefault="00D06117" w:rsidP="00D06117">
      <w:pPr>
        <w:pStyle w:val="SntesisDescriptiva"/>
      </w:pPr>
    </w:p>
    <w:p w:rsidR="00D06117" w:rsidRDefault="00D06117" w:rsidP="00D06117">
      <w:pPr>
        <w:pStyle w:val="SntesisDescriptiva"/>
      </w:pPr>
      <w:r>
        <w:t>Recurso de amparo 298-2011. Promovido por don Jesús Rodríguez Romero frente a la Sentencia de la Audiencia Provincial de Málaga que declaró prescrita la acción de responsabilidad extracontractual ejercitada contra una junta de compensación urbanística.</w:t>
      </w:r>
    </w:p>
    <w:p w:rsidR="00D06117" w:rsidRDefault="00D06117" w:rsidP="00D06117">
      <w:pPr>
        <w:pStyle w:val="SntesisDescriptiva"/>
      </w:pPr>
    </w:p>
    <w:p w:rsidR="00D06117" w:rsidRDefault="00D06117" w:rsidP="00D06117">
      <w:pPr>
        <w:pStyle w:val="SntesisAnaltica"/>
      </w:pPr>
      <w:r>
        <w:t>Vulneración del derecho a la tutela judicial efectiva (incongruencia): Sentencia que deja sin respuesta una alegación sustancial relativa a la concreción del momento inicial del plazo de prescripción.</w:t>
      </w:r>
    </w:p>
    <w:p w:rsidR="00D06117" w:rsidRDefault="00D06117" w:rsidP="00D06117">
      <w:pPr>
        <w:pStyle w:val="SntesisAnaltica"/>
      </w:pPr>
    </w:p>
    <w:p w:rsidR="00D06117" w:rsidRDefault="00D06117" w:rsidP="00D06117">
      <w:pPr>
        <w:pStyle w:val="Extracto"/>
      </w:pPr>
      <w:r>
        <w:t>1.</w:t>
      </w:r>
      <w:r>
        <w:tab/>
        <w:t xml:space="preserve">El derecho del demandante a una resolución congruente fue vulnerado por la falta de respuesta a la invocación de unos hechos jurídicamente determinantes del sentido del fallo, ya que la alegación sobre si la fecha del conocimiento por el perjudicado de la identidad del sujeto responsable del daño debía ser tomada como </w:t>
      </w:r>
      <w:r w:rsidRPr="00D06117">
        <w:rPr>
          <w:i/>
        </w:rPr>
        <w:t>dies a quo</w:t>
      </w:r>
      <w:r>
        <w:t xml:space="preserve"> del cómputo del plazo de la prescripción extintiva, era determinante de la decisión [FFJJ 4, 5]. </w:t>
      </w:r>
    </w:p>
    <w:p w:rsidR="00D06117" w:rsidRDefault="00D06117" w:rsidP="00D06117">
      <w:pPr>
        <w:pStyle w:val="Extracto"/>
      </w:pPr>
    </w:p>
    <w:p w:rsidR="00D06117" w:rsidRDefault="00D06117" w:rsidP="00D06117">
      <w:pPr>
        <w:pStyle w:val="Extracto"/>
      </w:pPr>
      <w:r>
        <w:t>2.</w:t>
      </w:r>
      <w:r>
        <w:tab/>
        <w:t>Existirá incongruencia omisiva siempre que se produzca una falta de respuesta a la invocación de unos hechos jurídicamente determinantes del sentido del fallo, pudiendo decirse que es la incidencia en el fallo la que cualifica a la alegación haciendo que la falta de respuesta judicial a la misma ostente relevancia constitucional [FJ 4].</w:t>
      </w:r>
    </w:p>
    <w:p w:rsidR="00D06117" w:rsidRDefault="00D06117" w:rsidP="00D06117">
      <w:pPr>
        <w:pStyle w:val="Extracto"/>
      </w:pPr>
    </w:p>
    <w:p w:rsidR="00D06117" w:rsidRDefault="00D06117" w:rsidP="00D06117">
      <w:pPr>
        <w:pStyle w:val="Extracto"/>
      </w:pPr>
      <w:r>
        <w:t>3.</w:t>
      </w:r>
      <w:r>
        <w:tab/>
        <w:t>Se considera constitucionalmente suficiente la respuesta tácita cuando del conjunto de los razonamientos contenidos en la resolución puede deducirse razonablemente que el órgano judicial la ha valorado y, además, es posible identificar los motivos de la decisión [FJ 4].</w:t>
      </w:r>
    </w:p>
    <w:p w:rsidR="00D06117" w:rsidRDefault="00D06117" w:rsidP="00D06117">
      <w:pPr>
        <w:pStyle w:val="Extracto"/>
      </w:pPr>
    </w:p>
    <w:p w:rsidR="00D06117" w:rsidRDefault="00D06117" w:rsidP="00D06117">
      <w:pPr>
        <w:pStyle w:val="Extracto"/>
      </w:pPr>
      <w:r>
        <w:t>4.</w:t>
      </w:r>
      <w:r>
        <w:tab/>
        <w:t>Es necesario distinguir entre las meras alegaciones o argumentaciones y las pretensiones de las partes, pues si con respecto a las primeras puede no ser necesaria una respuesta explícita y pormenorizada, respecto de las segundas la exigencia de respuesta congruente se muestra con todo rigor desde el prisma del derecho a la motivación de toda resolución judicial (SSTC 100/2004, 44/2008) [FJ 3].</w:t>
      </w:r>
    </w:p>
    <w:p w:rsidR="00D06117" w:rsidRDefault="00D06117" w:rsidP="00D06117">
      <w:pPr>
        <w:pStyle w:val="Extracto"/>
      </w:pPr>
    </w:p>
    <w:p w:rsidR="00D06117" w:rsidRDefault="00D06117" w:rsidP="00D06117">
      <w:pPr>
        <w:pStyle w:val="Extracto"/>
      </w:pPr>
      <w:r>
        <w:t>5.</w:t>
      </w:r>
      <w:r>
        <w:tab/>
        <w:t xml:space="preserve">Doctrina sobre la prohibición de incongruencia omisiva o </w:t>
      </w:r>
      <w:r w:rsidRPr="00D06117">
        <w:rPr>
          <w:i/>
        </w:rPr>
        <w:t>ex silentio</w:t>
      </w:r>
      <w:r>
        <w:t xml:space="preserve"> (SSTC 52/2005, 44/2008) [FJ 3].</w:t>
      </w:r>
    </w:p>
    <w:p w:rsidR="00D06117" w:rsidRDefault="00D06117" w:rsidP="00D06117">
      <w:pPr>
        <w:pStyle w:val="Extracto"/>
      </w:pPr>
    </w:p>
    <w:p w:rsidR="00D06117" w:rsidRDefault="00D06117" w:rsidP="00D06117">
      <w:pPr>
        <w:pStyle w:val="Extracto"/>
      </w:pPr>
      <w:r>
        <w:t>6.</w:t>
      </w:r>
      <w:r>
        <w:tab/>
        <w:t>Cuando sean varias las quejas formuladas en un recurso de amparo se concederá prioridad a aquellas de las que pudiera derivarse la retroacción de actuaciones y dentro de éstas, a las que determinan la retroacción a un momento procesal anterior, lo que haría innecesario un pronunciamiento sobre las restantes (SSTC 90/2010, 182/2009)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298-2011, promovido por don Jesús Rodríguez Romero, representado por la Procuradora de los Tribunales doña Isabel de la Misericordia García y asistido por el Abogado don Juan Antonio Romero Campano, contra la Sentencia de 26 de julio de 2010 de la Sección Quinta de la Audiencia Provincial de Málaga recaída en el rollo de apelación núm. 980-2009 y contra el Auto de 17 de noviembre de 2010 de la misma Sección y rollo, por el que se desestimó el incidente de nulidad promovido frente aquélla. Ha intervenido el Ministerio Fiscal y la junta de compensación Bizcochero Capitán, representada por la Procuradora doña Blanca Murillo de la Cuadra y dirigida por el Letrado don José Carlos Quero Gómez.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día 17 de enero de 2011, la Procuradora de los Tribunales doña Isabel de la Misericordia García, en nombre y representación de don Jesús Rodríguez Romero, interpuso recurso de amparo contra las resoluciones judiciales a las que se ha hecho mención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más relevantes de los que trae causa la demanda de amparo son los siguientes:</w:t>
      </w:r>
    </w:p>
    <w:p w:rsidR="00D06117" w:rsidRDefault="00D06117" w:rsidP="00D06117">
      <w:pPr>
        <w:pStyle w:val="TextoNormal"/>
      </w:pPr>
    </w:p>
    <w:p w:rsidR="00D06117" w:rsidRDefault="00D06117" w:rsidP="00D06117">
      <w:pPr>
        <w:pStyle w:val="TextoNormal"/>
      </w:pPr>
      <w:r>
        <w:t>a) El demandante de amparo, don Jesús Rodríguez Romero, interpuso demanda de juicio ordinario frente a la junta de compensación Bizcochero Capitán, para la reclamación de los daños que sufrió a consecuencia de que la vía, de la titularidad de la mencionada junta y por la que circulaba en motocicleta, se hallaba obstaculizada por dos vallas de hormigón sin señalizar, con las que colisionó.</w:t>
      </w:r>
    </w:p>
    <w:p w:rsidR="00D06117" w:rsidRDefault="00D06117" w:rsidP="00D06117">
      <w:pPr>
        <w:pStyle w:val="TextoNormal"/>
      </w:pPr>
    </w:p>
    <w:p w:rsidR="00D06117" w:rsidRDefault="00D06117" w:rsidP="00D06117">
      <w:pPr>
        <w:pStyle w:val="TextoNormal"/>
      </w:pPr>
      <w:r>
        <w:t>b) La junta de compensación contestó a la demanda invocando, entre otras excepciones, la de prescripción de la acción, al dirigir el actor su reclamación en primer lugar contra el Ayuntamiento, no haciéndolo contra ella sino transcurrido más de un año desde el accidente, siendo imputable a su falta de diligencia el conocimiento tardío de a quién pertenecía el vial de referencia.</w:t>
      </w:r>
    </w:p>
    <w:p w:rsidR="00D06117" w:rsidRDefault="00D06117" w:rsidP="00D06117">
      <w:pPr>
        <w:pStyle w:val="TextoNormal"/>
      </w:pPr>
    </w:p>
    <w:p w:rsidR="00D06117" w:rsidRDefault="00D06117" w:rsidP="00D06117">
      <w:pPr>
        <w:pStyle w:val="TextoNormal"/>
      </w:pPr>
      <w:r>
        <w:t>c) En primera instancia, el Juzgado de Primera Instancia núm. 3 de Málaga dictó Sentencia de 2 de octubre de 2008, estimatoria de la demanda y desestimatoria, a su vez, de la excepción. Según su fundamento jurídico tercero: “Tal interpretación —la realizada por la parte demandada recién expuesta— no puede ser acogida por el tribunal, no sólo por el carácter restrictivo del instituto de la prescripción sino porque con el ejercicio de la reclamación judicial vía contenciosa fue donde tuvo conocimiento el actor de la negativa del Ayuntamiento a asumir su responsabilidad por no haber recepcionado las obras con lo que vino en su conocimiento la posibilidad de que fuera la Junta de Compensación demandada la responsable de la conservación de la vía. Sin duda quedó interrumpida la acción por el ejercicio de la reclamación contencioso-administrativa y fue requerido extrajudicialmente la parte demandada una vez obtuvo sentencia desestimatoria, que si bien fue por un defecto formal y no por acoger el Tribunal la no responsabilidad en el siniestro, sí marca el momento donde puede el actor ejercitar la reclamación. No existe por tanto prescripción.”</w:t>
      </w:r>
    </w:p>
    <w:p w:rsidR="00D06117" w:rsidRDefault="00D06117" w:rsidP="00D06117">
      <w:pPr>
        <w:pStyle w:val="TextoNormal"/>
      </w:pPr>
    </w:p>
    <w:p w:rsidR="00D06117" w:rsidRDefault="00D06117" w:rsidP="00D06117">
      <w:pPr>
        <w:pStyle w:val="TextoNormal"/>
      </w:pPr>
      <w:r>
        <w:t>d) La junta demandada interpuso recurso de apelación, en el que exponía que la reclamación contencioso-administrativa dirigida frente a uno de los deudores no interrumpía el plazo de prescripción respecto del codeudor en el ámbito de la responsabilidad civil extracontractual, reiterando que la acción había prescrito por la desidia del actor en la conservación de su crédito.</w:t>
      </w:r>
    </w:p>
    <w:p w:rsidR="00D06117" w:rsidRDefault="00D06117" w:rsidP="00D06117">
      <w:pPr>
        <w:pStyle w:val="TextoNormal"/>
      </w:pPr>
    </w:p>
    <w:p w:rsidR="00D06117" w:rsidRDefault="00D06117" w:rsidP="00D06117">
      <w:pPr>
        <w:pStyle w:val="TextoNormal"/>
      </w:pPr>
      <w:r>
        <w:t>A este argumento el demandante de amparo, en vía de oposición al citado recurso, replicó que en ningún momento había abandonado o hecho dejación de su derecho, sino que, una vez iniciada la reclamación frente al Ayuntamiento en el año 2005, es en el acto del juicio celebrado el 11 de mayo de 2006 cuando tuvo conocimiento de que la calle no era vial público en la fecha del accidente, por lo que con arreglo al art. 1969 del Código civil (CC), según el cual “el tiempo para la prescripción de toda clase de acciones, cuando no haya disposición especial que otra cosa determine, se contará desde el día en que pudieron ejercitarse”, sólo podía empezar a contar el plazo para la prescripción desde el instante en que se tuvo conocimiento de la entidad responsable de los daños.</w:t>
      </w:r>
    </w:p>
    <w:p w:rsidR="00D06117" w:rsidRDefault="00D06117" w:rsidP="00D06117">
      <w:pPr>
        <w:pStyle w:val="TextoNormal"/>
      </w:pPr>
    </w:p>
    <w:p w:rsidR="00D06117" w:rsidRDefault="00D06117" w:rsidP="00D06117">
      <w:pPr>
        <w:pStyle w:val="TextoNormal"/>
      </w:pPr>
      <w:r>
        <w:t>e) La Sección Quinta de la Audiencia Provincial de Málaga estimó el recurso de apelación, con base en que la acción había prescrito. Según su Sentencia de 26 de julio de 2010, aunque el art. 1974 CC determina que la interrupción de la prescripción aprovecha por igual a todos los deudores solidarios, la jurisprudencia del Tribunal Supremo excluye la aplicación de este régimen a los deudores unidos por vínculos de solidaridad impropia, siempre que, en este último supuesto, no hubiese motivos para suponer que tuvieron conocimiento de la reclamación dirigida frente a otro deudor y que el sujeto en cuestión hubiese sido también demandado. En el caso, Ayuntamiento y junta de compensación no podían considerarse deudores solidarios, por lo que no podía afectar a esta última la reclamación dirigida frente a la primera en fecha de 17 de octubre de 2005. El plazo de un año para la prescripción de la acción del art. 1968.2 CC, por tanto, debía entenderse entonces transcurrido, dado que, produciéndose el accidente el día 16 de noviembre de 2004, se requirió de pago a la junta demandada en fecha de 7 de junio de 2006, esto es, ya fuera de plazo.</w:t>
      </w:r>
    </w:p>
    <w:p w:rsidR="00D06117" w:rsidRDefault="00D06117" w:rsidP="00D06117">
      <w:pPr>
        <w:pStyle w:val="TextoNormal"/>
      </w:pPr>
    </w:p>
    <w:p w:rsidR="00D06117" w:rsidRDefault="00D06117" w:rsidP="00D06117">
      <w:pPr>
        <w:pStyle w:val="TextoNormal"/>
      </w:pPr>
      <w:r>
        <w:t xml:space="preserve">f) Frente a esta Sentencia, el recurrente interpuso incidente de nulidad de actuaciones en el que denunció que la misma había incurrido en incongruencia omisiva y arbitrariedad, con resultado de indefensión (arts. 24.1 y 9.3 CE), al no dar respuesta la alegación sustancial </w:t>
      </w:r>
      <w:r>
        <w:lastRenderedPageBreak/>
        <w:t>formulada en el escrito de oposición a la apelación, consistente en que la acción de responsabilidad civil, con arreglo al art. 1969 CC, no pudo ejercitarse sino desde el momento en que se tuvo conocimiento de la persona presuntamente responsable de los daños.</w:t>
      </w:r>
    </w:p>
    <w:p w:rsidR="00D06117" w:rsidRDefault="00D06117" w:rsidP="00D06117">
      <w:pPr>
        <w:pStyle w:val="TextoNormal"/>
      </w:pPr>
    </w:p>
    <w:p w:rsidR="00D06117" w:rsidRDefault="00D06117" w:rsidP="00D06117">
      <w:pPr>
        <w:pStyle w:val="TextoNormal"/>
      </w:pPr>
      <w:r>
        <w:t>Conferido traslado a la parte contraria, la Audiencia Provincial desestimó el incidente, por Auto de 17 de noviembre de 2010, por entender que no existía en la Sentencia defecto formal alguno y, menos aún, que hubiese generado indefensión, limitándose el escrito promotor de aquél a reflejar el mero “desacuerdo por parte del entonces apelado con los razonamientos y el fallo de la sentencia, que intenta combatir ahora, de forma extemporánea y por un cauce procesal absolutamente inadecuado … En definitiva, no existe causa de nulidad ni vulneración de derecho fundamental alguna, sino pretensión de una nueva revisión del asunto de la litis reiterando lo alegado en el escrito de oposición al recurso de apelación”.</w:t>
      </w:r>
    </w:p>
    <w:p w:rsidR="00D06117" w:rsidRDefault="00D06117" w:rsidP="00D06117">
      <w:pPr>
        <w:pStyle w:val="TextoNormal"/>
      </w:pPr>
    </w:p>
    <w:p w:rsidR="00D06117" w:rsidRDefault="00D06117" w:rsidP="00D06117">
      <w:pPr>
        <w:pStyle w:val="TextoNormal"/>
      </w:pPr>
      <w:r w:rsidRPr="00D06117">
        <w:rPr>
          <w:rStyle w:val="NumeroAFNegritaCaracter"/>
        </w:rPr>
        <w:t>3</w:t>
      </w:r>
      <w:r>
        <w:t>. En la fundamentación jurídica de la demanda de amparo el recurrente invoca la vulneración del derecho a la tutela judicial efectiva (art. 24.1 CE), que imputa a la Sentencia de 26 de julio de 2010 de la Audiencia Provincial y al Auto dictado por la misma Sección de 17 de noviembre de 2010 por incurrir ambas resoluciones en incongruencia omisiva. Según el recurrente, en la instancia y en el recurso de apelación formuló en tiempo oportuno una alegación sustancial, determinante del sentido del fallo en relación con la excepción de prescripción aducida de contrario, a saber, que con arreglo al art. 1969 CC debía ser considerado como dies a quo para el cómputo del plazo el momento en que el actor pudo tener conocimiento real de quién era la entidad responsable del estado del vial donde ocurrió el accidente; fecha que el demandante de amparo concretaba en el día de la vista del procedimiento contencioso-administrativo entablado contra el Ayuntamiento. Esta alegación, sin embargo, no obtuvo respuesta en segunda instancia —señala el recurrente— como tampoco la obtuvo cuando suscitó dicha falta de pronunciamiento en el incidente de nulidad de actuaciones, el cual se desestimó mediante el empleo de fórmulas estereotipadas en el Auto igualmente recurrido.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5 de julio de 2011, la Sala Segunda de este Tribunal Constitucional resolvió admitir a trámite la demanda presentada y, en aplicación de lo dispuesto en el art. 51 de la Ley Orgánica del Tribunal Constitucional (LOTC), acordó dirigir atenta comunicación a la Sección Quinta de la Audiencia Provincial de Málaga, a fin de que en plazo que no excediera de diez días remitiese certificación o fotocopia adverada de las actuaciones correspondientes al rollo núm.980-2009, así como atenta comunicación al Juzgado de Primera Instancia núm. 3 de Málaga para la remisión de certificación o fotocopia adverada de las actuaciones correspondientes al juicio ordinario núm. 736-2007 y el emplazamiento de quienes hubieran sido parte en el procedimiento, a excepción del demandante de amparo, para que si lo deseaban pudiesen comparecer en el recurso en el mismo plazo.</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Remitidas las actuaciones por los órganos citados y personado la junta de compensación Bizcochero Capitán mediante escrito con fecha de entrada de 28 de septiembre de 2011, por diligencia de ordenación de la Secretaría de la Sala Segunda de este Tribunal Constitucional, de 29 de septiembre de 2011, se tuvo por personada y parte en el procedimiento a la Procuradora doña Blanca Murillo de la Cuadra, en nombre y representación de la junta de compensación Bizcochero Capitán, defendida por el Letrado don José Carlos Quero Gómez, y se acordó dar vista de las actuaciones recibidas a las partes personadas y al Ministerio </w:t>
      </w:r>
      <w:r>
        <w:lastRenderedPageBreak/>
        <w:t>Fiscal, por plazo común de veinte días, a fin de formular las alegaciones que tuvieran por conveniente, de conformidad con lo dispuesto en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Ministerio Fiscal evacuó el trámite de alegaciones conferido mediante escrito registrado en fecha de 11 de noviembre de 2011, en el que solicitó la desestimación de la demanda de amparo. Conforme a éste, la Sentencia de la Audiencia Provincial estimó la excepción de prescripción sobre la base de que los plazos de la misma para uno y otro sujeto, Ayuntamiento y junta de compensación, debían tener fechas de cómputo inicial y final distintos al no tratarse de deudores solidarios. Respecto de la junta, partiendo de que el accidente ocurrió el 16 de noviembre de 2004 y que la reclamación extrajudicial frente a la misma se llevó a cabo el 7 de junio de 2006, consideró que el plazo de un año determinado por el art. 1968.2 CC para el ejercicio de la acción de responsabilidad extracontractual había transcurrido. Así, no puede entenderse a juicio del Ministerio público, que con su respuesta la Audiencia Provincial alterara el debate procesal sometido a la misma, ni que dejara de contestar a la cuestión relativa a cuál debía ser considerado el dies a quo del cómputo (el del accidente, según la Sentencia), que se aborda sencillamente desde distinta óptica, pero respondiendo en todo caso a la pretensión.</w:t>
      </w:r>
    </w:p>
    <w:p w:rsidR="00D06117" w:rsidRDefault="00D06117" w:rsidP="00D06117">
      <w:pPr>
        <w:pStyle w:val="TextoNormal"/>
      </w:pPr>
    </w:p>
    <w:p w:rsidR="00D06117" w:rsidRDefault="00D06117" w:rsidP="00D06117">
      <w:pPr>
        <w:pStyle w:val="TextoNormal"/>
      </w:pPr>
      <w:r>
        <w:t>En lo atinente al Auto resolutorio del incidente de nulidad de actuaciones, tampoco apreciaba en el escrito vulneración de derecho fundamental alguno, dado que el solicitante fundamentaba la lesión en el cómputo erróneo del plazo de la prescripción, de suerte que entonces la remisión a la Sentencia para justificar que no se produjo indefensión no parece incongruente.</w:t>
      </w:r>
    </w:p>
    <w:p w:rsidR="00D06117" w:rsidRDefault="00D06117" w:rsidP="00D06117">
      <w:pPr>
        <w:pStyle w:val="TextoNormal"/>
      </w:pPr>
    </w:p>
    <w:p w:rsidR="00D06117" w:rsidRDefault="00D06117" w:rsidP="00D06117">
      <w:pPr>
        <w:pStyle w:val="TextoNormal"/>
      </w:pPr>
      <w:r w:rsidRPr="00D06117">
        <w:rPr>
          <w:rStyle w:val="NumeroAFNegritaCaracter"/>
        </w:rPr>
        <w:t>7</w:t>
      </w:r>
      <w:r>
        <w:t>. El demandante de amparo, don Jesús Rodríguez Romero, evacuó el trámite de alegaciones conferido mediante escrito registrado en fecha 28 de diciembre de 2011, en el que, en lo sustancial, reiteró las efectuadas en la demanda de amparo.</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 la junta de compensación Bizcochero Capitán dedujo a su vez alegaciones mediante escrito registrado en fecha 4 de noviembre de 2011, en el que se opuso a la estimación del recurso de amparo. En su opinión, la Sentencia de la Audiencia Provincial había dado efectiva respuesta a la cuestión planteada, que consistía, de acuerdo con lo suscitado en el recurso de apelación, en corregir el criterio equivocado de la Sentencia de primera instancia relativo a que el plazo de prescripción se había interrumpido por la reclamación contencioso-administrativa dirigida por el demandante de amparo contra el Ayuntamiento. Para esta parte, la cuestión a valorar no es tanto el momento en que el actor tuvo conocimiento de la identidad del presunto responsable de los daños —sobre lo que el Juzgado tampoco respondió, sin protesta por el ahora recurrente—, sino su falta de diligencia en la indagación de aquél, como se sostuvo por la Sentencia recurrida y quedó acreditado por su parte, al aportar el documento remitido por el Ayuntamiento en respuesta a su pregunta sobre la titularidad del vial. La Audiencia Provincial, en definitiva, respondió en forma global a la excepción de prescripción, tomando en consideración cuantos hechos resultaron probados y aplicando a los mismos el Derecho, por más que su respuesta no satisficiera el interés del recurrente.</w:t>
      </w:r>
    </w:p>
    <w:p w:rsidR="00D06117" w:rsidRDefault="00D06117" w:rsidP="00D06117">
      <w:pPr>
        <w:pStyle w:val="TextoNormal"/>
      </w:pPr>
    </w:p>
    <w:p w:rsidR="00D06117" w:rsidRDefault="00D06117" w:rsidP="00D06117">
      <w:pPr>
        <w:pStyle w:val="TextoNormal"/>
      </w:pPr>
      <w:r>
        <w:t xml:space="preserve">Respecto de la incongruencia omisiva que se imputa al Auto de 17 de noviembre de 2010, la junta de compensación también descarta que la resolución incurriese en ella, toda vez que </w:t>
      </w:r>
      <w:r>
        <w:lastRenderedPageBreak/>
        <w:t>el recurrente se limitó a reproducir en el escrito interponiendo el incidente de nulidad de actuaciones los mismos argumentos que había expuesto en el escrito de oposición al recurso de apelación, como si aquél integrase una tercera instancia, cuando su objeto lo constituyen únicamente los defectos de forma causantes de indefensión material y efectiva. Indefensión que no concurre en el presente caso —añade— en el que el órgano a quo resuelve sobre una cuestión de legalidad ordinaria, la prescripción, de forma razonable y no incursa en error ni arbitrariedad.</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23 de febrero de 2012 se señaló para la deliberación y votación de la presente Sentencia el día 27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interpone contra la Sentencia de 26 de julio de 2010 de la Sección Quinta de la Audiencia Provincial de Málaga, a la que el demandante atribuye la vulneración del derecho a la tutela judicial efectiva en su concreta dimensión de derecho a una resolución congruente (art. 24.1 CE), por estimar el recurso de apelación interpuesto frente a la Sentencia de primera instancia sin dar respuesta a una alegación de la parte recurrida, oportunamente introducida en el proceso, que el recurrente en amparo califica de sustancial.</w:t>
      </w:r>
    </w:p>
    <w:p w:rsidR="00D06117" w:rsidRDefault="00D06117" w:rsidP="00D06117">
      <w:pPr>
        <w:pStyle w:val="TextoNormal"/>
      </w:pPr>
    </w:p>
    <w:p w:rsidR="00D06117" w:rsidRDefault="00D06117" w:rsidP="00D06117">
      <w:pPr>
        <w:pStyle w:val="TextoNormal"/>
      </w:pPr>
      <w:r>
        <w:t>Asimismo, se dirige la demanda contra el Auto de 17 de noviembre de 2010 de la misma Sección y rollo, por el que se desestimó el incidente de nulidad presentado contra la anterior Sentencia y respecto del que el recurrente sostiene que igualmente ha incurrido en incongruencia omisiva.</w:t>
      </w:r>
    </w:p>
    <w:p w:rsidR="00D06117" w:rsidRDefault="00D06117" w:rsidP="00D06117">
      <w:pPr>
        <w:pStyle w:val="TextoNormal"/>
      </w:pPr>
    </w:p>
    <w:p w:rsidR="00D06117" w:rsidRDefault="00D06117" w:rsidP="00D06117">
      <w:pPr>
        <w:pStyle w:val="TextoNormal"/>
      </w:pPr>
      <w:r w:rsidRPr="00D06117">
        <w:rPr>
          <w:rStyle w:val="NumeroAFNegritaCaracter"/>
        </w:rPr>
        <w:t>2</w:t>
      </w:r>
      <w:r>
        <w:t>. Siendo varias las quejas formuladas, es necesario indicar a continuación cuál ha de ser el orden en que las examinaremos, conforme a los criterios expuestos en nuestra jurisprudencia, en los que reiteradamente hemos concedido prioridad a aquellas causas de las que pudiera derivarse la retroacción de actuaciones y dentro de éstas, a las que determinan la retroacción a un momento procesal anterior, lo que haría innecesario un pronunciamiento sobre las restantes. (STC 90/2010, de 15 de noviembre, FJ 2 y las que en ella se citan, SSTC 40/2004, de 22 de marzo, FJ 1; 169/2005, de 20 de junio, FJ 2; 219/2007, de 8 de octubre, FJ 3; o 182/2009, de 7 de septiembre, FJ 3). Ello implica en este caso que debemos analizar, en primer término, la incongruencia omisiva que se predica de la Sentencia de la Audiencia Provincial, al conllevar en su caso la estimación del recurso por este motivo la retroacción de actuaciones al momento precedente al dictado de la Sentencia en el recurso de apelación, cronológicamente anterior a la resolución del incidente de nulidad frente a aquélla.</w:t>
      </w:r>
    </w:p>
    <w:p w:rsidR="00D06117" w:rsidRDefault="00D06117" w:rsidP="00D06117">
      <w:pPr>
        <w:pStyle w:val="TextoNormal"/>
      </w:pPr>
    </w:p>
    <w:p w:rsidR="00D06117" w:rsidRDefault="00D06117" w:rsidP="00D06117">
      <w:pPr>
        <w:pStyle w:val="TextoNormal"/>
      </w:pPr>
      <w:r w:rsidRPr="00D06117">
        <w:rPr>
          <w:rStyle w:val="NumeroAFNegritaCaracter"/>
        </w:rPr>
        <w:t>3</w:t>
      </w:r>
      <w:r>
        <w:t>. Centrado así el objeto del presente recurso de amparo, debe recordarse, para su mejor resolución, la doctrina dictada por este Tribunal en torno a la prohibición de incongruencia omisiva o ex silentio, recopilada, entre otras muchas, en las SSTC 52/2005, de 14 de marzo; 4/2006, de 16 de enero; 85/2006, de 27 de marzo; 138/2007, de 4 de junio; 144/2007, de 18 de junio; y 165/2008, de 15 de diciembre. Como ya dijimos, en la STC 44/2008, de 10 de marzo, FJ 2, para evitar una exposición exhaustiva de la misma baste reproducir la síntesis efectuada en la STC 40/2006, de 13 de febrero, en la cual afirmábamos:</w:t>
      </w:r>
    </w:p>
    <w:p w:rsidR="00D06117" w:rsidRDefault="00D06117" w:rsidP="00D06117">
      <w:pPr>
        <w:pStyle w:val="TextoNormal"/>
      </w:pPr>
    </w:p>
    <w:p w:rsidR="00D06117" w:rsidRDefault="00D06117" w:rsidP="00D06117">
      <w:pPr>
        <w:pStyle w:val="TextoNormal"/>
      </w:pPr>
      <w:r>
        <w:t>“La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 Se ha elaborado así un cuerpo de doctrina consolidado que puede sistematizarse, a los efectos que a este amparo interesan, en los siguientes puntos:</w:t>
      </w:r>
    </w:p>
    <w:p w:rsidR="00D06117" w:rsidRDefault="00D06117" w:rsidP="00D06117">
      <w:pPr>
        <w:pStyle w:val="TextoNormal"/>
      </w:pPr>
    </w:p>
    <w:p w:rsidR="00D06117" w:rsidRDefault="00D06117" w:rsidP="00D06117">
      <w:pPr>
        <w:pStyle w:val="TextoNormal"/>
      </w:pPr>
      <w:r>
        <w:t>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D06117" w:rsidRDefault="00D06117" w:rsidP="00D06117">
      <w:pPr>
        <w:pStyle w:val="TextoNormal"/>
      </w:pPr>
    </w:p>
    <w:p w:rsidR="00D06117" w:rsidRDefault="00D06117" w:rsidP="00D06117">
      <w:pPr>
        <w:pStyle w:val="TextoNormal"/>
      </w:pPr>
      <w:r>
        <w:t xml:space="preserve">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w:t>
      </w:r>
      <w:r>
        <w:lastRenderedPageBreak/>
        <w:t>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00D06117" w:rsidRDefault="00D06117" w:rsidP="00D06117">
      <w:pPr>
        <w:pStyle w:val="TextoNormal"/>
      </w:pPr>
    </w:p>
    <w:p w:rsidR="00D06117" w:rsidRDefault="00D06117" w:rsidP="00D06117">
      <w:pPr>
        <w:pStyle w:val="TextoNormal"/>
      </w:pPr>
      <w:r>
        <w:t>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00D06117" w:rsidRDefault="00D06117" w:rsidP="00D06117">
      <w:pPr>
        <w:pStyle w:val="TextoNormal"/>
      </w:pPr>
    </w:p>
    <w:p w:rsidR="00D06117" w:rsidRDefault="00D06117" w:rsidP="00D06117">
      <w:pPr>
        <w:pStyle w:val="TextoNormal"/>
      </w:pPr>
      <w:r>
        <w:t>Por lo demás, en la misma Sentencia, con cita de la STC 100/2004, de 2 de junio, recordábamos:</w:t>
      </w:r>
    </w:p>
    <w:p w:rsidR="00D06117" w:rsidRDefault="00D06117" w:rsidP="00D06117">
      <w:pPr>
        <w:pStyle w:val="TextoNormal"/>
      </w:pPr>
    </w:p>
    <w:p w:rsidR="00D06117" w:rsidRDefault="00D06117" w:rsidP="00D06117">
      <w:pPr>
        <w:pStyle w:val="TextoNormal"/>
      </w:pPr>
      <w:r>
        <w:t>“La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En el caso de autos se aprecia que la discusión se ciñe al distinto tratamiento que partes y órgano judicial dan a la cuestión pretendidamente no respondida, a saber, si la fecha del </w:t>
      </w:r>
      <w:r>
        <w:lastRenderedPageBreak/>
        <w:t>conocimiento por el perjudicado de la identidad del sujeto responsable del daño debía ser tomada como dies a quo del cómputo del plazo de la prescripción extintiva del art. 1968.2 del Código civil (CC). Mientras que el demandante de amparo, invocando la doctrina de este Tribunal contenida en la STC 144/2007, de 18 de junio, considera que se trataba de una “alegación sustancial” que merecía la respuesta del órgano sentenciador, para la parte demandada en el proceso a quo y el Ministerio Fiscal, con apoyo en la STC 73/2009, de 23 de marzo, aquella cuestión no integraba la pretensión procesal debatida, bastando a los efectos de satisfacer el derecho fundamental con la respuesta dada por la Sección juzgadora sobre la prescripción de la acción.</w:t>
      </w:r>
    </w:p>
    <w:p w:rsidR="00D06117" w:rsidRDefault="00D06117" w:rsidP="00D06117">
      <w:pPr>
        <w:pStyle w:val="TextoNormal"/>
      </w:pPr>
    </w:p>
    <w:p w:rsidR="00D06117" w:rsidRDefault="00D06117" w:rsidP="00D06117">
      <w:pPr>
        <w:pStyle w:val="TextoNormal"/>
      </w:pPr>
      <w:r>
        <w:t>En este sentido, del examen de las Sentencias dictadas por este Tribunal en la materia se constata que en la práctica la aplicación de nuestra doctrina transcrita en el fundamento anterior tropieza, como en el caso de este recurso, con la complejidad de distinguir cuándo la invocación por el demandante o el demandado de unos hechos o de una norma integra la pretensión y cuándo se trata, por el contrario, de una alegación meramente accesoria. A los estrictos efectos de delimitar el contenido del derecho fundamental invocado, baste ahora con señalar que, en el extremo atinente a las alegaciones de las partes, existirá incongruencia omisiva siempre que se produzca una falta de respuesta a la invocación de unos hechos jurídicamente determinantes del sentido del fallo, pudiendo decirse que es la incidencia en el fallo la que cualifica a la alegación haciendo que la falta de respuesta judicial a la misma ostente relevancia constitucional.</w:t>
      </w:r>
    </w:p>
    <w:p w:rsidR="00D06117" w:rsidRDefault="00D06117" w:rsidP="00D06117">
      <w:pPr>
        <w:pStyle w:val="TextoNormal"/>
      </w:pPr>
    </w:p>
    <w:p w:rsidR="00D06117" w:rsidRDefault="00D06117" w:rsidP="00D06117">
      <w:pPr>
        <w:pStyle w:val="TextoNormal"/>
      </w:pPr>
      <w:r>
        <w:t>Examinando ya los términos concretos de la alegación aquí controvertida parece evidente que ésta era determinante de la decisión. La concreción del momento inicial del plazo de prescripción, entendido con arreglo al art. 1969 CC como aquél desde el cual el recurrente tuvo conocimiento de quién era el responsable de los daños, podía conducir si tal momento se fechaba efectivamente en el postulado por el actor (el de la vista del proceso abreviado) a la conclusión de que la acción ejercitada de responsabilidad extracontractual no había prescrito, dado que desde dicha fecha (el 11 de mayo de 2006) y hasta el requerimiento extrajudicial de pago que el demandante de amparo dirigió a la parte demandada el 7 de junio de 2006 no había transcurrido el plazo de prescripción de un año establecido para la acción aquiliana en el art. 1968.2 CC. Así las cosas, la resolución sobre la cuestión planteada por el recurrente podía haber dado lugar a la desestimación del recurso de apelación.</w:t>
      </w:r>
    </w:p>
    <w:p w:rsidR="00D06117" w:rsidRDefault="00D06117" w:rsidP="00D06117">
      <w:pPr>
        <w:pStyle w:val="TextoNormal"/>
      </w:pPr>
    </w:p>
    <w:p w:rsidR="00D06117" w:rsidRDefault="00D06117" w:rsidP="00D06117">
      <w:pPr>
        <w:pStyle w:val="TextoNormal"/>
      </w:pPr>
      <w:r>
        <w:t xml:space="preserve">No obstante lo anterior, la Audiencia Provincial no respondió a la cuestión de forma expresa ni tácita. A estos efectos debe recordarse que este Tribunal no ha considerado respuesta tácita la que se desprende, sin más, de la estimación de la pretensión del contrario o de la desestimación de la propia; la respuesta tácita constitucionalmente suficiente a una cuestión recae cuando, como ha sido dicho, del conjunto de los razonamientos contenidos en la resolución puede deducirse razonablemente que el órgano judicial la ha valorado y, además, es posible identificar los motivos de la decisión. En la Sentencia recurrida, la Audiencia Provincial de Málaga se limita a descartar que la reclamación frente a uno de los deudores solidarios a título de culpa interrumpa la prescripción frente a los demás de acuerdo con el art. 1974 CC y la jurisprudencia que lo interpreta. Con dicha respuesta, sin enjuiciar ahora el error o acierto del órgano en la interpretación de la legalidad ordinaria, no puede saberse si efectivamente valoró la alegación defendida por el apelado, menos aún las razones por las cuales la desestimó. Que la reclamación frente al Ayuntamiento no podía considerarse acto interruptor del plazo de prescripción frente a la junta de compensación era </w:t>
      </w:r>
      <w:r>
        <w:lastRenderedPageBreak/>
        <w:t>indiferente al demandante de amparo, quien postulaba, no que se considerase interrumpido el plazo, sino que el cómputo debía iniciarse desde que conoció quién era el responsable del vial donde tuvo lugar el accidente. Tampoco puede considerarse que el órgano judicial de apelación respondiera implícitamente, dado que la negativa a que la reclamación frente a un posible deudor pudiera interrumpir la prescripción frente al otro deudor no conlleva necesariamente la negativa a la cuestión formulada por el demandante. En otras palabras, no integran razonamientos antitéticos o excluyentes entre sí de suerte que la estimación de uno signifique el rechazo del opuesto. Podía haberse afirmado que la reclamación frente al Ayuntamiento no afectaba a la junta y a continuación analizar si, no obstante, el plazo debía computarse como solicitaba el actor, pero no se dijo nada sobre esto ni se deduce de ninguno de los razonamientos de la Sentencia, quedando así la cuestión imprejuzgada pese a su innegable relevancia para determinar, si se estimaba, el rechazo del recurso de apelación interpuesto de contrario.</w:t>
      </w:r>
    </w:p>
    <w:p w:rsidR="00D06117" w:rsidRDefault="00D06117" w:rsidP="00D06117">
      <w:pPr>
        <w:pStyle w:val="TextoNormal"/>
      </w:pPr>
    </w:p>
    <w:p w:rsidR="00D06117" w:rsidRDefault="00D06117" w:rsidP="00D06117">
      <w:pPr>
        <w:pStyle w:val="TextoNormal"/>
      </w:pPr>
      <w:r w:rsidRPr="00D06117">
        <w:rPr>
          <w:rStyle w:val="NumeroAFNegritaCaracter"/>
        </w:rPr>
        <w:t>5</w:t>
      </w:r>
      <w:r>
        <w:t>. En consecuencia, debe concluirse que el derecho del demandante a la tutela judicial efectiva en su dimensión de derecho a una resolución congruente (art. 24.1 CE) fue vulnerado en la Sentencia de 26 de julio de 2010 de la Sección Quinta de la Audiencia Provincial de Málaga. Como se adelantó al inicio de estos fundamentos, la estimación del recurso de amparo por este motivo hace ya innecesario el pronunciamiento relativo a la posible vulneración del mismo derecho del recurrente en el Auto resolutorio del incidente de nulidad de actuaciones interpuesto frente a aquélla, más aún cuando tras la reforma operada en la regulación del citado incidente por la Ley Orgánica 6/2007, de 24 de mayo, éste se incardina en el sistema de garantías de los derechos fundamentales (STC 43/2010, de 26 de julio), con la finalidad de agotar la vía jurisdiccional previa al recurso de amparo, dando ocasión al órgano judicial para reparar las vulneraciones de los derechos que se cometan en resoluciones frente a las que no quepa recurso, sin que de su inadmisión o desestimación se derive, por regla general, vulneración autónoma de los mismos (STC 107/2011, de 20 de junio, FJ 1; ATC 124/2010, de 4 de octubre, FJ 2).</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demanda de amparo interpuesta por don Jesús Rodríguez Romero y en su virtud:</w:t>
      </w:r>
    </w:p>
    <w:p w:rsidR="00D06117" w:rsidRDefault="00D06117" w:rsidP="00D06117">
      <w:pPr>
        <w:pStyle w:val="TextoNormal"/>
      </w:pPr>
    </w:p>
    <w:p w:rsidR="00D06117" w:rsidRDefault="00D06117" w:rsidP="00D06117">
      <w:pPr>
        <w:pStyle w:val="TextoNormal"/>
      </w:pPr>
      <w:r>
        <w:t>1º Declarar que se ha vulnerado el derecho del demandante de amparo a la tutela judicial efectiva, en su vertiente de derecho a una resolución congruente (art. 24.1 CE).</w:t>
      </w:r>
    </w:p>
    <w:p w:rsidR="00D06117" w:rsidRDefault="00D06117" w:rsidP="00D06117">
      <w:pPr>
        <w:pStyle w:val="TextoNormal"/>
      </w:pPr>
    </w:p>
    <w:p w:rsidR="00D06117" w:rsidRDefault="00D06117" w:rsidP="00D06117">
      <w:pPr>
        <w:pStyle w:val="TextoNormal"/>
      </w:pPr>
      <w:r>
        <w:t>2º Restablecerlo en su derecho y, a tal fin, declarar la nulidad de la Sentencia de la Sección Quinta de la Audiencia Provincial de Málaga de 26 de julio de 2010 y del Auto del mismo órgano de 17 de noviembre de 2010, recaídos en el rollo de apelación núm. 980-</w:t>
      </w:r>
      <w:r>
        <w:lastRenderedPageBreak/>
        <w:t>2009, retrotrayendo las actuaciones al momento inmediatamente anterior al de haberse dictado la mencionada Sentencia para que se pronuncie otra resolución judicial respetuosa con el derecho a la tutela judicial efectiva del demandante de amparo.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veintisiete de febrero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29" w:name="SENTENCIA_2012_26"/>
      <w:r>
        <w:lastRenderedPageBreak/>
        <w:t>SENTENCIA 26/2012, de 1 de marzo de 2012</w:t>
      </w:r>
    </w:p>
    <w:bookmarkEnd w:id="2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ECLI:ES:TC:2012:26</w:t>
      </w:r>
    </w:p>
    <w:p w:rsidR="00D06117" w:rsidRDefault="00D06117" w:rsidP="00D06117">
      <w:pPr>
        <w:pStyle w:val="SntesisDescriptiva"/>
      </w:pPr>
    </w:p>
    <w:p w:rsidR="00D06117" w:rsidRDefault="00D06117" w:rsidP="00D06117">
      <w:pPr>
        <w:pStyle w:val="SntesisDescriptiva"/>
      </w:pPr>
      <w:r>
        <w:t>Recurso de inconstitucionalidad 5061-2001. Interpuesto por el Presidente del Gobierno en relación con diversos preceptos de la Ley 11/2001, de 15 de junio, de ordenación de la actividad comercial en las Illes Balears.</w:t>
      </w:r>
    </w:p>
    <w:p w:rsidR="00D06117" w:rsidRDefault="00D06117" w:rsidP="00D06117">
      <w:pPr>
        <w:pStyle w:val="SntesisDescriptiva"/>
      </w:pPr>
    </w:p>
    <w:p w:rsidR="00D06117" w:rsidRDefault="00D06117" w:rsidP="00D06117">
      <w:pPr>
        <w:pStyle w:val="SntesisAnaltica"/>
      </w:pPr>
      <w:r>
        <w:t>Competencias sobre igualdad básica, legislación civil y mercantil, ordenación general de la economía y bases del régimen jurídico de las Administraciones públicas; comercio interior y defensa de los consumidores y usuarios: nulidad de los preceptos legales autonómicos que contravienen la normativa básica en la definición del comercio minorista, la fijación del límite diario de horarios comerciales y la regulación de determinados tipos de venta; inconstitucionalidad de aquellos otros preceptos legales que limitan la apertura de nuevos establecimientos comerciales y excluyen la aplicación del régimen general de horarios comerciales a las zonas de gran afluencia turística.</w:t>
      </w:r>
    </w:p>
    <w:p w:rsidR="00D06117" w:rsidRDefault="00D06117" w:rsidP="00D06117">
      <w:pPr>
        <w:pStyle w:val="SntesisAnaltica"/>
      </w:pPr>
    </w:p>
    <w:p w:rsidR="00D06117" w:rsidRDefault="00D06117" w:rsidP="00D06117">
      <w:pPr>
        <w:pStyle w:val="Extracto"/>
      </w:pPr>
      <w:r>
        <w:t>1.</w:t>
      </w:r>
      <w:r>
        <w:tab/>
        <w:t xml:space="preserve">El art. 4.2 de la Ley autonómica, en cuanto incluye en su seno aspectos no contemplados en la definición estatal, debe declararse inconstitucional y nulo ya que el legislador autonómico, aun cuando su competencia en materia de comercio interior incluya la relativa a las condiciones para ejercer la actividad comercial, no puede entrar a regular tales condiciones al invadir ámbitos de la actividad mercantil que corresponden al Estado </w:t>
      </w:r>
      <w:r w:rsidRPr="00D06117">
        <w:rPr>
          <w:i/>
        </w:rPr>
        <w:t>ex</w:t>
      </w:r>
      <w:r>
        <w:t xml:space="preserve"> art. 149.1.6 CE [FJ 4].</w:t>
      </w:r>
    </w:p>
    <w:p w:rsidR="00D06117" w:rsidRDefault="00D06117" w:rsidP="00D06117">
      <w:pPr>
        <w:pStyle w:val="Extracto"/>
      </w:pPr>
    </w:p>
    <w:p w:rsidR="00D06117" w:rsidRDefault="00D06117" w:rsidP="00D06117">
      <w:pPr>
        <w:pStyle w:val="Extracto"/>
      </w:pPr>
      <w:r>
        <w:t>2.</w:t>
      </w:r>
      <w:r>
        <w:tab/>
        <w:t>El art. 14.1 de la Ley autonómica es incompatible con la norma básica estatal sobrevenida y vulnera el art. 149.1.13 CE en la medida en que introduce limitaciones en la implantación de establecimientos comerciales imposibilitando autorizar la instalación de determinados establecimientos en función de su tamaño cuando este dato se pone en relación con el número de habitantes de la población en la que pretendieran ubicarse [FJ 5].</w:t>
      </w:r>
    </w:p>
    <w:p w:rsidR="00D06117" w:rsidRDefault="00D06117" w:rsidP="00D06117">
      <w:pPr>
        <w:pStyle w:val="Extracto"/>
      </w:pPr>
    </w:p>
    <w:p w:rsidR="00D06117" w:rsidRDefault="00D06117" w:rsidP="00D06117">
      <w:pPr>
        <w:pStyle w:val="Extracto"/>
      </w:pPr>
      <w:r>
        <w:t>3.</w:t>
      </w:r>
      <w:r>
        <w:tab/>
        <w:t>El art. 18.1 de la Ley autonómica no contraviene lo dispuesto por la normativa básica estatal, ya que ésta habilita a las Comunidades Autónomas para establecer un horario global en el que los comercios podrán desarrollar su actividad durante los días laborables de la semana impidiendo que dicho horario global se restrinja a menos de 72 horas, mínimo que es respetado por el precepto autonómico [FJ 7].</w:t>
      </w:r>
    </w:p>
    <w:p w:rsidR="00D06117" w:rsidRDefault="00D06117" w:rsidP="00D06117">
      <w:pPr>
        <w:pStyle w:val="Extracto"/>
      </w:pPr>
    </w:p>
    <w:p w:rsidR="00D06117" w:rsidRDefault="00D06117" w:rsidP="00D06117">
      <w:pPr>
        <w:pStyle w:val="Extracto"/>
      </w:pPr>
      <w:r>
        <w:t>4.</w:t>
      </w:r>
      <w:r>
        <w:tab/>
        <w:t>El art.18.2 de la Ley autonómica, que fija un límite diario al horario de apertura y cierre de los establecimientos comerciales, al disponer que el mismo no podrá exceder de 12 horas, es inconstitucional y nulo en cuanto, frente a la libertad otorgada por la base estatal, impone límites al horario diario de apertura de dichos establecimientos [FJ 7].</w:t>
      </w:r>
    </w:p>
    <w:p w:rsidR="00D06117" w:rsidRDefault="00D06117" w:rsidP="00D06117">
      <w:pPr>
        <w:pStyle w:val="Extracto"/>
      </w:pPr>
    </w:p>
    <w:p w:rsidR="00D06117" w:rsidRDefault="00D06117" w:rsidP="00D06117">
      <w:pPr>
        <w:pStyle w:val="Extracto"/>
      </w:pPr>
      <w:r>
        <w:t>5.</w:t>
      </w:r>
      <w:r>
        <w:tab/>
        <w:t>Doctrina sobre regulación básica en materia de horarios comerciales (SSTC 225/1993, 88/2010) [FJ 7].</w:t>
      </w:r>
    </w:p>
    <w:p w:rsidR="00D06117" w:rsidRDefault="00D06117" w:rsidP="00D06117">
      <w:pPr>
        <w:pStyle w:val="Extracto"/>
      </w:pPr>
    </w:p>
    <w:p w:rsidR="00D06117" w:rsidRDefault="00D06117" w:rsidP="00D06117">
      <w:pPr>
        <w:pStyle w:val="Extracto"/>
      </w:pPr>
      <w:r>
        <w:t>6.</w:t>
      </w:r>
      <w:r>
        <w:tab/>
        <w:t>El art. 20 de la Ley autonómica no resulta contrario a la norma básica estatal ya que prevé una regla general de no apertura en domingos y festivos que admite una excepción para cuya articulación se prevé la autorización expresa del Gobierno de las Illes Balears que, en la práctica, puede permitir la apertura en domingos y festivos en el marco establecido por la ley estatal básica, haciéndose de este modo compatibles la previsión autonómica y la estatal, siempre que se respete el límite mínimo de ocho días de apertura autorizada en domingos y festivos establecido por las bases [FJ 8].</w:t>
      </w:r>
    </w:p>
    <w:p w:rsidR="00D06117" w:rsidRDefault="00D06117" w:rsidP="00D06117">
      <w:pPr>
        <w:pStyle w:val="Extracto"/>
      </w:pPr>
    </w:p>
    <w:p w:rsidR="00D06117" w:rsidRDefault="00D06117" w:rsidP="00D06117">
      <w:pPr>
        <w:pStyle w:val="Extracto"/>
      </w:pPr>
      <w:r>
        <w:t>7.</w:t>
      </w:r>
      <w:r>
        <w:tab/>
        <w:t>Los incisos cuestionados de los arts. 21.1 b) y 22 de la Ley autonómica establecen restricciones al régimen de libertad de horarios proclamado por la normativa básica estatal, lo cual supone un exceso del legislador autonómico en el ejercicio de su competencia estatutaria en materia de comercio interior que ha de conllevar la declaración de inconstitucionalidad de ambos incisos por contravenir el orden constitucional de distribución de competencias [FJ 9].</w:t>
      </w:r>
    </w:p>
    <w:p w:rsidR="00D06117" w:rsidRDefault="00D06117" w:rsidP="00D06117">
      <w:pPr>
        <w:pStyle w:val="Extracto"/>
      </w:pPr>
    </w:p>
    <w:p w:rsidR="00D06117" w:rsidRDefault="00D06117" w:rsidP="00D06117">
      <w:pPr>
        <w:pStyle w:val="Extracto"/>
      </w:pPr>
      <w:r>
        <w:t>8.</w:t>
      </w:r>
      <w:r>
        <w:tab/>
        <w:t xml:space="preserve">El art. 27 a) de la Ley autonómica es inconstitucional y nulo en cuanto que prohíbe la dedicación en exclusiva de un establecimiento comercial a la venta de saldos lo que afecta al régimen de competencia entre los ofertantes y aspira a evitar la existencia de un formato comercial determinado, no teniendo otro encaje competencial que el de la propia defensa de la competencia que corresponde al Estado </w:t>
      </w:r>
      <w:r w:rsidRPr="00D06117">
        <w:rPr>
          <w:i/>
        </w:rPr>
        <w:t>ex</w:t>
      </w:r>
      <w:r>
        <w:t xml:space="preserve"> art. 149.1.13 CE [FJ 10].</w:t>
      </w:r>
    </w:p>
    <w:p w:rsidR="00D06117" w:rsidRDefault="00D06117" w:rsidP="00D06117">
      <w:pPr>
        <w:pStyle w:val="Extracto"/>
      </w:pPr>
    </w:p>
    <w:p w:rsidR="00D06117" w:rsidRDefault="00D06117" w:rsidP="00D06117">
      <w:pPr>
        <w:pStyle w:val="Extracto"/>
      </w:pPr>
      <w:r>
        <w:t>9.</w:t>
      </w:r>
      <w:r>
        <w:tab/>
        <w:t>El art. 28 de la Ley autonómica es inconstitucional y nulo por invadir las competencias que corresponden al Estado ya que, en la medida en que limitan el libre ejercicio de la actividad mercantil a través del establecimiento de un marco temporal imperativo para el desarrollo de específicas modalidades de ventas que afecta a la relación horizontal entre las empresas en una economía de libre mercado y no a la situación del consumidor como destinatario de los productos producidos por las mismas, su aprobación corresponde al Estado en virtud del art. 149.1.13 CE [FJ 11].</w:t>
      </w:r>
    </w:p>
    <w:p w:rsidR="00D06117" w:rsidRDefault="00D06117" w:rsidP="00D06117">
      <w:pPr>
        <w:pStyle w:val="Extracto"/>
      </w:pPr>
    </w:p>
    <w:p w:rsidR="00D06117" w:rsidRDefault="00D06117" w:rsidP="00D06117">
      <w:pPr>
        <w:pStyle w:val="Extracto"/>
      </w:pPr>
      <w:r>
        <w:t>10.</w:t>
      </w:r>
      <w:r>
        <w:tab/>
        <w:t>El art. 35.2 de la Ley autonómica es inconstitucional y nulo dado que la prohibición de la práctica comercial consistente en la venta con pérdida no es una medida de carácter administrativo tendente a la protección del consumidor sino que persigue la ordenación de la concurrencia de los comerciantes en el mercado, lo que determina que su definición corresponda al Estado [FJ 12].</w:t>
      </w:r>
    </w:p>
    <w:p w:rsidR="00D06117" w:rsidRDefault="00D06117" w:rsidP="00D06117">
      <w:pPr>
        <w:pStyle w:val="Extracto"/>
      </w:pPr>
    </w:p>
    <w:p w:rsidR="00D06117" w:rsidRDefault="00D06117" w:rsidP="00D06117">
      <w:pPr>
        <w:pStyle w:val="Extracto"/>
      </w:pPr>
      <w:r>
        <w:t>11.</w:t>
      </w:r>
      <w:r>
        <w:tab/>
        <w:t>Desde la perspectiva de la competencia estatal sobre legislación mercantil –</w:t>
      </w:r>
      <w:r w:rsidRPr="00D06117">
        <w:rPr>
          <w:i/>
        </w:rPr>
        <w:t>ex</w:t>
      </w:r>
      <w:r>
        <w:t xml:space="preserve"> art. 149.1.6 CE–, es posible considerar que la prohibición general de las ventas a pérdida, en cuanto afecta a uno de los elementos de las relaciones contractuales de los particulares, incide en la regulación mercantil de las transacciones comerciales con el consiguiente encaje en las competencias estatales en la materia [FJ 12].</w:t>
      </w:r>
    </w:p>
    <w:p w:rsidR="00D06117" w:rsidRDefault="00D06117" w:rsidP="00D06117">
      <w:pPr>
        <w:pStyle w:val="Extracto"/>
      </w:pPr>
    </w:p>
    <w:p w:rsidR="00D06117" w:rsidRDefault="00D06117" w:rsidP="00D06117">
      <w:pPr>
        <w:pStyle w:val="Extracto"/>
      </w:pPr>
      <w:r>
        <w:t>12.</w:t>
      </w:r>
      <w:r>
        <w:tab/>
        <w:t xml:space="preserve">El art. 54.1 de la Ley autonómica, no vulneraba las competencias estatales porque no ha omitido la valoración de la reincidencia en la graduación de las sanciones, sino que lo ha hecho dentro de los márgenes permitidos por la norma básica estatal </w:t>
      </w:r>
      <w:r>
        <w:lastRenderedPageBreak/>
        <w:t>a través de la configuración de tipos específicos de infracción que contemplan la reincidencia [FJ 13].</w:t>
      </w:r>
    </w:p>
    <w:p w:rsidR="00D06117" w:rsidRDefault="00D06117" w:rsidP="00D06117">
      <w:pPr>
        <w:pStyle w:val="Extracto"/>
      </w:pPr>
    </w:p>
    <w:p w:rsidR="00D06117" w:rsidRDefault="00D06117" w:rsidP="00D06117">
      <w:pPr>
        <w:pStyle w:val="Extracto"/>
      </w:pPr>
      <w:r>
        <w:t>13.</w:t>
      </w:r>
      <w:r>
        <w:tab/>
        <w:t>El legislador básico ha querido garantizar que en todo el territorio nacional resulten sancionados con mayor intensidad quienes hayan reincidido en la comisión de alguna infracción que aquellos que no lo han hecho, sin imponer a las Comunidades Autónomas ninguna modalidad técnica en cuanto a la concreción de la sanción que de ello debe seguirse, por lo que estas pueden optar, en el libre ejercicio de sus competencias, entre diversas técnicas para dar cumplimiento al mandato básico [FJ 13].</w:t>
      </w:r>
    </w:p>
    <w:p w:rsidR="00D06117" w:rsidRDefault="00D06117" w:rsidP="00D06117">
      <w:pPr>
        <w:pStyle w:val="Extracto"/>
      </w:pPr>
    </w:p>
    <w:p w:rsidR="00D06117" w:rsidRDefault="00D06117" w:rsidP="00D06117">
      <w:pPr>
        <w:pStyle w:val="Extracto"/>
      </w:pPr>
      <w:r>
        <w:t>14.</w:t>
      </w:r>
      <w:r>
        <w:tab/>
        <w:t xml:space="preserve">El encuadre competencias de las cuestiones discutidas en el presente recurso se enmarca en los ámbitos del comercio interior y la defensa de los consumidores y usuarios sobre los que la Comunidad Autónoma ostenta competencias exclusivas </w:t>
      </w:r>
      <w:r w:rsidRPr="00D06117">
        <w:rPr>
          <w:i/>
        </w:rPr>
        <w:t>ex</w:t>
      </w:r>
      <w:r>
        <w:t>. arts. 30.40 y 30.47 EAIB sin perjuicio de lo dispuesto en los artículos 38, 131, 149.1.11 y 149.1.13 CE, en el primer caso, y en los términos de lo dispuesto en los artículos 38, 131, 149.1.11, 149.1.13 y 149.1.16 CE, en el segundo [FJ 3].</w:t>
      </w:r>
    </w:p>
    <w:p w:rsidR="00D06117" w:rsidRDefault="00D06117" w:rsidP="00D06117">
      <w:pPr>
        <w:pStyle w:val="Extracto"/>
      </w:pPr>
    </w:p>
    <w:p w:rsidR="00D06117" w:rsidRDefault="00D06117" w:rsidP="00D06117">
      <w:pPr>
        <w:pStyle w:val="Extracto"/>
      </w:pPr>
      <w:r>
        <w:t>15.</w:t>
      </w:r>
      <w:r>
        <w:tab/>
        <w:t>Las competencias autonómicas no pueden dejar de atemperarse, de acuerdo a lo previsto en el propio Estatuto de Autonomía, a la disciplina establecida por el Estado en el ejercicio de sus competencias propias, lo que significa que las competencias asumidas por las Illes Balears han de respetar las competencias del Estado relacionadas en el art. 149.1 CE, en especial aquellas explícitamente mencionadas por el texto estatutario (STC 140/2011) [FJ 3].</w:t>
      </w:r>
    </w:p>
    <w:p w:rsidR="00D06117" w:rsidRDefault="00D06117" w:rsidP="00D06117">
      <w:pPr>
        <w:pStyle w:val="Extracto"/>
      </w:pPr>
    </w:p>
    <w:p w:rsidR="00D06117" w:rsidRDefault="00D06117" w:rsidP="00D06117">
      <w:pPr>
        <w:pStyle w:val="Extracto"/>
      </w:pPr>
      <w:r>
        <w:t>16.</w:t>
      </w:r>
      <w:r>
        <w:tab/>
        <w:t>Doctrina sobre la incidencia de las modificaciones normativas en lo que respecta a la pervivencia o pérdida sobrevenida del objeto del recurso de inconstitucionalidad (STC 18/2011)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inconstitucionalidad núm. 5061-2001, interpuesto por el Presidente del Gobierno, representado por el Abogado del Estado, contra determinados preceptos de la Ley 11/2001, de 15 de junio, de ordenación de la actividad comercial en las Illes Balears. Han </w:t>
      </w:r>
      <w:r>
        <w:lastRenderedPageBreak/>
        <w:t>comparecido y formulado alegaciones el Gobierno y el Parlamento de las Illes Balears, representados por sus respectivos Letrados.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de este Tribunal el día 27 de septiembre de 2001, el Abogado del Estado, en nombre del Presidente del Gobierno, presentó recurso de inconstitucionalidad contra los arts. 4.2; 14.1; 18; 20; 21.l b), segundo inciso; 22.1, inciso final; 27 a); 28; 35.2 y 54.1 de la Ley 11/2001, de 15 de junio, de ordenación de la actividad comercial en las Illes Balears. En la demanda se hizo expresa invocación del art. 161.2 CE a fin de que se produjera la suspensión de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2</w:t>
      </w:r>
      <w:r>
        <w:t>. Para el Abogado del Estado, los preceptos objeto del recurso de inconstitucionalidad vulneran las competencias del Estado pues señala que, siendo cierto que la Comunidad Autónoma ostenta competencias para aprobar una regulación sobre la actividad comercial, dicha regulación ha de establecerse respetando determinadas competencias estatales que en los términos que resumidamente se exponen a continuación no habrían sido respetadas.</w:t>
      </w:r>
    </w:p>
    <w:p w:rsidR="00D06117" w:rsidRDefault="00D06117" w:rsidP="00D06117">
      <w:pPr>
        <w:pStyle w:val="TextoNormal"/>
      </w:pPr>
    </w:p>
    <w:p w:rsidR="00D06117" w:rsidRDefault="00D06117" w:rsidP="00D06117">
      <w:pPr>
        <w:pStyle w:val="TextoNormal"/>
      </w:pPr>
      <w:r>
        <w:t>Así, el art. 4.2 se considera inconstitucional en cuanto establece un concepto de comercio minorista que amplía el previsto en la normativa estatal y se proyecta sobre una actividad propia de otro sector normativo, como es la ordenación del crédito y banca, incluyendo supuestos que están fuera del concepto de comercio minorista y sujetos a su propio régimen jurídico. Todo ello supone un exceso en la definición autonómica que vulnera la competencia estatal prevista en el art. 149.1.6 CE y altera el régimen jurídico propio de la prestación de servicios financieros atribuida en exclusiva a las entidades de crédito y sujeta a una regulación especial cuyas bases corresponde establecer al Estado. Esta imposibilidad de que las regulaciones administrativas autonómicas sobre comercio interior incidan en las relaciones contractuales privadas, cuya configuración corresponde en exclusiva al Estado en virtud de sus competencias en materia de legislación mercantil y civil, habría sido confirmada ya de una forma clara por la doctrina constitucional (con cita al respecto de las SSTC 62/1991 y 264/1993).</w:t>
      </w:r>
    </w:p>
    <w:p w:rsidR="00D06117" w:rsidRDefault="00D06117" w:rsidP="00D06117">
      <w:pPr>
        <w:pStyle w:val="TextoNormal"/>
      </w:pPr>
    </w:p>
    <w:p w:rsidR="00D06117" w:rsidRDefault="00D06117" w:rsidP="00D06117">
      <w:pPr>
        <w:pStyle w:val="TextoNormal"/>
      </w:pPr>
      <w:r>
        <w:t>El art. 14.1 es objeto de recurso por imponer a las autoridades administrativas competentes la prohibición de autorizar la realización de obras de instalación o ampliación, así como la apertura, de establecimientos comerciales con superficie de exposición y venta superior a determinadas medidas, regulación que produce una limitación o restricción sustantiva de la libertad de establecimiento de los comerciantes vulnerando directamente la base estatal contenida en el art. 5.2 de la Ley 7/1996, de 15 de enero, de ordenación del comercio minorista. Al mismo tiempo este precepto vulneraría el art. 149.1.1 en relación con los arts. 14, 38 y 139.2, todos ellos de la Constitución, interpretados de acuerdo con las SSTC 3/1981, 96/1984 y 88/1986 pues, por su carácter absoluto, incide de un modo tan intenso y sustantivo en el ejercicio del comercio que necesariamente ha de entenderse que afecta a las condiciones básicas de ejercicio de esta actividad.</w:t>
      </w:r>
    </w:p>
    <w:p w:rsidR="00D06117" w:rsidRDefault="00D06117" w:rsidP="00D06117">
      <w:pPr>
        <w:pStyle w:val="TextoNormal"/>
      </w:pPr>
    </w:p>
    <w:p w:rsidR="00D06117" w:rsidRDefault="00D06117" w:rsidP="00D06117">
      <w:pPr>
        <w:pStyle w:val="TextoNormal"/>
      </w:pPr>
      <w:r>
        <w:t xml:space="preserve">Los arts. 18, 20, 21.1 b), segundo inciso y 22.1, inciso final, regulan diversos aspectos de los horarios comerciales (número máximo de horas de apertura semanal, carácter inhábil </w:t>
      </w:r>
      <w:r>
        <w:lastRenderedPageBreak/>
        <w:t>de los domingos y festivos y limitaciones horarias para establecimientos situados en zonas de gran afluencia turística) que se entienden contrarios a lo establecido en el Real Decreto-ley 6/2000, de 23 de junio, de medidas urgentes de intensificación de la competencia en mercados de bienes y servicios, norma que contiene la regulación estatal básica (ex art. 149.1.13 CE) en materia de horarios comerciales, habiendo sido recurrido ante el Tribunal Constitucional dicho Real Decreto-ley por el Gobierno balear, recurso tramitado con el núm. 5019-2000, reproduciendo ahora las alegaciones presentadas con ocasión del mismo. Partiendo del carácter básico de la regulación estatal, a los preceptos autonómicos se les imputa que establecen un régimen de horarios mucho más restringido y limitado que el básico estatal. Así el art. 18 fija un máximo de apertura de 72 horas semanales cuando la norma básica establece un mínimo de 90; el art. 20 se reputa inconstitucional por considerar los domingos y festivos como inhábiles para el ejercicio de la actividad comercial, salvo autorización del Gobierno autonómico, en contra de lo dispuesto por la norma estatal que prevé los domingos y días festivos que tendrán que permanecer abiertos los comercios; al art. 21.1 b) se le achaca la vulneración de la normativa básica estatal porque prevé limitaciones horarias especiales para los establecimientos comerciales situados en zonas de gran afluencia turística contrarias a la libertad absoluta prevista en el art. 43.uno.3 del Real Decreto-ley 6/2000 así como por fijar el límite horario de los grandes establecimientos cuando abran en domingos y festivos, límite no previsto por la normativa básica; finalmente el art. 22 se considera inconstitucional por determinar que la exclusión de los límites horarios previstos para los establecimientos comerciales situados en zonas de gran afluencia turística no afectará al límite de las 12 horas diarias máximas de apertura.</w:t>
      </w:r>
    </w:p>
    <w:p w:rsidR="00D06117" w:rsidRDefault="00D06117" w:rsidP="00D06117">
      <w:pPr>
        <w:pStyle w:val="TextoNormal"/>
      </w:pPr>
    </w:p>
    <w:p w:rsidR="00D06117" w:rsidRDefault="00D06117" w:rsidP="00D06117">
      <w:pPr>
        <w:pStyle w:val="TextoNormal"/>
      </w:pPr>
      <w:r>
        <w:t>Al art. 27, que establece la prohibición de los establecimientos comerciales dedicados de forma exclusiva a la venta de saldos, se le reprocha el carácter absoluto de la prohibición, que vulneraría el principio de la libre concurrencia comercial protegido y configurado por la legislación estatal sobre defensa de la competencia, según tiene declarado para un caso análogo, pero incluso menos restrictivo, la STC 88/1986.</w:t>
      </w:r>
    </w:p>
    <w:p w:rsidR="00D06117" w:rsidRDefault="00D06117" w:rsidP="00D06117">
      <w:pPr>
        <w:pStyle w:val="TextoNormal"/>
      </w:pPr>
    </w:p>
    <w:p w:rsidR="00D06117" w:rsidRDefault="00D06117" w:rsidP="00D06117">
      <w:pPr>
        <w:pStyle w:val="TextoNormal"/>
      </w:pPr>
      <w:r>
        <w:t>El art. 28 prohíbe la actividad de promoción de ventas en cualquiera de sus manifestaciones durante los dos meses anteriores a las temporadas anuales autorizadas para la venta con rebajas, salvo para los establecimientos que no se acogen a estas últimas. En este caso el Abogado del Estado alega que se trata de una regulación que incide directa y sustantivamente en la concurrencia de comerciantes en el mercado pues su objetivo es evitar que un determinado tipo de ofertas desequilibren la libre concurrencia en el mercado, lo que pone de manifiesto que la materia en la que se desenvuelve esta regulación es la defensa de la competencia que corresponde en exclusiva al Estado conforme a la doctrina de la STC 228/1993, entre otras.</w:t>
      </w:r>
    </w:p>
    <w:p w:rsidR="00D06117" w:rsidRDefault="00D06117" w:rsidP="00D06117">
      <w:pPr>
        <w:pStyle w:val="TextoNormal"/>
      </w:pPr>
    </w:p>
    <w:p w:rsidR="00D06117" w:rsidRDefault="00D06117" w:rsidP="00D06117">
      <w:pPr>
        <w:pStyle w:val="TextoNormal"/>
      </w:pPr>
      <w:r>
        <w:t>El art. 35.2 regula un concepto de “venta a pérdida” de modo distinto a como lo hace la Ley 7/1996, de 15 de enero, de ordenación del comercio minorista, lo que supone la infracción del art. 149.1.6 CE (STC 228/1993) pues se trata de una medida normativa que tiene por objeto evitar abusos de un tipo de ofertas destinadas a conseguir la atracción de los consumidores con el consiguiente desequilibrio de la paritaria concurrencia de comerciantes en el mercado.</w:t>
      </w:r>
    </w:p>
    <w:p w:rsidR="00D06117" w:rsidRDefault="00D06117" w:rsidP="00D06117">
      <w:pPr>
        <w:pStyle w:val="TextoNormal"/>
      </w:pPr>
    </w:p>
    <w:p w:rsidR="00D06117" w:rsidRDefault="00D06117" w:rsidP="00D06117">
      <w:pPr>
        <w:pStyle w:val="TextoNormal"/>
      </w:pPr>
      <w:r>
        <w:lastRenderedPageBreak/>
        <w:t>El art. 54.1 se impugna por no recoger la reincidencia como elemento de graduación de las sanciones, lo que supone no respetar el régimen sancionador previsto por el Estado produciendo una disminución del nivel de rigor en la aplicación de las mismas. De este modo, se infringe la disposición final única, párrafo 5, de la Ley 7/1996, dictada al amparo en este punto del art. 149.1.1 y 18 CE, pudiéndose también conculcar, teniendo en cuenta la materia a la que se refieren las infracciones descritas en la Ley 11/2001, las reglas 6 y 13 del propio art. 149.1 CE pues se incumple el deber que pesa sobre la norma autonómica de respetar el régimen sancionador estatal conforme tiene establecido la doctrina constitucional (con cita de las SSTC 48/1988 y 154/1989) ya que la omisión de la reincidencia es muy relevante y significativa en los términos de la STC 73/1997.</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providencia de 8 de mayo de 2001, la Sección Cuarta del Tribunal acordó admitir a trámite el recurso de inconstitucionalidad y dar traslado de la demanda y documentos presentados, conforme establece el art. 34 de la Ley Orgánica del Tribunal Constitucional (LOTC), al Congreso de los Diputados y al Senado, así como al Parlamento y al Gobierno de las Illes Balears, por conducto de sus Presidentes, al objeto de que en el plazo de quince días pudieran personarse en el proceso y formular las alegaciones que estimaren convenientes. También acordó tener por invocado por el Presidente del Gobierno el art. 161.2 CE, lo que a su tenor y conforme dispone el art. 30 LOTC, produce la suspensión de la vigencia de la ley impugnada desde la fecha de interposición del recurso —27 de septiembre de 2001— para las partes del proceso y desde el día en que aparezca publicada la suspensión en el “Boletín Oficial del Estado” para los terceros, y, finalmente, ordenó publicar la incoación del recurso y la suspensión efectuada en el “Boletín Oficial del Estado” y en el de Illes Balears.</w:t>
      </w:r>
    </w:p>
    <w:p w:rsidR="00D06117" w:rsidRDefault="00D06117" w:rsidP="00D06117">
      <w:pPr>
        <w:pStyle w:val="TextoNormal"/>
      </w:pPr>
    </w:p>
    <w:p w:rsidR="00D06117" w:rsidRDefault="00D06117" w:rsidP="00D06117">
      <w:pPr>
        <w:pStyle w:val="TextoNormal"/>
      </w:pPr>
      <w:r w:rsidRPr="00D06117">
        <w:rPr>
          <w:rStyle w:val="NumeroAFNegritaCaracter"/>
        </w:rPr>
        <w:t>4</w:t>
      </w:r>
      <w:r>
        <w:t>. El día 2 de noviembre de 2001 se registró en el Tribunal un escrito de la Presidenta del Congreso de los Diputados en el que comunicó al Tribunal que dicha Cámara no se personaría en el proceso ni formularía alegaciones.</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el día 7 de noviembre de 2001, el jefe del Departamento jurídico de la Comunidad Autónoma de las Illes Balears, en representación del Gobierno de esa Comunidad Autónoma, solicita del Tribunal que se le tenga por personado en el procedimiento y se le conceda una prórroga de ocho días para presentar sus alegaciones, prorroga que le fue concedida mediante providencia de la Sección Tercera de 14 de noviembre de 2001.</w:t>
      </w:r>
    </w:p>
    <w:p w:rsidR="00D06117" w:rsidRDefault="00D06117" w:rsidP="00D06117">
      <w:pPr>
        <w:pStyle w:val="TextoNormal"/>
      </w:pPr>
    </w:p>
    <w:p w:rsidR="00D06117" w:rsidRDefault="00D06117" w:rsidP="00D06117">
      <w:pPr>
        <w:pStyle w:val="TextoNormal"/>
      </w:pPr>
      <w:r w:rsidRPr="00D06117">
        <w:rPr>
          <w:rStyle w:val="NumeroAFNegritaCaracter"/>
        </w:rPr>
        <w:t>6</w:t>
      </w:r>
      <w:r>
        <w:t>. El día 15 de noviembre de 2001 el Presidente del Parlamento de las Illes Balears se personó en el proceso y formuló las alegaciones que, sintéticamente, se recogen a continuación.</w:t>
      </w:r>
    </w:p>
    <w:p w:rsidR="00D06117" w:rsidRDefault="00D06117" w:rsidP="00D06117">
      <w:pPr>
        <w:pStyle w:val="TextoNormal"/>
      </w:pPr>
    </w:p>
    <w:p w:rsidR="00D06117" w:rsidRDefault="00D06117" w:rsidP="00D06117">
      <w:pPr>
        <w:pStyle w:val="TextoNormal"/>
      </w:pPr>
      <w:r>
        <w:t xml:space="preserve">Señala inicialmente que los motivos de la impugnación se centran en la vulneración de las competencias del Estado en materia de legislación civil y mercantil, bases y coordinación de la planificación general de la actividad económica, regulación de las condiciones básicas que garanticen la igualdad de todos los españoles en el ejercicio de los derechos y en el cumplimiento de los deberes constitucionales y las bases del régimen jurídico de las Administraciones públicas. Frente a ello, el Presidente del Parlamento balear alega que la Ley </w:t>
      </w:r>
      <w:r>
        <w:lastRenderedPageBreak/>
        <w:t>11/2001 constituye una manifestación de la competencia propia y exclusiva de la Comunidad Autónoma en materia de comercio interior, título competencial que tiene tanto límites explícitos, así la política general de precios, la libre circulación de bienes y la legislación sobre defensa de la competencia, como implícitos, derivados éstos últimos de títulos competenciales estatales de carácter horizontal o de contenido jurídico, como la legislación civil y mercantil, sin que tales límites gocen de entidad suficiente para declarar inconstitucionales los preceptos impugnados.</w:t>
      </w:r>
    </w:p>
    <w:p w:rsidR="00D06117" w:rsidRDefault="00D06117" w:rsidP="00D06117">
      <w:pPr>
        <w:pStyle w:val="TextoNormal"/>
      </w:pPr>
    </w:p>
    <w:p w:rsidR="00D06117" w:rsidRDefault="00D06117" w:rsidP="00D06117">
      <w:pPr>
        <w:pStyle w:val="TextoNormal"/>
      </w:pPr>
      <w:r>
        <w:t>Respecto al art. 4.2 señala que el Abogado del Estado realiza una interpretación sesgada y asistemática pues no se amplía el concepto del contrato bancario ni se produce incidencia alguna en relaciones contractuales privadas y, en consecuencia, no se vulnera la legislación estatal mercantil. En cuanto al art. 14.1 alega que las propias normas estatales asignan a las Comunidades Autónomas la competencia para definir los requisitos esenciales de la calificación de gran establecimiento, razón por la que la norma autonómica fija una superficie mínima de extensión de los establecimientos en concordancia con la población del municipio donde se pretenda una ampliación o apertura de aquéllos siendo perfectamente admisible que se establezcan condicionantes y requisitos para la apertura de un nuevo establecimiento pues ello, amparado también en la competencia autonómica sobre ordenación del territorio, no afecta a la dimensión institucional de la libertad de empresa, la cual ha de ejercerse dentro de un marco previamente configurado con reglas tanto estatales como autonómicas dado que el comercio interior es una actividad esencialmente reglamentada.</w:t>
      </w:r>
    </w:p>
    <w:p w:rsidR="00D06117" w:rsidRDefault="00D06117" w:rsidP="00D06117">
      <w:pPr>
        <w:pStyle w:val="TextoNormal"/>
      </w:pPr>
    </w:p>
    <w:p w:rsidR="00D06117" w:rsidRDefault="00D06117" w:rsidP="00D06117">
      <w:pPr>
        <w:pStyle w:val="TextoNormal"/>
      </w:pPr>
      <w:r>
        <w:t>En relación a los preceptos impugnados que regulan los horarios comerciales defiende su constitucionalidad en el entendimiento de que la norma estatal propuesta como parámetro de control de las disposiciones autonómicas es inconstitucional tanto por motivos formales como materiales. Sostiene, además, que no resulta de aplicación la doctrina constitucional en materia de horarios comerciales pues la misma no se pronuncia sobre los aspectos ahora controvertidos, los cuales, por su carácter detallado y concreto, no pueden comprenderse en la necesaria interpretación restrictiva del título competencial horizontal del art. 149.1.13 CE cuando se confronta con competencias exclusivas autonómicas, siendo indiscutible que la regulación de los horarios comerciales constituye una submateria englobada en la competencia autonómica sobre comercio interior.</w:t>
      </w:r>
    </w:p>
    <w:p w:rsidR="00D06117" w:rsidRDefault="00D06117" w:rsidP="00D06117">
      <w:pPr>
        <w:pStyle w:val="TextoNormal"/>
      </w:pPr>
    </w:p>
    <w:p w:rsidR="00D06117" w:rsidRDefault="00D06117" w:rsidP="00D06117">
      <w:pPr>
        <w:pStyle w:val="TextoNormal"/>
      </w:pPr>
      <w:r>
        <w:t>En cuanto a los preceptos relativos a determinadas modalidades de venta señala que la competencia estatal de defensa de la competencia no constituye título suficiente para menoscabar el ejercicio de la potestad legislativa autonómica en materia de comercio interior, a la vez que niega la existencia de contradicción efectiva entre los preceptos impugnados y las competencias estatales. En lo que respecta a la omisión de la reincidencia como criterio de graduación de las sanciones recalca que la misma puede ser salvada con al aplicación de los criterios hermenéuticos de interpretación de las normas jurídicas.</w:t>
      </w:r>
    </w:p>
    <w:p w:rsidR="00D06117" w:rsidRDefault="00D06117" w:rsidP="00D06117">
      <w:pPr>
        <w:pStyle w:val="TextoNormal"/>
      </w:pPr>
    </w:p>
    <w:p w:rsidR="00D06117" w:rsidRDefault="00D06117" w:rsidP="00D06117">
      <w:pPr>
        <w:pStyle w:val="TextoNormal"/>
      </w:pPr>
      <w:r>
        <w:t>Finalmente, el Presidente del Parlamento balear solicita, mediante otrosí, que antes de expirar el plazo de cinco meses establecido en el art. 161.2 CE se le dé traslado para efectuar las alegaciones oportunas en orden a obtener el alzamiento de la suspensión de la Ley impugnada.</w:t>
      </w:r>
    </w:p>
    <w:p w:rsidR="00D06117" w:rsidRDefault="00D06117" w:rsidP="00D06117">
      <w:pPr>
        <w:pStyle w:val="TextoNormal"/>
      </w:pPr>
    </w:p>
    <w:p w:rsidR="00D06117" w:rsidRDefault="00D06117" w:rsidP="00D06117">
      <w:pPr>
        <w:pStyle w:val="TextoNormal"/>
      </w:pPr>
      <w:r w:rsidRPr="00D06117">
        <w:rPr>
          <w:rStyle w:val="NumeroAFNegritaCaracter"/>
        </w:rPr>
        <w:t>7</w:t>
      </w:r>
      <w:r>
        <w:t>. La Presidenta del Senado, mediante escrito registrado el día 16 de noviembre de 2001, comunicó que la Cámara se personaba en el proceso, ofreciendo su colaboración.</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del Gobierno de las Illes Balears presentó sus alegaciones el día 27 de noviembre de 2001 interesando la desestimación del recurso interpuesto.</w:t>
      </w:r>
    </w:p>
    <w:p w:rsidR="00D06117" w:rsidRDefault="00D06117" w:rsidP="00D06117">
      <w:pPr>
        <w:pStyle w:val="TextoNormal"/>
      </w:pPr>
    </w:p>
    <w:p w:rsidR="00D06117" w:rsidRDefault="00D06117" w:rsidP="00D06117">
      <w:pPr>
        <w:pStyle w:val="TextoNormal"/>
      </w:pPr>
      <w:r>
        <w:t>Inicia su argumentación destacando el carácter exclusivo de la competencia autonómica en materia de comercio interior, competencia limitada explícitamente por la política general de precios, la libre circulación de bienes en todo el territorio del Estado y la legislación sobre defensa de la competencia, así como afectada por otros títulos competenciales estatales bien exclusivos, como la legislación civil o mercantil, u horizontales, como los derivados del art. 149.1.1 y 13 CE, competencias éstas últimas que han de ser interpretadas con alcance o carácter restrictivo, en particular el art. 149.1.13 CE en relación con los horarios comerciales.</w:t>
      </w:r>
    </w:p>
    <w:p w:rsidR="00D06117" w:rsidRDefault="00D06117" w:rsidP="00D06117">
      <w:pPr>
        <w:pStyle w:val="TextoNormal"/>
      </w:pPr>
    </w:p>
    <w:p w:rsidR="00D06117" w:rsidRDefault="00D06117" w:rsidP="00D06117">
      <w:pPr>
        <w:pStyle w:val="TextoNormal"/>
      </w:pPr>
      <w:r>
        <w:t>Seguidamente examina cada uno de los preceptos impugnados comenzando por el art. 4.2 respecto al cual niega que su finalidad sea interferir en el contrato bancario ni en las relaciones jurídico privadas pues se refiere a casos en los que hay venta de un producto al consumidor final, por lo que, en tales términos, es solamente especificación de la definición general del art. 4.1 de forma plenamente coherente con lo previsto en la legislación estatal en la que el concepto de comercio minorista se formula desde una perspectiva objetiva con independencia de la persona física o jurídica que la desarrolle. Entiende asimismo que tampoco se regulan servicios financieros propios de las entidades de crédito ni, menos aún, el contenido del contrato bancario y las relaciones jurídico privadas que genera. Por ello, la conclusión a obtener solamente puede ser la de la plena constitucionalidad del precepto impugnado en tanto no supone regulación material alguna que pueda ser encuadrada bajo los títulos competenciales estatales del art. 149.1.6 y 8 CE sino que supone mera especificación de lo que materialmente constituye actividad comercial minorista.</w:t>
      </w:r>
    </w:p>
    <w:p w:rsidR="00D06117" w:rsidRDefault="00D06117" w:rsidP="00D06117">
      <w:pPr>
        <w:pStyle w:val="TextoNormal"/>
      </w:pPr>
    </w:p>
    <w:p w:rsidR="00D06117" w:rsidRDefault="00D06117" w:rsidP="00D06117">
      <w:pPr>
        <w:pStyle w:val="TextoNormal"/>
      </w:pPr>
      <w:r>
        <w:t xml:space="preserve">Por lo que se refiere al art. 14.1 entiende que el mismo se fundamenta en la competencia autonómica sobre comercio interior y de ordenación del territorio y urbanismo ya que su contenido se enmarca en el denominado urbanismo comercial, entendido como asignación y limitación de usos en el territorio, que ya contaba con antecedentes en el ordenamiento balear. Dado que los establecimientos comerciales se ubican sobre el espacio físico, los mismos han de acomodarse a lo que disponen los instrumentos de ordenación del territorio y el planeamiento urbanístico que atenderán, en uno y otro caso, a los criterios que el legislador establezca para regular la actividad comercial. Según ello sólo resultará legítima aquella utilización del suelo para un establecimiento comercial que resulte conforme a los dictados del sistema legal de la ordenación del territorio y el urbanismo. Así, la representación procesal del Gobierno autonómico rechaza que el art. 14.1 vulnere el principio de libertad de empresa del art. 38 CE, el cual no constituye un título atributivo de competencias sin que las normas, de competencia autonómica, que controlan la implantación de grandes superficies comerciales constituyan una vulneración de la misma ya que la norma impugnada establece dos parámetros, superficie útil de venta y habitantes del municipio, que cubren los requisitos de razonabilidad y proporcionalidad a los que se supedita que una limitación de la libertad de empresa resulte compatible con la Constitución. Tampoco se vulnera el art. 149.1.1 CE pues la igualdad de condiciones básicas predicadas por el precepto constitucional no es igual a uniformidad, de suerte que el precepto ejercita, de modo razonable y proporcionado, la diversidad propiciada por la propia legislación básica estatal contenida en la Ley 7/1996. La infracción del principio de libertad de circulación de bienes del art. 139.2 </w:t>
      </w:r>
      <w:r>
        <w:lastRenderedPageBreak/>
        <w:t>CE se descarta alegando que no cabe una interpretación extensiva de dicho precepto para aplicarlo a cuestiones, como la aquí discutida, que resultan ajenas al mismo y cuya aplicación ha de modularse en atención al carácter insular de la Comunidad Autónoma. Por último, se rechaza la vulneración de la normativa básica estatal contenida en el art. 5.2 de la Ley 7/1996 pues la propia norma estatal habilita a las Comunidades Autónomas para someter a autorización administrativa no sólo la apertura de grandes establecimientos comerciales sino también otros supuestos relacionados con la actividad comercial.</w:t>
      </w:r>
    </w:p>
    <w:p w:rsidR="00D06117" w:rsidRDefault="00D06117" w:rsidP="00D06117">
      <w:pPr>
        <w:pStyle w:val="TextoNormal"/>
      </w:pPr>
    </w:p>
    <w:p w:rsidR="00D06117" w:rsidRDefault="00D06117" w:rsidP="00D06117">
      <w:pPr>
        <w:pStyle w:val="TextoNormal"/>
      </w:pPr>
      <w:r>
        <w:t>En cuanto a los preceptos impugnados en relación con los horarios comerciales recuerda que éstos son una submateria englobada en la competencia autonómica sobre comercio interior y que el Estado ha regulado los horarios comerciales, en el art. 43 del Real Decreto-ley 6/2000, de una forma pormenorizada y casuística, hecho que motivó la interposición de un recurso de inconstitucionalidad por parte de la Comunidad Autónoma, tramitado con el núm. 5019-2000. Así señala que es indiscutible que los preceptos impugnados contienen regulaciones contradictorias con la estatal, si bien defiende que la competencia estatal ex art. 149.1.13 CE ampararía la regulación de la libertad de horarios comerciales pero no la regulación material pormenorizada y casuística de los mismos. Por ello, el Letrado autonómico niega tanto que exista una competencia estatal sobre horarios comerciales como que el citado art. 43, en cuanto posibilita un distinto régimen de libertad de horarios en unas u otras Comunidades Autónomas al quedar supeditado a la codecisión del Estado con cada uno de los respectivos Gobiernos, tenga el alcance general que necesariamente debería derivarse de una aplicación del art. 149.1.13 CE, precepto que en todo caso ha de tener una incidencia en las Illes Balears modulada en atención a la circunstancia del hecho insular.</w:t>
      </w:r>
    </w:p>
    <w:p w:rsidR="00D06117" w:rsidRDefault="00D06117" w:rsidP="00D06117">
      <w:pPr>
        <w:pStyle w:val="TextoNormal"/>
      </w:pPr>
    </w:p>
    <w:p w:rsidR="00D06117" w:rsidRDefault="00D06117" w:rsidP="00D06117">
      <w:pPr>
        <w:pStyle w:val="TextoNormal"/>
      </w:pPr>
      <w:r>
        <w:t>Respecto al art. 27 a) señala que la prohibición de establecimientos comerciales dedicados de forma exclusiva a la venta de saldos constituye una restricción a una determinada modalidad de venta que se integra materialmente en la competencia autonómica sobre comercio interior y tiene por finalidad y objetivo predominante la defensa de los consumidores y usuarios y no la defensa de la libre concurrencia y la competencia. En tal sentido indica que, para el Derecho comunitario, las modalidades de venta no afectan a la libre circulación de mercancías ni al mercado único sin que, por otra parte, exista normativa básica estatal que impida adoptar esta medida, la cual, en tanto no incide en las condiciones básicas para el ejercicio de la actividad comercial y no vulnera los mandatos constitucionales relativos a la unidad de mercado, cumple con el examen de proporcionalidad requerido por la doctrina constitucional.</w:t>
      </w:r>
    </w:p>
    <w:p w:rsidR="00D06117" w:rsidRDefault="00D06117" w:rsidP="00D06117">
      <w:pPr>
        <w:pStyle w:val="TextoNormal"/>
      </w:pPr>
    </w:p>
    <w:p w:rsidR="00D06117" w:rsidRDefault="00D06117" w:rsidP="00D06117">
      <w:pPr>
        <w:pStyle w:val="TextoNormal"/>
      </w:pPr>
      <w:r>
        <w:t xml:space="preserve">Por lo que respecta a la limitación derivada del art. 28 recuerda que el art. 26.1 de la Ley 7/1996, de ordenación del comercio minorista, tiene un alcance meramente supletorio y estima que se adscribe con mayor intensidad al título competencial de defensa de los consumidores que al de defensa de la competencia, sin que resulte de aplicación aquí lo decidido en la STC 228/1993. El precepto pretende evitar que se anticipen de modo encubierto los períodos legales de rebajas con la consiguiente confusión generada en los consumidores, constituyendo una concreción de la prohibición genérica contenida en el no impugnado art. 23.3. Por lo que respecta al concepto de venta a pérdida del art. 35.2, rechaza que el contenido en la normativa estatal pueda ser considerado Derecho mercantil de la competencia ya que, por un lado, el derecho de la competencia no es, propiamente legislación mercantil, y, por otro la definición de la venta con pérdida se relaciona directamente con la regulación de </w:t>
      </w:r>
      <w:r>
        <w:lastRenderedPageBreak/>
        <w:t>determinadas modalidades de venta comprendidas en las competencias autonómicas de comercio interior y defensa de los consumidores. Por otro lado indica que la remisión del art. 35.1 al art. 14 de la Ley 7/1996 expresa que el art. 35.2 solamente puede ser entendido como un perfeccionamiento técnico de lo previsto en la norma estatal, posibilidad reconocida implícitamente por la doctrina constitucional en la STC 88/1986.</w:t>
      </w:r>
    </w:p>
    <w:p w:rsidR="00D06117" w:rsidRDefault="00D06117" w:rsidP="00D06117">
      <w:pPr>
        <w:pStyle w:val="TextoNormal"/>
      </w:pPr>
    </w:p>
    <w:p w:rsidR="00D06117" w:rsidRDefault="00D06117" w:rsidP="00D06117">
      <w:pPr>
        <w:pStyle w:val="TextoNormal"/>
      </w:pPr>
      <w:r>
        <w:t>Finalmente, la constitucionalidad del art. 54.1 se defiende señalando que la omisión padecida no afecta a la tipificación de las infracciones, lo que permite que la misma se supla con los criterios de carácter básico que pudieran resultar de aplicación, pues tal omisión no supone en modo alguno que se niegue su aplicación, la cual, por otra parte, resulta directamente de los principios de la potestad sancionadora establecidos en la legislación estatal.</w:t>
      </w:r>
    </w:p>
    <w:p w:rsidR="00D06117" w:rsidRDefault="00D06117" w:rsidP="00D06117">
      <w:pPr>
        <w:pStyle w:val="TextoNormal"/>
      </w:pPr>
    </w:p>
    <w:p w:rsidR="00D06117" w:rsidRDefault="00D06117" w:rsidP="00D06117">
      <w:pPr>
        <w:pStyle w:val="TextoNormal"/>
      </w:pPr>
      <w:r>
        <w:t>Por último, la representación procesal del Gobierno de las Illes Balears solicita que, estando suspendida la aplicación de la ley recurrida, se proceda a acordar el levantamiento inmediato de la suspensión de la ley impugnada, sin esperar al transcurso del plazo de cinco meses desde que dicha suspensión fue acordada, formulando, a tal fin, las alegaciones correspondientes.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11 de diciembre de 2001, la Sección Tercera acuerda incorporar a los autos los escritos de alegaciones recibidos del Parlamento y del Gobierno de las Illes Balears y oír al Abogado del Estado y a la representación procesal del Parlamento Balear para que aleguen sobre la petición formulada por la representación procesal del Gobierno de la Comunidad Autónoma de levantamiento de la suspensión de los preceptos recurridos. Evacuado por el Abogado del Estado el trámite de alegaciones conferido, el Pleno del Tribunal, mediante el ATC 20/2002, de 12 de febrero, acordó levantar la suspensión de los arts. 4.2; 14.1; 18; 20; 21.1 b); 22.1, inciso final, y 54.1 y mantener la de los arts. 27 a), 28 y 35.2 de la Ley 11/2001, de 15 de junio, de ordenación de la actividad comercial en las Illes Balears.</w:t>
      </w:r>
    </w:p>
    <w:p w:rsidR="00D06117" w:rsidRDefault="00D06117" w:rsidP="00D06117">
      <w:pPr>
        <w:pStyle w:val="TextoNormal"/>
      </w:pPr>
    </w:p>
    <w:p w:rsidR="00D06117" w:rsidRDefault="00D06117" w:rsidP="00D06117">
      <w:pPr>
        <w:pStyle w:val="TextoNormal"/>
      </w:pPr>
      <w:r w:rsidRPr="00D06117">
        <w:rPr>
          <w:rStyle w:val="NumeroAFNegritaCaracter"/>
        </w:rPr>
        <w:t>10</w:t>
      </w:r>
      <w:r>
        <w:t>. El 25 de enero de 2002 el Abogado del Estado solicitó la extensión del presente recurso de inconstitucionalidad a la disposición adicional quinta de la Ley del Parlamento de las Illes Balears 20/2001, de 21 de diciembre, de medidas tributarias, administrativas y de función pública, que incorpora una nueva disposición transitoria sexta a la Ley 11/2001, así como que se acuerde su suspensión.</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29 de enero de 2002, la Sección Tercera del Tribunal acuerda dar traslado del escrito del Abogado del Estado de 25 de enero de 2002 al Gobierno y al Parlamento de las Illes Balears para que en el plazo de cinco días expongan lo que consideren conveniente acerca de lo solicitado por el Abogado del Estado.</w:t>
      </w:r>
    </w:p>
    <w:p w:rsidR="00D06117" w:rsidRDefault="00D06117" w:rsidP="00D06117">
      <w:pPr>
        <w:pStyle w:val="TextoNormal"/>
      </w:pPr>
    </w:p>
    <w:p w:rsidR="00D06117" w:rsidRDefault="00D06117" w:rsidP="00D06117">
      <w:pPr>
        <w:pStyle w:val="TextoNormal"/>
      </w:pPr>
      <w:r w:rsidRPr="00D06117">
        <w:rPr>
          <w:rStyle w:val="NumeroAFNegritaCaracter"/>
        </w:rPr>
        <w:t>12</w:t>
      </w:r>
      <w:r>
        <w:t>. El día 6 de febrero de 2002 se registra en el Tribunal un escrito del Presidente del Parlamento de las Illes Balears mediante el cual se cumplimenta lo instado por la providencia del Tribunal de 29 de enero de 2002, solicitando que se rechace la extensión del recurso de inconstitucionalidad pretendida por el Abogado del Estado.</w:t>
      </w:r>
    </w:p>
    <w:p w:rsidR="00D06117" w:rsidRDefault="00D06117" w:rsidP="00D06117">
      <w:pPr>
        <w:pStyle w:val="TextoNormal"/>
      </w:pPr>
    </w:p>
    <w:p w:rsidR="00D06117" w:rsidRDefault="00D06117" w:rsidP="00D06117">
      <w:pPr>
        <w:pStyle w:val="TextoNormal"/>
      </w:pPr>
      <w:r w:rsidRPr="00D06117">
        <w:rPr>
          <w:rStyle w:val="NumeroAFNegritaCaracter"/>
        </w:rPr>
        <w:t>13</w:t>
      </w:r>
      <w:r>
        <w:t xml:space="preserve">. El día 8 de febrero de 2002, el Abogado-Jefe del Departamento jurídico de la Comunidad Autónoma de las Illes Balears comparece y formaliza su oposición a la solicitud </w:t>
      </w:r>
      <w:r>
        <w:lastRenderedPageBreak/>
        <w:t>de extensión del recurso de inconstitucionalidad presentado contra la Ley 11/2001 a la disposición adicional quinta de la Ley 20/2001 y a la petición de que se acuerde la suspensión de dicha disposición adicional por traslado a la misma de los efectos de la providencia de 16 de octubre de 2001.</w:t>
      </w:r>
    </w:p>
    <w:p w:rsidR="00D06117" w:rsidRDefault="00D06117" w:rsidP="00D06117">
      <w:pPr>
        <w:pStyle w:val="TextoNormal"/>
      </w:pPr>
    </w:p>
    <w:p w:rsidR="00D06117" w:rsidRDefault="00D06117" w:rsidP="00D06117">
      <w:pPr>
        <w:pStyle w:val="TextoNormal"/>
      </w:pPr>
      <w:r w:rsidRPr="00D06117">
        <w:rPr>
          <w:rStyle w:val="NumeroAFNegritaCaracter"/>
        </w:rPr>
        <w:t>14</w:t>
      </w:r>
      <w:r>
        <w:t>. Mediante ATC 31/2002, de 12 de marzo, el Pleno del Tribunal acordó denegar la extensión del recurso de inconstitucionalidad núm. 5061-2001 al enjuiciamiento y suspensión de la disposición adicional quinta de la Ley 20/2001, de 21 de diciembre, de medidas tributarias, administrativas y de función pública.</w:t>
      </w:r>
    </w:p>
    <w:p w:rsidR="00D06117" w:rsidRDefault="00D06117" w:rsidP="00D06117">
      <w:pPr>
        <w:pStyle w:val="TextoNormal"/>
      </w:pPr>
    </w:p>
    <w:p w:rsidR="00D06117" w:rsidRDefault="00D06117" w:rsidP="00D06117">
      <w:pPr>
        <w:pStyle w:val="TextoNormal"/>
      </w:pPr>
      <w:r w:rsidRPr="00D06117">
        <w:rPr>
          <w:rStyle w:val="NumeroAFNegritaCaracter"/>
        </w:rPr>
        <w:t>15</w:t>
      </w:r>
      <w:r>
        <w:t>. Por providencia de 28 de febrero de 2012 se señaló para deliberación y votación del presente recurso de inconstitucionalidad el día 1 de marzo de 2012.</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recurso de inconstitucionalidad promovido por el Presidente del Gobierno tiene por objeto la impugnación de los arts. 4.2; 14.1; 18; 20; 21.l b) segundo inciso; 22.1, en su inciso final; 27 a); 28; 35.2 y 54.1 de la Ley 11/2001, de 15 de junio, de ordenación de la actividad comercial en las Illes Balears</w:t>
      </w:r>
    </w:p>
    <w:p w:rsidR="00D06117" w:rsidRDefault="00D06117" w:rsidP="00D06117">
      <w:pPr>
        <w:pStyle w:val="TextoNormal"/>
      </w:pPr>
    </w:p>
    <w:p w:rsidR="00D06117" w:rsidRDefault="00D06117" w:rsidP="00D06117">
      <w:pPr>
        <w:pStyle w:val="TextoNormal"/>
      </w:pPr>
      <w:r>
        <w:t>El Abogado del Estado considera que la Ley 11/2001, al regular los aspectos relacionados, ha desconocido y vulnerado diversas competencias del Estado, singularmente las relativas a regulación de las condiciones básicas que garanticen la igualdad de todos los españoles en el ejercicio de los derechos y en el cumplimiento de los deberes constitucionales, legislación mercantil y civil, bases y coordinación de la planificación general de la actividad económica y bases del régimen jurídico de las Administraciones públicas (art. 149.1, números 1, 6, 8, 13 y 18 CE). Para los Letrados del Parlamento y del Gobierno balear no ha tenido lugar la infracción competencial denunciada pues consideran que los preceptos recurridos se han dictado al amparo de las competencias exclusivas que la Comunidad Autónoma ha asumido en materia de comercio interior y de defensa de los consumidores y usuarios.</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al fondo de las cuestiones planteadas en el presente recurso de inconstitucionalidad hemos de hacer referencia a tres consideraciones previas.</w:t>
      </w:r>
    </w:p>
    <w:p w:rsidR="00D06117" w:rsidRDefault="00D06117" w:rsidP="00D06117">
      <w:pPr>
        <w:pStyle w:val="TextoNormal"/>
      </w:pPr>
    </w:p>
    <w:p w:rsidR="00D06117" w:rsidRDefault="00D06117" w:rsidP="00D06117">
      <w:pPr>
        <w:pStyle w:val="TextoNormal"/>
      </w:pPr>
      <w:r>
        <w:t>a) En primer lugar, conviene reparar en que durante la pendencia del presente proceso constitucional algunos de los preceptos objeto del mismo han sufrido modificaciones, lo que obliga ahora a analizar los cambios acaecidos a fin de analizar la incidencia que las referidas modificaciones normativas tengan sobre la pervivencia de la controversia competencial planteada en relación a los preceptos impugnados.</w:t>
      </w:r>
    </w:p>
    <w:p w:rsidR="00D06117" w:rsidRDefault="00D06117" w:rsidP="00D06117">
      <w:pPr>
        <w:pStyle w:val="TextoNormal"/>
      </w:pPr>
    </w:p>
    <w:p w:rsidR="00D06117" w:rsidRDefault="00D06117" w:rsidP="00D06117">
      <w:pPr>
        <w:pStyle w:val="TextoNormal"/>
      </w:pPr>
      <w:r>
        <w:t>Respecto a tales cambios normativos en procesos constitucionales de naturaleza competencial, como lo es el presente, es doctrina reiterada de este Tribunal que la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w:t>
      </w:r>
      <w:r>
        <w:lastRenderedPageBreak/>
        <w:t>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18/2011, de 3 de marzo, FJ 3 y jurisprudencia allí citada). Con arreglo a este criterio, la eventual apreciación de la pérdida de objeto en relación con los preceptos impugnados, debido a su modificación posterior, dependerá de la incidencia que dicha modificación haya tenido en la controversia planteada en torno a los mismos, extremo éste que se analiza seguidamente en relación a cada uno de los preceptos impugnados modificados con posterioridad a la interposición del recurso de inconstitucionalidad.</w:t>
      </w:r>
    </w:p>
    <w:p w:rsidR="00D06117" w:rsidRDefault="00D06117" w:rsidP="00D06117">
      <w:pPr>
        <w:pStyle w:val="TextoNormal"/>
      </w:pPr>
    </w:p>
    <w:p w:rsidR="00D06117" w:rsidRDefault="00D06117" w:rsidP="00D06117">
      <w:pPr>
        <w:pStyle w:val="TextoNormal"/>
      </w:pPr>
      <w:r>
        <w:t>Así, en lo que afecta a los preceptos recurridos de la Ley autonómica 11/2001, ésta ha sido modificada en tres ocasiones. En primer lugar el art. 32.4 de la Ley balear 8/2004, de 23 de diciembre, de medidas tributarias, administrativas y de función pública, modificó el art. 54.1, impugnado por omitir la reincidencia como criterio de graduación de las sanciones administrativas previstas en la Ley 11/2001. El reformado art. 54.1 incluye ahora, salvando de ese modo la omisión denunciada por el Abogado del Estado, una referencia a la reincidencia en términos similares a los previstos en el art. 131.3 c) de la Ley 30/1992, de 26 de noviembre, de régimen jurídico de las Administraciones públicas y del procedimiento administrativo común. No obstante, pese a la modificación sufrida por el precepto impugnado, debemos entender que subsiste el reproche de inconstitucionalidad formulado al art. 54.1 de la Ley 11/2001 pues el mismo se centraba en que, con la omisión de la reincidencia, se desatendía el régimen sancionador básico previsto por el Estado, vulnerándose con ello el orden constitucional de distribución de competencias.</w:t>
      </w:r>
    </w:p>
    <w:p w:rsidR="00D06117" w:rsidRDefault="00D06117" w:rsidP="00D06117">
      <w:pPr>
        <w:pStyle w:val="TextoNormal"/>
      </w:pPr>
    </w:p>
    <w:p w:rsidR="00D06117" w:rsidRDefault="00D06117" w:rsidP="00D06117">
      <w:pPr>
        <w:pStyle w:val="TextoNormal"/>
      </w:pPr>
      <w:r>
        <w:t>En segundo lugar, el art. 14.2 de la Ley balear 25/2006, de 27 de diciembre, de medidas tributarias y administrativas, modificó la redacción del art. 20 de la Ley 11/2001, de forma que el mismo ha pasado de considerar inhábiles los domingos y festivos para el ejercicio de la actividad comercial, salvo los expresamente autorizados, a señalar que el número máximo de domingos y otros festivos que podrán permanecer abiertos al público los establecimientos comerciales sometidos al régimen general de horarios comerciales será de ocho al año, determinados previa audiencia del Consejo Asesor de Comercio de las Illes Balears, mediante un acuerdo del Consejo de Gobierno. Pese a ello, resulta que tampoco aquí puede apreciarse la desaparición sobrevenida de la controversia porque la queja formulada por el Abogado del Estado tiene un carácter netamente competencial al fundarse en la vulneración del régimen básico estatal en materia de horarios comerciales.</w:t>
      </w:r>
    </w:p>
    <w:p w:rsidR="00D06117" w:rsidRDefault="00D06117" w:rsidP="00D06117">
      <w:pPr>
        <w:pStyle w:val="TextoNormal"/>
      </w:pPr>
    </w:p>
    <w:p w:rsidR="00D06117" w:rsidRDefault="00D06117" w:rsidP="00D06117">
      <w:pPr>
        <w:pStyle w:val="TextoNormal"/>
      </w:pPr>
      <w:r>
        <w:t xml:space="preserve">El tercer cambio relevante a los efectos de este recurso de inconstitucionalidad es el derivado de la Ley 8/2009, de 16 de diciembre, de reforma de la Ley 11/2001, de 15 de junio, de ordenación de la actividad comercial en las Illes Balears para la transposición de la Directiva 2006/123/CE del Parlamento Europeo y del Consejo, de 12 de diciembre, relativa a los servicios en el mercado interior. El art. 6 de la Ley 8/2009 ha modificado el art. 14 de la Ley 11/2001, el cual ha pasado a tener un contenido completamente ajeno a la prohibición de instalación de establecimientos comerciales en función de su tamaño y de la población del municipio donde se ubiquen establecida en la redacción inicial del art. 14.1. Sin embargo, en la medida en que algunos de los reproches que el Abogado del Estado dirigía a este precepto tienen carácter competencial denunciando la vulneración de las bases estatales en materia de comercio interior, así como el art. 149.1.1 CE, resulta que, conforme a nuestra doctrina, hemos de considerar que subsiste la controversia. Lo mismo sucede en relación </w:t>
      </w:r>
      <w:r>
        <w:lastRenderedPageBreak/>
        <w:t>con la impugnación del segundo inciso del art. 21.1 b), suprimido por el art. 11 de la citada Ley 8/2009, así como con el inciso final del art. 22.1, igualmente suprimido por el art. 12 de la misma ley, pues en los dos casos las razones en las que el Abogado del Estado fundaba su oposición a ambas disposiciones eran de contenido competencial, relativas a la vulneración de la normativa básica en materia de horarios comerciales, lo que determina que, tampoco aquí pueda apreciarse la desaparición sobrevenida de la controversia.</w:t>
      </w:r>
    </w:p>
    <w:p w:rsidR="00D06117" w:rsidRDefault="00D06117" w:rsidP="00D06117">
      <w:pPr>
        <w:pStyle w:val="TextoNormal"/>
      </w:pPr>
    </w:p>
    <w:p w:rsidR="00D06117" w:rsidRDefault="00D06117" w:rsidP="00D06117">
      <w:pPr>
        <w:pStyle w:val="TextoNormal"/>
      </w:pPr>
      <w:r>
        <w:t>En suma, de lo expuesto es preciso concluir que los cambios normativos sobrevenidos con posterioridad al planteamiento del recurso de inconstitucionalidad no han afectado al objeto del mismo, que se mantiene en los mismos términos en que se planteó en su momento, habida cuenta de que los preceptos recurridos y posteriormente modificados, fueron impugnados por motivos competenciales y de que ninguna de las partes ha manifestado su voluntad de desistir del procedimiento (en este sentido STC 134/2011, de 29 de julio, con remisión a otras muchas).</w:t>
      </w:r>
    </w:p>
    <w:p w:rsidR="00D06117" w:rsidRDefault="00D06117" w:rsidP="00D06117">
      <w:pPr>
        <w:pStyle w:val="TextoNormal"/>
      </w:pPr>
    </w:p>
    <w:p w:rsidR="00D06117" w:rsidRDefault="00D06117" w:rsidP="00D06117">
      <w:pPr>
        <w:pStyle w:val="TextoNormal"/>
      </w:pPr>
      <w:r>
        <w:t>b) En segundo lugar, también tendremos en cuenta que la Ley Orgánica 1/2007, de 28 de febrero, de reforma del Estatuto de Autonomía de las Illes Balears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las Illes Balears que puedan ser de aplicación.</w:t>
      </w:r>
    </w:p>
    <w:p w:rsidR="00D06117" w:rsidRDefault="00D06117" w:rsidP="00D06117">
      <w:pPr>
        <w:pStyle w:val="TextoNormal"/>
      </w:pPr>
    </w:p>
    <w:p w:rsidR="00D06117" w:rsidRDefault="00D06117" w:rsidP="00D06117">
      <w:pPr>
        <w:pStyle w:val="TextoNormal"/>
      </w:pPr>
      <w:r>
        <w:t>c) En tercer lugar del planteamiento procesal del Abogado del Estado se deriva que, respecto a algunos de los preceptos impugnados, se plantean supuestos que en nuestra doctrina (por todas, STC 162/2009, de 29 de junio, FJ 2) hemos denominado inconstitucionalidad de carácter mediato o indirecto, en cuanto que la denunciada infracción por la normativa autonómica del orden constitucional de distribución de competencias derivaría, en su caso, de su efectiva contradicción con la norma estatal básica. Para su resolución tendremos presente que para que dicha vulneración exista será necesaria, como hemos declarado en la citada doctrina,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D06117" w:rsidRDefault="00D06117" w:rsidP="00D06117">
      <w:pPr>
        <w:pStyle w:val="TextoNormal"/>
      </w:pPr>
    </w:p>
    <w:p w:rsidR="00D06117" w:rsidRDefault="00D06117" w:rsidP="00D06117">
      <w:pPr>
        <w:pStyle w:val="TextoNormal"/>
      </w:pPr>
      <w:r>
        <w:t>Asimismo, como recuerda la STC 1/2003, de 16 de enero, FJ 2, este Tribunal debe pronunciarse sobre la constitucionalidad de los preceptos autonómicos impugnados tomando como parámetro de control no la legislación básica estatal vigente en el momento de formularse el recurso de inconstitucionalidad, sino la que se encuentra en vigor en el momento de dictar Sentencia.</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Entrando ya en el examen del fondo del asunto, y tratándose de una disputa de carácter competencial, procede comenzar con el encuadramiento competencial de las cuestiones discutidas en el presente recurso. Así, sin perjuicio de que su análisis concreto requiera mayores precisiones, resulta que las mismas hacen referencia a cuestiones incluidas en el ámbito propio del comercio interior o la defensa de los consumidores y usuarios. Respecto de estas materias, la delimitación competencial que deberemos tener en cuenta a la hora de resolver las cuestiones planteadas en el presente recurso es la que resulta de la lectura conjunta de </w:t>
      </w:r>
      <w:r>
        <w:lastRenderedPageBreak/>
        <w:t>los arts. 30.42 y 30.47 del Estatuto de Autonomía de las Illes Balears, en la redacción dada a los mismos por la Ley Orgánica 1/2007, de 28 de febrero, conforme a los cuales y en los términos en ellos previstos, la Comunidad Autónoma ostenta competencias exclusivas tanto en materia de comercio interior “sin perjuicio de lo dispuesto en los artículos 38 , 131 y en los números 11 y 13 del apartado 1 del artículo 149 de la Constitución”, como de defensa de los consumidores y usuarios “en los términos de lo dispuesto en los artículos 38, 131 y en los números 11, 13 y 16 del apartado 1 del artículo 149 de la Constitución”. Así, conforme a su propio tenor, dicha asunción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77/2004, de 29 de abril, FJ 3 y las allí citadas). Por ello, y como ya establecimos en la STC 140/2011, de 14 de septiembre, FJ 2, respecto a la asunción autonómica de la competencia en materia de comercio interior, resulta que las competencias autonómicas no pueden dejar de atemperarse, de acuerdo a lo previsto en el propio Estatuto de Autonomía de las Illes Balears, a la disciplina establecida por el Estado en el ejercicio de sus competencias propias, lo que significa que las competencias asumidas por las Illes Balears han de respetar las competencias del Estado relacionadas en el art. 149.1 CE en especial aquellas explícitamente mencionadas por el texto estatutario en relación con las competencias autonómicas en materia de defensa de los consumidores y usuarios y de comercio interior pues sólo entonces será dable reconocer que la autonómica se ha actualizado en el respeto a su marco delimitador propio, constitucional y estatutario, cuestión ésta que deberemos determinar en relación a cada uno de los preceptos objeto del presente proceso al examinar su relación con las competencias estatales que se entienden vulneradas como son, especialmente, las derivadas del art. 149.1.6 y 13 CE.</w:t>
      </w:r>
    </w:p>
    <w:p w:rsidR="00D06117" w:rsidRDefault="00D06117" w:rsidP="00D06117">
      <w:pPr>
        <w:pStyle w:val="TextoNormal"/>
      </w:pPr>
    </w:p>
    <w:p w:rsidR="00D06117" w:rsidRDefault="00D06117" w:rsidP="00D06117">
      <w:pPr>
        <w:pStyle w:val="TextoNormal"/>
      </w:pPr>
      <w:r w:rsidRPr="00D06117">
        <w:rPr>
          <w:rStyle w:val="NumeroAFNegritaCaracter"/>
        </w:rPr>
        <w:t>4</w:t>
      </w:r>
      <w:r>
        <w:t>. Señalado lo anterior podemos ya comenzar el enjuiciamiento del art. 4.2, primero de los preceptos impugnados en el presente recurso, el cual dispone:</w:t>
      </w:r>
    </w:p>
    <w:p w:rsidR="00D06117" w:rsidRDefault="00D06117" w:rsidP="00D06117">
      <w:pPr>
        <w:pStyle w:val="TextoNormal"/>
      </w:pPr>
    </w:p>
    <w:p w:rsidR="00D06117" w:rsidRDefault="00D06117" w:rsidP="00D06117">
      <w:pPr>
        <w:pStyle w:val="TextoNormal"/>
      </w:pPr>
      <w:r>
        <w:t>“Artículo 4. Actividad comercial al detalle</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t>2. También se entiende por actividad comercial al detalle la oferta a los usuarios de servicios financieros, de obsequios o regalos como pago de intereses, y de financiación para la adquisición de un bien o de un producto concreto puesto a disposición del consumidor por la misma entidad financiera.”</w:t>
      </w:r>
    </w:p>
    <w:p w:rsidR="00D06117" w:rsidRDefault="00D06117" w:rsidP="00D06117">
      <w:pPr>
        <w:pStyle w:val="TextoNormal"/>
      </w:pPr>
    </w:p>
    <w:p w:rsidR="00D06117" w:rsidRDefault="00D06117" w:rsidP="00D06117">
      <w:pPr>
        <w:pStyle w:val="TextoNormal"/>
      </w:pPr>
      <w:r>
        <w:t xml:space="preserve">El conflicto respecto de este precepto se centra en determinar si, como sostiene el Abogado del Estado, el mismo amplía el concepto de actividad comercial al detalle que establece la legislación estatal básica o si, por el contrario, la Comunidad Autónoma ha desarrollado la normativa en esta materia respetando la legislación mercantil básica. Como se desprende de su tenor literal, el art. 4.2 incluye en la actividad comercial al detalle, definida en el apartado 1 de este mismo precepto, los obsequios y regalos que se ofertan por las entidades de crédito a los usuarios de sus servicios financieros y la financiación para la adquisición de un bien o producto que la propia entidad financiera pone a disposición del cliente. Por tanto, el precepto impugnado responde a la finalidad de precisar o especificar el previamente definido concepto de actividad comercial al detalle, del mismo modo que lo hace el art. 1.2 </w:t>
      </w:r>
      <w:r>
        <w:lastRenderedPageBreak/>
        <w:t>de la Ley 7/1996, de 15 de enero, de ordenación del comercio minorista, el cual, dictado al amparo de las competencias estatales ex art. 149.1.6 y 8 CE, según proclama su disposición final única, establece que “se entiende por comercio minorista aquella actividad desarrollada profesionalmente con ánimo de lucro consistente en ofertar la venta de cualquier clase de artículos a los destinatarios finales de los mismos, utilizando o no un establecimiento”. Sin embargo, aun cuando ambas normas persiguen determinar los supuestos a los que resulta de aplicación la normativa en materia de comercio, son patentes las diferencias contenidas en una y otra definición en cuanto que la autonómica incluye en su seno aspectos no contemplados en la definición estatal.</w:t>
      </w:r>
    </w:p>
    <w:p w:rsidR="00D06117" w:rsidRDefault="00D06117" w:rsidP="00D06117">
      <w:pPr>
        <w:pStyle w:val="TextoNormal"/>
      </w:pPr>
    </w:p>
    <w:p w:rsidR="00D06117" w:rsidRDefault="00D06117" w:rsidP="00D06117">
      <w:pPr>
        <w:pStyle w:val="TextoNormal"/>
      </w:pPr>
      <w:r>
        <w:t>A fin de resolver esta cuestión debemos tomar en consideración que nuestra doctrina, desde la temprana STC 37/1981, de 16 de noviembre, ha procedido a la delimitación del alcance de la legislación contractual, civil y mercantil, en relación con otras materias competenciales entre las que se encuentra el comercio interior. Esta delimitación tiene como punto de partida la distinción entre, de un lado, lo que es regulación de las relaciones inter privatos y, de otro lado, la regulación de la intervención de los poderes públicos en estas relaciones contractuales, encuadrando el primer tipo de regulaciones en la materia de legislación civil o mercantil. En tal sentido, la fijación de la condición de comerciante, y, por extensión, la definición de la actividad derivada de dicha condición, corresponde al Estado pues la misma, en cuanto determina la uniformidad en la regulación jurídico-privada del tráfico mercantil, es una consecuencia ineludible del principio de unidad de mercado y se trata de una noción formulada al amparo del art. 149.1.6 CE, competencia que incluye la regulación de las relaciones jurídico-privadas de los comerciantes en cuanto tales. Por eso, dicha definición excede los límites de la competencia autonómica sobre comercio interior la cual, al regular estas relaciones entre los comerciantes y los destinatarios de sus servicios, está incidiendo en la legislación mercantil de competencia exclusiva estatal ex art. 149.1.6 CE.</w:t>
      </w:r>
    </w:p>
    <w:p w:rsidR="00D06117" w:rsidRDefault="00D06117" w:rsidP="00D06117">
      <w:pPr>
        <w:pStyle w:val="TextoNormal"/>
      </w:pPr>
    </w:p>
    <w:p w:rsidR="00D06117" w:rsidRDefault="00D06117" w:rsidP="00D06117">
      <w:pPr>
        <w:pStyle w:val="TextoNormal"/>
      </w:pPr>
      <w:r>
        <w:t>Partiendo de las anteriores premisas es preciso reconocer que la norma básica estatal, la Ley 7/1996, define el comercio minorista, que se identifica con el que la ley autonómica denomina “al detalle”, como una actividad exclusivamente definida por la venta de artículos a destinatarios finales. Esta definición, en un sentido objetivo, como una actividad que reviste determinadas características y no otras en el ámbito de la distribución de bienes en el mercado es propia de la legislación mercantil. De ello se desprende que si el Estado posee competencia exclusiva en esa materia (ex art. 149.1.6 CE), el legislador autonómico, aun cuando su competencia en materia de “comercio interior” del art. 30.42 de su Estatuto de Autonomía incluya la relativa a las “condiciones para ejercer la actividad comercial”, no puede entrar a regular tales condiciones de forma que con ello invada ámbitos de la actividad mercantil que corresponden al Estado, el cual ha establecido una configuración jurídica negocial que determina que actividades como las previstas en el impugnado art. 4.2 queden fuera de la misma.</w:t>
      </w:r>
    </w:p>
    <w:p w:rsidR="00D06117" w:rsidRDefault="00D06117" w:rsidP="00D06117">
      <w:pPr>
        <w:pStyle w:val="TextoNormal"/>
      </w:pPr>
    </w:p>
    <w:p w:rsidR="00D06117" w:rsidRDefault="00D06117" w:rsidP="00D06117">
      <w:pPr>
        <w:pStyle w:val="TextoNormal"/>
      </w:pPr>
      <w:r>
        <w:t>En efecto, la consecuencia que se deriva del precepto que enjuiciamos es el sometimiento a una regulación de Derecho público de un extremo que el legislador ha considerado integrante del tráfico jurídico privado, excluyéndolo asimismo de la regulación en materia de comercio para someterlo a una regulación específica en tanto que se trata de actividades que pueden ser calificadas como propias de una entidad de crédito. Se trata de relaciones con</w:t>
      </w:r>
      <w:r>
        <w:lastRenderedPageBreak/>
        <w:t>tractuales entre particulares en las que no hay propiamente actividad de venta sino ofrecimiento de servicios financieros sometidos a su regulación específica en tanto que se trata de negocios propiamente bancarios, aunque la contratación de éstos tenga como premisa la adquisición de determinadas mercancías o éstas se ofrezcan como contraprestación. Estos negocios jurídicos privados, si bien pueden sin dificultad ser calificados como actos de comercio en los términos de los arts. 175 y ss. del Código de comercio, en relación con el art. 2 del mismo cuerpo legal, se encuentran reservados a las entidades de crédito por el art. 28.1 b) de la Ley 26/1988, de 29 de julio, sobre disciplina e intervención de las entidades de crédito, tal como estas entidades se definen en el art. 1 del Real Decreto Legislativo 1298/1986, de 28 de junio, sobre adaptación del Derecho vigente en materia de entidades de crédito al de las Comunidades Europeas, decisiones ambas adoptadas por el Estado conforme a sus competencias ex art. 149.1.11 CE (al respecto, STC 96/1996, de 30 de mayo, FJ 19 in fine). Este precepto, por lo demás, también limita expresamente la competencia autonómica en materia de comercio interior del art. 30.42 del Estatuto de Autonomía de las Illes Balears.</w:t>
      </w:r>
    </w:p>
    <w:p w:rsidR="00D06117" w:rsidRDefault="00D06117" w:rsidP="00D06117">
      <w:pPr>
        <w:pStyle w:val="TextoNormal"/>
      </w:pPr>
    </w:p>
    <w:p w:rsidR="00D06117" w:rsidRDefault="00D06117" w:rsidP="00D06117">
      <w:pPr>
        <w:pStyle w:val="TextoNormal"/>
      </w:pPr>
      <w:r>
        <w:t>Por todo lo expuesto, el art. 4.2 de la Ley 11/2001 es inconstitucional y nulo.</w:t>
      </w:r>
    </w:p>
    <w:p w:rsidR="00D06117" w:rsidRDefault="00D06117" w:rsidP="00D06117">
      <w:pPr>
        <w:pStyle w:val="TextoNormal"/>
      </w:pPr>
    </w:p>
    <w:p w:rsidR="00D06117" w:rsidRDefault="00D06117" w:rsidP="00D06117">
      <w:pPr>
        <w:pStyle w:val="TextoNormal"/>
      </w:pPr>
      <w:r w:rsidRPr="00D06117">
        <w:rPr>
          <w:rStyle w:val="NumeroAFNegritaCaracter"/>
        </w:rPr>
        <w:t>5</w:t>
      </w:r>
      <w:r>
        <w:t>. Examinaremos ahora la impugnación del art. 14, cuyo tenor literal en el momento de ser impugnado era el siguiente:</w:t>
      </w:r>
    </w:p>
    <w:p w:rsidR="00D06117" w:rsidRDefault="00D06117" w:rsidP="00D06117">
      <w:pPr>
        <w:pStyle w:val="TextoNormal"/>
      </w:pPr>
    </w:p>
    <w:p w:rsidR="00D06117" w:rsidRDefault="00D06117" w:rsidP="00D06117">
      <w:pPr>
        <w:pStyle w:val="TextoNormal"/>
      </w:pPr>
      <w:r>
        <w:t>“Artículo 14. Contención de la superficie de venta de los establecimientos comerciales</w:t>
      </w:r>
    </w:p>
    <w:p w:rsidR="00D06117" w:rsidRDefault="00D06117" w:rsidP="00D06117">
      <w:pPr>
        <w:pStyle w:val="TextoNormal"/>
      </w:pPr>
    </w:p>
    <w:p w:rsidR="00D06117" w:rsidRDefault="00D06117" w:rsidP="00D06117">
      <w:pPr>
        <w:pStyle w:val="TextoNormal"/>
      </w:pPr>
      <w:r>
        <w:t>1. Las administraciones competentes no podrán autorizar la realización de obras de instalación o ampliación, ni la apertura de establecimientos comerciales que puedan disponer de una superficie útil para la exposición y la venta superior a:</w:t>
      </w:r>
    </w:p>
    <w:p w:rsidR="00D06117" w:rsidRDefault="00D06117" w:rsidP="00D06117">
      <w:pPr>
        <w:pStyle w:val="TextoNormal"/>
      </w:pPr>
    </w:p>
    <w:p w:rsidR="00D06117" w:rsidRDefault="00D06117" w:rsidP="00D06117">
      <w:pPr>
        <w:pStyle w:val="TextoNormal"/>
      </w:pPr>
      <w:r>
        <w:t>a) 250 m2, en los municipios de hasta 3.000 habitantes.</w:t>
      </w:r>
    </w:p>
    <w:p w:rsidR="00D06117" w:rsidRDefault="00D06117" w:rsidP="00D06117">
      <w:pPr>
        <w:pStyle w:val="TextoNormal"/>
      </w:pPr>
    </w:p>
    <w:p w:rsidR="00D06117" w:rsidRDefault="00D06117" w:rsidP="00D06117">
      <w:pPr>
        <w:pStyle w:val="TextoNormal"/>
      </w:pPr>
      <w:r>
        <w:t>b) 400 m2, en los municipios de entre 3.001 y 10.000 habitantes.</w:t>
      </w:r>
    </w:p>
    <w:p w:rsidR="00D06117" w:rsidRDefault="00D06117" w:rsidP="00D06117">
      <w:pPr>
        <w:pStyle w:val="TextoNormal"/>
      </w:pPr>
    </w:p>
    <w:p w:rsidR="00D06117" w:rsidRDefault="00D06117" w:rsidP="00D06117">
      <w:pPr>
        <w:pStyle w:val="TextoNormal"/>
      </w:pPr>
      <w:r>
        <w:t>c) 600 m2, en los municipios de entre 10.001 y 20.000 habitantes.</w:t>
      </w:r>
    </w:p>
    <w:p w:rsidR="00D06117" w:rsidRDefault="00D06117" w:rsidP="00D06117">
      <w:pPr>
        <w:pStyle w:val="TextoNormal"/>
      </w:pPr>
    </w:p>
    <w:p w:rsidR="00D06117" w:rsidRDefault="00D06117" w:rsidP="00D06117">
      <w:pPr>
        <w:pStyle w:val="TextoNormal"/>
      </w:pPr>
      <w:r>
        <w:t>d) 800 m2, en los municipios de más de 20.000 habitantes.</w:t>
      </w:r>
    </w:p>
    <w:p w:rsidR="00D06117" w:rsidRDefault="00D06117" w:rsidP="00D06117">
      <w:pPr>
        <w:pStyle w:val="TextoNormal"/>
      </w:pPr>
    </w:p>
    <w:p w:rsidR="00D06117" w:rsidRDefault="00D06117" w:rsidP="00D06117">
      <w:pPr>
        <w:pStyle w:val="TextoNormal"/>
      </w:pPr>
      <w:r>
        <w:t>e) 1300 m2, en el municipio de Palma.”</w:t>
      </w:r>
    </w:p>
    <w:p w:rsidR="00D06117" w:rsidRDefault="00D06117" w:rsidP="00D06117">
      <w:pPr>
        <w:pStyle w:val="TextoNormal"/>
      </w:pPr>
    </w:p>
    <w:p w:rsidR="00D06117" w:rsidRDefault="00D06117" w:rsidP="00D06117">
      <w:pPr>
        <w:pStyle w:val="TextoNormal"/>
      </w:pPr>
      <w:r>
        <w:t>Ya hemos señalado tanto que el precepto ha sido derogado sin que, pese a ello, el recurso haya perdido su objeto en este punto como que, en la medida en que el Abogado del Estado reprocha, en primer lugar, al precepto impugnado la vulneración de las bases estatales, está planteando un problema de inconstitucionalidad mediata o indirecta de modo que, conforme al criterio que ya hemos expuesto anteriormente, deberemos tomar en consideración la normativa básica en vigor en el momento de dictar la presente Sentencia. En el presente caso supone que debamos tomar en consideración no solamente el art. 5 de la Ley 7/1996, de ordenación del comercio minorista, mencionado por el Abogado del Estado, sino muy especialmente, atendiendo al tenor del precepto cuestionado, el vigente art. 6 de la Ley 7/1996 en la redacción dada al mismo por el art. Único.2 de la Ley 1/2010, de 1 de marzo, cuyo carácter básico ex art. 149.1.13 CE se proclama en su disposición final única y que dispone:</w:t>
      </w:r>
    </w:p>
    <w:p w:rsidR="00D06117" w:rsidRDefault="00D06117" w:rsidP="00D06117">
      <w:pPr>
        <w:pStyle w:val="TextoNormal"/>
      </w:pPr>
    </w:p>
    <w:p w:rsidR="00D06117" w:rsidRDefault="00D06117" w:rsidP="00D06117">
      <w:pPr>
        <w:pStyle w:val="TextoNormal"/>
      </w:pPr>
      <w:r>
        <w:t>“Artículo 6. Instalación de establecimientos comerciales.</w:t>
      </w:r>
    </w:p>
    <w:p w:rsidR="00D06117" w:rsidRDefault="00D06117" w:rsidP="00D06117">
      <w:pPr>
        <w:pStyle w:val="TextoNormal"/>
      </w:pPr>
    </w:p>
    <w:p w:rsidR="00D06117" w:rsidRDefault="00D06117" w:rsidP="00D06117">
      <w:pPr>
        <w:pStyle w:val="TextoNormal"/>
      </w:pPr>
      <w:r>
        <w:t>1. Con carácter general, la instalación de establecimientos comerciales no estará sujeta a régimen de autorización comercial.</w:t>
      </w:r>
    </w:p>
    <w:p w:rsidR="00D06117" w:rsidRDefault="00D06117" w:rsidP="00D06117">
      <w:pPr>
        <w:pStyle w:val="TextoNormal"/>
      </w:pPr>
    </w:p>
    <w:p w:rsidR="00D06117" w:rsidRDefault="00D06117" w:rsidP="00D06117">
      <w:pPr>
        <w:pStyle w:val="TextoNormal"/>
      </w:pPr>
      <w:r>
        <w:t>No obstante lo anterior, la instalación de establecimientos comerciales podrá quedar sometida a una autorización que se concederá por tiempo indefinido cuando, una vez aplicados el juicio de proporcionalidad, según lo establecido en el artículo 5 c) de la Ley 17/2009, de 23 de noviembre, sobre el libre acceso a las actividades de servicios y su ejercicio, y el principio de no discriminación, de manera clara e inequívoca concurran razones imperiosas de interés general relacionadas con la distribución comercial, de acuerdo con lo que se establece en el siguiente apartado y así se motive suficientemente en la ley que establezca dicho régimen.</w:t>
      </w:r>
    </w:p>
    <w:p w:rsidR="00D06117" w:rsidRDefault="00D06117" w:rsidP="00D06117">
      <w:pPr>
        <w:pStyle w:val="TextoNormal"/>
      </w:pPr>
    </w:p>
    <w:p w:rsidR="00D06117" w:rsidRDefault="00D06117" w:rsidP="00D06117">
      <w:pPr>
        <w:pStyle w:val="TextoNormal"/>
      </w:pPr>
      <w:r>
        <w:t>En ningún caso constituyen razones imperiosas de interés general válidas para la imposición de un régimen de autorización las razones de índole económica, de acuerdo con lo establecido en el apartado 3 de este artículo.</w:t>
      </w:r>
    </w:p>
    <w:p w:rsidR="00D06117" w:rsidRDefault="00D06117" w:rsidP="00D06117">
      <w:pPr>
        <w:pStyle w:val="TextoNormal"/>
      </w:pPr>
    </w:p>
    <w:p w:rsidR="00D06117" w:rsidRDefault="00D06117" w:rsidP="00D06117">
      <w:pPr>
        <w:pStyle w:val="TextoNormal"/>
      </w:pPr>
      <w:r>
        <w:t>2. Los requisitos que se establezcan para la instalación de establecimientos comerciales atenderán conjuntamente a criterios basados en razones imperiosas de interés general relacionadas con la distribución comercial, como la protección del medio ambiente y del entorno urbano, la ordenación del territorio y la conservación del patrimonio histórico y artístico.</w:t>
      </w:r>
    </w:p>
    <w:p w:rsidR="00D06117" w:rsidRDefault="00D06117" w:rsidP="00D06117">
      <w:pPr>
        <w:pStyle w:val="TextoNormal"/>
      </w:pPr>
    </w:p>
    <w:p w:rsidR="00D06117" w:rsidRDefault="00D06117" w:rsidP="00D06117">
      <w:pPr>
        <w:pStyle w:val="TextoNormal"/>
      </w:pPr>
      <w:r>
        <w:t>En todo caso los requisitos, y en su caso los criterios de concesión de la autorización, deberán ser proporcionados, no discriminatorios, claros e inequívocos, objetivos, hechos públicos con antelación, predecibles, transparentes y accesibles.</w:t>
      </w:r>
    </w:p>
    <w:p w:rsidR="00D06117" w:rsidRDefault="00D06117" w:rsidP="00D06117">
      <w:pPr>
        <w:pStyle w:val="TextoNormal"/>
      </w:pPr>
    </w:p>
    <w:p w:rsidR="00D06117" w:rsidRDefault="00D06117" w:rsidP="00D06117">
      <w:pPr>
        <w:pStyle w:val="TextoNormal"/>
      </w:pPr>
      <w:r>
        <w:t>3. En ningún caso podrán establecerse requisitos de naturaleza económica que supediten la concesión de la autorización a la prueba de la existencia de una necesidad económica o de una demanda en el mercado, a que se evalúen los efectos económicos, posibles o reales, de la actividad o a que se haga una apreciación de si la actividad se ajusta a los objetivos de programación económica fijados por la autoridad competente o a que se comercialicen productos o servicios de un tipo o procedencia determinada. Las razones imperiosas de interés general que se invoquen no podrán encubrir requisitos de planificación económica.</w:t>
      </w:r>
    </w:p>
    <w:p w:rsidR="00D06117" w:rsidRDefault="00D06117" w:rsidP="00D06117">
      <w:pPr>
        <w:pStyle w:val="TextoNormal"/>
      </w:pPr>
    </w:p>
    <w:p w:rsidR="00D06117" w:rsidRDefault="00D06117" w:rsidP="00D06117">
      <w:pPr>
        <w:pStyle w:val="TextoNormal"/>
      </w:pPr>
      <w:r>
        <w:t xml:space="preserve">4. En todo caso corresponde a las Comunidades Autónomas y a las ciudades de Ceuta y Melilla regular el procedimiento de autorización para la instalación de establecimientos comerciales a que se refiere el apartado dos de este artículo, y determinar la autoridad autonómica o local competente para resolver las solicitudes de autorización. Dicho procedimiento coordinará todos los trámites administrativos necesarios para la instalación de establecimientos comerciales. Sin perjuicio de la regulación que al respecto aprueben las Comunidades Autónomas, las solicitudes presentadas deberán resolverse en un plazo máximo de seis meses, y como efecto de la falta de resolución expresa, se establecerá el silencio positivo con excepción de los supuestos que recoge el artículo 6 de la Ley 17/2009, de 23 de noviembre, sobre el libre acceso a las actividades de servicios y su ejercicio. No se podrá </w:t>
      </w:r>
      <w:r>
        <w:lastRenderedPageBreak/>
        <w:t>supeditar el otorgamiento de la autorización a la intervención directa o indirecta de los competidores en el procedimiento de otorgamiento de las autorizaciones, incluso en órganos consultivos, sin perjuicio de los cauces que se establezcan para la consulta al público en general. Las autorizaciones son libremente transmisibles por su titular. No obstante, la transmisión deberá ser comunicada a la administración concedente a los solos efectos de su conocimiento.”</w:t>
      </w:r>
    </w:p>
    <w:p w:rsidR="00D06117" w:rsidRDefault="00D06117" w:rsidP="00D06117">
      <w:pPr>
        <w:pStyle w:val="TextoNormal"/>
      </w:pPr>
    </w:p>
    <w:p w:rsidR="00D06117" w:rsidRDefault="00D06117" w:rsidP="00D06117">
      <w:pPr>
        <w:pStyle w:val="TextoNormal"/>
      </w:pPr>
      <w:r>
        <w:t>En cuanto que regulación de los regímenes de autorización aplicables a una actividad de servicios como el comercio, habremos de tener en cuenta también lo dispuesto en la Ley 17/2009, de 23 de noviembre, sobre el libre acceso a las actividades de servicio y su ejercicio, que incorpora a nuestro ordenamiento la Directiva 2006/123/CE del Parlamento Europeo y del Consejo, de 12 de diciembre de 2006, relativa a los servicios en el mercado interior. Esta norma tiene como fin —según se indica en su preámbulo— impulsar la mejora de la regulación del sector servicios, reduciendo las trabas injustificadas o desproporcionadas al ejercicio de una actividad de servicios; a tal efecto la Ley 17/2009 (que tiene carácter básico conforme a su disposición final primera) establece como régimen general el de la libertad de acceso a las actividades de servicios incluidos en su ámbito de aplicación y su libre ejercicio en todo el territorio español por prestadores de servicios establecidos en España o en cualquier otro Estado miembro de la Unión Europea, y regula como excepcionales los supuestos que permiten imponer restricciones a estas actividades sea en forma de exigencia de autorización, sea en forma de requisitos para el acceso a la actividad. Por lo que hace a lo primero el art. 5 dispone que la normativa reguladora del acceso a una actividad de servicios o del ejercicio de la misma no podrá imponer a los prestadores un régimen de autorización, salvo excepcionalmente y siempre que concurran las condiciones de no discriminación, necesidad y proporcionalidad que el propio precepto define, las cuales habrán de motivarse suficientemente en la ley que establezca dicho régimen. En cuanto a lo segundo a los efectos del presente proceso interesa destacar el art. 11 a), según el cual: “La normativa reguladora del acceso a una actividad de servicios o de su ejercicio no deberá supeditar dicho acceso o ejercicio a: a) Restricciones cuantitativas o territoriales y, concretamente, límites fijados en función de la población o de una distancia mínima entre prestadores. Los fines económicos, como el de garantizar la viabilidad económica de determinados prestadores, no podrán invocarse como justificación de restricciones cuantitativas o territoriales.”</w:t>
      </w:r>
    </w:p>
    <w:p w:rsidR="00D06117" w:rsidRDefault="00D06117" w:rsidP="00D06117">
      <w:pPr>
        <w:pStyle w:val="TextoNormal"/>
      </w:pPr>
    </w:p>
    <w:p w:rsidR="00D06117" w:rsidRDefault="00D06117" w:rsidP="00D06117">
      <w:pPr>
        <w:pStyle w:val="TextoNormal"/>
      </w:pPr>
      <w:r>
        <w:t>Ninguna duda cabe de que las normas que se han expuesto tienen carácter básico desde un punto de vista formal pues ya hemos indicado que como tales se proclaman en la Ley de ordenación del comercio minorista y en la Ley 17/2009 mientras que, desde la perspectiva material, pueden ser consideradas previsiones básicas en materia económica en cuanto que prevén un marco más flexible y transparente para el acceso y ejercicio de las actividades de servicios, estableciendo que deben de eliminarse todos aquellos regímenes de autorización que no estén justificados por una razón imperiosa de interés general a fin de asegurar que los controles administrativos previos para el ejercicio de una actividad, en este caso la comercial, no constituyan obstáculos indebidos para el acceso al mercado. El Estado puede legítimamente perseguir estos objetivos al amparo de sus competencias, en particular la relativa a la ordenación general de la economía ex art. 149.1.13 CE.</w:t>
      </w:r>
    </w:p>
    <w:p w:rsidR="00D06117" w:rsidRDefault="00D06117" w:rsidP="00D06117">
      <w:pPr>
        <w:pStyle w:val="TextoNormal"/>
      </w:pPr>
    </w:p>
    <w:p w:rsidR="00D06117" w:rsidRDefault="00D06117" w:rsidP="00D06117">
      <w:pPr>
        <w:pStyle w:val="TextoNormal"/>
      </w:pPr>
      <w:r>
        <w:t xml:space="preserve">Sentado el carácter básico de las normas estatales que, en la forma que se ha expuesto, regulan los requisitos para la instalación de establecimientos comerciales, su comparación con el impugnado art. 14.1 de la Ley 11/2001 revela que este último es incompatible con la </w:t>
      </w:r>
      <w:r>
        <w:lastRenderedPageBreak/>
        <w:t>norma básica estatal sobrevenida en la medida en que no se aporta razón alguna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 Es por ello que la norma autonómica no se ajusta a los límites establecidos por la normativa básica sobrevenida y vulnera el art. 149.1.13 CE y con ello, el orden constitucional de distribución de competencias sin que, apreciado lo anterior, resulte necesario ahora pronunciarse sobre las restantes vulneraciones denunciadas por el Abogado del Estado.</w:t>
      </w:r>
    </w:p>
    <w:p w:rsidR="00D06117" w:rsidRDefault="00D06117" w:rsidP="00D06117">
      <w:pPr>
        <w:pStyle w:val="TextoNormal"/>
      </w:pPr>
    </w:p>
    <w:p w:rsidR="00D06117" w:rsidRDefault="00D06117" w:rsidP="00D06117">
      <w:pPr>
        <w:pStyle w:val="TextoNormal"/>
      </w:pPr>
      <w:r w:rsidRPr="00D06117">
        <w:rPr>
          <w:rStyle w:val="NumeroAFNegritaCaracter"/>
        </w:rPr>
        <w:t>6</w:t>
      </w:r>
      <w:r>
        <w:t>. Procede ahora enjuiciar el bloque de preceptos impugnados que hacen referencia al régimen de horarios de los establecimientos comerciales situados en las Illes Balears, esto es, los arts. 18, 20, 21.1 b) y 22 de la Ley 11/2001, preceptos que, con la excepción del art. 18, han sufrido modificaciones durante la pendencia del proceso sin que afecte a la pervivencia del recurso en atención al carácter competencial de la disputa trabada sobre todos ellos.</w:t>
      </w:r>
    </w:p>
    <w:p w:rsidR="00D06117" w:rsidRDefault="00D06117" w:rsidP="00D06117">
      <w:pPr>
        <w:pStyle w:val="TextoNormal"/>
      </w:pPr>
    </w:p>
    <w:p w:rsidR="00D06117" w:rsidRDefault="00D06117" w:rsidP="00D06117">
      <w:pPr>
        <w:pStyle w:val="TextoNormal"/>
      </w:pPr>
      <w:r>
        <w:t>El debate procesal en este caso se centra en determinar si la norma autonómica vulnera la normativa básica estatal en materia de horarios comerciales constituida, en el momento de interponerse el recurso, por el art. 43 del Real Decreto-ley 6/2000, de 23 de junio, de medidas urgentes de intensificación de la competencia en mercados de bienes y servicios, o si, por el contrario, la regulación estatal que se propone como parámetro indirecto de constitucionalidad no tiene realmente el predicado carácter básico. Respecto del deslinde competencial en la materia, ya hemos indicado que el art. 30.42 del Estatuto de Autonomía de las Illes Balears, en la redacción dada al mismo por la Ley Orgánica 1/2007, de 28 de febrero, dispone que la Comunidad Autónoma ostenta competencias exclusivas en materia de comercio interior “sin perjuicio de lo dispuesto en los artículos 38, 131 y en los números 11 y 13 del apartado 1 del artículo 149 de la Constitución”, competencia autonómica exclusiva que incluye la “[r]egulación de los calendarios y horarios comerciales con respeto al principio de unidad de mercado”. Lo anterior implica que, como recuerda la STC 140/2011, de 14 de septiembre, “ubicada la regulación de los horarios comerciales en la materia de comercio interior (por todas, STC 254/2004, de 22 de diciembre, FJ 7), la competencia asumida por las Illes Balears ha de respetar las competencias del Estado relacionadas en el art. 149.1 CE en especial aquellas explícitamente mencionadas por el texto estatutario en relación con la genérica competencia autonómica en materia de comercio interior. En el caso que nos ocupa, ello se traduce en el ejercicio de la competencia autonómica en el marco de los principios básicos que el Estado haya establecido al amparo de su competencia sobre las ‘bases y coordinación de la planificación general de la actividad económica’ del art. 149.1.13 CE (en tal sentido, STC 31/2010, de 28 de junio, FJ 68).”</w:t>
      </w:r>
    </w:p>
    <w:p w:rsidR="00D06117" w:rsidRDefault="00D06117" w:rsidP="00D06117">
      <w:pPr>
        <w:pStyle w:val="TextoNormal"/>
      </w:pPr>
    </w:p>
    <w:p w:rsidR="00D06117" w:rsidRDefault="00D06117" w:rsidP="00D06117">
      <w:pPr>
        <w:pStyle w:val="TextoNormal"/>
      </w:pPr>
      <w:r>
        <w:t>Así encuadrada la cuestión, se plantea un problema de vulneración de la normativa básica estatal, en este caso relativa a los horarios comerciales, lo que implica que la norma estatal que debemos tomar en consideración para que, apreciado en su caso su carácter básico, pueda ser utilizada como parámetro de control de los preceptos autonómicos aquí controvertidos es la Ley 1/2004, de 21 de diciembre, de horarios comerciales.</w:t>
      </w:r>
    </w:p>
    <w:p w:rsidR="00D06117" w:rsidRDefault="00D06117" w:rsidP="00D06117">
      <w:pPr>
        <w:pStyle w:val="TextoNormal"/>
      </w:pPr>
    </w:p>
    <w:p w:rsidR="00D06117" w:rsidRDefault="00D06117" w:rsidP="00D06117">
      <w:pPr>
        <w:pStyle w:val="TextoNormal"/>
      </w:pPr>
      <w:r w:rsidRPr="00D06117">
        <w:rPr>
          <w:rStyle w:val="NumeroAFNegritaCaracter"/>
        </w:rPr>
        <w:t>7</w:t>
      </w:r>
      <w:r>
        <w:t>. Señalado todo lo anterior estamos ya en condiciones de examinar el primero de los preceptos impugnados, el art. 18 de la Ley 11/2001, precepto que dispone lo siguiente:</w:t>
      </w:r>
    </w:p>
    <w:p w:rsidR="00D06117" w:rsidRDefault="00D06117" w:rsidP="00D06117">
      <w:pPr>
        <w:pStyle w:val="TextoNormal"/>
      </w:pPr>
    </w:p>
    <w:p w:rsidR="00D06117" w:rsidRDefault="00D06117" w:rsidP="00D06117">
      <w:pPr>
        <w:pStyle w:val="TextoNormal"/>
      </w:pPr>
      <w:r>
        <w:t>“Artículo 18. Horarios en días laborales</w:t>
      </w:r>
    </w:p>
    <w:p w:rsidR="00D06117" w:rsidRDefault="00D06117" w:rsidP="00D06117">
      <w:pPr>
        <w:pStyle w:val="TextoNormal"/>
      </w:pPr>
    </w:p>
    <w:p w:rsidR="00D06117" w:rsidRDefault="00D06117" w:rsidP="00D06117">
      <w:pPr>
        <w:pStyle w:val="TextoNormal"/>
      </w:pPr>
      <w:r>
        <w:t>1. Cada comerciante, tanto al por mayor como al detalle, determinará el horario de apertura y cierre de sus establecimientos comerciales, así como los días en que ha de desarrollar su actividad, con un máximo de 72 horas semanales, sin perjuicio de los derechos reconocidos a los trabajadores en la normativa laboral.</w:t>
      </w:r>
    </w:p>
    <w:p w:rsidR="00D06117" w:rsidRDefault="00D06117" w:rsidP="00D06117">
      <w:pPr>
        <w:pStyle w:val="TextoNormal"/>
      </w:pPr>
    </w:p>
    <w:p w:rsidR="00D06117" w:rsidRDefault="00D06117" w:rsidP="00D06117">
      <w:pPr>
        <w:pStyle w:val="TextoNormal"/>
      </w:pPr>
      <w:r>
        <w:t>2. El horario diario no podrá exceder de 12 horas.”</w:t>
      </w:r>
    </w:p>
    <w:p w:rsidR="00D06117" w:rsidRDefault="00D06117" w:rsidP="00D06117">
      <w:pPr>
        <w:pStyle w:val="TextoNormal"/>
      </w:pPr>
    </w:p>
    <w:p w:rsidR="00D06117" w:rsidRDefault="00D06117" w:rsidP="00D06117">
      <w:pPr>
        <w:pStyle w:val="TextoNormal"/>
      </w:pPr>
      <w:r>
        <w:t>Conforme venimos exponiendo, el parámetro de control del precepto trascrito sería el art. 3 de la Ley 1/2004, relativo al horario global en el que los comercios podrán desarrollar su actividad. Dicho precepto impide que el horario global pueda restringirse durante el conjunto de días laborables de la semana a menos de 72 horas indicando, además, en su apartado 2 que “el horario de apertura y cierre dentro de los días laborables de la semana será libremente decidido por cada comerciante, respetando siempre el límite máximo del horario global que, en su caso, se establezca por la Comunidad Autónoma”.</w:t>
      </w:r>
    </w:p>
    <w:p w:rsidR="00D06117" w:rsidRDefault="00D06117" w:rsidP="00D06117">
      <w:pPr>
        <w:pStyle w:val="TextoNormal"/>
      </w:pPr>
    </w:p>
    <w:p w:rsidR="00D06117" w:rsidRDefault="00D06117" w:rsidP="00D06117">
      <w:pPr>
        <w:pStyle w:val="TextoNormal"/>
      </w:pPr>
      <w:r>
        <w:t>Conforme al criterio que hemos indicado en el fundamento jurídico 2 c) debemos ahora determinar si el citado precepto estatal respeta efectivamente la doble dimensión (formal y material) consustancial a la noción de “bases”. Respecto del cumplimiento del requisito formal éste es evidente, pues se trata de un precepto incluido en una ley formal aprobada por las Cortes Generales y cuya condición básica está expresamente proclamada por su disposición final primera. Por lo que se refiere a la verificación del carácter materialmente básico del precepto estatal, respecto del mismo ya hemos dicho que “la Ley estatal 1/2004 establece un régimen mínimo de regulación en materia de horarios comerciales dentro del cual las Comunidades Autónomas pueden optar por grados superiores de liberalización. Así tiene en su conjunto por finalidad la fijación de las bases de la regulación de los horarios comerciales, aspecto éste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(STC 88/2010, de 15 de noviembre, FJ 5). Asimismo, en la STC 140/2011, FJ 4, señalamos, en relación con la Ley 1/2004 que “hemos de considerar que la exposición de motivos de la Ley 1/2004 señala que con la misma se pretende, inter alia, promover unas adecuadas condiciones de competencia en el sector, contribuir a mejorar la eficiencia en la distribución comercial minorista [y] lograr un adecuado nivel de oferta para los consumidores, objetivos todos ellos a los que atiende la competencia estatal del art. 149.1.13 CE.”</w:t>
      </w:r>
    </w:p>
    <w:p w:rsidR="00D06117" w:rsidRDefault="00D06117" w:rsidP="00D06117">
      <w:pPr>
        <w:pStyle w:val="TextoNormal"/>
      </w:pPr>
    </w:p>
    <w:p w:rsidR="00D06117" w:rsidRDefault="00D06117" w:rsidP="00D06117">
      <w:pPr>
        <w:pStyle w:val="TextoNormal"/>
      </w:pPr>
      <w:r>
        <w:t xml:space="preserve">A la luz de la doctrina expuesta, debe considerarse efectivamente como formal y materialmente básica la regulación de los horarios comerciales contenida en el art. 3 de la Ley estatal 1/2004, descartando el argumento de las representaciones autonómicas que cuestionaban el carácter básico ce los preceptos estatales de referencia. La aplicación de nuestra doctrina en relación con el art. 149.1.13 CE en lo que específicamente respecta a los horarios comerciales [al respecto, STC 225/1993, de 8 de julio, FJ 4 b) in fine] permite sostener que la regulación de los horarios globales semanales no supone sino el establecimiento de unas directrices o criterios globales que cumplen, dado su carácter de condiciones mínimas y comunes, los parámetros constitucionales para su consideración material de norma básica, </w:t>
      </w:r>
      <w:r>
        <w:lastRenderedPageBreak/>
        <w:t>en tanto que la misma encierra una serie de objetivos de política económica aplicables a un sector de gran trascendencia en nuestra economía como es el de la distribución comercial. Así, para la consecución de los objetivos básicos que persigue, la norma estatal únicamente pretende establecer un régimen mínimo de libertad horaria dentro del cual cabe legítimamente cualquier opción de regulación autonómica. Tales criterios o límites mínimos respetan las competencias autonómicas en materia de comercio interior pues las normas contenidas en el art. 3 de la Ley 1/2004 no son, por su carácter de común denominador normativo, tan minuciosas o exhaustivas que no dejen espacio alguno a las competencias autonómicas en esta materia (STC 88/2010, FJ 5 in fine). De esta manera no se agotan las posibilidades de que el legislador autonómico con competencia para ello pueda llevar a cabo desarrollos normativos que, sin detrimento de la eficacia de la norma estatal básica, permitan que cada Comunidad Autónoma pueda establecer sistemas singularizados en la materia de horario de apertura de los establecimientos comerciales, tal y como expresamente reconocen tanto la propia exposición de motivos de la Ley 1/2004 como sus arts. 1 y 2.</w:t>
      </w:r>
    </w:p>
    <w:p w:rsidR="00D06117" w:rsidRDefault="00D06117" w:rsidP="00D06117">
      <w:pPr>
        <w:pStyle w:val="TextoNormal"/>
      </w:pPr>
    </w:p>
    <w:p w:rsidR="00D06117" w:rsidRDefault="00D06117" w:rsidP="00D06117">
      <w:pPr>
        <w:pStyle w:val="TextoNormal"/>
      </w:pPr>
      <w:r>
        <w:t>Establecido en la forma expuesta el carácter básico de la norma estatal podemos enjuiciar el precepto impugnado, empezando por su apartado primero. Confrontado con el art. 3 de la Ley estatal 1/2004 no existe contradicción entre ellos ya que la base estatal habilita a las Comunidades Autónomas para establecer un horario global en el que los comercios podrán desarrollar su actividad durante los días laborables de la semana impidiendo que dicho horario global no se restrinja a menos de 72 horas, mínimo éste fijado por la base estatal que es respetado por el precepto autonómico, el cual, tras reconocer la posibilidad de que cada comerciante determine el horario de apertura y cierre de sus establecimientos comerciales, fija el límite máximo del horario global de apertura de los establecimientos comerciales precisamente en esas 72 horas a las que hace referencia la normativa básica estatal. En definitiva, por el juego coincidente de la base estatal (“límite mínimo global”), dictada con posterioridad a la norma autonómica, y de ésta, norma de desarrollo, que fija el máximo en 72 horas, la libertad del comerciante a que se refiere el apartado 2 de la norma básica estatal ha de funcionar dentro de esas 72 horas. Por ello, en tanto que el art. 18.1 de la Ley 11/2001 respeta el mínimo fijado por la Ley 1/2004 no contraviene lo dispuesto por la normativa básica estatal, y es conforme con el orden constitucional de distribución de competencias.</w:t>
      </w:r>
    </w:p>
    <w:p w:rsidR="00D06117" w:rsidRDefault="00D06117" w:rsidP="00D06117">
      <w:pPr>
        <w:pStyle w:val="TextoNormal"/>
      </w:pPr>
    </w:p>
    <w:p w:rsidR="00D06117" w:rsidRDefault="00D06117" w:rsidP="00D06117">
      <w:pPr>
        <w:pStyle w:val="TextoNormal"/>
      </w:pPr>
      <w:r>
        <w:t xml:space="preserve">A distinta conclusión se llega, sin embargo, con respecto al apartado 2 de este mismo art. 18, precepto que fija un límite diario al horario de apertura y cierre de los establecimientos comerciales al disponer que el mismo no podrá exceder de 12 horas. Acabamos de indicar que la base estatal habilita a las Comunidades Autónomas para establecer un horario global dentro del cual los comercios podrán desarrollar su actividad señalando como principio general que ese horario global no podrá ser nunca inferior a 72 horas semanales. Asimismo, con respecto al horario diario de apertura establece el principio básico de libertad de decisión por parte de cada comerciante, libertad que, en todo caso, puede ser limitada por la decisión autonómica en torno al horario global semanal al que han de ajustarse los establecimientos comerciales de su territorio y dentro del cual corresponderá a cada comerciante determinar el horario diario de apertura y cierre de su establecimiento, aspecto este último integrado en el margen de decisión otorgado a cada comerciante por la base estatal. Resulta entonces que la base estatal establece, con los límites del respeto al horario global semanal antes aludidos, un régimen de libertad de horarios respecto de los días laborables de la semana que, al igual que los examinados en otras ocasiones por este Tribunal Constitucional (STC 140/2011, FJ 4, y las allí citadas) excluye la intervención autonómica en este concreto </w:t>
      </w:r>
      <w:r>
        <w:lastRenderedPageBreak/>
        <w:t>aspecto. Por ello es patente que en el caso que examinamos dicha regla no se respeta por cuanto, frente a la libertad otorgada por la base estatal, la norma autonómica impone límites al horario diario de apertura de los establecimientos comerciales, razón por la que es contraria al orden constitucional de distribución de competencias y, por tanto, inconstitucional y nula.</w:t>
      </w:r>
    </w:p>
    <w:p w:rsidR="00D06117" w:rsidRDefault="00D06117" w:rsidP="00D06117">
      <w:pPr>
        <w:pStyle w:val="TextoNormal"/>
      </w:pPr>
    </w:p>
    <w:p w:rsidR="00D06117" w:rsidRDefault="00D06117" w:rsidP="00D06117">
      <w:pPr>
        <w:pStyle w:val="TextoNormal"/>
      </w:pPr>
      <w:r w:rsidRPr="00D06117">
        <w:rPr>
          <w:rStyle w:val="NumeroAFNegritaCaracter"/>
        </w:rPr>
        <w:t>8</w:t>
      </w:r>
      <w:r>
        <w:t>. Procede ahora enjuiciar el art. 20 de la Ley 11/2001, precepto que, impugnado en sus dos apartados, establece lo siguiente:</w:t>
      </w:r>
    </w:p>
    <w:p w:rsidR="00D06117" w:rsidRDefault="00D06117" w:rsidP="00D06117">
      <w:pPr>
        <w:pStyle w:val="TextoNormal"/>
      </w:pPr>
    </w:p>
    <w:p w:rsidR="00D06117" w:rsidRDefault="00D06117" w:rsidP="00D06117">
      <w:pPr>
        <w:pStyle w:val="TextoNormal"/>
      </w:pPr>
      <w:r>
        <w:t>“Artículo 20. Actividad en domingos y festivos</w:t>
      </w:r>
    </w:p>
    <w:p w:rsidR="00D06117" w:rsidRDefault="00D06117" w:rsidP="00D06117">
      <w:pPr>
        <w:pStyle w:val="TextoNormal"/>
      </w:pPr>
    </w:p>
    <w:p w:rsidR="00D06117" w:rsidRDefault="00D06117" w:rsidP="00D06117">
      <w:pPr>
        <w:pStyle w:val="TextoNormal"/>
      </w:pPr>
      <w:r>
        <w:t>1. Los domingos y festivos no serán hábiles para el ejercicio de la actividad comercial, excepto los expresamente autorizados por el Gobierno de las Illes Balears.</w:t>
      </w:r>
    </w:p>
    <w:p w:rsidR="00D06117" w:rsidRDefault="00D06117" w:rsidP="00D06117">
      <w:pPr>
        <w:pStyle w:val="TextoNormal"/>
      </w:pPr>
    </w:p>
    <w:p w:rsidR="00D06117" w:rsidRDefault="00D06117" w:rsidP="00D06117">
      <w:pPr>
        <w:pStyle w:val="TextoNormal"/>
      </w:pPr>
      <w:r>
        <w:t>2. El consejero titular de la materia de comercio es el órgano competente para autorizar anualmente, mediante orden, la actividad comercial en domingos y festivos, previa audiencia de las asociaciones de comerciantes, de consumidores y de usuarios y sindicales legalmente reconocidas.”</w:t>
      </w:r>
    </w:p>
    <w:p w:rsidR="00D06117" w:rsidRDefault="00D06117" w:rsidP="00D06117">
      <w:pPr>
        <w:pStyle w:val="TextoNormal"/>
      </w:pPr>
    </w:p>
    <w:p w:rsidR="00D06117" w:rsidRDefault="00D06117" w:rsidP="00D06117">
      <w:pPr>
        <w:pStyle w:val="TextoNormal"/>
      </w:pPr>
      <w:r>
        <w:t>Igual que en el caso anterior, el Abogado del Estado estima vulnerada la normativa básica en materia de horarios comerciales, vulneración que no es negada por las instituciones autonómicas, las cuales cuestionan, sin embargo, el pretendido carácter básico de la norma estatal que se reputa vulnerada.</w:t>
      </w:r>
    </w:p>
    <w:p w:rsidR="00D06117" w:rsidRDefault="00D06117" w:rsidP="00D06117">
      <w:pPr>
        <w:pStyle w:val="TextoNormal"/>
      </w:pPr>
    </w:p>
    <w:p w:rsidR="00D06117" w:rsidRDefault="00D06117" w:rsidP="00D06117">
      <w:pPr>
        <w:pStyle w:val="TextoNormal"/>
      </w:pPr>
      <w:r>
        <w:t>La norma estatal que operaría en este caso como parámetro de constitucionalidad sería de nuevo la Ley 1/2004 que dispone, esta vez en su art. 4, que “el número mínimo de domingos y días festivos en los que los comercios podrán permanecer abiertos al público será de doce”, pudiendo dicho número ser modificado “por las Comunidades Autónomas en atención a sus necesidades comerciales, incrementándolo o reduciéndolo, sin que en ningún caso se pueda limitar por debajo de ocho el número mínimo de domingos y festivos de apertura autorizada”. Habiendo afirmado ya en el fundamento jurídico precedente el carácter formalmente básico de la ley estatal, desde una perspectiva material la conclusión relativa a su art. 4 es la misma. Teniendo presentes los objetivos que persigue la regulación estatal en materia de horarios comerciales, relacionados con la necesidad de “promover unas adecuadas condiciones de competencia en el sector, contribuir a mejorar la eficiencia en la distribución comercial minorista [y] lograr un adecuado nivel de oferta para los consumidores” es de apreciar que tales circunstancias determinan el carácter materialmente básico de la norma estatal, en la medida en que tal decisión no es indiferente, en cuanto estímulo a la demanda privada de bienes de consumo y al empleo en dicho sector comercial, lo que justifica que puede ser adoptada por el Estado en atención a su incidencia directa y significativa sobre la actividad económica general y la comercial en particular.</w:t>
      </w:r>
    </w:p>
    <w:p w:rsidR="00D06117" w:rsidRDefault="00D06117" w:rsidP="00D06117">
      <w:pPr>
        <w:pStyle w:val="TextoNormal"/>
      </w:pPr>
    </w:p>
    <w:p w:rsidR="00D06117" w:rsidRDefault="00D06117" w:rsidP="00D06117">
      <w:pPr>
        <w:pStyle w:val="TextoNormal"/>
      </w:pPr>
      <w:r>
        <w:t xml:space="preserve">Por otra parte, en la medida en que, en este caso, la opción legislativa estatal permitiendo la apertura en festivos supone el establecimiento de normas básicas en lo relativo a la intervención administrativa en la fijación de los horarios comerciales, su concreción requiere la actuación autonómica con la consecuencia de que el establecimiento de dicho régimen debe respetar, como regla general, el reiterado criterio de este Tribunal Constitucional respecto a la articulación de las bases y su desarrollo como esquema de distribución de competencias </w:t>
      </w:r>
      <w:r>
        <w:lastRenderedPageBreak/>
        <w:t>entre el Estado y las Comunidades Autónomas, permitiendo a éstas, dentro del margen establecido por las bases estatales, la adopción de sus propias decisiones en desarrollo de las mismas.</w:t>
      </w:r>
    </w:p>
    <w:p w:rsidR="00D06117" w:rsidRDefault="00D06117" w:rsidP="00D06117">
      <w:pPr>
        <w:pStyle w:val="TextoNormal"/>
      </w:pPr>
    </w:p>
    <w:p w:rsidR="00D06117" w:rsidRDefault="00D06117" w:rsidP="00D06117">
      <w:pPr>
        <w:pStyle w:val="TextoNormal"/>
      </w:pPr>
      <w:r>
        <w:t>La regulación de los días de apertura en domingos y festivos respeta los anteriores criterios pues la norma estatal se formula de tal modo que otorga un amplio margen de decisión a la Comunidad Autónoma en el ejercicio de sus competencias en materia de horarios comerciales ya que ésta ha de establecer, respetando el mínimo de festivos en los que es posible la apertura según la norma estatal, su número y determinación concreta. De esta manera la base estatal “no agota toda la normación ni monopoliza toda actuación pública posible sobre la materia” de suerte que la Comunidad Autónoma “disfruta de un margen de desarrollo de la normativa básica para el establecimiento de una política propia en la materia en el marco definido por la base estatal” (STC 88/2010, FJ 5).</w:t>
      </w:r>
    </w:p>
    <w:p w:rsidR="00D06117" w:rsidRDefault="00D06117" w:rsidP="00D06117">
      <w:pPr>
        <w:pStyle w:val="TextoNormal"/>
      </w:pPr>
    </w:p>
    <w:p w:rsidR="00D06117" w:rsidRDefault="00D06117" w:rsidP="00D06117">
      <w:pPr>
        <w:pStyle w:val="TextoNormal"/>
      </w:pPr>
      <w:r>
        <w:t>Sentado pues el carácter básico de la norma estatal, el concreto análisis de la impugnación planteada en relación con la redacción inicial del art. 20 de la Ley 11/2001 ha de partir del reiterado criterio mantenido por este Tribunal y en virtud del cual “en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(STC 133/2006, de 27 de abril, FJ 14). Esta interpretación resulta posible en este caso dado que la contradicción entre los preceptos estatales y el cuestionado art. 20 de la Ley 11/2001 no resulta insalvable y, en consecuencia, este último puede ser interpretado de modo conforme con el orden constitucional de distribución de competencias. Así, podemos entender que la norma autonómica no excluía que los domingos y festivos pudieran ser días hábiles para el ejercicio de la actividad comercial, pues tal es lo que resulta de su apartado segundo, sino que se limitaba a prever que su determinación se encontraría sometida a una autorización expresa que correspondía otorgar al Consejero titular de la materia de comercio, autorización autonómica para la determinación de los festivos de apertura que viene también exigida por la base estatal (art. 4, apartados 2 y 5 in fine). Dicho de otro modo, la norma autonómica prevé una regla general de no apertura en domingos y festivos que admite una excepción clara para cuya articulación se prevé la autorización expresa del Gobierno de las Illes Balears, autorización que, en la práctica, puede permitir la apertura en domingos y festivos en el marco establecido por la ley estatal básica, haciéndose de este modo compatibles la previsión autonómica y la estatal. En suma, por lo expuesto, el art. 20 de la Ley 11/2001, en su redacción impugnada, no resultaba contrario a la norma básica estatal, por lo que no incurría en la vulneración competencial denunciada por el Abogado del Estado, siempre y cuando se respete el mínimo de ocho días establecido por las bases.</w:t>
      </w:r>
    </w:p>
    <w:p w:rsidR="00D06117" w:rsidRDefault="00D06117" w:rsidP="00D06117">
      <w:pPr>
        <w:pStyle w:val="TextoNormal"/>
      </w:pPr>
    </w:p>
    <w:p w:rsidR="00D06117" w:rsidRDefault="00D06117" w:rsidP="00D06117">
      <w:pPr>
        <w:pStyle w:val="TextoNormal"/>
      </w:pPr>
      <w:r w:rsidRPr="00D06117">
        <w:rPr>
          <w:rStyle w:val="NumeroAFNegritaCaracter"/>
        </w:rPr>
        <w:t>9</w:t>
      </w:r>
      <w:r>
        <w:t>. Abordaremos ahora la impugnación de los arts. 21.1 b) y 22 pues su examen puede realizarse conjuntamente. Los preceptos citados disponían, respectivamente, lo siguiente:</w:t>
      </w:r>
    </w:p>
    <w:p w:rsidR="00D06117" w:rsidRDefault="00D06117" w:rsidP="00D06117">
      <w:pPr>
        <w:pStyle w:val="TextoNormal"/>
      </w:pPr>
    </w:p>
    <w:p w:rsidR="00D06117" w:rsidRDefault="00D06117" w:rsidP="00D06117">
      <w:pPr>
        <w:pStyle w:val="TextoNormal"/>
      </w:pPr>
      <w:r>
        <w:t>“Artículo 21. Supuestos excluidos del horario general</w:t>
      </w:r>
    </w:p>
    <w:p w:rsidR="00D06117" w:rsidRDefault="00D06117" w:rsidP="00D06117">
      <w:pPr>
        <w:pStyle w:val="TextoNormal"/>
      </w:pPr>
    </w:p>
    <w:p w:rsidR="00D06117" w:rsidRDefault="00D06117" w:rsidP="00D06117">
      <w:pPr>
        <w:pStyle w:val="TextoNormal"/>
      </w:pPr>
      <w:r>
        <w:t>1. Las limitaciones establecidas en los artículos anteriores de este título no serán de aplicación:</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t>b) A los establecimientos comerciales situados en zonas de gran afluencia turística, de acuerdo con lo establecido en el siguiente artículo. En todo caso, los grandes establecimientos comerciales sólo podrán abrir los domingos y festivos hasta las 16.00 horas.”</w:t>
      </w:r>
    </w:p>
    <w:p w:rsidR="00D06117" w:rsidRDefault="00D06117" w:rsidP="00D06117">
      <w:pPr>
        <w:pStyle w:val="TextoNormal"/>
      </w:pPr>
    </w:p>
    <w:p w:rsidR="00D06117" w:rsidRDefault="00D06117" w:rsidP="00D06117">
      <w:pPr>
        <w:pStyle w:val="TextoNormal"/>
      </w:pPr>
      <w:r>
        <w:t>“Artículo 22. Determinación de zonas de gran afluencia turística</w:t>
      </w:r>
    </w:p>
    <w:p w:rsidR="00D06117" w:rsidRDefault="00D06117" w:rsidP="00D06117">
      <w:pPr>
        <w:pStyle w:val="TextoNormal"/>
      </w:pPr>
    </w:p>
    <w:p w:rsidR="00D06117" w:rsidRDefault="00D06117" w:rsidP="00D06117">
      <w:pPr>
        <w:pStyle w:val="TextoNormal"/>
      </w:pPr>
      <w:r>
        <w:t>1. Los ayuntamientos, a través de exposición motivada, adoptada por acuerdo plenario, podrán proponer a la consejería competente en materia de comercio las partes del territorio municipal que pueden considerarse zonas de gran afluencia turística, a los efectos de exclusión de la limitación de horarios de esta Ley. Dicha exclusión no afectará a las 12 horas diarias máximas de apertura de los comercios citados en el punto 2 del artículo 18 de esta Ley.”</w:t>
      </w:r>
    </w:p>
    <w:p w:rsidR="00D06117" w:rsidRDefault="00D06117" w:rsidP="00D06117">
      <w:pPr>
        <w:pStyle w:val="TextoNormal"/>
      </w:pPr>
    </w:p>
    <w:p w:rsidR="00D06117" w:rsidRDefault="00D06117" w:rsidP="00D06117">
      <w:pPr>
        <w:pStyle w:val="TextoNormal"/>
      </w:pPr>
      <w:r>
        <w:t>En este caso el reproche al precepto autonómico reside, de nuevo, en la falta de respeto a la normativa estatal básica que prevé limitaciones horarias especiales para los establecimientos situados en zonas de gran afluencia turística. Aquí, la norma básica que, en su caso, ha de operar como parámetro de constitucionalidad de las autonómicas impugnadas es el art. 5 de la Ley 1/2004 que, al referirse a los establecimientos con régimen especial de horarios, dispone, en su apartado primero, que los ubicados en zonas de gran afluencia turística “tendrán plena libertad para determinar los días y horas que permanecerán abiertos al público en todo el territorio nacional”, mientras que según su apartado 5 “[l]a determinación de zonas turísticas a las que se refiere el punto 1 de este artículo, así como los períodos a que se circunscribe la aplicación de la libertad de apertura en las mismas, corresponderá a cada Comunidad Autónoma para su respectivo ámbito territorial.”</w:t>
      </w:r>
    </w:p>
    <w:p w:rsidR="00D06117" w:rsidRDefault="00D06117" w:rsidP="00D06117">
      <w:pPr>
        <w:pStyle w:val="TextoNormal"/>
      </w:pPr>
    </w:p>
    <w:p w:rsidR="00D06117" w:rsidRDefault="00D06117" w:rsidP="00D06117">
      <w:pPr>
        <w:pStyle w:val="TextoNormal"/>
      </w:pPr>
      <w:r>
        <w:t>Respecto al carácter básico del apartado 1 del art. 5 de la Ley estatal 1/2004, en cuanto establece la libertad de horarios para los establecimientos situados en zonas de gran afluencia turística, nos hemos pronunciado ya en la STC 88/2010, de 15 de noviembre, a la lectura de cuyo fundamento jurídico 5 nos remitimos, estimando que dicha libertad había de considerarse una norma básica legítimamente dictada al amparo del art. 149.1.13 CE.</w:t>
      </w:r>
    </w:p>
    <w:p w:rsidR="00D06117" w:rsidRDefault="00D06117" w:rsidP="00D06117">
      <w:pPr>
        <w:pStyle w:val="TextoNormal"/>
      </w:pPr>
    </w:p>
    <w:p w:rsidR="00D06117" w:rsidRDefault="00D06117" w:rsidP="00D06117">
      <w:pPr>
        <w:pStyle w:val="TextoNormal"/>
      </w:pPr>
      <w:r>
        <w:t>Partiendo entonces del carácter básico de la libertad de horarios para los establecimientos comerciales localizados en las denominadas zonas de gran afluencia turística resulta que los incisos cuestionados de los arts. 21.1 b) y 22 de la Ley 11/2001 establecían restricciones al régimen de libertad de horarios proclamado por la normativa básica estatal, lo cual suponía, por tanto, un exceso del legislador autonómico en el ejercicio de su competencia estatutaria en materia de comercio interior, que ha de conllevar, en este punto, la declaración de inconstitucionalidad de ambos incisos por contravenir el orden constitucional de distribución de competencias. Asimismo, en el caso del inciso cuestionado del art. 22, su inconstitucionalidad deriva igualmente de remitirse expresamente a un precepto, el art. 18.2, que ya hemos declarado contrario al orden constitucional de distribución de competencias en su pretensión de establecer un horario diario máximo de apertura de los establecimientos comerciales.</w:t>
      </w:r>
    </w:p>
    <w:p w:rsidR="00D06117" w:rsidRDefault="00D06117" w:rsidP="00D06117">
      <w:pPr>
        <w:pStyle w:val="TextoNormal"/>
      </w:pPr>
    </w:p>
    <w:p w:rsidR="00D06117" w:rsidRDefault="00D06117" w:rsidP="00D06117">
      <w:pPr>
        <w:pStyle w:val="TextoNormal"/>
      </w:pPr>
      <w:r w:rsidRPr="00D06117">
        <w:rPr>
          <w:rStyle w:val="NumeroAFNegritaCaracter"/>
        </w:rPr>
        <w:t>10</w:t>
      </w:r>
      <w:r>
        <w:t>. Procede examinar ahora la impugnada letra a) del art. 27, la cual dispone:</w:t>
      </w:r>
    </w:p>
    <w:p w:rsidR="00D06117" w:rsidRDefault="00D06117" w:rsidP="00D06117">
      <w:pPr>
        <w:pStyle w:val="TextoNormal"/>
      </w:pPr>
    </w:p>
    <w:p w:rsidR="00D06117" w:rsidRDefault="00D06117" w:rsidP="00D06117">
      <w:pPr>
        <w:pStyle w:val="TextoNormal"/>
      </w:pPr>
      <w:r>
        <w:t>“Artículo 27. Venta de saldos</w:t>
      </w:r>
    </w:p>
    <w:p w:rsidR="00D06117" w:rsidRDefault="00D06117" w:rsidP="00D06117">
      <w:pPr>
        <w:pStyle w:val="TextoNormal"/>
      </w:pPr>
    </w:p>
    <w:p w:rsidR="00D06117" w:rsidRDefault="00D06117" w:rsidP="00D06117">
      <w:pPr>
        <w:pStyle w:val="TextoNormal"/>
      </w:pPr>
      <w:r>
        <w:t>De conformidad con los artículos 28 y 29 de la Ley 7/1996, de 15 de enero, de Ordenación del Comercio Minorista, en esta modalidad de venta deberán cumplirse las siguientes determinaciones:</w:t>
      </w:r>
    </w:p>
    <w:p w:rsidR="00D06117" w:rsidRDefault="00D06117" w:rsidP="00D06117">
      <w:pPr>
        <w:pStyle w:val="TextoNormal"/>
      </w:pPr>
    </w:p>
    <w:p w:rsidR="00D06117" w:rsidRDefault="00D06117" w:rsidP="00D06117">
      <w:pPr>
        <w:pStyle w:val="TextoNormal"/>
      </w:pPr>
      <w:r>
        <w:t>a) En las Illes Balears quedan prohibidos los establecimientos comerciales dedicados de forma exclusiva a la venta de saldos.”</w:t>
      </w:r>
    </w:p>
    <w:p w:rsidR="00D06117" w:rsidRDefault="00D06117" w:rsidP="00D06117">
      <w:pPr>
        <w:pStyle w:val="TextoNormal"/>
      </w:pPr>
    </w:p>
    <w:p w:rsidR="00D06117" w:rsidRDefault="00D06117" w:rsidP="00D06117">
      <w:pPr>
        <w:pStyle w:val="TextoNormal"/>
      </w:pPr>
      <w:r>
        <w:t>En este caso se imputa al precepto invadir la competencia estatal en materia de libre concurrencia en el mercado al prohibir taxativamente la dedicación en exclusiva de un establecimiento comercial a la venta de saldos. Conforme al criterio ya expuesto, para resolver acerca del respeto de la norma autonómica al sistema constitucional de reparto de competencias, debemos tener presente la delimitación competencial que resulta de lo dispuesto en el art. 30.42 del Estatuto de Autonomía de las Illes Balears, aprobado por la Ley Orgánica 1/2007, de 28 de febrero según el cual la Comunidad Autónoma ostenta competencia exclusiva en relación con la “ordenación de la actividad comercial” y con la determinación de las “modalidades de venta, sin perjuicio de la legislación mercantil” así como respecto a “promoción de la competencia en el ámbito autonómico, sin perjuicio de la legislación estatal y europea”, previsiones todas ellas enmarcadas en la general relativa a la competencia autonómica exclusiva en materia de comercio interior, “sin perjuicio de lo dispuesto en los artículos 38, 131 y en los números 11 y 13 del apartado 1 artículo 149 de la Constitución” así como la relativa a defensa de los consumidores y de los usuarios, “en el marco de las bases y la ordenación de la actividad económica general y en el marco de las bases y la coordinación general de la sanidad, en los términos de lo dispuesto en los artículos 38, 131 y en los números 11, 13 y 16 del apartado 1 del artículo 149 de la Constitución”, competencias todas ellas, cuyo carácter exclusivo se entiende “sin perjuicio de lo dispuesto en el artículo 149.1 de la Constitución” según el inciso inicial del art. 30 del texto estatutario.</w:t>
      </w:r>
    </w:p>
    <w:p w:rsidR="00D06117" w:rsidRDefault="00D06117" w:rsidP="00D06117">
      <w:pPr>
        <w:pStyle w:val="TextoNormal"/>
      </w:pPr>
    </w:p>
    <w:p w:rsidR="00D06117" w:rsidRDefault="00D06117" w:rsidP="00D06117">
      <w:pPr>
        <w:pStyle w:val="TextoNormal"/>
      </w:pPr>
      <w:r>
        <w:t>A este respecto, podemos descartar ya que con la prohibición que examinamos se afecte a la competencia del Estado relativa a la legislación mercantil (art. 149.1.6 CE), porque el precepto impugnado no pretende regular las relaciones jurídico-privadas de los empresarios mercantiles o comerciantes en cuanto tales, ni las condiciones generales de contratación o, en principio, los derechos y obligaciones que afectan a la actividad libre del empresario mercantil. Así, la emanación de regulaciones administrativas que disciplinen determinadas modalidades de venta no supone introducir una innovación en el seno de los derechos obligaciones en el marco de las relaciones contractuales privadas pues hemos afirmado en varias ocasiones que las Comunidades Autónomas son competentes para la emanación de regulaciones administrativas que disciplinen determinadas modalidades de venta, en concreto, la venta de saldos, ya que así lo permite su competencia para la protección de consumidores y usuarios [véanse por todas las SSTC 88/1986, de 1 de julio, FJ 8 g); 62/1991, de 22 de marzo, FJ 4 a); y 228/1993, de 9 de julio, FJ 6].</w:t>
      </w:r>
    </w:p>
    <w:p w:rsidR="00D06117" w:rsidRDefault="00D06117" w:rsidP="00D06117">
      <w:pPr>
        <w:pStyle w:val="TextoNormal"/>
      </w:pPr>
    </w:p>
    <w:p w:rsidR="00D06117" w:rsidRDefault="00D06117" w:rsidP="00D06117">
      <w:pPr>
        <w:pStyle w:val="TextoNormal"/>
      </w:pPr>
      <w:r>
        <w:t xml:space="preserve">También en pronunciamientos anteriores hemos diferenciado las medidas cuyo fundamento estriba en la defensa de la competencia de aquellas otras que persiguen la protección de los consumidores y usuarios, aspectos ambos relacionados con la ordenación del comercio. Así en la STC 228/1993, de 9 de julio, FJ 5, señalamos la necesidad de atender al objetivo predominante del precepto en función de si el mismo incide en el plano de la situación de las empresas en su actuación en el mercado en relación con otras empresas o si incide </w:t>
      </w:r>
      <w:r>
        <w:lastRenderedPageBreak/>
        <w:t>más bien en la actuación de la empresa frente a los consumidores. Con arreglo a tal criterio diferenciamos entre defensa de la competencia entendida como “la regulación de la situación recíproca de las Empresas productoras o distribuidoras en el mercado, en el plano horizontal, en cuanto que los sujetos a considerar, es decir las Empresas, compiten en una situación que se quiere de igualdad en el mercado”, añadiendo que la defensa de los consumidores “hace referencia a una situación distinta, en tanto que el consumidor aparece como destinatario de unos productos ofrecidos por las Empresas, productos cuyas condiciones de oferta se pretende regular protegiendo como indica el artículo 51 CE.”. Así, hemos precisado que cuando dicha reglamentación afecta al régimen de competencia entre los ofertantes, y aspira a prevenir o evitar el excesivo recurso a este tipo de ventas, las normas correspondientes no tienen otro encaje competencial que el de la propia defensa de la competencia [SSTC 88/1986, de 1 de julio, FJ 8 d); 148/1992, de 16 de octubre, FJ 2; y 228/1993, de 9 de julio, FJ 6]. Esta última materia no está expresamente atribuida al Estado por la Constitución pero su relevancia para la libertad de empresa en el marco de la economía y unidad de mercado han llevado a este Tribunal a reconocer que la competencia estatal de bases y ordenación de la actividad económica (art. 149.1.13 CE) se proyecta sobre ella (por todas, STC 208/1999, de 11 de noviembre, FJ 6) de forma que, en tanto que nos hallamos ante un elemento definitorio del mercado, corresponde al Estado ex art. 149.1.13 CE no sólo la normación, sino todas las actividades ejecutivas que determinen la configuración real del mercado único de ámbito nacional.</w:t>
      </w:r>
    </w:p>
    <w:p w:rsidR="00D06117" w:rsidRDefault="00D06117" w:rsidP="00D06117">
      <w:pPr>
        <w:pStyle w:val="TextoNormal"/>
      </w:pPr>
    </w:p>
    <w:p w:rsidR="00D06117" w:rsidRDefault="00D06117" w:rsidP="00D06117">
      <w:pPr>
        <w:pStyle w:val="TextoNormal"/>
      </w:pPr>
      <w:r>
        <w:t>Podemos adelantar, respecto de la regulación autonómica que nos ocupa, que la misma se sitúa más en el ámbito de la defensa de la competencia que en el de la protección de los consumidores y usuarios. Es cierto que en la STC 124/2003, de 19 de junio (FJ 5), hemos considerado que la regulación de Derecho público relativa a la venta de saldos queda incluida de modo natural en las competencias autonómicas en materia de comercio interior y de protección del consumidor y usuario. Ahora bien, el presente caso posee sustanciales diferencias con el resuelto en aquella Sentencia ya que no se trata de una regulación administrativa aplicable a una modalidad de venta previamente definida por el Estado. La norma autonómica examinada aquí no disciplina una determinada modalidad de venta promocional sino que pretende excluir que los comerciantes recurran a la misma en el concreto supuesto que regula, es decir el precepto no prohíbe una determinada modalidad de venta, la de saldos en este caso, sino que el establecimiento comercial pueda dedicarse en exclusiva a este tipo de venta. Se trata así de un modo de intervención pública en el comercio que pretende ordenar el mercado mediante lo que supone una restricción a la libertad de empresa, en cuanto que impide la existencia de un formato comercial determinado, condicionando el libre ejercicio de la libertad comercial impidiendo que los comerciantes se dediquen plenamente a esta actividad en la medida en que se les impone el necesario desempeño simultáneo de otras actividades comerciales.</w:t>
      </w:r>
    </w:p>
    <w:p w:rsidR="00D06117" w:rsidRDefault="00D06117" w:rsidP="00D06117">
      <w:pPr>
        <w:pStyle w:val="TextoNormal"/>
      </w:pPr>
    </w:p>
    <w:p w:rsidR="00D06117" w:rsidRDefault="00D06117" w:rsidP="00D06117">
      <w:pPr>
        <w:pStyle w:val="TextoNormal"/>
      </w:pPr>
      <w:r>
        <w:t xml:space="preserve">Teniendo en todo caso presente la necesidad de valorar la proporcionalidad entre la restricción administrativa que se introduce a la libre concurrencia comercial en el precepto examinado y el objetivo de protección de los consumidores de la Comunidad Autónoma que el mismo persigue, de suerte que las diferencias y peculiaridades previstas resulten adecuadas y justificadas por su fin, la restricción contenida en el precepto no puede ser calificada como proporcionada ni justificada en el ejercicio de las competencias autonómicas sobre comercio interior o defensa de los consumidores. La medida examinada no puede entenderse </w:t>
      </w:r>
      <w:r>
        <w:lastRenderedPageBreak/>
        <w:t>sino encaminada a evitar la existencia de un tipo de formato comercial que, por sus características, podría ser objeto de la preferente atracción de los consumidores. Así, en cuanto que dicha reglamentación afecta al régimen de competencia entre los ofertantes y aspira, como aquí ocurre, a evitar la existencia de un formato comercial determinado, las normas correspondientes no tienen otro encaje competencial que el de la propia defensa de la competencia, con la consecuencia de que su adopción, corresponde, en principio, al Estado dentro de la legislación relativa a la regulación de las condiciones de competencia en el mercado ex art. 149.1.13 CE y, por ello, debe ser declarada inconstitucional y, por tanto, nula.</w:t>
      </w:r>
    </w:p>
    <w:p w:rsidR="00D06117" w:rsidRDefault="00D06117" w:rsidP="00D06117">
      <w:pPr>
        <w:pStyle w:val="TextoNormal"/>
      </w:pPr>
    </w:p>
    <w:p w:rsidR="00D06117" w:rsidRDefault="00D06117" w:rsidP="00D06117">
      <w:pPr>
        <w:pStyle w:val="TextoNormal"/>
      </w:pPr>
      <w:r>
        <w:t>La conclusión anteriormente alcanzada no se ve enervada por el hecho de que, como ya hemos señalado, la Comunidad Autónoma ostente competencias en materia de promoción de la competencia en el ámbito autonómico. Como fácilmente se desprende del tenor de la disposición enjuiciada, la misma no persigue mejorar o incrementar las condiciones de competencia en el sector de la distribución comercial sino, al impedir la existencia de un formato comercial específico, limitar el libre ejercicio de la actividad mercantil en el ámbito del comercio. Además, conforme al propio Estatuto de Autonomía, la citada competencia se ejerce sin perjuicio de la legislación estatal y europea y se enmarca en la más genérica relativa a la competencia autonómica exclusiva en materia de comercio interior, “sin perjuicio de lo dispuesto en los artículos 38, 131 y en los números 11 y 13 del artículo 149 de la Constitución”, precepto este último salvaguardado expresamente por el texto estatutario y en el que encuentran amparo las decisiones que, por su carácter conformador del mercado, en este caso de la distribución comercial, han de ser adoptadas por el Estado en uso de las competencias normativas que le corresponden ex art. 149.1.13 CE.</w:t>
      </w:r>
    </w:p>
    <w:p w:rsidR="00D06117" w:rsidRDefault="00D06117" w:rsidP="00D06117">
      <w:pPr>
        <w:pStyle w:val="TextoNormal"/>
      </w:pPr>
    </w:p>
    <w:p w:rsidR="00D06117" w:rsidRDefault="00D06117" w:rsidP="00D06117">
      <w:pPr>
        <w:pStyle w:val="TextoNormal"/>
      </w:pPr>
      <w:r>
        <w:t>En suma, por lo expuesto el art. 27 a) es inconstitucional y nulo.</w:t>
      </w:r>
    </w:p>
    <w:p w:rsidR="00D06117" w:rsidRDefault="00D06117" w:rsidP="00D06117">
      <w:pPr>
        <w:pStyle w:val="TextoNormal"/>
      </w:pPr>
    </w:p>
    <w:p w:rsidR="00D06117" w:rsidRDefault="00D06117" w:rsidP="00D06117">
      <w:pPr>
        <w:pStyle w:val="TextoNormal"/>
      </w:pPr>
      <w:r w:rsidRPr="00D06117">
        <w:rPr>
          <w:rStyle w:val="NumeroAFNegritaCaracter"/>
        </w:rPr>
        <w:t>11</w:t>
      </w:r>
      <w:r>
        <w:t>. Enjuiciaremos ahora el art. 28, el cual dispone lo siguiente:</w:t>
      </w:r>
    </w:p>
    <w:p w:rsidR="00D06117" w:rsidRDefault="00D06117" w:rsidP="00D06117">
      <w:pPr>
        <w:pStyle w:val="TextoNormal"/>
      </w:pPr>
    </w:p>
    <w:p w:rsidR="00D06117" w:rsidRDefault="00D06117" w:rsidP="00D06117">
      <w:pPr>
        <w:pStyle w:val="TextoNormal"/>
      </w:pPr>
      <w:r>
        <w:t>“Artículo 28. Limitación de ventas</w:t>
      </w:r>
    </w:p>
    <w:p w:rsidR="00D06117" w:rsidRDefault="00D06117" w:rsidP="00D06117">
      <w:pPr>
        <w:pStyle w:val="TextoNormal"/>
      </w:pPr>
    </w:p>
    <w:p w:rsidR="00D06117" w:rsidRDefault="00D06117" w:rsidP="00D06117">
      <w:pPr>
        <w:pStyle w:val="TextoNormal"/>
      </w:pPr>
      <w:r>
        <w:t>Se prohíbe la actividad de promoción de ventas, en cualquiera de sus manifestaciones, dos meses antes de las dos temporadas anuales autorizadas para la venta en rebajas, con la excepción de aquellos establecimientos que tradicionalmente no se acogen a las temporadas de rebajas.”</w:t>
      </w:r>
    </w:p>
    <w:p w:rsidR="00D06117" w:rsidRDefault="00D06117" w:rsidP="00D06117">
      <w:pPr>
        <w:pStyle w:val="TextoNormal"/>
      </w:pPr>
    </w:p>
    <w:p w:rsidR="00D06117" w:rsidRDefault="00D06117" w:rsidP="00D06117">
      <w:pPr>
        <w:pStyle w:val="TextoNormal"/>
      </w:pPr>
      <w:r>
        <w:t>Teniendo en cuenta que, respecto de este precepto el conflicto competencial gira en torno a si la regulación autonómica incide o no en la concurrencia de comerciantes en el mercado, inscribiéndose materialmente en la “defensa de la competencia” cuya regulación correspondería en exclusiva al Estado, no podemos olvidar que, por lo que hace a las normas que, como la transcrita, limitan el libre ejercicio de la actividad mercantil a través del establecimiento de un marco temporal imperativo para el desarrollo de específicas modalidades de ventas, ya hemos dicho en varios pronunciamientos que deben considerarse integradas en las normas que velan por la defensa de la competencia (por todas, STC 106/2009, de 4 de mayo, FJ 2). Esta doctrina, contenida ya en las SSTC 88/1986, de 1 de julio, FJ 8 e), y 148/1992, de 16 de octubre, FJ 2, ha sido desarrollada en las SSTC 228/1993, de 9 de julio, FJ 6, y 157/2004, de 21 de septiembre, FJ 9, para fundamentar la inconstitucionalidad de diversas normas de las Leyes reguladoras del comercio en Galicia y Navarra que, como en el presente supuesto, contenían límites temporales a determinadas modalidades de ventas.</w:t>
      </w:r>
    </w:p>
    <w:p w:rsidR="00D06117" w:rsidRDefault="00D06117" w:rsidP="00D06117">
      <w:pPr>
        <w:pStyle w:val="TextoNormal"/>
      </w:pPr>
    </w:p>
    <w:p w:rsidR="00D06117" w:rsidRDefault="00D06117" w:rsidP="00D06117">
      <w:pPr>
        <w:pStyle w:val="TextoNormal"/>
      </w:pPr>
      <w:r>
        <w:t>La aplicación de esta doctrina, según la cual la finalidad de las normas que limitan temporalmente ciertas modalidades de venta no es la protección de los consumidores sino el garantizar la libre competencia entre los comerciantes, nos lleva a estimar la presente impugnación. En efecto, basta comprobar que la norma impugnada prohíbe cualquier actividad de promoción de ventas dos meses antes de las dos temporadas autorizadas para la venta en rebajas para concluir que se trata de una actividad de limitación de ventas que, aun cuando pudiera afectar a los consumidores, tiene como finalidad principal evitar que la concurrencia entre los empresarios en el mercado quede rota por el uso de unas ofertas que aspiran a atraer a los consumidores. En la medida, por tanto, en que se trata de una regulación que afecta sobre todo a la relación horizontal entre las empresas en una economía de libre mercado, y no a la situación del consumidor como destinatario de los productos producidos por las mismas, su aprobación corresponde al Estado en virtud del art. 149.1.13 CE. Esta conclusión tampoco puede ser alterada por el entendimiento de que una regulación como la enjuiciada podría encontrar amparo en la competencia autonómica en materia de promoción de la competencia en el ámbito autonómico del art. 30.42 del Estatuto de Autonomía pues ya hemos indicado que dicha atribución de competencias salvaguarda expresamente la legislación estatal en la materia, así como que la misma ha de entenderse sin perjuicio de las competencias estatales, entre las que se encuentran las derivadas del art. 149.1.13 CE que son las aquí violentadas.</w:t>
      </w:r>
    </w:p>
    <w:p w:rsidR="00D06117" w:rsidRDefault="00D06117" w:rsidP="00D06117">
      <w:pPr>
        <w:pStyle w:val="TextoNormal"/>
      </w:pPr>
    </w:p>
    <w:p w:rsidR="00D06117" w:rsidRDefault="00D06117" w:rsidP="00D06117">
      <w:pPr>
        <w:pStyle w:val="TextoNormal"/>
      </w:pPr>
      <w:r>
        <w:t>Por todo ello, hay que concluir que el art. 28 de la Ley 11/2001 es inconstitucional y nulo por invadir las competencias que corresponden al Estado.</w:t>
      </w:r>
    </w:p>
    <w:p w:rsidR="00D06117" w:rsidRDefault="00D06117" w:rsidP="00D06117">
      <w:pPr>
        <w:pStyle w:val="TextoNormal"/>
      </w:pPr>
    </w:p>
    <w:p w:rsidR="00D06117" w:rsidRDefault="00D06117" w:rsidP="00D06117">
      <w:pPr>
        <w:pStyle w:val="TextoNormal"/>
      </w:pPr>
      <w:r w:rsidRPr="00D06117">
        <w:rPr>
          <w:rStyle w:val="NumeroAFNegritaCaracter"/>
        </w:rPr>
        <w:t>12</w:t>
      </w:r>
      <w:r>
        <w:t>. El siguiente precepto impugnado es el art 35.2, el cual al regular la denominada venta a pérdidas, previamente prohibidas por el apartado primero del mismo precepto en los términos establecidos en el artículo 14 de la Ley 7/1996, de ordenación del comercio minorista, dispone:</w:t>
      </w:r>
    </w:p>
    <w:p w:rsidR="00D06117" w:rsidRDefault="00D06117" w:rsidP="00D06117">
      <w:pPr>
        <w:pStyle w:val="TextoNormal"/>
      </w:pPr>
    </w:p>
    <w:p w:rsidR="00D06117" w:rsidRDefault="00D06117" w:rsidP="00D06117">
      <w:pPr>
        <w:pStyle w:val="TextoNormal"/>
      </w:pPr>
      <w:r>
        <w:t>“Artículo 35. Concepto y características.</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t>2. Se considerará que existe venta a pérdidas cuando el precio de venta sea inferior al precio de adquisición del producto, más el coste del flete, más la parte alícuota del gasto general del establecimiento, más el beneficio comercial.”</w:t>
      </w:r>
    </w:p>
    <w:p w:rsidR="00D06117" w:rsidRDefault="00D06117" w:rsidP="00D06117">
      <w:pPr>
        <w:pStyle w:val="TextoNormal"/>
      </w:pPr>
    </w:p>
    <w:p w:rsidR="00D06117" w:rsidRDefault="00D06117" w:rsidP="00D06117">
      <w:pPr>
        <w:pStyle w:val="TextoNormal"/>
      </w:pPr>
      <w:r>
        <w:t>Es claro que, como afirma el Abogado del Estado en su escrito de alegaciones respecto de la normativa entonces vigente, el precepto impugnado establece un concepto de lo que denomina venta a pérdidas que se separa sustancialmente del establecido en el art. 14 de la Ley de ordenación del comercio minorista, cuyo apartado 2 dispone que “se considerará que existe venta con pérdida, cuando el precio aplicado a un producto sea inferior al de adquisición según factura, deducida la parte proporcional de los descuentos que figuren en la misma, o al de reposición si éste fuese inferior a aquél o al coste efectivo de producción si el artículo hubiese sido fabricado por el propio comerciante, incrementados, en las cuotas de los impuestos indirectos que graven la operación”. De acuerdo con la disposición final única, este art. 14 de la Ley 7/1996 se ampara en la competencia exclusiva del Estado para regular el Derecho mercantil de la competencia (art. 149.1.6 CE).</w:t>
      </w:r>
    </w:p>
    <w:p w:rsidR="00D06117" w:rsidRDefault="00D06117" w:rsidP="00D06117">
      <w:pPr>
        <w:pStyle w:val="TextoNormal"/>
      </w:pPr>
    </w:p>
    <w:p w:rsidR="00D06117" w:rsidRDefault="00D06117" w:rsidP="00D06117">
      <w:pPr>
        <w:pStyle w:val="TextoNormal"/>
      </w:pPr>
      <w:r>
        <w:t>A este respecto en la STC 124/2003, FJ 5, confirmamos el criterio ya sentado en las anteriores SSTC 88/1986, FJ 8, y 264/1993, FJ 4 b), señalando que la genérica prohibición de la venta con pérdidas del art. 14.1 había de entenderse establecida en virtud de las competencias estatales sobre defensa de la competencia. La delimitación de lo que haya de entenderse como venta a pérdida se relaciona también, en la medida en que supone un límite a la misma, con la libertad en la determinación de los precios de venta de los artículos, aspecto éste consagrado por el Estado en el art. 13 de la Ley 7/1996, de ordenación del comercio minorista. Por ello no resulta exorbitante entender que el mismo título habilita al Estado para establecer el concepto a partir del cual se aplica la prohibición general de las ventas a pérdida que la propia norma consagra pues también esa definición incide en el plano de la actuación en el mercado de los comerciantes en su relación con otros, así como afecta también a los supuestos en los que, por vía de excepción, se consagra la licitud de la venta con pérdida. Así, las diferencias de concepto existentes en la definición necesaria para delimitar una determinada práctica comercial prohibida conculcan las competencias estatales en cuanto éstas regulan un aspecto de la ordenación del mercado que afecta a la libre concurrencia de los comerciantes.</w:t>
      </w:r>
    </w:p>
    <w:p w:rsidR="00D06117" w:rsidRDefault="00D06117" w:rsidP="00D06117">
      <w:pPr>
        <w:pStyle w:val="TextoNormal"/>
      </w:pPr>
    </w:p>
    <w:p w:rsidR="00D06117" w:rsidRDefault="00D06117" w:rsidP="00D06117">
      <w:pPr>
        <w:pStyle w:val="TextoNormal"/>
      </w:pPr>
      <w:r>
        <w:t>Por otro lado, también desde la perspectiva de la competencia estatal sobre legislación mercantil (art. 149.1.6 CE), es posible considerar que esta prohibición general de las ventas a pérdida incurre en un exceso competencial, pues dichas prácticas ponen en riesgo no sólo la concurrencia de otros competidores en beneficio de los consumidores sino también la correcta y adecuada formación del consentimiento contractual de éstos en relación con el nivel de precios de los productos ofertados por los empresarios, persiguiendo que su consentimiento contractual se forme correctamente a salvo de prácticas que implican un conocimiento equivocado de uno de los elementos presupuesto de su decisión como es el precio de los productos ofertados. En tal sentido, en cuanto la definición del concepto de venta con pérdida afecta a uno de los elementos de las relaciones contractuales de los particulares, incide en la regulación mercantil de las transacciones comerciales con el consiguiente encaje en las competencias estatales en la materia.</w:t>
      </w:r>
    </w:p>
    <w:p w:rsidR="00D06117" w:rsidRDefault="00D06117" w:rsidP="00D06117">
      <w:pPr>
        <w:pStyle w:val="TextoNormal"/>
      </w:pPr>
    </w:p>
    <w:p w:rsidR="00D06117" w:rsidRDefault="00D06117" w:rsidP="00D06117">
      <w:pPr>
        <w:pStyle w:val="TextoNormal"/>
      </w:pPr>
      <w:r>
        <w:t>En cuanto a la alegada aplicación de la competencia exclusiva autonómica sobre defensa de los consumidores y de los usuarios (art. 30.47 del Estatuto de Autonomía), ha de tenerse presente que esa competencia está acotada por referencia a otras estatales (así, art. 149.1.11, 13 y 16 CE) como, por otra parte, se desprende de su tenor literal. Conforme a ello, en el propio precepto se contempla la concurrencia de competencias estatales específicas al ordenar que su ejercicio habrá de realizarse, en el marco de las bases y la ordenación de la actividad económica general y en el marco de las bases y la coordinación general de la sanidad, en los términos de lo dispuesto en los artículos 38, 131 y en los números 11, 13 y 16 del apartado 1 del artículo 149 de la Constitución. Todo lo cual perfila la antedicha competencia de la Comunidad Autónoma en materia de defensa del consumidor dentro de un marco y unos límites determinados por otras tantas competencias del Estado, a cuyas bases y regulación ha de atemperarse el ejercicio de la competencia autonómica.</w:t>
      </w:r>
    </w:p>
    <w:p w:rsidR="00D06117" w:rsidRDefault="00D06117" w:rsidP="00D06117">
      <w:pPr>
        <w:pStyle w:val="TextoNormal"/>
      </w:pPr>
    </w:p>
    <w:p w:rsidR="00D06117" w:rsidRDefault="00D06117" w:rsidP="00D06117">
      <w:pPr>
        <w:pStyle w:val="TextoNormal"/>
      </w:pPr>
      <w:r>
        <w:t>Ciertamente la prohibición de la práctica comercial consistente en la venta con pérdida no es ajena a la protección de los consumidores, a los que de este modo se garantizaría el ya aludido nivel adecuado de los comerciantes que les ofrecieran sus productos. Sin em</w:t>
      </w:r>
      <w:r>
        <w:lastRenderedPageBreak/>
        <w:t>bargo lo anterior pone ya de manifiesto que no se trata de una medida de carácter administrativo tendente a la protección del consumidor sino que lo perseguido con la interdicción de este práctica es garantizar la competencia libre y leal entre comerciantes, esto es, persigue la ordenación de la concurrencia de los comerciantes en el mercado, evitando, por un lado, prácticas susceptibles de poner en peligro su normal funcionamiento mediante el recurso a este tipo de ventas, y por otro, la alteración de un aspecto tan importante de las relaciones mercantiles como es el precio de los productos que se ofertan. Ambos extremos determinan que su definición corresponda al Estado y la consiguiente inconstitucionalidad y nulidad del precepto autonómico.</w:t>
      </w:r>
    </w:p>
    <w:p w:rsidR="00D06117" w:rsidRDefault="00D06117" w:rsidP="00D06117">
      <w:pPr>
        <w:pStyle w:val="TextoNormal"/>
      </w:pPr>
    </w:p>
    <w:p w:rsidR="00D06117" w:rsidRDefault="00D06117" w:rsidP="00D06117">
      <w:pPr>
        <w:pStyle w:val="TextoNormal"/>
      </w:pPr>
      <w:r w:rsidRPr="00D06117">
        <w:rPr>
          <w:rStyle w:val="NumeroAFNegritaCaracter"/>
        </w:rPr>
        <w:t>13</w:t>
      </w:r>
      <w:r>
        <w:t>. El último precepto objeto del presente recurso es el art 54.1, impugnado por omitir la reincidencia como elemento de graduación de las sanciones previstas en la Ley 11/2001. Para el Abogado del Estado dicha omisión suponía una reducción del rigor en la aplicación de las sanciones, vedado por la doctrina constitucional, así como una vulneración de las competencias estatales a cuyo amparo se ha establecido el régimen sancionador en materia de comercio. En respuesta a tal alegación no cabe sino recordar que la misma encuentra respuesta en la doctrina que este Tribunal ha establecido, entre otras, en la STC 157/2004, de 21 de septiembre, (FJ 16) en la que tras afirmar el carácter básico de la regulación de la reincidencia contenida en el art. 67 de la Ley 7/1996 ex arts. 149.1.1 y 18 CE señalamos:</w:t>
      </w:r>
    </w:p>
    <w:p w:rsidR="00D06117" w:rsidRDefault="00D06117" w:rsidP="00D06117">
      <w:pPr>
        <w:pStyle w:val="TextoNormal"/>
      </w:pPr>
    </w:p>
    <w:p w:rsidR="00D06117" w:rsidRDefault="00D06117" w:rsidP="00D06117">
      <w:pPr>
        <w:pStyle w:val="TextoNormal"/>
      </w:pPr>
      <w:r>
        <w:t>“la norma básica estatal contenida en el art. 69.1 de la Ley 7/1996 se limita a prescribir que las sanciones se graduarán teniendo en cuenta, entre otros elementos, el de la ‘reincidencia’, sin ninguna otra concreción, salvo asegurar que la sanción impuesta con arreglo a dichos elementos no supere determinados porcentajes de la facturación de los comerciantes (art. 69.2).</w:t>
      </w:r>
    </w:p>
    <w:p w:rsidR="00D06117" w:rsidRDefault="00D06117" w:rsidP="00D06117">
      <w:pPr>
        <w:pStyle w:val="TextoNormal"/>
      </w:pPr>
    </w:p>
    <w:p w:rsidR="00D06117" w:rsidRDefault="00D06117" w:rsidP="00D06117">
      <w:pPr>
        <w:pStyle w:val="TextoNormal"/>
      </w:pPr>
      <w:r>
        <w:t>Pues bien, partiendo del principio funcional propio de la normativa básica, podemos fácilmente advertir que el legislador básico ha querido, simplemente, garantizar que en todo el territorio nacional resulten sancionados con mayor intensidad quienes hayan reincidido en la comisión de alguna infracción que aquellos que no lo han hecho, sin imponer a las Comunidades Autónomas ninguna modalidad técnica en cuanto a la concreción de la sanción que de ello debe seguirse, salvo el aludido tope regulado en el art. 69.2 de la Ley 7/1996. Ello quiere decir que las Comunidades Autónomas pueden optar, en el libre ejercicio de sus competencias, entre diversas técnicas para dar cumplimiento al mandato básico. Es claro que una de esas técnicas puede ser la aplicación al reincidente de multas más elevadas dentro de los parámetros correspondientes a cada tipo de infracción según su mayor o menor gravedad. Pero nada impide, y desde luego no lo hace el art. 69.1 de la Ley 7/1996, que la Comunidad Foral de Navarra decida que en su territorio la ponderación de la reincidencia en la comisión de infracciones se realice a través de la propia tipificación de éstas, configurando un tipo específico del modo en que se realiza por los arts. 69.3 l) y 69.4 e) de la Ley Foral 17/2001.”</w:t>
      </w:r>
    </w:p>
    <w:p w:rsidR="00D06117" w:rsidRDefault="00D06117" w:rsidP="00D06117">
      <w:pPr>
        <w:pStyle w:val="TextoNormal"/>
      </w:pPr>
    </w:p>
    <w:p w:rsidR="00D06117" w:rsidRDefault="00D06117" w:rsidP="00D06117">
      <w:pPr>
        <w:pStyle w:val="TextoNormal"/>
      </w:pPr>
      <w:r>
        <w:t>Lo mismo sucede en el presente caso pues la ley recurrida no ha omitido la valoración de la reincidencia en la graduación de las sanciones, sino que lo ha hecho dentro de los márgenes permitidos por la norma básica estatal a través de la configuración de tipos específicos de infracción que contemplan la reincidencia en los art 49 s) y 50 d). Por tanto ha de concluirse que el art. 54.1 de la Ley 11/2001, en su redacción inicial, no vulneraba las competencias estatales.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Estimar parcialmente el presente recurso de inconstitucionalidad y, en consecuencia:</w:t>
      </w:r>
    </w:p>
    <w:p w:rsidR="00D06117" w:rsidRDefault="00D06117" w:rsidP="00D06117">
      <w:pPr>
        <w:pStyle w:val="TextoNormal"/>
      </w:pPr>
    </w:p>
    <w:p w:rsidR="00D06117" w:rsidRDefault="00D06117" w:rsidP="00D06117">
      <w:pPr>
        <w:pStyle w:val="TextoNormal"/>
      </w:pPr>
      <w:r>
        <w:t>a) Declarar inconstitucionales y nulos los arts. 4.2; 18.2; 27 a); 28 y 35.2 de la Ley 11/2001, de 15 de junio, de ordenación de la actividad comercial en las Illes Balears.</w:t>
      </w:r>
    </w:p>
    <w:p w:rsidR="00D06117" w:rsidRDefault="00D06117" w:rsidP="00D06117">
      <w:pPr>
        <w:pStyle w:val="TextoNormal"/>
      </w:pPr>
    </w:p>
    <w:p w:rsidR="00D06117" w:rsidRDefault="00D06117" w:rsidP="00D06117">
      <w:pPr>
        <w:pStyle w:val="TextoNormal"/>
      </w:pPr>
      <w:r>
        <w:t>b) Declarar que la redacción inicial de los arts. 14.1; 21.1 b), en cuanto incluía el inciso “En todo caso, los grandes establecimientos comerciales sólo podrán abrir los domingos y festivos hasta las 16.00 horas” y 22 en cuanto incluía el inciso “Dicha exclusión no afectará a las 12 horas diarias máximas de apertura de los comercios citados en el punto 2 del artículo 18 de esta Ley”, resultaban contrarios al orden constitucional de distribución de competencias.</w:t>
      </w:r>
    </w:p>
    <w:p w:rsidR="00D06117" w:rsidRDefault="00D06117" w:rsidP="00D06117">
      <w:pPr>
        <w:pStyle w:val="TextoNormal"/>
      </w:pPr>
    </w:p>
    <w:p w:rsidR="00D06117" w:rsidRDefault="00D06117" w:rsidP="00D06117">
      <w:pPr>
        <w:pStyle w:val="TextoNormal"/>
      </w:pPr>
      <w:r>
        <w:t>2º. Desestimar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uno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0" w:name="SENTENCIA_2012_27"/>
      <w:r>
        <w:lastRenderedPageBreak/>
        <w:t>SENTENCIA 27/2012, de 1 de marzo de 2012</w:t>
      </w:r>
    </w:p>
    <w:bookmarkEnd w:id="3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ECLI:ES:TC:2012:27</w:t>
      </w:r>
    </w:p>
    <w:p w:rsidR="00D06117" w:rsidRDefault="00D06117" w:rsidP="00D06117">
      <w:pPr>
        <w:pStyle w:val="SntesisDescriptiva"/>
      </w:pPr>
    </w:p>
    <w:p w:rsidR="00D06117" w:rsidRDefault="00D06117" w:rsidP="00D06117">
      <w:pPr>
        <w:pStyle w:val="SntesisDescriptiva"/>
      </w:pPr>
      <w:r>
        <w:t>Cuestión de inconstitucionalidad 5742-2001. Planteada por la Sección Primera de la Sala de lo Contencioso-Administrativo del Tribunal Superior de Justicia de Andalucía, con sede en Sevilla, con respecto a la disposición transitoria cuarta de la Ley del Parlamento de Andalucía 8/1997, de 23 de diciembre, por la que se aprueban medidas en materia tributaria, presupuestaria, de empresas de la Junta y otras entidades, de recaudación, de contratación, de función pública y de fianzas de arrendamientos y suministros.</w:t>
      </w:r>
    </w:p>
    <w:p w:rsidR="00D06117" w:rsidRDefault="00D06117" w:rsidP="00D06117">
      <w:pPr>
        <w:pStyle w:val="SntesisDescriptiva"/>
      </w:pPr>
    </w:p>
    <w:p w:rsidR="00D06117" w:rsidRDefault="00D06117" w:rsidP="00D06117">
      <w:pPr>
        <w:pStyle w:val="SntesisAnaltica"/>
      </w:pPr>
      <w:r>
        <w:t>Derecho a la igualdad en el acceso a las funciones públicas: nulidad del precepto legal que regula el acceso a plazas de funcionarios de la Junta de Andalucía atribuyendo una valoración desproporcionada a la experiencia profesional no justificada en la excepcionalidad del procedimiento selectivo.</w:t>
      </w:r>
    </w:p>
    <w:p w:rsidR="00D06117" w:rsidRDefault="00D06117" w:rsidP="00D06117">
      <w:pPr>
        <w:pStyle w:val="SntesisAnaltica"/>
      </w:pPr>
    </w:p>
    <w:p w:rsidR="00D06117" w:rsidRDefault="00D06117" w:rsidP="00D06117">
      <w:pPr>
        <w:pStyle w:val="Extracto"/>
      </w:pPr>
      <w:r>
        <w:t>1.</w:t>
      </w:r>
      <w:r>
        <w:tab/>
        <w:t>El apartado primero de la disposición cuestionada y el Anexo, en la parte relativa a la valoración de los méritos en la fase de concurso, de la Ley del Parlamento de Andalucía 8/1997, vulneran el art. 23.2 CE al disponer una valoración desproporcionada del mérito relativo a la experiencia profesional sin que dicha desproporción pueda considerarse justificada [FJ 10].</w:t>
      </w:r>
    </w:p>
    <w:p w:rsidR="00D06117" w:rsidRDefault="00D06117" w:rsidP="00D06117">
      <w:pPr>
        <w:pStyle w:val="Extracto"/>
      </w:pPr>
    </w:p>
    <w:p w:rsidR="00D06117" w:rsidRDefault="00D06117" w:rsidP="00D06117">
      <w:pPr>
        <w:pStyle w:val="Extracto"/>
      </w:pPr>
      <w:r>
        <w:t>2.</w:t>
      </w:r>
      <w:r>
        <w:tab/>
        <w:t>El art. 23.2 CE recoge un derecho de configuración legal –cuya delimitación corresponde al legislador– y puramente reaccional, que no otorga un derecho a desempeñar determinadas funciones públicas sino que establece la posibilidad de reclamar ante los tribunales de justicia toda norma o su aplicación que vulnere la igualdad en el acceso a las funciones públicas (SSTC 10/1989, 185/1994) [FJ 5].</w:t>
      </w:r>
    </w:p>
    <w:p w:rsidR="00D06117" w:rsidRDefault="00D06117" w:rsidP="00D06117">
      <w:pPr>
        <w:pStyle w:val="Extracto"/>
      </w:pPr>
    </w:p>
    <w:p w:rsidR="00D06117" w:rsidRDefault="00D06117" w:rsidP="00D06117">
      <w:pPr>
        <w:pStyle w:val="Extracto"/>
      </w:pPr>
      <w:r>
        <w:t>3.</w:t>
      </w:r>
      <w:r>
        <w:tab/>
        <w:t>El art. 23.2 CE garantiza que las normas que regulan los procesos de acceso a las funciones públicas no establezcan diferencias entre los participantes carentes de justificación objetiva y razonable y que no sean desproporcionadas, que los requisitos de acceso y criterios de selección se dispongan en términos generales y abstractos, y además, que estén referidos a los principios de mérito y capacidad [FJ 5].</w:t>
      </w:r>
    </w:p>
    <w:p w:rsidR="00D06117" w:rsidRDefault="00D06117" w:rsidP="00D06117">
      <w:pPr>
        <w:pStyle w:val="Extracto"/>
      </w:pPr>
    </w:p>
    <w:p w:rsidR="00D06117" w:rsidRDefault="00D06117" w:rsidP="00D06117">
      <w:pPr>
        <w:pStyle w:val="Extracto"/>
      </w:pPr>
      <w:r>
        <w:t>4.</w:t>
      </w:r>
      <w:r>
        <w:tab/>
        <w:t>Para que sea constitucionalmente legítimo establecer en el acceso a las funciones públicas un proceso selectivo restringido o uno en el que se prime notoriamente un determinado mérito en relación a otros debe existir una justificación amparada en una situación excepcional, ya que en otro caso, la desigualdad de trato lesionaría el art. 23.2 CE (SSTC 67/1989, 107/2003) [FFJJ 5, 8].</w:t>
      </w:r>
    </w:p>
    <w:p w:rsidR="00D06117" w:rsidRDefault="00D06117" w:rsidP="00D06117">
      <w:pPr>
        <w:pStyle w:val="Extracto"/>
      </w:pPr>
    </w:p>
    <w:p w:rsidR="00D06117" w:rsidRDefault="00D06117" w:rsidP="00D06117">
      <w:pPr>
        <w:pStyle w:val="Extracto"/>
      </w:pPr>
      <w:r>
        <w:t>5.</w:t>
      </w:r>
      <w:r>
        <w:tab/>
        <w:t xml:space="preserve">Es constitucionalmente válida la valoración de la experiencia profesional como mérito, pues la consideración de los servicios prestados no es ajena al concepto de mérito y capacidad, ya que puede reflejar la aptitud o capacidad para desarrollar </w:t>
      </w:r>
      <w:r>
        <w:lastRenderedPageBreak/>
        <w:t>una función o empleo público y suponer además, en ese desempeño, unos méritos que pueden ser reconocidos y valorados (SSTC 67/1989, 107/2003) [FJ 6].</w:t>
      </w:r>
    </w:p>
    <w:p w:rsidR="00D06117" w:rsidRDefault="00D06117" w:rsidP="00D06117">
      <w:pPr>
        <w:pStyle w:val="Extracto"/>
      </w:pPr>
    </w:p>
    <w:p w:rsidR="00D06117" w:rsidRDefault="00D06117" w:rsidP="00D06117">
      <w:pPr>
        <w:pStyle w:val="Extracto"/>
      </w:pPr>
      <w:r>
        <w:t>6.</w:t>
      </w:r>
      <w:r>
        <w:tab/>
        <w:t>La consideración de los servicios prestados como mérito no plantea problema de igualdad y, si bien se ha reconocido que puede ser tomada en consideración para evaluar la aptitud o capacidad del aspirante, no puede llegar a convertirse en un requisito que excluya la posibilidad de concurrencia de terceros, ni tener una dimensión cuantitativa que rebase el límite de lo tolerable (SSTC 67/1989, 107/2003) [FJ 7].</w:t>
      </w:r>
    </w:p>
    <w:p w:rsidR="00D06117" w:rsidRDefault="00D06117" w:rsidP="00D06117">
      <w:pPr>
        <w:pStyle w:val="Extracto"/>
      </w:pPr>
    </w:p>
    <w:p w:rsidR="00D06117" w:rsidRDefault="00D06117" w:rsidP="00D06117">
      <w:pPr>
        <w:pStyle w:val="Extracto"/>
      </w:pPr>
      <w:r>
        <w:t>7.</w:t>
      </w:r>
      <w:r>
        <w:tab/>
        <w:t>La valoración de la experiencia profesional en la norma cuestionada debe considerarse desproporcionada al primar sensiblemente a los participantes que contaran con servicios prestados en la Administración convocante, más aun cuando la fase de concurso se establece como eliminatoria y existe una nota de corte que dificulta en exceso que los participantes sin experiencia profesional puedan acceder a la fase de oposición, fase en la que podrían tener la oportunidad de equilibrar su puntuación [FJ 8].</w:t>
      </w:r>
    </w:p>
    <w:p w:rsidR="00D06117" w:rsidRDefault="00D06117" w:rsidP="00D06117">
      <w:pPr>
        <w:pStyle w:val="Extracto"/>
      </w:pPr>
    </w:p>
    <w:p w:rsidR="00D06117" w:rsidRDefault="00D06117" w:rsidP="00D06117">
      <w:pPr>
        <w:pStyle w:val="Extracto"/>
      </w:pPr>
      <w:r>
        <w:t>8.</w:t>
      </w:r>
      <w:r>
        <w:tab/>
        <w:t>Para que un proceso selectivo, en el que se prima un mérito frente a otros, resulte conforme con los arts. 14 y 23.2 CE en relación con los principios de mérito y capacidad del art. 103.3 CE, es preciso que se justifique que la desigualdad en su ponderación venía amparada por la situación excepcional que permitía a la Administración convocante celebrar dicho proceso, que se limite a una sola vez la posibilidad de acudir a este procedimiento excepcional, y que la convocatoria de dicho proceso se apruebe mediante una norma con rango de ley (SSTC 27/1991, 12/1999) [FJ 9].</w:t>
      </w:r>
    </w:p>
    <w:p w:rsidR="00D06117" w:rsidRDefault="00D06117" w:rsidP="00D06117">
      <w:pPr>
        <w:pStyle w:val="Extracto"/>
      </w:pPr>
    </w:p>
    <w:p w:rsidR="00D06117" w:rsidRDefault="00D06117" w:rsidP="00D06117">
      <w:pPr>
        <w:pStyle w:val="Extracto"/>
      </w:pPr>
      <w:r>
        <w:t>9.</w:t>
      </w:r>
      <w:r>
        <w:tab/>
        <w:t>Doctrina sobre las garantías constitucionales del derecho de acceso a las funciones públicas (SSTC 60/1986, 138/2000) [FJ 5].</w:t>
      </w:r>
    </w:p>
    <w:p w:rsidR="00D06117" w:rsidRDefault="00D06117" w:rsidP="00D06117">
      <w:pPr>
        <w:pStyle w:val="Extracto"/>
      </w:pPr>
    </w:p>
    <w:p w:rsidR="00D06117" w:rsidRDefault="00D06117" w:rsidP="00D06117">
      <w:pPr>
        <w:pStyle w:val="Extracto"/>
      </w:pPr>
      <w:r>
        <w:t>10.</w:t>
      </w:r>
      <w:r>
        <w:tab/>
        <w:t>Doctrina sobre la revisión por parte del Tribunal Constitucional del juicio de relevancia (SSTC 17/1981, 200/2006) [FJ 2].</w:t>
      </w:r>
    </w:p>
    <w:p w:rsidR="00D06117" w:rsidRDefault="00D06117" w:rsidP="00D06117">
      <w:pPr>
        <w:pStyle w:val="Extracto"/>
      </w:pPr>
    </w:p>
    <w:p w:rsidR="00D06117" w:rsidRDefault="00D06117" w:rsidP="00D06117">
      <w:pPr>
        <w:pStyle w:val="Extracto"/>
      </w:pPr>
      <w:r>
        <w:t>11.</w:t>
      </w:r>
      <w:r>
        <w:tab/>
        <w:t>Es posible el replanteamiento de una cuestión de inconstitucionalidad en aquellos casos en que fue inadmitida por razones de índole estrictamente formal susceptibles de subsanación, como sucede en los supuestos de incorrecto cumplimiento del trámite de audiencia a las partes y al Ministerio Fiscal exigido por el art. 35.2 LOTC  (AATC 250/1982, 145/1993) [FJ 2].</w:t>
      </w:r>
    </w:p>
    <w:p w:rsidR="00D06117" w:rsidRDefault="00D06117" w:rsidP="00D06117">
      <w:pPr>
        <w:pStyle w:val="Extracto"/>
      </w:pPr>
    </w:p>
    <w:p w:rsidR="00D06117" w:rsidRDefault="00D06117" w:rsidP="00D06117">
      <w:pPr>
        <w:pStyle w:val="Extracto"/>
      </w:pPr>
      <w:r>
        <w:t>12.</w:t>
      </w:r>
      <w:r>
        <w:tab/>
        <w:t>Entre las situaciones consolidadas que han de considerarse no susceptibles de ser revisadas como consecuencia de la nulidad que ahora declaramos figuran no sólo aquellas decididas mediante Sentencia con fuerza de cosa juzgada sino también, por exigencia del principio de seguridad jurídica, las establecidas mediante las actuaciones administrativas firmes (SSTC 45/1989, 54/2002) [FJ 10].</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5742-2001, promovida por la Sala de lo Contencioso-Administrativo (Sección Primera) del Tribunal Superior de Justicia de Andalucía, con sede en Sevilla, en relación con la disposición transitoria cuarta de la Ley del Parlamento de Andalucía 8/1997, de 23 de diciembre, por la que se aprueban medidas en materia tributaria, presupuestaria, de empresas de la Junta y otras entidades, de recaudación, de contratación, de función pública y de fianzas de arrendamientos y suministros, por posible contradicción con los arts. 14 y 23.2 CE. Han intervenido y formulado alegaciones el Fiscal General del Estado, la Letrada de la Junta de Andalucía y el Presidente del Parlamento de Andalucía.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de 24 de octubre de 2001, el Presidente de la Sala de lo Contencioso-Administrativo (Sección Primera) del Tribunal Superior de Justicia de Andalucía remitió a este Tribunal Constitucional el Auto de 19 de septiembre anterior por el que se acuerda plantear cuestión de inconstitucionalidad respecto de la disposición transitoria cuarta de la Ley 8/1997, de 23 de diciembre, por la que se aprueban medidas en materia tributaria, presupuestaria, de empresas de la Junta y otras entidades, de recaudación, de contratación, de función pública y de fianzas de arrendamientos y suministros, en relación con el baremo que figura como anexo a la misma, en lo relativo a la puntuación de la fase de concurso, por posible contradicción con los arts. 14 y 23.2 CE.</w:t>
      </w:r>
    </w:p>
    <w:p w:rsidR="00D06117" w:rsidRDefault="00D06117" w:rsidP="00D06117">
      <w:pPr>
        <w:pStyle w:val="TextoNormal"/>
      </w:pPr>
    </w:p>
    <w:p w:rsidR="00D06117" w:rsidRDefault="00D06117" w:rsidP="00D06117">
      <w:pPr>
        <w:pStyle w:val="TextoNormal"/>
      </w:pPr>
      <w:r w:rsidRPr="00D06117">
        <w:rPr>
          <w:rStyle w:val="NumeroAFNegritaCaracter"/>
        </w:rPr>
        <w:t>2</w:t>
      </w:r>
      <w:r>
        <w:t>. Según se reseña en el Auto de planteamiento, la presente cuestión de inconstitucionalidad se eleva en el seno del proceso contencioso-administrativo núm. 2494-1998, en el que se tramita el recurso contencioso-administrativo interpuesto por doña Ana María Vargas Vázquez contra diversas Órdenes de la Consejería de Gobernación de la Junta de Andalucía de 19 de octubre de 1998, por las que se convocan pruebas selectivas para el sistema de oposición libre para ingreso en el cuerpo de gestión administrativa, especialidad de Administración General y en el cuerpo general de administrativos. Dado a los autos el trámite legalmente previsto, el 24 de julio de 2000 se dictó providencia por la que se acordaba oír a las partes personadas y al Ministerio Fiscal para que alegaran sobre la posible inconstitu</w:t>
      </w:r>
      <w:r>
        <w:lastRenderedPageBreak/>
        <w:t>cionalidad de la disposición transitoria cuarta de la Ley autonómica 8/1997, de 23 de diciembre, en relación con el baremo que figura como anexo a la misma, en lo relativo a la puntuación de la fase de concurso, por posible contradicción con los arts. 14 y 23.2 CE. La Administración demandada defendió la plena constitucionalidad del precepto legal, en tanto que la actora se pronunció en sentido contrario; por su parte, el Ministerio Fiscal indicó que albergaba dudas acerca de la conformidad de la disposición con la Constitución.</w:t>
      </w:r>
    </w:p>
    <w:p w:rsidR="00D06117" w:rsidRDefault="00D06117" w:rsidP="00D06117">
      <w:pPr>
        <w:pStyle w:val="TextoNormal"/>
      </w:pPr>
    </w:p>
    <w:p w:rsidR="00D06117" w:rsidRDefault="00D06117" w:rsidP="00D06117">
      <w:pPr>
        <w:pStyle w:val="TextoNormal"/>
      </w:pPr>
      <w:r>
        <w:t>El 21 de diciembre de 2000 se dictó Auto de planteamiento de la cuestión, que fue recibido en el Registro General de este Tribunal Constitucional el 23 de febrero de 2001. Esta cuestión de inconstitucionalidad, tramitada con el núm. 935-2001, fue inadmitida a trámite por ATC 217/2001, de 17 de julio, en aplicación de la doctrina sentada en la STC 96/2001, de 5 de abril. La inadmisión acordada se fundó en que la cuestión de inconstitucionalidad no había sido planteada por la Sección Primera de la Sala de lo Contencioso-Administrativo del Tribunal Superior de Justicia con sede en Sevilla, único órgano jurisdiccional competente para conocer del recurso contencioso-administrativo en el que había de aplicarse la norma legal, sino por la Sala misma, constituida por todos los Magistrados que la integraban.</w:t>
      </w:r>
    </w:p>
    <w:p w:rsidR="00D06117" w:rsidRDefault="00D06117" w:rsidP="00D06117">
      <w:pPr>
        <w:pStyle w:val="TextoNormal"/>
      </w:pPr>
    </w:p>
    <w:p w:rsidR="00D06117" w:rsidRDefault="00D06117" w:rsidP="00D06117">
      <w:pPr>
        <w:pStyle w:val="TextoNormal"/>
      </w:pPr>
      <w:r>
        <w:t>Finalmente, el 19 de diciembre de 2001 la Sección Primera de la Sala de lo Contencioso-Administrativo del Tribunal Superior de Justicia con sede en Sevilla dicta un nuevo Auto de planteamiento, de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La parte argumentativa de este nuevo Auto de planteamiento se abre con una referencia a la posibilidad, prevista en el art. 197 de la Ley Orgánica del Poder Judicial (LOPJ), de que fuera la Sala de lo Contencioso-Administrativo en su integridad la que, a la vista de la especial trascendencia que reviste la promoción de una cuestión de inconstitucionalidad, la planteara ante el Tribunal Constitucional. Se advierte, sin embargo, que “no lo ha entendido así el referido Tribunal y ateniéndonos a su criterio, deliberamos y votamos los Magistrados relacionados al margen, integrantes de la Sección Primera de esta Sala, como órgano encargado del conocimiento del asunto, el planteamiento de la cuestión por los motivos que se exponen a continuación”.</w:t>
      </w:r>
    </w:p>
    <w:p w:rsidR="00D06117" w:rsidRDefault="00D06117" w:rsidP="00D06117">
      <w:pPr>
        <w:pStyle w:val="TextoNormal"/>
      </w:pPr>
    </w:p>
    <w:p w:rsidR="00D06117" w:rsidRDefault="00D06117" w:rsidP="00D06117">
      <w:pPr>
        <w:pStyle w:val="TextoNormal"/>
      </w:pPr>
      <w:r>
        <w:t>a) Por lo que hace a los requisitos de índole procesal, se apunta en primer término que no existen dudas acerca de la aplicabilidad y relevancia de la norma legal para la resolución del recurso. Antes al contrario, las partes personadas convienen en que no es posible decidir acerca de las Órdenes impugnadas sin aplicar, necesariamente, la norma legal cuestionada. Toda vez que aquéllas son reproducción de ésta se trata de determinar la conformidad del precepto legal con la Constitución. Dicho esto se recuerda que el asunto se encuentra ya pendiente para Sentencia y que, a juicio del órgano judicial promotor de la cuestión, la disposición transitoria cuestionada podría entrar en colisión con los arts. 14 y 23.2 CE en la medida en que establece un procedimiento distinto, privilegiado, para el acceso a la función pública de los empleados interinos, primándose en exceso la antigüedad respecto del mérito y la capacidad.</w:t>
      </w:r>
    </w:p>
    <w:p w:rsidR="00D06117" w:rsidRDefault="00D06117" w:rsidP="00D06117">
      <w:pPr>
        <w:pStyle w:val="TextoNormal"/>
      </w:pPr>
    </w:p>
    <w:p w:rsidR="00D06117" w:rsidRDefault="00D06117" w:rsidP="00D06117">
      <w:pPr>
        <w:pStyle w:val="TextoNormal"/>
      </w:pPr>
      <w:r>
        <w:t>b) La primera duda que se resuelve en el Auto de planteamiento estriba en saber si nos hallamos ante un proceso de pruebas restringidas o de libre acceso pues son distintas las exigencias para uno u otro caso.</w:t>
      </w:r>
    </w:p>
    <w:p w:rsidR="00D06117" w:rsidRDefault="00D06117" w:rsidP="00D06117">
      <w:pPr>
        <w:pStyle w:val="TextoNormal"/>
      </w:pPr>
    </w:p>
    <w:p w:rsidR="00D06117" w:rsidRDefault="00D06117" w:rsidP="00D06117">
      <w:pPr>
        <w:pStyle w:val="TextoNormal"/>
      </w:pPr>
      <w:r>
        <w:lastRenderedPageBreak/>
        <w:t>Desde un punto de vista estrictamente nominalista se trata de pruebas de libre acceso, toda vez que pueden concurrir personas sin vinculación alguna con la Administración. Materialmente, las exigencias establecidas y la finalidad confesada por la norma legal apuntan en la dirección contraria. Desde la perspectiva material, se adelanta que la posibilidad de que concurran candidatos sin relación previa con la Administración autonómica es “punto menos que mínima” y en cuanto a la finalidad, se recuerda que según la norma se trata de “normalizar una situación singular de la función pública andaluza, originada por un proceso único e irrepetible, como fue la creación y consolidación de una forma de organización de la Administración andaluza”. Como quiera que tras varios lustros de funcionamiento de esta Administración no se ha resuelto el problema que plantea la existencia de numerosos empleados interinos, se añade a todo ello que “la propia Administración demandada admite que, efectivamente, por la vía de la restricción de acceso establecida en el baremo que acompaña a la norma legal, puede llegarse a la producción de los mismos efectos que si nominalmente se hubiera empleado el procedimiento de pruebas restringidas”.</w:t>
      </w:r>
    </w:p>
    <w:p w:rsidR="00D06117" w:rsidRDefault="00D06117" w:rsidP="00D06117">
      <w:pPr>
        <w:pStyle w:val="TextoNormal"/>
      </w:pPr>
    </w:p>
    <w:p w:rsidR="00D06117" w:rsidRDefault="00D06117" w:rsidP="00D06117">
      <w:pPr>
        <w:pStyle w:val="TextoNormal"/>
      </w:pPr>
      <w:r>
        <w:t>c) Sentado que estamos en presencia de pruebas restringidas, destaca el órgano judicial promotor de la cuestión que debe analizarse si “se ha creado una diferencia de trato irracional o arbitraria entre los opositores o concursantes” (STC 67/1989). La generalidad es el primero de los requisitos exigidos al efecto por la doctrina del Tribunal Constitucional, pues las reglas de procedimiento han de establecerse en términos generales, no mediante referencias individualizadas y concretas. No cabe duda, a este respecto, de que el reconocimiento de unos méritos, como son los servicios prestados a la Administración, no implica necesariamente incurrir en el vicio referido ya que si el mérito tiene una fundamentación objetiva puede concluirse que no favorece indebidamente a determinadas personas.</w:t>
      </w:r>
    </w:p>
    <w:p w:rsidR="00D06117" w:rsidRDefault="00D06117" w:rsidP="00D06117">
      <w:pPr>
        <w:pStyle w:val="TextoNormal"/>
      </w:pPr>
    </w:p>
    <w:p w:rsidR="00D06117" w:rsidRDefault="00D06117" w:rsidP="00D06117">
      <w:pPr>
        <w:pStyle w:val="TextoNormal"/>
      </w:pPr>
      <w:r>
        <w:t>Se advierte, sin embargo, que la cuestión no se sitúa exactamente en estos términos, pues si se concede a los méritos un valor desproporcionado, pese a su inicial objetividad y conformidad a Derecho, puede producirse una infracción de los principios constitucionales de no discriminación y de respeto al mérito y la capacidad de quienes pretenden acceder a la función pública. Admitida la posibilidad de evaluar la antigüedad, estamos ante un problema de límites: hasta dónde es constitucionalmente tolerable esa evaluación.</w:t>
      </w:r>
    </w:p>
    <w:p w:rsidR="00D06117" w:rsidRDefault="00D06117" w:rsidP="00D06117">
      <w:pPr>
        <w:pStyle w:val="TextoNormal"/>
      </w:pPr>
    </w:p>
    <w:p w:rsidR="00D06117" w:rsidRDefault="00D06117" w:rsidP="00D06117">
      <w:pPr>
        <w:pStyle w:val="TextoNormal"/>
      </w:pPr>
      <w:r>
        <w:t xml:space="preserve">Un elemento fundamental del análisis es comprobar si la antigüedad se configura como único mérito o se puede participar en el proceso selectivo alegando otros. Pese a lo sostenido al respecto por la Administración demandada, se hace hincapié en que las restricciones impuestas a la valoración de esos otros méritos son tantas que, de hecho, producen un efecto similar a la imposibilidad de alegarlos, “podemos decir que son una especie de bagatela”. Como ejemplo se cita el de un concursante con tres licenciaturas universitarias y sin antigüedad, que no accedería a la fase de oposición porque no alcanzaría los cuatro puntos necesarios pues sólo obtendría un punto por cada uno de los títulos no específicamente exigidos para concurrir. Para el órgano judicial, ese hipotético concursante no tendría posibilidad real de acceder a la fase de oposición porque tampoco está a su alcance el otro mérito computable: los cursos de formación. Estos cursos deben reunir los requisitos de que su contenido guarde relación directa con las tareas propias de los puestos de trabajo que pueden ser desempeñados por los funcionarios de los cuerpos y especialidades a los que se opta, y que sean realizados u homologados por entidades, instituciones o centros públicos. La combinación se ambos requisitos pone de manifiesto la imposibilidad de acreditar su realización </w:t>
      </w:r>
      <w:r>
        <w:lastRenderedPageBreak/>
        <w:t>porque no existen entidades públicas o privadas —homologadas— que organicen estos cursos para personas que no estén ya empleadas por la Administración pública.</w:t>
      </w:r>
    </w:p>
    <w:p w:rsidR="00D06117" w:rsidRDefault="00D06117" w:rsidP="00D06117">
      <w:pPr>
        <w:pStyle w:val="TextoNormal"/>
      </w:pPr>
    </w:p>
    <w:p w:rsidR="00D06117" w:rsidRDefault="00D06117" w:rsidP="00D06117">
      <w:pPr>
        <w:pStyle w:val="TextoNormal"/>
      </w:pPr>
      <w:r>
        <w:t>Aun en la hipótesis de que ese supuesto concursante lograra superar la fase de concurso, sólo obtendría cinco puntos, en tanto que si tuviera la máxima antigüedad computable llegaría hasta los nueve puntos y medio. Para el órgano judicial promotor de la cuestión, “la desproporción es tan evidente que hiere los sentidos, en expresión tan cara a nuestra tradición jurídica”.</w:t>
      </w:r>
    </w:p>
    <w:p w:rsidR="00D06117" w:rsidRDefault="00D06117" w:rsidP="00D06117">
      <w:pPr>
        <w:pStyle w:val="TextoNormal"/>
      </w:pPr>
    </w:p>
    <w:p w:rsidR="00D06117" w:rsidRDefault="00D06117" w:rsidP="00D06117">
      <w:pPr>
        <w:pStyle w:val="TextoNormal"/>
      </w:pPr>
      <w:r>
        <w:t>d) Retomando la doctrina constitucional relevante para este supuesto, se subraya que el problema de la igualdad no se plantea por la consideración como mérito de los servicios prestados, que pueden ser valorados en una fase posterior del concurso, sino por el hecho de constituir un requisito necesario para participar en el concurso, en los términos de la STC 60/1994. También surge el problema por la relevancia cuantitativa que pueda atribuir la convocatoria a dichos servicios o por operar doblemente en las distintas fases del proceso de selección (STC 67/1989). En este caso no hay valoración doble del mérito, pero entiende el órgano judicial que la relevancia cuantitativa concedida al mismo produce directamente el efecto de exclusión de los opositores libres.</w:t>
      </w:r>
    </w:p>
    <w:p w:rsidR="00D06117" w:rsidRDefault="00D06117" w:rsidP="00D06117">
      <w:pPr>
        <w:pStyle w:val="TextoNormal"/>
      </w:pPr>
    </w:p>
    <w:p w:rsidR="00D06117" w:rsidRDefault="00D06117" w:rsidP="00D06117">
      <w:pPr>
        <w:pStyle w:val="TextoNormal"/>
      </w:pPr>
      <w:r>
        <w:t>Para acreditar este extremo se atiende a las magnitudes numéricas. Sostiene la Administración que la valoración concedida a la antigüedad es porcentualmente inferior a la permitida o constitucionalmente tolerable. Así, afirma que la puntuación máxima otorgada a la fase de concurso es de 14,50 puntos (9,5 por antigüedad y cinco por los restantes méritos, de los cuales dos por titulaciones y tres por cursos de formación) y representa el 42 por 100 del total del proceso selectivo. Sin embargo, el órgano judicial promotor de la cuestión señala que la aparente neutralidad de los números no es tal.</w:t>
      </w:r>
    </w:p>
    <w:p w:rsidR="00D06117" w:rsidRDefault="00D06117" w:rsidP="00D06117">
      <w:pPr>
        <w:pStyle w:val="TextoNormal"/>
      </w:pPr>
    </w:p>
    <w:p w:rsidR="00D06117" w:rsidRDefault="00D06117" w:rsidP="00D06117">
      <w:pPr>
        <w:pStyle w:val="TextoNormal"/>
      </w:pPr>
      <w:r>
        <w:t>El proceso selectivo se ha configurado en dos fases cerradas: concurso previo y oposición posterior, siendo obligada la superación de aquél con un mínimo de cuatro puntos para acceder a ésta. Pues bien, para calibrar la prima que porcentualmente se concede a la antigüedad, que juega toda ella en la fase de concurso, ha de calcularse el porcentaje de puntos que por tal mérito pueden obtenerse en esta primera fase; es decir, 9,5 puntos sobre un total posible de 14,5. Y ese cálculo da como resultado un 65,51 por ciento, muy superior al 45 por 100 admitido en algunas ocasiones por el Tribunal Constitucional. “Es decir, el aspirante que concursa con la antigüedad máxima valorable parte con una ventaja sobre el que procede ‘de la calle’ de 9,5 puntos sobre un total de 14,5, frente a cero sobre 14. Esa es la verdadera prima que tiene el valor de la antigüedad”. Así las cosas, resulta incorrecto, a juicio de la Sección Primera de la Sala de lo Contencioso-Administrativo del Tribunal Superior de Justicia de Andalucía con sede en Sevilla, calcular el valor de la antigüedad por referencia a la totalidad del proceso selectivo porque la discriminación opera en la fase de concurso, asfixiando la posibilidad de su superación sin antigüedad. Dicho de otro modo, el vicio de inconstitucionalidad no está en el peso que el concurso tiene respecto al proceso en su totalidad sino en la relevancia que la antigüedad —uno de los méritos computables— tiene en la fase de concurso frente a los demás méritos computables.</w:t>
      </w:r>
    </w:p>
    <w:p w:rsidR="00D06117" w:rsidRDefault="00D06117" w:rsidP="00D06117">
      <w:pPr>
        <w:pStyle w:val="TextoNormal"/>
      </w:pPr>
    </w:p>
    <w:p w:rsidR="00D06117" w:rsidRDefault="00D06117" w:rsidP="00D06117">
      <w:pPr>
        <w:pStyle w:val="TextoNormal"/>
      </w:pPr>
      <w:r>
        <w:t xml:space="preserve">Finalmente, se insiste en calificar de erróneo el cálculo hecho por la Administración al cifrar la puntuación máxima de la antigüedad en un 38,77 por 100 respecto a la puntuación total del proceso. El error radica en comparar magnitudes heterogéneas porque la valoración </w:t>
      </w:r>
      <w:r>
        <w:lastRenderedPageBreak/>
        <w:t>debe referirse a la única fase en la que ese mérito puede ser aducido, la fase de concurso, en la que representa más del 65 por 100 de la puntuación total.</w:t>
      </w:r>
    </w:p>
    <w:p w:rsidR="00D06117" w:rsidRDefault="00D06117" w:rsidP="00D06117">
      <w:pPr>
        <w:pStyle w:val="TextoNormal"/>
      </w:pPr>
    </w:p>
    <w:p w:rsidR="00D06117" w:rsidRDefault="00D06117" w:rsidP="00D06117">
      <w:pPr>
        <w:pStyle w:val="TextoNormal"/>
      </w:pPr>
      <w:r>
        <w:t>e) A las razones expuestas para sustentar la duda de constitucionalidad que aquí se plantea, se añade que este Tribunal Constitucional ha aceptado la valoración, ciertamente estimable, de la antigüedad en otros supuestos, sobre la base de la excepcionalidad del procedimiento selectivo. Dicha excepcionalidad se ha apreciado en virtud de la concurrencia de razones objetivas y fines constitucionalmente lícitos, en particular la organización y eficiencia de la Administración. Sin embargo, en la doctrina de este Tribunal Constitucional se alza un claro límite al recurso a esta excepción pues sólo admite la constitucionalidad de procesos selectivos que primen intensamente la interinidad cuando se verifican por una sola vez.</w:t>
      </w:r>
    </w:p>
    <w:p w:rsidR="00D06117" w:rsidRDefault="00D06117" w:rsidP="00D06117">
      <w:pPr>
        <w:pStyle w:val="TextoNormal"/>
      </w:pPr>
    </w:p>
    <w:p w:rsidR="00D06117" w:rsidRDefault="00D06117" w:rsidP="00D06117">
      <w:pPr>
        <w:pStyle w:val="TextoNormal"/>
      </w:pPr>
      <w:r>
        <w:t>La Administración autonómica pretende que tal es aquí el caso. Sin embargo, no es la primera vez que dicha Administración recurre a un proceso excepcional que favorezca el acceso de personal interino. Como admite la propia Administración, “todo el personal de la época llamada preautonómica, ya se benefició de un proceso esencialmente privilegiado, que concluyó con la incorporación a la función pública, como funcionarios de carrera, del personal interino entonces contratado. Antes de los decretos de transferencia del período 1986-1989 la Administración autonómica ya había hecho uso de este procedimiento excepcional. Y ante las nuevas competencias transferidas la Administración autonómica hizo uso por tres veces de estas medidas excepcionales, incorporando a la función pública a un determinado número de funcionarios interinos”.</w:t>
      </w:r>
    </w:p>
    <w:p w:rsidR="00D06117" w:rsidRDefault="00D06117" w:rsidP="00D06117">
      <w:pPr>
        <w:pStyle w:val="TextoNormal"/>
      </w:pPr>
    </w:p>
    <w:p w:rsidR="00D06117" w:rsidRDefault="00D06117" w:rsidP="00D06117">
      <w:pPr>
        <w:pStyle w:val="TextoNormal"/>
      </w:pPr>
      <w:r>
        <w:t>Al respecto se recuerda que en el Decreto de la Junta de Andalucía 264/1989, de 27 de diciembre, aprobado a propuesta de la Consejería de Gobernación, con el propósito confesado en su preámbulo de adaptarse a la doctrina sentada en la STC 67/1989, de 18 de abril, estableció “una nueva regulación provisional del sistema de acceso a los cuerpos de funcionarios de la Junta de Andalucía, para las tres primeras ofertas de empleo público incluida la de 1988 en coherencia con los pronunciamientos contenidos en la referida sentencia”. Se trataba, por tanto, no de uno sino de tres procedimientos selectivos, cuya regulación fue declarada conforme a Derecho, por lo que no cabe sostener ahora que el actual es el primero que se ajusta a la legalidad. De modo que tampoco es aplicable la Sentencia de este Tribunal Constitucional de 11 de febrero de 1999.</w:t>
      </w:r>
    </w:p>
    <w:p w:rsidR="00D06117" w:rsidRDefault="00D06117" w:rsidP="00D06117">
      <w:pPr>
        <w:pStyle w:val="TextoNormal"/>
      </w:pPr>
    </w:p>
    <w:p w:rsidR="00D06117" w:rsidRDefault="00D06117" w:rsidP="00D06117">
      <w:pPr>
        <w:pStyle w:val="TextoNormal"/>
      </w:pPr>
      <w:r>
        <w:t xml:space="preserve">f) A la discriminación contraria a los arts. 14 y 23.2 CE padecida por los “opositores libres” hay que añadir la sufrida por los funcionarios de carrera y otros interinos que ven valorada su antigüedad con 0,6 y 0,5 puntos respectivamente, frente a los 0,95 de los interinos propios de la Junta de Andalucía. En estos supuestos, “siendo quizás menos los posibles afectados, la contradicción con el mandato constitucional de no discriminación es aún mayor si cabe”. Aquí, la diferencia de trato se presenta sin el menor atisbo de justificación objetiva ya que unos y otros tienen la experiencia adquirida en un puesto de trabajo en la Administración pública. Y esta dispar valoración de la experiencia produce resultados arbitrarios, afectándose con ello al art. 9.3 CE. Concretamente, es arbitraria la distinta valoración de la antigüedad porque puede darse el caso —nada teórico— de que dos funcionarios interinos destinados en la misma Consejería, desarrollando idénticas funciones, vean reconocida su antigüedad con distinta valoración sólo porque uno de ellos se benefició de que su puesto fuera transferido a la Administración autonómica en tanto que el otro vio retrasada </w:t>
      </w:r>
      <w:r>
        <w:lastRenderedPageBreak/>
        <w:t>su integración por motivos ajenos a su voluntad. De suerte que una misma experiencia y antigüedad es objeto de diversa valoración, creándose un agravio insostenible en términos constitucionales. Como también se genera en la comparación entre interinos y funcionarios de carrera, quienes pese a haber superado pruebas objetivas, ven cómo la valoración de su experiencia es sensiblemente inferior a la de quienes desempeñan sus funciones en virtud de nombramientos provisionales (0,6 frente a 0,95). Por todo ello se concluye que el precepto legal contradice la proscripción de arbitrariedad del art. 9.3 CE.</w:t>
      </w:r>
    </w:p>
    <w:p w:rsidR="00D06117" w:rsidRDefault="00D06117" w:rsidP="00D06117">
      <w:pPr>
        <w:pStyle w:val="TextoNormal"/>
      </w:pPr>
    </w:p>
    <w:p w:rsidR="00D06117" w:rsidRDefault="00D06117" w:rsidP="00D06117">
      <w:pPr>
        <w:pStyle w:val="TextoNormal"/>
      </w:pPr>
      <w:r>
        <w:t>g) Defiende la Administración autonómica que el art. 39 de la Ley 50/1998, de medidas fiscales, administrativas y del orden social, permite valorar, entre otros méritos, la experiencia en los puestos de trabajo convocados. En ello conviene el órgano judicial promotor de la cuestión, sin perjuicio de recordar que este precepto es posterior en el tiempo a la norma aquí cuestionada y de subrayar que lo discutido no es la posibilidad de valorar la experiencia sino la intensidad y desproporción que reviste esa valoración en la norma de aplicación al proceso a quo. Aun reconociendo que no es la cuestión central objeto de análisis, se recuerda que la norma se aprueba tras un proceso de negociación entre la Administración y los agentes sociales, explicando los sindicatos que la singularidad de que el baremo se incluya en una norma con rango de ley responde al propósito de dificultar su impugnación en vía jurisdiccional. Se perseguía así blindar una regulación peculiar del proceso de acceso a la función pública sobre cuya discutible adecuación a las exigencias constitucionales ya habría llamado la atención el Consejo Consultivo de Andalucía.</w:t>
      </w:r>
    </w:p>
    <w:p w:rsidR="00D06117" w:rsidRDefault="00D06117" w:rsidP="00D06117">
      <w:pPr>
        <w:pStyle w:val="TextoNormal"/>
      </w:pPr>
    </w:p>
    <w:p w:rsidR="00D06117" w:rsidRDefault="00D06117" w:rsidP="00D06117">
      <w:pPr>
        <w:pStyle w:val="TextoNormal"/>
      </w:pPr>
      <w:r>
        <w:t>En conclusión, entiende la Sala de lo Contencioso-Administrativo (Sección Primera) del Tribunal Superior de Justicia de Andalucía, con sede en Sevilla, que “la valoración concedida a la antigüedad (más del 65% del total de méritos computables) vulnera los artículos 14 y 23.2 de la Constitución al suponer, de hecho, una imposibilidad material para el acceso a la función pública de cualquier persona en la que no concurra el concreto mérito de la antigüedad”.</w:t>
      </w:r>
    </w:p>
    <w:p w:rsidR="00D06117" w:rsidRDefault="00D06117" w:rsidP="00D06117">
      <w:pPr>
        <w:pStyle w:val="TextoNormal"/>
      </w:pPr>
    </w:p>
    <w:p w:rsidR="00D06117" w:rsidRDefault="00D06117" w:rsidP="00D06117">
      <w:pPr>
        <w:pStyle w:val="TextoNormal"/>
      </w:pPr>
      <w:r>
        <w:t>Por lo expuesto, en la parte dispositiva del Auto se eleva la presente cuestión de inconstitucionalidad y se ordena emplazar “a las partes para que comparezcan ante el Tribunal Constitucional en el plazo de quince días, si lo estiman oportuno”.</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escrito registrado en este Tribunal Constitucional el 26 de octubre de 2001 don Jaime Blasco Rodríguez, Procurador de los Tribunales y de distintas asociaciones de interinos de Andalucía, según consta suficientemente acreditado en el recurso contencioso-administrativo núm. 2494-1998 que se sigue ante la Sección Primera de la Sala de lo Contencioso-Administrativo del Tribunal Superior de Justicia con sede en Sevilla, solicitó que se tuviera por cumplido el emplazamiento referido en el Auto de planteamiento de esta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Por providencia de 29 de enero de 2002, la Sección Segunda de este Tribunal acordó admitir a trámite la presente cuestión de inconstitucionalidad; dar traslado de las actuaciones recibidas, conforme establece el art. 37.2 de la Ley Orgánica del Tribunal Constitucional (LOTC), al Congreso de los Diputados y al Senado, por conducto de sus Presidentes, al Gobierno, por conducto del Ministro de Justicia y al Fiscal General del Estado, así como al Parlamento y al Gobierno de la Junta de Andalucía, al objeto de que en el plazo común e improrrogable de quince días pudieran personarse en el proceso y formular las alegaciones </w:t>
      </w:r>
      <w:r>
        <w:lastRenderedPageBreak/>
        <w:t>que estimasen pertinentes y publicar la incoación de la cuestión en el “Boletín Oficial del Estado” y en el de la Junta de Andalucía. Por otro lado, se acordó no acceder a lo solicitado por el Procurador don Jaime Blasco Rodríguez porque, de acuerdo con lo dispuesto en el art. 37.2 LOTC el emplazamiento es improcedente ya que el legislador ha configurado el proceso al que dan lugar las cuestiones de inconstitucionalidad de forma tal que sólo se permite la comparecencia en él de los órganos taxativamente enumerados en el propio precepto y en los supuestos que contempla.</w:t>
      </w:r>
    </w:p>
    <w:p w:rsidR="00D06117" w:rsidRDefault="00D06117" w:rsidP="00D06117">
      <w:pPr>
        <w:pStyle w:val="TextoNormal"/>
      </w:pPr>
    </w:p>
    <w:p w:rsidR="00D06117" w:rsidRDefault="00D06117" w:rsidP="00D06117">
      <w:pPr>
        <w:pStyle w:val="TextoNormal"/>
      </w:pPr>
      <w:r>
        <w:t>Las publicaciones oficiales de la incoación de la cuestión de inconstitucionalidad se llevaron a efecto en el “Boletín Oficial del Estado” núm. 33, de 7 de febrero de 2002, y en el “Boletín Oficial de la Junta de Andalucía” núm. 24, de 26 de febrero de 2002.</w:t>
      </w:r>
    </w:p>
    <w:p w:rsidR="00D06117" w:rsidRDefault="00D06117" w:rsidP="00D06117">
      <w:pPr>
        <w:pStyle w:val="TextoNormal"/>
      </w:pPr>
    </w:p>
    <w:p w:rsidR="00D06117" w:rsidRDefault="00D06117" w:rsidP="00D06117">
      <w:pPr>
        <w:pStyle w:val="TextoNormal"/>
      </w:pPr>
      <w:r w:rsidRPr="00D06117">
        <w:rPr>
          <w:rStyle w:val="NumeroAFNegritaCaracter"/>
        </w:rPr>
        <w:t>6</w:t>
      </w:r>
      <w:r>
        <w:t>. El día 11 de febrero de 2002 se registró en este Tribunal Constitucional escrito del Abogado del Estado quien, actuando en la representación que legalmente ostenta, señaló que al referirse este proceso constitucional a una ley autonómica aplicada en un procedimiento en el que no es parte el Estado, no formulará alegaciones, solicitando se le tuviera por personado a los efectos de que en su día se le notifiquen las resoluciones que se dicten.</w:t>
      </w:r>
    </w:p>
    <w:p w:rsidR="00D06117" w:rsidRDefault="00D06117" w:rsidP="00D06117">
      <w:pPr>
        <w:pStyle w:val="TextoNormal"/>
      </w:pPr>
    </w:p>
    <w:p w:rsidR="00D06117" w:rsidRDefault="00D06117" w:rsidP="00D06117">
      <w:pPr>
        <w:pStyle w:val="TextoNormal"/>
      </w:pPr>
      <w:r w:rsidRPr="00D06117">
        <w:rPr>
          <w:rStyle w:val="NumeroAFNegritaCaracter"/>
        </w:rPr>
        <w:t>7</w:t>
      </w:r>
      <w:r>
        <w:t>. El 12 de febrero de 2002 se recibió escrito de la Letrada del Parlamento de Andalucía, señalando que en las actuaciones remitidas para formular alegaciones no figuraban las correspondientes al recurso contencioso-administrativo en cuyo seno se ha promovido la presente cuestión de inconstitucionalidad. Por ello, al resultar imprescindible a efectos de personación y formulación de alegaciones, así como para la adecuada defensa de los intereses del Parlamento de Andalucía el conocimiento de dichas actuaciones, solicitaba la remisión de las mismas o, en su defecto, las correspondientes a la cuestión de inconstitucionalidad núm. 935-2001, de la cual ésta parece una reiteración.</w:t>
      </w:r>
    </w:p>
    <w:p w:rsidR="00D06117" w:rsidRDefault="00D06117" w:rsidP="00D06117">
      <w:pPr>
        <w:pStyle w:val="TextoNormal"/>
      </w:pPr>
    </w:p>
    <w:p w:rsidR="00D06117" w:rsidRDefault="00D06117" w:rsidP="00D06117">
      <w:pPr>
        <w:pStyle w:val="TextoNormal"/>
      </w:pPr>
      <w:r w:rsidRPr="00D06117">
        <w:rPr>
          <w:rStyle w:val="NumeroAFNegritaCaracter"/>
        </w:rPr>
        <w:t>8</w:t>
      </w:r>
      <w:r>
        <w:t>. Por escrito presentado el 14 de febrero de 2002, la Presidenta del Congreso de los Diputados comunicó que la Mesa de la Cámara había acordado, en la reunión celebrada el día 12 anterior, no personarse ni formular alegaciones en el presente proceso constitucional.</w:t>
      </w:r>
    </w:p>
    <w:p w:rsidR="00D06117" w:rsidRDefault="00D06117" w:rsidP="00D06117">
      <w:pPr>
        <w:pStyle w:val="TextoNormal"/>
      </w:pPr>
    </w:p>
    <w:p w:rsidR="00D06117" w:rsidRDefault="00D06117" w:rsidP="00D06117">
      <w:pPr>
        <w:pStyle w:val="TextoNormal"/>
      </w:pPr>
      <w:r>
        <w:t>El 15 de febrero de 2002 se recibió en este Tribunal Constitucional oficio de la Presidenta del Senado, fechado el 12 de febrero de 2002, donde se interesaba que se tuviera por personada dicha Cámara en este proceso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9</w:t>
      </w:r>
      <w:r>
        <w:t>. Ese mismo día 15 de febrero de 2002 la Letrada de la Junta de Andalucía, en la representación que por su cargo ostenta, solicitó una ampliación del plazo de ocho días para formular el escrito de alegaciones.</w:t>
      </w:r>
    </w:p>
    <w:p w:rsidR="00D06117" w:rsidRDefault="00D06117" w:rsidP="00D06117">
      <w:pPr>
        <w:pStyle w:val="TextoNormal"/>
      </w:pPr>
    </w:p>
    <w:p w:rsidR="00D06117" w:rsidRDefault="00D06117" w:rsidP="00D06117">
      <w:pPr>
        <w:pStyle w:val="TextoNormal"/>
      </w:pPr>
      <w:r w:rsidRPr="00D06117">
        <w:rPr>
          <w:rStyle w:val="NumeroAFNegritaCaracter"/>
        </w:rPr>
        <w:t>10</w:t>
      </w:r>
      <w:r>
        <w:t>. Por nuevo proveído de 15 de febrero de 2002 se acordó remitir tanto al Parlamento como a la Junta de Andalucía copias de la cuestión de inconstitucionalidad núm. 935-2001, concediéndoles un nuevo plazo improrrogable de quince días para formular alegaciones, sin que proceda la prórroga del plazo pedida por la Junta de Andalucía por ser improrrogable como dispone el art. 37.2 de la Ley Orgánica del Tribunal Constitucional.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11</w:t>
      </w:r>
      <w:r>
        <w:t>. El Fiscal General del Estado formuló sus alegaciones el 26 de febrero de 2002. Tras una pormenorizada exposición de los antecedentes de esta cuestión, expone las razones por las que considera que debe ser estimada, en los términos que más adelante precisaremos.</w:t>
      </w:r>
    </w:p>
    <w:p w:rsidR="00D06117" w:rsidRDefault="00D06117" w:rsidP="00D06117">
      <w:pPr>
        <w:pStyle w:val="TextoNormal"/>
      </w:pPr>
    </w:p>
    <w:p w:rsidR="00D06117" w:rsidRDefault="00D06117" w:rsidP="00D06117">
      <w:pPr>
        <w:pStyle w:val="TextoNormal"/>
      </w:pPr>
      <w:r>
        <w:t>a) Antes de comenzar el análisis del fondo de la cuestión se apunta la necesidad de delimitar el ámbito de las dudas planteadas por la Sala promotora pues, en realidad, el Auto de planteamiento permite el análisis sucesivo de dos posibilidades. La primera permite preguntarse si lo cuestionado es toda la disposición transitoria cuarta, como se destaca en la parte dispositiva del Auto, o si la cuestión se circunscribe a determinados aspectos de la norma legal relativos a los criterios de valoración de méritos determinantes para la superación de la fase de concurso.</w:t>
      </w:r>
    </w:p>
    <w:p w:rsidR="00D06117" w:rsidRDefault="00D06117" w:rsidP="00D06117">
      <w:pPr>
        <w:pStyle w:val="TextoNormal"/>
      </w:pPr>
    </w:p>
    <w:p w:rsidR="00D06117" w:rsidRDefault="00D06117" w:rsidP="00D06117">
      <w:pPr>
        <w:pStyle w:val="TextoNormal"/>
      </w:pPr>
      <w:r>
        <w:t>Destaca el Fiscal General del Estado que la presente cuestión tiene notables similitudes con la resuelta en la STC 12/1999, donde se enjuiciaba una norma autonómica que permitía, también con carácter excepcional, la celebración de procesos selectivos de acceso a la función pública que permitieran solucionar un problema de medios personales en el ámbito de la sanidad pública de la Comunidad de Castilla y León. Como entonces destacó este Tribunal Constitucional, el órgano judicial ponía de manifiesto su apreciación de que el eventual vicio de inconstitucionalidad abarcaba a la totalidad del precepto legal cuestionado, porque entendía que no concurrían las causas legitimadoras de ese proceso excepcional de selección de personal. Ahora, en el Auto de planteamiento también se expresan dudas fundadas sobre la excepcionalidad del sistema de selección configurado por la ley autonómica.</w:t>
      </w:r>
    </w:p>
    <w:p w:rsidR="00D06117" w:rsidRDefault="00D06117" w:rsidP="00D06117">
      <w:pPr>
        <w:pStyle w:val="TextoNormal"/>
      </w:pPr>
    </w:p>
    <w:p w:rsidR="00D06117" w:rsidRDefault="00D06117" w:rsidP="00D06117">
      <w:pPr>
        <w:pStyle w:val="TextoNormal"/>
      </w:pPr>
      <w:r>
        <w:t>En concreto, según la doctrina de este Tribunal Constitucional contenida, entre otras, en las SSTC 27/1991, 16/1998 y 12/1999, es preciso que concurran tres requisitos para que resulte conforme con los arts. 14 y 23.2 CE, en relación con los principios de mérito y capacidad del art. 103.3 CE, un proceso selectivo de las características del ahora controvertido. En primer lugar, justificación de la excepcionalidad de la medida a adoptar, fundamentada exclusivamente en la singular, puntual y transitoria necesidad de tener que poner en funcionamiento una nueva forma de organización de las Administraciones autonómicas resultante de la asunción de competencias que antes correspondían al Estado. En segundo término, la limitación de acudir por una sola vez a estos procedimientos excepcionales. Y, finalmente, la reserva de ley, que exige la aprobación mediante norma con este rango legal de la cobertura necesaria para la convocatoria de dichos procesos selectivos.</w:t>
      </w:r>
    </w:p>
    <w:p w:rsidR="00D06117" w:rsidRDefault="00D06117" w:rsidP="00D06117">
      <w:pPr>
        <w:pStyle w:val="TextoNormal"/>
      </w:pPr>
    </w:p>
    <w:p w:rsidR="00D06117" w:rsidRDefault="00D06117" w:rsidP="00D06117">
      <w:pPr>
        <w:pStyle w:val="TextoNormal"/>
      </w:pPr>
      <w:r>
        <w:t>Aun cuando el órgano judicial promotor de la cuestión no se detiene en el estudio de la concurrencia de cada uno de estos requisitos, por centrar su atención en las consecuencias del baremo recogido en la norma legal, es lo cierto que la inclusión en la parte dispositiva de la totalidad de la disposición transitoria cuarta como norma sometida al juicio de constitucionalidad y los razonamientos expuestos en el fundamento jurídico decimotercero del Auto obligan ahora a examinar la adecuación de la norma con los parámetros constitucionales citados. Siendo evidente el cumplimiento del rango legal de la norma, el Fiscal General del Estado se detiene en el análisis de los otros dos.</w:t>
      </w:r>
    </w:p>
    <w:p w:rsidR="00D06117" w:rsidRDefault="00D06117" w:rsidP="00D06117">
      <w:pPr>
        <w:pStyle w:val="TextoNormal"/>
      </w:pPr>
    </w:p>
    <w:p w:rsidR="00D06117" w:rsidRDefault="00D06117" w:rsidP="00D06117">
      <w:pPr>
        <w:pStyle w:val="TextoNormal"/>
      </w:pPr>
      <w:r>
        <w:t xml:space="preserve">Acerca de la concurrencia de razones de excepcionalidad que justificaran la introducción de ciertas restricciones a los criterios generales de mérito y capacidad, reconoce el Fiscal General del Estado que la norma pone el acento en que la finalidad perseguida no es otra que la de “normalizar una situación singular de la función pública andaluza, originada por </w:t>
      </w:r>
      <w:r>
        <w:lastRenderedPageBreak/>
        <w:t>un proceso único e irrepetible”, como es el de la creación de la Administración de esta Comunidad Autónoma, siguiendo a este respecto los criterios de la STC 67/1989. Sin embargo, la realidad legislativa viene a contradecir esta afirmada razón de provisionalidad, excepcionalidad y singularidad pues no debe olvidarse que en el apartado 2.1 de la disposición transitoria sexta de la Ley 6/1985, de 28 de noviembre, de ordenación de la función pública de la Junta de Andalucía, en la redacción dada por la Ley 6/1988, de 17 de octubre, ya se habilitaba a la Administración autonómica para dictar una norma de desarrollo que, con carácter provisional, estableciese un procedimiento de acceso a los cuerpos de funcionarios de la Junta de Andalucía. De esta habilitación se hizo uso, en el Decreto 264/1989, de 27 de diciembre, al que se refiere el Auto de planteamiento, en el que se dispuso un sistema excepcional de acceso —que primaba al personal contratado e interino— para las tres primeras ofertas de empleo público. En consecuencia, la Administración autonómica no sólo dispuso ya de esta posibilidad sino que hizo uso de ella para solventar la situación excepcional que reconocía existente al dictar la norma reglamentaria.</w:t>
      </w:r>
    </w:p>
    <w:p w:rsidR="00D06117" w:rsidRDefault="00D06117" w:rsidP="00D06117">
      <w:pPr>
        <w:pStyle w:val="TextoNormal"/>
      </w:pPr>
    </w:p>
    <w:p w:rsidR="00D06117" w:rsidRDefault="00D06117" w:rsidP="00D06117">
      <w:pPr>
        <w:pStyle w:val="TextoNormal"/>
      </w:pPr>
      <w:r>
        <w:t>No puede entenderse que se satisfagan las exigencias derivadas de la doctrina constitucional cuando se pretende introducir una segunda excepcionalidad para todo el personal interino o de carrera perteneciente a otras Administraciones que viniera prestando sus servicios desde el 31 de diciembre de 1995, como se apunta en la norma cuestionada, siendo así que ya desde hace aproximadamente diez años la Administración había establecido un marco ordenador de su propia función pública en la Ley 6/1985, de 28 de noviembre, y, además, había agotado las posibilidades reconocidas a las Comunidades Autónomas por la jurisprudencia constitucional al celebrar tres convocatorias sucesivas que permitieron el acceso de contratados o interinos en condiciones de privilegio. Como tampoco se justifica la excepcionalidad de la situación si se repara en que la Comunidad Autónoma ha venido ejercitando las competencias propias en un marco constitucional y estatutario normalizado.</w:t>
      </w:r>
    </w:p>
    <w:p w:rsidR="00D06117" w:rsidRDefault="00D06117" w:rsidP="00D06117">
      <w:pPr>
        <w:pStyle w:val="TextoNormal"/>
      </w:pPr>
    </w:p>
    <w:p w:rsidR="00D06117" w:rsidRDefault="00D06117" w:rsidP="00D06117">
      <w:pPr>
        <w:pStyle w:val="TextoNormal"/>
      </w:pPr>
      <w:r>
        <w:t>A mayor abundamiento, el agotamiento de la oportunidad única y excepcional con las tres convocatorias invita a concluir que tampoco concurre el segundo de los requisitos constitucionales antes citados. Consecuentemente, la disposición transitoria resulta inconstitucional en su totalidad por contravenir el derecho de acceso a las funciones públicas en condiciones de igualdad y conforme a los principios de mérito y capacidad reconocido en el art. 23.2 CE.</w:t>
      </w:r>
    </w:p>
    <w:p w:rsidR="00D06117" w:rsidRDefault="00D06117" w:rsidP="00D06117">
      <w:pPr>
        <w:pStyle w:val="TextoNormal"/>
      </w:pPr>
    </w:p>
    <w:p w:rsidR="00D06117" w:rsidRDefault="00D06117" w:rsidP="00D06117">
      <w:pPr>
        <w:pStyle w:val="TextoNormal"/>
      </w:pPr>
      <w:r>
        <w:t>b) Subsidiariamente aborda el Fiscal General del Estado el estudio de la segunda de las grandes problemáticas que recoge el Auto de planteamiento: la desproporción del peso atribuido en el baremo a la antigüedad, que da como resultado la imposibilidad de que quienes concursen por el turno libre accedan a la fase de oposición. Para dilucidar esta cuestión sólo es preciso analizar el último inciso del apartado primero de la disposición transitoria (“para acceder a la fase de oposición será necesario obtener una puntuación mínima de 4 puntos”) y el apartado primero del baremo que figura en el anexo a la norma legal, referido a la valoración de la antigüedad en el desempeño de funciones públicas como mérito a ponderar para la obtención de la puntuación final de la fase de concurso. Es en estos pasajes de la norma cuestionada donde se plasmaría esa desproporción en la valoración de la antigüedad en unos términos que vulneran el derecho a la igualdad en el acceso a los cargos y funciones públicas proclamado en el art. 23.2 CE.</w:t>
      </w:r>
    </w:p>
    <w:p w:rsidR="00D06117" w:rsidRDefault="00D06117" w:rsidP="00D06117">
      <w:pPr>
        <w:pStyle w:val="TextoNormal"/>
      </w:pPr>
    </w:p>
    <w:p w:rsidR="00D06117" w:rsidRDefault="00D06117" w:rsidP="00D06117">
      <w:pPr>
        <w:pStyle w:val="TextoNormal"/>
      </w:pPr>
      <w:r>
        <w:lastRenderedPageBreak/>
        <w:t>Una de las proyecciones de este derecho fundamental, destacada por la jurisprudencia constitucional, es que el acceso en condiciones de igualdad “supone que las normas reguladoras del proceso selectivo han de asegurar a los ciudadanos una situación jurídica de igualdad … con la inmediata interdicción de requisitos de acceso que tengan carácter discriminatorio… De igual manera, contiene un derecho a la no restricción injustificada de las condiciones de acceso, a lo que se opone la integración automática de determinados grupos en la función pública … así como, en principio, y salvo excepciones las pruebas restringidas” (STC 73/1998). La igualdad en las condiciones de acceso guarda íntima conexión con los principios de mérito y capacidad, lo que lleva a este Tribunal Constitucional a “controlar, para evitar una diferencia de trato irracional o arbitraria entre los concursantes la valoración dada a algún mérito, en concreto, cual es particularmente el relativo a la toma en consideración de la previa prestación de servicios a la Administración”, pues si bien esta circunstancia puede ser tomada en consideración lo que no cabe es que se erija en requisito que excluya la concurrencia de terceros y respete la proporcionalidad respecto de la puntuación total de las sucesivas fases del proceso selectivo (entre otras, SSTC 67/1989, 185/1994, 11/1996 y 83/2000).</w:t>
      </w:r>
    </w:p>
    <w:p w:rsidR="00D06117" w:rsidRDefault="00D06117" w:rsidP="00D06117">
      <w:pPr>
        <w:pStyle w:val="TextoNormal"/>
      </w:pPr>
    </w:p>
    <w:p w:rsidR="00D06117" w:rsidRDefault="00D06117" w:rsidP="00D06117">
      <w:pPr>
        <w:pStyle w:val="TextoNormal"/>
      </w:pPr>
      <w:r>
        <w:t>Entiende el Fiscal General del Estado que en el presente caso, y frente a lo sostenido al respecto en el Auto de planteamiento, no nos hallamos ante un proceso selectivo de carácter restringido porque puede concurrir personal no vinculado anteriormente a ninguna Administración. De lo que se trata es de dilucidar si las restricciones establecidas vienen a cerrar en la práctica esa posibilidad teórica. Y así sucede, como acertadamente se pone de relieve en el Auto de planteamiento pues “la desproporción de puntos reconocida a favor del mérito de la antigüedad es de tal magnitud que, a menos que se cuente con algunos períodos de prestación de servicios para la Administración, ya sea la específica andaluza o cualquier otra, resulta extraordinariamente dificultoso aprobar esta fase de concurso”. Así, pues, indirectamente se produce una clara discriminación. Discriminación agravada, como también se señala en el Auto de planteamiento, por las dificultades de obtener puntos por el mérito consistente en haber realizado los cursos de formación a los que se refiere el baremo y por la escasa valoración dispensada a la titulación académica adicional a la exigida.</w:t>
      </w:r>
    </w:p>
    <w:p w:rsidR="00D06117" w:rsidRDefault="00D06117" w:rsidP="00D06117">
      <w:pPr>
        <w:pStyle w:val="TextoNormal"/>
      </w:pPr>
    </w:p>
    <w:p w:rsidR="00D06117" w:rsidRDefault="00D06117" w:rsidP="00D06117">
      <w:pPr>
        <w:pStyle w:val="TextoNormal"/>
      </w:pPr>
      <w:r>
        <w:t>Consecuentemente, aun cuando pudiera justificarse la excepcionalidad de la situación que invoca la norma cuestionada y, por ende, la posibilidad constitucional de establecer un proceso selectivo también singular en el que los principios de mérito y capacidad estuvieran mediatizados “por la justificada transitoriedad y excepcionalidad de la medida adoptada, tal circunstancia en ningún caso y más tratándose de un proceso que se define como de libre acceso, pueda venir determinado por una manifiesta desproporción en el reconocimiento del mérito de la antigüedad y por la exigencia de la previa superación de una fase de concurso que se erige en barrera infranqueable para todos los aspirantes que pretendan acceder por el turno libre”.</w:t>
      </w:r>
    </w:p>
    <w:p w:rsidR="00D06117" w:rsidRDefault="00D06117" w:rsidP="00D06117">
      <w:pPr>
        <w:pStyle w:val="TextoNormal"/>
      </w:pPr>
    </w:p>
    <w:p w:rsidR="00D06117" w:rsidRDefault="00D06117" w:rsidP="00D06117">
      <w:pPr>
        <w:pStyle w:val="TextoNormal"/>
      </w:pPr>
      <w:r>
        <w:t>Por las razones ahora expuestas el Fiscal General del Estado interesa, en primer término, la estimación de la cuestión de inconstitucionalidad y la anulación de la totalidad de la disposición transitoria cuarta y el anexo a la misma de la Ley del Parlamento de Andalucía 8/1997, de 23 de diciembre, y, subsidiariamente, la declaración de inconstitucionalidad del inciso “para acceder a la fase de oposición será necesario obtener una puntuación mínima de 4 puntos” del apartado primero del citado precepto, así como del apartado primero del baremo incluido que figura en el anexo.</w:t>
      </w:r>
    </w:p>
    <w:p w:rsidR="00D06117" w:rsidRDefault="00D06117" w:rsidP="00D06117">
      <w:pPr>
        <w:pStyle w:val="TextoNormal"/>
      </w:pPr>
    </w:p>
    <w:p w:rsidR="00D06117" w:rsidRDefault="00D06117" w:rsidP="00D06117">
      <w:pPr>
        <w:pStyle w:val="TextoNormal"/>
      </w:pPr>
      <w:r w:rsidRPr="00D06117">
        <w:rPr>
          <w:rStyle w:val="NumeroAFNegritaCaracter"/>
        </w:rPr>
        <w:t>12</w:t>
      </w:r>
      <w:r>
        <w:t>. La Letrada de la Junta de Andalucía formuló sus alegaciones el 14 de marzo de 2002, en los términos que seguidamente se resumen:</w:t>
      </w:r>
    </w:p>
    <w:p w:rsidR="00D06117" w:rsidRDefault="00D06117" w:rsidP="00D06117">
      <w:pPr>
        <w:pStyle w:val="TextoNormal"/>
      </w:pPr>
    </w:p>
    <w:p w:rsidR="00D06117" w:rsidRDefault="00D06117" w:rsidP="00D06117">
      <w:pPr>
        <w:pStyle w:val="TextoNormal"/>
      </w:pPr>
      <w:r>
        <w:t>a) Se interesa, en primer lugar, la inadmisión de la cuestión por no haberse cumplimentado el trámite de audiencia del art. 35.2 LOTC. Al respecto, se pone de relieve que las actuaciones son las mismas que las remitidas por el órgano judicial promotor de la cuestión núm. 935-2001. Es cierto que tanto ésta como la presente se elevan en el seno del mismo proceso judicial, lo que acaso pudiera justificar la ausencia de dicho trámite en aras del principio de economía procesal. El problema se plantea, sin embargo, desde el momento en que “las actuaciones procesales de referencia no se concretan exclusivamente a las propias del recurso contencioso-administrativo, sino que además, a los efectos constitucionales que nos interesan, también se refieren a las alegaciones vertidas por las partes y el Ministerio Fiscal conforme al trámite de audiencia que prevé el artículo 35.2 LOTC”.</w:t>
      </w:r>
    </w:p>
    <w:p w:rsidR="00D06117" w:rsidRDefault="00D06117" w:rsidP="00D06117">
      <w:pPr>
        <w:pStyle w:val="TextoNormal"/>
      </w:pPr>
    </w:p>
    <w:p w:rsidR="00D06117" w:rsidRDefault="00D06117" w:rsidP="00D06117">
      <w:pPr>
        <w:pStyle w:val="TextoNormal"/>
      </w:pPr>
      <w:r>
        <w:t>Respecto de dicho trámite indica la Letrada de la Junta de Andalucía que no es indiferente que se plantee una nueva cuestión de inconstitucionalidad o que se subsane el defecto procesal de la anteriormente inadmitida. O lo que es igual, no es de recibo que se vuelva a plantear nueva cuestión —tal parece ser el caso, al asignársele un nuevo número de tramitación— sin que por el tribunal a quo se vuelva a oír a las partes en los términos del art. 35.2 LOTC. Lo expuesto no supone negar la posibilidad —reconocida, entre otras resoluciones, por el ATC 42/1998, de 18 de febrero— de que el mismo órgano judicial plantee nuevamente la cuestión de inconstitucionalidad tras una primera inadmisión por razones de índole estrictamente formal, pero se precisa que el replanteamiento de la cuestión no pueda considerarse como una subsanación procesal en sí misma.</w:t>
      </w:r>
    </w:p>
    <w:p w:rsidR="00D06117" w:rsidRDefault="00D06117" w:rsidP="00D06117">
      <w:pPr>
        <w:pStyle w:val="TextoNormal"/>
      </w:pPr>
    </w:p>
    <w:p w:rsidR="00D06117" w:rsidRDefault="00D06117" w:rsidP="00D06117">
      <w:pPr>
        <w:pStyle w:val="TextoNormal"/>
      </w:pPr>
      <w:r>
        <w:t>El proceso constitucional ya fenecido, por inadmisión de la cuestión, no se reabre, aunque una nueva cuestión de inconstitucionalidad se plantee por el mismo órgano judicial y respecto del mismo precepto legal. Siendo esto así, resulta coherente exigir que ese órgano judicial recabe nuevamente el parecer de las partes antes de adoptar su decisión final. Coherente, en particular y según apunta la Letrada de la Junta de Andalucía, porque las partes, en el trámite de audiencia pueden limitarse a reproducir sus alegaciones anteriores o pueden aportar nuevos elementos por haber variado las circunstancias fácticas o jurídicas, como sucedería, por ejemplo, si entretanto este Tribunal Constitucional hubiera resuelto una cuestión de inconstitucionalidad sobre el mismo precepto.</w:t>
      </w:r>
    </w:p>
    <w:p w:rsidR="00D06117" w:rsidRDefault="00D06117" w:rsidP="00D06117">
      <w:pPr>
        <w:pStyle w:val="TextoNormal"/>
      </w:pPr>
    </w:p>
    <w:p w:rsidR="00D06117" w:rsidRDefault="00D06117" w:rsidP="00D06117">
      <w:pPr>
        <w:pStyle w:val="TextoNormal"/>
      </w:pPr>
      <w:r>
        <w:t>Pues bien, en este caso a la representación de la Administración de la Junta de Andalucía no se le concedió nueva audiencia conforme al art. 35.2 LOTC antes de adoptarse la decisión definitiva de elevar la presente cuestión de inconstitucionalidad. El órgano judicial se limitó a subsanar el defecto formal evidenciado en el ATC 217/2001, de 17 de julio, manifestando con ello una comprensión errónea de la entidad y alcance del proceso constitucional. Consecuentemente, se interesa, según se avanzó anteriormente, la inadmisión de la cuestión por este primer motivo procesal.</w:t>
      </w:r>
    </w:p>
    <w:p w:rsidR="00D06117" w:rsidRDefault="00D06117" w:rsidP="00D06117">
      <w:pPr>
        <w:pStyle w:val="TextoNormal"/>
      </w:pPr>
    </w:p>
    <w:p w:rsidR="00D06117" w:rsidRDefault="00D06117" w:rsidP="00D06117">
      <w:pPr>
        <w:pStyle w:val="TextoNormal"/>
      </w:pPr>
      <w:r>
        <w:t>b) También se solicita la inadmisión “por falta de relevancia constitucional de la cuestión elevada”. En este sentido se apunta que para la resolución del proceso contencioso-administrativo no es preciso el análisis de la constitucionalidad de la disposición transitoria cues</w:t>
      </w:r>
      <w:r>
        <w:lastRenderedPageBreak/>
        <w:t>tionada. Aquél —que se sustancia por el procedimiento especial de protección de los derechos fundamentales— tiene por objeto la impugnación de las órdenes de convocatoria de 19 de octubre de 1998, de concurso-oposición libre de los Cuerpos de gestión administrativa, “especialidad Administración General (B1100) y General de Administrativos (C1000)”, ostentando la actora la condición de funcionaria de la Junta de Andalucía.</w:t>
      </w:r>
    </w:p>
    <w:p w:rsidR="00D06117" w:rsidRDefault="00D06117" w:rsidP="00D06117">
      <w:pPr>
        <w:pStyle w:val="TextoNormal"/>
      </w:pPr>
    </w:p>
    <w:p w:rsidR="00D06117" w:rsidRDefault="00D06117" w:rsidP="00D06117">
      <w:pPr>
        <w:pStyle w:val="TextoNormal"/>
      </w:pPr>
      <w:r>
        <w:t>Pues bien, la representación de la Junta de Andalucía alegó en su momento la concurrencia de dos causas previas de inadmisibilidad del recurso contencioso-administrativo: inadecuación del procedimiento y falta de legitimación activa de la actora. Es evidente que la estimación de cualquiera de ellas hubiera determinado la no necesidad de planteamiento de esta cuestión de inconstitucionalidad. Con respecto a la primera causa de inadmisión, con la que se ponía de relieve que el problema era de estricta legalidad ordinaria sin relevancia constitucional alguna, la Sala de Sevilla otorgó trámite de audiencia a las partes, quienes formularon alegaciones, sin que el incidente llegara a resolverse. En cuanto a la segunda, se puso de relieve en el escrito de contestación a la demanda, pero tampoco ha recibido respuesta explícita. La conexión entre ambas causas es evidente: en nada afectan a los derechos fundamentales proclamados en los arts. 14 y 23.2 CE las órdenes recurridas, de modo que la vía procesal es inadecuada porque no se puede impedir el acceso a la función pública a quien ya es funcionario y goza, en cuanto tal, de las posibilidades de participar en los procesos de promoción interna. Y, lo que resulta más importante para la representación de la Junta de Andalucía, ninguna legitimación puede reconocerse a quien no ostenta un interés legítimo porque quien ya es funcionaria de la Administración autonómica ningún beneficio podía obtener con la anulación de las órdenes impugnadas.</w:t>
      </w:r>
    </w:p>
    <w:p w:rsidR="00D06117" w:rsidRDefault="00D06117" w:rsidP="00D06117">
      <w:pPr>
        <w:pStyle w:val="TextoNormal"/>
      </w:pPr>
    </w:p>
    <w:p w:rsidR="00D06117" w:rsidRDefault="00D06117" w:rsidP="00D06117">
      <w:pPr>
        <w:pStyle w:val="TextoNormal"/>
      </w:pPr>
      <w:r>
        <w:t>Consecuentemente, el correcto planteamiento de la presente cuestión de inconstitucionalidad hubiera requerido que el Auto se hubiera pronunciado con carácter previo sobre las dos excepciones de inadmisibilidad planteadas. Si se hubiesen examinado estas dos excepciones el contraste de constitucionalidad que ahora se pide resultaría superfluo en la medida en que para la resolución del recurso contencioso-administrativo de referencia bastaba la aplicación de las normas sobre legitimación y procedimiento de la Ley reguladora de la jurisdicción contencioso-administrativa y la jurisprudencia en la materia.</w:t>
      </w:r>
    </w:p>
    <w:p w:rsidR="00D06117" w:rsidRDefault="00D06117" w:rsidP="00D06117">
      <w:pPr>
        <w:pStyle w:val="TextoNormal"/>
      </w:pPr>
    </w:p>
    <w:p w:rsidR="00D06117" w:rsidRDefault="00D06117" w:rsidP="00D06117">
      <w:pPr>
        <w:pStyle w:val="TextoNormal"/>
      </w:pPr>
      <w:r>
        <w:t>La exposición de este segundo óbice procesal se cierra con la reproducción literal de algunos pasajes de resoluciones dictadas por este Tribunal Constitucional relativos a la formulación del juicio de relevancia con carácter previo al planteamiento de las cuestiones de inconstitucionalidad.</w:t>
      </w:r>
    </w:p>
    <w:p w:rsidR="00D06117" w:rsidRDefault="00D06117" w:rsidP="00D06117">
      <w:pPr>
        <w:pStyle w:val="TextoNormal"/>
      </w:pPr>
    </w:p>
    <w:p w:rsidR="00D06117" w:rsidRDefault="00D06117" w:rsidP="00D06117">
      <w:pPr>
        <w:pStyle w:val="TextoNormal"/>
      </w:pPr>
      <w:r>
        <w:t>c) Se solicita, igualmente, la inadmisión de los argumentos empleados en el Auto de planteamiento relativos a la posible vulneración del art. 9 CE. A este precepto no se hizo mención en la providencia de 24 de julio de 2000 dando apertura al trámite de audiencia en la cuestión de inconstitucionalidad luego inadmitida por el ATC 217/2001, por lo que resultó sustraído a las consideraciones de las partes personadas y del Ministerio Fiscal. Por consiguiente, de acuerdo con la constante doctrina constitucional al respecto, debiera excluirse, cuando menos, el análisis de esta duda de constitucionalidad.</w:t>
      </w:r>
    </w:p>
    <w:p w:rsidR="00D06117" w:rsidRDefault="00D06117" w:rsidP="00D06117">
      <w:pPr>
        <w:pStyle w:val="TextoNormal"/>
      </w:pPr>
    </w:p>
    <w:p w:rsidR="00D06117" w:rsidRDefault="00D06117" w:rsidP="00D06117">
      <w:pPr>
        <w:pStyle w:val="TextoNormal"/>
      </w:pPr>
      <w:r>
        <w:t xml:space="preserve">d) Entrando ya en el fondo de la cuestión destaca la Letrada de la Junta de Andalucía que estamos ante un sistema de acceso a la función pública “abierto o libre” que no contradice las exigencias constitucionales (por todas, STC 16/1998, de 26 de enero). Se trata de una </w:t>
      </w:r>
      <w:r>
        <w:lastRenderedPageBreak/>
        <w:t>convocatoria pública y libre que ha tomado la forma de concurso-oposición en la que se valoran los servicios efectivos prestados por los funcionarios interinos, con la única particularidad de que las órdenes de convocatoria entroncan directamente con las previsiones de la Ley 8/1997, de 23 de diciembre. No exigiéndose el haber prestado servicios en la Administración para participar en esta convocatoria no cabe hablar de pruebas restringidas sino de concurso-oposición abierto y libre en el que se valora la experiencia previa y sin que resulte inadecuada o extraña la exigencia de una puntuación mínima para la valoración de las pruebas —aquí, cuatro puntos para entender superada la fase de concurso—.</w:t>
      </w:r>
    </w:p>
    <w:p w:rsidR="00D06117" w:rsidRDefault="00D06117" w:rsidP="00D06117">
      <w:pPr>
        <w:pStyle w:val="TextoNormal"/>
      </w:pPr>
    </w:p>
    <w:p w:rsidR="00D06117" w:rsidRDefault="00D06117" w:rsidP="00D06117">
      <w:pPr>
        <w:pStyle w:val="TextoNormal"/>
      </w:pPr>
      <w:r>
        <w:t>Según recuerda la Letrada de la Junta de Andalucía, en el Auto de planteamiento se admite que la norma cuestionada permite la valoración, en la fase de concurso, de méritos distintos de la antigüedad, como la realización de cursos de formación, pero negándoles un peso significativo en el total de la puntuación que puedan obtener los concursantes. Además, se apunta que la realización de esos cursos de formación y la consiguiente obtención de los puntos sólo está accesible a quienes vinieran prestando ya sus servicios a la Administración autonómica. Sin embargo, apunta que en este particular el órgano judicial parte de un dato erróneo “dado que como acreditamos con el certificado que acompañamos (doc. 2), el Instituto Andaluz de Administración Pública homologa cursos realizados por entidades públicas o incluso privadas”.</w:t>
      </w:r>
    </w:p>
    <w:p w:rsidR="00D06117" w:rsidRDefault="00D06117" w:rsidP="00D06117">
      <w:pPr>
        <w:pStyle w:val="TextoNormal"/>
      </w:pPr>
    </w:p>
    <w:p w:rsidR="00D06117" w:rsidRDefault="00D06117" w:rsidP="00D06117">
      <w:pPr>
        <w:pStyle w:val="TextoNormal"/>
      </w:pPr>
      <w:r>
        <w:t>De modo que la duda a dilucidar se centra en determinar si nos hallamos, desde el punto de vista numérico, en el límite de lo constitucionalmente tolerable. A este respecto, señala la Letrada de la Junta de Andalucía que el órgano judicial promotor de la cuestión ha incurrido en un doble error en los cálculos plasmados en el Auto de planteamiento. De una parte, se recuerda que la representación de la Administración autonómica no ha afirmado en ningún momento que la antigüedad represente el 42 por 100 del total del proceso selectivo. De otra se apunta la inconveniencia de calcular el porcentaje de la puntuación de los servicios prestados en relación con una sola fase del proceso selectivo para después utilizar como parámetro de constitucionalidad los pronunciamientos del Tribunal Constitucional que atienden a los cálculos de los porcentajes de las puntuaciones de servicios previos pero referidos a la globalidad de los procesos selectivos enjuiciados (SSTC 185/1994, de 20 de junio, FJ 6; 11/1996, de 29 de enero, FJ 6, y 83/2000, que computan la previa experiencia docente como el 31,57 por 100 de los puntos). La STC 67/1989, de 18 de abril, falló un recurso de amparo respecto de orden de convocatoria de concurso oposición en el cual los servicios prestados podían suponer un 45 por 100 de la puntuación alcanzable en la fase de oposición, concluyendo que a pesar de ser mérito único en la fase de concurso, no excluía por entero de la competición a quienes carecieran de este mérito. La aplicación de esa doctrina al presente caso pone de manifiesto la conformidad a la Constitución del precepto legal cuestionado.</w:t>
      </w:r>
    </w:p>
    <w:p w:rsidR="00D06117" w:rsidRDefault="00D06117" w:rsidP="00D06117">
      <w:pPr>
        <w:pStyle w:val="TextoNormal"/>
      </w:pPr>
    </w:p>
    <w:p w:rsidR="00D06117" w:rsidRDefault="00D06117" w:rsidP="00D06117">
      <w:pPr>
        <w:pStyle w:val="TextoNormal"/>
      </w:pPr>
      <w:r>
        <w:t xml:space="preserve">La Letrada de la Junta de Andalucía concluye su escrito de alegaciones afirmando que “como demostramos en la fase de prueba y adelantamos en nuestro escrito de contestación a la demanda (hecho 1), y consta así en las actuaciones, según el listado provisional de valoración de méritos aportado, correspondiente a la Orden de convocatoria de proceso selectivo del Cuerpo D1000 de auxiliares administrativos (únicas actuaciones que se pudieron realizar antes de decretarse la suspensión cautelar), la baremación de la fase de concurso no sólo no ha impedido la participación de personas ajenas a la función pública, sino que además resulta que porcentualmente el 56,32% de los candidatos que ha superado la fase de </w:t>
      </w:r>
      <w:r>
        <w:lastRenderedPageBreak/>
        <w:t>concurso no son personal interino de la Junta de Andalucía”. De modo que, como quiera que la disconformidad que pueda existir con la baremación controvertida no merece reputarse por sí sola tacha de inconstitucionalidad, se solicita la inadmisión de la presente cuestión de inconstitucionalidad y, subsidiariamente, su desestimación.</w:t>
      </w:r>
    </w:p>
    <w:p w:rsidR="00D06117" w:rsidRDefault="00D06117" w:rsidP="00D06117">
      <w:pPr>
        <w:pStyle w:val="TextoNormal"/>
      </w:pPr>
    </w:p>
    <w:p w:rsidR="00D06117" w:rsidRDefault="00D06117" w:rsidP="00D06117">
      <w:pPr>
        <w:pStyle w:val="TextoNormal"/>
      </w:pPr>
      <w:r>
        <w:t>Se acompaña al escrito de alegaciones certificación expedida por el jefe del servicio de registro general de personal de la Dirección General de la función pública de la Junta de Andalucía el 6 de marzo de 2002, en la que se indica que la actora en el proceso contencioso-administrativo es funcionaria del cuerpo de auxiliares administrativos de la Junta de Andalucía (D 10), con antigüedad desde el 8 de octubre de 1990. Igualmente se declara que la citada funcionaria se encuentra en situación administrativa de servicio activo interrumpidamente desde esta última fecha y hasta la de expedición de la certificación.</w:t>
      </w:r>
    </w:p>
    <w:p w:rsidR="00D06117" w:rsidRDefault="00D06117" w:rsidP="00D06117">
      <w:pPr>
        <w:pStyle w:val="TextoNormal"/>
      </w:pPr>
    </w:p>
    <w:p w:rsidR="00D06117" w:rsidRDefault="00D06117" w:rsidP="00D06117">
      <w:pPr>
        <w:pStyle w:val="TextoNormal"/>
      </w:pPr>
      <w:r w:rsidRPr="00D06117">
        <w:rPr>
          <w:rStyle w:val="NumeroAFNegritaCaracter"/>
        </w:rPr>
        <w:t>13</w:t>
      </w:r>
      <w:r>
        <w:t>. El escrito de alegaciones del Parlamento de Andalucía se recibió en este Tribunal Constitucional el 15 de marzo de 2002.</w:t>
      </w:r>
    </w:p>
    <w:p w:rsidR="00D06117" w:rsidRDefault="00D06117" w:rsidP="00D06117">
      <w:pPr>
        <w:pStyle w:val="TextoNormal"/>
      </w:pPr>
    </w:p>
    <w:p w:rsidR="00D06117" w:rsidRDefault="00D06117" w:rsidP="00D06117">
      <w:pPr>
        <w:pStyle w:val="TextoNormal"/>
      </w:pPr>
      <w:r>
        <w:t>A) En primer lugar, y al igual que hiciera la Letrada de la Junta de Andalucía, se solicita la inadmisión de la cuestión por insuficiencia del juicio de relevancia.</w:t>
      </w:r>
    </w:p>
    <w:p w:rsidR="00D06117" w:rsidRDefault="00D06117" w:rsidP="00D06117">
      <w:pPr>
        <w:pStyle w:val="TextoNormal"/>
      </w:pPr>
    </w:p>
    <w:p w:rsidR="00D06117" w:rsidRDefault="00D06117" w:rsidP="00D06117">
      <w:pPr>
        <w:pStyle w:val="TextoNormal"/>
      </w:pPr>
      <w:r>
        <w:t>Debido a las circunstancias concurrentes en el caso sometido al conocimiento del órgano judicial promotor de la cuestión puede afirmarse que de la mera aplicación al mismo del precepto legal cuestionado no se deduce sin más que sea relevante para el fallo. En el escrito de contestación a la demanda, la Administración autonómica ya planteó la falta de legitimación activa de la recurrente, óbice sobre el que no se ha pronunciado el órgano judicial, “de forma que ni siquiera indiciariamente se desprende que la causa de inadmisibilidad vaya a ser rechazada”. Frente a ello no puede aducirse que la resolución de este extremo debe hacerse en la Sentencia, a dictar tras la conclusión de este proceso constitucional, pues se trata de una cuestión de legalidad ordinaria y de la exclusiva competencia del órgano judicial.</w:t>
      </w:r>
    </w:p>
    <w:p w:rsidR="00D06117" w:rsidRDefault="00D06117" w:rsidP="00D06117">
      <w:pPr>
        <w:pStyle w:val="TextoNormal"/>
      </w:pPr>
    </w:p>
    <w:p w:rsidR="00D06117" w:rsidRDefault="00D06117" w:rsidP="00D06117">
      <w:pPr>
        <w:pStyle w:val="TextoNormal"/>
      </w:pPr>
      <w:r>
        <w:t>Tampoco desde la perspectiva de la cuestión de fondo planteada en el proceso a quo puede ser suficiente, a efectos de la exteriorización y determinación del juicio de relevancia, la mera invocación de que las órdenes impugnadas son reproducción de la norma legal cuestionada. Desde esa misma perspectiva hubiera sido necesario que se hubiese justificado en qué medida esa norma legal lesiona el derecho de la recurrente a acceder en condiciones de igualdad a las funciones públicas habida cuenta de que el recurso se sustancia por el procedimiento especial de protección de los derechos fundamentales.</w:t>
      </w:r>
    </w:p>
    <w:p w:rsidR="00D06117" w:rsidRDefault="00D06117" w:rsidP="00D06117">
      <w:pPr>
        <w:pStyle w:val="TextoNormal"/>
      </w:pPr>
    </w:p>
    <w:p w:rsidR="00D06117" w:rsidRDefault="00D06117" w:rsidP="00D06117">
      <w:pPr>
        <w:pStyle w:val="TextoNormal"/>
      </w:pPr>
      <w:r>
        <w:t>Además, en el Auto de planteamiento se hace referencia a la eventual discriminación de dos colectivos, el de funcionarios de carrera y el de interinos provenientes de otras Administraciones públicas, sin que se especifique en cuál de ellos se incluiría a la demandante, que ostenta la condición de funcionaria del cuerpo de auxiliares administrativos de la Junta de Andalucía, con orden de nombramiento de 25 de septiembre de 1990.</w:t>
      </w:r>
    </w:p>
    <w:p w:rsidR="00D06117" w:rsidRDefault="00D06117" w:rsidP="00D06117">
      <w:pPr>
        <w:pStyle w:val="TextoNormal"/>
      </w:pPr>
    </w:p>
    <w:p w:rsidR="00D06117" w:rsidRDefault="00D06117" w:rsidP="00D06117">
      <w:pPr>
        <w:pStyle w:val="TextoNormal"/>
      </w:pPr>
      <w:r>
        <w:t>B) También se interesa la inadmisión del apartado segundo de la disposición transitoria cuarta de la Ley del Parlamento de Andalucía 8/1997, de 23 de diciembre, por no ser de aplicación al caso. Este apartado se refiere a las convocatorias correspondientes a dotaciones de personal laboral existentes a 31 de diciembre de 1995. Amén de que en el Auto de plan</w:t>
      </w:r>
      <w:r>
        <w:lastRenderedPageBreak/>
        <w:t>teamiento no se hace referencia alguna a este apartado se subraya que no resultaría de aplicación al proceso a quo, por lo que debiera quedar al margen del enjuiciamiento de este Tribunal Constitucional conforme a la doctrina constante plasmada, entre otras, en las SSTC 54/1983, FJ 1; 75/1983, FJ 1; y 161/1997, FJ 2.</w:t>
      </w:r>
    </w:p>
    <w:p w:rsidR="00D06117" w:rsidRDefault="00D06117" w:rsidP="00D06117">
      <w:pPr>
        <w:pStyle w:val="TextoNormal"/>
      </w:pPr>
    </w:p>
    <w:p w:rsidR="00D06117" w:rsidRDefault="00D06117" w:rsidP="00D06117">
      <w:pPr>
        <w:pStyle w:val="TextoNormal"/>
      </w:pPr>
      <w:r>
        <w:t>C) Tras sintetizar la doctrina elaborada por este Tribunal Constitucional en torno al art. 23.2 CE que se entiende de aplicación al caso, se examina la naturaleza y características de los procesos selectivos regulados por la disposición transitoria cuarta de la Ley autonómica 8/1997, a fin de ilustrar sobre la inaplicabilidad a las mismas de las limitaciones que el Tribunal Constitucional ha impuesto a las pruebas restringidas.</w:t>
      </w:r>
    </w:p>
    <w:p w:rsidR="00D06117" w:rsidRDefault="00D06117" w:rsidP="00D06117">
      <w:pPr>
        <w:pStyle w:val="TextoNormal"/>
      </w:pPr>
    </w:p>
    <w:p w:rsidR="00D06117" w:rsidRDefault="00D06117" w:rsidP="00D06117">
      <w:pPr>
        <w:pStyle w:val="TextoNormal"/>
      </w:pPr>
      <w:r>
        <w:t>Al respecto se rechaza que las pruebas selectivas a las que alcanzan las previsiones del precepto legal cuestionado revistan la condición de restringidas, entendiendo por tales aquellas que se reservan a colectivos concretos que se determinan apriorísticamente en la propia convocatoria mediante el establecimiento, para acceder al correspondiente proceso selectivo, de requisitos adicionales a los generales fijados por las leyes para el acceso a la función pública y que suponen una restricción previa a la participación en ese proceso selectivo. Tal era el caso del proceso selectivo contemplado en la STC 60/1994, donde se introducía el requisito adicional de haber prestado un mínimo de dos años de servicio en asesoramiento y defensa en juicio de las Administraciones central y autonómica, o el de las pruebas selectivas convocadas al amparo de la disposición transitoria sexta de la Ley 6/1985, de ordenación de la función pública de la Junta de Andalucía, sobre cuya constitucionalidad se pronunció la STC 27/1991.</w:t>
      </w:r>
    </w:p>
    <w:p w:rsidR="00D06117" w:rsidRDefault="00D06117" w:rsidP="00D06117">
      <w:pPr>
        <w:pStyle w:val="TextoNormal"/>
      </w:pPr>
    </w:p>
    <w:p w:rsidR="00D06117" w:rsidRDefault="00D06117" w:rsidP="00D06117">
      <w:pPr>
        <w:pStyle w:val="TextoNormal"/>
      </w:pPr>
      <w:r>
        <w:t>Recuerda, por otro lado, el Parlamento de Andalucía, que el propio Tribunal Constitucional ha declarado que el mero hecho de que en el proceso selectivo se valore como mérito la experiencia previa en la Administración no implica la existencia de pruebas restringidas, pues no es posible hablar de las mismas “cuando no se impide el acceso al concurso a quienes no ocupen interinamente las plazas ofertadas” (STC 12/1999, FJ 4; en parecidos términos, STC 185/1994, FJ 4, o la STC 83/2000, FJ 4). De modo que no puede hablarse de pruebas restringidas cuando están abiertas a cualquier ciudadano y cuando la exclusión del proceso selectivo se produce tras su iniciación y como consecuencia precisamente del mismo. Esta es la esencia misma del proceso selectivo como procedimiento de concurrencia competitiva.</w:t>
      </w:r>
    </w:p>
    <w:p w:rsidR="00D06117" w:rsidRDefault="00D06117" w:rsidP="00D06117">
      <w:pPr>
        <w:pStyle w:val="TextoNormal"/>
      </w:pPr>
    </w:p>
    <w:p w:rsidR="00D06117" w:rsidRDefault="00D06117" w:rsidP="00D06117">
      <w:pPr>
        <w:pStyle w:val="TextoNormal"/>
      </w:pPr>
      <w:r>
        <w:t>La lectura de la disposición transitoria cuestionada y del anexo que la acompaña permite comprobar que no se aborda la fase de admisión a las pruebas selectivas ni se fijan los requisitos o presupuestos para participar en ellas, con lo que difícilmente se les puede imputar la configuración de unas pruebas restringidas. Sólo se determinan las plazas objeto de la convocatoria (plazas correspondientes a dotaciones de personal interino de la Administración de la Junta de Andalucía existentes a 31 de diciembre de 1995); el proceso selectivo (concurso-oposición libre), así como los elementos y características que configuran las distintas fases del mismo. “Resumiendo, esta disposición sólo establece las plazas que pueden ser objeto de la convocatoria y las normas para la selección de los candidatos que hayan sido previamente admitidos para participar en el proceso, reservando a las distintas Órdenes de convocatoria la regulación de la fase de admisión y la determinación de los requisitos que han de reunir los aspirantes”.</w:t>
      </w:r>
    </w:p>
    <w:p w:rsidR="00D06117" w:rsidRDefault="00D06117" w:rsidP="00D06117">
      <w:pPr>
        <w:pStyle w:val="TextoNormal"/>
      </w:pPr>
    </w:p>
    <w:p w:rsidR="00D06117" w:rsidRDefault="00D06117" w:rsidP="00D06117">
      <w:pPr>
        <w:pStyle w:val="TextoNormal"/>
      </w:pPr>
      <w:r>
        <w:lastRenderedPageBreak/>
        <w:t>Dicho esto se añade que tampoco estas Órdenes incluyen restricción alguna al principio de libertad de acceso de los ciudadanos a las pruebas selectivas que pueda reputarse contraria al art. 23.2 CE. Para ilustrarlo se reproduce la base segunda de las convocatorias, haciéndose hincapié en que los requisitos exigidos ya figuran en el art. 30 de la Ley de funcionarios civiles del Estado y se prevén en el art. 35 de la Ley 30/1984, de medidas para la reforma de la función pública y disposición adicional quinta de la Ley 6/1985, de Ordenación de la función pública de la Junta de Andalucía.</w:t>
      </w:r>
    </w:p>
    <w:p w:rsidR="00D06117" w:rsidRDefault="00D06117" w:rsidP="00D06117">
      <w:pPr>
        <w:pStyle w:val="TextoNormal"/>
      </w:pPr>
    </w:p>
    <w:p w:rsidR="00D06117" w:rsidRDefault="00D06117" w:rsidP="00D06117">
      <w:pPr>
        <w:pStyle w:val="TextoNormal"/>
      </w:pPr>
      <w:r>
        <w:t>Habiéndose descartado que se trate de pruebas restringidas, para dilucidar si son discriminatorias habrá que examinar únicamente si el legislador ha sobrepasado los límites que derivan del principio de igualdad consagrado en el art. 23.2 CE. Sobre este particular se destaca la importancia de la doctrina establecida en la STC 83/2000, donde se afirma que “del hecho de que la Ley configure este sistema de acceso como excepcional y transitorio no cabe deducir que sean dichas circunstancias las que determinan que el mismo pueda considerarse contrario al derecho fundamental que consagra el art. 23.2 en relación con el art. 103.3 de la Constitución, pues esta vulneración constitucional sólo podrá apreciarse cuando el sistema sea en sí mismo contrario al principio de igualdad”.</w:t>
      </w:r>
    </w:p>
    <w:p w:rsidR="00D06117" w:rsidRDefault="00D06117" w:rsidP="00D06117">
      <w:pPr>
        <w:pStyle w:val="TextoNormal"/>
      </w:pPr>
    </w:p>
    <w:p w:rsidR="00D06117" w:rsidRDefault="00D06117" w:rsidP="00D06117">
      <w:pPr>
        <w:pStyle w:val="TextoNormal"/>
      </w:pPr>
      <w:r>
        <w:t>D) Seguidamente se analizan las discriminaciones denunciadas en relación con los aspirantes que carecen de experiencia previa en la Administración. Frente a lo sostenido en el Auto de planteamiento se defiende que las previsiones legales no impiden a dichos aspirantes superar la fase de concurso.</w:t>
      </w:r>
    </w:p>
    <w:p w:rsidR="00D06117" w:rsidRDefault="00D06117" w:rsidP="00D06117">
      <w:pPr>
        <w:pStyle w:val="TextoNormal"/>
      </w:pPr>
    </w:p>
    <w:p w:rsidR="00D06117" w:rsidRDefault="00D06117" w:rsidP="00D06117">
      <w:pPr>
        <w:pStyle w:val="TextoNormal"/>
      </w:pPr>
      <w:r>
        <w:t>a) Se examina en primer lugar la valoración de las titulaciones académicas. Para el Parlamento de Andalucía, cuestionar la puntuación dada a las mismas es tanto como discutir la potestad del legislador autonómico para determinar los méritos que deben ser valorados en el concurso y la importancia cuantitativa que se les debe atribuir, inmiscuyéndose en un ámbito atribuido al legislador por el art. 23.2 CE.</w:t>
      </w:r>
    </w:p>
    <w:p w:rsidR="00D06117" w:rsidRDefault="00D06117" w:rsidP="00D06117">
      <w:pPr>
        <w:pStyle w:val="TextoNormal"/>
      </w:pPr>
    </w:p>
    <w:p w:rsidR="00D06117" w:rsidRDefault="00D06117" w:rsidP="00D06117">
      <w:pPr>
        <w:pStyle w:val="TextoNormal"/>
      </w:pPr>
      <w:r>
        <w:t>Dicho esto se afirma que no hay vulneración alguna de este precepto por el hecho de otorgar hasta un máximo de dos puntos por cada titulación oficial, distinta de la requerida, de igual o superior nivel al correspondiente del cuerpo y especialidad a la que se opta. Con independencia de otras consideraciones, no existe norma superior que conceda a los aspirantes con más de una titulación y ningún otro mérito el derecho a la superación del proceso selectivo o la fase de concurso, invocándose al respecto la STC 148/1986, FJ 8. Además, tratándose de un derecho de configuración legal, el legislador es el único competente para definir el perfil necesario para superar el proceso selectivo atendiendo a las características de los puestos a cubrir. Y en este caso el legislador ha entendido que, en atención al fin perseguido, la experiencia previa ha de merecer una mayor puntuación, lo que resulta plenamente acorde con la doctrina resumida en la STC 185/1994, FJ 5.</w:t>
      </w:r>
    </w:p>
    <w:p w:rsidR="00D06117" w:rsidRDefault="00D06117" w:rsidP="00D06117">
      <w:pPr>
        <w:pStyle w:val="TextoNormal"/>
      </w:pPr>
    </w:p>
    <w:p w:rsidR="00D06117" w:rsidRDefault="00D06117" w:rsidP="00D06117">
      <w:pPr>
        <w:pStyle w:val="TextoNormal"/>
      </w:pPr>
      <w:r>
        <w:t xml:space="preserve">Por otra parte, se apunta que la puntuación otorgada a la experiencia previa no es parámetro idóneo para comparar la valoración de las titulaciones académicas pues se trata de méritos de distinta naturaleza que ponen de manifiesto una aptitud o capacidad diferente para el ejercicio de las funciones públicas y que, por ello, no exigen un tratamiento idéntico. Desde la perspectiva del principio de igualdad lo único que podría considerarse relevante es que la puntuación dada a la experiencia previa como interino fuera de tal entidad que con </w:t>
      </w:r>
      <w:r>
        <w:lastRenderedPageBreak/>
        <w:t>ella se estuviera impidiendo el acceso a la función pública a quienes no pudieran aducir este mérito, pero no que la puntuación de las titulaciones académicas sea inferior.</w:t>
      </w:r>
    </w:p>
    <w:p w:rsidR="00D06117" w:rsidRDefault="00D06117" w:rsidP="00D06117">
      <w:pPr>
        <w:pStyle w:val="TextoNormal"/>
      </w:pPr>
    </w:p>
    <w:p w:rsidR="00D06117" w:rsidRDefault="00D06117" w:rsidP="00D06117">
      <w:pPr>
        <w:pStyle w:val="TextoNormal"/>
      </w:pPr>
      <w:r>
        <w:t>Se concluye este apartado afirmando que “no existe indicio racional alguno del cual se pueda deducir que la finalidad de la norma haya sido excluir del proceso selectivo a los aspirantes que poseen esta preparación académica en beneficio de los que sólo poseen experiencia previa en la Administración; ello no se deduce ni de la configuración global que se hace del procedimiento selectivo, ni de la relevancia cuantitativa que se otorga a ese mérito, que es perfectamente adecuada al fin que persigue la disposición impugnada, el cual no consiste tanto en incluir en la función pública andaluza a personas con una excepcional preparación académica, sino en la normalización de la situación singular de la misma y en la eficacia de la Administración Pública”. Estos fines se corresponden con la mayor puntuación asignada a quienes pueden aportar desde un principio más a la eficacia de la actuación administrativa por la experiencia que incorporan.</w:t>
      </w:r>
    </w:p>
    <w:p w:rsidR="00D06117" w:rsidRDefault="00D06117" w:rsidP="00D06117">
      <w:pPr>
        <w:pStyle w:val="TextoNormal"/>
      </w:pPr>
    </w:p>
    <w:p w:rsidR="00D06117" w:rsidRDefault="00D06117" w:rsidP="00D06117">
      <w:pPr>
        <w:pStyle w:val="TextoNormal"/>
      </w:pPr>
      <w:r>
        <w:t>b) Sobre la valoración de los cursos de formación y perfeccionamiento profesional se señala que carece de todo fundamento la afirmación, recogida en el Auto de planteamiento, de que sólo pueden aducir este mérito quienes ya presten servicios a la Administración. En opinión del Parlamento de Andalucía, se confunden los cursos previstos en el anexo de la ley con los cursos organizados por las Administraciones públicas para la formación y perfeccionamiento de su propio personal. Ante la generalidad y abstracción que presenta el apartado segundo del baremo, donde se recoge este mérito, y la multitud de tareas que pueden desempeñar los funcionarios de la Administración autonómica, la determinación de los concretos cursos impartidos u homologados por entidades, instituciones o centros públicos susceptibles de ser subsumidos en el supuesto de hecho de la norma es tarea imposible, que además excede del ámbito del proceso constitucional ya que se trata de una cuestión de hecho cuya apreciación corresponde a los tribunales encargados de resolver los procesos selectivos que se convoquen, a la vista de los méritos alegados por los participantes, o, en su caso, a los órganos judiciales que fiscalicen la actuación de estos tribunales. Sin perjuicio de lo cual se apunta que una interpretación como la sostenida en el Auto de planteamiento hubiera requerido que la ley únicamente hiciera mención expresa a los cursos de formación de funcionarios públicos, lo que no sucede en este caso, donde el baremo comprende cursos organizados por el Instituto Andaluz de Administración Pública o por las distintas Administraciones públicas para la formación y perfeccionamiento de su personal, hasta los cursos impartidos en materias relacionadas con las tareas propias del conjunto de puestos de trabajo por múltiples instituciones, entidades y centros públicos existentes abiertos no sólo a los funcionarios públicos sino al conjunto de ciudadanos, como es el caso de los cursos organizados por el INEM.</w:t>
      </w:r>
    </w:p>
    <w:p w:rsidR="00D06117" w:rsidRDefault="00D06117" w:rsidP="00D06117">
      <w:pPr>
        <w:pStyle w:val="TextoNormal"/>
      </w:pPr>
    </w:p>
    <w:p w:rsidR="00D06117" w:rsidRDefault="00D06117" w:rsidP="00D06117">
      <w:pPr>
        <w:pStyle w:val="TextoNormal"/>
      </w:pPr>
      <w:r>
        <w:t xml:space="preserve">Por otra parte, el hecho de que en el anexo se haga mención a cursos realizados u homologados por entidades, instituciones y centros públicos y no a los cursos de formación de empleados públicos pone por sí solo de manifiesto que el supuesto de hecho contemplado en la norma es más amplio de lo que sugiere la interpretación del órgano judicial promotor de la cuestión. Como ejemplo de esos cursos externos se cita la resolución del Instituto Andaluz de Administración Pública de 10 de enero de 2002, por la que se determina el procedimiento de homologación de acciones formativas realizadas por promotores externos. También se destaca la aplicabilidad de la doctrina contenida en la STC 185/1994, donde se controvertía la Orden de la Consejería de Educación y Ciencia de la Junta de Andalucía, de </w:t>
      </w:r>
      <w:r>
        <w:lastRenderedPageBreak/>
        <w:t>25 de abril de 1991, por la que se convocaban pruebas para el acceso a la función pública docente. En aquella ocasión este Tribunal Constitucional declaró que “el único atisbo de potencial discriminación podría apreciarse respecto de la afirmación de los recurrentes de que sólo los profesores interinos tienen acceso a los cursos de formación impartidos por las Administraciones educativas y las Universidades, aunque es lo cierto que ninguna norma impide con carácter general y excluyente a los futuros aspirantes no interinos acceder a esta clase de cursos y por ello, como declaró el Tribunal Supremo en la sentencia cuya anulación ahora se pretende, estos no son privativos de ningún colectivo, pudiendo haber sido realizados indistintamente por todos los aspirantes” (FJ 5). Aquí no sólo se admiten los cursos organizados por las Administraciones públicas y las Universidades sino también los impartidos por otras instituciones, entidades y centros públicos y privados, siempre que hayan sido homologados.</w:t>
      </w:r>
    </w:p>
    <w:p w:rsidR="00D06117" w:rsidRDefault="00D06117" w:rsidP="00D06117">
      <w:pPr>
        <w:pStyle w:val="TextoNormal"/>
      </w:pPr>
    </w:p>
    <w:p w:rsidR="00D06117" w:rsidRDefault="00D06117" w:rsidP="00D06117">
      <w:pPr>
        <w:pStyle w:val="TextoNormal"/>
      </w:pPr>
      <w:r>
        <w:t>Finalmente, tampoco los criterios de valoración de esos cursos merecen reproche desde la perspectiva del art. 23.2 CE por hallarse directamente relacionados con los principios de mérito y capacidad. Así la exigencia de que los cursos estén impartidos u homologados por instituciones públicas es una garantía de la realidad, autenticidad y contenido de los cursos y, por otra parte, la exigencia de que los contenidos del curso guarden relación directa con las tareas propias de los puestos de trabajo de los cuerpos y especialidades a que se opta no es sino la consecuencia de la conexión entre ese mérito y la aptitud o capacitación que debe demostrarse para el desempeño de las funciones asignadas a los puestos y cuerpos a los que se pretende acceder.</w:t>
      </w:r>
    </w:p>
    <w:p w:rsidR="00D06117" w:rsidRDefault="00D06117" w:rsidP="00D06117">
      <w:pPr>
        <w:pStyle w:val="TextoNormal"/>
      </w:pPr>
    </w:p>
    <w:p w:rsidR="00D06117" w:rsidRDefault="00D06117" w:rsidP="00D06117">
      <w:pPr>
        <w:pStyle w:val="TextoNormal"/>
      </w:pPr>
      <w:r>
        <w:t>c) Sobre la relevancia cuantitativa de la experiencia previa comienza el Parlamento de Andalucía sentando como premisa la imposibilidad de discutir que aquélla constituya un mérito susceptible de valoración conforme al art. 23.2 CE. Así lo reconoce el órgano judicial promotor de la cuestión y así lo afirma la STC 83/2000, entre otras. Por otra parte, en el presente caso no hay doble valoración y los servicios prestados no se configuran como requisito de acceso al proceso selectivo, centrándose la discusión en la dimensión numérica concedida a este mérito.</w:t>
      </w:r>
    </w:p>
    <w:p w:rsidR="00D06117" w:rsidRDefault="00D06117" w:rsidP="00D06117">
      <w:pPr>
        <w:pStyle w:val="TextoNormal"/>
      </w:pPr>
    </w:p>
    <w:p w:rsidR="00D06117" w:rsidRDefault="00D06117" w:rsidP="00D06117">
      <w:pPr>
        <w:pStyle w:val="TextoNormal"/>
      </w:pPr>
      <w:r>
        <w:t>En esta ocasión los 9,5 puntos que el baremo concede a la experiencia previa representan el 65,51 por 100 de la puntuación total que se puede obtener en fase de concurso, porcentaje que se encuentra muy por encima del 45 por 100 aceptado como límite en la STC 67/1989. Ahora bien, lo verdaderamente importante para extraer conclusiones de la superación de ese límite consiste en averiguar si la fase del concurso es decisiva en el procedimiento selectivo, configurándose la fase de oposición como un mero trámite tendente a fijar el orden de prelación entre los previamente seleccionados. No es aquí así porque aunque el concurso tenga carácter eliminatorio esto es algo común a todas las fases intermedias de un proceso selectivo. De ello se deduce, a su vez, “que en la fase de concurso, los puntos de más que se obtengan por encima de esta puntuación mínima son totalmente neutrales y que, por tanto, el juicio de proporcionalidad que efectúa el Tribunal a quo, circunscrito exclusivamente a la fase de concurso, carece totalmente de sentido a efectos de determinar la relevancia cuantitativa que los servicios previos tienen en el procedimiento de selección de los aspirantes”.</w:t>
      </w:r>
    </w:p>
    <w:p w:rsidR="00D06117" w:rsidRDefault="00D06117" w:rsidP="00D06117">
      <w:pPr>
        <w:pStyle w:val="TextoNormal"/>
      </w:pPr>
    </w:p>
    <w:p w:rsidR="00D06117" w:rsidRDefault="00D06117" w:rsidP="00D06117">
      <w:pPr>
        <w:pStyle w:val="TextoNormal"/>
      </w:pPr>
      <w:r>
        <w:t xml:space="preserve">Para ilustrar la realidad de lo expuesto se reproduce el apartado primero de la disposición transitoria cuestionada, donde se señala que “para acceder a la fase de oposición será necesario obtener una puntuación mínima de 4 puntos” y que “para superar los ejercicios será </w:t>
      </w:r>
      <w:r>
        <w:lastRenderedPageBreak/>
        <w:t>necesario obtener un mínimo de 5 puntos en cada uno de ellos”, previéndose la suma de puntos de ambas fases para determinar el resultado definitivo, sin que los puntos obtenidos en la fase de concurso puedan ser aplicados para superar la de oposición. De donde se concluye, a juicio del Parlamento de Andalucía, “que en contra de lo que se manifiesta en el Auto de planteamiento de la cuestión, la experiencia previa en la Administración no es un requisito para acceder a la fase de oposición, pues con independencia de que por este mérito se puedan obtener 9,5 puntos y de que esta puntuación represente el 65,51% de la puntuación total que se puede obtener en la fase de concurso, para la superación de la misma basta obtener 4 puntos, con lo cual los 5,5 restantes son neutrales en esta fase y sólo adquieren relevancia al final del procedimiento selectivo cuando sirvan para determinar la puntuación definitiva de aquellos aspirantes que hayan aprobado previamente la fase de oposición”.</w:t>
      </w:r>
    </w:p>
    <w:p w:rsidR="00D06117" w:rsidRDefault="00D06117" w:rsidP="00D06117">
      <w:pPr>
        <w:pStyle w:val="TextoNormal"/>
      </w:pPr>
    </w:p>
    <w:p w:rsidR="00D06117" w:rsidRDefault="00D06117" w:rsidP="00D06117">
      <w:pPr>
        <w:pStyle w:val="TextoNormal"/>
      </w:pPr>
      <w:r>
        <w:t>A lo anterior se añade que con los cuatro puntos necesarios para superar la fase de concurso pueden ser obtenidos igualmente por los que se denominan en el Auto de planteamiento “opositores libres” o “de fuera de la Administración”, quienes, además de los cinco puntos que admite en línea de principio el órgano judicial, pueden obtener otros cinco puntos más por experiencia, lo que hace un total de diez puntos en relación con la máxima de 14,5 que podrían obtener quienes aleguen antigüedad. Efectivamente, en el párrafo c) del apartado 1 del baremo de méritos se puntúa la “experiencia profesional distinta de la contemplada en los dos apartados anteriores en actividades o puestos que supongan el desarrollo de tareas de contenido similar o equivalente”, lo que permite valorar la experiencia atesorada fuera de la Administración pública. Se puede dar, por tanto, el caso, de que un aspirante ajeno a la Administración autonómica obtenga en la fase de concurso mayor puntuación que el interino que sólo pueda alegar la experiencia previa y “también (puesto que la puntuación máxima que se puede obtener en el concurso es de 14,5 puntos) que en igualdad de condiciones en cuanto a titulaciones y cursos de formación, los puntos de más o la prima que los interinos puedan obtener en esta fase (y en el conjunto del proceso selectivo ya que en la oposición todos los aspirantes son tratados por igual) son 4,5 y no 9,5 puntos como se afirma en el Auto de planteamiento de la cuestión de inconstitucionalidad, lo que representa no el 65,51%, sino el 31,03% del total de puntos del concurso, porcentaje que se encuentra muy por debajo del tope del 42% que el órgano judicial admite como neutral”.</w:t>
      </w:r>
    </w:p>
    <w:p w:rsidR="00D06117" w:rsidRDefault="00D06117" w:rsidP="00D06117">
      <w:pPr>
        <w:pStyle w:val="TextoNormal"/>
      </w:pPr>
    </w:p>
    <w:p w:rsidR="00D06117" w:rsidRDefault="00D06117" w:rsidP="00D06117">
      <w:pPr>
        <w:pStyle w:val="TextoNormal"/>
      </w:pPr>
      <w:r>
        <w:t>Insiste la representación del Parlamento de Andalucía en que el porcentaje que la puntuación por experiencia previa representa en la fase de concurso es irrelevante porque, desde el momento en que esta fase se puede superar con cuatro puntos los que se obtengan de más serán neutrales para el acceso a la fase de oposición. Será necesario acudir a la puntuación global que se puede alcanzar en el proceso selectivo, que asciende a 34,5 puntos, respecto de los cuales los porcentajes que representan la prima real de 4,5 puntos que pueden obtener los interinos o los 9,5 puntos que éstos pueden obtener por experiencia previa son el 13,14 y el 27,54 por 100, respectivamente; “los dos muy por debajo de las cifras aceptadas por el Tribunal Constitucional como límite de lo tolerable admitido (el 45% en la STC 69/1987, o el 31,57% en las SSTC 135/1984 u 83/2000)”.</w:t>
      </w:r>
    </w:p>
    <w:p w:rsidR="00D06117" w:rsidRDefault="00D06117" w:rsidP="00D06117">
      <w:pPr>
        <w:pStyle w:val="TextoNormal"/>
      </w:pPr>
    </w:p>
    <w:p w:rsidR="00D06117" w:rsidRDefault="00D06117" w:rsidP="00D06117">
      <w:pPr>
        <w:pStyle w:val="TextoNormal"/>
      </w:pPr>
      <w:r>
        <w:t xml:space="preserve">Recapitulando lo expuesto se reitera que los cuatro puntos necesarios para superar la fase de concurso se pueden obtener sin necesidad de haber prestado servicios en la Administración, por lo que cabe su superación por quienes participen desde fuera de la misma; que la ventaja que tiene el aspirante que concursa con la antigüedad máxima valorable no es de 14,5 puntos frente a cero o 5 puntos, sino de 14,5 frente a 10, por lo que la prima que se </w:t>
      </w:r>
      <w:r>
        <w:lastRenderedPageBreak/>
        <w:t>concede es realmente de 4,5 puntos, lo que representa un 31,03 por 100 de la puntuación, muy por debajo del tope admitido como neutral por el propio órgano judicial promotor de la cuestión. Y, para concluir, que aunque se admitiese que la experiencia previa representa el 65,51 por 100 de los puntos que se pueden alcanzar en la fase de concurso, esto es irrelevante porque los puntos de más que pueden obtener quienes acrediten experiencia previa en la Administración sólo operan al final del proceso selectivo y en la puntuación global el mismo los 9,5 puntos sólo representan el 27,54 por 100, puntuación aceptada como neutral por el órgano judicial.</w:t>
      </w:r>
    </w:p>
    <w:p w:rsidR="00D06117" w:rsidRDefault="00D06117" w:rsidP="00D06117">
      <w:pPr>
        <w:pStyle w:val="TextoNormal"/>
      </w:pPr>
    </w:p>
    <w:p w:rsidR="00D06117" w:rsidRDefault="00D06117" w:rsidP="00D06117">
      <w:pPr>
        <w:pStyle w:val="TextoNormal"/>
      </w:pPr>
      <w:r>
        <w:t>E) Se analizan, seguidamente, la posibilidad de discriminación respecto de los funcionarios de carrera y los interinos de otras Administraciones públicas.</w:t>
      </w:r>
    </w:p>
    <w:p w:rsidR="00D06117" w:rsidRDefault="00D06117" w:rsidP="00D06117">
      <w:pPr>
        <w:pStyle w:val="TextoNormal"/>
      </w:pPr>
    </w:p>
    <w:p w:rsidR="00D06117" w:rsidRDefault="00D06117" w:rsidP="00D06117">
      <w:pPr>
        <w:pStyle w:val="TextoNormal"/>
      </w:pPr>
      <w:r>
        <w:t>Para la representación del Parlamento de Andalucía “ni los colectivos que se entienden discriminados se encuentran en una posición idéntica a la de los interinos de la Junta de Andalucía, ni la distinta valoración que se le otorga a su experiencia es ajena a los principios de mérito y capacidad, al igual que tampoco resulta desproporcionada en relación a los fines legítimos que persigue la norma y que se expresan en su texto; la normalización de una situación singular de la función pública andaluza y la consecución del principio constitucional de eficacia de las Administraciones Públicas”. Por lo que se refiere a los funcionarios de carrera, la experiencia que se valora con 0,6 puntos es la adquirida en Administraciones distintas de la Administración General de la Junta de Andalucía y aunque en general todas las Administraciones públicas someten su actuación a unas normas y principios comunes dictados por el Estado al amparo del art. 149.1.18 CE, es lo cierto que existen especialidades derivadas del ejercicio de la potestad de autoorganización y del ejercicio de las competencias propias de cada una de esas Administraciones. Para el Parlamento de Andalucía “estamos pues ante una diferenciación de categorías o regímenes jurídicos previa a la propia diferenciación establecida por el legislador, el cual lo único que ha hecho es tomarla en consideración”.</w:t>
      </w:r>
    </w:p>
    <w:p w:rsidR="00D06117" w:rsidRDefault="00D06117" w:rsidP="00D06117">
      <w:pPr>
        <w:pStyle w:val="TextoNormal"/>
      </w:pPr>
    </w:p>
    <w:p w:rsidR="00D06117" w:rsidRDefault="00D06117" w:rsidP="00D06117">
      <w:pPr>
        <w:pStyle w:val="TextoNormal"/>
      </w:pPr>
      <w:r>
        <w:t>Así las cosas y puesto que en el baremo no se valora la antigüedad sino la experiencia previa, es evidente para el Parlamento de Andalucía que esa experiencia no es idéntica a la atesorada por los funcionarios interinos de la Administración General de la Junta de Andalucía, existiendo por tanto un factor diferenciador que, desde el punto de vista del mérito y capacidad y en atención a la eficacia de la acción administrativa justifica una valoración distinta. Y ello sin olvidar que el fin perseguido en la disposición cuestionada es la normalización “de la peculiar situación de la Función Pública Andaluza, originada por un proceso único e irrepetible, como fue la creación de una forma de organización de la Administración andaluza”, al que resulta plenamente proporcionado que los funcionarios interinos de la propia Comunidad Autónoma tengan 3,5 puntos más por experiencia que los procedentes de otras Administraciones. Tanto más cuanto que esa prima sólo representa el 10,14 por 100 de la puntuación total que se puede obtener en el proceso selectivo.</w:t>
      </w:r>
    </w:p>
    <w:p w:rsidR="00D06117" w:rsidRDefault="00D06117" w:rsidP="00D06117">
      <w:pPr>
        <w:pStyle w:val="TextoNormal"/>
      </w:pPr>
    </w:p>
    <w:p w:rsidR="00D06117" w:rsidRDefault="00D06117" w:rsidP="00D06117">
      <w:pPr>
        <w:pStyle w:val="TextoNormal"/>
      </w:pPr>
      <w:r>
        <w:t xml:space="preserve">Se destaca que en diversas resoluciones este Tribunal Constitucional ha considerado legítima no sólo la mayor valoración de la experiencia adquirida en la Administración convocante (STC 12/1999), sino incluso la valoración de este mérito sin tomar en consideración la adquirida en otras Administraciones (STC 67/1989). El único supuesto en que esta diferencia no se ha aceptado ha sido la STC 281/1993, pues en esa ocasión el sistema selectivo elegido era el concurso de méritos, en el que sólo se valoraba la experiencia y la ventaja era </w:t>
      </w:r>
      <w:r>
        <w:lastRenderedPageBreak/>
        <w:t>“tan desaforada y desproporcionada” que “evidenciaba una clara intención de predeterminación del resultado del concurso a favor de determinadas personas” (FJ 2).</w:t>
      </w:r>
    </w:p>
    <w:p w:rsidR="00D06117" w:rsidRDefault="00D06117" w:rsidP="00D06117">
      <w:pPr>
        <w:pStyle w:val="TextoNormal"/>
      </w:pPr>
    </w:p>
    <w:p w:rsidR="00D06117" w:rsidRDefault="00D06117" w:rsidP="00D06117">
      <w:pPr>
        <w:pStyle w:val="TextoNormal"/>
      </w:pPr>
      <w:r>
        <w:t>Estas mismas consideraciones son trasladables al caso de los interinos de otras Administraciones públicas, por lo que la representación del Parlamento de Andalucía las da por reproducidas. Añadiendo, además, que no consta que la recurrente se encuentre en la situación apuntada en el Auto de planteamiento, donde se alude a una diferente valoración en función de una eventual transferencia entre Administraciones. Además, a la vista de los términos generales del apartado primero del baremo impugnado, en el que no se contempla esta concreta situación, la determinación de la puntuación que se deba otorgar al personal interino transferido a la Administración de la Junta de Andalucía vendrá condicionado por los efectos que se atribuyan al traspaso y a la subrogación de la Administración autonómica en la posición que antes ocupaba la Administración del Estado, de modo que si se considera que esa subrogación lo es a título universal el interino transferido que ocupa un puesto de trabajo incluido en la relación de puestos de trabajo de la Administración autonómica como consecuencia del traspaso de funciones y servicios podría alegar su experiencia en dicho puesto por todo el tiempo que lo haya ocupado.</w:t>
      </w:r>
    </w:p>
    <w:p w:rsidR="00D06117" w:rsidRDefault="00D06117" w:rsidP="00D06117">
      <w:pPr>
        <w:pStyle w:val="TextoNormal"/>
      </w:pPr>
    </w:p>
    <w:p w:rsidR="00D06117" w:rsidRDefault="00D06117" w:rsidP="00D06117">
      <w:pPr>
        <w:pStyle w:val="TextoNormal"/>
      </w:pPr>
      <w:r>
        <w:t>F) El escrito de alegaciones se cierra con una extensa “valoración final y legitimidad del procedimiento selectivo”.</w:t>
      </w:r>
    </w:p>
    <w:p w:rsidR="00D06117" w:rsidRDefault="00D06117" w:rsidP="00D06117">
      <w:pPr>
        <w:pStyle w:val="TextoNormal"/>
      </w:pPr>
    </w:p>
    <w:p w:rsidR="00D06117" w:rsidRDefault="00D06117" w:rsidP="00D06117">
      <w:pPr>
        <w:pStyle w:val="TextoNormal"/>
      </w:pPr>
      <w:r>
        <w:t>En primer término se subraya que en el propio Auto de planteamiento se reconoce que uno de los principales problemas que tiene planteados la función pública de Andalucía es el de su amplia bolsa de personal interino o la prolongación en el tiempo de la situación de interinidad de un contingente elevado de funcionarios procedentes en su mayoría del período inicial de creación de la Comunidad Autónoma. No debe por ello extrañar que el Parlamento de Andalucía se haya enfrentado con este problema, no para blindar las posiciones de determinados colectivos “sino con la finalidad de lograr de una vez por todas la normalización de la función pública de la Junta de Andalucía”. A mayor abundamiento, no existiendo en nuestro ordenamiento una reserva de reglamento, nada cabe objetar a que sea el propio legislador el que regule la materia en garantía de los derechos de los ciudadanos y particularmente de los aspirantes que no son interinos de la Administración autonómica; se limita con ello la libertad de valoración de los órganos de selección, en los términos ya apuntados en las SSTC 48/1998, FJ 7 a); y 73/1998, FJ 3 a).</w:t>
      </w:r>
    </w:p>
    <w:p w:rsidR="00D06117" w:rsidRDefault="00D06117" w:rsidP="00D06117">
      <w:pPr>
        <w:pStyle w:val="TextoNormal"/>
      </w:pPr>
    </w:p>
    <w:p w:rsidR="00D06117" w:rsidRDefault="00D06117" w:rsidP="00D06117">
      <w:pPr>
        <w:pStyle w:val="TextoNormal"/>
      </w:pPr>
      <w:r>
        <w:t xml:space="preserve">Por otro lado, “aun admitiendo que no es la primera vez que en las convocatorias de acceso a la función pública de la Junta de Andalucía se valora la experiencia del personal interino, tampoco desde esta perspectiva es posible efectuar reproches de constitucionalidad a la disposición transitoria recurrida, pues ésta establece unos procedimientos que no se pueden equiparar a aquellos otros cuya constitucionalidad ha sido admitida por el Tribunal Constitucional sobre la base de que eran medidas excepcionales y transitorias adoptadas por una sola vez (las pruebas restringidas) y que respetan plenamente los límites que derivan del artículo 23.2 de la Constitución”. Aunque parece subyacer en el Auto de planteamiento la idea de que la única vía de ingreso en la función pública ha de ser la oposición, lo cierto es que el recurso al concurso-oposición está amparado por el art. 19 de la Ley 30/1984. Siendo legítimo el procedimiento, tampoco subyace ningún fin torcido y arbitrario en la valoración de la experiencia pues cualquier baremo de méritos, en cuanto implica la toma </w:t>
      </w:r>
      <w:r>
        <w:lastRenderedPageBreak/>
        <w:t>en consideración de unas aptitudes para atribuirles unas determinadas consecuencias, beneficia a quien las reúna y perjudica a quien carezca de ellas. Ello no supone, obviamente, vulneración de la igualdad preservada por el art. 23.2 CE.</w:t>
      </w:r>
    </w:p>
    <w:p w:rsidR="00D06117" w:rsidRDefault="00D06117" w:rsidP="00D06117">
      <w:pPr>
        <w:pStyle w:val="TextoNormal"/>
      </w:pPr>
    </w:p>
    <w:p w:rsidR="00D06117" w:rsidRDefault="00D06117" w:rsidP="00D06117">
      <w:pPr>
        <w:pStyle w:val="TextoNormal"/>
      </w:pPr>
      <w:r>
        <w:t>Es cierto que el Consejo Consultivo de Andalucía cuestionó en su momento la constitucionalidad de la medida porque entendió que se concedía excesivo peso a los servicios previos. Ahora bien, se trata de una afirmación no motivada y que la representación del Parlamento de Andalucía entiende suficientemente rebatida en las alegaciones ahora sintetizadas.</w:t>
      </w:r>
    </w:p>
    <w:p w:rsidR="00D06117" w:rsidRDefault="00D06117" w:rsidP="00D06117">
      <w:pPr>
        <w:pStyle w:val="TextoNormal"/>
      </w:pPr>
    </w:p>
    <w:p w:rsidR="00D06117" w:rsidRDefault="00D06117" w:rsidP="00D06117">
      <w:pPr>
        <w:pStyle w:val="TextoNormal"/>
      </w:pPr>
      <w:r>
        <w:t>Finalmente, se subraya que los resultados provisionales de la baremación efectuada en los concursos de los procedimientos convocados al amparo de la disposición transitoria controvertida muestran que, en las pruebas para acceder al cuerpo general de administrativos el 78,86 por 100 de quienes han pasado a la siguiente fase no son interinos, porcentaje que se sitúa en el 73,07 en las pruebas de acceso al cuerpo de gestión. De modo que el baremo controvertido no ha tenido el efecto que se anticipa en el Auto de planteamiento.</w:t>
      </w:r>
    </w:p>
    <w:p w:rsidR="00D06117" w:rsidRDefault="00D06117" w:rsidP="00D06117">
      <w:pPr>
        <w:pStyle w:val="TextoNormal"/>
      </w:pPr>
    </w:p>
    <w:p w:rsidR="00D06117" w:rsidRDefault="00D06117" w:rsidP="00D06117">
      <w:pPr>
        <w:pStyle w:val="TextoNormal"/>
      </w:pPr>
      <w:r w:rsidRPr="00D06117">
        <w:rPr>
          <w:rStyle w:val="NumeroAFNegritaCaracter"/>
        </w:rPr>
        <w:t>14</w:t>
      </w:r>
      <w:r>
        <w:t>. Mediante Auto de 28 de febrero de 2012, el Pleno, en virtud de lo previsto en los art. 80 LOTC y 221.4 LOPJ, estimó la causa de abstención formulada por la Magistrada Sra. Pérez Vera en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15</w:t>
      </w:r>
      <w:r>
        <w:t>. Por providencia de 28 de febrero de 2012 se señaló para deliberación y votación de la presente Sentencia el día 1de marzo de 2012.</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Según se ha expuesto con mayor detalle en los antecedentes de esta Sentencia, la Sala de lo Contencioso-Administrativo (Sección Primera) del Tribunal Superior de Justicia de Andalucía, con sede en Sevilla, plantea cuestión de inconstitucionalidad en relación con la disposición transitoria cuarta y el anexo de la Ley del Parlamento de Andalucía 8/1997, de 23 de diciembre, que aprueba medidas en materia tributaria, presupuestaria, de empresas de la Junta y otras entidades, de recaudación, de contratación, de función pública y de fianzas de arrendamientos y suministros, en relación con el baremo que figura como anexo a la misma, en lo relativo a la puntuación de la fase de concurso, por posible vulneración de los arts. 14 y 23.2 CE. El Fiscal General del Estado solicita la estimación de la cuestión en tanto que las representaciones de la Junta de Andalucía y del Parlamento de Andalucía defienden la plena constitucionalidad de la disposición cuestionada e interesan, en consecuencia, la desestimación de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2</w:t>
      </w:r>
      <w:r>
        <w:t>. El examen del fondo de esta cuestión de inconstitucionalidad sólo es posible previa resolución de las dudas que respecto de su admisibilidad plantean tanto la Letrada de la Junta de Andalucía como la representación del Parlamento de Andalucía.</w:t>
      </w:r>
    </w:p>
    <w:p w:rsidR="00D06117" w:rsidRDefault="00D06117" w:rsidP="00D06117">
      <w:pPr>
        <w:pStyle w:val="TextoNormal"/>
      </w:pPr>
    </w:p>
    <w:p w:rsidR="00D06117" w:rsidRDefault="00D06117" w:rsidP="00D06117">
      <w:pPr>
        <w:pStyle w:val="TextoNormal"/>
      </w:pPr>
      <w:r>
        <w:t xml:space="preserve">A) Sostiene en primer lugar la Letrada de la Junta de Andalucía que la presente cuestión de inconstitucionalidad debe ser inadmitida porque no se ha cumplimentado el trámite de audiencia previsto en el art. 35.2 de la Ley Orgánica del Tribunal Constitucional (LOTC). </w:t>
      </w:r>
      <w:r>
        <w:lastRenderedPageBreak/>
        <w:t>Al respecto recuerda que esta cuestión de inconstitucionalidad tiene como antecedente inmediato la tramitada con el núm. 935-2001, elevada en el mismo proceso judicial que la actual, y que fue inadmitida a trámite por este Tribunal Constitucional (ATC 217/2001, de 17 de julio). La Letrada de la Junta de Andalucía asume, con mención expresa del ATC 42/1998, de 18 de febrero, que la inadmisión de una cuestión de inconstitucionalidad por falta de los requisitos procesales no impide que vuelva a ser planteada por el mismo órgano judicial siempre y cuando se hayan cumplido, se satisfagan todos esos requisitos procesales. Pero ello no significa que se subsane la deficiencia advertida en la primera cuestión de inconstitucionalidad, que en rigor ya ha agotado su camino procesal, sino que se trata, a todos los efectos, de una nueva cuestión de inconstitucionalidad que da lugar a un nuevo proceso constitucional. El proceso constitucional ya concluido o que no llegó a iniciarse no se reabre sino que nos hallamos ante un nuevo proceso, de modo que es exigible el cumplimiento de todos los requisitos procesales y no sólo la depuración de los errores padecidos en la primera cuestión de inconstitucionalidad. En este caso el órgano judicial no ha dado traslado a las partes personadas en el proceso contencioso-administrativo para que pudieran alegar lo que estimasen acerca de la pertinencia de plantear la cuestión de inconstitucionalidad, tal y como prescribe el art. 35.2 LOTC, sin que la omisión de este trámite esencial pueda entenderse cubierta por la audiencia efectuada antes de que se dictara el Auto de planteamiento de la cuestión de inconstitucionalidad núm. 935-2001. Las partes pudieran haberse limitado a reproducir sus alegaciones anteriores o podrían haber ofrecido nuevas razones para oponerse o postular el planteamiento de la cuestión de inconstitucionalidad, especialmente si hubieran variado las circunstancias fácticas o jurídicas como sucedería si entretanto este Tribunal Constitucional ya se hubiera pronunciado acerca de la validez del precepto legal controvertido.</w:t>
      </w:r>
    </w:p>
    <w:p w:rsidR="00D06117" w:rsidRDefault="00D06117" w:rsidP="00D06117">
      <w:pPr>
        <w:pStyle w:val="TextoNormal"/>
      </w:pPr>
    </w:p>
    <w:p w:rsidR="00D06117" w:rsidRDefault="00D06117" w:rsidP="00D06117">
      <w:pPr>
        <w:pStyle w:val="TextoNormal"/>
      </w:pPr>
      <w:r>
        <w:t>La causa de inadmisión aducida por la representación de la Junta de Andalucía no puede impedir, en esta ocasión, el examen del fondo de la cuestión de inconstitucionalidad que nos ocupa. Como la propia Letrada autonómica pone acertadamente de manifiesto, en el ATC 42/1998, de 18 de febrero, se acepta que los órganos judiciales que hubieran visto inicialmente inadmitida por razones formales una cuestión de inconstitucionalidad puedan elevar de nuevo dicha cuestión. Según se señala en esa misma resolución, “el replanteamiento de una cuestión es posible en aquellos casos en que fue inadmitida por razones de índole estrictamente formal susceptibles de subsanación, como sucede, precisamente, en los supuestos de incorrecto cumplimiento del trámite de audiencia a las partes y al Ministerio Fiscal exigido por el art. 35.2 LOTC (AATC 250/1982, 875/1985, 218/1990, 286/1990, 108/1993 y 145/1993)” (FJ 2).</w:t>
      </w:r>
    </w:p>
    <w:p w:rsidR="00D06117" w:rsidRDefault="00D06117" w:rsidP="00D06117">
      <w:pPr>
        <w:pStyle w:val="TextoNormal"/>
      </w:pPr>
    </w:p>
    <w:p w:rsidR="00D06117" w:rsidRDefault="00D06117" w:rsidP="00D06117">
      <w:pPr>
        <w:pStyle w:val="TextoNormal"/>
      </w:pPr>
      <w:r>
        <w:t>En esta ocasión el defecto padecido en el planteamiento de la cuestión de inconstitucionalidad núm. 935-2001 determinante de su inadmisión por el ATC 217/2001, de 17 de julio, fue el hecho de no haber “sido promovida por la Sección Primera de la Sala de lo Contencioso-Administrativo del Tribunal Superior de Justicia de Andalucía (con sede en Sevilla), único órgano jurisdiccional competente para conocer del recurso contencioso-administrativo en el que ha de aplicarse la norma legal de cuya licitud constitucional se duda, sino por la Sala misma, constituida por todos los Magistrados que la integran” (FJ 1). De modo que ése y no otros cualesquiera era el defecto estrictamente formal que debía ser reparado para que procediera la admisión de la cuestión de inconstitucionalidad de acuerdo con la doctrina reseñada en el ATC 42/1998, de 18 de febrero.</w:t>
      </w:r>
    </w:p>
    <w:p w:rsidR="00D06117" w:rsidRDefault="00D06117" w:rsidP="00D06117">
      <w:pPr>
        <w:pStyle w:val="TextoNormal"/>
      </w:pPr>
    </w:p>
    <w:p w:rsidR="00D06117" w:rsidRDefault="00D06117" w:rsidP="00D06117">
      <w:pPr>
        <w:pStyle w:val="TextoNormal"/>
      </w:pPr>
      <w:r>
        <w:lastRenderedPageBreak/>
        <w:t>Cierto es, como bien apunta la Letrada de la Junta de Andalucía, que no debe confundirse esa reparación con la subsanación stricto sensu pues ni el Auto de inadmisión de la cuestión es una intimación para que se cumplimente el requisito procesal ni el posterior replanteamiento de la cuestión reabre el proceso constitucional cuyo recorrido se agotó en el Auto dictado en el trámite previsto en el art. 37 LOTC. Pero no es menos cierto que la doctrina antes reseñada es coherente con la peculiar naturaleza de la cuestión de inconstitucionalidad, “instrumento puesto a disposición de los órganos judiciales para conciliar la doble obligación en que se encuentran de actuar sometidos a la Ley y a la Constitución” (STC 235/2007, de 7 de noviembre, FJ 2), y respetuosa con los principios de economía procesal y de conservación de los actos. De acuerdo con las exigencias de los citados principios y al no concurrir en este caso concreto otras circunstancias que pudieran estar fundamentadas en otros principios que merecieran mayor protección, se deben conservar los actos que no fueron anulados.</w:t>
      </w:r>
    </w:p>
    <w:p w:rsidR="00D06117" w:rsidRDefault="00D06117" w:rsidP="00D06117">
      <w:pPr>
        <w:pStyle w:val="TextoNormal"/>
      </w:pPr>
    </w:p>
    <w:p w:rsidR="00D06117" w:rsidRDefault="00D06117" w:rsidP="00D06117">
      <w:pPr>
        <w:pStyle w:val="TextoNormal"/>
      </w:pPr>
      <w:r>
        <w:t>En el presente caso debe recordarse que las actuaciones previas al planteamiento de la cuestión de inconstitucionalidad no padecieron defecto alguno. En particular interesa destacar que fue la propia Sección Primera de la Sala de lo Contencioso-Administrativo del Tribunal Superior de Justicia de Andalucía, con sede en Sevilla, el órgano que acordó la apertura del trámite de audiencia previsto en el art. 35.2 LOTC, cumplimentado en su momento por las partes personadas y el Ministerio Fiscal. La causa de inadmisión de la cuestión de inconstitucionalidad tramitada con el núm. 935-2001 se ceñía al órgano que dictó el Auto de planteamiento de 21 de diciembre de 2000, sin que alcanzara en modo alguno a esas actuaciones previas. Pues bien, habiendo hecho suyo el contenido de este Auto el órgano jurisdiccional que, según se advirtió en el ATC 217/2001, de 17 de julio, era el único habilitado para plantear la cuestión, lo que se concreto en el nuevo Auto de planteamiento de 19 de septiembre de 2001, no existe razón alguna que impida entender adecuadamente reparado el defecto. A mayor abundamiento los argumentos reseñados por la Letrada de la Junta de Andalucía que eventualmente pudieran haber sido empleados por alguna de las partes para postular el no planteamiento de la cuestión no pasan ser puras hipótesis, siendo un hecho notorio que este Tribunal Constitucional no se pronunció sobre la validez del precepto legal cuestionado en el escaso tiempo transcurrido desde que se dictó el Auto de inadmisión de la cuestión de inconstitucionalidad núm. 935-2001 y la aprobación del nuevo Auto de planteamiento de la cuestión que ahora corresponde resolver.</w:t>
      </w:r>
    </w:p>
    <w:p w:rsidR="00D06117" w:rsidRDefault="00D06117" w:rsidP="00D06117">
      <w:pPr>
        <w:pStyle w:val="TextoNormal"/>
      </w:pPr>
    </w:p>
    <w:p w:rsidR="00D06117" w:rsidRDefault="00D06117" w:rsidP="00D06117">
      <w:pPr>
        <w:pStyle w:val="TextoNormal"/>
      </w:pPr>
      <w:r>
        <w:t>B) Apuntan las representaciones de la Junta y del Parlamento de Andalucía la concurrencia de una segunda causa de inadmisión, como es la inadecuada realización del juicio de relevancia. Dentro de esta segunda alegación cabe distinguir dos vertientes, la primera de las cuales se refiere a la falta de tratamiento de una doble causa de inadmisión del propio proceso contencioso-administrativo en tanto que la segunda limita el alcance de la cuestión al plantear la inaplicabilidad en ese proceso de una parte de la disposición transitoria cuarta y del anexo de la Ley autonómica 8/1997, de 23 de diciembre.</w:t>
      </w:r>
    </w:p>
    <w:p w:rsidR="00D06117" w:rsidRDefault="00D06117" w:rsidP="00D06117">
      <w:pPr>
        <w:pStyle w:val="TextoNormal"/>
      </w:pPr>
    </w:p>
    <w:p w:rsidR="00D06117" w:rsidRDefault="00D06117" w:rsidP="00D06117">
      <w:pPr>
        <w:pStyle w:val="TextoNormal"/>
      </w:pPr>
      <w:r>
        <w:t xml:space="preserve">a) Según recuerda la Letrada de la Junta de Andalucía, la representación de la Administración autonómica demandada en el proceso contencioso-administrativo adujo dos causas de inadmisibilidad del recurso: inadecuación del procedimiento utilizado —el previsto en la Ley 62/1978, de 26 de diciembre, de protección jurisdiccional de los derechos fundamentales de la persona—, puesto que el problema planteado era de estricta legalidad, sin relevancia constitucional alguna, y falta de legitimación activa de la actora, quien ya ostenta la </w:t>
      </w:r>
      <w:r>
        <w:lastRenderedPageBreak/>
        <w:t>condición de funcionaria de la Administración autonómica y no consta que haya participado en los procesos selectivos que impugna. La primera de estas causas se planteó como alegación previa y dio lugar a la apertura de un incidente, con audiencia a la demandante y al Ministerio Fiscal, que no llegó a cerrarse con una resolución expresa sobre el particular controvertido. De la segunda se hizo mención en el escrito de contestación a la demanda sin que tampoco haya sido resuelta por el órgano judicial.</w:t>
      </w:r>
    </w:p>
    <w:p w:rsidR="00D06117" w:rsidRDefault="00D06117" w:rsidP="00D06117">
      <w:pPr>
        <w:pStyle w:val="TextoNormal"/>
      </w:pPr>
    </w:p>
    <w:p w:rsidR="00D06117" w:rsidRDefault="00D06117" w:rsidP="00D06117">
      <w:pPr>
        <w:pStyle w:val="TextoNormal"/>
      </w:pPr>
      <w:r>
        <w:t>Sostienen las representaciones de las dos instituciones autonómicas personadas en este proceso constitucional que la falta de respuesta expresa del órgano judicial a las alegaciones reseñadas no puede interpretarse necesariamente como rechazo de los óbices procesales planteados. El acogimiento de cualquiera de estas causas de inadmisión conllevaría la no aplicación del precepto legal cuestionado, por lo que no superaría el juicio de relevancia.</w:t>
      </w:r>
    </w:p>
    <w:p w:rsidR="00D06117" w:rsidRDefault="00D06117" w:rsidP="00D06117">
      <w:pPr>
        <w:pStyle w:val="TextoNormal"/>
      </w:pPr>
    </w:p>
    <w:p w:rsidR="00D06117" w:rsidRDefault="00D06117" w:rsidP="00D06117">
      <w:pPr>
        <w:pStyle w:val="TextoNormal"/>
      </w:pPr>
      <w:r>
        <w:t>Según hemos señalado en diversas ocasiones, la realización del denominado juicio de relevancia se plasma en “el esquema argumental del que resulte que el fallo que haya de dictarse en el proceso a quo depende de la validez o falta de validez de la norma cuestionada” (por todas, STC 141/2008, de 30 de octubre, FJ 4). En este caso se discute la adecuada formulación de dicho juicio de relevancia porque las representaciones de la Junta y del Parlamento de Andalucía entienden que el órgano judicial no debiera siquiera pronunciarse sobre el fondo de la pretensión ejercida por la actora al concurrir las causas de inadmisión ya indicadas.</w:t>
      </w:r>
    </w:p>
    <w:p w:rsidR="00D06117" w:rsidRDefault="00D06117" w:rsidP="00D06117">
      <w:pPr>
        <w:pStyle w:val="TextoNormal"/>
      </w:pPr>
    </w:p>
    <w:p w:rsidR="00D06117" w:rsidRDefault="00D06117" w:rsidP="00D06117">
      <w:pPr>
        <w:pStyle w:val="TextoNormal"/>
      </w:pPr>
      <w:r>
        <w:t>Planteada en tales términos, tampoco esta causa de inadmisión puede prosperar. Como hemos tenido ocasión de recordar en la ya citada STC 141/2008, de 30 de octubre, es al órgano judicial promotor de la cuestión a quien compete prima facie la realización del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17/1981, de 1 de junio, FJ 1; 106/1986, de 24 de julio, FJ 1; 76/1990, de 26 de abril, FJ 1; 157/1990, de 18 de octubre, FJ 1; 189/1991, de 3 de octubre, FJ 2; 90/1994, de 17 de marzo, FJ 2; 174/1998, de 23 de julio, FJ 1; 67/2002, de 21 de marzo, FJ 2; 63/2003, de 27 de marzo, FJ 2; 255/2004, de 22 de diciembre, FJ 2, y 200/2006, de 30 de marzo, FJ 2). En suma, la eventual apreciación de la notoria falta de consistencia de la argumentación judicial sobre la aplicabilidad al caso del precepto legal cuestionado y su relevancia para el fallo que haya de dictarse determinará la inadmisibilidad de la cuestión de inconstitucionalidad” (FJ 4). De modo que, como también señalamos en aquella resolución, este Tribunal ejerce un “control meramente externo” que excluye la revisión del criterio judicial acerca de la aplicabilidad de la norma, extremo aquí controvertido, salvo que “resulte con toda evidencia errado” porque sea “notoriamente inconsistente o equivocada la argumentación judicial sobre la aplicabilidad al caso de la norma cuestionada” (loc. cit.). Debe recordarse que el control que este Tribunal realiza no se extiende a los requisitos procesales del proceso judicial en el que se plantea la cuestión, por todas, SSTC 196/1987, de 11 de diciembre, FJ 3 y 106/1990, de 6 de junio, FJ 3.</w:t>
      </w:r>
    </w:p>
    <w:p w:rsidR="00D06117" w:rsidRDefault="00D06117" w:rsidP="00D06117">
      <w:pPr>
        <w:pStyle w:val="TextoNormal"/>
      </w:pPr>
    </w:p>
    <w:p w:rsidR="00D06117" w:rsidRDefault="00D06117" w:rsidP="00D06117">
      <w:pPr>
        <w:pStyle w:val="TextoNormal"/>
      </w:pPr>
      <w:r>
        <w:t>Sometido el juicio de relevancia efectuado por la Sala de lo Contencioso-Administrativo (Sección Primera) del Tribunal Superior de Justicia de Andalucía, con sede en Sevilla, en el Auto de planteamiento de la presente cuestión de inconstitucionalidad no puede concluirse que incurra en ninguno de tales defectos. De una parte porque no resulta evidente la inadmisibilidad de un recurso contencioso-administrativo interpuesto por la vía de la Ley 62/1978, de 26 de diciembre, para la protección jurisdiccional de los derechos fundamentales de la persona, en el que la actora reprocha a las resoluciones administrativas concretamente impugnadas la vulneración de los arts. 14 y 23.2 de la Constitución. De otra porque tampoco es incuestionable que la pertenencia de la actora a la función pública autonómica le haya despojado de la titularidad del derecho fundamental a acceder a los cargos y funciones públicas en condiciones de igualdad, que es el invocado en el proceso a quo. Parece que las representaciones de la Junta de Andalucía y del Parlamento de Andalucía asumen que siendo la demandante funcionaria de la Junta de Andalucía no resultaría de recibo que invocara el mencionado derecho fundamental puesto que no concursaría por el llamado turno libre sino por promoción interna. Sin embargo, conforme a nuestra doctrina antes señalada, no puede apreciarse que por el hecho de que la actora pertenezca a la función pública autonómica, resulte notoriamente inconsistente o equivocada la argumentación judicial sobre la aplicabilidad al caso de la norma cuestionada.</w:t>
      </w:r>
    </w:p>
    <w:p w:rsidR="00D06117" w:rsidRDefault="00D06117" w:rsidP="00D06117">
      <w:pPr>
        <w:pStyle w:val="TextoNormal"/>
      </w:pPr>
    </w:p>
    <w:p w:rsidR="00D06117" w:rsidRDefault="00D06117" w:rsidP="00D06117">
      <w:pPr>
        <w:pStyle w:val="TextoNormal"/>
      </w:pPr>
      <w:r>
        <w:t>b) Apunta la representación del Parlamento de Andalucía que la cuestión de inconstitucionalidad no puede comprender el apartado segundo de la disposición transitoria cuarta de la Ley autonómica 8/1997, de 23 de diciembre, al no ser aplicable al caso. Debemos convenir con esta apreciación puesto que en el proceso a quo se impugnan dos Órdenes de convocatoria de acceso a sendos cuerpos funcionariales y el apartado indicado se refiere a convocatorias para personal laboral, de modo que el apartado segundo de la disposición transitoria mencionada ha de quedar fuera de nuestro análisis. Un análisis que tampoco puede comprender las previsiones relativas a la fase de oposición del baremo anexo a la Ley 8/1997, de 23 de diciembre, y al que expresamente se hace remisión en el apartado primero de la disposición transitoria aquí cuestionada, toda vez que las dudas de constitucionalidad planteadas por la Sala de lo Contencioso-Administrativo (Sección Primera) del Tribunal Superior de Justicia de Andalucía, con sede en Sevilla, se ciñen exclusivamente al tratamiento dispensado a los diversos candidatos en la fase de concurso.</w:t>
      </w:r>
    </w:p>
    <w:p w:rsidR="00D06117" w:rsidRDefault="00D06117" w:rsidP="00D06117">
      <w:pPr>
        <w:pStyle w:val="TextoNormal"/>
      </w:pPr>
    </w:p>
    <w:p w:rsidR="00D06117" w:rsidRDefault="00D06117" w:rsidP="00D06117">
      <w:pPr>
        <w:pStyle w:val="TextoNormal"/>
      </w:pPr>
      <w:r>
        <w:t>C) Se apunta, por último, la inadmisibilidad parcial de la presente cuestión porque en el Auto de planteamiento se argumenta una posible vulneración del art. 9.3 CE pese a que en la providencia de apertura del trámite de audiencia del art. 35.2 LOTC no se menciona este precepto constitucional. Debemos rechazar esta pretensión porque la referencia a los principios garantizados por el art. 9.3 CE en distintos pasajes del Auto de planteamiento pone de manifiesto que no se trata propiamente de un nuevo motivo autónomo de inconstitucionalidad sino de una alegación con la que se busca reforzar la consistencia de la exposición las dudas de constitucionalidad que sobre el precepto legal controvertido alberga el órgano judicial promotor de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Despejados los óbices procesales examinados en el fundamento jurídico anterior y de acuerdo con las conclusiones en él alcanzadas, es objeto de la presente cuestión de inconstitucionalidad el apartado primero de la disposición transitoria cuarta de la Ley del Parlamento de Andalucía 8/1997, de 23 de diciembre, que aprueba medidas en materia tributaria, </w:t>
      </w:r>
      <w:r>
        <w:lastRenderedPageBreak/>
        <w:t>presupuestaria, de empresas de la Junta y otras entidades, de recaudación, de contratación, de función pública y de fianzas de arrendamientos y suministros. Dicho apartado presenta el siguiente contenido:</w:t>
      </w:r>
    </w:p>
    <w:p w:rsidR="00D06117" w:rsidRDefault="00D06117" w:rsidP="00D06117">
      <w:pPr>
        <w:pStyle w:val="TextoNormal"/>
      </w:pPr>
    </w:p>
    <w:p w:rsidR="00D06117" w:rsidRDefault="00D06117" w:rsidP="00D06117">
      <w:pPr>
        <w:pStyle w:val="TextoNormal"/>
      </w:pPr>
      <w:r>
        <w:t>“Con el fin de normalizar una situación singular de la función pública andaluza, originada por un proceso único e irrepetible, como fue la creación y consolidación de una forma de organización de la Administración andaluza, y teniendo en cuenta el principio constitucional de eficacia de las Administraciones Públicas, podrán ser convocadas por el sistema de selección de concurso-oposición libre las plazas correspondientes a dotaciones de personal interino de la Administración General de la Junta de Andalucía existentes a 31 de diciembre de 1995.</w:t>
      </w:r>
    </w:p>
    <w:p w:rsidR="00D06117" w:rsidRDefault="00D06117" w:rsidP="00D06117">
      <w:pPr>
        <w:pStyle w:val="TextoNormal"/>
      </w:pPr>
    </w:p>
    <w:p w:rsidR="00D06117" w:rsidRDefault="00D06117" w:rsidP="00D06117">
      <w:pPr>
        <w:pStyle w:val="TextoNormal"/>
      </w:pPr>
      <w:r>
        <w:t>En la fase de concurso, que tendrá carácter eliminatorio y cuya puntuación total no podrá ser superior a 14,5 puntos, se valorarán los méritos que se determinan en el anexo de la presente Ley. Para acceder a la fase de oposición será necesario obtener una puntuación mínima de 4 puntos.</w:t>
      </w:r>
    </w:p>
    <w:p w:rsidR="00D06117" w:rsidRDefault="00D06117" w:rsidP="00D06117">
      <w:pPr>
        <w:pStyle w:val="TextoNormal"/>
      </w:pPr>
    </w:p>
    <w:p w:rsidR="00D06117" w:rsidRDefault="00D06117" w:rsidP="00D06117">
      <w:pPr>
        <w:pStyle w:val="TextoNormal"/>
      </w:pPr>
      <w:r>
        <w:t>La oposición consistirá en la obligada realización y superación de los ejercicios que, respecto de cada Cuerpo o especialidad, se determinan en el anexo a que se refiere el párrafo anterior. La calificación de todos los ejercicios será de 0 a 10 puntos. Para superar los ejercicios será necesario obtener un mínimo de 5 puntos en cada uno de ellos.</w:t>
      </w:r>
    </w:p>
    <w:p w:rsidR="00D06117" w:rsidRDefault="00D06117" w:rsidP="00D06117">
      <w:pPr>
        <w:pStyle w:val="TextoNormal"/>
      </w:pPr>
    </w:p>
    <w:p w:rsidR="00D06117" w:rsidRDefault="00D06117" w:rsidP="00D06117">
      <w:pPr>
        <w:pStyle w:val="TextoNormal"/>
      </w:pPr>
      <w:r>
        <w:t>Los puntos obtenidos en la fase de concurso se acumularán a los obtenidos en la fase de oposición para determinar los candidatos aprobados y su orden definitivo. En cualquier caso, estos puntos no podrán ser aplicados para superar los ejercicios de la fase oposición.</w:t>
      </w:r>
    </w:p>
    <w:p w:rsidR="00D06117" w:rsidRDefault="00D06117" w:rsidP="00D06117">
      <w:pPr>
        <w:pStyle w:val="TextoNormal"/>
      </w:pPr>
    </w:p>
    <w:p w:rsidR="00D06117" w:rsidRDefault="00D06117" w:rsidP="00D06117">
      <w:pPr>
        <w:pStyle w:val="TextoNormal"/>
      </w:pPr>
      <w:r>
        <w:t>En caso de empate, el orden se establecerá ateniendo a la mayor puntuación de los ejercicios de la fase de oposición por orden inverso al de su celebración y, caso de persistir, atendiendo al orden alfabético determinado en el sorteo efectuado para establecer el orden de actuación de los aspirantes en las pruebas selectivas.”</w:t>
      </w:r>
    </w:p>
    <w:p w:rsidR="00D06117" w:rsidRDefault="00D06117" w:rsidP="00D06117">
      <w:pPr>
        <w:pStyle w:val="TextoNormal"/>
      </w:pPr>
    </w:p>
    <w:p w:rsidR="00D06117" w:rsidRDefault="00D06117" w:rsidP="00D06117">
      <w:pPr>
        <w:pStyle w:val="TextoNormal"/>
      </w:pPr>
      <w:r>
        <w:t>Del anexo al que expresamente se remite la disposición transitoria interesan exclusivamente, por las razones ya expuestas en el anterior fundamento jurídico, los criterios de valoración de méritos en la fase de concurso:</w:t>
      </w:r>
    </w:p>
    <w:p w:rsidR="00D06117" w:rsidRDefault="00D06117" w:rsidP="00D06117">
      <w:pPr>
        <w:pStyle w:val="TextoNormal"/>
      </w:pPr>
    </w:p>
    <w:p w:rsidR="00D06117" w:rsidRDefault="00D06117" w:rsidP="00D06117">
      <w:pPr>
        <w:pStyle w:val="TextoNormal"/>
      </w:pPr>
      <w:r>
        <w:t>“1. Experiencia profesional.</w:t>
      </w:r>
    </w:p>
    <w:p w:rsidR="00D06117" w:rsidRDefault="00D06117" w:rsidP="00D06117">
      <w:pPr>
        <w:pStyle w:val="TextoNormal"/>
      </w:pPr>
    </w:p>
    <w:p w:rsidR="00D06117" w:rsidRDefault="00D06117" w:rsidP="00D06117">
      <w:pPr>
        <w:pStyle w:val="TextoNormal"/>
      </w:pPr>
      <w:r>
        <w:t>a) Por cada año completo o fracción superior a seis meses de experiencia en puestos de trabajo incluidos en la Relación de Puestos de Trabajo correspondiente de la Administración General de la Junta de Andalucía, de contenido similar al de los que desempeñan los funcionarios de carrera de los Cuerpos y especialidades a que se opta y siempre que se pertenezca al mismo Grupo al que se aspira, incluyéndose la experiencia adquirida como personal interino: 0,95 puntos.</w:t>
      </w:r>
    </w:p>
    <w:p w:rsidR="00D06117" w:rsidRDefault="00D06117" w:rsidP="00D06117">
      <w:pPr>
        <w:pStyle w:val="TextoNormal"/>
      </w:pPr>
    </w:p>
    <w:p w:rsidR="00D06117" w:rsidRDefault="00D06117" w:rsidP="00D06117">
      <w:pPr>
        <w:pStyle w:val="TextoNormal"/>
      </w:pPr>
      <w:r>
        <w:t>b) Por cada año completo o fracción superior a seis meses de experiencia como funcionario de carrera en puestos de trabajo de otras Administraciones Públicas, de contenido similar al de los que desempeñan los funcionarios de carrera de los Cuerpos y especialidades a que se opta y siempre que se pertenezca al mismo Grupo a que se aspira: 0,6 puntos.</w:t>
      </w:r>
    </w:p>
    <w:p w:rsidR="00D06117" w:rsidRDefault="00D06117" w:rsidP="00D06117">
      <w:pPr>
        <w:pStyle w:val="TextoNormal"/>
      </w:pPr>
    </w:p>
    <w:p w:rsidR="00D06117" w:rsidRDefault="00D06117" w:rsidP="00D06117">
      <w:pPr>
        <w:pStyle w:val="TextoNormal"/>
      </w:pPr>
      <w:r>
        <w:t>c) Por cada año o fracción superior a seis meses de experiencia profesional distinta de la contemplada en los dos apartados anteriores en actividades o puestos de trabajo que supongan el desarrollo de tareas de contenido similar o equivalente al de los puestos de trabajo que desempeñan los funcionarios de carrera de los Cuerpos y especialidades a que se opta: 0,5 puntos.</w:t>
      </w:r>
    </w:p>
    <w:p w:rsidR="00D06117" w:rsidRDefault="00D06117" w:rsidP="00D06117">
      <w:pPr>
        <w:pStyle w:val="TextoNormal"/>
      </w:pPr>
    </w:p>
    <w:p w:rsidR="00D06117" w:rsidRDefault="00D06117" w:rsidP="00D06117">
      <w:pPr>
        <w:pStyle w:val="TextoNormal"/>
      </w:pPr>
      <w:r>
        <w:t>Se valorarán como máximo diez años de experiencia profesional de la recogida en el conjunto de las tres letras precedentes.</w:t>
      </w:r>
    </w:p>
    <w:p w:rsidR="00D06117" w:rsidRDefault="00D06117" w:rsidP="00D06117">
      <w:pPr>
        <w:pStyle w:val="TextoNormal"/>
      </w:pPr>
    </w:p>
    <w:p w:rsidR="00D06117" w:rsidRDefault="00D06117" w:rsidP="00D06117">
      <w:pPr>
        <w:pStyle w:val="TextoNormal"/>
      </w:pPr>
      <w:r>
        <w:t>2. Cursos de Formación y Perfeccionamiento Profesional.</w:t>
      </w:r>
    </w:p>
    <w:p w:rsidR="00D06117" w:rsidRDefault="00D06117" w:rsidP="00D06117">
      <w:pPr>
        <w:pStyle w:val="TextoNormal"/>
      </w:pPr>
    </w:p>
    <w:p w:rsidR="00D06117" w:rsidRDefault="00D06117" w:rsidP="00D06117">
      <w:pPr>
        <w:pStyle w:val="TextoNormal"/>
      </w:pPr>
      <w:r>
        <w:t>Se valorará con 0,20 puntos, hasta un máximo de 3 puntos, cada curso de duración igual o superior a 20 horas realizados u homologados por entidades, instituciones o centros públicos, cuyo contenido guarde relación directa con las tareas propias del conjunto de puestos de trabajo que pueden ser desempeñados por los funcionarios de carrera de los Cuerpos y especialidades a que se opta.</w:t>
      </w:r>
    </w:p>
    <w:p w:rsidR="00D06117" w:rsidRDefault="00D06117" w:rsidP="00D06117">
      <w:pPr>
        <w:pStyle w:val="TextoNormal"/>
      </w:pPr>
    </w:p>
    <w:p w:rsidR="00D06117" w:rsidRDefault="00D06117" w:rsidP="00D06117">
      <w:pPr>
        <w:pStyle w:val="TextoNormal"/>
      </w:pPr>
      <w:r>
        <w:t>El cálculo de la puntuación se realizará acumulando las horas de todos los cursos que igualen o superen en duración a las 20 horas, dividiendo el total entre 20. El cociente resultante se multiplicará por 0,2. El resto se desechará.</w:t>
      </w:r>
    </w:p>
    <w:p w:rsidR="00D06117" w:rsidRDefault="00D06117" w:rsidP="00D06117">
      <w:pPr>
        <w:pStyle w:val="TextoNormal"/>
      </w:pPr>
    </w:p>
    <w:p w:rsidR="00D06117" w:rsidRDefault="00D06117" w:rsidP="00D06117">
      <w:pPr>
        <w:pStyle w:val="TextoNormal"/>
      </w:pPr>
      <w:r>
        <w:t>3. Titulaciones Académicas.</w:t>
      </w:r>
    </w:p>
    <w:p w:rsidR="00D06117" w:rsidRDefault="00D06117" w:rsidP="00D06117">
      <w:pPr>
        <w:pStyle w:val="TextoNormal"/>
      </w:pPr>
    </w:p>
    <w:p w:rsidR="00D06117" w:rsidRDefault="00D06117" w:rsidP="00D06117">
      <w:pPr>
        <w:pStyle w:val="TextoNormal"/>
      </w:pPr>
      <w:r>
        <w:t>Un punto, hasta un máximo de dos puntos, por cada titulación académica oficial, distinta a la alegada como requisito, de igual o superior nivel al correspondiente del Cuerpo y especialidad a que se opta y siempre que guarden relación con el conjunto de puestos de trabajo desempeñados por los funcionarios de carrera de los mismos.”</w:t>
      </w:r>
    </w:p>
    <w:p w:rsidR="00D06117" w:rsidRDefault="00D06117" w:rsidP="00D06117">
      <w:pPr>
        <w:pStyle w:val="TextoNormal"/>
      </w:pPr>
    </w:p>
    <w:p w:rsidR="00D06117" w:rsidRDefault="00D06117" w:rsidP="00D06117">
      <w:pPr>
        <w:pStyle w:val="TextoNormal"/>
      </w:pPr>
      <w:r w:rsidRPr="00D06117">
        <w:rPr>
          <w:rStyle w:val="NumeroAFNegritaCaracter"/>
        </w:rPr>
        <w:t>4</w:t>
      </w:r>
      <w:r>
        <w:t>. Como ha quedado expuesto con amplitud en el relato de los hechos, la Sala de lo Contencioso-Administrativo (Sección Primera) del Tribunal Superior de Justicia de Andalucía, con sede en Sevilla, en el Auto de planteamiento de la presente cuestión de inconstitucionalidad, considera, en primer lugar, que de la norma impugnada se desprende que nos encontramos ante un proceso de pruebas restringidas, puesto que aunque de manera nominalista se pueden presentar todos los solicitantes, con independencia de que hayan tenido vínculos laborales con la Administración convocante, la realidad revela que, con la valoración de los méritos relativos a la experiencia profesional establecida, solamente aquellos que cuentan con la citada experiencia profesional pueden presentarse al proceso con alguna posibilidad d e éxito.</w:t>
      </w:r>
    </w:p>
    <w:p w:rsidR="00D06117" w:rsidRDefault="00D06117" w:rsidP="00D06117">
      <w:pPr>
        <w:pStyle w:val="TextoNormal"/>
      </w:pPr>
    </w:p>
    <w:p w:rsidR="00D06117" w:rsidRDefault="00D06117" w:rsidP="00D06117">
      <w:pPr>
        <w:pStyle w:val="TextoNormal"/>
      </w:pPr>
      <w:r>
        <w:t>Reconoce, no obstante, que si bien valorar la experiencia profesional no implica por sí la vulneración del principio de igualdad que debe presidir estos procesos, la relevancia valorativa de la citada experiencia en el presente caso es claramente desproporcionada, puesto que aunque no es el único mérito valorable en la fase de concurso, las restricciones que se establecen para la valoración de los demás méritos, hace que sean ínfimas las posibilidades de superar esta fase sin contar con experiencia profesional.</w:t>
      </w:r>
    </w:p>
    <w:p w:rsidR="00D06117" w:rsidRDefault="00D06117" w:rsidP="00D06117">
      <w:pPr>
        <w:pStyle w:val="TextoNormal"/>
      </w:pPr>
    </w:p>
    <w:p w:rsidR="00D06117" w:rsidRDefault="00D06117" w:rsidP="00D06117">
      <w:pPr>
        <w:pStyle w:val="TextoNormal"/>
      </w:pPr>
      <w:r>
        <w:lastRenderedPageBreak/>
        <w:t>Como se explica en al Auto de planteamiento de la presente cuestión, el participante sin experiencia profesional que en el mejor de los casos supera la fase de concurso sólo puede obtener 5 puntos, mientras que solamente por experiencia profesional se pueden alcanzar 9,5 puntos. Se destaca también que siendo esta fase eliminatoria y exigiéndose 4 puntos para superarla, es realmente difícil no apreciar la desproporción señalada. Asimismo, se pone de manifiesto la desproporción en la valoración que se establece para una misma experiencia profesional pero adquirida en la Administración convocante o en otra Administración Pública, que se valora 0,95 en el primer caso y 0,6 en el segundo.</w:t>
      </w:r>
    </w:p>
    <w:p w:rsidR="00D06117" w:rsidRDefault="00D06117" w:rsidP="00D06117">
      <w:pPr>
        <w:pStyle w:val="TextoNormal"/>
      </w:pPr>
    </w:p>
    <w:p w:rsidR="00D06117" w:rsidRDefault="00D06117" w:rsidP="00D06117">
      <w:pPr>
        <w:pStyle w:val="TextoNormal"/>
      </w:pPr>
      <w:r>
        <w:t>También se apunta, que si bien la jurisprudencia del Tribunal Constitucional ha admitido la valoración de los servicios prestados como mérito, incluso como único valorable, siempre ha exigido unas circunstancias excepcionales que justificaran primar este mérito sobre otros. Por último, se rechaza en el Auto de planteamiento la excepcionalidad del procedimiento selectivo regulado en esta disposición transitoria, pues las razones objetivas y los fines constitucionalmente lícitos a los que se alude en el primer párrafo del precepto ya fueron tenidos en cuenta al aprobar el Decreto de la Junta de Andalucía 264/1989, de 27 de diciembre, por el que se establecía una regulación provisional del sistema de acceso a los cuerpos de funcionarios públicos de la Junta de Andalucía para un total de tres ofertas de empleo público.</w:t>
      </w:r>
    </w:p>
    <w:p w:rsidR="00D06117" w:rsidRDefault="00D06117" w:rsidP="00D06117">
      <w:pPr>
        <w:pStyle w:val="TextoNormal"/>
      </w:pPr>
    </w:p>
    <w:p w:rsidR="00D06117" w:rsidRDefault="00D06117" w:rsidP="00D06117">
      <w:pPr>
        <w:pStyle w:val="TextoNormal"/>
      </w:pPr>
      <w:r>
        <w:t>El Fiscal General del Estado interesa, como se ha expuesto en los antecedentes, en primer término, la estimación de la cuestión de inconstitucionalidad y la anulación de la totalidad de la disposición transitoria cuarta y el anexo a la misma de la Ley del Parlamento de Andalucía 8/1997, de 23 de diciembre, y, subsidiariamente, la declaración de inconstitucionalidad del inciso “para acceder a la fase de oposición será necesario obtener una puntuación mínima de 4 puntos” del apartado primero del citado precepto, así como del apartado primero del baremo incluido que figura en el anexo.</w:t>
      </w:r>
    </w:p>
    <w:p w:rsidR="00D06117" w:rsidRDefault="00D06117" w:rsidP="00D06117">
      <w:pPr>
        <w:pStyle w:val="TextoNormal"/>
      </w:pPr>
    </w:p>
    <w:p w:rsidR="00D06117" w:rsidRDefault="00D06117" w:rsidP="00D06117">
      <w:pPr>
        <w:pStyle w:val="TextoNormal"/>
      </w:pPr>
      <w:r w:rsidRPr="00D06117">
        <w:rPr>
          <w:rStyle w:val="NumeroAFNegritaCaracter"/>
        </w:rPr>
        <w:t>5</w:t>
      </w:r>
      <w:r>
        <w:t>. Entrando en el fondo de la cuestión debe apuntarse cuales son la líneas principales de la doctrina constitucional sobre el art. 23.2 CE.</w:t>
      </w:r>
    </w:p>
    <w:p w:rsidR="00D06117" w:rsidRDefault="00D06117" w:rsidP="00D06117">
      <w:pPr>
        <w:pStyle w:val="TextoNormal"/>
      </w:pPr>
    </w:p>
    <w:p w:rsidR="00D06117" w:rsidRDefault="00D06117" w:rsidP="00D06117">
      <w:pPr>
        <w:pStyle w:val="TextoNormal"/>
      </w:pPr>
      <w:r>
        <w:t>Es doctrina consolidada, por todas, STC 10/1989, de 24 de enero, FJ 3, que este derecho es de configuración legal, correspondiendo al legislador delimitar el mismo y establecer los criterio que permitan el acceso a las funciones públicas en condiciones de igualdad; asimismo, como hemos afirmado en la STC 185/1994, de 20 de junio, FJ 3, el art. 23.2 CE configura un derecho puramente reaccional que no otorga el derecho a desempeñar determinadas funciones públicas, sino que lo que establece es la posibilidad de reclamar ante los Tribunales de justicia toda norma o su aplicación que vulnere la igualdad que prevé el citado artículo.</w:t>
      </w:r>
    </w:p>
    <w:p w:rsidR="00D06117" w:rsidRDefault="00D06117" w:rsidP="00D06117">
      <w:pPr>
        <w:pStyle w:val="TextoNormal"/>
      </w:pPr>
    </w:p>
    <w:p w:rsidR="00D06117" w:rsidRDefault="00D06117" w:rsidP="00D06117">
      <w:pPr>
        <w:pStyle w:val="TextoNormal"/>
      </w:pPr>
      <w:r>
        <w:t>Además de las citadas características, este Tribunal ha puesto especial énfasis en resaltar el principio de igualdad como núcleo esencial del derecho de acceso a las funciones públicas. En consecuencia, para velar por el citado principio ha establecido las siguientes garantías constitucionales.</w:t>
      </w:r>
    </w:p>
    <w:p w:rsidR="00D06117" w:rsidRDefault="00D06117" w:rsidP="00D06117">
      <w:pPr>
        <w:pStyle w:val="TextoNormal"/>
      </w:pPr>
    </w:p>
    <w:p w:rsidR="00D06117" w:rsidRDefault="00D06117" w:rsidP="00D06117">
      <w:pPr>
        <w:pStyle w:val="TextoNormal"/>
      </w:pPr>
      <w:r>
        <w:t xml:space="preserve">En primer lugar, nos encontramos ante un derecho a la predeterminación normativa del procedimiento de acceso a las funciones públicas “con los requisitos que señalen las leyes”, art. 23.2 CE. Como ya declaramos en la STC 48/1998, de 2 de marzo, FJ 7 b), la predeterminación normativa —a través de la reserva de ley y el principio de legalidad— entrañan </w:t>
      </w:r>
      <w:r>
        <w:lastRenderedPageBreak/>
        <w:t>una garantía de orden material que se traduce en “la fijación ex ante de los criterios de selección, tanto de carácter absoluto como relativo, en que consistan la igualdad, mérito y capacidad para cada función”, siendo ésta “la única forma de que pueda ejercerse el derecho mismo”. De esta manera, los participantes en este tipo de procesos conocen de antemano cuales son las condiciones y requisitos que rigen el proceso y, por otra parte, la Administración queda sujeta, en la valoración de los candidatos, al contenido predeterminado en la norma.</w:t>
      </w:r>
    </w:p>
    <w:p w:rsidR="00D06117" w:rsidRDefault="00D06117" w:rsidP="00D06117">
      <w:pPr>
        <w:pStyle w:val="TextoNormal"/>
      </w:pPr>
    </w:p>
    <w:p w:rsidR="00D06117" w:rsidRDefault="00D06117" w:rsidP="00D06117">
      <w:pPr>
        <w:pStyle w:val="TextoNormal"/>
      </w:pPr>
      <w:r>
        <w:t>En segundo lugar, pero en inescindible conexión con lo anterior, nos hallamos ante un derecho de acceso a las funciones públicas “en condiciones de igualdad”, lo que supone que las normas reguladoras del proceso selectivo han de asegurar a los ciudadanos una situación jurídica de igualdad en el acceso a las funciones públicas, con la inmediata interdicción de requisitos de acceso que tengan carácter discriminatorio (SSTC 193/1987, de 9 de diciembre; 47/1990, de 20 de marzo; o 353/1993, de 29 de noviembre), o de referencias individualizadas (STC 67/1989, de 18 de abril). Así, hemos afirmado que las normas que regulan estos procesos deben, para respetar el principio de igualdad, establecer los requisitos y condiciones de acceso en términos abstractos y generales, con la interdicción de cualquier referencia individualizada o de convocatorias ad personam y de requisitos discriminatorios (SSTC 60/1986, de 20 de mayo; 148/1986, de 25 de noviembre; 18/1987, de 16 de febrero; 27/1991, de 14 de febrero). También dentro de este principio, como antes se ha apuntado, se ha exigido que las condiciones y requisitos que se establezcan sean referibles a los principios de mérito y capacidad, estableciéndose la obligación de “no exigir para el acceso a la función pública requisito o condición alguna que no sea referible a los indicados conceptos de mérito y capacidad, de manera que pueden considerarse violatorios del principio de igualdad todos aquellos que sin esa referencia, establezcan una diferencia entre ciudadanos” (STC 138/2000, de 29 de mayo, FJ 6).</w:t>
      </w:r>
    </w:p>
    <w:p w:rsidR="00D06117" w:rsidRDefault="00D06117" w:rsidP="00D06117">
      <w:pPr>
        <w:pStyle w:val="TextoNormal"/>
      </w:pPr>
    </w:p>
    <w:p w:rsidR="00D06117" w:rsidRDefault="00D06117" w:rsidP="00D06117">
      <w:pPr>
        <w:pStyle w:val="TextoNormal"/>
      </w:pPr>
      <w:r>
        <w:t>Por último,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por todas, STC 10/1998, de 13 de enero.</w:t>
      </w:r>
    </w:p>
    <w:p w:rsidR="00D06117" w:rsidRDefault="00D06117" w:rsidP="00D06117">
      <w:pPr>
        <w:pStyle w:val="TextoNormal"/>
      </w:pPr>
    </w:p>
    <w:p w:rsidR="00D06117" w:rsidRDefault="00D06117" w:rsidP="00D06117">
      <w:pPr>
        <w:pStyle w:val="TextoNormal"/>
      </w:pPr>
      <w:r>
        <w:t>En definitiva, a modo de síntesis, el art. 23.2 CE garantiza que las normas que regulan estos proceso no establezcan diferencias entre los participantes carentes de justificación objetiva y razonable y que no sean desproporcionadas, que los requisitos de acceso y criterios de selección se dispongan en términos generales y abstractos, y además, que estén referidos a los principios de mérito y capacidad.</w:t>
      </w:r>
    </w:p>
    <w:p w:rsidR="00D06117" w:rsidRDefault="00D06117" w:rsidP="00D06117">
      <w:pPr>
        <w:pStyle w:val="TextoNormal"/>
      </w:pPr>
    </w:p>
    <w:p w:rsidR="00D06117" w:rsidRDefault="00D06117" w:rsidP="00D06117">
      <w:pPr>
        <w:pStyle w:val="TextoNormal"/>
      </w:pPr>
      <w:r>
        <w:t xml:space="preserve">No obstante, debe realizarse un último apunte fundamental en relación con el principio de igualdad que garantiza el 23.2 CE. En determinados supuestos extraordinarios se ha considerado acorde con la Constitución, que en procesos selectivos de acceso a funciones públicas se establezca un trato de favor en relación a unos participantes respecto de otros. Esta excepción a la regla general se ha considerado legítima en supuestos verdaderamente singulares, en los que las especiales circunstancias de una Administración y el momento concreto en el que se celebraban estas pruebas, justificaban la desigualdad de trato entre los participantes, beneficiando a aquéllos que ya habían prestado en el pasado servicios profesionales en situación de interinidad en la Administración convocante. Estos supuestos varían </w:t>
      </w:r>
      <w:r>
        <w:lastRenderedPageBreak/>
        <w:t>desde la celebración de pruebas restringidas (STC 27/1991, de 14 de febrero) a pruebas en las que se primaba de manera muy notable los servicios prestados en la Administración, pero en uno y otro caso, ha existido siempre justificación de las singulares y excepcionales circunstancias que de manera expresa se explicaban en cada una de las convocatorias (SSTC 67/1989, de 18 de abril; 185/1994, de 20 de junio; 12/1999, de 11 de febrero; 83/2000, de 27 de marzo, o 107/2003, de 2 de junio). En definitiva, para que sea constitucionalmente legítimo establecer un proceso selectivo restringido o uno en el que se prime notablemente un determinado mérito en relación a otros, debe existir una justificación amparada en una situación excepcional, ya que en otro caso, la desigualdad de trato lesionaría el art. 23.2 CE.</w:t>
      </w:r>
    </w:p>
    <w:p w:rsidR="00D06117" w:rsidRDefault="00D06117" w:rsidP="00D06117">
      <w:pPr>
        <w:pStyle w:val="TextoNormal"/>
      </w:pPr>
    </w:p>
    <w:p w:rsidR="00D06117" w:rsidRDefault="00D06117" w:rsidP="00D06117">
      <w:pPr>
        <w:pStyle w:val="TextoNormal"/>
      </w:pPr>
      <w:r w:rsidRPr="00D06117">
        <w:rPr>
          <w:rStyle w:val="NumeroAFNegritaCaracter"/>
        </w:rPr>
        <w:t>6</w:t>
      </w:r>
      <w:r>
        <w:t>. Por lo tanto, a la vista de esta jurisprudencia y de las dudas de constitucionalidad planteadas sobre la norma impugnada debemos analizar como punto de partida si, como se afirma en al Auto de planteamiento, nos hallamos ante un proceso de selección restringido o cerrado.</w:t>
      </w:r>
    </w:p>
    <w:p w:rsidR="00D06117" w:rsidRDefault="00D06117" w:rsidP="00D06117">
      <w:pPr>
        <w:pStyle w:val="TextoNormal"/>
      </w:pPr>
    </w:p>
    <w:p w:rsidR="00D06117" w:rsidRDefault="00D06117" w:rsidP="00D06117">
      <w:pPr>
        <w:pStyle w:val="TextoNormal"/>
      </w:pPr>
      <w:r>
        <w:t>Los procesos cerrados o restringidos —que, según nuestra jurisprudencia se han admitido solamente en supuestos excepcionales— son aquellos en los que para tomar parte en los mismos se exige haber prestado previamente servicios profesionales en la Administración convocante. En el presente caso, al igual que ha ocurrido en otros supuestos similares analizados por nuestra jurisprudencia, (por todas, SSTC 12/1999, de 11 de febrero y 83/2000, de 27 de marzo) no nos encontramos ante uno de estos procesos excepcionales, puesto que no se impide la participación de todos aquellos ciudadanos que no hubieran tenido relación anterior con la Administración; el diferente trato que en el presente proceso se da a los participantes que cuenten con experiencia profesional de aquellos que no la tienen, será objeto de análisis más adelante, pero lo cierto es que unos y otros pueden presentarse al proceso, en principio, sin ninguna otra limitación.</w:t>
      </w:r>
    </w:p>
    <w:p w:rsidR="00D06117" w:rsidRDefault="00D06117" w:rsidP="00D06117">
      <w:pPr>
        <w:pStyle w:val="TextoNormal"/>
      </w:pPr>
    </w:p>
    <w:p w:rsidR="00D06117" w:rsidRDefault="00D06117" w:rsidP="00D06117">
      <w:pPr>
        <w:pStyle w:val="TextoNormal"/>
      </w:pPr>
      <w:r w:rsidRPr="00D06117">
        <w:rPr>
          <w:rStyle w:val="NumeroAFNegritaCaracter"/>
        </w:rPr>
        <w:t>7</w:t>
      </w:r>
      <w:r>
        <w:t>. Una vez constatado que no nos encontramos ante un proceso restringido, siguiendo un orden lógico en el examen de la presente cuestión, procede analizar si las valoraciones que se contienen en la norma impugnada sobre la experiencia profesional de los candidatos respetan el principio de igualdad que garantiza el art. 23.2 CE o si, por el contrario, existe una desproporción en beneficio de unos y perjuicio de otros que vulnere el citado precepto. Es necesario aclarar de manera previa este aspecto puesto que si se llegara a la conclusión de que la valoración cuestionada respeta el principio de igualdad contenido en el art. 23.2 CE, nada importaría que nos encontramos ante un proceso ordinario o excepcional, ya que esta última circunstancia sólo adquiriría relevancia, como antes hemos señalado, si se constatara que existe en la norma impugnada un trato desigual de los participantes en el proceso selectivo, que pudiera quedar amparado, precisamente, por la excepcionalidad del proceso.</w:t>
      </w:r>
    </w:p>
    <w:p w:rsidR="00D06117" w:rsidRDefault="00D06117" w:rsidP="00D06117">
      <w:pPr>
        <w:pStyle w:val="TextoNormal"/>
      </w:pPr>
    </w:p>
    <w:p w:rsidR="00D06117" w:rsidRDefault="00D06117" w:rsidP="00D06117">
      <w:pPr>
        <w:pStyle w:val="TextoNormal"/>
      </w:pPr>
      <w:r>
        <w:t xml:space="preserve">Del anexo al que expresamente se remite la disposición transitoria impugnada interesan, exclusivamente, los criterios de valoración de méritos en la fase de concurso, en los que la experiencia profesional “en puestos de contenido similar al de los que desempeñan los funcionarios de carrera de los Cuerpos y especialidades a que se opta” se valora, por cada año completo o fracción superior a seis meses, 0,95 puntos si se han desempeñado en la Administración convocante, 0,6 puntos si la experiencia profesional se ha adquirido en otra Administración y finalmente, 0,5 puntos si la experiencia profesional en puestos de contenido similar se ha adquirido fuera de las Administraciones públicas. En cualquier caso se valora un máximo de diez años, por lo que se pueden obtener un máximo de 9,5 puntos en el mejor </w:t>
      </w:r>
      <w:r>
        <w:lastRenderedPageBreak/>
        <w:t>de los casos para aquellos que prestaban servicios en la Administración convocante. Además debe ponderarse que la fase de concurso tiene carácter eliminatorio, la nota máxima alcanzable son 14,5 puntos, y para superarla y acceder a la fase de oposición será necesario obtener una puntuación mínima de 4 puntos.</w:t>
      </w:r>
    </w:p>
    <w:p w:rsidR="00D06117" w:rsidRDefault="00D06117" w:rsidP="00D06117">
      <w:pPr>
        <w:pStyle w:val="TextoNormal"/>
      </w:pPr>
    </w:p>
    <w:p w:rsidR="00D06117" w:rsidRDefault="00D06117" w:rsidP="00D06117">
      <w:pPr>
        <w:pStyle w:val="TextoNormal"/>
      </w:pPr>
      <w:r>
        <w:t>En el caso que nos ocupa, la experiencia profesional supone 9,5 puntos de los 14,5 puntos que como máximo se pueden obtener en la fase de concurso. Los 5 puntos restantes hasta los 14,5 derivan de los otros méritos evaluables: 0,20 puntos, hasta un máximo de 3 puntos por cursos de formación y perfeccionamiento profesional y 1 punto, hasta un máximo de 2, por cada titulación académica oficial, distinta a la alegada como requisito, de igual o superior nivel al correspondiente del cuerpo y especialidad a que se opta y siempre que guarden relación con el conjunto de puestos de trabajo desempeñados por los funcionarios de carrera de los mismos. Por tanto, un participante sin experiencia profesional sólo puede aspirar a obtener 5 puntos si reúne el máximo de los cursos y titulaciones valorables.</w:t>
      </w:r>
    </w:p>
    <w:p w:rsidR="00D06117" w:rsidRDefault="00D06117" w:rsidP="00D06117">
      <w:pPr>
        <w:pStyle w:val="TextoNormal"/>
      </w:pPr>
    </w:p>
    <w:p w:rsidR="00D06117" w:rsidRDefault="00D06117" w:rsidP="00D06117">
      <w:pPr>
        <w:pStyle w:val="TextoNormal"/>
      </w:pPr>
      <w:r>
        <w:t>En principio, como antes se ha señalado, la valoración como mérito de la experiencia profesional es perfectamente válida desde el punto de vista constitucional; hemos afirmado que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[SSTC 67/1989, de 18 de abril, FJ 3 y 107/2003, de 2 de junio, FJ 5 b)].</w:t>
      </w:r>
    </w:p>
    <w:p w:rsidR="00D06117" w:rsidRDefault="00D06117" w:rsidP="00D06117">
      <w:pPr>
        <w:pStyle w:val="TextoNormal"/>
      </w:pPr>
    </w:p>
    <w:p w:rsidR="00D06117" w:rsidRDefault="00D06117" w:rsidP="00D06117">
      <w:pPr>
        <w:pStyle w:val="TextoNormal"/>
      </w:pPr>
      <w:r>
        <w:t>No obstante, si bien hemos afirmado que no plantea problema de igualdad la consideración como mérito de los servicios prestados, hemos advertido que es “la relevancia cuantitativa” que las bases de la convocatoria den a ese mérito concreto lo que debe analizarse en supuestos de aparente desproporcionalidad. En este sentido se consideró en la STC 107/2003, de 2 de junio, FJ 4, que la “conexión entre acceso en condiciones de igualdad, por un lado, y el acceso de acuerdo con los principios de mérito y capacidad, por otro, nos ha llevado también a controlar, para evitar una ‘diferencia de trato irracional o arbitraria entre los concursantes’ (STC 60/1994, de 28 de febrero, FJ 4), la valoración dada a algún mérito en concreto, cual es, particularmente y a los efectos que interesan en el presente caso, el relativo a la toma en consideración de la previa prestación de servicios a la Administración. Esta última circunstancia, en efecto, si bien se ha reconocido que puede ser tomada en consideración para evaluar la ‘aptitud o capacidad’ [SSTC 67/1989, de 18 de abril, FJ 3, y 185/1994, de 20 de junio, FJ 6 b)] del aspirante, ni puede llegar a convertirse en un requisito que excluya la posibilidad de concurrencia de terceros, ni tener una dimensión cuantitativa que rebase el ‘límite de lo tolerable’ [SSTC 67/1989, de 18 de abril, FJ 4, 185/1994, de 20 de junio, FJ 6 c), y 73/1998, de 31 de marzo, FJ 3 b)]”.</w:t>
      </w:r>
    </w:p>
    <w:p w:rsidR="00D06117" w:rsidRDefault="00D06117" w:rsidP="00D06117">
      <w:pPr>
        <w:pStyle w:val="TextoNormal"/>
      </w:pPr>
    </w:p>
    <w:p w:rsidR="00D06117" w:rsidRDefault="00D06117" w:rsidP="00D06117">
      <w:pPr>
        <w:pStyle w:val="TextoNormal"/>
      </w:pPr>
      <w:r w:rsidRPr="00D06117">
        <w:rPr>
          <w:rStyle w:val="NumeroAFNegritaCaracter"/>
        </w:rPr>
        <w:t>8</w:t>
      </w:r>
      <w:r>
        <w:t>. En el presente caso, la experiencia profesional —dependiendo de dónde se haya adquirido— vale un máximo de 9,5 puntos, mientras que todos los demás méritos valorables, aun en su puntuación máxima posible, solamente alcanzan 5 puntos; es decir, el valor del mérito “experiencia profesional” tiene, prácticamente, el doble de valor que la suma de todos los demás méritos, con la circunstancia, no menor, de que la fase de concurso tiene carácter eliminatorio, siendo relevante además que es necesario obtener para superarla 4 puntos.</w:t>
      </w:r>
    </w:p>
    <w:p w:rsidR="00D06117" w:rsidRDefault="00D06117" w:rsidP="00D06117">
      <w:pPr>
        <w:pStyle w:val="TextoNormal"/>
      </w:pPr>
    </w:p>
    <w:p w:rsidR="00D06117" w:rsidRDefault="00D06117" w:rsidP="00D06117">
      <w:pPr>
        <w:pStyle w:val="TextoNormal"/>
      </w:pPr>
      <w:r>
        <w:lastRenderedPageBreak/>
        <w:t>Debe recordarse que en otras ocasiones, por todas la STC 67/1989, de 18 de abril, se consideró a la luz de las concretas circunstancias del caso, que el hecho de que la valoración de los servicios prestados alcanzara el 45 por 100 de la nota total, era acorde con el art. 23.2, pero se llegó a dicha conclusión no solamente por “las especiales circunstancias creadas por la puesta en marcha de la Administración autonómica, y a la necesidad de contar inmediatamente con personal propio” que justificaba la desproporción en la valoración, sino también porque los participantes damnificados, al menos contaban con la posibilidad de que sus “méritos personales se muestren en la fase de oposición”, para cuyo acceso no se establecía nota de corte; un argumento similar se señaló en las SSTC 83/2000, de 27 de marzo, FJ 4 y 107/2003, de 2 de junio, FJ 5, afirmándose en esta última que “la puntuación otorgada a quienes poseían servicios previos computables, aunque es cierto que otorga una sustancial ventaja a estos aspirantes (en mayor grado cuantos más años de servicios prestados acreditasen, con el máximo indicado), no excluye de la competición a quienes, como la recurrente, carecen de dicho mérito, pese a que imponga a estos opositores ‘por libre’, para situarse a igual nivel de puntuación que los opositores interinos, un nivel de conocimientos superior, pero sin que ello signifique el establecimiento de un obstáculo insalvable que impida el acceso a la función pública de quienes no han prestado servicios previamente en la Administración de la Seguridad Social”.</w:t>
      </w:r>
    </w:p>
    <w:p w:rsidR="00D06117" w:rsidRDefault="00D06117" w:rsidP="00D06117">
      <w:pPr>
        <w:pStyle w:val="TextoNormal"/>
      </w:pPr>
    </w:p>
    <w:p w:rsidR="00D06117" w:rsidRDefault="00D06117" w:rsidP="00D06117">
      <w:pPr>
        <w:pStyle w:val="TextoNormal"/>
      </w:pPr>
      <w:r>
        <w:t>En aquellas ocasiones se ponderó la posibilidad de que los participantes sin experiencia previa, si bien se veían perjudicados, tenían la oportunidad de equilibrar su puntuación en la fase de oposición.</w:t>
      </w:r>
    </w:p>
    <w:p w:rsidR="00D06117" w:rsidRDefault="00D06117" w:rsidP="00D06117">
      <w:pPr>
        <w:pStyle w:val="TextoNormal"/>
      </w:pPr>
    </w:p>
    <w:p w:rsidR="00D06117" w:rsidRDefault="00D06117" w:rsidP="00D06117">
      <w:pPr>
        <w:pStyle w:val="TextoNormal"/>
      </w:pPr>
      <w:r>
        <w:t>En el presente caso, la posibilidad de obtener 9,5 puntos por la experiencia profesional representa un porcentaje claramente superior al 45 por 100 de la nota total de la fase de concurso: 14,5 puntos. Estas circunstancias suponen primar sensiblemente a los participantes que contaran con servicios prestados en la Administración convocante, que se presenta desproporcionado, más aun cuando la fase de concurso se establece como eliminatoria y existe una nota de corte que dificulta en exceso que los participantes sin experiencia profesional puedan, siquiera, acceder a la fase de oposición, nota de corte que no existía en los supuestos antes señalados y resueltos en las SSTC 67/1989, de 18 de abril y 83/2000, de 27 de marzo, en las que, como veíamos, se ponderaba la posibilidad de que la ventaja con la que contaban los interinos se pudiera compensar con la posibilidad de participar en la fase de oposición, aun con la necesidad de mostrar, por parte los participantes sin experiencia profesional, mayores conocimientos.</w:t>
      </w:r>
    </w:p>
    <w:p w:rsidR="00D06117" w:rsidRDefault="00D06117" w:rsidP="00D06117">
      <w:pPr>
        <w:pStyle w:val="TextoNormal"/>
      </w:pPr>
    </w:p>
    <w:p w:rsidR="00D06117" w:rsidRDefault="00D06117" w:rsidP="00D06117">
      <w:pPr>
        <w:pStyle w:val="TextoNormal"/>
      </w:pPr>
      <w:r>
        <w:t>Debemos concluir, por tanto, que la valoración de la experiencia profesional en la norma que estamos analizando, implica un beneficio desproporcionado a unos participantes respecto de otros.</w:t>
      </w:r>
    </w:p>
    <w:p w:rsidR="00D06117" w:rsidRDefault="00D06117" w:rsidP="00D06117">
      <w:pPr>
        <w:pStyle w:val="TextoNormal"/>
      </w:pPr>
    </w:p>
    <w:p w:rsidR="00D06117" w:rsidRDefault="00D06117" w:rsidP="00D06117">
      <w:pPr>
        <w:pStyle w:val="TextoNormal"/>
      </w:pPr>
      <w:r w:rsidRPr="00D06117">
        <w:rPr>
          <w:rStyle w:val="NumeroAFNegritaCaracter"/>
        </w:rPr>
        <w:t>9</w:t>
      </w:r>
      <w:r>
        <w:t>. No obstante, aun habiendo alcanzado la conclusión de que la valoración de la experiencia profesional debe considerarse desproporcionada a favor de unos participantes respecto de otros, este hecho, por sí mismo no conduce a apreciar una lesión del art. 23.2 CE, sino que, como antes hemos señalado, en algunas circunstancias excepcionales se puede justificar la aplicación de criterios como los analizados en el presente proceso.</w:t>
      </w:r>
    </w:p>
    <w:p w:rsidR="00D06117" w:rsidRDefault="00D06117" w:rsidP="00D06117">
      <w:pPr>
        <w:pStyle w:val="TextoNormal"/>
      </w:pPr>
    </w:p>
    <w:p w:rsidR="00D06117" w:rsidRDefault="00D06117" w:rsidP="00D06117">
      <w:pPr>
        <w:pStyle w:val="TextoNormal"/>
      </w:pPr>
      <w:r>
        <w:t xml:space="preserve">Así, hemos considerado legítimo, bajo el punto de vista constitucional, desde la celebración de procesos restringidos, hasta aquellos en los que, como el establecido en la norma </w:t>
      </w:r>
      <w:r>
        <w:lastRenderedPageBreak/>
        <w:t>ahora impugnada, se primaban sensiblemente unos méritos frente a otros (SSTC 27/1991, de 14 de febrero; 185/1994, de 20 de junio; 16/1998, de 26 de enero; 12/1999, de 11 de febrero), pero en todos ellos, la desigualdad en la ponderación de determinados méritos venía amparada en la situación excepcional y única que permitía a la Administración convocante celebrar dichos procesos.</w:t>
      </w:r>
    </w:p>
    <w:p w:rsidR="00D06117" w:rsidRDefault="00D06117" w:rsidP="00D06117">
      <w:pPr>
        <w:pStyle w:val="TextoNormal"/>
      </w:pPr>
    </w:p>
    <w:p w:rsidR="00D06117" w:rsidRDefault="00D06117" w:rsidP="00D06117">
      <w:pPr>
        <w:pStyle w:val="TextoNormal"/>
      </w:pPr>
      <w:r>
        <w:t>Debemos por tanto analizar si la norma impugnada está o no amparada por la excepcionalidad de la situación de la Administración convocante. En principio se reconoce en ella que su finalidad es la de “normalizar una situación singular de la función pública andaluza, originada por un proceso único e irrepetible, como fue la creación y consolidación de una forma de organización de la Administración andaluza” por lo que subyace una supuesta situación excepcional en la convocatoria que analizamos.</w:t>
      </w:r>
    </w:p>
    <w:p w:rsidR="00D06117" w:rsidRDefault="00D06117" w:rsidP="00D06117">
      <w:pPr>
        <w:pStyle w:val="TextoNormal"/>
      </w:pPr>
    </w:p>
    <w:p w:rsidR="00D06117" w:rsidRDefault="00D06117" w:rsidP="00D06117">
      <w:pPr>
        <w:pStyle w:val="TextoNormal"/>
      </w:pPr>
      <w:r>
        <w:t>Sin embargo, como pone de manifiesto el Ministerio Fiscal en sus alegaciones, según la doctrina de este Tribunal Constitucional contenida, entre otras, en las SSTC 27/1991, de 14 de febrero, 16/1998, de 26 de enero, 12/1999, de 11 de febrero, es preciso que concurran tres requisitos para que resulte conforme con los arts. 14 y 23.2 CE, en relación con los principios de mérito y capacidad del art. 103.3 CE, un proceso selectivo de las características del ahora controvertido. En primer lugar, justificación de la excepcionalidad de la medida a adoptar, fundamentada exclusivamente en la singular, puntual y transitoria necesidad de tener que poner en funcionamiento una nueva forma de organización de las Administraciones autonómicas resultante de la asunción de competencias que antes correspondían al Estado. En segundo término, la limitación de acudir por una sola vez a estos procedimientos excepcionales. Y, finalmente, la reserva de ley, que exige la aprobación mediante norma con este rango legal de la cobertura necesaria para la convocatoria de dichos procesos selectivos.</w:t>
      </w:r>
    </w:p>
    <w:p w:rsidR="00D06117" w:rsidRDefault="00D06117" w:rsidP="00D06117">
      <w:pPr>
        <w:pStyle w:val="TextoNormal"/>
      </w:pPr>
    </w:p>
    <w:p w:rsidR="00D06117" w:rsidRDefault="00D06117" w:rsidP="00D06117">
      <w:pPr>
        <w:pStyle w:val="TextoNormal"/>
      </w:pPr>
      <w:r>
        <w:t>Siendo evidente el cumplimiento del rango legal de la norma, señala el Fiscal General del Estado que la norma pone el acento en que la finalidad perseguida no es otra que la de “normalizar una situación singular de la función pública andaluza, originada por un proceso único e irrepetible”, como es el de la creación de la Administración de esta Comunidad Autónoma, siguiendo a este respecto los criterios de la STC 67/1989 de 18 de abril.</w:t>
      </w:r>
    </w:p>
    <w:p w:rsidR="00D06117" w:rsidRDefault="00D06117" w:rsidP="00D06117">
      <w:pPr>
        <w:pStyle w:val="TextoNormal"/>
      </w:pPr>
    </w:p>
    <w:p w:rsidR="00D06117" w:rsidRDefault="00D06117" w:rsidP="00D06117">
      <w:pPr>
        <w:pStyle w:val="TextoNormal"/>
      </w:pPr>
      <w:r>
        <w:t>Sin embargo, de acuerdo con lo alegado por el Ministerio público, la realidad legislativa viene a contradecir esta afirmada razón de provisionalidad, excepcionalidad y singularidad, pues no debe olvidarse que en el apartado 2.1 de la disposición transitoria sexta de la Ley 6/1985, de 28 de noviembre, de ordenación de la función pública de la Junta de Andalucía, en la redacción dada por la Ley 6/1988, de 17 de octubre, ya se habilitaba a la Administración autonómica para dictar una norma de desarrollo que, con carácter provisional, estableciese un procedimiento de acceso a los cuerpos de funcionarios de la Junta de Andalucía. De esta habilitación se hizo uso en el Decreto 264/1989, de 27 de diciembre, al que se refiere el Auto de planteamiento, en el que se dispuso un sistema excepcional de acceso —que primaba al personal contratado e interino— para las tres primeras ofertas de empleo público. En consecuencia, la Administración autonómica no sólo dispuso ya de esta posibilidad sino que hizo uso de ella para solventar la situación excepcional que reconocía existente al dictar la norma reglamentaria.</w:t>
      </w:r>
    </w:p>
    <w:p w:rsidR="00D06117" w:rsidRDefault="00D06117" w:rsidP="00D06117">
      <w:pPr>
        <w:pStyle w:val="TextoNormal"/>
      </w:pPr>
    </w:p>
    <w:p w:rsidR="00D06117" w:rsidRDefault="00D06117" w:rsidP="00D06117">
      <w:pPr>
        <w:pStyle w:val="TextoNormal"/>
      </w:pPr>
      <w:r>
        <w:lastRenderedPageBreak/>
        <w:t>No puede entenderse que se satisfagan las exigencias derivadas de la doctrina constitucional cuando se pretende introducir una segunda excepcionalidad para todo el personal interino o de carrera perteneciente a otras Administraciones que viniera prestando sus servicios desde el 31 de diciembre de 1995.</w:t>
      </w:r>
    </w:p>
    <w:p w:rsidR="00D06117" w:rsidRDefault="00D06117" w:rsidP="00D06117">
      <w:pPr>
        <w:pStyle w:val="TextoNormal"/>
      </w:pPr>
    </w:p>
    <w:p w:rsidR="00D06117" w:rsidRDefault="00D06117" w:rsidP="00D06117">
      <w:pPr>
        <w:pStyle w:val="TextoNormal"/>
      </w:pPr>
      <w:r w:rsidRPr="00D06117">
        <w:rPr>
          <w:rStyle w:val="NumeroAFNegritaCaracter"/>
        </w:rPr>
        <w:t>10</w:t>
      </w:r>
      <w:r>
        <w:t>. En definitiva, de lo expuesto en los fundamentos precedentes debe concluirse que el apartado primero de la disposición transitoria cuarta y el anexo, en la parte relativa a la valoración de los méritos en la fase de concurso, de la Ley del Parlamento de Andalucía 8/1997, de 23 de diciembre, que aprueba medidas en materia tributaria, presupuestaria, de empresas de la Junta y otras entidades, de recaudación, de contratación, de función pública y de fianzas de arrendamientos y suministros, vulneran el art. 23.2 CE, puesto que dispone una valoración desproporcionada del mérito relativo a la experiencia profesional sin que dicha desproporción, conforme la jurisprudencia antes señalada, pueda considerarse justificada.</w:t>
      </w:r>
    </w:p>
    <w:p w:rsidR="00D06117" w:rsidRDefault="00D06117" w:rsidP="00D06117">
      <w:pPr>
        <w:pStyle w:val="TextoNormal"/>
      </w:pPr>
    </w:p>
    <w:p w:rsidR="00D06117" w:rsidRDefault="00D06117" w:rsidP="00D06117">
      <w:pPr>
        <w:pStyle w:val="TextoNormal"/>
      </w:pPr>
      <w:r>
        <w:t>Por otra parte, como se ha señalado en el fundamento jurídico segundo, letra B b), debe ser inadmitida parcialmente la cuestión de inconstitucionalidad en relación con el apartado segundo de la disposición transitoria cuarta de la citada ley, que se refiere a convocatorias para personal laboral, así como las previsiones relativas a la fase de oposición del baremo del anexo.</w:t>
      </w:r>
    </w:p>
    <w:p w:rsidR="00D06117" w:rsidRDefault="00D06117" w:rsidP="00D06117">
      <w:pPr>
        <w:pStyle w:val="TextoNormal"/>
      </w:pPr>
    </w:p>
    <w:p w:rsidR="00D06117" w:rsidRDefault="00D06117" w:rsidP="00D06117">
      <w:pPr>
        <w:pStyle w:val="TextoNormal"/>
      </w:pPr>
      <w:r>
        <w:t>No obstante, teniendo presente el tiempo trascurrido desde la interposición de la presente cuestión de inconstitucionalidad y su resolución, la declaración de inconstitucionalidad de la norma impugnada, no debe afectar a aquellos procesos selectivos que amparados en la misma, hayan finalizado mediante resolución administrativa firme al tiempo de publicación de la presente Sentencia. De esta manera se garantiza el principio de la seguridad jurídica sin que se vea afectado el interés general. Como en otras ocasiones hemos afirmado, (SSTC 45/1989, de 20 de febrero, FJ 11; 180/2000, de 29 de junio, FJ 7; y 54/2002, de 27 de febrero, FJ 9)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Inadmitir parcialmente la cuestión de inconstitucionalidad en relación con el apartado segundo de la disposición transitoria cuarta de la Ley del Parlamento de Andalucía 8/1997, de 23 de diciembre, que aprueba medidas en materia tributaria, presupuestaria, de empresas de la Junta y otras entidades, de recaudación, de contratación, de función pública y de fianzas de arrendamientos y suministros, así como respecto de las previsiones relativas a la fase de oposición del baremo del anexo.</w:t>
      </w:r>
    </w:p>
    <w:p w:rsidR="00D06117" w:rsidRDefault="00D06117" w:rsidP="00D06117">
      <w:pPr>
        <w:pStyle w:val="TextoNormal"/>
      </w:pPr>
    </w:p>
    <w:p w:rsidR="00D06117" w:rsidRDefault="00D06117" w:rsidP="00D06117">
      <w:pPr>
        <w:pStyle w:val="TextoNormal"/>
      </w:pPr>
      <w:r>
        <w:t>2º Estimar parcialmente la cuestión de inconstitucionalidad y, en su virtud, declarar inconstitucional y nulo el apartado primero de la disposición transitoria cuarta y el anexo, en la parte relativa a la valoración de los méritos en la fase de concurso, de la Ley del Parlamento de Andalucía 8/1997, de 23 de diciembre, que aprueba medidas en materia tributaria, presupuestaria, de empresas de la Junta y otras entidades, de recaudación, de contratación, de función pública y de fianzas de arrendamientos y suministros, con los efectos señalados en el fundamento jurídico 10 de esta Sentencia.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uno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1" w:name="SENTENCIA_2012_28"/>
      <w:r>
        <w:lastRenderedPageBreak/>
        <w:t>SENTENCIA 28/2012, de 1 de marzo de 2012</w:t>
      </w:r>
    </w:p>
    <w:bookmarkEnd w:id="31"/>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ECLI:ES:TC:2012:28</w:t>
      </w:r>
    </w:p>
    <w:p w:rsidR="00D06117" w:rsidRDefault="00D06117" w:rsidP="00D06117">
      <w:pPr>
        <w:pStyle w:val="SntesisDescriptiva"/>
      </w:pPr>
    </w:p>
    <w:p w:rsidR="00D06117" w:rsidRDefault="00D06117" w:rsidP="00D06117">
      <w:pPr>
        <w:pStyle w:val="SntesisDescriptiva"/>
      </w:pPr>
      <w:r>
        <w:t>Cuestión de inconstitucionalidad 6548-2001. Planteada por el Juzgado de Primera Instancia núm. 7 de San Bartolomé de Tirajana, en relación con el apartado 4 de la disposición transitoria única de la Ley 5/1999, de 15 de marzo, del Parlamento de Canarias, de modificación de la Ley 7/1995, de 6 de abril, de ordenación del turismo de Canarias.</w:t>
      </w:r>
    </w:p>
    <w:p w:rsidR="00D06117" w:rsidRDefault="00D06117" w:rsidP="00D06117">
      <w:pPr>
        <w:pStyle w:val="SntesisDescriptiva"/>
      </w:pPr>
    </w:p>
    <w:p w:rsidR="00D06117" w:rsidRDefault="00D06117" w:rsidP="00D06117">
      <w:pPr>
        <w:pStyle w:val="SntesisAnaltica"/>
      </w:pPr>
      <w:r>
        <w:t>Distribución de competencias sobre legislación civil: nulidad del precepto legal autonómico que constituye un derecho de retracto en favor de particulares.</w:t>
      </w:r>
    </w:p>
    <w:p w:rsidR="00D06117" w:rsidRDefault="00D06117" w:rsidP="00D06117">
      <w:pPr>
        <w:pStyle w:val="SntesisAnaltica"/>
      </w:pPr>
    </w:p>
    <w:p w:rsidR="00D06117" w:rsidRDefault="00D06117" w:rsidP="00D06117">
      <w:pPr>
        <w:pStyle w:val="Extracto"/>
      </w:pPr>
      <w:r>
        <w:t>1.</w:t>
      </w:r>
      <w:r>
        <w:tab/>
        <w:t>El precepto cuestionado no constituye un derecho de retracto a favor de una Administración pública sino que, por el contrario, el mismo ha dispuesto un nuevo supuesto de constitución del retracto en el ámbito de las relaciones jurídicas entre particulares, por lo que la regulación controvertida incide en un ámbito propio del Derecho civil sobre el que la Comunidad Autónoma no ostenta competencias, aun cuando persiga la consecución de una finalidad turística, de competencia autonómica [FFJJ 5, 6].</w:t>
      </w:r>
    </w:p>
    <w:p w:rsidR="00D06117" w:rsidRDefault="00D06117" w:rsidP="00D06117">
      <w:pPr>
        <w:pStyle w:val="Extracto"/>
      </w:pPr>
    </w:p>
    <w:p w:rsidR="00D06117" w:rsidRDefault="00D06117" w:rsidP="00D06117">
      <w:pPr>
        <w:pStyle w:val="Extracto"/>
      </w:pPr>
      <w:r>
        <w:t>2.</w:t>
      </w:r>
      <w:r>
        <w:tab/>
        <w:t>La regulación controvertida es enteramente civil sin que exista ningún elemento o parte en la relación jurídica que pudiera confundir su regulación con Derecho administrativo que permitiera incardinarla en el ámbito de la legislación turística de competencia de la Comunidad Autónoma [FJ 6].</w:t>
      </w:r>
    </w:p>
    <w:p w:rsidR="00D06117" w:rsidRDefault="00D06117" w:rsidP="00D06117">
      <w:pPr>
        <w:pStyle w:val="Extracto"/>
      </w:pPr>
    </w:p>
    <w:p w:rsidR="00D06117" w:rsidRDefault="00D06117" w:rsidP="00D06117">
      <w:pPr>
        <w:pStyle w:val="Extracto"/>
      </w:pPr>
      <w:r>
        <w:t>3.</w:t>
      </w:r>
      <w:r>
        <w:tab/>
        <w:t xml:space="preserve">La Comunidad Autónoma de Canarias no ostenta competencias sobre Derecho civil foral o especial, por lo que la regulación del derecho de adquisición preferente contenida en el precepto impugnado de la Ley autonómica se sitúa extramuros de sus facultades legislativas y vulnera las competencias del Estado </w:t>
      </w:r>
      <w:r w:rsidRPr="00D06117">
        <w:rPr>
          <w:i/>
        </w:rPr>
        <w:t>ex</w:t>
      </w:r>
      <w:r>
        <w:t xml:space="preserve"> art. 149.1.8 CE, debiendo ser declarada, por ello, inconstitucional y nula [FJ 6].</w:t>
      </w:r>
    </w:p>
    <w:p w:rsidR="00D06117" w:rsidRDefault="00D06117" w:rsidP="00D06117">
      <w:pPr>
        <w:pStyle w:val="Extracto"/>
      </w:pPr>
    </w:p>
    <w:p w:rsidR="00D06117" w:rsidRDefault="00D06117" w:rsidP="00D06117">
      <w:pPr>
        <w:pStyle w:val="Extracto"/>
      </w:pPr>
      <w:r>
        <w:t>4.</w:t>
      </w:r>
      <w:r>
        <w:tab/>
        <w:t>La regulación del derecho de adquisición preferente o de retracto es competencia exclusiva del Estado en cuanto integrante de la legislación civil –</w:t>
      </w:r>
      <w:r w:rsidRPr="00D06117">
        <w:rPr>
          <w:i/>
        </w:rPr>
        <w:t>ex</w:t>
      </w:r>
      <w:r>
        <w:t xml:space="preserve"> art. 149.1.8 CE– lo que no impide que puedan existir derechos de retracto establecidos por la legislación administrativa a favor de la Administración, insertándose en las competencias de titularidad autonómica cuando las Comunidades Autónomas haya asumido en sus Estatutos competencias normativas sobre la materia en que los derechos reales se incardinan (STC 207/1999) [FJ 4].</w:t>
      </w:r>
    </w:p>
    <w:p w:rsidR="00D06117" w:rsidRDefault="00D06117" w:rsidP="00D06117">
      <w:pPr>
        <w:pStyle w:val="Extracto"/>
      </w:pPr>
    </w:p>
    <w:p w:rsidR="00D06117" w:rsidRDefault="00D06117" w:rsidP="00D06117">
      <w:pPr>
        <w:pStyle w:val="Extracto"/>
      </w:pPr>
      <w:r>
        <w:t>5.</w:t>
      </w:r>
      <w:r>
        <w:tab/>
        <w:t>El establecimiento de una suerte de derecho real administrativo, constituido por el retracto a favor de una Administración pública, se justifica por la existencia de una finalidad pública constitucionalmente legítima a cuyo servicio se encuentra una competencia sustantiva autonómica, respecto a la cual este derecho tiene una finalidad puramente instrumental [FJ 5].</w:t>
      </w:r>
    </w:p>
    <w:p w:rsidR="00D06117" w:rsidRDefault="00D06117" w:rsidP="00D06117">
      <w:pPr>
        <w:pStyle w:val="Extracto"/>
      </w:pPr>
    </w:p>
    <w:p w:rsidR="00D06117" w:rsidRDefault="00D06117" w:rsidP="00D06117">
      <w:pPr>
        <w:pStyle w:val="Extracto"/>
      </w:pPr>
      <w:r>
        <w:lastRenderedPageBreak/>
        <w:t>6.</w:t>
      </w:r>
      <w:r>
        <w:tab/>
        <w:t xml:space="preserve">En las cuestiones de inconstitucionalidad la derogación o modificación de la norma cuestionada no provoca automáticamente efectos, que vienen determinados por el hecho de que, tras esa derogación o modificación, resulte o no aplicable en el proceso </w:t>
      </w:r>
      <w:r w:rsidRPr="00D06117">
        <w:rPr>
          <w:i/>
        </w:rPr>
        <w:t>a quo</w:t>
      </w:r>
      <w:r>
        <w:t xml:space="preserve"> y de su validez dependa la decisión a adoptar en el mismo (STC 131/2010) [FJ 2].</w:t>
      </w:r>
    </w:p>
    <w:p w:rsidR="00D06117" w:rsidRDefault="00D06117" w:rsidP="00D06117">
      <w:pPr>
        <w:pStyle w:val="Extracto"/>
      </w:pPr>
    </w:p>
    <w:p w:rsidR="00D06117" w:rsidRDefault="00D06117" w:rsidP="00D06117">
      <w:pPr>
        <w:pStyle w:val="Extracto"/>
      </w:pPr>
      <w:r>
        <w:t>7.</w:t>
      </w:r>
      <w:r>
        <w:tab/>
        <w:t>Resulta inexcusable que en el trámite de audiencia se identifique el precepto o preceptos que se consideren vulnerados, así como que el Juez quede vinculado a elevar la cuestión de inconstitucionalidad únicamente sobre los preceptos sometidos a este trámite de alegaciones, si bien puede precisar, modificar o ampliar, en función de las observaciones recibidas, el parámetro de constitucionalidad planteado inicialmente al abrir el trámite de audiencia (SSTC 67/1985, 138/2005)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6548-2001, planteada por el Juzgado de Primera Instancia núm. 7 de San Bartolomé de Tirajana, en relación con la disposición transitoria única, apartado 4, de la Ley 5/1999, de 15 de marzo, del Parlamento de Canarias, de modificación de la Ley 7/1995, de 6 de abril, de ordenación del turismo de Canarias, por posible vulneración de los arts. 14, 38 y 149.1.8 CE. Ha comparecido el Abogado del Estado y formulado alegaciones el Gobierno y el Parlamento de Canarias y el Fiscal General del Estado.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13 de diciembre de 2001 tuvo entrada en el Registro General de este Tribunal Constitucional un escrito del Juzgado de Primera Instancia núm. 7 de San Bartolomé de Tirajana, al que se acompaña, junto con el testimonio del correspondiente procedimiento, el Auto del referido Juzgado de 14 de noviembre de 2001, por el que se acuerda elevar a este Tribunal Constitucional cuestión de inconstitucionalidad en relación con la disposición transitoria única, apartado 4, de la Ley del Parlamento de Canarias 5/1999, de 15 de marzo, que modifica la Ley 7/1995, de 6 de abril, de ordenación del turismo de Canarias, por posible vulneración de los arts. l4, 38 y 149.1.8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presente cuestión de inconstitucionalidad son los siguientes:</w:t>
      </w:r>
    </w:p>
    <w:p w:rsidR="00D06117" w:rsidRDefault="00D06117" w:rsidP="00D06117">
      <w:pPr>
        <w:pStyle w:val="TextoNormal"/>
      </w:pPr>
    </w:p>
    <w:p w:rsidR="00D06117" w:rsidRDefault="00D06117" w:rsidP="00D06117">
      <w:pPr>
        <w:pStyle w:val="TextoNormal"/>
      </w:pPr>
      <w:r>
        <w:t>a) Con fecha 2 de marzo de 2000, la Procuradora de los Tribunales doña Sandra Pérez Almeida, en nombre y representación de la entidad mercantil Explotaciones Turísticas Panamá, S.L., interpuso demanda de retracto de comuneros contra don Manuel Martín Rivero, a fin de que se declare su derecho a retraer el bungalow núm. 10, del complejo denominado “Bungalows Panamá”, Avenida de Mogan, de la Urbanización Puerto Rico, término municipal de Mogan, que había sido adquirido por el demandado mediante compraventa con fecha 3 de febrero de 2000. El fundamento jurídico de la pretensión de la parte actora es la disposición transitoria única de la Ley 5/1999, de modificación de la Ley 7/1995, que dispone lo siguiente:</w:t>
      </w:r>
    </w:p>
    <w:p w:rsidR="00D06117" w:rsidRDefault="00D06117" w:rsidP="00D06117">
      <w:pPr>
        <w:pStyle w:val="TextoNormal"/>
      </w:pPr>
    </w:p>
    <w:p w:rsidR="00D06117" w:rsidRDefault="00D06117" w:rsidP="00D06117">
      <w:pPr>
        <w:pStyle w:val="TextoNormal"/>
      </w:pPr>
      <w:r>
        <w:t>“4. La transmisión de cualquiera de las unidades alojativas no destinadas a la actividad turística, a los efectos del cumplimiento del principio de unidad de explotación, llevará implícita un derecho de adquisición preferente a favor de los titulares de las unidades en explotación cuya forma de ejercicio se ajustará a los previsto para el retracto legal de los copropietarios.</w:t>
      </w:r>
    </w:p>
    <w:p w:rsidR="00D06117" w:rsidRDefault="00D06117" w:rsidP="00D06117">
      <w:pPr>
        <w:pStyle w:val="TextoNormal"/>
      </w:pPr>
    </w:p>
    <w:p w:rsidR="00D06117" w:rsidRDefault="00D06117" w:rsidP="00D06117">
      <w:pPr>
        <w:pStyle w:val="TextoNormal"/>
      </w:pPr>
      <w:r>
        <w:t>De no ejercitarse el derecho de adquisición antes referido, gozará del mismo, y en idénticas condiciones, la empresa explotadora.”</w:t>
      </w:r>
    </w:p>
    <w:p w:rsidR="00D06117" w:rsidRDefault="00D06117" w:rsidP="00D06117">
      <w:pPr>
        <w:pStyle w:val="TextoNormal"/>
      </w:pPr>
    </w:p>
    <w:p w:rsidR="00D06117" w:rsidRDefault="00D06117" w:rsidP="00D06117">
      <w:pPr>
        <w:pStyle w:val="TextoNormal"/>
      </w:pPr>
      <w:r>
        <w:t>b) Seguido el expediente en sus trámites, el Juzgado de Primera Instancia núm. 7 de San Bartolomé de Tirajana, mediante providencia de 4 de mayo de 2001, acordó lo siguiente: “Entendiendo que la decisión procesal depende de que el apartado cuarto de la disposición transitoria 1 de la Ley 5/1999 del Parlamento de Canarias (derogado por la Ley 2/2000 del Parlamento de Canarias pero vigente al tiempo de iniciarse este proceso) de modificación de la Ley 7/1995 de Ordenación del Turismo de Canarias, en que he de fundar la Sentencia, infringe y es contrario al art. 149.1 8 de la Constitución Española, óigase a las partes y al Ministerio Fiscal para que en el plazo común e improrrogable de diez días puedan alegar lo que deseen sobre la pertinencia de plantear cuestión de inconstitucionalidad”.</w:t>
      </w:r>
    </w:p>
    <w:p w:rsidR="00D06117" w:rsidRDefault="00D06117" w:rsidP="00D06117">
      <w:pPr>
        <w:pStyle w:val="TextoNormal"/>
      </w:pPr>
    </w:p>
    <w:p w:rsidR="00D06117" w:rsidRDefault="00D06117" w:rsidP="00D06117">
      <w:pPr>
        <w:pStyle w:val="TextoNormal"/>
      </w:pPr>
      <w:r>
        <w:t>c) La parte demandada manifestó su conformidad con la formalización de la cuestión de inconstitucionalidad, entendiendo que el precepto cuestionado conculcaba los arts. 14, 24, 47, 53, 139.1 y 149.1.6 y 8 CE. La parte actora manifestó su oposición al planteamiento de la cuestión de inconstitucionalidad. Por su parte, el Ministerio Fiscal se pronunció en favor del planteamiento de la cuestión de inconstitucionalidad por estimar que el precepto controvertido pudiera ser contrario a lo dispuesto en los arts. 14, 38, y 149.1.6 y 8 CE.</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Auto de 14 de noviembre de 2001, el Juzgado de Primera Instancia núm. 7 de San Bartolomé de Tirajana formaliza la cuestión de inconstitucionalidad en relación con la disposición transitoria única, apartado 4, de la Ley del Parlamento de Canarias 5/1999, de 15 de marzo, que modifica la Ley 7/1995, de 6 de abril, de ordenación del turismo de Canarias, por posible vulneración de los arts. 14, 38 y 149.1.8 CE.</w:t>
      </w:r>
    </w:p>
    <w:p w:rsidR="00D06117" w:rsidRDefault="00D06117" w:rsidP="00D06117">
      <w:pPr>
        <w:pStyle w:val="TextoNormal"/>
      </w:pPr>
    </w:p>
    <w:p w:rsidR="00D06117" w:rsidRDefault="00D06117" w:rsidP="00D06117">
      <w:pPr>
        <w:pStyle w:val="TextoNormal"/>
      </w:pPr>
      <w:r>
        <w:t xml:space="preserve">El órgano judicial realiza, en síntesis, las siguientes consideraciones en el Auto de promoción de la cuestión de inconstitucionalidad. Tras exponer sucintamente los hechos, examina el cumplimiento en este caso de los requisitos legales exigidos para el planteamiento </w:t>
      </w:r>
      <w:r>
        <w:lastRenderedPageBreak/>
        <w:t>de aquélla. Así, pone de relieve que se cuestiona una norma con rango de Ley, se formula en el momento procesal oportuno para plantearla, antes del fallo en el proceso a quo, y se ha dado audiencia a las partes y al Ministerio Fiscal para formular las alegaciones que consideren oportunas [art. 35 de la Ley Orgánica del Tribunal Constitucional (LOTC)]. En cuanto a los preceptos constitucionales que pudieran resultar vulnerados, se concretan los siguientes: el art. 14 CE, en cuanto que el derecho de adquisición preferente cuestionado podría ser contrario al principio de igualdad porque excluye de su ámbito las transmisiones de unidades alojativas destinadas a la actividad turística y excluye de su ejercicio a los titulares de unidades alojativas no destinadas a actividades turísticas que no tengan la consideración de unidad de explotación o empresa explotadora; el art. 38 CE, en cuanto que con dicha regulación se estaría promoviendo la concentración de la propiedad de inmuebles turísticos, fomentando un régimen cercano al monopolio; y el art. 149.1.8 CE en cuanto que el reconocimiento del derecho de adquisición preferente, al formar parte del ámbito del Derecho civil, pudiera vulnerar la competencia exclusiva del Estado en esta materia. Finalmente se formula el juicio de relevancia indicando que “habiéndose ejercitado el retracto reconocido en la señalada Ley autonómica, de ser reconocida la misma como contraria a la Constitución Española, quedaría la acción ejercitada vacía del substrato jurídico que la ampara, con la consecuencia inmediata de su desestimación”.</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12 de marzo de 2002, la Sección Tercera del Tribunal Constitucional acordó admitir a trámite la cuestión de inconstitucionalidad y dar traslado de las actuaciones, conforme dispone el art. 37.2 LOTC, al Congreso de los Diputados y al Senado, así como al Parlamento y al Gobierno de Canarias, al Gobierno y al Fiscal General del Estado, al objeto de que en plazo de quince días pudieran personarse en el proceso y formular alegaciones. También se acordó publicar la incoación de la cuestión en el “Boletín Oficial del Estado” y en el “Boletín Oficial de Canarias”.</w:t>
      </w:r>
    </w:p>
    <w:p w:rsidR="00D06117" w:rsidRDefault="00D06117" w:rsidP="00D06117">
      <w:pPr>
        <w:pStyle w:val="TextoNormal"/>
      </w:pPr>
    </w:p>
    <w:p w:rsidR="00D06117" w:rsidRDefault="00D06117" w:rsidP="00D06117">
      <w:pPr>
        <w:pStyle w:val="TextoNormal"/>
      </w:pPr>
      <w:r w:rsidRPr="00D06117">
        <w:rPr>
          <w:rStyle w:val="NumeroAFNegritaCaracter"/>
        </w:rPr>
        <w:t>5</w:t>
      </w:r>
      <w:r>
        <w:t>. El Abogado del Estado, mediante escrito de 4 de abril de 2002, se personó en el procedimiento exclusivamente a los efectos de que se le notifiquen las resoluciones que en él se dicten, manifestando su intención de no formular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El día 9 de abril de 2002 la Presidenta del Congreso de los Diputados comunicó al Tribunal que dicha Cámara no se personaría en el proceso ni formularía alegaciones.</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en el Tribunal el día 11 de abril de 2002 el Secretario General del Parlamento de Canarias, en la representación que ostenta, comparece en el proceso y formula las siguientes alegaciones:</w:t>
      </w:r>
    </w:p>
    <w:p w:rsidR="00D06117" w:rsidRDefault="00D06117" w:rsidP="00D06117">
      <w:pPr>
        <w:pStyle w:val="TextoNormal"/>
      </w:pPr>
    </w:p>
    <w:p w:rsidR="00D06117" w:rsidRDefault="00D06117" w:rsidP="00D06117">
      <w:pPr>
        <w:pStyle w:val="TextoNormal"/>
      </w:pPr>
      <w:r>
        <w:t xml:space="preserve">En primer lugar, rechaza la posible vulneración del principio de igualdad consagrado por el art. 14 CE señalando que, conforme a la doctrina constitucional, resulta posible que la ley diferencie situaciones distintas otorgándoles un tratamiento diverso, siempre que ese tratamiento responda a una justificación objetiva y razonable. Esa justificación la encuentra en la finalidad de garantizar el principio de unidad de explotación de los establecimientos turísticos, tal y como el mismo se establece en la legislación canaria en la materia, esto es, el sometimiento a una única empresa de la actividad de explotación turística alojativa en cada uno de los establecimientos. Por ello, entiende que no cabe considerar contrario a la igualdad </w:t>
      </w:r>
      <w:r>
        <w:lastRenderedPageBreak/>
        <w:t>el hecho de que el ejercicio del derecho de adquisición preferente no se extienda a la transmisión de unidades alojativas destinadas a la actividad turística ni que tampoco se atribuya a quienes no sean titulares de unidades en explotación, ya que dicha diferenciación entre situaciones de hecho también distintas obedece a un fin razonable, que el legislador autonómico ha entendido oportuno tener en cuenta en uso de su competencia en materia de turismo (art. 30.21 del Estatuto de Autonomía de Canarias), cual es profundizar en el principio de unidad de explotación de los establecimientos turísticos. Así, existiría una proporcionalidad y razonabilidad entre la finalidad perseguida por el legislador, asegurar la vinculación de las diferentes unidades alojativas comprendidas en un inmueble al principio de unidad de explotación, y los medios para lograrla, la concesión de un derecho de adquisición preferente a favor de los titulares de unidades alojativas comprendidas en la explotación o de la propia empresa explotadora, pues solamente de esa forma se evita la perpetuación de una situación distinta a la querida por el legislador, cual es la permanencia de unidades alojativas fuera del principio de explotación unitaria.</w:t>
      </w:r>
    </w:p>
    <w:p w:rsidR="00D06117" w:rsidRDefault="00D06117" w:rsidP="00D06117">
      <w:pPr>
        <w:pStyle w:val="TextoNormal"/>
      </w:pPr>
    </w:p>
    <w:p w:rsidR="00D06117" w:rsidRDefault="00D06117" w:rsidP="00D06117">
      <w:pPr>
        <w:pStyle w:val="TextoNormal"/>
      </w:pPr>
      <w:r>
        <w:t>La representación procesal de la Cámara autonómica descarta, a continuación, la infracción del art. 38 CE señalando que la plasmación constitucional de la libertad de empresa no implica que ésta sea incondicionada o absoluta pues, entre otros factores, dicha libertad ha de ejercerse con plena sujeción a la normativa que resulte de aplicación, sin que se aprecie que ninguno de los aspectos que integra la libertad de empresa resulte violentado o afectado por el precepto cuestionado. A este respecto, indica que el Auto de planteamiento parte de un presupuesto erróneo, cual es considerar que la concentración de las unidades alojativas en una sola empresa lesiona, per se, el principio constitucional de libertad de empresa, olvidando que esa concentración constituye un objetivo admisible para el legislador canario teniendo en cuenta la finalidad de unidad de las explotaciones turísticas que el precepto persigue. Además, niega que el ejercicio del derecho de adquisición preferente sea un incentivo al monopolio del mercado, ya que la unidad de explotación alcanza únicamente a cada uno de los edificios donde radican unidades alojativas, sin que afecte en absoluto al mercado. Por último señala que, de existir la duda de constitucionalidad, la misma debería proyectarse sobre el principio mismo de unidad de explotación y no sobre el derecho de retracto, el cual no es más que un mecanismo para alcanzar aquel designio.</w:t>
      </w:r>
    </w:p>
    <w:p w:rsidR="00D06117" w:rsidRDefault="00D06117" w:rsidP="00D06117">
      <w:pPr>
        <w:pStyle w:val="TextoNormal"/>
      </w:pPr>
    </w:p>
    <w:p w:rsidR="00D06117" w:rsidRDefault="00D06117" w:rsidP="00D06117">
      <w:pPr>
        <w:pStyle w:val="TextoNormal"/>
      </w:pPr>
      <w:r>
        <w:t>Finalmente, el Secretario General del Parlamento de Canarias descarta la vulneración del art. 149.1.8 CE pues estima que de la simple lectura del precepto se deduce que no es intención del legislador canario incidir frontalmente en el régimen jurídico de la institución del derecho de adquisición preferente, vedado al Parlamento de Canarias en virtud del art. 149.1.8 CE, sino, tan sólo, regular un supuesto específico de ejercicio de aquel derecho y atribuirlo a los sujetos y entidades expresamente mencionados con un fin razonable y bajo la cobertura de la competencia autonómica exclusiva en materia de turismo, tal como la misma se reconoce en el Estatuto de Autonomía. Por ello, argumenta que el legislador canario se ha ceñido a regular la causa de ejercicio del derecho remitiéndose en cuanto a su forma a las previsiones de la norma estatal civil relativas al retracto legal de los copropietarios, de forma que el régimen general civil del derecho de adquisición preferente no se ve en absoluto afectado por la norma autonómica cuestionada.</w:t>
      </w:r>
    </w:p>
    <w:p w:rsidR="00D06117" w:rsidRDefault="00D06117" w:rsidP="00D06117">
      <w:pPr>
        <w:pStyle w:val="TextoNormal"/>
      </w:pPr>
    </w:p>
    <w:p w:rsidR="00D06117" w:rsidRDefault="00D06117" w:rsidP="00D06117">
      <w:pPr>
        <w:pStyle w:val="TextoNormal"/>
      </w:pPr>
      <w:r>
        <w:t>Por todo ello, la representación procesal del Parlamento de Canarias suplica al Tribunal que desestime la cuestión de inconstitucionalidad planteada.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El día 15 de abril de 2002 la Directora General del Servicio Jurídico del Gobierno de Canarias evacuó el trámite de alegaciones concedido.</w:t>
      </w:r>
    </w:p>
    <w:p w:rsidR="00D06117" w:rsidRDefault="00D06117" w:rsidP="00D06117">
      <w:pPr>
        <w:pStyle w:val="TextoNormal"/>
      </w:pPr>
    </w:p>
    <w:p w:rsidR="00D06117" w:rsidRDefault="00D06117" w:rsidP="00D06117">
      <w:pPr>
        <w:pStyle w:val="TextoNormal"/>
      </w:pPr>
      <w:r>
        <w:t>En su escrito señala, en primer lugar, que la correcta interpretación del alcance y finalidad de la disposición cuestionada ha de analizarse en el contexto del principio de unidad en la explotación de los establecimientos, edificaciones y complejos alojativos turísticos, regulado en los arts. 38 y siguientes de la Ley 7/1995. Con la aplicación de dicho principio se pretende que el conjunto de unidades alojativas ubicadas en un mismo inmueble o establecimiento se sometan a una unidad de gestión, a fin de ofrecer servicios homogéneos y con un mismo nivel de calidad en la prestación del servicio. Se trata de un principio fundamental en la decisión del legislador hasta el punto de que los establecimientos que no sigan este principio quedan automáticamente excluidos de la oferta turística de Canarias. Por ello, expone que el legislador autonómico ha intentado fomentar, en aquellos establecimientos y complejos en los que coexisten las unidades alojativas sujetas a explotación turística con otras carentes de dicha explotación, que estas últimas se incorporen al destino turístico del inmueble y que lo hagan con sujeción al principio de unidad de explotación.</w:t>
      </w:r>
    </w:p>
    <w:p w:rsidR="00D06117" w:rsidRDefault="00D06117" w:rsidP="00D06117">
      <w:pPr>
        <w:pStyle w:val="TextoNormal"/>
      </w:pPr>
    </w:p>
    <w:p w:rsidR="00D06117" w:rsidRDefault="00D06117" w:rsidP="00D06117">
      <w:pPr>
        <w:pStyle w:val="TextoNormal"/>
      </w:pPr>
      <w:r>
        <w:t>A continuación rebate que la regulación controvertida produzca una discriminación vetada por el art. 14 CE, pues ese precepto constitucional no excluye la posibilidad de otorgar un trato distinto siempre que el mismo tenga una justificación objetiva y razonable. Esa justificación se encontraría, en este caso, en la preferencia legislativa por el régimen de unidad de explotación, si bien respetando las situaciones jurídicas preexistentes, constituidas por la titularidad de unidades alojativas no explotadas turísticamente pero ubicadas en un establecimiento dedicado a ese uso. Esa razón también explicaría que el derecho no se aplique a las unidades que ya están siendo explotadas turísticamente y que no se conceda a los propietarios de unidades no destinadas a ese uso, ya que ello sería contrario a la finalidad de la norma.</w:t>
      </w:r>
    </w:p>
    <w:p w:rsidR="00D06117" w:rsidRDefault="00D06117" w:rsidP="00D06117">
      <w:pPr>
        <w:pStyle w:val="TextoNormal"/>
      </w:pPr>
    </w:p>
    <w:p w:rsidR="00D06117" w:rsidRDefault="00D06117" w:rsidP="00D06117">
      <w:pPr>
        <w:pStyle w:val="TextoNormal"/>
      </w:pPr>
      <w:r>
        <w:t>Igualmente descarta la vulneración del art. 38 CE por cuanto afirma que el derecho de adquisición preferente no afecta a la libertad de empresa, en la medida en que no se impide al propietario de una unidad alojativa no explotada turísticamente iniciar el ejercicio de dicha actividad ni tampoco se le impone forzosamente su ejercicio. Tampoco se le prohíbe enajenar dicho inmueble sino que lo único que se le restringe es su libertad para elegir el posible adquirente, de modo que lo que realmente se restringe es que los terceros no titulares del derecho de adquisición preferente puedan adquirir el inmueble en cuestión e iniciar la actividad de explotación turística del mismo. Esta restricción opera sin carácter absoluto ya que se formula en relación a cada concreto establecimiento, lo que impide que pueda hablarse de monopolio, y en razón del ya citado principio de unidad de explotación, como medida para garantizar que los establecimientos turísticos alojativos en explotación prestan al usuario unos servicios con la calidad que el legislador desea imponer a la oferta turística alojativa de su Comunidad Autónoma, en el ejercicio de su competencia exclusiva de ordenación del turismo.</w:t>
      </w:r>
    </w:p>
    <w:p w:rsidR="00D06117" w:rsidRDefault="00D06117" w:rsidP="00D06117">
      <w:pPr>
        <w:pStyle w:val="TextoNormal"/>
      </w:pPr>
    </w:p>
    <w:p w:rsidR="00D06117" w:rsidRDefault="00D06117" w:rsidP="00D06117">
      <w:pPr>
        <w:pStyle w:val="TextoNormal"/>
      </w:pPr>
      <w:r>
        <w:t xml:space="preserve">Por último, en relación con el art. 149.1.8 CE, argumenta la representación procesal del Gobierno de Canarias que la ley autonómica se limita a establecer un derecho de adquisición preferente pero sin introducir innovación alguna en dicho instituto privado, pues expresamente se remite a lo previsto para el retracto legal de los copropietarios. Así entiende de aplicación a este caso la doctrina contenida en las SSTC 170/1989, 102/1995, 156/1995 y </w:t>
      </w:r>
      <w:r>
        <w:lastRenderedPageBreak/>
        <w:t>207/1999, en cuya virtud los efectos perseguidos por este tipo de derechos tienen un carácter instrumental y, por ello, la competencia para provocarlos está siempre en función de aquella otra sustantiva a la cual sirvan. Por tanto resulta, a su juicio, incuestionable la competencia autonómica para establecer este derecho pues se incardinaría en la competencia exclusiva en materia de turismo del art. 30.21 del Estatuto de Autonomía de Canarias y se articula al servicio de finalidades constitucionales que están estrechamente vinculadas a los objetivos de la legislación canaria en materia turística, pues se configura como un mecanismo establecido para la efectiva implantación del principio de unidad de explotación.</w:t>
      </w:r>
    </w:p>
    <w:p w:rsidR="00D06117" w:rsidRDefault="00D06117" w:rsidP="00D06117">
      <w:pPr>
        <w:pStyle w:val="TextoNormal"/>
      </w:pPr>
    </w:p>
    <w:p w:rsidR="00D06117" w:rsidRDefault="00D06117" w:rsidP="00D06117">
      <w:pPr>
        <w:pStyle w:val="TextoNormal"/>
      </w:pPr>
      <w:r>
        <w:t>Concluye solicitando al Tribunal que tenga por formulado en tiempo y forma escrito de alegaciones y que, en su día, dicte Sentencia por la que se desestime la cuestión de inconstitucionalidad planteada.</w:t>
      </w:r>
    </w:p>
    <w:p w:rsidR="00D06117" w:rsidRDefault="00D06117" w:rsidP="00D06117">
      <w:pPr>
        <w:pStyle w:val="TextoNormal"/>
      </w:pPr>
    </w:p>
    <w:p w:rsidR="00D06117" w:rsidRDefault="00D06117" w:rsidP="00D06117">
      <w:pPr>
        <w:pStyle w:val="TextoNormal"/>
      </w:pPr>
      <w:r w:rsidRPr="00D06117">
        <w:rPr>
          <w:rStyle w:val="NumeroAFNegritaCaracter"/>
        </w:rPr>
        <w:t>9</w:t>
      </w:r>
      <w:r>
        <w:t>. La Presidenta del Senado, mediante escrito registrado el día 15 de abril de 2002, comunica que la Cámara se persona en el proceso, ofreciendo su colaboración.</w:t>
      </w:r>
    </w:p>
    <w:p w:rsidR="00D06117" w:rsidRDefault="00D06117" w:rsidP="00D06117">
      <w:pPr>
        <w:pStyle w:val="TextoNormal"/>
      </w:pPr>
    </w:p>
    <w:p w:rsidR="00D06117" w:rsidRDefault="00D06117" w:rsidP="00D06117">
      <w:pPr>
        <w:pStyle w:val="TextoNormal"/>
      </w:pPr>
      <w:r w:rsidRPr="00D06117">
        <w:rPr>
          <w:rStyle w:val="NumeroAFNegritaCaracter"/>
        </w:rPr>
        <w:t>10</w:t>
      </w:r>
      <w:r>
        <w:t>. El Fiscal General del Estado presentó su escrito de alegaciones el día 18 de abril de 2002, en el que expone, en síntesis, lo siguiente:</w:t>
      </w:r>
    </w:p>
    <w:p w:rsidR="00D06117" w:rsidRDefault="00D06117" w:rsidP="00D06117">
      <w:pPr>
        <w:pStyle w:val="TextoNormal"/>
      </w:pPr>
    </w:p>
    <w:p w:rsidR="00D06117" w:rsidRDefault="00D06117" w:rsidP="00D06117">
      <w:pPr>
        <w:pStyle w:val="TextoNormal"/>
      </w:pPr>
      <w:r>
        <w:t>En primer lugar, señala que no existe coincidencia entre el precepto constitucional que se entendía vulnerado en la providencia por la que se abrió el trámite de audiencia a las partes y al Ministerio Fiscal, el art. 149.1.8 CE, con aquellos que se reputan vulnerados en el Auto de planteamiento, en el que también se incluyen los arts. 14 y 38 CE. Dado que las partes abordaron la oposición del precepto de la ley canaria con los arts. 14 y 38 CE, lo importante para el cumplimiento de lo dispuesto en el art. 35 CE sería que tanto el precepto de legalidad ordinaria como el de la Constitución respecto a los que abrió inicialmente el trámite de audiencia aparecen en el Auto final sin que importe, pues se ha cumplido el fin previsto de la colaboración entre el juez y las partes, que se hayan agregado en el Auto determinados artículos de la Constitución Española introducidos por las partes en el trámite de alegaciones.</w:t>
      </w:r>
    </w:p>
    <w:p w:rsidR="00D06117" w:rsidRDefault="00D06117" w:rsidP="00D06117">
      <w:pPr>
        <w:pStyle w:val="TextoNormal"/>
      </w:pPr>
    </w:p>
    <w:p w:rsidR="00D06117" w:rsidRDefault="00D06117" w:rsidP="00D06117">
      <w:pPr>
        <w:pStyle w:val="TextoNormal"/>
      </w:pPr>
      <w:r>
        <w:t xml:space="preserve">Señalado lo anterior, aborda el examen del fondo del asunto planteado centrado en el derecho de retracto establecido a favor de los titulares de una unidad de explotación turística o en su defecto de las empresas explotadoras que tiene por objeto las unidades alojativas enajenadas no destinadas a la actividad turística. Para ello analiza el contenido de la competencia estatal en materia de Derecho civil, tal como la misma se formula por el art. 149.1.8 CE, y constata la falta de competencia de la Comunidad Autónoma en la materia. A continuación señala que el derecho que crea el precepto cuestionado puede ser calificado como propio de la legislación civil, pues regula derechos reales que afectan a las relaciones entre particulares, en cuanto su ejercicio supone la privación de un derecho de propiedad a un adquirente de un inmueble para otorgárselo a otro con carácter preferente; limita la libre disponibilidad de un bien por su titular que viene obligado a vender a la persona designada o, en su defecto, a la posterior destrucción de la venta y tiene, por último, una eficacia erga omnes en cuanto a la nueva propiedad. Por último señala que el retracto cuestionado regula una preferencia entre particulares lo que, unido a la falta de explicación entre la vinculación del interés público y el principio de unidad de explotación, abona la tesis de que la regulación del precepto es enteramente civil sin que exista ningún elemento o parte en la relación </w:t>
      </w:r>
      <w:r>
        <w:lastRenderedPageBreak/>
        <w:t>jurídico-real que pudiera confundir su regulación con derecho administrativo. Por ello, aludiendo a la jurisprudencia constitucional en la materia (con cita de las SSTC 150/1998, 170/1989, 102/1995 y 156/1995), estima que se está regulando un sistema de acceso a la propiedad primando a unos particulares sobre otros y limitando una facultad de disponer que va ínsita en el dominio cuya regulación corresponde al legislador estatal, razón por la cual defiende que el precepto ha de ser declarado inconstitucional, al invadir la competencia del Estado en materia de legislación civil.</w:t>
      </w:r>
    </w:p>
    <w:p w:rsidR="00D06117" w:rsidRDefault="00D06117" w:rsidP="00D06117">
      <w:pPr>
        <w:pStyle w:val="TextoNormal"/>
      </w:pPr>
    </w:p>
    <w:p w:rsidR="00D06117" w:rsidRDefault="00D06117" w:rsidP="00D06117">
      <w:pPr>
        <w:pStyle w:val="TextoNormal"/>
      </w:pPr>
      <w:r>
        <w:t>Por último, el Fiscal General del Estado desecha que la disposición cuestionada sea contraria a los arts. 14 y 38 CE. En cuanto a la vulneración del art. 14 CE, el Ministerio público entiende que la exclusión del derecho de adquisición preferente de las transmisiones de unidades alojativas destinadas a la actividad turística y de los titulares de unidades alojativas no destinadas a dicha actividad puede ser considerada como justificada en atención a los fines perseguidos de promoción del turismo, abogando por un sistema de concentración de los servicios turísticos en empresas especializadas, ya sean unidades de explotación o empresas explotadoras. Tampoco aprecia que la disposición cuestionada se oponga a la libertad de empresa del art. 38 CE pues la concesión de un derecho de retracto a los titulares de unidades de explotación o de empresas explotadoras no puede llegar a provocar una restricción del derecho a iniciar y sostener en libertad una actividad empresarial ni crear una situación restrictiva del mercado.</w:t>
      </w:r>
    </w:p>
    <w:p w:rsidR="00D06117" w:rsidRDefault="00D06117" w:rsidP="00D06117">
      <w:pPr>
        <w:pStyle w:val="TextoNormal"/>
      </w:pPr>
    </w:p>
    <w:p w:rsidR="00D06117" w:rsidRDefault="00D06117" w:rsidP="00D06117">
      <w:pPr>
        <w:pStyle w:val="TextoNormal"/>
      </w:pPr>
      <w:r>
        <w:t>Por todo lo expuesto, el Fiscal General del Estado concluye solicitando que se acuerde la estimación de la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28 de febrero de 2012 se acordó señalar para deliberación y votación de la presente Sentencia el día 1 de marzo de 2012.</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Primera Instancia núm. 7 de San Bartolomé de Tirajana, cuestiona la constitucionalidad de la disposición transitoria única, apartado 4, de la Ley 5/1999, de 15 de marzo, del Parlamento de Canarias, de modificación de la Ley 7/1995, de 6 de abril, de ordenación del turismo de Canarias, por posible vulneración de los arts. 14, 38 y 149.1.8 CE.</w:t>
      </w:r>
    </w:p>
    <w:p w:rsidR="00D06117" w:rsidRDefault="00D06117" w:rsidP="00D06117">
      <w:pPr>
        <w:pStyle w:val="TextoNormal"/>
      </w:pPr>
    </w:p>
    <w:p w:rsidR="00D06117" w:rsidRDefault="00D06117" w:rsidP="00D06117">
      <w:pPr>
        <w:pStyle w:val="TextoNormal"/>
      </w:pPr>
      <w:r>
        <w:t>El precepto cuestionado tiene el siguiente tenor literal:</w:t>
      </w:r>
    </w:p>
    <w:p w:rsidR="00D06117" w:rsidRDefault="00D06117" w:rsidP="00D06117">
      <w:pPr>
        <w:pStyle w:val="TextoNormal"/>
      </w:pPr>
    </w:p>
    <w:p w:rsidR="00D06117" w:rsidRDefault="00D06117" w:rsidP="00D06117">
      <w:pPr>
        <w:pStyle w:val="TextoNormal"/>
      </w:pPr>
      <w:r>
        <w:t>“4. La transmisión de cualquiera de las unidades alojativas no destinadas a la actividad turística, a los efectos del cumplimiento del principio de unidad de explotación, llevará implícita un derecho de adquisición preferente a favor de los titulares de las unidades en explotación cuya forma de ejercicio se ajustará a los previsto para el retracto legal de los copropietarios.</w:t>
      </w:r>
    </w:p>
    <w:p w:rsidR="00D06117" w:rsidRDefault="00D06117" w:rsidP="00D06117">
      <w:pPr>
        <w:pStyle w:val="TextoNormal"/>
      </w:pPr>
    </w:p>
    <w:p w:rsidR="00D06117" w:rsidRDefault="00D06117" w:rsidP="00D06117">
      <w:pPr>
        <w:pStyle w:val="TextoNormal"/>
      </w:pPr>
      <w:r>
        <w:t>De no ejercitarse el derecho de adquisición antes referido, gozará del mismo, y en idénticas condiciones, la empresa explotadora.”</w:t>
      </w:r>
    </w:p>
    <w:p w:rsidR="00D06117" w:rsidRDefault="00D06117" w:rsidP="00D06117">
      <w:pPr>
        <w:pStyle w:val="TextoNormal"/>
      </w:pPr>
    </w:p>
    <w:p w:rsidR="00D06117" w:rsidRDefault="00D06117" w:rsidP="00D06117">
      <w:pPr>
        <w:pStyle w:val="TextoNormal"/>
      </w:pPr>
      <w:r>
        <w:lastRenderedPageBreak/>
        <w:t>Este precepto establece un derecho de adquisición preferente, ejercitable en la misma forma que el retracto legal de los copropietarios regulado en el Código civil, a favor de los titulares de unidades alojativas, esto es propietarios de inmuebles que estén siendo objeto de explotación turística por ofrecer alojamiento de ese tipo, y, en segundo término, de la empresa dedicada a esa actividad. El establecimiento de dicho derecho por la legislación autonómica es considerado por el órgano judicial a quo como contrario a la reserva competencial a favor del Estado que, en materia de Derecho civil, se establece en el art. 149.1.8 CE, así como vulnerador del principio constitucional de igualdad ante la ley, del art. 14 CE, y de la libertad de empresa establecida en el art. 38 CE.</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comenzar el análisis de la cuestión planteada, han de precisarse previamente dos aspectos de índole procesal relativos, el primero, a la vigencia del precepto cuestionado y, el segundo, suscitado por el Ministerio Fiscal, a la existencia de discrepancias, en cuanto a los preceptos constitucionales que se reputan vulnerados, entre la providencia por la que se abrió el trámite de audiencia, que únicamente cita el art. 149.1.8 CE, y el Auto de planteamiento que añade, además de aquél, los arts. 14 y 38 CE.</w:t>
      </w:r>
    </w:p>
    <w:p w:rsidR="00D06117" w:rsidRDefault="00D06117" w:rsidP="00D06117">
      <w:pPr>
        <w:pStyle w:val="TextoNormal"/>
      </w:pPr>
    </w:p>
    <w:p w:rsidR="00D06117" w:rsidRDefault="00D06117" w:rsidP="00D06117">
      <w:pPr>
        <w:pStyle w:val="TextoNormal"/>
      </w:pPr>
      <w:r>
        <w:t>En cuanto a la primera cuestión, la misma se suscita porque la disposición cuestionada fue derogada expresamente por el art. 11 de la Ley del Parlamento de Canarias 2/2000, de 17 de julio, de medidas económicas en materia de organización administrativa y gestión relativa al personal de la Comunidad Autónoma de Canarias y de establecimiento de normas tributarias, por lo que el apartado cuestionado no está en vigor en el momento de resolver el presente proceso constitucional. Ahora bien, a diferencia de lo que sucede con otro tipo de procedimientos ante el Tribunal Constitucional, en las cuestiones de inconstitucionalidad la derogación o modificación de la norma cuestionada no provoca automáticamente efectos, que “vienen determinados por el hecho de que, tras esa derogación o modificación, resulte o no aplicable en el proceso a quo y de su validez dependa la decisión a adoptar en el mismo” (STC 131/2010, de 2 de diciembre, FJ 2, entre otras muchas). Así, tomando como criterio el de la eventual aplicación del apartado cuatro de la disposición transitoria única de la Ley 5/1999, de 15 marzo, al proceso que ha dado origen a la presente cuestión de inconstitucionalidad, hay que tener en cuenta que, como el mismo Auto de planteamiento razona, el precepto cuestionado constituye la base del proceso a quo, pues el mismo es un juicio de retracto iniciado por la entidad mercantil actora en aplicación directa de lo previsto por la disposición cuestionada. Por ello, en la medida en que el precepto cuestionado resulta de aplicación en el proceso a quo y que de su validez depende la decisión a adoptar por el órgano judicial, debe ser enjuiciado en el presente proceso constitucional.</w:t>
      </w:r>
    </w:p>
    <w:p w:rsidR="00D06117" w:rsidRDefault="00D06117" w:rsidP="00D06117">
      <w:pPr>
        <w:pStyle w:val="TextoNormal"/>
      </w:pPr>
    </w:p>
    <w:p w:rsidR="00D06117" w:rsidRDefault="00D06117" w:rsidP="00D06117">
      <w:pPr>
        <w:pStyle w:val="TextoNormal"/>
      </w:pPr>
      <w:r>
        <w:t xml:space="preserve">En cuanto al segundo problema procesal suscitado, la delimitación de la cuestión, hemos de partir de que, conforme a nuestra doctrina (STC 139/2008, de 28 de octubre, FJ 4) resulta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Tal es lo que ha acontecido en el presente caso, puesto que los arts. 14 y 38 CE fueron incluidos por el Ministerio Fiscal y la parte demandada en las alegaciones </w:t>
      </w:r>
      <w:r>
        <w:lastRenderedPageBreak/>
        <w:t>en su momento formuladas a favor del planteamiento de la cuestión de inconstitucionalidad y posteriormente introducidos en el Auto de planteamiento. Por ello, dado que las normas constitucionales que se estiman infringidas han sido objeto de las alegaciones de las partes, y por tanto de debate procesal, nada hay que reprochar al parámetro de constitucionalidad propuesto por el órgano judicial.</w:t>
      </w:r>
    </w:p>
    <w:p w:rsidR="00D06117" w:rsidRDefault="00D06117" w:rsidP="00D06117">
      <w:pPr>
        <w:pStyle w:val="TextoNormal"/>
      </w:pPr>
    </w:p>
    <w:p w:rsidR="00D06117" w:rsidRDefault="00D06117" w:rsidP="00D06117">
      <w:pPr>
        <w:pStyle w:val="TextoNormal"/>
      </w:pPr>
      <w:r w:rsidRPr="00D06117">
        <w:rPr>
          <w:rStyle w:val="NumeroAFNegritaCaracter"/>
        </w:rPr>
        <w:t>3</w:t>
      </w:r>
      <w:r>
        <w:t>. Despejadas las anteriores cuestiones, cabe ya afrontar la duda de constitucionalidad que se plantea. A tal efecto comenzaremos nuestro análisis por la imputación relativa a la vulneración del art. 149.1.8 CE, precepto que atribuye al Estado, en su primer inciso, competencia exclusiva en materia de “legislación civil; sin perjuicio de la conservación, modificación o desarrollo por las Comunidades Autónomas de los derechos civiles, forales o especiales, allí donde existan”. Esta última circunstancia, la previa existencia de un Derecho civil foral o especial, no concurre en el caso de la Comunidad Autónoma de Canarias, cuyo Estatuto de Autonomía no recoge mención alguna a competencias autonómicas en este ámbito, de lo que puede derivarse que no existe actualmente, respecto de la Comunidad Autónoma de Canarias una “garantía de foralidad civil” (STC 88/1993, de 12 de marzo) que le permita el desarrollo de un propio Derecho civil, especial o foral. Este extremo es expresamente reconocido por las representaciones procesales del Gobierno y del Parlamento de Canarias, las cuales admiten en sus alegaciones la inserción del régimen jurídico de la institución del derecho de adquisición preferente en el ámbito de la legislación civil de competencia exclusiva del Estado, afirmando, sin embargo, que la cobertura competencial del precepto cuestionado se encontraría en el art. 30.21 del Estatuto de Autonomía de Canarias, que otorga a dicha Comunidad Autónoma competencia exclusiva en materia de turismo.</w:t>
      </w:r>
    </w:p>
    <w:p w:rsidR="00D06117" w:rsidRDefault="00D06117" w:rsidP="00D06117">
      <w:pPr>
        <w:pStyle w:val="TextoNormal"/>
      </w:pPr>
    </w:p>
    <w:p w:rsidR="00D06117" w:rsidRDefault="00D06117" w:rsidP="00D06117">
      <w:pPr>
        <w:pStyle w:val="TextoNormal"/>
      </w:pPr>
      <w:r>
        <w:t xml:space="preserve">Tal como se ha expuesto con más detalle en los antecedentes, lo planteado en cuanto al fondo del asunto resulta ser si los copropietarios o la empresa que realiza las tareas de explotación turística previstas en la Ley 7/1995, de 6 de abril, de ordenación del turismo de Canarias, pueden ejercer el derecho de adquisición preferente en relación con las ventas de inmuebles no destinados a la actividad turística en un edificio o complejo sujeto a explotación de esta naturaleza. El controvertido derecho de adquisición preferente se ha establecido en atención al denominado “principio de unidad de explotación”, bajo el cual, de acuerdo con la legislación autonómica en la materia, debe efectuarse “la explotación turística de los establecimientos alojativos, en sus distintas modalidades” y que se encuentra regulado en los arts. 38 y siguientes de la ley citada, en la redacción que les da la Ley 5/1999, de 15 de marzo, que incluye la disposición transitoria única, cuyo apartado cuarto es objeto de esta cuestión de inconstitucionalidad, para introducir mecanismos de aplicación del principio de unidad de explotación. Por tal principio se entiende “el sometimiento a una única empresa de la actividad de explotación turística alojativa en cada uno de los establecimientos, conjunto unitario de construcciones, edificios o parte homogénea de los mismos, cuyas unidades alojativas habrán de estar destinadas en su totalidad a la actividad turística a la que quedan vinculadas, procediendo la constancia registral de esta vinculación en los casos y términos previstos en la legislación específica sobre la materia.” (art. 38.2 de la Ley 7/1995). De lo dicho anteriormente puede deducirse que, para el legislador autonómico, el derecho de adquisición preferente ahora cuestionado no es más que un instrumento al servicio de la consecución de esa finalidad, alcanzar una unidad de gestión en las explotaciones que ofrecen servicios de alojamiento turístico entendido éste como estancia temporal sin constituir cambio de residencia de la persona alojada en un establecimiento abierto al público y mediante precio (art. 31 de la Ley 7/1995), en las que existen, tanto inmuebles destinados a </w:t>
      </w:r>
      <w:r>
        <w:lastRenderedPageBreak/>
        <w:t>dicha actividad, como otros no sujetos a esa explotación turística, lo que determinaría que el referido derecho de adquisición preferente regulado en el precepto cuestionado pudiera ser establecido por la Comunidad Autónoma actuando en el ejercicio de sus competencias exclusivas en materia de turismo.</w:t>
      </w:r>
    </w:p>
    <w:p w:rsidR="00D06117" w:rsidRDefault="00D06117" w:rsidP="00D06117">
      <w:pPr>
        <w:pStyle w:val="TextoNormal"/>
      </w:pPr>
    </w:p>
    <w:p w:rsidR="00D06117" w:rsidRDefault="00D06117" w:rsidP="00D06117">
      <w:pPr>
        <w:pStyle w:val="TextoNormal"/>
      </w:pPr>
      <w:r w:rsidRPr="00D06117">
        <w:rPr>
          <w:rStyle w:val="NumeroAFNegritaCaracter"/>
        </w:rPr>
        <w:t>4</w:t>
      </w:r>
      <w:r>
        <w:t>. Para verificar el ajuste constitucional de esta posición autonómica, hay que partir de la premisa, marcada por nuestra propia doctrina, de que el derecho de adquisición preferente o de retracto, pues la adquisición preferente es la esencia de dicho derecho real, pertenece “en cuanto institución jurídica, al ámbito de las relaciones jurídico-privadas y, desde esta perspectiva, como derecho(s) real(es) de adquisición preferente, su regulación es competencia exclusiva del Estado en cuanto integrante(s) de la legislación civil (art. 149.1.8 CE), a salvo las peculiaridades propias de los Derechos forales o especiales” (STC 207/1999, de 11 de noviembre, FJ 5). No obstante, también conforme a nuestra doctrina, la proclamada naturaleza civil de la institución y de su regulación no impide que puedan existir derechos de retracto establecidos por la legislación administrativa a favor de la Administración para determinados supuestos y respondiendo a una finalidad pública constitucionalmente legítima, lo cual no implica una regulación de esa institución sino un uso de la misma por la Administración pública, previa constitución por la ley, con sometimiento al régimen jurídico previsto en el Derecho civil sin modificación o derogación alguna de la legislación civil en materia de retracto. En esos casos los efectos perseguidos con el indicado derecho tienen siempre un carácter instrumental, por lo cual la competencia para regularlos está siempre en función de la competencia sustantiva a la cual sirvan. En tal sentido existe ya una consolidada doctrina constitucional que ha sido sintetizada en la STC 207/1999, de 11 de noviembre (FJ 5). En ella declaramos que, no obstante la regulación del derecho de retracto corresponde a la competencia exclusiva del Estado en cuanto que tal derecho es parte integrante de la legislación civil, se reconoce también, como previamente en las SSTC 170/1989, de 19 de octubre, y 102/1995, de 26 de junio, que ello no excluye que el derecho de retracto pueda “constituirse en favor de las Administraciones públicas para servir finalidades públicas con adecuado respaldo constitucional, siendo en tal caso regulados por la correspondiente legislación administrativa, e insertándose en las competencias de titularidad autonómica cuando las Comunidades Autónomas haya asumido en sus Estatutos competencias normativas sobre la materia en que dichos derechos reales se incardinan”.</w:t>
      </w:r>
    </w:p>
    <w:p w:rsidR="00D06117" w:rsidRDefault="00D06117" w:rsidP="00D06117">
      <w:pPr>
        <w:pStyle w:val="TextoNormal"/>
      </w:pPr>
    </w:p>
    <w:p w:rsidR="00D06117" w:rsidRDefault="00D06117" w:rsidP="00D06117">
      <w:pPr>
        <w:pStyle w:val="TextoNormal"/>
      </w:pPr>
      <w:r w:rsidRPr="00D06117">
        <w:rPr>
          <w:rStyle w:val="NumeroAFNegritaCaracter"/>
        </w:rPr>
        <w:t>5</w:t>
      </w:r>
      <w:r>
        <w:t>. Hasta la fecha, por tanto, este Tribunal Constitucional se ha pronunciado en materia de derecho de retracto para referirse a la creación del mismo en favor de las Administraciones públicas, atendiendo a la condición del retracto como instrumento al servicio de finalidades constitucionales como la protección del medio ambiente ex art. 45 CE (SSTC 170/1989, de 19 de octubre; 102/1995, de 26 de junio y 156/1995, de 26 de octubre), o bien ínsitas en la normativa sobre urbanismo y vivienda en acomodación a los mandatos constitucionales contenidos en los arts. 33.2 y 47 CE (STC 207/1999, de 11 de noviembre). De esta manera, hemos entendido que el establecimiento de esta suerte de derecho real administrativo, constituido por el retracto a favor de una Administración pública, se justificaba por la existencia de una finalidad pública constitucionalmente legítima a cuyo servicio se encontraba una competencia sustantiva autonómica, respecto a la cual este derecho tenía una finalidad puramente instrumental. Este carácter instrumental implicaba que determinadas relaciones en las que intervenía una Administración titular de competencias sectoriales quedasen excluidas, como se ha visto, del ámbito estricto del art. 149.1.8 CE para pasar a quedar integradas en la competencia sectorial autonómica correspondiente.</w:t>
      </w:r>
    </w:p>
    <w:p w:rsidR="00D06117" w:rsidRDefault="00D06117" w:rsidP="00D06117">
      <w:pPr>
        <w:pStyle w:val="TextoNormal"/>
      </w:pPr>
    </w:p>
    <w:p w:rsidR="00D06117" w:rsidRDefault="00D06117" w:rsidP="00D06117">
      <w:pPr>
        <w:pStyle w:val="TextoNormal"/>
      </w:pPr>
      <w:r>
        <w:t>Sin embargo, el caso que ahora examinamos presenta diferencias con los anteriormente resueltos por este Tribunal Constitucional. En tal sentido es de apreciar que el precepto cuestionado no constituye el derecho de retracto a favor de una Administración pública sino que el mismo se ha establecido en beneficio de una persona física o jurídica de carácter privado. De ahí que, frente a lo alegado por las representaciones procesales del Gobierno y del Parlamento de Canarias, no resulte aplicable la doctrina antes reproducida, pues el precepto no se refiere a la Administración autonómica ni tampoco permite inferir que la misma forme parte de la relación jurídica que subyace al derecho de adquisición preferente y constituye su presupuesto. Por el contrario, el mismo ha dispuesto un nuevo supuesto de constitución del retracto en el ámbito de las relaciones jurídicas entre particulares para la consecución de una finalidad establecida legislativamente en el seno de una determinada política sectorial, en este caso la turística, de competencia autonómica.</w:t>
      </w:r>
    </w:p>
    <w:p w:rsidR="00D06117" w:rsidRDefault="00D06117" w:rsidP="00D06117">
      <w:pPr>
        <w:pStyle w:val="TextoNormal"/>
      </w:pPr>
    </w:p>
    <w:p w:rsidR="00D06117" w:rsidRDefault="00D06117" w:rsidP="00D06117">
      <w:pPr>
        <w:pStyle w:val="TextoNormal"/>
      </w:pPr>
      <w:r>
        <w:t>Teniendo presente lo anterior, hemos de diferenciar cuidadosamente entre, de un lado, lo que es regulación de las relaciones inter privatos y, de otro lado, la regulación de la intervención de los poderes públicos en estas relaciones contractuales, pues las primeras constituirán reglas de derecho privado encuadrables en la materia de legislación civil. En este caso, la naturaleza de la norma impugnada nos revela que está destinada a regular relaciones inter privatos. En efecto, la norma determina tanto los sujetos a favor de los que establece el derecho de adquisición preferente (titulares de inmuebles que ya están siendo objeto de explotación turística en un determinado edificio o complejo o, en su defecto, la empresa explotadora), como los bienes que van a ser objeto del mismo (determinados inmuebles de propiedad privada no destinados a la actividad turística en ese mismo edificio o complejo). Desde este punto de vista, el precepto presenta una indudable conexión con el tercer párrafo del art. 396 del Código civil, si bien la citada regla de Derecho común excluye, en el caso de enajenación de un piso o local, que, por ese sólo título, los dueños de los demás puedan ser titulares de derechos de tanteo y retracto. De este modo, el apartado cuestionado incide en un ámbito propio del Derecho privado, en particular civil, como es el de las relaciones contractuales establecidas en enajenaciones de inmuebles entre particulares, privilegiando a unos potenciales adquirentes frente a otros y limitando la libre disposición de su titular que viene obligado a vender a las personas privadas designadas por la disposición cuestionada. Este efecto se produce porque el retracto supone el otorgamiento de una preferencia adquisitiva que otorga a su titular, en este caso el propietario de otro inmueble en el mismo complejo de que se trate o, en su defecto, la empresa turística dedicada a la explotación de los mismos, el poder de desviar, por su sola voluntad, el impulso transmisivo subyacente al negocio jurídico celebrado entre el propietario del inmueble y un tercero, subrogándose en los derechos y acciones del comprador y asumiendo, por su parte, las condiciones estipuladas en el negocio jurídico celebrado. De esta forma la norma cuestionada está atribuyendo a determinadas personas privadas, a las que reconoce el derecho de adquisición preferente previsto por la misma, el poder de modificar, extinguir o constituir una determinada relación jurídica por su sola voluntad, interfiriendo de ese modo en el contrato celebrado por otros sujetos, siempre que se den las circunstancias y presupuestos previstos por el apartado cuatro de la disposición transitoria única de la Ley 5/1999.</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A la vista de lo expuesto, debemos considerar que la regulación controvertida es enteramente civil sin que exista ningún elemento o parte en la relación jurídica que pudiera </w:t>
      </w:r>
      <w:r>
        <w:lastRenderedPageBreak/>
        <w:t>confundir su regulación con Derecho administrativo que permitiera incardinarla en el ámbito de la legislación turística de competencia de la Comunidad Autónoma.</w:t>
      </w:r>
    </w:p>
    <w:p w:rsidR="00D06117" w:rsidRDefault="00D06117" w:rsidP="00D06117">
      <w:pPr>
        <w:pStyle w:val="TextoNormal"/>
      </w:pPr>
    </w:p>
    <w:p w:rsidR="00D06117" w:rsidRDefault="00D06117" w:rsidP="00D06117">
      <w:pPr>
        <w:pStyle w:val="TextoNormal"/>
      </w:pPr>
      <w:r>
        <w:t>Por lo expuesto, como quiera que la Comunidad Autónoma de Canarias no ostenta competencias sobre Derecho civil foral o especial, la regulación del derecho de adquisición preferente contenida en el apartado cuatro de la disposición transitoria única de la Ley 5/1999 en cuestión se sitúa extramuros de sus facultades legislativas y vulnera las competencias del Estado, tal como las mismas se establecen en el art. 149.1.8 CE, debiendo ser declarado, por ello, inconstitucional y nulo.</w:t>
      </w:r>
    </w:p>
    <w:p w:rsidR="00D06117" w:rsidRDefault="00D06117" w:rsidP="00D06117">
      <w:pPr>
        <w:pStyle w:val="TextoNormal"/>
      </w:pPr>
    </w:p>
    <w:p w:rsidR="00D06117" w:rsidRDefault="00D06117" w:rsidP="00D06117">
      <w:pPr>
        <w:pStyle w:val="TextoNormal"/>
      </w:pPr>
      <w:r>
        <w:t>Alcanzada la anterior conclusión, la misma nos exime de pronunciarnos sobre el resto de las vulneraciones constitucionales alegadas, pues, apreciada la inconstitucionalidad del precepto y su consiguiente nulidad (art. 39.1 de la Ley Orgánica del Tribunal Constitucional), ello determina su expulsión del ordenamiento jurídico.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Declarar que el apartado cuatro de la disposición transitoria única de la Ley 5/1999, de 15 de marzo, del Parlamento de Canarias, de modificación de la Ley 7/1995, de 6 de abril, de ordenación del turismo de Canarias, es inconstitucional y, por tanto, nulo.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uno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2" w:name="SENTENCIA_2012_29"/>
      <w:r>
        <w:lastRenderedPageBreak/>
        <w:t>SENTENCIA 29/2012, de 1 de marzo de 2012</w:t>
      </w:r>
    </w:p>
    <w:bookmarkEnd w:id="3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ECLI:ES:TC:2012:29</w:t>
      </w:r>
    </w:p>
    <w:p w:rsidR="00D06117" w:rsidRDefault="00D06117" w:rsidP="00D06117">
      <w:pPr>
        <w:pStyle w:val="SntesisDescriptiva"/>
      </w:pPr>
    </w:p>
    <w:p w:rsidR="00D06117" w:rsidRDefault="00D06117" w:rsidP="00D06117">
      <w:pPr>
        <w:pStyle w:val="SntesisDescriptiva"/>
      </w:pPr>
      <w:r>
        <w:t>Cuestión de inconstitucionalidad 2651-2005. Planteada por el Juzgado de lo Contencioso-Administrativo núm. 1 de Cádiz en relación con el art. 46 de la Ley 13/2001, de 11 de diciembre, del Parlamento de Andalucía, de coordinación de policías locales.</w:t>
      </w:r>
    </w:p>
    <w:p w:rsidR="00D06117" w:rsidRDefault="00D06117" w:rsidP="00D06117">
      <w:pPr>
        <w:pStyle w:val="SntesisDescriptiva"/>
      </w:pPr>
    </w:p>
    <w:p w:rsidR="00D06117" w:rsidRDefault="00D06117" w:rsidP="00D06117">
      <w:pPr>
        <w:pStyle w:val="SntesisAnaltica"/>
      </w:pPr>
      <w:r>
        <w:t>Derecho a la igualdad en el acceso a las funciones públicas: validez del precepto legal que introduce un límite máximo de edad para participar en los procesos de acceso por el turno de movilidad con ascenso a los cuerpos de policía local de Andalucía.</w:t>
      </w:r>
    </w:p>
    <w:p w:rsidR="00D06117" w:rsidRDefault="00D06117" w:rsidP="00D06117">
      <w:pPr>
        <w:pStyle w:val="SntesisAnaltica"/>
      </w:pPr>
    </w:p>
    <w:p w:rsidR="00D06117" w:rsidRDefault="00D06117" w:rsidP="00D06117">
      <w:pPr>
        <w:pStyle w:val="Extracto"/>
      </w:pPr>
      <w:r>
        <w:t>1.</w:t>
      </w:r>
      <w:r>
        <w:tab/>
        <w:t xml:space="preserve">Resulta razonable, </w:t>
      </w:r>
      <w:r w:rsidRPr="00D06117">
        <w:rPr>
          <w:i/>
        </w:rPr>
        <w:t>ex</w:t>
      </w:r>
      <w:r>
        <w:t xml:space="preserve"> art. 23.2 CE, la diferenciación en razón de la edad contemplado para el acceso por el sistema de movilidad a otro cuerpo de Policía local de distinto municipio, ya que se encuentra justificada en razones derivadas de las características específicas que requiere el desempeño de las actuaciones operativas de la policía local y de las consecuencias que la cobertura de la plaza por una persona mayor de la edad establecida ocasionaría al servicio en el municipio receptor [FJ 6].</w:t>
      </w:r>
    </w:p>
    <w:p w:rsidR="00D06117" w:rsidRDefault="00D06117" w:rsidP="00D06117">
      <w:pPr>
        <w:pStyle w:val="Extracto"/>
      </w:pPr>
    </w:p>
    <w:p w:rsidR="00D06117" w:rsidRDefault="00D06117" w:rsidP="00D06117">
      <w:pPr>
        <w:pStyle w:val="Extracto"/>
      </w:pPr>
      <w:r>
        <w:t>2.</w:t>
      </w:r>
      <w:r>
        <w:tab/>
        <w:t>La diferenciación de trato por razón de la edad, como circunstancia objetiva en el acceso a las funciones públicas, será constitucional cuando esté justificada razonablemente y responda a una definición objetiva y general de las condiciones que debían reunir quienes querían acceder a los puestos de que se trate (SSTC 75/1983, 37/2004) [FJ 5].</w:t>
      </w:r>
    </w:p>
    <w:p w:rsidR="00D06117" w:rsidRDefault="00D06117" w:rsidP="00D06117">
      <w:pPr>
        <w:pStyle w:val="Extracto"/>
      </w:pPr>
    </w:p>
    <w:p w:rsidR="00D06117" w:rsidRDefault="00D06117" w:rsidP="00D06117">
      <w:pPr>
        <w:pStyle w:val="Extracto"/>
      </w:pPr>
      <w:r>
        <w:t>3.</w:t>
      </w:r>
      <w:r>
        <w:tab/>
        <w:t>Puede ser constitucionalmente justificable que la provisión de determinadas plazas de la función pública contenga exigencias específicas de edad derivadas de las peculiaridades de los concretos puestos a cubrir, pero tal posibilidad no opera cuando la norma se aplica de forma indiferenciada a todos los funcionarios públicos locales (SSTC 75/1983, 37/2004) [FJ 5].</w:t>
      </w:r>
    </w:p>
    <w:p w:rsidR="00D06117" w:rsidRDefault="00D06117" w:rsidP="00D06117">
      <w:pPr>
        <w:pStyle w:val="Extracto"/>
      </w:pPr>
    </w:p>
    <w:p w:rsidR="00D06117" w:rsidRDefault="00D06117" w:rsidP="00D06117">
      <w:pPr>
        <w:pStyle w:val="Extracto"/>
      </w:pPr>
      <w:r>
        <w:t>4.</w:t>
      </w:r>
      <w:r>
        <w:tab/>
        <w:t>El establecimiento de un límite máximo de edad para opositar a puestos en la función pública local, al no encontrar una explicación razonable desde la perspectiva constitucional, resulta contrario a los principios constitucionales de igualdad, mérito y capacidad que han de presidir la regulación legal del acceso a las funciones públicas (STC 37/2004) [FFJJ 2, 5].</w:t>
      </w:r>
    </w:p>
    <w:p w:rsidR="00D06117" w:rsidRDefault="00D06117" w:rsidP="00D06117">
      <w:pPr>
        <w:pStyle w:val="Extracto"/>
      </w:pPr>
    </w:p>
    <w:p w:rsidR="00D06117" w:rsidRDefault="00D06117" w:rsidP="00D06117">
      <w:pPr>
        <w:pStyle w:val="Extracto"/>
      </w:pPr>
      <w:r>
        <w:t>5.</w:t>
      </w:r>
      <w:r>
        <w:tab/>
        <w:t>Doctrina sobre la constitucionalidad del requisito de edad en el acceso a las funciones públicas (STC 75/1983, 63/2011)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 xml:space="preserve">El Pleno del Tribunal Constitucional, compuesto por don Pascual Sala Sánchez, Presidente, don Eugeni Gay Montalvo, don Ramón Rodríguez Arribas, don Manuel Aragón Reyes, don Pablo Pérez Tremps, don Francisco José Hernando Santiago, doña Adela Asua </w:t>
      </w:r>
      <w:r>
        <w:lastRenderedPageBreak/>
        <w:t>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2651-2005, promovida por el Juzgado de lo Contencioso-Administrativo núm. 1 de Cádiz en relación con el art. 46 de la Ley 13/2001, de 11 de diciembre, del Parlamento de Andalucía, de coordinación de policías locales. Han intervenido y formulado alegaciones la Junta y el Parlamento de Andalucía, así como el Fiscal General del Estado.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14 de abril de 2005 tuvo entrada en el Registro General de este Tribunal escrito del Juzgado de lo Contencioso-Administrativo núm. 1 de Cádiz, al que se acompaña, junto con el testimonio del procedimiento abreviado núm. 58-204 que se tramita ante dicho Juzgado, el Auto de 21 de febrero de 2005, por el que se acuerda plantear cuestión de inconstitucionalidad respecto del art. 46 de la Ley 13/2001, de 11 de diciembre, del Parlamento de Andalucía, de coordinación de policías locales [“Boletín Oficial de la Junta de Andalucía” (“BOJA”), núm. 44, de 15 de diciembre de 2001], por su posible vulneración de los arts. 23.2 y 103.3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hecho de la presente cuestión de inconstitucionalidad son los siguientes:</w:t>
      </w:r>
    </w:p>
    <w:p w:rsidR="00D06117" w:rsidRDefault="00D06117" w:rsidP="00D06117">
      <w:pPr>
        <w:pStyle w:val="TextoNormal"/>
      </w:pPr>
    </w:p>
    <w:p w:rsidR="00D06117" w:rsidRDefault="00D06117" w:rsidP="00D06117">
      <w:pPr>
        <w:pStyle w:val="TextoNormal"/>
      </w:pPr>
      <w:r>
        <w:t>a) Ante el Juzgado de lo Contencioso-Administrativo núm. 1 de Cádiz se sigue el procedimiento abreviado núm. 58-2004, interpuesto por don Juan Sánchez Navajas, funcionario de la policía local del Ayuntamiento de Coria del Río (Sevilla), contra resolución del Ayuntamiento de Cádiz de 19 de enero de 2004, publicada en el “BOJA” (núm. 34, de 19 de febrero de 2004) por la que se convoca un proceso selectivo para la provisión de nueve plazas de oficiales de la policía local de dicho Ayuntamiento, incluidas en la oferta de empleo público del año 2003, siete por el sistema de acceso de promoción interna, una por el sistema de movilidad con ascenso y una por el sistema de movilidad sin ascenso.</w:t>
      </w:r>
    </w:p>
    <w:p w:rsidR="00D06117" w:rsidRDefault="00D06117" w:rsidP="00D06117">
      <w:pPr>
        <w:pStyle w:val="TextoNormal"/>
      </w:pPr>
    </w:p>
    <w:p w:rsidR="00D06117" w:rsidRDefault="00D06117" w:rsidP="00D06117">
      <w:pPr>
        <w:pStyle w:val="TextoNormal"/>
      </w:pPr>
      <w:r>
        <w:t xml:space="preserve">El demandante, que no ha presentado su candidatura, impugna concretamente la base 2.1 C) de la convocatoria, relativa a los requisitos de los aspirantes que accedan por el turno de movilidad con ascenso, en el apartado d), referido al requisito consistente en “faltar más de diez años para el cumplimiento de la edad que determinaría, con relación a la categoría a la que se pretende ascender, el pase a la situación de segunda actividad”. El resto de requisitos esto es, acreditar un mínimo de dos años de servicio activo como funcionario en la categoría </w:t>
      </w:r>
      <w:r>
        <w:lastRenderedPageBreak/>
        <w:t>de policía en otro cuerpo de la policía local de Andalucía distinto al del Ayuntamiento de Cádiz, ostentar el título de graduado en educación secundaria o equivalente y carecer de anotación por faltas graves o muy graves en su expediente personal, no se impugnan por el recurrente, si bien tampoco consta en las actuaciones si reúne o no dichos requisitos.</w:t>
      </w:r>
    </w:p>
    <w:p w:rsidR="00D06117" w:rsidRDefault="00D06117" w:rsidP="00D06117">
      <w:pPr>
        <w:pStyle w:val="TextoNormal"/>
      </w:pPr>
    </w:p>
    <w:p w:rsidR="00D06117" w:rsidRDefault="00D06117" w:rsidP="00D06117">
      <w:pPr>
        <w:pStyle w:val="TextoNormal"/>
      </w:pPr>
      <w:r>
        <w:t>b) En su demanda, el señor Sánchez Navajas solicitaba del órgano judicial que plantease cuestión de inconstitucionalidad respecto del art. 48 de la Ley del Parlamento de Andalucía 13/2001, de coordinación de policías locales, en el que se fundamenta la exigencia del requisito de edad contenido en la base 2.1.C d) de la convocatoria impugnada, por considerar que el citado precepto legal lesiona los arts. 23.2, 103.3, 104 y 149.1.18 y 29 CE.</w:t>
      </w:r>
    </w:p>
    <w:p w:rsidR="00D06117" w:rsidRDefault="00D06117" w:rsidP="00D06117">
      <w:pPr>
        <w:pStyle w:val="TextoNormal"/>
      </w:pPr>
    </w:p>
    <w:p w:rsidR="00D06117" w:rsidRDefault="00D06117" w:rsidP="00D06117">
      <w:pPr>
        <w:pStyle w:val="TextoNormal"/>
      </w:pPr>
      <w:r>
        <w:t>En síntesis, el recurrente en el proceso a quo aducía que la Comunidad Autónoma andaluza ha rebasado el marco competencial que le corresponde en materia de coordinación de policías locales, al establecer un requisito de edad para la movilidad de los funcionarios de la policía local que no contempla la legislación estatal básica y que es gravemente discriminatorio para quienes se encuentran en la situación del recurrente.</w:t>
      </w:r>
    </w:p>
    <w:p w:rsidR="00D06117" w:rsidRDefault="00D06117" w:rsidP="00D06117">
      <w:pPr>
        <w:pStyle w:val="TextoNormal"/>
      </w:pPr>
    </w:p>
    <w:p w:rsidR="00D06117" w:rsidRDefault="00D06117" w:rsidP="00D06117">
      <w:pPr>
        <w:pStyle w:val="TextoNormal"/>
      </w:pPr>
      <w:r>
        <w:t>Ello sería así, porque mientras que los policías locales del Ayuntamiento convocante pueden acceder por promoción interna al siguiente grado del escalafón (cumpliendo los requisitos establecidos para servicios en el Ayuntamiento distinto del convocante), en cambio los policías locales que prestan servicios en un Ayuntamiento distinto del convocante, sólo pueden acceder a esas plazas de superior categoría (movilidad en ascenso) o incluso acceder a plazas de la misma categoría (movilidad sin ascenso) si, además de cumplir los requisitos establecidos para la promoción interna, les faltan aún más de diez años para llegar a la edad establecida en la ley para el pase a la situación de segunda actividad (que en el caso de la escala básica, grupo C, formada por las categorías de policía y de oficial, es la de 55 años de edad). De suerte que quienes tengan cumplida la edad de 45 años, no pueden acceder ya a plazas de otros cuerpos de policía local ofertadas por los Ayuntamientos correspondientes para su cobertura por el procedimiento de movilidad (con ascenso y sin ascenso).</w:t>
      </w:r>
    </w:p>
    <w:p w:rsidR="00D06117" w:rsidRDefault="00D06117" w:rsidP="00D06117">
      <w:pPr>
        <w:pStyle w:val="TextoNormal"/>
      </w:pPr>
    </w:p>
    <w:p w:rsidR="00D06117" w:rsidRDefault="00D06117" w:rsidP="00D06117">
      <w:pPr>
        <w:pStyle w:val="TextoNormal"/>
      </w:pPr>
      <w:r>
        <w:t>c) Celebrada la vista, acto en el que el Letrado del Ayuntamiento de Cádiz y el Letrado de la Junta de Andalucía se opusieron expresamente al planteamiento de la cuestión de inconstitucionalidad interesada por el demandante, el Juzgado, mediante providencia de 13 de diciembre de 2004, acordó de conformidad con el art. 35.2 de la Ley Orgánica del Tribunal Constitucional (LOTC), con suspensión del plazo para dictar Sentencia, oír al Ministerio Fiscal y a las partes personadas por plazo común de diez días para que formulasen alegaciones sobre la pertinencia de plantear ante el Tribunal Constitucional la cuestión de inconstitucionalidad respecto del art. 46 de la Ley del Parlamento de Andalucía 13/2001, de 11 de diciembre, de coordinación de las policías locales.</w:t>
      </w:r>
    </w:p>
    <w:p w:rsidR="00D06117" w:rsidRDefault="00D06117" w:rsidP="00D06117">
      <w:pPr>
        <w:pStyle w:val="TextoNormal"/>
      </w:pPr>
    </w:p>
    <w:p w:rsidR="00D06117" w:rsidRDefault="00D06117" w:rsidP="00D06117">
      <w:pPr>
        <w:pStyle w:val="TextoNormal"/>
      </w:pPr>
      <w:r>
        <w:t>El Ministerio Fiscal interpuso recurso de súplica contra esta providencia, dado que la misma incurre en el defecto de no señalar el precepto o preceptos constitucionales que el Juzgador considera que puedan ser vulnerados por la norma legal en cuestión, por lo que no se cumple el trámite de audiencia establecido en el art. 35.2 LOTC, como reiteradamente tiene señalado el Tribunal Constitucional (AATC 305/2004 y 311/2004). El Juzgado estimó el recurso del Fiscal por Auto de 13 de diciembre de 2004, y en esta misma resolución procede a dar de nuevo trámite de audiencia a los efectos del art. 35.2 LOTC, sobre la per</w:t>
      </w:r>
      <w:r>
        <w:lastRenderedPageBreak/>
        <w:t>tinencia de plantear cuestión de inconstitucionalidad respecto del art. 46 de la Ley del Parlamento de Andalucía 13/2001, de 11 de diciembre, de coordinación de las policías locales, por su posible contradicción con los arts. 23.2 y 103.3 CE.</w:t>
      </w:r>
    </w:p>
    <w:p w:rsidR="00D06117" w:rsidRDefault="00D06117" w:rsidP="00D06117">
      <w:pPr>
        <w:pStyle w:val="TextoNormal"/>
      </w:pPr>
    </w:p>
    <w:p w:rsidR="00D06117" w:rsidRDefault="00D06117" w:rsidP="00D06117">
      <w:pPr>
        <w:pStyle w:val="TextoNormal"/>
      </w:pPr>
      <w:r>
        <w:t>d) Evacuado el trámite de alegaciones conferido, el Ayuntamiento demandado, mediante escrito registrado el 25 de enero de 2005, se opuso al planteamiento de la cuestión de inconstitucionalidad sobre la base de los argumentos siguientes.</w:t>
      </w:r>
    </w:p>
    <w:p w:rsidR="00D06117" w:rsidRDefault="00D06117" w:rsidP="00D06117">
      <w:pPr>
        <w:pStyle w:val="TextoNormal"/>
      </w:pPr>
    </w:p>
    <w:p w:rsidR="00D06117" w:rsidRDefault="00D06117" w:rsidP="00D06117">
      <w:pPr>
        <w:pStyle w:val="TextoNormal"/>
      </w:pPr>
      <w:r>
        <w:t>En primer lugar, tras recordar el tenor literal del art. 46 de la Ley del Parlamento de Andalucía 13/2001, de 11 de diciembre, de coordinación de las policías locales, el Letrado del Ayuntamiento de Cádiz señala que la posibilidad de acceso por el “sistema de movilidad” supone, en sí mismo, no una convocatoria de acceso a la función pública, sino una posibilidad concreta para quienes, ostentando ya la cualidad de funcionarios de la policía local de un Ayuntamiento, pretenden optar a otros puestos de cuerpos de policía local de distinto Ayuntamiento, sin que el citado art. 46 —que regula los requisitos para la movilidad (con o sin ascenso) de los funcionarios de cuerpos de policía local—, vulnere los principios de igualdad, mérito y capacidad (con cita de la STC 75/1983, de 3 de agosto). De lo anterior deduce igualmente que el recurrente ha planteado su recurso sobre un supuesto inexistente, ya que cuanto alega se refiere al derecho de los funcionarios a la promoción y movilidad dentro del cuerpo al que pertenece, olvidando que la policía local no es un cuerpo único, sino que cada Ayuntamiento, en su caso, cuenta con su propio cuerpo de policía local. Por tanto, el recurrente no tiene derecho a la promoción y movilidad dentro del cuerpo de policía local del Ayuntamiento de Cádiz, sino dentro del Ayuntamiento al que actualmente pertenezca.</w:t>
      </w:r>
    </w:p>
    <w:p w:rsidR="00D06117" w:rsidRDefault="00D06117" w:rsidP="00D06117">
      <w:pPr>
        <w:pStyle w:val="TextoNormal"/>
      </w:pPr>
    </w:p>
    <w:p w:rsidR="00D06117" w:rsidRDefault="00D06117" w:rsidP="00D06117">
      <w:pPr>
        <w:pStyle w:val="TextoNormal"/>
      </w:pPr>
      <w:r>
        <w:t>En segundo lugar, el Letrado del Ayuntamiento de Cádiz recuerda que la situación de segunda actividad está regulada en el art. 28 de la Ley de coordinación de policías locales de Andalucía. Esta situación produce —afirma— una reducción en el número de funcionarios de la policía local disponibles en el municipio, número que, por imperativo de la propia ley, debe guardar además una proporción entre categorías establecidas en la disposición transitoria novena. En suma, el motivo de la diferenciación se encuentra en razones derivadas de las características de la plaza y de las consecuencias que la cobertura de la misma por una persona mayor de la edad establecida ocasionaría al servicio en el municipio receptor.</w:t>
      </w:r>
    </w:p>
    <w:p w:rsidR="00D06117" w:rsidRDefault="00D06117" w:rsidP="00D06117">
      <w:pPr>
        <w:pStyle w:val="TextoNormal"/>
      </w:pPr>
    </w:p>
    <w:p w:rsidR="00D06117" w:rsidRDefault="00D06117" w:rsidP="00D06117">
      <w:pPr>
        <w:pStyle w:val="TextoNormal"/>
      </w:pPr>
      <w:r>
        <w:t>Por todo ello, el Letrado del Ayuntamiento de Cádiz concluye que la técnica empleada por el legislador andaluz, estableciendo ese límite de edad, puede ser o no compartida, pudiendo existir otros métodos para garantizar el número de efectivos (establecimiento de pruebas físicas, reconocimientos médicos, etc.), pero no resulta contraria a los principios constitucionales de igualdad, mérito y capacidad.</w:t>
      </w:r>
    </w:p>
    <w:p w:rsidR="00D06117" w:rsidRDefault="00D06117" w:rsidP="00D06117">
      <w:pPr>
        <w:pStyle w:val="TextoNormal"/>
      </w:pPr>
    </w:p>
    <w:p w:rsidR="00D06117" w:rsidRDefault="00D06117" w:rsidP="00D06117">
      <w:pPr>
        <w:pStyle w:val="TextoNormal"/>
      </w:pPr>
      <w:r>
        <w:t xml:space="preserve">e) El Ministerio Fiscal presentó su escrito de alegaciones el día 26 de enero de 2005, oponiéndose igualmente al planteamiento de la cuestión de inconstitucionalidad. Tras recordar el tenor literal del art. 46 de la Ley del Parlamento de Andalucía de coordinación de las policías locales y la argumentación del demandante, el Ministerio Fiscal establece las premisas de su argumentación. En este sentido, recuerda que la garantía dispensada por el art. 23.2 CE (que ha de ponerse en conexión con el art. 103.3 CE) se extiende al acceso, permanencia en el cargo público y al desempeño de las funciones que le son inherentes, en </w:t>
      </w:r>
      <w:r>
        <w:lastRenderedPageBreak/>
        <w:t>los términos que establezcan las leyes. De este art. 23.2 CE se deriva que las reglas de procedimiento para el acceso (y permanencia) a los cargos y funciones públicas se establezcan en términos generales y abstractos y no mediante referencias individualizadas y concretas (STC 50/1986, de 23 de abril). De ahí que se exija que los requisitos o méritos se establezcan con carácter general, siendo constitucionalmente inaceptable que se produzcan acepciones o pretericiones ad personam en el acceso a las funciones públicas (STC 148/1986 de 25 de noviembre).</w:t>
      </w:r>
    </w:p>
    <w:p w:rsidR="00D06117" w:rsidRDefault="00D06117" w:rsidP="00D06117">
      <w:pPr>
        <w:pStyle w:val="TextoNormal"/>
      </w:pPr>
    </w:p>
    <w:p w:rsidR="00D06117" w:rsidRDefault="00D06117" w:rsidP="00D06117">
      <w:pPr>
        <w:pStyle w:val="TextoNormal"/>
      </w:pPr>
      <w:r>
        <w:t>Partiendo de estas premisas el Ministerio Fiscal concluye que en el presente caso es preciso tener en cuenta que las situaciones respecto de las que el recurrente plantea la supuesta discriminación no son iguales y por tanto la comparación no es válida a efectos de valorar la existencia, en su caso, de vulneración de derecho a la igualdad.</w:t>
      </w:r>
    </w:p>
    <w:p w:rsidR="00D06117" w:rsidRDefault="00D06117" w:rsidP="00D06117">
      <w:pPr>
        <w:pStyle w:val="TextoNormal"/>
      </w:pPr>
    </w:p>
    <w:p w:rsidR="00D06117" w:rsidRDefault="00D06117" w:rsidP="00D06117">
      <w:pPr>
        <w:pStyle w:val="TextoNormal"/>
      </w:pPr>
      <w:r>
        <w:t>En efecto, mientras que el caso de los funcionarios de policía local de otros Ayuntamientos que pretenden acceder al cuerpo de policía local del Ayuntamiento de Cádiz es un supuesto de nacimiento de la relación de servicio de los funcionarios de carrera, el caso de los funcionarios del cuerpo de policía local del Ayuntamiento de Cádiz que acceden a una categoría o escala superior en dicho cuerpo es un supuesto de promoción interna. A este respecto, tiene señalado el Tribunal Constitucional que el rigor con el que operan los principios constitucionales que se deducen del art. 23.2 CE, en relación con el art. 103.3 CE, no es el mismo según se trate del inicial ingreso en la función pública o del ulterior desarrollo o promoción de la carrera administrativa, ya que en el supuesto de provisión de puestos de trabajo entre personas que ya han accedido en condiciones de igualdad a la función pública —y, por tanto, que ya han acreditado el mérito y capacidad— cabe manejar otros criterios que no guarden relación con estos principios en atención a una mayor eficacia en la prestación de los servicios o a la protección de otros bienes constitucionales (SSTC 192/1991, 200/1991, 293/1993, 365/1993 y 87/1996).</w:t>
      </w:r>
    </w:p>
    <w:p w:rsidR="00D06117" w:rsidRDefault="00D06117" w:rsidP="00D06117">
      <w:pPr>
        <w:pStyle w:val="TextoNormal"/>
      </w:pPr>
    </w:p>
    <w:p w:rsidR="00D06117" w:rsidRDefault="00D06117" w:rsidP="00D06117">
      <w:pPr>
        <w:pStyle w:val="TextoNormal"/>
      </w:pPr>
      <w:r>
        <w:t>En consecuencia, el Ministerio Fiscal concluye que no existe discriminación por el hecho de que la ley regule de manera diferente estos supuestos diferentes. A ello se añade que el precepto legal en cuestión resulta perfectamente coherente, por cuanto parece lógico que mientras que para la mera promoción interna no se exijan otros requisitos que la pertenencia como funcionario a la plantilla, en cambio para el supuesto de nacimiento de la relación de servicio de funcionario se exijan determinadas cautelas justificadas por el fin de garantizar el buen funcionamiento de los servicios de policía local en cuanto a equilibrio de las plantillas.</w:t>
      </w:r>
    </w:p>
    <w:p w:rsidR="00D06117" w:rsidRDefault="00D06117" w:rsidP="00D06117">
      <w:pPr>
        <w:pStyle w:val="TextoNormal"/>
      </w:pPr>
    </w:p>
    <w:p w:rsidR="00D06117" w:rsidRDefault="00D06117" w:rsidP="00D06117">
      <w:pPr>
        <w:pStyle w:val="TextoNormal"/>
      </w:pPr>
      <w:r>
        <w:t>f) El Letrado de la Junta de Andalucía presentó su escrito de alegaciones con fecha 2 de febrero de 2005, oponiéndose también al planteamiento de la cuestión de inconstitucionalidad. En el mismo, señala que el art. 46 de la Ley del Parlamento de Andalucía de coordinación de las policías locales establece los requisitos generales que deben reunir aquellos que pretendan participar en un proceso de provisión de plazas de los cuerpos de policía local por el sistema de movilidad, definida y regulada en el art. 45 y que se configura como un derecho de los miembros de los cuerpos de policía local.</w:t>
      </w:r>
    </w:p>
    <w:p w:rsidR="00D06117" w:rsidRDefault="00D06117" w:rsidP="00D06117">
      <w:pPr>
        <w:pStyle w:val="TextoNormal"/>
      </w:pPr>
    </w:p>
    <w:p w:rsidR="00D06117" w:rsidRDefault="00D06117" w:rsidP="00D06117">
      <w:pPr>
        <w:pStyle w:val="TextoNormal"/>
      </w:pPr>
      <w:r>
        <w:t>A continuación, el Letrado de la Junta de Andalucía procede a analizar la finalidad y justificación del requisito cuestionado, relativo a “faltar más de diez años para el cumplimiento de la edad que determinaría el pase a segunda actividad”. A tal efecto, se expone —</w:t>
      </w:r>
      <w:r>
        <w:lastRenderedPageBreak/>
        <w:t>en similar línea de razonamiento que la seguida en las alegaciones del Letrado del Ayuntamiento de Cádiz— el significado, características y consecuencias que se derivan de la situación de segunda actividad, a tenor de lo dispuesto en los arts. 28 a 30 de la Ley del Parlamento de Andalucía 13/2001, de 11 de diciembre, de coordinación de las policías locales, de donde se deduce con claridad, a juicio del Letrado de la Junta de Andalucía, la justificación del requisito de edad previsto en el art. 46 para el sistema de movilidad.</w:t>
      </w:r>
    </w:p>
    <w:p w:rsidR="00D06117" w:rsidRDefault="00D06117" w:rsidP="00D06117">
      <w:pPr>
        <w:pStyle w:val="TextoNormal"/>
      </w:pPr>
    </w:p>
    <w:p w:rsidR="00D06117" w:rsidRDefault="00D06117" w:rsidP="00D06117">
      <w:pPr>
        <w:pStyle w:val="TextoNormal"/>
      </w:pPr>
      <w:r>
        <w:t>Asimismo, el Letrado de la Junta de Andalucía pone de manifiesto que el requisito cuya constitucionalidad se cuestiona es un requisito de carácter objetivo, que se establece con carácter general o abstracto para todos los procedimientos de acceso por el sistema de movilidad, y que no impone ninguna restricción discriminatoria o injustificada, pues no hay que olvidar que la edad, de conformidad con lo establecido en el art. 42 de la Ley del Parlamento de Andalucía de coordinación de las policías locales, y habida cuenta la naturaleza de los servicios propios de la policía local, es uno de los criterios que se ha de tener en cuenta en los procedimientos de ingreso en los diferentes cuerpos de policía local, por lo que de igual forma resulta justificado que se imponga un límite de edad para acceder a un cuerpo de policía local por el sistema de movilidad.</w:t>
      </w:r>
    </w:p>
    <w:p w:rsidR="00D06117" w:rsidRDefault="00D06117" w:rsidP="00D06117">
      <w:pPr>
        <w:pStyle w:val="TextoNormal"/>
      </w:pPr>
    </w:p>
    <w:p w:rsidR="00D06117" w:rsidRDefault="00D06117" w:rsidP="00D06117">
      <w:pPr>
        <w:pStyle w:val="TextoNormal"/>
      </w:pPr>
      <w:r>
        <w:t>El Letrado de la Junta de Andalucía razona, por otra parte, que la no exigencia del requisito de edad en los supuestos de provisión de plazas por el sistema de promoción interna no es contrario al principio de igualdad. La finalidad que se trata de alcanzar con el requisito de edad del art. 46 (procurar una cierta permanencia en el servicio activo con la prestación de los servicios propios de policía local por aquellos funcionarios que, provenientes de otros cuerpos de policía local, ocupen las plazas vacantes cubiertas por el sistema de movilidad), nada tiene que ver con el sistema de promoción interna, en el que participan sólo funcionarios que pertenecen ya al mismo cuerpo de policía local.</w:t>
      </w:r>
    </w:p>
    <w:p w:rsidR="00D06117" w:rsidRDefault="00D06117" w:rsidP="00D06117">
      <w:pPr>
        <w:pStyle w:val="TextoNormal"/>
      </w:pPr>
    </w:p>
    <w:p w:rsidR="00D06117" w:rsidRDefault="00D06117" w:rsidP="00D06117">
      <w:pPr>
        <w:pStyle w:val="TextoNormal"/>
      </w:pPr>
      <w:r>
        <w:t>g) El recurrente presentó escrito de alegaciones el 4 de febrero de 2005, remitiéndose a los argumentos expuestos en su escrito de demanda y en virtud de los cuales considera que se debe proponer ante el Tribunal Constitucional cuestión de inconstitucionalidad en relación con el art. 46 de la Ley del Parlamento de Andalucía 13/2001, de 11 de diciembre, de coordinación de las policías locales, ya que la fijación de un límite de edad en los procesos de movilidad vulnera los arts. 23.2, 103.3 y 149.1.18 y 29 CE.</w:t>
      </w:r>
    </w:p>
    <w:p w:rsidR="00D06117" w:rsidRDefault="00D06117" w:rsidP="00D06117">
      <w:pPr>
        <w:pStyle w:val="TextoNormal"/>
      </w:pPr>
    </w:p>
    <w:p w:rsidR="00D06117" w:rsidRDefault="00D06117" w:rsidP="00D06117">
      <w:pPr>
        <w:pStyle w:val="TextoNormal"/>
      </w:pPr>
      <w:r>
        <w:t>h) Finalmente, el Juzgado de lo Contencioso-Administrativo núm. 1 de Cádiz dictó Auto el 21 de febrero de 2005, en cuya parte dispositiva se acuerda textualmente: “plantear ante el Tribunal Constitucional la inconstitucionalidad del art. 46 de la Ley 13/2001, de 11 de diciembre, de coordinación de las policías locales, por vulneración de los arts. 23.2 y 103.3 de la Constitución Española”.</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de inconstitucionalidad en las consideraciones que seguidamente se resumen:</w:t>
      </w:r>
    </w:p>
    <w:p w:rsidR="00D06117" w:rsidRDefault="00D06117" w:rsidP="00D06117">
      <w:pPr>
        <w:pStyle w:val="TextoNormal"/>
      </w:pPr>
    </w:p>
    <w:p w:rsidR="00D06117" w:rsidRDefault="00D06117" w:rsidP="00D06117">
      <w:pPr>
        <w:pStyle w:val="TextoNormal"/>
      </w:pPr>
      <w:r>
        <w:t xml:space="preserve">a) Comienza por referirse al denominado juicio de relevancia, señalando al respecto que, al amparo del precepto legal cuestionado, el Ayuntamiento de Cádiz aprobó con fecha 25 de noviembre de 2003 las bases reguladoras del proceso selectivo para el acceso a plazas de la plantilla de personal funcionario, concretamente la base 2.1 B) “Aspirantes que accedan por el turno de movilidad sin ascenso” (sistema para el que se reserva una plaza de las nueve </w:t>
      </w:r>
      <w:r>
        <w:lastRenderedPageBreak/>
        <w:t>convocadas) y la base 2.l C) “Aspirantes que accedan por el turno de movilidad con ascenso” (sistema para el que igualmente se reserva una plaza). Habiendo recurrido el actor en el proceso a quo la base 2.1 C) y, pareciendo que pudiera ser inconstitucional la norma de apoyo (art. 46 de la Ley del Parlamento de Andalucía 13/2001), el Juzgado considera que no puede dictar una resolución sobre la legalidad de la base en cuestión sin resolver previamente sobre la constitucionalidad de la norma de apoyo.</w:t>
      </w:r>
    </w:p>
    <w:p w:rsidR="00D06117" w:rsidRDefault="00D06117" w:rsidP="00D06117">
      <w:pPr>
        <w:pStyle w:val="TextoNormal"/>
      </w:pPr>
    </w:p>
    <w:p w:rsidR="00D06117" w:rsidRDefault="00D06117" w:rsidP="00D06117">
      <w:pPr>
        <w:pStyle w:val="TextoNormal"/>
      </w:pPr>
      <w:r>
        <w:t>b) En cuanto a la duda de constitucionalidad que le suscita el art. 46 de la Ley andaluza 13/2001, de 11 de diciembre, de coordinación de las policías locales, el Juzgado proponente señala que los funcionarios integrantes de los cuerpos de la policía local tienen reconocido el derecho de movilidad, esto es, el derecho a desempeñar puestos de trabajo en otras corporaciones locales distintas de la de procedencia. Así lo establece el art. 17 de la Ley 30/1984, de 2 de agosto, de medidas para la reforma de la función pública, texto legal que resulta de aplicación en virtud de lo dispuesto en el art. 53.3 de la Ley Orgánica 2/1986, de 13 de marzo, de fuerzas y cuerpos de seguridad.</w:t>
      </w:r>
    </w:p>
    <w:p w:rsidR="00D06117" w:rsidRDefault="00D06117" w:rsidP="00D06117">
      <w:pPr>
        <w:pStyle w:val="TextoNormal"/>
      </w:pPr>
    </w:p>
    <w:p w:rsidR="00D06117" w:rsidRDefault="00D06117" w:rsidP="00D06117">
      <w:pPr>
        <w:pStyle w:val="TextoNormal"/>
      </w:pPr>
      <w:r>
        <w:t>Siendo competencia de las Comunidades Autónomas fijar los criterios de selección, formación, promoción y movilidad de las policías locales, de conformidad con el art. 39 c) de la citada Ley Orgánica 2/1986, la Ley andaluza 13/2001 aborda esta cuestión en sus arts. 45 y 46. El primero de ambos artículos reconoce este derecho a la movilidad, en la misma o superior categoría, a otro cuerpo de la policía local de Andalucía, con ocasión de plazas vacantes, y establece el porcentaje de reserva; el art. 46, por su parte, establece los requisitos para acceder a los cuerpos de policía local por el sistema de movilidad sin ascenso y con ascenso.</w:t>
      </w:r>
    </w:p>
    <w:p w:rsidR="00D06117" w:rsidRDefault="00D06117" w:rsidP="00D06117">
      <w:pPr>
        <w:pStyle w:val="TextoNormal"/>
      </w:pPr>
    </w:p>
    <w:p w:rsidR="00D06117" w:rsidRDefault="00D06117" w:rsidP="00D06117">
      <w:pPr>
        <w:pStyle w:val="TextoNormal"/>
      </w:pPr>
      <w:r>
        <w:t>Y, precisamente, lo que se cuestiona, por su posible vulneración de lo dispuesto en los arts. 23.2 y 103.3 CE, es que, como requisito para acceder a los cuerpos de la policía local, con o sin ascenso, se establezca el relativo a faltar más de diez años para el cumplimiento de la edad que determinaría el pase a la situación de segunda actividad. Esto es, se impone un requisito de edad para acceder a esos cuerpos por el sistema de movilidad que resulta contrario a los principios constitucionales de igualdad, mérito y capacidad que han de presidir la regulación legal del acceso a las funciones públicas. Este requisito de edad conlleva que aquellos funcionarios a los que les queden menos de diez años para el cumplimiento de la edad que determinaría el pase a la situación de segunda actividad no puedan acceder a esos cuerpos de la policía local por el sistema de movilidad, posibilidad de acceso que no encuentra esta limitación en relación con aquellos otros funcionarios cuya edad sí permite salvar esta exigencia. En relación con este elemento diferenciador basado en la edad de quien aspira a acceder a una plaza, recuerda el órgano judicial proponente de la cuestión que ya se ha pronunciado el Tribunal Constitucional en STC 37/2004, de 11 de marzo, cuya doctrina se transcribe en el Auto de planteamiento.</w:t>
      </w:r>
    </w:p>
    <w:p w:rsidR="00D06117" w:rsidRDefault="00D06117" w:rsidP="00D06117">
      <w:pPr>
        <w:pStyle w:val="TextoNormal"/>
      </w:pPr>
    </w:p>
    <w:p w:rsidR="00D06117" w:rsidRDefault="00D06117" w:rsidP="00D06117">
      <w:pPr>
        <w:pStyle w:val="TextoNormal"/>
      </w:pPr>
      <w:r>
        <w:t xml:space="preserve">El Juzgado proponente concluye que el precepto cuestionado restringe el acceso por razón de edad a aspirantes que pueden presentar, en su caso, mayores méritos y capacidad, aplicándose de forma indiferenciada a los funcionarios de la policía local que accedan a otros cuerpos de la policía local por el sistema de movilidad. Además, la limitación por razón de edad no aparece, para idénticas plazas a cubrir, en el supuesto de acceso a través del sistema de promoción interna, lo que evidencia que no son las características concretas </w:t>
      </w:r>
      <w:r>
        <w:lastRenderedPageBreak/>
        <w:t>del puesto a cubrir las que justificarían este elemento diferenciador basado en la edad de los aspirantes.</w:t>
      </w:r>
    </w:p>
    <w:p w:rsidR="00D06117" w:rsidRDefault="00D06117" w:rsidP="00D06117">
      <w:pPr>
        <w:pStyle w:val="TextoNormal"/>
      </w:pPr>
    </w:p>
    <w:p w:rsidR="00D06117" w:rsidRDefault="00D06117" w:rsidP="00D06117">
      <w:pPr>
        <w:pStyle w:val="TextoNormal"/>
      </w:pPr>
      <w:r>
        <w:t>De lo dicho deduce que la justificación ofrecida por el Ministerio Fiscal y por los Letrados del Ayuntamiento de Cádiz y de la Junta de Andalucía, según la cual la consecución de la distinción en razón de la edad legalmente establecida responde al fin de garantizar “un buen funcionamiento del servicio de policía en cuanto a equilibrio de plantillas”, no puede considerarse razonable desde una perspectiva constitucional, pues, con independencia de que el funcionario que acceda a la plaza lo haga por uno u otro sistema, tendrá idéntico derecho a pasar a situación de segunda actividad, resultando, pues, irrelevante para mantener la plantilla en activo que quien ocupe la plaza lo haga por uno u otro sistema.</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7 de junio de 2005, la Sección Tercera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la Junta de Andalucía,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de la Junta de Andalucía, lo que se produjo, respecto del primero, el día 20 de junio de 2005.</w:t>
      </w:r>
    </w:p>
    <w:p w:rsidR="00D06117" w:rsidRDefault="00D06117" w:rsidP="00D06117">
      <w:pPr>
        <w:pStyle w:val="TextoNormal"/>
      </w:pPr>
    </w:p>
    <w:p w:rsidR="00D06117" w:rsidRDefault="00D06117" w:rsidP="00D06117">
      <w:pPr>
        <w:pStyle w:val="TextoNormal"/>
      </w:pPr>
      <w:r w:rsidRPr="00D06117">
        <w:rPr>
          <w:rStyle w:val="NumeroAFNegritaCaracter"/>
        </w:rPr>
        <w:t>5</w:t>
      </w:r>
      <w:r>
        <w:t>. El día 23 de junio de 2005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Con fecha 23 de junio de 2003,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en este Tribunal el día 21 de junio de 2005, el Abogado del Estado manifiesta que se persona en el procedimiento y que se abstiene de hacer alegaciones.</w:t>
      </w:r>
    </w:p>
    <w:p w:rsidR="00D06117" w:rsidRDefault="00D06117" w:rsidP="00D06117">
      <w:pPr>
        <w:pStyle w:val="TextoNormal"/>
      </w:pPr>
    </w:p>
    <w:p w:rsidR="00D06117" w:rsidRDefault="00D06117" w:rsidP="00D06117">
      <w:pPr>
        <w:pStyle w:val="TextoNormal"/>
      </w:pPr>
      <w:r w:rsidRPr="00D06117">
        <w:rPr>
          <w:rStyle w:val="NumeroAFNegritaCaracter"/>
        </w:rPr>
        <w:t>8</w:t>
      </w:r>
      <w:r>
        <w:t>. La Junta de Andalucía, en alegaciones presentadas el 4 de julio de 2005, interesa que se dice Sentencia por la que se desestime la cuestión de inconstitucionalidad planteada y se confirme la plena constitucionalidad del art. 46 de la Ley 13/2001, de 11 de diciembre, de coordinación de las policías locales, del Parlamento de Andalucía.</w:t>
      </w:r>
    </w:p>
    <w:p w:rsidR="00D06117" w:rsidRDefault="00D06117" w:rsidP="00D06117">
      <w:pPr>
        <w:pStyle w:val="TextoNormal"/>
      </w:pPr>
    </w:p>
    <w:p w:rsidR="00D06117" w:rsidRDefault="00D06117" w:rsidP="00D06117">
      <w:pPr>
        <w:pStyle w:val="TextoNormal"/>
      </w:pPr>
      <w:r>
        <w:t xml:space="preserve">La representante procesal de la Junta de Andalucía comienza sus alegaciones con una caracterización general del precepto cuestionado, el cual establece los requisitos generales que deben reunir aquellos que pretendan participar en un proceso de provisión de plazas de los cuerpos de policía local por el sistema de movilidad. Ésta, definida y regulada en el artículo anterior, se configura en la Ley como un derecho de los miembros de los cuerpos </w:t>
      </w:r>
      <w:r>
        <w:lastRenderedPageBreak/>
        <w:t>de policía local y se regula como sistema de provisión de plazas a través del cual se permite que quienes ya son miembros de alguno de los cuerpos de policía local dependientes de municipios de Andalucía, puedan, a través de un concurso de méritos, pasar a pertenecer a otro cuerpo de policía diferente dependiente de municipio distinto. Se trata, por tanto, de un sistema de acceso a un cuerpo de policía local limitado para quienes ya ostenten la condición de funcionarios de otros cuerpos de policía local diferentes. Es un sistema de carácter excepcional (frente a los sistemas generales de turno libre y promoción interna) previsto para un determinado porcentaje de las plazas anuales vacantes.</w:t>
      </w:r>
    </w:p>
    <w:p w:rsidR="00D06117" w:rsidRDefault="00D06117" w:rsidP="00D06117">
      <w:pPr>
        <w:pStyle w:val="TextoNormal"/>
      </w:pPr>
    </w:p>
    <w:p w:rsidR="00D06117" w:rsidRDefault="00D06117" w:rsidP="00D06117">
      <w:pPr>
        <w:pStyle w:val="TextoNormal"/>
      </w:pPr>
      <w:r>
        <w:t>Tras la caracterización general del artículo, la Letrada de la Junta de Andalucía procede a argumentar la constitucionalidad del art. 46 de la Ley 31/2011 del Parlamento de Andalucía. Para ello y, puesto que las dudas planteadas por el Juzgado se circunscriben al requisito relativo a “faltar más de diez años para el cumplimiento de la edad que determinaría el pase a segunda actividad”, procede, en primer lugar, a exponer el significado de la situación de segunda actividad, que define como “una situación en la que recibiendo las mismas retribuciones se desempeñan funciones distintas, ocupando puestos de trabajo que pueden estar relacionados con la seguridad o incluso ni eso, exigiendo simplemente la Ley que se encuentre relacionado con alguno de los servicios municipales”.</w:t>
      </w:r>
    </w:p>
    <w:p w:rsidR="00D06117" w:rsidRDefault="00D06117" w:rsidP="00D06117">
      <w:pPr>
        <w:pStyle w:val="TextoNormal"/>
      </w:pPr>
    </w:p>
    <w:p w:rsidR="00D06117" w:rsidRDefault="00D06117" w:rsidP="00D06117">
      <w:pPr>
        <w:pStyle w:val="TextoNormal"/>
      </w:pPr>
      <w:r>
        <w:t>A continuación, la Letrada de la Junta de Andalucía se detiene en la consideración del requisito previsto en el art. 46 para el acceso a un cuerpo de policía local por el sistema de movilidad. Con este requisito se procura una cierta permanencia en el servicio activo, pues las plazas vacantes que se cubran por el sistema de movilidad van a ser ocupadas por funcionarios que van a desempeñar las funciones propias de la policía local durante un período de tiempo dilatado. De este modo, el requisito exigido responde a la finalidad de asegurar el buen funcionamiento del servicio activo de policía. Por otra parte, la edad —recuerda— es uno de los criterios que se ha de tener en cuenta en los procedimientos de ingreso en los diferentes cuerpos de policía local (art. 42 de la Ley del Parlamento de Andalucía 13/2001). Nos hallamos, por consiguiente, ante un requisito objetivo, que se establece con carácter general y abstracto para todos los procedimientos de acceso en un cuerpo de policía local por el sistema de movilidad, y que no impone ninguna restricción discriminatoria o injustificada.</w:t>
      </w:r>
    </w:p>
    <w:p w:rsidR="00D06117" w:rsidRDefault="00D06117" w:rsidP="00D06117">
      <w:pPr>
        <w:pStyle w:val="TextoNormal"/>
      </w:pPr>
    </w:p>
    <w:p w:rsidR="00D06117" w:rsidRDefault="00D06117" w:rsidP="00D06117">
      <w:pPr>
        <w:pStyle w:val="TextoNormal"/>
      </w:pPr>
      <w:r>
        <w:t>Precisamente la finalidad a alcanzar con el requisito del art. 46 —una cierta permanencia en el servicio activo— hace que tal requisito sólo se imponga para el sistema de movilidad, sin que se exija en los procedimientos de promoción interna, que permiten el ascenso profesional de los funcionarios que ya forman parte del mismo cuerpo de policía local. Esta circunstancia lleva a la representación procesal del Gobierno de Andalucía a afirmar que el Auto de planteamiento de la cuestión de inconstitucionalidad no ha empleado un término de comparación adecuado para mantener que la limitación cuestionada resulte discriminatoria o carezca de justificación suficiente.</w:t>
      </w:r>
    </w:p>
    <w:p w:rsidR="00D06117" w:rsidRDefault="00D06117" w:rsidP="00D06117">
      <w:pPr>
        <w:pStyle w:val="TextoNormal"/>
      </w:pPr>
    </w:p>
    <w:p w:rsidR="00D06117" w:rsidRDefault="00D06117" w:rsidP="00D06117">
      <w:pPr>
        <w:pStyle w:val="TextoNormal"/>
      </w:pPr>
      <w:r>
        <w:t>A continuación, con cita de abundante doctrina de este Tribunal, la Letrada de la Junta de Andalucía señala que los arts. 23.2 y 103.3 CE no impiden que en determinados supuestos se impongan ciertos condicionantes al acceso a la función pública, siempre y cuando estos condicionantes no resulten injustificados o arbitrarios, y se impongan con carácter general, de tal modo que el diferente trato derive de la existencia de situaciones distintas que justifiquen tal diferencia.</w:t>
      </w:r>
    </w:p>
    <w:p w:rsidR="00D06117" w:rsidRDefault="00D06117" w:rsidP="00D06117">
      <w:pPr>
        <w:pStyle w:val="TextoNormal"/>
      </w:pPr>
    </w:p>
    <w:p w:rsidR="00D06117" w:rsidRDefault="00D06117" w:rsidP="00D06117">
      <w:pPr>
        <w:pStyle w:val="TextoNormal"/>
      </w:pPr>
      <w:r>
        <w:t>Pues bien, el requisito exigido por el art. 46 de la Ley 13/2001 del Parlamento de Andalucía trata de asegurar que quienes se incorporen a un cuerpo de policía local provenientes de otro cuerpo ejerzan la función propia del cuerpo de policía local durante un tiempo dilatado. Además de asegurar el buen funcionamiento del servicio de policía local, este requisito hace posible que el elevado coste económico que supone para los Ayuntamientos el proceso de selección de personal para el cuerpo de policía local revierta en el propio Ayuntamiento. Por último, se trae a colación la STC 75/1983, de 3 de agosto, pues en la misma, se declaró la constitucionalidad de una norma que, como en el presente caso, preveía un límite de edad (60 años) para acceder por vía de concurso a un puesto en el Ayuntamiento de Barcelona, cuando tal límite de edad no se establecía con carácter general para el desempeño del cargo.</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escrito registrado el día 8 de julio de 2005, el Fiscal General del Estado interesó de este Tribunal que declarase: 1) la inadmisibilidad parcial de la presente cuestión de inconstitucionalidad, en cuanto se entienda dirigida contra el art. 46.1 b) de la Ley 13/2001, de 11 de diciembre del Parlamento de Andalucía, de coordinación de las policías locales, y 2) inconstitucional y nulo el inciso contenido en el art. 46.2 de la misma Ley, concretamente la expresión “y además, faltar más de diez años para el cumplimiento de la edad que determinaría el pase a la situación de segunda actividad”, por ser contraria a los arts. 23.2 y 103.3 CE.</w:t>
      </w:r>
    </w:p>
    <w:p w:rsidR="00D06117" w:rsidRDefault="00D06117" w:rsidP="00D06117">
      <w:pPr>
        <w:pStyle w:val="TextoNormal"/>
      </w:pPr>
    </w:p>
    <w:p w:rsidR="00D06117" w:rsidRDefault="00D06117" w:rsidP="00D06117">
      <w:pPr>
        <w:pStyle w:val="TextoNormal"/>
      </w:pPr>
      <w:r>
        <w:t>En primer término el Fiscal General del Estado señala que el objeto de la presente cuestión de inconstitucionalidad debe limitarse al último inciso del apartado 2, concretamente a la expresión “y además, faltar más de diez años para el cumplimiento de la edad que determinaría el pase a la situación de segunda actividad”, sin que pueda incluir la referencia al señalado requisito de edad que se incluye asimismo en el apartado 1 b) del art. 46 de la Ley 13/2001, de 11 de diciembre del Parlamento de Andalucía.</w:t>
      </w:r>
    </w:p>
    <w:p w:rsidR="00D06117" w:rsidRDefault="00D06117" w:rsidP="00D06117">
      <w:pPr>
        <w:pStyle w:val="TextoNormal"/>
      </w:pPr>
    </w:p>
    <w:p w:rsidR="00D06117" w:rsidRDefault="00D06117" w:rsidP="00D06117">
      <w:pPr>
        <w:pStyle w:val="TextoNormal"/>
      </w:pPr>
      <w:r>
        <w:t>Para el Fiscal General del Estado el citado artículo contempla dos supuestos diferentes —movilidad sin ascenso y movilidad con ascenso— que constituyen dos normas distintas. Aunque el requisito de que no falten más de diez años para el pase a la situación de segunda actividad es el mismo en ambas normas, una de tales normas (la movilidad sin ascenso) no resultaba aplicable en el proceso judicial. Así se desprende de los antecedentes de hecho del Auto que elevó la cuestión de inconstitucionalidad y de la demanda contencioso-administrativa, en la que el entonces recurrente habla constantemente de “promoción” y no de simple traslado.</w:t>
      </w:r>
    </w:p>
    <w:p w:rsidR="00D06117" w:rsidRDefault="00D06117" w:rsidP="00D06117">
      <w:pPr>
        <w:pStyle w:val="TextoNormal"/>
      </w:pPr>
    </w:p>
    <w:p w:rsidR="00D06117" w:rsidRDefault="00D06117" w:rsidP="00D06117">
      <w:pPr>
        <w:pStyle w:val="TextoNormal"/>
      </w:pPr>
      <w:r>
        <w:t>Por consiguiente, y dado que tanto el art. 163 CE como el art. 35.1 LOTC exigen para el planteamiento de una cuestión de inconstitucionalidad que la norma legal resulte aplicable al caso, el Fiscal General del Estado considera que debe declararse inadmisible parcialmente esta cuestión, en la parte referida al apartado 1 b) del art. 46.</w:t>
      </w:r>
    </w:p>
    <w:p w:rsidR="00D06117" w:rsidRDefault="00D06117" w:rsidP="00D06117">
      <w:pPr>
        <w:pStyle w:val="TextoNormal"/>
      </w:pPr>
    </w:p>
    <w:p w:rsidR="00D06117" w:rsidRDefault="00D06117" w:rsidP="00D06117">
      <w:pPr>
        <w:pStyle w:val="TextoNormal"/>
      </w:pPr>
      <w:r>
        <w:t xml:space="preserve">Delimitado el objeto de la cuestión de inconstitucionalidad, el Fiscal General del Estado destaca la similitud del objeto de la misma con la resuelta por la STC 37/2004, de 11 de marzo. En efecto, ambas se refieren a funcionarios de corporaciones locales y en ambas se exige para el ingreso que falten al candidato al menos diez años que se refieren, en el caso resuelto por la Sentencia de 11 de marzo de 2004, a la edad de jubilación y, en el presente caso, para el pase a segunda actividad. La STC 37/2004 declaró inconstitucional y anuló el </w:t>
      </w:r>
      <w:r>
        <w:lastRenderedPageBreak/>
        <w:t>art. 135 b), último inciso, del Real Decreto Legislativo 781/1996 de 18 de abril, por el que se aprueba el texto refundido de las disposiciones legales vigente en materia de régimen local, que se consideró contrario al art. 23.2 CE por establecer un límite máximo de edad no justificado, y que no puede fundarse en cuestiones derivadas del régimen jurídico de los derechos pasivos de los funcionarios.</w:t>
      </w:r>
    </w:p>
    <w:p w:rsidR="00D06117" w:rsidRDefault="00D06117" w:rsidP="00D06117">
      <w:pPr>
        <w:pStyle w:val="TextoNormal"/>
      </w:pPr>
    </w:p>
    <w:p w:rsidR="00D06117" w:rsidRDefault="00D06117" w:rsidP="00D06117">
      <w:pPr>
        <w:pStyle w:val="TextoNormal"/>
      </w:pPr>
      <w:r>
        <w:t>Para el Fiscal General del Estado, la norma cuestionada en la presente cuestión de inconstitucionalidad impone a todas las corporaciones locales, en el supuesto de movilidad, un requisito no exigido para la promoción interna de funcionarios de policía local que ya pertenecían a la plantilla del Ayuntamiento convocante, y lo hace de forma inmotivada, ya que ni el art. 46 ni la propia exposición de motivos de la Ley justifican dicha exigencia añadida, sin que se observen otras razones para justificarla, ya que el plazo exigido es más que suficiente como para asegurar una estabilidad en el empleo efectivo en primera actividad.</w:t>
      </w:r>
    </w:p>
    <w:p w:rsidR="00D06117" w:rsidRDefault="00D06117" w:rsidP="00D06117">
      <w:pPr>
        <w:pStyle w:val="TextoNormal"/>
      </w:pPr>
    </w:p>
    <w:p w:rsidR="00D06117" w:rsidRDefault="00D06117" w:rsidP="00D06117">
      <w:pPr>
        <w:pStyle w:val="TextoNormal"/>
      </w:pPr>
      <w:r>
        <w:t>Por ello el Fiscal General del Estado entiende que estamos ante un requisito contrario a los principios de igualdad, pues la diferente procedencia de los aspirantes a las distintas plazas parece ya cubierta por la previsión de que sólo una proporción de las plazas ofertadas, inferior al 50 por 100, se someten al régimen de movilidad, de modo que se prima la promoción interna de los funcionarios de la entidad local convocante.</w:t>
      </w:r>
    </w:p>
    <w:p w:rsidR="00D06117" w:rsidRDefault="00D06117" w:rsidP="00D06117">
      <w:pPr>
        <w:pStyle w:val="TextoNormal"/>
      </w:pPr>
    </w:p>
    <w:p w:rsidR="00D06117" w:rsidRDefault="00D06117" w:rsidP="00D06117">
      <w:pPr>
        <w:pStyle w:val="TextoNormal"/>
      </w:pPr>
      <w:r w:rsidRPr="00D06117">
        <w:rPr>
          <w:rStyle w:val="NumeroAFNegritaCaracter"/>
        </w:rPr>
        <w:t>10</w:t>
      </w:r>
      <w:r>
        <w:t>. La representación procesal del Parlamento de Andalucía formuló alegaciones el 8 de julio de 2005. En ellas solicita que se declare la inadmisión de la cuestión de inconstitucionalidad por no haberse cumplido adecuadamente el trámite de audiencia previsto en el art. 35.2 LOTC y que, en el caso de no accederse a tal solicitud, se declare la plena constitucionalidad del art. 46 de la Ley 13/2001, de 11 de diciembre, de coordinación de las policías locales, aprobada por el Parlamento de Andalucía.</w:t>
      </w:r>
    </w:p>
    <w:p w:rsidR="00D06117" w:rsidRDefault="00D06117" w:rsidP="00D06117">
      <w:pPr>
        <w:pStyle w:val="TextoNormal"/>
      </w:pPr>
    </w:p>
    <w:p w:rsidR="00D06117" w:rsidRDefault="00D06117" w:rsidP="00D06117">
      <w:pPr>
        <w:pStyle w:val="TextoNormal"/>
      </w:pPr>
      <w:r>
        <w:t>En relación a la primera alegación, el Letrado del Parlamento de Andalucía aduce que el Auto del Juzgado de lo Contencioso-Administrativo núm. 1 de Cádiz de 13 de diciembre de 2004, que, tras estimar el recurso de súplica interpuesto por el Ministerio Fiscal contra la providencia de 8 de noviembre del mismo año, acordó oír a las partes y al Ministerio Fiscal sobre la supuesta inconstitucionalidad del art. 46 de la Ley 13/2001, de coordinación de las policías locales del Parlamento de Andalucía, centraba la duda de constitucionalidad no tanto en el establecimiento del límite por razón de edad para acceder a los cuerpos de policía local por el sistema de movilidad cuanto en el hecho de que tal límite se estableciera sólo respecto de este sistema y no respecto de la promoción interna. A esta cuestión se refirieron las alegaciones de las partes y del Ministerio Fiscal. Sin embargo, el Auto de planteamiento de la cuestión de inconstitucionalidad plantea una duda distinta, centrada en la circunstancia de que se establezca un límite de edad para el acceso a los cuerpos de policía local por el sistema de movilidad, por sí mismo y con independencia de su exigencia o no en otros sistemas de acceso o promoción profesional. Se ha producido, por lo tanto, una alteración esencial de la duda de constitucionalidad sometida a las partes y al Ministerio Fiscal en el trámite de audiencia del art. 35.2 LOTC respecto de la duda de constitucionalidad que finalmente se ha planteado al Tribunal Constitucional.</w:t>
      </w:r>
    </w:p>
    <w:p w:rsidR="00D06117" w:rsidRDefault="00D06117" w:rsidP="00D06117">
      <w:pPr>
        <w:pStyle w:val="TextoNormal"/>
      </w:pPr>
    </w:p>
    <w:p w:rsidR="00D06117" w:rsidRDefault="00D06117" w:rsidP="00D06117">
      <w:pPr>
        <w:pStyle w:val="TextoNormal"/>
      </w:pPr>
      <w:r>
        <w:lastRenderedPageBreak/>
        <w:t>Todavía en relación con el incorrecto cumplimiento de las condiciones procesales para el planteamiento de una cuestión de inconstitucionalidad, el Letrado del Parlamento de Andalucía señala que el Juzgado no ha expresado y motivado de modo adecuado la relevancia del precepto legal cuestionado para resolver el proceso judicial. El Auto de planteamiento no realiza ninguna alusión a una circunstancia esencial para conocer si, en efecto, de la validez del art. 46 de la Ley del Parlamento de Andalucía 13/2001 depende el fallo, siendo esta circunstancia determinar si el recurrente en el proceso judicial posee o no legitimación activa en dicho proceso. Para ello debería cumplir dos requisitos, a saber: 1) tener la categoría de policía en un cuerpo de la policía local de Andalucía distinto de tal cuerpo del municipio de Cádiz, y 2) ser mayor de 45 años de edad, ya que se impugna en vía judicial la exigencia de que para acceder por el sistema de movilidad con ascenso a la categoría de oficial, falten al aspirante más de diez años para el cumplimiento de la edad que determinaría, con relación a esa categoría, el pase a la situación de segunda actividad, edad esta última que el art. 31.1 c) de la Ley del Parlamento de Andalucía 13/2001 fija en 55 años. Pues bien, el órgano judicial en su Auto de planteamiento de la cuestión de inconstitucionalidad no se refiere a ninguna de estas circunstancias sobre las que, por cierto, no consta documento, dato o circunstancia alguno en las actuaciones judiciales. Para el Letrado del Parlamento de Andalucía, el órgano judicial ha planteado la cuestión de inconstitucionalidad “a ciegas” respecto de la legitimación procesal del recurrente y, en consecuencia, para que la Sentencia de éste pueda pronunciarse sobre el fondo del asunto y que el precepto legal objeto de la presente cuestión de inconstitucionalidad resulte relevante.</w:t>
      </w:r>
    </w:p>
    <w:p w:rsidR="00D06117" w:rsidRDefault="00D06117" w:rsidP="00D06117">
      <w:pPr>
        <w:pStyle w:val="TextoNormal"/>
      </w:pPr>
    </w:p>
    <w:p w:rsidR="00D06117" w:rsidRDefault="00D06117" w:rsidP="00D06117">
      <w:pPr>
        <w:pStyle w:val="TextoNormal"/>
      </w:pPr>
      <w:r>
        <w:t>Señalado lo anterior, el Letrado del Parlamento de Andalucía procede a definir el objeto de la cuestión de inconstitucionalidad. Éste, a pesar de que el Auto de planteamiento se refiera al art. 46 in toto, se circunscribe al apartado 2 del art. 46 de la Ley andaluza 13/2001, que es el que regula la movilidad con ascenso, a la que se refiere la base 2.1.C d) del proceso selectivo en cuestión, única que fue impugnada por el recurrente en el correspondiente recurso contencioso-administrativo.</w:t>
      </w:r>
    </w:p>
    <w:p w:rsidR="00D06117" w:rsidRDefault="00D06117" w:rsidP="00D06117">
      <w:pPr>
        <w:pStyle w:val="TextoNormal"/>
      </w:pPr>
    </w:p>
    <w:p w:rsidR="00D06117" w:rsidRDefault="00D06117" w:rsidP="00D06117">
      <w:pPr>
        <w:pStyle w:val="TextoNormal"/>
      </w:pPr>
      <w:r>
        <w:t xml:space="preserve">El Letrado del Parlamento de Andalucía comienza sus alegaciones sobre el fondo del asunto con la indicación de que el Auto de planteamiento de la cuestión de inconstitucionalidad incurre en un error que afecta a toda la argumentación del Juzgado. Tal error consiste en afirmar que “los funcionarios integrantes de los Cuerpos de la Policía Local tienen derecho de movilidad, esto es, de desempeñar puestos de trabajo en otras Corporaciones Locales distintas de la de procedencia, tal como establece el artículo 17.2 de la Ley 30/1984, de 2 de agosto, de Medidas para la Reforma de la Función Pública, texto legal que les resulta de aplicación en virtud de lo dispuesto en el art. 53.3 de la Ley Orgánica 2/1986, de 13 de marzo, de Fuerzas y Cuerpos de Seguridad”. Para el Letrado del Parlamento de Andalucía el señalado art. 17 de la Ley 30/1984 no reconoce el derecho de movilidad, pues su apartado 2 —referido a los funcionarios de la Administración Local— condiciona la movilidad a que la Administración de destino haya previsto la incorporación de funcionarios procedentes de otras Administraciones. De este modo, frente a lo afirmado por el órgano judicial, no existe un derecho a la movilidad, sino una posibilidad de la misma, condicionada a que así se considere oportuna por las Administraciones de destino. Por este motivo, el apartado 1 del mismo art. 17 de la Ley 30/1984 —referido a los funcionarios de la Administración del Estado y de las Comunidades Autónomas— prevé también una movilidad condicionada a </w:t>
      </w:r>
      <w:r>
        <w:lastRenderedPageBreak/>
        <w:t>lo que establezcan las Administraciones de destino. Ello está en concordancia con la Sentencias de la Sala de lo Contencioso-Administrativo del Tribunal Supremo de 12 de mayo de 1994 y del Tribunal Constitucional 156/1998, de 13 de julio.</w:t>
      </w:r>
    </w:p>
    <w:p w:rsidR="00D06117" w:rsidRDefault="00D06117" w:rsidP="00D06117">
      <w:pPr>
        <w:pStyle w:val="TextoNormal"/>
      </w:pPr>
    </w:p>
    <w:p w:rsidR="00D06117" w:rsidRDefault="00D06117" w:rsidP="00D06117">
      <w:pPr>
        <w:pStyle w:val="TextoNormal"/>
      </w:pPr>
      <w:r>
        <w:t>Por otra parte, a diferencia de cuanto establece el Auto de planteamiento de la cuestión de inconstitucionalidad, los cuerpos de la policía local no están sometidos a la Ley 30/1984, de 2 de agosto, sino a la Ley Orgánica 2/1986, de 13 de marzo, de fuerzas y cuerpos de seguridad. Así lo establecieron las SSTC 236/1994 y 237/1994, del Tribunal Constitucional, sin que, por otra parte, pueda entenderse que el art. 53.3 de la Ley Orgánica 2/1986 (introducido por la Ley Orgánica 19/2003, de 23 de diciembre) extienda a los cuerpos de policía local el ámbito de aplicación de la Ley de medidas para la reforma de la función pública.</w:t>
      </w:r>
    </w:p>
    <w:p w:rsidR="00D06117" w:rsidRDefault="00D06117" w:rsidP="00D06117">
      <w:pPr>
        <w:pStyle w:val="TextoNormal"/>
      </w:pPr>
    </w:p>
    <w:p w:rsidR="00D06117" w:rsidRDefault="00D06117" w:rsidP="00D06117">
      <w:pPr>
        <w:pStyle w:val="TextoNormal"/>
      </w:pPr>
      <w:r>
        <w:t>Pues bien, el art. 39 c) de la Ley Orgánica 2/1986 —aplicable, como se ha dicho, a los cuerpos de las policías locales— establece que corresponde a las Comunidades Autónomas fijar los criterios de movilidad de las policías locales. Tal es la base jurídica de la Ley 13/2001 del Parlamento de Andalucía, de coordinación de las policías locales, que regula y configura la movilidad de las policías locales de Andalucía, sin vinculación alguna respecto de otra normativa y desde el reconocimiento de que no existe un derecho de los funcionarios a la movilidad, sino una posibilidad de movilidad condicionada a las relaciones de puestos de trabajo de las Administraciones de destino.</w:t>
      </w:r>
    </w:p>
    <w:p w:rsidR="00D06117" w:rsidRDefault="00D06117" w:rsidP="00D06117">
      <w:pPr>
        <w:pStyle w:val="TextoNormal"/>
      </w:pPr>
    </w:p>
    <w:p w:rsidR="00D06117" w:rsidRDefault="00D06117" w:rsidP="00D06117">
      <w:pPr>
        <w:pStyle w:val="TextoNormal"/>
      </w:pPr>
      <w:r>
        <w:t>A continuación, el Letrado del Parlamento de Andalucía señala que el art. 103.3 CE no resulta de aplicación al presente asunto, pues tal artículo se refiere a los funcionarios públicos y al acceso a la función pública en general, y no a los miembros de las fuerzas y cuerpos de seguridad. Esta circunstancia determina que el juego de los principios de mérito y capacidad respecto del acceso a los cuerpos de la policía local sea distinto del que despliega en relación con los generales supuestos de acceso a la función pública y deba prestar atención a las especificidades y peculiaridades de estos cuerpos.</w:t>
      </w:r>
    </w:p>
    <w:p w:rsidR="00D06117" w:rsidRDefault="00D06117" w:rsidP="00D06117">
      <w:pPr>
        <w:pStyle w:val="TextoNormal"/>
      </w:pPr>
    </w:p>
    <w:p w:rsidR="00D06117" w:rsidRDefault="00D06117" w:rsidP="00D06117">
      <w:pPr>
        <w:pStyle w:val="TextoNormal"/>
      </w:pPr>
      <w:r>
        <w:t>Siendo la edad un factor de especial relevancia, como ha reconocido el Tribunal Constitucional en diversas ocasiones (ATC 66/1987 y STC 22/1981), el legislador ha establecido, en uso del margen de apreciación y decisión que le corresponde, un régimen jurídico peculiar a estos efectos. En dicho régimen la consideración de la situación de segunda actividad —durante la cual los policías locales ya no realizan las funciones propias de éstos— resulta un factor fundamental. Pues bien, la normativa autonómica andaluza reguladora de los cuerpos de la policía local atiende esta realidad cuando establece que para acceder a cualquier cuerpo de la policía local, sea mediante nuevo ingreso o mediante movilidad, el aspirante no puede haber cumplido la edad que determinaría el pase a la situación de segunda actividad debiendo faltarle al menos diez años para pasar a esta situación. Se trata de una limitación con una justificación objetiva, razonable y proporcionada a los fines que persigue, que responde también a las específicas características de los puestos de trabajo a los que se accede (un elemento que según las SSTC 75/1983 y 37/2004 puede justificar el establecimiento de limitaciones de edad para tal acceso).</w:t>
      </w:r>
    </w:p>
    <w:p w:rsidR="00D06117" w:rsidRDefault="00D06117" w:rsidP="00D06117">
      <w:pPr>
        <w:pStyle w:val="TextoNormal"/>
      </w:pPr>
    </w:p>
    <w:p w:rsidR="00D06117" w:rsidRDefault="00D06117" w:rsidP="00D06117">
      <w:pPr>
        <w:pStyle w:val="TextoNormal"/>
      </w:pPr>
      <w:r>
        <w:t xml:space="preserve">Por otra parte, ni la Ley 30/1984 ni otra norma estatal establecen la movilidad como derecho de los miembros de los cuerpos de la policía local de Andalucía. Es precisamente la ley autonómica la que así lo hace, regulando esta figura de un modo preciso en ejercicio del margen de apreciación del que dispone. Así, la Ley regula la movilidad como un sistema </w:t>
      </w:r>
      <w:r>
        <w:lastRenderedPageBreak/>
        <w:t>excepcional de acceso a la función pública que está reservado para quienes ya son miembros de otros cuerpos de la policía local de Andalucía. Este sistema de acceso limita la potestad de autoorganización de los municipios (que deben reservar ciertas plazas a estos efectos). Precisamente para no gravarles con la incorporación de personas que sólo puedan desempeñar las funciones de policía local durante poco tiempo (en razón de su próximo pase a la situación de segunda actividad), pero también, como se ha dicho, en aras de asegurar la eficacia del servicio, la ley establece el límite de edad objeto de consideración. Finalmente, el Letrado del Parlamento de Andalucía defiende la constitucionalidad de que la Ley del Parlamento de Andalucía 13/2001 haya establecido un requisito de edad de movilidad que no se establece para el sistema de promoción interna.</w:t>
      </w:r>
    </w:p>
    <w:p w:rsidR="00D06117" w:rsidRDefault="00D06117" w:rsidP="00D06117">
      <w:pPr>
        <w:pStyle w:val="TextoNormal"/>
      </w:pPr>
    </w:p>
    <w:p w:rsidR="00D06117" w:rsidRDefault="00D06117" w:rsidP="00D06117">
      <w:pPr>
        <w:pStyle w:val="TextoNormal"/>
      </w:pPr>
      <w:r w:rsidRPr="00D06117">
        <w:rPr>
          <w:rStyle w:val="NumeroAFNegritaCaracter"/>
        </w:rPr>
        <w:t>11</w:t>
      </w:r>
      <w:r>
        <w:t>. Por Auto de 28 de febrero de 2012, el Pleno acordó aceptar la abstención de la Magistrada doña Elisa Pérez Vera.</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del día 28 de febrero de 2012 se señaló, para deliberación y votación de la presente Sentencia, el día 1 de marzo del mismo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cuestión de inconstitucionalidad se suscita por el Juez de lo Contencioso-Administrativo núm.1 de Cádiz en relación con el art. 46 de la Ley 13/2001, de 11 de diciembre, del Parlamento de Andalucía, de coordinación de las policías locales, precepto de cuya aplicación depende el fallo del proceso contencioso-administrativo núm. 58-2004, interpuesto por don Juan Sánchez Navajas contra la base 2.1.C d) de la convocatoria del Excmo. Ayuntamiento de Cádiz para cubrir una plaza de oficial de la policía local reservada para movilidad con ascenso publicada en el “Boletín Oficial de la Junta de Andalucía” núm. 34 de fecha 19 de febrero de 2004.</w:t>
      </w:r>
    </w:p>
    <w:p w:rsidR="00D06117" w:rsidRDefault="00D06117" w:rsidP="00D06117">
      <w:pPr>
        <w:pStyle w:val="TextoNormal"/>
      </w:pPr>
    </w:p>
    <w:p w:rsidR="00D06117" w:rsidRDefault="00D06117" w:rsidP="00D06117">
      <w:pPr>
        <w:pStyle w:val="TextoNormal"/>
      </w:pPr>
      <w:r>
        <w:t>El precepto legal que suscita la duda de constitucionalidad es del siguiente tenor literal: “1. Los requisitos para acceder a los Cuerpos de la Policía Local por el sistema de movilidad sin ascenso son los siguientes: a) Antigüedad de cinco años en la categoría; b) Faltar más de diez años para el cumplimiento de la edad que determinaría el pase a la situación de segunda actividad. 2. Para acceder a los Cuerpos de la Policía Local por el sistema de movilidad con ascenso se exigen los mismos requisitos establecidos para la promoción interna y, además, faltar más de diez años para el cumplimiento de la edad que determinaría el pase a la situación de segunda actividad.”</w:t>
      </w:r>
    </w:p>
    <w:p w:rsidR="00D06117" w:rsidRDefault="00D06117" w:rsidP="00D06117">
      <w:pPr>
        <w:pStyle w:val="TextoNormal"/>
      </w:pPr>
    </w:p>
    <w:p w:rsidR="00D06117" w:rsidRDefault="00D06117" w:rsidP="00D06117">
      <w:pPr>
        <w:pStyle w:val="TextoNormal"/>
      </w:pPr>
      <w:r w:rsidRPr="00D06117">
        <w:rPr>
          <w:rStyle w:val="NumeroAFNegritaCaracter"/>
        </w:rPr>
        <w:t>2</w:t>
      </w:r>
      <w:r>
        <w:t>. El órgano judicial cuestiona, por su posible vulneración con los arts. 23.2 y 103.3 CE, que el art. 46 de la Ley 13/2001 del Parlamento de Andalucía establezca como requisito para acceder a los cuerpos de la policía local, con o sin ascenso, el relativo a faltar más de diez años para el cumplimiento de la edad que determinaría el pase a la situación de segunda actividad. Esta disposición supone la imposición de un requisito de edad que resulta contrario a los principios constitucionales de igualdad, mérito y capacidad que han de presidir la regulación legal del acceso a las funciones públicas. Así lo ha señalado el Tribunal Constitucional en su Sentencia 37/2004, de 11 de junio, cuya doctrina transcribe en el Auto de planteamiento.</w:t>
      </w:r>
    </w:p>
    <w:p w:rsidR="00D06117" w:rsidRDefault="00D06117" w:rsidP="00D06117">
      <w:pPr>
        <w:pStyle w:val="TextoNormal"/>
      </w:pPr>
    </w:p>
    <w:p w:rsidR="00D06117" w:rsidRDefault="00D06117" w:rsidP="00D06117">
      <w:pPr>
        <w:pStyle w:val="TextoNormal"/>
      </w:pPr>
      <w:r>
        <w:t>El Fiscal General del Estado apoya la concurrencia del primer motivo de inconstitucionalidad propuesto por el órgano judicial. Por su parte, ni la Junta de Andalucía ni el Parlamento de la Comunidad Autónoma aceptan las tachas de inconstitucionalidad propuestas por el Juez de lo Contencioso ante el que se tramita el proceso judicial a quo.</w:t>
      </w:r>
    </w:p>
    <w:p w:rsidR="00D06117" w:rsidRDefault="00D06117" w:rsidP="00D06117">
      <w:pPr>
        <w:pStyle w:val="TextoNormal"/>
      </w:pPr>
    </w:p>
    <w:p w:rsidR="00D06117" w:rsidRDefault="00D06117" w:rsidP="00D06117">
      <w:pPr>
        <w:pStyle w:val="TextoNormal"/>
      </w:pPr>
      <w:r w:rsidRPr="00D06117">
        <w:rPr>
          <w:rStyle w:val="NumeroAFNegritaCaracter"/>
        </w:rPr>
        <w:t>3</w:t>
      </w:r>
      <w:r>
        <w:t>. Con carácter previo, debemos precisar el objeto de la presente cuestión de inconstitucionalidad. Atendemos así el óbice formulado tanto por el Fiscal General del Estado como por el Letrado del Parlamento de Andalucía, para quienes la cuestión ha de limitarse al último inciso del apartado 2 del art. 46 de la Ley 13/2001 del Parlamento de Andalucía, sin referirse al requisito de edad incluido en la letra b) del apartado 1 del mismo art. 46.</w:t>
      </w:r>
    </w:p>
    <w:p w:rsidR="00D06117" w:rsidRDefault="00D06117" w:rsidP="00D06117">
      <w:pPr>
        <w:pStyle w:val="TextoNormal"/>
      </w:pPr>
    </w:p>
    <w:p w:rsidR="00D06117" w:rsidRDefault="00D06117" w:rsidP="00D06117">
      <w:pPr>
        <w:pStyle w:val="TextoNormal"/>
      </w:pPr>
      <w:r>
        <w:t>A estos efectos debemos recordar que la resolución que ha sido impugnada en el proceso es la base 2.1 C) de la convocatoria para la cobertura de nueve plazas de oficial de policía local del Ayuntamiento de Cádiz, relativa a los “Aspirantes que accedan por el turno de movilidad con ascenso” (sistema para que el que se reserva una plaza). Esta disposición tiene apoyo directo en el apartado 2 del art. 46 de la Ley del Parlamento de Andalucía 13/2001 y, más en concreto, en la expresión “y además, faltar más de diez años para el cumplimiento de la edad que determinaría el pase a la situación de segunda actividad”. Este último es, por consiguiente, el objeto preciso de la presente cuestión de inconstitucionalidad, de modo que, como sostiene el Fiscal General del Estado, procede declarar inadmisible la presente cuestión de inconstitucionalidad en la parte relativa al art. 46.1 de la Ley 13/2001, de 11 de diciembre del Parlamento de Andalucía, de coordinación de las policías locales, que establece los requisitos para acceder a los cuerpos de la policía local por el sistema de movilidad sin ascenso.</w:t>
      </w:r>
    </w:p>
    <w:p w:rsidR="00D06117" w:rsidRDefault="00D06117" w:rsidP="00D06117">
      <w:pPr>
        <w:pStyle w:val="TextoNormal"/>
      </w:pPr>
    </w:p>
    <w:p w:rsidR="00D06117" w:rsidRDefault="00D06117" w:rsidP="00D06117">
      <w:pPr>
        <w:pStyle w:val="TextoNormal"/>
      </w:pPr>
      <w:r w:rsidRPr="00D06117">
        <w:rPr>
          <w:rStyle w:val="NumeroAFNegritaCaracter"/>
        </w:rPr>
        <w:t>4</w:t>
      </w:r>
      <w:r>
        <w:t>. El núcleo de la controversia suscitada se contrae al determinar si el art. 46.2 de la Ley del Parlamento de Andalucía 13/2001, de coordinación de las policías locales, infringe los arts. 23.2 y 103.3 CE al establecer un requisito de edad para el acceso a otros cuerpos de policía local por el sistema de movilidad con ascenso.</w:t>
      </w:r>
    </w:p>
    <w:p w:rsidR="00D06117" w:rsidRDefault="00D06117" w:rsidP="00D06117">
      <w:pPr>
        <w:pStyle w:val="TextoNormal"/>
      </w:pPr>
    </w:p>
    <w:p w:rsidR="00D06117" w:rsidRDefault="00D06117" w:rsidP="00D06117">
      <w:pPr>
        <w:pStyle w:val="TextoNormal"/>
      </w:pPr>
      <w:r>
        <w:t>A los efectos de delimitar el ámbito de aplicación del artículo objeto de controversia, procede indicar que el señalado límite de edad no se establece para todos los funcionarios públicos locales, sino exclusivamente para los funcionarios de los cuerpos de policía local (es decir, para la provisión de determinadas plazas de la función pública local); aún más, tratándose de la posibilidad de acceso por el “sistema de movilidad” no puede afirmarse que nos hallemos ante una convocatoria de acceso a la función pública, sino ante una posibilidad concreta que se ofrece a quienes, ostentando ya la cualidad de funcionarios de la policía local de un Ayuntamiento, pretendan optar a otros puestos de cuerpos de policía local de distinto Ayuntamiento. Precisamente por ello la Ley andaluza de coordinación de policías locales establece tal límite de edad para el “sistema de movilidad”, sin extenderlo a la promoción interna pues en este último caso nos hallamos ante la promoción del funcionario dentro del cuerpo al que pertenece, mientras que en la movilidad (con o sin ascenso) la persona de que se trate ingresa ex novo en un cuerpo de policía local diferente.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Este Tribunal ha tenido ocasión de considerar en diversas ocasiones la introducción de la edad como circunstancia objetiva que actúa como elemento diferenciador en el acceso a las funciones públicas.</w:t>
      </w:r>
    </w:p>
    <w:p w:rsidR="00D06117" w:rsidRDefault="00D06117" w:rsidP="00D06117">
      <w:pPr>
        <w:pStyle w:val="TextoNormal"/>
      </w:pPr>
    </w:p>
    <w:p w:rsidR="00D06117" w:rsidRDefault="00D06117" w:rsidP="00D06117">
      <w:pPr>
        <w:pStyle w:val="TextoNormal"/>
      </w:pPr>
      <w:r>
        <w:t>Con carácter preliminar debe recordarse que el derecho de acceso en condiciones de igualdad a las funciones públicas no prohíbe que el legislador pueda tomar en consideración la edad de los aspirantes o cualquier otra condición personal.</w:t>
      </w:r>
    </w:p>
    <w:p w:rsidR="00D06117" w:rsidRDefault="00D06117" w:rsidP="00D06117">
      <w:pPr>
        <w:pStyle w:val="TextoNormal"/>
      </w:pPr>
    </w:p>
    <w:p w:rsidR="00D06117" w:rsidRDefault="00D06117" w:rsidP="00D06117">
      <w:pPr>
        <w:pStyle w:val="TextoNormal"/>
      </w:pPr>
      <w:r>
        <w:t>Así, la Sentencia 63/2011, de 6 de junio (recogiendo la STC 200/2001, de 4 de octubre, a su vez reproducida in extenso en la STC 59/2008, de 14 de mayo), concluye que por lo que se refiere a la edad como factor de discriminación la hemos considerado “una de las condiciones o circunstancias incluidas en la fórmula abierta con la que se cierra la regla de aplicación de discriminación incluida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 como de control de normas con rango de ley” (FJ 3).</w:t>
      </w:r>
    </w:p>
    <w:p w:rsidR="00D06117" w:rsidRDefault="00D06117" w:rsidP="00D06117">
      <w:pPr>
        <w:pStyle w:val="TextoNormal"/>
      </w:pPr>
    </w:p>
    <w:p w:rsidR="00D06117" w:rsidRDefault="00D06117" w:rsidP="00D06117">
      <w:pPr>
        <w:pStyle w:val="TextoNormal"/>
      </w:pPr>
      <w:r>
        <w:t>Este criterio —“en cuanto la edad es en sí un elemento diferenciador será legítima una decisión legislativa que, atendiendo a ese elemento diferenciador, y a las características del puesto de que se trate, fije objetivamente límites de edad que supongan, para los que lo hayan rebasado, la imposibilidad de acceder a estos puestos”— estaba ya presente en nuestra primera jurisprudencia, en particular, en la STC 75/1983, de 3 de agosto (FJ 3), en la que en razón del mismo sostuvimos que el establecimiento legal de la edad máxima de sesenta años para el acceso al cargo de interventor en los municipios de régimen especial de Barcelona y Madrid no era inconstitucional, pues, se trata “con dicho límite de evitar que tal cargo se adjudique a funcionarios que por poseer una mayor antigüedad en la carrera, … les reste un plazo relativamente breve para la jubilación, de modo que apenas tengan tiempo suficiente para imponerse de los importantes cometidos que la Ley les impone desarrollar, ni conocer las peculiaridades del Ayuntamiento cuyos fondos ha de intervenir, influyendo de manera decisiva en el desempeño del servicio personal y en el que ha de prestarse públicamente a favor de los ciudadanos. Deficiencias y perjuicios que se evitan con dicha medida, que permiten que al tenerse acceso al cargo a una edad alejada moderadamente de la jubilación, se garantice una indispensable permanencia en el cargo con la reserva de que si se produce el cese antes de la jubilación, el cargo queda abierto a los que cumplan aquella exigencia de edad no superior a los sesenta años”. De suerte que “la diferenciación no constituye un específico privilegio —o su contrario, una discriminación— por razón de la edad, sino una definición objetiva y general de las condiciones que han de reunir los interventores que quieran acceder a los municipios de régimen especial” (FJ 6).</w:t>
      </w:r>
    </w:p>
    <w:p w:rsidR="00D06117" w:rsidRDefault="00D06117" w:rsidP="00D06117">
      <w:pPr>
        <w:pStyle w:val="TextoNormal"/>
      </w:pPr>
    </w:p>
    <w:p w:rsidR="00D06117" w:rsidRDefault="00D06117" w:rsidP="00D06117">
      <w:pPr>
        <w:pStyle w:val="TextoNormal"/>
      </w:pPr>
      <w:r>
        <w:t>Esta doctrina se recuerda en la STC 37/2004, de 11 de marzo, que el Juzgado proponente de la cuestión cita en apoyo de su tesis. En esa Sentencia se declaró la inconstitucionalidad y consiguiente nulidad del último inciso del art. 135 b) del texto refundido de las disposiciones legales vigentes en materia de régimen local, por vulneración del derecho a la igualdad en el acceso a las funciones públicas (art. 23.2 CE), al establecer el precepto anulado un límite máximo de edad para opositar a puestos en la función pública local (“no exceder de aquélla en que falten menos de diez años para la jubilación forzosa por edad, determinada por la legislación básica en materia de función pública”).</w:t>
      </w:r>
    </w:p>
    <w:p w:rsidR="00D06117" w:rsidRDefault="00D06117" w:rsidP="00D06117">
      <w:pPr>
        <w:pStyle w:val="TextoNormal"/>
      </w:pPr>
    </w:p>
    <w:p w:rsidR="00D06117" w:rsidRDefault="00D06117" w:rsidP="00D06117">
      <w:pPr>
        <w:pStyle w:val="TextoNormal"/>
      </w:pPr>
      <w:r>
        <w:t>La STC 37/2004, tras recordar —con cita de la STC 75/1983— que el derecho de acceso en condiciones de igualdad a las funciones públicas (art. 23.2 CE) no prohíbe que el legislador pueda tomar en consideración la edad de los aspirantes, o cualquier otra condición personal, siempre que esa diferenciación de trato obedezca a una justificación razonable, llega a la conclusión de que el establecimiento de un límite máximo de edad para opositar a puestos en la función pública local no encuentra una explicación razonable desde la perspectiva constitucional. En el fundamento jurídico 6 de la Sentencia puede leerse: “No lo es, en absoluto, que tal exigencia pueda derivarse del régimen jurídico de los derechos pasivos de tal tipo de funcionarios … porque restringe, indebidamente, el derecho de acceso a aspirantes que pueden presentar, potencialmente, mayores méritos y capacidad. Tampoco puede justificarse una disposición como la contenida en el último inciso del art. 135 b) del Real Decreto Legislativo 781/1986 en la conveniencia de que determinadas plazas sean cubiertas de forma estable por el simple motivo de que el legislador la ha referido a toda la función pública local. En nuestra STC 75/1983, de 3 de agosto, hemos señalado que puede ser justificable que la provisión de determinadas plazas de la función pública contenga exigencias específicas de edad derivadas de las peculiaridades de los concretos puestos a cubrir. Pero tal posibilidad no opera cuando, como aquí es el caso, la norma se aplica de forma indiferenciada a todos los funcionarios públicos locales”.</w:t>
      </w:r>
    </w:p>
    <w:p w:rsidR="00D06117" w:rsidRDefault="00D06117" w:rsidP="00D06117">
      <w:pPr>
        <w:pStyle w:val="TextoNormal"/>
      </w:pPr>
    </w:p>
    <w:p w:rsidR="00D06117" w:rsidRDefault="00D06117" w:rsidP="00D06117">
      <w:pPr>
        <w:pStyle w:val="TextoNormal"/>
      </w:pPr>
      <w:r>
        <w:t>En consecuencia, la constitucionalidad o no de la norma que introduce la diferenciación de trato por razón de la edad como circunstancia objetiva en el acceso a las funciones públicas dependerá de cada supuesto en particular, de modo que la norma será inconstitucional en los supuestos en los que no exista para tal diferenciación de trato justificación razonable (STC 37/2004), y, en cambio, será constitucional cuando la diferenciación de trato por razón de la edad responda a una definición objetiva y general de las condiciones que debían reunir quienes querían acceder a los puestos de que se trate; diferenciación, por otra parte, que ha de justificarse debidamente (STC 75/1983).</w:t>
      </w:r>
    </w:p>
    <w:p w:rsidR="00D06117" w:rsidRDefault="00D06117" w:rsidP="00D06117">
      <w:pPr>
        <w:pStyle w:val="TextoNormal"/>
      </w:pPr>
    </w:p>
    <w:p w:rsidR="00D06117" w:rsidRDefault="00D06117" w:rsidP="00D06117">
      <w:pPr>
        <w:pStyle w:val="TextoNormal"/>
      </w:pPr>
      <w:r>
        <w:t>Por lo tanto, hemos de determinar, ahora, si la diferenciación de trato obedece a una definición objetiva y general y, debemos asimismo, analizar las razones que, en opinión de los órganos autonómicos, justifican la prohibición de participación en los procesos de acceso por el turno de movilidad con ascenso a los cuerpos de policía local de Andalucía.</w:t>
      </w:r>
    </w:p>
    <w:p w:rsidR="00D06117" w:rsidRDefault="00D06117" w:rsidP="00D06117">
      <w:pPr>
        <w:pStyle w:val="TextoNormal"/>
      </w:pPr>
    </w:p>
    <w:p w:rsidR="00D06117" w:rsidRDefault="00D06117" w:rsidP="00D06117">
      <w:pPr>
        <w:pStyle w:val="TextoNormal"/>
      </w:pPr>
      <w:r w:rsidRPr="00D06117">
        <w:rPr>
          <w:rStyle w:val="NumeroAFNegritaCaracter"/>
        </w:rPr>
        <w:t>6</w:t>
      </w:r>
      <w:r>
        <w:t>. El artículo objeto de controversia introduce la edad como circunstancia objetiva que actúa como elemento diferenciador a partir de la consideración de las características de la plaza y de las consecuencias que la cobertura de la misma por una persona mayor de la edad establecida ocasionaría al servicio en el municipio receptor.</w:t>
      </w:r>
    </w:p>
    <w:p w:rsidR="00D06117" w:rsidRDefault="00D06117" w:rsidP="00D06117">
      <w:pPr>
        <w:pStyle w:val="TextoNormal"/>
      </w:pPr>
    </w:p>
    <w:p w:rsidR="00D06117" w:rsidRDefault="00D06117" w:rsidP="00D06117">
      <w:pPr>
        <w:pStyle w:val="TextoNormal"/>
      </w:pPr>
      <w:r>
        <w:t xml:space="preserve">Así es por cuanto el art. 28 de la Ley de coordinación de policías locales de Andalucía prevé que “los municipios, al objeto de garantizar una adecuada aptitud psicofísica en la prestación de los servicios de Policía Local, establecerán la situación de segunda actividad”, una situación administrativa, añade el párrafo 2 de este artículo, “en la que se permanecerá hasta el pase a la jubilación u otra situación que no podrá ser la de servicio activo, salvo que el pase a la situación de segunda actividad se produzca como consecuencia de la pérdida de aptitudes psicofísicas y que las causas que lo motivaron hayan desaparecido”. En esta situación administrativa pueden encontrarse los funcionarios de la policía local en los que concurra alguna de las causas establecidas por el art. 29 de la citada ley, particularmente, el </w:t>
      </w:r>
      <w:r>
        <w:lastRenderedPageBreak/>
        <w:t>cumplimiento de las edades que la propia Ley determina para cada escala [que en el caso de los oficiales, pertenecientes a la escala básica, es la edad de 55 años (art. 31.1)].</w:t>
      </w:r>
    </w:p>
    <w:p w:rsidR="00D06117" w:rsidRDefault="00D06117" w:rsidP="00D06117">
      <w:pPr>
        <w:pStyle w:val="TextoNormal"/>
      </w:pPr>
    </w:p>
    <w:p w:rsidR="00D06117" w:rsidRDefault="00D06117" w:rsidP="00D06117">
      <w:pPr>
        <w:pStyle w:val="TextoNormal"/>
      </w:pPr>
      <w:r>
        <w:t>En la situación de segunda actividad, el funcionario de la policía local queda excluido de actuaciones policiales operativas, pasando a desarrollar sus funciones “en otro puesto de trabajo adecuado a la categoría que se ostente y determinado por el municipio, preferentemente en el área de seguridad, y si ello no fuese posible, en otros servicios municipales” (art. 30.1). La inclusión de la situación de segunda actividad obedece, al decir de la exposición de motivos de la ley, a la voluntad de “acercar más su régimen [el propio de los Cuerpos de Policía Local de Andalucía] al de otros Cuerpos de Seguridad” y, como se ha indicado, el fundamento del pase a situación de segunda actividad es el de “garantizar una adecuada aptitud psicofísica en la prestación de los servicios de la Policía Local” (art. 28.1).</w:t>
      </w:r>
    </w:p>
    <w:p w:rsidR="00D06117" w:rsidRDefault="00D06117" w:rsidP="00D06117">
      <w:pPr>
        <w:pStyle w:val="TextoNormal"/>
      </w:pPr>
    </w:p>
    <w:p w:rsidR="00D06117" w:rsidRDefault="00D06117" w:rsidP="00D06117">
      <w:pPr>
        <w:pStyle w:val="TextoNormal"/>
      </w:pPr>
      <w:r>
        <w:t>Así las cosas, la situación de segunda actividad produce no sólo una merma en el número de funcionarios de la policía local capacitados para realizar actuaciones policiales operativas disponibles en el municipio, sino también un aumento de los costes de personal del correspondiente Ayuntamiento, no sólo porque para mantener la proporcionalidad entre las diferentes categorías entre las plantillas de los cuerpos de policía local (exigencia establecida por la disposición transitoria novena) será preciso reponer al funcionario que ha pasado a la situación de segunda actividad, sino también porque éste ha de percibir las mismas “retribuciones básicas y complementarias, salvo aquellas vinculadas al puesto de trabajo o destino concreto que previamente desempeñaba” (art. 30.2).</w:t>
      </w:r>
    </w:p>
    <w:p w:rsidR="00D06117" w:rsidRDefault="00D06117" w:rsidP="00D06117">
      <w:pPr>
        <w:pStyle w:val="TextoNormal"/>
      </w:pPr>
    </w:p>
    <w:p w:rsidR="00D06117" w:rsidRDefault="00D06117" w:rsidP="00D06117">
      <w:pPr>
        <w:pStyle w:val="TextoNormal"/>
      </w:pPr>
      <w:r>
        <w:t>De este modo la consecuencia para el municipio que recibiese a un aspirante con una edad más o menos cercana a la que supondría el pase a la segunda actividad, supondría un grave perjuicio para el propio municipio; perjuicio, sin duda, económico pero también en la prestación del servicio al ciudadano.</w:t>
      </w:r>
    </w:p>
    <w:p w:rsidR="00D06117" w:rsidRDefault="00D06117" w:rsidP="00D06117">
      <w:pPr>
        <w:pStyle w:val="TextoNormal"/>
      </w:pPr>
    </w:p>
    <w:p w:rsidR="00D06117" w:rsidRDefault="00D06117" w:rsidP="00D06117">
      <w:pPr>
        <w:pStyle w:val="TextoNormal"/>
      </w:pPr>
      <w:r>
        <w:t>Por tanto, el motivo de la diferenciación en razón de la edad contemplado en el art. 46 de la Ley del Parlamento de Andalucía 13/2001, de 11 de diciembre, de coordinación de las Policías locales, se encuentra en razones derivadas de las características de la plaza y de las consecuencias que la cobertura de la misma por una persona mayor de la edad establecida ocasionaría al servicio en el municipio receptor.</w:t>
      </w:r>
    </w:p>
    <w:p w:rsidR="00D06117" w:rsidRDefault="00D06117" w:rsidP="00D06117">
      <w:pPr>
        <w:pStyle w:val="TextoNormal"/>
      </w:pPr>
    </w:p>
    <w:p w:rsidR="00D06117" w:rsidRDefault="00D06117" w:rsidP="00D06117">
      <w:pPr>
        <w:pStyle w:val="TextoNormal"/>
      </w:pPr>
      <w:r>
        <w:t>Como se ha avanzado, la justificación ofrecida es doble. En primer lugar, descansa en argumentos de estabilidad de plantillas y ahorro de costes de personal. Se sostiene, en efecto, que el pase de los policías locales a la situación de segunda actividad al cumplir la edad legalmente prevista produce una merma en el número de funcionarios de la policía local disponibles en el municipio para las tareas propias de la policía local (“funciones operativas”), que obliga a reclutar nuevos funcionarios para esas funciones, con el consiguiente aumento de los costes de personal, que represente de manera inconveniente en los municipios al recibir en su cuerpo de Policía local a funcionarios de otras policías locales que tengan una edad cercana a la que supondría el pase a la segunda actividad. En definitiva, lo que se pretende es que los funcionarios de un cuerpo de Policía local que accedan por el sistema de movilidad a otro cuerpo de Policía local de distinto municipio, lo hagan a una edad que garantice una mínima duración (al menos diez años) en el desempeño de las actuaciones operativas de la policía local en este municipio, antes de que se produzca el pase a la situación de segunda actividad.</w:t>
      </w:r>
    </w:p>
    <w:p w:rsidR="00D06117" w:rsidRDefault="00D06117" w:rsidP="00D06117">
      <w:pPr>
        <w:pStyle w:val="TextoNormal"/>
      </w:pPr>
    </w:p>
    <w:p w:rsidR="00D06117" w:rsidRDefault="00D06117" w:rsidP="00D06117">
      <w:pPr>
        <w:pStyle w:val="TextoNormal"/>
      </w:pPr>
      <w:r>
        <w:t>Como segundo argumento se hace referencia a las específicas características de trabajo a los que se accede, indicándose que el límite de edad objeto de consideración tiene como finalidad asegurar la eficacia del servicio activo de policía, ya que con este requisito se procura una cierta permanencia en el servicio activo.</w:t>
      </w:r>
    </w:p>
    <w:p w:rsidR="00D06117" w:rsidRDefault="00D06117" w:rsidP="00D06117">
      <w:pPr>
        <w:pStyle w:val="TextoNormal"/>
      </w:pPr>
    </w:p>
    <w:p w:rsidR="00D06117" w:rsidRDefault="00D06117" w:rsidP="00D06117">
      <w:pPr>
        <w:pStyle w:val="TextoNormal"/>
      </w:pPr>
      <w:r>
        <w:t>En consecuencia, los argumentos ofrecidos en este proceso constitucional en pro de la incorporación en las normas de acceso a la función pública local de un requisito relacionado con la edad que no guarda relación con los principios de mérito y capacidad constitucionalmente establecidos (art. 103.3 CE), resultan razonables desde la perspectiva del art. 23.2 CE, por lo que el art. 46 de la Ley 13/2001, de 11 de diciembre, del Parlamento de Andalucía, de coordinación de policías locales no vulnera los arts. 23.2 y 103.3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Inadmitir la presente cuestión de inconstitucionalidad en la parte relativa al art. 46.1 de la Ley 13/2001, de 11 de diciembre del Parlamento de Andalucía, de coordinación de las policías locales.</w:t>
      </w:r>
    </w:p>
    <w:p w:rsidR="00D06117" w:rsidRDefault="00D06117" w:rsidP="00D06117">
      <w:pPr>
        <w:pStyle w:val="TextoNormal"/>
      </w:pPr>
    </w:p>
    <w:p w:rsidR="00D06117" w:rsidRDefault="00D06117" w:rsidP="00D06117">
      <w:pPr>
        <w:pStyle w:val="TextoNormal"/>
      </w:pPr>
      <w:r>
        <w:t>2º Desestimar la cuestión de inconstitucionalidad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uno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3" w:name="SENTENCIA_2012_30"/>
      <w:r>
        <w:lastRenderedPageBreak/>
        <w:t>SENTENCIA 30/2012, de 1 de marzo de 2012</w:t>
      </w:r>
    </w:p>
    <w:bookmarkEnd w:id="3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75, de 28 de marzo de 2012)</w:t>
      </w:r>
    </w:p>
    <w:p w:rsidR="00D06117" w:rsidRDefault="00D06117" w:rsidP="00D06117">
      <w:pPr>
        <w:pStyle w:val="TtuloBOE"/>
      </w:pPr>
    </w:p>
    <w:p w:rsidR="00D06117" w:rsidRDefault="00D06117" w:rsidP="00D06117">
      <w:pPr>
        <w:pStyle w:val="SntesisDescriptiva"/>
      </w:pPr>
      <w:r>
        <w:t>ECLI:ES:TC:2012:30</w:t>
      </w:r>
    </w:p>
    <w:p w:rsidR="00D06117" w:rsidRDefault="00D06117" w:rsidP="00D06117">
      <w:pPr>
        <w:pStyle w:val="SntesisDescriptiva"/>
      </w:pPr>
    </w:p>
    <w:p w:rsidR="00D06117" w:rsidRDefault="00D06117" w:rsidP="00D06117">
      <w:pPr>
        <w:pStyle w:val="SntesisDescriptiva"/>
      </w:pPr>
      <w:r>
        <w:t>Cuestión de inconstitucionalidad 5277-2011. Planteada por el Juzgado de lo Contencioso-Administrativo núm. 2 de Alicante en relación con el párrafo tercero del art. 73.3 de la Ley 7/1985, de 2 de abril, reguladora de las bases de régimen local.</w:t>
      </w:r>
    </w:p>
    <w:p w:rsidR="00D06117" w:rsidRDefault="00D06117" w:rsidP="00D06117">
      <w:pPr>
        <w:pStyle w:val="SntesisDescriptiva"/>
      </w:pPr>
    </w:p>
    <w:p w:rsidR="00D06117" w:rsidRDefault="00D06117" w:rsidP="00D06117">
      <w:pPr>
        <w:pStyle w:val="SntesisAnaltica"/>
      </w:pPr>
      <w:r>
        <w:t>Igualdad en el ejercicio de las funciones representativas: validez del precepto legal que regula los derechos económicos y políticos de los concejales no adscritos; nombramiento para cargos relacionados con el gobierno y administración del municipio que no forma parte del núcleo esencial de las funciones representativas de los concejales (STC 9/2012).</w:t>
      </w:r>
    </w:p>
    <w:p w:rsidR="00D06117" w:rsidRDefault="00D06117" w:rsidP="00D06117">
      <w:pPr>
        <w:pStyle w:val="SntesisAnaltica"/>
      </w:pPr>
    </w:p>
    <w:p w:rsidR="00D06117" w:rsidRDefault="00D06117" w:rsidP="00D06117">
      <w:pPr>
        <w:pStyle w:val="Extracto"/>
      </w:pPr>
      <w:r>
        <w:t>1.</w:t>
      </w:r>
      <w:r>
        <w:tab/>
        <w:t>La cuestión interpuesta por el Juzgado de lo Contencioso-Administrativo de Alicante ha quedado ya resuelta por la STC 9/2012, que desestimó otra cuestión de inconstitucionalidad promovida por el mismo órgano jurisdiccional en relación con el mismo precepto, a la que debemos remitirnos [FJ 4].</w:t>
      </w:r>
    </w:p>
    <w:p w:rsidR="00D06117" w:rsidRDefault="00D06117" w:rsidP="00D06117">
      <w:pPr>
        <w:pStyle w:val="Extracto"/>
      </w:pPr>
    </w:p>
    <w:p w:rsidR="00D06117" w:rsidRDefault="00D06117" w:rsidP="00D06117">
      <w:pPr>
        <w:pStyle w:val="Extracto"/>
      </w:pPr>
      <w:r>
        <w:t>2.</w:t>
      </w:r>
      <w:r>
        <w:tab/>
        <w:t>El artículo impugnado, en cuanto impide al representante no adscrito ser elegido Teniente de Alcalde, cuando el resto de concejales de la corporación pueden optar a dichos cargos no vulnera el art. 23 CE ya que el nombramiento para cargos relacionados con el gobierno y la administración del municipio no se integra en el núcleo esencial de las funciones representativas del concejal (STC 9/2012) [FJ 4].</w:t>
      </w:r>
    </w:p>
    <w:p w:rsidR="00D06117" w:rsidRDefault="00D06117" w:rsidP="00D06117">
      <w:pPr>
        <w:pStyle w:val="Extracto"/>
      </w:pPr>
    </w:p>
    <w:p w:rsidR="00D06117" w:rsidRDefault="00D06117" w:rsidP="00D06117">
      <w:pPr>
        <w:pStyle w:val="Extracto"/>
      </w:pPr>
      <w:r>
        <w:t>3.</w:t>
      </w:r>
      <w:r>
        <w:tab/>
        <w:t>Doctrina sobre concejales no adscritos (STC 9/2012) [FJ 4].</w:t>
      </w:r>
    </w:p>
    <w:p w:rsidR="00D06117" w:rsidRDefault="00D06117" w:rsidP="00D06117">
      <w:pPr>
        <w:pStyle w:val="Extracto"/>
      </w:pPr>
    </w:p>
    <w:p w:rsidR="00D06117" w:rsidRDefault="00D06117" w:rsidP="00D06117">
      <w:pPr>
        <w:pStyle w:val="Extracto"/>
      </w:pPr>
      <w:r>
        <w:t>4.</w:t>
      </w:r>
      <w:r>
        <w:tab/>
        <w:t>El trámite de audiencia tiene por finalidad garantizar una efectiva y real audiencia de las partes y del Ministerio Fiscal ante una posible decisión de plantear una cuestión de inconstitucionalidad, poner a disposición del Juez un medio que le permita conocer con rigor la opinión de los sujetos interesados y facilitar el examen por parte del Tribunal Constitucional de la viabilidad de la cuestión y del alcance del problema constitucional en ella planteado (ATC 467/2007)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la cuestión de inconstitucionalidad núm. 5277-2011, planteada por el Juzgado de lo Contencioso-Administrativo núm. 2 de Alicante en relación con el art. 73.3, párrafo tercero, de la Ley 7/1985, de 2 de abril, reguladora de las bases de régimen local. Han intervenido el Abogado del Estado, en la representación que ostenta y el Fiscal General del Estado.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30 de septiembre de 2011 tuvo entrada en el Registro General de este Tribunal escrito del Juzgado de lo Contencioso-Administrativo núm. 2 de Alicante, al que se acompaña, junto con el testimonio del procedimiento ordinario núm. 412-2010, tramitado ante dicho Juzgado, el Auto de 19 de julio de 2011, por el que se acuerda plantear cuestión de inconstitucionalidad en relación con el art. 73.3, párrafo tercero, de la Ley 7/1985, de 2 de abril, reguladora de las bases de régimen local (en adelante, LBRL), por posible vulneración del art. 23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cuestión, según resulta del Auto de planteamiento y de la documentación adjunta, son, sucintamente expuestos, los siguientes:</w:t>
      </w:r>
    </w:p>
    <w:p w:rsidR="00D06117" w:rsidRDefault="00D06117" w:rsidP="00D06117">
      <w:pPr>
        <w:pStyle w:val="TextoNormal"/>
      </w:pPr>
    </w:p>
    <w:p w:rsidR="00D06117" w:rsidRDefault="00D06117" w:rsidP="00D06117">
      <w:pPr>
        <w:pStyle w:val="TextoNormal"/>
      </w:pPr>
      <w:r>
        <w:t>a) En sesiones de 2 y 26 de octubre de 2009, el Pleno del Ayuntamiento de Benidorm adoptó, entre otros acuerdos, los relativos al nombramiento de representantes de la corporación en órganos colegiados competencia del Pleno, a las retribuciones e indemnizaciones a percibir por los miembros de la corporación, a la creación y composición de las comisiones informativas permanentes, y al nombramiento de los Tenientes de Alcalde.</w:t>
      </w:r>
    </w:p>
    <w:p w:rsidR="00D06117" w:rsidRDefault="00D06117" w:rsidP="00D06117">
      <w:pPr>
        <w:pStyle w:val="TextoNormal"/>
      </w:pPr>
    </w:p>
    <w:p w:rsidR="00D06117" w:rsidRDefault="00D06117" w:rsidP="00D06117">
      <w:pPr>
        <w:pStyle w:val="TextoNormal"/>
      </w:pPr>
      <w:r>
        <w:t>b) Previa solicitud de información sobre los expresados acuerdos, el Conseller de Solidaridad y Ciudadanía de la Generalitat Valenciana requirió con fecha 8 de febrero de 2010 al Ayuntamiento de Benidorm para que en el plazo de un mes modificara, anulara o revocara los referidos acuerdos del Pleno del Ayuntamiento, en particular, para que procediera a la disolución del Grupo municipal Socialista así como a la anulación de todos los derechos políticos y económicos de los miembros no adscritos.</w:t>
      </w:r>
    </w:p>
    <w:p w:rsidR="00D06117" w:rsidRDefault="00D06117" w:rsidP="00D06117">
      <w:pPr>
        <w:pStyle w:val="TextoNormal"/>
      </w:pPr>
    </w:p>
    <w:p w:rsidR="00D06117" w:rsidRDefault="00D06117" w:rsidP="00D06117">
      <w:pPr>
        <w:pStyle w:val="TextoNormal"/>
      </w:pPr>
      <w:r>
        <w:t xml:space="preserve">c) Al no ser atendido el expresado requerimiento, el Abogado de la Generalitat Valenciana interpuso con fecha 6 de mayo de 2010 recurso contencioso-administrativo contra dichos acuerdos. En la demanda se argumentó que en los mismos se nombra para ocupar determinados cargos municipales a una serie de concejales que se dicen integrados en el Grupo municipal Socialista cuando, siempre conforme a la demanda, dichos concejales, que apoyaron la previa moción de censura, habrían abandonado la formación política en la que fueron elegidos y deberían ser considerados concejales no adscritos en razón de que en la Comisión de seguimiento del pacto antitransfuguismo (acuerdo sobre el código de conducta política en relación con el transfuguismo de las corporaciones locales, firmado el 7 de julio de 1998, renovado por nuevos acuerdos de 26 de septiembre de 2000 y de 23 de mayo de 2006) se recogió la denuncia del Partido Popular y del Partido Socialista Obrero Español frente a la aprobación de una moción de censura en el Ayuntamiento de Benidorm “en la que sale elegido un alcalde ex concejal del PSOE con los votos a favor de 12 ex concejales </w:t>
      </w:r>
      <w:r>
        <w:lastRenderedPageBreak/>
        <w:t>del PSOE y de un ex concejal del PP”. Como se ve, señala la demanda, esa misma situación de concejal no adscrito se predica de J.B.P., concejal que abandonó el grupo popular en el que fue elegido y que, posteriormente, también apoyó la referida moción de censura.</w:t>
      </w:r>
    </w:p>
    <w:p w:rsidR="00D06117" w:rsidRDefault="00D06117" w:rsidP="00D06117">
      <w:pPr>
        <w:pStyle w:val="TextoNormal"/>
      </w:pPr>
    </w:p>
    <w:p w:rsidR="00D06117" w:rsidRDefault="00D06117" w:rsidP="00D06117">
      <w:pPr>
        <w:pStyle w:val="TextoNormal"/>
      </w:pPr>
      <w:r>
        <w:t>El recurso se fundamenta en la supuesta vulneración del párrafo tercero del art. 73.3 LBRL, precepto que, al disponer que los concejales no adscritos no pueden tener derechos políticos y económicos superiores a los ostentados en el grupo al que pertenecían, sería aquí de aplicación. En tal sentido la demanda señala que, como consecuencia de las modificaciones en la organización municipal introducidas por los dos acuerdos impugnados, los concejales integrados en el denominado Grupo municipal Socialista y el concejal no adscrito disfrutan de derechos políticos y económicos superiores a los que les corresponderían si realmente fueran considerados no adscritos.</w:t>
      </w:r>
    </w:p>
    <w:p w:rsidR="00D06117" w:rsidRDefault="00D06117" w:rsidP="00D06117">
      <w:pPr>
        <w:pStyle w:val="TextoNormal"/>
      </w:pPr>
    </w:p>
    <w:p w:rsidR="00D06117" w:rsidRDefault="00D06117" w:rsidP="00D06117">
      <w:pPr>
        <w:pStyle w:val="TextoNormal"/>
      </w:pPr>
      <w:r>
        <w:t>d) Personados en el proceso diversos concejales del Ayuntamiento de Benidorm, y tras el desarrollo de los trámites de prueba y conclusiones, estando el recurso pendiente de dictar sentencia, el órgano judicial, en providencia de 18 de mayo de 2011, acordó dar traslado a las partes personadas y al Ministerio Fiscal, por plazo de diez días, a fin de que formulasen alegaciones sobre la pertinencia de plantear la cuestión de inconstitucionalidad referida al párrafo tercero del art. 73.3 LBRL en cuanto el mismo “podría contravenir el art. 23.1 CE, al limitar el acceso del concejal no adscrito a un nuevo proyecto de gobierno municipal”.</w:t>
      </w:r>
    </w:p>
    <w:p w:rsidR="00D06117" w:rsidRDefault="00D06117" w:rsidP="00D06117">
      <w:pPr>
        <w:pStyle w:val="TextoNormal"/>
      </w:pPr>
    </w:p>
    <w:p w:rsidR="00D06117" w:rsidRDefault="00D06117" w:rsidP="00D06117">
      <w:pPr>
        <w:pStyle w:val="TextoNormal"/>
      </w:pPr>
      <w:r>
        <w:t>El Abogado de la Generalitat Valenciana manifestó su parecer contrario al planteamiento de la cuestión por entender que el precepto no afectaba al núcleo esencial del derecho reconocido en el art. 23 CE. La representación procesal del Ayuntamiento de Benidorm y las de dos concejales de dicho Ayuntamiento, integrados en el denominado Grupo municipal Socialista y personados en el proceso, señalaron que no procedía el planteamiento de la cuestión dado que el precepto no era aplicable al caso si bien, subsidiariamente, expresaron su parecer favorable al planteamiento en el caso de que el órgano judicial considerase que el precepto era de aplicación. Por el contrario, la representación procesal de otros dos concejales del Ayuntamiento estimó que el precepto que se cuestiona no vulnera el art. 23 CE. Finalmente, el Ministerio Fiscal consideró que el art. 73.3 LBRL no era contrario al art. 23 CE.</w:t>
      </w:r>
    </w:p>
    <w:p w:rsidR="00D06117" w:rsidRDefault="00D06117" w:rsidP="00D06117">
      <w:pPr>
        <w:pStyle w:val="TextoNormal"/>
      </w:pPr>
    </w:p>
    <w:p w:rsidR="00D06117" w:rsidRDefault="00D06117" w:rsidP="00D06117">
      <w:pPr>
        <w:pStyle w:val="TextoNormal"/>
      </w:pPr>
      <w:r>
        <w:t>e) Evacuado el trámite de audiencia, el Juzgado de lo Contencioso-Administrativo núm. 2 de Alicante dictó Auto el 19 de julio de 2011, mediante el que acordó plantear la presente cuestión de inconstitucionalidad en relación con el art. 73.3, párrafo tercero, de la Ley 7/1985, de 2 de abril, reguladora de las bases de régimen local, por vulneración del art. 23.1 CE.</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Tras exponer los antecedentes del caso y reproducir el contenido del art. 35.2 de la Ley Orgánica del Tribunal Constitucional (LOTC), señala el Auto de 19 de julio de 2011 que la norma con rango de ley cuya constitucionalidad cuestiona es el art. 73.3, párrafo tercero, LBRL y el precepto constitucional que se supone infringido el art. 23 CE, entendiendo que la decisión del recurso interpuesto depende de la adecuada interpretación de los preceptos citados “al ser de directa aplicación el art. 73.3, párrafo tercero de la Ley 7/1985”. Destaca seguidamente que la Generalitat Valenciana fundamenta su recurso en que los integrantes del Grupo municipal Socialista y el concejal no adscrito “abandonaron sus grupos de procedencia y constituyeron un grupo municipal con distinta denominación a la del grupo </w:t>
      </w:r>
      <w:r>
        <w:lastRenderedPageBreak/>
        <w:t>político que constituyó la formación electoral por la que fueron elegidos, con la finalidad de evitar la consideración de concejales no adscritos a grupo municipal alguno”. Según el Auto la Administración demandante “concluye que el Ayuntamiento de Benidorm incurre en un claro fraude de ley, consistente en la creación de un grupo municipal con denominación distinta a la originaria para eludir la aplicación de las disposiciones que afectan a los miembros no adscritos, con infracción de lo dispuesto en el art. 73.3 de la LBRL”.</w:t>
      </w:r>
    </w:p>
    <w:p w:rsidR="00D06117" w:rsidRDefault="00D06117" w:rsidP="00D06117">
      <w:pPr>
        <w:pStyle w:val="TextoNormal"/>
      </w:pPr>
    </w:p>
    <w:p w:rsidR="00D06117" w:rsidRDefault="00D06117" w:rsidP="00D06117">
      <w:pPr>
        <w:pStyle w:val="TextoNormal"/>
      </w:pPr>
      <w:r>
        <w:t>A continuación, hace referencia a la doctrina constitucional en relación con el art. 23 CE, con detallada cita de la STC 10/1983, de 21 de febrero, señalando que el art. 23.2 CE no solamente consagra el derecho de acceso al cargo sino el de permanecer en el mismo y ejercerlo, centrándose la cuestión de inconstitucionalidad en este último aspecto, relativo al derecho al ejercicio del cargo de los concejales que integran el Grupo municipal Socialista y del concejal no adscrito. Con cita de las SSTC 38/1999, 107/2001 y 141/2007 señala que para apreciar la existencia de una vulneración de los derechos fundamentales de los representantes políticos contenidos en el art. 23.2 CE es necesario que se haya producido una restricción ilegítima de los derechos y facultades que les reconocen en cada caso las normas que resulten de aplicación, si bien solamente poseen relevancia constitucional los derechos o facultades atribuidos al representante que pertenezcan al núcleo de su función representativa.</w:t>
      </w:r>
    </w:p>
    <w:p w:rsidR="00D06117" w:rsidRDefault="00D06117" w:rsidP="00D06117">
      <w:pPr>
        <w:pStyle w:val="TextoNormal"/>
      </w:pPr>
    </w:p>
    <w:p w:rsidR="00D06117" w:rsidRDefault="00D06117" w:rsidP="00D06117">
      <w:pPr>
        <w:pStyle w:val="TextoNormal"/>
      </w:pPr>
      <w:r>
        <w:t>El órgano judicial resalta en este sentido la inconcreción del estatuto de miembro no adscrito en tanto que, como representante de la totalidad de los ciudadanos de su circunscripción, se le impide ocupar determinados cargos cuyas funciones inciden directamente sobre el núcleo de su función representativa. En el caso del concejal no adscrito indica que se la atribuye la función de Primer Teniente de Alcalde, asumiendo un derecho político superior al que le correspondía en su grupo de pertenencia. Del mismo modo, afirma el Auto, “los integrantes del Grupo Municipal Socialista, todos ellos ex concejales del PSOE, no podrían ostentar derechos económicos y políticos superiores a los que tenían en el grupo de procedencia, es decir, no podían percibir retribuciones superiores a las que tenían con anterioridad, pese a haber asumido el gobierno municipal ... siendo preciso además determinar si es admisible que los integrantes del Grupo municipal socialista constituyan dicho grupo, sin asumir la condición de miembro no adscrito, en los términos establecidos en el art.73.3 LBRL”.</w:t>
      </w:r>
    </w:p>
    <w:p w:rsidR="00D06117" w:rsidRDefault="00D06117" w:rsidP="00D06117">
      <w:pPr>
        <w:pStyle w:val="TextoNormal"/>
      </w:pPr>
    </w:p>
    <w:p w:rsidR="00D06117" w:rsidRDefault="00D06117" w:rsidP="00D06117">
      <w:pPr>
        <w:pStyle w:val="TextoNormal"/>
      </w:pPr>
      <w:r>
        <w:t>Hace referencia seguidamente a la postura del Ministerio Fiscal, que se opuso al planteamiento de la cuestión invocando el contenido de la STC 169/2009, señalando que el supuesto analizado en la misma difiere del que nos ocupa, en el que la esencia de su duda de constitucionalidad se materializa en si el diferente trato que el art.73.3 LBRL dispensa al concejal no adscrito y a los integrantes del Grupo municipal Socialista “está justificado en la diferente situación en la que se encuentran los mismos, al haber abandonado los grupos políticos constituidos por la formación en la que concurrieron a las elecciones del municipio de Benidorm”.</w:t>
      </w:r>
    </w:p>
    <w:p w:rsidR="00D06117" w:rsidRDefault="00D06117" w:rsidP="00D06117">
      <w:pPr>
        <w:pStyle w:val="TextoNormal"/>
      </w:pPr>
    </w:p>
    <w:p w:rsidR="00D06117" w:rsidRDefault="00D06117" w:rsidP="00D06117">
      <w:pPr>
        <w:pStyle w:val="TextoNormal"/>
      </w:pPr>
      <w:r>
        <w:t>Por todo 1o expuesto, el órgano judicial estima que procede plantear cuestión de inconstitucionalidad en relación con el art. 73.3 LBRL.</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Mediante providencia de 7 de noviembre de 2011, el Pleno de este Tribunal acordó admitir a trámite la cuestión de inconstitucionalidad, reservando para sí el conocimiento de </w:t>
      </w:r>
      <w:r>
        <w:lastRenderedPageBreak/>
        <w:t>la misma, y dar traslado de las actuaciones recibidas, conforme al art. 37.3 LOTC, al Congreso de los Diputados y al Senado, por conducto de sus Presidentes, al Gobierno, por conducto del Ministro de Justicia, y al Fiscal General del Estado, al objeto de que en el plazo de quince días pudieran personarse y formular las alegaciones que estimasen convenientes. En la misma providencia se acordó publicar la incoación de la cuestión de inconstitucionalidad en el “Boletín Oficial del Estado”, publicación que tuvo lugar el 19 de noviembre de 2011 (“BOE” núm. 279).</w:t>
      </w:r>
    </w:p>
    <w:p w:rsidR="00D06117" w:rsidRDefault="00D06117" w:rsidP="00D06117">
      <w:pPr>
        <w:pStyle w:val="TextoNormal"/>
      </w:pPr>
    </w:p>
    <w:p w:rsidR="00D06117" w:rsidRDefault="00D06117" w:rsidP="00D06117">
      <w:pPr>
        <w:pStyle w:val="TextoNormal"/>
      </w:pPr>
      <w:r w:rsidRPr="00D06117">
        <w:rPr>
          <w:rStyle w:val="NumeroAFNegritaCaracter"/>
        </w:rPr>
        <w:t>5</w:t>
      </w:r>
      <w:r>
        <w:t>. Por medio de escrito que tuvo entrada en este Tribunal el 18 de noviembre de 2011, el Presidente del Senado comunicó que la Mesa de la Cámara había acordado personarse en el presente proceso y ofrecer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Presidente del Congreso de los Diputados, en escrito registrado en este Tribunal el 29 de noviembre de 2011, comunicó que la Mesa de la Cámara había acordado la personación en dicho procedimiento y el ofrecimiento de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Abogado del Estado se personó ante este Tribunal, en nombre del Gobierno, a través de escrito presentado el 1 de diciembre de 2011, en el que pidió la desestimación de la cuestión de inconstitucionalidad. Comienza señalando la existencia de doctrina constitucional sobrevenida, pues a la STC 169/2009, de 9 de julio, hay que añadir la STC 20/2011, de 14 de marzo, cuya doctrina reiteran otras muchas posteriores. Y con apoyo en esa doctrina (principalmente la contenida en la STC 169/2009, FJ 4), alega que mediante el primer inciso del párrafo cuestionado el legislador persigue “la satisfacción de un interés legítimo”. La regla de cuya constitucionalidad duda el Juez cuestionante recoge una medida anti-tránsfugas, cuya finalidad es que, respetando el núcleo de sus funciones representativas, el tránsfuga no se beneficie de un modo de proceder que claramente perturba el buen y estable gobierno de las Administraciones locales, y —al menos en un porcentaje significativo de casos— va asociado a conductas impropias y, en ocasiones, delictivas.</w:t>
      </w:r>
    </w:p>
    <w:p w:rsidR="00D06117" w:rsidRDefault="00D06117" w:rsidP="00D06117">
      <w:pPr>
        <w:pStyle w:val="TextoNormal"/>
      </w:pPr>
    </w:p>
    <w:p w:rsidR="00D06117" w:rsidRDefault="00D06117" w:rsidP="00D06117">
      <w:pPr>
        <w:pStyle w:val="TextoNormal"/>
      </w:pPr>
      <w:r>
        <w:t>Por otra parte, pone de relieve que no hay armonía entre los argumentos del Auto de planteamiento de la cuestión. Así, la “inconcreción” o “indefinición” del estatuto de los concejales no adscritos conlleva un reproche contra el precepto cuestionado que puede constituir tanto una crítica por mala técnica legislativa (aspecto ajeno al control de constitucionalidad) como una censura por infracción del principio de seguridad jurídica, ex art. 9.3 CE, precepto no invocado en el Auto de planteamiento. Sin embargo, el propio órgano desmiente el reproche, pues, al anticipar las consecuencias de aplicar el párrafo tercero del art. 73.3 LBRL, demuestra que no plantea dificultades especiales de interpretación ni de aplicación. Y en cuanto a la descripción de la duda del fundamento 5, entiende el Abogado del Estado que no expresa ningún fundamento de inconstitucionalidad, al limitarse a describir el contenido del precepto cuestionado, cuya razón se encuentra en la finalidad del legislador de no dar alicientes al transfuguismo en beneficio del buen gobierno local y de la honradez política, como valor que debe protegerse en la relación entre representantes y representados, siendo el logro de una “más correcta y adecuada articulación” de la representación legítima un fin constitucionalmente legítimo y hasta loable (por todas, STC 163/2011, FJ 7).</w:t>
      </w:r>
    </w:p>
    <w:p w:rsidR="00D06117" w:rsidRDefault="00D06117" w:rsidP="00D06117">
      <w:pPr>
        <w:pStyle w:val="TextoNormal"/>
      </w:pPr>
    </w:p>
    <w:p w:rsidR="00D06117" w:rsidRDefault="00D06117" w:rsidP="00D06117">
      <w:pPr>
        <w:pStyle w:val="TextoNormal"/>
      </w:pPr>
      <w:r>
        <w:lastRenderedPageBreak/>
        <w:t>El Abogado del Estado analiza a continuación si es cierto que la posibilidad de optar a un nombramiento libre del Alcalde (miembro de la Junta de gobierno local, teniente de Alcalde), y la percepción de una retribución enlazada a un cargo ejecutivo con dedicación exclusiva, deben reputarse integrados en el núcleo de la función representativa de un concejal. Tras referirse a la naturaleza y funciones de los distintos órganos y cargos municipales, afirma que la respuesta, a su juicio, debe ser negativa, tal y como se desprende de las SSTC 169/2009, FJ 3, y 20/2011, FJ 4, que señalan que el núcleo esencial de las funciones representativas “se corresponde con aquellas funciones que sólo pueden ejercer los titulares del cargo público por ser la expresión del carácter representativo de la institución”. Para el Abogado del Estado el núcleo de las funciones representativas para las que los concejales han sido elegidos se condensa en participar en la actividad de control del ejecutivo o gobierno municipal, deliberar y votar en el Pleno y en obtener la información precisa para ejercer las anteriores funciones. Por ello afirma que, ni por el título de acceso al cargo (nombramiento y no elección), ni por el contenido de sus funciones, puede afirmarse que la posibilidad de optar a ser nombrado miembro de la Junta de gobierno local o teniente de Alcalde con delegación en algún ramo de la administración municipal se integre en el núcleo esencial de la función representativa de los concejales.</w:t>
      </w:r>
    </w:p>
    <w:p w:rsidR="00D06117" w:rsidRDefault="00D06117" w:rsidP="00D06117">
      <w:pPr>
        <w:pStyle w:val="TextoNormal"/>
      </w:pPr>
    </w:p>
    <w:p w:rsidR="00D06117" w:rsidRDefault="00D06117" w:rsidP="00D06117">
      <w:pPr>
        <w:pStyle w:val="TextoNormal"/>
      </w:pPr>
      <w:r w:rsidRPr="00D06117">
        <w:rPr>
          <w:rStyle w:val="NumeroAFNegritaCaracter"/>
        </w:rPr>
        <w:t>8</w:t>
      </w:r>
      <w:r>
        <w:t>. El Fiscal General del Estado, por escrito registrado el 12 de diciembre de 2011, pidió que se dictase Sentencia desestimando la cuestión de inconstitucionalidad. Tras una extensa exposición de las circunstancias del caso, se refiere en primer lugar a la concurrencia de los presupuestos procesales, realizando algunas precisiones. Así, de un lado, señala el defecto en la referencia al art. 23.1 CE como precepto vulnerado que figura en la providencia de audiencia y que se mantiene también en la parte dispositiva del Auto de planteamiento, a pesar de que afecta a la totalidad del art. 23 CE, según resulta del contenido sustancial de la fundamentación del Auto. De otro lado, indica que la parte dispositiva no incorpora directamente la norma jurídica objeto de la cuestión, sino que hay que acudir a la fundamentación jurídica para concretarla, y, por último, que la explicación en la providencia de audiencia sobre la eventual contradicción se realiza de forma genérica, afirmando que se podría contravenir el art. 23.1 CE “al limitar el acceso del Concejal no adscrito a un nuevo proyecto de gobierno municipal”, mientras que la del Auto de planteamiento se centra en un aspecto más específico. No obstante, entiende el Fiscal que las alegaciones de las partes y del Ministerio público se refirieron a la cuestión efectivamente planteada por el órgano judicial, tanto en cuanto al precepto cuestionado como en relación al precepto constitucional vulnerado que no se limita al apartado 1 del art. 23 CE, sino a éste en su conjunto. Por tanto, la duda resultó suficientemente identificada y no se impidió a los intervinientes conocer y responder a los términos de la cuestión planteada. Estaríamos pues ante una mera indeterminación relativa no provocadora de la inadmisión, por lo que, con una interpretación flexible de los requisitos de planteamiento de la cuestión, entiende el Fiscal General del Estado que puede tenerse por válida la concurrencia de los presupuestos procesales necesarios.</w:t>
      </w:r>
    </w:p>
    <w:p w:rsidR="00D06117" w:rsidRDefault="00D06117" w:rsidP="00D06117">
      <w:pPr>
        <w:pStyle w:val="TextoNormal"/>
      </w:pPr>
    </w:p>
    <w:p w:rsidR="00D06117" w:rsidRDefault="00D06117" w:rsidP="00D06117">
      <w:pPr>
        <w:pStyle w:val="TextoNormal"/>
      </w:pPr>
      <w:r>
        <w:t xml:space="preserve">En cuanto al fondo del asunto, y, partiendo de la doctrina sentada en diversas Sentencias de este Tribunal, en especial la STC 231/1998, de 1 de diciembre, expone que el derecho contemplado en el art. 23 CE incorpora el principio de igualdad, y que es un derecho de configuración legal. Pero añade, recordando la STC 298/2006, de 23 de octubre, que la remisión del constituyente a “los requisitos que señalen las leyes” no significa que el contenido constitucionalmente garantizado de este derecho sea el que en cada caso resulte de la legislación vigente; el derecho de acceso a las funciones y cargos públicos representativos </w:t>
      </w:r>
      <w:r>
        <w:lastRenderedPageBreak/>
        <w:t>se impone también, en su contenido esencial, al legislador, de tal manera que éste no podrá imponer restricciones a la permanencia en los mismos que, más allá de los imperativos del principio de igualdad, y desde la perspectiva constitucional, no se ordenen a un fin legítimo. A continuación señala que según doctrina del Tribunal Constitucional sólo tienen relevancia constitucional los derechos y deberes que afectan al núcleo de la función representativa y cita en este sentido la STC 39/2008, de 10 de marzo, y la STEDH de 2 de marzo de 2010 (Sección Tercera) en relación con el art. 3 del Protocolo núm. 1, adicional al Convenio Europeo de Derechos Humanos. Y, en el mismo sentido, cita la STC 169/2009, de 9 de julio, que, con relación a los miembros de una corporación provincial, destaca aspectos que forman parte del núcleo fundamental de la función representativa, como el participar en la actividad de control del gobierno provincial, participar en las deliberaciones del Pleno de la corporación, votar en los asuntos sometidos a votación en este órgano y obtener la información necesaria para poder ejercer las funciones anteriores, criterio que resulta mantenido en la STC 20/2011, de 14 de marzo, FJ 4. Asimismo, con cita de esta misma Sentencia, se refiere el Fiscal a las comisiones informativas, destacando su trascendencia, a pesar de que su función no sea la de adoptar acuerdos, por lo que “la decisión de permitir a los concejales no adscritos la asistencia y la participación en las deliberaciones de las comisiones informativas, pero no el derecho a votar, entorpece y dificulta la posterior defensa de sus posiciones políticas”, por lo que incide “en el núcleo de las funciones de representación que son propias del cargo de concejal”, lo que no implica que su voto compute igual que el de los miembros adscritos, porque disfrutarían de una posición de sobrerrepresentación. Por último, destaca el Fiscal la función de los partidos políticos como instrumentos fundamentales de participación política de los ciudadanos (STC 31/1993, de 26 de enero).</w:t>
      </w:r>
    </w:p>
    <w:p w:rsidR="00D06117" w:rsidRDefault="00D06117" w:rsidP="00D06117">
      <w:pPr>
        <w:pStyle w:val="TextoNormal"/>
      </w:pPr>
    </w:p>
    <w:p w:rsidR="00D06117" w:rsidRDefault="00D06117" w:rsidP="00D06117">
      <w:pPr>
        <w:pStyle w:val="TextoNormal"/>
      </w:pPr>
      <w:r>
        <w:t>A la luz de la doctrina citada, el Fiscal General del Estado realiza las siguientes consideraciones:</w:t>
      </w:r>
    </w:p>
    <w:p w:rsidR="00D06117" w:rsidRDefault="00D06117" w:rsidP="00D06117">
      <w:pPr>
        <w:pStyle w:val="TextoNormal"/>
      </w:pPr>
    </w:p>
    <w:p w:rsidR="00D06117" w:rsidRDefault="00D06117" w:rsidP="00D06117">
      <w:pPr>
        <w:pStyle w:val="TextoNormal"/>
      </w:pPr>
      <w:r>
        <w:t>a) El origen del precepto impugnado, el párrafo tercero del art. 73.3 LBRL, se remonta al acuerdo sobre un código de conducta política en relación con el transfuguismo en las corporaciones locales, que se firmó por la práctica totalidad de los partidos políticos con fecha 7 de julio de 1998, y que fue renovado por nuevos acuerdos de 26 de septiembre de 2000 y 23 de mayo de 2006.</w:t>
      </w:r>
    </w:p>
    <w:p w:rsidR="00D06117" w:rsidRDefault="00D06117" w:rsidP="00D06117">
      <w:pPr>
        <w:pStyle w:val="TextoNormal"/>
      </w:pPr>
    </w:p>
    <w:p w:rsidR="00D06117" w:rsidRDefault="00D06117" w:rsidP="00D06117">
      <w:pPr>
        <w:pStyle w:val="TextoNormal"/>
      </w:pPr>
      <w:r>
        <w:t>b) El precepto cuestionado establece un marco regulador y restrictivo de carácter general, pero la mera previsión del mantenimiento —no superación— del contenido político y económico de las funciones de concejal no comporta necesariamente una limitación vulneradora del precepto constitucional.</w:t>
      </w:r>
    </w:p>
    <w:p w:rsidR="00D06117" w:rsidRDefault="00D06117" w:rsidP="00D06117">
      <w:pPr>
        <w:pStyle w:val="TextoNormal"/>
      </w:pPr>
    </w:p>
    <w:p w:rsidR="00D06117" w:rsidRDefault="00D06117" w:rsidP="00D06117">
      <w:pPr>
        <w:pStyle w:val="TextoNormal"/>
      </w:pPr>
      <w:r>
        <w:t>c) La doctrina constitucional sólo admite la posible vulneración del derecho cuando afecta al núcleo esencial del mandato representativo, de forma que éste no resulte desnaturalizado, y, así, admite la posibilidad de una regulación diferenciada para los miembros no adscritos. El propio art. 73.3 LBRL contempla algunos supuestos limitativos no impugnados como son: el párrafo primero, en cuanto prohíbe la integración de los no adscritos en un grupo político; y, el apartado 6, en cuanto que, en caso de abandono de un grupo político por parte de la mayoría de sus componentes, los que permanezcan siguen manteniendo las prerrogativas que corresponden al grupo político.</w:t>
      </w:r>
    </w:p>
    <w:p w:rsidR="00D06117" w:rsidRDefault="00D06117" w:rsidP="00D06117">
      <w:pPr>
        <w:pStyle w:val="TextoNormal"/>
      </w:pPr>
    </w:p>
    <w:p w:rsidR="00D06117" w:rsidRDefault="00D06117" w:rsidP="00D06117">
      <w:pPr>
        <w:pStyle w:val="TextoNormal"/>
      </w:pPr>
      <w:r>
        <w:lastRenderedPageBreak/>
        <w:t>d) Las restricciones responden a un fin legítimo y son adecuadas y proporcionadas. La actitud del tránsfuga, que, aun ejerciendo su derecho individual, altera el equilibrio de fuerzas derivado del grupo político con el que había concurrido a las elecciones, otorgando con su conducta la mayoría a otro grupo hasta ese momento minoritario, altera, aun en un segundo nivel, la representación democrática, pues la votación a un determinado partido político se efectúa no sólo por la calidad de las personas que lo integran en las listas electorales, sino por la perspectiva política e ideológica que representan. Por tanto, la regulación cuestionada no vulnera el principio de proporcionalidad ni establece una limitación de las funciones representativas de los concejales no adscritos en términos contrarios al art. 23.2 CE.</w:t>
      </w:r>
    </w:p>
    <w:p w:rsidR="00D06117" w:rsidRDefault="00D06117" w:rsidP="00D06117">
      <w:pPr>
        <w:pStyle w:val="TextoNormal"/>
      </w:pPr>
    </w:p>
    <w:p w:rsidR="00D06117" w:rsidRDefault="00D06117" w:rsidP="00D06117">
      <w:pPr>
        <w:pStyle w:val="TextoNormal"/>
      </w:pPr>
      <w:r>
        <w:t>e) En este caso, algunas de las modificaciones del status del concejal —como la dedicación exclusiva y su percepción económica, o la imposibilidad de constituir grupos políticos— están expresamente excluidas del contenido fundamental representativo. Otras están expresamente respetadas y forman parte del contenido esencial, como la integración en las comisiones informativas, pero con respeto del principio de proporcionalidad. Y, finalmente, los aspectos a que se refiere concretamente el Auto de planteamiento —pertenencia a la Junta de gobierno local, designación como teniente de Alcalde y la asunción de funciones por delegación— no están incluidas en el núcleo básico del mandato representativo y constituyen aspectos de la organización y estructura consistorial dentro de las potestades, no ilimitadas, del Alcalde. En suma, la situación de desventaja que propugna el Auto de planteamiento no se produce, porque se trata de restricciones que no afectan al núcleo representativo.</w:t>
      </w:r>
    </w:p>
    <w:p w:rsidR="00D06117" w:rsidRDefault="00D06117" w:rsidP="00D06117">
      <w:pPr>
        <w:pStyle w:val="TextoNormal"/>
      </w:pPr>
    </w:p>
    <w:p w:rsidR="00D06117" w:rsidRDefault="00D06117" w:rsidP="00D06117">
      <w:pPr>
        <w:pStyle w:val="TextoNormal"/>
      </w:pPr>
      <w:r>
        <w:t>f) Del marco general del art. 73.3, párrafo tercero, LBRL, no se deriva directamente una restricción que afecte al núcleo esencial de la función representativa, ni impone un contenido excluyente de cualquier decisión necesaria para el funcionamiento del Ayuntamiento, sino que somete el desempeño del cargo a ciertas condiciones. Cuestión distinta será si la aplicación concreta del precepto cuestionado puede constituir algún tipo de vulneración constitucional por afectar al contenido esencial del art. 23 CE. Porque, en definitiva, la cuestión planteada no está tanto en la posible confrontación del párrafo tercero del art. 73.3 LBRL con el art. 23 CE, sino en la aplicación concreta de aquél, lo que no es materia del presente procedimiento, ya que se trata de interpretar si los actos de aplicación concreta pueden o no lesionar un derecho fundamental bajo la cobertura del art. 73.3 LBRL, pero no implican la inconstitucionalidad de un precepto que otorga cobertura a actos perfectamente ajustados a la Constitución. Se trata, por tanto, de una cuestión de límites entre el contenido de los acuerdos y el precepto cuestionado, no entre éste y la Constitución. Y, como señala el ATC 466/2006, de 19 de diciembre, la cuestión de inconstitucionalidad no puede constituir un cauce consultivo.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28 de febrero de 2012, se señaló para votación y fallo de la presente Sentencia el día 1 de marzo del mismo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Juzgado de lo Contencioso-Administrativo núm. 2 de Alicante ha promovido cuestión de inconstitucionalidad en relación con el art. 73.3, párrafo tercero, de la Ley reguladora de las bases del régimen local (LBRL), por considerar que puede vulnerar el art. 23 CE, en </w:t>
      </w:r>
      <w:r>
        <w:lastRenderedPageBreak/>
        <w:t>el procedimiento abierto como consecuencia de un recurso interpuesto por la Generalitat Valenciana contra determinados acuerdos del Ayuntamiento de Benidorm, de los que se ha dado cuenta en los antecedentes de esta resolución. Considera el órgano judicial que tal vulneración se produciría porque al concejal no adscrito, que representa a la totalidad de los ciudadanos de su circunscripción, se le impide ocupar determinados cargos cuyas funciones inciden en el núcleo de su función representativa, caracterizándose el estatuto del miembro no adscrito de la corporación por su absoluta indefinición. Así ocurriría con el concejal no adscrito al que se atribuyó la función de primer teniente de Alcalde, que asumiría un derecho político superior al que le correspondía en su grupo de pertenencia, y a los integrantes del autodenominado Grupo municipal Socialista, ex concejales del PSOE, que no podrían ostentar derechos económicos y políticos superiores a los que tenían en su grupo de procedencia, pese a haber asumido el gobierno municipal.</w:t>
      </w:r>
    </w:p>
    <w:p w:rsidR="00D06117" w:rsidRDefault="00D06117" w:rsidP="00D06117">
      <w:pPr>
        <w:pStyle w:val="TextoNormal"/>
      </w:pPr>
    </w:p>
    <w:p w:rsidR="00D06117" w:rsidRDefault="00D06117" w:rsidP="00D06117">
      <w:pPr>
        <w:pStyle w:val="TextoNormal"/>
      </w:pPr>
      <w:r>
        <w:t>Tanto el Abogado del Estado como el Fiscal General del Estado sostienen la constitucionalidad de la norma cuestionada, pues entienden que no afecta al núcleo esencial de la función representativa de los concejales, por lo que solicitan la desestimación de la presente cuestión.</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a examinar el fondo de la cuestión, se hace preciso solventar un aspecto de la misma que ha sido puesto de relieve por el Fiscal General del Estado. El examen del Auto de planteamiento y de las actuaciones remitidas por el Juzgado de lo Contencioso-Administrativo núm. 2 de Alicante pone de manifiesto la existencia de una diferencia entre la providencia por la que se abrió el trámite de audiencia previsto en el art. 35.2 de la Ley Orgánica del Tribunal Constitucional (LOTC) y el Auto de 19 de julio de 2011. La primera menciona como precepto constitucional vulnerado únicamente el art. 23.1 CE, mientras que, en el posterior Auto, la fundamentación argumenta la infracción del art. 23 CE, centrándose esencialmente en uno de los aspectos garantizados por el mismo, como es el relativo al mantenimiento en la función o cargo público y a su desempeño, ejerciendo la función que le es propia, de acuerdo con lo que la ley disponga, si bien la parte dispositiva del Auto vuelve a referirse sólo al art. 23.1.</w:t>
      </w:r>
    </w:p>
    <w:p w:rsidR="00D06117" w:rsidRDefault="00D06117" w:rsidP="00D06117">
      <w:pPr>
        <w:pStyle w:val="TextoNormal"/>
      </w:pPr>
    </w:p>
    <w:p w:rsidR="00D06117" w:rsidRDefault="00D06117" w:rsidP="00D06117">
      <w:pPr>
        <w:pStyle w:val="TextoNormal"/>
      </w:pPr>
      <w:r>
        <w:t>En este punto, no podemos obviar que la apuntada imprecisión del órgano judicial en la identificación del concreto apartado del art. 23 CE que se considera vulnerado por el art. 73.3, párrafo tercero, LBRL, no ha sido obstáculo, como ponen de manifiesto las actuaciones, para que todos los personados en el proceso a quo hayan situado en sus exactos términos la duda de constitucionalidad del órgano judicial y hayan podido pronunciarse sobre la posible disconformidad del precepto cuestionado con la mencionada faceta del derecho fundamental consagrado en el art. 23.2 CE, formulando las correspondientes alegaciones. Por consiguiente, debe entenderse satisfecha la doble finalidad del trámite de audiencia según nuestra reiterada jurisprudencia: de un lado, garantizar una efectiva y real audiencia de las partes y del Ministerio Fiscal ante una posible decisión de tanta entidad, como es plantear una cuestión de inconstitucionalidad, poniendo a disposición del Juez un medio que le permita conocer con rigor la opinión de los sujetos interesados. De otro, facilitar el examen por parte de este Tribunal de la viabilidad de la cuestión misma y del alcance del problema constitucional en ella planteado (por todos, ATC 467/2007, de 17 de diciembre, FJ 2).</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Por otro lado, y en lo que se refiere al juicio de aplicabilidad del precepto cuestionado que se formula en el Auto de planteamiento, no cabe duda alguna en cuanto a su aplicación </w:t>
      </w:r>
      <w:r>
        <w:lastRenderedPageBreak/>
        <w:t>al concejal don J.B.P., que ostenta la condición de no adscrito, tras el abandono del grupo político con el que concurrió a las elecciones, y que, en virtud de los acuerdos municipales impugnados en el procedimiento a quo, ha sido nombrado primer teniente de Alcalde, además de miembro de la Junta de gobierno local, de distintas comisiones y representante de la corporación en el Consorcio de aguas potables de la Marina Baixa, a lo que se une la delegación de funciones por parte de la Alcaldía en diversas áreas de competencia municipal.</w:t>
      </w:r>
    </w:p>
    <w:p w:rsidR="00D06117" w:rsidRDefault="00D06117" w:rsidP="00D06117">
      <w:pPr>
        <w:pStyle w:val="TextoNormal"/>
      </w:pPr>
    </w:p>
    <w:p w:rsidR="00D06117" w:rsidRDefault="00D06117" w:rsidP="00D06117">
      <w:pPr>
        <w:pStyle w:val="TextoNormal"/>
      </w:pPr>
      <w:r>
        <w:t>Sin embargo, no ocurre lo mismo en relación con el resto de concejales que se encuentran afectados por el procedimiento contencioso-administrativo que, según consta en las actuaciones remitidas, se hallan integrados en el Grupo municipal socialista, sin que ostenten la condición de concejales no adscritos, presupuesto indispensable para la aplicación del párrafo tercero del art. 73.3 LBRL aquí cuestionado. A pesar de ello, el órgano judicial razona que “los integrantes del Grupo Municipal Socialista, todos ellos ex concejales del PSOE, no podrían ostentar derechos económicos y políticos superiores a los que tenían en el grupo de procedencia, es decir, no podrían percibir retribuciones superiores a las que tenían con anterioridad pese a haber asumido el gobierno municipal”. Esto es, implícitamente, el Auto de planteamiento de la cuestión está asumiendo la argumentación de la demanda presentada por la Generalitat Valenciana en el procedimiento contencioso-administrativo, en la que se afirma que, con incumplimiento del denominado Pacto antitransfuguismo, los concejales integrantes del Grupo municipal Socialista abandonaron la formación política en la que concurrieron a las elecciones municipales, por lo que han de pasar a la condición de concejales no adscritos, y, en tal sentido, el petitum de la demanda solicita la disolución del referido grupo y la declaración de los concejales que lo integran como concejales no adscritos. No obstante, el Auto no explicita razonamiento alguno sobre este particular, sino que se limita, directamente, a exponer las consecuencias que para dichos concejales tendría la aplicación de la regla del art. 73.3, párrafo tercero, LBRL, siendo así que esa aplicación pasa imprescindiblemente por la previa concurrencia del presupuesto de que los mencionados concejales ostenten la condición de no adscritos, circunstancia que, como se ha dicho, y a la luz de las certificaciones que figuran en las actuaciones, emitidas por el Secretario General del Ayuntamiento de Benidorm, no se produce.</w:t>
      </w:r>
    </w:p>
    <w:p w:rsidR="00D06117" w:rsidRDefault="00D06117" w:rsidP="00D06117">
      <w:pPr>
        <w:pStyle w:val="TextoNormal"/>
      </w:pPr>
    </w:p>
    <w:p w:rsidR="00D06117" w:rsidRDefault="00D06117" w:rsidP="00D06117">
      <w:pPr>
        <w:pStyle w:val="TextoNormal"/>
      </w:pPr>
      <w:r>
        <w:t>Por consiguiente, no se han fundamentado debidamente en el Auto de planteamiento de la cuestión los motivos por los que la norma cuestionada resultaría de aplicación a este otro grupo de concejales —los integrantes del Grupo municipal Socialista—, extremo que no deriva de manera patente e inmediata de las actuaciones remitidas, sino sólo mediata o condicionadamente a que se estimen otras pretensiones articuladas en su recurso por la Generalitat Valenciana.</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Una vez aclaradas las anteriores cuestiones, podemos proceder a dar respuesta a las dudas de constitucionalidad planteadas en la presente cuestión por el Juzgado de lo Contencioso-Administrativo núm. 2 de Alicante. Y en este punto no podemos sino señalar que tales dudas quedaron ya resueltas por la STC 9/2012, de 18 de enero (“BOE” núm. 36, de 11 de febrero de 2012), que desestimó la cuestión de inconstitucionalidad núm. 1490-2010, promovida en relación con igual precepto por el mismo órgano jurisdiccional, por las razones que constan en su fundamento jurídico cuarto, al que debemos remitirnos en conjunto. En concreto, después de señalar que no cualquier acto que afecte al status jurídico aplicable al representante político lesiona el derecho fundamental invocado, “pues sólo poseen relevancia constitucional a estos efectos los derechos o facultades atribuidos al representante que </w:t>
      </w:r>
      <w:r>
        <w:lastRenderedPageBreak/>
        <w:t>pertenezcan al núcleo de su función representativa (SSTC 38/1999, de 22 de marzo, FJ 2; 107/2001, de 23 de abril, FJ 3; 208/2003, de 1 de diciembre, FJ 4; 141/2007, de 18 de junio, FJ 3; y 169/2009, de 9 de julio FJ 2)”, consideramos aplicable aquí la doctrina sentada por la STC 169/2009, de 9 de julio, FJ 3, en cuanto a las facultades que pertenecen al núcleo inherente a la función representativa que constitucionalmente corresponde a los miembros de una corporación provincial, esto es, la de participar en la actividad de control del gobierno local (provincial, en aquel caso) la de participar en las deliberaciones del Pleno de la corporación, la de votar en los asuntos sometidos a votación en este órgano, así como el derecho a obtener la información necesaria para poder ejercer las anteriores. De acuerdo con todo ello, concluimos:</w:t>
      </w:r>
    </w:p>
    <w:p w:rsidR="00D06117" w:rsidRDefault="00D06117" w:rsidP="00D06117">
      <w:pPr>
        <w:pStyle w:val="TextoNormal"/>
      </w:pPr>
    </w:p>
    <w:p w:rsidR="00D06117" w:rsidRDefault="00D06117" w:rsidP="00D06117">
      <w:pPr>
        <w:pStyle w:val="TextoNormal"/>
      </w:pPr>
      <w:r>
        <w:t>“A la luz de esta doctrina, debemos rechazar la inconstitucionalidad del tercer párrafo del art. 73.3 LBRL, propugnada en el Auto de planteamiento de la presente cuestión de inconstitucionalidad. En efecto, definido en los términos ya señalados el sentido del precepto legal cuestionado, es claro que la garantía que proporciona el art. 23.2 CE no se ve vulnerada en un supuesto como el planteado por el órgano judicial promotor de esta cuestión de inconstitucionalidad. El órgano judicial considera que el precepto cuestionado vulnera el art. 23 CE, en la medida en que impide al representante no adscrito ser elegido, por el Alcalde de la corporación, miembro de la Junta o comisión de gobierno y Teniente de Alcalde, cuando el resto de concejales de la corporación pueden optar a dichos cargos. Como señala el Fiscal General del Estado en su escrito de alegaciones, los aspectos a los que se refiere concretamente el Auto de planteamiento de esta cuestión de inconstitucionalidad —pertenencia a la Junta o comisión de gobierno y designación como Teniente de Alcalde— no están incluidos en el núcleo básico del mandato representativo y constituyen aspectos de la organización y estructura consistorial dentro de las potestades, no ilimitadas, del Alcalde. En efecto, tales nombramientos dependen de la voluntad de un tercero, el Alcalde de la corporación, voluntad que ha de ser ejercida en los términos y condiciones determinados al respecto por la Ley de bases de régimen local (arts. 23.1 y 125.1).</w:t>
      </w:r>
    </w:p>
    <w:p w:rsidR="00D06117" w:rsidRDefault="00D06117" w:rsidP="00D06117">
      <w:pPr>
        <w:pStyle w:val="TextoNormal"/>
      </w:pPr>
    </w:p>
    <w:p w:rsidR="00D06117" w:rsidRDefault="00D06117" w:rsidP="00D06117">
      <w:pPr>
        <w:pStyle w:val="TextoNormal"/>
      </w:pPr>
      <w:r>
        <w:t>Por cuanto antecede, hemos de concluir que el nombramiento para cargos relacionados con el gobierno y la administración del municipio no se integra en el núcleo esencial de las funciones representativas del concejal. Se trata de ámbitos ajenos al ejercicio de la función representativa atribuida al mismo, lo que determina que el art. 23 CE no se vea aquí vulnerado.”</w:t>
      </w:r>
    </w:p>
    <w:p w:rsidR="00D06117" w:rsidRDefault="00D06117" w:rsidP="00D06117">
      <w:pPr>
        <w:pStyle w:val="TextoNormal"/>
      </w:pPr>
    </w:p>
    <w:p w:rsidR="00D06117" w:rsidRDefault="00D06117" w:rsidP="00D06117">
      <w:pPr>
        <w:pStyle w:val="TextoNormal"/>
      </w:pPr>
      <w:r>
        <w:t>Por las mismas razones expuestas, se impone ahora la desestimación de la cuestión de inconstitucionalidad, sin perjuicio de las consecuencias que produzca la concreta aplicación del art. 73.3, párrafo tercero, LBRL a los supuestos planteados en el Ayuntamiento de Benidorm, aspecto que, como bien señala el Fiscal General del Estado, no es materia del presente procedimiento, en el que se desarrolla un juicio abstracto de constitucionalidad, del que resulta únicamente que el precepto discutido no se opone a las previsiones del art. 23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uno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4" w:name="SENTENCIA_2012_31"/>
      <w:r>
        <w:lastRenderedPageBreak/>
        <w:t>SENTENCIA 31/2012, de 12 de marzo de 2012</w:t>
      </w:r>
    </w:p>
    <w:bookmarkEnd w:id="34"/>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ECLI:ES:TC:2012:31</w:t>
      </w:r>
    </w:p>
    <w:p w:rsidR="00D06117" w:rsidRDefault="00D06117" w:rsidP="00D06117">
      <w:pPr>
        <w:pStyle w:val="SntesisDescriptiva"/>
      </w:pPr>
    </w:p>
    <w:p w:rsidR="00D06117" w:rsidRDefault="00D06117" w:rsidP="00D06117">
      <w:pPr>
        <w:pStyle w:val="SntesisDescriptiva"/>
      </w:pPr>
      <w:r>
        <w:t>Recurso de amparo 2976-2011. Promovido por doña Carmen María García Miranda en relación con la Sentencia de la Sala de lo Social del Tribunal Superior de Justicia de Galicia sobre sanción por realización de actividades incompatibles con la prestación de incapacidad temporal.</w:t>
      </w:r>
    </w:p>
    <w:p w:rsidR="00D06117" w:rsidRDefault="00D06117" w:rsidP="00D06117">
      <w:pPr>
        <w:pStyle w:val="SntesisDescriptiva"/>
      </w:pPr>
    </w:p>
    <w:p w:rsidR="00D06117" w:rsidRDefault="00D06117" w:rsidP="00D06117">
      <w:pPr>
        <w:pStyle w:val="SntesisAnaltica"/>
      </w:pPr>
      <w:r>
        <w:t>Supuesta vulneración de los derechos a la tutela judicial efectiva y a la legalidad sancionadora: Sentencia que resuelve el debate de suplicación en los términos planteados por las partes en relación con unos hechos constitutivos de infracción administrativa al momento de producirse.</w:t>
      </w:r>
    </w:p>
    <w:p w:rsidR="00D06117" w:rsidRDefault="00D06117" w:rsidP="00D06117">
      <w:pPr>
        <w:pStyle w:val="SntesisAnaltica"/>
      </w:pPr>
    </w:p>
    <w:p w:rsidR="00D06117" w:rsidRDefault="00D06117" w:rsidP="00D06117">
      <w:pPr>
        <w:pStyle w:val="Extracto"/>
      </w:pPr>
      <w:r>
        <w:t>1.</w:t>
      </w:r>
      <w:r>
        <w:tab/>
        <w:t>Debemos descartar la vulneración del derecho a la tutela judicial efectiva toda vez que, aun aceptando que el órgano judicial pudiera haber incurrido en un error y que dicho error pudo ser determinante de la decisión adoptada, el mismo, sin embargo, sería en gran medida imputable a la negligencia de la propia trabajadora, que no actuó con la diligencia exigible, no pudiendo exigirse al juzgador que sepa más de lo que las partes le ponen de manifiesto [FJ 3].</w:t>
      </w:r>
    </w:p>
    <w:p w:rsidR="00D06117" w:rsidRDefault="00D06117" w:rsidP="00D06117">
      <w:pPr>
        <w:pStyle w:val="Extracto"/>
      </w:pPr>
    </w:p>
    <w:p w:rsidR="00D06117" w:rsidRDefault="00D06117" w:rsidP="00D06117">
      <w:pPr>
        <w:pStyle w:val="Extracto"/>
      </w:pPr>
      <w:r>
        <w:t>2.</w:t>
      </w:r>
      <w:r>
        <w:tab/>
        <w:t>El error aducido no es imputable al órgano judicial sino al modo en que las partes llevaron los hechos al proceso, ya que fue únicamente, en el posterior incidente de nulidad de actuaciones, cuando la demandante, por primera vez, adujo que su baja laboral fue debida a una incapacidad temporal por enfermedad común y no a una maternidad que no tuvo lugar [FJ 3].</w:t>
      </w:r>
    </w:p>
    <w:p w:rsidR="00D06117" w:rsidRDefault="00D06117" w:rsidP="00D06117">
      <w:pPr>
        <w:pStyle w:val="Extracto"/>
      </w:pPr>
    </w:p>
    <w:p w:rsidR="00D06117" w:rsidRDefault="00D06117" w:rsidP="00D06117">
      <w:pPr>
        <w:pStyle w:val="Extracto"/>
      </w:pPr>
      <w:r>
        <w:t>3.</w:t>
      </w:r>
      <w:r>
        <w:tab/>
        <w:t>Doctrina constitucional sobre el error patente (STC 167/2008) [FJ 2].</w:t>
      </w:r>
    </w:p>
    <w:p w:rsidR="00D06117" w:rsidRDefault="00D06117" w:rsidP="00D06117">
      <w:pPr>
        <w:pStyle w:val="Extracto"/>
      </w:pPr>
    </w:p>
    <w:p w:rsidR="00D06117" w:rsidRDefault="00D06117" w:rsidP="00D06117">
      <w:pPr>
        <w:pStyle w:val="Extracto"/>
      </w:pPr>
      <w:r>
        <w:t>4.</w:t>
      </w:r>
      <w:r>
        <w:tab/>
        <w:t>No cabe imputar incongruencia a la Sentencia dictada, que resolvió el debate de suplicación en los estrictos términos planteados en el recurso y en su impugnación, debiendo la trabajadora, si entendía que fue sancionada por un hecho distinto al aducido por el INSS en el inicio del procedimiento sancionador, haberlo alegado al impugnar el recurso, obligando a la Sala a pronunciarse sobre ello [FJ 5].</w:t>
      </w:r>
    </w:p>
    <w:p w:rsidR="00D06117" w:rsidRDefault="00D06117" w:rsidP="00D06117">
      <w:pPr>
        <w:pStyle w:val="Extracto"/>
      </w:pPr>
    </w:p>
    <w:p w:rsidR="00D06117" w:rsidRDefault="00D06117" w:rsidP="00D06117">
      <w:pPr>
        <w:pStyle w:val="Extracto"/>
      </w:pPr>
      <w:r>
        <w:t>5.</w:t>
      </w:r>
      <w:r>
        <w:tab/>
        <w:t xml:space="preserve">Doctrina sobre la incongruencia por exceso o </w:t>
      </w:r>
      <w:r w:rsidRPr="00D06117">
        <w:rPr>
          <w:i/>
        </w:rPr>
        <w:t>extra petitum</w:t>
      </w:r>
      <w:r>
        <w:t xml:space="preserve"> [FJ 5].</w:t>
      </w:r>
    </w:p>
    <w:p w:rsidR="00D06117" w:rsidRDefault="00D06117" w:rsidP="00D06117">
      <w:pPr>
        <w:pStyle w:val="Extracto"/>
      </w:pPr>
    </w:p>
    <w:p w:rsidR="00D06117" w:rsidRDefault="00D06117" w:rsidP="00D06117">
      <w:pPr>
        <w:pStyle w:val="Extracto"/>
      </w:pPr>
      <w:r>
        <w:t>6.</w:t>
      </w:r>
      <w:r>
        <w:tab/>
        <w:t>La demandante no aduce en su demanda que el hecho sancionado no constituyera infracción administrativa en la fecha en que se produjo, sino que el hecho no ocurrió y que, en consecuencia, no cometió la infracción, lo que no afecta al principio de legalidad sancionadora del art. 25.1 CE, sino a la queja de error patente que ya ha sido descartada como vulneración del art. 24.1 CE [FJ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2976-2011, promovido por doña Carmen María García Miranda contra la Sentencia de la Sala de lo Social del Tribunal Superior de Justicia de Galicia de 17 de marzo de 2010, que estimó el recurso de suplicación 620-2007 interpuesto por el Instituto Nacional de la Seguridad Social contra la Sentencia del Juzgado de lo Social núm. 3 de A Coruña de 27 de noviembre de 2006, en autos 985-2005, sobre sanción de incapacidad temporal, así como contra el Auto de la misma Sala de 27 de abril de 2010, en el que dispuso no aclarar el fallo de la antedicha Sentencia, y la providencia de 19 de mayo de 2010, que desestimó el incidente de nulidad de actuaciones promovido contra la misma. Ha sido parte el Instituto Nacional de la Seguridad Social, asistido y representado por el Letrado de la Administración de la Seguridad Social. Ha intervenido el Ministerio Fiscal.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día 23 de mayo de 2011, doña Carmen María García Miranda, actuando en su propio nombre y defensa, en su condición de Licenciada en Derecho, presentó recurso de amparo constitucional contra las resoluciones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de los que trae causa la demanda, relevantes para la resolución del recurso, son, en síntesis, los siguientes:</w:t>
      </w:r>
    </w:p>
    <w:p w:rsidR="00D06117" w:rsidRDefault="00D06117" w:rsidP="00D06117">
      <w:pPr>
        <w:pStyle w:val="TextoNormal"/>
      </w:pPr>
    </w:p>
    <w:p w:rsidR="00D06117" w:rsidRDefault="00D06117" w:rsidP="00D06117">
      <w:pPr>
        <w:pStyle w:val="TextoNormal"/>
      </w:pPr>
      <w:r>
        <w:t>a) La demandante de amparo prestaba servicios como personal interino de una biblioteca pública de A Coruña, figurando en situación de incapacidad temporal desde el 16 de febrero de 2005 hasta el 2 de mayo de 2005. La trabajadora había sido nombrada también profesora tutora de un centro asociado de la Universidad Nacional de Educación a Distancia (UNED) en el curso 1997-1998, nombramiento renovado en los siguientes cursos académicos. Los profesores asociados gozan del mismo estatuto jurídico que los becarios de investigación, sin tener relación laboral con la UNED.</w:t>
      </w:r>
    </w:p>
    <w:p w:rsidR="00D06117" w:rsidRDefault="00D06117" w:rsidP="00D06117">
      <w:pPr>
        <w:pStyle w:val="TextoNormal"/>
      </w:pPr>
    </w:p>
    <w:p w:rsidR="00D06117" w:rsidRDefault="00D06117" w:rsidP="00D06117">
      <w:pPr>
        <w:pStyle w:val="TextoNormal"/>
      </w:pPr>
      <w:r>
        <w:t xml:space="preserve">b) La trabajadora fue sancionada por el Instituto Nacional de la Seguridad Social (INSS), mediante resolución de la Dirección provincial de A Coruña de 22 de noviembre de 2005, con la pérdida durante tres meses de la prestación de incapacidad temporal reconocida, por </w:t>
      </w:r>
      <w:r>
        <w:lastRenderedPageBreak/>
        <w:t>realizar durante el percibo de la prestación actividades laborales incompatibles con la misma, de conformidad con lo dispuesto en el art. 132.1 b) de la Ley general de la Seguridad Social, texto refundido aprobado por Real Decreto Legislativo 1/1994, de 20 de junio (LGSS) La resolución puso fin al expediente sancionador correspondiente, iniciado a raíz de informe emitido por la Inspección provincial de Trabajo y Seguridad Social de A Coruña en el que se indicaba que, encontrándose la trabajadora en situación de baja por incapacidad temporal por maternidad, había firmado su asistencia a las tutorías como profesora tutora de Derecho Constitucional IV, Filosofía del Derecho y Derecho Constitucional II en el centro de trabajo de la Universidad Nacional de Educación a Distancia de A Coruña durante los días 17 y 24 de febrero y 10 de marzo de 2005.</w:t>
      </w:r>
    </w:p>
    <w:p w:rsidR="00D06117" w:rsidRDefault="00D06117" w:rsidP="00D06117">
      <w:pPr>
        <w:pStyle w:val="TextoNormal"/>
      </w:pPr>
    </w:p>
    <w:p w:rsidR="00D06117" w:rsidRDefault="00D06117" w:rsidP="00D06117">
      <w:pPr>
        <w:pStyle w:val="TextoNormal"/>
      </w:pPr>
      <w:r>
        <w:t>c) Contra dicha sanción interpuso la trabajadora demanda judicial, aduciendo, entre otros extremos, la inexistencia de incompatibilidad alguna entre la realización de las tutorías y la situación de incapacidad temporal, por excluir la relación de becaria de la actora con la UNED la existencia de relación laboral.</w:t>
      </w:r>
    </w:p>
    <w:p w:rsidR="00D06117" w:rsidRDefault="00D06117" w:rsidP="00D06117">
      <w:pPr>
        <w:pStyle w:val="TextoNormal"/>
      </w:pPr>
    </w:p>
    <w:p w:rsidR="00D06117" w:rsidRDefault="00D06117" w:rsidP="00D06117">
      <w:pPr>
        <w:pStyle w:val="TextoNormal"/>
      </w:pPr>
      <w:r>
        <w:t>d) La demanda fue estimada por Sentencia del Juzgado de lo Social núm. 3 de A Coruña de 22 de noviembre de 2006. La Sentencia, siguiendo la jurisprudencia del Tribunal Supremo que cita, considera que si la actividad laboral realizada por la trabajadora era compatible con la actividad docente realizada, encontrándose de alta, también había de serlo cuando se encontraba de baja médica en la actividad laboral, siempre que la actividad docente realizada no fuera a su vez incompatible con el estado de incapacidad resultante de esa baja laboral. Señala que se puede estar incapacitado para el ejercicio de la actividad laboral normal y no estarlo para realizar determinadas funciones esporádicas de carácter docente, sin que se haya acreditado por el INSS que las dolencias que le impedían su trabajo en la biblioteca le impidieran también su actividad como profesora asociada, siendo a este organismo al que correspondía la prueba de la imputación, dado su carácter sancionador.</w:t>
      </w:r>
    </w:p>
    <w:p w:rsidR="00D06117" w:rsidRDefault="00D06117" w:rsidP="00D06117">
      <w:pPr>
        <w:pStyle w:val="TextoNormal"/>
      </w:pPr>
    </w:p>
    <w:p w:rsidR="00D06117" w:rsidRDefault="00D06117" w:rsidP="00D06117">
      <w:pPr>
        <w:pStyle w:val="TextoNormal"/>
      </w:pPr>
      <w:r>
        <w:t>e) Contra dicha Sentencia interpuso el INSS recurso de suplicación, en el que se aducía como único motivo la vulneración por la resolución recurrida, por inaplicación, del art. 133 quinquies LGSS, que contempla la pérdida o suspensión del derecho al subsidio por maternidad, entre otros motivos, cuando el beneficiario trabaje por cuenta propia o ajena durante los correspondientes períodos de descanso. Señalaba el organismo recurrente, frente a la apreciación del Juez de instancia en relación con las situaciones de pluriactividad, que en el presente caso no se trataba de una baja médica por enfermedad o accidente, sino de una situación de maternidad, que tiene como finalidad proporcionar a la mujer trabajadora un período de descanso para recuperarse de las secuelas del parto y prestar de forma adecuada los primeros cuidados al hijo recién nacido, entendiendo que dicho objetivo quedaría conculcado con la realización de cualquier actividad laboral, independientemente de su naturaleza o de las concretas tareas en que consistiera.</w:t>
      </w:r>
    </w:p>
    <w:p w:rsidR="00D06117" w:rsidRDefault="00D06117" w:rsidP="00D06117">
      <w:pPr>
        <w:pStyle w:val="TextoNormal"/>
      </w:pPr>
    </w:p>
    <w:p w:rsidR="00D06117" w:rsidRDefault="00D06117" w:rsidP="00D06117">
      <w:pPr>
        <w:pStyle w:val="TextoNormal"/>
      </w:pPr>
      <w:r>
        <w:t xml:space="preserve">f) La trabajadora presentó escrito de impugnación frente al anterior recurso, en el que, apoyando el criterio de la Sentencia de instancia, señaló que la entidad gestora ni siquiera había descrito los quehaceres laborales desarrollados en la UNED, por lo que no se podía determinar sin más su incompatibilidad. Añadía que las tutorías cuestionadas le habían ocupado un total de seis horas durante toda la baja por maternidad, baja que, por otra parte, deviene de su actividad como bibliotecaria, y no de la desarrollada en la UNED, al no generar en esta actividad, en su condición de becaria, derechos sociales, ni figurar de alta en </w:t>
      </w:r>
      <w:r>
        <w:lastRenderedPageBreak/>
        <w:t>la Seguridad Social. Concluía, por todo ello, que su descanso por maternidad no se había visto limitado en modo alguno por esas aproximadamente seis horas en que acudió a la UNED a fin de tutorizar las dos asignaturas de las que se encargaba.</w:t>
      </w:r>
    </w:p>
    <w:p w:rsidR="00D06117" w:rsidRDefault="00D06117" w:rsidP="00D06117">
      <w:pPr>
        <w:pStyle w:val="TextoNormal"/>
      </w:pPr>
    </w:p>
    <w:p w:rsidR="00D06117" w:rsidRDefault="00D06117" w:rsidP="00D06117">
      <w:pPr>
        <w:pStyle w:val="TextoNormal"/>
      </w:pPr>
      <w:r>
        <w:t>g) El recurso fue estimado por Sentencia de 17 de marzo de 2010 de la Sala de lo Social del Tribunal Superior de Justicia de Galicia, que revocó la de instancia y confirmó la sanción impuesta. Señala, en síntesis, la Sentencia que, aun cuando la actividad realizada para la UNED no tuviera carácter laboral, el continuar firmando tutorías durante la baja por maternidad conculcaba la finalidad del subsidio de maternidad, que pretende asegurar, durante la fase de puerperio, no sólo las relaciones particulares entre la madre y el recién nacido, sino la salud de la madre. El puerperio, dice la Sentencia, identifica un período de cuarenta días que siguen al alumbramiento durante el que la mujer que acaba de dar a luz ha de extremar el cuidado de su salud, teniendo una enorme trascendencia y siendo necesario que este período se desarrolle en unas condiciones de sosiego y tranquilidad que, garantizando el descanso de la madre, permitan el reajuste de las transformaciones anatómico-funcionales acaecidas durante el embarazo. Por ello, concluye la Sentencia, el desarrollo de una actividad, aunque haya sido calificada como no laboral, debe entenderse incompatible con la percepción del subsidio, si obstaculiza, como lo hace, el descanso materno.</w:t>
      </w:r>
    </w:p>
    <w:p w:rsidR="00D06117" w:rsidRDefault="00D06117" w:rsidP="00D06117">
      <w:pPr>
        <w:pStyle w:val="TextoNormal"/>
      </w:pPr>
    </w:p>
    <w:p w:rsidR="00D06117" w:rsidRDefault="00D06117" w:rsidP="00D06117">
      <w:pPr>
        <w:pStyle w:val="TextoNormal"/>
      </w:pPr>
      <w:r>
        <w:t>h) Contra dicha Sentencia interpuso, en primer lugar, la trabajadora un recurso de aclaración, solicitando que se determinara cuál de las dos causas, trabajo por cuenta propia o trabajo por cuenta ajena, consideradas como causa de denegación, anulación o suspensión del derecho de subsidio en los arts. 132.1 y 133 quinquies LGSS, concurría en el caso de la actora. El recurso fue desestimado por Auto de la Sala de 27 de abril de 2010, al entender que lo solicitado excedía notablemente de la finalidad para la que la aclaración de sentencias se encuentra prevista.</w:t>
      </w:r>
    </w:p>
    <w:p w:rsidR="00D06117" w:rsidRDefault="00D06117" w:rsidP="00D06117">
      <w:pPr>
        <w:pStyle w:val="TextoNormal"/>
      </w:pPr>
    </w:p>
    <w:p w:rsidR="00D06117" w:rsidRDefault="00D06117" w:rsidP="00D06117">
      <w:pPr>
        <w:pStyle w:val="TextoNormal"/>
      </w:pPr>
      <w:r>
        <w:t>i) Seguidamente interpuso la trabajadora ante la propia Sala un incidente de nulidad de actuaciones al amparo del art. 241 de la Ley Orgánica del Poder Judicial, aduciendo la vulneración de los arts. 24, 25.1 y 53 CE. Argumentaba que la Sentencia había considerado justificada la sanción impuesta en base a un hecho falso aducido por la entidad recurrente en su recurso de suplicación, por primera vez y alterando además el fundamento del expediente sancionador, como era el de que se encontraba en período de descanso por maternidad. Lo cierto, señala, es que se encontraba en situación de incapacidad temporal por problemas de salud y entre el segundo y el tercer mes de gestación. El incidente fue inadmitido por providencia de la Sala de 19 de mayo de 2010, por carecer de viabilidad procesal según lo dispuesto en el art. 228.1 de la Ley de enjuiciamiento civil, al ser la Sentencia combatida recurrible en casación para la unificación de doctrina.</w:t>
      </w:r>
    </w:p>
    <w:p w:rsidR="00D06117" w:rsidRDefault="00D06117" w:rsidP="00D06117">
      <w:pPr>
        <w:pStyle w:val="TextoNormal"/>
      </w:pPr>
    </w:p>
    <w:p w:rsidR="00D06117" w:rsidRDefault="00D06117" w:rsidP="00D06117">
      <w:pPr>
        <w:pStyle w:val="TextoNormal"/>
      </w:pPr>
      <w:r>
        <w:t>j) Finalmente, la trabajadora interpuso recurso de casación para la unificación de doctrina, aduciendo, como uno de sus motivos, la existencia de incongruencia en la Sentencia recurrida, por partir de una base fáctica incierta. El recurso fue inadmitido, por falta de contradicción, por Auto de la Sala de lo Social del Tribunal Supremo de 22 de marzo de 2011.</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su demanda, la recurrente aduce que la decisión judicial ha vulnerado su derecho a la tutela judicial efectiva, en su manifestación del derecho a obtener una resolución sobre </w:t>
      </w:r>
      <w:r>
        <w:lastRenderedPageBreak/>
        <w:t>la base de hechos realmente ocurridos y que fueron los que motivaron el expediente sancionador, y a no sufrir indefensión, que reconocen los arts. 24.1 y 25.1 CE.</w:t>
      </w:r>
    </w:p>
    <w:p w:rsidR="00D06117" w:rsidRDefault="00D06117" w:rsidP="00D06117">
      <w:pPr>
        <w:pStyle w:val="TextoNormal"/>
      </w:pPr>
    </w:p>
    <w:p w:rsidR="00D06117" w:rsidRDefault="00D06117" w:rsidP="00D06117">
      <w:pPr>
        <w:pStyle w:val="TextoNormal"/>
      </w:pPr>
      <w:r>
        <w:t>Alega que la motivación de la Sentencia de suplicación se basó en hechos que no eran ciertos, pues ni se encontraba cuando sucedieron los hechos en período de descanso por maternidad, ni se había producido parto alguno, ni percibía la prestación de maternidad, sino que se encontraba de baja por incapacidad temporal y embarazada de aproximadamente diez semanas, constando todo ello acreditado en autos desde el primer momento, a través del expediente administrativo aportado por el INSS, del que se desprende que la recurrente se encontraba en situación de incapacidad temporal por enfermedad común, y no de permiso por maternidad.</w:t>
      </w:r>
    </w:p>
    <w:p w:rsidR="00D06117" w:rsidRDefault="00D06117" w:rsidP="00D06117">
      <w:pPr>
        <w:pStyle w:val="TextoNormal"/>
      </w:pPr>
    </w:p>
    <w:p w:rsidR="00D06117" w:rsidRDefault="00D06117" w:rsidP="00D06117">
      <w:pPr>
        <w:pStyle w:val="TextoNormal"/>
      </w:pPr>
      <w:r>
        <w:t>Tales hechos, además de inciertos, fueron alegados por primera vez por el Letrado del INSS en el recurso de suplicación, siendo incomprensiblemente tenidos en cuenta por la Sala para confirmar la sanción por no descansar después del parto, sin comprobar que no había fecha de parto en ningún documento, pues no había habido parto. Ante ello, la trabajadora aportó con la solicitud de nulidad de actuaciones un informe médico en el que constaba que en esos días se encontraba en la décima semana de gestación, sin que el mismo fuera tenido en cuenta por la Sala. Para acreditar aún más dicho extremo, aporta con la demanda de amparo una certificación de la inspección médica, acreditativa de que su baja lo fue por enfermedad común, y una copia del libro de familia.</w:t>
      </w:r>
    </w:p>
    <w:p w:rsidR="00D06117" w:rsidRDefault="00D06117" w:rsidP="00D06117">
      <w:pPr>
        <w:pStyle w:val="TextoNormal"/>
      </w:pPr>
    </w:p>
    <w:p w:rsidR="00D06117" w:rsidRDefault="00D06117" w:rsidP="00D06117">
      <w:pPr>
        <w:pStyle w:val="TextoNormal"/>
      </w:pPr>
      <w:r>
        <w:t>Entiende, por ello, que al condenársele por un hecho que no ha cometido se ha vulnerado su derecho a la tutela judicial efectiva, recordando que la STC 3/2011 considera vulnerado dicho derecho cuando la resolución judicial sea el resultado de un error patente en la determinación y selección del material de hecho o del presupuesto sobre el que se basa la decisión, produciendo efectos negativos en la esfera jurídica del ciudadano. Entiende que, en su caso, el error es de la magnitud de condenarla por no descansar después del parto, cuando en realidad se encontraba en la décima semana de gestación. Por ello, se le ha sancionado por un hecho que al cometerse no era infracción, vulnerándose el art. 25.1 CE.</w:t>
      </w:r>
    </w:p>
    <w:p w:rsidR="00D06117" w:rsidRDefault="00D06117" w:rsidP="00D06117">
      <w:pPr>
        <w:pStyle w:val="TextoNormal"/>
      </w:pPr>
    </w:p>
    <w:p w:rsidR="00D06117" w:rsidRDefault="00D06117" w:rsidP="00D06117">
      <w:pPr>
        <w:pStyle w:val="TextoNormal"/>
      </w:pPr>
      <w:r>
        <w:t xml:space="preserve">La Sentencia incurre además en incongruencia extra petitum, con vulneración del derecho a no sufrir indefensión, al alterar la causa petendi y basar su pronunciamiento condenatorio en un hecho y fundamento jurídico distinto del alegado por el INSS para iniciar el expediente sancionador. La Dirección provincial del INSS inició el expediente sancionador con propuesta de pérdida de la prestación de incapacidad temporal al haberse puesto de manifiesto que, encontrándose de baja médica, había asistido a diversas tutorías como profesora tutora, lo que se consideraba incompatible con la percepción de la prestación de incapacidad temporal. En base a ello la trabajadora articuló su defensa, dirigida a acreditar su condición de becaria en la UNED cuando firmó las tutorías y la compatibilidad de dicha actividad con la situación de baja médica, siéndole dada la razón por el Juez de instancia. Es en el recurso de suplicación cuando el INSS cambia los hechos y los preceptos que invoca como fundamentadores de la sanción, aduciendo la existencia de una situación de baja por maternidad y la especial dedicación como madre que ello comporta para el cuidado de su salud y del hijo. Es esta invocación en el recurso de haberse infringido el descanso materno, que es un hecho falso, al no haber habido parto, y ser también improcedente el precepto </w:t>
      </w:r>
      <w:r>
        <w:lastRenderedPageBreak/>
        <w:t>invocado, pues no se cobró subsidio por maternidad, la que induce a error al Tribunal, llegándose a afirmar en la Sentencia que en el momento de los hechos se encontraba en período de puerperio, lo que constituye finalmente el único motivo por el que se la sanciona.</w:t>
      </w:r>
    </w:p>
    <w:p w:rsidR="00D06117" w:rsidRDefault="00D06117" w:rsidP="00D06117">
      <w:pPr>
        <w:pStyle w:val="TextoNormal"/>
      </w:pPr>
    </w:p>
    <w:p w:rsidR="00D06117" w:rsidRDefault="00D06117" w:rsidP="00D06117">
      <w:pPr>
        <w:pStyle w:val="TextoNormal"/>
      </w:pPr>
      <w:r>
        <w:t>La desestimación de su recurso de aclaración y la inadmisión del incidente de nulidad de actuaciones y del posterior recurso de casación para la unificación de doctrina han impedido que se revisara en la vía judicial una Sentencia basada en un hecho erróneo, por lo que debe ser el Tribunal Constitucional quien declare la nulidad de la Sentencia y ordene la retroacción de las actuaciones al momento procesal oportuno, resolviendo así la violación de derechos fundamentales que le ha sido causada a la demandante.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10 de noviembre de 2011 la Sala Segunda acordó admitir a trámite la demanda de amparo y, a tenor de lo dispuesto en el art. 51 de la Ley Orgánica del Tribunal Constitucional, dirigir atenta comunicación a la Sala de lo Social del Tribunal Supremo, a la Sala de lo Social del Tribunal Superior de Justicia de Galicia y al Juzgado de lo Social núm. 3 de A Coruña a fin de que, en plazo que no excediera de diez días, remitieran, respectivamente, certificación o fotocopia adverada de las actuaciones correspondientes al recurso de casación para la unificación de doctrina núm. 2636-2010, del recurso de suplicación núm. 620-2007 y de los autos núm. 985-2005, interesándose al propio tiempo del Juzgado que se emplazara, para que en plazo de diez días pudieran comparecer, si lo desearan, en el recurso de amparo, a quienes hubieran sido parte en el procedimiento, excepto la parte recurrente en amparo.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el día 9 de diciembre de 2011, el Letrado de la Administración de la Seguridad Social, actuando en nombre y representación del INSS, solicitó que se le tuviera por personado y parte en el procedimiento.</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del Secretario de Justicia de la Sala Segunda, de 13 de diciembre de 2011, se acordó tener por personado y parte en el procedimiento al Letrado de la Administración de la Seguridad Social, en nombre y representación del INSS, acordándose dar vista de las actuaciones recibidas a las partes personadas y al Ministerio Fiscal, por plazo común de veinte días, dentro de los cuales podrían presentar las alegaciones que estimaran pertinentes.</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el día 17 de enero de 2012 el Letrado de la Administración de la Seguridad Social, actuando en nombre y representación del INSS, presentó sus alegaciones, interesando la desestimación del recurso de amparo.</w:t>
      </w:r>
    </w:p>
    <w:p w:rsidR="00D06117" w:rsidRDefault="00D06117" w:rsidP="00D06117">
      <w:pPr>
        <w:pStyle w:val="TextoNormal"/>
      </w:pPr>
    </w:p>
    <w:p w:rsidR="00D06117" w:rsidRDefault="00D06117" w:rsidP="00D06117">
      <w:pPr>
        <w:pStyle w:val="TextoNormal"/>
      </w:pPr>
      <w:r>
        <w:t xml:space="preserve">Tras recoger los antecedentes del caso, rechaza en primer lugar el Letrado de la Administración de la Seguridad Social que se haya producido en la Sentencia recurrida un error patente en la determinación de los hechos con relevancia constitucional, toda vez que entiende que no puede decirse que el supuesto error se deba a la exclusiva culpa del órgano jurisdiccional pues, tanto en la tramitación del expediente administrativo, en la propia demanda de la actora, así como en los hechos probados de la Sentencia de instancia se ha partido siempre de la existencia de una baja por incapacidad temporal por maternidad, circunstancia que siempre ha sido corroborada y nunca debatida por la actora. Es más, en el escrito de impugnación del recurso de suplicación la trabajadora afirma taxativamente que </w:t>
      </w:r>
      <w:r>
        <w:lastRenderedPageBreak/>
        <w:t>se encontraba en situación de descanso por maternidad, al señalar textualmente: “puesto que el descanso por maternidad de la actora no se ha visto limitado en modo alguno por las aproximadamente seis horas que acudió a la UNED a fin de autorizar las dos asignaturas de las que encargaba”. De esta manera, durante el proceso no sólo no se ha negado por la actora la existencia de un descanso por maternidad durante el cual se habían realizado funciones de tutoría sino que, por el contrario, la actora ha corroborado expresamente tal extremo, y es sólo a partir del Auto por el que la Sala de lo Social del Tribunal Superior de Justicia de Galicia deniega la pretensión de aclaración cuando se cuestionan por la actora los hechos. Estaríamos así, en su caso, ante un supuesto de negligente defensa de los intereses de la actora, cuyas consecuencias habría que dirimirlas a través de un procedimiento muy distinto al del recurso de amparo.</w:t>
      </w:r>
    </w:p>
    <w:p w:rsidR="00D06117" w:rsidRDefault="00D06117" w:rsidP="00D06117">
      <w:pPr>
        <w:pStyle w:val="TextoNormal"/>
      </w:pPr>
    </w:p>
    <w:p w:rsidR="00D06117" w:rsidRDefault="00D06117" w:rsidP="00D06117">
      <w:pPr>
        <w:pStyle w:val="TextoNormal"/>
      </w:pPr>
      <w:r>
        <w:t>Señala a continuación el Letrado que la Sentencia recurrida, en su construcción, se ajusta al principio de congruencia y no vulnera el derecho a la tutela judicial efectiva. La Sala fundamenta su Sentencia en base a los hechos fijados en el procedimiento e indiscutidos por las partes, tanto la demandada como la actora, que según se ha señalado corrobora la interpretación de que la situación de baja por maternidad significaba el disfrute del descanso por maternidad, y a dicho presupuesto fáctico aplica razonadamente la consecuencia jurídica oportuna, de manera que concluye la radical incompatibilidad del descanso por maternidad con la realización de actividades lucrativas. De este modo, la Sentencia se construye adecuadamente, pues el art. 24 CE ni garantiza la satisfacción de la pretensión, ni el acierto de la Sentencia en la interpretación y aplicación del Derecho, ni asegura las verdades materiales de los hechos. Basta con la coherencia entre los presupuestos fácticos, el razonamiento jurídico y el fallo, y que ello sea el resultado de un proceso lógico con la cobertura de un procedimiento seguido en el que las partes hayan tenido todas las garantías. Estos principios y presupuestos entiende que se han cumplido en su totalidad en el proceso que nos ocupa, debiéndose destacar que la Sala ha valorado los mismos hechos que se tomaron en consideración en la instancia.</w:t>
      </w:r>
    </w:p>
    <w:p w:rsidR="00D06117" w:rsidRDefault="00D06117" w:rsidP="00D06117">
      <w:pPr>
        <w:pStyle w:val="TextoNormal"/>
      </w:pPr>
    </w:p>
    <w:p w:rsidR="00D06117" w:rsidRDefault="00D06117" w:rsidP="00D06117">
      <w:pPr>
        <w:pStyle w:val="TextoNormal"/>
      </w:pPr>
      <w:r>
        <w:t>En lo que se refiere, finalmente, a la queja de incongruencia, entiende la representación procesal del INSS que no ha existido tal, al no producirse una desviación en la Sentencia respecto de las alegaciones y posiciones de las partes en el proceso. La cuestión suscitada se debatió ampliamente en el proceso de instancia, como también en el marco del recurso de suplicación. Es más, la trabajadora afirmó que se encontraba en situación de descanso de maternidad y no negó que la sanción deviniera precisamente de la realización de actividades durante dicho descanso, sino que su defensa se fundamentó en la plena compatibilidad, que a su juicio existía, entre la situación de descanso por maternidad y la correlativa percepción de la prestación económica de la Seguridad Social y la realización de la actividad de tutora en el centro de la UNED.</w:t>
      </w:r>
    </w:p>
    <w:p w:rsidR="00D06117" w:rsidRDefault="00D06117" w:rsidP="00D06117">
      <w:pPr>
        <w:pStyle w:val="TextoNormal"/>
      </w:pPr>
    </w:p>
    <w:p w:rsidR="00D06117" w:rsidRDefault="00D06117" w:rsidP="00D06117">
      <w:pPr>
        <w:pStyle w:val="TextoNormal"/>
      </w:pPr>
      <w:r w:rsidRPr="00D06117">
        <w:rPr>
          <w:rStyle w:val="NumeroAFNegritaCaracter"/>
        </w:rPr>
        <w:t>8</w:t>
      </w:r>
      <w:r>
        <w:t>. El Fiscal ante el Tribunal Constitucional presentó sus alegaciones mediante escrito registrado el día 16 de enero de 2012, interesando el otorgamiento del amparo por vulneración del derecho a la tutela judicial efectiva (art. 24.1 CE).</w:t>
      </w:r>
    </w:p>
    <w:p w:rsidR="00D06117" w:rsidRDefault="00D06117" w:rsidP="00D06117">
      <w:pPr>
        <w:pStyle w:val="TextoNormal"/>
      </w:pPr>
    </w:p>
    <w:p w:rsidR="00D06117" w:rsidRDefault="00D06117" w:rsidP="00D06117">
      <w:pPr>
        <w:pStyle w:val="TextoNormal"/>
      </w:pPr>
      <w:r>
        <w:t xml:space="preserve">Comienza por advertir el Ministerio Fiscal, tras recoger ampliamente los antecedentes del caso y las alegaciones de la demandante, que ésta no formula reproche alguno contra el Auto dictado por la Sala de lo Social del Tribunal Supremo que inadmitió su recurso de casación para la unificación de doctrina, por lo que dicha resolución debe quedar fuera del </w:t>
      </w:r>
      <w:r>
        <w:lastRenderedPageBreak/>
        <w:t>presente proceso, sin perjuicio de que, de estimarse el recurso, la misma sea también dejada sin efecto. En segundo lugar, considera necesario destacar que, frente a lo afirmado en la demanda, la Sentencia de suplicación cuestionada no impuso ninguna sanción a la recurrente, limitándose a estimar el recurso interpuesto por el INSS y, en consecuencia, a desestimar la demanda de la recurrente, declarando ajustada a derecho la sanción impuesta por el INSS.</w:t>
      </w:r>
    </w:p>
    <w:p w:rsidR="00D06117" w:rsidRDefault="00D06117" w:rsidP="00D06117">
      <w:pPr>
        <w:pStyle w:val="TextoNormal"/>
      </w:pPr>
    </w:p>
    <w:p w:rsidR="00D06117" w:rsidRDefault="00D06117" w:rsidP="00D06117">
      <w:pPr>
        <w:pStyle w:val="TextoNormal"/>
      </w:pPr>
      <w:r>
        <w:t>Tras recordar la doctrina constitucional recogida en la STC 3/2011 en materia de ausencia de motivación por error, resalta la Fiscal los diversos elementos que concurren en el presente supuesto. La Sentencia de instancia, transcribiendo lo que aparecía en el expediente sancionador, declaró como hechos probados que la actora figuraba en situación de incapacidad temporal por maternidad. En el recurso de suplicación del INSS, éste se atuvo al relato de hechos probados y adujo en exclusividad infracción legal, refutando la argumentación contenida en la Sentencia de instancia, por entender que no se estaba en presencia de una baja por enfermedad o accidente, sino ante una situación de maternidad, cuya finalidad entendía conculcada con la realización de cualquier actividad laboral. La ahora recurrente, al impugnar el recurso, mostraba su plena aquiescencia a lo argumentado por la Sentencia de instancia, señalando que “correspondería a la demandada probar dichas circunstancias, al tratarse de una actividad sancionadora, no habiéndolo hecho así, y no resultando suficientes las alegaciones de la entidad gestora recurrente, puesto que el descanso por maternidad de la actora no se había visto limitado en modo alguno por las aproximadamente seis horas que acudió a la UNED”.</w:t>
      </w:r>
    </w:p>
    <w:p w:rsidR="00D06117" w:rsidRDefault="00D06117" w:rsidP="00D06117">
      <w:pPr>
        <w:pStyle w:val="TextoNormal"/>
      </w:pPr>
    </w:p>
    <w:p w:rsidR="00D06117" w:rsidRDefault="00D06117" w:rsidP="00D06117">
      <w:pPr>
        <w:pStyle w:val="TextoNormal"/>
      </w:pPr>
      <w:r>
        <w:t>De todo ello deduce la Fiscal que el hecho de que la Sentencia de suplicación partiera del extremo de que la ahora demandante se encontraba disfrutando de una prestación económica por maternidad no encuentra cabal encaje en el error patente, tal y como ha sido configurado por la doctrina constitucional. Por un lado, figuraba como hecho probado en la Sentencia recurrida que la actora se encontraba en situación de incapacidad temporal por maternidad, expresión ambigua y no del todo inusual, pues es sabido que, en su primitiva configuración, el subsidio por maternidad se articulaba como incapacidad temporal y que, en todo caso, ambos han mantenido durante mucho tiempo una regulación común. Por otro lado, el INSS en su recurso de suplicación adujo que la trabajadora se encontraba en situación de baja por maternidad, y este extremo, no sólo no fue contradicho por la ahora demandante en su escrito de impugnación, sino que fue expresamente asumido como cierto por ella en el mismo. Por lo que al tratarse de un recurso de suplicación en el que no se cuestionaba la resultancia fáctica, la Sala de lo Social no tenía porqué examinar ni el expediente administrativo ni el proceso laboral, dado que la totalidad de las partes habían mostrado su plena conformidad con el relato de hechos probados y habían afirmado igualmente ambas en el recurso de suplicación y en el escrito de impugnación del mismo que la trabajadora se encontraba de baja por maternidad, por lo que no cabe afirmar que el error sea atribuible en exclusividad al órgano judicial. Una vez afirmado que la trabajadora se encontraba de baja por maternidad y acreditado que al día siguiente de iniciar tal situación había prestado servicios como profesora, estimar que ello se había realizado en el período puerperal aparece como incontestable.</w:t>
      </w:r>
    </w:p>
    <w:p w:rsidR="00D06117" w:rsidRDefault="00D06117" w:rsidP="00D06117">
      <w:pPr>
        <w:pStyle w:val="TextoNormal"/>
      </w:pPr>
    </w:p>
    <w:p w:rsidR="00D06117" w:rsidRDefault="00D06117" w:rsidP="00D06117">
      <w:pPr>
        <w:pStyle w:val="TextoNormal"/>
      </w:pPr>
      <w:r>
        <w:t xml:space="preserve">Estas consideraciones, añade la Fiscal, podrían conllevar la desestimación del presente motivo de amparo. Sin embargo, no puede obviarse que aparece fuera de toda duda que la trabajadora no había dado a luz, no estaba percibiendo la prestación por maternidad y las </w:t>
      </w:r>
      <w:r>
        <w:lastRenderedPageBreak/>
        <w:t>tareas por ella realizadas no lo fueron en el período puerperal, única causa que motivó que se estimase el recurso de la contraparte, y que la inexistencia de alumbramiento y el extremo de tratarse de una baja por enfermedad común fue puesta de manifiesto ante la Sala, aportando nueva prueba, sin que ésta accediese a analizar lo alegado por la trabajadora so pretexto de que contra la Sentencia cabía recurso de casación para la unificación de doctrina, recurso que, dada su función, tenía una eficacia harto discutible, por no decir nula, para corregir el error habido. Es cierto que la trabajadora coadyuvó al error, pero el examen de su impugnación al recurso de suplicación pone de manifiesto que no concedía relevancia alguna a dicho dato, por estimar que, tanto si se trataba de una incapacidad temporal como de una baja por maternidad, lo relevante era que la realización de la actividad supusiera un menoscabo para su salud, conforme a determinada doctrina jurisprudencial acogida por el Juez de instancia. No puede dejar de reseñarse que la incapacidad temporal de la trabajadora fue debida a una “hiperémesis gravídica” (documento 6 de los aportados en la demanda) o, lo que es lo mismo, que su situación incapacitante derivaba de su estado de gestación.</w:t>
      </w:r>
    </w:p>
    <w:p w:rsidR="00D06117" w:rsidRDefault="00D06117" w:rsidP="00D06117">
      <w:pPr>
        <w:pStyle w:val="TextoNormal"/>
      </w:pPr>
    </w:p>
    <w:p w:rsidR="00D06117" w:rsidRDefault="00D06117" w:rsidP="00D06117">
      <w:pPr>
        <w:pStyle w:val="TextoNormal"/>
      </w:pPr>
      <w:r>
        <w:t>En relación con la segunda queja, referida a la existencia de una incongruencia extra petitum, recuerda el Ministerio Fiscal cómo la propia recurrente admite que fue la entidad gestora en su recurso quien introdujo el dato de que se había infringido el descanso por maternidad, siendo éste el único motivo del recurso de suplicación, del que se le dio traslado y que impugnó como tuvo por pertinente. Por lo tanto, la Sentencia de suplicación, al centrar la cuestión debatida en este único extremo, en modo alguno alteró los términos del debate, que se circunscribía en exclusividad a dicha cuestión. Es verdad que la Sentencia hizo especial hincapié en el extremo de que se había trabajado durante la fase de puerperio, lo que no había sido aducido en el recurso de suplicación, pero también lo es que, siendo dicha fase la que prosigue al alumbramiento con inmediatez, tal conclusión aparecía como palmaria.</w:t>
      </w:r>
    </w:p>
    <w:p w:rsidR="00D06117" w:rsidRDefault="00D06117" w:rsidP="00D06117">
      <w:pPr>
        <w:pStyle w:val="TextoNormal"/>
      </w:pPr>
    </w:p>
    <w:p w:rsidR="00D06117" w:rsidRDefault="00D06117" w:rsidP="00D06117">
      <w:pPr>
        <w:pStyle w:val="TextoNormal"/>
      </w:pPr>
      <w:r>
        <w:t>Por todo lo expuesto concluye el Ministerio Fiscal interesando que se dicte Sentencia otorgando el amparo, declarando vulnerado el derecho a la tutela judicial efectiva (art. 24.1 CE) y anulando la Sentencia de suplicación, así como las resoluciones dictadas con posterioridad, retrotrayendo las actuaciones al momento inmediatamente anterior al dictado de la Sentencia a fin de que se dicte una nueva respetuosa con el derecho a la tutela judicial efectiva de la demandante.</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8 de marzo de 2012 se señaló para la deliberación y votación de la presente Sentencia el día 12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Recurre la demandante de amparo la Sentencia dictada por la Sala de lo Social del Tribunal Superior de Justicia de Galicia, de fecha 17 de marzo de 2010, que estimó el recurso de suplicación interpuesto por el Instituto Nacional de la Seguridad Social (INSS) contra la Sentencia del Juzgado de lo Social número 3 de A Coruña de 27 de noviembre de 2006, y las resoluciones posteriores que de ella traen causa, por entender que la misma ha vulnerado su derecho a la tutela judicial efectiva (art. 24.1 CE) y el derecho a no ser sancionada por un hecho que al cometerse no era infracción (art. 25.1 CE).</w:t>
      </w:r>
    </w:p>
    <w:p w:rsidR="00D06117" w:rsidRDefault="00D06117" w:rsidP="00D06117">
      <w:pPr>
        <w:pStyle w:val="TextoNormal"/>
      </w:pPr>
    </w:p>
    <w:p w:rsidR="00D06117" w:rsidRDefault="00D06117" w:rsidP="00D06117">
      <w:pPr>
        <w:pStyle w:val="TextoNormal"/>
      </w:pPr>
      <w:r>
        <w:lastRenderedPageBreak/>
        <w:t>La trabajadora fue sancionada por el INSS con la pérdida durante tres meses de la prestación de incapacidad temporal por haber realizado encontrándose en dicha situación varias tutorías en un centro de la Universidad Nacional de Educación a Distancia (UNED). La Sentencia recurrida confirma la sanción por entender que las actividades desarrolladas eran incompatibles con el descanso por maternidad y con los necesarios cuidados de la madre en el periodo de puerperio. Aduce frente a ello la demandante que la Sentencia recurrida se basó en un hecho erróneo, toda vez que cuando realizó las actividades que dieron lugar al expediente sancionador se encontraba entre el segundo y tercer mes de embarazo y su situación era la de incapacidad temporal por enfermedad común y no por maternidad, no habiendo habido parto, y que tal hecho era además ajeno a lo aducido por el INSS al imponerle la sanción, incurriendo así la Sentencia tanto en motivación errónea como en incongruencia extra petitum, sancionándosele, en definitiva, por un hecho que no había cometido.</w:t>
      </w:r>
    </w:p>
    <w:p w:rsidR="00D06117" w:rsidRDefault="00D06117" w:rsidP="00D06117">
      <w:pPr>
        <w:pStyle w:val="TextoNormal"/>
      </w:pPr>
    </w:p>
    <w:p w:rsidR="00D06117" w:rsidRDefault="00D06117" w:rsidP="00D06117">
      <w:pPr>
        <w:pStyle w:val="TextoNormal"/>
      </w:pPr>
      <w:r>
        <w:t>El Ministerio Fiscal interesa el otorgamiento del amparo, por considerar que la única causa que motivó que el órgano judicial estimase el recurso de la entidad gestora y declarase acomodada a derecho la sanción impuesta a la trabajadora se basó en un dato erróneo, cual era el de que la trabajadora había dado a luz, se encontraba percibiendo la prestación por maternidad y había realizado las tareas por las que fue sancionada durante el período puerperal, lo que resultó no ser cierto.</w:t>
      </w:r>
    </w:p>
    <w:p w:rsidR="00D06117" w:rsidRDefault="00D06117" w:rsidP="00D06117">
      <w:pPr>
        <w:pStyle w:val="TextoNormal"/>
      </w:pPr>
    </w:p>
    <w:p w:rsidR="00D06117" w:rsidRDefault="00D06117" w:rsidP="00D06117">
      <w:pPr>
        <w:pStyle w:val="TextoNormal"/>
      </w:pPr>
      <w:r>
        <w:t>La representación procesal del INSS solicita, por el contrario, la desestimación de la demanda, al considerar que el error aducido no fue únicamente imputable al órgano judicial, sino que coadyuvó al mismo la demandante con una negligente defensa de sus intereses, y que la resolución recurrida se ajustó al principio de congruencia, no vulnerando el derecho a la tutela judicial efectiva ni incurriendo en desviación respecto de las alegaciones y posiciones de las partes en el proceso.</w:t>
      </w:r>
    </w:p>
    <w:p w:rsidR="00D06117" w:rsidRDefault="00D06117" w:rsidP="00D06117">
      <w:pPr>
        <w:pStyle w:val="TextoNormal"/>
      </w:pPr>
    </w:p>
    <w:p w:rsidR="00D06117" w:rsidRDefault="00D06117" w:rsidP="00D06117">
      <w:pPr>
        <w:pStyle w:val="TextoNormal"/>
      </w:pPr>
      <w:r w:rsidRPr="00D06117">
        <w:rPr>
          <w:rStyle w:val="NumeroAFNegritaCaracter"/>
        </w:rPr>
        <w:t>2</w:t>
      </w:r>
      <w:r>
        <w:t>. Aduciéndose por la demandante, en primer lugar, la existencia de una motivación errónea en la resolución recurrida, procede comenzar nuestro enjuiciamiento recordando la consolidada doctrina de este Tribunal sobre el error con relevancia constitucional. Este Tribunal tiene reiteradamente declarado que el derecho a la tutela judicial efectiva requiere respuestas judiciales fundadas en Derecho, como garantía de que la decisión no sea consecuencia de una aplicación arbitraria de la legalidad, no resulte manifiestamente irrazonada o irrazonable o incurra en un error patente, pues, en tal caso, la aplicación de la legalidad sería tan sólo una mera apariencia (SSTC 147/1999, de 4 de agosto, FJ 3; 25/2000, de 31 de enero, FJ 2; 82/2001, de 26 de marzo, FJ 2; 55/2003, de 24 de marzo, FJ 6; y 223/2005, de 12 de septiembre, FJ 3).</w:t>
      </w:r>
    </w:p>
    <w:p w:rsidR="00D06117" w:rsidRDefault="00D06117" w:rsidP="00D06117">
      <w:pPr>
        <w:pStyle w:val="TextoNormal"/>
      </w:pPr>
    </w:p>
    <w:p w:rsidR="00D06117" w:rsidRDefault="00D06117" w:rsidP="00D06117">
      <w:pPr>
        <w:pStyle w:val="TextoNormal"/>
      </w:pPr>
      <w:r>
        <w:t xml:space="preserve">Ahora bien, para que un error, en tanto que manifestación del juzgador no ajustada a la realidad, pueda afectar al derecho a la tutela judicial efectiva (art. 24.1 CE) es necesario que concurran en él ciertas características, pues no toda inexactitud o equivocación del juzgador tiene relevancia constitucional. Como hemos recordado en la STC 167/2008, de 15 de diciembre, citando otras anteriores, “para poder apreciar un error de este tipo es necesario que concurran los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w:t>
      </w:r>
      <w:r>
        <w:lastRenderedPageBreak/>
        <w:t>imputable a la negligencia de la parte; c) que sea de carácter eminentemente fáctico, además de patente, esto es, inmediatamente verificable de forma incontrovertible a partir de las actuaciones judiciales y sin necesidad de recurrir a ninguna valoración o consideración jurídica; y d) que produzca efectos negativos en la esfera del ciudadano.” (FJ 2).</w:t>
      </w:r>
    </w:p>
    <w:p w:rsidR="00D06117" w:rsidRDefault="00D06117" w:rsidP="00D06117">
      <w:pPr>
        <w:pStyle w:val="TextoNormal"/>
      </w:pPr>
    </w:p>
    <w:p w:rsidR="00D06117" w:rsidRDefault="00D06117" w:rsidP="00D06117">
      <w:pPr>
        <w:pStyle w:val="TextoNormal"/>
      </w:pPr>
      <w:r w:rsidRPr="00D06117">
        <w:rPr>
          <w:rStyle w:val="NumeroAFNegritaCaracter"/>
        </w:rPr>
        <w:t>3</w:t>
      </w:r>
      <w:r>
        <w:t>. La aplicación de la anterior doctrina permite descartar la vulneración por la resolución recurrida del derecho a la tutela judicial efectiva de la demandante desde la perspectiva considerada, toda vez que, aun aceptando que el órgano judicial pudiera haber incurrido en un error al atribuir a la maternidad la situación de baja laboral de la trabajadora y que dicho error pudo ser determinante de la decisión adoptada, el mismo, sin embargo, sería en gran medida imputable a la negligencia de la propia trabajadora, que no actuó con la diligencia exigible para poder invocar ahora la vulneración de su derecho a la tutela judicial efectiva y no puede exigirse al juzgador en justicia rogada que sepa más de lo que las partes le ponen de manifiesto.</w:t>
      </w:r>
    </w:p>
    <w:p w:rsidR="00D06117" w:rsidRDefault="00D06117" w:rsidP="00D06117">
      <w:pPr>
        <w:pStyle w:val="TextoNormal"/>
      </w:pPr>
    </w:p>
    <w:p w:rsidR="00D06117" w:rsidRDefault="00D06117" w:rsidP="00D06117">
      <w:pPr>
        <w:pStyle w:val="TextoNormal"/>
      </w:pPr>
      <w:r>
        <w:t>En efecto, no cabe imputar al órgano judicial el haber incurrido en un error fáctico patente en la motivación de su resolución, ni considerar que el mismo resultaba inmediatamente verificable de forma incontrovertible a partir de las actuaciones judiciales, cuando en el caso analizado concurren los siguientes elementos:</w:t>
      </w:r>
    </w:p>
    <w:p w:rsidR="00D06117" w:rsidRDefault="00D06117" w:rsidP="00D06117">
      <w:pPr>
        <w:pStyle w:val="TextoNormal"/>
      </w:pPr>
    </w:p>
    <w:p w:rsidR="00D06117" w:rsidRDefault="00D06117" w:rsidP="00D06117">
      <w:pPr>
        <w:pStyle w:val="TextoNormal"/>
      </w:pPr>
      <w:r>
        <w:t>a) El expediente sancionador iniciado por el INSS se basó en un informe de la Inspección de Trabajo y Seguridad Social en el que se indicaba que la trabajadora estaba en situación de baja por incapacidad temporal derivada de maternidad.</w:t>
      </w:r>
    </w:p>
    <w:p w:rsidR="00D06117" w:rsidRDefault="00D06117" w:rsidP="00D06117">
      <w:pPr>
        <w:pStyle w:val="TextoNormal"/>
      </w:pPr>
    </w:p>
    <w:p w:rsidR="00D06117" w:rsidRDefault="00D06117" w:rsidP="00D06117">
      <w:pPr>
        <w:pStyle w:val="TextoNormal"/>
      </w:pPr>
      <w:r>
        <w:t>b) En el escrito de demanda presentado por la trabajadora se recogía como hecho que había sido sancionada por realizar actividades mientras se encontraba en situación de baja por incapacidad temporal derivada de maternidad, sin realizarse matización o aclaración alguna sobre dicho hecho.</w:t>
      </w:r>
    </w:p>
    <w:p w:rsidR="00D06117" w:rsidRDefault="00D06117" w:rsidP="00D06117">
      <w:pPr>
        <w:pStyle w:val="TextoNormal"/>
      </w:pPr>
    </w:p>
    <w:p w:rsidR="00D06117" w:rsidRDefault="00D06117" w:rsidP="00D06117">
      <w:pPr>
        <w:pStyle w:val="TextoNormal"/>
      </w:pPr>
      <w:r>
        <w:t>c) La Sentencia de 22 de noviembre de 2006 del Juzgado de lo Social núm. 3 de A Coruña recogió expresamente como hecho probado que la trabajadora figuraba en situación de incapacidad temporal por maternidad.</w:t>
      </w:r>
    </w:p>
    <w:p w:rsidR="00D06117" w:rsidRDefault="00D06117" w:rsidP="00D06117">
      <w:pPr>
        <w:pStyle w:val="TextoNormal"/>
      </w:pPr>
    </w:p>
    <w:p w:rsidR="00D06117" w:rsidRDefault="00D06117" w:rsidP="00D06117">
      <w:pPr>
        <w:pStyle w:val="TextoNormal"/>
      </w:pPr>
      <w:r>
        <w:t>d) El recurso de suplicación interpuesto por el INSS contra la anterior Sentencia se basó, única y exclusivamente, en la incompatibilidad de las actividades realizadas por la trabajadora con su situación de descanso por maternidad, teniendo en cuenta su específica finalidad dirigida a la recuperación de las secuelas del parto y a la atención del recién nacido.</w:t>
      </w:r>
    </w:p>
    <w:p w:rsidR="00D06117" w:rsidRDefault="00D06117" w:rsidP="00D06117">
      <w:pPr>
        <w:pStyle w:val="TextoNormal"/>
      </w:pPr>
    </w:p>
    <w:p w:rsidR="00D06117" w:rsidRDefault="00D06117" w:rsidP="00D06117">
      <w:pPr>
        <w:pStyle w:val="TextoNormal"/>
      </w:pPr>
      <w:r>
        <w:t>e) En el escrito de impugnación presentado por la trabajadora frente a dicho recurso, ésta no sólo no cuestionó el anterior dato fáctico de la maternidad sino que afirmó expresamente que “su descanso por maternidad no se había visto limitado en modo alguno por esas aproximadamente seis horas en que acudió a la UNED a fin de autorizar las dos asignaturas de las que se encargaba”.</w:t>
      </w:r>
    </w:p>
    <w:p w:rsidR="00D06117" w:rsidRDefault="00D06117" w:rsidP="00D06117">
      <w:pPr>
        <w:pStyle w:val="TextoNormal"/>
      </w:pPr>
    </w:p>
    <w:p w:rsidR="00D06117" w:rsidRDefault="00D06117" w:rsidP="00D06117">
      <w:pPr>
        <w:pStyle w:val="TextoNormal"/>
      </w:pPr>
      <w:r>
        <w:t xml:space="preserve">f) Finalmente, frente a la Sentencia de suplicación interpuso en primer término la trabajadora un recurso de aclaración en el que, nuevamente, no sólo no hizo consideración alguna sobre la existencia del pretendido error, sino que se interesó por la aclaración de cuál de las actividades —el trabajo por cuenta propia o el trabajo por cuenta ajena— consideradas como </w:t>
      </w:r>
      <w:r>
        <w:lastRenderedPageBreak/>
        <w:t>causa de denegación, anulación o suspensión del derecho de subsidio en los arts. 132.1 y 133 quinquies de la Ley general de la Seguridad Social (LGSS) (precepto este último referido a la prestación por maternidad) había sido la determinante de la sanción impuesta.</w:t>
      </w:r>
    </w:p>
    <w:p w:rsidR="00D06117" w:rsidRDefault="00D06117" w:rsidP="00D06117">
      <w:pPr>
        <w:pStyle w:val="TextoNormal"/>
      </w:pPr>
    </w:p>
    <w:p w:rsidR="00D06117" w:rsidRDefault="00D06117" w:rsidP="00D06117">
      <w:pPr>
        <w:pStyle w:val="TextoNormal"/>
      </w:pPr>
      <w:r>
        <w:t>En tales condiciones, es obligado concluir que el error que ahora se aduce, ni era inmediatamente verificable de modo incontrovertible a partir de las actuaciones judiciales, ni era imputable al órgano judicial, sino al modo en que las partes, incluida la ahora demandante, llevaron los hechos al proceso. Es únicamente en el posterior incidente de nulidad de actuaciones que la demandante presenta tras la desestimación de su previo recurso de aclaración cuando, por primera vez, aduce que su baja laboral fue debida a una incapacidad temporal por enfermedad común, y no a una maternidad que, según indica, no tuvo lugar.</w:t>
      </w:r>
    </w:p>
    <w:p w:rsidR="00D06117" w:rsidRDefault="00D06117" w:rsidP="00D06117">
      <w:pPr>
        <w:pStyle w:val="TextoNormal"/>
      </w:pPr>
    </w:p>
    <w:p w:rsidR="00D06117" w:rsidRDefault="00D06117" w:rsidP="00D06117">
      <w:pPr>
        <w:pStyle w:val="TextoNormal"/>
      </w:pPr>
      <w:r w:rsidRPr="00D06117">
        <w:rPr>
          <w:rStyle w:val="NumeroAFNegritaCaracter"/>
        </w:rPr>
        <w:t>4</w:t>
      </w:r>
      <w:r>
        <w:t>. Sin embargo, el incidente fue inadmitido por la Sala por ser la Sentencia recurrible en casación para la unificación de doctrina, como también fue inadmitido, por falta de contradicción, este último recurso cuando finalmente se interpuso.</w:t>
      </w:r>
    </w:p>
    <w:p w:rsidR="00D06117" w:rsidRDefault="00D06117" w:rsidP="00D06117">
      <w:pPr>
        <w:pStyle w:val="TextoNormal"/>
      </w:pPr>
    </w:p>
    <w:p w:rsidR="00D06117" w:rsidRDefault="00D06117" w:rsidP="00D06117">
      <w:pPr>
        <w:pStyle w:val="TextoNormal"/>
      </w:pPr>
      <w:r>
        <w:t>En relación con este incidente de nulidad de actuaciones aduce la recurrente que no existía Sentencia de contradicción que permitiera plantear un recurso de casación para la unificación de doctrina, cuestión a la que también alude el Ministerio Fiscal señalando que la Sala se negó a analizar el error alegado por la recurrente bajo pretexto de la posibilidad de un recurso cuya eficacia era, sin embargo, harto discutible, por no decir nula, para corregir el error discutido. Es claro que la posibilidad de recurrir en casación para la unificación de doctrina está vinculada a la existencia de una Sentencia de contradicción que permita fundar el recurso, en cuya ausencia la Sentencia de suplicación no es en realidad recurrible, por lo que sí cabría el incidente de nulidad de actuaciones, cosa distinta es que en este caso, lo cierto es que cuando se presentó el incidente la Sentencia no era aún firme, porque estaba en plazo para la presentación de un posible recurso de casación para unificación de doctrina, no concurriendo, por lo tanto, uno de los requisitos del art. 241.1 de la Ley Orgánica del Poder Judicial.</w:t>
      </w:r>
    </w:p>
    <w:p w:rsidR="00D06117" w:rsidRDefault="00D06117" w:rsidP="00D06117">
      <w:pPr>
        <w:pStyle w:val="TextoNormal"/>
      </w:pPr>
    </w:p>
    <w:p w:rsidR="00D06117" w:rsidRDefault="00D06117" w:rsidP="00D06117">
      <w:pPr>
        <w:pStyle w:val="TextoNormal"/>
      </w:pPr>
      <w:r w:rsidRPr="00D06117">
        <w:rPr>
          <w:rStyle w:val="NumeroAFNegritaCaracter"/>
        </w:rPr>
        <w:t>5</w:t>
      </w:r>
      <w:r>
        <w:t>. Se aduce en segundo lugar por la demandante la existencia de incongruencia extra petitum en la resolución recurrida, al entender que fue finalmente sancionada por un hecho distinto al aducido por el INSS en el inicio del procedimiento sancionador que dio lugar al proceso.</w:t>
      </w:r>
    </w:p>
    <w:p w:rsidR="00D06117" w:rsidRDefault="00D06117" w:rsidP="00D06117">
      <w:pPr>
        <w:pStyle w:val="TextoNormal"/>
      </w:pPr>
    </w:p>
    <w:p w:rsidR="00D06117" w:rsidRDefault="00D06117" w:rsidP="00D06117">
      <w:pPr>
        <w:pStyle w:val="TextoNormal"/>
      </w:pPr>
      <w:r>
        <w:t xml:space="preserve">Como ha recordado en numerosas ocasiones este Tribunal, la incongruencia por exceso o extra petitum se produce cuando el órgano judicial concede algo no pedido o se pronuncia sobre una pretensión que no fue oportunamente deducida por los litigantes, implicando un desajuste entre el fallo o la parte dispositiva de la resolución judicial y los términos en que las partes formularon sus pretensiones. Además, hemos declarado también reiteradamente que para que la incongruencia por exceso adquiera relevancia constitucional y pueda ser constitutiva de una lesión del derecho a la tutela judicial efectiva,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w:t>
      </w:r>
      <w:r>
        <w:lastRenderedPageBreak/>
        <w:t>proceso y respecto de las cuales, por consiguiente, las partes no tuvieron la oportunidad de ejercitar adecuadamente su derecho de defensa, formulando o exponiendo las alegaciones que tuvieran por conveniente en apoyo de sus respectivas posiciones procesales (por todas, STC 40/2006, de 13 de febrero, FJ 2).</w:t>
      </w:r>
    </w:p>
    <w:p w:rsidR="00D06117" w:rsidRDefault="00D06117" w:rsidP="00D06117">
      <w:pPr>
        <w:pStyle w:val="TextoNormal"/>
      </w:pPr>
    </w:p>
    <w:p w:rsidR="00D06117" w:rsidRDefault="00D06117" w:rsidP="00D06117">
      <w:pPr>
        <w:pStyle w:val="TextoNormal"/>
      </w:pPr>
      <w:r>
        <w:t>Nada de ello concurre en el caso analizado, como ponen de relieve tanto el Ministerio Fiscal como el Letrado de la Administración de la Seguridad Social. Según se ha recordado, la infracción por la trabajadora del descanso por maternidad constituyó el único motivo del recurso de suplicación planteado por el INSS, siendo dicho recurso impugnado por la trabajadora en los términos y mediante las alegaciones que estimó oportunos. Al resolver el recurso, la Sala lo hizo dando respuesta estrictamente a lo planteado y extrayendo razonadamente las conclusiones jurídicas correspondientes de los hechos fijados en el proceso y de lo debatido por las partes.</w:t>
      </w:r>
    </w:p>
    <w:p w:rsidR="00D06117" w:rsidRDefault="00D06117" w:rsidP="00D06117">
      <w:pPr>
        <w:pStyle w:val="TextoNormal"/>
      </w:pPr>
    </w:p>
    <w:p w:rsidR="00D06117" w:rsidRDefault="00D06117" w:rsidP="00D06117">
      <w:pPr>
        <w:pStyle w:val="TextoNormal"/>
      </w:pPr>
      <w:r>
        <w:t>Es cierto que en el recurso de suplicación el INSS invocó por primera vez como infringido el art. 133 quinquies LGSS, que regula la pérdida o suspensión del derecho al subsidio por maternidad, siendo así que en la resolución sancionadora y en el acto del juicio el precepto legal invocado para la imposición de la sanción fue el art. 132.1 b) LGSS, que regula la pérdida o suspensión del derecho al subsidio por incapacidad temporal. Aun sancionándose en ambos preceptos la realización de actividades laborales durante la percepción de una prestación por baja laboral, por una u otra de las situaciones protegidas, si la trabajadora entendía que el planteamiento del INSS en suplicación constituía una alteración de los términos del debate procesal debería haberlo alegado al impugnar el recurso, obligando a la Sala a pronunciarse sobre ello. No habiéndolo hecho así, no cabe imputar incongruencia a la Sentencia dictada, que resolvió el debate de suplicación en los estrictos términos planteados en el recurso y en su impugnación.</w:t>
      </w:r>
    </w:p>
    <w:p w:rsidR="00D06117" w:rsidRDefault="00D06117" w:rsidP="00D06117">
      <w:pPr>
        <w:pStyle w:val="TextoNormal"/>
      </w:pPr>
    </w:p>
    <w:p w:rsidR="00D06117" w:rsidRDefault="00D06117" w:rsidP="00D06117">
      <w:pPr>
        <w:pStyle w:val="TextoNormal"/>
      </w:pPr>
      <w:r w:rsidRPr="00D06117">
        <w:rPr>
          <w:rStyle w:val="NumeroAFNegritaCaracter"/>
        </w:rPr>
        <w:t>6</w:t>
      </w:r>
      <w:r>
        <w:t>. Finalmente, la invocación del art. 25.1 CE contenida en la demanda no implica, en realidad, una queja específica, distinta a lo ya analizado, de vulneración de dicho precepto. La demandante no aduce en su demanda que el hecho sancionado —la realización de actividades laborales durante la baja por maternidad— no constituyera infracción administrativa en la fecha en que se produjo, sino que el hecho no ocurrió y que, en consecuencia, no cometió la infracción. Pero ello no afecta al principio de legalidad sancionadora del art. 25.1 CE, sino que reitera la queja de error patente que ya ha sido descartada como vulneración del art. 24.1 CE.</w:t>
      </w:r>
    </w:p>
    <w:p w:rsidR="00D06117" w:rsidRDefault="00D06117" w:rsidP="00D06117">
      <w:pPr>
        <w:pStyle w:val="TextoNormal"/>
      </w:pPr>
    </w:p>
    <w:p w:rsidR="00D06117" w:rsidRDefault="00D06117" w:rsidP="00D06117">
      <w:pPr>
        <w:pStyle w:val="TextoNormal"/>
      </w:pPr>
      <w:r>
        <w:t>Por todo ello, será procedente el pronunciamiento de la letra b) del art. 53 de la Ley Orgánica del Tribunal Constitucional, al no apreciarse que la resolución judicial recurrida haya vulnerado los derechos fundamentales a la tutela judicial efectiva (art. 24.1 CE) y a la legalidad sancionadora (art. 25.1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Denegar el amparo solicitado por doña Carmen María García Miranda.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doce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5" w:name="SENTENCIA_2012_32"/>
      <w:r>
        <w:lastRenderedPageBreak/>
        <w:t>SENTENCIA 32/2012, de 15 de marzo de 2012</w:t>
      </w:r>
    </w:p>
    <w:bookmarkEnd w:id="3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ECLI:ES:TC:2012:32</w:t>
      </w:r>
    </w:p>
    <w:p w:rsidR="00D06117" w:rsidRDefault="00D06117" w:rsidP="00D06117">
      <w:pPr>
        <w:pStyle w:val="SntesisDescriptiva"/>
      </w:pPr>
    </w:p>
    <w:p w:rsidR="00D06117" w:rsidRDefault="00D06117" w:rsidP="00D06117">
      <w:pPr>
        <w:pStyle w:val="SntesisDescriptiva"/>
      </w:pPr>
      <w:r>
        <w:t>Conflicto positivo de competencia 4124-1999, 4216-1999. Interpuestos por el Consejo de Gobierno de la Junta de Andalucía y el Gobierno de la Generalitat de Cataluña en relación con el Real Decreto 844/1999, de 21 de mayo, por el que se autoriza la explotación de una lotería instantánea o presorteada y por el Gobierno de la Generalitat de Cataluña respecto del Real Decreto 1336/2005, de 11 de noviembre, por el que se autoriza a la Organización Nacional de Ciegos Españoles la explotación de una lotería instantánea o presorteada.</w:t>
      </w:r>
    </w:p>
    <w:p w:rsidR="00D06117" w:rsidRDefault="00D06117" w:rsidP="00D06117">
      <w:pPr>
        <w:pStyle w:val="SntesisDescriptiva"/>
      </w:pPr>
    </w:p>
    <w:p w:rsidR="00D06117" w:rsidRDefault="00D06117" w:rsidP="00D06117">
      <w:pPr>
        <w:pStyle w:val="SntesisAnaltica"/>
      </w:pPr>
      <w:r>
        <w:t>Distribución de competencias en materia de juego: validez de las disposiciones reglamentarias estatales (STC 163/1994).</w:t>
      </w:r>
    </w:p>
    <w:p w:rsidR="00D06117" w:rsidRDefault="00D06117" w:rsidP="00D06117">
      <w:pPr>
        <w:pStyle w:val="SntesisAnaltica"/>
      </w:pPr>
    </w:p>
    <w:p w:rsidR="00D06117" w:rsidRDefault="00D06117" w:rsidP="00D06117">
      <w:pPr>
        <w:pStyle w:val="Extracto"/>
      </w:pPr>
      <w:r>
        <w:t>1.</w:t>
      </w:r>
      <w:r>
        <w:tab/>
        <w:t xml:space="preserve">No cabe entender vulnerada la competencia de Andalucía en materia de juego, ya que la modalidad de lotería que se establece en la normativa impugnada es de ámbito nacional, lo que determina la competencia estatal sobre la misma, pues corresponde al Estado, </w:t>
      </w:r>
      <w:r w:rsidRPr="00D06117">
        <w:rPr>
          <w:i/>
        </w:rPr>
        <w:t>ex</w:t>
      </w:r>
      <w:r>
        <w:t xml:space="preserve"> art. 149.1.14 CE, la gestión del monopolio de la lotería nacional, y con él la facultad para organizar loterías de ámbito nacional (STC 163/1994) [FJ 4].</w:t>
      </w:r>
    </w:p>
    <w:p w:rsidR="00D06117" w:rsidRDefault="00D06117" w:rsidP="00D06117">
      <w:pPr>
        <w:pStyle w:val="Extracto"/>
      </w:pPr>
    </w:p>
    <w:p w:rsidR="00D06117" w:rsidRDefault="00D06117" w:rsidP="00D06117">
      <w:pPr>
        <w:pStyle w:val="Extracto"/>
      </w:pPr>
      <w:r>
        <w:t>2.</w:t>
      </w:r>
      <w:r>
        <w:tab/>
        <w:t xml:space="preserve">Doctrina sobre la competencia del Estado, </w:t>
      </w:r>
      <w:r w:rsidRPr="00D06117">
        <w:rPr>
          <w:i/>
        </w:rPr>
        <w:t>ex</w:t>
      </w:r>
      <w:r>
        <w:t xml:space="preserve"> art. 149.1.14 CE, en la gestión del monopolio de la lotería nacional, la facultad para organizar loterías de ámbito nacional y el otorgamiento de las concesiones o autorizaciones administrativas para la celebración de sorteos, loterías, rifas, apuestas y combinaciones aleatorias en dicho ámbito (SSTC 163/1994, 844/1999) [FJ 4].</w:t>
      </w:r>
    </w:p>
    <w:p w:rsidR="00D06117" w:rsidRDefault="00D06117" w:rsidP="00D06117">
      <w:pPr>
        <w:pStyle w:val="Extracto"/>
      </w:pPr>
    </w:p>
    <w:p w:rsidR="00D06117" w:rsidRDefault="00D06117" w:rsidP="00D06117">
      <w:pPr>
        <w:pStyle w:val="Extracto"/>
      </w:pPr>
      <w:r>
        <w:t>3.</w:t>
      </w:r>
      <w:r>
        <w:tab/>
        <w:t>Doctrina sobre la delimitación de las competencias estatales y autonómicas en materia de juego y apuestas (SSTC 163/1994, 204/2002, 31/2010) [FJ 3].</w:t>
      </w:r>
    </w:p>
    <w:p w:rsidR="00D06117" w:rsidRDefault="00D06117" w:rsidP="00D06117">
      <w:pPr>
        <w:pStyle w:val="Extracto"/>
      </w:pPr>
    </w:p>
    <w:p w:rsidR="00D06117" w:rsidRDefault="00D06117" w:rsidP="00D06117">
      <w:pPr>
        <w:pStyle w:val="Extracto"/>
      </w:pPr>
      <w:r>
        <w:t>4.</w:t>
      </w:r>
      <w:r>
        <w:tab/>
        <w:t>El real decreto impugnado no menoscaba ni invade la competencia autonómica en materia de juego pues el propio EAC establece que las exigencias para las autorizaciones de nuevas modalidades de juego y apuestas de ámbito estatal no son aplicables a la modificación de las modalidades de los juegos y apuestas atribuidos, para fines sociales, a las organizaciones de ámbito estatal, carácter social y sin fin de lucro, y la ONCE obviamente lo es (STC 171/1998) [FJ 8].</w:t>
      </w:r>
    </w:p>
    <w:p w:rsidR="00D06117" w:rsidRDefault="00D06117" w:rsidP="00D06117">
      <w:pPr>
        <w:pStyle w:val="Extracto"/>
      </w:pPr>
    </w:p>
    <w:p w:rsidR="00D06117" w:rsidRDefault="00D06117" w:rsidP="00D06117">
      <w:pPr>
        <w:pStyle w:val="Extracto"/>
      </w:pPr>
      <w:r>
        <w:t>5.</w:t>
      </w:r>
      <w:r>
        <w:tab/>
        <w:t>La posible minoración de ingresos derivada de la competencia en concurrencia de la nueva modalidad de lotería que autorizan los reales decretos impugnados con la lotería que la Generalitat de Cataluña explota en su territorio no es criterio adecuado para expresar las necesidades de financiación autonómica y, por tanto, capaz de arriesgar la lesión del principio de suficiencia financiera que se denuncia [FJ 7].</w:t>
      </w:r>
    </w:p>
    <w:p w:rsidR="00D06117" w:rsidRDefault="00D06117" w:rsidP="00D06117">
      <w:pPr>
        <w:pStyle w:val="Extracto"/>
      </w:pPr>
    </w:p>
    <w:p w:rsidR="00D06117" w:rsidRDefault="00D06117" w:rsidP="00D06117">
      <w:pPr>
        <w:pStyle w:val="Extracto"/>
      </w:pPr>
      <w:r>
        <w:lastRenderedPageBreak/>
        <w:t>6.</w:t>
      </w:r>
      <w:r>
        <w:tab/>
        <w:t xml:space="preserve">Dada la competencia del Estado para autorizar juegos de ámbito estatal, el que la autorización por los reales decretos cuestionados de una modalidad de lotería pueda reducir los ingresos autonómicos que derivan de la previa explotación por la Generalitat de Cataluña en su territorio autonómico de una lotería similar, no permite cuestionar la legitimidad del ejercicio por el Estado de sus competencias </w:t>
      </w:r>
      <w:r w:rsidRPr="00D06117">
        <w:rPr>
          <w:i/>
        </w:rPr>
        <w:t>ex</w:t>
      </w:r>
      <w:r>
        <w:t xml:space="preserve"> art. 149.1.14 CE por el simple hecho de que no haya previsto ningún mecanismo de compensación financiera [FJ 7].</w:t>
      </w:r>
    </w:p>
    <w:p w:rsidR="00D06117" w:rsidRDefault="00D06117" w:rsidP="00D06117">
      <w:pPr>
        <w:pStyle w:val="Extracto"/>
      </w:pPr>
    </w:p>
    <w:p w:rsidR="00D06117" w:rsidRDefault="00D06117" w:rsidP="00D06117">
      <w:pPr>
        <w:pStyle w:val="Extracto"/>
      </w:pPr>
      <w:r>
        <w:t>7.</w:t>
      </w:r>
      <w:r>
        <w:tab/>
        <w:t>La suficiencia financiera es algo muy concreto y dependiente de muchas variables y no, por tanto, determinable en función de una singular fuente de ingresos, individualmente considerada, y su eventual reducción (STC 135/1992) [FJ 7].</w:t>
      </w:r>
    </w:p>
    <w:p w:rsidR="00D06117" w:rsidRDefault="00D06117" w:rsidP="00D06117">
      <w:pPr>
        <w:pStyle w:val="Extracto"/>
      </w:pPr>
    </w:p>
    <w:p w:rsidR="00D06117" w:rsidRDefault="00D06117" w:rsidP="00D06117">
      <w:pPr>
        <w:pStyle w:val="Extracto"/>
      </w:pPr>
      <w:r>
        <w:t>8.</w:t>
      </w:r>
      <w:r>
        <w:tab/>
        <w:t>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[FJ 7].</w:t>
      </w:r>
    </w:p>
    <w:p w:rsidR="00D06117" w:rsidRDefault="00D06117" w:rsidP="00D06117">
      <w:pPr>
        <w:pStyle w:val="Extracto"/>
      </w:pPr>
    </w:p>
    <w:p w:rsidR="00D06117" w:rsidRDefault="00D06117" w:rsidP="00D06117">
      <w:pPr>
        <w:pStyle w:val="Extracto"/>
      </w:pPr>
      <w:r>
        <w:t>9.</w:t>
      </w:r>
      <w:r>
        <w:tab/>
        <w:t>Doctrina sobre el principio de autonomía financiera de las Comunidades Autónomas y, en particular, sobre el principio de suficiencia financiera de las Comunidades Autónomas [FFJJ 6, 7].</w:t>
      </w:r>
    </w:p>
    <w:p w:rsidR="00D06117" w:rsidRDefault="00D06117" w:rsidP="00D06117">
      <w:pPr>
        <w:pStyle w:val="Extracto"/>
      </w:pPr>
    </w:p>
    <w:p w:rsidR="00D06117" w:rsidRDefault="00D06117" w:rsidP="00D06117">
      <w:pPr>
        <w:pStyle w:val="Extracto"/>
      </w:pPr>
      <w:r>
        <w:t>10.</w:t>
      </w:r>
      <w:r>
        <w:tab/>
        <w:t>El Estado es competente para regular no sólo sus propios tributos, sino también el marco general de todo el sistema tributario y la delimitación de las competencias financieras de las Comunidades Autónomas respecto de las del propio Estado (SSTC 72/2003, 31/2010) [FJ 6].</w:t>
      </w:r>
    </w:p>
    <w:p w:rsidR="00D06117" w:rsidRDefault="00D06117" w:rsidP="00D06117">
      <w:pPr>
        <w:pStyle w:val="Extracto"/>
      </w:pPr>
    </w:p>
    <w:p w:rsidR="00D06117" w:rsidRDefault="00D06117" w:rsidP="00D06117">
      <w:pPr>
        <w:pStyle w:val="Extracto"/>
      </w:pPr>
      <w:r>
        <w:t>11.</w:t>
      </w:r>
      <w:r>
        <w:tab/>
        <w:t>Doctrina sobre interpretación no formalista de requisitos procesales en lo que respecta al acuerdo para promover un conflicto positivo de competencia (SSTC 313/1994, 32/2006, 270/2006) [FJ 2].</w:t>
      </w:r>
    </w:p>
    <w:p w:rsidR="00D06117" w:rsidRDefault="00D06117" w:rsidP="00D06117">
      <w:pPr>
        <w:pStyle w:val="Extracto"/>
      </w:pPr>
    </w:p>
    <w:p w:rsidR="00D06117" w:rsidRDefault="00D06117" w:rsidP="00D06117">
      <w:pPr>
        <w:pStyle w:val="Extracto"/>
      </w:pPr>
      <w:r>
        <w:t>12.</w:t>
      </w:r>
      <w:r>
        <w:tab/>
        <w:t>Existirá el vicio de incompetencia que constituye el objeto propio del conflicto positivo de competencia bien si la parte actora reclama para sí la competencia ejercida por otro o bien si discrepa de la forma en que el titular de una competencia la ha ejercido, extralimitándose y lesionando, perturbando o desconociendo al ejercitarla el ámbito de atribuciones constitucionales de quien plantea el conflicto (STC 44/2007) [FJ 2].</w:t>
      </w:r>
    </w:p>
    <w:p w:rsidR="00D06117" w:rsidRDefault="00D06117" w:rsidP="00D06117">
      <w:pPr>
        <w:pStyle w:val="Extracto"/>
      </w:pPr>
    </w:p>
    <w:p w:rsidR="00D06117" w:rsidRDefault="00D06117" w:rsidP="00D06117">
      <w:pPr>
        <w:pStyle w:val="Extracto"/>
      </w:pPr>
      <w:r>
        <w:t>13.</w:t>
      </w:r>
      <w:r>
        <w:tab/>
        <w:t>Este Tribunal sólo está llamado a pronunciarse sobre la titularidad de una competencia en la medida en que se trate de una competencia controvertida o de que la disputa esté todavía viva y debe inevitablemente resolver mientras la esfera respectiva de competencias no resulte pacífica aunque la disposición sobre la que se trabó el conflicto resulte luego derogada o modificada (SSTC 147/1998, 33/2005) [FJ 2].</w:t>
      </w:r>
    </w:p>
    <w:p w:rsidR="00D06117" w:rsidRDefault="00D06117" w:rsidP="00D06117">
      <w:pPr>
        <w:pStyle w:val="Extracto"/>
      </w:pPr>
    </w:p>
    <w:p w:rsidR="00D06117" w:rsidRDefault="00D06117" w:rsidP="00D06117">
      <w:pPr>
        <w:pStyle w:val="Extracto"/>
      </w:pPr>
    </w:p>
    <w:p w:rsidR="00D06117" w:rsidRDefault="00D06117" w:rsidP="00D06117">
      <w:pPr>
        <w:pStyle w:val="Extracto"/>
      </w:pPr>
      <w:r>
        <w:lastRenderedPageBreak/>
        <w:t>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Extracto"/>
      </w:pPr>
    </w:p>
    <w:p w:rsidR="00D06117" w:rsidRDefault="00D06117" w:rsidP="00D06117">
      <w:pPr>
        <w:pStyle w:val="Extracto"/>
      </w:pPr>
      <w:r>
        <w:t>EN NOMBRE DEL REY</w:t>
      </w:r>
    </w:p>
    <w:p w:rsidR="00D06117" w:rsidRDefault="00D06117" w:rsidP="00D06117">
      <w:pPr>
        <w:pStyle w:val="Extracto"/>
      </w:pPr>
      <w:r>
        <w:t>la siguiente</w:t>
      </w:r>
    </w:p>
    <w:p w:rsidR="00D06117" w:rsidRDefault="00D06117" w:rsidP="00D06117">
      <w:pPr>
        <w:pStyle w:val="TextoNormal"/>
      </w:pPr>
      <w:r>
        <w:t>S E N T E N C I A</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los conflictos positivos de competencia acumulados núms. 4124-1999 y 4216-1999, planteados, respectivamente, por el Consejo de Gobierno de la Junta de Andalucía y el Gobierno de la Generalitat de Cataluña contra el Real Decreto 844/1999, de 21 de mayo, por el que se autoriza la explotación de una lotería instantánea o presorteada, y 3029-2006, planteado por el Consejo Ejecutivo de la Generalitat de Cataluña contra el Real Decreto 1336/2005, de 11 de noviembre, por el que se autoriza a la Organización Nacional de Ciegos Españoles la explotación de una lotería instantánea o presorteada. Ha formulado alegaciones el Abogado del Estado. Ha sido Ponente el Presidente don Pascual Sala Sánchez,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6 de octubre de 1999 tuvo en tuvo entrada en el Registro General de este Tribunal Constitucional un escrito del Letrado de la Junta de Andalucía por el que, en la representación que ostenta, interpone conflicto positivo de competencia tramitado con el núm. 4124-1999 en relación con el Real Decreto 844/1999, de 21 de mayo, por el que se autoriza la explotación de una lotería instantánea o presorteada.</w:t>
      </w:r>
    </w:p>
    <w:p w:rsidR="00D06117" w:rsidRDefault="00D06117" w:rsidP="00D06117">
      <w:pPr>
        <w:pStyle w:val="TextoNormal"/>
      </w:pPr>
    </w:p>
    <w:p w:rsidR="00D06117" w:rsidRDefault="00D06117" w:rsidP="00D06117">
      <w:pPr>
        <w:pStyle w:val="TextoNormal"/>
      </w:pPr>
      <w:r>
        <w:t>El conflicto positivo de competencia se sustenta en la consideración de que el Real Decreto 844/1999 vulnera el sistema de reparto competencial establecido en la Constitución y en el Estatuto de Autonomía para Andalucía, desconociendo, en particular, las competencias autonómicas exclusivas en materia de casinos, juegos y apuestas (art. 13.33 del Estatuto de Autonomía), con vulneración de lo dispuesto en los arts. 133.1, 149.1.14 y 156.1 y 157.1 a) de la Constitución, del art. 57.1 f) del Estatuto de Autonomía.</w:t>
      </w:r>
    </w:p>
    <w:p w:rsidR="00D06117" w:rsidRDefault="00D06117" w:rsidP="00D06117">
      <w:pPr>
        <w:pStyle w:val="TextoNormal"/>
      </w:pPr>
    </w:p>
    <w:p w:rsidR="00D06117" w:rsidRDefault="00D06117" w:rsidP="00D06117">
      <w:pPr>
        <w:pStyle w:val="TextoNormal"/>
      </w:pPr>
      <w:r>
        <w:t xml:space="preserve">Para alcanzar esta conclusión, la Junta de Andalucía parte de una descripción somera del contenido de la norma objeto del conflicto de competencias. El Real Decreto 844/1999, por </w:t>
      </w:r>
      <w:r>
        <w:lastRenderedPageBreak/>
        <w:t>el que se autoriza la explotación de una lotería instantánea o presorteada, regula esta modalidad peculiar de sorteo, advirtiendo que el remanente neto de la recaudación “será ingresado en el Tesoro” (art. 3.2), siendo así que la dirección, organización y explotación de la lotería se atribuye al Organismo Nacional de Loterías y Apuestas del Estado, que habrá de establecer la forma, términos y condiciones de la venta de boletos y del pago de los premios (art. 4), quedando asimismo autorizado para regular el funcionamiento de la lotería y la gestión del juego (disposición adicional única).</w:t>
      </w:r>
    </w:p>
    <w:p w:rsidR="00D06117" w:rsidRDefault="00D06117" w:rsidP="00D06117">
      <w:pPr>
        <w:pStyle w:val="TextoNormal"/>
      </w:pPr>
    </w:p>
    <w:p w:rsidR="00D06117" w:rsidRDefault="00D06117" w:rsidP="00D06117">
      <w:pPr>
        <w:pStyle w:val="TextoNormal"/>
      </w:pPr>
      <w:r>
        <w:t>En la consideración de la Junta de Andalucía, es notorio, sin embargo, que esta materia se inserta en el título sobre “casinos, juegos y apuestas” que el art. 13.33 del Estatuto de Autonomía reconoce a la Comunidad Autónoma, por el que se le atribuye la competencia para establecer en su territorio la política de juegos y, por tanto, para regular y gestionar esta materia en la Comunidad Autónoma. Razón por la cual estima que el establecimiento, por el real decreto objeto del conflicto, de una determinada modalidad de lotería que habría de extender su ámbito al territorio autonómico atañe directamente a la política de juego en la Comunidad Autónoma, “y ello no sólo por determinar la posible celebración de un nuevo tipo de juego en el territorio de aquélla, sino, asimismo, por atribuir a los órganos dependientes de la Administración estatal la propia organización y celebración de los sorteos”. Lo que confirmaría por el hecho de que en el catálogo de juegos y apuestas de la Comunidad Autónoma no se autoriza la modalidad de sorteo objeto del Real Decreto 844/1999 [art. 3.1 c) del Decreto 167/1987, de 1 de julio].</w:t>
      </w:r>
    </w:p>
    <w:p w:rsidR="00D06117" w:rsidRDefault="00D06117" w:rsidP="00D06117">
      <w:pPr>
        <w:pStyle w:val="TextoNormal"/>
      </w:pPr>
    </w:p>
    <w:p w:rsidR="00D06117" w:rsidRDefault="00D06117" w:rsidP="00D06117">
      <w:pPr>
        <w:pStyle w:val="TextoNormal"/>
      </w:pPr>
      <w:r>
        <w:t>Se detiene seguidamente en rebatir los argumentos ofrecidos por el Consejo de Ministros al rechazar el requerimiento que le fue formulado, y en los que —en sintonía con la doctrina sentada por la STC 163/1994, de 26 de mayo— parte de la consideración de que el Real Decreto 844/1999 viene a introducir una modalidad de la lotería nacional, lo que incardinaría su aprobación en el ejercicio de la competencia estatal sobre hacienda general atribuida por la regla 14 del art. 149.1 CE. De modo que la Junta de Andalucía sustenta su argumentación en la discusión de los dos criterios en los que, según relata, aquella jurisprudencia constitucional se fundamenta: la consideración de la lotería como un ingreso del Estado, lo que situaría su regulación en el marco del art. 149.1.14 CE, y, por otra parte, la supraterritorialidad del fenómeno.</w:t>
      </w:r>
    </w:p>
    <w:p w:rsidR="00D06117" w:rsidRDefault="00D06117" w:rsidP="00D06117">
      <w:pPr>
        <w:pStyle w:val="TextoNormal"/>
      </w:pPr>
    </w:p>
    <w:p w:rsidR="00D06117" w:rsidRDefault="00D06117" w:rsidP="00D06117">
      <w:pPr>
        <w:pStyle w:val="TextoNormal"/>
      </w:pPr>
      <w:r>
        <w:t xml:space="preserve">Respecto de la primera cuestión —la consideración de la lotería como ingreso del Estado—, la Junta comienza por discutir el criterio del origen histórico que, según afirma, utilizaría la STC 163/1994 para sustentar la competencia estatal respecto de la lotería. Considera la Junta que el del origen histórico no puede constituirse en criterio autónomo atributivo de competencias que obvie la nueva estructura territorial establecida por la Constitución, que a tal fin tendría efecto derogatorio de la consideración previa de lo que, por otra parte, no pude considerarse en términos puramente fácticos, sino como “fenómeno jurídico”, en cuanto que “monopolio fiscal del Estado”, lo que obliga a tomar en consideración la doctrina constitucional que ha insistido en el amplio margen que asiste al legislador para configurar en cada momento las situaciones que son creación exclusiva del ordenamiento jurídico, a los efectos de lo cual cita, entre otras, las SSTC 232/1991, 184/1993, 359/1993, 291/1994 y 77/1995, en relación con los regímenes de la Seguridad Social, y las 7/1984 y 48/1992, en relación con los cuerpos funcionariales. De ahí que, en su consideración, la libertad de configuración asistía al constituyente y al legislador estatutario a la hora de conformar el tratamiento jurídico que decidió otorgar a los juegos y apuestas y, en particular, a </w:t>
      </w:r>
      <w:r>
        <w:lastRenderedPageBreak/>
        <w:t>la lotería, sin que su decisión viniera condicionada por la regulación que la materia viniera recibiendo previamente.</w:t>
      </w:r>
    </w:p>
    <w:p w:rsidR="00D06117" w:rsidRDefault="00D06117" w:rsidP="00D06117">
      <w:pPr>
        <w:pStyle w:val="TextoNormal"/>
      </w:pPr>
    </w:p>
    <w:p w:rsidR="00D06117" w:rsidRDefault="00D06117" w:rsidP="00D06117">
      <w:pPr>
        <w:pStyle w:val="TextoNormal"/>
      </w:pPr>
      <w:r>
        <w:t>A lo anterior suma que, en todo caso, la consideración de la lotería como ingreso del Estado tampoco “encuentra virtualidad alguna a la vista del régimen constitucional de reparto de competencias hoy vigente”. Y ello por cuanto tal consideración se traduciría en una hipotética concurrencia competencial entre el título estatal del art. 149.1.14 CE y el autonómico sobre el juego contenido en el art. 13.33 del Estatuto de Autonomía que sólo podría resolverse a favor del segundo en función del criterio generalidad-especialidad. Del mismo modo que no podría admitirse, como pretende el Gobierno en su escrito de contestación al requerimiento, que sea el resultado de la actividad y no la actividad misma, porque hacerlo supone desconocer la línea jurisprudencial que atiende a la definición objetiva de cada supuesto, y no a su finalidad, para determinar su encaje en el bloque de la constitucionalidad, a los efectos de lo cual cita las SSTC 125/1984 y 80/1995. De todo lo cual concluye que mediante el establecimiento de una nueva modalidad de lotería el Estado ha empleado indebidamente el título autonómico exclusivo en materia de juegos. Sin que, por otra parte, pueda entenderse que lo que podría calificarse de “potestad de ingreso” del Estado pueda convertirse en título competencial que legitime la injerencia del Estado en el ámbito competencial de las Comunidades Autónomas, argumento en el que la Junta afirma acogerse al sentido del Voto particular formulado a la STC 163/1994, que trascribe parcialmente.</w:t>
      </w:r>
    </w:p>
    <w:p w:rsidR="00D06117" w:rsidRDefault="00D06117" w:rsidP="00D06117">
      <w:pPr>
        <w:pStyle w:val="TextoNormal"/>
      </w:pPr>
    </w:p>
    <w:p w:rsidR="00D06117" w:rsidRDefault="00D06117" w:rsidP="00D06117">
      <w:pPr>
        <w:pStyle w:val="TextoNormal"/>
      </w:pPr>
      <w:r>
        <w:t>Para cerrar sus alegaciones en contra del primer argumento ofrecido por el Gobierno para rechazar el requerimiento que le formuló la Junta, ésta hace una serie de consideraciones sobre el alcance del título estatal sobre hacienda general, ex art. 149.1.14 CE, particularmente en su conexión con las reglas contenidas en los arts. 133 y 156 y siguientes de la Constitución, 54 y siguientes del Estatuto de Autonomía y en la Ley Orgánica de financiación de las Comunidades Autónomas, tanto las que obligan a respetar el principio de coordinación en el establecimiento de la lotería cuestionada, como las que han venido considerando las tasas y demás exacciones sobre el juego como un impuesto cedido a la Comunidad Autónoma. Todo lo cual le invita a concluir que “la pretendida intervención del título del Estado sobre Hacienda general, que representa el establecimiento por el Real Decreto 844/1999 de una nueva modalidad de lotería, no ha tenido lugar con respeto del conjunto de reglas del bloque constitucional que disciplinan el ejercicio y alcance de aquel título, lo que, consecuentemente, determina el desconocimiento de la autonomía financiera garantizada a la Comunidad Autónoma de Andalucía y, en atención a su carácter instrumental, la invasión de las competencias sustantivas que sobre la materia aquélla ostenta en virtud de lo dispuesto en el art. 13.33 del Estatuto de Autonomía”.</w:t>
      </w:r>
    </w:p>
    <w:p w:rsidR="00D06117" w:rsidRDefault="00D06117" w:rsidP="00D06117">
      <w:pPr>
        <w:pStyle w:val="TextoNormal"/>
      </w:pPr>
    </w:p>
    <w:p w:rsidR="00D06117" w:rsidRDefault="00D06117" w:rsidP="00D06117">
      <w:pPr>
        <w:pStyle w:val="TextoNormal"/>
      </w:pPr>
      <w:r>
        <w:t>Respecto de la supraterritorialidad del fenómeno advierte la Junta que con este criterio el Tribunal excepciona para estos casos su propia tesis general sobre la inidoneidad de esa circunstancia como criterio atributivo de competencia a favor del Estado, sin que el supuesto se corresponda con ninguno de los que la jurisprudencia ha admitido para justificar la excepción (cfr. SSTC 329/1993 y 102/1995), ya que el fenómeno del juego es susceptible de ser compartimentado, sin que la atribución de competencias exclusivas a las Comunidades Autónomas plantee situaciones que no puedan solucionarse mediante la utilización de los correspondientes mecanismos de coordinación, ni mucho menos concurra un estado de necesidad que reclame la intervención del Estado.</w:t>
      </w:r>
    </w:p>
    <w:p w:rsidR="00D06117" w:rsidRDefault="00D06117" w:rsidP="00D06117">
      <w:pPr>
        <w:pStyle w:val="TextoNormal"/>
      </w:pPr>
    </w:p>
    <w:p w:rsidR="00D06117" w:rsidRDefault="00D06117" w:rsidP="00D06117">
      <w:pPr>
        <w:pStyle w:val="TextoNormal"/>
      </w:pPr>
      <w:r>
        <w:lastRenderedPageBreak/>
        <w:t>En razón de todo lo cual, la Junta de Andalucía concluye su escrito suplicando que se dicte sentencia que anule el Real Decreto 844/1999, de 21 de mayo, y declare que la competencia controvertida corresponde a la Comunidad Autónoma de Andalucía.</w:t>
      </w:r>
    </w:p>
    <w:p w:rsidR="00D06117" w:rsidRDefault="00D06117" w:rsidP="00D06117">
      <w:pPr>
        <w:pStyle w:val="TextoNormal"/>
      </w:pPr>
    </w:p>
    <w:p w:rsidR="00D06117" w:rsidRDefault="00D06117" w:rsidP="00D06117">
      <w:pPr>
        <w:pStyle w:val="TextoNormal"/>
      </w:pPr>
      <w:r w:rsidRPr="00D06117">
        <w:rPr>
          <w:rStyle w:val="NumeroAFNegritaCaracter"/>
        </w:rPr>
        <w:t>2</w:t>
      </w:r>
      <w:r>
        <w:t>. El 14 de octubre de 1999 el Gobierno de la Generalitat de Cataluña interpuso conflicto positivo de competencias en relación con el mismo Real Decreto 844/1999, conflicto tramitado con el núm. 4216-1999.</w:t>
      </w:r>
    </w:p>
    <w:p w:rsidR="00D06117" w:rsidRDefault="00D06117" w:rsidP="00D06117">
      <w:pPr>
        <w:pStyle w:val="TextoNormal"/>
      </w:pPr>
    </w:p>
    <w:p w:rsidR="00D06117" w:rsidRDefault="00D06117" w:rsidP="00D06117">
      <w:pPr>
        <w:pStyle w:val="TextoNormal"/>
      </w:pPr>
      <w:r>
        <w:t>Después de dar cuenta de los términos en los que se dio cumplimiento al trámite de requerimiento previo y de describir el objeto del real decreto recurrido el escrito del Gobierno de la Generalitat catalana advierte que no discute la competencia estatal para autorizar cuantas “modalidades de lotería nacional” considere oportunas, sino el modo y condiciones en que aquélla debe ejercerse para que las actuaciones estatales, respetando el principio de autonomía financiera proclamado en el art. 156.1 CE y el art. 1.1 LOFCA “no comporten el vaciamiento en la práctica de las competencias ajenas ni signifiquen una importante lesión para la Hacienda autonómica de la Generalidad catalana”. Y ello por cuanto la autorización del nuevo juego de lotería presorteada a nivel estatal se habría hecho ignorando la existencia en Cataluña de idéntica modalidad de lotería organizada por la Generalitat, de manera que, al no establecerse mecanismo alguno de coordinación y compensación, se generaría un perjuicio evidente para los citados ingresos autonómicos obtenidos legítimamente en un sector, el del juego y las apuestas, atribuido a la exclusiva competencia autonómica por el art. 9.32 del Estatuto de autonomía.</w:t>
      </w:r>
    </w:p>
    <w:p w:rsidR="00D06117" w:rsidRDefault="00D06117" w:rsidP="00D06117">
      <w:pPr>
        <w:pStyle w:val="TextoNormal"/>
      </w:pPr>
    </w:p>
    <w:p w:rsidR="00D06117" w:rsidRDefault="00D06117" w:rsidP="00D06117">
      <w:pPr>
        <w:pStyle w:val="TextoNormal"/>
      </w:pPr>
      <w:r>
        <w:t>Afirma la Generalitat de Cataluña que no pretende desconocer la doctrina constitucional sentada al resolver varios conflictos competenciales planteados por diversas Comunidades Autónomas frente a las actuaciones estatales en materia de loterías. A tales efectos, cita las SSTC 163/1994, 164/1994, 216/1994, 49/1995 y 171/1998, para concluir que “se ha venido a imponer la prioridad de la salvaguarda de los intereses económicos de la Hacienda Pública por encima de la aplicación de otros títulos competenciales coincidentes”, lo cual critica en línea con lo manifestado en los Votos particulares emitidos en las Sentencias citadas. Considera, sin embargo, que la aplicación al presente caso del “principio constitucional relativo a la necesaria coordinación de la Hacienda estatal y las Haciendas autonómicas, del art. 156.1 CE”, así como los criterios establecidos en la jurisprudencia constitucional, particularmente en las Sentencias citadas, que reconocen que “en este ámbito material se produce una clara concurrencia competencial”, permite concluir que el Real Decreto 844/1999 no habría respetado la autonomía financiera de la Generalitat de Cataluña “al comportar unos perjuicios para la Hacienda autonómica sin incluir medida alguna para su debido y posible resarcimiento”. En la consideración de la Generalitat de Cataluña, en materia de juegos se produce una concurrencia de competencias en un mismo “espacio económico”, como ocurre en otras materias respecto de un mismo “espacio físico”, siendo así que en estos últimos supuestos el Tribunal Constitucional habría venido declarando reiteradamente la obligación de que cada sujeto ejerza las propias competencias de la manera menos perjudicial para las ajenas, de modo que, incluso en los casos en los que debiera optarse por la “competencia prevalente”, habría dicho que “deberá hacerse sin vaciar totalmente de contenido las restantes competencias”, debiendo acudir para ello, en muchos casos, a “mecanismos de cooperación, colaboración y coordinación”.</w:t>
      </w:r>
    </w:p>
    <w:p w:rsidR="00D06117" w:rsidRDefault="00D06117" w:rsidP="00D06117">
      <w:pPr>
        <w:pStyle w:val="TextoNormal"/>
      </w:pPr>
    </w:p>
    <w:p w:rsidR="00D06117" w:rsidRDefault="00D06117" w:rsidP="00D06117">
      <w:pPr>
        <w:pStyle w:val="TextoNormal"/>
      </w:pPr>
      <w:r>
        <w:lastRenderedPageBreak/>
        <w:t>A los efectos de fundamentar su argumento, la Generalitat de Cataluña ofrece sucesivamente una descripción de la lotería instantánea que, con el nombre de “Loto Ràpid”, explota en Cataluña desde 1987, para justificar su analogía con la lotería instaurada a nivel estatal por el Real Decreto 844/1999.</w:t>
      </w:r>
    </w:p>
    <w:p w:rsidR="00D06117" w:rsidRDefault="00D06117" w:rsidP="00D06117">
      <w:pPr>
        <w:pStyle w:val="TextoNormal"/>
      </w:pPr>
    </w:p>
    <w:p w:rsidR="00D06117" w:rsidRDefault="00D06117" w:rsidP="00D06117">
      <w:pPr>
        <w:pStyle w:val="TextoNormal"/>
      </w:pPr>
      <w:r>
        <w:t>Para la Generalitat de Cataluña, la anterior conclusión se vería confirmada por el análisis sucesivo de la norma objeto del conflicto, del que deduce que “la nueva lotería estatal va a suponer un real y efectivo perjuicio y limitación para la recaudación que obtiene la Hacienda de la Generalidad”. A su juicio, la simultaneidad en Cataluña de dos loterías presorteadas comporta una situación competitiva en la que la lotería catalana se encuentra en clara desventaja ya que en los juegos de azar existe una relación directamente proporcional entre el número de los potenciales jugadores, el valor de los premios, el volumen de lo jugado y los beneficios para quien explota el juego. Lo que conduciría, igualmente, a la reducción del importe destinado a los demás juegos y apuestas gestionados por la Generalitat, no siendo ilimitada la capacidad de juego de la población catalana, con lo que “la introducción de otra lotería estatal provoca de este modo un desequilibrio en el actual sistema de financiación autonómica que viene a lesionar el principio de autonomía financiera establecido en los arts. 156.1 CE y 1.1 LOFCA”.</w:t>
      </w:r>
    </w:p>
    <w:p w:rsidR="00D06117" w:rsidRDefault="00D06117" w:rsidP="00D06117">
      <w:pPr>
        <w:pStyle w:val="TextoNormal"/>
      </w:pPr>
    </w:p>
    <w:p w:rsidR="00D06117" w:rsidRDefault="00D06117" w:rsidP="00D06117">
      <w:pPr>
        <w:pStyle w:val="TextoNormal"/>
      </w:pPr>
      <w:r>
        <w:t>De ahí que la Generalitat sostenga que la “absurda concurrencia competitiva entre loterías” debería ser corregida, en sus “nocivos efectos”, acudiendo a los instrumentos y procedimientos de colaboración y cooperación oportunos, tal y como prevé el art. 4.5 de la Ley 30/1992, en la redacción dada por la Ley 4/1999, de modo que la vulneración del orden competencial deriva, precisamente, de la ausencia de previsiones al respecto, con vulneración del art. 156.1 CE y de la Ley Orgánica de financiación de las Comunidades Autónomas (LOFCA), cuyo art. 2.1 b) exige al Estado la adopción de las “medidas oportunas tendentes a conseguir la estabilidad económica interna y externa” en pos del “equilibrio económico” de las Comunidades Autónomas. Medidas entre las que destacan las previstas en el art. 6.4 LOFCA, que obliga al Estado a instrumentar “las medidas de compensación y coordinación adecuadas” a favor de las Comunidades Autónomas cuando, en el ejercicio de su potestad tributaria originaria, establezca tributos sobre hechos imponibles gravados por las Comunidades Autónomas, siendo así que —si bien se asume por la Generalitat catalana que el precepto, referido a los tributos, no sería de aplicación directa—, sí resulta elocuente sobre cuál sería el criterio del legislador de la LOFCA en punto a configurar los límites del sistema tributario estatal en orden a la salvaguarda del principio de equilibrio económico en relación con la autonomía financiera de las Comunidades Autónomas. Y, por ello, susceptible de aplicación analógica a los ingresos no tributarios, como son las loterías.</w:t>
      </w:r>
    </w:p>
    <w:p w:rsidR="00D06117" w:rsidRDefault="00D06117" w:rsidP="00D06117">
      <w:pPr>
        <w:pStyle w:val="TextoNormal"/>
      </w:pPr>
    </w:p>
    <w:p w:rsidR="00D06117" w:rsidRDefault="00D06117" w:rsidP="00D06117">
      <w:pPr>
        <w:pStyle w:val="TextoNormal"/>
      </w:pPr>
      <w:r>
        <w:t>De todo lo cual concluye que “la norma impugnada comporta una efectiva lesión para la Hacienda autonómica y vulnera la autonomía financiera de la Generalitat en relación con el orden competencial al ignorar totalmente su efectiva repercusión sobre el sistema financiero en cuanto a los ingresos de la Hacienda autonómica de la Generalitat y no establecer medida alguna coordinadora y compensatoria, por lo que no puede ser aplicada en Cataluña”.</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Este Tribunal, mediante providencia de la Sección Segunda de 26 de octubre de 1999, admitió a trámite el conflicto positivo de competencia planteado por la Junta de Andalucía acordando dar traslado de las actuaciones al Gobierno de la Nación, por conducto de su Presidente, al objeto de que, en el plazo de veinte días y bajo la representación procesal que </w:t>
      </w:r>
      <w:r>
        <w:lastRenderedPageBreak/>
        <w:t>señala el art. 82.2 de la Ley Orgánica del Tribunal Constitucional (LOTC) pudiera personarse en los autos y aportar cuantos documentos y alegaciones considerase convenientes. Se acordó asimismo comunicar la incoación del conflicto a la Sala Tercera del Tribunal Supremo por si ante la misma estuviera impugnado o se impugnara el referido real decreto, en cuyo caso se suspendería el curso del proceso hasta la decisión del conflicto, así como publicar su incoación en el “Boletín Oficial del Estado” y en el “Boletín Oficial de la Junta de Andalucía”.</w:t>
      </w:r>
    </w:p>
    <w:p w:rsidR="00D06117" w:rsidRDefault="00D06117" w:rsidP="00D06117">
      <w:pPr>
        <w:pStyle w:val="TextoNormal"/>
      </w:pPr>
    </w:p>
    <w:p w:rsidR="00D06117" w:rsidRDefault="00D06117" w:rsidP="00D06117">
      <w:pPr>
        <w:pStyle w:val="TextoNormal"/>
      </w:pPr>
      <w:r>
        <w:t>Mediante providencia de 10 de noviembre de 1999, la Sección Primera de este Tribunal acordó admitir a trámite el conflicto positivo de competencia planteado por el Gobierno de la Generalitat de Cataluña acordando dar traslado de las actuaciones al Gobierno de la Nación, por conducto de su Presidente, al objeto de que, en el plazo de veinte días y bajo la representación procesal que señala el art. 82.2 LOTC pudiera personarse en los autos y aportar cuantos documentos y alegaciones considerase convenientes. En la misma providencia se acordó comunicar la incoación del conflicto a la Sala Tercera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 Oficial de la Generalitat de Cataluña”.</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escrito que tuvo entrada en este Tribunal el 15 de noviembre de 1999 el Abogado del Estado presentó escrito por el que solicitaba, dada la acumulación de asuntos pendientes ante ese servicio jurídico, una prórroga, hasta el máximo legal, del plazo concedido para alegaciones en el conflicto núm. 4124-1999. La Sección Segunda de este Tribunal, mediante providencia de 16 de noviembre de 1999, acordó incorporar a las actuaciones el escrito del Abogado del Estado y atender a su solicitud, ampliando en diez días el plazo originalmente concedido.</w:t>
      </w:r>
    </w:p>
    <w:p w:rsidR="00D06117" w:rsidRDefault="00D06117" w:rsidP="00D06117">
      <w:pPr>
        <w:pStyle w:val="TextoNormal"/>
      </w:pPr>
    </w:p>
    <w:p w:rsidR="00D06117" w:rsidRDefault="00D06117" w:rsidP="00D06117">
      <w:pPr>
        <w:pStyle w:val="TextoNormal"/>
      </w:pPr>
      <w:r>
        <w:t>Con fecha 17 de noviembre de 1999 el Abogado del Estado presentó escrito similar en relación con el conflicto núm. 4216-1999, siendo así que la Sección Primera de este Tribunal, mediante providencia de 18 de noviembre de 1999, acordó igualmente incorporar a las actuaciones el escrito del Abogado del Estado y atender a su solicitud, ampliando en diez días el plazo originalmente concedido.</w:t>
      </w:r>
    </w:p>
    <w:p w:rsidR="00D06117" w:rsidRDefault="00D06117" w:rsidP="00D06117">
      <w:pPr>
        <w:pStyle w:val="TextoNormal"/>
      </w:pPr>
    </w:p>
    <w:p w:rsidR="00D06117" w:rsidRDefault="00D06117" w:rsidP="00D06117">
      <w:pPr>
        <w:pStyle w:val="TextoNormal"/>
      </w:pPr>
      <w:r w:rsidRPr="00D06117">
        <w:rPr>
          <w:rStyle w:val="NumeroAFNegritaCaracter"/>
        </w:rPr>
        <w:t>5</w:t>
      </w:r>
      <w:r>
        <w:t>. El 16 de diciembre de 1999 tuvo entrada en este Tribunal escrito de alegaciones del Abogado del Estado, por el que solicita que se inadmita el conflicto positivo de competencias 4124-1999 o que, subsidiariamente, se desestime, por las razones que a continuación se desgranan.</w:t>
      </w:r>
    </w:p>
    <w:p w:rsidR="00D06117" w:rsidRDefault="00D06117" w:rsidP="00D06117">
      <w:pPr>
        <w:pStyle w:val="TextoNormal"/>
      </w:pPr>
    </w:p>
    <w:p w:rsidR="00D06117" w:rsidRDefault="00D06117" w:rsidP="00D06117">
      <w:pPr>
        <w:pStyle w:val="TextoNormal"/>
      </w:pPr>
      <w:r>
        <w:t>Alega, con carácter prioritario, el Abogado del Estado que el conflicto positivo incumple el requisito de legitimación ya que el Consejo de Gobierno de la Junta de Andalucía se limitó a autorizar al gabinete jurídico para el planteamiento del conflicto en el caso de que el requerimiento de incompetencia no fuera atendido, sin que en tal autorización se contuviese un mandato expreso e incondicionado para la interposición del conflicto. Resultaría así que la Junta habría delegado en el gabinete jurídico la decisión de interponer o no el conflicto.</w:t>
      </w:r>
    </w:p>
    <w:p w:rsidR="00D06117" w:rsidRDefault="00D06117" w:rsidP="00D06117">
      <w:pPr>
        <w:pStyle w:val="TextoNormal"/>
      </w:pPr>
    </w:p>
    <w:p w:rsidR="00D06117" w:rsidRDefault="00D06117" w:rsidP="00D06117">
      <w:pPr>
        <w:pStyle w:val="TextoNormal"/>
      </w:pPr>
      <w:r>
        <w:lastRenderedPageBreak/>
        <w:t>Para el caso de que no fuera acogido este óbice procesal, el Abogado del Estado formula sus alegaciones sustanciales, que parten de un recordatorio de la doctrina constitucional decantada en relación con el reparto competencial en la materia “juegos y apuestas”, concentrándose en la última Sentencia habida hasta ese momento, la STC 171/1998, que trascribe en varios de sus fundamentos. Esta doctrina, en su criterio, habría puesto de manifiesto que, al amparo del título del art. 149.1.14 CE, el Estado tiene la competencia para crear juegos y loterías “en beneficio del interés general”, sin perturbar por ello la competencia autonómica sobre la materia, que se ejercerá sobre su propio territorio, de modo que a aquél corresponde la autorización del juego y la lotería en todo el territorio nacional, así como su gestión y la titularidad de su rendimiento económico. Resultaría así que, a la vista del escrito de planteamiento del conflicto, concluye el Abogado del Estado que lo que la Junta de Andalucía pretende, en definitiva, es un cambio en la doctrina constitucional, sin que exista “ningún motivo o razón, de naturaleza jurídica o constitucional, que justifique ese pretendido cambio de criterio”.</w:t>
      </w:r>
    </w:p>
    <w:p w:rsidR="00D06117" w:rsidRDefault="00D06117" w:rsidP="00D06117">
      <w:pPr>
        <w:pStyle w:val="TextoNormal"/>
      </w:pPr>
    </w:p>
    <w:p w:rsidR="00D06117" w:rsidRDefault="00D06117" w:rsidP="00D06117">
      <w:pPr>
        <w:pStyle w:val="TextoNormal"/>
      </w:pPr>
      <w:r>
        <w:t>Sin perjuicio de la anterior conclusión, el Abogado del Estado se detiene sucesivamente en rebatir la última parte del escrito de planteamiento del conflicto, según la cual el ejercicio de la competencia estatal sobre el juego en territorio andaluz requeriría de dos condiciones: que se produzca una actuación de coordinación, de conformidad con lo previsto en el art. 156.1 CE, y que se ceda a la Comunidad Autónoma la figura impositiva que recaiga o pueda recaer sobre la nueva modalidad de juego creada. Sostiene a este respecto el Abogado del Estado que esta alegación incorpora una pretensión inadmisible en el marco de un conflicto de competencias, dado que lo que se pretende del Tribunal es que emita un pronunciamiento en el que afirme que para que el Estado pueda mantener esa competencia debe abrirse un procedimiento de coordinación que lleve a la cesión de un tributo, de modo que lo que la Junta de Andalucía pretendería, a través del conflicto, sería crear una fórmula obligatoria de coordinación de espaldas al bloque de la constitucionalidad y a la doctrina del propio Tribunal. A estos efectos, el Abogado del Estado cita la STC 181/1988 para concluir que no existe ninguna previsión del bloque de la constitucionalidad que exija llevar a cabo una actuación de coordinación o el establecimiento de impuestos cedidos sobre el juego. Resultaría así que los preceptos del bloque de la constitucionalidad citados por la Junta no establecerían condiciones para la constitucionalidad del ejercicio de la competencia estatal sobre el juego, sino cauces para llevar a cabo la coordinación financiera de determinados recursos a través del Consejo de Política Fiscal y Financiera, así como los impuestos susceptibles de ser cedidos por el Estado.</w:t>
      </w:r>
    </w:p>
    <w:p w:rsidR="00D06117" w:rsidRDefault="00D06117" w:rsidP="00D06117">
      <w:pPr>
        <w:pStyle w:val="TextoNormal"/>
      </w:pPr>
    </w:p>
    <w:p w:rsidR="00D06117" w:rsidRDefault="00D06117" w:rsidP="00D06117">
      <w:pPr>
        <w:pStyle w:val="TextoNormal"/>
      </w:pPr>
      <w:r>
        <w:t>Igualmente insostenible estima el Abogado del Estado la pretensión de la Junta de Andalucía de incluir en el sistema de financiación autonómica a que se refiere la LOFCA la materia de juego, ya que este sistema se habría diseñado sin hacer referencia alguna a los hipotéticos ingresos del juego, sin que ni siquiera todos los recursos expresamente establecidos por aquella ley queden sometidos a los cauces de coordinación en ella establecidos. De todo lo cual concluye que el régimen de coordinación establecido en la LOFCA “para que pudiera constituir una condición de ejercicio constitucional de la competencia, requeriría de una previsión especial en el bloque de la constitucionalidad que no existe”, a lo que se suma que, dada la especial naturaleza y alcance de las funciones del Consejo de Política Fiscal y Financiera, desde el punto de vista constitucional, la omisión de la consulta o deliberación en el seno de tal Consejo de la materia de juego, “totalmente extraña al contenido de la LOFCA, nunca podría producir una actuación contraria a la Constitución”.</w:t>
      </w:r>
    </w:p>
    <w:p w:rsidR="00D06117" w:rsidRDefault="00D06117" w:rsidP="00D06117">
      <w:pPr>
        <w:pStyle w:val="TextoNormal"/>
      </w:pPr>
    </w:p>
    <w:p w:rsidR="00D06117" w:rsidRDefault="00D06117" w:rsidP="00D06117">
      <w:pPr>
        <w:pStyle w:val="TextoNormal"/>
      </w:pPr>
      <w:r>
        <w:t>Como última alegación, “para el caso de no estimarse ninguna de las alegaciones anteriores”, el Abogado del Estado rebate la supuesta invasión, por el real decreto recurrido, de la competencia autonómica sobre el juego. Rechaza, en primer lugar, el argumento de que se perturbe la política de juego autonómica, por cuanto la modalidad de juego autorizada estaría contemplada en el catálogo de juegos y apuestas de la Comunidad Autónoma, dado que al operar en ámbitos territoriales distintos los juegos serían distintos en su caracterización, en términos de volumen y probabilidades, a lo que se suma la falta de precisión, por el real decreto recurrido, de muchos de los elementos del régimen del juego, de todo lo cual concluye que “no existe identidad y podrían convivir perfectamente ambas modalidades de juego”, sin que, por otra parte, haya ninguna previsión constitucional que prohíba o impida tal convivencia. Tampoco comparte el Abogado del Estado el argumento de la Junta de Andalucía conforme al cual cabría “compartimentar” el juego introducido por el reglamento recurrido, ya que, de hacerse así, perdería su globalidad sobre todo el territorio nacional resultando imposible obtener el rendimiento que tal carácter le permite, lo que iría en contra del interés general que, precisamente, a la luz de la doctrina constitucional citada, justifica la competencia estatal al respecto. A lo que suma, finalmente, que, si la convivencia de los juegos autonómico y estatal produce una disminución en el rendimiento de aquél ello es un “efecto puramente fáctico, de naturaleza económica, extraño al régimen jurídico de distribución de competencias”, siendo así que la posible “competencia en el mercado del juego” podrá afectar tanto al juego estatal como al autonómico, derivando como deriva de una libre opción del ciudadano, a los efectos de lo cual cita la STC 49/1995.</w:t>
      </w:r>
    </w:p>
    <w:p w:rsidR="00D06117" w:rsidRDefault="00D06117" w:rsidP="00D06117">
      <w:pPr>
        <w:pStyle w:val="TextoNormal"/>
      </w:pPr>
    </w:p>
    <w:p w:rsidR="00D06117" w:rsidRDefault="00D06117" w:rsidP="00D06117">
      <w:pPr>
        <w:pStyle w:val="TextoNormal"/>
      </w:pPr>
      <w:r>
        <w:t>El escrito del Abogado del Estado se cierra suplicando, mediante otrosí, que se acumule el conflicto de competencias con el tramitado bajo el núm. 4216-1999, “que tiene por objeto la misma disposición”, por entender que “se dan en este caso los requisitos de conexión a que se refiere el art. 83 de la LOTC”.</w:t>
      </w:r>
    </w:p>
    <w:p w:rsidR="00D06117" w:rsidRDefault="00D06117" w:rsidP="00D06117">
      <w:pPr>
        <w:pStyle w:val="TextoNormal"/>
      </w:pPr>
    </w:p>
    <w:p w:rsidR="00D06117" w:rsidRDefault="00D06117" w:rsidP="00D06117">
      <w:pPr>
        <w:pStyle w:val="TextoNormal"/>
      </w:pPr>
      <w:r w:rsidRPr="00D06117">
        <w:rPr>
          <w:rStyle w:val="NumeroAFNegritaCaracter"/>
        </w:rPr>
        <w:t>6</w:t>
      </w:r>
      <w:r>
        <w:t>. Con fecha 22 de diciembre de 1999 tuvo entrada en este Tribunal escrito del Abogado del Estado por el que presentaba alegaciones en el conflicto núm. 4216-1999.</w:t>
      </w:r>
    </w:p>
    <w:p w:rsidR="00D06117" w:rsidRDefault="00D06117" w:rsidP="00D06117">
      <w:pPr>
        <w:pStyle w:val="TextoNormal"/>
      </w:pPr>
    </w:p>
    <w:p w:rsidR="00D06117" w:rsidRDefault="00D06117" w:rsidP="00D06117">
      <w:pPr>
        <w:pStyle w:val="TextoNormal"/>
      </w:pPr>
      <w:r>
        <w:t xml:space="preserve">Comienza su escrito haciendo referencia a la doctrina constitucional acerca de la distribución de competencias en materia de “juegos y apuestas” partiendo de la STC 171/1998 para concluir que el título estatutario y el previsto en el art. 149.1.14 CE habilitan tanto a la Comunidad Autónoma de Cataluña como al Estado para organizar juegos o loterías, en el primer caso, dentro de su ámbito territorial, y, en el segundo, en beneficio del interés general, siendo así que, en este último caso, el Tribunal Constitucional habría venido manteniendo que al amparo de aquel título el Estado puede crear y organizar los juegos que considere oportuno, así como hacer propios, como medio de financiación, la totalidad de los ingresos obtenidos (STC 216/1994). De todo lo cual concluye que, cuando en las Sentencias de referencia el Tribunal afirma que “la competencia asumida en el Estatuto no excluye toda la que corresponde al Estado, sino que puede ejercerse de modo concurrente con la de éste”, debe interpretarse el término “concurrente” en el sentido de “indistintamente”, y ello por cuanto en esos procedimientos la Comunidad Autónoma había pedido el respeto a su competencia mediante los correspondientes medios de colaboración para poder participar en los rendimientos de los juegos estatales. Entiende, en definitiva, el Abogado del Estado que nuestro ordenamiento constitucional reconoce la competencia sobre el juego tanto al Estado como a las Comunidades Autónomas que la tengan atribuida con carácter exclusivo, sin que </w:t>
      </w:r>
      <w:r>
        <w:lastRenderedPageBreak/>
        <w:t>exista ninguna injerencia entre ambas que requiera de fórmulas de colaboración o coordinación, cuando el primero la ejerce a nivel nacional y las segundas dentro de su territorio.</w:t>
      </w:r>
    </w:p>
    <w:p w:rsidR="00D06117" w:rsidRDefault="00D06117" w:rsidP="00D06117">
      <w:pPr>
        <w:pStyle w:val="TextoNormal"/>
      </w:pPr>
    </w:p>
    <w:p w:rsidR="00D06117" w:rsidRDefault="00D06117" w:rsidP="00D06117">
      <w:pPr>
        <w:pStyle w:val="TextoNormal"/>
      </w:pPr>
      <w:r>
        <w:t>Razona seguidamente el Abogado del Estado sobre la improsperabilidad de la pretensión de la Generalitat de Cataluña, basada en el entendimiento de que la creación por el Estado de una modalidad de juego ya existente en Cataluña requiere de una compensación económica a favor de ésta. Afirma el Abogado del Estado que esta pretensión, que se ejercita desde la consciencia de que requiere de un cambio en la doctrina del Tribunal, descansa sobre dos premisas erróneas en cuanto a su planteamiento en relación con la doctrina anterior de este Tribunal. La primera premisa equivocada es que esa pretensión no haya sido formulada anteriormente, para desmentir lo cual basta con acudir a la citada STC 216/1994. La segunda se refiere a la tesis que se pretende extraer de la STC 49/1995, de la que se afirma que reconocería en el tributo creado por la Comunidad Autónoma de las Illes Balears “un límite al poder tributario del Estado”, si bien en ella se afirma que con el ejercicio inconstitucional de la potestad tributaria de Baleares se ha producido una invasión en la competencia del Estado sobre loterías y apuestas, siendo así que esta “reinterpretación” de la Sentencia tendría como objetivo intentar equiparar la potestad tributaria del Estado con su competencia para crear nuevos juegos o apuestas con el fin de justificar que a ambas se les debe aplicar el mismo régimen constitucional previsto en la LOFCA. Frente a ello afirma el Abogado del Estado que ni existe tal equiparación competencial ni la LOFCA se refiere en ningún momento a los juegos y apuestas como recursos que han de coordinarse entre el Estado y las Comunidades Autónomas.</w:t>
      </w:r>
    </w:p>
    <w:p w:rsidR="00D06117" w:rsidRDefault="00D06117" w:rsidP="00D06117">
      <w:pPr>
        <w:pStyle w:val="TextoNormal"/>
      </w:pPr>
    </w:p>
    <w:p w:rsidR="00D06117" w:rsidRDefault="00D06117" w:rsidP="00D06117">
      <w:pPr>
        <w:pStyle w:val="TextoNormal"/>
      </w:pPr>
      <w:r>
        <w:t>De todo lo anterior deduce el Abogado del Estado que la pretensión ejercitada no puede prosperar, por haberse pronunciado ya el Tribunal al respecto denegándola en diversas ocasiones, siendo inadmisible en el marco de un conflicto de competencias en el seno del art. 66 LOTC, ya que lo que se pretende del Tribunal es que afirme que para que el Estado pueda mantener su competencia debe abrirse un procedimiento de coordinación que lleve a una compensación económica, todo ello de espaldas al bloque de la constitucionalidad y a la doctrina del propio Tribunal. A tales efectos, el Abogado del Estado cita la STC 181/1988, que habría descartado que el incumplimiento de supuestos requisitos previos pudiera ser determinante de inconstitucionalidad desde el punto de vista competencial, para afirmar que en ese caso como en el presente no existe ninguna previsión en el bloque de la constitucionalidad que exija llevar a cabo una actuación de coordinación que lleve a una compensación económica.</w:t>
      </w:r>
    </w:p>
    <w:p w:rsidR="00D06117" w:rsidRDefault="00D06117" w:rsidP="00D06117">
      <w:pPr>
        <w:pStyle w:val="TextoNormal"/>
      </w:pPr>
    </w:p>
    <w:p w:rsidR="00D06117" w:rsidRDefault="00D06117" w:rsidP="00D06117">
      <w:pPr>
        <w:pStyle w:val="TextoNormal"/>
      </w:pPr>
      <w:r>
        <w:t>Rechaza sucesivamente el Abogado del Estado que, como pretende la Generalitat de Cataluña, la materia de juego pueda ser incluida en el sistema de financiación autonómica, dado que este sistema se ha diseñado sin hacer referencia alguna a los hipotéticos ingresos del juego, tal y como se desprendería de la LOFCA, ninguno de cuyos preceptos se refieren a los ingresos del juego, siendo así que ni siquiera respecto de todos los ingresos efectivamente previstos se someten a fórmulas de coordinación. A lo que se suma que, a la vista de los términos en que ha sido configurado el Consejo de Política Fiscal y Financiera, la omisión de su consulta o deliberación “en una materia como es el juego, totalmente extraña al contenido de la LOFCA, nunca podría producir una actuación contraria a la Constitución”.</w:t>
      </w:r>
    </w:p>
    <w:p w:rsidR="00D06117" w:rsidRDefault="00D06117" w:rsidP="00D06117">
      <w:pPr>
        <w:pStyle w:val="TextoNormal"/>
      </w:pPr>
    </w:p>
    <w:p w:rsidR="00D06117" w:rsidRDefault="00D06117" w:rsidP="00D06117">
      <w:pPr>
        <w:pStyle w:val="TextoNormal"/>
      </w:pPr>
      <w:r>
        <w:t xml:space="preserve">La cita del art. 4.5 de la Ley de régimen jurídico de las Administraciones públicas y del procedimiento administrativo común se rebate por carecer de rango constitucional y por </w:t>
      </w:r>
      <w:r>
        <w:lastRenderedPageBreak/>
        <w:t>cuanto se limitaría a establecer los cauces para la colaboración, que no coordinación, y en los supuestos de competencias compartidas o que exijan articular una actividad común entre ambas Administraciones, lo que no es el caso. En lo que hace a la invocación del art. 156.1 CE se advierte que se trata de la formulación de un principio general que requiere de su desarrollo mediante ley orgánica, ex art. 157.3 CE, para que tenga virtualidad constitucional en materia competencial, siendo así que es la LOFCA la ley que materializa dicha remisión, y lo hace con el alcance ya descrito. Descarta, finalmente, el Abogado del Estado que quepa, como pretende la Generalitat de Cataluña, aplicar analógicamente el art. 6.4 LOFCA, dado que la razón que justifica tal precepto en relación con la potestad tributaria de ambas Administraciones no se daría en el caso del ejercicio de la competencia sobre el juego, por tratarse de una competencia indistinta. De todo lo cual deduce el Abogado del Estado que el conflicto está mal planteado en cuanto a su pretensión (cfr. STC 188/1989), que resulta “improcedente y, por tanto, inadmisible”.</w:t>
      </w:r>
    </w:p>
    <w:p w:rsidR="00D06117" w:rsidRDefault="00D06117" w:rsidP="00D06117">
      <w:pPr>
        <w:pStyle w:val="TextoNormal"/>
      </w:pPr>
    </w:p>
    <w:p w:rsidR="00D06117" w:rsidRDefault="00D06117" w:rsidP="00D06117">
      <w:pPr>
        <w:pStyle w:val="TextoNormal"/>
      </w:pPr>
      <w:r>
        <w:t>El Abogado del Estado ofrece una última alegación subsidiaria, basada en descartar que, como pretende la Generalitat, se haya producido una invasión, por el Estado, de la competencia autonómica sobre el juego. El razonamiento de la Generalitat se apoyaría en cuatro aspectos fundamentales que el Abogado del Estado va descartando sucesivamente:</w:t>
      </w:r>
    </w:p>
    <w:p w:rsidR="00D06117" w:rsidRDefault="00D06117" w:rsidP="00D06117">
      <w:pPr>
        <w:pStyle w:val="TextoNormal"/>
      </w:pPr>
    </w:p>
    <w:p w:rsidR="00D06117" w:rsidRDefault="00D06117" w:rsidP="00D06117">
      <w:pPr>
        <w:pStyle w:val="TextoNormal"/>
      </w:pPr>
      <w:r>
        <w:t>a) Descarta, en primer lugar, que se haya ignorado la existencia de una lotería autónoma idéntica a la autorizada por el Estado, ya que niega la coincidencia sustancial entre las dos loterías, tanto porque la diferencia de ámbito entre ambas incide en su caracterización como por el carácter prematuro de la denuncia, en tanto en cuanto el juego estatal no queda totalmente configurado por el real decreto objeto del conflicto. Todo ello en el bien entendido de que no existe ninguna previsión constitucional que prohíba o impida la convivencia del juego estatal con el autonómico.</w:t>
      </w:r>
    </w:p>
    <w:p w:rsidR="00D06117" w:rsidRDefault="00D06117" w:rsidP="00D06117">
      <w:pPr>
        <w:pStyle w:val="TextoNormal"/>
      </w:pPr>
    </w:p>
    <w:p w:rsidR="00D06117" w:rsidRDefault="00D06117" w:rsidP="00D06117">
      <w:pPr>
        <w:pStyle w:val="TextoNormal"/>
      </w:pPr>
      <w:r>
        <w:t>b) Rechaza, sucesivamente, el Abogado del Estado que la autorización de la nueva lotería estatal cause un perjuicio económico a la Comunidad Autónoma que deba compensarse. Y ello por cuanto tal perjuicio económico, como “efecto puramente fáctico” que es, ni es consecuencia ni provoca una invasión competencial, siendo así que la competencia en el mercado del juego afectará tanto a la recaudación del juego estatal como a la del autonómico. Distinto sería que la norma estatal impidiese o limitase el ejercicio de la competencia autonómica obligando a modificar la configuración del juego autonómico o, incluso, prohibiéndolo. A lo que se suma que, en sentido inverso, la Comunidad catalana en 1987 creó en su ámbito una modalidad de lotería que ya existía a nivel estatal desde 1985 —la lotería primitiva—, sin que el Estado plantease ninguna cuestión competencial.</w:t>
      </w:r>
    </w:p>
    <w:p w:rsidR="00D06117" w:rsidRDefault="00D06117" w:rsidP="00D06117">
      <w:pPr>
        <w:pStyle w:val="TextoNormal"/>
      </w:pPr>
    </w:p>
    <w:p w:rsidR="00D06117" w:rsidRDefault="00D06117" w:rsidP="00D06117">
      <w:pPr>
        <w:pStyle w:val="TextoNormal"/>
      </w:pPr>
      <w:r>
        <w:t xml:space="preserve">c) Tampoco asume el Abogado del Estado que, como pretende la Generalitat de Cataluña, la forma en que se ha autorizado la lotería del Estado haya dado lugar al vaciamiento de la competencia autonómica, ya que nada impide a la Generalitat continuar la explotación de su “Loto Ràpid”, estando como están configuradas las competencias estatal y autonómica sobre el juego. En su opinión, de seguirse la tesis de la Generalitat, tal y como ha quedado reflejada en el suplico de su escrito, en el que se afirma que la lotería creada por el Real Decreto 844/1999 “no puede ser aplicada en Cataluña”, sí que habría vaciamiento de la competencia estatal, pues el Estado no podría establecer modalidades de juego en el territorio de las Comunidades Autónomas con competencia en la materia. A los efectos de lo cual </w:t>
      </w:r>
      <w:r>
        <w:lastRenderedPageBreak/>
        <w:t>vuelve a citar la STC 49/1995, en el que se consideró que la fijación de un tributo autonómico había modificado la modalidad del juego creada por el Estado y, con ello, invadido la competencia estatal sobre el juego, mientras que en el presente caso la creación del juego estatal no altera ni modifica, en su configuración, ninguno de los productos de juego creados o reconocidos por la Comunidad Autónoma.</w:t>
      </w:r>
    </w:p>
    <w:p w:rsidR="00D06117" w:rsidRDefault="00D06117" w:rsidP="00D06117">
      <w:pPr>
        <w:pStyle w:val="TextoNormal"/>
      </w:pPr>
    </w:p>
    <w:p w:rsidR="00D06117" w:rsidRDefault="00D06117" w:rsidP="00D06117">
      <w:pPr>
        <w:pStyle w:val="TextoNormal"/>
      </w:pPr>
      <w:r>
        <w:t>d) Finalmente, respecto de la argumentación de la Generalitat de Cataluña según la cual la situación competencial planteada en este caso es similar a la de concurrencia de distintas competencias sobre un mismo espacio físico, afirma el Abogado del Estado que ni comparte esta consideración, ni —aun acogiéndola— ello conduciría a la inconstitucionalidad del real decreto objeto del conflicto. Insiste a este respecto en la “máxima compatiblidad de competencias” en relación con el juego “al permitirse la convivencia simultánea y pacífica de los dos juegos estatal y autonómico”, sin que por ello tenga sentido establecer fórmulas de colaboración o cooperación exigibles en el caso de competencias concurrentes, siempre y cuando, como ha precisado la doctrina constitucional, así hayan sido contempladas en el bloque de la constitucionalidad, salvo que las potestades concurrentes resulten incompatibles, cosa que no ocurre en el presente caso.</w:t>
      </w:r>
    </w:p>
    <w:p w:rsidR="00D06117" w:rsidRDefault="00D06117" w:rsidP="00D06117">
      <w:pPr>
        <w:pStyle w:val="TextoNormal"/>
      </w:pPr>
    </w:p>
    <w:p w:rsidR="00D06117" w:rsidRDefault="00D06117" w:rsidP="00D06117">
      <w:pPr>
        <w:pStyle w:val="TextoNormal"/>
      </w:pPr>
      <w:r>
        <w:t>Como conclusión de todo lo anterior el Abogado del Estado concluye su escrito afirmando que “desde el punto de vista competencial el Real Decreto objeto de este conflicto es totalmente inocuo en relación con la competencia autonómica sobre el juego y, especialmente, en relación con la modalidad llamada ‘Loto Ràpid’”, como consecuencia de lo cual suplica que se desestime el conflicto y, mediante otrosí, que se proceda a la acumulación del procedimiento con el tramitado con el número 4124-1999, que tiene por objeto la misma disposición.</w:t>
      </w:r>
    </w:p>
    <w:p w:rsidR="00D06117" w:rsidRDefault="00D06117" w:rsidP="00D06117">
      <w:pPr>
        <w:pStyle w:val="TextoNormal"/>
      </w:pPr>
    </w:p>
    <w:p w:rsidR="00D06117" w:rsidRDefault="00D06117" w:rsidP="00D06117">
      <w:pPr>
        <w:pStyle w:val="TextoNormal"/>
      </w:pPr>
      <w:r w:rsidRPr="00D06117">
        <w:rPr>
          <w:rStyle w:val="NumeroAFNegritaCaracter"/>
        </w:rPr>
        <w:t>7</w:t>
      </w:r>
      <w:r>
        <w:t>. Abierto, mediante providencia de la Sección Segunda de fecha 11 de diciembre de 2001, trámite de audiencia al Gobierno de la Generalitat de Cataluña y al Consejo de Gobierno de la Junta de Andalucía a los efectos de resolver sobre la acumulación solicitada por el Abogado del Estado, ambas representaciones expresaron, mediante sendos escritos, su conformidad, de modo que mediante ATC 236/2002, de 26 de noviembre, se acordó acumular el conflicto de competencia registrado con el núm. 4216-1999 al registrado con el número 4124-1999.</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escrito que tuvo entrada en este Tribunal el 17 de marzo de 2006, el Gobierno de la Generalitat de Cataluña planteó conflicto positivo de competencias frente al Real Decreto 1336/2005, de 11 de noviembre, por el que se autoriza a la Organización Nacional de Ciegos Españoles (ONCE) la explotación de una lotería instantánea o presorteada, por considerar que el mismo menoscaba los ingresos de la hacienda pública de la Generalitat de Cataluña en relación con sus competencias en materia de juegos y apuestas, vulnerando por ello tanto el orden competencial constitucional y estatutariamente establecido como la autonomía financiera de la Generalitat.</w:t>
      </w:r>
    </w:p>
    <w:p w:rsidR="00D06117" w:rsidRDefault="00D06117" w:rsidP="00D06117">
      <w:pPr>
        <w:pStyle w:val="TextoNormal"/>
      </w:pPr>
    </w:p>
    <w:p w:rsidR="00D06117" w:rsidRDefault="00D06117" w:rsidP="00D06117">
      <w:pPr>
        <w:pStyle w:val="TextoNormal"/>
      </w:pPr>
      <w:r>
        <w:t xml:space="preserve">Después de poner de manifiesto los términos, infructuosos, en los que se dio cumplimiento al trámite de requerimiento previo, la Generalitat pasa a dar cuenta de los términos en los que se plantea el conflicto, partiendo de una descripción del objeto del real decreto recurrido —advirtiendo que consiste en autorizar a la ONCE la explotación de una lotería instantánea—. Destaca sucesivamente la Generalitat que la actuación estatal en relación con </w:t>
      </w:r>
      <w:r>
        <w:lastRenderedPageBreak/>
        <w:t>las loterías, implantando de forma sucesiva nuevas modalidades de juego de ámbito estatal, ha dado ocasión a numerosas quejas planteadas ante el Tribunal Constitucional por parte de las Comunidades Autónomas que habrían visto progresivamente reducido el ámbito material de sus competencias estatutariamente asumidas como exclusivas en materia de juego y apuestas, con la consiguiente merma de ingresos para las haciendas autonómicas. La propia Comunidad Autónoma catalana, ante el silencio del art. 149.1 CE en la materia, habría asumido en el art. 9.32 de su Estatuto de Autonomía (en la redacción entonces vigente) la competencia exclusiva en materia de casinos, juegos y apuestas, con la única salvedad de las apuestas mutuas deportivo benéficas, si bien esta competencia se habría visto sucesivamente configurada en la práctica, como consecuencia de la actuación estatal, “como referida a un ámbito material de índole menor y residual en el conjunto creciente del sector del juego”.</w:t>
      </w:r>
    </w:p>
    <w:p w:rsidR="00D06117" w:rsidRDefault="00D06117" w:rsidP="00D06117">
      <w:pPr>
        <w:pStyle w:val="TextoNormal"/>
      </w:pPr>
    </w:p>
    <w:p w:rsidR="00D06117" w:rsidRDefault="00D06117" w:rsidP="00D06117">
      <w:pPr>
        <w:pStyle w:val="TextoNormal"/>
      </w:pPr>
      <w:r>
        <w:t>En este contexto sitúa la Generalitat la interposición por ella misma del conflicto de competencias 4216-1999, si bien advierte que el Real Decreto 844/1999, objeto de aquel conflicto, no habría llegado a aplicarse en el momento de planteamiento del presente, “de manera que, concluye, la vulneración del orden competencial denunciada en el conflicto 4216-1999, aunque se produjo real y efectivamente en el orden jurídico al dictarse y entrar en vigor la norma, no ha llegado a tener consecuencias en el orden financiero”. Esta situación, que califica de “pacífica espera de la decisión jurisdiccional de ese Alto Tribunal en el litigio pendiente”, habría sido rota por el Gobierno al aprobar el deal decreto objeto del presente conflicto, por el que habría autorizado a la ONCE la explotación de la misma modalidad de lotería que el precedente Real Decreto 844/1999 había autorizado a explotar al Organismo Nacional de Loterías y Apuestas del Estado. De modo que, a pesar de la derogación formal del Real Decreto 844/1999 por el 1336/2005, el conflicto competencial planteado frente a aquél, no sólo perviviría, sino que habría experimentado una novación “que resulta más gravosa, si cabe, a la Generalidad de Cataluña”, puesto que supondría la “detracción favor de la ONCE de unos beneficios derivados del juego de los que, en Cataluña, se benefician actualmente otros colectivos semejantes también necesitados de apoyo social y de ayuda económica públicos”.</w:t>
      </w:r>
    </w:p>
    <w:p w:rsidR="00D06117" w:rsidRDefault="00D06117" w:rsidP="00D06117">
      <w:pPr>
        <w:pStyle w:val="TextoNormal"/>
      </w:pPr>
    </w:p>
    <w:p w:rsidR="00D06117" w:rsidRDefault="00D06117" w:rsidP="00D06117">
      <w:pPr>
        <w:pStyle w:val="TextoNormal"/>
      </w:pPr>
      <w:r>
        <w:t>A juicio de la Generalitat, el objeto del real decreto recurrido se encuadra sin dificultad en lo que se ha venido entendiendo como juegos y apuestas, siéndole, en consecuencia, de aplicación el título competencial del art. 9.32 del Estatuto de Autonomía de Cataluña, y ello con independencia de la extensión territorial del juego, del hecho de que sus rendimientos formen parte de las fuentes de financiación de un ente tutelado por el estado ni por la existencia “histórica” de un monopolio fiscal del juego. Aun partiendo de esta consideración, la Generalitat afirma no poder desconocer la jurisprudencia de este Tribunal sobre la materia, volcada en las SSTC 163/1994 y 164/1994, ambas de 26 de mayo, y 216/1994, de 14 de julio, en las que se declaró que la lotería nacional en sus distintas variedades es competencia del Estado bajo la cobertura del título en materia de hacienda general (art. 149.1.14 CE), sobre la base de entender que sus rendimientos venían a constituir ingresos de la hacienda pública estatal, siendo así que tal competencia comprende el monopolio fiscal como productor de ingresos públicos, lo que habilita al Estado para otorgar las concesiones o autorizaciones de los juegos de ámbito nacional en cuanto que suponen una derogación de la prohibición monopolística establecida a su favor.</w:t>
      </w:r>
    </w:p>
    <w:p w:rsidR="00D06117" w:rsidRDefault="00D06117" w:rsidP="00D06117">
      <w:pPr>
        <w:pStyle w:val="TextoNormal"/>
      </w:pPr>
    </w:p>
    <w:p w:rsidR="00D06117" w:rsidRDefault="00D06117" w:rsidP="00D06117">
      <w:pPr>
        <w:pStyle w:val="TextoNormal"/>
      </w:pPr>
      <w:r>
        <w:t xml:space="preserve">De acuerdo con ello el escrito del Gobierno de la Generalitat catalana advierte que no discute la competencia estatal para autorizar cuantas “modalidades de lotería nacional” </w:t>
      </w:r>
    </w:p>
    <w:p w:rsidR="00D06117" w:rsidRDefault="00D06117" w:rsidP="00D06117">
      <w:pPr>
        <w:pStyle w:val="TextoNormal"/>
      </w:pPr>
      <w:r>
        <w:lastRenderedPageBreak/>
        <w:t>considere oportunas, sino el modo y condiciones en que aquélla debe ejercerse para que las actuaciones estatales, respetando el principio de autonomía financiera proclamado en el art. 156.1 CE y el art. 1.1 LOFCA “no comporten el vaciamiento en la práctica de las competencias ajenas ni signifiquen una importante lesión para la Hacienda autonómica de la Generalidad catalana”. Y ello por cuanto la autorización del nuevo juego de lotería presorteada a nivel estatal se habría hecho ignorando la existencia en Cataluña de idéntica modalidad de lotería organizada por la Generalitat, de manera que, al no establecerse mecanismo alguno de coordinación y compensación, se generaría un perjuicio evidente para los citados ingresos autonómicos obtenidos legítimamente en un sector, el del juego y las apuestas, atribuido a la exclusiva competencia autonómica por el art. 9.32 del Estatuto de Autonomía”</w:t>
      </w:r>
    </w:p>
    <w:p w:rsidR="00D06117" w:rsidRDefault="00D06117" w:rsidP="00D06117">
      <w:pPr>
        <w:pStyle w:val="TextoNormal"/>
      </w:pPr>
    </w:p>
    <w:p w:rsidR="00D06117" w:rsidRDefault="00D06117" w:rsidP="00D06117">
      <w:pPr>
        <w:pStyle w:val="TextoNormal"/>
      </w:pPr>
      <w:r>
        <w:t>Afirma la Generalitat de Cataluña que no pretende desconocer la doctrina constitucional sentada al resolver varios conflictos competenciales planteados por diversas Comunidades Autónomas frente a las actuaciones estatales en materia de loterías. A tales efectos, cita —y glosa— las SSTC 163/1994, 164/1994, 216/1994, 49/1995 y 171/1998, para concluir que “se ha venido a imponer la prioridad de la salvaguarda de los intereses económicos de la Hacienda Pública por encima de la aplicación de otros títulos competenciales coincidentes”, lo cual critica en línea con lo manifestado en los votos particulares emitidos en relación con las sentencias citadas. Considera, sin embargo, que la aplicación al presente caso del “principio constitucional relativo a la necesaria coordinación de la Hacienda estatal y las Haciendas autonómicas, del art. 156.1 CE”, así como los criterios establecidos en la jurisprudencia constitucional, particularmente en las Sentencias citadas, que reconocen que “en este ámbito material se produce una clara concurrencia competencial”, permite concluir que el Real Decreto 844/1999 no habría respetado la autonomía financiera de la Generalitat de Cataluña “al comportar unos perjuicios para la Hacienda autonómica sin incluir medida alguna para su debido y posible resarcimiento”. En la consideración de la Generalitat de Cataluña, en materia de juegos se produce una concurrencia de competencias en un mismo “espacio económico”, como ocurre en otras materias respecto de un mismo “espacio físico”, siendo así que en estos últimos supuestos el Tribunal Constitucional habría venido declarando reiteradamente la obligación de que cada sujeto ejerza las propias competencias de la manera menos perjudicial para las ajenas, de modo que, incluso en los casos en los que debiera optarse por la “competencia prevalente”, habría dicho que “deberá hacerse sin vaciar totalmente de contenido las restantes competencias”, debiendo acudir para ello, en muchos casos, a “mecanismos de cooperación, colaboración y coordinación”.</w:t>
      </w:r>
    </w:p>
    <w:p w:rsidR="00D06117" w:rsidRDefault="00D06117" w:rsidP="00D06117">
      <w:pPr>
        <w:pStyle w:val="TextoNormal"/>
      </w:pPr>
    </w:p>
    <w:p w:rsidR="00D06117" w:rsidRDefault="00D06117" w:rsidP="00D06117">
      <w:pPr>
        <w:pStyle w:val="TextoNormal"/>
      </w:pPr>
      <w:r>
        <w:t>A los efectos de fundamentar su argumento, la Generalitat de Cataluña ofrece sucesivamente una descripción de la lotería instantánea que, con el nombre de “Loto Ràpid”, explota en Cataluña desde 1987, para concluir que la “Loto Ràpid” es una lotería de las mismas características de la que ahora se otorga para su explotación a la ONCE.</w:t>
      </w:r>
    </w:p>
    <w:p w:rsidR="00D06117" w:rsidRDefault="00D06117" w:rsidP="00D06117">
      <w:pPr>
        <w:pStyle w:val="TextoNormal"/>
      </w:pPr>
    </w:p>
    <w:p w:rsidR="00D06117" w:rsidRDefault="00D06117" w:rsidP="00D06117">
      <w:pPr>
        <w:pStyle w:val="TextoNormal"/>
      </w:pPr>
      <w:r>
        <w:t xml:space="preserve">Para la Generalitat de Cataluña, la anterior conclusión se vería confirmada por el análisis sucesivo de la norma objeto del conflicto, del que deduce que “la nueva lotería estatal va a suponer un real y efectivo perjuicio y limitación para la recaudación que obtiene la Hacienda de la Generalidad”. A su juicio, la simultaneidad en Cataluña de dos loterías presorteadas comporta una situación competitiva en la que la lotería catalana se encuentra en clara desventaja. Lo que conduciría a la reducción del importe destinado a los demás juegos y apuestas gestionados por la Generalitat, no siendo ilimitada la capacidad de juego de la población </w:t>
      </w:r>
      <w:r>
        <w:lastRenderedPageBreak/>
        <w:t>catalana, con lo que “la introducción de otra lotería estatal provoca de este modo un desequilibrio en el actual sistema de financiación autonómica que viene a lesionar el principio de autonomía financiera establecido en los arts. 156.1 CE y 1.1 LOFCA”.</w:t>
      </w:r>
    </w:p>
    <w:p w:rsidR="00D06117" w:rsidRDefault="00D06117" w:rsidP="00D06117">
      <w:pPr>
        <w:pStyle w:val="TextoNormal"/>
      </w:pPr>
    </w:p>
    <w:p w:rsidR="00D06117" w:rsidRDefault="00D06117" w:rsidP="00D06117">
      <w:pPr>
        <w:pStyle w:val="TextoNormal"/>
      </w:pPr>
      <w:r>
        <w:t>De ahí que la Generalitat sostenga que la “absurda concurrencia competitiva entre loterías” debería ser corregida, en sus “nocivos efectos”, acudiendo a los instrumentos y procedimientos de colaboración y cooperación oportunos, tal y como prevé el art. 4.5 de la Ley 30/1992, en la redacción dada por la Ley 4/1999, de modo que la vulneración del orden competencial deriva, precisamente, de la ausencia de previsiones al respecto, con vulneración del art. 156.1 CE y de la LOFCA, cuyo art. 2.1 b) exige al Estado la adopción de las “medidas oportunas tendentes a conseguir la estabilidad económica interna y externa” en pos del “equilibrio económico” de las Comunidades Autónomas. Medidas entre las que destacan las previstas en el art. 6.4 LOFCA, que obliga al Estado a instrumentar “las medidas de compensación y coordinación adecuadas” a favor de las Comunidades Autónomas cuando, en el ejercicio de su potestad tributaria originaria, establezca tributos sobre hechos imponibles gravados por las Comunidades Autónomas, siendo así que —si bien se asume por la Generalitat catalana que el precepto, referido a los tributos, no sería de aplicación directa—, sí resulta elocuente sobre cuál sería el criterio del legislador de la LOFCA en punto a configurar los límites del sistema tributario estatal en orden a la salvaguarda del principio de equilibrio económico en relación con la autonomía financiera de las Comunidades Autónomas.</w:t>
      </w:r>
    </w:p>
    <w:p w:rsidR="00D06117" w:rsidRDefault="00D06117" w:rsidP="00D06117">
      <w:pPr>
        <w:pStyle w:val="TextoNormal"/>
      </w:pPr>
    </w:p>
    <w:p w:rsidR="00D06117" w:rsidRDefault="00D06117" w:rsidP="00D06117">
      <w:pPr>
        <w:pStyle w:val="TextoNormal"/>
      </w:pPr>
      <w:r>
        <w:t>De todo lo cual concluye que “la norma impugnada comporta una efectiva lesión para la Hacienda autonómica y vulnera la autonomía financiera de la Generalitat en relación con el orden competencial al ignorar totalmente su efectiva repercusión sobre el sistema financiero en cuanto a los ingresos de la Hacienda autonómica de la Generalitat y no establecer medida alguna coordinadora y compensatoria, por lo que no puede ser aplicada en Cataluña”.</w:t>
      </w:r>
    </w:p>
    <w:p w:rsidR="00D06117" w:rsidRDefault="00D06117" w:rsidP="00D06117">
      <w:pPr>
        <w:pStyle w:val="TextoNormal"/>
      </w:pPr>
    </w:p>
    <w:p w:rsidR="00D06117" w:rsidRDefault="00D06117" w:rsidP="00D06117">
      <w:pPr>
        <w:pStyle w:val="TextoNormal"/>
      </w:pPr>
      <w:r>
        <w:t>Finalmente el Gobierno de la Generalitat, mediante otrosí, solicita la acumulación del conflicto al que “se sigue con el núm. 4216-1999, en relación con el Real Decreto 844/1999, de 21 de mayo”, petición que justifica en “la conexión, tanto material como de títulos competenciales invocados … hasta el punto de que cabe entender que [el Real Decreto 1336/2005] ha venido a sustituir [al Real Decreto 844/1999] al disponer expresamente su total derogación”.</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La Sección Segunda de este Tribunal, mediante providencia de 25 de abril de 2006, acordó admitir a trámite el conflicto positivo de competencia, dar traslado de las actuaciones al Gobierno de la Nación, por conducto de su Presidente, al objeto de que, en el plazo de veinte días y bajo la representación procesal que señala el art. 82.2 LOTC pudiera personarse en los autos y aportar cuantos documentos y alegaciones considerase convenientes. Igualmente se acordó comunicar la incoación del conflicto a la Sala Tercera del Tribunal Supremo por si ante la misma estuviera impugnado o se impugnara el referido real decreto, en cuyo caso se suspendería el curso del proceso hasta la decisión del conflicto, así como publicar la incoación del conflicto en el “Boletín Oficial del Estado” y en el “Diari Oficial de la Generalitat de Cataluña”. En la misma providencia se acordó oír a las partes sobre la posible acumulación de este conflicto al registrado con el núm. 4124-1999, promovido por el Consejo de Gobierno de la Comunidad Autónoma de Andalucía, al que por Auto de 26 </w:t>
      </w:r>
      <w:r>
        <w:lastRenderedPageBreak/>
        <w:t>de noviembre de 2002 fue acumulado el conflicto núm. 4216-1999, promovido por el Gobierno de la Generalitat de Cataluña.</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escrito que tuvo entrada en este Tribunal el 18 de mayo de 2006, el Abogado de la Generalitat de Cataluña manifestó su conformidad con la acumulación del conflicto 3029-2006 a los conflictos, ya acumulados entre sí, 4124-1999 y 4216-1999, “relativos todos ellos a una misma modalidad de lotería en materia de juego”. La Junta de Andalucía no presentó escrito alguno en relación con dicha acumulación.</w:t>
      </w:r>
    </w:p>
    <w:p w:rsidR="00D06117" w:rsidRDefault="00D06117" w:rsidP="00D06117">
      <w:pPr>
        <w:pStyle w:val="TextoNormal"/>
      </w:pPr>
    </w:p>
    <w:p w:rsidR="00D06117" w:rsidRDefault="00D06117" w:rsidP="00D06117">
      <w:pPr>
        <w:pStyle w:val="TextoNormal"/>
      </w:pPr>
      <w:r w:rsidRPr="00D06117">
        <w:rPr>
          <w:rStyle w:val="NumeroAFNegritaCaracter"/>
        </w:rPr>
        <w:t>11</w:t>
      </w:r>
      <w:r>
        <w:t>. El Abogado del Estado presentó su escrito de alegaciones el día 30 de mayo de 2006 en el que, tras hacer referencia al contenido de la norma controvertida, menciona la doctrina constitucional acerca de la distribución de competencias en materia de “juegos y apuestas” partiendo de la STC 171/1998 para concluir que el título estatutario y el previsto en el art. 149.1.14 CE habilitan tanto a la Comunidad Autónoma de Cataluña como al Estado para organizar juegos o loterías, en el primer caso, dentro de su ámbito territorial, y, en el segundo, de ámbito nacional en tanto que tales juegos constituyan un recurso ordinario de su hacienda y conecten con el monopolio fiscal.</w:t>
      </w:r>
    </w:p>
    <w:p w:rsidR="00D06117" w:rsidRDefault="00D06117" w:rsidP="00D06117">
      <w:pPr>
        <w:pStyle w:val="TextoNormal"/>
      </w:pPr>
    </w:p>
    <w:p w:rsidR="00D06117" w:rsidRDefault="00D06117" w:rsidP="00D06117">
      <w:pPr>
        <w:pStyle w:val="TextoNormal"/>
      </w:pPr>
      <w:r>
        <w:t>Seguidamente hace referencia a los argumentos aducidos por la Generalitat de Cataluña señalando su identidad con los alegados con ocasión del conflicto núm. 4216-1999 lo que determina que, por su parte, también se reproduzcan los argumentos que sustentan la competencia estatal. Razona el Abogado del Estado sobre la improsperabilidad de la pretensión de la Generalitat de Cataluña, basada en el entendimiento de que la creación por el Estado de una modalidad de juego ya existente en Cataluña requiere de una compensación económica a favor de ésta. Afirma el Abogado del Estado que esta pretensión, que se ejercita desde la consciencia de que requiere de un cambio en la doctrina del Tribunal, descansa sobre dos premisas erróneas en cuanto a su planteamiento en relación con la doctrina anterior de este Tribunal. La primera premisa equivocada es que esa pretensión no haya sido formulada anteriormente, para desmentir lo cual basta con acudir a la citada STC 216/1994. La segunda se refiere a la pretensión de crear una fórmula obligatoria de compensación económica de espaldas al bloque de la constitucionalidad y a la doctrina del propio Tribunal Constitucional.</w:t>
      </w:r>
    </w:p>
    <w:p w:rsidR="00D06117" w:rsidRDefault="00D06117" w:rsidP="00D06117">
      <w:pPr>
        <w:pStyle w:val="TextoNormal"/>
      </w:pPr>
    </w:p>
    <w:p w:rsidR="00D06117" w:rsidRDefault="00D06117" w:rsidP="00D06117">
      <w:pPr>
        <w:pStyle w:val="TextoNormal"/>
      </w:pPr>
      <w:r>
        <w:t xml:space="preserve">El Abogado del Estado señala que la demanda se basa en tres argumentos a los que va, sucesivamente, dando contestación. En cuanto al primero de ellos, la pretensión de aplicar analógicamente el art. 6.4 LOFCA, indica que el sistema de financiación previsto en la LOFCA se ha diseñado sin hacer referencia alguna a los hipotéticos ingresos del juego a los que no alcanzaría el régimen de coordinación establecido en la misma para determinados ingresos. Asimismo sostiene que la razón que justifica tal precepto en relación con la potestad tributaria de ambas Administraciones no se daría en el caso del ejercicio de la competencia sobre el juego, por tratarse de una competencia indistinta en la que no se produciría una total coincidencia en su ejercicio, dado el distinto ámbito territorial de una y otra. Rechaza que la autorización de la nueva lotería estatal cause un perjuicio económico a la Comunidad Autónoma que deba compensarse. Y ello por cuanto tal perjuicio económico, como “efecto puramente fáctico” que es, ni es consecuencia ni provoca una invasión competencial, siendo así que la competencia en el mercado del juego afectará tanto a la recaudación del juego estatal como a la del autonómico. Distinto sería que la norma estatal impidiese o limitase el ejercicio de la competencia autonómica obligando a modificar la configuración </w:t>
      </w:r>
      <w:r>
        <w:lastRenderedPageBreak/>
        <w:t>del juego autonómico o, incluso, prohibiéndolo. A lo que se suma que, en sentido inverso, la Comunidad catalana en 1987 creó en su ámbito una modalidad de lotería que ya existía a nivel estatal desde 1985 —la lotería primitiva—, sin que el Estado plantease ninguna cuestión competencial.</w:t>
      </w:r>
    </w:p>
    <w:p w:rsidR="00D06117" w:rsidRDefault="00D06117" w:rsidP="00D06117">
      <w:pPr>
        <w:pStyle w:val="TextoNormal"/>
      </w:pPr>
    </w:p>
    <w:p w:rsidR="00D06117" w:rsidRDefault="00D06117" w:rsidP="00D06117">
      <w:pPr>
        <w:pStyle w:val="TextoNormal"/>
      </w:pPr>
      <w:r>
        <w:t>Tampoco asume el Abogado del Estado que, como pretende la Generalitat de Cataluña, la forma en que se ha autorizado la lotería del Estado haya dado lugar al vaciamiento de la competencia autonómica, ya que nada impide a la Generalitat continuar la explotación de su “Loto Ràpid”, estando como están configuradas las competencias estatal y autonómica sobre el juego. En su opinión, de seguirse la tesis de la Generalitat, sí que habría vaciamiento de la competencia estatal, pues el Estado no podría establecer modalidades de juego en el territorio de las Comunidades Autónomas con competencia en la materia. A los efectos de lo cual vuelve a citar la STC 49/1995, en el que se consideró que la fijación de un tributo autonómico había modificado la modalidad del juego creada por el Estado y, con ello, invadido la competencia estatal sobre el juego, mientras que en el presente caso la creación del juego estatal no altera ni modifica, en su configuración, ninguno de los productos de juego creados o reconocidos por la Comunidad Autónoma.</w:t>
      </w:r>
    </w:p>
    <w:p w:rsidR="00D06117" w:rsidRDefault="00D06117" w:rsidP="00D06117">
      <w:pPr>
        <w:pStyle w:val="TextoNormal"/>
      </w:pPr>
    </w:p>
    <w:p w:rsidR="00D06117" w:rsidRDefault="00D06117" w:rsidP="00D06117">
      <w:pPr>
        <w:pStyle w:val="TextoNormal"/>
      </w:pPr>
      <w:r>
        <w:t>Finalmente, respecto de la argumentación de la Generalitat de Cataluña según la cual la situación competencial planteada en este caso es similar a la de concurrencia de distintas competencias sobre un mismo espacio físico, “lo que supone que se le debe dar un trato similar”, afirma el Abogado del Estado que ni comparte esta consideración, ni —aun acogiéndola— ello conduciría a la inconstitucionalidad del real decreto objeto del conflicto. Insiste a este respecto en la “máxima compatibilidad de competencias” en relación con el juego “al permitirse la convivencia simultánea y pacífica de los dos juegos estatal y autonómico”, sin que por ello tenga sentido establecer fórmulas de colaboración o cooperación exigibles en el caso de competencias concurrentes, siempre y cuando, como ha precisado la doctrina constitucional, así hayan sido contempladas en el bloque de la constitucionalidad, salvo que las potestades concurrentes resulten incompatibles, cosa que no ocurre en el presente caso.</w:t>
      </w:r>
    </w:p>
    <w:p w:rsidR="00D06117" w:rsidRDefault="00D06117" w:rsidP="00D06117">
      <w:pPr>
        <w:pStyle w:val="TextoNormal"/>
      </w:pPr>
    </w:p>
    <w:p w:rsidR="00D06117" w:rsidRDefault="00D06117" w:rsidP="00D06117">
      <w:pPr>
        <w:pStyle w:val="TextoNormal"/>
      </w:pPr>
      <w:r>
        <w:t>Como conclusión de todo lo anterior el Abogado del Estado concluye su escrito afirmando que “desde el punto de vista competencial el Real Decreto objeto de este conflicto es totalmente inocuo en relación con la competencia autonómica sobre el juego y, especialmente, en relación con la modalidad llamada ‘Loto Ràpid’”, como consecuencia de lo cual suplica que se desestime el conflicto y, mediante otrosí, que se proceda a la acumulación del procedimiento con los tramitados con los números 4124-1999 y 4216-1999, que tienen por objeto la misma disposición.</w:t>
      </w:r>
    </w:p>
    <w:p w:rsidR="00D06117" w:rsidRDefault="00D06117" w:rsidP="00D06117">
      <w:pPr>
        <w:pStyle w:val="TextoNormal"/>
      </w:pPr>
    </w:p>
    <w:p w:rsidR="00D06117" w:rsidRDefault="00D06117" w:rsidP="00D06117">
      <w:pPr>
        <w:pStyle w:val="TextoNormal"/>
      </w:pPr>
      <w:r>
        <w:t>Finalmente, en relación a la solicitada acumulación indica, mediante otrosí, que “dada la evidente identidad de este conflicto con el 4216-1999 y el 4124-1999”, se proceda a la acumulación interesada en la demanda.</w:t>
      </w:r>
    </w:p>
    <w:p w:rsidR="00D06117" w:rsidRDefault="00D06117" w:rsidP="00D06117">
      <w:pPr>
        <w:pStyle w:val="TextoNormal"/>
      </w:pPr>
    </w:p>
    <w:p w:rsidR="00D06117" w:rsidRDefault="00D06117" w:rsidP="00D06117">
      <w:pPr>
        <w:pStyle w:val="TextoNormal"/>
      </w:pPr>
      <w:r w:rsidRPr="00D06117">
        <w:rPr>
          <w:rStyle w:val="NumeroAFNegritaCaracter"/>
        </w:rPr>
        <w:t>12</w:t>
      </w:r>
      <w:r>
        <w:t>. El Pleno del Tribunal Constitucional, por ATC 267/2009, de 26 de noviembre, acordó acumular el conflicto positivo de competencia núm. 3029-2006 a los núms. 4124-1999 y 4216-1999, acumulados entre sí, que seguirán así una misma tramitación hasta su resolución también única por el Pleno, desde el común estado procesal en que se hallan, pendientes de señalamiento para la deliberación y votación de la Sentencia.</w:t>
      </w:r>
    </w:p>
    <w:p w:rsidR="00D06117" w:rsidRDefault="00D06117" w:rsidP="00D06117">
      <w:pPr>
        <w:pStyle w:val="TextoNormal"/>
      </w:pPr>
    </w:p>
    <w:p w:rsidR="00D06117" w:rsidRDefault="00D06117" w:rsidP="00D06117">
      <w:pPr>
        <w:pStyle w:val="TextoNormal"/>
      </w:pPr>
      <w:r w:rsidRPr="00D06117">
        <w:rPr>
          <w:rStyle w:val="NumeroAFNegritaCaracter"/>
        </w:rPr>
        <w:t>13</w:t>
      </w:r>
      <w:r>
        <w:t>. Mediante escrito de 8 de marzo de 2012 la Magistrada doña Elisa Pérez Vera comunicó su intención de abstenerse en la deliberación y votación de los presentes conflictos positivos de competencia, al haber participado, en su anterior condición de Presidenta del Consejo Consultivo de Andalucía en la adopción del dictamen núm. 129/1999, de 6 de octubre, emitido por dicho órgano con carácter previo al planteamiento por el Consejo de Gobierno de la Comunidad Autónoma de Andalucía del conflicto positivo de competencia contra el Real Decreto 844/1999 de 21 de mayo. Por Auto de fecha 13 de marzo de 2012 el Pleno de este Tribunal acordó estimar la citada causa de abstención y en consecuencia apartar a doña Elisa Pérez Vera de los presentes conflictos.</w:t>
      </w:r>
    </w:p>
    <w:p w:rsidR="00D06117" w:rsidRDefault="00D06117" w:rsidP="00D06117">
      <w:pPr>
        <w:pStyle w:val="TextoNormal"/>
      </w:pPr>
    </w:p>
    <w:p w:rsidR="00D06117" w:rsidRDefault="00D06117" w:rsidP="00D06117">
      <w:pPr>
        <w:pStyle w:val="TextoNormal"/>
      </w:pPr>
      <w:r w:rsidRPr="00D06117">
        <w:rPr>
          <w:rStyle w:val="NumeroAFNegritaCaracter"/>
        </w:rPr>
        <w:t>14</w:t>
      </w:r>
      <w:r>
        <w:t>. Mediante providencia de 13 de marzo de 2012 se señaló para deliberación y votación de la presente Sentencia el 15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En el presente proceso constitucional debemos resolver los conflictos de competencia acumulados planteados por la Junta de Andalucía y el Gobierno de la Generalitat de Cataluña frente al Real Decreto 844/1999, de 21 de mayo, por el que se autoriza la explotación de una lotería instantánea o presorteada, así como el planteado en solitario por la representación de la Generalitat de Cataluña contra el Real Decreto 1336/2005, de 11 de noviembre, por el que se autoriza a la Organización Nacional de Ciegos Españoles la explotación de una lotería instantánea o presorteada.</w:t>
      </w:r>
    </w:p>
    <w:p w:rsidR="00D06117" w:rsidRDefault="00D06117" w:rsidP="00D06117">
      <w:pPr>
        <w:pStyle w:val="TextoNormal"/>
      </w:pPr>
    </w:p>
    <w:p w:rsidR="00D06117" w:rsidRDefault="00D06117" w:rsidP="00D06117">
      <w:pPr>
        <w:pStyle w:val="TextoNormal"/>
      </w:pPr>
      <w:r>
        <w:t>El citado Real Decreto 844/1999, establece una modalidad de lotería de ámbito nacional denominada genéricamente lotería instantánea o presorteada cuya dirección, organización y explotación se encomienda al Organismo Nacional de Loterías y Apuestas del Estado, disponiendo que el remanente del valor de la emisión, una vez deducido el porcentaje asignado a premios así como los gastos generales, de distribución, de administración y de comisiones de puntos de venta, sea ingresado en el Tesoro público. Por su parte, el Real Decreto 1336/2005, que deroga el anterior, autoriza a la Organización Nacional de Ciegos Españoles (ONCE) la comercialización de una modalidad de lotería instantánea o presorteada cuya dirección, organización y explotación confía a la citada organización. Y dispone también que los ingresos obtenidos por su explotación, deducidos los gastos relativos a los premios abonados, la retribución de los agentes vendedores y los gastos generales propios de la gestión del juego, se destinarán a los mismos fines y estarán sujetos a las mismas obligaciones establecidas para los demás juegos autorizados a la ONCE.</w:t>
      </w:r>
    </w:p>
    <w:p w:rsidR="00D06117" w:rsidRDefault="00D06117" w:rsidP="00D06117">
      <w:pPr>
        <w:pStyle w:val="TextoNormal"/>
      </w:pPr>
    </w:p>
    <w:p w:rsidR="00D06117" w:rsidRDefault="00D06117" w:rsidP="00D06117">
      <w:pPr>
        <w:pStyle w:val="TextoNormal"/>
      </w:pPr>
      <w:r>
        <w:t>La Junta de Andalucía denuncia que el Real Decreto 844/1999 vulnera la competencia exclusiva autonómica que en materia de casinos, juegos y apuestas le reconoce el art. 13. 33 de su Estatuto de Autonomía, así como su autonomía financiera en su vertiente de obtención de ingresos por cuanto la intervención estatal se ha cumplido prescindiendo de los mecanismos de coordinación que resultan obligados conforme a lo dispuesto en el art. 156.1 CE, y con desconocimiento, además, de lo dispuesto en los arts. 57.1 f) del Estatuto de Autonomía, en su versión entonces vigente.</w:t>
      </w:r>
    </w:p>
    <w:p w:rsidR="00D06117" w:rsidRDefault="00D06117" w:rsidP="00D06117">
      <w:pPr>
        <w:pStyle w:val="TextoNormal"/>
      </w:pPr>
    </w:p>
    <w:p w:rsidR="00D06117" w:rsidRDefault="00D06117" w:rsidP="00D06117">
      <w:pPr>
        <w:pStyle w:val="TextoNormal"/>
      </w:pPr>
      <w:r>
        <w:lastRenderedPageBreak/>
        <w:t>Por su parte, la representación procesal de la Generalitat de Cataluña considera que el Real Decreto 844/1999 lesiona los ingresos de su hacienda autonómica y, en consecuencia, vulnera la autonomía financiera de la Generalitat, en relación con su competencia exclusiva en materia de juegos y apuestas [art. 9.32 del Estatuto de Autonomía de Cataluña (EAC)], por cuanto no prevé ningún sistema de coordinación y compensación al modo del previsto en el art. 6.4 de la Ley Orgánica de financiación de las Comunidades Autónomas (LOFCA) para cuando, como es el ahora caso, la autorización del juego de lotería considerado coincide con la existencia en Cataluña de idéntica modalidad de lotería organizada por la Generalitat. Por las mismas razones considera que el Real Decreto 1336/2005, que deroga el citado Real Decreto 844/1999, pero que autoriza igualmente la explotación de la misma modalidad de lotería, sólo que ahora en favor de la ONCE, incurre en las mismas infracciones constitucionales.</w:t>
      </w:r>
    </w:p>
    <w:p w:rsidR="00D06117" w:rsidRDefault="00D06117" w:rsidP="00D06117">
      <w:pPr>
        <w:pStyle w:val="TextoNormal"/>
      </w:pPr>
    </w:p>
    <w:p w:rsidR="00D06117" w:rsidRDefault="00D06117" w:rsidP="00D06117">
      <w:pPr>
        <w:pStyle w:val="TextoNormal"/>
      </w:pPr>
      <w:r>
        <w:t>El Abogado del Estado considera, por el contrario, que las normas controvertidas se encuadran competencialmente en el título estatal relativo a hacienda general del art. 149.1.14 CE, y niega también que el legítimo ejercicio de esa competencia esté condicionado a mecanismos de coordinación o compensación al modo de los previstos por la LOFCA en materia de ingresos tributarios, toda vez que la competencia estatal para autorizar juegos y apuestas de ámbito estatal no se identifica con la potestad tributaria del Estado, única a la que en rigor resulta exigible lo dispuesto en la LOFCA.</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examinar el fondo de los conflictos de competencias planteados en el presente proceso constitucional debemos, sin embargo, resolver algunas cuestiones previas.</w:t>
      </w:r>
    </w:p>
    <w:p w:rsidR="00D06117" w:rsidRDefault="00D06117" w:rsidP="00D06117">
      <w:pPr>
        <w:pStyle w:val="TextoNormal"/>
      </w:pPr>
    </w:p>
    <w:p w:rsidR="00D06117" w:rsidRDefault="00D06117" w:rsidP="00D06117">
      <w:pPr>
        <w:pStyle w:val="TextoNormal"/>
      </w:pPr>
      <w:r>
        <w:t>En primer lugar, debemos pronunciarnos sobre la objeción formulada por el Abogado del Estado que considera que el conflicto planteado por la Junta de Andalucía y tramitado con el núm. 4124-1999 resulta inadmisible por falta de la necesaria legitimación para promoverlo, toda vez que, en su criterio, el acuerdo del Consejo de Gobierno de la Junta de Andalucía, de 27 de julio de 1999, por el que se requirió de incompetencia al Gobierno de la Nación, únicamente autoriza al gabinete jurídico de la Junta de Andalucía a plantear el correspondiente conflicto en el supuesto de que el requerimiento no fuera atendido, pero sin que dicho acuerdo contenga un mandato expreso e incondicionado para que el conflicto se interponga en cualquier caso. Por este motivo razona que la decisión de interponerlo finalmente se ha adoptado a iniciativa propia por el gabinete jurídico de la Junta de Andalucía y no por el órgano legitimado para hacerlo.</w:t>
      </w:r>
    </w:p>
    <w:p w:rsidR="00D06117" w:rsidRDefault="00D06117" w:rsidP="00D06117">
      <w:pPr>
        <w:pStyle w:val="TextoNormal"/>
      </w:pPr>
    </w:p>
    <w:p w:rsidR="00D06117" w:rsidRDefault="00D06117" w:rsidP="00D06117">
      <w:pPr>
        <w:pStyle w:val="TextoNormal"/>
      </w:pPr>
      <w:r>
        <w:t>Esta objeción debe ser rechazada puesto que, conforme es doctrina de este Tribunal, que toma pie a su vez en la necesidad, muchas veces subrayada, de realizar una interpretación no formalista de los requisitos procesales de los procesos constitucionales [por todas, SSTC 32/2006, de 1 de febrero, FJ 2 b) y 270/2006, de 13 de septiembre, FJ 2 b)], “el acuerdo para promover un conflicto positivo de competencia puede adoptarse bien antes de requerir de incompetencia a la Administración demandada y al tiempo que se decide tal requerimiento, por si el trámite resultara infructuoso, bien después de ser desatendido el requerimiento, [pues] la Ley Orgánica de este Tribunal no dispone que el Acuerdo relativo al planteamiento del conflicto haya de adoptarse precisamente después de rechazado el requerimiento previo, ni impide que tal Acuerdo se adopte con carácter subsidiario o preventivo, para el caso de que el requerimiento no prosperase” (STC 313/1994, de 24 de noviembre, FJ 5, con cita de la STC 133/1990, FJ 18).</w:t>
      </w:r>
    </w:p>
    <w:p w:rsidR="00D06117" w:rsidRDefault="00D06117" w:rsidP="00D06117">
      <w:pPr>
        <w:pStyle w:val="TextoNormal"/>
      </w:pPr>
    </w:p>
    <w:p w:rsidR="00D06117" w:rsidRDefault="00D06117" w:rsidP="00D06117">
      <w:pPr>
        <w:pStyle w:val="TextoNormal"/>
      </w:pPr>
      <w:r>
        <w:t>En el presente caso, según se ha recordado, existe un acuerdo expreso del Consejo de Gobierno de la Junta de Andalucía en el que consta su voluntad impugnatoria para el caso de no prosperar el previo requerimiento, como luego así resultó, y que naturalmente también ahora debemos respetar, por lo que la citada tacha de admisión opuesta por el Abogado del Estado carece de fundamento.</w:t>
      </w:r>
    </w:p>
    <w:p w:rsidR="00D06117" w:rsidRDefault="00D06117" w:rsidP="00D06117">
      <w:pPr>
        <w:pStyle w:val="TextoNormal"/>
      </w:pPr>
    </w:p>
    <w:p w:rsidR="00D06117" w:rsidRDefault="00D06117" w:rsidP="00D06117">
      <w:pPr>
        <w:pStyle w:val="TextoNormal"/>
      </w:pPr>
      <w:r>
        <w:t>En segundo lugar importa salir al paso de la objeción opuesta también por el Abogado del Estado para cuestionar ahora la alegación formulada con carácter principal por la Generalitat de Cataluña y subsidiariamente por la Junta de Andalucía relativa a la falta de previsión expresa de una fórmula de coordinación y compensación capaz de garantizar el principio de autonomía financiera proclamado en los arts. 156.1 CE y 1.1 LOFCA. Para el Abogado del Estado semejante tacha resulta inadmisible pues la misma no combate en rigor la competencia del Estado para aprobar las normas cuestionadas, sino que pretende más bien forzar un pronunciamiento de este Tribunal que declare la exigencia de dicha fórmula como condición para el válido ejercicio del Estado de sus competencias constitucionales en la materia; pero pronunciamiento que, conforme a lo dispuesto en el art. 66 de la Ley Orgánica del Tribunal Constitucional, no es posible realizar en este tipo de conflictos constitucionales de competencia.</w:t>
      </w:r>
    </w:p>
    <w:p w:rsidR="00D06117" w:rsidRDefault="00D06117" w:rsidP="00D06117">
      <w:pPr>
        <w:pStyle w:val="TextoNormal"/>
      </w:pPr>
    </w:p>
    <w:p w:rsidR="00D06117" w:rsidRDefault="00D06117" w:rsidP="00D06117">
      <w:pPr>
        <w:pStyle w:val="TextoNormal"/>
      </w:pPr>
      <w:r>
        <w:t>Al respecto hemos advertido igualmente que “existirá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 (STC 44/2007, de 1 de marzo, FJ 3). Teniendo en cuenta esta doctrina la pretensión de incompetencia formulada por los promotores de los conflictos se encuadra claramente en la última de las perspectivas citadas, esto es, la de la defensa autonómica de competencias propias, en este caso frente a las normas reglamentarias dictadas por el Estado por su posible interferencia en la autonomía financiera de las Comunidades Autónomas promotoras, restringiendo sus posibilidades financieras y, con ello, el ejercicio legítimo y pacífico de sus propias competencias en materia de juegos y apuestas.</w:t>
      </w:r>
    </w:p>
    <w:p w:rsidR="00D06117" w:rsidRDefault="00D06117" w:rsidP="00D06117">
      <w:pPr>
        <w:pStyle w:val="TextoNormal"/>
      </w:pPr>
    </w:p>
    <w:p w:rsidR="00D06117" w:rsidRDefault="00D06117" w:rsidP="00D06117">
      <w:pPr>
        <w:pStyle w:val="TextoNormal"/>
      </w:pPr>
      <w:r>
        <w:t>Finalmente con carácter previo debemos valorar los efectos que sobre la presente controversia pueda tener el hecho de que el Real Decreto 844/1999, de 21 de mayo, haya sido derogado por el Real Decreto 1336/2005, de 11 de noviembre, también cuestionado en el presente proceso constitucional. Como hemos precisado en otras ocasiones similares “este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 (STC 33/2005, de 17 de febrero, FJ 2).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 (loc. cit.).</w:t>
      </w:r>
    </w:p>
    <w:p w:rsidR="00D06117" w:rsidRDefault="00D06117" w:rsidP="00D06117">
      <w:pPr>
        <w:pStyle w:val="TextoNormal"/>
      </w:pPr>
    </w:p>
    <w:p w:rsidR="00D06117" w:rsidRDefault="00D06117" w:rsidP="00D06117">
      <w:pPr>
        <w:pStyle w:val="TextoNormal"/>
      </w:pPr>
      <w:r>
        <w:lastRenderedPageBreak/>
        <w:t>Con estos presupuestos y dado que el Real Decreto 1336/2005, de 11 de noviembre, plantea en esencia los mismos problemas competenciales que motivaron el conflicto inicialmente promovido, resulta evidente que la citada derogación en nada afecta a la disputa competencial, que en consecuencia sigue viva.</w:t>
      </w:r>
    </w:p>
    <w:p w:rsidR="00D06117" w:rsidRDefault="00D06117" w:rsidP="00D06117">
      <w:pPr>
        <w:pStyle w:val="TextoNormal"/>
      </w:pPr>
    </w:p>
    <w:p w:rsidR="00D06117" w:rsidRDefault="00D06117" w:rsidP="00D06117">
      <w:pPr>
        <w:pStyle w:val="TextoNormal"/>
      </w:pPr>
      <w:r w:rsidRPr="00D06117">
        <w:rPr>
          <w:rStyle w:val="NumeroAFNegritaCaracter"/>
        </w:rPr>
        <w:t>3</w:t>
      </w:r>
      <w:r>
        <w:t>. Entrando ya en el enjuiciamiento del fondo del asunto conviene subrayar en primer lugar que las partes no discrepan sobre el encuadramiento competencial de las disposiciones controvertidas, que en forma unánime consideran que versan sobre la delimitación de las competencias estatales y autonómicas en materia de juego y apuestas.</w:t>
      </w:r>
    </w:p>
    <w:p w:rsidR="00D06117" w:rsidRDefault="00D06117" w:rsidP="00D06117">
      <w:pPr>
        <w:pStyle w:val="TextoNormal"/>
      </w:pPr>
    </w:p>
    <w:p w:rsidR="00D06117" w:rsidRDefault="00D06117" w:rsidP="00D06117">
      <w:pPr>
        <w:pStyle w:val="TextoNormal"/>
      </w:pPr>
      <w:r>
        <w:t>Sobre esta materia hemos tenido ocasión de pronunciarnos repetidamente y existe, por tanto, una consolidada doctrina constitucional que interesa recordar ahora. Conforme a esta doctrina, que sintetiza la STC 204/2002, de 31 de octubre, “la materia de juego, a pesar de no ser mencionada en los arts. 148.1 y 149.1 CE y en los Estatutos de Autonomía, ha sido atribuida a las Comunidades Autónomas bajo el uniforme título de ‘casinos, juegos y apuestas con exclusión de las Apuestas Mutuas Deportivo-Benéficas’, en sus respectivos Estatutos. [En consecuencia],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w:t>
      </w:r>
    </w:p>
    <w:p w:rsidR="00D06117" w:rsidRDefault="00D06117" w:rsidP="00D06117">
      <w:pPr>
        <w:pStyle w:val="TextoNormal"/>
      </w:pPr>
    </w:p>
    <w:p w:rsidR="00D06117" w:rsidRDefault="00D06117" w:rsidP="00D06117">
      <w:pPr>
        <w:pStyle w:val="TextoNormal"/>
      </w:pPr>
      <w:r>
        <w:t>En esa misma doctrina está sin embargo igualmente dicho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w:t>
      </w:r>
    </w:p>
    <w:p w:rsidR="00D06117" w:rsidRDefault="00D06117" w:rsidP="00D06117">
      <w:pPr>
        <w:pStyle w:val="TextoNormal"/>
      </w:pPr>
    </w:p>
    <w:p w:rsidR="00D06117" w:rsidRDefault="00D06117" w:rsidP="00D06117">
      <w:pPr>
        <w:pStyle w:val="TextoNormal"/>
      </w:pPr>
      <w:r>
        <w:t xml:space="preserve">De otra parte importa igualmente atender a lo dispuesto hoy en los Estatutos de Autonomía de Andalucía y Cataluña luego de sus respectivas modificaciones por las Leyes Orgánicas 2/2007, de 19 de marzo, de reforma del Estatuto de Autonomía de Andalucía (en adelante EAAnd) y 6/2006, de 19 de julio, de reforma del Estatuto de Autonomía de Cataluña (EAC), habida cuenta de que, según hemos subrayado repetidamente, el control de las normas que incurren en un posible exceso competencial debe hacerse de acuerdo a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135/2006, de 27 de abril, FJ 3 a)]. Lo que significa que “el canon de constitucionalidad aplicable para medir la validez de la Ley es el efectivamente existente al </w:t>
      </w:r>
      <w:r>
        <w:lastRenderedPageBreak/>
        <w:t>tiempo de procederse a la resolución del proceso constitucional que se hubiese entablado” (STC 110/1998, de 21 de mayo, FJ 2 y doctrina allí citada).</w:t>
      </w:r>
    </w:p>
    <w:p w:rsidR="00D06117" w:rsidRDefault="00D06117" w:rsidP="00D06117">
      <w:pPr>
        <w:pStyle w:val="TextoNormal"/>
      </w:pPr>
    </w:p>
    <w:p w:rsidR="00D06117" w:rsidRDefault="00D06117" w:rsidP="00D06117">
      <w:pPr>
        <w:pStyle w:val="TextoNormal"/>
      </w:pPr>
      <w:r>
        <w:t>Pues bien, ambos Estatutos, después de afirmar la competencia exclusiva autonómica en materia de juegos, apuestas y casinos cuando la actividad se desarrolle exclusivamente en el respectivo territorio (art. 81.1 EAAnd de 2007 y 141.1 EAC de 2006), reconocen sin embargo la existencia de modalidades de juego y apuestas de ámbito estatal. Lo hace, en efecto, el art. 81.2 EAAnd cuando advierte que “la autorización de nuevas modalidades de juego y apuestas de ámbito estatal, o bien la modificación de las existentes, requiere la deliberación en la Comisión Bilateral Junta de Andalucía-Estado prevista en el Título IX y el informe previo de la Junta de Andalucía”. Y en parecidos términos se pronuncia asimismo el art. 141.2 EAC, bien que para calificar ahora de “determinante” el correspondiente informe previo de la Generalitat.</w:t>
      </w:r>
    </w:p>
    <w:p w:rsidR="00D06117" w:rsidRDefault="00D06117" w:rsidP="00D06117">
      <w:pPr>
        <w:pStyle w:val="TextoNormal"/>
      </w:pPr>
    </w:p>
    <w:p w:rsidR="00D06117" w:rsidRDefault="00D06117" w:rsidP="00D06117">
      <w:pPr>
        <w:pStyle w:val="TextoNormal"/>
      </w:pPr>
      <w:r>
        <w:t>Finalmente interesa asimismo notar que precisamente respecto de este último precepto estatutario en nuestra STC 31/2010, de 28 de junio, ya advertimos que esa previsión no supedita ni condiciona la actuación estatal en esta materia, de modo que el Estado podrá, si lo estima conveniente, autorizar nuevos juegos o modificar los existentes de su competencia (fundamentos jurídicos 86, 115 y 117).</w:t>
      </w:r>
    </w:p>
    <w:p w:rsidR="00D06117" w:rsidRDefault="00D06117" w:rsidP="00D06117">
      <w:pPr>
        <w:pStyle w:val="TextoNormal"/>
      </w:pPr>
    </w:p>
    <w:p w:rsidR="00D06117" w:rsidRDefault="00D06117" w:rsidP="00D06117">
      <w:pPr>
        <w:pStyle w:val="TextoNormal"/>
      </w:pPr>
      <w:r w:rsidRPr="00D06117">
        <w:rPr>
          <w:rStyle w:val="NumeroAFNegritaCaracter"/>
        </w:rPr>
        <w:t>4</w:t>
      </w:r>
      <w:r>
        <w:t>. Lo hasta ahora expuesto es suficiente para desestimar la falta de competencia del Estado para aprobar el Real Decreto 844/1999, de 21 de mayo, y la consiguiente vulneración de la competencia autonómica en materia de juego que la Junta de Andalucía ha denunciado con carácter principal. En forma concluyente porque, como se ha observado, la competencia exclusiva autonómica comprende los supuestos de juegos que se desarrollen exclusivamente en Andalucía. Y este no es desde luego el caso del citado real decreto que justo comienza por precisar (art. 1) que la modalidad de lotería que establece es de ámbito nacional, lo que determina la competencia estatal sobre la misma. Pues como ya dijimos en la STC 163/1994, de 26 de mayo, FJ 8, corresponde al Estado ex art. 149.1.14 CE “la gestión del monopolio de la lotería nacional, y con él la facultad para organizar loterías de ámbito nacional; y además,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y sin perjuicio de la competencia exclusiva [autonómica] para autorizar o celebrar aquellas actividades dentro de su ámbito territorial”, decisión que reiteramos en las SSTC 216/1994, de 14 de julio, FJ 2, y171/1998, de 23 de julio, FJ 7.</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Algo más de detalle exige no obstante nuestra respuesta a la alegación defendida con carácter subsidiario por la Junta de Andalucía y con carácter principal por la Generalitat de Cataluña para denunciar que, con el establecimiento de las loterías consideradas, primero mediante el Real Decreto 844/1999, de 21 de mayo, y, más tarde, con el Real Decreto 1336/2005, el Estado ha comprometido su autonomía financiera, vulnerando el principio de suficiencia financiera de las haciendas autonómicas del art. 156.1 CE, por haber prescindido, al hacerlo, de cualquier mecanismo de coordinación con las haciendas autonómicas. Por su parte la Generalitat de Cataluña denuncia también que la coordinación que echa en falta debería haberse hecho efectiva a través de la previsión de un mecanismo de compensación económica a la Generalitat, similar al previsto en el art. 6.4 LOFCA (actualmente </w:t>
      </w:r>
      <w:r>
        <w:lastRenderedPageBreak/>
        <w:t>art. 6.2 LOFCA) por la disminución de ingresos que el establecimiento de la lotería de ámbito nacional ha de causarle inevitablemente, al competir en concurrencia con la lotería de ámbito autonómico ya existente desde 1987.</w:t>
      </w:r>
    </w:p>
    <w:p w:rsidR="00D06117" w:rsidRDefault="00D06117" w:rsidP="00D06117">
      <w:pPr>
        <w:pStyle w:val="TextoNormal"/>
      </w:pPr>
    </w:p>
    <w:p w:rsidR="00D06117" w:rsidRDefault="00D06117" w:rsidP="00D06117">
      <w:pPr>
        <w:pStyle w:val="TextoNormal"/>
      </w:pPr>
      <w:r w:rsidRPr="00D06117">
        <w:rPr>
          <w:rStyle w:val="NumeroAFNegritaCaracter"/>
        </w:rPr>
        <w:t>6</w:t>
      </w:r>
      <w:r>
        <w:t>. Al respecto importa recordar una vez más que el Estado, como hemos subrayado en la STC 31/2010, FJ 130, tiene atribuida la competencia exclusiva en materia de “hacienda general” (art. 149.1.14 CE), así como la potestad originaria para establecer tributos mediante ley (art. 133.1 CE), lo que, unido a que también corresponde al legislador orgánico la regulación del ejercicio de las competencias financieras de las Comunidades Autónomas, (art. 157.3 CE), determina que aquél “sea competente para regular no sólo sus propios tributos, sino también el marco general de todo el sistema tributario y la delimitación de las competencias financieras de las Comunidades Autónomas respecto de las del propio Estado” (STC 72/2003, de 10 de abril, FJ 5).</w:t>
      </w:r>
    </w:p>
    <w:p w:rsidR="00D06117" w:rsidRDefault="00D06117" w:rsidP="00D06117">
      <w:pPr>
        <w:pStyle w:val="TextoNormal"/>
      </w:pPr>
    </w:p>
    <w:p w:rsidR="00D06117" w:rsidRDefault="00D06117" w:rsidP="00D06117">
      <w:pPr>
        <w:pStyle w:val="TextoNormal"/>
      </w:pPr>
      <w:r>
        <w:t>En estas precisas coordenadas constitucionales se sitúa cabalmente el principio de autonomía financiera de las Comunidades Autónomas que sanciona el art. 156.1 CE, en relación con el art. 137 CE, y desarrolla luego la Ley Orgánica 8/1980, de 22 de septiembre, de financiación de las Comunidades Autónomas, modificada últimamente, en lo que ahora más nos importa, por la Ley Orgánica 3/2009, de 18 de diciembre, cuyo art. 1.1 reconoce la autonomía financiera de las Comunidades Autónomas para el desarrollo y ejecución de sus competencias, para añadir a continuación en el art. 2.1 f) que la actividad financiera de las Comunidades Autónomas se ejercerá en coordinación con la hacienda del Estado con arreglo al principio de suficiencia de los recursos para el ejercicio de sus competencias propias.</w:t>
      </w:r>
    </w:p>
    <w:p w:rsidR="00D06117" w:rsidRDefault="00D06117" w:rsidP="00D06117">
      <w:pPr>
        <w:pStyle w:val="TextoNormal"/>
      </w:pPr>
    </w:p>
    <w:p w:rsidR="00D06117" w:rsidRDefault="00D06117" w:rsidP="00D06117">
      <w:pPr>
        <w:pStyle w:val="TextoNormal"/>
      </w:pPr>
      <w:r>
        <w:t>Precisamente a propósito de la citada exigencia de coordinación este Tribunal tiene repetidamente declarado que si en un Estado compuesto “[l]a acción estatal es claro que debe desplegarse teniendo en cuenta las peculiaridades de un sistema de autonomías territoriales” (STC 146/1986, de 25 de noviembre, FJ 4), esta exigencia es asimismo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45/1986, FJ 4)”. Lo que de modo congruente, como recuerda entre otras la STC 13/2007, de 18 de enero, FJ 3) se traduce en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(STC 13/1992, de 6 de febrero, FJ 2; y en el mismo sentido STC 68/1996, de 4 de abril, FJ 2).</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Con estos obligados presupuestos no hay duda, por tanto, de que la autonomía financiera reconocida a las Comunidades Autónomas exige ciertamente la disposición de los medios financieros precisos para poder ejercer, sin condicionamientos indebidos y en toda su </w:t>
      </w:r>
      <w:r>
        <w:lastRenderedPageBreak/>
        <w:t>extensión, sus competencias propias y, al cabo, permitir el ejercicio de la autonomía política constitucionalmente reconocida en los arts. 137 y 156 CE.</w:t>
      </w:r>
    </w:p>
    <w:p w:rsidR="00D06117" w:rsidRDefault="00D06117" w:rsidP="00D06117">
      <w:pPr>
        <w:pStyle w:val="TextoNormal"/>
      </w:pPr>
    </w:p>
    <w:p w:rsidR="00D06117" w:rsidRDefault="00D06117" w:rsidP="00D06117">
      <w:pPr>
        <w:pStyle w:val="TextoNormal"/>
      </w:pPr>
      <w:r>
        <w:t>Ahora bien, como también hemos declarado en repetidas ocasiones, este principio de suficiencia financiera, que las Comunidades Autónomas promotoras de los presentes conflictos reputan vulnerado por las disposiciones reglamentarias que combaten, no es sin embargo un valor absoluto, sino que tiene también lógicamente sus propios límites y, en primer lugar, el que deriva de la propia naturaleza de las cosas, de forma que “dicha suficiencia debe quedar enmarcada, como concepto relativo que es, en el marco de las posibilidades reales del sistema financiero del Estado en su conjunto” (STC 13/2007, de 18 de enero, FJ 5). Por ninguna otra razón su eventual vulneración ha de valorarse siempre “en atención al conjunto de los recursos de que puedan disponer y de las competencias que les han sido atribuidas, así como de los servicios que gestionan, y dentro siempre de las reales disponibilidades económicas de un sistema globalmente presidido por el principio de solidaridad entre todos los españoles” [STC 87/1993, de 11 de marzo, FJ 3 b)]. Lo que a la postre significa que la suficiencia financiera es efectivamente “algo muy concreto y dependiente de muchas variables” (STC 135/1992, de 5 de octubre, FJ 8) y no, por tanto, determinable en función de una singular fuente de ingresos, individualmente considerada, y su eventual reducción.</w:t>
      </w:r>
    </w:p>
    <w:p w:rsidR="00D06117" w:rsidRDefault="00D06117" w:rsidP="00D06117">
      <w:pPr>
        <w:pStyle w:val="TextoNormal"/>
      </w:pPr>
    </w:p>
    <w:p w:rsidR="00D06117" w:rsidRDefault="00D06117" w:rsidP="00D06117">
      <w:pPr>
        <w:pStyle w:val="TextoNormal"/>
      </w:pPr>
      <w:r>
        <w:t>Estas precisiones son ya suficientes para desestimar la queja que analizamos puesto que la posible minoración de ingresos derivada de la competencia en concurrencia de la nueva modalidad de lotería que autorizan los reales decretos considerados en el presente proceso constitucional con la lotería que la Generalitat de Cataluña explota en su territorio desde 1987 no es ningún criterio o factor adecuado para expresar las necesidades de financiación autonómica y, por tanto, capaz de arriesgar la lesión del principio de suficiencia financiera que se denuncia. De un lado, porque la Generalitat de Cataluña no ha demostrado en ningún momento que la nueva modalidad de lotería de ámbito estatal ponga en peligro la suficiencia de los recursos financieros precisos para ejercer sus competencias en materia de juego. Una demostración que resulta en rigor necesaria por cuanto, como también hemos advertido en otras ocasiones,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de 18 de febrero, FJ 5). Por añadidura, como expresamente ha reconocido la propia Generalitat de Cataluña, el Real Decreto 844/1999 que cuestiona ni siquiera ha llegado a tener aplicación práctica, por lo que, la citada norma no ha producido consecuencias financieras negativas.</w:t>
      </w:r>
    </w:p>
    <w:p w:rsidR="00D06117" w:rsidRDefault="00D06117" w:rsidP="00D06117">
      <w:pPr>
        <w:pStyle w:val="TextoNormal"/>
      </w:pPr>
    </w:p>
    <w:p w:rsidR="00D06117" w:rsidRDefault="00D06117" w:rsidP="00D06117">
      <w:pPr>
        <w:pStyle w:val="TextoNormal"/>
      </w:pPr>
      <w:r>
        <w:t>Y, de otro, porque, una vez confirmada la competencia del Estado para autorizar juegos de ámbito estatal, el hecho de que la autorización por los reales decretos cuestionados de una modalidad de lotería pueda eventualmente reducir los ingresos autonómicos que derivan de la previa explotación por la Generalitat de Cataluña en su territorio autonómico de una modalidad de lotería similar, no permite cuestionar la legitimidad del ejercicio por el Estado de sus competencia ex art. 149.1.14 CE por el simple hecho de que, al hacerlo, no haya previsto ningún mecanismo de compensación financiera, so pena naturalmente de admitir un indebido condicionamiento en el ejercicio de las propias competencias del Estado y, por tanto, con evidente riesgo de desfigurar el propio concepto de suficiencia financiera dise</w:t>
      </w:r>
      <w:r>
        <w:lastRenderedPageBreak/>
        <w:t>ñado en el bloque de constitucionalidad que no reclama, como se ha señalado, el cumplimiento de semejante exigencia de compensación. De hecho, las únicas referencias al “juego” en el sistema de financiación autonómica son las que en materia de cesión de impuestos del Estado a las Comunidades Autónomas contienen los arts. 11 i) y 19.2 e) LOFCA, y, en lo que ahora exclusivamente nos importa, la disposición adicional séptima EAC y el art.178.1 EAAnd; pero referencias, en cualquier caso que, frente a lo alegado por la Junta de Andalucía, es evidente que ninguna relación guardan con la queja que ahora nos ocupa.</w:t>
      </w:r>
    </w:p>
    <w:p w:rsidR="00D06117" w:rsidRDefault="00D06117" w:rsidP="00D06117">
      <w:pPr>
        <w:pStyle w:val="TextoNormal"/>
      </w:pPr>
    </w:p>
    <w:p w:rsidR="00D06117" w:rsidRDefault="00D06117" w:rsidP="00D06117">
      <w:pPr>
        <w:pStyle w:val="TextoNormal"/>
      </w:pPr>
      <w:r>
        <w:t>Como tampoco, pero por lo mismo, y en contra ahora de lo pretendido por la Generalitat de Cataluña, resulta de aplicación lo dispuesto en el art. 6.2 LOFCA, toda vez que, como se desprende de su propio tenor literal, este precepto establece la necesidad de instrumentar medidas de compensación o coordinación en los supuestos en que “el Estado, en el ejercicio de su potestad tributaria originaria establezca tributos sobre hechos imponibles gravados por las Comunidades Autónomas, que supongan a éstas una disminución de ingresos”, lo que patentemente no es, sin embargo, el caso.</w:t>
      </w:r>
    </w:p>
    <w:p w:rsidR="00D06117" w:rsidRDefault="00D06117" w:rsidP="00D06117">
      <w:pPr>
        <w:pStyle w:val="TextoNormal"/>
      </w:pPr>
    </w:p>
    <w:p w:rsidR="00D06117" w:rsidRDefault="00D06117" w:rsidP="00D06117">
      <w:pPr>
        <w:pStyle w:val="TextoNormal"/>
      </w:pPr>
      <w:r>
        <w:t>Todo lo anteriormente expuesto conduce, en consecuencia, a la desestimación de los conflictos planteados contra el Real Decreto 844/1999, de 21 de mayo.</w:t>
      </w:r>
    </w:p>
    <w:p w:rsidR="00D06117" w:rsidRDefault="00D06117" w:rsidP="00D06117">
      <w:pPr>
        <w:pStyle w:val="TextoNormal"/>
      </w:pPr>
    </w:p>
    <w:p w:rsidR="00D06117" w:rsidRDefault="00D06117" w:rsidP="00D06117">
      <w:pPr>
        <w:pStyle w:val="TextoNormal"/>
      </w:pPr>
      <w:r w:rsidRPr="00D06117">
        <w:rPr>
          <w:rStyle w:val="NumeroAFNegritaCaracter"/>
        </w:rPr>
        <w:t>8</w:t>
      </w:r>
      <w:r>
        <w:t>. Por último debemos desestimar igualmente la invasión competencial en materia de juego que la Generalitat de Cataluña reprocha al Real Decreto 1336/2005, de 11 de noviembre, por el que se autoriza a la Organización Nacional de Ciegos Españoles (ONCE) la explotación de una lotería instantánea o presorteada de ámbito estatal.</w:t>
      </w:r>
    </w:p>
    <w:p w:rsidR="00D06117" w:rsidRDefault="00D06117" w:rsidP="00D06117">
      <w:pPr>
        <w:pStyle w:val="TextoNormal"/>
      </w:pPr>
    </w:p>
    <w:p w:rsidR="00D06117" w:rsidRDefault="00D06117" w:rsidP="00D06117">
      <w:pPr>
        <w:pStyle w:val="TextoNormal"/>
      </w:pPr>
      <w:r>
        <w:t>La disposición adicional decimocuarta del Estatuto de Autonomía de Cataluña es desde luego bien concluyente al respecto al establecer que la deliberación y el informe previos que exige el art. 141.2 del propio texto estatutario para los casos de autorización de nuevas modalidades de juego y apuestas de ámbito estatal “no resultará de aplicación a la modificación de las modalidades de los juegos y apuestas atribuidos, para fines sociales, a las organizaciones de ámbito estatal, carácter social y sin fin de lucro, conforme a lo dispuesto en la normativa aplicable a dichas organizaciones”. Y la ONCE obviamente lo es, según ya hemos tenido ocasión de advertir (STC 171/1998, de 23 de julio, FF JJ 4 y 5) y precisa por su parte el art. 1.1 del Real Decreto 358/1991, de 15 de marzo, modificado por el Real Decreto 1359/2005, de 18 de noviembre, que la define como “una Corporación de Derecho Público, de carácter social, con personalidad jurídica propia y plena capacidad de obrar, que desarrolla su actividad en todo el territorio español, bajo el Protectorado del Estado. Dicho carácter social integra los principios y valores de la solidaridad, la ausencia de ánimo de lucro y el interés general en la naturaleza y fines de la organización”.</w:t>
      </w:r>
    </w:p>
    <w:p w:rsidR="00D06117" w:rsidRDefault="00D06117" w:rsidP="00D06117">
      <w:pPr>
        <w:pStyle w:val="TextoNormal"/>
      </w:pPr>
    </w:p>
    <w:p w:rsidR="00D06117" w:rsidRDefault="00D06117" w:rsidP="00D06117">
      <w:pPr>
        <w:pStyle w:val="TextoNormal"/>
      </w:pPr>
      <w:r>
        <w:t>Con arreglo a estos obligados presupuestos legales no hay duda de que el Real Decreto 1336/2005 impugnado no menoscaba ni invade la competencia autonómica en materia de juego. Procede, en consecuencia, la desestimación del conflicto planteado por este motivo.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los presentes conflictos positivos de competencia.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quince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6" w:name="SENTENCIA_2012_33"/>
      <w:r>
        <w:lastRenderedPageBreak/>
        <w:t>SENTENCIA 33/2012, de 15 de marzo de 2012</w:t>
      </w:r>
    </w:p>
    <w:bookmarkEnd w:id="3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ECLI:ES:TC:2012:33</w:t>
      </w:r>
    </w:p>
    <w:p w:rsidR="00D06117" w:rsidRDefault="00D06117" w:rsidP="00D06117">
      <w:pPr>
        <w:pStyle w:val="SntesisDescriptiva"/>
      </w:pPr>
    </w:p>
    <w:p w:rsidR="00D06117" w:rsidRDefault="00D06117" w:rsidP="00D06117">
      <w:pPr>
        <w:pStyle w:val="SntesisDescriptiva"/>
      </w:pPr>
      <w:r>
        <w:t>Conflicto positivo de competencia 1081-2000. Interpuesto por el Gobierno de la Nación frente a la resolución del Departamento de Justicia de la Generalidad de Cataluña de 13 de octubre de 1999 por la que se inscriben en el Registro de colegios profesionales de la Generalidad de Cataluña los Estatutos del Colegio de censores jurados de cuentas de Cataluña.</w:t>
      </w:r>
    </w:p>
    <w:p w:rsidR="00D06117" w:rsidRDefault="00D06117" w:rsidP="00D06117">
      <w:pPr>
        <w:pStyle w:val="SntesisDescriptiva"/>
      </w:pPr>
    </w:p>
    <w:p w:rsidR="00D06117" w:rsidRDefault="00D06117" w:rsidP="00D06117">
      <w:pPr>
        <w:pStyle w:val="SntesisAnaltica"/>
      </w:pPr>
      <w:r>
        <w:t>Distribución de competencias sobre legislación mercantil y colegios profesionales; tramitación del conflicto en la forma prevista para el recurso de inconstitucionalidad: validez de la Ley del Parlamento de Cataluña 7/1995, de 28 de junio, de creación del Colegio de censores jurados de cuentas de Cataluña; interpretación conforme de los preceptos de los estatutos colegiales relativos a funciones reservadas por la legislación estatal a las corporaciones representativas de los auditores.</w:t>
      </w:r>
    </w:p>
    <w:p w:rsidR="00D06117" w:rsidRDefault="00D06117" w:rsidP="00D06117">
      <w:pPr>
        <w:pStyle w:val="SntesisAnaltica"/>
      </w:pPr>
    </w:p>
    <w:p w:rsidR="00D06117" w:rsidRDefault="00D06117" w:rsidP="00D06117">
      <w:pPr>
        <w:pStyle w:val="Extracto"/>
      </w:pPr>
      <w:r>
        <w:t>1.</w:t>
      </w:r>
      <w:r>
        <w:tab/>
        <w:t>Ni las disposiciones de los estatutos Colegio de censores jurados de cuentas de Cataluña ni menos aún los preceptos de la Ley autonómica de creación del Colegio de censores jurados de cuentas de Cataluña, han invadido la competencia del Estado sobre legislación mercantil, ya que no configuran el acceso al Colegio de censores jurados de cuentas de Cataluña como un requisito necesario para poder ejercer la actividad de auditor de cuentas, ni como una habilitación que permita acometer y desarrollar esa misma actividad sin cumplir los requisitos previstos por la legislación estatal aplicable, y tampoco atribuyen al citado colegio la condición de corporación representativa de auditores de cuentas [FFJJ 7, 8].</w:t>
      </w:r>
    </w:p>
    <w:p w:rsidR="00D06117" w:rsidRDefault="00D06117" w:rsidP="00D06117">
      <w:pPr>
        <w:pStyle w:val="Extracto"/>
      </w:pPr>
    </w:p>
    <w:p w:rsidR="00D06117" w:rsidRDefault="00D06117" w:rsidP="00D06117">
      <w:pPr>
        <w:pStyle w:val="Extracto"/>
      </w:pPr>
      <w:r>
        <w:t>2.</w:t>
      </w:r>
      <w:r>
        <w:tab/>
        <w:t xml:space="preserve">Dado que, conforme a la legislación estatal, la actividad de auditoría de cuentas puede ser desarrollada por los censores jurados de cuentas, la previsión de que, en los trabajos de auditoría que les hayan encargado, deberán realizar los exámenes y comprobaciones necesarios para fundamentar técnicamente su informe conforme a las normas técnicas de auditoría, constituye una mera norma de remisión al marco jurídico reservado al legislador estatal, </w:t>
      </w:r>
      <w:r w:rsidRPr="00D06117">
        <w:rPr>
          <w:i/>
        </w:rPr>
        <w:t>ex</w:t>
      </w:r>
      <w:r>
        <w:t xml:space="preserve"> art. 149.1.6 CE, sin que dicha remisión interfiera en las competencias estatales de regulación de la actividad de auditoría de cuentas (STC 386/1993) [FJ 7].</w:t>
      </w:r>
    </w:p>
    <w:p w:rsidR="00D06117" w:rsidRDefault="00D06117" w:rsidP="00D06117">
      <w:pPr>
        <w:pStyle w:val="Extracto"/>
      </w:pPr>
    </w:p>
    <w:p w:rsidR="00D06117" w:rsidRDefault="00D06117" w:rsidP="00D06117">
      <w:pPr>
        <w:pStyle w:val="Extracto"/>
      </w:pPr>
      <w:r>
        <w:t>3.</w:t>
      </w:r>
      <w:r>
        <w:tab/>
        <w:t>Corresponde al Estado determinar cuáles son las corporaciones representativas de auditores de cuentas y atribuirles funciones públicas en relación con la actividad de auditoría, dado que dicha actividad puede ser realizada no sólo por los censores jurados de cuentas sino también por otros profesionales, siempre que cuenten con la habilitación pertinente (STC 386/1993) [FJ 7].</w:t>
      </w:r>
    </w:p>
    <w:p w:rsidR="00D06117" w:rsidRDefault="00D06117" w:rsidP="00D06117">
      <w:pPr>
        <w:pStyle w:val="Extracto"/>
      </w:pPr>
    </w:p>
    <w:p w:rsidR="00D06117" w:rsidRDefault="00D06117" w:rsidP="00D06117">
      <w:pPr>
        <w:pStyle w:val="Extracto"/>
      </w:pPr>
      <w:r>
        <w:t>4.</w:t>
      </w:r>
      <w:r>
        <w:tab/>
        <w:t xml:space="preserve">El Colegio de censores jurados de cuentas de Cataluña, como corporación representativa en el ámbito territorial de Cataluña de una parte de los profesionales que realizan actividades de auditoría de cuentas, puede asumir en sus estatutos las funciones que la legislación estatal atribuye a las corporaciones representativas de </w:t>
      </w:r>
      <w:r>
        <w:lastRenderedPageBreak/>
        <w:t>auditores, que deberá ejercer en los términos establecidos en la normativa estatal [FJ 7].</w:t>
      </w:r>
    </w:p>
    <w:p w:rsidR="00D06117" w:rsidRDefault="00D06117" w:rsidP="00D06117">
      <w:pPr>
        <w:pStyle w:val="Extracto"/>
      </w:pPr>
    </w:p>
    <w:p w:rsidR="00D06117" w:rsidRDefault="00D06117" w:rsidP="00D06117">
      <w:pPr>
        <w:pStyle w:val="Extracto"/>
      </w:pPr>
      <w:r>
        <w:t>5.</w:t>
      </w:r>
      <w:r>
        <w:tab/>
        <w:t>El informe previo del Colegio de censores jurados de cuentas respecto de la elaboración de normas por la Generalitat no invade la competencia estatal sobre legislación mercantil pues se fundamenta en las competencias de Cataluña sobre profesiones tituladas –art. 125 EAC–, sin perjuicio de las competencias estatales básicas –art. 149.1.30 CE– y la competencia estatal para regular la actividad de auditoría de cuentas –art. 149.1.6 CE– (STC 31/2010) [FJ 7].</w:t>
      </w:r>
    </w:p>
    <w:p w:rsidR="00D06117" w:rsidRDefault="00D06117" w:rsidP="00D06117">
      <w:pPr>
        <w:pStyle w:val="Extracto"/>
      </w:pPr>
    </w:p>
    <w:p w:rsidR="00D06117" w:rsidRDefault="00D06117" w:rsidP="00D06117">
      <w:pPr>
        <w:pStyle w:val="Extracto"/>
      </w:pPr>
      <w:r>
        <w:t>6.</w:t>
      </w:r>
      <w:r>
        <w:tab/>
        <w:t>La potestad sancionadora de los colegios profesionales está unida a la función colegial de ordenación de la actividad profesional de los colegiados y encuentra apoyo expreso en la legislación estatal de colegios profesionales, por lo que no puede verse en dicha circunstancia una invasión en la competencia reservada al Estado por el art. 149.1.6 CE [FJ 7].</w:t>
      </w:r>
    </w:p>
    <w:p w:rsidR="00D06117" w:rsidRDefault="00D06117" w:rsidP="00D06117">
      <w:pPr>
        <w:pStyle w:val="Extracto"/>
      </w:pPr>
    </w:p>
    <w:p w:rsidR="00D06117" w:rsidRDefault="00D06117" w:rsidP="00D06117">
      <w:pPr>
        <w:pStyle w:val="Extracto"/>
      </w:pPr>
      <w:r>
        <w:t>7.</w:t>
      </w:r>
      <w:r>
        <w:tab/>
        <w:t>La simple alusión a que los censores jurados de cuentas pueden desarrollar la actividad de auditoría no constituye invasión ni perturbación de las competencias estatales sobre la materia puesto que mediante tal referencia no se pretende desconocer ni se desplazan efectivamente los requisitos que para el desarrollo de tal actividad vienen exigidos por la normativa estatal [FJ 6].</w:t>
      </w:r>
    </w:p>
    <w:p w:rsidR="00D06117" w:rsidRDefault="00D06117" w:rsidP="00D06117">
      <w:pPr>
        <w:pStyle w:val="Extracto"/>
      </w:pPr>
    </w:p>
    <w:p w:rsidR="00D06117" w:rsidRDefault="00D06117" w:rsidP="00D06117">
      <w:pPr>
        <w:pStyle w:val="Extracto"/>
      </w:pPr>
      <w:r>
        <w:t>8.</w:t>
      </w:r>
      <w:r>
        <w:tab/>
        <w:t>La Ley autonómica 7/1995 asume plenamente no sólo que la actividad de auditoría está regulada por el Estado, sino también que la competencia estatal en la materia se extiende a la determinación de la condición de corporación representativa de auditores y de las concretas funciones que dicha condición lleva aparejadas, por lo que debemos rechazar que interfiera en la competencia estatal sobre legislación mercantil [FJ 6].</w:t>
      </w:r>
    </w:p>
    <w:p w:rsidR="00D06117" w:rsidRDefault="00D06117" w:rsidP="00D06117">
      <w:pPr>
        <w:pStyle w:val="Extracto"/>
      </w:pPr>
    </w:p>
    <w:p w:rsidR="00D06117" w:rsidRDefault="00D06117" w:rsidP="00D06117">
      <w:pPr>
        <w:pStyle w:val="Extracto"/>
      </w:pPr>
      <w:r>
        <w:t>9.</w:t>
      </w:r>
      <w:r>
        <w:tab/>
        <w:t>Aun proyectándose sobre materias distintas, el ejercicio de una competencia sobre una materia no puede interferir en el ejercicio legítimo de la competencia sobre una materia distinta constitucionalmente atribuida a otra entidad territorial [FJ 5].</w:t>
      </w:r>
    </w:p>
    <w:p w:rsidR="00D06117" w:rsidRDefault="00D06117" w:rsidP="00D06117">
      <w:pPr>
        <w:pStyle w:val="Extracto"/>
      </w:pPr>
    </w:p>
    <w:p w:rsidR="00D06117" w:rsidRDefault="00D06117" w:rsidP="00D06117">
      <w:pPr>
        <w:pStyle w:val="Extracto"/>
      </w:pPr>
      <w:r>
        <w:t>10.</w:t>
      </w:r>
      <w:r>
        <w:tab/>
        <w:t>Reitera la doctrina sobre los presupuestos constitucionales de la regulación de la auditoría de cuentas (STC 386/1993) [FJ 4].</w:t>
      </w:r>
    </w:p>
    <w:p w:rsidR="00D06117" w:rsidRDefault="00D06117" w:rsidP="00D06117">
      <w:pPr>
        <w:pStyle w:val="Extracto"/>
      </w:pPr>
    </w:p>
    <w:p w:rsidR="00D06117" w:rsidRDefault="00D06117" w:rsidP="00D06117">
      <w:pPr>
        <w:pStyle w:val="Extracto"/>
      </w:pPr>
      <w:r>
        <w:t>11.</w:t>
      </w:r>
      <w:r>
        <w:tab/>
        <w:t>Doctrina sobre la pervivencia del objeto del conflicto positivo de competencia pese a la modificación de la norma (SSTC 128/1999, 194/2011) [FJ 3].</w:t>
      </w:r>
    </w:p>
    <w:p w:rsidR="00D06117" w:rsidRDefault="00D06117" w:rsidP="00D06117">
      <w:pPr>
        <w:pStyle w:val="Extracto"/>
      </w:pPr>
    </w:p>
    <w:p w:rsidR="00D06117" w:rsidRDefault="00D06117" w:rsidP="00D06117">
      <w:pPr>
        <w:pStyle w:val="Extracto"/>
      </w:pPr>
      <w:r>
        <w:t>12.</w:t>
      </w:r>
      <w:r>
        <w:tab/>
        <w:t xml:space="preserve">Doctrina sobre la aplicación del </w:t>
      </w:r>
      <w:r w:rsidRPr="00D06117">
        <w:rPr>
          <w:i/>
        </w:rPr>
        <w:t>ius superveniens</w:t>
      </w:r>
      <w:r>
        <w:t xml:space="preserve"> al control de los posibles excesos competenciales  (SSTC 179/1998, 120/2011) [FJ 3].</w:t>
      </w:r>
    </w:p>
    <w:p w:rsidR="00D06117" w:rsidRDefault="00D06117" w:rsidP="00D06117">
      <w:pPr>
        <w:pStyle w:val="Extracto"/>
      </w:pPr>
    </w:p>
    <w:p w:rsidR="00D06117" w:rsidRDefault="00D06117" w:rsidP="00D06117">
      <w:pPr>
        <w:pStyle w:val="Extracto"/>
      </w:pPr>
      <w:r>
        <w:t>13.</w:t>
      </w:r>
      <w:r>
        <w:tab/>
        <w:t>Doctrina sobre la tramitación del conflicto positivo de competencia en la forma prevista para el recurso de inconstitucionalidad (STC 39/1982)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1081-2000 planteado por el Abogado del Estado en nombre del Gobierno de la Nación contra la resolución de 13 de octubre de 1999 del Departamento de Justicia de la Generalitat de Cataluña por la que, previa comprobación de su adecuación a la legalidad, se inscriben en el Registro de colegios profesionales de la Generalidad de Cataluña los Estatutos del Colegio de censores jurados de cuentas de Cataluña, publicada en el “Diario Oficial de la Generalitat de Cataluña” núm. 2996, de 18 de octubre de 1999. Han comparecido el Gobierno de la Generalitat de Cataluña y el Parlamento de Cataluña.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el día 25 de febrero de 2000, el Abogado del Estado, en representación del Gobierno de la Nación, promovió conflicto positivo de competencia contra la resolución mencionada en el encabezamiento. En dicho escrito se sostiene, en esencia, lo que a continuación se indica.</w:t>
      </w:r>
    </w:p>
    <w:p w:rsidR="00D06117" w:rsidRDefault="00D06117" w:rsidP="00D06117">
      <w:pPr>
        <w:pStyle w:val="TextoNormal"/>
      </w:pPr>
    </w:p>
    <w:p w:rsidR="00D06117" w:rsidRDefault="00D06117" w:rsidP="00D06117">
      <w:pPr>
        <w:pStyle w:val="TextoNormal"/>
      </w:pPr>
      <w:r>
        <w:t>a) Con carácter preliminar, el Abogado del Estado afirma que la resolución de 13 de octubre de 1999 del Departamento de Justicia de la Generalitat de Cataluña, por la que, previa comprobación de su adecuación a la legalidad, se inscriben en el Registro de colegios profesionales de la Generalitat de Cataluña los Estatutos del Colegio de censores jurados de cuentas de Cataluña, invade la competencia estatal sobre legislación mercantil (art. 149.1.6 CE) porque, pese a conectarse formalmente con el ejercicio de las competencias autonómicas sobre colegios profesionales, se proyecta materialmente sobre el régimen jurídico de la actividad de auditoria de cuentas, alterando en el territorio de Cataluña su contenido y virtualidad y, en particular, quebrando el sistema elegido por el Estado para regular la actividad de auditoría de cuentas, consistente en la revisión y verificación de documentos contables mediante el control y sanción de esta actividad a través de un organismo público, el Instituto de Contabilidad y Auditoría de Cuentas, con la participación y colaboración de determinadas corporaciones de Derecho público, toda vez que para Cataluña se crearía un sistema distinto mediante un colegio profesional que vendría a asumir las competencias propias de esas corporaciones e incluso alguna del propio Instituto de Contabilidad y Auditoría de Cuentas.</w:t>
      </w:r>
    </w:p>
    <w:p w:rsidR="00D06117" w:rsidRDefault="00D06117" w:rsidP="00D06117">
      <w:pPr>
        <w:pStyle w:val="TextoNormal"/>
      </w:pPr>
    </w:p>
    <w:p w:rsidR="00D06117" w:rsidRDefault="00D06117" w:rsidP="00D06117">
      <w:pPr>
        <w:pStyle w:val="TextoNormal"/>
      </w:pPr>
      <w:r>
        <w:t>b) Señala el Abogado del Estado que existen, fundamentalmente, dos fórmulas de regulación del control de la actividad de revisión de los documentos contables. La primera, que es por la que ha optado el legislador estatal competente en materia de legislación mercantil (art. 149.1.6 CE) mediante la Ley 19/1988, de 12 de julio, de auditoría de cuentas, consiste en la fiscalización directa por parte de la Administración del desarrollo de una actividad por los particulares a través de un organismo público creado al efecto. La segunda fórmula, que según el representante del Gobierno de la Nación es la que diseña la Ley del Parlamento de Cataluña 7/1995, de 28 de junio, de creación del Colegio de censores jurados de cuentas de Cataluña, pasa por la configuración de esa actividad como una profesión cuya regulación y control se encomienda a un colegio profesional.</w:t>
      </w:r>
    </w:p>
    <w:p w:rsidR="00D06117" w:rsidRDefault="00D06117" w:rsidP="00D06117">
      <w:pPr>
        <w:pStyle w:val="TextoNormal"/>
      </w:pPr>
    </w:p>
    <w:p w:rsidR="00D06117" w:rsidRDefault="00D06117" w:rsidP="00D06117">
      <w:pPr>
        <w:pStyle w:val="TextoNormal"/>
      </w:pPr>
      <w:r>
        <w:t>c) Mediante la declaración de adecuación a la legalidad de los Estatutos del Colegio de censores jurados de cuentas de Cataluña, la resolución cuestionada en este proceso vendría a instaurar el segundo de estos dos modelos, tal y como se deriva del hecho de que los citados estatutos contienen las precisiones típicas de un colegio profesional que no sólo se encarga de los intereses profesionales de sus miembros, sino también de la regulación de la actividad a desarrollar por éstos. Así, pese a que no lo establezca expresamente, de su art. 2 se deriva que la mera colegiación permitirá a los miembros del colegio ejercer la actividad propia de éste que, fundamentalmente, es la auditoría de cuentas. Dicho precepto dispone que “[e]l ámbito territorial del Colegio se extiende a la totalidad del territorio de Cataluña, independientemente de que los censores jurados de cuentas, miembros del Colegio, puedan actuar en todo el territorio nacional o supranacional, si están habilitados”. De ello concluye el Abogado del Estado que, mientras que para actuar en Cataluña bastaría la colegiación, para hacer lo propio en el resto del territorio nacional sería preciso estar habilitado conforme a la Ley 19/1988, de 12 de julio, de auditoría de cuentas, lo cual implica estar inscrito en el Registro oficial de auditores de cuentas (art. 6.1 de la Ley de auditoría de cuentas) y haber obtenido la correspondiente autorización administrativa tras la previa acreditación del cumplimiento de los requisitos legalmente establecidos (art. 7 de la Ley de auditoría de cuentas). Ello tendría especial importancia si se tiene en cuenta que para estar colegiado no sería necesario estar inscrito en el Registro oficial de auditores de cuentas, puesto que los arts. 8 y ss. de los estatutos se refieren a la colegiación sin hacer referencia a ese requisito y el art. 10 contempla además la posibilidad de que haya colegiados “no inscritos” en ese registro.</w:t>
      </w:r>
    </w:p>
    <w:p w:rsidR="00D06117" w:rsidRDefault="00D06117" w:rsidP="00D06117">
      <w:pPr>
        <w:pStyle w:val="TextoNormal"/>
      </w:pPr>
    </w:p>
    <w:p w:rsidR="00D06117" w:rsidRDefault="00D06117" w:rsidP="00D06117">
      <w:pPr>
        <w:pStyle w:val="TextoNormal"/>
      </w:pPr>
      <w:r>
        <w:t xml:space="preserve">d) A partir de esta denuncia general, el Abogado del Estado continúa alegando que los estatutos aprobados contienen numerosos preceptos que resultan incompatibles con la Ley 19/1988, de 12 de julio, de auditoría de cuentas y que, por ello, invaden las competencias que el Estado ha ejercido a través de ella. Ante todo, según se ha indicado el citado art. 2 vendría a dispensar de la carga de obtener la habilitación contemplada en la legislación estatal a los miembros del colegio profesional que desarrollen la actividad de auditoría dentro del territorio de Cataluña. En segundo lugar, el art. 3.1 atribuye al colegio la condición de corporación representativa de los auditores sin que quede justificado el cumplimiento de los requisitos contemplados al efecto por la legislación estatal y pese a que la única Administración habilitada para adoptar ese pronunciamiento es la del Estado (art. 74 del reglamento de desarrollo de la Ley 19/1988, de 12 de julio). Consiguientemente, los arts. 5, 32, 48, 57 y 75 confieren al colegio competencias que el art. 5.2 de la Ley de auditoría de cuentas y el art. 75 de su reglamento de desarrollo reservan a las corporaciones representativas de los </w:t>
      </w:r>
      <w:r>
        <w:lastRenderedPageBreak/>
        <w:t>auditores. En tercer lugar, el art. 3.2 prevé el informe previo del colegio respecto de la elaboración de normas de la Generalitat cuya adopción se encontraría reservada al Estado en virtud del art. 149.1.6 CE y que, de hecho, se habría efectivamente materializado a través de la Ley 19/1988, de 12 de julio, de auditoría de cuentas y de su reglamento de desarrollo. En cuarto lugar, según el representante del Gobierno de la Nación los arts. 80 y 75 de los estatutos permiten al colegio imponer, mediante el ejercicio de su potestad disciplinaria, la sanción de suspensión en el ejercicio de la actividad y, en la medida en que la actividad de los miembros de la corporación incluiría la auditoría (art. 49 de los estatutos), ello invadiría la competencia que el art. 15.2 de la Ley de auditoria de cuentas ha atribuido al Instituto de Contabilidad y Auditoría de Cuentas para imponer esa misma sanción administrativa. En quinto lugar, el art. 10 de los estatutos permitiría que entre los miembros del colegio se encuentren ejercientes por cuenta propia no inscritos en el Registro oficial de auditores de cuentas. Finalmente, el art. 49 de los estatutos dispone que los “censores jurados de cuentas realizarán, en todos los trabajos de auditoría que les hayan encargado, todos los exámenes y comprobaciones necesarios para fundamentar técnicamente su informe, conforme a las normas técnicas de auditoría”, lo cual vendría a demostrar que la finalidad del colegio es “agrupar a los profesionales que se dediquen a la actividad de auditoría de cuentas, y controlar y fiscalizar sus trabajos de auditoría de cuentas”, siendo ello incompatible con el régimen jurídico que de esa actividad ha establecido la legislación del Estado, cuya constitucionalidad fue confirmada por la STC 386/1993, de 23 de diciembre.</w:t>
      </w:r>
    </w:p>
    <w:p w:rsidR="00D06117" w:rsidRDefault="00D06117" w:rsidP="00D06117">
      <w:pPr>
        <w:pStyle w:val="TextoNormal"/>
      </w:pPr>
    </w:p>
    <w:p w:rsidR="00D06117" w:rsidRDefault="00D06117" w:rsidP="00D06117">
      <w:pPr>
        <w:pStyle w:val="TextoNormal"/>
      </w:pPr>
      <w:r>
        <w:t>e) En el escrito rector de este proceso constitucional se señala a continuación que el origen de la vulneración constitucional aducida se encuentra en la Ley del Parlamento de Cataluña 7/1995, de 28 de junio, pues es esta disposición la que sustituiría para Cataluña “el régimen de ordenación y control administrativo de la actividad por la intervención de una corporación de Derecho público como es un Colegio Profesional”, de tal manera que su entero contenido (arts. 1, 2 y 3, disposición adicional y disposiciones transitorias) sería inconstitucional por invadir la competencia exclusiva del Estado sobre legislación mercantil (art. 149.1.6 CE). A continuación se reconoce “que en su día no se recurrió la Ley del Parlamento de Cataluña 7/1995 de creación del Colegio de censores jurados de cuentas de Cataluña, pero sobre esta circunstancia es necesario hacer dos observaciones”. Por una parte, invoca el Abogado del Estado el principio de indisponibilidad de las competencias reconocidas en el bloque de la constitucionalidad, del que se derivaría la improcedencia de interpretar su falta de ejercicio “como un aquietamiento que pueda alterar el régimen de su titularidad”. Pese a que el recurso de inconstitucionalidad contra la Ley del Parlamento de Cataluña 7/1995, de 28 de junio, no fue planteado en plazo, “su enjuiciamiento constitucional llega al Tribunal Constitucional a través de la vía prevista en el art. 67 de la Ley Orgánica del Tribunal Constitucional, al haberse impugnado una disposición de rango inferior habilitada por la Ley inconstitucional”. Por otra parte, se alega también que “la aprobación de la Ley no supuso la aparición simultánea de una corporación de Derecho público regida por unos Estatutos determinados”, sino que ello sólo se produjo con motivo de la resolución de 13 de octubre de 1999 del Departamento de Justicia de la Generalitat de Cataluña: “es en ese momento cuando de un modo real y efectivo se produce la invasión competencial, con la entrada en vigor de unos Estatutos que van a permitir al Colegio de Censores Jurados de Cuentas de Cataluña actuar en el campo de la auditoría de cuentas fuera del esquema de control administrativo previsto por el Estado”.</w:t>
      </w:r>
    </w:p>
    <w:p w:rsidR="00D06117" w:rsidRDefault="00D06117" w:rsidP="00D06117">
      <w:pPr>
        <w:pStyle w:val="TextoNormal"/>
      </w:pPr>
    </w:p>
    <w:p w:rsidR="00D06117" w:rsidRDefault="00D06117" w:rsidP="00D06117">
      <w:pPr>
        <w:pStyle w:val="TextoNormal"/>
      </w:pPr>
      <w:r>
        <w:lastRenderedPageBreak/>
        <w:t>f) Finalmente, tras oponer diversas consideraciones a los argumentos esgrimidos por la Generalitat en su escrito de contestación al requerimiento de incompetencia, el Abogado del Estado concluye solicitando a este Tribunal que tenga por formulado conflicto positivo de competencias en relación con la resolución de 13 de octubre de 1999 del Departamento de Justicia de la Generalidad de Cataluña, por la que, previa comprobación de su adecuación a la legalidad, se inscriben en el Registro de colegios profesionales de la Generalitat de Cataluña los Estatutos del Colegio de censores jurados de cuentas de Cataluña, “y recurso de inconstitucionalidad contra la Ley del Parlamento de Cataluña de creación del Colegio de censores jurados de Cataluña (a través del art. 67 de la LOTC)”, de tal modo que “se declare la inconstitucionalidad de dicha resolución y de la Ley … por haber sido dictadas sin competencia sobre la materia y por invadir la competencia del Estado en materia de legislación mercantil”. El escrito concluye con un primer otrosí en el que se invoca el art. 161.2 CE para indicar que “procede la suspensión de la vigencia de la resolución objeto del conflicto”, y con un segundo otrosí en el que, de nuevo, se solicita “la transformación procesal prevista en el art. 67 de la LOTC en relación con la Ley 7/1995 de creación del Colegio de censores jurados de cuentas de Cataluña que habilita a la Generalitat para dictar la resolución objeto del conflicto”.</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14 de marzo de 2000 la Sección Cuarta de este Tribunal acordó admitir a trámite el conflicto positivo de competencia promovido por el Gobierno de la Nación, dar traslado de la demanda al Gobierno de la Generalitat de Cataluña al objeto de que en el plazo de veinte días alegara cuanto considere conveniente acerca del conflicto de competencia y sobre la petición de “tener por formulado … recurso de inconstitucionalidad” contra la Ley del Parlamento de Cataluña 7/1995, de 28 de junio, así como tener por invocado el art. 161.2 CE, con la consiguiente “suspensión de la resolución objeto del proceso”. La admisión a trámite fue publicada en el “Boletín Oficial del Estado” el 24 de marzo de 2000.</w:t>
      </w:r>
    </w:p>
    <w:p w:rsidR="00D06117" w:rsidRDefault="00D06117" w:rsidP="00D06117">
      <w:pPr>
        <w:pStyle w:val="TextoNormal"/>
      </w:pPr>
    </w:p>
    <w:p w:rsidR="00D06117" w:rsidRDefault="00D06117" w:rsidP="00D06117">
      <w:pPr>
        <w:pStyle w:val="TextoNormal"/>
      </w:pPr>
      <w:r w:rsidRPr="00D06117">
        <w:rPr>
          <w:rStyle w:val="NumeroAFNegritaCaracter"/>
        </w:rPr>
        <w:t>3</w:t>
      </w:r>
      <w:r>
        <w:t>. El 29 de mayo de 2000 formuló el Abogado del Estado “alegaciones aclaratorias de la petición incluida en la súplica de su escrito de interposición del conflicto relativa a ‘tener por formulado… recurso de inconstitucionalidad’”, indicando al respecto que esa expresión “se ha utilizado en su sentido puramente formal, es decir, no se trata de que se admita un recurso de inconstitucionalidad materialmente, sino que de acuerdo con lo previsto en el art. 67 de la LOTC formalmente se tramite el conflicto ‘en la forma prevista para el recurso de inconstitucionalidad’. … Por lo tanto, lo que se pidió en el escrito de formulación del conflicto fue la transformación procesal para que durante el procedimiento se pueda llevar a cabo un juicio de constitucionalidad en relación con la Ley 7/95 de creación del Colegio de censores jurados de cuentas de Cataluña”.</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escrito presentado en el Registro General de este Tribunal Constitucional el 18 de abril de 2000 el Abogado de la Generalidad de Cataluña se personó en este proceso constitucional para oponerse a la demanda por las razones que a continuación se exponen.</w:t>
      </w:r>
    </w:p>
    <w:p w:rsidR="00D06117" w:rsidRDefault="00D06117" w:rsidP="00D06117">
      <w:pPr>
        <w:pStyle w:val="TextoNormal"/>
      </w:pPr>
    </w:p>
    <w:p w:rsidR="00D06117" w:rsidRDefault="00D06117" w:rsidP="00D06117">
      <w:pPr>
        <w:pStyle w:val="TextoNormal"/>
      </w:pPr>
      <w:r>
        <w:t xml:space="preserve">a) El escrito se refiere, con carácter preliminar, a la invocación del art. 67 de la Ley Orgánica del Tribunal Constitucional (LOTC) realizada por el Abogado del Estado, para reconocer que la resolución que constituye el objeto de este conflicto es, efectivamente, ejecución de lo previsto en la disposición transitoria tercera de la Ley del Parlamento de </w:t>
      </w:r>
      <w:r>
        <w:lastRenderedPageBreak/>
        <w:t>Cataluña 7/1995, de 28 de junio, en cuya virtud los estatutos “deben remitirse al Departamento de la Presidencia de la Generalidad o a aquél en que se delegue, para que califique la legalidad de los mismos y se publiquen en el ‘Diario Oficial de la Generalidad de Cataluña’”. A continuación señala que “ambas actuaciones, la del legislador y la del ejecutivo, responden al mismo título competencial, el del art. 9.23 del Estatuto de Autonomía de Cataluña que atribuye a la Generalidad la competencia exclusiva en materia de Colegios Profesionales”. Siendo ello así, la representación de la Generalitat de Cataluña se opone a que la invocación del art. 67 LOTC permita el enjuiciamiento de la constitucionalidad del entero contenido de la Ley del Parlamento de Cataluña 7/1995, de 28 de junio, admitiendo sólo la de su disposición transitoria tercera en cuanto es la norma que en concreto habilita la resolución administrativa cuestionada en el presente conflicto de competencias.</w:t>
      </w:r>
    </w:p>
    <w:p w:rsidR="00D06117" w:rsidRDefault="00D06117" w:rsidP="00D06117">
      <w:pPr>
        <w:pStyle w:val="TextoNormal"/>
      </w:pPr>
    </w:p>
    <w:p w:rsidR="00D06117" w:rsidRDefault="00D06117" w:rsidP="00D06117">
      <w:pPr>
        <w:pStyle w:val="TextoNormal"/>
      </w:pPr>
      <w:r>
        <w:t>b) Una vez dicho esto el Letrado autonómico aduce que el conflicto no debería admitirse por dos motivos. En primer lugar, porque los eventuales defectos que pudieran presentar los estatutos del colegio desde la perspectiva de su contradicción con la legislación estatal en modo alguno deberían proyectarse sobre la resolución de la Generalitat por la que “previa comprobación de su adecuación a la legalidad se inscriben en el Registro de Colegios Profesionales de Cataluña, … respecto de la cual la única verificación o juicio constitucional posible sería el de la competencia para ejercer la fiscalización”, que el Abogado del Estado no discute [art. 9.23 del Estatuto de Autonomía de Cataluña (EAC de 1979)]. En segundo término, porque la “disconformidad con la calificación de los citados estatutos realizada por la Generalidad en ejercicio de su competencia, constituye una cuestión de legalidad ordinaria que, en su caso, debe sustanciarse ante la jurisdicción de lo contencioso-administrativo ya que no pone en cuestión la titularidad de la competencia ejercida, sino que se refiere a la supuesta inadecuación a la legalidad de los Estatutos inscritos en el Registro catalán por quien es competente para hacerlo”.</w:t>
      </w:r>
    </w:p>
    <w:p w:rsidR="00D06117" w:rsidRDefault="00D06117" w:rsidP="00D06117">
      <w:pPr>
        <w:pStyle w:val="TextoNormal"/>
      </w:pPr>
    </w:p>
    <w:p w:rsidR="00D06117" w:rsidRDefault="00D06117" w:rsidP="00D06117">
      <w:pPr>
        <w:pStyle w:val="TextoNormal"/>
      </w:pPr>
      <w:r>
        <w:t xml:space="preserve">c) En caso de que la demanda no fuera inadmitida, entiende la representación de la Generalitat que habría de ser desestimada por partir del malentendido de que, al no regular la Ley 19/1988, de 12 de julio, la auditoría como una profesión sino como una actividad, ello impediría que la Generalitat reconociera al Colegio de censores jurados de cuentas de Cataluña, en base al título competencial del art. 9.23 EAC de 1979, como corporación de los profesionales que, entre otras cosas, pueden realizar la actividad de auditoría en los términos establecidos por aquella ley. Este planteamiento descansa, a su parecer, sobre tres apreciaciones erróneas. La primera es considerar que la Ley 19/1988, de 12 de julio, de auditoría de cuentas, “es apta para fijar criterios que sirven para vaciar de contenidos las competencias autonómicas sobre colegios profesionales”, que surgen directamente del “marco constitucional y estatutario del que la Ley de Auditorías evidentemente no forma parte”, sin que quepa tampoco acudir a ella, al “no tratarse de una norma básica … como parámetro de la adecuación al orden competencial de las actuaciones autonómicas”. En segundo término, admite que la Generalitat de Cataluña, “al ejercer su competencia estatutaria del art. 9.23 en relación con el Colegio de Censores Jurados de Cuentas de Cataluña, no puede entrar a regular la actividad de auditoría como tal, pues con ello invadiría la competencia estatal sobre legislación mercantil del art. 149.1.6 CE, ni puede eximir a los censores colegiados de la observancia de la normativa estatal sobre la actividad que realicen. Pero ninguna de las dos cosas ha ocurrido en este caso”, toda vez que el propio art. 6 de los estatutos dispone que el ejercicio de la auditoría de cuentas por parte de los censores jurados se realizará “de acuerdo con las condiciones y requisitos previstos en la normativa vigente” y, en particular, </w:t>
      </w:r>
      <w:r>
        <w:lastRenderedPageBreak/>
        <w:t>reuniendo todos los requisitos exigidos por la ley”, entre los que, “evidentemente”, se encontrarían los exigidos por la legislación estatal dictada al amparo del art. 149.1.6 CE. En tercer lugar, alega la Generalitat que se ha de diferenciar “entre la ordenación de la auditoría de cuentas como actividad y la regulación sobre la colegiación de los profesionales que, entre otras funciones, la realizan. El que el Estado dictara la Ley 19/1988 sobre Auditoría de Cuentas en base al título sobre legislación mercantil del art. 149.1.6 CE, no significa que no quepa considerar a la auditoría como una profesión, ni que la regulación sobre los Colegios Profesionales de quienes realizan la citada actividad deba entenderse como subordinada a la legislación mercantil. Se trata de materias distintas”, de forma que la Comunidad Autónoma podría “ordenar la profesión auditora mediante Colegios Profesionales sin que se atente contra los arts. 36 y 139 CE en tanto en cuanto que, como ocurre en el presente supuesto, la creación del Colegio revista forma legal y no se exijan condiciones diferentes para obtener la inscripción en el correspondiente registro oficial, habilitante para el ejercicio profesional, lo que garantiza mantener, por tanto, en los aspectos esenciales, la igualdad de todos los ciudadanos”.</w:t>
      </w:r>
    </w:p>
    <w:p w:rsidR="00D06117" w:rsidRDefault="00D06117" w:rsidP="00D06117">
      <w:pPr>
        <w:pStyle w:val="TextoNormal"/>
      </w:pPr>
    </w:p>
    <w:p w:rsidR="00D06117" w:rsidRDefault="00D06117" w:rsidP="00D06117">
      <w:pPr>
        <w:pStyle w:val="TextoNormal"/>
      </w:pPr>
      <w:r>
        <w:t>d) El Letrado de la Generalitat también rechaza la tesis del Abogado del Estado conforme a la cual la auditoría de cuentas no podría considerarse como una profesión sino solo como una actividad, puesto que la STC 386/1993, de 23 de diciembre, en modo alguno negó “que la auditoría de cuentas fuera una profesión, sino que, partiendo de la distinción entre ordenación de la actividad y regulación de la profesión a que antes nos hemos referido, declaró que ‘la Ley impugnada no contiene regulación alguna que pueda considerarse propia de la materia Colegios profesionales ni del ejercicio de profesiones tituladas’ (FJ 6). Tal pronunciamiento no permite sostener que la auditoría de cuentas no sea una profesión, sino sólo que la Ley estatal se orienta a regular la actividad y no la profesión”. La actividad de la auditoría, “ciertamente, podrá ser realizada por profesionales pero no ha de constituir en exclusiva el objeto de una única profesión, ‘pues tan posible es que quien realice auditorías ejerza también otras actividades profesionales como que las auditorías sean realizables por profesionales con diferentes titulaciones’ dice el párrafo final del FJ 2 de la misma Sentencia. Y con ello abre la puerta a destacar aquí que los profesionales que realizan la actividad de auditoría de cuentas no son sólo los censores jurados de cuentas. Tanto los economistas, como los titulados mercantiles, como los censores jurados de cuentas, están legalmente habilitados para realizar la actividad de auditoría de cuentas regulada en la Ley 19/1988. Desde cualquiera de estas tres profesiones se puede realizar aquella actividad y, como es notorio, en el caso de las dos últimas se trata de profesiones colegiadas”. Por ello la disposición adicional de la Ley del Parlamento de Cataluña 7/1995, de 28 de junio, establece que las competencias del colegio “se entienden sin perjuicio de las que tienen atribuidas las otras corporaciones representativas de los auditores”.</w:t>
      </w:r>
    </w:p>
    <w:p w:rsidR="00D06117" w:rsidRDefault="00D06117" w:rsidP="00D06117">
      <w:pPr>
        <w:pStyle w:val="TextoNormal"/>
      </w:pPr>
    </w:p>
    <w:p w:rsidR="00D06117" w:rsidRDefault="00D06117" w:rsidP="00D06117">
      <w:pPr>
        <w:pStyle w:val="TextoNormal"/>
      </w:pPr>
      <w:r>
        <w:t xml:space="preserve">e) A continuación se argumenta que el contenido de los Estatutos del Colegio de censores jurados de cuentas de Cataluña no atenta contra el orden competencial ni invade, en particular, la competencia estatal en materia de legislación mercantil (art. 149.1.6 CE), ejercida a través de la Ley 19/1988, de 12 de julio, de auditoría de cuentas y de su reglamento de desarrollo. A tal efecto se analizan detalladamente los concretos preceptos contenidos en los estatutos sobre cuya adecuación al orden constitucional duda el Abogado del Estado en el escrito rector de este proceso constitucional (arts. 1, 2, 3, 5, 8, 10, 32, 48, 57, 75, 78 y 80). En cuanto al art. 1 se señala que, según el Real Decreto 1754/1998, de 31 de julio, relativo al sistema general de reconocimiento de títulos y formaciones profesionales de los </w:t>
      </w:r>
      <w:r>
        <w:lastRenderedPageBreak/>
        <w:t>Estados miembros de la Unión Europea, “la de auditor de cuentas es auténticamente una profesión y el de auditor de cuentas un título que habilita para ejercerla”, sin que la primera se agote en la actividad de auditoría de cuentas regulada por la Ley 19/1988, de 12 de julio, ya que ésta se limita a aquella que pueda surtir efectos frente a terceros y no, por tanto, a la que despliegue efectos meramente internos. Correctamente interpretados, los arts. 2, 8 y 10 no excepcionan para Cataluña, al parecer del Abogado de la Generalitat, “el requisito de estar inscrito en el Registro Oficial de Auditores de Cuentas, en el caso de que los colegiados catalanes realicen la actividad a que se refiere” la ley estatal. En el escrito de alegaciones también se rechaza que a través del art. 3 EAC se confiera al Colegio de censores jurados de cuentas de Cataluña una representatividad de sus miembros que resulte incompatible con el art. 74 del reglamento de desarrollo de la Ley 19/1988, de 12 de julio, de auditoría de cuentas, así como que se le atribuyan funciones que colisionen con las del Instituto de Contabilidad y Auditoría de Cuentas. Esta última alegación se reitera respecto de los arts. 5; 32 k), s), t) y v); 48, último párrafo; 57; y 75 en relación con los arts. 78 y 80 de los estatutos.</w:t>
      </w:r>
    </w:p>
    <w:p w:rsidR="00D06117" w:rsidRDefault="00D06117" w:rsidP="00D06117">
      <w:pPr>
        <w:pStyle w:val="TextoNormal"/>
      </w:pPr>
    </w:p>
    <w:p w:rsidR="00D06117" w:rsidRDefault="00D06117" w:rsidP="00D06117">
      <w:pPr>
        <w:pStyle w:val="TextoNormal"/>
      </w:pPr>
      <w:r>
        <w:t>f) Finalmente, la alegación relativa a la supuesta inconstitucionalidad de la Ley del Parlamento de Cataluña 7/1995, de 28 de junio, se rechaza, en primer lugar, debido a que el correspondiente recurso de inconstitucionalidad no se interpuso en el momento de aprobación de la norma, a pesar de que, conforme a la disposición transitoria primera, el momento en el que se constituyó el colegio fue el de su entrada en vigor. Pero al tiempo se rechaza también, en segundo lugar, porque la tacha de inconstitucionalidad de la Ley del Parlamento de Cataluña 7/1995, de 28 de junio, descansaría en un planteamiento genérico erróneo, como es que la norma autonómica supone la ruptura de un modelo de regulación de la auditoría incompatible con el instaurado por el legislador estatal en la Ley 19/1988, de 12 de julio.</w:t>
      </w:r>
    </w:p>
    <w:p w:rsidR="00D06117" w:rsidRDefault="00D06117" w:rsidP="00D06117">
      <w:pPr>
        <w:pStyle w:val="TextoNormal"/>
      </w:pPr>
    </w:p>
    <w:p w:rsidR="00D06117" w:rsidRDefault="00D06117" w:rsidP="00D06117">
      <w:pPr>
        <w:pStyle w:val="TextoNormal"/>
      </w:pPr>
      <w:r>
        <w:t>g) Por todos estos motivos la representación procesal del Gobierno de la Generalitat interesa la inadmisión y, subsidiariamente, la desestimación del conflicto de competencias promovido por el Gobierno contra la resolución de 13 de octubre de 1999 del Departamento de Justicia de la Generalidad de Cataluña por la que, previa comprobación de su adecuación a la legalidad, se inscriben en el Registro de colegios profesionales de la Generalitat de Cataluña los estatutos del Colegio de censores jurados de cuentas de Cataluña.</w:t>
      </w:r>
    </w:p>
    <w:p w:rsidR="00D06117" w:rsidRDefault="00D06117" w:rsidP="00D06117">
      <w:pPr>
        <w:pStyle w:val="TextoNormal"/>
      </w:pPr>
    </w:p>
    <w:p w:rsidR="00D06117" w:rsidRDefault="00D06117" w:rsidP="00D06117">
      <w:pPr>
        <w:pStyle w:val="TextoNormal"/>
      </w:pPr>
      <w:r w:rsidRPr="00D06117">
        <w:rPr>
          <w:rStyle w:val="NumeroAFNegritaCaracter"/>
        </w:rPr>
        <w:t>5</w:t>
      </w:r>
      <w:r>
        <w:t>. El día 27 de abril de 2000 tuvo entrada en el Registro General de este Tribunal una comunicación del Presidente de la Sección Quinta de la Sala de lo Contencioso-Administrativo del Tribunal Superior de Justicia de Cataluña por la que se da cuenta del Auto de 7 de abril de 2000 por el que se acuerda la suspensión del procedimiento ordinario núm. 813-1999 y de la pieza de suspensión tramitados con motivo de la interposición de un recurso contencioso-administrativo contra la resolución de 13 de octubre de 1999 del Departamento de Justicia de la Generalidad de Cataluña, objeto de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providencia de 10 de mayo de 2000 la Sección Cuarta de este Tribunal acordó incorporar a los autos el escrito de personación y alegaciones presentado por el Abogado de la Generalitat de Cataluña en nombre y representación de su Gobierno, así como continuar la tramitación del proceso en la forma prevista para el recurso de inconstitucionalidad (art. 67 LOTC), a cuyo fin se da traslado de la demanda y del resto de documentos presentados al Congreso de los Diputados, al Senado y al Parlamento de Cataluña, por conducto de sus presidentes, al objeto de que en el plazo de quince días pudieran personarse y formular las alegaciones que tuvieran por pertinentes.</w:t>
      </w:r>
    </w:p>
    <w:p w:rsidR="00D06117" w:rsidRDefault="00D06117" w:rsidP="00D06117">
      <w:pPr>
        <w:pStyle w:val="TextoNormal"/>
      </w:pPr>
    </w:p>
    <w:p w:rsidR="00D06117" w:rsidRDefault="00D06117" w:rsidP="00D06117">
      <w:pPr>
        <w:pStyle w:val="TextoNormal"/>
      </w:pPr>
      <w:r w:rsidRPr="00D06117">
        <w:rPr>
          <w:rStyle w:val="NumeroAFNegritaCaracter"/>
        </w:rPr>
        <w:t>7</w:t>
      </w:r>
      <w:r>
        <w:t>. El 24 de mayo de 2000 tuvo entrada en el Registro del Tribunal Constitucional un acuerdo de la Mesa del Senado del día 23 de mayo por el que resuelve personarse en este proceso constitucional y ofrecer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8</w:t>
      </w:r>
      <w:r>
        <w:t>. La Mesa del Congreso de los Diputados adoptó un acuerdo el 23 de mayo de 2000, registrado en este Tribunal el día 25 de mayo, por el que se comunica que el Congreso de los Diputados no se personará en el procedimiento ni formulará alegaciones en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escrito registrado en este Tribunal Constitucional el 9 de junio de 2000 el Letrado del Parlamento de Cataluña se personó en el presente conflicto de competencias y formuló las siguientes alegaciones dirigidas, según se afirma expresamente, a la defensa “de la Ley impugnada y de su adecuación a la Constitución y al Estatuto de Autonomía”.</w:t>
      </w:r>
    </w:p>
    <w:p w:rsidR="00D06117" w:rsidRDefault="00D06117" w:rsidP="00D06117">
      <w:pPr>
        <w:pStyle w:val="TextoNormal"/>
      </w:pPr>
    </w:p>
    <w:p w:rsidR="00D06117" w:rsidRDefault="00D06117" w:rsidP="00D06117">
      <w:pPr>
        <w:pStyle w:val="TextoNormal"/>
      </w:pPr>
      <w:r>
        <w:t>a) Se sostiene, en primer lugar, que la pretensión impugnatoria “no se sitúa en la clara y patente contradicción del articulado de la Ley con el tenor de lo establecido en la Constitución y el Estatuto, sino en la presunción que efectúa el recurrente de la voluntad del legislador catalán de utilizar un título competencial que en ningún momento ha sido refutado en el recurso, a fin de incidir en otro ámbito material cual es la regulación de la auditoría”. En relación con ello se recuerda que la STC 386/1993, de 23 de diciembre, estableció que “la Ley estatal ‘no regula la profesión de auditor, ni tampoco el eventual Colegio profesional de estos, sino una actividad de quienes realizan auditorías’, concluyendo la perfecta constitucionalidad de la Ley precisamente por cuanto no regula ni incide en la ordenación de los colegios profesionales ni en el ejercicio de profesiones tituladas, con lo que evidentemente no invade ámbitos competenciales propios de las Comunidades Autónomas”. La Ley del Parlamento de Cataluña 7/1995, de 28 de junio, no habría “creado un Colegio de auditores sino como claramente se expresa en su articulado un Colegio de censores jurados de cuentas, señalándose únicamente a título descriptivo que la actividad de la auditoría se halla entre el elenco de actividades propias desarrolladas por los censores”. El Letrado del parlamento autonómico afirma que en la STC 386/1993, de 23 de diciembre, se habría previsto “tal eventualidad al expresar que ‘ni los profesionales han de realizar sólo esta actividad, ni ésta ha de constituir en exclusiva el objeto de una única profesión, pues tan posible es que quien realice auditorías ejerza también otras actividades profesionales como que las auditorías sean realizadas por profesionales con diferentes titulaciones’”. La “actividad de auditoría puede incluirse en el conjunto de eventuales actividades que entre otras integran el conjunto que define la profesión de censor jurado, pero ello no impide que el legislador catalán en uso de la legitimación estatutaria valore la oportunidad y necesidad de creación de un Colegio profesional de censores jurados”. Esa decisión correspondería al legislador autonómico en virtud de los arts. 36 CE —que establece una reserva de ley en cuanto a la regulación de los colegios profesionales— y 9.23 EAC —que atribuye a la Generalitat la competencia exclusiva sobre colegios profesionales—.</w:t>
      </w:r>
    </w:p>
    <w:p w:rsidR="00D06117" w:rsidRDefault="00D06117" w:rsidP="00D06117">
      <w:pPr>
        <w:pStyle w:val="TextoNormal"/>
      </w:pPr>
    </w:p>
    <w:p w:rsidR="00D06117" w:rsidRDefault="00D06117" w:rsidP="00D06117">
      <w:pPr>
        <w:pStyle w:val="TextoNormal"/>
      </w:pPr>
      <w:r>
        <w:t xml:space="preserve">b) A continuación se indica que ningún “precepto de la ley impugnada excede del marco constitucional y estatutariamente configurado como resulta de su simple lectura, por ello el recurrente ha de basar su tesis de inconstitucionalidad no en la propia ley sino en un acto de aplicación cual es la resolución de 13 de octubre”, cuya denunciada inconstitucionalidad se </w:t>
      </w:r>
      <w:r>
        <w:lastRenderedPageBreak/>
        <w:t>“pretende derivar a la propia ley afirmando un inconsistente vicio de inconstitucionalidad”. Frente a ello se sostiene que la aplicación del art. 67 LOTC “viene justificada únicamente en el caso de que el acto o disposición sea consecuencia de una mecánica aplicación de la ley de tal suerte que la resolución del conflicto necesariamente deba residenciarse en el previo enjuiciamiento constitucional de la ley”. Nada de ello ocurriría en el presente supuesto, en el que la eventual invalidez del contenido de la resolución de 13 de octubre de 1999 del Departamento de Justicia de la Generalidad de Cataluña únicamente “afectará a la propia resolución pero no a la ley objeto del recurso pues no aparece la conexión directa y necesaria que justifique la actuación del artículo 67 de la LOTC”. Por todo ello se concluye solicitando a este Tribunal que dicte una sentencia que declare la conformidad de la Ley del Parlamento de Cataluña 7/1995, de 28 de junio, con el orden constitucional.</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7 de junio de 2000 la Sección Cuarta del Tribunal Constitucional acordó que, próximo a finalizar el plazo de los cinco meses que señala el art. 65.2 LOTC, se oyera a las partes personadas para que expusieran lo que considerasen conveniente acerca de su mantenimiento o alzamiento, lo cual efectivamente hicieron, tanto el Abogado del Estado por escrito registrado el 15 de junio de 2000, como el Abogado de la Generalitat mediante escrito presentado el 20 de junio, como, en fin, el Letrado del Parlamento de Cataluña por escrito registrado el 26 de junio de 2000. Finalmente, en el ATC 200/2000, de 25 de julio, el Pleno acordó levantar, de acuerdo con el art. 161.2 CE, la suspensión de la vigencia de la resolución del Departamento de Justicia de la Generalitat de Cataluña de 13 de octubre de 1999, por la que se inscriben en el Registro de colegios profesionales de la Generalitat los Estatutos del Colegio de censores jurados de cuentas de Cataluña. El levantamiento de la suspensión fue publicado en el “Boletín Oficial del Estado” núm. 187, de 5 de agosto de 2000.</w:t>
      </w:r>
    </w:p>
    <w:p w:rsidR="00D06117" w:rsidRDefault="00D06117" w:rsidP="00D06117">
      <w:pPr>
        <w:pStyle w:val="TextoNormal"/>
      </w:pPr>
    </w:p>
    <w:p w:rsidR="00D06117" w:rsidRDefault="00D06117" w:rsidP="00D06117">
      <w:pPr>
        <w:pStyle w:val="TextoNormal"/>
      </w:pPr>
      <w:r w:rsidRPr="00D06117">
        <w:rPr>
          <w:rStyle w:val="NumeroAFNegritaCaracter"/>
        </w:rPr>
        <w:t>11</w:t>
      </w:r>
      <w:r>
        <w:t>. Por escrito presentado en el Registro General de este Tribunal el 6 de febrero de 2003, el Abogado de la Generalitat de Cataluña, en representación y defensa de su Presidente y de su Gobierno, en cumplimiento del acuerdo de 4 de febrero de 2003, se personó ante el Pleno del Tribunal y solicitó, entre otras cosas, la recusación del entonces Excmo. Sr. Presidente por concurrir las causas previstas en el art. 219.7 y 9 de la Ley Orgánica del Poder Judicial (LOPJ), en numerosos procesos constitucionales entre los que se encontraba el presente conflicto de competencias, acordándose su tramitación acumulada en el más antiguo. Por AATC 193/2000, y 194/2000, ambos de 12 de junio, el Pleno acordó, respectivamente, declarar extinguidos el incidente de recusación fundado en el art. 219.7 LOPJ e inadmitir el fundado en el art. 219.9 LOPJ. Finalmente, la solicitud de recusación promovida por el Letrado del Parlamento de Cataluña fue inadmitida in limine litis por ATC 195/2000, de 12 de junio.</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13 de marzo de 2012 se señaló para deliberación y votación de la presente Sentencia el día 15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La presente resolución debe dar respuesta a un proceso instado por el Abogado del Estado, en representación del Gobierno de la Nación, contra la resolución de 13 de octubre </w:t>
      </w:r>
      <w:r>
        <w:lastRenderedPageBreak/>
        <w:t>de 1999 del Departamento de Justicia de la Generalitat de Cataluña por la que, previa comprobación de su adecuación a la legalidad, se inscriben en el Registro de colegios profesionales de la Generalitat de Cataluña los Estatutos del Colegio de censores jurados de cuentas de Cataluña, publicada en el “Diario Oficial de la Generalidad de Cataluña” núm. 2996, de 18 de octubre de 1999.</w:t>
      </w:r>
    </w:p>
    <w:p w:rsidR="00D06117" w:rsidRDefault="00D06117" w:rsidP="00D06117">
      <w:pPr>
        <w:pStyle w:val="TextoNormal"/>
      </w:pPr>
    </w:p>
    <w:p w:rsidR="00D06117" w:rsidRDefault="00D06117" w:rsidP="00D06117">
      <w:pPr>
        <w:pStyle w:val="TextoNormal"/>
      </w:pPr>
      <w:r>
        <w:t>a) En el escrito rector de este proceso constitucional se aduce, en primer lugar, que la citada resolución invade la competencia estatal sobre legislación mercantil (art. 149.1.6 CE) porque, pese a conectarse formalmente con el ejercicio de las competencias autonómicas sobre colegios profesionales, se proyecta materialmente sobre el régimen jurídico de la actividad de auditoría de cuentas configurado por el Estado mediante la Ley 19/1988, de 12 de julio. En segundo lugar, el Abogado del Estado precisa que el origen de la vulneración constitucional aducida se encuentra en la Ley del Parlamento de Cataluña 7/1995, de 28 de junio, pues es esta norma la que sustituiría para Cataluña “el régimen de ordenación y control administrativo de la actividad por la intervención de una corporación de Derecho público como es un Colegio Profesional”, de tal manera que su entero contenido (arts. 1, 2 y 3, disposición adicional y disposiciones transitorias) sería inconstitucional por invadir la competencia exclusiva del Estado sobre legislación mercantil (art. 149.1.6 CE). Por todo ello solicita de este Tribunal que dicte una sentencia por la que “se declare la inconstitucionalidad de dicha resolución y de la Ley … por haber sido dictadas sin competencia sobre la materia y por invadir la competencia del Estado en materia de legislación mercantil”.</w:t>
      </w:r>
    </w:p>
    <w:p w:rsidR="00D06117" w:rsidRDefault="00D06117" w:rsidP="00D06117">
      <w:pPr>
        <w:pStyle w:val="TextoNormal"/>
      </w:pPr>
    </w:p>
    <w:p w:rsidR="00D06117" w:rsidRDefault="00D06117" w:rsidP="00D06117">
      <w:pPr>
        <w:pStyle w:val="TextoNormal"/>
      </w:pPr>
      <w:r>
        <w:t>b) La representación procesal del Gobierno de la Generalitat propone la inadmisión y, subsidiariamente, la desestimación del conflicto de competencias promovido contra la resolución de 13 de octubre de 1999, por entender que su contenido se encuentra amparado en la competencia autonómica para ejercer la fiscalización de los estatutos de las colegios profesionales, que el Abogado del Estado no llega a discutir [art. 9.23 del Estatuto de Autonomía de Cataluña (EAC de 1979)]. Asimismo, rechaza que la invocación del art. 67 de la Ley Orgánica del Tribunal Constitucional (LOTC) permita el enjuiciamiento de la constitucionalidad del entero contenido de la Ley del Parlamento de Cataluña 7/1995, de 28 de junio, que, por lo demás, habría sido dictada en ejercicio del mismo título competencial autonómico.</w:t>
      </w:r>
    </w:p>
    <w:p w:rsidR="00D06117" w:rsidRDefault="00D06117" w:rsidP="00D06117">
      <w:pPr>
        <w:pStyle w:val="TextoNormal"/>
      </w:pPr>
    </w:p>
    <w:p w:rsidR="00D06117" w:rsidRDefault="00D06117" w:rsidP="00D06117">
      <w:pPr>
        <w:pStyle w:val="TextoNormal"/>
      </w:pPr>
      <w:r>
        <w:t>c) Finalmente, el Letrado del Parlamento de Cataluña solicita a este Tribunal que dicte una sentencia que declare la conformidad de la Ley del Parlamento de Cataluña 7/1995, de 28 de junio, con el orden constitucional y estatutario de distribución de competencias, puesto que, al no regular la actividad de auditoría sino la profesión de censor jurado de cuentas, habría sido dictada en ejercicio de la competencia de la Generalitat sobre colegios profesionales (art. 9.23 EAC de 1979).</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preliminar hemos de proceder a delimitar con precisión el objeto de este proceso constitucional, toda vez que, mediante providencia de 10 de mayo de 2000, la Sección Cuarta de este Tribunal acogió la solicitud del Abogado del Estado de tramitarlo en la forma prevista para el recurso de inconstitucionalidad por entender que en este caso la competencia controvertida “fue atribuida por una Ley” (art. 67 LOTC).</w:t>
      </w:r>
    </w:p>
    <w:p w:rsidR="00D06117" w:rsidRDefault="00D06117" w:rsidP="00D06117">
      <w:pPr>
        <w:pStyle w:val="TextoNormal"/>
      </w:pPr>
    </w:p>
    <w:p w:rsidR="00D06117" w:rsidRDefault="00D06117" w:rsidP="00D06117">
      <w:pPr>
        <w:pStyle w:val="TextoNormal"/>
      </w:pPr>
      <w:r>
        <w:t xml:space="preserve">a) De acuerdo con nuestra doctrina, el supuesto de hecho contemplado por el art. 67 LOTC consiste en que el problema de la constitucionalidad de la ley haya “surgido como </w:t>
      </w:r>
      <w:r>
        <w:lastRenderedPageBreak/>
        <w:t>tema previo al enjuiciamiento de la [resolución] que de modo inmediato da lugar al conflicto (STC 39/1982, de 30 de junio, FJ 3)”, de tal manera que la “determinación de la competencia controvertida en la disposición o acto objeto de conflicto venga a ser ‘inseparable’ de la apreciación de la inadecuación o adecuación competencial de la ley” (STC 45/1991, de 28 de febrero, FJ 1).</w:t>
      </w:r>
    </w:p>
    <w:p w:rsidR="00D06117" w:rsidRDefault="00D06117" w:rsidP="00D06117">
      <w:pPr>
        <w:pStyle w:val="TextoNormal"/>
      </w:pPr>
    </w:p>
    <w:p w:rsidR="00D06117" w:rsidRDefault="00D06117" w:rsidP="00D06117">
      <w:pPr>
        <w:pStyle w:val="TextoNormal"/>
      </w:pPr>
      <w:r>
        <w:t>b) Así ocurre, en efecto, en el caso de autos, puesto que el presente conflicto se dirige contra la resolución de 13 de octubre de 1999 del Departamento de Justicia de la Generalitat de Cataluña por entender que invade la competencia exclusiva del Estado en materia de legislación mercantil (art. 149.1.6 CE) y es ésta, precisamente, la duda de constitucionalidad que al mismo tiempo plantea el Abogado del Estado respecto de la Ley del Parlamento de Cataluña 7/1995, de 28 de junio, a la que se imputa, con carácter general y más allá del contenido de cada una de las disposiciones que la integran, el establecimiento para Cataluña de un régimen jurídico de la profesión de censor jurado de cuentas que vendría a sustituir al diseñado por la Ley 19/1988, de 12 de julio, para la actividad de auditoría y en relación con todo el territorio nacional.</w:t>
      </w:r>
    </w:p>
    <w:p w:rsidR="00D06117" w:rsidRDefault="00D06117" w:rsidP="00D06117">
      <w:pPr>
        <w:pStyle w:val="TextoNormal"/>
      </w:pPr>
    </w:p>
    <w:p w:rsidR="00D06117" w:rsidRDefault="00D06117" w:rsidP="00D06117">
      <w:pPr>
        <w:pStyle w:val="TextoNormal"/>
      </w:pPr>
      <w:r>
        <w:t>c) Por otro lado, al haber quedado planteada en estos términos la controversia competencial suscitada en el escrito rector de este proceso constitucional, hemos de rechazar la alegación realizada por el Letrado del Parlamento de Cataluña en el sentido de que la resolución administrativa controvertida se limitaría a ejecutar lo previsto en la disposición transitoria tercera de la Ley del Parlamento de Cataluña 7/1995, de 28 de junio, que atribuye al Departamento de la Presidencia de la Generalitat la calificación de la legalidad de los estatutos del colegio, de modo que el enjuiciamiento de la constitucionalidad de la Ley no ha de quedar circunscrito a esa disposición sino que debe extenderse al conjunto de sus preceptos respecto de los cuales se mantiene la misma controversia competencial suscitada en relación con la resolución de 13 de octubre de 1999.</w:t>
      </w:r>
    </w:p>
    <w:p w:rsidR="00D06117" w:rsidRDefault="00D06117" w:rsidP="00D06117">
      <w:pPr>
        <w:pStyle w:val="TextoNormal"/>
      </w:pPr>
    </w:p>
    <w:p w:rsidR="00D06117" w:rsidRDefault="00D06117" w:rsidP="00D06117">
      <w:pPr>
        <w:pStyle w:val="TextoNormal"/>
      </w:pPr>
      <w:r w:rsidRPr="00D06117">
        <w:rPr>
          <w:rStyle w:val="NumeroAFNegritaCaracter"/>
        </w:rPr>
        <w:t>3</w:t>
      </w:r>
      <w:r>
        <w:t>. Antes de entrar en el enjuiciamiento del conflicto planteado debemos aún valorar los efectos que hayan podido tener sobre la controversia trabada en el mismo las sucesivas modificaciones normativas que se han producido durante su pendencia.</w:t>
      </w:r>
    </w:p>
    <w:p w:rsidR="00D06117" w:rsidRDefault="00D06117" w:rsidP="00D06117">
      <w:pPr>
        <w:pStyle w:val="TextoNormal"/>
      </w:pPr>
    </w:p>
    <w:p w:rsidR="00D06117" w:rsidRDefault="00D06117" w:rsidP="00D06117">
      <w:pPr>
        <w:pStyle w:val="TextoNormal"/>
      </w:pPr>
      <w:r>
        <w:t>a) En primer lugar, debemos plantearnos la cuestión de la pervivencia de la controversia que se ha suscitado en este proceso pues los Estatutos del Colegio de censores jurados de cuentas de Cataluña que fueron declarados adecuados a la legalidad e inscritos en el Registro de colegios profesionales de la Generalitat de Cataluña mediante la resolución de 13 de octubre de 1999, cuestionada en este proceso, han sido derogados y sustituidos por unos nuevos estatutos adaptados a la Ley del Parlamento de Cataluña 7/2006, de 31 de mayo, del ejercicio de profesiones tituladas y de los colegios profesionales, que han sido primero aprobados por la asamblea general extraordinaria del Colegio de 17 de septiembre de 2009, y después declarados conformes a la legalidad e inscritos en el citado Registro de colegios profesionales de la Generalitat de Cataluña, mediante una nueva resolución de 22 de noviembre de 2010, del Departamento de Justicia de la Generalitat, publicada en el “Diario Oficial de la Generalidad de Cataluña” núm. 5769, de 3 de diciembre de 2010. No obstante, cabe advertir que la Ley del Parlamento de Cataluña 7/1995, de 28 de junio, a la que se extiende el objeto del presente proceso constitucional en virtud de lo previsto en el art. 67 LOTC, no ha sido objeto de modificación legislativa o derogación alguna durante la pendencia del presente proceso constitucional.</w:t>
      </w:r>
    </w:p>
    <w:p w:rsidR="00D06117" w:rsidRDefault="00D06117" w:rsidP="00D06117">
      <w:pPr>
        <w:pStyle w:val="TextoNormal"/>
      </w:pPr>
    </w:p>
    <w:p w:rsidR="00D06117" w:rsidRDefault="00D06117" w:rsidP="00D06117">
      <w:pPr>
        <w:pStyle w:val="TextoNormal"/>
      </w:pPr>
      <w:r>
        <w:t>A este respecto es reiterada nuestra doctrina, recordada en la STC 194/2011, de 13 de diciembre, FJ 3, según la cual para valorar los efectos de la derogación de la resolución controvertida “hay que huir de todo automatismo, siendo necesario atender a las circunstancias concurrentes en cada caso y, ante todo, a la pervivencia de la controversia competencial, esto es, a si la disputa sobre la titularidad competencial sigue o no viva entre las partes”. También hemos mantenido que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128/1999, de 1 de julio, FJ 4).</w:t>
      </w:r>
    </w:p>
    <w:p w:rsidR="00D06117" w:rsidRDefault="00D06117" w:rsidP="00D06117">
      <w:pPr>
        <w:pStyle w:val="TextoNormal"/>
      </w:pPr>
    </w:p>
    <w:p w:rsidR="00D06117" w:rsidRDefault="00D06117" w:rsidP="00D06117">
      <w:pPr>
        <w:pStyle w:val="TextoNormal"/>
      </w:pPr>
      <w:r>
        <w:t>En consecuencia, en el presente conflicto, aun habiendo sido sustituida por otra la resolución inicialmente cuestionada, debemos señalar que subsiste la controversia competencial suscitada por la parte actora y que se encuentra referida a la integridad de las competencias que el art. 149.1.6 CE reserva al Estado en materia de legislación mercantil como consecuencia de la creación del Colegio de censores jurados de cuentas de Cataluña mediante la Ley del Parlamento de Cataluña 7/1995. En cambio, no afecta a la vindicatio potestatis realizada por el Abogado del Estado y, en consecuencia, carece de relevancia para la resolución del presente conflicto la reforma de la legislación autonómica sobre colegios profesionales materializada en la Ley 7/2006, pues no son las competencias de la Generalitat sobre colegios profesionales lo que se cuestiona en el escrito rector de este proceso, sino más bien el hecho de si al crear por la Ley 7/1995 el citado colegio profesional y al aprobar sus estatutos mediante la resolución controvertida, el Parlamento y el Departamento de Justicia de la Generalidad de Cataluña, respectivamente, han invadido o no la competencia estatal exclusiva sobre legislación mercantil.</w:t>
      </w:r>
    </w:p>
    <w:p w:rsidR="00D06117" w:rsidRDefault="00D06117" w:rsidP="00D06117">
      <w:pPr>
        <w:pStyle w:val="TextoNormal"/>
      </w:pPr>
    </w:p>
    <w:p w:rsidR="00D06117" w:rsidRDefault="00D06117" w:rsidP="00D06117">
      <w:pPr>
        <w:pStyle w:val="TextoNormal"/>
      </w:pPr>
      <w:r>
        <w:t>b) En segundo lugar, las modificaciones normativas producidas durante la pendencia del presente conflicto nos obligan asimismo a precisar el canon de enjuiciamiento. En efecto, tal como recordamos en la STC 203/2011, de 14 de diciembre, FJ 4, nuestra doctrina reiterada sobre el ius superveniens resulta aplicable al control de los posibles excesos competenciales,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00D06117" w:rsidRDefault="00D06117" w:rsidP="00D06117">
      <w:pPr>
        <w:pStyle w:val="TextoNormal"/>
      </w:pPr>
    </w:p>
    <w:p w:rsidR="00D06117" w:rsidRDefault="00D06117" w:rsidP="00D06117">
      <w:pPr>
        <w:pStyle w:val="TextoNormal"/>
      </w:pPr>
      <w:r>
        <w:t>En consecuencia, la tacha de inconstitucionalidad que se imputa a los preceptos cuestionados debe ser valorada con arreglo a las normas vigentes en el momento en que se resuelve este proceso. Esto significa que, a fin de resolver el presente conflicto, debemos tomar en consideración, por una parte, lo establecido en el Estatuto de Autonomía para Cataluña aprobado por la Ley Orgánica 6/2006, de 19 de julio. El art. 125 (“Corporaciones de derecho público y profesiones tituladas”) del vigente Estatuto de Autonomía para Cataluña establece lo siguiente:</w:t>
      </w:r>
    </w:p>
    <w:p w:rsidR="00D06117" w:rsidRDefault="00D06117" w:rsidP="00D06117">
      <w:pPr>
        <w:pStyle w:val="TextoNormal"/>
      </w:pPr>
    </w:p>
    <w:p w:rsidR="00D06117" w:rsidRDefault="00D06117" w:rsidP="00D06117">
      <w:pPr>
        <w:pStyle w:val="TextoNormal"/>
      </w:pPr>
      <w:r>
        <w:lastRenderedPageBreak/>
        <w:t>“1. Corresponde a la Generalitat, en materia de Colegios Profesionales, Academias, Cámaras Agrarias, Cámaras de Comercio, de Industria y de Navegación y otras corporaciones de derecho público representativas de intereses económicos y profesionales, la competencia exclusiva, excepto en lo previsto en los apartados 2 y 3. Esta competencia, respetando lo dispuesto en los artículos 36 y 139 de la Constitución, incluye en todo caso:</w:t>
      </w:r>
    </w:p>
    <w:p w:rsidR="00D06117" w:rsidRDefault="00D06117" w:rsidP="00D06117">
      <w:pPr>
        <w:pStyle w:val="TextoNormal"/>
      </w:pPr>
    </w:p>
    <w:p w:rsidR="00D06117" w:rsidRDefault="00D06117" w:rsidP="00D06117">
      <w:pPr>
        <w:pStyle w:val="TextoNormal"/>
      </w:pPr>
      <w:r>
        <w:t>a) La regulación de la organización interna, del funcionamiento y del régimen económico, presupuestario y contable, así como el régimen de colegiación y adscripción, de los derechos y deberes de sus miembros y del régimen disciplinario.</w:t>
      </w:r>
    </w:p>
    <w:p w:rsidR="00D06117" w:rsidRDefault="00D06117" w:rsidP="00D06117">
      <w:pPr>
        <w:pStyle w:val="TextoNormal"/>
      </w:pPr>
    </w:p>
    <w:p w:rsidR="00D06117" w:rsidRDefault="00D06117" w:rsidP="00D06117">
      <w:pPr>
        <w:pStyle w:val="TextoNormal"/>
      </w:pPr>
      <w:r>
        <w:t>b) La creación y la atribución de funciones.</w:t>
      </w:r>
    </w:p>
    <w:p w:rsidR="00D06117" w:rsidRDefault="00D06117" w:rsidP="00D06117">
      <w:pPr>
        <w:pStyle w:val="TextoNormal"/>
      </w:pPr>
    </w:p>
    <w:p w:rsidR="00D06117" w:rsidRDefault="00D06117" w:rsidP="00D06117">
      <w:pPr>
        <w:pStyle w:val="TextoNormal"/>
      </w:pPr>
      <w:r>
        <w:t>c) La tutela administrativa.</w:t>
      </w:r>
    </w:p>
    <w:p w:rsidR="00D06117" w:rsidRDefault="00D06117" w:rsidP="00D06117">
      <w:pPr>
        <w:pStyle w:val="TextoNormal"/>
      </w:pPr>
    </w:p>
    <w:p w:rsidR="00D06117" w:rsidRDefault="00D06117" w:rsidP="00D06117">
      <w:pPr>
        <w:pStyle w:val="TextoNormal"/>
      </w:pPr>
      <w:r>
        <w:t>d) El sistema y procedimiento electorales aplicables a la elección de los miembros de las corporaciones.</w:t>
      </w:r>
    </w:p>
    <w:p w:rsidR="00D06117" w:rsidRDefault="00D06117" w:rsidP="00D06117">
      <w:pPr>
        <w:pStyle w:val="TextoNormal"/>
      </w:pPr>
    </w:p>
    <w:p w:rsidR="00D06117" w:rsidRDefault="00D06117" w:rsidP="00D06117">
      <w:pPr>
        <w:pStyle w:val="TextoNormal"/>
      </w:pPr>
      <w:r>
        <w:t>e) La determinación del ámbito territorial y la posible agrupación dentro de Cataluña.</w:t>
      </w:r>
    </w:p>
    <w:p w:rsidR="00D06117" w:rsidRDefault="00D06117" w:rsidP="00D06117">
      <w:pPr>
        <w:pStyle w:val="TextoNormal"/>
      </w:pPr>
    </w:p>
    <w:p w:rsidR="00D06117" w:rsidRDefault="00D06117" w:rsidP="00D06117">
      <w:pPr>
        <w:pStyle w:val="TextoNormal"/>
      </w:pPr>
      <w:r>
        <w:t>2. Corresponde a la Generalitat la competencia compartida sobre la definición de las corporaciones a que se refiere el apartado 1 y sobre los requisitos para su creación y para ser miembro de las mismas.</w:t>
      </w:r>
    </w:p>
    <w:p w:rsidR="00D06117" w:rsidRDefault="00D06117" w:rsidP="00D06117">
      <w:pPr>
        <w:pStyle w:val="TextoNormal"/>
      </w:pPr>
    </w:p>
    <w:p w:rsidR="00D06117" w:rsidRDefault="00D06117" w:rsidP="00D06117">
      <w:pPr>
        <w:pStyle w:val="TextoNormal"/>
      </w:pPr>
      <w:r>
        <w:t>3. Las Cámaras de Comercio, Industria y Navegación, previo acuerdo de la Generalitat con el Estado, pueden desarrollar funciones de comercio exterior y destinar recursos camerales a estas funciones.</w:t>
      </w:r>
    </w:p>
    <w:p w:rsidR="00D06117" w:rsidRDefault="00D06117" w:rsidP="00D06117">
      <w:pPr>
        <w:pStyle w:val="TextoNormal"/>
      </w:pPr>
    </w:p>
    <w:p w:rsidR="00D06117" w:rsidRDefault="00D06117" w:rsidP="00D06117">
      <w:pPr>
        <w:pStyle w:val="TextoNormal"/>
      </w:pPr>
      <w:r>
        <w:t>4. Corresponde a la Generalitat, respetando las normas generales sobre titulaciones académicas y profesionales y lo dispuesto en los artículos 36 y 139 de la Constitución, la competencia exclusiva sobre el ejercicio de las profesiones tituladas, que incluye en todo caso:</w:t>
      </w:r>
    </w:p>
    <w:p w:rsidR="00D06117" w:rsidRDefault="00D06117" w:rsidP="00D06117">
      <w:pPr>
        <w:pStyle w:val="TextoNormal"/>
      </w:pPr>
    </w:p>
    <w:p w:rsidR="00D06117" w:rsidRDefault="00D06117" w:rsidP="00D06117">
      <w:pPr>
        <w:pStyle w:val="TextoNormal"/>
      </w:pPr>
      <w:r>
        <w:t>a) La determinación de los requisitos y las condiciones de ejercicio de las profesiones tituladas así como de los derechos y las obligaciones de los profesionales titulados y del régimen de incompatibilidades.</w:t>
      </w:r>
    </w:p>
    <w:p w:rsidR="00D06117" w:rsidRDefault="00D06117" w:rsidP="00D06117">
      <w:pPr>
        <w:pStyle w:val="TextoNormal"/>
      </w:pPr>
    </w:p>
    <w:p w:rsidR="00D06117" w:rsidRDefault="00D06117" w:rsidP="00D06117">
      <w:pPr>
        <w:pStyle w:val="TextoNormal"/>
      </w:pPr>
      <w:r>
        <w:t>b) La regulación de las garantías administrativas ante el intrusismo y las actuaciones irregulares, así como la regulación de las prestaciones profesionales de carácter obligatorio.</w:t>
      </w:r>
    </w:p>
    <w:p w:rsidR="00D06117" w:rsidRDefault="00D06117" w:rsidP="00D06117">
      <w:pPr>
        <w:pStyle w:val="TextoNormal"/>
      </w:pPr>
    </w:p>
    <w:p w:rsidR="00D06117" w:rsidRDefault="00D06117" w:rsidP="00D06117">
      <w:pPr>
        <w:pStyle w:val="TextoNormal"/>
      </w:pPr>
      <w:r>
        <w:t>c) El régimen disciplinario del ejercicio de las profesiones tituladas.”</w:t>
      </w:r>
    </w:p>
    <w:p w:rsidR="00D06117" w:rsidRDefault="00D06117" w:rsidP="00D06117">
      <w:pPr>
        <w:pStyle w:val="TextoNormal"/>
      </w:pPr>
    </w:p>
    <w:p w:rsidR="00D06117" w:rsidRDefault="00D06117" w:rsidP="00D06117">
      <w:pPr>
        <w:pStyle w:val="TextoNormal"/>
      </w:pPr>
      <w:r>
        <w:t xml:space="preserve">A este respecto cabe recordar que en la STC 31/2010, de 28 de junio, FJ 71, concluimos que los apartados 1 a 4 del transcrito art. 125 EAC no eran inconstitucionales, ya que estimamos, en síntesis, que el apartado 1 “no cierra el paso a las competencias estatales”; que el apartado 2 “reconoce explícitamente [l]a competencia estatal al someter a [l]as bases estatales, a través de la asunción de la competencia autonómica con la calificación de compartida, los aspectos esenciales del régimen jurídico de las citadas corporaciones: su definición, los requisitos para crearlas y los requisitos para ser miembros de ellas”; que la competencia autonómica prevista en el apartado 3 “ha de ejercerse, según el precepto, previo </w:t>
      </w:r>
      <w:r>
        <w:lastRenderedPageBreak/>
        <w:t>acuerdo con el Estado”; y que “las potestades concretas que el [apartado 4] asigna a la competencia autonómica respecto de las profesiones tituladas (aquellas cuyo ejercicio se condiciona a la posesión del correspondiente título académico o profesional) se sujetan a las competencias básicas que ex art. 149.1.30 CE disciplinen cada título académico, y a las competencias que en relación con titulaciones profesionales de otro tipo pudiera ostentar el Estado ratione materiae, pues el precepto impugnado somete expresamente la competencia autonómica a ‘las normas generales sobre titulaciones académicas y profesionales’”.</w:t>
      </w:r>
    </w:p>
    <w:p w:rsidR="00D06117" w:rsidRDefault="00D06117" w:rsidP="00D06117">
      <w:pPr>
        <w:pStyle w:val="TextoNormal"/>
      </w:pPr>
    </w:p>
    <w:p w:rsidR="00D06117" w:rsidRDefault="00D06117" w:rsidP="00D06117">
      <w:pPr>
        <w:pStyle w:val="TextoNormal"/>
      </w:pPr>
      <w:r>
        <w:t>Asimismo debemos tomar en consideración que las normas en que el Abogado del Estado concreta la vulneración competencial del art. 149.1.6 CE —la Ley 19/1998, de 12 de julio, de auditoría de cuentas y su reglamento de desarrollo— han sido sustituidas por el Real Decreto Legislativo 1/2011, de 1 de julio, por el que se aprueba el texto refundido de la Ley de auditoría de cuentas y por el Real Decreto 1517/2011, de 31 de octubre, por el que aprueba el reglamento que desarrolla el texto refundido de la Ley de auditoría de cuentas.</w:t>
      </w:r>
    </w:p>
    <w:p w:rsidR="00D06117" w:rsidRDefault="00D06117" w:rsidP="00D06117">
      <w:pPr>
        <w:pStyle w:val="TextoNormal"/>
      </w:pPr>
    </w:p>
    <w:p w:rsidR="00D06117" w:rsidRDefault="00D06117" w:rsidP="00D06117">
      <w:pPr>
        <w:pStyle w:val="TextoNormal"/>
      </w:pPr>
      <w:r w:rsidRPr="00D06117">
        <w:rPr>
          <w:rStyle w:val="NumeroAFNegritaCaracter"/>
        </w:rPr>
        <w:t>4</w:t>
      </w:r>
      <w:r>
        <w:t>. A fin de resolver la controversia planteada debemos precisar previamente nuestro canon de enjuiciamiento. El primer aspecto que debemos señalar es el de que las competencias estatales y autonómicas se proyectan sobre materias distintas: mientras que al Estado le corresponde en exclusiva la regulación del ejercicio de la actividad de auditoría de cuentas, la competencia autonómica versa sobre la organización corporativa de los colegios profesionales, algunos de los cuales agrupan a los profesionales que se dedican habitualmente a la actividad de auditoría. Sobre esta distinción cabe recordar en efecto nuestra STC 386/1993, de 23 de diciembre, en la que nos pronunciamos sobre los presupuestos constitucionales de la regulación de la auditoría de cuentas con motivo de un recurso de inconstitucionalidad promovido contra la Ley 19/1988, de 12 de julio, de auditoría de cuentas, realizando, por lo que aquí interesa, las siguientes afirmaciones.</w:t>
      </w:r>
    </w:p>
    <w:p w:rsidR="00D06117" w:rsidRDefault="00D06117" w:rsidP="00D06117">
      <w:pPr>
        <w:pStyle w:val="TextoNormal"/>
      </w:pPr>
    </w:p>
    <w:p w:rsidR="00D06117" w:rsidRDefault="00D06117" w:rsidP="00D06117">
      <w:pPr>
        <w:pStyle w:val="TextoNormal"/>
      </w:pPr>
      <w:r>
        <w:t>a) En primer lugar, sostuvimos que el buen funcionamiento del mercado requiere “la máxima fiabilidad de la información disponible sobre la verdadera y real situación económica, financiera y patrimonial de las empresas (imagen fiel). La actividad auditora se encamina, precisamente, a procurar a cuantos tienen interés en esa imagen fiel que les resulta indispensable para garantizar sus intereses. De ahí que, como señala el art. 1 de la ley, la actividad de auditoría se caracterice, precisamente, por sus posibles efectos frente a terceros. Es, por consiguiente, de todo punto lógico que los poderes públicos, y en este caso el legislador, regulen los requisitos, condiciones y efectos que ha de tener una actividad de tan amplia y profunda influencia sobre el funcionamiento de la economía de mercado y de los derechos e intereses de muy diversas personas y grupos. Sólo una regulación de este género puede asegurar que la información proporcionada por las auditorías responda, efectivamente, a la realidad, y sólo ella puede, por consiguiente, asegurar que las auditorías estén en condiciones de cumplir las funciones que de ella se esperan”. En definitiva, “[r]egular la actividad y sus efectos es, por consiguiente, cuando concurre un interés público como el señalado, una atribución del legislador” (STC 386/1993, de 23 de diciembre, FJ 3).</w:t>
      </w:r>
    </w:p>
    <w:p w:rsidR="00D06117" w:rsidRDefault="00D06117" w:rsidP="00D06117">
      <w:pPr>
        <w:pStyle w:val="TextoNormal"/>
      </w:pPr>
    </w:p>
    <w:p w:rsidR="00D06117" w:rsidRDefault="00D06117" w:rsidP="00D06117">
      <w:pPr>
        <w:pStyle w:val="TextoNormal"/>
      </w:pPr>
      <w:r>
        <w:t xml:space="preserve">b) En segundo término, en esa resolución afirmamos que, sin embargo, “regular una actividad no es, forzosamente, regular una profesión, y menos aún regular la organización corporativa de unos determinados profesionales. La profesión incluye, generalmente, la realización de un disperso haz de actividades cada una de las cuales es susceptible, en su caso, de tener una diferente regulación, y así ocurre con cierta frecuencia; la regulación de una de </w:t>
      </w:r>
      <w:r>
        <w:lastRenderedPageBreak/>
        <w:t>esas actividades no es, por consiguiente, la de la profesión en su conjunto, que puede estar sometida al régimen de titulación, requisitos, normas deontológicas y organización corporativa que en cada caso corresponda. Es perfectamente posible que por una sola profesión se realice una diversidad de actividades sometidas a un diferente régimen regulador, sin que por ello deban confundirse la regulación de la actividad con la de la profesión” (STC 386/1993, de 23 de diciembre, FJ 3).</w:t>
      </w:r>
    </w:p>
    <w:p w:rsidR="00D06117" w:rsidRDefault="00D06117" w:rsidP="00D06117">
      <w:pPr>
        <w:pStyle w:val="TextoNormal"/>
      </w:pPr>
    </w:p>
    <w:p w:rsidR="00D06117" w:rsidRDefault="00D06117" w:rsidP="00D06117">
      <w:pPr>
        <w:pStyle w:val="TextoNormal"/>
      </w:pPr>
      <w:r>
        <w:t>c) Finalmente, sostuvimos que eso “es cabalmente lo que ocurre en el presente caso: a la vista del interés público generado por las circunstancias ya citadas, el legislador, con la pretensión de garantizar la fiabilidad de las auditorías, regula esta actividad, sin por ello regular la profesión de auditor. En efecto, la Ley no contiene las normas que característicamente regulan una profesión, como son la titulación requerida, el campo en el que se desarrolla la profesión, las obligaciones y derechos de los profesionales, las normas deontológicas que han de seguir y, en suma, su organización corporativa” (STC 386/1993, de 23 de diciembre, FJ 3). Tampoco se regula “en ella nada relativo a la composición, atribución, funciones o régimen jurídico de tales entidades corporativas ni tampoco nada relativo al ejercicio de una profesión titulada inequívocamente identificable como tal en razón de una misma titulación, de un idéntico régimen profesional y de una actuación específica en un ámbito determinado” (STC 386/1993, de 23 de diciembre, FJ 6). De ahí que afirmáramos que “el objetivo de la Ley de auditoría de cuentas no es regular una profesión, sino, como su propio nombre indica, la actividad auditora de cuentas. … El objeto de la ley es, pues, una actividad que, ciertamente, podrá ser realizada por profesionales. Pero ni los profesionales han de realizar sólo esa actividad, ni ésta ha de constituir en exclusiva el objeto de una única profesión, pues tan posible es que quien realice auditorías ejerza también otras actividades profesionales como que las auditorías sean realizables por profesionales con diferentes titulaciones” (STC 386/1993, de 23 de diciembre, FJ 2).</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Mientras que en el recurso resuelto por la citada STC 386/1993 el debate competencial suscitado era el relativo a si una norma estatal reguladora de la actividad de auditoría de cuentas invadía o no la competencia autonómica sobre colegios profesionales, lo que se plantea en este proceso constitucional es si una norma autonómica que regula una determinada corporación profesional, de un lado, así como uno de sus actos de aplicación, de otro, invaden o no la competencia estatal sobre legislación mercantil. En efecto, tal y como se ha indicado, el Abogado del Estado no pone en cuestión que la Generalitat puede crear mediante ley un colegio profesional, así como acordar, previa comprobación de su legalidad, la inscripción de sus estatutos en el registro autonómico correspondiente, todo ello en virtud de las competencias que le corresponden en materia de colegios profesionales (antiguo art. 9.23 del EAC de 1979 y art. 125 del vigente EAC); lo que denuncia es que, al hacerlo, el Parlamento primero y el Departamento de Justicia de la Generalitat después habrían invadido la competencia exclusiva en materia de legislación mercantil que al Estado reserva el art. 149.1.6 CE y que éste había ejercido mediante la Ley 19/1988, de 12 de julio, de auditoría de cuentas, sustituida posteriormente por el texto refundido de la Ley de auditoría de cuentas, aprobado por el Real Decreto Legislativo 1/2011, de 1 de julio, y su reglamento de desarrollo, como consecuencia de que la Ley del Parlamento de Cataluña 7/1995, de 28 de junio, vendría a sustituir para Cataluña el modelo de regulación de la actividad de la auditoría de cuentas establecido por el Estado a favor de otro distinto. Y ello porque la mera adhesión al Colegio de censores jurados de cuentas de Cataluña permitiría a sus miembros, según el Abogado del Estado, desarrollar la actividad de auditoría de cuentas sin necesidad </w:t>
      </w:r>
      <w:r>
        <w:lastRenderedPageBreak/>
        <w:t>de estar inscrito en el Registro oficial de auditores de cuentas ni, por tanto, de haber obtenido la correspondiente autorización administrativa previa la acreditación del cumplimiento de los requisitos legalmente establecidos.</w:t>
      </w:r>
    </w:p>
    <w:p w:rsidR="00D06117" w:rsidRDefault="00D06117" w:rsidP="00D06117">
      <w:pPr>
        <w:pStyle w:val="TextoNormal"/>
      </w:pPr>
    </w:p>
    <w:p w:rsidR="00D06117" w:rsidRDefault="00D06117" w:rsidP="00D06117">
      <w:pPr>
        <w:pStyle w:val="TextoNormal"/>
      </w:pPr>
      <w:r>
        <w:t>A la vista de las alegaciones del Abogado del Estado nuestro canon de enjuiciamiento del presente conflicto debe completarse con una precisión adicional: aun proyectándose sobre materias distintas, el ejercicio de una competencia sobre una materia no puede interferir en el ejercicio legítimo de la competencia sobre una materia distinta constitucionalmente atribuida a la otra entidad territorial.</w:t>
      </w:r>
    </w:p>
    <w:p w:rsidR="00D06117" w:rsidRDefault="00D06117" w:rsidP="00D06117">
      <w:pPr>
        <w:pStyle w:val="TextoNormal"/>
      </w:pPr>
    </w:p>
    <w:p w:rsidR="00D06117" w:rsidRDefault="00D06117" w:rsidP="00D06117">
      <w:pPr>
        <w:pStyle w:val="TextoNormal"/>
      </w:pPr>
      <w:r>
        <w:t>Teniendo en cuenta, por tanto, que las competencias estatal y autonómica aquí concernidas se proyectan sobre materias distintas y que, no obstante, el ejercicio de una competencia no puede interferir en el ejercicio legítimo de la otra, proyectando estos criterios al presente conflicto se deduce que la cuestión que debemos analizar es la de si la regulación de la organización y funcionamiento del Colegio profesional de censores jurados de cuentas de Cataluña por la Comunidad Autónoma de Cataluña perturba, menoscaba o interfiere en el pleno despliegue de la regulación de la actividad de auditoría de cuentas adoptada por el Estado conforme a sus competencias ex art. 149.1.6 CE. Si ése fuera el caso, el ejercicio de la competencia autonómica no podría reputarse constitucionalmente correcto.</w:t>
      </w:r>
    </w:p>
    <w:p w:rsidR="00D06117" w:rsidRDefault="00D06117" w:rsidP="00D06117">
      <w:pPr>
        <w:pStyle w:val="TextoNormal"/>
      </w:pPr>
    </w:p>
    <w:p w:rsidR="00D06117" w:rsidRDefault="00D06117" w:rsidP="00D06117">
      <w:pPr>
        <w:pStyle w:val="TextoNormal"/>
      </w:pPr>
      <w:r w:rsidRPr="00D06117">
        <w:rPr>
          <w:rStyle w:val="NumeroAFNegritaCaracter"/>
        </w:rPr>
        <w:t>6</w:t>
      </w:r>
      <w:r>
        <w:t>. La resolución del presente conflicto debe comenzar por el examen de la constitucionalidad de la Ley del Parlamento de Cataluña 7/1995, de 28 de junio, de creación del Colegio de censores jurados de cuentas de Cataluña de la que trae causa la resolución de 13 de octubre de 1999 que de modo inmediato da origen al conflicto, en cuanto que el Abogado del Estado ha solicitado, y este Tribunal ha acordado, la tramitación del presente conflicto en la forma prevista para el recurso de inconstitucionalidad con arreglo al art. 67 LOTC. La representación procesal del Estado aduce que su entero contenido (arts. 1, 2 y 3, disposición adicional y disposiciones transitorias) es inconstitucional por invadir la competencia exclusiva del Estado sobre legislación mercantil (art. 149.1.6 CE). Ahora bien, en atención al carácter concreto e indirecto del control de constitucionalidad de leyes que permite el art. 67 LOTC (STC 39/1982, de 30 de junio, FJ 3), nuestro enjuiciamiento de aquella ley debe limitarse a los concretos motivos de invasión competencial aducidos contra la resolución que de modo inmediato da origen al conflicto, esto es la resolución de 13 de octubre de 1999 por la que se aprueba la inscripción de los estatutos colegiales. Como se detallará posteriormente, los cinco motivos de invasión o de menoscabo de las competencias estatales sobre legislación mercantil que alega el Abogado del Estado en relación con los estatutos colegiales son, en síntesis, los siguientes: la dispensación del requisito de la habilitación exigida por la legislación estatal para ejercer la actividad de auditoría de cuentas, la atribución al colegio profesional de la condición representativa de auditores, el informe previo del colegio respecto de la elaboración de normas de la Generalitat cuya adopción se encontraría reservada al Estado en virtud del art. 149.1.6 CE, la atribución al colegio de la potestad de imposición de la sanción de suspensión en el ejercicio de la actividad de auditoría, y la realización de los trabajos de auditoría por los censores jurados de cuentas conforme a las normas técnicas de auditoría.</w:t>
      </w:r>
    </w:p>
    <w:p w:rsidR="00D06117" w:rsidRDefault="00D06117" w:rsidP="00D06117">
      <w:pPr>
        <w:pStyle w:val="TextoNormal"/>
      </w:pPr>
    </w:p>
    <w:p w:rsidR="00D06117" w:rsidRDefault="00D06117" w:rsidP="00D06117">
      <w:pPr>
        <w:pStyle w:val="TextoNormal"/>
      </w:pPr>
      <w:r>
        <w:t xml:space="preserve">Entrando a examinar si la Ley 7/1995 incurre en los vicios competenciales alegados, procede señalar en primer lugar que el contenido de la ley controvertida es especialmente breve: está compuesta por tres artículos, cuatro disposiciones transitorias, una disposición </w:t>
      </w:r>
      <w:r>
        <w:lastRenderedPageBreak/>
        <w:t>derogatoria y una disposición final. En efecto, se limita a crear el Colegio de censores jurados de cuentas de Cataluña y a regular los principales efectos de la constitución de dicho colegio, en concreto su ámbito personal, territorial, patrimonial y temporal, sin incidir ni proyectarse en forma alguna sobre el régimen jurídico de la auditoría de cuentas configurado por el Estado mediante el texto refundido de la Ley de auditoría de cuentas. De hecho, sólo dos de sus preceptos incluyen una mención a la actividad de auditoría de cuentas y lo hacen de una forma indirecta.</w:t>
      </w:r>
    </w:p>
    <w:p w:rsidR="00D06117" w:rsidRDefault="00D06117" w:rsidP="00D06117">
      <w:pPr>
        <w:pStyle w:val="TextoNormal"/>
      </w:pPr>
    </w:p>
    <w:p w:rsidR="00D06117" w:rsidRDefault="00D06117" w:rsidP="00D06117">
      <w:pPr>
        <w:pStyle w:val="TextoNormal"/>
      </w:pPr>
      <w:r>
        <w:t>Por un lado, el art. 2 (“Titulación”) dispone que “[e]l Colegio de Censores Jurados de Cuentas agrupa a los profesionales que tienen el título de Censor Jurado de Cuentas y que pueden llevar a cabo las actividades propias de esta profesión, entre las que se encuentra la de auditoría”. La simple alusión a que los censores jurados de cuentas pueden desarrollar la actividad de auditoría no constituye invasión ni perturbación de las competencias estatales sobre la materia puesto que mediante tal referencia no se pretende desconocer ni se desplazan efectivamente los requisitos que para el desarrollo de tal actividad vienen exigidos por la normativa estatal. Además, como se analiza con detalle en el siguiente fundamento jurídico, dicha referencia viene motivada por la propia normativa estatal.</w:t>
      </w:r>
    </w:p>
    <w:p w:rsidR="00D06117" w:rsidRDefault="00D06117" w:rsidP="00D06117">
      <w:pPr>
        <w:pStyle w:val="TextoNormal"/>
      </w:pPr>
    </w:p>
    <w:p w:rsidR="00D06117" w:rsidRDefault="00D06117" w:rsidP="00D06117">
      <w:pPr>
        <w:pStyle w:val="TextoNormal"/>
      </w:pPr>
      <w:r>
        <w:t>Por otro lado, la disposición adicional establece que “[l]as competencias del Colegio de Censores Jurados de Cuentas se entienden sin perjuicio de las que tienen atribuidas otras corporaciones representativas de los auditores”. Mediante esta disposición no se atribuye directamente al Colegio o a entidad corporativa alguna la condición de corporación representativa de auditores, pues, como el propio preámbulo de la Ley autonómica recuerda, es la normativa estatal, conformada entonces por la Ley 19/1988, de 12 de julio, de auditoría de cuentas y por su reglamento de desarrollo, la que “señala cuáles son las corporaciones representativas [de auditores], entre las que se encuentra la que ha agrupado tradicionalmente a los Censores Jurados de Cuentas”. Es claro que en la Ley 7/1995 se asume plenamente no sólo que la actividad de auditoría está regulada por el Estado a través de las normas mencionadas, sino también que la competencia estatal en la materia se extiende a la determinación de la condición de corporación representativa de auditores y de las concretas funciones que dicha condición lleva aparejadas.</w:t>
      </w:r>
    </w:p>
    <w:p w:rsidR="00D06117" w:rsidRDefault="00D06117" w:rsidP="00D06117">
      <w:pPr>
        <w:pStyle w:val="TextoNormal"/>
      </w:pPr>
    </w:p>
    <w:p w:rsidR="00D06117" w:rsidRDefault="00D06117" w:rsidP="00D06117">
      <w:pPr>
        <w:pStyle w:val="TextoNormal"/>
      </w:pPr>
      <w:r>
        <w:t>Por lo expuesto debemos rechazar el reproche realizado por el Abogado del Estado de que las disposiciones de la Ley del Parlamento de Cataluña 7/1995 interfieren en la competencia estatal sobre legislación mercantil (art. 149.1.6 CE).</w:t>
      </w:r>
    </w:p>
    <w:p w:rsidR="00D06117" w:rsidRDefault="00D06117" w:rsidP="00D06117">
      <w:pPr>
        <w:pStyle w:val="TextoNormal"/>
      </w:pPr>
    </w:p>
    <w:p w:rsidR="00D06117" w:rsidRDefault="00D06117" w:rsidP="00D06117">
      <w:pPr>
        <w:pStyle w:val="TextoNormal"/>
      </w:pPr>
      <w:r w:rsidRPr="00D06117">
        <w:rPr>
          <w:rStyle w:val="NumeroAFNegritaCaracter"/>
        </w:rPr>
        <w:t>7</w:t>
      </w:r>
      <w:r>
        <w:t>. Analizadas las disposiciones de la Ley 7/1995, de la que los Estatutos del Colegio de censores jurados de cuentas de Cataluña traen causa, debemos examinar a continuación los estatutos en sí, aunque no en su totalidad, sino sólo los concretos preceptos en los que el Abogado del Estado fundamenta la invasión de la competencia estatal sobre legislación mercantil (art. 149.1.6 CE). El Abogado del Estado considera que los siguientes preceptos de los estatutos de 1999 son incompatibles con la legislación estatal y, por tanto, invaden las competencias que el Estado ha ejercido a través de sus normas:</w:t>
      </w:r>
    </w:p>
    <w:p w:rsidR="00D06117" w:rsidRDefault="00D06117" w:rsidP="00D06117">
      <w:pPr>
        <w:pStyle w:val="TextoNormal"/>
      </w:pPr>
    </w:p>
    <w:p w:rsidR="00D06117" w:rsidRDefault="00D06117" w:rsidP="00D06117">
      <w:pPr>
        <w:pStyle w:val="TextoNormal"/>
      </w:pPr>
      <w:r>
        <w:t xml:space="preserve">a) En primer lugar, a juicio de la representación procesal del Estado el art. 2 de los estatutos de 1999 vendría a dispensar de la carga de obtener la habilitación contemplada en la legislación estatal a los miembros del colegio profesional que desarrollen la actividad de auditoría dentro del territorio de Cataluña. La invasión competencial que se alega se refiere </w:t>
      </w:r>
      <w:r>
        <w:lastRenderedPageBreak/>
        <w:t>concretamente a la previsión de que el ámbito territorial del Colegio de censores jurados de cuentas de Cataluña se extiende a la totalidad del territorio de Cataluña, “independientemente de que los censores jurados de cuentas, miembros del Colegio, puedan actuar en todo el territorio nacional o supranacional, si están habilitados”. El mismo argumento late en el reproche dirigido contra el art. 10 de los estatutos, precepto que según la interpretación del Abogado del Estado permitiría que entre los miembros del colegio se encontraran ejercientes por cuenta propia no inscritos en el Registro oficial de auditores de cuentas, esto es, censores jurados de cuentas dedicados profesionalmente a la actividad de auditoría que no estuvieran inscritos en el citado registro oficial. Pues bien, la conclusión que extrae el Abogado del Estado sobre la dispensa de habilitación para ejercer la actividad de auditor de cuentas no se deduce del art. 2 de los Estatutos de 1999 ni del art. 10, ni tampoco —como ya hemos visto— de disposición alguna de la Ley 7/1995, de 28 de junio, de creación del Colegio de censores jurados de cuentas de Cataluña. Por el contrario, tal y como señala el Letrado del Gobierno de la Generalitat, el art. 6 de los estatutos titulado “Funciones del censor jurado de cuentas” establece de forma general que el censor jurado de cuentas realizará “todas aquellas funciones que como censor jurado de cuentas le corresponden y las que puedan aprobarse en el futuro, y de acuerdo con las condiciones y requisitos previstos en la normativa vigente o que se puedan establecer legalmente”, y en particular es meridianamente claro en cuanto que “para el ejercicio de la auditoría de cuentas habrán de reunirse todos los requisitos exigidos por la ley”, entre los que se encuentran los exigidos por la legislación estatal dictada al amparo del art. 149.1.6 CE. Ninguna duda puede haber, por tanto, de que, interpretados sistemáticamente en relación con el art. 6, ni el art. 2 ni el art. 10 de los Estatutos del Colegio de censores jurados de cuentas de Cataluña dispensan a sus miembros de la carga de obtener el título habilitante requerido con carácter general por el texto refundido de la Ley de auditoría de cuentas (aprobado por el Real Decreto Legislativo 1/2011, de 1 de julio), para acometer las actividades sobre las que se proyecta la norma estatal.</w:t>
      </w:r>
    </w:p>
    <w:p w:rsidR="00D06117" w:rsidRDefault="00D06117" w:rsidP="00D06117">
      <w:pPr>
        <w:pStyle w:val="TextoNormal"/>
      </w:pPr>
    </w:p>
    <w:p w:rsidR="00D06117" w:rsidRDefault="00D06117" w:rsidP="00D06117">
      <w:pPr>
        <w:pStyle w:val="TextoNormal"/>
      </w:pPr>
      <w:r>
        <w:t xml:space="preserve">Por otra parte, es evidente que la finalidad de las disposiciones cuestionadas es distinta de la aducida por el Abogado del Estado. En cuanto al art. 2, su finalidad, tanto en la versión de 1999 como —a mayor abundamiento— en la de 2010, no es una pretendida dispensa de habilitación o de los requisitos necesarios para ejercer la actividad de auditor, sino poner de relieve que el ámbito territorial del colegio —circunscrito a Cataluña— no obsta para que sus colegiados puedan ejercer su actividad profesional en un ámbito más amplio, siempre que cumplan los requisitos necesarios para ello establecidos en la normativa aplicable, que será según los casos la normativa estatal, la europea o la de terceros países. En efecto, el apartado 1 del art. 2 de los nuevos estatutos del colegio aprobados en 2010 indican taxativamente que “el ámbito territorial del Colegio se extiende en la totalidad del territorio de Cataluña, independientemente de que los censores/as jurados/as de cuentas miembros del Colegio puedan actuar en todo el territorio del Estado o de otros estados de dentro o de fuera de la Unión Europea en los términos establecidos en la normativa aplicable”. Y por lo que respecta al art. 10 de los estatutos, su finalidad es reconocer que la actividad de auditoría de cuentas es para los censores jurados de cuentas una posibilidad y no una obligación, por lo que dentro del colectivo de censores jurados de cuentas puede haber miembros que no estén interesados profesionalmente en realizar la actividad de auditoría de cuentas y por tanto en asumir las obligaciones que ello conlleva (incluida la constitución de una fianza, como se prevé en el art. 23 del texto refundido de la Ley de auditoría de cuentas), y opten en consecuencia por no inscribirse en el Registro oficial de auditores de cuentas o, en su caso, por la </w:t>
      </w:r>
      <w:r>
        <w:lastRenderedPageBreak/>
        <w:t>renuncia voluntaria, pues tan posible es que un censor jurado de cuentas colegiado realice auditorías si reúne los requisitos exigidos a tal efecto por la legislación estatal como que voluntariamente opte por no dedicarse a dicha actividad y, sin embargo, se colegie en el Colegio de censores jurados de cuentas para ejercer otras actividades encomendadas a la profesión de censor jurado de cuentas.</w:t>
      </w:r>
    </w:p>
    <w:p w:rsidR="00D06117" w:rsidRDefault="00D06117" w:rsidP="00D06117">
      <w:pPr>
        <w:pStyle w:val="TextoNormal"/>
      </w:pPr>
    </w:p>
    <w:p w:rsidR="00D06117" w:rsidRDefault="00D06117" w:rsidP="00D06117">
      <w:pPr>
        <w:pStyle w:val="TextoNormal"/>
      </w:pPr>
      <w:r>
        <w:t>b) En segundo lugar, el Abogado del Estado argumenta que el art. 3.1 atribuye al colegio la condición de corporación representativa de los auditores, sin que quede justificado el cumplimiento de los requisitos contemplados al efecto por la legislación estatal y pese a que la única Administración habilitada para adoptar ese pronunciamiento es la del Estado (art. 74 del reglamento de desarrollo de la Ley 19/1988, de 12 de julio); y que, consiguientemente, los arts. 5, 32, 48, 57 y 75 confieren al colegio competencias que el art. 5.2 de la Ley 19/1988 y el art. 75 de su reglamento de desarrollo reservan a las corporaciones representativas de los auditores.</w:t>
      </w:r>
    </w:p>
    <w:p w:rsidR="00D06117" w:rsidRDefault="00D06117" w:rsidP="00D06117">
      <w:pPr>
        <w:pStyle w:val="TextoNormal"/>
      </w:pPr>
    </w:p>
    <w:p w:rsidR="00D06117" w:rsidRDefault="00D06117" w:rsidP="00D06117">
      <w:pPr>
        <w:pStyle w:val="TextoNormal"/>
      </w:pPr>
      <w:r>
        <w:t>Por una parte, el art. 3.1 de los estatutos de 1999, en conexión con el art. 1, atribuye al colegio la condición de “corporación representativa”, no de los auditores en general como afirma el Abogado del Estado —esto es, de la totalidad de los profesionales que realizan la actividad de auditoría de cuentas—, sino de los censores jurados de cuentas en su condición de tales, pero no de auditores; en concreto —como especifica el art. 1 al que se remite, en este punto, el art. 3.1— de “los profesionales que, teniendo el título de censor jurado de cuentas, ejercen las actividades profesionales de esta profesión, entre las cuales está la auditoría”. En ello no puede verse ninguna incompatibilidad con la legislación estatal, pues en nada se opone a la competencia estatal de regulación de la actividad de auditoría.</w:t>
      </w:r>
    </w:p>
    <w:p w:rsidR="00D06117" w:rsidRDefault="00D06117" w:rsidP="00D06117">
      <w:pPr>
        <w:pStyle w:val="TextoNormal"/>
      </w:pPr>
    </w:p>
    <w:p w:rsidR="00D06117" w:rsidRDefault="00D06117" w:rsidP="00D06117">
      <w:pPr>
        <w:pStyle w:val="TextoNormal"/>
      </w:pPr>
      <w:r>
        <w:t xml:space="preserve">Por otra parte, sólo el Estado puede determinar cuáles son las corporaciones representativas de los auditores de cuentas y atribuirles funciones públicas en relación con la actividad de auditoría. Dado que la actividad de auditoría de cuentas puede ser realizada no sólo por los censores jurados de cuentas, sino también por profesionales con otras titulaciones, siempre que cuenten con la habilitación pertinente (STC 386/1993, de 23 de diciembre, FJ 2), la legislación estatal atribuye la condición de corporaciones representativas de auditores de cuentas a diversas entidades al mismo tiempo. Para ello dichas entidades deben cumplir los requisitos establecidos en el art. 104 del reglamento de desarrollo del texto refundido de la Ley de auditoría de cuentas (aprobado por el Real Decreto 1517/2011, de 31 de octubre), que coinciden con los establecidos en la normativa anterior (art. 74 del Real Decreto 1636/1990, de 20 de diciembre, por el que se aprueba el reglamento que desarrolla la Ley 19/1988, de 12 de julio, de auditoría de cuentas). Entre los requisitos que establece el art. 104 del citado reglamento de desarrollo para que una entidad de Derecho público de la que formen parte auditores de cuentas se considere corporación representativa de auditores se encuentra el siguiente: que “en sus estatutos figure como única, o una de las actividades de sus miembros la de auditoría de cuentas” [a)]. Los otros requisitos hacen referencia a que un número mínimo de auditores de cuentas inscritos en el Registro oficial de auditores de cuentas sean miembros de la corporación, al menos un 10 por 100 de los inscritos y al menos un 15 por 100 de los inscritos como ejercientes. Por tanto, con arreglo a la normativa estatal, para que una entidad de Derecho público que agrupa a profesionales que se dedican a la auditoría pueda ser considerada corporación representativa de auditores, además del requisito del número mínimo indicado de colegiados inscritos como auditores, es imprescindible que los estatutos de dicha entidad indiquen expresamente que sus miembros se dedican a la </w:t>
      </w:r>
      <w:r>
        <w:lastRenderedPageBreak/>
        <w:t>actividad de auditoría de cuentas. Eso es justamente lo que hacen los Estatutos del Colegio profesional de censores jurados de cuentas de Cataluña en el inciso final del art. 1. Se trata, pues, del cumplimiento por los estatutos colegiales de una previsión de una norma estatal que opera como presupuesto necesario pero no suficiente de la aplicación al referido colegio de la condición de corporación representativa de auditores.</w:t>
      </w:r>
    </w:p>
    <w:p w:rsidR="00D06117" w:rsidRDefault="00D06117" w:rsidP="00D06117">
      <w:pPr>
        <w:pStyle w:val="TextoNormal"/>
      </w:pPr>
    </w:p>
    <w:p w:rsidR="00D06117" w:rsidRDefault="00D06117" w:rsidP="00D06117">
      <w:pPr>
        <w:pStyle w:val="TextoNormal"/>
      </w:pPr>
      <w:r>
        <w:t>Además, tal como dispone la disposición final única del reglamento de desarrollo aprobado por el Real Decreto 1517/2011, las corporaciones representativas de los auditores de cuentas y de la sociedades de auditoría de cuentas son en la actualidad, al menos, “en tanto en cuanto cumplan los requisitos establecidos en el artículo 104 de este Reglamento”, las siguientes: el Consejo general de Colegios de economistas de España, el Consejo superior de Colegios oficiales de titulares mercantiles de España y el Instituto de censores jurados de cuentas de España. Sin perjuicio de que deban acreditar el cumplimiento de los requisitos establecidos en el art. 104 del reglamento de desarrollo como cualesquiera otras entidades que aspiren a la condición de corporación representativa de auditores, la mencionada disposición adicional del reglamento de desarrollo constata que las diversas entidades de Derecho público que se mencionan agrupan mayoritariamente a los profesionales que se han venido dedicando hasta la fecha a la actividad de la auditoría de cuentas, y que dichas entidades cumplen en principio los requisitos previstos por la norma para la atribución de la condición representativa. Por tanto, del reconocimiento por la normativa estatal no sólo de la posibilidad de una pluralidad de corporaciones de Derecho público representativas de los auditores de cuentas y de las sociedades auditoras de cuentas, sino también de que los censores jurados de cuentas constituyen una de las profesiones que se dedican habitualmente a la actividad de auditoría de cuentas, se desprende que el Colegio de censores jurados de cuentas de Cataluña, como corporación representativa en el ámbito territorial de Cataluña de una parte de los profesionales que realizan actividades de auditoría de cuentas, puede asumir en sus estatutos aquellas funciones que la propia legislación estatal atribuye a las corporaciones representativas de auditores, y que deberá ejercer, claro está, en los términos establecidos en la normativa estatal.</w:t>
      </w:r>
    </w:p>
    <w:p w:rsidR="00D06117" w:rsidRDefault="00D06117" w:rsidP="00D06117">
      <w:pPr>
        <w:pStyle w:val="TextoNormal"/>
      </w:pPr>
    </w:p>
    <w:p w:rsidR="00D06117" w:rsidRDefault="00D06117" w:rsidP="00D06117">
      <w:pPr>
        <w:pStyle w:val="TextoNormal"/>
      </w:pPr>
      <w:r>
        <w:t>Así interpretados, debemos rechazar el cuestionamiento que se efectúa de los arts. 5, 32, 48, 57 y 75 de los estatutos en conexión con el del art. 3.1.</w:t>
      </w:r>
    </w:p>
    <w:p w:rsidR="00D06117" w:rsidRDefault="00D06117" w:rsidP="00D06117">
      <w:pPr>
        <w:pStyle w:val="TextoNormal"/>
      </w:pPr>
    </w:p>
    <w:p w:rsidR="00D06117" w:rsidRDefault="00D06117" w:rsidP="00D06117">
      <w:pPr>
        <w:pStyle w:val="TextoNormal"/>
      </w:pPr>
      <w:r>
        <w:t xml:space="preserve">c) A continuación se aduce que el art. 3.2 prevé el informe previo del colegio respecto de la elaboración de normas de la Generalitat cuya adopción se encontraría reservada al Estado en virtud del art. 149.1.6 CE y que, de hecho, se habría efectivamente materializado a través de la Ley 19/1988, de 12 de julio, de auditoría de cuentas y de su reglamento de desarrollo. Este reproche no puede prosperar pues el precepto cuestionado se limita a establecer que “corresponde al Colegio informar de todas la normas que prepare el Gobierno de la Generalidad sobre las condiciones generales del ejercicio profesional y sobre las funciones, los honorarios, cuando se fijen por tarifa o arancel, y el régimen de incompatibilidades de la profesión”, por lo que resulta evidente que no invade la competencia estatal sobre legislación mercantil sino que se fundamenta estrictamente en las competencias que sobre profesiones tituladas ostenta la Comunidad Autónoma de Cataluña con arreglo al art. 125 del EAC de 2006, sin perjuicio de las competencias estatales básicas ex art. 149.1.30 CE —salvedad que ya establece el propio precepto estatutario, tal y recordamos en la STC </w:t>
      </w:r>
      <w:r>
        <w:lastRenderedPageBreak/>
        <w:t>31/2010, FJ 71 a los efectos de desestimar su inconstitucionalidad—, y siempre que, además, en este concreto ámbito se respete, como es el caso, la competencia estatal exclusiva ex art. 149.1.6 CE para regular la actividad de auditoría de cuentas.</w:t>
      </w:r>
    </w:p>
    <w:p w:rsidR="00D06117" w:rsidRDefault="00D06117" w:rsidP="00D06117">
      <w:pPr>
        <w:pStyle w:val="TextoNormal"/>
      </w:pPr>
    </w:p>
    <w:p w:rsidR="00D06117" w:rsidRDefault="00D06117" w:rsidP="00D06117">
      <w:pPr>
        <w:pStyle w:val="TextoNormal"/>
      </w:pPr>
      <w:r>
        <w:t>d) En cuarto lugar, según el representante del Gobierno de la Nación el art. 80 en relación con el art. 75 de los estatutos permite al colegio imponer, mediante el ejercicio de su potestad disciplinaria, la sanción de suspensión en el ejercicio de la actividad y, en la medida en que la actividad de los miembros de la corporación incluiría la auditoría (art. 49 de los estatutos), ello invadiría la competencia que el art. 15.2 de la Ley 19/1988 —que se corresponde con el art. 30.1 del texto refundido de la Ley de auditoría de cuentas de 2011— ha atribuido al Instituto de Contabilidad y Auditoría de Cuentas para imponer esa misma sanción administrativa. Al respecto cabe señalar ante todo que la potestad sancionadora de que disfrutan los colegios profesionales se encuentra íntimamente unida a la función colegial de ordenación de la actividad profesional de los colegiados y encuentra apoyo expreso, además, en la propia legislación estatal de colegios profesionales [art. 5 i) de la Ley 2/1974, de 13 de febrero, de colegios profesionales, actualizada recientemente por la Ley 25/2009, de 22 de diciembre], por lo que no puede verse en dicha circunstancia una invasión en la competencia reservada al Estado por el art. 149.1.6 CE. Por otra parte, en cuanto al alcance de la potestad sancionadora concretamente atribuida al Colegio de censores jurados de cuentas de Cataluña por los estatutos controvertidos, procede señalar que la potestad sancionadora que ostenta el colegio sobre sus colegiados sólo alcanza a éstos en su condición de miembros de dicho colegio, esto es, en cuanto censores jurados de cuentas colegiados. Así, todas las medidas sancionadoras previstas en el art. 80 de los estatutos, desde la de aviso hasta la de expulsión del colegio pasando por la sanción controvertida de suspensión temporal en el ejercicio de la actividad profesional, afectan única y exclusivamente a la condición de censores jurados de cuentas y no inciden sobre la actividad de auditoría de cuentas que dichas personas puedan desarrollar, pues el régimen sancionador de la actividad de auditoría de cuentas está regulado en la legislación estatal de auditoría de cuentas (actualmente el texto refundido de la Ley de auditoría de cuentas de 2011 y su reglamento de desarrollo) y la competencia sancionadora está atribuida en exclusiva al Instituto de Contabilidad y Auditoría de Cuentas, tal y como, por otra parte, los propios estatutos reconocen y, por tanto, dejan a salvo expresamente en los arts. 48 y 75.</w:t>
      </w:r>
    </w:p>
    <w:p w:rsidR="00D06117" w:rsidRDefault="00D06117" w:rsidP="00D06117">
      <w:pPr>
        <w:pStyle w:val="TextoNormal"/>
      </w:pPr>
    </w:p>
    <w:p w:rsidR="00D06117" w:rsidRDefault="00D06117" w:rsidP="00D06117">
      <w:pPr>
        <w:pStyle w:val="TextoNormal"/>
      </w:pPr>
      <w:r>
        <w:t xml:space="preserve">e) Finalmente se aduce por el Abogado del Estado que el art. 49 de los estatutos dispone que “los censores jurados de cuentas realizarán, en todos los trabajos de auditoría que les hayan encargado, todos los exámenes y comprobaciones necesarios para fundamentar técnicamente su informe, conforme a las normas técnicas de auditoría”, lo cual vendría a demostrar que la finalidad del colegio es “agrupar a los profesionales que se dediquen a la actividad de auditoría de cuentas, y controlar y fiscalizar sus trabajos de auditoría de cuentas”, siendo ello incompatible con el régimen jurídico que de esa actividad ha establecido la legislación del Estado, cuya constitucionalidad fue confirmada por la STC 386/1993, de 23 de diciembre. Procede reiterar una vez más que, conforme a la legislación estatal, la actividad de auditoría de cuentas puede ser desarrollada por los censores jurados de cuentas, en tanto éstos cumplan con los requisitos exigidos a tal efecto por la ley. Pues bien, la previsión de que, en tal supuesto, los censores jurados de cuentas han de realizar los exámenes y comprobaciones necesarios para fundamentar técnicamente su informe “conforme a las normas técnicas de auditoría” constituye una mera norma de remisión o de recordatorio del </w:t>
      </w:r>
      <w:r>
        <w:lastRenderedPageBreak/>
        <w:t>marco jurídico en que deben desenvolver dicha actividad, marco jurídico que viene reservado al legislador estatal en virtud del art. 149.1.6 CE. La inclusión de dicha remisión o recordatorio en los estatutos colegiales no puede considerarse, en modo alguno, interferencia en las competencias estatales de regulación de la actividad de auditoría de cuentas.</w:t>
      </w:r>
    </w:p>
    <w:p w:rsidR="00D06117" w:rsidRDefault="00D06117" w:rsidP="00D06117">
      <w:pPr>
        <w:pStyle w:val="TextoNormal"/>
      </w:pPr>
    </w:p>
    <w:p w:rsidR="00D06117" w:rsidRDefault="00D06117" w:rsidP="00D06117">
      <w:pPr>
        <w:pStyle w:val="TextoNormal"/>
      </w:pPr>
      <w:r w:rsidRPr="00D06117">
        <w:rPr>
          <w:rStyle w:val="NumeroAFNegritaCaracter"/>
        </w:rPr>
        <w:t>8</w:t>
      </w:r>
      <w:r>
        <w:t>. Una vez examinadas de forma pormenorizada las disposiciones cuestionadas en el presente conflicto, debemos concluir que ni las disposiciones de los estatutos ni menos aún los preceptos de la Ley del Parlamento de Cataluña 7/1995, de 28 de junio, configuran el acceso al Colegio de censores jurados de cuentas de Cataluña como un requisito necesario para poder ejercer la actividad de auditor de cuentas, ni como una habilitación que permita acometer y desarrollar esa misma actividad sin cumplir los requisitos previstos por la legislación estatal aplicable; tampoco atribuyen al citado colegio la condición de corporación representativa de auditores de cuentas. El texto refundido de la Ley de auditoría de cuentas (aprobado por el Real Decreto Legislativo 1/2011, de 1 de julio), de una parte, y las disposiciones que constituyen el objeto de este proceso constitucional, de otra, se mueven, pues, en planos distintos: mientras que el primero regula el ejercicio de la actividad de auditoría de cuentas, las segundas hacen lo propio con la organización y el funcionamiento de la corporación representativa de los censores jurados de cuentas en cuanto tales, profesionales que, entre otras actividades, pueden también ejercer la actividad de auditoría de cuentas, sin que por ello esos profesionales queden eximidos del régimen jurídico estatal que les resulta de aplicación en la medida que ejerzan, efectivamente, dicha actividad. En particular, la habilitación para desarrollar la actividad de auditor y la condición de corporación representativa de los auditores sólo se obtienen mediante el cumplimiento de los requisitos establecidos en la normativa estatal sobre auditoría.</w:t>
      </w:r>
    </w:p>
    <w:p w:rsidR="00D06117" w:rsidRDefault="00D06117" w:rsidP="00D06117">
      <w:pPr>
        <w:pStyle w:val="TextoNormal"/>
      </w:pPr>
    </w:p>
    <w:p w:rsidR="00D06117" w:rsidRDefault="00D06117" w:rsidP="00D06117">
      <w:pPr>
        <w:pStyle w:val="TextoNormal"/>
      </w:pPr>
      <w:r>
        <w:t>En definitiva, hemos de concluir que ni la Ley del Parlamento de Cataluña 7/1995, de 28 de junio, de creación del Colegio de censores jurados de cuentas de Cataluña, ni la resolución de 13 de octubre de 1999 del Departamento de Justicia de la Generalitat de Cataluña por la que, previa comprobación de su adecuación a la legalidad, se inscriben en el Registro de colegios profesionales de la Generalitat de Cataluña los estatutos del Colegio de censores jurados de cuentas de Cataluña han invadido la competencia del Estado sobre legislación mercantil (art. 149.1.6 CE), por lo que procede desestimar el presente conflicto de competencia.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conflicto positivo de competencia y declarar que la resolución de 13 de octubre de 1999 del Departamento de Justicia de la Generalitat de Cataluña por la que se aprueba la inscripción en el Registro de colegios profesionales de la Generalitat de Cataluña los Estatutos del Colegio de censores jurados de cuentas de Cataluña no es inconstitucional siempre que los arts. 5, 32, 48, 57 y 75 en conexión con el art. 3.1 de dichos estatutos se interpreten en la forma expresada en el fundamento jurídico 7 b).</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quince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7" w:name="SENTENCIA_2012_34"/>
      <w:r>
        <w:lastRenderedPageBreak/>
        <w:t>SENTENCIA 34/2012, de 15 de marzo de 2012</w:t>
      </w:r>
    </w:p>
    <w:bookmarkEnd w:id="3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ECLI:ES:TC:2012:34</w:t>
      </w:r>
    </w:p>
    <w:p w:rsidR="00D06117" w:rsidRDefault="00D06117" w:rsidP="00D06117">
      <w:pPr>
        <w:pStyle w:val="SntesisDescriptiva"/>
      </w:pPr>
    </w:p>
    <w:p w:rsidR="00D06117" w:rsidRDefault="00D06117" w:rsidP="00D06117">
      <w:pPr>
        <w:pStyle w:val="SntesisDescriptiva"/>
      </w:pPr>
      <w:r>
        <w:t>Recurso de inconstitucionalidad 4364-2001. Interpuesto por el Consejo de Gobierno de la Junta de Andalucía en relación con diversos preceptos de la Ley 6/2001, de 8 de mayo, de modificación del Real Decreto Legislativo 1302/1986, de 28 de junio, de evaluación de impacto ambiental.</w:t>
      </w:r>
    </w:p>
    <w:p w:rsidR="00D06117" w:rsidRDefault="00D06117" w:rsidP="00D06117">
      <w:pPr>
        <w:pStyle w:val="SntesisDescriptiva"/>
      </w:pPr>
    </w:p>
    <w:p w:rsidR="00D06117" w:rsidRDefault="00D06117" w:rsidP="00D06117">
      <w:pPr>
        <w:pStyle w:val="SntesisAnaltica"/>
      </w:pPr>
      <w:r>
        <w:t>Distribución de competencias sobre medio ambiente y procedimiento administrativo: constitucionalidad de la atribución a la Administración del Estado de la evaluación de impacto ambiental de los proyectos que le corresponda aprobar o autorizar (SSTC 13/1998 y 1/2012).</w:t>
      </w:r>
    </w:p>
    <w:p w:rsidR="00D06117" w:rsidRDefault="00D06117" w:rsidP="00D06117">
      <w:pPr>
        <w:pStyle w:val="SntesisAnaltica"/>
      </w:pPr>
    </w:p>
    <w:p w:rsidR="00D06117" w:rsidRDefault="00D06117" w:rsidP="00D06117">
      <w:pPr>
        <w:pStyle w:val="Extracto"/>
      </w:pPr>
      <w:r>
        <w:t>1.</w:t>
      </w:r>
      <w:r>
        <w:tab/>
        <w:t>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(SSTC 13/1998, 101/2006, 1/2012) [FJ 5].</w:t>
      </w:r>
    </w:p>
    <w:p w:rsidR="00D06117" w:rsidRDefault="00D06117" w:rsidP="00D06117">
      <w:pPr>
        <w:pStyle w:val="Extracto"/>
      </w:pPr>
    </w:p>
    <w:p w:rsidR="00D06117" w:rsidRDefault="00D06117" w:rsidP="00D06117">
      <w:pPr>
        <w:pStyle w:val="Extracto"/>
      </w:pPr>
      <w:r>
        <w:t>2.</w:t>
      </w:r>
      <w:r>
        <w:tab/>
        <w:t>Aplica la doctrina sobre competencia en materia de declaración de impacto ambiental de las SSTC 13/1998 y 101/2006 [FJ 5].</w:t>
      </w:r>
    </w:p>
    <w:p w:rsidR="00D06117" w:rsidRDefault="00D06117" w:rsidP="00D06117">
      <w:pPr>
        <w:pStyle w:val="Extracto"/>
      </w:pPr>
    </w:p>
    <w:p w:rsidR="00D06117" w:rsidRDefault="00D06117" w:rsidP="00D06117">
      <w:pPr>
        <w:pStyle w:val="Extracto"/>
      </w:pPr>
      <w:r>
        <w:t>3.</w:t>
      </w:r>
      <w:r>
        <w:tab/>
        <w:t>Doctrina sobre los efectos de la pérdida sobrevenida de la vigencia del precepto legal impugnado en los recursos de inconstitucionalidad de índole competencial (SSTC 182/1988, 1/2012) [FJ 3].</w:t>
      </w:r>
    </w:p>
    <w:p w:rsidR="00D06117" w:rsidRDefault="00D06117" w:rsidP="00D06117">
      <w:pPr>
        <w:pStyle w:val="Extracto"/>
      </w:pPr>
    </w:p>
    <w:p w:rsidR="00D06117" w:rsidRDefault="00D06117" w:rsidP="00D06117">
      <w:pPr>
        <w:pStyle w:val="Extracto"/>
      </w:pPr>
      <w:r>
        <w:t>4.</w:t>
      </w:r>
      <w:r>
        <w:tab/>
        <w:t xml:space="preserve">Doctrina sobre el </w:t>
      </w:r>
      <w:r w:rsidRPr="00D06117">
        <w:rPr>
          <w:i/>
        </w:rPr>
        <w:t>ius superveniens</w:t>
      </w:r>
      <w:r>
        <w:t>, según la cual el control de las normas que incurren en un posible exceso competencial debe hacerse de acuerdo con las normas del bloque de la constitucionalidad vigentes en el momento de dictar Sentencia (STC 1/2011)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inconstitucionalidad núm. 4364-2001, interpuesto por el Consejo de Gobierno de la Junta de Andalucía contra el artículo único, cardinales 1 y 2, de la Ley 6/2001, de 8 de mayo, de modificación del Real Decreto Legislativo 1302/1986, de 28 de junio, de evaluación de impacto ambiental. Han sido parte el Abogado del Estado y la Junta de Andalucía.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registrado en este Tribunal el 27 de julio de 2001, la Letrada de la Junta de Andalucía, en la representación que legalmente ostenta del Consejo de Gobierno de la Junta de Andalucía, interpuso recurso de inconstitucionalidad contra el artículo único, cardinales 1 y 2, de la Ley 6/2001, de 8 de mayo, de modificación del Real Decreto Legislativo 1302/1986, de 28 de junio, de evaluación de impacto ambiental, en cuanto da nueva redacción a los arts. 5 y 7 e introduce una nueva disposición final tercera en aquel Real Decreto Legislativo.</w:t>
      </w:r>
    </w:p>
    <w:p w:rsidR="00D06117" w:rsidRDefault="00D06117" w:rsidP="00D06117">
      <w:pPr>
        <w:pStyle w:val="TextoNormal"/>
      </w:pPr>
    </w:p>
    <w:p w:rsidR="00D06117" w:rsidRDefault="00D06117" w:rsidP="00D06117">
      <w:pPr>
        <w:pStyle w:val="TextoNormal"/>
      </w:pPr>
      <w:r w:rsidRPr="00D06117">
        <w:rPr>
          <w:rStyle w:val="NumeroAFNegritaCaracter"/>
        </w:rPr>
        <w:t>2</w:t>
      </w:r>
      <w:r>
        <w:t>. La Letrada de la Junta de Andalucía aduce en su recurso que el art. 5 del Real Decreto Legislativo 1302/1986, de 28 de junio, de evaluación de impacto ambiental, en la redacción dada al mismo por el artículo único, cardinal 1, de la Ley 6/2001, de 8 de mayo, resulta contrario al bloque de la constitucionalidad, concretamente por vulneración del art. 149.1.23 CE y de los arts. 13.4 y 15.1.7 del Estatuto de Autonomía para Andalucía de 1981 (EAAnd 1981), toda vez que, a juicio de la recurrente —que cita en apoyo de su pretensión los razonamientos contenidos en el voto particular a la STC 13/1998, de 22 de enero—, es a las Comunidades Autónomas a las que corresponden, en todo caso, las funciones relativas a la evaluación ambiental en sus respectivos territorios, por tratarse de una actuación “integrante de la función de gestión dentro de la competencia de medio ambiente”, y ello “con independencia de qué Administración sea la competente para autorizar, aprobar o ejecutar el proyecto de que se trate”, teniendo en cuenta que a las Comunidades Autónomas corresponden de ordinario las competencias ejecutivas y de gestión en aquellas materias en las que al Estado corresponde dictar la legislación básica (STC 102/1995, de 26 de junio, FJ 8). Por tanto, la previsión del art. 5.1 del Real Decreto Legislativo 1302/1986, según el cual la autorización y aprobación corresponde a la Administración general del Estado, no puede determinar que el órgano ambiental sea el Ministerio de Medio Ambiente, sino que habrá de serlo el que determine la Comunidad Autónoma de Andalucía, en ejercicio de su potestad de autoorganización. Por lo mismo, resulta contraria a la competencia autonómica lo previsto en el art. 5.3 del Real Decreto Legislativo 1302/1986, en cuanto a la necesidad de consulta previa al órgano ambiental de la Comunidad Autónoma en la que se ubique territorialmente el proyecto que vaya a ejecutar la Administración General del Estado, pues la competencia de ejecución de la Comunidad Autónoma en esta materia es plena.</w:t>
      </w:r>
    </w:p>
    <w:p w:rsidR="00D06117" w:rsidRDefault="00D06117" w:rsidP="00D06117">
      <w:pPr>
        <w:pStyle w:val="TextoNormal"/>
      </w:pPr>
    </w:p>
    <w:p w:rsidR="00D06117" w:rsidRDefault="00D06117" w:rsidP="00D06117">
      <w:pPr>
        <w:pStyle w:val="TextoNormal"/>
      </w:pPr>
      <w:r>
        <w:t xml:space="preserve">Por los mismos fundamentos se impugna el art. 7 del Real Decreto Legislativo 1302/1986, en la redacción dada al mismo por el artículo único, cardinal 1, de la Ley 6/2001, toda vez que, conjunción con lo dispuesto en el art. 5, determina que, en los casos en que se vea atraída la competencia de medio ambiente por la competencia sustantiva, se atribuye el </w:t>
      </w:r>
      <w:r>
        <w:lastRenderedPageBreak/>
        <w:t>seguimiento y vigilancia de la declaración de impacto ambiental a la Administración general del Estado, cuando dicho seguimiento y vigilancia constituyen una clara manifestación de la competencia de ejecución en este ámbito, que corresponde a la Comunidad Autónoma.</w:t>
      </w:r>
    </w:p>
    <w:p w:rsidR="00D06117" w:rsidRDefault="00D06117" w:rsidP="00D06117">
      <w:pPr>
        <w:pStyle w:val="TextoNormal"/>
      </w:pPr>
    </w:p>
    <w:p w:rsidR="00D06117" w:rsidRDefault="00D06117" w:rsidP="00D06117">
      <w:pPr>
        <w:pStyle w:val="TextoNormal"/>
      </w:pPr>
      <w:r>
        <w:t>En fin, y de nuevo por los mismos razonamientos, se impugna la disposición final tercera del Real Decreto Legislativo 1302/1986, en la redacción dada al mismo por el artículo único, cardinal 2, de la Ley 6/2001, por cuanto dicha disposición atribuye al Real Decreto Legislativo 1302/1986 carácter de legislación básica.</w:t>
      </w:r>
    </w:p>
    <w:p w:rsidR="00D06117" w:rsidRDefault="00D06117" w:rsidP="00D06117">
      <w:pPr>
        <w:pStyle w:val="TextoNormal"/>
      </w:pPr>
    </w:p>
    <w:p w:rsidR="00D06117" w:rsidRDefault="00D06117" w:rsidP="00D06117">
      <w:pPr>
        <w:pStyle w:val="TextoNormal"/>
      </w:pPr>
      <w:r>
        <w:t>En consecuencia, solicita la Letrada de la Junta de Andalucía que se dicte Sentencia estimando el recurso y declarando la inconstitucionalidad del precepto impugnado, por invasión de las competencias de la Junta de Andalucía. Mediante otrosí solicita la acumulación del presente recurso de inconstitucionalidad al recurso núm. 71-2001, interpuesto asimismo por el Consejo de Gobierno de la Junta de Andalucía, en este caso contra el artículo único, cardinales 1 y 2, del Real Decreto-ley 9/2000, de 6 de octubre, de modificación del Real Decreto Legislativo 1302/1986, de 28 de junio, de evaluación de impacto ambiental, dada la evidente conexión entre ambos recursos, como exige el art. 83 de la Ley Orgánica del Tribunal Constitucional (LOTC), toda vez que el referido Real Decreto-ley fue convalidado y posteriormente tramitado como Ley (art. 86.2 y 3 CE), dando lugar a la Ley 6/2001, de 8 de mayo, que reproduce su contenido.</w:t>
      </w:r>
    </w:p>
    <w:p w:rsidR="00D06117" w:rsidRDefault="00D06117" w:rsidP="00D06117">
      <w:pPr>
        <w:pStyle w:val="TextoNormal"/>
      </w:pPr>
    </w:p>
    <w:p w:rsidR="00D06117" w:rsidRDefault="00D06117" w:rsidP="00D06117">
      <w:pPr>
        <w:pStyle w:val="TextoNormal"/>
      </w:pPr>
      <w:r w:rsidRPr="00D06117">
        <w:rPr>
          <w:rStyle w:val="NumeroAFNegritaCaracter"/>
        </w:rPr>
        <w:t>3</w:t>
      </w:r>
      <w:r>
        <w:t>. Por providencia de 18 de septiembre de 2001 se acordó admitir a trámite el presente recurso de inconstitucionalidad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proceso y formular alegaciones. Asimismo, se acordó oír al Abogado del Estado en el mismo plazo para alegar lo que estimase oportuno en relación con la acumulación interesada. Por último, se acordó igualmente publicar la incoación del procedimiento en el “Boletín Oficial del Estado”.</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escrito registrado en este Tribunal el 4 de octubre de 2001 la Presidenta del Congreso de los Diputados comunicó que, por acuerdo de la Mesa del día 2 de octubre, la Cámara se personaba en el procedimiento y ofrecía su colaboración a los efectos del art. 88.1 LOTC, con remisión a la dirección de estudios y documentación y al departamento de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5</w:t>
      </w:r>
      <w:r>
        <w:t>. El Abogado del Estado presentó su escrito de personación y alegaciones el 9 de octubre de 2001. Tras recordar que el presente recurso de inconstitucionalidad se dirige frente a una ley estatal, la Ley 6/2001, de 8 de mayo, que reproduce literalmente el Real Decreto-ley 9/2000, de 6 de octubre, también impugnado ante este Tribunal por la Junta de Andalucía, en el recurso de inconstitucionalidad núm. 71-2001, tanto por razones formales (supuesta vulneración de los límites impuestos por el art. 86.1 CE), como materiales (supuesto exceso competencial), coincidentes estas últimas con las que se aducen en el presente recurso, el Abogado del Estado pasa a examinar la pretendida vulneración del art. 149.1.23 CE y de los arts. 13.4 y 15.1.7 EAAnd 1981 que se alega por la Letrada de la Junta de Andalucía en su recurso.</w:t>
      </w:r>
    </w:p>
    <w:p w:rsidR="00D06117" w:rsidRDefault="00D06117" w:rsidP="00D06117">
      <w:pPr>
        <w:pStyle w:val="TextoNormal"/>
      </w:pPr>
    </w:p>
    <w:p w:rsidR="00D06117" w:rsidRDefault="00D06117" w:rsidP="00D06117">
      <w:pPr>
        <w:pStyle w:val="TextoNormal"/>
      </w:pPr>
      <w:r>
        <w:lastRenderedPageBreak/>
        <w:t>El Abogado del Estado sostiene, en síntesis, que las alegaciones de la Junta de Andalucía se circunscriben en realidad a la “única cuestión de dilucidar si la aprobación y seguimiento de la declaración de impacto ambiental forma o no parte de las funciones de mera ejecución o gestión de la legislación medio ambiental”, cuestión que ha sido claramente resuelta por la STC 13/1998, de 22 de enero, en la que se reconoce que la competencia para emitir la declaración de impacto ambiental corresponde a la Administración titular del proyecto correspondiente, dado que dicha evaluación es una técnica transversal que atañe a diversos ámbitos competenciales, doctrina ésta de la que, por otra parte, es perfectamente consciente la propia Comunidad Autónoma recurrente, que apoya su argumentación en los razonamientos contenidos en el voto particular emitido en la STC 13/1998, frente a lo que debe recordarse que es el fallo de las Sentencias del Tribunal Constitucional (y no sus votos particulares), el que vincula a todos los poderes públicos, a tenor del art. 87.1 LOTC. Por lo demás —añade el Abogado del Estado— la doctrina sentada en la STC 13/1998 en modo alguno supone el vaciamiento de las competencias autonómicas en materia de medio ambiente, dada la clara distinción que la citada STC 13/1998, FJ 8, efectúa entre actividades directamente encaminadas a la protección medioambiental (de competencia autonómica) y la declaración de impacto ambiental vinculada a la realización de una obra o proyecto cuya realización o aprobación se incardina en el título competencial distinto.</w:t>
      </w:r>
    </w:p>
    <w:p w:rsidR="00D06117" w:rsidRDefault="00D06117" w:rsidP="00D06117">
      <w:pPr>
        <w:pStyle w:val="TextoNormal"/>
      </w:pPr>
    </w:p>
    <w:p w:rsidR="00D06117" w:rsidRDefault="00D06117" w:rsidP="00D06117">
      <w:pPr>
        <w:pStyle w:val="TextoNormal"/>
      </w:pPr>
      <w:r>
        <w:t>Afirma el Abogado del Estado que, según resulta de los arts. 2 a 4 del Real Decreto Legislativo 1302/1986, de 28 de junio, de evaluación de impacto ambiental, cuya reforma da lugar a este recurso, la evaluación de impacto ambiental se refiere en todo caso al proyecto de referencia, conlleva la ponderación de factores propios y exclusivos del ámbito de actividad de que se trata y se integra en el procedimiento mismo de aprobación o autorización del proyecto, condicionando el contenido de éste. Lo que se pretende es realizar el proyecto, obra o instalación y, por tanto, ejercer las competencias sustantivas de que se trate, con lo que la actividad de protección medioambiental tiene carácter imperativo pero, al mismo tiempo, meramente instrumental. En definitiva, es claro que el ámbito de actividad concreto a que se refiere el proyecto predomina, por su especificidad indudable, sobre la competencia general en materia de medio ambiente, de acuerdo con la doctrina consagrada en las SSTC 102/1995 y 13/1998. De modo que en los preceptos impugnados la Administración estatal “no está ejecutando la legislación básica del medio ambiente (STC 13/1998, FJ 8), por lo que no procede exigir al Estado que acredite que concurre alguno de los supuestos excepcionales que le facultan para asumir puntualmente competencias ejecutivas cuando está únicamente investido de competencia para dictar legislación básica (STC 102/1995, FJ 8).</w:t>
      </w:r>
    </w:p>
    <w:p w:rsidR="00D06117" w:rsidRDefault="00D06117" w:rsidP="00D06117">
      <w:pPr>
        <w:pStyle w:val="TextoNormal"/>
      </w:pPr>
    </w:p>
    <w:p w:rsidR="00D06117" w:rsidRDefault="00D06117" w:rsidP="00D06117">
      <w:pPr>
        <w:pStyle w:val="TextoNormal"/>
      </w:pPr>
      <w:r>
        <w:t>Por lo que se refiere a la concreta impugnación del art. 5.3 del Real Decreto Legislativo 1302/1986, en cuanto establece la consulta preceptiva al órgano ambiental de la Comunidad Autónoma en la que se ubique territorialmente el proyecto que vaya a ejecutar la Administración General del Estado, el Abogado del Estado señala que la reforma introducida en dicho precepto por la Ley 6/2001 (y por el Real Decreto-ley 9/2000 del que ésta deriva) no hace sino acatar la doctrina establecida al efecto por la citada STC 13/1998, siendo incuestionable que se trata de una norma básica, de ineludible y mínima exigencia a nivel estatal. Por lo demás, el Abogado del Estado considera contradictorio que la Comunidad Autónoma recurrente admita que el Estado pueda regular como básicos los trámites esenciales del procedimiento y, sin embargo, no reconozca este carácter a la determinación de la Administración a la que incumbe la tramitación misma de la declaración de impacto ambiental.</w:t>
      </w:r>
    </w:p>
    <w:p w:rsidR="00D06117" w:rsidRDefault="00D06117" w:rsidP="00D06117">
      <w:pPr>
        <w:pStyle w:val="TextoNormal"/>
      </w:pPr>
    </w:p>
    <w:p w:rsidR="00D06117" w:rsidRDefault="00D06117" w:rsidP="00D06117">
      <w:pPr>
        <w:pStyle w:val="TextoNormal"/>
      </w:pPr>
      <w:r>
        <w:t>A modo de conclusión señala el Abogado del Estado que los preceptos impugnados son plenamente constitucionales. Al regular la declaración de impacto ambiental y la competencia para aprobarla y controlar su cumplimiento, el Estado está dictando legislación básica en materia de medio ambiente, en cuanto regula la obligación mínima, que pesa sobre todas las Administraciones públicas en el ejercicio de sus competencias, de evaluar las repercusiones sobre el medio ambiente, y está estableciendo los principios fundamentales en que ha de inspirarse esa evaluación. Al aprobar esos preceptos, el Estado no está asumiendo competencias de gestión o ejecución en este ámbito. Lo que sí hace es asumir competencias de gestión en otros ámbitos competenciales, que varían según la naturaleza de los proyectos, de forma que la prevalencia de aquellos sobre el título competencial de medio ambiente es perfectamente constitucional de acuerdo con el principio de especificidad.</w:t>
      </w:r>
    </w:p>
    <w:p w:rsidR="00D06117" w:rsidRDefault="00D06117" w:rsidP="00D06117">
      <w:pPr>
        <w:pStyle w:val="TextoNormal"/>
      </w:pPr>
    </w:p>
    <w:p w:rsidR="00D06117" w:rsidRDefault="00D06117" w:rsidP="00D06117">
      <w:pPr>
        <w:pStyle w:val="TextoNormal"/>
      </w:pPr>
      <w:r>
        <w:t>En virtud de todo lo expuesto, el Abogado del Estado interesa que se dicte Sentencia desestimatoria del recurso. Y mediante otrosí manifiesta que nada tiene que objetar a la acumulación del presente recurso de inconstitucionalidad con el recurso núm. 71-2001, interpuesto igualmente por el Consejo de Gobierno de la Junta de Andalucía, pues existe efectivamente una conexión objetiva indiscutible entre ambos recursos.</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en este Tribunal el 16 de octubre de 2001 la Presidenta del Senado comunicó al Tribunal que, por acuerdo de la Mesa del anterior 9 de octubre, la Cámara se personaba en el procedimiento y ofrecía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providencia de 12 de mayo de 2009 el Pleno acordó, de conformidad con lo dispuesto en el art. 84 LOTC, oír a las partes personadas por el término de diez días para que alegasen sobre la pervivencia del objeto del presente recurso de inconstitucionalidad, a la vista de la aprobación del Real Decreto Legislativo 1/2008, de 11 de enero, por el que se aprueba el texto refundido de la Ley de evaluación de impacto ambiental, por cuanto su disposición derogatoria única, apartado e), determina la derogación de la Ley 6/2001, de 8 de mayo, y asimismo porque los concretos preceptos de la Ley 6/2001 objeto de impugnación han visto modificada su redacción en virtud del referido Real Decreto Legislativo 1/2008.</w:t>
      </w:r>
    </w:p>
    <w:p w:rsidR="00D06117" w:rsidRDefault="00D06117" w:rsidP="00D06117">
      <w:pPr>
        <w:pStyle w:val="TextoNormal"/>
      </w:pPr>
    </w:p>
    <w:p w:rsidR="00D06117" w:rsidRDefault="00D06117" w:rsidP="00D06117">
      <w:pPr>
        <w:pStyle w:val="TextoNormal"/>
      </w:pPr>
      <w:r w:rsidRPr="00D06117">
        <w:rPr>
          <w:rStyle w:val="NumeroAFNegritaCaracter"/>
        </w:rPr>
        <w:t>8</w:t>
      </w:r>
      <w:r>
        <w:t>. La Letrada de la Junta de Andalucía, en escrito registrado el día 29 de mayo de 2009, comunicó a este Tribunal que “en efecto, el presente recurso dado el cambio normativo ha quedado sin objeto”.</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El Abogado del Estado, por su parte, mediante escrito registrado asimismo el 29 de mayo de 2009, alegó que la derogación de la Ley 6/2001 por el Real Decreto Legislativo 1/2008, de 11 de enero, por el que se aprueba el texto refundido de la Ley de evaluación de impacto ambiental, no supone la pérdida de objeto del presente recurso de inconstitucionalidad, toda vez que la controversia competencial planteada no puede estimarse desaparecida. A estos efectos compara el Abogado del Estado los arts. 5 y 7 y la disposición final tercera del Real Decreto Legislativo 1302/1986, de 28 de junio, de evaluación de impacto ambiental, en la redacción dada por el artículo único, cardinales 1 y 2, de la Ley 6/2001, que es objeto del presente recurso, y la redacción de los preceptos equivalentes contenidos en el </w:t>
      </w:r>
      <w:r>
        <w:lastRenderedPageBreak/>
        <w:t>vigente Real Decreto Legislativo 1/2008, para concluir que, a su juicio, subsiste la controversia competencial.</w:t>
      </w:r>
    </w:p>
    <w:p w:rsidR="00D06117" w:rsidRDefault="00D06117" w:rsidP="00D06117">
      <w:pPr>
        <w:pStyle w:val="TextoNormal"/>
      </w:pPr>
    </w:p>
    <w:p w:rsidR="00D06117" w:rsidRDefault="00D06117" w:rsidP="00D06117">
      <w:pPr>
        <w:pStyle w:val="TextoNormal"/>
      </w:pPr>
      <w:r w:rsidRPr="00D06117">
        <w:rPr>
          <w:rStyle w:val="NumeroAFNegritaCaracter"/>
        </w:rPr>
        <w:t>10</w:t>
      </w:r>
      <w:r>
        <w:t>. Por Auto de 13 de marzo de 2012 el Pleno acordó aceptar la abstención de la Magistrada doña Elisa Pérez Vera, comunicada el día 8 del presente mes al Excmo. Sr. Presidente de este Tribunal.</w:t>
      </w:r>
    </w:p>
    <w:p w:rsidR="00D06117" w:rsidRDefault="00D06117" w:rsidP="00D06117">
      <w:pPr>
        <w:pStyle w:val="TextoNormal"/>
      </w:pPr>
    </w:p>
    <w:p w:rsidR="00D06117" w:rsidRDefault="00D06117" w:rsidP="00D06117">
      <w:pPr>
        <w:pStyle w:val="TextoNormal"/>
      </w:pPr>
      <w:r w:rsidRPr="00D06117">
        <w:rPr>
          <w:rStyle w:val="NumeroAFNegritaCaracter"/>
        </w:rPr>
        <w:t>11</w:t>
      </w:r>
      <w:r>
        <w:t>. Mediante providencia de 13 de marzo de 2012 se acordó señalar para deliberación y votación de la presente Sentencia el día 15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Conforme ha quedado expuesto en los antecedentes de esta Sentencia, el presente recurso de inconstitucionalidad ha sido formulado por el Consejo de Gobierno de la Comunidad Autónoma andaluza contra el artículo único, cardinales 1 y 2, de la Ley 6/2001, de 8 de mayo, de modificación del Real Decreto Legislativo 1302/1986, de 28 de junio, de evaluación de impacto ambiental, en cuanto da nueva redacción a los arts. 5 y 7 e introduce una nueva disposición final tercera en aquel real decreto legislativo. En la consideración de la Comunidad Autónoma recurrente dichos preceptos resultan contrarios al bloque de la constitucionalidad, concretamente por vulneración del art. 149.1.23 CE y de los arts. 13.4 y 15.1.7 del Estatuto de Autonomía para Andalucía de 1981 (EAAnd 1981). El Abogado del Estado expresa su opinión divergente, interesando en consecuencia la desestimación del recurso.</w:t>
      </w:r>
    </w:p>
    <w:p w:rsidR="00D06117" w:rsidRDefault="00D06117" w:rsidP="00D06117">
      <w:pPr>
        <w:pStyle w:val="TextoNormal"/>
      </w:pPr>
    </w:p>
    <w:p w:rsidR="00D06117" w:rsidRDefault="00D06117" w:rsidP="00D06117">
      <w:pPr>
        <w:pStyle w:val="TextoNormal"/>
      </w:pPr>
      <w:r w:rsidRPr="00D06117">
        <w:rPr>
          <w:rStyle w:val="NumeroAFNegritaCaracter"/>
        </w:rPr>
        <w:t>2</w:t>
      </w:r>
      <w:r>
        <w:t>. La resolución del recurso que nos ocupa exige hacer una precisión previa sobre el impacto que sobre su objeto pueda haber tenido la aprobación del Real Decreto Legislativo 1/2008, de 11 de enero, por el que se aprueba el vigente texto refundido de la Ley de evaluación de impacto ambiental de proyectos —modificado a su vez por la Ley 6/2010, de 24 de marzo, en extremos que no afectan al presente recurso— norma ésta que, conviene advertirlo, no ha sido objeto de recurso por el Consejo de Gobierno recurrente.</w:t>
      </w:r>
    </w:p>
    <w:p w:rsidR="00D06117" w:rsidRDefault="00D06117" w:rsidP="00D06117">
      <w:pPr>
        <w:pStyle w:val="TextoNormal"/>
      </w:pPr>
    </w:p>
    <w:p w:rsidR="00D06117" w:rsidRDefault="00D06117" w:rsidP="00D06117">
      <w:pPr>
        <w:pStyle w:val="TextoNormal"/>
      </w:pPr>
      <w:r>
        <w:t>Esta cuestión fue, en efecto, sometida a la consideración de las partes, tal y como ha quedado reflejado en los antecedentes 7, 8 y 9 de esta Sentencia, y así como la representación del Gobierno autonómico recurrente afirmó, sin mayor desarrollo, que el recurso habría perdido objeto tras la aprobación del Real Decreto Legislativo 1/2008, el Abogado del Estado sostuvo que la aludida reforma legal no extingue el objeto del recurso, puesto que la tacha apreciada es de naturaleza competencial y la vindicatio potestatis por parte del Estado subsiste, concluyendo de ello que, en razón a la doctrina constitucional, no existe desaparición sobrevenida del objeto del presente recurso.</w:t>
      </w:r>
    </w:p>
    <w:p w:rsidR="00D06117" w:rsidRDefault="00D06117" w:rsidP="00D06117">
      <w:pPr>
        <w:pStyle w:val="TextoNormal"/>
      </w:pPr>
    </w:p>
    <w:p w:rsidR="00D06117" w:rsidRDefault="00D06117" w:rsidP="00D06117">
      <w:pPr>
        <w:pStyle w:val="TextoNormal"/>
      </w:pPr>
      <w:r>
        <w:t xml:space="preserve">El Real Decreto Legislativo 1/2008, de 11 de enero, por el que se aprueba el texto refundido de la Ley de evaluación de impacto ambiental de proyectos, deroga expresamente [apartados d) y e) de la disposición derogatoria única] tanto el Real Decreto-ley 9/2000, de 6 de octubre, del que trae causa la Ley 6/2001, de 8 de mayo, y sobre cuya constitucionalidad ya nos hemos pronunciado en la reciente STC 1/2012, de 13 de enero, como la propia Ley 6/2001, de 8 de mayo, que resulta por ello formalmente derogada a partir de la entrada en </w:t>
      </w:r>
      <w:r>
        <w:lastRenderedPageBreak/>
        <w:t>vigor del Real Decreto Legislativo 1/2008. Sin perjuicio de esta derogación formal, y en atención a su propia naturaleza, el texto refundido de la Ley de evaluación de impacto ambiental de proyectos aprobado por el Real Decreto Legislativo 1/2008 —posteriormente modificado por la Ley 6/2010, de 24 de marzo— contiene varios preceptos que se corresponden, con ciertas modificaciones, con los que son objeto del presente recurso. Se trata de los siguientes preceptos:</w:t>
      </w:r>
    </w:p>
    <w:p w:rsidR="00D06117" w:rsidRDefault="00D06117" w:rsidP="00D06117">
      <w:pPr>
        <w:pStyle w:val="TextoNormal"/>
      </w:pPr>
    </w:p>
    <w:p w:rsidR="00D06117" w:rsidRDefault="00D06117" w:rsidP="00D06117">
      <w:pPr>
        <w:pStyle w:val="TextoNormal"/>
      </w:pPr>
      <w:r>
        <w:t>a) El art. 4 del texto refundido vigente es prácticamente idéntico al art. 5 del Real Decreto Legislativo 1302/1986 en la redacción dada al mismo por el artículo único, cardinal 1, de la Ley 6/2001, aquí recurrido:</w:t>
      </w:r>
    </w:p>
    <w:p w:rsidR="00D06117" w:rsidRDefault="00D06117" w:rsidP="00D06117">
      <w:pPr>
        <w:pStyle w:val="TextoNormal"/>
      </w:pPr>
    </w:p>
    <w:p w:rsidR="00D06117" w:rsidRDefault="00D06117" w:rsidP="00D06117">
      <w:pPr>
        <w:pStyle w:val="TextoNormal"/>
      </w:pPr>
      <w:r>
        <w:t>“Artículo 4. Competencias.</w:t>
      </w:r>
    </w:p>
    <w:p w:rsidR="00D06117" w:rsidRDefault="00D06117" w:rsidP="00D06117">
      <w:pPr>
        <w:pStyle w:val="TextoNormal"/>
      </w:pPr>
    </w:p>
    <w:p w:rsidR="00D06117" w:rsidRDefault="00D06117" w:rsidP="00D06117">
      <w:pPr>
        <w:pStyle w:val="TextoNormal"/>
      </w:pPr>
      <w:r>
        <w:t>1. A efectos de lo establecido en esta Ley y, en su caso, en la legislación de las Comunidades Autónomas, el Ministerio de Medio Ambiente será órgano ambiental en relación con los proyectos que deban ser autorizados o aprobados por la Administración General del Estado.</w:t>
      </w:r>
    </w:p>
    <w:p w:rsidR="00D06117" w:rsidRDefault="00D06117" w:rsidP="00D06117">
      <w:pPr>
        <w:pStyle w:val="TextoNormal"/>
      </w:pPr>
    </w:p>
    <w:p w:rsidR="00D06117" w:rsidRDefault="00D06117" w:rsidP="00D06117">
      <w:pPr>
        <w:pStyle w:val="TextoNormal"/>
      </w:pPr>
      <w:r>
        <w:t>2. Cuando se trate de proyectos distintos a los señalados en el apartado 1, será órgano ambiental el que determine cada Comunidad Autónoma en su respectivo ámbito territorial.</w:t>
      </w:r>
    </w:p>
    <w:p w:rsidR="00D06117" w:rsidRDefault="00D06117" w:rsidP="00D06117">
      <w:pPr>
        <w:pStyle w:val="TextoNormal"/>
      </w:pPr>
    </w:p>
    <w:p w:rsidR="00D06117" w:rsidRDefault="00D06117" w:rsidP="00D06117">
      <w:pPr>
        <w:pStyle w:val="TextoNormal"/>
      </w:pPr>
      <w:r>
        <w:t>3. Cuando corresponda a la Administración General del Estado formular la declaración de impacto ambiental regulada en esta Ley, será consultado preceptivamente el órgano ambiental de la Comunidad Autónoma en donde se ubique territorialmente el proyecto, en los términos previstos en los artículos 8 y 9 así como, en su caso, en el artículo 17.2.”</w:t>
      </w:r>
    </w:p>
    <w:p w:rsidR="00D06117" w:rsidRDefault="00D06117" w:rsidP="00D06117">
      <w:pPr>
        <w:pStyle w:val="TextoNormal"/>
      </w:pPr>
    </w:p>
    <w:p w:rsidR="00D06117" w:rsidRDefault="00D06117" w:rsidP="00D06117">
      <w:pPr>
        <w:pStyle w:val="TextoNormal"/>
      </w:pPr>
      <w:r>
        <w:t>b) El art. 7 del Real Decreto Legislativo 1302/1986 en la redacción objeto del presente recurso (artículo único, cardinal 1, de la Ley 6/2001) coincide con el tenor del art. 18.1 del texto refundido vigente:</w:t>
      </w:r>
    </w:p>
    <w:p w:rsidR="00D06117" w:rsidRDefault="00D06117" w:rsidP="00D06117">
      <w:pPr>
        <w:pStyle w:val="TextoNormal"/>
      </w:pPr>
    </w:p>
    <w:p w:rsidR="00D06117" w:rsidRDefault="00D06117" w:rsidP="00D06117">
      <w:pPr>
        <w:pStyle w:val="TextoNormal"/>
      </w:pPr>
      <w:r>
        <w:t>“Artículo 18. Seguimiento y vigilancia del cumplimiento de la declaración de impacto ambiental.</w:t>
      </w:r>
    </w:p>
    <w:p w:rsidR="00D06117" w:rsidRDefault="00D06117" w:rsidP="00D06117">
      <w:pPr>
        <w:pStyle w:val="TextoNormal"/>
      </w:pPr>
    </w:p>
    <w:p w:rsidR="00D06117" w:rsidRDefault="00D06117" w:rsidP="00D06117">
      <w:pPr>
        <w:pStyle w:val="TextoNormal"/>
      </w:pPr>
      <w:r>
        <w:t>1. Corresponde al órgano sustantivo o a los órganos que, en su caso, designen las Comunidades Autónomas respecto de los proyectos que no sean de competencia estatal, el seguimiento y vigilancia del cumplimiento de la declaración de impacto ambiental. Sin perjuicio de ello, el órgano ambiental podrá recabar información de aquél al respecto, así como efectuar las comprobaciones necesarias para verificar el cumplimiento del condicionado.</w:t>
      </w:r>
    </w:p>
    <w:p w:rsidR="00D06117" w:rsidRDefault="00D06117" w:rsidP="00D06117">
      <w:pPr>
        <w:pStyle w:val="TextoNormal"/>
      </w:pPr>
    </w:p>
    <w:p w:rsidR="00D06117" w:rsidRDefault="00D06117" w:rsidP="00D06117">
      <w:pPr>
        <w:pStyle w:val="TextoNormal"/>
      </w:pPr>
      <w:r>
        <w:t>2. El órgano sustantivo comunicará al órgano ambiental el comienzo y el final de las obras, así como el comienzo de la fase de explotación.”</w:t>
      </w:r>
    </w:p>
    <w:p w:rsidR="00D06117" w:rsidRDefault="00D06117" w:rsidP="00D06117">
      <w:pPr>
        <w:pStyle w:val="TextoNormal"/>
      </w:pPr>
    </w:p>
    <w:p w:rsidR="00D06117" w:rsidRDefault="00D06117" w:rsidP="00D06117">
      <w:pPr>
        <w:pStyle w:val="TextoNormal"/>
      </w:pPr>
      <w:r>
        <w:t>c) La disposición final tercera del Real Decreto Legislativo 1302/1986 en la redacción objeto del presente recurso (artículo único, cardinal 2, de la Ley 6/2001) se corresponde con la disposición final primera del texto refundido vigente, si bien con una salvedad a destacar: en el apartado segundo de ésta se descarta expresamente que los apartados 1 y 3 del art. 4 tengan carácter básico. Así, la disposición final primera del vigente texto refundido, en la redacción dada por la Ley 6/2010, de 24 de marzo, establece lo siguiente:</w:t>
      </w:r>
    </w:p>
    <w:p w:rsidR="00D06117" w:rsidRDefault="00D06117" w:rsidP="00D06117">
      <w:pPr>
        <w:pStyle w:val="TextoNormal"/>
      </w:pPr>
    </w:p>
    <w:p w:rsidR="00D06117" w:rsidRDefault="00D06117" w:rsidP="00D06117">
      <w:pPr>
        <w:pStyle w:val="TextoNormal"/>
      </w:pPr>
      <w:r>
        <w:t>“Disposición final primera. Título competencial.</w:t>
      </w:r>
    </w:p>
    <w:p w:rsidR="00D06117" w:rsidRDefault="00D06117" w:rsidP="00D06117">
      <w:pPr>
        <w:pStyle w:val="TextoNormal"/>
      </w:pPr>
    </w:p>
    <w:p w:rsidR="00D06117" w:rsidRDefault="00D06117" w:rsidP="00D06117">
      <w:pPr>
        <w:pStyle w:val="TextoNormal"/>
      </w:pPr>
      <w:r>
        <w:t>1. Este Real Decreto Legislativo tiene el carácter de legislación básica de protección del medio ambiente al amparo de lo dispuesto en el artículo 149.1.23 de la Constitución.</w:t>
      </w:r>
    </w:p>
    <w:p w:rsidR="00D06117" w:rsidRDefault="00D06117" w:rsidP="00D06117">
      <w:pPr>
        <w:pStyle w:val="TextoNormal"/>
      </w:pPr>
    </w:p>
    <w:p w:rsidR="00D06117" w:rsidRDefault="00D06117" w:rsidP="00D06117">
      <w:pPr>
        <w:pStyle w:val="TextoNormal"/>
      </w:pPr>
      <w:r>
        <w:t>2. No son básicos y sólo serán de aplicación a la Administración General del Estado y a sus organismos públicos los siguientes preceptos:</w:t>
      </w:r>
    </w:p>
    <w:p w:rsidR="00D06117" w:rsidRDefault="00D06117" w:rsidP="00D06117">
      <w:pPr>
        <w:pStyle w:val="TextoNormal"/>
      </w:pPr>
    </w:p>
    <w:p w:rsidR="00D06117" w:rsidRDefault="00D06117" w:rsidP="00D06117">
      <w:pPr>
        <w:pStyle w:val="TextoNormal"/>
      </w:pPr>
      <w:r>
        <w:t>a) Los apartados 1 y 3 del artículo 4.”</w:t>
      </w:r>
    </w:p>
    <w:p w:rsidR="00D06117" w:rsidRDefault="00D06117" w:rsidP="00D06117">
      <w:pPr>
        <w:pStyle w:val="TextoNormal"/>
      </w:pPr>
    </w:p>
    <w:p w:rsidR="00D06117" w:rsidRDefault="00D06117" w:rsidP="00D06117">
      <w:pPr>
        <w:pStyle w:val="TextoNormal"/>
      </w:pPr>
      <w:r w:rsidRPr="00D06117">
        <w:rPr>
          <w:rStyle w:val="NumeroAFNegritaCaracter"/>
        </w:rPr>
        <w:t>3</w:t>
      </w:r>
      <w:r>
        <w:t>. Tal como recordamos en la citada STC 1/2012, FFJJ 3 y 13, con cita de la reiterada doctrina de este Tribunal al respecto,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y STC 109/2003, de 5 de junio, FJ 2). Ahora bien, también hemos advertido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(SSTC 196/1997, FJ 2, y 109/2003, FJ 2).</w:t>
      </w:r>
    </w:p>
    <w:p w:rsidR="00D06117" w:rsidRDefault="00D06117" w:rsidP="00D06117">
      <w:pPr>
        <w:pStyle w:val="TextoNormal"/>
      </w:pPr>
    </w:p>
    <w:p w:rsidR="00D06117" w:rsidRDefault="00D06117" w:rsidP="00D06117">
      <w:pPr>
        <w:pStyle w:val="TextoNormal"/>
      </w:pPr>
      <w:r>
        <w:t xml:space="preserve">En este caso las tachas de inconstitucionalidad que se oponen a los preceptos legales sobre los que versa el recurso son de orden competencial, sin que la vindicatio potestatis haya sido aplacada por la nueva regulación introducida por el Real Decreto Legislativo 1/2008, de 11 de enero, por el que se aprueba el vigente texto refundido de la Ley de evaluación de impacto ambiental de proyectos —no impugnado por el Consejo de Gobierno de la Comunidad Autónoma de Andalucía—, por lo que la derogación de la Ley 6/2001, de 8 de mayo, no ha hecho que el recurso pierda su objeto, conforme resulta de lo alegado por la Abogacía del Estado, que —como ha quedado señalado— ha solicitado expresamente en el trámite del art. 84 de la Ley Orgánica del Tribunal Constitucional a este Tribunal un pronunciamiento expreso sobre la titularidad de la competencia controvertida. En suma, y al </w:t>
      </w:r>
      <w:r>
        <w:lastRenderedPageBreak/>
        <w:t>igual que lo apreciáramos en el recurso resuelto por la citada STC 1/2012, FJ 13, cabe concluir que no ha desaparecido la controversia competencial que está en la base del presente recurso de inconstitucionalidad, lo que exige que nos pronunciemos sobre si existe o no la extralimitación competencial denunciada.</w:t>
      </w:r>
    </w:p>
    <w:p w:rsidR="00D06117" w:rsidRDefault="00D06117" w:rsidP="00D06117">
      <w:pPr>
        <w:pStyle w:val="TextoNormal"/>
      </w:pPr>
    </w:p>
    <w:p w:rsidR="00D06117" w:rsidRDefault="00D06117" w:rsidP="00D06117">
      <w:pPr>
        <w:pStyle w:val="TextoNormal"/>
      </w:pPr>
      <w:r w:rsidRPr="00D06117">
        <w:rPr>
          <w:rStyle w:val="NumeroAFNegritaCaracter"/>
        </w:rPr>
        <w:t>4</w:t>
      </w:r>
      <w:r>
        <w:t>. Efectuada la precisión que antecede, y habida cuenta de que, conforme ha quedado expuesto, el Gobierno autonómico recurrente sostiene que los preceptos impugnados resultan contrarios al bloque de la constitucionalidad, por vulneración del art. 149.1.23 CE y de los arts. 13.4 y 15.1.7 del Estatuto de Autonomía para Andalucía de 1981 (EAAnd 1981), debemos pronunciarnos sobre la incidencia que haya podido tener en el presente proceso constitucional la reforma del Estatuto de Autonomía para Andalucía llevada a cabo por la Ley Orgánica 2/2007, de 19 de marzo, en la medida en que la misma haya afectado a las competencias asumidas por la Comunidad Autónoma andaluza que ésta considera vulneradas, esto es, a la competencia exclusiva en materia de “procedimiento administrativo derivado de las especialidades de la organización propia de la Comunidad Autónoma” (art. 13.4 EAAnd 1981) y a la competencia de desarrollo legislativo y ejecución, en el marco de la regulación general del Estado, en materia de “medio ambiente” (art. 15.1.7 EAAnd 1981).</w:t>
      </w:r>
    </w:p>
    <w:p w:rsidR="00D06117" w:rsidRDefault="00D06117" w:rsidP="00D06117">
      <w:pPr>
        <w:pStyle w:val="TextoNormal"/>
      </w:pPr>
    </w:p>
    <w:p w:rsidR="00D06117" w:rsidRDefault="00D06117" w:rsidP="00D06117">
      <w:pPr>
        <w:pStyle w:val="TextoNormal"/>
      </w:pPr>
      <w:r>
        <w:t>Resulta aplicable al respecto nuestra reiterada doctrina sobre el ius superveniens, según la cual el control de las normas que incurren en un posible exceso competencial debe hacerse de acuerdo con las normas del bloque de la constitucionalidad vigentes en el momento de dictar Sentencia (por todas, STC 1/2011, de 14 de febrero, FJ 2 y doctrina allí citada), lo cual debe llevarnos a analizar la constitucionalidad de los preceptos legales impugnados a la luz de la delimitación de competencias que se deriva de la mencionada reforma del Estatuto de Autonomía para Andalucía (EAAnd 2007).</w:t>
      </w:r>
    </w:p>
    <w:p w:rsidR="00D06117" w:rsidRDefault="00D06117" w:rsidP="00D06117">
      <w:pPr>
        <w:pStyle w:val="TextoNormal"/>
      </w:pPr>
    </w:p>
    <w:p w:rsidR="00D06117" w:rsidRDefault="00D06117" w:rsidP="00D06117">
      <w:pPr>
        <w:pStyle w:val="TextoNormal"/>
      </w:pPr>
      <w:r>
        <w:t>En este sentido el art. 47.1.1 EAAnd 2007 atribuye a la Comunidad Autónoma de Andalucía competencia exclusiva, entre otros aspectos, en materia de “procedimiento administrativo derivado de las especialidades de la organización propia de la Comunidad Autónoma”, en los mismos términos, por tanto, que el art. 13.4 EAA 1981.</w:t>
      </w:r>
    </w:p>
    <w:p w:rsidR="00D06117" w:rsidRDefault="00D06117" w:rsidP="00D06117">
      <w:pPr>
        <w:pStyle w:val="TextoNormal"/>
      </w:pPr>
    </w:p>
    <w:p w:rsidR="00D06117" w:rsidRDefault="00D06117" w:rsidP="00D06117">
      <w:pPr>
        <w:pStyle w:val="TextoNormal"/>
      </w:pPr>
      <w:r>
        <w:t>A su vez, el art. 57.1 g) EAAnd 2007 atribuye a la Comunidad Autónoma de Andalucía “la competencia exclusiva, sin perjuicio de lo dispuesto en el artículo 149.1.23 de la Constitución”, en materia de “prevención ambiental”; y el art. 57.3 EAAnd 2007 atribuye a la Comunidad Autónoma de Andalucía “la competencia compartida”, entre otros aspectos, “en relación con el establecimiento y la regulación de los instrumentos de planificación ambiental y del procedimiento de tramitación y aprobación de estos instrumentos”.</w:t>
      </w:r>
    </w:p>
    <w:p w:rsidR="00D06117" w:rsidRDefault="00D06117" w:rsidP="00D06117">
      <w:pPr>
        <w:pStyle w:val="TextoNormal"/>
      </w:pPr>
    </w:p>
    <w:p w:rsidR="00D06117" w:rsidRDefault="00D06117" w:rsidP="00D06117">
      <w:pPr>
        <w:pStyle w:val="TextoNormal"/>
      </w:pPr>
      <w:r>
        <w:t xml:space="preserve">Con respecto a la competencia exclusiva establecida en el 57.1 g) EAAnd 2007, cabe advertir que lo es, según el propio precepto se cuida de precisar, sin perjuicio de lo dispuesto en el art. 149.1.23 CE, esto es, de la competencia exclusiva del Estado para dictar legislación básica sobre protección del medio ambiente. Al respecto es obligado recordar nuestra doctrina, conforme a la cual “la atribución por el Estatuto de competencias exclusivas sobre una materia … no puede afectar a las competencias (o potestades o funciones dentro de las mismas) sobre las materias o submaterias reservadas al Estado …, que se proyectarán, cuando corresponda, sobre las competencias exclusivas autonómicas con el alcance que les haya otorgado el legislador estatal con plena libertad de configuración, sin necesidad de que el </w:t>
      </w:r>
      <w:r>
        <w:lastRenderedPageBreak/>
        <w:t>Estatuto incluya cláusulas de salvaguardia de las competencias estatales” (STC 31/2010, de 28 de junio, FFJJ 59 y 64).</w:t>
      </w:r>
    </w:p>
    <w:p w:rsidR="00D06117" w:rsidRDefault="00D06117" w:rsidP="00D06117">
      <w:pPr>
        <w:pStyle w:val="TextoNormal"/>
      </w:pPr>
    </w:p>
    <w:p w:rsidR="00D06117" w:rsidRDefault="00D06117" w:rsidP="00D06117">
      <w:pPr>
        <w:pStyle w:val="TextoNormal"/>
      </w:pPr>
      <w:r>
        <w:t>En cuanto a la competencia compartida enunciada en el art. 57.3 EAAnd 2007 (que comprende, de conformidad con el art. 42.22 EAAnd 2007, la potestad legislativa, la potestad reglamentaria y la función ejecutiva, en el marco de las bases que fije el Estado), es asimismo obligado recordar que, conforme a nuestra doctrina, “la atribución estatutaria de competencias … compartidas con el Estado según el criterio bases/desarrollo … no impedirá que las bases estatales configuren con plena libertad las distintas materias y submaterias de un mismo sector material, de suerte que cuando así sea la exclusividad respecto de tales materias y submaterias eventualmente proclamada por el Estatuto lo será impropiamente, sin cercenar ni menoscabar la proyección de la competencia exclusiva estatal sobre las bases de dichas materias o submaterias. En fin, es obvio que la atribución [estatutaria] … de competencias de ejecución tampoco puede impedir el completo despliegue de las competencias normativas, legislativas y reglamentarias, del Estado” (STC 31/2010, FJ 64).</w:t>
      </w:r>
    </w:p>
    <w:p w:rsidR="00D06117" w:rsidRDefault="00D06117" w:rsidP="00D06117">
      <w:pPr>
        <w:pStyle w:val="TextoNormal"/>
      </w:pPr>
    </w:p>
    <w:p w:rsidR="00D06117" w:rsidRDefault="00D06117" w:rsidP="00D06117">
      <w:pPr>
        <w:pStyle w:val="TextoNormal"/>
      </w:pPr>
      <w:r>
        <w:t>A la luz de esta doctrina es posible entender que la atribución de competencias del EAAnd 2007 en materia de protección del medio ambiente no plantea cambios sustanciales con respecto a las aducidas en el momento de interponerse el presente recurso de inconstitucionalidad por el Gobierno andaluz, pues, conforme a los arts. 149.1.23 CE y 15.1.7 EAAnd 1981, a la Comunidad Autónoma de Andalucía correspondía el desarrollo legislativo y la ejecución en materia de “medio ambiente”, en el marco de la legislación básica del Estado, como ya se expuso.</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procede que pasemos ya al enjuiciamiento de los preceptos impugnados por el Consejo de Gobierno de la Junta de Andalucía, para lo cual habremos de partir de lo afirmado en la citada STC 1/2012, FJ 14, que se remite a su vez a la doctrina sentada en las SSTC 13/1998, de 22 de enero, y 101/2006, de 30 de marzo, y que resuelve el recurso de inconstitucionalidad suscitado contra el artículo único, cardinales 1, 2 y 3, del Real Decreto-ley 9/2000, de 6 de octubre, de modificación del Real Decreto Legislativo 1302/1986, de 28 de junio, de evaluación de impacto ambiental (en cuanto modifica los arts. 5 y 7 e introduce unas disposiciones adicional tercera y final tercera en aquel real decreto legislativo), toda vez que la Ley 6/2001, de 8 de mayo, de modificación del Real Decreto Legislativo 1302/1986, es consecuencia de la convalidación del Real Decreto-ley 9/2000 y de su ulterior tramitación como ley por el procedimiento de urgencia (art. 86.2 y 3 CE).</w:t>
      </w:r>
    </w:p>
    <w:p w:rsidR="00D06117" w:rsidRDefault="00D06117" w:rsidP="00D06117">
      <w:pPr>
        <w:pStyle w:val="TextoNormal"/>
      </w:pPr>
    </w:p>
    <w:p w:rsidR="00D06117" w:rsidRDefault="00D06117" w:rsidP="00D06117">
      <w:pPr>
        <w:pStyle w:val="TextoNormal"/>
      </w:pPr>
      <w:r>
        <w:t>En efecto, el artículo único, cardinales 1 y 2, de la Ley 6/2001 (que da nueva redacción a los arts. 5 y 7 e introduce una nueva disposición final tercera en el Real Decreto Legislativo 1302/1986), reproduce literalmente lo dispuesto en el artículo único, cardinales 1 y 3, del Real Decreto-ley 9/2000, también impugnado ante este Tribunal por la Junta de Andalucía en el recurso de inconstitucionalidad núm. 71-2001, como ya se dijo, tanto por razones formales (supuesta vulneración de los límites impuestos por el art. 86.1 CE, extremo en el cual la STC 1/2012 estima parcialmente el recurso), como materiales o sustantivas (supuesta vulneración del orden constitucional de distribución de competencias), coincidentes estas últimas con las que se aducen en el presente recurso, y ya rechazadas en aquel caso por la citada STC 1/2012, con cita de la doctrina fijada en las SSTC 13/1998 y 101/2006, como queda dicho.</w:t>
      </w:r>
    </w:p>
    <w:p w:rsidR="00D06117" w:rsidRDefault="00D06117" w:rsidP="00D06117">
      <w:pPr>
        <w:pStyle w:val="TextoNormal"/>
      </w:pPr>
    </w:p>
    <w:p w:rsidR="00D06117" w:rsidRDefault="00D06117" w:rsidP="00D06117">
      <w:pPr>
        <w:pStyle w:val="TextoNormal"/>
      </w:pPr>
      <w:r>
        <w:lastRenderedPageBreak/>
        <w:t>Comenzando nuestro examen por el apartado uno del artículo único de la Ley 6/2001, que da nueva redacción a los arts. 5 y 7 del Real Decreto Legislativo 1302/1986, cabe advertir, como ya afirmamos en la STC 1/2012, FJ 14, la coincidencia existente entre los argumentos que sustentan en el presente caso la impugnación del art. 5 del Real Decreto Legislativo 1302/1986 y la controversia suscitada, primero, en el conflicto positivo de competencia promovido por el Gobierno Vasco contra el Real Decreto 1131/1988, de 30 de septiembre, por el que se aprobó el Reglamento para la ejecución del citado Real Decreto Legislativo 1302/1986, conflicto resuelto por la STC 13/1998, de 22 de enero; y, segundo, en el recurso de inconstitucionalidad 2870-1998 interpuesto por el Presidente del Gobierno en relación con la Ley del Parlamento Vasco 3/1998, de 27 de febrero, general de protección del medio ambiente del País Vasco, recurso resuelto por la STC 101/2006, de 30 de marzo.</w:t>
      </w:r>
    </w:p>
    <w:p w:rsidR="00D06117" w:rsidRDefault="00D06117" w:rsidP="00D06117">
      <w:pPr>
        <w:pStyle w:val="TextoNormal"/>
      </w:pPr>
    </w:p>
    <w:p w:rsidR="00D06117" w:rsidRDefault="00D06117" w:rsidP="00D06117">
      <w:pPr>
        <w:pStyle w:val="TextoNormal"/>
      </w:pPr>
      <w:r>
        <w:t>Precisamente en la STC 101/2006, además de resaltar que se trataba de una controversia que para entonces ya estaba resuelta por la STC 13/1998, y antes de recordar los criterios que configuraron su ratio decidendi, declaramos que tales criterios “han sido ya expresamente asumidos por el legislador, que en la exposición de motivos de la Ley 6/2001, de 8 de mayo, que modifica el Real Decreto Legislativo 1302/1986, de 28 de junio, de evaluación de impacto ambiental, subraya que ‘se incluyen en el art. 5 del Real Decreto Legislativo los cambios necesarios para adaptar la legislación estatal a los criterios recogidos en la Sentencia del Tribunal Constitucional de 22 de enero de 1998’”, y a continuación reprodujimos el texto completo de dicho precepto (STC 101/2006, FJ 4).</w:t>
      </w:r>
    </w:p>
    <w:p w:rsidR="00D06117" w:rsidRDefault="00D06117" w:rsidP="00D06117">
      <w:pPr>
        <w:pStyle w:val="TextoNormal"/>
      </w:pPr>
    </w:p>
    <w:p w:rsidR="00D06117" w:rsidRDefault="00D06117" w:rsidP="00D06117">
      <w:pPr>
        <w:pStyle w:val="TextoNormal"/>
      </w:pPr>
      <w:r>
        <w:t>Por otra parte, en el presente recurso se impugna también el art. 7 del Real Decreto Legislativo 1302/1986 en la medida en que, interpretado en conjunción con el art. 5, permite atribuir a la Administración general del Estado la competencia para el “seguimiento y vigilancia del cumplimiento de la declaración de impacto”.</w:t>
      </w:r>
    </w:p>
    <w:p w:rsidR="00D06117" w:rsidRDefault="00D06117" w:rsidP="00D06117">
      <w:pPr>
        <w:pStyle w:val="TextoNormal"/>
      </w:pPr>
    </w:p>
    <w:p w:rsidR="00D06117" w:rsidRDefault="00D06117" w:rsidP="00D06117">
      <w:pPr>
        <w:pStyle w:val="TextoNormal"/>
      </w:pPr>
      <w:r>
        <w:t>Pues bien, como también hemos recordado en la STC 1/2012, FJ 14, las citadas SSTC 13/1998 y 101/2006 ya concluyeron que no era inconstitucional la atribución al Estado de la competencia de evaluación de impacto ambiental respecto a los proyectos que deban ser autorizados o aprobados por la Administración general del Estado, por cuanto que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(STC 13/1998, FJ 8). Por tanto, toda vez que los argumentos aducidos por el Consejo de Gobierno de la Junta de Andalucía para sostener la inconstitucionalidad de los arts. 5 y 7 del Real Decreto Legislativo 1302/1986 en la redacción dada por el apartado uno del artículo único de la Ley 6/2001 son esencialmente los mismos que los que ya fueron objeto de análisis y rechazo en las citadas Sentencias, nos remitimos ahora para su desestimación a lo expuesto en los fundamentos jurídicos 7 y 8 de la STC 13/1998 y 4 y 5 de la STC 101/2006.</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Por último, y en los mismos términos que lo hicimos en la STC 1/2012, FJ 15, respecto de la impugnación del apartado tres del artículo único del Real Decreto-ley 9/2000, ha de desestimarse también el presente recurso en lo relativo a la impugnación del apartado dos del artículo único de la Ley 6/2001, que introduce una disposición final tercera en el Real Decreto Legislativo 1302/1986 (de idéntico tenor a la que antes introdujera el apartado tres del artículo único del Real Decreto-ley 9/2000), conforme a la cual “[e]ste Real Decreto </w:t>
      </w:r>
      <w:r>
        <w:lastRenderedPageBreak/>
        <w:t>Legislativo tiene el carácter de legislación básica de protección del medio ambiente al amparo de lo dispuesto en el artículo 149.1.23 de la Constitución”.</w:t>
      </w:r>
    </w:p>
    <w:p w:rsidR="00D06117" w:rsidRDefault="00D06117" w:rsidP="00D06117">
      <w:pPr>
        <w:pStyle w:val="TextoNormal"/>
      </w:pPr>
    </w:p>
    <w:p w:rsidR="00D06117" w:rsidRDefault="00D06117" w:rsidP="00D06117">
      <w:pPr>
        <w:pStyle w:val="TextoNormal"/>
      </w:pPr>
      <w:r>
        <w:t>Como el propio Gobierno autonómico recurrente viene a reconocer en sus alegaciones, esta impugnación, fundada en que los preceptos recurridos no han quedado excluidos de la calificación como norma básica que se predica genéricamente del conjunto del Real Decreto Legislativo 1302/1986, no es autónoma, sino que se encuentra vinculada a la impugnación concreta de dichos preceptos. En consecuencia, hemos de concluir que el reproche que se formula a la citada disposición final tercera del Real Decreto Legislativo 1302/1986 ha sido ya respondido en el fundamento jurídico precedente, mediante remisión a lo razonado en las SSTC 13/1998, FFJJ 7 y 8, y 101/2006, FFJJ 4 y 5.</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recurso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quince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8" w:name="SENTENCIA_2012_35"/>
      <w:r>
        <w:lastRenderedPageBreak/>
        <w:t>SENTENCIA 35/2012, de 15 de marzo de 2012</w:t>
      </w:r>
    </w:p>
    <w:bookmarkEnd w:id="3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ECLI:ES:TC:2012:35</w:t>
      </w:r>
    </w:p>
    <w:p w:rsidR="00D06117" w:rsidRDefault="00D06117" w:rsidP="00D06117">
      <w:pPr>
        <w:pStyle w:val="SntesisDescriptiva"/>
      </w:pPr>
    </w:p>
    <w:p w:rsidR="00D06117" w:rsidRDefault="00D06117" w:rsidP="00D06117">
      <w:pPr>
        <w:pStyle w:val="SntesisDescriptiva"/>
      </w:pPr>
      <w:r>
        <w:t>Recurso de inconstitucionalidad 1847-2002. Interpuesto por el Gobierno de la Generalitat de Cataluña en relación con el art. 24 y la disposición adicional vigésima de la Ley 24/2001, de 27 de diciembre, de medidas fiscales, administrativas y del orden social.</w:t>
      </w:r>
    </w:p>
    <w:p w:rsidR="00D06117" w:rsidRDefault="00D06117" w:rsidP="00D06117">
      <w:pPr>
        <w:pStyle w:val="SntesisDescriptiva"/>
      </w:pPr>
    </w:p>
    <w:p w:rsidR="00D06117" w:rsidRDefault="00D06117" w:rsidP="00D06117">
      <w:pPr>
        <w:pStyle w:val="SntesisAnaltica"/>
      </w:pPr>
      <w:r>
        <w:t>Distribución de competencias en materia de juego: inconstitucionalidad de la atribución al Estado de la competencia para autorizar los juegos que excedan los límites de una Comunidad Autónoma sin abarcar a la totalidad del territorio nacional.</w:t>
      </w:r>
    </w:p>
    <w:p w:rsidR="00D06117" w:rsidRDefault="00D06117" w:rsidP="00D06117">
      <w:pPr>
        <w:pStyle w:val="SntesisAnaltica"/>
      </w:pPr>
    </w:p>
    <w:p w:rsidR="00D06117" w:rsidRDefault="00D06117" w:rsidP="00D06117">
      <w:pPr>
        <w:pStyle w:val="Extracto"/>
      </w:pPr>
      <w:r>
        <w:t>1.</w:t>
      </w:r>
      <w:r>
        <w:tab/>
        <w:t>La materia de juego es de competencia exclusiva de las Comunidades Autónomas en su ámbito territorial sin perjuicio de las competencias del Estado cuando su ámbito sea nacional [FJ 5].</w:t>
      </w:r>
    </w:p>
    <w:p w:rsidR="00D06117" w:rsidRDefault="00D06117" w:rsidP="00D06117">
      <w:pPr>
        <w:pStyle w:val="Extracto"/>
      </w:pPr>
    </w:p>
    <w:p w:rsidR="00D06117" w:rsidRDefault="00D06117" w:rsidP="00D06117">
      <w:pPr>
        <w:pStyle w:val="Extracto"/>
      </w:pPr>
      <w:r>
        <w:t>2.</w:t>
      </w:r>
      <w:r>
        <w:tab/>
        <w:t>Doctrina sobre la utilización de la supraterritorialidad como criterio de atribución de competencias en materia de juego y apuestas, cuyo ámbito sea nacional o superior al de una Comunidad Autónoma, por el Estado (SSTC 102/1995, 194/2011) [FJ 5].</w:t>
      </w:r>
    </w:p>
    <w:p w:rsidR="00D06117" w:rsidRDefault="00D06117" w:rsidP="00D06117">
      <w:pPr>
        <w:pStyle w:val="Extracto"/>
      </w:pPr>
    </w:p>
    <w:p w:rsidR="00D06117" w:rsidRDefault="00D06117" w:rsidP="00D06117">
      <w:pPr>
        <w:pStyle w:val="Extracto"/>
      </w:pPr>
      <w:r>
        <w:t>3.</w:t>
      </w:r>
      <w:r>
        <w:tab/>
        <w:t>La competencia para la creación y regulación de las tasas se encuentra estrechamente ligada a la competencia material sobre la actividad o servicio gravado, lo que no puede trasladarse a los impuestos del Estado (SSTC 37/1981, 204/2002) [FJ 6].</w:t>
      </w:r>
    </w:p>
    <w:p w:rsidR="00D06117" w:rsidRDefault="00D06117" w:rsidP="00D06117">
      <w:pPr>
        <w:pStyle w:val="Extracto"/>
      </w:pPr>
    </w:p>
    <w:p w:rsidR="00D06117" w:rsidRDefault="00D06117" w:rsidP="00D06117">
      <w:pPr>
        <w:pStyle w:val="Extracto"/>
      </w:pPr>
      <w:r>
        <w:t>4.</w:t>
      </w:r>
      <w:r>
        <w:tab/>
        <w:t xml:space="preserve">Todas las figuras tributarias incluidas en las tasas sobre rifas tienen naturaleza de “impuesto”, a pesar de su </w:t>
      </w:r>
      <w:r w:rsidRPr="00D06117">
        <w:rPr>
          <w:i/>
        </w:rPr>
        <w:t>nomen iuris</w:t>
      </w:r>
      <w:r>
        <w:t>, y no de “tasa”, ya que con dichos tributos no se pretende la contraprestación proporcional del coste de actividades o servicios en régimen de Derecho público, sino gravar la organización de determinados juegos de azar en atención al rendimiento esperado (STC 296/1994) [FJ 6].</w:t>
      </w:r>
    </w:p>
    <w:p w:rsidR="00D06117" w:rsidRDefault="00D06117" w:rsidP="00D06117">
      <w:pPr>
        <w:pStyle w:val="Extracto"/>
      </w:pPr>
    </w:p>
    <w:p w:rsidR="00D06117" w:rsidRDefault="00D06117" w:rsidP="00D06117">
      <w:pPr>
        <w:pStyle w:val="Extracto"/>
      </w:pPr>
      <w:r>
        <w:t>5.</w:t>
      </w:r>
      <w:r>
        <w:tab/>
        <w:t>Teniendo las tasas sobre rifas naturaleza impositiva, el criterio que ha de servir para dilucidar el reparto de poder tributario debe ser el aplicable, con carácter general, al establecimiento y regulación de impuestos [FJ 6].</w:t>
      </w:r>
    </w:p>
    <w:p w:rsidR="00D06117" w:rsidRDefault="00D06117" w:rsidP="00D06117">
      <w:pPr>
        <w:pStyle w:val="Extracto"/>
      </w:pPr>
    </w:p>
    <w:p w:rsidR="00D06117" w:rsidRDefault="00D06117" w:rsidP="00D06117">
      <w:pPr>
        <w:pStyle w:val="Extracto"/>
      </w:pPr>
      <w:r>
        <w:t>6.</w:t>
      </w:r>
      <w:r>
        <w:tab/>
        <w:t>El hecho de que la materia de juego sea de competencia exclusiva de las Comunidades Autónomas en sus respectivos territorios debe ser deslindado del ámbito competencial en materia tributaria [FJ 6].</w:t>
      </w:r>
    </w:p>
    <w:p w:rsidR="00D06117" w:rsidRDefault="00D06117" w:rsidP="00D06117">
      <w:pPr>
        <w:pStyle w:val="Extracto"/>
      </w:pPr>
    </w:p>
    <w:p w:rsidR="00D06117" w:rsidRDefault="00D06117" w:rsidP="00D06117">
      <w:pPr>
        <w:pStyle w:val="Extracto"/>
      </w:pPr>
      <w:r>
        <w:t>7.</w:t>
      </w:r>
      <w:r>
        <w:tab/>
        <w:t xml:space="preserve">Siendo las tasas sobre rifas impuestos cedidos, la competencia para establecerlos y regularlos corresponde al Estado </w:t>
      </w:r>
      <w:r w:rsidRPr="00D06117">
        <w:rPr>
          <w:i/>
        </w:rPr>
        <w:t>ex</w:t>
      </w:r>
      <w:r>
        <w:t xml:space="preserve"> arts. 133.1 y 149.1.14 CE, formando parte de la libertad de configuración del legislador estatal la regulación de su hecho imponible (SSTC 192/2000, 72/2003) [FJ 7].</w:t>
      </w:r>
    </w:p>
    <w:p w:rsidR="00D06117" w:rsidRDefault="00D06117" w:rsidP="00D06117">
      <w:pPr>
        <w:pStyle w:val="Extracto"/>
      </w:pPr>
    </w:p>
    <w:p w:rsidR="00D06117" w:rsidRDefault="00D06117" w:rsidP="00D06117">
      <w:pPr>
        <w:pStyle w:val="Extracto"/>
      </w:pPr>
      <w:r>
        <w:lastRenderedPageBreak/>
        <w:t>8.</w:t>
      </w:r>
      <w:r>
        <w:tab/>
        <w:t>La norma que establece el marco general de cesión del tributo está dirigida a ampliar el alcance y condiciones de los tributos cedidos, ampliando sustancialmente las facultades normativas de las Comunidades Autónomas sobre éstos, por lo que no persiguiendo la desapoderación a las Comunidades Autónomas de este tributo y tampoco la merma recaudatoria autonómica, debe desestimarse la queja de inconstitucionalidad [FJ 8].</w:t>
      </w:r>
    </w:p>
    <w:p w:rsidR="00D06117" w:rsidRDefault="00D06117" w:rsidP="00D06117">
      <w:pPr>
        <w:pStyle w:val="Extracto"/>
      </w:pPr>
    </w:p>
    <w:p w:rsidR="00D06117" w:rsidRDefault="00D06117" w:rsidP="00D06117">
      <w:pPr>
        <w:pStyle w:val="Extracto"/>
      </w:pPr>
      <w:r>
        <w:t>9.</w:t>
      </w:r>
      <w:r>
        <w:tab/>
        <w:t>La reforma de la tasa sobre rifas no supuso alteración alguna en el alcance y condiciones de cesión de este tributo, no siendo por ello preciso el acuerdo en comisión mixta, pudiendo el Estado realizar la modificación de la cesión de manera unilateral [FJ 9].</w:t>
      </w:r>
    </w:p>
    <w:p w:rsidR="00D06117" w:rsidRDefault="00D06117" w:rsidP="00D06117">
      <w:pPr>
        <w:pStyle w:val="Extracto"/>
      </w:pPr>
    </w:p>
    <w:p w:rsidR="00D06117" w:rsidRDefault="00D06117" w:rsidP="00D06117">
      <w:pPr>
        <w:pStyle w:val="Extracto"/>
      </w:pPr>
      <w:r>
        <w:t>10.</w:t>
      </w:r>
      <w:r>
        <w:tab/>
        <w:t>Doctrina sobre impuestos cedidos (SSTC 137/1986, 16/2003) [FJ 9].</w:t>
      </w:r>
    </w:p>
    <w:p w:rsidR="00D06117" w:rsidRDefault="00D06117" w:rsidP="00D06117">
      <w:pPr>
        <w:pStyle w:val="Extracto"/>
      </w:pPr>
    </w:p>
    <w:p w:rsidR="00D06117" w:rsidRDefault="00D06117" w:rsidP="00D06117">
      <w:pPr>
        <w:pStyle w:val="Extracto"/>
      </w:pPr>
      <w:r>
        <w:t>11.</w:t>
      </w:r>
      <w:r>
        <w:tab/>
        <w:t>Los preceptos impugnados intentan establecer un equilibrio entre tributación del juego presencial y juego on-line, cuyo acierto técnico no procede enjuiciar aquí, más que para determinar si supone una invasión del ámbito competencial autonómico, y en concreto un desapoderamiento del tributo, algo que no ha sido constatado [FJ 10].</w:t>
      </w:r>
    </w:p>
    <w:p w:rsidR="00D06117" w:rsidRDefault="00D06117" w:rsidP="00D06117">
      <w:pPr>
        <w:pStyle w:val="Extracto"/>
      </w:pPr>
    </w:p>
    <w:p w:rsidR="00D06117" w:rsidRDefault="00D06117" w:rsidP="00D06117">
      <w:pPr>
        <w:pStyle w:val="Extracto"/>
      </w:pPr>
      <w:r>
        <w:t>12.</w:t>
      </w:r>
      <w:r>
        <w:tab/>
        <w:t>No hay datos suficientes en la demanda para concluir que la utilización de medios informáticos y telemáticos propiciarían que el tributo fuera en la práctica recaudado por el Estado, por lo que aceptar esta tacha conduciría a llevar a cabo un pronunciamiento preventivo, algo que hemos rechazado de forma reiterada (STC 204/2011) [FJ 10].</w:t>
      </w:r>
    </w:p>
    <w:p w:rsidR="00D06117" w:rsidRDefault="00D06117" w:rsidP="00D06117">
      <w:pPr>
        <w:pStyle w:val="Extracto"/>
      </w:pPr>
    </w:p>
    <w:p w:rsidR="00D06117" w:rsidRDefault="00D06117" w:rsidP="00D06117">
      <w:pPr>
        <w:pStyle w:val="Extracto"/>
      </w:pPr>
      <w:r>
        <w:t>13.</w:t>
      </w:r>
      <w:r>
        <w:tab/>
        <w:t xml:space="preserve">Corresponde al Estado </w:t>
      </w:r>
      <w:r w:rsidRPr="00D06117">
        <w:rPr>
          <w:i/>
        </w:rPr>
        <w:t>ex</w:t>
      </w:r>
      <w:r>
        <w:t xml:space="preserve"> art. 149.1.14, en razón de su naturaleza de fuente de la Hacienda estatal, la competencia material sobre el juego de ámbito nacional (STC 171/1998) [FJ 4].</w:t>
      </w:r>
    </w:p>
    <w:p w:rsidR="00D06117" w:rsidRDefault="00D06117" w:rsidP="00D06117">
      <w:pPr>
        <w:pStyle w:val="Extracto"/>
      </w:pPr>
    </w:p>
    <w:p w:rsidR="00D06117" w:rsidRDefault="00D06117" w:rsidP="00D06117">
      <w:pPr>
        <w:pStyle w:val="Extracto"/>
      </w:pPr>
      <w:r>
        <w:t>14.</w:t>
      </w:r>
      <w:r>
        <w:tab/>
        <w:t>Doctrina sobre el marco competencial en materia de juego y apuestas (SSTC 163/1994, 31/2010) [FJ 4].</w:t>
      </w:r>
    </w:p>
    <w:p w:rsidR="00D06117" w:rsidRDefault="00D06117" w:rsidP="00D06117">
      <w:pPr>
        <w:pStyle w:val="Extracto"/>
      </w:pPr>
    </w:p>
    <w:p w:rsidR="00D06117" w:rsidRDefault="00D06117" w:rsidP="00D06117">
      <w:pPr>
        <w:pStyle w:val="Extracto"/>
      </w:pPr>
      <w:r>
        <w:t>15.</w:t>
      </w:r>
      <w:r>
        <w:tab/>
        <w:t>El orden de reparto competencial en materia de juego no es trasladable sin más al reparto de competencias tributarias entre el Estado y las Comunidades Autónomas, formando parte de estas últimas las tasas sobre rifas en su consideración como tributo cedido [FJ 4].</w:t>
      </w:r>
    </w:p>
    <w:p w:rsidR="00D06117" w:rsidRDefault="00D06117" w:rsidP="00D06117">
      <w:pPr>
        <w:pStyle w:val="Extracto"/>
      </w:pPr>
    </w:p>
    <w:p w:rsidR="00D06117" w:rsidRDefault="00D06117" w:rsidP="00D06117">
      <w:pPr>
        <w:pStyle w:val="Extracto"/>
      </w:pPr>
      <w:r>
        <w:t>16.</w:t>
      </w:r>
      <w:r>
        <w:tab/>
        <w:t>Doctrina sobre naturaleza jurídica de las tasas (SSTC 37/1981, 204/2002) [FJ 6].</w:t>
      </w:r>
    </w:p>
    <w:p w:rsidR="00D06117" w:rsidRDefault="00D06117" w:rsidP="00D06117">
      <w:pPr>
        <w:pStyle w:val="Extracto"/>
      </w:pPr>
    </w:p>
    <w:p w:rsidR="00D06117" w:rsidRDefault="00D06117" w:rsidP="00D06117">
      <w:pPr>
        <w:pStyle w:val="Extracto"/>
      </w:pPr>
      <w:r>
        <w:t>17.</w:t>
      </w:r>
      <w:r>
        <w:tab/>
        <w:t>Doctrina sobre la pervivencia del objeto pese a los efectos de la pérdida sobrevenida de la vigencia del precepto legal impugnado en los recursos de inconstitucionalidad de índole competencial (SSTC 204/2011, 1/2012) [FFJJ 2, 7].</w:t>
      </w:r>
    </w:p>
    <w:p w:rsidR="00D06117" w:rsidRDefault="00D06117" w:rsidP="00D06117">
      <w:pPr>
        <w:pStyle w:val="Extracto"/>
      </w:pPr>
    </w:p>
    <w:p w:rsidR="00D06117" w:rsidRDefault="00D06117" w:rsidP="00D06117">
      <w:pPr>
        <w:pStyle w:val="Extracto"/>
      </w:pPr>
      <w:r>
        <w:t>18.</w:t>
      </w:r>
      <w:r>
        <w:tab/>
        <w:t xml:space="preserve">Doctrina sobre el </w:t>
      </w:r>
      <w:r w:rsidRPr="00D06117">
        <w:rPr>
          <w:i/>
        </w:rPr>
        <w:t>ius superveniens</w:t>
      </w:r>
      <w:r>
        <w:t>, según la cual el control de las normas que incurren en un posible exceso competencial debe hacerse de acuerdo con las normas del bloque de la constitucionalidad vigentes en el momento de dictar Sentencia (STC 1/2011) [FJ 2].</w:t>
      </w:r>
    </w:p>
    <w:p w:rsidR="00D06117" w:rsidRDefault="00D06117" w:rsidP="00D06117">
      <w:pPr>
        <w:pStyle w:val="Extracto"/>
      </w:pPr>
    </w:p>
    <w:p w:rsidR="00D06117" w:rsidRDefault="00D06117" w:rsidP="00D06117">
      <w:pPr>
        <w:pStyle w:val="Extracto"/>
      </w:pPr>
      <w:r>
        <w:t>19.</w:t>
      </w:r>
      <w:r>
        <w:tab/>
        <w:t>Procede declarar la inconstitucionalidad del inciso “exceda de los límites de una concreta Comunidad Autónoma” de la disposición que atribuye al Estado la competencia sobre el juego de ámbito supra autonómico inferior al nacional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1847-2002, promovido por el Gobierno de la Generalitat de Cataluña contra el art. 24 y la disposición adicional vigésima de la Ley 24/2001, de 27 de diciembre, de medidas fiscales, administrativas y del orden social. Han comparecido y formulado alegaciones el Abogado del Estado y el Senado.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de este Tribunal el día 26 de marzo de 2002, el Letrado de la Generalitat de Cataluña, en la representación que legalmente ostenta, interpuso recurso de inconstitucionalidad contra el art. 24 y la disposición adicional vigésima de la Ley 24/2001, de 27 de diciembre, de medidas fiscales, administrativas y del orden social (en adelante, Ley 24/2001).</w:t>
      </w:r>
    </w:p>
    <w:p w:rsidR="00D06117" w:rsidRDefault="00D06117" w:rsidP="00D06117">
      <w:pPr>
        <w:pStyle w:val="TextoNormal"/>
      </w:pPr>
    </w:p>
    <w:p w:rsidR="00D06117" w:rsidRDefault="00D06117" w:rsidP="00D06117">
      <w:pPr>
        <w:pStyle w:val="TextoNormal"/>
      </w:pPr>
      <w:r>
        <w:t>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El Letrado de la Comunidad Autónoma comienza su alegato con una consideración inicial sobre la ley impugnada, conocida comúnmente como “ley de acompañamiento” de la ley de presupuestos del Estado, y que a su juicio entraña una profunda modificación con carácter indefinido del ordenamiento legal en materias y sectores de la actividad pública que son ajenos a lo que cabría entender como temas de política económica. En este caso, la modificación no se limitaría a actualizar normas ya vigentes, sino que habría supuesto una redefinición del orden de distribución competencial, en cuanto a las facultades ejecutivas, entre el Estado y las Comunidades Autónomas “infringiendo con ello las previsiones constitucionales y estatutarias en la materia del juego y las apuestas”.</w:t>
      </w:r>
    </w:p>
    <w:p w:rsidR="00D06117" w:rsidRDefault="00D06117" w:rsidP="00D06117">
      <w:pPr>
        <w:pStyle w:val="TextoNormal"/>
      </w:pPr>
    </w:p>
    <w:p w:rsidR="00D06117" w:rsidRDefault="00D06117" w:rsidP="00D06117">
      <w:pPr>
        <w:pStyle w:val="TextoNormal"/>
      </w:pPr>
      <w:r>
        <w:lastRenderedPageBreak/>
        <w:t>Concretamente, la demanda se dirige contra la distribución de competencias en materia de juego que se desprende de los preceptos impugnados. Se señala que, ante la ausencia de cualquier referencia a los juegos de azar, apuestas y sorteos en el art. 149.1 CE, la cláusula residual del art. 149.3 CE permitió que las Comunidades Autónomas asumieran en sus respectivos Estatutos de Autonomía la plena competencia en dichas materias. En consecuencia, el art. 9.32 del Estatuto de Autonomía de Cataluña (EAC) —entonces vigente aprobado por Ley Orgánica 4/1979 de 18 de diciembre— atribuía a la Generalitat la competencia exclusiva en materia de casinos, juegos y apuestas, con la específica exclusión de las apuestas mutuas deportivo-benéficas, lo cual supone, de acuerdo con el art. 25.2 EAC, la asunción de facultades legislativas y reglamentarias, así como de funciones ejecutivas, incluida la inspección. De acuerdo con dicha distribución competencial, “en principio, no cabe aceptar que a los órganos del Estado se les atribuya la realización de funciones ejecutivas en materia de juego y apuestas, ya que esa competencia ha sido asumida estatutariamente por todas las Comunidades Autónomas”. Se cuestiona en particular la intervención normativa estatal en las apuestas, ya que éstas “no forman parte de la materia Hacienda general del Estado, al no hallarse vinculadas ni directa ni indirectamente a un monopolio estatal”. Se concluye que la norma estatal no es conforme al orden de competencias si, como sucedería en este caso, contiene “una injerencia o restricción de la competencia autonómica”.</w:t>
      </w:r>
    </w:p>
    <w:p w:rsidR="00D06117" w:rsidRDefault="00D06117" w:rsidP="00D06117">
      <w:pPr>
        <w:pStyle w:val="TextoNormal"/>
      </w:pPr>
    </w:p>
    <w:p w:rsidR="00D06117" w:rsidRDefault="00D06117" w:rsidP="00D06117">
      <w:pPr>
        <w:pStyle w:val="TextoNormal"/>
      </w:pPr>
      <w:r>
        <w:t>A partir de estas consideraciones generales sobre la distribución competencial en materia de juego, en el escrito se examinan los dos preceptos impugnados, que se reputan inconstitucionales, en primer lugar, por no respetar el citado orden de distribución competencial, y en segundo lugar, porque se habría llevado a cabo una alteración unilateral del hecho imponible de las tasas sobre el juego, alterando en consecuencia la financiación autonómica y causando una merma de recursos para la Generalitat de Cataluña.</w:t>
      </w:r>
    </w:p>
    <w:p w:rsidR="00D06117" w:rsidRDefault="00D06117" w:rsidP="00D06117">
      <w:pPr>
        <w:pStyle w:val="TextoNormal"/>
      </w:pPr>
    </w:p>
    <w:p w:rsidR="00D06117" w:rsidRDefault="00D06117" w:rsidP="00D06117">
      <w:pPr>
        <w:pStyle w:val="TextoNormal"/>
      </w:pPr>
      <w:r>
        <w:t>a) La primera tacha de inconstitucionalidad afectaría tanto al art. 24 como a la disposición adicional vigésima de la Ley 24/2001. El art. 24 modifica los arts. 36 y 38.2 y 4 del texto refundido de tasas fiscales, contenido en el Decreto 3059/1966, de 1 de diciembre, por el que se aprueba el texto refundido de tasas fiscales (en adelante, Decreto 3059/1966), preceptos ambos ubicados en el capítulo VI, que lleva por título “Tasas sobre Rifas, Tómbolas, Apuestas y Combinaciones aleatorias” (en adelante, tasas sobre rifas).</w:t>
      </w:r>
    </w:p>
    <w:p w:rsidR="00D06117" w:rsidRDefault="00D06117" w:rsidP="00D06117">
      <w:pPr>
        <w:pStyle w:val="TextoNormal"/>
      </w:pPr>
    </w:p>
    <w:p w:rsidR="00D06117" w:rsidRDefault="00D06117" w:rsidP="00D06117">
      <w:pPr>
        <w:pStyle w:val="TextoNormal"/>
      </w:pPr>
      <w:r>
        <w:t>La nueva redacción del art. 36 modifica el hecho imponible de las citadas tasas sobre rifas en dos sentidos; en primer lugar, se modifica el punto de conexión, de manera que la exigencia de las tasas se circunscribe a las rifas, tómbolas, apuestas y combinaciones aleatorias cuyo ámbito territorial sea nacional o superior al de una Comunidad Autónoma. En segundo lugar, se reforma el hecho imponible para incorporar una referencia explícita a los diferentes medios —manuales o telemáticos— que pueden facilitar la participación en estos juegos. La modificación del art. 38.2 y 4, que es reflejo de la anterior, afecta al sistema para la determinación de la base imponible de las tasas exigibles por las apuestas, que se adapta a la posibilidad de que se pueda participar mediante sistemas informáticos, permitiendo la inmediatez de la intervención con independencia de la distancia que pueda existir entre el lugar donde se encuentra el jugador y aquél donde se produce la rifa o apuesta. Finalmente, la disposición adicional vigésima de la Ley 24/2001 establece la competencia del Estado para la autorización de todo tipo de apuestas, cualquiera que sea el soporte de las mismas y siempre que su ámbito de desarrollo, aplicación, celebración o comercialización abarque el territorio nacional o exceda de los límites de una Comunidad Autónoma.</w:t>
      </w:r>
    </w:p>
    <w:p w:rsidR="00D06117" w:rsidRDefault="00D06117" w:rsidP="00D06117">
      <w:pPr>
        <w:pStyle w:val="TextoNormal"/>
      </w:pPr>
    </w:p>
    <w:p w:rsidR="00D06117" w:rsidRDefault="00D06117" w:rsidP="00D06117">
      <w:pPr>
        <w:pStyle w:val="TextoNormal"/>
      </w:pPr>
      <w:r>
        <w:t>A las anteriores modificaciones el Letrado imputa la vulneración del orden competencial en materia de juego, que implica la competencia exclusiva de las Comunidades Autónomas en esta materia, lo que tiene como consecuencia que el Estado sólo podrá regular actuaciones conectadas con esta materia cuando estén vinculadas al monopolio estatal de las loterías y por lo tanto, tengan incidencia en la hacienda general del Estado.</w:t>
      </w:r>
    </w:p>
    <w:p w:rsidR="00D06117" w:rsidRDefault="00D06117" w:rsidP="00D06117">
      <w:pPr>
        <w:pStyle w:val="TextoNormal"/>
      </w:pPr>
    </w:p>
    <w:p w:rsidR="00D06117" w:rsidRDefault="00D06117" w:rsidP="00D06117">
      <w:pPr>
        <w:pStyle w:val="TextoNormal"/>
      </w:pPr>
      <w:r>
        <w:t>Adicionalmente, se imputa a los dos preceptos impugnados el establecer como punto de conexión de la participación en rifas y apuestas el ámbito territorial que exceda de una Comunidad Autónoma, criterio de supraterritorialidad que desconocería dicho orden competencial, ya que de acuerdo con la STC 223/2000, FJ 11, cualquier efecto supraterritorial de una competencia no implica que ésta haya de revertir al Estado. Si bien éste es competente para fijar el punto de conexión (STC 72/1983, FJ 6), una vez que todas las Comunidades Autónomas han asumido competencias en materia de juego, el Estado no ostenta título competencial sobre la misma sobre la base de la extraterritorialidad.</w:t>
      </w:r>
    </w:p>
    <w:p w:rsidR="00D06117" w:rsidRDefault="00D06117" w:rsidP="00D06117">
      <w:pPr>
        <w:pStyle w:val="TextoNormal"/>
      </w:pPr>
    </w:p>
    <w:p w:rsidR="00D06117" w:rsidRDefault="00D06117" w:rsidP="00D06117">
      <w:pPr>
        <w:pStyle w:val="TextoNormal"/>
      </w:pPr>
      <w:r>
        <w:t>Ambos preceptos impugnados se reputan así inconstitucionales, tanto por incidir en la materia juego con extralimitación de la competencia estatal, como por fijar como punto de conexión el territorio que supere el ámbito de una sola Comunidad Autónoma.</w:t>
      </w:r>
    </w:p>
    <w:p w:rsidR="00D06117" w:rsidRDefault="00D06117" w:rsidP="00D06117">
      <w:pPr>
        <w:pStyle w:val="TextoNormal"/>
      </w:pPr>
    </w:p>
    <w:p w:rsidR="00D06117" w:rsidRDefault="00D06117" w:rsidP="00D06117">
      <w:pPr>
        <w:pStyle w:val="TextoNormal"/>
      </w:pPr>
      <w:r>
        <w:t>b) La segunda tacha de inconstitucionalidad se refiere a la alteración del hecho imponible que se habría producido tras la reforma del art. 36, y la introducción de la mención a las nuevas tecnologías en dicho artículo y en el art. 38. Ambas modificaciones habrían tenido como consecuencia que la Comunidad Autónoma se viera desapoderada, en la práctica, de dicho tributo. Además, teniendo en cuenta que se trata de un tributo cedido, habrían supuesto una alteración unilateral del alcance y condiciones de cesión, en contravención de lo dispuesto en el bloque de la constitucionalidad, que según afirma la recurrente en esta materia está formado, además de por la Ley Orgánica de financiación de las Comunidades Autónomas (LOFCA) y el Estatuto de Autonomía de Cataluña, por la Ley 14/1996, de 30 de diciembre, de cesión de tributos del Estado a las Comunidades Autónomas y de medidas fiscales complementarias (Ley 14/1996, en adelante) y la Ley 31/1997, de 4 de agosto, de modificación del régimen de cesión de tributos del Estado a la Generalitat de Cataluña y de fijación del alcance y condiciones de dicha cesión (Ley 31/1997, en adelante), que es una “ley marco” del art. 150.1 CE.</w:t>
      </w:r>
    </w:p>
    <w:p w:rsidR="00D06117" w:rsidRDefault="00D06117" w:rsidP="00D06117">
      <w:pPr>
        <w:pStyle w:val="TextoNormal"/>
      </w:pPr>
    </w:p>
    <w:p w:rsidR="00D06117" w:rsidRDefault="00D06117" w:rsidP="00D06117">
      <w:pPr>
        <w:pStyle w:val="TextoNormal"/>
      </w:pPr>
      <w:r>
        <w:t>En primer lugar, la modificación del hecho imponible regulado en el art. 36 del Decreto 3059/1966, que lleva a cabo el art. 24 de la Ley 24/2001, tiene como consecuencia el que las tasas sólo podrán referirse a los supuestos en que las mismas tengan un ámbito territorial de participación nacional o, en todo caso, superior al de una Comunidad Autónoma. Ello conduce —sostiene la recurrente— a la supresión de los ingresos tributarios por este concepto, al hacer imposible la recaudación de las tasas sobre el juego en el ámbito estrictamente autonómico. En consecuencia se aduce que “ha desaparecido el hecho imponible para las rifas o apuestas en que sólo se participe desde Cataluña ... como el Estado sólo ha cedido a la Generalitat los rendimientos de las actividades autorizadas en Cataluña, la Generalitat no percibirá ninguna cantidad por este concepto”.</w:t>
      </w:r>
    </w:p>
    <w:p w:rsidR="00D06117" w:rsidRDefault="00D06117" w:rsidP="00D06117">
      <w:pPr>
        <w:pStyle w:val="TextoNormal"/>
      </w:pPr>
    </w:p>
    <w:p w:rsidR="00D06117" w:rsidRDefault="00D06117" w:rsidP="00D06117">
      <w:pPr>
        <w:pStyle w:val="TextoNormal"/>
      </w:pPr>
      <w:r>
        <w:t xml:space="preserve">Además de la pérdida de recaudación, con la consiguiente merma de ingresos, esto supondría una modificación del alcance y condiciones de la cesión del tributo, que también </w:t>
      </w:r>
      <w:r>
        <w:lastRenderedPageBreak/>
        <w:t>sería contraria al bloque de la constitucionalidad, pues se habría llevado a cabo sin haber seguido el procedimiento establecido en la disposición adicional sexta EAC, apartado 1, letra g), que habría exigido la intervención de una Comisión mixta.</w:t>
      </w:r>
    </w:p>
    <w:p w:rsidR="00D06117" w:rsidRDefault="00D06117" w:rsidP="00D06117">
      <w:pPr>
        <w:pStyle w:val="TextoNormal"/>
      </w:pPr>
    </w:p>
    <w:p w:rsidR="00D06117" w:rsidRDefault="00D06117" w:rsidP="00D06117">
      <w:pPr>
        <w:pStyle w:val="TextoNormal"/>
      </w:pPr>
      <w:r>
        <w:t>En segundo lugar, la mención de los medios informáticos y telemáticos como medios de participación, a que se refieren los reformados arts. 36 y 38 del Decreto 3059/1966, conduce a que en muchos casos resulte un tributo a favor del Estado, resultado que además de ser contrario a la distribución competencial en materia de juego y apuestas, implica una alteración del sistema de financiación vigente, de manera que el Estado “no puede incidir artificiosamente en el sistema de delimitación competencial con la consecuencia de asignarse un rendimiento fiscal que no le corresponde, pues estaba cedido a favor de las Comunidades Autónomas”.</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7 de mayo de 2002 el Pleno del Tribunal acordó admitir a trámite el recurso de inconstitucionalidad promovido por el Gobierno de la Generalitat de Cataluña. Asimismo, acordó dar traslado de la demanda y documentos presentados, conforme al art. 34 de la Ley Orgánica del Tribunal Constitucional (LOTC), al Congreso de los Diputados y al Senado, por conducto de sus Presidentes, así como al Gobierno, a través del Ministro de Justicia, al objeto de que en el plazo de quince días pudieran personarse en el proceso y formular alegaciones. Por último, se acordó publicar la incoación del proceso en el “Boletín Oficial del Estado”.</w:t>
      </w:r>
    </w:p>
    <w:p w:rsidR="00D06117" w:rsidRDefault="00D06117" w:rsidP="00D06117">
      <w:pPr>
        <w:pStyle w:val="TextoNormal"/>
      </w:pPr>
    </w:p>
    <w:p w:rsidR="00D06117" w:rsidRDefault="00D06117" w:rsidP="00D06117">
      <w:pPr>
        <w:pStyle w:val="TextoNormal"/>
      </w:pPr>
      <w:r w:rsidRPr="00D06117">
        <w:rPr>
          <w:rStyle w:val="NumeroAFNegritaCaracter"/>
        </w:rPr>
        <w:t>3</w:t>
      </w:r>
      <w:r>
        <w:t>. El día 21 de mayo de 2002 el Abogado del Estado, en la representación que legalmente ostenta, se dirigió al Tribunal personándose en el proceso y solicitó una prórroga del plazo concedido por ocho días, para formular sus alegaciones.</w:t>
      </w:r>
    </w:p>
    <w:p w:rsidR="00D06117" w:rsidRDefault="00D06117" w:rsidP="00D06117">
      <w:pPr>
        <w:pStyle w:val="TextoNormal"/>
      </w:pPr>
    </w:p>
    <w:p w:rsidR="00D06117" w:rsidRDefault="00D06117" w:rsidP="00D06117">
      <w:pPr>
        <w:pStyle w:val="TextoNormal"/>
      </w:pPr>
      <w:r w:rsidRPr="00D06117">
        <w:rPr>
          <w:rStyle w:val="NumeroAFNegritaCaracter"/>
        </w:rPr>
        <w:t>4</w:t>
      </w:r>
      <w:r>
        <w:t>. Con fecha 21 de mayo de 2002 se registró escrito de la Presidenta de Congreso de los Diputados comunicando al Tribunal el acuerdo de la Mesa de la Cámara de no personarse en el proceso ni formular alegaciones.</w:t>
      </w:r>
    </w:p>
    <w:p w:rsidR="00D06117" w:rsidRDefault="00D06117" w:rsidP="00D06117">
      <w:pPr>
        <w:pStyle w:val="TextoNormal"/>
      </w:pPr>
    </w:p>
    <w:p w:rsidR="00D06117" w:rsidRDefault="00D06117" w:rsidP="00D06117">
      <w:pPr>
        <w:pStyle w:val="TextoNormal"/>
      </w:pPr>
      <w:r w:rsidRPr="00D06117">
        <w:rPr>
          <w:rStyle w:val="NumeroAFNegritaCaracter"/>
        </w:rPr>
        <w:t>5</w:t>
      </w:r>
      <w:r>
        <w:t>. El día 28 de mayo de 2002 la Sección Tercera acordó incorporar a las actuaciones el escrito del Abogado del Estado de 21 de mayo de 2002 y concederle la prórroga solicitada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Con fecha 31 de mayo de 2002 se registró el escrito mediante el cual el Letrado de las Cortes Generales, don Benigno Pendás García, actuando en representación y defensa del Senado, compareció ante el Tribunal en relación con el presente recurso de inconstitucionalidad 1847-2002, y de los recursos de inconstitucionalidad 1902-2002, promovido por el Consejo de Gobierno de la Junta de Andalucía, 1921-2002, promovido por el Consejo de Gobierno de la Junta de Comunidades de Castilla-La Mancha y 1937-2002, promovido por el Gobierno de Canarias, todos ellos relacionados con la Ley 24/2001, solicitando su acumulación, por estimar que se cumplen los requisitos contenidos en el art. 83 LOTC. Asimismo, solicitó a este Tribunal que se suspendiera el plazo concedido a la Cámara para formular alegaciones, lo que se justificaba en que, frente a la práctica reiterada de no formular alegaciones, se había producido un cambio de criterio por parte de la Mesa del Senado en lo que afectaba a estos recursos, si bien las reglas concernientes a plazos de convocatoria </w:t>
      </w:r>
      <w:r>
        <w:lastRenderedPageBreak/>
        <w:t>de los órganos del Senado habían llevado a que este cambio se manifestase estando ya muy avanzado el plazo fijado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7</w:t>
      </w:r>
      <w:r>
        <w:t>. El día 12 de junio de 2002 el Letrado de las Cortes Generales, en representación del Senado, presentó escrito en relación con los recursos de inconstitucionalidad 1847-2002, 1902-2002, 1921-2002, 1937-2002 y 1848-2002, mediante el que se solicitaba la acumulación a éstos del recurso 1848-2002, por tratarse de un proceso con objeto conexo. En relación con el mismo, el Letrado comunicó el acuerdo de la Mesa del Senado, en su reunión de 4 de junio de 2002, por el que se solicitaba que, en caso de ser dicho recurso objeto de acumulación, se dieran por reproducidas las alegaciones formuladas en el recurso 1390-1999, que se dirigió contra la Ley 50/1998, de medidas fiscales, administrativas y del orden social, añadiendo la condición de que “en los recursos en su caso acumulados se haga referencia a la supuesta vulneración de preceptos constitucionales y reglamentarios sobre procedimiento legislativo y competencias del Senado”.</w:t>
      </w:r>
    </w:p>
    <w:p w:rsidR="00D06117" w:rsidRDefault="00D06117" w:rsidP="00D06117">
      <w:pPr>
        <w:pStyle w:val="TextoNormal"/>
      </w:pPr>
    </w:p>
    <w:p w:rsidR="00D06117" w:rsidRDefault="00D06117" w:rsidP="00D06117">
      <w:pPr>
        <w:pStyle w:val="TextoNormal"/>
      </w:pPr>
      <w:r w:rsidRPr="00D06117">
        <w:rPr>
          <w:rStyle w:val="NumeroAFNegritaCaracter"/>
        </w:rPr>
        <w:t>8</w:t>
      </w:r>
      <w:r>
        <w:t>. Con fecha 13 de junio de 2002 se registró el escrito mediante el cual el Abogado del Estado formulaba sus alegaciones en el recurso de inconstitucionalidad número 1847-2002, proponiendo la desestimación del mismo por las razones que resumidamente se exponen:</w:t>
      </w:r>
    </w:p>
    <w:p w:rsidR="00D06117" w:rsidRDefault="00D06117" w:rsidP="00D06117">
      <w:pPr>
        <w:pStyle w:val="TextoNormal"/>
      </w:pPr>
    </w:p>
    <w:p w:rsidR="00D06117" w:rsidRDefault="00D06117" w:rsidP="00D06117">
      <w:pPr>
        <w:pStyle w:val="TextoNormal"/>
      </w:pPr>
      <w:r>
        <w:t>a) Con carácter general, en relación con el reparto de competencias en materia de juego, el Abogado del Estado destaca que la demanda toma como punto de partida la denominada “tesis reduccionista”, que trataría de limitar la competencia del Estado en esta materia a la lotería nacional, atribuyendo la competencia hacendística en todo lo demás a las Comunidades Autónomas, por considerar tales materias accesorias de la competencia en materia de juego. Es decir, se realizaría una vinculación entre competencias en materia de juego y regulación en materia fiscal, vinculación que el Abogado del Estado rechaza.</w:t>
      </w:r>
    </w:p>
    <w:p w:rsidR="00D06117" w:rsidRDefault="00D06117" w:rsidP="00D06117">
      <w:pPr>
        <w:pStyle w:val="TextoNormal"/>
      </w:pPr>
    </w:p>
    <w:p w:rsidR="00D06117" w:rsidRDefault="00D06117" w:rsidP="00D06117">
      <w:pPr>
        <w:pStyle w:val="TextoNormal"/>
      </w:pPr>
      <w:r>
        <w:t>Destaca también el Abogado del Estado que carece de fundamento el intento de la demanda de estimar contradicciones entre la Ley 24/2001, objeto de impugnación, y la Ley 21/2001, también de 27 de diciembre, por la que se regulan las medidas fiscales y administrativas del nuevo sistema de financiación de las Comunidades Autónomas de régimen común y ciudades con Estatuto de Autonomía (en adelante, Ley 21/2001), y por la que se ceden los tributos sobre el juego. Afirma en su escrito el Abogado que “la mera circunstancia de que la Ley 21/2001 no haya sido impugnada nos revela que la argumentación de la demanda sobre la relación entre competencia sobre el juego y competencia fiscal, no es sino un mero intento de resucitar una cuestión ya reiteradamente resuelta aprovechando una modificación del hecho imponible en estos tributos sobre el juego”.</w:t>
      </w:r>
    </w:p>
    <w:p w:rsidR="00D06117" w:rsidRDefault="00D06117" w:rsidP="00D06117">
      <w:pPr>
        <w:pStyle w:val="TextoNormal"/>
      </w:pPr>
    </w:p>
    <w:p w:rsidR="00D06117" w:rsidRDefault="00D06117" w:rsidP="00D06117">
      <w:pPr>
        <w:pStyle w:val="TextoNormal"/>
      </w:pPr>
      <w:r>
        <w:t>Recuerda el Abogado del Estado la doctrina en materia de juego (SSTC 163/1994 y 164/1994, ambas de 26 de mayo, 216/1994, de 14 de julio y 49/1995, de 16 de febrero, también citadas en la demanda), y que avalarían la comprensión de las exacciones sobre el juego dentro de la competencia estatal sobre hacienda general establecida en el art. 149.1.14 CE, sin que ello impida la competencia exclusiva autonómica para organizar y autorizar la celebración de juegos en el territorio de una Comunidad Autónoma.</w:t>
      </w:r>
    </w:p>
    <w:p w:rsidR="00D06117" w:rsidRDefault="00D06117" w:rsidP="00D06117">
      <w:pPr>
        <w:pStyle w:val="TextoNormal"/>
      </w:pPr>
    </w:p>
    <w:p w:rsidR="00D06117" w:rsidRDefault="00D06117" w:rsidP="00D06117">
      <w:pPr>
        <w:pStyle w:val="TextoNormal"/>
      </w:pPr>
      <w:r>
        <w:t xml:space="preserve">Finalmente, rechaza la pretendida inconstitucionalidad del punto de conexión extraterritorial, reiterando la existencia de competencia estatal en materia de juego y destacando que el gravamen “no ha sido cedido cuando se trata de juego de ámbito supracomunitario y es </w:t>
      </w:r>
      <w:r>
        <w:lastRenderedPageBreak/>
        <w:t>el Estado el titular de la potestad tributaria a quien le compete establecerlos o prescindir de su tratamiento”.</w:t>
      </w:r>
    </w:p>
    <w:p w:rsidR="00D06117" w:rsidRDefault="00D06117" w:rsidP="00D06117">
      <w:pPr>
        <w:pStyle w:val="TextoNormal"/>
      </w:pPr>
    </w:p>
    <w:p w:rsidR="00D06117" w:rsidRDefault="00D06117" w:rsidP="00D06117">
      <w:pPr>
        <w:pStyle w:val="TextoNormal"/>
      </w:pPr>
      <w:r>
        <w:t>b) En relación con la modificación del hecho imponible del tributo, recogida en el art. 36 del Decreto 3059/1966, tras su reforma por el art. 24 de la Ley 24/2001, se opone el Abogado del Estado a la supuesta contradicción entre dicha reforma y la cesión del tributo, destacando que “pese a la imperfecta redacción del texto, la Ley 24/2001 no ha tenido por finalidad el reducir el hecho imponible a los juegos de carácter o ámbito nacional, sino que ha perseguido conseguir una delimitación más precisa y segura del concepto de rendimientos producidos en un territorio utilizado por la Ley 21/2001”, y que en todo caso no puede admitirse una interpretación, como la defendida en la demanda, que implica suponer que dos textos legales “se contradicen hasta el punto de que uno de ellos cede a las Comunidades Autónomas lo que otro suprime”, máxime cuando se trata de normas de la misma fecha y preparadas de forma simultánea.</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18 de junio de 2002, se acordó tener por personado al Letrado de las Cortes Generales, jefe de la asesoría jurídica del Senado, don Benigno Pendás García, en representación de la Cámara, en el presente recurso de inconstitucionalidad, así como en los registrados con los números 1902-2002, 1921-2002, 1937-2002 y 1848-2002, según interesa en su escritos de 30 de mayo y 12 de junio de 2002, accediendo a la suspensión que pide del plazo concedido para hacer alegaciones hasta tanto se resolviera sobre la acumulación de los mismos. Asimismo, acordó oír a los recurrentes y a las demás partes personadas para que en el plazo de diez días alegasen lo que estimasen oportuno en relación con la petición de acumulación. Por último, acordó llevar testimonio del citado escrito y de esta resolución a los recursos de inconstitucionalidad antes relacionados.</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escrito registrado el 2 de julio de 2002, el Procurador de los Tribunales, don Roberto Granizo Palomeque, en nombre y representación de los Diputados del Grupo Parlamentario Socialista en el recurso de inconstitucionalidad 1848-2002 se opuso a la solicitud de acumulación solicitada por la representación del Senado por no concurrir la necesaria conexión.</w:t>
      </w:r>
    </w:p>
    <w:p w:rsidR="00D06117" w:rsidRDefault="00D06117" w:rsidP="00D06117">
      <w:pPr>
        <w:pStyle w:val="TextoNormal"/>
      </w:pPr>
    </w:p>
    <w:p w:rsidR="00D06117" w:rsidRDefault="00D06117" w:rsidP="00D06117">
      <w:pPr>
        <w:pStyle w:val="TextoNormal"/>
      </w:pPr>
      <w:r w:rsidRPr="00D06117">
        <w:rPr>
          <w:rStyle w:val="NumeroAFNegritaCaracter"/>
        </w:rPr>
        <w:t>11</w:t>
      </w:r>
      <w:r>
        <w:t>. El 3 de julio de 2002 se registró un escrito del Letrado de la Junta de Comunidades de Castilla-La Mancha, oponiéndose a la acumulación solicitada, porque no concurren las circunstancias que para la acumulación exige el art. 83 de la LOTC.</w:t>
      </w:r>
    </w:p>
    <w:p w:rsidR="00D06117" w:rsidRDefault="00D06117" w:rsidP="00D06117">
      <w:pPr>
        <w:pStyle w:val="TextoNormal"/>
      </w:pPr>
    </w:p>
    <w:p w:rsidR="00D06117" w:rsidRDefault="00D06117" w:rsidP="00D06117">
      <w:pPr>
        <w:pStyle w:val="TextoNormal"/>
      </w:pPr>
      <w:r w:rsidRPr="00D06117">
        <w:rPr>
          <w:rStyle w:val="NumeroAFNegritaCaracter"/>
        </w:rPr>
        <w:t>12</w:t>
      </w:r>
      <w:r>
        <w:t>. El 4 de julio de 2002 se registró un escrito del Letrado de la Generalitat de Cataluña, manifestando su conformidad a la acumulación propuesta con el recurso 1902-2002, y oponiéndose a la acumulación con los recursos 1921-2002, 1937-2002 y 1848-2002.</w:t>
      </w:r>
    </w:p>
    <w:p w:rsidR="00D06117" w:rsidRDefault="00D06117" w:rsidP="00D06117">
      <w:pPr>
        <w:pStyle w:val="TextoNormal"/>
      </w:pPr>
    </w:p>
    <w:p w:rsidR="00D06117" w:rsidRDefault="00D06117" w:rsidP="00D06117">
      <w:pPr>
        <w:pStyle w:val="TextoNormal"/>
      </w:pPr>
      <w:r w:rsidRPr="00D06117">
        <w:rPr>
          <w:rStyle w:val="NumeroAFNegritaCaracter"/>
        </w:rPr>
        <w:t>13</w:t>
      </w:r>
      <w:r>
        <w:t>. El Abogado del Estado, en escrito registrado el 5 de julio de 2002, manifestó que no se oponía a la acumulación propuesta, si bien afirma que la cuestión de fondo planteada en los distintos recursos no tiene conexión entre sí.</w:t>
      </w:r>
    </w:p>
    <w:p w:rsidR="00D06117" w:rsidRDefault="00D06117" w:rsidP="00D06117">
      <w:pPr>
        <w:pStyle w:val="TextoNormal"/>
      </w:pPr>
    </w:p>
    <w:p w:rsidR="00D06117" w:rsidRDefault="00D06117" w:rsidP="00D06117">
      <w:pPr>
        <w:pStyle w:val="TextoNormal"/>
      </w:pPr>
      <w:r w:rsidRPr="00D06117">
        <w:rPr>
          <w:rStyle w:val="NumeroAFNegritaCaracter"/>
        </w:rPr>
        <w:t>14</w:t>
      </w:r>
      <w:r>
        <w:t>. El día 5 de julio de 2002 se registra un escrito de la Letrada de la Junta de Andalucía, en el que afirmó no oponerse a la solicitud de acumulación.</w:t>
      </w:r>
    </w:p>
    <w:p w:rsidR="00D06117" w:rsidRDefault="00D06117" w:rsidP="00D06117">
      <w:pPr>
        <w:pStyle w:val="TextoNormal"/>
      </w:pPr>
    </w:p>
    <w:p w:rsidR="00D06117" w:rsidRDefault="00D06117" w:rsidP="00D06117">
      <w:pPr>
        <w:pStyle w:val="TextoNormal"/>
      </w:pPr>
      <w:r w:rsidRPr="00D06117">
        <w:rPr>
          <w:rStyle w:val="NumeroAFNegritaCaracter"/>
        </w:rPr>
        <w:t>15</w:t>
      </w:r>
      <w:r>
        <w:t>. El 9 de julio de 2002 se registró un escrito de la Directora General del servicio jurídico del Gobierno de Canarias, en el que manifestaba la conformidad con la acumulación solicitada.</w:t>
      </w:r>
    </w:p>
    <w:p w:rsidR="00D06117" w:rsidRDefault="00D06117" w:rsidP="00D06117">
      <w:pPr>
        <w:pStyle w:val="TextoNormal"/>
      </w:pPr>
    </w:p>
    <w:p w:rsidR="00D06117" w:rsidRDefault="00D06117" w:rsidP="00D06117">
      <w:pPr>
        <w:pStyle w:val="TextoNormal"/>
      </w:pPr>
      <w:r w:rsidRPr="00D06117">
        <w:rPr>
          <w:rStyle w:val="NumeroAFNegritaCaracter"/>
        </w:rPr>
        <w:t>16</w:t>
      </w:r>
      <w:r>
        <w:t>. Por ATC 205/2002, de 15 de octubre, el Pleno del Tribunal decidió no acceder a la acumulación solicitada, por no concurrir la necesaria conexión de objetos entre los distintos recursos (FJ 2). Asimismo acordó conceder un plazo de quince días a la representación del Senado para que pudiera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17</w:t>
      </w:r>
      <w:r>
        <w:t>. Mediante escrito registrado el 8 de noviembre de 2002, el Letrado de las Cortes Generales, jefe de la asesoría jurídica del Senado, don Benigno Pendás García, en representación de la Cámara, propugnó la desestimación del recurso.</w:t>
      </w:r>
    </w:p>
    <w:p w:rsidR="00D06117" w:rsidRDefault="00D06117" w:rsidP="00D06117">
      <w:pPr>
        <w:pStyle w:val="TextoNormal"/>
      </w:pPr>
      <w:r>
        <w:t>En primer lugar, el Letrado estima que, frente a lo sostenido por la recurrente, la Ley 24/2001 no amplía las competencias estatales en materia de juego en contravención del orden constitucional, sino justamente todo lo contrario, pues lo que hacen los preceptos impugnados es limitar la potestad tributaria del Estado a los supuestos en que ésta puede ser ejercida, y sin perjuicio de que la Comunidad Autónoma pueda crear un tributo propio.</w:t>
      </w:r>
    </w:p>
    <w:p w:rsidR="00D06117" w:rsidRDefault="00D06117" w:rsidP="00D06117">
      <w:pPr>
        <w:pStyle w:val="TextoNormal"/>
      </w:pPr>
    </w:p>
    <w:p w:rsidR="00D06117" w:rsidRDefault="00D06117" w:rsidP="00D06117">
      <w:pPr>
        <w:pStyle w:val="TextoNormal"/>
      </w:pPr>
      <w:r>
        <w:t>Afirma a continuación el Letrado que el título competencial relativo a la hacienda general del Estado (149.1.14 CE) también abarca el juego, de manera que el silencio de la Constitución en esta materia no desapodera al Estado de esta competencia, como habrían venido a corroborar las SSTC 163/1994, 164/1994 y 216/1994, máxime cuando la misma se refiere a un ámbito territorial estatal o superior al de una Comunidad Autónoma.</w:t>
      </w:r>
    </w:p>
    <w:p w:rsidR="00D06117" w:rsidRDefault="00D06117" w:rsidP="00D06117">
      <w:pPr>
        <w:pStyle w:val="TextoNormal"/>
      </w:pPr>
    </w:p>
    <w:p w:rsidR="00D06117" w:rsidRDefault="00D06117" w:rsidP="00D06117">
      <w:pPr>
        <w:pStyle w:val="TextoNormal"/>
      </w:pPr>
      <w:r>
        <w:t>En fin, manifiesta que no se ha producido ninguna limitación de la potestad tributaria de la Comunidad Autónoma, ya que la Ley 24/2001 tan sólo trataría de adaptar unos preceptos pre-constitucionales, incluidos en el Decreto de 1966, a la jurisprudencia del Tribunal Constitucional, en concreto ajustando la potestad tributaria del Estado a aquello sobre lo que realmente puede incidir, esto es, en los supuestos que exceden del ámbito autonómico.</w:t>
      </w:r>
    </w:p>
    <w:p w:rsidR="00D06117" w:rsidRDefault="00D06117" w:rsidP="00D06117">
      <w:pPr>
        <w:pStyle w:val="TextoNormal"/>
      </w:pPr>
    </w:p>
    <w:p w:rsidR="00D06117" w:rsidRDefault="00D06117" w:rsidP="00D06117">
      <w:pPr>
        <w:pStyle w:val="TextoNormal"/>
      </w:pPr>
      <w:r>
        <w:t>Y por último, rechaza en su escrito la tacha imputada al art. 24, en lo que se refiere a la referencia a los medios telemáticos, por entender implícita en toda competencia una “cláusula de progreso técnico” que permita ampliar el objeto de la intervención a las circunstancias que las mejoras tecnológicas permitan.</w:t>
      </w:r>
    </w:p>
    <w:p w:rsidR="00D06117" w:rsidRDefault="00D06117" w:rsidP="00D06117">
      <w:pPr>
        <w:pStyle w:val="TextoNormal"/>
      </w:pPr>
    </w:p>
    <w:p w:rsidR="00D06117" w:rsidRDefault="00D06117" w:rsidP="00D06117">
      <w:pPr>
        <w:pStyle w:val="TextoNormal"/>
      </w:pPr>
      <w:r w:rsidRPr="00D06117">
        <w:rPr>
          <w:rStyle w:val="NumeroAFNegritaCaracter"/>
        </w:rPr>
        <w:t>18</w:t>
      </w:r>
      <w:r>
        <w:t>. Por providencia de día 13 de marzo de 2012 se señaló para deliberación y votación de la presente Sentencia el día 15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recurso de inconstitucionalidad se interpone por el Gobierno de la Generalitat de Cataluña contra el art. 24 y la disposición adicional vigésima de la Ley 24/2001, de 27 de diciembre, de medidas fiscales, administrativas y del orden social (Ley 24/2001, en adelante). Para la representación procesal de la Generalitat, los citados preceptos son contrarios a la distribución de competencias entre el Estado y la Comunidad Autónoma de Cataluña </w:t>
      </w:r>
      <w:r>
        <w:lastRenderedPageBreak/>
        <w:t>en materia de juego, y tienen además incidencia en el sistema de financiación autonómica, por haber producido una modificación de las tasas sobre rifas, tributo cedido a las Comunidades Autónomas.</w:t>
      </w:r>
    </w:p>
    <w:p w:rsidR="00D06117" w:rsidRDefault="00D06117" w:rsidP="00D06117">
      <w:pPr>
        <w:pStyle w:val="TextoNormal"/>
      </w:pPr>
    </w:p>
    <w:p w:rsidR="00D06117" w:rsidRDefault="00D06117" w:rsidP="00D06117">
      <w:pPr>
        <w:pStyle w:val="TextoNormal"/>
      </w:pPr>
      <w:r>
        <w:t>Los motivos de inconstitucionalidad que fundamentan el recurso pueden agruparse en dos. En primer lugar, se habría producido una alteración, contraria al bloque de la constitucionalidad, del orden de distribución competencial entre el Estado y las Comunidades Autónomas en materia de juego y apuestas. Además, al utilizar la supraterritorialidad como criterio de atribución de competencias, el Estado se habría extralimitado en su competencia al regular esta materia para todo tipo de juegos y apuestas cuyo ámbito sea nacional o superior al de una Comunidad Autónoma. Esta tacha de inconstitucionalidad se imputa al art. 24 de la Ley 24/2001 y a la disposición adicional vigésima.</w:t>
      </w:r>
    </w:p>
    <w:p w:rsidR="00D06117" w:rsidRDefault="00D06117" w:rsidP="00D06117">
      <w:pPr>
        <w:pStyle w:val="TextoNormal"/>
      </w:pPr>
    </w:p>
    <w:p w:rsidR="00D06117" w:rsidRDefault="00D06117" w:rsidP="00D06117">
      <w:pPr>
        <w:pStyle w:val="TextoNormal"/>
      </w:pPr>
      <w:r>
        <w:t>En segundo lugar, aduce la parte recurrente que dicha redefinición del orden competencial habría tenido consecuencias en el propio sistema de financiación de la Generalitat de Cataluña, pues el Estado se habría apropiado de unos ingresos por el cobro de unas tasas que corresponderían a aquélla. Asimismo, puesto que se trata de un tributo cedido, la modificación, al haberse llevado a cabo de forma unilateral, habría alterado el régimen de cesión previsto en las Leyes 14/1996, de 30 de diciembre, de cesión de tributos del Estado a las Comunidades Autónomas y de medidas fiscales complementarias (en adelante, Ley 14/1996) y 31/1997, de 4 de agosto, de modificación del régimen de cesión de tributos del Estado a la Generalitat de Cataluña y de fijación del alcance y condiciones de dicha cesión (en adelante, Ley 31/1997), por no respetar el procedimiento que requiere previo acuerdo en Comisión mixta, según dispone la disposición adicional sexta del Estatuto de Autonomía de Cataluña entonces vigente, aprobado mediante Ley Orgánica 4/1979, de 18 de diciembre (EAC). Esta segunda tacha de inconstitucionalidad resulta imputable únicamente al art. 24 de la Ley 24/2001, que reforma los arts. 36 y 38.2 y 4 del Decreto 3059/1966, de 1 de diciembre, por el que se aprueba el texto refundido de tasas fiscales (en adelante, Decreto 3059/1966).</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previo al examen de fondo, procede realizar las siguientes dos precisiones en relación con el objeto del recurso.</w:t>
      </w:r>
    </w:p>
    <w:p w:rsidR="00D06117" w:rsidRDefault="00D06117" w:rsidP="00D06117">
      <w:pPr>
        <w:pStyle w:val="TextoNormal"/>
      </w:pPr>
    </w:p>
    <w:p w:rsidR="00D06117" w:rsidRDefault="00D06117" w:rsidP="00D06117">
      <w:pPr>
        <w:pStyle w:val="TextoNormal"/>
      </w:pPr>
      <w:r>
        <w:t>a) En primer lugar, resulta conveniente insertar la presente controversia en el contexto normativo al que corresponde. En ese sentido, hay que hacer constar que tanto el art. 36 del Decreto 3059/1966, reformado por el art. 24 de la Ley 24/2001, como la disposición adicional vigésima de esta misma ley, objeto de este recurso, han sido modificados tras su entrada en vigor. El art. 36 ha sido modificado en dos ocasiones; la primera, mediante el art. 12.1 de la Ley 53/2002, de 30 de diciembre, de medidas fiscales, administrativas y del orden social, y la segunda, hoy vigente, mediante el número 2 de la disposición final quinta de la Ley 13/2011, de 27 de mayo, de regulación del juego (en adelante, Ley 13/2011). Finalmente, la disposición adicional vigésima ha sido derogada expresamente mediante la disposición derogatoria, apartado 2, inciso decimocuarto, de la citada Ley 13/2011.</w:t>
      </w:r>
    </w:p>
    <w:p w:rsidR="00D06117" w:rsidRDefault="00D06117" w:rsidP="00D06117">
      <w:pPr>
        <w:pStyle w:val="TextoNormal"/>
      </w:pPr>
    </w:p>
    <w:p w:rsidR="00D06117" w:rsidRDefault="00D06117" w:rsidP="00D06117">
      <w:pPr>
        <w:pStyle w:val="TextoNormal"/>
      </w:pPr>
      <w:r>
        <w:t xml:space="preserve">Más allá de las citadas modificaciones, la Ley 13/2011 ha acometido una sustancial reforma de la tributación sobre el juego en el ámbito estatal, pues su art. 48 crea un nuevo impuesto, denominado impuesto sobre actividades de juego, que recae sobre el juego remoto, o realizado “por medios electrónicos, informáticos, telemáticos e interactivos” [art. 3 </w:t>
      </w:r>
      <w:r>
        <w:lastRenderedPageBreak/>
        <w:t>h)]. El hecho imponible de este nuevo impuesto estatal está constituido por “la autorización, celebración u organización de los juegos, rifas, concursos, apuestas y actividades de ámbito estatal, ... así como las combinaciones aleatorias con fines publicitarios o promocionales, asimismo, de ámbito estatal”. Esta reforma de la fiscalidad del juego de ámbito estatal, afecta parcialmente a las tasas sobre rifas, pues éstas continúan en vigor únicamente en lo que se refiere al gravamen cedido, ya que en el ámbito estatal la ley establece la incompatibilidad entre estas tasas y el impuesto sobre actividades de juego. El art. 48 de la citada norma arbitra la posibilidad de que las Comunidades Autónomas puedan elevar los tipos del impuesto “respecto de las actividades que sean ejercidas por operadores, organizadores o por quienes desarrollen la actividad gravada por este impuesto con residencia fiscal en su territorio” (art. 48.7), estableciendo a renglón seguido (art. 48.11) un mecanismo de distribución de la recaudación en función de la residencia de los jugadores. Sin embargo, estas dos posibilidades, de competencias normativas autonómicas y territorialización del rendimiento, están parcialmente supeditadas a la eventual reforma del sistema de financiación autonómica, según establece la disposición transitoria sexta de la ley.</w:t>
      </w:r>
    </w:p>
    <w:p w:rsidR="00D06117" w:rsidRDefault="00D06117" w:rsidP="00D06117">
      <w:pPr>
        <w:pStyle w:val="TextoNormal"/>
      </w:pPr>
    </w:p>
    <w:p w:rsidR="00D06117" w:rsidRDefault="00D06117" w:rsidP="00D06117">
      <w:pPr>
        <w:pStyle w:val="TextoNormal"/>
      </w:pPr>
      <w:r>
        <w:t>De esta forma, conviven en la actualidad tres tributos sobre el juego de ámbito estatal: la tasa sobre los juegos de suerte, envite o azar, regulada por el Real Decreto-ley 16/1977, de 25 de febrero, por el que se regulan los aspectos penales, administrativos y fiscales de los juegos de suerte, envite o azar, la tasa de rifas que nos ocupa aquí, ambas figuras tributos cedidos a las Comunidades Autónomas, y el nuevo impuesto sobre actividades de juego.</w:t>
      </w:r>
    </w:p>
    <w:p w:rsidR="00D06117" w:rsidRDefault="00D06117" w:rsidP="00D06117">
      <w:pPr>
        <w:pStyle w:val="TextoNormal"/>
      </w:pPr>
    </w:p>
    <w:p w:rsidR="00D06117" w:rsidRDefault="00D06117" w:rsidP="00D06117">
      <w:pPr>
        <w:pStyle w:val="TextoNormal"/>
      </w:pPr>
      <w:r>
        <w:t>b) La incidencia de las citadas reformas sobre el objeto del presente proceso debe ser enjuiciada de acuerdo con nuestra doctrina. Hemos afirmado en numerosas ocasiones que, en el ámbito del recurso de inconstitucionalidad, recurso abstracto y orientado a la depuración objetiva del ordenamiento, la pérdida sobrevenida de la vigencia del precepto legal objeto de impugnación deberá ser tenida en cuenta por el Tribunal, por carecer de sentido pronunciarse sobre normas que han sido ya expulsadas del ordenamiento por el legislador (por todas, STC 1/2012, de 13 de enero, FJ 3). Sin embargo, cuando el objeto del proceso constitucional tenga un contenido competencial, este Tribunal deberá pronunciarse sobre su titularidad “en la medida en que se trate de una competencia controvertida o de que la disputa esté todavía viva”, pues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[STC 204/2011, de 15 de diciembre, FJ 2 a)].</w:t>
      </w:r>
    </w:p>
    <w:p w:rsidR="00D06117" w:rsidRDefault="00D06117" w:rsidP="00D06117">
      <w:pPr>
        <w:pStyle w:val="TextoNormal"/>
      </w:pPr>
    </w:p>
    <w:p w:rsidR="00D06117" w:rsidRDefault="00D06117" w:rsidP="00D06117">
      <w:pPr>
        <w:pStyle w:val="TextoNormal"/>
      </w:pPr>
      <w:r>
        <w:t>En este sentido, el aspecto central de la presente controversia descansa en la ordenación competencial de la materia juego, por un lado, y en el alcance y condiciones de la cesión de las tasas sobre el juego, por otro, materias con evidente contenido competencial.</w:t>
      </w:r>
    </w:p>
    <w:p w:rsidR="00D06117" w:rsidRDefault="00D06117" w:rsidP="00D06117">
      <w:pPr>
        <w:pStyle w:val="TextoNormal"/>
      </w:pPr>
    </w:p>
    <w:p w:rsidR="00D06117" w:rsidRDefault="00D06117" w:rsidP="00D06117">
      <w:pPr>
        <w:pStyle w:val="TextoNormal"/>
      </w:pPr>
      <w:r>
        <w:t>Por todo lo anterior, cabe concluir que el recurso de inconstitucionalidad no ha perdido su objeto.</w:t>
      </w:r>
    </w:p>
    <w:p w:rsidR="00D06117" w:rsidRDefault="00D06117" w:rsidP="00D06117">
      <w:pPr>
        <w:pStyle w:val="TextoNormal"/>
      </w:pPr>
    </w:p>
    <w:p w:rsidR="00D06117" w:rsidRDefault="00D06117" w:rsidP="00D06117">
      <w:pPr>
        <w:pStyle w:val="TextoNormal"/>
      </w:pPr>
      <w:r>
        <w:t xml:space="preserve">La pervivencia del objeto del recurso de inconstitucionalidad, no impide, sin embargo, que de acuerdo con nuestra doctrina valoremos como “marco de enjuiciamiento” (STC 170/1989, de 19 de octubre, FJ 3, entre otras muchas) de la redacción primitiva de los 24 y </w:t>
      </w:r>
      <w:r>
        <w:lastRenderedPageBreak/>
        <w:t>disposición adicional vigésima, las modificaciones posteriores de los mismos ya aludidas, aunque sin enjuiciarlas, pues no han sido recurridas.</w:t>
      </w:r>
    </w:p>
    <w:p w:rsidR="00D06117" w:rsidRDefault="00D06117" w:rsidP="00D06117">
      <w:pPr>
        <w:pStyle w:val="TextoNormal"/>
      </w:pPr>
    </w:p>
    <w:p w:rsidR="00D06117" w:rsidRDefault="00D06117" w:rsidP="00D06117">
      <w:pPr>
        <w:pStyle w:val="TextoNormal"/>
      </w:pPr>
      <w:r>
        <w:t>c) Finalmente, también debemos precisar cuál debe ser el parámetro de control del presente recurso, pues resulta de aplicación nuestra doctrina sobre el ius superveniens, según la cual el control de las normas que incurren en un posible exceso competencial debe hacerse de acuerdo con las normas del bloque de la constitucionalidad vigentes en el momento de dictar sentencia (STC 1/2011, de 14 de febrero, FJ 2 y doctrina allí citada). Ello determina que nuestro pronunciamiento deba dictarse a la luz de la delimitación de competencias que se deriva de la reforma del Estatuto de Autonomía de Cataluña llevada a cabo por la Ley Orgánica 6/2006, de 19 de julio.</w:t>
      </w:r>
    </w:p>
    <w:p w:rsidR="00D06117" w:rsidRDefault="00D06117" w:rsidP="00D06117">
      <w:pPr>
        <w:pStyle w:val="TextoNormal"/>
      </w:pPr>
    </w:p>
    <w:p w:rsidR="00D06117" w:rsidRDefault="00D06117" w:rsidP="00D06117">
      <w:pPr>
        <w:pStyle w:val="TextoNormal"/>
      </w:pPr>
      <w:r w:rsidRPr="00D06117">
        <w:rPr>
          <w:rStyle w:val="NumeroAFNegritaCaracter"/>
        </w:rPr>
        <w:t>3</w:t>
      </w:r>
      <w:r>
        <w:t>. Una vez centrado el objeto del presente recurso, debemos comenzar nuestro análisis con la denunciada vulneración del orden competencial en materia de juego.</w:t>
      </w:r>
    </w:p>
    <w:p w:rsidR="00D06117" w:rsidRDefault="00D06117" w:rsidP="00D06117">
      <w:pPr>
        <w:pStyle w:val="TextoNormal"/>
      </w:pPr>
    </w:p>
    <w:p w:rsidR="00D06117" w:rsidRDefault="00D06117" w:rsidP="00D06117">
      <w:pPr>
        <w:pStyle w:val="TextoNormal"/>
      </w:pPr>
      <w:r>
        <w:t>Afirma la recurrente que las dos disposiciones impugnadas suponen la vulneración del orden competencial en materia de juego, que implica la competencia exclusiva de las Comunidades Autónomas en materia de juego y apuestas, de manera que el Estado sólo podrá regular actuaciones conectadas con esta materia cuando estén vinculadas al monopolio estatal de las loterías y por lo tanto, tengan incidencia en la hacienda general del Estado, de acuerdo con el art. 149.1.14 CE.</w:t>
      </w:r>
    </w:p>
    <w:p w:rsidR="00D06117" w:rsidRDefault="00D06117" w:rsidP="00D06117">
      <w:pPr>
        <w:pStyle w:val="TextoNormal"/>
      </w:pPr>
    </w:p>
    <w:p w:rsidR="00D06117" w:rsidRDefault="00D06117" w:rsidP="00D06117">
      <w:pPr>
        <w:pStyle w:val="TextoNormal"/>
      </w:pPr>
      <w:r>
        <w:t>El Abogado del Estado propone la desestimación del motivo, afirmando que éste parte de la “tesis reduccionista”, que trataría de limitar la competencia del Estado en esta materia a la lotería nacional, atribuyendo la competencia hacendística en todo lo demás a las Comunidades Autónomas, lo que implicaría una incorrecta vinculación entre las competencias en materia de juego y las competencias tributarias del Estado. Dicha tesis, se afirma en el escrito, no puede mantenerse, pues de acuerdo con la doctrina constitucional en materia de juego (SSTC 163/1994 y 164/1994, ambas de 26 de mayo, 216/1994, de 14 de julio y 49/1995, de 16 de febrero, también citadas en la demanda), es clara la inclusión de las exacciones sobre el juego dentro de la competencia estatal sobre hacienda general establecida en el art. 149.1.14 CE, sin que ello impida la competencia exclusiva autonómica para organizar y autorizar la celebración de juegos en el territorio de una Comunidad Autónoma.</w:t>
      </w:r>
    </w:p>
    <w:p w:rsidR="00D06117" w:rsidRDefault="00D06117" w:rsidP="00D06117">
      <w:pPr>
        <w:pStyle w:val="TextoNormal"/>
      </w:pPr>
    </w:p>
    <w:p w:rsidR="00D06117" w:rsidRDefault="00D06117" w:rsidP="00D06117">
      <w:pPr>
        <w:pStyle w:val="TextoNormal"/>
      </w:pPr>
      <w:r>
        <w:t>Para la representación del Senado, el título competencial relativo a la hacienda general del Estado (149.1.14 CE) también abarca el juego, de manera que el silencio de la Constitución en esta materia no desapodera al Estado de esta competencia, como habrían venido a corroborar las SSTC 163/1994, 164/1994 y 216/1994, máxime cuando dicha competencia se refiere a un ámbito territorial estatal o superior al de una Comunidad Autónoma.</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Antes de entrar en el fondo de los distintos motivos de inconstitucionalidad, es preciso diferenciar, por un lado, los que se refieren al reparto competencial de la materia juego, y por otro lado, los motivos relativos al reparto del poder tributario, vinculados a la regulación de las tasas sobre rifas y su consideración como tributo cedido. Dicha distinción es fundamental, pues el reparto competencial en materia de juego no es trasladable sin más al reparto de competencias tributarias entre el Estado y las Comunidades Autónomas. Formaría parte del primer grupo (reparto competencial de la materia juego) la tacha que se imputa a la </w:t>
      </w:r>
      <w:r>
        <w:lastRenderedPageBreak/>
        <w:t>disposición adicional vigésima de la Ley 24/2001, y del segundo (reparto de poder tributario), las que se imputan al art. 24 de la misma ley.</w:t>
      </w:r>
    </w:p>
    <w:p w:rsidR="00D06117" w:rsidRDefault="00D06117" w:rsidP="00D06117">
      <w:pPr>
        <w:pStyle w:val="TextoNormal"/>
      </w:pPr>
    </w:p>
    <w:p w:rsidR="00D06117" w:rsidRDefault="00D06117" w:rsidP="00D06117">
      <w:pPr>
        <w:pStyle w:val="TextoNormal"/>
      </w:pPr>
      <w:r>
        <w:t>Hecha esta distinción, se abordará en primer lugar la constitucionalidad de la disposición adicional vigésima, que tiene el siguiente tenor:</w:t>
      </w:r>
    </w:p>
    <w:p w:rsidR="00D06117" w:rsidRDefault="00D06117" w:rsidP="00D06117">
      <w:pPr>
        <w:pStyle w:val="TextoNormal"/>
      </w:pPr>
    </w:p>
    <w:p w:rsidR="00D06117" w:rsidRDefault="00D06117" w:rsidP="00D06117">
      <w:pPr>
        <w:pStyle w:val="TextoNormal"/>
      </w:pPr>
      <w:r>
        <w:t>“Corresponde al Estado, a través del Ministerio de Hacienda y, concretamente de la Entidad Pública Empresarial Loterías y Apuestas del Estado, ejercer la competencia, de conformidad con la normativa vigente, para la autorización del desarrollo de todo tipo de apuestas, cualquiera que sea el soporte de las mismas, boletos, medios informáticos o telemáticos, siempre que su ámbito de desarrollo, aplicación, celebración o comercialización abarque el territorio nacional o exceda de los límites de una concreta Comunidad Autónoma. Se autoriza al Ministerio de Hacienda para dictar cuantas disposiciones de desarrollo fueran necesarias para el mejor cumplimiento de lo previsto en la presente disposición.”</w:t>
      </w:r>
    </w:p>
    <w:p w:rsidR="00D06117" w:rsidRDefault="00D06117" w:rsidP="00D06117">
      <w:pPr>
        <w:pStyle w:val="TextoNormal"/>
      </w:pPr>
    </w:p>
    <w:p w:rsidR="00D06117" w:rsidRDefault="00D06117" w:rsidP="00D06117">
      <w:pPr>
        <w:pStyle w:val="TextoNormal"/>
      </w:pPr>
      <w:r>
        <w:t>A este precepto se imputa una extralimitación competencial, con carácter general, por no estar las apuestas incluidas en la materia hacienda general (149.1.14 CE), y además, en particular, por atribuir competencias al Estado sobre la base de la supraterritorialidad, en los supuestos en que se trate de juegos o apuestas cuyo ámbito supere el de una Comunidad Autónoma, pero no abarque todo el territorio nacional. Debemos comenzar por la tacha general, para analizar en un fundamento posterior la relativa al empleo de la supraterritorialidad como criterio atributivo de competencias al Estado.</w:t>
      </w:r>
    </w:p>
    <w:p w:rsidR="00D06117" w:rsidRDefault="00D06117" w:rsidP="00D06117">
      <w:pPr>
        <w:pStyle w:val="TextoNormal"/>
      </w:pPr>
    </w:p>
    <w:p w:rsidR="00D06117" w:rsidRDefault="00D06117" w:rsidP="00D06117">
      <w:pPr>
        <w:pStyle w:val="TextoNormal"/>
      </w:pPr>
      <w:r>
        <w:t>El marco competencial en materia de juego ha sido abordado por este Tribunal en numerosas ocasiones, existiendo por tanto una consolidada doctrina de la que es necesario partir para el presente examen de constitucionalidad.</w:t>
      </w:r>
    </w:p>
    <w:p w:rsidR="00D06117" w:rsidRDefault="00D06117" w:rsidP="00D06117">
      <w:pPr>
        <w:pStyle w:val="TextoNormal"/>
      </w:pPr>
    </w:p>
    <w:p w:rsidR="00D06117" w:rsidRDefault="00D06117" w:rsidP="00D06117">
      <w:pPr>
        <w:pStyle w:val="TextoNormal"/>
      </w:pPr>
      <w:r>
        <w:t>La doctrina pertinente a este asunto arranca en la STC 163/1994, de 26 de mayo, en cuyo fundamento jurídico 3, tras constatar que la materia juego no se encuentra reservada al Estado por el art. 149.1 CE y que en consecuencia, de acuerdo con el art. 149.3 CE es una materia que podrá corresponder a las Comunidades Autónomas que así lo asuman en sus Estatutos de Autonomía, se afirmó que ello no había de implicar un total desapoderamiento del Estado, pues existen materias y actividades que, bajo otros enunciados del art. 149.1 CE, se encuentran estrechamente ligadas al juego. Esta doctrina fue reiterada posteriormente, con respecto de distintas modalidades de juego, entre otras, en las SSTC 164/1994, de 26 de mayo (FJ 4), 216/1994, de 14 de julio, (FJ 2), 45/1995, de 16 de febrero (FJ 3) y 171/1998, de 23 de julio (FJ 6).</w:t>
      </w:r>
    </w:p>
    <w:p w:rsidR="00D06117" w:rsidRDefault="00D06117" w:rsidP="00D06117">
      <w:pPr>
        <w:pStyle w:val="TextoNormal"/>
      </w:pPr>
    </w:p>
    <w:p w:rsidR="00D06117" w:rsidRDefault="00D06117" w:rsidP="00D06117">
      <w:pPr>
        <w:pStyle w:val="TextoNormal"/>
      </w:pPr>
      <w:r>
        <w:t>En particular en lo que se refiere a las apuestas, como una modalidad de juego, hemos afirmado reiteradamente que “ex art. 149.1.14 de la CE, corresponde al Estado ‘en razón de su naturaleza de fuente de la Hacienda estatal, la gestión del Monopolio de la Lotería Nacional y con él la facultad de organizar loterías de ámbito nacional’, así como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(por todas, STC 171/1998, de 23 de julio, FJ 7)”.</w:t>
      </w:r>
    </w:p>
    <w:p w:rsidR="00D06117" w:rsidRDefault="00D06117" w:rsidP="00D06117">
      <w:pPr>
        <w:pStyle w:val="TextoNormal"/>
      </w:pPr>
    </w:p>
    <w:p w:rsidR="00D06117" w:rsidRDefault="00D06117" w:rsidP="00D06117">
      <w:pPr>
        <w:pStyle w:val="TextoNormal"/>
      </w:pPr>
      <w:r>
        <w:lastRenderedPageBreak/>
        <w:t>Este esquema de distribución competencial ha sido asumido también por el Estatuto de Autonomía de Cataluña que, tras su reforma en 2006, atribuye a la Generalitat de Cataluña, en su art. 141, “la competencia exclusiva en materia de juego, apuestas y casinos, cuando la actividad se desarrolle exclusivamente en Cataluña”, precisando que dicha competencia incluirá, en todo caso “[l]a creación y la autorización de juegos y apuestas y su regulación, así como la regulación de las empresas dedicadas a la gestión, la explotación y la práctica de estas actividades o que tienen por objeto la comercialización y la distribución de los materiales relacionados con el juego en general, incluyendo las modalidades de juego por medios informáticos y telemáticos”. En lo que a este proceso concierne dicha reforma ha introducido cambios sustanciales en las competencias aducidas por la Generalitat de Cataluña, toda vez que ha clarificado el alcance y contenido de las mismas, frente al anterior art. 9.32 EAC, que se limitaba a establecer que “[l]a Generalitat de Cataluña tiene competencia exclusiva sobre las siguientes materias ... Casinos, juegos y apuestas, con exclusión de las Apuestas Mutuas Deportivo Benéficas”.</w:t>
      </w:r>
    </w:p>
    <w:p w:rsidR="00D06117" w:rsidRDefault="00D06117" w:rsidP="00D06117">
      <w:pPr>
        <w:pStyle w:val="TextoNormal"/>
      </w:pPr>
    </w:p>
    <w:p w:rsidR="00D06117" w:rsidRDefault="00D06117" w:rsidP="00D06117">
      <w:pPr>
        <w:pStyle w:val="TextoNormal"/>
      </w:pPr>
      <w:r>
        <w:t>El vigente art. 141 EAC, apartado 2, completa la regulación del juego disponiendo que “[l]a autorización de nuevas modalidades de juego y apuestas de ámbito estatal, o bien la modificación de las existentes, requiere la deliberación en la Comisión Bilateral Generalitat-Estado prevista en el Título V y el informe previo determinante de la Generalitat”. Este segundo apartado fue abordado en el recurso de inconstitucionalidad resuelto por la STC 31/2010, de 28 de junio, en cuyo fundamento jurídico 86 se refrendó el orden competencial en esta materia, señalándose que “[n]o cabe entender que la atribución competencial a favor de la Generalitat del apartado 2 desapodere al Estado de su competencia sobre las modalidades de juego y apuestas de ámbito estatal, ya que la previsión de que la autorización de nuevos juegos de ámbito nacional, o la modificación de los existentes, se examine por la comisión bilateral prevista en el título V no condiciona, en modo alguno, la decisión que haya de adoptar el Estado ... Por lo que se refiere a la emisión preceptiva de un ‘informe determinante’ de la Generalitat, el valor determinante de dicho informe ... no paraliza la competencia del Estado, que podrá, si lo estima conveniente, autorizar nuevos juegos o modificar los existentes de su competencia, como ocurre con la lotería nacional, tras recibir el informe de la Generalitat, sin estar vinculado por el contenido del mismo o por su no emisión”.</w:t>
      </w:r>
    </w:p>
    <w:p w:rsidR="00D06117" w:rsidRDefault="00D06117" w:rsidP="00D06117">
      <w:pPr>
        <w:pStyle w:val="TextoNormal"/>
      </w:pPr>
    </w:p>
    <w:p w:rsidR="00D06117" w:rsidRDefault="00D06117" w:rsidP="00D06117">
      <w:pPr>
        <w:pStyle w:val="TextoNormal"/>
      </w:pPr>
      <w:r>
        <w:t>A partir de la doctrina citada, y teniendo en cuenta el citado marco competencial, recogido en el propio Estatuto de Autonomía de Cataluña de 2006, debe rechazarse de plano la interpretación que hace la demanda del reparto de competencias en materia de juego, pues es evidente que el Estado sigue ostentado la competencia material en el juego de ámbito estatal. Procede, por tanto, desestimar la primera parte de este motivo de inconstitucionalidad, que atañe a la citada disposición adicional vigésima.</w:t>
      </w:r>
    </w:p>
    <w:p w:rsidR="00D06117" w:rsidRDefault="00D06117" w:rsidP="00D06117">
      <w:pPr>
        <w:pStyle w:val="TextoNormal"/>
      </w:pPr>
    </w:p>
    <w:p w:rsidR="00D06117" w:rsidRDefault="00D06117" w:rsidP="00D06117">
      <w:pPr>
        <w:pStyle w:val="TextoNormal"/>
      </w:pPr>
      <w:r w:rsidRPr="00D06117">
        <w:rPr>
          <w:rStyle w:val="NumeroAFNegritaCaracter"/>
        </w:rPr>
        <w:t>5</w:t>
      </w:r>
      <w:r>
        <w:t>. La recurrente sostiene también la inconstitucionalidad de la norma estatal por utilizar el criterio de supraterritorialidad, al afirmarse la competencia del Estado para la autorización de todo tipo de apuestas cuando su ámbito de desarrollo abarque el territorio nacional “o exceda de los límites de una concreta Comunidad Autónoma”.</w:t>
      </w:r>
    </w:p>
    <w:p w:rsidR="00D06117" w:rsidRDefault="00D06117" w:rsidP="00D06117">
      <w:pPr>
        <w:pStyle w:val="TextoNormal"/>
      </w:pPr>
    </w:p>
    <w:p w:rsidR="00D06117" w:rsidRDefault="00D06117" w:rsidP="00D06117">
      <w:pPr>
        <w:pStyle w:val="TextoNormal"/>
      </w:pPr>
      <w:r>
        <w:t xml:space="preserve">Pues bien, afirmada en el fundamento jurídico anterior la competencia del Estado para la autorización de juego de ámbito nacional, también compete al Estado establecer los puntos de conexión, algo que no es controvertido por la recurrente, y que se encuentra dentro de su </w:t>
      </w:r>
      <w:r>
        <w:lastRenderedPageBreak/>
        <w:t>ámbito competencial (por todas, STC 194/2011, de 13 de diciembre, FJ 5), lo cual no excluye que el ejercicio de esta competencia sea susceptible de revisión por este Tribunal (STC 330/1994, de 15 de diciembre, FJ 6).</w:t>
      </w:r>
    </w:p>
    <w:p w:rsidR="00D06117" w:rsidRDefault="00D06117" w:rsidP="00D06117">
      <w:pPr>
        <w:pStyle w:val="TextoNormal"/>
      </w:pPr>
    </w:p>
    <w:p w:rsidR="00D06117" w:rsidRDefault="00D06117" w:rsidP="00D06117">
      <w:pPr>
        <w:pStyle w:val="TextoNormal"/>
      </w:pPr>
      <w:r>
        <w:t>Ahora bien, una vez constatado que todas las Comunidades Autónomas han asumido competencias a través de sus respectivos Estatutos de Autonomía, debemos recordar la regla general según la cual debe diferenciarse entre el ejercicio de las competencias autonómicas y sus efectos, de manera que aquéllas no revierten al Estado sin más por sus efectos supraterritoriales.</w:t>
      </w:r>
    </w:p>
    <w:p w:rsidR="00D06117" w:rsidRDefault="00D06117" w:rsidP="00D06117">
      <w:pPr>
        <w:pStyle w:val="TextoNormal"/>
      </w:pPr>
    </w:p>
    <w:p w:rsidR="00D06117" w:rsidRDefault="00D06117" w:rsidP="00D06117">
      <w:pPr>
        <w:pStyle w:val="TextoNormal"/>
      </w:pPr>
      <w:r>
        <w:t>Dicho traslado de titularidad, con base en la extraterritorialidad, tiene carácter excepcional, de manera que sólo podrá tener lugar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(STC 194/2011, de 13 de diciembre, FJ 5). En consecuencia, “sin que el recurso a la técnica del desplazamiento de competencias al Estado, en el caso de efectos extraterritoriales del ejercicio de la competencia ejecutiva autonómica, deba ser asumido como solución. El Estado, al fijar los puntos de conexión territorial que estimase oportunos y resultasen acordes con la finalidad perseguida por la norma, estaría determinando, precisamente, la Comunidad Autónoma a la que en cada caso correspondería ejercer las funciones de ejecución a las que la norma hace referencia, ofreciendo a las Comunidades Autónomas una regla de atribución de competencias que pretende evitar el eventual conflicto de intereses” (STC 194/2011, de 13 de diciembre, FJ 6).</w:t>
      </w:r>
    </w:p>
    <w:p w:rsidR="00D06117" w:rsidRDefault="00D06117" w:rsidP="00D06117">
      <w:pPr>
        <w:pStyle w:val="TextoNormal"/>
      </w:pPr>
    </w:p>
    <w:p w:rsidR="00D06117" w:rsidRDefault="00D06117" w:rsidP="00D06117">
      <w:pPr>
        <w:pStyle w:val="TextoNormal"/>
      </w:pPr>
      <w:r>
        <w:t xml:space="preserve">En este caso se trata de una materia, el juego, que según ha quedado señalado es de competencia exclusiva de las Comunidades Autónomas en su ámbito territorial, sin perjuicio de las competencias del Estado cuando su ámbito sea nacional. Pues bien, debe convenirse con la demandante en que no resultan evidentes las razones que justificarían la utilización de la supraterritorialidad como criterio determinante para la atribución de competencias al Estado. Cabe ciertamente pensar en otros mecanismos de cooperación, incluso entre Comunidades Autónomas, que pudieran dar solución a los eventuales problemas de efectos extraterritoriales en la materia del juego y apuestas, cuando su ámbito supere el autonómico y sea inferior al nacional, máxime al tratarse de una materia que admite el fraccionamiento en su ejercicio, sin que por tanto sea preciso atribuir su ejercicio a un único titular. En otras palabras, y como afirmamos en la ya citada STC 194/2011, de 13 de diciembre (FJ 6), bien que en relación a la materia laboral, el recurso a la técnica del desplazamiento de competencias al Estado, en el caso de efectos extraterritoriales del ejercicio de la competencia ejecutiva autonómica, no puede ser asumido como solución sin más. Incluso es de constatar que esta interpretación, de ausencia de necesidad o de justificación de la extraterritorialidad como criterio atributivo de competencia, ha sido asumida por el legislador estatal, de manera </w:t>
      </w:r>
      <w:r>
        <w:lastRenderedPageBreak/>
        <w:t>que la referencia al carácter supra autonómico de la actividad ha desaparecido tras la derogación de la disposición adicional vigésima, mediante la disposición derogatoria, apartado 2, inciso decimocuarto de la citada Ley 13/2011.</w:t>
      </w:r>
    </w:p>
    <w:p w:rsidR="00D06117" w:rsidRDefault="00D06117" w:rsidP="00D06117">
      <w:pPr>
        <w:pStyle w:val="TextoNormal"/>
      </w:pPr>
    </w:p>
    <w:p w:rsidR="00D06117" w:rsidRDefault="00D06117" w:rsidP="00D06117">
      <w:pPr>
        <w:pStyle w:val="TextoNormal"/>
      </w:pPr>
      <w:r>
        <w:t>A partir de lo que antecede, procede estimar la causa de inconstitucionalidad que los recurrentes imputan a la disposición adicional vigésima de la Ley 24/2001, de 27 de diciembre, de medidas fiscales, administrativas y del orden social, en cuanto al inciso “exceda de los límites de una concreta Comunidad Autónoma”, al vulnerar el orden constitucional de competencias, por atribuírselas al Estado cuando el juego es de ámbito supra autonómico y, como aquí ocurre, inferior al nacional.</w:t>
      </w:r>
    </w:p>
    <w:p w:rsidR="00D06117" w:rsidRDefault="00D06117" w:rsidP="00D06117">
      <w:pPr>
        <w:pStyle w:val="TextoNormal"/>
      </w:pPr>
    </w:p>
    <w:p w:rsidR="00D06117" w:rsidRDefault="00D06117" w:rsidP="00D06117">
      <w:pPr>
        <w:pStyle w:val="TextoNormal"/>
      </w:pPr>
      <w:r w:rsidRPr="00D06117">
        <w:rPr>
          <w:rStyle w:val="NumeroAFNegritaCaracter"/>
        </w:rPr>
        <w:t>6</w:t>
      </w:r>
      <w:r>
        <w:t>. El segundo motivo de inconstitucionalidad invocado en la demanda se refiere al reparto de poder tributario en la materia de juego, en lo que atañe a las tasas sobre rifas. Antes de abordar su examen, es preciso realizar una serie de consideraciones en relación a su naturaleza jurídica. La recurrente asume que, pese a su nomen iuris, dichas “tasas” son realmente “impuestos”, pues gravan la actividad de los jugadores o apostantes y no una determinada actuación administrativa, lo que a su juicio habría establecido ya este Tribunal en la STC 296/1994, de 10 de noviembre (FJ 4). El Abogado del Estado y la representación del Senado no se pronuncian al respecto, si bien de sus escritos se infiere que también asumen dicha naturaleza impositiva.</w:t>
      </w:r>
    </w:p>
    <w:p w:rsidR="00D06117" w:rsidRDefault="00D06117" w:rsidP="00D06117">
      <w:pPr>
        <w:pStyle w:val="TextoNormal"/>
      </w:pPr>
    </w:p>
    <w:p w:rsidR="00D06117" w:rsidRDefault="00D06117" w:rsidP="00D06117">
      <w:pPr>
        <w:pStyle w:val="TextoNormal"/>
      </w:pPr>
      <w:r>
        <w:t>Pues bien, que estemos ante un impuesto o una tasa no es una cuestión menor, sino que adquiere la mayor relevancia a la hora de analizar cuál deba ser el reparto competencial en esta materia y, en particular, si la configuración del punto de conexión es o no compatible con el orden constitucional. En el caso de las tasas, hemos afirmado reiteradamente que la competencia para su creación y regulación se encuentra estrechamente ligada a la competencia material, de manera que “la competencia para crear tasas por servicios deriva necesariamente de la que se ostenta para crear las instituciones y organizar los servicios públicos correspondientes” (SSTC 37/1981, de 16 de noviembre, FJ 4; 149/1991, de 4 de julio, FJ 5; y 204/2002, de 31 de octubre, FJ 3). Ahora bien, la citada vinculación material, que tiene lugar en las tasas, no puede trasladarse a los impuestos, al menos no en el caso del Estado, aunque sí hayamos establecido alguna vinculación, entre competencia material y tributaria, exclusivamente en el caso de impuestos con fines de ordenación o extrafiscales que hayan sido establecidos por las Comunidades Autónomas (por todas, STC 37/1987, de 26 de marzo, FJ 13)</w:t>
      </w:r>
    </w:p>
    <w:p w:rsidR="00D06117" w:rsidRDefault="00D06117" w:rsidP="00D06117">
      <w:pPr>
        <w:pStyle w:val="TextoNormal"/>
      </w:pPr>
    </w:p>
    <w:p w:rsidR="00D06117" w:rsidRDefault="00D06117" w:rsidP="00D06117">
      <w:pPr>
        <w:pStyle w:val="TextoNormal"/>
      </w:pPr>
      <w:r>
        <w:t xml:space="preserve">Precisamente al analizar la naturaleza de la tasa sobre la “expedición de guías de circulación para máquinas recreativas y de azar de los tipos ‘A’, ‘B’ y ‘C’ en todo el territorio nacional” concluimos, en la STC 204/2002, de 31 de octubre (FJ 5) que “[e]l Estado ostenta la competencia para la expedición de las guías y la creación de la correspondiente tasa exclusivamente en las ciudades de Ceuta y Melilla. No siendo esa concreta actuación administrativa en materia de juego encuadrable en otros títulos estatales, como el comercio exterior (art. 149.1.10 CE), ni existiendo una competencia estatal derivada de la extensión territorial del juego (STC 163/1994, de 26 de mayo, FJ 8), la creación de una tasa vinculada a aquella actuación ‘en todo el territorio nacional’ excede las competencias que el Estado tiene constitucionalmente atribuidas en la materia”. Esto nos condujo a declarar inconstitucional el inciso “en todo el territorio nacional”, del título del art. 24 de la Ley 13/1996, de </w:t>
      </w:r>
      <w:r>
        <w:lastRenderedPageBreak/>
        <w:t>30 de diciembre, de medidas fiscales, administrativas y del orden social y de su apartado uno.</w:t>
      </w:r>
    </w:p>
    <w:p w:rsidR="00D06117" w:rsidRDefault="00D06117" w:rsidP="00D06117">
      <w:pPr>
        <w:pStyle w:val="TextoNormal"/>
      </w:pPr>
    </w:p>
    <w:p w:rsidR="00D06117" w:rsidRDefault="00D06117" w:rsidP="00D06117">
      <w:pPr>
        <w:pStyle w:val="TextoNormal"/>
      </w:pPr>
      <w:r>
        <w:t>Pues bien, frente a lo que parece asumirse en el escrito de demanda, lo cierto es que, hasta el momento, este Tribunal no se ha pronunciado sobre la naturaleza jurídica de las tasas sobre rifas. En las SSTC 126/1987, de 16 de julio (FJ 12) y 296/1994, de 10 de noviembre (FJ 4) se abordó exclusivamente la “tasa sobre juegos de suerte, envite o azar y apuestas”, constatándose entonces que, pese a su denominación legal, se trataba realmente de un impuesto, naturaleza jurídica que se deducía principalmente de que la autorización a que hace referencia la norma reguladora de dicha “tasa” no integra en realidad el presupuesto de hecho del tributo, pues no es precisa para la realización de su hecho imponible, constituido por la organización y celebración de los juegos en él contemplados.</w:t>
      </w:r>
    </w:p>
    <w:p w:rsidR="00D06117" w:rsidRDefault="00D06117" w:rsidP="00D06117">
      <w:pPr>
        <w:pStyle w:val="TextoNormal"/>
      </w:pPr>
    </w:p>
    <w:p w:rsidR="00D06117" w:rsidRDefault="00D06117" w:rsidP="00D06117">
      <w:pPr>
        <w:pStyle w:val="TextoNormal"/>
      </w:pPr>
      <w:r>
        <w:t>Puesto que no cabe trasladar, sin más, las conclusiones alcanzadas sobre la tasa sobre juegos a las tasas sobre rifas objeto de enjuiciamiento en el presente recurso, procede a continuación analizar la estructura de estas últimas, partiendo de que, como afirmamos en la citada STC 296/1994, de 10 de noviembre (FJ 4) “las categorías tributarias, más allá de las denominaciones legales, tienen cada una de ellas la naturaleza propia y específica que les corresponde de acuerdo con la configuración y estructura que reciban en el régimen jurídico a que vengan sometidas, que debe ser el argumento decisivo a tener en cuenta para delimitar el orden constitucional de competencias, el cual, al no ser disponible por la ley, no puede hacerse depender de la mera denominación que el legislador, a su discreción, asigne al tributo”.</w:t>
      </w:r>
    </w:p>
    <w:p w:rsidR="00D06117" w:rsidRDefault="00D06117" w:rsidP="00D06117">
      <w:pPr>
        <w:pStyle w:val="TextoNormal"/>
      </w:pPr>
    </w:p>
    <w:p w:rsidR="00D06117" w:rsidRDefault="00D06117" w:rsidP="00D06117">
      <w:pPr>
        <w:pStyle w:val="TextoNormal"/>
      </w:pPr>
      <w:r>
        <w:t>Bajo el epígrafe “tasas sobre rifas” se incluyen en realidad cuatro gravámenes, siendo el hecho imponible, según establece el art. 36 del Decreto 3059/1966, la “autorización, celebración u organización de rifas, tómbolas, apuestas y combinaciones aleatorias”. Son sujetos pasivos de estas tasas, de acuerdo con el art. 37, “los organizadores de rifas y tómbolas y las Empresas cuyas actividades incluyan la celebración de apuestas o desarrollen combinaciones aleatorias con fines publicitarios”. La base imponible y los tipos de gravamen difieren en función de la figura tributaria: en las rifas y tómbolas, la base imponible estará formada, en el supuesto general, por el “importe total de los boletos, billetes o medios de participación ofrecidos o, en defecto de soportes físicos, del importe total de los ingresos obtenidos”, ascendiendo el tipo de gravamen, también para el supuesto general, al 15 por 100 de dicha base; la base imponible de las apuestas está formada por el “importe total de los billetes, boletos o resguardos de participación vendidos, sea cual fuere el medio a través del cual se hayan realizado”, siendo el tipo de gravamen general del 10 por 100; la base imponible en el caso del juego mediante combinaciones aleatorias, está formada por el valor de los premios ofrecidos, ascendiendo el tipo de gravamen al 10 por 100 de dicho valor. Por último, el devengo de estas figuras difiere también en función de las mismas. Así, el art. 40 del Decreto 3059/1966, dispone que, en el caso de las rifas, tómbolas y combinaciones aleatorias, el devengo tenga lugar en el momento de concederse la autorización, que será necesaria para cada una de ellas. Sin embargo, a renglón seguido la norma establece que las tasas se devengarán también en ausencia de dicha autorización, en el momento que se celebren los correspondientes juegos, y sin perjuicio de las responsabilidades que procedieran.</w:t>
      </w:r>
    </w:p>
    <w:p w:rsidR="00D06117" w:rsidRDefault="00D06117" w:rsidP="00D06117">
      <w:pPr>
        <w:pStyle w:val="TextoNormal"/>
      </w:pPr>
    </w:p>
    <w:p w:rsidR="00D06117" w:rsidRDefault="00D06117" w:rsidP="00D06117">
      <w:pPr>
        <w:pStyle w:val="TextoNormal"/>
      </w:pPr>
      <w:r>
        <w:lastRenderedPageBreak/>
        <w:t>A la luz de la regulación que antecede, puede afirmarse que todas las figuras tributarias incluidas en las tasas sobre rifas tienen naturaleza de “impuesto”, y no de “tasa”. Esta naturaleza viene dada fundamentalmente, por un lado, por la configuración de la base imponible, que está conectada con la capacidad económica puesta de manifiesto por la organización de dichos juegos, atendiendo a la cuantía económica que en cada caso se juega o puede potencialmente ganarse (importe de los boletos, valor de los premios ofrecidos, etc.), esto es, a la magnitud de la actividad económica en particular. Y por otro lado, por la configuración del devengo, que tiene lugar también sin vinculación con la citada autorización administrativa.</w:t>
      </w:r>
    </w:p>
    <w:p w:rsidR="00D06117" w:rsidRDefault="00D06117" w:rsidP="00D06117">
      <w:pPr>
        <w:pStyle w:val="TextoNormal"/>
      </w:pPr>
    </w:p>
    <w:p w:rsidR="00D06117" w:rsidRDefault="00D06117" w:rsidP="00D06117">
      <w:pPr>
        <w:pStyle w:val="TextoNormal"/>
      </w:pPr>
      <w:r>
        <w:t>Procede, en consecuencia trasladar ahora aquí, parcialmente, pues se trata de figuras tributarias diferentes, algunas de las conclusiones que alcanzamos en la citada STC 296/1994, y señalar que las tasas sobre rifas son impuestos, a pesar de su nomen iuris, ya que con dichos tributos “no se pretende la contraprestación proporcional, más o menos aproximada, del coste de un servicio o realización de actividades en régimen de Derecho público”, tratándose así de impuestos que gravan la organización de determinados juegos de azar en atención al rendimiento esperado, en función de distintos indicadores, como el valor de las participaciones, boletos o premios ofertados.</w:t>
      </w:r>
    </w:p>
    <w:p w:rsidR="00D06117" w:rsidRDefault="00D06117" w:rsidP="00D06117">
      <w:pPr>
        <w:pStyle w:val="TextoNormal"/>
      </w:pPr>
    </w:p>
    <w:p w:rsidR="00D06117" w:rsidRDefault="00D06117" w:rsidP="00D06117">
      <w:pPr>
        <w:pStyle w:val="TextoNormal"/>
      </w:pPr>
      <w:r>
        <w:t>A partir de las anteriores consideraciones, y teniendo en cuenta que, con independencia de su nomen iuris las tasas sobre rifas tienen naturaleza impositiva, el criterio que ha de servir para dilucidar el reparto de poder tributario debe ser el aplicable, con carácter general, al establecimiento y regulación de impuestos. Pues bien, aunque no carece de lógica que la potestad tributaria tenga alguna vinculación con la competencia sustantiva o material, debe recordarse que el Estado, en su competencia para establecer impuestos, goza de un amplio margen de configuración que le permite en principio establecerlos sobre cualquier fuente de capacidad económica (arts. 133.1 y 149.1.14 CE), sin perjuicio de que cuando dicho ejercicio de poder tributario implique el gravamen de hechos imponibles de las Comunidades Autónomas, que además supongan a éstas una disminución de ingresos, el Estado habrá de instrumentar “las medidas de compensación o coordinación adecuadas en favor de las mismas” (art. 6.2 LOFCA). En consecuencia, el hecho de que la materia juego sea de competencia exclusiva de las Comunidades Autónomas en sus respectivos territorios debe ser deslindado del ámbito competencial en materia tributaria, pues en el caso de los impuestos la competencia material no impide la potestad del Estado para establecer impuestos que tomen como base la capacidad económica puesta de manifiesto por esta actividad económica, aunque de acuerdo con la doctrina supra citada (SSTC 37/1981, FJ 4; 149/1991, FJ 5; 204/2002, FJ 3) sí pudiera, en determinadas circunstancias, limitar el establecimiento de tasas, por estar éstas vinculadas estrechamente al ejercicio de competencias materiales.</w:t>
      </w:r>
    </w:p>
    <w:p w:rsidR="00D06117" w:rsidRDefault="00D06117" w:rsidP="00D06117">
      <w:pPr>
        <w:pStyle w:val="TextoNormal"/>
      </w:pPr>
    </w:p>
    <w:p w:rsidR="00D06117" w:rsidRDefault="00D06117" w:rsidP="00D06117">
      <w:pPr>
        <w:pStyle w:val="TextoNormal"/>
      </w:pPr>
      <w:r w:rsidRPr="00D06117">
        <w:rPr>
          <w:rStyle w:val="NumeroAFNegritaCaracter"/>
        </w:rPr>
        <w:t>7</w:t>
      </w:r>
      <w:r>
        <w:t>. Procede ahora abordar los motivos de inconstitucionalidad imputables a algunos aspectos de la regulación estatal de las tasas sobre rifas. Se cuestiona en primer lugar que se establezca como punto de conexión para la exigencia de estas tasas el ámbito territorial “superior al de una Comunidad Autónoma”. A ello se opone el Abogado del Estado, con el argumento de que sería competencia del Estado, como titular del tributo, regular el citado punto de conexión, teniendo en cuenta además que el gravamen no ha sido cedido cuando se trata de juegos de ámbito supracomunitario. Para la representación del Senado la tacha debe ser desestimada porque la supraterritorialidad en este caso tan sólo trataría de ajustar la potestad tributaria a los supuestos que exceden del ámbito autonómico.</w:t>
      </w:r>
    </w:p>
    <w:p w:rsidR="00D06117" w:rsidRDefault="00D06117" w:rsidP="00D06117">
      <w:pPr>
        <w:pStyle w:val="TextoNormal"/>
      </w:pPr>
    </w:p>
    <w:p w:rsidR="00D06117" w:rsidRDefault="00D06117" w:rsidP="00D06117">
      <w:pPr>
        <w:pStyle w:val="TextoNormal"/>
      </w:pPr>
      <w:r>
        <w:lastRenderedPageBreak/>
        <w:t>Esta tacha de inconstitucionalidad sería imputable al art. 24 de la Ley 24/2001, que reforma el art. 36 del Decreto 3059/1966, precepto que en el momento de interposición del presente recurso de inconstitucionalidad tenía el siguiente tenor:</w:t>
      </w:r>
    </w:p>
    <w:p w:rsidR="00D06117" w:rsidRDefault="00D06117" w:rsidP="00D06117">
      <w:pPr>
        <w:pStyle w:val="TextoNormal"/>
      </w:pPr>
    </w:p>
    <w:p w:rsidR="00D06117" w:rsidRDefault="00D06117" w:rsidP="00D06117">
      <w:pPr>
        <w:pStyle w:val="TextoNormal"/>
      </w:pPr>
      <w:r>
        <w:t>“Artículo 36. Hecho imponible.</w:t>
      </w:r>
    </w:p>
    <w:p w:rsidR="00D06117" w:rsidRDefault="00D06117" w:rsidP="00D06117">
      <w:pPr>
        <w:pStyle w:val="TextoNormal"/>
      </w:pPr>
    </w:p>
    <w:p w:rsidR="00D06117" w:rsidRDefault="00D06117" w:rsidP="00D06117">
      <w:pPr>
        <w:pStyle w:val="TextoNormal"/>
      </w:pPr>
      <w:r>
        <w:t>Se exigirán estas tasas por la autorización, celebración u organización de rifas, tómbolas, apuestas y combinaciones aleatorias cuyo ámbito territorial de participación sea nacional o, en todo caso, superior al de una Comunidad Autónoma, cualquiera que sea el medio manual, técnico, telemático o interactivo a través del que se realicen.”</w:t>
      </w:r>
    </w:p>
    <w:p w:rsidR="00D06117" w:rsidRDefault="00D06117" w:rsidP="00D06117">
      <w:pPr>
        <w:pStyle w:val="TextoNormal"/>
      </w:pPr>
    </w:p>
    <w:p w:rsidR="00D06117" w:rsidRDefault="00D06117" w:rsidP="00D06117">
      <w:pPr>
        <w:pStyle w:val="TextoNormal"/>
      </w:pPr>
      <w:r>
        <w:t>Debe tenerse en cuenta el contexto de la presente controversia. Como ya hemos expuesto, durante la pendencia de este proceso, el art. 36 del Decreto 3059/1966 ha sido reformado en dos ocasiones. En primer lugar, por el art. 12.1 de la Ley 53/2002, de 30 de diciembre, de medidas fiscales, administrativas y del orden social, para añadir un último inciso: “Por el contrario, será exigible por cada concreta Comunidad Autónoma cuando el ámbito territorial de participación no exceda del suyo propio.” La segunda reforma de este artículo tuvo lugar mediante el número 2 de la disposición final quinta de la Ley 13/2011, de 27 de mayo, de regulación del juego, que otorgó la redacción hoy vigente a este precepto: “Se exigirán estas tasas por la autorización, celebración u organización de rifas, tómbolas, apuestas y combinaciones aleatorias, salvo que estuvieran sujetas al Impuesto sobre las actividades de juego, establecido en la Ley 11/2011 [sic, Ley 13/2011], de regulación del juego. Su exacción corresponderá al Estado cuando el ámbito territorial de participación sea estatal.” Ambas modificaciones no han afectado a la pervivencia del proceso en atención a su naturaleza competencial, como ya hemos señalado en el fundamento jurídico 2 b).</w:t>
      </w:r>
    </w:p>
    <w:p w:rsidR="00D06117" w:rsidRDefault="00D06117" w:rsidP="00D06117">
      <w:pPr>
        <w:pStyle w:val="TextoNormal"/>
      </w:pPr>
    </w:p>
    <w:p w:rsidR="00D06117" w:rsidRDefault="00D06117" w:rsidP="00D06117">
      <w:pPr>
        <w:pStyle w:val="TextoNormal"/>
      </w:pPr>
      <w:r>
        <w:t>Para abordar ese motivo de inconstitucionalidad, debemos comenzar por constatar que las tasas sobre rifas son impuestos cedidos, y en consecuencia, la competencia para establecerlo y regularlo corresponde al Estado, por mor de los arts. 133.1 y 149.1.14 CE (por todas, STC 192/2000, de 13 de julio, FJ 9). Desde la Ley 14/1996, de 30 de diciembre, de cesión de tributos del Estado a las Comunidades Autónomas y de medidas fiscales complementarias, la cesión de tributos sobre el juego incluye, además de la recaudación, la delegación de facultades normativas, de acuerdo con lo dispuesto en el art. 150.1 CE. Así, en el art. 13.Seis de dicha norma se afirmaba que “las Comunidades Autónomas podrán regular las exenciones, base imponible, los tipos de gravamen, las cuotas fijas, las bonificaciones y el devengo, así como los aspectos de gestión, liquidación, recaudación e inspección”. Posteriormente, la Ley 21/2001, en su art. 42, en vigor en el momento de interposición de este recurso, reiteró la anterior delegación de competencias normativas, que se hizo efectiva para la Generalitat de Cataluña, tras la aprobación de la Ley 17/2002, de 1 de julio, del régimen de cesión de tributos del Estado a la Generalitat de Cataluña y de fijación del alcance y condiciones de dicha cesión. En la actualidad, dicho marco normativo, que no ha sufrido modificaciones sustanciales en lo que se refiere a la delegación de potestades normativas sobre los tributos sobre el juego, se contiene en la Ley 22/2009, de 18 de diciembre, por la que se regula el sistema de financiación de las Comunidades Autónomas de régimen común y ciudades con Estatuto de Autonomía y se modifican determinadas normas tributarias y la Ley 16/2010, de 16 de julio, del régimen de cesión de tributos del Estado a la Comunidad Autónoma de Cataluña y de fijación del alcance y condiciones de dicha cesión.</w:t>
      </w:r>
    </w:p>
    <w:p w:rsidR="00D06117" w:rsidRDefault="00D06117" w:rsidP="00D06117">
      <w:pPr>
        <w:pStyle w:val="TextoNormal"/>
      </w:pPr>
    </w:p>
    <w:p w:rsidR="00D06117" w:rsidRDefault="00D06117" w:rsidP="00D06117">
      <w:pPr>
        <w:pStyle w:val="TextoNormal"/>
      </w:pPr>
      <w:r>
        <w:lastRenderedPageBreak/>
        <w:t>Pues bien, si la cesión del tributo no implica, en modo alguno, “la transmisión de la titularidad sobre el mismo o sobre el ejercicio de las competencias inherentes al mismo” (SSTC 192/2000, de 13 de julio, FJ 8; 16/2003, de 30 de enero, FJ 11; y 72/2003, de 10 de abril, FJ 5), pues los tributos cedidos son de titularidad estatal (art. 10 LOFCA, art. 45 de la Ley 22/2009), es evidente que forma parte de la libertad de configuración del legislador estatal, con respecto de estos impuestos, la regulación del hecho imponible que se lleva a cabo en el art. 36 aquí impugnado, lo que es coherente con la propia regulación de las tasas sobre rifas, como parte de los “tributos sobre el juego”, y su configuración en el bloque de la constitucionalidad como impuesto cedido, que la recurrente no ha cuestionado en ningún momento.</w:t>
      </w:r>
    </w:p>
    <w:p w:rsidR="00D06117" w:rsidRDefault="00D06117" w:rsidP="00D06117">
      <w:pPr>
        <w:pStyle w:val="TextoNormal"/>
      </w:pPr>
    </w:p>
    <w:p w:rsidR="00D06117" w:rsidRDefault="00D06117" w:rsidP="00D06117">
      <w:pPr>
        <w:pStyle w:val="TextoNormal"/>
      </w:pPr>
      <w:r>
        <w:t>Procede en consecuencia desestimar esta primera tacha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8</w:t>
      </w:r>
      <w:r>
        <w:t>. El segundo motivo de inconstitucionalidad se refiere a la alteración del hecho imponible que se habría producido tras la reforma del art. 36, y la introducción de la mención a las nuevas tecnologías en dicho artículo y en el art. 38. Ambas modificaciones, operadas por el art. 24 de la Ley 24/2001, habrían tenido como consecuencia que la Comunidad Autónoma se viera desapoderada del tributo, con la consiguiente merma recaudatoria. Para el Abogado del Estado, este motivo debe ser rechazado porque parte de una interpretación de las normas vigentes que es totalmente ilógica, ya que implicaría la existencia de una contradicción entre la Ley 24/2001, parcialmente impugnada aquí, y la Ley 21/2001 cuyo art. 26 cede el tributo cedido aquí controvertido.</w:t>
      </w:r>
    </w:p>
    <w:p w:rsidR="00D06117" w:rsidRDefault="00D06117" w:rsidP="00D06117">
      <w:pPr>
        <w:pStyle w:val="TextoNormal"/>
      </w:pPr>
    </w:p>
    <w:p w:rsidR="00D06117" w:rsidRDefault="00D06117" w:rsidP="00D06117">
      <w:pPr>
        <w:pStyle w:val="TextoNormal"/>
      </w:pPr>
      <w:r>
        <w:t>Este segundo motivo de inconstitucionalidad tiene tres aspectos que deben ser abordados por separado.</w:t>
      </w:r>
    </w:p>
    <w:p w:rsidR="00D06117" w:rsidRDefault="00D06117" w:rsidP="00D06117">
      <w:pPr>
        <w:pStyle w:val="TextoNormal"/>
      </w:pPr>
    </w:p>
    <w:p w:rsidR="00D06117" w:rsidRDefault="00D06117" w:rsidP="00D06117">
      <w:pPr>
        <w:pStyle w:val="TextoNormal"/>
      </w:pPr>
      <w:r>
        <w:t>En primer lugar, aduce la recurrente que la modificación del hecho imponible regulado en el art. 36 del Decreto 3059/1966 tendría como resultado el que las tasas sólo podrán referirse a los supuestos en que las mismas tengan un ámbito territorial de participación nacional o, en todo caso, superior al de una Comunidad Autónoma. Ello conduce, se afirma en el escrito, a la supresión de los ingresos tributarios por este concepto, al hacer imposible la recaudación de las tasas sobre el juego en el ámbito estrictamente autonómico. En consecuencia, habría desaparecido el hecho imponible para las rifas o apuestas en que sólo se participe desde Cataluña, con la consiguiente pérdida de recaudación.</w:t>
      </w:r>
    </w:p>
    <w:p w:rsidR="00D06117" w:rsidRDefault="00D06117" w:rsidP="00D06117">
      <w:pPr>
        <w:pStyle w:val="TextoNormal"/>
      </w:pPr>
    </w:p>
    <w:p w:rsidR="00D06117" w:rsidRDefault="00D06117" w:rsidP="00D06117">
      <w:pPr>
        <w:pStyle w:val="TextoNormal"/>
      </w:pPr>
      <w:r>
        <w:t xml:space="preserve">Debemos comenzar por constatar, como hace el Abogado del Estado en su escrito, que en la misma fecha en que se aprobó la ley aquí recurrida, tuvo lugar la aprobación de la Ley 21/2001, que ampliaba el alcance y condiciones de la cesión de tributos, manteniéndose la cesión de los tributos del juego en los términos de la anterior Ley 14/1996. Así, el art. 26 de la Ley 21/2001, tras establecer la cesión a la Comunidad Autónoma del “rendimiento de los Tributos sobre el Juego producido en su territorio”, establece que “en la Tasa Estatal sobre Rifas, Tómbolas, Apuestas y Combinaciones Aleatorias, se entiende producido el rendimiento en el territorio de cada Comunidad Autónoma cuando la Administración de dicha Comunidad autorice la celebración o hubiera sido la competente para autorizarla en los supuestos en que se organicen o celebren sin solicitud de dicha autorización”. Por su parte, el art. 42, determina que en los tributos sobre el juego las Comunidades Autónomas podrán asumir competencias normativas sobre exenciones, base imponible, tipos de gravamen y </w:t>
      </w:r>
      <w:r>
        <w:lastRenderedPageBreak/>
        <w:t>cuotas fijas, bonificaciones y devengo, pudiendo además las Comunidades Autónomas “regular los aspectos de gestión, liquidación, recaudación e inspección”.</w:t>
      </w:r>
    </w:p>
    <w:p w:rsidR="00D06117" w:rsidRDefault="00D06117" w:rsidP="00D06117">
      <w:pPr>
        <w:pStyle w:val="TextoNormal"/>
      </w:pPr>
    </w:p>
    <w:p w:rsidR="00D06117" w:rsidRDefault="00D06117" w:rsidP="00D06117">
      <w:pPr>
        <w:pStyle w:val="TextoNormal"/>
      </w:pPr>
      <w:r>
        <w:t>Para interpretar correctamente el marco normativo anterior, es preciso recordar nuestra doctrina en materia de interpretación normativa y en particular el principio de conservación de la norma impugnada, a tenor de la cual la norma debe preservarse cuando su texto no impida una interpretación adecuada a la Constitución (STC 108/1986, de 29 de julio). Aunque es evidente, como también hemos reconocido, que la interpretación conforme a la Constitución no carece de límites, pues en ningún caso se podrá “ignorar o desfigurar el sentido de los enunciados legales meridianos” (por todas, STC 222/1992, de 11 de diciembre, FJ 2), de manera que “la interpretación conforme no puede ser una interpretación contra legem” (STC 247/2007, de 12 de diciembre, FJ 4). En esta labor interpretativa, debe además partirse de las más básicas reglas de la hermenéutica, de manera que deberán ser rechazadas las interpretaciones normativas que conduzcan a resultados ilógicos o absurdos.</w:t>
      </w:r>
    </w:p>
    <w:p w:rsidR="00D06117" w:rsidRDefault="00D06117" w:rsidP="00D06117">
      <w:pPr>
        <w:pStyle w:val="TextoNormal"/>
      </w:pPr>
    </w:p>
    <w:p w:rsidR="00D06117" w:rsidRDefault="00D06117" w:rsidP="00D06117">
      <w:pPr>
        <w:pStyle w:val="TextoNormal"/>
      </w:pPr>
      <w:r>
        <w:t>A partir de esta doctrina, debe rechazarse la premisa que inspira la primera parte de este motivo, y convenir con el Abogado del Estado cuando afirma que no era la intención del legislador estatal el desapoderar a las Comunidades Autónomas de este tributo, pues carece de toda lógica que una norma (Ley 24/2001) tratara de eliminar en la práctica para las Comunidades Autónomas un tributo cuyo marco general de cesión se aprueba el mismo día (Ley 21/2001), máxime cuando esta última norma estaba dirigida a ampliar el alcance y condiciones de los tributos cedidos, ampliando sustancialmente las facultades normativas de las Comunidades Autónomas sobre éstos con respecto a la Ley anterior (14/1996).</w:t>
      </w:r>
    </w:p>
    <w:p w:rsidR="00D06117" w:rsidRDefault="00D06117" w:rsidP="00D06117">
      <w:pPr>
        <w:pStyle w:val="TextoNormal"/>
      </w:pPr>
    </w:p>
    <w:p w:rsidR="00D06117" w:rsidRDefault="00D06117" w:rsidP="00D06117">
      <w:pPr>
        <w:pStyle w:val="TextoNormal"/>
      </w:pPr>
      <w:r>
        <w:t>La primera parte de este motivo, relativa a la supresión de los ingresos tributarios autonómicos por este tributo cedido como consecuencia de su reforma, debe en consecuencia ser desestimada.</w:t>
      </w:r>
    </w:p>
    <w:p w:rsidR="00D06117" w:rsidRDefault="00D06117" w:rsidP="00D06117">
      <w:pPr>
        <w:pStyle w:val="TextoNormal"/>
      </w:pPr>
    </w:p>
    <w:p w:rsidR="00D06117" w:rsidRDefault="00D06117" w:rsidP="00D06117">
      <w:pPr>
        <w:pStyle w:val="TextoNormal"/>
      </w:pPr>
      <w:r w:rsidRPr="00D06117">
        <w:rPr>
          <w:rStyle w:val="NumeroAFNegritaCaracter"/>
        </w:rPr>
        <w:t>9</w:t>
      </w:r>
      <w:r>
        <w:t>. En segundo lugar, y como segundo aspecto del motivo de inconstitucionalidad, sostiene la recurrente que se habría producido una modificación del alcance y condiciones de la cesión del tributo, concretada en las Leyes 14/1996, de 30 de diciembre, de cesión de tributos del Estado a las Comunidades Autónomas y de medidas fiscales complementarias (Ley 14/1996, en adelante) y 31/1997, de 4 de agosto, de modificación del régimen de cesión de tributos del Estado a la Generalitat de Cataluña y de fijación del alcance y condiciones de dicha cesión (Ley 31/1997, en adelante). Dicha modificación se habría llevado a cabo de forma unilateral, sin haber seguido el procedimiento establecido en la disposición adicional sexta EAC, apartado 1, letra g), que habría exigido la intervención de una comisión mixta.</w:t>
      </w:r>
    </w:p>
    <w:p w:rsidR="00D06117" w:rsidRDefault="00D06117" w:rsidP="00D06117">
      <w:pPr>
        <w:pStyle w:val="TextoNormal"/>
      </w:pPr>
    </w:p>
    <w:p w:rsidR="00D06117" w:rsidRDefault="00D06117" w:rsidP="00D06117">
      <w:pPr>
        <w:pStyle w:val="TextoNormal"/>
      </w:pPr>
      <w:r>
        <w:t xml:space="preserve">Antes de abordar el fondo de esta queja, es pertinente precisar qué normas integran el bloque de la constitucionalidad en materia de tributos cedidos y cuál es el mecanismo a través del cual se realiza dicha cesión. Dicho marco, no está previsto en la Constitución, sino en la LOFCA, cuyo art. 10.2 establece que “se entenderá efectuada la cesión cuando haya tenido lugar en virtud de precepto expreso del Estatuto correspondiente, sin perjuicio de que el alcance y condiciones de la misma se establezcan en una ley específica”. Esta remisión a una ley ordinaria constituye un supuesto de colaboración entre ambas clases de normas que hemos considerado adecuado, ya que “no existe, de principio, imposibilidad constitucional para que la Ley Orgánica llame a la ordinaria a integrar en algunos extremos </w:t>
      </w:r>
      <w:r>
        <w:lastRenderedPageBreak/>
        <w:t>sus disposiciones ‘de desarrollo’, dando lugar a una colaboración entre normas” (SSTC 137/1986, de 6 de noviembre, FJ 3, y 224/1993, de 1 de julio, FJ 3).</w:t>
      </w:r>
    </w:p>
    <w:p w:rsidR="00D06117" w:rsidRDefault="00D06117" w:rsidP="00D06117">
      <w:pPr>
        <w:pStyle w:val="TextoNormal"/>
      </w:pPr>
    </w:p>
    <w:p w:rsidR="00D06117" w:rsidRDefault="00D06117" w:rsidP="00D06117">
      <w:pPr>
        <w:pStyle w:val="TextoNormal"/>
      </w:pPr>
      <w:r>
        <w:t>De esta manera, en el citado procedimiento de atribución de los impuestos cedidos a las Comunidades Autónomas intervienen en la actualidad cuatro normas, pues además del correspondiente Estatuto de Autonomía y la LOFCA, hay una ley que establece, entre otros aspectos, las condiciones generales de la cesión de tributos, y una última ley que concreta la cesión para cada Comunidad Autónoma. La ley general era, hasta el 31 de diciembre de 2001, la Ley 14/1996, a partir del 1 de enero de 2002, la Ley 21/2001, y en la actualidad, la Ley 22/2009, de 18 de diciembre, por la que se regula el sistema de financiación de las Comunidades Autónomas de régimen común y ciudades con Estatuto de Autonomía y se modifican determinadas normas tributarias. La cuarta norma que interviene en el proceso es una ley específica de cesión, que atribuye los impuestos cedidos a cada Comunidad Autónoma en particular. Junto al anterior bloque normativo, el art. 210 del vigente Estatuto de Autonomía de Cataluña prevé que la norma específica de cesión sea aprobada previo acuerdo en la “Comisión Mixta de Asuntos Económicos y Fiscales Estado-Generalitat”, a la que corresponde, entre otros aspectos, “acordar el alcance y condiciones de la cesión de tributos de titularidad estatal” [art. 210.2 a)]. Este procedimiento constituye una garantía procedimental, que “no impide, limita ni menoscaba la potestad legislativa plena que, de acuerdo con el art. 66.2 CE, ejercen las Cortes Generales” (SSTC 181/1988, de 13 de octubre, FJ 4, y 204/2011, de 15 de diciembre, FJ 7). Finalmente, en relación con los tributos cedidos, hemos reiterado también en numerosas ocasiones que el Estado, titular de los mismos, puede modificarlos o incluso suprimirlos, pues “la cesión del tributo no implica, en modo alguno, ni la transmisión de la titularidad sobre el mismo o sobre el ejercicio de las competencias que le son inherentes, ni, tampoco ... el carácter irrevocable de la cesión” (por todas, STC 16/2003, de 30 de enero, FJ 11).</w:t>
      </w:r>
    </w:p>
    <w:p w:rsidR="00D06117" w:rsidRDefault="00D06117" w:rsidP="00D06117">
      <w:pPr>
        <w:pStyle w:val="TextoNormal"/>
      </w:pPr>
    </w:p>
    <w:p w:rsidR="00D06117" w:rsidRDefault="00D06117" w:rsidP="00D06117">
      <w:pPr>
        <w:pStyle w:val="TextoNormal"/>
      </w:pPr>
      <w:r>
        <w:t>A partir de lo que antecede, es claro que el Estado puede modificar el alcance y las condiciones de la cesión de un tributo, o incluso suprimirlo, si bien deberá respetar el citado marco procedimental, que además deberá tener lugar con carácter previo a la presentación del proyecto de ley específica de cesión. En el presente supuesto, no era preciso el acuerdo en comisión mixta, ya que la modificación de la tasa sobre rifas no supuso, como se ha comprobado, alteración alguna en el alcance y condiciones de la cesión de este tributo.</w:t>
      </w:r>
    </w:p>
    <w:p w:rsidR="00D06117" w:rsidRDefault="00D06117" w:rsidP="00D06117">
      <w:pPr>
        <w:pStyle w:val="TextoNormal"/>
      </w:pPr>
    </w:p>
    <w:p w:rsidR="00D06117" w:rsidRDefault="00D06117" w:rsidP="00D06117">
      <w:pPr>
        <w:pStyle w:val="TextoNormal"/>
      </w:pPr>
      <w:r>
        <w:t>En consecuencia, la segunda parte de este motivo de inconstitucionalidad, relativa a la modificación unilateral de la cesión de tributos por parte del Estado, debe también ser desestimada.</w:t>
      </w:r>
    </w:p>
    <w:p w:rsidR="00D06117" w:rsidRDefault="00D06117" w:rsidP="00D06117">
      <w:pPr>
        <w:pStyle w:val="TextoNormal"/>
      </w:pPr>
    </w:p>
    <w:p w:rsidR="00D06117" w:rsidRDefault="00D06117" w:rsidP="00D06117">
      <w:pPr>
        <w:pStyle w:val="TextoNormal"/>
      </w:pPr>
      <w:r w:rsidRPr="00D06117">
        <w:rPr>
          <w:rStyle w:val="NumeroAFNegritaCaracter"/>
        </w:rPr>
        <w:t>10</w:t>
      </w:r>
      <w:r>
        <w:t>. Debemos responder, en tercer lugar, a la tacha que se imputa al art. 24 de la Ley 24/2001, que reforma el art. 38, apartados 2 y 4, del Decreto 3059/1966 introduciendo la referencia a medios tecnológicos, en el apartado 2. A juicio de la recurrente, la modificación del art. 38 desapoderaría a las Comunidades Autónomas del tributo, ya que se facilita la posibilidad de que el juego tenga un ámbito superior al de una Comunidad Autónoma y por tanto resulte un tributo a favor del Estado. Para el Abogado de Estado, esta norma forma parte de la delimitación del tributo cedido, por lo que solicita también la desestimación de esta tacha.</w:t>
      </w:r>
    </w:p>
    <w:p w:rsidR="00D06117" w:rsidRDefault="00D06117" w:rsidP="00D06117">
      <w:pPr>
        <w:pStyle w:val="TextoNormal"/>
      </w:pPr>
    </w:p>
    <w:p w:rsidR="00D06117" w:rsidRDefault="00D06117" w:rsidP="00D06117">
      <w:pPr>
        <w:pStyle w:val="TextoNormal"/>
      </w:pPr>
      <w:r>
        <w:t>El art. 38, apartados 2 y 4, tiene el siguiente tenor:</w:t>
      </w:r>
    </w:p>
    <w:p w:rsidR="00D06117" w:rsidRDefault="00D06117" w:rsidP="00D06117">
      <w:pPr>
        <w:pStyle w:val="TextoNormal"/>
      </w:pPr>
    </w:p>
    <w:p w:rsidR="00D06117" w:rsidRDefault="00D06117" w:rsidP="00D06117">
      <w:pPr>
        <w:pStyle w:val="TextoNormal"/>
      </w:pPr>
      <w:r>
        <w:t>“En las apuestas que se celebren de conformidad con el artículo 36, el tipo será para todas ellas, con carácter general, el 10 por cien del importe total de los billetes, boletos o resguardos de participación vendidos, sea cual fuere el medio a través del cual se hayan realizado.”</w:t>
      </w:r>
    </w:p>
    <w:p w:rsidR="00D06117" w:rsidRDefault="00D06117" w:rsidP="00D06117">
      <w:pPr>
        <w:pStyle w:val="TextoNormal"/>
      </w:pPr>
    </w:p>
    <w:p w:rsidR="00D06117" w:rsidRDefault="00D06117" w:rsidP="00D06117">
      <w:pPr>
        <w:pStyle w:val="TextoNormal"/>
      </w:pPr>
      <w:r>
        <w:t>Y en el apartado 4:</w:t>
      </w:r>
    </w:p>
    <w:p w:rsidR="00D06117" w:rsidRDefault="00D06117" w:rsidP="00D06117">
      <w:pPr>
        <w:pStyle w:val="TextoNormal"/>
      </w:pPr>
    </w:p>
    <w:p w:rsidR="00D06117" w:rsidRDefault="00D06117" w:rsidP="00D06117">
      <w:pPr>
        <w:pStyle w:val="TextoNormal"/>
      </w:pPr>
      <w:r>
        <w:t>“Para la determinación de las bases podrán utilizarse los regímenes de estimación directa o estimación objetiva, regulados en el artículo 47 de la Ley General Tributaria. Podrá igualmente determinarse, mediante convenios, sirviendo en todo caso como signos, índices o módulos el número y valor de los billetes, boletos o resguardos de participación, sea cual fuere el medio a través del cual se hubieran expedido o emitido, el importe de los premios y las bases de población. En los supuestos de participación a través de medios técnicos, telemáticos o interactivos y la base debiera determinarse en función de la misma, estos medios deberán contener el procedimiento o los elementos de control necesarios que garanticen su completa exactitud.”</w:t>
      </w:r>
    </w:p>
    <w:p w:rsidR="00D06117" w:rsidRDefault="00D06117" w:rsidP="00D06117">
      <w:pPr>
        <w:pStyle w:val="TextoNormal"/>
      </w:pPr>
    </w:p>
    <w:p w:rsidR="00D06117" w:rsidRDefault="00D06117" w:rsidP="00D06117">
      <w:pPr>
        <w:pStyle w:val="TextoNormal"/>
      </w:pPr>
      <w:r>
        <w:t>Al respecto, debe comenzarse por señalar que, por las mismas razones expuestas con anterioridad, el legislador ni elimina, ni minimiza la recaudación de este tributo para las Comunidades Autónomas. Puede además convenirse con la representación del Senado cuando afirma que se trata de cláusulas de progreso técnico, necesarias para la adecuada efectividad de los tributos y en particular para evitar que quede sin gravar el cada vez más extendido fenómeno del juego on-line. Es evidente que el juego es una actividad que puede realizarse de diversas maneras, y precisamente una de las más relevantes en los últimos años, gracias al avance de las nuevas tecnologías, es la que tiene lugar a través de Internet. No puede desconocerse el reto que el uso de los medios telemáticos plantea no ya sólo a los tributos sobre el juego, sino en general a los sistemas tributarios, tradicionalmente basados en la posibilidad de determinar la localización de los contribuyentes, mediante el empleo de puntos de conexión, como la residencia o el lugar de negocio, que son fácilmente comprobables. La actual regulación del juego estatal, contenida en la Ley 13/2011 aborda precisamente este problema en su art. 2.2, apartado b), declarando la exclusión del ámbito de aplicación de la norma a “las actividades de juego realizadas a través de medios electrónicos, informáticos, telemáticos o interactivos cuyo ámbito no sea estatal”. En fin, los preceptos impugnados aquí, como también la nueva ley estatal, intentan establecer un equilibrio entre tributación del juego presencial y juego on-line, cuyo acierto técnico no procede enjuiciar aquí, más que para determinar si supone una invasión del ámbito competencial autonómico, y en concreto un “desapoderamiento” del tributo, algo que no ha sido constatado.</w:t>
      </w:r>
    </w:p>
    <w:p w:rsidR="00D06117" w:rsidRDefault="00D06117" w:rsidP="00D06117">
      <w:pPr>
        <w:pStyle w:val="TextoNormal"/>
      </w:pPr>
    </w:p>
    <w:p w:rsidR="00D06117" w:rsidRDefault="00D06117" w:rsidP="00D06117">
      <w:pPr>
        <w:pStyle w:val="TextoNormal"/>
      </w:pPr>
      <w:r>
        <w:t>En todo caso, de los términos en que argumenta la recurrente tampoco es posible extraer la consecuencia que se denuncia, pues el escrito se limita a afirmar que la utilización de los medios informáticos y telemáticos propiciarían que el tributo fuera en la práctica recaudado principalmente por el Estado. Sin embargo, no hay en la demanda datos suficientes para concluir que el resultado habría de ser el denunciado, por lo que aceptar esta tacha conduciría a llevar a cabo un pronunciamiento preventivo, algo que hemos rechazado de forma reiterada (por todas, STC 204/2011, de 15 de diciembre, FJ 8).</w:t>
      </w:r>
    </w:p>
    <w:p w:rsidR="00D06117" w:rsidRDefault="00D06117" w:rsidP="00D06117">
      <w:pPr>
        <w:pStyle w:val="TextoNormal"/>
      </w:pPr>
    </w:p>
    <w:p w:rsidR="00D06117" w:rsidRDefault="00D06117" w:rsidP="00D06117">
      <w:pPr>
        <w:pStyle w:val="TextoNormal"/>
      </w:pPr>
      <w:r>
        <w:t>En consecuencia, procede desestimar también este último motivo de inconstitucionalidad.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Declarar la inconstitucionalidad del inciso “o exceda de los límites de una concreta Comunidad Autónoma”, de la disposición adicional vigésima de la Ley 24/2001.</w:t>
      </w:r>
    </w:p>
    <w:p w:rsidR="00D06117" w:rsidRDefault="00D06117" w:rsidP="00D06117">
      <w:pPr>
        <w:pStyle w:val="TextoNormal"/>
      </w:pPr>
    </w:p>
    <w:p w:rsidR="00D06117" w:rsidRDefault="00D06117" w:rsidP="00D06117">
      <w:pPr>
        <w:pStyle w:val="TextoNormal"/>
      </w:pPr>
      <w:r>
        <w:t>Desestimar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quince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39" w:name="SENTENCIA_2012_36"/>
      <w:r>
        <w:lastRenderedPageBreak/>
        <w:t>SENTENCIA 36/2012, de 15 de marzo de 2012</w:t>
      </w:r>
    </w:p>
    <w:bookmarkEnd w:id="3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ECLI:ES:TC:2012:36</w:t>
      </w:r>
    </w:p>
    <w:p w:rsidR="00D06117" w:rsidRDefault="00D06117" w:rsidP="00D06117">
      <w:pPr>
        <w:pStyle w:val="SntesisDescriptiva"/>
      </w:pPr>
    </w:p>
    <w:p w:rsidR="00D06117" w:rsidRDefault="00D06117" w:rsidP="00D06117">
      <w:pPr>
        <w:pStyle w:val="SntesisDescriptiva"/>
      </w:pPr>
      <w:r>
        <w:t>Conflicto positivo de competencia 1401-2008. Interpuesto por el Gobierno de La Rioja en relación con el Real Decreto 1472/2007, de 2 de noviembre, por el que se regula la renta básica de emancipación de los jóvenes.</w:t>
      </w:r>
    </w:p>
    <w:p w:rsidR="00D06117" w:rsidRDefault="00D06117" w:rsidP="00D06117">
      <w:pPr>
        <w:pStyle w:val="SntesisDescriptiva"/>
      </w:pPr>
    </w:p>
    <w:p w:rsidR="00D06117" w:rsidRDefault="00D06117" w:rsidP="00D06117">
      <w:pPr>
        <w:pStyle w:val="SntesisAnaltica"/>
      </w:pPr>
      <w:r>
        <w:t>Competencias sobre ordenación general de la economía, vivienda y asistencia social: nulidad de diversos preceptos reglamentarios que vulneran competencias autonómicas (STC 13/1992). Voto particular.</w:t>
      </w:r>
    </w:p>
    <w:p w:rsidR="00D06117" w:rsidRDefault="00D06117" w:rsidP="00D06117">
      <w:pPr>
        <w:pStyle w:val="SntesisAnaltica"/>
      </w:pPr>
    </w:p>
    <w:p w:rsidR="00D06117" w:rsidRDefault="00D06117" w:rsidP="00D06117">
      <w:pPr>
        <w:pStyle w:val="Extracto"/>
      </w:pPr>
      <w:r>
        <w:t>1.</w:t>
      </w:r>
      <w:r>
        <w:tab/>
        <w:t xml:space="preserve">La renta básica de emancipación, consistente en un conjunto de ayudas directas del Estado destinadas al apoyo económico para el pago del alquiler de la vivienda, se conecta con mayor intensidad con la materia asistencia social –sobre la que las Comunidades Autónomas pueden asumir la competencia, </w:t>
      </w:r>
      <w:r w:rsidRPr="00D06117">
        <w:rPr>
          <w:i/>
        </w:rPr>
        <w:t>ex</w:t>
      </w:r>
      <w:r>
        <w:t xml:space="preserve"> art. 148.1.20 CE–, en cuanto tratan de resolver una problemática social facilitando a determinados grupos de personas con rentas reducidas la efectiva emancipación respecto de sus familias [FFJJ 4, 5].</w:t>
      </w:r>
    </w:p>
    <w:p w:rsidR="00D06117" w:rsidRDefault="00D06117" w:rsidP="00D06117">
      <w:pPr>
        <w:pStyle w:val="Extracto"/>
      </w:pPr>
    </w:p>
    <w:p w:rsidR="00D06117" w:rsidRDefault="00D06117" w:rsidP="00D06117">
      <w:pPr>
        <w:pStyle w:val="Extracto"/>
      </w:pPr>
      <w:r>
        <w:t>2.</w:t>
      </w:r>
      <w:r>
        <w:tab/>
        <w:t>El encuadramiento competencial de la renta básica de emancipación en la materia de asistencia social se aparta claramente de nuestra anterior doctrina –en la cual afirmamos que la materia competencial afectada era la relativa a vivienda, y que las competencias reconocidas al Estado en el art. 149.1.13 CE darían cobertura a la adopción de medidas como las establecidas en la norma cuestionada–, por lo que se hace necesario reconsiderar y sustituir dichos criterios por los establecidos en la presente resolución, alterando, en lo que proceda, la doctrina sentada en la STC 129/2010 [FJ 5].</w:t>
      </w:r>
    </w:p>
    <w:p w:rsidR="00D06117" w:rsidRDefault="00D06117" w:rsidP="00D06117">
      <w:pPr>
        <w:pStyle w:val="Extracto"/>
      </w:pPr>
    </w:p>
    <w:p w:rsidR="00D06117" w:rsidRDefault="00D06117" w:rsidP="00D06117">
      <w:pPr>
        <w:pStyle w:val="Extracto"/>
      </w:pPr>
      <w:r>
        <w:t>3.</w:t>
      </w:r>
      <w:r>
        <w:tab/>
        <w:t>La renta básica de emancipación no se ubica de modo principal en la materia de vivienda, ya que ésta presenta tan sólo una relación mediata o instrumental con la misma, en la medida en que el fin primordial de facilitar el acceso a una vivienda en alquiler es el de fomentar la emancipación de los jóvenes, no tratándose por tanto, de desarrollar una política en materia de vivienda, fomentando de forma más intensa el alquiler [FJ 5].</w:t>
      </w:r>
    </w:p>
    <w:p w:rsidR="00D06117" w:rsidRDefault="00D06117" w:rsidP="00D06117">
      <w:pPr>
        <w:pStyle w:val="Extracto"/>
      </w:pPr>
    </w:p>
    <w:p w:rsidR="00D06117" w:rsidRDefault="00D06117" w:rsidP="00D06117">
      <w:pPr>
        <w:pStyle w:val="Extracto"/>
      </w:pPr>
      <w:r>
        <w:t>4.</w:t>
      </w:r>
      <w:r>
        <w:tab/>
        <w:t xml:space="preserve">La renta básica de emancipación no tiene encaje en la competencia estatal sobre bases y coordinación de la planificación general de la actividad económica, </w:t>
      </w:r>
      <w:r w:rsidRPr="00D06117">
        <w:rPr>
          <w:i/>
        </w:rPr>
        <w:t>ex</w:t>
      </w:r>
      <w:r>
        <w:t xml:space="preserve"> art. 149.1.13 CE, en tanto que, por su escasa relevancia económica, no supone una medida que incida directa y significativamente sobre la actividad económica general [FJ 5].</w:t>
      </w:r>
    </w:p>
    <w:p w:rsidR="00D06117" w:rsidRDefault="00D06117" w:rsidP="00D06117">
      <w:pPr>
        <w:pStyle w:val="Extracto"/>
      </w:pPr>
    </w:p>
    <w:p w:rsidR="00D06117" w:rsidRDefault="00D06117" w:rsidP="00D06117">
      <w:pPr>
        <w:pStyle w:val="Extracto"/>
      </w:pPr>
      <w:r>
        <w:t>5.</w:t>
      </w:r>
      <w:r>
        <w:tab/>
        <w:t xml:space="preserve">En ejercicio de la potestad subvencional del gasto público, cuando la Comunidad Autónoma ostenta una competencia exclusiva sobre una determinada materia y el Estado no invoca título competencial alguno sobre la misma, corresponde a éste </w:t>
      </w:r>
      <w:r>
        <w:lastRenderedPageBreak/>
        <w:t>decidir sobre la asignación de parte de sus fondos presupuestarios a esa materia y regular los aspectos centrales del régimen subvencional, siendo de competencia autonómica lo atinente a su gestión (SSTC 98/2001, 178/2011) [FFJJ 8 a 10].</w:t>
      </w:r>
    </w:p>
    <w:p w:rsidR="00D06117" w:rsidRDefault="00D06117" w:rsidP="00D06117">
      <w:pPr>
        <w:pStyle w:val="Extracto"/>
      </w:pPr>
    </w:p>
    <w:p w:rsidR="00D06117" w:rsidRDefault="00D06117" w:rsidP="00D06117">
      <w:pPr>
        <w:pStyle w:val="Extracto"/>
      </w:pPr>
      <w:r>
        <w:t>6.</w:t>
      </w:r>
      <w:r>
        <w:tab/>
        <w:t>La facultad de gasto público no es título legitimador de atribución de competencias, ya que la inversión de fondos propios en una determinada actividad no es un título competencial, ni el solo hecho de financiar puede erigirse en núcleo que atraiga hacia sí toda competencia sobre los variados aspectos a que pueda dar lugar la actividad de financiación (SSTC 179/1985, 95/1986) [FJ 7].</w:t>
      </w:r>
    </w:p>
    <w:p w:rsidR="00D06117" w:rsidRDefault="00D06117" w:rsidP="00D06117">
      <w:pPr>
        <w:pStyle w:val="Extracto"/>
      </w:pPr>
    </w:p>
    <w:p w:rsidR="00D06117" w:rsidRDefault="00D06117" w:rsidP="00D06117">
      <w:pPr>
        <w:pStyle w:val="Extracto"/>
      </w:pPr>
      <w:r>
        <w:t>7.</w:t>
      </w:r>
      <w:r>
        <w:tab/>
        <w:t>El carácter de ayuda directa de la renta de emancipación no invade las competencias autonómicas ya que el Estado puede asignar fondos públicos a cualquier finalidad lícita, incluso aunque implique la financiación de acciones de fomento en materias de competencia exclusiva de las Comunidades Autónomas (SSTC 13/1992, 202/1992) [FJ 9].</w:t>
      </w:r>
    </w:p>
    <w:p w:rsidR="00D06117" w:rsidRDefault="00D06117" w:rsidP="00D06117">
      <w:pPr>
        <w:pStyle w:val="Extracto"/>
      </w:pPr>
    </w:p>
    <w:p w:rsidR="00D06117" w:rsidRDefault="00D06117" w:rsidP="00D06117">
      <w:pPr>
        <w:pStyle w:val="Extracto"/>
      </w:pPr>
      <w:r>
        <w:t>8.</w:t>
      </w:r>
      <w:r>
        <w:tab/>
        <w:t>El establecimiento de un plazo máximo de resolución, común en todo el territorio nacional, puede ser concebido como criterio coordinador que no menoscaba competencia autonómica alguna, en tanto que puede resultar adecuado, en ocasiones, que el Estado establezca condiciones que garanticen una cierta homogeneidad de la gestión de las subvenciones (STC 129/2010) [FJ 10].</w:t>
      </w:r>
    </w:p>
    <w:p w:rsidR="00D06117" w:rsidRDefault="00D06117" w:rsidP="00D06117">
      <w:pPr>
        <w:pStyle w:val="Extracto"/>
      </w:pPr>
    </w:p>
    <w:p w:rsidR="00D06117" w:rsidRDefault="00D06117" w:rsidP="00D06117">
      <w:pPr>
        <w:pStyle w:val="Extracto"/>
      </w:pPr>
      <w:r>
        <w:t>9.</w:t>
      </w:r>
      <w:r>
        <w:tab/>
        <w:t>La declaración de compatibilidad de la renta básica de emancipación con las ayudas que puedan establecer las Comunidades Autónomas no vulnera las competencias autonómicas, toda vez que esa declaración se remite a lo que disponga la normativa autonómica, que queda en libertad para decidir si las subvenciones, ayudas, o beneficios fiscales que establezca sean o no compatibles con la renta básica de emancipación (STC 129/2010) [FJ 11].</w:t>
      </w:r>
    </w:p>
    <w:p w:rsidR="00D06117" w:rsidRDefault="00D06117" w:rsidP="00D06117">
      <w:pPr>
        <w:pStyle w:val="Extracto"/>
      </w:pPr>
    </w:p>
    <w:p w:rsidR="00D06117" w:rsidRDefault="00D06117" w:rsidP="00D06117">
      <w:pPr>
        <w:pStyle w:val="Extracto"/>
      </w:pPr>
      <w:r>
        <w:t>10.</w:t>
      </w:r>
      <w:r>
        <w:tab/>
        <w:t>Vulnera las competencias autonómicas el precepto que permite a las Comunidades Autónomas establecer tan sólo excepcionalmente requisitos adicionales para la concesión de la renta básica de emancipación condicionándolos al informe favorable de la comisión de seguimiento prevista en la norma estatal, porque ostentando en esta materia la Comunidad Autónoma de La Rioja una competencia exclusiva que le faculta para el diseño de políticas propias, el Estado sólo puede regular los aspectos más generales de la subvención (STC 129/2010) [FJ 9].</w:t>
      </w:r>
    </w:p>
    <w:p w:rsidR="00D06117" w:rsidRDefault="00D06117" w:rsidP="00D06117">
      <w:pPr>
        <w:pStyle w:val="Extracto"/>
      </w:pPr>
    </w:p>
    <w:p w:rsidR="00D06117" w:rsidRDefault="00D06117" w:rsidP="00D06117">
      <w:pPr>
        <w:pStyle w:val="Extracto"/>
      </w:pPr>
      <w:r>
        <w:t>11.</w:t>
      </w:r>
      <w:r>
        <w:tab/>
        <w:t>La habilitación al Ministerio de Vivienda para aprobar disposiciones para el desarrollo, ejecución y cumplimiento de lo establecido en el Real Decreto cuestionado vulnera las competencias de la Comunidad Autónoma de La Rioja, ya que atribuye a un órgano estatal funciones aplicativas y de desarrollo normativo que corresponden a la Comunidad Autónoma [FJ 11].</w:t>
      </w:r>
    </w:p>
    <w:p w:rsidR="00D06117" w:rsidRDefault="00D06117" w:rsidP="00D06117">
      <w:pPr>
        <w:pStyle w:val="Extracto"/>
      </w:pPr>
    </w:p>
    <w:p w:rsidR="00D06117" w:rsidRDefault="00D06117" w:rsidP="00D06117">
      <w:pPr>
        <w:pStyle w:val="Extracto"/>
      </w:pPr>
      <w:r>
        <w:t>12.</w:t>
      </w:r>
      <w:r>
        <w:tab/>
        <w:t>La imposición a las Comunidades Autónomas de la obligación de interactuar con entidades colaboradoras seleccionadas por el Ministerio de Vivienda vulnera las competencias autonómicas, al reservar a un órgano estatal facultades relacionadas con la gestión de las ayudas que corresponden a la Comunidad Autónoma por ostentar competencia exclusiva sobre la materia [FJ 9].</w:t>
      </w:r>
    </w:p>
    <w:p w:rsidR="00D06117" w:rsidRDefault="00D06117" w:rsidP="00D06117">
      <w:pPr>
        <w:pStyle w:val="Extracto"/>
      </w:pPr>
    </w:p>
    <w:p w:rsidR="00D06117" w:rsidRDefault="00D06117" w:rsidP="00D06117">
      <w:pPr>
        <w:pStyle w:val="Extracto"/>
      </w:pPr>
      <w:r>
        <w:t>13.</w:t>
      </w:r>
      <w:r>
        <w:tab/>
        <w:t>No resulta constitucionalmente lícita la imposición a la Comunidad Autónoma de la obligación de comunicar al Ministerio de Vivienda la modificación de las condiciones que determinaron el reconocimiento del derecho a las ayudas, al suponer un control sobre la actividad de gestión de las ayudas que invade la autonomía financiera autonómica [FJ 9].</w:t>
      </w:r>
    </w:p>
    <w:p w:rsidR="00D06117" w:rsidRDefault="00D06117" w:rsidP="00D06117">
      <w:pPr>
        <w:pStyle w:val="Extracto"/>
      </w:pPr>
    </w:p>
    <w:p w:rsidR="00D06117" w:rsidRDefault="00D06117" w:rsidP="00D06117">
      <w:pPr>
        <w:pStyle w:val="Extracto"/>
      </w:pPr>
      <w:r>
        <w:t>14.</w:t>
      </w:r>
      <w:r>
        <w:tab/>
        <w:t>El Estado no puede condicionar el ejercicio de las competencias autonómicas en materia de gestión de ayudas a la firma de un convenio, pues con ello se vulneran las competencias autonómicas en la materia correspondiente, las cuales incluyen la potestad de dictar normas procedimentales respecto a las ayudas de que se trate (STC 175/2003) [FFJJ 10, 11].</w:t>
      </w:r>
    </w:p>
    <w:p w:rsidR="00D06117" w:rsidRDefault="00D06117" w:rsidP="00D06117">
      <w:pPr>
        <w:pStyle w:val="Extracto"/>
      </w:pPr>
    </w:p>
    <w:p w:rsidR="00D06117" w:rsidRDefault="00D06117" w:rsidP="00D06117">
      <w:pPr>
        <w:pStyle w:val="Extracto"/>
      </w:pPr>
      <w:r>
        <w:t>15.</w:t>
      </w:r>
      <w:r>
        <w:tab/>
        <w:t>El Estado no puede condicionar la finalidad de las subvenciones más allá del alcance de los títulos competenciales que amparen su intervención, sin que pueda privar a las Comunidades Autónomas competentes en la materia del desarrollo, en el sector subvencionado, de una política propia orientada a la satisfacción de sus intereses peculiares (SSTC 146/1986, 13/1992) [FJ 7].</w:t>
      </w:r>
    </w:p>
    <w:p w:rsidR="00D06117" w:rsidRDefault="00D06117" w:rsidP="00D06117">
      <w:pPr>
        <w:pStyle w:val="Extracto"/>
      </w:pPr>
    </w:p>
    <w:p w:rsidR="00D06117" w:rsidRDefault="00D06117" w:rsidP="00D06117">
      <w:pPr>
        <w:pStyle w:val="Extracto"/>
      </w:pPr>
      <w:r>
        <w:t>16.</w:t>
      </w:r>
      <w:r>
        <w:tab/>
        <w:t xml:space="preserve">Doctrina sobre competencias del Estado en materia de planificación general de la actividad económica, </w:t>
      </w:r>
      <w:r w:rsidRPr="00D06117">
        <w:rPr>
          <w:i/>
        </w:rPr>
        <w:t>ex</w:t>
      </w:r>
      <w:r>
        <w:t xml:space="preserve"> art. 149.1.13 CE (SSTC 152/1988, 77/2004) [FJ 4].</w:t>
      </w:r>
    </w:p>
    <w:p w:rsidR="00D06117" w:rsidRDefault="00D06117" w:rsidP="00D06117">
      <w:pPr>
        <w:pStyle w:val="Extracto"/>
      </w:pPr>
    </w:p>
    <w:p w:rsidR="00D06117" w:rsidRDefault="00D06117" w:rsidP="00D06117">
      <w:pPr>
        <w:pStyle w:val="Extracto"/>
      </w:pPr>
      <w:r>
        <w:t>17.</w:t>
      </w:r>
      <w:r>
        <w:tab/>
        <w:t>Doctrina sobre competencias autonómicas en materia de vivienda (STC 152/1988) [FJ 4].</w:t>
      </w:r>
    </w:p>
    <w:p w:rsidR="00D06117" w:rsidRDefault="00D06117" w:rsidP="00D06117">
      <w:pPr>
        <w:pStyle w:val="Extracto"/>
      </w:pPr>
    </w:p>
    <w:p w:rsidR="00D06117" w:rsidRDefault="00D06117" w:rsidP="00D06117">
      <w:pPr>
        <w:pStyle w:val="Extracto"/>
      </w:pPr>
      <w:r>
        <w:t>18.</w:t>
      </w:r>
      <w:r>
        <w:tab/>
        <w:t>Doctrina sobre competencias autonómicas en materia de asistencia social (SSTC 76/1986, 146/1986) [FJ 4].</w:t>
      </w:r>
    </w:p>
    <w:p w:rsidR="00D06117" w:rsidRDefault="00D06117" w:rsidP="00D06117">
      <w:pPr>
        <w:pStyle w:val="Extracto"/>
      </w:pPr>
    </w:p>
    <w:p w:rsidR="00D06117" w:rsidRDefault="00D06117" w:rsidP="00D06117">
      <w:pPr>
        <w:pStyle w:val="Extracto"/>
      </w:pPr>
      <w:r>
        <w:t>19.</w:t>
      </w:r>
      <w:r>
        <w:tab/>
        <w:t>Doctrina sobre el encuadramiento competencial de las ayudas y subvenciones del Estado (SSTC 49/1984, 14/2004) [FFJJ 2 a 5].</w:t>
      </w:r>
    </w:p>
    <w:p w:rsidR="00D06117" w:rsidRDefault="00D06117" w:rsidP="00D06117">
      <w:pPr>
        <w:pStyle w:val="Extracto"/>
      </w:pPr>
    </w:p>
    <w:p w:rsidR="00D06117" w:rsidRDefault="00D06117" w:rsidP="00D06117">
      <w:pPr>
        <w:pStyle w:val="Extracto"/>
      </w:pPr>
      <w:r>
        <w:t>20.</w:t>
      </w:r>
      <w:r>
        <w:tab/>
        <w:t>Doctrina sobre la pervivencia del objeto del conflicto positivo de competencia pese a la modificación o derogación de la norma (SSTC 109/2003, 129/2010) [FJ 2].</w:t>
      </w:r>
    </w:p>
    <w:p w:rsidR="00D06117" w:rsidRDefault="00D06117" w:rsidP="00D06117">
      <w:pPr>
        <w:pStyle w:val="Extracto"/>
      </w:pPr>
    </w:p>
    <w:p w:rsidR="00D06117" w:rsidRDefault="00D06117" w:rsidP="00D06117">
      <w:pPr>
        <w:pStyle w:val="Extracto"/>
      </w:pPr>
      <w:r>
        <w:t>21.</w:t>
      </w:r>
      <w:r>
        <w:tab/>
        <w:t>La declaración de inconstitucionalidad y consiguiente nulidad de los preceptos enjuiciados ha de respetar las situaciones jurídicas ya consolidadas (SSTC 75/1989, 175/2003) [FJ 12].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1401-2008, promovido por el Gobierno de La Rioja, representado por la Letrada de la Comunidad Autónoma de La Rioja, contra el Real Decreto 1472/2007, de 2 de noviembre, por el que se regula la renta básica de emancipación de los jóvenes. Ha comparecido y formulado alegaciones la Abogada del Estado.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20 de febrero de 2008 la Letrada de la Comunidad Autónoma de La Rioja, en la representación que legalmente ostenta del Gobierno de dicha Comunidad Autónoma, promueve conflicto positivo de competencia contra el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El conflicto se fundamenta en la vulneración de las competencias autonómicas en materia de vivienda y de acción social. Así, tras referirse en primer lugar al contenido del Real Decreto 1472/2007, la representación procesal del Gobierno de La Rioja cuestiona que éste pueda encontrar amparo en las competencias estatales del art. 149.1.13 CE puesto que el mismo tiene una relación más directa con las competencias autonómicas en materia de vivienda y asistencia social respecto a las que corresponde a la Comunidad Autónoma, en los términos del art. 8.2 de su Estatuto de Autonomía, la potestad legislativa, la reglamentaria y la función ejecutiva. Tal afirmación se basa en la apreciación de que la finalidad de la norma impugnada es paliar, por medio de prestaciones económicas, una situación de necesidad de los jóvenes y así facilitar su emancipación en un tramo de edad determinado facilitando su acceso a la vivienda en régimen de alquiler, por lo que, con arreglo a esa finalidad, las competencias autonómicas resultarían ser prevalentes, teniendo en cuenta la doctrina de las SSTC 21/1999, FJ 5; 164/2001, FJ 9 y 152/1988, FJ 4, de las cuales deduce igualmente la necesidad de interpretar de forma restrictiva el título competencial estatal del art. 149.1.13 CE cuando concurre con una materia o título más específico, que en el caso resulta ser la asistencia social.</w:t>
      </w:r>
    </w:p>
    <w:p w:rsidR="00D06117" w:rsidRDefault="00D06117" w:rsidP="00D06117">
      <w:pPr>
        <w:pStyle w:val="TextoNormal"/>
      </w:pPr>
    </w:p>
    <w:p w:rsidR="00D06117" w:rsidRDefault="00D06117" w:rsidP="00D06117">
      <w:pPr>
        <w:pStyle w:val="TextoNormal"/>
      </w:pPr>
      <w:r>
        <w:t xml:space="preserve">En segundo lugar se alega la vulneración de la autonomía financiera de las Comunidades Autónomas establecida en el art. 156 CE pues, según resulta de la norma impugnada, la Administración general del Estado se reserva la autorización de los pagos, atribuyendo a las Comunidades Autónomas la instrucción de los procedimientos y el reconocimiento del derecho a percibir la ayuda a aquellos solicitantes que reúnan los requisitos establecidos en el Real Decreto 1472/2007. En relación con ello la Letrada de la Comunidad Autónoma de La Rioja argumenta que tal forma de proceder, imponiendo una normativa tan detallada que impide a las Comunidades Autónomas adaptarla a las peculiaridades propias de su territorio, </w:t>
      </w:r>
      <w:r>
        <w:lastRenderedPageBreak/>
        <w:t>supone la utilización del poder de gasto del Estado para vaciar de contenido las competencias exclusivas autonómicas, actuación que resulta vedada por la doctrina establecida por este Tribunal Constitucional, con cita de las SSTC 13/1992, de 6 de febrero y 68/1996, de 18 de abril. En concreto, y en relación a los cuatro supuestos enunciados en la primera, entiende que nos encontraríamos en un caso que debe encuadrarse en el primero de ellos en atención a las competencias exclusivas que, en materia de vivienda y asistencia social, ostenta la Comunidad Autónoma.</w:t>
      </w:r>
    </w:p>
    <w:p w:rsidR="00D06117" w:rsidRDefault="00D06117" w:rsidP="00D06117">
      <w:pPr>
        <w:pStyle w:val="TextoNormal"/>
      </w:pPr>
    </w:p>
    <w:p w:rsidR="00D06117" w:rsidRDefault="00D06117" w:rsidP="00D06117">
      <w:pPr>
        <w:pStyle w:val="TextoNormal"/>
      </w:pPr>
      <w:r>
        <w:t>En tercer lugar, la Letrada autonómica señala la insuficiencia de rango del Real Decreto 1472/2007 puesto que la normativa básica únicamente podría establecerse mediante una norma con rango de ley, correspondiendo al reglamento, con carácter excepcional y limitado, la regulación de aspectos generales y complementarios sin que, en ningún caso, pueda acometerse una regulación global de la materia.</w:t>
      </w:r>
    </w:p>
    <w:p w:rsidR="00D06117" w:rsidRDefault="00D06117" w:rsidP="00D06117">
      <w:pPr>
        <w:pStyle w:val="TextoNormal"/>
      </w:pPr>
    </w:p>
    <w:p w:rsidR="00D06117" w:rsidRDefault="00D06117" w:rsidP="00D06117">
      <w:pPr>
        <w:pStyle w:val="TextoNormal"/>
      </w:pPr>
      <w:r>
        <w:t>Las antedichas vulneraciones competenciales, que se imputan al conjunto del Real Decreto 1472/2007, cuya íntegra declaración de nulidad se solicita, resultan especialmente reflejadas, a juicio de la representación procesal del Gobierno de La Rioja, en los arts. 1 y disposición adicional segunda, en donde el Estado se erige en actor principal del sistema de ayudas que crea calificando como excepcional la posibilidad de establecer requisitos adicionales, respectivamente; 3.3 a) en relación con el 8, por cuanto impone a las Comunidades Autónomas la obligación de interactuar con entidades financieras seleccionadas por el Ministerio de Vivienda; 4, apartados 1, 5 y 6, y 7, apartados 1 y 2, los cuales ponen de manifiesto que las competencias autonómicas se limitan a meras labores de gestión y ejecución en tanto que les imponen actuaciones de instrucción, notificación y mera tramitación administrativa y 9, en cuanto declara la compatibilidad de la renta básica de emancipación con las que, en su caso, puedan establecer las Comunidades Autónomas.</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2 de abril de 2008 el Pleno del Tribunal Constitucional, a propuesta de la Sección Cuarta, acordó admitir a trámite el presente conflicto; atribuir, de conformidad con lo dispuesto en el art. 10.2 de la Ley Orgánica del Tribunal Constitucional,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Real Decreto 1472/2007, en cuyo caso deberá suspenderse el curso del proceso hasta la decisión del conflicto, según dispone el art. 61.2 LOTC y publicar la incoación del conflicto en el “Boletín Oficial del Estado” y en el “Boletín Oficial de La Rioja”.</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de 16 de abril de 2008 la Abogada del Estado se personó en el proceso solicitando una prórroga del plazo conferido para formular alegaciones, prórroga que le fue concedida mediante providencia de la Sala Segunda de 17 de abril de 2008. El escrito de alegaciones de la Abogada del Estado se registró el día 14 de mayo de 2008. En dicho escrito se opone a la demanda por las razones que se recogen a continuación.</w:t>
      </w:r>
    </w:p>
    <w:p w:rsidR="00D06117" w:rsidRDefault="00D06117" w:rsidP="00D06117">
      <w:pPr>
        <w:pStyle w:val="TextoNormal"/>
      </w:pPr>
    </w:p>
    <w:p w:rsidR="00D06117" w:rsidRDefault="00D06117" w:rsidP="00D06117">
      <w:pPr>
        <w:pStyle w:val="TextoNormal"/>
      </w:pPr>
      <w:r>
        <w:t xml:space="preserve">Haciendo previa mención a las alegaciones del Gobierno de La Rioja para fundamentar el planteamiento del conflicto la Abogada del Estado resalta que nos encontramos aquí ante </w:t>
      </w:r>
      <w:r>
        <w:lastRenderedPageBreak/>
        <w:t>un conflicto de competencias en el que, en relación con el otorgamiento de ayudas económicas al servicio de una política sectorial, se enfrentan, de un lado, los correspondientes títulos competenciales específicos de la Comunidad Autónoma sobre el subsector de que se trata y, de otro, la más genérica competencia estatal sobre planificación y coordinación de la actividad económica</w:t>
      </w:r>
    </w:p>
    <w:p w:rsidR="00D06117" w:rsidRDefault="00D06117" w:rsidP="00D06117">
      <w:pPr>
        <w:pStyle w:val="TextoNormal"/>
      </w:pPr>
    </w:p>
    <w:p w:rsidR="00D06117" w:rsidRDefault="00D06117" w:rsidP="00D06117">
      <w:pPr>
        <w:pStyle w:val="TextoNormal"/>
      </w:pPr>
      <w:r>
        <w:t>Acomete a continuación la tarea de justificar la competencia estatal para el dictado del Real Decreto 1472/2007 indicando que el carácter exclusivo de las competencias autonómicas no puede servir de fundamento para restringir las competencias exclusivas que al Estado reconoce la Constitución, de manera que los títulos competenciales estatales de los arts. 149.1.1 y 13 CE suponen una importante matización a la exclusividad de la competencia autonómica en materia de vivienda y asistencia social. De esta suerte el Estado puede, desde una perspectiva nacional, efectuar una programación de los recursos presupuestarios que hayan de asignarse a la promoción del derecho de todos los españoles a una vivienda digna, programación que también supone un elemento esencial de la política económica a la vista de su incidencia final en los mercados inmobiliario y de trabajo sin que su también indudable dimensión social pueda llevar a desvirtuar su naturaleza de medida de política económica. A juicio de la Abogada del Estado resulta innegable que, en un aspecto fundamental para la ordenación y planificación del sector de la vivienda como son las ayudas al alquiler, se ha de conjugar la competencia estatal en materia de bases y coordinación de la planificación general de la actividad económica del art. 149.1.13 CE con las competencias exclusivas que han asumido las Comunidades Autónomas. De esta manera el principio de unidad económica que la Constitución y la doctrina de este Tribunal han reconocido resultaría determinante a la hora de juzgar el presente conflicto pues caben pocas dudas de que la disposición impugnada se sitúa en la ordenación general de la economía ya que el Real Decreto 1472/2007 no es sino una medida de política económica de la que se beneficia un determinado sector de la población para fomentar el mercado inmobiliario en su modalidad de arrendamiento que actúa directamente sobre los mercados de bienes y servicios a nivel nacional.</w:t>
      </w:r>
    </w:p>
    <w:p w:rsidR="00D06117" w:rsidRDefault="00D06117" w:rsidP="00D06117">
      <w:pPr>
        <w:pStyle w:val="TextoNormal"/>
      </w:pPr>
    </w:p>
    <w:p w:rsidR="00D06117" w:rsidRDefault="00D06117" w:rsidP="00D06117">
      <w:pPr>
        <w:pStyle w:val="TextoNormal"/>
      </w:pPr>
      <w:r>
        <w:t>Recuerda seguidamente la doctrina constitucional en materia de subvenciones haciendo referencia a la contenida en la STC 13/1992, deteniéndose en el cuarto y último supuesto del fundamento jurídico 8, relativo a la posibilidad de gestión centralizada por el Estado señalando que, en tanto medida de política económica, encaja en dicho supuesto resultando constitucionalmente admisible la regulación de las ayudas que establece el real decreto sobre el que versa la controversia.</w:t>
      </w:r>
    </w:p>
    <w:p w:rsidR="00D06117" w:rsidRDefault="00D06117" w:rsidP="00D06117">
      <w:pPr>
        <w:pStyle w:val="TextoNormal"/>
      </w:pPr>
    </w:p>
    <w:p w:rsidR="00D06117" w:rsidRDefault="00D06117" w:rsidP="00D06117">
      <w:pPr>
        <w:pStyle w:val="TextoNormal"/>
      </w:pPr>
      <w:r>
        <w:t xml:space="preserve">La Abogada del Estado descarta a continuación que la norma vulnere la autonomía financiera de La Rioja por cuanto el Estado puede destinar fondos para el fomento de una materia aunque ésta sea de la exclusiva competencia autonómica. El Estado efectúa así una programación general que asegure una ordenación racional del subsector económico de la vivienda permitiendo una distribución equilibrada de aquellos recursos entre los diferentes territorios y estableciendo unas condiciones básicas que garanticen una igualdad mínima en el acceso a la vivienda que no impide con ello el establecimiento de requisitos adicionales, peculiares o diferentes a los señalados por el Estado en las actuaciones protegidas por éste en materia de vivienda, que determinarán unas ayudas distintas, sean complementarias o incompatibles con las del Estado. Por ello, dado que la medida de política económica objeto </w:t>
      </w:r>
      <w:r>
        <w:lastRenderedPageBreak/>
        <w:t>de impugnación no se financia con recursos autonómicos sino estatales, estima que se trata de una cuestión que no atañe a la autonomía financiera de las Comunidades Autónomas.</w:t>
      </w:r>
    </w:p>
    <w:p w:rsidR="00D06117" w:rsidRDefault="00D06117" w:rsidP="00D06117">
      <w:pPr>
        <w:pStyle w:val="TextoNormal"/>
      </w:pPr>
    </w:p>
    <w:p w:rsidR="00D06117" w:rsidRDefault="00D06117" w:rsidP="00D06117">
      <w:pPr>
        <w:pStyle w:val="TextoNormal"/>
      </w:pPr>
      <w:r>
        <w:t>Por otra parte señala que el defecto de rango formal imputado a la norma estatal exige tener en cuenta, de un lado, la intervención del legislador al aprobar las consignaciones presupuestarias que dotan de recursos a esta medida y, de otro, la reiterada doctrina sobre el carácter material de la noción de bases, especialmente tratándose de la ordenación de sectores económicos en los que se pone de manifiesto tanto el carácter marcadamente técnico de la materia regulada como su carácter coyuntural puesto de manifiesto en la disposición adicional primera del Real Decreto 1472/2007 y que resultaría incompatible con la rigidez inherente a la ley formal.</w:t>
      </w:r>
    </w:p>
    <w:p w:rsidR="00D06117" w:rsidRDefault="00D06117" w:rsidP="00D06117">
      <w:pPr>
        <w:pStyle w:val="TextoNormal"/>
      </w:pPr>
    </w:p>
    <w:p w:rsidR="00D06117" w:rsidRDefault="00D06117" w:rsidP="00D06117">
      <w:pPr>
        <w:pStyle w:val="TextoNormal"/>
      </w:pPr>
      <w:r>
        <w:t>Finalmente, la Abogada del Estado rechaza los reproches que la demanda dirige específicamente contra concretos preceptos del Real Decreto 1472/2007. Así respecto al art. 1 señala que su impugnación adolece del mismo desenfoque competencial que la demanda en su conjunto. Igualmente descarta la inconstitucionalidad de la disposición adicional segunda, señalando que será la propia Comunidad Autónoma quien libremente establezca o posteriormente valore o constate la concurrencia de cualesquiera circunstancias excepcionales que permitan establecer requisitos adicionales sin que, por otra parte, se impida a la Comunidad Autónoma el desarrollo de las competencias propias en materia de vivienda. En cuanto a los arts. 3.3 a) y 8, cuestionados por atribuir al Ministerio de Vivienda, a través de entidades colaboradoras, la autorización de los pagos a los beneficiarios de las ayudas, estima que a los mismos les resulta de aplicación la doctrina de la STC 152/1988 a fin de asegurar la efectividad de las medidas y garantizar las mismas posibilidades de obtención y disfrute por parte de sus potenciales destinatarios en todo el territorio nacional siendo a la vez un medio necesario para evitar que se sobrepase la cuantía global de los fondos o de los créditos que hayan de destinarse al sector. En el presente supuesto las potestades de gestión reservadas al Estado se limitan a la celebración de convenios con las entidades de crédito y a la autorización del pago de la ayuda, posibilidad cuya corrección técnica habría sido confirmada por este Tribunal en la STC 95/1986 pues con esa reserva competencial se asegura la igualdad en el disfrute por parte de los potenciales destinatarios y se evita que se sobrepase la cuantía global de los fondos destinados al sector. En cuanto al art. 4, del que se cuestionan sus apartados 1, 5 y 6, señala que dicho precepto reserva a la Comunidad Autónoma las actuaciones de instrucción, notificación y tramitación administrativa atribuyéndole expresamente la resolución del reconocimiento del derecho a la renta básica de emancipación, limitándose el Ministerio de Vivienda a realizar un acto debido al emitir la orden de pago. De esta forma establece un mecanismo perfectamente legítimo para articular la gestión autonómica con la naturaleza estatal de los fondos. La impugnación del art. 7, relativa a la suscripción de convenios con las Comunidades Autónomas para la ejecución de lo previsto en el Real Decreto 1472/2007, se rechaza señalando que no es sino manifestación del principio de colaboración resultando, por lo demás, acorde con la reserva al Estado de ciertas funciones ejecutivas. En cuanto al art. 9.1 estima que al tratarse de una ayuda estatal es al Estado a quien corresponde determinar su régimen de compatibilidad con otras ayudas o beneficios.</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El Pleno, en su reunión de 22 de noviembre de 2011, conforme establece el art. 10.1 n) LOTC, en la redacción dada por la Ley Orgánica 6/2007, de 24 de mayo, a propuesta de </w:t>
      </w:r>
      <w:r>
        <w:lastRenderedPageBreak/>
        <w:t>la Sala Segunda, acordó recabar para sí el conocimiento del presente conflicto positivo de competencia.</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13 de marzo de 2012 se señaló para deliberación y votación de la presente Sentencia el día 15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Gobierno de La Rioja frente al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Para el Gobierno de La Rioja la disposición impugnada no respeta el orden de competencias derivado del bloque de constitucionalidad en cuanto que el Estado carecería de competencia para aprobar una disposición como el Real Decreto 1472/2007, disposición con la que se estarían lesionando las competencias autonómicas exclusivas en materia de vivienda y asistencia social. Igualmente se alega la vulneración de la autonomía financiera de La Rioja en tanto que el poder de gasto del Estado no le permite asumir competencias en títulos que no le son propios así como que el rango de la norma es claramente insuficiente para establecer unas bases como las pretendidas. Dichas vulneraciones competenciales se reflejarían en determinados preceptos de la norma cuestionada, citando, en concreto, los arts. 1 y disposición adicional segunda; 3.3 a) y 8; 4, apartados 1, 5 y 6; 7.1 y 2 y 9.1.</w:t>
      </w:r>
    </w:p>
    <w:p w:rsidR="00D06117" w:rsidRDefault="00D06117" w:rsidP="00D06117">
      <w:pPr>
        <w:pStyle w:val="TextoNormal"/>
      </w:pPr>
    </w:p>
    <w:p w:rsidR="00D06117" w:rsidRDefault="00D06117" w:rsidP="00D06117">
      <w:pPr>
        <w:pStyle w:val="TextoNormal"/>
      </w:pPr>
      <w:r>
        <w:t>Por su parte, la Abogada del Estado sostiene que la ayuda establecida en el Real Decreto 1472/2007 encuentra amparo en la competencia estatal del art. 149.1.13 CE, que se ha de conjugar con la autonómica en un aspecto fundamental para la ordenación y planificación del sector de la vivienda, como son las ayudas al alquiler, de manera que las funciones que el Estado se reserva se justifican en atención a la necesidad de garantizar la eficacia de las ayudas así como la igualdad de los solicitantes evitando, al mismo tiempo, que se sobrepase la cuantía global de los fondos destinados a esta finalidad.</w:t>
      </w:r>
    </w:p>
    <w:p w:rsidR="00D06117" w:rsidRDefault="00D06117" w:rsidP="00D06117">
      <w:pPr>
        <w:pStyle w:val="TextoNormal"/>
      </w:pPr>
    </w:p>
    <w:p w:rsidR="00D06117" w:rsidRDefault="00D06117" w:rsidP="00D06117">
      <w:pPr>
        <w:pStyle w:val="TextoNormal"/>
      </w:pPr>
      <w:r w:rsidRPr="00D06117">
        <w:rPr>
          <w:rStyle w:val="NumeroAFNegritaCaracter"/>
        </w:rPr>
        <w:t>2</w:t>
      </w:r>
      <w:r>
        <w:t>. Así expuestos los términos de la controversia trabada entre las partes, para su resolución debemos tener en cuenta dos aspectos. Por una parte, y en cuanto a su objeto, hemos de estar a lo solicitado en el suplico de la demanda, que “es la parte decisiva para reconocer y concretar el objeto de todo recurso” (STC 195/1998, de 1 de octubre, FJ 1), en el cual se pretende, como pronunciamiento principal, que se declare la nulidad del Real Decreto 1472/2007, en su conjunto, por considerar que la competencia controvertida corresponde en exclusiva a la Comunidad Autónoma de La Rioja, careciendo el Estado de toda competencia para su aprobación, en consonancia con el requerimiento de incompetencia dirigido por el Consejo de Gobierno de la Comunidad Autónoma de La Rioja al Gobierno de la Nación.</w:t>
      </w:r>
    </w:p>
    <w:p w:rsidR="00D06117" w:rsidRDefault="00D06117" w:rsidP="00D06117">
      <w:pPr>
        <w:pStyle w:val="TextoNormal"/>
      </w:pPr>
    </w:p>
    <w:p w:rsidR="00D06117" w:rsidRDefault="00D06117" w:rsidP="00D06117">
      <w:pPr>
        <w:pStyle w:val="TextoNormal"/>
      </w:pPr>
      <w:r>
        <w:t xml:space="preserve">Un pronunciamiento a este respecto sólo es posible a partir del encuadre material de la disposición que nos ocupa y de la delimitación de los títulos competenciales que podrían tener incidencia en la regulación que establece, de acuerdo con la reiterada doctrina jurisprudencial de este Tribunal en materia de ayudas y subvenciones, para realizar finalmente un examen individualizado de los preceptos controvertidos para determinar si la regulación </w:t>
      </w:r>
      <w:r>
        <w:lastRenderedPageBreak/>
        <w:t>contenida en cada uno de ellos resulta constitucionalmente lícita, por recaer sobre una materia en la que el Estado tenga atribuidas competencias, o, por el contrario, pertenece a alguna materia que resulte de la exclusiva competencia de la Comunidad Autónoma.</w:t>
      </w:r>
    </w:p>
    <w:p w:rsidR="00D06117" w:rsidRDefault="00D06117" w:rsidP="00D06117">
      <w:pPr>
        <w:pStyle w:val="TextoNormal"/>
      </w:pPr>
    </w:p>
    <w:p w:rsidR="00D06117" w:rsidRDefault="00D06117" w:rsidP="00D06117">
      <w:pPr>
        <w:pStyle w:val="TextoNormal"/>
      </w:pPr>
      <w:r>
        <w:t>Por otra parte, y al igual que dijimos en la STC 129/2010, de 29 de noviembre, FJ 2, no afectan a la presente controversia las sucesivas modificaciones sufridas durante la pendencia del proceso por el Real Decreto 1472/2007, en virtud de los Reales Decretos 366/2009, de 20 de marzo, y 1260/2010, de 8 de octubre, e incluso su derogación en virtud del Real Decreto-ley 20/2011, de 30 de diciembre, que no inciden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Y es que, como dijimos en la STC 109/2003, de 5 de junio, FJ 2, y las que en ella se citan,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En suma, el posterior cambio normativo producido y la definitiva derogación de la disposición impugnada no han originado la desaparición del objeto del presente conflicto, en la medida en que persiste el interés en la determinación de la titularidad de la competencia controvertida, por lo que debemos acometer su enjuiciamiento.</w:t>
      </w:r>
    </w:p>
    <w:p w:rsidR="00D06117" w:rsidRDefault="00D06117" w:rsidP="00D06117">
      <w:pPr>
        <w:pStyle w:val="TextoNormal"/>
      </w:pPr>
    </w:p>
    <w:p w:rsidR="00D06117" w:rsidRDefault="00D06117" w:rsidP="00D06117">
      <w:pPr>
        <w:pStyle w:val="TextoNormal"/>
      </w:pPr>
      <w:r w:rsidRPr="00D06117">
        <w:rPr>
          <w:rStyle w:val="NumeroAFNegritaCaracter"/>
        </w:rPr>
        <w:t>3</w:t>
      </w:r>
      <w:r>
        <w:t>. Tal como tenemos establecido (por todas, STC 138/2009, de 15 de junio, FJ 3), en la resolución de las controversias que se susciten respecto a la regulación y aplicación de las ayudas o subvenciones que puedan establecerse en las distintas áreas o segmentos de la acción pública hemos de partir de la distribución de competencias existente en la materia constitucional en la que proceda encuadrar las subvenciones de que se trate. La resolución del presente conflicto exige, por tanto, la realización del encuadramiento competencial de las ayudas cuestionadas, a fin de determinar si, a la vista de las competencias del Estado y de la Comunidad Autónoma de La Rioja, se ha producido o no la vulneración competencial denunciada. Junto a ello, será preciso tomar en consideración la abundante doctrina de este Tribunal en relación con las subvenciones, que ha sido objeto de recapitulación en la STC 13/1992, de 6 de febrero, y, en concreto, 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de 6 de febrero, FJ 4).</w:t>
      </w:r>
    </w:p>
    <w:p w:rsidR="00D06117" w:rsidRDefault="00D06117" w:rsidP="00D06117">
      <w:pPr>
        <w:pStyle w:val="TextoNormal"/>
      </w:pPr>
    </w:p>
    <w:p w:rsidR="00D06117" w:rsidRDefault="00D06117" w:rsidP="00D06117">
      <w:pPr>
        <w:pStyle w:val="TextoNormal"/>
      </w:pPr>
      <w:r>
        <w:t>Como ya ha quedado expuesto, las partes oponen los títulos competenciales autonómicos en materia de vivienda y asistencia social al estatal sobre las bases y coordinación de la planificación general de la actividad económica del art. 149.1.13 CE. Se hace preciso, pues, examinar las competencias alegadas y el objeto y finalidad de la disposición impugnada a fin de determinar la incardinación material de la regulación de la renta de emancipación, y, posteriormente, derivar de ella la distribución competencial existente entre el Estado y la Comunidad Autónoma de La Rioja.</w:t>
      </w:r>
    </w:p>
    <w:p w:rsidR="00D06117" w:rsidRDefault="00D06117" w:rsidP="00D06117">
      <w:pPr>
        <w:pStyle w:val="TextoNormal"/>
      </w:pPr>
    </w:p>
    <w:p w:rsidR="00D06117" w:rsidRDefault="00D06117" w:rsidP="00D06117">
      <w:pPr>
        <w:pStyle w:val="TextoNormal"/>
      </w:pPr>
      <w:r>
        <w:lastRenderedPageBreak/>
        <w:t>La referida labor de encuadramiento competencial nos exige partir de nuestra doctrina, conforme a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Junto a este criterio, y como complemento, hemos de tomar en consideración también que ha de preponderar la regla competencial específica sobre la más genérica (SSTC 87/1987, de 2 de junio, FJ 2; 152/2003, de 17 de julio, FJ 7; y 212/2005, de 21 de julio, FJ 3, entre otras), si bien a este criterio no se le puede atribuir un valor absoluto (SSTC 197/1996, de 28 de noviembre, FJ 4; y 14/2004, de 13 de febrero, FJ 5).</w:t>
      </w:r>
    </w:p>
    <w:p w:rsidR="00D06117" w:rsidRDefault="00D06117" w:rsidP="00D06117">
      <w:pPr>
        <w:pStyle w:val="TextoNormal"/>
      </w:pPr>
    </w:p>
    <w:p w:rsidR="00D06117" w:rsidRDefault="00D06117" w:rsidP="00D06117">
      <w:pPr>
        <w:pStyle w:val="TextoNormal"/>
      </w:pPr>
      <w:r w:rsidRPr="00D06117">
        <w:rPr>
          <w:rStyle w:val="NumeroAFNegritaCaracter"/>
        </w:rPr>
        <w:t>4</w:t>
      </w:r>
      <w:r>
        <w:t>. La Comunidad Autónoma de La Rioja ha alegado las competencias sobre vivienda y asistencia y servicios sociales que le asigna su Estatuto de Autonomía en los apartados 16 y 30, respectivamente, de su art. 8.Uno, con la especificación que, respecto del segundo título competencial, añade el apartado 31, referido a desarrollo comunitario, promoción e integración de los discapacitados, emigrantes, tercera edad y demás grupos sociales necesitados de especial protección, incluida la creación de centros de protección, reinserción y rehabilitación, así como orientación y planificación familiar. Alega la Comunidad Autónoma que tales competencias son exclusivas y que respecto de las mismas el art. 8.Dos del Estatuto de Autonomía le atribuye la potestad legislativa, la potestad reglamentaria y la función ejecutiva, sin que frente a dichos títulos pueda oponerse, a su juicio, la competencia estatal prevista en el art. 149.1.13 CE invocada de contrario, que debe ser objeto de interpretación estricta cuando concurre con un título competencial más específico, negando al Estado la facultad de desarrollar una línea subvencional de carácter asistencial sobre materias que están atribuidas a la exclusiva competencia de las Comunidades Autónomas.</w:t>
      </w:r>
    </w:p>
    <w:p w:rsidR="00D06117" w:rsidRDefault="00D06117" w:rsidP="00D06117">
      <w:pPr>
        <w:pStyle w:val="TextoNormal"/>
      </w:pPr>
    </w:p>
    <w:p w:rsidR="00D06117" w:rsidRDefault="00D06117" w:rsidP="00D06117">
      <w:pPr>
        <w:pStyle w:val="TextoNormal"/>
      </w:pPr>
      <w:r>
        <w:t xml:space="preserve">Recordemos aquí, ante todo, que el Real Decreto 1472/2007 se dicta, según reza en su disposición final primera, amparado en el título del art. 149.1.13 CE sobre planificación general de la actividad económica, conforme al cual, hemos dicho que corresponden al Estado las facultades de dirección general de la economía y, por tanto, “de cada uno de los sectores productivos, que han de quedar en poder de los órganos centrales del Estado” (STC 152/1988, de 20 de julio, FJ 2),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20 de diciembre, FJ 3; y 95/2001, de 5 de abril, FJ 3), pues, en otro caso, se vaciarían de contenido una materia y un título competencial más específicos (SSTC 95/2002, de 25 de abril, FJ 7, y 77/2004, de 29 de abril, FJ 4), ), “sin que de la invocación del interés general que representa el Estado pueda resultar otra cosa, por cuanto, según hemos dicho, el mismo se ha de materializar a través del orden </w:t>
      </w:r>
      <w:r>
        <w:lastRenderedPageBreak/>
        <w:t>competencial establecido, excluyéndose así la extensión de los ámbitos competenciales en atención a consideraciones meramente finalísticas” (STC 124/2003, de 19 de junio, FJ 6).</w:t>
      </w:r>
    </w:p>
    <w:p w:rsidR="00D06117" w:rsidRDefault="00D06117" w:rsidP="00D06117">
      <w:pPr>
        <w:pStyle w:val="TextoNormal"/>
      </w:pPr>
    </w:p>
    <w:p w:rsidR="00D06117" w:rsidRDefault="00D06117" w:rsidP="00D06117">
      <w:pPr>
        <w:pStyle w:val="TextoNormal"/>
      </w:pPr>
      <w:r>
        <w:t>En relación con la materia de vivienda, primero de los títulos competenciales invocados en la demanda, resulta incuestionable que la Comunidad Autónoma de La Rioja ostenta la titularidad de la competencia sobre la misma, que le faculta “para desarrollar una política propia en dicha materia, incluido el fomento y promoción de la construcción de viviendas, que es, en buena medida, el tipo de actuaciones públicas mediante las que se concreta el desarrollo de aquella política” (STC 152/1988, de 20 de julio, FJ 2).</w:t>
      </w:r>
    </w:p>
    <w:p w:rsidR="00D06117" w:rsidRDefault="00D06117" w:rsidP="00D06117">
      <w:pPr>
        <w:pStyle w:val="TextoNormal"/>
      </w:pPr>
    </w:p>
    <w:p w:rsidR="00D06117" w:rsidRDefault="00D06117" w:rsidP="00D06117">
      <w:pPr>
        <w:pStyle w:val="TextoNormal"/>
      </w:pPr>
      <w:r>
        <w:t>Sin embargo, el hecho de que dicha competencia sea calificada como exclusiva por el Estatuto de Autonomía, unido a la inexistencia de una competencia específica en materia de vivienda a favor del Estado no significa que aquélla sea absoluta y que éste no se encuentre facultado para desarrollar actuaciones en dicha materia. Ahora bien, como ha afirmado este Tribunal, tal posibilidad de intervención estatal no encuentra acogida en la previsión del art. 47 CE, que no constituye por sí mismo “un título competencial autónomo a favor del Estado, sino un mandato que ha de informar la actuación de todos los poderes públicos (art. 53.3 CE)” (STC 59/1995, de 17 de marzo, FJ 3), ni en la potestad de gasto, que no es concepto o título que delimite competencias atrayendo toda regulación que tenga conexión con el mismo, pues ello produciría una sensible alteración del sistema de distribución de competencias que resulta de la Constitución y de los Estatutos de Autonomía, al poder llegar a desconocer, desplazar o limitar las competencias materiales que corresponden según aquéllos a las Comunidades Autónomas. Antes al contrario, el ejercicio de competencias estatales anejo al gasto o a la subvención sólo se justifica en los casos en que, por razón de la materia sobre la que opera dicho gasto o subvención, la Constitución o los Estatutos hayan reservado al Estado la titularidad de las competencias (STC 95/1986, de 10 de julio, FJ 3). Pues bien, el Estado puede intervenir en el sector de la vivienda en virtud de las facultades de dirección general de la economía que le corresponden ex art. 149.1.13 CE, a las que ya se ha hecho referencia, y en particular, como dijimos en la STC 152/1988, FJ 2, en relación con la actividad promocional, dada su conexión con la política económica general, en razón de la incidencia que el impulso de la construcción tiene como factor del desarrollo económico y, en especial, como elemento generador de empleo. No obstante, según precisamos en la misma Sentencia, esa competencia del Estado no le legitima “para fomentar cualquier actividad en materia de vivienda, regulándola directamente, sino en tanto y en cuanto las medidas de fomento se justifiquen por razón de sus atribuciones sobre las bases de la planificación y la coordinación de la actividad económica”. Y es que “[s]i se admitiera una competencia general e indeterminada de fomento de las actividades productivas por parte del Estado se produciría, junto a la indicada alteración del sistema competencial, una distorsión permanente del sistema ordinario de financiación autonómica” (STC 152/1988, FJ 3). En definitiva, como señalamos en la STC 21/1999, de 25 de febrero, FJ 5, recordando la jurisprudencia constitucional en la materia,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w:t>
      </w:r>
    </w:p>
    <w:p w:rsidR="00D06117" w:rsidRDefault="00D06117" w:rsidP="00D06117">
      <w:pPr>
        <w:pStyle w:val="TextoNormal"/>
      </w:pPr>
    </w:p>
    <w:p w:rsidR="00D06117" w:rsidRDefault="00D06117" w:rsidP="00D06117">
      <w:pPr>
        <w:pStyle w:val="TextoNormal"/>
      </w:pPr>
      <w:r>
        <w:t xml:space="preserve">El otro título competencial que ha sido invocado por el Gobierno de La Rioja es el relativo a asistencia social, noción que aparece recogida en el art. 148.1.20 CE, sobre la cual </w:t>
      </w:r>
      <w:r>
        <w:lastRenderedPageBreak/>
        <w:t>hemos afirmado que no está precisada en el texto constitucional y que nuestro constituyente maneja un concepto consagrado por la práctica nacional e internacional, por lo que ha de entenderse remitida a conceptos elaborados en el plano de la legislación general, que deben atraerse a la interpretación constitucional.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Y, aunque en una primera aproximación el lenguaje constitucional no desmiente esta caracterización, el análisis de la Constitución, de los Estatutos de Autonomía e, incluso, de los decretos de traspaso de funciones y servicios en la medida en que puedan servir como elementos auxiliares de la interpretación, proporciona una noción más amplia de lo que es la asistencia social a efectos del reparto de competencias constitucionalmente establecido. Esta noción no sólo comprende a la asistencia dispensada por entes públicos que la definen y la prestan, sino también a la dispensada por entidades privadas, caso en el que los poderes públicos desempeñan sólo funciones de fomento o de control (SSTC 76/1986, de 9 de junio, FJ 6; y 146/1986, de 25 de noviembre, FJ 2).</w:t>
      </w:r>
    </w:p>
    <w:p w:rsidR="00D06117" w:rsidRDefault="00D06117" w:rsidP="00D06117">
      <w:pPr>
        <w:pStyle w:val="TextoNormal"/>
      </w:pPr>
    </w:p>
    <w:p w:rsidR="00D06117" w:rsidRDefault="00D06117" w:rsidP="00D06117">
      <w:pPr>
        <w:pStyle w:val="TextoNormal"/>
      </w:pPr>
      <w:r>
        <w:t>A dicho concepto responde, por ejemplo, el apartado b) de la cláusula B) del anexo I del Real Decreto 652/1985, de 19 de abril, sobre traspaso de funciones y servicios del Estado a la Comunidad Autónoma de La Rioja en materia de asistencia y servicios sociales, que se produjo en virtud del entonces vigente art. 8.1.18 de su Estatuto de Autonomía, que le atribuía competencia exclusiva sobre “[l]a asistencia y el bienestar social, incluida la política juvenil”. De hecho, se puede apreciar en este punto una falta de homogeneidad entre los distintos Estatutos de Autonomía, que se traduce en el empleo de una diversidad de fórmulas que, en ocasiones, no responden al concepto técnico estricto de asistencia social. Así, en unos casos, se incluye una amplia exposición de cláusulas específicas separadas de la asistencia social, mientras que, en otros, sólo figura la mención de la asistencia social, sola o acompañada de alguna especificación, e, incluso, en algún supuesto, se puede advertir la ausencia de utilización del nomen “asistencia social” (que se sustituye por la referencia a aspectos concretos tradicionalmente englobados en esta noción), todo lo cual no impide que la “asistencia social” siga siendo identificable a efectos de la distribución de competencias sobre la materia.</w:t>
      </w:r>
    </w:p>
    <w:p w:rsidR="00D06117" w:rsidRDefault="00D06117" w:rsidP="00D06117">
      <w:pPr>
        <w:pStyle w:val="TextoNormal"/>
      </w:pPr>
    </w:p>
    <w:p w:rsidR="00D06117" w:rsidRDefault="00D06117" w:rsidP="00D06117">
      <w:pPr>
        <w:pStyle w:val="TextoNormal"/>
      </w:pPr>
      <w:r>
        <w:t>Pues bien, esta asistencia social a la que nos venimos refiriendo es una materia sobre la que las Comunidades Autónomas pueden asumir la competencia, de acuerdo con el art. 148.1.20 CE, y que, de hecho, la Comunidad Autónoma de La Rioja ha asumido con el carácter de exclusiva en virtud del art. 8.Uno.30 del Estatuto de Autonomía para La Rioja (EAR); competencia genérica que, como hemos apuntado antes, incluye algunas especificaciones sobre aspectos concretos en los apartados 31 y 32, entre los que figuran el desa</w:t>
      </w:r>
      <w:r>
        <w:lastRenderedPageBreak/>
        <w:t>rrollo comunitario y la promoción e integración de los grupos sociales necesitados de especial protección. Por el contrario, el Estado, al igual que ocurría con la competencia en materia de vivienda, no cuenta con un título concreto en materia de asistencia social, con el que, por el contrario, sí cuenta la Comunidad Autónoma, de suerte que la dirección política de ésta es la que, en principio, debe estimarse más específica, puesto que “son las Comunidades Autónomas las que tienen la competencia para diseñar su propia política de asistencia social, sin perjuicio de las competencias que al Estado correspondan en virtud del artículo 149.3, en el art. 150.3 o, en su caso, en el art. 149.1” de la Constitución (STC 146/1986, FJ 5). No obstante, siendo ésta una materia compleja, que resulta central en un Estado social, las competencias exclusivas no pueden entenderse en su estricto sentido de exclusión de actuación en el campo de lo social, no sólo de otros entes públicos, sino incluso de entidades privadas y, por supuesto, del Estado, “respecto de aquellos problemas específicos que requieran para su adecuado estudio y tratamiento un ámbito más amplio que el de la Comunidad Autónoma”, especialmente en cuanto se refiera a “la existencia de problemas y de tratamiento de problemas que exceden del ámbito de la Comunidad Autónoma, en cuanto se trate de políticas de asistencia social, que sólo tengan sentido en cuanto referidas al país en su conjunto”, si bien, el reconocimiento de la existencia de problemáticas sociales que requieran un tratamiento global no tiene por qué llevar a negar la competencia de la Comunidad Autónoma para gestionar la problemática de que se trate dentro de su territorio (STC 146/1986, FJ 5).</w:t>
      </w:r>
    </w:p>
    <w:p w:rsidR="00D06117" w:rsidRDefault="00D06117" w:rsidP="00D06117">
      <w:pPr>
        <w:pStyle w:val="TextoNormal"/>
      </w:pPr>
    </w:p>
    <w:p w:rsidR="00D06117" w:rsidRDefault="00D06117" w:rsidP="00D06117">
      <w:pPr>
        <w:pStyle w:val="TextoNormal"/>
      </w:pPr>
      <w:r w:rsidRPr="00D06117">
        <w:rPr>
          <w:rStyle w:val="NumeroAFNegritaCaracter"/>
        </w:rPr>
        <w:t>5</w:t>
      </w:r>
      <w:r>
        <w:t>. Una vez caracterizados los distintos títulos competenciales invocados por las partes en el presente conflicto, hemos de determinar en cuál de ellos ha de resultar encuadrada la regulación discutida, tarea de encuadre que, según lo que ya hemos expuesto, debe atender al objeto y finalidad de la norma. Pues bien, en este sentido hemos de señalar que, de acuerdo con su art. 1, el Real Decreto 1472/2007 tiene por finalidad la creación de la renta básica de emancipación, consistente en un conjunto de ayudas directas del Estado, destinadas al apoyo económico para el pago del alquiler de la vivienda, que sea el domicilio habitual y permanente de los solicitantes, los cuales habrán de cumplir, entre otros, unos requisitos de edad y de ingresos para poder ser beneficiarios (art. 2).</w:t>
      </w:r>
    </w:p>
    <w:p w:rsidR="00D06117" w:rsidRDefault="00D06117" w:rsidP="00D06117">
      <w:pPr>
        <w:pStyle w:val="TextoNormal"/>
      </w:pPr>
    </w:p>
    <w:p w:rsidR="00D06117" w:rsidRDefault="00D06117" w:rsidP="00D06117">
      <w:pPr>
        <w:pStyle w:val="TextoNormal"/>
      </w:pPr>
      <w:r>
        <w:t xml:space="preserve">Según aparece en el preámbulo del real decreto en cuestión, su finalidad principal es la de fomentar una más temprana emancipación de los jóvenes, removiendo los principales obstáculos a los que se enfrentan cuando quieren emanciparse, sobre todo el relativo al elevado importe de la renta de alquiler, y que producen un retraso en la edad de emancipación que ocasiona múltiples consecuencias negativas, tanto sociales como económicas y personales. En el mismo preámbulo se hace referencia, asimismo, a una intervención de los poderes públicos con el fin de dinamizar el mercado de arrendamientos y a un favorecimiento de la movilidad geográfica de los empleados con el consiguiente incremento de la eficacia del mercado de trabajo. Sin embargo, lo cierto es que el primer aspecto no se traduce en el articulado en el establecimiento de medidas que incidan directamente sobre la oferta inmobiliaria en régimen de alquiler o sobre los titulares de las viviendas ofertadas en arrendamiento, o sobre el nivel de los precios de las viviendas en régimen de alquiler, sino que se limita a establecer, única y exclusivamente, unas ayudas destinadas a apoyar económicamente, para el pago del alquiler de la vivienda que constituya el domicilio habitual y permanente, a un grupo de personas de edades comprendidas entre 22 y 30 años y con unos niveles de renta inferiores a un tope determinado. En cuanto al otro aspecto, la movilidad geográfica de los empleados sería tan solo un efecto remoto y no el objeto principal de la </w:t>
      </w:r>
      <w:r>
        <w:lastRenderedPageBreak/>
        <w:t>ayuda, que va dirigida como queda dicho, primordialmente, a facilitar la emancipación de los jóvenes.</w:t>
      </w:r>
    </w:p>
    <w:p w:rsidR="00D06117" w:rsidRDefault="00D06117" w:rsidP="00D06117">
      <w:pPr>
        <w:pStyle w:val="TextoNormal"/>
      </w:pPr>
    </w:p>
    <w:p w:rsidR="00D06117" w:rsidRDefault="00D06117" w:rsidP="00D06117">
      <w:pPr>
        <w:pStyle w:val="TextoNormal"/>
      </w:pPr>
      <w:r>
        <w:t>Fijada en tales términos la finalidad primaria del real decreto examinado, podemos encontrar conexión entre la renta básica de emancipación y la materia vivienda (competencia exclusiva de la Comunidad Autónoma de La Rioja, ex art. 8.Uno.16 EAR), si bien no de modo principal,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 Por otro lado,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(recordada en el anterior fundamento jurídico) para que pueda entrar en juego dicho título competencial del Estado.</w:t>
      </w:r>
    </w:p>
    <w:p w:rsidR="00D06117" w:rsidRDefault="00D06117" w:rsidP="00D06117">
      <w:pPr>
        <w:pStyle w:val="TextoNormal"/>
      </w:pPr>
    </w:p>
    <w:p w:rsidR="00D06117" w:rsidRDefault="00D06117" w:rsidP="00D06117">
      <w:pPr>
        <w:pStyle w:val="TextoNormal"/>
      </w:pPr>
      <w:r>
        <w:t>En relación con el encaje de la norma en el título competencial sobre asistencia social, también invocado expresamente por la Comunidad Autónoma de La Rioja, cabe advertir que no toda subvención o ayuda económica a los ciudadanos puede en todo caso encontrar automática cobertura dentro del concepto de asistencia social. En este caso, sin embargo, debe atenderse a que, como ya se ha expuesto, según figura en el preámbulo del real decreto en cuestión, su finalidad principal es la de fomentar la emancipación de los jóvenes, removiendo los principales obstáculos con los que se encuentran para llevarla a cabo. Por ello, atendiendo a esta finalidad, podemos afirmar que el real decreto impugnado tiene conexión con el título competencial autonómico sobre asistencia social, delimitado conforme a la doctrina constitucional expuesta en el fundamento jurídico 4.</w:t>
      </w:r>
    </w:p>
    <w:p w:rsidR="00D06117" w:rsidRDefault="00D06117" w:rsidP="00D06117">
      <w:pPr>
        <w:pStyle w:val="TextoNormal"/>
      </w:pPr>
    </w:p>
    <w:p w:rsidR="00D06117" w:rsidRDefault="00D06117" w:rsidP="00D06117">
      <w:pPr>
        <w:pStyle w:val="TextoNormal"/>
      </w:pPr>
      <w:r>
        <w:t>Una vez constatadas las relaciones que presenta la norma con los títulos competenciales sobre asistencia social y sobre vivienda, ya podemos concretar en cuál de ellos ha de resultar encuadrada la regulación discutida, teniendo en cuenta que, como acabamos de recordar, “en casos como el que nos ocupa, en que la norma cuestionada puede entenderse comprendida en más de una regla definidora de competencias, debe determinarse ... cuál de ellas es la prevalente, teniendo presente, junto con los definidos ámbitos competenciales, la razón o fin de la norma atributiva de competencias y el contenido del precepto cuestionado” (STC 153/1985, de 7 de noviembre, FJ 3, con cita de la STC 49/1984, de 5 de abril).</w:t>
      </w:r>
    </w:p>
    <w:p w:rsidR="00D06117" w:rsidRDefault="00D06117" w:rsidP="00D06117">
      <w:pPr>
        <w:pStyle w:val="TextoNormal"/>
      </w:pPr>
    </w:p>
    <w:p w:rsidR="00D06117" w:rsidRDefault="00D06117" w:rsidP="00D06117">
      <w:pPr>
        <w:pStyle w:val="TextoNormal"/>
      </w:pPr>
      <w:r>
        <w:t xml:space="preserve">Pues bien, ponderando los distintos objetivos de la norma,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Este encuadramiento de las ayudas en la asistencia social se manifiesta de manera aún más pura e intensa respecto de aquellos jóvenes que ya se encontraban emancipados y disfrutaban de su vivienda habitual en arrendamiento a la entrada en vigor del Real Decreto </w:t>
      </w:r>
      <w:r>
        <w:lastRenderedPageBreak/>
        <w:t>1472/2007, a los cuales se extienden también las ayudas previstas en el art. 3.1 a) (disposición transitoria única), que no presentan en tales supuestos el carácter de incentivo pro futuro de alquiler de viviendas que tienen en cuanto al resto de beneficiarios.</w:t>
      </w:r>
    </w:p>
    <w:p w:rsidR="00D06117" w:rsidRDefault="00D06117" w:rsidP="00D06117">
      <w:pPr>
        <w:pStyle w:val="TextoNormal"/>
      </w:pPr>
    </w:p>
    <w:p w:rsidR="00D06117" w:rsidRDefault="00D06117" w:rsidP="00D06117">
      <w:pPr>
        <w:pStyle w:val="TextoNormal"/>
      </w:pPr>
      <w:r>
        <w:t>Esta conclusión en cuanto al encuadramiento competencial se aparta claramente del que se realizó en nuestra STC 129/2010 (FFJJ 3 y 5), en la cual afirmamos que la materia competencial afectada por la regulación del Real Decreto 1472/2007 es la relativa a vivienda, y que las competencias reconocidas al Estado en el art. 149.1.13 darían cobertura a la adopción de medidas como las establecidas en la norma cuestionada. Por consiguiente, se hace necesario reconsiderar y sustituir dichos criterios por los establecidos en la presente resolución, alterando, en lo que proceda, la doctrina sentada en dicha Sentencia.</w:t>
      </w:r>
    </w:p>
    <w:p w:rsidR="00D06117" w:rsidRDefault="00D06117" w:rsidP="00D06117">
      <w:pPr>
        <w:pStyle w:val="TextoNormal"/>
      </w:pPr>
    </w:p>
    <w:p w:rsidR="00D06117" w:rsidRDefault="00D06117" w:rsidP="00D06117">
      <w:pPr>
        <w:pStyle w:val="TextoNormal"/>
      </w:pPr>
      <w:r>
        <w:t>De acuerdo con este encuadramiento material y con la distribución competencial a la que antes nos hemos referido, hemos de abordar el análisis de las distintas tachas opuestas por el Gobierno de la Rioja al Real Decreto 1472/2007.</w:t>
      </w:r>
    </w:p>
    <w:p w:rsidR="00D06117" w:rsidRDefault="00D06117" w:rsidP="00D06117">
      <w:pPr>
        <w:pStyle w:val="TextoNormal"/>
      </w:pPr>
    </w:p>
    <w:p w:rsidR="00D06117" w:rsidRDefault="00D06117" w:rsidP="00D06117">
      <w:pPr>
        <w:pStyle w:val="TextoNormal"/>
      </w:pPr>
      <w:r w:rsidRPr="00D06117">
        <w:rPr>
          <w:rStyle w:val="NumeroAFNegritaCaracter"/>
        </w:rPr>
        <w:t>6</w:t>
      </w:r>
      <w:r>
        <w:t>. Nuestro análisis debe comenzar por las quejas genéricas suscitadas en la demanda de conflicto, examinando, en primer lugar, la de carácter formal relativa a la insuficiencia de rango del Real Decreto 1472/2007, el cual, a juicio de la representación del Gobierno de La Rioja, no podría realizar una regulación básica de la materia al amparo del art. 149.1.13 CE, puesto que tal función estaría reservada a las normas con rango de ley. Comoquiera que ya hemos concluido en el fundamento anterior que las concretas ayudas objeto de regulación en el Real Decreto 1472/2007 no tienen encaje, en las circunstancias específicas de este caso, en el art. 149.1.13 CE, tal y como sostiene la representación del Gobierno de La Rioja, no tiene sentido que se dé respuesta a la queja de índole formal referida al insuficiente rango de la norma impugnada para constituir normativa básica dictada al socaire de dicho título competencial, queja que ha de entenderse suscitada de modo subsidiario al argumento principal que se articula en la propia demanda, en el sentido de negar toda competencia al Estado para el establecimiento de las ayudas que han generado el planteamiento del conflicto.</w:t>
      </w:r>
    </w:p>
    <w:p w:rsidR="00D06117" w:rsidRDefault="00D06117" w:rsidP="00D06117">
      <w:pPr>
        <w:pStyle w:val="TextoNormal"/>
      </w:pPr>
    </w:p>
    <w:p w:rsidR="00D06117" w:rsidRDefault="00D06117" w:rsidP="00D06117">
      <w:pPr>
        <w:pStyle w:val="TextoNormal"/>
      </w:pPr>
      <w:r w:rsidRPr="00D06117">
        <w:rPr>
          <w:rStyle w:val="NumeroAFNegritaCaracter"/>
        </w:rPr>
        <w:t>7</w:t>
      </w:r>
      <w:r>
        <w:t>. Por lo que se refiere a la otra tacha de carácter general, la Letrada de la Comunidad Autónoma de La Rioja la fundamenta en la vulneración del principio de autonomía financiera de la Comunidad debido a la asunción por el Estado, en virtud de su potestad de gasto, de actuaciones en una materia en la que carece de competencias, y cuyo desarrollo debe corresponder a las Comunidades Autónomas.</w:t>
      </w:r>
    </w:p>
    <w:p w:rsidR="00D06117" w:rsidRDefault="00D06117" w:rsidP="00D06117">
      <w:pPr>
        <w:pStyle w:val="TextoNormal"/>
      </w:pPr>
    </w:p>
    <w:p w:rsidR="00D06117" w:rsidRDefault="00D06117" w:rsidP="00D06117">
      <w:pPr>
        <w:pStyle w:val="TextoNormal"/>
      </w:pPr>
      <w:r>
        <w:t xml:space="preserve">Este Tribunal ha declarado reiteradamente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Y es que la sola decisión de contribuir a la financiación no autoriza al Estado para invadir competencias ajenas que lo siguen siendo, a pesar de la financiación, sino que, “aun si estima que lo requiere el interés general, deberá desenvolver su actividad al amparo de </w:t>
      </w:r>
      <w:r>
        <w:lastRenderedPageBreak/>
        <w:t>una autorización constitucional, y respetando en todo caso las competencias que la Constitución (que se entiende que también ha valorado el interés general), ha reservado a otros entes territoriales” (STC 146/1986, de 25 de noviembre, FJ 3). Esto es, “la actuación estatal sólo se justifica en los casos en que por razón de la materia sobre la que opera dicho gasto o subvención, la Constitución o los Estatutos de Autonomía, hayan reservado al Estado competencias sobre la materia subvencionada o que aquella actuación se enmarque en las facultades estatales de dirección y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y sin que, con ello, se pueda privar a las Comunidades Autónomas competentes en la materia de todo margen para desarrollar en el sector subvencionado una política propia orientada a la satisfacción de sus intereses peculiares” (STC 96/1990, de 24 de mayo, FJ 15). En definitiva, esto significa, como se recuerda en la STC 13/1992, de 6 de febrero, FJ 4, que “la persecución del interés general se ha de materializar ‘a través de’, no ‘a pesar de’ los sistemas de reparto de competencias articulado en la Constitución (STC 146/1986), excluyéndose así que el ámbito de competencias pueda ser extendido por meras consideraciones finalísticas (STC 75/1989)”.</w:t>
      </w:r>
    </w:p>
    <w:p w:rsidR="00D06117" w:rsidRDefault="00D06117" w:rsidP="00D06117">
      <w:pPr>
        <w:pStyle w:val="TextoNormal"/>
      </w:pPr>
    </w:p>
    <w:p w:rsidR="00D06117" w:rsidRDefault="00D06117" w:rsidP="00D06117">
      <w:pPr>
        <w:pStyle w:val="TextoNormal"/>
      </w:pPr>
      <w:r>
        <w:t>En el supuesto de la renta básica de emancipación que nos ocupa, ya hemos dejado sentado que la más correcta ubicación de la ayuda es la relativa a la materia de asistencia social, materia sobre la cual ostenta competencia exclusiva la Comunidad Autónoma de La Rioja, mientras que el Estado carece de competencias sobre la misma. Sin embargo, ello no conduce inexorablemente a afirmar que el Estado no pueda establecer una ayuda de tal naturaleza o que al hacerlo haya vulnerado el orden constitucional de distribución de competencias y la autonomía financiera de la Comunidad Autónoma de La Rioja, pues, como dijimos en la ya citada STC 13/1992, FJ 7,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al contrario de lo que acontece con la autonomía financiera de las Comunidades Autónomas que se vincula al desarrollo y ejecución de las competencias que, de acuerdo con la Constitución, le atribuyan los respectivos Estatutos y las leyes (art. 156.1 CE y art. 1.1 de la LOFCA). Por consiguiente,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Pero, aun reconociendo este señorío del Estado sobre su presupuesto, ello no excusa que deba ajustarse al orden constitucional de competencias tanto en la programación como en la ejecución de ese gasto, lo que nos obligará, en definitiva, a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de la CE” (STC 96/1990, de 24 de mayo, FJ 15).</w:t>
      </w:r>
    </w:p>
    <w:p w:rsidR="00D06117" w:rsidRDefault="00D06117" w:rsidP="00D06117">
      <w:pPr>
        <w:pStyle w:val="TextoNormal"/>
      </w:pPr>
    </w:p>
    <w:p w:rsidR="00D06117" w:rsidRDefault="00D06117" w:rsidP="00D06117">
      <w:pPr>
        <w:pStyle w:val="TextoNormal"/>
      </w:pPr>
      <w:r>
        <w:lastRenderedPageBreak/>
        <w:t>Así pues, no podemos realizar, prima facie, un pronunciamiento genérico sobre si el establecimiento de la renta básica de emancipación por el Real Decreto 1472/2007 ha supuesto o no la vulneración de la autonomía financiera de la Comunidad Autónoma de La Rioja, sino que habremos de estar al concreto contenido de la norma al objeto de determinar si se ha producido algún exceso competencial en dicha regulación con desconocimiento de la autonomía política y financiera de la citada Comunidad, máxime cuando la autonomía financiera autonómica no tiene en nuestra Constitución un carácter absoluto, sino sometido a importantes limitaciones [STC 134/2011, de 20 de julio, FFJJ 4, 7 y 8 a)].</w:t>
      </w:r>
    </w:p>
    <w:p w:rsidR="00D06117" w:rsidRDefault="00D06117" w:rsidP="00D06117">
      <w:pPr>
        <w:pStyle w:val="TextoNormal"/>
      </w:pPr>
    </w:p>
    <w:p w:rsidR="00D06117" w:rsidRDefault="00D06117" w:rsidP="00D06117">
      <w:pPr>
        <w:pStyle w:val="TextoNormal"/>
      </w:pPr>
      <w:r w:rsidRPr="00D06117">
        <w:rPr>
          <w:rStyle w:val="NumeroAFNegritaCaracter"/>
        </w:rPr>
        <w:t>8</w:t>
      </w:r>
      <w:r>
        <w:t>. Como ya se ha dicho en el fundamento 2, el Gobierno de La Rioja solicita la declaración de nulidad del Real Decreto 1472/2007 en su conjunto, al entender que el Estado carece de competencia para su regulación, identificando sólo algunos de sus preceptos, por considerarlos los más ilustrativos de la invasión competencial, a cuyo efecto señala el art. 1 y la disposición adicional segunda, el art. 3.3 a) en relación con el 8; los arts. 4, apartados 1, 5 y 6, y 7.1, así como el art. 9. Pues bien, para el examen de la impugnación hemos de tener en cuenta dos consideraciones previas. Por una parte, sobre alguno de dichos preceptos ya nos pronunciamos en la STC 129/2010, de 29 de noviembre, FJ 7, apreciando en unos casos la vulneración de las competencias autonómicas y en otros no, aunque basándonos en un encuadre material distinto, que tenía consecuencias también distintas en cuanto al reparto competencial. Por tanto, deberemos tener en cuenta este extremo a la hora de realizar alguna remisión a los pronunciamientos de dicha Sentencia, de los que en algún caso deberemos de hacer abstracción, para dilucidar, en definitiva, si los preceptos discutidos son o no conformes con el reparto competencial que aquí tomamos como punto de partida.</w:t>
      </w:r>
    </w:p>
    <w:p w:rsidR="00D06117" w:rsidRDefault="00D06117" w:rsidP="00D06117">
      <w:pPr>
        <w:pStyle w:val="TextoNormal"/>
      </w:pPr>
    </w:p>
    <w:p w:rsidR="00D06117" w:rsidRDefault="00D06117" w:rsidP="00D06117">
      <w:pPr>
        <w:pStyle w:val="TextoNormal"/>
      </w:pPr>
      <w:r>
        <w:t>Por otra parte, al llevar a cabo el enjuiciamiento de los distintos preceptos es preciso partir de las facultades con las que, ab initio, cuentan el Estado y la Comunidad Autónoma de La Rioja en relación con la materia de asistencia social en la que, según ha quedado razonado, se incardina la renta básica de emancipación. A tal efecto, se ha de tomar en consideración que, en lo que hace al ejercicio de la potestad subvencional de gasto público, nos hallamos ante el primero de los supuestos de delimitación competencial entre el Estado y las Comunidades Autónomas enunciados en el fundamento jurídico 8 de la STC 13/1992, de 6 de febrero, en la cual señalamos: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00D06117" w:rsidRDefault="00D06117" w:rsidP="00D06117">
      <w:pPr>
        <w:pStyle w:val="TextoNormal"/>
      </w:pPr>
    </w:p>
    <w:p w:rsidR="00D06117" w:rsidRDefault="00D06117" w:rsidP="00D06117">
      <w:pPr>
        <w:pStyle w:val="TextoNormal"/>
      </w:pPr>
      <w:r>
        <w:t xml:space="preserve">Precisando este extremo hemos afirmado en la STC 178/2011, de 8 de noviembre, FJ 7, en un conflicto referido a subvenciones relativas al área de la asistencia social y, por consiguiente, incluido en el primer supuesto del fundamento jurídico 8 de la STC 13/1992, que “consideraremos incluida en la esfera de la competencia estatal la regulación de los aspectos centrales del régimen subvencional —objeto y finalidad de las ayudas, modalidad técnica </w:t>
      </w:r>
      <w:r>
        <w:lastRenderedPageBreak/>
        <w:t>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Vamos, pues, a proceder, sobre esta base, al examen de los distintos preceptos del Real Decreto impugnado.</w:t>
      </w:r>
    </w:p>
    <w:p w:rsidR="00D06117" w:rsidRDefault="00D06117" w:rsidP="00D06117">
      <w:pPr>
        <w:pStyle w:val="TextoNormal"/>
      </w:pPr>
    </w:p>
    <w:p w:rsidR="00D06117" w:rsidRDefault="00D06117" w:rsidP="00D06117">
      <w:pPr>
        <w:pStyle w:val="TextoNormal"/>
      </w:pPr>
      <w:r w:rsidRPr="00D06117">
        <w:rPr>
          <w:rStyle w:val="NumeroAFNegritaCaracter"/>
        </w:rPr>
        <w:t>9</w:t>
      </w:r>
      <w:r>
        <w:t>. El art. 1 del Real Decreto 1472/2007, según entiende el Gobierno de La Rioja, configura la renta de emancipación como una ayuda directa del Estado, vulnerando, a su juicio, el sistema constitucional de distribución de competencias, al erigir al Estado en actor principal del sistema de ayudas que crea el citado real decreto sin título hábil para ello. En conexión con esta tacha, se considera también vulneradora de la competencia autonómica la disposición adicional segunda, en cuanto califica de excepcional la facultad de las Comunidades Autónomas de exigir requisitos adicionales a la concesión de la renta básica de emancipación, a pesar de tener ésta su razón de ser en competencias exclusivas de las Comunidades Autónomas, que quedan relegadas a la condición de meros entes instrumentales privados de estatuir y desarrollar actuaciones sustantivas.</w:t>
      </w:r>
    </w:p>
    <w:p w:rsidR="00D06117" w:rsidRDefault="00D06117" w:rsidP="00D06117">
      <w:pPr>
        <w:pStyle w:val="TextoNormal"/>
      </w:pPr>
    </w:p>
    <w:p w:rsidR="00D06117" w:rsidRDefault="00D06117" w:rsidP="00D06117">
      <w:pPr>
        <w:pStyle w:val="TextoNormal"/>
      </w:pPr>
      <w:r>
        <w:t>En efecto, el art. 1 del Real Decreto 1472/2007 define la renta básica de emancipación como “un conjunto de ayudas directas del Estado”, que están destinadas a apoyar económicamente el pago del alquiler de la vivienda que constituya el domicilio habitual y permanente de las personas que cumplan los requisitos previstos en la propia norma. Pues bien, en este caso no se puede apreciar una extralimitación competencial en el precepto cuestionado, porque la referencia al carácter de ayuda directa del Estado de la renta de emancipación ha de ser entendida en el exclusivo sentido de que estas ayudas se nutren con fondos procedentes del presupuesto del Estado, y no que éste se convierta en el eje central de dichas ayudas. Ya hemos dicho anteriormente que 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FJ 7, y 202/1992, FJ 6). Por tanto, queda justificado el establecimiento de las ayudas con señalamiento de la finalidad a la que se dirigen en el art. 1 del Real Decreto 1472/2007.</w:t>
      </w:r>
    </w:p>
    <w:p w:rsidR="00D06117" w:rsidRDefault="00D06117" w:rsidP="00D06117">
      <w:pPr>
        <w:pStyle w:val="TextoNormal"/>
      </w:pPr>
    </w:p>
    <w:p w:rsidR="00D06117" w:rsidRDefault="00D06117" w:rsidP="00D06117">
      <w:pPr>
        <w:pStyle w:val="TextoNormal"/>
      </w:pPr>
      <w:r>
        <w:t xml:space="preserve">Sin embargo, la conclusión debe ser distinta en cuanto a la disposición adicional segunda (que en la demanda se impugna conjuntamente con el art. 1), como ya apreciamos en la STC 129/2010, FJ 7, en la medida en que sólo permite excepcionalmente a las Comunidades Autónomas el establecimiento de requisitos adicionales para la concesión de la renta básica de emancipación, condicionándolos, además, al informe favorable de la comisión de seguimiento prevista en el art. 7.2 c) del propio real decreto. Esta previsión vulnera de manera patente las competencias autonómicas, porque, ostentando en esta materia la Comunidad Autónoma de La Rioja una competencia exclusiva que le faculta para el diseño de políticas propias, el Estado sólo puede regular los aspectos más generales de la subvención, mientras </w:t>
      </w:r>
      <w:r>
        <w:lastRenderedPageBreak/>
        <w:t>que la Comunidad Autónoma resulta competente para el establecimiento de requisitos adicionales para la concesión de las ayudas, de manera que no resulta constitucionalmente lícito calificar tal facultad como excepcional ni condicionarla al previo informe favorable de la referida comisión de seguimiento.</w:t>
      </w:r>
    </w:p>
    <w:p w:rsidR="00D06117" w:rsidRDefault="00D06117" w:rsidP="00D06117">
      <w:pPr>
        <w:pStyle w:val="TextoNormal"/>
      </w:pPr>
    </w:p>
    <w:p w:rsidR="00D06117" w:rsidRDefault="00D06117" w:rsidP="00D06117">
      <w:pPr>
        <w:pStyle w:val="TextoNormal"/>
      </w:pPr>
      <w:r>
        <w:t>No se aprecia causa de inconstitucionalidad en cuanto al art. 2, relativo a los requisitos que han de cumplir los beneficiarios de las ayudas, que son condiciones de otorgamiento de las ayudas que el Estado puede fijar. Lo mismo cabe decir en cuanto a las determinaciones del art. 3 en relación con la cuantía de las ayudas y las condiciones que se imponen para el disfrute y el mantenimiento de la renta básica de emancipación, a excepción de lo previsto en sus apartados 3 a) y 4.</w:t>
      </w:r>
    </w:p>
    <w:p w:rsidR="00D06117" w:rsidRDefault="00D06117" w:rsidP="00D06117">
      <w:pPr>
        <w:pStyle w:val="TextoNormal"/>
      </w:pPr>
    </w:p>
    <w:p w:rsidR="00D06117" w:rsidRDefault="00D06117" w:rsidP="00D06117">
      <w:pPr>
        <w:pStyle w:val="TextoNormal"/>
      </w:pPr>
      <w:r>
        <w:t>El primero de ellos ha sido objeto de impugnación en la demanda de manera conjunta con el art. 8, por imponer a las Comunidades Autónomas la obligación de interactuar con entidades colaboradoras seleccionadas, de conformidad con el art. 8, por el Ministerio de Vivienda en un procedimiento de selección al que son ajenas, impuesto por una norma invasiva del sistema competencial. El apartado 3 a) del art. 3 establece como requisito para percibir la renta básica de emancipación la domiciliación bancaria de la ayuda en alguna de las entidades de crédito colaboradoras del Ministerio de Vivienda, mientras que el art. 8 regula los convenios de colaboración que podrá celebrar el Ministerio de Vivienda con entidades de crédito para la gestión, seguimiento y control de los pagos de las ayudas. Ya en la STC 129/2010 llegamos a la conclusión de que ambos preceptos, que contemplan aspectos relativos a la gestión de las ayudas, vulneran las competencias autonómicas, porque reservan a un órgano estatal facultades relacionadas con dicha gestión, situación que allí entendimos vulneradora de la competencia autonómica en materia de vivienda, y que tampoco se ajusta a la distribución competencial en la materia de asistencia social, pues, como ya hemos dicho anteriormente, ostentando la Comunidad Autónoma competencia exclusiva en esa materia, le corresponde la gestión de las ayudas, aunque se otorguen con cargo a fondos estatales, salvo los supuestos excepcionales a los que ya nos hemos referido. Como recordamos en la STC 129/2010, FJ 7, ya en la STC 95/1986, de 10 de julio, FJ 5, reconocimos la posibilidad de que se reservara al Estado la facultad de suscribir convenios con las entidades financieras, pero sólo si fuera necesario para garantizar que los topes máximos previstos por el Gobierno para determinadas líneas de créditos fueran efectivamente respetados o para asegurar una distribución homogénea o no discriminatoria de tales créditos en todo el territorio nacional. Sin embargo, como ya se constató en la STC 129/2010, FJ 6, ninguna de tales circunstancias concurre en el presente caso, lo que determina la vulneración de las competencias autonómicas en materia de asistencia social, por la reserva a un órgano estatal de facultades relativas a la gestión de las ayudas.</w:t>
      </w:r>
    </w:p>
    <w:p w:rsidR="00D06117" w:rsidRDefault="00D06117" w:rsidP="00D06117">
      <w:pPr>
        <w:pStyle w:val="TextoNormal"/>
      </w:pPr>
    </w:p>
    <w:p w:rsidR="00D06117" w:rsidRDefault="00D06117" w:rsidP="00D06117">
      <w:pPr>
        <w:pStyle w:val="TextoNormal"/>
      </w:pPr>
      <w:r>
        <w:t xml:space="preserve">El apartado 4, que se refiere a la subsistencia de las condiciones que determinaron el reconocimiento del derecho para el mantenimiento de las ayudas, vulnera la competencia autonómica tan sólo en el aspecto relativo a la obligación por parte de la Comunidad Autónoma de comunicar al Ministerio de Vivienda la resolución que dicte en caso de modificación de aquellas condiciones, porque supone la imposición de un control sobre la actividad de gestión de las ayudas realizada por la Comunidad Autónoma, que no resulta constitucionalmente lícito. Ya hemos declarado que el establecimiento de normas de control de la gestión autonómica de las subvenciones debe considerarse un control exorbitante que invade la </w:t>
      </w:r>
      <w:r>
        <w:lastRenderedPageBreak/>
        <w:t>autonomía financiera autonómica, excepto en lo que se refiere a la obligación de informar al final de cada ejercicio [STC 98/2001, de 5 de abril, FJ 8 k), y las que en ella se citan]</w:t>
      </w:r>
    </w:p>
    <w:p w:rsidR="00D06117" w:rsidRDefault="00D06117" w:rsidP="00D06117">
      <w:pPr>
        <w:pStyle w:val="TextoNormal"/>
      </w:pPr>
    </w:p>
    <w:p w:rsidR="00D06117" w:rsidRDefault="00D06117" w:rsidP="00D06117">
      <w:pPr>
        <w:pStyle w:val="TextoNormal"/>
      </w:pPr>
      <w:r w:rsidRPr="00D06117">
        <w:rPr>
          <w:rStyle w:val="NumeroAFNegritaCaracter"/>
        </w:rPr>
        <w:t>10</w:t>
      </w:r>
      <w:r>
        <w:t>. El art. 4 regula detalladamente el procedimiento de concesión de la renta básica de emancipación, extendiéndose a distintos aspectos. Así, su apartado 1 prevé que la gestión de las ayudas se realizará conforme a lo que establezcan los convenios que suscriba el Ministerio de Vivienda con las Comunidades Autónomas y ciudades de Ceuta y Melilla (contemplados en el art. 7); el apartado 2 se refiere al plazo máximo de resolución; el 3 a los modelos de impresos de solicitud que se establecerán por orden del Ministerio de Vivienda; el apartado 4 regula la posibilidad de solicitar el reconocimiento provisional del derecho a la renta básica; el apartado 5, la comunicación de la resolución por la Comunidad Autónoma y la orden de pago por el Ministerio de Vivienda; y, finalmente el apartado 6 se refiere a la presentación de la resolución de reconocimiento por los interesados ante la entidad de crédito colaboradora a través de la cual haya solicitado recibir las ayudas, y la comunicación de ésta al Ministerio de Vivienda para el caso de que no haya recibido previamente la autorización de pago.</w:t>
      </w:r>
    </w:p>
    <w:p w:rsidR="00D06117" w:rsidRDefault="00D06117" w:rsidP="00D06117">
      <w:pPr>
        <w:pStyle w:val="TextoNormal"/>
      </w:pPr>
    </w:p>
    <w:p w:rsidR="00D06117" w:rsidRDefault="00D06117" w:rsidP="00D06117">
      <w:pPr>
        <w:pStyle w:val="TextoNormal"/>
      </w:pPr>
      <w:r>
        <w:t>La demanda ejemplifica las vulneraciones en las que incurre dicho precepto en sus apartados 1, 5 y 6, oponiéndoles que, al igual que el art. 7, apartados 1 y 2, son ejemplos manifiestos de que las competencias de las Comunidades Autónomas quedan limitadas a meras labores de gestión y ejecución en una materia en la que son actores principales, en virtud de sus competencias exclusivas, reservándose las facultades de pago a la Administración del Estado, e imponiéndose a las Comunidades Autónomas actuaciones de instrucción, notificación y mera tramitación administrativa. En suma, la Comunidad Autónoma recurrente pone de relieve que en los aspectos referidos al procedimiento de concesión de las ayudas y, en general, en ejecución de las previsiones del Real Decreto, no se deja margen a la regulación autonómica, quedando limitadas las Administraciones de las Comunidades Autónomas a meras tramitadoras de las solicitudes de la renta básica de emancipación.</w:t>
      </w:r>
    </w:p>
    <w:p w:rsidR="00D06117" w:rsidRDefault="00D06117" w:rsidP="00D06117">
      <w:pPr>
        <w:pStyle w:val="TextoNormal"/>
      </w:pPr>
    </w:p>
    <w:p w:rsidR="00D06117" w:rsidRDefault="00D06117" w:rsidP="00D06117">
      <w:pPr>
        <w:pStyle w:val="TextoNormal"/>
      </w:pPr>
      <w:r>
        <w:t>Sobre el aspecto relativo a las reglas de tramitación de las subvenciones hemos declarado con reiteración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FJ 11). Por tanto, como norma general, debe ser la Comunidad Autónoma quien establezca el procedimiento de gestión, control y resolución de las solicitudes que se presenten. Vamos a examinar separadamente cada uno de los apartados del art. 4 para determinar si su contenido se incardina o no en el ámbito de las competencias normativas y de gestión de la Comunidad Autónoma de La Rioja en materia de asistencia social, y, por tanto, si vulneran o no esas competencias.</w:t>
      </w:r>
    </w:p>
    <w:p w:rsidR="00D06117" w:rsidRDefault="00D06117" w:rsidP="00D06117">
      <w:pPr>
        <w:pStyle w:val="TextoNormal"/>
      </w:pPr>
    </w:p>
    <w:p w:rsidR="00D06117" w:rsidRDefault="00D06117" w:rsidP="00D06117">
      <w:pPr>
        <w:pStyle w:val="TextoNormal"/>
      </w:pPr>
      <w:r>
        <w:t>El apartado 1, como ya dijimos en la STC 129/2010, FJ 7, supone una vulneración de las competencias autonómicas, ya que, “el Estado no puede condicionar el ejercicio de las competencias autonómicas a la firma de un convenio [por todas STC 175/2003, de 30 de septiembre, FJ 10 c) y doctrina allí citada], pues con ello se vulneran las competencias autonómicas en la materia correspondiente, las cuales incluyen la potestad de dictar normas procedimentales respecto a las ayudas de que se trata”.</w:t>
      </w:r>
    </w:p>
    <w:p w:rsidR="00D06117" w:rsidRDefault="00D06117" w:rsidP="00D06117">
      <w:pPr>
        <w:pStyle w:val="TextoNormal"/>
      </w:pPr>
    </w:p>
    <w:p w:rsidR="00D06117" w:rsidRDefault="00D06117" w:rsidP="00D06117">
      <w:pPr>
        <w:pStyle w:val="TextoNormal"/>
      </w:pPr>
      <w:r>
        <w:lastRenderedPageBreak/>
        <w:t>No ocurre lo mismo con el apartado 2, según concluimos en la STC 129/2010, FJ 7, en la medida en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sin que, por lo demás, el Gobierno de La Rioja haya hecho causa de la fijación de ese plazo común.</w:t>
      </w:r>
    </w:p>
    <w:p w:rsidR="00D06117" w:rsidRDefault="00D06117" w:rsidP="00D06117">
      <w:pPr>
        <w:pStyle w:val="TextoNormal"/>
      </w:pPr>
    </w:p>
    <w:p w:rsidR="00D06117" w:rsidRDefault="00D06117" w:rsidP="00D06117">
      <w:pPr>
        <w:pStyle w:val="TextoNormal"/>
      </w:pPr>
      <w:r>
        <w:t>El apartado 3, en su inicial redacción, se refiere a los modelos de impresos de solicitud que se habrían de establecer por orden del Ministerio de Vivienda, previsión vulneradora de la competencia autonómica, ya que ésta es una cuestión de carácter meramente procedimental que corresponde fijar a la Comunidad Autónoma, habiendo afirmado este Tribunal que no tienen carácter básico los modelos normalizados de solicitud (STC 242/1999, de 21 de diciembre, FJ 11, y las que en ella se citan), y, asimismo, que la gestión administrativa de las ayudas comprende, entre otros extremos, la recepción de las solicitudes, la verificación de sus datos y su tramitación, competencia “de la que sin dificultad se deriva la facultad de la Administración ante la que se tramitan las ayudas para decidir el empleo de los modelos o formularios más apropiados que han de utilizar los solicitantes, así como los que han de utilizarse para resolver sobre su otorgamiento” (STC 70/1997, de 10 de abril, FJ 4).</w:t>
      </w:r>
    </w:p>
    <w:p w:rsidR="00D06117" w:rsidRDefault="00D06117" w:rsidP="00D06117">
      <w:pPr>
        <w:pStyle w:val="TextoNormal"/>
      </w:pPr>
    </w:p>
    <w:p w:rsidR="00D06117" w:rsidRDefault="00D06117" w:rsidP="00D06117">
      <w:pPr>
        <w:pStyle w:val="TextoNormal"/>
      </w:pPr>
      <w:r>
        <w:t>También vulnera la competencia autonómica el apartado 4, en la medida en que establece una detallada regla procedimental sobre el reconocimiento provisional del derecho a la renta básica de emancipación, que entra de lleno dentro de la competencia autonómica para la regulación del procedimiento de gestión, control y resolución de las solicitudes de ayudas.</w:t>
      </w:r>
    </w:p>
    <w:p w:rsidR="00D06117" w:rsidRDefault="00D06117" w:rsidP="00D06117">
      <w:pPr>
        <w:pStyle w:val="TextoNormal"/>
      </w:pPr>
    </w:p>
    <w:p w:rsidR="00D06117" w:rsidRDefault="00D06117" w:rsidP="00D06117">
      <w:pPr>
        <w:pStyle w:val="TextoNormal"/>
      </w:pPr>
      <w:r>
        <w:t xml:space="preserve">El apartado 5 regula la notificación de la resolución al interesado y el deber de comunicar la misma al Ministerio de Vivienda mediante un sistema automatizado, el cual ordenará el pago de las ayudas a la entidad colaboradora. Hemos de comenzar advirtiendo que el acto de pago de las ayudas es un acto de ejecución que, conforme a los criterios generales antes expuestos, debe corresponder en principio a las Comunidades Autónomas con competencia en la materia (STC 79/1992, de 28 de mayo, FJ 2). Por consiguiente, no resulta constitucionalmente aceptable la reserva de la ordenación del pago al Ministerio de Vivienda, sino que el Estado debe poner a disposición de las Comunidades Autónomas los fondos necesarios para el pago de las ayudas, ya que el sistema articulado por el precepto analizado de comunicación de la resolución del expediente por la Comunidad Autónoma al Ministerio de Vivienda y ordenación del pago por éste convierten lo que debía ser una auténtica transferencia de fondos a la Comunidad Autónoma, dotada de autonomía financiera, en un simple sistema de pagos a justificar entre órganos que mantienen relaciones de subordinación o jerarquía entre sí. Según señalamos en la STC 201/1988, de 27 de octubre, FJ 4, “[l]a autonomía financiera de las CC AA, reconocida en los arts. 156.1 de la Constitución y 1.1 de la LOFCA exige la plena disposición de medios financieros para poder ejercer, sin condicionamientos indebidos y en toda su extensión, las competencias propias, en especial las que se configuran como exclusivas, suponiendo una limitación de las mismas las intervenciones que el Estado realice con rigurosos controles que no se manifiesten imprescindibles para asegurar la coordinación de la política autonómica en un determinado sector económico con programación, a nivel nacional, que haya realizado el Estado, en uso de las competencias que a tal efecto le confiere la Constitución”. En definitiva, lo procedente es que los recursos económicos queden territorializados en los presupuestos generales del Estado entre las Comunidades Autónomas, para que éstas puedan realizar todas las funciones precisas en orden a la gestión, </w:t>
      </w:r>
      <w:r>
        <w:lastRenderedPageBreak/>
        <w:t>control administrativo y concesión de las ayudas [SSTC 13/1992, FJ 8 a), y 77/2004, de 29 de abril, FJ 1]. No es aceptable, por tanto —como ya concluimos en la STC 201/1988, FJ 4—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Comunidades Autónomas, dejando, en este caso, en manos del Ministerio de Vivienda la disposición de los créditos. Esas normas de control de la gestión autonómica de las subvenciones suponen un control exorbitante que invade la autonomía financiera autonómica, excepto en lo que se refiere a la obligación de informar al final de cada ejercicio, pues esta previsión, además de ser conforme con los principios de colaboración, solidaridad y lealtad constitucional, no crea obstáculo alguno al ejercicio de las competencias autonómicas [SSTC 201/1988, FJ 4, y 98/2001, de 5 de abril, FJ 8 k)], siendo, además, este criterio de información posterior el único reconocido en el art. 86 de la Ley general presupuestaria. En suma, el apartado 5 vulnera las competencias de la Comunidad Autónoma de La Rioja.</w:t>
      </w:r>
    </w:p>
    <w:p w:rsidR="00D06117" w:rsidRDefault="00D06117" w:rsidP="00D06117">
      <w:pPr>
        <w:pStyle w:val="TextoNormal"/>
      </w:pPr>
    </w:p>
    <w:p w:rsidR="00D06117" w:rsidRDefault="00D06117" w:rsidP="00D06117">
      <w:pPr>
        <w:pStyle w:val="TextoNormal"/>
      </w:pPr>
      <w:r>
        <w:t>Por otra parte, el inciso segundo de este mismo apartado 5, así como el apartado 6, en cuanto se refieren a actuaciones a realizar por el Ministerio de Vivienda con respecto a las entidades de crédito con las que éste haya suscrito convenios de colaboración, se ven afectados por la misma desatención del orden constitucional de competencias en que incurren los arts. 3.3 a) y 8 —según expusimos también en la STC 129/2010, FJ 7—, puesto que tienen su base en tales convenios.</w:t>
      </w:r>
    </w:p>
    <w:p w:rsidR="00D06117" w:rsidRDefault="00D06117" w:rsidP="00D06117">
      <w:pPr>
        <w:pStyle w:val="TextoNormal"/>
      </w:pPr>
    </w:p>
    <w:p w:rsidR="00D06117" w:rsidRDefault="00D06117" w:rsidP="00D06117">
      <w:pPr>
        <w:pStyle w:val="TextoNormal"/>
      </w:pPr>
      <w:r>
        <w:t>El art. 5 se refiere a la acreditación del cumplimiento de los requisitos del art. 2, con una regulación muy detallada en una materia en la que el Estado no tiene competencia, ni siquiera para el establecimiento de las bases. Por tanto, sus previsiones vulneran la competencia autonómica en la materia, dado que ésta incluye la de regular el procedimiento correspondiente, como ya se ha señalado, así como la gestión de las solicitudes, incluyendo la recepción y tramitación de las solicitudes y las verificaciones o comprobaciones que se consideren necesarias.</w:t>
      </w:r>
    </w:p>
    <w:p w:rsidR="00D06117" w:rsidRDefault="00D06117" w:rsidP="00D06117">
      <w:pPr>
        <w:pStyle w:val="TextoNormal"/>
      </w:pPr>
    </w:p>
    <w:p w:rsidR="00D06117" w:rsidRDefault="00D06117" w:rsidP="00D06117">
      <w:pPr>
        <w:pStyle w:val="TextoNormal"/>
      </w:pPr>
      <w:r>
        <w:t>A igual conclusión, y por las mismas razones, ha de llegarse en cuanto al art. 6, sobre la verificación de los datos de los solicitantes.</w:t>
      </w:r>
    </w:p>
    <w:p w:rsidR="00D06117" w:rsidRDefault="00D06117" w:rsidP="00D06117">
      <w:pPr>
        <w:pStyle w:val="TextoNormal"/>
      </w:pPr>
    </w:p>
    <w:p w:rsidR="00D06117" w:rsidRDefault="00D06117" w:rsidP="00D06117">
      <w:pPr>
        <w:pStyle w:val="TextoNormal"/>
      </w:pPr>
      <w:r>
        <w:t>Por su parte, el art. 7.1 sí resulta contrario al orden constitucional de distribución de competencias, por el mismo motivo que el art. 4.1 [motivo que ya fue apreciado en la STC 129/2010, FJ 7, con respecto al art. 7, apartado 2 a)], esto es, la invasión de las competencias autonómicas relativas a la gestión de las ayudas, al condicionar su ejercicio a la suscripción de un convenio con un órgano estatal, siendo su contenido fijado unilateralmente por el Estado. Como consecuencia de no ser respetuosa con la competencia autonómica la sujeción de su ejercicio a la suscripción de un convenio con el Estado, tampoco puede serlo el apartado 2 del art. 7, en cuanto fija unilateralmente el contenido de dicho convenio.</w:t>
      </w:r>
    </w:p>
    <w:p w:rsidR="00D06117" w:rsidRDefault="00D06117" w:rsidP="00D06117">
      <w:pPr>
        <w:pStyle w:val="TextoNormal"/>
      </w:pPr>
    </w:p>
    <w:p w:rsidR="00D06117" w:rsidRDefault="00D06117" w:rsidP="00D06117">
      <w:pPr>
        <w:pStyle w:val="TextoNormal"/>
      </w:pPr>
      <w:r w:rsidRPr="00D06117">
        <w:rPr>
          <w:rStyle w:val="NumeroAFNegritaCaracter"/>
        </w:rPr>
        <w:t>11</w:t>
      </w:r>
      <w:r>
        <w:t xml:space="preserve">. Al art. 9.1, párrafo segundo, se le achaca que declara la compatibilidad de la renta básica de emancipación con las que, en su caso, puedan establecer las Comunidades Autónomas, lo que supondría una vulneración directa del principio de autonomía financiera. Así concretada la impugnación, se refiere en exclusiva al párrafo segundo del precepto, en el que no puede apreciarse la vulneración de las competencias autonómicas, toda vez que, </w:t>
      </w:r>
      <w:r>
        <w:lastRenderedPageBreak/>
        <w:t>como ya expusimos en la STC 129/2010, FJ 7, esa declaración de compatibilidad, que no es sino una consecuencia del origen estatal de los fondos, se remite a lo que disponga la normativa autonómica, por lo que cada Comunidad Autónoma queda en libertad para decidir si las subvenciones, ayudas, o beneficios fiscales que establezca deben ser o no compatibles con la renta básica de emancipación. Ninguna vulneración se aprecia, tampoco, con respecto a los apartados 2 y 3, en los que se fijan las incompatibilidades con otras ayudas estatales y las consecuencias del incumplimiento de las condiciones y requisitos para disfrutar de las ayudas, ya que se trata de cuestiones estrechamente ligadas a la fijación de los requisitos para poder ser beneficiarios de la renta básica de emancipación, establecidos en el art. 2 del Real Decreto 1472/2007.</w:t>
      </w:r>
    </w:p>
    <w:p w:rsidR="00D06117" w:rsidRDefault="00D06117" w:rsidP="00D06117">
      <w:pPr>
        <w:pStyle w:val="TextoNormal"/>
      </w:pPr>
    </w:p>
    <w:p w:rsidR="00D06117" w:rsidRDefault="00D06117" w:rsidP="00D06117">
      <w:pPr>
        <w:pStyle w:val="TextoNormal"/>
      </w:pPr>
      <w:r>
        <w:t>En cuanto al resto de disposiciones del real decreto, ningún problema plantean la disposición transitoria única, sobre la aplicación de las ayudas a los jóvenes ya emancipados, y la disposición adicional tercera, sobre la titularidad de la vivienda a efectos de la aplicación del art. 2.2 b), que son aspectos relacionados directamente también con los requisitos para ser beneficiarios de las ayudas, de acuerdo con el art. 2.</w:t>
      </w:r>
    </w:p>
    <w:p w:rsidR="00D06117" w:rsidRDefault="00D06117" w:rsidP="00D06117">
      <w:pPr>
        <w:pStyle w:val="TextoNormal"/>
      </w:pPr>
    </w:p>
    <w:p w:rsidR="00D06117" w:rsidRDefault="00D06117" w:rsidP="00D06117">
      <w:pPr>
        <w:pStyle w:val="TextoNormal"/>
      </w:pPr>
      <w:r>
        <w:t>Tampoco suscita dudas de constitucionalidad la disposición adicional primera, que se limita a prever la elaboración por el Ministerio de Vivienda de informes periódicos de seguimiento y evaluación de las medidas reguladas en el real decreto, con la finalidad última de servir para la adopción de la decisión de su mantenimiento, modificación o derogación, norma que no afecta al ejercicio de las competencias autonómicas en la materia.</w:t>
      </w:r>
    </w:p>
    <w:p w:rsidR="00D06117" w:rsidRDefault="00D06117" w:rsidP="00D06117">
      <w:pPr>
        <w:pStyle w:val="TextoNormal"/>
      </w:pPr>
    </w:p>
    <w:p w:rsidR="00D06117" w:rsidRDefault="00D06117" w:rsidP="00D06117">
      <w:pPr>
        <w:pStyle w:val="TextoNormal"/>
      </w:pPr>
      <w:r>
        <w:t>La disposición final primera se refiere al título competencial que ampara la regulación del real decreto, concretándolo en el art. 149.1.13 CE. Comoquiera que, según se expuso al analizar las distintas competencias invocadas por las partes, dicho título no respalda la intervención estatal, hemos de concluir que la citada disposición vulnera el orden constitucional de distribución de competencias.</w:t>
      </w:r>
    </w:p>
    <w:p w:rsidR="00D06117" w:rsidRDefault="00D06117" w:rsidP="00D06117">
      <w:pPr>
        <w:pStyle w:val="TextoNormal"/>
      </w:pPr>
    </w:p>
    <w:p w:rsidR="00D06117" w:rsidRDefault="00D06117" w:rsidP="00D06117">
      <w:pPr>
        <w:pStyle w:val="TextoNormal"/>
      </w:pPr>
      <w:r>
        <w:t>Mención especial merece la disposición final segunda, que habilita al titular del Ministerio de Vivienda para que, en el ámbito de sus competencias, “apruebe cuantas disposiciones se precisen para el desarrollo, la ejecución y el cumplimiento de lo establecido en este real decreto”. Pues bien, dicha previsión también vulnera las competencias de la Comunidad Autónoma de La Rioja, en un doble sentido: por una parte, porque atribuye a un órgano estatal funciones aplicativas del real decreto que, como ya se ha señalado, corresponden a la Comunidad Autónoma, lo que determina la infracción del orden constitucional de competencias, sin que en este punto, y habida cuenta de las atribuciones al Ministerio de la Vivienda que se contienen en el articulado del real decreto [arts. 3.3 a) en relación con el 8, 4 apartados 1 y 5, 7 apartados1 y 2, y 9], pueda entenderse la expresión de la disposición analizada en el solo sentido de procurar y cuidar que el decreto sea cumplido y llevado a efecto. Por otra parte, porque la previsión de que el titular del Ministerio de Vivienda, en el ámbito normativo, pueda continuar desarrollando el contenido del Real Decreto 1472/2007, incluso en aquellos aspectos destinados a facilitar su ejecución, como la aprobación de los modelos de convenios de colaboración con entidades de crédito (art. 8), supone desconocer y, por consiguiente, vulnerar, las competencias de la Comunidad Autónoma de La Rioja para llevar a cabo el desarrollo normativo que considere necesario en relación con una materia que es de su competencia exclusiva.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12</w:t>
      </w:r>
      <w:r>
        <w:t>. Una vez llegados a este punto, sólo nos resta pronunciarnos sobre el alcance de las consecuencias de la vulneración de competencias que hemos apreciado. A tal efecto, hemos de tener en cuenta, por un lado, que la disposición cuestionada no ha agotado su virtualidad, ya que, a pesar de haber sido derogada por el Real Decreto-ley 20/2011, de 30 de diciembre, el apartado 2 de la disposición derogatoria primera del mismo deja a salvo el derecho a la percepción de la renta básica de emancipación de los beneficiarios que lo tuvieran reconocido al amparo de lo dispuesto en el citado real decreto, que continuarán disfrutándolo en las condiciones establecidas en la norma que se deroga y de acuerdo con los términos de la resolución de su reconocimiento. Asimismo, se contempla la posibilidad de que se reconozcan nuevos beneficiarios de las ayudas, en los términos que se establezcan en la resolución correspondiente, siempre que las hayan solicitado a 31 de diciembre de 2011 y que cumplan a dicha fecha los requisitos contemplados en el Real Decreto 1472/2007. En consecuencia, en la medida en que las ayudas se conceden por un plazo máximo de cuatro años (art. 3.2), pueden existir algunas ya concedidas o que se concedan antes de dictar nuestra Sentencia, y que están siendo objeto de percepción por parte de los beneficiarios, que podrían verse menoscabadas por la declaración de inconstitucionalidad y consiguiente nulidad de los preceptos enjuiciados. Por tanto, para que ello no ocurra ha de tenerse en cuenta nuestra doctrina que, en supuestos similares, ha entendido que no procede que queden afectadas situaciones jurídicas ya consolidadas (entre otras muchas, SSTC 75/1989, de 24 de abril; 13/1992, de 6 de febrero; 79/1992, de 28 de mayo; 186/1999, de 14 de octubre; 175/2003, de 30 de septiembre).</w:t>
      </w:r>
    </w:p>
    <w:p w:rsidR="00D06117" w:rsidRDefault="00D06117" w:rsidP="00D06117">
      <w:pPr>
        <w:pStyle w:val="TextoNormal"/>
      </w:pPr>
    </w:p>
    <w:p w:rsidR="00D06117" w:rsidRDefault="00D06117" w:rsidP="00D06117">
      <w:pPr>
        <w:pStyle w:val="TextoNormal"/>
      </w:pPr>
      <w:r>
        <w:t>En consecuencia, nuestro pronunciamiento, que debe incluir no sólo la estimación parcial del conflicto con declaración de la titularidad de la competencia controvertida a favor de la Comunidad Autónoma de La Rioja, sino también la anulación de los preceptos correspondientes, ha de realizarse con respeto, en todo caso, de las ayudas que ya hayan sido concedidas.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Estimar parcialmente el conflicto positivo de competencia interpuesto por el Consejo de Gobierno de la Comunidad Autónoma de La Rioja y, en consecuencia, declarar que los arts. 3, apartados 3 a) y 4, inciso “y lo comunique al Ministerio de la Vivienda”; 4, apartados 1, 3, 4, 5, y 6; 5; 6; 7; y 8; la disposición adicional segunda; la disposición final primera y la disposición final segunda del Real Decreto 1472/2007, de 2 de noviembre, por el que se regula la renta básica de emancipación de los jóvenes, vulneran las competencias de la Comunidad Autónoma de La Rioja.</w:t>
      </w:r>
    </w:p>
    <w:p w:rsidR="00D06117" w:rsidRDefault="00D06117" w:rsidP="00D06117">
      <w:pPr>
        <w:pStyle w:val="TextoNormal"/>
      </w:pPr>
    </w:p>
    <w:p w:rsidR="00D06117" w:rsidRDefault="00D06117" w:rsidP="00D06117">
      <w:pPr>
        <w:pStyle w:val="TextoNormal"/>
      </w:pPr>
      <w:r>
        <w:t>2º Anular los citados preceptos, con el alcance que se determina en el fundamento jurídico 12 de esta Sentencia.</w:t>
      </w:r>
    </w:p>
    <w:p w:rsidR="00D06117" w:rsidRDefault="00D06117" w:rsidP="00D06117">
      <w:pPr>
        <w:pStyle w:val="TextoNormal"/>
      </w:pPr>
    </w:p>
    <w:p w:rsidR="00D06117" w:rsidRDefault="00D06117" w:rsidP="00D06117">
      <w:pPr>
        <w:pStyle w:val="TextoNormal"/>
      </w:pPr>
      <w:r>
        <w:t>3º Desestimar el conflicto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quince de marzo de dos mil doce.</w:t>
      </w:r>
    </w:p>
    <w:p w:rsidR="00D06117" w:rsidRDefault="00D06117" w:rsidP="00D06117">
      <w:pPr>
        <w:pStyle w:val="ParrafoNormal"/>
      </w:pPr>
    </w:p>
    <w:p w:rsidR="00D06117" w:rsidRDefault="00D06117" w:rsidP="00D06117">
      <w:pPr>
        <w:pStyle w:val="TextoNormalNegritaCentrado"/>
        <w:keepNext/>
      </w:pPr>
      <w:r>
        <w:t>Voto concurrente que formula la Magistrada doña Adela Asua Batarrita a la Sentencia dictada en el conflicto positivo de competencia núm. 1401-2008.</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(LOTC) y con pleno respeto a la opinión de la mayoría del Tribunal, quiero precisar el sentido de mi voto favorable a la Sentencia que estima parcialmente el conflicto positivo de competencia.</w:t>
      </w:r>
    </w:p>
    <w:p w:rsidR="00D06117" w:rsidRDefault="00D06117" w:rsidP="00D06117">
      <w:pPr>
        <w:pStyle w:val="TextoNormal"/>
      </w:pPr>
    </w:p>
    <w:p w:rsidR="00D06117" w:rsidRDefault="00D06117" w:rsidP="00D06117">
      <w:pPr>
        <w:pStyle w:val="TextoNormal"/>
      </w:pPr>
      <w:r>
        <w:t xml:space="preserve">Comparto plenamente el encuadramiento competencial de las subvenciones controvertidas en la materia de “asistencia social” conforme a los criterios que se sientan en los fundamentos jurídicos 4 a 7 y que se separan explícitamente de los considerados en la STC 129/2010, de 29 de noviembre, FFJJ 3 y 5. Por ello, en coherencia con ese encuadre competencial, es evidente que nos encontramos en la primera de las categorías de ayudas o en el primero de los supuestos [letra a)] de actividad subvencional estatal según la clasificación sistematizada recogida en la STC 13/1992, en su fundamento jurídico 8, y así lo reconocemos en la presente Sentencia (FJ 8). Sin embargo, a continuación no aplicamos las correspondientes consecuencias jurídicas tal y como quedaron recogidas en aquella STC 13/1992, sino en la forma en que dichas consecuencias jurídicas fueron reinterpretadas en la reciente STC 178/2011, de 8 de noviembre, que también versaba sobre un régimen subvencional estatal en materia de asistencia social. En esta Sentencia, aun reconociendo que el Estado carecía de competencia alguna en la materia, ni específica ni horizontal, se dibujó someramente una “esfera de la competencia estatal”, deducida del hecho del propio ejercicio por el Estado de su potestad de gasto. </w:t>
      </w:r>
    </w:p>
    <w:p w:rsidR="00D06117" w:rsidRDefault="00D06117" w:rsidP="00D06117">
      <w:pPr>
        <w:pStyle w:val="TextoNormal"/>
      </w:pPr>
    </w:p>
    <w:p w:rsidR="00D06117" w:rsidRDefault="00D06117" w:rsidP="00D06117">
      <w:pPr>
        <w:pStyle w:val="TextoNormal"/>
      </w:pPr>
      <w:r>
        <w:t xml:space="preserve">En este punto se sitúa el sentido de mi Voto concurrente. Creo necesario subrayar la importancia de nuestra STC 13/1992 para la sistematización y la ordenación de la doctrina constitucional sobre la articulación de las relaciones entre la potestad estatal de gasto subvencional y las competencias que las Comunidades Autónomas disponen en muy diversas materias. Aquella Sentencia, apoyada en una extensa fundamentación jurídica, estaba animada por una evidente intención sistematizadora, y, en la práctica, ha operado hasta la fecha como la referencia central de la doctrina constitucional en materia de regulación y gestión de subvenciones estatales en el marco del Estado autonómico. En ella quedaron establecidos con claridad determinados parámetros razonables y transparentes de delimitación de la actuación al respecto tanto para el Estado como para las Comunidades Autónomas. </w:t>
      </w:r>
    </w:p>
    <w:p w:rsidR="00D06117" w:rsidRDefault="00D06117" w:rsidP="00D06117">
      <w:pPr>
        <w:pStyle w:val="TextoNormal"/>
      </w:pPr>
    </w:p>
    <w:p w:rsidR="00D06117" w:rsidRDefault="00D06117" w:rsidP="00D06117">
      <w:pPr>
        <w:pStyle w:val="TextoNormal"/>
      </w:pPr>
      <w:r>
        <w:t xml:space="preserve">Es evidente que la doctrina de la STC 13/1992 y, en concreto, la sistematización que ofrece de cuatro categorías o supuestos generales de intervención estatal en materia de subvenciones en el marco del Estado autonómico, puede ser revisada en cualquier momento como cualquier doctrina de este Tribunal; el propio inciso inicial de su fundamento jurídico 8 expresamente no descartaba “cualesquiera otros (supuestos) que en el futuro pudieran derivarse de la Constitución y los Estatutos de Autonomía”. Pero esta previsión de la STC 13/1992 que responde a razones de pura prudencia en el ejercicio de su jurisdicción, sobre la eventualidad de supuestos adicionales a los cuatro allí contemplados, no alcanzaba a la consideración de que los supuestos allí contemplados pudieran tener consecuencias distintas </w:t>
      </w:r>
      <w:r>
        <w:lastRenderedPageBreak/>
        <w:t xml:space="preserve">a las entonces fijadas. En todo caso, una eventual aclaración, precisión o perfeccionamiento de la doctrina de la STC 13/1992 entiendo que debe ir acompañada de una argumentación suficientemente explícita y con el mismo grado de fundamentación y de motivación que las ofrecidas en aquella Sentencia de referencia en esta materia. Este requerimiento de un grado suficiente de motivación y de argumentación explícita es el que a mi juicio concurre solo de forma exigua o insuficiente en la presente Sentencia que ahora dictamos, como puede constatarse en su fundamento jurídico 8. </w:t>
      </w:r>
    </w:p>
    <w:p w:rsidR="00D06117" w:rsidRDefault="00D06117" w:rsidP="00D06117">
      <w:pPr>
        <w:pStyle w:val="TextoNormal"/>
      </w:pPr>
    </w:p>
    <w:p w:rsidR="00D06117" w:rsidRDefault="00D06117" w:rsidP="00D06117">
      <w:pPr>
        <w:pStyle w:val="TextoNormal"/>
      </w:pPr>
      <w:r>
        <w:t>Es sabido además, que el primer supuesto de actividad subvencional estatal sistematizado en la STC 13/1992, FJ 8 a), fue durante casi dos décadas una modalidad inédita en la práctica, hasta la reciente STC 178/2011 antes citada. Por segunda vez abordamos ahora, de nuevo, un supuesto encuadrado también en aquella primera categoría de subvenciones.</w:t>
      </w:r>
    </w:p>
    <w:p w:rsidR="00D06117" w:rsidRDefault="00D06117" w:rsidP="00D06117">
      <w:pPr>
        <w:pStyle w:val="TextoNormal"/>
      </w:pPr>
    </w:p>
    <w:p w:rsidR="00D06117" w:rsidRDefault="00D06117" w:rsidP="00D06117">
      <w:pPr>
        <w:pStyle w:val="TextoNormal"/>
      </w:pPr>
      <w:r>
        <w:t xml:space="preserve">En ambas resoluciones se construyen como novedad unas reglas de juego ad hoc que modifican en algún grado las señaladas en la STC 13/1992, ampliando la capacidad del Estado en la intervención en esta materia. Conforme a aquella Sentencia el Estado quedaba limitado a determinar la finalidad de los fondos de manera genérica o global (por sectores o subsectores) preferentemente en la propia Ley de presupuestos generales del Estado, sin capacidad para regular las condiciones de la ayuda; ahora nos referimos a su legitimidad para la fijación de “aspectos centrales o generales del régimen subvencional”, sin esclarecer suficientemente las razones jurídicas y el alcance de esta ampliación. </w:t>
      </w:r>
    </w:p>
    <w:p w:rsidR="00D06117" w:rsidRDefault="00D06117" w:rsidP="00D06117">
      <w:pPr>
        <w:pStyle w:val="TextoNormal"/>
      </w:pPr>
    </w:p>
    <w:p w:rsidR="00D06117" w:rsidRDefault="00D06117" w:rsidP="00D06117">
      <w:pPr>
        <w:pStyle w:val="TextoNormal"/>
      </w:pPr>
      <w:r>
        <w:t xml:space="preserve">La interpretación que consagramos ahora aproxima y aminora las diferencias de los respectivos regímenes jurídicos correspondientes a los dos primeros supuestos de actividad subvencional estatal [categorías a) y b)] fijados por el fundamento jurídico 8 de la STC 13/1992. Si se encuadra una subvención estatal en la segunda categoría [letra b)], en el entendimiento de que el Estado tiene un título (específico o genérico) de intervención en la materia, según la STC 13/1992 [FJ 8 b)], le corresponde al Estado “especifica[r] su destino y regula[r]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Pues bien, ahora reducimos las diferencias prácticas del encuadramiento en la primera categoría de subvenciones [FJ 8 a)] con respecto al encuadramiento en la segunda categoría [FJ 8 b)], puesto que regular “los aspectos centrales o generales del régimen subvencional”, que la presente Sentencia reconoce al Estado en este caso, que explícitamente encuadramos en el “supuesto a)”, no queda diferenciado con suficiente claridad de lo que signifique regular “las condiciones esenciales de otorgamiento” del “supuesto b)” conforme a la STC 13/1992. </w:t>
      </w:r>
    </w:p>
    <w:p w:rsidR="00D06117" w:rsidRDefault="00D06117" w:rsidP="00D06117">
      <w:pPr>
        <w:pStyle w:val="TextoNormal"/>
      </w:pPr>
    </w:p>
    <w:p w:rsidR="00D06117" w:rsidRDefault="00D06117" w:rsidP="00D06117">
      <w:pPr>
        <w:pStyle w:val="TextoNormal"/>
      </w:pPr>
      <w:r>
        <w:t xml:space="preserve">Por las razones expuestas, aun compartiendo el fallo, considero que la matización en cierto grado revisora de la doctrina sentada en el fundamento jurídico 8 a) de la STC 13/1992 debería haberse acompañado de una argumentación más detenida y motivada, dada la importancia que dicha doctrina reviste para la articulación constitucionalmente conforme de la potestad de gasto público del Estado con las competencias que la Constitución y los Estatutos de Autonomía reconocen a las Comunidades Autónomas en muy diversas materias. </w:t>
      </w:r>
    </w:p>
    <w:p w:rsidR="00D06117" w:rsidRDefault="00D06117" w:rsidP="00D06117">
      <w:pPr>
        <w:pStyle w:val="TextoNormal"/>
      </w:pPr>
    </w:p>
    <w:p w:rsidR="00D06117" w:rsidRDefault="00D06117" w:rsidP="00D06117">
      <w:pPr>
        <w:pStyle w:val="TextoNormal"/>
      </w:pPr>
      <w:r>
        <w:t>Madrid, a quince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lastRenderedPageBreak/>
        <w:br w:type="page"/>
      </w:r>
    </w:p>
    <w:p w:rsidR="00D06117" w:rsidRDefault="00D06117" w:rsidP="00D06117">
      <w:pPr>
        <w:pStyle w:val="TtuloResolucin"/>
      </w:pPr>
      <w:bookmarkStart w:id="40" w:name="SENTENCIA_2012_37"/>
      <w:r>
        <w:lastRenderedPageBreak/>
        <w:t>SENTENCIA 37/2012, de 19 de marzo de 2012</w:t>
      </w:r>
    </w:p>
    <w:bookmarkEnd w:id="4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88, de 12 de abril de 2012)</w:t>
      </w:r>
    </w:p>
    <w:p w:rsidR="00D06117" w:rsidRDefault="00D06117" w:rsidP="00D06117">
      <w:pPr>
        <w:pStyle w:val="TtuloBOE"/>
      </w:pPr>
    </w:p>
    <w:p w:rsidR="00D06117" w:rsidRDefault="00D06117" w:rsidP="00D06117">
      <w:pPr>
        <w:pStyle w:val="SntesisDescriptiva"/>
      </w:pPr>
      <w:r>
        <w:t>ECLI:ES:TC:2012:37</w:t>
      </w:r>
    </w:p>
    <w:p w:rsidR="00D06117" w:rsidRDefault="00D06117" w:rsidP="00D06117">
      <w:pPr>
        <w:pStyle w:val="SntesisDescriptiva"/>
      </w:pPr>
    </w:p>
    <w:p w:rsidR="00D06117" w:rsidRDefault="00D06117" w:rsidP="00D06117">
      <w:pPr>
        <w:pStyle w:val="SntesisDescriptiva"/>
      </w:pPr>
      <w:r>
        <w:t>Cuestión de inconstitucionalidad 9689-2009.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en relación con el art. 100.7 de la Ley 29/1998, de 13 de julio, reguladora de la jurisdicción contencioso-administrativa.</w:t>
      </w:r>
    </w:p>
    <w:p w:rsidR="00D06117" w:rsidRDefault="00D06117" w:rsidP="00D06117">
      <w:pPr>
        <w:pStyle w:val="SntesisDescriptiva"/>
      </w:pPr>
    </w:p>
    <w:p w:rsidR="00D06117" w:rsidRDefault="00D06117" w:rsidP="00D06117">
      <w:pPr>
        <w:pStyle w:val="SntesisAnaltica"/>
      </w:pPr>
      <w:r>
        <w:t>Principios de seguridad jurídica, independencia judicial y supremacía del Tribunal Constitucional en materia de garantías constitucionales: carácter vinculante de la doctrina sentada por el Tribunal Supremo al resolver recursos de casación en interés de ley que concreta el contenido normativo de los preceptos legales y que preserva la seguridad jurídica y la igualdad en la aplicación del Derecho en todo el territorio nacional; constitucionalidad de la doctrina legal que niega efectos prescriptivos de las infracciones y sanciones administrativas al transcurso del plazo de resolución de los recursos de alzada. Votos particulares.</w:t>
      </w:r>
    </w:p>
    <w:p w:rsidR="00D06117" w:rsidRDefault="00D06117" w:rsidP="00D06117">
      <w:pPr>
        <w:pStyle w:val="SntesisAnaltica"/>
      </w:pPr>
    </w:p>
    <w:p w:rsidR="00D06117" w:rsidRDefault="00D06117" w:rsidP="00D06117">
      <w:pPr>
        <w:pStyle w:val="Extracto"/>
      </w:pPr>
      <w:r>
        <w:t>1.</w:t>
      </w:r>
      <w:r>
        <w:tab/>
        <w:t xml:space="preserve">El mandato normativo de los arts. 81 LSV y 132 LPC no vulnera el principio de seguridad jurídica, </w:t>
      </w:r>
      <w:r w:rsidRPr="00D06117">
        <w:rPr>
          <w:i/>
        </w:rPr>
        <w:t>ex</w:t>
      </w:r>
      <w:r>
        <w:t xml:space="preserve"> art. 9.3 CE, puesto que aparece enunciado, con el contenido establecido por la Sala de lo Contencioso-Administrativo del Tribunal Supremo en dos Sentencias en interés de ley, con suficiente claridad, eliminando cualquier sombra de incertidumbre acerca de su contenido y alcance en cuanto a la fijación del </w:t>
      </w:r>
      <w:r w:rsidRPr="00D06117">
        <w:rPr>
          <w:i/>
        </w:rPr>
        <w:t>dies a quo</w:t>
      </w:r>
      <w:r>
        <w:t xml:space="preserve"> del cómputo del plazo de prescripción de las infracciones y sanciones administrativas (STC 37/2012) [FJ 8].</w:t>
      </w:r>
    </w:p>
    <w:p w:rsidR="00D06117" w:rsidRDefault="00D06117" w:rsidP="00D06117">
      <w:pPr>
        <w:pStyle w:val="Extracto"/>
      </w:pPr>
    </w:p>
    <w:p w:rsidR="00D06117" w:rsidRDefault="00D06117" w:rsidP="00D06117">
      <w:pPr>
        <w:pStyle w:val="Extracto"/>
      </w:pPr>
      <w:r>
        <w:t>2.</w:t>
      </w:r>
      <w:r>
        <w:tab/>
        <w:t>La doctrina legal establecida por el Tribunal Supremo que establece el contenido normativo de los arts. 81 LSV y 132 LPC no resulta contraria ni a la doctrina del Tribunal Constitucional que considera el silencio administrativo como ficción legal para poder recurrir ante la jurisdicción contencioso-administrativa ni, en consecuencia, al art. 123.1 CE (STC 37/2012) [FFJJ 8 a 10].</w:t>
      </w:r>
    </w:p>
    <w:p w:rsidR="00D06117" w:rsidRDefault="00D06117" w:rsidP="00D06117">
      <w:pPr>
        <w:pStyle w:val="Extracto"/>
      </w:pPr>
    </w:p>
    <w:p w:rsidR="00D06117" w:rsidRDefault="00D06117" w:rsidP="00D06117">
      <w:pPr>
        <w:pStyle w:val="Extracto"/>
      </w:pPr>
      <w:r>
        <w:t>3.</w:t>
      </w:r>
      <w:r>
        <w:tab/>
        <w:t>La doctrina legal sentada por el Tribunal Supremo que establece que la demora en la resolución del recurso de alzada en materia sancionadora no determina la firmeza ni la ejecutividad de la resolución administrativa por lo que no puede iniciarse el cómputo del plazo de prescripción de la sanción, no contradice la doctrina constitucional sobre el silencio administrativo, ya que de dicha doctrina constitucional no se desprende, que la demora deba producir necesariamente la prescripción de la sanción [FFJJ 10, 11].</w:t>
      </w:r>
    </w:p>
    <w:p w:rsidR="00D06117" w:rsidRDefault="00D06117" w:rsidP="00D06117">
      <w:pPr>
        <w:pStyle w:val="Extracto"/>
      </w:pPr>
    </w:p>
    <w:p w:rsidR="00D06117" w:rsidRDefault="00D06117" w:rsidP="00D06117">
      <w:pPr>
        <w:pStyle w:val="Extracto"/>
      </w:pPr>
      <w:r>
        <w:lastRenderedPageBreak/>
        <w:t>4.</w:t>
      </w:r>
      <w:r>
        <w:tab/>
        <w:t xml:space="preserve">La doctrina legal del Tribunal Supremo que habilita al interesado para interponer recurso contencioso-administrativo contra la desestimación presunta de su recurso de alzada es acorde con la doctrina constitucional que considera lesiva del derecho a la tutela judicial efectiva una interpretación judicial según la cual el transcurso de los plazos establecidos para entender desestimado por silencio administrativo un recurso de alzada y para recurrir en vía contencioso-administrativa frente a esa desestimación presunta determinan </w:t>
      </w:r>
      <w:r w:rsidRPr="00D06117">
        <w:rPr>
          <w:i/>
        </w:rPr>
        <w:t>per se</w:t>
      </w:r>
      <w:r>
        <w:t xml:space="preserve"> la firmeza de la sanción administrativa y su inmediata ejecución [FJ 11].</w:t>
      </w:r>
    </w:p>
    <w:p w:rsidR="00D06117" w:rsidRDefault="00D06117" w:rsidP="00D06117">
      <w:pPr>
        <w:pStyle w:val="Extracto"/>
      </w:pPr>
    </w:p>
    <w:p w:rsidR="00D06117" w:rsidRDefault="00D06117" w:rsidP="00D06117">
      <w:pPr>
        <w:pStyle w:val="Extracto"/>
      </w:pPr>
      <w:r>
        <w:t>5.</w:t>
      </w:r>
      <w:r>
        <w:tab/>
        <w:t>La independencia del poder judicial implica que, en el ejercicio de la función jurisdiccional, los Jueces y Magistrados están sujetos única y exclusivamente al imperio de la ley, no estando vinculados ni aun siquiera por la jurisprudencia del Tribunal Supremo, con la excepción de la doctrina sentada en los recursos de casación en interés de ley [FJ 4].</w:t>
      </w:r>
    </w:p>
    <w:p w:rsidR="00D06117" w:rsidRDefault="00D06117" w:rsidP="00D06117">
      <w:pPr>
        <w:pStyle w:val="Extracto"/>
      </w:pPr>
    </w:p>
    <w:p w:rsidR="00D06117" w:rsidRDefault="00D06117" w:rsidP="00D06117">
      <w:pPr>
        <w:pStyle w:val="Extracto"/>
      </w:pPr>
      <w:r>
        <w:t>6.</w:t>
      </w:r>
      <w:r>
        <w:tab/>
        <w:t xml:space="preserve">La independencia judicial tiene como contrapeso la responsabilidad y el estricto acantonamiento de los Jueces y Magistrados en su función jurisdiccional y las demás que expresamente les sean atribuidas por Ley en defensa de cualquier derecho, </w:t>
      </w:r>
      <w:r w:rsidRPr="00D06117">
        <w:rPr>
          <w:i/>
        </w:rPr>
        <w:t>ex</w:t>
      </w:r>
      <w:r>
        <w:t xml:space="preserve"> art. 117.4 CE, disposición esta última que tiende a garantizar la separación de poderes (STC 108/1986) [FJ 6].</w:t>
      </w:r>
    </w:p>
    <w:p w:rsidR="00D06117" w:rsidRDefault="00D06117" w:rsidP="00D06117">
      <w:pPr>
        <w:pStyle w:val="Extracto"/>
      </w:pPr>
    </w:p>
    <w:p w:rsidR="00D06117" w:rsidRDefault="00D06117" w:rsidP="00D06117">
      <w:pPr>
        <w:pStyle w:val="Extracto"/>
      </w:pPr>
      <w:r>
        <w:t>7.</w:t>
      </w:r>
      <w:r>
        <w:tab/>
        <w:t>La independencia judicial de cualquier presión o influencia externa tiene como anverso el sometimiento exclusivo de los Jueces a la Ley y al Derecho, principio de juridicidad, más allá del de legalidad, que implica el respeto no sólo a las normas sino también a los usos y costumbres, a los principios generales del Derecho y a la doctrina legal del Tribunal Supremo con valor complementario del ordenamiento jurídico (STC 133/1995) [FJ 5].</w:t>
      </w:r>
    </w:p>
    <w:p w:rsidR="00D06117" w:rsidRDefault="00D06117" w:rsidP="00D06117">
      <w:pPr>
        <w:pStyle w:val="Extracto"/>
      </w:pPr>
    </w:p>
    <w:p w:rsidR="00D06117" w:rsidRDefault="00D06117" w:rsidP="00D06117">
      <w:pPr>
        <w:pStyle w:val="Extracto"/>
      </w:pPr>
      <w:r>
        <w:t>8.</w:t>
      </w:r>
      <w:r>
        <w:tab/>
        <w:t>La independencia judicial permite que los órganos judiciales inferiores en grado discrepen del criterio sostenido por Tribunales superiores, con la excepción del supuesto de la doctrina legal que establezca el Tribunal Supremo al resolver el recurso de casación en interés de ley so pena de incurrir en infracción del art. 24.1 CE por inaplicar el precepto legal con el contenido determinado por esa doctrina legal que les vincula por imperativo de lo dispuesto en el art. 100.7 LJCA (SSTC 308/2006, 82/2009) [FJ 7].</w:t>
      </w:r>
    </w:p>
    <w:p w:rsidR="00D06117" w:rsidRDefault="00D06117" w:rsidP="00D06117">
      <w:pPr>
        <w:pStyle w:val="Extracto"/>
      </w:pPr>
    </w:p>
    <w:p w:rsidR="00D06117" w:rsidRDefault="00D06117" w:rsidP="00D06117">
      <w:pPr>
        <w:pStyle w:val="Extracto"/>
      </w:pPr>
      <w:r>
        <w:t>9.</w:t>
      </w:r>
      <w:r>
        <w:tab/>
        <w:t>El art. 100.7 LJCA establece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y el respeto a la doctrina legal del Tribunal Supremo con valor complementario del ordenamiento jurídico (STC 133/1995) [FJ 7].</w:t>
      </w:r>
    </w:p>
    <w:p w:rsidR="00D06117" w:rsidRDefault="00D06117" w:rsidP="00D06117">
      <w:pPr>
        <w:pStyle w:val="Extracto"/>
      </w:pPr>
    </w:p>
    <w:p w:rsidR="00D06117" w:rsidRDefault="00D06117" w:rsidP="00D06117">
      <w:pPr>
        <w:pStyle w:val="Extracto"/>
      </w:pPr>
      <w:r>
        <w:t>10.</w:t>
      </w:r>
      <w:r>
        <w:tab/>
        <w:t xml:space="preserve">Los Jueces o Tribunales de grado inferior no vienen compelidos a resolver el litigio sometido a su jurisdicción ateniéndose al contenido del precepto legal aplicable que resulta concretado por las sentencias del Tribunal Supremo que estiman los recursos de casación en interés de ley si estiman que este pudiera ser contrario a </w:t>
      </w:r>
      <w:r>
        <w:lastRenderedPageBreak/>
        <w:t>la Constitución, al poder plantear Cuestión de inconstitucionalidad ante el Tribunal Constitucional (STC 133/1995) [FJ 3].</w:t>
      </w:r>
    </w:p>
    <w:p w:rsidR="00D06117" w:rsidRDefault="00D06117" w:rsidP="00D06117">
      <w:pPr>
        <w:pStyle w:val="Extracto"/>
      </w:pPr>
    </w:p>
    <w:p w:rsidR="00D06117" w:rsidRDefault="00D06117" w:rsidP="00D06117">
      <w:pPr>
        <w:pStyle w:val="Extracto"/>
      </w:pPr>
      <w:r>
        <w:t>11.</w:t>
      </w:r>
      <w:r>
        <w:tab/>
        <w:t>El recurso de casación en interés de la ley tiene una función integradora del Derecho, pues mediante el establecimiento por el Tribunal Supremo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(STC 111/1992) [FJ 3].</w:t>
      </w:r>
    </w:p>
    <w:p w:rsidR="00D06117" w:rsidRDefault="00D06117" w:rsidP="00D06117">
      <w:pPr>
        <w:pStyle w:val="Extracto"/>
      </w:pPr>
    </w:p>
    <w:p w:rsidR="00D06117" w:rsidRDefault="00D06117" w:rsidP="00D06117">
      <w:pPr>
        <w:pStyle w:val="Extracto"/>
      </w:pPr>
      <w:r>
        <w:t>12.</w:t>
      </w:r>
      <w:r>
        <w:tab/>
        <w:t>La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constituyendo su infracción motivo de casación en todos los órdenes jurisdiccionales [FJ 4].</w:t>
      </w:r>
    </w:p>
    <w:p w:rsidR="00D06117" w:rsidRDefault="00D06117" w:rsidP="00D06117">
      <w:pPr>
        <w:pStyle w:val="Extracto"/>
      </w:pPr>
    </w:p>
    <w:p w:rsidR="00D06117" w:rsidRDefault="00D06117" w:rsidP="00D06117">
      <w:pPr>
        <w:pStyle w:val="Extracto"/>
      </w:pPr>
      <w:r>
        <w:t>13.</w:t>
      </w:r>
      <w:r>
        <w:tab/>
        <w:t xml:space="preserve">La doctrina legal vinculante establecida por el Tribunal Supremo para Jueces y Tribunales inferiores en grado del orden jurisdiccional contencioso-administrativo no sólo preserva la seguridad jurídica sino que además garantiza que el </w:t>
      </w:r>
      <w:r w:rsidRPr="00D06117">
        <w:rPr>
          <w:i/>
        </w:rPr>
        <w:t>status</w:t>
      </w:r>
      <w:r>
        <w:t xml:space="preserve"> jurídico de los ciudadanos sea igual en todo el territorio nacional (STC 37/2012) [FJ 8].</w:t>
      </w:r>
    </w:p>
    <w:p w:rsidR="00D06117" w:rsidRDefault="00D06117" w:rsidP="00D06117">
      <w:pPr>
        <w:pStyle w:val="Extracto"/>
      </w:pPr>
    </w:p>
    <w:p w:rsidR="00D06117" w:rsidRDefault="00D06117" w:rsidP="00D06117">
      <w:pPr>
        <w:pStyle w:val="Extracto"/>
      </w:pPr>
      <w:r>
        <w:t>14.</w:t>
      </w:r>
      <w:r>
        <w:tab/>
        <w:t>Sólo si el contenido o las omisiones de una norma produjeran dudas que generaran en sus destinatarios una incertidumbre razonablemente insuperable acerca de la conducta exigible para su cumplimiento o sobre la previsibilidad de sus efectos, podría concluirse que la norma en cuestión infringe el principio de seguridad jurídica –art. 9.3 CE– (SSTC 150/1990 y 96/2002) [FJ 8].</w:t>
      </w:r>
    </w:p>
    <w:p w:rsidR="00D06117" w:rsidRDefault="00D06117" w:rsidP="00D06117">
      <w:pPr>
        <w:pStyle w:val="Extracto"/>
      </w:pPr>
    </w:p>
    <w:p w:rsidR="00D06117" w:rsidRDefault="00D06117" w:rsidP="00D06117">
      <w:pPr>
        <w:pStyle w:val="Extracto"/>
      </w:pPr>
      <w:r>
        <w:t>15.</w:t>
      </w:r>
      <w:r>
        <w:tab/>
        <w:t>La interpretación de las normas administrativas sobre prescripción o caducidad es, en principio y con las salvedades que la doctrina de este Tribunal señala, una cuestión de legalidad ordinaria que carece de relevancia constitucional, siendo oportuno señalar que la doctrina constitucional sentada en materia de prescripción penal no desvirtúa lo anterior, pues la potestad sancionadora de la Administración no puede constituir una amenaza para la libertad personal [FJ 10].</w:t>
      </w:r>
    </w:p>
    <w:p w:rsidR="00D06117" w:rsidRDefault="00D06117" w:rsidP="00D06117">
      <w:pPr>
        <w:pStyle w:val="Extracto"/>
      </w:pPr>
    </w:p>
    <w:p w:rsidR="00D06117" w:rsidRDefault="00D06117" w:rsidP="00D06117">
      <w:pPr>
        <w:pStyle w:val="Extracto"/>
      </w:pPr>
      <w:r>
        <w:t>16.</w:t>
      </w:r>
      <w:r>
        <w:tab/>
        <w:t>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(SSTC 65/2011, 45/2004) [FJ 12].</w:t>
      </w:r>
    </w:p>
    <w:p w:rsidR="00D06117" w:rsidRDefault="00D06117" w:rsidP="00D06117">
      <w:pPr>
        <w:pStyle w:val="Extracto"/>
      </w:pPr>
    </w:p>
    <w:p w:rsidR="00D06117" w:rsidRDefault="00D06117" w:rsidP="00D06117">
      <w:pPr>
        <w:pStyle w:val="Extracto"/>
      </w:pPr>
      <w:r>
        <w:t>17.</w:t>
      </w:r>
      <w:r>
        <w:tab/>
        <w:t xml:space="preserve">La cuestión de inconstitucionalidad cumple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w:t>
      </w:r>
      <w:r>
        <w:lastRenderedPageBreak/>
        <w:t>obligado a aplicarla, pero habrá de plantear en ese caso la cuestión de inconstitucionalidad respecto de la misma [FJ 7].</w:t>
      </w:r>
    </w:p>
    <w:p w:rsidR="00D06117" w:rsidRDefault="00D06117" w:rsidP="00D06117">
      <w:pPr>
        <w:pStyle w:val="Extracto"/>
      </w:pPr>
    </w:p>
    <w:p w:rsidR="00D06117" w:rsidRDefault="00D06117" w:rsidP="00D06117">
      <w:pPr>
        <w:pStyle w:val="Extracto"/>
      </w:pPr>
      <w:r>
        <w:t>18.</w:t>
      </w:r>
      <w:r>
        <w:tab/>
        <w:t xml:space="preserve">En la medida en que el órgano judicial promotor de la cuestión de inconstitucionalidad viene obligado a aplicar en el proceso </w:t>
      </w:r>
      <w:r w:rsidRPr="00D06117">
        <w:rPr>
          <w:i/>
        </w:rPr>
        <w:t>a quo</w:t>
      </w:r>
      <w:r>
        <w:t xml:space="preserve"> unos preceptos legales con el contenido normativo fijado por la doctrina legal vinculante sentada por el Tribunal Supremo, de cuya constitucionalidad duda y de cuya validez depende el fallo, ha de concluirse que se cumplen las exigencias para el planteamiento de la cuestión de inconstitucionalidad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Reunido en Cádiz en el Oratorio de San Felipe Neri, el día en que se cumplen doscientos años de la promulgación de la Constitución Española de 1812, 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9689-2009,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alternativamente,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Con fecha 18 de noviembre de 2009 tuvo entrada en el Registro General de este Tribunal oficio del Juzgado de lo Contencioso-Administrativo núm. 1 de Elche al que se acompañaba, junto con testimonio del procedimiento abreviado núm. 443-2009 tramitado en ese órgano judicial, Auto del referido Juzgado de 19 de octubre de 2009 por el que se acuerda </w:t>
      </w:r>
      <w:r>
        <w:lastRenderedPageBreak/>
        <w:t>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todo ello por la posible contradicción de este precepto con el art. 117.1 CE.</w:t>
      </w:r>
    </w:p>
    <w:p w:rsidR="00D06117" w:rsidRDefault="00D06117" w:rsidP="00D06117">
      <w:pPr>
        <w:pStyle w:val="TextoNormal"/>
      </w:pPr>
    </w:p>
    <w:p w:rsidR="00D06117" w:rsidRDefault="00D06117" w:rsidP="00D06117">
      <w:pPr>
        <w:pStyle w:val="TextoNormal"/>
      </w:pPr>
      <w:r w:rsidRPr="00D06117">
        <w:rPr>
          <w:rStyle w:val="NumeroAFNegritaCaracter"/>
        </w:rPr>
        <w:t>2</w:t>
      </w:r>
      <w:r>
        <w:t>. Del conjunto de las actuaciones remitidas por el órgano judicial proponente resulta que los hechos que dan lugar al planteamiento de la cuestión son, sucintamente expuestos, los que siguen:</w:t>
      </w:r>
    </w:p>
    <w:p w:rsidR="00D06117" w:rsidRDefault="00D06117" w:rsidP="00D06117">
      <w:pPr>
        <w:pStyle w:val="TextoNormal"/>
      </w:pPr>
    </w:p>
    <w:p w:rsidR="00D06117" w:rsidRDefault="00D06117" w:rsidP="00D06117">
      <w:pPr>
        <w:pStyle w:val="TextoNormal"/>
      </w:pPr>
      <w:r>
        <w:t>a) La presente cuestión de inconstitucionalidad se eleva con ocasión de la tramitación, por los cauces del procedimiento abreviado, del recurso contencioso-administrativo interpuesto por un conductor contra la resolución de la Dirección General de Tráfico de 4 de febrero de 2009 que confirma en alzada la resolución de la Subdelegación del Gobierno de Alicante de 8 de agosto de 2006 que le impuso una sanción de 200 euros por la comisión de la infracción tipificada en el art. 52 del Reglamento general de circulación, en relación con los arts. 67.1 y 69 LSV, en virtud de denuncia formulada el 9 de diciembre de 2005 por agentes de la Jefatura Provincial de Tráfico de Alicante. En la demanda rectora del proceso se alegaba por el recurrente la prescripción de la infracción y la sanción conforme al art. 81 LSV.</w:t>
      </w:r>
    </w:p>
    <w:p w:rsidR="00D06117" w:rsidRDefault="00D06117" w:rsidP="00D06117">
      <w:pPr>
        <w:pStyle w:val="TextoNormal"/>
      </w:pPr>
    </w:p>
    <w:p w:rsidR="00D06117" w:rsidRDefault="00D06117" w:rsidP="00D06117">
      <w:pPr>
        <w:pStyle w:val="TextoNormal"/>
      </w:pPr>
      <w:r>
        <w:t>b) Celebrada la vista del procedimiento abreviado, a la que únicamente compareció el demandante, que se ratificó en la demanda presentada, mediante providencia de 9 de septiembre de 2009 el Juzgado de lo Contencioso-Administrativo núm. 1 de Elche acordó, de conformidad con el art. 35.2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00D06117" w:rsidRDefault="00D06117" w:rsidP="00D06117">
      <w:pPr>
        <w:pStyle w:val="TextoNormal"/>
      </w:pPr>
    </w:p>
    <w:p w:rsidR="00D06117" w:rsidRDefault="00D06117" w:rsidP="00D06117">
      <w:pPr>
        <w:pStyle w:val="TextoNormal"/>
      </w:pPr>
      <w:r>
        <w:t>c) La representación procesal del demandante evacuó el trámite conferido, mostrando su conformidad al planteamiento de la cuestión de inconstitucionalidad.</w:t>
      </w:r>
    </w:p>
    <w:p w:rsidR="00D06117" w:rsidRDefault="00D06117" w:rsidP="00D06117">
      <w:pPr>
        <w:pStyle w:val="TextoNormal"/>
      </w:pPr>
    </w:p>
    <w:p w:rsidR="00D06117" w:rsidRDefault="00D06117" w:rsidP="00D06117">
      <w:pPr>
        <w:pStyle w:val="TextoNormal"/>
      </w:pPr>
      <w:r>
        <w:t xml:space="preserve">Por su parte, la Abogacía del Estado se opuso al planteamiento de la cuestión por razones tanto procesales como sustantivas. En cuanto a las primeras, sostuvo el Abogado del Estado que el proceso no se halla concluso y pendiente únicamente del pronunciamiento de la Sentencia, porque el acto de la vista del procedimiento abreviado no se ha celebrado. Respecto de las segundas, alegó el Abogado del Estado que no procede el planteamiento de la cuestión en relación con el art. 81 LSV y el art. 132 LPC, tal como han sido interpretados con carácter </w:t>
      </w:r>
      <w:r>
        <w:lastRenderedPageBreak/>
        <w:t>vinculante por las Sentencias en interés de ley de la Sala de lo Contencioso-Administrativo del Tribunal Supremo de 15 de diciembre de 2004 y 22 de septiembre de 2008, aduciendo que la duda de constitucionalidad que se suscita por el órgano judicial es sustancialmente idéntica a la planteada en cuestiones precedentes de otros Juzgados de lo Contencioso-Administrativo que fueron inadmitidas por este Tribunal en AATC 10/2006, 11/2006 y 404/2006; a lo que añade el Abogado del Estado que tampoco resulta procedente el planteamiento de la cuestión respecto del art. 100.7 LJCA, por infundada, pues la vinculación de Jueces y Tribunales a la doctrina fijada por el Tribunal Supremo en las Sentencias dictadas en recursos de casación en interés de ley asegura la igualdad y seguridad jurídica de los particulares en la aplicación de las normas, sin perjudicar la independencia judicial.</w:t>
      </w:r>
    </w:p>
    <w:p w:rsidR="00D06117" w:rsidRDefault="00D06117" w:rsidP="00D06117">
      <w:pPr>
        <w:pStyle w:val="TextoNormal"/>
      </w:pPr>
    </w:p>
    <w:p w:rsidR="00D06117" w:rsidRDefault="00D06117" w:rsidP="00D06117">
      <w:pPr>
        <w:pStyle w:val="TextoNormal"/>
      </w:pPr>
      <w:r>
        <w:t>El Ministerio Fiscal no presentó escrito de alegaciones.</w:t>
      </w:r>
    </w:p>
    <w:p w:rsidR="00D06117" w:rsidRDefault="00D06117" w:rsidP="00D06117">
      <w:pPr>
        <w:pStyle w:val="TextoNormal"/>
      </w:pPr>
    </w:p>
    <w:p w:rsidR="00D06117" w:rsidRDefault="00D06117" w:rsidP="00D06117">
      <w:pPr>
        <w:pStyle w:val="TextoNormal"/>
      </w:pPr>
      <w:r>
        <w:t>d) Mediante Auto de 19 de octubre de 2009 el Juzgado de lo Contencioso-Administrativo núm. 1 de Elche acordó plantear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en las consideraciones que seguidamente se resumen.</w:t>
      </w:r>
    </w:p>
    <w:p w:rsidR="00D06117" w:rsidRDefault="00D06117" w:rsidP="00D06117">
      <w:pPr>
        <w:pStyle w:val="TextoNormal"/>
      </w:pPr>
    </w:p>
    <w:p w:rsidR="00D06117" w:rsidRDefault="00D06117" w:rsidP="00D06117">
      <w:pPr>
        <w:pStyle w:val="TextoNormal"/>
      </w:pPr>
      <w:r>
        <w:t>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este el único motivo aducido en defensa de la pretensión anulatoria de la resolución administrativa impugnada.</w:t>
      </w:r>
    </w:p>
    <w:p w:rsidR="00D06117" w:rsidRDefault="00D06117" w:rsidP="00D06117">
      <w:pPr>
        <w:pStyle w:val="TextoNormal"/>
      </w:pPr>
    </w:p>
    <w:p w:rsidR="00D06117" w:rsidRDefault="00D06117" w:rsidP="00D06117">
      <w:pPr>
        <w:pStyle w:val="TextoNormal"/>
      </w:pPr>
      <w:r>
        <w:t xml:space="preserve">En cuanto al fondo del asunto, se apuntan las diferencias entre la presente cuestión y la inadmitida por AATC 10/2006,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de 24 de julio, al entender que de igual modo que el silencio administrativo en vía de recurso no habilita a la Administración a ejecutar la sanción previamente impuesta, la falta de resolución expresa </w:t>
      </w:r>
      <w:r>
        <w:lastRenderedPageBreak/>
        <w:t>del recurso mantiene permanentemente la suspensión del plazo de prescripción, que sólo vuelve a correr una vez que se dicte esa resolución.</w:t>
      </w:r>
    </w:p>
    <w:p w:rsidR="00D06117" w:rsidRDefault="00D06117" w:rsidP="00D06117">
      <w:pPr>
        <w:pStyle w:val="TextoNormal"/>
      </w:pPr>
    </w:p>
    <w:p w:rsidR="00D06117" w:rsidRDefault="00D06117" w:rsidP="00D06117">
      <w:pPr>
        <w:pStyle w:val="TextoNormal"/>
      </w:pPr>
      <w:r>
        <w:t>De este modo, en opinión del Juzgado promotor de la cuestión,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00D06117" w:rsidRDefault="00D06117" w:rsidP="00D06117">
      <w:pPr>
        <w:pStyle w:val="TextoNormal"/>
      </w:pPr>
    </w:p>
    <w:p w:rsidR="00D06117" w:rsidRDefault="00D06117" w:rsidP="00D06117">
      <w:pPr>
        <w:pStyle w:val="TextoNormal"/>
      </w:pPr>
      <w:r>
        <w:t>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00D06117" w:rsidRDefault="00D06117" w:rsidP="00D06117">
      <w:pPr>
        <w:pStyle w:val="TextoNormal"/>
      </w:pPr>
    </w:p>
    <w:p w:rsidR="00D06117" w:rsidRDefault="00D06117" w:rsidP="00D06117">
      <w:pPr>
        <w:pStyle w:val="TextoNormal"/>
      </w:pPr>
      <w:r>
        <w:t>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00D06117" w:rsidRDefault="00D06117" w:rsidP="00D06117">
      <w:pPr>
        <w:pStyle w:val="TextoNormal"/>
      </w:pPr>
    </w:p>
    <w:p w:rsidR="00D06117" w:rsidRDefault="00D06117" w:rsidP="00D06117">
      <w:pPr>
        <w:pStyle w:val="TextoNormal"/>
      </w:pPr>
      <w: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w:t>
      </w:r>
      <w:r>
        <w:lastRenderedPageBreak/>
        <w:t>para poder recurrir, y las consecuencias de la misma (imposibilidad de que la Administración se beneficie de su propia falta) como una garantía constitucional.</w:t>
      </w:r>
    </w:p>
    <w:p w:rsidR="00D06117" w:rsidRDefault="00D06117" w:rsidP="00D06117">
      <w:pPr>
        <w:pStyle w:val="TextoNormal"/>
      </w:pPr>
    </w:p>
    <w:p w:rsidR="00D06117" w:rsidRDefault="00D06117" w:rsidP="00D06117">
      <w:pPr>
        <w:pStyle w:val="TextoNormal"/>
      </w:pPr>
      <w:r>
        <w:t>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18 de febrero de 2010 el Pleno, a propuesta de la Sección Primera, acordó admitir a trámite la presente cuestión de inconstitucionalidad, reservándose para sí el conocimiento de la misma, de conformidad con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en el Tribunal el 3 de marzo de 2010, el Presidente del Senado comunicó el acuerdo adoptado por la Mesa de la Cámara, en su reunión del día 2 de marzo de 2010,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Presidente del Congreso de los Diputados comunicó, por escrito registrado el 5 de marzo de 2010, el acuerdo adoptado por la Mesa de la Cámara, en su reunión del día 2 de marzo de 2010, de personarse en el proceso, ofreciendo su colaboración a los efectos del art. 88.1 LOTC, con remisión a la Dirección de estudios, análisis y publicaciones y a la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El Abogado del Estado, en la representación que legalmente ostenta, se personó y presentó escrito de alegaciones el 15 de marzo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cual de los apartados —y en su caso párrafos— de cada uno de dichos preceptos recae su duda de constitucionalidad y cual sea el nexo entre el tenor legal y el problema de la prescripción mientras pende el recurso de alzada. La falta de exteriorización del juicio de relevancia resulta agravada por la imprecisión del Auto de planteamiento en su parte dispositiva, no sólo en lo que se refiere a los preceptos </w:t>
      </w:r>
      <w:r>
        <w:lastRenderedPageBreak/>
        <w:t>cuestionados, sino también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00D06117" w:rsidRDefault="00D06117" w:rsidP="00D06117">
      <w:pPr>
        <w:pStyle w:val="TextoNormal"/>
      </w:pPr>
    </w:p>
    <w:p w:rsidR="00D06117" w:rsidRDefault="00D06117" w:rsidP="00D06117">
      <w:pPr>
        <w:pStyle w:val="TextoNormal"/>
      </w:pPr>
      <w:r>
        <w:t>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cual de las interpretaciones posibles de un precepto legal resulta más acomodada a la Constitución, ni puede servir para ventilar controversias interpretativas entre órganos judiciales.</w:t>
      </w:r>
    </w:p>
    <w:p w:rsidR="00D06117" w:rsidRDefault="00D06117" w:rsidP="00D06117">
      <w:pPr>
        <w:pStyle w:val="TextoNormal"/>
      </w:pPr>
    </w:p>
    <w:p w:rsidR="00D06117" w:rsidRDefault="00D06117" w:rsidP="00D06117">
      <w:pPr>
        <w:pStyle w:val="TextoNormal"/>
      </w:pPr>
      <w:r>
        <w:t>En fin, afirma el Abogado del Estado que existe una razón añadida para sostener la falta de relevancia para la presente cuestión, y es que la pretensión anulatoria deducida en el proceso a quo se basaba en la caducidad del procedimiento sancionador (art. 81.2 LSV) y en la incongruencia de la resolución que desestimó el recurso de alzada, por lo que, no habiendo el órgano judicial procedido a plantear a las partes ex art. 33.2 LJCA otros posibles motivos de estimación o desestimación del recurso contencioso-administrativo, resulta notorio que la cuestión relativa a la prescripción de la infracción o de la sanción en el recurso de alzada es ajena a la pretensión deducida y en particular a su causa de pedir (art. 33.1 LJCA).</w:t>
      </w:r>
    </w:p>
    <w:p w:rsidR="00D06117" w:rsidRDefault="00D06117" w:rsidP="00D06117">
      <w:pPr>
        <w:pStyle w:val="TextoNormal"/>
      </w:pPr>
    </w:p>
    <w:p w:rsidR="00D06117" w:rsidRDefault="00D06117" w:rsidP="00D06117">
      <w:pPr>
        <w:pStyle w:val="TextoNormal"/>
      </w:pPr>
      <w:r>
        <w:t>Subsidiariamente, solicita el Abogado del Estado la desestimación de la presente cuestión, pues entiende que, de entrarse en el fondo del asunto, debe concluirse que no existe infracción constitucional alguna.</w:t>
      </w:r>
    </w:p>
    <w:p w:rsidR="00D06117" w:rsidRDefault="00D06117" w:rsidP="00D06117">
      <w:pPr>
        <w:pStyle w:val="TextoNormal"/>
      </w:pPr>
    </w:p>
    <w:p w:rsidR="00D06117" w:rsidRDefault="00D06117" w:rsidP="00D06117">
      <w:pPr>
        <w:pStyle w:val="TextoNormal"/>
      </w:pPr>
      <w:r>
        <w:t xml:space="preserve">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w:t>
      </w:r>
      <w:r>
        <w:lastRenderedPageBreak/>
        <w:t>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00D06117" w:rsidRDefault="00D06117" w:rsidP="00D06117">
      <w:pPr>
        <w:pStyle w:val="TextoNormal"/>
      </w:pPr>
    </w:p>
    <w:p w:rsidR="00D06117" w:rsidRDefault="00D06117" w:rsidP="00D06117">
      <w:pPr>
        <w:pStyle w:val="TextoNormal"/>
      </w:pPr>
      <w:r>
        <w:t>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00D06117" w:rsidRDefault="00D06117" w:rsidP="00D06117">
      <w:pPr>
        <w:pStyle w:val="TextoNormal"/>
      </w:pPr>
    </w:p>
    <w:p w:rsidR="00D06117" w:rsidRDefault="00D06117" w:rsidP="00D06117">
      <w:pPr>
        <w:pStyle w:val="TextoNormal"/>
      </w:pPr>
      <w:r>
        <w:t>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00D06117" w:rsidRDefault="00D06117" w:rsidP="00D06117">
      <w:pPr>
        <w:pStyle w:val="TextoNormal"/>
      </w:pPr>
    </w:p>
    <w:p w:rsidR="00D06117" w:rsidRDefault="00D06117" w:rsidP="00D06117">
      <w:pPr>
        <w:pStyle w:val="TextoNormal"/>
      </w:pPr>
      <w:r>
        <w:t>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00D06117" w:rsidRDefault="00D06117" w:rsidP="00D06117">
      <w:pPr>
        <w:pStyle w:val="TextoNormal"/>
      </w:pPr>
    </w:p>
    <w:p w:rsidR="00D06117" w:rsidRDefault="00D06117" w:rsidP="00D06117">
      <w:pPr>
        <w:pStyle w:val="TextoNormal"/>
      </w:pPr>
      <w: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w:t>
      </w:r>
      <w:r>
        <w:lastRenderedPageBreak/>
        <w:t>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00D06117" w:rsidRDefault="00D06117" w:rsidP="00D06117">
      <w:pPr>
        <w:pStyle w:val="TextoNormal"/>
      </w:pPr>
    </w:p>
    <w:p w:rsidR="00D06117" w:rsidRDefault="00D06117" w:rsidP="00D06117">
      <w:pPr>
        <w:pStyle w:val="TextoNormal"/>
      </w:pPr>
      <w:r w:rsidRPr="00D06117">
        <w:rPr>
          <w:rStyle w:val="NumeroAFNegritaCaracter"/>
        </w:rPr>
        <w:t>8</w:t>
      </w:r>
      <w:r>
        <w:t>. El escrito de alegaciones del Fiscal General del Estado se registró en este Tribunal el 12 de abril de 2010.</w:t>
      </w:r>
    </w:p>
    <w:p w:rsidR="00D06117" w:rsidRDefault="00D06117" w:rsidP="00D06117">
      <w:pPr>
        <w:pStyle w:val="TextoNormal"/>
      </w:pPr>
    </w:p>
    <w:p w:rsidR="00D06117" w:rsidRDefault="00D06117" w:rsidP="00D06117">
      <w:pPr>
        <w:pStyle w:val="TextoNormal"/>
      </w:pPr>
      <w:r>
        <w:t>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constitucional del Juzgado promotor de la cuestión no recae tanto sobre los arts. 81 LSV y 132 LPC, sino sobre la interpretación vinculante de los mismos impuesta por las citadas Sentencias en interés de ley, en virtud de lo dispuesto en 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00D06117" w:rsidRDefault="00D06117" w:rsidP="00D06117">
      <w:pPr>
        <w:pStyle w:val="TextoNormal"/>
      </w:pPr>
    </w:p>
    <w:p w:rsidR="00D06117" w:rsidRDefault="00D06117" w:rsidP="00D06117">
      <w:pPr>
        <w:pStyle w:val="TextoNormal"/>
      </w:pPr>
      <w:r>
        <w:t>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00D06117" w:rsidRDefault="00D06117" w:rsidP="00D06117">
      <w:pPr>
        <w:pStyle w:val="TextoNormal"/>
      </w:pPr>
    </w:p>
    <w:p w:rsidR="00D06117" w:rsidRDefault="00D06117" w:rsidP="00D06117">
      <w:pPr>
        <w:pStyle w:val="TextoNormal"/>
      </w:pPr>
      <w:r>
        <w:t>Por todo lo expuesto, el Fiscal General del Estado solicita que se desestime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9</w:t>
      </w:r>
      <w:r>
        <w:t>. Mediante providencia del Pleno de 28 de febrero de 2012 se señaló para deliberación y votación de la presente Sentencia, en el Oratorio de San Felipe Neri, de la ciudad de Cádiz, el día 19 de marzo del mismo año, habilitando este día de conformidad con lo dispuesto en el art. 80 LOTC en relación con el art. 182 LOPJ.</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y, alternativamente, en relación con el art. 100.7 de la Ley 29/1998, de 13 de julio, reguladora de la jurisdicción contencioso-administrativa (LJCA).</w:t>
      </w:r>
    </w:p>
    <w:p w:rsidR="00D06117" w:rsidRDefault="00D06117" w:rsidP="00D06117">
      <w:pPr>
        <w:pStyle w:val="TextoNormal"/>
      </w:pPr>
    </w:p>
    <w:p w:rsidR="00D06117" w:rsidRDefault="00D06117" w:rsidP="00D06117">
      <w:pPr>
        <w:pStyle w:val="TextoNormal"/>
      </w:pPr>
      <w:r>
        <w:t>El art. 132 LPC establece con carácter general los plazos de prescripción de las infracciones y sanciones administrativas y las reglas para su cómputo, en tanto que el art. 81 LSV establece los plazos de prescripción de las infracciones y sanciones en materia de tráfico y seguridad vial, así como las reglas para su cómputo. Debemos no obstante precisar que, como ha quedado expuesto, el Juzgado de lo Contencioso-Administrativo núm. 1 de Elche cuestiona dichos preceptos a partir de la interpretación vinculante que en relación con los mismos ha sentado la Sala de lo Contencioso-Administrativo del Tribunal Supremo en las citadas Sentencias en interés de ley de 15 de diciembre de 2004 y 22 de septiembre de 2008.</w:t>
      </w:r>
    </w:p>
    <w:p w:rsidR="00D06117" w:rsidRDefault="00D06117" w:rsidP="00D06117">
      <w:pPr>
        <w:pStyle w:val="TextoNormal"/>
      </w:pPr>
    </w:p>
    <w:p w:rsidR="00D06117" w:rsidRDefault="00D06117" w:rsidP="00D06117">
      <w:pPr>
        <w:pStyle w:val="TextoNormal"/>
      </w:pPr>
      <w:r>
        <w:t>A juicio del órgano judicial promotor de la cuestión, esa interpretación vinculante ex art. 100.7 LJCA lesiona el principio de seguridad jurídica (art. 9.3 CE), así como el principio de supremacía del Tribunal Constitucional en materia de garantías constitucionales (art. 123.1 CE, en relación con el art. 5.1 LOPJ), en cuanto la referida jurisprudencia en interés de ley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00D06117" w:rsidRDefault="00D06117" w:rsidP="00D06117">
      <w:pPr>
        <w:pStyle w:val="TextoNormal"/>
      </w:pPr>
    </w:p>
    <w:p w:rsidR="00D06117" w:rsidRDefault="00D06117" w:rsidP="00D06117">
      <w:pPr>
        <w:pStyle w:val="TextoNormal"/>
      </w:pPr>
      <w:r>
        <w:t>En concreto, la Sentencia del Tribunal Supremo de 15 de diciembre de 2004 fija la siguiente doctrina legal: “El límite para el ejercicio de la potestad sancionadora, y para la prescripción de las infracciones, concluye con la resolución sancionadora y su consiguiente notificación, sin poder extender la misma a la vía de recurso”. A su vez, la Sentencia de 22 de septiembre de 2008 fija la siguiente doctrina legal: “que interpuesto recurso de alzada contra una resolución sancionadora, el transcurso del plazo de tres meses para la resolución del mismo no supone que la sanción gane firmeza ni que se convierta en ejecutiva, de modo que no puede iniciarse el cómputo del plazo de prescripción de la sanción”.</w:t>
      </w:r>
    </w:p>
    <w:p w:rsidR="00D06117" w:rsidRDefault="00D06117" w:rsidP="00D06117">
      <w:pPr>
        <w:pStyle w:val="TextoNormal"/>
      </w:pPr>
    </w:p>
    <w:p w:rsidR="00D06117" w:rsidRDefault="00D06117" w:rsidP="00D06117">
      <w:pPr>
        <w:pStyle w:val="TextoNormal"/>
      </w:pPr>
      <w:r>
        <w:t xml:space="preserve">De manera alternativa o subsidiaria el Juzgado de lo Contencioso-Administrativo núm. 1 de Elche cuestiona el art. 100.7 LJCA, por entender que este precepto, en cuanto establece </w:t>
      </w:r>
      <w:r>
        <w:lastRenderedPageBreak/>
        <w:t>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 El art. 100.7 LJCA establece lo siguiente: “La sentencia que se dicte respetará, en todo caso, la situación jurídica particular derivada de la sentencia recurrida y, cuando fuere estimatoria, fijará en el fallo la doctrina legal. En este caso, se publicará en el ‘Boletín Oficial del Estado’, y a partir de su inserción en él vinculará a todos los Jueces y Tribunales inferiores en grado de este orden jurisdiccional”.</w:t>
      </w:r>
    </w:p>
    <w:p w:rsidR="00D06117" w:rsidRDefault="00D06117" w:rsidP="00D06117">
      <w:pPr>
        <w:pStyle w:val="TextoNormal"/>
      </w:pPr>
    </w:p>
    <w:p w:rsidR="00D06117" w:rsidRDefault="00D06117" w:rsidP="00D06117">
      <w:pPr>
        <w:pStyle w:val="TextoNormal"/>
      </w:pPr>
      <w:r>
        <w:t>El Abogado del Estado considera la cuestión inadmisible por incumplimiento del juicio de relevancia (art. 35.1 LOTC) y, de manera subsidiaria, interesa la desestimación de la cuestión. En términos semejantes se pronuncia el Fiscal General del Estado, que postula a su vez la desestimación de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2</w:t>
      </w:r>
      <w:r>
        <w:t>. De lo expuesto se deriva que las dudas de constitucionalidad que se plantean por el órgano judicial no pueden ser examinadas sin una previa depuración del alcance de la cuestión. Por ello, antes de entrar en el examen de fondo es preciso considerar previamente las objeciones formuladas por el Abogado del Estado y el Fiscal General del Estado en cuanto a la admisibilidad de la cuestión de inconstitucionalidad planteada, lo que permitirá delimitar el objeto de la misma.</w:t>
      </w:r>
    </w:p>
    <w:p w:rsidR="00D06117" w:rsidRDefault="00D06117" w:rsidP="00D06117">
      <w:pPr>
        <w:pStyle w:val="TextoNormal"/>
      </w:pPr>
    </w:p>
    <w:p w:rsidR="00D06117" w:rsidRDefault="00D06117" w:rsidP="00D06117">
      <w:pPr>
        <w:pStyle w:val="TextoNormal"/>
      </w:pPr>
      <w:r>
        <w:t>Como ha quedado expuesto en los antecedentes de la presente Sentencia, el Abogado del Estado entiende que no se satisfacen en el Auto de planteamiento las exigencias del denominado juicio de relevancia, en cuanto que la duda de constitucionalidad del Juzgado promotor no recae en realidad sobre los arts. 81 LSV y 132 LPC, sino sobre la interpretación vinculante de los mismos impuesta —en virtud de lo dispuesto en el art. 100.7 LJCA— por las Sentencias en interés de ley de la Sala de lo Contencioso-Administrativo del Tribunal Supremo de 15 de diciembre de 2004 y 22 de septiembre de 2008, siendo así que, de conformidad con los arts. 163 CE y 35.1 LOTC, dichas resoluciones judiciales no pueden ser objeto de la cuestión de inconstitucionalidad. El Fiscal General del Estado mantiene esta misma opinión, aunque no la exprese como incumplimiento del juicio de relevancia, sino como argumento de fondo para la desestimación de la cuestión.</w:t>
      </w:r>
    </w:p>
    <w:p w:rsidR="00D06117" w:rsidRDefault="00D06117" w:rsidP="00D06117">
      <w:pPr>
        <w:pStyle w:val="TextoNormal"/>
      </w:pPr>
    </w:p>
    <w:p w:rsidR="00D06117" w:rsidRDefault="00D06117" w:rsidP="00D06117">
      <w:pPr>
        <w:pStyle w:val="TextoNormal"/>
      </w:pPr>
      <w:r>
        <w:t>Para dar respuesta a esta objeción debe ante todo recordarse que, conforme a nuestra reiterada doctrina, es a los órganos judiciales que plantean las cuestiones de inconstitucionalidad a quienes, prima facie, corresponde expresar el juicio de relevancia, de modo que el Tribunal Constitucional no puede sustituir o rectificar el criterio judicial salvo en los casos en que de manera notoria, sin necesidad de examinar el fondo debatido y en aplicación de principios jurídicos básicos, se advierta que la argumentación judicial en relación con el juicio de relevancia carece de consistencia, resultando evidente que la norma legal cuestionada no es, en modo alguno, aplicable al caso, o siéndolo, el fallo no depende de su validez (entre otras, SSTC 17/1981, de 1 de junio, FJ 1; 106/1986, de 24 de julio, FJ 1; 76/1990, de 26 de abril, FJ 1; 337/1994, de 23 de diciembre, FJ 4; 37/2002, de 14 de febrero, FJ 2; 51/2004, de 13 de abril, FJ 1; y 81/2009, de 23 de marzo, FJ 3).</w:t>
      </w:r>
    </w:p>
    <w:p w:rsidR="00D06117" w:rsidRDefault="00D06117" w:rsidP="00D06117">
      <w:pPr>
        <w:pStyle w:val="TextoNormal"/>
      </w:pPr>
    </w:p>
    <w:p w:rsidR="00D06117" w:rsidRDefault="00D06117" w:rsidP="00D06117">
      <w:pPr>
        <w:pStyle w:val="TextoNormal"/>
      </w:pPr>
      <w:r>
        <w:t xml:space="preserve">Teniendo en cuenta lo expuesto ha de indicarse que en el Auto de planteamiento de la cuestión se razona expresamente que el juicio de relevancia debe entenderse cumplido desde </w:t>
      </w:r>
      <w:r>
        <w:lastRenderedPageBreak/>
        <w:t>el momento en que la controversia en el proceso a quo versa exclusivamente sobre la prescripción de la infracción y de la sanción por haber transcurrido más de un año desde la interposición del recurso de alzada contra la resolución sancionadora impugnada, que es el plazo de prescripción previsto en el art. 81 LSV. Esta formulación puede entenderse completada por otros razonamientos contenidos en el Auto de planteamiento de la cuestión de los que se infiere sin dificultad que el Juzgado promotor vendría, en definitiva, a exteriorizar el juicio de relevancia en unos términos que podrían ser resumidos así: que lo único que se discute en el proceso a quo es la prescripción de la infracción y de la sanción, siendo los preceptos cuestionados (arts. 81 LSV y 132 LPC), tal como han sido interpretados con carácter vinculante por las Sentencias en interés de ley de la Sala de lo Contencioso-Administrativo del Tribunal Supremo de 15 de diciembre de 2004 y 22 de septiembre de 2008, los que establecen las reglas aplicables en materia de prescripción, y que el Juzgado queda vinculado a la doctrina legal sentada en dichas Sentencias por imperativo de lo dispuesto en el art. 100.7 LJCA.</w:t>
      </w:r>
    </w:p>
    <w:p w:rsidR="00D06117" w:rsidRDefault="00D06117" w:rsidP="00D06117">
      <w:pPr>
        <w:pStyle w:val="TextoNormal"/>
      </w:pPr>
    </w:p>
    <w:p w:rsidR="00D06117" w:rsidRDefault="00D06117" w:rsidP="00D06117">
      <w:pPr>
        <w:pStyle w:val="TextoNormal"/>
      </w:pPr>
      <w:r>
        <w:t>Desde luego, como ya hemos tenido oportunidad de precisar en anteriores ocasiones, es notorio que una interpretación jurisprudencial no es susceptible de ser cuestionada mediante el procedimiento de la cuestión de inconstitucionalidad (STC 15/1994, de 20 de enero, FJ 2), por cuanto la interpretación jurisprudencial de un precepto legal se constituye en presupuesto, que no en objeto, de la cuestión planteada respecto de dicho precepto [SSTC 157/1993, de 6 de mayo, FJ 1 b), y 114/1994, 14 de abril, FJ 2 b)].</w:t>
      </w:r>
    </w:p>
    <w:p w:rsidR="00D06117" w:rsidRDefault="00D06117" w:rsidP="00D06117">
      <w:pPr>
        <w:pStyle w:val="TextoNormal"/>
      </w:pPr>
    </w:p>
    <w:p w:rsidR="00D06117" w:rsidRDefault="00D06117" w:rsidP="00D06117">
      <w:pPr>
        <w:pStyle w:val="TextoNormal"/>
      </w:pPr>
      <w:r>
        <w:t>Sin embargo, y como ya apreciáramos para un caso similar en el ATC 10/2006, de 17 de enero, FJ 2 (así como en los AATC 11/2006, de 17 de enero y 404/2006, de 8 de noviembre), en el presente supuesto no puede concluirse sin más que el objeto de la cuestión de inconstitucionalidad sea exclusivamente la doctrina legal fijada por la Sala de lo Contencioso-Administrativo del Tribunal Supremo en las Sentencias en interés de ley de 15 de diciembre de 2004 y 22 de septiembre de 2008. Cierto es que una buena parte de la argumentación desplegada en el Auto de planteamiento expresa la discrepancia que el Juzgado promotor de la cuestión mantiene con la referida doctrina legal, pero no lo es menos que, por obra de los efectos vinculantes atribuidos por el art. 100.7 LJCA a esa doctrina, debe entenderse que la misma concreta el contenido normativo de unos preceptos, los arts. 81 LSV y 132 LPC, cuya aplicabilidad al caso resulta suficientemente acreditada, según lo anteriormente expuesto.</w:t>
      </w:r>
    </w:p>
    <w:p w:rsidR="00D06117" w:rsidRDefault="00D06117" w:rsidP="00D06117">
      <w:pPr>
        <w:pStyle w:val="TextoNormal"/>
      </w:pPr>
    </w:p>
    <w:p w:rsidR="00D06117" w:rsidRDefault="00D06117" w:rsidP="00D06117">
      <w:pPr>
        <w:pStyle w:val="TextoNormal"/>
      </w:pPr>
      <w:r>
        <w:t>En efecto, la doctrina legal de la Sala de lo Contencioso-Administrativo del Tribunal Supremo sentada en Sentencias estimatorias del recurso de casación en interés de ley no sólo tiene el valor complementario del ordenamiento jurídico que a la jurisprudencia del Tribunal Supremo le atribuye el art. 1.6 del Código civil (SSTC 120/1994, de 25 de abril, FJ 1; 133/1995, de 25 de septiembre, FJ 5; 129/2003, de 30 de junio, FJ 6; y 265/2005, de 24 de octubre, FJ 2, por todas), sino, además, verdadera fuerza vinculante para los Jueces y Tribunales inferiores en grado de dicho orden jurisdiccional, en virtud de lo establecido en el art. 100.7 LJCA.</w:t>
      </w:r>
    </w:p>
    <w:p w:rsidR="00D06117" w:rsidRDefault="00D06117" w:rsidP="00D06117">
      <w:pPr>
        <w:pStyle w:val="TextoNormal"/>
      </w:pPr>
    </w:p>
    <w:p w:rsidR="00D06117" w:rsidRDefault="00D06117" w:rsidP="00D06117">
      <w:pPr>
        <w:pStyle w:val="TextoNormal"/>
      </w:pPr>
      <w:r>
        <w:t xml:space="preserve">Por ello necesariamente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w:t>
      </w:r>
      <w:r>
        <w:lastRenderedPageBreak/>
        <w:t>preceptos legales (los arts. 81 LSV y 132 LPC), cuyo contenido vinculante para el Juzgado promotor de la presente cuestión, como para todos los órganos judiciales inferiores en grado del orden jurisdiccional contencioso-administrativo, ha sido determinado conforme a lo dispuesto en el art. 100.7 LJCA por la Sala de lo Contencioso-Administrativo del Tribunal Supremo en las citadas Sentencias en interés de ley. Esto es, los preceptos legales cuestionados tienen para los órganos judiciales del orden contencioso-administrativo el contenido preciso (ese mismo y no otro) que el Tribunal Supremo ha establecido al sentar doctrina legal vinculante en sentencias en interés de ley, como último y superior intérprete de la legalidad ordinaria, sin perjuicio de las competencias del Tribunal Constitucional (arts. 123.1 CE).</w:t>
      </w:r>
    </w:p>
    <w:p w:rsidR="00D06117" w:rsidRDefault="00D06117" w:rsidP="00D06117">
      <w:pPr>
        <w:pStyle w:val="TextoNormal"/>
      </w:pPr>
    </w:p>
    <w:p w:rsidR="00D06117" w:rsidRDefault="00D06117" w:rsidP="00D06117">
      <w:pPr>
        <w:pStyle w:val="TextoNormal"/>
      </w:pPr>
      <w:r>
        <w:t>De este modo el Juzgado promotor de la presente cuestión viene obligado a aplicar los arts. 81 LSV y 132 LPC con el contenido establecido por la Sala de lo Contencioso-Administrativo del Tribunal Supremo en las citadas Sentencias en interés de ley, hasta el punto de que, de obrar de otro modo, incurriría incluso en vulneración del derecho a la tutela judicial efectiva (art. 24.1 CE) por desatención de esa doctrina legal que le vincula a tenor de lo dispuesto en el art. 100.7 LJCA (SSTC 308/2006, de 23 de octubre, FJ 7, y 82/2009, de 23 de marzo, FJ 8), y, en consecuencia, por inaplicar los referidos preceptos legales sin plantear cuestión de inconstitucionalidad respecto de los mismos. Pues, como hemos declarado reiteradamente, sólo mediante el planteamiento de la cuestión de inconstitucionalidad puede dejarse sin aplicación una norma legal en vigor que sea posterior a la Constitución y que el órgano judicial pueda entender que la contradice, dado que el constituyente ha querido sustraer al Juez ordinario la posibilidad de inaplicar una ley postconstitucional vigente por entenderla incompatible con la Constitución, atribuyendo de forma exclusiva al Tribunal Constitucional la competencia y la jurisdicción para declarar, con eficacia erga omnes, la inconstitucionalidad de las leyes, tanto más cuanto en un sistema democrático la ley es expresión de la voluntad popular (como se declara en el preámbulo de nuestra Constitución) y es por ello elemento básico del sistema democrático y parlamentario hoy vigente en España [por todas, SSTC 17/1981, de 1 de mayo, FJ 1; 73/2000, de 14 de marzo, FJ 16; 120/2000, de 10 de mayo, FJ 3; 173/2002, de 9 de octubre, FJ 9; 58/2004, de 19 de abril, FJ 8; y 78/2010, de 20 de octubre, FJ 2 a)].</w:t>
      </w:r>
    </w:p>
    <w:p w:rsidR="00D06117" w:rsidRDefault="00D06117" w:rsidP="00D06117">
      <w:pPr>
        <w:pStyle w:val="TextoNormal"/>
      </w:pPr>
    </w:p>
    <w:p w:rsidR="00D06117" w:rsidRDefault="00D06117" w:rsidP="00D06117">
      <w:pPr>
        <w:pStyle w:val="TextoNormal"/>
      </w:pPr>
      <w:r>
        <w:t>En suma, en la medida en que el órgano judicial promotor de la presente cuestión viene obligado a aplicar en el proceso a quo unos preceptos legales (los arts. 81 LSV y 132 LPC) con el contenido normativo fijado por el Tribunal Supremo en las citadas Sentencias, de cuya constitucionalidad duda y de cuya validez depende el fallo, ha de concluirse que se cumplen las exigencias para el planteamiento de la cuestión de inconstitucionalidad, reservada a las leyes y normas con fuerza de ley (arts. 163 CE y 27.2 y 35.1 LOTC), ya que, como antes dijimos, aunque el problema no haya sido expuesto en estos mismos términos en el Auto de planteamiento, necesariamente ha de entenderse que lo que en realidad se pretende cuestionar por el órgano judicial no es una interpretación jurisprudencial concreta, sino la ley misma (bien que con el contenido resultante de la doctrina legal vinculante sentada por el Tribunal Supremo conforme a lo dispuesto en el art. 100.7 LJCA);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Delimitado así el objeto de la presente cuestión, y entrando ya en el examen de fondo, resulta necesario comenzar por el análisis de la duda de constitucionalidad que se plantea por el Juzgado de lo Contencioso-Administrativo núm. 1 de Elche de forma subsidiaria o alternativa, es decir, en relación con la posible inconstitucionalidad del art. 100.7 LJCA, precepto que, pese a ser cuestionado de manera subsidiaria, según acaba de indicarse, se presenta, en realidad, como el presupuesto del que parte el mismo planteamiento de la cuestión de inconstitucionalidad, y que por ello debemos examinar en primer lugar. Pues, en efecto, sólo despejada la duda sobre la constitucionalidad de este precepto legal, norma secundaria de integración de normas, podrá abordarse el examen sobre la constitucionalidad de los arts. 81 LSV y 132 LPC, con el contenido establecido por el Tribunal Supremo en la doctrina legal sentada en las citadas Sentencias en interés de la ley (por imperativo precisamente de lo dispuesto en el art. 100.7 LJCA).</w:t>
      </w:r>
    </w:p>
    <w:p w:rsidR="00D06117" w:rsidRDefault="00D06117" w:rsidP="00D06117">
      <w:pPr>
        <w:pStyle w:val="TextoNormal"/>
      </w:pPr>
    </w:p>
    <w:p w:rsidR="00D06117" w:rsidRDefault="00D06117" w:rsidP="00D06117">
      <w:pPr>
        <w:pStyle w:val="TextoNormal"/>
      </w:pPr>
      <w:r>
        <w:t>En la actualidad, los recursos de casación en interés de la ley en el orden jurisdiccional contencioso-administrativo (cuyo origen se remonta al Decreto de 8 de mayo de 1931, como tuvimos ocasión de recordar en la STC 121/1999, de 28 de junio, FJ 2), se encuentran regulados en los arts. 100 y 101 LJCA de 1998. Dichos preceptos amplían el número de sujetos legitimados para la interposición del recurso y mantienen como requisito objetivo la fundamentación del recurso en la consideración de la Sentencia impugnada como “gravemente dañosa para el interés general y errónea”.</w:t>
      </w:r>
    </w:p>
    <w:p w:rsidR="00D06117" w:rsidRDefault="00D06117" w:rsidP="00D06117">
      <w:pPr>
        <w:pStyle w:val="TextoNormal"/>
      </w:pPr>
    </w:p>
    <w:p w:rsidR="00D06117" w:rsidRDefault="00D06117" w:rsidP="00D06117">
      <w:pPr>
        <w:pStyle w:val="TextoNormal"/>
      </w:pPr>
      <w:r>
        <w:t>Asimismo, y en lo que aquí interesa, la Sentencia que dicte el Tribunal Supremo al resolver un recurso de casación en interés de la ley respetará en todo caso la situación jurídica particular derivada de la sentencia recurrida y, cuando fuere estimatoria, fijará en el fallo la doctrina legal, en cuyo caso se publicará en el “Boletín Oficial del Estado”, y a partir de su inserción en él vinculará a todos los Jueces y Tribunales inferiores en grado del orden jurisdiccional contencioso-administrativo (art. 100.7 LJCA).</w:t>
      </w:r>
    </w:p>
    <w:p w:rsidR="00D06117" w:rsidRDefault="00D06117" w:rsidP="00D06117">
      <w:pPr>
        <w:pStyle w:val="TextoNormal"/>
      </w:pPr>
    </w:p>
    <w:p w:rsidR="00D06117" w:rsidRDefault="00D06117" w:rsidP="00D06117">
      <w:pPr>
        <w:pStyle w:val="TextoNormal"/>
      </w:pPr>
      <w:r>
        <w:t>En definitiva, el recurso de casación en interés de la ley, en el orden jurisdiccional contencioso-administrativo, además de su carácter subsidiario respecto del recurso de casación propiamente dicho, ha tenido siempre naturaleza excepcional, tanto por la limitación normativa de los sujetos legitimados para su interposición, como por los efectos, puesto que las Sentencias que se dicten sirven únicamente a la finalidad de la formación de jurisprudencia, con valor vinculante respecto de la doctrina legal en caso de Sentencias estimatorias del recurso, dejando intacta la fuerza de cosa juzgada de la resolución judicial objeto de impugnación. Dicho en palabras de nuestra STC 111/1992, de 14 de septiembre, FJ 4, “[e]ste recurso tenía y tiene por finalidad permitir que se corrijan las resoluciones de los Tribunales de aquella jurisdicción (salvo el Tribunal Supremo) que se estiman ‘gravemente dañosas y erróneas’, de tal manera que el Tribunal Supremo pueda fijar, en su caso, una doctrina legal correctora, pero respetando ‘la situación jurídica particular derivada del fallo impugnado’. Como es lógico, la razón de ser o la utilidad de este tipo de recurso consiste en posibilitar que la doctrina o fundamentación de la resolución impugnada, que se considera gravemente dañosa y errónea, no se aplique, de ser declarada como tal, a situaciones similares a las enjuiciadas por aquélla”.</w:t>
      </w:r>
    </w:p>
    <w:p w:rsidR="00D06117" w:rsidRDefault="00D06117" w:rsidP="00D06117">
      <w:pPr>
        <w:pStyle w:val="TextoNormal"/>
      </w:pPr>
    </w:p>
    <w:p w:rsidR="00D06117" w:rsidRDefault="00D06117" w:rsidP="00D06117">
      <w:pPr>
        <w:pStyle w:val="TextoNormal"/>
      </w:pPr>
      <w:r>
        <w:t xml:space="preserve">El recurso de casación en interés de la ley responde así a la finalidad de preservar la homogeneidad jurisprudencial, mediante el establecimiento por el Tribunal Supremo de una doctrina legal, vinculante para Jueces y Tribunales inferiores, sirviendo con ello al objetivo </w:t>
      </w:r>
      <w:r>
        <w:lastRenderedPageBreak/>
        <w:t>de que la ley sea igual en todo el territorio nacional (arts. 14 y 139.1 CE) y al principio de seguridad jurídica (art. 9.3 CE), al tiempo que dota de contenido real a la supremacía del Tribunal Supremo, precisamente creado con el nombre de “Supremo Tribunal de Justicia” por la Constitución de 1812, en todos los órdenes jurisdiccionales, salvo lo dispuesto en materia de garantías constitucionales (art. 123.1 CE), “una supremacía que se traduce en la doctrina legal cuya función complementaria del ordenamiento jurídico con valor normativo reconocen el Código Civil (art. 1.6) y la propia Ley de la Jurisdicción cuando regulaba otrora los recursos extraordinarios de apelación en interés de ley o de revisión para la homogeneización jurisprudencial … y configura hoy los de casación para la unificación de doctrina y en interés de ley, herederos de aquéllos” (SSTC 120/1994, de 25 de abril, FJ 1, y 184/1995, de 12 de diciembre, FJ 1).</w:t>
      </w:r>
    </w:p>
    <w:p w:rsidR="00D06117" w:rsidRDefault="00D06117" w:rsidP="00D06117">
      <w:pPr>
        <w:pStyle w:val="TextoNormal"/>
      </w:pPr>
    </w:p>
    <w:p w:rsidR="00D06117" w:rsidRDefault="00D06117" w:rsidP="00D06117">
      <w:pPr>
        <w:pStyle w:val="TextoNormal"/>
      </w:pPr>
      <w:r>
        <w:t>De este modo,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w:t>
      </w:r>
    </w:p>
    <w:p w:rsidR="00D06117" w:rsidRDefault="00D06117" w:rsidP="00D06117">
      <w:pPr>
        <w:pStyle w:val="TextoNormal"/>
      </w:pPr>
    </w:p>
    <w:p w:rsidR="00D06117" w:rsidRDefault="00D06117" w:rsidP="00D06117">
      <w:pPr>
        <w:pStyle w:val="TextoNormal"/>
      </w:pPr>
      <w:r>
        <w:t>Siendo esto así, debemos descartar que el art. 100.7 LJCA, en la medida en que establece el carácter vinculante de las Sentencias del Tribunal Supremo que estiman los recursos de casación en interés de ley, sea inconstitucional porque vulnere (como se aduce en el Auto de planteamiento de la cuestión) el principio de independencia judicial proclamado en el art. 117.1 CE, por las razones que más adelante se expresan.</w:t>
      </w:r>
    </w:p>
    <w:p w:rsidR="00D06117" w:rsidRDefault="00D06117" w:rsidP="00D06117">
      <w:pPr>
        <w:pStyle w:val="TextoNormal"/>
      </w:pPr>
    </w:p>
    <w:p w:rsidR="00D06117" w:rsidRDefault="00D06117" w:rsidP="00D06117">
      <w:pPr>
        <w:pStyle w:val="TextoNormal"/>
      </w:pPr>
      <w:r w:rsidRPr="00D06117">
        <w:rPr>
          <w:rStyle w:val="NumeroAFNegritaCaracter"/>
        </w:rPr>
        <w:t>4</w:t>
      </w:r>
      <w:r>
        <w:t>. La independencia del poder judicial, que se predica de todos y cada uno de los Jueces y Magistrados en cuanto ejercen la función jurisdiccional, implica que, en el ejercicio de esta función, están sujetos única y exclusivamente al imperio de la ley, lo que significa que no están ligados a órdenes, instrucciones o indicaciones de ningún otro poder público, singularmente del legislativo y del ejecutivo. E incluso que los órganos judiciales de grado inferior no están necesariamente vinculados por la doctrina de los Tribunales superiores en grado, ni aun siquiera por la jurisprudencia del Tribunal Supremo, con la excepción, de la que seguidamente nos ocuparemos, de la doctrina sentada en los recursos de casación en interés de ley; todo ello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en los términos que después se expresan, a lo que ha de añadirse que la infracción de la jurisprudencia constituye motivo de casación en todos los órdenes jurisdiccionales.</w:t>
      </w:r>
    </w:p>
    <w:p w:rsidR="00D06117" w:rsidRDefault="00D06117" w:rsidP="00D06117">
      <w:pPr>
        <w:pStyle w:val="TextoNormal"/>
      </w:pPr>
    </w:p>
    <w:p w:rsidR="00D06117" w:rsidRDefault="00D06117" w:rsidP="00D06117">
      <w:pPr>
        <w:pStyle w:val="TextoNormal"/>
      </w:pPr>
      <w:r>
        <w:t>Así configurado, el principio de independencia judicial es consustancial a todo Estado democrático, y su reconocimiento en España tiene origen en la Constitución de Cádiz de 1812.</w:t>
      </w:r>
    </w:p>
    <w:p w:rsidR="00D06117" w:rsidRDefault="00D06117" w:rsidP="00D06117">
      <w:pPr>
        <w:pStyle w:val="TextoNormal"/>
      </w:pPr>
    </w:p>
    <w:p w:rsidR="00D06117" w:rsidRDefault="00D06117" w:rsidP="00D06117">
      <w:pPr>
        <w:pStyle w:val="TextoNormal"/>
      </w:pPr>
      <w:r>
        <w:lastRenderedPageBreak/>
        <w:t>En efecto, aunque la Constitución política de la Monarquía Española de 19 de marzo de 1812 no contiene ningún precepto en el que se recoja literalmente el principio de independencia judicial con esta expresa denominación, lo cierto es que de la lectura sistemática del artículo 17 y los diversos artículos contenidos en su título V, cuya rúbrica es “De los Tribunales y de la Administración de Justicia en lo civil y en lo criminal”, se desprende sin dificultad el reconocimiento de dicho principio, lo que viene a corroborar, por lo demás, el “Discurso preliminar” (verdadero preámbulo razonado de la Constitución de Cádiz), donde, al referirse en el comienzo de su parte II a lo que luego sería el título V de la Constitución de 1812, se alude expresamente, junto a otras afirmaciones de interés a los efectos que nos ocupan, a “la absoluta separación e independencia de los jueces” como elemento esencial del edificio constitucional.</w:t>
      </w:r>
    </w:p>
    <w:p w:rsidR="00D06117" w:rsidRDefault="00D06117" w:rsidP="00D06117">
      <w:pPr>
        <w:pStyle w:val="TextoNormal"/>
      </w:pPr>
    </w:p>
    <w:p w:rsidR="00D06117" w:rsidRDefault="00D06117" w:rsidP="00D06117">
      <w:pPr>
        <w:pStyle w:val="TextoNormal"/>
      </w:pPr>
      <w:r>
        <w:t>Así, en los arts. 17, 242 a 245 y 252 a 255 de la Constitución de 1812 aparecen proclamados los principios o garantías de sometimiento exclusivo de los jueces al imperio de la ley, de separación del poder jurisdiccional de los otros poderes del Estado, de exclusividad en el ejercicio de la función o potestad jurisdiccional, y de inamovilidad de los Jueces y Magistrados, así como la previsión de la responsabilidad jurídica (que no política) de los mismos. Principios estos que sustentan la independencia judicial y que, por ello, garantizados por la Constitución, permiten que esa independencia sea real y verdadera.</w:t>
      </w:r>
    </w:p>
    <w:p w:rsidR="00D06117" w:rsidRDefault="00D06117" w:rsidP="00D06117">
      <w:pPr>
        <w:pStyle w:val="TextoNormal"/>
      </w:pPr>
    </w:p>
    <w:p w:rsidR="00D06117" w:rsidRDefault="00D06117" w:rsidP="00D06117">
      <w:pPr>
        <w:pStyle w:val="TextoNormal"/>
      </w:pPr>
      <w:r w:rsidRPr="00D06117">
        <w:rPr>
          <w:rStyle w:val="NumeroAFNegritaCaracter"/>
        </w:rPr>
        <w:t>5</w:t>
      </w:r>
      <w:r>
        <w:t>. Es obligado, por tanto, reconocer que la fórmula empleada por el art. 117.1 de la vigente Constitución de 1978, conforme al cual “la justicia emana del pueblo y se administra en nombre del Rey por Jueces y Magistrados integrantes del poder judicial, independientes, inamovibles, responsables y sometidos únicamente al imperio de la ley”, es deudora históricamente de la obra de las Cortes de Cádiz, lo que es de justicia reconocer con ocasión del doble centenario de la promulgación de la Constitución de 1812.</w:t>
      </w:r>
    </w:p>
    <w:p w:rsidR="00D06117" w:rsidRDefault="00D06117" w:rsidP="00D06117">
      <w:pPr>
        <w:pStyle w:val="TextoNormal"/>
      </w:pPr>
    </w:p>
    <w:p w:rsidR="00D06117" w:rsidRDefault="00D06117" w:rsidP="00D06117">
      <w:pPr>
        <w:pStyle w:val="TextoNormal"/>
      </w:pPr>
      <w:r>
        <w:t>Y es que, en efecto, como bien advirtieron ya los constituyentes de Cádiz, la independencia es atributo consustancial a la función de juzgar, en cuanto implica que Jueces y Tribunales no están subordinados en el ejercicio de su función jurisdiccional a ningún otro poder público, sino sometidos única y exclusivamente “al imperio de la ley”, esto es, sujetos al Derecho. Ello significa que, a diferencia de lo que acontece con los poderes legislativo y ejecutivo, que disponen legítimamente de un amplio margen (siempre dentro del ordenamiento jurídico, como advierte el art. 9.1 CE) para adoptar de manera discrecional decisiones políticas, los Jueces y Tribunales integrantes del poder judicial no pueden ejercer su función jurisdiccional con discrecionalidad política ni según su libre albedrío, sino que han de juzgar sometidos al imperio de la ley, con sujeción al sistema de fuentes establecido.</w:t>
      </w:r>
    </w:p>
    <w:p w:rsidR="00D06117" w:rsidRDefault="00D06117" w:rsidP="00D06117">
      <w:pPr>
        <w:pStyle w:val="TextoNormal"/>
      </w:pPr>
    </w:p>
    <w:p w:rsidR="00D06117" w:rsidRDefault="00D06117" w:rsidP="00D06117">
      <w:pPr>
        <w:pStyle w:val="TextoNormal"/>
      </w:pPr>
      <w:r>
        <w:t>Por eso la legitimación democrática del poder judicial deriva directamente de la Constitución, que configura a la justicia como independiente, sometida únicamente al Derecho y no a opciones políticas. Es más, si en un Estado no existe un poder judicial independiente (independencia que se predica de todos y cada uno de los jueces y magistrados integrantes del poder judicial) entonces lo que no hay es Estado de Derecho, pieza esencial, como es sabido, de un Estado auténticamente constitucional.</w:t>
      </w:r>
    </w:p>
    <w:p w:rsidR="00D06117" w:rsidRDefault="00D06117" w:rsidP="00D06117">
      <w:pPr>
        <w:pStyle w:val="TextoNormal"/>
      </w:pPr>
    </w:p>
    <w:p w:rsidR="00D06117" w:rsidRDefault="00D06117" w:rsidP="00D06117">
      <w:pPr>
        <w:pStyle w:val="TextoNormal"/>
      </w:pPr>
      <w:r>
        <w:t xml:space="preserve">Bien puede afirmarse por todo ello que, en el ejercicio de su función constitucional, el juez es libre en cuanto que sólo esta sujeto al imperio de la ley. O, dicho de otro modo, que los Jueces y Tribunales son independientes porque están sometidos únicamente al Derecho. </w:t>
      </w:r>
      <w:r>
        <w:lastRenderedPageBreak/>
        <w:t>Independencia judicial y sumisión al imperio de la ley son, en suma, anverso y reverso de la misma medalla, como así ha tenido ocasión este Tribunal de declararlo en reiteradas ocasiones: “la independencia judicial de cualquier presión o influencia externa tiene como anverso el sometimiento exclusivo de los Jueces a la Ley y al Derecho, principio de juridicidad, más allá del de legalidad, que implica el respeto no sólo a las normas sino también a los usos y costumbres, a los principios generales del Derecho y a la doctrina legal del Tribunal Supremo con valor complementario del ordenamiento jurídico” (STC 133/1995, de 25 de septiembre, FJ 5).</w:t>
      </w:r>
    </w:p>
    <w:p w:rsidR="00D06117" w:rsidRDefault="00D06117" w:rsidP="00D06117">
      <w:pPr>
        <w:pStyle w:val="TextoNormal"/>
      </w:pPr>
    </w:p>
    <w:p w:rsidR="00D06117" w:rsidRDefault="00D06117" w:rsidP="00D06117">
      <w:pPr>
        <w:pStyle w:val="TextoNormal"/>
      </w:pPr>
      <w:r w:rsidRPr="00D06117">
        <w:rPr>
          <w:rStyle w:val="NumeroAFNegritaCaracter"/>
        </w:rPr>
        <w:t>6</w:t>
      </w:r>
      <w:r>
        <w:t>. Además, la proclamación constitucional de la independencia del poder judicial va acompañada del establecimiento de diversas garantías adecuadas a asegurar su efectividad, como son, entre otras, la inamovilidad, la imparcialidad, el estatuto jurídico de Jueces y Magistrados, y el régimen de responsabilidad, cuestiones en las que también resuenan los lejanos ecos de la Constitución gaditana de 1812.</w:t>
      </w:r>
    </w:p>
    <w:p w:rsidR="00D06117" w:rsidRDefault="00D06117" w:rsidP="00D06117">
      <w:pPr>
        <w:pStyle w:val="TextoNormal"/>
      </w:pPr>
    </w:p>
    <w:p w:rsidR="00D06117" w:rsidRDefault="00D06117" w:rsidP="00D06117">
      <w:pPr>
        <w:pStyle w:val="TextoNormal"/>
      </w:pPr>
      <w:r>
        <w:t>A dichas garantías de la independencia judicial ya hemos tenido ocasión también de referirnos en nuestra doctrina, y así es oportuno recordar la STC 108/1986, de 26 de julio, que resuelve el recurso de inconstitucionalidad promovido contra la Ley Orgánica 6/1985, de 1 de julio, del Poder Judicial, y en la que afirmamos que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Naturalmente, la independencia judicial (es decir, la de cada Juez o Tribunal en el ejercicio de su jurisdicción) debe ser respetada tanto en el interior de la organización judicial (art. 2 de la LOPJ) como por ‘todos’ (art. 13 de la misma Ley). La misma Constitución prevé diversas garantías para asegurar esa independencia.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No es necesario ni posible entrar aquí en un examen detallado de la especial situación del poder judicial y de sus integrantes en la Constitución, aunque conviene señalar que esa independencia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 (FJ 6).</w:t>
      </w:r>
    </w:p>
    <w:p w:rsidR="00D06117" w:rsidRDefault="00D06117" w:rsidP="00D06117">
      <w:pPr>
        <w:pStyle w:val="TextoNormal"/>
      </w:pPr>
    </w:p>
    <w:p w:rsidR="00D06117" w:rsidRDefault="00D06117" w:rsidP="00D06117">
      <w:pPr>
        <w:pStyle w:val="TextoNormal"/>
      </w:pPr>
      <w:r>
        <w:t>Obvio es, por otra parte, como también advertimos en la citada STC 108/1986, FJ 7, que “la concepción expuesta de la independencia del Poder Judicial es compartida, en sus líneas generales, por todos los países de nuestra área jurídico-política”, a lo que cabe añadir que asimismo es coincidente dicha concepción con la que reflejan diversos textos internacionales sobre derechos fundamentales y libertades públicas suscritos por España: art. 6.1 del Convenio europeo para la protección de los derechos humanos y de las libertades fundamentales, art. 14.1 del Pacto internacional de derechos civiles y políticos y art. 47 de la Carta de los derechos fundamentales de la Unión Europea.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Conforme a lo expuesto, la independencia judicial (art. 117.1 CE) permite que los órganos judiciales inferiores en grado discrepen, mediante un razonamiento fundado en Derecho, del criterio sostenido por Tribunales superiores e incluso de la jurisprudencia sentada por el Tribunal Supremo (art. 1.6 del Código civil), si fuere el caso, sin que con ello se vulnere el principio de igualdad en aplicación de la ley, al tratarse de órganos judiciales diferentes (SSTC 160/1993, de 17 de mayo, FJ 2; 165/1999, de 27 de septiembre, FJ 6; y 87/2008, de 21 de julio, FJ 5, por todas), y tampoco el derecho a la tutela judicial efectiva,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w:t>
      </w:r>
    </w:p>
    <w:p w:rsidR="00D06117" w:rsidRDefault="00D06117" w:rsidP="00D06117">
      <w:pPr>
        <w:pStyle w:val="TextoNormal"/>
      </w:pPr>
    </w:p>
    <w:p w:rsidR="00D06117" w:rsidRDefault="00D06117" w:rsidP="00D06117">
      <w:pPr>
        <w:pStyle w:val="TextoNormal"/>
      </w:pPr>
      <w:r>
        <w:t>Ciertamente, la doctrina legal de la Sala de lo Contencioso-Administrativo del Tribunal Supremo sentada en las Sentencias estimatorias de recursos de casación en interés de ley vincula a los órganos judiciales inferiores en grado de dicho orden jurisdiccional cuando hayan de resolver asuntos en los que resulte aplicable la disposición sobre la que ha recaído esa interpretación vinculante, por imperativo legal, del Tribunal Supremo, órgano jurisdiccional superior en todos los órdenes, salvo en materia de garantías constitucionales (art. 123.1 CE). Sin embargo, no por esa vinculación queda abolida o cercenada en tales supuestos la independencia judicial de los órganos judiciales inferiores en grado.</w:t>
      </w:r>
    </w:p>
    <w:p w:rsidR="00D06117" w:rsidRDefault="00D06117" w:rsidP="00D06117">
      <w:pPr>
        <w:pStyle w:val="TextoNormal"/>
      </w:pPr>
    </w:p>
    <w:p w:rsidR="00D06117" w:rsidRDefault="00D06117" w:rsidP="00D06117">
      <w:pPr>
        <w:pStyle w:val="TextoNormal"/>
      </w:pPr>
      <w:r>
        <w:t>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Recuérdese, por otra parte, el carácter excepcional del recurso de casación en interés de ley, tanto por la limitación de los legitimados para su interposición, como por su finalidad específica: corregir las sentencias de los Tribunales inferiores que se estiman “gravemente dañosas y erróneas”, de manera que el Tribunal Supremo pueda fijar, en su caso, una doctrina legal correctora y vinculante, pero respetando la situación jurídica particular derivada de la Sentencia impugnada (STC 111/1992, FJ 4).</w:t>
      </w:r>
    </w:p>
    <w:p w:rsidR="00D06117" w:rsidRDefault="00D06117" w:rsidP="00D06117">
      <w:pPr>
        <w:pStyle w:val="TextoNormal"/>
      </w:pPr>
    </w:p>
    <w:p w:rsidR="00D06117" w:rsidRDefault="00D06117" w:rsidP="00D06117">
      <w:pPr>
        <w:pStyle w:val="TextoNormal"/>
      </w:pPr>
      <w:r>
        <w:t xml:space="preserve">A lo anterior cabe añadir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w:t>
      </w:r>
      <w:r>
        <w:lastRenderedPageBreak/>
        <w:t>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w:t>
      </w:r>
    </w:p>
    <w:p w:rsidR="00D06117" w:rsidRDefault="00D06117" w:rsidP="00D06117">
      <w:pPr>
        <w:pStyle w:val="TextoNormal"/>
      </w:pPr>
    </w:p>
    <w:p w:rsidR="00D06117" w:rsidRDefault="00D06117" w:rsidP="00D06117">
      <w:pPr>
        <w:pStyle w:val="TextoNormal"/>
      </w:pPr>
      <w:r>
        <w:t>Efectivamente, el órgano judicial inferior en grado del orden jurisdiccional contencioso-administrativo puede promover en este supuesto cuestión de inconstitucionalidad, pero no para cuestionar la interpretación sentada en interés de ley por el Tribunal Supremo (aunque en el Auto de planteamiento así se dijese en el presente caso, sin mucha precisión), pues lo que en realidad se está cuestionando por el órgano judicial es la ley misma, esto es, el precepto legal aplicable para resolver el litigio sometido a su conocimiento, con el contenido vinculante que para todos los órganos judiciales inferiores en grado, conforme a lo dispuesto en el art. 100.7 LJCA, ha sido determinado por el Tribunal Supremo en Sentencia dictada en recurso de casación en interés de ley, interpretación que así se incorpora al precepto mismo.</w:t>
      </w:r>
    </w:p>
    <w:p w:rsidR="00D06117" w:rsidRDefault="00D06117" w:rsidP="00D06117">
      <w:pPr>
        <w:pStyle w:val="TextoNormal"/>
      </w:pPr>
    </w:p>
    <w:p w:rsidR="00D06117" w:rsidRDefault="00D06117" w:rsidP="00D06117">
      <w:pPr>
        <w:pStyle w:val="TextoNormal"/>
      </w:pPr>
      <w:r w:rsidRPr="00D06117">
        <w:rPr>
          <w:rStyle w:val="NumeroAFNegritaCaracter"/>
        </w:rPr>
        <w:t>8</w:t>
      </w:r>
      <w:r>
        <w:t>. Descartada la inconstitucionalidad del art. 100.7 LJCA, por las razones expresadas, cumple seguidamente examinar la duda de constitucionalidad que se proyecta por el Juzgado promotor de la presente cuestión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00D06117" w:rsidRDefault="00D06117" w:rsidP="00D06117">
      <w:pPr>
        <w:pStyle w:val="TextoNormal"/>
      </w:pPr>
    </w:p>
    <w:p w:rsidR="00D06117" w:rsidRDefault="00D06117" w:rsidP="00D06117">
      <w:pPr>
        <w:pStyle w:val="TextoNormal"/>
      </w:pPr>
      <w:r>
        <w:t>Como se recordará, el Juzgado promotor de la cuestión sostiene, en síntesis, que los plazos de prescripción establecidos en los arts. 81 LSV y 132 LPC, conforme al contenido normativo de dichos preceptos que se determina en la citada doctrina legal del Tribunal Supremo vulnera el principio de seguridad jurídica (art. 9.3 CE) y la doctrina constitucional sentada por las SSTC 204/1987, 188/2003, 220/2003, 14/2006, y 40/2007, entre otras, sobre la consideración del silencio administrativo como mera ficción legal para poder recurrir en vía contencioso-administrativa, establecida en beneficio del ciudadano, sin que la Administración pueda beneficiarse de su propio incumplimiento de la obligación de dictar resolución expresa dentro de plazo; así como la vulneración de la doctrina constitucional que subyace en la STC 243/2006, en relación con la ejecutividad de las sanciones recurridas en alzada, dado que el Tribunal Supremo extrae consecuencias de esa doctrina que no son conformes con su espíritu, lo que determinaría a su vez la infracción del art. 123.1 CE.</w:t>
      </w:r>
    </w:p>
    <w:p w:rsidR="00D06117" w:rsidRDefault="00D06117" w:rsidP="00D06117">
      <w:pPr>
        <w:pStyle w:val="TextoNormal"/>
      </w:pPr>
    </w:p>
    <w:p w:rsidR="00D06117" w:rsidRDefault="00D06117" w:rsidP="00D06117">
      <w:pPr>
        <w:pStyle w:val="TextoNormal"/>
      </w:pPr>
      <w:r>
        <w:t xml:space="preserve">Pues bien, en cuanto a la pretendida vulneración del principio de seguridad jurídica (art. 9.3 CE) debe recordarse que, con arreglo a nuestra reiterada doctrina, la seguridad jurídica ha de entenderse como la certeza sobre el ordenamiento jurídico aplicable y los intereses jurídicamente tutelados, procurando “la claridad y no la confusión normativa” (STC </w:t>
      </w:r>
      <w:r>
        <w:lastRenderedPageBreak/>
        <w:t>46/1990, de 15 de marzo, FJ 4), así como “la expectativa razonablemente fundada del ciudadano en cuál ha de ser la actuación del poder en la aplicación del Derecho” (STC 36/1991, de 14 de febrero, FJ 5). De este modo, sólo si el contenido o las omisiones de una norma (teniendo en cuenta las reglas de interpretación admisibles en Derecho)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 (SSTC 150/1990, de 4 de octubre, FJ 8; 142/1993, de 22 de abril, FJ 4; 212/1996, de 19 de diciembre, FJ 15; y 96/2002, de 25 de abril, FJ 5, por todas).</w:t>
      </w:r>
    </w:p>
    <w:p w:rsidR="00D06117" w:rsidRDefault="00D06117" w:rsidP="00D06117">
      <w:pPr>
        <w:pStyle w:val="TextoNormal"/>
      </w:pPr>
    </w:p>
    <w:p w:rsidR="00D06117" w:rsidRDefault="00D06117" w:rsidP="00D06117">
      <w:pPr>
        <w:pStyle w:val="TextoNormal"/>
      </w:pPr>
      <w:r>
        <w:t>Aplicando esta doctrina al caso que nos ocupa, y como ya se dijera en los citados AATC 10/2006, FJ 4, 11/2006, FJ 4, y 404/2006, FJ 2, en asuntos similares al presente, debe declararse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w:t>
      </w:r>
    </w:p>
    <w:p w:rsidR="00D06117" w:rsidRDefault="00D06117" w:rsidP="00D06117">
      <w:pPr>
        <w:pStyle w:val="TextoNormal"/>
      </w:pPr>
    </w:p>
    <w:p w:rsidR="00D06117" w:rsidRDefault="00D06117" w:rsidP="00D06117">
      <w:pPr>
        <w:pStyle w:val="TextoNormal"/>
      </w:pPr>
      <w:r>
        <w:t>Por lo demás, conviene señalar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w:t>
      </w:r>
    </w:p>
    <w:p w:rsidR="00D06117" w:rsidRDefault="00D06117" w:rsidP="00D06117">
      <w:pPr>
        <w:pStyle w:val="TextoNormal"/>
      </w:pPr>
    </w:p>
    <w:p w:rsidR="00D06117" w:rsidRDefault="00D06117" w:rsidP="00D06117">
      <w:pPr>
        <w:pStyle w:val="TextoNormal"/>
      </w:pPr>
      <w:r w:rsidRPr="00D06117">
        <w:rPr>
          <w:rStyle w:val="NumeroAFNegritaCaracter"/>
        </w:rPr>
        <w:t>9</w:t>
      </w:r>
      <w:r>
        <w:t>. En lo que se refiere a la pretendida vulneración de la doctrina constitucional sobre la configuración del silencio administrativo sentada por las SSTC 204/1987, de 21 de diciembre, 188/2003, de 27 de octubre, 220/2003, de 15 de diciembre, 14/2006, de 16 de enero, y 40/2007, de 26 de febrero, entre otras, así como de la STC 243/2006, de 24 de julio, en relación con la ejecutividad de las sanciones recurridas en alzada, lo que determinaría en consecuencia la infracción del art. 123.1 CE —según se sostiene en el Auto de planteamiento de la cuestión—, cumple señalar que no se advierte que el contenido normativo de los arts. 81 LSV y 132 LPC, determinado por la doctrina legal vinculante establecida por el Tribunal Supremo en las citadas Sentencias en interés de ley, resulte contrario ni a la doctrina constitucional que se invoca en el Auto de planteamiento de la cuestión, ni, en consecuencia, al art. 123.1 CE, por las razones que seguidamente se expresan.</w:t>
      </w:r>
    </w:p>
    <w:p w:rsidR="00D06117" w:rsidRDefault="00D06117" w:rsidP="00D06117">
      <w:pPr>
        <w:pStyle w:val="TextoNormal"/>
      </w:pPr>
    </w:p>
    <w:p w:rsidR="00D06117" w:rsidRDefault="00D06117" w:rsidP="00D06117">
      <w:pPr>
        <w:pStyle w:val="TextoNormal"/>
      </w:pPr>
      <w:r w:rsidRPr="00D06117">
        <w:rPr>
          <w:rStyle w:val="NumeroAFNegritaCaracter"/>
        </w:rPr>
        <w:t>10</w:t>
      </w:r>
      <w:r>
        <w:t xml:space="preserve">. En primer lugar, por lo que se refiere a la doctrina constitucional sobre el silencio administrativo, este Tribunal tiene reiteradamente declarado que la figura del silencio es una mera “ficción legal, que responde a la finalidad de que el administrado pueda, previos los recursos pertinentes, llegar a la vía judicial superando los efectos de la inactividad de la Administración”, de manera que en estos casos “no puede calificarse de razonable aquella interpretación que prima la inactividad de la Administración, colocándola en mejor situación que aquella en la cual se habría encontrado si hubiera cumplido su obligación de resolver” expresamente y hubiese efectuado la notificación procedente observando todos los requisitos legales (SSTC 6/1986, de 21 de enero, FJ 3; 204/1987, FJ 4; 188/2003, FJ 6; </w:t>
      </w:r>
      <w:r>
        <w:lastRenderedPageBreak/>
        <w:t>220/2003, FJ 5; 14/2006, FJ 2; y 40/2007, FJ 2, entre otras muchas). Por ello, este Tribunal concluye que resultan contrarios al art. 24.1 CE los pronunciamientos judiciales de inadmisión de recursos contencioso-administrativos por extemporaneidad (por no haber impugnado judicialmente en su día la desestimación presunta del recurso administrativo) fundamentados en considerar la existencia de una resolución administrativa expresa dictada fuera de plazo sólo como un acto confirmatorio de lo ya resuelto de manera consentida y firme por silencio, en tanto que supone una interpretación irrazonable y contraria al principio pro actione deducir del comportamiento pasivo de quien recurre, derivado de la propia inactividad de la Administración, un consentimiento con el contenido de un acto administrativo que fue impugnado.</w:t>
      </w:r>
    </w:p>
    <w:p w:rsidR="00D06117" w:rsidRDefault="00D06117" w:rsidP="00D06117">
      <w:pPr>
        <w:pStyle w:val="TextoNormal"/>
      </w:pPr>
    </w:p>
    <w:p w:rsidR="00D06117" w:rsidRDefault="00D06117" w:rsidP="00D06117">
      <w:pPr>
        <w:pStyle w:val="TextoNormal"/>
      </w:pPr>
      <w:r>
        <w:t>La Sala de lo Contencioso-Administrativo del Tribunal Supremo establece en sus Sentencias en interés de la ley de 15 de diciembre de 2004 y 22 de septiembre de 2008 —con carácter vinculante ex art. 100.7 LJCA— que “el límite para el ejercicio de la potestad sancionadora, y para la prescripción de las infracciones, concluye con la resolución sancionadora y su consiguiente notificación, sin poder extender la misma a la vía de recurso” (Sentencia de 15 de diciembre de 2004), toda vez que en la posterior vía del recurso de alzada se ejercita por la Administración una potestad administrativa distinta, cual es la relativa a la revisión de la previa actuación administrativa, orientada a verificar si el órgano inferior se ajustó a Derecho en el ejercicio de la potestad sancionadora. En consecuencia, la interposición del recurso de alzada da lugar a un distinto procedimiento administrativo, con sustantividad propia y, en consecuencia, la demora en la resolución expresa del recurso de alzada contra una resolución sancionadora no produce la prescripción de la infracción (ya sancionada), ni tampoco supone “que la sanción gane firmeza ni que se convierta en ejecutiva, de modo que no puede iniciarse el cómputo del plazo de prescripción de la sanción” (Sentencia de 22 de septiembre de 2008) sino que únicamente da lugar a la ficción del silencio negativo o desestimatorio, que permite la impugnación en vía jurisdiccional del acto presunto, como expresamente se advierte en las referidas Sentencias.</w:t>
      </w:r>
    </w:p>
    <w:p w:rsidR="00D06117" w:rsidRDefault="00D06117" w:rsidP="00D06117">
      <w:pPr>
        <w:pStyle w:val="TextoNormal"/>
      </w:pPr>
    </w:p>
    <w:p w:rsidR="00D06117" w:rsidRDefault="00D06117" w:rsidP="00D06117">
      <w:pPr>
        <w:pStyle w:val="TextoNormal"/>
      </w:pPr>
      <w:r>
        <w:t>Pues bien, la doctrina legal sentada por el Tribunal Supremo en las citadas Sentencias, que determina el contenido normativo de los arts. 81 LSV y 132 LPC para los órganos judiciales inferiores en grado del orden contencioso-administrativo, y por lo tanto los preceptos mismos, no contradice la referida doctrina constitucional sobre el silencio administrativo, configurado, según acabamos de recordar, como una ficción legal que responde a la finalidad de que el ciudadano pueda acceder a la vía judicial superando los efectos de la inactividad de la Administración. Si la Administración incumple su obligación legal de resolver expresamente (y notificar su resolución) el recurso de alzada contra una resolución sancionadora dentro del plazo legalmente establecido, el interesado podrá optar por acudir a la vía judicial contra esa desestimación presunta o esperar a que se dicte por la Administración resolución expresa, sin que pueda apreciarse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como recuerda el Abogado del Estado, inejecución que, sin duda alguna, no perjudica (más bien beneficia) al ciudadano que ha sido sancionado.</w:t>
      </w:r>
    </w:p>
    <w:p w:rsidR="00D06117" w:rsidRDefault="00D06117" w:rsidP="00D06117">
      <w:pPr>
        <w:pStyle w:val="TextoNormal"/>
      </w:pPr>
    </w:p>
    <w:p w:rsidR="00D06117" w:rsidRDefault="00D06117" w:rsidP="00D06117">
      <w:pPr>
        <w:pStyle w:val="TextoNormal"/>
      </w:pPr>
      <w:r>
        <w:t xml:space="preserve">Por otra parte, conviene advertir que de la doctrina constitucional sobre el silencio administrativo no se desprende, frente a lo que parece entender el órgano judicial promotor de la </w:t>
      </w:r>
      <w:r>
        <w:lastRenderedPageBreak/>
        <w:t>presente cuestión, que la demora en la resolución expresa de un recurso de alzada en materia sancionadora deba producir necesariamente la prescripción de la sanción.</w:t>
      </w:r>
    </w:p>
    <w:p w:rsidR="00D06117" w:rsidRDefault="00D06117" w:rsidP="00D06117">
      <w:pPr>
        <w:pStyle w:val="TextoNormal"/>
      </w:pPr>
    </w:p>
    <w:p w:rsidR="00D06117" w:rsidRDefault="00D06117" w:rsidP="00D06117">
      <w:pPr>
        <w:pStyle w:val="TextoNormal"/>
      </w:pPr>
      <w:r>
        <w:t>Es notorio que, conforme a reiterada doctrina de este Tribunal, la interpretación de las normas sobre prescripción o caducidad es, en principio y con las salvedades que esa misma doctrina señala (que no atañen al presente asunto), una cuestión de legalidad ordinaria, es decir, de la exclusiva competencia de los Jueces y Tribunales de Justicia y que carece, por su propio contenido, de relevancia constitucional (por todas, SSTC 27/1984, de 24 de febrero, FJ 1; 89/1992, de 8 de junio, FJ 3; 220/1993, de 30 de junio, FJ 2; 160/1997, de 2 de octubre, FFJJ 3 y 5; 274/2006, de 25 de septiembre, FJ 2; 172/2007, de 23 de julio de 2007, FJ 2; y 194/2009, de 28 de septiembre, FJ 1), siendo igualmente oportuno señalar que la doctrina constitucional sentada en materia de prescripción penal a partir de la STC 63/2005, de 14 de marzo, que se cita en el Auto de planteamiento de la cuestión (doctrina que no considera razonable ex arts. 24.1 y 25.1 CE una interpretación de las normas penales que deje en manos de los denunciantes o querellantes la interrupción de la prescripción de los delitos y faltas), no desvirtúa la anterior (como lo corroboran, entre otras, las SSTC 79/2008, de 14 de julio, FJ 2; y 195/2009, de 28 de septiembre, FJ 2), ni concierne al problema resuelto por la Sala de lo Contencioso-Administrativo del Tribunal Supremo en sus Sentencias de 15 de diciembre de 2004 y 22 de septiembre de 2008, pues, como también señala el Abogado del Estado, ni la potestad sancionadora de la Administración puede constituir una amenaza para la libertad personal (art. 25.3 CE), ni la doctrina legal que se contiene en las referidas Sentencias en interés de ley —de la que antes hemos dejado sucinta constancia— guarda relación alguna con dejar la interrupción de la prescripción de la infracción en manos de denunciantes o querellantes, desconociendo la configuración de la prescripción penal como renuncia o autolimitación del Estado al ius puniendi por el transcurso del tiempo.</w:t>
      </w:r>
    </w:p>
    <w:p w:rsidR="00D06117" w:rsidRDefault="00D06117" w:rsidP="00D06117">
      <w:pPr>
        <w:pStyle w:val="TextoNormal"/>
      </w:pPr>
    </w:p>
    <w:p w:rsidR="00D06117" w:rsidRDefault="00D06117" w:rsidP="00D06117">
      <w:pPr>
        <w:pStyle w:val="TextoNormal"/>
      </w:pPr>
      <w:r>
        <w:t>En razón de lo que acaba de decirse, es claro que el supuesto abordado en la STC 63/2005, de 14 de marzo (y siguientes que reiteran su doctrina), es ajeno por completo al supuesto que en el presente caso se plantea y que, por ello, la doctrina legal sentada con carácter vinculante por la Sala de lo Contencioso-Administrativo del Tribunal Supremo en las Sentencias en interés de ley que estamos examinando no se opone en modo alguno de la doctrina establecida por el Tribunal Constitucional en aquella Sentencia.</w:t>
      </w:r>
    </w:p>
    <w:p w:rsidR="00D06117" w:rsidRDefault="00D06117" w:rsidP="00D06117">
      <w:pPr>
        <w:pStyle w:val="TextoNormal"/>
      </w:pPr>
    </w:p>
    <w:p w:rsidR="00D06117" w:rsidRDefault="00D06117" w:rsidP="00D06117">
      <w:pPr>
        <w:pStyle w:val="TextoNormal"/>
      </w:pPr>
      <w:r w:rsidRPr="00D06117">
        <w:rPr>
          <w:rStyle w:val="NumeroAFNegritaCaracter"/>
        </w:rPr>
        <w:t>11</w:t>
      </w:r>
      <w:r>
        <w:t>. En segundo lugar y por último, ha de excluirse asimismo que la doctrina legal establecida por la Sala de lo Contencioso-Administrativo del Tribunal Supremo en la citada Sentencia en interés de ley de 22 de septiembre de 2008, que determina el contenido normativo de los preceptos cuestionados, contradiga la doctrina sentada por el Tribunal Constitucional en la STC 243/2006, de 24 de julio.</w:t>
      </w:r>
    </w:p>
    <w:p w:rsidR="00D06117" w:rsidRDefault="00D06117" w:rsidP="00D06117">
      <w:pPr>
        <w:pStyle w:val="TextoNormal"/>
      </w:pPr>
    </w:p>
    <w:p w:rsidR="00D06117" w:rsidRDefault="00D06117" w:rsidP="00D06117">
      <w:pPr>
        <w:pStyle w:val="TextoNormal"/>
      </w:pPr>
      <w:r>
        <w:t xml:space="preserve">En la STC 243/2006 consideramos lesiva del derecho a la tutela judicial efectiva (art. 24.1 CE), por irrazonable, una interpretación judicial según la cual el mero transcurso de los plazos legalmente establecidos para entender desestimado por silencio administrativo un recurso de alzada contra una resolución sancionadora (tres meses, conforme al art. 115.2 LPC) y para recurrir en vía contencioso-administrativa frente a esa desestimación presunta (seis meses, conforme al art. 46.1 LJCA), determinan per se la firmeza de la sanción en vía administrativa, permitiendo así su inmediata ejecución. Se razona, en efecto, en la STC 243/2006, FJ 5, que las previsiones legales al respecto, “en especial las que determinan que </w:t>
      </w:r>
      <w:r>
        <w:lastRenderedPageBreak/>
        <w:t>el recurso de alzada contra actos expresos ha de ser resuelto en todo caso, aun extemporáneamente, y sin vinculación alguna al sentido desestimatorio que el recurrente puede atribuir al silencio de la Administración a fin de acudir a los Tribunales, excluyen que la resolución objeto de un recurso de alzada pueda alcanzar firmeza hasta que no se desestime éste expresa y totalmente, pues hasta ese momento la Administración puede decidir cuantas cuestiones plantee el recurso, tanto de forma como de fondo, de modo congruente con las peticiones formuladas por el recurrente (art. 113.3 LPC). El deber de la Administración de resolver el recurso y su potestad de hacerlo en sentido estimatorio, revocando o anulando totalmente la resolución impugnada en alzada, resultan incompatibles con la atribución a ésta de la nota de firmeza antes de la resolución expresa de aquél y esa incompatibilidad, que se inicia con la interposición temporánea del recurso, subsiste en tanto no se produzca esa resolución expresa, con independencia de que ello tenga lugar dentro del plazo legal concedido a la Administración o una vez expirado éste. … Tampoco el transcurso del plazo establecido en el art. 46.1 LJCA para interponer el recurso contencioso-administrativo contra actos presuntos sin hacer uso del mismo permite lógicamente atribuir firmeza a la resolución administrativa combatida en el recurso de alzada no resuelto.”</w:t>
      </w:r>
    </w:p>
    <w:p w:rsidR="00D06117" w:rsidRDefault="00D06117" w:rsidP="00D06117">
      <w:pPr>
        <w:pStyle w:val="TextoNormal"/>
      </w:pPr>
    </w:p>
    <w:p w:rsidR="00D06117" w:rsidRDefault="00D06117" w:rsidP="00D06117">
      <w:pPr>
        <w:pStyle w:val="TextoNormal"/>
      </w:pPr>
      <w:r>
        <w:t>Ninguna contradicción se advierte entre la doctrina que se contiene en la citada STC 243/2006 y la doctrina legal sentada por el Tribunal Supremo en su Sentencia en interés de la ley de 22 de septiembre de 2008, que determina el contenido normativo de los arts. 81 LSV y 132 LPC para los órganos judiciales inferiores en grado del orden contencioso-administrativo, por cuanto, como ya se dijo, en la misma se parte expresamente de la premisa de que la demora en la resolución del recurso de alzada en ningún caso determina la firmeza ni, por tanto, la ejecutividad de la resolución administrativa sancionadora, sino que únicamente habilita al interesado para interponer recurso contencioso-administrativo contra la desestimación presunta de su recurso de alzada. En consecuencia, como señalan con acierto el Abogado del Estado y el Fiscal General del Estado en sus alegaciones, el Tribunal Supremo, al dictar la doctrina legal que se contiene en su Sentencia de 22 de septiembre de 2008, no ha hecho otra cosa que seguir la doctrina establecida en la STC 243/2006 sobre la firmeza y ejecutividad de la resolución sancionadora pendiente de resolución expresa del recurso de alzada, a los efectos de la prescripción de las sanciones.</w:t>
      </w:r>
    </w:p>
    <w:p w:rsidR="00D06117" w:rsidRDefault="00D06117" w:rsidP="00D06117">
      <w:pPr>
        <w:pStyle w:val="TextoNormal"/>
      </w:pPr>
    </w:p>
    <w:p w:rsidR="00D06117" w:rsidRDefault="00D06117" w:rsidP="00D06117">
      <w:pPr>
        <w:pStyle w:val="TextoNormal"/>
      </w:pPr>
      <w:r w:rsidRPr="00D06117">
        <w:rPr>
          <w:rStyle w:val="NumeroAFNegritaCaracter"/>
        </w:rPr>
        <w:t>12</w:t>
      </w:r>
      <w:r>
        <w:t>. En definitiva, habiendo quedado descartado, por las razones que anteriormente quedaron expuestas, que el art. 100.7 LJCA incurra en infracción del principio de independencia judicial (art. 117.1 CE), debe igualmente concluirse que tampoco existe la pretendida quiebra del art. 123.1 CE que se aduce de manera principal por el Juzgado promotor de la cuestión de inconstitucionalidad, pues la doctrina legal sentada en las citadas Sentencias en interés de la ley por la Sala de lo Contencioso-Administrativo del Tribunal Supremo, que establece para los órganos judiciales inferiores en grado de dicha jurisdicción el contenido normativo de los arts. 81 LSV y 132 LPC, no contradice la doctrina establecida por el Tribunal Constitucional, en su calidad de órgano jurisdiccional superior en materia de garantías constitucionales e intérprete supremo de la Constitución (art. 123.1 CE y art. 1.1 LOTC), en los aspectos a los que se refiere el Auto de planteamiento de la cuestión.</w:t>
      </w:r>
    </w:p>
    <w:p w:rsidR="00D06117" w:rsidRDefault="00D06117" w:rsidP="00D06117">
      <w:pPr>
        <w:pStyle w:val="TextoNormal"/>
      </w:pPr>
    </w:p>
    <w:p w:rsidR="00D06117" w:rsidRDefault="00D06117" w:rsidP="00D06117">
      <w:pPr>
        <w:pStyle w:val="TextoNormal"/>
      </w:pPr>
      <w:r>
        <w:t xml:space="preserve">Por lo demás, no corresponde al Tribunal Constitucional determinar cuál sea la interpretación preferible cuando son posibles —dentro de la Constitución— distintas interpretaciones judiciales de la legalidad ordinaria, y entre ellas pueda identificarse alguna que acaso </w:t>
      </w:r>
      <w:r>
        <w:lastRenderedPageBreak/>
        <w:t>hubiera respondido más plenamente a los valores incorporados a los derechos fundamentales u otros preceptos constitucionales, pues una cosa es la garantía de los derechos fundamentales, tal y como le está encomendada a este Tribunal, y otra, muy distinta, la de la máxima irradiación de los contenidos constitucionales en todos y cada uno de los supuestos de la interpretación de la legalidad (por todas, SSTC 77/2002, de 8 de abril, FJ 3; 211/2002, de 11 de noviembre, FJ 2; 103/2003, de 2 de junio, FJ 3; 45/2004, de 23 de marzo, FJ 4; y 65/2011, de 16 de mayo, FJ 2).</w:t>
      </w:r>
    </w:p>
    <w:p w:rsidR="00D06117" w:rsidRDefault="00D06117" w:rsidP="00D06117">
      <w:pPr>
        <w:pStyle w:val="TextoNormal"/>
      </w:pPr>
    </w:p>
    <w:p w:rsidR="00D06117" w:rsidRDefault="00D06117" w:rsidP="00D06117">
      <w:pPr>
        <w:pStyle w:val="TextoNormal"/>
      </w:pPr>
      <w:r>
        <w:t>No es ocioso señalar, en este sentido, que el propio Tribunal Supremo, de manera prudencial, advierte expresamente en su Sentencia en interés de la ley de 22 de septiembre de 2008 (fundamento de Derecho quinto) que de la conjunción de la doctrina legal sentada en esta sentencia con la formulada en la anterior Sentencia en interés de la ley de 15 de diciembre de 2004 pudieran derivarse “consecuencias indeseables, como sería la pervivencia indefinida de una resolución sancionadora que estuviese pendiente de recurso de alzada y de la que no pudiere predicarse la prescripción de la infracción ni de la sanción”. Para conjurar este riesgo, el Tribunal Supremo continúa advirtiendo que “no se descarta por ello que la cuestión abordada en la sentencia de 15 de diciembre de 2004 pueda ser objeto de un nuevo examen cuando haya ocasión para ello, pero no es ahora momento de hacerlo, pues en el caso que nos ocupa ningún debate se ha suscitado en torno a la prescripción de la infracción y sí únicamente en lo que se refiere a la sanción”, que es justamente lo que ocurre en el proceso a quo del que trae causa la presente cuestión.</w:t>
      </w:r>
    </w:p>
    <w:p w:rsidR="00D06117" w:rsidRDefault="00D06117" w:rsidP="00D06117">
      <w:pPr>
        <w:pStyle w:val="TextoNormal"/>
      </w:pPr>
    </w:p>
    <w:p w:rsidR="00D06117" w:rsidRDefault="00D06117" w:rsidP="00D06117">
      <w:pPr>
        <w:pStyle w:val="TextoNormal"/>
      </w:pPr>
      <w:r>
        <w:t>Pues bien, esta precaución del Tribunal Supremo, en lugar de debilitar la legitimidad constitucional de la doctrina legal sentada en la referida Sentencia en interés de ley, la refuerza, toda vez que deja abierta la puerta a sucesivas reconsideraciones cuando el caso así lo precisare. La pertinencia de aplicar la doctrina del Tribunal Constitucional a la que acabamos de aludir en el párrafo anterior, referida a que no puede ser pretensión nuestra la de exigir la mejor solución o la más justa, de entre las posibles, cuando hay otras que, aún sin llegar a esos extremos, no obstante son constitucionalmente suficientes, resulta, a la vista de la aludida precaución del Tribunal Supremo, especialmente apropiada.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Cádiz, a diecinueve de marzo de dos mil doce.</w:t>
      </w:r>
    </w:p>
    <w:p w:rsidR="00D06117" w:rsidRDefault="00D06117" w:rsidP="00D06117">
      <w:pPr>
        <w:pStyle w:val="ParrafoNormal"/>
      </w:pPr>
    </w:p>
    <w:p w:rsidR="00D06117" w:rsidRDefault="00D06117" w:rsidP="00D06117">
      <w:pPr>
        <w:pStyle w:val="TextoNormalNegritaCentrado"/>
        <w:keepNext/>
      </w:pPr>
      <w:r>
        <w:lastRenderedPageBreak/>
        <w:t>Voto particular que formula el Magistrado don Eugeni Gay Montalvo respecto de la Sentencia dictada en la cuestión de inconstitucionalidad núm. 9689-2009.</w:t>
      </w:r>
    </w:p>
    <w:p w:rsidR="00D06117" w:rsidRDefault="00D06117" w:rsidP="00D06117">
      <w:pPr>
        <w:pStyle w:val="TextoNormalNegritaCentrado"/>
        <w:keepNext/>
      </w:pPr>
    </w:p>
    <w:p w:rsidR="00D06117" w:rsidRDefault="00D06117" w:rsidP="00D06117">
      <w:pPr>
        <w:pStyle w:val="TextoNormal"/>
      </w:pPr>
      <w:r>
        <w:t>En el Oratorio de San Felipe Neri de la ciudad de Cádiz, en el día en que se conmemora el bicentenario de la Constitución Española de 1812, y en relación con la Sentencia que hemos pronunciado en la cuestión de inconstitucionalidad núm. 9689-2009, debo indicar que con profundo respeto a la decisión mayoritaria, pero para ser coherente con la posición que he mantenido a lo largo de las deliberaciones mantenidas en el Pleno, y en ejercicio de la facultad establecida en el art. 90.2 LOTC, formulo Voto particular discrepante en los términos que paso a exponer:</w:t>
      </w:r>
    </w:p>
    <w:p w:rsidR="00D06117" w:rsidRDefault="00D06117" w:rsidP="00D06117">
      <w:pPr>
        <w:pStyle w:val="TextoNormal"/>
      </w:pPr>
    </w:p>
    <w:p w:rsidR="00D06117" w:rsidRDefault="00D06117" w:rsidP="00D06117">
      <w:pPr>
        <w:pStyle w:val="TextoNormal"/>
      </w:pPr>
      <w:r>
        <w:t>1. Como digo, el punto de vista que aquí vengo a manifestar parte del mayor de los respetos por el criterio expresado por la mayoría en esta Sentencia y en general por el que guía el voto de los Magistrados de este Alto Tribunal en todas y cada una de las resoluciones que se dictan, con el convencimiento de que este respeto y consideración institucional, que vincula al Tribunal Constitucional tanto ad intra como ad extra; pero que, a su vez, merece de parte de todos los órganos del Estado, es la necesaria e imprescindible garantía que asegura el correcto cumplimiento de su función de vigilar e imponer, en su caso, la observancia de la Constitución, aspecto que resulta central en la consolidación, diría incluso que en la supervivencia, de un determinado sistema jurídico-político, como ya atisbó certeramente el constituyente gaditano cuando en el título X de su magna obra, bajo la rúbrica “De la observancia de la constitución, y modo de proceder para hacer variaciones en ella”, dedicó sus primeros preceptos a configurar un mecanismo de defensa de la Constitución.</w:t>
      </w:r>
    </w:p>
    <w:p w:rsidR="00D06117" w:rsidRDefault="00D06117" w:rsidP="00D06117">
      <w:pPr>
        <w:pStyle w:val="TextoNormal"/>
      </w:pPr>
    </w:p>
    <w:p w:rsidR="00D06117" w:rsidRDefault="00D06117" w:rsidP="00D06117">
      <w:pPr>
        <w:pStyle w:val="TextoNormal"/>
      </w:pPr>
      <w:r>
        <w:t>Este respeto institucional se concreta precisamente en que el Tribunal Constitucional y el resto de los órganos del Estado han de desarrollar sus respectivas funciones dentro de los márgenes establecidos por la propia Constitución. En esta línea, al igual que el Alto Tribunal no puede perder de vista el amplio margen de apreciación que tiene el legislador democrático para optar por unas u otras soluciones, debe también evitar por todos los medios convertirse en una nueva instancia interpretativa de la legalidad ordinaria más allá de lo decidido por los jueces y tribunales en uso de su competencia exclusiva al efecto. De la misma manera tampoco el legislador o los jueces y tribunales pueden desconocer que la Constitución Española de 1978 somete su actuación a ciertos límites que, en ocasiones, les vinculan positivamente a realizar conductas completamente prefijadas por la Constitución y a hacerlo dentro de un plazo, y en otras les sujetan negativamente a no extralimitarse en sus funciones.</w:t>
      </w:r>
    </w:p>
    <w:p w:rsidR="00D06117" w:rsidRDefault="00D06117" w:rsidP="00D06117">
      <w:pPr>
        <w:pStyle w:val="TextoNormal"/>
      </w:pPr>
    </w:p>
    <w:p w:rsidR="00D06117" w:rsidRDefault="00D06117" w:rsidP="00D06117">
      <w:pPr>
        <w:pStyle w:val="TextoNormal"/>
      </w:pPr>
      <w:r>
        <w:t xml:space="preserve">En esta línea de razonamiento es oportuno recordar que una nota fundamental de la Constitución de 1978 es que, en su afán por ser efectivamente cumplida y por que sus preceptos desplieguen verdaderos efectos para los ciudadanos en su vida diaria, ha querido que los órganos judiciales ordinarios —los integrados en el Poder Judicial— tengan un papel protagonista en asegurar su carácter vinculante. Por ello les impone la obligación de aplicarla, lo que también supone reconocerles competencia para interpretarla. Ahora bien, también es forzoso reconocer que los órganos judiciales ordinarios, incluido el Tribunal Supremo como cúspide de la organización jurisdiccional, a pesar de ese destacado papel, no son el último intérprete en cuestiones constitucionales, condición que corresponde al Tribunal Constitucional, como se desprende claramente del art. 123.1 CE cuando dice que “[e]l Tribunal Supremo, con jurisdicción en toda España, es el órgano jurisdiccional superior en todos los </w:t>
      </w:r>
      <w:r>
        <w:lastRenderedPageBreak/>
        <w:t>órdenes, salvo lo dispuesto en materia de garantías constitucionales”. Este precepto, aunque es muy claro en su redacción, puede no ser pacífico en su aplicación, pues hay categorías jurídicas reguladas en la legislación ordinaria cuya aplicación al caso concreto exige tener presente principios constitucionales, de modo que ciertas lecturas pueden ser contrarias a éstos.</w:t>
      </w:r>
    </w:p>
    <w:p w:rsidR="00D06117" w:rsidRDefault="00D06117" w:rsidP="00D06117">
      <w:pPr>
        <w:pStyle w:val="TextoNormal"/>
      </w:pPr>
    </w:p>
    <w:p w:rsidR="00D06117" w:rsidRDefault="00D06117" w:rsidP="00D06117">
      <w:pPr>
        <w:pStyle w:val="TextoNormal"/>
      </w:pPr>
      <w:r>
        <w:t>En tal caso el Tribunal Constitucional ha de intervenir para garantizar que no se desconozca el principio constitucional implicado, aunque ello suponga proscribir una interpretación de la ley ordinaria o incluso imponer un solo sentido como constitucionalmente adecuado. Es también cierto, sin embargo, que el Tribunal Constitucional ha de usar prudentemente de esta facultad so pena de extralimitarse e invadir el ámbito propio de la jurisdicción ordinaria y del Tribunal Supremo.</w:t>
      </w:r>
    </w:p>
    <w:p w:rsidR="00D06117" w:rsidRDefault="00D06117" w:rsidP="00D06117">
      <w:pPr>
        <w:pStyle w:val="TextoNormal"/>
      </w:pPr>
    </w:p>
    <w:p w:rsidR="00D06117" w:rsidRDefault="00D06117" w:rsidP="00D06117">
      <w:pPr>
        <w:pStyle w:val="TextoNormal"/>
      </w:pPr>
      <w:r>
        <w:t>2. El Discurso Preliminar de la Constitución de 1812, redactado recogiendo el encargo de la Comisión de Constitución prestó especial atención al “importantísimo punto de la potestad judicial”. Así, allí se expuso que “para que la potestad de aplicar las leyes a los casos particulares no pueda convertirse jamás en instrumento de tiranía, se separan de tal modo las funciones de juez de cualquier otro acto de la autoridad soberana que nunca podrán ni las Cortes ni el Rey ejercerlas bajo ningún pretexto”. Esta idea se recoge expresamente en los arts. 242 y 243 de la Constitución de 1812, que son el pórtico de su largo título V rubricado “De los tribunales y de la administración de justicia en lo civil y en lo criminal”, a los que el art. 245 añade que “los Tribunales no podrán ejercer otras funciones que las de juzgar y hacer que se ejecute lo juzgado”.</w:t>
      </w:r>
    </w:p>
    <w:p w:rsidR="00D06117" w:rsidRDefault="00D06117" w:rsidP="00D06117">
      <w:pPr>
        <w:pStyle w:val="TextoNormal"/>
      </w:pPr>
    </w:p>
    <w:p w:rsidR="00D06117" w:rsidRDefault="00D06117" w:rsidP="00D06117">
      <w:pPr>
        <w:pStyle w:val="TextoNormal"/>
      </w:pPr>
      <w:r>
        <w:t>Estos son los mismos principios que consagra la Constitución de 1978 en su art. 117, que atribuye con exclusividad a los jueces y tribunales —a todos y no sólo al Tribunal Supremo— la facultad de juzgar y hacer ejecutar lo juzgado (no por tanto la de hacer normas que transciendan el caso que resuelven), facultad que han de desarrollar protegidos por la garantía de su independencia. Independencia que ha de entenderse, desde mi punto de vista, de un modo estricto; a saber, como una garantía de que el tribunal o juez, en tanto que miembro del Poder judicial, al ejercer la función de aplicar e interpretar el Derecho no queda sujeto a los intereses y las presiones del poder externo, sin que, por consiguiente, la independencia judicial guarde relación con la mayor o menor sujeción del órgano judicial a la jurisprudencia de los Tribunales superiores, como parece deducirse, en mi opinión equivocadamente, de la Sentencia de la que discrepo (FFJJ 6 y 7).</w:t>
      </w:r>
    </w:p>
    <w:p w:rsidR="00D06117" w:rsidRDefault="00D06117" w:rsidP="00D06117">
      <w:pPr>
        <w:pStyle w:val="TextoNormal"/>
      </w:pPr>
    </w:p>
    <w:p w:rsidR="00D06117" w:rsidRDefault="00D06117" w:rsidP="00D06117">
      <w:pPr>
        <w:pStyle w:val="TextoNormal"/>
      </w:pPr>
      <w:r>
        <w:t>También al igual que la Constitución de 1812, la actual prevé un Tribunal Supremo con idénticas funciones que entonces, “salvo lo dispuesto en materia de garantías constitucionales” que, como ya dijimos, ahora corresponde al Tribunal Constitucional.</w:t>
      </w:r>
    </w:p>
    <w:p w:rsidR="00D06117" w:rsidRDefault="00D06117" w:rsidP="00D06117">
      <w:pPr>
        <w:pStyle w:val="TextoNormal"/>
      </w:pPr>
    </w:p>
    <w:p w:rsidR="00D06117" w:rsidRDefault="00D06117" w:rsidP="00D06117">
      <w:pPr>
        <w:pStyle w:val="TextoNormal"/>
      </w:pPr>
      <w:r>
        <w:t xml:space="preserve">De acuerdo a estos planteamientos, que son los que informan el diseño constitucional del ejercicio de la potestad judicial, no descarto que, si así el legislador lo quiere configure, sin que ello suponga necesariamente vulnerar la independencia judicial constitucionalmente garantizada, algún supuesto en que el Tribunal Supremo en el ejercicio de su potestad jurisdiccional pueda fijar doctrina legal, en el sentido de que la interpretación que haga de las normas vincule al resto de órganos judiciales al resolver los casos particulares que sean de su competencia. Esta posibilidad, sin embargo, debe entenderse de un modo restrictivo porque la regla es que los Jueces y Tribunales ejerzan la potestad jurisdiccional en los asuntos </w:t>
      </w:r>
      <w:r>
        <w:lastRenderedPageBreak/>
        <w:t>de su competencia con completa independencia, solo siendo admisible su concreción cuando valores constitucionales dignos de protección exijan el sacrificio de esta garantía y éste resulte proporcionado. La vinculación preferente a la Constitución de los órganos judiciales implica que éstos nunca podrán ser privados del cauce de la cuestión de inconstitucionalidad ex art. 163 CE cuando consideren que un determinado precepto, conforme a la interpretación vinculante fijada como doctrina legal, sea contrario a la Constitución. Así lo dispone la propia Constitución como vía para que el Tribunal Constitucional sea su último garante.</w:t>
      </w:r>
    </w:p>
    <w:p w:rsidR="00D06117" w:rsidRDefault="00D06117" w:rsidP="00D06117">
      <w:pPr>
        <w:pStyle w:val="TextoNormal"/>
      </w:pPr>
    </w:p>
    <w:p w:rsidR="00D06117" w:rsidRDefault="00D06117" w:rsidP="00D06117">
      <w:pPr>
        <w:pStyle w:val="TextoNormal"/>
      </w:pPr>
      <w:r>
        <w:t>Ello no quiere decir, no obstante, que la jurisprudencia emanada de los órganos jurisdiccionales superiores, especialmente del Tribunal Supremo mediante el recurso de casación, no tengan un valor interpretativo que se encuentra ínsito en la unidad de jurisdicción y en la necesidad uniforme del Derecho, pero que es un valor distinto del de la vinculación ope legis mencionada en el párrafo anterior.</w:t>
      </w:r>
    </w:p>
    <w:p w:rsidR="00D06117" w:rsidRDefault="00D06117" w:rsidP="00D06117">
      <w:pPr>
        <w:pStyle w:val="TextoNormal"/>
      </w:pPr>
    </w:p>
    <w:p w:rsidR="00D06117" w:rsidRDefault="00D06117" w:rsidP="00D06117">
      <w:pPr>
        <w:pStyle w:val="TextoNormal"/>
      </w:pPr>
      <w:r>
        <w:t>3. Entrando ya en el fondo de la cuestión suscitada, comparto el criterio que lleva a la mayoría a rechazar la pretensión de inadmisibilidad formulada por el Abogado del Estado y correlativamente a delimitar el objeto del proceso como lo hace, pues en las cuestiones de inconstitucionalidad, como recientemente ha recordado la STC 20/2012, “nuestra labor de depuración del ordenamiento debe partir de la interpretación de la disposición legal que aporta el órgano judicial cuestionante, pues a él compete interpretar la ley (art. 117.3 CE) …; sólo si la norma, así interpretada, resultara inconstitucional habríamos de ‘explorar las posibilidades interpretativas del precepto cuestionado, por si hubiera alguna que permitiera salvar la primacía de la Constitución (SSTC 76/1996, de 30 de abril, FJ 5; 233/1999, de 16 de diciembre, FJ 18; 202/2003, de 17 de noviembre, FJ 6; 235/2007, de 7 de noviembre, FJ 7; 59/2008, de 14 de mayo, FJ 4)’.”</w:t>
      </w:r>
    </w:p>
    <w:p w:rsidR="00D06117" w:rsidRDefault="00D06117" w:rsidP="00D06117">
      <w:pPr>
        <w:pStyle w:val="TextoNormal"/>
      </w:pPr>
    </w:p>
    <w:p w:rsidR="00D06117" w:rsidRDefault="00D06117" w:rsidP="00D06117">
      <w:pPr>
        <w:pStyle w:val="TextoNormal"/>
      </w:pPr>
      <w:r>
        <w:t>Así lo que se plantea es si los arts. 81 LSV y 132 LPC, entendidos por el órgano cuestionante conforme a la doctrina legal fijada en las Sentencias del Tribunal Supremo de 15 de diciembre de 2004 (“El límite para el ejercicio de la potestad sancionadora, y para la prescripción de las infracciones, concluye con la resolución sancionadora y su consiguiente notificación, sin poder extender la misma a la vía de recurso”) y de 22 de septiembre de 2008 (“que interpuesto recurso de alzada contra una resolución sancionadora, el transcurso del plazo de tres meses para la resolución del mismo no supone que la sanción gane firmeza ni que se convierta en ejecutiva, de modo que no puede iniciarse el cómputo del plazo de prescripción de la sanción”), son contrarios, entre otros parámetros de constitucionalidad, al principio de seguridad jurídica ex 9.3 CE.</w:t>
      </w:r>
    </w:p>
    <w:p w:rsidR="00D06117" w:rsidRDefault="00D06117" w:rsidP="00D06117">
      <w:pPr>
        <w:pStyle w:val="TextoNormal"/>
      </w:pPr>
    </w:p>
    <w:p w:rsidR="00D06117" w:rsidRDefault="00D06117" w:rsidP="00D06117">
      <w:pPr>
        <w:pStyle w:val="TextoNormal"/>
      </w:pPr>
      <w:r>
        <w:t>4. No hay duda que, como dice la Sentencia de la mayoría, la seguridad jurídica ex 9.3 CE abraza como uno de sus contenidos —pero, desde ya, apunto que a mi juicio no es el único— la certeza sobre el ordenamiento jurídico aplicable, tanto en su vertiente objetiva —norma clara y no confusa— como en la subjetiva —previsibilidad de sus efectos—. Sin embargo discrepo radicalmente de la aplicación que hace al caso concreto.</w:t>
      </w:r>
    </w:p>
    <w:p w:rsidR="00D06117" w:rsidRDefault="00D06117" w:rsidP="00D06117">
      <w:pPr>
        <w:pStyle w:val="TextoNormal"/>
      </w:pPr>
    </w:p>
    <w:p w:rsidR="00D06117" w:rsidRDefault="00D06117" w:rsidP="00D06117">
      <w:pPr>
        <w:pStyle w:val="TextoNormal"/>
      </w:pPr>
      <w:r>
        <w:t xml:space="preserve">La mayoría sostiene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w:t>
      </w:r>
      <w:r>
        <w:lastRenderedPageBreak/>
        <w:t>cualquier sombra de incertidumbre acerca de su contenido y alcance en cuanto a la fijación del dies a quo del cómputo del plazo de prescripción de las infracciones y sanciones administrativas”. A mi juicio, es patente que, aunque el enunciado del mandato sea claro, los efectos sobre el momento exacto en que empieza a contar el plazo de prescripción son completamente imprevisibles para el administrado, pues ese instante depende absolutamente de la voluntad de la Administración sancionadora, voluntad que no está determinada por ningún elemento objetivo.</w:t>
      </w:r>
    </w:p>
    <w:p w:rsidR="00D06117" w:rsidRDefault="00D06117" w:rsidP="00D06117">
      <w:pPr>
        <w:pStyle w:val="TextoNormal"/>
      </w:pPr>
    </w:p>
    <w:p w:rsidR="00D06117" w:rsidRDefault="00D06117" w:rsidP="00D06117">
      <w:pPr>
        <w:pStyle w:val="TextoNormal"/>
      </w:pPr>
      <w:r>
        <w:t>En efecto, dado que, como se desprende de la doctrina que sentamos en la STC 243/2006, de 24 de julio, FJ 5, precisamente en el contexto de un recurso de alzada frente a la imposición de una sanción, la Administración está obligada a resolver expresamente el recurso de alzada incluso más allá del plazo máximo establecido legalmente para resolver y notificar. Correlativamente el particular tiene derecho a esperar esa respuesta en la confianza, al menos hipotética, de ver reconocidas sus pretensiones. Así pues el corolario será necesariamente que el dies a quo de la prescripción de la sanción, que coincidirá con el momento en que la Administración decida el recurso de alzada, estará enteramente en función de la voluntad de ésta, determinada legalmente en el an, pero no en el quando. En resumen, los arts. 81 LSV y 132 LPC, entendidos en la interpretación seleccionada por el órgano cuestionante, serían contrarios al principio de seguridad jurídica, al que sirve, precisamente, el instituto de la prescripción y al que salvaguarda el art. 9.3 CE, pues confían la efectividad de aquélla —de la prescripción, se entiende— a la mera voluntad de una de las partes en la relación.</w:t>
      </w:r>
    </w:p>
    <w:p w:rsidR="00D06117" w:rsidRDefault="00D06117" w:rsidP="00D06117">
      <w:pPr>
        <w:pStyle w:val="TextoNormal"/>
      </w:pPr>
    </w:p>
    <w:p w:rsidR="00D06117" w:rsidRDefault="00D06117" w:rsidP="00D06117">
      <w:pPr>
        <w:pStyle w:val="TextoNormal"/>
      </w:pPr>
      <w:r>
        <w:t>5. Una segunda discrepancia con la mayoría se debe a que, en mi opinión, el principio constitucional de seguridad jurídica (art. 9.3 CE), cuando se trata de disciplinar el ejercicio del ius puniendi, y en este caso la regulación de la prescripción de las infracciones y sanciones administrativas, impone al legislador que las normas que dicte, además de cumplir con la exigencia de certeza, respeten una serie de principios y valores constitucionales en los que no tiene cabida que una persona respecto de una coyuntura concreta quede sujeta sine die a la potestad sancionadora del Estado. La seguridad jurídica, en tanto comprende esos valores, implica que el transcurso del tiempo determine la firmeza de esas situaciones jurídicas, impidiendo mediante la prescripción —institución de larga tradición histórica y generalmente aceptada por la jurisprudencia ordinaria y constitucional— que sigan vivas más allá de cierto horizonte temporal y, en consecuencia, proscribe a los poderes públicos que, al privar a aquélla de toda virtualidad, hagan que el transcurso del tiempo, aun cuando éste sea desorbitado, carezca de toda influencia sobre la sujeción de las personas al ius puniendi del Estado.</w:t>
      </w:r>
    </w:p>
    <w:p w:rsidR="00D06117" w:rsidRDefault="00D06117" w:rsidP="00D06117">
      <w:pPr>
        <w:pStyle w:val="TextoNormal"/>
      </w:pPr>
    </w:p>
    <w:p w:rsidR="00D06117" w:rsidRDefault="00D06117" w:rsidP="00D06117">
      <w:pPr>
        <w:pStyle w:val="TextoNormal"/>
      </w:pPr>
      <w:r>
        <w:t xml:space="preserve">Basta con recordar, al efecto, la STC 63/2005, de 14 de marzo, que sitúa expresamente “el fundamento material de la prescripción [en el] principio de seguridad jurídica” (FJ 5 in fine). Más pormenorizadamente, la doctrina de esa Sentencia, refiriéndose al fundamento o razón de ser de la prescripción de los delitos, sienta que “dejando de lado otras explicaciones más complejas, salta a la vista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(FJ 4); y un poco más adelante, que “el establecimiento de un plazo de prescripción de los delitos y faltas no obedece a una voluntad de limitar temporalmente el ejercicio de la acción penal por denunciantes y querellantes (configuración procesal de la prescripción), </w:t>
      </w:r>
      <w:r>
        <w:lastRenderedPageBreak/>
        <w:t>sino a la voluntad inequívocamente expresada por el legislador penal de limitar temporalmente el ejercicio del ius puniendi por parte del Estado” (FJ 6).</w:t>
      </w:r>
    </w:p>
    <w:p w:rsidR="00D06117" w:rsidRDefault="00D06117" w:rsidP="00D06117">
      <w:pPr>
        <w:pStyle w:val="TextoNormal"/>
      </w:pPr>
    </w:p>
    <w:p w:rsidR="00D06117" w:rsidRDefault="00D06117" w:rsidP="00D06117">
      <w:pPr>
        <w:pStyle w:val="TextoNormal"/>
      </w:pPr>
      <w:r>
        <w:t>La doctrina reseñada, enunciada en relación con la prescripción de los delitos, es extensible a la prescripción de las sanciones administrativas, pues es indiscutible que el ius puniendi del Estado se proyecta igualmente en la ejecución de las penas y también lo es que, desde la temprana STC 18/1981, 8 de junio, este Alto Tribunal ha reiterado que “los principios inspiradores del orden penal son de aplicación, con ciertos matices, al Derecho administrativo sancionador, dado que ambos son manifestaciones del ordenamiento punitivo del Estado” (FJ 2). Además, carecería de sentido negar a los ilícitos administrativos la significación material que atribuye a la prescripción penal la citada STC 63/2005, y que le reconoce desde antiguo la jurisdicción ordinaria, pues de ese modo las conductas que representan una mayor gravedad y peligrosidad, así como un mayor reproche social, cual sucede en las constitutivas de una infracción penal, se verían favorecidas con dicha causa de extinción de su responsabilidad, mientras que aquellas otras de naturaleza administrativa no logran el expresado beneficio legal.</w:t>
      </w:r>
    </w:p>
    <w:p w:rsidR="00D06117" w:rsidRDefault="00D06117" w:rsidP="00D06117">
      <w:pPr>
        <w:pStyle w:val="TextoNormal"/>
      </w:pPr>
    </w:p>
    <w:p w:rsidR="00D06117" w:rsidRDefault="00D06117" w:rsidP="00D06117">
      <w:pPr>
        <w:pStyle w:val="TextoNormal"/>
      </w:pPr>
      <w:r>
        <w:t>Pues bien, los arts. 81 LSV y 132 LPC, entendidos en la interpretación escogida por el órgano cuestionante, serían contrarios a esta segunda dimensión del principio constitucional de seguridad jurídica (art. 9.3 CE), pues supondrían que la pasividad de la Administración en resolver el recurso de alzada, por muy duradera que fuera, no produciría la prescripción de las sanciones. El administrado quedaría en una permanente situación de inseguridad jurídica porque siempre —sine die, durante decenas de años hipotéticamente— conviviría con la posibilidad de que la sanción deviniese firme y se ejecutara, incluso cuando por ese transcurso del tiempo la finalidad que persigue el ius puniendi hubiera decaído por las razones que manifestó la STC 63/2005 más arriba reseñada. La vulneración constitucional es particularmente grave porque, como resulta evidente, los preceptos cuestionados, así leídos, admiten supuestos en que una institución jurídica del arraigo de la prescripción de las sanciones administrativas queda enteramente eliminada.</w:t>
      </w:r>
    </w:p>
    <w:p w:rsidR="00D06117" w:rsidRDefault="00D06117" w:rsidP="00D06117">
      <w:pPr>
        <w:pStyle w:val="TextoNormal"/>
      </w:pPr>
    </w:p>
    <w:p w:rsidR="00D06117" w:rsidRDefault="00D06117" w:rsidP="00D06117">
      <w:pPr>
        <w:pStyle w:val="TextoNormal"/>
      </w:pPr>
      <w:r>
        <w:t>6. De otro lado, la Sentencia de la que me separo sugiere en su fundamento jurídico 10 que la inaceptable situación de incertidumbre para el administrado que he referido en los dos apartados anteriores de este Voto “no perjudica (más bien beneficia) al ciudadano que ha sido sancionado”, pues mientras ella dure se mantiene el efecto de inejecutividad de la sanción y siempre puede ponerle fin acudiendo a la vía judicial contra la desestimación presunta. No puedo estar más lejos de esta concepción. Considero que la mayoría pierde de vista el dato esencial de que nos encontramos inmersos en un procedimiento sancionador, como lo acredita que el deber de la Administración de resolver el recurso y su potestad de hacerlo en sentido estimatorio justifican la expectativa del administrado de ver revocada o anulada totalmente la resolución impugnada en alzada, lo que supone que, en virtud de la aplicación de los principios inspiradores del orden penal al Derecho administrativo sancionador aludida en el punto anterior de este Voto, el administrado puede hacer valer todas las dimensiones que integran el derecho de defensa ex art. 24.2 CE, entre ellas dejar transcurrir el tiempo en la expectativa de que éste produzca el efecto extintivo propio de la prescripción.</w:t>
      </w:r>
    </w:p>
    <w:p w:rsidR="00D06117" w:rsidRDefault="00D06117" w:rsidP="00D06117">
      <w:pPr>
        <w:pStyle w:val="TextoNormal"/>
      </w:pPr>
    </w:p>
    <w:p w:rsidR="00D06117" w:rsidRDefault="00D06117" w:rsidP="00D06117">
      <w:pPr>
        <w:pStyle w:val="TextoNormal"/>
      </w:pPr>
      <w:r>
        <w:t xml:space="preserve">7. En fin, la mayoría, en el fundamento jurídico 12, aunque califica de precaución el hecho de que el Tribunal Supremo deje la puerta abierta a cambiar la doctrina legal fijada en su Sentencia de 15 de diciembre de 2004, respalda la vinculación de los jueces ordinarios </w:t>
      </w:r>
      <w:r>
        <w:lastRenderedPageBreak/>
        <w:t>inferiores a la doctrina legal fijada por el Tribunal Supremo en los recursos de casación en interés de ley, lo que en la práctica elimina las posibilidades de que el propio Tribunal Supremo llegue a tener ante sí planteado un pleito que le permita alterar dicha doctrina legal precisamente por esa sujeción ope legis.</w:t>
      </w:r>
    </w:p>
    <w:p w:rsidR="00D06117" w:rsidRDefault="00D06117" w:rsidP="00D06117">
      <w:pPr>
        <w:pStyle w:val="TextoNormal"/>
      </w:pPr>
    </w:p>
    <w:p w:rsidR="00D06117" w:rsidRDefault="00D06117" w:rsidP="00D06117">
      <w:pPr>
        <w:pStyle w:val="TextoNormal"/>
      </w:pPr>
      <w:r>
        <w:t>8. En conclusión, los arts. 81 LSV y 132 LPC, enjuiciados a partir de la interpretación que les da el órgano cuestionante, serían, en mi opinión, contrarios a la Constitución española por los motivos expuestos. Sin embargo, conforme a la doctrina constitucional reseñada en el apartado 3 de este Voto, no creo que necesiten ser declarados inconstitucionales, pues son susceptibles de otras lecturas plenamente acordes con la Constitución que permiten salvar la primacía de ésta.</w:t>
      </w:r>
    </w:p>
    <w:p w:rsidR="00D06117" w:rsidRDefault="00D06117" w:rsidP="00D06117">
      <w:pPr>
        <w:pStyle w:val="TextoNormal"/>
      </w:pPr>
    </w:p>
    <w:p w:rsidR="00D06117" w:rsidRDefault="00D06117" w:rsidP="00D06117">
      <w:pPr>
        <w:pStyle w:val="TextoNormal"/>
      </w:pPr>
      <w:r>
        <w:t>No corresponde, sin embargo, al Tribunal Constitucional seleccionar una interpretación de la legalidad ordinaria entre las constitucionalmente posibles, pues eso es competencia exclusiva de los jueces ordinarios, pero sí le compete declarar que los arts. 81 LSV y 132 LPC, entendidos en el sentido de la doctrina legal fijada en las Sentencias del Tribunal Supremo de 15 de diciembre de 2004 y de 22 de septiembre de 2008, vulneran el principio constitucional de seguridad jurídica (art. 9.3 CE). De esta manera nuestro Tribunal debiera haber ejercitado su papel de último garante de la Constitución y, liberando al órgano judicial cuestionante de la obligación de resolver el pleito concreto conforme a tal lectura de los preceptos cuestionados, habría hecho efectiva su vinculación preferente a la Constitución.</w:t>
      </w:r>
    </w:p>
    <w:p w:rsidR="00D06117" w:rsidRDefault="00D06117" w:rsidP="00D06117">
      <w:pPr>
        <w:pStyle w:val="TextoNormal"/>
      </w:pPr>
    </w:p>
    <w:p w:rsidR="00D06117" w:rsidRDefault="00D06117" w:rsidP="00D06117">
      <w:pPr>
        <w:pStyle w:val="TextoNormal"/>
      </w:pPr>
      <w:r>
        <w:t>Cádiz a diecinueve de marzo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Pablo Pérez Tremps a la Sentencia dictada en la cuestión de inconstitucionalidad núm. 9689-2009.</w:t>
      </w:r>
    </w:p>
    <w:p w:rsidR="00D06117" w:rsidRDefault="00D06117" w:rsidP="00D06117">
      <w:pPr>
        <w:pStyle w:val="TextoNormalNegritaCentrado"/>
        <w:keepNext/>
      </w:pPr>
    </w:p>
    <w:p w:rsidR="00D06117" w:rsidRDefault="00D06117" w:rsidP="00D06117">
      <w:pPr>
        <w:pStyle w:val="TextoNormal"/>
      </w:pPr>
      <w:r>
        <w:t>Con el máximo respeto a la posición mayoritaria de mis compañeros del Pleno, reunido en Cádiz en el Oratorio de San Felipe Neri el día en que se cumplen doscientos años de la promulgación de la Constitución Española de 1812, debo manifestar mi discrepancia con parte de la fundamentación de la Sentencia en relación con el cuestionamiento del art. 100.7 LJCA —que no alcanza al fallo desestimatorio respecto de este particular, con el que estoy de acuerdo— y con la fundamentación y fallo de la Sentencia en relación con el cuestionamiento de los arts. 81 LSV y 132 LPC, en la interpretación vinculante dada por las Sentencias en interés de ley de la Sala de lo Contencioso-Administrativo del Tribunal Supremo de 15 de diciembre de 2004 y 22 de septiembre de 2008, fallo que considero que debería haber concluido en la declaración de su inconstitucionalidad por vulneración del principio de seguridad jurídica (art. 9.3 CE).</w:t>
      </w:r>
    </w:p>
    <w:p w:rsidR="00D06117" w:rsidRDefault="00D06117" w:rsidP="00D06117">
      <w:pPr>
        <w:pStyle w:val="TextoNormal"/>
      </w:pPr>
    </w:p>
    <w:p w:rsidR="00D06117" w:rsidRDefault="00D06117" w:rsidP="00D06117">
      <w:pPr>
        <w:pStyle w:val="TextoNormal"/>
      </w:pPr>
      <w:r>
        <w:t xml:space="preserve">1. Comparto con la mayoría el proceso argumental seguido para llegar a la conclusión de que el art. 100.7 LJCA, en la medida en que establece el carácter vinculante de las Sentencias del Tribunal Supremo que estiman los recursos de casación en interés de ley, no vulnera el principio de independencia judicial. Ahora bien, discrepo del argumento utilizado por la mayoría consistente en que la independencia judicial también queda reforzada en estos casos por la posibilidad que tiene el órgano judicial inferior en grado de plantear la cuestión de inconstitucionalidad ante el Tribunal Constitucional respecto de los preceptos legales cuyo contenido normativo haya sido concretado de manera vinculante por el Tribunal Supremo, </w:t>
      </w:r>
      <w:r>
        <w:lastRenderedPageBreak/>
        <w:t>puesto que entiendo que se fundamenta en una cierta desfiguración de la cuestión de inconstitucionalidad tal y como viene prevista en el art. 163 CE.</w:t>
      </w:r>
    </w:p>
    <w:p w:rsidR="00D06117" w:rsidRDefault="00D06117" w:rsidP="00D06117">
      <w:pPr>
        <w:pStyle w:val="TextoNormal"/>
      </w:pPr>
    </w:p>
    <w:p w:rsidR="00D06117" w:rsidRDefault="00D06117" w:rsidP="00D06117">
      <w:pPr>
        <w:pStyle w:val="TextoNormal"/>
      </w:pPr>
      <w:r>
        <w:t>Una vez descartado que el art. 100.7 LJCA vulnera la independencia judicial con fundamento en que, conforme a su libertad de configuración, el legislador puede optar por establecer el carácter vinculante de la jurisprudencia en preservación de intereses constitucionalmente garantizados, era innecesario acudir a cualquier otro argumento para la desestimación del cuestionamiento de este precepto. Ese argumento sobreañadido lo que hace es, más bien, proyectar una sombra de duda respecto de que en realidad el carácter vinculante de cierta jurisprudencia del Tribunal Supremo pueda suponer una merma de la independencia judicial de órganos judiciales inferiores que sólo pueda ser remediada por el Tribunal Constitucional a través de la cuestión de inconstitucionalidad.</w:t>
      </w:r>
    </w:p>
    <w:p w:rsidR="00D06117" w:rsidRDefault="00D06117" w:rsidP="00D06117">
      <w:pPr>
        <w:pStyle w:val="TextoNormal"/>
      </w:pPr>
    </w:p>
    <w:p w:rsidR="00D06117" w:rsidRDefault="00D06117" w:rsidP="00D06117">
      <w:pPr>
        <w:pStyle w:val="TextoNormal"/>
      </w:pPr>
      <w:r>
        <w:t>Por otra parte, además, teniendo en cuenta la propia naturaleza de la cuestión de inconstitucionalidad y los supuestos en que resulta posible sentar una jurisprudencia vinculante ex art. 100.7 LJCA, el alcance protector de la independencia judicial que la mayoría sitúa en la cuestión de inconstitucionalidad es absolutamente marginal.</w:t>
      </w:r>
    </w:p>
    <w:p w:rsidR="00D06117" w:rsidRDefault="00D06117" w:rsidP="00D06117">
      <w:pPr>
        <w:pStyle w:val="TextoNormal"/>
      </w:pPr>
    </w:p>
    <w:p w:rsidR="00D06117" w:rsidRDefault="00D06117" w:rsidP="00D06117">
      <w:pPr>
        <w:pStyle w:val="TextoNormal"/>
      </w:pPr>
      <w:r>
        <w:t>En efecto, la naturaleza jurídica de la cuestión de inconstitucionalidad determina que el Juez, cuando se encuentra con una norma con fuerza de ley contraria a la Constitución no tiene la opción, sino la obligación de plantear la correspondiente cuestión de inconstitucionalidad ante el Tribunal Constitucional, al ostentar éste el monopolio de rechazo de la ley por su oposición a la norma fundamental. En ese contexto, habida cuenta de que el carácter vinculante de la jurisprudencia establecido en el art. 100.7 LJCA aparece referido a la interpretación de cualquier norma emanada del Estado (art. 100.2 LJCA), es obvio que el eventual campo de acción que tendría la cuestión de inconstitucionalidad queda muy reducido, ya que no sería un medio apto para controlar el ajuste constitucional de cualquier norma que no tenga fuerza de ley ni, incluso dentro de éstas, para aquellas interpretaciones efectuadas en este tipo de recursos de casación que no comprometan la Constitución.</w:t>
      </w:r>
    </w:p>
    <w:p w:rsidR="00D06117" w:rsidRDefault="00D06117" w:rsidP="00D06117">
      <w:pPr>
        <w:pStyle w:val="TextoNormal"/>
      </w:pPr>
    </w:p>
    <w:p w:rsidR="00D06117" w:rsidRDefault="00D06117" w:rsidP="00D06117">
      <w:pPr>
        <w:pStyle w:val="TextoNormal"/>
      </w:pPr>
      <w:r>
        <w:t>En conclusión, poco aporta, más bien confunde, utilizar como argumento en defensa de la independencia judicial de los órganos judiciales inferiores respecto del carácter vinculante de determinada jurisprudencia del Tribunal Supremo una institución como la cuestión de inconstitucionalidad que, en este ámbito concreto, tiene un campo de acción tan reducido que queda limitado únicamente a los supuestos en que concurra la doble condición de que la interpretación vinculante lo sea de una norma con fuerza de ley y que, además, dicha norma integrada con la interpretación resultante de la jurisprudencia vinculante sea contraria a la Constitución. La llamada a la cuestión de inconstitucionalidad resulta pues reiterativa de algo obvio y confunde sobre la verdadera relación entre norma e interpretación vinculante que sólo eventualmente puede tener alcance constitucional.</w:t>
      </w:r>
    </w:p>
    <w:p w:rsidR="00D06117" w:rsidRDefault="00D06117" w:rsidP="00D06117">
      <w:pPr>
        <w:pStyle w:val="TextoNormal"/>
      </w:pPr>
    </w:p>
    <w:p w:rsidR="00D06117" w:rsidRDefault="00D06117" w:rsidP="00D06117">
      <w:pPr>
        <w:pStyle w:val="TextoNormal"/>
      </w:pPr>
      <w:r>
        <w:t>2. Además de lo anterior, mi principal discrepancia, y por la que he votado en sentido contrario al de la mayoría, radica en que se haya concluido que los arts. 81 LSV y 132 LPC, en la interpretación vinculante dada por las Sentencias en interés de ley de la Sala de lo Contencioso-Administrativo del Tribunal Supremo de 15 de diciembre de 2004 y 22 de septiembre de 2008, no vulneran el principio de seguridad jurídica (art. 9.3 CE).</w:t>
      </w:r>
    </w:p>
    <w:p w:rsidR="00D06117" w:rsidRDefault="00D06117" w:rsidP="00D06117">
      <w:pPr>
        <w:pStyle w:val="TextoNormal"/>
      </w:pPr>
    </w:p>
    <w:p w:rsidR="00D06117" w:rsidRDefault="00D06117" w:rsidP="00D06117">
      <w:pPr>
        <w:pStyle w:val="TextoNormal"/>
      </w:pPr>
      <w:r>
        <w:lastRenderedPageBreak/>
        <w:t>El cuestionamiento realizado por el órgano judicial plantea correctamente, a mi juicio, la situación de indefinición jurídica en que queda el ciudadano derivada de la conjunción de las doctrinas vinculantes de las Sentencias de la Sala de lo Contencioso-Administrativo del Tribunal Supremo de 15 de diciembre de 2004 y de 22 de septiembre de 2008. En efecto, conforme a la primera, el incumplimiento por parte de la Administración de su deber de resolver expresamente un recurso de alzada contra una resolución sancionadora no permite computar ese plazo de demora a efectos de prescripción de la infracción. Conforme a la segunda, ese mismo incumplimiento, si bien impide la ejecutividad de la sanción impuesta, tampoco permite computar ese plazo de demora a efectos de prescripción de la sanción. De todo ello resulta que, una vez dictada una resolución sancionadora por la Administración, si el sancionado recurre en alzada y la Administración incumple su obligación legal de resolver expresamente dicho recurso, la consecuencia es que el transcurso del tiempo no puede ser computado como prescriptor ni de la infracción ni de la sanción, con lo que se produce una situación jurídica de perpetua pendencia del ciudadano al procedimiento sancionador.</w:t>
      </w:r>
    </w:p>
    <w:p w:rsidR="00D06117" w:rsidRDefault="00D06117" w:rsidP="00D06117">
      <w:pPr>
        <w:pStyle w:val="TextoNormal"/>
      </w:pPr>
    </w:p>
    <w:p w:rsidR="00D06117" w:rsidRDefault="00D06117" w:rsidP="00D06117">
      <w:pPr>
        <w:pStyle w:val="TextoNormal"/>
      </w:pPr>
      <w:r>
        <w:t>La posición de la mayoría es que este efecto no resulta contrario al art. 9.3 CE, ya que supone un mandato normativo enunciado con la suficiente claridad como para eliminar cualquier sombra de incertidumbre acerca de su contenido y alcance en cuanto a la fijación del dies a quo del cómputo del plazo de prescripción de las infracciones y sanciones administrativas, lo que elimina todo reproche tanto respecto de su certeza como de su previsibilidad. Pues bien, discrepo del corto alcance que la mayoría ha dado al principio de seguridad jurídica (art. 9.3 CE), al hacer una lectura aislada y descontextualizada del resto de principios recogidos en el art. 9.3 CE y otros valores constitucionales, toda vez que, como ya se destacaba en el “Discurso Preliminar” de la Constitución de Cádiz de 1812, “la Constitución de la Monarquía española debe ser un sistema completo y bien ordenado, cuyas partes guarden entre sí el mas perfecto enlace y armonía”. Igualmente, discrepo de la falta de ponderación de determinadas circunstancias relevantes en la situación jurídica provocada, como son, por un lado, que se produce en el marco del ejercicio del ius puniendi y, por otro, que es creada, precisamente, a partir del incumplimiento de una obligación legal por el titular del ejercicio de ese ius puniendi.</w:t>
      </w:r>
    </w:p>
    <w:p w:rsidR="00D06117" w:rsidRDefault="00D06117" w:rsidP="00D06117">
      <w:pPr>
        <w:pStyle w:val="TextoNormal"/>
      </w:pPr>
    </w:p>
    <w:p w:rsidR="00D06117" w:rsidRDefault="00D06117" w:rsidP="00D06117">
      <w:pPr>
        <w:pStyle w:val="TextoNormal"/>
      </w:pPr>
      <w:r>
        <w:t>3. La seguridad jurídica es algo más que certeza normativa tendente a evitar mandatos que produzcan confusión, incertidumbre o duda sobre la previsibilidad de los efectos de un determinado comportamiento. Tal como ha reiterado este Tribunal desde sus más tempranos pronunciamientos, los principios de “irretroactividad, seguridad, interdicción de la arbitrariedad, así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 destacándose que “en especial, lo que acabamos de afirmar puede predicarse de la seguridad jurídica, que es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 suerte que permita promover, en el orden jurídico, la justicia y la igualdad, en libertad” (STC 27/1981, de 20 de julio, FJ 10).</w:t>
      </w:r>
    </w:p>
    <w:p w:rsidR="00D06117" w:rsidRDefault="00D06117" w:rsidP="00D06117">
      <w:pPr>
        <w:pStyle w:val="TextoNormal"/>
      </w:pPr>
    </w:p>
    <w:p w:rsidR="00D06117" w:rsidRDefault="00D06117" w:rsidP="00D06117">
      <w:pPr>
        <w:pStyle w:val="TextoNormal"/>
      </w:pPr>
      <w:r>
        <w:lastRenderedPageBreak/>
        <w:t>Igualmente, este Tribunal ha destacado que la seguridad jurídica está conectada con diversas instituciones previstas en el Ordenamiento jurídico. Así, en relación con la prescripción, este Tribunal ya ha señalado que, aunque se trate de una institución de libre configuración legal, “en general, encuentra su propia justificación constitucional en el principio de seguridad jurídica”, y que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(STC 157/1990, de 18 de octubre, FJ 3).</w:t>
      </w:r>
    </w:p>
    <w:p w:rsidR="00D06117" w:rsidRDefault="00D06117" w:rsidP="00D06117">
      <w:pPr>
        <w:pStyle w:val="TextoNormal"/>
      </w:pPr>
    </w:p>
    <w:p w:rsidR="00D06117" w:rsidRDefault="00D06117" w:rsidP="00D06117">
      <w:pPr>
        <w:pStyle w:val="TextoNormal"/>
      </w:pPr>
      <w:r>
        <w:t>Pues bien, en atención a lo expuesto, existe una proyección del principio de seguridad jurídica, que es la concretamente invocada por el órgano judicial cuestionante, consistente en que el ciudadano, más allá de poder conocer o prever las consecuencias jurídicas que se deriven de su conducta, no quede inmerso en una situación de absoluta indefinición jurídica generadora de “intranquilidad jurídica” —en tanto que está referida al ejercicio del ius puniendi estatal— y producida de manera arbitraria por parte del titular de dicho ius puniendi —en tanto que deriva del incumplimiento de la Administración de una obligación legal—.</w:t>
      </w:r>
    </w:p>
    <w:p w:rsidR="00D06117" w:rsidRDefault="00D06117" w:rsidP="00D06117">
      <w:pPr>
        <w:pStyle w:val="TextoNormal"/>
      </w:pPr>
    </w:p>
    <w:p w:rsidR="00D06117" w:rsidRDefault="00D06117" w:rsidP="00D06117">
      <w:pPr>
        <w:pStyle w:val="TextoNormal"/>
      </w:pPr>
      <w:r>
        <w:t>Del mismo modo, ese contenido del principio de seguridad jurídica ha sido vulnerado por los preceptos cuestionados toda vez que, en primer lugar, y tal como se expuso anteriormente, la situación es creada a partir del incumplimiento de la obligación legal de la Administración de resolver de forma expresa el recurso de alzada contra una resolución sancionadora, lo que supone consentir un importante elemento de arbitrariedad en la actuación de la Administración, cuya erradicación, tal como también se recuerda en el “Discurso Preliminar” de la Constitución de Cádiz de 1812, era uno de sus principales objetivos y preocupaciones. Dicha situación, por otra parte, no cabe entenderse remediada o compensada a través de la hipótesis de la solicitud del certificado acreditativo del silencio ni con la posibilidad de acudir a los órganos judiciales, toda vez que implican hacer recaer en el ciudadano la carga de unas actuaciones provocadas exclusivamente por el incumplimiento de la Administración de una obligación legal.</w:t>
      </w:r>
    </w:p>
    <w:p w:rsidR="00D06117" w:rsidRDefault="00D06117" w:rsidP="00D06117">
      <w:pPr>
        <w:pStyle w:val="TextoNormal"/>
      </w:pPr>
    </w:p>
    <w:p w:rsidR="00D06117" w:rsidRDefault="00D06117" w:rsidP="00D06117">
      <w:pPr>
        <w:pStyle w:val="TextoNormal"/>
      </w:pPr>
      <w:r>
        <w:t>En segundo lugar, la lesión del contenido del principio de seguridad jurídica de los preceptos cuestionados también debe ponerse en relación con la circunstancia de que regulan aspectos relativos al ejercicio del ius puniendi estatal y lo hacen con el efecto de impedir que, mientras se mantenga el incumplimiento de la obligación legal de resolver, pueda ser tomado en consideración el transcurso del tiempo, perpetuando una sujeción del ciudadano al procedimiento sancionador. Esta situación de lo que antes he denominado “intranquilidad jurídica” no queda enervada con el efecto de la inejecución de la sanción, toda vez que la pendencia del procedimiento sancionador lo que permite es dejar indefinidamente en manos de la Administración el momento en que, dando cumplimiento a la obligación de resolución expresa, ponga en marcha la posibilidad de ejecución. En última instancia, pues, en estos casos la inejecución no juega en garantía y protección del ciudadano sometido al ejercicio del ius puniendi. Al contrario es la pervivencia indefinida de la ejecutividad de la sanción el elemento generador de la indefinición jurídica denunciada.</w:t>
      </w:r>
    </w:p>
    <w:p w:rsidR="00D06117" w:rsidRDefault="00D06117" w:rsidP="00D06117">
      <w:pPr>
        <w:pStyle w:val="TextoNormal"/>
      </w:pPr>
    </w:p>
    <w:p w:rsidR="00D06117" w:rsidRDefault="00D06117" w:rsidP="00D06117">
      <w:pPr>
        <w:pStyle w:val="TextoNormal"/>
      </w:pPr>
      <w:r>
        <w:t xml:space="preserve">4. Por tanto, conforme a lo expuesto, considero que deberían haberse declarado inconstitucionales los arts. 81 LSV y 132 LPC, en la interpretación vinculante dada por las Sentencias en interés de ley de la Sala de lo Contencioso-Administrativo del Tribunal Supremo </w:t>
      </w:r>
      <w:r>
        <w:lastRenderedPageBreak/>
        <w:t>de 15 de diciembre de 2004 y 22 de septiembre de 2008, por vulnerar el principio de seguridad jurídica (art. 9.3 CE).</w:t>
      </w:r>
    </w:p>
    <w:p w:rsidR="00D06117" w:rsidRDefault="00D06117" w:rsidP="00D06117">
      <w:pPr>
        <w:pStyle w:val="TextoNormal"/>
      </w:pPr>
    </w:p>
    <w:p w:rsidR="00D06117" w:rsidRDefault="00D06117" w:rsidP="00D06117">
      <w:pPr>
        <w:pStyle w:val="TextoNormal"/>
      </w:pPr>
      <w:r>
        <w:t>Cádiz, a diecinueve de marzo de dos mil doce.</w:t>
      </w:r>
    </w:p>
    <w:p w:rsidR="00D06117" w:rsidRDefault="00D06117" w:rsidP="00D06117">
      <w:pPr>
        <w:pStyle w:val="TextoNormal"/>
      </w:pPr>
    </w:p>
    <w:p w:rsidR="00D06117" w:rsidRDefault="00D06117" w:rsidP="00D06117">
      <w:pPr>
        <w:pStyle w:val="TextoNormalNegritaCentrado"/>
        <w:keepNext/>
      </w:pPr>
      <w:r>
        <w:t>Voto particular que formula la Magistrada doña Adela Asua Batarrita a la Sentencia dictada en la cuestión de inconstitucionalidad núm. 9689-2009.</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(LOTC) y con pleno respeto a la opinión de la mayoría del Tribunal, expreso mi discrepancia parcial con el fallo y con parte de la fundamentación jurídica de la Sentencia, desestimatoria de la presente cuestión de inconstitucionalidad.</w:t>
      </w:r>
    </w:p>
    <w:p w:rsidR="00D06117" w:rsidRDefault="00D06117" w:rsidP="00D06117">
      <w:pPr>
        <w:pStyle w:val="TextoNormal"/>
      </w:pPr>
    </w:p>
    <w:p w:rsidR="00D06117" w:rsidRDefault="00D06117" w:rsidP="00D06117">
      <w:pPr>
        <w:pStyle w:val="TextoNormal"/>
      </w:pPr>
      <w:r>
        <w:t>En mi opinión, como mantuve en la deliberación del Pleno, la cuestión de inconstitucionalidad debió de ser parcialmente estimada. Mi discrepancia atañe exclusivamente a los argumentos que llevan a la mayoría a considerar que no son incompatibles con la Constitución los arts. 81 LSV y 132 LPC en la interpretación vinculante fijada por las Sentencias de la Sala Contencioso-Administrativa del Tribunal Supremo en interés de ley, de 15 de febrero de 2004 y 22 de septiembre de 2008.</w:t>
      </w:r>
    </w:p>
    <w:p w:rsidR="00D06117" w:rsidRDefault="00D06117" w:rsidP="00D06117">
      <w:pPr>
        <w:pStyle w:val="TextoNormal"/>
      </w:pPr>
    </w:p>
    <w:p w:rsidR="00D06117" w:rsidRDefault="00D06117" w:rsidP="00D06117">
      <w:pPr>
        <w:pStyle w:val="TextoNormal"/>
      </w:pPr>
      <w:r>
        <w:t>Comparto con la mayoría el entendimiento que constituye la premisa de la Sentencia sobre el objeto de la cuestión planteada, pues como se afirma en el fundamento jurídico 2 “los preceptos legales cuestionados tienen para los órganos judiciales del orden contencioso-administrativo el contenido preciso (ese mismo y no otro) que el Tribunal Supremo ha establecido al sentar doctrina legal vinculante en sentencias en interés de ley, como último y superior intérprete de la legalidad ordinaria”. También comparto la desestimación de la duda de constitucionalidad que, formulada de forma subsidiaria o alternativa por el órgano judicial promotor de la cuestión, es examinada correctamente de forma prioritaria por la Sentencia. En mi opinión, el carácter vinculante de la doctrina legal del Tribunal Supremo en interés de ley no plantea problemas de inconstitucionalidad pues cabe apreciar motivos constitucionalmente legítimos para que el legislador regule ese instrumento excepcional de uniformización en la aplicación del Derecho, por los Jueces y Tribunales de grado inferior al Tribunal Supremo del orden jurisdiccional contencioso-administrativo, que constituye el recurso de casación en interés de la ley, en los concretos términos en que lo ha hecho.</w:t>
      </w:r>
    </w:p>
    <w:p w:rsidR="00D06117" w:rsidRDefault="00D06117" w:rsidP="00D06117">
      <w:pPr>
        <w:pStyle w:val="TextoNormal"/>
      </w:pPr>
    </w:p>
    <w:p w:rsidR="00D06117" w:rsidRDefault="00D06117" w:rsidP="00D06117">
      <w:pPr>
        <w:pStyle w:val="TextoNormal"/>
      </w:pPr>
      <w:r>
        <w:t>En cambio, disiento de la solución adoptada sobre lo que constituye la duda principal para el órgano judicial que promueve la cuestión: la vulneración de la seguridad jurídica (art. 9.3 CE) derivada de la suspensión permanente del inicio del plazo de prescripción de la sanción hasta la resolución del recurso de alzada por la Administración, por tardía que sea tal resolución, o incluso aunque nunca se produzca. La Sentencia desestima dicha duda engarzando argumentos formales que, a mi juicio, y con sumo respeto para la opinión contraria de la mayoría de los Magistrados, no entran en el problema de fondo planteado.</w:t>
      </w:r>
    </w:p>
    <w:p w:rsidR="00D06117" w:rsidRDefault="00D06117" w:rsidP="00D06117">
      <w:pPr>
        <w:pStyle w:val="TextoNormal"/>
      </w:pPr>
    </w:p>
    <w:p w:rsidR="00D06117" w:rsidRDefault="00D06117" w:rsidP="00D06117">
      <w:pPr>
        <w:pStyle w:val="TextoNormal"/>
      </w:pPr>
      <w:r>
        <w:t xml:space="preserve">1. Recordemos que el problema de fondo no es otro que la indeterminación o apertura sine die del plazo de prescripción en los supuestos de falta de resolución de los recursos de alzada interpuestos contra una resolución administrativa sancionadora. Esa indeterminación resulta de la combinación de la doctrina legal en interés de la ley fijada en las Sentencias de </w:t>
      </w:r>
      <w:r>
        <w:lastRenderedPageBreak/>
        <w:t>15 de febrero de 2004 y de 22 de septiembre de 2008 por la Sala Contencioso-Administrativa del Tribunal Supremo. La Sentencia de 15 de febrero de 2004 formuló la siguiente doctrina legal: “El límite para el ejercicio de la potestad sancionadora, y para la prescripción de las infracciones, concluye con la resolución sancionadora y su consiguiente notificación, sin poder extender la misma a la vía de recurso.”. Por su parte, la Sentencia de 22 de septiembre de 2008 fijó esta doctrina legal: “Interpuesto recurso de alzada contra una resolución sancionadora, el transcurso del plazo de tres meses para la resolución del mismo no supone que la sanción gane firmeza ni que se convierta en ejecutiva, de modo que no puede iniciarse el cómputo del plazo de prescripción de la sanción.” De la combinación de ambas doctrinas se desprende el siguiente resultado: el procedimiento administrativo de revisión de la resolución sancionadora que se activa mediante la interposición del recurso de alzada no tiene incidencia en el plazo de prescripción de la infracción (Sentencia de 2004) ni en el plazo de prescripción de la sanción (Sentencia de 2008), pues, por una parte, una vez dictada en plazo la resolución sancionadora ya no cabe alegar la prescripción de la infracción y, por otra, en tanto la resolución sancionadora adoptada no devenga firme, no comienza a computarse el plazo de prescripción de la sanción. El órgano judicial promotor de la cuestión identifica claramente el problema que suscita la combinación de ambas doctrinas legales: si la Administración no resuelve de forma expresa el recurso de alzada interpuesto contra la resolución sancionadora, el comienzo del computo del plazo de prescripción de la sanción permanece indefinidamente abierto, pendiente de que la Administración opte por resolver de forma expresa el recurso de alzada. Esto supone que, si no hay resolución expresa del recurso de alzada, el plazo de prescripción queda indefinidamente “congelado” y, por tanto, no llega a aplicarse a la sanción de que se trate; y que, si se resuelve extemporáneamente el recurso, el plazo de prescripción se puede ampliar extraordinariamente.</w:t>
      </w:r>
    </w:p>
    <w:p w:rsidR="00D06117" w:rsidRDefault="00D06117" w:rsidP="00D06117">
      <w:pPr>
        <w:pStyle w:val="TextoNormal"/>
      </w:pPr>
    </w:p>
    <w:p w:rsidR="00D06117" w:rsidRDefault="00D06117" w:rsidP="00D06117">
      <w:pPr>
        <w:pStyle w:val="TextoNormal"/>
      </w:pPr>
      <w:r>
        <w:t xml:space="preserve">2. Estoy de acuerdo con la mayoría de los Magistrados en la conclusión de que los preceptos legales cuestionados, con el contenido preciso derivado de la doctrina legal vinculante del Tribunal Supremo, no contradicen nuestra doctrina constitucional sobre el silencio administrativo. Sin embargo, considero que los demás argumentos utilizados para descartar la duda de constitucionalidad no abordan realmente el problema de fondo expuesto. En mi opinión, no se ha tomado debidamente en consideración nuestra doctrina constitucional sobre la institución de la prescripción y su estrecha relación con el principio de seguridad jurídica proclamado en el art. 9.3 CE. La Sentencia afirma que no hay incertidumbre acerca del contenido y alcance del mandato normativo resultante de los preceptos cuestionados “en cuanto a la fijación del dies a quo del cómputo del plazo de prescripción de las infracciones y sanciones administrativas” (fundamento jurídico 8). Pero el problema de seguridad jurídica no es de incertidumbre o imprecisión normativa en cuanto al dies a quo o al dies ad quem, ni al plazo de prescripción o a su forma de cómputo, sino otro: con la aplicación combinada de la doctrina legal fijada en las dos Sentencias del Tribunal Supremo antes mencionadas, durante un periodo de tiempo indefinido (el de sustanciación del recurso de alzada contra la resolución sancionadora), cuya finalización queda en manos exclusivamente de la propia Administración, no resulta aplicable la prescripción de la infracción ni la prescripción de la sanción; la primera porque ya se habría sancionado la infracción con una multa, sin haberse puesto fin a la vía administrativa, y la segunda porque dicha sanción no es firme ni ejecutiva, y por tanto al ser inejecutable, no puede comenzar el cómputo de la prescripción. En suma, los preceptos cuestionados convierten en inoperativa e ilusoria la propia institución de la prescripción en el ámbito sancionador administrativo cuando la Administración incumple su obligación legal de resolver expresamente el recurso de alzada. </w:t>
      </w:r>
      <w:r>
        <w:lastRenderedPageBreak/>
        <w:t>Este es el núcleo de la duda de constitucionalidad que la Sentencia elude y, en definitiva, no acierta a resolver.</w:t>
      </w:r>
    </w:p>
    <w:p w:rsidR="00D06117" w:rsidRDefault="00D06117" w:rsidP="00D06117">
      <w:pPr>
        <w:pStyle w:val="TextoNormal"/>
      </w:pPr>
    </w:p>
    <w:p w:rsidR="00D06117" w:rsidRDefault="00D06117" w:rsidP="00D06117">
      <w:pPr>
        <w:pStyle w:val="TextoNormal"/>
      </w:pPr>
      <w:r>
        <w:t>3. A mi juicio, no despeja la duda de constitucionalidad el argumento utilizado en el fundamento jurídico 10 al indicar que ante el incumplimiento de la obligación de resolver el recurso de alzada, “el interesado podrá optar por acudir a la vía judicial contra la desestimación presunta o esperar a que se dicte por la Administración resolución expresa”; como tampoco puedo compartir que “[no] pueda apreciarse que la demora coloque en este caso a la Administración en mejor situación que aquella en la cual se habría encontrado si hubiera cumplido su obligación de resolver expresamente dentro de plazo el recurso de alzada, pues durante la pendencia del recurso se mantiene el efecto de la inejecutividad de la sanción, como recuerda el Abogado del Estado, inejecución que, sin duda alguna, no perjudica (más bien beneficia) al ciudadano que ha sido sancionado”. Por un lado, el que el interesado pueda recurrir en la vía judicial frente a la desestimación presunta, una vez transcurrido el plazo máximo para resolver el recurso de alzada, es sin duda relevante de cara al derecho fundamental a la tutela judicial efectiva, pero no tiene nada que ver con la indeterminación en la producción del dies a quo del plazo de prescripción. Sería inaudito que el interesado tuviera que asumir una carga procesal como es la interposición de un recurso contencioso-administrativo para poder activar el transcurso del plazo de prescripción de una sanción.</w:t>
      </w:r>
    </w:p>
    <w:p w:rsidR="00D06117" w:rsidRDefault="00D06117" w:rsidP="00D06117">
      <w:pPr>
        <w:pStyle w:val="TextoNormal"/>
      </w:pPr>
    </w:p>
    <w:p w:rsidR="00D06117" w:rsidRDefault="00D06117" w:rsidP="00D06117">
      <w:pPr>
        <w:pStyle w:val="TextoNormal"/>
      </w:pPr>
      <w:r>
        <w:t>Por otro lado, el razonamiento que la Sentencia desliza en términos de “ventajas” o “beneficios” que supuestamente obtienen o dejan de obtener bien el interesado bien la Administración es incorrecto porque si algo deja claro la Sentencia es que el recurso de casación en interés de ley tiene un carácter excepcional, tanto por la restricción de los legitimados activos para su interposición como por su finalidad. Es evidente que las Administraciones que interpusieron los correspondientes recursos de casación en interés de ley, que dieron lugar a la doctrina legal en cuestión, perseguían obtener alguna “ventaja” o un “beneficio” —en principio— para el interés general; también resulta obvio que las sentencias firmes que fueron objeto de aquellos recursos de casación beneficiaban más al particular interesado que lo sentado a partir de la referida doctrina legal. Pero aunque la situación para el interesado no fuera especialmente perjudicial durante la pendencia del recurso de alzada, como parece argumentar implícitamente la Sentencia, por la no ejecutoriedad de la sanción recurrida, permanece sin resolver el problema central, esto es que el interesado no puede invocar la prescripción de la sanción administrativa durante un tiempo indeterminado e indefinido, a voluntad de la Administración.</w:t>
      </w:r>
    </w:p>
    <w:p w:rsidR="00D06117" w:rsidRDefault="00D06117" w:rsidP="00D06117">
      <w:pPr>
        <w:pStyle w:val="TextoNormal"/>
      </w:pPr>
    </w:p>
    <w:p w:rsidR="00D06117" w:rsidRDefault="00D06117" w:rsidP="00D06117">
      <w:pPr>
        <w:pStyle w:val="TextoNormal"/>
      </w:pPr>
      <w:r>
        <w:t>En mi opinión, los argumentos de tutela judicial efectiva ex art. 24 CE, extraídos de nuestra doctrina constitucional sobre el acceso a la jurisdicción en relación con las desestimaciones presuntas, no son pertinentes en el presente caso, pues el problema de fondo, como venimos repitiendo, no es de acceso a la jurisdicción, sino sustantivo: la compatibilidad con el principio de seguridad jurídica de unos preceptos legales que, en materia sancionadora administrativa, dejan en manos de la Administración, en las circunstancias ya expuestas, la posibilidad de que los interesados puedan acogerse de forma efectiva a una institución como la prescripción. Así entendida, la prescripción pierde su carácter de institución objetiva que únicamente depende del transcurso del tiempo, para pasar a depender de la decisión del órgano administrativo que deba resolver el recurso de alzada interpuesto contra la resolución sancionadora.</w:t>
      </w:r>
    </w:p>
    <w:p w:rsidR="00D06117" w:rsidRDefault="00D06117" w:rsidP="00D06117">
      <w:pPr>
        <w:pStyle w:val="TextoNormal"/>
      </w:pPr>
    </w:p>
    <w:p w:rsidR="00D06117" w:rsidRDefault="00D06117" w:rsidP="00D06117">
      <w:pPr>
        <w:pStyle w:val="TextoNormal"/>
      </w:pPr>
      <w:r>
        <w:lastRenderedPageBreak/>
        <w:t>4. Para captar debidamente la relevancia constitucional de la cuestión planteada, es necesario atender al significado de la vía administrativa de recurso, así como al fundamento constitucional de la institución de la prescripción, en particular en relación con el ius puniendi del Estado, aspectos ambos que a mi juicio han quedado desatendidos por la Sentencia.</w:t>
      </w:r>
    </w:p>
    <w:p w:rsidR="00D06117" w:rsidRDefault="00D06117" w:rsidP="00D06117">
      <w:pPr>
        <w:pStyle w:val="TextoNormal"/>
      </w:pPr>
    </w:p>
    <w:p w:rsidR="00D06117" w:rsidRDefault="00D06117" w:rsidP="00D06117">
      <w:pPr>
        <w:pStyle w:val="TextoNormal"/>
      </w:pPr>
      <w:r>
        <w:t>El problema de fondo se origina por la existencia de una vía administrativa de recurso que en nuestro ordenamiento se configura como vía preceptiva previa a la vía judicial, a diferencia de lo que ocurre en otros ordenamientos donde tales recursos administrativos constituyen, por lo general, una alternativa facultativa. El recurso de alzada constituye un presupuesto necesario de la impugnación jurisdiccional y, por ello, junto a la innegable faceta de garantía de los derechos de los particulares (en cuanto que permite reaccionar contra las decisiones administrativas y, eventualmente, eliminar el perjuicio que puedan acarrear) supone también, en cierta medida, tanto un privilegio para la Administración como una correlativa carga para los administrados, ya que éstos deben necesariamente someter a la Administración los conflictos antes de residenciarlos ante los Jueces y Tribunales. Es cierto que el carácter privilegiado de la vía administrativa de recurso se ha atenuado modernamente, en cierto modo, en el ámbito sancionador, por la previsión legal de que las sanciones no serán ejecutivas hasta tanto no se ponga fin a la vía administrativa (art. 138.3 LPC). No será firme ni ejecutiva, pero la sanción ha sido efectivamente impuesta. Se puede discutir si la solución jurídico-técnica más coherente con arreglo al Derecho positivo es vincular la vía administrativa de recurso con la prescripción de la infracción o con la prescripción de la sanción, y eso es algo que no compete resolver a este Tribunal. Lo que no resulta constitucionalmente admisible es que, una vez interpuesto el recurso de alzada y no resuelto en plazo por la Administración, por la inacción de la Administración se abra un periodo indefinido de tiempo que se puede convertir en ilimitado, que no afecta en modo alguno ni a la prescripción de la infracción ni a la prescripción de la sanción impuesta.</w:t>
      </w:r>
    </w:p>
    <w:p w:rsidR="00D06117" w:rsidRDefault="00D06117" w:rsidP="00D06117">
      <w:pPr>
        <w:pStyle w:val="TextoNormal"/>
      </w:pPr>
    </w:p>
    <w:p w:rsidR="00D06117" w:rsidRDefault="00D06117" w:rsidP="00D06117">
      <w:pPr>
        <w:pStyle w:val="TextoNormal"/>
      </w:pPr>
      <w:r>
        <w:t>5. Por lo que respecta al fundamento constitucional de la prescripción, hemos dicho que “[l]a institución de la prescripción, en general, encuentra su propia justificación constitucional en el principio de seguridad jurídica consagrado de manera expresa en el art. 9.3 CE, puesto que en la prescripción existe un equilibrio entre las exigencias de la seguridad jurídica y las de la justicia material, que ha de ceder a veces para permitir un adecuado desenvolvimiento de las relaciones jurídicas” (STC 157/1990, de 18 de octubre, FJ 3). No podemos ahora dejar de lado nuestra doctrina relativa a que la justificación constitucional de la institución de la prescripción se encuentra en el principio de seguridad jurídica.</w:t>
      </w:r>
    </w:p>
    <w:p w:rsidR="00D06117" w:rsidRDefault="00D06117" w:rsidP="00D06117">
      <w:pPr>
        <w:pStyle w:val="TextoNormal"/>
      </w:pPr>
    </w:p>
    <w:p w:rsidR="00D06117" w:rsidRDefault="00D06117" w:rsidP="00D06117">
      <w:pPr>
        <w:pStyle w:val="TextoNormal"/>
      </w:pPr>
      <w:r>
        <w:t>Igualmente importantes son los pronunciamientos que al respecto se contienen en la STC 63/2005, de 14 de marzo, FFJJ 4 a 6, que se cita en el Auto de planteamiento de la cuestión. En dicha Sentencia se señaló lo siguiente sobre la institución de la prescripción penal:</w:t>
      </w:r>
    </w:p>
    <w:p w:rsidR="00D06117" w:rsidRDefault="00D06117" w:rsidP="00D06117">
      <w:pPr>
        <w:pStyle w:val="TextoNormal"/>
      </w:pPr>
    </w:p>
    <w:p w:rsidR="00D06117" w:rsidRDefault="00D06117" w:rsidP="00D06117">
      <w:pPr>
        <w:pStyle w:val="TextoNormal"/>
      </w:pPr>
      <w:r>
        <w:t xml:space="preserve">“[S]alta a la vista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o, dicho en nuestras propias palabras, el plazo de prescripción ‘toma en consideración la función de la pena y la situación del presunto inculpado, su derecho a que no se dilate indebidamente la situación que supone la virtual amenaza de una sanción penal’ (STC </w:t>
      </w:r>
      <w:r>
        <w:lastRenderedPageBreak/>
        <w:t>157/1990, de 18 de octubre, FJ 3). De manera que lo que la existencia de la prescripción del delito supone es que éste tiene un plazo de vida, pasado el cual se extingue toda posibilidad de exigir responsabilidades por razón de su comisión. Pero también obedece a la propia esencia de la amenaza penal, que requiere ser actuada en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los órganos judiciales a iniciar el procedimiento dentro de un término previa y legalmente acotado o a olvidarlo para siempre.” (FJ 4).</w:t>
      </w:r>
    </w:p>
    <w:p w:rsidR="00D06117" w:rsidRDefault="00D06117" w:rsidP="00D06117">
      <w:pPr>
        <w:pStyle w:val="TextoNormal"/>
      </w:pPr>
    </w:p>
    <w:p w:rsidR="00D06117" w:rsidRDefault="00D06117" w:rsidP="00D06117">
      <w:pPr>
        <w:pStyle w:val="TextoNormal"/>
      </w:pPr>
      <w:r>
        <w:t>La citada Sentencia declaró asimismo que la “voluntad claramente manifestada por el legislador penal de que el ejercicio del ius puniendi se constriña a un marco temporal preestablecido se vería contrariada de considerarse, como así lo ha hecho la Sentencia recurrida, que, para estimar interrumpido el plazo de prescripción en cada caso señalado, basta con la simple presentación de una denuncia o de una querella sin necesidad de que para ello medie acto alguno de interposición judicial” y, por tanto, declaró inconstitucional una interpretación de la norma penal que no se compadecía con la esencia y fundamento de la prescripción penal (FJ 5).</w:t>
      </w:r>
    </w:p>
    <w:p w:rsidR="00D06117" w:rsidRDefault="00D06117" w:rsidP="00D06117">
      <w:pPr>
        <w:pStyle w:val="TextoNormal"/>
      </w:pPr>
    </w:p>
    <w:p w:rsidR="00D06117" w:rsidRDefault="00D06117" w:rsidP="00D06117">
      <w:pPr>
        <w:pStyle w:val="TextoNormal"/>
      </w:pPr>
      <w:r>
        <w:t>En la misma Sentencia se subraya el fundamento material de la institución de la prescripción penal, en contraposición a una configuración meramente adjetiva o procesalista:</w:t>
      </w:r>
    </w:p>
    <w:p w:rsidR="00D06117" w:rsidRDefault="00D06117" w:rsidP="00D06117">
      <w:pPr>
        <w:pStyle w:val="TextoNormal"/>
      </w:pPr>
    </w:p>
    <w:p w:rsidR="00D06117" w:rsidRDefault="00D06117" w:rsidP="00D06117">
      <w:pPr>
        <w:pStyle w:val="TextoNormal"/>
      </w:pPr>
      <w:r>
        <w:t>“La trascendencia de los valores constitucionales y de los bienes jurídicos puestos en juego cuando lo que se niega es que se haya producido la prescripción de los hechos delictivos enjuiciados impone, pues, una lectura teleológica del texto contenido en el artículo 132.2 CP que lo conecte a las finalidades que con esa norma se persiguen, finalidades que, conforme ha quedado expuesto, no son las estrictamente procesales de establecer los límites temporales de ejercicio de la acción penal por parte de los denunciantes o querellantes —lo que justificaría la consideración de que el plazo de prescripción de dicha acción se interrumpe en el mismo momento en que se produce la presentación de la denuncia o de la querella— sino otras muy distintas, de naturaleza material, directamente derivadas de los fines legítimos de prevención general y especial que se concretan en las sanciones penales y que son los únicos que justifican el ejercicio del ius puniendi, así como de principios tan básicos del Derecho penal como los de intervención mínima y proporcionada a la gravedad de los hechos.” (FJ 6).</w:t>
      </w:r>
    </w:p>
    <w:p w:rsidR="00D06117" w:rsidRDefault="00D06117" w:rsidP="00D06117">
      <w:pPr>
        <w:pStyle w:val="TextoNormal"/>
      </w:pPr>
    </w:p>
    <w:p w:rsidR="00D06117" w:rsidRDefault="00D06117" w:rsidP="00D06117">
      <w:pPr>
        <w:pStyle w:val="TextoNormal"/>
      </w:pPr>
      <w:r>
        <w:t>Nuestra Sentencia elude la virtualidad de la referida doctrina constitucional en materia de prescripción penal, al entender que no concierne al problema resuelto por la doctrina legal vinculante fijada en las dos Sentencias del Tribunal Supremo objeto de la presente cuestión, sobre la base de dos argumentos: “ni la potestad sancionadora de la Administración puede constituir una amenaza para la libertad personal (art. 25.3 CE), ni la doctrina legal que se contiene en las referidas Sentencias en interés de ley —de la que antes hemos dejado sucinta constancia— guarda relación alguna con dejar la interrupción de la prescripción de la infracción en manos de denunciantes o querellantes, desconociendo la configuración de la prescripción penal como renuncia o autolimitación del Estado al ius puniendi por el transcurso del tiempo”.</w:t>
      </w:r>
    </w:p>
    <w:p w:rsidR="00D06117" w:rsidRDefault="00D06117" w:rsidP="00D06117">
      <w:pPr>
        <w:pStyle w:val="TextoNormal"/>
      </w:pPr>
    </w:p>
    <w:p w:rsidR="00D06117" w:rsidRDefault="00D06117" w:rsidP="00D06117">
      <w:pPr>
        <w:pStyle w:val="TextoNormal"/>
      </w:pPr>
      <w:r>
        <w:lastRenderedPageBreak/>
        <w:t>Evidentemente el problema abordado por la STC 63/2005 no es el mismo que el planteado ante la referida doctrina legal del Tribunal Supremo. La cuestión es si los preceptos legales ahora cuestionados, dotados del contenido preciso proporcionado por la doctrina legal del Tribunal Supremo, se compadecen o no con la doctrina sentada en la STC 63/2005. Mi opinión es que no se compadecen, y que el argumento usado para desestimar la cuestión de inconstitucionalidad planteada es insuficiente para excluir el ámbito sancionador administrativo de los principios que rigen para el Derecho penal. El Código penal contiene penas no privativas de libertad, y la diferencia entre las sanciones penales y las administrativas no siempre reside en la mayor gravedad de las primeras, como es evidente en relación a las de carácter pecuniario. El apartado 3 del art. 25 no puede ser utilizado para desgajar lo que el constituyente ha considerado de forma unitaria en el apartado 1 del mismo precepto: el ordenamiento punitivo del Estado se rige, como regla general, por los mismos principios sustantivos.</w:t>
      </w:r>
    </w:p>
    <w:p w:rsidR="00D06117" w:rsidRDefault="00D06117" w:rsidP="00D06117">
      <w:pPr>
        <w:pStyle w:val="TextoNormal"/>
      </w:pPr>
    </w:p>
    <w:p w:rsidR="00D06117" w:rsidRDefault="00D06117" w:rsidP="00D06117">
      <w:pPr>
        <w:pStyle w:val="TextoNormal"/>
      </w:pPr>
      <w:r>
        <w:t>De acuerdo con la reiterada doctrina constitucional de este Tribunal, los principios del Derecho penal rigen también en el ámbito sancionador administrativo, aunque con los inevitables “matices” producto de la ponderación de “los aspectos que diferencian a uno y otro sector del ordenamiento jurídico” [STC 76/1990, de 26 de abril, FJ 4 b)]. Únicamente la fundamentada apreciación de una singularidad propia del ámbito administrativo justificaría una relajación o modulación, en el ámbito sancionador administrativo, de un principio propio del Derecho penal. Pues bien, la Sentencia en la que en este punto discrepo, no contiene explicación de cuáles son las singularidades administrativas que concurren aquí que puedan justificar una relajación o modulación tan relevante como sería la exclusión de la prescripción de las sanciones administrativas del ámbito del art. 25.1 CE. Cabe subrayar que el propio legislador autor de la Ley 30/1992 (LPC) insertó la prescripción (art. 132) dentro del capítulo de los “Principios de la potestad sancionadora”, junto a los principios de legalidad, irretroactividad, tipicidad , responsabilidad y proporcionalidad y la concurrencia de sanciones; por tanto, fuera del capítulo dedicado a los “Principios del procedimiento sancionador”.</w:t>
      </w:r>
    </w:p>
    <w:p w:rsidR="00D06117" w:rsidRDefault="00D06117" w:rsidP="00D06117">
      <w:pPr>
        <w:pStyle w:val="TextoNormal"/>
      </w:pPr>
    </w:p>
    <w:p w:rsidR="00D06117" w:rsidRDefault="00D06117" w:rsidP="00D06117">
      <w:pPr>
        <w:pStyle w:val="TextoNormal"/>
      </w:pPr>
      <w:r>
        <w:t xml:space="preserve">6. En síntesis, en el ordenamiento punitivo la institución de la prescripción no sólo sirve al principio de seguridad jurídica (art. 9.3 CE), sino también a la configuración del marco temporal legítimo del ejercicio del ius puniendi estatal (art. 25.1 CE), en las dos expresiones consagradas por nuestro ordenamiento jurídico y reconocidas por la propia Constitución (arts. 25 y 45 CE), el ámbito penal y el ámbito sancionador administrativo. El ius puniendi del Estado no puede ser temporalmente indefinido respecto al momento de los hechos sancionables ni respecto a las sanciones impuestas, la delimitación del marco temporal a tales efectos debe asegurar la certeza de su transcurso, no sólo teórica sino también efectivamente. Los preceptos legales cuestionados, con el contenido preciso derivado de la doctrina legal vinculante del Tribunal Supremo, conducen a que el inicio del plazo de prescripción dependa exclusivamente y con carácter indefinido de la voluntad de la Administración, más allá de un tiempo razonable para resolver el recurso de alzada interpuesto contra la resolución sancionadora (que el legislador ha determinado con carácter general que sea de tres meses), sin que se prevea o se articule normativamente ninguna medida o instrumento jurídico que corrija esa “latencia sine die” de la amenaza de la potestad sancionadora que pende sobre el interesado. No se trata, como afirma la Sentencia, de la posibilidad de optar entre dos interpretaciones judiciales de la legalidad ordinaria, una de las cuales “acaso hubiera respondido más plenamente a los valores incorporados a los derechos fundamentales u otros preceptos constitucionales, pues una cosa es la garantía de los derechos fundamentales, tal </w:t>
      </w:r>
      <w:r>
        <w:lastRenderedPageBreak/>
        <w:t>y como le está encomendada a este Tribunal, y otra, muy distinta, la de la máxima irradiación de los contenidos constitucionales en todos y cada uno de los supuestos de la interpretación de la legalidad”, sino la opción entre una interpretación rechazable porque, en un supuesto específico, convierte en inoperativa la institución de la prescripción, y una interpretación acorde con los principios y valores constitucionales.</w:t>
      </w:r>
    </w:p>
    <w:p w:rsidR="00D06117" w:rsidRDefault="00D06117" w:rsidP="00D06117">
      <w:pPr>
        <w:pStyle w:val="TextoNormal"/>
      </w:pPr>
    </w:p>
    <w:p w:rsidR="00D06117" w:rsidRDefault="00D06117" w:rsidP="00D06117">
      <w:pPr>
        <w:pStyle w:val="TextoNormal"/>
      </w:pPr>
      <w:r>
        <w:t>7. Quiero asimismo expresar mi opinión discrepante sobre las conclusiones que nuestra Sentencia extrae del fragmento reproducido de la Sentencia del Tribunal Supremo, en interés de ley, de 22 de septiembre de 2008. En dicho fragmento se pone de manifiesto que la conjunción de dicha doctrina legal con la sentada en la Sentencia anterior, en interés de ley, de 15 de diciembre de 2004, pudieran conducir a “consecuencias indeseables, como sería la pervivencia indefinida de una resolución sancionadora que estuviese pendiente de recurso de alzada y de la que no pudiere predicarse la prescripción de la infracción ni de la sanción”, y asimismo se explicita que “no se descarta por ello que la cuestión abordada en la Sentencia de 15 de diciembre de 2004 pueda ser objeto de un nuevo examen cuando haya ocasión para ello, pero no es ahora momento de hacerlo, pues en el caso que nos ocupa ningún debate se ha suscitado en torno a la prescripción de la infracción y sí únicamente en lo que se refiere a la sanción”. Para la mayoría de los Magistrados, dicha “precaución del Tribunal Supremo, en lugar de debilitar la legitimidad constitucional de la doctrina legal sentada en la referida Sentencia en interés de ley, la refuerza, toda vez que deja abierta la puerta a sucesivas reconsideraciones cuando el caso así lo precisare”. De ello se deduciría justificación suficiente para que el Tribunal Constitucional se autoimpusiera una especie de self-restraint en relación con la referida doctrina legal del Tribunal Supremo, entendiendo que ya revisará ese Tribunal aquella doctrina legal. La cuestión es cómo podrán los particulares afectados defenderse frente a dichas “consecuencias indeseables” si se tiene en cuenta que: a) la doctrina legal errónea que produce “consecuencias indeseables” vincula a todos los jueces y tribunales del orden jurisdiccional contencioso-administrativo inferiores en grado al Tribunal Supremo (art. 100.7 LJCA); b) este Tribunal, mediante la presente Sentencia, desestima la cuestión de inconstitucionalidad que plantea la duda fundada de constitucionalidad sobre el enunciado normativo que origina aquellas “consecuencias indeseables”; c) el particular afectado no está legitimado para promover el recurso de casación en interés de ley (art. 100.1 LJCA); y d) el particular afectado tampoco puede plantear el recurso de casación ordinario ante el Tribunal Supremo frente a las sanciones pecuniarias cuya cuantía no exceda de 150.000 euros [art. 86.2 b) LJCA]. En estas circunstancias, no parece que dichas “consecuencias indeseables” tengan fácil remedio jurídico. Consideraciones de tutela judicial efectiva frente a la doctrina legal vinculante del Tribunal Supremo que deberían haber conducido a reforzar nuestro canon en lugar de a rebajarlo.</w:t>
      </w:r>
    </w:p>
    <w:p w:rsidR="00D06117" w:rsidRDefault="00D06117" w:rsidP="00D06117">
      <w:pPr>
        <w:pStyle w:val="TextoNormal"/>
      </w:pPr>
    </w:p>
    <w:p w:rsidR="00D06117" w:rsidRDefault="00D06117" w:rsidP="00D06117">
      <w:pPr>
        <w:pStyle w:val="TextoNormal"/>
      </w:pPr>
      <w:r>
        <w:t xml:space="preserve">8. Mi opinión favorable a la estimación parcial de la presente cuestión de inconstitucionalidad en absoluto excluye el reconocimiento de la plena libertad del legislador (por todas, STC 63/2001, de 17 de marzo), para configurar el plazo de prescripción y en general “el régimen jurídico, el sentido y el alcance de la prescripción de las infracciones” que considere más adecuado por razones de política criminal o para atender a las características propias de la ejecución de las sanciones administrativas en cada ámbito sectorial, y especialmente en el complejo ámbito del tráfico y la seguridad vial. Precisamente, con posterioridad al planteamiento de la presente cuestión de inconstitucionalidad, el legislador ha establecido en esta materia que el plazo de prescripción de las sanciones pecuniarias será de cuatro años (art. 92.4 LSV, en la versión introducida por la Ley 18/2009, de 23 de noviembre). Pero el </w:t>
      </w:r>
      <w:r>
        <w:lastRenderedPageBreak/>
        <w:t>problema constitucional aquí abordado no reside en la mayor o menor duración del plazo de prescripción sino en la indeterminación del inicio efectivo de su cómputo, en tanto que éste queda supeditado a una actuación administrativa incierta que incluso puede no llegar a producirse. Por ello, entiendo que se conculca el principio de seguridad jurídica.</w:t>
      </w:r>
    </w:p>
    <w:p w:rsidR="00D06117" w:rsidRDefault="00D06117" w:rsidP="00D06117">
      <w:pPr>
        <w:pStyle w:val="TextoNormal"/>
      </w:pPr>
    </w:p>
    <w:p w:rsidR="00D06117" w:rsidRDefault="00D06117" w:rsidP="00D06117">
      <w:pPr>
        <w:pStyle w:val="TextoNormal"/>
      </w:pPr>
      <w:r>
        <w:t>Cádiz, a diecinueve de marzo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Luis Ignacio Ortega Álvarez a la Sentencia relativa a la cuestión de inconstitucionalidad 9689-2009.</w:t>
      </w:r>
    </w:p>
    <w:p w:rsidR="00D06117" w:rsidRDefault="00D06117" w:rsidP="00D06117">
      <w:pPr>
        <w:pStyle w:val="TextoNormalNegritaCentrado"/>
        <w:keepNext/>
      </w:pPr>
    </w:p>
    <w:p w:rsidR="00D06117" w:rsidRDefault="00D06117" w:rsidP="00D06117">
      <w:pPr>
        <w:pStyle w:val="TextoNormal"/>
      </w:pPr>
      <w:r>
        <w:t>En el ejercicio de la facultad conferida por el art. 90.2 LOTC, y con pleno respeto a la opinión de la mayoría, expreso mi opinión discrepante con la Sentencia por las razones siguientes:</w:t>
      </w:r>
    </w:p>
    <w:p w:rsidR="00D06117" w:rsidRDefault="00D06117" w:rsidP="00D06117">
      <w:pPr>
        <w:pStyle w:val="TextoNormal"/>
      </w:pPr>
    </w:p>
    <w:p w:rsidR="00D06117" w:rsidRDefault="00D06117" w:rsidP="00D06117">
      <w:pPr>
        <w:pStyle w:val="TextoNormal"/>
      </w:pPr>
      <w:r>
        <w:t>La Sentencia de la que discrepo desestima la cuestión de inconstitucionalidad por entender, en primer lugar, que la interpretación vinculante que deriva del art. 100.7 LJCA no vulnera la independencia judicial ya que la misma queda preservada desde el momento en que el órgano judicial inferior en grado está facultado para plantear ante el Tribunal Constitucional la cuestión de inconstitucionalidad (art. 163 CE, arts. 35 y 36 LOTC y art. 5.2 LOPJ). En segundo término se descarta la vulneración del art. 9.3 CE pues la ponencia no aprecia incidencia en la vertiente objetiva —certeza— ni en la subjetiva —previsibilidad— del principio de seguridad jurídica (art. 9.3 CE), puesto que entiende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Tampoco se aprecia vulneración de la doctrina constitucional acerca del silencio administrativo ya que se argumenta que el incumplimiento de la obligación legal de resolver el recurso de alzada contra una resolución sancionadora dentro del plazo legalmente establecido no coloca a la Administración en mejor situación que aquella en la cual se habría encontrado si hubiera cumplido su obligación de resolver expresamente dentro de plazo el recurso de alzada, ya que, durante la pendencia del recurso administrativo, se mantiene el efecto de la inejecutividad de la sanción. Todo lo anterior conduce a la desestimación de la cuestión por entender que no se vulnera el art. 123.1 CE en la medida en que la doctrina legal sentada en las citadas Sentencias en interés de la ley por la Sala de lo Contencioso-Administrativo del Tribunal Supremo no contradice la doctrina constitucional.</w:t>
      </w:r>
    </w:p>
    <w:p w:rsidR="00D06117" w:rsidRDefault="00D06117" w:rsidP="00D06117">
      <w:pPr>
        <w:pStyle w:val="TextoNormal"/>
      </w:pPr>
    </w:p>
    <w:p w:rsidR="00D06117" w:rsidRDefault="00D06117" w:rsidP="00D06117">
      <w:pPr>
        <w:pStyle w:val="TextoNormal"/>
      </w:pPr>
      <w:r>
        <w:t>Mi discrepancia con la Sentencia de la mayoría cuyos razonamientos se acaban, someramente, de exponer se centra, fundamentalmente, en los siguientes aspectos.</w:t>
      </w:r>
    </w:p>
    <w:p w:rsidR="00D06117" w:rsidRDefault="00D06117" w:rsidP="00D06117">
      <w:pPr>
        <w:pStyle w:val="TextoNormal"/>
      </w:pPr>
    </w:p>
    <w:p w:rsidR="00D06117" w:rsidRDefault="00D06117" w:rsidP="00D06117">
      <w:pPr>
        <w:pStyle w:val="TextoNormal"/>
      </w:pPr>
      <w:r>
        <w:t xml:space="preserve">El primero se relaciona con la consideración más detallada que hubieran debido merecer los principios y valores constitucionales a los que sirve una institución como el recurso de casación en interés de ley previsto en el art. 100.7 de la Ley reguladora de la jurisdicción contencioso-administrativa. En la Sentencia se declara, FJ 7, que este carácter vinculante de la doctrina legal sentada por el Tribunal Supremo al resolver recursos de casación en interés de ley se justifica “en atención a preservar intereses constitucionalmente garantizados, como </w:t>
      </w:r>
      <w:r>
        <w:lastRenderedPageBreak/>
        <w:t>lo son el principio de seguridad jurídica (art. 9.3 CE) y la aplicación igual del Derecho en todo el territorio nacional (arts. 1.1, 14 y 139.1 CE)” sin mayores precisiones. Precisiones tanto más necesarias cuanto con anterioridad (FJ 3) tales valores se han identificado de modo diverso, pues se afirma que el recurso de casación en interés de ley responde al “objetivo de que la ley sea igual en todo el territorio nacional (arts. 14 y 139.1 CE) y al principio de seguridad jurídica (art. 9.3 CE)” y, posteriormente, en el mismo fundamento jurídico se le atribuye una función integradora o uniformadora del Derecho, pues con él “se garantiza la aplicación uniforme de la ley en todo el territorio nacional”. Conceptos todos ellos, como se ve, no estrictamente coincidentes entre sí y cuya precisión hubiera sido muy necesaria de cara a justificar constitucionalmente las razones que permiten al Tribunal Supremo colocarse en la posición del legislador, al menos en cuanto a su relación con los jueces y Tribunales inferiores, cuando resuelve recursos de casación en interés de ley.</w:t>
      </w:r>
    </w:p>
    <w:p w:rsidR="00D06117" w:rsidRDefault="00D06117" w:rsidP="00D06117">
      <w:pPr>
        <w:pStyle w:val="TextoNormal"/>
      </w:pPr>
    </w:p>
    <w:p w:rsidR="00D06117" w:rsidRDefault="00D06117" w:rsidP="00D06117">
      <w:pPr>
        <w:pStyle w:val="TextoNormal"/>
      </w:pPr>
      <w:r>
        <w:t>El segundo motivo de mi discrepancia estriba en que la Sentencia de la mayoría no pondera adecuadamente dos valores constitucionales la seguridad jurídica (art. 9.3 CE), y, relacionado con ello aunque no aparece citado en el Auto de planteamiento, el mandato de eficacia de la actuación administrativa (art. 103.1 CE), ambos principios informadores de la actuación de los poderes públicos.</w:t>
      </w:r>
    </w:p>
    <w:p w:rsidR="00D06117" w:rsidRDefault="00D06117" w:rsidP="00D06117">
      <w:pPr>
        <w:pStyle w:val="TextoNormal"/>
      </w:pPr>
    </w:p>
    <w:p w:rsidR="00D06117" w:rsidRDefault="00D06117" w:rsidP="00D06117">
      <w:pPr>
        <w:pStyle w:val="TextoNormal"/>
      </w:pPr>
      <w:r>
        <w:t>El examen de la vulneración del principio de seguridad jurídica que realiza la Sentencia de la que disiento es, en mi opinión, puramente formal y no material. En otros términos, ninguna duda cabe de que el mandato normativo de los preceptos cuestionados es claro e inequívoco, pero con esa simple constatación no se resuelve el problema, para lo que hubiera sido necesario el examen de la cuestión desde el prisma de la seguridad jurídica en su vertiente material. Para esto último poco aporta la constatación de que (FJ 8)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Cuestión que, en principio, no cabe discutir pero que supone una simplificación del problema planteado. A mi juicio lo que debería haberse examinado es si la norma cuestionada, en la forma en que ha entendido la fijación del dies a quo del cómputo del plazo de prescripción de las infracciones y sanciones administrativas, resulta compatible con el principio de seguridad jurídica (art. 9.3 CE) en su acepción genérica. Al respecto cabe recordar que la seguridad jurídica, en sentido amplio, es, según reiterada doctrina de este Tribunal (SSTC 27/1981, 99/1987 y 227/1988), “suma de certeza y legalidad, jerarquía y publicidad normativa, irretroactividad de lo no favorable e interdicción de la arbitrariedad, sin perjuicio del valor que por sí mismo tiene aquel principio”. En ese sentido, la STC 157/1990, de 18 de octubre, FJ 3, ya estableció la directa relación existente entre prescripción y seguridad jurídica cuando afirma que “[l]a institución de la prescripción, en general, encuentra su propia justificación constitucional en el principio de seguridad jurídica consagrado de manera expresa en el art. 9.3 C.E., puesto que en la prescripción existe un equilibrio entre las exigencias de la seguridad jurídica y las de la justicia material, que ha de ceder a veces para permitir un adecuado desenvolvimiento de las relaciones jurídicas”, relación reiterada luego es posteriores pronunciamientos, como la STC 63/2005, de 14 de marzo, bien que en este caso por referencia a la prescripción penal.</w:t>
      </w:r>
    </w:p>
    <w:p w:rsidR="00D06117" w:rsidRDefault="00D06117" w:rsidP="00D06117">
      <w:pPr>
        <w:pStyle w:val="TextoNormal"/>
      </w:pPr>
    </w:p>
    <w:p w:rsidR="00D06117" w:rsidRDefault="00D06117" w:rsidP="00D06117">
      <w:pPr>
        <w:pStyle w:val="TextoNormal"/>
      </w:pPr>
      <w:r>
        <w:lastRenderedPageBreak/>
        <w:t>Tampoco puedo compartir las tajantes afirmaciones de la Sentencia en el sentido de que la doctrina de la STC 63/2005 sea por completo ajena al supuesto que en el presente caso se plantea. En mi opinión es indudable que la prescripción, sea en el ámbito penal o en el sancionador administrativo, es una institución de naturaleza sustantiva o material, fundada en principios de orden público, en cuanto que limita o puede limitar el ejercicio del ius puniendi por parte del poder. A este respecto no puede olvidarse la finalidad que la institución de la prescripción cumple en el ámbito administrativo sancionador, en cuanto que expresa la necesidad de aproximación del momento de la comisión de la infracción con el ejercicio de la potestad sancionadora por la Administración, previa instrucción del correspondiente procedimiento que termine, en su caso, con la imposición de una sanción susceptible de ser cuestionada por el interesado. Interesado que, en todo caso, tiene derecho tanto a recibir una respuesta adecuada en tiempo y forma como a conocer en todo momento, los efectos que el mero transcurso del tiempo produce tanto en el ejercicio de la potestad sancionadora de la Administración como en la tardanza en la respuesta a la discrepancia que, respecto al ejercicio de dicha potestad, ha planteado el interesado en vía de recurso.</w:t>
      </w:r>
    </w:p>
    <w:p w:rsidR="00D06117" w:rsidRDefault="00D06117" w:rsidP="00D06117">
      <w:pPr>
        <w:pStyle w:val="TextoNormal"/>
      </w:pPr>
    </w:p>
    <w:p w:rsidR="00D06117" w:rsidRDefault="00D06117" w:rsidP="00D06117">
      <w:pPr>
        <w:pStyle w:val="TextoNormal"/>
      </w:pPr>
      <w:r>
        <w:t>La consecuencia de la doctrina legal establecida por el Tribunal Supremo y asumida en la Sentencia de la mayoría es una ampliación extralegal del plazo de prescripción, pues resulta que el período que media entre la interposición del recurso de alzada y su resolución expresa no tiene ningún efecto sobre la potestad punitiva que pretende ejercerse por la Administración. Por otra parte, con esta doctrina, la prescripción de la sanción queda al albur de la decisión de una de las partes, la Administración pública, extremo que presenta evidentes conexiones con la doctrina sobre la prescripción penal de la STC 63/2005, pues pocas diferencias hay entre lo que en dicha sentencia se califica como “latencia sine die de la amenaza penal que genere inseguridad en los ciudadanos respecto del calendario de exigencia de responsabilidad por hechos cometidos en un pasado más o menos remoto” (FJ 4) y la situación en la que queda el interesado que ha recurrido contra la sanción que le ha sido impuesta. Se produce, entonces, una clara contradicción con la propia razón de ser de la prescripción, que no es otra que la renuncia o autolimitación de la Administración a su ius puniendi por el transcurso del tiempo buscando un razonable equilibrio entre la extensión temporal de la posibilidad de ejercicio de ese ius puniendi con la situación de incertidumbre del posible sancionado y su derecho a que no se dilate indebidamente la amenaza que supone la imposición de una sanción. No se olvide tampoco que la prescripción es un instrumento conminatorio para que la Administración tome su decisión dentro de un término previo y legalmente acotado, esto es, se trata de un marco temporal prestablecido que conlleva implícita una incitación a la Administración para que actúe diligentemente, incitación que, junto con el aludido marco temporal prestablecido, que la Sentencia de la que disiento hace desaparecer. Por ello entiendo que el contenido normativo dado por las Sentencias del Tribunal Supremo a los preceptos cuestionados se opone al fundamento material de la institución de la prescripción y no resulta coherente con los fines que la misma persigue.</w:t>
      </w:r>
    </w:p>
    <w:p w:rsidR="00D06117" w:rsidRDefault="00D06117" w:rsidP="00D06117">
      <w:pPr>
        <w:pStyle w:val="TextoNormal"/>
      </w:pPr>
    </w:p>
    <w:p w:rsidR="00D06117" w:rsidRDefault="00D06117" w:rsidP="00D06117">
      <w:pPr>
        <w:pStyle w:val="TextoNormal"/>
      </w:pPr>
      <w:r>
        <w:t xml:space="preserve">En tercer lugar, dado que la prescripción encuentra su razón de ser en los efectos que el transcurso del tiempo tiene sobre el ejercicio de las potestades punitivas del Estado, sea en el ámbito penal o en el administrativo sancionador, entiendo que habría sido preciso exponer las razones en virtud de las cuales es admisible una doctrina sobre la prescripción que, más allá de atemperar los efectos del paso del tiempo sobre el ejercicio de la potestad sancionadora de la Administración, coloca en una situación de inseguridad e incertidumbre al administrado y, en contraposición, en una situación de supremacía absoluta a la Administración. </w:t>
      </w:r>
      <w:r>
        <w:lastRenderedPageBreak/>
        <w:t>A esta última le consta que su inactividad en la resolución del previo recurso interpuesto y, por consiguiente, en relación con la firmeza de la actuación administrativa con los consiguientes efectos sobre la prescripción de la infracción no le va a generar consecuencia alguna mas allá de la que el propio legislador asocia en el sentido de impedir la ejecución de sanciones que no sean firmes. Extremo éste último, por lo demás, plenamente coherente con el entendimiento de las previsiones legales en la materia que ha realizado nuestra doctrina según la cual la resolución objeto de un recurso de alzada no puede alcanzar firmeza hasta que no se desestime éste expresa y totalmente (al respecto STC 243/2006, de 24 de julio, en la que consideramos lesivo del derecho a la tutela judicial efectiva una interpretación judicial según la cual el mero transcurso de los plazos legalmente establecidos para entender desestimado por silencio administrativo un recurso de alzada contra una resolución sancionadora y para recurrir en vía contencioso-administrativa frente a esa desestimación presunta determinaban per se la firmeza de la sanción en vía administrativa, permitiendo así su inmediata ejecución).</w:t>
      </w:r>
    </w:p>
    <w:p w:rsidR="00D06117" w:rsidRDefault="00D06117" w:rsidP="00D06117">
      <w:pPr>
        <w:pStyle w:val="TextoNormal"/>
      </w:pPr>
    </w:p>
    <w:p w:rsidR="00D06117" w:rsidRDefault="00D06117" w:rsidP="00D06117">
      <w:pPr>
        <w:pStyle w:val="TextoNormal"/>
      </w:pPr>
      <w:r>
        <w:t>Por otra parte resulta que, con esta interpretación, desaparece la razón de ser de la prescripción como institución pues el dies a quo del plazo se hace depender de la voluntad de aquél que, en otro caso, se vería perjudicado, en el ejercicio de sus potestades administrativas, por su propia inactividad. Consecuencias de la inactividad que, paradójicamente, ahora recaen sobre aquel que se mostró diligente en la defensa de sus pretensiones mediante la interposición del correspondiente recurso administrativo contra la sanción impuesta.</w:t>
      </w:r>
    </w:p>
    <w:p w:rsidR="00D06117" w:rsidRDefault="00D06117" w:rsidP="00D06117">
      <w:pPr>
        <w:pStyle w:val="TextoNormal"/>
      </w:pPr>
    </w:p>
    <w:p w:rsidR="00D06117" w:rsidRDefault="00D06117" w:rsidP="00D06117">
      <w:pPr>
        <w:pStyle w:val="TextoNormal"/>
      </w:pPr>
      <w:r>
        <w:t>Es decir, no se trata de que no pueda apreciarse, como afirma la Sentencia,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sino que al que se coloca en peor situación por una causa imputable a la propia Administración es al interesado diligente en el uso de los derechos que el ordenamiento jurídico le reconoce para oponerse a la pretensión sancionadora de la Administración. De hecho la paradójica consecuencia de esta interpretación legal es que las sanciones que han sido recurridas pueden no prescribir o, al menos, es mucho mas difícil que prescriban que aquellas no recurridas. Por su parte la Administración puede eludir la prescripción simplemente no resolviendo el recurso interpuesto. En otros términos, la prescripción depende, no del transcurso del tiempo sino, principalmente, de la decisión del órgano administrativo que, por un lado, ha impuesto la sanción sin que en el plazo de prescripción de la infracción legalmente establecido se compute el tiempo necesario para que la sanción gane firmeza y, por otro, al resolver el recurso interpuesto, fija el dies a quo del cómputo del plazo de prescripción de la sanción, de suerte que la pervivencia en el tiempo del incumplimiento de la Administración no le genera a ésta consecuencia alguna</w:t>
      </w:r>
    </w:p>
    <w:p w:rsidR="00D06117" w:rsidRDefault="00D06117" w:rsidP="00D06117">
      <w:pPr>
        <w:pStyle w:val="TextoNormal"/>
      </w:pPr>
    </w:p>
    <w:p w:rsidR="00D06117" w:rsidRDefault="00D06117" w:rsidP="00D06117">
      <w:pPr>
        <w:pStyle w:val="TextoNormal"/>
      </w:pPr>
      <w:r>
        <w:t xml:space="preserve">Resulta entonces que, frente al ciudadano diligente en la defensa de los derechos que el ordenamiento jurídico le reconoce, la Administración no se ve penalizada por su falta de diligencia, sin que tal pueda considerarse la imposibilidad de ejecutar la sanción pues mal puede ser ejecutado aquello que todavía no es firme y, por tanto, susceptible de revisión. Así, la obligación legal que pesa sobre la Administración para resolver expresamente las peticiones o recursos de los ciudadanos, obligación cuyo incumplimiento debe acarrear, entre otras consecuencias que ahora no vienen al caso, la eventual prescripción de la actuación administrativa, deviene así en algo paradójicamente muy distinto pues fundamenta una </w:t>
      </w:r>
      <w:r>
        <w:lastRenderedPageBreak/>
        <w:t>suerte de beneficio para la Administración Pública, el de poder determinar el inicio del plazo de prescripción y, en la misma medida, se minusvalora el derecho de los ciudadanos a recibir una respuesta expresa y en plazo adecuado a sus recursos. Ello es radicalmente contrario a nuestra doctrina pues, como recuerda la STC 220/2003, de 15 de diciembre, FJ 5, “hemos declarado, en reiteradas ocasiones, que la Administración no puede verse beneficiada por el incumplimiento de su obligación de resolver expresamente en plazo solicitudes de los ciudadanos, pues este deber entronca con la cláusula del Estado de Derecho (art. 1.1 CE), así como con los valores que proclaman los arts. 24.1, 103.1 y 106.1 CE (por todas, SSTC 6/1986, de 21 de enero, FJ 3; 204/1987, de 21 de diciembre, FJ 4; 180/1991, de 23 de septiembre, FJ 1; 86/1998, de 21 de abril, FFJJ 5 y 6; 71/2001, de 26 de marzo, FJ 4; y 188/2003, de 27 de octubre, FJ 6). Por este motivo, hemos dicho también que el silencio administrativo de carácter negativo se configura como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180/1991, de 23 de septiembre, FJ 1; 294/1994, de 7 de noviembre, FJ 4; 3/2001, de 15 de enero, FJ 7; y 179/2003, de 13 de octubre, FJ 4].”</w:t>
      </w:r>
    </w:p>
    <w:p w:rsidR="00D06117" w:rsidRDefault="00D06117" w:rsidP="00D06117">
      <w:pPr>
        <w:pStyle w:val="TextoNormal"/>
      </w:pPr>
    </w:p>
    <w:p w:rsidR="00D06117" w:rsidRDefault="00D06117" w:rsidP="00D06117">
      <w:pPr>
        <w:pStyle w:val="TextoNormal"/>
      </w:pPr>
      <w:r>
        <w:t>Así el hecho de que la sanción no gane firmeza es consecuencia lógica de las previsiones legales tal como han sido interpretadas por el Tribunal Constitucional pero el que la sanción no devenga firme por no haberse pronunciado definitivamente la Administración sobre la misma en nada debe afectar a los efectos del transcurso del tiempo sobre el ejercicio de determinadas potestades administrativas, en este caso, la sancionadora, que es lo determinante de la prescripción. Y eso pese a que el interesado pudiera recurrir la desestimación presunta del recurso ante la jurisdicción contencioso-administrativa pues es evidente que la posibilidad de reaccionar frente a la inactividad de la Administración Pública tiene poco que ver con lo realmente discutido que es el efecto que esa inactividad y el correlativo paso del tiempo que la misma conlleva tiene sobre una potestad de la Administración.</w:t>
      </w:r>
    </w:p>
    <w:p w:rsidR="00D06117" w:rsidRDefault="00D06117" w:rsidP="00D06117">
      <w:pPr>
        <w:pStyle w:val="TextoNormal"/>
      </w:pPr>
    </w:p>
    <w:p w:rsidR="00D06117" w:rsidRDefault="00D06117" w:rsidP="00D06117">
      <w:pPr>
        <w:pStyle w:val="TextoNormal"/>
      </w:pPr>
      <w:r>
        <w:t>En suma, por utilizar la terminología de la Sentencia, el problema al que no se da respuesta viene dado por la aplicación de la doctrina establecida en la STC 246/2006 sobre la firmeza y ejecutividad de la resolución sancionadora pendiente de resolución expresa del recurso de alzada, a los efectos de la prescripción de las infracciones y sanciones, pues es la validez constitucional de esa extensión la que debe enjuiciarse, en especial, desde la perspectiva del art. 9.3 CE entendida en un sentido amplio, comprensiva de la institución de la prescripción. Extensión que, en mi opinión, no es admisible por contradecir el principio o valor constitucional de la seguridad jurídica.</w:t>
      </w:r>
    </w:p>
    <w:p w:rsidR="00D06117" w:rsidRDefault="00D06117" w:rsidP="00D06117">
      <w:pPr>
        <w:pStyle w:val="TextoNormal"/>
      </w:pPr>
    </w:p>
    <w:p w:rsidR="00D06117" w:rsidRDefault="00D06117" w:rsidP="00D06117">
      <w:pPr>
        <w:pStyle w:val="TextoNormal"/>
      </w:pPr>
      <w:r>
        <w:t xml:space="preserve">Por último, en cuarto lugar, no puedo sino señalar que no comparto los razonamientos con los que la Sentencia cierra su argumentación en el fundamento jurídico 12. En esencia allí se viene a afirmar que se trata de una cuestión que entra en el margen constitucionalmente admisible de la interpretación de la legalidad ordinaria y ello sin perjuicio de que pudieran existir otras interpretaciones que, como la sostenida en las observaciones, se acomoden mejor a las exigencias derivadas del principio de seguridad jurídica. En apoyo de esos criterios se cita la doctrina de las SSTC 77/2002, FJ 3; 211/2002, FJ 2; 103/2003, FJ 3; </w:t>
      </w:r>
      <w:r>
        <w:lastRenderedPageBreak/>
        <w:t>45/2004, FJ 4; y 65/2011, FJ 2, doctrina toda ella relativa a supuestos de amparo relacionados con la interpretación de los plazos de prescripción de acciones procesales y, por tanto, en relación con el art. 24.1 CE en su vertiente de acceso al proceso. En ese ámbito la doctrina constitucional ha repetidamente afirmado que el recurso de amparo no es un instrumento para corregir, en términos objetivos y abstractos, los errores en que los órganos judiciales hayan podido incurrir en la aplicación e interpretación de las normas, ni para imponerles una determinada interpretación entre aquellas que el Derecho le ofrezca siempre en relación, en las sentencias citadas, con el derecho a la tutela judicial efectiva. De ahí las conclusiones que se alcanzan en las Sentencias que se citan para las cuales la prescripción es una cuestión de legalidad ordinaria que solo puede ser examinada en amparo con arreglo al canon del art. 24.1 CE, es decir, comprobando si existe razonabilidad y ausencia de arbitrariedad o error patente, en el caso concreto.</w:t>
      </w:r>
    </w:p>
    <w:p w:rsidR="00D06117" w:rsidRDefault="00D06117" w:rsidP="00D06117">
      <w:pPr>
        <w:pStyle w:val="TextoNormal"/>
      </w:pPr>
    </w:p>
    <w:p w:rsidR="00D06117" w:rsidRDefault="00D06117" w:rsidP="00D06117">
      <w:pPr>
        <w:pStyle w:val="TextoNormal"/>
      </w:pPr>
      <w:r>
        <w:t>De lo que discrepo, sin embargo, es de la extensión y aplicación de dicha doctrina, establecida en procesos de amparo y en la perspectiva del art. 24.1 CE, a un proceso de naturaleza distinta como es la cuestión de inconstitucionalidad, la cual suscitada en el curso de un procedimiento judicial concreto, exige que, para resolverla se afronte un juicio sobre el precepto considerado en abstracto, máxime cuando, como ya he indicado, la prescripción es, en sí misma, el instrumento a través del cual se manifiesta la extensión temporal del ejercicio del ius puniendi en el ámbito sancionador, al que, conforme a nuestra doctrina, le son aplicables las garantías propias del proceso penal. Ello da al problema una dimensión constitucional distinta en cuanto que la finalidad de un proceso como la cuestión de inconstitucionalidad es radicalmente diferente a la del recurso de amparo, en cuanto que el objeto de control es un precepto legal concreto que ha de ser confrontado con los preceptos constitucionales que se entienden vulnerados, en este caso, el art. 9.3 CE, por cuanto la institución de la prescripción tiene una naturaleza que la relaciona directamente con principios y valores constitucionales protegidos en dicho precepto constitucional.</w:t>
      </w:r>
    </w:p>
    <w:p w:rsidR="00D06117" w:rsidRDefault="00D06117" w:rsidP="00D06117">
      <w:pPr>
        <w:pStyle w:val="TextoNormal"/>
      </w:pPr>
    </w:p>
    <w:p w:rsidR="00D06117" w:rsidRDefault="00D06117" w:rsidP="00D06117">
      <w:pPr>
        <w:pStyle w:val="TextoNormal"/>
      </w:pPr>
      <w:r>
        <w:t>Entiendo que en un proceso como la cuestión de inconstitucionalidad no se imponga la mejor de las opciones normativas posibles pues ello colocaría al Tribunal Constitucional en una posición equivalente a la del legislador y que, institucionalmente, no lo corresponde, pero si bien no se trata de imponer el óptimo constitucional tampoco estamos en el plano de la irradiación del contenido de los derechos fundamentales a la que se refiere la Sentencia. Lisa y llanamente creo que se trata de excluir aquellas interpretaciones de la legalidad ordinaria que sean contrarias al entendimiento de la seguridad jurídica al modo que ya establecimos desde nuestra STC 27/1981, FJ 10 en la que la entendimos como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 suerte que permita promover, en el orden jurídico, la justicia y la igualdad, en libertad.”</w:t>
      </w:r>
    </w:p>
    <w:p w:rsidR="00D06117" w:rsidRDefault="00D06117" w:rsidP="00D06117">
      <w:pPr>
        <w:pStyle w:val="TextoNormal"/>
      </w:pPr>
    </w:p>
    <w:p w:rsidR="00D06117" w:rsidRDefault="00D06117" w:rsidP="00D06117">
      <w:pPr>
        <w:pStyle w:val="TextoNormal"/>
      </w:pPr>
      <w:r>
        <w:t xml:space="preserve">En suma, entiendo que la cuestión de inconstitucionalidad hubiera debido ser estimada puesto que el art. 81 del texto articulado de la Ley sobre tráfico, circulación de vehículos a motor y seguridad vial, aprobado por Real Decreto Legislativo 339/1990, de y el art. 132 de la Ley 30/1992, de 26 de noviembre, de régimen jurídico de las Administraciones públicas y del procedimiento administrativo común, con el contenido normativo concretado en las Sentencias de la Sala de lo Contencioso-Administrativo del Tribunal Supremo de 15 de </w:t>
      </w:r>
      <w:r>
        <w:lastRenderedPageBreak/>
        <w:t>diciembre de 2004 y 22 de septiembre de 2008 no satisfacen las exigencia del principio de seguridad jurídica consagrado en el art. 9.3 CE.</w:t>
      </w:r>
    </w:p>
    <w:p w:rsidR="00D06117" w:rsidRDefault="00D06117" w:rsidP="00D06117">
      <w:pPr>
        <w:pStyle w:val="TextoNormal"/>
      </w:pPr>
    </w:p>
    <w:p w:rsidR="00D06117" w:rsidRDefault="00D06117" w:rsidP="00D06117">
      <w:pPr>
        <w:pStyle w:val="TextoNormal"/>
      </w:pPr>
      <w:r>
        <w:t>Cádiz, a diecinueve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1" w:name="SENTENCIA_2012_38"/>
      <w:r>
        <w:lastRenderedPageBreak/>
        <w:t>SENTENCIA 38/2012, de 26 de marzo de 2012</w:t>
      </w:r>
    </w:p>
    <w:bookmarkEnd w:id="41"/>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ECLI:ES:TC:2012:38</w:t>
      </w:r>
    </w:p>
    <w:p w:rsidR="00D06117" w:rsidRDefault="00D06117" w:rsidP="00D06117">
      <w:pPr>
        <w:pStyle w:val="SntesisDescriptiva"/>
      </w:pPr>
    </w:p>
    <w:p w:rsidR="00D06117" w:rsidRDefault="00D06117" w:rsidP="00D06117">
      <w:pPr>
        <w:pStyle w:val="SntesisDescriptiva"/>
      </w:pPr>
      <w:r>
        <w:t>Conflicto positivo de competencia 10801-2009. Planteado por la Junta de Galicia en relación con la resolución de la Dirección general de medio natural y política forestal de 31 de agosto de 2009, por la que convoca la concesión de ayudas a entidades y organizaciones no gubernamentales de ámbito estatal para la realización de actividades privadas relacionadas con los principios inspiradores de la Ley 42/2007, de 13 de diciembre, del patrimonio natural y de la biodiversidad, y con las finalidades de la Ley 43/2003, de 21 de noviembre, de montes.</w:t>
      </w:r>
    </w:p>
    <w:p w:rsidR="00D06117" w:rsidRDefault="00D06117" w:rsidP="00D06117">
      <w:pPr>
        <w:pStyle w:val="SntesisDescriptiva"/>
      </w:pPr>
    </w:p>
    <w:p w:rsidR="00D06117" w:rsidRDefault="00D06117" w:rsidP="00D06117">
      <w:pPr>
        <w:pStyle w:val="SntesisAnaltica"/>
      </w:pPr>
      <w:r>
        <w:t>Distribución de competencias sobre medio ambiente: convocatoria estatal de subvenciones que vulnera las competencias de la Junta de Galicia (STC 13/1992).</w:t>
      </w:r>
    </w:p>
    <w:p w:rsidR="00D06117" w:rsidRDefault="00D06117" w:rsidP="00D06117">
      <w:pPr>
        <w:pStyle w:val="SntesisAnaltica"/>
      </w:pPr>
    </w:p>
    <w:p w:rsidR="00D06117" w:rsidRDefault="00D06117" w:rsidP="00D06117">
      <w:pPr>
        <w:pStyle w:val="Extracto"/>
      </w:pPr>
      <w:r>
        <w:t>1.</w:t>
      </w:r>
      <w:r>
        <w:tab/>
        <w:t>El Estado tiene competencias sobre las bases y la coordinación general en la materia de medio ambiente, pero corresponde a la Comunidad Autónoma la competencia de desarrollo normativo y ejecución, siendo competencia del Estado establecer los mecanismos que permitan a las Comunidades Autónomas afectadas realizar la gestión de las ayudas, integrando su actividad del modo que resultase más adecuado [FFJJ 3, 8].</w:t>
      </w:r>
    </w:p>
    <w:p w:rsidR="00D06117" w:rsidRDefault="00D06117" w:rsidP="00D06117">
      <w:pPr>
        <w:pStyle w:val="Extracto"/>
      </w:pPr>
    </w:p>
    <w:p w:rsidR="00D06117" w:rsidRDefault="00D06117" w:rsidP="00D06117">
      <w:pPr>
        <w:pStyle w:val="Extracto"/>
      </w:pPr>
      <w:r>
        <w:t>2.</w:t>
      </w:r>
      <w:r>
        <w:tab/>
        <w:t>La resolución impugnada, al centralizar en el Estado la gestión de las ayudas que en ella se establecen, invadió las competencias de la Comunidad Autónoma de Galicia [FJ 8].</w:t>
      </w:r>
    </w:p>
    <w:p w:rsidR="00D06117" w:rsidRDefault="00D06117" w:rsidP="00D06117">
      <w:pPr>
        <w:pStyle w:val="Extracto"/>
      </w:pPr>
    </w:p>
    <w:p w:rsidR="00D06117" w:rsidRDefault="00D06117" w:rsidP="00D06117">
      <w:pPr>
        <w:pStyle w:val="Extracto"/>
      </w:pPr>
      <w:r>
        <w:t>3.</w:t>
      </w:r>
      <w:r>
        <w:tab/>
        <w:t>El hecho de que las entidades beneficiarias de las ayudas vengan desarrollando su actividad, o lo tengan previsto en su título constitutivo, en distintas Comunidades Autónomas no puede determinar, por sí solo, la centralización de la regulación y la gestión de aquéllas [FJ 5].</w:t>
      </w:r>
    </w:p>
    <w:p w:rsidR="00D06117" w:rsidRDefault="00D06117" w:rsidP="00D06117">
      <w:pPr>
        <w:pStyle w:val="Extracto"/>
      </w:pPr>
    </w:p>
    <w:p w:rsidR="00D06117" w:rsidRDefault="00D06117" w:rsidP="00D06117">
      <w:pPr>
        <w:pStyle w:val="Extracto"/>
      </w:pPr>
      <w:r>
        <w:t>4.</w:t>
      </w:r>
      <w:r>
        <w:tab/>
        <w:t>La garantía de que todos los proyectos presentados tengan iguales posibilidades de acceso a la subvención no justifica la total centralización de la gestión de estas ayudas, pues existen mecanismos de cooperación y coordinación a través de los cuales es posible valorar cuáles son los que mejor satisfacen las finalidades medioambientales pretendidas por la norma reguladora [FJ 6].</w:t>
      </w:r>
    </w:p>
    <w:p w:rsidR="00D06117" w:rsidRDefault="00D06117" w:rsidP="00D06117">
      <w:pPr>
        <w:pStyle w:val="Extracto"/>
      </w:pPr>
    </w:p>
    <w:p w:rsidR="00D06117" w:rsidRDefault="00D06117" w:rsidP="00D06117">
      <w:pPr>
        <w:pStyle w:val="Extracto"/>
      </w:pPr>
      <w:r>
        <w:t>5.</w:t>
      </w:r>
      <w:r>
        <w:tab/>
        <w:t>La condición de que las actividades financiadas tengan un ámbito territorial de más de una Comunidad Autónoma tampoco puede justificar, por sí misma, la excepcional asunción de competencias de gestión por el Estado y el correlativo desplazamiento de las competencias autonómicas [FJ 7].</w:t>
      </w:r>
    </w:p>
    <w:p w:rsidR="00D06117" w:rsidRDefault="00D06117" w:rsidP="00D06117">
      <w:pPr>
        <w:pStyle w:val="Extracto"/>
      </w:pPr>
    </w:p>
    <w:p w:rsidR="00D06117" w:rsidRDefault="00D06117" w:rsidP="00D06117">
      <w:pPr>
        <w:pStyle w:val="Extracto"/>
      </w:pPr>
      <w:r>
        <w:t>6.</w:t>
      </w:r>
      <w:r>
        <w:tab/>
        <w:t xml:space="preserve">La centralización de las funciones de ejecución sólo puede tener lugar en supuestos excepcionales que aparezcan plenamente justificados, pues la regla general ha de ser la de que las Comunidades Autónomas competentes desarrollen y gestionen las </w:t>
      </w:r>
      <w:r>
        <w:lastRenderedPageBreak/>
        <w:t>ayudas, incluso cuando su ejecución pueda tener un alcance supraterritorial, pues es responsabilidad del Estado en estos casos fijar los puntos de conexión que permitan la gestión autonómica [FJ 8].</w:t>
      </w:r>
    </w:p>
    <w:p w:rsidR="00D06117" w:rsidRDefault="00D06117" w:rsidP="00D06117">
      <w:pPr>
        <w:pStyle w:val="Extracto"/>
      </w:pPr>
    </w:p>
    <w:p w:rsidR="00D06117" w:rsidRDefault="00D06117" w:rsidP="00D06117">
      <w:pPr>
        <w:pStyle w:val="Extracto"/>
      </w:pPr>
      <w:r>
        <w:t>7.</w:t>
      </w:r>
      <w:r>
        <w:tab/>
        <w:t>Las circunstancias excepcionales previstas en la doctrina constitucional en materia de subvenciones y ayudas públicas, no concurren en este caso y, por lo tanto, no justifican la regulación completa de las subvenciones y la centralización de la gestión que se contienen en la resolución objeto de conflicto (STC 13/1992) [FFJJ 4, 8, 9].</w:t>
      </w:r>
    </w:p>
    <w:p w:rsidR="00D06117" w:rsidRDefault="00D06117" w:rsidP="00D06117">
      <w:pPr>
        <w:pStyle w:val="Extracto"/>
      </w:pPr>
    </w:p>
    <w:p w:rsidR="00D06117" w:rsidRDefault="00D06117" w:rsidP="00D06117">
      <w:pPr>
        <w:pStyle w:val="Extracto"/>
      </w:pPr>
      <w:r>
        <w:t>8.</w:t>
      </w:r>
      <w:r>
        <w:tab/>
        <w:t>Doctrina sobre indisponibilidad de las competencias (STC 39/1982) [FJ 2].</w:t>
      </w:r>
    </w:p>
    <w:p w:rsidR="00D06117" w:rsidRDefault="00D06117" w:rsidP="00D06117">
      <w:pPr>
        <w:pStyle w:val="Extracto"/>
      </w:pPr>
    </w:p>
    <w:p w:rsidR="00D06117" w:rsidRDefault="00D06117" w:rsidP="00D06117">
      <w:pPr>
        <w:pStyle w:val="Extracto"/>
      </w:pPr>
      <w:r>
        <w:t>9.</w:t>
      </w:r>
      <w:r>
        <w:tab/>
        <w:t>Doctrina sobre regulación y aplicación de subvenciones y ayudas públicas (SSTC 13/1992, 138/2009) [FFJJ 3, 4].</w:t>
      </w:r>
    </w:p>
    <w:p w:rsidR="00D06117" w:rsidRDefault="00D06117" w:rsidP="00D06117">
      <w:pPr>
        <w:pStyle w:val="Extracto"/>
      </w:pPr>
    </w:p>
    <w:p w:rsidR="00D06117" w:rsidRDefault="00D06117" w:rsidP="00D06117">
      <w:pPr>
        <w:pStyle w:val="Extracto"/>
      </w:pPr>
      <w:r>
        <w:t>10.</w:t>
      </w:r>
      <w:r>
        <w:tab/>
        <w:t>Doctrina sobre centralización de subvenciones (SSTC 106/1987, 159/2011) [FJ 6].</w:t>
      </w:r>
    </w:p>
    <w:p w:rsidR="00D06117" w:rsidRDefault="00D06117" w:rsidP="00D06117">
      <w:pPr>
        <w:pStyle w:val="Extracto"/>
      </w:pPr>
    </w:p>
    <w:p w:rsidR="00D06117" w:rsidRDefault="00D06117" w:rsidP="00D06117">
      <w:pPr>
        <w:pStyle w:val="Extracto"/>
      </w:pPr>
      <w:r>
        <w:t>11.</w:t>
      </w:r>
      <w:r>
        <w:tab/>
        <w:t>Doctrina sobre actividades financiadas de ámbito supraautonómico (SSTC 329/1993, 178/2011) [FJ 7].</w:t>
      </w:r>
    </w:p>
    <w:p w:rsidR="00D06117" w:rsidRDefault="00D06117" w:rsidP="00D06117">
      <w:pPr>
        <w:pStyle w:val="Extracto"/>
      </w:pPr>
    </w:p>
    <w:p w:rsidR="00D06117" w:rsidRDefault="00D06117" w:rsidP="00D06117">
      <w:pPr>
        <w:pStyle w:val="Extracto"/>
      </w:pPr>
      <w:r>
        <w:t>12.</w:t>
      </w:r>
      <w:r>
        <w:tab/>
        <w:t>Doctrina sobre la excepcionalidad del traslado al Estado de la titularidad de las competencias de gestión de ayudas públicas (SSTC 13/1992, 77/2004) [FJ 8].</w:t>
      </w:r>
    </w:p>
    <w:p w:rsidR="00D06117" w:rsidRDefault="00D06117" w:rsidP="00D06117">
      <w:pPr>
        <w:pStyle w:val="Extracto"/>
      </w:pPr>
    </w:p>
    <w:p w:rsidR="00D06117" w:rsidRDefault="00D06117" w:rsidP="00D06117">
      <w:pPr>
        <w:pStyle w:val="Extracto"/>
      </w:pPr>
      <w:r>
        <w:t>13.</w:t>
      </w:r>
      <w:r>
        <w:tab/>
        <w:t>La centralización, en los órganos estatales, de la regulación, tramitación y resolución de las subvenciones dirigidas a financiar programas en materia de medio ambiente, vulnera la distribución de competencias derivada del bloque de constitucionalidad, debiendo estimarse satisfecha la pretensión de la Junta de Galicia mediante la declaración de titularidad de la competencia controvertida, dado que la disposición impugnada ya ha agotado sus efectos [FJ 9].</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conflicto positivo de competencia núm. 10801-2009, promovido por la Junta de Galicia, representado por el Letrado de la misma, contra la resolución de 31 de agosto de 2009, de la Dirección general de medio natural y política forestal, por la que convoca la concesión de ayudas a entidades y organizaciones no gubernamentales de ámbito estatal para la realización de actividades privadas relacionadas con los principios inspiradores de </w:t>
      </w:r>
      <w:r>
        <w:lastRenderedPageBreak/>
        <w:t>la Ley 42/2007, de 13 de diciembre, del patrimonio natural y de la biodiversidad, y con las finalidades de la Ley 43/2003, de 21 de noviembre, de montes. Ha comparecido y formulado alegaciones el Abogado del Estado. Ha sido Ponente la Magistrada doña Elisa Pérez Vera,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29 de diciembre de 2009 el Letrado de la Junta de Galicia, en la representación que legalmente ostenta del Gobierno de dicha Comunidad Autónoma, promueve conflicto positivo de competencia contra la resolución de 31 de agosto de 2009, de la Dirección general de medio natural y política forestal, por la que convoca la concesión de ayudas a entidades y organizaciones no gubernamentales de ámbito estatal para la realización de actividades privadas relacionadas con los principios inspiradores de la Ley 42/2007, de 13 de diciembre, del patrimonio natural y de la biodiversidad, y con las finalidades de la Ley 43/2003, de 21 de noviembre, de montes. Se adjunta el requerimiento de incompetencia así como la respuesta negativa al mismo acordada por el Consejo de Ministros. La fundamentación que sustenta la impugnación se resume a continuación.</w:t>
      </w:r>
    </w:p>
    <w:p w:rsidR="00D06117" w:rsidRDefault="00D06117" w:rsidP="00D06117">
      <w:pPr>
        <w:pStyle w:val="TextoNormal"/>
      </w:pPr>
    </w:p>
    <w:p w:rsidR="00D06117" w:rsidRDefault="00D06117" w:rsidP="00D06117">
      <w:pPr>
        <w:pStyle w:val="TextoNormal"/>
      </w:pPr>
      <w:r>
        <w:t>a) La representación procesal de la Junta de Galicia comienza su escrito describiendo la resolución por la que se convoca la concesión de ayudas objeto de litigio, cuyas bases se encontrarían en la Orden ARM/1935/2009, de 8 de julio, por la que se establecen las bases reguladoras para la concesión de dichas ayudas (“Boletín Oficial del Estado” de 20 de julio de 2009) que afirma dictarse en ejercicio de la competencia reservada al Estado en el art. 149.1.23 CE.</w:t>
      </w:r>
    </w:p>
    <w:p w:rsidR="00D06117" w:rsidRDefault="00D06117" w:rsidP="00D06117">
      <w:pPr>
        <w:pStyle w:val="TextoNormal"/>
      </w:pPr>
    </w:p>
    <w:p w:rsidR="00D06117" w:rsidRDefault="00D06117" w:rsidP="00D06117">
      <w:pPr>
        <w:pStyle w:val="TextoNormal"/>
      </w:pPr>
      <w:r>
        <w:t>De acuerdo con la resolución impugnada los destinatarios de las ayudas son entidades y organizaciones no gubernamentales de ámbito estatal; las actividades subvencionables deberán llevarse a cabo por lo menos en dos Comunidades Autónomas y se exige que en la solicitud conste un documento de aceptación de las Comunidades Autónomas cuya gestión del patrimonio natural y de la biodiversidad se vea afectada por la actuaciones para las que se solicita subvención. Toda la gestión de las ayudas se encomienda al Estado.</w:t>
      </w:r>
    </w:p>
    <w:p w:rsidR="00D06117" w:rsidRDefault="00D06117" w:rsidP="00D06117">
      <w:pPr>
        <w:pStyle w:val="TextoNormal"/>
      </w:pPr>
    </w:p>
    <w:p w:rsidR="00D06117" w:rsidRDefault="00D06117" w:rsidP="00D06117">
      <w:pPr>
        <w:pStyle w:val="TextoNormal"/>
      </w:pPr>
      <w:r>
        <w:t>b) A continuación se señala que nos encontramos ante la cuestión del spending power del Estado central y se reproduce la doctrina de este Tribunal en materia de poder de gasto o subvencional recogida en la STC 13/1992 afirmándose que el poder de gasto no constituye un título atributivo de competencias y es siempre un poder instrumental que se ejerce “dentro” y no “al margen” del orden de competencias y recordándose los cuatro supuestos generales desarrollados en el fundamento jurídico 8 de la STC 13/1992.</w:t>
      </w:r>
    </w:p>
    <w:p w:rsidR="00D06117" w:rsidRDefault="00D06117" w:rsidP="00D06117">
      <w:pPr>
        <w:pStyle w:val="TextoNormal"/>
      </w:pPr>
    </w:p>
    <w:p w:rsidR="00D06117" w:rsidRDefault="00D06117" w:rsidP="00D06117">
      <w:pPr>
        <w:pStyle w:val="TextoNormal"/>
      </w:pPr>
      <w:r>
        <w:t>c) El escrito de la representación de la Junta de Galicia considera que el título competencial objeto de incidencia de las ayudas es el de medio ambiente como lo demuestra la remisión al art. 149.1.23 CE que realiza la Orden ARM/1935/2009 que aprueba las bases reguladoras de la convocatoria.</w:t>
      </w:r>
    </w:p>
    <w:p w:rsidR="00D06117" w:rsidRDefault="00D06117" w:rsidP="00D06117">
      <w:pPr>
        <w:pStyle w:val="TextoNormal"/>
      </w:pPr>
    </w:p>
    <w:p w:rsidR="00D06117" w:rsidRDefault="00D06117" w:rsidP="00D06117">
      <w:pPr>
        <w:pStyle w:val="TextoNormal"/>
      </w:pPr>
      <w:r>
        <w:lastRenderedPageBreak/>
        <w:t>El escrito examina la distribución de competencias en la materia, concluyendo que corresponde al Estado la legislación básica en materia de medio ambiente, y a las Comunidades autónomas el desarrollo normativo, sobre todo el destinado a alcanzar una mayor protección de ese bien jurídico, y el plano ejecutivo.</w:t>
      </w:r>
    </w:p>
    <w:p w:rsidR="00D06117" w:rsidRDefault="00D06117" w:rsidP="00D06117">
      <w:pPr>
        <w:pStyle w:val="TextoNormal"/>
      </w:pPr>
    </w:p>
    <w:p w:rsidR="00D06117" w:rsidRDefault="00D06117" w:rsidP="00D06117">
      <w:pPr>
        <w:pStyle w:val="TextoNormal"/>
      </w:pPr>
      <w:r>
        <w:t>d) Determinado el título competencial, analiza el escrito de la Junta de Galicia el apartado, de aquellos descritos en el fundamento jurídico 8 de la STC 13/1992, en el que deben incluirse las ayudas referidas, para concluir que estaríamos en el supuesto b) al que se refiere el citado fundamento jurídico 8. El Estado, en cambio, afirma el escrito del representante de la Junta de Galicia, parece entender que debemos situarnos en el apartado d) de la STC 13/1992, FJ 8.</w:t>
      </w:r>
    </w:p>
    <w:p w:rsidR="00D06117" w:rsidRDefault="00D06117" w:rsidP="00D06117">
      <w:pPr>
        <w:pStyle w:val="TextoNormal"/>
      </w:pPr>
    </w:p>
    <w:p w:rsidR="00D06117" w:rsidRDefault="00D06117" w:rsidP="00D06117">
      <w:pPr>
        <w:pStyle w:val="TextoNormal"/>
      </w:pPr>
      <w:r>
        <w:t>La discusión estaría entonces en si es o no posible que se produzca la gestión centralizada de las ayudas, que es el supuesto contemplado en dicho apartado d). El escrito de la representación de la Junta de Galicia recuerda que la Orden ARM/1935/2009, en su preámbulo, justificaba la necesidad de esa centralización de la siguiente manera:</w:t>
      </w:r>
    </w:p>
    <w:p w:rsidR="00D06117" w:rsidRDefault="00D06117" w:rsidP="00D06117">
      <w:pPr>
        <w:pStyle w:val="TextoNormal"/>
      </w:pPr>
    </w:p>
    <w:p w:rsidR="00D06117" w:rsidRDefault="00D06117" w:rsidP="00D06117">
      <w:pPr>
        <w:pStyle w:val="TextoNormal"/>
      </w:pPr>
      <w:r>
        <w:t>“De acuerdo con la doctrina del Tribunal Constitucional, se trata de ejercer una actividad de fomento con entidades de ámbito supraautonómico, es decir, que actúan mas allá del ámbito territorial que constituye el límite dentro del que ejercen sus competencias las comunidades autónomas, principio de territorialidad, y nos encontramos ante uno de los casos en que, se pretende asegurar la plena efectividad de estas medidas de fomento, dentro de la ordenación básica del sector, y garantizar las mismas posibilidades de obtención y disfrute de las mismas, por parte de sus potenciales destinatarios, en todo el territorio nacional, siendo al mismo tiempo un medio necesario para evitar que se sobrepase la cuantía global de los fondos, por lo que queda justificada la gestión de las ayudas por la Administración general del Estado.</w:t>
      </w:r>
    </w:p>
    <w:p w:rsidR="00D06117" w:rsidRDefault="00D06117" w:rsidP="00D06117">
      <w:pPr>
        <w:pStyle w:val="TextoNormal"/>
      </w:pPr>
    </w:p>
    <w:p w:rsidR="00D06117" w:rsidRDefault="00D06117" w:rsidP="00D06117">
      <w:pPr>
        <w:pStyle w:val="TextoNormal"/>
      </w:pPr>
      <w:r>
        <w:t>Por otra parte para el desarrollo de las actuaciones que tienen por objeto la conservación del patrimonio natural y de la biodiversidad, en ámbitos suprautonómicos, se requiere en su ejecución un grado de homogeneidad que sólo se garantiza a través de la Administración general del Estado.”</w:t>
      </w:r>
    </w:p>
    <w:p w:rsidR="00D06117" w:rsidRDefault="00D06117" w:rsidP="00D06117">
      <w:pPr>
        <w:pStyle w:val="TextoNormal"/>
      </w:pPr>
    </w:p>
    <w:p w:rsidR="00D06117" w:rsidRDefault="00D06117" w:rsidP="00D06117">
      <w:pPr>
        <w:pStyle w:val="TextoNormal"/>
      </w:pPr>
      <w:r>
        <w:t>Para la representación de la Junta de Galicia, el hecho de que los destinatarios de las ayudas sean entidades de ámbito supraautonómico no significa que los programas que vayan a desarrollar tengan tal carácter, lo que lo descarta como justificación para redireccionar hacia la Administración central las funciones ejecutivas.</w:t>
      </w:r>
    </w:p>
    <w:p w:rsidR="00D06117" w:rsidRDefault="00D06117" w:rsidP="00D06117">
      <w:pPr>
        <w:pStyle w:val="TextoNormal"/>
      </w:pPr>
    </w:p>
    <w:p w:rsidR="00D06117" w:rsidRDefault="00D06117" w:rsidP="00D06117">
      <w:pPr>
        <w:pStyle w:val="TextoNormal"/>
      </w:pPr>
      <w:r>
        <w:t>Asimismo, considera el escrito del representante de la Junta de Galicia, que no se justifica que se den el resto de los requisitos exigidos por el apartado d) del fundamento jurídico 8 de la STC 13/1992, que revelarían la necesidad de una gestión centralizada y, sobre todo, no se justifica por qué la territorialización de los fondos y el desarrollo y gestión autonómica supondría un problema a estos efectos.</w:t>
      </w:r>
    </w:p>
    <w:p w:rsidR="00D06117" w:rsidRDefault="00D06117" w:rsidP="00D06117">
      <w:pPr>
        <w:pStyle w:val="TextoNormal"/>
      </w:pPr>
    </w:p>
    <w:p w:rsidR="00D06117" w:rsidRDefault="00D06117" w:rsidP="00D06117">
      <w:pPr>
        <w:pStyle w:val="TextoNormal"/>
      </w:pPr>
      <w:r>
        <w:t>Se afirma, por ejemplo, que no ha quedado demostrado que en las actuaciones de conservación del patrimonio natural y la biodiversidad a las que se refieren las ayudas sea necesaria la homogeneidad en todo el Estado, cuando, precisamente, afirma el escrito de la representación de la Junta de Galicia, es la actuación local e infraautonómica la más eficaz.</w:t>
      </w:r>
    </w:p>
    <w:p w:rsidR="00D06117" w:rsidRDefault="00D06117" w:rsidP="00D06117">
      <w:pPr>
        <w:pStyle w:val="TextoNormal"/>
      </w:pPr>
    </w:p>
    <w:p w:rsidR="00D06117" w:rsidRDefault="00D06117" w:rsidP="00D06117">
      <w:pPr>
        <w:pStyle w:val="TextoNormal"/>
      </w:pPr>
      <w:r>
        <w:t>Tampoco se demuestra que exista un peligro de sobrepasar la cuantía global de los fondos si se procediera a la territorialización de los mismos, pues cada Comunidad Autónoma se ajustaría, en las concesiones de las ayudas, al montante que se le hubiera adjudicado.</w:t>
      </w:r>
    </w:p>
    <w:p w:rsidR="00D06117" w:rsidRDefault="00D06117" w:rsidP="00D06117">
      <w:pPr>
        <w:pStyle w:val="TextoNormal"/>
      </w:pPr>
    </w:p>
    <w:p w:rsidR="00D06117" w:rsidRDefault="00D06117" w:rsidP="00D06117">
      <w:pPr>
        <w:pStyle w:val="TextoNormal"/>
      </w:pPr>
      <w:r>
        <w:t>Señala el escrito que plantea el conflicto que la exigencia de que las actividades subvencionables deban llevarse a cabo por lo menos en dos Comunidades Autónomas no es suficiente para excluir la territorialización de los fondos y la gestión autonómica. Para el representante de la Junta la resolución ampara —o no impide— programas que, aunque se desarrollen en varias Comunidades Autónomas, son en realidad perfectamente divisibles territorialmente. Si la regla general es la gestión autonómica, le corresponde al Estado demostrar que sin una centralización en la gestión la acción pública sería irremediablemente ineficaz. Se recuerdan pronunciamientos de este Tribunal en los que se advierte de la tentación del Estado de revertir en él funciones ejecutivas por la excusa de la supraterritorialidad, pues entonces “sería suficiente extender los efectos de una medida de carácter ejecutivo a todo el territorio nacional para que se generase, sin mayor justificación, una modificación del orden constitucional de competencias” (STC 223/2000, FJ 11).</w:t>
      </w:r>
    </w:p>
    <w:p w:rsidR="00D06117" w:rsidRDefault="00D06117" w:rsidP="00D06117">
      <w:pPr>
        <w:pStyle w:val="TextoNormal"/>
      </w:pPr>
    </w:p>
    <w:p w:rsidR="00D06117" w:rsidRDefault="00D06117" w:rsidP="00D06117">
      <w:pPr>
        <w:pStyle w:val="TextoNormal"/>
      </w:pPr>
      <w:r>
        <w:t>Para el representante de la Junta de Galicia aunque sea un programa que se deba desarrollar en varias Comunidades Autónomas nada impide que sean instrumentos de cooperación y coordinación entre esas Comunidades Autónomas los que solventen esa problemática. Se recuerda así la STC 194/2004, en materia de medio ambiente, que habría establecido que las competencias ejecutivas autonómicas impiden formulas de cogestión entre el Estado y las Comunidades Autónomas y habría recordado la necesidad de que las Comunidades Autónomas establezcan fórmulas de colaboración en el caso, en aquella ocasión, de que un parque nacional se extienda por el territorio de varias de ellas.</w:t>
      </w:r>
    </w:p>
    <w:p w:rsidR="00D06117" w:rsidRDefault="00D06117" w:rsidP="00D06117">
      <w:pPr>
        <w:pStyle w:val="TextoNormal"/>
      </w:pPr>
    </w:p>
    <w:p w:rsidR="00D06117" w:rsidRDefault="00D06117" w:rsidP="00D06117">
      <w:pPr>
        <w:pStyle w:val="TextoNormal"/>
      </w:pPr>
      <w:r>
        <w:t>Se señala igualmente que la previsión entre la documentación a presentar de la aceptación de las Comunidades Autónomas afectadas por la actividad propuesta no es sustitutiva de las competencias autonómicas de gestión constitucionalmente garantizadas. Para la representación de la Junta esa aceptación denota que no hay supraterritorialidad autonómica en sí misma, y que cabe territorializar los programas a subvencionar.</w:t>
      </w:r>
    </w:p>
    <w:p w:rsidR="00D06117" w:rsidRDefault="00D06117" w:rsidP="00D06117">
      <w:pPr>
        <w:pStyle w:val="TextoNormal"/>
      </w:pPr>
    </w:p>
    <w:p w:rsidR="00D06117" w:rsidRDefault="00D06117" w:rsidP="00D06117">
      <w:pPr>
        <w:pStyle w:val="TextoNormal"/>
      </w:pPr>
      <w:r>
        <w:t>e) Una vez situados en el apartado b) del fundamento jurídico 8 de la STC 13/1992, el escrito de la Junta de Galicia determina las consecuencias que ello implica para la resolución impugnada.</w:t>
      </w:r>
    </w:p>
    <w:p w:rsidR="00D06117" w:rsidRDefault="00D06117" w:rsidP="00D06117">
      <w:pPr>
        <w:pStyle w:val="TextoNormal"/>
      </w:pPr>
    </w:p>
    <w:p w:rsidR="00D06117" w:rsidRDefault="00D06117" w:rsidP="00D06117">
      <w:pPr>
        <w:pStyle w:val="TextoNormal"/>
      </w:pPr>
      <w:r>
        <w:t>En este caso la inconstitucionalidad sería de la resolución objeto de conflicto en su conjunto puesto que ésta establece una convocatoria de ayudas que correspondería efectuar a las Comunidades Autónomas por pertenecer a la dimensión ejecutiva de la competencia sobre medio ambiente.</w:t>
      </w:r>
    </w:p>
    <w:p w:rsidR="00D06117" w:rsidRDefault="00D06117" w:rsidP="00D06117">
      <w:pPr>
        <w:pStyle w:val="TextoNormal"/>
      </w:pPr>
    </w:p>
    <w:p w:rsidR="00D06117" w:rsidRDefault="00D06117" w:rsidP="00D06117">
      <w:pPr>
        <w:pStyle w:val="TextoNormal"/>
      </w:pPr>
      <w:r>
        <w:t xml:space="preserve">En todo caso habría invasión competencial por parte de los siguientes artículos: primero, en cuanto la convocatoria la realiza un centro directivo estatal, cuando corresponde hacerlo a la Comunidad Autónoma; segundo, por no territorializar; cuarto, quinto y noveno por fijar detalladamente los requisitos y documentación a presentar, así como los criterios de valoración adentrándose en lo que sería legítimo desarrollo autonómico (los artículos cuarto y </w:t>
      </w:r>
      <w:r>
        <w:lastRenderedPageBreak/>
        <w:t>quinto se remiten a la normativa estatal y no a la autonómica); sexto, séptimo, octavo, décimo y decimotercero, por ubicar la dimensión ejecutiva en el Estado; undécimo, por excesiva concreción y por extralimitación en la fijación del plazo cerrado; duodécimo, por fijar que la notificación será en el “BOE”; tercero y anexo, por obviar la intervención autonómica que debe existir.</w:t>
      </w:r>
    </w:p>
    <w:p w:rsidR="00D06117" w:rsidRDefault="00D06117" w:rsidP="00D06117">
      <w:pPr>
        <w:pStyle w:val="TextoNormal"/>
      </w:pPr>
    </w:p>
    <w:p w:rsidR="00D06117" w:rsidRDefault="00D06117" w:rsidP="00D06117">
      <w:pPr>
        <w:pStyle w:val="TextoNormal"/>
      </w:pPr>
      <w:r>
        <w:t>Finaliza el escrito de la Junta de Galicia solicitando que se declaren vulneradas las competencias de la Comunidad Autónoma de Galicia y en concreto las derivadas del art. 27.30 y, en su caso, de los apartados 10 y 11 del art. 27 del Estatuto de Autonomía de Galicia por parte de la resolución objeto de conflicto.</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18 de febrero de 2010 el Pleno del Tribunal Constitucional, a propuesta de la Sección Cuarta, acordó admitir a trámite el presente conflicto; atribuir, de conformidad con lo dispuesto en el art. 10.2 de la Ley Orgánica del Tribunal Constitucional (LOTC)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Superior de Justicia de Madrid, por si ante la misma estuviera impugnado o se impugnare la resolución de 31 de agosto de 2009 de la Dirección general de medio natural y política forestal, por la que convoca la concesión de ayudas a entidades y organizaciones no gubernamentales de ámbito estatal para la realización de actividades privadas relacionadas con los principios inspiradores de la Ley 42/2007, de 13 de diciembre, del patrimonio natural y de la biodiversidad, y con las finalidades de la Ley 43/2003, de 21 de noviembre, de montes, en cuyo caso deberá suspenderse el curso del proceso hasta la decisión del conflicto, según dispone el art. 61.2 LOTC; y publicar la incoación del conflicto en el “Boletín Oficial del Estado” y en el “Diario Oficial de Galicia”.</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de 5 de marzo de 2010 el Abogado del Estado se personó en el proceso solicitando una prórroga del plazo concedido para formular alegaciones, prórroga que le fue concedida mediante providencia de la Sala Segunda de 8 de marzo de 2010. El escrito de alegaciones del Abogado del Estado se registró el día 9 de abril de 2010. En dicho escrito se opone a la demanda por las razones que se recogen a continuación.</w:t>
      </w:r>
    </w:p>
    <w:p w:rsidR="00D06117" w:rsidRDefault="00D06117" w:rsidP="00D06117">
      <w:pPr>
        <w:pStyle w:val="TextoNormal"/>
      </w:pPr>
    </w:p>
    <w:p w:rsidR="00D06117" w:rsidRDefault="00D06117" w:rsidP="00D06117">
      <w:pPr>
        <w:pStyle w:val="TextoNormal"/>
      </w:pPr>
      <w:r>
        <w:t>a) Señala el Abogado del Estado que el conflicto se dirige formalmente contra la resolución de 31 de agosto de 2009, de la Dirección general de medio natural y política forestal, por la que convoca la concesión de ayudas a entidades y organizaciones no gubernamentales de ámbito estatal para la realización de actividades privadas relacionadas con los principios inspiradores de la Ley 42/2007, de 13 de diciembre, del patrimonio natural y de la biodiversidad, y con las finalidades de la Ley 43/2003, de 21 de noviembre, de montes. Sin embargo, es la Orden ARM/1935/2009, de 8 de julio, la que realmente disciplina la subvención por lo que aunque el conflicto se dirija contra la resolución de 2009 lo cierto es que el examen de la misma no puede hacerse desconectándola de la orden del Ministerio de Medio Ambiente, y Medio Rural y Marino de 2009.</w:t>
      </w:r>
    </w:p>
    <w:p w:rsidR="00D06117" w:rsidRDefault="00D06117" w:rsidP="00D06117">
      <w:pPr>
        <w:pStyle w:val="TextoNormal"/>
      </w:pPr>
    </w:p>
    <w:p w:rsidR="00D06117" w:rsidRDefault="00D06117" w:rsidP="00D06117">
      <w:pPr>
        <w:pStyle w:val="TextoNormal"/>
      </w:pPr>
      <w:r>
        <w:t xml:space="preserve">Reproduce el escrito del Abogado del Estado, como ya hiciera el del representante de la Junta de Galicia, el preámbulo de la Orden ARM/1935/2009 y a continuación analiza el </w:t>
      </w:r>
      <w:r>
        <w:lastRenderedPageBreak/>
        <w:t>contenido de la misma. Destacando que constituyen requisitos de las ayudas tanto que “las entidades y organizaciones solicitantes” tengan un “ámbito de actuación supraautonómico” [art. 4.1 c)], como que las actividades financiadas tengan “un ámbito territorial de más de una Comunidad Autónoma” (art. 4.2). Señalando igualmente que toda solicitud debe acompañarse de la “aceptación de las Comunidades Autónomas cuya gestión del patrimonio natural y de la biodiversidad sea afectada por la actuaciones para las que se solicita subvención” [artículo 7.3 a)]. Y recordando que la Orden se dicta al amparo del art. 149.1.23 CE.</w:t>
      </w:r>
    </w:p>
    <w:p w:rsidR="00D06117" w:rsidRDefault="00D06117" w:rsidP="00D06117">
      <w:pPr>
        <w:pStyle w:val="TextoNormal"/>
      </w:pPr>
    </w:p>
    <w:p w:rsidR="00D06117" w:rsidRDefault="00D06117" w:rsidP="00D06117">
      <w:pPr>
        <w:pStyle w:val="TextoNormal"/>
      </w:pPr>
      <w:r>
        <w:t>Subraya el escrito del Abogado del Estado que la Comunidad Autónoma de Galicia no formuló observación alguna a la orden a pesar de haber sido consultada. Y recuerda que a las ayudas convocadas por la resolución objeto de conflicto se presentaron tres solicitudes con incidencia en Galicia, dos de las cuales no fueron aceptadas en cuanto no aportaron el certificado de aprobación de la Comunidad Autónoma.</w:t>
      </w:r>
    </w:p>
    <w:p w:rsidR="00D06117" w:rsidRDefault="00D06117" w:rsidP="00D06117">
      <w:pPr>
        <w:pStyle w:val="TextoNormal"/>
      </w:pPr>
    </w:p>
    <w:p w:rsidR="00D06117" w:rsidRDefault="00D06117" w:rsidP="00D06117">
      <w:pPr>
        <w:pStyle w:val="TextoNormal"/>
      </w:pPr>
      <w:r>
        <w:t>b) Realiza a continuación el escrito del Abogado del Estado el encuadramiento competencial afirmando que la materia sobre la que de forma prevalente incide la resolución impugnada es la de medio ambiente.</w:t>
      </w:r>
    </w:p>
    <w:p w:rsidR="00D06117" w:rsidRDefault="00D06117" w:rsidP="00D06117">
      <w:pPr>
        <w:pStyle w:val="TextoNormal"/>
      </w:pPr>
    </w:p>
    <w:p w:rsidR="00D06117" w:rsidRDefault="00D06117" w:rsidP="00D06117">
      <w:pPr>
        <w:pStyle w:val="TextoNormal"/>
      </w:pPr>
      <w:r>
        <w:t>Efectúa el escrito un breve examen de la doctrina del Tribunal Constitucional sobre el poder de gasto refiriéndose a la STC 13/1992 y a los cuatro supuestos generales entre los que destaca dos, el b) y el d), del fundamento jurídico 8 de la Sentencia referida.</w:t>
      </w:r>
    </w:p>
    <w:p w:rsidR="00D06117" w:rsidRDefault="00D06117" w:rsidP="00D06117">
      <w:pPr>
        <w:pStyle w:val="TextoNormal"/>
      </w:pPr>
    </w:p>
    <w:p w:rsidR="00D06117" w:rsidRDefault="00D06117" w:rsidP="00D06117">
      <w:pPr>
        <w:pStyle w:val="TextoNormal"/>
      </w:pPr>
      <w:r>
        <w:t>Igualmente se refiere a la distribución de competencias en materia de medio ambiente afirmando que corresponde al Estado el establecimiento de las bases y a las Comunidades Autónomas el desarrollo y ejecución de esa legislación y recordando las exigencias formales y materiales de lo básico, así como sus posibles excepciones.</w:t>
      </w:r>
    </w:p>
    <w:p w:rsidR="00D06117" w:rsidRDefault="00D06117" w:rsidP="00D06117">
      <w:pPr>
        <w:pStyle w:val="TextoNormal"/>
      </w:pPr>
    </w:p>
    <w:p w:rsidR="00D06117" w:rsidRDefault="00D06117" w:rsidP="00D06117">
      <w:pPr>
        <w:pStyle w:val="TextoNormal"/>
      </w:pPr>
      <w:r>
        <w:t>Reproduce a continuación el Abogado del Estado la doctrina constitucional sobre la supraterritorialidad recordando que el Tribunal Constitucional ha legitimado excepcionalmente el ejercicio estatal de las competencias ejecutivas “cuando la actividad pública concernida no sea susceptible de fraccionamiento y, aun en este caso, cuando dicha actuación no pueda llevarse a cabo mediante mecanismos de cooperación o coordinación por requerir un grado de homogeneidad que sólo pueda asegurarse mediante su atribución a un único titular, que forzosamente ha de ser el Estado, o, en fin, cuando sea necesario recurrir a un ente con capacidad para integrar intereses contrapuestos de diversas Comunidades Autónomas”. (STC 306/2000, FJ 8).</w:t>
      </w:r>
    </w:p>
    <w:p w:rsidR="00D06117" w:rsidRDefault="00D06117" w:rsidP="00D06117">
      <w:pPr>
        <w:pStyle w:val="TextoNormal"/>
      </w:pPr>
    </w:p>
    <w:p w:rsidR="00D06117" w:rsidRDefault="00D06117" w:rsidP="00D06117">
      <w:pPr>
        <w:pStyle w:val="TextoNormal"/>
      </w:pPr>
      <w:r>
        <w:t>c) Entra a continuación el Abogado del Estado a analizar la constitucionalidad de la resolución impugnada.</w:t>
      </w:r>
    </w:p>
    <w:p w:rsidR="00D06117" w:rsidRDefault="00D06117" w:rsidP="00D06117">
      <w:pPr>
        <w:pStyle w:val="TextoNormal"/>
      </w:pPr>
    </w:p>
    <w:p w:rsidR="00D06117" w:rsidRDefault="00D06117" w:rsidP="00D06117">
      <w:pPr>
        <w:pStyle w:val="TextoNormal"/>
      </w:pPr>
      <w:r>
        <w:t>Destaca en primer lugar la posible existencia de programas necesarios para la protección del medio ambiente que tengan un alcance supraautonómico y que no resulten fraccionables, en cuyo caso no existiría ningún obstáculo a que el Estado decida destinar fondos a financiar tales programas cuya gestión, si efectivamente se cumple el requisito de la supraterritorialidad y la indivisibilidad del programa, sólo puede realizarse por el Estado.</w:t>
      </w:r>
    </w:p>
    <w:p w:rsidR="00D06117" w:rsidRDefault="00D06117" w:rsidP="00D06117">
      <w:pPr>
        <w:pStyle w:val="TextoNormal"/>
      </w:pPr>
    </w:p>
    <w:p w:rsidR="00D06117" w:rsidRDefault="00D06117" w:rsidP="00D06117">
      <w:pPr>
        <w:pStyle w:val="TextoNormal"/>
      </w:pPr>
      <w:r>
        <w:t xml:space="preserve">A continuación señala el Abogado del Estado que la Orden ARM/1935/2009 y la resolución objeto de conflicto no son sino estricto desarrollo del art. 71 de la Ley 42/2007, de </w:t>
      </w:r>
      <w:r>
        <w:lastRenderedPageBreak/>
        <w:t>13 de diciembre, de patrimonio natural y de la biodiversidad que establece que “el Ministerio de Medio Ambiente podrá conceder ayudas a las entidades sin ánimo de lucro de ámbito estatal, para el desarrollo de actuaciones que afecten a más de una Comunidad autónoma y que tengan por objeto la conservación del patrimonio natural y la biodiversidad, previa aceptación, en su caso, de las Comunidades autónomas cuya gestión del patrimonio natural y de la biodiversidad sea afectada por las actuaciones”.</w:t>
      </w:r>
    </w:p>
    <w:p w:rsidR="00D06117" w:rsidRDefault="00D06117" w:rsidP="00D06117">
      <w:pPr>
        <w:pStyle w:val="TextoNormal"/>
      </w:pPr>
    </w:p>
    <w:p w:rsidR="00D06117" w:rsidRDefault="00D06117" w:rsidP="00D06117">
      <w:pPr>
        <w:pStyle w:val="TextoNormal"/>
      </w:pPr>
      <w:r>
        <w:t>Precepto que no suscitó para ninguna Comunidad Autónoma problema competencial alguno y tampoco lo ha suscitado ahora para Galicia, que no se refiere en la demanda a la posible inconstitucionalidad del precepto. Tanto la orden como la resolución respetarían escrupulosamente el precepto legal de cobertura y por tanto, aceptada la plena constitucionalidad del art. 71 de la Ley 42/2007, resulta imposible sostener con fundamento la inconstitucionalidad de una resolución que es escrupulosa ejecución del precepto legal de cobertura.</w:t>
      </w:r>
    </w:p>
    <w:p w:rsidR="00D06117" w:rsidRDefault="00D06117" w:rsidP="00D06117">
      <w:pPr>
        <w:pStyle w:val="TextoNormal"/>
      </w:pPr>
    </w:p>
    <w:p w:rsidR="00D06117" w:rsidRDefault="00D06117" w:rsidP="00D06117">
      <w:pPr>
        <w:pStyle w:val="TextoNormal"/>
      </w:pPr>
      <w:r>
        <w:t>Para el Abogado del Estado ya desde la Orden ARM/1935/2009 se aprecia claramente la exigencia de una proyección supraautonómica de las ayudas, tanto desde la perspectiva subjetiva como objetiva. Por otro lado, el preámbulo de la misma orden establece la necesidad de que el importe de las subvenciones “no sobrepase la cuantía global de los fondos”. Señalando el Abogado del Estado que, de antemano, resulta imposible saber qué concretos proyectos se presentarán para percibir la subvención, por lo que difícilmente podrá determinarse cuáles serán los más interesantes de forma que puedan territorializarse los fondos entre las diversas Comunidades Autónomas. Es más, señala el escrito de la Abogacía del Estado que resulta lógico suponer que existan intereses contrapuestos de las Comunidades Autónomas, en cuanto cada una habrá de estar interesada en la financiación prioritaria de aquellos proyectos que mayor incidencia tengan en la propia Comunidad, al margen de su interés desde una perspectiva estatal de conservación del patrimonio natural. La gestión centralizada trataría de conciliar tales intereses, resultando difícil que tal conciliación pueda llevarse a cabo a través de mecanismo colaborativos.</w:t>
      </w:r>
    </w:p>
    <w:p w:rsidR="00D06117" w:rsidRDefault="00D06117" w:rsidP="00D06117">
      <w:pPr>
        <w:pStyle w:val="TextoNormal"/>
      </w:pPr>
    </w:p>
    <w:p w:rsidR="00D06117" w:rsidRDefault="00D06117" w:rsidP="00D06117">
      <w:pPr>
        <w:pStyle w:val="TextoNormal"/>
      </w:pPr>
      <w:r>
        <w:t>La conciliación de los diversos intereses territoriales consiguiendo a un tiempo el objetivo de respetar los límites cuantitativos máximos justificaría la gestión centralizada de las ayudas.</w:t>
      </w:r>
    </w:p>
    <w:p w:rsidR="00D06117" w:rsidRDefault="00D06117" w:rsidP="00D06117">
      <w:pPr>
        <w:pStyle w:val="TextoNormal"/>
      </w:pPr>
    </w:p>
    <w:p w:rsidR="00D06117" w:rsidRDefault="00D06117" w:rsidP="00D06117">
      <w:pPr>
        <w:pStyle w:val="TextoNormal"/>
      </w:pPr>
      <w:r>
        <w:t>Señala el escrito del Abogado del Estado que el Estado, respetuoso con las competencias autonómicas, ha previsto el más intenso instrumento participativo que cabría imaginar por parte de las Comunidades Autónomas afectadas: una especie de codecisión o resolución compartida Estado-Comunidad Autónoma al haber previsto la necesidad de aportar la previa aceptación de las Comunidades Autónomas afectadas por el proyecto, sin la cual el Estado no puede entrar a valorar el proyecto en cuestión.</w:t>
      </w:r>
    </w:p>
    <w:p w:rsidR="00D06117" w:rsidRDefault="00D06117" w:rsidP="00D06117">
      <w:pPr>
        <w:pStyle w:val="TextoNormal"/>
      </w:pPr>
    </w:p>
    <w:p w:rsidR="00D06117" w:rsidRDefault="00D06117" w:rsidP="00D06117">
      <w:pPr>
        <w:pStyle w:val="TextoNormal"/>
      </w:pPr>
      <w:r>
        <w:t>Finaliza el escrito del Abogado del Estado afirmando que tanto el art. 71 de la Ley 42/2007, como la Orden ARM/1935/2009 y la resolución impugnada vienen a resumir los requisitos previstos en la jurisprudencia constitucional para la gestión centralizada de las ayudas, dada su supraterritorialidad y la necesidad de conciliar intereses eventualmente divergentes de las Comunidades Autónomas, de modo que cabe entender constitucionalmente admisible el régimen de ayudas que establece la disposición impugnada.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Mediante providencia de 22 de marzo de 2012 se señaló para deliberación y votación de la presente Sentencia el día 26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la Junta de Galicia frente a la resolución de 31 de agosto de 2009, de la Dirección general de medio natural y política forestal, por la que convoca la concesión de ayudas a entidades y organizaciones no gubernamentales de ámbito estatal para la realización de actividades privadas relacionadas con los principios inspiradores de la Ley 42/2007, de 13 de diciembre, del patrimonio natural y de la biodiversidad, y con las finalidades de la Ley 43/2003, de 21 de noviembre, de montes.</w:t>
      </w:r>
    </w:p>
    <w:p w:rsidR="00D06117" w:rsidRDefault="00D06117" w:rsidP="00D06117">
      <w:pPr>
        <w:pStyle w:val="TextoNormal"/>
      </w:pPr>
    </w:p>
    <w:p w:rsidR="00D06117" w:rsidRDefault="00D06117" w:rsidP="00D06117">
      <w:pPr>
        <w:pStyle w:val="TextoNormal"/>
      </w:pPr>
      <w:r>
        <w:t>Para la Junta de Galicia la resolución objeto de conflicto no respeta la distribución de competencias en materia de medio ambiente derivada del bloque de constitucionalidad en cuanto que dicha disposición centraliza en los órganos estatales la regulación, tramitación y resolución de las ayudas referidas, ignorando de este modo la doctrina constitucional recaída en relación con las subvenciones (singularmente, la STC 13/1992, de 6 de febrero).</w:t>
      </w:r>
    </w:p>
    <w:p w:rsidR="00D06117" w:rsidRDefault="00D06117" w:rsidP="00D06117">
      <w:pPr>
        <w:pStyle w:val="TextoNormal"/>
      </w:pPr>
    </w:p>
    <w:p w:rsidR="00D06117" w:rsidRDefault="00D06117" w:rsidP="00D06117">
      <w:pPr>
        <w:pStyle w:val="TextoNormal"/>
      </w:pPr>
      <w:r>
        <w:t>Por su parte, el Abogado del Estado sostiene la conformidad de la centralización de la regulación, tramitación y resolución de las ayudas con la doctrina constitucional (también, la STC 13/1992, de 6 de febrero) al tratarse de uno de los supuestos en que puede producirse tal centralización.</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examinar la conformidad o disconformidad de la resolución objeto de conflicto con la distribución de competencias, procede despejar una cuestión previa. Afirma el Abogado del Estado que el artículo 71 de la Ley 42/2007 no suscitó en su día problema competencial alguno y tampoco lo ha suscitado ahora la Junta de Galicia que no se refiere en la demanda a la posible inconstitucionalidad del precepto legal referido. Para el Abogado del Estado tanto la orden como la resolución objeto de conflicto respetarían escrupulosamente el precepto legal de cobertura y por tanto, aceptada la plena constitucionalidad del art. 71 de la Ley 42/2007, resulta imposible sostener con fundamento la inconstitucionalidad de una resolución que es ejecución del precepto legal de cobertura.</w:t>
      </w:r>
    </w:p>
    <w:p w:rsidR="00D06117" w:rsidRDefault="00D06117" w:rsidP="00D06117">
      <w:pPr>
        <w:pStyle w:val="TextoNormal"/>
      </w:pPr>
    </w:p>
    <w:p w:rsidR="00D06117" w:rsidRDefault="00D06117" w:rsidP="00D06117">
      <w:pPr>
        <w:pStyle w:val="TextoNormal"/>
      </w:pPr>
      <w:r>
        <w:t>Pues bien, no cabe aceptar la argumentación de que la falta de impugnación por la Junta de Galicia del precepto legal de cobertura supone la plena constitucionalidad del mismo, pues de acuerdo con nuestra doctrina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de la LOTC” (STC 39/1982, de 30 de junio, FJ 3).</w:t>
      </w:r>
    </w:p>
    <w:p w:rsidR="00D06117" w:rsidRDefault="00D06117" w:rsidP="00D06117">
      <w:pPr>
        <w:pStyle w:val="TextoNormal"/>
      </w:pPr>
    </w:p>
    <w:p w:rsidR="00D06117" w:rsidRDefault="00D06117" w:rsidP="00D06117">
      <w:pPr>
        <w:pStyle w:val="TextoNormal"/>
      </w:pPr>
      <w:r>
        <w:t xml:space="preserve">Por lo demás, en el presente caso, la controversia competencial introducida por la representación de la Junta de Galicia no surge de la disposición legal citada por la Abogacía del Estado, sino que se plantea respecto de la regulación completa del régimen de otorgamiento </w:t>
      </w:r>
      <w:r>
        <w:lastRenderedPageBreak/>
        <w:t>de las subvenciones, así como de su gestión y resolución centralizadas. Reproche que no es imputable al art. 71 de la Ley 42/2007, en la medida en que éste no reserva al Estado la competencia para la regulación del régimen de otorgamiento y la gestión centralizada de determinadas ayudas, limitándose a disponer que el Ministerio de Medio Ambiente podrá conceder ayudas a determinadas entidades para el desarrollo de actuaciones con unas características determinadas. El precepto legal referido no impone, ni la completa regulación, ni la centralización de todo el procedimiento de gestión de las ayudas, por lo que la invasión competencial denunciada sólo sería atribuible, en su caso, a las disposiciones de desarrollo.</w:t>
      </w:r>
    </w:p>
    <w:p w:rsidR="00D06117" w:rsidRDefault="00D06117" w:rsidP="00D06117">
      <w:pPr>
        <w:pStyle w:val="TextoNormal"/>
      </w:pPr>
    </w:p>
    <w:p w:rsidR="00D06117" w:rsidRDefault="00D06117" w:rsidP="00D06117">
      <w:pPr>
        <w:pStyle w:val="TextoNormal"/>
      </w:pPr>
      <w:r>
        <w:t>Por tanto, la presente disputa competencial debe centrarse, exclusivamente, sobre la conformidad o disconformidad al orden competencial, constitucional y estatutario, de la resolución objeto de conflicto, salvo las referencias indispensables a la Orden ARM/1935/2009 que contiene la normativa básica en cuya virtud se ha dictado dicha resolución.</w:t>
      </w:r>
    </w:p>
    <w:p w:rsidR="00D06117" w:rsidRDefault="00D06117" w:rsidP="00D06117">
      <w:pPr>
        <w:pStyle w:val="TextoNormal"/>
      </w:pPr>
    </w:p>
    <w:p w:rsidR="00D06117" w:rsidRDefault="00D06117" w:rsidP="00D06117">
      <w:pPr>
        <w:pStyle w:val="TextoNormal"/>
      </w:pPr>
      <w:r w:rsidRPr="00D06117">
        <w:rPr>
          <w:rStyle w:val="NumeroAFNegritaCaracter"/>
        </w:rPr>
        <w:t>3</w:t>
      </w:r>
      <w:r>
        <w:t>.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 resolución objeto de conflicto a fin de determinar la incardinación competencial de esta línea de ayudas.</w:t>
      </w:r>
    </w:p>
    <w:p w:rsidR="00D06117" w:rsidRDefault="00D06117" w:rsidP="00D06117">
      <w:pPr>
        <w:pStyle w:val="TextoNormal"/>
      </w:pPr>
    </w:p>
    <w:p w:rsidR="00D06117" w:rsidRDefault="00D06117" w:rsidP="00D06117">
      <w:pPr>
        <w:pStyle w:val="TextoNormal"/>
      </w:pPr>
      <w:r>
        <w:t>Las partes de este proceso coinciden en afirmar que estamos ante subvenciones dirigidas a financiar programas en materia de medio ambiente, criterio que hay que confirmar en razón de que el objeto de las subvenciones recogidas en la resolución impugnada es la realización de actividades relacionadas con los principios inspiradores de la Ley 42/2007, de 13 de diciembre, del patrimonio natural y de la biodiversidad, y con las finalidades de la Ley 43/2003, de 21 de noviembre, de montes.</w:t>
      </w:r>
    </w:p>
    <w:p w:rsidR="00D06117" w:rsidRDefault="00D06117" w:rsidP="00D06117">
      <w:pPr>
        <w:pStyle w:val="TextoNormal"/>
      </w:pPr>
    </w:p>
    <w:p w:rsidR="00D06117" w:rsidRDefault="00D06117" w:rsidP="00D06117">
      <w:pPr>
        <w:pStyle w:val="TextoNormal"/>
      </w:pPr>
      <w:r>
        <w:t>Principios y finalidades que se encuentran enumerados en tales normas y que se refieren, entre otros muchos; al mantenimiento de los procesos ecológicos esenciales y de los sistemas vitales básicos, respaldando los servicios de los ecosistemas para el bienestar humano; a la conservación de la biodiversidad y de la geodiversidad; a la utilización ordenada de los recursos para garantizar el aprovechamiento sostenible del patrimonio natural y, en particular, de las especies y de los ecosistemas, así como su restauración y mejora; a la conservación y preservación de la variedad, singularidad y belleza de los ecosistemas naturales, de la diversidad geológica y del paisaje; a la contribución de los procesos de mejora en la sostenibilidad del desarrollo asociados a espacios naturales o seminaturales; a la conservación y restauración de la biodiversidad de los ecosistemas forestales; o a la integración en la política forestal española de los objetivos de la acción internacional sobre protección del medio ambiente, especialmente en materia de desertificación, cambio climático y biodiversidad.</w:t>
      </w:r>
    </w:p>
    <w:p w:rsidR="00D06117" w:rsidRDefault="00D06117" w:rsidP="00D06117">
      <w:pPr>
        <w:pStyle w:val="TextoNormal"/>
      </w:pPr>
    </w:p>
    <w:p w:rsidR="00D06117" w:rsidRDefault="00D06117" w:rsidP="00D06117">
      <w:pPr>
        <w:pStyle w:val="TextoNormal"/>
      </w:pPr>
      <w:r>
        <w:t>El ámbito material en el que debe incardinarse la resolución cuestionada es, por tanto, el relativo a medio ambiente y a montes, por ser estas dos las materias más directamente afectadas, tal y como queda, asimismo, confirmado por la remisión que se realiza al art. 149.1.23 CE en la disposición final primera de la Orden ARM/1935/2009, en la que se contienen las bases de la convocatoria en las que se sustenta la resolución objeto de conflicto.</w:t>
      </w:r>
    </w:p>
    <w:p w:rsidR="00D06117" w:rsidRDefault="00D06117" w:rsidP="00D06117">
      <w:pPr>
        <w:pStyle w:val="TextoNormal"/>
      </w:pPr>
    </w:p>
    <w:p w:rsidR="00D06117" w:rsidRDefault="00D06117" w:rsidP="00D06117">
      <w:pPr>
        <w:pStyle w:val="TextoNormal"/>
      </w:pPr>
      <w:r>
        <w:t>Encuadrada de este modo la cuestión controvertida, apreciamos que el sistema de distribución competencial que se deriva de las previsiones de la Constitución y del Estatuto de Autonomía de Galicia (EAG) sobre estas materias —medio ambiente y montes— se traduce en que el art. 149.1.23 CE atribuye al Estado las competencias tanto para dictar la legislación básica en relación con la “protección del medio ambiente, sin perjuicio de las facultades de las Comunidades Autónomas de establecer normas adicionales de protección”, como para dictar la legislación básica en relación con “montes, aprovechamientos forestales y vías pecuarias”, mientras que corresponde a la Comunidad Autónoma de Galicia la competencia exclusiva para dictar “normas adicionales sobre protección del medio ambiente y del paisaje en los términos del artículo 149.1.23 CE” (art. 27.30 del EAG), así como la competencia exclusiva sobre “montes, aprovechamientos forestales, vías pecuarias y pastos sin perjuicio de lo dispuesto en el artículo 149.1.23 de la Constitución” (art. 27.10 EAG).</w:t>
      </w:r>
    </w:p>
    <w:p w:rsidR="00D06117" w:rsidRDefault="00D06117" w:rsidP="00D06117">
      <w:pPr>
        <w:pStyle w:val="TextoNormal"/>
      </w:pPr>
    </w:p>
    <w:p w:rsidR="00D06117" w:rsidRDefault="00D06117" w:rsidP="00D06117">
      <w:pPr>
        <w:pStyle w:val="TextoNormal"/>
      </w:pPr>
      <w:r>
        <w:t>El Estado tiene, por tanto, la competencia sobre las bases en materia de medio ambiente y montes, correspondiendo a la Comunidad Autónoma las competencias de desarrollo normativo y de ejecución.</w:t>
      </w:r>
    </w:p>
    <w:p w:rsidR="00D06117" w:rsidRDefault="00D06117" w:rsidP="00D06117">
      <w:pPr>
        <w:pStyle w:val="TextoNormal"/>
      </w:pPr>
    </w:p>
    <w:p w:rsidR="00D06117" w:rsidRDefault="00D06117" w:rsidP="00D06117">
      <w:pPr>
        <w:pStyle w:val="TextoNormal"/>
      </w:pPr>
      <w:r w:rsidRPr="00D06117">
        <w:rPr>
          <w:rStyle w:val="NumeroAFNegritaCaracter"/>
        </w:rPr>
        <w:t>4</w:t>
      </w:r>
      <w:r>
        <w:t>. Una vez expuesto el marco competencial de los términos del debate procesal trabado entre las partes, podemos apreciar que la controversia entre las mismas versa en torno a la aplicación al caso concreto de la consolidada doctrina de este Tribunal en materia de subvenciones y ayudas públicas, en particular la contenida en la STC 13/1992, a la que ambas partes hacen referencia en sus alegaciones. Así, lo discutido entre las partes resulta ser la concurrencia de las circunstancias excepcionales previstas en la doctrina constitucional (en concreto, STC 13/1992, de 6 de febrero, FJ 8) para que resulte justificada la regulación completa de las subvenciones y la centralización de la gestión que se contienen en la resolución objeto de conflicto.</w:t>
      </w:r>
    </w:p>
    <w:p w:rsidR="00D06117" w:rsidRDefault="00D06117" w:rsidP="00D06117">
      <w:pPr>
        <w:pStyle w:val="TextoNormal"/>
      </w:pPr>
      <w:r>
        <w:t xml:space="preserve">Al abordar este tipo de conflictos nuestro punto de partida ha sido invariablemente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 Por tanto, las diversas instancias territoriales ejercerán sobre las subvenciones las competencias que tienen atribuidas, de modo que si la materia o sector de la actividad pública a la que aquéllas se dirigen son de competencia exclusiva del Estado, no se plantea ningún problema en cuanto a la delimitación competencial. Cuando, por el contrario, en tal materia o sector hayan asumido competencias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 A los efectos de dicha Sentencia, el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siguen siendo referente constante de nuestra doctrina posterior y de las alegaciones de las partes en los procesos de constitucionalidad. De hecho, el debate trabado entre las partes en este proceso, una vez encuadradas las ayudas controvertidas en las materias medio ambiente y montes, se centra en determinar el supuesto que, de </w:t>
      </w:r>
      <w:r>
        <w:lastRenderedPageBreak/>
        <w:t>los cuatro que hemos contemplado en nuestra doctrina, resulta de aplicación a las ahora controvertidas.</w:t>
      </w:r>
    </w:p>
    <w:p w:rsidR="00D06117" w:rsidRDefault="00D06117" w:rsidP="00D06117">
      <w:pPr>
        <w:pStyle w:val="TextoNormal"/>
      </w:pPr>
    </w:p>
    <w:p w:rsidR="00D06117" w:rsidRDefault="00D06117" w:rsidP="00D06117">
      <w:pPr>
        <w:pStyle w:val="TextoNormal"/>
      </w:pPr>
      <w:r>
        <w:t>Al respecto, la representación procesal de la Junta de Galicia entiende que nos encontramos en el denominado segundo supuesto, recogido en el FJ 8 b) de la meritada STC 13/1992, el cual determina lo siguiente:</w:t>
      </w:r>
    </w:p>
    <w:p w:rsidR="00D06117" w:rsidRDefault="00D06117" w:rsidP="00D06117">
      <w:pPr>
        <w:pStyle w:val="TextoNormal"/>
      </w:pPr>
    </w:p>
    <w:p w:rsidR="00D06117" w:rsidRDefault="00D06117" w:rsidP="00D06117">
      <w:pPr>
        <w:pStyle w:val="TextoNormal"/>
      </w:pPr>
      <w:r>
        <w:t>“El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D06117" w:rsidRDefault="00D06117" w:rsidP="00D06117">
      <w:pPr>
        <w:pStyle w:val="TextoNormal"/>
      </w:pPr>
    </w:p>
    <w:p w:rsidR="00D06117" w:rsidRDefault="00D06117" w:rsidP="00D06117">
      <w:pPr>
        <w:pStyle w:val="TextoNormal"/>
      </w:pPr>
      <w:r>
        <w:t>Por su parte, el Abogado del Estado disiente del anterior planteamiento y considera que la peculiaridad de estas ayudas conlleva que, como excepción, resulte procedente la aplicación a todas ellas de la doctrina recaída en el fundamento jurídico 8 d) de la misma Sentencia 13/1992, en el que dijimos que la gestión centralizada estatal,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D06117" w:rsidRDefault="00D06117" w:rsidP="00D06117">
      <w:pPr>
        <w:pStyle w:val="TextoNormal"/>
      </w:pPr>
    </w:p>
    <w:p w:rsidR="00D06117" w:rsidRDefault="00D06117" w:rsidP="00D06117">
      <w:pPr>
        <w:pStyle w:val="TextoNormal"/>
      </w:pPr>
      <w:r>
        <w:t>Debemos pronunciarnos ahora sobre cuál de estos dos supuestos le es de aplicación a la resolución impugnada en razón a sus características.</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Así centrados los términos de la cuestión, para su resolución habremos de comenzar analizando las razones aducidas para justificar la concurrencia de la excepción que determina la posibilidad de asunción centralizada de las competencias de regulación del régimen de otorgamiento y de gestión de las ayudas, pues nos encontramos ante un caso en el que la potestad de fomento del Estado se hace patente en un ámbito material en el que ostenta competencias básicas. A este respecto, teniendo presente que la centralización en el Estado de funciones relacionadas con la regulación del régimen de otorgamiento y de la gestión de las ayudas sólo puede tener lugar en supuestos excepcionales que aparezcan plenamente </w:t>
      </w:r>
      <w:r>
        <w:lastRenderedPageBreak/>
        <w:t>justificados, debemos examinar tanto la resolución objeto de conflicto como la orden por la que se establecen las bases reguladoras de las ayudas, la Orden ARM/1935/2009. Igualmente atenderemos a los argumentos aportados por el Abogado del Estado para justificar la reserva al Estado de tales competencias relacionadas con la regulación, gestión y pago de las ayudas.</w:t>
      </w:r>
    </w:p>
    <w:p w:rsidR="00D06117" w:rsidRDefault="00D06117" w:rsidP="00D06117">
      <w:pPr>
        <w:pStyle w:val="TextoNormal"/>
      </w:pPr>
    </w:p>
    <w:p w:rsidR="00D06117" w:rsidRDefault="00D06117" w:rsidP="00D06117">
      <w:pPr>
        <w:pStyle w:val="TextoNormal"/>
      </w:pPr>
      <w:r>
        <w:t>En la Orden ARM/1935/2009 que establece las bases reguladoras de las ayudas convocadas por la resolución objeto de conflicto se justifica, especialmente en su preámbulo, la regulación del régimen de otorgamiento y la gestión de las ayudas por la Administración general del Estado en una serie de motivos. En concreto: a) en la exigencia de que los beneficiarios sean entidades de ámbito supraautonómico, es decir, que actúen más allá del ámbito territorial que constituye el límite dentro del que ejercen sus competencias cada una de las Comunidades Autónomas; b) en la pretensión de asegurar la plena efectividad de las medidas de fomento, dentro de la ordenación básica del sector y de garantizar las mismas posibilidades de obtención y disfrute de las mismas, por parte de sus potenciales destinatarios, en todo el territorio nacional siendo al mismo tiempo un medio necesario para evitar que se sobrepase la cuantía global de los fondos y c) en la condición de que las actividades financiadas tengan un ámbito territorial de más de una Comunidad Autónoma.</w:t>
      </w:r>
    </w:p>
    <w:p w:rsidR="00D06117" w:rsidRDefault="00D06117" w:rsidP="00D06117">
      <w:pPr>
        <w:pStyle w:val="TextoNormal"/>
      </w:pPr>
    </w:p>
    <w:p w:rsidR="00D06117" w:rsidRDefault="00D06117" w:rsidP="00D06117">
      <w:pPr>
        <w:pStyle w:val="TextoNormal"/>
      </w:pPr>
      <w:r>
        <w:t>En relación con el primer punto, el que se refiere a la exigencia de que los beneficiarios de las ayudas sean entidades de ámbito supraautonómico, es decir, que, según su título constitutivo, actúen más allá del ámbito territorial que constituye el límite dentro del que ejercen sus competencias las distintas Comunidades Autónomas, hay que decir que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Tampoco resulta argumento bastante el que se refiere a la necesidad de garantizar las mismas posibilidades de obtención y disfrute de las ayudas, por parte de sus potenciales destinatarios, en todo el territorio nacional, respecto al cual alega el Abogado del Estado que resulta imposible saber, de antemano, qué concretos proyectos se presentarán para percibir la subvención, por lo que, en su opinión, difícilmente podrá determinarse cuáles serán los más interesantes de forma que puedan territorializarse los fondos entre las diversas Comunidades Autónomas. En este punto, el preámbulo de la orden, que recoge explícitamente tal necesidad, parece atender a la doctrina de este Tribunal que ha establecido que la gestión por el Estado de las actividades de ejecución orientadas al otorgamiento de ayudas “sólo sería constitucionalmente admisible si, la centralización de los expresados incentivos económicos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estatales o de los créditos que hayan de destinarse al sector” (por todas, STC 200/2009, de 28 de septiembre, </w:t>
      </w:r>
      <w:r>
        <w:lastRenderedPageBreak/>
        <w:t>FJ 4). Sin embargo, la simple reproducción de la doctrina constitucional referida en el preámbulo de la orden no supone necesariamente que tales exigencias concurran en el caso.</w:t>
      </w:r>
    </w:p>
    <w:p w:rsidR="00D06117" w:rsidRDefault="00D06117" w:rsidP="00D06117">
      <w:pPr>
        <w:pStyle w:val="TextoNormal"/>
      </w:pPr>
    </w:p>
    <w:p w:rsidR="00D06117" w:rsidRDefault="00D06117" w:rsidP="00D06117">
      <w:pPr>
        <w:pStyle w:val="TextoNormal"/>
      </w:pPr>
      <w:r>
        <w:t>En efecto, en relación con la necesidad de garantizar las mismas posibilidades de obtención y disfrute de las ayudas, por parte de sus potenciales destinatarios, este Tribunal ya ha tenido ocasión de señalar que “tampoco puede admitirse como justificación de la gestión centralizada el argumento de que lo determinante para recibir la subvención es la excelencia de los proyectos, debiendo valorarse a tal efecto todos los que se presenten en el conjunto del territorio nacional, pues tal técnica conduciría, simplemente, a la distorsión del orden de competencias y por ello hemos declarado que ... bastaría que en el diseño de una legislación estatal reguladora de una materia se dificultara artificialmente su ejecución autonómica para justificar la negación o supresión de esa competencia (STC 106/1987, FJ 4)” (STC 200/2009, FJ 4).</w:t>
      </w:r>
    </w:p>
    <w:p w:rsidR="00D06117" w:rsidRDefault="00D06117" w:rsidP="00D06117">
      <w:pPr>
        <w:pStyle w:val="TextoNormal"/>
      </w:pPr>
    </w:p>
    <w:p w:rsidR="00D06117" w:rsidRDefault="00D06117" w:rsidP="00D06117">
      <w:pPr>
        <w:pStyle w:val="TextoNormal"/>
      </w:pPr>
      <w:r>
        <w:t>Por ello, nuestra doctrina ha rechazado “que la subvención pueda centralizarse con el argumento de que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puesto que ‘las posibles dificultades previas pueden salvarse mediante diversas técnicas. En primer lugar, mediante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 (STC 186/1999, FJ 10)’ (STC 188/2001, FJ 11). Y es que, en definitiva, ‘la garantía de la eficacia de la normativa estatal ha de cohonestarse con el respeto al principio de autonomía, de modo que … las dificultades que pudieran existir ... no pueden ser alegadas para eludir competencias que constitucionalmente correspondan a una Comunidad Autónoma…’ (SSTC 106/1987, FJ 4; y 186/1999, de 14 de octubre, FJ 10)” (STC 159/2011, de 19 de octubre, FJ 7).</w:t>
      </w:r>
    </w:p>
    <w:p w:rsidR="00D06117" w:rsidRDefault="00D06117" w:rsidP="00D06117">
      <w:pPr>
        <w:pStyle w:val="TextoNormal"/>
      </w:pPr>
    </w:p>
    <w:p w:rsidR="00D06117" w:rsidRDefault="00D06117" w:rsidP="00D06117">
      <w:pPr>
        <w:pStyle w:val="TextoNormal"/>
      </w:pPr>
      <w:r>
        <w:t>La selección de unos concretos proyectos dirigidos a la consecución de un objetivo determinado, por tanto, “puede conseguirse a través del sistema constitucional de distribución de competencias teniendo muy en cuenta que, como ya dijimos en la STC 242/1999, de 21 de diciembre, FJ 20, la cooperación y la coordinación entre el Estado y las Comunidades Autónomas constituye el elemento fundamental del Estado autonómico, en particular, en ámbitos como el presente en que han de conciliarse las competencias estatales … con las exclusivas autonómicas en esta materia lo que puede producirse bien sea a través de convenios ajustados al orden de distribución de competencias (SSTC 95/1986, de 10 de julio, FJ 5, y 13/1992, de 6 de febrero, FFJJ 7 y 10) u otras fórmulas” (STC 200/2009, FJ 4).</w:t>
      </w:r>
    </w:p>
    <w:p w:rsidR="00D06117" w:rsidRDefault="00D06117" w:rsidP="00D06117">
      <w:pPr>
        <w:pStyle w:val="TextoNormal"/>
      </w:pPr>
    </w:p>
    <w:p w:rsidR="00D06117" w:rsidRDefault="00D06117" w:rsidP="00D06117">
      <w:pPr>
        <w:pStyle w:val="TextoNormal"/>
      </w:pPr>
      <w:r>
        <w:t xml:space="preserve">En conclusión, la garantía de que todos los proyectos presentados tengan iguales posibilidades de acceso a la subvención no justifica la total centralización de la gestión de estas </w:t>
      </w:r>
      <w:r>
        <w:lastRenderedPageBreak/>
        <w:t>ayudas, pues existen mecanismos de cooperación y coordinación a través de los cuales es posible valorar cuáles son, de entre los diferentes proyectos que presenten las entidades y organizaciones no gubernamentales, los que mejor satisfacen las finalidades medioambientales pretendidas por la norma reguladora.</w:t>
      </w:r>
    </w:p>
    <w:p w:rsidR="00D06117" w:rsidRDefault="00D06117" w:rsidP="00D06117">
      <w:pPr>
        <w:pStyle w:val="TextoNormal"/>
      </w:pPr>
    </w:p>
    <w:p w:rsidR="00D06117" w:rsidRDefault="00D06117" w:rsidP="00D06117">
      <w:pPr>
        <w:pStyle w:val="TextoNormal"/>
      </w:pPr>
      <w:r w:rsidRPr="00D06117">
        <w:rPr>
          <w:rStyle w:val="NumeroAFNegritaCaracter"/>
        </w:rPr>
        <w:t>7</w:t>
      </w:r>
      <w:r>
        <w:t>. Por otra parte, la condición de que las actividades financiadas tengan un ámbito territorial de más de una Comunidad Autónoma, es decir que las actividades a desarrollar afecten a un ámbito geográfico supraautonómico, tampoco puede justificar, por sí misma, la excepcional asunción de competencias de gestión por el Estado y el correlativo desplazamiento de las competencias autonómicas. En este sentido hemos de recordar que este Tribunal ha afirmado que la supraterritorialidad no es un título competencial (STC 178/2011, de 8 de novembre, FJ 5). Así, en la STC 194/2004, de 4 de novembre, FJ 16, recogiendo doctrina anterior, afirmamos que “‘es evidente que la supraterritorialidad no configura título competencial alguno en esta materia [ciertos espacios naturales supracomunitarios] …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(STC 102/1995, FJ 19)”. Como dijimos ya en la STC 329/1993, de 12 de novembre, al abordar el enjuiciamiento de un precepto de un reglamento estatal que atribuía al Estado la declaración de “zona atmosférica contaminada” cuando dicha zona se extendiera por más de una Comunidad Autónoma, “es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(STC 329/1993, FJ 4).</w:t>
      </w:r>
    </w:p>
    <w:p w:rsidR="00D06117" w:rsidRDefault="00D06117" w:rsidP="00D06117">
      <w:pPr>
        <w:pStyle w:val="TextoNormal"/>
      </w:pPr>
    </w:p>
    <w:p w:rsidR="00D06117" w:rsidRDefault="00D06117" w:rsidP="00D06117">
      <w:pPr>
        <w:pStyle w:val="TextoNormal"/>
      </w:pPr>
      <w:r>
        <w:t>Ahora bien, planteada así la cuestión, señalamos entonces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intervención separada de las diversas Comunidades Autónomas no permitiera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(STC 329/1993, FJ 4). Supuestos excepcionales que consideramos que no se daban en aquella ocasión.</w:t>
      </w:r>
    </w:p>
    <w:p w:rsidR="00D06117" w:rsidRDefault="00D06117" w:rsidP="00D06117">
      <w:pPr>
        <w:pStyle w:val="TextoNormal"/>
      </w:pPr>
    </w:p>
    <w:p w:rsidR="00D06117" w:rsidRDefault="00D06117" w:rsidP="00D06117">
      <w:pPr>
        <w:pStyle w:val="TextoNormal"/>
      </w:pPr>
      <w:r w:rsidRPr="00D06117">
        <w:rPr>
          <w:rStyle w:val="NumeroAFNegritaCaracter"/>
        </w:rPr>
        <w:t>8</w:t>
      </w:r>
      <w:r>
        <w:t xml:space="preserve">. De la doctrina recogida en los fundamentos jurídicos 5, 6 y 7, se desprende que, de acuerdo con la misma, la centralización de las funciones de ejecución sólo puede tener lugar en supuestos excepcionales que aparezcan plenamente justificados, pues la regla general ha de ser la de que las Comunidades Autónomas competentes desarrollen y gestionen las ayudas, incluso cuando su ejecución pueda tener un alcance supraterritorial, pues es responsabilidad del Estado en estos casos fijar los puntos de conexión que permitan la gestión autonómica. En efecto, concretando los términos de la excepcionalidad requerida, hemos dicho </w:t>
      </w:r>
      <w:r>
        <w:lastRenderedPageBreak/>
        <w:t>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(SSTC 242/1999, de 21 de diciembre, FJ 18 y 190/2000, de 13 de julio, FJ 9). Por tanto, el carácter supraautonómico de las ayudas “no justifica la competencia estatal, ya que la persecución del interés general se ha de materializar a través de, no a pesar de, los sistemas de reparto de competencias articulados en la Constitución”. [STC 77/2004, de 29 de abril, FJ 6 b)].</w:t>
      </w:r>
    </w:p>
    <w:p w:rsidR="00D06117" w:rsidRDefault="00D06117" w:rsidP="00D06117">
      <w:pPr>
        <w:pStyle w:val="TextoNormal"/>
      </w:pPr>
    </w:p>
    <w:p w:rsidR="00D06117" w:rsidRDefault="00D06117" w:rsidP="00D06117">
      <w:pPr>
        <w:pStyle w:val="TextoNormal"/>
      </w:pPr>
      <w:r>
        <w:t>De este modo, correspondería al Estado la carga de probar que en los supuestos de aquellas ejecuciones con alcance supraautonómico la ejecución no puede llevarse a cabo mediante mecanismos de cooperación o coordinación, bien sean de naturaleza vertical —entre el Estado y las Comunidades Autónomas—, bien de naturaleza horizontal —entre Comunidades Autónomas—, ya que tales son los instrumentos que han de servir, en principio, para resolver la eventual contraposición de intereses entre los distintos entes territoriales.</w:t>
      </w:r>
    </w:p>
    <w:p w:rsidR="00D06117" w:rsidRDefault="00D06117" w:rsidP="00D06117">
      <w:pPr>
        <w:pStyle w:val="TextoNormal"/>
      </w:pPr>
    </w:p>
    <w:p w:rsidR="00D06117" w:rsidRDefault="00D06117" w:rsidP="00D06117">
      <w:pPr>
        <w:pStyle w:val="TextoNormal"/>
      </w:pPr>
      <w:r>
        <w:t>Para determinar si el Estado ha levantado tal carga probatoria, examinaremos los argumentos aportados por el Abogado del Estado en su escrito de oposición al conflicto planteado y en defensa de la resolución recurrida. En primer lugar considera el Abogado del Estado que resulta imposible imaginar cómo la conciliación de intereses contrapuestos de las Comunidades Autónoma y su confluencia con el superior interés medio ambiental desde una perspectiva nacional pueda llevarse a cabo a través de mecanismos colaborativos distintos al previsto en la propia orden del Ministerio de Medio Ambiente, y Medio Rural y Marino de 2009. En tal sentido afirma que el Estado ha introducido el más intenso instrumento participativo que cabría imaginar por parte de las Comunidades Autónomas afectadas: una especie de codecisión o resolución compartida Estado-Comunidad, pues las Comunidades Autónomas cuya gestión del patrimonio natural y de la biodiversidad se vea afectada por las actuaciones para las que se solicita la subvención, de acuerdo con las bases de la convocatoria, han de prestar su conformidad al mismo. Para el Abogado del Estado resulta de todo punto imposible pensar en otro mecanismo más intenso de colaboración que garantice una eficaz y equitativa gestión de las ayudas.</w:t>
      </w:r>
    </w:p>
    <w:p w:rsidR="00D06117" w:rsidRDefault="00D06117" w:rsidP="00D06117">
      <w:pPr>
        <w:pStyle w:val="TextoNormal"/>
      </w:pPr>
    </w:p>
    <w:p w:rsidR="00D06117" w:rsidRDefault="00D06117" w:rsidP="00D06117">
      <w:pPr>
        <w:pStyle w:val="TextoNormal"/>
      </w:pPr>
      <w:r>
        <w:t xml:space="preserve">Pues bien, este Tribunal ha rechazado expresamente que tal clase de mecanismos pueda salvaguardar la autonomía de las Comunidades Autónomas, con el siguiente planteamiento: “se podría pensar que mal puede el Estado lesionar la autonomía política y financiera de las Comunidades Autónomas cuando éstas en modo alguno están obligadas a aceptar la subvención establecida en los Presupuestos Generales del Estado para acciones de fomento en materias o servicios de competencia exclusiva de aquéllas. De manera que la Comunidad Autónoma siempre podría evitar la lesión a su autonomía política o la invasión competencial rechazando la subvención en la forma prevista en los Presupuestos Generales del Estado y si en uso de su autonomía de la voluntad la acepta, prestando su consentimiento a las condiciones y modo de la subvención, ello priva de fundamento a toda queja competencial en este sentido pues sería como ir contra sus propios actos. Pero un razonamiento semejante [argumenta el Tribunal] sería constitucionalmente inaceptable porque la autonomía y las </w:t>
      </w:r>
      <w:r>
        <w:lastRenderedPageBreak/>
        <w:t>propias competencias son indisponibles tanto para el Estado como para las Comunidades Autónomas y porque, como se dijo en la STC 201/1988, fundamento jurídico 4, ‘la autonomía financiera de las Comunidades Autónomas reconocida en los arts. 156.1 de la Constitución y 1.1 de la LOFCA exige la plena disposición de medios financieros para poder ejercer, sin condicionamientos indebidos y en toda su extensión, las competencias propias, en especial las que se configuran como exclusivas’” (STC 13/1992, FJ 7).</w:t>
      </w:r>
    </w:p>
    <w:p w:rsidR="00D06117" w:rsidRDefault="00D06117" w:rsidP="00D06117">
      <w:pPr>
        <w:pStyle w:val="TextoNormal"/>
      </w:pPr>
    </w:p>
    <w:p w:rsidR="00D06117" w:rsidRDefault="00D06117" w:rsidP="00D06117">
      <w:pPr>
        <w:pStyle w:val="TextoNormal"/>
      </w:pPr>
      <w:r>
        <w:t>En dicho plano, la técnica utilizada, al condicionar el ejercicio por el Estado de su competencia a la conformidad de las Comunidades Autónomas, no resulta convincente, pues parecería cuestionar la propia competencia estatal. Por otra parte, si corresponde a la Comunidad Autónoma de Galicia, de acuerdo con el orden de distribución de competencias, la competencia de ejecución en materia de medio ambiente, la exigencia de la aceptación autonómica de las condiciones y modo de la subvención no es realmente un mecanismo colaborativo y no respeta aquel orden, pues supone colocar a la Comunidad Autónoma ante la disyuntiva de tener, bien que aceptar las ayudas que se vayan a desarrollar en su territorio pero gestionadas por el Estado, bien que rechazar las ayudas en la forma prevista por el Estado, con la consiguiente pérdida de ingresos para atender actividades en relación con una materia sobre la que ostenta competencias de desarrollo normativo y ejecución.</w:t>
      </w:r>
    </w:p>
    <w:p w:rsidR="00D06117" w:rsidRDefault="00D06117" w:rsidP="00D06117">
      <w:pPr>
        <w:pStyle w:val="TextoNormal"/>
      </w:pPr>
    </w:p>
    <w:p w:rsidR="00D06117" w:rsidRDefault="00D06117" w:rsidP="00D06117">
      <w:pPr>
        <w:pStyle w:val="TextoNormal"/>
      </w:pPr>
      <w:r>
        <w:t>Rechazado el carácter colaborativo del mecanismo previsto en la propia orden del Ministerio de Medio Ambiente, y Medio Rural y Marino de 2009 y recogido en la resolución objeto de conflicto, las razones aducidas por el Abogado del Estado en favor de la centralización absoluta de la regulación y la gestión en aplicación de la doctrina contenida en el fundamento jurídico 8 d) de la STC 13/1992 no resultan admisibles. No cuestiona este Tribunal que pueda corresponder al Estado fijar con el detalle que considere necesario las condiciones y requisitos básicos que han de observarse en la concesión y disfrute de aquellas ayudas con la finalidad de garantizar una aplicación homogénea en todo el territorio nacional, lo que se cuestiona es la centralización total y absoluta de la gestión de las mismas. Por tanto, lo que el Estado debió hacer, con sustento en sus facultades de coordinación, fue instrumentar mecanismos que permitieran a las Comunidades Autónomas afectadas realizar la gestión de las ayudas, integrando su actividad del modo que resultase más adecuado, sin que a este Tribunal le corresponda señalar ni el alcance ni la intensidad de los mecanismos que deben ponerse en marcha al efecto.</w:t>
      </w:r>
    </w:p>
    <w:p w:rsidR="00D06117" w:rsidRDefault="00D06117" w:rsidP="00D06117">
      <w:pPr>
        <w:pStyle w:val="TextoNormal"/>
      </w:pPr>
    </w:p>
    <w:p w:rsidR="00D06117" w:rsidRDefault="00D06117" w:rsidP="00D06117">
      <w:pPr>
        <w:pStyle w:val="TextoNormal"/>
      </w:pPr>
      <w:r>
        <w:t>En suma, a la luz de todo lo expuesto, cabe concluir que nos hallamos, por tanto, ante el segundo de los supuestos —el b)— de delimitación competencial entre el Estado y las Comunidades Autónomas enunciados en el fundamento jurídico 8 de la STC 13/1992, en que el Estado tiene competencias sobre las bases y la coordinación general en las materias concernidas, correspondiendo a la Comunidad Autónoma las competencias de desarrollo normativo y ejecución, como mantenía el escrito que inició este proceso. Por tanto, la resolución impugnada, al centralizar en el Estado la gestión de las ayudas que en ella se establecen, invadió las competencias de la Comunidad Autónoma de Galicia.</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Antes del fallo, debemos pronunciarnos sobre el alcance que tiene la vulneración de competencias en que, según hemos visto, incurre la resolución objeto de conflicto, en consideración a que, como hemos declarado en otros casos (SSTC 75/1989, de 21 de abril, 13/1992, de 6 de febrero, 79/1992, de 28 de mayo, 186/1999, de 14 de octubre, entre otras), aquélla ya ha agotado sus efectos y se podría afectar a situaciones jurídicas consolidadas. </w:t>
      </w:r>
      <w:r>
        <w:lastRenderedPageBreak/>
        <w:t>Por ello, la pretensión de la Junta de Galicia ha de estimarse satisfecha mediante la declaración de titularidad de la competencia controvertida.</w:t>
      </w:r>
    </w:p>
    <w:p w:rsidR="00D06117" w:rsidRDefault="00D06117" w:rsidP="00D06117">
      <w:pPr>
        <w:pStyle w:val="TextoNormal"/>
      </w:pPr>
    </w:p>
    <w:p w:rsidR="00D06117" w:rsidRDefault="00D06117" w:rsidP="00D06117">
      <w:pPr>
        <w:pStyle w:val="TextoNormal"/>
      </w:pPr>
      <w:r>
        <w:t>No obstante, en relación con la Orden ARM/1935/2009, de 8 de julio, en la que se establecen las bases de la convocatoria, y que no ha sido objeto de conflicto, debemos recordar lo que dijimos en la STC 208/1999, de 11 de noviembre (FJ 7),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afirmamos “la lealtad constitucional obliga a todos” (STC 209/1990, FJ 4) y comprende, sin duda, el respeto a las decisiones de este Alto Tribunal.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conflicto positivo de competencia núm. 10801-2009 interpuesto por la Junta de Galicia contra la resolución de 31 de agosto de 2009, de la Dirección general de medio natural y política forestal, por la que convoca la concesión de ayudas a entidades y organizaciones no gubernamentales de ámbito estatal para la realización de actividades privadas relacionadas con los principios inspiradores de la Ley 42/2007, de 13 de diciembre, del patrimonio natural y de la biodiversidad, y con las finalidades de la Ley 43/2003, de 21 de noviembre, de montes y en consecuencia declarar que dicha resolución vulnera las competencias de la Junta de Galicia.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veintiséis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2" w:name="SENTENCIA_2012_39"/>
      <w:r>
        <w:lastRenderedPageBreak/>
        <w:t>SENTENCIA 39/2012, de 29 de marzo de 2012</w:t>
      </w:r>
    </w:p>
    <w:bookmarkEnd w:id="4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ECLI:ES:TC:2012:39</w:t>
      </w:r>
    </w:p>
    <w:p w:rsidR="00D06117" w:rsidRDefault="00D06117" w:rsidP="00D06117">
      <w:pPr>
        <w:pStyle w:val="SntesisDescriptiva"/>
      </w:pPr>
    </w:p>
    <w:p w:rsidR="00D06117" w:rsidRDefault="00D06117" w:rsidP="00D06117">
      <w:pPr>
        <w:pStyle w:val="SntesisDescriptiva"/>
      </w:pPr>
      <w:r>
        <w:t>Recurso de amparo 4893-2006. Promovido por don José Ignacio Gaztañaga Bidaurreta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Vulneración de los derechos a la tutela judicial efectiva (intangibilidad) y a la libertad personal: resoluciones judiciales que desconocen lo anteriormente decidido con carácter firme acerca del criterio de cómputo de redenciones de penas privativas de libertad. Votos particulares.</w:t>
      </w:r>
    </w:p>
    <w:p w:rsidR="00D06117" w:rsidRDefault="00D06117" w:rsidP="00D06117">
      <w:pPr>
        <w:pStyle w:val="SntesisAnaltica"/>
      </w:pPr>
    </w:p>
    <w:p w:rsidR="00D06117" w:rsidRDefault="00D06117" w:rsidP="00D06117">
      <w:pPr>
        <w:pStyle w:val="Extracto"/>
      </w:pPr>
      <w:r>
        <w:t>1.</w:t>
      </w:r>
      <w:r>
        <w:tab/>
        <w:t xml:space="preserve">Una vez cumplida la pena, computando la redención de penas por el trabajo conforme al criterio firme e intangible establecido por el órgano judicial encargado de la ejecución, y extinguido con ello el título que legitimaba la privación de libertad, el exceso de tiempo pasado en prisión constituye una privación de libertad carente de base legal y lesiva del derecho fundamental a la libertad consagrado en el art. 17.1 CE (STC 322/2005; STEDH caso </w:t>
      </w:r>
      <w:r w:rsidRPr="00D06117">
        <w:rPr>
          <w:i/>
        </w:rPr>
        <w:t>Grava c. Italia</w:t>
      </w:r>
      <w:r>
        <w:t>, de 10 de julio de 2003) [FJ 8].</w:t>
      </w:r>
    </w:p>
    <w:p w:rsidR="00D06117" w:rsidRDefault="00D06117" w:rsidP="00D06117">
      <w:pPr>
        <w:pStyle w:val="Extracto"/>
      </w:pPr>
    </w:p>
    <w:p w:rsidR="00D06117" w:rsidRDefault="00D06117" w:rsidP="00D06117">
      <w:pPr>
        <w:pStyle w:val="Extracto"/>
      </w:pPr>
      <w:r>
        <w:t>2.</w:t>
      </w:r>
      <w:r>
        <w:tab/>
        <w:t>Existe una estricta relación de dependencia entre lo resuelto por el Auto de la Audiencia Nacional que acordó que no procedía la revisión de las penas y las resoluciones recurridas en amparo, que impedía a éstas ignorar la realidad jurídica conformada por aquél en cuanto al criterio de cómputo de las redenciones, por lo que al desconocer la eficacia de lo resuelto con carácter firme e intangible por el Auto, han vulnerado el derecho a la tutela judicial efectiva [FJ 7].</w:t>
      </w:r>
    </w:p>
    <w:p w:rsidR="00D06117" w:rsidRDefault="00D06117" w:rsidP="00D06117">
      <w:pPr>
        <w:pStyle w:val="Extracto"/>
      </w:pPr>
    </w:p>
    <w:p w:rsidR="00D06117" w:rsidRDefault="00D06117" w:rsidP="00D06117">
      <w:pPr>
        <w:pStyle w:val="Extracto"/>
      </w:pPr>
      <w:r>
        <w:t>3.</w:t>
      </w:r>
      <w:r>
        <w:tab/>
        <w:t>Los cambios de criterio jurisprudencial no pueden poner en cuestión la firmeza de una resolución anterior, ni justificar el desconocimiento de su eficacia y la vulneración del derecho a la intangibilidad de la realidad jurídica conformada por ella, lo que debió haber sido tenido en cuenta por el órgano judicial a la hora de determinar el alcance, en el caso concreto, del citado cambio de criterio jurisprudencial (STC 219/2000) [FJ 7].</w:t>
      </w:r>
    </w:p>
    <w:p w:rsidR="00D06117" w:rsidRDefault="00D06117" w:rsidP="00D06117">
      <w:pPr>
        <w:pStyle w:val="Extracto"/>
      </w:pPr>
    </w:p>
    <w:p w:rsidR="00D06117" w:rsidRDefault="00D06117" w:rsidP="00D06117">
      <w:pPr>
        <w:pStyle w:val="Extracto"/>
      </w:pPr>
      <w:r>
        <w:t>4.</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[FFJJ 5, 7].</w:t>
      </w:r>
    </w:p>
    <w:p w:rsidR="00D06117" w:rsidRDefault="00D06117" w:rsidP="00D06117">
      <w:pPr>
        <w:pStyle w:val="Extracto"/>
      </w:pPr>
    </w:p>
    <w:p w:rsidR="00D06117" w:rsidRDefault="00D06117" w:rsidP="00D06117">
      <w:pPr>
        <w:pStyle w:val="Extracto"/>
      </w:pPr>
      <w:r>
        <w:t>5.</w:t>
      </w:r>
      <w:r>
        <w:tab/>
        <w:t xml:space="preserve">La intangibilidad de lo decidido en resolución judicial firme fuera de los casos legalmente establecidos es un efecto íntimamente conectado con la efectividad de la tutela judicial, de tal suerte que ésta es también desconocida cuando aquélla lo </w:t>
      </w:r>
      <w:r>
        <w:lastRenderedPageBreak/>
        <w:t>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t>6.</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5].</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8.</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4].</w:t>
      </w:r>
    </w:p>
    <w:p w:rsidR="00D06117" w:rsidRDefault="00D06117" w:rsidP="00D06117">
      <w:pPr>
        <w:pStyle w:val="Extracto"/>
      </w:pPr>
    </w:p>
    <w:p w:rsidR="00D06117" w:rsidRDefault="00D06117" w:rsidP="00D06117">
      <w:pPr>
        <w:pStyle w:val="Extracto"/>
      </w:pPr>
      <w:r>
        <w:t>9.</w:t>
      </w:r>
      <w:r>
        <w:tab/>
        <w:t>Doctrina sobre redención de penas por el trabajo (SSTC 174/1989, 76/2004) [FJ 4].</w:t>
      </w:r>
    </w:p>
    <w:p w:rsidR="00D06117" w:rsidRDefault="00D06117" w:rsidP="00D06117">
      <w:pPr>
        <w:pStyle w:val="Extracto"/>
      </w:pPr>
    </w:p>
    <w:p w:rsidR="00D06117" w:rsidRDefault="00D06117" w:rsidP="00D06117">
      <w:pPr>
        <w:pStyle w:val="Extracto"/>
      </w:pPr>
      <w:r>
        <w:t>10.</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11.</w:t>
      </w:r>
      <w:r>
        <w:tab/>
        <w:t>No se ha vulnerado el derecho a la legalidad de las infracciones y sanciones  por aplicación retroactiva del art. 78 CP 1995, pues la prohibición de retroactividad de la ley penal desfavorable consagrada en el art. 25.1 CE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12.</w:t>
      </w:r>
      <w:r>
        <w:tab/>
        <w:t xml:space="preserve">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w:t>
      </w:r>
      <w:r>
        <w:lastRenderedPageBreak/>
        <w:t>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13.</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7/20079) [FJ 2].</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4893-2006, promovido por don José Ignacio Gaztañaga Bidaurreta, representado por el Procurador de los Tribunales don José Javier Cuevas Rivas y asistido por la Letrada doña Ainoa Baglietto Gabilondo, contra el Auto de la Sección Primera de la Sala de lo Penal de la Audiencia Nacional, de 31 de marzo de 2006, que desestima el recurso de súplica contra la providencia de 17 de marzo de 2006, por la que se deniega el licenciamiento definitivo propuesto por el centro penitenciario de Albolote. Ha intervenido el Ministerio Fiscal y ha comparecido el Abogado del Estado.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Mediante escrito que tuvo entrada en el Registro General de este Tribunal el día 3 de mayo de 2006, don José Javier Cuevas Rivas, Procurador de los Tribunales, y de don José </w:t>
      </w:r>
      <w:r>
        <w:lastRenderedPageBreak/>
        <w:t>Ignacio Gaztañaga Bidaurreta, interpuso recurso de amparo contra la resolución judicial que se cita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demandante de amparo fue condenado en las siguientes causas: En el sumario núm. 43-1988, procedente del Juzgado Central de Instrucción núm. 1, como autor de un delito de atentado, a la pena de veinte años y un día de reclusión mayor; como autor de un delito de asesinato frustrado, a la de dieciocho años de reclusión menor; y como autor de un delito de estragos, a la de diez años y un día de prisión mayor. En el sumario núm. 43-1988, procedente del Juzgado Central de Instrucción núm. 2, como autor de un delito de pertenencia a banda armada a la pena de ocho años de prisión mayor. En el sumario núm. 47-1987, procedente del Juzgado Central de Instrucción núm. 2, a la pena de veinte años de prisión, por un delito de atentado con resultado de muerte; a la pena de once años de prisión mayor, por un delito de asesinato frustrado; y a la pena de seis años de prisión menor por un delito de terrorismo con resultado de daños. En el sumario 50-1985, procedente del Juzgado Central de Instrucción núm. 5, como encubridor de tres delitos de asesinato, a la pena de cuatro años, dos meses y un día de prisión por cada uno de ellos.</w:t>
      </w:r>
    </w:p>
    <w:p w:rsidR="00D06117" w:rsidRDefault="00D06117" w:rsidP="00D06117">
      <w:pPr>
        <w:pStyle w:val="TextoNormal"/>
      </w:pPr>
    </w:p>
    <w:p w:rsidR="00D06117" w:rsidRDefault="00D06117" w:rsidP="00D06117">
      <w:pPr>
        <w:pStyle w:val="TextoNormal"/>
      </w:pPr>
      <w:r>
        <w:t>b) En fecha 22 de octubre de 1996, la Sección Primera de la Sala de lo Penal de la Audiencia, en la ejecutoria derivada del sumario núm. 43-1988, seguida contra el demandante, dictó Auto acordando “acumular las condenas impuestas al penado… fijándose en una duración de treinta años de privación de libertad el tiempo total de cumplimiento de todas las penas privativas de libertad impuestas en las causas expresadas”.</w:t>
      </w:r>
    </w:p>
    <w:p w:rsidR="00D06117" w:rsidRDefault="00D06117" w:rsidP="00D06117">
      <w:pPr>
        <w:pStyle w:val="TextoNormal"/>
      </w:pPr>
    </w:p>
    <w:p w:rsidR="00D06117" w:rsidRDefault="00D06117" w:rsidP="00D06117">
      <w:pPr>
        <w:pStyle w:val="TextoNormal"/>
      </w:pPr>
      <w:r>
        <w:t>c) Por Auto de 28 de mayo de 1997, dictado por la Sección Primera de la Sala de lo Penal de la Audiencia Nacional, como consecuencia de la entrada en vigor de la Ley Orgánica 10/1995, de 23 de noviembre, por la que se aprobó el nuevo Código penal, se acordó “que no procede la revisión de las penas impuestas a JOSE IGNACIO GAZTAÑAGA BIDAURRETA, en la presente causa y en las demás indicadas en el antecedente de hecho segundo y en el Auto de fijación de límite de cumplimiento de 22-10-96”. En el fundamento de derecho segundo se indicaba: “Pese a que, aplicando el nuevo Código Penal, el límite de cumplimento sería de 25 años, no procede modificar las penas impuestas, pues ni lo ha solicitado el penado, ni ello le resultaría beneficioso pues comportaría la pérdida del derecho a obtener redenciones con posterioridad al 25 de mayo de 1996.”</w:t>
      </w:r>
    </w:p>
    <w:p w:rsidR="00D06117" w:rsidRDefault="00D06117" w:rsidP="00D06117">
      <w:pPr>
        <w:pStyle w:val="TextoNormal"/>
      </w:pPr>
    </w:p>
    <w:p w:rsidR="00D06117" w:rsidRDefault="00D06117" w:rsidP="00D06117">
      <w:pPr>
        <w:pStyle w:val="TextoNormal"/>
      </w:pPr>
      <w:r>
        <w:t>d) El día 25 de enero de 2006, el Director del centro penitenciario de Albolote (Granada) interesó la aprobación del licenciamiento definitivo del recurrente para el día 29 de marzo de 2006, adjuntando una certificación en la que se hacía constar que el interno redime su pena por el trabajo desde el 3 de marzo de 1988, teniendo abonado hasta la fecha de cumplimiento un total de 4.375 días de redención. Igualmente se adjunta la liquidación de condena practicada, en la que se hacen constar los días de cumplimiento efectivo (6.575) y los días de redenciones ordinarias (2.614) y extraordinarias (1.761), lo que suma un total de 10.950 días de cumplimiento, treinta años, en la fecha indicada.</w:t>
      </w:r>
    </w:p>
    <w:p w:rsidR="00D06117" w:rsidRDefault="00D06117" w:rsidP="00D06117">
      <w:pPr>
        <w:pStyle w:val="TextoNormal"/>
      </w:pPr>
    </w:p>
    <w:p w:rsidR="00D06117" w:rsidRDefault="00D06117" w:rsidP="00D06117">
      <w:pPr>
        <w:pStyle w:val="TextoNormal"/>
      </w:pPr>
      <w:r>
        <w:t xml:space="preserve">e) Mediante una providencia de fecha 3 de marzo de 2006, la Sección Primera de la Sala de lo Penal de la Audiencia Nacional solicitó al centro penitenciario la elaboración de una </w:t>
      </w:r>
      <w:r>
        <w:lastRenderedPageBreak/>
        <w:t>nueva hoja de cálculo de condena, conforme a la doctrina de la STS 197/2006, de 28 de febrero.</w:t>
      </w:r>
    </w:p>
    <w:p w:rsidR="00D06117" w:rsidRDefault="00D06117" w:rsidP="00D06117">
      <w:pPr>
        <w:pStyle w:val="TextoNormal"/>
      </w:pPr>
    </w:p>
    <w:p w:rsidR="00D06117" w:rsidRDefault="00D06117" w:rsidP="00D06117">
      <w:pPr>
        <w:pStyle w:val="TextoNormal"/>
      </w:pPr>
      <w:r>
        <w:t>El día 17 de marzo de 2006, el órgano judicial dictó una nueva providencia, en la que denegaba la propuesta de licenciamiento definitivo del ahora demandante de amparo realizada por la prisión de Albolote (Granada) para el día 29 de marzo de 2006, y se ordenaba estar a lo acordado en la providencia de 3 de marzo de 2006.</w:t>
      </w:r>
    </w:p>
    <w:p w:rsidR="00D06117" w:rsidRDefault="00D06117" w:rsidP="00D06117">
      <w:pPr>
        <w:pStyle w:val="TextoNormal"/>
      </w:pPr>
    </w:p>
    <w:p w:rsidR="00D06117" w:rsidRDefault="00D06117" w:rsidP="00D06117">
      <w:pPr>
        <w:pStyle w:val="TextoNormal"/>
      </w:pPr>
      <w:r>
        <w:t>Mediante providencia de 22 de marzo de 2006, se comunicó al centro penitenciario que por providencia de 17 de marzo de 2006 se había acordado rechazar el licenciamiento definitivo solicitado para el 29 de marzo de 2006, “debiendo estarse a la fecha que resulta de la liquidación de la condena practicada el 26-2-1997 (folio núm. 485 de la ejecutoria) de la que resulta que extinguirá la pena el 21 de marzo de 2018, si no hubiera modificación o cambio de futuro”.</w:t>
      </w:r>
    </w:p>
    <w:p w:rsidR="00D06117" w:rsidRDefault="00D06117" w:rsidP="00D06117">
      <w:pPr>
        <w:pStyle w:val="TextoNormal"/>
      </w:pPr>
    </w:p>
    <w:p w:rsidR="00D06117" w:rsidRDefault="00D06117" w:rsidP="00D06117">
      <w:pPr>
        <w:pStyle w:val="TextoNormal"/>
      </w:pPr>
      <w:r>
        <w:t>f) El día 23 de marzo de 2006, la representación procesal del recurrente interpuso recurso de súplica contra la providencia de 17 de marzo de 2006, recurso que fue desestimado por Auto de 31 de marzo de 2006.</w:t>
      </w:r>
    </w:p>
    <w:p w:rsidR="00D06117" w:rsidRDefault="00D06117" w:rsidP="00D06117">
      <w:pPr>
        <w:pStyle w:val="TextoNormal"/>
      </w:pPr>
    </w:p>
    <w:p w:rsidR="00D06117" w:rsidRDefault="00D06117" w:rsidP="00D06117">
      <w:pPr>
        <w:pStyle w:val="TextoNormal"/>
      </w:pPr>
      <w:r>
        <w:t>El Auto sostiene que la providencia que se recurre se basa en la de 3 de marzo de 2006, que es una mera ejecución de lo acordado por la Sala Segunda del Tribunal Supremo, en su Sentencia de 28 de febrero de 2006, que reproduce parcialmente, y conforme a la cual los beneficios penitenciarios y las redenciones de pena que procedan serán computables sobre cada una de las penas impuestas hasta que se alcancen las limitaciones impuestas en la regla segunda del art. 70 del Código penal (CP) de 1973.</w:t>
      </w:r>
    </w:p>
    <w:p w:rsidR="00D06117" w:rsidRDefault="00D06117" w:rsidP="00D06117">
      <w:pPr>
        <w:pStyle w:val="TextoNormal"/>
      </w:pPr>
    </w:p>
    <w:p w:rsidR="00D06117" w:rsidRDefault="00D06117" w:rsidP="00D06117">
      <w:pPr>
        <w:pStyle w:val="TextoNormal"/>
      </w:pPr>
      <w:r>
        <w:t>g) El día 31 de marzo de 2006 —antes de serle notificado el anterior Auto, que lo fue el día 7 de abril— el recurrente volvió a solicitar su licenciamiento definitivo por cumplimiento de la pena, afirmando haberla cumplido con exceso.</w:t>
      </w:r>
    </w:p>
    <w:p w:rsidR="00D06117" w:rsidRDefault="00D06117" w:rsidP="00D06117">
      <w:pPr>
        <w:pStyle w:val="TextoNormal"/>
      </w:pPr>
    </w:p>
    <w:p w:rsidR="00D06117" w:rsidRDefault="00D06117" w:rsidP="00D06117">
      <w:pPr>
        <w:pStyle w:val="TextoNormal"/>
      </w:pPr>
      <w:r>
        <w:t>Mediante providencia de 6 de abril de 2006, se acuerda no haber lugar al licenciamiento definitivo solicitado, afirmando que debe estarse a lo acordado en la providencia de 22 de marzo de 2006 y al Auto de 31 de marzo de 2006.</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 2 CE), a la libertad (art. 17.1 CE) y a la igualdad en la aplicación de la ley (art. 14 CE).</w:t>
      </w:r>
    </w:p>
    <w:p w:rsidR="00D06117" w:rsidRDefault="00D06117" w:rsidP="00D06117">
      <w:pPr>
        <w:pStyle w:val="TextoNormal"/>
      </w:pPr>
    </w:p>
    <w:p w:rsidR="00D06117" w:rsidRDefault="00D06117" w:rsidP="00D06117">
      <w:pPr>
        <w:pStyle w:val="TextoNormal"/>
      </w:pPr>
      <w:r>
        <w:t xml:space="preserve">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123/2005 (en lo relativo al alcance del principio acusatorio y del deber de congruencia entre acusación y fallo) y 11/1987, expone la demanda que la Audiencia Nacional acordó la aplicación de la nueva doctrina del Tribunal Supremo (inicialmente en la providencia de 3 de marzo de 2006 y posteriormente en la de 17 de marzo de 2006), ordenando al centro penitenciario la realización de una nueva hoja de cálculo conforme a la misma sin dar traslado a las partes </w:t>
      </w:r>
      <w:r>
        <w:lastRenderedPageBreak/>
        <w:t>(ni a la defensa, ni al Ministerio Fiscal) para que pudieran pronunciarse al respecto, pese a que hasta ese momento todas las liquidaciones de condena se habían realizado conforme a la doctrina anterior, introduciéndose en ese momento una perspectiva jurídica novedosa en cuanto al cómputo de las redenciones por trabajo, que empeoraba la situación del reo, al demorar su salida de prisión hasta el 21 de marzo de 2018, y respecto de la que el recurrente no pudo defenderse ni someterla a contradicción.</w:t>
      </w:r>
    </w:p>
    <w:p w:rsidR="00D06117" w:rsidRDefault="00D06117" w:rsidP="00D06117">
      <w:pPr>
        <w:pStyle w:val="TextoNormal"/>
      </w:pPr>
    </w:p>
    <w:p w:rsidR="00D06117" w:rsidRDefault="00D06117" w:rsidP="00D06117">
      <w:pPr>
        <w:pStyle w:val="TextoNormal"/>
      </w:pPr>
      <w:r>
        <w:t>Dentro de este primer motivo, se denuncia también la vulneración del derecho de defensa y del derecho al recurso, con cita del art. 14.5 PIDCP, vulneración ésta que se imputa al Auto de 31 de marzo de 2006. Sostiene el recurrente que, al resolver el recurso de súplica, la Audiencia Nacional no entra en el fondo del objeto del debate, afirmando que se trata de una mera ejecución de la referida Sentencia del Tribunal Supremo, cuando esta Sentencia sería firme y ejecutable para el recurrente en aquel procedimiento (señor Parot), pero no para el señor Gaztañaga. Con ello se vulnera el derecho a la segunda instancia penal y a un recurso efectivo, ya que no se pudo recurrir la providencia en cuestión.</w:t>
      </w:r>
    </w:p>
    <w:p w:rsidR="00D06117" w:rsidRDefault="00D06117" w:rsidP="00D06117">
      <w:pPr>
        <w:pStyle w:val="TextoNormal"/>
      </w:pPr>
    </w:p>
    <w:p w:rsidR="00D06117" w:rsidRDefault="00D06117" w:rsidP="00D06117">
      <w:pPr>
        <w:pStyle w:val="TextoNormal"/>
      </w:pPr>
      <w:r>
        <w:t>En un segundo motivo de amparo, se aduce la vulneración del principio de legalidad (art. 25.1 y 2 CE), en relación con la interpretación de los arts. 70.2 y 100 CP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Y, conforme a la certificación de redenciones aportada por el centro penitenciario, a fecha 29 de marzo de 2006 el recurrente sumaba 6.575 días de cumplimiento efectivo, junto a 2.614 días de redención ordinaria y 1.761 días de redenciones extraordinarias, lo que suma 10.950 días, treinta años, máximo de cumplimiento conforme al Código penal de 1973.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 xml:space="preserve">Como conclusión se destaca que la administración penitenciaria, con la aprobación de los Jueces de vigilancia penitenciaria y de los Tribunales sentenciadores, ha aplicado las redenciones como tiempo de cumplimiento efectivo, sin que nada justifique en este momento el cambio de criterio. Un criterio mantenido a la hora de determinar el Código más </w:t>
      </w:r>
      <w:r>
        <w:lastRenderedPageBreak/>
        <w:t>favorable, computando las redenciones como tiempo de cumplimiento, establecido por los Plenos no jurisdiccionales de 18 de julio de 1996 y de 12 de febrero de 1999.</w:t>
      </w:r>
    </w:p>
    <w:p w:rsidR="00D06117" w:rsidRDefault="00D06117" w:rsidP="00D06117">
      <w:pPr>
        <w:pStyle w:val="TextoNormal"/>
      </w:pPr>
    </w:p>
    <w:p w:rsidR="00D06117" w:rsidRDefault="00D06117" w:rsidP="00D06117">
      <w:pPr>
        <w:pStyle w:val="TextoNormal"/>
      </w:pPr>
      <w:r>
        <w:t>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treinta años, el recurrente habría cumplido ya su condena y podría haber obtenido el licenciamiento definitivo el 29 de marzo de 2006. El trabajo y los estudios en la prisión se realizaron en la confianza de que las redenciones así obtenidas implicarían un acortamiento del tiempo de permanencia en prisión, habiéndose generado una expectativa de dicho acortamiento sobre la base de la actuación de los órganos judiciales hasta el momento y de las propuestas de los centros penitenciarios, pues todas las liquidaciones de condena se habían realizado conforme a la doctrina anterior. La propia Audiencia Nacional, en el Auto de 28 de mayo de 1997 deniega la revisión de la condena conforme al Código penal de 1995 estableciendo la comparación entre los veinticinco años de cumplimiento máximo en el Código penal de 1995 y los treinta años con redenciones del Código penal de 1973, concluyendo que es más favorable el Código penal de 1973. Y el interno siguió trabajando en la confianza de que se le aplicarían las redenciones, como en el caso de la STC 76/2004.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 xml:space="preserve">Como cuarto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w:t>
      </w:r>
      <w:r>
        <w:lastRenderedPageBreak/>
        <w:t>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en atención a quienes son los sujetos pasivos a los que afecta y a las circunstancias en que se adopta la decisión, siendo,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siendo así que el tiempo acumulado por redenciones es tiempo efectivamente cumplido y no tiempo virtual, como señala la STS de 5 de abril de 2001. Ello queda patente en la inicial liquidación de condena y propuesta de licenciamiento definitivo efectuada por el centro penitenciario (conforme a la cual el recurrente había cumplido los treinta años el día 29 de marzo de 2006, sumando los 6.575 días de cumplimiento efectivo, más 2.614 días de redención ordinaria y 1.761 días de redenciones extraordinarias), por lo que la denegación del licenciamiento definitivo viola el art. 17 CE, el art. 7.1 del Convenio Europeo y el art.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dirige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Por providencia de 14 de diciembre de 2006, la Sección Cuarta de este Tribunal acordó, de conformidad con lo dispuesto en el art. 50.3 de la Ley Orgánica del Tribunal Constitucional (LOTC), conceder a la parte demandante de amparo y al Ministerio Fiscal un plazo común de diez días para que formulasen las alegaciones que estimaran pertinentes en relación con la carencia manifiesta de contenido constitucional de la demanda [art. 50.1 c) LOTC].</w:t>
      </w:r>
    </w:p>
    <w:p w:rsidR="00D06117" w:rsidRDefault="00D06117" w:rsidP="00D06117">
      <w:pPr>
        <w:pStyle w:val="TextoNormal"/>
      </w:pPr>
    </w:p>
    <w:p w:rsidR="00D06117" w:rsidRDefault="00D06117" w:rsidP="00D06117">
      <w:pPr>
        <w:pStyle w:val="TextoNormal"/>
      </w:pPr>
      <w:r>
        <w:t>Mediante escrito registrado el día 8 de enero de 2007, la representación procesal del demandante evacuó este trámite de alegaciones, reiterando lo expuesto en la demanda de amparo y solicitando de nuevo su admisión a trámite.</w:t>
      </w:r>
    </w:p>
    <w:p w:rsidR="00D06117" w:rsidRDefault="00D06117" w:rsidP="00D06117">
      <w:pPr>
        <w:pStyle w:val="TextoNormal"/>
      </w:pPr>
    </w:p>
    <w:p w:rsidR="00D06117" w:rsidRDefault="00D06117" w:rsidP="00D06117">
      <w:pPr>
        <w:pStyle w:val="TextoNormal"/>
      </w:pPr>
      <w:r>
        <w:t>El día 17 de enero de 2007 presentó sus alegaciones el Ministerio Fiscal, interesando igualmente la admisión a trámite de la demanda, por no carecer de contenido constitucional, en relación con las denunciadas vulneraciones del derecho a la tutela judicial efectiva (art. 24.1 CE), a la legalidad penal (art. 25.1 CE) y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6 de marzo de 2007, la Sala Segunda de este Tribunal acordó la admisión a trámite de la demanda así como, a tenor de lo establecido en el art. 51 LOTC, requerir atentamente a la Sección Primera de la Sala de lo Penal de la Audiencia Nacional para que remitiera testimonio de las actuaciones correspondientes a la ejecutoria núm. 43-1988, interesando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Auto de 16 de abril de 2007, la Sala Segunda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7</w:t>
      </w:r>
      <w:r>
        <w:t>. A través de una diligencia de ordenación de 10 de mayo de 2007 se acordó tener por personado y parte al Abogado del Estado y dar vista de las actuaciones a las partes personadas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8</w:t>
      </w:r>
      <w:r>
        <w:t>. El día 1 de junio de 2006 tuvo entrada en el Registro General de este Tribunal un escrito del Abogado del Estado, en el que manifiesta que no formula alegaciones, aunque solicita que se le notifique en su día la Sentencia.</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procesal del demandante de amparo formuló sus alegaciones mediante escrito que tuvo su entrada en el Registro de este Tribunal el día 13 de junio de 2007,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10</w:t>
      </w:r>
      <w:r>
        <w:t>. El día 25 de junio de 2007 presentó sus alegaciones el Ministerio Fiscal, interesando la estimación del amparo solicitado, por entender que las resoluciones recurridas han vulnerado los derechos a la intangibilidad de las resoluciones judiciales firmes (art. 24.1 CE), a la legalidad penal (art. 25.1 CE) y a la libertad personal (art. 17.1 CE).</w:t>
      </w:r>
    </w:p>
    <w:p w:rsidR="00D06117" w:rsidRDefault="00D06117" w:rsidP="00D06117">
      <w:pPr>
        <w:pStyle w:val="TextoNormal"/>
      </w:pPr>
    </w:p>
    <w:p w:rsidR="00D06117" w:rsidRDefault="00D06117" w:rsidP="00D06117">
      <w:pPr>
        <w:pStyle w:val="TextoNormal"/>
      </w:pPr>
      <w:r>
        <w:t>Comienza el Fiscal exponiendo las razones por las que, a su juicio, deben ser desestimados algunos de los motivos de amparo. El séptimo, por cuanto el art. 25.2 CE no contiene un derecho fundamental susceptible de ser invocado en amparo, y por carecer de autonomía propia, debiendo quedar vinculado a las otras infracciones del derecho a la legalidad penal que se denuncian. El primero, porque no se puede apreciar la indefensión denunciada (ya que en dos ocasiones la representación procesal del actor hizo uso de su derecho a ser oído: al interponer recurso de súplica contra la providencia el 17 de marzo de 2006 y al dirigirse a la Sala el día 31 de marzo de 2006), ni la vulneración del derecho al recurso por no haber tenido acceso a la casación (recurso no previsto por la ley), sin que resulte aplicable al ámbito de la ejecución de la condena lo previsto en el art. 14.5 PIDCP. El cuarto de los motivos de amparo, por cuanto no nos encontramos ante un supuesto de aplicación retroactiva del art. 78 CP 1995, como se sostiene en la demanda, sino ante un cambio de criterio jurisprudencial en la interpretación del art. 70.2 CP vigente al tiempo de comisión de los hechos. Y el relativo al principio de igualdad en la aplicación de la ley, porque las resoluciones impugnadas se limitan a aplicar la doctrina sentada por otro órgano judicial (el Tribunal Supremo), que es la supuestamente discriminatoria; y porque en todo caso el cambio de criterio se fundamenta razonablemente.</w:t>
      </w:r>
    </w:p>
    <w:p w:rsidR="00D06117" w:rsidRDefault="00D06117" w:rsidP="00D06117">
      <w:pPr>
        <w:pStyle w:val="TextoNormal"/>
      </w:pPr>
    </w:p>
    <w:p w:rsidR="00D06117" w:rsidRDefault="00D06117" w:rsidP="00D06117">
      <w:pPr>
        <w:pStyle w:val="TextoNormal"/>
      </w:pPr>
      <w:r>
        <w:t>Por el contrario, considera el Ministerio Fiscal que el debate debe centrarse en los siguientes datos fácticos: el demandante de amparo fue condenado por Sentencia de 30 de septiembre de 1994 a diversas penas por varios delitos, señalando la Sentencia condenatoria que se le aplicaría la regla 2 del art. 70 CP 1973. Por Auto de 22 de octubre de 1996 se acordó la acumulación de la pena impuesta en la presente causa con otras, fijando el tiempo global de cumplimiento en treinta años de reclusión mayor. Tras la entrada en vigor del Código penal de 1995, y en virtud de lo dispuesto en la disposición transitoria tercera, se consultó al Fiscal, al Letrado de la defensa y al condenado sobre la procedencia o no de aplicar la nueva regulación, informando todos negativamente, lo que fue aprobado por Auto de fecha 28 de mayo de 1997. En el ínterin se había practicado la liquidación de condena con la pertinente refundición, conforme a la cual el condenado extinguiría su condena el 21 de marzo de 2013, conforme al criterio tradicional de cómputo de los beneficios penitenciarios, beneficios que podría seguir acumulando en el futuro. Frente a esa realidad, conforme a la cual se estaba cumpliendo la pena, las resoluciones recurridas deniegan el licenciamiento definitivo solicitado por el centro penitenciario para el 29 de marzo de 2006 y acuerdan que el mismo no se producirá hasta el 21 de marzo de 2018, aplicando los nuevos criterios jurisprudenciales.</w:t>
      </w:r>
    </w:p>
    <w:p w:rsidR="00D06117" w:rsidRDefault="00D06117" w:rsidP="00D06117">
      <w:pPr>
        <w:pStyle w:val="TextoNormal"/>
      </w:pPr>
    </w:p>
    <w:p w:rsidR="00D06117" w:rsidRDefault="00D06117" w:rsidP="00D06117">
      <w:pPr>
        <w:pStyle w:val="TextoNormal"/>
      </w:pPr>
      <w:r>
        <w:t xml:space="preserve">Pues bien, entiende el Fiscal que la ejecución de una Sentencia penal forma parte del contenido del principio de legalidad y que no es de recibo que, establecidos en una resolución judicial unos criterios de interpretación normativa para fijar la refundición de condena (Auto de 28 de mayo de 1997), éstos puedan variarse sobre la base de una nueva interpretación de las normas aplicables. El Auto de 28 de mayo de 1997 decidió no revisar las penas impuestas al recurrente tras la entrada en vigor del Código penal de 1995 porque ello no resultaría más beneficioso al comportar la pérdida del derecho a obtener redenciones con </w:t>
      </w:r>
      <w:r>
        <w:lastRenderedPageBreak/>
        <w:t>posterioridad al 25 de mayo de 1996. Y conforme al criterio fijado en ese Auto resulta una fecha de licenciamiento definitivo de las condenas refundidas, operando con una interpretación de la normativa aplicable, modificada posteriormente por otra interpretación, cuya aplicación al presente caso vulnera el derecho a la intangibilidad de las resoluciones judiciales firmes ex art. 24.1 CE. Un derecho fundamental que además tiene engarce con el principio de legalidad (art. 25.1 CE), en relación con la prohibición de retroactividad de las normas penales perjudiciales al reo (STEDH Streletz, Kessler y Krenz c. Alemania, de 22 de marzo de 2001), ya que las garantías de legalidad y seguridad deben extenderse a la ejecución de las penas, integrándose la irretroactividad de las normas y su interpretación desfavorable al reo en “el complejo de la legalidad del art. 25.1 CE” (STEDH Puhk c. Estonia, de 10 de febrero de 2004). Las resoluciones recurridas no se han limitado a variar la fecha de licenciamiento de conformidad con los extremos anejos al devenir del cumplimiento de la pena impuesta (por ejemplo, con datos relativos a la redención de penas por el trabajo), sino que la han alterado de forma desfavorable al reo a través de una revisión interpretativa, creando ex novo un marco paranormativo que determina una mayor extensión de la pena. Y todo ello debe conectarse con el derecho a la libertad personal en juego (art. 17.1 CE), por cuanto el licenciamiento definitivo tendrá lugar en fecha muy posterior, como consecuencia de esa nueva y desfavorable interpretación de la norma.</w:t>
      </w:r>
    </w:p>
    <w:p w:rsidR="00D06117" w:rsidRDefault="00D06117" w:rsidP="00D06117">
      <w:pPr>
        <w:pStyle w:val="TextoNormal"/>
      </w:pPr>
    </w:p>
    <w:p w:rsidR="00D06117" w:rsidRDefault="00D06117" w:rsidP="00D06117">
      <w:pPr>
        <w:pStyle w:val="TextoNormal"/>
      </w:pPr>
      <w:r>
        <w:t>En virtud de todo lo expuesto, considera el Fiscal que ha de estimarse el amparo, por vulneración de los derechos fundamentales contenidos en los arts. 17.1, 24.1 y 25.1 CE, debiendo anularse las resoluciones recurridas y dictarse una nueva resolución judicial que se pronuncie sobre el licenciamiento definitivo del recurrente de forma respetuosa con los derechos vulnerados, esto es, conforme al canon interpretativo en su día utilizado por el Auto y a la propuesta del centro penitenciario.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fecha 15 de febrero de 2011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Primera de la Sala de lo Penal de la Audiencia Nacional, de 31 de marzo de 2006, que desestima el recurso de súplica contra la providencia de 17 de marzo de 2006, por la que se deniega el licenciamiento definitivo del demandante de amparo, propuesto por el centro penitenciario de Albolote para el día 29 de marzo de 2006, y se ordena la elaboración de una nueva hoja de cálculo, de conformidad con la doctrina sentada por el Tribunal Supremo en la STS 197/2006, de 28 de febrero, según la cual y modificando el criterio de cómputo anteriormente aplicado, se establece que los beneficios penitenciarios y, en concreto, las redenciones de penas por el trabajo, han de computarse sobre cada una de las penas impuestas y no sobre la condena refundida.</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 los derechos fundamentales consagrados en los arts. 17.1, 24.1 y 25.1 CE.</w:t>
      </w:r>
    </w:p>
    <w:p w:rsidR="00D06117" w:rsidRDefault="00D06117" w:rsidP="00D06117">
      <w:pPr>
        <w:pStyle w:val="TextoNormal"/>
      </w:pPr>
    </w:p>
    <w:p w:rsidR="00D06117" w:rsidRDefault="00D06117" w:rsidP="00D06117">
      <w:pPr>
        <w:pStyle w:val="TextoNormal"/>
      </w:pPr>
      <w:r w:rsidRPr="00D06117">
        <w:rPr>
          <w:rStyle w:val="NumeroAFNegritaCaracter"/>
        </w:rPr>
        <w:t>2</w:t>
      </w:r>
      <w:r>
        <w:t>. En la primera de las quejas articuladas en la demanda, bajo la invocación de los derechos a la tutela judicial efectiva (art. 24.1 CE) y a un proceso con todas las garantías (art. 24.2 CE), se denuncia la indefensión generada por el hecho de que la primera de las resoluciones recurridas se adoptó sin dar audiencia a las partes, pese a introducir una perspectiva jurídica novedosa en el cómputo de las redenciones de penas por el trabajo. Esta queja ha de ser inadmitida, al concurrir respecto de ella el óbice procesal de falta de invocación ante los órganos de la jurisdicción ordinaria [art. 44.1 c) de la Ley Orgánica del Tribunal Constitucional (LOTC)]. En efecto, de la mera lectura del recurso de súplica interpuesto contra las providencias dictadas sin darle audiencia se desprende que el recurrente articuló una serie de motivos de recurso para oponerse a esa nueva perspectiva jurídica en el cómputo de las redenciones (lo que excluiría, como señala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 xml:space="preserve">Por otra parte, y dentro del primero de los motivos de amparo, se aduce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considerando la Audiencia —con una fórmula poco acertada al invocar la “mera ejecución de lo acordado por la Sala Segunda del Tribunal Supremo” (en lugar de referirse a la aplicación de la doctrina allí sentada), pero que permite perfectamente conocer la ratio decidendi de la desestimación— que resultaba de aplicación al caso la nueva doctrina establecida por el Tribunal Supremo en relación con el cómputo de la redención de penas por el trabajo.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w:t>
      </w:r>
      <w:r>
        <w:lastRenderedPageBreak/>
        <w:t>civiles y políticos (PIDCP) y en el art. 2 del Protocolo 7 del Convenio europeo para la protección de los derechos humanos y de las libertades fundamentales (CEDH),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Despejado este grupo de quejas de carácter procesal articuladas como primer motivo de amparo, en los restantes motivos se denuncia desde diversas perspectivas constitucionales la cuestión de fondo, esto es, la aplicación al presente caso de un nuevo criterio jurisprudencial en la interpretación de los arts. 70.2 y 100 CP 1973, y concordantes del reglamento penitenciario, en relación con el cómputo de la redención de penas por el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aplicado hasta ese momento, el recurrente habría extinguido ya su condena y debería haber obtenido la libertad el día 29 de marzo de 2006 (según se desprende de la propuesta de licenciamiento definitivo enviada inicialmente por el centro penitenciario al órgano judicial el día 25 de enero de 2006), en aplicación del nuevo criterio la pena no se extinguiría hasta el día 21 de marzo de 2018.</w:t>
      </w:r>
    </w:p>
    <w:p w:rsidR="00D06117" w:rsidRDefault="00D06117" w:rsidP="00D06117">
      <w:pPr>
        <w:pStyle w:val="TextoNormal"/>
      </w:pPr>
    </w:p>
    <w:p w:rsidR="00D06117" w:rsidRDefault="00D06117" w:rsidP="00D06117">
      <w:pPr>
        <w:pStyle w:val="TextoNormal"/>
      </w:pPr>
      <w:r>
        <w:t>El recurrente denuncia, como quedó reflejado en los antecedentes, la vulneración del principio de igualdad en la aplicación de la ley (art.14 CE);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w:t>
      </w:r>
    </w:p>
    <w:p w:rsidR="00D06117" w:rsidRDefault="00D06117" w:rsidP="00D06117">
      <w:pPr>
        <w:pStyle w:val="TextoNormal"/>
      </w:pPr>
    </w:p>
    <w:p w:rsidR="00D06117" w:rsidRDefault="00D06117" w:rsidP="00D06117">
      <w:pPr>
        <w:pStyle w:val="TextoNormal"/>
      </w:pPr>
      <w:r>
        <w:t xml:space="preserve">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w:t>
      </w:r>
      <w:r>
        <w:lastRenderedPageBreak/>
        <w:t>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Prescribiendo, en relación a supuestos de acumulación de varias penas especialmente graves la obligatoriedad de realizar ese cómputo referido a la totalidad de las penas impuestas; preceptividad que, sin embargo, admite algunas excepciones (art. 78.2 y 3 del Código penal actual). Pues bien,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w:t>
      </w:r>
      <w:r>
        <w:lastRenderedPageBreak/>
        <w:t>apreciarse una vulneración del derecho fundamental consagrado en el art. 14 CE. Como señala el Ministerio Fiscal, las resoluciones impugnadas, dictadas por la Audiencia Nacional, se limitan a aplicar la doctrina sentada por otro órgano judicial, el Tribunal Supremo, máximo intérprete de la ley, justificando el cambio de criterio en el cómputo de las redenciones de penas por el trabajo, frente a otros supuestos resueltos con anterioridad, precisamente en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4</w:t>
      </w:r>
      <w:r>
        <w:t>. Llegados a este punto, hemos de recordar que no es función de este Tribunal la interpretación de la legalidad ordinaria y, en lo que aquí interesa, que no nos corresponde pronunciarnos directamente sobre cómo interpretar y aplicar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 xml:space="preserve">Por otra parte, y dado que el derecho reconocido en el art. 17.1 CE permite la privación de libertad sólo “en los casos y en las formas previstos por la Ley”, también hemos afirmado </w:t>
      </w:r>
      <w:r>
        <w:lastRenderedPageBreak/>
        <w:t>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ha de limitar a la consideración de la respuesta judicial que se contiene en las resoluciones de la Audiencia Nacional recurridas, en las que se deniega la propuesta de licenciamiento definitivo del demandante de amparo, realizada por el centro penitenciario de Albolote (Granada). No es, pues, objeto del presente recurso de amparo la Sentencia 197/2006, de 28 de febrero, ni la interpretación de la legalidad ordinaria en ella sentada por el Tribunal Supremo, en uso legítimo de la función que le atribuye en exclusiva la Constitución.</w:t>
      </w:r>
    </w:p>
    <w:p w:rsidR="00D06117" w:rsidRDefault="00D06117" w:rsidP="00D06117">
      <w:pPr>
        <w:pStyle w:val="TextoNormal"/>
      </w:pPr>
    </w:p>
    <w:p w:rsidR="00D06117" w:rsidRDefault="00D06117" w:rsidP="00D06117">
      <w:pPr>
        <w:pStyle w:val="TextoNormal"/>
      </w:pPr>
      <w:r>
        <w:t>En consecuencia, procede que analicemos el tercero de los motivos de amparo, en el que el recurrente denuncia la vulneración del derecho a la tutela judicial efectiva (art. 24.1 CE), en relación con el derecho a la libertad (art. 17.1 CE), en su vertiente de derecho a la intangibilidad de las resoluciones judiciales firmes. El Ministerio Fiscal también entiende concurrente esta vulneración.</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w:t>
      </w:r>
      <w:r>
        <w:lastRenderedPageBreak/>
        <w:t>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6</w:t>
      </w:r>
      <w:r>
        <w:t>. La aplicación de la doctrina que acaba de exponerse al presente caso nos obliga a tomar en consideración —como ponen de relieve tanto el recurrente como el Ministerio Fiscal— una serie de datos, expuestos en la demanda de amparo, como antes ante la jurisdicción ordinaria, y que se constatan en el examen de las actuaciones recibidas.</w:t>
      </w:r>
    </w:p>
    <w:p w:rsidR="00D06117" w:rsidRDefault="00D06117" w:rsidP="00D06117">
      <w:pPr>
        <w:pStyle w:val="TextoNormal"/>
      </w:pPr>
    </w:p>
    <w:p w:rsidR="00D06117" w:rsidRDefault="00D06117" w:rsidP="00D06117">
      <w:pPr>
        <w:pStyle w:val="TextoNormal"/>
      </w:pPr>
      <w:r>
        <w:t>a) El demandante se encuentra cumpliendo condena por varias causas penales detalladas en el antecedente segundo. Por Auto de 22 de octubre de 1996, las referidas penas fueron acumuladas en aplicación del art. 70.2 CP 1973, estableciéndose en dicha resolución como tiempo global de cumplimiento el de treinta años de privación de libertad.</w:t>
      </w:r>
    </w:p>
    <w:p w:rsidR="00D06117" w:rsidRDefault="00D06117" w:rsidP="00D06117">
      <w:pPr>
        <w:pStyle w:val="TextoNormal"/>
      </w:pPr>
    </w:p>
    <w:p w:rsidR="00D06117" w:rsidRDefault="00D06117" w:rsidP="00D06117">
      <w:pPr>
        <w:pStyle w:val="TextoNormal"/>
      </w:pPr>
      <w:r>
        <w:t>El día 26 de febrero de 1997 se practicó una primera liquidación de condena de las causas refundidas, en la que se establece que, por aplicación de la regla 2 del art. 70 CP 1973 cumplirá por todas ellas un máximo de treinta años (10.950 días), y que la pena estará cumplida el 21 de marzo de 2018, fecha en la que deberá ser puesto en libertad (f. 485).</w:t>
      </w:r>
    </w:p>
    <w:p w:rsidR="00D06117" w:rsidRDefault="00D06117" w:rsidP="00D06117">
      <w:pPr>
        <w:pStyle w:val="TextoNormal"/>
      </w:pPr>
    </w:p>
    <w:p w:rsidR="00D06117" w:rsidRDefault="00D06117" w:rsidP="00D06117">
      <w:pPr>
        <w:pStyle w:val="TextoNormal"/>
      </w:pPr>
      <w:r>
        <w:t>b) Tras la entrada en vigor del Código penal de 1995, de conformidad con lo establecido en las disposiciones transitorias primera, segunda, tercera y cuarta, se inició un procedimiento tendente a decidir si procedía o no la revisión de las condenas, por ser la ley posterior más favorable al reo.</w:t>
      </w:r>
    </w:p>
    <w:p w:rsidR="00D06117" w:rsidRDefault="00D06117" w:rsidP="00D06117">
      <w:pPr>
        <w:pStyle w:val="TextoNormal"/>
      </w:pPr>
    </w:p>
    <w:p w:rsidR="00D06117" w:rsidRDefault="00D06117" w:rsidP="00D06117">
      <w:pPr>
        <w:pStyle w:val="TextoNormal"/>
      </w:pPr>
      <w:r>
        <w:lastRenderedPageBreak/>
        <w:t>En concreto, la disposición transitoria tercera establece que los Directores de los establecimientos penitenciarios remitirán a los Jueces o Tribunales que estén conociendo de la ejecutoria “liquidación provisional de la pena en ejecución, señalando los días que el reo haya redimido por el trabajo y los que pueda redimir, en su caso, en el futuro conforme al artículo 100 del Código Penal que se deroga y disposiciones complementarias”. En cumplimiento de tal previsión, el día 6 de marzo de 1997, el centro penitenciario de Herrera de la Mancha remitió a la Sección Primera de la Sala de lo Penal de la Audiencia Nacional una liquidación provisional de condena en la que se hacían constar los días redimidos hasta la entrada en vigor del Código penal de 1995, descontándose los mismos de los 10.950 días de cumplimiento máximo (folios 498-499).</w:t>
      </w:r>
    </w:p>
    <w:p w:rsidR="00D06117" w:rsidRDefault="00D06117" w:rsidP="00D06117">
      <w:pPr>
        <w:pStyle w:val="TextoNormal"/>
      </w:pPr>
    </w:p>
    <w:p w:rsidR="00D06117" w:rsidRDefault="00D06117" w:rsidP="00D06117">
      <w:pPr>
        <w:pStyle w:val="TextoNormal"/>
      </w:pPr>
      <w:r>
        <w:t>Mediante Auto de 28 de mayo de 1997 (folios 507-508), la Sección Primera de la Sala de lo Penal de la Audiencia Nacional acordó que no procedía la revisión de las penas, con la siguiente fundamentación: “Pese a que, aplicando el nuevo Código Penal, el límite de cumplimiento sería de 25 años, no procede modificar las penas impuestas, pues ni lo ha solicitado el penado, ni ello le resultaría beneficioso, pues comportaría la pérdida del derecho a obtener redenciones con posterioridad al 25 de mayo de 1996” (fundamento jurídico segundo). A tal conclusión se llega teniendo en cuenta, la “liquidación de la pena de treinta años acumulada” remitida por el Centro penitenciario, en la que se hacen constar las redenciones obtenidas, así como la prisión preventiva cumplida por el penado (hecho tercero) y en la que el cómputo de las redenciones se realiza sobre la pena de treinta años refundida.</w:t>
      </w:r>
    </w:p>
    <w:p w:rsidR="00D06117" w:rsidRDefault="00D06117" w:rsidP="00D06117">
      <w:pPr>
        <w:pStyle w:val="TextoNormal"/>
      </w:pPr>
    </w:p>
    <w:p w:rsidR="00D06117" w:rsidRDefault="00D06117" w:rsidP="00D06117">
      <w:pPr>
        <w:pStyle w:val="TextoNormal"/>
      </w:pPr>
      <w:r>
        <w:t>Por providencia de la Audiencia Nacional de 27 de junio de 1997 “se declara firme el Auto anterior”.</w:t>
      </w:r>
    </w:p>
    <w:p w:rsidR="00D06117" w:rsidRDefault="00D06117" w:rsidP="00D06117">
      <w:pPr>
        <w:pStyle w:val="TextoNormal"/>
      </w:pPr>
    </w:p>
    <w:p w:rsidR="00D06117" w:rsidRDefault="00D06117" w:rsidP="00D06117">
      <w:pPr>
        <w:pStyle w:val="TextoNormal"/>
      </w:pPr>
      <w:r>
        <w:t>c) Desde la fecha en que fueron dictados el Auto de 28 de mayo de 1997 y la providencia de 27 de junio de 1997, no existe constancia en las actuaciones de ninguna decisión de los órganos judiciales o de la administración penitenciaria de la que pueda desprenderse otro criterio en el cómputo de las redenciones por el trabajo.</w:t>
      </w:r>
    </w:p>
    <w:p w:rsidR="00D06117" w:rsidRDefault="00D06117" w:rsidP="00D06117">
      <w:pPr>
        <w:pStyle w:val="TextoNormal"/>
      </w:pPr>
    </w:p>
    <w:p w:rsidR="00D06117" w:rsidRDefault="00D06117" w:rsidP="00D06117">
      <w:pPr>
        <w:pStyle w:val="TextoNormal"/>
      </w:pPr>
      <w:r>
        <w:t>En esa lógica, el día 25 de enero de 2006, el Director del centro penitenciario de Albolote (Granada) interesó la aprobación del licenciamiento definitivo del recurrente para el día 29 de marzo de 2006, adjuntando la liquidación de condena practicada, en la que se hacen constar los días de cumplimiento efectivo (6.575) y los días de redenciones ordinarias (2.614) y extraordinarias (1.761), lo que suma un total de 10.950 días de cumplimiento, treinta años, en la fecha indicada.</w:t>
      </w:r>
    </w:p>
    <w:p w:rsidR="00D06117" w:rsidRDefault="00D06117" w:rsidP="00D06117">
      <w:pPr>
        <w:pStyle w:val="TextoNormal"/>
      </w:pPr>
    </w:p>
    <w:p w:rsidR="00D06117" w:rsidRDefault="00D06117" w:rsidP="00D06117">
      <w:pPr>
        <w:pStyle w:val="TextoNormal"/>
      </w:pPr>
      <w:r>
        <w:t>d) Sin embargo, la Sección Primera de la Sala de lo Penal de la Audiencia Nacional no aprobó dicho licenciamiento definitivo, sino que —como se expuso en los antecedentes— solicitó al centro penitenciario la elaboración de una nueva hoja de cálculo de condena, conforme a la doctrina de la STS 197/2006, de 28 de febrero, que modifica el criterio seguido anteriormente para el cómputo de los beneficios penitenciarios y las redenciones de pena por el trabajo, ordenando al centro penitenciario que, en aplicación de ese nuevo criterio, atendiera a la fecha resultante de la liquidación de la condena practicada el 26 de febrero de 1997, según la cual la pena se extinguiría el 21 de marzo de 2018.</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De la lectura de los datos que acaban de exponerse se desprende que, como sostiene el recurrente, a lo largo de toda la ejecutoria (desde que comenzó a redimir el día 3 de marzo </w:t>
      </w:r>
      <w:r>
        <w:lastRenderedPageBreak/>
        <w:t>de 1988 y hasta el dictado de la providencia de 3 de marzo de 2006), el cómputo de las redenciones de pena por trabajo se ha venido realizando sobre el límite máximo de cumplimiento de treinta años, del que se descontaban tanto los días de cumplimiento efectivo como los redimidos por trabajo, plasmándose dicho criterio en los cálculos periódicos elaborados por los centros penitenciarios, hasta llegar a la liquidación de condena sobre cuya base se realiza la propuesta de licenciamiento definitivo por el centro penitenciario de Albolote.</w:t>
      </w:r>
    </w:p>
    <w:p w:rsidR="00D06117" w:rsidRDefault="00D06117" w:rsidP="00D06117">
      <w:pPr>
        <w:pStyle w:val="TextoNormal"/>
      </w:pPr>
    </w:p>
    <w:p w:rsidR="00D06117" w:rsidRDefault="00D06117" w:rsidP="00D06117">
      <w:pPr>
        <w:pStyle w:val="TextoNormal"/>
      </w:pPr>
      <w:r>
        <w:t>Ciertamente, las resoluciones de los Jueces de vigilancia penitenciaria, que reconocieron al penado los días de redención de pena por el trabajo,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y reconoce un determinado número de días redimidos que, posteriormente, el Tribunal sentenciador ha de computar en la liquidación de condena cuando la misma se produzca.</w:t>
      </w:r>
    </w:p>
    <w:p w:rsidR="00D06117" w:rsidRDefault="00D06117" w:rsidP="00D06117">
      <w:pPr>
        <w:pStyle w:val="TextoNormal"/>
      </w:pPr>
    </w:p>
    <w:p w:rsidR="00D06117" w:rsidRDefault="00D06117" w:rsidP="00D06117">
      <w:pPr>
        <w:pStyle w:val="TextoNormal"/>
      </w:pPr>
      <w:r>
        <w:t>Tampoco cabe atribuir tal efecto al Auto de 22 de octubre de 1996. Este Auto se limita a acumular las condenas impuestas al recurrente, fijando como máximo de cumplimiento treinta años de privación de libertad, en aplicación de la regla segunda del art. 70 CP 1973. No existe en el mismo Auto referencia alguna a la redención de penas por el trabajo o al criterio de cómputo de las mismas, ni puede concluirse que dicho criterio sea determinante para la decisión que se adopta. Tan solo el límite máximo de cumplimiento devenía inmodificable y no podía ser alterado. Ahora bien, las resoluciones impugnadas no afectan al límite de cumplimiento establecido, que no aparece comprometido ni modificado por la fecha de licenciamiento definitivo que se acuerda para el demandante.</w:t>
      </w:r>
    </w:p>
    <w:p w:rsidR="00D06117" w:rsidRDefault="00D06117" w:rsidP="00D06117">
      <w:pPr>
        <w:pStyle w:val="TextoNormal"/>
      </w:pPr>
    </w:p>
    <w:p w:rsidR="00D06117" w:rsidRDefault="00D06117" w:rsidP="00D06117">
      <w:pPr>
        <w:pStyle w:val="TextoNormal"/>
      </w:pPr>
      <w:r>
        <w:t xml:space="preserve">Sin embargo, dicho criterio de cómputo sí se incorpora a una resolución judicial firme, el Auto de 28 de mayo de 1997, de forma decisiva para sustentar el sentido del fallo, en el que se acuerda que no procede la revisión de las penas tras la entrada en vigor del Código penal de 1995. Dicho Auto no se limitaba a comparar en abstracto los marcos punitivos aplicables, ni tampoco a posponer la decisión para un momento posterior, sino que vinculó la denegación de la revisión de las penas a la pérdida del derecho a obtener redenciones con posterioridad al 25 de mayo de 1996, lo que dijo expresamente, estableciéndola como determinante para fijar la norma más favorable al demandante y ratio decidendi de la resolución adoptada. Esto es así en la medida en que es el criterio adoptado al elaborar la liquidación provisional de condena remitida por el centro penitenciario (cuyo contenido se incorpora a esta resolución y sirve de fundamento fáctico a la decisión) y porque sólo de ese modo puede entenderse más beneficioso —como hace el órgano judicial— el límite máximo de cumplimiento de treinta años previsto en el Código penal anterior frente al de veinticinco años establecido en el Código penal de 1995, y que hubiera resultado de aplicación al recurrente de no habérsele tenido en cuenta las redenciones de pena por trabajo. En efecto, de conformidad con lo establecido en el art. 76 CP 1995, el límite máximo de cumplimiento en este caso hubiera sido de veinticinco años, frente a los treinta años establecidos en el art. 70 CP 1973. Ahora bien, en la nueva regulación se eliminó la antigua institución de la redención de penas por el trabajo que había estado en vigor desde el Código penal de 1944, en los términos establecidos en el art. 100, hasta la entrada en vigor del Código penal de 1995. Y dado que el cómputo de las redenciones se efectuaba sobre ese límite máximo de </w:t>
      </w:r>
      <w:r>
        <w:lastRenderedPageBreak/>
        <w:t>treinta años, ello significaba una notable disminución del tiempo real de privación de libertad respecto de ese tope máximo. Esta es la lógica que el Auto incorpora a su decisión y lo que explica su afirmación de que el límite de cumplimiento de veinticinco años del nuevo Código penal no resultaría más beneficioso que el de treinta años resultante de la aplicación del Código penal anterior.</w:t>
      </w:r>
    </w:p>
    <w:p w:rsidR="00D06117" w:rsidRDefault="00D06117" w:rsidP="00D06117">
      <w:pPr>
        <w:pStyle w:val="TextoNormal"/>
      </w:pPr>
    </w:p>
    <w:p w:rsidR="00D06117" w:rsidRDefault="00D06117" w:rsidP="00D06117">
      <w:pPr>
        <w:pStyle w:val="TextoNormal"/>
      </w:pPr>
      <w:r>
        <w:t>El objeto del Auto de 28 de mayo de 1997 era la determinación de la ley aplicable al caso tras la entrada en vigor del Código penal de 1995, que había de ser la más favorable al reo, conforme a lo dispuesto en las disposiciones transitorias de dicho Código. Y el pronunciamiento judicial contenido en aquel fallo de 1997 establece que “no procede la revisión de las penas impuestas”. En las resoluciones recurridas en amparo no se replantea esta cuestión, ya que se ciñen a lo que era su objeto específico, el pronunciamiento sobre la aprobación de la liquidación de condena y el licenciamiento definitivo del penado, lo que rechazan en su fallo.</w:t>
      </w:r>
    </w:p>
    <w:p w:rsidR="00D06117" w:rsidRDefault="00D06117" w:rsidP="00D06117">
      <w:pPr>
        <w:pStyle w:val="TextoNormal"/>
      </w:pPr>
    </w:p>
    <w:p w:rsidR="00D06117" w:rsidRDefault="00D06117" w:rsidP="00D06117">
      <w:pPr>
        <w:pStyle w:val="TextoNormal"/>
      </w:pPr>
      <w:r>
        <w:t>Ahora bien, según se expuso anteriormente, la intangibilidad de lo decidido en una resolución judicial firme se proyecta al examen de las cuestiones que guardan con ella una relación de estricta dependencia, extendiéndose a aquellos extremos que constituyen su ratio decidendi y a los que, aun no constituyendo el objeto mismo del proceso, resultan determinantes o decisivos para la decisión adoptada. En el presente caso, puede afirmarse que el Auto de 28 de mayo de 1997 no sólo resuelve acerca de cuál es la ley aplicable ante la sucesión normativa generada por la entrada en vigor del nuevo Código penal, sino que al adoptar su decisión sobre la base de un determinado criterio de cómputo de las redenciones que resulta determinante para considerar más favorable el Código anterior (hasta el punto de que la aplicación del otro criterio posteriormente utilizado obligaría a modificar el sentido del fallo de esta resolución), está conformando la realidad jurídica relativa a la ejecución de la pena privativa de libertad y creando una situación jurídica consolidada no sólo respecto de la ley aplicable, sino también respecto del criterio de cómputo de las redenciones que sustenta su decisión. Un criterio conforme al cual ha venido ejecutándose la pena y cuya existencia no puede ser ignorada por el propio órgano judicial en decisiones posteriores, como las recurridas en amparo, sin hacer desaparecer la eficacia de su anterior resolución. En definitiva, aun siendo distinto su objeto, existe una estricta relación de dependencia entre lo resuelto por el citado Auto y las resoluciones recurridas en amparo, que impedía a éstas ignorar la realidad jurídica conformada por aquél en cuanto al criterio de cómputo de las redenciones, lo que nos conduce a afirmar que estas resoluciones desconocen la eficacia de lo resuelto con carácter firme e intangible por el Auto de 28 de mayo de 1997, vulnerando el derecho a la tutela judicial efectiva (art. 24.1 CE).</w:t>
      </w:r>
    </w:p>
    <w:p w:rsidR="00D06117" w:rsidRDefault="00D06117" w:rsidP="00D06117">
      <w:pPr>
        <w:pStyle w:val="TextoNormal"/>
      </w:pPr>
    </w:p>
    <w:p w:rsidR="00D06117" w:rsidRDefault="00D06117" w:rsidP="00D06117">
      <w:pPr>
        <w:pStyle w:val="TextoNormal"/>
      </w:pPr>
      <w:r>
        <w:t>Nada obsta a lo anterior el hecho de que el cambio de criterio de la Audiencia Nacional en marzo de 2006 frente a su anterior decisión firme adoptada en 1997, se funde en la aplicación de un nuevo criterio interpretativo sentado por el Tribunal Supremo pocas semanas antes, pues los cambios de criterio jurisprudencial no pueden poner en cuestión la firmeza de la resolución anterior, ni justificar el desconocimiento de su eficacia y la vulneración del derecho a la intangibilidad de la realidad jurídica conformada por ella (STC 219/2000, de 18 de septiembre, FFJJ 6 y 7), lo que debió haber sido tenido en cuenta por el órgano judicial a la hora de determinar el alcance, en el caso concreto, del citado cambio de criterio jurisprudencial.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Pero nuestro pronunciamiento no puede agotarse en la declaración de la anterior vulneración, sino que ha de tomar en consideración las consecuencias que la misma tiene desde la perspectiva del derecho a la libertad (art. 17.1 CE) en juego.</w:t>
      </w:r>
    </w:p>
    <w:p w:rsidR="00D06117" w:rsidRDefault="00D06117" w:rsidP="00D06117">
      <w:pPr>
        <w:pStyle w:val="TextoNormal"/>
      </w:pPr>
    </w:p>
    <w:p w:rsidR="00D06117" w:rsidRDefault="00D06117" w:rsidP="00D06117">
      <w:pPr>
        <w:pStyle w:val="TextoNormal"/>
      </w:pPr>
      <w:r>
        <w:t>En efecto, a partir de la firmeza de lo decidido en el Auto de 28 de mayo de 1997 (dictada por el órgano judicial encargado de la ejecutoria y a quien correspondía determinar cómo y cuándo se cumple y se extingue la pena) y de la situación jurídica consolidada por la citada resolución en cuanto al modo de cómputo de la redención de penas por el trabajo, la pena se ha venido ejecutando durante años sobre las bases tomadas en consideración en el mismo: aplicación del antiguo Código penal y de la redención de penas por el trabajo, que determina el abono de un día por cada dos de trabajo, y cómputo de los días redimidos como tiempo de cumplimiento efectivo, a descontar del máximo legal de treinta años resultante de la acumulación de condenas. Lo que se ha plasmado en actos inequívocos de la Administración penitenciaria: las hojas de cálculo en las que se van realizando las liquidaciones provisionales de condena teniendo en cuenta los abonos derivados de la redención de penas por trabajo practicados periódicamente por el Juez de vigilancia penitenciaria a propuesta del centro penitenciario; y señaladamente la de fecha 25 de enero de 2006, que sirve de base a la propuesta de licenciamiento definitivo del penado para el día 29 de marzo de 2006 elevada al órgano judicial por el Director del centro penitenciario.</w:t>
      </w:r>
    </w:p>
    <w:p w:rsidR="00D06117" w:rsidRDefault="00D06117" w:rsidP="00D06117">
      <w:pPr>
        <w:pStyle w:val="TextoNormal"/>
      </w:pPr>
    </w:p>
    <w:p w:rsidR="00D06117" w:rsidRDefault="00D06117" w:rsidP="00D06117">
      <w:pPr>
        <w:pStyle w:val="TextoNormal"/>
      </w:pPr>
      <w:r>
        <w:t>En esa fecha, por tanto, en aplicación del marco legal existente en el momento de comisión del hecho delictivo y computando la redención de penas por el trabajo conforme al criterio firme e intangible establecido por el propio órgano judicial encargado de la ejecución, el recurrente había cumplido ya la pena que le fue impuesta. Por tanto, y aunque el recurrente fue privado legítimamente de libertad, una vez cumplida la pena en los términos anteriormente expuestos, nos encontramos ante una privación de libertad fuera de los casos previstos por la ley, pues el título que la legitimaba se ha extinguido. Por ello, el exceso de tiempo pasado en prisión constituye una privación de libertad carente de base legal y lesiva del derecho fundamental a la libertad consagrado en el art. 17.1 CE (STC 322/2005, de 12 de diciembre, FFJJ 2 y 3; y STEDH de 10 de julio de 2003, Grava c. Italia §§ 44 y 45).</w:t>
      </w:r>
    </w:p>
    <w:p w:rsidR="00D06117" w:rsidRDefault="00D06117" w:rsidP="00D06117">
      <w:pPr>
        <w:pStyle w:val="TextoNormal"/>
      </w:pPr>
    </w:p>
    <w:p w:rsidR="00D06117" w:rsidRDefault="00D06117" w:rsidP="00D06117">
      <w:pPr>
        <w:pStyle w:val="TextoNormal"/>
      </w:pPr>
      <w:r>
        <w:t>En un Estado de Derecho no cabe prolongar la privación de libertad de una persona que ha cumplido ya la condena que se le impuso en su día, por lo que los órganos de la jurisdicción ordinaria han de adoptar, con la mayor celeridad posible, las resoluciones que procedan a fin de que cese la vulneración del derecho fundamental a la libertad y se proceda a la inmediata puesta en libertad del recurrente.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don José Ignacio Gaztañaga Bidaurreta, y en su virtud:</w:t>
      </w:r>
    </w:p>
    <w:p w:rsidR="00D06117" w:rsidRDefault="00D06117" w:rsidP="00D06117">
      <w:pPr>
        <w:pStyle w:val="TextoNormal"/>
      </w:pPr>
    </w:p>
    <w:p w:rsidR="00D06117" w:rsidRDefault="00D06117" w:rsidP="00D06117">
      <w:pPr>
        <w:pStyle w:val="TextoNormal"/>
      </w:pPr>
      <w:r>
        <w:lastRenderedPageBreak/>
        <w:t>1º Declarar vulnerados los derechos del demandante de amparo a la tutela judicial efectiva (art. 24.1 CE) y a la libertad (art. 17.1 CE).</w:t>
      </w:r>
    </w:p>
    <w:p w:rsidR="00D06117" w:rsidRDefault="00D06117" w:rsidP="00D06117">
      <w:pPr>
        <w:pStyle w:val="TextoNormal"/>
      </w:pPr>
    </w:p>
    <w:p w:rsidR="00D06117" w:rsidRDefault="00D06117" w:rsidP="00D06117">
      <w:pPr>
        <w:pStyle w:val="TextoNormal"/>
      </w:pPr>
      <w:r>
        <w:t>2º Restablecerlo en su derecho y, a tal fin, anular la providencia de 17 de marzo de 2006 y el Auto de 31 de marzo de 2006, dictados ambos por la Sección Primera de la Sala de lo Penal de la Audiencia Nacional, retrotrayendo las actuaciones al momento anterior al pronunciamiento de la primera de las resoluciones, para que se dicte la resolución que proceda en términos respetuosos con los citados derechos fundamentales, de conformidad con lo establecido en los fundamentos jurídicos 7 y 8.</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w:t>
      </w:r>
    </w:p>
    <w:p w:rsidR="00D06117" w:rsidRDefault="00D06117" w:rsidP="00D06117">
      <w:pPr>
        <w:pStyle w:val="ParrafoNormal"/>
      </w:pPr>
    </w:p>
    <w:p w:rsidR="00D06117" w:rsidRDefault="00D06117" w:rsidP="00D06117">
      <w:pPr>
        <w:pStyle w:val="TextoNormalNegritaCentrado"/>
        <w:keepNext/>
      </w:pPr>
      <w:r>
        <w:t>Voto particular concurrente que formula el Magistrado don Pablo Pérez Tremps a la Sentencia dictada en el recurso de amparo avocado núm. 4893-2006.</w:t>
      </w:r>
    </w:p>
    <w:p w:rsidR="00D06117" w:rsidRDefault="00D06117" w:rsidP="00D06117">
      <w:pPr>
        <w:pStyle w:val="TextoNormalNegritaCentrado"/>
        <w:keepNext/>
      </w:pPr>
    </w:p>
    <w:p w:rsidR="00D06117" w:rsidRDefault="00D06117" w:rsidP="00D06117">
      <w:pPr>
        <w:pStyle w:val="TextoNormal"/>
      </w:pPr>
      <w:r>
        <w:t>Con el máximo respeto a la posición mayoritaria de mis compañeros del Pleno debo manifestar mi discrepancia con la fundamentación jurídica referida a la invocación del derecho a la libertad (art. 17.1 CE). Esta discrepancia no alcanza al otorgamiento del amparo, con el que, en el presente caso, estoy de acuerdo.</w:t>
      </w:r>
    </w:p>
    <w:p w:rsidR="00D06117" w:rsidRDefault="00D06117" w:rsidP="00D06117">
      <w:pPr>
        <w:pStyle w:val="TextoNormal"/>
      </w:pPr>
    </w:p>
    <w:p w:rsidR="00D06117" w:rsidRDefault="00D06117" w:rsidP="00D06117">
      <w:pPr>
        <w:pStyle w:val="TextoNormal"/>
      </w:pPr>
      <w:r>
        <w:t>1. Este recurso de amparo es el primero de una serie de asuntos en los que se ha sometido a la consideración del Tribunal Constitucional la aplicación realizada por diversas resoluciones judiciales de la nueva doctrina jurisprudencial sentada por la STS 197/2006, de 28 de febrero, sobre el cómputo de la redención de penas por el trabajo. La conclusión de la posición mayoritaria ha sido que concurre una vulneración de los derechos del demandante a la tutela judicial efectiva (art. 24.1 CE) y a la libertad personal (art. 17.1 CE), desde la perspectiva del derecho a la intangibilidad, por haberse desconocido la existencia de una previa resolución judicial firme sobre la revisión de la condena que hizo aplicación de un criterio de cómputo de las redenciones diverso y más favorable que el de las resoluciones ahora impugnadas en amparo. Este criterio de la intangibilidad, pero vinculado exclusivamente a la existencia del Auto por el que se acuerda la refundición de condenas, es el que también ha llevado al Ministerio Fiscal a solicitar el otorgamiento del amparo en la mayor parte de los recursos de amparo en que se plantea esta cuestión.</w:t>
      </w:r>
    </w:p>
    <w:p w:rsidR="00D06117" w:rsidRDefault="00D06117" w:rsidP="00D06117">
      <w:pPr>
        <w:pStyle w:val="TextoNormal"/>
      </w:pPr>
    </w:p>
    <w:p w:rsidR="00D06117" w:rsidRDefault="00D06117" w:rsidP="00D06117">
      <w:pPr>
        <w:pStyle w:val="TextoNormal"/>
      </w:pPr>
      <w:r>
        <w:t xml:space="preserve">Comparto con la mayoría que la redención de penas por el trabajo es una institución que afecta directamente al derecho a la libertad y que no puede excluirse que se vulnere este derecho como consecuencia de decisiones judiciales adoptadas respecto de esta institución cuando supongan un alargamiento ilegítimo de la privación de libertad. Igualmente debo mostrar mi conformidad con la afirmación de que la interpretación y aplicación de la legalidad ordinaria es función exclusiva de los órganos judiciales y que la función de este Tribunal queda limitada al examen de las decisiones judiciales desde la perspectiva de los derechos fundamentales en juego, cuyo contenido se constituye en límite a la actuación judicial. A esos efectos, y ya desde este momento inicial, también quiero dejar patente que considero que la interpretación y aplicación realizada en las resoluciones judiciales impugnadas </w:t>
      </w:r>
      <w:r>
        <w:lastRenderedPageBreak/>
        <w:t>de la normativa referente al cómputo de los beneficios penitenciarios se acomoda a los parámetros propios de la legalidad ordinaria y no incurre en ningún defecto de motivación de relevancia constitucional.</w:t>
      </w:r>
    </w:p>
    <w:p w:rsidR="00D06117" w:rsidRDefault="00D06117" w:rsidP="00D06117">
      <w:pPr>
        <w:pStyle w:val="TextoNormal"/>
      </w:pPr>
    </w:p>
    <w:p w:rsidR="00D06117" w:rsidRDefault="00D06117" w:rsidP="00D06117">
      <w:pPr>
        <w:pStyle w:val="TextoNormal"/>
      </w:pPr>
      <w:r>
        <w:t>Mi discrepancia con la mayoría del Pleno se fundamenta, sin embargo, en que se ha renunciado a hacer una previa valoración en que se verificara si, en el concreto contexto normativo que encuadra estos asuntos y teniendo en cuenta sus singularidades, la aplicación de este nuevo criterio jurisprudencial había producido la vulneración aducida del derecho a la libertad personal (art. 17.1 CE). En mi opinión, desde una lectura y análisis de este derecho fundamental comprensiva de su carácter de garantía esencial del ciudadano y de su valor primordial del Estado social y democrático de Derecho (art. 1.1. CE), creo que debería haberse concluido que dicha aplicación, por las razones que paso a exponer, sí vulneró el derecho fundamental a la libertad personal del recurrente.</w:t>
      </w:r>
    </w:p>
    <w:p w:rsidR="00D06117" w:rsidRDefault="00D06117" w:rsidP="00D06117">
      <w:pPr>
        <w:pStyle w:val="TextoNormal"/>
      </w:pPr>
    </w:p>
    <w:p w:rsidR="00D06117" w:rsidRDefault="00D06117" w:rsidP="00D06117">
      <w:pPr>
        <w:pStyle w:val="TextoNormal"/>
      </w:pPr>
      <w:r>
        <w:t>2. El significado prevalente de la libertad, las exigencias derivadas de los principios de seguridad jurídica e interdicción de la arbitrariedad de los poderes públicos (art. 9.3 CE), el mandato constitucional expreso para que la regulación del ejercicio de los derechos fundamentales se realice “sólo por ley” (art. 53.1 CE), y el propio tenor del art. 17.1 CE —“nadie puede ser privado de su libertad, sino con la observancia de lo establecido en este artículo y en los casos y en la forma previstos en la Ley”— determinan que este Tribunal haya destacado la relevancia que adquiere la garantía legal en el diseño constitucional de protección del derecho a la libertad no sólo frente a los aplicadores del derecho sino también al propio legislador. Así, se ha señalado que cualquier decisión que suponga una privación de libertad debe ajustarse estrictamente a las previsiones legales y resultar compatible con la finalidad perseguida de evitar que las personas sean privadas de su libertad sin la necesaria cobertura legal (por todas, STC 57/2008, de 28 de abril, FJ 2 y STEDH de 28 de marzo de 2000, Baranowski c Polonia, § 51), y también se ha destacado, en lo que se refiere a la actividad legislativa, que la regulación de las situaciones que excepcionalmente habilitan a la privación de libertad debe abordarse por el legislador con la debida precisión para que exista una previsibilidad objetiva que dote de una razonable certeza al ejercicio de dicho derecho, concluyendo que “la Ley no podría, desde luego, configurar supuestos de privación de libertad que … por su grado de indeterminación crearan inseguridad o incertidumbre insuperable sobre su modo de aplicación efectiva” (STC 341/1993, de 18 de noviembre, FJ 5). Más contundente, el Tribunal Europeo de Derechos Humanos insiste en que cuando se trata de una privación de libertad, es especialmente importante respetar el principio general de la seguridad jurídica, siendo esencial que las condiciones de la privación de libertad estén claramente definidas en la legislación para hacer previsible su aplicación y dar cumplimiento a la garantía legal establecida por el Convenio, que exige que toda legislación sea suficientemente accesible, precisa y previsible para evitar cualquier riesgo de arbitrariedad, permitiendo que el ciudadano —en su caso, con el oportuno asesoramiento jurídico— prevea, hasta un grado razonable conforme a las circunstancias del caso, las consecuencias que pueden derivarse de un acto concreto (por todas, SSTEDH de 17 de diciembre de 2009, M. c. Alemania, § 90; y 8 de septiembre de 2011, Oshurko c. Ucrania, § 98).</w:t>
      </w:r>
    </w:p>
    <w:p w:rsidR="00D06117" w:rsidRDefault="00D06117" w:rsidP="00D06117">
      <w:pPr>
        <w:pStyle w:val="TextoNormal"/>
      </w:pPr>
    </w:p>
    <w:p w:rsidR="00D06117" w:rsidRDefault="00D06117" w:rsidP="00D06117">
      <w:pPr>
        <w:pStyle w:val="TextoNormal"/>
      </w:pPr>
      <w:r>
        <w:t xml:space="preserve">Atendiendo a estos principios, y tal como defendí en la deliberación, hubiera sido preciso afrontar el análisis de la resolución judicial impugnada en su contexto normativo y teniendo en cuenta, además, las peculiaridades del caso para verificar si la regulación del cómputo de la redención de penas por el trabajo que dio lugar al nuevo criterio interpretativo era lo </w:t>
      </w:r>
      <w:r>
        <w:lastRenderedPageBreak/>
        <w:t>suficientemente accesible y precisa para que pudieran preverse de manera razonable por el ciudadano las consecuencias jurídicas de sus actos, lo que incluye no sólo la pena a imponer sino también, y por lo que ahora importa, la duración real y efectiva de la privación de libertad. A esos efectos, no cabe olvidar, que este Tribunal ha destacado el relevante papel de la jurisprudencia al servicio de la seguridad jurídica (muy recientemente en la STC 37/2012, de 19 de marzo, FJ 3) y que también el Tribunal Europeo de Derechos Humanos ha insistido en ese papel destacando que está al servicio de disipar las dudas que podrían subsistir en cuanto a la interpretación de las normas, teniendo en cuenta la evolución de la práctica cotidiana (por todas, STEDH de 12 de febrero de 2008, Kafkaris c. Chipre, § 140).</w:t>
      </w:r>
    </w:p>
    <w:p w:rsidR="00D06117" w:rsidRDefault="00D06117" w:rsidP="00D06117">
      <w:pPr>
        <w:pStyle w:val="TextoNormal"/>
      </w:pPr>
    </w:p>
    <w:p w:rsidR="00D06117" w:rsidRDefault="00D06117" w:rsidP="00D06117">
      <w:pPr>
        <w:pStyle w:val="TextoNormal"/>
      </w:pPr>
      <w:r>
        <w:t>3. Desde esta perspectiva de control, debe repararse en la circunstancia indubitada de que la aplicación realizada en las resoluciones judiciales sobre el cómputo de la redención de penas supone la ruptura de una inveterada jurisprudencia sobre el particular cuando, incluso, la normativa a interpretar ya ha sido derogada. Ha sido el propio Tribunal Supremo el que ha reconocido en la primera resolución en que sostiene este cambio de criterio jurisprudencial —STS 197/2006, de 28 de febrero—, dictada diez años después de que los preceptos han sido derogados y se mantienen en vigor sólo en lo que resulta más favorable a los condenados, que durante toda la vigencia del Código penal de 1973 la interpretación jurisprudencial unánime e indiscutida de la normativa referida al cómputo de la redención de penas por el trabajo era que este beneficio penitenciario se abonaba a partir del máximo de cumplimiento efectivo de la pena y no respecto de cada una de las penas individualmente considerada. Esta circunstancia, además, es avalada tanto por el hecho de que también era una interpretación pacífica doctrinalmente, como por la realidad de que la Administración penitenciaria, aun cuando no hubiera todavía una decisión judicial concreta sobre ese particular, venía practicando el abono conforme a dicha interpretación.</w:t>
      </w:r>
    </w:p>
    <w:p w:rsidR="00D06117" w:rsidRDefault="00D06117" w:rsidP="00D06117">
      <w:pPr>
        <w:pStyle w:val="TextoNormal"/>
      </w:pPr>
    </w:p>
    <w:p w:rsidR="00D06117" w:rsidRDefault="00D06117" w:rsidP="00D06117">
      <w:pPr>
        <w:pStyle w:val="TextoNormal"/>
      </w:pPr>
      <w:r>
        <w:t>Esta nueva interpretación, como ya he destacado anteriormente, no puede considerarse que incurra en ningún defecto de motivación de carácter constitucional y, probablemente, da una mejor respuesta tanto desde la perspectiva de la justicia material como de la político-criminal. Del mismo modo, cabe afirmar que ni el derecho a la libertad ni la vinculación de su garantía legal con el principio de seguridad jurídica imponen la petrificación de una determinada interpretación del derecho. Sin embargo, asumiendo desde una lectura del art. 17.1 CE la posibilidad de este cambio de criterio jurisprudencial, hay un límite insalvable para poder aceptar su constitucionalidad. La decisión sobre el modo en que ha de computarse el abono de la redención de pena por el trabajo era exclusivamente del legislador, que no lo modificó hasta aprobar una nueva norma con posterioridad a los hechos en que trae su origen el presente asunto pudiendo haberlo hecho. A esos efectos, la nueva redacción dada al art. 78 CP 1995 y la exposición de motivos de la Ley Orgánica 15/2003, de 25 de noviembre, justificando la reforma operada en dicho precepto, son suficientemente concluyentes de que, cuando el legislador así lo decidió, hizo expreso ese nuevo criterio de cómputo. Es más, siendo una de las novedades del Código penal de 1995 posibilitar que el cómputo de los beneficios penitenciarios pudiera realizarse sobre la totalidad de las penas impuestas establece su carácter potestativo y siempre condicionado a la concurrencia de determinados requisitos (art. 78 CP 1995).</w:t>
      </w:r>
    </w:p>
    <w:p w:rsidR="00D06117" w:rsidRDefault="00D06117" w:rsidP="00D06117">
      <w:pPr>
        <w:pStyle w:val="TextoNormal"/>
      </w:pPr>
    </w:p>
    <w:p w:rsidR="00D06117" w:rsidRDefault="00D06117" w:rsidP="00D06117">
      <w:pPr>
        <w:pStyle w:val="TextoNormal"/>
      </w:pPr>
      <w:r>
        <w:t xml:space="preserve">En este contexto, el desarrollo legislativo, sumado a la circunstancia de que la normativa interpretada ya estaba derogada —y, por tanto, la capacidad de influencia del legislador sobre ella estaba anulada— y que, además, era de aplicación residual sólo a los efectos que </w:t>
      </w:r>
      <w:r>
        <w:lastRenderedPageBreak/>
        <w:t>eran más beneficiosos a los condenados, no cabe admitir una interpretación y aplicación de una previsión normativa, que, por mucho que pueda encontrar un encaje desde parámetros interpretativos de legalidad ordinaria, resulta, atendiendo a las peculiaridades ya reseñadas que plantea este caso, absolutamente sorpresiva e imprevisible. En última instancia, una interpretación de estas características, supone negar la primacía del derecho a la libertad como garantía contra la privación —en este caso, prolongación— arbitraria de la libertad.</w:t>
      </w:r>
    </w:p>
    <w:p w:rsidR="00D06117" w:rsidRDefault="00D06117" w:rsidP="00D06117">
      <w:pPr>
        <w:pStyle w:val="TextoNormal"/>
      </w:pPr>
    </w:p>
    <w:p w:rsidR="00D06117" w:rsidRDefault="00D06117" w:rsidP="00D06117">
      <w:pPr>
        <w:pStyle w:val="TextoNormal"/>
      </w:pPr>
      <w:r>
        <w:t>Pero además, partiendo de la premisa de que el derecho a la libertad impone como mandato al legislador que regule las instituciones que afecten a este derecho con el grado de determinación y certeza suficiente para evitar que se genere inseguridad o incertidumbre insuperable sobre su modo de aplicación efectiva, no resulta tampoco asumible, desde parámetros de calidad de la ley, una normativa que, por no haber previsto expresamente el modo de cómputo del abono de la redención de penas por el trabajo, ha permitido una normal subsunción y convivencia de dos interpretaciones con unos efectos tan absolutamente divergentes respecto del quantum de la privación de libertad.</w:t>
      </w:r>
    </w:p>
    <w:p w:rsidR="00D06117" w:rsidRDefault="00D06117" w:rsidP="00D06117">
      <w:pPr>
        <w:pStyle w:val="TextoNormal"/>
      </w:pPr>
    </w:p>
    <w:p w:rsidR="00D06117" w:rsidRDefault="00D06117" w:rsidP="00D06117">
      <w:pPr>
        <w:pStyle w:val="TextoNormal"/>
      </w:pPr>
      <w:r>
        <w:t>Estos razonamientos y no el sostenido por la mayoría son los que deberían haber sido determinantes para otorgar el amparo en este recurso, así como en el resto de recursos de amparo que planteaban idéntica cuestión sobre la aplicación de esta nueva doctrina de cómputo de los beneficios penitenciarios.</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concurrente que formula la Magistrada doña Adela Asua Batarrita a la Sentencia dictada en el recurso de amparo núm. 4893-2006 al que se adhiere el Magistrado don Luis Ignacio Ortega Álvarez.</w:t>
      </w:r>
    </w:p>
    <w:p w:rsidR="00D06117" w:rsidRDefault="00D06117" w:rsidP="00D06117">
      <w:pPr>
        <w:pStyle w:val="TextoNormalNegritaCentrado"/>
        <w:keepNext/>
      </w:pPr>
    </w:p>
    <w:p w:rsidR="00D06117" w:rsidRDefault="00D06117" w:rsidP="00D06117">
      <w:pPr>
        <w:pStyle w:val="TextoNormal"/>
      </w:pPr>
      <w:r>
        <w:t>Con el mayor respeto y consideración que me merece el parecer del Pleno, y haciendo uso de la facultad prevista en el apartado 2 del art. 90 de la Ley Orgánica del Tribunal Constitucional (LOTC), formulo Voto concurrente de conformidad con el fallo de la Sentencia que declara la lesión de los derechos fundamentales a la tutela judicial efectiva y a la libertad, pero discrepante en la fundamentación que conduce a rechazar alguna de las quejas planteadas por el recurrente que a mi juicio debieran haberse acogido como principal sustento constitucional del amparo.</w:t>
      </w:r>
    </w:p>
    <w:p w:rsidR="00D06117" w:rsidRDefault="00D06117" w:rsidP="00D06117">
      <w:pPr>
        <w:pStyle w:val="TextoNormal"/>
      </w:pPr>
    </w:p>
    <w:p w:rsidR="00D06117" w:rsidRDefault="00D06117" w:rsidP="00D06117">
      <w:pPr>
        <w:pStyle w:val="TextoNormal"/>
      </w:pPr>
      <w:r>
        <w:t>1. Mi discrepancia básica se refiere a la insuficiente fundamentación que ofrece la Sentencia para rechazar la alegación sobre la vulneración del derecho fundamental a la legalidad penal ex art. 25.1 CE, queja que a mi juicio debiera haberse estimado en base a los argumentos que mantuve en la deliberación en el Pleno. En la conculcación de la legalidad penal se condensa la afectación nuclear a la seguridad jurídica y a la garantía reforzada de certeza en la interpretación y aplicación de las leyes penales, que en este caso deriva en la lesión del derecho a la libertad personal (art. 17 CE).</w:t>
      </w:r>
    </w:p>
    <w:p w:rsidR="00D06117" w:rsidRDefault="00D06117" w:rsidP="00D06117">
      <w:pPr>
        <w:pStyle w:val="TextoNormal"/>
      </w:pPr>
    </w:p>
    <w:p w:rsidR="00D06117" w:rsidRDefault="00D06117" w:rsidP="00D06117">
      <w:pPr>
        <w:pStyle w:val="TextoNormal"/>
      </w:pPr>
      <w:r>
        <w:t xml:space="preserve">La cuestión central del presente recurso reside en la aplicación por la resolución judicial impugnada de una interpretación desfavorable del art. 70.2 del Código penal (CP) de 1973 que quiebra el pacífico entendimiento mantenido hasta entonces, y que desencadena una prolongación efectiva del periodo de cumplimiento de una pena privativa de libertad, cuyo </w:t>
      </w:r>
      <w:r>
        <w:lastRenderedPageBreak/>
        <w:t>calado obliga, a mi juicio, a analizar con el debido detenimiento la adecuación constitucional de los argumentos aducidos para justificar tal inopinado cambio de criterio. Más aún cuando la nueva interpretación se utiliza para revisar los criterios de cómputo del cumplimiento de una condena que se encuentra en fase de ejecución y a la que se venía aplicando la regla general prevista en el art. 100 CP 1973 de reducción de penas por el trabajo. Tal retroacción remueve la situación jurídica previamente conformada y las fundadas expectativas jurídicas acordes al entendimiento incontrovertido de la normativa aplicable. Un cambio de las “reglas de juego” en la contabilización del cumplimiento de la condena que difícilmente podrá superar el test de previsibilidad sobre el alcance de las consecuencias punitivas previstas en la ley en relación a un elemento tan importante como la efectiva duración de la privación de libertad que comporta la condena.</w:t>
      </w:r>
    </w:p>
    <w:p w:rsidR="00D06117" w:rsidRDefault="00D06117" w:rsidP="00D06117">
      <w:pPr>
        <w:pStyle w:val="TextoNormal"/>
      </w:pPr>
    </w:p>
    <w:p w:rsidR="00D06117" w:rsidRDefault="00D06117" w:rsidP="00D06117">
      <w:pPr>
        <w:pStyle w:val="TextoNormal"/>
      </w:pPr>
      <w:r>
        <w:t>La resolución que se impugna en el presente recurso confirma la providencia que ordenaba aplicar la nueva interpretación desfavorable del concepto de “cumplimiento” expresado en la STS 197/2006, de 28 de febrero, porque, dice, se trata de “una mera ejecución de lo acordado por la Sala Segunda del Tribunal Supremo”. Mera “ejecución” [sic] de una interpretación sostenida en otro procedimiento ajeno y muy posterior al del recurrente, diez años después del Auto de acumulación en el que se aplicaba el referido art. 70.2 en la causa cuyo amparo hemos resuelto. El hecho de que el Auto de la Audiencia Nacional que aquí se impugna se refiera como único fundamento a lo establecido en la STS 197/2006, que debe “ejecutarse” [sic] en el presente caso, hace necesario que tengamos que valorar la fundamentación contenida en aquella resolución, atendiendo a los parámetros constitucionales que nos conciernen.</w:t>
      </w:r>
    </w:p>
    <w:p w:rsidR="00D06117" w:rsidRDefault="00D06117" w:rsidP="00D06117">
      <w:pPr>
        <w:pStyle w:val="TextoNormal"/>
      </w:pPr>
    </w:p>
    <w:p w:rsidR="00D06117" w:rsidRDefault="00D06117" w:rsidP="00D06117">
      <w:pPr>
        <w:pStyle w:val="TextoNormal"/>
      </w:pPr>
      <w:r>
        <w:t>2. La clarificación de los problemas que plantea el presente amparo, requiere algunas precisiones previas sobre las peculiaridades del antiguo Código penal en materia de cumplimiento de condenas, a fin de poder avanzar en el razonamiento sobre los déficits constitucionales de la controvertida interpretación y sobre su incidencia en la garantía de la seguridad jurídica y en el principio de separación de poderes, que también se proyectan como limitación a la interpretación judicial de la ley en observancia del derecho fundamental consagrado en el art. 25.1 CE.</w:t>
      </w:r>
    </w:p>
    <w:p w:rsidR="00D06117" w:rsidRDefault="00D06117" w:rsidP="00D06117">
      <w:pPr>
        <w:pStyle w:val="TextoNormal"/>
      </w:pPr>
    </w:p>
    <w:p w:rsidR="00D06117" w:rsidRDefault="00D06117" w:rsidP="00D06117">
      <w:pPr>
        <w:pStyle w:val="TextoNormal"/>
      </w:pPr>
      <w:r>
        <w:t>En primer lugar, debemos recordar que el tenor literal del art. 100 CP 1973 decía textualmente:</w:t>
      </w:r>
    </w:p>
    <w:p w:rsidR="00D06117" w:rsidRDefault="00D06117" w:rsidP="00D06117">
      <w:pPr>
        <w:pStyle w:val="TextoNormal"/>
      </w:pPr>
    </w:p>
    <w:p w:rsidR="00D06117" w:rsidRDefault="00D06117" w:rsidP="00D06117">
      <w:pPr>
        <w:pStyle w:val="TextoNormal"/>
      </w:pPr>
      <w:r>
        <w:t>“Podrán redimir su pena con el trabajo, desde que sea firme la sentencia respectiva, los reclusos condenados a pena de reclusión, prisión y arresto mayor. Al recluso trabajador se abonará, para el cumplimiento de la pena impuesta, previa aprobación por el Juez de Vigilancia, un día por cada dos de trabajo, y el tiempo así redimido se le contará también para acceder a la libertad condicional. El mismo beneficio se aplicará, a efectos de liquidación de su condena, a los reclusos que hayan estado privados provisionalmente de libertad.</w:t>
      </w:r>
    </w:p>
    <w:p w:rsidR="00D06117" w:rsidRDefault="00D06117" w:rsidP="00D06117">
      <w:pPr>
        <w:pStyle w:val="TextoNormal"/>
      </w:pPr>
    </w:p>
    <w:p w:rsidR="00D06117" w:rsidRDefault="00D06117" w:rsidP="00D06117">
      <w:pPr>
        <w:pStyle w:val="TextoNormal"/>
      </w:pPr>
      <w:r>
        <w:t>No podrán redimir pena por el trabajo: 1º. Quienes quebranten la condena o intentaran quebrantarla, aunque no logren su propósito. 2º. Los que reiteradamente observen mala conducta durante el cumplimiento de la condena.”</w:t>
      </w:r>
    </w:p>
    <w:p w:rsidR="00D06117" w:rsidRDefault="00D06117" w:rsidP="00D06117">
      <w:pPr>
        <w:pStyle w:val="TextoNormal"/>
      </w:pPr>
    </w:p>
    <w:p w:rsidR="00D06117" w:rsidRDefault="00D06117" w:rsidP="00D06117">
      <w:pPr>
        <w:pStyle w:val="TextoNormal"/>
      </w:pPr>
      <w:r>
        <w:t xml:space="preserve">Lo dispuesto en el precepto transcrito constituye una singularidad propia del sistema penal español desde 1944, que se mantuvo hasta la entrada en vigor del nuevo código de 1995, </w:t>
      </w:r>
      <w:r>
        <w:lastRenderedPageBreak/>
        <w:t>y que todavía proyecta su efecto sobre el cumplimiento de las penas impuestas por delitos cometidos antes de esa fecha. Su origen en la posguerra explica en buena parte su finalidad pragmática de permitir el acortamiento de las penas con el fin de reducir la alta densidad de población penitenciaria y, a la vez, poder aprovechar oportunamente una mano de obra barata. Al aprobarse el texto refundido del Código penal de 1973 se mantiene el precepto en los mismos términos, ajustando su fundamentación a nuevos parámetros más acordes con la finalidad preventivo-especial de reinserción social de los penados, finalidad que la Constitución de 1978 eleva a rango de principio informador del cumplimiento de las penas privativas de libertad (art. 25.2 CE). De forma reiterada nuestra doctrina ha vinculado el fundamento material del art. 100 a dicho principio (entre muchas otras, STC 72/1994, de 3 de marzo, FJ 4).</w:t>
      </w:r>
    </w:p>
    <w:p w:rsidR="00D06117" w:rsidRDefault="00D06117" w:rsidP="00D06117">
      <w:pPr>
        <w:pStyle w:val="TextoNormal"/>
      </w:pPr>
    </w:p>
    <w:p w:rsidR="00D06117" w:rsidRDefault="00D06117" w:rsidP="00D06117">
      <w:pPr>
        <w:pStyle w:val="TextoNormal"/>
      </w:pPr>
      <w:r>
        <w:t>En definitiva, durante varias décadas se mantuvo una institución que consagraba una ficción jurídica de contundente eficacia para el acortamiento del periodo de cumplimiento de la pena, por más que a la vez produjera una patente anomalía semántica: la imposición de una pena de seis años —por ejemplo— equivalía a un castigo de cuatro años de prisión, pasados los cuales realizando un trabajo u ocupación aceptada a tales efectos, se tenían por cumplidos los seis años de prisión fijados en Sentencia. Ficción de cumplimento que, por voluntad del legislador, desencadenaba de forma plena las consecuencias jurídicas propias de la extinción de la pena, aunque de facto hubiera quedado acortada en un tercio de su valor nominal.</w:t>
      </w:r>
    </w:p>
    <w:p w:rsidR="00D06117" w:rsidRDefault="00D06117" w:rsidP="00D06117">
      <w:pPr>
        <w:pStyle w:val="TextoNormal"/>
      </w:pPr>
    </w:p>
    <w:p w:rsidR="00D06117" w:rsidRDefault="00D06117" w:rsidP="00D06117">
      <w:pPr>
        <w:pStyle w:val="TextoNormal"/>
      </w:pPr>
      <w:r>
        <w:t>En el marco del Código penal de 1973 la ausencia de dudas sobre la operatividad general de la redención por el trabajo implicaba la asunción natural de la constante diferenciación entre la duración nominal y la duración real de la pena, lo que formaba parte del cálculo que podía efectuar el Juez para adecuar la respuesta punitiva al delito en cuestión, y generaba una expectativa en el condenado, fundada en un parámetro consolidado de cómputo, sobre el tiempo real de la condena. Esa diferencia entre duración nominal y duración efectiva se proyectaba asimismo de forma incuestionada sobre las previsiones recogidas en el art. 70.2 de aquel Código, como queda documentado constantemente en la práctica penitenciaria y en su reflejo jurisprudencial, así como en las propias disposiciones transitorias del Código penal de 1995 relativas a la revisión de las condenas, y en circulares y directrices referidas a la aplicación de éstas.</w:t>
      </w:r>
    </w:p>
    <w:p w:rsidR="00D06117" w:rsidRDefault="00D06117" w:rsidP="00D06117">
      <w:pPr>
        <w:pStyle w:val="TextoNormal"/>
      </w:pPr>
    </w:p>
    <w:p w:rsidR="00D06117" w:rsidRDefault="00D06117" w:rsidP="00D06117">
      <w:pPr>
        <w:pStyle w:val="TextoNormal"/>
      </w:pPr>
      <w:r>
        <w:t>El carácter preceptivo del abono del tiempo redimido por trabajo, que se proclama con carácter objetivo y general, con un módulo fijo de medida, indica que estamos ante una institución de rasgos bien diferenciados respecto a otras instituciones que también se agrupan genéricamente como “beneficios penitenciarios” —régimen abierto, libertad condicional, permisos de salida— y a los que se puede acceder durante el cumplimiento de la condena y que conllevan una suavización de la intensidad del control de la privación de libertad. El efecto de la redención de penas por el trabajo no se plasma, sin embargo, en una suavización de las condiciones de cumplimiento, sino en la notable reducción o acortamiento del tiempo necesario para extinguir jurídicamente la pena impuesta.</w:t>
      </w:r>
    </w:p>
    <w:p w:rsidR="00D06117" w:rsidRDefault="00D06117" w:rsidP="00D06117">
      <w:pPr>
        <w:pStyle w:val="TextoNormal"/>
      </w:pPr>
    </w:p>
    <w:p w:rsidR="00D06117" w:rsidRDefault="00D06117" w:rsidP="00D06117">
      <w:pPr>
        <w:pStyle w:val="TextoNormal"/>
      </w:pPr>
      <w:r>
        <w:t xml:space="preserve">El disfrute de la redención de penas por el trabajo no está condicionado a una concesión facultativa del Juez de vigilancia o del Juez sentenciador, ni depende de la concurrencia de otro requisito distinto al de encontrarse cumpliendo pena de prisión, ni de una evolución positiva del comportamiento del sujeto o de su régimen penitenciario, ni de pronósticos de </w:t>
      </w:r>
      <w:r>
        <w:lastRenderedPageBreak/>
        <w:t>peligrosidad. No necesita “merecerse” y únicamente puede ser denegada en los dos supuestos de exclusión previstos en el art. 100 (intento de fuga, reiterado mal comportamiento); pero aún en estos supuestos, según nuestra doctrina no puede ser revocada la redención obtenida hasta entonces ya que no se trata de un “beneficio condicional” (STC 174/1989, de 30 de octubre, FJ 5). La redención por el trabajo se sitúa como criterio de obligado acatamiento ope legis, como parámetro ineludible que predetermina la forma de cálculo de los días que se cumplen a efectos jurídicos definitivos. Éste, y no otro, es el aspecto que ahora interesa porque no estamos ante una queja sobre un eventual error o falta de contabilización de determinados trabajos o de parte del tiempo ya redimido, sino ante una queja por la exclusión de plano de la redención en el ámbito del art. 70.2 CP 1973. En suma, la cuestión crucial no es la verificación de cómo se han aplicado unas “reglas de juego”, en este caso respecto al cómputo de la pena durante la ejecución de ésta, sino si tales “reglas de juego” estaban ya establecidas como punto de partida y, por tanto, no podían modificarse.</w:t>
      </w:r>
    </w:p>
    <w:p w:rsidR="00D06117" w:rsidRDefault="00D06117" w:rsidP="00D06117">
      <w:pPr>
        <w:pStyle w:val="TextoNormal"/>
      </w:pPr>
    </w:p>
    <w:p w:rsidR="00D06117" w:rsidRDefault="00D06117" w:rsidP="00D06117">
      <w:pPr>
        <w:pStyle w:val="TextoNormal"/>
      </w:pPr>
      <w:r>
        <w:t>La posibilidad de redimir por trabajo no se conforma como un premio o consecuencia derivada de un mérito previo, sino como una alternativa que la ley ofrece al recluso de acogerse a una vía de cumplimiento reducido de la pena, de manera que si aquél opta por el sistema que se le propone de “acortamiento” de la duración de la pena, el efecto de la redención por los días de trabajo resulta perfectamente predecible con un alto grado de certeza. El carácter previo de las reglas de cómputo es inherente a las exigencias propias de un Estado de Derecho, como protección frente a la arbitrariedad y la incertidumbre que resultarían de la ausencia de criterio anunciado, cierto y seguro, características sustanciales asociadas al derecho fundamental a la legalidad penal (art. 25.1 CE).</w:t>
      </w:r>
    </w:p>
    <w:p w:rsidR="00D06117" w:rsidRDefault="00D06117" w:rsidP="00D06117">
      <w:pPr>
        <w:pStyle w:val="TextoNormal"/>
      </w:pPr>
    </w:p>
    <w:p w:rsidR="00D06117" w:rsidRDefault="00D06117" w:rsidP="00D06117">
      <w:pPr>
        <w:pStyle w:val="TextoNormal"/>
      </w:pPr>
      <w:r>
        <w:t>Como queda acertadamente reflejado en nuestra Sentencia de forma detallada, este Tribunal ha mantenido de forma constante una doctrina celosa de la seguridad jurídica en las numerosas resoluciones dictadas en materia de redención de penas por el trabajo, declarando la intangibilidad de los reconocimientos de los días redimidos por trabajo aun ante supuestos errores detectados con posterioridad (STC 174/1989, de 30 de octubre), y el mantenimiento del tiempo de redención consolidada incluso para acortar las penas impuestas conforme al nuevo código de 1995 por resultar más favorables (STC 31/1999, de 8 de marzo).</w:t>
      </w:r>
    </w:p>
    <w:p w:rsidR="00D06117" w:rsidRDefault="00D06117" w:rsidP="00D06117">
      <w:pPr>
        <w:pStyle w:val="TextoNormal"/>
      </w:pPr>
    </w:p>
    <w:p w:rsidR="00D06117" w:rsidRDefault="00D06117" w:rsidP="00D06117">
      <w:pPr>
        <w:pStyle w:val="TextoNormal"/>
      </w:pPr>
      <w:r>
        <w:t>3. La cuestión aquí debatida, la constitucionalidad de un cambio de criterio sobre los parámetros que marcan la contabilidad del cumplimiento de las penas, debe analizarse atendiendo al fundamento material del derecho consagrado en el art. 25.1 CE porque tal cambio de criterio altera de forma sustancial la previsión racionalmente fundada sobre la duración efectiva de la pena que la persona condenada pudo establecer al comenzar su ejecución. El acceso al conocimiento seguro de la duración de la pena, su previsibilidad conforme a las pautas vigentes no sólo en el momento de aplicación de la ley sino en el de los hechos enjuiciados, son elementos que pertenecen al núcleo del derecho fundamental a la ley previa, cierta, precisa, tanto respecto a los delitos como respecto a las consecuencias punitivas correspondientes. Y en el contexto de las singularidades del Código penal de 1973 este conocimiento cierto debe abarcar no sólo el límite nominal del quantum de dicho cumplimiento sino también su traducción correspondiente en un límite efectivo de menor duración por el acortamiento derivado del abono del tiempo redimido por trabajo conforme a las reglas del art. 100.</w:t>
      </w:r>
    </w:p>
    <w:p w:rsidR="00D06117" w:rsidRDefault="00D06117" w:rsidP="00D06117">
      <w:pPr>
        <w:pStyle w:val="TextoNormal"/>
      </w:pPr>
    </w:p>
    <w:p w:rsidR="00D06117" w:rsidRDefault="00D06117" w:rsidP="00D06117">
      <w:pPr>
        <w:pStyle w:val="TextoNormal"/>
      </w:pPr>
      <w:r>
        <w:lastRenderedPageBreak/>
        <w:t>La Sentencia cita varias sentencias del Tribunal Europeo de Derechos Humanos en apoyo de la ubicación de la redención de penas por el trabajo fuera del ámbito de tutela del art. 25.1 CE, pero tales resoluciones se refieren a beneficios penitenciarios de distinto y menor alcance que el que ahora tratamos, como antes he puesto de relieve. Además no se da debida cuenta de la existencia de otras resoluciones más matizadas que reconocen la dificultad de establecer la frontera entre pena y medidas de ejecución de la misma, y que expresamente rehúyen de formalismos apriorísticos (STEDH de 15 de diciembre de 2009, Gurguchiani c. España, § 31; STEDH de 12 de febrero de 2008, Kafkaris c. Chipre, § 142). Precisamente los hechos del asunto Kafkaris contra Chipre presentan cierta semejanza con los que subyacen a la presente demanda de amparo puesto que se trataba de un cambio de interpretación del alcance real de la pena de prisión perpetua, pena que, pese a su denominación, según un determinado reglamento penitenciario implicaba una prisión de veinte años. El recurrente fue condenado a prisión perpetua pero al ingresar en prisión se le informó del alcance de la pena conforme a aquel reglamento penitenciario, donde constaba la fecha de acceso a la libertad condicional. El Tribunal Europeo de Derechos Humanos señaló en este caso que la cuestión residía en determinar “si el texto de la ley, leído a la luz de la jurisprudencia interpretativa emanada al respecto, satisfacía los requisitos de accesibilidad y de previsibilidad”. Igualmente estableció que el conocimiento y la aplicación de los reglamentos penitenciarios en aquella situación no era un asunto de mera ejecución de la pena, y que aunque la pena nominalmente impuesta era la misma que la que entonces se sometía a cumplimiento conforme a la nueva interpretación, aunque no se tratara de una imposición retroactiva de una pena más severa, el problema residía en la falta de “calidad de la ley”. Falta de calidad de la ley que se aprecia porque en el momento de comisión del delito el derecho penal chipriota, tomado en su conjunto, no estaba formulado con la suficiente precisión como para permitir al recurrente discernir de forma razonable, acorde con las circunstancias, incluso con el asesoramiento apropiado, “el alcance de la pena de prisión perpetua y la forma de su ejecución”, por lo que se declara la conculcación del art. 7 del Convenio a este respecto (§ 150).</w:t>
      </w:r>
    </w:p>
    <w:p w:rsidR="00D06117" w:rsidRDefault="00D06117" w:rsidP="00D06117">
      <w:pPr>
        <w:pStyle w:val="TextoNormal"/>
      </w:pPr>
    </w:p>
    <w:p w:rsidR="00D06117" w:rsidRDefault="00D06117" w:rsidP="00D06117">
      <w:pPr>
        <w:pStyle w:val="TextoNormal"/>
      </w:pPr>
      <w:r>
        <w:t>Es cierto que la cuestión que nosotros examinamos no afecta a la duración de una pena concreta correspondiente a un delito, sino a la duración del límite máximo de cumplimento fijado para la concurrencia de varias penas pendientes de cumplir, conforme a la técnica conocida como “acumulación jurídica de penas” que en el Código penal de 1973 quedaba concretada en las previsiones de su art. 70.2. Este es el precepto cuya interpretación se modifica en la STS 197/2006, y cuyo tenor establecía que:</w:t>
      </w:r>
    </w:p>
    <w:p w:rsidR="00D06117" w:rsidRDefault="00D06117" w:rsidP="00D06117">
      <w:pPr>
        <w:pStyle w:val="TextoNormal"/>
      </w:pPr>
    </w:p>
    <w:p w:rsidR="00D06117" w:rsidRDefault="00D06117" w:rsidP="00D06117">
      <w:pPr>
        <w:pStyle w:val="TextoNormal"/>
      </w:pPr>
      <w:r>
        <w:t>“Cuando todas o algunas de las penas correspondientes a las diversas infracciones no pudieran ser cumplidas simultáneamente por el condenado, se observarán, respecto a ellas, las reglas siguientes:</w:t>
      </w:r>
    </w:p>
    <w:p w:rsidR="00D06117" w:rsidRDefault="00D06117" w:rsidP="00D06117">
      <w:pPr>
        <w:pStyle w:val="TextoNormal"/>
      </w:pPr>
    </w:p>
    <w:p w:rsidR="00D06117" w:rsidRDefault="00D06117" w:rsidP="00D06117">
      <w:pPr>
        <w:pStyle w:val="TextoNormal"/>
      </w:pPr>
      <w:r>
        <w:t xml:space="preserve">1ª En la imposición de las penas se seguirá el orden de su respectiva gravedad para su cumplimiento sucesivo por el condenado en cuanto sea posible, por haber obtenido indulto de las primeramente impuestas o por haberlas ya cumplido. … </w:t>
      </w:r>
    </w:p>
    <w:p w:rsidR="00D06117" w:rsidRDefault="00D06117" w:rsidP="00D06117">
      <w:pPr>
        <w:pStyle w:val="TextoNormal"/>
      </w:pPr>
    </w:p>
    <w:p w:rsidR="00D06117" w:rsidRDefault="00D06117" w:rsidP="00D06117">
      <w:pPr>
        <w:pStyle w:val="TextoNormal"/>
      </w:pPr>
      <w:r>
        <w:t>2ª No obstante lo dispuesto en la regla anterior, el máximum de cumplimiento de la condena del culpable no podrá exceder del triplo del tiempo porque se le impusiere la más grave de las penas en que haya incurrido, dejando de extinguir las que procedan desde que las ya impuestas cubrieren el máximum de tiempo predicho, que no podrá exceder de treinta años.</w:t>
      </w:r>
    </w:p>
    <w:p w:rsidR="00D06117" w:rsidRDefault="00D06117" w:rsidP="00D06117">
      <w:pPr>
        <w:pStyle w:val="TextoNormal"/>
      </w:pPr>
    </w:p>
    <w:p w:rsidR="00D06117" w:rsidRDefault="00D06117" w:rsidP="00D06117">
      <w:pPr>
        <w:pStyle w:val="TextoNormal"/>
      </w:pPr>
      <w:r>
        <w:lastRenderedPageBreak/>
        <w:t>La limitación se aplicará aunque las penas se hubieran impuesto en distintos procesos si los hechos, por su conexión, pudieran haberse enjuiciado en uno solo.” (Cursiva añadida).</w:t>
      </w:r>
    </w:p>
    <w:p w:rsidR="00D06117" w:rsidRDefault="00D06117" w:rsidP="00D06117">
      <w:pPr>
        <w:pStyle w:val="TextoNormal"/>
      </w:pPr>
    </w:p>
    <w:p w:rsidR="00D06117" w:rsidRDefault="00D06117" w:rsidP="00D06117">
      <w:pPr>
        <w:pStyle w:val="TextoNormal"/>
      </w:pPr>
      <w:r>
        <w:t>Ese límite se refiere al tiempo de privación de libertad en el que queda finalmente individualizado el castigo por el conjunto de los varios delitos cometidos, por lo que no puede negarse que dicho límite fija la referencia para el correspondiente cumplimiento. Una duración que recorta y reduce sustancialmente el tiempo que supondría la suma de las penas por separado y que, por tanto, sustituye a esta suma y conforma la consecuencia punitiva que se traslada al conocimiento del ciudadano y sobre la que opera después la institución de la redención. En el contexto del Código penal de 1973 ello significaba que ese quantum de los treinta años de condena quedaba convertido ope legis, de no concurrir determinadas incidencias en la ejecución como mal comportamiento o intento de fuga, en veinte años de cumplimiento efectivo. Por ello, la interpretación que debemos analizar desde los parámetros de constitucionalidad es la que ha alterado esta previsibilidad respecto al cumplimiento efectivo, al excluir la operatividad de la redención de penas por el trabajo sobre aquel límite nominal, con el consiguiente reflejo penológico en la duración del período de tiempo de privación de libertad.</w:t>
      </w:r>
    </w:p>
    <w:p w:rsidR="00D06117" w:rsidRDefault="00D06117" w:rsidP="00D06117">
      <w:pPr>
        <w:pStyle w:val="TextoNormal"/>
      </w:pPr>
    </w:p>
    <w:p w:rsidR="00D06117" w:rsidRDefault="00D06117" w:rsidP="00D06117">
      <w:pPr>
        <w:pStyle w:val="TextoNormal"/>
      </w:pPr>
      <w:r>
        <w:t>Ciertamente, un precepto penal cuyo tenor literal permitiera acoger dos interpretaciones tan dispares en cuanto a sus efectos penológicos no reuniría las condiciones requeridas de calidad normativa, que derivan de la garantía constitucional de la legalidad penal.</w:t>
      </w:r>
    </w:p>
    <w:p w:rsidR="00D06117" w:rsidRDefault="00D06117" w:rsidP="00D06117">
      <w:pPr>
        <w:pStyle w:val="TextoNormal"/>
      </w:pPr>
    </w:p>
    <w:p w:rsidR="00D06117" w:rsidRDefault="00D06117" w:rsidP="00D06117">
      <w:pPr>
        <w:pStyle w:val="TextoNormal"/>
      </w:pPr>
      <w:r>
        <w:t>4. La consagración constitucional de la legalidad penal como derecho fundamental enfatiza el mandato de determinación y de taxatividad en el campo de la punición estatal como correlato del principio de la seguridad jurídica y como reflejo de la separación de poderes que diferencia las funciones del legislador en la creación de las normas y del juzgador en la aplicación de éstas, garantías básicas del Estado de Derecho.</w:t>
      </w:r>
    </w:p>
    <w:p w:rsidR="00D06117" w:rsidRDefault="00D06117" w:rsidP="00D06117">
      <w:pPr>
        <w:pStyle w:val="TextoNormal"/>
      </w:pPr>
    </w:p>
    <w:p w:rsidR="00D06117" w:rsidRDefault="00D06117" w:rsidP="00D06117">
      <w:pPr>
        <w:pStyle w:val="TextoNormal"/>
      </w:pPr>
      <w:r>
        <w:t>La redoblada exigencia de claridad y precisión de las leyes penales se extiende a la interpretación de éstas a través de la aplicación judicial, como operación que fija su alcance y significado de forma coherente con el sentido de los preceptos legales, de manera que ambos planos se complementan para garantizar la previsibilidad del alcance de la norma y de sus consecuencias punitivas. Complementariedad que se convierte en inescindible cuando nos encontramos ante un criterio de aplicación consolidado de forma permanente y prolongado en el tiempo. Evidentemente el cambio de interpretación es siempre posible por el carácter dinámico de la jurisprudencia y su necesaria adaptación a nuevos supuestos de hechos, pero cuanto más consolidada se encuentre una determinada interpretación, mayores cautelas deberán observarse a la hora de su modificación, y más intensa deberá ser la fundamentación en que se apoye para que continúe resultando predecible y acorde con las pautas hermenéuticas aceptadas por la comunidad jurídica (en esta línea, en cuanto a la exigencia de previsibilidad, la reciente STEDH de 6 de marzo de 2012, Huhtamäki c. Finlandia).</w:t>
      </w:r>
    </w:p>
    <w:p w:rsidR="00D06117" w:rsidRDefault="00D06117" w:rsidP="00D06117">
      <w:pPr>
        <w:pStyle w:val="TextoNormal"/>
      </w:pPr>
    </w:p>
    <w:p w:rsidR="00D06117" w:rsidRDefault="00D06117" w:rsidP="00D06117">
      <w:pPr>
        <w:pStyle w:val="TextoNormal"/>
      </w:pPr>
      <w:r>
        <w:t xml:space="preserve">Como acertadamente se señala en la Sentencia, no es función de este Tribunal la interpretación de la legalidad ordinaria, tarea que corresponde, en última instancia, ex art. 123 CE al Tribunal Supremo, pero no podemos eludir el análisis de los aspectos que pueden comprometer los derechos fundamentales cuya tutela nos compete especialmente. Expresado en términos de la STC 91/2009, de 20 de abril, recogiendo la línea de nuestra doctrina, “[d]e un modo mucho más restringido, y con la perspectiva externa que le es propia como </w:t>
      </w:r>
      <w:r>
        <w:lastRenderedPageBreak/>
        <w:t>Tribunal no inserto en el proceso penal, nuestra tarea se constriñe a evaluar la sostenibilidad constitucional de la concreta interpretación llevada a cabo por los órganos judiciales desde los citados parámetros de razonabilidad semántica, metodológica y axiológica” (FJ 6).</w:t>
      </w:r>
    </w:p>
    <w:p w:rsidR="00D06117" w:rsidRDefault="00D06117" w:rsidP="00D06117">
      <w:pPr>
        <w:pStyle w:val="TextoNormal"/>
      </w:pPr>
    </w:p>
    <w:p w:rsidR="00D06117" w:rsidRDefault="00D06117" w:rsidP="00D06117">
      <w:pPr>
        <w:pStyle w:val="TextoNormal"/>
      </w:pPr>
      <w:r>
        <w:t>En la cuestión que ahora nos concierne respecto a la interpretación realizada en la STS 197/2006, pues a ella remiten las resoluciones judiciales impugnadas como único argumento de lo decidido, lo primero que debe clarificarse es dónde reside el giro interpretativo desencadenante de la agravación punitiva cuya legitimidad se cuestiona. Y en este punto es necesario destacar que la citada Sentencia introduce dos modificaciones respecto al cómputo de la redención de penas de trabajo en relación al límite máximo de cumplimiento fijado en el art. 70.2 CP 1973. Una de ellas carece de relevancia constitucional porque se refiere al orden sucesivo del cumplimento de las varias penas impuestas a la persona condenada, lo que en principio no es más que una cuestión de carácter técnico-funcional de proyección sobre el régimen penitenciario y que en sí misma no afectaría al tiempo efectivo de privación de libertad. La segunda modificación es la realmente decisiva porque introduce un requisito adicional en relación con el límite de tiempo total de condena establecido en el art. 70.2, diciendo expresamente en su fundamento jurídico cuarto que “tal límite representa el máximo de cumplimiento del penado en un centro penitenciario” (cursiva añadida).</w:t>
      </w:r>
    </w:p>
    <w:p w:rsidR="00D06117" w:rsidRDefault="00D06117" w:rsidP="00D06117">
      <w:pPr>
        <w:pStyle w:val="TextoNormal"/>
      </w:pPr>
    </w:p>
    <w:p w:rsidR="00D06117" w:rsidRDefault="00D06117" w:rsidP="00D06117">
      <w:pPr>
        <w:pStyle w:val="TextoNormal"/>
      </w:pPr>
      <w:r>
        <w:t>La extensa argumentación que la Sentencia del Tribunal Supremo dedica a rechazar que el límite máximo constituya una “pena única” solo se entiende porque en su lógica explicativa considera necesario atribuir un distinto sentido conceptual al término “condena” respecto al término “pena”, a fin de excluir el abono de los días redimidos por trabajo del tiempo máximo de “condena”. Y de esa manera pretende eludir las posibles objeciones a la exclusión del beneficio general previsto en el art. 100, ya que éste no quedaría teóricamente excluido al abonarse el tiempo redimido a cada pena por separado a lo largo de su cumplimiento sucesivo hasta llegar a aquel límite, aun cuando de hecho ese abono no tenga efecto práctico alguno si la suma supera los cuarenta y cinco años.</w:t>
      </w:r>
    </w:p>
    <w:p w:rsidR="00D06117" w:rsidRDefault="00D06117" w:rsidP="00D06117">
      <w:pPr>
        <w:pStyle w:val="TextoNormal"/>
      </w:pPr>
    </w:p>
    <w:p w:rsidR="00D06117" w:rsidRDefault="00D06117" w:rsidP="00D06117">
      <w:pPr>
        <w:pStyle w:val="TextoNormal"/>
      </w:pPr>
      <w:r>
        <w:t>El examen de la nueva interpretación desde los cánones constitucionales debe quedar reducido, por tanto, a la adición de la exigencia de cumplimiento “en centro penitenciario”, o lo que es su correlato, a la introducción de dos conceptos distintos de “cumplimento” dentro del mismo precepto, el art. 70.2, uno aplicable al “cumplimiento de condena” y otro que se corresponde con el concepto general de “cumplimento de la pena” incluyendo la redención de penas por trabajo. De lo que deriva que el cumplimiento de varias penas plenamente extinguidas a efectos jurídico-penales llegará a sumar cuarenta y cinco años nominales de pena de privación de libertad impuesta en sentencia, que son los que se corresponderían con treinta años efectivos en prisión (treinta años en prisión más quince años de tiempo “redimido” por trabajo).</w:t>
      </w:r>
    </w:p>
    <w:p w:rsidR="00D06117" w:rsidRDefault="00D06117" w:rsidP="00D06117">
      <w:pPr>
        <w:pStyle w:val="TextoNormal"/>
      </w:pPr>
    </w:p>
    <w:p w:rsidR="00D06117" w:rsidRDefault="00D06117" w:rsidP="00D06117">
      <w:pPr>
        <w:pStyle w:val="TextoNormal"/>
      </w:pPr>
      <w:r>
        <w:t>5. La distinción referida no sería artificiosa si pudiera contar con algún sustento en el propio Código penal o en otra norma aplicable al caso, que permitiera sostener que “condena” y “pena” aluden a dos realidades distintas en el sentido pretendido, o que entre “cumplimento de una pena” y “cumplimento de la condena del culpable” pudiera haber alguna diferencia sustancial.</w:t>
      </w:r>
    </w:p>
    <w:p w:rsidR="00D06117" w:rsidRDefault="00D06117" w:rsidP="00D06117">
      <w:pPr>
        <w:pStyle w:val="TextoNormal"/>
      </w:pPr>
    </w:p>
    <w:p w:rsidR="00D06117" w:rsidRDefault="00D06117" w:rsidP="00D06117">
      <w:pPr>
        <w:pStyle w:val="TextoNormal"/>
      </w:pPr>
      <w:r>
        <w:t xml:space="preserve">Desde el canon del sentido literal posible del término “cumplimiento”, en nuestro caso, lo único que literalmente puede constatarse es que el art. 70.2 no incluye una referencia a </w:t>
      </w:r>
      <w:r>
        <w:lastRenderedPageBreak/>
        <w:t>que ese máximo de cumplimiento deba ser “en centro penitenciario”, referencia que resultaría obligada para excepcionar la proyección general de la redención de penas por trabajo en el Código penal de 1973. El sentido literal común de lo que significa cumplir una pena de prisión no puede operar aquí como canon de interpretación porque estamos ante un término acotado normativamente, que incluso la persona profana sabe que requiere ser matizado por lo que puedan disponer las leyes. Ahora bien, lo que el canon de interpretación debe garantizar es que no se altere el sentido literal posible en perjuicio del reo, de manera que no se dé cabida a una intervención punitiva imprevisible conforme a los datos accesibles al conocimiento del ciudadano, asesorado en su caso por una persona experta.</w:t>
      </w:r>
    </w:p>
    <w:p w:rsidR="00D06117" w:rsidRDefault="00D06117" w:rsidP="00D06117">
      <w:pPr>
        <w:pStyle w:val="TextoNormal"/>
      </w:pPr>
    </w:p>
    <w:p w:rsidR="00D06117" w:rsidRDefault="00D06117" w:rsidP="00D06117">
      <w:pPr>
        <w:pStyle w:val="TextoNormal"/>
      </w:pPr>
      <w:r>
        <w:t>Desde una interpretación sistemática, especialmente relevante en la interpretación jurídica, la peculiaridad en el cumplimiento de las penas de prisión bajo el Código penal de 1973, por la proyección de las reglas del art. 100, no resulta alterada en la normativa de la época en ningún momento, no pudiéndose hallar ninguna indicación o matización explícita que permita su restricción. Las previsiones relativas al denominado concurso ideal de delitos también acogen supuestos de acumulación de delitos y penas cuya suma puede superar con creces el límite allí fijado como pena única agravada (en el Código penal de 1973, art. 71), sin que se vislumbre ninguna razón para excluir de este límite la aplicación del art. 100. Resultaría poco congruente sistemáticamente que, pese a las similitudes de esta figura con la de acumulación jurídica del art. 70.2, la exclusión de la redención de penas operara selectivamente solo sobre una de ellas.</w:t>
      </w:r>
    </w:p>
    <w:p w:rsidR="00D06117" w:rsidRDefault="00D06117" w:rsidP="00D06117">
      <w:pPr>
        <w:pStyle w:val="TextoNormal"/>
      </w:pPr>
    </w:p>
    <w:p w:rsidR="00D06117" w:rsidRDefault="00D06117" w:rsidP="00D06117">
      <w:pPr>
        <w:pStyle w:val="TextoNormal"/>
      </w:pPr>
      <w:r>
        <w:t>Desde la perspectiva teleológica o de fundamentación material, los argumentos de la STS 197/2006 no se refieren al sentido de la institución de la acumulación jurídica ni al de la redención de penas por trabajo, sino que, después de apelaciones genéricas a los fines de la pena, centran la atención en un principio que se declara debe presidir la interpretación de esta materia y que “residenciado en consideraciones de política criminal, descansa en que el autor de las diversas infracciones cometidas debe cumplir todas o la mayor parte de las penas impuestas, sin que pueda igualarse, concediéndosele el mismo trato punitivo, al autor de un solo delito que al seriado criminal que tiene sobre sus espaldas un amplio historial delictivo. Esta interpretación ni la consiente el valor de justicia proclamado por la Constitución española, ni resulta propiamente tampoco de la ley. En el caso de un condenado por 150 asesinatos, unos consumados y otros en grado de tentativa acabada, el principio de humanidad estará siempre al lado de las víctimas, sin perjuicio de la forma humanitaria de la ejecución de la pena a su autor” (fundamento jurídico tercero).</w:t>
      </w:r>
    </w:p>
    <w:p w:rsidR="00D06117" w:rsidRDefault="00D06117" w:rsidP="00D06117">
      <w:pPr>
        <w:pStyle w:val="TextoNormal"/>
      </w:pPr>
    </w:p>
    <w:p w:rsidR="00D06117" w:rsidRDefault="00D06117" w:rsidP="00D06117">
      <w:pPr>
        <w:pStyle w:val="TextoNormal"/>
      </w:pPr>
      <w:r>
        <w:t>Este argumento es reiterado después en el fundamento jurídico cuarto, como una de las razones de apoyo de la nueva interpretación del art. 70.2 CP 1973: “e) teleológicamente, porque carecería de cualquier sentido que por el expresado camino de la acumulación se convirtiera en una nueva pena única de treinta años un amplio historial delictivo, igualando injustificadamente al autor de un solo delito con el condenado a una multitud de ellos, como es el caso enjuiciado. En efecto, carecería de cualquier lógica que por tal regla significase punitivamente lo mismo, cometer un asesinato que doscientos”.</w:t>
      </w:r>
    </w:p>
    <w:p w:rsidR="00D06117" w:rsidRDefault="00D06117" w:rsidP="00D06117">
      <w:pPr>
        <w:pStyle w:val="TextoNormal"/>
      </w:pPr>
    </w:p>
    <w:p w:rsidR="00D06117" w:rsidRDefault="00D06117" w:rsidP="00D06117">
      <w:pPr>
        <w:pStyle w:val="TextoNormal"/>
      </w:pPr>
      <w:r>
        <w:t xml:space="preserve">La problemática inherente a la acumulación jurídica de penas lleva aparejada esa irresoluble disparidad criticada, porque ante la magnitud de los delitos acumulados quiebra la posibilidad de una respuesta de justicia material acorde a esa gravedad y entran en juego otros principios del Estado de Derecho que limitan la intervención a una duración de la pena </w:t>
      </w:r>
      <w:r>
        <w:lastRenderedPageBreak/>
        <w:t>de cumplimiento verosímil y a la vez compatible con la prohibición de penalidades contrarias a la dignidad humana. Ciertamente, dicha autolimitación no obsta, dentro de las regulaciones posibles, que sea más acertada aquella que permita una graduación ajustada a los diferentes grupos de casos de acumulación delictiva, como la que ofrece el nuevo Código penal de 1995 en su artículo 76, que un sistema único e indiferenciado de acumulación.</w:t>
      </w:r>
    </w:p>
    <w:p w:rsidR="00D06117" w:rsidRDefault="00D06117" w:rsidP="00D06117">
      <w:pPr>
        <w:pStyle w:val="TextoNormal"/>
      </w:pPr>
    </w:p>
    <w:p w:rsidR="00D06117" w:rsidRDefault="00D06117" w:rsidP="00D06117">
      <w:pPr>
        <w:pStyle w:val="TextoNormal"/>
      </w:pPr>
      <w:r>
        <w:t>En efecto, no puede ignorarse que el límite de treinta años se aplica siempre a una acumulación de penas cuya suma sobrepasa esa cifra, lo que afecta por igual tanto a un sumatorio de treinta y dos años como a uno de cientos de años de prisión. Es lógico considerar inadecuado un sistema que permite tal equiparación, en disonancia con el principio de proporcionalidad que informa el sistema penal, pero un defecto de este cariz en la norma penal no legitima una reconstrucción judicial de la misma. Con la interpretación que analizamos, la pretensión de corregir esa incongruencia produce otra de signo contrario, ya que elimina por igual el cómputo de los días redimidos por trabajo sin atender a las enormes diferencias que pueden comportar dos casos distintos. Y además, por otro lado, conduce a que la aplicación de la acumulación jurídica ex art. 70.2 CP 1973 resulte más gravosa para el recluso que la derivada de las previsiones del nuevo Código penal de 1995 (arts. 76 y 78), ya que en éste la exclusión de los beneficios penitenciarios tiene un carácter facultativo y se limita a casos especialmente graves. En definitiva, trasladar las pautas político-criminales del nuevo código a la aplicación del anterior formalmente ya derogado, no solo no puede resolver los problemas de la disparidad apuntada sino que aboca a incoherencias sistemáticas graves porque una interpretación de una norma preexistente no puede llegar a establecer matizaciones incompatibles con el tenor de la ley, que solo el legislador puede fijar con la precisión requerida. En ese sentido, resulta paradójico que la aplicación de la norma antigua, al reformularse conforme a la interpretación realizada en la STS 197/2006, desemboque en una situación comparativamente peor para el afectado que la derivada de una aplicación retroactiva del Código penal de 1995, situación que de haberse podido prever por el afectado le hubiera conducido a solicitar en su momento la aplicación de la normativa posterior convertida en ley penal más favorable. Un despropósito que muestra la incompatibilidad de la citada interpretación con las exigencias de previsibilidad y certeza requeridas por el derecho fundamental a la legalidad penal.</w:t>
      </w:r>
    </w:p>
    <w:p w:rsidR="00D06117" w:rsidRDefault="00D06117" w:rsidP="00D06117">
      <w:pPr>
        <w:pStyle w:val="TextoNormal"/>
      </w:pPr>
    </w:p>
    <w:p w:rsidR="00D06117" w:rsidRDefault="00D06117" w:rsidP="00D06117">
      <w:pPr>
        <w:pStyle w:val="TextoNormal"/>
      </w:pPr>
      <w:r>
        <w:t>Transcurridos más de diez años desde la entrada en vigor del Código penal de 1995, algunas de las prescripciones del antiguo código resultan difíciles de entender desde la perspectiva de sus efectos, tanto más cuanto que éstos se proyectan todavía al tiempo presente. Así ocurre con la redención de penas por el trabajo y con la discordancia que produce reconocer que la duración nominal de la pena no coincide con la duración efectiva de la misma. Y lo mismo ocurre respecto a aquella técnica de acumulación jurídica que fijaba un único límite máximo de treinta años para todos los supuestos de concurrencia simultánea de penas cuya suma superara esa duración. El nuevo Código penal de 1995, en cambio, resulta más acertado en este punto, al establecer tres límites diferenciados de veinte, veinticinco y treinta años escalonadamente, en función de la gravedad de los delitos que conformen el conjunto de condenas a acumular. La consolidación de la nueva regulación en la praxis jurisdiccional puede explicar sociológicamente el rechazo a aquella regulación, pero no puede legitimar un giro interpretativo como el producido en la STS 197/2006, que responde a los criterios político criminales que informan las normas penales hoy vigentes, pero que no se corresponde con las que inspiraron al legislador de 1973.</w:t>
      </w:r>
    </w:p>
    <w:p w:rsidR="00D06117" w:rsidRDefault="00D06117" w:rsidP="00D06117">
      <w:pPr>
        <w:pStyle w:val="TextoNormal"/>
      </w:pPr>
    </w:p>
    <w:p w:rsidR="00D06117" w:rsidRDefault="00D06117" w:rsidP="00D06117">
      <w:pPr>
        <w:pStyle w:val="TextoNormal"/>
      </w:pPr>
      <w:r>
        <w:lastRenderedPageBreak/>
        <w:t>El Tribunal Europeo de Derechos Humanos se ha pronunciado recientemente en dos supuestos que presentan elementos comunes con la situación que ahora nos ocupa puesto que en ambos la aplicación judicial de la norma penal había forzado la interpretación para acomodarla al tenor de una reforma introducida con posterioridad a los hechos que endurecía el tratamiento punitivo. Así se declara la vulneración del art. 7 del Convenio en la STEDH de 24 de enero de 2012, Mihai Toma c. Rumania, en relación a la sanción de privación del permiso de conducir prevista como sanción de aplicación facultativa en el momento de los hechos, que una posterior reforma convirtió en obligatoria. En línea similar, si bien respecto a la tipificación de la conducta delictiva, en la STEDH de 7 de febrero de 2012, Alimuçaj c. Albania, se declara la vulneración del art. 7 del Convenio europeo para la protección de los derechos humanos y de las libertades fundamentales por haber aplicado el juzgador una interpretación extensiva e imprevisible para la imposición de una pena más grave que la prevista en el momento de los hechos, penalidad que se acomodaba a la nueva previsión punitiva de la estafa piramidal introducida en el Código penal poco después de la comisión del conjunto de estafas enjuiciadas.</w:t>
      </w:r>
    </w:p>
    <w:p w:rsidR="00D06117" w:rsidRDefault="00D06117" w:rsidP="00D06117">
      <w:pPr>
        <w:pStyle w:val="TextoNormal"/>
      </w:pPr>
    </w:p>
    <w:p w:rsidR="00D06117" w:rsidRDefault="00D06117" w:rsidP="00D06117">
      <w:pPr>
        <w:pStyle w:val="TextoNormal"/>
      </w:pPr>
      <w:r>
        <w:t>6. La mayoría de los magistrados ha considerado que la única queja atendible, que fundamenta la estimación del presente amparo, es la que denuncia la vulneración del art. 24.1 CE por afectación a la intangibilidad de las resoluciones judiciales. No hay duda de que la aplicación de una nueva interpretación in malam partem, que altera drásticamente los parámetros del cómputo de los días de condena cumplida, conmueve como mínimo la seguridad jurídica en su vertiente procesal de la intangibilidad de las resoluciones judiciales. Pero nuestra Sentencia condiciona la apreciación de la intangibilidad a la constatación de una explícita referencia en las resoluciones judiciales a la operatividad de la redención de penas por el trabajo sobre el límite de los treinta años establecido en el art. 70.2 CP 1973, adoptando un concepto de intangibilidad tan restringido que reduce notablemente la proyección de su campo de garantía, lo que no se cohonesta bien con nuestra propia doctrina que viene cifrando su finalidad en “salvaguardar la eficacia de una resolución judicial que, habiendo adquirido firmeza, ha conformado la realidad jurídica de una forma determinada que no puede desconocerse por otros órganos judiciales” (por todas, baste citar la STC 58/2000, de 25 de febrero, FJ 5; y la reciente STC 62/2010, de 18 de octubre, FJ 4). Por ello se niega en la Sentencia que pueda atribuirse al Auto de acumulación un efecto de intangibilidad respecto a la aplicación del art. 100 en relación al art. 70.2, rechazando los argumentos del Ministerio Fiscal que basaban en la intangibilidad del referido Auto su posición favorable a la estimación del amparo. La concurrencia, en el presente recurso, de un Auto de revisión que sí contiene una referencia explícita a la aplicación del referido art. 100 al caso, acaba constituyendo el único elemento sobre el que la Sentencia funda el reconocimiento de la lesión constitucional de la libertad personal (art. 17.1 CE) por vulneración de la tutela judicial efectiva (art. 24.1 CE). Auto de revisión en el que se decide mantener la aplicación del Código penal de 1973 por resultar más favorable pese a la menor duración nominal (veinticinco años) de la condena que correspondería con el nuevo código de 1995, dada la operatividad de la redención de penas por el trabajo en el sistema de 1973 (ratio decidendi).</w:t>
      </w:r>
    </w:p>
    <w:p w:rsidR="00D06117" w:rsidRDefault="00D06117" w:rsidP="00D06117">
      <w:pPr>
        <w:pStyle w:val="TextoNormal"/>
      </w:pPr>
    </w:p>
    <w:p w:rsidR="00D06117" w:rsidRDefault="00D06117" w:rsidP="00D06117">
      <w:pPr>
        <w:pStyle w:val="TextoNormal"/>
      </w:pPr>
      <w:r>
        <w:t xml:space="preserve">El formalista proceder de la argumentación de que hace gala nuestra Sentencia, pese a la estimación del recurso por la circunstancia indicada, deja en la penumbra la realidad jurídica incontestable antes relatada: la aplicación general de las reglas del art. 100 para el cómputo del tiempo de pena cumplida, sin excepción alguna en las previsiones del sistema penal enmarcado en la vigencia del código de 1973. En efecto, la Sentencia fija la ratio decidendi </w:t>
      </w:r>
      <w:r>
        <w:lastRenderedPageBreak/>
        <w:t>en la simple constatación de la existencia o no de una mención explícita al art. 100 en las resoluciones que se refieren a la pena a cumplir. Con ello elude el problema principal de legalidad (art. 25.1 CE), y además, desde la propia perspectiva de la intangibilidad, desconoce la omnipresencia de evidencias jurídicas y fácticas sobre la aplicación del art. 100, sin excepciones, en relación al art. 70.2, e ignora la necesaria diferenciación conceptual entre la duración nominal de la pena y la duración real de la misma, con trascendentales consecuencias en el derecho a la libertad personal (art. 17 CE).</w:t>
      </w:r>
    </w:p>
    <w:p w:rsidR="00D06117" w:rsidRDefault="00D06117" w:rsidP="00D06117">
      <w:pPr>
        <w:pStyle w:val="TextoNormal"/>
      </w:pPr>
    </w:p>
    <w:p w:rsidR="00D06117" w:rsidRDefault="00D06117" w:rsidP="00D06117">
      <w:pPr>
        <w:pStyle w:val="TextoNormal"/>
      </w:pPr>
      <w:r>
        <w:t>7. El conjunto de los razonamientos expuestos conduce, a mi juicio, de forma patente, a concluir que la interpretación aplicada por remisión a la doctrina sentada en la STS 197/2006 puede calificarse de imprevisible porque adiciona al tenor literal de la ley una exigencia no incluida en ella, como es la de que el cumplimiento de la condena deba realizarse en toda su extensión “en un centro penitenciario”, excluyendo con ello la regla general del Código penal de 1973 de redención de penas por trabajo. Asimismo, resulta incoherente en el contexto del sistema normativo del Código penal de 1973 y aboca a resultados incongruentes en la selección de la norma aplicable. A ello se une que la fundamentación material aducida en apoyo del cambio de criterio, aunque resulte más ajustada a criterios de justicia material y de técnica legal, no se cohonesta con las premisas político-criminales que inspiraban la redención de penas por trabajo y las pautas sistemáticas y técnicas del aquel Código penal ya derogado, que es el aplicado al supuesto que motiva este recurso de amparo.</w:t>
      </w:r>
    </w:p>
    <w:p w:rsidR="00D06117" w:rsidRDefault="00D06117" w:rsidP="00D06117">
      <w:pPr>
        <w:pStyle w:val="TextoNormal"/>
      </w:pPr>
    </w:p>
    <w:p w:rsidR="00D06117" w:rsidRDefault="00D06117" w:rsidP="00D06117">
      <w:pPr>
        <w:pStyle w:val="TextoNormal"/>
      </w:pPr>
      <w:r>
        <w:t>Por ello, considero que la estimación del presente recurso de amparo debiera haberse asentado fundamentalmente en la vulneración del art. 25.1 CE y del art. 17.1 CE, aun cuando concurra en este caso también la vulneración del art. 24.1 CE como ya ha sido apreciado en la Sentencia.</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3" w:name="SENTENCIA_2012_40"/>
      <w:r>
        <w:lastRenderedPageBreak/>
        <w:t>SENTENCIA 40/2012, de 29 de marzo de 2012</w:t>
      </w:r>
    </w:p>
    <w:bookmarkEnd w:id="4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ECLI:ES:TC:2012:40</w:t>
      </w:r>
    </w:p>
    <w:p w:rsidR="00D06117" w:rsidRDefault="00D06117" w:rsidP="00D06117">
      <w:pPr>
        <w:pStyle w:val="SntesisDescriptiva"/>
      </w:pPr>
    </w:p>
    <w:p w:rsidR="00D06117" w:rsidRDefault="00D06117" w:rsidP="00D06117">
      <w:pPr>
        <w:pStyle w:val="SntesisDescriptiva"/>
      </w:pPr>
      <w:r>
        <w:t>Recurso de amparo 5560-2006. Promovido por don Joseba Koldobika Artola Ibarretxe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10].</w:t>
      </w:r>
    </w:p>
    <w:p w:rsidR="00D06117" w:rsidRDefault="00D06117" w:rsidP="00D06117">
      <w:pPr>
        <w:pStyle w:val="Extracto"/>
      </w:pPr>
    </w:p>
    <w:p w:rsidR="00D06117" w:rsidRDefault="00D06117" w:rsidP="00D06117">
      <w:pPr>
        <w:pStyle w:val="Extracto"/>
      </w:pPr>
      <w:r>
        <w:t>2.</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11].</w:t>
      </w:r>
    </w:p>
    <w:p w:rsidR="00D06117" w:rsidRDefault="00D06117" w:rsidP="00D06117">
      <w:pPr>
        <w:pStyle w:val="Extracto"/>
      </w:pPr>
    </w:p>
    <w:p w:rsidR="00D06117" w:rsidRDefault="00D06117" w:rsidP="00D06117">
      <w:pPr>
        <w:pStyle w:val="Extracto"/>
      </w:pPr>
      <w:r>
        <w:t>3.</w:t>
      </w:r>
      <w:r>
        <w:tab/>
        <w:t>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y su evolución muestren que se hallan en condiciones de rehacer su vida en libertad [FJ 11].</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6].</w:t>
      </w:r>
    </w:p>
    <w:p w:rsidR="00D06117" w:rsidRDefault="00D06117" w:rsidP="00D06117">
      <w:pPr>
        <w:pStyle w:val="Extracto"/>
      </w:pPr>
    </w:p>
    <w:p w:rsidR="00D06117" w:rsidRDefault="00D06117" w:rsidP="00D06117">
      <w:pPr>
        <w:pStyle w:val="Extracto"/>
      </w:pPr>
      <w:r>
        <w:lastRenderedPageBreak/>
        <w:t>5.</w:t>
      </w:r>
      <w:r>
        <w:tab/>
        <w:t>No se ha vulnerado el derecho a la legalidad de las infracciones y sanciones  por aplicación retroactiva del art. 78 CP 1995, pues la prohibición de retroactividad de la ley penal desfavorable consagrada en el art. 25.1 CE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6].</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6].</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7].</w:t>
      </w:r>
    </w:p>
    <w:p w:rsidR="00D06117" w:rsidRDefault="00D06117" w:rsidP="00D06117">
      <w:pPr>
        <w:pStyle w:val="Extracto"/>
      </w:pPr>
    </w:p>
    <w:p w:rsidR="00D06117" w:rsidRDefault="00D06117" w:rsidP="00D06117">
      <w:pPr>
        <w:pStyle w:val="Extracto"/>
      </w:pPr>
      <w:r>
        <w:t>8.</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7].</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7].</w:t>
      </w:r>
    </w:p>
    <w:p w:rsidR="00D06117" w:rsidRDefault="00D06117" w:rsidP="00D06117">
      <w:pPr>
        <w:pStyle w:val="Extracto"/>
      </w:pPr>
    </w:p>
    <w:p w:rsidR="00D06117" w:rsidRDefault="00D06117" w:rsidP="00D06117">
      <w:pPr>
        <w:pStyle w:val="Extracto"/>
      </w:pPr>
      <w:r>
        <w:t>10.</w:t>
      </w:r>
      <w:r>
        <w:tab/>
        <w:t>El principio de seguridad jurídica consagrado en el art. 9.3 CE y el derecho a la tutela judicial efectiva –</w:t>
      </w:r>
      <w:r w:rsidRPr="00D06117">
        <w:rPr>
          <w:i/>
        </w:rPr>
        <w:t>ex</w:t>
      </w:r>
      <w:r>
        <w:t xml:space="preserve"> art. 24.1 CE– impiden a los Jueces y Tribunales, fuera de los casos expresamente previstos en la ley, revisar el juicio efectuado en un caso concreto, incluso si entendieran con posterioridad que la decisión no se ajusta a la legalidad (SSTC 219/2000, 62/2010) [FJ 8].</w:t>
      </w:r>
    </w:p>
    <w:p w:rsidR="00D06117" w:rsidRDefault="00D06117" w:rsidP="00D06117">
      <w:pPr>
        <w:pStyle w:val="Extracto"/>
      </w:pPr>
    </w:p>
    <w:p w:rsidR="00D06117" w:rsidRDefault="00D06117" w:rsidP="00D06117">
      <w:pPr>
        <w:pStyle w:val="Extracto"/>
      </w:pPr>
      <w:r>
        <w:t>11.</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w:t>
      </w:r>
      <w:r>
        <w:lastRenderedPageBreak/>
        <w:t>sobre los que, aun no constituyendo el objeto mismo del proceso, resultan relevantes para la decisión adoptada (SSTC 15/2006, 62/2010) [FJ 8].</w:t>
      </w:r>
    </w:p>
    <w:p w:rsidR="00D06117" w:rsidRDefault="00D06117" w:rsidP="00D06117">
      <w:pPr>
        <w:pStyle w:val="Extracto"/>
      </w:pPr>
    </w:p>
    <w:p w:rsidR="00D06117" w:rsidRDefault="00D06117" w:rsidP="00D06117">
      <w:pPr>
        <w:pStyle w:val="Extracto"/>
      </w:pPr>
      <w:r>
        <w:t>12.</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8].</w:t>
      </w:r>
    </w:p>
    <w:p w:rsidR="00D06117" w:rsidRDefault="00D06117" w:rsidP="00D06117">
      <w:pPr>
        <w:pStyle w:val="Extracto"/>
      </w:pPr>
    </w:p>
    <w:p w:rsidR="00D06117" w:rsidRDefault="00D06117" w:rsidP="00D06117">
      <w:pPr>
        <w:pStyle w:val="Extracto"/>
      </w:pPr>
      <w:r>
        <w:t>13.</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8].</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4].</w:t>
      </w:r>
    </w:p>
    <w:p w:rsidR="00D06117" w:rsidRDefault="00D06117" w:rsidP="00D06117">
      <w:pPr>
        <w:pStyle w:val="Extracto"/>
      </w:pPr>
    </w:p>
    <w:p w:rsidR="00D06117" w:rsidRDefault="00D06117" w:rsidP="00D06117">
      <w:pPr>
        <w:pStyle w:val="Extracto"/>
      </w:pPr>
      <w:r>
        <w:t>15.</w:t>
      </w:r>
      <w:r>
        <w:tab/>
        <w:t>Mediante las alegaciones formuladas en la vía judicial se ha de poner en conocimiento del órgano judicial el hecho fundamentador de la vulneración, de modo que la pretensión deducida en amparo no tenga un contenido distinto a la que se hizo valer ante los órganos judiciales evitando así que el recurso de amparo se convierta en un remedio alternativo e independiente de protección de los derechos fundamentales (SSTC 201/2000, 29/2004) [FJ 3].</w:t>
      </w:r>
    </w:p>
    <w:p w:rsidR="00D06117" w:rsidRDefault="00D06117" w:rsidP="00D06117">
      <w:pPr>
        <w:pStyle w:val="Extracto"/>
      </w:pPr>
    </w:p>
    <w:p w:rsidR="00D06117" w:rsidRDefault="00D06117" w:rsidP="00D06117">
      <w:pPr>
        <w:pStyle w:val="Extracto"/>
      </w:pPr>
      <w:r>
        <w:t>16.</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5560-2006, promovido por don Joseba Koldobika Artola Ibarretxe, representado por el Procurador de los Tribunales don José Javier Cuevas Rivas y asistido por el Letrado don Iñaki Goioaga Llano, contra el Auto de la Sala de lo Penal de la Audiencia Nacional de 18 de abril de 2006, que desestima sendos recursos de súplica interpuestos contra las providencias de la misma Sala de 16 y 31 de marzo de 2006 que deniegan el licenciamiento propuesto por el centro penitenciario y le requieren para que elabore nueva liquidación conforme a cierto criterio. Ha sido parte el Abogado del Estado. Ha intervenido el Ministerio Fiscal.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22 de mayo de 2006, don José Javier Cuevas Rivas, Procurador de los Tribunales, y de don Joseba Koldobika Artola Ibarretxe,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 xml:space="preserve">a) El recurrente fue condenado por la Sala de lo Penal de la Audiencia Nacional, Sección Primera, en las causas 70-1986, 4-1987 y 133-1981 del Juzgado Central de Instrucción núm. 1; 22-1986 y 65-1985 del Juzgado Central de Instrucción núm. 2; 60-1985, 1-1986, 62-1985 y 72-1987 del Juzgado Central de Instrucción núm. 4; 58-1986, 67-1986 y 54-1987 del Juzgado Central de Instrucción núm. 5. Dicho órgano judicial, mediante Auto de 23 de octubre de 1996 (rollo de Sala 70-1986, sumario 70-1986 del Juzgado Central de Instrucción núm. 1 Sección Primera), afirmó que “los delitos cometidos por el penado presentan entre sí clara conexión jurídica y cronológica de hubiera permitido enjuiciarlos en un solo proceso …, por lo que, de conformidad con lo establecido en el art. 988 LECrim en relación con lo dispuesto por la Regla 2ª del art. 70 del Código Penal vigente en el momento de la comisión de los hechos, es procedente acumular las condenas impuestas a dicho penado … y fijar el máximo de la condena total en las mencionadas causas en treinta años de privación de libertad”, y mediante Auto de 9 de abril de 1997 que “no procede modificar la pena impuesta al penado, pues el límite máximo de cumplimiento de los 30 años establecido resulta igualmente aplicable a tenor del art. 76.1 b) del nuevo Código Penal”. En consecuencia de todo ello, se practicó liquidación de condena de fecha 9 de junio de 1997 en virtud de la que “por aplicación de la Regla 2ª del art. 70 del Código Penal vigente en el momento de la comisión </w:t>
      </w:r>
      <w:r>
        <w:lastRenderedPageBreak/>
        <w:t>de los hechos cumplirá un máximo de 30 años, los que empezados a cumplir el día diecinueve de junio de mil novecientos ochenta y seis (19.06.86), los dejará cumplidos el día diez de junio del año dos mil dieciséis (10.06.2016)”.</w:t>
      </w:r>
    </w:p>
    <w:p w:rsidR="00D06117" w:rsidRDefault="00D06117" w:rsidP="00D06117">
      <w:pPr>
        <w:pStyle w:val="TextoNormal"/>
      </w:pPr>
    </w:p>
    <w:p w:rsidR="00D06117" w:rsidRDefault="00D06117" w:rsidP="00D06117">
      <w:pPr>
        <w:pStyle w:val="TextoNormal"/>
      </w:pPr>
      <w:r>
        <w:t>b) En la providencia de 16 de marzo de 2006 de la Sección Primera de la Sala de lo Penal de la Audiencia Nacional se lee “[D]iríjase oficio al Centro Penitenciario de Mansilla de las Mulas (León) para que por el mismo se proceda respecto del penado Joseba Koldobika Artola Ibarretxe a elaborar nueva hoja de cálculo de condena conforme a la doctrina sentada por el Tribunal Supremo en su sentencia de 28 de febrero de 2006 … transcríbanse en el oficio los siguientes párrafos tomados literalmente de la sentencia del Tribunal Supremo: ‘la forma de cumplimiento de la condena total, será de la manera siguiente: se principiará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del Código penal de 1973. Llegados a este estadio, se producirá la extinción de todas las penas comprendidas en la condena total resultante.’”. Contra esta resolución se interpuso recurso de súplica porque “se vulneran principios tan fundamentales como el principio de seguridad jurídica, a la libertad, principio de legalidad, la irretroactividad de las normas, derecho a la igualdad, la intangibilidad de las resoluciones judiciales en relación con el derecho a la tutela judicial efectiva, establecidos en la Constitución española [(art. 9.3, 14, 17, 24.1 y 25.2 y 2 del texto (sic)]”.</w:t>
      </w:r>
    </w:p>
    <w:p w:rsidR="00D06117" w:rsidRDefault="00D06117" w:rsidP="00D06117">
      <w:pPr>
        <w:pStyle w:val="TextoNormal"/>
      </w:pPr>
    </w:p>
    <w:p w:rsidR="00D06117" w:rsidRDefault="00D06117" w:rsidP="00D06117">
      <w:pPr>
        <w:pStyle w:val="TextoNormal"/>
      </w:pPr>
      <w:r>
        <w:t>Recibida comunicación de 15 de marzo de 2006 del centro penitenciario de Mansilla de las Mulas (León) proponiendo el licenciamiento definitivo para el 18 de mayo de 2006, dicho órgano judicial dictó providencia de 31 de marzo de 2006 acordando “que no ha lugar al licenciamiento definitivo solicitado para el día 18-5-2006, debiendo estarse a la fecha que resulta de la liquidación de condena practicada el 9-6-1997 (folio Núm 258 de la Ejecutoria) de la que resulta que el mencionado penado extinguirá la pena el 10-6-2006, si no hubiere modificación o cambio futuro”. Contra esta segunda providencia se interpuso nuevo recurso de súplica sustentado en las mismas razones. En fin, el Auto de 18 de abril de 2006, contra el que se deduce directamente este recurso de amparo, confirma las providencias de 16 y 31 de marzo de 2006 argumentando que “la providencia de fecha 16-3-06 es una mera ejecución de lo acordado por la Sala Segunda del Tribunal Supremo en su sentencia de 28 de Febrero de 2006, y la providencia de fecha 31-3-06 es una consecuencia de la de 16-3-06”.</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00D06117" w:rsidRDefault="00D06117" w:rsidP="00D06117">
      <w:pPr>
        <w:pStyle w:val="TextoNormal"/>
      </w:pPr>
    </w:p>
    <w:p w:rsidR="00D06117" w:rsidRDefault="00D06117" w:rsidP="00D06117">
      <w:pPr>
        <w:pStyle w:val="TextoNormal"/>
      </w:pPr>
      <w:r>
        <w:t xml:space="preserve">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123/2005 y 11/1987, expone la demanda que la Audiencia Nacional, en la providencia de 16 de marzo de 2006, acordó la aplicación de la nueva doctrina del Tribunal Supremo sin dar traslado a la defensa del señor Artola Ibarretxe, pese a que hasta ese momento el criterio aplicado era </w:t>
      </w:r>
      <w:r>
        <w:lastRenderedPageBreak/>
        <w:t>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Entienden además que ello vulnera el principio acusatorio, porque el órgano judicial asume funciones acusatorias constitucionalmente vedadas. Por otra parte, sostiene el recurrente que la Audiencia Nacional, al dictar esa resolución mediante providencia, por entender erróneamente que se trataba de simple ejecución de la Sentencia del Tribunal Supremo de 28 de febrero de 2006 (STS 197/2006) cuando esta resolución sólo es firme para el señor Parot, determina que el único remedio que quepa sea el recurso de súplica ante el mismo órgano judicial, impidiendo el derecho a someter la cuestión ante un órgano superior.</w:t>
      </w:r>
    </w:p>
    <w:p w:rsidR="00D06117" w:rsidRDefault="00D06117" w:rsidP="00D06117">
      <w:pPr>
        <w:pStyle w:val="TextoNormal"/>
      </w:pPr>
    </w:p>
    <w:p w:rsidR="00D06117" w:rsidRDefault="00D06117" w:rsidP="00D06117">
      <w:pPr>
        <w:pStyle w:val="TextoNormal"/>
      </w:pPr>
      <w:r>
        <w:t>En un segundo motivo de amparo, se aduce la vulneración del principio de legalidad (art. 25.1 y 2 CE), en relación con la interpretación de los arts. 70.2 y 100 del Código penal (CP)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 xml:space="preserve">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w:t>
      </w:r>
      <w:r>
        <w:lastRenderedPageBreak/>
        <w:t>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Como cuarto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 xml:space="preserve">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506/1994, 1985/1992,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w:t>
      </w:r>
      <w:r>
        <w:lastRenderedPageBreak/>
        <w:t>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del señor Artola ha cumplido un tiempo de estancia efectiva en prisión al que deberían sumarse las redenciones ordinarias y extraordinarias y licenciarlo cuando el cómputo de ambas llegue a 10.950 días, es decir al máximo de treinta años previsto en el art. 70.2 CP 1973. Sin embargo, las resoluciones recurridas retrasan la puesta en libertad del recurrente hasta el cumplimiento de los treinta años íntegros y, por tanto, violan el art. 17 CE y los arts. 5 y 15.1 del Convenio europeo para la protección de los derechos humanos y de las libertades fundamentales, así como los arts. 9.1 y 5 y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La Sección Tercera, en virtud de providencia de 5 de noviembre de 2007, de conformidad con lo dispuesto en el art. 50.3 de la Ley Orgánica del Tribunal Constitucional (LOTC), en su redacción anterior a la aprobada por Ley Orgánica 6/2007, de 24 de mayo, y en la disposición transitoria tercera de la misma, acordó conceder a la parte demandante y al Ministerio Fiscal el plazo común de diez días para que formulasen alegaciones en relación con lo dispuesto en el art. 50.1 LOTC, evacuando el trámite en sendos escritos registrados en este Tribunal el 27 de noviembre y el 4 de diciembre de 2007, en los que solicitan la admisión de presente recurso.</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5 de febrero de 2008, la Sala Segunda de este Tribunal acordó la admisión a trámite de la demanda así como, a tenor de lo establecido en el art. 51 LOTC, requerir atentamente a la Sección Primera de la Sala de lo Penal de la Audiencia Nacional para que remitiera testimonio de las actuaciones correspondientes a la ejecutoria 70-1986, interesando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Mediante escrito registrado el 14 de febrero de 2008 se personó el Abogado del Estado en la representación que ostenta. A través de una diligencia de ordenación de 11 de junio de 2008 se acordó dar vista de las actuaciones a las partes personadas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demandante de amparo formuló sus alegaciones mediante escrito que tuvo su entrada en el Registro General de este Tribunal el día 16 de julio de 2008, en el que sustancialmente reproduce los argumentos ya expuestos en la demanda. Añade, en relación con el quinto motivo de amparo, la referencia al caso de otro condenado en el mismo procedimiento y al que no le fue aplicada la doctrina establecida en la STS 197/2006, de modo que ya ha sido puesto en libertad.</w:t>
      </w:r>
    </w:p>
    <w:p w:rsidR="00D06117" w:rsidRDefault="00D06117" w:rsidP="00D06117">
      <w:pPr>
        <w:pStyle w:val="TextoNormal"/>
      </w:pPr>
    </w:p>
    <w:p w:rsidR="00D06117" w:rsidRDefault="00D06117" w:rsidP="00D06117">
      <w:pPr>
        <w:pStyle w:val="TextoNormal"/>
      </w:pPr>
      <w:r w:rsidRPr="00D06117">
        <w:rPr>
          <w:rStyle w:val="NumeroAFNegritaCaracter"/>
        </w:rPr>
        <w:t>8</w:t>
      </w:r>
      <w:r>
        <w:t>. El Abogado del Estado formuló sus alegaciones en escrito que lleva sello de entrada de 18 de julio de 2008. Sostiene que el primer motivo de amparo es inadmisible con arreglo al art. 44.1 c) LOTC porque no puede entenderse que quedara planteado en los recursos de súplica, y subsidiariamente solicita su desestimación dado que en un asunto como éste, en el que ya ha recaído Sentencia condenatoria “nada tiene que hacer el derecho a ser informado de la acusación ni el principio acusatorio” y, por lo que hace al derecho de audiencia asistido de Letrado, dado que “el condenado pudo exponer en sus recursos de súplica —firmados por Letrado— cuantas alegaciones estimó oportunas, que de esta manera fueron conocidas y examinadas por la Sala”. En fin, “no se entiende la queja por la privación del derecho a la mal llamada ‘segunda instancia’ cuando no se ha intentado recurrir en casación el Auto de 18 de abril de 2006”.</w:t>
      </w:r>
    </w:p>
    <w:p w:rsidR="00D06117" w:rsidRDefault="00D06117" w:rsidP="00D06117">
      <w:pPr>
        <w:pStyle w:val="TextoNormal"/>
      </w:pPr>
    </w:p>
    <w:p w:rsidR="00D06117" w:rsidRDefault="00D06117" w:rsidP="00D06117">
      <w:pPr>
        <w:pStyle w:val="TextoNormal"/>
      </w:pPr>
      <w:r>
        <w:t>El segundo motivo de amparo, alega el Abogado del Estado, es también inadmisible con arreglo al art. 44.1 c) LOTC porque nada hay en los recursos de súplica que pueda estimarse que lo plantea siquiera en esbozo, y subsidiariamente solicita su desestimación dado que las garantías del art. 25.1 CE llegan hasta el momento de la condena, no se proyectan sobre cómo deban cumplirse sucesivamente las penas y aplicarse el límite máximo legal de cumplimiento. Además, en la hipótesis contraria la interpretación razonada en la STS 197/2006, lejos de ser ilógica, extravagante o contravenir los valores axiológicos o la orientación material de precepto constitucional alguno, “pretende corregir una orientación interpretativa que, con excesiva benignidad para el delincuente y poca consideración de las víctimas, propendía a establecer un principio de impunidad para los grandes delincuentes, entendiendo por tales los que han sido condenados por una pluralidad de delitos, e incluso contradecía el valor de justicia (art. 1.1 CE), al igualar, ‘concediéndose el mismo trato punitivo, al autor de un solo delito que al seriado criminal’”.</w:t>
      </w:r>
    </w:p>
    <w:p w:rsidR="00D06117" w:rsidRDefault="00D06117" w:rsidP="00D06117">
      <w:pPr>
        <w:pStyle w:val="TextoNormal"/>
      </w:pPr>
    </w:p>
    <w:p w:rsidR="00D06117" w:rsidRDefault="00D06117" w:rsidP="00D06117">
      <w:pPr>
        <w:pStyle w:val="TextoNormal"/>
      </w:pPr>
      <w:r>
        <w:t xml:space="preserve">Según el Abogado del Estado, la queja de que este criterio jurisprudencial le causa indefensión e inseguridad jurídica no fue planteada en vía judicial, luego es inadmisible [art. 44.1 c) LOTC], y subsidiariamente debe desestimarse porque “la propia parte admite que los reconocimientos jurisdiccionales del beneficio penitenciario quedan intactos. Lo único que ocurre es que las redenciones reconocidas no se aplican sobre una ficticia pena única de treinta años, sino sobre cada una de las que sucesivamente se cumplan hasta extinguirlas, comenzando por la más grave”. También solicita la desestimación del cuarto motivo de amparo dado que “la STS de 28 de febrero de 2006 y los dos autos (sic) aquí recurridos no </w:t>
      </w:r>
      <w:r>
        <w:lastRenderedPageBreak/>
        <w:t>aplican —ni patente ni encubiertamente— el art. 78 CP 1995 sino el art. 73 CP 1973 al que, eso sí, dan una nueva interpretación”. Y a continuación razona que “el auténtico problema constitucional que en este asunto se suscita es, simplemente, si resulta conforme con la Constitución (y especialmente con su art. 25.1 CE) un cambio de jurisprudencia sobre el modo de cumplir las penas y su límite máximo que, siendo menos favorable para el reo, se pretende aplicar a quienes estaban ya expiándolas. Es claro que, en sus términos literales, tanto el art. 9.3 CE como el art. 25.1 CE solo garantizan la irretroactividad de las normas legales y reglamentarias, pues el art. 9.3 CE habla de ‘disposiciones’ y el 25.1 de ‘legislación vigente’. Ambos preceptos constitucionales recogen una garantía contra el legislador y el titular de la potestad reglamentaria o, si se prefiere, una garantía frente a la actividad nomotética en sentido genuino. Queda fuera de la mencionada garantía constitucional el campo de lo que en la literatura jurídica alemana suele llamarse Richterrecht, o más exactamente, el margen de creación judicial por vía interpretativa que el marco textual de las normas legales o reglamentarias permite”.</w:t>
      </w:r>
    </w:p>
    <w:p w:rsidR="00D06117" w:rsidRDefault="00D06117" w:rsidP="00D06117">
      <w:pPr>
        <w:pStyle w:val="TextoNormal"/>
      </w:pPr>
    </w:p>
    <w:p w:rsidR="00D06117" w:rsidRDefault="00D06117" w:rsidP="00D06117">
      <w:pPr>
        <w:pStyle w:val="TextoNormal"/>
      </w:pPr>
      <w:r>
        <w:t>Respecto del quinto motivo de amparo, el Abogado del Estado comienza diciendo que “[e]n este asunto no se enjuicia la STS de 28 de febrero de 2006, sino dos providencias y un auto de la Sección Primera de la Sala de lo Penal de la Audiencia Nacional. No podemos, por consiguiente, entrar a examinar si el supuesto apartamiento de sus precedentes emprendido por la Sala Segunda del Tribunal Supremo respeta o no el art. 14 CE”. No obstante ello, razonando en cuanto al fondo de la queja sostiene que el cambio de criterio tiene vocación de generalidad, no pudiendo decirse que se trate de una respuesta ad personam. En fin, “el término de comparación ofrecido por el actor (interno Echevarría González) no es adecuado, porque ni está probada la identidad de circunstancias, ni la identidad del órgano decisor. Por otro lado, el licenciamiento definitivo de este penado tuvo lugar el 25 de marzo de 2005, es decir, antes de que la Sala Segunda del Tribunal Supremo estableciera su nueva doctrina y antes de que la Sección 3ª (sic) de la Sala de lo Penal de la Audiencia Nacional la recibiera e hiciera suya”.</w:t>
      </w:r>
    </w:p>
    <w:p w:rsidR="00D06117" w:rsidRDefault="00D06117" w:rsidP="00D06117">
      <w:pPr>
        <w:pStyle w:val="TextoNormal"/>
      </w:pPr>
    </w:p>
    <w:p w:rsidR="00D06117" w:rsidRDefault="00D06117" w:rsidP="00D06117">
      <w:pPr>
        <w:pStyle w:val="TextoNormal"/>
      </w:pPr>
      <w:r>
        <w:t>Tampoco resulta lesionado el derecho a la libertad (art. 17 CE) porque “tanto con la antigua como con la nueva doctrina hay acortamiento de la suma de penas merecidas e impuestas que deben cumplirse hasta el límite legal, aunque en un caso ese acortamiento sea mayor y en otro menor” y mucho menos violación del art. 25.2 CE, pues la reeducación y reinserción social en él contenidas son mandatos al legislador, no derechos fundamentales, y además no es la única finalidad de las penas privativas de libertad, ni siquiera puede entenderse que este precepto le atribuya una primacía incondicionada sobre otras.</w:t>
      </w:r>
    </w:p>
    <w:p w:rsidR="00D06117" w:rsidRDefault="00D06117" w:rsidP="00D06117">
      <w:pPr>
        <w:pStyle w:val="TextoNormal"/>
      </w:pPr>
    </w:p>
    <w:p w:rsidR="00D06117" w:rsidRDefault="00D06117" w:rsidP="00D06117">
      <w:pPr>
        <w:pStyle w:val="TextoNormal"/>
      </w:pPr>
      <w:r w:rsidRPr="00D06117">
        <w:rPr>
          <w:rStyle w:val="NumeroAFNegritaCaracter"/>
        </w:rPr>
        <w:t>9</w:t>
      </w:r>
      <w:r>
        <w:t>. El día 23 de julio de 2008 presentó sus alegaciones el Ministerio Fiscal, interesando la estimación del amparo solicitado y la anulación de las resoluciones recurridas, por entender que éstas han vulnerado los derechos fundamentales de ejecución de las resoluciones judiciales en sus propios términos (art. 24.1 CE), legalidad penal (art. 25.1 CE), y de libertad personal (art. 17 CE), a los que hace referencia la demanda de amparo.</w:t>
      </w:r>
    </w:p>
    <w:p w:rsidR="00D06117" w:rsidRDefault="00D06117" w:rsidP="00D06117">
      <w:pPr>
        <w:pStyle w:val="TextoNormal"/>
      </w:pPr>
    </w:p>
    <w:p w:rsidR="00D06117" w:rsidRDefault="00D06117" w:rsidP="00D06117">
      <w:pPr>
        <w:pStyle w:val="TextoNormal"/>
      </w:pPr>
      <w:r>
        <w:t xml:space="preserve">El Ministerio Fiscal considera que procede ordenar de modo distinto al propuesto en la demanda los motivos de amparo. Es por ello que comienza por el examen del séptimo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w:t>
      </w:r>
      <w:r>
        <w:lastRenderedPageBreak/>
        <w:t>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t>A continuación, el Ministerio Fiscal analiza —para rechazarlo— el primero de los motivos de amparo recogidos en la demanda. Sostiene que carece manifiestamente de fundamento desde el momento en que, por dos ocasiones, la representación del actor ha hecho uso efectivo de este derecho a ser oído, en concreto, cuando interpuso recurso de súplica contra la providencia de 16 de marzo de 2006 y, posteriormente, cuando volvió a formular recurso de súplica contra la providencia de 31 de marzo de 2006, formulando en ambas ocasiones las alegaciones que tuvo por conveniente. Por lo que se refiere a la segunda queja que el recurrente articula en torno de este motivo —la eventual vulneración del derecho de acceso al recurso— considera que tal queja no puede prosperar desde el momento en que el acceso a la casación está vedado por la norma procesal (art. 236 de la Ley de enjuiciamiento criminal) que impide interponer recurso de casación contra una providencia y no, como pretende el recurrente, por el órgano judicial. Por tanto, la alegada inexistencia de recurso es imputable al legislador, pero no causa la lesión invocada pues la referencia al art. 15 PDCIP no está bien formulada, por cuanto este artículo se refiere al derecho al recurso frente a resoluciones judiciales definitivas que hayan enjuiciado un hecho, lo hayan calificado como delito y hayan impuesto al acusado una determinada pena, dándose la circunstancia de que en el presente caso nos hallamos en el ámbito de la ejecución de una condena ya establecida.</w:t>
      </w:r>
    </w:p>
    <w:p w:rsidR="00D06117" w:rsidRDefault="00D06117" w:rsidP="00D06117">
      <w:pPr>
        <w:pStyle w:val="TextoNormal"/>
      </w:pPr>
    </w:p>
    <w:p w:rsidR="00D06117" w:rsidRDefault="00D06117" w:rsidP="00D06117">
      <w:pPr>
        <w:pStyle w:val="TextoNormal"/>
      </w:pPr>
      <w:r>
        <w:t>Por lo que respecta al cuarto de los motivos de amparo, en el que se alega vulneración del art. 25.1 CE por aplicación retroactiva de normas desfavorables, sostiene el Ministerio Fiscal que —frente a lo afirmado en la demanda— no nos encontramos ante un supuesto de aplicación retroactiva del art. 78 CP 1995, sino ante un cambio de criterio jurisprudencial en la interpretación del art. 70.2 CP vigente al tiempo de comisión de los hechos, siendo este último precepto el que se ha aplicado en todo momento.</w:t>
      </w:r>
    </w:p>
    <w:p w:rsidR="00D06117" w:rsidRDefault="00D06117" w:rsidP="00D06117">
      <w:pPr>
        <w:pStyle w:val="TextoNormal"/>
      </w:pPr>
    </w:p>
    <w:p w:rsidR="00D06117" w:rsidRDefault="00D06117" w:rsidP="00D06117">
      <w:pPr>
        <w:pStyle w:val="TextoNormal"/>
      </w:pPr>
      <w:r>
        <w:t>Finalmente, el Ministerio Fiscal rechaza también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el cambio de criterio se fundamenta razonablemente en la Sentencia de la Sala Segunda del Tribunal Supremo y tiene vocación de generalidad y permanencia, por lo que satisface las exigencias de la jurisprudencia constitucional.</w:t>
      </w:r>
    </w:p>
    <w:p w:rsidR="00D06117" w:rsidRDefault="00D06117" w:rsidP="00D06117">
      <w:pPr>
        <w:pStyle w:val="TextoNormal"/>
      </w:pPr>
    </w:p>
    <w:p w:rsidR="00D06117" w:rsidRDefault="00D06117" w:rsidP="00D06117">
      <w:pPr>
        <w:pStyle w:val="TextoNormal"/>
      </w:pPr>
      <w:r>
        <w:t>A continuación, el Ministerio Fiscal considera conjuntamente los motivos enunciados en la demanda como segundo, tercero y sexto para concluir que “[l]a consecuencia de todo ello es la estimación del amparo por todas esas vulneraciones, derecho a la intangibilidad de las resoluciones judiciales (art. 24.1 CE), legalidad penal en relación con la irretroactividad de lo desfavorable para el reo (art. 25.1 en relación con el art. 9.3 CE) y el derecho a la libertad personal”.</w:t>
      </w:r>
    </w:p>
    <w:p w:rsidR="00D06117" w:rsidRDefault="00D06117" w:rsidP="00D06117">
      <w:pPr>
        <w:pStyle w:val="TextoNormal"/>
      </w:pPr>
    </w:p>
    <w:p w:rsidR="00D06117" w:rsidRDefault="00D06117" w:rsidP="00D06117">
      <w:pPr>
        <w:pStyle w:val="TextoNormal"/>
      </w:pPr>
      <w:r>
        <w:lastRenderedPageBreak/>
        <w:t>Argumenta en concreto que “[a] priori no entendemos como de recibo que establecidos unos criterios de interpretación normativa para fijar la refundición de condena (Auto de 23 de octubre de 1996) y establecidos ellos en resolución judicial, pudieran variarse en virtud de una posterior resolución, en este caso de la Sala Segunda del Tribunal Supremo, que interpreta de otra manera las normas atinentes, como lo hacen las resoluciones judiciales ahora recurridas en amparo. Criterio que fue ratificado por el Auto de fecha 9 de abril de 1997 que acordó no modificar la pena impuesta al reo por la concurrencia del nuevo CP 1995 que no le resultaba más beneficioso”. Según el Fiscal, “ello comporta la vulneración del derecho a la intangibilidad de las resoluciones judiciales ex art. 24.1 CE (por todas, STC 209/2005, de 4 de julio), que ciertamente no ha sido enumerado como tal entre todos los motivos de amparo de este recurso, pero que de alguna manera se desprende cuando se argumenta el derecho a la tutela judicial efectiva”.</w:t>
      </w:r>
    </w:p>
    <w:p w:rsidR="00D06117" w:rsidRDefault="00D06117" w:rsidP="00D06117">
      <w:pPr>
        <w:pStyle w:val="TextoNormal"/>
      </w:pPr>
    </w:p>
    <w:p w:rsidR="00D06117" w:rsidRDefault="00D06117" w:rsidP="00D06117">
      <w:pPr>
        <w:pStyle w:val="TextoNormal"/>
      </w:pPr>
      <w:r>
        <w:t>Por lo demás, a su juicio, este “derecho fundamental tiene engarce con el principio de legalidad (art. 25.1 CE) en relación con la prohibición de retroactividad de las normas penales perjudiciales para el reo (art. 9.3 CE, por todas 223/1997 y STEDH Streletz, Kessler, y Krenz c. Alemania de 22 de marzo de 2001), ya que las garantías de legalidad y seguridad jurídica que exigen ambos preceptos constitucionales deben extenderse no sólo al enjuiciamiento de los hechos como tipicidad cierta, taxativa y previsible (por todas, SSTC 196/2002, y 111/2004), sino que lo es asimismo para con la ejecución de las penas, integrándose la irretroactividad de las normas, y su interpretación, desfavorables al reo en el complejo de legalidad del art. 25.1 CE (vid. STEDH Puhk c. Estonia de 10 de febrero de 2004).”. En efecto, “en el hecho de autos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desfavorable que supone de facto la creación ex novo de un nuevo marco paranormativo que ha causado una extensión de la fecha de licenciamiento del interno”.</w:t>
      </w:r>
    </w:p>
    <w:p w:rsidR="00D06117" w:rsidRDefault="00D06117" w:rsidP="00D06117">
      <w:pPr>
        <w:pStyle w:val="TextoNormal"/>
      </w:pPr>
    </w:p>
    <w:p w:rsidR="00D06117" w:rsidRDefault="00D06117" w:rsidP="00D06117">
      <w:pPr>
        <w:pStyle w:val="TextoNormal"/>
      </w:pPr>
      <w:r>
        <w:t>En fin, “a estas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fecha 21 de junio de 2011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se dirige contra el Auto de la Sala de lo Penal de la Audiencia Nacional de 18 de abril de 2006, que desestima sendos recursos de súplica interpuestos contra las providencias de la misma Sala de 16 y 31 de marzo de 2006 que deniegan </w:t>
      </w:r>
      <w:r>
        <w:lastRenderedPageBreak/>
        <w:t>el licenciamiento propuesto por el centro penitenciario y le requieren para que elabore nueva liquidación de conformidad con la doctrina sentada por el Tribunal Supremo en la STS 197/2006, de 28 de febrero, según la cual y modificando el criterio de cómputo anteriormente aplicado, se establece que los beneficios penitenciarios y, en concreto, las redenciones de penas por el trabajo, han de computarse sobre cada una de las penas impuestas y no sobre la condena refundida.</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 los derechos fundamentales consagrados en los arts. 24.1, 25.1 y 17.1 CE.</w:t>
      </w:r>
    </w:p>
    <w:p w:rsidR="00D06117" w:rsidRDefault="00D06117" w:rsidP="00D06117">
      <w:pPr>
        <w:pStyle w:val="TextoNormal"/>
      </w:pPr>
    </w:p>
    <w:p w:rsidR="00D06117" w:rsidRDefault="00D06117" w:rsidP="00D06117">
      <w:pPr>
        <w:pStyle w:val="TextoNormal"/>
      </w:pPr>
      <w:r>
        <w:t>El Abogado del Estado interesa que se declaren inadmisibles los motivos de amparo primero, segundo y tercero (por falta de invocación de la queja ante la jurisdicción ordinaria) y se desestime el recurso en todo lo demás. Y, en defecto de todo lo anterior, que se desestime íntegramente el recurso.</w:t>
      </w:r>
    </w:p>
    <w:p w:rsidR="00D06117" w:rsidRDefault="00D06117" w:rsidP="00D06117">
      <w:pPr>
        <w:pStyle w:val="TextoNormal"/>
      </w:pPr>
    </w:p>
    <w:p w:rsidR="00D06117" w:rsidRDefault="00D06117" w:rsidP="00D06117">
      <w:pPr>
        <w:pStyle w:val="TextoNormal"/>
      </w:pPr>
      <w:r w:rsidRPr="00D06117">
        <w:rPr>
          <w:rStyle w:val="NumeroAFNegritaCaracter"/>
        </w:rPr>
        <w:t>2</w:t>
      </w:r>
      <w:r>
        <w:t>. En la primera de las quejas articuladas en la demanda, bajo la invocación de los derechos a la tutela judicial efectiva (art. 24.1 CE) y a un proceso con todas las garantías (art. 24.2 CE), se denuncia sustancialmente la indefensión generada por el hecho de que la primera de las resoluciones recurridas se adoptó sin abrir un trámite de audiencia al condenado, pese a introducir una perspectiva jurídica novedosa en el cómputo de las redenciones de penas por el trabajo que empeoraba la situación del reo. Esta queja —como alega el Abogado del Estado— ha de ser inadmitida, al concurrir respecto de ella el óbice procesal de falta de invocación ante los órganos de la jurisdicción ordinaria [art. 44.1 c) de la Ley Orgánica del Tribunal Constitucional: LOTC]. En efecto, de la mera lectura de los recursos de súplica interpuestos contra las providencias dictadas sin darle audiencia se desprende que el recurrente articuló una serie de motivos de recurso para oponerse a esa nueva perspectiva jurídica en el cómputo de las redenciones (lo que excluiría, como señalan tanto el Abogado del Estado como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No cabe apreciar, por el contrario, el óbice procesal de falta de invocación ante los órganos de la jurisdicción ordinaria de las quejas denunciadas como motivos de amparo segundo [vulneración del principio de legalidad, consagrado en los arts. 25.1 y 2, derivado de la nueva interpretación del cómputo de las redenciones llevada a cabo por el Tribunal Supremo y aplicada al caso, en que las mismas no se descuentan del máximo de cumplimiento de treinta años establecido en el art. 70.2 del Código penal (CP) 1973 frente a lo que había sido la práctica unánime en toda la historia penitenciaria y a lo que los Jueces de vigilancia penitenciaria y el propio Tribunal sentenciador habían venido aplicando en la presente ejecutoria, hasta el punto de que le fue concedida la libertad condicional tras considerar cumplidas las tres cuartas partes de la condena conforme al antiguo cómputo de las redenciones] y tercero (vulneración del derecho a la tutela judicial efectiva en relación con el derecho a la libertad, arts. 24.1 y 17 CE, como consecuencia de la inseguridad jurídica que genera el cambio de criterio, y por entender que las redenciones aprobadas por los Juzgados de Vigilancia Penitenciaria, intangibles y firmes, aplicadas al tope de treinta años como se venía haciendo habrían determinado el licenciamiento definitivo el 14 de junio de 2006, habiéndose generado una expectativa de libertad sobre la base de la actuación de los órganos judiciales y de la Administración penitenciaria; alegaciones en buena medida reiteradas en el sexto motivo de amparo, respecto del que no se opone óbice procesal alguno por parte del Abogado del Estado).</w:t>
      </w:r>
    </w:p>
    <w:p w:rsidR="00D06117" w:rsidRDefault="00D06117" w:rsidP="00D06117">
      <w:pPr>
        <w:pStyle w:val="TextoNormal"/>
      </w:pPr>
    </w:p>
    <w:p w:rsidR="00D06117" w:rsidRDefault="00D06117" w:rsidP="00D06117">
      <w:pPr>
        <w:pStyle w:val="TextoNormal"/>
      </w:pPr>
      <w:r>
        <w:t>En efecto, expresamente en el motivo segundo del primer recurso de súplica y en la segunda alegación del segundo recurso de súplica se denunció tanto la vulneración del principio de legalidad (art. 25.1 y 2 CE), como la vulneración del derecho a la tutela judicial efectiva en su vertiente de intangibilidad (art. 24.1 CE) y del derecho a la libertad (art. 17.1 CE), argumentando sustancialmente que conforme a reiterada doctrina del Tribunal Supremo el límite resultante de la acumulación de condena es una nueva pena a la que deben aplicarse las redenciones; que la nueva doctrina no tenía precedentes; que en aplicación de las redenciones al cómputo de la acumulación de treinta años el recurrente ha estado en libertad condicional; que de la jurisprudencia del Tribunal Supremo se desprende inequívocamente que tal interpretación no resulta posible con el Código penal de 1973, habiendo sido necesario introducir un precepto específico en el Código penal de 1995 (art. 78) sin precedente en el Código penal derogado, y que ello resulta perjudicial para el reo desde la perspectiva de su derecho a la libertad.</w:t>
      </w:r>
    </w:p>
    <w:p w:rsidR="00D06117" w:rsidRDefault="00D06117" w:rsidP="00D06117">
      <w:pPr>
        <w:pStyle w:val="TextoNormal"/>
      </w:pPr>
    </w:p>
    <w:p w:rsidR="00D06117" w:rsidRDefault="00D06117" w:rsidP="00D06117">
      <w:pPr>
        <w:pStyle w:val="TextoNormal"/>
      </w:pPr>
      <w:r>
        <w:t xml:space="preserve">Ciertamente la argumentación de los recursos de súplica no es idéntica a la empleada en el recurso de amparo, pero una coincidencia tal no es exigida por nuestra jurisprudencia. Como recordaba la STC 132/2006, de 27 de abril de 2006, FJ 3, dictada por el Pleno, este Tribunal ha venido aplicando este requisito “con base en un criterio de flexibilidad” y “ha rechazado una interpretación literal o excesivamente rigorista de este requisito. Por ello, hemos declarado que la invocación formal exigida por el art. 44.1 c) LOTC no supone necesaria e inexcusablemente la cita concreta y numérica del precepto de la Constitución en el que se reconoce el derecho supuestamente vulnerado, ni siquiera la mención de su nomen iuris, siendo suficiente que se cumpla la finalidad perseguida con este requisito (STC 203/1988, de 2 de noviembre, FJ 2), lo que significa que se ha de ofrecer base suficiente para que, en la vía judicial, pueda entrarse a conocer de las concretas vulneraciones después aducidas en el recurso de amparo, lo que, al menos, requiere una delimitación del contenido del derecho que se dice vulnerado; esto es, que el tema quede acotado en términos que permitan a los órganos judiciales pronunciarse sobre el mismo (STC 8/1981, de 30 de marzo, </w:t>
      </w:r>
      <w:r>
        <w:lastRenderedPageBreak/>
        <w:t>FJ 1), de forma que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 En definitiva, se ha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w:t>
      </w:r>
    </w:p>
    <w:p w:rsidR="00D06117" w:rsidRDefault="00D06117" w:rsidP="00D06117">
      <w:pPr>
        <w:pStyle w:val="TextoNormal"/>
      </w:pPr>
    </w:p>
    <w:p w:rsidR="00D06117" w:rsidRDefault="00D06117" w:rsidP="00D06117">
      <w:pPr>
        <w:pStyle w:val="TextoNormal"/>
      </w:pPr>
      <w:r>
        <w:t>Pues bien, el contraste de los recursos de súplica y la demanda de amparo permite afirmar sin lugar a dudas que el recurrente suscitó la cuestión ahora planteada en amparo ante los órganos de la jurisdicción ordinaria, ofreciéndoles la oportunidad de entrar a valorarla en Derecho y reparar la vulneración supuestamente cometida. De hecho, y al margen de las quejas articuladas como primer motivo de amparo, en los restantes motivos se denuncia desde diversas perspectivas constitucionales una única cuestión de fondo, esto es, la aplicación al presente caso de un nuevo criterio jurisprudencial en la interpretación de los arts. 70.2 y 100 CP 1973, y concordantes del reglamento penitenciario, en relación con el cómputo de la redención de penas por trabajo, que implica una considerable modificación de la expectativa de libertad del recurrente, generada por la actuación previa de la Administración penitenciaria, los Juzgados de Vigilancia Penitenciaria y el órgano encargado de la ejecución, y que no tenía precedente, cuestión que fue inequívocamente puesta en conocimiento del órgano judicial como hecho fundamentador de la vulneración, de modo que la pretensión deducida en amparo no tiene un contenido distinto al que se hizo valer ante los órganos judiciales. El acierto en el enfoque respecto de cuáles son los derechos fundamentales en juego y cuál ha de ser nuestro canon de enjuiciamiento no es exigible al recurrente para considerar debidamente cumplimentado el requisito de la invocación formal en el proceso, sin caer en una interpretación, sin duda, rigorista del mismo.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Dentro del primero de los motivos de amparo, se aduce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considerando la Audiencia que resultaba de aplicación al caso la nueva doctrina sentada por el Tribunal Supremo en relación con el cómputo de la redención de penas por el trabajo.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civiles y políticos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w:t>
      </w:r>
      <w:r>
        <w:lastRenderedPageBreak/>
        <w:t>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5</w:t>
      </w:r>
      <w:r>
        <w:t>. Despejados tanto los óbices procesales como esta primera queja, en los restantes motivos se denuncia —como ya anticipamos— desde diversas perspectivas constitucionales la cuestión de fondo, esto es, la aplicación al presente caso de un nuevo criterio jurisprudencial en la interpretación de los arts. 70.2 y 100 CP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aplicado hasta ese momento, el recurrente habría extinguido ya su condena y debería haber obtenido la libertad el día 14 de junio 2006 (según se desprende de la propuesta de licenciamiento definitivo enviada inicialmente por el centro penitenciario al órgano judicial), en aplicación del nuevo criterio la pena no se extinguiría hasta el día 19 de septiembre de 2018.</w:t>
      </w:r>
    </w:p>
    <w:p w:rsidR="00D06117" w:rsidRDefault="00D06117" w:rsidP="00D06117">
      <w:pPr>
        <w:pStyle w:val="TextoNormal"/>
      </w:pPr>
    </w:p>
    <w:p w:rsidR="00D06117" w:rsidRDefault="00D06117" w:rsidP="00D06117">
      <w:pPr>
        <w:pStyle w:val="TextoNormal"/>
      </w:pPr>
      <w:r>
        <w:t>El recurrente entiende que de ello se deriva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 CE); y del derecho a la 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197/1996.</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w:t>
      </w:r>
      <w:r>
        <w:lastRenderedPageBreak/>
        <w:t>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w:t>
      </w:r>
      <w:r>
        <w:lastRenderedPageBreak/>
        <w:t>señala el Abogado del Estado, dado que en el presente caso no se impugna la Sentencia del Tribunal Supremo de 28 de febrero de 2006, sino un Auto y dos providencias de la Sección Primera de la Audiencia Nacional, no cabe entrar a examinar en el presente procedimiento si aquella Sentencia del Tribunal Supremo se ha apartado o no de sus precedentes vulnerando el art. 14 CE. Y por lo que respecta a las resoluciones impugnadas, dictadas por la Audiencia Nacional, se limitan a aplicar la doctrina sentada por otro órgano judicial, 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7</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237/1998, de 14 de diciembre, FJ 3;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(entre otras, SSTC 88/1998, de 21 de abril, FJ 3; 204/1999, de 8 de noviembre, FJ 3; 120/2000, de 10 de mayo, FJ 4; ATC 279/2000, de 29 de noviembre, FJ 4).</w:t>
      </w:r>
    </w:p>
    <w:p w:rsidR="00D06117" w:rsidRDefault="00D06117" w:rsidP="00D06117">
      <w:pPr>
        <w:pStyle w:val="TextoNormal"/>
      </w:pPr>
    </w:p>
    <w:p w:rsidR="00D06117" w:rsidRDefault="00D06117" w:rsidP="00D06117">
      <w:pPr>
        <w:pStyle w:val="TextoNormal"/>
      </w:pPr>
      <w:r>
        <w:lastRenderedPageBreak/>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En consecuencia nuestro examen se limitará a analizar si la respuesta judicial obtenida por el recurrente en las resoluciones de la Audiencia Nacional que se impugnan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obtener el licenciamiento definitivo, y por tanto ser puesto en libertad, el día 14 de junio de 2006. El Ministerio Fiscal también entiende concurrentes estas vulneraciones.</w:t>
      </w:r>
    </w:p>
    <w:p w:rsidR="00D06117" w:rsidRDefault="00D06117" w:rsidP="00D06117">
      <w:pPr>
        <w:pStyle w:val="TextoNormal"/>
      </w:pPr>
    </w:p>
    <w:p w:rsidR="00D06117" w:rsidRDefault="00D06117" w:rsidP="00D06117">
      <w:pPr>
        <w:pStyle w:val="TextoNormal"/>
      </w:pPr>
      <w:r w:rsidRPr="00D06117">
        <w:rPr>
          <w:rStyle w:val="NumeroAFNegritaCaracter"/>
        </w:rPr>
        <w:t>8</w:t>
      </w:r>
      <w:r>
        <w:t xml:space="preserve">.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w:t>
      </w:r>
      <w:r>
        <w:lastRenderedPageBreak/>
        <w:t>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9</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Artola Ibarretxe fue condenado por diversos delitos a penas que suman más de 190 años por la Sala de lo Penal de la Audiencia Nacional, Sección Primera, en las causas 70-1986, 4-1987 y 133-1981 del Juzgado Central de Instrucción núm. 1; 22-1986 y 65-1985 del Juzgado Central de Instrucción núm. 2; 60-1985, 1-1986, 62-1985 y 72-1987 del Juzgado Central de Instrucción núm. 4; 58-1986, 67-1986 y 54-1987 del Juzgado Central de Instrucción núm. 5.</w:t>
      </w:r>
    </w:p>
    <w:p w:rsidR="00D06117" w:rsidRDefault="00D06117" w:rsidP="00D06117">
      <w:pPr>
        <w:pStyle w:val="TextoNormal"/>
      </w:pPr>
    </w:p>
    <w:p w:rsidR="00D06117" w:rsidRDefault="00D06117" w:rsidP="00D06117">
      <w:pPr>
        <w:pStyle w:val="TextoNormal"/>
      </w:pPr>
      <w:r>
        <w:t xml:space="preserve">b) Puesto que había sido condenado en varios procesos por hechos que pudieron ser objeto de uno sólo, el Tribunal sentenciador, por Auto de 23 de octubre de 1996, procedió a </w:t>
      </w:r>
      <w:r>
        <w:lastRenderedPageBreak/>
        <w:t>fijar en treinta años el límite máximo de cumplimiento de ambas condenas, de conformidad con lo dispuesto en los arts. 17.5 y 988 de la Ley de enjuiciamiento criminal (LECrim) y el art. 70, regla 2, CP 1973.</w:t>
      </w:r>
    </w:p>
    <w:p w:rsidR="00D06117" w:rsidRDefault="00D06117" w:rsidP="00D06117">
      <w:pPr>
        <w:pStyle w:val="TextoNormal"/>
      </w:pPr>
    </w:p>
    <w:p w:rsidR="00D06117" w:rsidRDefault="00D06117" w:rsidP="00D06117">
      <w:pPr>
        <w:pStyle w:val="TextoNormal"/>
      </w:pPr>
      <w:r>
        <w:t>De acuerdo con esta decisión, el Secretario Judicial de la Sala practicó el 9 de junio de 1997 la liquidación provisional de las condenas impuestas al demandante, según la cual el demandante extinguiría sus condenas el día 10 de junio de 2016.</w:t>
      </w:r>
    </w:p>
    <w:p w:rsidR="00D06117" w:rsidRDefault="00D06117" w:rsidP="00D06117">
      <w:pPr>
        <w:pStyle w:val="TextoNormal"/>
      </w:pPr>
    </w:p>
    <w:p w:rsidR="00D06117" w:rsidRDefault="00D06117" w:rsidP="00D06117">
      <w:pPr>
        <w:pStyle w:val="TextoNormal"/>
      </w:pPr>
      <w:r>
        <w:t>c) Tras la entrada en vigor del Código penal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9 de abril de 1997 que no procedía revisar las penas impuestas al demandante porque “no procede modificar la pena impuesta al penado, pues el límite máximo de cumplimiento de los 30 años establecido resulta igualmente aplicable a tenor del art. 76.1 b) del nuevo Código Penal”, razonamiento este por el que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t>d) No hay ninguna otra resolución judicial relevante del Tribunal sentenciador en la ejecutoria hasta que, mediante la providencia de 16 de marzo de 2006 que es objeto de esta pretensión de amparo, el Tribunal requirió al centro penitenciario para que elaborase nueva liquidación de conformidad con la doctrina sentada por el Tribunal Supremo en la STS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10</w:t>
      </w:r>
      <w:r>
        <w:t>. De ninguna de las resoluciones judiciales a las que se refiere el recurrente y el Ministerio Fiscal puede derivarse, en el presente caso, el efecto de intangibilidad respecto al criterio del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 providencia que requirió al centro penitenciario para que elaborase nueva liquidación de conformidad con la doctrina sentada por el Tribunal Supremo en la STS 197/2006, de 28 de febrero, (y el Auto que la ratificó) no dejó sin efecto dichas redenciones </w:t>
      </w:r>
      <w:r>
        <w:lastRenderedPageBreak/>
        <w:t>sino que, en ejercicio de las competencias que legalmente tiene atribuidas, las computó sucesivamente sobre las varias penas impuestas a efectos de liquidación de condena.</w:t>
      </w:r>
    </w:p>
    <w:p w:rsidR="00D06117" w:rsidRDefault="00D06117" w:rsidP="00D06117">
      <w:pPr>
        <w:pStyle w:val="TextoNormal"/>
      </w:pPr>
    </w:p>
    <w:p w:rsidR="00D06117" w:rsidRDefault="00D06117" w:rsidP="00D06117">
      <w:pPr>
        <w:pStyle w:val="TextoNormal"/>
      </w:pPr>
      <w:r>
        <w:t>b) Por lo que respecta al Auto de acumulación de condenas y fijación del límite máximo de cumplimiento de 23 de octubre de 1996, que cita el Ministerio Fiscal como resolución intangible que ha sido ilegítimamente desconocida,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c) Finalmente, se aludió también al Auto de 9 de abril de 1997 por el que se acordó no haber lugar a la revisión de las penas impuestas por considerar que, dados los hechos enjuiciados y las penas que le habían sido impuestas, no eran más favorables las previsiones punitivas del Código penal de 1995.</w:t>
      </w:r>
    </w:p>
    <w:p w:rsidR="00D06117" w:rsidRDefault="00D06117" w:rsidP="00D06117">
      <w:pPr>
        <w:pStyle w:val="TextoNormal"/>
      </w:pPr>
    </w:p>
    <w:p w:rsidR="00D06117" w:rsidRDefault="00D06117" w:rsidP="00D06117">
      <w:pPr>
        <w:pStyle w:val="TextoNormal"/>
      </w:pPr>
      <w:r>
        <w:t>Pues bien, ni en el fallo de dicha resolución se realiza pronunciamiento alguno acerca del criterio de cómputo de las redenciones (porque no era éste su objeto), ni de su fundamentación jurídica antes transcrita en relación con los antecedentes de hecho puede concluirse que la decisión de no revisar las condenas se sustentara en un determinado criterio de cómputo de las redenciones que resulte determinante o decisivo para considerar o no más favorable el Código penal de 1973. No podía ser de otra forma pues la comparación de las penas impuestas al demandante de amparo con las previstas en el Código penal de 1995 para los delitos de asesinato terrorista y colaboración con banda armada expresa, de forma contundente, que la ratio de la decisión de no revisar las penas impuestas no fue otra que la constatación de que el nuevo Código penal no rebajó en ningún caso las penas previstas para los delitos de terrorismo sino, si cabe, las endureció respecto a la regulación penal precedente.</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11</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w:t>
      </w:r>
      <w:r>
        <w:lastRenderedPageBreak/>
        <w:t>objeto de que configure las sanciones penales para que cumplan estos fines de reinserción establecidos en la Constitución, sin que se deriven derechos subjetivos del mismo (por todas, SSTC 88/1998, de 21 de abril, FJ 3; 204/1999, de 8 de noviembre, FJ 3;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de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rehacer su vida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Joseba Koldobika Artola Ibarretxe</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el recurso de amparo núm. 5560-2006 avocado al Pleno.</w:t>
      </w:r>
    </w:p>
    <w:p w:rsidR="00D06117" w:rsidRDefault="00D06117" w:rsidP="00D06117">
      <w:pPr>
        <w:pStyle w:val="TextoNormalNegritaCentrado"/>
        <w:keepNext/>
      </w:pPr>
    </w:p>
    <w:p w:rsidR="00D06117" w:rsidRDefault="00D06117" w:rsidP="00D06117">
      <w:pPr>
        <w:pStyle w:val="TextoNormal"/>
      </w:pPr>
      <w:r>
        <w:t>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lastRenderedPageBreak/>
        <w:t>Voto particular que formula la Magistrada doña Adela Asua Batarrita a la Sentencia dictada en el recurso de amparo núm. 5560-2006.</w:t>
      </w:r>
    </w:p>
    <w:p w:rsidR="00D06117" w:rsidRDefault="00D06117" w:rsidP="00D06117">
      <w:pPr>
        <w:pStyle w:val="TextoNormalNegritaCentrado"/>
        <w:keepNext/>
      </w:pPr>
    </w:p>
    <w:p w:rsidR="00D06117" w:rsidRDefault="00D06117" w:rsidP="00D06117">
      <w:pPr>
        <w:pStyle w:val="TextoNormal"/>
      </w:pPr>
      <w:r>
        <w:t>Con el mayor respeto y consideración que me merece el parecer del Pleno, y haciendo uso de la facultad prevista en el apartado 2 del art. 90 de la Ley Orgánica del Tribunal Constitucional formulo Voto particular manifestando mi discrepancia con el fallo de la Sentencia y con la fundamentación de la misma respecto al rechazo de alguna de las quejas planteadas por el recurrente, que a mi juicio debieran haberse acogido para sustentar la estimación del amparo.</w:t>
      </w:r>
    </w:p>
    <w:p w:rsidR="00D06117" w:rsidRDefault="00D06117" w:rsidP="00D06117">
      <w:pPr>
        <w:pStyle w:val="TextoNormal"/>
      </w:pPr>
    </w:p>
    <w:p w:rsidR="00D06117" w:rsidRDefault="00D06117" w:rsidP="00D06117">
      <w:pPr>
        <w:pStyle w:val="TextoNormal"/>
      </w:pPr>
      <w:r>
        <w:t>1. Mi discrepancia básica se refiere a la insuficiente fundamentación que ofrece la Sentencia para rechazar la alegación sobre la vulneración del derecho fundamental a la legalidad penal ex art. 25.1 CE, queja que a mi juicio debiera haberse estimado en base a los argumentos que mantuve en la deliberación en el Pleno. En la conculcación de la legalidad penal se condensa la afectación nuclear a la seguridad jurídica y a la garantía reforzada de certeza en la interpretación y aplicación de las leyes penales, que en este caso deriva en la lesión del derecho a la libertad personal (art. 17 CE).</w:t>
      </w:r>
    </w:p>
    <w:p w:rsidR="00D06117" w:rsidRDefault="00D06117" w:rsidP="00D06117">
      <w:pPr>
        <w:pStyle w:val="TextoNormal"/>
      </w:pPr>
    </w:p>
    <w:p w:rsidR="00D06117" w:rsidRDefault="00D06117" w:rsidP="00D06117">
      <w:pPr>
        <w:pStyle w:val="TextoNormal"/>
      </w:pPr>
      <w:r>
        <w:t>La cuestión central del presente recurso reside en la aplicación por la resolución judicial impugnada de una interpretación desfavorable del art. 70.2 del Código penal (CP) de 1973 que quiebra el pacífico entendimiento mantenido hasta entonces, y que desencadena una prolongación efectiva del periodo de cumplimiento de una pena privativa de libertad, cuyo calado obliga, a mi juicio, a analizar con el debido detenimiento la adecuación constitucional de los argumentos aducidos para justificar tal inopinado cambio de criterio. Más aún cuando la nueva interpretación se utiliza para revisar los criterios de cómputo del cumplimiento de una condena que se encuentra en fase de ejecución y a la que se venía aplicando la regla general prevista en el art. 100 CP 1973 de reducción de penas por el trabajo. Tal retroacción remueve la situación jurídica previamente conformada y las fundadas expectativas jurídicas acordes al entendimiento incontrovertido de la normativa aplicable. Un cambio de las “reglas de juego” en la contabilización del cumplimiento de la condena que difícilmente podrá superar el test de previsibilidad sobre el alcance de las consecuencias punitivas previstas en la ley en relación a un elemento tan importante como la efectiva duración de la privación de libertad que comporta la condena.</w:t>
      </w:r>
    </w:p>
    <w:p w:rsidR="00D06117" w:rsidRDefault="00D06117" w:rsidP="00D06117">
      <w:pPr>
        <w:pStyle w:val="TextoNormal"/>
      </w:pPr>
    </w:p>
    <w:p w:rsidR="00D06117" w:rsidRDefault="00D06117" w:rsidP="00D06117">
      <w:pPr>
        <w:pStyle w:val="TextoNormal"/>
      </w:pPr>
      <w:r>
        <w:t>El objeto de análisis del presente recurso reside en la aplicación de la nueva interpretación desfavorable del concepto de “cumplimiento de la condena” del art. 70.2 CP 1973 adoptada en la STS 197/2006, de 28 de febrero, dictada en un procedimiento ajeno al del recurrente, y que debemos examinar atendiendo a los parámetros constitucionales que nos conciernen.</w:t>
      </w:r>
    </w:p>
    <w:p w:rsidR="00D06117" w:rsidRDefault="00D06117" w:rsidP="00D06117">
      <w:pPr>
        <w:pStyle w:val="TextoNormal"/>
      </w:pPr>
    </w:p>
    <w:p w:rsidR="00D06117" w:rsidRDefault="00D06117" w:rsidP="00D06117">
      <w:pPr>
        <w:pStyle w:val="TextoNormal"/>
      </w:pPr>
      <w:r>
        <w:t>2. La clarificación de los problemas que plantea el presente amparo, requiere algunas precisiones previas sobre las peculiaridades del antiguo Código penal en materia de cumplimiento de condenas, a fin de poder avanzar en el razonamiento sobre los déficits constitucionales de la controvertida interpretación y sobre su incidencia en la garantía de la seguridad jurídica y en el principio de separación de poderes, que también se proyectan como limitación a la interpretación judicial de la ley en observancia del derecho fundamental consagrado en el art. 25.1 CE.</w:t>
      </w:r>
    </w:p>
    <w:p w:rsidR="00D06117" w:rsidRDefault="00D06117" w:rsidP="00D06117">
      <w:pPr>
        <w:pStyle w:val="TextoNormal"/>
      </w:pPr>
    </w:p>
    <w:p w:rsidR="00D06117" w:rsidRDefault="00D06117" w:rsidP="00D06117">
      <w:pPr>
        <w:pStyle w:val="TextoNormal"/>
      </w:pPr>
      <w:r>
        <w:lastRenderedPageBreak/>
        <w:t>En primer lugar, debemos recordar que el tenor literal del art. 100 CP 1973 decía textualmente:</w:t>
      </w:r>
    </w:p>
    <w:p w:rsidR="00D06117" w:rsidRDefault="00D06117" w:rsidP="00D06117">
      <w:pPr>
        <w:pStyle w:val="TextoNormal"/>
      </w:pPr>
    </w:p>
    <w:p w:rsidR="00D06117" w:rsidRDefault="00D06117" w:rsidP="00D06117">
      <w:pPr>
        <w:pStyle w:val="TextoNormal"/>
      </w:pPr>
      <w:r>
        <w:t>“Podrán redimir su pena con el trabajo, desde que sea firme la sentencia respectiva, los reclusos condenados a pena de reclusión, prisión y arresto mayor. Al recluso trabajador se abonará, para el cumplimiento de la pena impuesta, previa aprobación por el Juez de Vigilancia, un día por cada dos de trabajo, y el tiempo así redimido se le contará también para acceder a la libertad condicional. El mismo beneficio se aplicará, a efectos de liquidación de su condena, a los reclusos que hayan estado privados provisionalmente de libertad.</w:t>
      </w:r>
    </w:p>
    <w:p w:rsidR="00D06117" w:rsidRDefault="00D06117" w:rsidP="00D06117">
      <w:pPr>
        <w:pStyle w:val="TextoNormal"/>
      </w:pPr>
    </w:p>
    <w:p w:rsidR="00D06117" w:rsidRDefault="00D06117" w:rsidP="00D06117">
      <w:pPr>
        <w:pStyle w:val="TextoNormal"/>
      </w:pPr>
      <w:r>
        <w:t>No podrán redimir pena por el trabajo: 1º. Quienes quebranten la condena o intentaran quebrantarla, aunque no logren su propósito. 2º. Los que reiteradamente observen mala conducta durante el cumplimiento de la condena.”</w:t>
      </w:r>
    </w:p>
    <w:p w:rsidR="00D06117" w:rsidRDefault="00D06117" w:rsidP="00D06117">
      <w:pPr>
        <w:pStyle w:val="TextoNormal"/>
      </w:pPr>
    </w:p>
    <w:p w:rsidR="00D06117" w:rsidRDefault="00D06117" w:rsidP="00D06117">
      <w:pPr>
        <w:pStyle w:val="TextoNormal"/>
      </w:pPr>
      <w:r>
        <w:t>Lo dispuesto en el precepto transcrito constituye una singularidad propia del sistema penal español desde 1944, que se mantuvo hasta la entrada en vigor del nuevo código de 1995, y que todavía proyecta su efecto sobre el cumplimiento de las penas impuestas por delitos cometidos antes de esa fecha. Su origen en la posguerra explica en buena parte su finalidad pragmática de permitir el acortamiento de las penas con el fin de reducir la alta densidad de población penitenciaria y, a la vez, poder aprovechar oportunamente una mano de obra barata. Al aprobarse el texto refundido del Código penal de 1973 se mantiene el precepto en los mismos términos, ajustando su fundamentación a nuevos parámetros más acordes con la finalidad preventivo-especial de reinserción social de los penados, finalidad que la Constitución de 1978 eleva a rango de principio informador del cumplimiento de las penas privativas de libertad (art. 25.2 CE). De forma reiterada nuestra doctrina ha vinculado el fundamento material del art. 100 a dicho principio (entre muchas otras, STC 72/1994, de 3 de marzo, FJ 4).</w:t>
      </w:r>
    </w:p>
    <w:p w:rsidR="00D06117" w:rsidRDefault="00D06117" w:rsidP="00D06117">
      <w:pPr>
        <w:pStyle w:val="TextoNormal"/>
      </w:pPr>
    </w:p>
    <w:p w:rsidR="00D06117" w:rsidRDefault="00D06117" w:rsidP="00D06117">
      <w:pPr>
        <w:pStyle w:val="TextoNormal"/>
      </w:pPr>
      <w:r>
        <w:t>En definitiva, durante varias décadas se mantuvo una institución que consagraba una ficción jurídica de contundente eficacia para el acortamiento del periodo de cumplimiento de la pena, por más que a la vez produjera una patente anomalía semántica: la imposición de una pena de seis años —por ejemplo— equivalía a un castigo de cuatro años de prisión, pasados los cuales realizando un trabajo u ocupación aceptada a tales efectos, se tenían por cumplidos los seis años de prisión fijados en sentencia. Ficción de cumplimento que, por voluntad del legislador, desencadenaba de forma plena las consecuencias jurídicas propias de la extinción de la pena, aunque de facto hubiera quedado acortada en un tercio de su valor nominal.</w:t>
      </w:r>
    </w:p>
    <w:p w:rsidR="00D06117" w:rsidRDefault="00D06117" w:rsidP="00D06117">
      <w:pPr>
        <w:pStyle w:val="TextoNormal"/>
      </w:pPr>
    </w:p>
    <w:p w:rsidR="00D06117" w:rsidRDefault="00D06117" w:rsidP="00D06117">
      <w:pPr>
        <w:pStyle w:val="TextoNormal"/>
      </w:pPr>
      <w:r>
        <w:t xml:space="preserve">En el marco del Código penal de 1973 la ausencia de dudas sobre la operatividad general de la redención por el trabajo implicaba la asunción natural de la constante diferenciación entre la duración nominal y la duración real de la pena, lo que formaba parte del cálculo que podía efectuar el Juez para adecuar la respuesta punitiva al delito en cuestión, y generaba una expectativa en el condenado, fundada en un parámetro consolidado de cómputo, sobre el tiempo real de la condena. Esa diferencia entre duración nominal y duración efectiva se proyectaba asimismo de forma incuestionada sobre las previsiones recogidas en el art. 70.2 de aquel Código, como queda documentado constantemente en la práctica penitenciaria y en su reflejo jurisprudencial, así como en las propias disposiciones transitorias del Código </w:t>
      </w:r>
      <w:r>
        <w:lastRenderedPageBreak/>
        <w:t>penal de 1995 relativas a la revisión de las condenas, y en circulares y directrices referidas a la aplicación de éstas.</w:t>
      </w:r>
    </w:p>
    <w:p w:rsidR="00D06117" w:rsidRDefault="00D06117" w:rsidP="00D06117">
      <w:pPr>
        <w:pStyle w:val="TextoNormal"/>
      </w:pPr>
    </w:p>
    <w:p w:rsidR="00D06117" w:rsidRDefault="00D06117" w:rsidP="00D06117">
      <w:pPr>
        <w:pStyle w:val="TextoNormal"/>
      </w:pPr>
      <w:r>
        <w:t>El carácter preceptivo del abono del tiempo redimido por trabajo, que se proclama con carácter objetivo y general, con un módulo fijo de medida, indica que estamos ante una institución de rasgos bien diferenciados respecto a otras instituciones que también se agrupan genéricamente como “beneficios penitenciarios” —régimen abierto, libertad condicional, permisos de salida— y a los que se puede acceder durante el cumplimiento de la condena y que conllevan una suavización de la intensidad del control de la privación de libertad. El efecto de la redención de penas por el trabajo no se plasma, sin embargo, en una suavización de las condiciones de cumplimiento, sino en la notable reducción o acortamiento del tiempo necesario para extinguir jurídicamente la pena impuesta.</w:t>
      </w:r>
    </w:p>
    <w:p w:rsidR="00D06117" w:rsidRDefault="00D06117" w:rsidP="00D06117">
      <w:pPr>
        <w:pStyle w:val="TextoNormal"/>
      </w:pPr>
    </w:p>
    <w:p w:rsidR="00D06117" w:rsidRDefault="00D06117" w:rsidP="00D06117">
      <w:pPr>
        <w:pStyle w:val="TextoNormal"/>
      </w:pPr>
      <w:r>
        <w:t>El disfrute de la redención de penas por el trabajo no está condicionado a una concesión facultativa del Juez de vigilancia o del Juez sentenciador, ni depende de la concurrencia de otro requisito distinto al de encontrarse cumpliendo pena de prisión, ni de una evolución positiva del comportamiento del sujeto o de su régimen penitenciario, ni de pronósticos de peligrosidad. No necesita “merecerse” y únicamente puede ser denegada en los dos supuestos de exclusión previstos en el art. 100 (intento de fuga, reiterado mal comportamiento); pero aún en estos supuestos, según nuestra doctrina no puede ser revocada la redención obtenida hasta entonces ya que no se trata de un “beneficio condicional” (STC 174/1989, de 30 de octubre, FJ 5). La redención por el trabajo se sitúa como criterio de obligado acatamiento ope legis, como parámetro ineludible que predetermina la forma de cálculo de los días que se cumplen a efectos jurídicos definitivos. Éste, y no otro, es el aspecto que ahora interesa porque no estamos ante una queja sobre un eventual error o falta de contabilización de determinados trabajos o de parte del tiempo ya redimido, sino ante una queja por la exclusión de plano de la redención en el ámbito del art. 70.2 CP 1973. En suma, la cuestión crucial no es la verificación de cómo se han aplicado unas “reglas de juego”, en este caso respecto al cómputo de la pena durante la ejecución de ésta, sino si tales “reglas de juego” estaban ya establecidas como punto de partida y, por tanto, no podían modificarse.</w:t>
      </w:r>
    </w:p>
    <w:p w:rsidR="00D06117" w:rsidRDefault="00D06117" w:rsidP="00D06117">
      <w:pPr>
        <w:pStyle w:val="TextoNormal"/>
      </w:pPr>
    </w:p>
    <w:p w:rsidR="00D06117" w:rsidRDefault="00D06117" w:rsidP="00D06117">
      <w:pPr>
        <w:pStyle w:val="TextoNormal"/>
      </w:pPr>
      <w:r>
        <w:t>La posibilidad de redimir por trabajo no se conforma como un premio o consecuencia derivada de un mérito previo, sino como una alternativa que la ley ofrece al recluso de acogerse a una vía de cumplimiento reducido de la pena, de manera que si aquél opta por el sistema que se le propone de “acortamiento” de la duración de la pena, el efecto de la redención por los días de trabajo resulta perfectamente predecible con un alto grado de certeza. El carácter previo de las reglas de cómputo es inherente a las exigencias propias de un Estado de Derecho, como protección frente a la arbitrariedad y la incertidumbre que resultarían de la ausencia de criterio anunciado, cierto y seguro, características sustanciales asociadas al derecho fundamental a la legalidad penal (art. 25.1 CE).</w:t>
      </w:r>
    </w:p>
    <w:p w:rsidR="00D06117" w:rsidRDefault="00D06117" w:rsidP="00D06117">
      <w:pPr>
        <w:pStyle w:val="TextoNormal"/>
      </w:pPr>
    </w:p>
    <w:p w:rsidR="00D06117" w:rsidRDefault="00D06117" w:rsidP="00D06117">
      <w:pPr>
        <w:pStyle w:val="TextoNormal"/>
      </w:pPr>
      <w:r>
        <w:t>Como queda acertadamente reflejado en nuestra Sentencia de forma detallada, este Tribunal ha mantenido de forma constante una doctrina celosa de la seguridad jurídica en las numerosas resoluciones dictadas en materia de redención de penas por el trabajo, declarando la intangibilidad de los reconocimientos de los días redimidos por trabajo aun ante supuestos errores detectados con posterioridad (STC 174/1989, de 30 de octubre), y el mantenimiento del tiempo de redención consolidada incluso para acortar las penas impuestas conforme al nuevo Código de 1995 por resultar más favorables (STC 31/1999, de 8 de marzo).</w:t>
      </w:r>
    </w:p>
    <w:p w:rsidR="00D06117" w:rsidRDefault="00D06117" w:rsidP="00D06117">
      <w:pPr>
        <w:pStyle w:val="TextoNormal"/>
      </w:pPr>
    </w:p>
    <w:p w:rsidR="00D06117" w:rsidRDefault="00D06117" w:rsidP="00D06117">
      <w:pPr>
        <w:pStyle w:val="TextoNormal"/>
      </w:pPr>
      <w:r>
        <w:t>3. La cuestión aquí debatida, la constitucionalidad de un cambio de criterio sobre los parámetros que marcan la contabilidad del cumplimiento de las penas, debe analizarse atendiendo al fundamento material del derecho consagrado en el art. 25.1 CE porque tal cambio de criterio altera de forma sustancial la previsión racionalmente fundada sobre la duración efectiva de la pena que la persona condenada pudo establecer al comenzar su ejecución. El acceso al conocimiento seguro de la duración de la pena, su previsibilidad conforme a las pautas vigentes no sólo en el momento de aplicación de la ley sino en el de los hechos enjuiciados, son elementos que pertenecen al núcleo del derecho fundamental a la ley previa, cierta, precisa, tanto respecto a los delitos como respecto a las consecuencias punitivas correspondientes. Y en el contexto de las singularidades del Código penal de 1973 este conocimiento cierto debe abarcar no solo el límite nominal del quantum de dicho cumplimiento sino también su traducción correspondiente en un límite efectivo de menor duración por el acortamiento derivado del abono del tiempo redimido por trabajo conforme a las reglas del art. 100.</w:t>
      </w:r>
    </w:p>
    <w:p w:rsidR="00D06117" w:rsidRDefault="00D06117" w:rsidP="00D06117">
      <w:pPr>
        <w:pStyle w:val="TextoNormal"/>
      </w:pPr>
    </w:p>
    <w:p w:rsidR="00D06117" w:rsidRDefault="00D06117" w:rsidP="00D06117">
      <w:pPr>
        <w:pStyle w:val="TextoNormal"/>
      </w:pPr>
      <w:r>
        <w:t>La Sentencia cita varias sentencias del Tribunal Europeo de Derechos Humanos en apoyo de la ubicación de la redención de penas por el trabajo fuera del ámbito de tutela del art. 25.1 CE, pero tales resoluciones se refieren a beneficios penitenciarios de distinto y menor alcance que el que ahora tratamos, como antes he puesto de relieve. Además no se da debida cuenta de la existencia de otras resoluciones más matizadas que reconocen la dificultad de establecer la frontera entre pena y medidas de ejecución de la misma, y que expresamente rehúyen de formalismos apriorísticos (STEDH de 15 de diciembre de 2009, Gurguchiani c. España, § 31; STEDH de 12 de febrero de 2008, Kafkaris c. Chipre, § 142). Precisamente los hechos del asunto Kafkaris contra Chipre presentan cierta semejanza con los que subyacen a la presente demanda de amparo puesto que se trataba de un cambio de interpretación del alcance real de la pena de prisión perpetua, pena que, pese a su denominación, según un determinado reglamento penitenciario implicaba una prisión de veinte años. El recurrente fue condenado a prisión perpetua pero al ingresar en prisión se le informó del alcance de la pena conforme a aquel reglamento penitenciario, donde constaba la fecha de acceso a la libertad condicional. El Tribunal Europeo de Derechos Humanos señaló en este caso que la cuestión residía en determinar “si el texto de la ley, leído a la luz de la jurisprudencia interpretativa emanada al respecto, satisfacía los requisitos de accesibilidad y de previsibilidad”. Igualmente estableció que el conocimiento y la aplicación de los reglamentos penitenciarios en aquella situación no era un asunto de mera ejecución de la pena, y que aunque la pena nominalmente impuesta era la misma que la que entonces se sometía a cumplimiento conforme a la nueva interpretación, aunque no se tratara de una imposición retroactiva de una pena más severa, el problema residía en la falta de “calidad de la ley”. Falta de calidad de la ley que se aprecia porque en el momento de comisión del delito el derecho penal chipriota, tomado en su conjunto, no estaba formulado con la suficiente precisión como para permitir al recurrente discernir de forma razonable, acorde con las circunstancias, incluso con el asesoramiento apropiado, “el alcance de la pena de prisión perpetua y la forma de su ejecución”, por lo que se declara la conculcación del art. 7 del Convenio a este respecto (§ 150).</w:t>
      </w:r>
    </w:p>
    <w:p w:rsidR="00D06117" w:rsidRDefault="00D06117" w:rsidP="00D06117">
      <w:pPr>
        <w:pStyle w:val="TextoNormal"/>
      </w:pPr>
    </w:p>
    <w:p w:rsidR="00D06117" w:rsidRDefault="00D06117" w:rsidP="00D06117">
      <w:pPr>
        <w:pStyle w:val="TextoNormal"/>
      </w:pPr>
      <w:r>
        <w:t xml:space="preserve">Es cierto que la cuestión que nosotros examinamos no afecta a la duración de una pena concreta correspondiente a un delito, sino a la duración del límite máximo de cumplimento fijado para la concurrencia de varias penas pendientes de cumplir, conforme a la técnica conocida como “acumulación jurídica de penas” que en el Código penal de 1973 quedaba </w:t>
      </w:r>
      <w:r>
        <w:lastRenderedPageBreak/>
        <w:t>concretada en las previsiones de su art. 70.2. Este es el precepto cuya interpretación se modifica en la STS 197/2006, y cuyo tenor establecía que:</w:t>
      </w:r>
    </w:p>
    <w:p w:rsidR="00D06117" w:rsidRDefault="00D06117" w:rsidP="00D06117">
      <w:pPr>
        <w:pStyle w:val="TextoNormal"/>
      </w:pPr>
    </w:p>
    <w:p w:rsidR="00D06117" w:rsidRDefault="00D06117" w:rsidP="00D06117">
      <w:pPr>
        <w:pStyle w:val="TextoNormal"/>
      </w:pPr>
      <w:r>
        <w:t>“Cuando todas o algunas de las penas correspondientes a las diversas infracciones no pudieran ser cumplidas simultáneamente por el condenado, se observarán, respecto a ellas, las reglas siguientes:</w:t>
      </w:r>
    </w:p>
    <w:p w:rsidR="00D06117" w:rsidRDefault="00D06117" w:rsidP="00D06117">
      <w:pPr>
        <w:pStyle w:val="TextoNormal"/>
      </w:pPr>
    </w:p>
    <w:p w:rsidR="00D06117" w:rsidRDefault="00D06117" w:rsidP="00D06117">
      <w:pPr>
        <w:pStyle w:val="TextoNormal"/>
      </w:pPr>
      <w:r>
        <w:t xml:space="preserve">1ª En la imposición de las penas se seguirá el orden de su respectiva gravedad para su cumplimiento sucesivo por el condenado en cuanto sea posible, por haber obtenido indulto de las primeramente impuestas o por haberlas ya cumplido. … </w:t>
      </w:r>
    </w:p>
    <w:p w:rsidR="00D06117" w:rsidRDefault="00D06117" w:rsidP="00D06117">
      <w:pPr>
        <w:pStyle w:val="TextoNormal"/>
      </w:pPr>
    </w:p>
    <w:p w:rsidR="00D06117" w:rsidRDefault="00D06117" w:rsidP="00D06117">
      <w:pPr>
        <w:pStyle w:val="TextoNormal"/>
      </w:pPr>
      <w:r>
        <w:t>2ª No obstante lo dispuesto en la regla anterior, el máximum de cumplimiento de la condena del culpable no podrá exceder del triplo del tiempo porque se le impusiere la más grave de las penas en que haya incurrido, dejando de extinguir las que procedan desde que las ya impuestas cubrieren el máximum de tiempo predicho, que no podrá exceder de treinta años.</w:t>
      </w:r>
    </w:p>
    <w:p w:rsidR="00D06117" w:rsidRDefault="00D06117" w:rsidP="00D06117">
      <w:pPr>
        <w:pStyle w:val="TextoNormal"/>
      </w:pPr>
    </w:p>
    <w:p w:rsidR="00D06117" w:rsidRDefault="00D06117" w:rsidP="00D06117">
      <w:pPr>
        <w:pStyle w:val="TextoNormal"/>
      </w:pPr>
      <w:r>
        <w:t>La limitación se aplicará aunque las penas se hubieran impuesto en distintos procesos si los hechos, por su conexión, pudieran haberse enjuiciado en uno solo.” (Cursiva añadida).</w:t>
      </w:r>
    </w:p>
    <w:p w:rsidR="00D06117" w:rsidRDefault="00D06117" w:rsidP="00D06117">
      <w:pPr>
        <w:pStyle w:val="TextoNormal"/>
      </w:pPr>
    </w:p>
    <w:p w:rsidR="00D06117" w:rsidRDefault="00D06117" w:rsidP="00D06117">
      <w:pPr>
        <w:pStyle w:val="TextoNormal"/>
      </w:pPr>
      <w:r>
        <w:t>Ese límite se refiere al tiempo de privación de libertad en el que queda finalmente individualizado el castigo por el conjunto de los varios delitos cometidos, por lo que no puede negarse que dicho límite fija la referencia para el correspondiente cumplimiento. Una duración que recorta y reduce sustancialmente el tiempo que supondría la suma de las penas por separado y que, por tanto, sustituye a esta suma y conforma la consecuencia punitiva que se traslada al conocimiento del ciudadano y sobre la que opera después la institución de la redención. En el contexto del Código penal de 1973 ello significaba que ese quantum de los treinta años de condena quedaba convertido ope legis, de no concurrir determinadas incidencias en la ejecución como mal comportamiento o intento de fuga, en veinte años de cumplimiento efectivo. Por ello, la interpretación que debemos analizar desde los parámetros de constitucionalidad es la que ha alterado esta previsibilidad respecto al cumplimiento efectivo, al excluir la operatividad de la redención de penas por el trabajo sobre aquel límite nominal, con el consiguiente reflejo penológico en la duración del período de tiempo de privación de libertad.</w:t>
      </w:r>
    </w:p>
    <w:p w:rsidR="00D06117" w:rsidRDefault="00D06117" w:rsidP="00D06117">
      <w:pPr>
        <w:pStyle w:val="TextoNormal"/>
      </w:pPr>
    </w:p>
    <w:p w:rsidR="00D06117" w:rsidRDefault="00D06117" w:rsidP="00D06117">
      <w:pPr>
        <w:pStyle w:val="TextoNormal"/>
      </w:pPr>
      <w:r>
        <w:t>Ciertamente, un precepto penal cuyo tenor literal permitiera acoger dos interpretaciones tan dispares en cuanto a sus efectos penológicos no reuniría las condiciones requeridas de calidad normativa, que derivan de la garantía constitucional de la legalidad penal.</w:t>
      </w:r>
    </w:p>
    <w:p w:rsidR="00D06117" w:rsidRDefault="00D06117" w:rsidP="00D06117">
      <w:pPr>
        <w:pStyle w:val="TextoNormal"/>
      </w:pPr>
    </w:p>
    <w:p w:rsidR="00D06117" w:rsidRDefault="00D06117" w:rsidP="00D06117">
      <w:pPr>
        <w:pStyle w:val="TextoNormal"/>
      </w:pPr>
      <w:r>
        <w:t>4. La consagración constitucional de la legalidad penal como derecho fundamental enfatiza el mandato de determinación y de taxatividad en el campo de la punición estatal como correlato del principio de la seguridad jurídica y como reflejo de la separación de poderes que diferencia las funciones del legislador en la creación de las normas y del juzgador en la aplicación de éstas, garantías básicas del Estado de Derecho.</w:t>
      </w:r>
    </w:p>
    <w:p w:rsidR="00D06117" w:rsidRDefault="00D06117" w:rsidP="00D06117">
      <w:pPr>
        <w:pStyle w:val="TextoNormal"/>
      </w:pPr>
    </w:p>
    <w:p w:rsidR="00D06117" w:rsidRDefault="00D06117" w:rsidP="00D06117">
      <w:pPr>
        <w:pStyle w:val="TextoNormal"/>
      </w:pPr>
      <w:r>
        <w:t xml:space="preserve">La redoblada exigencia de claridad y precisión de las leyes penales se extiende a la interpretación de éstas a través de la aplicación judicial, como operación que fija su alcance y significado de forma coherente con el sentido de los preceptos legales, de manera que ambos </w:t>
      </w:r>
      <w:r>
        <w:lastRenderedPageBreak/>
        <w:t>planos se complementan para garantizar la previsibilidad del alcance de la norma y de sus consecuencias punitivas. Complementariedad que se convierte en inescindible cuando nos encontramos ante un criterio de aplicación consolidado de forma permanente y prolongado en el tiempo. Evidentemente el cambio de interpretación es siempre posible por el carácter dinámico de la jurisprudencia y su necesaria adaptación a nuevos supuestos de hechos, pero cuanto más consolidada se encuentre una determinada interpretación, mayores cautelas deberán observarse a la hora de su modificación, y más intensa deberá ser la fundamentación en que se apoye para que continúe resultando predecible y acorde con las pautas hermenéuticas aceptadas por la comunidad jurídica (en esta línea, en cuanto a la exigencia de previsibilidad, la reciente STEDH de 6 de marzo de 2012, Huhtamäki c. Finlandia).</w:t>
      </w:r>
    </w:p>
    <w:p w:rsidR="00D06117" w:rsidRDefault="00D06117" w:rsidP="00D06117">
      <w:pPr>
        <w:pStyle w:val="TextoNormal"/>
      </w:pPr>
    </w:p>
    <w:p w:rsidR="00D06117" w:rsidRDefault="00D06117" w:rsidP="00D06117">
      <w:pPr>
        <w:pStyle w:val="TextoNormal"/>
      </w:pPr>
      <w:r>
        <w:t>Como acertadamente se señala en la Sentencia, no es función de este Tribunal la interpretación de la legalidad ordinaria, tarea que corresponde, en última instancia, ex art. 123 CE al Tribunal Supremo, pero no podemos eludir el análisis de los aspectos que pueden comprometer los derechos fundamentales cuya tutela nos compete especialmente. Expresado en términos de la STC 91/2009, de 20 de abril, recogiendo la línea de nuestra doctrina, “[d]e un modo mucho más restringido, y con la perspectiva externa que le es propia como Tribunal no inserto en el proceso penal, nuestra tarea se constriñe a evaluar la sostenibilidad constitucional de la concreta interpretación llevada a cabo por los órganos judiciales desde los citados parámetros de razonabilidad semántica, metodológica y axiológica” (FJ 6).</w:t>
      </w:r>
    </w:p>
    <w:p w:rsidR="00D06117" w:rsidRDefault="00D06117" w:rsidP="00D06117">
      <w:pPr>
        <w:pStyle w:val="TextoNormal"/>
      </w:pPr>
    </w:p>
    <w:p w:rsidR="00D06117" w:rsidRDefault="00D06117" w:rsidP="00D06117">
      <w:pPr>
        <w:pStyle w:val="TextoNormal"/>
      </w:pPr>
      <w:r>
        <w:t>En la cuestión que ahora nos concierne respecto a la interpretación realizada en la STS 197/2006, pues a ella remiten las resoluciones judiciales impugnadas como único argumento de lo decidido, lo primero que debe clarificarse es dónde reside el giro interpretativo desencadenante de la agravación punitiva cuya legitimidad se cuestiona. Y en este punto es necesario destacar que la citada Sentencia introduce dos modificaciones respecto al cómputo de la redención de penas de trabajo en relación al límite máximo de cumplimiento fijado en el art. 70.2 CP 1973. Una de ellas carece de relevancia constitucional porque se refiere al orden sucesivo del cumplimento de las varias penas impuestas a la persona condenada, lo que en principio no es más que una cuestión de carácter técnico-funcional de proyección sobre el régimen penitenciario y que en sí misma no afectaría al tiempo efectivo de privación de libertad. La segunda modificación es la realmente decisiva porque introduce un requisito adicional en relación con el límite de tiempo total de condena establecido en al art. 70.2, diciendo expresamente en su fundamento jurídico cuarto que “tal límite representa el máximo de cumplimiento del penado en un centro penitenciario” (cursiva añadida).</w:t>
      </w:r>
    </w:p>
    <w:p w:rsidR="00D06117" w:rsidRDefault="00D06117" w:rsidP="00D06117">
      <w:pPr>
        <w:pStyle w:val="TextoNormal"/>
      </w:pPr>
    </w:p>
    <w:p w:rsidR="00D06117" w:rsidRDefault="00D06117" w:rsidP="00D06117">
      <w:pPr>
        <w:pStyle w:val="TextoNormal"/>
      </w:pPr>
      <w:r>
        <w:t>La extensa argumentación que la Sentencia del Tribunal Supremo dedica a rechazar que el límite máximo constituya una “pena única” solo se entiende porque en su lógica explicativa considera necesario atribuir un distinto sentido conceptual al término “condena” respecto al término “pena”, a fin de excluir el abono de los días redimidos por trabajo del tiempo máximo de “condena”. Y de esa manera pretende eludir las posibles objeciones a la exclusión del beneficio general previsto en el art. 100, ya que éste no quedaría teóricamente excluido al abonarse el tiempo redimido a cada pena por separado a lo largo de su cumplimiento sucesivo hasta llegar a aquel límite, aun cuando de hecho ese abono no tenga efecto práctico alguno si la suma supera los cuarenta y cinco años.</w:t>
      </w:r>
    </w:p>
    <w:p w:rsidR="00D06117" w:rsidRDefault="00D06117" w:rsidP="00D06117">
      <w:pPr>
        <w:pStyle w:val="TextoNormal"/>
      </w:pPr>
    </w:p>
    <w:p w:rsidR="00D06117" w:rsidRDefault="00D06117" w:rsidP="00D06117">
      <w:pPr>
        <w:pStyle w:val="TextoNormal"/>
      </w:pPr>
      <w:r>
        <w:t xml:space="preserve">El examen de la nueva interpretación desde los cánones constitucionales debe quedar reducido, por tanto, a la adición de la exigencia de cumplimiento “en centro penitenciario”, </w:t>
      </w:r>
      <w:r>
        <w:lastRenderedPageBreak/>
        <w:t>o lo que es su correlato, a la introducción de dos conceptos distintos de “cumplimento” dentro del mismo precepto, el art. 70.2, uno aplicable al “cumplimiento de condena” y otro que se corresponde con el concepto general de “cumplimento de la pena” incluyendo la redención de penas por trabajo. De lo que deriva que el cumplimiento de varias penas plenamente extinguidas a efectos jurídico-penales llegará a sumar cuarenta y cinco años nominales de pena de privación de libertad impuesta en sentencia, que son los que se corresponderían con treinta años efectivos en prisión (treinta años en prisión más quince años de tiempo “redimido” por trabajo).</w:t>
      </w:r>
    </w:p>
    <w:p w:rsidR="00D06117" w:rsidRDefault="00D06117" w:rsidP="00D06117">
      <w:pPr>
        <w:pStyle w:val="TextoNormal"/>
      </w:pPr>
    </w:p>
    <w:p w:rsidR="00D06117" w:rsidRDefault="00D06117" w:rsidP="00D06117">
      <w:pPr>
        <w:pStyle w:val="TextoNormal"/>
      </w:pPr>
      <w:r>
        <w:t>5. La distinción referida no sería artificiosa si pudiera contar con algún sustento en el propio Código penal o en otra norma aplicable al caso, que permitiera sostener que “condena” y “pena” aluden a dos realidades distintas en el sentido pretendido, o que entre “cumplimento de una pena” y “cumplimento de la condena del culpable” pudiera haber alguna diferencia sustancial.</w:t>
      </w:r>
    </w:p>
    <w:p w:rsidR="00D06117" w:rsidRDefault="00D06117" w:rsidP="00D06117">
      <w:pPr>
        <w:pStyle w:val="TextoNormal"/>
      </w:pPr>
    </w:p>
    <w:p w:rsidR="00D06117" w:rsidRDefault="00D06117" w:rsidP="00D06117">
      <w:pPr>
        <w:pStyle w:val="TextoNormal"/>
      </w:pPr>
      <w:r>
        <w:t>Desde el canon del sentido literal posible del término “cumplimiento”, en nuestro caso, lo único que literalmente puede constatarse es que el art. 70.2 no incluye una referencia a que ese máximo de cumplimiento deba ser “en centro penitenciario”, referencia que resultaría obligada para excepcionar la proyección general de la redención de penas por trabajo en el Código penal de 1973. El sentido literal común de lo que significa cumplir una pena de prisión no puede operar aquí como canon de interpretación porque estamos ante un término acotado normativamente, que incluso la persona profana sabe que requiere ser matizado por lo que puedan disponer las leyes. Ahora bien, lo que el canon de interpretación debe garantizar es que no se altere el sentido literal posible en perjuicio del reo, de manera que no se dé cabida a una intervención punitiva imprevisible conforme a los datos accesibles al conocimiento del ciudadano, asesorado en su caso por una persona experta.</w:t>
      </w:r>
    </w:p>
    <w:p w:rsidR="00D06117" w:rsidRDefault="00D06117" w:rsidP="00D06117">
      <w:pPr>
        <w:pStyle w:val="TextoNormal"/>
      </w:pPr>
    </w:p>
    <w:p w:rsidR="00D06117" w:rsidRDefault="00D06117" w:rsidP="00D06117">
      <w:pPr>
        <w:pStyle w:val="TextoNormal"/>
      </w:pPr>
      <w:r>
        <w:t>Desde una interpretación sistemática, especialmente relevante en la interpretación jurídica, la peculiaridad en el cumplimiento de las penas de prisión bajo el Código penal de 1973, por la proyección de las reglas del art. 100, no resulta alterada en la normativa de la época en ningún momento, no pudiéndose hallar ninguna indicación o matización explícita que permita su restricción. Las previsiones relativas al denominado concurso ideal de delitos también acogen supuestos de acumulación de delitos y penas cuya suma puede superar con creces el límite allí fijado como pena única agravada (en el Código penal de 1973, art. 71), sin que se vislumbre ninguna razón para excluir de este límite la aplicación del art. 100. Resultaría poco congruente sistemáticamente que, pese a las similitudes de esta figura con la de acumulación jurídica del art. 70.2, la exclusión de la redención de penas operara selectivamente solo sobre una de ellas.</w:t>
      </w:r>
    </w:p>
    <w:p w:rsidR="00D06117" w:rsidRDefault="00D06117" w:rsidP="00D06117">
      <w:pPr>
        <w:pStyle w:val="TextoNormal"/>
      </w:pPr>
    </w:p>
    <w:p w:rsidR="00D06117" w:rsidRDefault="00D06117" w:rsidP="00D06117">
      <w:pPr>
        <w:pStyle w:val="TextoNormal"/>
      </w:pPr>
      <w:r>
        <w:t xml:space="preserve">Desde la perspectiva teleológica o de fundamentación material, los argumentos de la STS 197/2006 no se refieren al sentido de la institución de la acumulación jurídica ni al de la redención de penas por trabajo, sino que, después de apelaciones genéricas a los fines de la pena, centran la atención en un principio que se declara debe presidir la interpretación de esta materia y que “residenciado en consideraciones de política criminal, descansa en que el autor de las diversas infracciones cometidas debe cumplir todas o la mayor parte de las penas impuestas, sin que pueda igualarse, concediéndosele el mismo trato punitivo, al autor de un solo delito que al seriado criminal que tiene sobre sus espaldas un amplio historial </w:t>
      </w:r>
      <w:r>
        <w:lastRenderedPageBreak/>
        <w:t>delictivo. Esta interpretación ni la consiente el valor de justicia proclamado por la Constitución española, ni resulta propiamente tampoco de la ley. En el caso de un condenado por 150 asesinatos, unos consumados y otros en grado de tentativa acabada, el principio de humanidad estará siempre al lado de las víctimas, sin perjuicio de la forma humanitaria de la ejecución de la pena a su autor” (fundamento jurídico tercero).</w:t>
      </w:r>
    </w:p>
    <w:p w:rsidR="00D06117" w:rsidRDefault="00D06117" w:rsidP="00D06117">
      <w:pPr>
        <w:pStyle w:val="TextoNormal"/>
      </w:pPr>
    </w:p>
    <w:p w:rsidR="00D06117" w:rsidRDefault="00D06117" w:rsidP="00D06117">
      <w:pPr>
        <w:pStyle w:val="TextoNormal"/>
      </w:pPr>
      <w:r>
        <w:t>Este argumento es reiterado después en el fundamento jurídico cuarto, como una de las razones de apoyo de la nueva interpretación del art. 70.2 CP 1973: “e) teleológicamente, porque carecería de cualquier sentido que por el expresado camino de la acumulación se convirtiera en una nueva pena única de treinta años un amplio historial delictivo, igualando injustificadamente al autor de un solo delito con el condenado a una multitud de ellos, como es el caso enjuiciado. En efecto, carecería de cualquier lógica que por tal regla significase punitivamente lo mismo, cometer un asesinato que doscientos”.</w:t>
      </w:r>
    </w:p>
    <w:p w:rsidR="00D06117" w:rsidRDefault="00D06117" w:rsidP="00D06117">
      <w:pPr>
        <w:pStyle w:val="TextoNormal"/>
      </w:pPr>
    </w:p>
    <w:p w:rsidR="00D06117" w:rsidRDefault="00D06117" w:rsidP="00D06117">
      <w:pPr>
        <w:pStyle w:val="TextoNormal"/>
      </w:pPr>
      <w:r>
        <w:t>La problemática inherente a la acumulación jurídica de penas lleva aparejada esa irresoluble disparidad criticada, porque ante la magnitud de los delitos acumulados quiebra la posibilidad de una respuesta de justicia material acorde a esa gravedad y entran en juego otros principios del Estado de Derecho que limitan la intervención a una duración de la pena de cumplimiento verosímil y a la vez compatible con la prohibición de penalidades contrarias a la dignidad humana. Ciertamente, dicha autolimitación no obsta, dentro de las regulaciones posibles, que sea más acertada aquella que permita una graduación ajustada a los diferentes grupos de casos de acumulación delictiva, como la que ofrece el nuevo Código penal de 1995 en su artículo 76, que un sistema único e indiferenciado de acumulación.</w:t>
      </w:r>
    </w:p>
    <w:p w:rsidR="00D06117" w:rsidRDefault="00D06117" w:rsidP="00D06117">
      <w:pPr>
        <w:pStyle w:val="TextoNormal"/>
      </w:pPr>
    </w:p>
    <w:p w:rsidR="00D06117" w:rsidRDefault="00D06117" w:rsidP="00D06117">
      <w:pPr>
        <w:pStyle w:val="TextoNormal"/>
      </w:pPr>
      <w:r>
        <w:t xml:space="preserve">En efecto, no puede ignorarse que el límite de treinta años se aplica siempre a una acumulación de penas cuya suma sobrepasa esa cifra, lo que afecta por igual tanto a un sumatorio de treinta y dos años como a uno de cientos de años de prisión. Es lógico considerar inadecuado un sistema que permite tal equiparación, en disonancia con el principio de proporcionalidad que informa el sistema penal, pero un defecto de este cariz en la norma penal no legitima una reconstrucción judicial de la misma. Con la interpretación que analizamos, la pretensión de corregir esa incongruencia produce otra de signo contrario, ya que elimina por igual el cómputo de los días redimidos por trabajo sin atender a las enormes diferencias que pueden comportar dos casos distintos. Y además, por otro lado, conduce a que la aplicación de la acumulación jurídica ex art. 70.2 CP 1973 resulte más gravosa para el recluso que la derivada de las previsiones del nuevo Código penal de 1995 (arts. 76 y 78), ya que en éste la exclusión de los beneficios penitenciarios tiene un carácter facultativo y se limita a casos especialmente graves. En definitiva, trasladar las pautas político-criminales del nuevo código a la aplicación del anterior formalmente ya derogado, no solo no puede resolver los problemas de la disparidad apuntada sino que aboca a incoherencias sistemáticas graves porque una interpretación de una norma preexistente no puede llegar a establecer matizaciones incompatibles con el tenor de la ley, que solo el legislador puede fijar con la precisión requerida. En ese sentido, resulta paradójico que la aplicación de la norma antigua, al reformularse conforme a la interpretación realizada en la STS 197/2006, desemboque en una situación comparativamente peor para el afectado que la derivada de una aplicación retroactiva del Código penal de 1995, situación que de haberse podido prever por el afectado le hubiera conducido a solicitar en su momento la aplicación de la normativa posterior convertida en ley penal más favorable. Un despropósito que muestra la incompatibilidad de la </w:t>
      </w:r>
      <w:r>
        <w:lastRenderedPageBreak/>
        <w:t>citada interpretación con las exigencias de previsibilidad y certeza requeridas por el derecho fundamental a la legalidad penal.</w:t>
      </w:r>
    </w:p>
    <w:p w:rsidR="00D06117" w:rsidRDefault="00D06117" w:rsidP="00D06117">
      <w:pPr>
        <w:pStyle w:val="TextoNormal"/>
      </w:pPr>
    </w:p>
    <w:p w:rsidR="00D06117" w:rsidRDefault="00D06117" w:rsidP="00D06117">
      <w:pPr>
        <w:pStyle w:val="TextoNormal"/>
      </w:pPr>
      <w:r>
        <w:t>Transcurridos más de diez años desde la entrada en vigor del Código penal de 1995, algunas de las prescripciones del antiguo código resultan difíciles de entender desde la perspectiva de sus efectos, tanto más cuanto que éstos se proyectan todavía al tiempo presente. Así ocurre con la redención de penas por el trabajo y con la discordancia que produce reconocer que la duración nominal de la pena no coincide con la duración efectiva de la misma. Y lo mismo ocurre respecto a aquella técnica de acumulación jurídica que fijaba un único límite máximo de treinta años para todos los supuestos de concurrencia simultánea de penas cuya suma superara esa duración. El nuevo Código penal de 1995, en cambio, resulta más acertado en este punto, al establecer tres límites diferenciados de veinte, veinticinco y treinta años escalonadamente, en función de la gravedad de los delitos que conformen el conjunto de condenas a acumular. La consolidación de la nueva regulación en la praxis jurisdiccional puede explicar sociológicamente el rechazo a aquella regulación, pero no puede legitimar un giro interpretativo como el producido en la STS 197/2006, que responde a los criterios político criminales que informan las normas penales hoy vigentes, pero que no se corresponde con las que inspiraron al legislador de 1973.</w:t>
      </w:r>
    </w:p>
    <w:p w:rsidR="00D06117" w:rsidRDefault="00D06117" w:rsidP="00D06117">
      <w:pPr>
        <w:pStyle w:val="TextoNormal"/>
      </w:pPr>
    </w:p>
    <w:p w:rsidR="00D06117" w:rsidRDefault="00D06117" w:rsidP="00D06117">
      <w:pPr>
        <w:pStyle w:val="TextoNormal"/>
      </w:pPr>
      <w:r>
        <w:t>El Tribunal Europeo de Derechos Humanos se ha pronunciado recientemente en dos supuestos que presentan elementos comunes con la situación que ahora nos ocupa puesto que en ambos la aplicación judicial de la norma penal había forzado la interpretación para acomodarla al tenor de una reforma introducida con posterioridad a los hechos que endurecía el tratamiento punitivo. Así se declara la vulneración del art. 7 del Convenio en la STEDH de 24 de enero de 2012, Mihai Toma c. Rumania, en relación a la sanción de privación del permiso de conducir prevista como sanción de aplicación facultativa en el momento de los hechos, que una posterior reforma convirtió en obligatoria. En línea similar, si bien respecto a la tipificación de la conducta delictiva, en la STEDH de 7 de febrero de 2012, Alimuçaj c. Albania, se declara la vulneración del art. 7 del Convenio europeo para la protección de los derechos humanos y de las libertades fundamentales por haber aplicado el juzgador una interpretación extensiva e imprevisible para la imposición de una pena más grave que la prevista en el momento de los hechos, penalidad que se acomodaba a la nueva previsión punitiva de la estafa piramidal introducida en el Código penal poco después de la comisión del conjunto de estafas enjuiciadas.</w:t>
      </w:r>
    </w:p>
    <w:p w:rsidR="00D06117" w:rsidRDefault="00D06117" w:rsidP="00D06117">
      <w:pPr>
        <w:pStyle w:val="TextoNormal"/>
      </w:pPr>
    </w:p>
    <w:p w:rsidR="00D06117" w:rsidRDefault="00D06117" w:rsidP="00D06117">
      <w:pPr>
        <w:pStyle w:val="TextoNormal"/>
      </w:pPr>
      <w:r>
        <w:t xml:space="preserve">6. En nuestra Sentencia se presta especial atención a la denuncia de vulneración del art. 24.1 CE por afectación a la intangibilidad de las resoluciones judiciales. No hay duda de que la aplicación de una nueva interpretación in malam partem, que altera drásticamente los parámetros del cómputo de los días de condena cumplida, conmueve como mínimo la seguridad jurídica en su vertiente procesal de la intangibilidad de las resoluciones judiciales. Pero nuestra Sentencia condiciona la apreciación de la intangibilidad a la constatación de una explícita referencia en las resoluciones judiciales a la operatividad de la redención de penas por el trabajo sobre el límite de los 30 años establecido en el art. 70.2 CP 1973, adoptando un concepto de intangibilidad tan restringido que reduce notablemente la proyección de su campo de garantía, lo que no se cohonesta bien con nuestra propia doctrina que viene cifrando su finalidad en “salvaguardar la eficacia de una resolución judicial que, habiendo adquirido firmeza, ha conformado la realidad jurídica de una forma determinada que no puede desconocerse por otros órganos judiciales” (por todas, baste citar la STC 58/2000, de </w:t>
      </w:r>
      <w:r>
        <w:lastRenderedPageBreak/>
        <w:t>25 de febrero, FJ 5; y la reciente STC 62/2010, de 18 de octubre, FJ 4). Por ello se niega en la Sentencia que pueda atribuirse al Auto de acumulación un efecto de intangibilidad respecto a la aplicación del art. 100 en relación al art. 70.2, rechazando los argumentos del Ministerio Fiscal que basaban en la intangibilidad del referido Auto su posición favorable a la estimación del amparo.</w:t>
      </w:r>
    </w:p>
    <w:p w:rsidR="00D06117" w:rsidRDefault="00D06117" w:rsidP="00D06117">
      <w:pPr>
        <w:pStyle w:val="TextoNormal"/>
      </w:pPr>
    </w:p>
    <w:p w:rsidR="00D06117" w:rsidRDefault="00D06117" w:rsidP="00D06117">
      <w:pPr>
        <w:pStyle w:val="TextoNormal"/>
      </w:pPr>
      <w:r>
        <w:t>El formalista proceder de la argumentación de que hace gala nuestra Sentencia deja en la penumbra la realidad jurídica incontestable antes relatada: la aplicación general de las reglas del art. 100 para el cómputo del tiempo de pena cumplida, sin excepción alguna en las previsiones del sistema penal enmarcado en la vigencia del código de 1973. En efecto, la Sentencia fija la ratio decidendi en la simple constatación de la existencia o no de una mención explícita al art. 100 en las resoluciones que se refieren a la pena a cumplir. Con ello elude el problema principal de legalidad (art. 25.1 CE), y además, desde la propia perspectiva de intangibilidad acogida por la mayoría del Pleno, desconoce la omnipresencia de evidencias jurídicas y fácticas sobre la aplicación del art. 100, sin excepciones, en relación al art. 70.2, e ignora la necesaria diferenciación conceptual entre la duración nominal de la pena y la duración real de la misma, con trascendentales consecuencias en el derecho a la libertad personal (art. 17 CE). A mi juicio, aunque el efecto sobre la intangibilidad no constituye el aspecto central del amparo que nos ocupa, sino solo un efecto inescindible de la vulneración del art. 25.1 CE, desde aquella perspectiva debiera haberse adoptado un concepto sustancial de intangibilidad que, atendiendo a la situación jurídica conformada por la resolución judicial de manera implícita pero indubitada, habría conducido en el presente caso a reconocer la lesión de la tutela judicial efectiva en relación con las decisiones judiciales de acumulación de penas en aplicación del art. 70.2 CP 1973.</w:t>
      </w:r>
    </w:p>
    <w:p w:rsidR="00D06117" w:rsidRDefault="00D06117" w:rsidP="00D06117">
      <w:pPr>
        <w:pStyle w:val="TextoNormal"/>
      </w:pPr>
    </w:p>
    <w:p w:rsidR="00D06117" w:rsidRDefault="00D06117" w:rsidP="00D06117">
      <w:pPr>
        <w:pStyle w:val="TextoNormal"/>
      </w:pPr>
      <w:r>
        <w:t>7. El conjunto de los razonamientos expuestos conduce, a mi juicio, de forma patente, a concluir que la interpretación aplicada por remisión a la doctrina sentada en la STS 197/2006 puede calificarse de imprevisible porque adiciona al tenor literal de la ley una exigencia no incluida en ella como es la de que el cumplimiento de la condena deba realizarse en toda su extensión “en un centro penitenciario”, excluyendo con ello la regla general del Código penal de 1973 de redención de penas por trabajo. Asimismo, resulta incoherente en el contexto del sistema normativo del Código penal de 1973 y aboca a resultados incongruentes en la selección de la norma aplicable. A ello se une que la fundamentación material aducida en apoyo del cambio de criterio, aunque resulte más ajustada a criterios de justicia material y de técnica legal, no se cohonesta con las premisas político-criminales que inspiraban la redención de penas por trabajo y las pautas sistemáticas y técnicas del aquel Código penal ya derogado, que es el aplicado al supuesto que motiva este recurso de amparo.</w:t>
      </w:r>
    </w:p>
    <w:p w:rsidR="00D06117" w:rsidRDefault="00D06117" w:rsidP="00D06117">
      <w:pPr>
        <w:pStyle w:val="TextoNormal"/>
      </w:pPr>
    </w:p>
    <w:p w:rsidR="00D06117" w:rsidRDefault="00D06117" w:rsidP="00D06117">
      <w:pPr>
        <w:pStyle w:val="TextoNormal"/>
      </w:pPr>
      <w:r>
        <w:t>Por ello, considero que debiera haberse estimado el presente recurso de amparo por vulneración de los arts., 17.1, 24.1 y 25.1 CE.</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4" w:name="SENTENCIA_2012_41"/>
      <w:r>
        <w:lastRenderedPageBreak/>
        <w:t>SENTENCIA 41/2012, de 29 de marzo de 2012</w:t>
      </w:r>
    </w:p>
    <w:bookmarkEnd w:id="4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ECLI:ES:TC:2012:41</w:t>
      </w:r>
    </w:p>
    <w:p w:rsidR="00D06117" w:rsidRDefault="00D06117" w:rsidP="00D06117">
      <w:pPr>
        <w:pStyle w:val="SntesisDescriptiva"/>
      </w:pPr>
    </w:p>
    <w:p w:rsidR="00D06117" w:rsidRDefault="00D06117" w:rsidP="00D06117">
      <w:pPr>
        <w:pStyle w:val="SntesisDescriptiva"/>
      </w:pPr>
      <w:r>
        <w:t>Recurso de amparo 7325-2006. Promovido por don Juan Francisco Gómez López con respecto a las resoluciones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9].</w:t>
      </w:r>
    </w:p>
    <w:p w:rsidR="00D06117" w:rsidRDefault="00D06117" w:rsidP="00D06117">
      <w:pPr>
        <w:pStyle w:val="Extracto"/>
      </w:pPr>
    </w:p>
    <w:p w:rsidR="00D06117" w:rsidRDefault="00D06117" w:rsidP="00D06117">
      <w:pPr>
        <w:pStyle w:val="Extracto"/>
      </w:pPr>
      <w:r>
        <w:t>2.</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[FJ 8].</w:t>
      </w:r>
    </w:p>
    <w:p w:rsidR="00D06117" w:rsidRDefault="00D06117" w:rsidP="00D06117">
      <w:pPr>
        <w:pStyle w:val="Extracto"/>
      </w:pPr>
    </w:p>
    <w:p w:rsidR="00D06117" w:rsidRDefault="00D06117" w:rsidP="00D06117">
      <w:pPr>
        <w:pStyle w:val="Extracto"/>
      </w:pPr>
      <w:r>
        <w:t>3.</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10].</w:t>
      </w:r>
    </w:p>
    <w:p w:rsidR="00D06117" w:rsidRDefault="00D06117" w:rsidP="00D06117">
      <w:pPr>
        <w:pStyle w:val="Extracto"/>
      </w:pPr>
    </w:p>
    <w:p w:rsidR="00D06117" w:rsidRDefault="00D06117" w:rsidP="00D06117">
      <w:pPr>
        <w:pStyle w:val="Extracto"/>
      </w:pPr>
      <w:r>
        <w:t>4.</w:t>
      </w:r>
      <w:r>
        <w:tab/>
        <w:t>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y su evolución muestren que se hallan en condiciones de rehacer su vida en libertad [FJ 10].</w:t>
      </w:r>
    </w:p>
    <w:p w:rsidR="00D06117" w:rsidRDefault="00D06117" w:rsidP="00D06117">
      <w:pPr>
        <w:pStyle w:val="Extracto"/>
      </w:pPr>
    </w:p>
    <w:p w:rsidR="00D06117" w:rsidRDefault="00D06117" w:rsidP="00D06117">
      <w:pPr>
        <w:pStyle w:val="Extracto"/>
      </w:pPr>
      <w:r>
        <w:t>5.</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6].</w:t>
      </w:r>
    </w:p>
    <w:p w:rsidR="00D06117" w:rsidRDefault="00D06117" w:rsidP="00D06117">
      <w:pPr>
        <w:pStyle w:val="Extracto"/>
      </w:pPr>
    </w:p>
    <w:p w:rsidR="00D06117" w:rsidRDefault="00D06117" w:rsidP="00D06117">
      <w:pPr>
        <w:pStyle w:val="Extracto"/>
      </w:pPr>
      <w:r>
        <w:t>6.</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6].</w:t>
      </w:r>
    </w:p>
    <w:p w:rsidR="00D06117" w:rsidRDefault="00D06117" w:rsidP="00D06117">
      <w:pPr>
        <w:pStyle w:val="Extracto"/>
      </w:pPr>
    </w:p>
    <w:p w:rsidR="00D06117" w:rsidRDefault="00D06117" w:rsidP="00D06117">
      <w:pPr>
        <w:pStyle w:val="Extracto"/>
      </w:pPr>
      <w:r>
        <w:t>7.</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6].</w:t>
      </w:r>
    </w:p>
    <w:p w:rsidR="00D06117" w:rsidRDefault="00D06117" w:rsidP="00D06117">
      <w:pPr>
        <w:pStyle w:val="Extracto"/>
      </w:pPr>
    </w:p>
    <w:p w:rsidR="00D06117" w:rsidRDefault="00D06117" w:rsidP="00D06117">
      <w:pPr>
        <w:pStyle w:val="Extracto"/>
      </w:pPr>
      <w:r>
        <w:t>8.</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7].</w:t>
      </w:r>
    </w:p>
    <w:p w:rsidR="00D06117" w:rsidRDefault="00D06117" w:rsidP="00D06117">
      <w:pPr>
        <w:pStyle w:val="Extracto"/>
      </w:pPr>
    </w:p>
    <w:p w:rsidR="00D06117" w:rsidRDefault="00D06117" w:rsidP="00D06117">
      <w:pPr>
        <w:pStyle w:val="Extracto"/>
      </w:pPr>
      <w:r>
        <w:t>9.</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7].</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62/2010, 15/2006) [FJ 7].</w:t>
      </w:r>
    </w:p>
    <w:p w:rsidR="00D06117" w:rsidRDefault="00D06117" w:rsidP="00D06117">
      <w:pPr>
        <w:pStyle w:val="Extracto"/>
      </w:pPr>
    </w:p>
    <w:p w:rsidR="00D06117" w:rsidRDefault="00D06117" w:rsidP="00D06117">
      <w:pPr>
        <w:pStyle w:val="Extracto"/>
      </w:pPr>
      <w:r>
        <w:t>11.</w:t>
      </w:r>
      <w:r>
        <w:tab/>
        <w:t xml:space="preserve">El derecho a la intangibilidad de las resoluciones judiciales firmes, consagrado en el art. 24.1 CE como una de las vertientes del derecho a la tutela judicial efectiva, se proyecta sobre todas aquellas cuestiones que una resolución judicial firme haya </w:t>
      </w:r>
      <w:r>
        <w:lastRenderedPageBreak/>
        <w:t>resuelto, conformando así la realidad jurídica en un cierto sentido, que no puede ser ignorada o contradicha ni por el propio órgano judicial, ni por otros órganos judiciales en procesos conexos [FJ 7].</w:t>
      </w:r>
    </w:p>
    <w:p w:rsidR="00D06117" w:rsidRDefault="00D06117" w:rsidP="00D06117">
      <w:pPr>
        <w:pStyle w:val="Extracto"/>
      </w:pPr>
    </w:p>
    <w:p w:rsidR="00D06117" w:rsidRDefault="00D06117" w:rsidP="00D06117">
      <w:pPr>
        <w:pStyle w:val="Extracto"/>
      </w:pPr>
      <w:r>
        <w:t>12.</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5].</w:t>
      </w:r>
    </w:p>
    <w:p w:rsidR="00D06117" w:rsidRDefault="00D06117" w:rsidP="00D06117">
      <w:pPr>
        <w:pStyle w:val="Extracto"/>
      </w:pPr>
    </w:p>
    <w:p w:rsidR="00D06117" w:rsidRDefault="00D06117" w:rsidP="00D06117">
      <w:pPr>
        <w:pStyle w:val="Extracto"/>
      </w:pPr>
      <w:r>
        <w:t>13.</w:t>
      </w:r>
      <w:r>
        <w:tab/>
        <w:t>Mediante las alegaciones formuladas en la vía judicial se ha de poner en conocimiento del órgano judicial el hecho fundamentador de la vulneración, de modo que la pretensión deducida en amparo no tenga un contenido distinto a la que se hizo valer ante los órganos judiciales evitando así que el recurso de amparo se convierta en un remedio alternativo e independiente de protección de los derechos fundamentales (SSTC 201/2000, 29/2004) [FJ 4].</w:t>
      </w:r>
    </w:p>
    <w:p w:rsidR="00D06117" w:rsidRDefault="00D06117" w:rsidP="00D06117">
      <w:pPr>
        <w:pStyle w:val="Extracto"/>
      </w:pPr>
    </w:p>
    <w:p w:rsidR="00D06117" w:rsidRDefault="00D06117" w:rsidP="00D06117">
      <w:pPr>
        <w:pStyle w:val="Extracto"/>
      </w:pPr>
      <w:r>
        <w:t>14.</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3].</w:t>
      </w:r>
    </w:p>
    <w:p w:rsidR="00D06117" w:rsidRDefault="00D06117" w:rsidP="00D06117">
      <w:pPr>
        <w:pStyle w:val="Extracto"/>
      </w:pPr>
    </w:p>
    <w:p w:rsidR="00D06117" w:rsidRDefault="00D06117" w:rsidP="00D06117">
      <w:pPr>
        <w:pStyle w:val="Extracto"/>
      </w:pPr>
      <w:r>
        <w:t>15.</w:t>
      </w:r>
      <w:r>
        <w:tab/>
        <w:t xml:space="preserve">La diligencia de la parte para la tutela de su derecho ante los Tribunales ordinarios no alcanza a exigirle, </w:t>
      </w:r>
      <w:r w:rsidRPr="00D06117">
        <w:rPr>
          <w:i/>
        </w:rPr>
        <w:t>a priori</w:t>
      </w:r>
      <w:r>
        <w:t>, la interposición de recursos de dudosa viabilidad, por lo que no cabe considerar que existe falta de agotamiento de la vía judicial previa por no haberse interpuesto recurso de casación contra los Autos de licenciamiento definitivo (SSTC 210/1994, 114/2008)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7325-2006, promovido por don Juan Francisco Gómez López, representado por el Procurador de los Tribunales don José Javier Cuevas Rivas y </w:t>
      </w:r>
      <w:r>
        <w:lastRenderedPageBreak/>
        <w:t>asistido por el Letrado don Iñaki Goioaga Llano, contra el Auto de la Sección Segunda de la Sala de lo Penal de la Audiencia Nacional, de 7 de junio de 2006, que desestima el recurso de súplica interpuesto contra el Auto de 4 de mayo de 2006, dictados ambos en la ejecutoria núm. 22-1992. Ha intervenido el Ministerio Fiscal y ha comparecido el Abogado del Estado.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registrado en este Tribunal el 11 de julio de 2006, el Procurador de los Tribunales don José Javier Cuevas Rivas, en nombre y representación de don Juan Francisco Gómez López,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sucintamente expuestos, los siguientes:</w:t>
      </w:r>
    </w:p>
    <w:p w:rsidR="00D06117" w:rsidRDefault="00D06117" w:rsidP="00D06117">
      <w:pPr>
        <w:pStyle w:val="TextoNormal"/>
      </w:pPr>
    </w:p>
    <w:p w:rsidR="00D06117" w:rsidRDefault="00D06117" w:rsidP="00D06117">
      <w:pPr>
        <w:pStyle w:val="TextoNormal"/>
      </w:pPr>
      <w:r>
        <w:t>a) El demandante se encuentra cumpliendo condena en virtud de Sentencia dictada por la Sección Segunda de la Sala de lo Penal de la Audiencia Nacional de 21 de octubre de 1990 (rollo de Sala núm. 20-1989, ejecutoria núm. 22-1992), en la que se le impusieron cinco penas privativas de libertad: una de ocho años de prisión mayor por un delito de pertenencia a banda armada; dos penas de once años de prisión mayor por sendos delitos de depósito de armas de guerra y de tenencia de explosivos; una pena de dieciocho años de reclusión mayor por un delito de atentado en grado de tentativa; y una última pena de cinco meses de arresto mayor por un delito de coacciones. Esta Sentencia fue declarada firme por providencia de 11 de marzo de 1992.</w:t>
      </w:r>
    </w:p>
    <w:p w:rsidR="00D06117" w:rsidRDefault="00D06117" w:rsidP="00D06117">
      <w:pPr>
        <w:pStyle w:val="TextoNormal"/>
      </w:pPr>
    </w:p>
    <w:p w:rsidR="00D06117" w:rsidRDefault="00D06117" w:rsidP="00D06117">
      <w:pPr>
        <w:pStyle w:val="TextoNormal"/>
      </w:pPr>
      <w:r>
        <w:t>En la propia Sentencia condenatoria se acuerda que en el cumplimiento de las penas su duración no podrá exceder de treinta años.</w:t>
      </w:r>
    </w:p>
    <w:p w:rsidR="00D06117" w:rsidRDefault="00D06117" w:rsidP="00D06117">
      <w:pPr>
        <w:pStyle w:val="TextoNormal"/>
      </w:pPr>
    </w:p>
    <w:p w:rsidR="00D06117" w:rsidRDefault="00D06117" w:rsidP="00D06117">
      <w:pPr>
        <w:pStyle w:val="TextoNormal"/>
      </w:pPr>
      <w:r>
        <w:t>b) El día 25 de marzo de 1992 se practicó una primera liquidación de condena, aprobada por providencia de 31 de marzo de 1992, en la que se establece, por aplicación de la regla 2 del art. 70 del Código penal (CP) de 1973, como periodo máximo de privación de libertad el de treinta años y que la pena estará cumplida el 15 de abril de 2019.</w:t>
      </w:r>
    </w:p>
    <w:p w:rsidR="00D06117" w:rsidRDefault="00D06117" w:rsidP="00D06117">
      <w:pPr>
        <w:pStyle w:val="TextoNormal"/>
      </w:pPr>
    </w:p>
    <w:p w:rsidR="00D06117" w:rsidRDefault="00D06117" w:rsidP="00D06117">
      <w:pPr>
        <w:pStyle w:val="TextoNormal"/>
      </w:pPr>
      <w:r>
        <w:t>c) Por Auto de la misma Sala y Sección de 30 de mayo de 1996, asimismo firme, se acordó, conforme a las disposiciones transitorias del nuevo Código penal de 1995, que no procedía revisar las penas impuestas al señor Gómez López.</w:t>
      </w:r>
    </w:p>
    <w:p w:rsidR="00D06117" w:rsidRDefault="00D06117" w:rsidP="00D06117">
      <w:pPr>
        <w:pStyle w:val="TextoNormal"/>
      </w:pPr>
    </w:p>
    <w:p w:rsidR="00D06117" w:rsidRDefault="00D06117" w:rsidP="00D06117">
      <w:pPr>
        <w:pStyle w:val="TextoNormal"/>
      </w:pPr>
      <w:r>
        <w:t xml:space="preserve">d) Por Auto de 18 de julio de 2002 el Juzgado de Vigilancia Penitenciaria de Bilbao acordó estimar la queja formulada por el interno y, en consecuencia, progresarle a tercer grado de tratamiento y concederle la libertad condicional en la presente causa (entendiendo que había cumplido tres cuartas partes de condena sobre la base del cómputo de la redención de penas por trabajo al máximo de cumplimiento de treinta años). El recurrente disfrutó de libertad condicional desde el día 30 de julio de 2002 hasta que reingresó voluntariamente en prisión el día 25 de noviembre de 2003, tras ser declarada por Auto de 20 de noviembre de 2003 de la Sección Segunda de la Sala de lo Penal de la Audiencia Nacional la nulidad </w:t>
      </w:r>
      <w:r>
        <w:lastRenderedPageBreak/>
        <w:t>de pleno derecho del Auto de 18 de julio de 2002 del Juzgado de Vigilancia Penitenciaria de Bilbao, por entender la Audiencia Nacional que esta resolución se había dictado con manifiesta falta de competencia objetiva.</w:t>
      </w:r>
    </w:p>
    <w:p w:rsidR="00D06117" w:rsidRDefault="00D06117" w:rsidP="00D06117">
      <w:pPr>
        <w:pStyle w:val="TextoNormal"/>
      </w:pPr>
    </w:p>
    <w:p w:rsidR="00D06117" w:rsidRDefault="00D06117" w:rsidP="00D06117">
      <w:pPr>
        <w:pStyle w:val="TextoNormal"/>
      </w:pPr>
      <w:r>
        <w:t>e) Tras el reingreso del demandante de amparo en prisión, se practicó el 27 de noviembre de 2003 una nueva liquidación de condena sobre un total de treinta años (10.950 días), de la que se descuentan los días cumplidos como preventivo, como penado y en libertad condicional, conforme a la cual restaban por cumplir desde la fecha de reingreso en prisión 5.621 días, lo que determinaría el cumplimiento definitivo sin cómputo de redenciones el día 15 de abril de 2019. Dicha liquidación fue aprobada por la misma Sala y Sección mediante providencia de 3 de diciembre de 2003.</w:t>
      </w:r>
    </w:p>
    <w:p w:rsidR="00D06117" w:rsidRDefault="00D06117" w:rsidP="00D06117">
      <w:pPr>
        <w:pStyle w:val="TextoNormal"/>
      </w:pPr>
    </w:p>
    <w:p w:rsidR="00D06117" w:rsidRDefault="00D06117" w:rsidP="00D06117">
      <w:pPr>
        <w:pStyle w:val="TextoNormal"/>
      </w:pPr>
      <w:r>
        <w:t>f) Mediante Auto de 4 de mayo de 2006, confirmado en súplica por Auto de 7 de junio de 2006, la Sección Segunda de la Sala de lo Penal de la Audiencia Nacional acordó aprobar el licenciamiento definitivo del recurrente para el día 19 de septiembre de 2018, en aplicación del criterio jurisprudencial de cómputo de la redención de penas por el trabajo en penas acumuladas establecido por la Sentencia de la Sala de lo Penal del Tribunal Supremo núm. 197/2006, de 28 de febrero, sin perjuicio de las redenciones que le pudieran ser aplicadas en su día, rechazando, al mismo tiempo, la propuesta alternativa del centro penitenciario de La Moraleja-Dueñas (Palencia) en el que se encontraba en ese momento interno el recurrente, que fijaba como fecha de licenciamiento definitivo el día 14 de junio de 2006, resultado de aplicar el criterio de cómputo anterior a dicha Sentencia.</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los siete motivos o quejas que a continuación se señalan.</w:t>
      </w:r>
    </w:p>
    <w:p w:rsidR="00D06117" w:rsidRDefault="00D06117" w:rsidP="00D06117">
      <w:pPr>
        <w:pStyle w:val="TextoNormal"/>
      </w:pPr>
    </w:p>
    <w:p w:rsidR="00D06117" w:rsidRDefault="00D06117" w:rsidP="00D06117">
      <w:pPr>
        <w:pStyle w:val="TextoNormal"/>
      </w:pPr>
      <w:r>
        <w:t>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las resoluciones impugnadas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y que compromete, en consecuencia, la imparcialidad de la Audiencia Nacional. Por otra parte, sostiene el recurrente que la Audiencia Nacional, al aplicar la nueva doctrina del Tribunal Supremo sin oírle previamente ha impedido su derecho a la segunda instancia, pues el Tribunal Constitucional es el primer órgano al que se ha podido dirigir el recurrente para reclamar frente a la indefensión creada.</w:t>
      </w:r>
    </w:p>
    <w:p w:rsidR="00D06117" w:rsidRDefault="00D06117" w:rsidP="00D06117">
      <w:pPr>
        <w:pStyle w:val="TextoNormal"/>
      </w:pPr>
    </w:p>
    <w:p w:rsidR="00D06117" w:rsidRDefault="00D06117" w:rsidP="00D06117">
      <w:pPr>
        <w:pStyle w:val="TextoNormal"/>
      </w:pPr>
      <w:r>
        <w:t xml:space="preserve">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w:t>
      </w:r>
      <w:r>
        <w:lastRenderedPageBreak/>
        <w:t>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En el tercer motivo de amparo denuncia el recurrente la vulneración del derecho a la tutela judicial efectiva sin indefensión (art. 24.1 CE), en cuanto garantiza la intangibilidad de las resoluciones judiciales firmes, en relación con el derecho a la libertad (art. 17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una expectativa de importante acortamiento de su condena.</w:t>
      </w:r>
    </w:p>
    <w:p w:rsidR="00D06117" w:rsidRDefault="00D06117" w:rsidP="00D06117">
      <w:pPr>
        <w:pStyle w:val="TextoNormal"/>
      </w:pPr>
    </w:p>
    <w:p w:rsidR="00D06117" w:rsidRDefault="00D06117" w:rsidP="00D06117">
      <w:pPr>
        <w:pStyle w:val="TextoNormal"/>
      </w:pPr>
      <w:r>
        <w:t>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00D06117" w:rsidRDefault="00D06117" w:rsidP="00D06117">
      <w:pPr>
        <w:pStyle w:val="TextoNormal"/>
      </w:pPr>
    </w:p>
    <w:p w:rsidR="00D06117" w:rsidRDefault="00D06117" w:rsidP="00D06117">
      <w:pPr>
        <w:pStyle w:val="TextoNormal"/>
      </w:pPr>
      <w:r>
        <w:t>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 Añade, más específicamente, que dicho trato desigual se pone de manifiesto en relación con otro coimputado en la misma causa —el señor González Baños— de quien, se afirma, fue puesto en libertad definitiva el 26 de enero de 2006, pese a haber sido condenado por los mismos hechos y a las mismas penas, lo que pondría de relieve que a él sí se le han aplicado los beneficios penitenciarios con otra forma de cómputo.</w:t>
      </w:r>
    </w:p>
    <w:p w:rsidR="00D06117" w:rsidRDefault="00D06117" w:rsidP="00D06117">
      <w:pPr>
        <w:pStyle w:val="TextoNormal"/>
      </w:pPr>
    </w:p>
    <w:p w:rsidR="00D06117" w:rsidRDefault="00D06117" w:rsidP="00D06117">
      <w:pPr>
        <w:pStyle w:val="TextoNormal"/>
      </w:pPr>
      <w:r>
        <w:t xml:space="preserve">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28 de febrero, </w:t>
      </w:r>
      <w:r>
        <w:lastRenderedPageBreak/>
        <w:t>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D06117" w:rsidRDefault="00D06117" w:rsidP="00D06117">
      <w:pPr>
        <w:pStyle w:val="TextoNormal"/>
      </w:pPr>
    </w:p>
    <w:p w:rsidR="00D06117" w:rsidRDefault="00D06117" w:rsidP="00D06117">
      <w:pPr>
        <w:pStyle w:val="TextoNormal"/>
      </w:pPr>
      <w:r>
        <w:t>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30 de octubre de 2007, la Sala Segunda de este Tribunal acordó la admisión a trámite de la demanda así como, a tenor de lo establecido en el art. 51 de la Ley Orgánica del Tribunal Constitucional (LOTC), requerir atentamente a la Sección Segunda de la Sala de lo Penal de la Audiencia Nacional para que remitiera testimonio de las actuaciones correspondientes a la ejecutoria núm. 22-1992, interesando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ATC 19/2008, de 22 de enero, la Sala Segunda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11 de febrero de 2008 se acordó tener por personado y parte al Abogado del Estado y dar vista de las actuaciones a las partes personadas y al Ministerio Fiscal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día 7 de marzo de 2008 tuvo entrada en el Registro General de este Tribunal escrito de alegaciones del Abogado del Estado, quien considera que la demanda en su conjunto es inadmisible por falta de agotamiento de la vía judicial previa, al no haberse interpuesto recurso de casación contra el Auto de 7 de junio de 2006. Subsidiariamente, interesa que se declaren inadmisibles los motivos de amparo primero, segundo y tercero (por falta de invocación de la queja ante la jurisdicción ordinaria) y se desestime el recurso en todo lo demás. Y, en defecto de todo lo anterior, que se desestime íntegramente el recurso.</w:t>
      </w:r>
    </w:p>
    <w:p w:rsidR="00D06117" w:rsidRDefault="00D06117" w:rsidP="00D06117">
      <w:pPr>
        <w:pStyle w:val="TextoNormal"/>
      </w:pPr>
    </w:p>
    <w:p w:rsidR="00D06117" w:rsidRDefault="00D06117" w:rsidP="00D06117">
      <w:pPr>
        <w:pStyle w:val="TextoNormal"/>
      </w:pPr>
      <w:r>
        <w:lastRenderedPageBreak/>
        <w:t>En primer lugar, solicita la inadmisión de la demanda de amparo al dirigirse contra dos autos que, conforme al art. 988 de la Ley de enjuiciamiento criminal (LECrim) en relación con el art. 848 de la misma, al señalar un máximo o límite de cumplimiento, eran recurribles en casación, de manera que este recurso extraordinario podía y debía haber sido interpuesto para agotar correctamente la vía judicial previa. Admite el Abogado del Estado que el art. 988 LECrim se refiere a la hipótesis de que el culpable haya sido condenado en distintos procesos por hechos que pudieron serlo en uno sólo, mientras que el solicitante de amparo fue condenado en un solo proceso por varios delitos, pero sostiene que una circunstancia como esta, “casi siempre debida al azar” no impide que el presente caso deba subsumirse en el art. 988 LECrim. Admite que podría objetarse que el órgano judicial aceptó que el Auto de 4 de mayo de 2006 fuera recurrido en súplica, pero entiende que la Sala obró así sin duda para dar oportunidad al recurrente de ser oído y que sólo el Auto de 7 de junio, que resuelve la súplica, puede considerarse que resuelve definitivamente la cuestión del límite de cumplimiento.</w:t>
      </w:r>
    </w:p>
    <w:p w:rsidR="00D06117" w:rsidRDefault="00D06117" w:rsidP="00D06117">
      <w:pPr>
        <w:pStyle w:val="TextoNormal"/>
      </w:pPr>
    </w:p>
    <w:p w:rsidR="00D06117" w:rsidRDefault="00D06117" w:rsidP="00D06117">
      <w:pPr>
        <w:pStyle w:val="TextoNormal"/>
      </w:pPr>
      <w:r>
        <w:t>Con carácter subsidiario, se analizan cada una de las violaciones de derechos fundamentales razonadas en la demanda, examinando consecutivamente los motivos de amparo.</w:t>
      </w:r>
    </w:p>
    <w:p w:rsidR="00D06117" w:rsidRDefault="00D06117" w:rsidP="00D06117">
      <w:pPr>
        <w:pStyle w:val="TextoNormal"/>
      </w:pPr>
    </w:p>
    <w:p w:rsidR="00D06117" w:rsidRDefault="00D06117" w:rsidP="00D06117">
      <w:pPr>
        <w:pStyle w:val="TextoNormal"/>
      </w:pPr>
      <w:r>
        <w:t>a) En relación con el primer motivo de amparo considera que debe ser rechazado con arreglo al art. 44.1 c) LOTC, por no haber sido invocado previamente. No obstante, sostiene que, en cualquier caso, debe desestimarse, puesto que las resoluciones judiciales recurridas se refieren a la ejecución de una sentencia condenatoria que impone varias penas privativas de libertad por cinco delitos distintos y por ello considera que es obvio que una cuestión relativa a si es conforme o contraria a la Constitución una determinada interpretación del art. 70 CP 1973, en relación con el art. 100 del mismo cuerpo legal, nada tiene que ver con el derecho a ser informado de la acusación, ni el principio acusatorio, que operan dentro el proceso penal, ya terminado por sentencia condenatoria dictada hace tiempo.</w:t>
      </w:r>
    </w:p>
    <w:p w:rsidR="00D06117" w:rsidRDefault="00D06117" w:rsidP="00D06117">
      <w:pPr>
        <w:pStyle w:val="TextoNormal"/>
      </w:pPr>
    </w:p>
    <w:p w:rsidR="00D06117" w:rsidRDefault="00D06117" w:rsidP="00D06117">
      <w:pPr>
        <w:pStyle w:val="TextoNormal"/>
      </w:pPr>
      <w:r>
        <w:t>Considera el Abogado del Estado que los Autos recurridos son perfectamente conciliables con la doctrina del anterior Auto de 30 de mayo de 1996, que se aporta con la demanda, en el que se declaró no haber lugar a la revisión de la condena del solicitante de amparo como consecuencia de la publicación del nuevo Código penal de 1995. En efecto, la nueva doctrina del Tribunal Supremo relativa a cómo han de cumplirse las penas y entenderse el límite de cumplimiento —reglas 1 y 2 del art. 70 CP 1973— sigue permitiendo la aplicación de beneficios penitenciarios que, como la reducción o redención de penas por el trabajo, ha dejado de existir en el nuevo Código penal de 1995. Tanto con los antiguos, como con los nuevos criterios de aplicación del art. 70 CP 1973, la efectiva privación de libertad que debe cumplir el actor queda por debajo de la resultante del art. 76 CP 1995, en cualquiera de sus sucesivas redacciones. Y afirma que en la demanda no hay la más mínima referencia a que la aplicación del Código penal de 1995 resultara más beneficiosa para el demandante de amparo. Tampoco se entiende la queja por la supuesta privación del derecho a la segunda instancia penal, cuando no se ha intentado recurrir en casación el Auto de 7 de junio de 2006; en cualquier caso, advierte el Abogado del Estado que este derecho, en cuanto garantizado por el art. 24.2 CE, opera respecto al fallo condenatorio, no respecto de resoluciones dictadas en ejecución de Sentencia sobre determinación de la fecha de licenciamiento penitenciario definitivo.</w:t>
      </w:r>
    </w:p>
    <w:p w:rsidR="00D06117" w:rsidRDefault="00D06117" w:rsidP="00D06117">
      <w:pPr>
        <w:pStyle w:val="TextoNormal"/>
      </w:pPr>
    </w:p>
    <w:p w:rsidR="00D06117" w:rsidRDefault="00D06117" w:rsidP="00D06117">
      <w:pPr>
        <w:pStyle w:val="TextoNormal"/>
      </w:pPr>
      <w:r>
        <w:lastRenderedPageBreak/>
        <w:t>b) Sobre el segundo motivo de amparo, considera el Abogado del Estado que es también inadmisible con arreglo al art. 44.l c) LOTC, porque nada hay en el recurso de súplica que pueda estimarse que lo anticipa o plantea siquiera en esbozo.</w:t>
      </w:r>
    </w:p>
    <w:p w:rsidR="00D06117" w:rsidRDefault="00D06117" w:rsidP="00D06117">
      <w:pPr>
        <w:pStyle w:val="TextoNormal"/>
      </w:pPr>
    </w:p>
    <w:p w:rsidR="00D06117" w:rsidRDefault="00D06117" w:rsidP="00D06117">
      <w:pPr>
        <w:pStyle w:val="TextoNormal"/>
      </w:pPr>
      <w:r>
        <w:t>Subsidiariamente, entiende que el motivo debe ser desestimado. Ni el art. 9.3 CE ni el art. 25.2 CE proclaman ningún derecho fundamental amparable, además, la demanda no razona en qué consiste la infracción del art. 25.2 CE que alega. Asimismo, el art. 202 del Reglamento penitenciario de 1996 define en su apartado 1 los beneficios penitenciarios, que enumera en el apartado 2, sin incluir ya la redención o reducción de penas por el trabajo, suprimida por el Código penal de 1995 y sólo aplicable en los términos que resultan de la disposición transitoria la del Reglamento penitenciario de 1996, por lo que las resoluciones recurridas no se refieren para nada al citado precepto reglamentario. Ni los Autos aquí recurridos, ni la STS de 28 de febrero de 2006, aclara el Abogado del Estado, interpretan propiamente el art. 100 CP 1973, sino cómo debe entenderse el cumplimiento sucesivo de penas privativas de libertad y el límite máximo de cumplimiento establecido en las dos reglas del art. 70 CP 1973. La consideración del art. 100 CP 1973, al efecto de aplicar sobre la pena el beneficio de la redención, es pura consecuencia del significado y alcance asignado al repetido art. 70 CP 1973. En cualquier caso, el modo en que se interpreten las normas sobre beneficios penitenciarios queda fuera del ámbito del art. 25.1 CE, que se refiere exclusivamente a la interpretación y aplicación de normas determinantes de una condena penal o sanción administrativa por acciones u omisiones constitutivas de delito, falta o infracción administrativa. Esto mismo cabe afirmar, en opinión del Abogado del Estado, respecto al art. 70 CP 1973.</w:t>
      </w:r>
    </w:p>
    <w:p w:rsidR="00D06117" w:rsidRDefault="00D06117" w:rsidP="00D06117">
      <w:pPr>
        <w:pStyle w:val="TextoNormal"/>
      </w:pPr>
    </w:p>
    <w:p w:rsidR="00D06117" w:rsidRDefault="00D06117" w:rsidP="00D06117">
      <w:pPr>
        <w:pStyle w:val="TextoNormal"/>
      </w:pPr>
      <w:r>
        <w:t>c) En cuando al tercer motivo de amparo, sostiene el Abogado del Estado que esta cuestión no fue planteada en vía judicial, por lo que el motivo es inadmisible [art. 44.1 c) LOTC]. Subsidiariamente solicita su desestimación. El propio recurrente admite que los reconocimientos jurisdiccionales del beneficio penitenciario quedan intactos, lo único que ocurre es que las redenciones reconocidas no se aplican sobre una ficticia pena única de treinta años, sino sobre cada una de las que sucesivamente se cumplan hasta extinguirlas, comenzando por la más grave. Ahora bien, no hay base alguna para sostener que el derecho a la tutela judicial efectiva incorpore el derecho a que, durante el lapso de tiempo de cumplimiento de las penas privativas de libertad, no cambie —en sentido desfavorable para los penados— la jurisprudencia que interpreta las normas pertinentes del Código penal o del reglamento penitenciario.</w:t>
      </w:r>
    </w:p>
    <w:p w:rsidR="00D06117" w:rsidRDefault="00D06117" w:rsidP="00D06117">
      <w:pPr>
        <w:pStyle w:val="TextoNormal"/>
      </w:pPr>
    </w:p>
    <w:p w:rsidR="00D06117" w:rsidRDefault="00D06117" w:rsidP="00D06117">
      <w:pPr>
        <w:pStyle w:val="TextoNormal"/>
      </w:pPr>
      <w:r>
        <w:t>Respecto del cuarto motivo de amparo estima el Abogado del Estado que la premisa de que parte es arbitraria y gratuita, pues ni la Sentencia de la Sala de lo Penal del Tribunal Supremo ni los dos Autos aquí recurridos aplican el art. 78 CP 1995, sino el art. 70 CP 1973, al que dan una nueva interpretación. El auténtico problema constitucional que en este asunto se suscita es, simplemente, si resulta conforme con la Constitución (y especialmente con su art. 25.1) un cambio de jurisprudencia sobre el modo de cumplir las penas y su límite máximo que se pretende aplicar a quienes estaban ya expiándolas. Para el Abogado del Estado es claro que tanto el art 9.3 CE como el art. 25.1 CE sólo garantizan la irretroactividad de las normas legales y reglamentarias.</w:t>
      </w:r>
    </w:p>
    <w:p w:rsidR="00D06117" w:rsidRDefault="00D06117" w:rsidP="00D06117">
      <w:pPr>
        <w:pStyle w:val="TextoNormal"/>
      </w:pPr>
    </w:p>
    <w:p w:rsidR="00D06117" w:rsidRDefault="00D06117" w:rsidP="00D06117">
      <w:pPr>
        <w:pStyle w:val="TextoNormal"/>
      </w:pPr>
      <w:r>
        <w:t xml:space="preserve">En cuanto al quinto motivo, señala el Abogado del Estado que en este asunto no se enjuicia la Sentencia de la Sala de lo Penal del Tribunal Supremo de 28 de febrero de 2006, </w:t>
      </w:r>
      <w:r>
        <w:lastRenderedPageBreak/>
        <w:t>sino dos Autos de la Sección Segunda de la Sala de lo Penal de la Audiencia Nacional, por lo que no cabe entrar a examinar si el supuesto apartamiento de sus precedentes emprendido por la Sala Segunda del Tribunal Supremo vulnera el principio de igualdad en aplicación de la ley (art. 14 CE), ello sin perjuicio de advertir que la nueva interpretación de las dos reglas del art. 70 CP 1973 inaugurada por dicha Sentencia y asumida por la Audiencia Nacional está perfectamente razonada y ha sido establecida con vocación de generalidad y no ad personam.</w:t>
      </w:r>
    </w:p>
    <w:p w:rsidR="00D06117" w:rsidRDefault="00D06117" w:rsidP="00D06117">
      <w:pPr>
        <w:pStyle w:val="TextoNormal"/>
      </w:pPr>
    </w:p>
    <w:p w:rsidR="00D06117" w:rsidRDefault="00D06117" w:rsidP="00D06117">
      <w:pPr>
        <w:pStyle w:val="TextoNormal"/>
      </w:pPr>
      <w:r>
        <w:t>El sexto motivo de amparo debe ser también rechazado, en opinión del Abogado del Estado, pues que la nueva doctrina disminuya la potencialidad reductora del beneficio penitenciario de redención de penas por el trabajo no la hace contraria al derecho a la libertad personal (art. 17.1 CE). El art. 17.1 CE no confiere a los reclusos el derecho a que las normas legales y reglamentarias sobre beneficios penitenciarios se interpreten de modo tal que les garanticen el máximo acortamiento de las penas, porque semejante interpretación conduce al mayor beneficio de los peores delincuentes, ofendiendo así el más elemental sentido de justicia de las víctimas y de los ciudadanos en general y falseando la finalidad retributiva y preventiva del sistema de penas.</w:t>
      </w:r>
    </w:p>
    <w:p w:rsidR="00D06117" w:rsidRDefault="00D06117" w:rsidP="00D06117">
      <w:pPr>
        <w:pStyle w:val="TextoNormal"/>
      </w:pPr>
    </w:p>
    <w:p w:rsidR="00D06117" w:rsidRDefault="00D06117" w:rsidP="00D06117">
      <w:pPr>
        <w:pStyle w:val="TextoNormal"/>
      </w:pPr>
      <w:r>
        <w:t>Por último, la alegación que se refiere a la violación del art. 25.2 CE, también debe ser rechazada según el Abogado del Estado, porque la reeducación y reinserción social recogidos en el art. 25.2 CE son mandatos al legislador, no derechos fundamentales tutelables mediante el recurso de amparo. Además, ni el art. 25.2 CE ni ningún otro precepto constitucional concede a los reclusos el derecho a que los beneficios penitenciarios se interpreten de la manera más favorable a su más pronto licenciamiento definitivo.</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del demandante de amparo formuló sus alegaciones mediante escrito que tuvo su entrada en el Registro General de este Tribunal el día 17 de marzo de 2008,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t>9</w:t>
      </w:r>
      <w:r>
        <w:t>. El día 28 de mayo de 2008 presentó sus alegaciones el Ministerio Fiscal. Explica que, por razones sistemáticas, los motivos de amparo esgrimidos por la representación procesal del recurrente deben ser abordados por orden distinto del que es propuesto en la demanda, considerando el Fiscal que los numerados como segundo, tercero y sexto constituyen la médula del amparo que se solicita, mientras que los motivos de amparo restantes carecen de fundamento y deben ser rechazados, según el Fiscal, por las razones que seguidamente se resumen.</w:t>
      </w:r>
    </w:p>
    <w:p w:rsidR="00D06117" w:rsidRDefault="00D06117" w:rsidP="00D06117">
      <w:pPr>
        <w:pStyle w:val="TextoNormal"/>
      </w:pPr>
    </w:p>
    <w:p w:rsidR="00D06117" w:rsidRDefault="00D06117" w:rsidP="00D06117">
      <w:pPr>
        <w:pStyle w:val="TextoNormal"/>
      </w:pPr>
      <w:r>
        <w:t>Así, ante todo debe ser rechazada la pretendida vulneración del art. 25.2 CE (motivo séptimo de amparo)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 xml:space="preserve">Carece asimismo de fundamento la queja del recurrente referida a la infracción del derecho a la tutela judicial efectiva, a la que asocia la de sus derechos de defensa, a ser informado de la acusación, a un proceso público y con todas las garantías y a un juicio justo, todo ello </w:t>
      </w:r>
      <w:r>
        <w:lastRenderedPageBreak/>
        <w:t>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en primer lugar cuando formuló su petición de libertad mediante el escrito que presentó el 25 de octubre de 2006, y luego al interponer su recurso de suplica contra la providencia de 16 de noviembre de 2006. En cuanto a la imposibilidad de recurrir en casación, la queja carece asimismo de fundamento, pues no es el órgano judicial quien le ha vedado de un recurso, legalmente inexistente, a lo que cabe añadir que la exigencia de doble instancia penal lo es para Sentencias penales condenatorias, no para controversias sobre la ejecución de una condena, como sucede en el presente caso.</w:t>
      </w:r>
    </w:p>
    <w:p w:rsidR="00D06117" w:rsidRDefault="00D06117" w:rsidP="00D06117">
      <w:pPr>
        <w:pStyle w:val="TextoNormal"/>
      </w:pPr>
    </w:p>
    <w:p w:rsidR="00D06117" w:rsidRDefault="00D06117" w:rsidP="00D06117">
      <w:pPr>
        <w:pStyle w:val="TextoNormal"/>
      </w:pPr>
      <w:r>
        <w:t>No existe tampoco vulneración del principio de legalidad penal conectado al de irretroactividad de las normas penales y restrictivas de derechos (motivo de amparo cuarto), pues no tiene fundamento alguno sostener que se han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28 de febrero, y no el art. 78 CP 1995.</w:t>
      </w:r>
    </w:p>
    <w:p w:rsidR="00D06117" w:rsidRDefault="00D06117" w:rsidP="00D06117">
      <w:pPr>
        <w:pStyle w:val="TextoNormal"/>
      </w:pPr>
    </w:p>
    <w:p w:rsidR="00D06117" w:rsidRDefault="00D06117" w:rsidP="00D06117">
      <w:pPr>
        <w:pStyle w:val="TextoNormal"/>
      </w:pPr>
      <w:r>
        <w:t>En fin, tampoco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Por el contrario, lo que resulta relevante según el Fiscal, como se desprende de los motivos segundo, tercero y sexto de la demanda de amparo, es la aplicación del nuevo criterio jurisprudencial surgido de la citada Sentencia de la Sala de lo Penal del Tribunal Supremo núm. 197/2006, de 28 de febrero, a situaciones ya reconocidas por resoluciones firmes, en referencia a la providencia de 31 de marzo de 1992 de la Sección Segunda de la Sala de lo Penal de la Audiencia Nacional que aprobó la primera liquidación de condena del recurrente y señaló como pena única a cumplir la de treinta años, así como a la posterior providencia de la misma Sala y Sección de 3 de diciembre de 2003 que aprobó la nueva liquidación de condena tras el reingreso voluntario del recurrente en prisión tras la revocación del Auto del Juzgado de Vigilancia Penitenciaria de Bilbao que le otorgó la libertad condicional (por entender que había cumplido tres cuartas partes de condena sobre la base del cómputo de la redención de penas por trabajo al máximo de cumplimiento de treinta años).</w:t>
      </w:r>
    </w:p>
    <w:p w:rsidR="00D06117" w:rsidRDefault="00D06117" w:rsidP="00D06117">
      <w:pPr>
        <w:pStyle w:val="TextoNormal"/>
      </w:pPr>
    </w:p>
    <w:p w:rsidR="00D06117" w:rsidRDefault="00D06117" w:rsidP="00D06117">
      <w:pPr>
        <w:pStyle w:val="TextoNormal"/>
      </w:pPr>
      <w:r>
        <w:t xml:space="preserve">La firmeza de las referidas resoluciones impide, a juicio del Fiscal, la revisión de ese criterio en virtud de una jurisprudencia posterior, porque ello rompe con las legítimas expectativas del interno y lesiona su derecho a la intangibilidad de las resoluciones judiciales firmes, que forma parte del derecho a la tutela judicial efectiva garantizado por el art. 24.1 </w:t>
      </w:r>
      <w:r>
        <w:lastRenderedPageBreak/>
        <w:t>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20 de febrero, aplicada por la Audiencia Nacional en las resoluciones impugnadas en amparo.</w:t>
      </w:r>
    </w:p>
    <w:p w:rsidR="00D06117" w:rsidRDefault="00D06117" w:rsidP="00D06117">
      <w:pPr>
        <w:pStyle w:val="TextoNormal"/>
      </w:pPr>
    </w:p>
    <w:p w:rsidR="00D06117" w:rsidRDefault="00D06117" w:rsidP="00D06117">
      <w:pPr>
        <w:pStyle w:val="TextoNormal"/>
      </w:pPr>
      <w:r>
        <w:t>Por todo lo expuesto el Fiscal interesa la estimación del amparo, declarando vulnerado el derecho a la tutela judicial efectiva en su vertiente intangibilidad de las resoluciones judiciales firmes (art. 24.1 CE), en conexión con el derecho a la irretroactividad de interpretaciones desfavorables para el reo (art. 25.1 CE) y el derecho a la libertad personal (art. 17 CE), con anulación de los Autos impugnados, para que se dicte nueva resolución por la Sección Segunda de la Sala de lo Penal de la Audiencia Nacional respetuosa con los derechos fundamentales vulnerados.</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fecha 15 de febrero de 2011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11</w:t>
      </w:r>
      <w:r>
        <w:t>. Por escrito registrado en este Tribunal el 13 de marzo de 2012, al que se acompañan copias de diversas resoluciones judiciales, la representación del recurrente solicitó la modificación de la denegación de la suspensión decretada por ATC 19/2008, de 22 de enero, para que se acordase la suspensión cautelar de las resoluciones judiciales impugnadas, solicitud sobre la que no resulta necesario pronunciarse, al resolverse mediante la presente Sentencia el recurso de amparo presentado.</w:t>
      </w:r>
    </w:p>
    <w:p w:rsidR="00D06117" w:rsidRDefault="00D06117" w:rsidP="00D06117">
      <w:pPr>
        <w:pStyle w:val="TextoNormal"/>
      </w:pPr>
    </w:p>
    <w:p w:rsidR="00D06117" w:rsidRDefault="00D06117" w:rsidP="00D06117">
      <w:pPr>
        <w:pStyle w:val="TextoNormal"/>
      </w:pPr>
      <w:r w:rsidRPr="00D06117">
        <w:rPr>
          <w:rStyle w:val="NumeroAFNegritaCaracter"/>
        </w:rPr>
        <w:t>12</w:t>
      </w:r>
      <w:r>
        <w:t>. Por Acuerdo de 28 de marzo de 2012, el Presidente del Tribunal Constitucional, al haber resignado la ponencia el Magistrado don Luis Ortega Álvarez, designó como nuevo ponente al Magistrado don Manuel Aragón Reyes.</w:t>
      </w:r>
    </w:p>
    <w:p w:rsidR="00D06117" w:rsidRDefault="00D06117" w:rsidP="00D06117">
      <w:pPr>
        <w:pStyle w:val="TextoNormal"/>
      </w:pPr>
    </w:p>
    <w:p w:rsidR="00D06117" w:rsidRDefault="00D06117" w:rsidP="00D06117">
      <w:pPr>
        <w:pStyle w:val="TextoNormal"/>
      </w:pPr>
      <w:r w:rsidRPr="00D06117">
        <w:rPr>
          <w:rStyle w:val="NumeroAFNegritaCaracter"/>
        </w:rPr>
        <w:t>13</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se dirige contra el Auto de la Sección Segunda de la Sala de lo Penal de la Audiencia Nacional de 7 de junio de 2006, que desestima el recurso de súplica contra el Auto de 4 de mayo de 2006, por el que se aprueba el licenciamiento definitivo del recurrente para el día 19 de septiembre de 2018, de conformidad con la doctrina sentada por el Tribunal Supremo conforme al criterio de la Sentencia núm. 197/2006, de 28 de febrero, de la Sala Segunda del Tribunal Supremo. Según dicha Sentencia, en caso de penas acumuladas la redención de penas por el trabajo obtenida ha de computarse sobre </w:t>
      </w:r>
      <w:r>
        <w:lastRenderedPageBreak/>
        <w:t>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interesa la estimación del recurso, por entender que la aplicación del nuevo criterio jurisprudencial fijado en la referida Sentencia 197/2006 del Tribunal Supremo, supone la vulneración de los derechos fundamentales consagrados en los arts. 17.1, 24.1 y 25.1 CE, por afectar a situaciones ya reconocidas por resoluciones firmes.</w:t>
      </w:r>
    </w:p>
    <w:p w:rsidR="00D06117" w:rsidRDefault="00D06117" w:rsidP="00D06117">
      <w:pPr>
        <w:pStyle w:val="TextoNormal"/>
      </w:pPr>
    </w:p>
    <w:p w:rsidR="00D06117" w:rsidRDefault="00D06117" w:rsidP="00D06117">
      <w:pPr>
        <w:pStyle w:val="TextoNormal"/>
      </w:pPr>
      <w:r>
        <w:t>El Abogado del Estado considera que la demanda en su conjunto es inadmisible por falta de agotamiento de la vía judicial previa, al no haberse interpuesto recurso de casación contra el Auto de 7 de junio de 2006. Subsidiariamente, interesa que se declaren inadmisibles los motivos de amparo primero, segundo y tercero (por falta de invocación de la queja ante la jurisdicción ordinaria) y se desestime el recurso en todo lo demás. Y, en defecto de todo lo anterior, que se desestime íntegramente el recurso de amparo.</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en el análisis de fondo de las quejas articuladas en la demanda de amparo, hemos de analizar los óbices procesales planteados por el Abogado el Estado, comenzando por la pretendida falta de agotamiento de la vía judicial previa, al no haberse interpuesto recurso de casación contra la resolución impugnada en amparo, que afectaría a la demanda de amparo en su conjunto.</w:t>
      </w:r>
    </w:p>
    <w:p w:rsidR="00D06117" w:rsidRDefault="00D06117" w:rsidP="00D06117">
      <w:pPr>
        <w:pStyle w:val="TextoNormal"/>
      </w:pPr>
    </w:p>
    <w:p w:rsidR="00D06117" w:rsidRDefault="00D06117" w:rsidP="00D06117">
      <w:pPr>
        <w:pStyle w:val="TextoNormal"/>
      </w:pPr>
      <w:r>
        <w:t>En contra de lo sostenido por el Abogado del Estado, la recurribilidad en casación de la decisión judicial impugnada en este proceso de amparo, en el momento de la interposición del recurso (el día 11 de julio de 2006), ni se derivaba inequívocamente de precepto legal alguno, ni de la interpretación de la legalidad procesal llevada a cabo por el Tribunal Supremo hasta ese momento. En efecto, si bien tanto la disposición adicional quinta.7 de la Ley Orgánica del Poder Judicial, como el art. 988 de la Ley de enjuiciamiento criminal (LECrim) establecen que contra el Auto que determine el máximo de cumplimiento de las penas impuestas cabrá interponer recurso de casación por infracción de ley, ni del tenor literal de estos preceptos legales, ni de ningún otro se desprende de forma inequívoca que quepa interponer recurso de casación no sólo contra el Auto que procede a la acumulación de condenas fijando el máximo de cumplimiento conforme a la regla segunda del art. 70 del Código penal (que es al que se refiere expresamente el art. 988 LECrim en la redacción vigente en el momento de la interposición de la demanda de amparo), sino también contra los Autos de licenciamiento definitivo. Y en cuanto a la jurisprudencia del Tribunal Supremo, sólo con posterioridad a la fecha en que se registró la demanda de amparo y haciendo referencia a la existencia de posiciones no unánimes sobre la recurribilidad de los Autos de licenciamiento definitivo también posteriores (en concreto, al Auto del Tribunal Supremo de 24 de mayo de 2006 y al Auto del Tribunal Supremo de 29 de marzo de 2007), la Sala Segunda del Tribunal Supremo consideró necesario un pronunciamiento unificador, para lo cual dictó el Auto de 7 de abril de 2008, en el que se concluye que dichos Autos también son susceptibles de recurso de casación, al amparo del art. 988 LECrim.</w:t>
      </w:r>
    </w:p>
    <w:p w:rsidR="00D06117" w:rsidRDefault="00D06117" w:rsidP="00D06117">
      <w:pPr>
        <w:pStyle w:val="TextoNormal"/>
      </w:pPr>
    </w:p>
    <w:p w:rsidR="00D06117" w:rsidRDefault="00D06117" w:rsidP="00D06117">
      <w:pPr>
        <w:pStyle w:val="TextoNormal"/>
      </w:pPr>
      <w:r>
        <w:t>En atención a todo lo cual hemos de concluir que al recurrente no le era exigible la interposición de un recurso de casación de dudosa viabilidad en la fecha en la que se presenta la demanda de amparo. En este sentido, hemos afirmado reiteradamente que la diligencia de la parte para la tutela de su derecho ante los Tribunales ordinarios no alcanza a exigirle, a priori, la interposición de recursos de dudosa viabilidad (SSTC 210/1994, de 11 de julio, FJ 2; 191/1996, de 26 de noviembre, FJ 2; 183/1998, de 17 de septiembre, FJ 2; 5/2003, de 20 de enero, FJ 2; 17/2003, de 30 de enero, FJ 2; 84/2004, de 10 de mayo, FJ 3; STC 27/2007, de 12 de febrero, FJ 3; y 114/2008, de 29 de septiembre, FJ 2).</w:t>
      </w:r>
    </w:p>
    <w:p w:rsidR="00D06117" w:rsidRDefault="00D06117" w:rsidP="00D06117">
      <w:pPr>
        <w:pStyle w:val="TextoNormal"/>
      </w:pPr>
    </w:p>
    <w:p w:rsidR="00D06117" w:rsidRDefault="00D06117" w:rsidP="00D06117">
      <w:pPr>
        <w:pStyle w:val="TextoNormal"/>
      </w:pPr>
      <w:r w:rsidRPr="00D06117">
        <w:rPr>
          <w:rStyle w:val="NumeroAFNegritaCaracter"/>
        </w:rPr>
        <w:t>3</w:t>
      </w:r>
      <w:r>
        <w:t>. En la primera de las quejas articuladas en la demanda, bajo la invocación de los derechos a la tutela judicial efectiva (art. 24.1 CE) y a un proceso con todas las garantías (art. 24.2 CE), se denuncia sustancialmente la indefensión generada por el hecho de que la primera de las resoluciones recurridas se adoptó sin abrir un trámite de audiencia al condenado, pese a introducir una perspectiva jurídica novedosa en el cómputo de las redenciones de penas por el trabajo que empeoraba la situación del reo. Esta queja —como alega el Abogado del Estado— ha de ser inadmitida, al concurrir respecto de ella el óbice procesal de falta de invocación ante los órganos de la jurisdicción ordinaria [art. 44.1 c) de la Ley Orgánica del Tribunal Constitucional (LOTC)]. En efecto, de la mera lectura del recurso de súplica interpuesto contra el Auto dictado sin darle audiencia se desprende que el recurrente articuló una serie de motivos de recurso para oponerse a esa nueva perspectiva jurídica en el cómputo de las redenciones (lo que excluiría, como señalan tanto el Abogado del Estado como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No cabe apreciar, por el contrario, el óbice procesal de falta de invocación ante los órganos de la jurisdicción ordinaria de las quejas denunciadas como motivos de amparo segundo (vulneración del principio de legalidad, consagrado en los arts. 25.1 y 2 CE, derivado de la nueva interpretación del cómputo de las redenciones llevada a cabo por el Tribunal Supremo y aplicada al caso, en que las mismas no se descuentan del máximo de cumplimiento de treinta años establecido en el art. 70.2 CP 1973 frente a lo que había sido la práctica unánime en toda la historia penitenciaria y a lo que los Jueces de vigilancia penitenciaria y el propio Tribunal sentenciador habían venido aplicando en la presente ejecutoria, hasta el punto de que le fue concedida la libertad condicional tras considerar cumplidas las tres cuartas partes de la condena conforme al antiguo cómputo de las redenciones) y tercero (vulneración del derecho a la tutela judicial efectiva en relación con el derecho a la libertad, arts. 24.1 y 17.1 CE, como consecuencia de la inseguridad jurídica que genera el cambio de criterio, y por entender que las redenciones aprobadas por los Juzgados de Vigilancia Penitenciaria, intangibles y firmes, aplicadas al tope de treinta años como se venía </w:t>
      </w:r>
      <w:r>
        <w:lastRenderedPageBreak/>
        <w:t>haciendo habrían determinado el licenciamiento definitivo el 14 de junio de 2006, habiéndose generado una expectativa de libertad sobre la base de la actuación de los órganos judiciales y de la Administración penitenciaria; alegaciones en buena medida reiteradas en el sexto motivo de amparo, respecto del que no se opone óbice procesal alguno por parte del Abogado del Estado).</w:t>
      </w:r>
    </w:p>
    <w:p w:rsidR="00D06117" w:rsidRDefault="00D06117" w:rsidP="00D06117">
      <w:pPr>
        <w:pStyle w:val="TextoNormal"/>
      </w:pPr>
    </w:p>
    <w:p w:rsidR="00D06117" w:rsidRDefault="00D06117" w:rsidP="00D06117">
      <w:pPr>
        <w:pStyle w:val="TextoNormal"/>
      </w:pPr>
      <w:r>
        <w:t>En efecto, expresamente en el motivo segundo del recurso de súplica se denunció tanto la vulneración del principio de legalidad (arts. 25.1 y 2 CE), como la vulneración del derecho a la tutela judicial efectiva en su vertiente de intangibilidad (art. 24.1 CE) y del derecho a la libertad (art. 17.1 CE), argumentando sustancialmente que conforme a reiterada doctrina del Tribunal Supremo el límite resultante de la acumulación de condena es una nueva pena a la que deben aplicarse las redenciones; que la nueva doctrina no tenía precedentes; que en aplicación de las redenciones al cómputo de la acumulación de treinta años el recurrente ha estado en libertad condicional; que de la jurisprudencia del Tribunal Supremo se desprende inequívocamente que tal interpretación no resulta posible con el Código penal (CP) de 1973, habiendo sido necesario introducir un precepto específico en el Código penal de 1995 (art. 78) sin precedente en el Código penal derogado, y que ello resulta perjudicial para el reo desde la perspectiva de su derecho a la libertad.</w:t>
      </w:r>
    </w:p>
    <w:p w:rsidR="00D06117" w:rsidRDefault="00D06117" w:rsidP="00D06117">
      <w:pPr>
        <w:pStyle w:val="TextoNormal"/>
      </w:pPr>
    </w:p>
    <w:p w:rsidR="00D06117" w:rsidRDefault="00D06117" w:rsidP="00D06117">
      <w:pPr>
        <w:pStyle w:val="TextoNormal"/>
      </w:pPr>
      <w:r>
        <w:t>Ciertamente la argumentación del recurso de súplica no es idéntica a la empleada en el recurso de amparo, pero una coincidencia tal no es exigida por nuestra jurisprudencia. Como recuerda la STC 132/2006, de 27 de abril de 2006, FJ 3, este Tribunal ha venido aplicando este requisito con fundamento en un criterio de flexibilidad y ha rechazado una interpretación literal o excesivamente rigorista de este requisito. Por ello, hemos declarado que la invocación formal exigida por el art. 44.1 c) LOTC no supone necesaria e inexcusablemente la cita concreta y numérica del precepto de la Constitución en el que se reconoce el derecho supuestamente vulnerado, ni siquiera la mención de su nomen iuris, siendo suficiente que se cumpla la finalidad perseguida con este requisito (STC 203/1988, de 2 de noviembre, FJ 2), lo que significa que se ha de ofrecer base suficiente para que, en la vía judicial, pueda entrarse a conocer de las concretas vulneraciones después aducidas en el recurso de amparo, lo que, al menos, requiere una delimitación del contenido del derecho que se dice vulnerado; esto es, que el tema quede acotado en términos que permitan a los órganos judiciales pronunciarse sobre el mismo (STC 8/1981, de 30 de marzo, FJ 1), de forma que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 En definitiva, se ha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 por todas).</w:t>
      </w:r>
    </w:p>
    <w:p w:rsidR="00D06117" w:rsidRDefault="00D06117" w:rsidP="00D06117">
      <w:pPr>
        <w:pStyle w:val="TextoNormal"/>
      </w:pPr>
    </w:p>
    <w:p w:rsidR="00D06117" w:rsidRDefault="00D06117" w:rsidP="00D06117">
      <w:pPr>
        <w:pStyle w:val="TextoNormal"/>
      </w:pPr>
      <w:r>
        <w:t xml:space="preserve">Pues bien, el contraste del recurso de súplica y la demanda de amparo permite afirmar sin lugar a dudas que el recurrente suscitó la cuestión ahora planteada en amparo ante los </w:t>
      </w:r>
      <w:r>
        <w:lastRenderedPageBreak/>
        <w:t>órganos de la jurisdicción ordinaria, ofreciéndoles la oportunidad de entrar a valorarla en derecho y reparar la vulneración supuestamente cometida. De hecho, y al margen de las quejas articuladas como primer motivo de amparo, en los restantes motivos se denuncia desde diversas perspectivas constitucionales una única cuestión de fondo, esto es, la aplicación al presente caso de un nuevo criterio jurisprudencial en la interpretación de los arts. 70.2 y 100 CP 1973, y concordantes del reglamento penitenciario, en relación con el cómputo de la redención de penas por trabajo, que implica una considerable modificación de la expectativa de libertad del recurrente, generada por la actuación previa de la Administración penitenciaria, los Juzgados de Vigilancia Penitenciaria y el órgano encargado de la ejecución, y que no tenía precedente, cuestión que fue inequívocamente puesta en conocimiento del órgano judicial como hecho fundamentador de la vulneración, de modo que la pretensión deducida en amparo no tiene un contenido distinto al que se hizo valer ante los órganos judiciales. El acierto en el enfoque respecto de cuáles son los derechos fundamentales en juego y cuál ha de ser nuestro canon de enjuiciamiento no es exigible al recurrente para considerar debidamente cumplimentado el requisito de la invocación formal en el proceso, sin caer en una interpretación insoportablemente rigorista del mismo.</w:t>
      </w:r>
    </w:p>
    <w:p w:rsidR="00D06117" w:rsidRDefault="00D06117" w:rsidP="00D06117">
      <w:pPr>
        <w:pStyle w:val="TextoNormal"/>
      </w:pPr>
    </w:p>
    <w:p w:rsidR="00D06117" w:rsidRDefault="00D06117" w:rsidP="00D06117">
      <w:pPr>
        <w:pStyle w:val="TextoNormal"/>
      </w:pPr>
      <w:r w:rsidRPr="00D06117">
        <w:rPr>
          <w:rStyle w:val="NumeroAFNegritaCaracter"/>
        </w:rPr>
        <w:t>5</w:t>
      </w:r>
      <w:r>
        <w:t>. Despejados los óbices procesales suscitados, procede señalar seguidamente que dentro del primero de los motivos de amparo se aduce la vulneración del derecho a un recurso efectivo y a la segunda instancia penal. Queja que no puede prosperar, puesto que el recurrente —en contra de lo que sostiene— sí tuvo acceso al recurso legalmente previsto (el recurso de súplica), que no fue inadmitido, sino resuelto y desestimado por Auto de 7 de junio de 2006. En dicha resolución el Tribunal sentenciador rechazó expresamente los motivos de impugnación que le fueron planteados, permitiendo así al penado conocer la ratio decidendi de la desestimación.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derecho, consagrado expresamente en el art. 14.5 del Pacto internacional de derechos civiles y políticos y en el art. 7 del Convenio europeo de derechos humanos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extingue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w:t>
      </w:r>
      <w:r>
        <w:lastRenderedPageBreak/>
        <w:t>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ambos puestos en relación con su derecho a la libertad personal (art. 17.1 CE), dado que se trata del cumplimiento de una pena de prisión.</w:t>
      </w:r>
    </w:p>
    <w:p w:rsidR="00D06117" w:rsidRDefault="00D06117" w:rsidP="00D06117">
      <w:pPr>
        <w:pStyle w:val="TextoNormal"/>
      </w:pPr>
    </w:p>
    <w:p w:rsidR="00D06117" w:rsidRDefault="00D06117" w:rsidP="00D06117">
      <w:pPr>
        <w:pStyle w:val="TextoNormal"/>
      </w:pPr>
      <w:r>
        <w:t>Las quejas, cuya estimación propone el Ministerio Fiscal en su escrito de alegaciones, no pueden ser compartidas,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t>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lastRenderedPageBreak/>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señalan el Abogado del Estado y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A lo que hay que añadir que para hacer el juicio de igualdad no es válido el término de comparación postulado en la demanda en la que se alega en ésta que un coimputado en la misma causa, condenado a las mismas penas, obtuvo el licenciamiento definitivo el 26 de enero de 2006, pues dicha fecha es anterior en el tiempo a la Sentencia del Tribunal Supremo núm. 197/2006, de 28 de febrero, que fue, precisamente, la que estableció el cambio de criterio que sirve como fundamento de la diferente aplicación de la ley que se cuestiona.</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7</w:t>
      </w:r>
      <w:r>
        <w:t>.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El Ministerio Fiscal comparte también este razonamiento del demandante por considerar que no es de recibo que “establecidos unos criterios de interpretación normativa para fijar la refundición de condena y establecidos ellos en resolución judicial, pudieran variarse en virtud de una posterior resolución, en este caso de la Sala Segunda del Tribunal Supremo, que interpreta de otra manera las normas atinentes, como lo hacen las resoluciones judiciales ahora recurridas en amparo”. Las resoluciones judiciales firmes en las que considera el Fiscal que dichos criterios quedaron establecidos de forma intangible serían la providencia de 31 de marzo de 1992 de la Sección Segunda de la Sala de lo Penal de la Audiencia Nacional que aprobó la primera liquidación de condena del recurrente y señaló como pena única a cumplir la de treinta años, así como a la posterior providencia de la misma Sala y Sección de 3 de diciembre de 2003 que aprobó la nueva liquidación de condena tras el reingreso voluntario del recurrente en prisión tras la revocación del Auto del Juzgado de Vigilancia Penitenciaria de Bilbao que le otorgó la libertad condicional (por entender que había cumplido tres cuartas partes de condena sobre la base del cómputo de la redención de penas por trabajo al máximo de cumplimiento de treinta años).</w:t>
      </w:r>
    </w:p>
    <w:p w:rsidR="00D06117" w:rsidRDefault="00D06117" w:rsidP="00D06117">
      <w:pPr>
        <w:pStyle w:val="TextoNormal"/>
      </w:pPr>
    </w:p>
    <w:p w:rsidR="00D06117" w:rsidRDefault="00D06117" w:rsidP="00D06117">
      <w:pPr>
        <w:pStyle w:val="TextoNormal"/>
      </w:pPr>
      <w: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w:t>
      </w:r>
      <w:r>
        <w:lastRenderedPageBreak/>
        <w:t>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 xml:space="preserve">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y niega el Abogado del Estado, la revisión de un juicio efectuado en esta causa con anterioridad que </w:t>
      </w:r>
      <w:r>
        <w:lastRenderedPageBreak/>
        <w:t>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8</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el Abogado del Estado y el Ministerio Fiscal, y hemos recogido en los antecedentes de esta resolución una vez contrastados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Gómez López fue condenado por Sentencia de 21 de octubre de 1990 a cinco penas privativas de libertad: una de ocho años de prisión mayor por un delito de pertenencia a banda armada (la organización terrorista ETA); dos penas de once años de prisión mayor por sendos delitos de depósito de armas de guerra y de tenencia de explosivos; una pena de dieciocho años de reclusión mayor por un delito de atentado en grado de tentativa; y una última pena de cinco meses de arresto mayor por un delito de coacciones.</w:t>
      </w:r>
    </w:p>
    <w:p w:rsidR="00D06117" w:rsidRDefault="00D06117" w:rsidP="00D06117">
      <w:pPr>
        <w:pStyle w:val="TextoNormal"/>
      </w:pPr>
    </w:p>
    <w:p w:rsidR="00D06117" w:rsidRDefault="00D06117" w:rsidP="00D06117">
      <w:pPr>
        <w:pStyle w:val="TextoNormal"/>
      </w:pPr>
      <w:r>
        <w:t>En la propia Sentencia condenatoria se acuerda que en el cumplimiento de las penas su duración no podrá exceder de treinta años.</w:t>
      </w:r>
    </w:p>
    <w:p w:rsidR="00D06117" w:rsidRDefault="00D06117" w:rsidP="00D06117">
      <w:pPr>
        <w:pStyle w:val="TextoNormal"/>
      </w:pPr>
    </w:p>
    <w:p w:rsidR="00D06117" w:rsidRDefault="00D06117" w:rsidP="00D06117">
      <w:pPr>
        <w:pStyle w:val="TextoNormal"/>
      </w:pPr>
      <w:r>
        <w:t>b) El día 25 de marzo de 1992 se practicó liquidación de condena, aprobada por providencia del Tribunal sentenciador de 31 de marzo de 1992, en la que se establece, por aplicación de la regla 2 del art. 70 CP 1973, como periodo máximo de privación de libertad el de treinta años y que el demandante extinguiría su condena el 15 de abril de 2019.</w:t>
      </w:r>
    </w:p>
    <w:p w:rsidR="00D06117" w:rsidRDefault="00D06117" w:rsidP="00D06117">
      <w:pPr>
        <w:pStyle w:val="TextoNormal"/>
      </w:pPr>
    </w:p>
    <w:p w:rsidR="00D06117" w:rsidRDefault="00D06117" w:rsidP="00D06117">
      <w:pPr>
        <w:pStyle w:val="TextoNormal"/>
      </w:pPr>
      <w:r>
        <w:t>c) Tras la entrada en vigor del CP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sentenciador acordó, por Auto de 30 de mayo de 1996, que no procedía revisar las penas impuestas al demandante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lastRenderedPageBreak/>
        <w:t>d) Mediante la providencia de 3 de diciembre de 2003, tras el reingreso en prisión del demandante de amparo el Tribunal aprobó la nueva liquidación de condena de condena del demandante, fijando como fecha de cumplimiento el 15 de abril de 2019.</w:t>
      </w:r>
    </w:p>
    <w:p w:rsidR="00D06117" w:rsidRDefault="00D06117" w:rsidP="00D06117">
      <w:pPr>
        <w:pStyle w:val="TextoNormal"/>
      </w:pPr>
    </w:p>
    <w:p w:rsidR="00D06117" w:rsidRDefault="00D06117" w:rsidP="00D06117">
      <w:pPr>
        <w:pStyle w:val="TextoNormal"/>
      </w:pPr>
      <w:r>
        <w:t>e) No hay ninguna otra resolución judicial relevante del Tribunal sentenciador en la ejecutoria hasta que, mediante el Auto de 4 mayo de 2006, confirmado en súplica por el Auto de 7 de junio de 2006, resoluciones que son objeto de esta pretensión de amparo, el Tribunal aprobó el licenciamiento definitivo del recurrente, fijando como nueva fecha de cumplimiento y excarcelación el día 19 de septiembre de 2018 rechazando, al mismo tiempo, la propuesta alternativa del centro penitenciario en el que se encontraba interno, que fijaba como fecha de licenciamiento definitivo el día 14 de junio de 2006, como resultado de aplicar el criterio de cómputo anterior a la Sentencia de la Sala de lo Penal del Tribunal Supremo núm.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9</w:t>
      </w:r>
      <w:r>
        <w:t>.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El Auto que fija la fecha de licenciamiento definitivo (y el Auto que la ratifica) no dejó sin efecto dichas redenciones sino que, en ejercicio de las competencias que legalmente tiene atribuidas, las computó sucesivamente sobre las dos penas impuestas a efectos de liquidación de condena. El efecto práctico, como ya se ha dicho, es que las penas que sumaban cuarenta y ocho años y cinco meses de privación de libertad, a las que se había fijado un límite máximo de cumplimiento de treinta años, han sido dadas por extinguidas a los ventinueve  años y cinco meses de ingresar el penado en prisión preventiva por estas causas (en abril de 1989) y teniendo en cuenta el tiempo que ya disfrutó de libertad condicional (desde el 30 de julio de 2002 hasta el 25 de noviembre de 2003). Por tanto, las redenciones sí han sido tomadas en consideración y han reducido su condena, aunque no en la forma propuesta por el demandante.</w:t>
      </w:r>
    </w:p>
    <w:p w:rsidR="00D06117" w:rsidRDefault="00D06117" w:rsidP="00D06117">
      <w:pPr>
        <w:pStyle w:val="TextoNormal"/>
      </w:pPr>
    </w:p>
    <w:p w:rsidR="00D06117" w:rsidRDefault="00D06117" w:rsidP="00D06117">
      <w:pPr>
        <w:pStyle w:val="TextoNormal"/>
      </w:pPr>
      <w:r>
        <w:t xml:space="preserve">b) Por lo que respecta a la providencia de 31 de marzo de 1992 de la Sección Segunda de la Sala de lo Penal de la Audiencia Nacional que aprobó la primera liquidación de condena del recurrente y señaló como pena única a cumplir la de treinta años, así como a la posterior providencia de la misma Sala y Sección de 3 de diciembre de 2003 que aprobó la </w:t>
      </w:r>
      <w:r>
        <w:lastRenderedPageBreak/>
        <w:t>nueva liquidación de condena tras el reingreso voluntario del recurrente en prisión después de la revocación del Auto de libertad condicional, que cita el Ministerio Fiscal como resoluciones intangibles que ha sido ilegítimamente desconocida, cabe señalar que estas resoluciones se limitan a hacer efectiva la previsión legal (arts. 988 LECrim y 70.2 CP 1973). No existe en las mismas referencia alguna a la redención de penas por el trabajo o al criterio de cómputo de la misma, ni puede concluirse que dicho criterio sea relevante en modo alguno en las decisiones de liquidación de condena en su día adoptadas.</w:t>
      </w:r>
    </w:p>
    <w:p w:rsidR="00D06117" w:rsidRDefault="00D06117" w:rsidP="00D06117">
      <w:pPr>
        <w:pStyle w:val="TextoNormal"/>
      </w:pPr>
    </w:p>
    <w:p w:rsidR="00D06117" w:rsidRDefault="00D06117" w:rsidP="00D06117">
      <w:pPr>
        <w:pStyle w:val="TextoNormal"/>
      </w:pPr>
      <w:r>
        <w:t>c) Finalmente, se aludió en el recurso de súplica del penado al Auto de de 30 de mayo de 1996 por el que se acordó no haber lugar a la revisión de las penas impuestas por considerar que, dados los hechos enjuiciados y las penas que le habían sido impuestas, no eran más favorables las previsiones punitivas del Código penal de 1995.</w:t>
      </w:r>
    </w:p>
    <w:p w:rsidR="00D06117" w:rsidRDefault="00D06117" w:rsidP="00D06117">
      <w:pPr>
        <w:pStyle w:val="TextoNormal"/>
      </w:pPr>
    </w:p>
    <w:p w:rsidR="00D06117" w:rsidRDefault="00D06117" w:rsidP="00D06117">
      <w:pPr>
        <w:pStyle w:val="TextoNormal"/>
      </w:pPr>
      <w:r>
        <w:t>Pues bien, ni en el fallo de dicha resolución se realiza pronunciamiento alguno acerca del criterio de cómputo de las redenciones (porque no era éste su objeto), ni de su fundamentación jurídica antes transcrita en relación con los antecedentes de hecho puede concluirse que la decisión de no revisar las condenas se sustentara, de manera clara,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10</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destacan el Abogado del Estado y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w:t>
      </w:r>
      <w:r>
        <w:lastRenderedPageBreak/>
        <w:t>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t>Desde luego, no puede el interno alegar tal efecto en su caso, pues la simple lectura de las actuaciones que aporta con la demanda pone de relieve que las penas que le fueron impuestas sumaban cuarenta y ocho años y cinco meses de privación de libertad y su licenciamiento definitivo ha sido fijado para una fecha en la que llevará extinguidos algo más de veintiocho  años de privación efectiva de libertad (teniendo en cuenta el tiempo que ya disfrutó de libertad condicional).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Juan Francisco Gómez López.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el recurso de amparo núm. 7325-2006 avocado al Pleno.</w:t>
      </w:r>
    </w:p>
    <w:p w:rsidR="00D06117" w:rsidRDefault="00D06117" w:rsidP="00D06117">
      <w:pPr>
        <w:pStyle w:val="TextoNormalNegritaCentrado"/>
        <w:keepNext/>
      </w:pPr>
    </w:p>
    <w:p w:rsidR="00D06117" w:rsidRDefault="00D06117" w:rsidP="00D06117">
      <w:pPr>
        <w:pStyle w:val="TextoNormal"/>
      </w:pPr>
      <w:r>
        <w:t>Con profundo respeto a la decisión mayoritaria, pero para ser coherente con la posición que he mantenido en el Pleno, y en ejercicio de la facultad establecida en el art. 90.2 LOTC, formulo Voto particular discrepante en los términos que paso a exponer:</w:t>
      </w:r>
    </w:p>
    <w:p w:rsidR="00D06117" w:rsidRDefault="00D06117" w:rsidP="00D06117">
      <w:pPr>
        <w:pStyle w:val="TextoNormal"/>
      </w:pPr>
    </w:p>
    <w:p w:rsidR="00D06117" w:rsidRDefault="00D06117" w:rsidP="00D06117">
      <w:pPr>
        <w:pStyle w:val="TextoNormal"/>
      </w:pPr>
      <w:r>
        <w:t>1. Mi primera discrepancia radica en que la Sentencia de la mayoría no aborda la perspectiva, alegada por el recurrente y por el Ministerio Fiscal, del derecho a la libertad (art. 17.1 CE).</w:t>
      </w:r>
    </w:p>
    <w:p w:rsidR="00D06117" w:rsidRDefault="00D06117" w:rsidP="00D06117">
      <w:pPr>
        <w:pStyle w:val="TextoNormal"/>
      </w:pPr>
    </w:p>
    <w:p w:rsidR="00D06117" w:rsidRDefault="00D06117" w:rsidP="00D06117">
      <w:pPr>
        <w:pStyle w:val="TextoNormal"/>
      </w:pPr>
      <w:r>
        <w:t>En efecto, se limita a decir, en su fundamento jurídico 6, que el ámbito propio del derecho fundamental consagrado en el art. 25.1 CE no comprende las vicisitudes acaecidas en la ejecución de una pena privativa de libertad, lo que le lleva a concluir que “de todo lo expuesto se colige también, por razones atinentes al principio de legalidad, que el demandante no ha sido privado de su libertad personal en supuestos distintos de los establecidos en la ley penal, lo que descarta la alegada vulneración del art. 17 CE”.</w:t>
      </w:r>
    </w:p>
    <w:p w:rsidR="00D06117" w:rsidRDefault="00D06117" w:rsidP="00D06117">
      <w:pPr>
        <w:pStyle w:val="TextoNormal"/>
      </w:pPr>
    </w:p>
    <w:p w:rsidR="00D06117" w:rsidRDefault="00D06117" w:rsidP="00D06117">
      <w:pPr>
        <w:pStyle w:val="TextoNormal"/>
      </w:pPr>
      <w:r>
        <w:t>La propia Sentencia, sin embargo, reconoce que el derecho a la libertad tiene un contenido no coincidente con el principio de legalidad penal ex art. 25.1 CE cuando dice en ese mismo fundamento jurídico que “[e]l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w:t>
      </w:r>
    </w:p>
    <w:p w:rsidR="00D06117" w:rsidRDefault="00D06117" w:rsidP="00D06117">
      <w:pPr>
        <w:pStyle w:val="TextoNormal"/>
      </w:pPr>
    </w:p>
    <w:p w:rsidR="00D06117" w:rsidRDefault="00D06117" w:rsidP="00D06117">
      <w:pPr>
        <w:pStyle w:val="TextoNormal"/>
      </w:pPr>
      <w:r>
        <w:t>Desde esta perspectiva, me parece evidente, como tempranamente dijo este Tribunal en la STC 11/1987, de 30 de enero, FJ 2, que “la posibilidad de que se aplique a las penas que le han sido infligidas en distintas causas la limitación del art. 70.2 del C.P. afecta a un derecho fundamental cual es el de la libertad personal (art. 17 de la Constitución)”, pues el periodo de privación de la misma está en función, entre otros factores, de su aplicación conforme a lo establecido en el art. 100 CP 1973 (SSTC 174/1989, de 30 de octubre, FJ 4; 31/1999, de 8 de marzo, FJ 3; 186/2003, de 27 de octubre, FJ 6; 76/2004, de 26 de abril, FJ 5). En esta línea, el Tribunal Europeo de Derechos Humanos, aun habiendo negado cualquier afectación de la legalidad penal ex art. 7.1 Convenio europeo para la protección de los derechos humanos y de las libertades fundamentales (CEDH), declaró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Esto por sí solo habría hecho necesario que la mayoría se pronunciase de un modo específico sobre la conformidad con el art. 17.1 CE de la interpretación de los arts. 70.2 y 100 del Código penal de 1973 que late en las resoluciones judiciales contra las que se dirige este recurso de amparo. Es cierto que no es función del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(por todas, SSTC 77/2002, de 8 de abril, FJ 3; 211/2002, de 11 de noviembre, FJ 2; 103/2003, de 2 de junio, FJ 3; 45/2004, de 23 de marzo, FJ 4; y 65/2011, de 16 de mayo, FJ 2), pero también lo es que, cuando puede afectarse a la integridad de un derecho sustantivo, sobre todo cuando éste protege valores constitucionales tan transcendentes como el derecho a la libertad, el control confiado a este Tribunal exige que verifique, más allá de razonabilidad externa de la argumentación judicial, que ésta “se manifieste a través de una motivación en la que, más allá de su carácter razonado, sea posible apreciar un nexo de coherencia entre la decisión adoptada, la norma que le sirve de fundamento y los fines que justifican cada concreta institución” (por todas, STC 57/2010, de 4 de octubre, FJ 4).</w:t>
      </w:r>
    </w:p>
    <w:p w:rsidR="00D06117" w:rsidRDefault="00D06117" w:rsidP="00D06117">
      <w:pPr>
        <w:pStyle w:val="TextoNormal"/>
      </w:pPr>
    </w:p>
    <w:p w:rsidR="00D06117" w:rsidRDefault="00D06117" w:rsidP="00D06117">
      <w:pPr>
        <w:pStyle w:val="TextoNormal"/>
      </w:pPr>
      <w:r>
        <w:t xml:space="preserve">Pues bien, el razonamiento que sustenta las resoluciones judiciales impugnadas, que no es otro que el expresado por la Sentencia de la Sala Segunda del Tribunal Supremo 197/2006, de 28 de febrero, está informado por completo por un principio jurídico completamente ajeno al Código penal de 1973. Así, el legislador del Código penal de 1973, en su </w:t>
      </w:r>
      <w:r>
        <w:lastRenderedPageBreak/>
        <w:t>función de fijar los casos y la forma en que es posible la privación de libertad de una persona, llevó a cabo una ponderación de los valores constitucionales en presencia según la que, en los términos previstos en los 70.2 y 100 CP, el condenado podía cumplir su pena, además de mediante los días de estancia en prisión, realizando actividades que se consideraban favorables para su rehabilitación. La mejor prueba de que esto era así es que, años después, considerando conveniente organizar el cumplimiento de las penas con arreglo a otra ponderación, el propio legislador aprobó otros textos normativos (Código penal de 1995 y Ley Orgánica 7/2003, de medidas de reforma para el cumplimiento íntegro y efectivo de las penas) cuya regulación respondía a un principio completamente diferente que la segunda de esas normas incorporó a su título.</w:t>
      </w:r>
    </w:p>
    <w:p w:rsidR="00D06117" w:rsidRDefault="00D06117" w:rsidP="00D06117">
      <w:pPr>
        <w:pStyle w:val="TextoNormal"/>
      </w:pPr>
    </w:p>
    <w:p w:rsidR="00D06117" w:rsidRDefault="00D06117" w:rsidP="00D06117">
      <w:pPr>
        <w:pStyle w:val="TextoNormal"/>
      </w:pPr>
      <w:r>
        <w:t>De este modo, en mi opinión, la interpretación que en dichas resoluciones judiciales se hace de los arts. 70.2 y 100 de ese cuerpo legal, al no reflejar un nexo de coherencia entre la decisión adoptada y la norma que le sirve de fundamento, que entonces era el Código penal de 1973, es abiertamente contraria al derecho a la libertad (art. 17 CE) en tanto implica un alargamiento en el período de privación de libertad que no estaba previsto en la ley aplicable, y que en consecuencia nunca efectuó el Tribunal Supremo, por lo que la previsibilidad de su jurisprudencia iba íntimamente ligada, como no podía ser de otra manera, a esas previsiones de la Ley penal.</w:t>
      </w:r>
    </w:p>
    <w:p w:rsidR="00D06117" w:rsidRDefault="00D06117" w:rsidP="00D06117">
      <w:pPr>
        <w:pStyle w:val="TextoNormal"/>
      </w:pPr>
    </w:p>
    <w:p w:rsidR="00D06117" w:rsidRDefault="00D06117" w:rsidP="00D06117">
      <w:pPr>
        <w:pStyle w:val="TextoNormal"/>
      </w:pPr>
      <w:r>
        <w:t>No desvirtúa lo expuesto en este primer apartado el argumento consistente en que la interpretación de los arts. 70.2 y 100 CP 1973 que aquí se reputa inconstitucional no desconoce el papel de las redenciones en el cumplimiento de las penas, solamente que lo refiere a la totalidad de las penas y no al límite de cumplimiento máximo. Este argumento, que conduce inexorablemente a que las redenciones legalmente previstas no tengan ningún valor redentor efectivo, se aproxima a la carencia absoluta de lógica y, en todo caso, no se compadece con la lógica institucional del cumplimiento de las penas.</w:t>
      </w:r>
    </w:p>
    <w:p w:rsidR="00D06117" w:rsidRDefault="00D06117" w:rsidP="00D06117">
      <w:pPr>
        <w:pStyle w:val="TextoNormal"/>
      </w:pPr>
    </w:p>
    <w:p w:rsidR="00D06117" w:rsidRDefault="00D06117" w:rsidP="00D06117">
      <w:pPr>
        <w:pStyle w:val="TextoNormal"/>
      </w:pPr>
      <w:r>
        <w:t>2. Tampoco comparto que la cuestión planteada en este recurso de amparo quede fuera del ámbito propio de la legalidad penal ex art. 25.1 CE. La mayoría considera que así es porque de la interpretación sometida a nuestro enjuiciamiento no se deriva ni el cumplimiento de una pena mayor que la prevista en los tipos penales aplicados, ni la superación del máximo de cumplimiento legalmente previsto. Y añade que el Tribunal Europeo de Derecho Humanos (STEDH de 10 de julio de 2003, Grava c. Italia, § 51, y el Caso Hogben contra Reino Unido, núm. 11653/1985, decisión de la Comisión de 3 marzo 1986, Decisiones e informes [DR] 46, págs. 231, 242) viene afirmando que las cuestiones relativas a la ejecución de la pena ya impuesta, en la medida en que no impliquen que la misma sea más grave que la prevista por la ley, no conciernen al derecho a la legalidad penal consagrado en el art. 7.1 del Convenio.</w:t>
      </w:r>
    </w:p>
    <w:p w:rsidR="00D06117" w:rsidRDefault="00D06117" w:rsidP="00D06117">
      <w:pPr>
        <w:pStyle w:val="TextoNormal"/>
      </w:pPr>
    </w:p>
    <w:p w:rsidR="00D06117" w:rsidRDefault="00D06117" w:rsidP="00D06117">
      <w:pPr>
        <w:pStyle w:val="TextoNormal"/>
      </w:pPr>
      <w:r>
        <w:t>A mi juicio, por el contrario, la aplicación de los arts. 70.2 y 100 CP 1973 que, ajustándose a la interpretación de los mismos derivada de la citada STS 197/2006, de 28 de febrero, hacen las resoluciones impugnadas conduce a que el recurrente, sumando los días reales de privación de libertad a aquéllos otros que la ley reputa cumplidos por otros motivos, supere con creces el máximo de cumplimiento legalmente previsto en treinta años, de modo que, precisamente con arreglo a la jurisprudencia del Tribunal Europeo de Derechos Humanos que la mayoría adopta como ratio decidendi, el derecho a la legalidad penal proyecta aquí todos sus efectos.</w:t>
      </w:r>
    </w:p>
    <w:p w:rsidR="00D06117" w:rsidRDefault="00D06117" w:rsidP="00D06117">
      <w:pPr>
        <w:pStyle w:val="TextoNormal"/>
      </w:pPr>
    </w:p>
    <w:p w:rsidR="00D06117" w:rsidRDefault="00D06117" w:rsidP="00D06117">
      <w:pPr>
        <w:pStyle w:val="TextoNormal"/>
      </w:pPr>
      <w:r>
        <w:t>Partiendo de nuestra reiterada doctrina (iniciada con la STC 137/1997, de 21 de julio), según la que el principio de legalidad penal proscribe la imposición de cualquier infracción o sanción que, por no estar previamente establecida en la norma aplicable, constituya una sorpresa para el destinatario, y dado que en mi opinión, por los motivos expresados en el punto anterior y por el contexto jurídico que expondremos en el apartado siguiente, las decisiones judiciales impugnadas interpretan y aplican los arts. 70.2 y 100 CP 1973 en un sentido que es completamente imprevisible para el recurrente, no me cabe duda que éstas, además de vulnerar el art. 17.1 CE, son también lesivas de su derecho a la legalidad penal reconocido en el art. 25.1 CE.</w:t>
      </w:r>
    </w:p>
    <w:p w:rsidR="00D06117" w:rsidRDefault="00D06117" w:rsidP="00D06117">
      <w:pPr>
        <w:pStyle w:val="TextoNormal"/>
      </w:pPr>
    </w:p>
    <w:p w:rsidR="00D06117" w:rsidRDefault="00D06117" w:rsidP="00D06117">
      <w:pPr>
        <w:pStyle w:val="TextoNormal"/>
      </w:pPr>
      <w:r>
        <w:t>3. En fin, una tercera discrepancia con la mayoría versa sobre el tratamiento que la Sentencia hace del efecto de intangibilidad predicable de las resoluciones judiciales dictadas previamente en la ejecutoria, en particular del Auto de la Sección Segunda de la Sala de lo Penal de la Audiencia Nacional de 30 de mayo de 1996, en el que se acordó, conforme a las disposiciones transitorias del nuevo Código penal de 1995, que no procedía revisar las penas impuestas al recurrente.</w:t>
      </w:r>
    </w:p>
    <w:p w:rsidR="00D06117" w:rsidRDefault="00D06117" w:rsidP="00D06117">
      <w:pPr>
        <w:pStyle w:val="TextoNormal"/>
      </w:pPr>
    </w:p>
    <w:p w:rsidR="00D06117" w:rsidRDefault="00D06117" w:rsidP="00D06117">
      <w:pPr>
        <w:pStyle w:val="TextoNormal"/>
      </w:pPr>
      <w:r>
        <w:t>Constituye repetida doctrina de este Tribunal (por todas, STC 62/2010, de 18 de octubre, FJ 4)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w:t>
      </w:r>
    </w:p>
    <w:p w:rsidR="00D06117" w:rsidRDefault="00D06117" w:rsidP="00D06117">
      <w:pPr>
        <w:pStyle w:val="TextoNormal"/>
      </w:pPr>
    </w:p>
    <w:p w:rsidR="00D06117" w:rsidRDefault="00D06117" w:rsidP="00D06117">
      <w:pPr>
        <w:pStyle w:val="TextoNormal"/>
      </w:pPr>
      <w:r>
        <w:t>Y es de la máxima importancia tener presente que, para delimitar a los efectos de esta dimensión del art. 24.1 CE el ámbito o contenido de lo decidido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t>Pues bien, aunque el Auto de revisión de 30 de mayo de 1996 no lo diga expresamente, el motivo determinante de que no proceda la revisión de la condena es que la pena impuesta conforme al Código penal de 1973, debido a la disminución que suponen las redenciones legalmente establecidas, sería más favorable a la que resultaría de aplicar a los mismos hechos el Código penal de 1995, pues éste no contemplaba redención alguna.</w:t>
      </w:r>
    </w:p>
    <w:p w:rsidR="00D06117" w:rsidRDefault="00D06117" w:rsidP="00D06117">
      <w:pPr>
        <w:pStyle w:val="TextoNormal"/>
      </w:pPr>
    </w:p>
    <w:p w:rsidR="00D06117" w:rsidRDefault="00D06117" w:rsidP="00D06117">
      <w:pPr>
        <w:pStyle w:val="TextoNormal"/>
      </w:pPr>
      <w:r>
        <w:t xml:space="preserve">Así, sin excepción, los tribunales de justicia cuando entró en vigor el Código penal de 1995, tanto al enjuiciar los casos pendientes en ese momento, como en el trámite de revisión de las condenas en curso de ejecución para determinar la Ley penal más beneficiosa, partieron del dato normativo, nunca cuestionado por jurisprudencia ni por la doctrina, de que </w:t>
      </w:r>
      <w:r>
        <w:lastRenderedPageBreak/>
        <w:t>sobre la pena resultante de la aplicación de la regla segunda del art. 70 del CP 1973 tendría que incidir la redención de penas por el trabajo. Es más, la Sala Segunda del Tribunal Supremo declaró que, para hacer el estudio comparativo de las penas a ejecutar y así determinar el código más favorable en cada caso, habían de tenerse en cuenta las deducciones del tiempo sumado de redención por el trabajo. (Cfr. los acuerdos adoptados en los Plenos no jurisdiccionales de 18 de julio 1996 y 12 de febrero de 1999).</w:t>
      </w:r>
    </w:p>
    <w:p w:rsidR="00D06117" w:rsidRDefault="00D06117" w:rsidP="00D06117">
      <w:pPr>
        <w:pStyle w:val="TextoNormal"/>
      </w:pPr>
    </w:p>
    <w:p w:rsidR="00D06117" w:rsidRDefault="00D06117" w:rsidP="00D06117">
      <w:pPr>
        <w:pStyle w:val="TextoNormal"/>
      </w:pPr>
      <w:r>
        <w:t>Entiendo, por todo lo expuesto, que el Auto de revisión de 30 de mayo de 1996 fijaba como criterio, que además era el fundamento de su fallo, que el recurrente cumpliría las penas impuestas, o mejor dicho el máximo legal de treinta años pues la totalidad de aquéllas lo excedía, sumando a los días de estancia efectiva en prisión los otros días que por otras razones la ley reputa como de cumplimiento efectivo. Y no constituye obstáculo a esta consideración que falte su mención expresa en el Auto, dado que resulta de un modo indiscutible del contexto fáctico, pues de ningún otro modo puede ser más favorable el Código penal de 1973 respecto del de 1995, y lo que es más importante del contexto jurisdiccional, pues todos los tribunales ordinarios, siguiendo los citados acuerdos alcanzados en Plenos no jurisdiccionales de Sala Segunda del Tribunal Supremo, aplicaban este criterio.</w:t>
      </w:r>
    </w:p>
    <w:p w:rsidR="00D06117" w:rsidRDefault="00D06117" w:rsidP="00D06117">
      <w:pPr>
        <w:pStyle w:val="TextoNormal"/>
      </w:pPr>
    </w:p>
    <w:p w:rsidR="00D06117" w:rsidRDefault="00D06117" w:rsidP="00D06117">
      <w:pPr>
        <w:pStyle w:val="TextoNormal"/>
      </w:pPr>
      <w:r>
        <w:t>Cierto es que las ejecutorias son cauces procesales flexibles y que ello hace que no se pueda predicar de ellas el efecto de intangibilidad en los mismos términos que respecto de otras resoluciones jurisdiccionales, pero ello solo es así en la medida que las circunstancias del caso están en continua evolución, pero no respecto de un criterio general de configuración del cumplimiento de la pena al que no afecta la evolución de las coyuntura fáctica del condenado.</w:t>
      </w:r>
    </w:p>
    <w:p w:rsidR="00D06117" w:rsidRDefault="00D06117" w:rsidP="00D06117">
      <w:pPr>
        <w:pStyle w:val="TextoNormal"/>
      </w:pPr>
    </w:p>
    <w:p w:rsidR="00D06117" w:rsidRDefault="00D06117" w:rsidP="00D06117">
      <w:pPr>
        <w:pStyle w:val="TextoNormal"/>
      </w:pPr>
      <w:r>
        <w:t>En consecuencia, por las razones aquí expuestas, considero que la Sentencia debiera haber estimado el recurso de amparo.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formula la Magistrada doña Elisa Pérez Vera respecto de la Sentencia del Pleno de este Tribunal dictada en el recurso de amparo núm. 7325-2006.</w:t>
      </w:r>
    </w:p>
    <w:p w:rsidR="00D06117" w:rsidRDefault="00D06117" w:rsidP="00D06117">
      <w:pPr>
        <w:pStyle w:val="TextoNormalNegritaCentrado"/>
        <w:keepNext/>
      </w:pPr>
    </w:p>
    <w:p w:rsidR="00D06117" w:rsidRDefault="00D06117" w:rsidP="00D06117">
      <w:pPr>
        <w:pStyle w:val="TextoNormal"/>
      </w:pPr>
      <w:r>
        <w:t>Con el mayor respeto hacia el criterio mayoritario reflejado en la Sentencia, me siento en la obligación de ejercitar frente a él la facultad prevista en el artículo 90.2 LOTC, con el fin de reflejar fielmente la posición que mantuve en la deliberación del Pleno, expresando a través de este Voto mi discrepancia con el fallo y, en parte, con los argumentos que lo sustentan.</w:t>
      </w:r>
    </w:p>
    <w:p w:rsidR="00D06117" w:rsidRDefault="00D06117" w:rsidP="00D06117">
      <w:pPr>
        <w:pStyle w:val="TextoNormal"/>
      </w:pPr>
    </w:p>
    <w:p w:rsidR="00D06117" w:rsidRDefault="00D06117" w:rsidP="00D06117">
      <w:pPr>
        <w:pStyle w:val="TextoNormal"/>
      </w:pPr>
      <w:r>
        <w:t xml:space="preserve">Ante todo, debo dejar constancia de que comparto, con la mayoría de Magistrados que ha apoyado la Sentencia, que procede rechazar los óbices de admisibilidad planteados por el Abogado del Estado y el Ministerio Fiscal. Igualmente, considero que han de desestimarse las quejas referidas a la vulneración del derecho a la tutela judicial efectiva, a un proceso con todas las garantías, al derecho a un recurso efectivo y a la segunda instancia penal (art. 24.1 y 2 CE). También entiendo con la mayoría que no pueden compartirse las quejas del recurrente en relación con la supuesta vulneración del principio de igualdad en la aplicación </w:t>
      </w:r>
      <w:r>
        <w:lastRenderedPageBreak/>
        <w:t>de la ley (art. 14 CE) y del principio de legalidad penal —desde la doble perspectiva de la ilegitimidad del nuevo criterio interpretativo y la aplicación retroactiva de una ley desfavorable (art. 25.1 CE)—, ambos puestos en relación con su derecho a la libertad personal (art. 17 CE), dado que se trata del cumplimiento de una pena de prisión. Por último, en esta línea de coincidencias, asumo el tratamiento que recibe el principio de la intangibilidad inherente a las resoluciones judiciales firmes.</w:t>
      </w:r>
    </w:p>
    <w:p w:rsidR="00D06117" w:rsidRDefault="00D06117" w:rsidP="00D06117">
      <w:pPr>
        <w:pStyle w:val="TextoNormal"/>
      </w:pPr>
    </w:p>
    <w:p w:rsidR="00D06117" w:rsidRDefault="00D06117" w:rsidP="00D06117">
      <w:pPr>
        <w:pStyle w:val="TextoNormal"/>
      </w:pPr>
      <w:r>
        <w:t>De tal forma, los límites de mi discrepancia quedan reducidos a la aplicación que del principio de la intangibilidad de las resoluciones judiciales se hace en el caso concreto, de modo específico en el fundamento jurídico 9 c) de la Sentencia, en el que se descarta que tenga tal efecto el Auto de 30 de mayo de 1996, sobre la procedencia o improcedencia de la revisión de la pena, tras la entrada en vigor del Código penal de 1995. En efecto, se dice en la Sentencia que “ni en el fallo de dicha resolución se realiza pronunciamiento alguno acerca del criterio de cómputo de las redenciones (porque no era éste su objeto), ni de su fundamentación jurídica antes transcrita en relación con los antecedentes de hecho puede concluirse que la decisión de no revisar las condenas se sustentara en un determinado criterio de cómputo de las redenciones que resulte determinante o decisivo para considerar o no más favorable el Código penal de 1973” (fundamento jurídico noveno).</w:t>
      </w:r>
    </w:p>
    <w:p w:rsidR="00D06117" w:rsidRDefault="00D06117" w:rsidP="00D06117">
      <w:pPr>
        <w:pStyle w:val="TextoNormal"/>
      </w:pPr>
    </w:p>
    <w:p w:rsidR="00D06117" w:rsidRDefault="00D06117" w:rsidP="00D06117">
      <w:pPr>
        <w:pStyle w:val="TextoNormal"/>
      </w:pPr>
      <w:r>
        <w:t>Tal es el entendimiento, que no puedo compartir, del Auto de revisión que en la decisión del Pleno conduce a la desestimación del recurso de amparo en este extremo. Creo, en efecto, que para llegar a la conclusión a la que se llega en el citado Auto —que no ha lugar a la revisión de la Sentencia condenatoria—, ha de estarse al contenido de su razonamiento jurídico primero, según el cual “debe entenderse, como consecuencia de la desaparición en el nuevo Código de la redención de pena por trabajo y por la necesidad de aplicación de las normas completas de uno u otro Código (aplicación no fragmentaria de normas prevista en la DT. 2ª), que tampoco procederá la revisión cuando la antigua pena por aplicación de los beneficios penitenciarios del art. 100 del C.P. vigente y normas complementarias equivalga en términos de cumplimiento real a una pena que también sea imponible, es decir que se encuentre dentro del ámbito punitivo que establezca la nueva norma”. (Énfasis añadido)</w:t>
      </w:r>
    </w:p>
    <w:p w:rsidR="00D06117" w:rsidRDefault="00D06117" w:rsidP="00D06117">
      <w:pPr>
        <w:pStyle w:val="TextoNormal"/>
      </w:pPr>
    </w:p>
    <w:p w:rsidR="00D06117" w:rsidRDefault="00D06117" w:rsidP="00D06117">
      <w:pPr>
        <w:pStyle w:val="TextoNormal"/>
      </w:pPr>
      <w:r>
        <w:t>Consideraciones que han de ponerse en relación con las circunstancias del caso que muestran que el recurrente fue condenado a cinco penas privativas de libertad —cada una de ellas inferior a veinte años— de acuerdo con el Código penal de 1973, acordando la propia Sentencia condenatoria que en el cumplimiento de éstas su duración no podría exceder de treinta años. Pues bien, en tales circunstancias, en principio, en aplicación del Código penal de 1995, al demandante le hubiese correspondido una privación de libertad máxima de veinticinco años ex art. 76.1, sin duda más favorable en sí misma que el límite de treinta años fijado en Sentencia, de conformidad con el Código anterior. Por tanto, si el Auto de 30 de mayo de 1966 decide que no procede la revisión, “como consecuencia de la desaparición en el nuevo Código de la redención de pena por trabajo”, ésta es su ratio decidendi, la que hace que resulte más beneficioso el cumplimiento máximo de treinta años, fijados según el Código penal de 1973 con las redenciones pertinentes, respecto del período máximo a tenor del Código penal de 1995.</w:t>
      </w:r>
    </w:p>
    <w:p w:rsidR="00D06117" w:rsidRDefault="00D06117" w:rsidP="00D06117">
      <w:pPr>
        <w:pStyle w:val="TextoNormal"/>
      </w:pPr>
    </w:p>
    <w:p w:rsidR="00D06117" w:rsidRDefault="00D06117" w:rsidP="00D06117">
      <w:pPr>
        <w:pStyle w:val="TextoNormal"/>
      </w:pPr>
      <w:r>
        <w:t xml:space="preserve">Por tanto, entiendo que este motivo de queja debería haberse estimado y, en consecuencia, haberse otorgado el amparo solicitado (al igual que en los recursos de amparo núms. </w:t>
      </w:r>
      <w:r>
        <w:lastRenderedPageBreak/>
        <w:t>7991-2006, 1403-2007, 4627-2009 y 4169-2010, en que los Autos denegatorios de la revisión de la condena tras la entrada en vigor del Código penal de 1995 se pronuncian en idénticos términos a los aquí examinados). Y es que, el sistema de garantías constitucionales derivadas del principio de intangibilidad no consiente que, declarado por un Auto firme un período máximo de cumplimiento de prisión en aplicación del Código penal de 1973, inferior al período alternativo de veinticinco del Código penal de 1995, el primer período acabe extendiéndose por una decisión judicial posterior al máximo de treinta años.</w:t>
      </w:r>
    </w:p>
    <w:p w:rsidR="00D06117" w:rsidRDefault="00D06117" w:rsidP="00D06117">
      <w:pPr>
        <w:pStyle w:val="TextoNormal"/>
      </w:pPr>
    </w:p>
    <w:p w:rsidR="00D06117" w:rsidRDefault="00D06117" w:rsidP="00D06117">
      <w:pPr>
        <w:pStyle w:val="TextoNormal"/>
      </w:pPr>
      <w:r>
        <w:t>En el presente caso, además, la interpretación sostenida en este Voto se encontraría avalada por el Auto de la Audiencia Nacional de 29 de abril de 2009 por el que la Sala de lo Penal acuerda revisar la condena impuesta al recurrente por aplicación del Código penal de 1995, al considerar que “es obvio que si en 1996 el penado hubiera podido prever esta doctrina [se refiere a la doctrina fijada en la STS 197/2006] hubiera elegido, y la Sala lo hubiera autorizado, la revisión de la sentencia”, al corresponder en el nuevo Código un máximo de cumplimiento inferior al fijado en aplicación del Código penal de 1973. Argumento al que no obsta la posterior revocación de esta resolución por STS de 25 de noviembre de 2009 que, sin cuestionar tal planteamiento, entiende que la Audiencia Nacional incurrió en error “al establecer los términos comparativos de uno y otro texto”, considerando que la aplicación del Código penal de 1995 hubiera conducido también a un cumplimiento máximo de treinta años. Y es que, en lo que aquí interesa, en el Auto de 29 de abril resulta incuestionable que la propia Audiencia Nacional ha realizado una lectura de aquél en que se denegó la revisión, en virtud del análisis global previsto en la disposición transitoria quinta, que sitúa la razón de decidir en un determinado modo de aplicar la redención de penas por el trabajo. Y es esa decisión la que, una vez que alcanzó firmeza, no autorizaba una distinta interpretación peyorativa contra reo.</w:t>
      </w:r>
    </w:p>
    <w:p w:rsidR="00D06117" w:rsidRDefault="00D06117" w:rsidP="00D06117">
      <w:pPr>
        <w:pStyle w:val="TextoNormal"/>
      </w:pPr>
    </w:p>
    <w:p w:rsidR="00D06117" w:rsidRDefault="00D06117" w:rsidP="00D06117">
      <w:pPr>
        <w:pStyle w:val="TextoNormal"/>
      </w:pPr>
      <w:r>
        <w:t>En suma, estas son las razones que expuse en el Pleno y que me condujeron a votar en contra de la Sentencia frente a la que formulo el presente Voto particular.</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formula la Magistrada doña Adela Asua Batarrita a la Sentencia dictada en el recurso de amparo núm. 7325-2006.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lastRenderedPageBreak/>
        <w:t>Voto particular que emite el Magistrado don Luis Ignacio Ortega Álvarez con relación a la Sentencia dictada en el recurso de amparo avocado al Pleno núm. 7325-2006.</w:t>
      </w:r>
    </w:p>
    <w:p w:rsidR="00D06117" w:rsidRDefault="00D06117" w:rsidP="00D06117">
      <w:pPr>
        <w:pStyle w:val="TextoNormalNegritaCentrado"/>
        <w:keepNext/>
      </w:pPr>
    </w:p>
    <w:p w:rsidR="00D06117" w:rsidRDefault="00D06117" w:rsidP="00D06117">
      <w:pPr>
        <w:pStyle w:val="TextoNormal"/>
      </w:pPr>
      <w:r>
        <w:t>1. Respetando el criterio de la mayoría de este Tribunal, el Magistrado que suscribe entiende que sí existió en el caso de autos una vulneración del principio de intangibilidad de las resoluciones judiciales firmes y por tanto una vulneración de los derechos del demandante de amparo a la tutela judicial efectiva (art. 24.1 CE) y a la libertad (art. 17.1 CE).</w:t>
      </w:r>
    </w:p>
    <w:p w:rsidR="00D06117" w:rsidRDefault="00D06117" w:rsidP="00D06117">
      <w:pPr>
        <w:pStyle w:val="TextoNormal"/>
      </w:pPr>
    </w:p>
    <w:p w:rsidR="00D06117" w:rsidRDefault="00D06117" w:rsidP="00D06117">
      <w:pPr>
        <w:pStyle w:val="TextoNormal"/>
      </w:pPr>
      <w:r>
        <w:t>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w:t>
      </w:r>
      <w:r>
        <w:lastRenderedPageBreak/>
        <w:t>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t>2. La aplicación de la doctrina que acaba de exponerse al presente caso nos obliga a tomar en consideración —como ponen de relieve tanto el recurrente como el Ministerio Fiscal— una serie de datos, que se constatan en el examen de las actuaciones recibidas.</w:t>
      </w:r>
    </w:p>
    <w:p w:rsidR="00D06117" w:rsidRDefault="00D06117" w:rsidP="00D06117">
      <w:pPr>
        <w:pStyle w:val="TextoNormal"/>
      </w:pPr>
    </w:p>
    <w:p w:rsidR="00D06117" w:rsidRDefault="00D06117" w:rsidP="00D06117">
      <w:pPr>
        <w:pStyle w:val="TextoNormal"/>
      </w:pPr>
      <w:r>
        <w:t>a) El demandante se encuentra cumpliendo condena en virtud de Sentencia dictada por la Sección Segunda de la Sala de lo Penal de la Audiencia Nacional, de 21 de octubre de 1990 (sumario 20-1989, ejecutoria 22-1992), en la que se le impusieron cinco penas privativas de libertad: una de ocho años de prisión mayor, dos penas de once años de prisión mayor, una pena de dieciocho años de reclusión mayor y una última de cinco meses de arresto mayor. Esta Sentencia fue declarada firme por providencia de 11 de marzo de 1992.</w:t>
      </w:r>
    </w:p>
    <w:p w:rsidR="00D06117" w:rsidRDefault="00D06117" w:rsidP="00D06117">
      <w:pPr>
        <w:pStyle w:val="TextoNormal"/>
      </w:pPr>
    </w:p>
    <w:p w:rsidR="00D06117" w:rsidRDefault="00D06117" w:rsidP="00D06117">
      <w:pPr>
        <w:pStyle w:val="TextoNormal"/>
      </w:pPr>
      <w:r>
        <w:t>En la propia Sentencia condenatoria se acuerda que en el cumplimiento de las penas su duración no podrá exceder de treinta años.</w:t>
      </w:r>
    </w:p>
    <w:p w:rsidR="00D06117" w:rsidRDefault="00D06117" w:rsidP="00D06117">
      <w:pPr>
        <w:pStyle w:val="TextoNormal"/>
      </w:pPr>
    </w:p>
    <w:p w:rsidR="00D06117" w:rsidRDefault="00D06117" w:rsidP="00D06117">
      <w:pPr>
        <w:pStyle w:val="TextoNormal"/>
      </w:pPr>
      <w:r>
        <w:t>El día 25 de marzo de 1992 se practicó una primera liquidación de condena (f. 137), aprobada por providencia de 31 de marzo de 1992 (f. 139), en la que se establece, por aplicación de la regla 2 del art. 70 CP 1973, como periodo máximo de privación de libertad el de treinta años (10.950 días), y que la pena estará cumplida el 15 de abril de 2019.</w:t>
      </w:r>
    </w:p>
    <w:p w:rsidR="00D06117" w:rsidRDefault="00D06117" w:rsidP="00D06117">
      <w:pPr>
        <w:pStyle w:val="TextoNormal"/>
      </w:pPr>
    </w:p>
    <w:p w:rsidR="00D06117" w:rsidRDefault="00D06117" w:rsidP="00D06117">
      <w:pPr>
        <w:pStyle w:val="TextoNormal"/>
      </w:pPr>
      <w:r>
        <w:t>Sobre ese límite máximo de cumplimiento operaban con carácter general los beneficios otorgados por la ley y, en concreto, la libertad condicional y la redención de penas por el trabajo, de conformidad con la interpretación que al respecto venían haciendo los órganos de la jurisdicción ordinaria encargados de la ejecución.</w:t>
      </w:r>
    </w:p>
    <w:p w:rsidR="00D06117" w:rsidRDefault="00D06117" w:rsidP="00D06117">
      <w:pPr>
        <w:pStyle w:val="TextoNormal"/>
      </w:pPr>
    </w:p>
    <w:p w:rsidR="00D06117" w:rsidRDefault="00D06117" w:rsidP="00D06117">
      <w:pPr>
        <w:pStyle w:val="TextoNormal"/>
      </w:pPr>
      <w:r>
        <w:t>b) Tras la entrada en vigor del Código penal de 1995, de conformidad con lo establecido en las disposiciones transitorias primera, segunda, tercera y cuarta, se inició un procedimiento tendente a decidir si procedía o no la revisión de las condenas, por ser la ley posterior más favorable al reo.</w:t>
      </w:r>
    </w:p>
    <w:p w:rsidR="00D06117" w:rsidRDefault="00D06117" w:rsidP="00D06117">
      <w:pPr>
        <w:pStyle w:val="TextoNormal"/>
      </w:pPr>
    </w:p>
    <w:p w:rsidR="00D06117" w:rsidRDefault="00D06117" w:rsidP="00D06117">
      <w:pPr>
        <w:pStyle w:val="TextoNormal"/>
      </w:pPr>
      <w:r>
        <w:t xml:space="preserve">En concreto, la disposición transitoria tercera establece que los Directores de los establecimientos penitenciarios remitirán a los Jueces o Tribunales que estén conociendo de la ejecutoria “liquidación provisional de la pena en ejecución, señalando los días que el reo haya redimido por el trabajo y los que pueda redimir, en su caso, en el futuro conforme al artículo 100 del Código Penal que se deroga y disposiciones complementarias”. En cumplimiento de tal previsión, el centro penitenciario de El Dueso-Santoña, donde entonces se hallaba interno el demandante de amparo remitió a la Sección Segunda de la Sala de lo Penal Audiencia Nacional una liquidación provisional de condena, practicada el día 2 de febrero de 1996, con inclusión de las redenciones, en la que consta como total de pena impuesta treinta años (10.950 días) y se hacen constar los días redimidos por trabajo y los que podría redimir hasta alcanzar el cumplimiento de tres cuartos de condena y del total de la condena, </w:t>
      </w:r>
      <w:r>
        <w:lastRenderedPageBreak/>
        <w:t>descontándose los mismos de los 10.950 días de cumplimiento máximo a los efectos del cálculo de dichas fechas (ff. 301-303).</w:t>
      </w:r>
    </w:p>
    <w:p w:rsidR="00D06117" w:rsidRDefault="00D06117" w:rsidP="00D06117">
      <w:pPr>
        <w:pStyle w:val="TextoNormal"/>
      </w:pPr>
    </w:p>
    <w:p w:rsidR="00D06117" w:rsidRDefault="00D06117" w:rsidP="00D06117">
      <w:pPr>
        <w:pStyle w:val="TextoNormal"/>
      </w:pPr>
      <w:r>
        <w:t>De dicha documentación se dio traslado al Ministerio Fiscal, para que se pronunciara en los términos establecidos en la disposición transitoria cuarta, informando si procedía o no revisar la Sentencia. El Fiscal manifestó que “a la vista de la liquidación provisional remitida por el Centro Penitenciario y la pena que el nuevo Código Penal, en su artículo 572 impone al delito por el que fue condenado el penado, no procede revisar la sentencia, por ser más beneficioso para el reo la aplicación del Código que se deroga con las disposiciones sobre redención de penas por el trabajo” (f. 305). Tras informar el Fiscal, se oyó al reo, quien igualmente entendió que no procedía la revisión de la condena, por ser ello más favorable.</w:t>
      </w:r>
    </w:p>
    <w:p w:rsidR="00D06117" w:rsidRDefault="00D06117" w:rsidP="00D06117">
      <w:pPr>
        <w:pStyle w:val="TextoNormal"/>
      </w:pPr>
    </w:p>
    <w:p w:rsidR="00D06117" w:rsidRDefault="00D06117" w:rsidP="00D06117">
      <w:pPr>
        <w:pStyle w:val="TextoNormal"/>
      </w:pPr>
      <w:r>
        <w:t>Mediante Auto de 30 de mayo de 1996 (folios 330-331), la Sección Segunda de la Sala Penal de la Audiencia Nacional acordó “no haber lugar a la revisión de la Sentencia”, argumentando que de conformidad con la disposición transitoria quinta “no se considerará más favorable el nuevo Código cuando la duración de la pena anterior impuesta al hecho con sus circunstancias sea también imponible con arreglo al nuevo Código. Debe entenderse, como consecuencia de la desaparición en el nuevo Código de la redención de pena por trabajo y por la necesidad de aplicación de las normas completas de uno u otro Código (aplicación no fragmentaria de normas prevista en la DT 2), que tampoco procederá la revisión cuando la antigua pena por aplicación de los beneficios penitenciarios equivalga en términos de cumplimiento real a una pena que también sea imponible, es decir que se encuentre dentro del ámbito punitivo de la nueva norma, sin que en este caso tampoco proceda hacer una individualización de la pena a tenor del nuevo Código, lo que sólo se producirá cuando efectivamente, después del análisis global previsto en la DT 5 haya de revisarse la pena” (fundamento jurídico primero). “En el caso que nos ocupa, precisamente del análisis global a que se hace referencia en el anterior, resulta que la pena impuesta en la presente causa no resulta revisable según el nuevo Código penal de próxima entrada en vigor” (fundamento jurídico segundo).</w:t>
      </w:r>
    </w:p>
    <w:p w:rsidR="00D06117" w:rsidRDefault="00D06117" w:rsidP="00D06117">
      <w:pPr>
        <w:pStyle w:val="TextoNormal"/>
      </w:pPr>
    </w:p>
    <w:p w:rsidR="00D06117" w:rsidRDefault="00D06117" w:rsidP="00D06117">
      <w:pPr>
        <w:pStyle w:val="TextoNormal"/>
      </w:pPr>
      <w:r>
        <w:t>En el antecedente primero el órgano judicial se remite a la certificación del centro penitenciario, prevista en la disposición transitoria tercera del nuevo Código penal.</w:t>
      </w:r>
    </w:p>
    <w:p w:rsidR="00D06117" w:rsidRDefault="00D06117" w:rsidP="00D06117">
      <w:pPr>
        <w:pStyle w:val="TextoNormal"/>
      </w:pPr>
    </w:p>
    <w:p w:rsidR="00D06117" w:rsidRDefault="00D06117" w:rsidP="00D06117">
      <w:pPr>
        <w:pStyle w:val="TextoNormal"/>
      </w:pPr>
      <w:r>
        <w:t>c) Desde la fecha en que fue dictada esta resolución judicial, no existe constancia en las actuaciones de ninguna decisión de los órganos judiciales o de la administración penitenciaria de la que pueda desprenderse otro criterio en el cómputo de las redenciones por el trabajo.</w:t>
      </w:r>
    </w:p>
    <w:p w:rsidR="00D06117" w:rsidRDefault="00D06117" w:rsidP="00D06117">
      <w:pPr>
        <w:pStyle w:val="TextoNormal"/>
      </w:pPr>
    </w:p>
    <w:p w:rsidR="00D06117" w:rsidRDefault="00D06117" w:rsidP="00D06117">
      <w:pPr>
        <w:pStyle w:val="TextoNormal"/>
      </w:pPr>
      <w:r>
        <w:t xml:space="preserve">d) Como destacan tanto el recurrente como el Ministerio Fiscal, con fecha 18 de julio de 2002, el Juzgado de Vigilancia Penitenciaria de Bilbao acordó estimar la queja formulada por el interno y, en consecuencia, progresarle a tercer grado de tratamiento y concederle la libertad condicional en la presente causa (entendiendo que había cumplido tres cuartas partes de condena sobre la base del cómputo de la redención de penas por trabajo al máximo de cumplimiento de treinta años). El recurrente disfrutó de libertad condicional desde el día 30 de julio de 2002 (según consta en la comunicación del centro penitenciario a la Audiencia Nacional, f. 549) hasta que reingresó voluntariamente en prisión el día 25 de noviembre de 2003, tras ser declarada por la Sección Segunda de la Sala de lo Penal de la Audiencia </w:t>
      </w:r>
      <w:r>
        <w:lastRenderedPageBreak/>
        <w:t>Nacional, mediante Auto de 20 de noviembre de 2003 (ff. 677-681) la nulidad de pleno derecho del Auto de 18 de julio de 2002 del Juzgado de Vigilancia Penitenciaria de Bilbao, por entender la Audiencia Nacional que esta resolución se había dictado resolución con manifiesta falta de competencia objetiva. En el fundamento jurídico quinto de este Auto se establece que la Sala no hace pronunciamiento alguno en cuanto al cumplimiento de los requisitos para el cambio de grado del penado.</w:t>
      </w:r>
    </w:p>
    <w:p w:rsidR="00D06117" w:rsidRDefault="00D06117" w:rsidP="00D06117">
      <w:pPr>
        <w:pStyle w:val="TextoNormal"/>
      </w:pPr>
    </w:p>
    <w:p w:rsidR="00D06117" w:rsidRDefault="00D06117" w:rsidP="00D06117">
      <w:pPr>
        <w:pStyle w:val="TextoNormal"/>
      </w:pPr>
      <w:r>
        <w:t>Tras el reingreso en prisión, y como destaca el Ministerio Fiscal, el Secretario Judicial practicó el día 27 de noviembre de 2003 una nueva liquidación de condena sobre un total de condena de 10.950 días, del que se descuentan los días cumplidos como preventivo, como penado y en libertad condicional, conforme a la cual restaban por cumplir desde la fecha de reingreso en prisión 5.621 días, lo que determinaría el cumplimiento definitivo sin cómputo de redenciones el día 15 de abril de 2019 (f. 691). Dicha liquidación fue aprobada por la Sala mediante providencia de 3 de diciembre de 2003, según consta al f. 699 de las actuaciones.</w:t>
      </w:r>
    </w:p>
    <w:p w:rsidR="00D06117" w:rsidRDefault="00D06117" w:rsidP="00D06117">
      <w:pPr>
        <w:pStyle w:val="TextoNormal"/>
      </w:pPr>
    </w:p>
    <w:p w:rsidR="00D06117" w:rsidRDefault="00D06117" w:rsidP="00D06117">
      <w:pPr>
        <w:pStyle w:val="TextoNormal"/>
      </w:pPr>
      <w:r>
        <w:t>e) Existe constancia en las actuaciones de las resoluciones del Juzgado de Vigilancia Penitenciaria en las que se aprueban las propuestas de redención ordinaria y extraordinaria elevadas por el centro penitenciario.</w:t>
      </w:r>
    </w:p>
    <w:p w:rsidR="00D06117" w:rsidRDefault="00D06117" w:rsidP="00D06117">
      <w:pPr>
        <w:pStyle w:val="TextoNormal"/>
      </w:pPr>
    </w:p>
    <w:p w:rsidR="00D06117" w:rsidRDefault="00D06117" w:rsidP="00D06117">
      <w:pPr>
        <w:pStyle w:val="TextoNormal"/>
      </w:pPr>
      <w:r>
        <w:t>f) En la lógica del cómputo de las redenciones de pena por trabajo a la pena que restaba por cumplir respecto del máximo de cumplimiento de treinta años, el 14 de marzo de 2006 el centro penitenciario de La Moraleja-Dueñas (Palencia) remitió un oficio a la Sala de lo Penal de la Audiencia Nacional interesando la aprobación del licenciamiento definitivo del recurrente para el día 14 de junio de 2006 (f. 833).</w:t>
      </w:r>
    </w:p>
    <w:p w:rsidR="00D06117" w:rsidRDefault="00D06117" w:rsidP="00D06117">
      <w:pPr>
        <w:pStyle w:val="TextoNormal"/>
      </w:pPr>
    </w:p>
    <w:p w:rsidR="00D06117" w:rsidRDefault="00D06117" w:rsidP="00D06117">
      <w:pPr>
        <w:pStyle w:val="TextoNormal"/>
      </w:pPr>
      <w:r>
        <w:t>Posteriormente, y encontrándose las actuaciones pendiente de informe del Ministerio Fiscal, el centro penitenciario remite vía fax al órgano judicial un informe en el que, siguiendo instrucciones de la Dirección General de Instituciones Penitenciarias y teniendo en cuenta la Sentencia de Tribunal Supremo núm. 197/2006, se hace constar lo siguiente en relación a la fecha de cumplimiento definitivo: sin ningún tipo de redención sobre el límite de treinta años, la fecha de cumplimiento definitivo sería el 15 de abril de 2019, según consta en la liquidación de condena practicada por la Sala el 27 de noviembre de 2003; con las redenciones aprobadas sobre la totalidad de las condenas (cuarenta y ocho años y cinco meses) comenzando el cumplimiento por la más grave, criterio mantenido por la aludida Sentencia del Tribunal Supremo, la fecha de cumplimiento sería el 19 de septiembre de 2018; y con las redenciones aprobadas sobre el límite de acumulación de treinta años, “que sería el criterio seguido hasta el pronunciamiento de la Sentencia del Tribunal Supremo y el remitido por este Centro a esa Sala solicitándoles el licenciamiento definitivo”, la fecha sería el 14 de junio de 2006 (ff. 967-973).</w:t>
      </w:r>
    </w:p>
    <w:p w:rsidR="00D06117" w:rsidRDefault="00D06117" w:rsidP="00D06117">
      <w:pPr>
        <w:pStyle w:val="TextoNormal"/>
      </w:pPr>
    </w:p>
    <w:p w:rsidR="00D06117" w:rsidRDefault="00D06117" w:rsidP="00D06117">
      <w:pPr>
        <w:pStyle w:val="TextoNormal"/>
      </w:pPr>
      <w:r>
        <w:t>g) Mediante Auto de 4 de mayo de 2006, la Sección Segunda de la Sala de lo Penal de la Audiencia Nacional acordó aprobar el licenciamiento definitivo del penado para el día 19 de septiembre de 2018, aplicando la “novedosa teoría jurisprudencial” sentada en la Sentencia del Tribunal Supremo 197/2006, de 28 de febrero, a la presente ejecutoria. Dicha resolución fue confirmada mediante Auto de la misma Sección y Sala de 7 de junio de 2006.</w:t>
      </w:r>
    </w:p>
    <w:p w:rsidR="00D06117" w:rsidRDefault="00D06117" w:rsidP="00D06117">
      <w:pPr>
        <w:pStyle w:val="TextoNormal"/>
      </w:pPr>
    </w:p>
    <w:p w:rsidR="00D06117" w:rsidRDefault="00D06117" w:rsidP="00D06117">
      <w:pPr>
        <w:pStyle w:val="TextoNormal"/>
      </w:pPr>
      <w:r>
        <w:lastRenderedPageBreak/>
        <w:t>3. De la lectura de los datos que acaban de exponerse se desprende que, como sostiene el recurrente, a lo largo de toda la ejecutoria (desde que comenzó a redimir el día 1 de mayo de 1989 y hasta el dictado del Auto de 4 de mayo de 2006) el cómputo de las redenciones de pena por trabajo se ha venido realizando sobre el límite máximo de cumplimiento de treinta años, del que se descontaban tanto los días de cumplimiento efectivo como los redimidos por trabajo, plasmándose dicho criterio en los cálculos periódicos elaborados por los centros penitenciarios, hasta llegar a la liquidación de condena sobre cuya base se realiza la propuesta inicial de licenciamiento definitivo por el centro penitenciario de La Moraleja-Dueñas (Palencia).</w:t>
      </w:r>
    </w:p>
    <w:p w:rsidR="00D06117" w:rsidRDefault="00D06117" w:rsidP="00D06117">
      <w:pPr>
        <w:pStyle w:val="TextoNormal"/>
      </w:pPr>
    </w:p>
    <w:p w:rsidR="00D06117" w:rsidRDefault="00D06117" w:rsidP="00D06117">
      <w:pPr>
        <w:pStyle w:val="TextoNormal"/>
      </w:pPr>
      <w:r>
        <w:t>Dicho criterio de cómputo se incorpora a una resolución judicial firme, el Auto de 30 de mayo de 1996, de forma decisiva para sustentar el sentido del fallo: que no procede la revisión de las penas tras la entrada en vigor del Código penal de 1995. Esto es así si se toman en consideración los siguientes datos.</w:t>
      </w:r>
    </w:p>
    <w:p w:rsidR="00D06117" w:rsidRDefault="00D06117" w:rsidP="00D06117">
      <w:pPr>
        <w:pStyle w:val="TextoNormal"/>
      </w:pPr>
    </w:p>
    <w:p w:rsidR="00D06117" w:rsidRDefault="00D06117" w:rsidP="00D06117">
      <w:pPr>
        <w:pStyle w:val="TextoNormal"/>
      </w:pPr>
      <w:r>
        <w:t>En primer lugar, que es el criterio adoptado al elaborar la liquidación provisional de condena remitida por el centro penitenciario, cuyo contenido se incorpora a esta resolución y sirve de fundamento fáctico a la decisión de revisar o no la Sentencia, por imperativo de las disposiciones transitorias del Código penal de 1995 antes citadas.</w:t>
      </w:r>
    </w:p>
    <w:p w:rsidR="00D06117" w:rsidRDefault="00D06117" w:rsidP="00D06117">
      <w:pPr>
        <w:pStyle w:val="TextoNormal"/>
      </w:pPr>
    </w:p>
    <w:p w:rsidR="00D06117" w:rsidRDefault="00D06117" w:rsidP="00D06117">
      <w:pPr>
        <w:pStyle w:val="TextoNormal"/>
      </w:pPr>
      <w:r>
        <w:t>En segundo lugar, que en el razonamiento jurídico primero de dicho Auto se hace expresa referencia a la desaparición en el nuevo Código de la antigua institución de la redención de penas por el trabajo, que había estado en vigor desde el Código penal de 1944 en los términos establecidos por su art. 100, concluyendo que no procederá la revisión “cuando la antigua pena por aplicación de los beneficios penitenciarios del art. 100 del CP vigente y normas complementarias equivalga en términos de cumplimiento real a una pena que también sea imponible”. Una equivalencia de penas que, aunque no se individualice por considerarlo innecesario el órgano judicial, se afirma sobre la base de un determinado criterio de cómputo de las redenciones, el único criterio aplicado hasta ese momento con carácter general y, en concreto, el aplicado al caso por el centro penitenciario en la propuesta de liquidación provisional. Como pone de manifiesto el recurrente en su demanda de amparo, otro criterio de cómputo hubiera podido tal vez determinar una revisión del Código aplicable, a la vista de las penas impuestas.</w:t>
      </w:r>
    </w:p>
    <w:p w:rsidR="00D06117" w:rsidRDefault="00D06117" w:rsidP="00D06117">
      <w:pPr>
        <w:pStyle w:val="TextoNormal"/>
      </w:pPr>
    </w:p>
    <w:p w:rsidR="00D06117" w:rsidRDefault="00D06117" w:rsidP="00D06117">
      <w:pPr>
        <w:pStyle w:val="TextoNormal"/>
      </w:pPr>
      <w:r>
        <w:t>Ciertamente, el objeto del Auto de 30 de mayo de 1996 era la determinación de la ley aplicable al caso tras la entrada en vigor del Código penal de 1995, que había de ser la más favorable al reo, conforme a lo dispuesto en las disposiciones transitorias de dicho Código. Y el pronunciamiento judicial contenido en aquel fallo de 1996 establece “no haber lugar a la revisión de la Sentencia”. En las resoluciones recurridas en amparo no se replantea esta cuestión, ya que se ciñen a lo que era su objeto específico, el pronunciamiento sobre la aprobación de la liquidación de condena y el licenciamiento definitivo del penado.</w:t>
      </w:r>
    </w:p>
    <w:p w:rsidR="00D06117" w:rsidRDefault="00D06117" w:rsidP="00D06117">
      <w:pPr>
        <w:pStyle w:val="TextoNormal"/>
      </w:pPr>
    </w:p>
    <w:p w:rsidR="00D06117" w:rsidRDefault="00D06117" w:rsidP="00D06117">
      <w:pPr>
        <w:pStyle w:val="TextoNormal"/>
      </w:pPr>
      <w:r>
        <w:t>Ahora bien, según se expuso anteriormente, la intangibilidad de lo decidido en una resolución judicial firme se proyecta al examen de las cuestiones que guardan con ella una relación de estricta dependencia, extendiéndose a aquellos extremos que constituyen su ratio decidendi y a los que, aun no constituyendo el objeto mismo del proceso, resultan determinantes o decisivos para la decisión adoptada.</w:t>
      </w:r>
    </w:p>
    <w:p w:rsidR="00D06117" w:rsidRDefault="00D06117" w:rsidP="00D06117">
      <w:pPr>
        <w:pStyle w:val="TextoNormal"/>
      </w:pPr>
    </w:p>
    <w:p w:rsidR="00D06117" w:rsidRDefault="00D06117" w:rsidP="00D06117">
      <w:pPr>
        <w:pStyle w:val="TextoNormal"/>
      </w:pPr>
      <w:r>
        <w:lastRenderedPageBreak/>
        <w:t>En el presente caso, puede afirmarse que el Auto de 30 de mayo de 1996 no sólo resuelve acerca de cuál es la ley aplicable ante la sucesión normativa generada por la entrada en vigor del nuevo Código penal, sino que al adoptar su decisión sobre la base de un determinado criterio de cómputo de las redenciones que resulta determinante para considerar no revisable la Sentencia, está conformando la realidad jurídica relativa a la ejecución de la pena privativa de libertad y creando una situación jurídica consolidada no sólo respecto de la ley aplicable, sino también respecto del criterio de cómputo de las redenciones que sustenta su decisión.</w:t>
      </w:r>
    </w:p>
    <w:p w:rsidR="00D06117" w:rsidRDefault="00D06117" w:rsidP="00D06117">
      <w:pPr>
        <w:pStyle w:val="TextoNormal"/>
      </w:pPr>
    </w:p>
    <w:p w:rsidR="00D06117" w:rsidRDefault="00D06117" w:rsidP="00D06117">
      <w:pPr>
        <w:pStyle w:val="TextoNormal"/>
      </w:pPr>
      <w:r>
        <w:t>Es decir, la Audiencia Nacional en su Auto de 1996, al ponderar la aplicación del nuevo Código de 1995, respecto del anterior, tiene necesariamente en cuenta el hecho de que el recurrente con arreglo a este último redimía penas con relación al máximo de treinta años de cumplimiento declarado en la Sentencia de 21 de octubre de 1990. Un criterio conforme al cual ha venido ejecutándose la pena y cuya existencia no puede ser ignorada por el propio órgano judicial en decisiones posteriores, como las recurridas en amparo, sin hacer desaparecer la eficacia de su anterior resolución. Por ello, la consideración de que el término de comparación del antiguo código era el de redención de penas respecto del máximo de treinta años, es determinante, en la ratio decidendi el Auto de 1996. Es más, constituía un razonamiento legalmente necesario, al deber realizarse esta ponderación con las “normas completas de uno y otro código” tal como señala el propio Auto de 1996 y exige la disposición transitoria segunda del Código de 1995. Por ello, efectivamente se compara la antigua pena, y así se refleja en el texto del Auto de 1996, en función de los beneficios penitenciarios y en los términos de su cumplimiento real, De este modo, la Audiencia Nacional, consideró mediante una resolución firme que la aplicación de las redenciones de pena por trabajo se computaba sobre el máximo de treinta años de cumplimiento.</w:t>
      </w:r>
    </w:p>
    <w:p w:rsidR="00D06117" w:rsidRDefault="00D06117" w:rsidP="00D06117">
      <w:pPr>
        <w:pStyle w:val="TextoNormal"/>
      </w:pPr>
    </w:p>
    <w:p w:rsidR="00D06117" w:rsidRDefault="00D06117" w:rsidP="00D06117">
      <w:pPr>
        <w:pStyle w:val="TextoNormal"/>
      </w:pPr>
      <w:r>
        <w:t>El convencimiento de este Magistrado de que ésta era la verdadera ratio decidendi del Auto de 30 de mayo de 1996, viene confirmado por un Auto posterior de la misma Sala Segunda de la Audiencia Nacional de 29 de abril de 2009, que sin ser objeto directo de este recurso de amparo, sí se tuvo acceso al mismo, tal como consta en los antecedentes, al estar incluido en la documentación entregada por el representante del recurrente al solicitar a este Tribunal, por escrito de 13 de marzo de 2012, la modificación de la denegación de la suspensión decretada por ATC 19/2008, de 22 de enero.</w:t>
      </w:r>
    </w:p>
    <w:p w:rsidR="00D06117" w:rsidRDefault="00D06117" w:rsidP="00D06117">
      <w:pPr>
        <w:pStyle w:val="TextoNormal"/>
      </w:pPr>
    </w:p>
    <w:p w:rsidR="00D06117" w:rsidRDefault="00D06117" w:rsidP="00D06117">
      <w:pPr>
        <w:pStyle w:val="TextoNormal"/>
      </w:pPr>
      <w:r>
        <w:t>En dicho Auto de 2009, el hoy demandante de amparo, solicitaba, a la vista de la aplicación de la doctrina del Tribunal Supremo contenida en su Sentencia de 28 de febrero de 2006 (“doctrina Parot”) para el cómputo de la redención de penas por trabajo, la aplicación del Código de 1995 como norma más favorable. Pues bien, la Audiencia Nacional, al referirse a la relación entre la aplicación de la “doctrina Parot” en su Auto de 2006 y lo decidido en su Auto de 1996, señala lo siguiente:</w:t>
      </w:r>
    </w:p>
    <w:p w:rsidR="00D06117" w:rsidRDefault="00D06117" w:rsidP="00D06117">
      <w:pPr>
        <w:pStyle w:val="TextoNormal"/>
      </w:pPr>
    </w:p>
    <w:p w:rsidR="00D06117" w:rsidRDefault="00D06117" w:rsidP="00D06117">
      <w:pPr>
        <w:pStyle w:val="TextoNormal"/>
      </w:pPr>
      <w:r>
        <w:t>“Esta doctrina aplicada al presente caso ha tenido el efecto de que, estando previsto el licenciamiento para el año 2006, se determinó para el año 2018. Es obvio, que si en 1996 el penado hubiese podido prever esta doctrina, hubiera elegido y la Sala lo hubiese autorizado, la revisión de la sentencia.”</w:t>
      </w:r>
    </w:p>
    <w:p w:rsidR="00D06117" w:rsidRDefault="00D06117" w:rsidP="00D06117">
      <w:pPr>
        <w:pStyle w:val="TextoNormal"/>
      </w:pPr>
    </w:p>
    <w:p w:rsidR="00D06117" w:rsidRDefault="00D06117" w:rsidP="00D06117">
      <w:pPr>
        <w:pStyle w:val="TextoNormal"/>
      </w:pPr>
      <w:r>
        <w:t xml:space="preserve">Es por ello, que dicho documento debió servir a los miembros del Pleno como elemento de convicción del verdadero sentido del razonamiento contenido en el Auto de 30 de mayo </w:t>
      </w:r>
      <w:r>
        <w:lastRenderedPageBreak/>
        <w:t>de 1996 para no proceder a la revisión, con arreglo al Código de 1995, de las penas impuestas en aplicación del Código anterior.</w:t>
      </w:r>
    </w:p>
    <w:p w:rsidR="00D06117" w:rsidRDefault="00D06117" w:rsidP="00D06117">
      <w:pPr>
        <w:pStyle w:val="TextoNormal"/>
      </w:pPr>
    </w:p>
    <w:p w:rsidR="00D06117" w:rsidRDefault="00D06117" w:rsidP="00D06117">
      <w:pPr>
        <w:pStyle w:val="TextoNormal"/>
      </w:pPr>
      <w:r>
        <w:t>En definitiva, aun siendo distinto su objeto, existe una estricta relación de dependencia entre lo resuelto por el citado Auto y las resoluciones recurridas en amparo, que impedía a éstas ignorar la realidad jurídica conformada por aquél en cuanto al criterio de cómputo de las redenciones, lo que nos conduce a afirmar que estas resoluciones desconocen la eficacia de lo resuelto con carácter firme e intangible por el Auto de 30 de mayo de 1996, vulnerando el derecho a la tutela judicial efectiva (art. 24.1 CE).</w:t>
      </w:r>
    </w:p>
    <w:p w:rsidR="00D06117" w:rsidRDefault="00D06117" w:rsidP="00D06117">
      <w:pPr>
        <w:pStyle w:val="TextoNormal"/>
      </w:pPr>
    </w:p>
    <w:p w:rsidR="00D06117" w:rsidRDefault="00D06117" w:rsidP="00D06117">
      <w:pPr>
        <w:pStyle w:val="TextoNormal"/>
      </w:pPr>
      <w:r>
        <w:t>Nada obsta a lo anterior el hecho de que el cambio de criterio de la Audiencia Nacional en mayo de 2006, frente a su anterior decisión firme adoptada en 1996, se funde en la aplicación de un nuevo criterio interpretativo sentado por el Tribunal Supremo el 28 de febrero de 2006, pues los cambios de criterio jurisprudencial no pueden poner en cuestión la firmeza de la resolución anterior, ni justificar el desconocimiento de su eficacia y la vulneración del derecho a la intangibilidad de la realidad jurídica conformada por ella (STC 219/2000, de 18 de septiembre, FFJJ 6 y 7), lo que debió haber sido tenido en cuenta por el órgano judicial a la hora de determinar el alcance, en el caso concreto, del citado cambio de criterio jurisprudencial.</w:t>
      </w:r>
    </w:p>
    <w:p w:rsidR="00D06117" w:rsidRDefault="00D06117" w:rsidP="00D06117">
      <w:pPr>
        <w:pStyle w:val="TextoNormal"/>
      </w:pPr>
    </w:p>
    <w:p w:rsidR="00D06117" w:rsidRDefault="00D06117" w:rsidP="00D06117">
      <w:pPr>
        <w:pStyle w:val="TextoNormal"/>
      </w:pPr>
      <w:r>
        <w:t>4. Pero nuestro pronunciamiento no puede agotarse en la declaración de la anterior vulneración, sino que ha de tomar en consideración las consecuencias que la misma tiene desde la perspectiva del derecho a la libertad (art. 17.1 CE) en juego.</w:t>
      </w:r>
    </w:p>
    <w:p w:rsidR="00D06117" w:rsidRDefault="00D06117" w:rsidP="00D06117">
      <w:pPr>
        <w:pStyle w:val="TextoNormal"/>
      </w:pPr>
    </w:p>
    <w:p w:rsidR="00D06117" w:rsidRDefault="00D06117" w:rsidP="00D06117">
      <w:pPr>
        <w:pStyle w:val="TextoNormal"/>
      </w:pPr>
      <w:r>
        <w:t>En efecto, a partir de la firmeza de lo decidido en el Auto de 30 de mayo de 1996 (dictada por el órgano judicial encargado de la ejecutoria y a quien correspondía determinar cómo y cuándo se cumple y se extingue la pena) y de la situación jurídica consolidada por la citada resolución en cuanto al modo de cómputo de la redención de penas por el trabajo, la pena se ha venido ejecutando durante años sobre las bases tomadas en consideración en el mismo: aplicación del antiguo Código penal y de la redención de penas por el trabajo, que determina el abono de un día por cada dos de trabajo, y cómputo de los días redimidos como tiempo de cumplimiento efectivo, a descontar del máximo legal de treinta años resultante de la acumulación de condenas. Lo que se ha plasmado en actos inequívocos de la Administración penitenciaria: las hojas de cálculo en las que se van realizando las liquidaciones provisionales de condena teniendo en cuenta los abonos derivados de la redención de penas por trabajo practicados periódicamente por el Juez de vigilancia penitenciaria a propuesta del centro penitenciario; y señaladamente la que sirve de base a la propuesta de licenciamiento definitivo del penado para el día 14 de junio 2006, elevada al órgano judicial por el Director del centro penitenciario al órgano judicial el día 14 de marzo de 2006.</w:t>
      </w:r>
    </w:p>
    <w:p w:rsidR="00D06117" w:rsidRDefault="00D06117" w:rsidP="00D06117">
      <w:pPr>
        <w:pStyle w:val="TextoNormal"/>
      </w:pPr>
    </w:p>
    <w:p w:rsidR="00D06117" w:rsidRDefault="00D06117" w:rsidP="00D06117">
      <w:pPr>
        <w:pStyle w:val="TextoNormal"/>
      </w:pPr>
      <w:r>
        <w:t xml:space="preserve">En esa fecha, por tanto, en aplicación del marco legal existente en el momento de comisión del hecho delictivo y computando la redención de penas por el trabajo conforme al criterio firme e intangible establecido por el propio órgano judicial encargado de la ejecución, el recurrente había cumplido ya la pena que le fue impuesta. Por tanto, y aunque el recurrente fue privado legítimamente de libertad, una vez cumplida la pena en los términos anteriormente expuestos, nos encontramos ante una privación de libertad fuera de los casos previstos por la ley, pues el título que la legitimaba se ha extinguido. Por ello, el exceso de tiempo pasado en prisión constituye una privación de libertad carente de base legal y lesiva </w:t>
      </w:r>
      <w:r>
        <w:lastRenderedPageBreak/>
        <w:t>del derecho fundamental a la libertad consagrado en el art. 17.1 CE (STC 322/2005, de 12 de diciembre, FFJJ 2 y 3; STEDH de 10 de julio de 2003, Grava c. Italia §§ 44 y 45).</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5" w:name="SENTENCIA_2012_42"/>
      <w:r>
        <w:lastRenderedPageBreak/>
        <w:t>SENTENCIA 42/2012, de 29 de marzo de 2012</w:t>
      </w:r>
    </w:p>
    <w:bookmarkEnd w:id="4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ECLI:ES:TC:2012:42</w:t>
      </w:r>
    </w:p>
    <w:p w:rsidR="00D06117" w:rsidRDefault="00D06117" w:rsidP="00D06117">
      <w:pPr>
        <w:pStyle w:val="SntesisDescriptiva"/>
      </w:pPr>
    </w:p>
    <w:p w:rsidR="00D06117" w:rsidRDefault="00D06117" w:rsidP="00D06117">
      <w:pPr>
        <w:pStyle w:val="SntesisDescriptiva"/>
      </w:pPr>
      <w:r>
        <w:t>Recurso de amparo 7991-2006. Recurso de amparo promovido por don Jesús Bollada Álvarez con respecto a las resoluciones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9].</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8, 9].</w:t>
      </w:r>
    </w:p>
    <w:p w:rsidR="00D06117" w:rsidRDefault="00D06117" w:rsidP="00D06117">
      <w:pPr>
        <w:pStyle w:val="Extracto"/>
      </w:pPr>
    </w:p>
    <w:p w:rsidR="00D06117" w:rsidRDefault="00D06117" w:rsidP="00D06117">
      <w:pPr>
        <w:pStyle w:val="Extracto"/>
      </w:pPr>
      <w:r>
        <w:t>4.</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10].</w:t>
      </w:r>
    </w:p>
    <w:p w:rsidR="00D06117" w:rsidRDefault="00D06117" w:rsidP="00D06117">
      <w:pPr>
        <w:pStyle w:val="Extracto"/>
      </w:pPr>
    </w:p>
    <w:p w:rsidR="00D06117" w:rsidRDefault="00D06117" w:rsidP="00D06117">
      <w:pPr>
        <w:pStyle w:val="Extracto"/>
      </w:pPr>
      <w:r>
        <w:t>5.</w:t>
      </w:r>
      <w:r>
        <w:tab/>
        <w:t xml:space="preserve">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w:t>
      </w:r>
      <w:r>
        <w:lastRenderedPageBreak/>
        <w:t>y su evolución muestren que se hallan en condiciones de rehacer su vida en libertad [FJ 10].</w:t>
      </w:r>
    </w:p>
    <w:p w:rsidR="00D06117" w:rsidRDefault="00D06117" w:rsidP="00D06117">
      <w:pPr>
        <w:pStyle w:val="Extracto"/>
      </w:pPr>
    </w:p>
    <w:p w:rsidR="00D06117" w:rsidRDefault="00D06117" w:rsidP="00D06117">
      <w:pPr>
        <w:pStyle w:val="Extracto"/>
      </w:pPr>
      <w:r>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6].</w:t>
      </w:r>
    </w:p>
    <w:p w:rsidR="00D06117" w:rsidRDefault="00D06117" w:rsidP="00D06117">
      <w:pPr>
        <w:pStyle w:val="Extracto"/>
      </w:pPr>
    </w:p>
    <w:p w:rsidR="00D06117" w:rsidRDefault="00D06117" w:rsidP="00D06117">
      <w:pPr>
        <w:pStyle w:val="Extracto"/>
      </w:pPr>
      <w:r>
        <w:t>7.</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6].</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7].</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8].</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8].</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8].</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8].</w:t>
      </w:r>
    </w:p>
    <w:p w:rsidR="00D06117" w:rsidRDefault="00D06117" w:rsidP="00D06117">
      <w:pPr>
        <w:pStyle w:val="Extracto"/>
      </w:pPr>
    </w:p>
    <w:p w:rsidR="00D06117" w:rsidRDefault="00D06117" w:rsidP="00D06117">
      <w:pPr>
        <w:pStyle w:val="Extracto"/>
      </w:pPr>
      <w:r>
        <w:t>13.</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4].</w:t>
      </w:r>
    </w:p>
    <w:p w:rsidR="00D06117" w:rsidRDefault="00D06117" w:rsidP="00D06117">
      <w:pPr>
        <w:pStyle w:val="Extracto"/>
      </w:pPr>
    </w:p>
    <w:p w:rsidR="00D06117" w:rsidRDefault="00D06117" w:rsidP="00D06117">
      <w:pPr>
        <w:pStyle w:val="Extracto"/>
      </w:pPr>
      <w:r>
        <w:t>14.</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7991-2006, promovido por don Jesús Bollada Álvarez, representado por el Procurador de los Tribunales don José Javier Cuevas Rivas y asistido por el Abogado don Iñaki Goioaga Llano contra el Auto de la Sección Tercera de la Sala de lo Penal de la Audiencia Nacional, de 5 de junio de 2006, dictado en la ejecutoria 82-1989 (correspondiente al sumario 4-1983 del Juzgado Central de Instrucción núm. 4), por el que se rechaza la solicitud formulada por el demandante de amparo en relación con su licenciamiento definitivo, así como contra el Auto de 27 de junio siguiente por el que se desestimó el recurso de súplica deducido contra el primero. Ha intervenido el Ministerio Fiscal y ha comparecido el Abogado del Estado. Ha sido Ponente el Magistrado don Francisco Pérez de los Cobos y Orihuel,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28 de julio de 2006, don José Javier Cuevas Rivas, Procurador de los Tribunales y de don Jesús Bollada Álvarez, interpuso recurso de amparo contra la resolución judicial que se cita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demandante de amparo fue condenado por la Sección Tercera de la Sala de lo Penal de la Audiencia Nacional (sumario 4-1983, del Juzgado Central de Instrucción núm. 4) como autor de un delito de pertenencia a banda armada a la pena de seis años y un día de prisión mayor y multa de 100.000 pesetas; de dos delitos de utilización ilegítima de vehículo de motor a dos penas de cuatro años, dos meses y un día de prisión menor y dos años de retirada del permiso de conducir; un delito de robo en entidad bancaria a la pena de seis años de prisión menor; un delito de robo en entidad bancaria a la pena de cinco años de prisión menor; un delito de atentado con lesiones a la pena de veinte años y un día de reclusión mayor; dos delitos de daños a dos penas de 100.000 pesetas de multa; un delito de depósito de armas de guerra a la pena de siete años de prisión mayor; y un delito de tenencia de explosivos a la pena de seis años y un día de prisión mayor; con sujeción de dichas condenas a lo previsto en cuanto al límite temporal máximo de cumplimiento a lo previsto en el art. 70 del Código penal.</w:t>
      </w:r>
    </w:p>
    <w:p w:rsidR="00D06117" w:rsidRDefault="00D06117" w:rsidP="00D06117">
      <w:pPr>
        <w:pStyle w:val="TextoNormal"/>
      </w:pPr>
    </w:p>
    <w:p w:rsidR="00D06117" w:rsidRDefault="00D06117" w:rsidP="00D06117">
      <w:pPr>
        <w:pStyle w:val="TextoNormal"/>
      </w:pPr>
      <w:r>
        <w:t>b) Dado que el demandante de amparo se encontraba en prisión cumpliendo otras penas a las que había sido condenado por la Sección Segunda de la Sala de lo Penal de la Audiencia Nacional en el sumario 57-1982, del Juzgado Central de Instrucción núm. 2, la Sección Tercera, en tanto que órgano que había dictado la última condena, acordó formar pieza separada 1-1990 para la acumulación de condenas, en la cual se dictó Auto de 29 de enero de 1990 estableciendo en treinta años el límite correspondiente al art. 70 del Código penal (CP) entonces vigente. Seguidamente el Secretario Judicial practicó liquidación de condena en la que, con abono de la prisión provisional sufrida por el demandante, fijó como fecha de cumplimiento de los indicados treinta años de prisión el día 26 de septiembre de 2017. Seguidamente se acordó el archivo provisional de la ejecutoria mediante providencia de 23 de febrero de 1990, notificada en debida forma a la representación procesal del demandante.</w:t>
      </w:r>
    </w:p>
    <w:p w:rsidR="00D06117" w:rsidRDefault="00D06117" w:rsidP="00D06117">
      <w:pPr>
        <w:pStyle w:val="TextoNormal"/>
      </w:pPr>
    </w:p>
    <w:p w:rsidR="00D06117" w:rsidRDefault="00D06117" w:rsidP="00D06117">
      <w:pPr>
        <w:pStyle w:val="TextoNormal"/>
      </w:pPr>
      <w:r>
        <w:t>c) Tras la entrada en vigor del Código penal aprobado por Ley Orgánica 10/1995, de 23 de noviembre (CP 1995) la Sección Segunda de la Sala de lo Penal de la Audiencia Nacional dictó en la ejecutoria correspondiente al sumario 57/1982, del Juzgado Central de Instrucción núm. 2, Auto de 31 de mayo de 1996, en el cual acordó, conforme a las disposiciones transitorias del nuevo Código penal de 1995, que no procedía revisar las penas impuestas al demandante de amparo.</w:t>
      </w:r>
    </w:p>
    <w:p w:rsidR="00D06117" w:rsidRDefault="00D06117" w:rsidP="00D06117">
      <w:pPr>
        <w:pStyle w:val="TextoNormal"/>
      </w:pPr>
    </w:p>
    <w:p w:rsidR="00D06117" w:rsidRDefault="00D06117" w:rsidP="00D06117">
      <w:pPr>
        <w:pStyle w:val="TextoNormal"/>
      </w:pPr>
      <w:r>
        <w:t>No consta en el testimonio de las actuaciones remitidas que en la ejecutoria de la que dimana el presente recurso de amparo la Sección Tercera de la indicada Sala de lo Penal dictase Auto relativo a la aplicación del Código penal de 1973 o del Código penal de 1995.</w:t>
      </w:r>
    </w:p>
    <w:p w:rsidR="00D06117" w:rsidRDefault="00D06117" w:rsidP="00D06117">
      <w:pPr>
        <w:pStyle w:val="TextoNormal"/>
      </w:pPr>
    </w:p>
    <w:p w:rsidR="00D06117" w:rsidRDefault="00D06117" w:rsidP="00D06117">
      <w:pPr>
        <w:pStyle w:val="TextoNormal"/>
      </w:pPr>
      <w:r>
        <w:lastRenderedPageBreak/>
        <w:t>d) El 17 de marzo de 2006, el centro penitenciario de León interesó a la Sección Tercera de la Audiencia Nacional la aprobación del licenciamiento definitivo del recurrente en las causas acumuladas para el día 20 de mayo de 2006, advirtiéndose en el oficio remisorio que “se realiza conforme a la liquidación de condena ya practicada, sin perjuicio de su superior criterio: (Sentencia del Tribunal Supremo n 197/1006, de 28-2). Condenas acumuladas -00, condenas impuestas 78-12-09” (en mayúsculas en el original). De dicha propuesta se dio traslado al Ministerio Fiscal, quien interesa que se una testimonio de las resoluciones judiciales que aprueban las redenciones ordinarias y extraordinarias que se han abonado por el centro penitenciario de León. Posteriormente, el Fiscal sostiene que antes de informar sobre el licenciamiento del penado procede ejecutar la Sentencia teniendo en cuenta el criterio establecido por el Tribunal Supremo en la STS 197/2006, de 28 de febrero.</w:t>
      </w:r>
    </w:p>
    <w:p w:rsidR="00D06117" w:rsidRDefault="00D06117" w:rsidP="00D06117">
      <w:pPr>
        <w:pStyle w:val="TextoNormal"/>
      </w:pPr>
    </w:p>
    <w:p w:rsidR="00D06117" w:rsidRDefault="00D06117" w:rsidP="00D06117">
      <w:pPr>
        <w:pStyle w:val="TextoNormal"/>
      </w:pPr>
      <w:r>
        <w:t>A la vista de lo anterior, mediante providencia de 11 de mayo de 2006, la Audiencia acuerda que, de conformidad con el informe del Ministerio Fiscal, el centro penitenciario proceda a ejecutar la Sentencia teniendo en cuenta el criterio establecido por el Tribunal Supremo, afirmando que según la relación de excarcelaciones en libertad definitiva de internos de bandas armadas en 2006, aparece como nueva fecha de cumplimiento del penado el 10 de octubre de 2017. Posteriormente, el centro informa al órgano judicial que, conforme a sus cálculos, el cumplimiento efectivo de los treinta años resultantes de la acumulación se producirá el 25 de septiembre de 2017, adjuntando hoja de cálculo de cumplimiento.</w:t>
      </w:r>
    </w:p>
    <w:p w:rsidR="00D06117" w:rsidRDefault="00D06117" w:rsidP="00D06117">
      <w:pPr>
        <w:pStyle w:val="TextoNormal"/>
      </w:pPr>
    </w:p>
    <w:p w:rsidR="00D06117" w:rsidRDefault="00D06117" w:rsidP="00D06117">
      <w:pPr>
        <w:pStyle w:val="TextoNormal"/>
      </w:pPr>
      <w:r>
        <w:t>e) El día 23 de mayo de 2006, el recurrente solicitó el licenciamiento definitivo por cumplimiento de la pena impuesta (conforme al cálculo inicial del centro penitenciario), así como su inmediata puesta en libertad.</w:t>
      </w:r>
    </w:p>
    <w:p w:rsidR="00D06117" w:rsidRDefault="00D06117" w:rsidP="00D06117">
      <w:pPr>
        <w:pStyle w:val="TextoNormal"/>
      </w:pPr>
    </w:p>
    <w:p w:rsidR="00D06117" w:rsidRDefault="00D06117" w:rsidP="00D06117">
      <w:pPr>
        <w:pStyle w:val="TextoNormal"/>
      </w:pPr>
      <w:r>
        <w:t>El día 5 de junio de 2006, la Sección Tercera de lo Penal de la Audiencia Nacional dicta un Auto en el que rechaza el licenciamiento definitivo del recurrente propuesto inicialmente por el centro penitenciario para el 20 de mayo de 2006 y deniega la libertad interesada, ordenando se le mantenga en situación de penado y sin que proceda aprobar licenciamiento alguno, dado lo lejano de la fecha de cumplimiento definitivo, prevista para el 25 de septiembre de 2017.</w:t>
      </w:r>
    </w:p>
    <w:p w:rsidR="00D06117" w:rsidRDefault="00D06117" w:rsidP="00D06117">
      <w:pPr>
        <w:pStyle w:val="TextoNormal"/>
      </w:pPr>
    </w:p>
    <w:p w:rsidR="00D06117" w:rsidRDefault="00D06117" w:rsidP="00D06117">
      <w:pPr>
        <w:pStyle w:val="TextoNormal"/>
      </w:pPr>
      <w:r>
        <w:t>El Auto sostiene que la propuesta de licenciamiento definitivo realizada por el centro penitenciario no tiene en cuenta el cambio de criterio jurisprudencial operado por la STS 197/2006, conforme al cual el límite de treinta años establecido en el art. 70.2 CP 1973 no es una nueva pena, sino el máximo de cumplimiento, de modo que los beneficios penitenciarios y las redenciones de pena que procedan serán computables sobre el total de las penas impuestas, y no sobre los treinta años. Lo que, en el caso del demandante de amparo, supondría que los 4.146 días de redenciones habrían de descontarse de los 21.295 días de condena impuestos en Sentencia y no de los 10.950 correspondientes al máximo de treinta años, por lo que aún le quedan por cumplir 17.149 días. Como la suma de lo cumplido y los días por cumplir, aun aplicando las potenciales redenciones, excede de treinta años, aplicando ese límite, se afirma que el licenciamiento definitivo deberá ser aprobado cuando cumpla treinta años, el 25 de septiembre de 2017.</w:t>
      </w:r>
    </w:p>
    <w:p w:rsidR="00D06117" w:rsidRDefault="00D06117" w:rsidP="00D06117">
      <w:pPr>
        <w:pStyle w:val="TextoNormal"/>
      </w:pPr>
    </w:p>
    <w:p w:rsidR="00D06117" w:rsidRDefault="00D06117" w:rsidP="00D06117">
      <w:pPr>
        <w:pStyle w:val="TextoNormal"/>
      </w:pPr>
      <w:r>
        <w:t>f) Contra la anterior resolución se interpuso recurso de súplica, desestimado por Auto de 27 de junio de 2006, que confirma en su integridad, sin mayor argumentación, el recurrido.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00D06117" w:rsidRDefault="00D06117" w:rsidP="00D06117">
      <w:pPr>
        <w:pStyle w:val="TextoNormal"/>
      </w:pPr>
    </w:p>
    <w:p w:rsidR="00D06117" w:rsidRDefault="00D06117" w:rsidP="00D06117">
      <w:pPr>
        <w:pStyle w:val="TextoNormal"/>
      </w:pPr>
      <w:r>
        <w:t>Como primer motivo de amparo, se denuncia la vulneración del derecho a la tutela judicial efectiva (art. 24.1 CE) y a un proceso con todas las garantías (art. 24.2 CE), así como el derecho a un recurso efectivo [art. 14.5 del Pacto internacional de derechos civiles y políticos (PIDCP)], todo ello en relación con el art. 17. CE. Expone la demanda que la Audiencia Nacional no dio traslado a la defensa, ni de la propuesta de licenciamiento definitivo remitida por el centro penitenciario el 17 de marzo de 2006, ni de la providencia de 11 de mayo de 2006 por la que se rechaza el licenciamiento definitivo y se ordena al centro penitenciario que ejecute la Sentencia teniendo en cuenta el nuevo criterio establecido por el Tribunal Supremo en la STS 197/2006, a fin de que alegara lo que estimase oportuno o pudiera solicitar la revisión del código aplicable a la vista del nuevo cómputo de redenciones que se aplica, dado que en el Auto de 31 de mayo de 1996 se acordó la no revisión de la condena, teniendo en cuenta otro modo de computar las redenciones. Hasta ese momento todas las liquidaciones de condena se habían realizado conforme a la doctrina anterior, introduciéndose en ese momento una perspectiva jurídica novedosa en cuanto al cómputo de las redenciones por trabajo, que empeora la situación del reo y respecto de la que el recurrente no pudo defenderse y someterla a contradicción.</w:t>
      </w:r>
    </w:p>
    <w:p w:rsidR="00D06117" w:rsidRDefault="00D06117" w:rsidP="00D06117">
      <w:pPr>
        <w:pStyle w:val="TextoNormal"/>
      </w:pPr>
    </w:p>
    <w:p w:rsidR="00D06117" w:rsidRDefault="00D06117" w:rsidP="00D06117">
      <w:pPr>
        <w:pStyle w:val="TextoNormal"/>
      </w:pPr>
      <w:r>
        <w:t>También hay una invocación, casi retórica del derecho al recurso, en relación con el art. 14.5 PIDCP, señalando que al resolver el recurso de súplica la Audiencia Nacional no entra en el fondo del objeto del debate, sino que realiza una aplicación mecánica de la referida Sentencia del Tribunal Supremo.</w:t>
      </w:r>
    </w:p>
    <w:p w:rsidR="00D06117" w:rsidRDefault="00D06117" w:rsidP="00D06117">
      <w:pPr>
        <w:pStyle w:val="TextoNormal"/>
      </w:pPr>
    </w:p>
    <w:p w:rsidR="00D06117" w:rsidRDefault="00D06117" w:rsidP="00D06117">
      <w:pPr>
        <w:pStyle w:val="TextoNormal"/>
      </w:pPr>
      <w:r>
        <w:t>En un segundo motivo de amparo, se aduce la vulneración del principio de legalidad (art. 25.1, en relación con el art. 9.1, y art. 25.2 CE), en relación con la interpretación de los arts. 70.2 y 100 CP 1973, así como de los arts.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 xml:space="preserve">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Y, conforme a la certificación de redenciones aportada por el centro penitenciario, ha redimido 4.146 días, lo que unido a los más de dieciocho años de prisión </w:t>
      </w:r>
      <w:r>
        <w:lastRenderedPageBreak/>
        <w:t>efectiva, suman 10.950 días (treinta años), máximo de cumplimiento conforme al Código penal de 1973.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De nuevo se destaca que, en el presente caso, la condena resultante de la acumulación de condenas conforme al art. 70.2 CP fue sometida a un proceso de revisión, de conformidad con las disposiciones transitorias del Código penal de 1995 para determinar si éste era una norma más favorable. En ese procedimiento se dictó el Auto de 31 de mayo de 1996, en el que se acuerda no haber lugar a la revisión de la condena, teniendo en cuenta el cómputo de los beneficios penitenciarios conforme a la certificación del centro penitenciario, realizada de conformidad con la anterior doctrina (esto es, sobre el límite de treinta años). Por tanto, la Administración penitenciaria con la aprobación de los Jueces de vigilancia penitenciaria han venido aplicando las redenciones de penas como un mecanismo de reducción del tiempo efectivo de internamiento y en el presente caso la propia Audiencia Nacional, en el citado Auto, reconoció las redenciones como deducibles del tiempo de cumplimiento, a la hora de determinar el Código penal más favorable.</w:t>
      </w:r>
    </w:p>
    <w:p w:rsidR="00D06117" w:rsidRDefault="00D06117" w:rsidP="00D06117">
      <w:pPr>
        <w:pStyle w:val="TextoNormal"/>
      </w:pPr>
    </w:p>
    <w:p w:rsidR="00D06117" w:rsidRDefault="00D06117" w:rsidP="00D06117">
      <w:pPr>
        <w:pStyle w:val="TextoNormal"/>
      </w:pPr>
      <w:r>
        <w:t>Por otra parte, y dado que el Auto de 27 de junio de 2006 afirma que ha de realizarse una nueva liquidación de condena, habría de tenerse en cuenta el instituto de la prescripción de penas, si se rechaza la acumulación prevista en el art. 70 CP 1973 y se desglosan las penas para su cumplimiento sucesivo, lo que lleva a la indeterminación en el cumplimiento de las penas, provoca indefensión y vulneración del derecho de defensa (sic).</w:t>
      </w:r>
    </w:p>
    <w:p w:rsidR="00D06117" w:rsidRDefault="00D06117" w:rsidP="00D06117">
      <w:pPr>
        <w:pStyle w:val="TextoNormal"/>
      </w:pPr>
    </w:p>
    <w:p w:rsidR="00D06117" w:rsidRDefault="00D06117" w:rsidP="00D06117">
      <w:pPr>
        <w:pStyle w:val="TextoNormal"/>
      </w:pPr>
      <w:r>
        <w:t>Como tercer motivo de amparo, se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treinta años, el recurrente habría cumplido ya su condena y podría obtener el licenciamiento definitivo. El trabajo y los estudios en la prisión se realizaron en la confianza de que las redenciones así obtenidas implicarían un acortamiento del tiempo de permanencia en prisión, habiéndose generado una expectativa de dicho acortamiento, sobre la base de la actuación de los órganos judiciales hasta el momento y de las propuestas de los centros penitenciarios, pues todas las liquidaciones de condena se habían realizado conforme a la doctrina anterior y el interno siguió trabajando en la confianza de que se le aplicarían las redenciones, como en el caso de la STC 76/2004. La defraudación de esa expectativa con la nueva doctrina aplicada vulnera el derecho a la tutela judicial efectiva, en relación con el derecho a la libertad, que implica un deber reforzado de motivación. Citando la STC 174/1989, se afirma que se lesiona el art. 24.1 CE, en su vertiente de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lastRenderedPageBreak/>
        <w:t>En el cuarto motivo de amparo se considera vulnerado el principio de legalidad (arts. 25.1 y 9.3 CE), por aplicación retroactiva de ley desfavorable. Con esta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lo que hace evidente que el Código penal de 1973 no contempla la aplicación de las redenciones a la totalidad de las condenas, una previsión que sí realiza el art. 78 CP 1995 y que es desfavorable. También se destaca que las modificaciones legales en esta materia se realizaron, como se pone de relieve en las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de1999; así como todas las liquidaciones de condena y licenciamientos admitidos por todos y cada uno de los Tribunales españoles; posteriormente cita 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quiénes son los sujetos pasivos a los que afecta y por las circunstancias en que se adopta la decisión, por tanto, un cambio de criterio ad personam, constitucionalmente vedado. También se señala que, en el presente caso, dos coprocesados y condenados en las mismas causas, don Fidel Lagasca Arce y don Sebastián Gonzalo Pajares Arana, ya se encuentran en libertad, tras haber cumplido veinticinco años en prisión, habiéndosele concedido el licenciamiento definitivo por la Audiencia Nacional, en aplicación del anterior criterio, lo que se le deniega al recurrente, aplicando la ley de forma diferente y discriminatoria.</w:t>
      </w:r>
    </w:p>
    <w:p w:rsidR="00D06117" w:rsidRDefault="00D06117" w:rsidP="00D06117">
      <w:pPr>
        <w:pStyle w:val="TextoNormal"/>
      </w:pPr>
    </w:p>
    <w:p w:rsidR="00D06117" w:rsidRDefault="00D06117" w:rsidP="00D06117">
      <w:pPr>
        <w:pStyle w:val="TextoNormal"/>
      </w:pPr>
      <w:r>
        <w:t xml:space="preserve">En el sexto motivo de amparo se alega la vulneración del derecho a la libertad (art. 17.1 CE). Tras poner de relieve que, conforme a la jurisprudencia de este Tribunal, la redención de penas por el trabajo afecta al derecho a la libertad (SSTC 31/1999 y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w:t>
      </w:r>
      <w:r>
        <w:lastRenderedPageBreak/>
        <w:t>efectivamente cumplido y no una suerte de tiempo virtual, como señala la STS de 5 de abril de 2001. Ello queda patente en la inicial liquidación de condena y propuesta de licenciamiento definitivo efectuada por el centro penitenciario y remitida a la Audiencia Nacional (conforme a la cual el recurrente había cumplido los treinta años el día 20 de mayo de 2006) y en el Auto de 31 de mayo de 1996, que declara no haber lugar a la revisión de condena conforme al nuevo Código penal, teniendo en cuenta las redenciones por el trabajo computadas como tiempo de cumplimiento efectivo. Por tanto, la denegación del licenciamiento definitivo viola el art. 17 CE, el art. 7.1 del Convenio Europeo y el art.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30 de octubre de 2007, la Sala Segunda de este Tribunal acordó la admisión a trámite de la demanda así como, a tenor de lo establecido en el artículo 51 LOTC, requerir atentamente a la Sección Tercera de la Sala de lo Penal de la Audiencia Nacional para que remitiera testimonio de las actuaciones correspondientes a la ejecutoria núm. 82-1989, interesándose al tiempo que emplazasen a quienes fueron parte en el procedimiento, a excepción del demandante de amparo, para que pudieran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de 11 de febrero de 2008 la Sala Segunda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A través de una diligencia de ordenación de 22 de abril de 2008 se acordó tener por personado y parte al Abogado del Estado y dar vista de las actuaciones a las partes personadas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día 21 de mayo de 2008 presentó sus alegaciones el Abogado del Estado, interesando la declaración de inadmisibilidad de los motivos de amparo primero, segundo y tercero y la desestimación del recurso en lo demás o, subsidiariamente, la desestimación del recurso.</w:t>
      </w:r>
    </w:p>
    <w:p w:rsidR="00D06117" w:rsidRDefault="00D06117" w:rsidP="00D06117">
      <w:pPr>
        <w:pStyle w:val="TextoNormal"/>
      </w:pPr>
    </w:p>
    <w:p w:rsidR="00D06117" w:rsidRDefault="00D06117" w:rsidP="00D06117">
      <w:pPr>
        <w:pStyle w:val="TextoNormal"/>
      </w:pPr>
      <w:r>
        <w:t xml:space="preserve">En primer lugar, y respecto de los tres primeros motivos de amparo, entiende el Abogado del Estado que concurre el óbice procesal de falta de invocación, al no haberse planteado </w:t>
      </w:r>
      <w:r>
        <w:lastRenderedPageBreak/>
        <w:t>tales quejas en el recurso de súplica interpuesto. Y, en todo caso, considera que deben desestimarse éstos y los restantes, por las siguientes razones:</w:t>
      </w:r>
    </w:p>
    <w:p w:rsidR="00D06117" w:rsidRDefault="00D06117" w:rsidP="00D06117">
      <w:pPr>
        <w:pStyle w:val="TextoNormal"/>
      </w:pPr>
    </w:p>
    <w:p w:rsidR="00D06117" w:rsidRDefault="00D06117" w:rsidP="00D06117">
      <w:pPr>
        <w:pStyle w:val="TextoNormal"/>
      </w:pPr>
      <w:r>
        <w:t>El primer motivo de amparo, porque la cuestión de si es conforme o no a la Constitución una determinada interpretación de los arts. 70 y 100 del Código penal de 1973 nada tiene que ver con el principio acusatorio, ni ha generado indefensión, pues el condenado pudo exponer en su recurso de súplica cuantas alegaciones estimó oportunas. Y en cuanto a la segunda instancia penal, destaca el Abogado del Estado que este derecho opera respecto del fallo condenatorio, no en la ejecución de la Sentencia.</w:t>
      </w:r>
    </w:p>
    <w:p w:rsidR="00D06117" w:rsidRDefault="00D06117" w:rsidP="00D06117">
      <w:pPr>
        <w:pStyle w:val="TextoNormal"/>
      </w:pPr>
    </w:p>
    <w:p w:rsidR="00D06117" w:rsidRDefault="00D06117" w:rsidP="00D06117">
      <w:pPr>
        <w:pStyle w:val="TextoNormal"/>
      </w:pPr>
      <w:r>
        <w:t>El segundo motivo de amparo, por entender que ni los arts. 9.1 y 25.2 CE contienen derechos fundamentales susceptibles de amparo y que la interpretación de las normas sobre la aplicación de los beneficios penitenciarios podría afectar al derecho a la tutela judicial efectiva (art. 24.1 CE) en relación con el derecho a la libertad (art. 17 CE), si fuera arbitraria o irrazonable, pero queda fuera del ámbito protector del art. 25.1 CE, que se refiere exclusivamente a las normas determinantes de una condena penal o sanción administrativa. Y lo mismo podría predicarse respecto del art. 70 CP 1973; pero aun admitiendo que la interpretación del citado precepto debiera respetar las exigencias derivadas del art. 25.1 CE, entiende el Abogado del Estado que la STS 197/2006, de 28 de febrero y las resoluciones que aplican su doctrina no vulneran este derecho fundamental, pues ni el art. 25.1 CE ni ningún otro precepto garantizan la “petrificación” de la jurisprudencia penal hasta la fecha de cumplimiento de la condena, siendo la interpretación del Tribunal Supremo razonada, razonable y orientada a corregir una interpretación anterior de excesiva benignidad, que llevaba a la impunidad de los grandes delincuentes condenados a una pluralidad de delitos; por tanto la nueva interpretación es más conforme con el valor constitucional de justicia (art. 1.1 CE) y con el cumplimiento efectivo de las Sentencias (art. 118 CE).</w:t>
      </w:r>
    </w:p>
    <w:p w:rsidR="00D06117" w:rsidRDefault="00D06117" w:rsidP="00D06117">
      <w:pPr>
        <w:pStyle w:val="TextoNormal"/>
      </w:pPr>
    </w:p>
    <w:p w:rsidR="00D06117" w:rsidRDefault="00D06117" w:rsidP="00D06117">
      <w:pPr>
        <w:pStyle w:val="TextoNormal"/>
      </w:pPr>
      <w:r>
        <w:t>El tercer motivo de recurso, porque no existe base alguna para entender que el derecho a la tutela judicial efectiva (art. 24.1 CE) incorpore un derecho a que no cambie la jurisprudencia en sentido desfavorable a los penados sobre las normas de ejecución de las penas privativas de libertad durante todo el lapso de su cumplimiento.</w:t>
      </w:r>
    </w:p>
    <w:p w:rsidR="00D06117" w:rsidRDefault="00D06117" w:rsidP="00D06117">
      <w:pPr>
        <w:pStyle w:val="TextoNormal"/>
      </w:pPr>
    </w:p>
    <w:p w:rsidR="00D06117" w:rsidRDefault="00D06117" w:rsidP="00D06117">
      <w:pPr>
        <w:pStyle w:val="TextoNormal"/>
      </w:pPr>
      <w:r>
        <w:t>Por otra parte, y en relación con el cuarto motivo de amparo, entiende el Abogado del Estado que no existe aplicación retroactiva de una ley desfavorable, sino un cambio de jurisprudencia sobre el límite máximo de cumplimiento de las penas y el modo de cumplirlas, lo que resulta compatible con la Constitución, pues los arts. 9.3 y 25.1 CE sólo garantizan la irretroactividad de la legislación sancionadora desfavorable, no de las interpretaciones jurisprudenciales de la misma.</w:t>
      </w:r>
    </w:p>
    <w:p w:rsidR="00D06117" w:rsidRDefault="00D06117" w:rsidP="00D06117">
      <w:pPr>
        <w:pStyle w:val="TextoNormal"/>
      </w:pPr>
    </w:p>
    <w:p w:rsidR="00D06117" w:rsidRDefault="00D06117" w:rsidP="00D06117">
      <w:pPr>
        <w:pStyle w:val="TextoNormal"/>
      </w:pPr>
      <w:r>
        <w:t>Por lo demás —y en cuanto a la alegada vulneración del principio de igualdad— se afirma que en este proceso no se enjuicia la STS de 28 de febrero de 2006, sino dos Autos de la Sección Segunda de la Audiencia Nacional que aplican la doctrina contenida en la Sentencia del Tribunal Supremo; un cambio de doctrina razonado y establecido con vocación de generalidad y no ad personam. Por lo demás, los términos de comparación ofrecidos en la demanda carecen de la debida prueba y se refieren a licenciamientos de penados anteriores a la aprobación de la nueva doctrina por la Sala Segunda del Tribunal Supremo, por lo que no constituyen término de comparación válido.</w:t>
      </w:r>
    </w:p>
    <w:p w:rsidR="00D06117" w:rsidRDefault="00D06117" w:rsidP="00D06117">
      <w:pPr>
        <w:pStyle w:val="TextoNormal"/>
      </w:pPr>
    </w:p>
    <w:p w:rsidR="00D06117" w:rsidRDefault="00D06117" w:rsidP="00D06117">
      <w:pPr>
        <w:pStyle w:val="TextoNormal"/>
      </w:pPr>
      <w:r>
        <w:lastRenderedPageBreak/>
        <w:t>En el sexto motivo de amparo, bajo la invocación del art. 17 CE, se reiteran anteriores alegaciones, ya rechazadas, añadiendo que se produce un vaciamiento de la figura de la redención de penas por el trabajo y se crea una suerte de “cumplimiento virtual”, lo que carece de relevancia constitucional, pues el art. 17.1 CE no confiere un derecho a que las normas legales y reglamentarias sobre beneficios penitenciarios garanticen el máximo acortamiento de la pena. Además, en ninguna parte de la demanda se afirma que el licenciamiento definitivo del actor siguiendo los criterios de la nueva doctrina resulte menos beneficioso que la pura y simple aplicación del Código penal de 1995, lo que convierte en irrelevante, desde el punto de vista constitucional, que el Auto de 30 de mayo de 2006, denegatorio de la revisión de la Sentencia tras la entrada en vigor del Código penal de 1995, se dictara sobre la base de la aplicación de la anterior doctrina sobre el cómputo de las redenciones de penas por el trabajo.</w:t>
      </w:r>
    </w:p>
    <w:p w:rsidR="00D06117" w:rsidRDefault="00D06117" w:rsidP="00D06117">
      <w:pPr>
        <w:pStyle w:val="TextoNormal"/>
      </w:pPr>
    </w:p>
    <w:p w:rsidR="00D06117" w:rsidRDefault="00D06117" w:rsidP="00D06117">
      <w:pPr>
        <w:pStyle w:val="TextoNormal"/>
      </w:pPr>
      <w:r>
        <w:t>Finalmente, se rechaza el séptimo motivo de amparo porque el art. 25.2 CE no otorga derecho fundamental alguno y ni éste, ni ningún otro precepto constitucional conceden a los reclusos el derecho a que los beneficios penitenciarios se interpreten de la forma más favorable a su licenciamiento definitivo, no siendo la reinserción del único fin de la pena.</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del demandante de amparo formuló sus alegaciones mediante escrito que tuvo su entrada en el Registro General de este Tribunal el día 29 de mayo de 2008,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t>9</w:t>
      </w:r>
      <w:r>
        <w:t>. El día 2 de julio de 2008 presentó sus alegaciones el Ministerio Fiscal, interesando la estimación del amparo solicitado, por entender que las resoluciones recurridas han vulnerado los derechos a la intangibilidad de las resoluciones judiciales firmes (art. 24.1 CE), a la legalidad penal (art. 25.1 CE) y a la libertad personal (art. 17.1 CE).</w:t>
      </w:r>
    </w:p>
    <w:p w:rsidR="00D06117" w:rsidRDefault="00D06117" w:rsidP="00D06117">
      <w:pPr>
        <w:pStyle w:val="TextoNormal"/>
      </w:pPr>
    </w:p>
    <w:p w:rsidR="00D06117" w:rsidRDefault="00D06117" w:rsidP="00D06117">
      <w:pPr>
        <w:pStyle w:val="TextoNormal"/>
      </w:pPr>
      <w:r>
        <w:t>Comienza el Fiscal aclarando que si bien el presente recurso de dirige formalmente sólo contra los Autos de la Sección Tercera de la Sala de lo Penal de la Audiencia Nacional de 5 y 27 de junio de 2006, también ha de entenderse dirigido contra la providencia dictada por la misma Sala el día 11 de mayo de 2006, por la que acordó comunicar al centro penitenciario en el que se hallaba interno el recurrente que debía proceder a ejecutar la Sentencia conforme a lo establecido en la STS 197/2006, de 28 de febrero, pues tal resolución es antecedente necesario de los Autos expresamente impugnados.</w:t>
      </w:r>
    </w:p>
    <w:p w:rsidR="00D06117" w:rsidRDefault="00D06117" w:rsidP="00D06117">
      <w:pPr>
        <w:pStyle w:val="TextoNormal"/>
      </w:pPr>
    </w:p>
    <w:p w:rsidR="00D06117" w:rsidRDefault="00D06117" w:rsidP="00D06117">
      <w:pPr>
        <w:pStyle w:val="TextoNormal"/>
      </w:pPr>
      <w:r>
        <w:t xml:space="preserve">A continuación, expone las razones por las que, a su juicio, deben ser desestimados algunos de los motivos de amparo. El séptimo, por cuanto el art. 25.2 CE no contiene un derecho fundamental susceptible de ser invocado en amparo, y por carecer de autonomía propia, debiendo quedar vinculado a las otras infracciones del derecho a la legalidad penal que se denuncian. El primero, porque ni se puede apreciar la indefensión denunciada (ya que, aun siendo cierto que la defensa del recurrente no tuvo ocasión de alegar y contradecir antes del dictado de la providencia de 11 de mayo de 2006 y del Auto de 5 de junio de 2006, a través de la interposición del recurso de súplica), ni la vulneración del derecho al recurso puede prosperar, pues no resulta aplicable al ámbito de la ejecución de la condena lo previsto en el art. 14.5 PIDCP. El cuarto de los motivos de amparo, por cuanto no nos encontramos ante un supuesto de aplicación retroactiva del art. 78 del Código penal de 1995, como se sostiene en la demanda, sino ante un cambio de criterio jurisprudencial en la interpretación del art. 70.2 CP vigente al tiempo de comisión de los hechos. Y el relativo al principio de </w:t>
      </w:r>
      <w:r>
        <w:lastRenderedPageBreak/>
        <w:t>igualdad en la aplicación de la ley, porque las resoluciones impugnadas se limitan a aplicar la doctrina sentada por otro órgano judicial (el Tribunal Supremo), que es la supuestamente discriminatoria; porque en todo caso el cambio de criterio se fundamenta razonablemente y tiene vocación de generalidad, añadiendo que el término de comparación ofrecido es inidóneo, ya que carece de acreditación.</w:t>
      </w:r>
    </w:p>
    <w:p w:rsidR="00D06117" w:rsidRDefault="00D06117" w:rsidP="00D06117">
      <w:pPr>
        <w:pStyle w:val="TextoNormal"/>
      </w:pPr>
    </w:p>
    <w:p w:rsidR="00D06117" w:rsidRDefault="00D06117" w:rsidP="00D06117">
      <w:pPr>
        <w:pStyle w:val="TextoNormal"/>
      </w:pPr>
      <w:r>
        <w:t>Por el contrario, considera el Ministerio Fiscal que el debate debe centrarse en los siguientes datos fácticos: el órgano judicial encargado de la ejecutoria en el presente caso, dictó una providencia el día 31 de marzo de 1992, por la que aprobó la liquidación de condena correspondiente al demandante de amparo, considerando la existencia de una única condena de treinta años de privación de libertad, susceptible de reducción por medio del beneficio penitenciario de redención de penas por el trabajo, resolución que tuvo dos importantes consecuencias prácticas: a) en primer lugar, al citado penado no le fue revisada su Sentencia, tras la entrada en vigor del Código penal de 1995, sino que por Auto de 31 de mayo de 1996 se dispuso no haber lugar a dicha revisión, por ser más favorable para el penado el régimen del Código penal de 1973, lo cuál indiscutiblemente era así porque se partía de la base de la existencia de una condena de treinta años susceptible de reducción a través de la redención de penas por el trabajo (Código penal de 1973) frente a una pena de treinta años de prisión sin posibilidad de reducción (Código penal de 1995); b) en segundo lugar, el Director del centro penitenciario de Mansilla de las Mulas, donde se encontraba interno el recurrente, interesó el licenciamiento definitivo del interno para el día 20 de mayo de 2006, conforme a la liquidación ya practicada, acompañando a dicha propuesta certificación de la que resultaba que el penado había redimido por trabajo un total de 4.146 días.</w:t>
      </w:r>
    </w:p>
    <w:p w:rsidR="00D06117" w:rsidRDefault="00D06117" w:rsidP="00D06117">
      <w:pPr>
        <w:pStyle w:val="TextoNormal"/>
      </w:pPr>
    </w:p>
    <w:p w:rsidR="00D06117" w:rsidRDefault="00D06117" w:rsidP="00D06117">
      <w:pPr>
        <w:pStyle w:val="TextoNormal"/>
      </w:pPr>
      <w:r>
        <w:t>Por tanto, la Sala, en ejecución de Sentencia, había dictado una resolución aprobatoria de una liquidación de condena, la providencia de 31 de marzo de 1992, que afirmaba la existencia de una sola condena de treinta años susceptible de reducción. Las resoluciones judiciales impugnadas modificaron el criterio derivado de dicha providencia, como consecuencia de la nueva interpretación sobre la refundición de penas efectuada en la STS 197/2006, de 28 de febrero; cambio de criterio interpretativo con drásticas consecuencias en cuanto a la fecha de licenciamiento definitivo, pues se pasa del 20 de mayo de 2006 al 25 de septiembre de 2017, lo que considera vulnerador del derecho a la legalidad penal (art. 25.1 CE), a la tutela judicial efectiva (art. 24.1 CE) y a la libertad (art. 17 CE). Sostiene el Fiscal que la Sección Tercera de la Audiencia Nacional ya aprobó una liquidación de condena correspondiente al demandante de amparo partiendo de una única condena de treinta años susceptible de reducción por la redención de penas por el trabajo, fijando los criterios para la ejecución y partiendo de una concreta interpretación de la normativa en juego y que la modificación posterior de dicho criterio vulnera el derecho a la intangibilidad de las resoluciones judiciales firmes contenido en el art. 24.1 CE.</w:t>
      </w:r>
    </w:p>
    <w:p w:rsidR="00D06117" w:rsidRDefault="00D06117" w:rsidP="00D06117">
      <w:pPr>
        <w:pStyle w:val="TextoNormal"/>
      </w:pPr>
    </w:p>
    <w:p w:rsidR="00D06117" w:rsidRDefault="00D06117" w:rsidP="00D06117">
      <w:pPr>
        <w:pStyle w:val="TextoNormal"/>
      </w:pPr>
      <w:r>
        <w:t xml:space="preserve">Un derecho fundamental que además tiene engarce con el principio de legalidad (art. 25.1 CE), en relación con la prohibición de retroactividad de las normas penales perjudiciales al reo (STEDH Streletz, Kessler y Krenz c. Alemania, de 22 de marzo de 2001), ya que las garantías de legalidad y seguridad deben extenderse a la ejecución de las penas, integrándose la irretroactividad de las normas y su interpretación desfavorable al reo en el complejo de la legalidad del art. 25.1 CE (STEDH Punk c. Estonia, de 10 de febrero de 2004). Las resoluciones recurridas no se han limitado a variar la fecha de licenciamiento de conformidad con los extremos anejos al devenir del cumplimiento de la pena impuesta (por </w:t>
      </w:r>
      <w:r>
        <w:lastRenderedPageBreak/>
        <w:t>ejemplo, con datos relativos a la redención de penas por el trabajo), sino que la han alterado de forma desfavorable al reo a través de una revisión interpretativa, creando ex novo un marco paranormativo que determina una mayor extensión de la pena. Y todo ello debe conectarse con el derecho a la libertad personal en juego (art. 17.1 CE), por cuanto el licenciamiento definitivo tendrá lugar en fecha muy posterior, como consecuencia de esa nueva y desfavorable interpretación de la norma.</w:t>
      </w:r>
    </w:p>
    <w:p w:rsidR="00D06117" w:rsidRDefault="00D06117" w:rsidP="00D06117">
      <w:pPr>
        <w:pStyle w:val="TextoNormal"/>
      </w:pPr>
    </w:p>
    <w:p w:rsidR="00D06117" w:rsidRDefault="00D06117" w:rsidP="00D06117">
      <w:pPr>
        <w:pStyle w:val="TextoNormal"/>
      </w:pPr>
      <w:r>
        <w:t>En virtud de todo lo expuesto, considera el Fiscal que ha de estimarse el amparo, por vulneración de los derechos fundamentales contenidos en los arts. 24.1, 25.1 y 17.1 CE, debiendo anularse las resoluciones recurridas y dictarse una nueva resolución judicial que se pronuncie sobre el licenciamiento definitivo del recurrente de forma respetuosa con los derechos vulnerados.</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señaló para deliberación y votación de la presente Sentencia el día 29 de dicho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Tercera de la Sala de lo Penal de la Audiencia Nacional, de 5 de junio de 2006, dictado en la ejecutoria 82-1989 (correspondiente al sumario 4-1983 del Juzgado Central de Instrucción núm. 4), por el que se rechaza la solicitud formulada por el demandante de amparo al órgano judicial para que, de conformidad con la propuesta del centro penitenciario, aprobase su licenciamiento definitivo para el 20 de mayo de 2006, y acuerda no haber lugar a aprobar licenciamiento alguno dado lo remoto del cumplimiento definitivo de la pena. Es igualmente impugnado el Auto de 27 de junio siguiente por el que se desestimó el recurso de súplica interpuesto contra el primero.</w:t>
      </w:r>
    </w:p>
    <w:p w:rsidR="00D06117" w:rsidRDefault="00D06117" w:rsidP="00D06117">
      <w:pPr>
        <w:pStyle w:val="TextoNormal"/>
      </w:pPr>
    </w:p>
    <w:p w:rsidR="00D06117" w:rsidRDefault="00D06117" w:rsidP="00D06117">
      <w:pPr>
        <w:pStyle w:val="TextoNormal"/>
      </w:pPr>
      <w:r>
        <w:t>La solicitud formulada por el demandante de amparo fue deducida inmediatamente después de que, mediante providencia de 11 de mayo de 2006, el órgano judicial rechazase la propuesta de licenciamiento definitivo formulada por el centro penitenciario para el día 20 de mayo, y ordenase ejecutar la Sentencia teniendo en cuenta el criterio establecido en la Sentencia del Tribunal Supremo 197/2006, de 28 de febrero, de modo que la condena se extinguiría el 10 de octubre de 2017 (luego aceptada rectificar para el 10 de septiembre de 2017).</w:t>
      </w:r>
    </w:p>
    <w:p w:rsidR="00D06117" w:rsidRDefault="00D06117" w:rsidP="00D06117">
      <w:pPr>
        <w:pStyle w:val="TextoNormal"/>
      </w:pPr>
    </w:p>
    <w:p w:rsidR="00D06117" w:rsidRDefault="00D06117" w:rsidP="00D06117">
      <w:pPr>
        <w:pStyle w:val="TextoNormal"/>
      </w:pPr>
      <w:r>
        <w:t>Según dicha Sentencia, en caso de penas acumuladas la redención de penas por el trabajo obtenida ha de computarse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rsidRPr="00D06117">
        <w:rPr>
          <w:rStyle w:val="NumeroAFNegritaCaracter"/>
        </w:rPr>
        <w:t>2</w:t>
      </w:r>
      <w:r>
        <w:t>. En la demanda de amparo se denuncia la vulneración de los derechos fundamentales a la tutela judicial efectiva (art. 24.1 CE), a un proceso con todas las garantías (art. 24.2 CE), a la legalidad (art. 25.1 y 2 CE), a la libertad personal (art. 17.1 CE) y a la igualdad en la aplicación de la ley (art. 14 CE), con la argumentación que se expuso en los antecedentes de esta resolución.</w:t>
      </w:r>
    </w:p>
    <w:p w:rsidR="00D06117" w:rsidRDefault="00D06117" w:rsidP="00D06117">
      <w:pPr>
        <w:pStyle w:val="TextoNormal"/>
      </w:pPr>
    </w:p>
    <w:p w:rsidR="00D06117" w:rsidRDefault="00D06117" w:rsidP="00D06117">
      <w:pPr>
        <w:pStyle w:val="TextoNormal"/>
      </w:pPr>
      <w:r>
        <w:lastRenderedPageBreak/>
        <w:t>El Abogado del Estado considera inadmisibles, por falta de invocación previa en el proceso, los tres primeros motivos de recurso, interesando la desestimación de los demás y, subsidiariamente, la desestimación íntegra del recurso.</w:t>
      </w:r>
    </w:p>
    <w:p w:rsidR="00D06117" w:rsidRDefault="00D06117" w:rsidP="00D06117">
      <w:pPr>
        <w:pStyle w:val="TextoNormal"/>
      </w:pPr>
    </w:p>
    <w:p w:rsidR="00D06117" w:rsidRDefault="00D06117" w:rsidP="00D06117">
      <w:pPr>
        <w:pStyle w:val="TextoNormal"/>
      </w:pPr>
      <w:r>
        <w:t>El Ministerio Fiscal, por su parte, interesa la estimación parcial del recurso, por entender concurrente la vulneración de los derechos fundamentales consagrados en los arts. 24.1, 25.1 y 17.1 CE.</w:t>
      </w:r>
    </w:p>
    <w:p w:rsidR="00D06117" w:rsidRDefault="00D06117" w:rsidP="00D06117">
      <w:pPr>
        <w:pStyle w:val="TextoNormal"/>
      </w:pPr>
    </w:p>
    <w:p w:rsidR="00D06117" w:rsidRDefault="00D06117" w:rsidP="00D06117">
      <w:pPr>
        <w:pStyle w:val="TextoNormal"/>
      </w:pPr>
      <w:r w:rsidRPr="00D06117">
        <w:rPr>
          <w:rStyle w:val="NumeroAFNegritaCaracter"/>
        </w:rPr>
        <w:t>3</w:t>
      </w:r>
      <w:r>
        <w:t>. Analizaremos en primer lugar el óbice procesal de falta de invocación [art. 44.1 c) de la Ley Orgánica del Tribunal Constitucional (LOTC)] que pone de manifiesto el Abogado del Estado respecto de los tres primeros motivos de recurso.</w:t>
      </w:r>
    </w:p>
    <w:p w:rsidR="00D06117" w:rsidRDefault="00D06117" w:rsidP="00D06117">
      <w:pPr>
        <w:pStyle w:val="TextoNormal"/>
      </w:pPr>
    </w:p>
    <w:p w:rsidR="00D06117" w:rsidRDefault="00D06117" w:rsidP="00D06117">
      <w:pPr>
        <w:pStyle w:val="TextoNormal"/>
      </w:pPr>
      <w:r>
        <w:t>De la lectura del recurso de súplica se desprende, con toda claridad, que la primera de las quejas articuladas en la demanda (en la que —bajo la invocación de los derechos a la tutela judicial efectiva y a un proceso con todas las garantías—, se denuncia la indefensión generada por el hecho de que la primera de las resoluciones recurridas se adoptó sin dar audiencia a las partes, pese a introducir una perspectiva jurídica novedosa en el cómputo de las redenciones de penas por el trabajo) ha de ser inadmitida, al concurrir respecto de ella el óbice procesal de falta de invocación ante los órganos de la jurisdicción ordinaria [art. 44.1 c) LOTC]. En efecto, de la mera lectura del recurso de súplica interpuesto contra el Auto de 5 de junio de 2006 se desprende que el recurrente articuló una serie de motivos de recurso para oponerse a esa nueva perspectiva jurídica en el cómputo de las redenciones (lo que excluiría la indefensión denunciada, como señalan tanto el Abogado del Estado como el Ministerio Fiscal), pero no denunció entonces indefensión alguna por el motivo ahora analizado, por lo que la alegada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 xml:space="preserve">No puede afirmarse lo mismo respecto de las quejas contenidas en los motivos segundo y tercero, puesto que de la lectura del citado recurso de súplica se desprende que el recurrente invocó allí, si bien con una argumentación menos extensa y parcialmente diferente, tanto la vulneración del principio de legalidad (art. 25.1 CE), como la vulneración de los arts. 24.1 en relación con el art. 17.1 CE, cuestionando la interpretación llevada a cabo por el Tribunal Supremo (que considera una interpretación contra reo y constitucionalmente proscrita) y aplicada al caso, y poniendo de relieve allí, como ahora en amparo, que la misma desconoce lo decidido en los Autos de refundición de penas y de revisión de las condenas tras la entrada en vigor del Código penal (CP) de 1995, y apelando expresamente al derecho a la intangibilidad de las resoluciones judiciales y a la indefensión que la nueva doctrina genera frente a lo anteriormente actuado. En definitiva, de lo expuesto en el recurso de súplica puede afirmarse que el recurrente ofreció a los órganos judiciales una oportunidad </w:t>
      </w:r>
      <w:r>
        <w:lastRenderedPageBreak/>
        <w:t>suficiente de reparar en el proceso judicial la pretendida lesión de derechos fundamentales que ahora esgrime. Al exponer en su recurso de súplica todos los aspectos constitucionalmente relevantes de las quejas que ahora denuncia en amparo debe considerarse cumplido el requisito de la previa invocación en el proceso respecto de estos motivos de amparo.</w:t>
      </w:r>
    </w:p>
    <w:p w:rsidR="00D06117" w:rsidRDefault="00D06117" w:rsidP="00D06117">
      <w:pPr>
        <w:pStyle w:val="TextoNormal"/>
      </w:pPr>
    </w:p>
    <w:p w:rsidR="00D06117" w:rsidRDefault="00D06117" w:rsidP="00D06117">
      <w:pPr>
        <w:pStyle w:val="TextoNormal"/>
      </w:pPr>
      <w:r w:rsidRPr="00D06117">
        <w:rPr>
          <w:rStyle w:val="NumeroAFNegritaCaracter"/>
        </w:rPr>
        <w:t>4</w:t>
      </w:r>
      <w:r>
        <w:t>. Ya en el seno del primero de los motivos de amparo, se aduce la vulneración del derecho al recurso efectivo y a la segunda instancia penal. Una queja que no puede prosperar, puesto que el recurrente tuvo acceso al recurso legalmente previsto (el recurso de súplica), que no fue inadmitido, sino resuelto y desestimado, permitiendo así que el demandante conociese la ratio decidendi de la desestimación: que resultaba de aplicación al caso la nueva doctrina sentada por el Tribunal Supremo en relación con el cómputo de la redención de penas por el trabajo.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que es el derecho consagrado en el art. 14.5 del Pacto internacional de derechos civiles y políticos y que hemos afirmado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5</w:t>
      </w:r>
      <w:r>
        <w:t>. Despejados los óbices procesales y este primer grupo de quejas de carácter procesal articuladas como primer motivo de amparo,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se encuentra extinguiendo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su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 xml:space="preserve">Como quedó reflejado en los antecedentes el demandante de amparo aduce vulneración del principio de igualdad en la aplicación de la ley (art. 14) ; del principio de legalidad penal </w:t>
      </w:r>
      <w:r>
        <w:lastRenderedPageBreak/>
        <w:t>(art. 25.1 CE) —desde la doble perspectiva de la ilegitimidad del nuevo criterio interpretativo y la aplicación retroactiva de una ley desfavorable—; del derecho a la libertad (art. 17.1 CE); y del derecho a la tutela judicial efectiva (art. 24.1 CE), en relación con el derecho a la libertad (motivos 5, 2, 4 y 6 respectivamente).</w:t>
      </w:r>
    </w:p>
    <w:p w:rsidR="00D06117" w:rsidRDefault="00D06117" w:rsidP="00D06117">
      <w:pPr>
        <w:pStyle w:val="TextoNormal"/>
      </w:pPr>
    </w:p>
    <w:p w:rsidR="00D06117" w:rsidRDefault="00D06117" w:rsidP="00D06117">
      <w:pPr>
        <w:pStyle w:val="TextoNormal"/>
      </w:pPr>
      <w:r w:rsidRPr="00D06117">
        <w:rPr>
          <w:rStyle w:val="NumeroAFNegritaCaracter"/>
        </w:rPr>
        <w:t>6</w:t>
      </w:r>
      <w:r>
        <w:t>. Comenzando por el estudio de la aducida vulneración del principio de legalidad a los que en la demanda se dedican los motivos segundo y cuarto, lo primero que hemos de destacar es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w:t>
      </w:r>
      <w:r>
        <w:lastRenderedPageBreak/>
        <w:t>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rsidRPr="00D06117">
        <w:rPr>
          <w:rStyle w:val="NumeroAFNegritaCaracter"/>
        </w:rPr>
        <w:t>7</w:t>
      </w:r>
      <w:r>
        <w:t>. Los cambios de criterio jurisprudencial y su conformidad con la Constitución sí pueden ser cuestionados desde otras perspectivas. Una de ellas, alegada en la demanda de amparo, tiene que ver con el contenido del derecho a la igualdad en la aplicación de la ley (art. 14.1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2/2007, de 15 de enero, FJ 2).</w:t>
      </w:r>
    </w:p>
    <w:p w:rsidR="00D06117" w:rsidRDefault="00D06117" w:rsidP="00D06117">
      <w:pPr>
        <w:pStyle w:val="TextoNormal"/>
      </w:pPr>
    </w:p>
    <w:p w:rsidR="00D06117" w:rsidRDefault="00D06117" w:rsidP="00D06117">
      <w:pPr>
        <w:pStyle w:val="TextoNormal"/>
      </w:pPr>
      <w:r>
        <w:t>A lo que hay que añadir que para hacer el juicio de igualdad no es válido el término de comparación postulado en la demanda en la que se alega que los otros dos condenados en la misma causa extinguieron su condena a los veinticinco años de cumplimiento efectivo, pues ni se concreta si la condena impuesta a los otros dos condenados fue la misma ni si la extinción de las penas de produjo antes o después del cambio jurisprudencial operado por la STS 197/2006, de 28 de febrero, que sirve como fundamento de la diferente aplicación de la ley que se cuestiona.</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t xml:space="preserve">Por lo demás, no consta en las actuaciones correspondientes a la ejecutoria 82-1989 (correspondiente al sumario 4-1983 del Juzgado Central núm. 4) que tramita la Sección Tercera que ésta dictase el Auto de 31 de mayo de 1996, sino que tal Auto, aportado junto con la demanda de amparo, fue dictado por la Sección Segunda en la ejecutoria 80-1989, correspondiente al sumario 57-1982 del Juzgado Central núm. 2, esto es, en la causa penal cuya condena fue refundida con la que se encuentra en el origen de este proceso de amparo. De ahí que haya de rechazarse toda pretensión de amparo que tome como punto de referencia el indicado Auto de la Sección Segunda en la medida en que no consta que en él se resuelva sobre la pertinencia o no de aplicar retroactivamente el Código penal de 1995 a la condena </w:t>
      </w:r>
      <w:r>
        <w:lastRenderedPageBreak/>
        <w:t>concretamente impuesta al demandante en la causa penal sobre la que versa el presente recurso de amparo ni sobre aspecto alguno relativo a la acumulación de las diversas condenas impuestas al demandante.</w:t>
      </w:r>
    </w:p>
    <w:p w:rsidR="00D06117" w:rsidRDefault="00D06117" w:rsidP="00D06117">
      <w:pPr>
        <w:pStyle w:val="TextoNormal"/>
      </w:pPr>
    </w:p>
    <w:p w:rsidR="00D06117" w:rsidRDefault="00D06117" w:rsidP="00D06117">
      <w:pPr>
        <w:pStyle w:val="TextoNormal"/>
      </w:pPr>
      <w:r w:rsidRPr="00D06117">
        <w:rPr>
          <w:rStyle w:val="NumeroAFNegritaCaracter"/>
        </w:rPr>
        <w:t>8</w:t>
      </w:r>
      <w:r>
        <w:t>.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w:t>
      </w:r>
      <w:r>
        <w:lastRenderedPageBreak/>
        <w:t>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9</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reclamada al órgano judicial y los documentos aportados junto con la demanda de amparo.</w:t>
      </w:r>
    </w:p>
    <w:p w:rsidR="00D06117" w:rsidRDefault="00D06117" w:rsidP="00D06117">
      <w:pPr>
        <w:pStyle w:val="TextoNormal"/>
      </w:pPr>
    </w:p>
    <w:p w:rsidR="00D06117" w:rsidRDefault="00D06117" w:rsidP="00D06117">
      <w:pPr>
        <w:pStyle w:val="TextoNormal"/>
      </w:pPr>
      <w:r>
        <w:t xml:space="preserve">a) Por lo que respecta a los primeros, en los antecedentes de esta Sentencia hemos dejado constancia de que a la vista de que el demandante de amparo se encontraba en prisión cumpliendo otras penas que le habían sido impuestas en otro proceso distinto (sumario 57-1982, del Juzgado Central de Instrucción núm. 2), el órgano sentenciador acordó formar pieza separada 1-1990 para la acumulación de condenas, en la cual se dictó Auto de 29 de enero de 1990 estableciendo en treinta años el límite correspondiente al art. 70 del Código penal </w:t>
      </w:r>
      <w:r>
        <w:lastRenderedPageBreak/>
        <w:t>entonces vigente. Seguidamente el Secretario Judicial practicó liquidación de condena en la que, con abono de la prisión provisional sufrida por el demandante, fijó como fecha de cumplimiento de los indicados treinta años de prisión el día 26 de septiembre de 2017. Aun cuando no consta que tal liquidación fuese aprobada judicialmente, de modo que no se trataría de una resolución judicial protegida por la intangibilidad propia de éstas, lo cierto es que en ella no se contiene determinación alguna ni explícita ni implícita acerca del sistema de cómputo de las futuras y eventuales redenciones de penas por el trabajo de las que pudiera beneficiarse el penado, sino que se trata del cálculo de fecha de cumplimiento del máximo de treinta años de prisión que, conforme al Código penal entonces vigente, cabía cumplir, sin que, dado el momento inicial en el que se practica la liquidación por el Sr. Secretario, se descuente día de redención alguno y, consecuentemente, sin que se evidencie toma de postura alguna en cuanto al modo de computarse las reducciones a que en el futuro pudiera tener derecho el penado. Tal afirmación no se ve contradicha por las alegaciones del Ministerio Fiscal en referencia a una providencia de 31 de marzo de 1992 que habría aprobado la indicada liquidación y cuya intangibilidad habría sido quebrantada. Pues, sobre no constar la indicada providencia en las actuaciones recibidas, lo cierto es que, como acabamos de ver, en la liquidación no se realizaba abono de redención alguna ni se fijaba una pena única de treinta años (lo que estaría fuera de la competencia del Secretario Judicial), sino que tan sólo se realizaba un cálculo del día en el que se cumplirían los treinta años de cumplimiento máximo efectivo fijado en aplicación del art. 70 CP 1973.</w:t>
      </w:r>
    </w:p>
    <w:p w:rsidR="00D06117" w:rsidRDefault="00D06117" w:rsidP="00D06117">
      <w:pPr>
        <w:pStyle w:val="TextoNormal"/>
      </w:pPr>
    </w:p>
    <w:p w:rsidR="00D06117" w:rsidRDefault="00D06117" w:rsidP="00D06117">
      <w:pPr>
        <w:pStyle w:val="TextoNormal"/>
      </w:pPr>
      <w:r>
        <w:t>Tras el archivo provisional de la ejecutoria en espera de que se aproximase la fecha de cumplimiento de la pena como consecuencia de los avatares propios de toda ejecución penal, no existe ninguna otra actuación relevante en el testimonio remitido por el órgano judicial hasta la recepción de la propuesta de licenciamiento definitivo para el día 20 de mayo de 2006 remitida por el centro penitenciario el 17 de marzo de 2006, en la cual el propio Centro ya advertía de que la propuesta se realizaba “conforme a la liquidación de condena ya practicada, sin perjuicio de su superior criterio: (Sentencia del Tribunal Supremo n 197/2006, de 20-2). Condenas acumuladas 30-00-00, condenas impuestas 78-12-09” (en mayúsculas en el original). Pues bien, tal propuesta, en que se computaban los beneficios penitenciarios sobre una pena de treinta años, no fue aprobada por el órgano judicial sino que, mediante providencia de 11 de mayo de 2006, acordó que se procediese a ejecutar la Sentencia teniendo en cuenta el criterio establecido por el Tribunal Supremo, en referencia a la STS 197/2006, de 28 de febrero, estableciendo como fecha de cumplimiento, a tenor de la información disponible la de 10 de octubre de 2017 (luego rectificada por el centro penitenciario a la fecha de 25 de septiembre de 2017). Pues bien, resulta evidente que la propuesta del centro penitenciario no es una resolución judicial, sino que, a lo sumo, puede llegar a integrar la resolución judicial que la apruebe, lo que no sucedió en el presente supuesto.</w:t>
      </w:r>
    </w:p>
    <w:p w:rsidR="00D06117" w:rsidRDefault="00D06117" w:rsidP="00D06117">
      <w:pPr>
        <w:pStyle w:val="TextoNormal"/>
      </w:pPr>
    </w:p>
    <w:p w:rsidR="00D06117" w:rsidRDefault="00D06117" w:rsidP="00D06117">
      <w:pPr>
        <w:pStyle w:val="TextoNormal"/>
      </w:pPr>
      <w:r>
        <w:t xml:space="preserve">b) Tampoco la documental aportada junto con la demanda contiene resolución judicial alguna en la que tome postura sobre el modo en el que han de computarse los beneficios penitenciarios. Así, se aportan resoluciones de trámite dando traslado al penado y a su Letrado sobre la aplicación del nuevo Código penal de 1995 e informe del Ministerio Fiscal al respecto correspondientes tanto en el sumario del que este recurso de amparo trae causa como en relación con el 57-1988 del Juzgado Central núm. 2; certificación del centro penitenciario de 21 de febrero de 1996 sobre la condena que se encuentra cumpliendo, las redenciones acreditadas por el penado y la previsión de la fecha de cumplimiento con y sin </w:t>
      </w:r>
      <w:r>
        <w:lastRenderedPageBreak/>
        <w:t>cómputo de redenciones, probablemente emitida en cumplimiento de la disposición transitoria tercera del Código penal de 1995 para resolver sobre su aplicación retroactiva; diversos escritos del Ministerio Fiscal pidiendo documentación complementaria a fin de emitir dictamen sobre si procedía aprobar o no el licenciamiento propuesto por el centro penitenciario, así como la providencia de 11 de mayo de 2006 ya citada en el apartado anterior. En ninguno de estos documentos tomó el órgano judicial postura acerca del modo de computarse las redenciones de penas por el trabajo.</w:t>
      </w:r>
    </w:p>
    <w:p w:rsidR="00D06117" w:rsidRDefault="00D06117" w:rsidP="00D06117">
      <w:pPr>
        <w:pStyle w:val="TextoNormal"/>
      </w:pPr>
    </w:p>
    <w:p w:rsidR="00D06117" w:rsidRDefault="00D06117" w:rsidP="00D06117">
      <w:pPr>
        <w:pStyle w:val="TextoNormal"/>
      </w:pPr>
      <w:r>
        <w:t>c) Por su especial trascendencia merece ser mencionado el Auto de 31 de mayo de 1996 por el que se declara no haber lugar a la revisión de la Sentencia que el demandante aporta con su demanda y que esgrime como resolución cuya intangibilidad podría haber sido lesionada. Sin embargo, tal como se ha mencionado con anterioridad el citado Auto no fue dictado en la causa a la que este recurso de amparo se refiere sino por la Sección Segunda en el sumario 57-1988 del Juzgado Central núm. 2, sin que en las actuaciones conste el dictado de un Auto semejante en el proceso a quo. Pero es que además, apreciando en abstracto los argumentos desplegados en él y en consideración a que consta en las actuaciones que la pena impuesta en ese sumario se acumuló a la impuesta en el proceso a quo y se fijó como límite de cumplimiento el de treinta años, la lectura de su fundamentación jurídica revela que tampoco en él se resolvió nada acerca del sistema de cómputo de los beneficios penitenciarios. El Auto se limita a rechazar la procedencia de la revisión de la condena impuesta (en otro sumario) razonando que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ésta por la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t>Pues bien, ni en el fallo de dicha resolución se realiza pronunciamiento alguno acerca del criterio de cómputo de las redenciones (porque no era éste su objeto), ni de su fundamentación jurídica antes transcrita puede concluirse que la decisión de no revisar las condenas se sustentara de manera clara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 xml:space="preserve">d) En cuanto a las resoluciones del Juzgado de Vigilancia Penitenciaria en las que se reconocieron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w:t>
      </w:r>
      <w:r>
        <w:lastRenderedPageBreak/>
        <w:t>ignoren, o pongan en cuestión la firmeza e intangibilidad de lo decidido en los Autos del Juzgado de Vigilancia Penitenciaria.</w:t>
      </w:r>
    </w:p>
    <w:p w:rsidR="00D06117" w:rsidRDefault="00D06117" w:rsidP="00D06117">
      <w:pPr>
        <w:pStyle w:val="TextoNormal"/>
      </w:pPr>
    </w:p>
    <w:p w:rsidR="00D06117" w:rsidRDefault="00D06117" w:rsidP="00D06117">
      <w:pPr>
        <w:pStyle w:val="TextoNormal"/>
      </w:pPr>
      <w:r>
        <w:t>En resumen, tras el dictado de la Sentencia condenatoria se practicó por el Secretario Judicial una liquidación provisional en la que, dado el momento inicial del cumplimiento en el que se encontraba la ejecución, no se efectuó abono alguno de redención por el trabajo, sino que se fijó el día concreto en el que se extinguiría la condena impuesta por concluir el máximo legal de treinta años de cumplimiento efectivo. Seguidamente se archivó provisionalmente la ejecutoria hasta que, próximo el día de cumplimiento por aplicación del sistema de cómputo de los beneficios penitenciarios sobre el máximo de cumplimiento efectivo señalado por aplicación del art. 70 CP 1973, el centro penitenciario propuso al tribunal el licenciamiento en aplicación de tal criterio pero advirtiendo expresamente de la eventualidad de ser de aplicación la doctrina sentada por la STC 176/2006, de 28 de febrero. Tal propuesta no fue aprobada por el órgano judicial, sino que acordó la ejecución de la condena conforme al nuevo criterio jurisprudencial y, posteriormente, rechazó la solicitud del demandante para que se aprobase su licenciamiento definitivo conforme a la inicial propuesta del centro penitenciario.</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que el demandante aduce en el sexto motivo de la demanda.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10</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w:t>
      </w:r>
      <w:r>
        <w:lastRenderedPageBreak/>
        <w:t>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Jesús Bollada Álvarez.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7991-2006.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emite el Magistrado don Luis Ignacio Ortega Álvarez con relación a la Sentencia dictada en el recurso de amparo avocado al Pleno núm. 7991-2006.</w:t>
      </w:r>
    </w:p>
    <w:p w:rsidR="00D06117" w:rsidRDefault="00D06117" w:rsidP="00D06117">
      <w:pPr>
        <w:pStyle w:val="TextoNormalNegritaCentrado"/>
        <w:keepNext/>
      </w:pPr>
    </w:p>
    <w:p w:rsidR="00D06117" w:rsidRDefault="00D06117" w:rsidP="00D06117">
      <w:pPr>
        <w:pStyle w:val="TextoNormal"/>
      </w:pPr>
      <w:r>
        <w:t>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6" w:name="SENTENCIA_2012_43"/>
      <w:r>
        <w:lastRenderedPageBreak/>
        <w:t>SENTENCIA 43/2012, de 29 de marzo de 2012</w:t>
      </w:r>
    </w:p>
    <w:bookmarkEnd w:id="4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ECLI:ES:TC:2012:43</w:t>
      </w:r>
    </w:p>
    <w:p w:rsidR="00D06117" w:rsidRDefault="00D06117" w:rsidP="00D06117">
      <w:pPr>
        <w:pStyle w:val="SntesisDescriptiva"/>
      </w:pPr>
    </w:p>
    <w:p w:rsidR="00D06117" w:rsidRDefault="00D06117" w:rsidP="00D06117">
      <w:pPr>
        <w:pStyle w:val="SntesisDescriptiva"/>
      </w:pPr>
      <w:r>
        <w:t>Recurso de amparo 8345-2006. Promovido por don Luis María Azkargorta Belategui con respecto a las resoluciones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8].</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6, 7].</w:t>
      </w:r>
    </w:p>
    <w:p w:rsidR="00D06117" w:rsidRDefault="00D06117" w:rsidP="00D06117">
      <w:pPr>
        <w:pStyle w:val="Extracto"/>
      </w:pPr>
    </w:p>
    <w:p w:rsidR="00D06117" w:rsidRDefault="00D06117" w:rsidP="00D06117">
      <w:pPr>
        <w:pStyle w:val="Extracto"/>
      </w:pPr>
      <w:r>
        <w:t>4.</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9].</w:t>
      </w:r>
    </w:p>
    <w:p w:rsidR="00D06117" w:rsidRDefault="00D06117" w:rsidP="00D06117">
      <w:pPr>
        <w:pStyle w:val="Extracto"/>
      </w:pPr>
    </w:p>
    <w:p w:rsidR="00D06117" w:rsidRDefault="00D06117" w:rsidP="00D06117">
      <w:pPr>
        <w:pStyle w:val="Extracto"/>
      </w:pPr>
      <w:r>
        <w:t>5.</w:t>
      </w:r>
      <w:r>
        <w:tab/>
        <w:t xml:space="preserve">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w:t>
      </w:r>
      <w:r>
        <w:lastRenderedPageBreak/>
        <w:t>y su evolución muestren que se hallan en condiciones de rehacer su vida en libertad [FJ 9].</w:t>
      </w:r>
    </w:p>
    <w:p w:rsidR="00D06117" w:rsidRDefault="00D06117" w:rsidP="00D06117">
      <w:pPr>
        <w:pStyle w:val="Extracto"/>
      </w:pPr>
    </w:p>
    <w:p w:rsidR="00D06117" w:rsidRDefault="00D06117" w:rsidP="00D06117">
      <w:pPr>
        <w:pStyle w:val="Extracto"/>
      </w:pPr>
      <w:r>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7.</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5].</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6].</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6].</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6].</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13.</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8345-2006, promovido por don Luis María Azkargorta Belategui, representado por el Procurador de los Tribunales don José Javier Cuevas Rivas y asistido por la Abogada doña Ainhoa Baglietto Gabilondo, contra la providencia de 16 de junio de 2006 y el Auto de 11 de julio de 2006 dictados por la Sección Segunda de la Sala de lo Penal de la Audiencia Nacional en la ejecutoria núm. 67-1992. Ha intervenido el Ministerio Fiscal.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6 de septiembre de 2006, el Procurador de los Tribunales don José Javier Cuevas Rivas, en nombre y representación de don Luis María Azkargorta Belategui,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sucintamente expuestos, los siguientes:</w:t>
      </w:r>
    </w:p>
    <w:p w:rsidR="00D06117" w:rsidRDefault="00D06117" w:rsidP="00D06117">
      <w:pPr>
        <w:pStyle w:val="TextoNormal"/>
      </w:pPr>
    </w:p>
    <w:p w:rsidR="00D06117" w:rsidRDefault="00D06117" w:rsidP="00D06117">
      <w:pPr>
        <w:pStyle w:val="TextoNormal"/>
      </w:pPr>
      <w:r>
        <w:lastRenderedPageBreak/>
        <w:t>a) El señor Azkargorta Belategui fue condenado por la Sala de lo Penal de la Audiencia Nacional, Sección Segunda, mediante Sentencia de 15 de junio de 1990 (rollo de Sala núm. 33-1990, sumario núm. 42-1984 del Juzgado Central de Instrucción núm. 2), a las penas de veinte años de reclusión menor por un delito de atentado con resultado de muerte, once años de prisión mayor por un delito de asesinato frustrado y seis años de prisión menor por un delito de terrorismo con resultado de daños.</w:t>
      </w:r>
    </w:p>
    <w:p w:rsidR="00D06117" w:rsidRDefault="00D06117" w:rsidP="00D06117">
      <w:pPr>
        <w:pStyle w:val="TextoNormal"/>
      </w:pPr>
    </w:p>
    <w:p w:rsidR="00D06117" w:rsidRDefault="00D06117" w:rsidP="00D06117">
      <w:pPr>
        <w:pStyle w:val="TextoNormal"/>
      </w:pPr>
      <w:r>
        <w:t>Asimismo fue condenado por la misma Sala y Sección en Sentencia de 12 de marzo de 1992 (rollo de Sala núm. 11-1992, sumario núm. 43-1988 del Juzgado Central de Instrucción núm. 2), a la pena de siete años de prisión mayor por un delito de colaboración con banda armada.</w:t>
      </w:r>
    </w:p>
    <w:p w:rsidR="00D06117" w:rsidRDefault="00D06117" w:rsidP="00D06117">
      <w:pPr>
        <w:pStyle w:val="TextoNormal"/>
      </w:pPr>
    </w:p>
    <w:p w:rsidR="00D06117" w:rsidRDefault="00D06117" w:rsidP="00D06117">
      <w:pPr>
        <w:pStyle w:val="TextoNormal"/>
      </w:pPr>
      <w:r>
        <w:t>Estas condenas fueron acumuladas por Auto de la misma Sala y Sección de 7 de octubre de 1996, que refundió dichas condenas y fijó para su cumplimiento total la duración de treinta años de privación de libertad. Dicho Auto alcanzó firmeza.</w:t>
      </w:r>
    </w:p>
    <w:p w:rsidR="00D06117" w:rsidRDefault="00D06117" w:rsidP="00D06117">
      <w:pPr>
        <w:pStyle w:val="TextoNormal"/>
      </w:pPr>
    </w:p>
    <w:p w:rsidR="00D06117" w:rsidRDefault="00D06117" w:rsidP="00D06117">
      <w:pPr>
        <w:pStyle w:val="TextoNormal"/>
      </w:pPr>
      <w:r>
        <w:t>b) Por Auto de la Sección Segunda de la Sala de lo Penal de la Audiencia Nacional de 11 de julio de 1996, asimismo firme, se acordó que no procedía conforme al nuevo Código penal de 1995 (CP 1995) revisar las penas impuestas al señor Azkargorta Belategui.</w:t>
      </w:r>
    </w:p>
    <w:p w:rsidR="00D06117" w:rsidRDefault="00D06117" w:rsidP="00D06117">
      <w:pPr>
        <w:pStyle w:val="TextoNormal"/>
      </w:pPr>
    </w:p>
    <w:p w:rsidR="00D06117" w:rsidRDefault="00D06117" w:rsidP="00D06117">
      <w:pPr>
        <w:pStyle w:val="TextoNormal"/>
      </w:pPr>
      <w:r>
        <w:t>c) Con fecha 5 de diciembre de 1996 se practicó por el centro penitenciario en el que a la sazón se encontraba interno el señor Azkargorta Belategui liquidación provisional de condena, en la que se incluyen los cálculos de redenciones ordinarias y extraordinarias hasta el 25 de mayo de 1996, fijándose como fecha prevista para el cumplimiento de la condena de treinta años el 29 de septiembre de 2018.</w:t>
      </w:r>
    </w:p>
    <w:p w:rsidR="00D06117" w:rsidRDefault="00D06117" w:rsidP="00D06117">
      <w:pPr>
        <w:pStyle w:val="TextoNormal"/>
      </w:pPr>
    </w:p>
    <w:p w:rsidR="00D06117" w:rsidRDefault="00D06117" w:rsidP="00D06117">
      <w:pPr>
        <w:pStyle w:val="TextoNormal"/>
      </w:pPr>
      <w:r>
        <w:t>d) El señor Azkargorta Belategui permaneció en situación de libertad condicional desde el 7 de enero de 2003 al 26 de noviembre de 2003 en virtud del Auto del Juzgado de Vigilancia Penitenciaria de 23 de diciembre de 2002, que fue revocado por Auto de la Sección Segunda de la Sala de lo Penal de la Audiencia Nacional de 20 de noviembre de 2003, produciéndose su reingreso en prisión el siguiente día 27 de noviembre.</w:t>
      </w:r>
    </w:p>
    <w:p w:rsidR="00D06117" w:rsidRDefault="00D06117" w:rsidP="00D06117">
      <w:pPr>
        <w:pStyle w:val="TextoNormal"/>
      </w:pPr>
    </w:p>
    <w:p w:rsidR="00D06117" w:rsidRDefault="00D06117" w:rsidP="00D06117">
      <w:pPr>
        <w:pStyle w:val="TextoNormal"/>
      </w:pPr>
      <w:r>
        <w:t>Por Auto de la misma Sala y Sección de 4 de febrero de 2004 se ordenó practicar nueva liquidación de condena al señor Azkargorta Belategui, en la que se incluya el periodo antes señalado de libertad condicional como de cumplimiento. Practicada la liquidación de condena, fue aprobada por providencia de la Sección Segunda de la Sala de lo Penal de la Audiencia Nacional de 13 de febrero de 2004, en la que se fija como fecha prevista para el cumplimiento de la condena de treinta años el 1 de mayo de 2017, sin redenciones. No obstante, la Sección ordena nueva liquidación por existir errores en la precedente (error en la fecha de inicio de la prisión preventiva abonable y duplicidad de abono del periodo en el que permaneció en libertad condicional), nueva liquidación que se practica el 16 de marzo de 2004, fijando como fecha prevista para el cumplimiento de la condena de treinta años el 13 de abril de 2018, sin redenciones, siendo aprobada esta liquidación por providencia de 25 de marzo de 2004.</w:t>
      </w:r>
    </w:p>
    <w:p w:rsidR="00D06117" w:rsidRDefault="00D06117" w:rsidP="00D06117">
      <w:pPr>
        <w:pStyle w:val="TextoNormal"/>
      </w:pPr>
    </w:p>
    <w:p w:rsidR="00D06117" w:rsidRDefault="00D06117" w:rsidP="00D06117">
      <w:pPr>
        <w:pStyle w:val="TextoNormal"/>
      </w:pPr>
      <w:r>
        <w:t xml:space="preserve">e) El 26 de abril de 2006 el centro penitenciario de Zuera (Zaragoza) se dirigió a la Sección Segunda de la Sala de lo Penal de la Audiencia Nacional en consulta acerca de si debía aplicarse al señor Azkargorta Belategui el criterio sentado por la Sentencia de la Sala de lo </w:t>
      </w:r>
      <w:r>
        <w:lastRenderedPageBreak/>
        <w:t>Penal del Tribunal Supremo núm. 197/2006, de 28 de febrero, conforme al cual, en caso de penas acumuladas, la redención de penas por el trabajo obtenida ha de computarse sobre cada una de las penas impuestas y no sobre el límite máximo de cumplimiento que pudiera haberse fijado, en cuyo caso la fecha de cumplimiento sería el 13 de abril de 2018.</w:t>
      </w:r>
    </w:p>
    <w:p w:rsidR="00D06117" w:rsidRDefault="00D06117" w:rsidP="00D06117">
      <w:pPr>
        <w:pStyle w:val="TextoNormal"/>
      </w:pPr>
    </w:p>
    <w:p w:rsidR="00D06117" w:rsidRDefault="00D06117" w:rsidP="00D06117">
      <w:pPr>
        <w:pStyle w:val="TextoNormal"/>
      </w:pPr>
      <w:r>
        <w:t>Por providencia de 16 de junio de 2006 la Sección Segunda de la Sala de lo Penal de la Audiencia Nacional comunicó al centro penitenciario de Zuera que, de conformidad con el criterio establecido por la Sentencia de la Sala de lo Penal del Tribunal Supremo núm. 197/2006, de 28 de febrero, para la liquidación de condena del penado señor Azkargorta Belategui procede aplicar las redenciones (tanto ordinarias como extraordinarias) en cada pena por cada delito, sin perjuicio de los límites establecidos por el art. 70, regla 2, del Código penal de 1973 (en adelante CP 1973).</w:t>
      </w:r>
    </w:p>
    <w:p w:rsidR="00D06117" w:rsidRDefault="00D06117" w:rsidP="00D06117">
      <w:pPr>
        <w:pStyle w:val="TextoNormal"/>
      </w:pPr>
    </w:p>
    <w:p w:rsidR="00D06117" w:rsidRDefault="00D06117" w:rsidP="00D06117">
      <w:pPr>
        <w:pStyle w:val="TextoNormal"/>
      </w:pPr>
      <w:r>
        <w:t>f) Contra el anterior proveído interpuso recurso de súplica el señor Azkargorta Belategui contra el anterior proveído, en el que, invocando la vulneración de los principios de irretroactividad de las normas penales desfavorables y seguridad jurídica (art. 9.3 CE), del principio de igualdad (art. 14 CE), del derecho a la libertad (art. 17 CE), del derecho a la tutela judicial efectiva en la vertiente de intangibilidad de las resoluciones judiciales firmes (art. 24.1 CE), y del principio de legalidad penal (art. 25.1 CE), y rechazando la aplicación del criterio de la Sentencia de la Sala de lo Penal del Tribunal Supremo núm. 197/2006, de 28 de febrero, interesaba que se fijase como fecha de cumplimiento definitivo de los treinta años de condena el 8 de octubre de 2007. El recurso fue desestimado por Auto de 11 de julio de 2006, en el que se rechaza que la aplicación al caso del criterio sentado por la citada Sentencia haya ocasionado vulneración alguna de los derechos fundamentales invocados por el recurrente.</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los siete motivos o quejas que a continuación se señalan.</w:t>
      </w:r>
    </w:p>
    <w:p w:rsidR="00D06117" w:rsidRDefault="00D06117" w:rsidP="00D06117">
      <w:pPr>
        <w:pStyle w:val="TextoNormal"/>
      </w:pPr>
    </w:p>
    <w:p w:rsidR="00D06117" w:rsidRDefault="00D06117" w:rsidP="00D06117">
      <w:pPr>
        <w:pStyle w:val="TextoNormal"/>
      </w:pPr>
      <w:r>
        <w:t>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 providencia impugnada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Entiende además que ello vulnera el principio acusatorio, porque el órgano judicial asume funciones acusatorias constitucionalmente vedadas que comprometen su imparcialidad.</w:t>
      </w:r>
    </w:p>
    <w:p w:rsidR="00D06117" w:rsidRDefault="00D06117" w:rsidP="00D06117">
      <w:pPr>
        <w:pStyle w:val="TextoNormal"/>
      </w:pPr>
    </w:p>
    <w:p w:rsidR="00D06117" w:rsidRDefault="00D06117" w:rsidP="00D06117">
      <w:pPr>
        <w:pStyle w:val="TextoNormal"/>
      </w:pPr>
      <w:r>
        <w:t xml:space="preserve">Como segundo motivo de amparo se aduce la vulneración del principio de legalidad (art. 25 CE, en relación con el art. 9.3 CE), por la interpretación realizada por la Audiencia Nacional de los arts. 70.2 y 100 CP 1973, así como de los arts. 66 del reglamento de prisiones </w:t>
      </w:r>
      <w:r>
        <w:lastRenderedPageBreak/>
        <w:t>de 1956 y del art. 202 del reglamento penitenciario actual. 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En el tercer motivo de amparo denuncia el recurrente la vulneración del derecho a la tutela judicial efectiva sin indefensión (art. 24.1 CE) en la vertiente de intangibilidad de las resoluciones judiciales firmes, en relación con el derecho a la libertad (art. 17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 importante acortamiento de su condena. El trabajo y los estudios en la prisión se realizaron por el recurrente en la confianza de que las redenciones así obtenidas implicarían un acortamiento del tiempo de permanencia en prisión, como en el caso de la STC 76/2004, habiéndose generado una expectativa de dicho acortamiento con fundamento en la actuación de los órganos judiciales hasta el momento.</w:t>
      </w:r>
    </w:p>
    <w:p w:rsidR="00D06117" w:rsidRDefault="00D06117" w:rsidP="00D06117">
      <w:pPr>
        <w:pStyle w:val="TextoNormal"/>
      </w:pPr>
    </w:p>
    <w:p w:rsidR="00D06117" w:rsidRDefault="00D06117" w:rsidP="00D06117">
      <w:pPr>
        <w:pStyle w:val="TextoNormal"/>
      </w:pPr>
      <w:r>
        <w:t>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que el recurrente considera como ley más favorable, en la medida en que las redenciones incidían sobre la liquidación de condena, acortando el tiempo de internamiento efectivo.</w:t>
      </w:r>
    </w:p>
    <w:p w:rsidR="00D06117" w:rsidRDefault="00D06117" w:rsidP="00D06117">
      <w:pPr>
        <w:pStyle w:val="TextoNormal"/>
      </w:pPr>
    </w:p>
    <w:p w:rsidR="00D06117" w:rsidRDefault="00D06117" w:rsidP="00D06117">
      <w:pPr>
        <w:pStyle w:val="TextoNormal"/>
      </w:pPr>
      <w:r>
        <w:t>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00D06117" w:rsidRDefault="00D06117" w:rsidP="00D06117">
      <w:pPr>
        <w:pStyle w:val="TextoNormal"/>
      </w:pPr>
    </w:p>
    <w:p w:rsidR="00D06117" w:rsidRDefault="00D06117" w:rsidP="00D06117">
      <w:pPr>
        <w:pStyle w:val="TextoNormal"/>
      </w:pPr>
      <w:r>
        <w:t xml:space="preserve">Como sexto motivo de amparo se alega la vulneración del derecho a la libertad (art. 17.1 CE), en relación con los arts. 5 y 7.1 CEDH y los arts. 9.1 y 5 y 15.1 PIDCP. Tras resaltar que, conforme a la doctrina de este Tribunal, la redención de penas por el trabajo afecta al </w:t>
      </w:r>
      <w:r>
        <w:lastRenderedPageBreak/>
        <w:t>derecho a la libertad personal, se sostiene por el recurrente, con cita del Voto particular a la Sentencia de la Sala de lo Penal del Tribunal Supremo núm. 197/2006, de 28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D06117" w:rsidRDefault="00D06117" w:rsidP="00D06117">
      <w:pPr>
        <w:pStyle w:val="TextoNormal"/>
      </w:pPr>
    </w:p>
    <w:p w:rsidR="00D06117" w:rsidRDefault="00D06117" w:rsidP="00D06117">
      <w:pPr>
        <w:pStyle w:val="TextoNormal"/>
      </w:pPr>
      <w:r>
        <w:t>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26 de septiembre de 2007 la Sala Primera de este Tribunal acordó la admisión a trámite de la demanda de amparo y, a tenor de lo dispuesto en el art. 51 de la Ley Orgánica del Tribunal Constitucional (LOTC), requerir atentamente a la Sección Segunda de la Sala de lo Penal de la Audiencia Nacional para que en el plazo de diez días remitiera testimonio de la en la ejecutoria núm. 67-1992,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diligencia de ordenación del Secretario de Justicia de la Sala Primera de 22 de noviembre de 2007 se tuvo por recibido el testimonio de las actuaciones remitido por la Sección Segunda de la Sala de lo Penal de la Audiencia Nacional, y se procedió, conforme a lo establecido en el art. 52.1 LOTC, a dar vista de las actuaciones por plazo común de veinte días al Ministerio Fiscal y a la representación procesal del recurrente en amparo para presentar las alegaciones que estimasen pertinentes.</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del recurrente presentó su escrito de alegaciones en este Tribunal el 26 de diciembre de 2007, en el que viene a ratificarse en las formuladas en la demanda de amparo, que resume.</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presentó su escrito de alegaciones en este Tribunal el 14 de enero de 2008. Comienza el Fiscal resumiendo los motivos de la demanda de amparo numerados como segundo, tercero y sexto, pues, a su juicio, entendidos en su conjunto, dichos motivos constituyen la médula del amparo que se solicita, mientras que los motivos de amparo restantes carecen de fundamento y deben ser rechazados, según el Fiscal, por las razones que seguidamente se resumen.</w:t>
      </w:r>
    </w:p>
    <w:p w:rsidR="00D06117" w:rsidRDefault="00D06117" w:rsidP="00D06117">
      <w:pPr>
        <w:pStyle w:val="TextoNormal"/>
      </w:pPr>
    </w:p>
    <w:p w:rsidR="00D06117" w:rsidRDefault="00D06117" w:rsidP="00D06117">
      <w:pPr>
        <w:pStyle w:val="TextoNormal"/>
      </w:pPr>
      <w:r>
        <w:t>En primer lugar, carece de fundamento la queja del recurrente referida a la infracción del derecho a la tutela judicial efectiva, a la que asocia la de sus derechos de defensa, a ser informado de la acusación, a un proceso público y con todas las garantías y a un juicio justo, todo ello 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al interponer su recurso de suplica contra la providencia de 16 de junio de 2006.</w:t>
      </w:r>
    </w:p>
    <w:p w:rsidR="00D06117" w:rsidRDefault="00D06117" w:rsidP="00D06117">
      <w:pPr>
        <w:pStyle w:val="TextoNormal"/>
      </w:pPr>
    </w:p>
    <w:p w:rsidR="00D06117" w:rsidRDefault="00D06117" w:rsidP="00D06117">
      <w:pPr>
        <w:pStyle w:val="TextoNormal"/>
      </w:pPr>
      <w:r>
        <w:t>No existe tampoco vulneración del principio de legalidad penal conectado al de irretroactividad de las normas penales y restrictivas de derechos (motivo de amparo cuarto), pues no tiene fundamento alguno sostener que se han vulnerado dichos principios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28 de febrero, y no el art. 78 CP 1995.</w:t>
      </w:r>
    </w:p>
    <w:p w:rsidR="00D06117" w:rsidRDefault="00D06117" w:rsidP="00D06117">
      <w:pPr>
        <w:pStyle w:val="TextoNormal"/>
      </w:pPr>
    </w:p>
    <w:p w:rsidR="00D06117" w:rsidRDefault="00D06117" w:rsidP="00D06117">
      <w:pPr>
        <w:pStyle w:val="TextoNormal"/>
      </w:pPr>
      <w:r>
        <w:t>No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En fin, también debe ser rechazada la pretendida vulneración del art. 25.2 CE (motivo séptimo y último de amparo), entre otras razones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Por el contrario, lo que resulta relevante según el Fiscal, como se desprende de los motivos segundo, tercero y sexto de la demanda de amparo, aunque ciertamente el recurrente no exponga la cuestión con la deseable claridad, es la aplicación del nuevo criterio jurisprudencial surgido de la citada Sentencia de la Sala de lo Penal del Tribunal Supremo núm. 197/2006, de 28 de febrero, a situaciones ya reconocidas por resoluciones firmes, en referencia al Auto de 7 de octubre de 1996 de la Sección Segunda de la Sala de lo Penal de la Audiencia Nacional que refundió las condenas impuestas al recurrente y señaló como pena única a cumplir la de treinta años, así como a las liquidaciones de condena que siguieron a ese Auto con aplicación de las redenciones que se iban produciendo (antes de dictarse las resoluciones judiciales impugnadas en amparo), lo que resulta perjudicial para el recurrente.</w:t>
      </w:r>
    </w:p>
    <w:p w:rsidR="00D06117" w:rsidRDefault="00D06117" w:rsidP="00D06117">
      <w:pPr>
        <w:pStyle w:val="TextoNormal"/>
      </w:pPr>
    </w:p>
    <w:p w:rsidR="00D06117" w:rsidRDefault="00D06117" w:rsidP="00D06117">
      <w:pPr>
        <w:pStyle w:val="TextoNormal"/>
      </w:pPr>
      <w:r>
        <w:t>La firmeza de las referidas resoluciones impide, a juicio del Fiscal, la revisión de ese criterio en virtud de una jurisprudencia posterior porque ello rompe con las legítimas expectativas del intento y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28 de febrero, aplicada por la Audiencia Nacional en las resoluciones impugnadas en amparo.</w:t>
      </w:r>
    </w:p>
    <w:p w:rsidR="00D06117" w:rsidRDefault="00D06117" w:rsidP="00D06117">
      <w:pPr>
        <w:pStyle w:val="TextoNormal"/>
      </w:pPr>
    </w:p>
    <w:p w:rsidR="00D06117" w:rsidRDefault="00D06117" w:rsidP="00D06117">
      <w:pPr>
        <w:pStyle w:val="TextoNormal"/>
      </w:pPr>
      <w:r>
        <w:t>Por lo expuesto el Fiscal interesa la estimación del amparo en lo referente a declarar vulnerado el derecho a la tutela judicial efectiva en su vertiente intangibilidad de las resoluciones judiciales firmes (art. 24.1 CE), en conexión con el derecho a la irretroactividad de interpretaciones desfavorables para el reo (art. 25.1 CE) y el derecho a la libertad personal (art. 17 CE), procediendo desestimar la demanda de amparo en todo lo demás.</w:t>
      </w:r>
    </w:p>
    <w:p w:rsidR="00D06117" w:rsidRDefault="00D06117" w:rsidP="00D06117">
      <w:pPr>
        <w:pStyle w:val="TextoNormal"/>
      </w:pPr>
    </w:p>
    <w:p w:rsidR="00D06117" w:rsidRDefault="00D06117" w:rsidP="00D06117">
      <w:pPr>
        <w:pStyle w:val="TextoNormal"/>
      </w:pPr>
      <w:r>
        <w:t>La consecuencia del otorgamiento del amparo ha de ser, según el Fiscal, la anulación de la providencia y Auto impugnados, para que se dicte nueva resolución por la Sección Segunda de la Sala de lo Penal de la Audiencia Nacional que resuelva sobre el licenciamiento definitivo del recurrente respetando los derechos fundamentales que han sido vulnerados, lo que comporta que la liquidación de condena y la fecha de licenciamiento definitivo del recurrente debe quedar fijada de conformidad con el criterio interpretativo que en su momento señaló el Auto de 7 de octubre de 1996 y la propuesta de liquidación provisional formulada por el centro penitenciario de Huesca el 5 de diciembre de 1996.</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21 de junio de 2011 el Pleno, de conformidad con lo establecido en el art. 10.1 n) LOTC y a propuesta de la Sala Primera,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acordó señalar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se dirige contra el Auto de 11 de julio de 2006 de la Sección Segunda de la Sala de lo Penal de la Audiencia Nacional, que desestimó el recurso de súplica presentado contra la anterior providencia de 16 de junio de 2006 por la que se acordó que para la liquidación de condena del recurrente procede aplicar las redenciones (tanto ordinarias como extraordinarias) en cada pena por cada delito, sin perjuicio de los límites establecidos por el art. 70, regla 2, del Código penal (CP) de 1973, de conformidad con el criterio de la Sentencia núm. 197/2006, de 28 de febrero, de la Sala de lo Penal del Tribunal Supremo. Según dicha Sentencia, en caso de penas acumuladas la redención de </w:t>
      </w:r>
      <w:r>
        <w:lastRenderedPageBreak/>
        <w:t>penas por el trabajo obtenida ha de computarse sobre cada una de las penas impuestas y no sobre el límite máximo de cumplimiento que pudiera haberse fijado. Con ello el Tribunal sentenciador viene a ratificar su decisión precedente de aprobar como fecha de cumplimiento definitivo de la condena impuesta al recurrente el 13 de abril de 2008.</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la defensa, a ser informado de la acusación y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por su parte, apoya la estimación del recurso de amparo, por entender que la aplicación del nuevo criterio jurisprudencial fijado en la referida Sentencia núm. 197/2006 de la Sala de lo Penal del Tribunal Supremo supone la vulneración de los derechos fundamentales consagrados en los arts. 17.1, 24.1 y 25.1 CE, por afectar a situaciones ya reconocidas por resoluciones firmes.</w:t>
      </w:r>
    </w:p>
    <w:p w:rsidR="00D06117" w:rsidRDefault="00D06117" w:rsidP="00D06117">
      <w:pPr>
        <w:pStyle w:val="TextoNormal"/>
      </w:pPr>
    </w:p>
    <w:p w:rsidR="00D06117" w:rsidRDefault="00D06117" w:rsidP="00D06117">
      <w:pPr>
        <w:pStyle w:val="TextoNormal"/>
      </w:pPr>
      <w:r w:rsidRPr="00D06117">
        <w:rPr>
          <w:rStyle w:val="NumeroAFNegritaCaracter"/>
        </w:rPr>
        <w:t>2</w:t>
      </w:r>
      <w:r>
        <w:t>. Como ha quedado reflejado con detalle en los antecedentes, bajo la invocación de los derechos a la tutela judicial efectiva sin indefensión (art. 24.1 CE), a la defensa, a ser informado de la acusación y a un proceso con todas las garantías (art. 24.2 CE), se denuncia por el demandante de amparo, en primer lugar, la supuesta indefensión que le habría producido el hecho de que la primera de las resoluciones recurridas —la providencia de 16 de junio de 2006— se adoptó sin haberle dado audiencia previa, pese a que la propuesta del centro penitenciario en el que se hallaba interno ofrecía una fecha de licenciamiento definitivo más favorable, cuestión esta que afecta decisivamente a su derecho a la libertad personal (art. 17.1 CE).</w:t>
      </w:r>
    </w:p>
    <w:p w:rsidR="00D06117" w:rsidRDefault="00D06117" w:rsidP="00D06117">
      <w:pPr>
        <w:pStyle w:val="TextoNormal"/>
      </w:pPr>
    </w:p>
    <w:p w:rsidR="00D06117" w:rsidRDefault="00D06117" w:rsidP="00D06117">
      <w:pPr>
        <w:pStyle w:val="TextoNormal"/>
      </w:pPr>
      <w:r>
        <w:t xml:space="preserve">No cabe duda de que la queja tiene base fáctica, pues la secuencia procesal descrita por el demandante fue la seguida por el Tribunal encargado de la ejecución de las penas impuestas; sin embargo ha de ser inadmitida, al concurrir respecto de ella el óbice procesal consistente en la falta de invocación ante los órganos de la jurisdicción ordinaria [art. 44.1 c) de la Ley Orgánica del Tribunal Constitucional]. En efecto, de la mera lectura del recurso de súplica interpuesto contra la providencia dictada en fase de ejecución el 16 de junio de 2006 se desprende que el recurrente articuló una serie de motivos de impugnación para oponerse a esa nueva perspectiva jurídica en el cómputo de las redenciones (lo que, como bien señala el Ministerio Fiscal, excluiría por sí mismo la indefensión alegada), pero no denunció entonces indefensión alguna por el motivo ahora analizado, por lo que esta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presentación de la demanda de amparo ante este Tribunal, ha de darse oportunidad a los órganos judiciales de reparar la vulneración supuestamente cometida a través del planteamiento en el proceso judicial del problema constitucional que es </w:t>
      </w:r>
      <w:r>
        <w:lastRenderedPageBreak/>
        <w:t>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rsidRPr="00D06117">
        <w:rPr>
          <w:rStyle w:val="NumeroAFNegritaCaracter"/>
        </w:rPr>
        <w:t>3</w:t>
      </w:r>
      <w:r>
        <w:t>. En los restantes motivos de amparo, alegando siempre que su libertad personal se ha visto ilegítimamente afectada, denuncia el recurrente desde diversas perspectivas constitucionales la cuestión de fondo, esto es, la aplicación a las condenas privativas de libertad que cumple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de amparo, frente al criterio anterior reiteradamente aplicado por los órganos judiciales, conforme al cual los días redimidos se descontaban del límite máximo de cumplimiento una vez operada la refundición o acumulación de condenas, la Sala de lo Penal del Tribunal Supremo, en la Sentencia núm.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Partiendo de esta premisa, y como quedó reflejado en los antecedentes, el recurrente denuncia en los motivos segundo, cuarto, quinto y sexto de su demanda la supuesta vulneración del principio de legalidad penal —desde la doble perspectiva de la ilegitimidad del nuevo criterio interpretativo y la aplicación retroactiva de una ley desfavorable (art. 25.1 CE)— y del principio de igualdad en la aplicación de la ley (art.14 CE), en relación con su derecho a la libertad personal (art. 17.1 CE), dado que se trata del cumplimiento de una pena de prisión.</w:t>
      </w:r>
    </w:p>
    <w:p w:rsidR="00D06117" w:rsidRDefault="00D06117" w:rsidP="00D06117">
      <w:pPr>
        <w:pStyle w:val="TextoNormal"/>
      </w:pPr>
    </w:p>
    <w:p w:rsidR="00D06117" w:rsidRDefault="00D06117" w:rsidP="00D06117">
      <w:pPr>
        <w:pStyle w:val="TextoNormal"/>
      </w:pPr>
      <w:r>
        <w:t>Estas quejas deben ser rechazadas, dado que el contenido de los derechos alegados no tiene el alcance expresado por el recurrente, conforme seguidamente se razona.</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w:t>
      </w:r>
    </w:p>
    <w:p w:rsidR="00D06117" w:rsidRDefault="00D06117" w:rsidP="00D06117">
      <w:pPr>
        <w:pStyle w:val="TextoNormal"/>
      </w:pPr>
    </w:p>
    <w:p w:rsidR="00D06117" w:rsidRDefault="00D06117" w:rsidP="00D06117">
      <w:pPr>
        <w:pStyle w:val="TextoNormal"/>
      </w:pPr>
      <w:r>
        <w:lastRenderedPageBreak/>
        <w:t>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y la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En consecuencia, debe ser rechazada la queja que se formula como segundo motivo de amparo, en el que se aduce la vulneración del principio de legalidad penal (art. 25.1 CE) por la interpretación realizada por el Tribunal sentenciador en las resoluciones impugnadas de los arts. 70.2 y 100 CP 1973, así como de los arts. 66 del reglamento de prisiones de 1956 y del art. 202 del reglamento penitenciario actual.</w:t>
      </w:r>
    </w:p>
    <w:p w:rsidR="00D06117" w:rsidRDefault="00D06117" w:rsidP="00D06117">
      <w:pPr>
        <w:pStyle w:val="TextoNormal"/>
      </w:pPr>
    </w:p>
    <w:p w:rsidR="00D06117" w:rsidRDefault="00D06117" w:rsidP="00D06117">
      <w:pPr>
        <w:pStyle w:val="TextoNormal"/>
      </w:pPr>
      <w:r>
        <w:t>Asimismo debe rechazarse la denunciada vulneración (motivo de amparo cuarto) del derecho a la legalidad de las infracciones y sanciones (art. 25.1 CE) por aplicación retroactiva del art. 78 CP 1995 (tanto en su redacción inicial como en la dada al mismo por la Ley Orgánica 7/2003), bajo el ropaje aparente del art. 70.2 CP 1973. En aquel precepto el legislador establece que para determinados supuestos de acumulación de penas el Juez o Tribunal sentenciador “podrá acordar que los beneficios penitenciarios, los permisos de salida, la clasificación en tercer grado y el cómputo de tiempo para la libertad condicional se refieran a la totalidad de las penas impuestas en las sentencias” (art. 78.1 CP 1995), criterio que deviene obligatorio cuando se trata de penas especialmente graves aunque, no obstante, se prevean algunas excepciones que deberá valorar el Juez de vigilancia penitenciaria (art. 78.2 y 3 CP 1995).</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el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del art. 988 de la Ley de enjuiciamiento criminal (LECrim). Por tanto, teniendo en cuenta el razonamiento de los órganos judiciales y los preceptos que se aplican, la queja carece de fundamento,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 como acertadamente señala el Ministerio Fiscal.</w:t>
      </w:r>
    </w:p>
    <w:p w:rsidR="00D06117" w:rsidRDefault="00D06117" w:rsidP="00D06117">
      <w:pPr>
        <w:pStyle w:val="TextoNormal"/>
      </w:pPr>
    </w:p>
    <w:p w:rsidR="00D06117" w:rsidRDefault="00D06117" w:rsidP="00D06117">
      <w:pPr>
        <w:pStyle w:val="TextoNormal"/>
      </w:pPr>
      <w:r>
        <w:t>De todo lo expuesto se colige también, por las razones expuestas, que el recurrente no ha sido privado de su libertad personal en supuestos distintos de los establecidos en la ley penal, lo que descarta la alegada vulneración del derecho a la libertad personal (art. 17.1 CE) que se alega en el sexto motivo de su demanda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Los cambios de criterio jurisprudencial y su conformidad con la Constitución sí pueden ser cuestionados desde otras perspectivas. Una de ellas, alegada en la demanda de amparo (como quinto motivo), tiene que ver con el contenido del derecho a la igualdad en la aplicación de la ley (art. 14 CE). Sin embargo, tampoco desde esta perspectiva puede apreciarse en el presente caso la vulneración denunciada.</w:t>
      </w:r>
    </w:p>
    <w:p w:rsidR="00D06117" w:rsidRDefault="00D06117" w:rsidP="00D06117">
      <w:pPr>
        <w:pStyle w:val="TextoNormal"/>
      </w:pPr>
    </w:p>
    <w:p w:rsidR="00D06117" w:rsidRDefault="00D06117" w:rsidP="00D06117">
      <w:pPr>
        <w:pStyle w:val="TextoNormal"/>
      </w:pPr>
      <w:r>
        <w:t>Como señala el Ministerio Fiscal, las resoluciones impugnadas, dictadas por la Audiencia Nacional, se limitan a aplicar la doctrina sentada por otro órgano judicial, el Tribunal Supremo, máximo intérprete de la ley, justificando razonadamente el cambio de criterio sobre la forma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reiterada doctrina (entre otras muchas,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6</w:t>
      </w:r>
      <w:r>
        <w:t>. En su tercer motivo de amparo denuncia el recurrente que la aplicación de la nueva interpretación jurisprudencial que cuestiona (la establecida en la citada Sentencia de la Sala de lo Penal del Tribunal Supremo núm. 197/2006, de 28 de febrero), sobre la forma de cómputo de la redención de penas por el trabajo, le genera una situación de indefensión e inseguridad jurídica que vulnera su derecho a la tutela judicial efectiva, en cuanto garantiza la intangibilidad de las resoluciones judiciales firmes (art. 24.1 CE), y en relación con el derecho a la libertad personal (art. 17.1 CE).</w:t>
      </w:r>
    </w:p>
    <w:p w:rsidR="00D06117" w:rsidRDefault="00D06117" w:rsidP="00D06117">
      <w:pPr>
        <w:pStyle w:val="TextoNormal"/>
      </w:pPr>
    </w:p>
    <w:p w:rsidR="00D06117" w:rsidRDefault="00D06117" w:rsidP="00D06117">
      <w:pPr>
        <w:pStyle w:val="TextoNormal"/>
      </w:pPr>
      <w:r>
        <w:t>Sin referencia exacta a ninguna resolución judicial concreta anterior, aduce que la doctrina jurisprudencial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 de suerte que el cumplimiento definitivo de su condena debería tener lugar el 8 de octubre de 2007.</w:t>
      </w:r>
    </w:p>
    <w:p w:rsidR="00D06117" w:rsidRDefault="00D06117" w:rsidP="00D06117">
      <w:pPr>
        <w:pStyle w:val="TextoNormal"/>
      </w:pPr>
    </w:p>
    <w:p w:rsidR="00D06117" w:rsidRDefault="00D06117" w:rsidP="00D06117">
      <w:pPr>
        <w:pStyle w:val="TextoNormal"/>
      </w:pPr>
      <w:r>
        <w:t xml:space="preserve">El Ministerio Fiscal comparte también este razonamiento del recurrente por considerar que no es de recibo que, establecidos en resolución judicial firme unos criterios de interpretación normativa para fijar la refundición de condena, puedan variarse tales criterios en virtud de una posterior resolución, en este caso de la Sala de lo Penal del Tribunal Supremo, </w:t>
      </w:r>
      <w:r>
        <w:lastRenderedPageBreak/>
        <w:t>que interpreta de otra manera las normas aplicables, como lo hacen las resoluciones judiciales ahora recurridas en amparo, rompiendo las legítimas expectativas del interno y lesionando así su derecho a la intangibilidad de las resoluciones judiciales firmes (art. 24.1 CE). La resolución judicial firme en la que considera el Fiscal que dichos criterios quedaron establecidos de forma intangible sería el Auto de 7 de octubre de 1996 que procedió a refundir las condenas impuestas al recurrente en amparo, fijando en treinta años el límite máximo de cumplimiento; resolución judicial a la que han seguido las liquidaciones de condena que aplicaban las redenciones que se iban produciendo.</w:t>
      </w:r>
    </w:p>
    <w:p w:rsidR="00D06117" w:rsidRDefault="00D06117" w:rsidP="00D06117">
      <w:pPr>
        <w:pStyle w:val="TextoNormal"/>
      </w:pPr>
    </w:p>
    <w:p w:rsidR="00D06117" w:rsidRDefault="00D06117" w:rsidP="00D06117">
      <w:pPr>
        <w:pStyle w:val="TextoNormal"/>
      </w:pPr>
      <w:r>
        <w:t>En relación con esta queja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117.3 CE, corresponden en exclusiva a los órganos judiciales (por todas,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 por todas).</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citadas SSTC 219/2000, FJ 5; 151/2001, FJ 3; 163/2003, FJ 4; 15/2006, FJ 4; 231/2006, FJ 2; y 62/2010, FJ 4. En tal sentido hemos afirmado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w:t>
      </w:r>
      <w:r>
        <w:lastRenderedPageBreak/>
        <w:t>las premisas fácticas y jurídicas que permitieron obtener una determinada conclusión”, pues lo juzgado viene configurado por el fallo y su fundamento determinante (STC 207/2000, de 24 de julio, FJ 2). Por ello, y como se desprende de la doctrina citada, la intangibilidad de lo decidido en una resolución judicial firme no afecta sólo al contenido del fallo, sino que también se proyecta sobre aquellos pronunciamientos que constituyen ratio decidendi de la resolución, aunque no se trasladen al fallo (STC 15/2006, FJ 6) o sobre los que, aun no constituyendo el objeto mismo del proceso, resultan determinantes para la decisión adoptada (STC 62/2010,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recurrente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7</w:t>
      </w:r>
      <w:r>
        <w:t>. La respuesta a la anterior cuestión ha de ser negativa pues, como veremos, el análisis de las resoluciones judiciales dictadas por el Tribunal sentenciador en el proceso de ejecución de las penas privativas de libertad impuestas al recurrente muestra que, antes de dictar las resoluciones judiciales impugnadas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recurrente y el Ministerio Fiscal, y hemos recogido en los antecedentes de esta resolución, una vez examinadas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Azkargorta Belategui fue condenado en junio de 1990 a las penas de veinte años de reclusión menor, once años de prisión mayor y seis años de prisión menor, tras ser considerado autor un delito de atentado con resultado de muerte, de un delito de asesinato frustrado y de un delito de terrorismo con resultado de daños.</w:t>
      </w:r>
    </w:p>
    <w:p w:rsidR="00D06117" w:rsidRDefault="00D06117" w:rsidP="00D06117">
      <w:pPr>
        <w:pStyle w:val="TextoNormal"/>
      </w:pPr>
    </w:p>
    <w:p w:rsidR="00D06117" w:rsidRDefault="00D06117" w:rsidP="00D06117">
      <w:pPr>
        <w:pStyle w:val="TextoNormal"/>
      </w:pPr>
      <w:r>
        <w:t>b) Puesto que también había sido condenado por la misma Sala y Sección de la Audiencia Nacional en otro proceso a pena de siete años de prisión mayor por delito de colaboración con banda armada, por hechos que pudieron ser objeto de uno sólo, el Tribunal sentenciador, por Auto de 7 de octubre de 1996, procedió a fijar en treinta años el límite máximo de cumplimiento de todas las condenas, de conformidad con lo dispuesto en los arts. 17.5 y 988 LECrim y el art. 70, regla 2, CP 1973.</w:t>
      </w:r>
    </w:p>
    <w:p w:rsidR="00D06117" w:rsidRDefault="00D06117" w:rsidP="00D06117">
      <w:pPr>
        <w:pStyle w:val="TextoNormal"/>
      </w:pPr>
    </w:p>
    <w:p w:rsidR="00D06117" w:rsidRDefault="00D06117" w:rsidP="00D06117">
      <w:pPr>
        <w:pStyle w:val="TextoNormal"/>
      </w:pPr>
      <w:r>
        <w:lastRenderedPageBreak/>
        <w:t>c) Finalmente, en lo que atañe al Auto de 11 de julio de 1996, ha de señalarse que este acordó no haber lugar a la revisión de las penas impuestas al demandante por considerar que, dados los hechos enjuiciados y las penas que le habían sido impuestas, no eran más favorables las previsiones punitivas del Código penal de 1995, y lo que ahora se destaca es que esa resolución se dictó con anterioridad a que se acordara la acumulación de condenas impuestas al demandante de amparo, de manera que el órgano judicial no pudo fijar un criterio sobre la forma de cómputo de redenciones en penas acumuladas.</w:t>
      </w:r>
    </w:p>
    <w:p w:rsidR="00D06117" w:rsidRDefault="00D06117" w:rsidP="00D06117">
      <w:pPr>
        <w:pStyle w:val="TextoNormal"/>
      </w:pPr>
    </w:p>
    <w:p w:rsidR="00D06117" w:rsidRDefault="00D06117" w:rsidP="00D06117">
      <w:pPr>
        <w:pStyle w:val="TextoNormal"/>
      </w:pPr>
      <w:r>
        <w:t>d) Por Auto del Tribunal sentenciador de 4 de febrero de 2004 se ordenó practicar liquidación de condena al señor Azkargorta Belategui, en la que se incluyese como de cumplimiento el periodo en el que se encontró en el año 2003 en libertad condicional. Practicada la liquidación de condena, fue aprobada por providencia de 25 de marzo de 2004, fijando como fecha prevista para el cumplimiento de la condena de treinta años el 13 de abril de 2018.</w:t>
      </w:r>
    </w:p>
    <w:p w:rsidR="00D06117" w:rsidRDefault="00D06117" w:rsidP="00D06117">
      <w:pPr>
        <w:pStyle w:val="TextoNormal"/>
      </w:pPr>
    </w:p>
    <w:p w:rsidR="00D06117" w:rsidRDefault="00D06117" w:rsidP="00D06117">
      <w:pPr>
        <w:pStyle w:val="TextoNormal"/>
      </w:pPr>
      <w:r>
        <w:t>e) No hay ninguna otra resolución judicial relevante del Tribunal sentenciador en la ejecutoria hasta que, mediante la providencia de 16 de junio de 2006 que se recurre en amparo, el Tribunal, en respuesta a la consulta sobre cumplimiento definitivo de condena del recurrente realizada por el centro penitenciario en el que se encontraba en ese momento interno, determinó que resulta de aplicación el criterio de la Sentencia núm. 197/2006, de 28 de febrero, de la Sala de lo Penal del Tribunal Supremo. Lo que determina que la fecha de cumplimiento y excarcelación es el 13 de abril de 2018 (treinta años después de ingresar en prisión).</w:t>
      </w:r>
    </w:p>
    <w:p w:rsidR="00D06117" w:rsidRDefault="00D06117" w:rsidP="00D06117">
      <w:pPr>
        <w:pStyle w:val="TextoNormal"/>
      </w:pPr>
    </w:p>
    <w:p w:rsidR="00D06117" w:rsidRDefault="00D06117" w:rsidP="00D06117">
      <w:pPr>
        <w:pStyle w:val="TextoNormal"/>
      </w:pPr>
      <w:r w:rsidRPr="00D06117">
        <w:rPr>
          <w:rStyle w:val="NumeroAFNegritaCaracter"/>
        </w:rPr>
        <w:t>8</w:t>
      </w:r>
      <w:r>
        <w:t>.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el Tribunal sentenciador, las computó sucesivamente sobre las penas impuestas al recurrente a efectos de liquidación de condena. El efecto práctico, como ya se ha dicho, es que las penas que sumaban un total de cuarenta y cuatro años de privación de libertad, a las que se había fijado </w:t>
      </w:r>
      <w:r>
        <w:lastRenderedPageBreak/>
        <w:t>un límite máximo de cumplimiento de treinta años, han sido dadas por extinguidas a los treinta años de ingresar el penado en prisión por estas causas (en abril de 1988).</w:t>
      </w:r>
    </w:p>
    <w:p w:rsidR="00D06117" w:rsidRDefault="00D06117" w:rsidP="00D06117">
      <w:pPr>
        <w:pStyle w:val="TextoNormal"/>
      </w:pPr>
    </w:p>
    <w:p w:rsidR="00D06117" w:rsidRDefault="00D06117" w:rsidP="00D06117">
      <w:pPr>
        <w:pStyle w:val="TextoNormal"/>
      </w:pPr>
      <w:r>
        <w:t>b) Por lo que respecta al Auto de 7 de octubre de 1996 de acumulación de condenas y fijación del límite máximo de cumplimiento, que cita el Ministerio Fiscal como resolución firme e intangible que ha sido ilegítimamente desconocida, se limita a hacer efectiva la previsión legal (art. 988 LECrim y art.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c) Por lo que se refiere al Auto de 11 de julio de 1996 por el que se acordó no haber lugar a la revisión de las penas impuestas (anterior, por tanto, al Auto de acumulación de condenas) por considerar que, dados los hechos enjuiciados y las penas que le habían sido impuestas, no eran más favorables las previsiones punitivas del Código penal de 1995, es claro que ni en el fallo de esta resolución se realiza pronunciamiento alguno acerca del criterio de cómputo de las redenciones (porque no era éste su objeto), ni de su fundamentación jurídica puede concluirse que la decisión de no revisar las condenas se sustentara en un determinado criterio de cómputo de las redenciones que resulte determinante o decisivo para considerar o no más favorable el Código penal de 1973. No podía ser de otra forma, pues la comparación de las penas impuestas al recurrente con las previstas en el Código penal de 1995 evidencia que la ratio de la decisión de no revisar las penas impuestas no fue otra que la constatación de que el nuevo Código penal no rebajó en ningún caso las penas previstas para los delitos de terrorismo sino, si cabe, las endureció respecto a la regulación penal precedente.</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
      </w:pPr>
      <w:r w:rsidRPr="00D06117">
        <w:rPr>
          <w:rStyle w:val="NumeroAFNegritaCaracter"/>
        </w:rPr>
        <w:t>9</w:t>
      </w:r>
      <w:r>
        <w:t>. La misma suerte desestimatoria debe seguir la queja planteada en el último motivo de la demanda de amparo, según la cual el nuevo criterio de cómputo de las redenciones que le ha sido aplicado al recurrente deja sin efecto práctico las redenciones y la libertad condicional, lo cual vulneraría el art. 25.2 CE en cuanto prevé que las penas privativas de libertad y las medidas de seguridad estarán orientadas hacia la reeducación y reinserción social, de suerte que las resoluciones judiciales impugnadas niegan “el carácter incentivador y reinsertador de las redenciones al no tener ninguna plasmación como beneficio penitenciario en el acortamiento de la condena”.</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w:t>
      </w:r>
      <w:r>
        <w:lastRenderedPageBreak/>
        <w:t>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t>Desde luego, no puede el recurrente alegar tal efecto en su caso, pues la simple lectura de las actuaciones pone de relieve que las penas que le fueron impuestas sumaban en total cuarenta y cuatro años de privación de libertad y su licenciamiento definitivo ha sido fijado para una fecha en la que llevará extinguidos treinta años de privación efectiva de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Luis María Azkargorta Belategui.</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8345-2006.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7" w:name="SENTENCIA_2012_44"/>
      <w:r>
        <w:lastRenderedPageBreak/>
        <w:t>SENTENCIA 44/2012, de 29 de marzo de 2012</w:t>
      </w:r>
    </w:p>
    <w:bookmarkEnd w:id="4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ECLI:ES:TC:2012:44</w:t>
      </w:r>
    </w:p>
    <w:p w:rsidR="00D06117" w:rsidRDefault="00D06117" w:rsidP="00D06117">
      <w:pPr>
        <w:pStyle w:val="SntesisDescriptiva"/>
      </w:pPr>
    </w:p>
    <w:p w:rsidR="00D06117" w:rsidRDefault="00D06117" w:rsidP="00D06117">
      <w:pPr>
        <w:pStyle w:val="SntesisDescriptiva"/>
      </w:pPr>
      <w:r>
        <w:t>Recurso de amparo 10112-2006. Promovido por don Juan Aguirre Aguiriano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5].</w:t>
      </w:r>
    </w:p>
    <w:p w:rsidR="00D06117" w:rsidRDefault="00D06117" w:rsidP="00D06117">
      <w:pPr>
        <w:pStyle w:val="Extracto"/>
      </w:pPr>
    </w:p>
    <w:p w:rsidR="00D06117" w:rsidRDefault="00D06117" w:rsidP="00D06117">
      <w:pPr>
        <w:pStyle w:val="Extracto"/>
      </w:pPr>
      <w:r>
        <w:t>4.</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7].</w:t>
      </w:r>
    </w:p>
    <w:p w:rsidR="00D06117" w:rsidRDefault="00D06117" w:rsidP="00D06117">
      <w:pPr>
        <w:pStyle w:val="Extracto"/>
      </w:pPr>
    </w:p>
    <w:p w:rsidR="00D06117" w:rsidRDefault="00D06117" w:rsidP="00D06117">
      <w:pPr>
        <w:pStyle w:val="Extracto"/>
      </w:pPr>
      <w:r>
        <w:t>5.</w:t>
      </w:r>
      <w:r>
        <w:tab/>
        <w:t xml:space="preserve">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w:t>
      </w:r>
      <w:r>
        <w:lastRenderedPageBreak/>
        <w:t>y su evolución muestren que se hallan en condiciones de hacer vida honrada en libertad [FJ 7].</w:t>
      </w:r>
    </w:p>
    <w:p w:rsidR="00D06117" w:rsidRDefault="00D06117" w:rsidP="00D06117">
      <w:pPr>
        <w:pStyle w:val="Extracto"/>
      </w:pPr>
    </w:p>
    <w:p w:rsidR="00D06117" w:rsidRDefault="00D06117" w:rsidP="00D06117">
      <w:pPr>
        <w:pStyle w:val="Extracto"/>
      </w:pPr>
      <w:r>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7.</w:t>
      </w:r>
      <w:r>
        <w:tab/>
        <w:t>No se ha vulnerado el derecho a la legalidad de las infracciones y sanciones  por aplicación retroactiva del art. 78 CP 1995, pues la prohibición de retroactividad de la ley penal desfavorable consagrada en el art. 25.1 CE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4].</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4].</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4].</w:t>
      </w:r>
    </w:p>
    <w:p w:rsidR="00D06117" w:rsidRDefault="00D06117" w:rsidP="00D06117">
      <w:pPr>
        <w:pStyle w:val="Extracto"/>
      </w:pPr>
    </w:p>
    <w:p w:rsidR="00D06117" w:rsidRDefault="00D06117" w:rsidP="00D06117">
      <w:pPr>
        <w:pStyle w:val="Extracto"/>
      </w:pPr>
      <w:r>
        <w:t>13.</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10112-2006, promovido por don Juan Aguirre Aguiriano, representado por el Procurador de los Tribunales don José Javier Cuevas Rivas y asistido por el Letrado don Iker Sarriegui Echabe, contra el Auto de la Sección Primera de la Sala de lo Penal de la Audiencia Nacional del 10 de octubre 2006 (ejecutoria núm.107-1979) desestimando el recurso de súplica interpuesto contra la providencia del mismo Tribunal de 19 de septiembre de 2006 que denegaba licenciamiento definitivo. Ha intervenido el Fiscal ante el Tribunal Constitucional.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la representación de don Juan Aguirre Aguiriano se interpuso demanda de amparo por vulneración de los derechos fundamentales a la igualdad en la aplicación de la ley (art. 14 CE), a la libertad individual (art. 17.1 CE), a la tutela judicial efectiva e interdicción de la indefensión (art. 24.1 CE), al proceso con todas las garantías, en vertiente de revisión de la condena penal (art. 24.2 CE), al principio de legalidad penal (art. 25.1 CE), al principio de orientación de las penas privativas de libertad y medidas de seguridad a la reeducación y reinserción (art. 25.2 CE), contra el Auto de la Sección Primera de la Sala de lo Penal de la Audiencia Nacional del 10 octubre de 2006 (ejecutoria núm.107-1979) que desestimó el recurso de súplica interpuesto contra la providencia del mismo Tribunal de 19 septiembre 2006 que denegaba el licenciamiento definitivo para el 28 de octubre de 2006, defiriéndolo al 3 de mayo de 2011, como consecuencia de la aplicación de la doctrina derivada de la Sentencia de la Sala Segunda del Tribunal Supremo núm.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procesales de este recurso son, sucintamente expuestos, los siguientes:</w:t>
      </w:r>
    </w:p>
    <w:p w:rsidR="00D06117" w:rsidRDefault="00D06117" w:rsidP="00D06117">
      <w:pPr>
        <w:pStyle w:val="TextoNormal"/>
      </w:pPr>
    </w:p>
    <w:p w:rsidR="00D06117" w:rsidRDefault="00D06117" w:rsidP="00D06117">
      <w:pPr>
        <w:pStyle w:val="TextoNormal"/>
      </w:pPr>
      <w:r>
        <w:t>a) El demandante fue condenado por: Sentencia núm. 51/1983, de 11 abril, de la Sección Primera de la Sala de lo Penal de la Audiencia Nacional (sumario núm. 230-1981, del Juzgado Central de Instrucción núm. 1) por estragos y depósito de armas de guerra, a las penas de tres años de prisión menor, y siete años de prisión mayor, y al pago de la parte proporcional de las costas; Sentencia núm. 24/1986, de 30 abril, de la Sección Primera de la Sala de lo Penal de la Audiencia Nacional (sumario 117-1981 del Juzgado Central de Instrucción núm. 1) por homicidio y lesiones imprudentes a veintitrés años de reclusión mayor y siete años de prisión mayor, accesorias, al pago de un tercio de las costas e indemnización solidaria de 15 y 36 millones de pesetas; Sentencia núm. 27/1994, de 28 abril, de la Sección Segunda de la Sala de lo Penal de la Audiencia Nacional (sumario núm. 62-1980 del Juzgado Central de Instrucción núm. 2) por utilización ilegítima de vehículo a motor, detención ilegal y asesinato alevoso y premeditado, a las penas de seis años de prisión menor y dos años de privación del permiso de conducir, tres años de prisión menor, y treinta años de reclusión mayor, con accesorias, e indemnización de 20 millones de pesetas a los herederos de la víctima; Sentencia núm. 6/1995, de 16 febrero, de la Sección Primera de la Sala de lo Penal de la Audiencia Nacional (sumario núm. 107-1979 del Juzgado Central de Instrucción núm.1) por asesinato a la pena de veintinueve años de reclusión mayor, accesorias, pago de una cuarta parte de las costas, e indemnización solidaria de 15 millones de pesetas a la esposa de la víctima. La referida resolución fue firme por Auto de 27 abril 1995 de la Sección Primera de la Sala de lo Penal de la Audiencia Nacional.</w:t>
      </w:r>
    </w:p>
    <w:p w:rsidR="00D06117" w:rsidRDefault="00D06117" w:rsidP="00D06117">
      <w:pPr>
        <w:pStyle w:val="TextoNormal"/>
      </w:pPr>
    </w:p>
    <w:p w:rsidR="00D06117" w:rsidRDefault="00D06117" w:rsidP="00D06117">
      <w:pPr>
        <w:pStyle w:val="TextoNormal"/>
      </w:pPr>
      <w:r>
        <w:t>b) Mediante providencia de 4 de junio de 1996 la Sección Primera de la Sala de lo Penal de la Audiencia Nacional acordó que se procediese, conforme al art. 988.3 de la Ley de enjuiciamiento criminal (en adelante LECrim), a la acumulación de las diversas penas impuestas al señor Aguirre Aguiriano en distintas causas, por razón de conexión.</w:t>
      </w:r>
    </w:p>
    <w:p w:rsidR="00D06117" w:rsidRDefault="00D06117" w:rsidP="00D06117">
      <w:pPr>
        <w:pStyle w:val="TextoNormal"/>
      </w:pPr>
    </w:p>
    <w:p w:rsidR="00D06117" w:rsidRDefault="00D06117" w:rsidP="00D06117">
      <w:pPr>
        <w:pStyle w:val="TextoNormal"/>
      </w:pPr>
      <w:r>
        <w:t xml:space="preserve">Remitida la hoja de cálculo de penas del centro penitenciario de Tenerife II, de 10 abril de 1996, y el certificado del Registro Central de penados y rebeldes, de 27 de junio de 1996, </w:t>
      </w:r>
      <w:r>
        <w:lastRenderedPageBreak/>
        <w:t>en providencia de 27 septiembre de 1996 la Sección Primera de la Sala lo Penal de Audiencia Nacional acordó su unión a la ejecutoria núm. 107-1979.</w:t>
      </w:r>
    </w:p>
    <w:p w:rsidR="00D06117" w:rsidRDefault="00D06117" w:rsidP="00D06117">
      <w:pPr>
        <w:pStyle w:val="TextoNormal"/>
      </w:pPr>
    </w:p>
    <w:p w:rsidR="00D06117" w:rsidRDefault="00D06117" w:rsidP="00D06117">
      <w:pPr>
        <w:pStyle w:val="TextoNormal"/>
      </w:pPr>
      <w:r>
        <w:t>c) En providencia de 25 de noviembre de 1996, la Sección Primera de la Sala de lo Penal de la Audiencia Nacional acordó el traslado al Ministerio Fiscal para informe sobre “la acumulación de las penas impuestas en las referidas causas y del límite de cumplimiento de pena” del señor Aguirre Aguiriano. En informe de 22 diciembre de 1996 el representante del Ministerio público interesó la acumulación de las penas impuestas en los sumarios núm. 62-1980, 230-1981 y 117-1981 a la ejecutoria núm. 107-1979, para la fijación del límite de cumplimiento de penas impuestas.</w:t>
      </w:r>
    </w:p>
    <w:p w:rsidR="00D06117" w:rsidRDefault="00D06117" w:rsidP="00D06117">
      <w:pPr>
        <w:pStyle w:val="TextoNormal"/>
      </w:pPr>
    </w:p>
    <w:p w:rsidR="00D06117" w:rsidRDefault="00D06117" w:rsidP="00D06117">
      <w:pPr>
        <w:pStyle w:val="TextoNormal"/>
      </w:pPr>
      <w:r>
        <w:t>d) Por Auto de 15 enero de 1997 la Sección Primera de la Sala de lo Penal de la Audiencia Nacional declaró la conexión de los delitos cometidos en las referidas causas, y la procedencia a la acumulación de dichas condenas impuestas al señor Aguirre Aguiriano, conforme al art. 988 de la LECrim en relación con el art. 70.2 del Código penal (en adelante CP) de 1973, fijando en treinta años el tiempo total de privación de libertad de cumplimiento de las penas impuestas.</w:t>
      </w:r>
    </w:p>
    <w:p w:rsidR="00D06117" w:rsidRDefault="00D06117" w:rsidP="00D06117">
      <w:pPr>
        <w:pStyle w:val="TextoNormal"/>
      </w:pPr>
    </w:p>
    <w:p w:rsidR="00D06117" w:rsidRDefault="00D06117" w:rsidP="00D06117">
      <w:pPr>
        <w:pStyle w:val="TextoNormal"/>
      </w:pPr>
      <w:r>
        <w:t>e) En providencia de 9 de abril de 1997 de la Sección Primera de la Sala de lo Penal de la Audiencia Nacional acordó dar traslado para audiencia a la parte y al Ministerio Fiscal sobre la disposición transitoria cuarta de la Ley Orgánica 10/1995 de 23 noviembre (Código penal de más favorable aplicación), respetando las redenciones obtenidas antes del 25 de mayo de 1996. En informe evacuado el 8 abril 1997 el Ministerio Fiscal interesó aplicar el Código penal de 1973, sin que el señor Aguirre manifestase nada al respecto.</w:t>
      </w:r>
    </w:p>
    <w:p w:rsidR="00D06117" w:rsidRDefault="00D06117" w:rsidP="00D06117">
      <w:pPr>
        <w:pStyle w:val="TextoNormal"/>
      </w:pPr>
    </w:p>
    <w:p w:rsidR="00D06117" w:rsidRDefault="00D06117" w:rsidP="00D06117">
      <w:pPr>
        <w:pStyle w:val="TextoNormal"/>
      </w:pPr>
      <w:r>
        <w:t>f) En Auto de 17 de junio de 1997 la Sección Primera de la Sala de lo Penal de la Audiencia Nacional decretó la improcedencia de la revisión de las penas impuestas en los sumarios 117-1981, 230-1981, 62-1980 y 117-1979 como consecuencia de la entrada en vigor de Ley Orgánica 10/1995, estimando que en todo caso le resultaba aplicable el límite máximo de cumplimiento de treinta años.</w:t>
      </w:r>
    </w:p>
    <w:p w:rsidR="00D06117" w:rsidRDefault="00D06117" w:rsidP="00D06117">
      <w:pPr>
        <w:pStyle w:val="TextoNormal"/>
      </w:pPr>
    </w:p>
    <w:p w:rsidR="00D06117" w:rsidRDefault="00D06117" w:rsidP="00D06117">
      <w:pPr>
        <w:pStyle w:val="TextoNormal"/>
      </w:pPr>
      <w:r>
        <w:t>g) Mediante providencia de 22 de abril de 1997, la Sección Primera de la Sala de lo Penal de la Audiencia Nacional declaró la firmeza del Auto de 15 enero 1997, oficiando al centro penitenciario de Tenerife II para que informase sobre la prisión preventiva abonable al penado.</w:t>
      </w:r>
    </w:p>
    <w:p w:rsidR="00D06117" w:rsidRDefault="00D06117" w:rsidP="00D06117">
      <w:pPr>
        <w:pStyle w:val="TextoNormal"/>
      </w:pPr>
    </w:p>
    <w:p w:rsidR="00D06117" w:rsidRDefault="00D06117" w:rsidP="00D06117">
      <w:pPr>
        <w:pStyle w:val="TextoNormal"/>
      </w:pPr>
      <w:r>
        <w:t>Mediante providencia de 2 de septiembre de 1997 la Sección Primera de la Sala de lo Penal de la Audiencia Nacional decretó la firmeza del Auto de 17 junio 1997, oficiando —de nuevo— al centro penitenciario para que informase sobre la prisión preventiva abonable al señor Aguirre. En oficio de 17 de octubre de 1997 el centro penitenciario de Tenerife II hizo constar como fecha de inicio de cumplimiento de don Juan Aguirre Aguiriano, a efectos de liquidación de condena, el 11 de mayo de 1981.</w:t>
      </w:r>
    </w:p>
    <w:p w:rsidR="00D06117" w:rsidRDefault="00D06117" w:rsidP="00D06117">
      <w:pPr>
        <w:pStyle w:val="TextoNormal"/>
      </w:pPr>
    </w:p>
    <w:p w:rsidR="00D06117" w:rsidRDefault="00D06117" w:rsidP="00D06117">
      <w:pPr>
        <w:pStyle w:val="TextoNormal"/>
      </w:pPr>
      <w:r>
        <w:t xml:space="preserve">h) Por razón de la providencia de 3 noviembre de 1997 la Sección Primera de la Sala de lo Penal de la Audiencia Nacional procedió a practicar la liquidación de la condena refundida del señor Aguirre, extendiendo diligencia de constancia del Secretario Judicial en la que reflejaba que comenzó a cumplir el 11 de mayo de 1981, y, por aplicación del art. 70 regla 2 CP 1973 (relativo al máximo de cumplimiento de treinta años) “los dejará cumplidos </w:t>
      </w:r>
      <w:r>
        <w:lastRenderedPageBreak/>
        <w:t>(s.e.u.o.) el día 3 de mayo de 2011, fecha en que deberá ser puesto en libertad”. En informe del Ministerio Fiscal de 14 de noviembre de 1997 interesaba la aprobación de tal liquidación de la condena refundida practicada. Por providencia de 18 de noviembre de 1997 la Sección Primera de la Sala de lo Penal de la Audiencia Nacional aprobó la liquidación de condena practicada a don Juan Aguirre Aguiriano, remitiendo testimonio al centro penitenciario.</w:t>
      </w:r>
    </w:p>
    <w:p w:rsidR="00D06117" w:rsidRDefault="00D06117" w:rsidP="00D06117">
      <w:pPr>
        <w:pStyle w:val="TextoNormal"/>
      </w:pPr>
    </w:p>
    <w:p w:rsidR="00D06117" w:rsidRDefault="00D06117" w:rsidP="00D06117">
      <w:pPr>
        <w:pStyle w:val="TextoNormal"/>
      </w:pPr>
      <w:r>
        <w:t>i) En providencia de la Sección Primera de la Sala de lo Penal de la Audiencia Nacional de 17 de febrero de 2000 se hace constar la insolvencia —entre otros— de don Juan Aguirre Aguiriano, sin satisfacción de la responsabilidad civil derivada de la Sentencia del sumario núm. 107-1979. Por providencia de 18 de diciembre de 2000, y con el dictamen favorable del Ministerio Fiscal (de 15 de diciembre de 2000), la Sección Primera de la Sala de lo Penal de la Audiencia Nacional acuerda el archivo de la ejecutoria núm. 107-1979.</w:t>
      </w:r>
    </w:p>
    <w:p w:rsidR="00D06117" w:rsidRDefault="00D06117" w:rsidP="00D06117">
      <w:pPr>
        <w:pStyle w:val="TextoNormal"/>
      </w:pPr>
    </w:p>
    <w:p w:rsidR="00D06117" w:rsidRDefault="00D06117" w:rsidP="00D06117">
      <w:pPr>
        <w:pStyle w:val="TextoNormal"/>
      </w:pPr>
      <w:r>
        <w:t>j) Mediante oficio del centro penitenciario de Nanclares de la Oca (donde fue trasladado ulteriormente el penado señor Aguirre Aguiriano) de 16 de agosto de 2006 se comunicó a la Sección Primera de la Sala de lo Penal de la Audiencia Nacional que la fecha de licenciamiento definitivo del señor Aguirre Aguiriano “atendiendo a criterios anteriores a la Sentencia de la Sala Segunda del Tribunal Supremo de 28 de febrero de 2006” estaba prevista para el 28 de octubre de 2006 (mientras que aplicando el nuevo criterio del Tribunal Supremo sería el 15 octubre de 2058, excediéndose del límite máximo señalado en Auto de 15 de enero de 1997, que señalaba el 5 de mayo de 2011). Para justificar dichos cálculos se acompañaba hoja de cuentas, de 9 de agosto de 2006, y documental de las redenciones ordinarias y extraordinarias abonadas al señor Aguirre.</w:t>
      </w:r>
    </w:p>
    <w:p w:rsidR="00D06117" w:rsidRDefault="00D06117" w:rsidP="00D06117">
      <w:pPr>
        <w:pStyle w:val="TextoNormal"/>
      </w:pPr>
    </w:p>
    <w:p w:rsidR="00D06117" w:rsidRDefault="00D06117" w:rsidP="00D06117">
      <w:pPr>
        <w:pStyle w:val="TextoNormal"/>
      </w:pPr>
      <w:r>
        <w:t>k) En providencia de 6 de septiembre de 2006 la Sección Primera de la Sala de lo Penal de la Audiencia Nacional acordó el traslado al Ministerio Fiscal para informe sobre la aprobación de licenciamiento propuesto por el centro penitenciario de Nanclares de la Oca. En informe evacuado el 15 de septiembre de 2006 el Fiscal interesó la aplicación del nuevo criterio establecido en la Sentencia de la Sala Segunda del Tribunal Supremo de 28 de febrero de 2006, y que se fijase como fecha de licenciamiento definitivo del señor Aguirre el 3 de mayo de 2011.</w:t>
      </w:r>
    </w:p>
    <w:p w:rsidR="00D06117" w:rsidRDefault="00D06117" w:rsidP="00D06117">
      <w:pPr>
        <w:pStyle w:val="TextoNormal"/>
      </w:pPr>
    </w:p>
    <w:p w:rsidR="00D06117" w:rsidRDefault="00D06117" w:rsidP="00D06117">
      <w:pPr>
        <w:pStyle w:val="TextoNormal"/>
      </w:pPr>
      <w:r>
        <w:t>l) En providencia de 19 de septiembre de 2006 (notificada el 21 de septiembre de 2006) la Sección Primera de la Sala lo Penal de la Audiencia Nacional acordó licenciamiento definitivo de don Juan Aguirre Aguiriano para el 3 mayo 2011.</w:t>
      </w:r>
    </w:p>
    <w:p w:rsidR="00D06117" w:rsidRDefault="00D06117" w:rsidP="00D06117">
      <w:pPr>
        <w:pStyle w:val="TextoNormal"/>
      </w:pPr>
    </w:p>
    <w:p w:rsidR="00D06117" w:rsidRDefault="00D06117" w:rsidP="00D06117">
      <w:pPr>
        <w:pStyle w:val="TextoNormal"/>
      </w:pPr>
      <w:r>
        <w:t xml:space="preserve">m) En escrito presentado el 26 de septiembre de 2006 en la Audiencia Nacional, la representación del señor Aguirre Anguiano interpuso recurso de súplica contra la anterior providencia de 19 de septiembre de 2006, por vulneración del principio de seguridad jurídica, del derecho a la libertad, del principio de legalidad penal e irretroactividad de las normas, del derecho a la igualdad, del derecho a la intangibilidad de las resoluciones judiciales como vertiente de la tutela judicial efectiva, al considerar que se trata de una innovación en contra del reo y contraria al criterio consolidado por el Tribunal Supremo (SSTS 1985/1992, 529/1994, y 1458/2002,) de que “la pena refundida resultante de la aplicación del art. 70. 2 CP 1973, con límite de 30 años, es una pena nueva y autónoma, a la que se deben aplicar los beneficios penitenciarios de redención de penas y condena condicional”; produciéndose en realidad una aplicación retroactiva del art. 78 del Código penal de 1995. Insiste en la revocación de la providencia de “28. 7. 2006”, al haber pasado el señor Aguirre más de </w:t>
      </w:r>
      <w:r>
        <w:lastRenderedPageBreak/>
        <w:t>veinticinco años en prisión, tener ya 64 años, siendo su situación sanitaria muy preocupante, debiendo estimarse cumplida la condena el 28 de octubre de 2006.</w:t>
      </w:r>
    </w:p>
    <w:p w:rsidR="00D06117" w:rsidRDefault="00D06117" w:rsidP="00D06117">
      <w:pPr>
        <w:pStyle w:val="TextoNormal"/>
      </w:pPr>
    </w:p>
    <w:p w:rsidR="00D06117" w:rsidRDefault="00D06117" w:rsidP="00D06117">
      <w:pPr>
        <w:pStyle w:val="TextoNormal"/>
      </w:pPr>
      <w:r>
        <w:t>El Ministerio Fiscal mediante escrito de 4 de octubre de 2006 interesó el mantenimiento de la providencia de 19 de septiembre de 2006.</w:t>
      </w:r>
    </w:p>
    <w:p w:rsidR="00D06117" w:rsidRDefault="00D06117" w:rsidP="00D06117">
      <w:pPr>
        <w:pStyle w:val="TextoNormal"/>
      </w:pPr>
    </w:p>
    <w:p w:rsidR="00D06117" w:rsidRDefault="00D06117" w:rsidP="00D06117">
      <w:pPr>
        <w:pStyle w:val="TextoNormal"/>
      </w:pPr>
      <w:r>
        <w:t>Mediante Auto de 10 octubre de 2006 la Sección Primera de la Sala de lo Penal de la Audiencia Nacional (notificado el 13 de octubre de 2006), desestimó el recurso de súplica al entender que la providencia recurrida se adaptaba a la doctrina de la Sentencia de la Sala Segunda del Tribunal Supremo de 28 febrero 2006 que establece la forma de cumplimiento, empezando por la pena más grave, a la que se aplican los beneficios y redenciones que procedan, y una vez extinguida la primera, se debe dar comienzo cumplimiento de la siguiente, y así sucesivamente hasta que se alcancen las limitaciones de la regla 2 del art. 70 CP 1973.</w:t>
      </w:r>
    </w:p>
    <w:p w:rsidR="00D06117" w:rsidRDefault="00D06117" w:rsidP="00D06117">
      <w:pPr>
        <w:pStyle w:val="TextoNormal"/>
      </w:pPr>
    </w:p>
    <w:p w:rsidR="00D06117" w:rsidRDefault="00D06117" w:rsidP="00D06117">
      <w:pPr>
        <w:pStyle w:val="TextoNormal"/>
      </w:pPr>
      <w:r w:rsidRPr="00D06117">
        <w:rPr>
          <w:rStyle w:val="NumeroAFNegritaCaracter"/>
        </w:rPr>
        <w:t>3</w:t>
      </w:r>
      <w:r>
        <w:t>. El 8 de noviembre de 2006 se presentó por la representación del señor Aguirre recurso de amparo contra el Auto de 10 octubre de 2006 y contra la providencia de 19 de septiembre de 2006, de la Sección Primera de la Sala de lo Penal de la Audiencia Nacional, por considerar que vulneraban sus derechos fundamentales a la igualdad (art. 14 CE) en relación con la libertad y la seguridad (art. 17.1 CE), y a la tutela judicial efectiva e interdicción de la indefensión (art. 24.1 CE) y al derecho de defensa (art. 24.2 CE), así como del principio de legalidad (art. 25.1 CE) y del sentido y finalidad de las penas privativas de libertad (art. 25.2 CE).</w:t>
      </w:r>
    </w:p>
    <w:p w:rsidR="00D06117" w:rsidRDefault="00D06117" w:rsidP="00D06117">
      <w:pPr>
        <w:pStyle w:val="TextoNormal"/>
      </w:pPr>
    </w:p>
    <w:p w:rsidR="00D06117" w:rsidRDefault="00D06117" w:rsidP="00D06117">
      <w:pPr>
        <w:pStyle w:val="TextoNormal"/>
      </w:pPr>
      <w:r>
        <w:t>En su extenso escrito de demanda, tras la exposición de los antecedentes fácticos y argumentación sobre el cumplimiento de los requisitos procesales (aportando documental), considera, en primer lugar, vulnerada la tutela judicial efectiva y el derecho a un proceso con las debidas garantías, en relación con el derecho a la libertad (con cita de numerosa jurisprudencia constitucional), por la adopción de la providencia de 19 septiembre 2006 de licenciamiento definitivo al 3 de mayo de 2011 (aplicando la doctrina de la STS núm. 197/2006), sin haberse acordado traslado a la parte para informe sobre dicha propuesta. Estima así lesionado el derecho al proceso público con todas las garantías, en concreto las de contradicción e igualdad de armas, sin perjuicio de haberse llevado a cabo produciendo una interpretación en contra de reo del Código penal de 1973, frente a la cual el recurrente no ha podido defenderse.</w:t>
      </w:r>
    </w:p>
    <w:p w:rsidR="00D06117" w:rsidRDefault="00D06117" w:rsidP="00D06117">
      <w:pPr>
        <w:pStyle w:val="TextoNormal"/>
      </w:pPr>
    </w:p>
    <w:p w:rsidR="00D06117" w:rsidRDefault="00D06117" w:rsidP="00D06117">
      <w:pPr>
        <w:pStyle w:val="TextoNormal"/>
      </w:pPr>
      <w:r>
        <w:t>Asimismo consideraba vulnerado el derecho al proceso con todas las garantías, y de defensa, en cuanto que el Auto de 10 de octubre de 2006 impuso al recurrente el criterio de la STS de 28 de febrero de 2006, criterio que el señor Aguirre no ha podido —en ningún momento— impugnar en segunda instancia. Además, el caso de Henri Parot (criterio de cumplimiento de condena y la aplicación de redenciones) no sería coincidente con el suyo. En definitiva, nadie habría solicitado en la presente ejecutoria núm. 107-1979 un nuevo cálculo con arreglo al criterio de la STS núm. 197/2006, resultando el presente recurso de amparo la única posibilidad de revisión de aquella resolución, en la que el recurrente se ve indefenso.</w:t>
      </w:r>
    </w:p>
    <w:p w:rsidR="00D06117" w:rsidRDefault="00D06117" w:rsidP="00D06117">
      <w:pPr>
        <w:pStyle w:val="TextoNormal"/>
      </w:pPr>
    </w:p>
    <w:p w:rsidR="00D06117" w:rsidRDefault="00D06117" w:rsidP="00D06117">
      <w:pPr>
        <w:pStyle w:val="TextoNormal"/>
      </w:pPr>
      <w:r>
        <w:t xml:space="preserve">En segundo lugar, considera lesionado el principio de legalidad penal, en relación con los arts. 70.2 y 100 CP 1973, arts. 66 y ss. del reglamento de servicios de prisiones de 1956 </w:t>
      </w:r>
      <w:r>
        <w:lastRenderedPageBreak/>
        <w:t>y art. 202 del reglamento penitenciario de 1981, al considerar que las redenciones y beneficios penitenciarios se han aplicar sobre las condenas a cumplir sucesivamente, y no sobre la única pena de treinta años. Esto constituye una subsunción y aplicación de la norma “ajena a las pautas axiológicas de nuestro ordenamiento constitucional y a la lógica jurídica”, resultando una “interpretación extravagante”, en contra de lo que había sido un criterio único e inveterado, legal y jurisprudencial, respecto a la forma de aplicación de la redención de penas por el trabajo del Código de 1973. En definitiva —dice el recurrente— se produce una vulneración sobrevenida de los arts. 70.2 CP 1973, 17.5 LECrim y 100 CP 1973, amén de un trato discriminatorio para los condenados por hechos graves, al enervarles la aplicación del límite legal —ignorando que dicho límite subsiste en el art. 76 CP 1995. Hasta ahora había resultado pacífico (SSTS núms. 529/1994, 1109/1997, 1778/2002, y 1458/2002), que la pena resultante y sujeta al límite de treinta años, era una nueva pena sobre la que se debían aplicar los beneficios penitenciarios, ya que éstos resultaban “tiempo efectivo de cumplimiento” a computar para la liquidación (unidad de ejecución y unidad de cumplimiento); con la interpretación efectuada, se habría diferenciado el “tiempo de cumplimiento” (limitado a treinta años, sobre los que se aplican las redenciones) del “tiempo de internamiento”, pretendiendo que este último sea efectivamente de treinta años, de lo cual resultaría que ni los permisos ni la libertad condicional resultan computables; lo cual —a su vez— resultaría contrario a los fines rehabilitadores de la pena; y habría supuesto un cambio interpretativo sin modificación de circunstancias fácticas ni normativas. Así el señor Aguirre cumplió 9.302 días efectivamente, a los que se deben añadir 1.648 días de redención ordinaria, resultando 10.950 días de cumplimiento, esto es treinta años, el día 28 de octubre de 2006, fecha en que tendría que haber sido licenciado.</w:t>
      </w:r>
    </w:p>
    <w:p w:rsidR="00D06117" w:rsidRDefault="00D06117" w:rsidP="00D06117">
      <w:pPr>
        <w:pStyle w:val="TextoNormal"/>
      </w:pPr>
    </w:p>
    <w:p w:rsidR="00D06117" w:rsidRDefault="00D06117" w:rsidP="00D06117">
      <w:pPr>
        <w:pStyle w:val="TextoNormal"/>
      </w:pPr>
      <w:r>
        <w:t>En tercer lugar, se denuncia una vulneración del derecho a la tutela judicial efectiva, en la vertiente de intangibilidad de las resoluciones, en relación con el derecho a la libertad, al no tenerse en cuenta las resoluciones de los Juzgados de vigilancia penitenciaria, firmes e intangibles (como en la STC 76/2004), que habrían aprobado redenciones ordinarias y extraordinarias en favor del recurrente. Asimismo el recurrente habría trabajado y estudiado en prisión con la “confianza legítima” de estar redimiendo pena sobre los treinta años; de lo contrario, no habría mantenido la actitud positiva que desarrolló. Además, supone un agravio respecto de otros reclusos que se habrían licenciado inmediatamente antes que él. Al tratarse de redenciones de condena se estaría llevando a cabo una reforma peyorativa que afecta al derecho a la libertad sin motivación alguna, en contra del criterio de la motivación reforzada (STC 174/1989).</w:t>
      </w:r>
    </w:p>
    <w:p w:rsidR="00D06117" w:rsidRDefault="00D06117" w:rsidP="00D06117">
      <w:pPr>
        <w:pStyle w:val="TextoNormal"/>
      </w:pPr>
    </w:p>
    <w:p w:rsidR="00D06117" w:rsidRDefault="00D06117" w:rsidP="00D06117">
      <w:pPr>
        <w:pStyle w:val="TextoNormal"/>
      </w:pPr>
      <w:r>
        <w:t>En cuarto lugar se invoca la vulneración del principio de legalidad penal, por la aplicación retroactiva de la norma penal más desfavorable, en contra del reo. La aplicación del criterio de la STS núm. 197/2006 implica una aplicación retroactiva y fraudulenta del art. 78 CP 1995 a quien estaba siendo penado conforme al Código penal de 1973, y por hechos ejecutados y juzgados conforme a este Código de 1973 (que precisamente era la ley más favorable optada ex disposición transitoria segunda de la Ley Orgánica 10/1995). De hecho, considera que la introducción del art. 78 en el Código penal de 1995, y la ulterior modificación por la Ley Orgánica 7/2003, fue para no aplicar las redenciones a la totalidad de la condena limitada, cosa que permitía el art. 70.2 CP 1973; por lo que se habría llevado a cabo una aplicación retroactiva de la ley penal más desfavorable (tal y como se recoge en el Voto particular de la STS núm. 197/2006).</w:t>
      </w:r>
    </w:p>
    <w:p w:rsidR="00D06117" w:rsidRDefault="00D06117" w:rsidP="00D06117">
      <w:pPr>
        <w:pStyle w:val="TextoNormal"/>
      </w:pPr>
    </w:p>
    <w:p w:rsidR="00D06117" w:rsidRDefault="00D06117" w:rsidP="00D06117">
      <w:pPr>
        <w:pStyle w:val="TextoNormal"/>
      </w:pPr>
      <w:r>
        <w:lastRenderedPageBreak/>
        <w:t>En quinto lugar, invoca la vulneración del derecho a la igualdad en aplicación de la ley, e interdicción de la arbitrariedad (SSTC 144/1988 y 194/2001) por el cambio inmotivado del criterio jurisprudencial, por un mismo órgano. La aplicación del criterio de la STS núm. 197/2006 en la providencia y el Auto de la Audiencia Nacional recurridos rompe —sin motivación— con toda la anterior Jurisprudencia del Supremo sobre la aplicación del art. 70.2 CP 1973 (especialmente tras la entrada en vigor de la Ley Orgánica 10/1995), siendo una interpretación ad personam máxime si el Código penal de 1973 resta en aplicación sólo para unos pocos presos de ETA, sin que se hubiere operado una modificación sustancial de la situación penitenciaria con respecto a otros presos (en concreto los señores Martín Robles y Letona Viteri, componentes del mismo comando de ETA y licenciados en 2004), ni justificado el cambio de criterio.</w:t>
      </w:r>
    </w:p>
    <w:p w:rsidR="00D06117" w:rsidRDefault="00D06117" w:rsidP="00D06117">
      <w:pPr>
        <w:pStyle w:val="TextoNormal"/>
      </w:pPr>
    </w:p>
    <w:p w:rsidR="00D06117" w:rsidRDefault="00D06117" w:rsidP="00D06117">
      <w:pPr>
        <w:pStyle w:val="TextoNormal"/>
      </w:pPr>
      <w:r>
        <w:t>En sexto lugar, considera vulnerado autónomamente el derecho a la libertad, en cuanto que el Tribunal Constitucional ha señalado que el cómputo o no de beneficios penitenciarios afecta directamente a este derecho (SSTC 31/1999 y 76/2004). Partiendo de que la expectativa de libertad puede modificarse en positivo o negativo (acortamiento o alargamiento del cumplimiento), requiere —en todo caso— la observación de criterios legales y jurisprudenciales. Sin embargo, en este supuesto la solicitud de nueva hoja de cálculo por la Sección Primera de la Sala de lo Penal de la Audiencia Nacional ha implicado una nueva reinterpretación del Código penal de 1973, desagregando los beneficios ya consolidados de redención de penas por el trabajo, y haciendo ficticio el límite de treinta años de cumplimiento efectivo; razones por las cuales se ha vulnerado el derecho a la libertad.</w:t>
      </w:r>
    </w:p>
    <w:p w:rsidR="00D06117" w:rsidRDefault="00D06117" w:rsidP="00D06117">
      <w:pPr>
        <w:pStyle w:val="TextoNormal"/>
      </w:pPr>
    </w:p>
    <w:p w:rsidR="00D06117" w:rsidRDefault="00D06117" w:rsidP="00D06117">
      <w:pPr>
        <w:pStyle w:val="TextoNormal"/>
      </w:pPr>
      <w:r>
        <w:t>Finalmente, como séptimo motivo, invoca la vulneración del principio de orientación de las penas privativas de libertad hacia la reeducación y reinserción, en relación con las “Reglas mínimas para tratamiento de los reclusos” elaboradas en el primer Congreso de las Naciones Unidas sobre prevención del delito y tratamiento del delincuente (Ginebra, 1955), y del Pacto internacional de derechos civiles y políticos (PIDCP) de 1966. El art. 70.2 del Código penal de 1973 estaba inspirado en un humanismo penal, de corte terapéutico, contrario a la ejecución de reclusiones excesivamente prolongadas. El trabajo penitenciario, y las redenciones ordinarias y extraordinarias persiguen una finalidad resocializadora. La interpretación adoptada por la providencia y el Auto impugnado dejaría sin efecto estas prevenciones, imponiendo el cumplimiento de condenas superiores a cuarenta y cinco años. El señor Aguirre habría cumplido efectivamente más de veinticinco años y medio en prisión, y habría redimido otros cuatro años y medio, con lo que habría cumplido la finalidad reinsertadora y punitiva, con arreglo a criterios de seguridad, legalidad, proporcionalidad y equidad.</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la Sala Segunda del Tribunal Constitucional de 6 de marzo de 2007 se acordó la admisión a trámite del recurso de amparo, recabando las actuaciones de la Sección Primera de la Sala de lo Penal de la Audiencia Nacional, con emplazamiento a interesados por dicho conducto.</w:t>
      </w:r>
    </w:p>
    <w:p w:rsidR="00D06117" w:rsidRDefault="00D06117" w:rsidP="00D06117">
      <w:pPr>
        <w:pStyle w:val="TextoNormal"/>
      </w:pPr>
    </w:p>
    <w:p w:rsidR="00D06117" w:rsidRDefault="00D06117" w:rsidP="00D06117">
      <w:pPr>
        <w:pStyle w:val="TextoNormal"/>
      </w:pPr>
      <w:r>
        <w:t>Mediante escrito recibido el 13 de marzo de 2007 el Abogado del Estado se personó en las actuaciones.</w:t>
      </w:r>
    </w:p>
    <w:p w:rsidR="00D06117" w:rsidRDefault="00D06117" w:rsidP="00D06117">
      <w:pPr>
        <w:pStyle w:val="TextoNormal"/>
      </w:pPr>
    </w:p>
    <w:p w:rsidR="00D06117" w:rsidRDefault="00D06117" w:rsidP="00D06117">
      <w:pPr>
        <w:pStyle w:val="TextoNormal"/>
      </w:pPr>
      <w:r>
        <w:lastRenderedPageBreak/>
        <w:t>En diligencia de ordenación de la Secretaría de la Sala Segunda del Tribunal Constitucional de 29 marzo 2007 se tuvo por personado y parte a la Abogacía del Estado, dándole vista de las actuaciones, así como al Ministerio Fiscal, por término de 20 días.</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de la representación de don Juan Aguirre Aguiriano, presentado el 3 de mayo de 2007, se solicitaba la suspensión de la ejecución de la providencia de 19 de septiembre de 2006 y el posterior Auto de 10 octubre 2006 de la Sección Primera de la Sala de lo Penal de la Audiencia Nacional, en cuanto que las resoluciones entrañan un perjuicio irreparable para el derecho fundamental a la libertad del recurrente, al imponerle permanecer en prisión una vez licenciado definitivamente. El Ministerio Fiscal se opuso a dicha suspensión por entrañar el otorgamiento anticipado del amparo. El Abogado del Estado solicitó el mantenimiento del recurrente en prisión, en cuanto que el interés general en la efectividad de las resoluciones judiciales firmes no debía ser cuestionado, máxime en atención a la gravedad de los delitos y las penas que se estaban ejecutando.</w:t>
      </w:r>
    </w:p>
    <w:p w:rsidR="00D06117" w:rsidRDefault="00D06117" w:rsidP="00D06117">
      <w:pPr>
        <w:pStyle w:val="TextoNormal"/>
      </w:pPr>
    </w:p>
    <w:p w:rsidR="00D06117" w:rsidRDefault="00D06117" w:rsidP="00D06117">
      <w:pPr>
        <w:pStyle w:val="TextoNormal"/>
      </w:pPr>
      <w:r>
        <w:t>En Auto de la Sala Segunda del Tribunal Constitucional de 18 de junio de 2007 se denegó la suspensión.</w:t>
      </w:r>
    </w:p>
    <w:p w:rsidR="00D06117" w:rsidRDefault="00D06117" w:rsidP="00D06117">
      <w:pPr>
        <w:pStyle w:val="TextoNormal"/>
      </w:pPr>
    </w:p>
    <w:p w:rsidR="00D06117" w:rsidRDefault="00D06117" w:rsidP="00D06117">
      <w:pPr>
        <w:pStyle w:val="TextoNormal"/>
      </w:pPr>
      <w:r w:rsidRPr="00D06117">
        <w:rPr>
          <w:rStyle w:val="NumeroAFNegritaCaracter"/>
        </w:rPr>
        <w:t>6</w:t>
      </w:r>
      <w:r>
        <w:t>. El Fiscal ante el Tribunal Constitucional evacuó el trámite oportuno de alegaciones en escrito de 16 de mayo de 2007, en el cual interesaba el otorgamiento del amparo por vulneración del derecho a la tutela judicial efectiva, en vertiente de ejecución de las resoluciones judiciales en sus propios términos, vulneración del principio de legalidad penal y del derecho a la libertad personal, con anulación de las resoluciones y dictado de otras respetuosas con los derechos fundamentales.</w:t>
      </w:r>
    </w:p>
    <w:p w:rsidR="00D06117" w:rsidRDefault="00D06117" w:rsidP="00D06117">
      <w:pPr>
        <w:pStyle w:val="TextoNormal"/>
      </w:pPr>
    </w:p>
    <w:p w:rsidR="00D06117" w:rsidRDefault="00D06117" w:rsidP="00D06117">
      <w:pPr>
        <w:pStyle w:val="TextoNormal"/>
      </w:pPr>
      <w:r>
        <w:t>Tras la exposición de los hechos, y de las alegaciones del recurrente, sistematiza las quejas, comenzando —por orden inverso—, por la vulneración del principio resocializador de las penas, descartándola en cuanto que el art. 25.2 CE no contiene un derecho fundamental ejercitable.</w:t>
      </w:r>
    </w:p>
    <w:p w:rsidR="00D06117" w:rsidRDefault="00D06117" w:rsidP="00D06117">
      <w:pPr>
        <w:pStyle w:val="TextoNormal"/>
      </w:pPr>
    </w:p>
    <w:p w:rsidR="00D06117" w:rsidRDefault="00D06117" w:rsidP="00D06117">
      <w:pPr>
        <w:pStyle w:val="TextoNormal"/>
      </w:pPr>
      <w:r>
        <w:t>Por otra parte, respecto de la invocada vulneración de la tutela judicial efectiva e interdicción de la indefensión, por falta de audiencia al recurrente, carece manifiestamente de fundamento, en cuanto que éste pudo interponer el recurso de súplica y posteriormente mediante escrito dirigido a la Sala el 31 de marzo de 2006 formular alegaciones. Tampoco estima que se hubiere producido vulneración de la tutela judicial efectiva en la vertiente de acceso al recurso, por la falta de interposición del recurso de casación, ya que al impugnarse una providencia, sólo cabría recurso de súplica; sin que resulte invocable el art. 14 PIDCP, ya que nuestro ordenamiento prevé el recurso frente a las resoluciones judiciales dictadas en ejecución.</w:t>
      </w:r>
    </w:p>
    <w:p w:rsidR="00D06117" w:rsidRDefault="00D06117" w:rsidP="00D06117">
      <w:pPr>
        <w:pStyle w:val="TextoNormal"/>
      </w:pPr>
    </w:p>
    <w:p w:rsidR="00D06117" w:rsidRDefault="00D06117" w:rsidP="00D06117">
      <w:pPr>
        <w:pStyle w:val="TextoNormal"/>
      </w:pPr>
      <w:r>
        <w:t>Tampoco aprecia vulneración de la legalidad penal, por una aplicación retroactiva de normas penales más desfavorables, ya que la opción interpretativa del Tribunal Supremo “podrá ser discutible como cambio de criterio, pero no entraña aplicación retroactiva ni fraudulenta de la ley penal” (art. 78 CP 1995).</w:t>
      </w:r>
    </w:p>
    <w:p w:rsidR="00D06117" w:rsidRDefault="00D06117" w:rsidP="00D06117">
      <w:pPr>
        <w:pStyle w:val="TextoNormal"/>
      </w:pPr>
    </w:p>
    <w:p w:rsidR="00D06117" w:rsidRDefault="00D06117" w:rsidP="00D06117">
      <w:pPr>
        <w:pStyle w:val="TextoNormal"/>
      </w:pPr>
      <w:r>
        <w:t>También entiende que carece de fundamento la invocada desigualdad en aplicación de la ley, ya que se trata de los órganos judiciales distintos, y —además— el Tribunal Supremo ha fundamentado el cambio de criterio de forma racional.</w:t>
      </w:r>
    </w:p>
    <w:p w:rsidR="00D06117" w:rsidRDefault="00D06117" w:rsidP="00D06117">
      <w:pPr>
        <w:pStyle w:val="TextoNormal"/>
      </w:pPr>
    </w:p>
    <w:p w:rsidR="00D06117" w:rsidRDefault="00D06117" w:rsidP="00D06117">
      <w:pPr>
        <w:pStyle w:val="TextoNormal"/>
      </w:pPr>
      <w:r>
        <w:t>Analizando la posible vulneración de la tutela judicial efectiva, en relación con la libertad personal, y el principio de legalidad, respecto de la ejecutoria, apunta cómo el Auto de 15 de enero de 1997 de la Sección Primera de la Sala de lo Penal de la Audiencia Nacional había refundido condenas y acordado una fecha de licenciamiento definitivo para el 3 de mayo de 2011; sin embargo al tiempo de tal licenciamiento el centro penitenciario efectuó una doble propuesta de licenciamiento, una, la ya existente, y otra, derivada de la aplicación del criterio de la STS (Sala Segunda) de 28 de febrero de 2006, siendo esta última la adoptada en la providencia de 19 septiembre 2006, y confirmada en súplica por el Auto de 10 de octubre de 2006, ambos de la Sección Primera de la Sala de lo Penal de la Audiencia Nacional. Aun resultando la fecha del 3 de mayo de 2011 coincidente con las dos propuestas de liquidación provisional de condena (10 de abril de 1996, folio 908, y 3 de noviembre de 1997), lo cierto es que desde 1997 el penado estuvo redimiendo pena conforme a una determinada normativa en juego de refundición de condenas, que fue cambiada por el criterio de la Sala Segunda del Tribunal Supremo, quebrantándole su derecho a la intangibilidad de las resoluciones judiciales, vinculado con el principio de legalidad exigible en la ejecución de las penas.</w:t>
      </w:r>
    </w:p>
    <w:p w:rsidR="00D06117" w:rsidRDefault="00D06117" w:rsidP="00D06117">
      <w:pPr>
        <w:pStyle w:val="TextoNormal"/>
      </w:pPr>
    </w:p>
    <w:p w:rsidR="00D06117" w:rsidRDefault="00D06117" w:rsidP="00D06117">
      <w:pPr>
        <w:pStyle w:val="TextoNormal"/>
      </w:pPr>
      <w:r>
        <w:t>En definitiva —dice el representante del Ministerio público— se ha producido una “revisión interpretativa desfavorable, que supone de facto, la creación ex novo de un nuevo marco paranormativo extendiendo la fecha de licenciamiento”. Concluye el representante del Ministerio público señalando que se trata de una cuestión intrínsecamente vinculada con la libertad personal, razón por la cual se habría producido la vulneración del derecho a la intangibilidad de la resolución judicial, legalidad penal (en vertiente de irretroactividad de lo desfavorable para el reo) y a la libertad personal.</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presentado el 10 de mayo de 2007 la representación procesal de don Juan Aguirre Aguiriano se ratifica en sus alegaciones insistiendo en la indefensión padecida por la falta de audiencia en el trámite en el que se acuerda la nueva fecha de liquidación, en la lesión a la tutela judicial efectiva, y de la irretroactividad de la ley penal más desfavorable, como consecuencia de haber estado redimiendo pena conforme al art. 70.2 del Código penal de 1973, y que ulteriormente se le haya modificado la forma de computar las redenciones, teniendo una expectativa legítima de que estaba extinguiendo la pena sobre los treinta años, al existir numerosos abonos en resoluciones de Juzgados de Vigilancia Penitenciaria firmes. Igualmente insiste en que el cambio inopinado del criterio jurisprudencial ha sido extravagante e imprevisible, carente de fundamento en la ley, y genera un agravio comparativo respecto de otros condenados por los mismos hechos y a las mismas penas, como don Francisco Martín Robles y don Enrique Letona Viteri.</w:t>
      </w:r>
    </w:p>
    <w:p w:rsidR="00D06117" w:rsidRDefault="00D06117" w:rsidP="00D06117">
      <w:pPr>
        <w:pStyle w:val="TextoNormal"/>
      </w:pPr>
    </w:p>
    <w:p w:rsidR="00D06117" w:rsidRDefault="00D06117" w:rsidP="00D06117">
      <w:pPr>
        <w:pStyle w:val="TextoNormal"/>
      </w:pPr>
      <w:r w:rsidRPr="00D06117">
        <w:rPr>
          <w:rStyle w:val="NumeroAFNegritaCaracter"/>
        </w:rPr>
        <w:t>8</w:t>
      </w:r>
      <w:r>
        <w:t>. En providencia de 21 de junio de 2011, el Pleno del Tribunal Constitucional acordó la avocación del presente recurso de amparo, de conformidad con el art. 10.1 n) LOTC.</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26 de marzo de 2012 se señaló para la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del presente recurso de amparo es determinar si la providencia de la Sección Primera de la Sala de lo Penal de la Audiencia Nacional de 19 septiembre 2006, confirmada en súplica por el Auto del mismo Tribunal de 10 octubre 2006, aplicando el criterio de cómputo de redenciones de pena de Sentencia de la Sala Segunda del Tribunal Supremo núm. 197/2006, de 28 de febrero (en caso de penas acumuladas, las redenciones han de calcularse sobre cada una de las penas impuestas y no sobre el límite máximo de cumplimiento fijado), que determinaba como fecha de licenciamiento definitivo del recurrente el 3 de mayo de 2011, habría vulnerado su derecho fundamental a la igualdad en aplicación de la ley (art. 14 CE) en relación con la libertad y la seguridad (art. 17.1 CE), la tutela judicial efectiva e interdicción de la indefensión, en vertiente de intangibilidad de las resoluciones (art. 24.1 CE), el derecho al proceso con todas las garantías, en relación con la defensa (art. 24.2 CE), el principio de legalidad penal, en la vertiente de irretroactividad de las disposiciones menos favorables (art. 25.1 CE) y el principio de la finalidad reeducadora y reinsertadora de las penas (art. 25.2 CE).</w:t>
      </w:r>
    </w:p>
    <w:p w:rsidR="00D06117" w:rsidRDefault="00D06117" w:rsidP="00D06117">
      <w:pPr>
        <w:pStyle w:val="TextoNormal"/>
      </w:pPr>
    </w:p>
    <w:p w:rsidR="00D06117" w:rsidRDefault="00D06117" w:rsidP="00D06117">
      <w:pPr>
        <w:pStyle w:val="TextoNormal"/>
      </w:pPr>
      <w:r>
        <w:t>El representante del Ministerio Fiscal, pese a estimar la improcedencia del amparo por las quejas de vulneración de la tutela judicial efectiva por falta de audiencia, del principio de legalidad por aplicación retroactiva de la norma, del principio resocializador de las penas, y de la igualdad en aplicación de la ley; interesa el otorgamiento del amparo por lesión de la tutela judicial efectiva, en relación con el derecho a la libertad personal y al principio de legalidad, en cuanto que las resoluciones impugnadas adoptaron el criterio interpretativo de la Sala Segunda del Tribunal Supremo, quebrantando la intangibilidad de las resoluciones judiciales dictadas previamente en la ejecutoria y el principio de legalidad penal, prolongando la fecha de licenciamiento, y enervando la efectividad de las refundiciones y redenciones de penas ya obtenidas desde el Auto de 15 de enero de 1997 de la Audiencia Nacional.</w:t>
      </w:r>
    </w:p>
    <w:p w:rsidR="00D06117" w:rsidRDefault="00D06117" w:rsidP="00D06117">
      <w:pPr>
        <w:pStyle w:val="TextoNormal"/>
      </w:pPr>
    </w:p>
    <w:p w:rsidR="00D06117" w:rsidRDefault="00D06117" w:rsidP="00D06117">
      <w:pPr>
        <w:pStyle w:val="TextoNormal"/>
      </w:pPr>
      <w:r w:rsidRPr="00D06117">
        <w:rPr>
          <w:rStyle w:val="NumeroAFNegritaCaracter"/>
        </w:rPr>
        <w:t>2</w:t>
      </w:r>
      <w:r>
        <w:t>. Siguiendo el orden expositivo formulado por el recurrente, hemos de comenzar por la alegada vulneración del derecho a la tutela judicial efectiva y al proceso con las debidas garantías, en relación con el derecho a la libertad, como consecuencia de la adopción de la providencia de 19 de septiembre de 2006 sin audiencia o traslado a la parte recurrente para informe. Igualmente considera vulnerado este derecho al proceso con todas las garantías, al considerar que no tuvo ninguna ocasión para impugnar el criterio adoptado por el Auto de 10 de octubre de 2006, que es el de la Sentencia de la Sala Segunda del Tribunal Supremo núm. 197/2006, de 28 febrero (denominada “doctrina Parot”).</w:t>
      </w:r>
    </w:p>
    <w:p w:rsidR="00D06117" w:rsidRDefault="00D06117" w:rsidP="00D06117">
      <w:pPr>
        <w:pStyle w:val="TextoNormal"/>
      </w:pPr>
    </w:p>
    <w:p w:rsidR="00D06117" w:rsidRDefault="00D06117" w:rsidP="00D06117">
      <w:pPr>
        <w:pStyle w:val="TextoNormal"/>
      </w:pPr>
      <w:r>
        <w:t xml:space="preserve">La queja no puede ser admitida al concurrir respecto de ella, esta vez sí, el óbice procesal consistente en la falta de invocación ante los órganos de la jurisdicción ordinaria [art. 44.1 c) de la Ley Orgánica del Tribunal Constitucional]. En efecto, de la mera lectura del recurso de súplica interpuesto contra las providencias dictadas en fase de ejecución se desprende que el recurrente articuló una serie de motivos de impugnación para oponerse a esa nueva perspectiva jurídica en el cómputo de las redenciones (lo que, en opinión del Ministerio Fiscal, excluiría por sí mismo la indefensión denunciada), pero no denunció entonces indefensión alguna por el motivo ahora analizado, por lo que la alegada queja se trae en amparo sin haber dado oportunidad de pronunciarse sobre la misma al órgano judicial. Hemos de </w:t>
      </w:r>
      <w:r>
        <w:lastRenderedPageBreak/>
        <w:t>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De otra parte, dentro del primero de los motivos de amparo, se aduce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10 de octubre de 2006. En dicha resolución el Tribunal sentenciador rechazó expresamente los motivos de impugnación que le fueron planteados permitiendo así al penado conocer la ratio decidendi de la desestimación.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del Pacto internacional de derechos civiles y políticos y en el art. 2 del Protocolo 7 del Convenio europeo para la protección de los derechos humanos y de las libertades fundamentales,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extingue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w:t>
      </w:r>
      <w:r>
        <w:lastRenderedPageBreak/>
        <w:t>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ambos puestos en relación con su derecho a la libertad personal (art. 17.1 CE), dado que se trata del cumplimiento de una pena de prisión.</w:t>
      </w:r>
    </w:p>
    <w:p w:rsidR="00D06117" w:rsidRDefault="00D06117" w:rsidP="00D06117">
      <w:pPr>
        <w:pStyle w:val="TextoNormal"/>
      </w:pPr>
    </w:p>
    <w:p w:rsidR="00D06117" w:rsidRDefault="00D06117" w:rsidP="00D06117">
      <w:pPr>
        <w:pStyle w:val="TextoNormal"/>
      </w:pPr>
      <w:r>
        <w:t>Las quejas, cuya estimación propone el Ministerio Fiscal en su escrito de alegaciones, no pueden ser compartidas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t>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1995), criterio que deviene obligatorio </w:t>
      </w:r>
      <w:r>
        <w:lastRenderedPageBreak/>
        <w:t>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w:t>
      </w:r>
      <w:r>
        <w:lastRenderedPageBreak/>
        <w:t>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w:t>
      </w:r>
      <w:r>
        <w:lastRenderedPageBreak/>
        <w:t>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5</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expresado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Juan Aguirre Aguiriano fue condenado en cuatro sumarios de la Audiencia Nacional, entre otros delitos, por dos asesinatos (respectivamente, a treinta años de reclusión mayor y a veintinueve años de reclusión mayor) y en otro por homicidio y lesiones imprudentes (veintitrés años de reclusión mayor y siete años de prisión mayor), todos ellos crímenes de carácter terrorista.</w:t>
      </w:r>
    </w:p>
    <w:p w:rsidR="00D06117" w:rsidRDefault="00D06117" w:rsidP="00D06117">
      <w:pPr>
        <w:pStyle w:val="TextoNormal"/>
      </w:pPr>
    </w:p>
    <w:p w:rsidR="00D06117" w:rsidRDefault="00D06117" w:rsidP="00D06117">
      <w:pPr>
        <w:pStyle w:val="TextoNormal"/>
      </w:pPr>
      <w:r>
        <w:t>b) Puesto que había sido condenado en dos procesos por hechos que pudieron ser objeto de uno sólo, el Tribunal sentenciador, por Auto de 15 de enero de 1997, procedió a fijar en treinta años el límite máximo de cumplimiento de ambas condenas, de conformidad con lo dispuesto en los arts. 17.5 y 988 LECrim y el art. 70, regla 2, CP 1973.</w:t>
      </w:r>
    </w:p>
    <w:p w:rsidR="00D06117" w:rsidRDefault="00D06117" w:rsidP="00D06117">
      <w:pPr>
        <w:pStyle w:val="TextoNormal"/>
      </w:pPr>
    </w:p>
    <w:p w:rsidR="00D06117" w:rsidRDefault="00D06117" w:rsidP="00D06117">
      <w:pPr>
        <w:pStyle w:val="TextoNormal"/>
      </w:pPr>
      <w:r>
        <w:t xml:space="preserve">c) Tras la entrada en vigor del Código penal de 1995, a fin de determinar si su aplicación le era más favorable (art. 2.2), el Tribunal sentenciador acordó, por Auto de 17 junio 1997 que no procedía revisar las penas impuestas al demandante con el siguiente razonamiento: </w:t>
      </w:r>
      <w:r>
        <w:lastRenderedPageBreak/>
        <w:t>“Por aplicación de las Disposiciones Transitorias 2ª y 5ª del nuevo Código Penal, no procede modificar la pena impuesta al penado, pues el límite máximo de cumplimiento de los 30 años establecido, resulta igualmente aplicable a tenor del art. 76.1.b., del nuevo Código Penal.”, razón ésta por la que acordó no haber lugar a la revisión dado que la pena impuesta conforme al Código penal 1973 era también imponible conforme al nuevo Código penal.</w:t>
      </w:r>
    </w:p>
    <w:p w:rsidR="00D06117" w:rsidRDefault="00D06117" w:rsidP="00D06117">
      <w:pPr>
        <w:pStyle w:val="TextoNormal"/>
      </w:pPr>
    </w:p>
    <w:p w:rsidR="00D06117" w:rsidRDefault="00D06117" w:rsidP="00D06117">
      <w:pPr>
        <w:pStyle w:val="TextoNormal"/>
      </w:pPr>
      <w:r>
        <w:t>d) No hay ninguna otra resolución judicial relevante del Tribunal sentenciador en la ejecutoria hasta que, mediante la providencia de 19 de septiembre de 2006 que es objeto de esta pretensión de amparo, el Tribunal aprobó la propuesta de cumplimiento definitivo de condena del demandante realizada por el centro penitenciario en el que se encontraba en ese momento interno, fijando como nueva fecha de cumplimiento y excarcelación el 3 de mayo de 2011.</w:t>
      </w:r>
    </w:p>
    <w:p w:rsidR="00D06117" w:rsidRDefault="00D06117" w:rsidP="00D06117">
      <w:pPr>
        <w:pStyle w:val="TextoNormal"/>
      </w:pPr>
    </w:p>
    <w:p w:rsidR="00D06117" w:rsidRDefault="00D06117" w:rsidP="00D06117">
      <w:pPr>
        <w:pStyle w:val="TextoNormal"/>
      </w:pPr>
      <w:r w:rsidRPr="00D06117">
        <w:rPr>
          <w:rStyle w:val="NumeroAFNegritaCaracter"/>
        </w:rPr>
        <w:t>6</w:t>
      </w:r>
      <w:r>
        <w:t>.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las computó sucesivamente sobre las dos penas impuestas a efectos de liquidación de condena.</w:t>
      </w:r>
    </w:p>
    <w:p w:rsidR="00D06117" w:rsidRDefault="00D06117" w:rsidP="00D06117">
      <w:pPr>
        <w:pStyle w:val="TextoNormal"/>
      </w:pPr>
    </w:p>
    <w:p w:rsidR="00D06117" w:rsidRDefault="00D06117" w:rsidP="00D06117">
      <w:pPr>
        <w:pStyle w:val="TextoNormal"/>
      </w:pPr>
      <w:r>
        <w:t>b) Por lo que respecta al Auto de acumulación de condenas y fijación del límite máximo de cumplimiento de 15 de enero de 1997, que cita el Ministerio Fiscal como resolución intangible que ha sido ilegítimamente desconocida,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c) Finalmente, tampoco puede predicarse la intangibilidad del Auto de 17 de junio de 1997 por el que se acordó no haber lugar a la revisión de las penas impuestas por considerar que, dados los hechos enjuiciados y las penas que le habían sido impuestas, no eran más favorables las previsiones punitivas del Código penal de 1995.</w:t>
      </w:r>
    </w:p>
    <w:p w:rsidR="00D06117" w:rsidRDefault="00D06117" w:rsidP="00D06117">
      <w:pPr>
        <w:pStyle w:val="TextoNormal"/>
      </w:pPr>
    </w:p>
    <w:p w:rsidR="00D06117" w:rsidRDefault="00D06117" w:rsidP="00D06117">
      <w:pPr>
        <w:pStyle w:val="TextoNormal"/>
      </w:pPr>
      <w:r>
        <w:lastRenderedPageBreak/>
        <w:t>Pues bien, ni en el fallo de dicha resolución se realiza pronunciamiento alguno acerca del criterio de cómputo de las redenciones (porque no era éste su objeto), ni de su fundamentación jurídica antes transcrita en relación con los antecedentes de hecho puede concluirse que la decisión de no revisar las condenas se sustentara de manera clara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dicho Auto se limitó a comparar en abstracto los marcos punitivos aplicables posponiendo la individualización de la pena a un momento posterior después de un análisis global. Por tanto, la ratio decidendi del Auto no vinculó su decisión denegatoria a un determinado modo de computar la redención de penas por el trabajo derivada de la actuación previa de los órganos judiciales en la presente ejecutoria,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7</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t>Desde luego, no puede el interno alegar tal efecto en su caso, pues la simple lectura de las actuaciones que aporta con la demanda pone de relieve que las penas que le fueron impuestas sumaban ciento ocho años de privación de libertad y su licenciamiento definitivo ha sido fijado para una fecha en la que no llevará extinguidos ni una tercera parte de los años impuestos de privación de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amparo solicitado por don Juan Aguirre Aguiriano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10112-2006.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8" w:name="SENTENCIA_2012_45"/>
      <w:r>
        <w:lastRenderedPageBreak/>
        <w:t>SENTENCIA 45/2012, de 29 de marzo de 2012</w:t>
      </w:r>
    </w:p>
    <w:bookmarkEnd w:id="4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ECLI:ES:TC:2012:45</w:t>
      </w:r>
    </w:p>
    <w:p w:rsidR="00D06117" w:rsidRDefault="00D06117" w:rsidP="00D06117">
      <w:pPr>
        <w:pStyle w:val="SntesisDescriptiva"/>
      </w:pPr>
    </w:p>
    <w:p w:rsidR="00D06117" w:rsidRDefault="00D06117" w:rsidP="00D06117">
      <w:pPr>
        <w:pStyle w:val="SntesisDescriptiva"/>
      </w:pPr>
      <w:r>
        <w:t>Recurso de amparo 10121-2006. Promovido por don José Ramón Martínez García con respecto a las resoluciones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5].</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8.</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4].</w:t>
      </w:r>
    </w:p>
    <w:p w:rsidR="00D06117" w:rsidRDefault="00D06117" w:rsidP="00D06117">
      <w:pPr>
        <w:pStyle w:val="Extracto"/>
      </w:pPr>
    </w:p>
    <w:p w:rsidR="00D06117" w:rsidRDefault="00D06117" w:rsidP="00D06117">
      <w:pPr>
        <w:pStyle w:val="Extracto"/>
      </w:pPr>
      <w:r>
        <w:t>9.</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4].</w:t>
      </w:r>
    </w:p>
    <w:p w:rsidR="00D06117" w:rsidRDefault="00D06117" w:rsidP="00D06117">
      <w:pPr>
        <w:pStyle w:val="Extracto"/>
      </w:pPr>
    </w:p>
    <w:p w:rsidR="00D06117" w:rsidRDefault="00D06117" w:rsidP="00D06117">
      <w:pPr>
        <w:pStyle w:val="Extracto"/>
      </w:pPr>
      <w:r>
        <w:t>10.</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4].</w:t>
      </w:r>
    </w:p>
    <w:p w:rsidR="00D06117" w:rsidRDefault="00D06117" w:rsidP="00D06117">
      <w:pPr>
        <w:pStyle w:val="Extracto"/>
      </w:pPr>
    </w:p>
    <w:p w:rsidR="00D06117" w:rsidRDefault="00D06117" w:rsidP="00D06117">
      <w:pPr>
        <w:pStyle w:val="Extracto"/>
      </w:pPr>
      <w:r>
        <w:t>11.</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r>
        <w:t>12.</w:t>
      </w:r>
      <w:r>
        <w:tab/>
        <w:t xml:space="preserve">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w:t>
      </w:r>
      <w:r>
        <w:lastRenderedPageBreak/>
        <w:t>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10121-2006, promovido por don José Ramón Martínez García, representado por el Procurador de los Tribunales don José Javier Cuevas Rivas y asistido por el Letrado don Iñaki Goioaga Llano, contra el Auto de 8 de septiembre de 2006, de la Sección Tercera de la Sala de lo Penal de la Audiencia Nacional, que desestima el recurso de súplica interpuesto contra la providencia de 6 julio 2006 dictada por la misma Sección, por la que se deniega la aprobación del licenciamiento definitivo propuesto por el centro penitenciario. Ha intervenido el Ministerio Fiscal. Ha sido Ponente el Presidente don Pascual Sala Sánchez,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recibido en el Registro General de este Tribunal el 8 noviembre de 2006, don José Javier Cuevas Rivas, Procurador de los Tribunales, actuando en nombre y representación procesal de don José Ramón Martínez García,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que son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por la Sección Segunda de la Sala de lo Penal de la Audiencia Nacional en Sentencia de 23 junio 1995 (rollo de Sala núm. 26-1992, sumario núm. 18-1992), como autor de un delito de pertenencia a banda armada a la pena de ocho años de prisión mayor y multa, y como autor de un delito de depósito de explosivos a la pena de ocho años de prisión. Posteriormente el demandante, fue condenado por la Sección Tercera de la Sala de lo Penal de la Audiencia Nacional, mediante Sentencia de 10 de octubre de 1996 (rollo de Sala 61-1995, sumario núm. 7-1995), como autor de un delito de atentado en grado de tentativa a la pena de doce años de prisión. Dicha Sentencia fue declarada firme por Auto de la misma Sección de 22 de mayo de 1997.</w:t>
      </w:r>
    </w:p>
    <w:p w:rsidR="00D06117" w:rsidRDefault="00D06117" w:rsidP="00D06117">
      <w:pPr>
        <w:pStyle w:val="TextoNormal"/>
      </w:pPr>
    </w:p>
    <w:p w:rsidR="00D06117" w:rsidRDefault="00D06117" w:rsidP="00D06117">
      <w:pPr>
        <w:pStyle w:val="TextoNormal"/>
      </w:pPr>
      <w:r>
        <w:lastRenderedPageBreak/>
        <w:t>b) La Sección Tercera del Sala de lo Penal de la Audiencia Nacional acordó mediante Auto de fecha 6 de noviembre de 2001 acumular las condenas impuestas al demandante en las dos causas anteriores, fijando en veinte años el límite máximo de cumplimiento de las penas de privación de libertad impuestas en las mencionadas causas.</w:t>
      </w:r>
    </w:p>
    <w:p w:rsidR="00D06117" w:rsidRDefault="00D06117" w:rsidP="00D06117">
      <w:pPr>
        <w:pStyle w:val="TextoNormal"/>
      </w:pPr>
    </w:p>
    <w:p w:rsidR="00D06117" w:rsidRDefault="00D06117" w:rsidP="00D06117">
      <w:pPr>
        <w:pStyle w:val="TextoNormal"/>
      </w:pPr>
      <w:r>
        <w:t>c) El Director del centro penitenciario de Lugo, mediante escrito registrado en la Audiencia Nacional el 22 de junio de 2006, propuso al último Tribunal sentenciador como fecha de licenciamiento definitivo de las causas acumuladas la de 28 de agosto de 2006. De la solicitud se dio traslado al Ministerio Fiscal, que se opuso a la misma solicitando se practicara nueva propuesta de licenciamiento conforme a los criterios de la Sentencia 197/2006, de 28 de febrero, del Tribunal Supremo. La Sección Tercera de la Sala de lo Penal de la Audiencia Nacional dictó providencia de fecha 6 de julio de 2006, en la que acordó: “siendo de aplicación al penado José Ramón Martínez García, por tratarse de varias penas acumuladas según oficio del Centro Penitenciario de Lugo de 15/06/2006, la doctrina establecida en Sentencia 197/2006 de la Sala Segunda del Tribunal Supremo, no ha lugar a aprobar el licenciamiento definitivo propuesto para el próximo 24/08/2006 sino que será al cumplimiento del periodo máximo de 30 años o con anterioridad si las redenciones ordinarias y extraordinarias que correspondan sobre la totalidad de las penas impuestas determinen un período de cumplimiento efectivo inferior al de 30 años; quedando en tanto pendiente de aprobación el licenciamiento hasta que el Centro Penitenciario haga el cálculo sobre la totalidad de las penas impuestas”. Dicha providencia fue recurrida en súplica por el penado mediante escrito de fecha 13 de julio de 2006.</w:t>
      </w:r>
    </w:p>
    <w:p w:rsidR="00D06117" w:rsidRDefault="00D06117" w:rsidP="00D06117">
      <w:pPr>
        <w:pStyle w:val="TextoNormal"/>
      </w:pPr>
    </w:p>
    <w:p w:rsidR="00D06117" w:rsidRDefault="00D06117" w:rsidP="00D06117">
      <w:pPr>
        <w:pStyle w:val="TextoNormal"/>
      </w:pPr>
      <w:r>
        <w:t>d) Durante la tramitación del recurso de súplica, se registró en la Audiencia Nacional nuevo escrito de fecha 12 de julio de 2006, en el que el Director del centro penitenciario, a la vista del contenido de la providencia de 6 de julio que le fue remitida, elevó un nuevo cálculo de condena incluyendo el total de penas a cumplir antes de haberse efectuado la acumulación de las mismas, de cuya suma descontaba la redención reconocida hasta esa fecha, indicando que, en tal caso la libertad definitiva se obtendría el 1 de septiembre de 2014, fecha que sobrepasaba el límite máximo de cumplimiento de veinte años que había sido ya judicialmente establecido, conforme al cual, la pena quedaría extinguida el 24 de octubre de 2011, razón ésta por la que solicitaba información de cómo proceder.</w:t>
      </w:r>
    </w:p>
    <w:p w:rsidR="00D06117" w:rsidRDefault="00D06117" w:rsidP="00D06117">
      <w:pPr>
        <w:pStyle w:val="TextoNormal"/>
      </w:pPr>
    </w:p>
    <w:p w:rsidR="00D06117" w:rsidRDefault="00D06117" w:rsidP="00D06117">
      <w:pPr>
        <w:pStyle w:val="TextoNormal"/>
      </w:pPr>
      <w:r>
        <w:t>El Ministerio Fiscal, mediante escrito de fecha 3 de agosto de 2006, al evacuar traslado del recurso de súplica lo impugnó e interesó la confirmación de la providencia recurrida, solicitando que se fijara el licenciamiento definitivo para el día 1 de septiembre de 2014.</w:t>
      </w:r>
    </w:p>
    <w:p w:rsidR="00D06117" w:rsidRDefault="00D06117" w:rsidP="00D06117">
      <w:pPr>
        <w:pStyle w:val="TextoNormal"/>
      </w:pPr>
    </w:p>
    <w:p w:rsidR="00D06117" w:rsidRDefault="00D06117" w:rsidP="00D06117">
      <w:pPr>
        <w:pStyle w:val="TextoNormal"/>
      </w:pPr>
      <w:r>
        <w:t>e) Por Auto de la Sección Tercera de la Audiencia Nacional, de fecha 8 de septiembre de 2006 —notificado al penado el 5 de octubre siguiente— se desestimó el recurso de súplica presentado. Pocos días después, el 17 de noviembre de 2006, el Tribunal acordó abonar al penado, para el cumplimiento de las penas impuestas, los cinco días que, desde el 25 hasta el 29 de octubre de 1991, permaneció detenido antes de decretarse su prisión preventiva el siguiente 30 de octubre.</w:t>
      </w:r>
    </w:p>
    <w:p w:rsidR="00D06117" w:rsidRDefault="00D06117" w:rsidP="00D06117">
      <w:pPr>
        <w:pStyle w:val="TextoNormal"/>
      </w:pPr>
    </w:p>
    <w:p w:rsidR="00D06117" w:rsidRDefault="00D06117" w:rsidP="00D06117">
      <w:pPr>
        <w:pStyle w:val="TextoNormal"/>
      </w:pPr>
      <w:r>
        <w:t xml:space="preserve">f) El Director del centro penitenciario mediante escrito remitido por fax el 28 de noviembre de 2006, solicitó al Tribunal le remitiera nueva propuesta de liquidación de condena a la vista de los días que había sido abonados, indicando que, tras los nuevos datos, el penado </w:t>
      </w:r>
      <w:r>
        <w:lastRenderedPageBreak/>
        <w:t>extinguiría su condena el 19 de octubre de 2011. La Secretaria judicial efectuó nueva liquidación de condena conforme a dicha propuesta. El Ministerio Fiscal se opuso a la misma por entender que, a la vista de los datos tomados en consideración, la fecha de licenciamiento definitivo sería el 26 de agosto de 2014.</w:t>
      </w:r>
    </w:p>
    <w:p w:rsidR="00D06117" w:rsidRDefault="00D06117" w:rsidP="00D06117">
      <w:pPr>
        <w:pStyle w:val="TextoNormal"/>
      </w:pPr>
    </w:p>
    <w:p w:rsidR="00D06117" w:rsidRDefault="00D06117" w:rsidP="00D06117">
      <w:pPr>
        <w:pStyle w:val="TextoNormal"/>
      </w:pPr>
      <w:r>
        <w:t>Por providencia dictada el 22 de diciembre de 2006, la Sección aprobó la nueva propuesta de liquidación de condena y fijó la fecha de cumplimiento definitivo en el día 19 de octubre de 2011, indicando: “No ha lugar a lo interesado por el Ministerio Fiscal, dado que una cosa es la liquidación de condena, correctamente practicada sobre el límite máximo de cumplimiento del art. 76. 1 del Código Penal vigente, y otra muy distinta la fecha del licenciamiento definitivo que podrá coincidir o no con aquélla, al poder concurrir otras causas de extinción de la responsabilidad penal. En consecuencia, se aprueba la liquidación de condena practicada con fecha 29 de noviembre de 2006, que fija la fecha de cumplimiento del 19 de octubre de 2011, sin perjuicio de la fecha que en su día se proponga para licenciamiento definitivo, al que se refieren las resoluciones del 6 de julio de 2006 y 8 de septiembre de 2006 respectivamente, no afectando aquéllos a la liquidación de condena practicada”.</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invoca como vulnerados en su demanda de amparo los derechos fundamentales a la igualdad (art. 14 CE), a la libertad y seguridad (art. 17 CE), a la tutela judicial efectiva (art. 24.1 CE), el derecho de defensa (art. 24.2 CE), así como el principio de legalidad y seguridad jurídica, y el que garantiza la orientación de las penas privativas de libertad y medidas de seguridad hacia la reeducación y reinserción social (art. 25.1 y 2 CE).</w:t>
      </w:r>
    </w:p>
    <w:p w:rsidR="00D06117" w:rsidRDefault="00D06117" w:rsidP="00D06117">
      <w:pPr>
        <w:pStyle w:val="TextoNormal"/>
      </w:pPr>
    </w:p>
    <w:p w:rsidR="00D06117" w:rsidRDefault="00D06117" w:rsidP="00D06117">
      <w:pPr>
        <w:pStyle w:val="TextoNormal"/>
      </w:pPr>
      <w:r>
        <w:t>Posteriormente en su exposición, señala como primer motivo de amparo la vulneración del principio acusatorio, del derecho a la defensa y a la contradicción en relación con el derecho a la tutela judicial efectiva y a un proceso público con todas las garantías, y “todo ello en relación con el derecho a la libertad, recogido en el artículo 17 de la CE”. Con cita de las SSTC 11/1987 y 123/2005, expone la demanda que la providencia 6 de junio de 2006 se dictó sin haber dado traslado a la defensa del informe del Ministerio Fiscal. Entiende que con la modificación del criterio se le ha empeorado su situación, al conllevar el cumplimiento íntegro de las penas, lo que vulnera, a su juicio, lo dispuesto en el Auto de revisión de condenas de 6 de noviembre de 2001. Afirma vulnerado su derecho a la defensa y a un proceso con todas las garantías por el Auto de 8 septiembre de 2006. Entiende que la fecha de licenciamiento definitivo sería el 24 de agosto de 2006 y no el 14 de agosto de 2014, al ser lo procedente aplicar las redenciones aprobadas por Autos firmes sobre el límite de acumulación, que en el caso sería de veinte años.</w:t>
      </w:r>
    </w:p>
    <w:p w:rsidR="00D06117" w:rsidRDefault="00D06117" w:rsidP="00D06117">
      <w:pPr>
        <w:pStyle w:val="TextoNormal"/>
      </w:pPr>
    </w:p>
    <w:p w:rsidR="00D06117" w:rsidRDefault="00D06117" w:rsidP="00D06117">
      <w:pPr>
        <w:pStyle w:val="TextoNormal"/>
      </w:pPr>
      <w:r>
        <w:t xml:space="preserve">En el segundo motivo de amparo, se aduce la vulneración del principio de legalidad (art. 25.1 y 2 CE), en relación con la interpretación de los arts. 70.2 y 100 del Código penal (en adelante CP) de 1973, así como de los arts. 66 del reglamento de prisiones de 1956 y del art. 202 del reglamento penitenciario actual. Argumenta, en tal sentido, que la interpretación llevada a cabo por el Tribunal Supremo, y aplicada en el presente caso, es ajena al tenor literal de dichas normas, a las pautas axiológicas que conforman el ordenamiento constitucional y a los modelos de argumentación aceptados por la comunidad jurídica, pudiendo calificarse dicha interpretación de extravagante, imprevisible, e irrespetuosa, por ser contraria a la norma aplicada, y a la interpretación realizada a lo largo de toda la historia penitenciaria, al considerar que la redención es al margen del cumplimiento efectivo de la condena. Entiende que dicha interpretación se agrava en el caso de delitos graves al situar el </w:t>
      </w:r>
      <w:r>
        <w:lastRenderedPageBreak/>
        <w:t>límite máximo de cumplimiento efectivo de la condena más allá de la aplicación de la redención o de la sujeción al tratamiento penitenciario, haciendo abstracción del art. 25 CE. Afirma que las resoluciones impugnadas niegan el carácter de beneficio penitenciario a las redenciones de condena. Expone que el art. 100 CP las configura como tiempo de “cumplimiento”, debiendo aplicarse a efectos de la liquidación de condena, y según el art. 202 del reglamento penitenciario suponen una reducción de la condena impuesta por el tiempo efectivo de internamiento. Entiende que deben descontarse del tiempo máximo de cumplimiento los beneficios penitenciarios, por tal razón considera que el demandante tendría extinguida su condena el 24 de agosto de 2006. Posteriormente cita los arts. 66 y 71.3 del reglamento de servicios y prisiones de 1956, para reforzar su afirmación de la procedencia de descontar del máximo de cumplimiento los beneficios que supongan un acortamiento de condena. Considera que la doctrina sentada en la STS 197/2006 vulneraría incluso el principio de prescripción de las penas.</w:t>
      </w:r>
    </w:p>
    <w:p w:rsidR="00D06117" w:rsidRDefault="00D06117" w:rsidP="00D06117">
      <w:pPr>
        <w:pStyle w:val="TextoNormal"/>
      </w:pPr>
    </w:p>
    <w:p w:rsidR="00D06117" w:rsidRDefault="00D06117" w:rsidP="00D06117">
      <w:pPr>
        <w:pStyle w:val="TextoNormal"/>
      </w:pPr>
      <w:r>
        <w:t>En el tercer motivo de amparo denuncia la vulneración del derecho a la tutela judicial efectiva (art. 24.1 CE), en relación con el derecho a la libertad personal (art. 17 CE). Sostiene la demanda que la nueva interpretación del cómputo de las redenciones sobre la totalidad de la condena le genera indefensión e inseguridad jurídica, pues las redenciones aprobadas por los Juzgados de Vigilancia Penitenciaria, intangibles y firmes, aplicadas —como se venía haciendo— al tope de treinta años (sic), suponían un importante acortamiento de su condena de treinta años. El trabajo y los estudios en la prisión se realizaron en la confianza de que las redenciones así obtenidas implicarían un acortamiento del tiempo de permanencia en prisión, y como en el caso de la STC 76/2004, se generó una expectativa de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Como cuarto motivo de amparo, se considera vulnerado el principio de legalidad (arts. 25.1 y 9.3 CE). Entiende que las resoluciones efectúan una interpretación contra reo, realizando una aplicación fraudulenta del art. 78 del Código penal de 1995, sin reconocer las redenciones obtenidas por autos firmes, y de aplicación en el proceso de revisión del código aplicable. Considera que se vulnera la legalidad cuando se hace una aplicación de una norma penal, cuya entrada en vigor sea posterior al hecho oficiado, sí resulta imprevisible concluir que dicha norma era más beneficiosa para el acusado. Afirma que procede aplicar la redención sobre la ley más favorable que es el Código penal de 1995.</w:t>
      </w:r>
    </w:p>
    <w:p w:rsidR="00D06117" w:rsidRDefault="00D06117" w:rsidP="00D06117">
      <w:pPr>
        <w:pStyle w:val="TextoNormal"/>
      </w:pPr>
    </w:p>
    <w:p w:rsidR="00D06117" w:rsidRDefault="00D06117" w:rsidP="00D06117">
      <w:pPr>
        <w:pStyle w:val="TextoNormal"/>
      </w:pPr>
      <w:r>
        <w:t xml:space="preserve">En quinto lugar, e invocando el derecho a la igualdad en la aplicación de la ley (art. 14 CE), con cita de la STC 144/1988, denuncia el injustificado y arbitrario cambio de criterio a raíz de la STS 197/2006 (al afirmar que el límite de treinta años no es una nueva pena y que la redención de penas por el trabajo ha de computarse respecto de la totalidad de las </w:t>
      </w:r>
      <w:r>
        <w:lastRenderedPageBreak/>
        <w:t>penas impuestas), que rompe con toda la jurisprudencia anterior al respecto (cita las SSTS 506/1994, 1985/1992,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y el Voto particular de la STS 197/2006). Afirma que se trata de una reescritura del art. 70.2 del Código penal de 1973, provocada por factores extrajudiciales, por quienes son los sujetos pasivos a los que afecta, y por las circunstancias en que se adopta la decisión, por tanto, un cambio de criterio ad personam.</w:t>
      </w:r>
    </w:p>
    <w:p w:rsidR="00D06117" w:rsidRDefault="00D06117" w:rsidP="00D06117">
      <w:pPr>
        <w:pStyle w:val="TextoNormal"/>
      </w:pPr>
    </w:p>
    <w:p w:rsidR="00D06117" w:rsidRDefault="00D06117" w:rsidP="00D06117">
      <w:pPr>
        <w:pStyle w:val="TextoNormal"/>
      </w:pPr>
      <w:r>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y en contra de la práctica habitual y pacífica. Reproduce parcialmente el Voto particular de la STS 197/2006, añadiendo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Indica que el demandante cumple el día 24 de agosto de 2006 los veinte años que tiene de condena, según se desprende de la liquidación de condena realizada el 18 agosto 2006 y del Auto de acumulación dictado por la Sección Tercera de la Audiencia Nacional con fecha 6 de noviembre de 2001.Considera que las resoluciones impugnadas violan, por ello, el art. 17 CE y los arts. 5 y 7.1 del Convenio europeo para la protección de los derechos humanos y de las libertades fundamentales, así como los arts. 9.1 y 5 y 15.1 Pacto internacional de derechos civiles y políticos. Expone que la revocación de la propuesta de licenciamiento afecta además a las posibilidades de revisión de la condena y las posibilidades de aplicación del Código penal de 1995 o 1973. Concluye que las expectativas de libertad vienen determinadas no sólo por el Auto de revisión de condena sino por todo el procedimiento relativo a la concesión de la libertad condicional, en la que no se consideraba incumplido el requisito de cumplimiento de tres cuartas partes de la condena.</w:t>
      </w:r>
    </w:p>
    <w:p w:rsidR="00D06117" w:rsidRDefault="00D06117" w:rsidP="00D06117">
      <w:pPr>
        <w:pStyle w:val="TextoNormal"/>
      </w:pPr>
    </w:p>
    <w:p w:rsidR="00D06117" w:rsidRDefault="00D06117" w:rsidP="00D06117">
      <w:pPr>
        <w:pStyle w:val="TextoNormal"/>
      </w:pPr>
      <w:r w:rsidRPr="00D06117">
        <w:rPr>
          <w:rStyle w:val="NumeroAFNegritaCaracter"/>
        </w:rPr>
        <w:t>4</w:t>
      </w:r>
      <w:r>
        <w:t>. El demandante de amparo, mediante escrito registrado el 26 de marzo de 2007, solicitó la suspensión de las resoluciones recurridas de conformidad con lo dispuesto en el art. 56 de la Ley Orgánica del Tribunal Constitucional (LOTC). Previa su tramitación en pieza separada, la Sala Primera del Tribunal Constitucional, por ATC 420/2007, de 5 de noviembre,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5</w:t>
      </w:r>
      <w:r>
        <w:t>. La Sección Primera de este Tribunal acordó, por providencia de 12 de septiembre de 2007, la admisión a trámite de la demanda así como, a tenor de lo establecido en el art. 51 LOTC, requerir a la Audiencia Nacional para que remitiera testimonio de las actuaciones correspondientes al rollo de Sala núm. 61-1995 y la ejecutoria núm. 18-1997, interesando al tiempo que se emplazara a quienes fueron parte en el procedimiento, a excepción del demandante de amparo, para que pudiesen comparecer en el recurso de amparo en el plazo de diez días.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Por diligencia de ordenación de la Secretaría de Justicia de la Sala Primera del Tribunal Constitucional, de 8 de mayo de 2008, se acordó dar vista de las actuaciones recibidas a la parte recurrente y al Ministerio Fiscal por plazo común de veinte días, dentro del cual pudieron presentar las alegaciones que estimaron pertinentes, de conformidad con lo dispuesto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recurrente en amparo evacuó el trámite de alegaciones conferido mediante escrito registrado en fecha 13 de junio de 2008, en el que ratificó las alegaciones efectuadas en el escrito de demanda.</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presentó sus alegaciones mediante escrito registrado el día 18 de julio de 2008.</w:t>
      </w:r>
    </w:p>
    <w:p w:rsidR="00D06117" w:rsidRDefault="00D06117" w:rsidP="00D06117">
      <w:pPr>
        <w:pStyle w:val="TextoNormal"/>
      </w:pPr>
    </w:p>
    <w:p w:rsidR="00D06117" w:rsidRDefault="00D06117" w:rsidP="00D06117">
      <w:pPr>
        <w:pStyle w:val="TextoNormal"/>
      </w:pPr>
      <w:r>
        <w:t>Comienza el Ministerio Fiscal examinando el primer motivo de amparo. Expone que en dicho motivo se concretan dos argumentos: por un lado la indefensión causada al recurrente por no haberle dado traslado del informe del Fiscal tras dictarse la providencia de 6 de julio de 2006 y antes de resolver mediante el Auto de 8 de septiembre de 2006; por otro la imposibilidad de acudir a una instancia superior. Entiende que no existió indefensión al haber hecho uso efectivo del derecho a ser oído al menos cuando interpuso recurso de súplica contra la providencia de 6 de junio de 2006. Afirma que no puede prosperar la queja relativa a la vulneración del derecho de acceso al recurso, pues el art. 236 de la Ley de enjuiciamiento criminal, contempla únicamente el recurso de súplica cuando lo impugnado es una providencia, debiendo resolverse por el mismo órgano que ha dictado la resolución recurrida. Entiende no aplicable el art. 14.5 del Pacto de Nueva York, al referirse dicho precepto a resoluciones judiciales definitivas que hayan enjuiciado un hecho, lo hayan calificado como delito y hayan impuesto al acusado una determinada pena, circunstancias que no concurren en el caso.</w:t>
      </w:r>
    </w:p>
    <w:p w:rsidR="00D06117" w:rsidRDefault="00D06117" w:rsidP="00D06117">
      <w:pPr>
        <w:pStyle w:val="TextoNormal"/>
      </w:pPr>
    </w:p>
    <w:p w:rsidR="00D06117" w:rsidRDefault="00D06117" w:rsidP="00D06117">
      <w:pPr>
        <w:pStyle w:val="TextoNormal"/>
      </w:pPr>
      <w:r>
        <w:t>A continuación, examina el cuarto motivo de amparo, interesando su desestimación. Expone que el principio de legalidad penal conectado con el de irretroactividad de las normas penales y restrictivas de derechos no es invocable en amparo (STC 237/1993). Añade que se podrá estar o no conforme con la interpretación de la legalidad que realiza el Tribunal Supremo, incluso se podrá discrepar acerca de si el cambio en la línea jurisprudencial hasta entonces seguida —que podría poner en cuestión la idea de previsibilidad de la ley—, pero no tiene fundamento racional alguno sostener que se ha vulnerado el principio de irretroactividad de la ley penal, porque el precepto que se ha aplicado ha sido siempre el art. 70.2 CP 1973, vigente al tiempo de comisión de los hechos, y no el art. 78 CP 1995.</w:t>
      </w:r>
    </w:p>
    <w:p w:rsidR="00D06117" w:rsidRDefault="00D06117" w:rsidP="00D06117">
      <w:pPr>
        <w:pStyle w:val="TextoNormal"/>
      </w:pPr>
    </w:p>
    <w:p w:rsidR="00D06117" w:rsidRDefault="00D06117" w:rsidP="00D06117">
      <w:pPr>
        <w:pStyle w:val="TextoNormal"/>
      </w:pPr>
      <w:r>
        <w:t>Considera que la queja relativa a la vulneración del principio de igualdad en la aplicación de la ley, no puede prosperar. En primer lugar porque las dos resoluciones recurridas tienen un objeto distinto del que tuvo en cuenta la Sentencia del Tribunal Supremo. En segundo término el eventual cambio de criterio aparecería justificado por un conjunto de razonamientos efectuados en interpretación de la legalidad aplicable al caso.</w:t>
      </w:r>
    </w:p>
    <w:p w:rsidR="00D06117" w:rsidRDefault="00D06117" w:rsidP="00D06117">
      <w:pPr>
        <w:pStyle w:val="TextoNormal"/>
      </w:pPr>
    </w:p>
    <w:p w:rsidR="00D06117" w:rsidRDefault="00D06117" w:rsidP="00D06117">
      <w:pPr>
        <w:pStyle w:val="TextoNormal"/>
      </w:pPr>
      <w:r>
        <w:t xml:space="preserve">Por último, examina los motivos segundo, tercero y sexto de la demanda en los que se invoca el principio de legalidad, el derecho a la libertad y el derecho a la intangibilidad de las resoluciones judiciales. Entiende el Ministerio Fiscal que el punto clave del recurso se </w:t>
      </w:r>
      <w:r>
        <w:lastRenderedPageBreak/>
        <w:t>encuentra en el derecho a la intangibilidad de las resoluciones judiciales. Afirma que por Auto de 6 de noviembre de 2001 le habían sido acumuladas al penado sus condenas, señalándose en todo caso un máximo de cumplimiento de veinte años de privación de libertad, y conforme a lo dispuesto en el mismo se han venido produciendo y aprobando la redención de sus penas, siendo de fecha posterior la providencia de 6 de julio de 2006 y el Auto que la confirma. Añade que el Auto de 6 de noviembre de 2001 fijó las pautas para la ejecución de la condena y se ha visto modificado posteriormente, vulnerando el derecho a la intangibilidad de las resoluciones judiciales. Prosigue señalando que dicho derecho tiene engarce con el principio de legalidad (art. 25.1 CE) en relación con la prohibición de retroactividad de las normas penales perjudiciales para el reo (art. 9.3 CE, por todas STC 223/1997 y STEDH Streletz, Kessler y Krenz c. Alemania de 22 de marzo de 2001), ya que las garantías de legalidad y seguridad jurídica que exigen ambos preceptos constitucionales deben extenderse no sólo al enjuiciamiento del hecho como tipicidad cierta, taxativa y previsible (por todas SSTC 196/2002 y 111/2004), sino que lo es asimismo para con la ejecución de las penas, integrándose la irretroactividad de las normas, y su interpretación, desfavorable al reo en el complejo de legalidad del art. 25.1 CE (STEDH Puhk c. Estonia de 10 de febrero de 2004). Entiende que las resoluciones recurridas suponen de facto, la creación ex novo de un nuevo marco “paranormativo”, que ha causado una extensión de la fecha de licenciamiento del interno, vulnerando con ello el derecho a la libertad personal del demandante, al ser la fecha prevista de licenciamiento definitivo muy posterior a la prevista, como consecuencia de esa desfavorable interpretación normativa.</w:t>
      </w:r>
    </w:p>
    <w:p w:rsidR="00D06117" w:rsidRDefault="00D06117" w:rsidP="00D06117">
      <w:pPr>
        <w:pStyle w:val="TextoNormal"/>
      </w:pPr>
    </w:p>
    <w:p w:rsidR="00D06117" w:rsidRDefault="00D06117" w:rsidP="00D06117">
      <w:pPr>
        <w:pStyle w:val="TextoNormal"/>
      </w:pPr>
      <w:r>
        <w:t>Por lo expuesto solicita la estimación del amparo por vulneración del derecho a la intangibilidad de las resoluciones judiciales (art. 24.1 CE), legalidad penal en relación con la irretroactividad de lo desfavorable para el reo (art. 25.1 en relación con el art. 9.3 CE), y el derecho a la libertad personal, anulando las resoluciones impugnadas y mandando que se pronuncie sobre el licenciamiento definitivo del condenado respetando los derechos fundamentales que han sido vulnerados.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21 de junio de 2011, el Pleno acordó recabar para sí, a propuesta de la Sala Primera,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fecha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8 de septiembre de 2006, de la Sección Tercera de la Sala de lo Penal de la Audiencia Nacional, que desestimó el recurso de súplica presentado contra la anterior providencia de 6 de julio de 2006 que acordó calcular la fecha de licenciamiento del penado, en las penas privativas de libertad que extinguía, conforme al criterio de la Sentencia núm. 197/2006, de 28 de febrero, de la Sala Segunda del Tribunal Supremo. Según dicha Sentencia, en caso de penas acumuladas, la redención de penas por el trabajo obtenida ha de computarse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lastRenderedPageBreak/>
        <w:t>En la demanda de amparo se denuncia la vulneración de los derechos fundamentales a la tutela judicial efectiva sin indefensión (art. 24.1 CE), a ser informado de la acusación y a un proceso con todas las garantías (art. 24.2 CE), a la legalidad de las infracciones y sanciones (art. 25.1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apoya la estimación parcial del recurso presentado, por entender que la aplicación del nuevo criterio jurisprudencial, fijado en la referida Sentencia 197/2006 del Tribunal Supremo, supone la vulneración de los derechos fundamentales consagrados en los arts. 17.1, 24.1 y 25.1 CE, por afectar a situaciones ya reconocidas por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2</w:t>
      </w:r>
      <w:r>
        <w:t>. En lo que se refiere a las quejas formuladas en la demanda, bajo la invocación de los derechos a la tutela judicial efectiva sin indefensión (art. 24.1 CE), a ser informado de la acusación y a un proceso con todas las garantías (art. 24.2 CE), se denuncia, en primer lugar, la supuesta indefensión que le habría producido el hecho de que la primera de las resoluciones recurridas —la providencia de 6 de julio de 2006— se adoptó sin haberle dado audiencia previa al demandante, pese a que la propuesta del centro penitenciario ofrecía una fecha de licenciamiento definitivo alternativa a la que fue finalmente aprobada, cuestión esta que afectaba decisivamente a su libertad personal.</w:t>
      </w:r>
    </w:p>
    <w:p w:rsidR="00D06117" w:rsidRDefault="00D06117" w:rsidP="00D06117">
      <w:pPr>
        <w:pStyle w:val="TextoNormal"/>
      </w:pPr>
    </w:p>
    <w:p w:rsidR="00D06117" w:rsidRDefault="00D06117" w:rsidP="00D06117">
      <w:pPr>
        <w:pStyle w:val="TextoNormal"/>
      </w:pPr>
      <w:r>
        <w:t>No cabe duda de que la queja tiene base fáctica, pues la secuencia procesal descrita por el demandante fue la seguida por el Tribunal encargado de la ejecución de las penas impuestas; sin embargo ha de ser inadmitida al concurrir respecto de ella, esta vez sí, el óbice procesal consistente en la falta de invocación ante los órganos de la jurisdicción ordinaria [art. 44.1 c) de la Ley Orgánica del Tribunal Constitucional]. En efecto, de la mera lectura del recurso de súplica interpuesto el 13 de julio de 2006 contra la providencia dictada en fase de ejecución, se desprende que el recurrente articuló una serie de motivos de impugnación para oponerse a esa nueva perspectiva jurídica en el cómputo de las redenciones (lo que, en opinión del Ministerio Fiscal, excluiría por sí mismo la indefensión denunciada), pero no denunció entonces indefensión alguna por el motivo ahora analizado, por lo que la alegada queja se trae en amparo sin haber dado oportunidad de pronunciarse previamente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 xml:space="preserve">De otra parte, dentro del primero de los motivos de amparo, se aduce también la vulneración del derecho a un recurso efectivo y a la segunda instancia penal. Tampoco esta queja puede prosperar, puesto que el recurrente —en contra de lo que sostiene— sí tuvo acceso al recurso legalmente previsto (el recurso de súplica), que no fue inadmitido sino resuelto y </w:t>
      </w:r>
      <w:r>
        <w:lastRenderedPageBreak/>
        <w:t>desestimado por Auto de 8 de septiembre de 2006. En dicha resolución el Tribunal sentenciador rechazó expresamente los motivos de impugnación que le fueron planteados permitiendo así al penado conocer la ratio decidendi de la desestimación.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del Pacto internacional de derechos civiles y políticos y en el art. 2 del Protocolo 7 del Convenio Europeo de Derechos Humanos (finalmente ratificado por España el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extingue de un nuevo criterio jurisprudencial, adoptado por el Tribunal Supremo en la interpretación de los arts. 70.2 y 100 del Código penal (CP) de 1973 y preceptos concordantes del reglamento penitenciario, en relación con el cómputo de la redención de penas por trabajo en penas acumuladas a las que se ha fijado, según prevé el Código penal, un límite máximo de cumplimiento; en este caso de veinte años de privación de libertad.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ambos puestos en relación con su derecho a la libertad personal (art. 17.1 CE), dado que se trata del cumplimiento de una pena de prisión.</w:t>
      </w:r>
    </w:p>
    <w:p w:rsidR="00D06117" w:rsidRDefault="00D06117" w:rsidP="00D06117">
      <w:pPr>
        <w:pStyle w:val="TextoNormal"/>
      </w:pPr>
    </w:p>
    <w:p w:rsidR="00D06117" w:rsidRDefault="00D06117" w:rsidP="00D06117">
      <w:pPr>
        <w:pStyle w:val="TextoNormal"/>
      </w:pPr>
      <w:r>
        <w:t>Las quejas, cuya estimación propone el Ministerio Fiscal en su escrito de alegaciones, no pueden ser compartidas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t>En primer lugar, hemos de destacar que no nos encontramos en el ámbito propio del derecho fundamental consagrado en el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 Reino Unido, núm. 11653-1985, decisión de la Comisión de 3 marzo de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w:t>
      </w:r>
      <w:r>
        <w:lastRenderedPageBreak/>
        <w:t>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De todo lo expuesto se colige también, por las razones expuestas,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4</w:t>
      </w:r>
      <w:r>
        <w:t>. En su tercer motivo de amparo denuncia el demandante que la aplicación de la nueva interpretación jurisprudencial que cuestiona, sobre la forma de cómputo de la redención de penas por el trabajo, le genera una situación de indefensión e inseguridad jurídica que vulneraría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El Ministerio Fiscal comparte también este razonamiento del demandante por considerar que el Auto de 6 de noviembre de 2001, por el que el Tribunal sentenciador acordó acumular las dos condenas impuestas al penado y fijarles un límite máximo de cumplimiento, fijó las pautas para la ejecución de la condena y se ha visto modificado posteriormente con las resoluciones impugnadas en amparo, vulnerando así el derecho del demandante a la intangibilidad de las resoluciones judiciales, que tiene engarce con el principio de legalidad (art. 25.1 CE) en relación con la prohibición de retroactividad de las normas penales perjudiciales para el reo (art. 9.3 CE).</w:t>
      </w:r>
    </w:p>
    <w:p w:rsidR="00D06117" w:rsidRDefault="00D06117" w:rsidP="00D06117">
      <w:pPr>
        <w:pStyle w:val="TextoNormal"/>
      </w:pPr>
    </w:p>
    <w:p w:rsidR="00D06117" w:rsidRDefault="00D06117" w:rsidP="00D06117">
      <w:pPr>
        <w:pStyle w:val="TextoNormal"/>
      </w:pPr>
      <w:r>
        <w:lastRenderedPageBreak/>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w:t>
      </w:r>
      <w:r>
        <w:lastRenderedPageBreak/>
        <w:t>los que, aun no constituyendo el objeto mismo del proceso, resultan relevantes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5</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contrastados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Martínez García fue condenado en junio de 1995 y octubre de 1996 a dos penas de ocho años y otra de doce años de prisión mayor, tras ser considerado autor un delito de atentado en grado de tentativa, otro de depósito de explosivos y otro de pertenencia a la organización terrorista ETA.</w:t>
      </w:r>
    </w:p>
    <w:p w:rsidR="00D06117" w:rsidRDefault="00D06117" w:rsidP="00D06117">
      <w:pPr>
        <w:pStyle w:val="TextoNormal"/>
      </w:pPr>
    </w:p>
    <w:p w:rsidR="00D06117" w:rsidRDefault="00D06117" w:rsidP="00D06117">
      <w:pPr>
        <w:pStyle w:val="TextoNormal"/>
      </w:pPr>
      <w:r>
        <w:t>b) Puesto que había sido condenado en dos procesos por hechos que pudieron ser objeto de uno sólo, el Tribunal sentenciador, por Auto de 6 de noviembre de 2001, vigente ya el Código penal de 1995, procedió a fijar en veinte años el límite máximo de cumplimiento de ambas condenas.</w:t>
      </w:r>
    </w:p>
    <w:p w:rsidR="00D06117" w:rsidRDefault="00D06117" w:rsidP="00D06117">
      <w:pPr>
        <w:pStyle w:val="TextoNormal"/>
      </w:pPr>
    </w:p>
    <w:p w:rsidR="00D06117" w:rsidRDefault="00D06117" w:rsidP="00D06117">
      <w:pPr>
        <w:pStyle w:val="TextoNormal"/>
      </w:pPr>
      <w:r>
        <w:t>c) No hay ninguna otra resolución judicial relevante del Tribunal sentenciador en la ejecutoria hasta que, mediante la providencia de 6 de julio de 2006 que es objeto de esta pretensión de amparo, el Tribunal rechazó la propuesta de cumplimiento definitivo de condena del demandante realizada por el centro penitenciario en el que se encontraba en ese momento interno, ordenando se elevara nueva propuesta de licenciamiento definitivo conforme con los criterios fijados en la STS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De ninguna de las resoluciones judiciales a las que se refiere el recurrente y el Ministerio Fiscal puede derivarse, en el presente caso, el efecto de intangibilidad respecto al criterio de cómputo de las redenciones pretendido. Ninguna de ellas realiza pronunciamiento </w:t>
      </w:r>
      <w:r>
        <w:lastRenderedPageBreak/>
        <w:t>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las mismas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 providencia que ordenó calcular nueva fecha de fecha de licenciamiento definitivo (así como la posterior de 22 de diciembre de 2006 que lo aprobó para el 19 de octubre de 2011) no dejó sin efecto dichas redenciones sino que, en ejercicio de las competencias que legalmente tiene atribuidas, las computó sucesivamente sobre las tres penas impuestas a efectos de liquidación de condena.</w:t>
      </w:r>
    </w:p>
    <w:p w:rsidR="00D06117" w:rsidRDefault="00D06117" w:rsidP="00D06117">
      <w:pPr>
        <w:pStyle w:val="TextoNormal"/>
      </w:pPr>
    </w:p>
    <w:p w:rsidR="00D06117" w:rsidRDefault="00D06117" w:rsidP="00D06117">
      <w:pPr>
        <w:pStyle w:val="TextoNormal"/>
      </w:pPr>
      <w:r>
        <w:t>b) Por lo que respecta al Auto de acumulación de condenas y fijación del límite máximo de cumplimiento de 6 de noviembre de 2001, que el Ministerio Fiscal identifica como resolución intangible que ha sido ilegítimamente desconocida, no podemos compartir su criterio pues dicha resolución se limita a hacer efectiva la previsión legal (arts. 988 LECrim, 70.2 CP 1973 y 76.2 CP 1995) sin razonamiento adicional que pueda tomarse en consideración.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De lo expuesto cabe concluir que, en el presente caso, no cabe apreciar la denunciada vulneración del derecho a la tutela judicial efectiva en su vertiente de intangibilidad de las resoluciones judiciales firmes (art. 24.1 CE) ni, tampoco por esta causa, la vulneración del derecho a la libertad personal (art. 17.1 CE). En efecto, ni puede afirmarse la existencia de una resolución judicial firme e intangible anterior de la que se derive la aplicación al caso de un criterio de cómputo de las redenciones de pena por trabajo distinto del aplicado por las resoluciones recurridas, ni que el recurrente tuviera por ello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Denegar el amparo solicitado por don José Ramón Martínez García.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10121-2006.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49" w:name="SENTENCIA_2012_46"/>
      <w:r>
        <w:lastRenderedPageBreak/>
        <w:t>SENTENCIA 46/2012, de 29 de marzo de 2012</w:t>
      </w:r>
    </w:p>
    <w:bookmarkEnd w:id="4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ECLI:ES:TC:2012:46</w:t>
      </w:r>
    </w:p>
    <w:p w:rsidR="00D06117" w:rsidRDefault="00D06117" w:rsidP="00D06117">
      <w:pPr>
        <w:pStyle w:val="SntesisDescriptiva"/>
      </w:pPr>
    </w:p>
    <w:p w:rsidR="00D06117" w:rsidRDefault="00D06117" w:rsidP="00D06117">
      <w:pPr>
        <w:pStyle w:val="SntesisDescriptiva"/>
      </w:pPr>
      <w:r>
        <w:t>Recurso de amparo 10245-2006. Promovido por don Ángel Luis Hermosa Urra con respecto a las resoluciones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8].</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6, 7].</w:t>
      </w:r>
    </w:p>
    <w:p w:rsidR="00D06117" w:rsidRDefault="00D06117" w:rsidP="00D06117">
      <w:pPr>
        <w:pStyle w:val="Extracto"/>
      </w:pPr>
    </w:p>
    <w:p w:rsidR="00D06117" w:rsidRDefault="00D06117" w:rsidP="00D06117">
      <w:pPr>
        <w:pStyle w:val="Extracto"/>
      </w:pPr>
      <w:r>
        <w:t>4.</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9].</w:t>
      </w:r>
    </w:p>
    <w:p w:rsidR="00D06117" w:rsidRDefault="00D06117" w:rsidP="00D06117">
      <w:pPr>
        <w:pStyle w:val="Extracto"/>
      </w:pPr>
    </w:p>
    <w:p w:rsidR="00D06117" w:rsidRDefault="00D06117" w:rsidP="00D06117">
      <w:pPr>
        <w:pStyle w:val="Extracto"/>
      </w:pPr>
      <w:r>
        <w:t>5.</w:t>
      </w:r>
      <w:r>
        <w:tab/>
        <w:t xml:space="preserve">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w:t>
      </w:r>
      <w:r>
        <w:lastRenderedPageBreak/>
        <w:t>y su evolución muestren que se hallan en condiciones de hacer vida honrada en libertad [FJ 9].</w:t>
      </w:r>
    </w:p>
    <w:p w:rsidR="00D06117" w:rsidRDefault="00D06117" w:rsidP="00D06117">
      <w:pPr>
        <w:pStyle w:val="Extracto"/>
      </w:pPr>
    </w:p>
    <w:p w:rsidR="00D06117" w:rsidRDefault="00D06117" w:rsidP="00D06117">
      <w:pPr>
        <w:pStyle w:val="Extracto"/>
      </w:pPr>
      <w:r>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7.</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5].</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6].</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6].</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6].</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13.</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10245-2006, promovido por don Ángel Luis Hermosa Urra, representado por el Procurador de los Tribunales don José Javier Cuevas Rivas y asistido por el Abogado don Iñaki Goioaga Llano, contra la providencia de 21 de julio de 2006 y el Auto de 10 de octubre de 2006 dictados por la Sección Tercera de la Sala de lo Penal de la Audiencia Nacional en la ejecutoria núm. 5-1998. Ha intervenido el Ministerio Fiscal. Ha comparecido don José Miguel Aybar Miguez, representado por el Procurador de los Tribunales don José Pedro Vila Rodríguez.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14 de noviembre de 2006, el Procurador de los Tribunales don José Javier Cuevas Rivas, en nombre y representación de don Ángel Luis Hermosa Urra,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sucintamente expuestos, los siguientes:</w:t>
      </w:r>
    </w:p>
    <w:p w:rsidR="00D06117" w:rsidRDefault="00D06117" w:rsidP="00D06117">
      <w:pPr>
        <w:pStyle w:val="TextoNormal"/>
      </w:pPr>
    </w:p>
    <w:p w:rsidR="00D06117" w:rsidRDefault="00D06117" w:rsidP="00D06117">
      <w:pPr>
        <w:pStyle w:val="TextoNormal"/>
      </w:pPr>
      <w:r>
        <w:t>a) El demandante ha sido condenado, por delitos de terrorismo, en cuatro procesos por distintas Secciones de la Sala de lo Penal de la Audiencia Nacional:</w:t>
      </w:r>
    </w:p>
    <w:p w:rsidR="00D06117" w:rsidRDefault="00D06117" w:rsidP="00D06117">
      <w:pPr>
        <w:pStyle w:val="TextoNormal"/>
      </w:pPr>
    </w:p>
    <w:p w:rsidR="00D06117" w:rsidRDefault="00D06117" w:rsidP="00D06117">
      <w:pPr>
        <w:pStyle w:val="TextoNormal"/>
      </w:pPr>
      <w:r>
        <w:t>a’) En el sumario núm. 7-1983, por Sentencia de la Sección Tercera de 31 de octubre de 1997, a las penas de treinta años de reclusión mayor por un delito de atentado con resultado de muerte en relación con un delito de asesinato, y de seis años de prisión menor por un delito de utilización ilegítima de vehículo de motor ajeno, cuyo límite máximo de cumplimiento fue fijado en treinta años de privación de libertad.</w:t>
      </w:r>
    </w:p>
    <w:p w:rsidR="00D06117" w:rsidRDefault="00D06117" w:rsidP="00D06117">
      <w:pPr>
        <w:pStyle w:val="TextoNormal"/>
      </w:pPr>
    </w:p>
    <w:p w:rsidR="00D06117" w:rsidRDefault="00D06117" w:rsidP="00D06117">
      <w:pPr>
        <w:pStyle w:val="TextoNormal"/>
      </w:pPr>
      <w:r>
        <w:t>b’) En el sumario núm. 48-1983, por Sentencia de la Sección Primera de 6 de octubre de 1988, a las penas de veintiún años de reclusión menor, siete años de prisión mayor y seis años y un día de prisión mayor, cuyo límite máximo de cumplimiento fue fijado en treinta años de privación de libertad.</w:t>
      </w:r>
    </w:p>
    <w:p w:rsidR="00D06117" w:rsidRDefault="00D06117" w:rsidP="00D06117">
      <w:pPr>
        <w:pStyle w:val="TextoNormal"/>
      </w:pPr>
    </w:p>
    <w:p w:rsidR="00D06117" w:rsidRDefault="00D06117" w:rsidP="00D06117">
      <w:pPr>
        <w:pStyle w:val="TextoNormal"/>
      </w:pPr>
      <w:r>
        <w:t>c’) En el sumario núm. 54-1983, fue condenado en 1994, por la Sección Segunda, a penas de prisión de un total de ciento cincuenta y seis años, cuyo límite máximo de cumplimiento fue fijado en treinta años de privación de libertad.</w:t>
      </w:r>
    </w:p>
    <w:p w:rsidR="00D06117" w:rsidRDefault="00D06117" w:rsidP="00D06117">
      <w:pPr>
        <w:pStyle w:val="TextoNormal"/>
      </w:pPr>
    </w:p>
    <w:p w:rsidR="00D06117" w:rsidRDefault="00D06117" w:rsidP="00D06117">
      <w:pPr>
        <w:pStyle w:val="TextoNormal"/>
      </w:pPr>
      <w:r>
        <w:t>d’) En el sumario núm. 42-1987, por Sentencia de la Sección Segunda, anterior a 1996, a dos penas de ocho años de prisión, una de siete años de prisión, otra de cuatro años y una de seis meses de prisión.</w:t>
      </w:r>
    </w:p>
    <w:p w:rsidR="00D06117" w:rsidRDefault="00D06117" w:rsidP="00D06117">
      <w:pPr>
        <w:pStyle w:val="TextoNormal"/>
      </w:pPr>
    </w:p>
    <w:p w:rsidR="00D06117" w:rsidRDefault="00D06117" w:rsidP="00D06117">
      <w:pPr>
        <w:pStyle w:val="TextoNormal"/>
      </w:pPr>
      <w:r>
        <w:t xml:space="preserve">b) Tras la entrada en vigor del Código penal (CP) de 1995, a fin de determinar si su aplicación le era más favorable (art. 2.2), los Tribunales sentenciadores recabaron del centro penitenciario donde cumplía condena el recurrente la certificación prevista en la disposición transitoria tercera CP 1995. En ellas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consta en las actuaciones que la Sección Segunda de la Sala de lo Penal de la Audiencia Nacional, en el sumario núm. 42-1987, acordó, por Auto de 10 de junio de 1996, que no procedía revisar las penas impuestas al recurrente con el siguiente razonamiento: “no se considera más favorable el nuevo Código cuando la duración de la pena anterior impuesta al hecho con sus circunstancias sea también imponible con arreglo al nuevo Código”, de lo que el Tribunal sentenciador dedujo que “tampoco procederá la revisión cuando la antigua pena por aplicación de los beneficios penitenciarios del art. 100 del Código penal vigente y normas complementarias equivalga en </w:t>
      </w:r>
      <w:r>
        <w:lastRenderedPageBreak/>
        <w:t>términos de cumplimiento real a una pena que también sea imponible, es decir, que se encuentre dentro del ámbito punitivo que establezca la nueva norma”, razón esta por la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t>c) La Sección Tercera de la Sala de lo Penal de la Audiencia Nacional, último Tribunal sentenciador, por Auto de 28 de junio de 2002, procedió a fijar en treinta años el límite máximo de cumplimiento de todas las condenas impuestas (que, en total, sumaban doscientos diecisiete años y seis meses de privación de libertad), de conformidad con lo dispuesto en los arts. 17.5 y 988 de la Ley de enjuiciamiento criminal y el art. 70, regla 2, CP 1973.</w:t>
      </w:r>
    </w:p>
    <w:p w:rsidR="00D06117" w:rsidRDefault="00D06117" w:rsidP="00D06117">
      <w:pPr>
        <w:pStyle w:val="TextoNormal"/>
      </w:pPr>
    </w:p>
    <w:p w:rsidR="00D06117" w:rsidRDefault="00D06117" w:rsidP="00D06117">
      <w:pPr>
        <w:pStyle w:val="TextoNormal"/>
      </w:pPr>
      <w:r>
        <w:t xml:space="preserve">d) Mediante providencia de 21 de julio de 2006, la Sección Tercera de la Sala de lo Penal de la Audiencia Nacional rechazó la propuesta de licenciamiento definitivo del señor Hermosa Urra realizada por el centro penitenciario de Ocaña I, en el que se encontraba en ese momento interno, para el día 8 de septiembre de 2006, fijando como fecha de cumplimiento el 27 de junio de 2017, en aplicación del nuevo criterio establecido por la Sentencia de la Sala de lo Penal del Tribunal Supremo núm. 197/2006, de 20 de febrero, de modo que la redención obtenida se aplique a la primera condena, que quedará extinguida el 8 de septiembre de 2006, iniciándose posteriormente el cumplimiento de la segunda y sucesivas condenas hasta llegar a los treinta años conforme a lo establecido por el art. 70, regla segunda, del Código penal de 1973. </w:t>
      </w:r>
    </w:p>
    <w:p w:rsidR="00D06117" w:rsidRDefault="00D06117" w:rsidP="00D06117">
      <w:pPr>
        <w:pStyle w:val="TextoNormal"/>
      </w:pPr>
    </w:p>
    <w:p w:rsidR="00D06117" w:rsidRDefault="00D06117" w:rsidP="00D06117">
      <w:pPr>
        <w:pStyle w:val="TextoNormal"/>
      </w:pPr>
      <w:r>
        <w:t>e) Interpuesto recurso de súplica por el demandante contra el anterior proveído, invocando la vulneración de los principios de irretroactividad de las normas penales desfavorables y seguridad jurídica (art. 9.3 CE), del principio de igualdad (art. 14 CE), del derecho a la libertad (art. 17.1 CE), del derecho a la tutela judicial efectiva en la vertiente de intangibilidad de las resoluciones judiciales firmes (art. 24.1 CE), y del principio de legalidad penal (art. 25.1 CE), su recurso fue desestimado por Auto de 10 de octubre de 2006, en el que se reitera la aplicación al caso del nuevo criterio establecido por la citada Sentencia de la Sala de lo Penal del Tribunal Supremo núm. 197/2006, de 20 de febrero.</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los siete motivos o quejas que a continuación se señalan.</w:t>
      </w:r>
    </w:p>
    <w:p w:rsidR="00D06117" w:rsidRDefault="00D06117" w:rsidP="00D06117">
      <w:pPr>
        <w:pStyle w:val="TextoNormal"/>
      </w:pPr>
    </w:p>
    <w:p w:rsidR="00D06117" w:rsidRDefault="00D06117" w:rsidP="00D06117">
      <w:pPr>
        <w:pStyle w:val="TextoNormal"/>
      </w:pPr>
      <w: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 providencia impugnada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y que compromete, en consecuencia, la imparcialidad de la Audiencia Nacional. Por otra parte, sostiene el recurrente que la Audiencia Nacional, al aplicar la nueva doctrina del Tribunal Supremo sin oírle previamente </w:t>
      </w:r>
      <w:r>
        <w:lastRenderedPageBreak/>
        <w:t>ha impedido su derecho a la segunda instancia, pues el Tribunal Constitucional es el primer órgano al que se ha podido dirigir el recurrente para reclamar frente a la indefensión creada.</w:t>
      </w:r>
    </w:p>
    <w:p w:rsidR="00D06117" w:rsidRDefault="00D06117" w:rsidP="00D06117">
      <w:pPr>
        <w:pStyle w:val="TextoNormal"/>
      </w:pPr>
    </w:p>
    <w:p w:rsidR="00D06117" w:rsidRDefault="00D06117" w:rsidP="00D06117">
      <w:pPr>
        <w:pStyle w:val="TextoNormal"/>
      </w:pPr>
      <w:r>
        <w:t>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En el tercer motivo de amparo denuncia el recurrente la vulneración del derecho a la tutela judicial efectiva sin indefensión (art. 24.1 CE) en la vertiente de intangibilidad de las resoluciones judiciales firmes, en relación con el derecho a la libertad (art. 17.1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una expectativa de importante acortamiento de su condena.</w:t>
      </w:r>
    </w:p>
    <w:p w:rsidR="00D06117" w:rsidRDefault="00D06117" w:rsidP="00D06117">
      <w:pPr>
        <w:pStyle w:val="TextoNormal"/>
      </w:pPr>
    </w:p>
    <w:p w:rsidR="00D06117" w:rsidRDefault="00D06117" w:rsidP="00D06117">
      <w:pPr>
        <w:pStyle w:val="TextoNormal"/>
      </w:pPr>
      <w:r>
        <w:t>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00D06117" w:rsidRDefault="00D06117" w:rsidP="00D06117">
      <w:pPr>
        <w:pStyle w:val="TextoNormal"/>
      </w:pPr>
    </w:p>
    <w:p w:rsidR="00D06117" w:rsidRDefault="00D06117" w:rsidP="00D06117">
      <w:pPr>
        <w:pStyle w:val="TextoNormal"/>
      </w:pPr>
      <w:r>
        <w:t>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00D06117" w:rsidRDefault="00D06117" w:rsidP="00D06117">
      <w:pPr>
        <w:pStyle w:val="TextoNormal"/>
      </w:pPr>
    </w:p>
    <w:p w:rsidR="00D06117" w:rsidRDefault="00D06117" w:rsidP="00D06117">
      <w:pPr>
        <w:pStyle w:val="TextoNormal"/>
      </w:pPr>
      <w:r>
        <w:lastRenderedPageBreak/>
        <w:t>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28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D06117" w:rsidRDefault="00D06117" w:rsidP="00D06117">
      <w:pPr>
        <w:pStyle w:val="TextoNormal"/>
      </w:pPr>
    </w:p>
    <w:p w:rsidR="00D06117" w:rsidRDefault="00D06117" w:rsidP="00D06117">
      <w:pPr>
        <w:pStyle w:val="TextoNormal"/>
      </w:pPr>
      <w:r>
        <w:t>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t>4</w:t>
      </w:r>
      <w:r>
        <w:t>. Por escrito registrado en este Tribunal el 26 de marzo de 2007, el Procurador de los Tribunales don José Javier Cuevas Rivas, en nombre y representación del demandante de amparo, solicitó la suspensión de las resoluciones impugnadas “al considerar que la ejecución ocasiona un perjuicio que haría perder al amparo su finalidad ya que se encuentra en prisión, cumpliendo una condena, más allá del límite máximo establecido en el art. 70.2 del Código penal de 1973”.</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26 de septiembre de 2007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 ejecutoria núm. 5-1998,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D06117" w:rsidRDefault="00D06117" w:rsidP="00D06117">
      <w:pPr>
        <w:pStyle w:val="TextoNormal"/>
      </w:pPr>
    </w:p>
    <w:p w:rsidR="00D06117" w:rsidRDefault="00D06117" w:rsidP="00D06117">
      <w:pPr>
        <w:pStyle w:val="TextoNormal"/>
      </w:pPr>
      <w:r>
        <w:t>Asimismo,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 Concluida la tramitación del incidente la Sala Primera acordó denegar la suspensión interesada por ATC 17/2008, de 21 de enero.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Mediante diligencia de ordenación del Secretario de Justicia de la Sala Primera de 28 de noviembre de 2007 se tuvo por recibido el testimonio de las actuaciones remitido por la Sección Tercera de la Sala de lo Penal de la Audiencia Nacional, y se tuvo por personado al Procurador de los Tribunales don José Pedro Vila Rodríguez, en nombre y representación de don José Miguel Aybar Miguez. Asimismo se procedió, conforme a lo establecido en el art. 52.1 LOTC, a dar vista de las actuaciones por plazo común de veinte días al Ministerio Fiscal y a las partes personadas para presentar las alegaciones que estimasen pertinentes.</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recurrente presentó su escrito de alegaciones en este Tribunal el 4 de enero de 2008, en el que viene a ratificarse en las formuladas en la demanda de amparo, que resume.</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presentó su escrito de alegaciones en este Tribunal el 14 de enero de 2008. Comienza el Fiscal resumiendo los motivos de la demanda de amparo numerados como segundo, tercero y sexto, pues, a su juicio, entendidos en su conjunto, dichos motivos constituyen la médula del amparo que se solicita, mientras que los motivos de amparo restantes carecen de fundamento y deben ser rechazados, según el Fiscal, por las razones que seguidamente se resumen.</w:t>
      </w:r>
    </w:p>
    <w:p w:rsidR="00D06117" w:rsidRDefault="00D06117" w:rsidP="00D06117">
      <w:pPr>
        <w:pStyle w:val="TextoNormal"/>
      </w:pPr>
    </w:p>
    <w:p w:rsidR="00D06117" w:rsidRDefault="00D06117" w:rsidP="00D06117">
      <w:pPr>
        <w:pStyle w:val="TextoNormal"/>
      </w:pPr>
      <w:r>
        <w:t>En primer lugar, carece de fundamento la queja del recurrente referida a la infracción del derecho a la tutela judicial efectiva, a la que asocia la de sus derechos de defensa, a ser informado de la acusación, a un proceso público y con todas las garantías y a un juicio justo, todo ello 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al interponer su recurso de suplica contra la providencia de 21 de julio de 2006.</w:t>
      </w:r>
    </w:p>
    <w:p w:rsidR="00D06117" w:rsidRDefault="00D06117" w:rsidP="00D06117">
      <w:pPr>
        <w:pStyle w:val="TextoNormal"/>
      </w:pPr>
    </w:p>
    <w:p w:rsidR="00D06117" w:rsidRDefault="00D06117" w:rsidP="00D06117">
      <w:pPr>
        <w:pStyle w:val="TextoNormal"/>
      </w:pPr>
      <w:r>
        <w:t>No existe tampoco vulneración del principio de legalidad penal conectado al de irretroactividad de las normas penales y restrictivas de derechos (motivo de amparo cuarto), pues no tiene fundamento alguno sostener que se ha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20 de febrero, y no el art. 78 CP 1995.</w:t>
      </w:r>
    </w:p>
    <w:p w:rsidR="00D06117" w:rsidRDefault="00D06117" w:rsidP="00D06117">
      <w:pPr>
        <w:pStyle w:val="TextoNormal"/>
      </w:pPr>
    </w:p>
    <w:p w:rsidR="00D06117" w:rsidRDefault="00D06117" w:rsidP="00D06117">
      <w:pPr>
        <w:pStyle w:val="TextoNormal"/>
      </w:pPr>
      <w:r>
        <w:t>No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En fin, también debe ser rechazada la pretendida vulneración del art. 25.2 CE (motivo séptimo y último de amparo), entre otras razones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Por el contrario, lo que resulta relevante según el Fiscal, como se desprende de los motivos segundo, tercero y sexto de la demanda de amparo, aunque ciertamente el recurrente no exponga la cuestión con la deseable claridad, es la aplicación del nuevo criterio jurisprudencial surgido de la citada Sentencia de la Sala de lo Penal del Tribunal Supremo núm. 197/2006, de 20 de febrero, a situaciones ya reconocidas por resoluciones firmes, en referencia al Auto de 7 de octubre de 1996 de la Sección Tercera de la Sala de lo Penal de la Audiencia Nacional que refundió las condenas impuestas al recurrente y señaló como pena única a cumplir la de treinta años, así como a las liquidaciones de condena que siguieron a ese Auto con aplicación de las redenciones que se iban produciendo (antes de dictarse las resoluciones judiciales impugnadas en amparo), lo que resulta perjudicial para el recurrente.</w:t>
      </w:r>
    </w:p>
    <w:p w:rsidR="00D06117" w:rsidRDefault="00D06117" w:rsidP="00D06117">
      <w:pPr>
        <w:pStyle w:val="TextoNormal"/>
      </w:pPr>
    </w:p>
    <w:p w:rsidR="00D06117" w:rsidRDefault="00D06117" w:rsidP="00D06117">
      <w:pPr>
        <w:pStyle w:val="TextoNormal"/>
      </w:pPr>
      <w:r>
        <w:t>La firmeza de las referidas resoluciones impide, a juicio del Fiscal, la revisión de ese criterio en virtud de una jurisprudencia posterior porque ello rompe con las legítimas expectativas del interno y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20 de febrero, aplicada por la Audiencia Nacional en las resoluciones impugnadas en amparo.</w:t>
      </w:r>
    </w:p>
    <w:p w:rsidR="00D06117" w:rsidRDefault="00D06117" w:rsidP="00D06117">
      <w:pPr>
        <w:pStyle w:val="TextoNormal"/>
      </w:pPr>
    </w:p>
    <w:p w:rsidR="00D06117" w:rsidRDefault="00D06117" w:rsidP="00D06117">
      <w:pPr>
        <w:pStyle w:val="TextoNormal"/>
      </w:pPr>
      <w:r>
        <w:t>Por lo expuesto el Fiscal interesa la estimación del amparo en lo referente a declarar vulnerado el derecho a la tutela judicial efectiva en su vertiente de intangibilidad de las resoluciones judiciales firmes (art. 24.1 CE), en conexión con el derecho a la irretroactividad de interpretaciones desfavorables para el reo (art. 25.1 CE) y el derecho a la libertad personal (art. 17.1 CE), procediendo desestimar la demanda de amparo en todo lo demás.</w:t>
      </w:r>
    </w:p>
    <w:p w:rsidR="00D06117" w:rsidRDefault="00D06117" w:rsidP="00D06117">
      <w:pPr>
        <w:pStyle w:val="TextoNormal"/>
      </w:pPr>
    </w:p>
    <w:p w:rsidR="00D06117" w:rsidRDefault="00D06117" w:rsidP="00D06117">
      <w:pPr>
        <w:pStyle w:val="TextoNormal"/>
      </w:pPr>
      <w:r>
        <w:t>La consecuencia del otorgamiento del amparo ha de ser, según el Fiscal, la anulación de la providencia y Auto impugnados, para que se dicte nueva resolución por la Sección Tercera de la Sala de lo Penal de la Audiencia Nacional que resuelva sobre el licenciamiento definitivo del recurrente respetando los derechos fundamentales que han sido vulnerados, lo que comporta que la liquidación de condena y la fecha de licenciamiento definitivo del recurrente debe quedar fijada de conformidad con el criterio interpretativo que en su momento señaló el Auto de 28 de junio de 2002 y la propuesta de liquidación provisional formulada por el centro penitenciario de Ocaña I atendiendo al mismo.</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procesal de don José Miguel Aybar Miguez no formuló alegaciones.</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21 de junio de 2011 el Pleno, de conformidad con lo establecido en el art. 10.1 n) LOTC y a propuesta de la Sala Primera,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26 de marzo de 2012, se acordó señalar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10 de octubre de 2006 de la Sección Tercera de la Sala de lo Penal de la Audiencia Nacional, que desestimó el recurso de súplica presentado contra la anterior providencia de 21 de julio de 2006 por la que se acordó aprobar el cumplimiento definitivo de la pena impuesta al demandante con fecha 27 de junio de 2017, sin perjuicio de las redenciones que le pudieran ser aplicadas en su día, conforme al criterio de la Sentencia núm. 197/2006, de 28 de febrero, de la Sala de lo Penal del Tribunal Supremo. Según dicha Sentencia, en caso de penas acumuladas la redención de penas por el trabajo obtenida ha de computarse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la defensa, a ser informado de la acusación y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por su parte, apoya la estimación del recurso de amparo, por entender que la aplicación del nuevo criterio jurisprudencial fijado en la referida Sentencia núm. 197/2006 de la Sala de lo Penal del Tribunal Supremo supone la vulneración de los derechos fundamentales consagrados en los arts. 17.1, 24.1 y 25.1 CE, por afectar a situaciones ya reconocidas por resoluciones firmes.</w:t>
      </w:r>
    </w:p>
    <w:p w:rsidR="00D06117" w:rsidRDefault="00D06117" w:rsidP="00D06117">
      <w:pPr>
        <w:pStyle w:val="TextoNormal"/>
      </w:pPr>
    </w:p>
    <w:p w:rsidR="00D06117" w:rsidRDefault="00D06117" w:rsidP="00D06117">
      <w:pPr>
        <w:pStyle w:val="TextoNormal"/>
      </w:pPr>
      <w:r w:rsidRPr="00D06117">
        <w:rPr>
          <w:rStyle w:val="NumeroAFNegritaCaracter"/>
        </w:rPr>
        <w:t>2</w:t>
      </w:r>
      <w:r>
        <w:t>. Como ha quedado reflejado con detalle en los antecedentes, bajo la invocación de los derechos a la tutela judicial efectiva sin indefensión (art. 24.1 CE), a la defensa, a ser informado de la acusación y a un proceso con todas las garantías (art. 24.2 CE), se denuncia por el demandante de amparo, en primer lugar, la supuesta indefensión que le habría producido el hecho de que la primera de las resoluciones recurridas —la providencia de 21 de julio de 2006— se adoptó sin haberle dado audiencia previa, pese a que la propuesta del centro penitenciario en el que se hallaba interno ofrecía una fecha de licenciamiento definitivo más favorable, cuestión esta que afecta decisivamente a su derecho a la libertad personal (art. 17.1 CE).</w:t>
      </w:r>
    </w:p>
    <w:p w:rsidR="00D06117" w:rsidRDefault="00D06117" w:rsidP="00D06117">
      <w:pPr>
        <w:pStyle w:val="TextoNormal"/>
      </w:pPr>
    </w:p>
    <w:p w:rsidR="00D06117" w:rsidRDefault="00D06117" w:rsidP="00D06117">
      <w:pPr>
        <w:pStyle w:val="TextoNormal"/>
      </w:pPr>
      <w:r>
        <w:lastRenderedPageBreak/>
        <w:t>No cabe duda de que la queja tiene base fáctica, pues la secuencia procesal descrita por el demandante fue la seguida por el Tribunal encargado de la ejecución de las penas impuestas; sin embargo ha de ser inadmitida, al concurrir respecto de ella el óbice procesal consistente en la falta de invocación ante los órganos de la jurisdicción ordinaria [art. 44.1 c) de la Ley Orgánica del Tribunal Constitucional]. En efecto, de la mera lectura del recurso de súplica interpuesto contra la providencia dictada en fase de ejecución el 21 de julio de 2006 se desprende que el recurrente articuló una serie de motivos de impugnación para oponerse a esa nueva perspectiva jurídica en el cómputo de las redenciones (lo que, como bien señala el Ministerio Fiscal, excluiría por sí mismo la indefensión alegada), pero no denunció entonces indefensión alguna por el motivo ahora analizado, por lo que esta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presentación de la demanda de amparo ante este Tribunal, ha de darse oportunidad a los órganos judiciales de reparar la vulneración supuestamente cometida a través del planteamiento en el proceso judicial del problema constitucional que es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De otra parte, dentro asimismo del primero de los motivos de amparo, se aduce por el recurrente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10 de octubre de 2006. En esta resolución el Tribunal sentenciador rechazó expresamente los motivos de impugnación que le fueron planteados, permitiendo así al penado conocer la ratio decidendi de la desestimación de su recurso.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en el Pacto internacional de derechos civiles y políticos (PIDCP) y en el art. 2 del Protocolo 7 del Convenio europeo de derechos humanos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los restantes motivos de amparo, alegando siempre que su libertad personal se ha visto ilegítimamente afectada, denuncia el recurrente desde diversas perspectivas constitucionales la cuestión de fondo, esto es, la aplicación a las condenas privativas de libertad que cumple de un nuevo criterio jurisprudencial, adoptado por el Tribunal Supremo en la interpretación de los arts. 70.2 y 100 del Código penal (CP) de 1973 y preceptos concordantes </w:t>
      </w:r>
      <w:r>
        <w:lastRenderedPageBreak/>
        <w:t>del reglamento penitenciario, en relación con el cómputo de la redención de penas por trabajo en penas acumuladas a las que se ha fijado, según prevé el Código Penal, un límite máximo de cumplimiento; en este caso de treinta años de prisión. Según se afirma en la demanda de amparo, frente al criterio anterior reiteradamente aplicado por los órganos judiciales, conforme al cual los días redimidos se descontaban del límite máximo de cumplimiento una vez operada la refundición o acumulación de condenas, la Sala de lo Penal del Tribunal Supremo, en la Sentencia núm.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Partiendo de esta premisa, y como quedó reflejado en los antecedentes, el recurrente denuncia en los motivos segundo, cuarto, quinto y sexto de su demanda la supuesta vulneración del principio de legalidad penal —desde la doble perspectiva de la ilegitimidad del nuevo criterio interpretativo y la aplicación retroactiva de una ley desfavorable (art. 25.1 CE)— y del principio de igualdad en la aplicación de la ley (art.14 CE), en relación con su derecho a la libertad personal (art. 17.1 CE), dado que se trata del cumplimiento de una pena de prisión.</w:t>
      </w:r>
    </w:p>
    <w:p w:rsidR="00D06117" w:rsidRDefault="00D06117" w:rsidP="00D06117">
      <w:pPr>
        <w:pStyle w:val="TextoNormal"/>
      </w:pPr>
    </w:p>
    <w:p w:rsidR="00D06117" w:rsidRDefault="00D06117" w:rsidP="00D06117">
      <w:pPr>
        <w:pStyle w:val="TextoNormal"/>
      </w:pPr>
      <w:r>
        <w:t>Estas quejas deben ser rechazadas, dado que el contenido de los derechos alegados no tiene el alcance expresado por el recurrente, conforme seguidamente se razona.</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w:t>
      </w:r>
    </w:p>
    <w:p w:rsidR="00D06117" w:rsidRDefault="00D06117" w:rsidP="00D06117">
      <w:pPr>
        <w:pStyle w:val="TextoNormal"/>
      </w:pPr>
    </w:p>
    <w:p w:rsidR="00D06117" w:rsidRDefault="00D06117" w:rsidP="00D06117">
      <w:pPr>
        <w:pStyle w:val="TextoNormal"/>
      </w:pPr>
      <w:r>
        <w:t xml:space="preserve">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y la Decisión de la Comisión de 3 marzo 1986, Decisiones e informes [DR] 46, págs. 231, 242, en materia de libertad condicional. Y más recientemente </w:t>
      </w:r>
      <w:r>
        <w:lastRenderedPageBreak/>
        <w:t>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En consecuencia, debe ser rechazada la queja que se formula como segundo motivo de amparo, en el que se aduce la vulneración del principio de legalidad penal (art. 25.1 CE) por la interpretación realizada por el Tribunal sentenciador en las resoluciones impugnadas de los arts. 70.2 y 100 CP 1973, así como de los arts. 66 del reglamento de prisiones de 1956 y del art. 202 del reglamento penitenciario actual.</w:t>
      </w:r>
    </w:p>
    <w:p w:rsidR="00D06117" w:rsidRDefault="00D06117" w:rsidP="00D06117">
      <w:pPr>
        <w:pStyle w:val="TextoNormal"/>
      </w:pPr>
    </w:p>
    <w:p w:rsidR="00D06117" w:rsidRDefault="00D06117" w:rsidP="00D06117">
      <w:pPr>
        <w:pStyle w:val="TextoNormal"/>
      </w:pPr>
      <w:r>
        <w:t>Asimismo debe rechazarse la denunciada vulneración (motivo de amparo cuarto) del derecho a la legalidad de las infracciones y sanciones (art. 25.1 CE) por aplicación retroactiva del art. 78 CP 1995 (tanto en su redacción inicial como en la dada al mismo por la Ley Orgánica 7/2003), bajo el ropaje aparente del art. 70.2 CP 1973. En aquel precepto el legislador establece que para determinados supuestos de acumulación de penas el Juez o Tribunal sentenciador “podrá acordar que los beneficios penitenciarios, los permisos de salida, la clasificación en tercer grado y el cómputo de tiempo para la libertad condicional se refieran a la totalidad de las penas impuestas en las sentencias” (art. 78.1 CP 1995), criterio que deviene obligatorio cuando se trata de penas especialmente graves aunque, no obstante, se prevean algunas excepciones que deberá valorar el Juez de vigilancia penitenciaria (art. 78.2 y 3 CP 1995).</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el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del art. 988 de la Ley de enjuiciamiento criminal (LECrim). Por tanto, teniendo en cuenta el razonamiento de los órganos judiciales y los preceptos que se aplican, la queja carece de fundamento,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 como acertadamente señala el Ministerio Fiscal.</w:t>
      </w:r>
    </w:p>
    <w:p w:rsidR="00D06117" w:rsidRDefault="00D06117" w:rsidP="00D06117">
      <w:pPr>
        <w:pStyle w:val="TextoNormal"/>
      </w:pPr>
    </w:p>
    <w:p w:rsidR="00D06117" w:rsidRDefault="00D06117" w:rsidP="00D06117">
      <w:pPr>
        <w:pStyle w:val="TextoNormal"/>
      </w:pPr>
      <w:r>
        <w:t>De todo lo expuesto se colige también, por las razones expuestas, que el recurrente no ha sido privado de su libertad personal en supuestos distintos de los establecidos en la ley penal, lo que descarta la alegada vulneración del derecho a la libertad personal (art. 17.1 CE) que se alega en el sexto motivo de su demanda de amparo.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Los cambios de criterio jurisprudencial y su conformidad con la Constitución sí pueden ser cuestionados desde otras perspectivas. Una de ellas, alegada en la demanda de amparo (como quinto motivo), tiene que ver con el contenido del derecho a la igualdad en la aplicación de la ley (art. 14 CE). Sin embargo, tampoco desde esta perspectiva puede apreciarse en el presente caso la vulneración denunciada.</w:t>
      </w:r>
    </w:p>
    <w:p w:rsidR="00D06117" w:rsidRDefault="00D06117" w:rsidP="00D06117">
      <w:pPr>
        <w:pStyle w:val="TextoNormal"/>
      </w:pPr>
    </w:p>
    <w:p w:rsidR="00D06117" w:rsidRDefault="00D06117" w:rsidP="00D06117">
      <w:pPr>
        <w:pStyle w:val="TextoNormal"/>
      </w:pPr>
      <w:r>
        <w:t>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reiterada doctrina (entre otras muchas,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6</w:t>
      </w:r>
      <w:r>
        <w:t>. En su tercer motivo de amparo denuncia el recurrente que la aplicación de la nueva interpretación jurisprudencial que cuestiona (la establecida en la citada Sentencia de la Sala de lo Penal del Tribunal Supremo núm. 197/2006, de 28 de febrero), sobre la forma de cómputo de la redención de penas por el trabajo, le genera una situación de indefensión e inseguridad jurídica que vulnera su derecho a la tutela judicial efectiva, en cuanto garantiza la intangibilidad de las resoluciones judiciales firmes (art. 24.1 CE), y en relación con el derecho a la libertad personal (art. 17.1 CE).</w:t>
      </w:r>
    </w:p>
    <w:p w:rsidR="00D06117" w:rsidRDefault="00D06117" w:rsidP="00D06117">
      <w:pPr>
        <w:pStyle w:val="TextoNormal"/>
      </w:pPr>
    </w:p>
    <w:p w:rsidR="00D06117" w:rsidRDefault="00D06117" w:rsidP="00D06117">
      <w:pPr>
        <w:pStyle w:val="TextoNormal"/>
      </w:pPr>
      <w:r>
        <w:t>Sin referencia exacta a ninguna resolución judicial concreta anterior, aduce que la doctrina jurisprudencial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El Ministerio Fiscal comparte también este razonamiento del recurrente por considerar que no es de recibo que, establecidos en resolución judicial firme unos criterios de interpretación normativa para fijar la refundición de condena, puedan variarse tales criterios en virtud de una posterior resolución, en este caso de la Sala de lo Penal del Tribunal Supremo, que interpreta de otra manera las normas aplicables, como lo hacen las resoluciones judiciales ahora recurridas en amparo, rompiendo las legítimas expectativas del interno y lesionando así su derecho a la intangibilidad de las resoluciones judiciales firmes (art. 24.1 CE). La resolución judicial firme en la que considera el Fiscal que dichos criterios quedaron establecidos de forma intangible sería el Auto de 28 de junio de 1992 que procedió a refundir las condenas impuestas al recurrente en amparo, fijando en treinta años el límite máximo de cumplimiento; resolución judicial a la que han seguido las liquidaciones de condena que aplicaban las redenciones que se iban produciendo.</w:t>
      </w:r>
    </w:p>
    <w:p w:rsidR="00D06117" w:rsidRDefault="00D06117" w:rsidP="00D06117">
      <w:pPr>
        <w:pStyle w:val="TextoNormal"/>
      </w:pPr>
    </w:p>
    <w:p w:rsidR="00D06117" w:rsidRDefault="00D06117" w:rsidP="00D06117">
      <w:pPr>
        <w:pStyle w:val="TextoNormal"/>
      </w:pPr>
      <w:r>
        <w:t>En relación con esta queja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117.3 CE, corresponden en exclusiva a los órganos judiciales (por todas,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 por todas).</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citadas SSTC 219/2000, FJ 5; 151/2001, FJ 3; 163/2003, FJ 4; 15/2006, FJ 4; 231/2006, FJ 2; y 62/2010, FJ 4. En tal sentido hemos afirmado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doctrina citada, la intangibilidad de lo decidido en una resolución judicial firme no afecta sólo al contenido del fallo, sino que también se proyecta sobre aquellos pronunciamientos que constituyen ratio decidendi de la resolución, aunque no se trasladen al fallo (STC 15/2006, FJ 6) o sobre los que, aun no constituyendo el objeto mismo del proceso, resultan determinantes para la decisión adoptada </w:t>
      </w:r>
      <w:r>
        <w:lastRenderedPageBreak/>
        <w:t>(STC 62/2010,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recurrente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7</w:t>
      </w:r>
      <w:r>
        <w:t>. La respuesta a la anterior cuestión ha de ser negativa pues, como veremos, el análisis de las resoluciones judiciales dictadas por el Tribunal sentenciador en el proceso de ejecución de las penas privativas de libertad impuestas al recurrente muestra que, antes de dictar las resoluciones judiciales impugnadas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recurrente y el Ministerio Fiscal, y hemos recogido en los antecedentes de esta resolución, una vez examinadas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que resultan de las actuaciones los siguientes:</w:t>
      </w:r>
    </w:p>
    <w:p w:rsidR="00D06117" w:rsidRDefault="00D06117" w:rsidP="00D06117">
      <w:pPr>
        <w:pStyle w:val="TextoNormal"/>
      </w:pPr>
    </w:p>
    <w:p w:rsidR="00D06117" w:rsidRDefault="00D06117" w:rsidP="00D06117">
      <w:pPr>
        <w:pStyle w:val="TextoNormal"/>
      </w:pPr>
      <w:r>
        <w:t>a) El demandante fue condenado en 1994, en el sumario núm. 42-1987, por Sentencia de la Sección Segunda de la Sala de lo Penal de la Audiencia Nacional, a dos penas de ocho años de prisión, una de siete años de prisión, otra de cuatro años de prisión y una de seis meses de prisión.</w:t>
      </w:r>
    </w:p>
    <w:p w:rsidR="00D06117" w:rsidRDefault="00D06117" w:rsidP="00D06117">
      <w:pPr>
        <w:pStyle w:val="TextoNormal"/>
      </w:pPr>
    </w:p>
    <w:p w:rsidR="00D06117" w:rsidRDefault="00D06117" w:rsidP="00D06117">
      <w:pPr>
        <w:pStyle w:val="TextoNormal"/>
      </w:pPr>
      <w:r>
        <w:t xml:space="preserve">b) Tras la entrada en vigor del Código penal de 1995, a fin de determinar si su aplicación le era más favorable (art. 2.2), el Tribunal sentenciador recabó del centro penitenciario donde cumplía condena el recurrente la certificación prevista en la disposición transitoria tercera CP 1995. En ella se hace referencia a los beneficios penitenciarios que el penado había obtenido hasta ese momento y las fechas previstas de cumplimiento con cómputo y sin cómputo de tales beneficios penitenciarios. Contrastada la condena impuesta en el sumario núm. 42-1987 con las penas previstas para los hechos en el nuevo Código penal de 1995, el Tribunal sentenciador acordó, por Auto de 10 de junio de 1996, que no procedía revisar las penas impuestas al recurrente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w:t>
      </w:r>
      <w:r>
        <w:lastRenderedPageBreak/>
        <w:t>es decir, que se encuentre dentro del ámbito punitivo que establezca la nueva norma”, razón esta por la acordó no haber lugar a la revisión, dado que la pena impuesta conforme al Código penal de 1973 era también imponible conforme al nuevo Código penal.</w:t>
      </w:r>
    </w:p>
    <w:p w:rsidR="00D06117" w:rsidRDefault="00D06117" w:rsidP="00D06117">
      <w:pPr>
        <w:pStyle w:val="TextoNormal"/>
      </w:pPr>
      <w:r>
        <w:t>c) Puesto que también había sido condenado en otros procesos (a penas que sumaban 226 años de privación de libertad) por hechos que pudieron ser objeto de uno sólo, la Sección Tercera de la Sala de lo Penal de la Audiencia Nacional, por Auto de 28 de junio de 2002, procedió a fijar en treinta años el límite máximo de cumplimiento de todas las condenas impuestas, de conformidad con lo dispuesto en los arts. 17.5 y 988 LECrim y el art. 70, regla segunda, CP 1973.</w:t>
      </w:r>
    </w:p>
    <w:p w:rsidR="00D06117" w:rsidRDefault="00D06117" w:rsidP="00D06117">
      <w:pPr>
        <w:pStyle w:val="TextoNormal"/>
      </w:pPr>
    </w:p>
    <w:p w:rsidR="00D06117" w:rsidRDefault="00D06117" w:rsidP="00D06117">
      <w:pPr>
        <w:pStyle w:val="TextoNormal"/>
      </w:pPr>
      <w:r>
        <w:t>d) No hay en las actuaciones recibidas ni se aduce en la demanda ninguna otra resolución judicial relevante del Tribunal sentenciador en la ejecutoria hasta que, mediante la providencia de 21 de julio de 2006 que se recurre en amparo, la Sala, rechazando la propuesta de cumplimiento definitivo de condena del recurrente realizada por el centro penitenciario en el que se encontraba en ese momento internado, fijó como nueva fecha de cumplimiento y excarcelación el 27 de junio de 2017 (treinta años después de ingresar en prisión).</w:t>
      </w:r>
    </w:p>
    <w:p w:rsidR="00D06117" w:rsidRDefault="00D06117" w:rsidP="00D06117">
      <w:pPr>
        <w:pStyle w:val="TextoNormal"/>
      </w:pPr>
    </w:p>
    <w:p w:rsidR="00D06117" w:rsidRDefault="00D06117" w:rsidP="00D06117">
      <w:pPr>
        <w:pStyle w:val="TextoNormal"/>
      </w:pPr>
      <w:r w:rsidRPr="00D06117">
        <w:rPr>
          <w:rStyle w:val="NumeroAFNegritaCaracter"/>
        </w:rPr>
        <w:t>8</w:t>
      </w:r>
      <w:r>
        <w:t>.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el Tribunal sentenciador, las computó sucesivamente sobre las penas impuestas al recurrente a efectos de liquidación de condena. El efecto práctico, como ya se ha dicho, es que las penas que sumaban un total de 253 años y 6 meses de privación de libertad, a las que se había fijado un límite máximo de cumplimiento de treinta años, han sido dadas por extinguidas a los treinta años de ingresar el penado en prisión por estas causas (en julio de 1987).</w:t>
      </w:r>
    </w:p>
    <w:p w:rsidR="00D06117" w:rsidRDefault="00D06117" w:rsidP="00D06117">
      <w:pPr>
        <w:pStyle w:val="TextoNormal"/>
      </w:pPr>
    </w:p>
    <w:p w:rsidR="00D06117" w:rsidRDefault="00D06117" w:rsidP="00D06117">
      <w:pPr>
        <w:pStyle w:val="TextoNormal"/>
      </w:pPr>
      <w:r>
        <w:t>b) Por lo que respecta al Auto de 28 de junio de 2002 de acumulación de condenas y fijación del límite máximo de cumplimiento, que cita el Ministerio Fiscal como resolución firme e intangible que ha sido ilegítimamente desconocida, dicha resolución se limita a ha</w:t>
      </w:r>
      <w:r>
        <w:lastRenderedPageBreak/>
        <w:t>cer efectiva la previsión legal (art. 988 LECrim y art. 70.2 CP 1973). No existe en él referencia alguna a la redención de penas por el trabajo o al criterio de cómputo de la misma, ni puede concluirse que dicho criterio sea relevante en modo alguno en la decisión de acumulación y fijación del límite máximo de cumplimiento adoptada en su día.</w:t>
      </w:r>
    </w:p>
    <w:p w:rsidR="00D06117" w:rsidRDefault="00D06117" w:rsidP="00D06117">
      <w:pPr>
        <w:pStyle w:val="TextoNormal"/>
      </w:pPr>
    </w:p>
    <w:p w:rsidR="00D06117" w:rsidRDefault="00D06117" w:rsidP="00D06117">
      <w:pPr>
        <w:pStyle w:val="TextoNormal"/>
      </w:pPr>
      <w:r>
        <w:t>c) Finalmente, en lo que atañe al Auto de 10 de junio de 1996, ha de señalarse que este acordó no haber lugar a la revisión de las penas impuestas al demandante en el sumario núm. 42-1987, por considerar que, dados los hechos enjuiciados y las penas que le habían sido impuestas, no eran más favorables las previsiones punitivas del Código penal de 1995, y lo que ahora se destaca es que esa resolución se dictó con anterioridad a que se acordara la acumulación de condenas impuestas al demandante de amparo, de manera que el órgano judicial no pudo fijar un criterio sobre la forma de cómputo de redenciones en penas acumuladas.</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
      </w:pPr>
      <w:r w:rsidRPr="00D06117">
        <w:rPr>
          <w:rStyle w:val="NumeroAFNegritaCaracter"/>
        </w:rPr>
        <w:t>9</w:t>
      </w:r>
      <w:r>
        <w:t>. La misma suerte desestimatoria debe seguir la queja planteada en el último motivo de amparo de la demanda de amparo, según la cual el nuevo criterio de cómputo de las redenciones que le ha sido aplicado al recurrente deja sin efecto práctico las redenciones y la libertad condicional, lo cual vulneraría el art. 25.2 CE en cuanto prevé que las penas privativas de libertad y las medidas de seguridad estarán orientadas hacia la reeducación y reinserción social, de suerte que las resoluciones judiciales impugnadas niegan “el carácter incentivador y reinsertador de las redenciones al no tener ninguna plasmación como beneficio penitenciario en el acortamiento de la condena”.</w:t>
      </w:r>
    </w:p>
    <w:p w:rsidR="00D06117" w:rsidRDefault="00D06117" w:rsidP="00D06117">
      <w:pPr>
        <w:pStyle w:val="TextoNormal"/>
      </w:pPr>
    </w:p>
    <w:p w:rsidR="00D06117" w:rsidRDefault="00D06117" w:rsidP="00D06117">
      <w:pPr>
        <w:pStyle w:val="TextoNormal"/>
      </w:pPr>
      <w:r>
        <w:t>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w:t>
      </w:r>
      <w:r>
        <w:lastRenderedPageBreak/>
        <w:t>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t>Desde luego, no puede el recurrente alegar tal efecto en su caso, pues la simple lectura de las actuaciones pone de relieve que las penas que le fueron impuestas sumaban en total 253 años y 6 meses de privación de libertad y su licenciamiento definitivo ha sido fijado para una fecha en la que llevará extinguidos treinta años de privación efectiva de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Ángel Luis Hermosa Urra.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10245-2006.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0" w:name="SENTENCIA_2012_47"/>
      <w:r>
        <w:lastRenderedPageBreak/>
        <w:t>SENTENCIA 47/2012, de 29 de marzo de 2012</w:t>
      </w:r>
    </w:p>
    <w:bookmarkEnd w:id="5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ECLI:ES:TC:2012:47</w:t>
      </w:r>
    </w:p>
    <w:p w:rsidR="00D06117" w:rsidRDefault="00D06117" w:rsidP="00D06117">
      <w:pPr>
        <w:pStyle w:val="SntesisDescriptiva"/>
      </w:pPr>
    </w:p>
    <w:p w:rsidR="00D06117" w:rsidRDefault="00D06117" w:rsidP="00D06117">
      <w:pPr>
        <w:pStyle w:val="SntesisDescriptiva"/>
      </w:pPr>
      <w:r>
        <w:t>Recurso de amparo 10718-2006. Promovido por don José Javier Zabaleta Elosegi con respecto al Auto de la Sala de lo Penal del Tribunal Supremo que inadmite el recurso de casación interpuesto frente al Auto de la Sección Primera de la Sala de lo Penal de la Audiencia Nacional en el que se procede la acumulación de condenas y cómputo de redenciones.</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 xml:space="preserve">La resolución impugnada se limita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w:t>
      </w:r>
      <w:r>
        <w:lastRenderedPageBreak/>
        <w:t>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6.</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7.</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5].</w:t>
      </w:r>
    </w:p>
    <w:p w:rsidR="00D06117" w:rsidRDefault="00D06117" w:rsidP="00D06117">
      <w:pPr>
        <w:pStyle w:val="Extracto"/>
      </w:pPr>
    </w:p>
    <w:p w:rsidR="00D06117" w:rsidRDefault="00D06117" w:rsidP="00D06117">
      <w:pPr>
        <w:pStyle w:val="Extracto"/>
      </w:pPr>
      <w:r>
        <w:t>8.</w:t>
      </w:r>
      <w:r>
        <w:tab/>
        <w:t>Doctrina sobre redención de penas por el trabajo (SSTC 174/1989, 76/2004) [FJ 5].</w:t>
      </w:r>
    </w:p>
    <w:p w:rsidR="00D06117" w:rsidRDefault="00D06117" w:rsidP="00D06117">
      <w:pPr>
        <w:pStyle w:val="Extracto"/>
      </w:pPr>
    </w:p>
    <w:p w:rsidR="00D06117" w:rsidRDefault="00D06117" w:rsidP="00D06117">
      <w:pPr>
        <w:pStyle w:val="Extracto"/>
      </w:pPr>
      <w:r>
        <w:t>9.</w:t>
      </w:r>
      <w:r>
        <w:tab/>
        <w:t>No concurre una situación material de indefensión efectiva constitucionalmente relevante, puesto que el recurrente pudo defenderse y someter a contradicción la aplicación de la nueva doctrina sobre el cómputo de la redención de pena por trabajo en el recurso de casación que interpuso, como de hecho hizo, obteniendo una exhaustiva respuesta al respecto por parte del Tribunal Supremo [FJ 2].</w:t>
      </w:r>
    </w:p>
    <w:p w:rsidR="00D06117" w:rsidRDefault="00D06117" w:rsidP="00D06117">
      <w:pPr>
        <w:pStyle w:val="Extracto"/>
      </w:pPr>
    </w:p>
    <w:p w:rsidR="00D06117" w:rsidRDefault="00D06117" w:rsidP="00D06117">
      <w:pPr>
        <w:pStyle w:val="Extracto"/>
      </w:pPr>
      <w:r>
        <w:t>10.</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10718-2006, promovido por don José Javier Zabaleta Elosegi, representado por el Procurador de los Tribunales don José Javier Cuevas Rivas y asistido por la Letrada doña Ainoa Baglietto Gabilondo, contra el Auto de la Sala de lo Penal del Tribunal Supremo de 11 de octubre de 2006, que acuerda no haber lugar a la admisión del recurso de casación formalizado contra el Auto de la Sección Primera de la Sala de lo Penal de la Audiencia Nacional, de 24 de marzo de 2006, en el que se acuerda acumular las condenas impuestas al penado y fijar el límite máximo de cumplimiento en treinta años de privación de libertad, estableciendo que el cómputo de las redenciones se realizará de conformidad con la doctrina establecida por el Tribunal Supremo en la Sentencia de 28 de febrero de 2006. Ha intervenido el Ministerio Fiscal.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28 de noviembre de 2006, don José Javier Cuevas Rivas, Procurador de los Tribunales, y de don José Javier Zabaleta Elosegi,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por la Sala de lo Penal de la Audiencia Nacional, Sección Primera, mediante Sentencia de 29 de julio de 2005 (rollo de sala 42-1984, sumario 42-1984 del Juzgado Central de Instrucción núm. 1 Sección Primera), en relación con unos hechos cometidos el 24 de mayo de 1984, a las penas de veintisiete años de prisión por un delito de atentado, dieciocho años por un delito de asesinato frustrado y cuatro años y dos meses y un día por un delito de estragos. Dicha Sentencia fue declarada firme por Auto de la Sección Primera de la Sala de lo Penal de 28 de octubre de 2005, que ordena su ejecución, solicitando al centro penitenciario de Teixeiro en el que el recurrente estaba interno informe la prisión preventiva que pudiera servir de abono al penado y sobre la fecha de inicio de cumplimiento para la práctica de liquidación de condena.</w:t>
      </w:r>
    </w:p>
    <w:p w:rsidR="00D06117" w:rsidRDefault="00D06117" w:rsidP="00D06117">
      <w:pPr>
        <w:pStyle w:val="TextoNormal"/>
      </w:pPr>
    </w:p>
    <w:p w:rsidR="00D06117" w:rsidRDefault="00D06117" w:rsidP="00D06117">
      <w:pPr>
        <w:pStyle w:val="TextoNormal"/>
      </w:pPr>
      <w:r>
        <w:t xml:space="preserve">b) El Director de dicho centro penitenciario realiza el día 8 de noviembre de 2005 una propuesta de acumulación de condenas, por si procediera la aplicación a todas las responsabilidades del límite máximo de cumplimiento previsto en la regla segunda del art. 70 del Código penal (CP) de 1973, haciendo constar que además de la causa de referencia figuran en fase de cumplimiento las siguientes condenas, todas ellas de la Audiencia Nacional: 1. Ejecutoria 24-2000, de la Sección Segunda, para el cumplimiento de sendas penas de doce años de prisión mayor por un delito de depósito de armas de guerra y otro de tenencia de explosivos; 2. Ejecutoria 45-2000 de la Sección Segunda, para el cumplimiento de sendas penas de diecinueve años de reclusión menor por tres delitos de asesinato frustrado; 3. Ejecutoria 47-1999 de la Sección Segunda, para el cumplimiento de una pena de doce años de prisión mayor por un delito de tenencia de explosivos; 4. Ejecutoria 5-2003 de la Sección Tercera, para el cumplimiento de sendas penas de diez años de prisión mayor por un delito </w:t>
      </w:r>
      <w:r>
        <w:lastRenderedPageBreak/>
        <w:t>de atentado, cuatro de asesinato consumado y cinco de asesinato en grado de frustración; y 5. Ejecutoria 72-2005 de la Sección Tercera, para el cumplimiento de sendas penas de veinticinco años de reclusión mayor y ocho años de prisión mayor por un delito de atentado y otro de estragos. En dicha propuesta se señala como fecha de cumplimiento el 15 de noviembre de 2028.</w:t>
      </w:r>
    </w:p>
    <w:p w:rsidR="00D06117" w:rsidRDefault="00D06117" w:rsidP="00D06117">
      <w:pPr>
        <w:pStyle w:val="TextoNormal"/>
      </w:pPr>
    </w:p>
    <w:p w:rsidR="00D06117" w:rsidRDefault="00D06117" w:rsidP="00D06117">
      <w:pPr>
        <w:pStyle w:val="TextoNormal"/>
      </w:pPr>
      <w:r>
        <w:t>c) A la vista de la propuesta del centro penitenciario, mediante providencia de 15 de diciembre de 2005 la Sección Primera de la Sala de lo Penal de la Audiencia Nacional acordó solicitar testimonio de las distintas Sentencias en las que el recurrente había sido condenado y, una vez recibidos, dar traslado al Ministerio Fiscal para que informe sobre la procedencia de la aplicación del art. 70 CP 1973. El Fiscal, en su dictamen de fecha 21 de marzo de 2006 indicó que estimaba procedente la acumulación de condenas prevista en la regla segunda del art. 70 CP 1973 teniendo en cuenta la Sentencia 197-2006, de 28 de febrero, dictada por la Sala Segunda del Tribunal Supremo, fijándose como límite máximo de cumplimiento treinta años de privación de libertad.</w:t>
      </w:r>
    </w:p>
    <w:p w:rsidR="00D06117" w:rsidRDefault="00D06117" w:rsidP="00D06117">
      <w:pPr>
        <w:pStyle w:val="TextoNormal"/>
      </w:pPr>
    </w:p>
    <w:p w:rsidR="00D06117" w:rsidRDefault="00D06117" w:rsidP="00D06117">
      <w:pPr>
        <w:pStyle w:val="TextoNormal"/>
      </w:pPr>
      <w:r>
        <w:t>d) Mediante Auto de 24 de marzo de 2006, la Sección Primera de la Sala de lo Penal de la Audiencia Nacional acordó, en aplicación de la regla segunda del art. 70 CP 1973, vigente en el momento de la comisión de los hechos, la acumulación de las condenas impuestas al recurrente en esas seis causas, señalando como límite máximo de cumplimiento el de treinta años. Asimismo acordó que el cómputo de las redenciones que procedan, en aplicación del Código penal de 1973, se realizaría conforme a la doctrina establecida por el Tribunal Supremo en Sentencia de Pleno de la Sala Segunda de 28 de febrero de 2006, de modo que los beneficios y redenciones que procedan se aplicarán sucesivamente a cada una de las penas que se encuentre cumpliendo, por orden de gravedad, y no directamente al límite máximo de cumplimiento que se establece.</w:t>
      </w:r>
    </w:p>
    <w:p w:rsidR="00D06117" w:rsidRDefault="00D06117" w:rsidP="00D06117">
      <w:pPr>
        <w:pStyle w:val="TextoNormal"/>
      </w:pPr>
    </w:p>
    <w:p w:rsidR="00D06117" w:rsidRDefault="00D06117" w:rsidP="00D06117">
      <w:pPr>
        <w:pStyle w:val="TextoNormal"/>
      </w:pPr>
      <w:r>
        <w:t>e) Contra la anterior resolución se interpuso recurso de súplica, inadmitido por Auto de 18 de abril de 2006, dado que contra la resolución recurrida cabía recurso de casación por infracción de ley, indicándose en este Auto que desde la notificación del mismo volverá a correr el plazo de cinco días para la preparación del recurso de casación.</w:t>
      </w:r>
    </w:p>
    <w:p w:rsidR="00D06117" w:rsidRDefault="00D06117" w:rsidP="00D06117">
      <w:pPr>
        <w:pStyle w:val="TextoNormal"/>
      </w:pPr>
    </w:p>
    <w:p w:rsidR="00D06117" w:rsidRDefault="00D06117" w:rsidP="00D06117">
      <w:pPr>
        <w:pStyle w:val="TextoNormal"/>
      </w:pPr>
      <w:r>
        <w:t>f) Interpuesto recurso de casación, el mismo fue inadmitido por Auto de la Sala de lo Penal del Tribunal Supremo de 11 de octubre de 2006. En el citado Auto se reafirma la doctrina sentada en la STS 197/2006, de 28 de febrero, que considera aplicable al presente caso sin vulneración de precepto constitucional alguno.</w:t>
      </w:r>
    </w:p>
    <w:p w:rsidR="00D06117" w:rsidRDefault="00D06117" w:rsidP="00D06117">
      <w:pPr>
        <w:pStyle w:val="TextoNormal"/>
      </w:pPr>
    </w:p>
    <w:p w:rsidR="00D06117" w:rsidRDefault="00D06117" w:rsidP="00D06117">
      <w:pPr>
        <w:pStyle w:val="TextoNormal"/>
      </w:pPr>
      <w:r>
        <w:t>g) Una vez aprobada la acumulación de condenas, el centro penitenciario realiza una propuesta de liquidación de condena, en la que se fija como fecha de cumplimiento el día 15 de noviembre de 2028, propuesta aprobada por providencia de la Sección Primera de la Sala lo Penal de la Audiencia Nacional de 13 de abril de 2007. En dicha liquidación de condena consta que el recurrente no tenía reconocidas redenciones de pena por trabajo (redenciones: cero días).</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y.2 CE), a la libertad (art. 17 CE) y a la igualdad en la aplicación de la ley (art. 14 CE).</w:t>
      </w:r>
    </w:p>
    <w:p w:rsidR="00D06117" w:rsidRDefault="00D06117" w:rsidP="00D06117">
      <w:pPr>
        <w:pStyle w:val="TextoNormal"/>
      </w:pPr>
    </w:p>
    <w:p w:rsidR="00D06117" w:rsidRDefault="00D06117" w:rsidP="00D06117">
      <w:pPr>
        <w:pStyle w:val="TextoNormal"/>
      </w:pPr>
      <w:r>
        <w:t>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en su Auto de 24 de marzo de 2006, acordó la aplicación de la nueva doctrina del Tribunal Supremo sin dar traslado a la defensa del señor Zabaleta Elosegi,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Entienden además que ello vulnera el principio acusatorio, porque el órgano judicial asume funciones acusatorias constitucionalmente vedadas. Por otra parte, sostiene el recurrente que la Audiencia Nacional, al dictar esta resolución sin oír a las partes y aplicar la doctrina del Tribunal Supremo, impide el derecho a una segunda instancia, pues el Tribunal Supremo es la primera instancia a la que se ha podido dirigir el recurrente para reclamar el derecho a la defensa y a la tutela judicial efectiva.</w:t>
      </w:r>
    </w:p>
    <w:p w:rsidR="00D06117" w:rsidRDefault="00D06117" w:rsidP="00D06117">
      <w:pPr>
        <w:pStyle w:val="TextoNormal"/>
      </w:pPr>
    </w:p>
    <w:p w:rsidR="00D06117" w:rsidRDefault="00D06117" w:rsidP="00D06117">
      <w:pPr>
        <w:pStyle w:val="TextoNormal"/>
      </w:pPr>
      <w:r>
        <w:t>En un segundo motivo de amparo, se aduce la vulneración del principio de legalidad (art. 25.1 y 2 CE), en relación con la interpretación de los arts. 70.2 y 100 CP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 xml:space="preserve">El tercer motivo de amparo denuncia la vulneración del derecho a la tutela judicial efectiva (art. 24.1 CE), en relación con el derecho a la libertad (art. 17 CE). Sostiene la demanda </w:t>
      </w:r>
      <w:r>
        <w:lastRenderedPageBreak/>
        <w:t>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Como cuarto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 xml:space="preserve">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w:t>
      </w:r>
      <w:r>
        <w:lastRenderedPageBreak/>
        <w:t>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del señor Zabaleta ha cumplido un tiempo de estancia efectiva en prisión al que deberían sumarse las redenciones ordinarias y extraordinarias y licenciarlo cuando el cómputo de ambas llegue a 10.950 días, es decir al máximo de 30 años previsto en el art. 70.2 CP 1973. Sin embargo, las resoluciones recurridas retrasan la puesta en libertad del recurrente hasta el cumplimiento de los treinta años íntegros y, por tanto, violan el art. 17 CE y los arts. 5 y 15.1 del Convenio europeo para la protección de los derechos humanos y de las libertades fundamentales (CEDH), así como los arts. 9.1 y 5 y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26 de septiembre de 2007, la Sección Primera de este Tribunal acordó la admisión a trámite de la demanda así como, a tenor de lo establecido en el art. 51 de la Ley Orgánica del Tribunal Constitucional (LOTC), requerir atentamente a la Sala de lo Penal del Tribunal Supremo y a la Sección Primera de la Sala de lo Penal de la Audiencia Nacional para que remitiera testimonio de las actuaciones correspondientes al recurso de casación 10538-2006 y rollo de Sala 42-1984 (ejecutoria 42-1984), interesando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A través de una diligencia de ordenación de 20 de noviembre de 2007 se acordó dar vista de las actuaciones a las partes personadas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del demandante de amparo formuló sus alegaciones mediante escrito que tuvo su entrada en el Registro General de este Tribunal el día 26 de diciembre de 2007, en el que sustancialmente reproduce los argumentos ya expuestos en la demanda. Añade, en relación con el quinto motivo de amparo, la referencia a dos casos de condenados en la misma ejecutoria 42-1984, y a los que en aplicación de la doctrina anterior en cuanto al cómputo de las redenciones de penas por el trabajo al límite de treinta años ya han sido puestos en libertad, habiendo obtenido el licenciamiento definitivo con diecisiete y veinte años de cumplimiento efectivo respectivamente.</w:t>
      </w:r>
    </w:p>
    <w:p w:rsidR="00D06117" w:rsidRDefault="00D06117" w:rsidP="00D06117">
      <w:pPr>
        <w:pStyle w:val="TextoNormal"/>
      </w:pPr>
    </w:p>
    <w:p w:rsidR="00D06117" w:rsidRDefault="00D06117" w:rsidP="00D06117">
      <w:pPr>
        <w:pStyle w:val="TextoNormal"/>
      </w:pPr>
      <w:r w:rsidRPr="00D06117">
        <w:rPr>
          <w:rStyle w:val="NumeroAFNegritaCaracter"/>
        </w:rPr>
        <w:t>7</w:t>
      </w:r>
      <w:r>
        <w:t>. El día 25 de junio de 2007 presentó sus alegaciones el Ministerio Fiscal, interesando la desestimación del amparo solicitado, por entender que las resoluciones recurridas no han vulnerado los derechos fundamentales a los que hace referencia la demanda de amparo.</w:t>
      </w:r>
    </w:p>
    <w:p w:rsidR="00D06117" w:rsidRDefault="00D06117" w:rsidP="00D06117">
      <w:pPr>
        <w:pStyle w:val="TextoNormal"/>
      </w:pPr>
    </w:p>
    <w:p w:rsidR="00D06117" w:rsidRDefault="00D06117" w:rsidP="00D06117">
      <w:pPr>
        <w:pStyle w:val="TextoNormal"/>
      </w:pPr>
      <w:r>
        <w:t>De manera preliminar, el Ministerio Fiscal llama la atención de la Sala sobre el hecho de que, a diferencia de otros recursos de amparo similares respecto de los que se ha pronunciado solicitando el otorgamiento del amparo, en el caso de Autos no existía resolución judicial alguna sobre refundición de las ejecutorias con anterioridad al Auto dictado por la Audiencia Nacional y que se recurre en amparo, Auto dictado tras conocerse lo decidido por el Pleno de la Sala Segunda del Tribunal Supremo en su Sentencia de 28 de febrero de 2006. E igualmente destaca que tanto el Fiscal como la defensa del condenado conocían la propuesta de la autoridad penitenciaria sobre acumulación de condenas, en las que se fijaba como fecha de licenciamiento el 15 de noviembre de 2028, propuesta posteriormente aprobada por providencia de la Sección Primera de 13 de abril de 2007.</w:t>
      </w:r>
    </w:p>
    <w:p w:rsidR="00D06117" w:rsidRDefault="00D06117" w:rsidP="00D06117">
      <w:pPr>
        <w:pStyle w:val="TextoNormal"/>
      </w:pPr>
    </w:p>
    <w:p w:rsidR="00D06117" w:rsidRDefault="00D06117" w:rsidP="00D06117">
      <w:pPr>
        <w:pStyle w:val="TextoNormal"/>
      </w:pPr>
      <w:r>
        <w:t xml:space="preserve">Tras esta precisión, analiza el primero de los motivos de amparo, en el que se denuncia la falta de audiencia de la defensa con carácter previo a la aplicación de la nueva doctrina establecida por la Sala Segunda del Tribunal Supremo en su Sentencia 197/2006. Entiende el Fiscal que en términos constitucionales y en relación con el derecho a un proceso con todas las garantías, entre ellas el principio de contradicción (art. 24.2 CE), y la proscripción de la indefensión (art. 24.1 CE) hubiera sido preferible que la Sección Primera de la Audiencia Nacional hubiera dado traslado a la defensa de la solicitud del Fiscal de que se aplicase la nueva doctrina del Tribunal Supremo, pues la jurisprudencia del Tribunal Constitucional advierte de la plena presencia de los principios de contradicción y proscripción de la indefensión también en fase de ejecución de Sentencia, y en concreto en materia de refundición de condenas (SSTC 11/1987 y 47/2003). Sin embargo, entiende el Fiscal que no concurren las vulneraciones aducidas por dos razones: en primer lugar, porque en la causa ya existía una propuesta de refundición de condenas practicada por la autoridad penitenciaria, con fecha 10 de noviembre de 2005, en la que se anticipaba el criterio propuesto por el Fiscal y se fijaba la misma fecha de licenciamiento definitivo (15 de noviembre de 2028) que fue finalmente aprobada en aplicación de la doctrina del Tribunal Supremo. En segundo lugar, porque aunque la defensa no pudo alegar y contradecir respecto de esta cuestión antes del dictado del Auto de 24 de marzo de 2006, sí pudo hacerlo posteriormente, tanto en el </w:t>
      </w:r>
      <w:r>
        <w:lastRenderedPageBreak/>
        <w:t>recurso de súplica que planteó, como en el recurso de casación, donde de hecho planteó su disentimiento con la argumentación del Auto. Por ello entiende, con cita de la STC 225/2007, de 22 de octubre, que no concurre una situación real y material de indefensión.</w:t>
      </w:r>
    </w:p>
    <w:p w:rsidR="00D06117" w:rsidRDefault="00D06117" w:rsidP="00D06117">
      <w:pPr>
        <w:pStyle w:val="TextoNormal"/>
      </w:pPr>
    </w:p>
    <w:p w:rsidR="00D06117" w:rsidRDefault="00D06117" w:rsidP="00D06117">
      <w:pPr>
        <w:pStyle w:val="TextoNormal"/>
      </w:pPr>
      <w:r>
        <w:t>A continuación examina los motivos segundo y cuarto, referidos a posibles vulneraciones del principio de legalidad (art. 25.1 CE). En primer lugar, rechaza el Fiscal la vulneración del principio de legalidad stricto sensu. Las resoluciones recurridas justifican su decisión en la doctrina emanada de la Sentencia del Pleno del Tribunal Supremo de 28 de febrero de 2006, interpretando la regla segunda del art. 70 CP 1973. Y del examen de dicha doctrina a la luz de la jurisprudencia constitucional sobre el principio de legalidad no se desprende vulneración del art. 25.1 CE. Dicha interpretación, que el Auto que inadmite el recurso de casación cita in extenso, no obedece a criterios extravagantes, ajenos a los comúnmente empleados por la comunidad jurídica (cita las SSTC 142/1999 y 13/2003). La argumentación que hace la Sala Segunda del Tribunal Supremo, y que le lleva a concluir que el límite de cumplimiento de treinta años no es una nueva pena, se construye a través de elementos que incorporan criterios gramaticales (en la comparación de las palabras pena y condena), sistemáticos (en la comparación del resultado penológico del concurso real del art. 70 con el delito continuado del art. 69 bis o respecto del concurso ideal del art. 71 todos ellos del Código penal de 1973), teleológicos (como la reflexión de que con ello se impide que el autor de un único delito se equipare al que tiene un amplio historial delictivo o el argumento de que una eventual solicitud de indulto habría de serlo por cada condena singular). Por tanto, la argumentación del Tribunal Supremo respeta el mandato de taxatividad. Igualmente cumple con el deber de motivación reforzado exigible cuando está en juego el derecho a la libertad. Y, finalmente, no es constitutiva de analogía in malam partem (cita las SSTC 17/2003 y 229/2007). Por otra parte, considera el Fiscal que el art. 70.2 CP podía ser interpretado de diversas maneras, sin que el recurrente pueda alegar su derecho a una determinada interpretación, pues no puede olvidarse que cuando se dicta el Auto de refundición de condenas ya se había dictado la Sentencia de la Sala Segunda del Tribunal Supremo de 28 de febrero de 2006.</w:t>
      </w:r>
    </w:p>
    <w:p w:rsidR="00D06117" w:rsidRDefault="00D06117" w:rsidP="00D06117">
      <w:pPr>
        <w:pStyle w:val="TextoNormal"/>
      </w:pPr>
    </w:p>
    <w:p w:rsidR="00D06117" w:rsidRDefault="00D06117" w:rsidP="00D06117">
      <w:pPr>
        <w:pStyle w:val="TextoNormal"/>
      </w:pPr>
      <w:r>
        <w:t xml:space="preserve">Por lo que respecta al cuarto de los motivos de amparo, en el que se alega vulneración del art. 25.1 CE por aplicación retroactiva de normas desfavorables, sostiene el Fiscal que —frente a lo afirmado en la demanda— no nos encontramos ante un supuesto de aplicación retroactiva del art. 78 CP 1995, sino ante un cambio de criterio jurisprudencial en la interpretación del art. 70.2 CP vigente al tiempo de comisión de los hechos. Por ello analiza el alcance de la irretroactividad de la jurisprudencia desfavorable al reo, destacando que no es un asunto pacífico, con cita de jurisprudencia norteamericana y del Tribunal Europeo de Derechos Humanos (SSTEDH de 22 de noviembre de 1995, casos C.R. contra Reino Unido y S.W. contra Reino Unido), de la que se desprende que no está proscrita por el art. 7 CEDH la aplicación retroactiva de la jurisprudencia desfavorable al reo cuando el cambio de criterio no sea “razonablemente imprevisible”. Y en el presente caso, sólo existía una Sentencia previa del Tribunal Supremo que efectuase un pronunciamiento directo sobre el alcance de la regla segunda del art. 70 CP 1973, lo que disminuye el grado de imprevisibilidad del cambio de criterio. A ello se añade que, en todo caso, las resoluciones judiciales recurridas se dictaron cuando no existía una previa liquidación de condena acumulada y con posterioridad a la Sentencia de 28 de febrero de 2006. Por tanto, cuando se dicta el Auto de refundición de condenas ya existe la Sentencia del Tribunal Supremo, por lo que en rigor ni siquiera estamos ante un supuesto de aplicación retroactiva de jurisprudencia desfavorable, </w:t>
      </w:r>
      <w:r>
        <w:lastRenderedPageBreak/>
        <w:t>pues no puede exigirse que las fechas de los hechos o de las condenas primen sobre las de la refundición de las condenas. Por tanto, y aun admitiendo dialécticamente que el cambio de criterio jurisprudencial no fuera previsible, no puede alegarse que se aplique retroactivamente el nuevo criterio, pues ni la fecha de comisión de los hechos, ni la fecha de las condenas pueden operar como criterio a efectos de aplicación del art. 70.2 CP 1973, pues la única fecha relevante a tal efecto es aquella en la que se practique la liquidación de condena, y en el presente caso ésta es posterior en casi un mes al cambio de criterio.</w:t>
      </w:r>
    </w:p>
    <w:p w:rsidR="00D06117" w:rsidRDefault="00D06117" w:rsidP="00D06117">
      <w:pPr>
        <w:pStyle w:val="TextoNormal"/>
      </w:pPr>
    </w:p>
    <w:p w:rsidR="00D06117" w:rsidRDefault="00D06117" w:rsidP="00D06117">
      <w:pPr>
        <w:pStyle w:val="TextoNormal"/>
      </w:pPr>
      <w:r>
        <w:t>En tercer lugar, se examinan conjuntamente los motivos tercero y sexto, en los que se alegan vulneraciones del derecho a la libertad (art. 17 CE). Ambos motivos, en opinión del Ministerio Fiscal, aparecen como claramente subsidiarios de los anteriores, en concreto de los que aducen vulneración del principio de legalidad (art. 25.1 CE), pues sólo si se apreciase que la interpretación del art. 70.2 CP a la luz de la doctrina de la STS de 28 de febrero de 2006 es contraria al principio de legalidad, ello conllevaría la vulneración del art. 17.1 CE, por alargamiento indebido del plazo que el condenado ha de pasar cumpliendo condena. Dado que no se aprecia vulneración del art. 25.1 CE, tampoco puede entenderse vulnerado el art. 17.1 CE.</w:t>
      </w:r>
    </w:p>
    <w:p w:rsidR="00D06117" w:rsidRDefault="00D06117" w:rsidP="00D06117">
      <w:pPr>
        <w:pStyle w:val="TextoNormal"/>
      </w:pPr>
    </w:p>
    <w:p w:rsidR="00D06117" w:rsidRDefault="00D06117" w:rsidP="00D06117">
      <w:pPr>
        <w:pStyle w:val="TextoNormal"/>
      </w:pPr>
      <w:r>
        <w:t>A continuación, rechaza el Fiscal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el cambio de criterio se fundamenta razonablemente en la Sentencia de la Sala Segunda del Tribunal Supremo y tiene vocación de generalidad y permanencia, por lo que satisface las exigencias de la jurisprudencia constitucional.</w:t>
      </w:r>
    </w:p>
    <w:p w:rsidR="00D06117" w:rsidRDefault="00D06117" w:rsidP="00D06117">
      <w:pPr>
        <w:pStyle w:val="TextoNormal"/>
      </w:pPr>
    </w:p>
    <w:p w:rsidR="00D06117" w:rsidRDefault="00D06117" w:rsidP="00D06117">
      <w:pPr>
        <w:pStyle w:val="TextoNormal"/>
      </w:pPr>
      <w:r>
        <w:t>Por último, y como séptimo motivo de amparo, se alega la vulneración del art. 25.2 CE. Este motivo debe ser rechazado por cuanto, como reiteradamente ha destacado el Tribunal Constitucional (SSTC 28/1988 y 88/1998 y ATC 219/1988), el art. 25.2 CE no contiene un derecho fundamental susceptible de ser invocado en amparo con autonomía propia, sino más bien un mandato dirigido al legislador, del que no se derivan derechos subjetivos.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21 de junio de 2011 el Pleno acuerda recabar para sí, a propuesta de la Sala Primera,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2011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se dirige contra el Auto de la Sala de lo Penal del Tribunal Supremo de 11 de octubre de 2006, que acuerda no haber lugar a la admisión del </w:t>
      </w:r>
      <w:r>
        <w:lastRenderedPageBreak/>
        <w:t>recurso de casación formalizado contra el Auto de la Sección Primera de la Sala de lo Penal de la Audiencia Nacional, de 24 de marzo de 2006, en el que se acuerda fijar el límite máximo de cumplimiento en treinta años de privación de libertad, estableciendo que el cómputo de las redenciones se realizará de conformidad con la doctrina establecida por el Tribunal Supremo en la Sentencia de 28 de febrero de 2006.</w:t>
      </w:r>
    </w:p>
    <w:p w:rsidR="00D06117" w:rsidRDefault="00D06117" w:rsidP="00D06117">
      <w:pPr>
        <w:pStyle w:val="TextoNormal"/>
      </w:pPr>
    </w:p>
    <w:p w:rsidR="00D06117" w:rsidRDefault="00D06117" w:rsidP="00D06117">
      <w:pPr>
        <w:pStyle w:val="TextoNormal"/>
      </w:pPr>
      <w:r>
        <w:t>La cuestión a decidir es si la resolución impugnada vulnera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rsidRPr="00D06117">
        <w:rPr>
          <w:rStyle w:val="NumeroAFNegritaCaracter"/>
        </w:rPr>
        <w:t>2</w:t>
      </w:r>
      <w:r>
        <w:t>. En la primera de las quejas articuladas en la demanda, bajo la invocación de los derechos a la tutela judicial efectiva (art. 24.1 CE) y a un proceso con todas las garantías (art. 24.2 CE), se denuncia en primer lugar —y al margen de una vulneración del principio acusatorio carente del menor desarrollo argumental para que pueda ser tomada en consideración por este Tribunal— la indefensión generada por la Audiencia Nacional en su Auto de 24 de marzo de 2006, al acordar la aplicación de la nueva doctrina del Tribunal Supremo acerca del cómputo de las redenciones de penas por el trabajo, conforme a lo solicitado por el Ministerio Fiscal, sin dar traslado previamente a la defensa para que se pronunciara al respecto, vulnerando el derecho de defensa y el principio de contradicción, puesto que se introducía una perspectiva jurídica novedosa, que empeoraba la situación del reo.</w:t>
      </w:r>
    </w:p>
    <w:p w:rsidR="00D06117" w:rsidRDefault="00D06117" w:rsidP="00D06117">
      <w:pPr>
        <w:pStyle w:val="TextoNormal"/>
      </w:pPr>
    </w:p>
    <w:p w:rsidR="00D06117" w:rsidRDefault="00D06117" w:rsidP="00D06117">
      <w:pPr>
        <w:pStyle w:val="TextoNormal"/>
      </w:pPr>
      <w:r>
        <w:t>Como señala el Ministerio Fiscal, y aunque hubiera sido deseable que la Sección Primera de la Audiencia Nacional hubiera dado traslado a la defensa de la solicitud del Fiscal de que se aplicase la nueva doctrina del Tribunal Supremo acerca del cómputo de la redenciones de penas por trabajo, la ausencia de dicho trámite no determina la existencia de las vulneraciones alegadas. En efecto,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el recurrente pudo defenderse y someter a contradicción la aplicación de la nueva doctrina sobre el cómputo de la redención de pena por trabajo en el recurso de casación que interpuso, como de hecho hizo, obteniendo una exhaustiva respuesta al respecto por parte del Tribunal Supremo en el Auto de 11 de octubre de 2006. Así se viene a reconocer en la propia demanda de amparo cuando se afirma que al no haber sido oído sobre esta cuestión por la Audiencia Nacional, el Tribunal Supremo es la primera instancia a la que se ha podido dirigir para reclamar el derecho a ser oído.</w:t>
      </w:r>
    </w:p>
    <w:p w:rsidR="00D06117" w:rsidRDefault="00D06117" w:rsidP="00D06117">
      <w:pPr>
        <w:pStyle w:val="TextoNormal"/>
      </w:pPr>
    </w:p>
    <w:p w:rsidR="00D06117" w:rsidRDefault="00D06117" w:rsidP="00D06117">
      <w:pPr>
        <w:pStyle w:val="TextoNormal"/>
      </w:pPr>
      <w:r>
        <w:t xml:space="preserve">A este hecho se anuda, dentro de este primer motivo de amparo, una nueva vulneración del derecho defensa, así como del derecho al recurso y a una segunda instancia penal. Esta segunda vertiente de la queja tampoco puede ser asumida. El recurrente tuvo acceso al recurso legalmente previsto (el recurso de casación), obteniendo respuesta del órgano judicial </w:t>
      </w:r>
      <w:r>
        <w:lastRenderedPageBreak/>
        <w:t>pese a tratarse de decisión de inadmisión, lo que excluye la indefensión.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civiles y políticos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Despejado este grupo de quejas articuladas como primer motivo de amparo, en los restantes motivos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El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de penas por trabajo modifica sus expectativas de alcanzar la libertad en un plazo menor al de treinta años de cumplimiento efectivo, ya que con el anterior criterio de cómputo las redenciones se descontarían de ese límite de cumplimiento.</w:t>
      </w:r>
    </w:p>
    <w:p w:rsidR="00D06117" w:rsidRDefault="00D06117" w:rsidP="00D06117">
      <w:pPr>
        <w:pStyle w:val="TextoNormal"/>
      </w:pPr>
    </w:p>
    <w:p w:rsidR="00D06117" w:rsidRDefault="00D06117" w:rsidP="00D06117">
      <w:pPr>
        <w:pStyle w:val="TextoNormal"/>
      </w:pPr>
      <w:r>
        <w:t xml:space="preserve">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w:t>
      </w:r>
      <w:r>
        <w:lastRenderedPageBreak/>
        <w:t>Tribunal Supremo, sino que nuestro examen se ha de limitar a la consideración de la respuesta judicial que para el caso concreto se contiene en las resoluciones recurridas, en las que acuerda la acumulación de la condenas del recurrente, fijando el límite máximo de cumplimiento y la aplicación como criterio de cómputo de las redenciones el establecido con carácter previo en la STS 197/2006.</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w:t>
      </w:r>
      <w:r>
        <w:lastRenderedPageBreak/>
        <w:t>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 resolución dictada por la Audiencia Nacional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El Tribunal Supremo, por su parte, al confirmar el Auto de la Audiencia Nacional se remite también al criterio sentado en su Sentencia anterior, que es a la que en realidad se está imputando la vulneración del art. 14 CE, pero que no es objeto de enjuiciamiento en el presente proceso de amparo como señalamos anteriormente.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 (art. 123.1 en relación con los arts. 9.1 y 53.1, todos ellos CE).</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recurridas vulneró su derecho a la tutela judicial efectiva (art. 24.1 CE) en relación con su derecho a la libertad (art. 17.1 CE), lo que —según se argumenta en los motivos de amparo tercero y sexto— habría sucedido en el presente caso, en la medida en que la aplicación del nuevo criterio jurisprudencial de cómputo de la redención de penas por trabajo implicó la defraudación de una legítima expectativa de alcanzar la libertad en un momento anterior a cumplimiento efectivo del máximo de treinta años establecido en el art. 70.2 CP 1973 consolidada en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6</w:t>
      </w:r>
      <w:r>
        <w:t>. Dicho análisis nos obliga a tomar en consideración una serie de datos del caso concreto, que se desprenden del examen de las actuaciones recibidas, y de los que se infiere que no existe en el presente caso ninguna resolución judicial firme de la que pueda derivarse el efecto pretendido por el recurrente.</w:t>
      </w:r>
    </w:p>
    <w:p w:rsidR="00D06117" w:rsidRDefault="00D06117" w:rsidP="00D06117">
      <w:pPr>
        <w:pStyle w:val="TextoNormal"/>
      </w:pPr>
    </w:p>
    <w:p w:rsidR="00D06117" w:rsidRDefault="00D06117" w:rsidP="00D06117">
      <w:pPr>
        <w:pStyle w:val="TextoNormal"/>
      </w:pPr>
      <w:r>
        <w:t xml:space="preserve">a) Como con mayor amplitud se ha hecho constar en los antecedentes, la Sala de lo Penal de la Audiencia Nacional, Sección Primera, mediante Sentencia de 29 de julio de 2005 condenó al demandante de amparo, en relación con unos hechos cometidos el 24 de mayo de 1984, a las penas de 27 años de prisión por un delito de atentado, 18 años por un delito de asesinato frustrado y 4 años y dos meses y un día por un delito de estragos. Dicha Sentencia fue declarada firme por Auto de 28 de octubre de 2005, que ordena su ejecución, solicitando </w:t>
      </w:r>
      <w:r>
        <w:lastRenderedPageBreak/>
        <w:t>al centro penitenciario en el que el recurrente estaba interno informe sobre la prisión preventiva que pueda servir de abono al penado y sobre la fecha de inicio de cumplimiento para la práctica de liquidación de condena.</w:t>
      </w:r>
    </w:p>
    <w:p w:rsidR="00D06117" w:rsidRDefault="00D06117" w:rsidP="00D06117">
      <w:pPr>
        <w:pStyle w:val="TextoNormal"/>
      </w:pPr>
    </w:p>
    <w:p w:rsidR="00D06117" w:rsidRDefault="00D06117" w:rsidP="00D06117">
      <w:pPr>
        <w:pStyle w:val="TextoNormal"/>
      </w:pPr>
      <w:r>
        <w:t>b) El día 8 de noviembre de 2005, el centro penitenciario realiza una propuesta de acumulación de condenas, haciendo constar que además de la causa de referencia existían otras cinco causas en fase de cumplimiento, por lo que se propone la acumulación de todas ellas, señalando como fecha de cumplimiento el 15 de noviembre de 2028. En dicha propuesta, se hacen constar los abonos por el tiempo pasado en prisión preventiva en otras ejecutorias, pero no existe constancia alguna de la existencia redenciones de penas por trabajo previamente reconocidas al recurrente en ninguna de las causas cuya acumulación se propone.</w:t>
      </w:r>
    </w:p>
    <w:p w:rsidR="00D06117" w:rsidRDefault="00D06117" w:rsidP="00D06117">
      <w:pPr>
        <w:pStyle w:val="TextoNormal"/>
      </w:pPr>
    </w:p>
    <w:p w:rsidR="00D06117" w:rsidRDefault="00D06117" w:rsidP="00D06117">
      <w:pPr>
        <w:pStyle w:val="TextoNormal"/>
      </w:pPr>
      <w:r>
        <w:t>c) A la vista de la propuesta del centro penitenciario, la Audiencia Nacional tras los trámites oportunos acordó mediante Auto de 24 de marzo de 2006, en aplicación de la regla segunda del art. 70 CP 1973, vigente en el momento de la comisión de los hechos, la acumulación de las condenas impuestas al recurrente en esas seis causas, señalando como límite máximo de cumplimiento el de treinta años. Asimismo acordó que el cómputo de las redenciones que procedan, en aplicación del Código penal de 1973, se realizaría conforme a la doctrina establecida por el Tribunal Supremo en Sentencia de Pleno de la Sala Segunda de 28 de febrero de 2006, de modo que los beneficios y redenciones que procedan se aplicarán sucesivamente a cada una de las penas que se encuentre cumpliendo, por orden de gravedad, y no directamente al límite máximo de cumplimiento que se establece. En las seis causas acumuladas las Sentencias condenatorias de la Audiencia Nacional son posteriores a la entrada en vigor del Código penal de 1995, si bien referidas a hechos cometidos durante la vigencia del Código penal de 1973, que es el aplicado en todas ellas.</w:t>
      </w:r>
    </w:p>
    <w:p w:rsidR="00D06117" w:rsidRDefault="00D06117" w:rsidP="00D06117">
      <w:pPr>
        <w:pStyle w:val="TextoNormal"/>
      </w:pPr>
    </w:p>
    <w:p w:rsidR="00D06117" w:rsidRDefault="00D06117" w:rsidP="00D06117">
      <w:pPr>
        <w:pStyle w:val="TextoNormal"/>
      </w:pPr>
      <w:r>
        <w:t>d) Una vez aprobada la acumulación de condenas, el centro penitenciario realiza una propuesta de liquidación de condena, en la que se fija como fecha de cumplimiento el día 15 de noviembre de 2028, propuesta aprobada por providencia de la Sección primera de la Sala lo Penal de la Audiencia Nacional de 13 de abril de 2007. En dicha liquidación de condena (folio 612 de las actuaciones) figura que el recurrente no tenía reconocidas redenciones de pena por trabajo (redenciones: cero días).</w:t>
      </w:r>
    </w:p>
    <w:p w:rsidR="00D06117" w:rsidRDefault="00D06117" w:rsidP="00D06117">
      <w:pPr>
        <w:pStyle w:val="TextoNormal"/>
      </w:pPr>
    </w:p>
    <w:p w:rsidR="00D06117" w:rsidRDefault="00D06117" w:rsidP="00D06117">
      <w:pPr>
        <w:pStyle w:val="TextoNormal"/>
      </w:pPr>
      <w:r>
        <w:t xml:space="preserve">En la demanda de amparo se sostiene que la legítima expectativa de obtener la libertad en un momento inferior al cumplimiento efectivo de treinta años se deriva de la mera aprobación de las redenciones por los Juzgados de Vigilancia Penitenciaria, pues éstas son firmes e implican el abono de las redenciones a la condena de treinta años. Por ello entiende que la aplicación del nuevo criterio de cómputo vulnera el derecho a la tutela judicial efectiva, en su vertiente de intangibilidad de las resoluciones judiciales firmes (art. 24.1 CE). Sin embargo, ni se aportan esas resoluciones judiciales, ni de ellas hay constancia alguna en las actuaciones. Lo que sí consta, por el contrario, es la afirmación en la liquidación de condena de su inexistencia. En todo caso, y aunque el recurrente hubiera obtenido redenciones reconocidas por el Juzgado de Vigilancia Penitenciaria, la consecuencia que de ello se extrae en la demanda de amparo no puede compartirse, ya que las resoluciones del Juzgado de Vigilancia Penitenciaria en que se reconocen los días de redención de pena por el trabajo u otras actividades realizadas, ni aprueban liquidación de condena alguna, ni deciden acerca del criterio de cómputo de las redenciones, ni incorporan dicho criterio como ratio decidendi, por lo que no puede afirmarse que de ellas se derive una situación consolidada e </w:t>
      </w:r>
      <w:r>
        <w:lastRenderedPageBreak/>
        <w:t>intangible sobre esta cuestión. El Juez de vigilancia penitenciaria periódicamente aprueba las propuestas de redención de los centros penitenciarios y reconoce un determinado número de días redimidos que, posteriormente, el Tribunal sentenciador ha de computar en la liquidación de condena cuando la misma se produzca.</w:t>
      </w:r>
    </w:p>
    <w:p w:rsidR="00D06117" w:rsidRDefault="00D06117" w:rsidP="00D06117">
      <w:pPr>
        <w:pStyle w:val="TextoNormal"/>
      </w:pPr>
    </w:p>
    <w:p w:rsidR="00D06117" w:rsidRDefault="00D06117" w:rsidP="00D06117">
      <w:pPr>
        <w:pStyle w:val="TextoNormal"/>
      </w:pPr>
      <w:r>
        <w:t>Por otra parte, al haberse dictado todas las Sentencias condenatorias con posterioridad a la entrada en vigor del Código penal de 1995, si bien por hechos cometidos durante la vigencia del Código penal de 1973, no se ha producido la revisión de las penas impuestas prevista en las disposiciones transitorias del nuevo Código penal. En esa revisión, eventualmente, el órgano judicial encargado de la ejecución hubiera podido tener en cuenta como ratio decidendi al efecto de determinar la ley más favorable, el cómputo de las redenciones de penas por el trabajo sobre el máximo de cumplimiento de treinta años, fijando de este modo un criterio al respecto. Además, como destaca el Ministerio Fiscal en sus alegaciones, en el presente caso no existía una resolución judicial sobre acumulación de condenas con carácter previo al Auto dictado por la Audiencia Nacional el 24 de marzo de 2006 que ahora se recurre en amparo, por lo que hasta ese momento cada condena habría venido ejecutándose individualmente y las eventuales redenciones obtenidas por el recurrente se habrían aplicado, en su caso, a las penas impuestas en cada una de las Sentencias condenatorias. Siendo así, cuando en el Auto de 24 marzo de 2006 la Audiencia Nacional acumula las condenas, fija como límite máximo de cumplimiento el de treinta años y acuerda que el cómputo de las redenciones que procedan en aplicación del Código penal de 1973 se realice conforme a la doctrina sentada por el Tribunal Supremo en la STS 197/2006, de 28 de febrero (esto es, que se apliquen sucesivamente a cada una de las penas que se encuentre cumpliendo por orden de gravedad), no está defraudando una concreta expectativa del recurrente de alcanzar la libertad en un momento anterior al cumplimiento efectivo del máximo de treinta años consolidada en una resolución judicial firme —como se sostiene en la demanda— puesto que no existía hasta ese momento en las ejecutorias ninguna resolución judicial del que pudiera derivarse la aplicación otro criterio de cómputo de las redenciones que pudiera obtener el recurrente.</w:t>
      </w:r>
    </w:p>
    <w:p w:rsidR="00D06117" w:rsidRDefault="00D06117" w:rsidP="00D06117">
      <w:pPr>
        <w:pStyle w:val="TextoNormal"/>
      </w:pPr>
    </w:p>
    <w:p w:rsidR="00D06117" w:rsidRDefault="00D06117" w:rsidP="00D06117">
      <w:pPr>
        <w:pStyle w:val="TextoNormal"/>
      </w:pPr>
      <w:r>
        <w:t>De lo anteriormente expuesto cabe concluir que, en el presente caso, ni existe vulneración del derecho a la tutela judicial efectiva en su vertiente de intangibilidad de las resoluciones judiciales firmes (art. 24.1 CE), ni vulneración del derecho a la libertad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o de la administración penitenciaria en la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Denegar el amparo solicitado por don José Javier Zabaleta Elosegi</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Pablo Pérez Tremps a la Sentencia dictada en el recurso de amparo avocado núm. 10718-2006.</w:t>
      </w:r>
    </w:p>
    <w:p w:rsidR="00D06117" w:rsidRDefault="00D06117" w:rsidP="00D06117">
      <w:pPr>
        <w:pStyle w:val="TextoNormalNegritaCentrado"/>
        <w:keepNext/>
      </w:pPr>
    </w:p>
    <w:p w:rsidR="00D06117" w:rsidRDefault="00D06117" w:rsidP="00D06117">
      <w:pPr>
        <w:pStyle w:val="TextoNormal"/>
      </w:pPr>
      <w:r>
        <w:t>Con el máximo respeto a la posición mayoritaria de mis compañeros del Pleno debo manifestar mi discrepancia con el fallo alcanzado en este asunto, manifestación que dejo patente en tanto que soy Ponente de la presente Sentencia y, en dicha condición, recojo en ella una opinión mayoritaria contraria a mi criterio. En cuanto a las razones sustantivas de mi discrepancia basta con remitirme a la opinión concurrente dictada en el recurso de amparo avocado núm. 4893-2006, donde ya expuse el razonamiento por el que concluyo que, en asuntos como el presente, ha existido una vulneración del art. 17.1 CE que debería haber conducido al otorgamiento del amparo solicitado.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formula la Magistrada doña Adela Asua Batarrita a la Sentencia dictada en el recurso de amparo núm. 10718-2006.</w:t>
      </w:r>
    </w:p>
    <w:p w:rsidR="00D06117" w:rsidRDefault="00D06117" w:rsidP="00D06117">
      <w:pPr>
        <w:pStyle w:val="TextoNormalNegritaCentrado"/>
        <w:keepNext/>
      </w:pPr>
    </w:p>
    <w:p w:rsidR="00D06117" w:rsidRDefault="00D06117" w:rsidP="00D06117">
      <w:pPr>
        <w:pStyle w:val="TextoNormal"/>
      </w:pPr>
      <w:r>
        <w:t>Con el mayor respeto y consideración que me merece el parecer del Pleno, y haciendo uso de la facultad prevista en el apartado 2 del art. 90 LOTC, formulo Voto particular manifestando mi discrepancia con el fallo de la Sentencia y con la fundamentación de la misma respecto a alguna de las quejas planteadas por el recurrente, que a mi juicio debieran haberse acogido para sustentar la estimación del amparo.</w:t>
      </w:r>
    </w:p>
    <w:p w:rsidR="00D06117" w:rsidRDefault="00D06117" w:rsidP="00D06117">
      <w:pPr>
        <w:pStyle w:val="TextoNormal"/>
      </w:pPr>
    </w:p>
    <w:p w:rsidR="00D06117" w:rsidRDefault="00D06117" w:rsidP="00D06117">
      <w:pPr>
        <w:pStyle w:val="TextoNormal"/>
      </w:pPr>
      <w:r>
        <w:t>1. Mi discrepancia básica se refiere a la insuficiente fundamentación que ofrece la Sentencia para rechazar la alegación sobre la vulneración del derecho fundamental a la legalidad penal ex art. 25.1 CE, queja que a mi juicio debiera haberse estimado en base a los argumentos que mantuve en la deliberación en el Pleno. En la conculcación de la legalidad penal se condensa la afectación nuclear a la seguridad jurídica y a la garantía reforzada de certeza en la interpretación y aplicación de las leyes penales, que en este caso deriva en la lesión del derecho a la libertad personal (art. 17 CE).</w:t>
      </w:r>
    </w:p>
    <w:p w:rsidR="00D06117" w:rsidRDefault="00D06117" w:rsidP="00D06117">
      <w:pPr>
        <w:pStyle w:val="TextoNormal"/>
      </w:pPr>
    </w:p>
    <w:p w:rsidR="00D06117" w:rsidRDefault="00D06117" w:rsidP="00D06117">
      <w:pPr>
        <w:pStyle w:val="TextoNormal"/>
      </w:pPr>
      <w:r>
        <w:t xml:space="preserve">La cuestión central del presente recurso reside en la aplicación por la resolución judicial impugnada de una interpretación desfavorable del art. 70.2 del Código penal (CP) de 1973 que quiebra el pacífico entendimiento mantenido hasta entonces, y que desencadena una prolongación efectiva del periodo de cumplimiento de una pena privativa de libertad, cuyo calado obliga, a mi juicio, a analizar con el debido detenimiento la adecuación constitucional de los argumentos aducidos para justificar tal inopinado cambio de criterio. Un cambio de las “reglas de juego” en la contabilización del cumplimiento de la condena que difícilmente podrá superar el test de previsibilidad sobre el alcance de las consecuencias punitivas </w:t>
      </w:r>
      <w:r>
        <w:lastRenderedPageBreak/>
        <w:t>previstas en la ley en relación a un elemento tan importante como la efectiva duración de la privación de libertad que comporta la condena.</w:t>
      </w:r>
    </w:p>
    <w:p w:rsidR="00D06117" w:rsidRDefault="00D06117" w:rsidP="00D06117">
      <w:pPr>
        <w:pStyle w:val="TextoNormal"/>
      </w:pPr>
    </w:p>
    <w:p w:rsidR="00D06117" w:rsidRDefault="00D06117" w:rsidP="00D06117">
      <w:pPr>
        <w:pStyle w:val="TextoNormal"/>
      </w:pPr>
      <w:r>
        <w:t>El objeto de análisis del presente recurso reside en la aplicación de la nueva interpretación desfavorable del concepto de “cumplimiento de la condena” del art. 70.2 CP 1973 adoptada en la STS 197/2006, de 28 de febrero, dictada en un procedimiento ajeno al del recurrente, y que debemos examinar atendiendo a los parámetros constitucionales que nos conciernen.</w:t>
      </w:r>
    </w:p>
    <w:p w:rsidR="00D06117" w:rsidRDefault="00D06117" w:rsidP="00D06117">
      <w:pPr>
        <w:pStyle w:val="TextoNormal"/>
      </w:pPr>
    </w:p>
    <w:p w:rsidR="00D06117" w:rsidRDefault="00D06117" w:rsidP="00D06117">
      <w:pPr>
        <w:pStyle w:val="TextoNormal"/>
      </w:pPr>
      <w:r>
        <w:t>2. La clarificación de los problemas que plantea el presente amparo, requiere algunas precisiones previas sobre las peculiaridades del antiguo Código penal en materia de cumplimiento de condenas, a fin de poder avanzar en el razonamiento sobre los déficits constitucionales de la controvertida interpretación y sobre su incidencia en la garantía de la seguridad jurídica y en el principio de separación de poderes, que también se proyectan como limitación a la interpretación judicial de la ley en observancia del derecho fundamental consagrado en el art. 25.1 CE.</w:t>
      </w:r>
    </w:p>
    <w:p w:rsidR="00D06117" w:rsidRDefault="00D06117" w:rsidP="00D06117">
      <w:pPr>
        <w:pStyle w:val="TextoNormal"/>
      </w:pPr>
    </w:p>
    <w:p w:rsidR="00D06117" w:rsidRDefault="00D06117" w:rsidP="00D06117">
      <w:pPr>
        <w:pStyle w:val="TextoNormal"/>
      </w:pPr>
      <w:r>
        <w:t>En primer lugar, debemos recordar que el tenor literal del art. 100 CP 1973 decía textualmente:</w:t>
      </w:r>
    </w:p>
    <w:p w:rsidR="00D06117" w:rsidRDefault="00D06117" w:rsidP="00D06117">
      <w:pPr>
        <w:pStyle w:val="TextoNormal"/>
      </w:pPr>
    </w:p>
    <w:p w:rsidR="00D06117" w:rsidRDefault="00D06117" w:rsidP="00D06117">
      <w:pPr>
        <w:pStyle w:val="TextoNormal"/>
      </w:pPr>
      <w:r>
        <w:t>“Podrán redimir su pena con el trabajo, desde que sea firme la sentencia respectiva, los reclusos condenados a pena de reclusión, prisión y arresto mayor. Al recluso trabajador se abonará, para el cumplimiento de la pena impuesta, previa aprobación por el Juez de vigilancia, un día por cada dos de trabajo, y el tiempo así redimido se le contará también para acceder a la libertad condicional. El mismo beneficio se aplicará, a efectos de liquidación de su condena, a los reclusos que hayan estado privados provisionalmente de libertad.</w:t>
      </w:r>
    </w:p>
    <w:p w:rsidR="00D06117" w:rsidRDefault="00D06117" w:rsidP="00D06117">
      <w:pPr>
        <w:pStyle w:val="TextoNormal"/>
      </w:pPr>
    </w:p>
    <w:p w:rsidR="00D06117" w:rsidRDefault="00D06117" w:rsidP="00D06117">
      <w:pPr>
        <w:pStyle w:val="TextoNormal"/>
      </w:pPr>
      <w:r>
        <w:t>No podrán redimir pena por el trabajo: 1º. Quienes quebranten la condena o intentaran quebrantarla, aunque no logren su propósito. 2º. Los que reiteradamente observen mala conducta durante el cumplimiento de la condena.”</w:t>
      </w:r>
    </w:p>
    <w:p w:rsidR="00D06117" w:rsidRDefault="00D06117" w:rsidP="00D06117">
      <w:pPr>
        <w:pStyle w:val="TextoNormal"/>
      </w:pPr>
    </w:p>
    <w:p w:rsidR="00D06117" w:rsidRDefault="00D06117" w:rsidP="00D06117">
      <w:pPr>
        <w:pStyle w:val="TextoNormal"/>
      </w:pPr>
      <w:r>
        <w:t>Lo dispuesto en el precepto transcrito constituye una singularidad propia del sistema penal español desde 1944, que se mantuvo hasta la entrada en vigor del nuevo código de 1995, y que todavía proyecta su efecto sobre el cumplimiento de las penas impuestas por delitos cometidos antes de esa fecha. Su origen en la posguerra explica en buena parte su finalidad pragmática de permitir el acortamiento de las penas con el fin de reducir la alta densidad de población penitenciaria y, a la vez, poder aprovechar oportunamente una mano de obra barata. Al aprobarse el texto refundido del Código penal de 1973 se mantiene el precepto en los mismos términos, ajustando su fundamentación a nuevos parámetros más acordes con la finalidad preventivo-especial de reinserción social de los penados, finalidad que la Constitución de 1978 eleva a rango de principio informador del cumplimiento de las penas privativas de libertad (art. 25.2 CE). De forma reiterada nuestra doctrina ha vinculado el fundamento material del art. 100 a dicho principio (entre muchas otras, STC 72/1994, de 3 de marzo, FJ 4).</w:t>
      </w:r>
    </w:p>
    <w:p w:rsidR="00D06117" w:rsidRDefault="00D06117" w:rsidP="00D06117">
      <w:pPr>
        <w:pStyle w:val="TextoNormal"/>
      </w:pPr>
    </w:p>
    <w:p w:rsidR="00D06117" w:rsidRDefault="00D06117" w:rsidP="00D06117">
      <w:pPr>
        <w:pStyle w:val="TextoNormal"/>
      </w:pPr>
      <w:r>
        <w:t xml:space="preserve">En definitiva, durante varias décadas se mantuvo una institución que consagraba una ficción jurídica de contundente eficacia para el acortamiento del periodo de cumplimiento de la pena, por más que a la vez produjera una patente anomalía semántica: la imposición </w:t>
      </w:r>
      <w:r>
        <w:lastRenderedPageBreak/>
        <w:t>de una pena de seis años —por ejemplo— equivalía a un castigo de cuatro años de prisión, pasados los cuales realizando un trabajo u ocupación aceptada a tales efectos, se tenían por cumplidos los seis años de prisión fijados en sentencia. Ficción de cumplimento que, por voluntad del legislador, desencadenaba de forma plena las consecuencias jurídicas propias de la extinción de la pena, aunque de facto hubiera quedado acortada en un tercio de su valor nominal.</w:t>
      </w:r>
    </w:p>
    <w:p w:rsidR="00D06117" w:rsidRDefault="00D06117" w:rsidP="00D06117">
      <w:pPr>
        <w:pStyle w:val="TextoNormal"/>
      </w:pPr>
    </w:p>
    <w:p w:rsidR="00D06117" w:rsidRDefault="00D06117" w:rsidP="00D06117">
      <w:pPr>
        <w:pStyle w:val="TextoNormal"/>
      </w:pPr>
      <w:r>
        <w:t>En el marco del Código penal de 1973 la ausencia de dudas sobre la operatividad general de la redención por el trabajo implicaba la asunción natural de la constante diferenciación entre la duración nominal y la duración real de la pena, lo que formaba parte del cálculo que podía efectuar el Juez para adecuar la respuesta punitiva al delito en cuestión, y generaba una expectativa en el condenado, fundada en un parámetro consolidado de cómputo, sobre el tiempo real de la condena. Esa diferencia entre duración nominal y duración efectiva se proyectaba asimismo de forma incuestionada sobre las previsiones recogidas en el art. 70.2 de aquel Código, como queda documentado constantemente en la práctica penitenciaria y en su reflejo jurisprudencial, así como en las propias disposiciones transitorias del Código penal de 1995 relativas a la revisión de las condenas, y en circulares y directrices referidas a la aplicación de éstas.</w:t>
      </w:r>
    </w:p>
    <w:p w:rsidR="00D06117" w:rsidRDefault="00D06117" w:rsidP="00D06117">
      <w:pPr>
        <w:pStyle w:val="TextoNormal"/>
      </w:pPr>
    </w:p>
    <w:p w:rsidR="00D06117" w:rsidRDefault="00D06117" w:rsidP="00D06117">
      <w:pPr>
        <w:pStyle w:val="TextoNormal"/>
      </w:pPr>
      <w:r>
        <w:t>El carácter preceptivo del abono del tiempo redimido por trabajo, que se proclama con carácter objetivo y general, con un módulo fijo de medida, indica que estamos ante una institución de rasgos bien diferenciados respecto a otras instituciones que también se agrupan genéricamente como “beneficios penitenciarios” —régimen abierto, libertad condicional, permisos de salida— y a los que se puede acceder durante el cumplimiento de la condena y que conllevan una suavización de la intensidad del control de la privación de libertad. El efecto de la redención de penas por el trabajo no se plasma, sin embargo, en una suavización de las condiciones de cumplimiento, sino en la notable reducción o acortamiento del tiempo necesario para extinguir jurídicamente la pena impuesta.</w:t>
      </w:r>
    </w:p>
    <w:p w:rsidR="00D06117" w:rsidRDefault="00D06117" w:rsidP="00D06117">
      <w:pPr>
        <w:pStyle w:val="TextoNormal"/>
      </w:pPr>
    </w:p>
    <w:p w:rsidR="00D06117" w:rsidRDefault="00D06117" w:rsidP="00D06117">
      <w:pPr>
        <w:pStyle w:val="TextoNormal"/>
      </w:pPr>
      <w:r>
        <w:t>El disfrute de la redención de penas por el trabajo no está condicionado a una concesión facultativa del Juez de vigilancia o del Juez sentenciador, ni depende de la concurrencia de otro requisito distinto al de encontrarse cumpliendo pena de prisión, ni de una evolución positiva del comportamiento del sujeto o de su régimen penitenciario, ni de pronósticos de peligrosidad. No necesita “merecerse” y únicamente puede ser denegada en los dos supuestos de exclusión previstos en el art. 100 (intento de fuga, reiterado mal comportamiento); pero aún en estos supuestos, según nuestra doctrina no puede ser revocada la redención obtenida hasta entonces ya que no se trata de un “beneficio condicional” (STC 174/1989, de 30 de octubre, FJ 5). La redención por el trabajo se sitúa como criterio de obligado acatamiento ope legis, como parámetro ineludible que predetermina la forma de cálculo de los días que se cumplen a efectos jurídicos definitivos. Éste, y no otro, es el aspecto que ahora interesa porque no estamos ante una queja sobre un eventual error o falta de contabilización de determinados trabajos o de parte del tiempo ya redimido, sino ante una queja por la exclusión de plano de la redención en el ámbito del art. 70.2 CP 1973. En suma, la cuestión crucial no es la verificación de cómo se han aplicado unas “reglas de juego”, en este caso respecto al cómputo de la pena durante la ejecución de ésta, sino si tales “reglas de juego” estaban ya establecidas normativamente en el momento de los hechos.</w:t>
      </w:r>
    </w:p>
    <w:p w:rsidR="00D06117" w:rsidRDefault="00D06117" w:rsidP="00D06117">
      <w:pPr>
        <w:pStyle w:val="TextoNormal"/>
      </w:pPr>
    </w:p>
    <w:p w:rsidR="00D06117" w:rsidRDefault="00D06117" w:rsidP="00D06117">
      <w:pPr>
        <w:pStyle w:val="TextoNormal"/>
      </w:pPr>
      <w:r>
        <w:lastRenderedPageBreak/>
        <w:t>La posibilidad de redimir por trabajo no se conforma como un premio o consecuencia derivada de un mérito previo, sino como una alternativa que la ley ofrece al recluso de acogerse a una vía de cumplimiento reducido de la pena, de manera que si aquél opta por el sistema que se le propone de “acortamiento” de la duración de la pena, el efecto de la redención por los días de trabajo resulta perfectamente predecible con un alto grado de certeza. El carácter previo de las reglas de cómputo es inherente a las exigencias propias de un Estado de Derecho, como protección frente a la arbitrariedad y la incertidumbre que resultarían de la ausencia de criterio anunciado, cierto y seguro, características sustanciales asociadas al derecho fundamental a la legalidad penal (art. 25.1 CE).</w:t>
      </w:r>
    </w:p>
    <w:p w:rsidR="00D06117" w:rsidRDefault="00D06117" w:rsidP="00D06117">
      <w:pPr>
        <w:pStyle w:val="TextoNormal"/>
      </w:pPr>
    </w:p>
    <w:p w:rsidR="00D06117" w:rsidRDefault="00D06117" w:rsidP="00D06117">
      <w:pPr>
        <w:pStyle w:val="TextoNormal"/>
      </w:pPr>
      <w:r>
        <w:t>Como queda acertadamente reflejado en nuestra Sentencia de forma detallada, este Tribunal ha mantenido de forma constante una doctrina celosa de la seguridad jurídica en las numerosas resoluciones dictadas en materia de redención de penas por el trabajo, declarando la intangibilidad de los reconocimientos de los días redimidos por trabajo aun ante supuestos errores detectados con posterioridad (STC 174/1989, de 30 de octubre), y el mantenimiento del tiempo de redención consolidada incluso para acortar las penas impuestas conforme al nuevo código de 1995 por resultar más favorables (STC 31/1999, de 8 de marzo).</w:t>
      </w:r>
    </w:p>
    <w:p w:rsidR="00D06117" w:rsidRDefault="00D06117" w:rsidP="00D06117">
      <w:pPr>
        <w:pStyle w:val="TextoNormal"/>
      </w:pPr>
    </w:p>
    <w:p w:rsidR="00D06117" w:rsidRDefault="00D06117" w:rsidP="00D06117">
      <w:pPr>
        <w:pStyle w:val="TextoNormal"/>
      </w:pPr>
      <w:r>
        <w:t>3. La cuestión aquí debatida, la constitucionalidad de un cambio de criterio sobre los parámetros que marcan la contabilidad del cumplimiento de las penas, debe analizarse atendiendo al fundamento material del derecho consagrado en el art. 25.1 CE porque tal cambio de criterio altera de forma sustancial la previsión racionalmente fundada sobre la duración efectiva de la pena que la persona condenada pudo establecer al comenzar su ejecución. El acceso al conocimiento seguro de la duración de la pena, su previsibilidad conforme a las pautas vigentes no sólo en el momento de aplicación de la ley sino en el de los hechos enjuiciados, son elementos que pertenecen al núcleo del derecho fundamental a la ley previa, cierta, precisa, tanto respecto a los delitos como respecto a las consecuencias punitivas correspondientes. Y en el contexto de las singularidades del Código penal de 1973 este conocimiento cierto debe abarcar no solo el límite nominal del quantum de dicho cumplimiento sino también su traducción correspondiente en un límite efectivo de menor duración por el acortamiento derivado del abono del tiempo redimido por trabajo conforme a las reglas del art. 100.</w:t>
      </w:r>
    </w:p>
    <w:p w:rsidR="00D06117" w:rsidRDefault="00D06117" w:rsidP="00D06117">
      <w:pPr>
        <w:pStyle w:val="TextoNormal"/>
      </w:pPr>
    </w:p>
    <w:p w:rsidR="00D06117" w:rsidRDefault="00D06117" w:rsidP="00D06117">
      <w:pPr>
        <w:pStyle w:val="TextoNormal"/>
      </w:pPr>
      <w:r>
        <w:t xml:space="preserve">La Sentencia cita varias sentencias del Tribunal Europeo de Derechos Humanos en apoyo de la ubicación de la redención de penas por el trabajo fuera del ámbito de tutela del art. 25.1 CE, pero tales resoluciones se refieren a beneficios penitenciarios de distinto y menor alcance que el que ahora tratamos, como antes he puesto de relieve. Además no se da debida cuenta de la existencia de otras resoluciones más matizadas que reconocen la dificultad de establecer la frontera entre pena y medidas de ejecución de la misma, y que expresamente rehúyen de formalismos apriorísticos (STEDH de 15 de diciembre de 2009, Gurguchiani c. España, § 31; STEDH de 12 de febrero de 2008, Kafkaris c. Chipre, § 142). Precisamente los hechos del asunto Kafkaris contra Chipre presentan cierta semejanza con los que subyacen a la presente demanda de amparo puesto que se trataba de un cambio de interpretación del alcance real de la pena de prisión perpetua, pena que, pese a su denominación, según un determinado reglamento penitenciario implicaba una prisión de veinte años. El recurrente fue condenado a prisión perpetua pero al ingresar en prisión se le informó del alcance de la pena conforme a aquel reglamento penitenciario, donde constaba la fecha de acceso a la libertad condicional. El Tribunal Europeo de Derechos Humanos señaló en este caso que la </w:t>
      </w:r>
      <w:r>
        <w:lastRenderedPageBreak/>
        <w:t>cuestión residía en determinar “si el texto de la ley, leído a la luz de la jurisprudencia interpretativa emanada al respecto, satisfacía los requisitos de accesibilidad y de previsibilidad”. Igualmente estableció que el conocimiento y la aplicación de los reglamentos penitenciarios en aquella situación no era un asunto de mera ejecución de la pena, y que aunque la pena nominalmente impuesta era la misma que la que entonces se sometía a cumplimiento conforme a la nueva interpretación, aunque no se tratara de una imposición retroactiva de una pena más severa, el problema residía en la falta de “calidad de la ley”. Falta de calidad de la ley que se aprecia porque en el momento de comisión del delito el Derecho penal chipriota, tomado en su conjunto, no estaba formulado con la suficiente precisión como para permitir al recurrente discernir de forma razonable, acorde con las circunstancias, incluso con el asesoramiento apropiado, “el alcance de la pena de prisión perpetua y la forma de su ejecución”, por lo que se declara la conculcación del art. 7 del Convenio a este respecto (§ 150).</w:t>
      </w:r>
    </w:p>
    <w:p w:rsidR="00D06117" w:rsidRDefault="00D06117" w:rsidP="00D06117">
      <w:pPr>
        <w:pStyle w:val="TextoNormal"/>
      </w:pPr>
    </w:p>
    <w:p w:rsidR="00D06117" w:rsidRDefault="00D06117" w:rsidP="00D06117">
      <w:pPr>
        <w:pStyle w:val="TextoNormal"/>
      </w:pPr>
      <w:r>
        <w:t>Es cierto que la cuestión que nosotros examinamos no afecta a la duración de una pena concreta correspondiente a un delito, sino a la duración del límite máximo de cumplimento fijado para la concurrencia de varias penas pendientes de cumplir, conforme a la técnica conocida como “acumulación jurídica de penas” que en el Código penal de 1973 quedaba concretada en las previsiones de su art. 70.2. Este es el precepto cuya interpretación se modifica en la STS 197/2006, y cuyo tenor establecía que:</w:t>
      </w:r>
    </w:p>
    <w:p w:rsidR="00D06117" w:rsidRDefault="00D06117" w:rsidP="00D06117">
      <w:pPr>
        <w:pStyle w:val="TextoNormal"/>
      </w:pPr>
    </w:p>
    <w:p w:rsidR="00D06117" w:rsidRDefault="00D06117" w:rsidP="00D06117">
      <w:pPr>
        <w:pStyle w:val="TextoNormal"/>
      </w:pPr>
      <w:r>
        <w:t>“Cuando todas o algunas de las penas correspondientes a las diversas infracciones no pudieran ser cumplidas simultáneamente por el condenado, se observarán, respecto a ellas, las reglas siguientes:</w:t>
      </w:r>
    </w:p>
    <w:p w:rsidR="00D06117" w:rsidRDefault="00D06117" w:rsidP="00D06117">
      <w:pPr>
        <w:pStyle w:val="TextoNormal"/>
      </w:pPr>
    </w:p>
    <w:p w:rsidR="00D06117" w:rsidRDefault="00D06117" w:rsidP="00D06117">
      <w:pPr>
        <w:pStyle w:val="TextoNormal"/>
      </w:pPr>
      <w:r>
        <w:t xml:space="preserve">1ª En la imposición de las penas se seguirá el orden de su respectiva gravedad para su cumplimiento sucesivo por el condenado en cuanto sea posible, por haber obtenido indulto de las primeramente impuestas o por haberlas ya cumplido. … </w:t>
      </w:r>
    </w:p>
    <w:p w:rsidR="00D06117" w:rsidRDefault="00D06117" w:rsidP="00D06117">
      <w:pPr>
        <w:pStyle w:val="TextoNormal"/>
      </w:pPr>
    </w:p>
    <w:p w:rsidR="00D06117" w:rsidRDefault="00D06117" w:rsidP="00D06117">
      <w:pPr>
        <w:pStyle w:val="TextoNormal"/>
      </w:pPr>
      <w:r>
        <w:t>2ª No obstante lo dispuesto en la regla anterior, el máximum de cumplimiento de la condena del culpable no podrá exceder del triplo del tiempo porque se le impusiere la más grave de las penas en que haya incurrido, dejando de extinguir las que procedan desde que las ya impuestas cubrieren el máximum de tiempo predicho, que no podrá exceder de treinta años.</w:t>
      </w:r>
    </w:p>
    <w:p w:rsidR="00D06117" w:rsidRDefault="00D06117" w:rsidP="00D06117">
      <w:pPr>
        <w:pStyle w:val="TextoNormal"/>
      </w:pPr>
    </w:p>
    <w:p w:rsidR="00D06117" w:rsidRDefault="00D06117" w:rsidP="00D06117">
      <w:pPr>
        <w:pStyle w:val="TextoNormal"/>
      </w:pPr>
      <w:r>
        <w:t>La limitación se aplicará aunque las penas se hubieran impuesto en distintos procesos si los hechos, por su conexión, pudieran haberse enjuiciado en uno solo.” (Cursiva añadida).</w:t>
      </w:r>
    </w:p>
    <w:p w:rsidR="00D06117" w:rsidRDefault="00D06117" w:rsidP="00D06117">
      <w:pPr>
        <w:pStyle w:val="TextoNormal"/>
      </w:pPr>
    </w:p>
    <w:p w:rsidR="00D06117" w:rsidRDefault="00D06117" w:rsidP="00D06117">
      <w:pPr>
        <w:pStyle w:val="TextoNormal"/>
      </w:pPr>
      <w:r>
        <w:t xml:space="preserve">Ese límite se refiere al tiempo de privación de libertad en el que queda finalmente individualizado el castigo por el conjunto de los varios delitos cometidos, por lo que no puede negarse que dicho límite fija la referencia para el correspondiente cumplimiento. Una duración que recorta y reduce sustancialmente el tiempo que supondría la suma de las penas por separado y que, por tanto, sustituye a esta suma y conforma la consecuencia punitiva que se traslada al conocimiento del ciudadano y sobre la que opera después la institución de la redención. En el contexto del Código penal de 1973 ello significaba que ese quantum de los treinta años de condena quedaba convertido ope legis, de no concurrir determinadas incidencias en la ejecución como mal comportamiento o intento de fuga, en 20 años de cumplimiento efectivo. Por ello, la interpretación que debemos analizar desde los parámetros de </w:t>
      </w:r>
      <w:r>
        <w:lastRenderedPageBreak/>
        <w:t>constitucionalidad es la que ha alterado esta previsibilidad respecto al cumplimiento efectivo, al excluir la operatividad de la redención de penas por el trabajo sobre aquel límite nominal, con el consiguiente reflejo penológico en la duración del período de tiempo de privación de libertad.</w:t>
      </w:r>
    </w:p>
    <w:p w:rsidR="00D06117" w:rsidRDefault="00D06117" w:rsidP="00D06117">
      <w:pPr>
        <w:pStyle w:val="TextoNormal"/>
      </w:pPr>
    </w:p>
    <w:p w:rsidR="00D06117" w:rsidRDefault="00D06117" w:rsidP="00D06117">
      <w:pPr>
        <w:pStyle w:val="TextoNormal"/>
      </w:pPr>
      <w:r>
        <w:t>Ciertamente, un precepto penal cuyo tenor literal permitiera acoger dos interpretaciones tan dispares en cuanto a sus efectos penológicos no reuniría las condiciones requeridas de calidad normativa, que derivan de la garantía constitucional de la legalidad penal.</w:t>
      </w:r>
    </w:p>
    <w:p w:rsidR="00D06117" w:rsidRDefault="00D06117" w:rsidP="00D06117">
      <w:pPr>
        <w:pStyle w:val="TextoNormal"/>
      </w:pPr>
    </w:p>
    <w:p w:rsidR="00D06117" w:rsidRDefault="00D06117" w:rsidP="00D06117">
      <w:pPr>
        <w:pStyle w:val="TextoNormal"/>
      </w:pPr>
      <w:r>
        <w:t>4. La consagración constitucional de la legalidad penal como derecho fundamental enfatiza el mandato de determinación y de taxatividad en el campo de la punición estatal como correlato del principio de la seguridad jurídica y como reflejo de la separación de poderes que diferencia las funciones del legislador en la creación de las normas y del juzgador en la aplicación de éstas, garantías básicas del Estado de Derecho.</w:t>
      </w:r>
    </w:p>
    <w:p w:rsidR="00D06117" w:rsidRDefault="00D06117" w:rsidP="00D06117">
      <w:pPr>
        <w:pStyle w:val="TextoNormal"/>
      </w:pPr>
    </w:p>
    <w:p w:rsidR="00D06117" w:rsidRDefault="00D06117" w:rsidP="00D06117">
      <w:pPr>
        <w:pStyle w:val="TextoNormal"/>
      </w:pPr>
      <w:r>
        <w:t>La redoblada exigencia de claridad y precisión de las leyes penales se extiende a la interpretación de éstas a través de la aplicación judicial, como operación que fija su alcance y significado de forma coherente con el sentido de los preceptos legales, de manera que ambos planos se complementan para garantizar la previsibilidad del alcance de la norma y de sus consecuencias punitivas. Complementariedad que se convierte en inescindible cuando nos encontramos ante un criterio de aplicación consolidado de forma permanente y prolongado en el tiempo. Evidentemente el cambio de interpretación es siempre posible por el carácter dinámico de la jurisprudencia y su necesaria adaptación a nuevos supuestos de hechos, pero cuanto más consolidada se encuentre una determinada interpretación, mayores cautelas deberán observarse a la hora de su modificación, y más intensa deberá ser la fundamentación en que se apoye para que continúe resultando predecible y acorde con las pautas hermenéuticas aceptadas por la comunidad jurídica (en esta línea, en cuanto a la exigencia de previsibilidad, la reciente STEDH de 6 de marzo de 2012, Huhtamäki c. Finlandia).</w:t>
      </w:r>
    </w:p>
    <w:p w:rsidR="00D06117" w:rsidRDefault="00D06117" w:rsidP="00D06117">
      <w:pPr>
        <w:pStyle w:val="TextoNormal"/>
      </w:pPr>
    </w:p>
    <w:p w:rsidR="00D06117" w:rsidRDefault="00D06117" w:rsidP="00D06117">
      <w:pPr>
        <w:pStyle w:val="TextoNormal"/>
      </w:pPr>
      <w:r>
        <w:t>Como acertadamente se señala en la Sentencia, no es función de este Tribunal la interpretación de la legalidad ordinaria, tarea que corresponde, en última instancia, ex art. 123 CE al Tribunal Supremo, pero no podemos eludir el análisis de los aspectos que pueden comprometer los derechos fundamentales cuya tutela nos compete especialmente. Expresado en términos de la STC 91/2009, de 20 de abril, recogiendo la línea de nuestra doctrina, “[d]e un modo mucho más restringido, y con la perspectiva externa que le es propia como Tribunal no inserto en el proceso penal, nuestra tarea se constriñe a evaluar la sostenibilidad constitucional de la concreta interpretación llevada a cabo por los órganos judiciales desde los citados parámetros de razonabilidad semántica, metodológica y axiológica” (FJ 6).</w:t>
      </w:r>
    </w:p>
    <w:p w:rsidR="00D06117" w:rsidRDefault="00D06117" w:rsidP="00D06117">
      <w:pPr>
        <w:pStyle w:val="TextoNormal"/>
      </w:pPr>
    </w:p>
    <w:p w:rsidR="00D06117" w:rsidRDefault="00D06117" w:rsidP="00D06117">
      <w:pPr>
        <w:pStyle w:val="TextoNormal"/>
      </w:pPr>
      <w:r>
        <w:t xml:space="preserve">En la cuestión que ahora nos concierne respecto a la interpretación realizada en la STS 197/2006, pues a ella remiten las resoluciones judiciales impugnadas como único argumento de lo decidido, lo primero que debe clarificarse es dónde reside el giro interpretativo desencadenante de la agravación punitiva cuya legitimidad se cuestiona. Y en este punto es necesario destacar que la citada Sentencia introduce dos modificaciones respecto al cómputo de la redención de penas de trabajo en relación al límite máximo de cumplimiento fijado en el art. 70.2 CP 1973. Una de ellas carece de relevancia constitucional porque se refiere al orden sucesivo del cumplimento de las varias penas impuestas a la persona condenada, lo que en principio no es más que una cuestión de carácter técnico-funcional de proyección sobre el </w:t>
      </w:r>
      <w:r>
        <w:lastRenderedPageBreak/>
        <w:t>régimen penitenciario y que en sí misma no afectaría al tiempo efectivo de privación de libertad. La segunda modificación es la realmente decisiva porque introduce un requisito adicional en relación con el límite de tiempo total de condena establecido en al art. 70.2, diciendo expresamente en su fundamento jurídico 4 que “tal límite representa el máximo de cumplimiento del penado en un centro penitenciario” (cursiva añadida).</w:t>
      </w:r>
    </w:p>
    <w:p w:rsidR="00D06117" w:rsidRDefault="00D06117" w:rsidP="00D06117">
      <w:pPr>
        <w:pStyle w:val="TextoNormal"/>
      </w:pPr>
    </w:p>
    <w:p w:rsidR="00D06117" w:rsidRDefault="00D06117" w:rsidP="00D06117">
      <w:pPr>
        <w:pStyle w:val="TextoNormal"/>
      </w:pPr>
      <w:r>
        <w:t>La extensa argumentación que la Sentencia del Tribunal Supremo dedica a rechazar que el límite máximo constituya una “pena única” solo se entiende porque en su lógica explicativa considera necesario atribuir un distinto sentido conceptual al término “condena” respecto al término “pena”, a fin de excluir el abono de los días redimidos por trabajo del tiempo máximo de “condena”. Y de esa manera pretende eludir las posibles objeciones a la exclusión del beneficio general previsto en el art. 100, ya que éste no quedaría teóricamente excluido al abonarse el tiempo redimido a cada pena por separado a lo largo de su cumplimiento sucesivo hasta llegar a aquel límite, aun cuando de hecho ese abono no tenga efecto práctico alguno si la suma supera los cuarenta y cinco años.</w:t>
      </w:r>
    </w:p>
    <w:p w:rsidR="00D06117" w:rsidRDefault="00D06117" w:rsidP="00D06117">
      <w:pPr>
        <w:pStyle w:val="TextoNormal"/>
      </w:pPr>
    </w:p>
    <w:p w:rsidR="00D06117" w:rsidRDefault="00D06117" w:rsidP="00D06117">
      <w:pPr>
        <w:pStyle w:val="TextoNormal"/>
      </w:pPr>
      <w:r>
        <w:t>El examen de la nueva interpretación desde los cánones constitucionales debe quedar reducido, por tanto, a la adición de la exigencia de cumplimiento “en centro penitenciario”, o lo que es su correlato, a la introducción de dos conceptos distintos de “cumplimento” dentro del mismo precepto, el art. 70.2, uno aplicable al “cumplimiento de condena” y otro que se corresponde con el concepto general de “cumplimento de la pena” incluyendo la redención de penas por trabajo. De lo que deriva que el cumplimiento de varias penas plenamente extinguidas a efectos jurídico-penales llegará a sumar cuarenta y cinco años nominales de pena de privación de libertad impuesta en sentencia, que son los que se corresponderían con treinta años efectivos en prisión (treinta años en prisión más quince años de tiempo “redimido” por trabajo).</w:t>
      </w:r>
    </w:p>
    <w:p w:rsidR="00D06117" w:rsidRDefault="00D06117" w:rsidP="00D06117">
      <w:pPr>
        <w:pStyle w:val="TextoNormal"/>
      </w:pPr>
    </w:p>
    <w:p w:rsidR="00D06117" w:rsidRDefault="00D06117" w:rsidP="00D06117">
      <w:pPr>
        <w:pStyle w:val="TextoNormal"/>
      </w:pPr>
      <w:r>
        <w:t>5. La distinción referida no sería artificiosa si pudiera contar con algún sustento en el propio Código penal o en otra norma aplicable al caso, que permitiera sostener que “condena” y “pena” aluden a dos realidades distintas en el sentido pretendido, o que entre “cumplimento de una pena” y “cumplimento de la condena del culpable” pudiera haber alguna diferencia sustancial.</w:t>
      </w:r>
    </w:p>
    <w:p w:rsidR="00D06117" w:rsidRDefault="00D06117" w:rsidP="00D06117">
      <w:pPr>
        <w:pStyle w:val="TextoNormal"/>
      </w:pPr>
    </w:p>
    <w:p w:rsidR="00D06117" w:rsidRDefault="00D06117" w:rsidP="00D06117">
      <w:pPr>
        <w:pStyle w:val="TextoNormal"/>
      </w:pPr>
      <w:r>
        <w:t>Desde el canon del sentido literal posible del término “cumplimiento”, en nuestro caso, lo único que literalmente puede constatarse es que el art. 70.2 no incluye una referencia a que ese máximo de cumplimiento deba ser “en centro penitenciario”, referencia que resultaría obligada para excepcionar la proyección general de la redención de penas por trabajo en el Código penal de 1973. El sentido literal común de lo que significa cumplir una pena de prisión no puede operar aquí como canon de interpretación porque estamos ante un término acotado normativamente, que incluso la persona profana sabe que requiere ser matizado por lo que puedan disponer las leyes. Ahora bien, lo que el canon de interpretación debe garantizar es que no se altere el sentido literal posible en perjuicio del reo, de manera que no se dé cabida a una intervención punitiva imprevisible conforme a los datos accesibles al conocimiento del ciudadano, asesorado en su caso por una persona experta.</w:t>
      </w:r>
    </w:p>
    <w:p w:rsidR="00D06117" w:rsidRDefault="00D06117" w:rsidP="00D06117">
      <w:pPr>
        <w:pStyle w:val="TextoNormal"/>
      </w:pPr>
    </w:p>
    <w:p w:rsidR="00D06117" w:rsidRDefault="00D06117" w:rsidP="00D06117">
      <w:pPr>
        <w:pStyle w:val="TextoNormal"/>
      </w:pPr>
      <w:r>
        <w:t xml:space="preserve">Desde una interpretación sistemática, especialmente relevante en la interpretación jurídica, la peculiaridad en el cumplimiento de las penas de prisión bajo el Código penal de 1973, por la proyección de las reglas del art. 100, no resulta alterada en la normativa de la </w:t>
      </w:r>
      <w:r>
        <w:lastRenderedPageBreak/>
        <w:t>época en ningún momento, no pudiéndose hallar ninguna indicación o matización explícita que permita su restricción. Las previsiones relativas al denominado concurso ideal de delitos también acogen supuestos de acumulación de delitos y penas cuya suma puede superar con creces el límite allí fijado como pena única agravada (en el Código penal de 1973, art. 71), sin que se vislumbre ninguna razón para excluir de este límite la aplicación del art. 100. Resultaría poco congruente sistemáticamente que, pese a las similitudes de esta figura con la de acumulación jurídica del art. 70.2, la exclusión de la redención de penas operara selectivamente solo sobre una de ellas.</w:t>
      </w:r>
    </w:p>
    <w:p w:rsidR="00D06117" w:rsidRDefault="00D06117" w:rsidP="00D06117">
      <w:pPr>
        <w:pStyle w:val="TextoNormal"/>
      </w:pPr>
    </w:p>
    <w:p w:rsidR="00D06117" w:rsidRDefault="00D06117" w:rsidP="00D06117">
      <w:pPr>
        <w:pStyle w:val="TextoNormal"/>
      </w:pPr>
      <w:r>
        <w:t>Desde la perspectiva teleológica o de fundamentación material, los argumentos de la STS 197/2006 no se refieren al sentido de la institución de la acumulación jurídica ni al de la redención de penas por trabajo, sino que, después de apelaciones genéricas a los fines de la pena, centran la atención en un principio que se declara debe presidir la interpretación de esta materia y que “residenciado en consideraciones de política criminal, descansa en que el autor de las diversas infracciones cometidas debe cumplir todas o la mayor parte de las penas impuestas, sin que pueda igualarse, concediéndosele el mismo trato punitivo, al autor de un solo delito que al seriado criminal que tiene sobre sus espaldas un amplio historial delictivo. Esta interpretación ni la consiente el valor de justicia proclamado por la Constitución española, ni resulta propiamente tampoco de la ley. En el caso de un condenado por 150 asesinatos, unos consumados y otros en grado de tentativa acabada, el principio de humanidad estará siempre al lado de las víctimas, sin perjuicio de la forma humanitaria de la ejecución de la pena a su autor” (fundamento jurídico tercero).</w:t>
      </w:r>
    </w:p>
    <w:p w:rsidR="00D06117" w:rsidRDefault="00D06117" w:rsidP="00D06117">
      <w:pPr>
        <w:pStyle w:val="TextoNormal"/>
      </w:pPr>
    </w:p>
    <w:p w:rsidR="00D06117" w:rsidRDefault="00D06117" w:rsidP="00D06117">
      <w:pPr>
        <w:pStyle w:val="TextoNormal"/>
      </w:pPr>
      <w:r>
        <w:t>Este argumento es reiterado después en el fundamento jurídico 4, como una de las razones de apoyo de la nueva interpretación del art. 70.2 CP 1973: “e) teleológicamente, porque carecería de cualquier sentido que por el expresado camino de la acumulación se convirtiera en una nueva pena única de treinta años un amplio historial delictivo, igualando injustificadamente al autor de un solo delito con el condenado a una multitud de ellos, como es el caso enjuiciado. En efecto, carecería de cualquier lógica que por tal regla significase punitivamente lo mismo, cometer un asesinato que doscientos”.</w:t>
      </w:r>
    </w:p>
    <w:p w:rsidR="00D06117" w:rsidRDefault="00D06117" w:rsidP="00D06117">
      <w:pPr>
        <w:pStyle w:val="TextoNormal"/>
      </w:pPr>
    </w:p>
    <w:p w:rsidR="00D06117" w:rsidRDefault="00D06117" w:rsidP="00D06117">
      <w:pPr>
        <w:pStyle w:val="TextoNormal"/>
      </w:pPr>
      <w:r>
        <w:t>La problemática inherente a la acumulación jurídica de penas lleva aparejada esa irresoluble disparidad criticada, porque ante la magnitud de los delitos acumulados quiebra la posibilidad de una respuesta de justicia material acorde a esa gravedad y entran en juego otros principios del Estado de Derecho que limitan la intervención a una duración de la pena de cumplimiento verosímil y a la vez compatible con la prohibición de penalidades contrarias a la dignidad humana. Ciertamente, dicha autolimitación no obsta, dentro de las regulaciones posibles, que sea más acertada aquella que permita una graduación ajustada a los diferentes grupos de casos de acumulación delictiva, como la que ofrece el nuevo Código penal de 1995 en su artículo 76, que un sistema único e indiferenciado de acumulación.</w:t>
      </w:r>
    </w:p>
    <w:p w:rsidR="00D06117" w:rsidRDefault="00D06117" w:rsidP="00D06117">
      <w:pPr>
        <w:pStyle w:val="TextoNormal"/>
      </w:pPr>
    </w:p>
    <w:p w:rsidR="00D06117" w:rsidRDefault="00D06117" w:rsidP="00D06117">
      <w:pPr>
        <w:pStyle w:val="TextoNormal"/>
      </w:pPr>
      <w:r>
        <w:t xml:space="preserve">En efecto, no puede ignorarse que el límite de treinta años se aplica siempre a una acumulación de penas cuya suma sobrepasa esa cifra, lo que afecta por igual tanto a un sumatorio de treinta y dos años como a uno de cientos de años de prisión. Es lógico considerar inadecuado un sistema que permite tal equiparación, en disonancia con el principio de proporcionalidad que informa el sistema penal, pero un defecto de este cariz en la norma penal no legitima una reconstrucción judicial de la misma. Con la interpretación que analizamos, la pretensión de corregir esa incongruencia produce otra de signo contrario, ya que elimina </w:t>
      </w:r>
      <w:r>
        <w:lastRenderedPageBreak/>
        <w:t>por igual el cómputo de los días redimidos por trabajo sin atender a las enormes diferencias que pueden comportar dos casos distintos. Y además, por otro lado, conduce a que la aplicación de la acumulación jurídica ex art. 70.2 CP 1973 resulte más gravosa para el recluso que la derivada de las previsiones del nuevo Código penal de 1995 (arts. 76 y 78), ya que en éste la exclusión de los beneficios penitenciarios tiene un carácter facultativo y se limita a casos especialmente graves. En definitiva, trasladar las pautas político-criminales del nuevo Código a la aplicación del anterior formalmente ya derogado, no solo no puede resolver los problemas de la disparidad apuntada sino que aboca a incoherencias sistemáticas graves porque una interpretación de una norma preexistente no puede llegar a establecer matizaciones incompatibles con el tenor de la ley, que solo el legislador puede fijar con la precisión requerida. En ese sentido, resulta paradójico que la aplicación de la norma antigua, al reformularse conforme a la interpretación realizada en la STS 197/2006, desemboque en una situación comparativamente peor para el afectado que la derivada de una aplicación retroactiva del Código penal de 1995, situación que de haberse podido prever por el afectado le hubiera conducido a solicitar en su momento la aplicación de la normativa posterior convertida en ley penal más favorable. Un despropósito que muestra la incompatibilidad de la citada interpretación con las exigencias de previsibilidad y certeza requeridas por el derecho fundamental a la legalidad penal.</w:t>
      </w:r>
    </w:p>
    <w:p w:rsidR="00D06117" w:rsidRDefault="00D06117" w:rsidP="00D06117">
      <w:pPr>
        <w:pStyle w:val="TextoNormal"/>
      </w:pPr>
    </w:p>
    <w:p w:rsidR="00D06117" w:rsidRDefault="00D06117" w:rsidP="00D06117">
      <w:pPr>
        <w:pStyle w:val="TextoNormal"/>
      </w:pPr>
      <w:r>
        <w:t>Transcurridos más de diez años desde la entrada en vigor del Código penal de 1995, algunas de las prescripciones del antiguo código resultan difíciles de entender desde la perspectiva de sus efectos, tanto más cuanto que éstos se proyectan todavía al tiempo presente. Así ocurre con la redención de penas por el trabajo y con la discordancia que produce reconocer que la duración nominal de la pena no coincide con la duración efectiva de la misma. Y lo mismo ocurre respecto a aquella técnica de acumulación jurídica que fijaba un único límite máximo de treinta años para todos los supuestos de concurrencia simultánea de penas cuya suma superara esa duración. El nuevo Código penal de 1995, en cambio, resulta más acertado en este punto, al establecer tres límites diferenciados de veinte, veinticinco y treinta años escalonadamente, en función de la gravedad de los delitos que conformen el conjunto de condenas a acumular. La consolidación de la nueva regulación en la praxis jurisdiccional puede explicar sociológicamente el rechazo a aquella regulación, pero no puede legitimar un giro interpretativo como el producido en la STS 197/2006, que responde a los criterios político criminales que informan las normas penales hoy vigentes, pero que no se corresponde con las que inspiraron al legislador de 1973.</w:t>
      </w:r>
    </w:p>
    <w:p w:rsidR="00D06117" w:rsidRDefault="00D06117" w:rsidP="00D06117">
      <w:pPr>
        <w:pStyle w:val="TextoNormal"/>
      </w:pPr>
    </w:p>
    <w:p w:rsidR="00D06117" w:rsidRDefault="00D06117" w:rsidP="00D06117">
      <w:pPr>
        <w:pStyle w:val="TextoNormal"/>
      </w:pPr>
      <w:r>
        <w:t xml:space="preserve">El Tribunal Europeo de Derechos Humanos se ha pronunciado recientemente en dos supuestos que presentan elementos comunes con la situación que ahora nos ocupa puesto que en ambos la aplicación judicial de la norma penal había forzado la interpretación para acomodarla al tenor de una reforma introducida con posterioridad a los hechos que endurecía el tratamiento punitivo. Así se declara la vulneración del art. 7 del Convenio en la STEDH de 24 de enero de 2012, Mihai Toma c. Rumania, en relación a la sanción de privación del permiso de conducir prevista como sanción de aplicación facultativa en el momento de los hechos, que una posterior reforma convirtió en obligatoria. En línea similar, si bien respecto a la tipificación de la conducta delictiva, en la STEDH de 7 de febrero de 2012, Alimuçaj c. Albania, se declara la vulneración del art. 7 CEDH por haber aplicado el juzgador una interpretación extensiva e imprevisible para la imposición de una pena más grave que la prevista en el momento de los hechos, penalidad que se acomodaba a la nueva previsión </w:t>
      </w:r>
      <w:r>
        <w:lastRenderedPageBreak/>
        <w:t>punitiva de la estafa piramidal introducida en el Código Penal poco después de la comisión del conjunto de estafas enjuiciadas.</w:t>
      </w:r>
    </w:p>
    <w:p w:rsidR="00D06117" w:rsidRDefault="00D06117" w:rsidP="00D06117">
      <w:pPr>
        <w:pStyle w:val="TextoNormal"/>
      </w:pPr>
    </w:p>
    <w:p w:rsidR="00D06117" w:rsidRDefault="00D06117" w:rsidP="00D06117">
      <w:pPr>
        <w:pStyle w:val="TextoNormal"/>
      </w:pPr>
      <w:r>
        <w:t>6. El conjunto de los razonamientos expuestos conduce, a mi juicio, de forma patente, a concluir que la interpretación aplicada por remisión a la doctrina sentada en la STS 197/2006 puede calificarse de imprevisible porque adiciona al tenor literal de la ley una exigencia no incluida en ella como es la de que el cumplimiento de la condena deba realizarse en toda su extensión “en un centro penitenciario”, excluyendo con ello la regla general del Código penal de 1973 de redención de penas por trabajo. Asimismo, resulta incoherente en el contexto del sistema normativo del Código penal de 1973 y avoca a resultados incongruentes en la selección de la norma aplicable. A ello se une que la fundamentación material aducida en apoyo del cambio de criterio, aunque resulte más ajustada a criterios de justicia material y de técnica legal, no se cohonesta con las premisas político-criminales que inspiraban la redención de penas por trabajo y las pautas sistemáticas y técnicas del aquel Código penal ya derogado, que es el aplicado al supuesto que motiva este recurso de amparo.</w:t>
      </w:r>
    </w:p>
    <w:p w:rsidR="00D06117" w:rsidRDefault="00D06117" w:rsidP="00D06117">
      <w:pPr>
        <w:pStyle w:val="TextoNormal"/>
      </w:pPr>
    </w:p>
    <w:p w:rsidR="00D06117" w:rsidRDefault="00D06117" w:rsidP="00D06117">
      <w:pPr>
        <w:pStyle w:val="TextoNormal"/>
      </w:pPr>
      <w:r>
        <w:t>Por ello, considero que debiera haberse estimado el presente recurso de amparo por vulneración de los arts. 25.1 y 17.1 CE.</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1" w:name="SENTENCIA_2012_48"/>
      <w:r>
        <w:lastRenderedPageBreak/>
        <w:t>SENTENCIA 48/2012, de 29 de marzo de 2012</w:t>
      </w:r>
    </w:p>
    <w:bookmarkEnd w:id="51"/>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ECLI:ES:TC:2012:48</w:t>
      </w:r>
    </w:p>
    <w:p w:rsidR="00D06117" w:rsidRDefault="00D06117" w:rsidP="00D06117">
      <w:pPr>
        <w:pStyle w:val="SntesisDescriptiva"/>
      </w:pPr>
    </w:p>
    <w:p w:rsidR="00D06117" w:rsidRDefault="00D06117" w:rsidP="00D06117">
      <w:pPr>
        <w:pStyle w:val="SntesisDescriptiva"/>
      </w:pPr>
      <w:r>
        <w:t>Recurso de amparo 11106-2006. Promovido por don Domingo Troitiño Arranz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7].</w:t>
      </w:r>
    </w:p>
    <w:p w:rsidR="00D06117" w:rsidRDefault="00D06117" w:rsidP="00D06117">
      <w:pPr>
        <w:pStyle w:val="Extracto"/>
      </w:pPr>
    </w:p>
    <w:p w:rsidR="00D06117" w:rsidRDefault="00D06117" w:rsidP="00D06117">
      <w:pPr>
        <w:pStyle w:val="Extracto"/>
      </w:pPr>
      <w:r>
        <w:t>3.</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6.</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7.</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5].</w:t>
      </w:r>
    </w:p>
    <w:p w:rsidR="00D06117" w:rsidRDefault="00D06117" w:rsidP="00D06117">
      <w:pPr>
        <w:pStyle w:val="Extracto"/>
      </w:pPr>
    </w:p>
    <w:p w:rsidR="00D06117" w:rsidRDefault="00D06117" w:rsidP="00D06117">
      <w:pPr>
        <w:pStyle w:val="Extracto"/>
      </w:pPr>
      <w:r>
        <w:t>8.</w:t>
      </w:r>
      <w:r>
        <w:tab/>
        <w:t>Doctrina sobre redención de penas por el trabajo (SSTC 174/1989, 76/2004) [FJ 5].</w:t>
      </w:r>
    </w:p>
    <w:p w:rsidR="00D06117" w:rsidRDefault="00D06117" w:rsidP="00D06117">
      <w:pPr>
        <w:pStyle w:val="Extracto"/>
      </w:pPr>
    </w:p>
    <w:p w:rsidR="00D06117" w:rsidRDefault="00D06117" w:rsidP="00D06117">
      <w:pPr>
        <w:pStyle w:val="Extracto"/>
      </w:pPr>
      <w:r>
        <w:t>9.</w:t>
      </w:r>
      <w:r>
        <w:tab/>
        <w:t>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(SSTC 219/2000, 62/2010) [FJ 6].</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6].</w:t>
      </w:r>
    </w:p>
    <w:p w:rsidR="00D06117" w:rsidRDefault="00D06117" w:rsidP="00D06117">
      <w:pPr>
        <w:pStyle w:val="Extracto"/>
      </w:pPr>
    </w:p>
    <w:p w:rsidR="00D06117" w:rsidRDefault="00D06117" w:rsidP="00D06117">
      <w:pPr>
        <w:pStyle w:val="Extracto"/>
      </w:pPr>
      <w:r>
        <w:t>11.</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12.</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3].</w:t>
      </w:r>
    </w:p>
    <w:p w:rsidR="00D06117" w:rsidRDefault="00D06117" w:rsidP="00D06117">
      <w:pPr>
        <w:pStyle w:val="Extracto"/>
      </w:pPr>
    </w:p>
    <w:p w:rsidR="00D06117" w:rsidRDefault="00D06117" w:rsidP="00D06117">
      <w:pPr>
        <w:pStyle w:val="Extracto"/>
      </w:pPr>
      <w:r>
        <w:t>13.</w:t>
      </w:r>
      <w:r>
        <w:tab/>
        <w:t xml:space="preserve">La exigencia de invocación tempestiva de la supuesta vulneración de derechos fundamentales reside en la necesidad de preservar el carácter subsidiario del recurso </w:t>
      </w:r>
      <w:r>
        <w:lastRenderedPageBreak/>
        <w:t>de amparo constitucional, dando a los órganos jurisdiccionales ordinarios la oportunidad de reparar la vulneración supuestamente cometida a través de la inserción en el proceso judicial del problema constitucional objeto del recurso de amparo (SSTC 132/2006, 7/2007) [FJ 3].</w:t>
      </w:r>
    </w:p>
    <w:p w:rsidR="00D06117" w:rsidRDefault="00D06117" w:rsidP="00D06117">
      <w:pPr>
        <w:pStyle w:val="Extracto"/>
      </w:pPr>
    </w:p>
    <w:p w:rsidR="00D06117" w:rsidRDefault="00D06117" w:rsidP="00D06117">
      <w:pPr>
        <w:pStyle w:val="Extracto"/>
      </w:pPr>
      <w:r>
        <w:t>14.</w:t>
      </w:r>
      <w:r>
        <w:tab/>
        <w:t>Este Tribunal ha negado siempre la posibilidad de que quienes se personan en un proceso constitucional de amparo a tenor del art. 51.2 LOTC, una vez admitido a trámite el recurso, puedan convertirse en codemandantes y pedir la reparación o la preservación de sus propios derechos fundamentales, ya que lo contrario implicaría la admisión de recursos de amparo formulados de manera extemporánea o sin cumplir los presupuestos procesales de admisibilidad (STC 19/2006; AATC 308/1990, 315/1995)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11106-2006, promovido por don Domingo Troitiño Arranz, representado por el Procurador de los Tribunales don José Javier Cuevas Rivas y asistido por la Letrada doña Ainoa Baglietto Gabilondo, contra la providencia de Sección Primera de la Sala de lo Penal de la Audiencia Nacional, de 8 de noviembre de 2006, dictada en ejecutoria 12-1991, que acordó no haber lugar a la interposición del recurso de súplica presentado contra la providencia de 2 de noviembre de 2006, por la que se rechaza fijar la fecha de licenciamiento definitivo solicitada, y contra el Auto de 29 de marzo de 2006, dictado por el mismo órgano judicial, que confirma la providencia de 3 de marzo de 2006, en la que se oficia al centro penitenciario para que se proceda a elaborar nueva liquidación de condena y fijación del licenciamiento definitivo. Han intervenido el Ministerio Fiscal y el Procurador de los Tribunales don Jesús Aguilar España en representación de don Antonio Troitiño Arranz.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Mediante escrito que tuvo entrada en el Registro General de este Tribunal el día 12 de diciembre de 2006, don José Javier Cuevas Rivas, Procurador de los Tribunales, y de don </w:t>
      </w:r>
      <w:r>
        <w:lastRenderedPageBreak/>
        <w:t>José Domingo Troitiño Arranz, interpuso recurso de amparo contra las resoluciones judiciales que se cita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demandante ha sido condenado por diferentes delitos en los siguientes procesos:</w:t>
      </w:r>
    </w:p>
    <w:p w:rsidR="00D06117" w:rsidRDefault="00D06117" w:rsidP="00D06117">
      <w:pPr>
        <w:pStyle w:val="TextoNormal"/>
      </w:pPr>
    </w:p>
    <w:p w:rsidR="00D06117" w:rsidRDefault="00D06117" w:rsidP="00D06117">
      <w:pPr>
        <w:pStyle w:val="TextoNormal"/>
      </w:pPr>
      <w:r>
        <w:t>a’) En el sumario 54-1984, por Sentencia de 19 de julio de 1988, por un delito de asesinato a la pena de veintinueve años de reclusión mayor, por dos delitos de estragos a la pena de ocho años de prisión mayor por cada uno de ellos, y por un delito de pertenencia a banda armada a la pena de ocho años de prisión mayor.</w:t>
      </w:r>
    </w:p>
    <w:p w:rsidR="00D06117" w:rsidRDefault="00D06117" w:rsidP="00D06117">
      <w:pPr>
        <w:pStyle w:val="TextoNormal"/>
      </w:pPr>
    </w:p>
    <w:p w:rsidR="00D06117" w:rsidRDefault="00D06117" w:rsidP="00D06117">
      <w:pPr>
        <w:pStyle w:val="TextoNormal"/>
      </w:pPr>
      <w:r>
        <w:t>b’) En el sumario 47-1987, por Sentencia de 18 de marzo de 1989, por un delito de estragos a la pena de quince años de reclusión mayor, y por un delito de lesiones a la pena de cinco meses de arresto mayor.</w:t>
      </w:r>
    </w:p>
    <w:p w:rsidR="00D06117" w:rsidRDefault="00D06117" w:rsidP="00D06117">
      <w:pPr>
        <w:pStyle w:val="TextoNormal"/>
      </w:pPr>
    </w:p>
    <w:p w:rsidR="00D06117" w:rsidRDefault="00D06117" w:rsidP="00D06117">
      <w:pPr>
        <w:pStyle w:val="TextoNormal"/>
      </w:pPr>
      <w:r>
        <w:t>c’) En el sumario 63-1987, por Sentencia de 20 de marzo de 1989, por un delito de pertenencia a banda armada a la pena de diez años de prisión mayor, por un delito de cooperación a la formación de un depósito de armas de guerra, a la pena de once años de prisión mayor, por un delito de tenencia de explosivos a la pena de once años de prisión mayor, y por un delito de falsedad en documento oficial, a la pena de tres años de prisión menor.</w:t>
      </w:r>
    </w:p>
    <w:p w:rsidR="00D06117" w:rsidRDefault="00D06117" w:rsidP="00D06117">
      <w:pPr>
        <w:pStyle w:val="TextoNormal"/>
      </w:pPr>
    </w:p>
    <w:p w:rsidR="00D06117" w:rsidRDefault="00D06117" w:rsidP="00D06117">
      <w:pPr>
        <w:pStyle w:val="TextoNormal"/>
      </w:pPr>
      <w:r>
        <w:t>d’) En el sumario 43-1987, por Sentencia de 20 de mayo de 1989, por un delito de integración en banda armada, a la pena de once años de prisión mayor.</w:t>
      </w:r>
    </w:p>
    <w:p w:rsidR="00D06117" w:rsidRDefault="00D06117" w:rsidP="00D06117">
      <w:pPr>
        <w:pStyle w:val="TextoNormal"/>
      </w:pPr>
    </w:p>
    <w:p w:rsidR="00D06117" w:rsidRDefault="00D06117" w:rsidP="00D06117">
      <w:pPr>
        <w:pStyle w:val="TextoNormal"/>
      </w:pPr>
      <w:r>
        <w:t>e’) En el sumario 28-1987, por Sentencia de 14 de diciembre de 1989, por veintiún delitos de asesinato a la pena de treinta años de reclusión mayor por cada uno de ellos, por cinco delitos de lesiones a la pena de seis años de prisión menor por cada uno de ellos, por diecisiete delitos de lesiones a la pena de cinco años de prisión menor por cada uno de ellos, por siete delitos de lesiones a la pena de cuatro años de prisión menor por cada uno de ellos, por tres delitos de lesiones a la pena de seis meses de arresto mayor por cada uno de ellos, y por un delito de estragos a la pena de quince años de reclusión menor.</w:t>
      </w:r>
    </w:p>
    <w:p w:rsidR="00D06117" w:rsidRDefault="00D06117" w:rsidP="00D06117">
      <w:pPr>
        <w:pStyle w:val="TextoNormal"/>
      </w:pPr>
    </w:p>
    <w:p w:rsidR="00D06117" w:rsidRDefault="00D06117" w:rsidP="00D06117">
      <w:pPr>
        <w:pStyle w:val="TextoNormal"/>
      </w:pPr>
      <w:r>
        <w:t>f’) En el sumario 106-1987, por Sentencia de 16 de octubre de 1989, por un delito de atentado, a la pena de veintisiete años de reclusión mayor, por un delito de asesinato a la pena de veintisiete años de reclusión mayor, por un delito de asesinato frustrado a la pena de dieciocho años de reclusión menor, por un delito de integración en banda armada a la pena de nueve años de prisión mayor, por un delito de utilización ilegítima de vehículo a motor a la pena de tres meses de arresto mayor, y por un delito de falsedad en placas de matrícula a la pena de tres años de prisión menor.</w:t>
      </w:r>
    </w:p>
    <w:p w:rsidR="00D06117" w:rsidRDefault="00D06117" w:rsidP="00D06117">
      <w:pPr>
        <w:pStyle w:val="TextoNormal"/>
      </w:pPr>
    </w:p>
    <w:p w:rsidR="00D06117" w:rsidRDefault="00D06117" w:rsidP="00D06117">
      <w:pPr>
        <w:pStyle w:val="TextoNormal"/>
      </w:pPr>
      <w:r>
        <w:t>g’) En el sumario 41-1987, por Sentencia de 5 de marzo de 1991, por un delito de atentado con resultado de muerte a la pena de treinta años de reclusión mayor, por cinco delitos de asesinato frustrado a la pena de veinte años de reclusión menor por cada uno de ellos, por un delito de lesiones a la pena de seis meses de arresto mayor, por un delito de estragos a la pena de doce años de prisión mayor, y por un delito de uso indebido de nombre supuesto a la pena de cuatro meses de arresto mayor.</w:t>
      </w:r>
    </w:p>
    <w:p w:rsidR="00D06117" w:rsidRDefault="00D06117" w:rsidP="00D06117">
      <w:pPr>
        <w:pStyle w:val="TextoNormal"/>
      </w:pPr>
    </w:p>
    <w:p w:rsidR="00D06117" w:rsidRDefault="00D06117" w:rsidP="00D06117">
      <w:pPr>
        <w:pStyle w:val="TextoNormal"/>
      </w:pPr>
      <w:r>
        <w:t>h’) En el sumario 12-1991, por Sentencia de 31 de marzo de 1992, por un delito de estragos a la pena de nueve años de prisión mayor.</w:t>
      </w:r>
    </w:p>
    <w:p w:rsidR="00D06117" w:rsidRDefault="00D06117" w:rsidP="00D06117">
      <w:pPr>
        <w:pStyle w:val="TextoNormal"/>
      </w:pPr>
    </w:p>
    <w:p w:rsidR="00D06117" w:rsidRDefault="00D06117" w:rsidP="00D06117">
      <w:pPr>
        <w:pStyle w:val="TextoNormal"/>
      </w:pPr>
      <w:r>
        <w:t>b) El Auto de la Sección Primera de la Audiencia Nacional de 11 de enero de 2001 acordó la acumulación de las condenas dictadas contra el recurrente en los sumarios 12-1991, 41-1987, 28-1987, 63-1987, y 47-1987, del Juzgado Central de Instrucción núm. 1, las del sumario 106-1987, del Juzgado Central de Instrucción núm. 4, y las de los sumarios 54-1984 y 43-1987, del Juzgado Central de Instrucción núm. 5, fijando un máximo de cumplimiento de treinta años de prisión a partir de la regla del art. 70.2 del Código penal (CP) de 1973. Dicho Auto alcanzó firmeza.</w:t>
      </w:r>
    </w:p>
    <w:p w:rsidR="00D06117" w:rsidRDefault="00D06117" w:rsidP="00D06117">
      <w:pPr>
        <w:pStyle w:val="TextoNormal"/>
      </w:pPr>
    </w:p>
    <w:p w:rsidR="00D06117" w:rsidRDefault="00D06117" w:rsidP="00D06117">
      <w:pPr>
        <w:pStyle w:val="TextoNormal"/>
      </w:pPr>
      <w:r>
        <w:t>El Secretario de la Sala procedió a practicar liquidación de condenas, fijando la fecha de cumplimiento el 27 de agosto 2017, que, previo informe favorable del Ministerio Fiscal, fue aprobada por providencia de la Sección Primera de 19 de abril de 2001.</w:t>
      </w:r>
    </w:p>
    <w:p w:rsidR="00D06117" w:rsidRDefault="00D06117" w:rsidP="00D06117">
      <w:pPr>
        <w:pStyle w:val="TextoNormal"/>
      </w:pPr>
    </w:p>
    <w:p w:rsidR="00D06117" w:rsidRDefault="00D06117" w:rsidP="00D06117">
      <w:pPr>
        <w:pStyle w:val="TextoNormal"/>
      </w:pPr>
      <w:r>
        <w:t>c) Mediante providencia de 3 de marzo de 2006, se acordó por la Sección Primera de la Audiencia Nacional oficiar al centro penitenciario de Albolote (Granada) para que procediera a elaborar nueva hoja de liquidación de condena con arreglo a los criterios establecidos en la Sentencia del Tribunal Supremo de 28 de febrero de 2006, concretando que, en su virtud, la forma de cumplimiento deberá establecerse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La nueva hoja de cálculo remitida por el centro penitenciario fijaba el licenciamiento definitivo el 27 de agosto 2017.</w:t>
      </w:r>
    </w:p>
    <w:p w:rsidR="00D06117" w:rsidRDefault="00D06117" w:rsidP="00D06117">
      <w:pPr>
        <w:pStyle w:val="TextoNormal"/>
      </w:pPr>
    </w:p>
    <w:p w:rsidR="00D06117" w:rsidRDefault="00D06117" w:rsidP="00D06117">
      <w:pPr>
        <w:pStyle w:val="TextoNormal"/>
      </w:pPr>
      <w:r>
        <w:t>d) El recurrente interpuso recurso de súplica contra la providencia de 3 de marzo de 2006, que fue desestimado por Auto de 29 de marzo de 2006, en atención a que “la providencia que se recurre es una mera ejecución de lo acordado por la Sala Segunda del Tribunal supremo en sentencia de 28 de febrero de 2006, no pudiendo la representación procesal del penado modificar por vía de recurso contra la providencia de 3/3/03, dictada en las actuaciones, una providencia del Tribunal Supremo” [sic].</w:t>
      </w:r>
    </w:p>
    <w:p w:rsidR="00D06117" w:rsidRDefault="00D06117" w:rsidP="00D06117">
      <w:pPr>
        <w:pStyle w:val="TextoNormal"/>
      </w:pPr>
    </w:p>
    <w:p w:rsidR="00D06117" w:rsidRDefault="00D06117" w:rsidP="00D06117">
      <w:pPr>
        <w:pStyle w:val="TextoNormal"/>
      </w:pPr>
      <w:r>
        <w:t>e) Por el centro penitenciario se remitió comunicación a la Sección Primera de la Audiencia Nacional el 6 de abril de 2006 en la que se interesaba la aprobación de la fecha de licenciamiento definitivo del recurrente, prevista para el 5 de mayo de 2006 y calculada a partir del abono de redenciones ordinarias y extraordinarias por el trabajo en un total de 4.132 días.</w:t>
      </w:r>
    </w:p>
    <w:p w:rsidR="00D06117" w:rsidRDefault="00D06117" w:rsidP="00D06117">
      <w:pPr>
        <w:pStyle w:val="TextoNormal"/>
      </w:pPr>
    </w:p>
    <w:p w:rsidR="00D06117" w:rsidRDefault="00D06117" w:rsidP="00D06117">
      <w:pPr>
        <w:pStyle w:val="TextoNormal"/>
      </w:pPr>
      <w:r>
        <w:t>Mediante providencia de 7 de abril de 2006, la Sección Primera de la Audiencia Nacional acordó no haber lugar a aprobar el licenciamiento definitivo solicitado por el centro penitenciario, así como librar oficio al centro haciéndole saber que el licenciamiento definitivo deberá solicitarlo conforme a la doctrina sentada por el Tribunal Supremo en su Sentencia de 28 de febrero de 2006.</w:t>
      </w:r>
    </w:p>
    <w:p w:rsidR="00D06117" w:rsidRDefault="00D06117" w:rsidP="00D06117">
      <w:pPr>
        <w:pStyle w:val="TextoNormal"/>
      </w:pPr>
    </w:p>
    <w:p w:rsidR="00D06117" w:rsidRDefault="00D06117" w:rsidP="00D06117">
      <w:pPr>
        <w:pStyle w:val="TextoNormal"/>
      </w:pPr>
      <w:r>
        <w:lastRenderedPageBreak/>
        <w:t>Interpuesto recurso de súplica contra dicha providencia, fue desestimado por la Sección Primera mediante Auto de 26 de abril de 2006, en atención a que la providencia impugnada se basa en la previa providencia de 3 de marzo que es mera ejecución de la Sentencia del Tribunal Supremo de 28 de febrero de 2006.</w:t>
      </w:r>
    </w:p>
    <w:p w:rsidR="00D06117" w:rsidRDefault="00D06117" w:rsidP="00D06117">
      <w:pPr>
        <w:pStyle w:val="TextoNormal"/>
      </w:pPr>
    </w:p>
    <w:p w:rsidR="00D06117" w:rsidRDefault="00D06117" w:rsidP="00D06117">
      <w:pPr>
        <w:pStyle w:val="TextoNormal"/>
      </w:pPr>
      <w:r>
        <w:t>f) Contra el Auto de 29 de marzo de 2006 y la providencia de 7 de abril de 2006, el recurrente interpuso demanda de amparo, registrada con núm. 4892-2006, que fue inadmitida mediante providencia de 12 de septiembre de 2006.</w:t>
      </w:r>
    </w:p>
    <w:p w:rsidR="00D06117" w:rsidRDefault="00D06117" w:rsidP="00D06117">
      <w:pPr>
        <w:pStyle w:val="TextoNormal"/>
      </w:pPr>
    </w:p>
    <w:p w:rsidR="00D06117" w:rsidRDefault="00D06117" w:rsidP="00D06117">
      <w:pPr>
        <w:pStyle w:val="TextoNormal"/>
      </w:pPr>
      <w:r>
        <w:t>g) Con fecha de 17 de octubre de 2006, el recurrente presentó escrito ante la Sección Primera de la Audiencia Nacional solicitando el licenciamiento definitivo, en la consideración de que descontando las redenciones de pena por el trabajo del máximo de cumplimiento fijado en treinta años, la condena se habría ya extinguido, y de que el sistema de cómputo que aplica la Sala vulnera sus derechos fundamentales.</w:t>
      </w:r>
    </w:p>
    <w:p w:rsidR="00D06117" w:rsidRDefault="00D06117" w:rsidP="00D06117">
      <w:pPr>
        <w:pStyle w:val="TextoNormal"/>
      </w:pPr>
    </w:p>
    <w:p w:rsidR="00D06117" w:rsidRDefault="00D06117" w:rsidP="00D06117">
      <w:pPr>
        <w:pStyle w:val="TextoNormal"/>
      </w:pPr>
      <w:r>
        <w:t>Mediante providencia de 2 de noviembre de 2006, la Audiencia Nacional acordó no haber lugar al licenciamiento definitivo solicitado, disponiendo que se estuviese a lo acordado por las previas resoluciones de 3 de marzo de 2006 y 29 de marzo de 2006. Interpuesto recurso de súplica, fue inadmitido por providencia de 8 de noviembre de 2006.</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un proceso con todas las garantías en relación con el principio acusatorio (art. 24.2 CE), a la tutela judicial efectiva (art. 24.1 CE), a la legalidad (art. 25.1 y 2 CE), a la libertad (art. 17.1 CE) y a la igualdad en la aplicación de la ley (art. 14 CE).</w:t>
      </w:r>
    </w:p>
    <w:p w:rsidR="00D06117" w:rsidRDefault="00D06117" w:rsidP="00D06117">
      <w:pPr>
        <w:pStyle w:val="TextoNormal"/>
      </w:pPr>
    </w:p>
    <w:p w:rsidR="00D06117" w:rsidRDefault="00D06117" w:rsidP="00D06117">
      <w:pPr>
        <w:pStyle w:val="TextoNormal"/>
      </w:pPr>
      <w:r>
        <w:t>Como primer motivo de amparo, se denuncia la vulneración de los derechos a la tutela judicial efectiva (art. 24.1 CE) y a un proceso con todas las garantías (art. 24.2 CE), bajo invocación del principio acusatorio, así como el derecho a un recurso efectivo (art. 14.5 del Pacto internacional de derechos civiles y políticos: PIDCP), todo ello en relación con el art. 17 CE. Con cita de las SSTC 123/2005, en lo relativo al alcance del principio acusatorio y del deber de congruencia entre acusación y fallo, y 11/1987, expone la demanda que la Audiencia Nacional acordó la aplicación de la nueva doctrina del Tribunal Supremo ordenando al centro penitenciario la realización de una nueva hoja de cálculo conforme a la misma sin dar traslado a la defensa del señor Troitiño Arranz, impidiéndole, así, pronunciarse al respecto, pese a que hasta ese momento todas las liquidaciones de condena se habían realizado conforme a la doctrina anterior, introduciéndose en ese momento una perspectiva jurídica novedosa en cuanto al cómputo de las redenciones por trabajo, que empeoraba la situación del reo, y respecto de la que el recurrente no pudo defenderse ni someterla a contradicción. Entienden además que ello vulnera el principio acusatorio, porque el órgano judicial asume funciones acusatorias constitucionalmente vedadas. Por otra parte, sostiene el recurrente que la Audiencia Nacional, al dictar esta resolución sin oír a las partes y limitarse a aplicar la doctrina del Tribunal Supremo, impide el derecho a una segunda instancia, pues el Tribunal Constitucional ha sido la primera y única instancia a la que se ha podido dirigir el recurrente para reclamar el derecho a la defensa y a la tutela judicial efectiva.</w:t>
      </w:r>
    </w:p>
    <w:p w:rsidR="00D06117" w:rsidRDefault="00D06117" w:rsidP="00D06117">
      <w:pPr>
        <w:pStyle w:val="TextoNormal"/>
      </w:pPr>
    </w:p>
    <w:p w:rsidR="00D06117" w:rsidRDefault="00D06117" w:rsidP="00D06117">
      <w:pPr>
        <w:pStyle w:val="TextoNormal"/>
      </w:pPr>
      <w:r>
        <w:t xml:space="preserve">En un segundo motivo de amparo, se aduce la vulneración del principio de legalidad (art. 25.1 y 2 CE), en relación con la interpretación de los arts. 70.2 y 100 CP 1973, así como de los arts. 66 del reglamento de prisiones de 1956 y del art. 202 del reglamento penitenciario </w:t>
      </w:r>
      <w:r>
        <w:lastRenderedPageBreak/>
        <w:t>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Y, conforme a la certificación de redenciones aportada por el centro penitenciario, a fecha 5 de mayo de 2006 el recurrente sumaba 6.818 días de cumplimiento efectivo, junto a 2.942 días de redención ordinaria y 1.190 días de redenciones extraordinarias, lo que suma 10.950 días, treinta años —máximo de cumplimiento conforme al Código penal de 1973— el día en que solicitó el licenciamiento. Por el contrario,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 xml:space="preserve">El tercer motivo de amparo denuncia la vulneración del derecho a la tutela judicial efectiva (art. 24.1 CE), en relación con el derecho a la libertad (art. 17.1 CE). Sostiene la demanda que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treinta años, el recurrente habría cumplido ya su condena y podría haber obtenido el licenciamiento definitivo el 5 de mayo de 2006. El trabajo y los estudios en la prisión se realizaron en la confianza de que las redenciones así obtenidas implicarían un acortamiento del tiempo de permanencia en prisión, habiéndose generado una expectativa de dicho acortamiento sobre la base de la actuación de los órganos judiciales hasta el momento y de las propuestas de los centros penitenciarios, pues todas las liquidaciones de condena se habían realizado conforme a la doctrina anterior. Aduce al respecto que desconoce si, en el momento de interposición del amparo, sí existen propuestas y aprobaciones de redenciones por los Jueces de vigilancia penitenciaria, si bien se aportan propuestas de redención de otro interno cuya situación es similar a la del recurrente. En todo caso, lo cierto es que el interno siguió trabajando en la confianza de que se le aplicarían las redenciones, y la defraudación de esa expectativa con la nueva doctrina aplicada genera inseguridad jurídica y vulnera el derecho a la tutela judicial efectiva, en relación con el derecho a la libertad, que implica un deber reforzado de motivación. Citando la STC </w:t>
      </w:r>
      <w:r>
        <w:lastRenderedPageBreak/>
        <w:t>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de existir,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Como cuarto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lastRenderedPageBreak/>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Ello queda patente en la inicial liquidación de condena y propuesta de licenciamiento definitivo efectuada por el centro penitenciario (conforme a la cual el recurrente había cumplido los treinta años el día 5 de mayo de 2006), por lo que la denegación del licenciamiento definitivo viola el art. 17 CE, el art. 7.1 del Convenio Europeo y el art.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15 de noviembre de 2010, la Sala Primera de este Tribunal acordó la admisión a trámite de la demanda así como, a tenor de lo establecido en el art. 51 de la Ley Orgánica del Tribunal Constitucional (LOTC), requerir atentamente a la Sección Primera de la Sala de lo Penal de la Audiencia Nacional para que remitiera testimonio de las actuaciones correspondientes a la ejecutoria 12-1991, dimanante del rollo de Sala núm. 12-1991, interesando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recibido en el Registro General de este Tribunal el 4 de marzo de 2011, el Procurador don Jesús Aguilar España, en representación de don Antonio Troitiño Arranz, solicitó se le tuviera por personado. Por diligencia de ordenación de la Sala Primera de este Tribunal de 10 de mayo de 2011, se le tuvo por personado a los efectos de lo dispuesto en al art. 52 LOTC, dando además vista de las actuaciones a las partes por plazo de veinte días, para presentar las alegaciones que a su derecho conviniera.</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registrado el día 8 de junio de 2011, se presentó escrito de alegaciones por la representación procesal de don Antonio Troitiño Arranz, en el que, remitiéndose al contenido de la demanda, solicitaba la estimación del amparo y que sus efectos le fueran a él aplicables.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La representación procesal del demandante de amparo formuló sus alegaciones mediante escrito que tuvo su entrada en el Registro General de este Tribunal el día 9 de junio de 2011, en el que sustancialmente reproduce los argumentos ya expuestos en la demanda, añadiendo, relación con el quinto motivo de amparo, la referencia a dos pronunciamientos judiciales de los que se derivaría la vulneración del derecho a la igualdad.</w:t>
      </w:r>
    </w:p>
    <w:p w:rsidR="00D06117" w:rsidRDefault="00D06117" w:rsidP="00D06117">
      <w:pPr>
        <w:pStyle w:val="TextoNormal"/>
      </w:pPr>
    </w:p>
    <w:p w:rsidR="00D06117" w:rsidRDefault="00D06117" w:rsidP="00D06117">
      <w:pPr>
        <w:pStyle w:val="TextoNormal"/>
      </w:pPr>
      <w:r w:rsidRPr="00D06117">
        <w:rPr>
          <w:rStyle w:val="NumeroAFNegritaCaracter"/>
        </w:rPr>
        <w:t>8</w:t>
      </w:r>
      <w:r>
        <w:t>. El día 13 de junio de 2011 presentó sus alegaciones el Ministerio Fiscal, interesando la estimación del amparo solicitado, por entender que las resoluciones recurridas han vulnerado los derechos a la intangibilidad de las resoluciones judiciales firmes (art. 24.1 CE), a la legalidad penal (art. 25.1 CE) y a la libertad personal (art. 17.1 CE).</w:t>
      </w:r>
    </w:p>
    <w:p w:rsidR="00D06117" w:rsidRDefault="00D06117" w:rsidP="00D06117">
      <w:pPr>
        <w:pStyle w:val="TextoNormal"/>
      </w:pPr>
    </w:p>
    <w:p w:rsidR="00D06117" w:rsidRDefault="00D06117" w:rsidP="00D06117">
      <w:pPr>
        <w:pStyle w:val="TextoNormal"/>
      </w:pPr>
      <w:r>
        <w:t>Comienza el Fiscal exponiendo las razones por las que, a su juicio, deben ser desestimados algunos de los motivos de amparo. El séptimo, por cuanto el art. 25.2 CE no contiene un derecho fundamental susceptible de ser invocado en amparo, y por carecer de autonomía propia, debiendo quedar vinculado a las otras infracciones del derecho a la legalidad penal que se denuncian. El primero, porque no se puede apreciar la indefensión denunciada (ya que la representación procesal del actor hizo uso de su derecho a ser oído al interponer diversos recursos de súplica, ni la vulneración del derecho al recurso por no haber tenido acceso a la casación (recurso no previsto por la ley), sin que resulte aplicable al ámbito de la ejecución de la condena lo previsto en el art. 14.5 PIDCP. El cuarto de los motivos de amparo, por cuanto no nos encontramos ante un supuesto de aplicación retroactiva del art. 78 CP 1995, como se sostiene en la demanda, sino ante un cambio de criterio jurisprudencial en la interpretación del art. 70.2 CP vigente al tiempo de comisión de los hechos. Y el relativo al principio de igualdad en la aplicación de la ley, porque las resoluciones impugnadas se limitan a aplicar la doctrina sentada por otro órgano judicial (el Tribunal Supremo), que es la supuestamente discriminatoria; y porque en todo caso el cambio de criterio se fundamenta razonablemente.</w:t>
      </w:r>
    </w:p>
    <w:p w:rsidR="00D06117" w:rsidRDefault="00D06117" w:rsidP="00D06117">
      <w:pPr>
        <w:pStyle w:val="TextoNormal"/>
      </w:pPr>
    </w:p>
    <w:p w:rsidR="00D06117" w:rsidRDefault="00D06117" w:rsidP="00D06117">
      <w:pPr>
        <w:pStyle w:val="TextoNormal"/>
      </w:pPr>
      <w:r>
        <w:t xml:space="preserve">A distinta conclusión llega el Ministerio Fiscal en relación con la queja referida a la lesión del derecho a la tutela judicial efectiva en su vertiente de intangibilidad de resoluciones judiciales firmes (art. 24.1 CE). Entiende el representante del Ministerio público que no es de recibo que, establecidos en una resolución judicial unos criterios de interpretación normativa para fijar la refundición de condena, tal como acontece en el Auto de acumulación, estos puedan variarse sobre la base de una nueva interpretación de las normas aplicables, cuya aplicación al presente caso vulnera el derecho a la intangibilidad de las resoluciones judiciales firmes ex art. 24.1 CE. Un derecho fundamental que además tiene engarce con el principio de legalidad (art. 25.1 CE), en relación con la prohibición de retroactividad de las normas penales perjudiciales al reo (STEDH Streletz, Kessler y Krenz c. Alemania, de 22 de marzo de 2001), ya que las garantías de legalidad y seguridad deben extenderse a la ejecución de las penas, integrándose la irretroactividad de las normas y su interpretación desfavorable al reo en “el complejo de la legalidad del art. 25.1 CE” (STEDH Punk c. Estonia, de 10 de febrero de 2004). Las resoluciones recurridas no se han limitado a variar la fecha de licenciamiento de conformidad con los extremos anejos al devenir del cumplimiento de la pena impuesta (por ejemplo, con datos relativos a la redención de penas por el trabajo), sino que la han alterado de forma desfavorable al reo a través de una revisión interpretativa, creando ex novo un marco paranormativo que determina una mayor extensión de la pena. Y todo ello debe conectarse con el derecho a la libertad personal en juego (art. </w:t>
      </w:r>
      <w:r>
        <w:lastRenderedPageBreak/>
        <w:t>17.1 CE), por cuanto el licenciamiento definitivo tendrá lugar en fecha muy posterior, como consecuencia de esa nueva y desfavorable interpretación de la norma.</w:t>
      </w:r>
    </w:p>
    <w:p w:rsidR="00D06117" w:rsidRDefault="00D06117" w:rsidP="00D06117">
      <w:pPr>
        <w:pStyle w:val="TextoNormal"/>
      </w:pPr>
    </w:p>
    <w:p w:rsidR="00D06117" w:rsidRDefault="00D06117" w:rsidP="00D06117">
      <w:pPr>
        <w:pStyle w:val="TextoNormal"/>
      </w:pPr>
      <w:r>
        <w:t>En virtud de todo lo expuesto, considera el Fiscal que ha de estimarse el amparo, por vulneración de los derechos fundamentales contenidos en los arts. 17.1, 24.1 y 25.1 CE, debiendo anularse las resoluciones recurridas y dictarse una nueva resolución judicial que se pronuncie sobre el licenciamiento definitivo del recurrente de forma respetuosa con los derechos vulnerados, esto es, conforme al canon interpretativo en su día utilizado por el Auto y a la propuesta del centro penitenciario.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20 de diciembre de 2011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la providencia de Sección Primera de la Sala de lo Penal de la Audiencia Nacional, de 8 de noviembre de 2006, que desestimó el recurso de súplica presentado contra la providencia de 2 de noviembre de 2006, por la que se rechaza fijar la fecha de licenciamiento definitivo solicitada por el actor, y contra el Auto de 29 de marzo de 2006, dictado por el mismo órgano judicial, que confirma la providencia de 3 de marzo de 2006, en la que se oficia al centro penitenciario de Albolote (Granada) para que se proceda a elaborar una nueva hoja de cálculo, de conformidad con la doctrina sentada por el Tribunal Supremo en la STS 197/2006, de 28 de febrero, según la cual y modificando el criterio de cómputo anteriormente aplicado, se establece que los beneficios penitenciarios y, en concreto, las redenciones de penas por el trabajo, han de computarse sobre cada una de las penas impuestas y no sobre la condena refundida.</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 El Ministerio Fiscal, por su parte, interesa la estimación del recurso, por entender concurrente la vulneración de los derechos fundamentales consagrados en los arts. 24.1 y 17.1 CE.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Con carácter previo, es preciso poner de manifiesto que no es posible acceder a la pretensión formulada por la parte personada de que los efectos de un eventual otorgamiento del amparo se extiendan a la nulidad de los pronunciamientos judiciales que, según alega, hayan podido vulnerar sus derechos fundamentales. Como recuerda la STC 16/2009, de 26 de enero, este Tribunal “ha negado siempre la posibilidad de que quienes se personan en un proceso constitucional de amparo a tenor del art. 51.2 LOTC, una vez admitido a trámite el </w:t>
      </w:r>
      <w:r>
        <w:lastRenderedPageBreak/>
        <w:t>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(FJ 1) Así,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 (STC 220/2004, de 29 de noviembre, FJ 3; también, SSTC 192/2004, de 2 de noviembre, FJ 5; 145/2005, de 6 de junio, FJ 9)” (STC 16/2009, FJ 1).</w:t>
      </w:r>
    </w:p>
    <w:p w:rsidR="00D06117" w:rsidRDefault="00D06117" w:rsidP="00D06117">
      <w:pPr>
        <w:pStyle w:val="TextoNormal"/>
      </w:pPr>
    </w:p>
    <w:p w:rsidR="00D06117" w:rsidRDefault="00D06117" w:rsidP="00D06117">
      <w:pPr>
        <w:pStyle w:val="TextoNormal"/>
      </w:pPr>
      <w:r w:rsidRPr="00D06117">
        <w:rPr>
          <w:rStyle w:val="NumeroAFNegritaCaracter"/>
        </w:rPr>
        <w:t>3</w:t>
      </w:r>
      <w:r>
        <w:t>. En la primera de las quejas articuladas en la demanda, bajo la invocación de los derechos a la tutela judicial efectiva (art. 24.1 CE) y a un proceso con todas las garantías (art. 24.2 CE), se denuncia la indefensión generada por el hecho de que la primera de las resoluciones recurridas se adoptó sin dar audiencia a las partes, pese a introducir una perspectiva jurídica novedosa en el cómputo de las redenciones de penas por el trabajo. Esta queja ha de ser inadmitida, al concurrir respecto de ella el óbice procesal de falta de invocación ante los órganos de la jurisdicción ordinaria [art. 44.1 c) de la Ley Orgánica del Tribunal Constitucional]. En efecto, de la mera lectura del recurso de súplica interpuesto contra las providencias dictadas sin darle audiencia se desprende que el recurrente articuló una serie de motivos de recurso para oponerse a esa nueva perspectiva jurídica en el cómputo de las redenciones (lo que excluiría, como señala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 xml:space="preserve">Por otra parte, y dentro del primero de los motivos de amparo, se aduce la vulneración del derecho a un recurso efectivo y a la segunda instancia penal. Tampoco esta queja puede prosperar, puesto que el recurrente —en contra de lo que sostiene— sí tuvo acceso al recurso legalmente previsto (el recurso de súplica), en el que la Audiencia confirmó que no procedía acordar el licenciamiento definitivo solicitado y que resultaba de aplicación al caso la nueva doctrina sentada por el Tribunal Supremo en relación con el cómputo de la redención de penas por el trabajo. Por lo demás, carece de fundamento constitucional la aplicación a un supuesto como este de la doctrina relativa al doble grado de jurisdicción en materia penal, puesto que no está en cuestión el derecho a la revisión del fallo condenatorio y la pena por un Tribunal Superior. Este es el derecho consagrado en el art. 14.5 del Pacto internacional </w:t>
      </w:r>
      <w:r>
        <w:lastRenderedPageBreak/>
        <w:t>de derechos civiles y políticos (PIDCP) y en el art. 2 del protocolo 7 del Convenio europeo para la protección de los derechos humanos y de las libertades fundamentales (CEDH),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4</w:t>
      </w:r>
      <w:r>
        <w:t>. Despejado este grupo de quejas de carácter procesal articuladas como primer motivo de amparo, en los restantes motivos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aplicado hasta ese momento, el recurrente habría extinguido ya su condena y debería haber obtenido la libertad el día 5 de mayo de 2006 (según se desprende de la propuesta de licenciamiento definitivo enviada inicialmente por el centro penitenciario al órgano judicial el día 6 de abril), en aplicación del nuevo criterio la pena no se extinguiría hasta el día 27 de agosto de 2017.</w:t>
      </w:r>
    </w:p>
    <w:p w:rsidR="00D06117" w:rsidRDefault="00D06117" w:rsidP="00D06117">
      <w:pPr>
        <w:pStyle w:val="TextoNormal"/>
      </w:pPr>
    </w:p>
    <w:p w:rsidR="00D06117" w:rsidRDefault="00D06117" w:rsidP="00D06117">
      <w:pPr>
        <w:pStyle w:val="TextoNormal"/>
      </w:pPr>
      <w:r>
        <w:t>El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w:t>
      </w:r>
    </w:p>
    <w:p w:rsidR="00D06117" w:rsidRDefault="00D06117" w:rsidP="00D06117">
      <w:pPr>
        <w:pStyle w:val="TextoNormal"/>
      </w:pPr>
    </w:p>
    <w:p w:rsidR="00D06117" w:rsidRDefault="00D06117" w:rsidP="00D06117">
      <w:pPr>
        <w:pStyle w:val="TextoNormal"/>
      </w:pPr>
      <w:r>
        <w:t xml:space="preserve">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w:t>
      </w:r>
      <w:r>
        <w:lastRenderedPageBreak/>
        <w:t>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 (§ 31).</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de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w:t>
      </w:r>
      <w:r>
        <w:lastRenderedPageBreak/>
        <w:t>apreciarse una vulneración del derecho fundamental consagrado en el art. 14 CE. Las resoluciones impugnadas, dictadas por la Audiencia Nacional, se limitan a aplicar la doctrina sentada por otro órgano judicial, el Tribunal Supremo, máximo intérprete de la ley, justificando el cambio de criterio en el cómputo de las redenciones de penas por el trabajo, frente a otros supuestos resueltos con anterioridad, precisamente en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—razón por la que carece de virtualidad autónoma el último motivo de amparo aducido en la demanda— ,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lastRenderedPageBreak/>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rsidRPr="00D06117">
        <w:rPr>
          <w:rStyle w:val="NumeroAFNegritaCaracter"/>
        </w:rPr>
        <w:t>6</w:t>
      </w:r>
      <w:r>
        <w:t>. Centrándonos ya en el caso concreto, nuestro examen se ha de limitar a la consideración de la respuesta judicial que se contiene en las resoluciones de la Audiencia Nacional recurridas, en las que se deniega la propuesta de licenciamiento definitivo del demandante de amparo, realizada por el centro penitenciario de Albolote (Granada), y se acuerda que se practique nueva propuesta de licenciamiento con arreglo a los criterios sentados por el Tribunal Supremo. No es, pues, objeto del presente recurso de amparo la Sentencia 197/2006, de 28 de febrero, ni la interpretación de la legalidad ordinaria en ella sentada por el Tribunal Supremo, en uso legítimo de la función que le atribuye en exclusiva la Constitución.</w:t>
      </w:r>
    </w:p>
    <w:p w:rsidR="00D06117" w:rsidRDefault="00D06117" w:rsidP="00D06117">
      <w:pPr>
        <w:pStyle w:val="TextoNormal"/>
      </w:pPr>
    </w:p>
    <w:p w:rsidR="00D06117" w:rsidRDefault="00D06117" w:rsidP="00D06117">
      <w:pPr>
        <w:pStyle w:val="TextoNormal"/>
      </w:pPr>
      <w:r>
        <w:t>En consecuencia, procede que analicemos el motivo de amparo referido a la vulneración del derecho a la tutela judicial efectiva (art. 24.1 CE), en relación con el derecho a la libertad (art. 17.1 CE), en su vertiente de derecho a la intangibilidad de las resoluciones judiciales firmes. El Ministerio Fiscal también entiende concurrente esta vulneración.</w:t>
      </w:r>
    </w:p>
    <w:p w:rsidR="00D06117" w:rsidRDefault="00D06117" w:rsidP="00D06117">
      <w:pPr>
        <w:pStyle w:val="TextoNormal"/>
      </w:pPr>
    </w:p>
    <w:p w:rsidR="00D06117" w:rsidRDefault="00D06117" w:rsidP="00D06117">
      <w:pPr>
        <w:pStyle w:val="TextoNormal"/>
      </w:pPr>
      <w:r>
        <w:t xml:space="preserve">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w:t>
      </w:r>
      <w:r>
        <w:lastRenderedPageBreak/>
        <w:t>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7</w:t>
      </w:r>
      <w:r>
        <w:t>. Dicho análisis nos obliga a tomar en consideración una serie de datos del caso concreto, que se desprenden del examen de las actuaciones recibidas, y de los que se infiere que no existe en el presente caso ninguna resolución judicial firme de la que pueda derivarse el efecto de intangibilidad pretendido por el recurrente.</w:t>
      </w:r>
    </w:p>
    <w:p w:rsidR="00D06117" w:rsidRDefault="00D06117" w:rsidP="00D06117">
      <w:pPr>
        <w:pStyle w:val="TextoNormal"/>
      </w:pPr>
    </w:p>
    <w:p w:rsidR="00D06117" w:rsidRDefault="00D06117" w:rsidP="00D06117">
      <w:pPr>
        <w:pStyle w:val="TextoNormal"/>
      </w:pPr>
      <w:r>
        <w:t xml:space="preserve">Como con mayor detalle se ha expuesto en los antecedentes, mediante Auto de la Sección Primera de la Audiencia Nacional de 11 de enero de 2001 se acordó la acumulación de las condenas dictadas contra el recurrente en aplicación del Código penal de 1973 en distintos sumarios, fijándose el máximo de cumplimiento, de acuerdo con lo dispuesto en el art. 70.2 CP 1973, en treinta años de prisión. Con posterioridad, mediante providencia de 3 de marzo de 2006, el citado órgano judicial acordó oficiar al centro penitenciario de Albolote (Granada) para que se procediera a elaborar nueva hoja de liquidación con arreglo a los criterios establecidos en la Sentencia del Tribunal Supremo 197/2006, de 28 de febrero. Remitida comunicación por el centro penitenciario en la que se interesaba la aprobación del licenciamiento definitivo para el día 5 de mayo de 2006, una vez abonados un total de 4.132 días por redenciones ordinarias y extraordinarias, la Sala Primera de la Audiencia Nacional acordó, mediante providencia de 7 de abril de 2006, no haber lugar al licenciamiento definitivo interesado, debiendo calcularse el mismo con arreglo a la citada Sentencia del Tribunal Supremo; providencia que fue confirmada por Auto de 26 de abril de 2006. Finalmente, </w:t>
      </w:r>
      <w:r>
        <w:lastRenderedPageBreak/>
        <w:t>el demandante de amparo presentó escrito solicitando que se aprobara el licenciamiento definitivo con arreglo a los cálculos efectuados por el centro penitenciario, siendo denegado mediante providencias de 2 de noviembre y 8 de noviembre de 2006.</w:t>
      </w:r>
    </w:p>
    <w:p w:rsidR="00D06117" w:rsidRDefault="00D06117" w:rsidP="00D06117">
      <w:pPr>
        <w:pStyle w:val="TextoNormal"/>
      </w:pPr>
    </w:p>
    <w:p w:rsidR="00D06117" w:rsidRDefault="00D06117" w:rsidP="00D06117">
      <w:pPr>
        <w:pStyle w:val="TextoNormal"/>
      </w:pPr>
      <w:r>
        <w:t>Como se ha anticipado, en ninguna de las resoluciones judiciales dictadas en el procedimiento de referencia consta que se haya tomado postura sobre la fijación de un criterio de cómputo de redenciones por el trabajo en caso de penas acumuladas con límite máximo de cumplimiento, por lo que no puede predicarse de ellas el efecto de intangibilidad en que el recurrente sostiene su pretensión impugnatoria.</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en los Autos del Juzgado de Vigilancia Penitenciaria. La providencia que ordenó calcular nueva fecha de licenciamiento definitivo, así como la posterior que denegó aprobar el licenciamiento solicitado por el recurrente, no dejó sin efecto esas redenciones sino que, en ejercicio de las competencias que legalmente tiene atribuidas el Tribunal sentenciador, las computó sucesivamente sobre las penas impuestas al recurrente a efectos de liquidación de condena.</w:t>
      </w:r>
    </w:p>
    <w:p w:rsidR="00D06117" w:rsidRDefault="00D06117" w:rsidP="00D06117">
      <w:pPr>
        <w:pStyle w:val="TextoNormal"/>
      </w:pPr>
    </w:p>
    <w:p w:rsidR="00D06117" w:rsidRDefault="00D06117" w:rsidP="00D06117">
      <w:pPr>
        <w:pStyle w:val="TextoNormal"/>
      </w:pPr>
      <w:r>
        <w:t>b) Y por lo que respecta al Auto de 11 de enero de 2001 de acumulación de condenas y fijación del límite máximo de cumplimiento, que cita el Ministerio Fiscal como resolución firme e intangible que ha sido ilegítimamente desconocida, se limita a hacer efectiva la previsión legal (art. 988 de la Ley de enjuiciamiento criminal y art. 70.2 CP 1973) sin razonamiento adicional que pueda tomarse en consideración a los efectos pretendidos.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por ello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Domingo Troitiño Arranz.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11106-2006.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debo manifestar mi discrepancia con el fallo y con la fundamentación jurídica de la Sentencia dictada, pese a que como ponente de la presente Sentencia y, en dicha condición, recojo en ella la opinión mayoritaria del Pleno.</w:t>
      </w:r>
    </w:p>
    <w:p w:rsidR="00D06117" w:rsidRDefault="00D06117" w:rsidP="00D06117">
      <w:pPr>
        <w:pStyle w:val="TextoNormal"/>
      </w:pPr>
    </w:p>
    <w:p w:rsidR="00D06117" w:rsidRDefault="00D06117" w:rsidP="00D06117">
      <w:pPr>
        <w:pStyle w:val="TextoNormal"/>
      </w:pPr>
      <w:r>
        <w:t>En cuanto a mi discrepancia me remito a los argumentos expuestos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2" w:name="SENTENCIA_2012_49"/>
      <w:r>
        <w:lastRenderedPageBreak/>
        <w:t>SENTENCIA 49/2012, de 29 de marzo de 2012</w:t>
      </w:r>
    </w:p>
    <w:bookmarkEnd w:id="5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ECLI:ES:TC:2012:49</w:t>
      </w:r>
    </w:p>
    <w:p w:rsidR="00D06117" w:rsidRDefault="00D06117" w:rsidP="00D06117">
      <w:pPr>
        <w:pStyle w:val="SntesisDescriptiva"/>
      </w:pPr>
    </w:p>
    <w:p w:rsidR="00D06117" w:rsidRDefault="00D06117" w:rsidP="00D06117">
      <w:pPr>
        <w:pStyle w:val="SntesisDescriptiva"/>
      </w:pPr>
      <w:r>
        <w:t>Recurso de amparo 11202-2006. Promovido por don Fernando Vicente de Luis Astarloa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7].</w:t>
      </w:r>
    </w:p>
    <w:p w:rsidR="00D06117" w:rsidRDefault="00D06117" w:rsidP="00D06117">
      <w:pPr>
        <w:pStyle w:val="Extracto"/>
      </w:pPr>
    </w:p>
    <w:p w:rsidR="00D06117" w:rsidRDefault="00D06117" w:rsidP="00D06117">
      <w:pPr>
        <w:pStyle w:val="Extracto"/>
      </w:pPr>
      <w:r>
        <w:t>3.</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6.</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7.</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5].</w:t>
      </w:r>
    </w:p>
    <w:p w:rsidR="00D06117" w:rsidRDefault="00D06117" w:rsidP="00D06117">
      <w:pPr>
        <w:pStyle w:val="Extracto"/>
      </w:pPr>
    </w:p>
    <w:p w:rsidR="00D06117" w:rsidRDefault="00D06117" w:rsidP="00D06117">
      <w:pPr>
        <w:pStyle w:val="Extracto"/>
      </w:pPr>
      <w:r>
        <w:t>8.</w:t>
      </w:r>
      <w:r>
        <w:tab/>
        <w:t>Doctrina sobre redención de penas por el trabajo (SSTC 174/1989, 76/2004) [FJ 5].</w:t>
      </w:r>
    </w:p>
    <w:p w:rsidR="00D06117" w:rsidRDefault="00D06117" w:rsidP="00D06117">
      <w:pPr>
        <w:pStyle w:val="Extracto"/>
      </w:pPr>
    </w:p>
    <w:p w:rsidR="00D06117" w:rsidRDefault="00D06117" w:rsidP="00D06117">
      <w:pPr>
        <w:pStyle w:val="Extracto"/>
      </w:pPr>
      <w:r>
        <w:t>9.</w:t>
      </w:r>
      <w:r>
        <w:tab/>
        <w:t>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(SSTC 219/2000, 62/2010) [FJ 6].</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6].</w:t>
      </w:r>
    </w:p>
    <w:p w:rsidR="00D06117" w:rsidRDefault="00D06117" w:rsidP="00D06117">
      <w:pPr>
        <w:pStyle w:val="Extracto"/>
      </w:pPr>
    </w:p>
    <w:p w:rsidR="00D06117" w:rsidRDefault="00D06117" w:rsidP="00D06117">
      <w:pPr>
        <w:pStyle w:val="Extracto"/>
      </w:pPr>
      <w:r>
        <w:t>11.</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12.</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r>
        <w:t>13.</w:t>
      </w:r>
      <w:r>
        <w:tab/>
        <w:t xml:space="preserve">La exigencia de invocación tempestiva de la supuesta vulneración de derechos fundamentales reside en la necesidad de preservar el carácter subsidiario del recurso </w:t>
      </w:r>
      <w:r>
        <w:lastRenderedPageBreak/>
        <w:t>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11202-2006, promovido por don Fernando Vicente de Luis Astarloa, representado por el Procurador de los Tribunales don José Javier Cuevas Rivas y asistido por el Letrado don Iñaki Goioaga Llano, contra el Auto de la Sección Primera de la Sala de lo Penal de la Audiencia Nacional, de 2 de noviembre de 2006, que desestima el recurso de súplica contra la providencia de 17 de octubre de 2006, por la que se aprueba el licenciamiento definitivo del recurrente para el día 16 de marzo de 2017. Ha intervenido el Ministerio Fiscal.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14 de diciembre de 2006, don José Javier Cuevas Rivas, Procurador de los Tribunales, y de don Fernando Vicente de Luis Astarloa, interpuso recurso de amparo contra la resolución judicial que se cita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demandante de amparo había sido condenado por la Sección Primera de la Sala de lo Penal de la Audiencia Nacional en diversas causas que se habían acumulado por Auto de la misma Sala de fecha 21 de octubre de 1996, fijando como tiempo global de cumplimiento el de treinta años de reclusión mayor. Mediante Auto de 24 de abril de 1997, la misma Sala y Sección acordó que no procedía la revisión de las penas impuestas por aplicación de las disposiciones transitorias segunda y quinta del nuevo Código penal (CP) “pues el límite máximo de cumplimiento de los 30 años establecido resulta igualmente aplicable a tenor del art. 76.1 b del nuevo Código Penal”.</w:t>
      </w:r>
    </w:p>
    <w:p w:rsidR="00D06117" w:rsidRDefault="00D06117" w:rsidP="00D06117">
      <w:pPr>
        <w:pStyle w:val="TextoNormal"/>
      </w:pPr>
    </w:p>
    <w:p w:rsidR="00D06117" w:rsidRDefault="00D06117" w:rsidP="00D06117">
      <w:pPr>
        <w:pStyle w:val="TextoNormal"/>
      </w:pPr>
      <w:r>
        <w:t>b) Posteriormente, el recurrente fue de nuevo condenado por Sentencia de 19 de octubre de 1998, de la Sección Primera de la Audiencia Nacional, dictada en el sumario 70-1986 del Juzgado Central de Instrucción núm. 1, por la comisión de un total de quince delitos a diversas penas de prisión. En concreto, se le condena como autor de un delito de pertenencia a banda armada a la pena de siete años de prisión mayor; como autor de un delito de depósito de armas de guerra a la pena de diez años y un día de prisión mayor; como autor de un delito de tenencia de explosivos a la pena de diez años y un día de prisión mayor; como autor de dos delitos de estragos frustrados a la pena de seis meses y un día de prisión menor por cada uno; como autor de tres delitos de estragos a la pena de seis años y un día de prisión mayor por cada uno; como autor de un delito de atentado frustrado a la pena de doce años y un día de reclusión menor; como autor de dos delitos de daños a la pena de multa de cien mil pesetas cada uno; como autor de dos delitos de utilización ilegítima de vehículos con toma de rehenes a la pena de diez años y un día de prisión mayor por cada uno; como autor de un delito de atentado frustrado a la pena de doce años y un día de reclusión menor; y como autor de un delito de terrorismo frustrado a la pena de cuatro años, dos meses y un día de prisión menor.</w:t>
      </w:r>
    </w:p>
    <w:p w:rsidR="00D06117" w:rsidRDefault="00D06117" w:rsidP="00D06117">
      <w:pPr>
        <w:pStyle w:val="TextoNormal"/>
      </w:pPr>
    </w:p>
    <w:p w:rsidR="00D06117" w:rsidRDefault="00D06117" w:rsidP="00D06117">
      <w:pPr>
        <w:pStyle w:val="TextoNormal"/>
      </w:pPr>
      <w:r>
        <w:t>En la Sentencia se establece que en la ejecución de dichas penas se tendrá en cuenta la regla segunda del art. 70 CP aplicado. Dicha Sentencia fue declarada firme por Auto de 17 de noviembre de 1998, que ordena su ejecución, solicitando al centro penitenciario en el que el recurrente se encontraba ingresado que informe sobre la prisión preventiva que pudiera servirle de abono para la práctica de liquidación de condena.</w:t>
      </w:r>
    </w:p>
    <w:p w:rsidR="00D06117" w:rsidRDefault="00D06117" w:rsidP="00D06117">
      <w:pPr>
        <w:pStyle w:val="TextoNormal"/>
      </w:pPr>
    </w:p>
    <w:p w:rsidR="00D06117" w:rsidRDefault="00D06117" w:rsidP="00D06117">
      <w:pPr>
        <w:pStyle w:val="TextoNormal"/>
      </w:pPr>
      <w:r>
        <w:t>c) El centro penitenciario de Villabona (Asturias) comunicó al órgano judicial que el referido interno se encontraba cumpliendo varias condenas, procedentes de otras causas y que se habían acumulado por Auto de la misma Sala de fecha 21 de octubre de 1996, fijando el límite máximo de treinta años. Ante lo cual, solicita que se resuelva sobre la posible acumulación del Sumario 70-1986 a la acumulación ya existente. Por Auto de 3 de marzo de 1999, la Sala acordó ampliar el Auto de acumulación anterior e incluir en la misma las condenas impuestas en el Sumario 70-1986, manteniendo el límite máximo de cumplimiento en treinta años de privación de libertad. Dicho Auto fue declarado firme el día 6 de abril de 1999.</w:t>
      </w:r>
    </w:p>
    <w:p w:rsidR="00D06117" w:rsidRDefault="00D06117" w:rsidP="00D06117">
      <w:pPr>
        <w:pStyle w:val="TextoNormal"/>
      </w:pPr>
    </w:p>
    <w:p w:rsidR="00D06117" w:rsidRDefault="00D06117" w:rsidP="00D06117">
      <w:pPr>
        <w:pStyle w:val="TextoNormal"/>
      </w:pPr>
      <w:r>
        <w:t>d) Mediante providencia de 3 de junio de 1999, el órgano judicial aprueba la liquidación de condena practicada por el centro penitenciario y en la que figura como fecha de cumplimiento el día 16 de marzo de 2017, sin cómputo de redenciones.</w:t>
      </w:r>
    </w:p>
    <w:p w:rsidR="00D06117" w:rsidRDefault="00D06117" w:rsidP="00D06117">
      <w:pPr>
        <w:pStyle w:val="TextoNormal"/>
      </w:pPr>
    </w:p>
    <w:p w:rsidR="00D06117" w:rsidRDefault="00D06117" w:rsidP="00D06117">
      <w:pPr>
        <w:pStyle w:val="TextoNormal"/>
      </w:pPr>
      <w:r>
        <w:t>e) Con fecha 20 de septiembre de 2006, el centro penitenciario de El Dueso se dirigió a la Sala de lo Penal de la Audiencia Nacional interesando la aprobación del licenciamiento definitivo del recurrente para el día 20 de enero de 2007. Dicha propuesta se realiza en aplicación de los criterios anteriores a la Sentencia del Tribunal Supremo 197/2006, de 28 de febrero, haciendo constar que, caso de aplicarse el beneficio de la redención con los nuevos criterios, la libertad definitiva se produciría según la liquidación de condena practicada por el Tribunal el día 16 de marzo de 2017. La propuesta se acompaña de una hoja de cálculo, de los Autos del Juzgado de Vigilancia Penitenciaria que aprueban redenciones y de una certificación en la que consta que el interno redime su pena por trabajo desde el 25 de marzo de 1987 y tiene abonados un total de 3.708 días.</w:t>
      </w:r>
    </w:p>
    <w:p w:rsidR="00D06117" w:rsidRDefault="00D06117" w:rsidP="00D06117">
      <w:pPr>
        <w:pStyle w:val="TextoNormal"/>
      </w:pPr>
    </w:p>
    <w:p w:rsidR="00D06117" w:rsidRDefault="00D06117" w:rsidP="00D06117">
      <w:pPr>
        <w:pStyle w:val="TextoNormal"/>
      </w:pPr>
      <w:r>
        <w:t>f) Mediante providencia de fecha 17 de octubre de 2006, la Sección Primera de la Sala de lo Penal de la Audiencia Nacional, tras dar traslado al Fiscal, acordó aprobar el licenciamiento definitivo del recurrente para el día 16 de marzo de 2017.</w:t>
      </w:r>
    </w:p>
    <w:p w:rsidR="00D06117" w:rsidRDefault="00D06117" w:rsidP="00D06117">
      <w:pPr>
        <w:pStyle w:val="TextoNormal"/>
      </w:pPr>
    </w:p>
    <w:p w:rsidR="00D06117" w:rsidRDefault="00D06117" w:rsidP="00D06117">
      <w:pPr>
        <w:pStyle w:val="TextoNormal"/>
      </w:pPr>
      <w:r>
        <w:t>g) Contra la citada resolución se interpuso recurso de súplica, desestimado por Auto de 2 de noviembre de 2006. Este Auto sostiene que la providencia recurrida es una mera ejecución de lo acordado por la Sala Segunda del Tribunal Supremo, en su Sentencia de 28 de febrero de 2006, que reproduce parcialmente, y conforme a la cual los beneficios penitenciarios y las redenciones de pena que procedan serán computables sobre cada una de las penas impuestas hasta que se alcancen las limitaciones impuestas en la regla segunda del art. 70 CP 1973.</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 2 CE), a la libertad (art. 17.1 CE) y a la igualdad en la aplicación de la ley (art. 14 CE).</w:t>
      </w:r>
    </w:p>
    <w:p w:rsidR="00D06117" w:rsidRDefault="00D06117" w:rsidP="00D06117">
      <w:pPr>
        <w:pStyle w:val="TextoNormal"/>
      </w:pPr>
    </w:p>
    <w:p w:rsidR="00D06117" w:rsidRDefault="00D06117" w:rsidP="00D06117">
      <w:pPr>
        <w:pStyle w:val="TextoNormal"/>
      </w:pPr>
      <w:r>
        <w:t>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acordó la aplicación de la nueva interpretación del Tribunal Supremo en cuanto al cómputo de las redenciones en la providencia de 17 de octubre de 2006 sin haber dado traslado a las partes de la existencia de una propuesta de licenciamiento, para que informaran sobre la conveniencia o no de la aplicación de dicha doctrina, pese a que hasta ese momento todas las liquidaciones de condena se habían realizado conforme a la doctrina anterior, introduciéndose en ese momento una perspectiva jurídica novedosa en cuanto al cómputo de las redenciones por trabajo, que empeoraba la situación del reo, al suponer un retraso en la fecha de su licenciamiento definitivo y respecto de la que el recurrente no pudo defenderse ni someterla a contradicción. Entiende además el recurrente que ello vulnera el principio acusatorio y el derecho a la imparcialidad judicial.</w:t>
      </w:r>
    </w:p>
    <w:p w:rsidR="00D06117" w:rsidRDefault="00D06117" w:rsidP="00D06117">
      <w:pPr>
        <w:pStyle w:val="TextoNormal"/>
      </w:pPr>
    </w:p>
    <w:p w:rsidR="00D06117" w:rsidRDefault="00D06117" w:rsidP="00D06117">
      <w:pPr>
        <w:pStyle w:val="TextoNormal"/>
      </w:pPr>
      <w:r>
        <w:t>Dentro de este primer motivo, se denuncia también la vulneración del derecho de defensa y del derecho al recurso, con cita del art. 14.5 PIDCP, vulneración ésta que se imputa al Auto de 2 de noviembre de 2006. Dado que al resolver el recurso de súplica la Audiencia Nacional no entra en el fondo del objeto del debate, limitándose a afirmar que se trata de una mera ejecución de la referida Sentencia del Tribunal Supremo, se vulnera el derecho a la segunda instancia penal y a un recurso efectivo, ya que no se tuvo acceso a un recurso efectivo contra la providencia en cuestión.</w:t>
      </w:r>
    </w:p>
    <w:p w:rsidR="00D06117" w:rsidRDefault="00D06117" w:rsidP="00D06117">
      <w:pPr>
        <w:pStyle w:val="TextoNormal"/>
      </w:pPr>
    </w:p>
    <w:p w:rsidR="00D06117" w:rsidRDefault="00D06117" w:rsidP="00D06117">
      <w:pPr>
        <w:pStyle w:val="TextoNormal"/>
      </w:pPr>
      <w:r>
        <w:t xml:space="preserve">En un segundo motivo de amparo, se aduce la vulneración del principio de legalidad (art. 25.1 y 2 CE), en relación con la interpretación de los arts. 70.2 y 100 CP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w:t>
      </w:r>
      <w:r>
        <w:lastRenderedPageBreak/>
        <w:t>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w:t>
      </w:r>
    </w:p>
    <w:p w:rsidR="00D06117" w:rsidRDefault="00D06117" w:rsidP="00D06117">
      <w:pPr>
        <w:pStyle w:val="TextoNormal"/>
      </w:pPr>
    </w:p>
    <w:p w:rsidR="00D06117" w:rsidRDefault="00D06117" w:rsidP="00D06117">
      <w:pPr>
        <w:pStyle w:val="TextoNormal"/>
      </w:pPr>
      <w:r>
        <w:t>Ello significa, en el caso del recurrente y conforme a las redenciones que constan en las hojas de cálculo de los centros penitenciarios, que el día 20 de enero de 2007 habría extinguido su condena (sumando los 7.242 días de cumplimiento efectivo y los 3.078 días de redenciones), según se hace constar en la hoja de cálculo de 21 de septiembre de 2006 que aporta como documento núm. 5.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la Administración penitenciaria, con la aprobación de los Jueces de vigilancia penitenciaria y de los Tribunales sentenciadores, ha aplicado las redenciones como tiempo de cumplimiento efectivo, sin que nada justifique en este momento el cambio de criterio. Incluso esta tesis es mantenida tras la entrada en vigor del Código penal de 1995, a la hora de revisar las condenas para aplicar la ley más favorable, de conformidad con lo establecido por el propio Tribunal Supremo en los Plenos no jurisdiccionales de 18 de julio de 1996 y de 12 de febrero de 1999. En el presente caso, y según se sostiene en la demanda, la propia Sección Primera de la Sala de lo Penal de la Audiencia Nacional ha reconocido al recurrente la aplicación de las redenciones al cumplimiento de las condenas acumuladas en los Autos de 3 de marzo de 1999 y de 21 de octubre de 1996 (aportados como documentos 6 y 7) y en el que acuerda no revisar la condena tras la entrada en vigor del Código penal de 1995 (Auto de 24 de abril de 1997, aportado como documento núm. 8).</w:t>
      </w:r>
    </w:p>
    <w:p w:rsidR="00D06117" w:rsidRDefault="00D06117" w:rsidP="00D06117">
      <w:pPr>
        <w:pStyle w:val="TextoNormal"/>
      </w:pPr>
    </w:p>
    <w:p w:rsidR="00D06117" w:rsidRDefault="00D06117" w:rsidP="00D06117">
      <w:pPr>
        <w:pStyle w:val="TextoNormal"/>
      </w:pPr>
      <w:r>
        <w:t xml:space="preserve">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con las redenciones aprobadas por los Juzgados de Vigilancia Penitenciaria, intangibles y firmes, aplicadas —como se venía haciendo por los órganos judiciales y de la Administración penitenciaria— al tope de treinta años, el recurrente habría cumplido ya su condena y podría haber obtenido el licenciamiento definitivo el día 20 de enero de 2007. El trabajo y los estudios en la prisión se realizaron en la confianza de que las redenciones así obtenidas implicarían un acortamiento del tiempo de permanencia en prisión, habiéndose generado una expectativa de dicho acortamiento sobre la base de la actuación de los órganos judiciales hasta el momento y de las propuestas de los centros penitenciarios, pues todas las liquidaciones de condena se habían realizado conforme a la doctrina anterior. Y el interno siguió trabajando en la confianza de que se le aplicarían las redenciones, como en el caso de la STC 76/2004. La defraudación de esa </w:t>
      </w:r>
      <w:r>
        <w:lastRenderedPageBreak/>
        <w:t>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al modificar no tanto los Autos de los Jueces de vigilancia penitenciaria que aprueban las redenciones, sino la interpretación de los mismos y los derechos que de ellos derivaban, esto es, la aprobación de las redenciones como abono para la condena de treinta años.</w:t>
      </w:r>
    </w:p>
    <w:p w:rsidR="00D06117" w:rsidRDefault="00D06117" w:rsidP="00D06117">
      <w:pPr>
        <w:pStyle w:val="TextoNormal"/>
      </w:pPr>
    </w:p>
    <w:p w:rsidR="00D06117" w:rsidRDefault="00D06117" w:rsidP="00D06117">
      <w:pPr>
        <w:pStyle w:val="TextoNormal"/>
      </w:pPr>
      <w:r>
        <w:t>Como cuarto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 xml:space="preserve">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(CP 1973) ya está derogada y resulta aplicable a un número muy limitado de presos y sin que existan razones fundadas que justifiquen el mismo. Se afirma que se trata de una reescritura de la ley, provocada por factores extrajurídicos, en atención a quienes son los sujetos pasivos a los que afecta y a las circunstancias en que se adopta la decisión, siendo, por tanto, un cambio de criterio ad personam, constitucionalmente vedado. También se señala que al recurrente se </w:t>
      </w:r>
      <w:r>
        <w:lastRenderedPageBreak/>
        <w:t>le deniega lo que a otros cientos de presos se les concedió, aplicando la ley de forma diferente y discriminatoria. En concreto, destaca que a otro imputado y condenado en la misma causa por los mismos hechos, cuyas condenas se acumularon por Auto de 3 de febrero de 1995, habiéndose acordado por Auto de 10 de enero de 1997 la no revisión de la condena tras la entrada en vigor del Código penal de 1995, se le han computado las redenciones a la condena acumulada, habiéndose aprobado su licenciamiento definitivo el día 25 de marzo de 2005 por la misma Sala y Sección de la Audiencia Nacional que lo deniega en el presente caso, aplicando la ley de forma diferente y perjudicial para el recurrente. Aporta los citados Autos como documentos núms. 13, 14 y 15.</w:t>
      </w:r>
    </w:p>
    <w:p w:rsidR="00D06117" w:rsidRDefault="00D06117" w:rsidP="00D06117">
      <w:pPr>
        <w:pStyle w:val="TextoNormal"/>
      </w:pPr>
    </w:p>
    <w:p w:rsidR="00D06117" w:rsidRDefault="00D06117" w:rsidP="00D06117">
      <w:pPr>
        <w:pStyle w:val="TextoNormal"/>
      </w:pPr>
      <w:r>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siendo así que el tiempo acumulado por redenciones es tiempo efectivamente cumplido y no tiempo virtual, como señala la STS de 5 de abril de 2001. En el presente caso, ello significa que el recurrente habría cumplido treinta años de condena (sumando el cumplimiento efectivo y las redenciones reconocidas) el día 20 de enero de 2007, según se desprende de la liquidación de condena y propuesta de licenciamiento que aporta como documentos núms. 4 y 5.</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dirige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t>Añade que se está produciendo una aplicación extensiva y general de la Sentencia del Tribunal Supremo de 28 de febrero de 2006 a supuestos distintos a aquel en el que fue dictada, puesto que el origen de dicha Sentencia era un supuesto de acumulación de condenas y se está aplicando a internos que ya tenían sus condenas acumuladas y cuya condena había sido revisada tras la entrada en vigor del Código penal de 1995, procediéndose de facto a una nueva revisión de la condena sin las garantías de las disposiciones transitorias del Código penal de 1995.</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Por providencia de 12 de septiembre de 2007, la Sala Segunda de este Tribunal acordó la admisión a trámite de la demanda así como, a tenor de lo establecido en el art. 51 de la Ley Orgánica del Tribunal Constitucional (LOTC), requerir atentamente a la Sección Primera de la Sala de lo Penal de la Audiencia Nacional para que remitiera testimonio de las actuaciones correspondientes a la ejecutoria núm. 70-1986, interesando al tiempo que se </w:t>
      </w:r>
      <w:r>
        <w:lastRenderedPageBreak/>
        <w:t>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Auto de 22 de octubre de 2007, la Sala Segunda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A través de una diligencia de ordenación de 19 de noviembre de 2007 se acordó dar vista de las actuaciones a la parte recurrente y al Ministerio Fiscal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demandante de amparo formuló sus alegaciones mediante escrito que tuvo su entrada en el Registro General de este Tribunal el día 28 de diciembre de 2007, en el que sustancialmente reproduce los argumentos ya expuestos en la demanda. En relación con el tercer motivo de amparo, insiste el recurrente en que en el presente caso existía un Auto de acumulación de condenas en el que se establecía como pena a cumplir la de 10.950 días, que sin redenciones suponían su salida de prisión el día 16 de marzo de 2017 (folio 371 de la ejecutoria). La existencia de redenciones de pena aprobadas y aplicadas en las hojas de cálculo por un total de 3.078 días, sumados a los 7.242 días de cumplimiento efectivo, suponía el cumplimiento efectivo de la condena y el licenciamiento definitivo el pasado 20 de enero de 2007. Sin embargo, las resoluciones recurridas modifican las anteriores resoluciones judiciales firmes, entre ellas la refundición de condena y la liquidación de condena judicial tras la refundición, realizando una nueva liquidación sobre el total de las penas impuestas, lo que vulnera la intangibilidad de las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8</w:t>
      </w:r>
      <w:r>
        <w:t>. El día 14 de enero de 2008 presentó sus alegaciones el Ministerio Fiscal, interesando la estimación del amparo solicitado, por entender que las resoluciones recurridas han vulnerado los derechos a la intangibilidad de las resoluciones judiciales firmes (art. 24.1 CE), en relación con el derecho a la no retroactividad desfavorable para el reo (art. 25.1 CE en relación con el art. 9.3 CE) y a la libertad personal (art. 17.1 CE).</w:t>
      </w:r>
    </w:p>
    <w:p w:rsidR="00D06117" w:rsidRDefault="00D06117" w:rsidP="00D06117">
      <w:pPr>
        <w:pStyle w:val="TextoNormal"/>
      </w:pPr>
    </w:p>
    <w:p w:rsidR="00D06117" w:rsidRDefault="00D06117" w:rsidP="00D06117">
      <w:pPr>
        <w:pStyle w:val="TextoNormal"/>
      </w:pPr>
      <w:r>
        <w:t xml:space="preserve">Comienza el Fiscal analizando los motivos segundo, tercero y sexto, al entender que constituyen la médula del amparo que se solicita. En su conjunto, denuncia del actor la aplicación de la doctrina de la STS 197/2006 y perjudicial para él a situaciones ya reconocidas por resoluciones firmes, en concreto, los Autos de 21 de octubre de 1996 y de 3 de marzo de 1999, que refundieron las condenas y señalaron como pena a cumplir la de treinta años, así como a las liquidaciones de condena que han seguido a esa resolución por aplicación a ellas de las redenciones que se iban produciendo. La firmeza de tales resoluciones impide a juicio del Fiscal la revisión de ese criterio en virtud de una doctrina posterior, porque ello rompe las legítimas expectativas del interno y lesiona su derecho a la intangibilidad de las resoluciones judiciales firmes consagrada en el art. 24.1 CE. Cita, por todas, la STC 209/2005, de 4 de julio. También considera aplicable al caso la doctrina contenida en </w:t>
      </w:r>
      <w:r>
        <w:lastRenderedPageBreak/>
        <w:t>la STC 76/2004, de 26 de abril, conforme a la cual las redenciones de pena por el trabajo reconocidas en resoluciones firmes del Juzgado de Vigilancia Penitenciaria son de abono en las condenas aunque proceda su revisión de conformidad con el nuevo Código penal, porque de otro modo se vulneraría el derecho a la ejecución e inmutabilidad de las resoluciones judiciales firmes, como también se lesionaría esta garantía inherente a la tutela judicial efectiva si el beneficio de la redención de penas por el trabajo estuviere siempre sujeto a ulterior modificación o se desconociera lo resuelto por los Autos del Juzgado de Vigilancia Penitenciaria, dada su firmeza. Además, y con cita de la STC 31/1999, de 8 de marzo, FJ 3, recuerda el Fiscal que la cuestión de la redención de penas por el trabajo afecta al derecho fundamental a la libertad personal (art. 17.1 CE), porque incide de forma directa en el tiempo de privación de libertad del condenado a una pena de prisión.</w:t>
      </w:r>
    </w:p>
    <w:p w:rsidR="00D06117" w:rsidRDefault="00D06117" w:rsidP="00D06117">
      <w:pPr>
        <w:pStyle w:val="TextoNormal"/>
      </w:pPr>
    </w:p>
    <w:p w:rsidR="00D06117" w:rsidRDefault="00D06117" w:rsidP="00D06117">
      <w:pPr>
        <w:pStyle w:val="TextoNormal"/>
      </w:pPr>
      <w:r>
        <w:t>La anterior vulneración tiene además engarce con el principio de legalidad (art. 25.1 CE), en relación con al prohibición de retroactividad de las normas penales perjudiciales al reo (art. 9.3 CE), ya que las garantías de legalidad y seguridad jurídica que exigen ambos preceptos constitucionales deben extenderse a la ejecución de las penas, integrándose la irretroactividad de las normas y de su interpretación desfavorable al reo en el complejo de legalidad del art. 25.1 CE (cita la STEDH Puhk c. Estonia, de 10 de febrero de 2004).</w:t>
      </w:r>
    </w:p>
    <w:p w:rsidR="00D06117" w:rsidRDefault="00D06117" w:rsidP="00D06117">
      <w:pPr>
        <w:pStyle w:val="TextoNormal"/>
      </w:pPr>
    </w:p>
    <w:p w:rsidR="00D06117" w:rsidRDefault="00D06117" w:rsidP="00D06117">
      <w:pPr>
        <w:pStyle w:val="TextoNormal"/>
      </w:pPr>
      <w:r>
        <w:t>Y a esas dos vulneraciones debe adicionarse, como consecuencia de ellas, la del derecho a la libertad (art. 17.1 CE), por cuanto el licenciamiento definitivo lo sería en fecha muy posterior como consecuencia de esa nueva y desfavorable interpretación de la normativa en juego.</w:t>
      </w:r>
    </w:p>
    <w:p w:rsidR="00D06117" w:rsidRDefault="00D06117" w:rsidP="00D06117">
      <w:pPr>
        <w:pStyle w:val="TextoNormal"/>
      </w:pPr>
    </w:p>
    <w:p w:rsidR="00D06117" w:rsidRDefault="00D06117" w:rsidP="00D06117">
      <w:pPr>
        <w:pStyle w:val="TextoNormal"/>
      </w:pPr>
      <w:r>
        <w:t>En cuanto a los restantes motivos de amparo, considera el Fiscal que deben ser desestimados. El primero de ellos, porque no se puede apreciar la indefensión denunciada, ya que la representación procesal del actor hizo uso de su derecho a ser oído al interponer recurso de súplica contra la providencia el 17 de octubre de 2006 y obtuvo contestación a través del Auto que ahora se impugna. Además, el Tribunal actuó a petición del centro penitenciario, en el ejercicio que le es propio de interpretación y aplicación del derecho al caso, por lo que no cabe apreciar vulneración alguna del principio acusatorio. El cuarto de los motivos de amparo, por cuanto no nos encontramos ante un supuesto de aplicación retroactiva del art. 78 CP 1995, como se sostiene en la demanda, sino ante un cambio de criterio jurisprudencial en la interpretación del art. 70.2 del Código penal vigente al tiempo de comisión de los hechos. Respecto del motivo relativo al principio de igualdad en la aplicación de la ley, porque las resoluciones impugnadas se limitan a aplicar la doctrina sentada por otro órgano judicial (el Tribunal Supremo), que es la supuestamente discriminatoria; y porque en todo caso el cambio de criterio se fundamenta razonablemente. Finalmente, el séptimo motivo debe ser rechazado, en opinión del Fiscal, por cuanto el art. 25.2 CE no contiene un derecho fundamental susceptible de ser invocado en amparo y por carecer de autonomía propia, debiendo quedar vinculado a las otras infracciones del derecho a la legalidad penal que se denuncian.</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21 de junio de 2011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10</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Primera de la Sala de lo Penal de la Audiencia Nacional, de 2 de noviembre de 2006, que desestima el recurso de súplica contra la providencia de 17 de octubre de 2006, por la que se aprueba el licenciamiento definitivo del recurrente, utilizando como criterio de cómputo de la redención de penas por el trabajo el establecido por el Tribunal Supremo en la STS 197/2006, de 28 de febrero, según el cual ha de computarse sobre cada una de las penas impuestas y no sobre el máximo de cumplimiento establecido al acumular las condenas.</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del derecho a la intangibilidad de las resoluciones judiciales firmes (art. 24.1 CE), en relación con el derecho a la no retroactividad desfavorable para el reo (arts. 25.1 y 9.3 CE) y con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En la primera de las quejas articuladas en la demanda, bajo la invocación de los derechos a la tutela judicial efectiva (art. 24.1 CE) y a un proceso con todas las garantías (art. 24.2 CE), se denuncia en primer lugar la indefensión generada por el hecho de que la primera de las resoluciones recurridas se adoptó sin dar audiencia a las partes, pese a introducir una perspectiva jurídica novedosa en el cómputo de las redenciones de penas por el trabajo. De ello se derivaría, en opinión del recurrente, la vulneración del principio acusatorio y del derecho a la imparcialidad judicial. Esta queja ha de ser inadmitida, al concurrir respecto de ella el óbice procesal de falta de invocación ante los órganos de la jurisdicción ordinaria [art. 44.1 c) de la Ley Orgánica del Tribunal Constitucional]. En efecto, de la mera lectura del recurso de súplica interpuesto contra la providencia dictada sin darle audiencia se desprende que el recurrente articuló una serie de motivos de recurso para oponerse a esa nueva perspectiva jurídica en el cómputo de las redenciones (lo que excluiría, como señala el Ministerio Fiscal, la indefensión denunciada), pero no denunció entonces indefensión alguna, ni vulneración del principio acusatorio, o del derecho a la imparcialidad judicial, quejas que se traen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w:t>
      </w:r>
      <w:r>
        <w:lastRenderedPageBreak/>
        <w:t>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Por otra parte, y dentro del primero de los motivos de amparo, se aduce la vulneración del derecho a un recurso efectivo y a la segunda instancia penal (art. 24.2 CE en relación con el art. 14.5 del Pacto internacional de derechos civiles y políticos: PIDCP). Tampoco esta queja puede prosperar, puesto que el recurrente —en contra de lo que sostiene— sí tuvo acceso al recurso legalmente previsto (el recurso de súplica), que no fue inadmitido, sino resuelto y desestimado, considerando la Audiencia —con una fórmula poco acertada que la resolución cuestionada es “mera ejecución de lo acordado por la Sala Segunda del Tribunal Supremo”, pero que permite perfectamente conocer la ratio decidendi de la desestimación— que resultaba de aplicación al caso la nueva doctrina sentada por el Tribunal Supremo en relación con el cómputo de la redención de penas por el trabajo.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PIDCP y en el art. 2 del protocolo 7 del Convenio europeo para la protección de los derechos humanos y de las libertades fundamentales (CEDH),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Despejado este grupo de quejas de carácter procesal articuladas como primer motivo de amparo, en los restantes motivos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el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 xml:space="preserve">El recurrente denuncia, como quedó reflejado en los antecedentes, la vulneración del principio de igualdad en la aplicación de la ley (art. 14 CE); del principio de legalidad penal (art. 25.1 CE) —desde la doble perspectiva de la ilegitimidad del nuevo criterio interpretativo y la aplicación retroactiva de una ley desfavorable—; del derecho a la libertad (art. 17.1 </w:t>
      </w:r>
      <w:r>
        <w:lastRenderedPageBreak/>
        <w:t>CE); y del derecho a la tutela judicial efectiva (art. 24.1 CE), en relación con el derecho a la libertad, en su vertiente de intangibilidad de las resoluciones judiciales firmes. Todo ello en la medida en que la aplicación del nuevo criterio de cómputo de las redenciones modifica sus expectativas —fundadas en las decisiones previas del órgano judicial y de la Administración penitenciaria— de alcanzar la libertad el día 20 de enero de 2007 (según se desprende de la propuesta de licenciamiento definitivo enviada inicialmente por el centro penitenciario al órgano judicial), retrasando ese momento hasta el día 16 de marzo de 2017.</w:t>
      </w:r>
    </w:p>
    <w:p w:rsidR="00D06117" w:rsidRDefault="00D06117" w:rsidP="00D06117">
      <w:pPr>
        <w:pStyle w:val="TextoNormal"/>
      </w:pPr>
    </w:p>
    <w:p w:rsidR="00D06117" w:rsidRDefault="00D06117" w:rsidP="00D06117">
      <w:pPr>
        <w:pStyle w:val="TextoNormal"/>
      </w:pPr>
      <w:r>
        <w:t>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como máximo intérprete de la legalidad ordinaria ex art. 117 CE, sino que nuestro examen se ha de limitar a la consideración de la respuesta judicial que para el caso concreto se contiene en las resoluciones recurridas, en las que acuerda la aplicación como criterio de cómputo de las redenciones el establecido con carácter previo en la STS 197/2006.</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ha de tenerse en cuenta que no nos encontramos en el ámbito propio del derecho fundamental consagrado en el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w:t>
      </w:r>
      <w:r>
        <w:lastRenderedPageBreak/>
        <w:t>“podrá acordar que los beneficios, los permisos de salida, la clasificación en tercer grado y el cómputo de tiempo para la libertad condicional se refiera a la totalidad de las penas impuestas” (art. 78.1 CP). Prescribiendo, en relación a supuestos de acumulación de varias penas especialmente graves se establece la obligatoriedad de realizar ese cómputo referido a la totalidad de las penas impuestas; preceptividad que, sin embargo, admite algunas excepciones (art. 78.2 y 3 del Código penal actual). Pues bien,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 resolución dictada por la Audiencia Nacional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hemos de recordar que no es función de este Tribunal la interpretación de la legalidad ordinaria y, en lo que aquí interesa, que no nos corresponde pronunciarnos directamente sobre cómo interpretar y aplicar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lastRenderedPageBreak/>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que son objeto del presente recurso de amparo, al aplicar el nuevo criterio de cómputo de las redenciones, vulneró su derecho a la tutela judicial efectiva (art. 24.1 CE), en su vertiente de derecho a la intangibilidad de las resoluciones judiciales firmes, y como consecuencia de ello su derecho a la libertad (art. 17.1 CE), al modificar una expectativa —fundada en resoluciones intangibles— de obtener el licenciamiento definitivo (y por tanto de ser puesto en libertad) el día 20 de enero de 2007. El Ministerio Fiscal considera que se ha producido la vulneración de ambos derechos fundamentales.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En la demanda de amparo se afirma que el recurrente tiene reconocidos por los Juzgados de Vigilancia Penitenciaria, en resoluciones firmes e intangibles, un total de 3.078 días de redenciones. De conformidad con la jurisprudencia de este Tribunal, se vulnera el derecho a la intangibilidad de las resoluciones judiciales firmes si el beneficio de redención de penas estuviera siempre pendiente de ulterior modificación, y esto es lo que habría ocurrido en el presente caso, según el recurrente, al modificarse los derechos derivados de la aprobación de las redenciones, esto es, su abono al máximo de cumplimiento de treinta años.</w:t>
      </w:r>
    </w:p>
    <w:p w:rsidR="00D06117" w:rsidRDefault="00D06117" w:rsidP="00D06117">
      <w:pPr>
        <w:pStyle w:val="TextoNormal"/>
      </w:pPr>
    </w:p>
    <w:p w:rsidR="00D06117" w:rsidRDefault="00D06117" w:rsidP="00D06117">
      <w:pPr>
        <w:pStyle w:val="TextoNormal"/>
      </w:pPr>
      <w:r>
        <w:t>Se argumenta, además, que el criterio de cómputo de las redenciones sobre el máximo de cumplimiento de treinta años había sido aplicado al recurrente por la propia Sección Primera de la Sala de lo Penal de la Audiencia Nacional en los Autos de acumulación de condenas de 21 de octubre de 1996 y 3 de marzo de 1999, así como en el Auto de 24 de abril de 1997, que acuerda no revisar la condena tras la entrada en vigor del Código penal de 1995. Todo lo cual tiene como consecuencia la vulneración del derecho a la libertad, pues la suma de las redenciones reconocidas y los 7.242 días de cumplimiento efectivo determina que cumplió su condena el día 20 de enero de 2007 (según consta en la propuesta de licenciamiento definitivo elaborada inicialmente por el centro penitenciario para su aprobación por la Sala de lo Penal de la Audiencia Nacional), y sin embargo continúa privado de libertad, alargándose su estancia en prisión sin base legal ni reglamentaria.</w:t>
      </w:r>
    </w:p>
    <w:p w:rsidR="00D06117" w:rsidRDefault="00D06117" w:rsidP="00D06117">
      <w:pPr>
        <w:pStyle w:val="TextoNormal"/>
      </w:pPr>
    </w:p>
    <w:p w:rsidR="00D06117" w:rsidRDefault="00D06117" w:rsidP="00D06117">
      <w:pPr>
        <w:pStyle w:val="TextoNormal"/>
      </w:pPr>
      <w:r>
        <w:t>El Ministerio Fiscal, por su parte, también considera que la firmeza de las resoluciones judiciales que refundieron las condenas y señalaron como pena a cumplir la de treinta años, así como las liquidaciones de condena posteriores, impiden la revisión del criterio de cómputo de las redenciones. Y afirma, además, que resulta de aplicación al presente caso la doctrina sentada por la STC 76/2004 respecto de la firmeza e intangibilidad de lo resuelto por los Juzgados de Vigilancia Penitenciaria en relación con el reconocimiento de la redención de penas por trabajo.</w:t>
      </w:r>
    </w:p>
    <w:p w:rsidR="00D06117" w:rsidRDefault="00D06117" w:rsidP="00D06117">
      <w:pPr>
        <w:pStyle w:val="TextoNormal"/>
      </w:pPr>
    </w:p>
    <w:p w:rsidR="00D06117" w:rsidRDefault="00D06117" w:rsidP="00D06117">
      <w:pPr>
        <w:pStyle w:val="TextoNormal"/>
      </w:pPr>
      <w:r>
        <w:t>Pues bien, de ninguna de las resoluciones judiciales citadas tanto por el recurrente como por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En cuanto a las resoluciones del Juzgado de Vigilancia Penitenciaria, constituye doctrina de este Tribunal que las resoluciones del Juzgado de Vigilancia Penitenciaria en las que se reconoce a un penado determinados días de redención de pena devienen firmes e intangibles y que se lesiona el derecho a la tutela judicial efectiva en su vertiente de intangibilidad de las resoluciones judiciales firmes por la modificación o inejecución de dichos Autos (SSTC 174/1989, de 30 de octubre, FFJJ 3, 4 y 5; y 31/1999, de 8 de marzo, FJ 4). También hemos afirmado en la STC 76/2004, de 26 de abril, FJ 4, como destacan tanto el recurrente como el Ministerio Fiscal, que “las redenciones de pena por el trabajo reconocidas por resoluciones firmes del Juzgado de Vigilancia Penitenciaria son de abono en las condenas, aunque se proceda a su revisión de conformidad con el nuevo Código penal, ya que, en otro caso, se vulneraría el derecho a la ejecución e inmutabilidad de las resoluciones judiciales firmes (STC 31/1999, de 8 de marzo, FFJJ 4 y 6), como también se lesiona esta garantía inherente al derecho a la tutela judicial efectiva sin indefensión si el beneficio de la redención de penas por el trabajo estuviese siempre pendiente de ulterior modificación </w:t>
      </w:r>
      <w:r>
        <w:lastRenderedPageBreak/>
        <w:t>(STC 174/1989, de 30 de octubre, FFJJ 4 y 5), o se desconociera lo resuelto en otros Autos de los Juzgados de Vigilancia Penitenciaria dada su firmeza (STC 67/1991, de 22 de marzo, FJ 2)”.</w:t>
      </w:r>
    </w:p>
    <w:p w:rsidR="00D06117" w:rsidRDefault="00D06117" w:rsidP="00D06117">
      <w:pPr>
        <w:pStyle w:val="TextoNormal"/>
      </w:pPr>
    </w:p>
    <w:p w:rsidR="00D06117" w:rsidRDefault="00D06117" w:rsidP="00D06117">
      <w:pPr>
        <w:pStyle w:val="TextoNormal"/>
      </w:pPr>
      <w:r>
        <w:t>Ahora bien, las resoluciones del Juzgado de Vigilancia Penitenciaria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los días de redención ordinaria y extraordinaria así obtenidos) y reconoce un determinado número de días redimidos que, posteriormente, el Tribunal sentenciador ha de computar en la liquidación de condena cuando la misma se produzca. Siendo así, en el presente caso y a diferencia de los resueltos en las Sentencias anteriormente citadas, no puede afirmarse que las resoluciones recurridas ignoren, o pongan en cuestión la firmeza e intangibilidad de lo decidido en los Autos del Juzgado de Vigilancia Penitenciaria. La providencia y el Auto del Tribunal sentenciador se limitan a realizar el cómputo de esas redenciones reconocidas, firmes e intangibles, a efectos de liquidación de condena, lo que —como se expuso anteriormente— no le corresponde al Juzgado de Vigilancia Penitenciaria, sino al Tribunal Sentenciador a propuesta del centro penitenciario.</w:t>
      </w:r>
    </w:p>
    <w:p w:rsidR="00D06117" w:rsidRDefault="00D06117" w:rsidP="00D06117">
      <w:pPr>
        <w:pStyle w:val="TextoNormal"/>
      </w:pPr>
    </w:p>
    <w:p w:rsidR="00D06117" w:rsidRDefault="00D06117" w:rsidP="00D06117">
      <w:pPr>
        <w:pStyle w:val="TextoNormal"/>
      </w:pPr>
      <w:r>
        <w:t>b) Por lo que respecta a los Autos de acumulación dictados por la Sección Primera de la Sala de lo Penal de la Audiencia Nacional y citados en la demanda (Auto de 21 de octubre de 1996 y Auto de 3 de marzo de 1999), los mismos se limitan a acumular las condenas impuestas al penado en las diversas causas (en la medida en que los delitos cometidos presentan entre sí clara conexión jurídica y cronológica que hubiera permitido enjuiciarlos en un único proceso) y a fijar un máximo de cumplimiento en treinta años, de privación de libertad, en aplicación de la regla segunda del art. 70 CP 1973. No existe en ellos referencia alguna a la redención de penas por el trabajo o al criterio de cómputo de la misma, ni puede concluirse que dicho criterio sea relevante en modo alguno en la decisión de acumulación que se adopta.</w:t>
      </w:r>
    </w:p>
    <w:p w:rsidR="00D06117" w:rsidRDefault="00D06117" w:rsidP="00D06117">
      <w:pPr>
        <w:pStyle w:val="TextoNormal"/>
      </w:pPr>
    </w:p>
    <w:p w:rsidR="00D06117" w:rsidRDefault="00D06117" w:rsidP="00D06117">
      <w:pPr>
        <w:pStyle w:val="TextoNormal"/>
      </w:pPr>
      <w:r>
        <w:t>c) Finalmente, se alude al Auto 24 de abril de 1997 por el que se acuerda que no procede la revisión de las penas impuestas por aplicación de las disposiciones transitorias segunda y quinta CP 1995.</w:t>
      </w:r>
    </w:p>
    <w:p w:rsidR="00D06117" w:rsidRDefault="00D06117" w:rsidP="00D06117">
      <w:pPr>
        <w:pStyle w:val="TextoNormal"/>
      </w:pPr>
    </w:p>
    <w:p w:rsidR="00D06117" w:rsidRDefault="00D06117" w:rsidP="00D06117">
      <w:pPr>
        <w:pStyle w:val="TextoNormal"/>
      </w:pPr>
      <w:r>
        <w:t>En relación con este Auto, debe tenerse en cuenta, en primer lugar, que el mismo se refiere a las causas acumuladas mediante Auto de 21 de octubre de 1996 y no a la ejecutoria núm. 70-1986 de la que trae causa el presente recurso de amparo, pues la Sentencia condenatoria en ella dictada es de fecha 19 de octubre de 1998, posterior a la entrada en vigor del Código penal de 1995 y, por tanto, no ha sido revisada. De modo que mal puede derivarse del citado Auto una decisión intangible respecto del cumplimiento de penas impuestas con posterioridad.</w:t>
      </w:r>
    </w:p>
    <w:p w:rsidR="00D06117" w:rsidRDefault="00D06117" w:rsidP="00D06117">
      <w:pPr>
        <w:pStyle w:val="TextoNormal"/>
      </w:pPr>
    </w:p>
    <w:p w:rsidR="00D06117" w:rsidRDefault="00D06117" w:rsidP="00D06117">
      <w:pPr>
        <w:pStyle w:val="TextoNormal"/>
      </w:pPr>
      <w:r>
        <w:t>En todo caso, ni en el fallo de dicha resolución se realiza pronunciamiento alguno acerca del criterio de cómputo de las redenciones (porque no era éste su objeto), ni de su fundamentación jurídica (el fundamento jurídico único es el siguiente: “Por aplicación de las Dis</w:t>
      </w:r>
      <w:r>
        <w:lastRenderedPageBreak/>
        <w:t>posiciones Transitorias 2ª y 5ª del nuevo Código Penal, no procede modificar la pena impuesta al penado, pues el límite máximo de cumplimiento de los 30 años establecido resulta igualmente aplicable a tenor del art. 76.1.b del nuevo Código Penal”) en relación con los antecedentes de hecho (en los que se mencionan las causas acumuladas por Auto de 21 de octubre de 2006, que fija el máximo de cumplimiento de treinta años de reclusión mayor, y se hace referencia a la liquidación de la pena acumulada remitida por el centro penitenciario “haciendo constar la prisión preventiva abonable y fecha de inicio de cumplimiento”, sin hacer mención alguna de las redenciones) puede concluirse que la decisión de no revisar las condenas se sustente en un determinado criterio de cómputo de las redenciones que resulte determinante o decisivo para considerar más favorable el Código penal de 1973.</w:t>
      </w:r>
    </w:p>
    <w:p w:rsidR="00D06117" w:rsidRDefault="00D06117" w:rsidP="00D06117">
      <w:pPr>
        <w:pStyle w:val="TextoNormal"/>
      </w:pPr>
    </w:p>
    <w:p w:rsidR="00D06117" w:rsidRDefault="00D06117" w:rsidP="00D06117">
      <w:pPr>
        <w:pStyle w:val="TextoNormal"/>
      </w:pPr>
      <w:r>
        <w:t>De lo anteriormente expuesto cabe concluir que, en el presente caso, no existe vulneración del derecho a la tutela judicial efectiva en su vertiente de intangibilidad de las resoluciones judiciales firmes (art. 24.1 CE), ni vulneración del derecho a la libertad (art. 17.1 CE). En efecto, no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Fernando Vicente de Luis Astarloa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11202-2006.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3" w:name="SENTENCIA_2012_50"/>
      <w:r>
        <w:lastRenderedPageBreak/>
        <w:t>SENTENCIA 50/2012, de 29 de marzo de 2012</w:t>
      </w:r>
    </w:p>
    <w:bookmarkEnd w:id="5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ECLI:ES:TC:2012:50</w:t>
      </w:r>
    </w:p>
    <w:p w:rsidR="00D06117" w:rsidRDefault="00D06117" w:rsidP="00D06117">
      <w:pPr>
        <w:pStyle w:val="SntesisDescriptiva"/>
      </w:pPr>
    </w:p>
    <w:p w:rsidR="00D06117" w:rsidRDefault="00D06117" w:rsidP="00D06117">
      <w:pPr>
        <w:pStyle w:val="SntesisDescriptiva"/>
      </w:pPr>
      <w:r>
        <w:t>Recurso de amparo 11643-2006. Promovido por don Pedro María Rezabal Zurutuza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aunque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 xml:space="preserve">La resolución impugnada se limita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w:t>
      </w:r>
      <w:r>
        <w:lastRenderedPageBreak/>
        <w:t>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6.</w:t>
      </w:r>
      <w:r>
        <w:tab/>
        <w:t>No nos corresponde pronunciarnos sobre cómo interpretar y aplicar el art. 70 en relación con el art. 100 en relación con el art. 100 CP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7.</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5].</w:t>
      </w:r>
    </w:p>
    <w:p w:rsidR="00D06117" w:rsidRDefault="00D06117" w:rsidP="00D06117">
      <w:pPr>
        <w:pStyle w:val="Extracto"/>
      </w:pPr>
    </w:p>
    <w:p w:rsidR="00D06117" w:rsidRDefault="00D06117" w:rsidP="00D06117">
      <w:pPr>
        <w:pStyle w:val="Extracto"/>
      </w:pPr>
      <w:r>
        <w:t>8.</w:t>
      </w:r>
      <w:r>
        <w:tab/>
        <w:t>Doctrina sobre redención de penas por el trabajo (SSTC 174/1989, 76/2004) [FJ 5].</w:t>
      </w:r>
    </w:p>
    <w:p w:rsidR="00D06117" w:rsidRDefault="00D06117" w:rsidP="00D06117">
      <w:pPr>
        <w:pStyle w:val="Extracto"/>
      </w:pPr>
    </w:p>
    <w:p w:rsidR="00D06117" w:rsidRDefault="00D06117" w:rsidP="00D06117">
      <w:pPr>
        <w:pStyle w:val="Extracto"/>
      </w:pPr>
      <w:r>
        <w:t>9.</w:t>
      </w:r>
      <w:r>
        <w:tab/>
        <w:t>No concurre una situación material de indefensión efectiva constitucionalmente relevante, puesto que el recurrente pudo defenderse y someter a contradicción la aplicación de la nueva doctrina sobre el cómputo de la redención de pena por trabajo en el recurso de súplica que interpuso, como de hecho hizo [FJ 2].</w:t>
      </w:r>
    </w:p>
    <w:p w:rsidR="00D06117" w:rsidRDefault="00D06117" w:rsidP="00D06117">
      <w:pPr>
        <w:pStyle w:val="Extracto"/>
      </w:pPr>
    </w:p>
    <w:p w:rsidR="00D06117" w:rsidRDefault="00D06117" w:rsidP="00D06117">
      <w:pPr>
        <w:pStyle w:val="Extracto"/>
      </w:pPr>
      <w:r>
        <w:t>10.</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11643-2006, promovido por don Pedro María Rezabal Zurutuza, representado por el Procurador de los Tribunales don José Javier Cuevas Rivas y bajo la dirección de la Letrada doña Ainoa Baglietto Gabilondo, contra el Auto de la Sección Primera de la Sala de lo Penal de la Audiencia Nacional de 20 de noviembre de 2006, dictado en la ejecutoria núm. 8-1989, por el que se desestima el recurso de súplica interpuesto contra la providencia de 5 de octubre de 2006, en la que se acuerda fijar fecha sobre licenciamiento definitivo. Ha intervenido el Ministerio Fiscal.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de este Tribunal el 28 de diciembre de 2006, el Procurador de los Tribunales don José Javier Cuevas Rivas, en nombre y representación de don Pedro María Rezabal Zurutuza, y bajo la dirección de la Letrada doña Ainoa Baglietto Gabilondo, interpuso recurso de amparo contra las resoluciones judiciales que se citan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El recurso tiene su origen en los siguientes antecedentes:</w:t>
      </w:r>
    </w:p>
    <w:p w:rsidR="00D06117" w:rsidRDefault="00D06117" w:rsidP="00D06117">
      <w:pPr>
        <w:pStyle w:val="TextoNormal"/>
      </w:pPr>
    </w:p>
    <w:p w:rsidR="00D06117" w:rsidRDefault="00D06117" w:rsidP="00D06117">
      <w:pPr>
        <w:pStyle w:val="TextoNormal"/>
      </w:pPr>
      <w:r>
        <w:t>a) El demandante de amparo fue condenado en las siguientes causas: En el sumario núm. 24-1985, procedente del Juzgado Central de Instrucción núm. 4, a sendas penas de veintiún años de reclusión mayor por cinco delitos de asesinato en grado de frustración, veintitrés años de reclusión mayor por un delito de atentado, tres años de prisión menor por un delito de detención ilegal y cinco años de prisión menor por un delito de utilización ilegítima de vehículo de motor ajeno. En el sumario núm. 24-1987, procedente del Juzgado Central de Instrucción núm. 4, a la pena de siete años de prisión mayor por un delito de estragos. En el sumario núm. 40-1987, procedente del Juzgado Central de Instrucción núm. 5, a las penas de siete años de prisión mayor por un delito de pertenencia a banda armada, seis años y un día de prisión menor por un delito de depósito de armas de guerra, seis años y un día de prisión menor por un delito de tenencia de explosivos, seis años y un día de prisión menor por un delito de estragos y dos años de prisión menor por un delito de estragos en grado de frustración. Y, por último, en el sumario 16-1986, procedente del Juzgado Central de Instrucción núm. 5, a la pena de diecinueve años de reclusión menor como cómplice de un delito de asesinato.</w:t>
      </w:r>
    </w:p>
    <w:p w:rsidR="00D06117" w:rsidRDefault="00D06117" w:rsidP="00D06117">
      <w:pPr>
        <w:pStyle w:val="TextoNormal"/>
      </w:pPr>
    </w:p>
    <w:p w:rsidR="00D06117" w:rsidRDefault="00D06117" w:rsidP="00D06117">
      <w:pPr>
        <w:pStyle w:val="TextoNormal"/>
      </w:pPr>
      <w:r>
        <w:t xml:space="preserve">b) La Sección Segunda de la Sala de lo Penal de la Audiencia Nacional, mediante Auto de 29 de junio de 2001, dictado en la ejecutoria núm. 8-1989, acordó, de conformidad con los arts. 988 de la Ley de enjuiciamiento criminal y 70.2  del Código penal (CP), refundir las diversas condenas impuestas al recurrente y fijar en un máximo de treinta años el periodo de privación de libertad a cumplir. En virtud de ello, el centro penitenciario en que cumplía su pena el recurrente realizó un cómputo de liquidación de pena con fecha 9 de febrero de 2006, teniendo en cuenta las diversas redenciones, fijando el cumplimiento definitivo para el 30 de diciembre de 2006. El centro penitenciario mediante oficio de 31 de agosto de 2006 remitido a la Sección Segunda de la Sala de lo Penal de la Audiencia Nacional realizó dos diferentes propuestas de licenciamiento definitivo del recurrente, una aplicando la redención </w:t>
      </w:r>
      <w:r>
        <w:lastRenderedPageBreak/>
        <w:t>sobre los treinta años de condenas acumuladas y otra sobre el total de las condenas impuestas. El Ministerio Fiscal informó que, conforme la Sentencia de la Sala Segunda del Tribunal Supremo 197/2006, de 20 de febrero, las redenciones debían aplicarse en cada pena, por lo que el licenciamiento definitivo del recurrente debía demorarse hasta el 19 de diciembre de 2016.</w:t>
      </w:r>
    </w:p>
    <w:p w:rsidR="00D06117" w:rsidRDefault="00D06117" w:rsidP="00D06117">
      <w:pPr>
        <w:pStyle w:val="TextoNormal"/>
      </w:pPr>
    </w:p>
    <w:p w:rsidR="00D06117" w:rsidRDefault="00D06117" w:rsidP="00D06117">
      <w:pPr>
        <w:pStyle w:val="TextoNormal"/>
      </w:pPr>
      <w:r>
        <w:t>c) La Sección Segunda de la Sala de lo Penal de la Audiencia Nacional, mediante providencia de 5 de octubre de 2006, acordó el licenciamiento definitivo del recurrente para el día 19 de diciembre de 2016. Interpuesto recurso de súplica, en que se alegaba, entre otros aspectos, que el licenciamiento definitivo debía producirse el 30 de diciembre de 2006, habida cuenta de que las redenciones debían aplicarse sobre el límite máximo de cumplimiento de treinta años, fue desestimado por Auto de 20 de noviembre de 2006 con fundamento en que “a tenor de la sentencia de Tribunal Supremo núm. 197/2006, de fecha 28/02/06, en los supuestos de acumulación de condenas (fundamento de derecho cuarto), la redención como pretende el recurrente no puede aplicarse sobre el límite de 30 años de las condenas acumuladas, sino sobre todas y cada una de las condenas impuestas, empezando por la más grave, lo que hace, como señala el Ministerio Fiscal en su informe, que el licenciamiento debe producirse el 19/12/2016”.</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aduce en su demanda de amparo que se han vulnerado sus derechos fundamentales a la tutela judicial efectiva (art. 24.1 CE), a un proceso con todas las garantías (art. 24.2 CE), a la legalidad (art. 25.1 y 2 CE), a la libertad (art. 17 CE) y a la igualdad en la aplicación de la ley (art. 14 CE).</w:t>
      </w:r>
    </w:p>
    <w:p w:rsidR="00D06117" w:rsidRDefault="00D06117" w:rsidP="00D06117">
      <w:pPr>
        <w:pStyle w:val="TextoNormal"/>
      </w:pPr>
    </w:p>
    <w:p w:rsidR="00D06117" w:rsidRDefault="00D06117" w:rsidP="00D06117">
      <w:pPr>
        <w:pStyle w:val="TextoNormal"/>
      </w:pPr>
      <w:r>
        <w:t>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en la providencia de 5 de octubre de 2006, acordó una fecha de licenciamiento definitivo diferente a la propuesta por el centro penitenciario sin dar trámite de audiencia al recurrente, pese a que, como se reconoce posteriormente en el Auto de 20 de noviembre de 2006, se introdujo una perspectiva jurídica novedosa en cuanto al cómputo de las redenciones por trabajo derivada de la STS 197/2006, de 28 de febrero, que empeoraba la situación del reo y obligaba al cumplimiento íntegro de los treinta años, y respecto de la cual el recurrente no pudo defenderse ni someterla a contradicción. Entiende, además, que ello vulnera el principio acusatorio, porque el órgano judicial asume funciones acusatorias constitucionalmente vedadas. Por otra parte, sostiene el recurrente que la Audiencia Nacional, al dictar esta resolución sin oír a las partes y aplicar la doctrina del Tribunal Supremo, impide el derecho a una segunda instancia, pues el Tribunal Constitucional es el único órgano al que se ha podido dirigir el recurrente para reclamar el derecho a la defensa y a la tutela judicial efectiva.</w:t>
      </w:r>
    </w:p>
    <w:p w:rsidR="00D06117" w:rsidRDefault="00D06117" w:rsidP="00D06117">
      <w:pPr>
        <w:pStyle w:val="TextoNormal"/>
      </w:pPr>
    </w:p>
    <w:p w:rsidR="00D06117" w:rsidRDefault="00D06117" w:rsidP="00D06117">
      <w:pPr>
        <w:pStyle w:val="TextoNormal"/>
      </w:pPr>
      <w:r>
        <w:t xml:space="preserve">En un segundo motivo de amparo, se aduce la vulneración del principio de legalidad (art. 25.1 y 2 CE), en relación con la interpretación de los arts. 70.2 y 100 CP 1973, así como de los arts. 66 del reglamento de prisiones de 1956 y del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w:t>
      </w:r>
      <w:r>
        <w:lastRenderedPageBreak/>
        <w:t>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 xml:space="preserve">Como cuarto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w:t>
      </w:r>
      <w:r>
        <w:lastRenderedPageBreak/>
        <w:t>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quinto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w:t>
      </w:r>
    </w:p>
    <w:p w:rsidR="00D06117" w:rsidRDefault="00D06117" w:rsidP="00D06117">
      <w:pPr>
        <w:pStyle w:val="TextoNormal"/>
      </w:pPr>
    </w:p>
    <w:p w:rsidR="00D06117" w:rsidRDefault="00D06117" w:rsidP="00D06117">
      <w:pPr>
        <w:pStyle w:val="TextoNormal"/>
      </w:pPr>
      <w:r>
        <w:t xml:space="preserve">Finalmente, se invoca el art. 25.2 CE, en relación con las Reglas mínimas para tratamiento de los reclusos elaboradas por Naciones Unidas y el art. 10.3 PIDCP. Se destaca </w:t>
      </w:r>
      <w:r>
        <w:lastRenderedPageBreak/>
        <w:t>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La Sala Primera de este Tribunal, por providencia de 15 de noviembre de 2010,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206/2010, de 30 de diciembre, acordando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5</w:t>
      </w:r>
      <w:r>
        <w:t>. La Secretaría de Justicia de la Sala Primera, por diligencia de ordenación de 18 de mayo de 2011, tuvo por recibidos los testimonios interesados, y acordó, conforme al art. 52.1 LOTC, dar vista de las actuaciones, por un plazo común de veinte días, al Ministerio Fiscal y al recurrente para que pudieran presentar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6</w:t>
      </w:r>
      <w:r>
        <w:t>. El Ministerio Fiscal, por escrito registrado el 30 de junio de 2011, interesó la estimación del amparo solicitado y la anulación de las resoluciones recurridas, por entender que éstas han vulnerado los derechos fundamentales de ejecución de las resoluciones judiciales en sus propios términos (art. 24.1 CE), legalidad penal (art. 25.1 CE), y de libertad personal (art. 17 CE).</w:t>
      </w:r>
    </w:p>
    <w:p w:rsidR="00D06117" w:rsidRDefault="00D06117" w:rsidP="00D06117">
      <w:pPr>
        <w:pStyle w:val="TextoNormal"/>
      </w:pPr>
    </w:p>
    <w:p w:rsidR="00D06117" w:rsidRDefault="00D06117" w:rsidP="00D06117">
      <w:pPr>
        <w:pStyle w:val="TextoNormal"/>
      </w:pPr>
      <w:r>
        <w:t>El Ministerio Fiscal considera que procede ordenar de modo distinto al propuesto en la demanda los motivos de amparo. Es por ello que comienza por el examen del séptimo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t xml:space="preserve">A continuación, el Ministerio Fiscal analiza —para rechazarlo— el primero de los motivos de amparo recogidos en la demanda, en el que se denuncia la falta de audiencia de la defensa con carácter previo a la aplicación de la nueva doctrina establecida por la Sala Segunda del Tribunal Supremo en su Sentencia 197/2006. El Ministerio Fiscal sostiene la carencia manifiesta de fundamento de este motivo, desde el momento en que la representación </w:t>
      </w:r>
      <w:r>
        <w:lastRenderedPageBreak/>
        <w:t>del actor ha hecho uso efectivo de este derecho a ser oído cuando interpuso recurso de súplica contra la providencia de 5 de octubre de 2006 formulando las alegaciones que tuvo por conveniente.</w:t>
      </w:r>
    </w:p>
    <w:p w:rsidR="00D06117" w:rsidRDefault="00D06117" w:rsidP="00D06117">
      <w:pPr>
        <w:pStyle w:val="TextoNormal"/>
      </w:pPr>
    </w:p>
    <w:p w:rsidR="00D06117" w:rsidRDefault="00D06117" w:rsidP="00D06117">
      <w:pPr>
        <w:pStyle w:val="TextoNormal"/>
      </w:pPr>
      <w:r>
        <w:t>Por lo que respecta al cuarto de los motivos de amparo, en el que se alega vulneración del art. 25.1 CE por aplicación retroactiva de normas desfavorables, sostiene el Ministerio Fiscal que —frente a lo afirmado en la demanda— no nos encontramos ante un supuesto de aplicación retroactiva del art. 78 CP 1995, sino ante un cambio de criterio jurisprudencial en la interpretación del art. 70.2 CP vigente al tiempo de comisión de los hechos, siendo este último precepto el que se ha aplicado en todo momento.</w:t>
      </w:r>
    </w:p>
    <w:p w:rsidR="00D06117" w:rsidRDefault="00D06117" w:rsidP="00D06117">
      <w:pPr>
        <w:pStyle w:val="TextoNormal"/>
      </w:pPr>
    </w:p>
    <w:p w:rsidR="00D06117" w:rsidRDefault="00D06117" w:rsidP="00D06117">
      <w:pPr>
        <w:pStyle w:val="TextoNormal"/>
      </w:pPr>
      <w:r>
        <w:t>Finalmente, el Ministerio Fiscal rechaza también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el cambio de criterio se fundamenta razonablemente en la Sentencia de la Sala Segunda del Tribunal Supremo y tiene vocación de generalidad y permanencia, por lo que satisface las exigencias de la jurisprudencia constitucional.</w:t>
      </w:r>
    </w:p>
    <w:p w:rsidR="00D06117" w:rsidRDefault="00D06117" w:rsidP="00D06117">
      <w:pPr>
        <w:pStyle w:val="TextoNormal"/>
      </w:pPr>
    </w:p>
    <w:p w:rsidR="00D06117" w:rsidRDefault="00D06117" w:rsidP="00D06117">
      <w:pPr>
        <w:pStyle w:val="TextoNormal"/>
      </w:pPr>
      <w:r>
        <w:t>A continuación, el Ministerio Fiscal considera conjuntamente los motivos enunciados en la demanda como motivos segundo (vulneración del principio de igualdad ex art. 25.1 y 2 en relación con el art. 9.1 CE), tercero (vulneración del derecho a la tutela judicial efectiva y a no padecer indefensión en relación con el derecho a la libertad personal, ex art. 17 CE) y sexto (vulneración del art. 17.1 CE en cuanto a la libertad personal del demandante de amparo). Para el Ministerio Fiscal el debate que sugiere la demanda de amparo debe partir de la existencia de un cambio de criterio, ya que, en primer lugar, el órgano judicial había dictado en ejecución de Sentencia el Auto de 29 de junio de 2001 acordando la acumulación de las condenas recaídas en diversos procesos, fijándose un máximo de cumplimiento de treinta años, en cuya virtud las liquidaciones de condena practicadas concluían una fecha de licenciamiento definitivo para el 30 de diciembre de 2006. Y, en segundo lugar, las resoluciones judiciales recurridas (providencia de 5 de octubre de 2006, que fija una nueva fecha de licenciamiento definitivo para el 19 de diciembre de 2016, y Auto de 20 de noviembre de 2006, que desestima el recurso de súplica interpuesto contra la anterior providencia) modificaron el inicial criterio como consecuencia de la concurrencia de esa nueva interpretación sobre refundición de penas efectuada en la STS de 28 de febrero de 2006.</w:t>
      </w:r>
    </w:p>
    <w:p w:rsidR="00D06117" w:rsidRDefault="00D06117" w:rsidP="00D06117">
      <w:pPr>
        <w:pStyle w:val="TextoNormal"/>
      </w:pPr>
    </w:p>
    <w:p w:rsidR="00D06117" w:rsidRDefault="00D06117" w:rsidP="00D06117">
      <w:pPr>
        <w:pStyle w:val="TextoNormal"/>
      </w:pPr>
      <w:r>
        <w:t>A esos efectos, el Ministerio Fiscal destaca que el criterio de legalidad de ejecución penal forma parte del contenido del principio de legalidad, de tal modo que resulta esencial determinar el tiempo de la resolución judicial que fijó la liquidación de condena y los criterios empleados para ello (Auto de 29 de junio de 2001), sin que a priori éstos puedan variarse en virtud de una resolución judicial posterior que interpreta las normas atinentes de otra manera (STS de 28 de febrero de 2006), pues la modificación de la primera resolución judicial, que se basa en una interpretación concreta de la normativa en juego, en atención a una nueva interpretación de dicha normativa comporta la vulneración del derecho a la intangibilidad de las resoluciones judiciales ex art. 24.1 CE. El Ministerio Fiscal reconoce que este derecho no ha sido expresamente alegado por la parte, a pesar de lo cual su denuncia se desprende cuando se argumenta el derecho a la tutela judicial efectiva.</w:t>
      </w:r>
    </w:p>
    <w:p w:rsidR="00D06117" w:rsidRDefault="00D06117" w:rsidP="00D06117">
      <w:pPr>
        <w:pStyle w:val="TextoNormal"/>
      </w:pPr>
    </w:p>
    <w:p w:rsidR="00D06117" w:rsidRDefault="00D06117" w:rsidP="00D06117">
      <w:pPr>
        <w:pStyle w:val="TextoNormal"/>
      </w:pPr>
      <w:r>
        <w:lastRenderedPageBreak/>
        <w:t>Por lo demás, también señala que el derecho fundamental a la intangibilidad de las resoluciones judiciales tiene engarce con el principio de legalidad (art. 25.1 CE) en relación con la prohibición de retroactividad de las normas penales perjudiciales para el reo (art. 9.3 CE), ya que las garantías de legalidad y seguridad jurídica que exigen ambos preceptos constitucionales deben extenderse no sólo al enjuiciamiento de los hechos como tipicidad cierta, taxativa y previsible, sino también a la ejecución de las penas, de modo que la irretroactividad de las normas y su interpretación desfavorable al reo debe integrarse en el complejo de legalidad del art. 25.1 CE (con cita de jurisprudencia del Tribunal Europeo de Derechos Humanos). A partir de ello, el Ministerio Fiscal argumenta que en el asunto objeto del recurso de amparo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desfavorable al reo, aportando una revisión interpretativa desfavorable que supone de facto la creación ex novo de un nuevo marco paranormativo que ha causado una extensión de la fecha de licenciamiento del interno, y una revisión de la aplicación de los beneficios de la redención de penas”.</w:t>
      </w:r>
    </w:p>
    <w:p w:rsidR="00D06117" w:rsidRDefault="00D06117" w:rsidP="00D06117">
      <w:pPr>
        <w:pStyle w:val="TextoNormal"/>
      </w:pPr>
    </w:p>
    <w:p w:rsidR="00D06117" w:rsidRDefault="00D06117" w:rsidP="00D06117">
      <w:pPr>
        <w:pStyle w:val="TextoNormal"/>
      </w:pPr>
      <w:r>
        <w:t>Finalmente, destaca el Ministerio Fiscal que la vulneración del derecho a la libertad personal (art. 17.1 CE) resulta ser consecuencia inexcusable de las dos vulneraciones anteriores —derecho a la intangibilidad de las resoluciones judiciales (art. 24.1 CE) y legalidad penal en relación con la irretroactividad de lo desfavorable para el reo (art. 25.1 CE en relación con el art. 9.3 CE)—, ya que, a resultas de la nueva y desfavorable interpretación de la normativa en juego que las resoluciones judiciales han efectuado en contra del reo, éste obtiene el licenciamiento definitivo en fecha muy posterior a la prevista.</w:t>
      </w:r>
    </w:p>
    <w:p w:rsidR="00D06117" w:rsidRDefault="00D06117" w:rsidP="00D06117">
      <w:pPr>
        <w:pStyle w:val="TextoNormal"/>
      </w:pPr>
    </w:p>
    <w:p w:rsidR="00D06117" w:rsidRDefault="00D06117" w:rsidP="00D06117">
      <w:pPr>
        <w:pStyle w:val="TextoNormal"/>
      </w:pPr>
      <w:r w:rsidRPr="00D06117">
        <w:rPr>
          <w:rStyle w:val="NumeroAFNegritaCaracter"/>
        </w:rPr>
        <w:t>7</w:t>
      </w:r>
      <w:r>
        <w:t>. El recurrente, por escrito registrado el 20 de junio de 2011, formuló sus alegaciones en las que sustancialmente reproduce los argumentos ya expuestos en la demanda. Añade, en relación con el quinto motivo de amparo, la referencia a dos casos de condenados en el mismo procedimiento a los que no les fue aplicada la doctrina establecida en la STS 197/2006.</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1 de febrero de 2012, el Pleno acuerda recabar para sí, a propuesta de la Sala Primera,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objeto de este recurso es determinar si la decisión judicial de que al recurrente, en aplicación de la Sentencia de la Sala Segunda del Tribunal Supremo núm. 197/2006, de 28 de febrero, se le computen las redenciones sobre todas y cada una de las penas impuestas y no sobre el máximo de cumplimiento de treinta años acordado en el Auto de acumulación de condenas, vulnera los derechos fundamentales a la tutela judicial efectiva (art. 24.1 CE), </w:t>
      </w:r>
      <w:r>
        <w:lastRenderedPageBreak/>
        <w:t>a un proceso con todas las garantías (art. 24.2 CE), a la legalidad (art. 25.1 y 2 CE), a la libertad (art. 17.1 CE) y a la igualdad en la aplicación de la ley (art. 14 CE).</w:t>
      </w:r>
    </w:p>
    <w:p w:rsidR="00D06117" w:rsidRDefault="00D06117" w:rsidP="00D06117">
      <w:pPr>
        <w:pStyle w:val="TextoNormal"/>
      </w:pPr>
    </w:p>
    <w:p w:rsidR="00D06117" w:rsidRDefault="00D06117" w:rsidP="00D06117">
      <w:pPr>
        <w:pStyle w:val="TextoNormal"/>
      </w:pPr>
      <w:r w:rsidRPr="00D06117">
        <w:rPr>
          <w:rStyle w:val="NumeroAFNegritaCaracter"/>
        </w:rPr>
        <w:t>2</w:t>
      </w:r>
      <w:r>
        <w:t>. En la primera de las quejas, bajo la invocación de los derechos a la tutela judicial efectiva (art. 24.1 CE) y a un proceso con todas las garantías (art. 24.2 CE), se denuncia en primer lugar —y al margen de una vulneración del principio acusatorio carente del menor desarrollo argumental para que pueda ser tomada en consideración por este Tribunal— la indefensión generada por la Audiencia Nacional en su providencia de 5 de octubre de 2006, al fijar una fecha en el cómputo para la liquidación definitiva de la condena, conforme a lo solicitado por el Ministerio Fiscal, sin dar traslado previamente a la defensa para que se pronunciara al respecto, pese a que la propuesta del centro penitenciario ofrecía una fecha de licenciamiento definitivo alternativa a la que fue finalmente aprobada, cuestión esta que afectaba decisivamente a su libertad personal.</w:t>
      </w:r>
    </w:p>
    <w:p w:rsidR="00D06117" w:rsidRDefault="00D06117" w:rsidP="00D06117">
      <w:pPr>
        <w:pStyle w:val="TextoNormal"/>
      </w:pPr>
    </w:p>
    <w:p w:rsidR="00D06117" w:rsidRDefault="00D06117" w:rsidP="00D06117">
      <w:pPr>
        <w:pStyle w:val="TextoNormal"/>
      </w:pPr>
      <w:r>
        <w:t>Como señala el Ministerio Fiscal, y aunque hubiera sido deseable que se hubiera dado trámite de audiencia, su ausencia no determina la existencia de las vulneraciones alegadas.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el recurrente pudo defenderse y someter a contradicción la aplicación de la nueva doctrina sobre el cómputo de la redención de pena en el recurso de súplica que interpuso, como de hecho hizo.</w:t>
      </w:r>
    </w:p>
    <w:p w:rsidR="00D06117" w:rsidRDefault="00D06117" w:rsidP="00D06117">
      <w:pPr>
        <w:pStyle w:val="TextoNormal"/>
      </w:pPr>
    </w:p>
    <w:p w:rsidR="00D06117" w:rsidRDefault="00D06117" w:rsidP="00D06117">
      <w:pPr>
        <w:pStyle w:val="TextoNormal"/>
      </w:pPr>
      <w:r>
        <w:t>A este hecho se anuda, dentro de este primer motivo de amparo, una nueva vulneración del derecho defensa, así como del derecho al recurso y a una segunda instancia penal. Esta segunda vertiente de la queja tampoco puede ser asumida, puesto que el recurrente —en contra de lo que sostiene— sí tuvo acceso al recurso legalmente previsto (el recurso de súplica), que no fue inadmitido sino resuelto y desestimado por Auto de 20 de noviembre de 2006. Por otro lado,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civiles y políticos (PIDCP)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Despejado este grupo de quejas articuladas como primer motivo de amparo, en los restantes motivos se denuncia desde diversas perspectivas constitucionales la cuestión de </w:t>
      </w:r>
      <w:r>
        <w:lastRenderedPageBreak/>
        <w:t>fondo, esto es, la aplicación al presente caso de un nuevo criterio jurisprudencial en la interpretación de los arts. 70.2 y 100 del Código penal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había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El recurrente denuncia, como quedó reflejado en los antecedentes, la vulneración del principio de igualdad en la aplicación de la ley (art.14);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de penas por trabajo modifica sus expectativas de alcanzar la libertad en un plazo menor al de treinta años de cumplimiento efectivo, ya que con el anterior criterio de cómputo las redenciones se descontarían de ese límite de cumplimiento.</w:t>
      </w:r>
    </w:p>
    <w:p w:rsidR="00D06117" w:rsidRDefault="00D06117" w:rsidP="00D06117">
      <w:pPr>
        <w:pStyle w:val="TextoNormal"/>
      </w:pPr>
    </w:p>
    <w:p w:rsidR="00D06117" w:rsidRDefault="00D06117" w:rsidP="00D06117">
      <w:pPr>
        <w:pStyle w:val="TextoNormal"/>
      </w:pPr>
      <w:r>
        <w:t>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sino que nuestro examen se ha de limitar a la consideración de la respuesta judicial que para el caso concreto se contiene en las resoluciones recurridas, en las que acuerda la acumulación de la condenas del recurrente, fijando el límite máximo de cumplimiento y la aplicación como criterio de cómputo de las redenciones el establecido con carácter previo en la STS 197/2006.</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w:t>
      </w:r>
      <w:r>
        <w:lastRenderedPageBreak/>
        <w:t>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 resolución dictada por la Audiencia Nacional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Por tanto, en el presente caso no puede apreciarse ni voluntarismo selectivo, ni apartamiento inmotivado del criterio aplicativo consolidado y mantenido </w:t>
      </w:r>
      <w:r>
        <w:lastRenderedPageBreak/>
        <w:t>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w:t>
      </w:r>
      <w:r>
        <w:lastRenderedPageBreak/>
        <w:t>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recurridas vulneró su derecho a la tutela judicial efectiva (art. 24.1 CE) en relación con su derecho a la libertad (art. 17.1 CE), lo que —según se argumenta en los motivos de amparo tercero y sexto— habría sucedido en el presente caso, en la medida en que la aplicación del nuevo criterio jurisprudencial de cómputo de la redención de penas por trabajo implicó la defraudación de una legítima expectativa de alcanzar la libertad en un momento anterior al cumplimiento efectivo del máximo de treinta años establecido en el art. 70.2 CP 1973 consolidada en resoluciones judiciales firmes.</w:t>
      </w:r>
    </w:p>
    <w:p w:rsidR="00D06117" w:rsidRDefault="00D06117" w:rsidP="00D06117">
      <w:pPr>
        <w:pStyle w:val="TextoNormal"/>
      </w:pPr>
    </w:p>
    <w:p w:rsidR="00D06117" w:rsidRDefault="00D06117" w:rsidP="00D06117">
      <w:pPr>
        <w:pStyle w:val="TextoNormal"/>
      </w:pPr>
      <w:r>
        <w:t>6. Dicho análisis nos obliga a tomar en consideración una serie de datos del caso concreto, que se desprenden del examen de las actuaciones recibidas, y de los que se infiere que no existe en el presente caso ninguna resolución judicial firme de la que pueda derivarse el efecto pretendido por el recurrente.</w:t>
      </w:r>
    </w:p>
    <w:p w:rsidR="00D06117" w:rsidRDefault="00D06117" w:rsidP="00D06117">
      <w:pPr>
        <w:pStyle w:val="TextoNormal"/>
      </w:pPr>
    </w:p>
    <w:p w:rsidR="00D06117" w:rsidRDefault="00D06117" w:rsidP="00D06117">
      <w:pPr>
        <w:pStyle w:val="TextoNormal"/>
      </w:pPr>
      <w:r>
        <w:t>En efecto, como con mayor amplitud se ha hecho constar en los antecedentes, la Sección Segunda de la Sala de lo Penal de la Audiencia Nacional, mediante Auto de 29 de junio de 2001, acordó, de conformidad con los arts. 988 de la Ley de enjuiciamiento criminal y 70.2 CP, refundir las diversas condenas impuestas al recurrente en cuatro procedimientos diferentes y fijar en un máximo de treinta años el periodo de privación de libertad a cumplir. Igualmente, se constata que el centro penitenciario en que cumplía su pena el recurrente realizaba los diversos cómputos de liquidación de pena sobre el máximo de cumplimiento, pero no hay ninguna resolución judicial relevante del Tribunal sentenciador en la ejecutoria hasta que, mediante la providencia de 5 de octubre de 2006 que es objeto de esta pretensión de amparo, el Tribunal asumió la propuesta de cumplimiento definitivo de condena del demandante realizada por el centro penitenciario en el que se encontraba en ese momento interno, aplicando el cómputo sobre cada una de las penas impuesta y no sobre el máximo de cumplimiento.</w:t>
      </w:r>
    </w:p>
    <w:p w:rsidR="00D06117" w:rsidRDefault="00D06117" w:rsidP="00D06117">
      <w:pPr>
        <w:pStyle w:val="TextoNormal"/>
      </w:pPr>
    </w:p>
    <w:p w:rsidR="00D06117" w:rsidRDefault="00D06117" w:rsidP="00D06117">
      <w:pPr>
        <w:pStyle w:val="TextoNormal"/>
      </w:pPr>
      <w:r>
        <w:t>Por tanto, no existen resoluciones judiciales de las que pueda derivarse el efecto de intangibilidad respecto al criterio de cómputo de las redenciones pretendido. Así, en cuanto a las resoluciones del Juzgado de Vigilancia Penitenciaria en que se reconocen los días de redención de pena por el trabajo u otras actividades realizadas,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y reconoce un determinado número de días redimidos que, posteriormente, el Tribunal sentenciador ha de computar en la liquidación de condena cuando la misma se produzca.</w:t>
      </w:r>
    </w:p>
    <w:p w:rsidR="00D06117" w:rsidRDefault="00D06117" w:rsidP="00D06117">
      <w:pPr>
        <w:pStyle w:val="TextoNormal"/>
      </w:pPr>
    </w:p>
    <w:p w:rsidR="00D06117" w:rsidRDefault="00D06117" w:rsidP="00D06117">
      <w:pPr>
        <w:pStyle w:val="TextoNormal"/>
      </w:pPr>
      <w:r>
        <w:t xml:space="preserve">Tampoco cabe atribuir tal efecto al Auto de 29 de junio de 2001. Este Auto se limita a acumular las condenas impuestas al recurrente, fijando como máximo de cumplimiento treinta años de privación de libertad, en aplicación de la regla segunda del art. 70 CP 1973. </w:t>
      </w:r>
      <w:r>
        <w:lastRenderedPageBreak/>
        <w:t>No existe en el mismo Auto referencia alguna a la redención de penas por el trabajo o al criterio de cómputo de las mismas, ni puede concluirse que dicho criterio sea determinante para la decisión que se adopta. Tan sólo el límite máximo de cumplimiento devenía inmodificable y no podía ser alterado. Ahora bien, las resoluciones impugnadas no afectan al límite de cumplimiento establecido, que no aparece comprometido ni modificado por la fecha de licenciamiento definitivo que se acuerda para el demandante.</w:t>
      </w:r>
    </w:p>
    <w:p w:rsidR="00D06117" w:rsidRDefault="00D06117" w:rsidP="00D06117">
      <w:pPr>
        <w:pStyle w:val="TextoNormal"/>
      </w:pPr>
    </w:p>
    <w:p w:rsidR="00D06117" w:rsidRDefault="00D06117" w:rsidP="00D06117">
      <w:pPr>
        <w:pStyle w:val="TextoNormal"/>
      </w:pPr>
      <w:r>
        <w:t>De lo expuesto cabe concluir que, en el presente caso, no cabe apreciar la denunciada vulneración del derecho a la tutela judicial efectiva en su vertiente de intangibilidad de las resoluciones judiciales firmes (art. 24.1 CE) ni, tampoco por esta causa, la vulneración del derecho a la libertad personal (art. 17.1 CE). En efecto, ni puede afirmarse la existencia de una resolución judicial firme e intangible anterior de la que se derive la aplicación al caso de un criterio de cómputo de las redenciones de pena por trabajo distinto del aplicado por las resoluciones recurridas, ni que el recurrente tuviera por ello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Pedro María Rezabal Zurutuza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p>
    <w:p w:rsidR="00D06117" w:rsidRDefault="00D06117" w:rsidP="00D06117">
      <w:pPr>
        <w:pStyle w:val="TextoNormal"/>
      </w:pPr>
      <w:r>
        <w:t>Dada en Madrid a veintinueve de marzo de dos mil doce.</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Pablo Pérez Tremps a la Sentencia dictada en el recurso de amparo avocado núm. 11643-2006.</w:t>
      </w:r>
    </w:p>
    <w:p w:rsidR="00D06117" w:rsidRDefault="00D06117" w:rsidP="00D06117">
      <w:pPr>
        <w:pStyle w:val="TextoNormalNegritaCentrado"/>
        <w:keepNext/>
      </w:pPr>
    </w:p>
    <w:p w:rsidR="00D06117" w:rsidRDefault="00D06117" w:rsidP="00D06117">
      <w:pPr>
        <w:pStyle w:val="TextoNormal"/>
      </w:pPr>
      <w:r>
        <w:t>Con el máximo respeto a la posición mayoritaria de mis compañeros del Pleno debo manifestar mi discrepancia con el fallo alcanzado en este asunto, manifestación que dejo patente en tanto que soy Ponente de la presente Sentencia y, en dicha condición, recojo en ella una opinión mayoritaria contraria a mi criterio. En cuanto a las razones sustantivas de mi discrepancia basta con remitirme a la opinión concurrente dictada en el recurso de amparo avocado núm. 4893-2006, donde ya expuse el razonamiento por el que concluyo que, en asuntos como el presente, ha existido una vulneración del art. 17.1 CE que debería haber conducido al otorgamiento del amparo solicitado.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formula la Magistrada doña Adela Asua Batarrita a la Sentencia dictada en el recurso de amparo núm. 11643-2006.</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r>
        <w:tab/>
      </w: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4" w:name="SENTENCIA_2012_51"/>
      <w:r>
        <w:lastRenderedPageBreak/>
        <w:t>SENTENCIA 51/2012, de 29 de marzo de 2012</w:t>
      </w:r>
    </w:p>
    <w:bookmarkEnd w:id="5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ECLI:ES:TC:2012:51</w:t>
      </w:r>
    </w:p>
    <w:p w:rsidR="00D06117" w:rsidRDefault="00D06117" w:rsidP="00D06117">
      <w:pPr>
        <w:pStyle w:val="SntesisDescriptiva"/>
      </w:pPr>
    </w:p>
    <w:p w:rsidR="00D06117" w:rsidRDefault="00D06117" w:rsidP="00D06117">
      <w:pPr>
        <w:pStyle w:val="SntesisDescriptiva"/>
      </w:pPr>
      <w:r>
        <w:t>Recurso de amparo 1403-2007. Promovido por don José Cándido Zubikarai Badiola con respecto a las resoluciones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7].</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5, 6].</w:t>
      </w:r>
    </w:p>
    <w:p w:rsidR="00D06117" w:rsidRDefault="00D06117" w:rsidP="00D06117">
      <w:pPr>
        <w:pStyle w:val="Extracto"/>
      </w:pPr>
    </w:p>
    <w:p w:rsidR="00D06117" w:rsidRDefault="00D06117" w:rsidP="00D06117">
      <w:pPr>
        <w:pStyle w:val="Extracto"/>
      </w:pPr>
      <w:r>
        <w:t>4.</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8].</w:t>
      </w:r>
    </w:p>
    <w:p w:rsidR="00D06117" w:rsidRDefault="00D06117" w:rsidP="00D06117">
      <w:pPr>
        <w:pStyle w:val="Extracto"/>
      </w:pPr>
    </w:p>
    <w:p w:rsidR="00D06117" w:rsidRDefault="00D06117" w:rsidP="00D06117">
      <w:pPr>
        <w:pStyle w:val="Extracto"/>
      </w:pPr>
      <w:r>
        <w:t>5.</w:t>
      </w:r>
      <w:r>
        <w:tab/>
        <w:t xml:space="preserve">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w:t>
      </w:r>
      <w:r>
        <w:lastRenderedPageBreak/>
        <w:t>y su evolución muestren que se hallan en condiciones de hacer vida honrada en libertad [FJ 8].</w:t>
      </w:r>
    </w:p>
    <w:p w:rsidR="00D06117" w:rsidRDefault="00D06117" w:rsidP="00D06117">
      <w:pPr>
        <w:pStyle w:val="Extracto"/>
      </w:pPr>
    </w:p>
    <w:p w:rsidR="00D06117" w:rsidRDefault="00D06117" w:rsidP="00D06117">
      <w:pPr>
        <w:pStyle w:val="Extracto"/>
      </w:pPr>
      <w:r>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7.</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5].</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5].</w:t>
      </w:r>
    </w:p>
    <w:p w:rsidR="00D06117" w:rsidRDefault="00D06117" w:rsidP="00D06117">
      <w:pPr>
        <w:pStyle w:val="Extracto"/>
      </w:pPr>
    </w:p>
    <w:p w:rsidR="00D06117" w:rsidRDefault="00D06117" w:rsidP="00D06117">
      <w:pPr>
        <w:pStyle w:val="Extracto"/>
      </w:pPr>
      <w:r>
        <w:t>13.</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3].</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1403-2007, promovido por don José Cándido Zubikarai Badiola, representado por el Procurador de los Tribunales don José Javier Cuevas Rivas y asistido por el Abogado don Iñaki Goioaga Llano, contra las providencias de 1 de septiembre y 16 de noviembre de 2006 y el Auto de 11 de enero de 2007 dictados por la Sección Segunda de la Sala de lo Penal de la Audiencia Nacional en la ejecutoria núm. 20-1992. Ha intervenido el Ministerio Fiscal.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16 de febrero de 2007, el Procurador de los Tribunales don José Javier Cuevas Rivas, en nombre y representación de don José Cándido Zubikarai Badiola,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sucintamente expuestos, los siguientes:</w:t>
      </w:r>
    </w:p>
    <w:p w:rsidR="00D06117" w:rsidRDefault="00D06117" w:rsidP="00D06117">
      <w:pPr>
        <w:pStyle w:val="TextoNormal"/>
      </w:pPr>
    </w:p>
    <w:p w:rsidR="00D06117" w:rsidRDefault="00D06117" w:rsidP="00D06117">
      <w:pPr>
        <w:pStyle w:val="TextoNormal"/>
      </w:pPr>
      <w:r>
        <w:t>a) El señor Zubikarai Badiola fue condenado por la Sala de lo Penal de la Audiencia Nacional, Sección Segunda, mediante Sentencia de 20 de octubre de 1990 (rollo de sala 26-1989, sumario 17-1989 del Juzgado Central de Instrucción núm. 2), a la pena de veintisiete años de reclusión mayor e inhabilitación absoluta durante igual tiempo por un delito de asesinato con la agravante de alevosía. Recurrida esta Sentencia en casación, fue confirmada por Sentencia de la Sala de lo Penal del Tribunal Supremo de 3 de febrero de 1992. Permanecía en prisión preventiva por esta causa desde el 20 de abril de 1989.</w:t>
      </w:r>
    </w:p>
    <w:p w:rsidR="00D06117" w:rsidRDefault="00D06117" w:rsidP="00D06117">
      <w:pPr>
        <w:pStyle w:val="TextoNormal"/>
      </w:pPr>
    </w:p>
    <w:p w:rsidR="00D06117" w:rsidRDefault="00D06117" w:rsidP="00D06117">
      <w:pPr>
        <w:pStyle w:val="TextoNormal"/>
      </w:pPr>
      <w:r>
        <w:t>El señor Zubikarai Badiola fue condenado también por Sentencia de la misma Sala y Sección de la Audiencia Nacional de 24 de febrero de 1992 (procedimiento dimanante de las diligencias previas 88-1989 del Juzgado Central de Instrucción núm. 5) a la penas de ocho años de prisión mayor y multa de 200.000 pesetas, por un delito de colaboración con banda armada.</w:t>
      </w:r>
    </w:p>
    <w:p w:rsidR="00D06117" w:rsidRDefault="00D06117" w:rsidP="00D06117">
      <w:pPr>
        <w:pStyle w:val="TextoNormal"/>
      </w:pPr>
    </w:p>
    <w:p w:rsidR="00D06117" w:rsidRDefault="00D06117" w:rsidP="00D06117">
      <w:pPr>
        <w:pStyle w:val="TextoNormal"/>
      </w:pPr>
      <w:r>
        <w:t>b) Por Auto de la misma Sala y Sección de 20 de octubre de 1993 se procedió, de conformidad con lo dispuesto en los arts. 17.5 y 988 de la Ley de enjuiciamiento criminal y el art. 70, regla 2, del Código penal de 1973 (CP 1973), a la refundición de las condenas impuestas al señor Zubikarai Badiola y se fijó el límite máximo de la condena total a cumplir en la duración de 30 años de privación de libertad. Dicho Auto alcanzó firmeza.</w:t>
      </w:r>
    </w:p>
    <w:p w:rsidR="00D06117" w:rsidRDefault="00D06117" w:rsidP="00D06117">
      <w:pPr>
        <w:pStyle w:val="TextoNormal"/>
      </w:pPr>
    </w:p>
    <w:p w:rsidR="00D06117" w:rsidRDefault="00D06117" w:rsidP="00D06117">
      <w:pPr>
        <w:pStyle w:val="TextoNormal"/>
      </w:pPr>
      <w:r>
        <w:t>De acuerdo con esta refundición de condenas, el Secretario Judicial de la Sala practicó el 8 de noviembre de 1993 liquidación de las condenas impuestas al señor Zubikarai Badiola, fijando como fecha de cumplimiento definitivo el día 12 de abril de 2019, una vez descontado del total el tiempo que permaneció en prisión preventiva por dichas causas acumuladas.</w:t>
      </w:r>
    </w:p>
    <w:p w:rsidR="00D06117" w:rsidRDefault="00D06117" w:rsidP="00D06117">
      <w:pPr>
        <w:pStyle w:val="TextoNormal"/>
      </w:pPr>
    </w:p>
    <w:p w:rsidR="00D06117" w:rsidRDefault="00D06117" w:rsidP="00D06117">
      <w:pPr>
        <w:pStyle w:val="TextoNormal"/>
      </w:pPr>
      <w:r>
        <w:t>c) Por Auto de la misma Sala y Sección de 18 de junio de 1996, asimismo firme, se acordó, conforme a las disposiciones transitorias del nuevo Código penal de 1995 (CP 1995), que no procedía revisar las penas impuestas al señor Zubikarai Badiola.</w:t>
      </w:r>
    </w:p>
    <w:p w:rsidR="00D06117" w:rsidRDefault="00D06117" w:rsidP="00D06117">
      <w:pPr>
        <w:pStyle w:val="TextoNormal"/>
      </w:pPr>
    </w:p>
    <w:p w:rsidR="00D06117" w:rsidRDefault="00D06117" w:rsidP="00D06117">
      <w:pPr>
        <w:pStyle w:val="TextoNormal"/>
      </w:pPr>
      <w:r>
        <w:t xml:space="preserve">d) Mediante providencia de 1 de septiembre de 2006, la Sección Segunda de la Sala de lo Penal de la Audiencia Nacional aprobó la propuesta de cumplimiento definitivo de condena del señor Zubikarai Badiola realizada por el centro penitenciario de Alicante II, en el que se encontraba en ese momento interno, fijando como nueva fecha de cumplimiento y excarcelación el 25 de octubre de 2011, en aplicación del criterio jurisprudencial de cómputo de la redención de penas por el trabajo en penas acumuladas establecido por la Sentencia de la Sala de lo Penal del Tribunal Supremo núm. 197/2006, de 28 de febrero, sin </w:t>
      </w:r>
      <w:r>
        <w:lastRenderedPageBreak/>
        <w:t>perjuicio de las redenciones que le pudieran ser aplicadas en su día, rechazando, al mismo tiempo, la propuesta alternativa del centro penitenciario que fijaba como fecha de licenciamiento definitivo el día 26 de octubre de 2006, resultado de aplicar el criterio de cómputo anterior a dicha Sentencia.</w:t>
      </w:r>
    </w:p>
    <w:p w:rsidR="00D06117" w:rsidRDefault="00D06117" w:rsidP="00D06117">
      <w:pPr>
        <w:pStyle w:val="TextoNormal"/>
      </w:pPr>
    </w:p>
    <w:p w:rsidR="00D06117" w:rsidRDefault="00D06117" w:rsidP="00D06117">
      <w:pPr>
        <w:pStyle w:val="TextoNormal"/>
      </w:pPr>
      <w:r>
        <w:t>e) Mediante escrito presentado el 25 de octubre de 2006 la representación procesal del señor Zubikarai Badiola solicitó a la Sección Segunda de la Sala de lo Penal de la Audiencia Nacional su puesta en libertad, alegando que el cumplimiento definitivo de su condena se debía producir el 26 de octubre de 2006 y rechazando la aplicación del criterio establecido por la Sentencia de la Sala de lo Penal del Tribunal Supremo núm. 197/2006, de 28 de febrero, con invocación de la lesión de los principios de irretroactividad de las normas penales desfavorables y seguridad jurídica (art. 9.3 CE), del principio de igualdad (art. 14 CE), del derecho a la libertad (art. 17 CE), del derecho a la tutela judicial efectiva en la vertiente de intangibilidad de las resoluciones judiciales firmes (art. 24.1 CE), del derecho de defensa (art. 24.2 CE), y del principio de legalidad penal (art. 25 CE).</w:t>
      </w:r>
    </w:p>
    <w:p w:rsidR="00D06117" w:rsidRDefault="00D06117" w:rsidP="00D06117">
      <w:pPr>
        <w:pStyle w:val="TextoNormal"/>
      </w:pPr>
    </w:p>
    <w:p w:rsidR="00D06117" w:rsidRDefault="00D06117" w:rsidP="00D06117">
      <w:pPr>
        <w:pStyle w:val="TextoNormal"/>
      </w:pPr>
      <w:r>
        <w:t>f) Mediante providencia de 16 de noviembre de 2006 la Sección Segunda de la Sala de lo Penal de la Audiencia Nacional acordó mantener su anterior providencia de 1 de septiembre de 2006, en la que se acordó como fecha de cumplimiento definitivo de la condena del recurrente el día 25 de octubre de 2011.</w:t>
      </w:r>
    </w:p>
    <w:p w:rsidR="00D06117" w:rsidRDefault="00D06117" w:rsidP="00D06117">
      <w:pPr>
        <w:pStyle w:val="TextoNormal"/>
      </w:pPr>
    </w:p>
    <w:p w:rsidR="00D06117" w:rsidRDefault="00D06117" w:rsidP="00D06117">
      <w:pPr>
        <w:pStyle w:val="TextoNormal"/>
      </w:pPr>
      <w:r>
        <w:t>g) El señor Zubikarai Badiola interpuso recurso de súplica contra la providencia de 16 de noviembre de 2006, reproduciendo la petición de puesta en libertad formulada en su escrito de 25 de octubre de 2006 y reiterando la denuncia de vulneración de los mismos derechos fundamentales y principios constitucionales invocados en dicho escrito. La Sección Segunda de la Sala de lo Penal de la Audiencia Nacional dictó Auto de fecha 11 de enero de 2007, por el que, tras reiterar la aplicación al caso del nuevo criterio establecido por la citada Sentencia de la Sala de lo Penal del Tribunal Supremo núm. 197/2006, de 28 de febrero, rechazó la existencia de lesión constitucional alguna y, en su parte dispositiva, acordó desestimar el recurso de súplica interpuesto contra la resolución de 1 de septiembre de 2006, que se mantuvo en su integridad.</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los siete motivos o quejas que a continuación se señalan.</w:t>
      </w:r>
    </w:p>
    <w:p w:rsidR="00D06117" w:rsidRDefault="00D06117" w:rsidP="00D06117">
      <w:pPr>
        <w:pStyle w:val="TextoNormal"/>
      </w:pPr>
    </w:p>
    <w:p w:rsidR="00D06117" w:rsidRDefault="00D06117" w:rsidP="00D06117">
      <w:pPr>
        <w:pStyle w:val="TextoNormal"/>
      </w:pPr>
      <w: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de las libertades fundamentales (CEDH) y por el art. 14.1 y 5 del Pacto internacional de derechos civiles y políticos (PIDCP), todo ello en relación con el derecho a la libertad (art. 17 CE). Sostiene el recurrente que la Audiencia Nacional acordó en las resoluciones impugnadas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y que compromete, en </w:t>
      </w:r>
      <w:r>
        <w:lastRenderedPageBreak/>
        <w:t>consecuencia, la imparcialidad de la Audiencia Nacional. Por otra parte, sostiene el recurrente que la Audiencia Nacional, al aplicar la nueva doctrina del Tribunal Supremo sin oírle previamente ha impedido su derecho a la segunda instancia, pues el Tribunal Constitucional es el primer órgano al que se ha podido dirigir el recurrente para reclamar frente a la indefensión creada.</w:t>
      </w:r>
    </w:p>
    <w:p w:rsidR="00D06117" w:rsidRDefault="00D06117" w:rsidP="00D06117">
      <w:pPr>
        <w:pStyle w:val="TextoNormal"/>
      </w:pPr>
    </w:p>
    <w:p w:rsidR="00D06117" w:rsidRDefault="00D06117" w:rsidP="00D06117">
      <w:pPr>
        <w:pStyle w:val="TextoNormal"/>
      </w:pPr>
      <w:r>
        <w:t>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En el tercer motivo de amparo denuncia el recurrente la vulneración del derecho a la tutela judicial efectiva sin indefensión (art. 24.1 CE), en cuanto garantiza la intangibilidad de las resoluciones judiciales firmes, en relación con el derecho a la libertad (art. 17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una expectativa de importante acortamiento de su condena.</w:t>
      </w:r>
    </w:p>
    <w:p w:rsidR="00D06117" w:rsidRDefault="00D06117" w:rsidP="00D06117">
      <w:pPr>
        <w:pStyle w:val="TextoNormal"/>
      </w:pPr>
    </w:p>
    <w:p w:rsidR="00D06117" w:rsidRDefault="00D06117" w:rsidP="00D06117">
      <w:pPr>
        <w:pStyle w:val="TextoNormal"/>
      </w:pPr>
      <w:r>
        <w:t>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00D06117" w:rsidRDefault="00D06117" w:rsidP="00D06117">
      <w:pPr>
        <w:pStyle w:val="TextoNormal"/>
      </w:pPr>
    </w:p>
    <w:p w:rsidR="00D06117" w:rsidRDefault="00D06117" w:rsidP="00D06117">
      <w:pPr>
        <w:pStyle w:val="TextoNormal"/>
      </w:pPr>
      <w:r>
        <w:t xml:space="preserve">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w:t>
      </w:r>
      <w:r>
        <w:lastRenderedPageBreak/>
        <w:t>recurrente se le deniega de manera discriminatoria lo que a otros muchos presos se les concedió. Añade, más específicamente, que dicho trato desigual se pone de manifiesto en relación con otro coimputado en la misma causa —el señor Urdiain Ciriza— de quien, se afirma, fue puesto en libertad definitiva el 25 de enero de 2006, pese a haber sido condenado por los mismos hechos y a las mismas penas, lo que pondría de relieve que a él sí se le han aplicado los beneficios penitenciarios con otra forma de cómputo.</w:t>
      </w:r>
    </w:p>
    <w:p w:rsidR="00D06117" w:rsidRDefault="00D06117" w:rsidP="00D06117">
      <w:pPr>
        <w:pStyle w:val="TextoNormal"/>
      </w:pPr>
    </w:p>
    <w:p w:rsidR="00D06117" w:rsidRDefault="00D06117" w:rsidP="00D06117">
      <w:pPr>
        <w:pStyle w:val="TextoNormal"/>
      </w:pPr>
      <w:r>
        <w:t>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20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D06117" w:rsidRDefault="00D06117" w:rsidP="00D06117">
      <w:pPr>
        <w:pStyle w:val="TextoNormal"/>
      </w:pPr>
    </w:p>
    <w:p w:rsidR="00D06117" w:rsidRDefault="00D06117" w:rsidP="00D06117">
      <w:pPr>
        <w:pStyle w:val="TextoNormal"/>
      </w:pPr>
      <w:r>
        <w:t>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t>4</w:t>
      </w:r>
      <w:r>
        <w:t>. Por escrito registrado en este Tribunal el 11 de abril de 2007, el Procurador de los Tribunales don José Javier Cuevas Rivas, en nombre y representación del demandante de amparo, solicitó la suspensión de las resoluciones impugnadas al considerar que la ejecución ocasiona un perjuicio que haría perder al amparo su finalidad ya que se encuentra en prisión, cumpliendo una condena más allá del límite máximo establecido en el art. 70.2 CP 1973.</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25 de mayo de 2007 la Sala Primera de este Tribunal acordó la admisión a trámite de la demanda de amparo y, a tenor de lo dispuesto en el art. 51 de la Ley Orgánica del Tribunal Constitucional (LOTC), requerir atentamente a la Sección Segunda de la Sala de lo Penal de la Audiencia Nacional para que en el plazo de diez días remitiera testimonio de la ejecutoria núm. 20-1992 (dimanante del sumario 17-1989 del Juzgado Central de Instrucción núm. 2),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D06117" w:rsidRDefault="00D06117" w:rsidP="00D06117">
      <w:pPr>
        <w:pStyle w:val="TextoNormal"/>
      </w:pPr>
    </w:p>
    <w:p w:rsidR="00D06117" w:rsidRDefault="00D06117" w:rsidP="00D06117">
      <w:pPr>
        <w:pStyle w:val="TextoNormal"/>
      </w:pPr>
      <w:r>
        <w:t xml:space="preserve">Asimismo, mediante otra providencia de la misma fecha se acordó formar la correspondiente pieza separada de suspensión y, de conformidad con lo previsto en el art. 56 LOTC, </w:t>
      </w:r>
      <w:r>
        <w:lastRenderedPageBreak/>
        <w:t>conceder un plazo común de tres días al Ministerio Fiscal y al recurrente en amparo para que alegaran lo que estimaran pertinente en relación con la petición de suspensión interesada. Concluida la tramitación del incidente, la Sala Primera acordó denegar la suspensión interesada por ATC 366/2007, de 11 de septiembre.</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diligencia de ordenación del Secretario de Justicia de la Sala Primera de 18 de julio de 2007 se tuvo por recibido el testimonio de las actuaciones remitido por la Sección Segunda de la Sala de lo Penal de la Audiencia Nacional, y asimismo se procedió, conforme a lo establecido en el art. 52.1 LOTC, a dar vista de las actuaciones por plazo común de veinte días al Ministerio Fiscal y a las partes personadas para presentar las alegaciones que estimasen pertinentes. Dicho plazo fue ampliado por otros veinte días en virtud de la diligencia de ordenación del Secretario de Justicia de la Sala Primera de 8 de noviembre de 2007, como consecuencia de la aportación por la representación procesal del recurrente de las copias de las resoluciones judiciales que le fueron requeridas, a instancias del Ministerio Fiscal por diligencia de ordenación del Secretario de Justicia de la Sala Primera de 15 de octubre de 2007.</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recurrente presentó su escrito de alegaciones en este Tribunal el 12 de diciembre de 2007, en el que ratifica las formuladas en la demanda de amparo, las cuales resume.</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presentó en este Tribunal su escrito de alegaciones el 12 de diciembre de 2007.</w:t>
      </w:r>
    </w:p>
    <w:p w:rsidR="00D06117" w:rsidRDefault="00D06117" w:rsidP="00D06117">
      <w:pPr>
        <w:pStyle w:val="TextoNormal"/>
      </w:pPr>
    </w:p>
    <w:p w:rsidR="00D06117" w:rsidRDefault="00D06117" w:rsidP="00D06117">
      <w:pPr>
        <w:pStyle w:val="TextoNormal"/>
      </w:pPr>
      <w:r>
        <w:t>Considera el Fiscal que concurre en el presente caso el óbice de falta de invocación formal en el proceso de los derechos fundamentales que se consideran vulnerados tan pronto como, una vez producida la vulneración, hubiera lugar a ello [art. 44.1 c) LOTC], lo que debe determinar la inadmisión del recurso de amparo (SSTC 171/1992, 153/1999 y 132/2006, por todas). Ello es así por cuanto el recurrente no interpuso recurso alguno contra la providencia de 1 de septiembre de 2006 de la Sección Segunda de la Sala de lo Penal de la Audiencia Nacional (notificada el siguiente 4 de septiembre a su representación procesal) por la que se fijó como fecha de cumplimiento definitivo de su condena el 25 de octubre de 2011, en aplicación del criterio establecido por la Sentencia de la Sala de lo Penal del Tribunal Supremo núm. 197/2006, de 28 de febrero. Dicha providencia, que se recurre per saltum en amparo, es la que ocasiona la pretendida lesión de los derechos fundamentales que se alegan en la demanda de amparo, sin que el incumplimiento del requisito establecido en el art. 44.1 c) LOTC pueda entenderse sanado por la estrategia procesal posterior del recurrente de provocar una nueva resolución (la providencia de 16 de noviembre de 2006, esta sí recurrida en súplica), confirmatoria de la precedente, mediante la presentación el 25 de octubre de 2006 del escrito solicitando a dicha Sala y Sección su puesta en libertad por cumplimiento definitivo de su condena el 26 de octubre de 2006, rechazando la aplicación del criterio establecido por la referida Sentencia del Tribunal Supremo núm. 197/2006, e invocando los derechos fundamentales que considera vulnerados.</w:t>
      </w:r>
    </w:p>
    <w:p w:rsidR="00D06117" w:rsidRDefault="00D06117" w:rsidP="00D06117">
      <w:pPr>
        <w:pStyle w:val="TextoNormal"/>
      </w:pPr>
    </w:p>
    <w:p w:rsidR="00D06117" w:rsidRDefault="00D06117" w:rsidP="00D06117">
      <w:pPr>
        <w:pStyle w:val="TextoNormal"/>
      </w:pPr>
      <w:r>
        <w:t xml:space="preserve">Por la misma razón entiende el Fiscal que, al haber consentido el recurrente la providencia de 1 de septiembre de 2006, concurre también el óbice de falta de agotamiento de los </w:t>
      </w:r>
      <w:r>
        <w:lastRenderedPageBreak/>
        <w:t>recursos utilizables dentro de la vía judicial [art. 44.1 a) LOTC], lo que debe conducir igualmente a la inadmisión de la demanda de amparo.</w:t>
      </w:r>
    </w:p>
    <w:p w:rsidR="00D06117" w:rsidRDefault="00D06117" w:rsidP="00D06117">
      <w:pPr>
        <w:pStyle w:val="TextoNormal"/>
      </w:pPr>
    </w:p>
    <w:p w:rsidR="00D06117" w:rsidRDefault="00D06117" w:rsidP="00D06117">
      <w:pPr>
        <w:pStyle w:val="TextoNormal"/>
      </w:pPr>
      <w:r>
        <w:t>Para el caso de que este Tribunal no comparta la apreciación sobre la existencia de los referidos óbices de inadmisibilidad, procede a continuación el Fiscal a analizar los motivos de la demanda de amparo, considerando que los numerados como segundo, tercero y sexto constituyen la médula del amparo que se solicita, mientras que los motivos de amparo restantes carecen de fundamento y deben ser rechazados, según el Fiscal, por las razones que seguidamente se resumen.</w:t>
      </w:r>
    </w:p>
    <w:p w:rsidR="00D06117" w:rsidRDefault="00D06117" w:rsidP="00D06117">
      <w:pPr>
        <w:pStyle w:val="TextoNormal"/>
      </w:pPr>
    </w:p>
    <w:p w:rsidR="00D06117" w:rsidRDefault="00D06117" w:rsidP="00D06117">
      <w:pPr>
        <w:pStyle w:val="TextoNormal"/>
      </w:pPr>
      <w:r>
        <w:t>Así, ante todo debe ser rechazada la pretendida vulneración del art. 25.2 CE (motivo séptimo de amparo)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Carece asimismo de fundamento la queja del recurrente referida a la infracción del derecho a la tutela judicial efectiva, a la que asocia la de sus derechos de defensa, a ser informado de la acusación, a un proceso público y con todas las garantías y a un juicio justo, todo ello 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en primer lugar cuando formuló su petición de libertad mediante el escrito que presentó el 25 de octubre de 2006, y luego al interponer su recurso de súplica contra la providencia de 16 de noviembre de 2006. En cuanto a la imposibilidad de recurrir en casación, la queja carece asimismo de fundamento, pues no es el órgano judicial quien le ha vedado de un recurso, legalmente inexistente, a lo que cabe añadir que la exigencia de doble instancia penal lo es para Sentencias penales condenatorias, no para controversias sobre la ejecución de una condena, como sucede en el presente caso.</w:t>
      </w:r>
    </w:p>
    <w:p w:rsidR="00D06117" w:rsidRDefault="00D06117" w:rsidP="00D06117">
      <w:pPr>
        <w:pStyle w:val="TextoNormal"/>
      </w:pPr>
    </w:p>
    <w:p w:rsidR="00D06117" w:rsidRDefault="00D06117" w:rsidP="00D06117">
      <w:pPr>
        <w:pStyle w:val="TextoNormal"/>
      </w:pPr>
      <w:r>
        <w:t>No existe tampoco vulneración del principio de legalidad penal conectado al de irretroactividad de las normas penales y restrictivas de derechos (motivo de amparo cuarto), pues no tiene fundamento alguno sostener que se han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28 de febrero, y no el art. 78 CP 1995.</w:t>
      </w:r>
    </w:p>
    <w:p w:rsidR="00D06117" w:rsidRDefault="00D06117" w:rsidP="00D06117">
      <w:pPr>
        <w:pStyle w:val="TextoNormal"/>
      </w:pPr>
    </w:p>
    <w:p w:rsidR="00D06117" w:rsidRDefault="00D06117" w:rsidP="00D06117">
      <w:pPr>
        <w:pStyle w:val="TextoNormal"/>
      </w:pPr>
      <w:r>
        <w:t xml:space="preserve">En fin, tampoco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w:t>
      </w:r>
      <w:r>
        <w:lastRenderedPageBreak/>
        <w:t>uniforme, no cabe sino reconocer que la Sentencia en cuestión se fundamenta en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Por el contrario, lo que resulta relevante según el Fiscal, como se desprende de los motivos segundo, tercero y sexto de la demanda de amparo, es la aplicación del nuevo criterio jurisprudencial surgido de la citada Sentencia de la Sala de lo Penal del Tribunal Supremo núm. 197/2006, de 28 de febrero, a situaciones ya reconocidas por resoluciones firmes, en referencia al Auto de 20 de octubre de 1993 de la Sección Segunda de la Sala de lo Penal de la Audiencia Nacional que refundió las condenas impuestas al recurrente y señaló como pena única a cumplir la de treinta años, así como a las liquidaciones de condena que siguieron a ese Auto con aplicación de las redenciones que se iban produciendo (antes de dictarse las resoluciones judiciales impugnadas en amparo), lo que resulta perjudicial para el recurrente.</w:t>
      </w:r>
    </w:p>
    <w:p w:rsidR="00D06117" w:rsidRDefault="00D06117" w:rsidP="00D06117">
      <w:pPr>
        <w:pStyle w:val="TextoNormal"/>
      </w:pPr>
    </w:p>
    <w:p w:rsidR="00D06117" w:rsidRDefault="00D06117" w:rsidP="00D06117">
      <w:pPr>
        <w:pStyle w:val="TextoNormal"/>
      </w:pPr>
      <w:r>
        <w:t>La firmeza de las referidas resoluciones impide, a juicio del Fiscal, la revisión de ese criterio en virtud de una jurisprudencia posterior porque ello rompe con las legítimas expectativas del interno y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28 de febrero, aplicada por la Audiencia Nacional en las resoluciones impugnadas en amparo.</w:t>
      </w:r>
    </w:p>
    <w:p w:rsidR="00D06117" w:rsidRDefault="00D06117" w:rsidP="00D06117">
      <w:pPr>
        <w:pStyle w:val="TextoNormal"/>
      </w:pPr>
    </w:p>
    <w:p w:rsidR="00D06117" w:rsidRDefault="00D06117" w:rsidP="00D06117">
      <w:pPr>
        <w:pStyle w:val="TextoNormal"/>
      </w:pPr>
      <w:r>
        <w:t>Por todo lo expuesto el Fiscal interesa, con carácter principal, la inadmisión del recurso de amparo por falta de invocación formal en el proceso de los derechos fundamentales que se consideran vulnerados y por falta de agotamiento de los recursos utilizables dentro de la vía judicial [art. 50.1 a) LOTC, en relación con los arts. 44.1 a) y c) LOTC, en la redacción anterior a la Ley Orgánica 6/2007, de 24 de mayo].</w:t>
      </w:r>
    </w:p>
    <w:p w:rsidR="00D06117" w:rsidRDefault="00D06117" w:rsidP="00D06117">
      <w:pPr>
        <w:pStyle w:val="TextoNormal"/>
      </w:pPr>
    </w:p>
    <w:p w:rsidR="00D06117" w:rsidRDefault="00D06117" w:rsidP="00D06117">
      <w:pPr>
        <w:pStyle w:val="TextoNormal"/>
      </w:pPr>
      <w:r>
        <w:t>Subsidiariamente, de entenderse que no concurren los referidos óbices, el Fiscal interesa la estimación parcial del amparo, en lo referente a declarar vulnerado el derecho a la tutela judicial efectiva en su vertiente intangibilidad de las resoluciones judiciales firmes (art. 24.1 CE), en conexión con el derecho a la irretroactividad de interpretaciones desfavorables para el reo (art. 25.1 CE) y el derecho a la libertad personal (art. 17.1 CE), procediendo desestimar la demanda de amparo en todo lo demás.</w:t>
      </w:r>
    </w:p>
    <w:p w:rsidR="00D06117" w:rsidRDefault="00D06117" w:rsidP="00D06117">
      <w:pPr>
        <w:pStyle w:val="TextoNormal"/>
      </w:pPr>
    </w:p>
    <w:p w:rsidR="00D06117" w:rsidRDefault="00D06117" w:rsidP="00D06117">
      <w:pPr>
        <w:pStyle w:val="TextoNormal"/>
      </w:pPr>
      <w:r>
        <w:t>La consecuencia del otorgamiento del amparo ha de ser, según el Fiscal, la anulación de las providencias y Auto impugnados, para que se dicte nueva resolución por la Sección Tercera de la Sala de lo Penal de la Audiencia Nacional respetuosa con los derechos fundamentales vulnerados.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9</w:t>
      </w:r>
      <w:r>
        <w:t>. Por providencia de 21 de junio de 2011, el Pleno, de conformidad con lo establecido en el art. 10.1 n) LOTC y a propuesta de la Sala Primera,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acordó señalar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11 de enero de 2007, de la Sección Segunda de la Sala de lo Penal de la Audiencia Nacional, que desestimó el recurso de súplica presentado contra la anterior providencia de 1 de septiembre de 2006 que acordó haber lugar a aprobar el cumplimiento definitivo de la pena impuesta al demandante con fecha 25 de octubre de 2011, sin perjuicio de las redenciones que le pudieran ser aplicadas en su día, conforme al criterio de la Sentencia núm. 197/2006, de 28 de febrero, de la Sala Segunda del Tribunal Supremo. Según dicha Sentencia, en caso de penas acumuladas la redención de penas por el trabajo obtenida ha de computarse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inadmisión del recurso por concurrir dos óbices procesales: la tempestiva invocación de las lesiones aducidas tan pronto se produjeron y la falta de agotamiento de la vía judicial previa pues, en su opinión, el demandante se aquietó con la resolución de 1 de septiembre de 2006 que fijó la fecha de su licenciamiento definitivo en octubre de 2011. Subsidiariamente, para el caso de que no se apreciase la existencia de los óbices procesales alegados, apoya la estimación del recurso presentado, por entender que la aplicación del nuevo criterio jurisprudencial fijado en la referida Sentencia 197/2006 del Tribunal Supremo, supone la vulneración de los derechos fundamentales consagrados en los arts. 17.1, 24.1 y 25.1 CE, por afectar a situaciones ya reconocidas por resoluciones firmes.</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El análisis de las actuaciones recabadas del Tribunal sentenciador nos impide apreciar los óbices de procedibilidad aducidos por el Ministerio Fiscal en su escrito de alegaciones basados en haber consentido el penado la providencia de 1 de septiembre de 2006 que, como se ha dicho, fijó la fecha de su licenciamiento definitivo en el mes de octubre de 2011. Basta la simple lectura del Auto de 11 de enero de 2007, que el recurrente aduce como resolución que puso fin a la vía judicial previa, para constatar que, frente a lo aducido por el Ministerio Fiscal, en su parte dispositiva el Tribunal sentenciador afirma que el recurso de súplica interpuesto lo fue contra dicha providencia inicial y no contra la posterior de 16 de noviembre, por lo cual, cualesquiera que fueran las vicisitudes procesales de la impugnación, el órgano judicial tuvo por recurrida la providencia de 1 de septiembre de 2006 y revisó, al resolver </w:t>
      </w:r>
      <w:r>
        <w:lastRenderedPageBreak/>
        <w:t>la súplica, la decisión anterior por la que determinó la fecha de cumplimiento definitivo de la condena, pudiendo así pronunciarse sobre la necesidad de reparar las supuestas vulneraciones aducidas, lo que salvaguarda la subsidiariedad del recurso de amparo, que es fundamento del requisito de admisibilidad aducido.</w:t>
      </w:r>
    </w:p>
    <w:p w:rsidR="00D06117" w:rsidRDefault="00D06117" w:rsidP="00D06117">
      <w:pPr>
        <w:pStyle w:val="TextoNormal"/>
      </w:pPr>
    </w:p>
    <w:p w:rsidR="00D06117" w:rsidRDefault="00D06117" w:rsidP="00D06117">
      <w:pPr>
        <w:pStyle w:val="TextoNormal"/>
      </w:pPr>
      <w:r w:rsidRPr="00D06117">
        <w:rPr>
          <w:rStyle w:val="NumeroAFNegritaCaracter"/>
        </w:rPr>
        <w:t>3</w:t>
      </w:r>
      <w:r>
        <w:t>. En lo que se refiere a las quejas formuladas en la demanda, bajo la invocación de los derechos a la tutela judicial efectiva sin indefensión (art. 24.1 CE), a ser informado de la acusación y a un proceso con todas las garantías (art. 24.2 CE), se denuncia, en primer lugar, la supuesta indefensión que le habría producido el hecho de que la primera de las resoluciones recurridas —la providencia de 1 de septiembre de 2006— se adoptó sin haberle dado audiencia previa al demandante, pese a que la propuesta del centro penitenciario ofrecía dos fechas alternativas de licenciamiento definitivo, cuestión ésta que afectaba decisivamente a su libertad personal.</w:t>
      </w:r>
    </w:p>
    <w:p w:rsidR="00D06117" w:rsidRDefault="00D06117" w:rsidP="00D06117">
      <w:pPr>
        <w:pStyle w:val="TextoNormal"/>
      </w:pPr>
    </w:p>
    <w:p w:rsidR="00D06117" w:rsidRDefault="00D06117" w:rsidP="00D06117">
      <w:pPr>
        <w:pStyle w:val="TextoNormal"/>
      </w:pPr>
      <w:r>
        <w:t>No cabe duda de que la queja tiene base fáctica, pues la secuencia procesal descrita por el demandante fue la seguida por el Tribunal encargado de la ejecución de las penas impuestas; sin embargo ha de ser inadmitida al concurrir respecto de ella, esta vez sí, el óbice procesal consistente en la falta de invocación ante los órganos de la jurisdicción ordinaria [art. 44.1 c) de la Ley Orgánica del Tribunal Constitucional]. En efecto, de la mera lectura del recurso de súplica interpuesto contra las providencias dictadas en fase de ejecución se desprende que el recurrente articuló una serie de motivos de impugnación para oponerse a esa nueva perspectiva jurídica en el cómputo de las redenciones (lo que, en opinión del Ministerio Fiscal, excluiría por sí mismo la indefensión denunciada), pero no denunció entonces indefensión alguna por el motivo ahora analizado, por lo que la alegada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 xml:space="preserve">De otra parte, dentro del primero de los motivos de amparo, se aduce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11 de enero de 2007. En dicha resolución el Tribunal sentenciador rechazó expresamente los motivos de impugnación que le fueron planteados permitiendo así al penado conocer la ratio decidendi de la desestimación.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del Pacto internacional de derechos civiles y políticos y </w:t>
      </w:r>
      <w:r>
        <w:lastRenderedPageBreak/>
        <w:t>en el art. 2 del Protocolo 7 del Convenio europeo para la protección de los derechos humanos y de las libertades fundamentales,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4</w:t>
      </w:r>
      <w:r>
        <w:t>.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extingue de un nuevo criterio jurisprudencial, adoptado por el Tribunal Supremo en la interpretación de los arts. 70.2 y 100 del Código penal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ambos puestos en relación con su derecho a la libertad personal (art. 17.1 CE), dado que se trata del cumplimiento de una pena de prisión.</w:t>
      </w:r>
    </w:p>
    <w:p w:rsidR="00D06117" w:rsidRDefault="00D06117" w:rsidP="00D06117">
      <w:pPr>
        <w:pStyle w:val="TextoNormal"/>
      </w:pPr>
    </w:p>
    <w:p w:rsidR="00D06117" w:rsidRDefault="00D06117" w:rsidP="00D06117">
      <w:pPr>
        <w:pStyle w:val="TextoNormal"/>
      </w:pPr>
      <w:r>
        <w:t>Las quejas, cuya estimación propone el Ministerio Fiscal en su escrito de alegaciones, no pueden ser compartidas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t xml:space="preserve">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w:t>
      </w:r>
      <w:r>
        <w:lastRenderedPageBreak/>
        <w:t>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 xml:space="preserve">Los cambios de criterio jurisprudencial y su conformidad con la Constitución sí pueden ser cuestionados desde otras perspectivas. Una de ellas, alegada en la demanda de amparo, tiene que ver con el contenido del derecho a la igualdad en la aplicación de la ley (art. 14 </w:t>
      </w:r>
      <w:r>
        <w:lastRenderedPageBreak/>
        <w:t>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A lo que hay que añadir que para hacer el juicio de igualdad no es válido el término de comparación postulado en la demanda en la que se alega en ésta que un coimputado en la misma causa, condenado a las mismas penas, obtuvo el licenciamiento definitivo el 25 de enero de 2006, pues dicha fecha es anterior en el tiempo a la STS 197/2006, de 28 de febrero, que fue, precisamente, la que estableció el cambio de criterio que sirve como fundamento de la diferente aplicación de la ley que se cuestiona.</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5</w:t>
      </w:r>
      <w:r>
        <w:t>.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 xml:space="preserve">El Ministerio Fiscal comparte también este razonamiento del demandante por considerar que no es de recibo que “establecidos unos criterios de interpretación normativa para fijar la refundición de condena y establecidos ellos en resolución judicial, pudieran variarse en virtud de una posterior resolución, en este caso de la Sala Segunda del Tribunal Supremo, que interpreta de otra manera las normas atinentes, como lo hacen las resoluciones judiciales ahora recurridas en amparo”. La resolución judicial firme en la que considera el Fiscal que dichos criterios quedaron establecidos de forma intangible sería el Auto de 20 de octubre de 1993 que procedió a refundir las dos condenas impuestas al penado, fijando en treinta años el límite máximo de cumplimiento; resolución judicial en la que, según afirma, “no se explicitan los mecanismos interpretativos, pero sus referencias normativas deben conectarse </w:t>
      </w:r>
      <w:r>
        <w:lastRenderedPageBreak/>
        <w:t>con la propuesta de liquidación provisional de condena de 8 de noviembre de 1993 y la normativa vigente tal y como era aplicada unánimemente”.</w:t>
      </w:r>
    </w:p>
    <w:p w:rsidR="00D06117" w:rsidRDefault="00D06117" w:rsidP="00D06117">
      <w:pPr>
        <w:pStyle w:val="TextoNormal"/>
      </w:pPr>
    </w:p>
    <w:p w:rsidR="00D06117" w:rsidRDefault="00D06117" w:rsidP="00D06117">
      <w:pPr>
        <w:pStyle w:val="TextoNormal"/>
      </w:pPr>
      <w:r>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w:t>
      </w:r>
      <w:r>
        <w:lastRenderedPageBreak/>
        <w:t>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6</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expresado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Zubikarai Badiola fue condenado en octubre de 1990 y febrero de 1992 a las penas de veintisiete años de reclusión mayor y ocho años de prisión mayor, tras ser considerado autor de un delito de asesinato y otro de colaboración con la organización terrorista ETA.</w:t>
      </w:r>
    </w:p>
    <w:p w:rsidR="00D06117" w:rsidRDefault="00D06117" w:rsidP="00D06117">
      <w:pPr>
        <w:pStyle w:val="TextoNormal"/>
      </w:pPr>
    </w:p>
    <w:p w:rsidR="00D06117" w:rsidRDefault="00D06117" w:rsidP="00D06117">
      <w:pPr>
        <w:pStyle w:val="TextoNormal"/>
      </w:pPr>
      <w:r>
        <w:t>b) Puesto que había sido condenado en dos procesos por hechos que pudieron ser objeto de uno sólo, el Tribunal sentenciador, por Auto de 20 de octubre de 1993, procedió a fijar en treinta años el límite máximo de cumplimiento de ambas condenas, de conformidad con lo dispuesto en los arts. 17.5 y 988 LECrim y el art. 70, regla 2, CP 1973.</w:t>
      </w:r>
    </w:p>
    <w:p w:rsidR="00D06117" w:rsidRDefault="00D06117" w:rsidP="00D06117">
      <w:pPr>
        <w:pStyle w:val="TextoNormal"/>
      </w:pPr>
    </w:p>
    <w:p w:rsidR="00D06117" w:rsidRDefault="00D06117" w:rsidP="00D06117">
      <w:pPr>
        <w:pStyle w:val="TextoNormal"/>
      </w:pPr>
      <w:r>
        <w:t>De acuerdo con esta decisión, el Secretario Judicial de la Sala practicó el 8 de noviembre de 1993 la liquidación provisional de las condenas impuestas al demandante, según la cual, una vez descontado el tiempo que permaneció en prisión preventiva por dichas causas acumuladas, el demandante extinguiría sus condenas el día 12 de abril de 2019.</w:t>
      </w:r>
    </w:p>
    <w:p w:rsidR="00D06117" w:rsidRDefault="00D06117" w:rsidP="00D06117">
      <w:pPr>
        <w:pStyle w:val="TextoNormal"/>
      </w:pPr>
    </w:p>
    <w:p w:rsidR="00D06117" w:rsidRDefault="00D06117" w:rsidP="00D06117">
      <w:pPr>
        <w:pStyle w:val="TextoNormal"/>
      </w:pPr>
      <w:r>
        <w:t xml:space="preserve">c) Tras la entrada en vigor del Código penal de 1995, a fin de determinar si su aplicación le era más favorable (art. 2.2), el Tribunal sentenciador recabó del centro penitenciario donde cumplía condena la certificación prevista en su disposición transitoria tercera. En ella </w:t>
      </w:r>
      <w:r>
        <w:lastRenderedPageBreak/>
        <w:t>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18 de junio de 1996, que no procedía revisar las penas impuestas al demandante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ésta por la que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t>d) No hay ninguna otra resolución judicial relevante del Tribunal sentenciador en la ejecutoria hasta que, mediante la providencia de 1 de septiembre de 2006 que es objeto de esta pretensión de amparo, el Tribunal aprobó la propuesta de cumplimiento definitivo de condena del demandante realizada por el centro penitenciario en el que se encontraba en ese momento interno, fijando como nueva fecha de cumplimiento y excarcelación el 25 de octubre de 2011 (veintidós años y seis meses después de ingresar en prisión).</w:t>
      </w:r>
    </w:p>
    <w:p w:rsidR="00D06117" w:rsidRDefault="00D06117" w:rsidP="00D06117">
      <w:pPr>
        <w:pStyle w:val="TextoNormal"/>
      </w:pPr>
    </w:p>
    <w:p w:rsidR="00D06117" w:rsidRDefault="00D06117" w:rsidP="00D06117">
      <w:pPr>
        <w:pStyle w:val="TextoNormal"/>
      </w:pPr>
      <w:r w:rsidRPr="00D06117">
        <w:rPr>
          <w:rStyle w:val="NumeroAFNegritaCaracter"/>
        </w:rPr>
        <w:t>7</w:t>
      </w:r>
      <w:r>
        <w:t>.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las computó sucesivamente sobre las dos penas impuestas a efectos de liquidación de condena. El efecto práctico, como ya se ha dicho, es que las penas que sumaban treinta y cinco años de privación de libertad, a las que se había fijado un límite máximo de cumplimiento de treinta años, han sido dadas por extinguidas a los veintiún años y seis meses de ingresar el penado en prisión preventiva por estas causas (en abril de 1989). Por tanto, las redenciones sí han sido tomadas en consideración y han reducido su condena, aunque no en la forma propuesta por el demandante.</w:t>
      </w:r>
    </w:p>
    <w:p w:rsidR="00D06117" w:rsidRDefault="00D06117" w:rsidP="00D06117">
      <w:pPr>
        <w:pStyle w:val="TextoNormal"/>
      </w:pPr>
    </w:p>
    <w:p w:rsidR="00D06117" w:rsidRDefault="00D06117" w:rsidP="00D06117">
      <w:pPr>
        <w:pStyle w:val="TextoNormal"/>
      </w:pPr>
      <w:r>
        <w:t>b) Por lo que respecta al Auto de acumulación de condenas y fijación del límite máximo de cumplimiento de 20 de octubre de 1993, que cita el Ministerio Fiscal como resolución intangible que ha sido ilegítimamente desconocida,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c) Finalmente, se aludió en el recurso de súplica del penado al Auto de 18 de junio de 1996 por el que se acordó no haber lugar a la revisión de las penas impuestas por considerar que, dados los hechos enjuiciados y las penas que le habían sido impuestas, no eran más favorables las previsiones punitivas del Código penal de 1995.</w:t>
      </w:r>
    </w:p>
    <w:p w:rsidR="00D06117" w:rsidRDefault="00D06117" w:rsidP="00D06117">
      <w:pPr>
        <w:pStyle w:val="TextoNormal"/>
      </w:pPr>
    </w:p>
    <w:p w:rsidR="00D06117" w:rsidRDefault="00D06117" w:rsidP="00D06117">
      <w:pPr>
        <w:pStyle w:val="TextoNormal"/>
      </w:pPr>
      <w:r>
        <w:t>Pues bien, ni en el fallo de dicha resolución se realiza pronunciamiento alguno acerca del criterio de cómputo de las redenciones (porque no era éste su objeto), ni de su fundamentación jurídica antes transcrita en relación con los antecedentes de hecho puede concluirse que la decisión de no revisar las condenas se sustentara de manera clara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8</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w:t>
      </w:r>
      <w:r>
        <w:lastRenderedPageBreak/>
        <w:t>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t>Desde luego, no puede el interno alegar tal efecto en su caso, pues la simple lectura de las actuaciones que aporta con la demanda pone de relieve que las penas que le fueron impuestas sumaban treinta y cinco años de privación de libertad y su licenciamiento definitivo ha sido fijado para una fecha en la que llevará extinguidos algo más de veintiún años de privación efectiva de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José Cándido Zubikarai Badiola.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el recurso de amparo núm. 1403-2007 avocado al Pleno.</w:t>
      </w:r>
    </w:p>
    <w:p w:rsidR="00D06117" w:rsidRDefault="00D06117" w:rsidP="00D06117">
      <w:pPr>
        <w:pStyle w:val="TextoNormalNegritaCentrado"/>
        <w:keepNext/>
      </w:pPr>
    </w:p>
    <w:p w:rsidR="00D06117" w:rsidRDefault="00D06117" w:rsidP="00D06117">
      <w:pPr>
        <w:pStyle w:val="TextoNormal"/>
      </w:pPr>
      <w:r>
        <w:t>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00D06117" w:rsidRDefault="00D06117" w:rsidP="00D06117">
      <w:pPr>
        <w:pStyle w:val="TextoNormal"/>
      </w:pPr>
    </w:p>
    <w:p w:rsidR="00D06117" w:rsidRDefault="00D06117" w:rsidP="00D06117">
      <w:pPr>
        <w:pStyle w:val="TextoNormal"/>
      </w:pPr>
      <w:r>
        <w:t>Además, el Auto cuya intangibilidad se analiza en esta Sentencia es de contenido análogo al que fue objeto de enjuiciamiento en el recurso de amparo avocado núm. 7325-2006, proceso en el que formulé Voto discrepante fundado en criterios interpretativos plenamente extensibles a este caso.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formula la Magistrada doña Adela Asua Batarrita a la Sentencia dictada en el recurso de amparo núm. 1403-2007.</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emite el Magistrado don Luis Ignacio Ortega Álvarez con relación a la Sentencia dictada en el recurso de amparo avocado al Pleno núm. 1403-2007.</w:t>
      </w:r>
    </w:p>
    <w:p w:rsidR="00D06117" w:rsidRDefault="00D06117" w:rsidP="00D06117">
      <w:pPr>
        <w:pStyle w:val="TextoNormalNegritaCentrado"/>
        <w:keepNext/>
      </w:pPr>
    </w:p>
    <w:p w:rsidR="00D06117" w:rsidRDefault="00D06117" w:rsidP="00D06117">
      <w:pPr>
        <w:pStyle w:val="TextoNormal"/>
      </w:pPr>
      <w:r>
        <w:t>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5" w:name="SENTENCIA_2012_52"/>
      <w:r>
        <w:lastRenderedPageBreak/>
        <w:t>SENTENCIA 52/2012, de 29 de marzo de 2012</w:t>
      </w:r>
    </w:p>
    <w:bookmarkEnd w:id="5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ECLI:ES:TC:2012:52</w:t>
      </w:r>
    </w:p>
    <w:p w:rsidR="00D06117" w:rsidRDefault="00D06117" w:rsidP="00D06117">
      <w:pPr>
        <w:pStyle w:val="SntesisDescriptiva"/>
      </w:pPr>
    </w:p>
    <w:p w:rsidR="00D06117" w:rsidRDefault="00D06117" w:rsidP="00D06117">
      <w:pPr>
        <w:pStyle w:val="SntesisDescriptiva"/>
      </w:pPr>
      <w:r>
        <w:t>Recurso de amparo 1582-2007. Promovido por don Antonio Alza Hernández con respecto a las resoluciones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los Autos recurridos en amparo, no había expresado ningún juicio que conllevase la fijación de un criterio distinto y más favorable sobre la forma de computar las redenciones en caso de penas acumuladas con límite máximo de cumplimiento [FFJJ 4, 5].</w:t>
      </w:r>
    </w:p>
    <w:p w:rsidR="00D06117" w:rsidRDefault="00D06117" w:rsidP="00D06117">
      <w:pPr>
        <w:pStyle w:val="Extracto"/>
      </w:pPr>
    </w:p>
    <w:p w:rsidR="00D06117" w:rsidRDefault="00D06117" w:rsidP="00D06117">
      <w:pPr>
        <w:pStyle w:val="Extracto"/>
      </w:pPr>
      <w:r>
        <w:t>4.</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7].</w:t>
      </w:r>
    </w:p>
    <w:p w:rsidR="00D06117" w:rsidRDefault="00D06117" w:rsidP="00D06117">
      <w:pPr>
        <w:pStyle w:val="Extracto"/>
      </w:pPr>
    </w:p>
    <w:p w:rsidR="00D06117" w:rsidRDefault="00D06117" w:rsidP="00D06117">
      <w:pPr>
        <w:pStyle w:val="Extracto"/>
      </w:pPr>
      <w:r>
        <w:t>5.</w:t>
      </w:r>
      <w:r>
        <w:tab/>
        <w:t xml:space="preserve">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w:t>
      </w:r>
      <w:r>
        <w:lastRenderedPageBreak/>
        <w:t>y su evolución muestren que se hallan en condiciones de hacer vida honrada en libertad [FJ 7].</w:t>
      </w:r>
    </w:p>
    <w:p w:rsidR="00D06117" w:rsidRDefault="00D06117" w:rsidP="00D06117">
      <w:pPr>
        <w:pStyle w:val="Extracto"/>
      </w:pPr>
    </w:p>
    <w:p w:rsidR="00D06117" w:rsidRDefault="00D06117" w:rsidP="00D06117">
      <w:pPr>
        <w:pStyle w:val="Extracto"/>
      </w:pPr>
      <w:r>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7.</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4].</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4].</w:t>
      </w:r>
    </w:p>
    <w:p w:rsidR="00D06117" w:rsidRDefault="00D06117" w:rsidP="00D06117">
      <w:pPr>
        <w:pStyle w:val="Extracto"/>
      </w:pPr>
    </w:p>
    <w:p w:rsidR="00D06117" w:rsidRDefault="00D06117" w:rsidP="00D06117">
      <w:pPr>
        <w:pStyle w:val="Extracto"/>
      </w:pPr>
      <w:r>
        <w:t>12.</w:t>
      </w:r>
      <w:r>
        <w:tab/>
        <w:t xml:space="preserve">El derecho a la intangibilidad de las resoluciones judiciales firmes, consagrado en el art. 24.1 CE como una de las vertientes del derecho a la tutela judicial efectiva, </w:t>
      </w:r>
      <w:r>
        <w:lastRenderedPageBreak/>
        <w:t>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4].</w:t>
      </w:r>
    </w:p>
    <w:p w:rsidR="00D06117" w:rsidRDefault="00D06117" w:rsidP="00D06117">
      <w:pPr>
        <w:pStyle w:val="Extracto"/>
      </w:pPr>
    </w:p>
    <w:p w:rsidR="00D06117" w:rsidRDefault="00D06117" w:rsidP="00D06117">
      <w:pPr>
        <w:pStyle w:val="Extracto"/>
      </w:pPr>
      <w:r>
        <w:t>13.</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1582-2007, promovido por don Antonio Alza Hernández, representado por el Procurador de los Tribunales don Javier Cuevas Rivas y asistido por la Letrada doña Ainhoa Baglietto Gabilondo, contra el Auto de la Sección Tercera de la Sala de lo Penal de la Audiencia Nacional de 3 de noviembre de 2006, dictado en el rollo de sala 12-1993, en el que se rechaza su licenciamiento definitivo propuesto por el centro penitenciario de Burgos para el día 6 de octubre de 2006, así como contra el Auto del mismo órgano de 26 de diciembre de 2006, por el que se desestima el recurso de súplica interpuesto contra la primera resolución citada. Ha intervenido el Ministerio Fiscal. Ha sido Ponente el Magistrado don Javier Delgado Barrio,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21 de febrero de 2007, don José Javier Cuevas Rivas, Procurador de los Tribunales y de don Antonio Alza Hernández,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en amparo fue condenado por Sentencia de la Audiencia Nacional de 18 de marzo de 1993 (diligencias previas núm. 231-1991) como autor de un delito de terrorismo a la pena de once años de prisión. Tras la entrada en vigor del Código penal (CP)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10 de junio de 1996, que no procedía revisar las penas impuestas al demandante con el siguiente razonamiento: “Vistas las penas que para esas mismas conductas prevé el Código Penal de próxima entrada en vigor, por el simple análisis comparativo global (tomada la pena taxativamente y con exclusión del arbitrio judicial) previsto en la disposición transitoria quinta del nuevo texto se aprecia que la pena cumplida con los beneficios penitenciarios previstos en el artículo 100 del CP vigente equivale en términos de cumplimiento real a una pena posible de imponer según el nuevo Código Penal”, de lo que el Tribunal dedujo la improcedencia de la revisión de la pena.</w:t>
      </w:r>
    </w:p>
    <w:p w:rsidR="00D06117" w:rsidRDefault="00D06117" w:rsidP="00D06117">
      <w:pPr>
        <w:pStyle w:val="TextoNormal"/>
      </w:pPr>
    </w:p>
    <w:p w:rsidR="00D06117" w:rsidRDefault="00D06117" w:rsidP="00D06117">
      <w:pPr>
        <w:pStyle w:val="TextoNormal"/>
      </w:pPr>
      <w:r>
        <w:t>b) Mediante Auto de 6 de noviembre de 1997, dictado en el expediente de refundición núm. 33-1997, la Sección Tercera de la Sala de lo Penal de la Audiencia Nacional acordó acumular las condenas impuestas al ahora recurrente en amparo por la Sección Primera de la misma Sala en el sumario núm. 59-1984 del Juzgado Central núm. 1 y en el procedimiento abreviado núm. 4-1993 del Juzgado Central núm. 1; por la Sección Segunda en el procedimiento abreviado núm. 14-1992 del Juzgado Central núm. 2 y en la causa 10-1992 del Juzgado Central núm. 2; por la Sección Tercera en las diligencias previas núm. 231-1991 del Juzgado Central núm. 5 y en el sumario núm. 74-1991 del Juzgado Central núm. 4. Considera el órgano judicial que los delitos cometidos por don Antonio Alza Hernández presentan entre sí una clara conexión jurídica y cronológica que hubiera permitido enjuiciarlos en un solo proceso, por lo que, en aplicación de la regla segunda del art. 70 CP vigente en el momento de la comisión de los hechos, resulta procedente acumular las condenas correspondientes y fijar el máximo de la condena total en las causas mencionadas en treinta años de privación de libertad.</w:t>
      </w:r>
    </w:p>
    <w:p w:rsidR="00D06117" w:rsidRDefault="00D06117" w:rsidP="00D06117">
      <w:pPr>
        <w:pStyle w:val="TextoNormal"/>
      </w:pPr>
    </w:p>
    <w:p w:rsidR="00D06117" w:rsidRDefault="00D06117" w:rsidP="00D06117">
      <w:pPr>
        <w:pStyle w:val="TextoNormal"/>
      </w:pPr>
      <w:r>
        <w:t xml:space="preserve">c) Antes de que se dictara el citado Auto de 6 de noviembre de 1997, el centro penitenciario Cáceres II había procedido a emitir una liquidación de condenas el 30 de abril de 1996, fijándose como fecha de licenciamiento definitivo la de 29 de septiembre de 2021, si </w:t>
      </w:r>
      <w:r>
        <w:lastRenderedPageBreak/>
        <w:t>bien esa liquidación no se realizó sobre una pena refundida porque aún no se había acordado la acumulación de las condenas impuestas al demandante de amparo.</w:t>
      </w:r>
    </w:p>
    <w:p w:rsidR="00D06117" w:rsidRDefault="00D06117" w:rsidP="00D06117">
      <w:pPr>
        <w:pStyle w:val="TextoNormal"/>
      </w:pPr>
    </w:p>
    <w:p w:rsidR="00D06117" w:rsidRDefault="00D06117" w:rsidP="00D06117">
      <w:pPr>
        <w:pStyle w:val="TextoNormal"/>
      </w:pPr>
      <w:r>
        <w:t>d) Por escrito de 19 de septiembre de 2006 el Director del centro penitenciario de Burgos propuso el licenciamiento definitivo de don Antonio Alza Hernández, en el marco del expediente de refundición de condena 33-1997, para el día 6 de octubre de 2006. Mediante providencia de 26 de septiembre de 2006 se dio traslado de ese escrito al Ministerio Fiscal a fin de que informara sobre la procedencia del licenciamiento definitivo del penado en esa fecha. Por una nueva providencia de 3 de octubre de 2006 se requirió al Director del centro penitenciario de Burgos, tal y como había interesado el Fiscal mediante escrito de la misma fecha, para que informase “el cambio de fecha propuesta de licenciamiento definitivo del interno Antonio Alza Hernández en atención a que conforme el oficio del Centro de Villabona de fecha 3 de marzo de 1998 la fecha de propuesta era el 30/09/2018 y el oficio del Centro de Burgos de fecha 19/09/2006 propone el 6 de octubre de 2006, … a pesar de la nueva interpretación de la Sala Segunda del Tribunal Supremo en la Sentencia de 28 de febrero de 2006”.</w:t>
      </w:r>
    </w:p>
    <w:p w:rsidR="00D06117" w:rsidRDefault="00D06117" w:rsidP="00D06117">
      <w:pPr>
        <w:pStyle w:val="TextoNormal"/>
      </w:pPr>
    </w:p>
    <w:p w:rsidR="00D06117" w:rsidRDefault="00D06117" w:rsidP="00D06117">
      <w:pPr>
        <w:pStyle w:val="TextoNormal"/>
      </w:pPr>
      <w:r>
        <w:t>e) En fecha 4 de octubre de 2006 el Director del centro penitenciario de Burgos informó sobre la cuestión planteada por la Sección Tercera de la Sala de lo Penal de la Audiencia Nacional en los siguientes términos:</w:t>
      </w:r>
    </w:p>
    <w:p w:rsidR="00D06117" w:rsidRDefault="00D06117" w:rsidP="00D06117">
      <w:pPr>
        <w:pStyle w:val="TextoNormal"/>
      </w:pPr>
    </w:p>
    <w:p w:rsidR="00D06117" w:rsidRDefault="00D06117" w:rsidP="00D06117">
      <w:pPr>
        <w:pStyle w:val="TextoNormal"/>
      </w:pPr>
      <w:r>
        <w:t>“Fecha de extinción condena, según criterio anterior a sentencia de 28-02-2006 del Tribunal Supremo, es decir con redención: 06-10-2006.</w:t>
      </w:r>
    </w:p>
    <w:p w:rsidR="00D06117" w:rsidRDefault="00D06117" w:rsidP="00D06117">
      <w:pPr>
        <w:pStyle w:val="TextoNormal"/>
      </w:pPr>
    </w:p>
    <w:p w:rsidR="00D06117" w:rsidRDefault="00D06117" w:rsidP="00D06117">
      <w:pPr>
        <w:pStyle w:val="TextoNormal"/>
      </w:pPr>
      <w:r>
        <w:t>Fecha extinción condena, según criterio del Tribunal Supremo en sentencia de fecha 28-02-2006: 30-09-2018.</w:t>
      </w:r>
    </w:p>
    <w:p w:rsidR="00D06117" w:rsidRDefault="00D06117" w:rsidP="00D06117">
      <w:pPr>
        <w:pStyle w:val="TextoNormal"/>
      </w:pPr>
    </w:p>
    <w:p w:rsidR="00D06117" w:rsidRDefault="00D06117" w:rsidP="00D06117">
      <w:pPr>
        <w:pStyle w:val="TextoNormal"/>
      </w:pPr>
      <w:r>
        <w:t>Según informe del Abogado del Estado en el Ministerio del Interior, de fecha de 27-03-2006. La sentencia del Tribunal Supremo, de fecha 28-02-2006, no constituye aún Jurisprudencia. Por lo tanto debe ser ese Tribunal, quien nos comunique el criterio a seguir.”</w:t>
      </w:r>
    </w:p>
    <w:p w:rsidR="00D06117" w:rsidRDefault="00D06117" w:rsidP="00D06117">
      <w:pPr>
        <w:pStyle w:val="TextoNormal"/>
      </w:pPr>
    </w:p>
    <w:p w:rsidR="00D06117" w:rsidRDefault="00D06117" w:rsidP="00D06117">
      <w:pPr>
        <w:pStyle w:val="TextoNormal"/>
      </w:pPr>
      <w:r>
        <w:t>f) Por providencia de 4 de octubre de 2006 la Sección Tercera de la Sala de lo Penal de la Audiencia Nacional acordó comunicar al centro penitenciario “que no se aprueba el licenciamiento propuesto para el día 6 de octubre de 2006, debiéndose remitir con carácter urgente a este Tribunal copia de las resoluciones sobre redenciones otorgadas al penado y copia, que obren en el expediente, de la liquidación de las condenas refundidas cuyo cumplimiento se aprobó para el 30 de septiembre de 2018”. Una vez se le dio traslado, el Ministerio Fiscal emitió informe el 10 de octubre de 2006 en el que sostenía que “procede aprobar como fecha de licenciamiento definitivo el 30 de septiembre de 2018 en atención al nuevo criterio establecido por la Sentencia del Tribunal Supremo de fecha 28 de febrero de 2006”.</w:t>
      </w:r>
    </w:p>
    <w:p w:rsidR="00D06117" w:rsidRDefault="00D06117" w:rsidP="00D06117">
      <w:pPr>
        <w:pStyle w:val="TextoNormal"/>
      </w:pPr>
    </w:p>
    <w:p w:rsidR="00D06117" w:rsidRDefault="00D06117" w:rsidP="00D06117">
      <w:pPr>
        <w:pStyle w:val="TextoNormal"/>
      </w:pPr>
      <w:r>
        <w:t>g) Mediante Auto de 3 de noviembre de 2006 la Sección Tercera de la Sala de lo Penal de la Audiencia Nacional acordó “[r]echazar el licenciamiento definitivo propuesto por el Centro Penitenciario de Burgos, respecto del penado Antonio Alza Hernández, previsto para el pasado día 6 de octubre de 2006, debiendo mantenerse su situación de penado”, sin que proceda “aprobar licenciamiento alguno dado lo remoto de la fecha de cumplimiento definitivo”, en virtud de las siguientes consideraciones:</w:t>
      </w:r>
    </w:p>
    <w:p w:rsidR="00D06117" w:rsidRDefault="00D06117" w:rsidP="00D06117">
      <w:pPr>
        <w:pStyle w:val="TextoNormal"/>
      </w:pPr>
    </w:p>
    <w:p w:rsidR="00D06117" w:rsidRDefault="00D06117" w:rsidP="00D06117">
      <w:pPr>
        <w:pStyle w:val="TextoNormal"/>
      </w:pPr>
      <w:r>
        <w:t>“SEGUNDO.- En efecto, por el Centro Penitenciario de Burgos se remitió propuesta de aprobación de licenciamiento definitivo del penado para el día 6 de octubre de 2006 que fue realizada sin tener en cuenta los nuevos criterios jurisprudenciales establecidos por la doctrina del Tribunal Supremo, unos días antes.</w:t>
      </w:r>
    </w:p>
    <w:p w:rsidR="00D06117" w:rsidRDefault="00D06117" w:rsidP="00D06117">
      <w:pPr>
        <w:pStyle w:val="TextoNormal"/>
      </w:pPr>
    </w:p>
    <w:p w:rsidR="00D06117" w:rsidRDefault="00D06117" w:rsidP="00D06117">
      <w:pPr>
        <w:pStyle w:val="TextoNormal"/>
      </w:pPr>
      <w:r>
        <w:t>La STS 197/2006, de 28 de febrero, cambia el criterio jurisprudencial sostenido hasta la fecha, y de acuerdo con una interpretación conjunta de las reglas primera y segunda del artículo 70 del Código Penal, texto refundido de 1973, considera que ‘el límite de treinta años no se convierte en una nueva pena, distinta de las sucesivamente impuestas al reo, ni por consiguiente, en otra resultante de todas las anteriores, sino que tal límite representa el máximo de cumplimiento del penado en un Centro Penitenciario’, exponiendo a continuación los razonamientos que llevan a esa interpretación. Y sigue diciendo: ‘De tal modo que la forma de cumplimiento de la condena total, será de la manera siguiente: se principiará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alcancen las limitaciones dispuestas en la regla segunda del artículo 70 del Código Penal de 1973. Llegados a este estadio, se producirá la extinción de todas las penas comprendidas en la condena total resultante’. Es decir, los beneficios y redenciones que procedan serán computables sobre la suma aritmética total de las penas impuestas, y no sobre los 30 años, límite máximo de cumplimiento establecido por el citado artículo 70 del Código Penal.</w:t>
      </w:r>
    </w:p>
    <w:p w:rsidR="00D06117" w:rsidRDefault="00D06117" w:rsidP="00D06117">
      <w:pPr>
        <w:pStyle w:val="TextoNormal"/>
      </w:pPr>
    </w:p>
    <w:p w:rsidR="00D06117" w:rsidRDefault="00D06117" w:rsidP="00D06117">
      <w:pPr>
        <w:pStyle w:val="TextoNormal"/>
      </w:pPr>
      <w:r>
        <w:t>En el caso que nos ocupa, el cálculo para el licenciamiento definitivo, habría de aplicarse sobre la suma total de las penas impuestas en sentencia, es decir, 72 años, 5 meses y 3 días (26.433 días) y no sobre los 30 años (10.950 días) resultantes del límite máximo de cumplimiento. Por tanto, descontadas las redenciones ordinarias (2.682 días) y las extraordinarias (1.695 días), lo que supone una suma de 4.377 días, dichas redenciones deberán ser descontadas de los 26.433 días (suma aritmética de la totalidad de las penas impuestas en sentencia) y no de los 9.855 días, por aplicación de los nuevos criterios establecidos por la Sala II del Tribunal Supremo.</w:t>
      </w:r>
    </w:p>
    <w:p w:rsidR="00D06117" w:rsidRDefault="00D06117" w:rsidP="00D06117">
      <w:pPr>
        <w:pStyle w:val="TextoNormal"/>
      </w:pPr>
    </w:p>
    <w:p w:rsidR="00D06117" w:rsidRDefault="00D06117" w:rsidP="00D06117">
      <w:pPr>
        <w:pStyle w:val="TextoNormal"/>
      </w:pPr>
      <w:r>
        <w:t>… Por tanto, la fecha de licenciamiento definitivo será la del 30 de octubre de 2018, pero no porque esa fecha coincida con el cómputo del límite cronológico máximo de cumplimiento de los 30 años, sin redenciones, sino porque aplicadas las redenciones a la suma total de las penas impuestas en sentencia (72 años, 5 meses y 3 días) éstas en ningún caso nos daría un periodo inferior de cumplimiento de los 30 años, por lo que en caso que nos ocupa, siempre en beneficio del reo, una vez alcanzados los 30 años efectivos de cumplimiento dejará extinguida la responsabilidad penal.”</w:t>
      </w:r>
    </w:p>
    <w:p w:rsidR="00D06117" w:rsidRDefault="00D06117" w:rsidP="00D06117">
      <w:pPr>
        <w:pStyle w:val="TextoNormal"/>
      </w:pPr>
    </w:p>
    <w:p w:rsidR="00D06117" w:rsidRDefault="00D06117" w:rsidP="00D06117">
      <w:pPr>
        <w:pStyle w:val="TextoNormal"/>
      </w:pPr>
      <w:r>
        <w:t>h) Contra la resolución citada interpuso el demandante de amparo un recurso de súplica que fue desestimado por Auto de la Sección Tercera de la Sala de lo Penal de la Audiencia Nacional de 26 de diciembre de 2006, en cuanto “considera conforme a Derecho nuestra resolución recurrida a la que nos remitimos íntegramente, desestimando la súplica formulada, por resultar conforme a Derecho”.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00D06117" w:rsidRDefault="00D06117" w:rsidP="00D06117">
      <w:pPr>
        <w:pStyle w:val="TextoNormal"/>
      </w:pPr>
    </w:p>
    <w:p w:rsidR="00D06117" w:rsidRDefault="00D06117" w:rsidP="00D06117">
      <w:pPr>
        <w:pStyle w:val="TextoNormal"/>
      </w:pPr>
      <w:r>
        <w:t>a) En la demanda se denuncia, en primer lugar, la vulneración de los derechos a la tutela judicial efectiva (art. 24.1 CE) y a un proceso con todas las garantías (art. 24.2 CE), así como el derecho a un proceso justo y a un recurso efectivo (arts. 14.1 y 5 Pacto internacional de derechos civiles y políticos (PIDCP), 6 y 13 Convenio europeo para la protección de los derechos humanos y de las libertades fundamentales (CEDH), todo ello en relación con el art. 17 CE. Con cita de las SSTC 11/1987 y 123/2005, expone la demanda que la Audiencia Nacional, en su Auto de 3 de noviembre de 2006, acordó la aplicación de la nueva doctrina del Tribunal Supremo sin dar traslado a la defensa de don Antonio Alza Hernández,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 además que ello vulnera el principio acusatorio, porque el órgano judicial asume funciones acusatorias constitucionalmente vedadas, lesionando además su derecho a la libertad. Por otra parte, sostiene el recurrente que la Audiencia Nacional, al dictar esta resolución sin oír a las partes y aplicar la doctrina del Tribunal Supremo, impide el derecho a una segunda instancia.</w:t>
      </w:r>
    </w:p>
    <w:p w:rsidR="00D06117" w:rsidRDefault="00D06117" w:rsidP="00D06117">
      <w:pPr>
        <w:pStyle w:val="TextoNormal"/>
      </w:pPr>
    </w:p>
    <w:p w:rsidR="00D06117" w:rsidRDefault="00D06117" w:rsidP="00D06117">
      <w:pPr>
        <w:pStyle w:val="TextoNormal"/>
      </w:pPr>
      <w:r>
        <w:t>b) En segundo lugar se aduce la vulneración del principio de legalidad (arts. 9.1, 25.1 y 2 CE) en relación con la interpretación de los arts. 70.2 y 100 CP 1973, así como de los arts. 66 del reglamento de prisiones de 1956 y el 202 del reglamento penitenciario actual. La interpretación llevada a cabo por el Tribunal Supremo y aplicada en el presente caso por la Audiencia Nacional sería ajena al tenor literal de dichas normas, a las pautas axiológicas que conforman el ordenamiento constitucional y a los modelos de argumentación aceptados por la comunidad jurídica, y resultaría extravagante por cuanto quiebra con lo que había sido la interpretación realizada a lo largo de toda la historia penitenciaria (conforme a la cual la redención de penas por el trabajo se abonaba al tiempo efectivo de cumplimiento), dándose, además, la circunstancia de que en ese momento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 venido aplicando las redenciones siempre al tiempo de cumplimiento efec</w:t>
      </w:r>
      <w:r>
        <w:lastRenderedPageBreak/>
        <w:t>tivo de la condena, descontándose del máximo de cumplimiento un día por cada dos trabajados. Criterio mantenido incluso en acuerdos adoptados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c) 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habrían realizado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A su parecer,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d) Como cuarto motivo de amparo, se considera vulnerado el principio de legalidad (arts. 25.1 y 9.3 CE, en relación con los arts. 15 PIDCP y 7 CEDH) por aplicación retroactiva de una norma penal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lastRenderedPageBreak/>
        <w:t>e) En quinto lugar invoca el demandante de amparo el derecho a la igualdad en la aplicación de la ley (arts. 14 CE y 14 CEDH).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habría roto con toda la jurisprudencia anterior al respecto (cita las SSTS 1985/1992, 506/1994, 529/1994 1109/1997, 1458/2002, 1778/2002, 699/2003 y 1223/2005; los acuerdos de los Plenos no jurisdiccionales de 18 de julio de 1996 y 12 de febrero de 1999; así como el Voto particular formulado por algunos Magistrados de la Sala de lo Penal del Tribunal Supremo a la propia STS 197/2006). El cambio de criterio se produciría, además, en un momento en que la norma (Código penal de 1973) ya está derogada y resulta aplicable a un número muy limitado de presos y sin que existan razones fundadas que lo justifiquen. Afirma el recurrente que se trata de una reescritura de la ley, provocada por factores extrajurídicos, por quienes son los sujetos pasivos a los que afecta y por las circunstancias en que se adopta la decisión, escondiendo, por tanto, un cambio de criterio ad personam, constitucionalmente vedado. También se queja el recurrente de que a él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f) En el sexto motivo de amparo se alega la vulneración del derecho a la libertad (art. 17.1 CE en relación con los arts. 5 y 15.1 CEDH; 9.1, 5 y 15.1 PIDCP).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Así, don Antonio Alza Hernández ha cumplido un tiempo de estancia efectiva en prisión al que deberían sumarse las redenciones ordinarias y extraordinarias y licenciarlo cuando el cómputo de ambas llegue a 10.950 días, es decir al máximo de treinta años previsto en el art. 70.2 CP 1973. Sin embargo, las resoluciones recurridas retrasan la puesta en libertad del recurrente hasta el cumplimiento de los treinta años íntegros y, por tanto, violan el art. 17.1 CE, los arts. 5 y 15.1 CEDH, así como los arts. 9.1, 5 y 15.1 PIDCP.</w:t>
      </w:r>
    </w:p>
    <w:p w:rsidR="00D06117" w:rsidRDefault="00D06117" w:rsidP="00D06117">
      <w:pPr>
        <w:pStyle w:val="TextoNormal"/>
      </w:pPr>
    </w:p>
    <w:p w:rsidR="00D06117" w:rsidRDefault="00D06117" w:rsidP="00D06117">
      <w:pPr>
        <w:pStyle w:val="TextoNormal"/>
      </w:pPr>
      <w:r>
        <w:t>g) Finalmente, el demandante de amparo alega la vulneración del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propio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Por providencia de 26 de septiembre de 2007, la Sección Primera de este Tribunal acordó la admisión a trámite de la demanda así como, a tenor de lo establecido en el art. 51 </w:t>
      </w:r>
      <w:r>
        <w:lastRenderedPageBreak/>
        <w:t>de la Ley Orgánica del Tribunal Constitucional (LOTC), requerir atentamente a la Sección Tercera de la Sala de lo Penal de la Audiencia Nacional para que remitiera testimonio de la pieza de ejecución, interesando al tiempo que se emplazara a quienes fueron parte en el procedimiento, a excepción del demandante,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5. Mediante diligencia de ordenación de 15 de septiembre de 2008 y tras diversas incidencias procesales el Secretario de Justicia de la Sección Primera del Tribunal Constitucional tuvo por recibido testimonio completo de las actuaciones remitidas por la Sección Tercera de la Sala de lo Penal de la Audiencia Nacional y, a tenor de lo dispuesto en el art. 52 LOTC, acordó dar vista común de todas las actuaciones al Ministerio Fiscal y a las partes personadas para que presentaran las alegaciones que a su derecho conviniera.</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del demandante de amparo presentó escrito de alegaciones el 17 de octubre de 2008 en el que sustancialmente reproduce los argumentos ya expuestos en la demanda. Añade, sin embargo, a propósito de varios de los motivos aducidos, que la propia Sección Tercera de la Sala de lo Penal de la Audiencia Nacional habría admitido ya en dos ocasiones en el marco de la ejecución de las penas impuestas al recurrente que la forma en la que habría de liquidarse la condena sería la aplicada con carácter general con anterioridad a la STS 197/2006. La primera habría tenido lugar el 2 de febrero de 2000, fecha en la que se acuerda que del máximo de condena total de treinta años fijado en el Auto de 6 de noviembre de 1997, por el que se acuerda la acumulación de las condenas impuestas, debían descontarse tres años correspondientes a una condena ya cumplida que se había impuesto en una de las causas incluidas en la refundición, condena que, según aduce el recurrente, no se había cumplido íntegramente, al habérsele abonado las redenciones obtenidas. La segunda ocasión habría sido el Auto de 10 de junio de 1996, en el que se acuerda la improcedencia de la revisión de la Sentencia dictada contra el recurrente en amparo a la vista de las penas que para las mismas conductas prevé el Código penal de 1995 y teniendo en cuenta los beneficios penitenciarios previstos en el Código penal antes vigente. El demandante afirma que en esa resolución se habría tomado como referencia y aprobado la liquidación provisional de condena remitida por el centro penitenciario de Cáceres, en el que se encontraba entonces el penado, que aplica las redenciones sobre el periodo máximo de cumplimiento de treinta años.</w:t>
      </w:r>
    </w:p>
    <w:p w:rsidR="00D06117" w:rsidRDefault="00D06117" w:rsidP="00D06117">
      <w:pPr>
        <w:pStyle w:val="TextoNormal"/>
      </w:pPr>
    </w:p>
    <w:p w:rsidR="00D06117" w:rsidRDefault="00D06117" w:rsidP="00D06117">
      <w:pPr>
        <w:pStyle w:val="TextoNormal"/>
      </w:pPr>
      <w:r w:rsidRPr="00D06117">
        <w:rPr>
          <w:rStyle w:val="NumeroAFNegritaCaracter"/>
        </w:rPr>
        <w:t>7</w:t>
      </w:r>
      <w:r>
        <w:t>. El día 30 de octubre de 2008 presentó sus alegaciones el Ministerio Fiscal, interesando la estimación del amparo solicitado y la anulación de las resoluciones recurridas por entender que han vulnerado los derechos fundamentales de ejecución de las resoluciones judiciales en sus propios términos (art. 24.1 CE), a la legalidad penal (art. 25.1 CE) y a la libertad personal (art. 17.1 CE).</w:t>
      </w:r>
    </w:p>
    <w:p w:rsidR="00D06117" w:rsidRDefault="00D06117" w:rsidP="00D06117">
      <w:pPr>
        <w:pStyle w:val="TextoNormal"/>
      </w:pPr>
    </w:p>
    <w:p w:rsidR="00D06117" w:rsidRDefault="00D06117" w:rsidP="00D06117">
      <w:pPr>
        <w:pStyle w:val="TextoNormal"/>
      </w:pPr>
      <w:r>
        <w:t xml:space="preserve">a) Después de sintetizar los antecedentes del recurso de amparo y de relacionar los motivos que en él se aducen procede el Fiscal a exponer las razones por las que este Tribunal habría de rechazar las siguientes vulneraciones constitucionales aducidas por el demandante de amparo. En primer lugar, señala que la lesión del principio de legalidad penal y, más concretamente, la exigencia del carácter rehabilitador y de reinserción social de las penas, ha de ser rechazada a limine porque, de conformidad con la doctrina de este Tribunal (SSTC 28/1988 y 88/1988, y ATC 219/1988), de la citada disposición no se deriva un derecho </w:t>
      </w:r>
      <w:r>
        <w:lastRenderedPageBreak/>
        <w:t>fundamental del ciudadano susceptible de ser invocado en amparo sino más bien un mandato dirigido al legislador respecto de la orientación de la política penal y penitenciaria. A continuación afirma el Fiscal que el primero de los motivos aducidos en la demanda debe ser igualmente rechazado puesto que, al haber podido aducir el demandante en su recurso de súplica cuantas alegaciones tuvo por convenientes, la falta de traslado no le habría generado una real y material indefensión (STC 225/2007). De igual modo, la denunciada imposibilidad de acceder a la casación no tendría su origen en una decisión del órgano judicial sino del propio legislador procesal, de forma que esta parte del motivo también carecería manifiestamente de fundamento. En tercer lugar, tampoco considera el Fiscal que el cuarto de los motivos de amparo aducidos en la demanda pueda ser acogido, puesto que, con independencia de otro orden de consideraciones, el precepto aplicado ha sido el art. 70.2 CP 1973, de vigencia al tiempo de comisión de los hechos y sobre el que ha recaído la nueva interpretación de la Sala de lo Penal del Tribunal Supremo, y en modo alguno el art. 78 CP 1995, que no ha sido objeto, pues, de “aplicación fraudulenta” de ninguna clase. Finalmente, tampoco puede acogerse la queja relativa a la vulneración del principio de igualdad puesto que, de un lado, los órganos judiciales que han dictado las resoluciones objeto de comparación son distintos, y de otro, el eventual cambio de criterio operado por la Sala de lo Penal del Tribunal Supremo se acompaña de un conjunto de razonamientos vertidos en interpretación de la legalidad aplicable al caso que, sin perjuicio de que puedan resultar discutidos desde otros puntos de vista, son suficientes para descartar la vulneración del derecho a la igualdad en la aplicación de la ley.</w:t>
      </w:r>
    </w:p>
    <w:p w:rsidR="00D06117" w:rsidRDefault="00D06117" w:rsidP="00D06117">
      <w:pPr>
        <w:pStyle w:val="TextoNormal"/>
      </w:pPr>
    </w:p>
    <w:p w:rsidR="00D06117" w:rsidRDefault="00D06117" w:rsidP="00D06117">
      <w:pPr>
        <w:pStyle w:val="TextoNormal"/>
      </w:pPr>
      <w:r>
        <w:t>b) Una vez descartadas las quejas anteriores, el Ministerio Fiscal rechaza que, una vez “establecidos unos criterios de interpretación normativa para fijar la refundición de condena (Auto de 6 de noviembre de 1997) y establecidos ellos en una resolución judicial, pudieran variarse en virtud de una posterior resolución, en este caso de la Sala Segunda del Tribunal Supremo, que interpreta de otra manera las normas atinentes, como lo hacen las resoluciones judiciales ahora recurridas en amparo. De todo lo anterior lo que se desprende que si estimamos que el Auto de 6 de noviembre de 1997 que fijó los criterios para la ejecución de la condena operando una interpretación concreta de la normativa en juego, y muy particularmente de la refundición de condenas, se ha visto modificado posteriormente en atención a una nueva interpretación emanada de una decisión de la Sala Segunda del Tribunal Supremo, ello comporta la vulneración del derecho a la intangibilidad de las resoluciones judiciales ex art. 24.1 CE (por todas, STC 209/2005, de 4 de julio)”. El Fiscal reconoce que ese derecho “ciertamente no ha sido enumerado como tal entre todos los motivos de amparo del presente recurso”. Sin embargo, a ello opone que “de alguna manera [su alegación] se desprende cuando se argumenta el derecho a la tutela judicial efectiva y se aludió en el recurso de súplica contra la providencia que modificaba la fecha de licenciamiento”. Por otro lado, el citado derecho “además tiene engarce con el principio de legalidad (art. 25.1 CE) en relación con la prohibición de la retroactividad de las normas penales perjudiciales contra el reo (art. 9.3 CE, por todas, STC 223/1997 y STEDH Streletz y Krenz c. Alemania de 22 de marzo de 2001), ya que las garantías de legalidad y seguridad jurídica que exigen ambos preceptos constitucionales deben extenderse no sólo al enjuiciamiento del hecho como tipicidad ciertas, taxativa y previsible (por todas SSTC 196/2002 y 111/2004), sino que lo es asimismo para con la ejecución de las penas, integrándose la irretroactividad de las normas, y su interpretación, desfavorable al reo en el complejo de legalidad del art. 25.1 CE (vid. STEDH Puhk c. Estonia de 10 de febrero de 2004). En el hecho de autos las reso</w:t>
      </w:r>
      <w:r>
        <w:lastRenderedPageBreak/>
        <w:t>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desfavorable, que supone de facto la creación ex novo de un nuevo marco normativo que ha causado una extensión de la fecha de licenciamiento del interno. A esas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21 de junio de 2011 el Pleno acordó, de conformidad con lo previsto en el art. 10.1 n) LOTC y a propuesta de la Sala Primera, recabar para sí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Tercera de la Sala de lo Penal de la Audiencia Nacional de 3 de noviembre de 2006, dictado en el rollo de sala 121993, en el que se rechaza el licenciamiento definitivo del demandante propuesto por el centro penitenciario de Burgos para el día 6 de octubre de 2006, así como contra el Auto del mismo órgano de 26 de diciembre de 2006, por el que se desestima el recurso de súplica interpuesto contra la primera resolución citada. En los dos Autos se atiene el órgano judicial al criterio de la Sentencia núm. 197/2006, de 28 de febrero, de la Sala Segunda del Tribunal Supremo, que para el caso de penas acumuladas entiende que la redención de penas por el trabajo obtenida ha de computarse sucesivamente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amparo solicitado y la anulación de las resoluciones recurridas por entender que han vulnerado los derechos fundamentales de ejecución de las resoluciones judiciales en sus propios términos (art. 24.1 CE), a la legalidad penal (art. 25.1 CE) y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El recurrente denuncia, en primer lugar, la vulneración de los derechos a la tutela judicial efectiva sin indefensión (art. 24.1 CE) y a un proceso con todas las garantías (art. 24.2 CE), como consecuencia de la supuesta indefensión que le habría producido el hecho </w:t>
      </w:r>
      <w:r>
        <w:lastRenderedPageBreak/>
        <w:t>de que el Auto de 3 de noviembre de 2006 se adoptó sin haberle dado audiencia previa, pese a que introducía una perspectiva jurídica novedosa en cuanto al cómputo de las redenciones por trabajo que empeoraba su situación afectando decisivamente a su libertad personal, y respecto de la que el recurrente no pudo defenderse ni someterla a contradicción. De igual modo, la Audiencia Nacional, al dictar esta resolución sin oír a las partes y aplicar la doctrina del Tribunal Supremo, habría impedido el derecho a un recurso efectivo y a la segunda instancia penal.</w:t>
      </w:r>
    </w:p>
    <w:p w:rsidR="00D06117" w:rsidRDefault="00D06117" w:rsidP="00D06117">
      <w:pPr>
        <w:pStyle w:val="TextoNormal"/>
      </w:pPr>
    </w:p>
    <w:p w:rsidR="00D06117" w:rsidRDefault="00D06117" w:rsidP="00D06117">
      <w:pPr>
        <w:pStyle w:val="TextoNormal"/>
      </w:pPr>
      <w:r>
        <w:t>a) La primera parte del motivo de queja, relativa a la falta de audiencia previa al recurrente en amparo, ha de ser inadmitida al concurrir el óbice procesal consistente en la falta de invocación ante los órganos de la jurisdicción ordinaria [art. 44.1 c) de la Ley Orgánica del Tribunal Constitucional]. En efecto, en el recurso de súplica interpuesto en fase de ejecución, el recurrente articuló una serie de motivos de impugnación para oponerse a esa nueva perspectiva jurídica en el cómputo de las redenciones (lo que, en opinión del Ministerio Fiscal, excluiría por sí mismo la indefensión denunciada), pero no denunció entonces la falta de audiencia, por lo que la alegada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la vía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t>b) Por lo que respecta a la segunda parte del motivo, relativa a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26 de diciembre de 2006, con expresa remisión a los argumentos de la resolución anterior.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Pacto internacional de derechos civiles y políticos y en el art. 2 del Protocolo 7 del Convenio Europeo de Derechos Humanos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3</w:t>
      </w:r>
      <w:r>
        <w:t>. En los restantes motivos de amparo, alegando siempre que su libertad personal se ha visto ilegítimamente afectada (art. 17.1 CE), denuncia el demandante desde diversas pers</w:t>
      </w:r>
      <w:r>
        <w:lastRenderedPageBreak/>
        <w:t>pectivas constitucionales la cuestión de fondo, esto es, la aplicación a las condenas privativas de libertad que cumple de un nuevo criterio jurisprudencial, adoptado por el Tribunal Supremo en la interpretación de los arts. 70.2 y 100 del Código penal (CP) de 1973 y preceptos concordantes del reglamento penitenciario, en relación con el cómputo de la redención de penas por trabajo en penas acumuladas a las que se ha fijado, según prevé el Código penal, un límite máximo de cumplimiento; en este caso de treinta años de prisión. Como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el cumplimiento de las condenas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en relación con su derecho a la libertad personal (art. 17 CE), dado que se trata del cumplimiento de una pena de prisión. Tales quejas, no pueden ser estimadas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t xml:space="preserve">a) En primer lugar, hemos de destacar que no nos encontramos en el ámbito propio del derecho fundamental consagrado en el art. 25.1 CE, que es el de la interpretación y aplicación de los tipos penales, la subsunción de los hechos probados en los mismos y la imposición de la pena para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caso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w:t>
      </w:r>
      <w:r>
        <w:lastRenderedPageBreak/>
        <w:t>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b) 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c) 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del cómputo de las redenciones de penas por el trabajo en penas acumuladas, frente a otros casos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d) De todo lo expuesto se colige también, por las razones expuestas,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4</w:t>
      </w:r>
      <w:r>
        <w:t>.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Alega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00D06117" w:rsidRDefault="00D06117" w:rsidP="00D06117">
      <w:pPr>
        <w:pStyle w:val="TextoNormal"/>
      </w:pPr>
    </w:p>
    <w:p w:rsidR="00D06117" w:rsidRDefault="00D06117" w:rsidP="00D06117">
      <w:pPr>
        <w:pStyle w:val="TextoNormal"/>
      </w:pPr>
      <w:r>
        <w:t>El Ministerio Fiscal comparte también este razonamiento del demandante por considerar que no es de recibo que, “establecidos unos criterios de interpretación normativa para fijar la refundición de condena (Auto de 6 de noviembre de 1997) y establecidos ellos en una resolución judicial, pudieran variarse en virtud de una posterior resolución, en este caso de la Sala Segunda del Tribunal Supremo, que interpreta de otra manera las normas atinentes, como lo hacen las resoluciones judiciales ahora recurridas en amparo”.</w:t>
      </w:r>
    </w:p>
    <w:p w:rsidR="00D06117" w:rsidRDefault="00D06117" w:rsidP="00D06117">
      <w:pPr>
        <w:pStyle w:val="TextoNormal"/>
      </w:pPr>
    </w:p>
    <w:p w:rsidR="00D06117" w:rsidRDefault="00D06117" w:rsidP="00D06117">
      <w:pPr>
        <w:pStyle w:val="TextoNormal"/>
      </w:pPr>
      <w:r>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(SSTC 219/2000, de 18 de septiembre, FJ 5; 151/2001, de 2 de julio, FJ 3; 163/2003, de 29 de septiembre, FJ 4; 200/2003, de 10 de noviembre, FJ 2; 15/2006, de 16 de enero, FJ 4; 231/2006, de 17 de julio, FJ 2; y 62/2010, de 18 de octubre, FJ 4, entre otras).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(STC 231/2006, de 17 de julio, FJ 2).</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obtenida por el recurrente en las resoluciones judiciales que son objeto del presente recurso de amparo, al aplicar el nuevo criterio de cómputo de las redenciones a las penas que cumple,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5</w:t>
      </w:r>
      <w:r>
        <w:t>. La respuesta a la anterior cuestión ha de ser negativa pues, como veremos, el análisis de las resoluciones dictadas por el Tribunal sentenciador en el proceso de ejecución de las penas privativas de libertad impuestas al demandante muestra que, antes de dictar los Autos recurridos en amparo el Tribunal sentenciador no había expresado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una vez constatados en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recurrente en amparo fue condenado a las siguientes penas: tres años de prisión, en causa núm. 59-1984, en Sentencia de 10 de julio de 1985, por un delito de colaboración con banda o grupo organizado y armado; diez años de prisión, en la causa núm. 4-1993, en Sentencia de 28 de octubre de 1993, por un delito de terrorismo; once años de prisión, en la causa núm. 74-1991, en Sentencia de 14 de febrero de 1994, por un delito de terrorismo; once años de prisión, en la causa núm. 231-1991, en Sentencia de 18 de marzo de 1994, por un delito continuado de terrorismo; a penas que sumaron veintisiete años y medio de prisión, en la causa núm. 14-1992, en Sentencia de 27 de septiembre de 1993, por los delitos de pertenencia a banda armada, tenencia de armas, depósito de explosivos, falsedad en documento oficial y en documento de identidad; y diez años de prisión, en la causa núm. 10-1992, en Sentencia de 27 de septiembre de 1993, por un delito de terrorismo. En total, las penas impuestas suman setenta y dos años y cinco meses de privación de libertad.</w:t>
      </w:r>
    </w:p>
    <w:p w:rsidR="00D06117" w:rsidRDefault="00D06117" w:rsidP="00D06117">
      <w:pPr>
        <w:pStyle w:val="TextoNormal"/>
      </w:pPr>
    </w:p>
    <w:p w:rsidR="00D06117" w:rsidRDefault="00D06117" w:rsidP="00D06117">
      <w:pPr>
        <w:pStyle w:val="TextoNormal"/>
      </w:pPr>
      <w:r>
        <w:t>b) Tras la entrada en vigor del Código penal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10 de junio de 1996, que no procedía revisar las penas impuestas al demandante con el siguiente razonamiento: “Vistas las penas que para esas mismas conductas prevé el Código Penal de próxima entrada en vigor, por el simple análisis comparativo global (tomada la pena taxativamente y con exclusión del arbitrio judicial) previsto en la disposición transitoria quinta del nuevo texto se aprecia que la pena cumplida con los beneficios penitenciarios previstos en el artículo 100 del CP vigente equivale en términos de cumplimiento real a una pena posible de imponer según el nuevo Código Penal”, de lo que el Tribunal dedujo la improcedencia de la revisión de la pena.</w:t>
      </w:r>
    </w:p>
    <w:p w:rsidR="00D06117" w:rsidRDefault="00D06117" w:rsidP="00D06117">
      <w:pPr>
        <w:pStyle w:val="TextoNormal"/>
      </w:pPr>
    </w:p>
    <w:p w:rsidR="00D06117" w:rsidRDefault="00D06117" w:rsidP="00D06117">
      <w:pPr>
        <w:pStyle w:val="TextoNormal"/>
      </w:pPr>
      <w:r>
        <w:t>c) Con posterioridad a esta resolución, en el expediente de refundición núm. 33-1997, la Sección Tercera de la Sala de lo Penal de la Audiencia Nacional dictó el Auto de 6 de noviembre de 1997 por el que acordó acumular las seis condenas antes relacionadas, por entender que los delitos cometidos por don Antonio Alza Hernández presentaban entre sí una clara conexión jurídica y cronológica que hubiera permitido enjuiciarlos en un solo proceso, por lo que, en aplicación de la regla segunda del art. 70 CP vigente en el momento de la comisión de los hechos, resultaba procedente fijar el límite máximo total de cumplimiento de las diversas condenas impuestas en las causas mencionadas en treinta años de privación de libertad.</w:t>
      </w:r>
    </w:p>
    <w:p w:rsidR="00D06117" w:rsidRDefault="00D06117" w:rsidP="00D06117">
      <w:pPr>
        <w:pStyle w:val="TextoNormal"/>
      </w:pPr>
    </w:p>
    <w:p w:rsidR="00D06117" w:rsidRDefault="00D06117" w:rsidP="00D06117">
      <w:pPr>
        <w:pStyle w:val="TextoNormal"/>
      </w:pPr>
      <w:r>
        <w:t xml:space="preserve">d) El 19 de diciembre de 1997 la Sala ordenó a la Secretaria Judicial practicar liquidación de las diversas condenas acumuladas, lo cual efectuó en esa misma fecha. En su propuesta, tras descontar del total máximo de cumplimiento de treinta años los días de condena ya extinguidos en la causa núm. 59-1984 (tres años), así como los días de prisión preventiva abonables (804 días, después corregidos a 805 días), la Secretaria Judicial determinó que la pena impuesta quedaría extinguida el 30 de septiembre de 2018 (liquidación de 24 de febrero de 1998, que corrige error material de cálculo de otra anterior de 11 de febrero, que </w:t>
      </w:r>
      <w:r>
        <w:lastRenderedPageBreak/>
        <w:t>corrigió otra propuesta anterior de 19 de diciembre de 1997, que fijaron la extinción uno y dos días más tarde, respectivamente). La liquidación de condena inicialmente propuesta y sus correcciones de cálculo fueron aprobadas por la Sala en sendas resoluciones de 7 de enero, 11 y 24 de febrero de 1998.</w:t>
      </w:r>
    </w:p>
    <w:p w:rsidR="00D06117" w:rsidRDefault="00D06117" w:rsidP="00D06117">
      <w:pPr>
        <w:pStyle w:val="TextoNormal"/>
      </w:pPr>
    </w:p>
    <w:p w:rsidR="00D06117" w:rsidRDefault="00D06117" w:rsidP="00D06117">
      <w:pPr>
        <w:pStyle w:val="TextoNormal"/>
      </w:pPr>
      <w:r>
        <w:t>El cómputo en esta liquidación de los tres años de prisión ya extinguidos en la causa núm. 59-1984, obligó a la Secretaria a aclarar a la Administración penitenciaria —por dos veces, en sendos oficios de 11 de febrero de 1998 y 2 de febrero de 2000, este último es el documento al que se refiere el demandante en su escrito de alegaciones— que ésa era la razón por la que el cálculo de la pena a extinguir se hacía sobre un total de veintisiete años, y no sobre los treinta años que como límite total de cumplimiento aparecían en el Auto de acumulación de penas de 6 de noviembre de 1997.</w:t>
      </w:r>
    </w:p>
    <w:p w:rsidR="00D06117" w:rsidRDefault="00D06117" w:rsidP="00D06117">
      <w:pPr>
        <w:pStyle w:val="TextoNormal"/>
      </w:pPr>
    </w:p>
    <w:p w:rsidR="00D06117" w:rsidRDefault="00D06117" w:rsidP="00D06117">
      <w:pPr>
        <w:pStyle w:val="TextoNormal"/>
      </w:pPr>
      <w:r>
        <w:t>e) No hay ninguna otra resolución judicial relevante del Tribunal sentenciador en la ejecutoria hasta que, mediante el Auto de 3 de noviembre de 2006 que es objeto de esta pretensión de amparo, el Tribunal acordó “[r]echazar el licenciamiento definitivo propuesto por el Centro Penitenciario de Burgos, respecto del penado Antonio Alza Hernández, previsto para el pasado día 6 de octubre de 2006, debiendo mantenerse su situación de penado”, sin que proceda “aprobar licenciamiento alguno dado lo remoto de la fecha de cumplimiento definitivo”, que se estima será la del 30 de septiembre de 2018.</w:t>
      </w:r>
    </w:p>
    <w:p w:rsidR="00D06117" w:rsidRDefault="00D06117" w:rsidP="00D06117">
      <w:pPr>
        <w:pStyle w:val="TextoNormal"/>
      </w:pPr>
    </w:p>
    <w:p w:rsidR="00D06117" w:rsidRDefault="00D06117" w:rsidP="00D06117">
      <w:pPr>
        <w:pStyle w:val="TextoNormal"/>
      </w:pPr>
      <w:r w:rsidRPr="00D06117">
        <w:rPr>
          <w:rStyle w:val="NumeroAFNegritaCaracter"/>
        </w:rPr>
        <w:t>6</w:t>
      </w:r>
      <w:r>
        <w:t>.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Las resoluciones judiciales impugnadas en este recurso de amparo no dejaron sin efecto dichas redenciones sino que, en ejercicio de las competencias que legalmente tiene atribuidas el Tribunal, las computaron sucesivamente sobre las diversas penas impuestas a efectos de liquidación de condena. Por tanto, las redenciones sí han sido tomadas en consideración y han reducido su condena, aunque no en la forma propuesta por el demandante.</w:t>
      </w:r>
    </w:p>
    <w:p w:rsidR="00D06117" w:rsidRDefault="00D06117" w:rsidP="00D06117">
      <w:pPr>
        <w:pStyle w:val="TextoNormal"/>
      </w:pPr>
    </w:p>
    <w:p w:rsidR="00D06117" w:rsidRDefault="00D06117" w:rsidP="00D06117">
      <w:pPr>
        <w:pStyle w:val="TextoNormal"/>
      </w:pPr>
      <w:r>
        <w:t xml:space="preserve">b) Tampoco se pronuncian sobre el criterio de cómputo de la redención en penas acumuladas las decisiones del Tribunal sentenciador —de 7 de enero, 11 y 24 de febrero de 1998— </w:t>
      </w:r>
      <w:r>
        <w:lastRenderedPageBreak/>
        <w:t>que aprobaron la propuesta de liquidación de condena formulada por la Secretaria Judicial sobre las seis penas acumuladas que debía extinguir el penado. En dicha propuesta, judicialmente aprobada, la Secretaria Judicial se limitó a calcular la fecha prevista de extinción de condena —el 30 de septiembre de 2018— una vez descontado del total de cumplimiento (treinta años) la ya cumplida pena de tres años de prisión impuesta en la causa núm. 59-1984 (que fue declarada extinguida años antes, el 14 de marzo de 1987) y descontados también los 805 días en los que el penado permaneció preso preventivo en las causas cuyas penas se acumularon. No hay por tanto, en ese momento inicial de cumplimiento de las penas, fijación de criterio o pronunciamiento alguno del que pueda predicarse su intangibilidad.</w:t>
      </w:r>
    </w:p>
    <w:p w:rsidR="00D06117" w:rsidRDefault="00D06117" w:rsidP="00D06117">
      <w:pPr>
        <w:pStyle w:val="TextoNormal"/>
      </w:pPr>
    </w:p>
    <w:p w:rsidR="00D06117" w:rsidRDefault="00D06117" w:rsidP="00D06117">
      <w:pPr>
        <w:pStyle w:val="TextoNormal"/>
      </w:pPr>
      <w:r>
        <w:t>c) Por lo que respecta al Auto de 6 de noviembre de 1997, mediante el que se acuerda la acumulación de condenas y se fija el límite máximo de cumplimiento, que cita el Ministerio Fiscal como resolución intangible que ha sido ilegítimamente desconocida, es de significar que tal Auto se limita a hacer efectivas las previsiones legales (arts. 988 LECrim y 70.2 CP 1973). No existe en él referencia alguna a la redención de penas por el trabajo o al criterio de cómputo de la misma, ni puede concluirse que dicho criterio sea relevante en modo alguno en la decisión de acumulación de condenas.</w:t>
      </w:r>
    </w:p>
    <w:p w:rsidR="00D06117" w:rsidRDefault="00D06117" w:rsidP="00D06117">
      <w:pPr>
        <w:pStyle w:val="TextoNormal"/>
      </w:pPr>
    </w:p>
    <w:p w:rsidR="00D06117" w:rsidRDefault="00D06117" w:rsidP="00D06117">
      <w:pPr>
        <w:pStyle w:val="TextoNormal"/>
      </w:pPr>
      <w:r>
        <w:t>d) Finalmente, en lo que atañe al Auto de 10 de junio de 1996, ha de señalarse que éste acordó no haber lugar a la revisión de la condena del demandante “en la presente causa a la pena de 11 años de prisión mayor” por considerar que, dados los hechos enjuiciados y la pena que le había sido impuesta, no eran más favorables las previsiones punitivas del Código penal de 1995, y lo que ahora se destaca es que esa resolución se dictó con anterioridad a que se acordara la acumulación de las condenas impuestas al demandante de amparo, de manera que el órgano judicial no pudo fijar un criterio sobre la forma del cómputo de redenciones en penas acumuladas.</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ejecutoria que aquí se examina,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7</w:t>
      </w:r>
      <w:r>
        <w:t>. La misma suerte desestimatoria debe seguir, en fin, la queja plasmada en el último motivo de amparo de la demanda, según la cual el nuevo criterio de cómputo que le ha sido aplicado deja sin efecto práctico las redenciones y la libertad condicional, lo cual vulneraría el art. 25.2 CE en cuanto prevé que las penas privativas de libertad y las medidas de seguridad estarán orientadas hacia la reeducación y reinserción social.</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w:t>
      </w:r>
      <w:r>
        <w:lastRenderedPageBreak/>
        <w:t>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Antonio Alza Hernández.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1582-2007.</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6" w:name="SENTENCIA_2012_53"/>
      <w:r>
        <w:lastRenderedPageBreak/>
        <w:t>SENTENCIA 53/2012, de 29 de marzo de 2012</w:t>
      </w:r>
    </w:p>
    <w:bookmarkEnd w:id="5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ECLI:ES:TC:2012:53</w:t>
      </w:r>
    </w:p>
    <w:p w:rsidR="00D06117" w:rsidRDefault="00D06117" w:rsidP="00D06117">
      <w:pPr>
        <w:pStyle w:val="SntesisDescriptiva"/>
      </w:pPr>
    </w:p>
    <w:p w:rsidR="00D06117" w:rsidRDefault="00D06117" w:rsidP="00D06117">
      <w:pPr>
        <w:pStyle w:val="SntesisDescriptiva"/>
      </w:pPr>
      <w:r>
        <w:t>Recurso de amparo 3027-2007. Promovido por don Manuel Lorenzo Vázquez con respecto a los Autos de la Sala de lo Penal del Tribunal Supremo y de la Sección Tercera de la Audiencia Provincial de Pontevedra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7].</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5, 6].</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que justificó razonadamente el cambio de criterio sobre la forma de cómputo de las redenciones de penas por el trabajo en penas acumuladas, frente a otros supuestos resueltos con anterioridad,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8.</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t>9.</w:t>
      </w:r>
      <w:r>
        <w:tab/>
        <w:t>La intangibilidad de lo decidido en una resolución judicial firme no afecta sólo al contenido del fallo, sino que también se proyecta sobre aquellos pronunciamientos que constituyen ratio decidendi de la resolución, aunque no se trasladen al fallo o sobre los que, aun no constituyendo el objeto mismo del proceso, resultan relevantes para la decisión adoptada (SSTC 15/2006, 62/2010) [FJ 5].</w:t>
      </w:r>
    </w:p>
    <w:p w:rsidR="00D06117" w:rsidRDefault="00D06117" w:rsidP="00D06117">
      <w:pPr>
        <w:pStyle w:val="Extracto"/>
      </w:pPr>
    </w:p>
    <w:p w:rsidR="00D06117" w:rsidRDefault="00D06117" w:rsidP="00D06117">
      <w:pPr>
        <w:pStyle w:val="Extracto"/>
      </w:pPr>
      <w:r>
        <w:t>10.</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5].</w:t>
      </w:r>
    </w:p>
    <w:p w:rsidR="00D06117" w:rsidRDefault="00D06117" w:rsidP="00D06117">
      <w:pPr>
        <w:pStyle w:val="Extracto"/>
      </w:pPr>
    </w:p>
    <w:p w:rsidR="00D06117" w:rsidRDefault="00D06117" w:rsidP="00D06117">
      <w:pPr>
        <w:pStyle w:val="Extracto"/>
      </w:pPr>
      <w:r>
        <w:t>11.</w:t>
      </w:r>
      <w:r>
        <w:tab/>
        <w:t>La exigencia de invocación previa del derecho fundamental vulnerado estriba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(STC 211/2007)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 xml:space="preserve">El Pleno del Tribunal Constitucional, compuesto por don Pascual Sala Sánchez, Presidente, don Eugeni Gay Montalvo, don Javier Delgado Barrio, doña Elisa Pérez Vera, don </w:t>
      </w:r>
      <w:r>
        <w:lastRenderedPageBreak/>
        <w:t>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3027-2007, promovido por don Manuel Lorenzo Vázquez, representado por la Procuradora de los Tribunales doña María Luisa Bermejo García y asistido por el Letrado don Jose María Martin Bermejo, contra el Auto de la Sala de lo Penal del Tribunal Supremo dictado el 1 de febrero de 2007, que declaró no haber lugar al recurso de casación interpuesto contra el Auto de la Sección Tercera de la Audiencia Provincial de Pontevedra, de 24 de abril de 2006, y contra este último. Ha intervenido el Ministerio Fiscal. Ha sido Ponente el Presidente don Pascual Sala Sánchez,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presentado en el Registro General de este Tribunal el 2 de abril de 2007, doña María Luisa Bermejo García, Procuradora de los Tribunales, en nombre y representación de don Manuel Lorenzo Vázquez,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en Sentencia de 24 de junio de 1996, dictada por la Sección Tercera de la Audiencia Provincial de Pontevedra, como autor de seis delitos de detención ilegal, un delito de robo con homicidio, tres delitos de asesinato, dos delitos de homicidio en grado de tentativa y un delito de utilización ilegítima de vehículo de motor ajeno, a las siguientes penas: por cada uno de los seis delitos de detención ilegal, doce años y un día de reclusión menor; por el delito de robo con homicidio, treinta años de reclusión mayor; por cada uno de los tres delitos de asesinato, treinta años de reclusión mayor; por cada uno de los dos delitos de homicidio en grado de tentativa, diez años de prisión mayor; y por el delito de utilización ilegítima de vehículo a motor ajeno cinco meses de arresto mayor. En la Sentencia se acordó también “[y] en cuanto a las penas impuestas, con la limitación de la regla 2ª del art. 70 del Código Penal”. Por Auto de la misma Sección de 1 de abril de 1998 se declaró firme y ejecutoria la anterior Sentencia. El Secretario Judicial efectuó el 14 de mayo de 1998 la liquidación provisional de la condena, según la cual las penas impuestas quedarían extinguidas el 24 de enero del 2024. El Ministerio Fiscal mostró su conformidad con la indicada liquidación provisional.</w:t>
      </w:r>
    </w:p>
    <w:p w:rsidR="00D06117" w:rsidRDefault="00D06117" w:rsidP="00D06117">
      <w:pPr>
        <w:pStyle w:val="TextoNormal"/>
      </w:pPr>
    </w:p>
    <w:p w:rsidR="00D06117" w:rsidRDefault="00D06117" w:rsidP="00D06117">
      <w:pPr>
        <w:pStyle w:val="TextoNormal"/>
      </w:pPr>
      <w:r>
        <w:lastRenderedPageBreak/>
        <w:t>b) El Director del centro penitenciario Madrid II, donde el penado extinguía su condena, remitió al Tribunal sentenciador un oficio de fecha 8 de marzo de 2006 en el que informaba a la Sala sobre la situación penal y penitenciaria del interno señor Lorenzo Vázquez, al tiempo que interesaba “conocer si los beneficios penitenciarios (redenciones) siguen aplicándose sobre el límite establecido en la Sentencia de 30 años o, por el contrario, si dichos beneficios se computan sobre el total de las penas impuestas (212 años, 5 meses y un día), tal como se indica en dicha Sentencia [197/2006 del Tribunal Supremo]”. Por providencia de 10 de marzo de 2006, dictada por la misma Sección, se dio traslado a las partes y al Ministerio Fiscal del oficio remitido por el centro penitenciario.</w:t>
      </w:r>
    </w:p>
    <w:p w:rsidR="00D06117" w:rsidRDefault="00D06117" w:rsidP="00D06117">
      <w:pPr>
        <w:pStyle w:val="TextoNormal"/>
      </w:pPr>
    </w:p>
    <w:p w:rsidR="00D06117" w:rsidRDefault="00D06117" w:rsidP="00D06117">
      <w:pPr>
        <w:pStyle w:val="TextoNormal"/>
      </w:pPr>
      <w:r>
        <w:t>c) El Fiscal consideró aplicable la STS 197/2006, de 28 de febrero. En el mismo sentido se pronunció la representación procesal de la acusación particular. El demandante manifestó que las redenciones debían ser computadas sobre el límite de treinta años que se fijó en la Sentencia. Por Auto de 24 de abril de 2006, el Tribunal sentenciador, aplicando la STS 197/2006 estableció que el máximo de cumplimiento de la pena impuesta a don Manuel Lorenzo Vázquez era de treinta años “pero computándose los beneficios penitenciarios respecto a cada una de las penas individualmente”.</w:t>
      </w:r>
    </w:p>
    <w:p w:rsidR="00D06117" w:rsidRDefault="00D06117" w:rsidP="00D06117">
      <w:pPr>
        <w:pStyle w:val="TextoNormal"/>
      </w:pPr>
    </w:p>
    <w:p w:rsidR="00D06117" w:rsidRDefault="00D06117" w:rsidP="00D06117">
      <w:pPr>
        <w:pStyle w:val="TextoNormal"/>
      </w:pPr>
      <w:r>
        <w:t>d) Contra dicho Auto la representación procesal del demandante preparó e interpuso el recurso de casación anunciado, denunciando la aplicación indebida o incorrecta de los arts. 70 y 100 del Código penal de 1973 (en adelante CP 1973). El recurso de casación fue desestimado por Auto de 1 de febrero de 2007, tras entender la Sala que carecía manifiestamente de fundamento.</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invoca como vulnerados en su demanda de amparo el derecho a obtener de Jueces y Tribunales la tutela judicial efectiva (art. 24 CE), el derecho a la igualdad (art. 14 CE), el derecho a la legalidad de las infracciones y sanciones (art. 25.1 CE) y el derecho a la libertad personal (art. 17 CE).</w:t>
      </w:r>
    </w:p>
    <w:p w:rsidR="00D06117" w:rsidRDefault="00D06117" w:rsidP="00D06117">
      <w:pPr>
        <w:pStyle w:val="TextoNormal"/>
      </w:pPr>
    </w:p>
    <w:p w:rsidR="00D06117" w:rsidRDefault="00D06117" w:rsidP="00D06117">
      <w:pPr>
        <w:pStyle w:val="TextoNormal"/>
      </w:pPr>
      <w:r>
        <w:t>Expone que se ha vulnerado su derecho a obtener tutela judicial efectiva al quebrantar el principio de legalidad penal como consecuencia de una aplicación retroactiva de la novedosa línea interpretativa efectuada, en contra del reo, por la STS 197/2006. Entiende que dicha doctrina no es aplicable a quienes se encontraban cumpliendo condenas refundidas en el momento en que fue dictada. Añade que no cabe revisar decisiones judiciales firmes en virtud de cambios jurisprudenciales, salvo que sean más beneficiosos para el condenado, lo que no sucede en el presente caso. Indica que la Sentencia citada aplica tácita y retroactivamente en perjuicio del reo el art. 78 CP en su actual redacción, dada por la Ley Orgánica 7/2003. Sostiene, que en la práctica se da la paradoja de que penados a los que se ha fijado en treinta años de privación de libertad el mismo límite de cumplimiento máximo de sus penas, las ven extinguidas tras veinte años de cumplimiento efectivo —o menos si tienen redenciones extraordinarias—, frente a otros internos, en idéntica situación, que necesitarán treinta años de cumplimiento efectivo para alcanzar y obtener el licenciamiento definitivo, lo que vulneraría su derecho a la igualdad en la aplicación de la ley (art. 14 CE).</w:t>
      </w:r>
    </w:p>
    <w:p w:rsidR="00D06117" w:rsidRDefault="00D06117" w:rsidP="00D06117">
      <w:pPr>
        <w:pStyle w:val="TextoNormal"/>
      </w:pPr>
    </w:p>
    <w:p w:rsidR="00D06117" w:rsidRDefault="00D06117" w:rsidP="00D06117">
      <w:pPr>
        <w:pStyle w:val="TextoNormal"/>
      </w:pPr>
      <w:r>
        <w:t xml:space="preserve">Posteriormente afirma que la vulneración del derecho a la tutela judicial efectiva ha ocasionado también la lesión de su derecho a la libertad personal (art. 17 CE). Tras reproducir parcialmente la STC 108/2001, de 23 de abril, considera que las redenciones deben considerarse tiempo de cumplimiento efectivo, según el tenor literal del art. 100 CP 1973, siendo </w:t>
      </w:r>
      <w:r>
        <w:lastRenderedPageBreak/>
        <w:t>unánimemente aceptada dicha equiparación, aplicada e incuestionada por la Administración penitenciaria así como por los órganos judiciales. Indica que lo contrario sería negar eficacia práctica a las redenciones obtenidas por el trabajo. Entiende que las redenciones ya aprobadas por el Juez de vigilancia penitenciaria también son tiempo de cumplimiento efectivo, en tanto que el art. 70.2 CP 1973 no distingue entre cumplimiento efectivo y cumplimiento redimido a la hora de alcanzar el límite máximo de cumplimiento. Entiende que la motivación de los Autos impugnados es errónea y desacertada, y prolonga el tiempo de cumplimiento de la pena vulnerando su derecho a la libertad.</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15 de noviembre de 2007, la Sala Primera de este Tribunal acordó la admisión a trámite de la demanda así como, a tenor de lo establecido en el art. 51 de la Ley Orgánica del Tribunal Constitucional (LOTC), requerir a la Sala de lo Penal del Tribunal Supremo y a la Sección Tercera de la Audiencia Provincial de Pontevedra, para que remitieran respectivamente certificación o fotocopia adverada de las actuaciones correspondientes al recurso de casación y la ejecutoria. Al mismo tiempo interesó que se emplazara a quienes fueron parte en el procedimiento, a excepción del demandante de amparo, para que pudiesen comparecer en el plazo de diez días en el proceso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El Abogado del Estado, que había sido parte en el proceso judicial previo, presentó escrito el 27 de diciembre de 2010 solicitando que se le tuviera por personado en la representación que ostenta. Doña Silvia Barreiro Teijeiro, en representación de don Pedro Fernández Sanromán, mediante escrito presentado el 23 de diciembre de 2010, interesó también que se le tuviera por personada.</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la Secretaría de Justicia de la Sala Primera del Tribunal Constitucional de 10 de enero de 2011, se acordó dar vista de las actuaciones recibidas al Ministerio Fiscal y a las partes personadas, para que dentro del plazo de veinte días, pudieran presentar las alegaciones que a su derecho convenga, de conformidad con lo dispuesto en el art. 52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recurrente en amparo, evacuó el trámite de alegaciones conferido, mediante escrito registrado en fecha 7 de febrero de 2011 en el que ratifica íntegramente las alegaciones efectuadas en el escrito de demanda.</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 don Pedro Fernández Sanromán presentó sus alegaciones en escrito de fecha 11 de febrero de 2011. En él solicita la desestimación de la demanda de amparo al considerar que no había existido modificación alguna de resolución judicial, ni aplicación retroactiva de una norma penal desfavorable, sino la aplicación de un criterio interpretativo del art. 70 CP 1973, en virtud de una decisión fundada, pues lo pretendido por el demandante supondría conceder el mismo trato a quien comete un delito que a quien comete cien.</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El Abogado del Estado presentó escrito de alegaciones el 27 de enero de 2011. Las inicia afirmando la existencia de causa de inadmisión del recurso de amparo en virtud de lo dispuesto en el art. 50.1 a) LOTC en relación con el art. 44.1 c) LOTC, por cuanto entiende </w:t>
      </w:r>
      <w:r>
        <w:lastRenderedPageBreak/>
        <w:t>que el demandante no denunció formalmente, al interponer el recurso de casación, la vulneración de derecho fundamental alguno, sino que planteó su impugnación en clave exclusiva de legalidad ordinaria. Considera que tales preceptos exigen la denuncia formal de la vulneración del derecho fundamental “y no la invocación formal del derecho, tan ‘flexibilizada’ por la doctrina constitucional”.</w:t>
      </w:r>
    </w:p>
    <w:p w:rsidR="00D06117" w:rsidRDefault="00D06117" w:rsidP="00D06117">
      <w:pPr>
        <w:pStyle w:val="TextoNormal"/>
      </w:pPr>
    </w:p>
    <w:p w:rsidR="00D06117" w:rsidRDefault="00D06117" w:rsidP="00D06117">
      <w:pPr>
        <w:pStyle w:val="TextoNormal"/>
      </w:pPr>
      <w:r>
        <w:t>A continuación indica que el demandante no identifica la “decisión judicial firme” que ha sido modificada por las resoluciones recurridas. Entiende que no lo ha podido ser la Sentencia que le condenó, pues en ella se impusieron penas que suman más de doscientos años de privación de libertad, de los que sólo cumplirá, como máximo, treinta, “dejando extinguir” las demás. Con cita de las SSTC 93/2010, 121/2007 y 116/2003 entiende que el fallo de la Sentencia condenatoria de 24 de junio de 1996 no ha sido alterado lo más mínimo.</w:t>
      </w:r>
    </w:p>
    <w:p w:rsidR="00D06117" w:rsidRDefault="00D06117" w:rsidP="00D06117">
      <w:pPr>
        <w:pStyle w:val="TextoNormal"/>
      </w:pPr>
    </w:p>
    <w:p w:rsidR="00D06117" w:rsidRDefault="00D06117" w:rsidP="00D06117">
      <w:pPr>
        <w:pStyle w:val="TextoNormal"/>
      </w:pPr>
      <w:r>
        <w:t>Afirma que la irretroactividad está garantizada en el art. 25.1 CE frente a la actividad nomotética del legislador penal, pero no impide que un tipo penal reciba una interpretación menos benigna que aquella que venía practicándose anteriormente, siempre que no sea irrazonable, por imprevisible o incoherente con la sustancia de la infracción. Expone que la interpretación razonada en la STS 197/2006, de 28 de febrero, es más ajustada a la literalidad de los arts. 70.2 y 100 CP 1973, y más conforme con el principio de justicia (art. 1.1 CE). De los arts. 24.1 y 25.1 CE no resulta que los penados ostenten un derecho constitucional a que las normas sobre beneficios penitenciarios se apliquen de la manera que más favorezca a su pronta excarcelación por licenciamiento definitivo, pasando por encima de las más elementales consideraciones de justicia, de respeto a las víctimas, y a sus deudos, y aún de las finalidades de la propia pena: retributiva, preventiva e incluso resocializadora. Entiende, que existiría retroactividad si la variación del cómputo del beneficio de redención de penas por el trabajo se pretendiera aplicar a internos ya licenciados por haber aceptado el Juez o Tribunal de ejecución que habían cumplido su condena. Pero no hay retroactividad si la pena aún se está cumpliendo, pues el distinto modo de aplicar el beneficio penitenciario varía sólo el momento final de cumplimiento penitenciario al que aún no se había llegado en este caso.</w:t>
      </w:r>
    </w:p>
    <w:p w:rsidR="00D06117" w:rsidRDefault="00D06117" w:rsidP="00D06117">
      <w:pPr>
        <w:pStyle w:val="TextoNormal"/>
      </w:pPr>
    </w:p>
    <w:p w:rsidR="00D06117" w:rsidRDefault="00D06117" w:rsidP="00D06117">
      <w:pPr>
        <w:pStyle w:val="TextoNormal"/>
      </w:pPr>
      <w:r>
        <w:t>Con cita de las SSTC 2/2007, 134/2007, 147/2007, 31/2008 y 67/2008, considera que no hay violación de la igualdad aplicativa (art. 14 CE), al no acreditarse ni siquiera mínimamente un término de comparación preciso e individualizado, ni se prueba la identidad de órgano, ni se acredita la ruptura arbitraria con una línea jurisprudencial preexistente, o con un precedente inmediato del mismo órgano.</w:t>
      </w:r>
    </w:p>
    <w:p w:rsidR="00D06117" w:rsidRDefault="00D06117" w:rsidP="00D06117">
      <w:pPr>
        <w:pStyle w:val="TextoNormal"/>
      </w:pPr>
    </w:p>
    <w:p w:rsidR="00D06117" w:rsidRDefault="00D06117" w:rsidP="00D06117">
      <w:pPr>
        <w:pStyle w:val="TextoNormal"/>
      </w:pPr>
      <w:r>
        <w:t>Por último, entiende que si no ha existido vulneración del derecho a la tutela judicial efectiva, tampoco se ha vulnerado la libertad personal del demandante. Existe título legítimo de privación de libertad, la Sentencia firme, sin que el derecho fundamental a la libertad personal entrañe el derecho a que se computen los beneficios de reducción de penas por el trabajo de manera que faciliten al máximo el licenciamiento del centro penitenciario. Añade que el motivo simplemente deja constancia de una discrepancia de opinión que carece de relevancia jurídica. Por lo expuesto solicita que se dicte Sentencia por la que se inadmita el amparo o subsidiariamente se desestime.</w:t>
      </w:r>
    </w:p>
    <w:p w:rsidR="00D06117" w:rsidRDefault="00D06117" w:rsidP="00D06117">
      <w:pPr>
        <w:pStyle w:val="TextoNormal"/>
      </w:pPr>
    </w:p>
    <w:p w:rsidR="00D06117" w:rsidRDefault="00D06117" w:rsidP="00D06117">
      <w:pPr>
        <w:pStyle w:val="TextoNormal"/>
      </w:pPr>
      <w:r w:rsidRPr="00D06117">
        <w:rPr>
          <w:rStyle w:val="NumeroAFNegritaCaracter"/>
        </w:rPr>
        <w:t>10</w:t>
      </w:r>
      <w:r>
        <w:t xml:space="preserve">. El Ministerio Fiscal presentó sus alegaciones mediante escrito registrado el día 15 de febrero de 2011. En ellas examina, en primer lugar, la alegada vulneración del derecho a </w:t>
      </w:r>
      <w:r>
        <w:lastRenderedPageBreak/>
        <w:t>la tutela judicial efectiva (art. 24.1 CE). Considera que el núcleo del problema reside en que ambas resoluciones judiciales recurridas en amparo asumen los criterios expresados por la STS 197/2006, de 28 de febrero. Entiende que la norma no ha variado, tanto si se considera el art. 70.2 CP 1973 o el art. 76.2 CP 1995. Lo que sí ha variado sustancialmente es la aplicación de la norma, lo que ocasiona un evidente perjuicio penológico al demandante de amparo. Debe analizarse, si el evidente perjuicio tiene entidad y encaje en alguno de los derechos fundamentales que se alegan como vulnerados. Indica que el penado venía disfrutando de beneficios penitenciarios de manera diferente a lo exigido por la mencionada Sentencia del Tribunal Supremo, por ello se fijó la fecha del licenciamiento el 24 de enero de 2024. Tras citar la STC 23/2005, de 14 de febrero, indicando que el derecho a la intangibilidad de las resoluciones judiciales firmes se encuentra amparado en el seno del art. 24.1 CE, afirma que dicho derecho fundamental se configura en buena medida como un derecho subjetivo, de quienes han sido parte o lo son en un proceso, a que las resoluciones judiciales firmes no sean modificadas o alteradas fuera de los cauces previstos en la ley (STC 234/2007, de 5 de noviembre).</w:t>
      </w:r>
    </w:p>
    <w:p w:rsidR="00D06117" w:rsidRDefault="00D06117" w:rsidP="00D06117">
      <w:pPr>
        <w:pStyle w:val="TextoNormal"/>
      </w:pPr>
    </w:p>
    <w:p w:rsidR="00D06117" w:rsidRDefault="00D06117" w:rsidP="00D06117">
      <w:pPr>
        <w:pStyle w:val="TextoNormal"/>
      </w:pPr>
      <w:r>
        <w:t>Tras plantearse si la resoluciones judiciales como los Autos, liquidaciones y refundiciones de condena, poseen o no la naturaleza de firmes que implica su intangibilidad, citando a tal efecto la STC 174/89, de 30 de octubre, afirma que el conflicto se plantea en relación a la prevalencia entre la exigencia de mantenimiento de una resolución judicial de refundición de penas y la variación de una interpretación jurisprudencial de su núcleo duro normativo que implica consecuencias retroactivamente perjudiciales para la fecha del licenciamiento definitivo. Sostiene que la ejecución de una Sentencia penal debe obedecer siempre a criterios de estricta legalidad (SSTC 11/1987 y 147/1988), no siendo de recibo que establecidos en una resolución judicial unos criterios de interpretación normativa para fijar la refundición de condena (la liquidación de condena de 14 de mayo de 1998), los mismos puedan variarse en virtud de una resolución posterior, sin vulnerar el derecho a la intangibilidad de las resoluciones judiciales (STC 209/2005, de 4 de julio).</w:t>
      </w:r>
    </w:p>
    <w:p w:rsidR="00D06117" w:rsidRDefault="00D06117" w:rsidP="00D06117">
      <w:pPr>
        <w:pStyle w:val="TextoNormal"/>
      </w:pPr>
    </w:p>
    <w:p w:rsidR="00D06117" w:rsidRDefault="00D06117" w:rsidP="00D06117">
      <w:pPr>
        <w:pStyle w:val="TextoNormal"/>
      </w:pPr>
      <w:r>
        <w:t>Prosigue señalando que dicho derecho tiene engarce con el principio de legalidad (art. 25.1 CE) en relación con la prohibición de retroactividad de las normas penales perjudiciales para el reo (art. 9.3 CE, por todas STC 223/1997 y STEDH Streletz, Kessler y Krenz c. Alemania, de 22 de marzo de 2001), ya que las garantías de legalidad y seguridad jurídica que exigen ambos preceptos constitucionales deben extenderse no sólo al enjuiciamiento del hecho como tipicidad cierta, taxativa y previsible (por todas SSTC 196/2002 y 111/2004), sino que lo es asimismo para con la ejecución de las penas, integrándose la irretroactividad de las normas, y su interpretación, desfavorable al reo en el complejo de legalidad del art. 25.1 CE (STEDH Puhk c. Estonia, de 10 de febrero de 2004). Entiende que las resoluciones recurridas suponen de facto, la creación ex novo de un nuevo marco “paranormativo”, que ha causado una extensión de la fecha de licenciamiento del interno, vulnerando con ello el derecho a la libertad personal del demandante, al ser la fecha prevista de licenciamiento definitivo muy posterior como consecuencia de esa desfavorable interpretación normativa.</w:t>
      </w:r>
    </w:p>
    <w:p w:rsidR="00D06117" w:rsidRDefault="00D06117" w:rsidP="00D06117">
      <w:pPr>
        <w:pStyle w:val="TextoNormal"/>
      </w:pPr>
    </w:p>
    <w:p w:rsidR="00D06117" w:rsidRDefault="00D06117" w:rsidP="00D06117">
      <w:pPr>
        <w:pStyle w:val="TextoNormal"/>
      </w:pPr>
      <w:r>
        <w:t xml:space="preserve">Posteriormente, descarta la vulneración del derecho a la igualdad (art. 14 CE), pues el término de comparación que se ofrece es indeterminado en su formulación, por lo que, en modo alguno cumple con los requisitos que para tal término de comparación a los efectos del derecho fundamental a la igualdad vienen exigiéndose por el Tribunal Constitucional </w:t>
      </w:r>
      <w:r>
        <w:lastRenderedPageBreak/>
        <w:t>(SSTC 200/2001, 70/2003, 297/2005 y 190/2006). Por otra parte, del Tribunal Constitucional no encontró vulneración del derecho a la igualdad al examinar diferentes criterios en la aplicación de las penas (STC 256/1988).</w:t>
      </w:r>
    </w:p>
    <w:p w:rsidR="00D06117" w:rsidRDefault="00D06117" w:rsidP="00D06117">
      <w:pPr>
        <w:pStyle w:val="TextoNormal"/>
      </w:pPr>
    </w:p>
    <w:p w:rsidR="00D06117" w:rsidRDefault="00D06117" w:rsidP="00D06117">
      <w:pPr>
        <w:pStyle w:val="TextoNormal"/>
      </w:pPr>
      <w:r>
        <w:t>Por lo expuesto solicita la estimación del amparo por vulneración del derecho a la intangibilidad de las resoluciones judiciales (art. 24.1 CE), legalidad penal en relación con la irretroactividad de lo desfavorable para el reo (art. 25.1 CE en relación con el art. 9.3 CE), y el derecho a la libertad personal (art. 17.1 CE), por lo que deben ser anuladas las resoluciones impugnadas ordenando que se pronuncie de nuevo el Tribunal sentenciador sobre la fecha de licenciamiento definitivo del condenado respetando los derechos fundamentales que han sido vulnerados.</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fecha 21 de junio de 2011, el Pleno acordó recabar para sí, a propuesta de la Sala Primera,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1 de febrero de 2007 de la Sala Segunda del Tribunal Supremo que, al apreciar carencia manifiesta de fundamento, inadmitió el recurso de casación presentado contra el anterior Auto de 24 de abril de 2006 de la Audiencia Provincial de Pontevedra que, como Tribunal sentenciador, acordó que la redención de penas por el trabajo que hubiera obtenido o pudiera obtener el demandante durante el cumplimiento de su condena se computara sobre cada una de las penas impuestas, y no sobre el límite máximo de cumplimiento de treinta años de privación de libertad que había sido fijado en la Sentencia condenatoria, de 24 de junio de 1996.</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la legalidad de las infracciones y sanciones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Abogado del Estado considera que concurre un óbice procesal que debe llevar a inadmitir el recurso de amparo por cuanto se habrían invocado deficientemente en el recurso de casación los derechos fundamentales ahora alegados. En su opinión, el recurso de casación se planteó exclusivamente en términos de infracción de la legalidad penal [arts. 70.2 y 100 del Código penal (CP) de 1973] no habiendo dado oportunidad a la jurisdicción ordinaria de pronunciarse sobre las quejas que hoy sustentan su pretensión de amparo. Subsidiariamente, para el caso de no apreciarse el óbice procesal reseñado, solicita la desestimación de la demanda, en los términos que han sido expuestos en los antecedentes.</w:t>
      </w:r>
    </w:p>
    <w:p w:rsidR="00D06117" w:rsidRDefault="00D06117" w:rsidP="00D06117">
      <w:pPr>
        <w:pStyle w:val="TextoNormal"/>
      </w:pPr>
    </w:p>
    <w:p w:rsidR="00D06117" w:rsidRDefault="00D06117" w:rsidP="00D06117">
      <w:pPr>
        <w:pStyle w:val="TextoNormal"/>
      </w:pPr>
      <w:r>
        <w:t xml:space="preserve">El Ministerio Fiscal, por su parte, apoya la estimación parcial del recurso presentado por entender que, tal y como se denuncia, la aplicación del nuevo criterio jurisprudencial fijado </w:t>
      </w:r>
      <w:r>
        <w:lastRenderedPageBreak/>
        <w:t>en la citada Sentencia 197/2006, de 28 de febrero, del Tribunal Supremo, supone la vulneración de los derechos fundamentales consagrados en los arts. 17.1, 24.1 y 25.1 CE, por afectar a situaciones jurídicas ya reconocidas por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2</w:t>
      </w:r>
      <w:r>
        <w:t>. El análisis de las actuaciones recabadas del Tribunal sentenciador nos impide apreciar el óbice de procedibilidad aducido por el Abogado del Estado en su escrito de alegaciones, que se basa en la deficiente invocación formal de los derechos fundamentales en el recurso de casación presentado contra la resolución impugnada. Si bien es cierto que la preparación del recurso de casación, y su interposición después, se hizo, fundamentalmente denunciando la infracción de los arts. 70.2 y 100 del Código penal, es posible apreciar de forma suficiente el planteamiento de la cuestión, durante su desarrollo, en términos que permiten preservar la subsidiariedad del amparo.</w:t>
      </w:r>
    </w:p>
    <w:p w:rsidR="00D06117" w:rsidRDefault="00D06117" w:rsidP="00D06117">
      <w:pPr>
        <w:pStyle w:val="TextoNormal"/>
      </w:pPr>
    </w:p>
    <w:p w:rsidR="00D06117" w:rsidRDefault="00D06117" w:rsidP="00D06117">
      <w:pPr>
        <w:pStyle w:val="TextoNormal"/>
      </w:pPr>
      <w:r>
        <w:t>Al analizar la causa de inadmisión prevista en el art. 50.1 a), en relación con el art. 44.1 c), ambos de la Ley Orgánica del Tribunal Constitucional (LOTC), en la redacción anterior a la Ley Orgánica 6/2007, de 24 de mayo, hemos destacado en nuestra jurisprudencia (STC 211/2007, de 8 de octubre, FJ 2) que la razón que sustenta esta exigencia y, con ella, la interpretación teleológica del mencionado requisito que exige “que se haya invocado formalmente en el proceso el derecho constitucional vulnerado, tan pronto como, una vez conocida la violación, hubiere lugar para ello”, estriba en la necesidad de preservar el carácter subsidiario del recurso de amparo constitucional, configurándose como un mecanismo esencial para la articulación entre la jurisdicción ordinaria y la jurisdicción constitucional, por cuanto exige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del tal derecho.</w:t>
      </w:r>
    </w:p>
    <w:p w:rsidR="00D06117" w:rsidRDefault="00D06117" w:rsidP="00D06117">
      <w:pPr>
        <w:pStyle w:val="TextoNormal"/>
      </w:pPr>
    </w:p>
    <w:p w:rsidR="00D06117" w:rsidRDefault="00D06117" w:rsidP="00D06117">
      <w:pPr>
        <w:pStyle w:val="TextoNormal"/>
      </w:pPr>
      <w:r>
        <w:t xml:space="preserve">El sentido más profundo del requisito exigido por el art. 44.1 c) LOTC —hemos declarado también en la STC 203/1987, de 18 de diciembre—,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resultará desvirtuada si ante ella se trajeran cuestiones sobre las que previamente, a través de las vías procesales oportunas, no se ha dado ocasión de pronunciarse a los órganos del Poder Judicial, que son los que de modo directo y en primer término </w:t>
      </w:r>
      <w:r>
        <w:lastRenderedPageBreak/>
        <w:t>garantizan los derechos fundamentales que la Constitución proclama” (FJ 2; en igual sentido, SSTC 201/2000, de 24 de julio, FJ 2; 130/2006, de 24 de abril, FJ 4; y 132/2006, de 27 de abril, FJ 2, por todas).</w:t>
      </w:r>
    </w:p>
    <w:p w:rsidR="00D06117" w:rsidRDefault="00D06117" w:rsidP="00D06117">
      <w:pPr>
        <w:pStyle w:val="TextoNormal"/>
      </w:pPr>
    </w:p>
    <w:p w:rsidR="00D06117" w:rsidRDefault="00D06117" w:rsidP="00D06117">
      <w:pPr>
        <w:pStyle w:val="TextoNormal"/>
      </w:pPr>
      <w:r>
        <w:t>El requisito cuyo incumplimiento se aduce por el Abogado del Estado como causa de inadmisión de este recurso de amparo incluye una doble exigencia: la invocación formal del derecho constitucional vulnerado y el que esa invocación se produzca “tan pronto como, una vez conocida la violación, hubiere lugar para ello”. La finalidad apuntada de preservar el carácter subsidiario del recurso de amparo ha guiado la interpretación de este requisito y el contenido mínimo del que debe dotarse la invocación para que pueda considerarse cumplido. En tal sentido, el Tribunal ha rechazado una interpretación literal o excesivamente rigorista de este requisito,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Por ello, en numerosas resoluciones, que constituyen un cuerpo jurisprudencial consolidado,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nomen iuris, ha de efectuarse, sin embargo,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Así, se ha señalado que lo decisivo es que, a través de las alegaciones que se formulen en la vía judicial, de los términos en que se ha planteado el debate en la vía procesal o de la descripción fáctica o histórica o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w:t>
      </w:r>
    </w:p>
    <w:p w:rsidR="00D06117" w:rsidRDefault="00D06117" w:rsidP="00D06117">
      <w:pPr>
        <w:pStyle w:val="TextoNormal"/>
      </w:pPr>
    </w:p>
    <w:p w:rsidR="00D06117" w:rsidRDefault="00D06117" w:rsidP="00D06117">
      <w:pPr>
        <w:pStyle w:val="TextoNormal"/>
      </w:pPr>
      <w:r>
        <w:t>Pues bien, examinado el escrito de interposición del recurso de casación de fecha 22 de junio de 2006, es posible apreciar en él que, junto a la denunciada infracción de la ley penal, se argumenta en términos constitucionales, llegando a anticipar que las infracciones denunciadas supondrían las de los derechos a la tutela judicial efectiva por intangibilidad de resoluciones judiciales firmes y a la libertad personal [letra c) del desarrollo del motivo primero del recurso de casación]. Asimismo, al resolver el recurso de casación, el Auto de inadmisión de 1 de febrero de 2007, en su razonamiento jurídico único [letra b)] niega que las infracciones denunciadas supongan quiebra alguna del derecho a la igualdad en la aplicación de la ley o del derecho a la legalidad sancionadora (art. 25.1 CE) por aplicación retroactiva de normas penales desfavorables.</w:t>
      </w:r>
    </w:p>
    <w:p w:rsidR="00D06117" w:rsidRDefault="00D06117" w:rsidP="00D06117">
      <w:pPr>
        <w:pStyle w:val="TextoNormal"/>
      </w:pPr>
    </w:p>
    <w:p w:rsidR="00D06117" w:rsidRDefault="00D06117" w:rsidP="00D06117">
      <w:pPr>
        <w:pStyle w:val="TextoNormal"/>
      </w:pPr>
      <w:r>
        <w:t>Por tanto, la forma descrita en que se ha realizado en este caso la invocación en el recurso de casación de los derechos fundamentales supuestamente vulnerados ha de estimarse, de acuerdo con la doctrina constitucional de la que se ha dejado constancia, como suficiente para dar por satisfecho el requisito procesal que se alega como incumplido.</w:t>
      </w:r>
    </w:p>
    <w:p w:rsidR="00D06117" w:rsidRDefault="00D06117" w:rsidP="00D06117">
      <w:pPr>
        <w:pStyle w:val="TextoNormal"/>
      </w:pPr>
    </w:p>
    <w:p w:rsidR="00D06117" w:rsidRDefault="00D06117" w:rsidP="00D06117">
      <w:pPr>
        <w:pStyle w:val="TextoNormal"/>
      </w:pPr>
      <w:r w:rsidRPr="00D06117">
        <w:rPr>
          <w:rStyle w:val="NumeroAFNegritaCaracter"/>
        </w:rPr>
        <w:t>3</w:t>
      </w:r>
      <w:r>
        <w:t>. Como quedó reflejado en los antecedentes, el demandante denuncia la supuesta vulneración de los principios de igualdad en la aplicación de la ley (art. 14 CE) y de legalidad penal —desde la doble perspectiva de la ilegitimidad del nuevo criterio interpretativo y la aplicación retroactiva de una ley desfavorable (art. 25.1 CE)—, ambos puestos en relación con su derecho a la tutela judicial efectiva (pues considera irrazonable la interpretación judicial) y el derecho a la libertad personal (art. 17.1 CE), que se habría visto ilegítimamente afectada al tratarse del cumplimiento de una pena privativa de libertad. Se denuncia así, desde diversas perspectivas constitucionales, la cuestión de fondo; esto es, la aplicación a las condenas privativas de libertad que extingue de un nuevo criterio jurisprudencial, adoptado por el Tribunal Supremo en la interpretación de los arts. 70.2 y 100 CP 1973 y preceptos concordantes del reglamento penitenciario, en relación con el cómputo de la redención de penas por trabajo en penas acumuladas a las que se ha fijado, según prevén dichos preceptos del Código penal, un límite máximo de cumplimiento; en este caso de treinta años de prisión.</w:t>
      </w:r>
    </w:p>
    <w:p w:rsidR="00D06117" w:rsidRDefault="00D06117" w:rsidP="00D06117">
      <w:pPr>
        <w:pStyle w:val="TextoNormal"/>
      </w:pPr>
    </w:p>
    <w:p w:rsidR="00D06117" w:rsidRDefault="00D06117" w:rsidP="00D06117">
      <w:pPr>
        <w:pStyle w:val="TextoNormal"/>
      </w:pPr>
      <w:r>
        <w:t>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Las quejas, cuya estimación parcial propone el Ministerio Fiscal en su escrito de alegaciones, no pueden ser compartidas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t>En primer lugar, hemos de destacar que, pese a la reiteración con que se alega,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tiempo máximo de cumplimiento legalmente previsto (en este caso, treinta años de prisión).</w:t>
      </w:r>
    </w:p>
    <w:p w:rsidR="00D06117" w:rsidRDefault="00D06117" w:rsidP="00D06117">
      <w:pPr>
        <w:pStyle w:val="TextoNormal"/>
      </w:pPr>
    </w:p>
    <w:p w:rsidR="00D06117" w:rsidRDefault="00D06117" w:rsidP="00D06117">
      <w:pPr>
        <w:pStyle w:val="TextoNormal"/>
      </w:pPr>
      <w:r>
        <w:t xml:space="preserve">El Tribunal Europeo de Derecho Humanos viene afirmando que las cuestiones relativas a la ejecución de la pena ya impuesta, en la medida en que no impliquen que la misma sea </w:t>
      </w:r>
      <w:r>
        <w:lastRenderedPageBreak/>
        <w:t>más grave que la prevista por la ley, no conciernen al derecho a la legalidad penal consagrado en el art. 7.1 del Convenio, por más que sí puedan afectar al derecho a la libertad personal si se actúa al margen de lo previsto en la ley.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de la Ley de enjuiciamiento criminal.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Los cambios de criterio jurisprudencial y su conformidad con la Constitución pueden, sin embargo, ser cuestionados desde otras perspectivas. Una de ellas, alegada en la demanda de amparo, tiene que ver con el contenido del derecho a la igualdad en la aplicación de la ley (art. 14.1 CE). Pero tampoco desde esta perspectiva puede apreciarse en el presente caso la vulneración denunciada. Como señala el Ministerio Fiscal, las resoluciones impugnadas, dictadas por la Audiencia Provincial de Pontevedra, se limitan a aplicar la doctrina sentada por otro órgano judicial, el Tribunal Supremo, máximo intérprete de la ley, que justificó </w:t>
      </w:r>
      <w:r>
        <w:lastRenderedPageBreak/>
        <w:t>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 A lo que hay que añadir que, para hacer el juicio de igualdad, no es válido el término de comparación postulado en la demanda según el cual “la nueva interpretación va a dar lugar a trato diferencial de situaciones penitenciarias equivalentes”, dado su carácter general y abstracto, sin referencia concreta al mismo órgano judicial.</w:t>
      </w:r>
    </w:p>
    <w:p w:rsidR="00D06117" w:rsidRDefault="00D06117" w:rsidP="00D06117">
      <w:pPr>
        <w:pStyle w:val="TextoNormal"/>
      </w:pPr>
    </w:p>
    <w:p w:rsidR="00D06117" w:rsidRDefault="00D06117" w:rsidP="00D06117">
      <w:pPr>
        <w:pStyle w:val="TextoNormal"/>
      </w:pPr>
      <w:r>
        <w:t>De todo lo expuesto se colige también, por las razones expuestas,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5</w:t>
      </w:r>
      <w:r>
        <w:t>. En la demanda se denuncia también, invocando el derecho a la intangibilidad de las resoluciones judiciales firmes, que la aplicación de la nueva interpretación jurisprudencial que cuestiona, sobre la forma de cómputo de la redención de penas por el trabajo, le genera una situación de indefensión e inseguridad jurídica que vulnera su derecho a la tutela judicial efectiva (art. 24.1 CE). Sin referencia exacta a ninguna resolución judicial concreta anterior, aduce que la doctrina que le ha sido aplicada modifica la interpretación que hasta entonces se venía haciendo y los derechos que de la misma derivaban.</w:t>
      </w:r>
    </w:p>
    <w:p w:rsidR="00D06117" w:rsidRDefault="00D06117" w:rsidP="00D06117">
      <w:pPr>
        <w:pStyle w:val="TextoNormal"/>
      </w:pPr>
    </w:p>
    <w:p w:rsidR="00D06117" w:rsidRDefault="00D06117" w:rsidP="00D06117">
      <w:pPr>
        <w:pStyle w:val="TextoNormal"/>
      </w:pPr>
      <w:r>
        <w:t>El Ministerio Fiscal comparte también este razonamiento del demandante por considerar que no es de recibo que “establecidos unos criterios de interpretación normativa para fijar la refundición de condena (la liquidación de condena de 14 de mayo de 1998) y establecidos ellos en resolución judicial, pudieran variarse en virtud de una posterior resolución”, en este caso de la Sala Segunda del Tribunal Supremo, que interpreta de otra manera las normas atinentes, como lo hacen las resoluciones judiciales ahora recurridas en amparo. La resolución judicial firme en la que considera el Fiscal que dichos criterios quedaron establecidos de forma intangible sería por tanto la liquidación provisional de condena de 14 de mayo de 1998, practicada por el Secretario Judicial del Tribunal sentenciador en la que se establecía la pena impuesta, los días de detención y prisión preventiva abonable y los días que le quedaban por cumplir al penado hasta llegar a los treinta años de límite máximo de cumplimiento fijados en la Sentencia condenatoria, cálculo éste que llevó a estimar que la pena quedaría extinguida el 24 de enero del año 2024.</w:t>
      </w:r>
    </w:p>
    <w:p w:rsidR="00D06117" w:rsidRDefault="00D06117" w:rsidP="00D06117">
      <w:pPr>
        <w:pStyle w:val="TextoNormal"/>
      </w:pPr>
    </w:p>
    <w:p w:rsidR="00D06117" w:rsidRDefault="00D06117" w:rsidP="00D06117">
      <w:pPr>
        <w:pStyle w:val="TextoNormal"/>
      </w:pPr>
      <w: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w:t>
      </w:r>
      <w:r>
        <w:lastRenderedPageBreak/>
        <w:t>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 xml:space="preserve">Por tanto, nuestro examen se limitará a analizar si, tal y como ha sido alegado, la respuesta judicial obtenida por el recurrente en las resoluciones judiciales que son objeto del </w:t>
      </w:r>
      <w:r>
        <w:lastRenderedPageBreak/>
        <w:t>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6</w:t>
      </w:r>
      <w:r>
        <w:t>. La respuesta a la anterior cuestión ha de ser negativa pues, como veremos, el análisis de las resoluciones judiciales adoptadas por el Tribunal sentenciador en el proceso de ejecución de las penas privativas de libertad impuestas al demandante muestra que, antes de dictar la resolución cuestionada en amparo, no había realizado el Tribunal sentenciador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Lorenzo Vázquez fue condenado en junio de 1996 a penas que suman doscientos doce años, cinco meses y un día de privación de libertad, tras ser considerado autor un delito de robo con homicidio, tres delitos de asesinato, dos delitos intentados de homicidio, seis delitos de detención ilegal y un delito de utilización ilegítima de vehículos de motor.</w:t>
      </w:r>
    </w:p>
    <w:p w:rsidR="00D06117" w:rsidRDefault="00D06117" w:rsidP="00D06117">
      <w:pPr>
        <w:pStyle w:val="TextoNormal"/>
      </w:pPr>
    </w:p>
    <w:p w:rsidR="00D06117" w:rsidRDefault="00D06117" w:rsidP="00D06117">
      <w:pPr>
        <w:pStyle w:val="TextoNormal"/>
      </w:pPr>
      <w:r>
        <w:t>b) En la propia Sentencia condenatoria, en aplicación de los previstos en el art. 70.2 CP 1973, vigente en el momento de cometer los hechos enjuiciados, se procedió a fijar en treinta años el límite máximo de cumplimiento de la condena.</w:t>
      </w:r>
    </w:p>
    <w:p w:rsidR="00D06117" w:rsidRDefault="00D06117" w:rsidP="00D06117">
      <w:pPr>
        <w:pStyle w:val="TextoNormal"/>
      </w:pPr>
    </w:p>
    <w:p w:rsidR="00D06117" w:rsidRDefault="00D06117" w:rsidP="00D06117">
      <w:pPr>
        <w:pStyle w:val="TextoNormal"/>
      </w:pPr>
      <w:r>
        <w:t>Una vez firme la condena, tras ser desestimado el recurso de casación que fue presentado, el Secretario Judicial de la Sala practicó el 14 de mayo de 1998 la liquidación provisional de la condena impuesta al demandante, según la cual, una vez descontado el tiempo que permaneció detenido y en prisión preventiva por dicha causa, el demandante extinguiría sus condenas el día 24 de enero de 2024, es decir, tras treinta años de cumplimiento efectivo.</w:t>
      </w:r>
    </w:p>
    <w:p w:rsidR="00D06117" w:rsidRDefault="00D06117" w:rsidP="00D06117">
      <w:pPr>
        <w:pStyle w:val="TextoNormal"/>
      </w:pPr>
    </w:p>
    <w:p w:rsidR="00D06117" w:rsidRDefault="00D06117" w:rsidP="00D06117">
      <w:pPr>
        <w:pStyle w:val="TextoNormal"/>
      </w:pPr>
      <w:r>
        <w:t>c) No hay ninguna otra resolución judicial relevante del Tribunal sentenciador en la ejecutoria hasta que, mediante el Auto de 24 de abril de 2006, respondiendo a una consulta del centro penitenciario, la Sala acordó que en el cumplimiento de dicha pena, las redenciones se computarían conforme al criterio fijado en la STS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7</w:t>
      </w:r>
      <w:r>
        <w:t>.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No lo hacen las resoluciones del Juzgado de Vigilancia Penitenciaria en las que se reconoció al penado determinados días de redención de pena por el trabajo u otras activida</w:t>
      </w:r>
      <w:r>
        <w:lastRenderedPageBreak/>
        <w:t>des realizadas, pues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El Auto que acordó aplicar como criterio de cómputo el de la STS 197/2006 no dejó sin efecto dichas redenciones sino que, en ejercicio de las competencias que legalmente tiene atribuidas el Tribunal sentenciador, ordenó computarlas sucesivamente sobre las penas impuestas a efectos de liquidación de condena.</w:t>
      </w:r>
    </w:p>
    <w:p w:rsidR="00D06117" w:rsidRDefault="00D06117" w:rsidP="00D06117">
      <w:pPr>
        <w:pStyle w:val="TextoNormal"/>
      </w:pPr>
    </w:p>
    <w:p w:rsidR="00D06117" w:rsidRDefault="00D06117" w:rsidP="00D06117">
      <w:pPr>
        <w:pStyle w:val="TextoNormal"/>
      </w:pPr>
      <w:r>
        <w:t>b) Tampoco puede producir intangibilidad alguna la liquidación provisional de condena de 14 de mayo de 1998, practicada por el Secretario Judicial del Tribunal sentenciador, en la que se establecía la pena impuesta, su límite máximo de cumplimiento, los días de detención y prisión preventiva abonable y los días que le quedaban por cumplir hasta llegar a los treinta años de límite máximo de cumplimiento fijados en la Sentencia condenatoria, la cual cita el Ministerio Fiscal como resolución intangible que ha sido ilegítimamente desconocida. No sólo porque no se trata de una resolución judicial, sino porque en la misma, adoptada con carácter provisional al inicio del cumplimiento de la pena, no existe referencia alguna a la redención de penas por el trabajo o al criterio de cómputo de la misma, ni puede concluirse que establezca criterio relevante sobre tales cuestiones que pueda haber sido ratificado tácitamente por el órgano judicial.</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Manuel Lorenzo Vázquez.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lastRenderedPageBreak/>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3027-2007.</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7" w:name="SENTENCIA_2012_54"/>
      <w:r>
        <w:lastRenderedPageBreak/>
        <w:t>SENTENCIA 54/2012, de 29 de marzo de 2012</w:t>
      </w:r>
    </w:p>
    <w:bookmarkEnd w:id="5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ECLI:ES:TC:2012:54</w:t>
      </w:r>
    </w:p>
    <w:p w:rsidR="00D06117" w:rsidRDefault="00D06117" w:rsidP="00D06117">
      <w:pPr>
        <w:pStyle w:val="SntesisDescriptiva"/>
      </w:pPr>
    </w:p>
    <w:p w:rsidR="00D06117" w:rsidRDefault="00D06117" w:rsidP="00D06117">
      <w:pPr>
        <w:pStyle w:val="SntesisDescriptiva"/>
      </w:pPr>
      <w:r>
        <w:t>Recurso de amparo 8620-2008. Promovido por don Juan Manuel Piriz López con respecto a las resoluciones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8].</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6, 7].</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5].</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6].</w:t>
      </w:r>
    </w:p>
    <w:p w:rsidR="00D06117" w:rsidRDefault="00D06117" w:rsidP="00D06117">
      <w:pPr>
        <w:pStyle w:val="Extracto"/>
      </w:pPr>
    </w:p>
    <w:p w:rsidR="00D06117" w:rsidRDefault="00D06117" w:rsidP="00D06117">
      <w:pPr>
        <w:pStyle w:val="Extracto"/>
      </w:pPr>
      <w:r>
        <w:t>8.</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6].</w:t>
      </w:r>
    </w:p>
    <w:p w:rsidR="00D06117" w:rsidRDefault="00D06117" w:rsidP="00D06117">
      <w:pPr>
        <w:pStyle w:val="Extracto"/>
      </w:pPr>
    </w:p>
    <w:p w:rsidR="00D06117" w:rsidRDefault="00D06117" w:rsidP="00D06117">
      <w:pPr>
        <w:pStyle w:val="Extracto"/>
      </w:pPr>
      <w:r>
        <w:t>9.</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6].</w:t>
      </w:r>
    </w:p>
    <w:p w:rsidR="00D06117" w:rsidRDefault="00D06117" w:rsidP="00D06117">
      <w:pPr>
        <w:pStyle w:val="Extracto"/>
      </w:pPr>
    </w:p>
    <w:p w:rsidR="00D06117" w:rsidRDefault="00D06117" w:rsidP="00D06117">
      <w:pPr>
        <w:pStyle w:val="Extracto"/>
      </w:pPr>
      <w:r>
        <w:t>10.</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11.</w:t>
      </w:r>
      <w:r>
        <w:tab/>
        <w:t>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(STC 167/2003) [FJ 2].</w:t>
      </w:r>
    </w:p>
    <w:p w:rsidR="00D06117" w:rsidRDefault="00D06117" w:rsidP="00D06117">
      <w:pPr>
        <w:pStyle w:val="Extracto"/>
      </w:pPr>
    </w:p>
    <w:p w:rsidR="00D06117" w:rsidRDefault="00D06117" w:rsidP="00D06117">
      <w:pPr>
        <w:pStyle w:val="Extracto"/>
      </w:pPr>
      <w:r>
        <w:t>12.</w:t>
      </w:r>
      <w:r>
        <w:tab/>
        <w:t xml:space="preserve">Aun cuando el nuevo criterio de cómputo de las redenciones dificulte objetivamente la posibilidad de reducir el cumplimiento efectivo de la pena en determinados supuestos, es lo cierto que tal criterio no impide que los penados puedan cumplir su condena con arreglo al elenco de medidas de la legislación penitenciaria </w:t>
      </w:r>
      <w:r>
        <w:lastRenderedPageBreak/>
        <w:t>vigente que favorecen y posibilitan la reeducación y reinserción social, si su conducta penitenciaria y su evolución muestra que se hallan en condiciones de hacer vida honrada en libertad [FJ 2].</w:t>
      </w:r>
    </w:p>
    <w:p w:rsidR="00D06117" w:rsidRDefault="00D06117" w:rsidP="00D06117">
      <w:pPr>
        <w:pStyle w:val="Extracto"/>
      </w:pPr>
    </w:p>
    <w:p w:rsidR="00D06117" w:rsidRDefault="00D06117" w:rsidP="00D06117">
      <w:pPr>
        <w:pStyle w:val="Extracto"/>
      </w:pPr>
      <w:r>
        <w:t>13.</w:t>
      </w:r>
      <w:r>
        <w:tab/>
        <w:t>Junto con la obligación de prever un régimen de impugnación de las Sentencias condenatorias, es competencia del legislador, la configuración del sistema de recursos contra las diversas resoluciones judiciales, arbitrando los medios impugnatorios que estime convenientes, no pudiendo encontrarse en la Constitución ninguna norma o principio que imponga la necesidad de una doble instancia o de unos determinados recursos (STC 42/1982, 37/1995)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8620-2008, promovido por don Juan Manuel Piriz López, representado por el Procurador de los Tribunales don Javier Cuevas Rivas y asistido por el Letrado don Iñaki Goyoaga Llano, contra el Auto dictado el 8 de septiembre de 2008 por la Sección Segunda de la Sala de lo Penal de la Audiencia Nacional, que desestimó el recurso de súplica formulado contra la providencia recaída el 27 de junio de 2008 en la ejecutoria núm. 32-1990. Ha intervenido el Ministerio Fiscal.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7 de noviembre de 2008 tuvo entrada en el Registro General de este Tribunal Constitucional un escrito presentado por el Procurador de los Tribunales don Javier Cuevas Rivas mediante el que se interpone demanda de amparo en nombre de don Juan Manuel Piriz López contra las resoluciones judiciales a las que se ha hecho mención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fundamentos de hecho en los que tiene su origen el presente recurso, relevantes para su resolución, son los siguientes:</w:t>
      </w:r>
    </w:p>
    <w:p w:rsidR="00D06117" w:rsidRDefault="00D06117" w:rsidP="00D06117">
      <w:pPr>
        <w:pStyle w:val="TextoNormal"/>
      </w:pPr>
    </w:p>
    <w:p w:rsidR="00D06117" w:rsidRDefault="00D06117" w:rsidP="00D06117">
      <w:pPr>
        <w:pStyle w:val="TextoNormal"/>
      </w:pPr>
      <w:r>
        <w:t xml:space="preserve">a) La Sección Tercera de la Sala de lo Penal de la Audiencia Nacional, mediante Sentencia de 15 de marzo de 1985, condenó al demandante de amparo, por delito cuya naturaleza </w:t>
      </w:r>
      <w:r>
        <w:lastRenderedPageBreak/>
        <w:t>no consta en las actuaciones, a pena de reclusión mayor y legales accesorias, así como al pago de las costas procesales y responsabilidades civiles que se determinan en la parte dispositiva de la resolución.</w:t>
      </w:r>
    </w:p>
    <w:p w:rsidR="00D06117" w:rsidRDefault="00D06117" w:rsidP="00D06117">
      <w:pPr>
        <w:pStyle w:val="TextoNormal"/>
      </w:pPr>
    </w:p>
    <w:p w:rsidR="00D06117" w:rsidRDefault="00D06117" w:rsidP="00D06117">
      <w:pPr>
        <w:pStyle w:val="TextoNormal"/>
      </w:pPr>
      <w:r>
        <w:t>Posteriormente, la Sección Segunda de la misma Sala de lo Penal de la Audiencia Nacional, mediante Sentencia de 16 de mayo de 1989, condenó al demandante de amparo, como responsable de un delito de atentado, a la pena de veintidós años de reclusión mayor. Igualmente le impuso la correspondiente pena legal accesoria, así como el pago de las costas procesales y responsabilidades civiles que se determinan en la parte dispositiva de la resolución.</w:t>
      </w:r>
    </w:p>
    <w:p w:rsidR="00D06117" w:rsidRDefault="00D06117" w:rsidP="00D06117">
      <w:pPr>
        <w:pStyle w:val="TextoNormal"/>
      </w:pPr>
    </w:p>
    <w:p w:rsidR="00D06117" w:rsidRDefault="00D06117" w:rsidP="00D06117">
      <w:pPr>
        <w:pStyle w:val="TextoNormal"/>
      </w:pPr>
      <w:r>
        <w:t>b) Por Auto de 31 de mayo de 1996 la Sección Segunda de la indicada Sala de lo Penal acordó no haber lugar a revisar tales condenas a la luz de los nuevos preceptos del Código penal de 1995 por entender que éstos no eran en su conjunto más beneficiosos para el reo.</w:t>
      </w:r>
    </w:p>
    <w:p w:rsidR="00D06117" w:rsidRDefault="00D06117" w:rsidP="00D06117">
      <w:pPr>
        <w:pStyle w:val="TextoNormal"/>
      </w:pPr>
    </w:p>
    <w:p w:rsidR="00D06117" w:rsidRDefault="00D06117" w:rsidP="00D06117">
      <w:pPr>
        <w:pStyle w:val="TextoNormal"/>
      </w:pPr>
      <w:r>
        <w:t>c) Por Auto de 25 de abril de 1998, la Sección Segunda acordó la acumulación de las condenas impuestas en ambas Sentencias, fijando en treinta años de privación de libertad el tiempo total de cumplimiento de las mismas, en aplicación de lo establecido en el art. 70.2 del Código penal de 1973.</w:t>
      </w:r>
    </w:p>
    <w:p w:rsidR="00D06117" w:rsidRDefault="00D06117" w:rsidP="00D06117">
      <w:pPr>
        <w:pStyle w:val="TextoNormal"/>
      </w:pPr>
    </w:p>
    <w:p w:rsidR="00D06117" w:rsidRDefault="00D06117" w:rsidP="00D06117">
      <w:pPr>
        <w:pStyle w:val="TextoNormal"/>
      </w:pPr>
      <w:r>
        <w:t>d) Como consecuencia de la acumulación de condenas, el 27 de junio de 2008 la Sección Segunda dictó providencia aprobando el licenciamiento definitivo del penado para el día 7 de febrero de 2014, rechazando así la propuesta formulada por el centro penitenciario en el que se encontraba cumpliendo la condena, que proponía su licenciamiento definitivo para el día 8 de marzo de 2009.</w:t>
      </w:r>
    </w:p>
    <w:p w:rsidR="00D06117" w:rsidRDefault="00D06117" w:rsidP="00D06117">
      <w:pPr>
        <w:pStyle w:val="TextoNormal"/>
      </w:pPr>
    </w:p>
    <w:p w:rsidR="00D06117" w:rsidRDefault="00D06117" w:rsidP="00D06117">
      <w:pPr>
        <w:pStyle w:val="TextoNormal"/>
      </w:pPr>
      <w:r>
        <w:t>e) Contra la anterior providencia interpuso recurso de súplica, que fue desestimado por Auto de 8 de septiembre de 2008 que, del mismo modo que la providencia impugnada, se sustenta en el criterio iniciado por la Sala de lo Penal del Tribunal Supremo con la STS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D06117" w:rsidRDefault="00D06117" w:rsidP="00D06117">
      <w:pPr>
        <w:pStyle w:val="TextoNormal"/>
      </w:pPr>
    </w:p>
    <w:p w:rsidR="00D06117" w:rsidRDefault="00D06117" w:rsidP="00D06117">
      <w:pPr>
        <w:pStyle w:val="TextoNormal"/>
      </w:pPr>
      <w:r w:rsidRPr="00D06117">
        <w:rPr>
          <w:rStyle w:val="NumeroAFNegritaCaracter"/>
        </w:rPr>
        <w:t>3</w:t>
      </w:r>
      <w:r>
        <w:t>. En la demanda de amparo se alegan las siguientes infracciones constitucionales:</w:t>
      </w:r>
    </w:p>
    <w:p w:rsidR="00D06117" w:rsidRDefault="00D06117" w:rsidP="00D06117">
      <w:pPr>
        <w:pStyle w:val="TextoNormal"/>
      </w:pPr>
    </w:p>
    <w:p w:rsidR="00D06117" w:rsidRDefault="00D06117" w:rsidP="00D06117">
      <w:pPr>
        <w:pStyle w:val="TextoNormal"/>
      </w:pPr>
      <w:r>
        <w:t>a) En primer lugar, la vulneración del derecho a la tutela judicial efectiva (art. 24.1 CE) a la defensa, a ser informado de la acusación y a un proceso público con todas las garantías (art. 24.2 CE), como consecuencia de que la Audiencia Nacional resolvió mediante providencia de 27 de junio de 2008 aprobar el licenciamiento definitivo del recurrente para el año 2014, sin darle traslado a fin de que pudiera alegar lo que estimara pertinente acerca del nuevo criterio de cómputo. Se añade en la demanda que dicho Auto de 8 se septiembre de 2008 aplica el criterio de la Sentencia del Tribunal Supremo de 28 de febrero de 2006, sin que haya dispuesto de una oportunidad procesal de combatirlo.</w:t>
      </w:r>
    </w:p>
    <w:p w:rsidR="00D06117" w:rsidRDefault="00D06117" w:rsidP="00D06117">
      <w:pPr>
        <w:pStyle w:val="TextoNormal"/>
      </w:pPr>
    </w:p>
    <w:p w:rsidR="00D06117" w:rsidRDefault="00D06117" w:rsidP="00D06117">
      <w:pPr>
        <w:pStyle w:val="TextoNormal"/>
      </w:pPr>
      <w:r>
        <w:t xml:space="preserve">b) En segundo término alega la vulneración del principio de legalidad consagrado en el art. 25 CE en relación con el art. 9.1 CE y con los arts. 70.2 y 100 del Código penal de 1973, el art. 66 del reglamento de servicios de prisiones de 1956 y el art. 202 del reglamento </w:t>
      </w:r>
      <w:r>
        <w:lastRenderedPageBreak/>
        <w:t>penitenciario actual. Señala el demandante de amparo que las resoluciones contra las que se articula el presente recurso de amparo, no sólo hacen abstracción de literalidad de normas sustantivas de obligado cumplimiento como son los arts. 70.2 y 100 del Código penal de 1973, los arts. 17.5 y 988 párrafo 3 de la Ley de enjuiciamiento criminal y el art. 202.1 del reglamento penitenciario, sino que, de facto, llevan a cabo la aplicación de una Sentencia que realiza una interpretación que va contra la propia letra y espíritu de la norma, al considerar las redenciones al margen del cumplimiento efectivo de la condena. Las resoluciones recurridas a través de la aplicación que contienen de la STS 197/2006, de 28 de febrero, niegan a las redenciones de pena por el trabajo el carácter de cumplimiento de pena de prisión. Niegan el carácter de beneficio penitenciario destinado a una reducción de condena y, por tanto, a su entender, vulneran los arts. 70.2 y 100 del Código penal, así como el art. 202 del reglamento penitenciario, que determinan el carácter redentor del trabajo y su aplicación en la reducción de la condena, al resultar contrarias a la literalidad de dichas disposiciones así como al espíritu de la ley que las contiene.</w:t>
      </w:r>
    </w:p>
    <w:p w:rsidR="00D06117" w:rsidRDefault="00D06117" w:rsidP="00D06117">
      <w:pPr>
        <w:pStyle w:val="TextoNormal"/>
      </w:pPr>
    </w:p>
    <w:p w:rsidR="00D06117" w:rsidRDefault="00D06117" w:rsidP="00D06117">
      <w:pPr>
        <w:pStyle w:val="TextoNormal"/>
      </w:pPr>
      <w:r>
        <w:t>Añade que lo que se está computando en la Sentencia cuya aplicación se pretende y a través de su aplicación en las resoluciones recurridas, no es el tiempo de cumplimiento sino el tiempo de internamiento efectivo (sin que las redenciones cuenten para el cumplimiento de la condena), lo cual choca contra el espíritu y la literalidad de la norma aplicada. Insiste el demandante de amparo en resaltar que ha sido el propio Tribunal Supremo el que, en numerosas ocasiones, se ha pronunciado a favor de la tesis de aplicación de los beneficios penitenciarios y redenciones sobre la pena resultante de la acumulación prevista en el art. 70.2 del Código penal de 1973, considerando lo contrario como una teoría gravemente innovadora que pugnaba con los más elementales postulados del Derecho penal moderno y los fines rehabilitadores de la pena, para convertir el objeto de la misma en un fin punitivo y reivindicativo.</w:t>
      </w:r>
    </w:p>
    <w:p w:rsidR="00D06117" w:rsidRDefault="00D06117" w:rsidP="00D06117">
      <w:pPr>
        <w:pStyle w:val="TextoNormal"/>
      </w:pPr>
    </w:p>
    <w:p w:rsidR="00D06117" w:rsidRDefault="00D06117" w:rsidP="00D06117">
      <w:pPr>
        <w:pStyle w:val="TextoNormal"/>
      </w:pPr>
      <w:r>
        <w:t>c) En tercer lugar, solicita el amparo constitucional por vulneración de la tutela judicial efectiva sin indefensión consagrado en el art. 24.1 CE en relación con el derecho a la libertad (art. 17.1 CE). El demandante considera que la interpretación que hasta ahora se ha realizado de la aplicación de las redenciones sobre la condena resultante de la aplicación del art. 70.2 del Código penal de 1973 supone que la nueva interpretación de las mismas crea una situación de inseguridad jurídica y vulneración de la tutela judicial efectiva por cuanto se modifica la interpretación y los derechos que se derivaban de los Autos de aprobación de redención ordinaria y extraordinaria realizados por los Juzgados de Vigilancia Penitenciaria y Audiencias Provinciales.</w:t>
      </w:r>
    </w:p>
    <w:p w:rsidR="00D06117" w:rsidRDefault="00D06117" w:rsidP="00D06117">
      <w:pPr>
        <w:pStyle w:val="TextoNormal"/>
      </w:pPr>
    </w:p>
    <w:p w:rsidR="00D06117" w:rsidRDefault="00D06117" w:rsidP="00D06117">
      <w:pPr>
        <w:pStyle w:val="TextoNormal"/>
      </w:pPr>
      <w:r>
        <w:t>d) En cuarto lugar, solicita el amparo constitucional por vulneración del derecho a la tutela judicial efectiva (art. 24.1 CE) en su vertiente de intangibilidad de las resoluciones judiciales firmes, en relación con los principios de legalidad y seguridad jurídica. Se aduce que las resoluciones judiciales impugnadas atrasan gravemente la fecha de licenciamiento definitivo del demandante de amparo y modifican el criterio derivado del Auto de 3 de febrero de 1997, que fijaba los criterios para la ejecución de la condena, como consecuencia de la concurrencia de la nueva y posterior interpretación sobre refundición de penas efectuada por la STS 197/2006, de 28 de febrero, de donde resulta una vulneración del derecho a la intangibilidad de las resoluciones judiciales firmes y de los principios de legalidad y seguridad jurídica.</w:t>
      </w:r>
    </w:p>
    <w:p w:rsidR="00D06117" w:rsidRDefault="00D06117" w:rsidP="00D06117">
      <w:pPr>
        <w:pStyle w:val="TextoNormal"/>
      </w:pPr>
    </w:p>
    <w:p w:rsidR="00D06117" w:rsidRDefault="00D06117" w:rsidP="00D06117">
      <w:pPr>
        <w:pStyle w:val="TextoNormal"/>
      </w:pPr>
      <w:r>
        <w:lastRenderedPageBreak/>
        <w:t>e) En quinto lugar, solicita el amparo constitucional por vulneración del principio de legalidad consagrado en el art. 25.1 CE, en relación con el art. 9.3 CE, en cuanto a la aplicación con carácter retroactivo de una norma penal desfavorable, y con los arts. 7 del Convenio europeo para la protección de los derechos humanos y de las libertades fundamentales (CEDH) y 15 del Pacto internacional de derechos civiles y políticos (PIDCP). Señala el demandante de amparo que la resolución recurrida hace una interpretación que va contra el reo, lo cual está proscrito y vulnera los más elementales principios del derecho. Se vulnera el art. 25.1 CE en relación con el art. 9.3 CE cuando se hace una aplicación de una norma penal cuya entrada en vigor sea posterior al hecho enjuiciado y resulta imprevisible concluir que dicha norma era más beneficiosa para el acusado. Continua señalando que a esta conclusión se llega a partir del Voto particular formulado a la STS 197/2006, de 28 de febrero, FJ 5.</w:t>
      </w:r>
    </w:p>
    <w:p w:rsidR="00D06117" w:rsidRDefault="00D06117" w:rsidP="00D06117">
      <w:pPr>
        <w:pStyle w:val="TextoNormal"/>
      </w:pPr>
    </w:p>
    <w:p w:rsidR="00D06117" w:rsidRDefault="00D06117" w:rsidP="00D06117">
      <w:pPr>
        <w:pStyle w:val="TextoNormal"/>
      </w:pPr>
      <w:r>
        <w:t>f) Como sexto motivo de amparo aduce la vulneración del derecho a la igualdad ante la ley [arts. 14 CE y 14 CEDH]. Este motivo de la demanda de amparo se refiere, según se señala expresamente en la misma, a la proscripción de la arbitrariedad que derivaría del hecho de que un mismo órgano judicial dictara resoluciones que, sustancialmente similares en sus contenidos, se resolvieran de manera contraria en unos casos y en otros. Aduce el demandante de amparo que el nuevo criterio establecido por el Tribunal Supremo en su Sentencia 197/2006, rompe con toda la jurisprudencia, pacífica en este extremo, existente hasta el momento, y establecida en innumerables resoluciones judiciales, algunas de las cuales se citan expresamente. Indica que no parece ajustado a los principios que rigen el derecho, que una norma jurídica que durante años ha sido aplicada a cientos de presos y presas de manera pacífica en un mismo sentido, justo en el momento en el que la aplicación de dicha norma se reduce a un número muy limitado de presos y presas sea modificada contra reo cuando no existen circunstancias sustanciales que justifiquen un cambio de criterio.</w:t>
      </w:r>
    </w:p>
    <w:p w:rsidR="00D06117" w:rsidRDefault="00D06117" w:rsidP="00D06117">
      <w:pPr>
        <w:pStyle w:val="TextoNormal"/>
      </w:pPr>
    </w:p>
    <w:p w:rsidR="00D06117" w:rsidRDefault="00D06117" w:rsidP="00D06117">
      <w:pPr>
        <w:pStyle w:val="TextoNormal"/>
      </w:pPr>
      <w:r>
        <w:t>g) En séptimo lugar, solicita el amparo constitucional por vulneración del derecho a la libertad personal consagrado en el art. 17.1 CE en relación con los arts. 5 y 7.1 CEDH y 9.1, 5 y 15.1 PIDCP. Considera el demandante de amparo que este Tribunal ha dejado ya bien sentado, a través de numerosos pronunciamientos, que la cuestión de la aplicación o no, la procedencia o no de los beneficios penitenciarios de redención de penas por el trabajo, afecta directamente al derecho fundamental a la libertad personal (art. 17.1 CE), por cuanto incide de forma directa en el tiempo de privación de libertad del condenado a una pena de prisión. Sostiene que, sentada esta relación directa entre el derecho a redimir las penas de las personas presas y el derecho fundamental a la libertad, de confirmarse la vulneración a la tutela judicial efectiva anteriormente planteada, ello conllevaría también la vulneración del derecho fundamental a la libertad. Añade que la técnica que pretende aplicar la STS 197/2006 vacía absolutamente de contenido la figura de la redención de penas por el trabajo, haciéndola inoperante y crea una suerte de “cumplimiento virtual” de la condena frente al cumplimiento efectivo de la misma.</w:t>
      </w:r>
    </w:p>
    <w:p w:rsidR="00D06117" w:rsidRDefault="00D06117" w:rsidP="00D06117">
      <w:pPr>
        <w:pStyle w:val="TextoNormal"/>
      </w:pPr>
    </w:p>
    <w:p w:rsidR="00D06117" w:rsidRDefault="00D06117" w:rsidP="00D06117">
      <w:pPr>
        <w:pStyle w:val="TextoNormal"/>
      </w:pPr>
      <w:r>
        <w:t>h) Por último, solicita el amparo constitucional por vulneración del art. 25.2 CE en relación con las “Reglas Mínimas para el tratamiento de los reclusos” elaboradas en el primer Congreso de las Naciones Unidas sobre prevención del delito y tratamiento del delincuente (Ginebra 1995) y el Pacto internacional de derechos civiles y políticos.</w:t>
      </w:r>
    </w:p>
    <w:p w:rsidR="00D06117" w:rsidRDefault="00D06117" w:rsidP="00D06117">
      <w:pPr>
        <w:pStyle w:val="TextoNormal"/>
      </w:pPr>
    </w:p>
    <w:p w:rsidR="00D06117" w:rsidRDefault="00D06117" w:rsidP="00D06117">
      <w:pPr>
        <w:pStyle w:val="TextoNormal"/>
      </w:pPr>
      <w:r>
        <w:lastRenderedPageBreak/>
        <w:t>Recuerda el demandante de amparo que el Código penal de 1973, así como la Ley Orgánica general penitenciaria de 26 de septiembre de 1979, y demás normas referentes al cumplimiento de las penas son normas que se realizan con el objeto de favorecer la rehabilitación del delincuente y cumplir así con los compromisos internacionales que el Estado español iba adquiriendo en la transición. Añade que todas estas normas siguen el principio que rige la Constitución Española de que las penas privativas de libertad y medidas de seguridad deben ir orientadas hacia la reeducación y reinserción profesional. Para el demandante de amparo la nueva interpretación que aplica el Tribunal Supremo priva en buena medida de su efecto práctico al beneficio de las redenciones, lo cual vulnera los principios inspiradores de las normas del Código penal y de la Ley Orgánica general penitenciaria en relación con el art. 25.2 CE y demás tratados mencionados.</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Constitucional, por providencia de 17 de marzo de 2011, admitió a trámite la demanda y, de conformidad con lo dispuesto en el art. 51 de la Ley Orgánica del Tribunal Constitucional (LOTC), acordó dirigir atenta comunicación a la Sección Segunda de la Sala de lo Penal de la Audiencia Nacional, a fin de que, en plazo que no excediera de diez días, remitiesen certificación o fotocopia adverada de las actuaciones correspondientes a la ejecutoria núm. 32-1990, debiendo emplazar previamente a quienes hubieran sido parte en el procedimiento, a excepción del demandante de amparo, para que pudieran comparecer en el plazo de diez días en este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otrosí, en la misma demanda, de acuerdo con lo previsto en el art. 56 LOTC, el recurrente solicitó que se dejase en suspenso la ejecución de la condena privativa de libertad, alegando que su cumplimiento podría ocasionarle un perjuicio que haría perder al amparo su finalidad. Mediante providencia de 17 de marzo de 2011 se acordó formar la correspondiente pieza separada de medidas cautelares, en la cual la representación procesal del recurrente, mediante escrito presentado el 28 de marzo de 2011, reiteró su petición; mientras que el Ministerio Fiscal, en escrito presentado el 29 de marzo de 2011, pidió que se denegase la suspensión solicitada. Finalmente, la Sala, mediante el ATC 68/2011, de 6 de junio, denegó la medida cautelar de suspensión solicitada.</w:t>
      </w:r>
    </w:p>
    <w:p w:rsidR="00D06117" w:rsidRDefault="00D06117" w:rsidP="00D06117">
      <w:pPr>
        <w:pStyle w:val="TextoNormal"/>
      </w:pPr>
    </w:p>
    <w:p w:rsidR="00D06117" w:rsidRDefault="00D06117" w:rsidP="00D06117">
      <w:pPr>
        <w:pStyle w:val="TextoNormal"/>
      </w:pPr>
      <w:r>
        <w:t>Nuevamente, por escrito presentado en el Registro General de este Tribunal el día 5 de diciembre de 2011 se solicitó la suspensión de la ejecución de la Sentencia del Tribunal Supremo 197/2006, de 28 de febrero, porque la misma está produciendo tal perjuicio al recurrente que hace perder al amparo su finalidad. La Sala Segunda de este Tribunal, por providencia de 31 de enero de 2012, acordó denegar la suspensión solicitada toda vez que la misma se refiere a una resolución judicial no recurrida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la Secretaría de la Sala Segunda de 31 de mayo de 2011, se acordó, de conformidad con lo dispuesto en el art. 52.1 LOTC, dar vista de las actuaciones, por plazo común de veinte días, al demandante y al Ministerio Fiscal, para que presentaran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7</w:t>
      </w:r>
      <w:r>
        <w:t>. El recurrente en amparo evacuó el trámite de alegaciones mediante escrito registrado el 4 de julio de 2011, en el que, en lo sustancial, se remite a cuanto argumentó previamente en la demanda.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El Ministerio Fiscal cumplimentó el trámite de alegaciones mediante escrito registrado el 12 de julio de 2011, en el que solicita que se estime el recurso de amparo, por entender que se ha vulnerado el derecho a la ejecución de las resoluciones judiciales en sus propios términos (art. 24.1 CE), en relación con los principios de legalidad penal y de irretroactividad de lo desfavorable para el reo (arts. 25.1 y 9.3 CE) y el derecho a la libertad personal (art. 17.1 CE).</w:t>
      </w:r>
    </w:p>
    <w:p w:rsidR="00D06117" w:rsidRDefault="00D06117" w:rsidP="00D06117">
      <w:pPr>
        <w:pStyle w:val="TextoNormal"/>
      </w:pPr>
    </w:p>
    <w:p w:rsidR="00D06117" w:rsidRDefault="00D06117" w:rsidP="00D06117">
      <w:pPr>
        <w:pStyle w:val="TextoNormal"/>
      </w:pPr>
      <w:r>
        <w:t>Comienza rechazando la vulneración del derecho a la tutela judicial efectiva (art. 24.1 CE) a la defensa, a ser informado de la acusación y a un proceso público con todas las garantías (art. 24.2 CE), como consecuencia de que la Audiencia Nacional aprobara el licenciamiento definitivo del recurrente sin darle traslado a fin de que pudiera alegar lo que estimara pertinente acerca del nuevo criterio de cómputo, pues lo cierto es que en el posterior recurso de súplica alegó cuanto tuvo por conveniente. Por otra parte, tampoco afecta al derecho reconocido en el art. 24.1 CE la circunstancia de que no pudiera acceder a la casación para defender su criterio, pues el derecho a la tutela judicial efectiva es un derecho de configuración legal.</w:t>
      </w:r>
    </w:p>
    <w:p w:rsidR="00D06117" w:rsidRDefault="00D06117" w:rsidP="00D06117">
      <w:pPr>
        <w:pStyle w:val="TextoNormal"/>
      </w:pPr>
    </w:p>
    <w:p w:rsidR="00D06117" w:rsidRDefault="00D06117" w:rsidP="00D06117">
      <w:pPr>
        <w:pStyle w:val="TextoNormal"/>
      </w:pPr>
      <w:r>
        <w:t>A continuación, el Fiscal rechazando que se haya producido una vulneración del art. 25.2 CE, puesto que, como reiteradamente ha destacado la doctrina de este Tribunal, el mencionado precepto constitucional no contiene un derecho fundamental del ciudadano susceptible de ser invocado en amparo, sino más bien un mandato dirigido al legislador para orientar la política penal y penitenciaria con objeto de que configure las sanciones penales de modo que cumplan estos fines de reinserción y rehabilitación establecidos en la Constitución, pero sin que se deriven derechos subjetivos del mismo.</w:t>
      </w:r>
    </w:p>
    <w:p w:rsidR="00D06117" w:rsidRDefault="00D06117" w:rsidP="00D06117">
      <w:pPr>
        <w:pStyle w:val="TextoNormal"/>
      </w:pPr>
    </w:p>
    <w:p w:rsidR="00D06117" w:rsidRDefault="00D06117" w:rsidP="00D06117">
      <w:pPr>
        <w:pStyle w:val="TextoNormal"/>
      </w:pPr>
      <w:r>
        <w:t>Seguidamente señala el Ministerio Fiscal que tampoco tienen suficiente eficacia las quejas centradas en la eventual vulneración del principio de legalidad penal conectado al de irretroactividad de las normas penales y restrictivas de derechos, puesto que, como ha señalado la doctrina de este Tribunal Constitucional, no es invocable en amparo a no ser que a través del mismo haya sido vulnerado alguno de los derechos fundamentales susceptibles de amparo. Afirma el Ministerio Fiscal que no corresponde al Tribunal Constitucional dilucidar, como acontece en el caso de autos, cuál de las posibles interpretaciones o criterios jurisprudenciales es el más adecuado a la norma en juego. A ello añade que el principio de legalidad en cuanto a la irretroactividad de la ley penal desfavorable al reo, se establece respecto de las leyes y no de las líneas jurisprudenciales.</w:t>
      </w:r>
    </w:p>
    <w:p w:rsidR="00D06117" w:rsidRDefault="00D06117" w:rsidP="00D06117">
      <w:pPr>
        <w:pStyle w:val="TextoNormal"/>
      </w:pPr>
    </w:p>
    <w:p w:rsidR="00D06117" w:rsidRDefault="00D06117" w:rsidP="00D06117">
      <w:pPr>
        <w:pStyle w:val="TextoNormal"/>
      </w:pPr>
      <w:r>
        <w:t>Asimismo, a juicio del Ministerio Fiscal, debe ser también desestimada la vulneración del principio de igualdad en la aplicación de la ley que sostiene el demandante en su motivo quinto. Para el Ministerio Fiscal el motivo no puede prosperar, porque el órgano judicial que ha dictado una de las dos resoluciones que son objeto de este recurso, la Sección Segunda de la Sala de lo Penal de la Audiencia Nacional, es distinto de aquel, la Sala Segunda del Tribunal Supremo, que dictó la resolución cuya doctrina recogida en el mismo, supuestamente, ha generado la situación personal discriminatoria. La demanda no aporta resolución judicial alguna dictada por la Sección Segunda de la Sala de lo Penal de la Audiencia Nacional en la que se decidiera de manera diferente a la recurrida en amparo en supuestos sustancialmente idénticos, tal y como viene exigiendo la jurisprudencia del Tribunal Constitucional, y cita como ejemplo la STC 51/2005, de 14 de marzo.</w:t>
      </w:r>
    </w:p>
    <w:p w:rsidR="00D06117" w:rsidRDefault="00D06117" w:rsidP="00D06117">
      <w:pPr>
        <w:pStyle w:val="TextoNormal"/>
      </w:pPr>
    </w:p>
    <w:p w:rsidR="00D06117" w:rsidRDefault="00D06117" w:rsidP="00D06117">
      <w:pPr>
        <w:pStyle w:val="TextoNormal"/>
      </w:pPr>
      <w:r>
        <w:lastRenderedPageBreak/>
        <w:t>Sostiene el Ministerio Fiscal que, en realidad, el conflicto se plantea entre la exigencia de mantenimiento de una resolución judicial de refundición de penas y la variación de una interpretación jurisprudencial que implica consecuencias retroactivamente perjudiciales para la fecha de licenciamiento definitivo del reo. Pues bien, el Fiscal considera que el Auto que fijó los criterios para la ejecución de la condena según una interpretación concreta de la normativa en juego se ha visto modificado posteriormente en atención a una nueva interpretación emanada de la Sala Segunda del Tribunal Supremo, lo cual comporta la vulneración del derecho a la intangibilidad de las resoluciones judiciales ex art. 24.1 CE; un derecho fundamental que, además, tiene engarce con el principio de legalidad penal (art. 25.1 CE) y con la prohibición de retroactividad de las normas penales perjudiciales para el reo (art. 9.3 CE), ya que las garantías de legalidad y seguridad jurídica que exigen ambos preceptos constitucionales deben extenderse no sólo al enjuiciamiento del hecho como tipicidad cierta, taxativa y previsible, sino también a la ejecución de las penas, integrándose la irretroactividad de las normas y su interpretación desfavorable al reo en el complejo de legalidad del art. 25.1 CE. Añade que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que supone de facto la creación ex novo de un nuevo marco paranormativo que ha causado una extensión de la fecha de licenciamiento del interno y una revisión en la aplicación de los beneficios de la redención de penas.</w:t>
      </w:r>
    </w:p>
    <w:p w:rsidR="00D06117" w:rsidRDefault="00D06117" w:rsidP="00D06117">
      <w:pPr>
        <w:pStyle w:val="TextoNormal"/>
      </w:pPr>
    </w:p>
    <w:p w:rsidR="00D06117" w:rsidRDefault="00D06117" w:rsidP="00D06117">
      <w:pPr>
        <w:pStyle w:val="TextoNormal"/>
      </w:pPr>
      <w:r>
        <w:t>A juicio del Fiscal, a las mencionadas vulneraciones debe adicionarse la lesión del derecho a la libertad personal (art. 17.1 CE), por cuanto el demandante en vez de obtener el licenciamiento definitivo en la fecha prevista lo hará en otra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17 de enero de 2012, el Pleno del Tribunal, de conformidad con lo establecido en el art. 10.1 n) LOTC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señaló para la deliberación y votación de la presente Sentencia el día 29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dictado el 8 de septiembre de 2008 por la Sección Segunda de la Sala de lo Penal de la Audiencia Nacional, que desestimó el recurso de súplica formulado contra la providencia recaída el 27 de junio de 2008 en la ejecutoria núm. 32-1990.</w:t>
      </w:r>
    </w:p>
    <w:p w:rsidR="00D06117" w:rsidRDefault="00D06117" w:rsidP="00D06117">
      <w:pPr>
        <w:pStyle w:val="TextoNormal"/>
      </w:pPr>
    </w:p>
    <w:p w:rsidR="00D06117" w:rsidRDefault="00D06117" w:rsidP="00D06117">
      <w:pPr>
        <w:pStyle w:val="TextoNormal"/>
      </w:pPr>
      <w:r>
        <w:t>Según ha quedado expuesto con mayor detalle en los antecedentes de esta resolución, el demandante de amparo fue condenado a diversas penas que, una vez acumuladas en virtud de lo establecido en el art. 70.2 del Código penal (CP) de 1973, dieron lugar a que la Au</w:t>
      </w:r>
      <w:r>
        <w:lastRenderedPageBreak/>
        <w:t>diencia Nacional fijara en treinta años de privación de libertad el tiempo total de cumplimiento de las mismas; aprobándose la correspondiente liquidación de condena, en la que se establecía como fecha de extinción el 7 de febrero de 2014.</w:t>
      </w:r>
    </w:p>
    <w:p w:rsidR="00D06117" w:rsidRDefault="00D06117" w:rsidP="00D06117">
      <w:pPr>
        <w:pStyle w:val="TextoNormal"/>
      </w:pPr>
    </w:p>
    <w:p w:rsidR="00D06117" w:rsidRDefault="00D06117" w:rsidP="00D06117">
      <w:pPr>
        <w:pStyle w:val="TextoNormal"/>
      </w:pPr>
      <w:r>
        <w:t>A juicio del demandante,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Sostiene el demandante de amparo que las resoluciones impugnadas, en la medida en que aplican la mencionada doctrina, han vulnerado diversos derechos constitucionales: derecho a la tutela judicial efectiva (art. 24.1 CE) en relación con los derechos a la defensa, a ser informado de la acusación y a un proceso público con todas las garantías (art. 24.2 CE); el principio de legalidad penal (art. 25.1 CE); el derecho a la tutela judicial efectiva (art. 24.1 CE) en relación con la libertad personal (art. 17.1 CE); el principio de legalidad (art. 25.1 CE) en relación con la seguridad jurídica (art. 9.3 CE); la tutela judicial efectiva (art. 24.1 CE) en su vertiente de intangibilidad de las resoluciones judiciales firmes; el derecho a la igualdad ante la ley (art. 14 CE); el derecho a la libertad personal (art. 17.1 CE) y el principio de que las penas privativas de libertad estén orientadas hacia la reeducación y reinserción social (art. 25.2 CE). Coincide parcialmente con este parecer el Ministerio Fiscal, el cual estima que se ha vulnerado el derecho a la intangibilidad de las resoluciones judiciales firmes (art. 24.1 CE), en relación con los principios de legalidad penal y de irretroactividad de lo desfavorable para el reo (arts. 25.1 y 9.3 CE) y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De las quejas esgrimidas en la demanda de amparo debe descartarse, ya desde el inicio, la relativa a la vulneración del art. 25.2 CE, conforme al cual las penas privativas de libertad han de hallarse orientadas a la reeducación y reinserción social. Este Tribunal ha declarado reiteradamente que el art. 25.2 CE no contiene un derecho subjetivo, ni menos aún un derecho fundamental, susceptible de protección en vía de amparo, sino tan sólo un mandato del constituyente al legislador y a la Administración penitenciaria para orientar la ejecución de las penas privativas de libertad (por todas, SSTC 115/2003, de 16 de junio, FJ 3; y 299/2005, de 21 de noviembre, FJ 2).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w:t>
      </w:r>
    </w:p>
    <w:p w:rsidR="00D06117" w:rsidRDefault="00D06117" w:rsidP="00D06117">
      <w:pPr>
        <w:pStyle w:val="TextoNormal"/>
      </w:pPr>
    </w:p>
    <w:p w:rsidR="00D06117" w:rsidRDefault="00D06117" w:rsidP="00D06117">
      <w:pPr>
        <w:pStyle w:val="TextoNormal"/>
      </w:pPr>
      <w:r>
        <w:lastRenderedPageBreak/>
        <w:t>A lo anterior se añade que aun cuando el nuevo criterio de cómputo de las redenciones dificulte objetivamente la posibilidad de reducir automáticamente el cumplimiento efectivo de la pena en determinados supuestos, singularmente aquellos en los que la duración de las penas acumuladas supere ampliamente los límites máximos de cumplimiento legalmente establecidos, es lo cierto que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rsidRPr="00D06117">
        <w:rPr>
          <w:rStyle w:val="NumeroAFNegritaCaracter"/>
        </w:rPr>
        <w:t>3</w:t>
      </w:r>
      <w:r>
        <w:t>. En relación con la queja referida a la vulneración del derecho a la tutela judicial efectiva (art. 24.1 CE), a la defensa, a ser informado de la acusación y a un proceso público con todas las garantías (art. 24.2 CE) —como consecuencia de que la Audiencia Nacional mediante providencia de 27 de junio de 2008 aprobó el licenciamiento definitivo del recurrente sin darle traslado a fin de que pudiera alegar lo que estimara pertinente acerca del nuevo criterio de cómputo— debemos señalar que contra la referida providencia interpuso recurso de súplica, que fue desestimado por Auto de 8 de septiembre de 2008, habiendo pedido en su escrito cuanto tuvo por conveniente para la defensa de sus intereses; oportunidad que por sí misma elimina en este punto, de acuerdo con repetida doctrina constitucional, toda sombra de lesión constitucional (AATC 320/1986, 9 de abril, FJ 6; y 413/1990, de 26 de noviembre, FJ 3).</w:t>
      </w:r>
    </w:p>
    <w:p w:rsidR="00D06117" w:rsidRDefault="00D06117" w:rsidP="00D06117">
      <w:pPr>
        <w:pStyle w:val="TextoNormal"/>
      </w:pPr>
    </w:p>
    <w:p w:rsidR="00D06117" w:rsidRDefault="00D06117" w:rsidP="00D06117">
      <w:pPr>
        <w:pStyle w:val="TextoNormal"/>
      </w:pPr>
      <w:r>
        <w:t>Se añade en la demanda que dicho Auto de 8 se septiembre de 2008 aplica el criterio de la Sentencia del Tribunal Supremo de 28 de febrero de 2006, sin que haya dispuesto de una oportunidad procesal de combatirlo. A ello debe decirse que con reiteración hemos señalado que es competencia del legislador la configuración del sistema de recursos contra las diversas resoluciones judiciales, arbitrando los medios impugnatorios que estime convenientes con arreglo a los criterios de ordenación que juzgue más oportunos, siendo imaginable, posible y real la eventualidad de que incluso no existan, pues no puede encontrarse en la Constitución ninguna norma o principio que imponga la necesidad de una doble instancia o de unos determinados recursos (STC 37/1995, de 7 de febrero, FJ 5), a salvo la obligación del legislador de prever un régimen de impugnación de las Sentencias condenatorias (STC 42/1982, de 5 de julio, FJ 3).</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El recurrente denuncia en los motivos segundo y quinto de su demanda la supuesta vulneración del principio de legalidad penal, desde la doble perspectiva de la ilegitimidad del nuevo criterio interpretativo y la aplicación retroactiva de una ley desfavorable (art. 25.1 CE). En relación con esta petición,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que se cuestiona la forma de computar la redención de penas por el trabajo, sin que de la interpretación sometida </w:t>
      </w:r>
      <w:r>
        <w:lastRenderedPageBreak/>
        <w:t>a nuestro enjuiciamiento se derive ni el cumplimiento de una pena mayor que la prevista en los tipos penales aplicados, ni la superación del máximo de cumplimiento legalmente previsto.</w:t>
      </w:r>
    </w:p>
    <w:p w:rsidR="00D06117" w:rsidRDefault="00D06117" w:rsidP="00D06117">
      <w:pPr>
        <w:pStyle w:val="TextoNormal"/>
      </w:pPr>
    </w:p>
    <w:p w:rsidR="00D06117" w:rsidRDefault="00D06117" w:rsidP="00D06117">
      <w:pPr>
        <w:pStyle w:val="TextoNormal"/>
      </w:pPr>
      <w:r>
        <w:t>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En consecuencia, debe ser rechazada la queja en que se aduce la vulneración del principio de legalidad penal (art. 25.1 CE) por la interpretación realizada por el Tribunal sentenciador de los arts. 70.2 y 100 CP 1973, así como de los arts. 66 del reglamento de prisiones de 1956 y 202 del reglamento penitenciario actual.</w:t>
      </w:r>
    </w:p>
    <w:p w:rsidR="00D06117" w:rsidRDefault="00D06117" w:rsidP="00D06117">
      <w:pPr>
        <w:pStyle w:val="TextoNormal"/>
      </w:pPr>
    </w:p>
    <w:p w:rsidR="00D06117" w:rsidRDefault="00D06117" w:rsidP="00D06117">
      <w:pPr>
        <w:pStyle w:val="TextoNormal"/>
      </w:pPr>
      <w:r>
        <w:t>Asimismo debe rechazarse la denunciada vulneración (motivo de amparo quinto) del derecho a la legalidad de las infracciones y sanciones (art. 25.1 CE) por aplicación retroactiva del art. 78 CP 1995 (tanto en su redacción inicial como en la dada al mismo por la Ley Orgánica 7/2003), bajo el ropaje aparente del art. 70.2 CP 1973. En aquel precepto el legislador establece que para determinados supuestos de acumulación de penas el Juez o Tribunal sentenciador “podrá acordar que los beneficios penitenciarios, los permisos de salida, la clasificación en tercer grado y el cómputo de tiempo para la libertad condicional se refieran a la totalidad de las penas impuestas en las sentencias” (art. 78.1 CP 1995), criterio que deviene obligatorio cuando se trata de penas especialmente graves aunque, no obstante, se prevean algunas excepciones que deberá valorar el Juez de vigilancia penitenciaria (art. 78.2 y 3 CP 1995).</w:t>
      </w:r>
    </w:p>
    <w:p w:rsidR="00D06117" w:rsidRDefault="00D06117" w:rsidP="00D06117">
      <w:pPr>
        <w:pStyle w:val="TextoNormal"/>
      </w:pPr>
    </w:p>
    <w:p w:rsidR="00D06117" w:rsidRDefault="00D06117" w:rsidP="00D06117">
      <w:pPr>
        <w:pStyle w:val="TextoNormal"/>
      </w:pPr>
      <w:r>
        <w:t xml:space="preserve">Pues bien, ni las resoluciones recurridas, ni la doctrina del Tribunal Supremo invocada en ellas, aplican retroactivamente dicho precepto (que, por otra parte, no hace referencia a la redención de penas por el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del art. 988 de la Ley de enjuiciamiento criminal (LECrim). Por tanto, teniendo en cuenta el razonamiento de los órganos judiciales y los preceptos que se aplican, la queja carece de fundamento, pues la prohibición de retroactividad de la ley penal desfavorable tiene como presupuesto fáctico la aplicación retroactiva de una norma penal a hechos cometidos previamente a su entrada en </w:t>
      </w:r>
      <w:r>
        <w:lastRenderedPageBreak/>
        <w:t>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De todo lo expuesto se colige, por las razones expuestas, que el recurrente no ha sido privado de su libertad personal en supuestos distintos de los establecidos en la ley penal, lo que descarta la alegada vulneración del derecho a la libertad personal (art. 17.1 CE) que se alega en el séptimo motivo de su demanda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Es cierto que los cambios de criterio jurisprudencial y su conformidad con la Constitución sí pueden ser cuestionados desde otras perspectivas. Una de ellas tiene que ver con el contenido del derecho a la igualdad en la aplicación de la ley (art. 14 CE). Sin embargo, tampoco desde esta perspectiva puede apreciarse en el presente caso la vulneración denunciada. La resolución dictada por la Audiencia Nacional se limita a aplicar la doctrina sentada por otro órgano judicial, el Tribunal Supremo, máximo intérprete de la ley, sin que pueda apreciarse, por tanto, ni voluntarismo selectivo, ni apartamiento inmotivado del criterio aplicativo consolidado y mantenido hasta entonces por la Sala sentenciadora,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6</w:t>
      </w:r>
      <w:r>
        <w:t>. Desde otra perspectiva, sostienen el demandante y el Ministerio Fiscal que la aplicación de la nueva interpretación jurisprudencial sobre la forma de cómputo de la redención de penas por el trabajo ha vulnerado el derecho a la tutela judicial efectiva, en cuanto este derecho garantiza la intangibilidad de las resoluciones judiciales firmes (art. 24.1 CE). Concreta el Fiscal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w:t>
      </w:r>
    </w:p>
    <w:p w:rsidR="00D06117" w:rsidRDefault="00D06117" w:rsidP="00D06117">
      <w:pPr>
        <w:pStyle w:val="TextoNormal"/>
      </w:pPr>
    </w:p>
    <w:p w:rsidR="00D06117" w:rsidRDefault="00D06117" w:rsidP="00D06117">
      <w:pPr>
        <w:pStyle w:val="TextoNormal"/>
      </w:pPr>
      <w:r>
        <w:t>Acerca de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w:t>
      </w:r>
    </w:p>
    <w:p w:rsidR="00D06117" w:rsidRDefault="00D06117" w:rsidP="00D06117">
      <w:pPr>
        <w:pStyle w:val="TextoNormal"/>
      </w:pPr>
    </w:p>
    <w:p w:rsidR="00D06117" w:rsidRDefault="00D06117" w:rsidP="00D06117">
      <w:pPr>
        <w:pStyle w:val="TextoNormal"/>
      </w:pPr>
      <w:r>
        <w:lastRenderedPageBreak/>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sino también cuando se desconoce lo resuelto por una Sentencia firme en el marco de procesos que examinan cuestiones que guardan con aquélla una relación de estricta dependencia, aunque no sea posible apreciar simultáneamente el mencionado efecto de cosa juzgada. Así se afirma, entre otras, en las SSTC 219/2000, de 18 de septiembre, FJ 5; 151/2001, de 2 de julio, FJ 3; 163/2003, de 29 de septiembre, FJ 4; 200/2003, de 10 de noviembre, FJ 2; 15/2006, de 16 de enero, FJ 4; y 231/2006, de 17 de julio, FJ 2.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demandante de amparo fue condenado en virtud de las Sentencias que se enumeran en los antecedentes de hecho de esta resolución a las penas que se detallan en sus respectivas partes dispositivas.</w:t>
      </w:r>
    </w:p>
    <w:p w:rsidR="00D06117" w:rsidRDefault="00D06117" w:rsidP="00D06117">
      <w:pPr>
        <w:pStyle w:val="TextoNormal"/>
      </w:pPr>
    </w:p>
    <w:p w:rsidR="00D06117" w:rsidRDefault="00D06117" w:rsidP="00D06117">
      <w:pPr>
        <w:pStyle w:val="TextoNormal"/>
      </w:pPr>
      <w:r>
        <w:t>b) Por Auto de 31 de mayo de 1996 la Sección Segunda de indicada Sala de lo Penal acordó no haber lugar a revisar tales condenas a la luz de los nuevos preceptos del Código penal de 1995 por entender que éstos no eran en su conjunto más beneficiosos para el reo.</w:t>
      </w:r>
    </w:p>
    <w:p w:rsidR="00D06117" w:rsidRDefault="00D06117" w:rsidP="00D06117">
      <w:pPr>
        <w:pStyle w:val="TextoNormal"/>
      </w:pPr>
    </w:p>
    <w:p w:rsidR="00D06117" w:rsidRDefault="00D06117" w:rsidP="00D06117">
      <w:pPr>
        <w:pStyle w:val="TextoNormal"/>
      </w:pPr>
      <w:r>
        <w:t>c) Por Auto de 25 de abril de 1998, la Sección Segunda acordó la acumulación de las condenas impuestas en ambas Sentencias, fijando en treinta años de privación de libertad el tiempo total de cumplimiento de las mismas, en aplicación de lo establecido en el art. 70.2 del Código penal de 1973.</w:t>
      </w:r>
    </w:p>
    <w:p w:rsidR="00D06117" w:rsidRDefault="00D06117" w:rsidP="00D06117">
      <w:pPr>
        <w:pStyle w:val="TextoNormal"/>
      </w:pPr>
    </w:p>
    <w:p w:rsidR="00D06117" w:rsidRDefault="00D06117" w:rsidP="00D06117">
      <w:pPr>
        <w:pStyle w:val="TextoNormal"/>
      </w:pPr>
      <w:r>
        <w:t>d) Como consecuencia de la acumulación de condenas, el 27 de junio de 2008 la Sección Segunda dictó providencia aprobando el licenciamiento definitivo del penado para el día 7 de febrero de 2014, rechazando así la propuesta formulada por el centro penitenciario en el que se encontraba cumpliendo la condena, que proponía su licenciamiento definitivo para el día 8 de marzo de 2009.</w:t>
      </w:r>
    </w:p>
    <w:p w:rsidR="00D06117" w:rsidRDefault="00D06117" w:rsidP="00D06117">
      <w:pPr>
        <w:pStyle w:val="TextoNormal"/>
      </w:pPr>
    </w:p>
    <w:p w:rsidR="00D06117" w:rsidRDefault="00D06117" w:rsidP="00D06117">
      <w:pPr>
        <w:pStyle w:val="TextoNormal"/>
      </w:pPr>
      <w:r>
        <w:t>e) Contra la anterior providencia interpuso recurso de súplica, que fue desestimado por Auto de 8 de septiembre de 2008 que, del mismo modo que la providencia impugnada, se sustenta en el criterio iniciado por la Sala de lo Penal del Tribunal Supremo con la STS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D06117" w:rsidRDefault="00D06117" w:rsidP="00D06117">
      <w:pPr>
        <w:pStyle w:val="TextoNormal"/>
      </w:pPr>
    </w:p>
    <w:p w:rsidR="00D06117" w:rsidRDefault="00D06117" w:rsidP="00D06117">
      <w:pPr>
        <w:pStyle w:val="TextoNormal"/>
      </w:pPr>
      <w:r w:rsidRPr="00D06117">
        <w:rPr>
          <w:rStyle w:val="NumeroAFNegritaCaracter"/>
        </w:rPr>
        <w:t>8</w:t>
      </w:r>
      <w:r>
        <w:t>.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Por lo que respecta al Auto de la Sección Segunda de la Audiencia Nacional de 25 de abril de 1998 que acuerda la acumulación de condenas y fija el límite máximo de cumplimiento, tal resolución se limita a hacer efectiva una previsión legal (arts. 988 LECrim y 70.2 </w:t>
      </w:r>
      <w:r>
        <w:lastRenderedPageBreak/>
        <w:t>CP 1973). No existe en él referencia alguna a la redención de penas por el trabajo o al criterio de cómputo de la misma, ni puede concluirse que dicho criterio sea relevante en modo alguno en la decisión de acumulación y fijación del límite máximo de cumplimiento adoptada en su día.</w:t>
      </w:r>
    </w:p>
    <w:p w:rsidR="00D06117" w:rsidRDefault="00D06117" w:rsidP="00D06117">
      <w:pPr>
        <w:pStyle w:val="TextoNormal"/>
      </w:pPr>
    </w:p>
    <w:p w:rsidR="00D06117" w:rsidRDefault="00D06117" w:rsidP="00D06117">
      <w:pPr>
        <w:pStyle w:val="TextoNormal"/>
      </w:pPr>
      <w:r>
        <w:t>b) Por lo que se refiere al Auto de la misma Sección de 31 de mayo de 1996 por el que se acordó no haber lugar a la revisión de las penas impuestas por considerar que, dados los hechos enjuiciados y las penas que la habían sido impuestas, no eran más favorables las previsiones punitivas del Código penal de 1995, es claro que ni en el fallo de esta resolución se realiza pronunciamiento alguno acerca del criterio de cómputo de las redenciones (porque no era su objeto) ni de su fundamentación jurídica puede concluirse que la decisión de no revisar las condenas se sustentara en un determinado criterio de cómputo de las redenciones que resulte determinante o decisivo para considerar o no más favorable el Código penal de 1973. No podía ser de otra forma, pues la comparación de las graves penas impuestas al recurrente con las previstas en el Código penal de 1995 evidencia que la ratio de la decisión de no revisar las penas impuestas no fue otra que la constatación de que el nuevo Código penal no rebajó en ningún caso las penas previstas para los delitos de terrorismo por los que fue condenado sino, si cabe, las endureció respecto a la regulación penal precedente.</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Juan Manuel Piriz López.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8620-2008.</w:t>
      </w:r>
    </w:p>
    <w:p w:rsidR="00D06117" w:rsidRDefault="00D06117" w:rsidP="00D06117">
      <w:pPr>
        <w:pStyle w:val="TextoNormalNegritaCentrado"/>
        <w:keepNext/>
      </w:pPr>
    </w:p>
    <w:p w:rsidR="00D06117" w:rsidRDefault="00D06117" w:rsidP="00D06117">
      <w:pPr>
        <w:pStyle w:val="TextoNormal"/>
      </w:pPr>
      <w: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w:t>
      </w:r>
      <w:r>
        <w:lastRenderedPageBreak/>
        <w:t>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8" w:name="SENTENCIA_2012_55"/>
      <w:r>
        <w:lastRenderedPageBreak/>
        <w:t>SENTENCIA 55/2012, de 29 de marzo de 2012</w:t>
      </w:r>
    </w:p>
    <w:bookmarkEnd w:id="5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ECLI:ES:TC:2012:55</w:t>
      </w:r>
    </w:p>
    <w:p w:rsidR="00D06117" w:rsidRDefault="00D06117" w:rsidP="00D06117">
      <w:pPr>
        <w:pStyle w:val="SntesisDescriptiva"/>
      </w:pPr>
    </w:p>
    <w:p w:rsidR="00D06117" w:rsidRDefault="00D06117" w:rsidP="00D06117">
      <w:pPr>
        <w:pStyle w:val="SntesisDescriptiva"/>
      </w:pPr>
      <w:r>
        <w:t>Recurso de amparo 362-2009. Promovido por doña María Inmaculada Noble Goicoechea con respecto a las resoluciones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e intangible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8].</w:t>
      </w:r>
    </w:p>
    <w:p w:rsidR="00D06117" w:rsidRDefault="00D06117" w:rsidP="00D06117">
      <w:pPr>
        <w:pStyle w:val="Extracto"/>
      </w:pPr>
    </w:p>
    <w:p w:rsidR="00D06117" w:rsidRDefault="00D06117" w:rsidP="00D06117">
      <w:pPr>
        <w:pStyle w:val="Extracto"/>
      </w:pPr>
      <w:r>
        <w:t>3.</w:t>
      </w:r>
      <w:r>
        <w:tab/>
        <w:t>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5].</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aunque sí pueden afectar al derecho a la libertad (SSTEDH casos </w:t>
      </w:r>
      <w:r w:rsidRPr="00D06117">
        <w:rPr>
          <w:i/>
        </w:rPr>
        <w:t>Grava c. Italia</w:t>
      </w:r>
      <w:r>
        <w:t xml:space="preserve">, de 10 de julio de 2003 y </w:t>
      </w:r>
      <w:r w:rsidRPr="00D06117">
        <w:rPr>
          <w:i/>
        </w:rPr>
        <w:t>Gurguchiani c. España</w:t>
      </w:r>
      <w:r>
        <w:t>, de 15 de diciembre de 2009) [FJ 5].</w:t>
      </w:r>
    </w:p>
    <w:p w:rsidR="00D06117" w:rsidRDefault="00D06117" w:rsidP="00D06117">
      <w:pPr>
        <w:pStyle w:val="Extracto"/>
      </w:pPr>
    </w:p>
    <w:p w:rsidR="00D06117" w:rsidRDefault="00D06117" w:rsidP="00D06117">
      <w:pPr>
        <w:pStyle w:val="Extracto"/>
      </w:pPr>
      <w:r>
        <w:t>5.</w:t>
      </w:r>
      <w:r>
        <w:tab/>
        <w:t>La resolución dictada por la Audiencia Nacional se limita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5].</w:t>
      </w:r>
    </w:p>
    <w:p w:rsidR="00D06117" w:rsidRDefault="00D06117" w:rsidP="00D06117">
      <w:pPr>
        <w:pStyle w:val="Extracto"/>
      </w:pPr>
    </w:p>
    <w:p w:rsidR="00D06117" w:rsidRDefault="00D06117" w:rsidP="00D06117">
      <w:pPr>
        <w:pStyle w:val="Extracto"/>
      </w:pPr>
      <w:r>
        <w:t>6.</w:t>
      </w:r>
      <w:r>
        <w:tab/>
        <w:t>No nos corresponde pronunciarnos sobre cómo interpretar y aplicar el art. 70 en relación con el art. 100 CP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6].</w:t>
      </w:r>
    </w:p>
    <w:p w:rsidR="00D06117" w:rsidRDefault="00D06117" w:rsidP="00D06117">
      <w:pPr>
        <w:pStyle w:val="Extracto"/>
      </w:pPr>
    </w:p>
    <w:p w:rsidR="00D06117" w:rsidRDefault="00D06117" w:rsidP="00D06117">
      <w:pPr>
        <w:pStyle w:val="Extracto"/>
      </w:pPr>
      <w:r>
        <w:t>7.</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6].</w:t>
      </w:r>
    </w:p>
    <w:p w:rsidR="00D06117" w:rsidRDefault="00D06117" w:rsidP="00D06117">
      <w:pPr>
        <w:pStyle w:val="Extracto"/>
      </w:pPr>
    </w:p>
    <w:p w:rsidR="00D06117" w:rsidRDefault="00D06117" w:rsidP="00D06117">
      <w:pPr>
        <w:pStyle w:val="Extracto"/>
      </w:pPr>
      <w:r>
        <w:t>8.</w:t>
      </w:r>
      <w:r>
        <w:tab/>
        <w:t>Doctrina sobre redención de penas por el trabajo (SSTC 174/1989, 76/2004) [FJ 6].</w:t>
      </w:r>
    </w:p>
    <w:p w:rsidR="00D06117" w:rsidRDefault="00D06117" w:rsidP="00D06117">
      <w:pPr>
        <w:pStyle w:val="Extracto"/>
      </w:pPr>
    </w:p>
    <w:p w:rsidR="00D06117" w:rsidRDefault="00D06117" w:rsidP="00D06117">
      <w:pPr>
        <w:pStyle w:val="Extracto"/>
      </w:pPr>
      <w:r>
        <w:t>9.</w:t>
      </w:r>
      <w:r>
        <w:tab/>
        <w:t>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(SSTC 219/2000, 62/2010) [FJ 7].</w:t>
      </w:r>
    </w:p>
    <w:p w:rsidR="00D06117" w:rsidRDefault="00D06117" w:rsidP="00D06117">
      <w:pPr>
        <w:pStyle w:val="Extracto"/>
      </w:pPr>
    </w:p>
    <w:p w:rsidR="00D06117" w:rsidRDefault="00D06117" w:rsidP="00D06117">
      <w:pPr>
        <w:pStyle w:val="Extracto"/>
      </w:pPr>
      <w:r>
        <w:t>10.</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7].</w:t>
      </w:r>
    </w:p>
    <w:p w:rsidR="00D06117" w:rsidRDefault="00D06117" w:rsidP="00D06117">
      <w:pPr>
        <w:pStyle w:val="Extracto"/>
      </w:pPr>
    </w:p>
    <w:p w:rsidR="00D06117" w:rsidRDefault="00D06117" w:rsidP="00D06117">
      <w:pPr>
        <w:pStyle w:val="Extracto"/>
      </w:pPr>
      <w:r>
        <w:t>11.</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7].</w:t>
      </w:r>
    </w:p>
    <w:p w:rsidR="00D06117" w:rsidRDefault="00D06117" w:rsidP="00D06117">
      <w:pPr>
        <w:pStyle w:val="Extracto"/>
      </w:pPr>
    </w:p>
    <w:p w:rsidR="00D06117" w:rsidRDefault="00D06117" w:rsidP="00D06117">
      <w:pPr>
        <w:pStyle w:val="Extracto"/>
      </w:pPr>
      <w:r>
        <w:t>12.</w:t>
      </w:r>
      <w:r>
        <w:tab/>
        <w:t>No es razonable exigir al interesado que contravenga o salve por sí mismo la instrucción o información de recursos consignada en la resolución judicial, aunque ésta pueda resultar errónea, dada la delicada disyuntiva en la que en caso contrario se le sitúa como consecuencia de la necesidad de cumplir simultáneamente las dos exigencias de agotar la vía judicial previa y de interponer el recurso de amparo dentro de los treinta días siguientes a la notificación de la resolución recaída en el proceso judicial (SSTC 241/2006, 210/2009) [FJ 2].</w:t>
      </w:r>
    </w:p>
    <w:p w:rsidR="00D06117" w:rsidRDefault="00D06117" w:rsidP="00D06117">
      <w:pPr>
        <w:pStyle w:val="Extracto"/>
      </w:pPr>
    </w:p>
    <w:p w:rsidR="00D06117" w:rsidRDefault="00D06117" w:rsidP="00D06117">
      <w:pPr>
        <w:pStyle w:val="Extracto"/>
      </w:pPr>
      <w:r>
        <w:t>13.</w:t>
      </w:r>
      <w:r>
        <w:tab/>
        <w:t xml:space="preserve">No concurre una situación material de indefensión efectiva constitucionalmente relevante, puesto que el recurrente pudo defenderse y someter a contradicción la </w:t>
      </w:r>
      <w:r>
        <w:lastRenderedPageBreak/>
        <w:t>aplicación de la nueva doctrina sobre el cómputo de la redención de pena por trabajo en el recurso de súplica que interpuso, como de hecho hizo, obteniendo una exhaustiva respuesta al respecto por parte del órgano judicial [FJ 3].</w:t>
      </w:r>
    </w:p>
    <w:p w:rsidR="00D06117" w:rsidRDefault="00D06117" w:rsidP="00D06117">
      <w:pPr>
        <w:pStyle w:val="Extracto"/>
      </w:pPr>
    </w:p>
    <w:p w:rsidR="00D06117" w:rsidRDefault="00D06117" w:rsidP="00D06117">
      <w:pPr>
        <w:pStyle w:val="Extracto"/>
      </w:pPr>
      <w:r>
        <w:t>14.</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362-2009, promovido por doña María Inmaculada Noble Goicoechea, representada por el Procurador de los Tribunales don José Javier Cuevas Rivas y asistido por la Letrada doña Ainoa Baglietto Gabilondo, contra el Auto de la Sección Segunda de la Sala de lo Penal de la Audiencia Nacional, de 20 de noviembre de 2008, que desestima el recurso de súplica contra la providencia de 27 de octubre de 2008, por la que se aprueba el licenciamiento definitivo de la penada para el día 7 de enero de 2017. Ha intervenido el Ministerio Fiscal.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8 de enero de 2009, don José Javier Cuevas Rivas, Procurador de los Tribunales, y de doña María Inmaculada Noble Goicoechea, interpuso recurso de amparo contra la resolución judicial que se cita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La recurrente se encuentra cumpliendo condena en relación con cuatro causas (sumarios 3-1986, 27-1986, 7-1987 y 23-1987), acumuladas a la primera de ellas (ejecutoria 47-</w:t>
      </w:r>
      <w:r>
        <w:lastRenderedPageBreak/>
        <w:t>1991) por Auto de la Sección Segunda de la Sala de lo Penal de la Audiencia Nacional, de 27 de enero de 2003, en el que se fija en treinta años de privación de libertad el tiempo total de cumplimiento, en aplicación de la regla 2 del art. 70 del Código penal (CP) de 1973.</w:t>
      </w:r>
    </w:p>
    <w:p w:rsidR="00D06117" w:rsidRDefault="00D06117" w:rsidP="00D06117">
      <w:pPr>
        <w:pStyle w:val="TextoNormal"/>
      </w:pPr>
    </w:p>
    <w:p w:rsidR="00D06117" w:rsidRDefault="00D06117" w:rsidP="00D06117">
      <w:pPr>
        <w:pStyle w:val="TextoNormal"/>
      </w:pPr>
      <w:r>
        <w:t>Los delitos por los que fue condenada son los siguientes: En la causa 27-1986, como autora de un delito de atentado a la pena de veinte años de reclusión menor; como autora de cuatro delitos de asesinato, a la pena de veinte años de reclusión menor por cada uno; como autora de once delitos de asesinato frustrado, a la pena de doce años de prisión mayor por cada uno y como autora de un delito de terrorismo, a la pena de seis años de prisión menor. En la causa 3-1986, como autora de un delito de utilización ilegítima de vehículo de motor, a la pena de cuatro años y tres meses de prisión menor; como autora de un delito de detención ilegal, a la pena de seis años y un día de prisión mayor; como autora de un delito de atentado, a la pena de veinticuatro años de reclusión mayor. En la causa 47-1991, como autora de un delito de depósito de armas y municiones, a la pena de nueve años de prisión mayor; como autora de un delito de tenencia de explosivos, a la pena de nueve años de prisión mayor; como autora de un delito de falsificación de documentos de identidad, a la pena de un año y seis meses de prisión menor; como autora de un delito de falsedad de placa de matrícula, a la pena de un año de prisión menor; y como autora de un delito de utilización ilegítima de vehículos de motor, a la pena de tres meses de arresto mayor. Y en la causa 7-1987, como autora de un delito de atentado a la pena de veintinueve años de reclusión mayor; y como autora de dos delitos de asesinato, a la pena de veintinueve años de reclusión mayor por cada uno.</w:t>
      </w:r>
    </w:p>
    <w:p w:rsidR="00D06117" w:rsidRDefault="00D06117" w:rsidP="00D06117">
      <w:pPr>
        <w:pStyle w:val="TextoNormal"/>
      </w:pPr>
    </w:p>
    <w:p w:rsidR="00D06117" w:rsidRDefault="00D06117" w:rsidP="00D06117">
      <w:pPr>
        <w:pStyle w:val="TextoNormal"/>
      </w:pPr>
      <w:r>
        <w:t>b) Mediante providencia de 7 de marzo de 2003, el órgano judicial aprueba una primera liquidación de condena, en la que figura como fecha de cumplimiento el día 25 de enero de 2017, sin cómputo de redenciones (redenciones: cero).</w:t>
      </w:r>
    </w:p>
    <w:p w:rsidR="00D06117" w:rsidRDefault="00D06117" w:rsidP="00D06117">
      <w:pPr>
        <w:pStyle w:val="TextoNormal"/>
      </w:pPr>
    </w:p>
    <w:p w:rsidR="00D06117" w:rsidRDefault="00D06117" w:rsidP="00D06117">
      <w:pPr>
        <w:pStyle w:val="TextoNormal"/>
      </w:pPr>
      <w:r>
        <w:t>c) Mediante otra providencia de 15 de octubre de 2003 se aprueba una nueva liquidación de condena, en la misma ejecutoria, en la que la fecha de cumplimiento es el día 14 de enero de 2017, al computar 11 días de prisión preventiva inicialmente no computados. No consta en dicha liquidación redención alguna.</w:t>
      </w:r>
    </w:p>
    <w:p w:rsidR="00D06117" w:rsidRDefault="00D06117" w:rsidP="00D06117">
      <w:pPr>
        <w:pStyle w:val="TextoNormal"/>
      </w:pPr>
    </w:p>
    <w:p w:rsidR="00D06117" w:rsidRDefault="00D06117" w:rsidP="00D06117">
      <w:pPr>
        <w:pStyle w:val="TextoNormal"/>
      </w:pPr>
      <w:r>
        <w:t>d) Una nueva providencia de fecha 15 de octubre de 2008 aprueba una tercera liquidación de condena en la que figura como fecha de cumplimiento el día 6 de enero de 2017, como resultado de cómputo de otros ocho días de prisión preventiva. De nuevo no se computan días de redención. El día 17 de octubre de 2008, a través de una diligencia del Secretario de Justicia, se hace constar la existencia de un error en la fecha de preventiva en la anterior liquidación de condena aprobada —puesto de manifiesto por el centro penitenciario—, practicándose una nueva liquidación de condena con fecha de cumplimiento 7 de enero de 2017, sin cómputo de redenciones.</w:t>
      </w:r>
    </w:p>
    <w:p w:rsidR="00D06117" w:rsidRDefault="00D06117" w:rsidP="00D06117">
      <w:pPr>
        <w:pStyle w:val="TextoNormal"/>
      </w:pPr>
    </w:p>
    <w:p w:rsidR="00D06117" w:rsidRDefault="00D06117" w:rsidP="00D06117">
      <w:pPr>
        <w:pStyle w:val="TextoNormal"/>
      </w:pPr>
      <w:r>
        <w:t xml:space="preserve">e) El día 20 de octubre de 2008, el centro penitenciario de Algeciras, en el que se encuentra interna la recurrente, propuso como fecha de licenciamiento definitivo el día 29 de octubre de 2008, sin perjuicio de la aplicación del nuevo criterio del Tribunal Supremo recogido en Sentencia 197/2006, de 28 de febrero, con el cual el cumplimiento sería el día 7 de enero de 2017. Se adjunta certificado de redención (en el que consta que redime su pena por el trabajo desde el 16 de enero de 1987 y que tiene abonados un total de 2.992 días de </w:t>
      </w:r>
      <w:r>
        <w:lastRenderedPageBreak/>
        <w:t>redención) y hoja de cálculo (en la que el cómputo de las redenciones se realiza descontando los días redimidos del límite de cumplimiento de treinta años).</w:t>
      </w:r>
    </w:p>
    <w:p w:rsidR="00D06117" w:rsidRDefault="00D06117" w:rsidP="00D06117">
      <w:pPr>
        <w:pStyle w:val="TextoNormal"/>
      </w:pPr>
    </w:p>
    <w:p w:rsidR="00D06117" w:rsidRDefault="00D06117" w:rsidP="00D06117">
      <w:pPr>
        <w:pStyle w:val="TextoNormal"/>
      </w:pPr>
      <w:r>
        <w:t>f) Con fecha 27 de octubre de 2008, la Sección Segunda de la Sala de lo Penal de la Audiencia Nacional dictó una providencia en la que aprobaba el licenciamiento definitivo de la penada para el día 7 de enero de 2017.</w:t>
      </w:r>
    </w:p>
    <w:p w:rsidR="00D06117" w:rsidRDefault="00D06117" w:rsidP="00D06117">
      <w:pPr>
        <w:pStyle w:val="TextoNormal"/>
      </w:pPr>
    </w:p>
    <w:p w:rsidR="00D06117" w:rsidRDefault="00D06117" w:rsidP="00D06117">
      <w:pPr>
        <w:pStyle w:val="TextoNormal"/>
      </w:pPr>
      <w:r>
        <w:t>g) Contra esta resolución se interpuso recurso de súplica, desestimado por Auto de 20 de noviembre de 2008.</w:t>
      </w:r>
    </w:p>
    <w:p w:rsidR="00D06117" w:rsidRDefault="00D06117" w:rsidP="00D06117">
      <w:pPr>
        <w:pStyle w:val="TextoNormal"/>
      </w:pPr>
    </w:p>
    <w:p w:rsidR="00D06117" w:rsidRDefault="00D06117" w:rsidP="00D06117">
      <w:pPr>
        <w:pStyle w:val="TextoNormal"/>
      </w:pPr>
      <w:r>
        <w:t>Dicho Auto rechaza la alegada indefensión, destacando que la interesada pudo interponer los oportunos recursos en vía judicial, por lo que pudo impugnar la resolución que aprueba la liquidación de condena con la que no está de acuerdo, y que el que no se le haya dado traslado antes de dictarse la providencia recurrida de la propuesta del centro penitenciario no constituye ninguna irregularidad, pues ni existe trámite que prevea tal traslado, ni hubiera podido impugnar tal propuesta. En cuanto a las restantes vulneraciones de derechos fundamentales alegadas (seguridad jurídica, libertad, legalidad, irretroactividad de las normas e intangibilidad de las resoluciones judiciales) señala que la providencia recurrida es conforme a la doctrina del Tribunal Supremo establecida en la STS 197/2006, que reproduce parcialmente, concluyendo que esa nueva interpretación (conforme a la cual las redenciones se computan sobre la totalidad de las condenas y no sobre la pena refundida) no afecta al tope máximo de cumplimiento de treinta años fijado por Auto de 27 de enero de 2003 y que la nueva doctrina hace que el cumplimiento efectivo sea más acorde con lo establecido en dicha resolución judicial. A mayor abundamiento, se afirma que no corresponde a la Audiencia Nacional corregir al Tribunal Supremo en materia de interpretación de las normas, debiendo resolver conforme a los criterios del Alto Tribunal al ser órgano jurisdiccional superior conforme al art. 123.1 CE.</w:t>
      </w:r>
    </w:p>
    <w:p w:rsidR="00D06117" w:rsidRDefault="00D06117" w:rsidP="00D06117">
      <w:pPr>
        <w:pStyle w:val="TextoNormal"/>
      </w:pPr>
    </w:p>
    <w:p w:rsidR="00D06117" w:rsidRDefault="00D06117" w:rsidP="00D06117">
      <w:pPr>
        <w:pStyle w:val="TextoNormal"/>
      </w:pPr>
      <w:r>
        <w:t>En el pie de recurso se hace constar que contra esta resolución no cabe recurso alguno.</w:t>
      </w:r>
    </w:p>
    <w:p w:rsidR="00D06117" w:rsidRDefault="00D06117" w:rsidP="00D06117">
      <w:pPr>
        <w:pStyle w:val="TextoNormal"/>
      </w:pPr>
    </w:p>
    <w:p w:rsidR="00D06117" w:rsidRDefault="00D06117" w:rsidP="00D06117">
      <w:pPr>
        <w:pStyle w:val="TextoNormal"/>
      </w:pPr>
      <w:r w:rsidRPr="00D06117">
        <w:rPr>
          <w:rStyle w:val="NumeroAFNegritaCaracter"/>
        </w:rPr>
        <w:t>3</w:t>
      </w:r>
      <w:r>
        <w:t>. La recurrente fundamenta su demanda de amparo en la vulneración de los derechos fundamentales a la tutela judicial efectiva (art. 24.1 CE), a un proceso con todas las garantías (art. 24.2 CE), a la legalidad (art. 25.1 y 2 CE), a la libertad (art. 17.1 CE) y a la igualdad en la aplicación de la ley (art. 14 CE).</w:t>
      </w:r>
    </w:p>
    <w:p w:rsidR="00D06117" w:rsidRDefault="00D06117" w:rsidP="00D06117">
      <w:pPr>
        <w:pStyle w:val="TextoNormal"/>
      </w:pPr>
    </w:p>
    <w:p w:rsidR="00D06117" w:rsidRDefault="00D06117" w:rsidP="00D06117">
      <w:pPr>
        <w:pStyle w:val="TextoNormal"/>
      </w:pPr>
      <w:r>
        <w:t xml:space="preserve">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123/2005 (en lo relativo al alcance del principio acusatorio y del deber de congruencia entre acusación y fallo) y 11/1987 (que sostiene que los principios de audiencia e igualdad de partes han de respetarse también en la ejecución de la pena), se denuncia en la demanda que la Audiencia Nacional dictó la providencia de 27 de octubre de 2008, en la que aprueba el licenciamiento definitivo no en la fecha propuesta por el centro penitenciario, sino nueve años más tarde, en aplicación de la nueva doctrina del Tribunal Supremo, dando traslado sólo al Ministerio público y no a la penada, ni a su representación procesal, para que pudieran pronunciarse al respecto. Y ello pese a que se introducía en ese momento una perspectiva jurídica novedosa en cuanto al cómputo de las redenciones por trabajo, que empeoraba la situación del reo, al </w:t>
      </w:r>
      <w:r>
        <w:lastRenderedPageBreak/>
        <w:t>demorar su salida de prisión hasta el 7 de enero de 2017, respecto de la que la recurrente no pudo defenderse ni someterla a contradicción en condiciones de igualdad antes de que el órgano judicial denegara su licenciamiento definitivo. Entiende además que tal actuación implica la asunción por parte del órgano judicial de funciones acusatorias que constitucionalmente le están vedadas. Dentro de este primer motivo, se denuncia también la vulneración del derecho de defensa y del derecho al recurso, con cita del art. 14.5 PIDCP, vulneración ésta que se imputa al Auto de 20 de noviembre de 2008. Sostiene la recurrente que, al resolver el recurso de súplica, la Audiencia Nacional no entra en el fondo del objeto del debate, limitándose a aplicar la Sentencia del Tribunal Supremo de 28 de febrero de 2008 en un recurso interpuesto por el señor Parot en un tema referente a la refundición de condenas. La Audiencia Nacional actúa como si entendiera que nos hallamos ante una ejecución de aquella Sentencia, cuando la misma es firme y ejecutable para el recurrente en aquel procedimiento (señor Parot), pero no para la señora Noble Goicoechea. Con ello se vulnera el derecho a la segunda instancia penal y a un recurso efectivo, ya que no se pudo recurrir la providencia en cuestión.</w:t>
      </w:r>
    </w:p>
    <w:p w:rsidR="00D06117" w:rsidRDefault="00D06117" w:rsidP="00D06117">
      <w:pPr>
        <w:pStyle w:val="TextoNormal"/>
      </w:pPr>
    </w:p>
    <w:p w:rsidR="00D06117" w:rsidRDefault="00D06117" w:rsidP="00D06117">
      <w:pPr>
        <w:pStyle w:val="TextoNormal"/>
      </w:pPr>
      <w:r>
        <w:t>En un segundo motivo de amparo, se aduce la vulneración del principio de legalidad (art. 25.1 y 2 CE), en relación con la interpretación de los arts. 70.2 y 100 del Código penal (CP) de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Entiende la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En el caso de la recurrente, ello significa que esos treinta años (10.950 días) se habrían cumplido el día 29 de octubre de 2008, sumando a los 7.958 días de internamiento efectivo, los 2.664 días de redención ordinaria y los 328 días abonados como redenciones extraordinarias.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 xml:space="preserve">Como conclusión se destaca que la administración penitenciaria, con la aprobación de los Jueces de vigilancia penitenciaria y de los Tribunales sentenciadores, ha aplicado las redenciones como tiempo de cumplimiento efectivo, sin que nada justifique en este momento el cambio de criterio. Un criterio mantenido a la hora de determinar el Código más </w:t>
      </w:r>
      <w:r>
        <w:lastRenderedPageBreak/>
        <w:t>favorable, computando las redenciones como tiempo de cumplimiento, establecido por los Plenos no jurisdiccionales de 18 de julio de 1996 y de 12 de febrero de 1999.</w:t>
      </w:r>
    </w:p>
    <w:p w:rsidR="00D06117" w:rsidRDefault="00D06117" w:rsidP="00D06117">
      <w:pPr>
        <w:pStyle w:val="TextoNormal"/>
      </w:pPr>
    </w:p>
    <w:p w:rsidR="00D06117" w:rsidRDefault="00D06117" w:rsidP="00D06117">
      <w:pPr>
        <w:pStyle w:val="TextoNormal"/>
      </w:pPr>
      <w:r>
        <w:t>El tercer motivo de amparo denuncia la vulneración del derecho a la tutela judicial efectiva (art. 24.1 CE), en relación con el derecho a la libertad (art. 17.1 CE). Sostiene la demanda que la nueva interpretación del cómputo de las redenciones sobre la totalidad de la condena le genera indefensión e inseguridad jurídica, puesto que con las redenciones aprobadas por los Juzgados de Vigilancia Penitenciaria, intangibles y firmes, que constan en la ejecutoria 47-1991, aplicadas —como se venía haciendo— al tope de treinta años, la recurrente habría cumplido ya su condena y podría haber obtenido el licenciamiento definitivo el 29 de octubre de 2008. El trabajo y los estudios en la prisión se realizaron en la confianza de que las redenciones así obtenidas implicarían un acortamiento del tiempo de permanencia en prisión, habiéndose generado una expectativa de dicho acortamiento sobre la base de la actuación del propio órgano judicial hasta el momento y de las propuestas de los centros penitenciarios, que habían venido aplicando la doctrina anterior. En concreto, cita el Auto de acumulación de condenas de 27 de enero de 2003, aportado con la demanda como documento núm. 5, que suponía que el límite de cumplimiento eran treinta años a los que se debían deducir las redenciones; las sucesivas liquidaciones posteriores aportadas como documental núm. 7, y la denegación de la revisión de la condena conforme al nuevo Código penal por Auto de 14 de noviembre de 1996, aportado como documental núm. 8, que tiene su origen en la previa liquidación de condena realizada por la prisión de Melilla aplicando las redenciones sobre la pena resultante de la aplicación del art. 70.2 CP 1973. Además, y tras referirse a la STC 76/2004, de 26 de abril, se afirma que la aprobación de las redenciones por parte de los Juzgados de Vigilancia Penitenciaria y las Audiencias Provinciales, en resoluciones judiciales firmes, suponía la aprobación de las redenciones como abono para la condena. Finalmente, se argumenta que el cambio de criterio vulnera el derecho a la tutela judicial efectiva, en relación con el derecho a la libertad, que implica un deber reforzado de motivación. Citando la STC 174/1989, se afirma que se lesionaría el art. 24.1 CE,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 xml:space="preserve">Como cuarto motivo de amparo, se insiste en la vulneración del derecho a la tutela judicial efectiva (art. 24.1 CE) en su vertiente de intangibilidad de las resoluciones judiciales firmes, en relación con los principios de legalidad y seguridad jurídica. En la ejecutoria 47-1991, se acordó, mediante Auto de 27 de enero de 2003, acumular las condenas impuestas a la recurrente, fijándose una duración de treinta años de privación de tiempo de cumplimiento total de la condena. A raíz de dicho Auto, se aprobó la liquidación de condena, considerando la existencia de una sola condena de treinta años de privación de libertad, susceptible de reducción por medio del beneficio de redención de pena por el trabajo, previsto en el Código penal de 1973. Dicha condena no fue revisada para acomodarlas a las reglas del Código penal de 1995 porque la condena de treinta años con redenciones resultaba más beneficiosa que la que se le podría imponer con el Código penal posterior, única y exclusivamente por el efecto de la aplicación de las redenciones a la pena de treinta años. La demanda se remite a la documental núm. 5 y núm. 8. Como consecuencia de todo lo anterior, el centro penitenciario de Algeciras interesó la aprobación del licenciamiento definitivo de la recurrente para el día 29 de octubre de 2008, fecha resultante de la aplicación de las </w:t>
      </w:r>
      <w:r>
        <w:lastRenderedPageBreak/>
        <w:t>redenciones obtenidas a la pena refundida de treinta años como pena única, como se refleja en la hoja de cálculo realizada. Por tanto, no nos encontramos con una mera expectativa de reducción de condena y consecuentemente de libertad, sino ante una resolución firme por la que se acumulan las condenas impuestas, de la que se deriva una liquidación de condena y la aplicación a la misma de la redención de penas por el trabajo. La Sala aprobó por providencia de 7 de marzo de 2003 una liquidación de condena que consideraba la existencia de una sola condena de treinta años, susceptible de reducción mediante la redención de penas por el trabajo. Frente a la cual, las resoluciones ahora impugnadas, aprueban un licenciamiento definitivo muy posterior, modificando el criterio derivado de las resoluciones obrantes en las documentales 5, 7 y 8.</w:t>
      </w:r>
    </w:p>
    <w:p w:rsidR="00D06117" w:rsidRDefault="00D06117" w:rsidP="00D06117">
      <w:pPr>
        <w:pStyle w:val="TextoNormal"/>
      </w:pPr>
    </w:p>
    <w:p w:rsidR="00D06117" w:rsidRDefault="00D06117" w:rsidP="00D06117">
      <w:pPr>
        <w:pStyle w:val="TextoNormal"/>
      </w:pPr>
      <w:r>
        <w:t>En el quinto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la recurrente que el Código penal de 1973 era la ley más favorable, en la medida en que las redenciones incidían sobre la liquidación de condena, acortando el tiempo de internamiento efectivo.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 xml:space="preserve">En sexto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en atención a quienes son los sujetos pasivos a los que afecta y a las circunstancias en que se adopta la decisión, por tanto, un cambio de criterio ad personam, constitucionalmente vedado. También se señala que a la recurrente se le deniega lo que a otros cientos de presos se les concedió, aplicando la ley de forma diferente y discriminatoria. En concreto, se cita como término de comparación al penado señor </w:t>
      </w:r>
      <w:r>
        <w:lastRenderedPageBreak/>
        <w:t>Esnaola Lasa, licenciado en la ejecutoria 30-1989 de la misma Sala y Sección de la Audiencia Nacional, al aplicársele las redenciones obtenidas a la pena única de treinta años. Aporta como documental núm. 6 Auto de refundición de condenas del citado penado.</w:t>
      </w:r>
    </w:p>
    <w:p w:rsidR="00D06117" w:rsidRDefault="00D06117" w:rsidP="00D06117">
      <w:pPr>
        <w:pStyle w:val="TextoNormal"/>
      </w:pPr>
    </w:p>
    <w:p w:rsidR="00D06117" w:rsidRDefault="00D06117" w:rsidP="00D06117">
      <w:pPr>
        <w:pStyle w:val="TextoNormal"/>
      </w:pPr>
      <w:r>
        <w:t>En el séptimo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siendo así que el tiempo acumulado por redenciones es tiempo efectivamente cumplido y no tiempo virtual, como señala la STS de 5 de abril de 2001. Ello queda patente en la inicial liquidación de condena y propuesta de licenciamiento definitivo efectuada por el centro penitenciario (conforme a la cual el recurrente había cumplido los treinta años el día 29 de octubre de 2008), por lo que las resoluciones recurridas, al denegar la libertad y fijar el licenciamiento definitivo en 2017 conforme a la nueva doctrina, violan el art. 17 CE, así como los arts. 5 y 7.1 del Convenio europeo y los arts. 9.1, 5 y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dirige la redención de penas por el trabajo como instrumento de tratamiento penitenciario, y que la interpretación del Tribunal Supremo, al dejar sin efecto útil alguno la redención de penas y la libertad condicional en casos como el presente,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4 de mayo de 2010, la Sala Segunda de este Tribunal acordó la admisión a trámite de la demanda así como, a tenor de lo establecido en el art. 51 de la Ley Orgánica del Tribunal Constitucional (LOTC), requerir atentamente a la Sección Segunda de la Sala de lo Penal de la Audiencia Nacional para que remitiera testimonio de las actuaciones correspondientes a la ejecutoria núm. 47-1991, interesando al tiempo que se emplazara a quienes fueron parte en el procedimiento, a excepción de la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estimasen pertinente en relación con la petición de suspensión interesada. Evacuado dicho trámite, mediante Auto de 19 de julio de 2010, la Sala Segunda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A través de una diligencia de ordenación de 3 de enero de 2011 se acordó dar vista de las actuaciones a la parte recurrente y al Ministerio Fiscal por término de veinte días, dentro </w:t>
      </w:r>
      <w:r>
        <w:lastRenderedPageBreak/>
        <w:t>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 la demandante de amparo formuló sus alegaciones mediante escrito que tuvo su entrada en el Registro General de este Tribunal el día 8 de febrero de 2011, en el que sustancialmente reproduce los argumentos ya expuestos en la demanda. En relación con el sexto motivo de amparo, aporta documental referente al licenciamiento definitivo del señor Esnaola Lasa y del señor Hernández Tiemblo, en aplicación del anterior criterio de cómputo de las redenciones sobre la pena refundida de treinta años, en el último caso con posterioridad a la doctrina sentada por el Tribunal Supremo en la Sentencia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8</w:t>
      </w:r>
      <w:r>
        <w:t>. El día 14 de febrero de 2011 presentó sus alegaciones el Ministerio Fiscal, interesando la estimación del amparo solicitado, por entender que las resoluciones recurridas han vulnerado los derechos a la intangibilidad de las resoluciones judiciales firmes (art. 24.1 CE), en relación con el derecho a la no retroactividad desfavorable para el reo (art. 25.1 CE en relación con el art. 9.3 CE) y a la libertad personal (art. 17.1 CE).</w:t>
      </w:r>
    </w:p>
    <w:p w:rsidR="00D06117" w:rsidRDefault="00D06117" w:rsidP="00D06117">
      <w:pPr>
        <w:pStyle w:val="TextoNormal"/>
      </w:pPr>
    </w:p>
    <w:p w:rsidR="00D06117" w:rsidRDefault="00D06117" w:rsidP="00D06117">
      <w:pPr>
        <w:pStyle w:val="TextoNormal"/>
      </w:pPr>
      <w:r>
        <w:t xml:space="preserve">El Ministerio Fiscal considera que, por razones sistemáticas, es conveniente cambiar el orden de análisis de los motivos de amparo recogidos en la demanda y comenzar por el octavo y último, referido al art. 25.2 CE, motivo que se rechaza por cuanto el art. 25.2 CE no contiene un derecho fundamental susceptible de ser invocado en amparo y por carecer de autonomía propia, debiendo quedar vinculado a las otras infracciones del derecho a la legalidad penal que se denuncian. Igualmente considera que debe ser desestimado el primero de los motivos de amparo. Entiende que en términos constitucionales y en relación con el derecho a un proceso con todas las garantías, entre ellas el principio de contradicción (art. 24.2 CE), y la proscripción de la indefensión (art. 24.1 CE), hubiera sido preferible que la Sección Segunda de la Sala de lo Penal de la Audiencia Nacional hubiera dado traslado a la defensa de la solicitud del Fiscal de que se aplicase la nueva doctrina del Tribunal Supremo, pues la jurisprudencia del Tribunal Constitucional advierte de la plena presencia de los principios de contradicción y proscripción de la indefensión también en fase de ejecución de Sentencia, y en concreto en materia de refundición de condenas (SSTC 11/1987 y 47/2003). Sin embargo, entiende el Fiscal que no se puede apreciar la indefensión denunciada, ya que la representación procesal de la actora hizo uso de su derecho a ser oída al interponer recurso de súplica el 28 de octubre de 2008 contra la providencia de 27 de octubre de 2008 y obtuvo contestación a través del Auto que ahora se impugna, por lo que no concurre una situación de indefensión real y material. Tampoco concurre vulneración alguna del derecho de acceso al recurso, destacando que la referencia al art. 14. 5 PIDCP no está bien formulada, pues nos hallamos en el ámbito de la ejecución de una condena ya establecida, al que no se extiende la previsión convencional. Descarta también que tenga eficacia suasoria el quinto de los motivos de amparo, por cuanto no nos encontramos ante un supuesto de aplicación retroactiva del art. 78 CP 1995, como se sostiene en la demanda, sino ante un cambio de criterio jurisprudencial en la interpretación del art. 70.2 CP vigente al tiempo de comisión de los hechos. Añade que no corresponde al Tribunal Constitucional decidir cuál de las interpretaciones de la norma es la más adecuada y que el principio de legalidad en cuanto a la irretroactividad desfavorable se predica de la ley, no de las líneas jurisprudenciales. Igualmente debe ser desestimada la vulneración del principio de igualdad en la aplicación de la ley, porque las resoluciones impugnadas se limitan a aplicar la doctrina </w:t>
      </w:r>
      <w:r>
        <w:lastRenderedPageBreak/>
        <w:t>sentada por otro órgano judicial (el Tribunal Supremo), que es la supuestamente discriminatoria; y porque en todo caso el cambio de criterio se fundamenta razonablemente.</w:t>
      </w:r>
    </w:p>
    <w:p w:rsidR="00D06117" w:rsidRDefault="00D06117" w:rsidP="00D06117">
      <w:pPr>
        <w:pStyle w:val="TextoNormal"/>
      </w:pPr>
    </w:p>
    <w:p w:rsidR="00D06117" w:rsidRDefault="00D06117" w:rsidP="00D06117">
      <w:pPr>
        <w:pStyle w:val="TextoNormal"/>
      </w:pPr>
      <w:r>
        <w:t>Para el examen de los restantes motivos de amparo, considera el Fiscal necesario hacer una recapitulación fáctica, tras la cual destaca que el núcleo del problema reside en que la Sección Segunda de la Sala de lo Penal de la Audiencia Nacional asume en las resoluciones objeto del presente recurso de amparo los criterios expresados por la Sala Segunda del Tribunal Supremo en la Sentencia 197/2006, de 28 de febrero. Del examen de las actuaciones queda claro que tras el Auto de refundición de 27 de enero de 2003, el Tribunal aprobó sucesivas liquidaciones de condena con sus respectivas fechas de licenciamiento definitivo de conformidad con la interpretación jurisprudencial anterior, en concretos, las liquidaciones de fecha 4 de febrero de 2003 (que fija el licenciamiento el 25 de enero de 2017); la de 15 de octubre de 2003 (que fija el licenciamiento para el 14 de enero de 2017) o la de 17 de octubre de 2008, que indicó como fecha de licenciamiento el 7 de enero de 2017. Es la providencia de 27 de octubre de 2008 la que aceptando el nuevo giro jurisprudencial fija una nueva fecha de licenciamiento que pasa de la fecha de 29 de octubre de 2008 (según el criterio jurisprudencial antiguo) a la de 7 de enero de 2017 (según el nuevo criterio), con un evidente perjuicio penológico para la demandante de amparo.</w:t>
      </w:r>
    </w:p>
    <w:p w:rsidR="00D06117" w:rsidRDefault="00D06117" w:rsidP="00D06117">
      <w:pPr>
        <w:pStyle w:val="TextoNormal"/>
      </w:pPr>
    </w:p>
    <w:p w:rsidR="00D06117" w:rsidRDefault="00D06117" w:rsidP="00D06117">
      <w:pPr>
        <w:pStyle w:val="TextoNormal"/>
      </w:pPr>
      <w:r>
        <w:t>Se pregunta, en primer lugar, si ello vulnera el derecho a la intangibilidad de las resoluciones judiciales firmes. Entiende que no parece que puedan ser clasificadas como resoluciones intangibles las liquidaciones de condenas, habida cuenta de la extremada fluidez de la vida de cumplimiento penitenciario, aunque la STC 174/1989, de 30 de octubre, en sus FFJJ 4 in fine y 5, establece que las resoluciones de los Juzgados de Vigilancia Penitenciaria relativas a las redenciones devienen firmes y que, al afectar este beneficio al derecho a la libertad, no resulta admisible que su cuantía esté siempre sujeta a ulterior modificación, no estando configurado legalmente como un beneficio condicional que pueda ser revocado en determinados casos. Por el contrario, el Auto que fija la refundición de condenas, si no es recurrido, deviene firme e intangible respecto a las condenas refundidas. La ejecución de una condena penal debe responder siempre a criterios de estricta legalidad, ya que el criterio de legalidad de ejecución penal forma parte del principio de legalidad penal (SSTC 11/1987, de 30 de enero y 147/1988, de 14 de julio). En dicha ejecución, y en el caso de autos, no es de recibo que fijados unos criterios de interpretación normativa para fijar la refundición de condena (Auto de 27 de enero de 2003) puedan variarse por otra resolución posterior como las recurridas en amparo.</w:t>
      </w:r>
    </w:p>
    <w:p w:rsidR="00D06117" w:rsidRDefault="00D06117" w:rsidP="00D06117">
      <w:pPr>
        <w:pStyle w:val="TextoNormal"/>
      </w:pPr>
    </w:p>
    <w:p w:rsidR="00D06117" w:rsidRDefault="00D06117" w:rsidP="00D06117">
      <w:pPr>
        <w:pStyle w:val="TextoNormal"/>
      </w:pPr>
      <w:r>
        <w:t xml:space="preserve">En definitiva, entiende el Fiscal que el Auto de 27 de enero de 2003 fijó los criterios para la ejecución de la condena operando una interpretación de la normativa en juego, posteriormente modificada en atención a la nueva interpretación emanada de una decisión de la Sala Segunda del Tribunal Supremo, lo que comporta una vulneración del derecho a la intangibilidad de las resoluciones judiciales firmes consagrada en el art. 24.1 CE. Cita, por todas, la STC 209/2005, de 4 de julio. La anterior vulneración tiene además engarce con el principio de legalidad (art. 25.1 CE), en relación con al prohibición de retroactividad de las normas penales perjudiciales al reo (art. 9.3 CE), ya que las garantías de legalidad y seguridad jurídica que exigen ambos preceptos constitucionales deben extenderse a la ejecución de las penas, integrándose la irretroactividad de las normas y de su interpretación desfavorable al reo en el complejo de legalidad del art. 25.1 CE (cita STEDH Puhk c. Estonia de 10 de febrero de 2004). Finalmente, ambas vulneraciones deben conectarse con la vulneración del </w:t>
      </w:r>
      <w:r>
        <w:lastRenderedPageBreak/>
        <w:t>derecho a la libertad personal (art. 17.1 CE), porque incide de forma directa en el tiempo de privación de libertad del condenado a una pena de prisión.</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21 de junio de 2011 el Pleno acordó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Segunda de la Sala de lo Penal de la Audiencia Nacional, de 20 de noviembre de 2008, que desestima el recurso de súplica contra la providencia de 27 de octubre de 2008, por la que se aprueba el licenciamiento definitivo de la penada para el día 7 de enero de 2017.</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 los derechos fundamentales consagrados en los arts. 17.1, 24.1 y 25.1 CE.</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en el análisis de las quejas articuladas en la demanda de amparo, conviene precisar que la falta de interposición por la recurrente de recurso de casación contra la resolución recurrida en amparo no puede conllevar, en el presente caso, la inadmisión de la demanda de amparo por falta de agotamiento de la vía judicial previa.</w:t>
      </w:r>
    </w:p>
    <w:p w:rsidR="00D06117" w:rsidRDefault="00D06117" w:rsidP="00D06117">
      <w:pPr>
        <w:pStyle w:val="TextoNormal"/>
      </w:pPr>
    </w:p>
    <w:p w:rsidR="00D06117" w:rsidRDefault="00D06117" w:rsidP="00D06117">
      <w:pPr>
        <w:pStyle w:val="TextoNormal"/>
      </w:pPr>
      <w:r>
        <w:t xml:space="preserve">La recurribilidad en casación de los Autos que fijan la fecha de licenciamiento definitivo no se deriva inequívocamente de precepto legal alguno, habiendo existido al respecto posiciones no unánimes en la jurisprudencia del Tribunal Supremo, que dieron lugar a que la Sala Segunda de dicho Tribunal considerara necesario un pronunciamiento unificador, para lo cual dictó el Auto de 7 de abril de 2008, en el que se concluye que dichos Autos también son susceptibles de recurso de casación, al amparo del art. 988 de la Ley de enjuiciamiento criminal. Ciertamente dicho pronunciamiento unificador se produjo con carácter previo a la interposición de la presente demanda de amparo, el día 8 de enero de 2009. Ahora bien, como se ha hecho constar en los antecedentes, la demandante se atuvo a la instrucción de recursos contenida en la resolución impugnada en amparo (Auto de 20 de noviembre de 2008), en la que inequívocamente se hace constar “que contra la misma no cabe recurso”, optando, en consecuencia, por no preparar recurso de casación. Teniendo esto en cuenta ha de concluirse que, aunque esta información pudiera considerarse errónea, ello no podría </w:t>
      </w:r>
      <w:r>
        <w:lastRenderedPageBreak/>
        <w:t>conducir a considerar incorrectamente agotada la vía judicial cuando la demandante ha seguido la indicación judicial, de conformidad con lo establecido inequívocamente por nuestra jurisprudencia.</w:t>
      </w:r>
    </w:p>
    <w:p w:rsidR="00D06117" w:rsidRDefault="00D06117" w:rsidP="00D06117">
      <w:pPr>
        <w:pStyle w:val="TextoNormal"/>
      </w:pPr>
    </w:p>
    <w:p w:rsidR="00D06117" w:rsidRDefault="00D06117" w:rsidP="00D06117">
      <w:pPr>
        <w:pStyle w:val="TextoNormal"/>
      </w:pPr>
      <w:r>
        <w:t>En efecto, hemos afirmado que “hay que considerar en todo caso excusable el error en que pueda incurrir el litigante a la hora de considerar agotada la vía judicial cuando haya sido inducido a tal error por una instrucción o información errónea acerca de los recursos facilitada por el órgano judicial, pues si éste ha ofrecido indicaciones equivocadas sobre los recursos utilizables, el interesado, aun contando con asistencia letrada, podría entender, dada la autoridad inherente a la decisión judicial, que tales indicaciones son ciertas y obrar en consecuencia. De este modo, no es razonable exigir al interesado que contravenga o salve por sí mismo la instrucción o información de recursos consignada en la resolución judicial, aunque ésta pueda resultar o resulte errónea, dada la delicada disyuntiva en la que en caso contrario se le sitúa como consecuencia de la necesidad de cumplir simultáneamente las dos exigencias de agotar la vía judicial previa [arts. 43.2 y 44.1 a) LOTC] y de interponer el recurso de amparo dentro de los treinta días siguientes a la notificación de la resolución recaída en el proceso judicial (arts. 43.2 y 44.2 LOTC)” (por todas, STC 210/2009, de 26 de noviembre, FJ 2, que se remite a la STC 241/2006, de 20 de julio, FJ 3, dictada por el Pleno de este Tribunal).</w:t>
      </w:r>
    </w:p>
    <w:p w:rsidR="00D06117" w:rsidRDefault="00D06117" w:rsidP="00D06117">
      <w:pPr>
        <w:pStyle w:val="TextoNormal"/>
      </w:pPr>
    </w:p>
    <w:p w:rsidR="00D06117" w:rsidRDefault="00D06117" w:rsidP="00D06117">
      <w:pPr>
        <w:pStyle w:val="TextoNormal"/>
      </w:pPr>
      <w:r w:rsidRPr="00D06117">
        <w:rPr>
          <w:rStyle w:val="NumeroAFNegritaCaracter"/>
        </w:rPr>
        <w:t>3</w:t>
      </w:r>
      <w:r>
        <w:t>. En la primera de las quejas articuladas en la demanda, bajo la invocación de los derechos a la tutela judicial efectiva (art. 24.1 CE) y a un proceso con todas las garantías (art. 24.2 CE), se denuncia en primer lugar —y al margen de una vulneración del principio acusatorio carente del menor desarrollo argumental para que pueda ser tomada en consideración por este Tribunal— la indefensión generada por la Audiencia Nacional en su providencia de 27 de octubre de 2008, al acordar la aplicación de la nueva doctrina del Tribunal Supremo acerca del cómputo de las redenciones de penas por el trabajo, conforme a lo solicitado por el Ministerio Fiscal, sin dar traslado previamente a la defensa para que se pronunciara al respecto, vulnerando el derecho de defensa y el principio de contradicción, puesto que se introducía una perspectiva jurídica novedosa, que empeoraba la situación del reo.</w:t>
      </w:r>
    </w:p>
    <w:p w:rsidR="00D06117" w:rsidRDefault="00D06117" w:rsidP="00D06117">
      <w:pPr>
        <w:pStyle w:val="TextoNormal"/>
      </w:pPr>
    </w:p>
    <w:p w:rsidR="00D06117" w:rsidRDefault="00D06117" w:rsidP="00D06117">
      <w:pPr>
        <w:pStyle w:val="TextoNormal"/>
      </w:pPr>
      <w:r>
        <w:t>Como señala el Ministerio Fiscal, aunque hubiera sido deseable que la Sección Segunda de la Audiencia Nacional hubiera dado traslado a la defensa de la solicitud del Fiscal de que se aplicase la nueva doctrina del Tribunal Supremo acerca del cómputo de las redenciones de penas por trabajo, la ausencia de dicho trámite no determina la existencia de las vulneraciones alegadas. En efecto,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la recurrente pudo defenderse y someter a contradicción la aplicación de la nueva doctrina sobre el cómputo de la redención de pena por trabajo en el recurso de súplica que interpuso, como de hecho hizo, obteniendo una exhaustiva respuesta al respecto por parte del órgano judicial en el Auto de 20 de noviembre de 2008.</w:t>
      </w:r>
    </w:p>
    <w:p w:rsidR="00D06117" w:rsidRDefault="00D06117" w:rsidP="00D06117">
      <w:pPr>
        <w:pStyle w:val="TextoNormal"/>
      </w:pPr>
    </w:p>
    <w:p w:rsidR="00D06117" w:rsidRDefault="00D06117" w:rsidP="00D06117">
      <w:pPr>
        <w:pStyle w:val="TextoNormal"/>
      </w:pPr>
      <w:r>
        <w:t>Por otra parte, y dentro del primero de los motivos de amparo, se aduce la vulneración del derecho a un recurso efectivo y a la segunda instancia penal [art. 24.2 CE en relación con el art. 14.5 del Pacto internacional de derechos civiles y políticos (PIDCP)]. Tampoco esta queja puede prosperar, puesto que la recurrente tuvo acceso al recurso legalmente previsto (el recurso de súplica), que no fue inadmitido, sino resuelto y desestimado, considerando la Audiencia que resultaba de aplicación al caso la nueva doctrina sentada por el Tribunal Supremo en relación con el cómputo de la redención de penas por el trabajo y que no le correspondía corregir al Tribunal Supremo en su interpretación de la legalidad ordinaria.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PIDCP y en el art. 2 del Protocolo núm. 7 del Convenio europeo para la protección de los derechos humanos y de las libertades fundamentales (CEDH),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la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4</w:t>
      </w:r>
      <w:r>
        <w:t>. Despejado este grupo de quejas articuladas como primer motivo de amparo, en los restantes motivos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el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 xml:space="preserve">La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modifica sus expectativas —fundadas en las decisiones previas del órgano judicial y de la Administración penitenciaria— de alcanzar la libertad el día 29 de octubre de </w:t>
      </w:r>
      <w:r>
        <w:lastRenderedPageBreak/>
        <w:t>2008 (según se desprende de la propuesta de licenciamiento definitivo enviada inicialmente por el centro penitenciario al órgano judicial), retrasando ese momento hasta el día 7 de enero de 2017.</w:t>
      </w:r>
    </w:p>
    <w:p w:rsidR="00D06117" w:rsidRDefault="00D06117" w:rsidP="00D06117">
      <w:pPr>
        <w:pStyle w:val="TextoNormal"/>
      </w:pPr>
    </w:p>
    <w:p w:rsidR="00D06117" w:rsidRDefault="00D06117" w:rsidP="00D06117">
      <w:pPr>
        <w:pStyle w:val="TextoNormal"/>
      </w:pPr>
      <w:r>
        <w:t>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como máximo intérprete de la legalidad ordinaria ex art. 117 CE, sino que nuestro examen se ha de limitar a la consideración de la respuesta judicial que para el caso concreto se contiene en las resoluciones recurridas, en las que se acuerda la aplicación como criterio de cómputo de las redenciones el establecido con carácter previo en la STS 197/2006.</w:t>
      </w:r>
    </w:p>
    <w:p w:rsidR="00D06117" w:rsidRDefault="00D06117" w:rsidP="00D06117">
      <w:pPr>
        <w:pStyle w:val="TextoNormal"/>
      </w:pPr>
    </w:p>
    <w:p w:rsidR="00D06117" w:rsidRDefault="00D06117" w:rsidP="00D06117">
      <w:pPr>
        <w:pStyle w:val="TextoNormal"/>
      </w:pPr>
      <w:r w:rsidRPr="00D06117">
        <w:rPr>
          <w:rStyle w:val="NumeroAFNegritaCaracter"/>
        </w:rPr>
        <w:t>5</w:t>
      </w:r>
      <w:r>
        <w:t>. En primer lugar, ha de tenerse en cuenta que no nos encontramos en el ámbito propio del derecho fundamental consagrado en el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Prescribiendo, en relación a supuestos de acumulación de varias penas especialmente graves se establece la obligatoriedad de realizar ese cómputo referido </w:t>
      </w:r>
      <w:r>
        <w:lastRenderedPageBreak/>
        <w:t>a la totalidad de las penas impuestas; preceptividad que, sin embargo, admite algunas excepciones (art. 78.2 y 3 del Código penal actual). Pues bien,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 resolución dictada por la Audiencia Nacional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6</w:t>
      </w:r>
      <w:r>
        <w:t>. Llegados a este punto, hemos de recordar que no es función de este Tribunal la interpretación de la legalidad ordinaria y, en lo que aquí interesa, que no nos corresponde pronunciarnos directamente sobre cómo interpretar y aplicar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w:t>
      </w:r>
      <w:r>
        <w:lastRenderedPageBreak/>
        <w:t>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la recurrente en las resoluciones judiciales que son objeto del presente recurso de amparo, al aplicar el nuevo criterio de cómputo de las redenciones, vulneró su derecho a la tutela judicial efectiva (art. 24.1 CE), en su vertiente de derecho a la intangibilidad de las resoluciones judiciales firmes, y como consecuencia de ello su derecho a la libertad (art. 17.1 CE), al modificar una expectativa —fundada en resoluciones intangibles— de obtener el licenciamiento definitivo (y por tanto de ser puesto en libertad) el día 29 de octubre de 2008. El Ministerio Fiscal considera que se ha producido la vulneración de ambos derechos fundamentales.</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w:t>
      </w:r>
      <w:r>
        <w:lastRenderedPageBreak/>
        <w:t>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8</w:t>
      </w:r>
      <w:r>
        <w:t>. En la demanda de amparo (tercer y cuarto motivos de amparo), se predica la intangibilidad de lo decidido en cuanto al criterio de cómputo de las redenciones de penas por el trabajo en la ejecutoria 47-1991 de las siguientes resoluciones judiciales. En primer lugar, del Auto de 27 de enero de 2003, que acordó acumular las condenas impuestas a la recu</w:t>
      </w:r>
      <w:r>
        <w:lastRenderedPageBreak/>
        <w:t>rrente, fijándose una duración de treinta años de tiempo de cumplimiento total de la condena. A raíz de dicho Auto, por providencia de 7 de marzo de 2003 la Sala aprobó una liquidación de condena que consideraba la existencia de una sola condena de 30 años, y varias liquidaciones posteriores en las que igualmente se partía de una sola condena de treinta años de privación de libertad, lo cual —según la recurrente— implicaría que era susceptible de reducción por medio del beneficio de redención de pena por el trabajo, previsto en el Código penal de 1973. En segundo lugar, del Auto de 14 de noviembre de 1996, que acordó no revisar las condenas para acomodarlas a las reglas del Código penal de 1995, porque la condena de treinta años con redenciones resultaba más beneficiosa que la que se le podría imponer con el Código penal posterior, única y exclusivamente por el efecto de la aplicación de las redenciones a la pena de treinta años. A ello se añade, en tercer lugar, que la recurrente tiene reconocidos por los Juzgados de Vigilancia Penitenciaria, en resoluciones firmes e intangibles, 2.664 días de redención ordinaria y 328 días abonados como redenciones extraordinarias, que sumados a los 7.958 días de internamiento efectivo significan que el día 29 de octubre de 2008 cumplió el total de treinta años (10.950 días) establecidos como máximo de cumplimiento en el Auto de acumulación de condenas de 27 de enero de 2003, como se refleja en la hoja de cálculo realizada por el centro penitenciario de Algeciras al interesar la aprobación del licenciamiento definitivo de la recurrente para esa fecha.</w:t>
      </w:r>
    </w:p>
    <w:p w:rsidR="00D06117" w:rsidRDefault="00D06117" w:rsidP="00D06117">
      <w:pPr>
        <w:pStyle w:val="TextoNormal"/>
      </w:pPr>
    </w:p>
    <w:p w:rsidR="00D06117" w:rsidRDefault="00D06117" w:rsidP="00D06117">
      <w:pPr>
        <w:pStyle w:val="TextoNormal"/>
      </w:pPr>
      <w:r>
        <w:t>El Ministerio Fiscal, por su parte, también considera que la firmeza de la resolución judicial que refundió las condenas y señaló como pena a cumplir la de treinta años, así como las liquidaciones de condena posteriores, impiden la revisión del criterio de cómputo de las redenciones.</w:t>
      </w:r>
    </w:p>
    <w:p w:rsidR="00D06117" w:rsidRDefault="00D06117" w:rsidP="00D06117">
      <w:pPr>
        <w:pStyle w:val="TextoNormal"/>
      </w:pPr>
    </w:p>
    <w:p w:rsidR="00D06117" w:rsidRDefault="00D06117" w:rsidP="00D06117">
      <w:pPr>
        <w:pStyle w:val="TextoNormal"/>
      </w:pPr>
      <w:r>
        <w:t>Pues bien, de ninguna de las resoluciones judiciales citadas tanto por la recurrente como por el Ministerio Fiscal puede derivarse, en el presente caso, el efecto de intangibilidad pretendido respecto al criterio de cómputo de las redenciones.</w:t>
      </w:r>
    </w:p>
    <w:p w:rsidR="00D06117" w:rsidRDefault="00D06117" w:rsidP="00D06117">
      <w:pPr>
        <w:pStyle w:val="TextoNormal"/>
      </w:pPr>
    </w:p>
    <w:p w:rsidR="00D06117" w:rsidRDefault="00D06117" w:rsidP="00D06117">
      <w:pPr>
        <w:pStyle w:val="TextoNormal"/>
      </w:pPr>
      <w:r>
        <w:t>a) Por lo que respecta al Auto de acumulación de fecha 27 de enero de 2003, dictado por la Sección Segunda de la Sala de lo Penal de la Audiencia Nacional, el mismo se limita a acumular las condenas impuestas a la recurrente en las diversas causas (en la medida en que los delitos cometidos presentan entre sí clara conexión jurídica y cronológica que hubiera permitido enjuiciarlos en un único proceso) y a fijar un máximo de cumplimiento en treinta años, de privación de libertad, en aplicación de la regla 2 del art. 70 CP 1973. No existe en el citado Auto referencia alguna a la redención de penas por el trabajo o al criterio de cómputo de la misma, ni puede concluirse que dicho criterio sea relevante en modo alguno en la decisión de acumulación que se adopta.</w:t>
      </w:r>
    </w:p>
    <w:p w:rsidR="00D06117" w:rsidRDefault="00D06117" w:rsidP="00D06117">
      <w:pPr>
        <w:pStyle w:val="TextoNormal"/>
      </w:pPr>
    </w:p>
    <w:p w:rsidR="00D06117" w:rsidRDefault="00D06117" w:rsidP="00D06117">
      <w:pPr>
        <w:pStyle w:val="TextoNormal"/>
      </w:pPr>
      <w:r>
        <w:t>En cuanto a las liquidaciones aprobadas por el órgano judicial a raíz de la acumulación de condenas y con anterioridad a las resoluciones recurridas en amparo, como quedó reflejado en el antecedente 2 letras b), c) y d), en ninguna de ellas se toma en consideración la existencia de redenciones de penas por trabajo en la causa (en todas ellas consta redenciones: cero), por lo que tampoco puede derivar de dichas liquidaciones un criterio intangible de cómputo sobre la redención de penas.</w:t>
      </w:r>
    </w:p>
    <w:p w:rsidR="00D06117" w:rsidRDefault="00D06117" w:rsidP="00D06117">
      <w:pPr>
        <w:pStyle w:val="TextoNormal"/>
      </w:pPr>
    </w:p>
    <w:p w:rsidR="00D06117" w:rsidRDefault="00D06117" w:rsidP="00D06117">
      <w:pPr>
        <w:pStyle w:val="TextoNormal"/>
      </w:pPr>
      <w:r>
        <w:t>b) En segundo lugar, la demanda cita el Auto 14 de noviembre de 1996 por el que se acuerda que no procede la revisión de las Sentencia por aplicación de las disposiciones tran</w:t>
      </w:r>
      <w:r>
        <w:lastRenderedPageBreak/>
        <w:t>sitorias segunda y quinta CP 1995. Un Auto en cuyo antecedente primero se alude a la certificación del centro penitenciario prevista en la disposición transitoria tercera del nuevo Código penal, en la que —como destaca la demanda— se hace referencia a las redenciones obtenidas hasta el momento y a las fechas previstas de cumplimiento con cómputo y sin cómputo de redenciones. Y en su fundamentación jurídica, tras afirmar que no se considerará más favorable el nuevo Código “cuando la duración de la pena anterior impuesta al hecho con sus circunstancias sea también imponible con arreglo al nuevo Código”, se añade: “Debe entenderse, como consecuencia de la desaparición en el nuevo Código de la redención de pena por trabajo y por la necesidad de aplicación de las normas completas de uno y otro Código (aplicación no fragmentaria de normas prevista en la DT 2), que tampoco procederá la revisión cuando la antigua pena por aplicación de los beneficios penitenciarios del art. 100 del CP y normas complementarias equivalga en términos de cumplimiento real a una pena que también sea imponible, es decir, que se encuentre dentro del marco punitivo que establezca la nueva norma, sin que en este caso tampoco proceda hacer una individualización de la pena a tenor del nuevo Código, lo que sólo se producirá cuando, efectivamente, después del análisis global previsto en la DT 5 haya de revisarse la pena”.</w:t>
      </w:r>
    </w:p>
    <w:p w:rsidR="00D06117" w:rsidRDefault="00D06117" w:rsidP="00D06117">
      <w:pPr>
        <w:pStyle w:val="TextoNormal"/>
      </w:pPr>
    </w:p>
    <w:p w:rsidR="00D06117" w:rsidRDefault="00D06117" w:rsidP="00D06117">
      <w:pPr>
        <w:pStyle w:val="TextoNormal"/>
      </w:pPr>
      <w:r>
        <w:t>Ahora bien, este Auto se refiere sólo a una de las causas (el Sumario núm. 3-1986) y a la Sentencia dictada en dicha causa (Sentencia de 11 de junio de 1987, firme el 13 de julio de 1987, en la que se condenó a la recurrente a tres penas privativas de libertad, estableciéndose en el fallo de la Sentencia la aplicación de la regla 2 del art. 70 CP, con el límite de cumplimiento de treinta años). Sólo respecto de dicha condena consta en las actuaciones que se efectuara la liquidación provisional de la pena en ejecución (folio 232 de las actuaciones, en la que efectivamente se hace constar la existencia de redenciones y se computan al límite de treinta años impuesto en la Sentencia) a los efectos de valorar la procedencia o no de la revisión de la misma de conformidad con lo previsto en las disposiciones transitorias del Código penal de 1995.</w:t>
      </w:r>
    </w:p>
    <w:p w:rsidR="00D06117" w:rsidRDefault="00D06117" w:rsidP="00D06117">
      <w:pPr>
        <w:pStyle w:val="TextoNormal"/>
      </w:pPr>
    </w:p>
    <w:p w:rsidR="00D06117" w:rsidRDefault="00D06117" w:rsidP="00D06117">
      <w:pPr>
        <w:pStyle w:val="TextoNormal"/>
      </w:pPr>
      <w:r>
        <w:t>Con posterioridad a la primera Sentencia condenatoria, la recurrente fue condenada en otras tres causas (en el sumario 7-1987, por Sentencia de 25 de noviembre de 1989, firme el 13 de junio de 1990; en el Sumario 23-1987, por Sentencia de 7 de octubre de 1987, firme el 26 de enero de 1988; y en el sumario 27-1986, por Sentencia de 10 de diciembre de 1990, firme el 27 de febrero de 1991), cuya acumulación a la causa 3-1986 fue solicitada en un escrito fechado el día 7 de septiembre de 2002, y acordada por Auto de 27 de enero de 2003, cuyo fallo —como ya se indicó— acumula las condenas impuestas en las cuatro causas y fija en una duración de treinta años el tiempo total de cumplimiento de todas las penas privativas de libertad impuestas en dichas causas. Y como acaba de señalarse, ninguna de las liquidaciones de condena aprobadas por el órgano judicial tras la acumulación establece criterio de cómputo alguno de las redenciones de pena por trabajo.</w:t>
      </w:r>
    </w:p>
    <w:p w:rsidR="00D06117" w:rsidRDefault="00D06117" w:rsidP="00D06117">
      <w:pPr>
        <w:pStyle w:val="TextoNormal"/>
      </w:pPr>
    </w:p>
    <w:p w:rsidR="00D06117" w:rsidRDefault="00D06117" w:rsidP="00D06117">
      <w:pPr>
        <w:pStyle w:val="TextoNormal"/>
      </w:pPr>
      <w:r>
        <w:t>En definitiva, el Auto de 14 de noviembre de 1996, al referirse sólo a una de las causas en las que la recurrente resultó condenada, no constituye una decisión intangible respecto del cumplimiento de penas impuestas en otras causas y refundidas sólo con posterioridad al dictado de dicho Auto.</w:t>
      </w:r>
    </w:p>
    <w:p w:rsidR="00D06117" w:rsidRDefault="00D06117" w:rsidP="00D06117">
      <w:pPr>
        <w:pStyle w:val="TextoNormal"/>
      </w:pPr>
    </w:p>
    <w:p w:rsidR="00D06117" w:rsidRDefault="00D06117" w:rsidP="00D06117">
      <w:pPr>
        <w:pStyle w:val="TextoNormal"/>
      </w:pPr>
      <w:r>
        <w:t xml:space="preserve">c) Y en cuanto a las resoluciones del Juzgado de Vigilancia Penitenciaria, constituye doctrina de este Tribunal que las resoluciones del Juzgado de Vigilancia Penitenciaria en las que se reconoce a un penado determinados días de redención de pena devienen firmes e </w:t>
      </w:r>
      <w:r>
        <w:lastRenderedPageBreak/>
        <w:t>intangibles y que se lesiona el derecho a la tutela judicial efectiva en su vertiente de intangibilidad de las resoluciones judiciales firmes por la modificación o inejecución de dichos Autos (SSTC 174/1989, de 30 de octubre, FFJJ 3, 4 y 5; y 31/1999, de 8 de marzo, FJ 4). También hemos afirmado en la STC 76/2004, de 26 de abril, FJ 4, como destacan tanto el recurrente como el Ministerio Fiscal, que “las redenciones de pena por el trabajo reconocidas por resoluciones firmes del Juzgado de Vigilancia Penitenciaria son de abono en las condenas, aunque se proceda a su revisión de conformidad con el nuevo Código penal, ya que, en otro caso, se vulneraría el derecho a la ejecución e inmutabilidad de las resoluciones judiciales firmes (STC 31/1999, de 8 de marzo, FFJJ 4 y 6), como también se lesiona esta garantía inherente al derecho a la tutela judicial efectiva sin indefensión si el beneficio de la redención de penas por el trabajo estuviese siempre pendiente de ulterior modificación (STC 174/1989, de 30 de octubre, FFJJ 4 y 5), o se desconociera lo resuelto en otros Autos de los Juzgados de Vigilancia Penitenciaria dada su firmeza (STC 67/1991, de 22 de marzo, FJ 2)”.</w:t>
      </w:r>
    </w:p>
    <w:p w:rsidR="00D06117" w:rsidRDefault="00D06117" w:rsidP="00D06117">
      <w:pPr>
        <w:pStyle w:val="TextoNormal"/>
      </w:pPr>
    </w:p>
    <w:p w:rsidR="00D06117" w:rsidRDefault="00D06117" w:rsidP="00D06117">
      <w:pPr>
        <w:pStyle w:val="TextoNormal"/>
      </w:pPr>
      <w:r>
        <w:t>Ahora bien, las resoluciones del Juzgado de Vigilancia Penitenciaria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los días de redención ordinaria y extraordinaria así obtenidos) y reconoce un determinado número de días redimidos que, posteriormente, el Tribunal sentenciador ha de computar en la liquidación de condena cuando la misma se produzca. Siendo así, en el presente caso y a diferencia de los resueltos en las Sentencias anteriormente citadas, no puede afirmarse que las resoluciones recurridas ignoren, o pongan en cuestión la firmeza e intangibilidad de lo decidido en los Autos del Juzgado de Vigilancia Penitenciaria. La providencia y el Auto del Tribunal sentenciador se limitan a realizar el cómputo de esas redenciones reconocidas, firmes e intangibles, a efectos de liquidación de condena, lo que —como se expuso anteriormente— no le corresponde al Juzgado de Vigilancia Penitenciaria, sino al Tribunal sentenciador a propuesta del centro penitenciario.</w:t>
      </w:r>
    </w:p>
    <w:p w:rsidR="00D06117" w:rsidRDefault="00D06117" w:rsidP="00D06117">
      <w:pPr>
        <w:pStyle w:val="TextoNormal"/>
      </w:pPr>
    </w:p>
    <w:p w:rsidR="00D06117" w:rsidRDefault="00D06117" w:rsidP="00D06117">
      <w:pPr>
        <w:pStyle w:val="TextoNormal"/>
      </w:pPr>
      <w:r>
        <w:t>De lo anteriormente expuesto cabe concluir que, en el presente caso, ni existe vulneración del derecho a la tutela judicial efectiva en su vertiente de intangibilidad de las resoluciones judiciales firmes (art. 24.1 CE), ni vulneración del derecho a la libertad (art. 17.1 CE). En efecto, ni puede afirmarse la existencia de una resolución judicial firme e intangible de la que se derive la aplicación al caso de un criterio de cómputo de las redenciones de pena por trabajo distinto del aplicado por las resoluciones recurridas, ni que la recurrente tuviera una legítima expectativa concreta, derivada de la actuación previa de los órganos judiciales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Denegar el amparo solicitado por doña María Inmaculada Noble Goicoechea.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362-2009.</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59" w:name="SENTENCIA_2012_56"/>
      <w:r>
        <w:lastRenderedPageBreak/>
        <w:t>SENTENCIA 56/2012, de 29 de marzo de 2012</w:t>
      </w:r>
    </w:p>
    <w:bookmarkEnd w:id="5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ECLI:ES:TC:2012:56</w:t>
      </w:r>
    </w:p>
    <w:p w:rsidR="00D06117" w:rsidRDefault="00D06117" w:rsidP="00D06117">
      <w:pPr>
        <w:pStyle w:val="SntesisDescriptiva"/>
      </w:pPr>
    </w:p>
    <w:p w:rsidR="00D06117" w:rsidRDefault="00D06117" w:rsidP="00D06117">
      <w:pPr>
        <w:pStyle w:val="SntesisDescriptiva"/>
      </w:pPr>
      <w:r>
        <w:t>Recurso de amparo 4627-2009. Promovido por don José Félix Zabarte Jainaga con respecto a los Autos de la Sala de lo Penal del Tribunal Supremo y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5].</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3, 4].</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2].</w:t>
      </w:r>
    </w:p>
    <w:p w:rsidR="00D06117" w:rsidRDefault="00D06117" w:rsidP="00D06117">
      <w:pPr>
        <w:pStyle w:val="Extracto"/>
      </w:pPr>
    </w:p>
    <w:p w:rsidR="00D06117" w:rsidRDefault="00D06117" w:rsidP="00D06117">
      <w:pPr>
        <w:pStyle w:val="Extracto"/>
      </w:pPr>
      <w:r>
        <w:t>5.</w:t>
      </w:r>
      <w:r>
        <w:tab/>
        <w:t xml:space="preserve">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en el presente caso, no se ha aplicado retroactivamente dicho precepto, sino la </w:t>
      </w:r>
      <w:r>
        <w:lastRenderedPageBreak/>
        <w:t>normativa vigente en el momento de comisión de los hechos (SSTC 21/1993, 116/2007) [FJ 2].</w:t>
      </w:r>
    </w:p>
    <w:p w:rsidR="00D06117" w:rsidRDefault="00D06117" w:rsidP="00D06117">
      <w:pPr>
        <w:pStyle w:val="Extracto"/>
      </w:pPr>
    </w:p>
    <w:p w:rsidR="00D06117" w:rsidRDefault="00D06117" w:rsidP="00D06117">
      <w:pPr>
        <w:pStyle w:val="Extracto"/>
      </w:pPr>
      <w:r>
        <w:t>6.</w:t>
      </w:r>
      <w:r>
        <w:tab/>
        <w:t>La resolución impugnada se limita a aplicar la doctrina sentada por el Tribunal Supremo, justificando el cambio de criterio en el cómputo de las redenciones de penas por el trabajo en penas acumuladas,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2].</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3].</w:t>
      </w:r>
    </w:p>
    <w:p w:rsidR="00D06117" w:rsidRDefault="00D06117" w:rsidP="00D06117">
      <w:pPr>
        <w:pStyle w:val="Extracto"/>
      </w:pPr>
    </w:p>
    <w:p w:rsidR="00D06117" w:rsidRDefault="00D06117" w:rsidP="00D06117">
      <w:pPr>
        <w:pStyle w:val="Extracto"/>
      </w:pPr>
      <w:r>
        <w:t>8.</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3].</w:t>
      </w:r>
    </w:p>
    <w:p w:rsidR="00D06117" w:rsidRDefault="00D06117" w:rsidP="00D06117">
      <w:pPr>
        <w:pStyle w:val="Extracto"/>
      </w:pPr>
    </w:p>
    <w:p w:rsidR="00D06117" w:rsidRDefault="00D06117" w:rsidP="00D06117">
      <w:pPr>
        <w:pStyle w:val="Extracto"/>
      </w:pPr>
      <w:r>
        <w:t>9.</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3].</w:t>
      </w:r>
    </w:p>
    <w:p w:rsidR="00D06117" w:rsidRDefault="00D06117" w:rsidP="00D06117">
      <w:pPr>
        <w:pStyle w:val="Extracto"/>
      </w:pPr>
    </w:p>
    <w:p w:rsidR="00D06117" w:rsidRDefault="00D06117" w:rsidP="00D06117">
      <w:pPr>
        <w:pStyle w:val="Extracto"/>
      </w:pPr>
      <w:r>
        <w:t>10.</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3].</w:t>
      </w:r>
    </w:p>
    <w:p w:rsidR="00D06117" w:rsidRDefault="00D06117" w:rsidP="00D06117">
      <w:pPr>
        <w:pStyle w:val="Extracto"/>
      </w:pPr>
    </w:p>
    <w:p w:rsidR="00D06117" w:rsidRDefault="00D06117" w:rsidP="00D06117">
      <w:pPr>
        <w:pStyle w:val="Extracto"/>
      </w:pPr>
      <w:r>
        <w:t>11.</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4627-2009, promovido por don José Félix Zabarte Jainaga, representado por el Procurador de los Tribunales don Luis Gómez López-Linares y asistido por el Abogado don Iñaki Goyoaga Llano, contra el Auto de la Sala de lo Penal del Tribunal Supremo de 5 de marzo de 2009 que declaró la inadmisión del recurso de casación presentado contra el Auto de la Sección Segunda de la Sala de lo Penal de la Audiencia Nacional de 25 de enero de 2008 en la ejecutoria núm. 69-1995. Ha intervenido el Ministerio Fiscal.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18 de mayo de 2009 don José Félix Zabarte Jainaga Llano presentó en el Registro General de este Tribunal un escrito en el que manifestaba su deseo de interponer recurso de amparo contra el Auto de la Sala Segunda del Tribunal Supremo de 5 de marzo de 2009, que declaró no haber lugar a la admisión del recurso de casación presentado contra el Auto de la Sección Segunda de la Sala de lo Penal de la Audiencia Nacional de 25 de enero de 2008, al tiempo que designaba Letrado a don Iñaki Goyoaga Llano y solicitaba la designación de Procurador del turno de oficio, recayendo la designación en la Procuradora de los Tribunales doña María Yolanda Ortiz Alfonso. Posteriormente, a causa de su renuncia, fue sustituida por don Luis Gómez López-Linares, el cual suscribió la demanda mediante escrito presentado el 13 de octubre de 2009.</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relevantes para su resolución, son los siguientes:</w:t>
      </w:r>
    </w:p>
    <w:p w:rsidR="00D06117" w:rsidRDefault="00D06117" w:rsidP="00D06117">
      <w:pPr>
        <w:pStyle w:val="TextoNormal"/>
      </w:pPr>
    </w:p>
    <w:p w:rsidR="00D06117" w:rsidRDefault="00D06117" w:rsidP="00D06117">
      <w:pPr>
        <w:pStyle w:val="TextoNormal"/>
      </w:pPr>
      <w:r>
        <w:t>a) La Sección Tercera de la Sala de lo Penal de la Audiencia Nacional, mediante Sentencia de 6 de marzo de 1986, condenó al demandante de amparo por la comisión de un delito de atentado a la pena de veintinueve años de reclusión mayor; por la comisión de un delito de utilización de vehículo de motor ajeno con intimidación de arma de fuego a la pena de cinco años de prisión menor; por la comisión de lesiones menos graves a la pena de tres meses de arresto mayor.</w:t>
      </w:r>
    </w:p>
    <w:p w:rsidR="00D06117" w:rsidRDefault="00D06117" w:rsidP="00D06117">
      <w:pPr>
        <w:pStyle w:val="TextoNormal"/>
      </w:pPr>
    </w:p>
    <w:p w:rsidR="00D06117" w:rsidRDefault="00D06117" w:rsidP="00D06117">
      <w:pPr>
        <w:pStyle w:val="TextoNormal"/>
      </w:pPr>
      <w:r>
        <w:lastRenderedPageBreak/>
        <w:t>La misma Sección, mediante Sentencia de 28 de abril de 1986, también condenó al demandante de amparo por la comisión de un delito de atentado con resultado de muerte a la pena de veintinueve años de reclusión mayor; y por la comisión de una falta de hurto a la pena de treinta días de arresto menor.</w:t>
      </w:r>
    </w:p>
    <w:p w:rsidR="00D06117" w:rsidRDefault="00D06117" w:rsidP="00D06117">
      <w:pPr>
        <w:pStyle w:val="TextoNormal"/>
      </w:pPr>
    </w:p>
    <w:p w:rsidR="00D06117" w:rsidRDefault="00D06117" w:rsidP="00D06117">
      <w:pPr>
        <w:pStyle w:val="TextoNormal"/>
      </w:pPr>
      <w:r>
        <w:t>También la Sección Tercera, mediante Sentencia de 3 de abril de 1987, condenó al demandante de amparo por la comisión de un delito de pertenencia a banda armada a la pena de ocho años de prisión mayor; por un delito de depósito de armas de guerra a la pena de seis años y un día de prisión mayor; por un delito de robo con intimidación en las personas a la pena de seis años de prisión menor; por dos delitos de falsificación de documento de identidad a las penas de tres meses de arresto mayor; y por un delito de uso público de nombre supuesto a la pena de tres meses de arresto mayor.</w:t>
      </w:r>
    </w:p>
    <w:p w:rsidR="00D06117" w:rsidRDefault="00D06117" w:rsidP="00D06117">
      <w:pPr>
        <w:pStyle w:val="TextoNormal"/>
      </w:pPr>
    </w:p>
    <w:p w:rsidR="00D06117" w:rsidRDefault="00D06117" w:rsidP="00D06117">
      <w:pPr>
        <w:pStyle w:val="TextoNormal"/>
      </w:pPr>
      <w:r>
        <w:t>La misma Sección, mediante Sentencia de 20 de septiembre de 1986, condenó al demandante de amparo por la comisión de un delito de asesinato a la pena de veintisiete años de reclusión mayor.</w:t>
      </w:r>
    </w:p>
    <w:p w:rsidR="00D06117" w:rsidRDefault="00D06117" w:rsidP="00D06117">
      <w:pPr>
        <w:pStyle w:val="TextoNormal"/>
      </w:pPr>
    </w:p>
    <w:p w:rsidR="00D06117" w:rsidRDefault="00D06117" w:rsidP="00D06117">
      <w:pPr>
        <w:pStyle w:val="TextoNormal"/>
      </w:pPr>
      <w:r>
        <w:t>De nuevo la Sección Tercera de la Sala de lo Penal de la Audiencia Nacional, mediante Sentencia de la misma fecha, 20 de septiembre de 1986, condenó al demandante de amparo por la comisión de un delito de asesinato a la pena de veintisiete años de reclusión mayor.</w:t>
      </w:r>
    </w:p>
    <w:p w:rsidR="00D06117" w:rsidRDefault="00D06117" w:rsidP="00D06117">
      <w:pPr>
        <w:pStyle w:val="TextoNormal"/>
      </w:pPr>
    </w:p>
    <w:p w:rsidR="00D06117" w:rsidRDefault="00D06117" w:rsidP="00D06117">
      <w:pPr>
        <w:pStyle w:val="TextoNormal"/>
      </w:pPr>
      <w:r>
        <w:t>Igualmente, la propia Sección, mediante Sentencia de 15 de marzo de 1994, condenó al demandante de amparo por la comisión de un delito de atentado a la pena de veintiocho años de reclusión mayor; por un delito de asesinato frustrado a la pena de veinte años de reclusión mayor; y por un delito de terrorismo a la pena de diez años de prisión mayor.</w:t>
      </w:r>
    </w:p>
    <w:p w:rsidR="00D06117" w:rsidRDefault="00D06117" w:rsidP="00D06117">
      <w:pPr>
        <w:pStyle w:val="TextoNormal"/>
      </w:pPr>
    </w:p>
    <w:p w:rsidR="00D06117" w:rsidRDefault="00D06117" w:rsidP="00D06117">
      <w:pPr>
        <w:pStyle w:val="TextoNormal"/>
      </w:pPr>
      <w:r>
        <w:t>La Sección Segunda de la Sala de lo Penal de la Audiencia Nacional, mediante Sentencia de 3 de mayo de 1986, condenó al demandante de amparo por la comisión de un delito de atentado a la pena de veintinueve años de reclusión mayor.</w:t>
      </w:r>
    </w:p>
    <w:p w:rsidR="00D06117" w:rsidRDefault="00D06117" w:rsidP="00D06117">
      <w:pPr>
        <w:pStyle w:val="TextoNormal"/>
      </w:pPr>
    </w:p>
    <w:p w:rsidR="00D06117" w:rsidRDefault="00D06117" w:rsidP="00D06117">
      <w:pPr>
        <w:pStyle w:val="TextoNormal"/>
      </w:pPr>
      <w:r>
        <w:t>La misma Sección Segunda, mediante Sentencia de 14 de junio de 1995, condenó al demandante de amparo, por la comisión de un delito de atentado a la pena de veintinueve años de reclusión mayor: por la comisión de un delito de asesinato a la pena de veintinueve años de reclusión mayor; por la comisión de un delito de homicidio a la pena se diecisiete años de reclusión menor; y por la comisión de un delito de utilización ilegítima de vehículo de motor ajeno a la pena de diez años de prisión mayor.</w:t>
      </w:r>
    </w:p>
    <w:p w:rsidR="00D06117" w:rsidRDefault="00D06117" w:rsidP="00D06117">
      <w:pPr>
        <w:pStyle w:val="TextoNormal"/>
      </w:pPr>
    </w:p>
    <w:p w:rsidR="00D06117" w:rsidRDefault="00D06117" w:rsidP="00D06117">
      <w:pPr>
        <w:pStyle w:val="TextoNormal"/>
      </w:pPr>
      <w:r>
        <w:t>b) Por Auto de la Sección Segunda de la Sala de lo Penal de la Audiencia Nacional de 10 de julio de 1996 se desestimó la posibilidad de revisar tales condenas a la luz de los nuevos preceptos del Código penal (CP) de 1995 por entender que éstos no eran en su conjunto más beneficiosos para el reo. Para el Tribunal sentenciador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que acordó no haber lugar a la revisión, dado que la pena impuesta conforme al CP 1973 era también imponible conforme al nuevo Código penal.</w:t>
      </w:r>
    </w:p>
    <w:p w:rsidR="00D06117" w:rsidRDefault="00D06117" w:rsidP="00D06117">
      <w:pPr>
        <w:pStyle w:val="TextoNormal"/>
      </w:pPr>
    </w:p>
    <w:p w:rsidR="00D06117" w:rsidRDefault="00D06117" w:rsidP="00D06117">
      <w:pPr>
        <w:pStyle w:val="TextoNormal"/>
      </w:pPr>
      <w:r>
        <w:lastRenderedPageBreak/>
        <w:t>c) Por Auto de 3 de febrero de 1997, la Sección Tercera de la Sala de lo Penal de la Audiencia Nacional acordó la acumulación de las condenas impuestas en todas las Sentencias señaladas, fijando en treinta años de privación de libertad el tiempo total de cumplimiento de las mismas, en aplicación de lo establecido en el art. 70.2 del Código penal de 1973.</w:t>
      </w:r>
    </w:p>
    <w:p w:rsidR="00D06117" w:rsidRDefault="00D06117" w:rsidP="00D06117">
      <w:pPr>
        <w:pStyle w:val="TextoNormal"/>
      </w:pPr>
    </w:p>
    <w:p w:rsidR="00D06117" w:rsidRDefault="00D06117" w:rsidP="00D06117">
      <w:pPr>
        <w:pStyle w:val="TextoNormal"/>
      </w:pPr>
      <w:r>
        <w:t>d) Como consecuencia de la acumulación de condenas, la Sala aprobó por providencia de 7 de noviembre de 1997 la correspondiente liquidación de condena, estableciéndose como fecha de extinción de la misma el 22 de junio de 2015.</w:t>
      </w:r>
    </w:p>
    <w:p w:rsidR="00D06117" w:rsidRDefault="00D06117" w:rsidP="00D06117">
      <w:pPr>
        <w:pStyle w:val="TextoNormal"/>
      </w:pPr>
    </w:p>
    <w:p w:rsidR="00D06117" w:rsidRDefault="00D06117" w:rsidP="00D06117">
      <w:pPr>
        <w:pStyle w:val="TextoNormal"/>
      </w:pPr>
      <w:r>
        <w:t>e) Con fecha 15 de noviembre de 2007, el centro penitenciario donde se encontraba interno el demandante de amparo remitió oficio a la Sección Segunda de la Sala de lo Penal de la Audiencia Nacional interesando si fuera de aplicación la doctrina de la Sentencia del Tribunal Supremo 197/2006, de 28 de febrero, y, en consecuencia, la redención de penas por el trabajo debería aplicarse a la suma de la totalidad de las condenas y no al límite de cumplimiento de treinta años.</w:t>
      </w:r>
    </w:p>
    <w:p w:rsidR="00D06117" w:rsidRDefault="00D06117" w:rsidP="00D06117">
      <w:pPr>
        <w:pStyle w:val="TextoNormal"/>
      </w:pPr>
    </w:p>
    <w:p w:rsidR="00D06117" w:rsidRDefault="00D06117" w:rsidP="00D06117">
      <w:pPr>
        <w:pStyle w:val="TextoNormal"/>
      </w:pPr>
      <w:r>
        <w:t>f) El Auto de la Sección Segunda de la Sala de lo Penal de la Audiencia Nacional de 25 de enero de 2008 acuerda ser de aplicación al demandante de amparo la doctrina establecida por el Tribunal Supremo en la citada Sentencia 197/2006, de 28 de febrero, a efectos de practicar la liquidación de condena.</w:t>
      </w:r>
    </w:p>
    <w:p w:rsidR="00D06117" w:rsidRDefault="00D06117" w:rsidP="00D06117">
      <w:pPr>
        <w:pStyle w:val="TextoNormal"/>
      </w:pPr>
    </w:p>
    <w:p w:rsidR="00D06117" w:rsidRDefault="00D06117" w:rsidP="00D06117">
      <w:pPr>
        <w:pStyle w:val="TextoNormal"/>
      </w:pPr>
      <w:r>
        <w:t>g) El 10 de abril de 2008 el demandante de amparo dirigió escrito al centro penitenciario de Almería interesando el licenciamiento por cumplimiento de la condena para el 11 de abril de 2008. Por providencia de la Sección Segunda de la Sala de lo Penal de la Audiencia Nacional de 19 de junio de 2008 se acuerda que no ha lugar a la petición, debiéndose estar a lo acordado en Auto de 25 de enero de 2008.</w:t>
      </w:r>
    </w:p>
    <w:p w:rsidR="00D06117" w:rsidRDefault="00D06117" w:rsidP="00D06117">
      <w:pPr>
        <w:pStyle w:val="TextoNormal"/>
      </w:pPr>
    </w:p>
    <w:p w:rsidR="00D06117" w:rsidRDefault="00D06117" w:rsidP="00D06117">
      <w:pPr>
        <w:pStyle w:val="TextoNormal"/>
      </w:pPr>
      <w:r>
        <w:t>h) Contra la anterior providencia el demandante de amparo interpuso recurso de súplica solicitando su revocación. Por Auto de la mencionada Sección Segunda de 4 de noviembre de 2008 se desestima el recurso de súplica.</w:t>
      </w:r>
    </w:p>
    <w:p w:rsidR="00D06117" w:rsidRDefault="00D06117" w:rsidP="00D06117">
      <w:pPr>
        <w:pStyle w:val="TextoNormal"/>
      </w:pPr>
    </w:p>
    <w:p w:rsidR="00D06117" w:rsidRDefault="00D06117" w:rsidP="00D06117">
      <w:pPr>
        <w:pStyle w:val="TextoNormal"/>
      </w:pPr>
      <w:r>
        <w:t>i) Por Auto de la misma Sección Segunda de 24 de abril de 2008 se tiene por preparado recurso de casación por infracción de ley contra el Auto de 25 de enero de 2008.</w:t>
      </w:r>
    </w:p>
    <w:p w:rsidR="00D06117" w:rsidRDefault="00D06117" w:rsidP="00D06117">
      <w:pPr>
        <w:pStyle w:val="TextoNormal"/>
      </w:pPr>
    </w:p>
    <w:p w:rsidR="00D06117" w:rsidRDefault="00D06117" w:rsidP="00D06117">
      <w:pPr>
        <w:pStyle w:val="TextoNormal"/>
      </w:pPr>
      <w:r>
        <w:t>j) Por Auto de la Sala de Segunda del Tribunal Supremo de 19 de junio de 2008 se declara desierto el recurso de casación por infracción de ley.</w:t>
      </w:r>
    </w:p>
    <w:p w:rsidR="00D06117" w:rsidRDefault="00D06117" w:rsidP="00D06117">
      <w:pPr>
        <w:pStyle w:val="TextoNormal"/>
      </w:pPr>
    </w:p>
    <w:p w:rsidR="00D06117" w:rsidRDefault="00D06117" w:rsidP="00D06117">
      <w:pPr>
        <w:pStyle w:val="TextoNormal"/>
      </w:pPr>
      <w:r>
        <w:t>k) Contra dicho Auto el demandante de amparo interpone recurso de súplica con fecha 7 de julio 2008, alegando error material en el cómputo del plazo para formalizar. Por Auto de la Sala Segunda del Tribunal Supremo de 16 de septiembre de 2008 se acuerda declarar la nulidad del Auto de 19 de junio de 2008 por el que se acordaba tener por desierto el recurso de casación por infracción de ley anunciado.</w:t>
      </w:r>
    </w:p>
    <w:p w:rsidR="00D06117" w:rsidRDefault="00D06117" w:rsidP="00D06117">
      <w:pPr>
        <w:pStyle w:val="TextoNormal"/>
      </w:pPr>
    </w:p>
    <w:p w:rsidR="00D06117" w:rsidRDefault="00D06117" w:rsidP="00D06117">
      <w:pPr>
        <w:pStyle w:val="TextoNormal"/>
      </w:pPr>
      <w:r>
        <w:t>l) Por Auto de la Sala de lo Penal del Tribunal Supremo de 5 de marzo de 2009 se acuerda no haber lugar a la admisión del recurso de casación formalizado contra el Auto de la Audiencia Nacional de 25 de enero de 2008.</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El demandante solicita el amparo por los siguientes motivos:</w:t>
      </w:r>
    </w:p>
    <w:p w:rsidR="00D06117" w:rsidRDefault="00D06117" w:rsidP="00D06117">
      <w:pPr>
        <w:pStyle w:val="TextoNormal"/>
      </w:pPr>
    </w:p>
    <w:p w:rsidR="00D06117" w:rsidRDefault="00D06117" w:rsidP="00D06117">
      <w:pPr>
        <w:pStyle w:val="TextoNormal"/>
      </w:pPr>
      <w:r>
        <w:t>a) En primer lugar, alega la vulneración del principio de legalidad consagrado en el art. 25.1 y 2 CE en relación con el art. 9.3 CE y los arts. 70.2 y 100 del Código penal de 1973, el art. 66 del reglamento de servicios de prisiones de 1956 y el art. 202 del reglamento penitenciario actual.</w:t>
      </w:r>
    </w:p>
    <w:p w:rsidR="00D06117" w:rsidRDefault="00D06117" w:rsidP="00D06117">
      <w:pPr>
        <w:pStyle w:val="TextoNormal"/>
      </w:pPr>
    </w:p>
    <w:p w:rsidR="00D06117" w:rsidRDefault="00D06117" w:rsidP="00D06117">
      <w:pPr>
        <w:pStyle w:val="TextoNormal"/>
      </w:pPr>
      <w:r>
        <w:t>Señala el demandante de amparo que las resoluciones contra las que se articula el presente recurso de amparo, no sólo hacen abstracción de literalidad de normas sustantivas de obligado cumplimiento como son los arts. 70.2 y 100 del Código penal de 1973, los arts. 17.5 y 988 párrafo 3 de la Ley de enjuiciamiento criminal y el art. 202.1 del reglamento penitenciario, sino que, de facto, llevan a cabo la aplicación de una Sentencia que realiza una interpretación que va contra la propia letra y espíritu de la norma, al considerar las redenciones al margen del cumplimiento efectivo de la condena. Las resoluciones recurridas a través de la aplicación que contienen de la STS 197/2006, de 28 de febrero, niegan a las redenciones de pena por el trabajo el carácter de cumplimiento de pena de prisión. Niegan el carácter de beneficio penitenciario destinado a una reducción de condena y, por tanto, a su entender, vulneran los arts. 70.2 y 100 del Código penal, así como el art. 202 del reglamento penitenciario, que determinan el carácter redentor del trabajo y su aplicación en la reducción de la condena, al resultar contrarias a la literalidad de dichas disposiciones así como al espíritu de la ley que las contiene.</w:t>
      </w:r>
    </w:p>
    <w:p w:rsidR="00D06117" w:rsidRDefault="00D06117" w:rsidP="00D06117">
      <w:pPr>
        <w:pStyle w:val="TextoNormal"/>
      </w:pPr>
    </w:p>
    <w:p w:rsidR="00D06117" w:rsidRDefault="00D06117" w:rsidP="00D06117">
      <w:pPr>
        <w:pStyle w:val="TextoNormal"/>
      </w:pPr>
      <w:r>
        <w:t>Añade que lo que se está computando en la Sentencia cuya aplicación se pretende y a través de su aplicación en las resoluciones recurridas, no es el tiempo de cumplimiento sino el tiempo de internamiento efectivo (sin que las redenciones cuenten para el cumplimiento de la condena), lo cual choca contra el espíritu y la literalidad de la norma aplicada.</w:t>
      </w:r>
    </w:p>
    <w:p w:rsidR="00D06117" w:rsidRDefault="00D06117" w:rsidP="00D06117">
      <w:pPr>
        <w:pStyle w:val="TextoNormal"/>
      </w:pPr>
    </w:p>
    <w:p w:rsidR="00D06117" w:rsidRDefault="00D06117" w:rsidP="00D06117">
      <w:pPr>
        <w:pStyle w:val="TextoNormal"/>
      </w:pPr>
      <w:r>
        <w:t>Insiste el demandante de amparo en resaltar que ha sido el propio Tribunal Supremo el que, en numerosas ocasiones, se ha pronunciado a favor de la tesis de aplicación de los beneficios penitenciarios y redenciones sobre la pena resultante de la acumulación prevista en el art. 70.2 del Código penal de 1973, considerando lo contrario como una teoría gravemente innovadora que pugnaba con los más elementales postulados del derecho penal moderno y los fines rehabilitadores de la pena, para convertir el objeto de la misma en un fin punitivo y reivindicativo.</w:t>
      </w:r>
    </w:p>
    <w:p w:rsidR="00D06117" w:rsidRDefault="00D06117" w:rsidP="00D06117">
      <w:pPr>
        <w:pStyle w:val="TextoNormal"/>
      </w:pPr>
    </w:p>
    <w:p w:rsidR="00D06117" w:rsidRDefault="00D06117" w:rsidP="00D06117">
      <w:pPr>
        <w:pStyle w:val="TextoNormal"/>
      </w:pPr>
      <w:r>
        <w:t>b) En segundo lugar, solicita el amparo constitucional por vulneración de la tutela judicial efectiva sin indefensión consagrado en el art. 24.1 CE en relación con el art. 17 CE.</w:t>
      </w:r>
    </w:p>
    <w:p w:rsidR="00D06117" w:rsidRDefault="00D06117" w:rsidP="00D06117">
      <w:pPr>
        <w:pStyle w:val="TextoNormal"/>
      </w:pPr>
    </w:p>
    <w:p w:rsidR="00D06117" w:rsidRDefault="00D06117" w:rsidP="00D06117">
      <w:pPr>
        <w:pStyle w:val="TextoNormal"/>
      </w:pPr>
      <w:r>
        <w:t>El demandante considera que la interpretación que hasta ahora se ha realizado de la aplicación de las redenciones sobre la condena resultante de la aplicación del art. 70.2 del Código penal de 1973 supone que la nueva interpretación de las mismas crea una situación de inseguridad jurídica y vulneración de la tutela judicial efectiva por cuanto se modifica la interpretación y los derechos que se derivaban de los Autos de aprobación de redención ordinaria y extraordinaria realizados por los Juzgados de Vigilancia Penitenciaria y Audiencias Provinciales.</w:t>
      </w:r>
    </w:p>
    <w:p w:rsidR="00D06117" w:rsidRDefault="00D06117" w:rsidP="00D06117">
      <w:pPr>
        <w:pStyle w:val="TextoNormal"/>
      </w:pPr>
    </w:p>
    <w:p w:rsidR="00D06117" w:rsidRDefault="00D06117" w:rsidP="00D06117">
      <w:pPr>
        <w:pStyle w:val="TextoNormal"/>
      </w:pPr>
      <w:r>
        <w:lastRenderedPageBreak/>
        <w:t>c) En tercer lugar, solicita el amparo constitucional por vulneración del derecho a la tutela judicial efectiva en su vertiente de intangibilidad de las resoluciones judiciales firmes, en relación con los principios de legalidad y seguridad jurídica.</w:t>
      </w:r>
    </w:p>
    <w:p w:rsidR="00D06117" w:rsidRDefault="00D06117" w:rsidP="00D06117">
      <w:pPr>
        <w:pStyle w:val="TextoNormal"/>
      </w:pPr>
    </w:p>
    <w:p w:rsidR="00D06117" w:rsidRDefault="00D06117" w:rsidP="00D06117">
      <w:pPr>
        <w:pStyle w:val="TextoNormal"/>
      </w:pPr>
      <w:r>
        <w:t>Se aduce que las resoluciones judiciales impugnadas atrasan gravemente la fecha de licenciamiento definitivo del demandante de amparo y modifican el criterio derivado del Auto de 3 de febrero de 1997, que fijaba los criterios para la ejecución de la condena, como consecuencia de la concurrencia de la nueva y posterior interpretación sobre refundición de penas efectuada por la STS 197/2006, de 28 de febrero, de donde resulta una vulneración del derecho a la intangibilidad de las resoluciones judiciales firmes y de los principios de legalidad y seguridad jurídica.</w:t>
      </w:r>
    </w:p>
    <w:p w:rsidR="00D06117" w:rsidRDefault="00D06117" w:rsidP="00D06117">
      <w:pPr>
        <w:pStyle w:val="TextoNormal"/>
      </w:pPr>
    </w:p>
    <w:p w:rsidR="00D06117" w:rsidRDefault="00D06117" w:rsidP="00D06117">
      <w:pPr>
        <w:pStyle w:val="TextoNormal"/>
      </w:pPr>
      <w:r>
        <w:t>d) En cuarto lugar, solicita el amparo constitucional por vulneración del principio de legalidad consagrado en el art. 25.1 CE, en relación con el art. 9.3 CE, en cuanto a la aplicación con carácter retroactivo de una norma penal desfavorable, y con los arts. 7 del Convenio europeo para la protección de los derechos humanos y de las libertades fundamentales (CEDH) y 15 del Pacto internacional de derechos civiles y políticos (PIDCP).</w:t>
      </w:r>
    </w:p>
    <w:p w:rsidR="00D06117" w:rsidRDefault="00D06117" w:rsidP="00D06117">
      <w:pPr>
        <w:pStyle w:val="TextoNormal"/>
      </w:pPr>
    </w:p>
    <w:p w:rsidR="00D06117" w:rsidRDefault="00D06117" w:rsidP="00D06117">
      <w:pPr>
        <w:pStyle w:val="TextoNormal"/>
      </w:pPr>
      <w:r>
        <w:t>Señala el demandante de amparo que la resolución recurrida hace una interpretación que va contra el reo, lo cual está proscrito y vulnera los más elementales principios del derecho. Se vulnera el art. 25.1 en relación con el art. 9.3 CE cuando se hace una aplicación de una norma penal cuya entrada en vigor sea posterior al hecho enjuiciado y resulta imprevisible concluir que dicha norma era más beneficiosa para el acusado. Continua señalando que a esta conclusión se llega a partir del Voto particular formulado a la STS 197/2006, de 28 de febrero, FJ 5.</w:t>
      </w:r>
    </w:p>
    <w:p w:rsidR="00D06117" w:rsidRDefault="00D06117" w:rsidP="00D06117">
      <w:pPr>
        <w:pStyle w:val="TextoNormal"/>
      </w:pPr>
    </w:p>
    <w:p w:rsidR="00D06117" w:rsidRDefault="00D06117" w:rsidP="00D06117">
      <w:pPr>
        <w:pStyle w:val="TextoNormal"/>
      </w:pPr>
      <w:r>
        <w:t>e) En quinto lugar, solicita el amparo constitucional por vulneración del derecho a la igualdad ante la ley (arts. 14 CE y 14 CEDH).</w:t>
      </w:r>
    </w:p>
    <w:p w:rsidR="00D06117" w:rsidRDefault="00D06117" w:rsidP="00D06117">
      <w:pPr>
        <w:pStyle w:val="TextoNormal"/>
      </w:pPr>
    </w:p>
    <w:p w:rsidR="00D06117" w:rsidRDefault="00D06117" w:rsidP="00D06117">
      <w:pPr>
        <w:pStyle w:val="TextoNormal"/>
      </w:pPr>
      <w:r>
        <w:t>Este quinto motivo de la demanda de amparo se refiere, según se señala expresamente en la misma, a la proscripción de la arbitrariedad que derivaría del hecho de que un mismo órgano judicial dictara resoluciones que, sustancialmente similares en sus contenidos, se resolvieran de manera contraria en unos casos y en otros.</w:t>
      </w:r>
    </w:p>
    <w:p w:rsidR="00D06117" w:rsidRDefault="00D06117" w:rsidP="00D06117">
      <w:pPr>
        <w:pStyle w:val="TextoNormal"/>
      </w:pPr>
    </w:p>
    <w:p w:rsidR="00D06117" w:rsidRDefault="00D06117" w:rsidP="00D06117">
      <w:pPr>
        <w:pStyle w:val="TextoNormal"/>
      </w:pPr>
      <w:r>
        <w:t>Aduce el demandante de amparo que el nuevo criterio establecido por el Tribunal Supremo en su Sentencia 197/2006, rompe con toda la jurisprudencia, pacífica en este extremo, existente hasta el momento, y establecida en innumerables resoluciones judiciales, algunas de las cuales se citan expresamente. Indica que no parece ajustado a los principios que rigen el derecho, que una norma jurídica que durante años ha sido aplicada a cientos de presos y presas de manera pacífica en un mismo sentido, justo en el momento en el que la aplicación de dicha norma se reduce a un número muy limitado de presos y presas sea modificada contra reo cuando no existen circunstancias sustanciales que justifiquen un cambio de criterio.</w:t>
      </w:r>
    </w:p>
    <w:p w:rsidR="00D06117" w:rsidRDefault="00D06117" w:rsidP="00D06117">
      <w:pPr>
        <w:pStyle w:val="TextoNormal"/>
      </w:pPr>
    </w:p>
    <w:p w:rsidR="00D06117" w:rsidRDefault="00D06117" w:rsidP="00D06117">
      <w:pPr>
        <w:pStyle w:val="TextoNormal"/>
      </w:pPr>
      <w:r>
        <w:t>f) En sexto lugar, solicita el amparo constitucional por vulneración del derecho a la libertad personal consagrado en el art. 17.1 CE en relación con los arts. 5 y 7.1 CEDH y 9.1, 5 y 15.1 PIDCP.</w:t>
      </w:r>
    </w:p>
    <w:p w:rsidR="00D06117" w:rsidRDefault="00D06117" w:rsidP="00D06117">
      <w:pPr>
        <w:pStyle w:val="TextoNormal"/>
      </w:pPr>
    </w:p>
    <w:p w:rsidR="00D06117" w:rsidRDefault="00D06117" w:rsidP="00D06117">
      <w:pPr>
        <w:pStyle w:val="TextoNormal"/>
      </w:pPr>
      <w:r>
        <w:lastRenderedPageBreak/>
        <w:t>Considera el demandante de amparo que este Tribunal ha dejado ya bien sentado, a través de numerosos pronunciamientos, que la cuestión de la aplicación o no, la procedencia o no de los beneficios penitenciarios de redención de penas por el trabajo, afecta directamente al derecho fundamental a la libertad personal (art. 17.1 CE), por cuanto incide de forma directa en el tiempo de privación de libertad del condenado a una pena de prisión. Sostiene que, sentada esta relación directa entre el derecho a redimir las penas de las personas presas y el derecho fundamental a la libertad, de confirmarse la vulneración a la tutela judicial efectiva anteriormente planteada, ello conllevaría también la vulneración del derecho fundamental a la libertad.</w:t>
      </w:r>
    </w:p>
    <w:p w:rsidR="00D06117" w:rsidRDefault="00D06117" w:rsidP="00D06117">
      <w:pPr>
        <w:pStyle w:val="TextoNormal"/>
      </w:pPr>
    </w:p>
    <w:p w:rsidR="00D06117" w:rsidRDefault="00D06117" w:rsidP="00D06117">
      <w:pPr>
        <w:pStyle w:val="TextoNormal"/>
      </w:pPr>
      <w:r>
        <w:t>Añade que la técnica que pretende aplicar la STS 197/2006 vacía absolutamente de contenido la figura de la redención de penas por el trabajo, haciéndola inoperante y crea una suerte de “cumplimiento virtual” de la condena frente al cumplimiento efectivo de la misma.</w:t>
      </w:r>
    </w:p>
    <w:p w:rsidR="00D06117" w:rsidRDefault="00D06117" w:rsidP="00D06117">
      <w:pPr>
        <w:pStyle w:val="TextoNormal"/>
      </w:pPr>
    </w:p>
    <w:p w:rsidR="00D06117" w:rsidRDefault="00D06117" w:rsidP="00D06117">
      <w:pPr>
        <w:pStyle w:val="TextoNormal"/>
      </w:pPr>
      <w:r>
        <w:t>g) En séptimo lugar, solicita el amparo constitucional por vulneración del art. 25.2 CE en relación con las “Reglas Mínimas para el tratamiento de los reclusos” elaboradas en el primer Congreso de las Naciones Unidas sobre prevención del delito y tratamiento del delincuente (Ginebra 1995) y el Pacto internacional de derechos civiles y políticos.</w:t>
      </w:r>
    </w:p>
    <w:p w:rsidR="00D06117" w:rsidRDefault="00D06117" w:rsidP="00D06117">
      <w:pPr>
        <w:pStyle w:val="TextoNormal"/>
      </w:pPr>
    </w:p>
    <w:p w:rsidR="00D06117" w:rsidRDefault="00D06117" w:rsidP="00D06117">
      <w:pPr>
        <w:pStyle w:val="TextoNormal"/>
      </w:pPr>
      <w:r>
        <w:t>Recuerda el demandante de amparo que el Código penal de 1973, así como la Ley Orgánica general penitenciaria de 26 de septiembre de 1979, y demás normas referentes al cumplimiento de las penas son normas que se realizan con el objeto de favorecer la rehabilitación del delincuente y cumplir así con los compromisos internacionales que el Estado español iba adquiriendo en la transición. Añade que todas estas normas siguen el principio que rige la Constitución Española de que las penas privativas de libertad y medidas de seguridad deben ir orientadas hacia la reeducación y reinserción profesional. Para el demandante de amparo la nueva interpretación que aplica el Tribunal Supremo priva en buena medida de su efecto práctico al beneficio de las redenciones, lo cual vulnera los principios inspiradores de las normas del Código penal y de la Ley Orgánica general penitenciaria en relación con el art. 25.2 CE y demás tratados mencionados.</w:t>
      </w:r>
    </w:p>
    <w:p w:rsidR="00D06117" w:rsidRDefault="00D06117" w:rsidP="00D06117">
      <w:pPr>
        <w:pStyle w:val="TextoNormal"/>
      </w:pPr>
    </w:p>
    <w:p w:rsidR="00D06117" w:rsidRDefault="00D06117" w:rsidP="00D06117">
      <w:pPr>
        <w:pStyle w:val="TextoNormal"/>
      </w:pPr>
      <w:r>
        <w:t>Por todo lo expuesto solicita que se le otorgue el amparo y por medio de otrosí solicita [art. 56.1 de la Ley Orgánica del Tribunal Constitucional: (LOTC)] la suspensión de la ejecución de las resoluciones recurridas en la parte correspondiente a la aplicación de los seis años de condena que se ha retrasado su licenciamiento definitivo, pues la ejecución de las resoluciones impugnadas implica el cumplimiento de la pena privativa de libertad cuestionada, de manera que, ocasionaría el lógico perjuicio en modo alguno compensable, que haría perder al amparo, caso de otorgarse, su finalidad.</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Constitucional, por providencia de 31 de marzo de 2011, admitió a trámite la demanda y, de conformidad con lo dispuesto en el art. 51 LOTC, acordó dirigir atenta comunicación a la Sala de lo Penal del Tribunal Supremo y a la Sección Segunda de la Sala de lo Penal de la Audiencia Nacional, a fin de que, en plazo que no excediera de diez días, remitiesen certificación o fotocopia adverada de las actuaciones correspondientes, respectivamente, al recurso de casación núm. 10634-2008 y a la ejecutoria núm. 69-1995, debiendo la Audiencia emplazar previamente a quienes hubieran sido parte en el procedimiento, a excepción del demandante de amparo, para que pudieran comparecer en el plazo de diez días en este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La Sala Segunda de este Tribunal Constitucional por providencia de 31 de marzo de 2011 acordó formar la oportuna pieza para la tramitación del incidente sobre suspensión y conforme determina el art. 56 LOTC, concedió un plazo común de tres días a la parte recurrente y al Ministerio Fiscal para que alegaran lo que estimasen pertinente en relación con la petición de suspensión formulada.</w:t>
      </w:r>
    </w:p>
    <w:p w:rsidR="00D06117" w:rsidRDefault="00D06117" w:rsidP="00D06117">
      <w:pPr>
        <w:pStyle w:val="TextoNormal"/>
      </w:pPr>
    </w:p>
    <w:p w:rsidR="00D06117" w:rsidRDefault="00D06117" w:rsidP="00D06117">
      <w:pPr>
        <w:pStyle w:val="TextoNormal"/>
      </w:pPr>
      <w:r>
        <w:t>El Fiscal, en su escrito de alegaciones presentado el 11 de abril de 2011, pidió que se denegara la suspensión solicitada, en atención al criterio seguido por este Tribunal en el ATC 206/2010, de 30 de diciembre, que resolvió una petición dimanante de un recurso sustancialmente igual al presente. La Sala Segunda del Tribunal, por Auto de 6 de junio de 2011, acordó denegar la suspensión solicitada.</w:t>
      </w:r>
    </w:p>
    <w:p w:rsidR="00D06117" w:rsidRDefault="00D06117" w:rsidP="00D06117">
      <w:pPr>
        <w:pStyle w:val="TextoNormal"/>
      </w:pPr>
    </w:p>
    <w:p w:rsidR="00D06117" w:rsidRDefault="00D06117" w:rsidP="00D06117">
      <w:pPr>
        <w:pStyle w:val="TextoNormal"/>
      </w:pPr>
      <w:r>
        <w:t>Nuevamente, por escrito presentado en el Registro General de este Tribunal el día 5 de diciembre de 2011 se solicitó la suspensión de la ejecución de la Sentencia del Tribunal Supremo 197/2006, de 28 de febrero, porque la misma está produciendo tal perjuicio al recurrente que hace perder al amparo su finalidad. La Sala Segunda de este Tribunal, por providencia de 31 de enero de 2012, acordó denegar la suspensión solicitada toda vez que la misma se refiere a una resolución judicial no recurrida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la Secretaría de la Sala Segunda de 27 de septiembre de 2011, se acordó, de conformidad con lo dispuesto en el art. 52.1 LOTC, dar vista de las actuaciones, por plazo común de veinte días, al demandante y al Ministerio Fiscal, para que presentaran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cumplimentó el trámite de alegaciones mediante escrito registrado el 8 de noviembre de 2011, en el que solicita que se estime el recurso de amparo, por entender que se ha vulnerado el derecho a la ejecución de las resoluciones judiciales en sus propios términos (art. 24.1 CE), en relación con los principios de legalidad penal (art. 25.1 CE) y el derecho a la libertad personal (art. 17.1 CE).</w:t>
      </w:r>
    </w:p>
    <w:p w:rsidR="00D06117" w:rsidRDefault="00D06117" w:rsidP="00D06117">
      <w:pPr>
        <w:pStyle w:val="TextoNormal"/>
      </w:pPr>
    </w:p>
    <w:p w:rsidR="00D06117" w:rsidRDefault="00D06117" w:rsidP="00D06117">
      <w:pPr>
        <w:pStyle w:val="TextoNormal"/>
      </w:pPr>
      <w:r>
        <w:t>Comienza el Ministerio Fiscal por el análisis del séptimo y último de los motivos que se recogen en la demanda de amparo, centrado en la eventual vulneración del principio de legalidad penal recogido en el art. 25.2 CE y, más concretamente, en el enunciado del mismo que alude al carácter rehabilitador y de reinserción social que deben de tener las penas señaladas a los diferentes delitos previstos en el Código penal. Considera el Ministerio Fiscal que el motivo debe ser rechazado a limine porque, como reiteradamente ha destacado la doctrina de este Tribunal Constitucional, el art. 25.2 CE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 xml:space="preserve">Seguidamente señala el Ministerio Fiscal que tampoco tienen suficiente eficacia ni el motivo primero ni el cuarto centrados en la eventual vulneración del principio de legalidad penal conectado al de irretroactividad de las normas penales y restrictivas de derechos, puesto que, como ha señalado la doctrina de este Tribunal Constitucional, no es invocable </w:t>
      </w:r>
      <w:r>
        <w:lastRenderedPageBreak/>
        <w:t>en amparo a no ser que a través del mismo haya sido vulnerado alguno de los derechos fundamentales susceptibles de amparo. Afirma el Ministerio Fiscal que no corresponde al Tribunal Constitucional dilucidar, como acontece en el caso de autos, cuál de las posibles interpretaciones o criterios jurisprudenciales es el más adecuado a la norma en juego. A ello añade que el principio de legalidad en cuanto a la irretroactividad de la ley penal desfavorable al reo, se establece respecto de las leyes y no de las líneas jurisprudenciales.</w:t>
      </w:r>
    </w:p>
    <w:p w:rsidR="00D06117" w:rsidRDefault="00D06117" w:rsidP="00D06117">
      <w:pPr>
        <w:pStyle w:val="TextoNormal"/>
      </w:pPr>
    </w:p>
    <w:p w:rsidR="00D06117" w:rsidRDefault="00D06117" w:rsidP="00D06117">
      <w:pPr>
        <w:pStyle w:val="TextoNormal"/>
      </w:pPr>
      <w:r>
        <w:t>Asimismo, a juicio del Ministerio Fiscal, debe ser también desestimada la vulneración del principio de igualdad en la aplicación de la ley que sostiene el demandante en su motivo quinto. Para el Ministerio Fiscal el motivo no puede prosperar, porque el órgano judicial que ha dictado una de las dos resoluciones que son objeto de este recurso, la Sección Segunda de la Sala de lo Penal de la Audiencia Nacional, es distinto de aquel, la Sala Segunda del Tribunal Supremo, que dictó la resolución cuya doctrina recogida en el mismo, supuestamente, ha generado la situación personal discriminatoria. La demanda no aporta resolución judicial alguna dictada por la Sección Segunda de la Sala de lo Penal de la Audiencia Nacional en la que se decidiera de manera diferente a la recurrida en amparo en supuestos sustancialmente idénticos, tal y como viene exigiendo la jurisprudencia del Tribunal Constitucional, y cita como ejemplo la STC 51/2005, de 14 de marzo.</w:t>
      </w:r>
    </w:p>
    <w:p w:rsidR="00D06117" w:rsidRDefault="00D06117" w:rsidP="00D06117">
      <w:pPr>
        <w:pStyle w:val="TextoNormal"/>
      </w:pPr>
    </w:p>
    <w:p w:rsidR="00D06117" w:rsidRDefault="00D06117" w:rsidP="00D06117">
      <w:pPr>
        <w:pStyle w:val="TextoNormal"/>
      </w:pPr>
      <w:r>
        <w:t>A continuación el Ministerio Fiscal analiza el motivo tercero alegado por el recurrente en amparo en el que argumenta la vulneración del derecho a la intangibilidad de las resoluciones judiciales (art. 24.1 CE) en relación con el derecho a la libertad personal (art. 17.1 CE).</w:t>
      </w:r>
    </w:p>
    <w:p w:rsidR="00D06117" w:rsidRDefault="00D06117" w:rsidP="00D06117">
      <w:pPr>
        <w:pStyle w:val="TextoNormal"/>
      </w:pPr>
    </w:p>
    <w:p w:rsidR="00D06117" w:rsidRDefault="00D06117" w:rsidP="00D06117">
      <w:pPr>
        <w:pStyle w:val="TextoNormal"/>
      </w:pPr>
      <w:r>
        <w:t>Considera el Ministerio Fiscal que si estimamos que el Auto de 3 de febrero de 1997 que fijó los criterios para la ejecución de la condena operando una interpretación concreta de la normativa en juego, y muy particularmente de la refundición de condenas, se ha visto modificado posteriormente por el Auto de 25 de enero de 2008 en atención a una nueva interpretación emanada de una decisión de la Sala Segunda del Tribunal Supremo, ello comporta la vulneración del derecho a la intangibilidad de las resoluciones judiciales ex art. 24.1 CE, enumerado como tal en el cuarto de los motivos de amparo del presente recurso, y que además y de alguna manera se desprende cuando se argumenta el derecho a la tutela judicial efectiva. Para el Ministerio Fiscal que la Sala Segunda del Tribunal Supremo en su Auto de 5 de marzo de 2009 ratifique ese nuevo criterio haciendo caso omiso de la intangibilidad del Auto en que se fijó la refundición de condenas, extiende a dicha Sentencia la vulneración del derecho fundamental tutelado en el art. 24.1 CE. Un derecho fundamental que además, continúa afirmando el Ministerio Fiscal, tiene engarce con el principio de legalidad (art. 25.1 CE) en relación con la prohibición de retroactividad de las normas penales perjudiciales para el reo. A estas dos vulneraciones, señala el Ministerio Fiscal,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 xml:space="preserve">Por último, en relación con el motivo segundo de la demanda de amparo relativo a la vulneración del art. 24.1 en relación con el art. 17.1 CE argumentando indefensión, señala el Ministerio Fiscal que el motivo no puede prosperar, pues a su juicio tiene que ver más </w:t>
      </w:r>
      <w:r>
        <w:lastRenderedPageBreak/>
        <w:t>con otros motivos examinados en este escrito de alegaciones, como las supuestas vulneraciones del derecho a la igualdad (art. 14 CE) o la retroactividad en el concepto del principio de legalidad (art. 25.1 CE).</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del recurrente en amparo no evacuó el trámite de alegaciones en el plazo concedido.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17 de enero de 2012, el Pleno del Tribunal, de conformidad con lo establecido en el art. 10.1 n) LOTC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señaló para la deliberación y votación de la presente Sentencia el día 29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Sala Segunda del Tribunal Supremo de 5 de marzo de 2009, que declaró no haber lugar a la admisión del recurso de casación presentado contra el Auto de la Sección Segunda de la Sala de lo Penal de la Audiencia Nacional de 25 de enero de 2008.</w:t>
      </w:r>
    </w:p>
    <w:p w:rsidR="00D06117" w:rsidRDefault="00D06117" w:rsidP="00D06117">
      <w:pPr>
        <w:pStyle w:val="TextoNormal"/>
      </w:pPr>
    </w:p>
    <w:p w:rsidR="00D06117" w:rsidRDefault="00D06117" w:rsidP="00D06117">
      <w:pPr>
        <w:pStyle w:val="TextoNormal"/>
      </w:pPr>
      <w:r>
        <w:t>Según ha quedado expuesto con mayor detalle en los antecedentes de esta resolución, el demandante de amparo fue condenado a diversas penas que, una vez acumuladas en virtud de lo dispuesto en el art. 70.2 del Código penal (CP) de 1973, dieron lugar a que la Sección Tercera de la Sala de lo Penal de la Audiencia Nacional fijara en treinta años de privación de libertad el tiempo total de cumplimiento de las mismas; aprobándose la correspondiente liquidación de condena, en la que se establecía como fecha de extinción el 22 de junio de 2015.</w:t>
      </w:r>
    </w:p>
    <w:p w:rsidR="00D06117" w:rsidRDefault="00D06117" w:rsidP="00D06117">
      <w:pPr>
        <w:pStyle w:val="TextoNormal"/>
      </w:pPr>
    </w:p>
    <w:p w:rsidR="00D06117" w:rsidRDefault="00D06117" w:rsidP="00D06117">
      <w:pPr>
        <w:pStyle w:val="TextoNormal"/>
      </w:pPr>
      <w:r>
        <w:t>A juicio del demandante de amparo,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lastRenderedPageBreak/>
        <w:t>Sostiene el demandante de amparo que los Autos impugnados, en la medida en que aplican la mencionada doctrina, vulneran el principio de legalidad consagrado en el art. 25.1 y 2 CE en relación con el art. 9.3 CE, el derecho a la tutela judicial efectiva sin indefensión consagrado en el art. 24.1 CE en relación con el art. 17.1 CE, el derecho a la tutela judicial efectiva en su vertiente de intangibilidad de las resoluciones judiciales firmes, el principio de legalidad consagrado en el art. 25.1 CE, en relación con el art. 9.3 CE, el derecho a la igualdad ante la ley (art. 14 CE), el derecho a la libertad personal consagrado en el art. 17.1 CE y el derecho a que las penas estén orientadas a la reinserción social (art. 25.2 CE). Coincide parcialmente con este parecer el Ministerio Fiscal, el cual estima que se ha vulnerado el derecho a la ejecución de las resoluciones judiciales en sus propios términos (art. 24.1 CE), en relación con los principios de legalidad penal (art. 25.1 CE) y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El recurrente denuncia en los motivos primero y cuarto de su demanda la supuesta vulneración del principio de legalidad penal, desde la doble perspectiva de la ilegitimidad del nuevo criterio interpretativo y la aplicación retroactiva de una ley desfavorable (art. 25.1 CE). En relación con esta petición,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w:t>
      </w:r>
      <w:r>
        <w:lastRenderedPageBreak/>
        <w:t>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 resolución dictada por la Sala de lo Penal de la Audiencia Nacional se limita a aplicar la doctrina sentada por otro órgano judicial, el Tribunal Supremo, máximo intérprete de la ley, justificando razonadamente el cambio de criterio sobre la forma de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3</w:t>
      </w:r>
      <w:r>
        <w:t>. Como queda reflejado en los antecedentes, el recurrente denuncia en los motivos segundo y tercero de su demanda la vulneración del derecho a la tutela judicial efectiva sin indefensión consagrado en el art. 24.1 CE en relación con el art. 17.1 CE, por cuanto se modifica la interpretación y los derechos que se derivaban de los Autos de aprobación de redención ordinaria y extraordinaria realizados por los Juzgados de Vigilancia Penitenciaria y Audiencias Provinciales, lo que a continuación se relaciona con la vulneración del derecho a la tutela judicial efectiva en su vertiente de intangibilidad de las resoluciones judiciales firmes.</w:t>
      </w:r>
    </w:p>
    <w:p w:rsidR="00D06117" w:rsidRDefault="00D06117" w:rsidP="00D06117">
      <w:pPr>
        <w:pStyle w:val="TextoNormal"/>
      </w:pPr>
    </w:p>
    <w:p w:rsidR="00D06117" w:rsidRDefault="00D06117" w:rsidP="00D06117">
      <w:pPr>
        <w:pStyle w:val="TextoNormal"/>
      </w:pPr>
      <w:r>
        <w:t>El Ministerio Fiscal comparte el razonamiento del recurrente por entender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 A estas dos vulneraciones, a juicio del Ministerio Fiscal,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 xml:space="preserve">Tal efecto puede producirse no sólo en los supuestos en que concurran las identidades propias de la cosa juzgada, sino también cuando se desconoce lo resuelto por una Sentencia firme en el marco de procesos que examinan cuestiones que guardan con aquélla una relación de estricta dependencia, aunque no sea posible apreciar simultáneamente el mencionado efecto de cosa juzgada. Así se afirma, entre otras, en las SSTC 219/2000, de 18 de septiembre, FJ 5; 151/2001, de 2 de julio, FJ 3; 163/2003, de 29 de septiembre, FJ 4; 200/2003, de 10 de noviembre, FJ 2; 15/2006, de 16 de enero, FJ 4; y 231/2006, de 17 de julio, FJ 2. En tal sentido hemos dicho en las resoluciones citadas que “no se trata sólo de una cuestión que afecte a la libertad interpretativa de los órganos jurisdiccionales, sino de </w:t>
      </w:r>
      <w:r>
        <w:lastRenderedPageBreak/>
        <w:t>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4</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Zabarte Jainaga fue condenado en virtud de ocho Sentencias que se enumeran en los antecedentes de hecho de esta resolución a las penas que se detallan en sus respectivas partes dispositivas.</w:t>
      </w:r>
    </w:p>
    <w:p w:rsidR="00D06117" w:rsidRDefault="00D06117" w:rsidP="00D06117">
      <w:pPr>
        <w:pStyle w:val="TextoNormal"/>
      </w:pPr>
    </w:p>
    <w:p w:rsidR="00D06117" w:rsidRDefault="00D06117" w:rsidP="00D06117">
      <w:pPr>
        <w:pStyle w:val="TextoNormal"/>
      </w:pPr>
      <w:r>
        <w:t xml:space="preserve">b) Tras la entrada en vigor del Código penal de 1995, a fin de determinar si su aplicación le era más favorable (art. 2.2), el Tribunal sentenciador recabó del centro penitenciario donde cumplía condena la certificación prevista en su disposición transitoria tercera. En ella </w:t>
      </w:r>
      <w:r>
        <w:lastRenderedPageBreak/>
        <w:t>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10 de julio de 1996, que no procedía revisar las penas impuestas al demandante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que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t>c) Por Auto de 3 de febrero de 1997, la Sección Tercera de la Sala de lo Penal de la Audiencia Nacional acordó la acumulación de las condenas impuestas en todas las Sentencias señaladas, fijando en treinta años de privación de libertad el tiempo total de cumplimiento de las mismas, en aplicación de lo establecido en el art. 70.2 del Código penal de 1973.</w:t>
      </w:r>
    </w:p>
    <w:p w:rsidR="00D06117" w:rsidRDefault="00D06117" w:rsidP="00D06117">
      <w:pPr>
        <w:pStyle w:val="TextoNormal"/>
      </w:pPr>
    </w:p>
    <w:p w:rsidR="00D06117" w:rsidRDefault="00D06117" w:rsidP="00D06117">
      <w:pPr>
        <w:pStyle w:val="TextoNormal"/>
      </w:pPr>
      <w:r>
        <w:t>De acuerdo con esta decisión, el Secretario Judicial de la Sala practicó el 7 de noviembre de 1997 la liquidación provisional de las condenas impuestas al demandante, según la cual, una vez descontado el tiempo que permaneció en prisión preventiva por dichas causas acumuladas, el demandante extinguiría sus condenas el 22 de junio de 2015.</w:t>
      </w:r>
    </w:p>
    <w:p w:rsidR="00D06117" w:rsidRDefault="00D06117" w:rsidP="00D06117">
      <w:pPr>
        <w:pStyle w:val="TextoNormal"/>
      </w:pPr>
    </w:p>
    <w:p w:rsidR="00D06117" w:rsidRDefault="00D06117" w:rsidP="00D06117">
      <w:pPr>
        <w:pStyle w:val="TextoNormal"/>
      </w:pPr>
      <w:r>
        <w:t>d) No hay ninguna otra resolución judicial relevante del Tribunal sentenciador en la ejecutoria hasta que, mediante Auto de 25 de enero de 2008 que es objeto de esta pretensión de amparo, el Tribunal acordó ser de aplicación al demandante de amparo la doctrina establecida por el Tribunal Supremo en la Sentencia 197/2006, de 28 de febrero, a efectos de practicar la liquidación de condena.</w:t>
      </w:r>
    </w:p>
    <w:p w:rsidR="00D06117" w:rsidRDefault="00D06117" w:rsidP="00D06117">
      <w:pPr>
        <w:pStyle w:val="TextoNormal"/>
      </w:pPr>
    </w:p>
    <w:p w:rsidR="00D06117" w:rsidRDefault="00D06117" w:rsidP="00D06117">
      <w:pPr>
        <w:pStyle w:val="TextoNormal"/>
      </w:pPr>
      <w:r w:rsidRPr="00D06117">
        <w:rPr>
          <w:rStyle w:val="NumeroAFNegritaCaracter"/>
        </w:rPr>
        <w:t>5</w:t>
      </w:r>
      <w:r>
        <w:t>.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En cuanto a los Autos de aprobación de redención de penas dictados por los Juzgados de Vigilancia Penitenciaria y Audiencias Provinciales a los que alude el demandante en el segundo motivo de amparo,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w:t>
      </w:r>
      <w:r>
        <w:lastRenderedPageBreak/>
        <w:t>resoluciones recurridas en amparo ignoren o pongan en cuestión la firmeza e intangibilidad de lo decidido en los Autos del Juzgado de Vigilancia Penitenciaria. La providencia que fijó la fecha de licenciamiento definitivo no dejó sin efecto dichas redenciones, sino que, en ejercicio de las competencias que legalmente tiene atribuidas el Tribunal sentenciador, las computó sucesivamente sobre las penas impuestas al recurrente a efectos de liquidación de condena.</w:t>
      </w:r>
    </w:p>
    <w:p w:rsidR="00D06117" w:rsidRDefault="00D06117" w:rsidP="00D06117">
      <w:pPr>
        <w:pStyle w:val="TextoNormal"/>
      </w:pPr>
    </w:p>
    <w:p w:rsidR="00D06117" w:rsidRDefault="00D06117" w:rsidP="00D06117">
      <w:pPr>
        <w:pStyle w:val="TextoNormal"/>
      </w:pPr>
      <w:r>
        <w:t>b) Por lo que respecta al Auto de la Sección Tercera de la Sala de lo Penal de la Audiencia Nacional de 3 de febrero de 1997 de acumulación de condenas y fijación del límite máximo de cumplimiento, esta resolución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c) Por lo que se refiere al Auto de la Sección Segunda de la Sala de lo Penal de la Audiencia Nacional de 10 de julio de 1996 por el que se acordó no haber lugar a la revisión de las penas impuestas por considerar que, dados los hechos enjuiciados y las penas que la habían sido impuestas, no eran más favorables las previsiones punitivas del Código penal de 1995, es claro que ni en el fallo de esta resolución se realiza pronunciamiento alguno acerca del criterio de cómputo de las redenciones (porque no era su objeto), ni de su fundamentación jurídica puede concluirse que la decisión de no revisar las condenas se sustentara de manera clara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
      </w:pPr>
      <w:r w:rsidRPr="00D06117">
        <w:rPr>
          <w:rStyle w:val="NumeroAFNegritaCaracter"/>
        </w:rPr>
        <w:t>6</w:t>
      </w:r>
      <w:r>
        <w:t>. La misma suerte desestimatoria debe seguir la queja plasmada en los motivos de amparo primero y séptimo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w:t>
      </w:r>
      <w:r>
        <w:lastRenderedPageBreak/>
        <w:t>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José Félix Zabarte Jainaga.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el recurso de amparo núm. 4627-2009 avocado al Pleno.</w:t>
      </w:r>
    </w:p>
    <w:p w:rsidR="00D06117" w:rsidRDefault="00D06117" w:rsidP="00D06117">
      <w:pPr>
        <w:pStyle w:val="TextoNormalNegritaCentrado"/>
        <w:keepNext/>
      </w:pPr>
    </w:p>
    <w:p w:rsidR="00D06117" w:rsidRDefault="00D06117" w:rsidP="00D06117">
      <w:pPr>
        <w:pStyle w:val="TextoNormal"/>
      </w:pPr>
      <w:r>
        <w:t>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lastRenderedPageBreak/>
        <w:t>Voto particular que formula la Magistrada doña Adela Asua Batarrita a la Sentencia dictada en el recurso de amparo núm. 4627-2009.</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emite el Magistrado don Luis Ignacio Ortega Álvarez con relación a la Sentencia dictada en el recurso de amparo avocado al Pleno núm. 4627-2009.</w:t>
      </w:r>
    </w:p>
    <w:p w:rsidR="00D06117" w:rsidRDefault="00D06117" w:rsidP="00D06117">
      <w:pPr>
        <w:pStyle w:val="TextoNormalNegritaCentrado"/>
        <w:keepNext/>
      </w:pPr>
    </w:p>
    <w:p w:rsidR="00D06117" w:rsidRDefault="00D06117" w:rsidP="00D06117">
      <w:pPr>
        <w:pStyle w:val="TextoNormal"/>
      </w:pPr>
      <w:r>
        <w:t>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0" w:name="SENTENCIA_2012_57"/>
      <w:r>
        <w:lastRenderedPageBreak/>
        <w:t>SENTENCIA 57/2012, de 29 de marzo de 2012</w:t>
      </w:r>
    </w:p>
    <w:bookmarkEnd w:id="6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ECLI:ES:TC:2012:57</w:t>
      </w:r>
    </w:p>
    <w:p w:rsidR="00D06117" w:rsidRDefault="00D06117" w:rsidP="00D06117">
      <w:pPr>
        <w:pStyle w:val="SntesisDescriptiva"/>
      </w:pPr>
    </w:p>
    <w:p w:rsidR="00D06117" w:rsidRDefault="00D06117" w:rsidP="00D06117">
      <w:pPr>
        <w:pStyle w:val="SntesisDescriptiva"/>
      </w:pPr>
      <w:r>
        <w:t>Recurso de amparo 4793-2009. Promovido por don Juan María Igarataundi Peñagaricano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Vulneración de los derechos a la tutela judicial efectiva (intangibilidad) y a la libertad personal: resoluciones judiciales que desconocen lo anteriormente decidido con carácter firme acerca del criterio de cómputo de redenciones de penas privativas de libertad. Votos particulares.</w:t>
      </w:r>
    </w:p>
    <w:p w:rsidR="00D06117" w:rsidRDefault="00D06117" w:rsidP="00D06117">
      <w:pPr>
        <w:pStyle w:val="SntesisAnaltica"/>
      </w:pPr>
    </w:p>
    <w:p w:rsidR="00D06117" w:rsidRDefault="00D06117" w:rsidP="00D06117">
      <w:pPr>
        <w:pStyle w:val="Extracto"/>
      </w:pPr>
      <w:r>
        <w:t>1.</w:t>
      </w:r>
      <w:r>
        <w:tab/>
        <w:t xml:space="preserve">Reitera la doctrina de la STC 39/2012. </w:t>
      </w:r>
    </w:p>
    <w:p w:rsidR="00D06117" w:rsidRDefault="00D06117" w:rsidP="00D06117">
      <w:pPr>
        <w:pStyle w:val="Extracto"/>
      </w:pPr>
    </w:p>
    <w:p w:rsidR="00D06117" w:rsidRDefault="00D06117" w:rsidP="00D06117">
      <w:pPr>
        <w:pStyle w:val="Extracto"/>
      </w:pPr>
      <w:r>
        <w:t>2.</w:t>
      </w:r>
      <w:r>
        <w:tab/>
        <w:t xml:space="preserve">Una vez cumplida la pena, computando la redención de penas por el trabajo conforme al criterio firme e intangible establecido por el órgano judicial encargado de la ejecución, y extinguido con ello el título que legitimaba la privación de libertad, el exceso de tiempo pasado en prisión constituye una privación de libertad carente de base legal y lesiva del derecho fundamental a la libertad consagrado en el art. 17.1 CE (STC 322/2005; STEDH caso </w:t>
      </w:r>
      <w:r w:rsidRPr="00D06117">
        <w:rPr>
          <w:i/>
        </w:rPr>
        <w:t>Grava c. Italia</w:t>
      </w:r>
      <w:r>
        <w:t>, de 10 de julio de 2003) [FJ 8].</w:t>
      </w:r>
    </w:p>
    <w:p w:rsidR="00D06117" w:rsidRDefault="00D06117" w:rsidP="00D06117">
      <w:pPr>
        <w:pStyle w:val="Extracto"/>
      </w:pPr>
    </w:p>
    <w:p w:rsidR="00D06117" w:rsidRDefault="00D06117" w:rsidP="00D06117">
      <w:pPr>
        <w:pStyle w:val="Extracto"/>
      </w:pPr>
      <w:r>
        <w:t>3.</w:t>
      </w:r>
      <w:r>
        <w:tab/>
        <w:t>Existe una estricta relación de dependencia entre lo resuelto por el Auto de la Audiencia Nacional que acordó que no procedía la revisión de las penas y las resoluciones recurridas en amparo, que impedía a éstas ignorar la realidad jurídica conformada por aquél en cuanto al criterio de cómputo de las redenciones, por lo que al desconocer la eficacia de lo resuelto con carácter firme e intangible por el Auto, han vulnerado el derecho a la tutela judicial efectiva [FJ 7].</w:t>
      </w:r>
    </w:p>
    <w:p w:rsidR="00D06117" w:rsidRDefault="00D06117" w:rsidP="00D06117">
      <w:pPr>
        <w:pStyle w:val="Extracto"/>
      </w:pPr>
    </w:p>
    <w:p w:rsidR="00D06117" w:rsidRDefault="00D06117" w:rsidP="00D06117">
      <w:pPr>
        <w:pStyle w:val="Extracto"/>
      </w:pPr>
      <w:r>
        <w:t>4.</w:t>
      </w:r>
      <w:r>
        <w:tab/>
        <w:t>Los cambios de criterio jurisprudencial no pueden poner en cuestión la firmeza de una resolución anterior, ni justificar el desconocimiento de su eficacia y la vulneración del derecho a la intangibilidad de la realidad jurídica conformada por ella, lo que debió haber sido tenido en cuenta por el órgano judicial a la hora de determinar el alcance, en el caso concreto, del citado cambio de criterio jurisprudencial (STC 219/2000) [FJ 7].</w:t>
      </w:r>
    </w:p>
    <w:p w:rsidR="00D06117" w:rsidRDefault="00D06117" w:rsidP="00D06117">
      <w:pPr>
        <w:pStyle w:val="Extracto"/>
      </w:pPr>
    </w:p>
    <w:p w:rsidR="00D06117" w:rsidRDefault="00D06117" w:rsidP="00D06117">
      <w:pPr>
        <w:pStyle w:val="Extracto"/>
      </w:pPr>
      <w:r>
        <w:t>5.</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[FFJJ 5, 7].</w:t>
      </w:r>
    </w:p>
    <w:p w:rsidR="00D06117" w:rsidRDefault="00D06117" w:rsidP="00D06117">
      <w:pPr>
        <w:pStyle w:val="Extracto"/>
      </w:pPr>
    </w:p>
    <w:p w:rsidR="00D06117" w:rsidRDefault="00D06117" w:rsidP="00D06117">
      <w:pPr>
        <w:pStyle w:val="Extracto"/>
      </w:pPr>
      <w:r>
        <w:t>6.</w:t>
      </w:r>
      <w:r>
        <w:tab/>
        <w:t xml:space="preserve">El derecho a la intangibilidad de las resoluciones judiciales firmes, consagrado en el art. 24.1 CE como una de las vertientes del derecho a la tutela judicial efectiva, </w:t>
      </w:r>
      <w:r>
        <w:lastRenderedPageBreak/>
        <w:t>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3].</w:t>
      </w:r>
    </w:p>
    <w:p w:rsidR="00D06117" w:rsidRDefault="00D06117" w:rsidP="00D06117">
      <w:pPr>
        <w:pStyle w:val="Extracto"/>
      </w:pPr>
    </w:p>
    <w:p w:rsidR="00D06117" w:rsidRDefault="00D06117" w:rsidP="00D06117">
      <w:pPr>
        <w:pStyle w:val="Extracto"/>
      </w:pPr>
      <w:r>
        <w:t>7.</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t>8.</w:t>
      </w:r>
      <w:r>
        <w:tab/>
        <w:t>Doctrina sobre el derecho a no sufrir indefensión (SSTC 48/1984, 12/2011) [FJ 2].</w:t>
      </w:r>
    </w:p>
    <w:p w:rsidR="00D06117" w:rsidRDefault="00D06117" w:rsidP="00D06117">
      <w:pPr>
        <w:pStyle w:val="Extracto"/>
      </w:pPr>
    </w:p>
    <w:p w:rsidR="00D06117" w:rsidRDefault="00D06117" w:rsidP="00D06117">
      <w:pPr>
        <w:pStyle w:val="Extracto"/>
      </w:pPr>
      <w:r>
        <w:t>9.</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10.</w:t>
      </w:r>
      <w:r>
        <w:tab/>
        <w:t>No se ha vulnerado el derecho a la legalidad de las infracciones y sanciones  por aplicación retroactiva del art. 78 CP 1995, pues la prohibición de retroactividad de la ley penal desfavorable consagrada en el art. 25.1 CE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11.</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4793-2009, promovido por don Juan María Igarataundi Peñagaricano, representado por el Procurador de los Tribunales don José Javier Cuevas Rivas y asistido por la Letrada doña Ainhoa Baglietto Gabilondo, contra el Auto de la Sección Primera de la Sala de lo Penal de la Audiencia Nacional, de 1 de abril de 2009, que desestima el recurso de súplica interpuesto contra la providencia de 3 marzo 2009 dictada por la misma Sección, por la que se aprueba la fecha de licenciamiento definitivo del demandante. Ha intervenido el Ministerio Fiscal.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presentado en el Juzgado Decano de Madrid, el 19 de mayo de 2009, recibido en el Registro General de este Tribunal el 22 de mayo siguiente, don José Javier Cuevas Rivas, Procurador de los Tribunales, en nombre y representación de don Juan María Igarataundi Peñagaricano,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por la Sección Primera de la Sala de lo Penal de la Audiencia Nacional, por Sentencia de 19 junio 1989 (rollo de sala 60-1987, sumario núm. 60-1987), como autor de un delito de pertenencia a banda armada a la pena de siete años de prisión mayor, y como autor de un delito de depósito de explosivos a la pena de once años de prisión mayor. Posteriormente el demandante, fue condenado por la Sección Primera de la Sala de lo Penal de la Audiencia Nacional, mediante Sentencia de 7 de mayo de 1990 (rollo de sala 25-1988, sumario núm. 25-1988), como autor de: tres delitos de estragos a la pena de siete años de prisión mayor por cada uno de ellos; un delito de utilización ilegítima de vehículos a motor, uso de armas y toma de rehenes a la pena de nueve años de prisión mayor; un delito de robo a la pena de cuatro años de prisión mayor; un delito de detención a la pena de doce años y un día de reclusión menor; cuatro delitos de terrorismo a tres penas de once años de prisión mayor, y a una pena de diez años y un día de prisión mayor; y un delito de atentado a la pena de veinticuatro años de reclusión mayor.</w:t>
      </w:r>
    </w:p>
    <w:p w:rsidR="00D06117" w:rsidRDefault="00D06117" w:rsidP="00D06117">
      <w:pPr>
        <w:pStyle w:val="TextoNormal"/>
      </w:pPr>
    </w:p>
    <w:p w:rsidR="00D06117" w:rsidRDefault="00D06117" w:rsidP="00D06117">
      <w:pPr>
        <w:pStyle w:val="TextoNormal"/>
      </w:pPr>
      <w:r>
        <w:t>b) En fecha 2 de abril de 1996 por el Secretario Judicial se practicó la liquidación de las condena del Sumario 25-1988, indicando que “[p]or aplicación de la Regla 2 del art. 70 cumplirá un máximo de 30 años … 10.950 días. Los que empezados a cumplir el día siete de junio del año dos mil dieciséis (07.06.2016), fecha en que extingue otra responsabilidad, los deja cumplidos (s.e.u.o.) el día treinta de mayo del año dos mil cuarenta y seis (30.05.2046), fecha en la que deberá ser puesto en libertad, siempre que de ella no estuviere privado por otra causa o motivo legal que lo impida” (folio 349). Dicha liquidación fue aprobada por providencia de 12 de abril de 1996 (folio 353).</w:t>
      </w:r>
    </w:p>
    <w:p w:rsidR="00D06117" w:rsidRDefault="00D06117" w:rsidP="00D06117">
      <w:pPr>
        <w:pStyle w:val="TextoNormal"/>
      </w:pPr>
    </w:p>
    <w:p w:rsidR="00D06117" w:rsidRDefault="00D06117" w:rsidP="00D06117">
      <w:pPr>
        <w:pStyle w:val="TextoNormal"/>
      </w:pPr>
      <w:r>
        <w:lastRenderedPageBreak/>
        <w:t>c) Por Auto dictado por la Sección Primera de la Sala de lo Penal de la Audiencia Nacional el 23 de junio de 1997 se acordó la acumulación de las condenas impuestas al demandante en las dos causas, fijando una duración de treinta años de privación de libertad (folios 460 a 461). Posteriormente la misma Sección mediante Auto de 23 de marzo de 1998 declaró la improcedencia de la revisión de las penas impuestas al demandante, “teniendo en cuenta las manifestaciones del fiscal y del penado, contrarias a la revisión, y ponderando que aunque, con arreglo al nuevo Código, el límite de cumplimiento sería de 25 años de prisión por aplicación de su art. 76, 1, a), dado que ninguna de las penas imponibles a Igarataundi excedería de 20 años, según lo establecido en el art. 571, en relación con el 346, y en el 572, 1, 2, es más favorable, no obstante, el Código antiguo, en cuanto que permitirá al penado gozar de las redenciones posteriores al 25 de mayo de 1996” (folios 574 a 576).</w:t>
      </w:r>
    </w:p>
    <w:p w:rsidR="00D06117" w:rsidRDefault="00D06117" w:rsidP="00D06117">
      <w:pPr>
        <w:pStyle w:val="TextoNormal"/>
      </w:pPr>
    </w:p>
    <w:p w:rsidR="00D06117" w:rsidRDefault="00D06117" w:rsidP="00D06117">
      <w:pPr>
        <w:pStyle w:val="TextoNormal"/>
      </w:pPr>
      <w:r>
        <w:t>d) El Director del centro penitenciario de León, mediante escrito registrado el 17 de febrero de 2009, efectuó la propuesta de licenciamiento definitivo, contemplando dos alternativas según la forma de cómputo de los días de redención reconocidos. Previo traslado al Ministerio Fiscal, la Sección Primera de la Sala de lo Penal de la Audiencia Nacional, dictó providencia, el 3 de marzo de 2009, fijando como fecha de licenciamiento definitivo el 6 de junio de 2017.</w:t>
      </w:r>
    </w:p>
    <w:p w:rsidR="00D06117" w:rsidRDefault="00D06117" w:rsidP="00D06117">
      <w:pPr>
        <w:pStyle w:val="TextoNormal"/>
      </w:pPr>
    </w:p>
    <w:p w:rsidR="00D06117" w:rsidRDefault="00D06117" w:rsidP="00D06117">
      <w:pPr>
        <w:pStyle w:val="TextoNormal"/>
      </w:pPr>
      <w:r>
        <w:t>e) Contra dicha providencia, el demandante de amparo, interpuso el 18 de marzo de 2009 recurso de súplica, que previo informe del Ministerio Fiscal, fue desestimado por Auto de 1 de abril de 2009 citando la doctrina de la Sentencia de la Sala Segunda del Tribunal Supremo de 28 de febrero de 2006 e indicando que no quiebra el principio de igualdad en tanto que “en el caso invocado por el recurrente de Ugarte Cincunegui, que se trata de un penado cuyo licenciamiento se produjo en el año 2003, y por tanto anterior a febrero de 2006; y en el caso de Arrizabalaga Osa aun se encuentra pendiente cumpliendo condena.” La notificación del Auto se produjo el 3 de abril de 2009, indicando al pie del mismo que no era susceptible de recurso.</w:t>
      </w:r>
    </w:p>
    <w:p w:rsidR="00D06117" w:rsidRDefault="00D06117" w:rsidP="00D06117">
      <w:pPr>
        <w:pStyle w:val="TextoNormal"/>
      </w:pPr>
    </w:p>
    <w:p w:rsidR="00D06117" w:rsidRDefault="00D06117" w:rsidP="00D06117">
      <w:pPr>
        <w:pStyle w:val="TextoNormal"/>
      </w:pPr>
      <w:r>
        <w:t>f) En fecha 27 de marzo de 2009 se expidió diligencia de constancia por la Secretaria de la Sala de lo Penal de la Audiencia Nacional cuyo tenor literal es el que sigue: “La extiendo yo, la Secretaria, para hacer constar que a la vista de lo manifestado en el escrito presentado por el Procurador Sr. Dorremochea Aramburu en fecha 16-03-2009 sobre ausencia de notificación de la providencia dictada en la presente ejecutoria en fecha 20-2-1009, y previas las gestiones de comprobación necesarias, se hace constar que dicha resolución tuvo entrada a efectos de notificación en el Ilustre Colegio de Procuradores de Madrid el día 21-2-09, según consta en la relación de entrega de documentación cuya copia testimoniada se acompaña; por lo que se considera efectivamente notificada.”</w:t>
      </w:r>
    </w:p>
    <w:p w:rsidR="00D06117" w:rsidRDefault="00D06117" w:rsidP="00D06117">
      <w:pPr>
        <w:pStyle w:val="TextoNormal"/>
      </w:pPr>
    </w:p>
    <w:p w:rsidR="00D06117" w:rsidRDefault="00D06117" w:rsidP="00D06117">
      <w:pPr>
        <w:pStyle w:val="TextoNormal"/>
      </w:pPr>
      <w:r>
        <w:t>g) Posteriormente mediante escrito registrado en la Sala de lo Penal de la Audiencia Nacional el 24 de febrero de 2011, el demandante de amparo solicitó, dado el retraso del licenciamiento hasta el año 2017, la aplicación del Código penal (en adelante CP) de 1995, al ser más favorable la aplicación del límite de cumplimiento de veinticinco años. Dicha petición fue desestimada por Auto de 5 de mayo de 2011, que tras admitir la posibilidad de revisar el Auto de 23 de marzo de 1998 al tratarse de “una ejecución que continúa en trámite”, considera que conforme al art. 76 CP 1995, el límite máximo de cumplimiento son treinta años —y no veinticinco como indicó la resolución anterior—, al haber sido condenado por varios delitos uno de los cuales tenía señalada pena superior a los veinte años de prisión.</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invoca como vulnerados en su demanda de amparo los derechos fundamentales: a la igualdad (art. 14 CE); a la libertad y seguridad (art. 17.1 CE); a la tutela judicial efectiva (art. 24.1 CE); a la defensa (art. 24.2 CE); así como el principio de legalidad y seguridad jurídica, y la orientación de las penas privativas de libertad y medidas de seguridad hacia la reeducación y reinserción social (art. 25.1 y 2 CE).</w:t>
      </w:r>
    </w:p>
    <w:p w:rsidR="00D06117" w:rsidRDefault="00D06117" w:rsidP="00D06117">
      <w:pPr>
        <w:pStyle w:val="TextoNormal"/>
      </w:pPr>
    </w:p>
    <w:p w:rsidR="00D06117" w:rsidRDefault="00D06117" w:rsidP="00D06117">
      <w:pPr>
        <w:pStyle w:val="TextoNormal"/>
      </w:pPr>
      <w:r>
        <w:t>Posteriormente en su exposición, señala como primer motivo de amparo, la vulneración del principio acusatorio, del derecho a la defensa y a la contradicción en relación con el derecho a la tutela judicial efectiva y a un proceso público con todas las garantías, y “todo ello en relación con el derecho a la libertad, recogido en el artículo 17 de la CE”. Con cita de las SSTC 11/1987 y 123/2005, expone la demanda que la providencia de 3 de marzo de 2009 se dictó sin que conste notificada la resolución que determinaba dar traslado a las partes de la propuesta de liquidación y sin dar al demandante la posibilidad de discutir el criterio aplicado, asumiendo el órgano judicial funciones acusatorias, rompiendo su imparcialidad. Entiende que el Auto de 1 de abril de 2009 no entra a discutir si existen resoluciones judiciales firmes que sitúen la cuestión en un plano diferente al de STS 197/2006 de 28 de febrero, limitándose a trascribirla.</w:t>
      </w:r>
    </w:p>
    <w:p w:rsidR="00D06117" w:rsidRDefault="00D06117" w:rsidP="00D06117">
      <w:pPr>
        <w:pStyle w:val="TextoNormal"/>
      </w:pPr>
    </w:p>
    <w:p w:rsidR="00D06117" w:rsidRDefault="00D06117" w:rsidP="00D06117">
      <w:pPr>
        <w:pStyle w:val="TextoNormal"/>
      </w:pPr>
      <w:r>
        <w:t>En el segundo motivo de amparo, se aduce la vulneración del principio de legalidad (art. 25.1 y 2 CE), en relación con la interpretación de los arts. 70.2 y 100 CP 1973, así como de los arts. 66 del reglamento de prisiones de 1956 y del art. 202 del reglamento penitenciario actual. Argumenta, en tal sentido, que la interpretación llevada a cabo por el Tribunal Supremo, y aplicada en el presente caso, es ajena al tenor literal de dichas normas, a las pautas axiológicas que conforman el ordenamiento constitucional y a los modelos de argumentación aceptados por la comunidad jurídica, pudiendo calificarse dicha interpretación de extravagante, imprevisible, e irrespetuosa, por ser contraria a la interpretación realizada hasta el momento, y a la literalidad de la norma. Entiende que dicha interpretación supone un agravamiento en el caso de delitos graves al situar el límite máximo de cumplimiento efectivo de la condena más allá de la aplicación de la redención o de la sujeción al tratamiento penitenciario, haciendo abstracción del art. 25 CE. Afirma que las resoluciones impugnadas niegan el carácter de beneficio penitenciario a las redenciones de condena. Expone que el art. 100 CP, las configura como tiempo de “cumplimiento”, debiendo aplicarse a efectos de la liquidación de condena, y según el art. 202 del reglamento penitenciario, suponen una reducción de la condena impuesta por el tiempo efectivo de internamiento. Entiende que debe descontarse del tiempo máximo de cumplimiento los beneficios penitenciarios, por tal razón considera que el demandante tendría extinguida su condena desde el 9 de abril de 2009. Posteriormente cita los arts. 66 y 71.3 del reglamento de servicios y prisiones de 1956, para reforzar su afirmación de la procedencia de descontar del máximo de cumplimiento los beneficios que supongan un acortamiento de condena.</w:t>
      </w:r>
    </w:p>
    <w:p w:rsidR="00D06117" w:rsidRDefault="00D06117" w:rsidP="00D06117">
      <w:pPr>
        <w:pStyle w:val="TextoNormal"/>
      </w:pPr>
    </w:p>
    <w:p w:rsidR="00D06117" w:rsidRDefault="00D06117" w:rsidP="00D06117">
      <w:pPr>
        <w:pStyle w:val="TextoNormal"/>
      </w:pPr>
      <w:r>
        <w:t xml:space="preserve">En el tercer motivo de amparo denuncia la vulneración del derecho a la tutela judicial efectiva (art. 24.1 CE), en relación con el derecho a la libertad (art. 17.1 CE). Sostiene la demanda que la nueva interpretación del cómputo de las redenciones sobre la totalidad de la condena le genera indefensión e inseguridad jurídica, pues las redenciones aprobadas por los Juzgados de Vigilancia Penitenciaria, intangibles y firmes, aplicadas —como se venía haciendo— al tope de treinta años, suponían un acortamiento de su condena de treinta años. El trabajo y los estudios en la prisión se realizaron en la confianza de que las redenciones </w:t>
      </w:r>
      <w:r>
        <w:lastRenderedPageBreak/>
        <w:t>así obtenidas implicarían un acortamiento del tiempo de permanencia en prisión, y se generó una expectativa de acortamiento sobre la base de la actuación de los Juzgados de Vigilancia Penitenciaria y las Audiencias que aprobaron las redenciones propuestas por las diferentes prisiones. La defraudación de esa expectativa con la nueva doctrina aplicada genera inseguridad jurídica y vulnera el derecho a la tutela judicial efectiva, en relación con el derecho a la libertad, que implica un deber reforzado de motivación. Citando la STC 174/1989,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Como cuarto motivo de amparo considera vulnerado el derecho a la tutela judicial efectiva (art. 24.1 CE), en su vertiente de intangibilidad de las resoluciones judiciales firmes, y en relación con los principios de legalidad y seguridad jurídica. Considera que el “Auto de fecha 23 de junio de 1997”, acordó “acumular las condenas impuestas al penado … fijándose en una duración de 30 años de privación de libertad el tiempo total de cumplimiento”, considerándola más beneficiosa que la condena de veinticinco años conforme al Código penal 1995, lo que generó una expectativa de reducción de la condena, por aplicación de las redenciones de pena por el trabajo a la pena única de treinta años. Dicha resolución ha sido modificada al cambiarse los criterios que se tomaron en consideración, afectando al principio de intangibilidad de las resoluciones judiciales.</w:t>
      </w:r>
    </w:p>
    <w:p w:rsidR="00D06117" w:rsidRDefault="00D06117" w:rsidP="00D06117">
      <w:pPr>
        <w:pStyle w:val="TextoNormal"/>
      </w:pPr>
    </w:p>
    <w:p w:rsidR="00D06117" w:rsidRDefault="00D06117" w:rsidP="00D06117">
      <w:pPr>
        <w:pStyle w:val="TextoNormal"/>
      </w:pPr>
      <w:r>
        <w:t>Como quinto motivo de amparo, considera vulnerado el principio de legalidad (arts. 25.1 y 9.3 CE). Entiende que las resoluciones efectúan una aplicación retroactiva de una norma penal desfavorable, en relación con los arts. 7 del Convenio europeo para la protección de los derechos humanos y de las libertades fundamentales (CEDH) y 15 del Pacto internacional de derechos civiles y políticos (PIDCP). Considera que la resolución impugnada realiza una aplicación fraudulenta del art. 78 CP 1995. Considera que se vulnera la legalidad cuando se hace una aplicación de una norma penal, cuya entrada en vigor sea posterior al hecho enjuiciado, si resulta imprevisible concluir que dicha norma era más beneficiosa para el acusado. Afirma que el Código penal de 1973 no contempla aplicar la redención sobre cada una de las penas, indica que tal posibilidad se contempla en el Código penal de 1995, en relación con los beneficios penitenciarios y la libertad condicional, por lo que entiende que la Sentencia del Tribunal Supremo no efectúa una nueva interpretación del art. 70.2 CP sino que lo que de facto realiza es una aplicación retroactiva del criterio establecido en el art. 78 CP.</w:t>
      </w:r>
    </w:p>
    <w:p w:rsidR="00D06117" w:rsidRDefault="00D06117" w:rsidP="00D06117">
      <w:pPr>
        <w:pStyle w:val="TextoNormal"/>
      </w:pPr>
    </w:p>
    <w:p w:rsidR="00D06117" w:rsidRDefault="00D06117" w:rsidP="00D06117">
      <w:pPr>
        <w:pStyle w:val="TextoNormal"/>
      </w:pPr>
      <w:r>
        <w:t xml:space="preserve">En sexto lugar, e invocando el derecho a la igualdad en la aplicación de la ley (art. 14 CE), con cita de la STC 144/1988,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y el Voto particular de la STS </w:t>
      </w:r>
      <w:r>
        <w:lastRenderedPageBreak/>
        <w:t>197/2006). Afirma que se trata de una reescritura del art. 70.2 CP 1973, provocada por factores extrajudiciales, por quienes son los sujetos pasivos a los que afecta, y por las circunstancias en que se adopta la decisión, por tanto, un cambio de criterio ad personam.</w:t>
      </w:r>
    </w:p>
    <w:p w:rsidR="00D06117" w:rsidRDefault="00D06117" w:rsidP="00D06117">
      <w:pPr>
        <w:pStyle w:val="TextoNormal"/>
      </w:pPr>
    </w:p>
    <w:p w:rsidR="00D06117" w:rsidRDefault="00D06117" w:rsidP="00D06117">
      <w:pPr>
        <w:pStyle w:val="TextoNormal"/>
      </w:pPr>
      <w:r>
        <w:t>En el séptimo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y en contra de la práctica habitual y pacífica. Reproduce parcialmente el Voto particular de la STS 197/2006, añadiendo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Indica que el demandante cumplió la condena el 9 de abril de 2009, según se desprende de la liquidación de condena realizada por la prisión de León y por ello estima que las resoluciones impugnadas violan, por ello, el art. 17 CE y los arts. 5 y 7.1 CEDH, así como los arts. 9.1 y 5 y 15.1 PIDCP. Expone que la revocación de la propuesta de licenciamiento afecta además a las posibilidades de revisión de la condena y las posibilidades de aplicación del Código penal de 1995 ó 1973.</w:t>
      </w:r>
    </w:p>
    <w:p w:rsidR="00D06117" w:rsidRDefault="00D06117" w:rsidP="00D06117">
      <w:pPr>
        <w:pStyle w:val="TextoNormal"/>
      </w:pPr>
    </w:p>
    <w:p w:rsidR="00D06117" w:rsidRDefault="00D06117" w:rsidP="00D06117">
      <w:pPr>
        <w:pStyle w:val="TextoNormal"/>
      </w:pPr>
      <w:r>
        <w:t>Por último alega la vulneración del art. 25.2 CE en relación con las Reglas mínimas para el tratamiento de los reclusos y el Pacto internacional de derechos civiles y políticos, al incumplir el principio de que las penas privativas de libertad y medidas de seguridad deben ir orientadas hacia la reeducación y reinserción social. Indica que la reclusión excesivamente prolongada puede producir efectos irreparables en la personalidad, y que la redención de penas estaba orientada a la resocialización y reeducación.</w:t>
      </w:r>
    </w:p>
    <w:p w:rsidR="00D06117" w:rsidRDefault="00D06117" w:rsidP="00D06117">
      <w:pPr>
        <w:pStyle w:val="TextoNormal"/>
      </w:pPr>
    </w:p>
    <w:p w:rsidR="00D06117" w:rsidRDefault="00D06117" w:rsidP="00D06117">
      <w:pPr>
        <w:pStyle w:val="TextoNormal"/>
      </w:pPr>
      <w:r>
        <w:t>Por otrosí solicitó la suspensión de la ejecución de las resoluciones recurridas.</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acordó, por providencia de 14 de abril de 2011, la admisión a trámite de la demanda así como, a tenor de lo establecido en el art. 51 del Ley Orgánica del Tribunal Constitucional (LOTC), dirigir atenta comunicación a la Audiencia Nacional para que remitiera certificación o fotocopia adverada de las actuaciones correspondientes a la ejecutoria 25-1988, interesando al tiempo que se emplazara a quienes fueron parte en el procedimiento, a excepción del demandante de amparo, para que pudiesen comparecer en el recurso de amparo en el plazo de diez días.</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Secretaría de Justicia de la Sala Segunda del Tribunal Constitucional, de 20 de septiembre de 2011, se acordó dar vista de las actuaciones recibidas a la parte recurrente y al Ministerio Fiscal por plazo común de veinte días, dentro del cual pudieron presentar las alegaciones que estimaron pertinentes, de conformidad con lo dispuesto en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La representación procesal del recurrente en amparo evacuó el trámite de alegaciones conferido mediante escrito registrado en fecha 24 de octubre de 2011, en el que ratificó las </w:t>
      </w:r>
      <w:r>
        <w:lastRenderedPageBreak/>
        <w:t>alegaciones efectuadas en el escrito de demanda, insistiendo en la exposición de alguno de los motivos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presentó su escrito de alegaciones el 28 de octubre 2011, solicitando la estimación de la demanda de amparo por entender que las resoluciones judiciales han vulnerado el derecho fundamental de ejecución de las resoluciones judiciales en sus propios términos (art. 24.1 CE), en relación con el principio de legalidad penal (art. 25.1 CE), y de libertad personal (art. 17.1 CE), y consiguientemente la anulación de las resoluciones recurridas.</w:t>
      </w:r>
    </w:p>
    <w:p w:rsidR="00D06117" w:rsidRDefault="00D06117" w:rsidP="00D06117">
      <w:pPr>
        <w:pStyle w:val="TextoNormal"/>
      </w:pPr>
    </w:p>
    <w:p w:rsidR="00D06117" w:rsidRDefault="00D06117" w:rsidP="00D06117">
      <w:pPr>
        <w:pStyle w:val="TextoNormal"/>
      </w:pPr>
      <w:r>
        <w:t>Tras sintetizar los antecedentes procesales y los motivos de impugnación de la demanda, comienza su exposición por la eventual vulneración del principio de legalidad penal recogido en el art. 25.2 CE y, más concretamente, en el enunciado que alude al carácter rehabilitador y de reinserción social de las penas. Sostiene que debe ser rechazado dicho motivo al no contener el art. 25.2 CE un derecho fundamental susceptible de ser invocado en amparo, y carecer de autonomía propia, por lo que debería quedar vinculado por su conexión a otras infracciones del derecho a la legalidad penal que el demandante denuncia en los otros motivos amparo.</w:t>
      </w:r>
    </w:p>
    <w:p w:rsidR="00D06117" w:rsidRDefault="00D06117" w:rsidP="00D06117">
      <w:pPr>
        <w:pStyle w:val="TextoNormal"/>
      </w:pPr>
    </w:p>
    <w:p w:rsidR="00D06117" w:rsidRDefault="00D06117" w:rsidP="00D06117">
      <w:pPr>
        <w:pStyle w:val="TextoNormal"/>
      </w:pPr>
      <w:r>
        <w:t>También descarta que se haya producido vulneración del principio de legalidad penal conectado con la irretroactividad de las normas penales y restrictivas de derechos, invocados en los motivos segundo y quinto de la demanda, pues no es invocable en amparo, a no ser que a través del mismo haya sido vulnerado alguno de los derechos fundamentales susceptibles de amparo (STC 237/1993). Entiende que únicamente se sustenta en las alegaciones del demandante que el Tribunal Supremo haya realizado una interpretación del art. 70.2 CP 1973 conforme a los criterios del actual art. 76 CP 1995, en tanto que el precepto aplicado siempre ha sido el art. 70.2 CP 1973. Añade que no parece posible afirmar que la exégesis que se efectúa del indicado precepto se basa en una subsunción ajena al significado de los términos de la norma aplicada por una argumentación ilógica o indiscutiblemente extravagante o ajena a los criterios que informan el ordenamiento constitucional o que conduzcan a soluciones esencialmente contrarias u opuestas a la orientación material de la norma, y por ello imprevisible para sus destinatarios. Indica que el principio de irretroactividad se establece respecto de las leyes y no de las líneas jurisprudenciales.</w:t>
      </w:r>
    </w:p>
    <w:p w:rsidR="00D06117" w:rsidRDefault="00D06117" w:rsidP="00D06117">
      <w:pPr>
        <w:pStyle w:val="TextoNormal"/>
      </w:pPr>
    </w:p>
    <w:p w:rsidR="00D06117" w:rsidRDefault="00D06117" w:rsidP="00D06117">
      <w:pPr>
        <w:pStyle w:val="TextoNormal"/>
      </w:pPr>
      <w:r>
        <w:t>Entiende que la vulneración del derecho fundamental a la libertad personal (art. 17.1 CE) debe considerarse inserta en la argumentación de denegación de la irretroactividad contra reo expuesta en el apartado anterior, en tanto que si no concurre tal defecto constitucional en la aplicación al reo de la doctrina derivada de la STS 197/2006, tampoco puede deducirse que el no licenciamiento del demandante haya comprometido su derecho a la libertad personal, por lo que también debe desestimarse el motivo séptimo de la demanda de amparo.</w:t>
      </w:r>
    </w:p>
    <w:p w:rsidR="00D06117" w:rsidRDefault="00D06117" w:rsidP="00D06117">
      <w:pPr>
        <w:pStyle w:val="TextoNormal"/>
      </w:pPr>
    </w:p>
    <w:p w:rsidR="00D06117" w:rsidRDefault="00D06117" w:rsidP="00D06117">
      <w:pPr>
        <w:pStyle w:val="TextoNormal"/>
      </w:pPr>
      <w:r>
        <w:t>Respecto a la vulneración del derecho a la igualdad (art. 14 CE), contenida en el motivo sexto de la demanda, indica que no puede prosperar, en tanto que cuando se dictan los licenciamientos definitivos referidos por el demandante todavía no se había dictado la STS 197/2006 siendo posible el cambio de decisiones de modo argumentativo por parte del Tribunal Supremo.</w:t>
      </w:r>
    </w:p>
    <w:p w:rsidR="00D06117" w:rsidRDefault="00D06117" w:rsidP="00D06117">
      <w:pPr>
        <w:pStyle w:val="TextoNormal"/>
      </w:pPr>
    </w:p>
    <w:p w:rsidR="00D06117" w:rsidRDefault="00D06117" w:rsidP="00D06117">
      <w:pPr>
        <w:pStyle w:val="TextoNormal"/>
      </w:pPr>
      <w:r>
        <w:lastRenderedPageBreak/>
        <w:t>Afirma que en los motivos tercero y cuarto argumenta la vulneración del derecho a la intangibilidad de las resoluciones judiciales, sea en relación con el derecho a la libertad personal sea como núcleo mismo de la intangibilidad (arts. 24.1 y 17 CE). Considera que el núcleo del problema se encuentra en el Auto de 23 de junio de 1997 que decidió la refundición de penas y se asumieron los entonces vigentes criterios interpretativos del art. 70.2 CP 1973. Entiende que la norma no ha variado, que lo que se han modificado en la interpretación efectuada por la Sala Segunda del Tribunal Supremo desde la STS 197/2006, de 28 de febrero, ocasionando un evidente perjuicio penológico al demandante. Tras señalar que el derecho a la intangibilidad de las resoluciones judiciales firmes se encuentra comprendido el derecho a la tutela judicial efectiva (STC 23/2005, de 14 de febrero) y aparece configurado como un derecho subjetivo a que las resoluciones judiciales firmes no serán modificadas o alteradas fuera de los cauces previstos en la ley, sostiene que no parece que puedan ser clasificadas como resoluciones judiciales de naturaleza intangible las liquidaciones de condena habida cuenta de la extremada fluidez de la vida de cumplimiento penitenciario cuando entre en juego, como sucede el caso de autos, la institución de la redención de penas, en sí mismas consideradas. Ahora bien, señala que otra cosa acontece con el auto de refundición de penas al operar sobre una realidad, al refundir condenas, y su norma. Podría hipotéticamente hablarse de una ampliación o nuevas condenas, y en tal caso decaería tan solo el efecto concepto de intangibilidad. Mas no en es el caso de autos. En éste no se varían las condenas, tampoco el mecanismo limitado, sino lo que se modifica es la jurisprudencia emanada de la STS 197/2006. Indica que el conflicto se plantea en relación a la prevalencia entre mantener la resolución judicial de refundición de penas y la variación de una interpretación jurisprudencial de rótulo normativo que implica consecuencias retroactivamente perjudiciales para la fecha de licenciamiento definitivo, lo que implica inevitablemente la aparición de su derecho a la libertad (art. 17.1 CE). Descarta que “establecidos en los criterios de interpretación normativa para fijar la refundición de condena (auto de 16 de junio de 1997) y establecidos ellos en resolución judicial, pudieran variarse en virtud de otra posterior resolución judicial que aplica por vía de remisión la STS 197/06, que interpreta de otra manera las normas atinentes. De todo lo anterior lo que se desprende es que si estimamos que el Auto de 23 de junio de 1997 que fijo los criterios para la ejecución de la condena operando una interpretación concreta de la normativa en juego, y muy particularmente de la refundición de condenas, se ha visto modificado posteriormente por la providencia de 3 de marzo de 2009 y el Auto de 1 de abril de 2009”. Por ello concluye que se ha producido la vulneración del derecho a la intangibilidad de las resoluciones judiciales (art. 24.1 CE), en relación con el principio de legalidad penal en relación con la irretroactividad de lo desfavorable para el reo (art. 25.1 y 9.3 CE) y del derecho a la libertad personal (art. 17.1 CE).</w:t>
      </w:r>
    </w:p>
    <w:p w:rsidR="00D06117" w:rsidRDefault="00D06117" w:rsidP="00D06117">
      <w:pPr>
        <w:pStyle w:val="TextoNormal"/>
      </w:pPr>
    </w:p>
    <w:p w:rsidR="00D06117" w:rsidRDefault="00D06117" w:rsidP="00D06117">
      <w:pPr>
        <w:pStyle w:val="TextoNormal"/>
      </w:pPr>
      <w:r>
        <w:t>Por último sostiene que el primero de los motivos amparo debe ser desestimado pues pese a no haberse dado traslado a la defensa de la propuesta de licenciamiento del centro penitenciario, sin embargo pudo interponer e interpuso recurso de súplica sustentando sus alegaciones contra la aplicación de la denominada (doctrina “Parot”), por lo que no se le produjo indefensión.</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17 de enero de 2012, el Pleno acordó recabar para sí, a propuesta de la Sala Primera,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9</w:t>
      </w:r>
      <w:r>
        <w:t>. Por providencia de veintiséis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demanda de amparo se dirige contra el Auto de la Sección Primera de la Sala de lo Penal de la Audiencia Nacional, de 1 de abril de 2009, que desestima el recurso de súplica interpuesto contra la providencia de 3 marzo 2009 dictada por la misma Sección, por la que se aprueba la fecha de licenciamiento definitivo del demandante ha vulnerado el principio acusatorio y el derecho a la defensa y a la contradicción en relación con el derecho a la tutela judicial efectiva y a un proceso público con todas las garantías (art. 24.1 y 2 CE), a la igualdad (art. 14 CE), a la libertad y seguridad (art. 17.1 CE), a la tutela judicial efectiva (art. 24.1 CE), a la defensa (art. 24.2 CE), así como el principio de legalidad y seguridad jurídica, y la orientación de las penas privativas de libertad y medidas de seguridad hacia la reeducación y reinserción social (art. 25.1 y 2 CE).</w:t>
      </w:r>
    </w:p>
    <w:p w:rsidR="00D06117" w:rsidRDefault="00D06117" w:rsidP="00D06117">
      <w:pPr>
        <w:pStyle w:val="TextoNormal"/>
      </w:pPr>
    </w:p>
    <w:p w:rsidR="00D06117" w:rsidRDefault="00D06117" w:rsidP="00D06117">
      <w:pPr>
        <w:pStyle w:val="TextoNormal"/>
      </w:pPr>
      <w:r>
        <w:t>El Ministerio Fiscal, como ha quedado expuesto con más detalle en los antecedentes, considera que las resoluciones judiciales impugnadas han desconocido el derecho fundamental a la ejecución de las resoluciones judiciales en sus propios términos (art. 24.1 CE), en relación con el principio de legalidad penal (art. 25.1 CE), y de libertad personal (art. 17.1 CE), y consiguientemente solicita la anulación de las resoluciones recurridas.</w:t>
      </w:r>
    </w:p>
    <w:p w:rsidR="00D06117" w:rsidRDefault="00D06117" w:rsidP="00D06117">
      <w:pPr>
        <w:pStyle w:val="TextoNormal"/>
      </w:pPr>
    </w:p>
    <w:p w:rsidR="00D06117" w:rsidRDefault="00D06117" w:rsidP="00D06117">
      <w:pPr>
        <w:pStyle w:val="TextoNormal"/>
      </w:pPr>
      <w:r w:rsidRPr="00D06117">
        <w:rPr>
          <w:rStyle w:val="NumeroAFNegritaCaracter"/>
        </w:rPr>
        <w:t>2</w:t>
      </w:r>
      <w:r>
        <w:t>. El análisis de las quejas de amparo ha de iniciarse, según constante jurisprudencia de este Tribunal, dando preferencia a aquéllas de las que podría derivarse una retroacción de actuaciones y, dentro de ellas, a las que, por determinar la retroacción a un momento anterior, hagan innecesario un pronunciamiento sobre las restantes (entre otras, SSTC 247/2004, de 20 de diciembre, FJ 2; 308/2005, de 12 de diciembre, FJ 3; 140/2006, de 8 de mayo, FJ 3; 156/2007, de 2 de julio, FJ 3; 121/2009, de 18 de mayo, FJ 2 y 142/2011, de 26 de septiembre, FJ 2), lo que conduce a examinar en primer lugar la vulneración del derecho de defensa, de los principios acusatorio y de contradicción en relación con el derecho a la tutela judicial efectiva y al derecho a un proceso público con todas las garantías.</w:t>
      </w:r>
    </w:p>
    <w:p w:rsidR="00D06117" w:rsidRDefault="00D06117" w:rsidP="00D06117">
      <w:pPr>
        <w:pStyle w:val="TextoNormal"/>
      </w:pPr>
    </w:p>
    <w:p w:rsidR="00D06117" w:rsidRDefault="00D06117" w:rsidP="00D06117">
      <w:pPr>
        <w:pStyle w:val="TextoNormal"/>
      </w:pPr>
      <w:r>
        <w:t>Considera el demandante que la providencia de 3 de marzo de 2009, por la que se fijaba la fecha de licenciamiento definitivo, se dictó sin que conste notificada la resolución que determinaba dar traslado a las partes de la propuesta de liquidación efectuada por el centro penitenciario, lo que a su juicio vulnera el principio acusatorio y el derecho a la defensa y a la contradicción en relación con el derecho a la tutela judicial efectiva y a un proceso público con todas las garantías (art. 24.1 y 2 CE).</w:t>
      </w:r>
    </w:p>
    <w:p w:rsidR="00D06117" w:rsidRDefault="00D06117" w:rsidP="00D06117">
      <w:pPr>
        <w:pStyle w:val="TextoNormal"/>
      </w:pPr>
    </w:p>
    <w:p w:rsidR="00D06117" w:rsidRDefault="00D06117" w:rsidP="00D06117">
      <w:pPr>
        <w:pStyle w:val="TextoNormal"/>
      </w:pPr>
      <w:r>
        <w:t>El Ministerio Fiscal afirma que el demandante no ha sufrido indefensión al haber podido sustentar sus alegaciones al interponer el recurso de súplica contra la providencia impugnada.</w:t>
      </w:r>
    </w:p>
    <w:p w:rsidR="00D06117" w:rsidRDefault="00D06117" w:rsidP="00D06117">
      <w:pPr>
        <w:pStyle w:val="TextoNormal"/>
      </w:pPr>
    </w:p>
    <w:p w:rsidR="00D06117" w:rsidRDefault="00D06117" w:rsidP="00D06117">
      <w:pPr>
        <w:pStyle w:val="TextoNormal"/>
      </w:pPr>
      <w:r>
        <w:t xml:space="preserve">La queja del demandante se debe reconducir al derecho a no sufrir indefensión, en tanto que el principio acusatorio se manifiesta en el deber de correlación entre la acusación y el </w:t>
      </w:r>
      <w:r>
        <w:lastRenderedPageBreak/>
        <w:t>fallo (STC 155/2009, de 25 de junio, FJ 6, citada por las SSTC 205/2009, de 23 de noviembre, FJ 3; 70/2010, de 18 de octubre, FJ 4 y 126/2010, 29 de noviembre, FJ 3), y por tanto, se proyecta en un momento anterior al de ejecución de la pena.</w:t>
      </w:r>
    </w:p>
    <w:p w:rsidR="00D06117" w:rsidRDefault="00D06117" w:rsidP="00D06117">
      <w:pPr>
        <w:pStyle w:val="TextoNormal"/>
      </w:pPr>
    </w:p>
    <w:p w:rsidR="00D06117" w:rsidRDefault="00D06117" w:rsidP="00D06117">
      <w:pPr>
        <w:pStyle w:val="TextoNormal"/>
      </w:pPr>
      <w:r>
        <w:t>Así encuadrada la queja debemos indicar que tempranamente este Tribunal tuvo ocasión de afirmar que “[e]l concepto jurídico-constitucional de indefensión que el art. 24 de la Constitución permite y obliga a construir, no tiene por qué coincidir enteramente con la figura jurídico-procesal de la indefensión. Ocurre así, porque como acertadamente ha sido dicho, la idea de indefensión no puede limitarse, restrictivamente, al ámbito de los que pueden plantearse en los litigios concretos, sino que ha de extenderse a la interpretación desde el punto de vista constitucional de las Leyes reguladoras de los procesos. Por esto, si bien el Derecho procesal, en aras de sus propias necesidades de estructuración de los procesos y para facilitar el automatismo y la tramitación de los procedimientos judiciales, presenta un contenido marcadamente formal y define la indefensión de un modo igualmente formal, a través, por ejemplo, de la falta del debido emplazamiento o de la falta de otorgamiento de concretos trámites o de concretos recursos, en el marco jurídico-constitucional no ocurre lo mismo. … La conclusión que hay que sacar de ello es doble: por una parte, que no toda infracción de normas procesales se convierte por sí sola en indefensión jurídico-constitucional y por ende en violación de lo ordenado por el art. 24 de la Constitución; y, por otra parte, que la calificación de la indefensión con relevancia jurídico-constitucional o con repercusión o trascendencia en el orden constitucional ha de llevarse a cabo con la introducción de factores diferentes del mero respeto —o, a la inversa, de la infracción de las normas procesales y del rigor formal del enjuiciamiento—. En el contexto del art. 24 de la Constitución la indefensión se caracteriza por suponer una privación o una limitación del derecho de defensa, que … si se produce en virtud de concretos actos de los órganos jurisdiccionales entraña mengua del derecho de intervenir en el proceso en el que se ventilan intereses concernientes al sujeto, …, así como del derecho de realizar los alegatos que se estimen pertinentes para sostener ante el Juez la situación que se cree preferible” (STC 48/1984, de 4 de abril, FJ 1). Este Tribunal también ha reiterado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 y que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5/2004, de 16 de enero, FJ 6; 141/2005, de 6 de junio, FJ 2;160/2009, de 29 de junio, FJ 4 y 12/2011, de 28 de febrero, FJ 5).</w:t>
      </w:r>
    </w:p>
    <w:p w:rsidR="00D06117" w:rsidRDefault="00D06117" w:rsidP="00D06117">
      <w:pPr>
        <w:pStyle w:val="TextoNormal"/>
      </w:pPr>
    </w:p>
    <w:p w:rsidR="00D06117" w:rsidRDefault="00D06117" w:rsidP="00D06117">
      <w:pPr>
        <w:pStyle w:val="TextoNormal"/>
      </w:pPr>
      <w:r>
        <w:t>Partiendo de la doctrina expuesta es oportuno señalar que la premisa en la que se apoya el demandante —esto es, la falta de traslado de la propuesta de liquidación antes de que se dictara la providencia impugnada—, aparece desvirtuada por la certificación del Secretario Judicial de la Sección Primera de la Sala de lo Penal de la Audiencia Nacional —que no aparece cuestionada por el demandante—, reproducida en la letra f) del antecedente se</w:t>
      </w:r>
      <w:r>
        <w:lastRenderedPageBreak/>
        <w:t>gundo. Por lo que puede afirmarse que la providencia acordando el traslado fue correctamente notificada a través del Colegio de Procuradores, pese a lo cual el recurrente no hizo uso de la facultad de emitir informe sobre la propuesta de liquidación. De modo que la ausencia de informe es atribuible a la pasividad del demandante, no comprendida —por tanto— por el contenido del derecho a no sufrir indefensión. Del mismo modo conviene tener presente que el demandante interpuso recurso de súplica frente a la providencia que determinaba la fecha de licenciamiento definitivo, por lo que no vio limitado su derecho de defensa, ni menoscabado el derecho de realizar los alegatos que estimó pertinentes para sostener ante el órgano jurisdiccional su pretensión.</w:t>
      </w:r>
    </w:p>
    <w:p w:rsidR="00D06117" w:rsidRDefault="00D06117" w:rsidP="00D06117">
      <w:pPr>
        <w:pStyle w:val="TextoNormal"/>
      </w:pPr>
    </w:p>
    <w:p w:rsidR="00D06117" w:rsidRDefault="00D06117" w:rsidP="00D06117">
      <w:pPr>
        <w:pStyle w:val="TextoNormal"/>
      </w:pPr>
      <w:r>
        <w:t>Por tales motivos la queja formulada tiene un carácter meramente formal y debe ser desestimada.</w:t>
      </w:r>
    </w:p>
    <w:p w:rsidR="00D06117" w:rsidRDefault="00D06117" w:rsidP="00D06117">
      <w:pPr>
        <w:pStyle w:val="TextoNormal"/>
      </w:pPr>
    </w:p>
    <w:p w:rsidR="00D06117" w:rsidRDefault="00D06117" w:rsidP="00D06117">
      <w:pPr>
        <w:pStyle w:val="TextoNormal"/>
      </w:pPr>
      <w:r w:rsidRPr="00D06117">
        <w:rPr>
          <w:rStyle w:val="NumeroAFNegritaCaracter"/>
        </w:rPr>
        <w:t>3</w:t>
      </w:r>
      <w:r>
        <w:t>. En el segundo y quinto motivo de amparo, tal y como se ha expuesto con mayor detalle en los antecedentes, se encuentran íntimamente vinculados, al invocar el demandante la vulneración del principio de legalidad (con cita de los arts. 9.3 y 25.1 y 2 CE). En el primer caso por la interpretación efectuada, por las resoluciones impugnadas, de los arts. 70.2 y 100 del Código penal (CP) de 1973, así como de los arts. 66 del reglamento de prisiones de 1956 y del art. 202 del reglamento penitenciario actual y en el segundo por entender que se aplica retroactivamente el art. 78 CP 1995, pese a tratarse de una norma penal desfavorable, en tanto que el Código penal de 1973 no contempla aplicar la redención sobre cada una de las penas.</w:t>
      </w:r>
    </w:p>
    <w:p w:rsidR="00D06117" w:rsidRDefault="00D06117" w:rsidP="00D06117">
      <w:pPr>
        <w:pStyle w:val="TextoNormal"/>
      </w:pPr>
    </w:p>
    <w:p w:rsidR="00D06117" w:rsidRDefault="00D06117" w:rsidP="00D06117">
      <w:pPr>
        <w:pStyle w:val="TextoNormal"/>
      </w:pPr>
      <w:r>
        <w:t>El Ministerio Fiscal descarta que se haya producido vulneración del principio de legalidad penal, en tanto que el principio de irretroactividad de las normas penales y restrictivas de derechos, no es invocable en amparo, a no ser que a través del mismo haya sido vulnerado alguno de los derechos fundamentales susceptibles de amparo (STC 237/1993, de 12 de julio). Y que la interpretación efectuada del art. 70.2 CP 1973 no supone una subsunción ajena al significado de los términos de la norma, añade que el principio de irretroactividad se establece respecto de las Leyes y no de las líneas jurisprudenciales.</w:t>
      </w:r>
    </w:p>
    <w:p w:rsidR="00D06117" w:rsidRDefault="00D06117" w:rsidP="00D06117">
      <w:pPr>
        <w:pStyle w:val="TextoNormal"/>
      </w:pPr>
    </w:p>
    <w:p w:rsidR="00D06117" w:rsidRDefault="00D06117" w:rsidP="00D06117">
      <w:pPr>
        <w:pStyle w:val="TextoNormal"/>
      </w:pPr>
      <w:r>
        <w:t xml:space="preserve">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w:t>
      </w:r>
      <w:r>
        <w:lastRenderedPageBreak/>
        <w:t>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Prescribiendo, en relación a supuestos de acumulación de varias penas especialmente graves la obligatoriedad de realizar ese cómputo referido a la totalidad de las penas impuestas; preceptividad que, sin embargo, admite algunas excepciones (art. 78.2 y 3 del Código penal actual). Pues bien,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las resoluciones impugnadas, dictadas por la Audiencia Nacional, se limitan a aplicar la doctrina sentada por otro órgano judicial, el Tribunal Supremo, máximo intérprete de la ley, justificando el cambio de criterio en el cómputo de las redenciones de penas por el trabajo, frente a otros supuestos resueltos con anterioridad, precisamente en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Por lo expuesto las vulneraciones invocadas deben ser desestimadas.</w:t>
      </w:r>
    </w:p>
    <w:p w:rsidR="00D06117" w:rsidRDefault="00D06117" w:rsidP="00D06117">
      <w:pPr>
        <w:pStyle w:val="TextoNormal"/>
      </w:pPr>
    </w:p>
    <w:p w:rsidR="00D06117" w:rsidRDefault="00D06117" w:rsidP="00D06117">
      <w:pPr>
        <w:pStyle w:val="TextoNormal"/>
      </w:pPr>
      <w:r w:rsidRPr="00D06117">
        <w:rPr>
          <w:rStyle w:val="NumeroAFNegritaCaracter"/>
        </w:rPr>
        <w:t>4</w:t>
      </w:r>
      <w:r>
        <w:t>. En el tercer y cuarto motivo de amparo —detalladamente expuesto en los antecedentes—, el demandante considera vulnerado el derecho a la tutela judicial efectiva (art. 24.1 CE), en su vertiente de intangibilidad de las resoluciones judiciales firmes, y en relación con los principios de legalidad y seguridad jurídica, proyectando dicho atributo sobre las expectativas en el acortamiento de la pena que generaron los sucesivos Autos de los Juzgados de Vigilancia Penitenciaria que aprobaban las concretas redenciones y el Auto de acumulación de condenas de 23 de junio de 1997, por aplicación de las redenciones de pena por el trabajo a la pena única de treinta años.</w:t>
      </w:r>
    </w:p>
    <w:p w:rsidR="00D06117" w:rsidRDefault="00D06117" w:rsidP="00D06117">
      <w:pPr>
        <w:pStyle w:val="TextoNormal"/>
      </w:pPr>
    </w:p>
    <w:p w:rsidR="00D06117" w:rsidRDefault="00D06117" w:rsidP="00D06117">
      <w:pPr>
        <w:pStyle w:val="TextoNormal"/>
      </w:pPr>
      <w:r>
        <w:t>El Ministerio Fiscal, como hemos adelantado anteriormente, entiende que dicha vulneración se ha producido respecto del Auto de 23 de junio de 1997, y en consecuencia solicita la anulación de las resoluciones impugnadas.</w:t>
      </w:r>
    </w:p>
    <w:p w:rsidR="00D06117" w:rsidRDefault="00D06117" w:rsidP="00D06117">
      <w:pPr>
        <w:pStyle w:val="TextoNormal"/>
      </w:pPr>
    </w:p>
    <w:p w:rsidR="00D06117" w:rsidRDefault="00D06117" w:rsidP="00D06117">
      <w:pPr>
        <w:pStyle w:val="TextoNormal"/>
      </w:pPr>
      <w:r>
        <w:t>Por tanto, nuestro examen se ha de limitar a la consideración de la respuesta judicial que se contiene en las resoluciones de la Audiencia Nacional recurridas, en las que se deniega la propuesta de licenciamiento definitivo del demandante de amparo, realizada por el centro penitenciario de León. No es, pues, objeto del presente recurso de amparo la Sentencia 197/2006, de 28 de febrero, ni la interpretación de la legalidad ordinaria en ella sentada por el Tribunal Supremo, en uso legítimo de la función que le atribuye en exclusiva la Constitución.</w:t>
      </w:r>
    </w:p>
    <w:p w:rsidR="00D06117" w:rsidRDefault="00D06117" w:rsidP="00D06117">
      <w:pPr>
        <w:pStyle w:val="TextoNormal"/>
      </w:pPr>
    </w:p>
    <w:p w:rsidR="00D06117" w:rsidRDefault="00D06117" w:rsidP="00D06117">
      <w:pPr>
        <w:pStyle w:val="TextoNormal"/>
      </w:pPr>
      <w:r>
        <w:t>En consecuencia, procede que analicemos el tercero de los motivos de amparo, en el que el recurrente denuncia la vulneración del derecho a la tutela judicial efectiva (art. 24.1 CE), en su vertiente de derecho a la intangibilidad de las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w:t>
      </w:r>
      <w:r>
        <w:lastRenderedPageBreak/>
        <w:t>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6</w:t>
      </w:r>
      <w:r>
        <w:t>. La aplicación de la doctrina que acaba de exponerse al presente caso nos obliga a tomar en consideración —como ponen de relieve tanto el recurrente como el Ministerio Fiscal— una serie de datos, expuestos en la demanda de amparo, como anteriormente ante la jurisdicción ordinaria, y que se constatan en el examen de las actuaciones recibidas.</w:t>
      </w:r>
    </w:p>
    <w:p w:rsidR="00D06117" w:rsidRDefault="00D06117" w:rsidP="00D06117">
      <w:pPr>
        <w:pStyle w:val="TextoNormal"/>
      </w:pPr>
    </w:p>
    <w:p w:rsidR="00D06117" w:rsidRDefault="00D06117" w:rsidP="00D06117">
      <w:pPr>
        <w:pStyle w:val="TextoNormal"/>
      </w:pPr>
      <w:r>
        <w:t>a) El demandante se encuentra cumpliendo condena por varias causas penales detalladas en el antecedente segundo. Por Auto de 23 de junio de 1997, las referidas penas fueron acumuladas en aplicación del art. 70.2 CP 1973, estableciéndose en dicha resolución como tiempo global de cumplimiento el de treinta años de privación de libertad.</w:t>
      </w:r>
    </w:p>
    <w:p w:rsidR="00D06117" w:rsidRDefault="00D06117" w:rsidP="00D06117">
      <w:pPr>
        <w:pStyle w:val="TextoNormal"/>
      </w:pPr>
    </w:p>
    <w:p w:rsidR="00D06117" w:rsidRDefault="00D06117" w:rsidP="00D06117">
      <w:pPr>
        <w:pStyle w:val="TextoNormal"/>
      </w:pPr>
      <w:r>
        <w:t>b) Tras la entrada en vigor del Código penal de 1995, de conformidad con lo establecido en las disposiciones transitorias primera, segunda, tercera y cuarta, se inició un procedimiento tendente a decidir si procedía o no la revisión de las condenas, por ser la ley posterior más favorable al reo.</w:t>
      </w:r>
    </w:p>
    <w:p w:rsidR="00D06117" w:rsidRDefault="00D06117" w:rsidP="00D06117">
      <w:pPr>
        <w:pStyle w:val="TextoNormal"/>
      </w:pPr>
    </w:p>
    <w:p w:rsidR="00D06117" w:rsidRDefault="00D06117" w:rsidP="00D06117">
      <w:pPr>
        <w:pStyle w:val="TextoNormal"/>
      </w:pPr>
      <w:r>
        <w:t>En concreto, la disposición transitoria tercera establece que los Directores de los establecimientos penitenciarios remitirán a los Jueces o Tribunales que estén conociendo de la ejecutoria “liquidación provisional de la pena en ejecución, señalando los días que el reo haya redimido por el trabajo y los que pueda redimir, en su caso, en el futuro conforme al artículo 100 del Código Penal que se deroga y disposiciones complementarias”.</w:t>
      </w:r>
    </w:p>
    <w:p w:rsidR="00D06117" w:rsidRDefault="00D06117" w:rsidP="00D06117">
      <w:pPr>
        <w:pStyle w:val="TextoNormal"/>
      </w:pPr>
    </w:p>
    <w:p w:rsidR="00D06117" w:rsidRDefault="00D06117" w:rsidP="00D06117">
      <w:pPr>
        <w:pStyle w:val="TextoNormal"/>
      </w:pPr>
      <w:r>
        <w:t>Mediante Auto de 23 de marzo de 1998 se acordó que no procedía la revisión de las penas, con la siguiente fundamentación:, “teniendo en cuenta las manifestaciones del Fiscal y del penado, contrarias a la revisión, y ponderando que aunque, con arreglo al nuevo Código, el límite de cumplimiento sería de 25 años de prisión por aplicación de su art. 76, 1, a), dado que ninguna de las penas imponibles a Igarataundi excedería de 20 años, según lo establecido en el art. 571, en relación con el 346, y en el 572, 1, 2, es más favorable, no obstante, el Código antiguo, en cuanto que permitirá al penado gozar de las redenciones posteriores al 25 de mayo de 1996” (folios 574 a 576).</w:t>
      </w:r>
    </w:p>
    <w:p w:rsidR="00D06117" w:rsidRDefault="00D06117" w:rsidP="00D06117">
      <w:pPr>
        <w:pStyle w:val="TextoNormal"/>
      </w:pPr>
    </w:p>
    <w:p w:rsidR="00D06117" w:rsidRDefault="00D06117" w:rsidP="00D06117">
      <w:pPr>
        <w:pStyle w:val="TextoNormal"/>
      </w:pPr>
      <w:r>
        <w:t>Dicho Auto devino firme al no ser recurrido.</w:t>
      </w:r>
    </w:p>
    <w:p w:rsidR="00D06117" w:rsidRDefault="00D06117" w:rsidP="00D06117">
      <w:pPr>
        <w:pStyle w:val="TextoNormal"/>
      </w:pPr>
    </w:p>
    <w:p w:rsidR="00D06117" w:rsidRDefault="00D06117" w:rsidP="00D06117">
      <w:pPr>
        <w:pStyle w:val="TextoNormal"/>
      </w:pPr>
      <w:r>
        <w:t>c) Desde la fecha en que fue dictado el Auto de 23 de marzo de 1998, no existe constancia en las actuaciones de ninguna decisión de los órganos judiciales o de la administración penitenciaria de la que pueda desprenderse otro criterio en el cómputo de las redenciones por el trabajo.</w:t>
      </w:r>
    </w:p>
    <w:p w:rsidR="00D06117" w:rsidRDefault="00D06117" w:rsidP="00D06117">
      <w:pPr>
        <w:pStyle w:val="TextoNormal"/>
      </w:pPr>
    </w:p>
    <w:p w:rsidR="00D06117" w:rsidRDefault="00D06117" w:rsidP="00D06117">
      <w:pPr>
        <w:pStyle w:val="TextoNormal"/>
      </w:pPr>
      <w:r>
        <w:t>El Director del centro penitenciario de León, mediante escrito registrado el 17 de febrero de 2009, efectuó la propuesta de licenciamiento definitivo, contemplando dos alternativas según la forma de cómputo de los días de redención reconocidos.</w:t>
      </w:r>
    </w:p>
    <w:p w:rsidR="00D06117" w:rsidRDefault="00D06117" w:rsidP="00D06117">
      <w:pPr>
        <w:pStyle w:val="TextoNormal"/>
      </w:pPr>
    </w:p>
    <w:p w:rsidR="00D06117" w:rsidRDefault="00D06117" w:rsidP="00D06117">
      <w:pPr>
        <w:pStyle w:val="TextoNormal"/>
      </w:pPr>
      <w:r>
        <w:t>d) La Sección Primera de la Sala de lo Penal de la Audiencia Nacional, dictó providencia, el 3 de marzo de 2009, fijando como fecha de licenciamiento definitivo el 6 de junio de 2017.</w:t>
      </w:r>
    </w:p>
    <w:p w:rsidR="00D06117" w:rsidRDefault="00D06117" w:rsidP="00D06117">
      <w:pPr>
        <w:pStyle w:val="TextoNormal"/>
      </w:pPr>
    </w:p>
    <w:p w:rsidR="00D06117" w:rsidRDefault="00D06117" w:rsidP="00D06117">
      <w:pPr>
        <w:pStyle w:val="TextoNormal"/>
      </w:pPr>
      <w:r w:rsidRPr="00D06117">
        <w:rPr>
          <w:rStyle w:val="NumeroAFNegritaCaracter"/>
        </w:rPr>
        <w:t>7</w:t>
      </w:r>
      <w:r>
        <w:t>. De la lectura de los datos que acaban de exponerse se desprende que, como sostiene el recurrente, a lo largo de toda la ejecutoria (desde que comenzó a redimir y hasta el dictado de la providencia de 3 de marzo de 2009), el cómputo de las redenciones de pena por trabajo se ha venido realizando sobre el límite máximo de cumplimiento de treinta años, del que se descontaban tanto los días de cumplimiento efectivo como los redimidos por trabajo, plasmándose dicho criterio en los cálculos periódicos elaborados por los centros penitenciarios, hasta llegar a la liquidación de condena sobre cuya base se realiza la propuesta de licenciamiento definitivo por el centro penitenciario de León.</w:t>
      </w:r>
    </w:p>
    <w:p w:rsidR="00D06117" w:rsidRDefault="00D06117" w:rsidP="00D06117">
      <w:pPr>
        <w:pStyle w:val="TextoNormal"/>
      </w:pPr>
    </w:p>
    <w:p w:rsidR="00D06117" w:rsidRDefault="00D06117" w:rsidP="00D06117">
      <w:pPr>
        <w:pStyle w:val="TextoNormal"/>
      </w:pPr>
      <w:r>
        <w:t>Ciertamente, las resoluciones de los Jueces de vigilancia penitenciaria, que reconocieron al penado los días de redención de pena por el trabajo,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y reconoce un determinado número de días redimidos que, posteriormente, el Tribunal sentenciador ha de computar en la liquidación de condena cuando la misma se produzca.</w:t>
      </w:r>
    </w:p>
    <w:p w:rsidR="00D06117" w:rsidRDefault="00D06117" w:rsidP="00D06117">
      <w:pPr>
        <w:pStyle w:val="TextoNormal"/>
      </w:pPr>
    </w:p>
    <w:p w:rsidR="00D06117" w:rsidRDefault="00D06117" w:rsidP="00D06117">
      <w:pPr>
        <w:pStyle w:val="TextoNormal"/>
      </w:pPr>
      <w:r>
        <w:t xml:space="preserve">Tampoco cabe atribuir tal efecto al Auto de 23 de junio de 1997. Este Auto se limita a acumular las condenas impuestas al recurrente, fijando como máximo de cumplimiento treinta años de privación de libertad, en aplicación de la regla segunda del art. 70 CP 1973. No existe en el mismo Auto referencia alguna a la redención de penas por el trabajo o al criterio de cómputo de las mismas, ni puede concluirse que dicho criterio sea determinante </w:t>
      </w:r>
      <w:r>
        <w:lastRenderedPageBreak/>
        <w:t>para la decisión que se adopta. Tan solo el límite máximo de cumplimiento devenía inmodificable y no podía ser alterado. Ahora bien, las resoluciones impugnadas no afectan al límite de cumplimiento establecido, que no aparece comprometido ni modificado por la fecha de licenciamiento definitivo que se acuerda para el demandante.</w:t>
      </w:r>
    </w:p>
    <w:p w:rsidR="00D06117" w:rsidRDefault="00D06117" w:rsidP="00D06117">
      <w:pPr>
        <w:pStyle w:val="TextoNormal"/>
      </w:pPr>
    </w:p>
    <w:p w:rsidR="00D06117" w:rsidRDefault="00D06117" w:rsidP="00D06117">
      <w:pPr>
        <w:pStyle w:val="TextoNormal"/>
      </w:pPr>
      <w:r>
        <w:t>Sin embargo, dicho criterio de cómputo sí se incorpora a una resolución judicial firme, el Auto de 23 de marzo de 1998, de forma decisiva para sustentar el sentido del fallo, en el que se acuerda que no procede la revisión de las penas tras la entrada en vigor del Código penal de 1995. Dicho Auto no se limitaba a comparar en abstracto los marcos punitivos aplicables, ni tampoco a posponer la decisión para un momento posterior, sino que vinculó la denegación de la revisión de las penas a la pérdida del derecho a obtener redenciones con posterioridad al 25 de mayo de 1996, lo que dijo expresamente, estableciéndola como determinarte para fijar la norma más favorable al demandante y ratio decidendi de la resolución adoptada. Esto es así en la medida en que es el criterio adoptado al elaborar la liquidación provisional de condena remitida por el centro penitenciario (cuyo contenido se incorpora a esta resolución y sirve de fundamento fáctico a la decisión) y porque sólo de ese modo puede entenderse más beneficioso —como hace el órgano judicial— el límite máximo de cumplimiento de treinta años previsto en el Código penal anterior frente al de veinticinco años establecido en el Código penal de 1995, y que hubiera resultado de aplicación al recurrente de no habérsele tenido en cuenta las redenciones de pena por trabajo. En efecto, de conformidad con lo establecido en el art. 76 CP 1995, el límite máximo de cumplimiento en este caso hubiera sido de veinticinco años, frente a los treinta años establecidos en el art. 70 CP 1973. Ahora bien, en la nueva regulación se eliminó la antigua institución de la redención de penas por el trabajo que había estado en vigor desde el Código penal de 1944, en los términos establecidos en el art. 100, hasta la entrada en vigor del Código penal de 1995. Y dado que el cómputo de las redenciones se efectuaba sobre ese límite máximo de treinta años, ello significaba una notable disminución del tiempo real de privación de libertad respecto de ese tope máximo. Esta es la lógica que el Auto incorpora a su decisión y lo que explica su afirmación de que el límite de cumplimiento de veinticinco años del nuevo Código penal no resultaría más beneficioso que el de treinta años resultante de la aplicación del Código penal anterior.</w:t>
      </w:r>
    </w:p>
    <w:p w:rsidR="00D06117" w:rsidRDefault="00D06117" w:rsidP="00D06117">
      <w:pPr>
        <w:pStyle w:val="TextoNormal"/>
      </w:pPr>
    </w:p>
    <w:p w:rsidR="00D06117" w:rsidRDefault="00D06117" w:rsidP="00D06117">
      <w:pPr>
        <w:pStyle w:val="TextoNormal"/>
      </w:pPr>
      <w:r>
        <w:t>El objeto del Auto de 23 de marzo de 1998 era la determinación de la ley aplicable al caso tras la entrada en vigor del Código penal de 1995, que había de ser la más favorable al reo, conforme a lo dispuesto en las disposiciones transitorias de dicho Código. Y el pronunciamiento judicial contenido en aquel fallo de 1998 establece que “no procede la revisión de las penas impuestas”. En las resoluciones recurridas en amparo no se replantea esta cuestión, ya que se ciñen a lo que era su objeto específico, el pronunciamiento sobre la aprobación de la liquidación de condena y el licenciamiento definitivo del penado, lo que rechazan en su fallo.</w:t>
      </w:r>
    </w:p>
    <w:p w:rsidR="00D06117" w:rsidRDefault="00D06117" w:rsidP="00D06117">
      <w:pPr>
        <w:pStyle w:val="TextoNormal"/>
      </w:pPr>
    </w:p>
    <w:p w:rsidR="00D06117" w:rsidRDefault="00D06117" w:rsidP="00D06117">
      <w:pPr>
        <w:pStyle w:val="TextoNormal"/>
      </w:pPr>
      <w:r>
        <w:t xml:space="preserve">Ahora bien, según se expuso anteriormente, la intangibilidad de lo decidido en una resolución judicial firme se proyecta al examen de las cuestiones que guardan con ella una relación de estricta dependencia, extendiéndose a aquellos extremos que constituyen su ratio decidendi y a los que, aun no constituyendo el objeto mismo del proceso, resultan determinantes o decisivos para la decisión adoptada. En el presente caso, puede afirmarse que el Auto de 23 de marzo de 1998 no sólo resuelve acerca de cuál es la ley aplicable ante la sucesión normativa generada por la entrada en vigor del nuevo Código penal, sino que al </w:t>
      </w:r>
      <w:r>
        <w:lastRenderedPageBreak/>
        <w:t>adoptar su decisión sobre la base de un determinado criterio de cómputo de las redenciones que resulta determinante para considerar más favorable el Código anterior (hasta el punto de que la aplicación del otro criterio posteriormente utilizado obligaría a modificar el sentido del fallo de esta resolución), está conformando la realidad jurídica relativa a la ejecución de la pena privativa de libertad y creando una situación jurídica consolidada no sólo respecto de la ley aplicable, sino también respecto del criterio de cómputo de las redenciones que sustenta su decisión. Un criterio conforme al cual ha venido ejecutándose la pena y cuya existencia no puede ser ignorada por el propio órgano judicial en decisiones posteriores, como las recurridas en amparo, sin hacer desaparecer la eficacia de su anterior resolución. En definitiva, aun siendo distinto su objeto, existe una estricta relación de dependencia entre lo resuelto por el citado Auto y las resoluciones recurridas en amparo, que impedía a éstas ignorar la realidad jurídica conformada por aquél en cuanto al criterio de cómputo de las redenciones, lo que nos conduce a afirmar que estas resoluciones desconocen la eficacia de lo resuelto con carácter firme e intangible por el Auto de 23 de marzo de 1998, vulnerando el derecho a la tutela judicial efectiva (art. 24.1 CE).</w:t>
      </w:r>
    </w:p>
    <w:p w:rsidR="00D06117" w:rsidRDefault="00D06117" w:rsidP="00D06117">
      <w:pPr>
        <w:pStyle w:val="TextoNormal"/>
      </w:pPr>
    </w:p>
    <w:p w:rsidR="00D06117" w:rsidRDefault="00D06117" w:rsidP="00D06117">
      <w:pPr>
        <w:pStyle w:val="TextoNormal"/>
      </w:pPr>
      <w:r>
        <w:t>Nada obsta a lo anterior el hecho de que el cambio de criterio de la Audiencia Nacional en marzo de 2009 frente a su anterior decisión firme adoptada en 1998, se funde en la aplicación de un nuevo criterio interpretativo sentado por el Tribunal Supremo pocas semanas antes, pues los cambios de criterio jurisprudencial no pueden poner en cuestión la firmeza de la resolución anterior, ni justificar el desconocimiento de su eficacia y la vulneración del derecho a la intangibilidad de la realidad jurídica conformada por ella (STC 219/2000, de 18 de septiembre, FFJJ 6 y 7), lo que debió haber sido tenido en cuenta por el órgano judicial a la hora de determinar el alcance, en el caso concreto, del citado cambio de criterio jurisprudencial.</w:t>
      </w:r>
    </w:p>
    <w:p w:rsidR="00D06117" w:rsidRDefault="00D06117" w:rsidP="00D06117">
      <w:pPr>
        <w:pStyle w:val="TextoNormal"/>
      </w:pPr>
    </w:p>
    <w:p w:rsidR="00D06117" w:rsidRDefault="00D06117" w:rsidP="00D06117">
      <w:pPr>
        <w:pStyle w:val="TextoNormal"/>
      </w:pPr>
      <w:r w:rsidRPr="00D06117">
        <w:rPr>
          <w:rStyle w:val="NumeroAFNegritaCaracter"/>
        </w:rPr>
        <w:t>8</w:t>
      </w:r>
      <w:r>
        <w:t>. Pero nuestro pronunciamiento no puede agotarse en la declaración de la anterior vulneración, sino que ha de tomar en consideración las consecuencias que la misma tiene desde la perspectiva del derecho a la libertad (art. 17.1 CE) en juego.</w:t>
      </w:r>
    </w:p>
    <w:p w:rsidR="00D06117" w:rsidRDefault="00D06117" w:rsidP="00D06117">
      <w:pPr>
        <w:pStyle w:val="TextoNormal"/>
      </w:pPr>
    </w:p>
    <w:p w:rsidR="00D06117" w:rsidRDefault="00D06117" w:rsidP="00D06117">
      <w:pPr>
        <w:pStyle w:val="TextoNormal"/>
      </w:pPr>
      <w:r>
        <w:t>En efecto, a partir de la firmeza de lo decidido en el Auto de 23 de marzo de 1998 (dictada por el órgano judicial encargado de la ejecutoria y a quien correspondía determinar cómo y cuándo se cumple y se extingue la pena) y de la situación jurídica consolidada por la citada resolución en cuanto al modo de cómputo de la redención de penas por el trabajo, la pena se ha venido ejecutando durante años sobre las bases tomadas en consideración en el mismo: aplicación del antiguo Código penal y de la redención de penas por el trabajo, que determina el abono de un día por cada dos de trabajo, y cómputo de los días redimidos como tiempo de cumplimiento efectivo, a descontar del máximo legal de treinta años resultante de la acumulación de condenas. Lo que se ha plasmado en actos inequívocos de la administración penitenciaria: las hojas de cálculo en las que se van realizando las liquidaciones provisionales de condena teniendo en cuenta los abonos derivados de la redención de penas por trabajo practicados periódicamente por el Juez de vigilancia penitenciaria a propuesta del centro penitenciario; y señaladamente la de fecha 17 de febrero de 2009, que sirve de base a la propuesta de licenciamiento definitivo del penado para el día 9 de abril de 2009 elevada al órgano judicial por el Director del centro penitenciario.</w:t>
      </w:r>
    </w:p>
    <w:p w:rsidR="00D06117" w:rsidRDefault="00D06117" w:rsidP="00D06117">
      <w:pPr>
        <w:pStyle w:val="TextoNormal"/>
      </w:pPr>
    </w:p>
    <w:p w:rsidR="00D06117" w:rsidRDefault="00D06117" w:rsidP="00D06117">
      <w:pPr>
        <w:pStyle w:val="TextoNormal"/>
      </w:pPr>
      <w:r>
        <w:t xml:space="preserve">En esa fecha, por tanto, en aplicación del marco legal existente en el momento de comisión del hecho delictivo y computando la redención de penas por el trabajo conforme al </w:t>
      </w:r>
      <w:r>
        <w:lastRenderedPageBreak/>
        <w:t>criterio firme e intangible establecido por el propio órgano judicial encargado de la ejecución, el recurrente había cumplido ya la pena que le fue impuesta. Por tanto, y aunque el recurrente fue privado legítimamente de libertad, una vez cumplida la pena en los términos anteriormente expuestos, nos encontramos ante una privación de libertad fuera de los casos previstos por la ley, pues el título que la legitimaba se ha extinguido. Por ello, el exceso de tiempo pasado en prisión constituye una privación de libertad carente de base legal y lesiva del derecho fundamental a la libertad consagrado en el art. 17.1 CE (STC 322/2005, de 12 de diciembre, FFJJ 2 y 3; STEDH de 10 de julio de 2003, Grava c. Italia §§ 44 y 45).</w:t>
      </w:r>
    </w:p>
    <w:p w:rsidR="00D06117" w:rsidRDefault="00D06117" w:rsidP="00D06117">
      <w:pPr>
        <w:pStyle w:val="TextoNormal"/>
      </w:pPr>
    </w:p>
    <w:p w:rsidR="00D06117" w:rsidRDefault="00D06117" w:rsidP="00D06117">
      <w:pPr>
        <w:pStyle w:val="TextoNormal"/>
      </w:pPr>
      <w:r>
        <w:t>En un Estado de Derecho no cabe prolongar la privación de libertad de una persona que ha cumplido ya la condena que se le impuso en su día, por lo que los órganos de la jurisdicción ordinaria han de adoptar, con la mayor celeridad posible, las resoluciones que procedan a fin de que cese la vulneración del derecho fundamental a la libertad y se proceda a la inmediata puesta en libertad del recurrente.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don Juan María Igarataundi Peñagaricano, y en su virtud:</w:t>
      </w:r>
    </w:p>
    <w:p w:rsidR="00D06117" w:rsidRDefault="00D06117" w:rsidP="00D06117">
      <w:pPr>
        <w:pStyle w:val="TextoNormal"/>
      </w:pPr>
    </w:p>
    <w:p w:rsidR="00D06117" w:rsidRDefault="00D06117" w:rsidP="00D06117">
      <w:pPr>
        <w:pStyle w:val="TextoNormal"/>
      </w:pPr>
      <w:r>
        <w:t>1º Declarar vulnerados los derechos del demandante de amparo a la tutela judicial efectiva (art. 24.1 CE) y a la libertad (art. 17.1 CE).</w:t>
      </w:r>
    </w:p>
    <w:p w:rsidR="00D06117" w:rsidRDefault="00D06117" w:rsidP="00D06117">
      <w:pPr>
        <w:pStyle w:val="TextoNormal"/>
      </w:pPr>
    </w:p>
    <w:p w:rsidR="00D06117" w:rsidRDefault="00D06117" w:rsidP="00D06117">
      <w:pPr>
        <w:pStyle w:val="TextoNormal"/>
      </w:pPr>
      <w:r>
        <w:t>2º Restablecerlo en su derecho y, a tal fin, anular la providencia de 3 de marzo de 2009 y el Auto de 1 de abril de 2009, dictados ambos por la Sección Primera de la Sala de lo Penal de la Audiencia Nacional, retrotrayendo las actuaciones al momento anterior al pronunciamiento de la primera de las resoluciones, para que se dicte la resolución que proceda en términos respetuosos con los citados derechos fundamentales, de conformidad con lo establecido en los fundamentos jurídicos 7 y 8.</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concurrente que formula la Magistrada doña Adela Asua Batarrita a la Sentencia dictada en el recurso de amparo núm. 4793-2009.</w:t>
      </w:r>
    </w:p>
    <w:p w:rsidR="00D06117" w:rsidRDefault="00D06117" w:rsidP="00D06117">
      <w:pPr>
        <w:pStyle w:val="TextoNormalNegritaCentrado"/>
        <w:keepNext/>
      </w:pPr>
    </w:p>
    <w:p w:rsidR="00D06117" w:rsidRDefault="00D06117" w:rsidP="00D06117">
      <w:pPr>
        <w:pStyle w:val="TextoNormal"/>
      </w:pPr>
      <w:r>
        <w:t xml:space="preserve">En ejercicio de la facultad que me confiere el art. 90.2 de la Ley Orgánica del Tribunal Constitucional y con pleno respeto a la opinión de la mayoría del Tribunal, presento Voto concurrente en el que comparto el fallo de la Sentencia dictada en el presente recurso de amparo, si bien discrepo de la fundamentación que conduce a rechazar alguna de las quejas </w:t>
      </w:r>
      <w:r>
        <w:lastRenderedPageBreak/>
        <w:t>planteadas por el recurrente en amparo, por lo cual en relación a tales discrepancias me remito a mi Voto también concurrente que formulé a la Sentencia dictada en el recurso de amparo núm. 4893-2006.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concurrente que formula el Magistrado don Luis Ignacio Ortega Álvarez a la Sentencia dictada en el recurso de amparo núm. 4793-2009.</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presento Voto concurrente en el que comparto el fallo de la Sentencia dictada en el presente recurso de amparo, si bien discrepo de la fundamentación que conduce a rechazar alguna de las quejas planteadas por el recurrente en amparo, por lo cual en relación a tales discrepancias me remito al Voto particular que formuló la Magistrada doña Adela Asua Batarrita a la Sentencia dictada en el recurso de amparo núm. 4893-2006, al que me he adherido.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1" w:name="SENTENCIA_2012_58"/>
      <w:r>
        <w:lastRenderedPageBreak/>
        <w:t>SENTENCIA 58/2012, de 29 de marzo de 2012</w:t>
      </w:r>
    </w:p>
    <w:bookmarkEnd w:id="61"/>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ECLI:ES:TC:2012:58</w:t>
      </w:r>
    </w:p>
    <w:p w:rsidR="00D06117" w:rsidRDefault="00D06117" w:rsidP="00D06117">
      <w:pPr>
        <w:pStyle w:val="SntesisDescriptiva"/>
      </w:pPr>
    </w:p>
    <w:p w:rsidR="00D06117" w:rsidRDefault="00D06117" w:rsidP="00D06117">
      <w:pPr>
        <w:pStyle w:val="SntesisDescriptiva"/>
      </w:pPr>
      <w:r>
        <w:t>Recurso de amparo 4795-2009. Promovido por don Miguel Turrientes Ramírez con respecto a las resoluciones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w:t>
      </w:r>
    </w:p>
    <w:p w:rsidR="00D06117" w:rsidRDefault="00D06117" w:rsidP="00D06117">
      <w:pPr>
        <w:pStyle w:val="SntesisAnaltica"/>
      </w:pPr>
    </w:p>
    <w:p w:rsidR="00D06117" w:rsidRDefault="00D06117" w:rsidP="00D06117">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[FJ 3].</w:t>
      </w:r>
    </w:p>
    <w:p w:rsidR="00D06117" w:rsidRDefault="00D06117" w:rsidP="00D06117">
      <w:pPr>
        <w:pStyle w:val="Extracto"/>
      </w:pPr>
    </w:p>
    <w:p w:rsidR="00D06117" w:rsidRDefault="00D06117" w:rsidP="00D06117">
      <w:pPr>
        <w:pStyle w:val="Extracto"/>
      </w:pPr>
      <w:r>
        <w:t>2.</w:t>
      </w:r>
      <w:r>
        <w:tab/>
        <w:t xml:space="preserve">La exigencia de agotamiento de la vía judicial previa tiene por objeto preservar el carácter subsidiario del recurso de amparo, evitando que el acceso a esta jurisdicción constitucional se produzca </w:t>
      </w:r>
      <w:r w:rsidRPr="00D06117">
        <w:rPr>
          <w:i/>
        </w:rPr>
        <w:t>per saltum</w:t>
      </w:r>
      <w:r>
        <w:t>, esto es, sin dar oportunidad a los órganos judiciales de pronunciarse y, en definitiva, remediar la lesión que luego se invoca como fundamento del recurso de amparo (SSTC 8/1993, 174/2011) [FJ 2].</w:t>
      </w:r>
    </w:p>
    <w:p w:rsidR="00D06117" w:rsidRDefault="00D06117" w:rsidP="00D06117">
      <w:pPr>
        <w:pStyle w:val="Extracto"/>
      </w:pPr>
    </w:p>
    <w:p w:rsidR="00D06117" w:rsidRDefault="00D06117" w:rsidP="00D06117">
      <w:pPr>
        <w:pStyle w:val="Extracto"/>
      </w:pPr>
      <w:r>
        <w:t>3.</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4795-2009, promovido por don Miguel Turrientes Ramírez, representado por el Procurador de los Tribunales don José Javier Cuevas Rivas y asistido por la Abogada doña Ainhoa Baglietto contra el Auto de la Sección Segunda de la Sala de lo Penal de la Audiencia Nacional, de 23 de marzo de 2009, dictado en la ejecutoria 8-1989 (correspondiente al sumario 16-1986 del Juzgado Central de Instrucción núm. 5), por el que se aprueba su licenciamiento definitivo, así como contra el Auto de 7 de abril siguiente por el que se desestimó el recurso de súplica deducido contra el primero. Ha intervenido el Ministerio Fiscal. Ha sido Ponente el Magistrado don Francisco Pérez de los Cobos y Orihuel,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Decanato de los Juzgados de Madrid el 19 de mayo de 2009 y que ingresó en el Registro General de este Tribunal el día 22 siguiente, el Procurador de los Tribunales don José Javier Cuevas Rivas, en representación de don Miguel Turrientes Ramírez, formuló demanda de amparo contra las resoluciones judiciales a las que se ha hecho referencia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de los que trae causa la presente demanda de amparo son, sucintamente expuestos, los siguientes:</w:t>
      </w:r>
    </w:p>
    <w:p w:rsidR="00D06117" w:rsidRDefault="00D06117" w:rsidP="00D06117">
      <w:pPr>
        <w:pStyle w:val="TextoNormal"/>
      </w:pPr>
    </w:p>
    <w:p w:rsidR="00D06117" w:rsidRDefault="00D06117" w:rsidP="00D06117">
      <w:pPr>
        <w:pStyle w:val="TextoNormal"/>
      </w:pPr>
      <w:r>
        <w:t>a) El señor Turrientes Ramírez fue condenado por la Sección Segunda de la Sala de lo Penal de la Audiencia Nacional, mediante Sentencia de 30 de septiembre de 1988, por un delito de asesinato, a la pena de veintinueve años de reclusión mayor; por la Sección Tercera de dicho órgano judicial, mediante Sentencia de 18 de febrero de 1988, por delito de estragos, a la pena de siete años de prisión mayor; y por Sentencia de 11 de marzo de 1988, dictada por la misma Sección, por delito de pertenencia a banda armada, a la pena de siete años de prisión mayor y multa; por delito de depósito de armas de guerra, a la pena de seis años y un día de prisión mayor; y por un delito de tenencia de explosivos, a la pena de seis años y un día de prisión mayor.</w:t>
      </w:r>
    </w:p>
    <w:p w:rsidR="00D06117" w:rsidRDefault="00D06117" w:rsidP="00D06117">
      <w:pPr>
        <w:pStyle w:val="TextoNormal"/>
      </w:pPr>
    </w:p>
    <w:p w:rsidR="00D06117" w:rsidRDefault="00D06117" w:rsidP="00D06117">
      <w:pPr>
        <w:pStyle w:val="TextoNormal"/>
      </w:pPr>
      <w:r>
        <w:t>b) Por Auto de 27 de mayo de 1998, dictado por la Sección Segunda de la Sala de lo Penal de la Audiencia Nacional en la causa 16-1986 del Juzgado Central de Instrucción núm. 5, se acordó la refundición de diversas condenas que habían sido impuestas al demandante de amparo, señalándose el límite de treinta años en aplicación de la regla segunda del art. 70 del Código penal (CP) de 1973.</w:t>
      </w:r>
    </w:p>
    <w:p w:rsidR="00D06117" w:rsidRDefault="00D06117" w:rsidP="00D06117">
      <w:pPr>
        <w:pStyle w:val="TextoNormal"/>
      </w:pPr>
    </w:p>
    <w:p w:rsidR="00D06117" w:rsidRDefault="00D06117" w:rsidP="00D06117">
      <w:pPr>
        <w:pStyle w:val="TextoNormal"/>
      </w:pPr>
      <w:r>
        <w:t>De conformidad con ello se practicó liquidación de condena en la que, con abono de la prisión provisional sufrida, se fijó como fecha de cumplimiento el 19 de diciembre de 2010. Previo dictamen favorable del Ministerio Fiscal la liquidación fue aprobada por providencia de 18 de junio de 1998, dictada por la propia Sección.</w:t>
      </w:r>
    </w:p>
    <w:p w:rsidR="00D06117" w:rsidRDefault="00D06117" w:rsidP="00D06117">
      <w:pPr>
        <w:pStyle w:val="TextoNormal"/>
      </w:pPr>
    </w:p>
    <w:p w:rsidR="00D06117" w:rsidRDefault="00D06117" w:rsidP="00D06117">
      <w:pPr>
        <w:pStyle w:val="TextoNormal"/>
      </w:pPr>
      <w:r>
        <w:t xml:space="preserve">c) El 1 de diciembre de 2008, el centro penitenciario en el que el demandante de amparo se encontraba cumpliendo condena remitió oficio a la Audiencia Nacional consultando si </w:t>
      </w:r>
      <w:r>
        <w:lastRenderedPageBreak/>
        <w:t>era de aplicación la STS 197/2006 y proponiendo diversas opciones de liquidación de condena: una fijando el cumplimiento el día 10 de abril de 2009 por aplicación de los beneficios penitenciarios sobre una pena de treinta años resultante de la acumulación efectuada mediante Auto de 27 de mayo de 1998; una segunda en la que se establecía el día 30 de abril de 2034 como fecha de cumplimiento sobre la base de computar las redenciones aprobadas sobre el total de la suma de las condenas impuestas; y, finalmente, una tercera en la que, tomando en cuenta el límite de treinta años de cumplimiento, se fijaba como fecha de la extinción de la condena el día 19 de diciembre de 2016, esto es, el mismo que en la inicial liquidación de condena.</w:t>
      </w:r>
    </w:p>
    <w:p w:rsidR="00D06117" w:rsidRDefault="00D06117" w:rsidP="00D06117">
      <w:pPr>
        <w:pStyle w:val="TextoNormal"/>
      </w:pPr>
    </w:p>
    <w:p w:rsidR="00D06117" w:rsidRDefault="00D06117" w:rsidP="00D06117">
      <w:pPr>
        <w:pStyle w:val="TextoNormal"/>
      </w:pPr>
      <w:r>
        <w:t>d) Mediante Auto de 23 de marzo de 2009, el órgano judicial acordó aplicar los criterios sentados por la Sentencia del Pleno de la Sala Segunda del Tribunal Supremo 197/2006, de 28 de febrero, fijando la fecha de cumplimiento el día 19 de diciembre de 2016, decisión que fue confirmada por Auto de 7 de abril de 2009, desestimatorio del recurso de súplica deducido contra el anterior.</w:t>
      </w:r>
    </w:p>
    <w:p w:rsidR="00D06117" w:rsidRDefault="00D06117" w:rsidP="00D06117">
      <w:pPr>
        <w:pStyle w:val="TextoNormal"/>
      </w:pPr>
    </w:p>
    <w:p w:rsidR="00D06117" w:rsidRDefault="00D06117" w:rsidP="00D06117">
      <w:pPr>
        <w:pStyle w:val="TextoNormal"/>
      </w:pPr>
      <w:r w:rsidRPr="00D06117">
        <w:rPr>
          <w:rStyle w:val="NumeroAFNegritaCaracter"/>
        </w:rPr>
        <w:t>3</w:t>
      </w:r>
      <w:r>
        <w:t>. a) El demandante de amparo aduce en primer término que las resoluciones impugnadas vulneraron su derecho a la tutela judicial efectiva y a un proceso con todas las garantías (art. 24.1 y 2 CE) en relación con los arts. 13 del Convenio europeo para la protección de los derechos humanos y de las libertades fundamentales (CEDH) y 14.5 del Pacto internacional de derechos civiles y políticos (PIDCP), pues la aplicación del criterio sentado por la STS 197/2006 en relación con el sistema de cómputo de las redenciones de penas en los supuestos de acumulación de condenas se realiza a un caso que, como el suyo, no guarda identidad con el resuelto en su momento por el Tribunal Supremo. El caso abordado en la indicada Sentencia del Tribunal Supremo fue un caso de impugnación de la refundición de condenas en el que se aborda el modo de computarse las redenciones, mientras que en el presente supuesto ya se había fijado el límite de cumplimiento en treinta años, de modo que sobre este límite debían aplicarse las redenciones. Así pues la Audiencia Nacional ha aplicado una Sentencia del Tribunal Supremo a un caso no aplicable y, dadas las restricciones que tiene el recurso de amparo, no ha podido someter el criterio aplicado a un órgano superior, viéndose privado así de la garantía de la doble instancia a que se refieren los preceptos aludidos.</w:t>
      </w:r>
    </w:p>
    <w:p w:rsidR="00D06117" w:rsidRDefault="00D06117" w:rsidP="00D06117">
      <w:pPr>
        <w:pStyle w:val="TextoNormal"/>
      </w:pPr>
    </w:p>
    <w:p w:rsidR="00D06117" w:rsidRDefault="00D06117" w:rsidP="00D06117">
      <w:pPr>
        <w:pStyle w:val="TextoNormal"/>
      </w:pPr>
      <w:r>
        <w:t>b) En un segundo motivo de amparo, se aduce la vulneración del principio de legalidad (art. 25.1, en relación con el art. 9.1, y art. 25.2 CE), en relación con la interpretación de los arts. 70.2 y 100 CP 1973, así como de los arts.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 xml:space="preserve">Entiende el recurrente que, sin entrar a discutir si el límite del art. 70.2 CP es o no una nueva pena, a la vista del tenor literal del art. 100 CP 1973 (“se le abonará para su cumplimiento” y aplicable “a efectos de liquidación de condena”) y teniendo en cuenta que la </w:t>
      </w:r>
      <w:r>
        <w:lastRenderedPageBreak/>
        <w:t>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ahí que el 10 de abril de 2009 se completasen 8.140 días de internamiento efectivo que, añadidos los 2.492 días de redención ordinaria y los 318 de extraordinaria, harían un total de 10.950 días efectivos, esto es, de los treinta años fijados como límite de cumplimiento conforme al Código penal de 1973.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c) Como tercer motivo de amparo, se denuncia la vulneración del derecho a la tutela judicial efectiva (art. 24.1 CE), en relación con el derecho a la libertad (art. 17.1 CE). Sostiene la demanda que la nueva interpretación del cómputo de las redenciones sobre la totalidad de la condena le genera indefensión e inseguridad jurídica, puesto que con las redenciones aprobadas por los Juzgados de Vigilancia Penitenciaria, intangibles y firmes, aplicadas —como se venía haciendo— al tope de treinta años, el recurrente habría cumplido ya su condena y podría obtener el licenciamiento definitivo. El trabajo y los estudios en la prisión se realizaron en la confianza de que las redenciones así obtenidas implicarían un acortamiento del tiempo de permanencia en prisión, habiéndose generado una expectativa de dicho acortamiento, sobre la base de la actuación de los órganos judiciales hasta el momento y de las propuestas de los centros penitenciarios, pues todas las liquidaciones de condena se habían realizado conforme a la doctrina anterior y el interno siguió trabajando en la confianza de que se le aplicarían las redenciones, como en el caso de la STC 76/2004. La defraudación de esa expectativa con la nueva doctrina aplicada vulnera el derecho a la tutela judicial efectiva, en relación con el derecho a la libertad, que implica un deber reforzado de motivación. Citando la STC 174/1989, se afirma que se lesiona el art. 24.1 CE, en su vertiente de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Añade en el motivo cuarto de la demanda de amparo que en el concreto caso del demandante no existía sólo una expectativa de reducción de la condena sino una resolución firme por la que se acumulaban todas las condenas en una única de treinta años a la que deberían aplicarse las redenciones, criterio modificado por las resoluciones impugnadas y en otras del propio órgano judicial.</w:t>
      </w:r>
    </w:p>
    <w:p w:rsidR="00D06117" w:rsidRDefault="00D06117" w:rsidP="00D06117">
      <w:pPr>
        <w:pStyle w:val="TextoNormal"/>
      </w:pPr>
    </w:p>
    <w:p w:rsidR="00D06117" w:rsidRDefault="00D06117" w:rsidP="00D06117">
      <w:pPr>
        <w:pStyle w:val="TextoNormal"/>
      </w:pPr>
      <w:r>
        <w:t xml:space="preserve">d) En el quinto motivo de amparo se considera vulnerado el principio de legalidad (art. 25.1 y 9.3 CE), por aplicación retroactiva de ley desfavorable. Con esta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segunda del Código penal actual establece la necesidad de tener en cuenta no sólo la pena correspondiente, sino también las disposiciones sobre redenciones por el trabajo a la hora </w:t>
      </w:r>
      <w:r>
        <w:lastRenderedPageBreak/>
        <w:t>de establecer la ley más favorable derivada de la sucesión normativa, lo que hace evidente que el Código penal de 1973 no contempla la aplicación de las redenciones a la totalidad de las condenas, una previsión que sí realiza el art. 78 CP 1995 y que es desfavorable. También se destaca que las modificaciones legales en esta materia se realizaron, como se pone de relieve en las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 Como sexto motivo del recurso,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 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quiénes son los sujetos pasivos a los que afecta y por las circunstancias en que se adopta la decisión y, por tanto, un cambio de criterio ad personam constitucionalmente vedado.</w:t>
      </w:r>
    </w:p>
    <w:p w:rsidR="00D06117" w:rsidRDefault="00D06117" w:rsidP="00D06117">
      <w:pPr>
        <w:pStyle w:val="TextoNormal"/>
      </w:pPr>
    </w:p>
    <w:p w:rsidR="00D06117" w:rsidRDefault="00D06117" w:rsidP="00D06117">
      <w:pPr>
        <w:pStyle w:val="TextoNormal"/>
      </w:pPr>
      <w:r>
        <w:t>También se señala que en la misma ejecutoria penal se concedió la libertad condicional al penado don José Antonio Carrasco operando sobre una pena de treinta años producto de la acumulación de otras impuestas al penado. El 14 de octubre de 2008 (esto es, con posterioridad a haberse dictado la STS 197/2006), la misma Sección Segunda de la Audiencia Nacional aprobó el licenciamiento definitivo del indicado penado aplicando los beneficios penitenciarios sobre la pena de treinta años de conformidad con el art. 70.2 CP 1973. Es decir, en aplicación del anterior criterio cuya aplicación se niega al recurrente, todo lo cual supone la aplicación de ley de forma diferente y discriminatoria.</w:t>
      </w:r>
    </w:p>
    <w:p w:rsidR="00D06117" w:rsidRDefault="00D06117" w:rsidP="00D06117">
      <w:pPr>
        <w:pStyle w:val="TextoNormal"/>
      </w:pPr>
    </w:p>
    <w:p w:rsidR="00D06117" w:rsidRDefault="00D06117" w:rsidP="00D06117">
      <w:pPr>
        <w:pStyle w:val="TextoNormal"/>
      </w:pPr>
      <w:r>
        <w:t xml:space="preserve">f) En el séptimo motivo de amparo se alega la vulneración del derecho a la libertad (art. 17.1 CE). Tras poner de relieve que, conforme a la jurisprudencia de este Tribunal, la redención de penas por el trabajo afecta al derecho a la libertad (SSTC 31/1999,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En el presente supuesto el demandante había cumplido los treinta años de condena el 10 de abril de 2009 conforme a la primera de las liquidaciones elaboradas </w:t>
      </w:r>
      <w:r>
        <w:lastRenderedPageBreak/>
        <w:t>por el centro penitenciario con arreglo al sistema tradicional de cómputo, razón por la cual los autos impugnados, en cuanto atienden al sistema introducido mediante la STS 197/2006, violan los arts. 17 CE, 7.1 CEDH 15.1 PIDCP.</w:t>
      </w:r>
    </w:p>
    <w:p w:rsidR="00D06117" w:rsidRDefault="00D06117" w:rsidP="00D06117">
      <w:pPr>
        <w:pStyle w:val="TextoNormal"/>
      </w:pPr>
    </w:p>
    <w:p w:rsidR="00D06117" w:rsidRDefault="00D06117" w:rsidP="00D06117">
      <w:pPr>
        <w:pStyle w:val="TextoNormal"/>
      </w:pPr>
      <w:r>
        <w:t>g) 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obtenida por el demandante,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19 de mayo de 2011 la Sala Segunda del Tribunal Constitucional acordó conocer del presente recurso de amparo y admitir a trámite la demanda presentada por el Procurador don Javier Cuevas Rivas, en nombre y representación de don Miguel Turrientes Ramírez, contra el Auto 7 de abril de 2009, dictado por la Sección Segunda de la Sala de lo Penal de la Audiencia Nacional. Asimismo se acordó dirigir comunicación al indicado órgano judicial para que en el plazo de diez días remitieran certificación o fotocopia adverada de las actuaciones correspondientes a la ejecutoria núm. 8-1989, con emplazamiento de quienes hubieran sido parte en el procedimiento, excepción hecha del recurrente en amparo, para que en el plazo de diez días pudieran comparecer en el presente recurso.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1 de septiembre de 2011, la Sala Segunda de este Tribunal acordó, de conformidad con lo dispuesto por el art. 52.1 de la Ley Orgánica del Tribunal Constitucional, dar vista de las actuaciones a las partes personadas y al Ministerio Fiscal por plazo común de veinte días para formular las alegaciones que estimasen oportunas.</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presentado en el Registro General de este Tribunal el día 30 de septiembre del 2011, el demandante formuló alegaciones abundando en la argumentación vertida en la demanda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formuló alegaciones mediante escrito presentado el día 11 de octubre de 2011. Tras recordar el iter procesal que condujo al dictado de las resoluciones judiciales frente a las que se demanda amparo analiza cada una de las vulneraciones de derechos fundamentales aducidas en la demanda. Considera en primer término que ha de rechazarse la alegada vulneración del derecho al carácter rehabilitador de la pena a que se refiere el art. 25.2 CE, pues es doctrina constitucional constante que el indicado precepto no contiene un derecho fundamental del ciudadano susceptible de invocación en amparo, sino tan sólo un mandato dirigido al legislador para orientar su política penal. Y además el demandante cuestiona la interpretación de los preceptos legales y reglamentarios aplicados por el órgano judicial, de suerte que la alegación se subsume en la referida a la vulneración del derecho a la legalidad penal.</w:t>
      </w:r>
    </w:p>
    <w:p w:rsidR="00D06117" w:rsidRDefault="00D06117" w:rsidP="00D06117">
      <w:pPr>
        <w:pStyle w:val="TextoNormal"/>
      </w:pPr>
    </w:p>
    <w:p w:rsidR="00D06117" w:rsidRDefault="00D06117" w:rsidP="00D06117">
      <w:pPr>
        <w:pStyle w:val="TextoNormal"/>
      </w:pPr>
      <w:r>
        <w:t xml:space="preserve">En segundo término rechaza también que se vulnerase el principio de legalidad penal conectado con la irretroactividad de las normas penales, pues el órgano judicial no ha aplicado retroactivamente las normas contenidas en el art. 76 CP 1995, sino que ha efectuado </w:t>
      </w:r>
      <w:r>
        <w:lastRenderedPageBreak/>
        <w:t>una interpretación del art. 70.2 CP 1973 con la se podrá estar de acuerdo o no, pero el precepto aplicado ha sido siempre el últimamente citado. Por lo demás la interpretación del precepto legal aplicado, en exégesis derivada de la STS 197/2006, de 28 de febrero, no es ni ajena al tenor literal de la norma, ni se basa en una argumentación ilógica, extravagante o ajena a los criterios que informan nuestro Ordenamiento, ni, finalmente conduce a resultados opuestos a su orientación material, tal como exige la doctrina constitucional para apreciar vulneración del principio de legalidad penal. A lo que añade que la desestimación de la queja relativa al principio de legalidad penal conlleva la que denuncia vulneración del derecho a la libertad personal en la medida en que en el razonamiento de la demanda se anudan entre sí.</w:t>
      </w:r>
    </w:p>
    <w:p w:rsidR="00D06117" w:rsidRDefault="00D06117" w:rsidP="00D06117">
      <w:pPr>
        <w:pStyle w:val="TextoNormal"/>
      </w:pPr>
    </w:p>
    <w:p w:rsidR="00D06117" w:rsidRDefault="00D06117" w:rsidP="00D06117">
      <w:pPr>
        <w:pStyle w:val="TextoNormal"/>
      </w:pPr>
      <w:r>
        <w:t>En lo que atañe a la quiebra de la igualdad en la aplicación de la ley el Ministerio Fiscal, admitiendo que las resoluciones judiciales con las que se efectúa la comparación proceden del mismo órgano judicial (incluso de la misma ejecutoria penal) y que en ambos casos se produjo la refundición de condenas, advierte que en el caso comparado se trataba de un condenado que se encontraba ya en libertad condicional, razón por la cual el órgano judicial entendió que no le era de aplicación la doctrina sentada por la STS 197/2006. De ahí que en opinión del Ministerio Fiscal las situaciones resueltas no son equiparables y que ello deba conducir a rechazar la queja.</w:t>
      </w:r>
    </w:p>
    <w:p w:rsidR="00D06117" w:rsidRDefault="00D06117" w:rsidP="00D06117">
      <w:pPr>
        <w:pStyle w:val="TextoNormal"/>
      </w:pPr>
    </w:p>
    <w:p w:rsidR="00D06117" w:rsidRDefault="00D06117" w:rsidP="00D06117">
      <w:pPr>
        <w:pStyle w:val="TextoNormal"/>
      </w:pPr>
      <w:r>
        <w:t>Tampoco merecen ser acogidas, según el Fiscal, las denuncias de vulneración del derecho a la libertad personal (art. 17 CE) en cuanto aparecen necesaria e indisolublemente unidas a las vulneraciones de derechos que previamente descarta el propio Fiscal. Y la misma suerte propugna para la aducida vulneración del derecho a la defensa —art. 24.1 CE— y a un proceso con todas las garantías —art. 24.2 CE—, en relación con los arts. 13 CEDH y 14.5 PIDCP, pues las resoluciones judiciales impugnadas contienen una motivación precisa por medio de la recepción de la doctrina sentada al respecto por el Tribunal Supremo, doctrina de la que es legítimo discrepar pero que no puede significar, como pretende el recurrente, que haya existido vulneración del derecho a la defensa o al recurso como se alega en el correspondiente motivo.</w:t>
      </w:r>
    </w:p>
    <w:p w:rsidR="00D06117" w:rsidRDefault="00D06117" w:rsidP="00D06117">
      <w:pPr>
        <w:pStyle w:val="TextoNormal"/>
      </w:pPr>
    </w:p>
    <w:p w:rsidR="00D06117" w:rsidRDefault="00D06117" w:rsidP="00D06117">
      <w:pPr>
        <w:pStyle w:val="TextoNormal"/>
      </w:pPr>
      <w:r>
        <w:t xml:space="preserve">Por el contrario considera que sí ha de estimarse el amparo por vulneración del derecho a la tutela judicial efectiva —art. 24.1 CE— en la vertiente que atiende a la intangibilidad de las resoluciones judiciales firmes. Entiende el Fiscal que el Auto de 27 de mayo de 1998, por el que se refundieron las condenas impuestas al demandante, fijó el criterio para la ejecución de la condena operando una interpretación concreta de la normativa en juego, y muy particularmente de la refundición de condenas, que se ha visto modificado por las resoluciones frente a las que se demanda amparo en atención a una nueva interpretación emanada de una decisión de la Sala Segunda del Tribunal Supremo. Ello comporta la vulneración del derecho a la intangibilidad de las resoluciones judiciales ex art. 24.1 CE (por todas, STC 209/2005, de 4 de julio). Afirma que en el caso de autos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desfavorable, que supone de facto la creación ex novo de un nuevo marco paranormativo que ha causado una extensión de la fecha de licenciamiento del interno, y una revisión en la aplicación de los beneficios de la redención </w:t>
      </w:r>
      <w:r>
        <w:lastRenderedPageBreak/>
        <w:t>de penas. A esas dos vulneraciones debe conectarse y adicionarse la consecuencia inexcusable de ellas, la vulneración del derecho a la libertad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Consecuentemente con lo anterior el Ministerio Fiscal interesa la estimación del amparo por vulneración del derecho a la intangibilidad de las resoluciones judiciales (art. 24.1 CE), en relación con el principio de legalidad penal en relación con la irretroactividad de lo desfavorable para el reo (art. 25.1 en conexión con el art. 9.3 CE) y del derecho a la libertad personal (art. 17. 1 CE). “La liquidación de condena y la fecha de licenciamiento definitivo del reo debe quedar fijada de conformidad con el canon interpretativo que en su momento fijara el Auto de 17 de julio de 2000 y conforme con los criterios del art. 70.2 CP.”</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17 de enero de 2012, a propuesta de la Sala Segunda, el Pleno del Tribunal acordó recabar para sí el conocimiento del presente recurso de amparo de conformidad con lo dispuesto en el art. 10.1 n) de la Ley Orgánica del Tribunal Constitucional.</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del 26 de marzo de 2012 se señaló, para deliberación y votación de la presente Sentencia, el 29 de dicho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acto del poder público frente al que se demanda amparo es el Auto de 23 de marzo de 2009, por el que la Sección Segunda de la Sala de lo Penal de la Audiencia Nacional fijó la fecha del licenciamiento definitivo del demandante, interno en centro penitenciario en calidad de penado, así como el Auto de 7 de abril de 2009 que desestimó el recurso de súplica deducido contra aquél.</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personal (art. 17.1 CE) y a la igualdad en la aplicación de la ley (art. 14 CE), con la argumentación que se expuso en los antecedentes de esta resolución.</w:t>
      </w:r>
    </w:p>
    <w:p w:rsidR="00D06117" w:rsidRDefault="00D06117" w:rsidP="00D06117">
      <w:pPr>
        <w:pStyle w:val="TextoNormal"/>
      </w:pPr>
    </w:p>
    <w:p w:rsidR="00D06117" w:rsidRDefault="00D06117" w:rsidP="00D06117">
      <w:pPr>
        <w:pStyle w:val="TextoNormal"/>
      </w:pPr>
      <w:r>
        <w:t>El Ministerio Fiscal considera que los Autos frente a los que se demanda amparo lesionaron el derecho del demandante a la ejecución de las resoluciones judiciales en sus propios términos (art. 24.1 CE), en relación con el principio de legalidad y el derecho a la libertad personal (arts. 25.1 y 17.1 CE). Consecuentemente, interesa el otorgamiento del amparo solicitado y la anulación de las resoluciones recurridas para que se dicte otra respetuosa con los derechos fundamentales vulnerados.</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Tal como recordábamos en la reciente STC 89/2011, de 6 de junio, FJ 2, “los defectos insubsanables de que pudiera estar afectado el recurso de amparo no resultan subsanados porque haya sido inicialmente admitido a trámite (por todas, SSTC 18/2002, de 28 de enero, </w:t>
      </w:r>
      <w:r>
        <w:lastRenderedPageBreak/>
        <w:t>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w:t>
      </w:r>
    </w:p>
    <w:p w:rsidR="00D06117" w:rsidRDefault="00D06117" w:rsidP="00D06117">
      <w:pPr>
        <w:pStyle w:val="TextoNormal"/>
      </w:pPr>
    </w:p>
    <w:p w:rsidR="00D06117" w:rsidRDefault="00D06117" w:rsidP="00D06117">
      <w:pPr>
        <w:pStyle w:val="TextoNormal"/>
      </w:pPr>
      <w:r>
        <w:t>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 Tal como recordábamos en la STC 174/2011, de 7 de noviembre, FJ 2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el presente supuesto el demandante de amparo impugna el Auto de 23 de marzo de 2009 por el que se aprueba su licenciamiento definitivo para el día 19 de diciembre de 2016, Auto confirmado en súplica mediante el de 7 de abril siguiente, igualmente impugnado en amparo. Ahora bien, acude directamente ante este Tribunal sin hacer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 menos un año antes de dictarse las resoluciones impugnadas mediante el Auto del Tribunal Supremo de 7 de abril de 2008, dictado precisamente resolviendo un recurso de queja contra la denegación de la preparación de un recurso de casación contra el Auto desestimatorio del recurso de súplica deducido contra el Auto </w:t>
      </w:r>
      <w:r>
        <w:lastRenderedPageBreak/>
        <w:t>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 abona la recurribilidad en casación de los Autos de licenciamiento definitivo en cuanto concretan y fijan definitivamente el máximo de cumplimiento respecto de las penas que se acumulan.</w:t>
      </w:r>
    </w:p>
    <w:p w:rsidR="00D06117" w:rsidRDefault="00D06117" w:rsidP="00D06117">
      <w:pPr>
        <w:pStyle w:val="TextoNormal"/>
      </w:pPr>
    </w:p>
    <w:p w:rsidR="00D06117" w:rsidRDefault="00D06117" w:rsidP="00D06117">
      <w:pPr>
        <w:pStyle w:val="TextoNormal"/>
      </w:pPr>
      <w:r>
        <w:t>A tales previsiones no era ajena la representación procesal y la defensa letrada del demandante de amparo, pues ya en diciembre de 2008 recurrieron en casación el Auto desestimatorio del recurso de súplica interpuesto contra la aprobación del licenciamiento definitivo de otro de los condenados en la misma ejecutoria 8-1989, en concreto respecto de don Ignacio Orotegui Ochandorena, siendo tal recurso inadmitido tras una extensa y completa motivación por carecer manifiestamente de fundamento la totalidad de los motivos de impugnación.</w:t>
      </w:r>
    </w:p>
    <w:p w:rsidR="00D06117" w:rsidRDefault="00D06117" w:rsidP="00D06117">
      <w:pPr>
        <w:pStyle w:val="TextoNormal"/>
      </w:pPr>
    </w:p>
    <w:p w:rsidR="00D06117" w:rsidRDefault="00D06117" w:rsidP="00D06117">
      <w:pPr>
        <w:pStyle w:val="TextoNormal"/>
      </w:pPr>
      <w:r>
        <w:t>Por todo lo que antecede resulta procedente dictar Sentencia inadmitiendo el recurso de amparo por falta de agotamiento de la vía judicial previa [art. 44.1 a) LOTC].</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el recurso de amparo formulado por don Miguel Turrientes Ramírez contra el Auto de la Sección Segunda de la Sala de lo Penal de la Audiencia Nacional, de 23 de marzo de 2009, dictado en la ejecutoria 8-1989 (correspondiente al sumario 16-1986 del Juzgado Central de Instrucción núm. 5), por el que se aprueba su licenciamiento definitivo, así como contra el Auto de 7 de abril siguiente por el que se desestimó el recurso de súplica deducido contra el primero.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2" w:name="SENTENCIA_2012_59"/>
      <w:r>
        <w:lastRenderedPageBreak/>
        <w:t>SENTENCIA 59/2012, de 29 de marzo de 2012</w:t>
      </w:r>
    </w:p>
    <w:bookmarkEnd w:id="6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ECLI:ES:TC:2012:59</w:t>
      </w:r>
    </w:p>
    <w:p w:rsidR="00D06117" w:rsidRDefault="00D06117" w:rsidP="00D06117">
      <w:pPr>
        <w:pStyle w:val="SntesisDescriptiva"/>
      </w:pPr>
    </w:p>
    <w:p w:rsidR="00D06117" w:rsidRDefault="00D06117" w:rsidP="00D06117">
      <w:pPr>
        <w:pStyle w:val="SntesisDescriptiva"/>
      </w:pPr>
      <w:r>
        <w:t>Recurso de amparo 6285-2009. Promovido por don José Luis Charlín Gama con respecto a los Autos de la Sala de lo Penal y del Tribunal Supremo y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5].</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3, 4].</w:t>
      </w:r>
    </w:p>
    <w:p w:rsidR="00D06117" w:rsidRDefault="00D06117" w:rsidP="00D06117">
      <w:pPr>
        <w:pStyle w:val="Extracto"/>
      </w:pPr>
    </w:p>
    <w:p w:rsidR="00D06117" w:rsidRDefault="00D06117" w:rsidP="00D06117">
      <w:pPr>
        <w:pStyle w:val="Extracto"/>
      </w:pPr>
      <w:r>
        <w:t>4.</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3].</w:t>
      </w:r>
    </w:p>
    <w:p w:rsidR="00D06117" w:rsidRDefault="00D06117" w:rsidP="00D06117">
      <w:pPr>
        <w:pStyle w:val="Extracto"/>
      </w:pPr>
    </w:p>
    <w:p w:rsidR="00D06117" w:rsidRDefault="00D06117" w:rsidP="00D06117">
      <w:pPr>
        <w:pStyle w:val="Extracto"/>
      </w:pPr>
      <w:r>
        <w:t>5.</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3].</w:t>
      </w:r>
    </w:p>
    <w:p w:rsidR="00D06117" w:rsidRDefault="00D06117" w:rsidP="00D06117">
      <w:pPr>
        <w:pStyle w:val="Extracto"/>
      </w:pPr>
    </w:p>
    <w:p w:rsidR="00D06117" w:rsidRDefault="00D06117" w:rsidP="00D06117">
      <w:pPr>
        <w:pStyle w:val="Extracto"/>
      </w:pPr>
      <w:r>
        <w:lastRenderedPageBreak/>
        <w:t>6.</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3].</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3].</w:t>
      </w:r>
    </w:p>
    <w:p w:rsidR="00D06117" w:rsidRDefault="00D06117" w:rsidP="00D06117">
      <w:pPr>
        <w:pStyle w:val="Extracto"/>
      </w:pPr>
    </w:p>
    <w:p w:rsidR="00D06117" w:rsidRDefault="00D06117" w:rsidP="00D06117">
      <w:pPr>
        <w:pStyle w:val="Extracto"/>
      </w:pPr>
      <w:r>
        <w:t>8.</w:t>
      </w:r>
      <w:r>
        <w:tab/>
        <w:t>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(STC 167/2003) [FJ 2].</w:t>
      </w:r>
    </w:p>
    <w:p w:rsidR="00D06117" w:rsidRDefault="00D06117" w:rsidP="00D06117">
      <w:pPr>
        <w:pStyle w:val="Extracto"/>
      </w:pPr>
    </w:p>
    <w:p w:rsidR="00D06117" w:rsidRDefault="00D06117" w:rsidP="00D06117">
      <w:pPr>
        <w:pStyle w:val="Extracto"/>
      </w:pPr>
      <w:r>
        <w:t>9.</w:t>
      </w:r>
      <w:r>
        <w:tab/>
        <w:t>Aun cuando el nuevo criterio de cómputo de las redenciones dificulte objetivamente la posibilidad de reducir el cumplimiento efectivo de la pena en determinados supuestos, es lo cierto que tal criterio no impide que los penados puedan cumplir su condena con arreglo al elenco de medidas de la legislación penitenciaria vigente que favorecen y posibilitan la reeducación y reinserción social, si su conducta penitenciaria y su evolución muestra que se hallan en condiciones de hacer vida honrada en libertad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6285-2009, promovido por don José Luis Charlín Gama, representado por el Procurador de los Tribunales don Argimiro Vázquez Guillén y asistido por el Abogado don Francisco Javier Lozano Montalvo, contra el Auto de la Sala de lo Penal del Tribunal Supremo de 30 de abril de 2009 que declaró no haber lugar a la admisión del </w:t>
      </w:r>
      <w:r>
        <w:lastRenderedPageBreak/>
        <w:t>recurso de casación presentado contra el Auto de la Sección Primera de la Sala de lo Penal de la Audiencia Nacional de 23 de mayo de 2008 en la ejecutoria núm. 13-1994. Ha intervenido el Ministerio Fiscal.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6 de julio de 2009 don José Luis Charlín Gama presentó en el Registro General de este Tribunal recurso de amparo contra el Auto de la Sala de lo Penal del Tribunal Supremo de 30 de abril de 2009, que declaró no haber lugar al recurso de casación interpuesto contra el Auto de la Sección Primera de la Sala de lo Penal de la Audiencia Nacional de 23 de mayo de 2008.</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relevantes para su resolución, son los siguientes:</w:t>
      </w:r>
    </w:p>
    <w:p w:rsidR="00D06117" w:rsidRDefault="00D06117" w:rsidP="00D06117">
      <w:pPr>
        <w:pStyle w:val="TextoNormal"/>
      </w:pPr>
    </w:p>
    <w:p w:rsidR="00D06117" w:rsidRDefault="00D06117" w:rsidP="00D06117">
      <w:pPr>
        <w:pStyle w:val="TextoNormal"/>
      </w:pPr>
      <w:r>
        <w:t>a) El demandante de amparo fue condenado por la Sección Tercera de la Sala de lo Penal de la Audiencia Nacional (ejecutoria núm. 4-1997 dimanante del sumario núm. 15-1992 del Juzgado Central de Instrucción núm. 5) a las penas de veinte años de reclusión menor por delito contra la salud pública, cinco meses de arresto mayor por contrabando y quince años de reclusión menor por otro delito contra la salud pública.</w:t>
      </w:r>
    </w:p>
    <w:p w:rsidR="00D06117" w:rsidRDefault="00D06117" w:rsidP="00D06117">
      <w:pPr>
        <w:pStyle w:val="TextoNormal"/>
      </w:pPr>
    </w:p>
    <w:p w:rsidR="00D06117" w:rsidRDefault="00D06117" w:rsidP="00D06117">
      <w:pPr>
        <w:pStyle w:val="TextoNormal"/>
      </w:pPr>
      <w:r>
        <w:t>b) Posteriormente, la Sección Primera de la misma Sala de lo Penal, mediante Sentencia de 29 de julio de 1998, condenó al demandante de amparo por la comisión de un delito contra la salud pública a las penas de diecisiete años de reclusión menor y multa de 200.000.000 pesetas, así como accesoria de inhabilitación absoluta durante el tiempo de condena.</w:t>
      </w:r>
    </w:p>
    <w:p w:rsidR="00D06117" w:rsidRDefault="00D06117" w:rsidP="00D06117">
      <w:pPr>
        <w:pStyle w:val="TextoNormal"/>
      </w:pPr>
    </w:p>
    <w:p w:rsidR="00D06117" w:rsidRDefault="00D06117" w:rsidP="00D06117">
      <w:pPr>
        <w:pStyle w:val="TextoNormal"/>
      </w:pPr>
      <w:r>
        <w:t>c) La Sección Primera de la misma Sala, mediante Auto de 30 de junio de 1999, de conformidad con lo establecido en el art. 988 de la Ley de enjuiciamiento criminal en relación con lo dispuesto en la regla segunda del art. 70 del Código penal (CP) vigente en el momento de la comisión de los hechos, acordó acumular tales condenas y fijar, como máximo de cumplimiento, treinta años de privación de libertad. Por providencia se declaró la firmeza de dicho Auto.</w:t>
      </w:r>
    </w:p>
    <w:p w:rsidR="00D06117" w:rsidRDefault="00D06117" w:rsidP="00D06117">
      <w:pPr>
        <w:pStyle w:val="TextoNormal"/>
      </w:pPr>
    </w:p>
    <w:p w:rsidR="00D06117" w:rsidRDefault="00D06117" w:rsidP="00D06117">
      <w:pPr>
        <w:pStyle w:val="TextoNormal"/>
      </w:pPr>
      <w:r>
        <w:t>d) El centro penitenciario en el que se encontraba interno el demandante de amparo envió el 25 de abril de 2008 a la misma Sección Primera propuesta de licenciamiento definitivo con fecha 25 de mayo de 2008, condicionándolo a que el Juez de vigilancia penitenciaria confirmase la redención de cuarenta días correspondientes al cuarto trimestre de 2007. El Fiscal, en dictamen de 6 de mayo de 2008, se mostró conforme con esta fecha siempre que se cumpliera con la salvedad antedicha.</w:t>
      </w:r>
    </w:p>
    <w:p w:rsidR="00D06117" w:rsidRDefault="00D06117" w:rsidP="00D06117">
      <w:pPr>
        <w:pStyle w:val="TextoNormal"/>
      </w:pPr>
    </w:p>
    <w:p w:rsidR="00D06117" w:rsidRDefault="00D06117" w:rsidP="00D06117">
      <w:pPr>
        <w:pStyle w:val="TextoNormal"/>
      </w:pPr>
      <w:r>
        <w:t>e) Por providencia de la repetida Sección Primera de 13 de mayo de 2008 se aprobó el licenciamiento definitivo del penado para el día 25 de mayo de 2008, condicionado a la previa aprobación por el Juzgado de Vigilancia Penitenciaria de los cuarenta días de redención correspondientes al cuarto trimestre del año 2007.</w:t>
      </w:r>
    </w:p>
    <w:p w:rsidR="00D06117" w:rsidRDefault="00D06117" w:rsidP="00D06117">
      <w:pPr>
        <w:pStyle w:val="TextoNormal"/>
      </w:pPr>
    </w:p>
    <w:p w:rsidR="00D06117" w:rsidRDefault="00D06117" w:rsidP="00D06117">
      <w:pPr>
        <w:pStyle w:val="TextoNormal"/>
      </w:pPr>
      <w:r>
        <w:lastRenderedPageBreak/>
        <w:t>f) A la luz del oficio remitido por el Juzgado de Vigilancia Penitenciaria, la Sección, por providencia de 16 de mayo de 2008 fijó nueva fecha de licenciamiento definitivo para el 7 de abril de 2008. De esta providencia se dio traslado al Ministerio Fiscal para que informara a la mayor urgencia sobre dicho licenciamiento y en dictamen de la misma fecha el Fiscal interpuso recurso de súplica contra la providencia de 13 de mayo de 2008, por la que se acordaba el licenciamiento definitivo del penado, a fin de que se deje sin efecto el mismo por ser necesario comprobar si le es aplicable al referido penado la doctrina emanada de la Sentencia de la Sala de lo Penal del Tribunal Supremo 197/2006, de 28 de abril.</w:t>
      </w:r>
    </w:p>
    <w:p w:rsidR="00D06117" w:rsidRDefault="00D06117" w:rsidP="00D06117">
      <w:pPr>
        <w:pStyle w:val="TextoNormal"/>
      </w:pPr>
    </w:p>
    <w:p w:rsidR="00D06117" w:rsidRDefault="00D06117" w:rsidP="00D06117">
      <w:pPr>
        <w:pStyle w:val="TextoNormal"/>
      </w:pPr>
      <w:r>
        <w:t>g) La Sección, por Auto de 23 de mayo de 2008 estimó el recurso de súplica del Ministerio Fiscal.</w:t>
      </w:r>
    </w:p>
    <w:p w:rsidR="00D06117" w:rsidRDefault="00D06117" w:rsidP="00D06117">
      <w:pPr>
        <w:pStyle w:val="TextoNormal"/>
      </w:pPr>
    </w:p>
    <w:p w:rsidR="00D06117" w:rsidRDefault="00D06117" w:rsidP="00D06117">
      <w:pPr>
        <w:pStyle w:val="TextoNormal"/>
      </w:pPr>
      <w:r>
        <w:t>h) La defensa del demandante recurrió en casación el Auto, recurso que fue inadmitido por Auto de la Sala de lo Penal del Tribunal Supremo de 30 de abril de 2009.</w:t>
      </w:r>
    </w:p>
    <w:p w:rsidR="00D06117" w:rsidRDefault="00D06117" w:rsidP="00D06117">
      <w:pPr>
        <w:pStyle w:val="TextoNormal"/>
      </w:pPr>
    </w:p>
    <w:p w:rsidR="00D06117" w:rsidRDefault="00D06117" w:rsidP="00D06117">
      <w:pPr>
        <w:pStyle w:val="TextoNormal"/>
      </w:pPr>
      <w:r w:rsidRPr="00D06117">
        <w:rPr>
          <w:rStyle w:val="NumeroAFNegritaCaracter"/>
        </w:rPr>
        <w:t>3</w:t>
      </w:r>
      <w:r>
        <w:t>. El demandante solicita el amparo por los siguientes motivos:</w:t>
      </w:r>
    </w:p>
    <w:p w:rsidR="00D06117" w:rsidRDefault="00D06117" w:rsidP="00D06117">
      <w:pPr>
        <w:pStyle w:val="TextoNormal"/>
      </w:pPr>
    </w:p>
    <w:p w:rsidR="00D06117" w:rsidRDefault="00D06117" w:rsidP="00D06117">
      <w:pPr>
        <w:pStyle w:val="TextoNormal"/>
      </w:pPr>
      <w:r>
        <w:t>a) En primer lugar, por vulneración del derecho fundamental a la tutela judicial efectiva sin indefensión reconocido en el art. 24.1 CE en relación con el derecho a la libertad consagrado en el art. 17.1 CE.</w:t>
      </w:r>
    </w:p>
    <w:p w:rsidR="00D06117" w:rsidRDefault="00D06117" w:rsidP="00D06117">
      <w:pPr>
        <w:pStyle w:val="TextoNormal"/>
      </w:pPr>
    </w:p>
    <w:p w:rsidR="00D06117" w:rsidRDefault="00D06117" w:rsidP="00D06117">
      <w:pPr>
        <w:pStyle w:val="TextoNormal"/>
      </w:pPr>
      <w:r>
        <w:t>Señala el demandante de amparo que el Auto recurrido no guarda consideración al principio de intangibilidad de las resoluciones judiciales y de seguridad jurídica. Recuerda que es doctrina reiterada que el principio de intangibilidad de las resoluciones judiciales firmes es una consecuencia tanto del principio de seguridad jurídica recogido en el art. 9.3 CE, como sobre todo del derecho a la tutela judicial efectiva sin indefensión, como ha reconocido el Tribunal Constitucional, entre otras, en Sentencia de 24 de abril de 2006. Asimismo, señala que al incidir la vulneración del derecho a la tutela judicial que se denuncia en la situación penitenciaria del recurrente precisamente en el momento en que se habría de producir su licenciamiento definitivo, se ha de entender que se transgrede su derecho a la libertad, reconocido en el art. 17.1 CE.</w:t>
      </w:r>
    </w:p>
    <w:p w:rsidR="00D06117" w:rsidRDefault="00D06117" w:rsidP="00D06117">
      <w:pPr>
        <w:pStyle w:val="TextoNormal"/>
      </w:pPr>
    </w:p>
    <w:p w:rsidR="00D06117" w:rsidRDefault="00D06117" w:rsidP="00D06117">
      <w:pPr>
        <w:pStyle w:val="TextoNormal"/>
      </w:pPr>
      <w:r>
        <w:t>A continuación señala que son varios los motivos que impiden aplicar a este supuesto la doctrina sentada por la Sala Segunda del Tribunal Supremo en Sentencia de 20 de febrero de 2006. En primer lugar, considera que esta Sentencia no realiza una relectura de la regla 2 del art. 70 del Código penal de 1973 sino una verdadera reescritura del precepto que colisiona con los más elementales principios constitucionales en tanto, entre otras cosas, altera de forma drástica el sentido de la norma y su contexto prescriptivo. Y, en segundo lugar, afirma que en el Auto de la Sala Segunda del Tribunal Supremo de 30 de abril de 2009 que ahora se impugna se introducen unas consideraciones sobre el concepto de refundición de penas que en nada se compadece con la doctrina sentada por ese mismo Tribunal Supremo en otras resoluciones. Así, se dice en el Auto objeto de recurso que el concepto de refundición de penas resulta equívoco y poco apropiado “en tanto nada se refunde para compendiar todo en uno”, semejante confusión, a su juicio, habrá surgido hace escasos años y precisamente a raíz de que la Sala Segunda, ante un supuesto sumamente singular, variara su criterio, porque con anterioridad el significado del concepto parecía diáfano y, si no lo fuera, al menos venía siendo aplicado de forma ciertamente uniforme por todos los órganos jurisdiccionales.</w:t>
      </w:r>
    </w:p>
    <w:p w:rsidR="00D06117" w:rsidRDefault="00D06117" w:rsidP="00D06117">
      <w:pPr>
        <w:pStyle w:val="TextoNormal"/>
      </w:pPr>
    </w:p>
    <w:p w:rsidR="00D06117" w:rsidRDefault="00D06117" w:rsidP="00D06117">
      <w:pPr>
        <w:pStyle w:val="TextoNormal"/>
      </w:pPr>
      <w:r>
        <w:t>Además, estima que este supuesto difiere sustancialmente del que dio lugar a la Sentencia de la Sala de lo Penal del Tribunal Supremo de 20 de febrero de 2006 porque aquí se parte de la existencia de un Auto de acumulación de penas dictado por la Sección Primera de la Sala de lo Penal de la Audiencia Nacional el 30 de junio de 1999, mediante el cual se fijaba en treinta años el período de privación de libertad. Este Auto al devenir firme resulta inmutable, sin que quepa su modificación al socaire de una nueva corriente jurisprudencial, so pena de quebrantar los principios de seguridad jurídica e intangibilidad de las resoluciones judiciales. Afirma también que no es de recibo que el Ministerio público haga uso de un recurso de súplica no tanto para que se modificara una resolución por entenderla no ajustada a Derecho, cuanto como un medio de suspender la ejecución de esa resolución para valorar la posible aplicación al procedimiento de una determinada doctrina jurídica. Además indica que la Audiencia Nacional resuelve al margen y, en cierto modo, en contradicción con las peticiones del Ministerio Fiscal, quien había solicitado exclusivamente la suspensión de la providencia que aprobaba el licenciamiento definitivo, mas no su revocación, decisión ésta que se adopta sin que ninguna parte se la hubiera solicitado y cuando acababa de aprobar la fecha de licenciamiento del recurrente.</w:t>
      </w:r>
    </w:p>
    <w:p w:rsidR="00D06117" w:rsidRDefault="00D06117" w:rsidP="00D06117">
      <w:pPr>
        <w:pStyle w:val="TextoNormal"/>
      </w:pPr>
    </w:p>
    <w:p w:rsidR="00D06117" w:rsidRDefault="00D06117" w:rsidP="00D06117">
      <w:pPr>
        <w:pStyle w:val="TextoNormal"/>
      </w:pPr>
      <w:r>
        <w:t>b) En segundo lugar, solicita el amparo constitucional por vulneración del derecho a la tutela judicial efectiva en relación al derecho de acceso a los recursos reconocido en el art. 24.1 CE. Se articula este segundo motivo de amparo al entender que el Auto de la Sala de lo Penal del Tribunal Supremo de 30 de abril de 2009, lejos de reparar la lesión del derecho fundamental, transgrede el derecho consagrado en el art. 24.1 CE, y en cuya virtud se reconoce el derecho de acceso a los recursos. A su juicio, el Auto señalado es arbitrario e irrazonable, lo que determina la lesión del derecho fundamental a la tutela judicial efectiva.</w:t>
      </w:r>
    </w:p>
    <w:p w:rsidR="00D06117" w:rsidRDefault="00D06117" w:rsidP="00D06117">
      <w:pPr>
        <w:pStyle w:val="TextoNormal"/>
      </w:pPr>
    </w:p>
    <w:p w:rsidR="00D06117" w:rsidRDefault="00D06117" w:rsidP="00D06117">
      <w:pPr>
        <w:pStyle w:val="TextoNormal"/>
      </w:pPr>
      <w:r>
        <w:t>c) En tercer lugar, solicita el amparo constitucional por vulneración de la dignidad humana (art. 10 CE) y de la proscripción de tratos inhumanos y degradantes del art. 15 CE, todo ello en relación con el art. 25.2 CE. Señala el demandante de amparo que la decisión adoptada tanto por la Audiencia Nacional como por la Sala de lo Penal del Tribunal Supremo no está aplicando una nueva interpretación de un artículo y con ello una simple ejecución de una pena, sino que implica afrontar una situación nueva que modifica su vida acarreando sufrimiento y provocando cierta humillación, al haber visto aplazado su licenciamiento definitivo en diez años más, traspasando límites inhumanos y atentatorios contra su dignidad personal. A su juicio, el nuevo criterio, después de más de ocho años de aplicación de otro distinto, supone un atentado contra la dignidad de la persona (art. 10 CE), y la proscripción de penas o tratos inhumanos o degradantes del art. 15 CE. Asimismo, afirma que llevar a efecto lo dispuesto en el Auto de la Sala de lo Penal del Tribunal Supremo supondría ir contra el fin último de las penas privativas de libertad, la reeducación y reinserción social recogido en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La Sala Segunda de este Tribunal Constitucional, por providencia de 31 de marzo de 2011, admitió a trámite la demanda y, de conformidad con lo dispuesto en el art. 51 de la Ley Orgánica del Tribunal Constitucional (LOTC), acordó dirigir atenta comunicación a la Sala de lo Penal del Tribunal Supremo y a la Sección Primera de la Sala de lo Penal de la Audiencia Nacional, a fin de que, en plazo que no excediera de diez días, remitiesen certificación o fotocopia adverada de las actuaciones correspondientes, respectivamente, al recurso de casación núm. 10.931-2008 y a la ejecutoria núm. 13-1994, debiendo la Audiencia </w:t>
      </w:r>
      <w:r>
        <w:lastRenderedPageBreak/>
        <w:t>emplazar previamente a quienes hubieran sido parte en el procedimiento, a excepción del demandante de amparo, para que pudieran comparecer en el plazo de diez días en este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La Sala Segunda de este Tribunal Constitucional, por diligencia de ordenación de 25 de octubre de 2011, acordó tener por personado y parte en el procedimiento al Procurador don Carlos Ibáñez de la Cadiniere en nombre y representación de don Jesús Manuel Carro Otero, y dar vista de las actuaciones recibidas a las partes personadas y al Ministerio Fiscal, por plazo común de veinte días, para que de conformidad con lo dispuesto en el art. 52.1 LOTC presentaran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presentado en el Registro General de este Tribunal el 3 de noviembre de 2011, don Jesús Manuel Carro Otero solicitó que se le tuviese por apartado del presente procedimiento por no tener en la actualidad interés directo en el mismo, lo que fue acordado por providencia de 14 de diciembre de 2011.</w:t>
      </w:r>
    </w:p>
    <w:p w:rsidR="00D06117" w:rsidRDefault="00D06117" w:rsidP="00D06117">
      <w:pPr>
        <w:pStyle w:val="TextoNormal"/>
      </w:pPr>
    </w:p>
    <w:p w:rsidR="00D06117" w:rsidRDefault="00D06117" w:rsidP="00D06117">
      <w:pPr>
        <w:pStyle w:val="TextoNormal"/>
      </w:pPr>
      <w:r w:rsidRPr="00D06117">
        <w:rPr>
          <w:rStyle w:val="NumeroAFNegritaCaracter"/>
        </w:rPr>
        <w:t>7</w:t>
      </w:r>
      <w:r>
        <w:t>. El recurrente en amparo evacuó el trámite de alegaciones mediante escrito registrado el 1 de diciembre de 2011, en el que se remite a cuanto argumentó previamente en la demanda</w:t>
      </w:r>
    </w:p>
    <w:p w:rsidR="00D06117" w:rsidRDefault="00D06117" w:rsidP="00D06117">
      <w:pPr>
        <w:pStyle w:val="TextoNormal"/>
      </w:pPr>
    </w:p>
    <w:p w:rsidR="00D06117" w:rsidRDefault="00D06117" w:rsidP="00D06117">
      <w:pPr>
        <w:pStyle w:val="TextoNormal"/>
      </w:pPr>
      <w:r w:rsidRPr="00D06117">
        <w:rPr>
          <w:rStyle w:val="NumeroAFNegritaCaracter"/>
        </w:rPr>
        <w:t>8</w:t>
      </w:r>
      <w:r>
        <w:t>. El recurrente en amparo evacuó el trámite de alegaciones mediante escrito registrado el 1 de diciembre de 2011, en el que se remite a cuanto argumentó previamente en la demanda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30 de enero de 2012, el Pleno del Tribunal, de conformidad con lo establecido en el art. 10.1 n) LOTC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26 de marzo de 2012 se señaló para la deliberación y votación de la presente Sentencia el día 29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dictado el 30 de abril de 2009 por la Sala de lo Penal del Tribunal Supremo, que declaró no haber lugar a la admisión del recurso de casación formulado contra el Auto de la Sección Primera de la Sala de lo Penal de la Audiencia Nacional recaído el 23 de mayo de 2008 en la ejecutoria núm. 13-1994.</w:t>
      </w:r>
    </w:p>
    <w:p w:rsidR="00D06117" w:rsidRDefault="00D06117" w:rsidP="00D06117">
      <w:pPr>
        <w:pStyle w:val="TextoNormal"/>
      </w:pPr>
    </w:p>
    <w:p w:rsidR="00D06117" w:rsidRDefault="00D06117" w:rsidP="00D06117">
      <w:pPr>
        <w:pStyle w:val="TextoNormal"/>
      </w:pPr>
      <w:r>
        <w:t>Según ha quedado expuesto con mayor detalle en los antecedentes de esta resolución, el demandante de amparo fue condenado a diversas penas que, una vez acumuladas en virtud de lo establecido en el art. 70.2 del Código penal (CP) de 1973, dieron lugar a que la Audiencia Nacional fijara en treinta años de privación de libertad el tiempo total de cumplimiento de las mismas.</w:t>
      </w:r>
    </w:p>
    <w:p w:rsidR="00D06117" w:rsidRDefault="00D06117" w:rsidP="00D06117">
      <w:pPr>
        <w:pStyle w:val="TextoNormal"/>
      </w:pPr>
    </w:p>
    <w:p w:rsidR="00D06117" w:rsidRDefault="00D06117" w:rsidP="00D06117">
      <w:pPr>
        <w:pStyle w:val="TextoNormal"/>
      </w:pPr>
      <w:r>
        <w:lastRenderedPageBreak/>
        <w:t>A juicio del demandante,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Sostiene el demandante de amparo que las resoluciones impugnadas, en la medida en que aplican la mencionada doctrina, han vulnerado diversos derechos constitucionales: el derecho a la tutela judicial efectiva en su vertiente de intangibilidad de las resoluciones judiciales firmes (art. 24.1 CE) en relación con la libertad personal (art. 17.1 CE); el derecho a la tutela judicial efectiva en su dimensión de derecho de acceso a los recursos legalmente establecidos (art. 24.1 CE); y, por último, la dignidad de la persona (art. 10.1 CE) y la proscripción de los tratos inhumanos o degradantes (art. 15 CE) en relación al principio de que las penas privativas de libertad estén orientadas hacia la reeducación y reinserción social (art. 25.2 CE). Coincide parcialmente con este parecer el Ministerio Fiscal, el cual estima que se ha vulnerado el derecho a la intangibilidad de las resoluciones judiciales firmes (art. 24.1 CE), en relación con los principios de legalidad penal y de irretroactividad de lo desfavorable para el reo (arts. 25.1 y 9.3 CE) y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De las quejas esgrimidas en la demanda de amparo debe descartarse, ya desde el inicio, la relativa a la vulneración del art. 25.2 CE, al que de modo instrumental se vincula la lesión de la dignidad de la persona reconocida en el art. 10 CE y del derecho a la proscripción de tratos inhumanos y degradantes (art. 15 CE). Este Tribunal ha declarado reiteradamente que el art. 25.2 CE no contiene un derecho subjetivo, ni menos aún un derecho fundamental, susceptible de protección en vía de amparo, sino tan sólo un mandato del constituyente al legislador y a la Administración penitenciaria para orientar la ejecución de las penas privativas de libertad (por todas, SSTC 115/2003, de 16 de junio, FJ 3; y 299/2005, de 21 de noviembre, FJ 2).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w:t>
      </w:r>
    </w:p>
    <w:p w:rsidR="00D06117" w:rsidRDefault="00D06117" w:rsidP="00D06117">
      <w:pPr>
        <w:pStyle w:val="TextoNormal"/>
      </w:pPr>
    </w:p>
    <w:p w:rsidR="00D06117" w:rsidRDefault="00D06117" w:rsidP="00D06117">
      <w:pPr>
        <w:pStyle w:val="TextoNormal"/>
      </w:pPr>
      <w:r>
        <w:t xml:space="preserve">A lo anterior se añade que aun cuando el nuevo criterio de cómputo de las redenciones dificulte objetivamente la posibilidad de reducir automáticamente el cumplimiento efectivo de la pena en determinados supuestos, singularmente aquellos en los que la duración de las penas acumuladas supere ampliamente los límites máximos de cumplimiento legalmente establecidos, es lo cierto que tal criterio no impide que los penados puedan cumplir su condena con arreglo a las previsiones de la legislación penitenciaria vigente que, a través del sistema de individualización científica, la previsión de clasificación en diversos grados, los </w:t>
      </w:r>
      <w:r>
        <w:lastRenderedPageBreak/>
        <w:t>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rsidRPr="00D06117">
        <w:rPr>
          <w:rStyle w:val="NumeroAFNegritaCaracter"/>
        </w:rPr>
        <w:t>3</w:t>
      </w:r>
      <w:r>
        <w:t>. Desde otra perspectiva, sostienen el demandante y el Ministerio Fiscal que la aplicación de la nueva interpretación jurisprudencial sobre la forma de cómputo de la redención de penas por el trabajo ha vulnerado el derecho a la tutela judicial efectiva, en cuanto este derecho garantiza la intangibilidad de las resoluciones judiciales firmes (art. 24.1 CE). Concreta el Fiscal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w:t>
      </w:r>
    </w:p>
    <w:p w:rsidR="00D06117" w:rsidRDefault="00D06117" w:rsidP="00D06117">
      <w:pPr>
        <w:pStyle w:val="TextoNormal"/>
      </w:pPr>
    </w:p>
    <w:p w:rsidR="00D06117" w:rsidRDefault="00D06117" w:rsidP="00D06117">
      <w:pPr>
        <w:pStyle w:val="TextoNormal"/>
      </w:pPr>
      <w:r>
        <w:t>Acerca de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w:t>
      </w:r>
      <w:r>
        <w:lastRenderedPageBreak/>
        <w:t>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la contestación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4</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el Abogado del Estado y el Ministerio Fiscal, y hemos recogido en los antecedentes de esta resolución una vez contrastados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demandante de amparo fue condenado en virtud de las Sentencias que se enumeran en los antecedentes de hecho de esta resolución a las penas que se detallan en sus respectivas partes dispositivas.</w:t>
      </w:r>
    </w:p>
    <w:p w:rsidR="00D06117" w:rsidRDefault="00D06117" w:rsidP="00D06117">
      <w:pPr>
        <w:pStyle w:val="TextoNormal"/>
      </w:pPr>
    </w:p>
    <w:p w:rsidR="00D06117" w:rsidRDefault="00D06117" w:rsidP="00D06117">
      <w:pPr>
        <w:pStyle w:val="TextoNormal"/>
      </w:pPr>
      <w:r>
        <w:t>b) La Audiencia Nacional, mediante Auto de 30 de junio de 1999, de conformidad con lo establecido en el art. 988 de la Ley de enjuiciamiento criminal (LECrim) en relación con lo dispuesto en la regla 2 del art. 70 del Código penal vigente en el momento de la comisión de los hechos, acordó acumular tales condenas y fijar, como máximo de cumplimiento, treinta años de privación de libertad. Por providencia se declaró la firmeza de dicho Auto.</w:t>
      </w:r>
    </w:p>
    <w:p w:rsidR="00D06117" w:rsidRDefault="00D06117" w:rsidP="00D06117">
      <w:pPr>
        <w:pStyle w:val="TextoNormal"/>
      </w:pPr>
    </w:p>
    <w:p w:rsidR="00D06117" w:rsidRDefault="00D06117" w:rsidP="00D06117">
      <w:pPr>
        <w:pStyle w:val="TextoNormal"/>
      </w:pPr>
      <w:r>
        <w:t>c) El centro penitenciario en el que se encontraba interno el demandante de amparo envió el 25 de abril de 2008 a la misma Sección Primera propuesta de licenciamiento definitivo con fecha 25 de mayo de 2008, condicionándolo a que el Juez de vigilancia penitenciaria confirmase la redención de cuarenta días correspondientes al cuarto trimestre de 2007. El Fiscal, en dictamen de 6 de mayo de 2008, se mostró conforme con esta fecha siempre que se cumpliera con la salvedad antedicha.</w:t>
      </w:r>
    </w:p>
    <w:p w:rsidR="00D06117" w:rsidRDefault="00D06117" w:rsidP="00D06117">
      <w:pPr>
        <w:pStyle w:val="TextoNormal"/>
      </w:pPr>
    </w:p>
    <w:p w:rsidR="00D06117" w:rsidRDefault="00D06117" w:rsidP="00D06117">
      <w:pPr>
        <w:pStyle w:val="TextoNormal"/>
      </w:pPr>
      <w:r>
        <w:t>d) Por providencia de la repetida Sección Primera de 13 de mayo de 2008 se aprobó el licenciamiento definitivo del penado para el día 25 de mayo de 2008, condicionado a la previa aprobación por el Juzgado de Vigilancia Penitenciaria de los cuarenta días de redención correspondientes al cuarto trimestre del año 2007.</w:t>
      </w:r>
    </w:p>
    <w:p w:rsidR="00D06117" w:rsidRDefault="00D06117" w:rsidP="00D06117">
      <w:pPr>
        <w:pStyle w:val="TextoNormal"/>
      </w:pPr>
    </w:p>
    <w:p w:rsidR="00D06117" w:rsidRDefault="00D06117" w:rsidP="00D06117">
      <w:pPr>
        <w:pStyle w:val="TextoNormal"/>
      </w:pPr>
      <w:r>
        <w:t>e) A la luz del oficio remitido por el Juzgado de Vigilancia Penitenciaria, la Sección, por providencia de 16 de mayo de 2008 fijó nueva fecha de licenciamiento definitivo para el 7 de abril de 2008. De esta providencia se dio traslado al Ministerio Fiscal para que informara a la mayor urgencia sobre dicho licenciamiento y en dictamen de la misma fecha el Fiscal interpuso recurso de súplica contra la providencia de 13 de mayo de 2008, por la que se acordaba el licenciamiento definitivo del penado, a fin de que se deje sin efecto el mismo por ser necesario comprobar si le es aplicable al referido penado la doctrina emanada de la Sentencia de la Sala de lo Penal del Tribunal Supremo 197/2006, de 28 de abril.</w:t>
      </w:r>
    </w:p>
    <w:p w:rsidR="00D06117" w:rsidRDefault="00D06117" w:rsidP="00D06117">
      <w:pPr>
        <w:pStyle w:val="TextoNormal"/>
      </w:pPr>
    </w:p>
    <w:p w:rsidR="00D06117" w:rsidRDefault="00D06117" w:rsidP="00D06117">
      <w:pPr>
        <w:pStyle w:val="TextoNormal"/>
      </w:pPr>
      <w:r>
        <w:t>f) La Sección, por Auto de 23 de mayo de 2008 estimó el recurso de súplica del Ministerio Fiscal y la defensa del demandante recurrió en casación el Auto, recurso que fue desestimado por Auto de la Sala de lo Penal del Tribunal Supremo de 30 de abril de 2009.</w:t>
      </w:r>
    </w:p>
    <w:p w:rsidR="00D06117" w:rsidRDefault="00D06117" w:rsidP="00D06117">
      <w:pPr>
        <w:pStyle w:val="TextoNormal"/>
      </w:pPr>
    </w:p>
    <w:p w:rsidR="00D06117" w:rsidRDefault="00D06117" w:rsidP="00D06117">
      <w:pPr>
        <w:pStyle w:val="TextoNormal"/>
      </w:pPr>
      <w:r w:rsidRPr="00D06117">
        <w:rPr>
          <w:rStyle w:val="NumeroAFNegritaCaracter"/>
        </w:rPr>
        <w:t>5</w:t>
      </w:r>
      <w:r>
        <w:t>.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En cuanto a las resoluciones del Juzgado de Vigilancia Penitenciaria y de la Audiencia Nacional a las que alude el demandante en el motivo de amparo,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w:t>
      </w:r>
      <w:r>
        <w:lastRenderedPageBreak/>
        <w:t>computar en la liquidación de condena cuando la misma se produzca. Siendo así, en el presente caso no puede afirmarse que las resoluciones recurridas en amparo ignoren o pongan en cuestión la firmeza e intangibilidad de lo decidido por el Juzgado de Vigilancia Penitenciaria. La providencia que fijó la fecha de licenciamiento definitivo no dejó sin efecto dichas redenciones, sino que, en ejercicio de las competencias que legalmente tiene atribuidas el Tribunal sentenciador, las computó sucesivamente sobre las penas impuestas al recurrente a efectos de liquidación de condena.</w:t>
      </w:r>
    </w:p>
    <w:p w:rsidR="00D06117" w:rsidRDefault="00D06117" w:rsidP="00D06117">
      <w:pPr>
        <w:pStyle w:val="TextoNormal"/>
      </w:pPr>
    </w:p>
    <w:p w:rsidR="00D06117" w:rsidRDefault="00D06117" w:rsidP="00D06117">
      <w:pPr>
        <w:pStyle w:val="TextoNormal"/>
      </w:pPr>
      <w:r>
        <w:t>b) Por lo que respecta al Auto de la Sección Primera de la Sala de lo Penal de la Audiencia Nacional de 30 de junio de 1999 de acumulación de condenas y fijación del límite máximo de cumplimiento, esta resolución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
      </w:pPr>
      <w:r w:rsidRPr="00D06117">
        <w:rPr>
          <w:rStyle w:val="NumeroAFNegritaCaracter"/>
        </w:rPr>
        <w:t>6</w:t>
      </w:r>
      <w:r>
        <w:t>. Por último, en relación con la queja de vulneración del derecho a la tutela judicial efectiva (art. 24.1 CE) en su vertiente de derecho de acceso a los recursos legalmente establecidos, es lo cierto que, por más que el Auto de la Sala de lo Penal del Tribunal Supremo utilice la fórmula de “no haber lugar a la admisión” para denegar el recurso de casación que el demandante de amparo había formulado, sin embargo, lo cierto es que no hay un rechazo a limine del recurso sino que, por el contrario, se examinan y resuelven en el Auto las pretensiones casacionales de forma extensa y detallada, por lo que en modo alguno se ha producido la invocada denegación del derecho de acceso a un recurso legalmente establecido.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José Luis Charlín Gama.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lastRenderedPageBreak/>
        <w:t>Voto particular que formula la Magistrada doña Adela Asua Batarrita a la Sentencia dictada en el recurso de amparo núm. 6285-2009.</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3" w:name="SENTENCIA_2012_60"/>
      <w:r>
        <w:lastRenderedPageBreak/>
        <w:t>SENTENCIA 60/2012, de 29 de marzo de 2012</w:t>
      </w:r>
    </w:p>
    <w:bookmarkEnd w:id="6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ECLI:ES:TC:2012:60</w:t>
      </w:r>
    </w:p>
    <w:p w:rsidR="00D06117" w:rsidRDefault="00D06117" w:rsidP="00D06117">
      <w:pPr>
        <w:pStyle w:val="SntesisDescriptiva"/>
      </w:pPr>
    </w:p>
    <w:p w:rsidR="00D06117" w:rsidRDefault="00D06117" w:rsidP="00D06117">
      <w:pPr>
        <w:pStyle w:val="SntesisDescriptiva"/>
      </w:pPr>
      <w:r>
        <w:t>Recurso de amparo 7468-2009. Promovido por doña Itziar Martínez Sustatxa con respecto a las resoluciones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w:t>
      </w:r>
    </w:p>
    <w:p w:rsidR="00D06117" w:rsidRDefault="00D06117" w:rsidP="00D06117">
      <w:pPr>
        <w:pStyle w:val="SntesisAnaltica"/>
      </w:pPr>
    </w:p>
    <w:p w:rsidR="00D06117" w:rsidRDefault="00D06117" w:rsidP="00D06117">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[FJ 3].</w:t>
      </w:r>
    </w:p>
    <w:p w:rsidR="00D06117" w:rsidRDefault="00D06117" w:rsidP="00D06117">
      <w:pPr>
        <w:pStyle w:val="Extracto"/>
      </w:pPr>
    </w:p>
    <w:p w:rsidR="00D06117" w:rsidRDefault="00D06117" w:rsidP="00D06117">
      <w:pPr>
        <w:pStyle w:val="Extracto"/>
      </w:pPr>
      <w:r>
        <w:t>2.</w:t>
      </w:r>
      <w:r>
        <w:tab/>
        <w:t xml:space="preserve">La exigencia de agotamiento de la vía judicial previa tiene por objeto preservar el carácter subsidiario del recurso de amparo, evitando que el acceso a esta jurisdicción constitucional se produzca </w:t>
      </w:r>
      <w:r w:rsidRPr="00D06117">
        <w:rPr>
          <w:i/>
        </w:rPr>
        <w:t>per saltum</w:t>
      </w:r>
      <w:r>
        <w:t>, esto es, sin dar oportunidad a los órganos judiciales de pronunciarse y, en definitiva, remediar la lesión que luego se invoca como fundamento del recurso de amparo (SSTC 8/1993, 174/2011) [FJ 2].</w:t>
      </w:r>
    </w:p>
    <w:p w:rsidR="00D06117" w:rsidRDefault="00D06117" w:rsidP="00D06117">
      <w:pPr>
        <w:pStyle w:val="Extracto"/>
      </w:pPr>
    </w:p>
    <w:p w:rsidR="00D06117" w:rsidRDefault="00D06117" w:rsidP="00D06117">
      <w:pPr>
        <w:pStyle w:val="Extracto"/>
      </w:pPr>
      <w:r>
        <w:t>3.</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7468-2009, promovido por doña Itziar Martínez Sustatxa, representada por el Procurador de los Tribunales don José Javier Cuevas Rivas y asistido por el Letrado don Kepa Manzisidor Txirapozu, contra el Auto de la Sección Tercera de la Sala de lo Penal de la Audiencia Nacional, de 27 de abril de 2009, que desestima el recurso de súplica interpuesto contra la providencia de 7 de abril de 2009, y establece una nueva liquidación de condena, y contra la providencia de 23 de junio de 2009 por la que se acuerda no haber lugar a admitir el incidente de nulidad frente al Auto antes citado. Ha intervenido el Ministerio Fiscal. Ha sido Ponente el Magistrado don Luis Ignacio Ortega Álvarez,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7 de septiembre de 2009, don José Javier Cuevas Rivas, Procurador de los Tribunales, y de doña Itziar Martínez Sustatxa,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La recurrente fue condenada a varias penas en diversos procedimientos cuya suma superaba los treinta años de condena. Consta en las actuaciones Sentencia de 18 de diciembre de 1995 de la Sección Tercera de la Sala de lo Penal de la Audiencia Nacional por la que se condena a la recurrente como autora de un delito de pertenencia a banda armada tipificado en el art. 174.3 del Código penal (CP) a las penas de ocho años de prisión mayor; como autora de un delito de depósito de armas de guerra del art. 257 y 258 del Código penal a la pena de nueve años de prisión mayor, y como autora de un delito de tenencia de explosivos, como art. 264 del Código penal a la pena de nueve años de prisión mayor. También se incluye en las actuaciones que obran en autos la Sentencia de 28 de julio de 1994 de la Sección Primera de la Sala de lo Penal de la Audiencia Nacional por la que se condena a la recurrente en concepto de un delito de atentado con las agravantes de premeditación y alevosía a la pena de veintinueve años de reclusión mayor, y de un delito de estragos con el agravante de estar relacionado con la actividad de banda terrorista a la pena de diez años y un día de prisión menor.</w:t>
      </w:r>
    </w:p>
    <w:p w:rsidR="00D06117" w:rsidRDefault="00D06117" w:rsidP="00D06117">
      <w:pPr>
        <w:pStyle w:val="TextoNormal"/>
      </w:pPr>
    </w:p>
    <w:p w:rsidR="00D06117" w:rsidRDefault="00D06117" w:rsidP="00D06117">
      <w:pPr>
        <w:pStyle w:val="TextoNormal"/>
      </w:pPr>
      <w:r>
        <w:t>Conforme al art. 70.2 CP 1973 se impuso el límite de treinta años de cumplimiento, es decir, 10.950 días. Por escrito de 4 de marzo de 2009, recibido en la Sección Tercera de la Sala de lo Penal de la Audiencia Nacional, el centro penitenciario de Dueñas (Palencia) efectuó propuesta de licenciamiento definitivo de la penada para el día 4 de junio de 2009. A la vista de la propuesta y del informe favorable del Ministerio Fiscal la Sección Tercera de la Sala de lo Penal de la Audiencia Nacional dictó providencia de fecha 23 de marzo de 2009 aprobando el licenciamiento definitivo de la penada para el día 4 de junio de 2009.</w:t>
      </w:r>
    </w:p>
    <w:p w:rsidR="00D06117" w:rsidRDefault="00D06117" w:rsidP="00D06117">
      <w:pPr>
        <w:pStyle w:val="TextoNormal"/>
      </w:pPr>
    </w:p>
    <w:p w:rsidR="00D06117" w:rsidRDefault="00D06117" w:rsidP="00D06117">
      <w:pPr>
        <w:pStyle w:val="TextoNormal"/>
      </w:pPr>
      <w:r>
        <w:t xml:space="preserve">b) La Sección Tercera de la Sala de lo Penal de la Audiencia Nacional mediante providencia de fecha 7 de abril de 2009 requirió al centro penitenciario a fin de que presentara </w:t>
      </w:r>
      <w:r>
        <w:lastRenderedPageBreak/>
        <w:t>nueva propuesta de licenciamiento definitivo conforme a la doctrina de la Sala Segunda del Tribunal Supremo en Sentencia 197/2006, de 28 de febrero. Con fecha de 13 de abril de 2009 se interpuso por la recurrente recurso de súplica contra dicha resolución, interesando que se revocara la misma y solicitando la aprobación de su licenciamiento para el 4 de junio de 2009, tal y como se había acordado de forma definitiva mediante providencia de 23 de marzo de 2009.</w:t>
      </w:r>
    </w:p>
    <w:p w:rsidR="00D06117" w:rsidRDefault="00D06117" w:rsidP="00D06117">
      <w:pPr>
        <w:pStyle w:val="TextoNormal"/>
      </w:pPr>
    </w:p>
    <w:p w:rsidR="00D06117" w:rsidRDefault="00D06117" w:rsidP="00D06117">
      <w:pPr>
        <w:pStyle w:val="TextoNormal"/>
      </w:pPr>
      <w:r>
        <w:t>c) El Tribunal resolvió mediante Auto de 27 de abril de 2009, desestimando el recurso de súplica y manteniendo la resolución de 7 de marzo de 2009. Dicho Auto señala en sus fundamentos jurídicos que la aprobación de la nueva fecha de licenciamiento —25 de agosto de 2021— es el resultado de la aplicación de la STS 197/2006, en la que establece que, en lo referente a los supuestos de acumulación de condena, la redención no puede aplicarse sobre el límite de treinta años de las condenas acumuladas, sino sobre todas y cada una de las condenas impuestas, empezando por la más grave.</w:t>
      </w:r>
    </w:p>
    <w:p w:rsidR="00D06117" w:rsidRDefault="00D06117" w:rsidP="00D06117">
      <w:pPr>
        <w:pStyle w:val="TextoNormal"/>
      </w:pPr>
    </w:p>
    <w:p w:rsidR="00D06117" w:rsidRDefault="00D06117" w:rsidP="00D06117">
      <w:pPr>
        <w:pStyle w:val="TextoNormal"/>
      </w:pPr>
      <w:r>
        <w:t>d) Contra la resolución de 27 de abril de 2009 se interpuso incidente de nulidad solicitando la nulidad de las resoluciones posteriores a la providencia de 23 de marzo de 2009 al modificar al margen de lo contemplado por la ley y la jurisprudencia una resolución judicial firme. La Sección Tercera de la Sala de lo Penal de la Audiencia Nacional acordó en providencia de 23 de junio de 2009 no admitir dicho incidente de nulidad.</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00D06117" w:rsidRDefault="00D06117" w:rsidP="00D06117">
      <w:pPr>
        <w:pStyle w:val="TextoNormal"/>
      </w:pPr>
    </w:p>
    <w:p w:rsidR="00D06117" w:rsidRDefault="00D06117" w:rsidP="00D06117">
      <w:pPr>
        <w:pStyle w:val="TextoNormal"/>
      </w:pPr>
      <w:r>
        <w:t>En primer lugar se aduce la lesión del derecho a la tutela judicial efectiva (art. 24.1 CE) y a un proceso con todas las garantías (art. 24.2 CE), en su vertiente de derecho de defensa y a la contradicción, en relación con el principio acusatorio, así como del derecho a un recurso efectivo (art. 14.5 del Pacto internacional de derechos civiles y políticos: PIDCP), todo ello en relación con el art. 17 CE.</w:t>
      </w:r>
    </w:p>
    <w:p w:rsidR="00D06117" w:rsidRDefault="00D06117" w:rsidP="00D06117">
      <w:pPr>
        <w:pStyle w:val="TextoNormal"/>
      </w:pPr>
    </w:p>
    <w:p w:rsidR="00D06117" w:rsidRDefault="00D06117" w:rsidP="00D06117">
      <w:pPr>
        <w:pStyle w:val="TextoNormal"/>
      </w:pPr>
      <w:r>
        <w:t>En este motivo, con cita de las SSTC 11/1987, de 30 de enero, y 123/2005, de 12 de mayo (que sostienen que el principio de audiencia y la igualdad de partes han de respetarse también en la ejecución de la pena), se denuncia que la Audiencia Nacional dictó el Auto de 27 de abril de 2009 que introduce una perspectiva jurídica novedosa en cuanto al cómputo de las redenciones por trabajo, que empeora la situación del reo, pues demora su salida de prisión hasta el año 2021, y respecto de la que la recurrente no pudo defenderse y someterla a contradicción. Esto supone, a juicio de la recurrente, una vulneración del art. 24.1 que consagra el derecho a la defensa, derecho a un proceso público con todas las garantías y derecho a la contradicción así como a un Tribunal imparcial. Dentro de este motivo alega, la vulneración del derecho a la defensa, art. 24.1 CE a un proceso con las debidas garantías, art. 24.2 CE, en relación con los arts. 13 del Convenio europeo para la protección de los derechos humanos y de las libertades fundamentales (CEDH) y 14.5 PIDCP, derecho al recurso.</w:t>
      </w:r>
    </w:p>
    <w:p w:rsidR="00D06117" w:rsidRDefault="00D06117" w:rsidP="00D06117">
      <w:pPr>
        <w:pStyle w:val="TextoNormal"/>
      </w:pPr>
    </w:p>
    <w:p w:rsidR="00D06117" w:rsidRDefault="00D06117" w:rsidP="00D06117">
      <w:pPr>
        <w:pStyle w:val="TextoNormal"/>
      </w:pPr>
      <w:r>
        <w:t xml:space="preserve">En segundo término se refiere al principio de legalidad (art. 25.1 y 2 CE), en relación con la interpretación de los arts. 70.2 y 100 CP 1973, así como del art. 66 del reglamento de </w:t>
      </w:r>
      <w:r>
        <w:lastRenderedPageBreak/>
        <w:t>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1973,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w:t>
      </w:r>
    </w:p>
    <w:p w:rsidR="00D06117" w:rsidRDefault="00D06117" w:rsidP="00D06117">
      <w:pPr>
        <w:pStyle w:val="TextoNormal"/>
      </w:pPr>
    </w:p>
    <w:p w:rsidR="00D06117" w:rsidRDefault="00D06117" w:rsidP="00D06117">
      <w:pPr>
        <w:pStyle w:val="TextoNormal"/>
      </w:pPr>
      <w:r>
        <w:t>Como conclusión se destaca que la Administración penitenciaria, con la aprobación de los Jueces de vigilancia penitenciaria y de los Tribunales sentenciadores, han aplicado las redenciones como tiempo de cumplimiento efectivo, sin que nada justifique en este momento el cambio de criterio. Un criterio mantenido a la hora de determinar el Código más favorable, computando las redenciones como tiempo de cumplimiento y establecido por los Plenos no jurisdiccionales de 18 de julio de 1996 y de 12 de febrero de 1999. Considera que las resoluciones impugnadas, por las que se aprueba su licenciamiento en base a la interpretación de la STS 197/2006, modifican de manera grave, contraria a derecho y al reo, la aplicación de normas de carácter sustantivo, rompiendo con los criterios doctrinales y jurisprudenciales establecidos hasta el momento, y teniendo como consecuencia que no se le conceda un derecho establecido por la ley y que no ha sido modificado, sin que exista motivo alguno para dicho cambio de actitud.</w:t>
      </w:r>
    </w:p>
    <w:p w:rsidR="00D06117" w:rsidRDefault="00D06117" w:rsidP="00D06117">
      <w:pPr>
        <w:pStyle w:val="TextoNormal"/>
      </w:pPr>
    </w:p>
    <w:p w:rsidR="00D06117" w:rsidRDefault="00D06117" w:rsidP="00D06117">
      <w:pPr>
        <w:pStyle w:val="TextoNormal"/>
      </w:pPr>
      <w:r>
        <w:t>Como tercer motivo de amparo, se denuncia la vulneración del derecho a la tutela judicial efectiva (art. 24.1 CE), en relación con el derecho a la libertad (art. 17.1 CE). Estima que a raíz de la nueva interpretación de la aplicación de las redenciones sobre la totalidad de las condenas y no sobre la pena resultante de la aplicación de la reducción de condenas (art. 70.2 CP 1973) y teniendo en cuenta lo señalado en el segundo motivo de amparo, ambas resoluciones que se recurren crean una situación de indefensión e inseguridad jurídica, por cuanto a que la aprobación de redenciones por parte de los diferentes Juzgados de vigilancia penitenciaria, firmes e intangibles, suponían con la interpretación hasta la STS 197/2006, reducciones de condena respecto de los treinta años. Y es que así se interpretaba y aplicaba por todos los órganos judiciales y administrativo-penitenciarios, sin excepción. Las redenciones de pena reconocidas por resoluciones judiciales firmes son abono de condena y por tanto, afectan al derecho a la libertad consagrado en el art. 17 de la Constitución, lo cual implica la existencia de un deber reformado de motivación, derivado del art. 24.1 CE, que no se cumple en las resoluciones dictadas por el Tribunal de instancia y contra las que ahora se recurre. Ambas resoluciones deberían explicar las razones por las que limitan la libertad de la demandante y cambian el criterio hasta el momento mantenido, no bastando, en modo alguno, la remisión que realizan a la Sentencia 197/2006 del Tribunal Supremo.</w:t>
      </w:r>
    </w:p>
    <w:p w:rsidR="00D06117" w:rsidRDefault="00D06117" w:rsidP="00D06117">
      <w:pPr>
        <w:pStyle w:val="TextoNormal"/>
      </w:pPr>
    </w:p>
    <w:p w:rsidR="00D06117" w:rsidRDefault="00D06117" w:rsidP="00D06117">
      <w:pPr>
        <w:pStyle w:val="TextoNormal"/>
      </w:pPr>
      <w:r>
        <w:lastRenderedPageBreak/>
        <w:t>En cuarto lugar, aduce la vulneración del derecho fundamental a la tutela judicial efectiva, establecido en el artículo 24.1 de la Constitución Española, resultante de la vulneración del derecho a la intangibilidad de las resoluciones judiciales firmes, en relación igualmente a los principios de legalidad y seguridad jurídica. Recuerda que en su procedimiento y en la ejecutoria 79-1996 que del mismo se deriva, se acordó acumular las condenas impuestas al penado fijándose en una duración de treinta años de privación de libertad el tiempo total de cumplimiento de la condena. Consecuencia de dicho Auto se dictó resolución por la que se aprobó la liquidación de condena correspondiente, considerando la existencia de una sola condena de treinta años de privación de libertad, susceptible además de reducción por medio del beneficio de la redención de pena por el trabajo, ya que dicha condena se ajusta a las reglas del derogado Código penal, texto refundido de 1973. Posteriormente se dictó Auto por el que se acordaba no haber lugar a la revisión de la condena impuesta toda vez que, según se pone de manifiesto en el propio Auto la pena impuesta con arreglo al Código penal de 1973 es más beneficiosa que la prevista por el texto legal de 1995, lo que ha de deberse al cómputo de las redenciones de pena por el trabajo previstas por el art. 100 de aquel texto refundido de 1973, ya que en ambos casos estaríamos ante una condena refundida en treinta años de prisión. Consecuencia de esta situación, los diversos centros penitenciarios en los que ha estado ingresada la demandante han ido realizando y notificando al penado distintas hojas de cálculo en las que la fecha de liquidación de condena se calculaba siempre aplicando las redenciones obtenidas por Itziar Martínez de la pena única y total de treinta años a la que habían sido refundidas o acumuladas todas las inicialmente impuestas.</w:t>
      </w:r>
    </w:p>
    <w:p w:rsidR="00D06117" w:rsidRDefault="00D06117" w:rsidP="00D06117">
      <w:pPr>
        <w:pStyle w:val="TextoNormal"/>
      </w:pPr>
    </w:p>
    <w:p w:rsidR="00D06117" w:rsidRDefault="00D06117" w:rsidP="00D06117">
      <w:pPr>
        <w:pStyle w:val="TextoNormal"/>
      </w:pPr>
      <w:r>
        <w:t>En este sentido, argumenta, no sólo existe una expectativa de reducción de la condena y consecuentemente de libertad, sino que nos encontramos con una resolución firme, nunca cuestionada y nunca modificada, por la que se acumulan todas las condenas impuestas en una única, de donde se deriva la correspondiente liquidación de condena y cuya consecuencia es la aplicación a la misma de la institución de la redención de penas por el trabajo. Las resoluciones judiciales ahora impugnadas atrasan gravemente la fecha de licenciamiento definitivo de la recurrente y modifican el criterio derivado del Auto que fijaba los criterios para la ejecución de la condena. Afirma que la providencia de 23 de marzo de 2009 no es un acto de mero trámite y por ello modificable en cualquier momento sino que se trata de una resolución judicial firme sólo modificable a través del sistema legal de recursos. Dicha resolución judicial aprobó el licenciamiento definitivo, de conformidad con el informe emitido por el Ministerio Fiscal y que devino firme al no haber sido recurrido por ninguna de las partes. La inmodificabilidad de las resoluciones judiciales firmes integra también el contenido de la tutela juridicial efectiva, y en el presente caso el requerimiento que establece el órgano judicial carecería de efectividad ya que impide reabrir un proceso ya resuelto por una resolución judicial firme.</w:t>
      </w:r>
    </w:p>
    <w:p w:rsidR="00D06117" w:rsidRDefault="00D06117" w:rsidP="00D06117">
      <w:pPr>
        <w:pStyle w:val="TextoNormal"/>
      </w:pPr>
    </w:p>
    <w:p w:rsidR="00D06117" w:rsidRDefault="00D06117" w:rsidP="00D06117">
      <w:pPr>
        <w:pStyle w:val="TextoNormal"/>
      </w:pPr>
      <w:r>
        <w:t>Desde la perspectiva del derecho fundamental a la libertad (art. 17.1 CE) se aprobó el licenciamiento definitivo por cumplimiento de la condena para el 4 de junio de 2009, mediante resolución judicial de fecha 23 de marzo de 2009, dictada por la misma Sección, que ha ganado firmeza contra el cual no cabe recurso alguno, y dado que desde el 23 de marzo hasta el 7 de abril las circunstancias son las mismas y no se han conocido datos nuevos, ni han sobrevenido nuevas circunstancias que modifiquen los presupuestos de los que se había partido anteriormente, no cabe su modificación.</w:t>
      </w:r>
    </w:p>
    <w:p w:rsidR="00D06117" w:rsidRDefault="00D06117" w:rsidP="00D06117">
      <w:pPr>
        <w:pStyle w:val="TextoNormal"/>
      </w:pPr>
    </w:p>
    <w:p w:rsidR="00D06117" w:rsidRDefault="00D06117" w:rsidP="00D06117">
      <w:pPr>
        <w:pStyle w:val="TextoNormal"/>
      </w:pPr>
      <w:r>
        <w:lastRenderedPageBreak/>
        <w:t>En quinto lugar, se queja de la lesión del principio de legalidad (art. 25.1 y 9.3 CE), por aplicación retroactiva de ley desfavorable; se denuncia que con esta pretendida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lo que hace evidente que el Código penal de 1973 no contempla la aplicación de las redenciones a la totalidad de las condenas, una previsión que sí realiza el art. 78 CP 1995 y que es desfavorable. También se destaca que las modificaciones legales en esta materia se realizaron, como se pone de relieve en sus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A continuación se refiere al derecho a la igualdad en la aplicación de la ley (art. 14 CE). Con cita de la STC 144/1988, de 12 de julio,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y los Plenos no jurisdiccionales de 18 de julio de 1996 y 12 de febrero de 1999); así como todas las liquidaciones de condena y licenciamientos admitidos por todos y cada uno de los Tribunales españoles; posteriormente cita 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 xml:space="preserve">En cuanto al derecho a la libertad (art. 17.1 CE), tras poner de relieve que, conforme a la jurisprudencia de este Tribunal, la redención de penas por el trabajo afecta al derecho a la libertad (SSTC 31/1999, de 8 de marzo, y 76/2004, de 26 de abril),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Esto queda patente en la inicial liquidación de condena y propuesta de licenciamiento </w:t>
      </w:r>
      <w:r>
        <w:lastRenderedPageBreak/>
        <w:t>definitivo efectuada por el centro penitenciario, por lo que la denegación del licenciamiento definitivo viola el art. 17 CE, el art. 7.1 del Convenio Europeo y el art. 15.1 PIDCP.</w:t>
      </w:r>
    </w:p>
    <w:p w:rsidR="00D06117" w:rsidRDefault="00D06117" w:rsidP="00D06117">
      <w:pPr>
        <w:pStyle w:val="TextoNormal"/>
      </w:pPr>
    </w:p>
    <w:p w:rsidR="00D06117" w:rsidRDefault="00D06117" w:rsidP="00D06117">
      <w:pPr>
        <w:pStyle w:val="TextoNormal"/>
      </w:pPr>
      <w:r>
        <w:t>Es evidente que el modo en que los Autos de 27 abril y 23 de junio de 2009 dictados por la Sección Tercera de la Sala de lo Penal de la Audiencia Nacional, que se recurren, al denegar la libertad y admitir un licenciamiento definitivo realizado conforme a la nueva doctrina, entran de pleno en la esfera del derecho fundamental a la libertad. Se produce una afectación de éste, derivada directamente de la afectación de la expectativa de libertad de Itziar Martínez Sustatxa, al suponer un alargamiento del tiempo que deberá permanecer en prisión, obviamente más dilatado del inicialmente previsto, y todo ello por la aplicación de una interpretación totalmente novedosa que es la contenida en la STS 197/2006, contraria a la hasta ahora existente de carácter unánime.</w:t>
      </w:r>
    </w:p>
    <w:p w:rsidR="00D06117" w:rsidRDefault="00D06117" w:rsidP="00D06117">
      <w:pPr>
        <w:pStyle w:val="TextoNormal"/>
      </w:pPr>
    </w:p>
    <w:p w:rsidR="00D06117" w:rsidRDefault="00D06117" w:rsidP="00D06117">
      <w:pPr>
        <w:pStyle w:val="TextoNormal"/>
      </w:pPr>
      <w:r>
        <w:t>Y esto es, precisamente, lo que consideran que hacen las resoluciones de fecha 27 de abril y 23 de junio de 2009, que deniegan el licenciamiento definitivo previsto para el 4 de junio pasado y aprueban dicho licenciamiento para el año 2021 conforme a la interpretación que hace la STS 197/2006 de la forma de aplicación de las redenciones.</w:t>
      </w:r>
    </w:p>
    <w:p w:rsidR="00D06117" w:rsidRDefault="00D06117" w:rsidP="00D06117">
      <w:pPr>
        <w:pStyle w:val="TextoNormal"/>
      </w:pPr>
    </w:p>
    <w:p w:rsidR="00D06117" w:rsidRDefault="00D06117" w:rsidP="00D06117">
      <w:pPr>
        <w:pStyle w:val="TextoNormal"/>
      </w:pPr>
      <w:r>
        <w:t>En el caso de la recurrente, cumplió el 4 de junio de 2009, treinta años de condena, según se desprende de la liquidación de condena practicada por el centro penitenciario y ratificada posteriormente en la petición de licenciamiento que realiza la prisión de Dueñas en marzo del pasado año. Por tanto, las resoluciones de 8 y 29 de mayo de 2009 dictadas por la Sección Tercera de la Sala de lo Penal de la Audiencia Nacional, violan los arts. 17 CE, 5 y 7.1 CEDH y 9.1 y 5 y 15.1 PIDCP, y que así ha de ser declarado por este Alto Tribunal restableciendo a mi representado en el pleno ejercicio y respeto a sus derechos fundamentales.</w:t>
      </w:r>
    </w:p>
    <w:p w:rsidR="00D06117" w:rsidRDefault="00D06117" w:rsidP="00D06117">
      <w:pPr>
        <w:pStyle w:val="TextoNormal"/>
      </w:pPr>
    </w:p>
    <w:p w:rsidR="00D06117" w:rsidRDefault="00D06117" w:rsidP="00D06117">
      <w:pPr>
        <w:pStyle w:val="TextoNormal"/>
      </w:pPr>
      <w:r>
        <w:t>Por último, considera vulnerado el art. 25.2 CE, en relación con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3 de marzo de 2011, la Sala Segunda de este Tribunal acordó la admisión a trámite de la demanda así como, a tenor de lo establecido en el art. 51 de la Ley Orgánica del Tribunal Constitucional (LOTC), requerir atentamente a la Sección Tercera de la Sala de lo Penal de la Audiencia Nacional para que remitiera testimonio de las actuaciones correspondientes a la ejecutoria núm. 79-1996, interesando al tiempo que se emplazara a quienes fueron parte en el procedimiento, a excepción del demandante de amparo, para que pudiesen comparecer en el recurso de amparo. Asimismo, se acordó formar la correspondiente pieza separada de suspensión siendo, tras la oportuna tramitación, denegada mediante Auto de 6 de junio de 2011. Mediante providencia de 16 de febrero de 2012 se reiteró la denegación de la suspensión nuevamente solicitada por la parte recurrente.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Mediante diligencia de ordenación de 9 de enero de 2012, una vez recibido testimonio de las actuaciones judiciales requeridas, se otorgó, conforme al art. 52.1 LOTC, un plazo común de veinte días a las partes para que alegaran lo que estimaran oportuno.</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del demandante de amparo formuló sus alegaciones mediante escrito que tuvo su entrada en el Registro General de este Tribunal el día 8 de febrero de 2012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t>7</w:t>
      </w:r>
      <w:r>
        <w:t>. El día 31 de enero de 2012 presentó sus alegaciones el Ministerio Fiscal. Explica que, por razones sistemáticas, los motivos de amparo esgrimidos por la representación procesal de la recurrente deben ser abordados por orden distinto del que es propuesto en la demanda.</w:t>
      </w:r>
    </w:p>
    <w:p w:rsidR="00D06117" w:rsidRDefault="00D06117" w:rsidP="00D06117">
      <w:pPr>
        <w:pStyle w:val="TextoNormal"/>
      </w:pPr>
    </w:p>
    <w:p w:rsidR="00D06117" w:rsidRDefault="00D06117" w:rsidP="00D06117">
      <w:pPr>
        <w:pStyle w:val="TextoNormal"/>
      </w:pPr>
      <w:r>
        <w:t>Analiza en primer lugar el último de los motivos que se recogen en la demanda centrado en la eventual vulneración del principio de legalidad penal recogido en el art. 25.2 CE, en relación con las Reglas mínimas para el tratamiento de los reclusos y el Pacto internacional de derechos civiles y políticos, al desconocerse el carácter rehabilitador y de reinserción social al que deben ir orientadas las penas privativas de libertad y la medidas de seguridad. Considera que el motivo debe ser rechazado a limine porque, como reiteradamente ha destacado la doctrina de ese Alto Tribunal (SSTC 28/1988, de 23 de febrero, 88/1998, de 21 de abril, y ATC 219/1998, de 16 de noviembre, por todos), el art. 25.2 CE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 xml:space="preserve">Tampoco considera consistentes ni el motivo segundo ni el quinto que agrupa para su estudio, centrados en la eventual vulneración del principio de legalidad penal conectado al de irretroactividad de las normas penales y restrictivas de derechos, puesto que, como ha señalado también de modo reiterado la doctrina de ese Alto Tribunal (STC 237/1993, de 12 de julio, por todas) no es invocable en amparo, a no ser que a través del mismo haya sido vulnerado alguno de los derechos fundamentales susceptibles de amparo. La afirmación del recurrente acerca de que el Tribunal Supremo haya realizado una interpretación del art. 70.2 CP 1973 acorde con los criterios que han sido recogidos posteriormente en el art. 76 CP 1995, de tal modo que los beneficios penitenciarios hayan de ser aplicados, no a una nueva pena que resulte de la refundición de condenas, sino a cada una de las acumuladas hasta llegar al límite máximo de cumplimiento efectivo de las mismas es una afirmación que no tiene más alcance que el de las propias alegaciones del actor en su demanda. No parece que en el caso de autos, y a los efectos de una posible vulneración del principio de legalidad (art. 25.1 CE) la interpretación que las resoluciones judiciales ahora recurridas en amparo hacen del art. 70.2 CP 1973 en exégesis derivada de la STS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w:t>
      </w:r>
      <w:r>
        <w:lastRenderedPageBreak/>
        <w:t>a la norma en juego. Añade que como advierte, entre otras, la STS de 11 de mayo de 1994 el principio de legalidad en cuanto a la irretroactividad de la ley penal desfavorable al reo, se establece respecto de las leyes y no de las líneas jurisprudenciales.</w:t>
      </w:r>
    </w:p>
    <w:p w:rsidR="00D06117" w:rsidRDefault="00D06117" w:rsidP="00D06117">
      <w:pPr>
        <w:pStyle w:val="TextoNormal"/>
      </w:pPr>
    </w:p>
    <w:p w:rsidR="00D06117" w:rsidRDefault="00D06117" w:rsidP="00D06117">
      <w:pPr>
        <w:pStyle w:val="TextoNormal"/>
      </w:pPr>
      <w:r>
        <w:t>Es por todo este conjunto de razones por las que el Fiscal estima que tampoco concurre en estos dos supuestos la vulneración del principio de legalidad (art. 25.1 en relación con el art. 9.3 CE) en su proscripción de la retroactividad de las normas penales perjudiciales al reo.</w:t>
      </w:r>
    </w:p>
    <w:p w:rsidR="00D06117" w:rsidRDefault="00D06117" w:rsidP="00D06117">
      <w:pPr>
        <w:pStyle w:val="TextoNormal"/>
      </w:pPr>
    </w:p>
    <w:p w:rsidR="00D06117" w:rsidRDefault="00D06117" w:rsidP="00D06117">
      <w:pPr>
        <w:pStyle w:val="TextoNormal"/>
      </w:pPr>
      <w:r>
        <w:t>Asimismo, en el parecer del Ministerio Fiscal, debe ser desestimada la vulneración del principio de igualdad en la aplicación de la ley que sostiene el demandante en su motivo sexto apoyado en el denunciado abandono de una línea jurisprudencial anterior que había interpretado el art. 70.2 y concordantes del Código penal de 1973 de una manera distinta a la que ahora ha establecido, generando a su juicio una situación discriminatoria para el recurrente en el tratamiento de sus condenas refundidas. El motivo no puede prosperar, en primer lugar, porque el órgano judicial que ha dictado las dos resoluciones que son objeto de este recurso, la Sección Tercera de la Sala de lo Penal de la Audiencia Nacional, es distinto de aquel, la Sala Segunda del Tribunal Supremo, que dictó la resolución la STS 197/2006, de 28 de febrero, cuya doctrina recogida en las resoluciones cuestionadas, supuestamente ha generado la situación personal discriminatoria. La demanda no aporta resolución judicial alguna dictada por la Sección Tercera de la Sala de lo Penal de la Audiencia Nacional en la que se decidiera de manera diferente a las recurridas en amparo en supuestos sustancialmente idénticos, tal y como viene exigiendo la jurisprudencia del Tribunal Constitucional, bastando a este efecto la cita de la STC 51/2005, de 14 de marzo. Y, en segundo término porque, aun cuando hubiera existido en la Sala Segunda del Tribunal Supremo el criterio de apartarse de una anterior línea jurisprudencial uniforme, tema este discutible si se atiende a lo que se razona en el fundamento jurídico quinto de la Sentencia, hay que reconocer que ésta ha recogido un conjunto de razonamientos en interpretación de la legalidad aplicable al caso que desde la perspectiva de la racionalidad, justifican dicho eventual cambio de criterio, sin perjuicio lógicamente de que tales argumentos puedan ser analizados e incluso hasta rebatidos, desde la óptica de otros derechos fundamentales pero no desde el que ahora se invoca (SSTC 150/2001, de 2 de julio, y 70/2003, de 9 de abril).</w:t>
      </w:r>
    </w:p>
    <w:p w:rsidR="00D06117" w:rsidRDefault="00D06117" w:rsidP="00D06117">
      <w:pPr>
        <w:pStyle w:val="TextoNormal"/>
      </w:pPr>
    </w:p>
    <w:p w:rsidR="00D06117" w:rsidRDefault="00D06117" w:rsidP="00D06117">
      <w:pPr>
        <w:pStyle w:val="TextoNormal"/>
      </w:pPr>
      <w:r>
        <w:t>El motivo segundo argumenta la vulneración del derecho a la intangibilidad de las resoluciones judiciales (art. 24.1 CE) en relación con los principios de legalidad y seguridad jurídica. Resalta el Fiscal que en el caso de autos la secuencia de resoluciones judiciales es la siguiente: La Sección Tercera de la Sala de lo Penal de la Audiencia Nacional refundió las condenas que le habían sido impuestas a la demandante de amparo en diversos procesos en virtud de Auto de 28 de septiembre de 1998. En el Auto de refundición se fijó un máximo de cumplimiento de penas privativas de libertad establecido en treinta años, en el que jugarían los beneficios previstos en la legislación de aplicación, como así se especificó en el Auto declarado en la misma ejecutoria de fecha 26 de enero de 1998 y se tuvo en cuenta para no acceder a revisión de la condena de la recurrente por Auto de 24 de febrero de 1998.</w:t>
      </w:r>
    </w:p>
    <w:p w:rsidR="00D06117" w:rsidRDefault="00D06117" w:rsidP="00D06117">
      <w:pPr>
        <w:pStyle w:val="TextoNormal"/>
      </w:pPr>
    </w:p>
    <w:p w:rsidR="00D06117" w:rsidRDefault="00D06117" w:rsidP="00D06117">
      <w:pPr>
        <w:pStyle w:val="TextoNormal"/>
      </w:pPr>
      <w:r>
        <w:t xml:space="preserve">Contra este criterio se aprobó el licenciamiento definitivo de la ahora demandante por providencia de fecha 23 de marzo de 2009 fijándose dicho licenciamiento para el día 4 de junio de 2009, criterio al que se mostró favorable el Ministerio Fiscal que destacó en el informe que era procedente al haberse aprobado las redenciones ordinarias y extraordinarias </w:t>
      </w:r>
      <w:r>
        <w:lastRenderedPageBreak/>
        <w:t>por los órganos judiciales competentes, según constaba en los testimonios de los Autos unidos a la ejecutoria. A instancias del centro penitenciario en el que la demandante cumplía condena, y al parecer sustentado en noticias periodísticas el criterio fue revisado por la Sección Tercera de la Audiencia Nacional por Auto de fecha 27 de abril de 2009 en la que tras el informe favorable del Ministerio Fiscal, se acordó acoger la liquidación de condena remitida por el centro penitenciario sin beneficios de redención de penas ni ordinarios ni extraordinarios, fijándose el licenciamiento definitivo para el 25 de agosto de 2012 de conformidad con los criterios establecidos en la STS del Pleno de la Sala Segunda 197/2006, de 28 de febrero, lo que provocó que la fecha de licenciamiento definitivo fijado de conformidad con el inicial criterio y que había sido aprobado, fuera dejado sin efecto.</w:t>
      </w:r>
    </w:p>
    <w:p w:rsidR="00D06117" w:rsidRDefault="00D06117" w:rsidP="00D06117">
      <w:pPr>
        <w:pStyle w:val="TextoNormal"/>
      </w:pPr>
    </w:p>
    <w:p w:rsidR="00D06117" w:rsidRDefault="00D06117" w:rsidP="00D06117">
      <w:pPr>
        <w:pStyle w:val="TextoNormal"/>
      </w:pPr>
      <w:r>
        <w:t>De ello resulta que con el nuevo criterio interpretativo operado por las resoluciones judiciales ahora recurridas en amparo, se ha ocasionado un evidente perjuicio penológico a la demandante de amparo. El derecho a la intangibilidad de las resoluciones judiciales firmes, así como a la ejecución de las mismas se encuentra amparado en el seno más amplio del art. 24.1 CE que comprende el derecho a la tutela judicial efectiva (STC 23/2005, de 14 de febrero). El conflicto, a juicio del Fiscal, se plantea en relación a la prevalencia entre la exigencia de mantenimiento de una resolución judicial de refundición de penas y la consiguiente aprobación del licenciamiento definitivo y la variación de una interpretación jurisprudencial de su núcleo duro normativo que implica consecuencias retroactivamente perjudiciales para la fecha de licenciamiento definitivo del reo, lo que implica inevitablemente la aparición de su derecho a la libertad (art. 17 CE). Se hace evidente que la ejecución de una Sentencia penal debe obedecer siempre a criterios de estricta legalidad, ya que el criterio de legalidad de ejecución penal forma parte del contenido del principio de legalidad (STC 11/1987, de 30 de enero, y 147/1988, de 14 de julio). En dicha ejecución y en el caso de autos lo esencial es la determinación en el tiempo de una resolución judicial que fijara la liquidación de condena y en su seno los criterios (refundición de condenas, arts. 73-76 CP 1995 y 70 CP 1973) empleados para ello, sin olvidar la necesaria fluidez que impone a las fechas de licenciamiento los criterios de la redención de penas que son especialmente significativos en el Código penal de 1973.</w:t>
      </w:r>
    </w:p>
    <w:p w:rsidR="00D06117" w:rsidRDefault="00D06117" w:rsidP="00D06117">
      <w:pPr>
        <w:pStyle w:val="TextoNormal"/>
      </w:pPr>
    </w:p>
    <w:p w:rsidR="00D06117" w:rsidRDefault="00D06117" w:rsidP="00D06117">
      <w:pPr>
        <w:pStyle w:val="TextoNormal"/>
      </w:pPr>
      <w:r>
        <w:t>A priori no es aceptable para el Ministerio Fiscal que establecidos unos criterios de interpretación normativa para fijar la refundición de condena (Auto de 28 de septiembre de 1998) y el licenciamiento definitivo por providencia 23 de marzo de 2009, y establecidos ellos en resolución judicial, pudieran variarse en virtud de una posterior resolución, como lo son las resoluciones judiciales ahora recurridas en amparo, por vía de remisión a la STS 197/2006, de 28 de febrero, que interpreta de otra manera las normas atinentes. En el hecho de autos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desfavorable, que supone de facto la creación ex novo de un nuevo marco paranormativo que ha causado una extensión de la fecha de licenciamiento del interno.</w:t>
      </w:r>
    </w:p>
    <w:p w:rsidR="00D06117" w:rsidRDefault="00D06117" w:rsidP="00D06117">
      <w:pPr>
        <w:pStyle w:val="TextoNormal"/>
      </w:pPr>
    </w:p>
    <w:p w:rsidR="00D06117" w:rsidRDefault="00D06117" w:rsidP="00D06117">
      <w:pPr>
        <w:pStyle w:val="TextoNormal"/>
      </w:pPr>
      <w:r>
        <w:t xml:space="preserve">A esas dos vulneraciones debe conectarse la consecuencia inexcusable de ellas, la vulneración del derecho a la libertad personal (art. 17.1 CE), por cuanto en vez de obtener en </w:t>
      </w:r>
      <w:r>
        <w:lastRenderedPageBreak/>
        <w:t>la fecha prevista el licenciamiento definitivo lo será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La consecuencia de todo ello es la estimación del amparo por todas esas vulneraciones constitucionales, derecho a intangibilidad de la resoluciones judiciales (art. 24.1 CE), en relación con el principio de legalidad penal en relación con la irretroactividad de lo desfavorable para el reo (art. 25.1 en relación con el art. 9.3 CE) y el derecho a la libertad personal (art. 17.1 CE). La liquidación de condena y la fecha de licenciamiento definitivo del reo debe quedar fijada de conformidad con el canon interpretativo que en su momento fijara el Auto de 28 de septiembre de 1998, conforme a los criterios del art.70.2 allí expresados, tal como fueron acordados en la providencia de fecha 23 de marzo de 2009, dictada por la Sección Tercera de la Sala de la Audiencia Nacional. Ello implica la anulación de todas las resoluciones judiciales recurridas en amparo.</w:t>
      </w:r>
    </w:p>
    <w:p w:rsidR="00D06117" w:rsidRDefault="00D06117" w:rsidP="00D06117">
      <w:pPr>
        <w:pStyle w:val="TextoNormal"/>
      </w:pPr>
    </w:p>
    <w:p w:rsidR="00D06117" w:rsidRDefault="00D06117" w:rsidP="00D06117">
      <w:pPr>
        <w:pStyle w:val="TextoNormal"/>
      </w:pPr>
      <w:r>
        <w:t>Rechaza, por último, el primero de los motivos de amparo en el que se alega la vulneración del derecho a la defensa, art. 24.1 CE en un proceso con todas las garantías, art. 24.2 CE, en relación con los arts. 13 del CEDH y 14.5 del PIDCP, derecho al recurso y el motivo séptimo sobre la vulneración del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29 de febrero de 2012, el Pleno del Tribunal conforme a lo establecido en el art. 10.1 n) LOTC acordó, previa propuesta de la Sala Segunda,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Tercera de la Sala de lo Penal de la Audiencia Nacional, de 27 de abril de 2009, desestimatorio del recurso de súplica interpuesto contra la providencia de 7 de abril de 2009, que establece una nueva liquidación de condena de la demandante de amparo, y contra la providencia de 23 de junio de 2009 por la que se acuerda no haber lugar a admitir el recurso extraordinario de nulidad frente al Auto antes citado.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como ha quedado expuesto en los antecedentes, interesa la estimación del recurso, al considerar vulnerado el derecho a la intangibilidad de la resoluciones judiciales (art. 24.1 CE), en relación con el principio de legalidad penal en relación con la irretroactividad de lo desfavorable para el reo (art. 25.1 en relación con el art. 9.3 CE) y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00D06117" w:rsidRDefault="00D06117" w:rsidP="00D06117">
      <w:pPr>
        <w:pStyle w:val="TextoNormal"/>
      </w:pPr>
    </w:p>
    <w:p w:rsidR="00D06117" w:rsidRDefault="00D06117" w:rsidP="00D06117">
      <w:pPr>
        <w:pStyle w:val="TextoNormal"/>
      </w:pPr>
      <w:r>
        <w:t>Tal como recordábamos en la STC 174/2011, de 7 de noviembre,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el presente supuesto la demandante de amparo impugna el Auto de 27 de abril de 2009 por el que se aprobó su licenciamiento definitivo para el día 25 de agosto de 2021, y la providencia de 23 de junio de 2009 que inadmitió el incidente de nulidad intentado contra dicho Auto. Ahora bien, acude directamente ante este Tribunal sin hacer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 menos un año antes de dictarse las resoluciones impugnadas </w:t>
      </w:r>
      <w:r>
        <w:lastRenderedPageBreak/>
        <w:t>mediante el Auto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w:t>
      </w:r>
    </w:p>
    <w:p w:rsidR="00D06117" w:rsidRDefault="00D06117" w:rsidP="00D06117">
      <w:pPr>
        <w:pStyle w:val="TextoNormal"/>
      </w:pPr>
    </w:p>
    <w:p w:rsidR="00D06117" w:rsidRDefault="00D06117" w:rsidP="00D06117">
      <w:pPr>
        <w:pStyle w:val="TextoNormal"/>
      </w:pPr>
      <w:r>
        <w:t>Por todo lo que antecede resulta procedente dictar Sentencia inadmitiendo el recuso de amparo por falta de agotamiento de la vía judicial previa [art. 44.1 a) LOTC].</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el recurso de amparo formulado por doña Itziar Martínez Sustaxa, contra el Auto de la Sección Tercera de la Sala de lo Penal de la Audiencia Nacional, de 27 de abril de 2009 y contra la providencia de 23 de junio de 2009 por la que se acuerda no haber lugar a admitir el incidente de nulidad frente al Auto citado.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4" w:name="SENTENCIA_2012_61"/>
      <w:r>
        <w:lastRenderedPageBreak/>
        <w:t>SENTENCIA 61/2012, de 29 de marzo de 2012</w:t>
      </w:r>
    </w:p>
    <w:bookmarkEnd w:id="6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ECLI:ES:TC:2012:61</w:t>
      </w:r>
    </w:p>
    <w:p w:rsidR="00D06117" w:rsidRDefault="00D06117" w:rsidP="00D06117">
      <w:pPr>
        <w:pStyle w:val="SntesisDescriptiva"/>
      </w:pPr>
    </w:p>
    <w:p w:rsidR="00D06117" w:rsidRDefault="00D06117" w:rsidP="00D06117">
      <w:pPr>
        <w:pStyle w:val="SntesisDescriptiva"/>
      </w:pPr>
      <w:r>
        <w:t>Recurso de amparo 7852-2009. Promovido por don Jesús Vela Martínez en relación con los Autos de la Sala de lo Penal del Tribunal Supremo y de la Sección Tercera de la Audiencia Provincial de Pontevedra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No se ha vulnerado el derecho a la legalidad penal por aplicación retroactiva del art. 78 CP 1995, pues la prohibición de retroactividad de la ley penal desfavorable consagrada en el art. 25.1 CE tiene como presupuesto fáctico la aplicación retroactiva de una norma penal a hechos cometidos previamente a su entrada en vigor y, 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La Audiencia Provincial se limita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6.</w:t>
      </w:r>
      <w:r>
        <w:tab/>
        <w:t>No nos corresponde pronunciarnos sobre cómo interpretar y aplicar el art. 70 en relación con el art. 100 CP de 1973, ni sobre cuál ha de ser el límite de cumplimiento de las penas o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7.</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4].</w:t>
      </w:r>
    </w:p>
    <w:p w:rsidR="00D06117" w:rsidRDefault="00D06117" w:rsidP="00D06117">
      <w:pPr>
        <w:pStyle w:val="Extracto"/>
      </w:pPr>
    </w:p>
    <w:p w:rsidR="00D06117" w:rsidRDefault="00D06117" w:rsidP="00D06117">
      <w:pPr>
        <w:pStyle w:val="Extracto"/>
      </w:pPr>
      <w:r>
        <w:t>8.</w:t>
      </w:r>
      <w:r>
        <w:tab/>
        <w:t>El art. 25.2 CE no expresa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(SSTC 88/1998, 120/2000; ATC 279/2000) [FJ 4].</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4].</w:t>
      </w:r>
    </w:p>
    <w:p w:rsidR="00D06117" w:rsidRDefault="00D06117" w:rsidP="00D06117">
      <w:pPr>
        <w:pStyle w:val="Extracto"/>
      </w:pPr>
    </w:p>
    <w:p w:rsidR="00D06117" w:rsidRDefault="00D06117" w:rsidP="00D06117">
      <w:pPr>
        <w:pStyle w:val="Extracto"/>
      </w:pPr>
      <w:r>
        <w:t>10.</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7852-2009, promovido por don Jesús Vela Martínez, representado por la Procuradora de los Tribunales doña María Luz Galán Cia, contra el Auto de la Sala de lo Penal del Tribunal Supremo de 25 de junio de 2009 que declaró la inadmisión a trámite del recurso de casación presentado contra el Auto de la Sección Tercera de la Audiencia Provincial de Pontevedra de 4 de septiembre de 2008 en la ejecutoria 41-1998, rollo 3-1994. Han intervenido, don Pedro Fernández Sanromán —acusación particular en el procedimiento penal del que deriva el presente recurso—, representado por la Procuradora de los Tribunales doña Silvia Barreiro Teijeiro, y el Ministerio Fiscal.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21 de septiembre de 2009 don Jesús Vela Martínez, representado por la Procuradora de los Tribunales doña María Luz Galán Cia, presentó en el Registro General de este Tribunal recurso de amparo contra las resoluciones a las que se ha hecho mención en el encabezamiento de esta Sentencia por entender que las mismas vulneran, de un lado, el derecho fundamental a la tutela judicial efectiva por infringir el principio de seguridad jurídica (invocando a tal efecto los arts. 24.1 y 9.3 CE); de otro, el derecho a la libertad personal en relación con los principios de reeducación y reinserción social a los que deben estar orientadas las penas privativas de libertad (invocando para ello los arts. 17 y 25.2 CE); y, finalmente, el principio de igualdad (art. 14 CE).</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relevantes para su resolución, son los siguientes:</w:t>
      </w:r>
    </w:p>
    <w:p w:rsidR="00D06117" w:rsidRDefault="00D06117" w:rsidP="00D06117">
      <w:pPr>
        <w:pStyle w:val="TextoNormal"/>
      </w:pPr>
    </w:p>
    <w:p w:rsidR="00D06117" w:rsidRDefault="00D06117" w:rsidP="00D06117">
      <w:pPr>
        <w:pStyle w:val="TextoNormal"/>
      </w:pPr>
      <w:r>
        <w:t xml:space="preserve">a) El demandante de amparo —funcionario del Cuerpo Nacional de Policía en situación de segunda actividad— fue condenado, junto con otra persona, mediante Sentencia núm. 22/1996, de 24 de junio de 1996, dictada por la Sección Tercera de la Audiencia Provincial de Pontevedra (causa número 1-1994, rollo 3-1994, procedente del Juzgado de Instrucción de Vigo núm. 4) como autor de seis delitos de detención ilegal —con la agravante genérica prevista en el número 16 del artículo 10, en relación con la regla segunda del artículo 61 del Código penal (CP)—; de un delito de robo con homicidio —con las circunstancias agravantes previstas en los números 1, 10 y 16 del artículo 10, en relación con la regla segunda del artículo 61 del Código penal—; de tres delitos de asesinato —con las agravantes previstas en los números 10 y 16 del artículo 10, en relación con la regla segunda del artículo 61 del Código penal—; de dos delitos de homicidio, en grado de tentativa, —con las agravantes previstas en los números 10 y 16 del artículo 10, en relación con la regla segunda del artículo 61 del Código penal—; y de un delito de utilización ilegítima de vehículo de motor ajeno —con la agravante prevista en el número 10 del artículo 10, en relación con la regla segunda </w:t>
      </w:r>
      <w:r>
        <w:lastRenderedPageBreak/>
        <w:t>del artículo 61 del Código penal—, a las penas siguientes: por cada uno de los seis delitos de detención ilegal, a la pena de doce años y un día de reclusión menor; por el delito de robo con homicidio, a la pena de treinta años de reclusión mayor; por cada uno de los tres delitos de asesinato a la pena de treinta años de reclusión mayor; por cada uno de los dos delitos de homicidio en grado de tentativa a la pena de diez años de prisión mayor; y por el delito de utilización ilegítima de vehículo de motor ajeno a la pena de cinco meses de arresto mayor y privación del permiso de conducir por tiempo de un año. En la parte expositiva de dicha Sentencia se hacía constar expresamente: “y en cuanto a las penas impuestas, con la limitación de la regla 2ª del artículo 70 del Código Penal”.</w:t>
      </w:r>
    </w:p>
    <w:p w:rsidR="00D06117" w:rsidRDefault="00D06117" w:rsidP="00D06117">
      <w:pPr>
        <w:pStyle w:val="TextoNormal"/>
      </w:pPr>
    </w:p>
    <w:p w:rsidR="00D06117" w:rsidRDefault="00D06117" w:rsidP="00D06117">
      <w:pPr>
        <w:pStyle w:val="TextoNormal"/>
      </w:pPr>
      <w:r>
        <w:t>b) Posteriormente, la Sala de lo Penal del Tribunal Supremo, mediante Sentencia 172/1998, de 14 de febrero de 1998, declaró, en lo aquí interesa, no haber lugar al recurso de casación interpuesto por el actor contra la anterior Sentencia de 24 de junio de 1996 dictada por la Audiencia Provincial de Pontevedra.</w:t>
      </w:r>
    </w:p>
    <w:p w:rsidR="00D06117" w:rsidRDefault="00D06117" w:rsidP="00D06117">
      <w:pPr>
        <w:pStyle w:val="TextoNormal"/>
      </w:pPr>
    </w:p>
    <w:p w:rsidR="00D06117" w:rsidRDefault="00D06117" w:rsidP="00D06117">
      <w:pPr>
        <w:pStyle w:val="TextoNormal"/>
      </w:pPr>
      <w:r>
        <w:t>c) Mediante providencia de la Sección Tercera de la Audiencia Provincial de Pontevedra 21 de mayo de 1998 (folio 78 de las actuaciones) se aprobó la liquidación de condena practicada por el Secretario Judicial el 14 de mayo de 1998 en la causa de la que dimana la ejecutoria núm. 41-1998 (folios 74 a 78 de las actuaciones), en cuya liquidación, tras deducirse únicamente los abonos por detención (un día) y por prisión preventiva (1.519 días), se hace constar que de lo anterior resulta que el actor “deja extinguida la pena el día veinticuatro de enero del año dos mil veinticuatro”; ordenándose igualmente lo siguiente: “Remítase testimonio(s) de dicha(s) liquidación(es) al(os) Centro(s) Penitenciario(s) correspondiente(s) interesando acuse de recibo para constancia en la ejecutoria”.</w:t>
      </w:r>
    </w:p>
    <w:p w:rsidR="00D06117" w:rsidRDefault="00D06117" w:rsidP="00D06117">
      <w:pPr>
        <w:pStyle w:val="TextoNormal"/>
      </w:pPr>
    </w:p>
    <w:p w:rsidR="00D06117" w:rsidRDefault="00D06117" w:rsidP="00D06117">
      <w:pPr>
        <w:pStyle w:val="TextoNormal"/>
      </w:pPr>
      <w:r>
        <w:t>Según obra en las actuaciones (folio 79) esta resolución fue notificada al Ministerio Fiscal en fecha 26 de mayo de 1998, haciéndose constar que “dicha resolución es firme y no es susceptible de recurso ordinario alguno”.</w:t>
      </w:r>
    </w:p>
    <w:p w:rsidR="00D06117" w:rsidRDefault="00D06117" w:rsidP="00D06117">
      <w:pPr>
        <w:pStyle w:val="TextoNormal"/>
      </w:pPr>
    </w:p>
    <w:p w:rsidR="00D06117" w:rsidRDefault="00D06117" w:rsidP="00D06117">
      <w:pPr>
        <w:pStyle w:val="TextoNormal"/>
      </w:pPr>
      <w:r>
        <w:t>d) Por providencia de 9 de julio de 2008 la Sección Tercera de la Audiencia Provincial de Pontevedra acordó requerir al centro penitenciario de Quatre Camins hoja de cálculo la situación penitenciaria del condenado para, una vez recibida, dar traslado de la misma, junto con la ejecutoria, al Ministerio Fiscal para que informase sobre la posible aplicación de la Sentencia del Tribunal Supremo 197/2006, de 28 de febrero.</w:t>
      </w:r>
    </w:p>
    <w:p w:rsidR="00D06117" w:rsidRDefault="00D06117" w:rsidP="00D06117">
      <w:pPr>
        <w:pStyle w:val="TextoNormal"/>
      </w:pPr>
    </w:p>
    <w:p w:rsidR="00D06117" w:rsidRDefault="00D06117" w:rsidP="00D06117">
      <w:pPr>
        <w:pStyle w:val="TextoNormal"/>
      </w:pPr>
      <w:r>
        <w:t>La ficha de situación procesal penal del actor, elaborada por el citado centro penitenciario de Quatre Camins el mismo día 9 de julio de 2008 (folios 261 a 263 de las actuaciones), tras computar los abonos correspondientes a prisión preventiva y a beneficios penitenciarios, fija como fecha de cumplimiento definitivo, con el código “antiguo código”, el día 3 de agosto de 2009.</w:t>
      </w:r>
    </w:p>
    <w:p w:rsidR="00D06117" w:rsidRDefault="00D06117" w:rsidP="00D06117">
      <w:pPr>
        <w:pStyle w:val="TextoNormal"/>
      </w:pPr>
    </w:p>
    <w:p w:rsidR="00D06117" w:rsidRDefault="00D06117" w:rsidP="00D06117">
      <w:pPr>
        <w:pStyle w:val="TextoNormal"/>
      </w:pPr>
      <w:r>
        <w:t>e) El Ministerio Fiscal, mediante escrito de fecha 21 de julio de 2008, informó que el contenido de la Sentencia del Tribunal Supremo 197/2006, de 28 de febrero, antes mencionada, deberá de aplicarse en toda su extensión, “de forma que determinado el máximo de cumplimiento, debemos valorar que el cómputo de los beneficios penitenciarios será realizado en cada pena individualmente”.</w:t>
      </w:r>
    </w:p>
    <w:p w:rsidR="00D06117" w:rsidRDefault="00D06117" w:rsidP="00D06117">
      <w:pPr>
        <w:pStyle w:val="TextoNormal"/>
      </w:pPr>
    </w:p>
    <w:p w:rsidR="00D06117" w:rsidRDefault="00D06117" w:rsidP="00D06117">
      <w:pPr>
        <w:pStyle w:val="TextoNormal"/>
      </w:pPr>
      <w:r>
        <w:lastRenderedPageBreak/>
        <w:t>f) Mediante Auto de 4 de septiembre de 2008, dictado por la Sección Tercera de la Audiencia Provincial de Pontevedra, de conformidad con lo establecido en el art. 988 y 141 y demás concordantes de la Ley de enjuiciamiento criminal (LECrim), en relación con lo dispuesto en las reglas primera y segunda del art. 70 del Código penal vigente en el momento de la comisión de los hechos (de 1973), “se establece el máximo de cumplimiento de las penas impuestas en la sentencia firme dictada por esta Sección Tercera en fecha 24/06/1996 al condenado Jesús Vela Martínez en el límite de treinta años de prisión, pero computándose los beneficios penitenciarios respecto a cada una de las penas individualmente”.</w:t>
      </w:r>
    </w:p>
    <w:p w:rsidR="00D06117" w:rsidRDefault="00D06117" w:rsidP="00D06117">
      <w:pPr>
        <w:pStyle w:val="TextoNormal"/>
      </w:pPr>
    </w:p>
    <w:p w:rsidR="00D06117" w:rsidRDefault="00D06117" w:rsidP="00D06117">
      <w:pPr>
        <w:pStyle w:val="TextoNormal"/>
      </w:pPr>
      <w:r>
        <w:t>g) Contra el anterior Auto el actor interpuso recurso de casación por infracción de ley (art. 849.1 LECrim) por infracción del art. 25.2 CE, producida al haberse postergado los principios de la reinserción social y de reeducación con la adopción de una interpretación que enerva el principio de aplicación de la ley más favorable y perjudica al reo a la hora de computar los beneficios penitenciarios; por infracción del art. 24.2 CE por falta de tutela judicial efectiva, al haberse vulnerado los arts. 70.2 y 100 del anterior Código penal con ocasión de una interpretación restrictiva y errónea de los mismos.</w:t>
      </w:r>
    </w:p>
    <w:p w:rsidR="00D06117" w:rsidRDefault="00D06117" w:rsidP="00D06117">
      <w:pPr>
        <w:pStyle w:val="TextoNormal"/>
      </w:pPr>
    </w:p>
    <w:p w:rsidR="00D06117" w:rsidRDefault="00D06117" w:rsidP="00D06117">
      <w:pPr>
        <w:pStyle w:val="TextoNormal"/>
      </w:pPr>
      <w:r>
        <w:t>Mediante Auto de la Sala de lo Penal del Tribunal Supremo de 25 de junio de 2009 se declaró “no haber lugar a la admisión del recurso de casación formalizado por el recurrente”.</w:t>
      </w:r>
    </w:p>
    <w:p w:rsidR="00D06117" w:rsidRDefault="00D06117" w:rsidP="00D06117">
      <w:pPr>
        <w:pStyle w:val="TextoNormal"/>
      </w:pPr>
    </w:p>
    <w:p w:rsidR="00D06117" w:rsidRDefault="00D06117" w:rsidP="00D06117">
      <w:pPr>
        <w:pStyle w:val="TextoNormal"/>
      </w:pPr>
      <w:r w:rsidRPr="00D06117">
        <w:rPr>
          <w:rStyle w:val="NumeroAFNegritaCaracter"/>
        </w:rPr>
        <w:t>3</w:t>
      </w:r>
      <w:r>
        <w:t>. El demandante solicita el amparo por los siguientes motivos:</w:t>
      </w:r>
    </w:p>
    <w:p w:rsidR="00D06117" w:rsidRDefault="00D06117" w:rsidP="00D06117">
      <w:pPr>
        <w:pStyle w:val="TextoNormal"/>
      </w:pPr>
    </w:p>
    <w:p w:rsidR="00D06117" w:rsidRDefault="00D06117" w:rsidP="00D06117">
      <w:pPr>
        <w:pStyle w:val="TextoNormal"/>
      </w:pPr>
      <w:r>
        <w:t>a) En primer lugar, solicita el amparo constitucional por vulneración del derecho fundamental a la tutela judicial efectiva (art. 24.1 CE) por infringirse el principio de seguridad jurídica, invocando a tal efecto los arts. 9.3, 17.1 y 25.2 CE.</w:t>
      </w:r>
    </w:p>
    <w:p w:rsidR="00D06117" w:rsidRDefault="00D06117" w:rsidP="00D06117">
      <w:pPr>
        <w:pStyle w:val="TextoNormal"/>
      </w:pPr>
    </w:p>
    <w:p w:rsidR="00D06117" w:rsidRDefault="00D06117" w:rsidP="00D06117">
      <w:pPr>
        <w:pStyle w:val="TextoNormal"/>
      </w:pPr>
      <w:r>
        <w:t>Señala el demandante de amparo que la práctica penitenciaria y la jurisprudencia que, sobre los preceptos del Código penal de 1973, debe aplicarse a los hechos aquí enjuiciados es la que existía con anterioridad a la fecha de la Sentencia condenatoria, y que únicamente podría aplicarse la posterior a la referida Sentencia en el caso de que ésta fuese más favorable. A pesar de ello, la Sentencia del Tribunal Supremo 197/2006 —dictada diez años después de la Sentencia condenatoria— ha sido aplicada a la liquidación de la condena del actor, determinando que los beneficios penitenciarios se hayan aplicado respecto de cada una de las penas impuestas y no respecto al límite máximo de su condena (treinta años). De esta manera, afirma, no puede acogerse al beneficio penitenciario de redención de penas por el trabajo establecido en el art. 100 del antiguo Código penal, que venía aplicándose sobre la condena resultante de la acumulación de penas (treinta años), creándose con ello una situación desfavorable y evidente perjuicio respecto al cómputo de los años que le faltan para salir en libertad por la aplicación de la redención de penas por trabajo.</w:t>
      </w:r>
    </w:p>
    <w:p w:rsidR="00D06117" w:rsidRDefault="00D06117" w:rsidP="00D06117">
      <w:pPr>
        <w:pStyle w:val="TextoNormal"/>
      </w:pPr>
    </w:p>
    <w:p w:rsidR="00D06117" w:rsidRDefault="00D06117" w:rsidP="00D06117">
      <w:pPr>
        <w:pStyle w:val="TextoNormal"/>
      </w:pPr>
      <w:r>
        <w:t>Además, la virtualidad de la nueva tendencia jurisprudencial que determina la aplicación de beneficios penitenciarios sobre cada una de las penas impuestas y no sobre el límite máximo, presenta, en su opinión, un claro efecto sancionador en la medida que supone un mayor tiempo de permanencia en prisión para el autor de una pluralidad de delitos. Esta aplicación retroactiva de la interpretación jurisprudencial del artículo 70, reglas primera y segunda y del artículo 100 del Código penal de 1973, viene, en definitiva, a contrariar el principio de seguridad jurídica (art. 9.3 CE) y a restringir, igualmente, el derecho a la libertad del actor.</w:t>
      </w:r>
    </w:p>
    <w:p w:rsidR="00D06117" w:rsidRDefault="00D06117" w:rsidP="00D06117">
      <w:pPr>
        <w:pStyle w:val="TextoNormal"/>
      </w:pPr>
    </w:p>
    <w:p w:rsidR="00D06117" w:rsidRDefault="00D06117" w:rsidP="00D06117">
      <w:pPr>
        <w:pStyle w:val="TextoNormal"/>
      </w:pPr>
      <w:r>
        <w:t>b) En segundo lugar, solicita el amparo constitucional por vulneración del derecho a la libertad personal en relación con los principios de reeducación y reinserción social a los que deben estar orientadas las penas privativas de libertad (invocando para ello los arts. 17.1 y 25.2 CE).</w:t>
      </w:r>
    </w:p>
    <w:p w:rsidR="00D06117" w:rsidRDefault="00D06117" w:rsidP="00D06117">
      <w:pPr>
        <w:pStyle w:val="TextoNormal"/>
      </w:pPr>
    </w:p>
    <w:p w:rsidR="00D06117" w:rsidRDefault="00D06117" w:rsidP="00D06117">
      <w:pPr>
        <w:pStyle w:val="TextoNormal"/>
      </w:pPr>
      <w:r>
        <w:t>Sostiene el actor que la duración de la privación de libertad depende, entre otros factores, de que la aplicación del artículo 100 del Código penal de 1973 se realice sobre cada una de las penas impuestas o sobre el límite máximo de la condena (treinta años), resultando evidente que, en el primer caso, el tiempo de privación de libertad sería mucho mayor. La aplicación retroactiva de la Sentencia del Tribunal Supremo 197/2006 viene a dejar sin efecto el referido artículo 100, pues, aunque el penado trabajase y redimirse pena, nunca cumpliría menos de treinta años. Ello supone, en su opinión, una preterición de las finalidades de las penas privativas de libertad establecidas en el art. 25.2 CE, en concreto, de la reeducación y reinserción social, puesto que, con la solución adoptada, las actividades encaminadas a la reducción de condena (y, consecuentemente, a la reinserción) se revelan como ineficaces.</w:t>
      </w:r>
    </w:p>
    <w:p w:rsidR="00D06117" w:rsidRDefault="00D06117" w:rsidP="00D06117">
      <w:pPr>
        <w:pStyle w:val="TextoNormal"/>
      </w:pPr>
    </w:p>
    <w:p w:rsidR="00D06117" w:rsidRDefault="00D06117" w:rsidP="00D06117">
      <w:pPr>
        <w:pStyle w:val="TextoNormal"/>
      </w:pPr>
      <w:r>
        <w:t>c) En tercer lugar, considera que, con la aplicación de la doctrina sentada por la Sentencia del Tribunal Supremo 197/2006, se ha vulnerado el principio de igualdad (art. 14 CE) respecto de las liquidaciones de condena realizadas con anterioridad al año 2006 por hechos a los que se ha aplicado al antiguo Código penal. Sostiene que el cómputo de la reducción de penas por el trabajo sobre el total de la condena refundida o, como aquí acaecía, sobre el límite de los treinta años establecido en el artículo 70 del antiguo Código penal, venía siendo aplicado por todos los órganos judiciales competentes para ello con anterioridad a la referida Sentencia del Tribunal Supremo 197/2006. A tal efecto, invoca, aunque reconociendo que “en relación con temas distintos”, la Sentencia de la Audiencia Provincial de Huesca 35/2001, de 27 de abril.</w:t>
      </w:r>
    </w:p>
    <w:p w:rsidR="00D06117" w:rsidRDefault="00D06117" w:rsidP="00D06117">
      <w:pPr>
        <w:pStyle w:val="TextoNormal"/>
      </w:pPr>
    </w:p>
    <w:p w:rsidR="00D06117" w:rsidRDefault="00D06117" w:rsidP="00D06117">
      <w:pPr>
        <w:pStyle w:val="TextoNormal"/>
      </w:pPr>
      <w:r>
        <w:t>d) Finalmente, a mayor abundamiento de los “razonamientos esgrimidos en los motivos de amparo”, el actor hace suyas las consideraciones y opiniones que se realizaron en el Voto particular formulado a la Sentencia del Tribunal Supremo 197/2006.</w:t>
      </w:r>
    </w:p>
    <w:p w:rsidR="00D06117" w:rsidRDefault="00D06117" w:rsidP="00D06117">
      <w:pPr>
        <w:pStyle w:val="TextoNormal"/>
      </w:pPr>
    </w:p>
    <w:p w:rsidR="00D06117" w:rsidRDefault="00D06117" w:rsidP="00D06117">
      <w:pPr>
        <w:pStyle w:val="TextoNormal"/>
      </w:pPr>
      <w:r>
        <w:t>Por todo lo expuesto solicita que se dicte Sentencia por la que se otorgue el amparo, anulándose el Auto de la Sala de lo Penal del Tribunal Supremo de fecha 25 de junio de 2009 y el Auto dictado por la Sección Tercera de la Audiencia Provincial de Pontevedra el 4 de septiembre de 2008, acordándose igualmente devolver las actuaciones a la Sección Tercera de la Audiencia Provincial de Pontevedra a fin de que se dicte una nueva liquidación de condena donde se determine que los beneficios penitenciarios que pudieran corresponder al actor se computen sobre el límite de la condena impuesta de treinta años.</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Constitucional, por providencia de 17 de marzo de 2011, admitió a trámite la demanda y, de conformidad con lo dispuesto en el art. 51 de la Ley Orgánica del Tribunal Constitucional (LOTC), acordó dirigir atenta comunicación a la Sala de lo Penal del Tribunal Supremo y a la Audiencia Provincial de Pontevedra, a fin de que, en plazo que no excediera de diez días, remitiesen certificación o fotocopia adverada de las actuaciones correspondientes, respectivamente, al recurso de casación núm. 2-11558-</w:t>
      </w:r>
      <w:r>
        <w:lastRenderedPageBreak/>
        <w:t>2008 y a la ejecutoria núm. 41-1998 (rollo 3-1994), debiendo la Audiencia emplazar previamente a quienes hubieran sido parte en el procedimiento, a excepción del demandante de amparo, para que pudieran comparecer en el plazo de diez días en este recurso.</w:t>
      </w:r>
    </w:p>
    <w:p w:rsidR="00D06117" w:rsidRDefault="00D06117" w:rsidP="00D06117">
      <w:pPr>
        <w:pStyle w:val="TextoNormal"/>
      </w:pPr>
    </w:p>
    <w:p w:rsidR="00D06117" w:rsidRDefault="00D06117" w:rsidP="00D06117">
      <w:pPr>
        <w:pStyle w:val="TextoNormal"/>
      </w:pPr>
      <w:r w:rsidRPr="00D06117">
        <w:rPr>
          <w:rStyle w:val="NumeroAFNegritaCaracter"/>
        </w:rPr>
        <w:t>5</w:t>
      </w:r>
      <w:r>
        <w:t>. La Sala Segunda de este Tribunal Constitucional, por diligencia de ordenación de 31 de mayo de 2011, acordó tener por personado y parte en el procedimiento a la Procuradora doña Silvia Barreiro Tejeiro en nombre y representación de don Pedro Fernández Sanromán —acusación particular en el procedimiento del que deriva el presente recurso—, y dar vista de las actuaciones recibidas a las partes personadas y al Ministerio Fiscal, por plazo común de veinte días, para que de conformidad con lo dispuesto en el art. 52.1 LOTC, presentaran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6</w:t>
      </w:r>
      <w:r>
        <w:t>. El recurrente en amparo evacuó el trámite de alegaciones mediante escrito registrado el 30 de junio de 2011, en el que se remite a cuanto argumentó previamente en la demanda, si bien anuda el giro interpretativo que establece la Sentencia del Tribunal Supremo 197/2006 a una apodíctica vulneración del principio de legalidad (art. 9.3 CE).</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 don Pedro Fernández Sanromán cumplimentó el trámite de alegaciones mediante escrito registrado el 30 de junio de 2011 en el que solicita que se desestime el recurso de amparo por entender que las resoluciones judiciales recurridas no han vulnerado los derechos invocados.</w:t>
      </w:r>
    </w:p>
    <w:p w:rsidR="00D06117" w:rsidRDefault="00D06117" w:rsidP="00D06117">
      <w:pPr>
        <w:pStyle w:val="TextoNormal"/>
      </w:pPr>
    </w:p>
    <w:p w:rsidR="00D06117" w:rsidRDefault="00D06117" w:rsidP="00D06117">
      <w:pPr>
        <w:pStyle w:val="TextoNormal"/>
      </w:pPr>
      <w:r>
        <w:t>En primer lugar, y en relación con la infracción del derecho a la tutela judicial efectiva por vulneración del principio de seguridad jurídica (arts. 24.1 y 9.3 CE), señala que la Sentencia de la Sección Tercera de la Audiencia Provincial de Pontevedra de 24 de junio de 1996, que condenó al actor, establecía, en cuanto a las penas impuestas, la limitación de la regla segunda del artículo 70 del Código penal de 1973, cuya interpretación en relación con el artículo 100 del mismo texto es la cuestión sometida a debate. Considera que los argumentos de la Sentencia del Tribunal Supremo 197/1996, de 28 febrero —que estableció que el cómputo de los beneficios penitenciarios (entre los que se encuentra la redención de penas por el trabajo a que se refiere el artículo 100 del Código penal de 1973) debía hacerse sobre cada una de las penas impuestas y no sobre el límite máximo de cumplimiento de las mismas (treinta años), el cual no se convierte por ello en una nueva pena—, no han sido rebatidos por el recurrente.</w:t>
      </w:r>
    </w:p>
    <w:p w:rsidR="00D06117" w:rsidRDefault="00D06117" w:rsidP="00D06117">
      <w:pPr>
        <w:pStyle w:val="TextoNormal"/>
      </w:pPr>
    </w:p>
    <w:p w:rsidR="00D06117" w:rsidRDefault="00D06117" w:rsidP="00D06117">
      <w:pPr>
        <w:pStyle w:val="TextoNormal"/>
      </w:pPr>
      <w:r>
        <w:t>Por otra parte, sobre la vulneración del derecho a la libertad en relación con los principios penitenciarios de reeducación y reinserción social, sostiene que la repetida Sentencia del Tribunal Supremo se limita a determinar la forma de cumplimiento de la condena total en caso de concurrencia de penas, sin que ello suponga enervar la eficacia de las redenciones obtenidas por el trabajo, ni la aplicabilidad del artículo 100 del Código penal de 1973. Antes bien, el actor es beneficiario de dos medidas compatibles: la extinción de penas por el trabajo prevista en el referido artículo 100, y el límite máximo de cumplimiento de treinta años de privación de libertad previsto en el artículo 70.2 del Código penal. Además, la interpretación sostenida por el recurrente implicaría un mismo trato punitivo con independencia del número de delitos cometidos.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El Ministerio Fiscal cumplimentó el trámite de alegaciones mediante escrito registrado el 6 de julio de 2011, en el que solicita que se estime el recurso de amparo por entender que las resoluciones judiciales recurridas han vulnerado los derechos fundamentales de ejecución de las resoluciones judiciales en sus propios términos (art. 24.1 CE), en relación con el principio de legalidad penal (art. 25.1 CE) y de libertad personal (art. 17.1 CE).</w:t>
      </w:r>
    </w:p>
    <w:p w:rsidR="00D06117" w:rsidRDefault="00D06117" w:rsidP="00D06117">
      <w:pPr>
        <w:pStyle w:val="TextoNormal"/>
      </w:pPr>
    </w:p>
    <w:p w:rsidR="00D06117" w:rsidRDefault="00D06117" w:rsidP="00D06117">
      <w:pPr>
        <w:pStyle w:val="TextoNormal"/>
      </w:pPr>
      <w:r>
        <w:t>Según el Fiscal, la alegación principal del actor radica en una supuesta vulneración del derecho a la libertad personal (art. 17.1 CE) vinculado con los fines de reinserción social anejos a la pena (art. 25.2 CE). Considera que el núcleo argumentativo de la demanda de amparo pivota sobre el rechazo a que, retroactivamente, puede aplicarse la doctrina emanada de la Sentencia del Tribunal Supremo 197/2006, en relación con la aplicación de la regla segunda del art. 70 CP sobre los beneficios por la redención de penas por el trabajo, determinando la prolongación de la permanencia del reo en prisión cumpliendo las penas que les fueron impuestas.</w:t>
      </w:r>
    </w:p>
    <w:p w:rsidR="00D06117" w:rsidRDefault="00D06117" w:rsidP="00D06117">
      <w:pPr>
        <w:pStyle w:val="TextoNormal"/>
      </w:pPr>
    </w:p>
    <w:p w:rsidR="00D06117" w:rsidRDefault="00D06117" w:rsidP="00D06117">
      <w:pPr>
        <w:pStyle w:val="TextoNormal"/>
      </w:pPr>
      <w:r>
        <w:t>Comienza por analizar, en primer lugar, la alegación de vulneración de la tutela judicial efectiva (art. 24.1 CE), en relación con los arts. 9.3, 25.2 y 17.1 CE, por quebrantamiento del principio de legalidad penal como consecuencia de la aplicación retroactiva de una novedosa línea interpretativa en contra del reo.</w:t>
      </w:r>
    </w:p>
    <w:p w:rsidR="00D06117" w:rsidRDefault="00D06117" w:rsidP="00D06117">
      <w:pPr>
        <w:pStyle w:val="TextoNormal"/>
      </w:pPr>
    </w:p>
    <w:p w:rsidR="00D06117" w:rsidRDefault="00D06117" w:rsidP="00D06117">
      <w:pPr>
        <w:pStyle w:val="TextoNormal"/>
      </w:pPr>
      <w:r>
        <w:t>El Fiscal, a pesar de reconocer que la norma penal no ha variado, considera que la aplicación retroactiva que realizan las resoluciones judiciales recurridas en amparo de los criterios emanados de la Sentencia del Tribunal Supremo 197/2006, de 28 de febrero, ha ocasionado un evidente perjuicio penológico al demandante que venía disfrutando de los beneficios penitenciarios de manera diferente a la exigida por la referida Sentencia del Alto Tribunal. Concretamente, la Sentencia condenatoria establecía la aplicación de la regla fijada para la refundición de penas prevenida en el art. 70.2 CP y, como consecuencia de ello, la liquidación de condena aprobada el 21 de mayo de 1998 respecto a los beneficios penitenciarios de redención de penas por el trabajo se aplicaban sobre una sola pena de treinta años de conformidad con la jurisprudencia existente en aquel momento. Por ese motivo se fijaba como fecha de licenciamiento el 24 de enero de 2024.</w:t>
      </w:r>
    </w:p>
    <w:p w:rsidR="00D06117" w:rsidRDefault="00D06117" w:rsidP="00D06117">
      <w:pPr>
        <w:pStyle w:val="TextoNormal"/>
      </w:pPr>
    </w:p>
    <w:p w:rsidR="00D06117" w:rsidRDefault="00D06117" w:rsidP="00D06117">
      <w:pPr>
        <w:pStyle w:val="TextoNormal"/>
      </w:pPr>
      <w:r>
        <w:t>A continuación, y en relación con el derecho a la intangibilidad de las resoluciones judiciales firmes, el Fiscal considera que, a priori no parece que las liquidaciones de condena puedan ser clasificadas como resoluciones judiciales de naturaleza firme e intangible, dada la extremada fluidez de la vida del cumplimiento penitenciario cuando entra en juego la institución de la redención de penas. Sin embargo, tras la cita de la STC 174/1989, de 30 de octubre, FFJJ 4 y 5, concluye que la ejecución de Sentencia y la variación interpretativa jurisprudencial de un precepto de dicha fase procesal constituye un terreno muy movedizo. Por otra parte, el conflicto entre la exigencia de mantenimiento de una resolución judicial de refundición de penas y la variación de la interpretación jurisprudencial de su núcleo duro normativo, que implica consecuencias retroactivamente perjudiciales, son cuestiones que indefectiblemente traen al debate al derecho a la libertad (art. 17 CE).</w:t>
      </w:r>
    </w:p>
    <w:p w:rsidR="00D06117" w:rsidRDefault="00D06117" w:rsidP="00D06117">
      <w:pPr>
        <w:pStyle w:val="TextoNormal"/>
      </w:pPr>
    </w:p>
    <w:p w:rsidR="00D06117" w:rsidRDefault="00D06117" w:rsidP="00D06117">
      <w:pPr>
        <w:pStyle w:val="TextoNormal"/>
      </w:pPr>
      <w:r>
        <w:t xml:space="preserve">Seguidamente, tras recordar que la ejecución de la Sentencia penal debe obedecer siempre a criterios de estricta legalidad, el Fiscal considera que se ha vulnerado el derecho a la intangibilidad y a la ejecución de las resoluciones judiciales firmes como parte integrante del derecho a la tutela judicial efectiva contemplado en el art. 24.1 CE, y ello en la medida </w:t>
      </w:r>
      <w:r>
        <w:lastRenderedPageBreak/>
        <w:t>en que la liquidación de condena de 14 de mayo de 1998, que fijó los criterios para la ejecución de condena conteniendo en su seno una interpretación concreta de la normativa sobre refundición de condenas, ha sido modificada posteriormente en atención a una nueva interpretación emanada de la decisión del Tribunal Supremo.</w:t>
      </w:r>
    </w:p>
    <w:p w:rsidR="00D06117" w:rsidRDefault="00D06117" w:rsidP="00D06117">
      <w:pPr>
        <w:pStyle w:val="TextoNormal"/>
      </w:pPr>
    </w:p>
    <w:p w:rsidR="00D06117" w:rsidRDefault="00D06117" w:rsidP="00D06117">
      <w:pPr>
        <w:pStyle w:val="TextoNormal"/>
      </w:pPr>
      <w:r>
        <w:t>Acto seguido, con cita de doctrina de este Tribunal Constitucional y del Tribunal Europeo de Derechos Humanos, el Fiscal argumenta que el derecho a la tutela judicial efectiva tiene engarce con el principio de legalidad penal (art. 25.1 CE) en relación con la irretroactividad de las normas penales perjudiciales para el reo (art. 9.3 CE), al integrarse dentro del complejo de legalidad la irretroactividad tanto de las propia normas, como de su interpretación desfavorable al reo. En su opinión, las resoluciones judiciales recurridas en el presente recurso de amparo han alterado el devenir del cumplimiento de la pena impuesta mediante la creación ex novo de un nuevo marco paranormativo que ha causado una extensión de la fecha de licenciamiento del interno y una revisión en la aplicación de los beneficios de la redención de penas.</w:t>
      </w:r>
    </w:p>
    <w:p w:rsidR="00D06117" w:rsidRDefault="00D06117" w:rsidP="00D06117">
      <w:pPr>
        <w:pStyle w:val="TextoNormal"/>
      </w:pPr>
    </w:p>
    <w:p w:rsidR="00D06117" w:rsidRDefault="00D06117" w:rsidP="00D06117">
      <w:pPr>
        <w:pStyle w:val="TextoNormal"/>
      </w:pPr>
      <w:r>
        <w:t>También considera infringido el Fiscal el derecho a la libertad personal (art. 17.1 CE) por cuanto la fecha de licenciamiento definitivo lo sería en fecha muy posterior como consecuencia de esa nueva desfavorable interpretación de la normativa.</w:t>
      </w:r>
    </w:p>
    <w:p w:rsidR="00D06117" w:rsidRDefault="00D06117" w:rsidP="00D06117">
      <w:pPr>
        <w:pStyle w:val="TextoNormal"/>
      </w:pPr>
    </w:p>
    <w:p w:rsidR="00D06117" w:rsidRDefault="00D06117" w:rsidP="00D06117">
      <w:pPr>
        <w:pStyle w:val="TextoNormal"/>
      </w:pPr>
      <w:r>
        <w:t>Por último, el Fiscal rechaza la vulneración del derecho de igualdad (art. 14 CE), pues el término de comparación que se ofrece tiene tal carácter de indeterminación que en modo alguno puede servir de término de comparación a los afectos del referido derecho fundamental.</w:t>
      </w:r>
    </w:p>
    <w:p w:rsidR="00D06117" w:rsidRDefault="00D06117" w:rsidP="00D06117">
      <w:pPr>
        <w:pStyle w:val="TextoNormal"/>
      </w:pPr>
    </w:p>
    <w:p w:rsidR="00D06117" w:rsidRDefault="00D06117" w:rsidP="00D06117">
      <w:pPr>
        <w:pStyle w:val="TextoNormal"/>
      </w:pPr>
      <w:r>
        <w:t>La consecuencia de todo ello no puede ser, a su juicio, más que la estimación del presente recurso de amparo por vulneración del derecho a la intangibilidad de las resoluciones judiciales (art. 24.1 CE), en relación con el principio de legalidad penal en relación, a su vez, con la irretroactividad de lo desfavorable para el reo (art. 25.1 en relación con el art. 9.3 CE) y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9</w:t>
      </w:r>
      <w:r>
        <w:t>. En providencia de 17 de enero de 2012, el Pleno del Tribunal Constitucional acordó la avocación del presente recurso de amparo, de conformidad con el art. 10.1 n) LOTC.</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fecha 26 de marzo de 2012 se señaló para la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Sala de lo Penal del Tribunal Supremo de 25 de junio de 2009, que acuerda no haber lugar a la admisión del recurso de casación formalizado contra el Auto de la Sección Tercera de la Audiencia Provincial de Pontevedra de 4 de septiembre de 2008, en el que se acuerda fijar el límite máximo de cumplimiento en treinta años de privación de libertad, estableciendo que el cómputo de las redenciones se realizará de conformidad con la doctrina establecida por el Tribunal Supremo en la Sentencia de 28 de febrero de 2006.</w:t>
      </w:r>
    </w:p>
    <w:p w:rsidR="00D06117" w:rsidRDefault="00D06117" w:rsidP="00D06117">
      <w:pPr>
        <w:pStyle w:val="TextoNormal"/>
      </w:pPr>
    </w:p>
    <w:p w:rsidR="00D06117" w:rsidRDefault="00D06117" w:rsidP="00D06117">
      <w:pPr>
        <w:pStyle w:val="TextoNormal"/>
      </w:pPr>
      <w:r>
        <w:lastRenderedPageBreak/>
        <w:t>La cuestión a decidir es si la resolución impugnada vulnera los derechos fundamentales a la tutela judicial efectiva (art. 24.1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rsidRPr="00D06117">
        <w:rPr>
          <w:rStyle w:val="NumeroAFNegritaCaracter"/>
        </w:rPr>
        <w:t>2</w:t>
      </w:r>
      <w:r>
        <w:t>. En la primera de las quejas articuladas en la demanda, bajo la invocación de los derechos a la tutela judicial efectiva (art. 24.1 CE), se denuncia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el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cada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El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Todo ello en la medida en que la aplicación del nuevo criterio de cómputo de las redenciones de penas por trabajo modifica sus expectativas de alcanzar la libertad en un plazo menor al de treinta años de cumplimiento efectivo, ya que con el anterior criterio de cómputo las redenciones se descontarían de ese límite de cumplimiento.</w:t>
      </w:r>
    </w:p>
    <w:p w:rsidR="00D06117" w:rsidRDefault="00D06117" w:rsidP="00D06117">
      <w:pPr>
        <w:pStyle w:val="TextoNormal"/>
      </w:pPr>
    </w:p>
    <w:p w:rsidR="00D06117" w:rsidRDefault="00D06117" w:rsidP="00D06117">
      <w:pPr>
        <w:pStyle w:val="TextoNormal"/>
      </w:pPr>
      <w:r>
        <w:t>A la vista de lo cual, hemos de comenzar precisando cuáles son los derechos fundamentales en juego y cuál ha de ser nuestro parámetro de enjuiciamiento en esta materia. No obstante, con carácter previo, conviene aclarar que el objeto del presente recurso de amparo no lo constituye la Sentencia 197/2006, de 28 de febrero, dictada por la Sala Segunda del Tribunal Supremo, sino que nuestro examen se ha de limitar a la consideración de la respuesta judicial que para el caso concreto se contiene en las resoluciones recurridas, en las que se acuerda la acumulación de las condenas del recurrente, fijando el límite máximo de cumplimiento y la aplicación como criterio de cómputo de las redenciones el establecido con carácter previo en la STS 197/2006.</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w:t>
      </w:r>
      <w:r>
        <w:lastRenderedPageBreak/>
        <w:t>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 xml:space="preserve">Los cambios de criterio jurisprudencial y su conformidad con la Constitución han de ser analizados desde otras perspectivas, una de las cuales es, sin duda, la del principio de igualdad en la aplicación de la ley (art. 14 CE). Sin embargo, tampoco en el presente caso puede </w:t>
      </w:r>
      <w:r>
        <w:lastRenderedPageBreak/>
        <w:t>apreciarse una vulneración del derecho fundamental consagrado en el art. 14 CE. Como señala el Ministerio Fiscal, el término de comparación que se ofrece tiene tal carácter de indeterminación que en modo alguno puede servir a los afectos del referido derecho fundamental. Además, la resolución dictada por la Audiencia Provincial de Pontevedra se limita a aplicar la doctrina sentada con anterioridad por otro órgano judicial, el Tribunal Supremo, máximo intérprete de la ley, justificando el cambio de criterio en el cómputo de las redenciones de penas por el trabajo, frente a otros supuestos resueltos con anterioridad, precisamente en aplicación de esa doctrina. El Tribunal Supremo, por su parte, al confirmar el Auto de la Audiencia Provincial se remite también al criterio sentado en su Sentencia anterior, que es a la que en realidad se está imputando la vulneración del art. 14 CE, pero que no es objeto de enjuiciamiento en el presente proceso de amparo como señalamos anteriormente. Por tanto, en el presente caso no puede apreciarse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4</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STC 237/1998, de 14 de diciembre, FJ 3; y 31/1999, de 8 de marzo, FJ 3). Nuestra función se limita a examinar tales decisiones, desde la perspectiva de los derechos fundamentales en juego, cuyo contenido se constituye en límite a la actuación judicial (art. 123.1 en relación con los arts. 9.1 y 53.1, todos ellos de la Constitución).</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w:t>
      </w:r>
      <w:r>
        <w:lastRenderedPageBreak/>
        <w:t>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recurridas vulneró su derecho a la tutela judicial efectiva (art. 24.1 CE) en relación con su derecho a la libertad (art. 17.1 CE), lo que habría sucedido en el presente caso, únicamente en la medida en que la aplicación del nuevo criterio jurisprudencial de cómputo de la redención de penas por trabajo hubiese implicado la defraudación de una legítima expectativa de alcanzar la libertad en un momento anterior a cumplimiento efectivo del máximo de treinta años establecido en el art. 70.2 CP 1973 consolidada en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5</w:t>
      </w:r>
      <w:r>
        <w:t>. Sin embargo, en el presente caso se da la circunstancia de que, ni en la demanda de amparo, ni en el recurso de casación se alude ni argumenta nada sobre el derecho a la intangibilidad de las resoluciones judiciales, cuestión que ha sido introducida en el debate por parte del Ministerio Fiscal.</w:t>
      </w:r>
    </w:p>
    <w:p w:rsidR="00D06117" w:rsidRDefault="00D06117" w:rsidP="00D06117">
      <w:pPr>
        <w:pStyle w:val="TextoNormal"/>
      </w:pPr>
    </w:p>
    <w:p w:rsidR="00D06117" w:rsidRDefault="00D06117" w:rsidP="00D06117">
      <w:pPr>
        <w:pStyle w:val="TextoNormal"/>
      </w:pPr>
      <w:r>
        <w:t>Incluso en el caso de que el motivo se hubiese articulado en el presente recurso de amparo, lo que, como hemos dicho, no ha sucedido, la queja debería ser inadmitida al concurrir respecto de ella el óbice procesal consistente en la falta de invocación ante los órganos de la jurisdicción ordinaria [art. 44.1 c) de la Ley Orgánica del Tribunal Constitucional]. En efecto, de la mera lectura del recurso de casación interpuesto contra el Auto de 4 de septiembre de 2008 de la Audiencia Provincial de Pontevedra, se desprende que el recurrente articuló una serie de motivos de impugnación para oponerse a esa nueva perspectiva jurídica en el cómputo de las redenciones, pero no denunció entonces indefensión alguna por el motivo ahora analizado, por lo que la alegada queja se trae a colación por el Fiscal sin haber dado oportunidad de pronunciarse sobre la misma al órgano judicial. En este sentido debe reiterarse que la razón que sustenta la exigencia de invocación tempestiva de la supuesta vulneración de derechos fundamentales reside en la necesidad de preservar el carácter subsidiario del recurso de amparo constitucional, de modo que sirve a la articulación de la fun</w:t>
      </w:r>
      <w:r>
        <w:lastRenderedPageBreak/>
        <w:t>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rsidRPr="00D06117">
        <w:rPr>
          <w:rStyle w:val="NumeroAFNegritaCaracter"/>
        </w:rPr>
        <w:t>6</w:t>
      </w:r>
      <w:r>
        <w:t>. Finalmente, para pronunciarnos sobre la queja de vulneración del derecho de tutela judicial en relación con el derecho a la libertad, han de tenerse en cuenta una serie de datos del caso concreto, que se desprenden del examen de las actuaciones recibidas, y de los que se infiere que no existe en el presente caso ninguna resolución judicial firme de la que pueda derivarse el efecto pretendido.</w:t>
      </w:r>
    </w:p>
    <w:p w:rsidR="00D06117" w:rsidRDefault="00D06117" w:rsidP="00D06117">
      <w:pPr>
        <w:pStyle w:val="TextoNormal"/>
      </w:pPr>
    </w:p>
    <w:p w:rsidR="00D06117" w:rsidRDefault="00D06117" w:rsidP="00D06117">
      <w:pPr>
        <w:pStyle w:val="TextoNormal"/>
      </w:pPr>
      <w:r>
        <w:t>a) Como con mayor amplitud se ha hecho constar en los antecedentes, la Sección Tercera de la Sala de lo Penal de la Audiencia Provincial de Pontevedra, mediante Sentencia núm. 22/1996, de 24 de junio de 1996, condenó al demandante como autor de seis delitos de detención ilegal; de un delito de robo con homicidio; de tres delitos de asesinato; de dos delitos de homicidio, en grado de tentativa; y de un delito de utilización ilegítima de vehículo de motor ajeno, a las penas siguientes: por cada uno de los seis delitos de detención ilegal, a la pena de doce años y un día de reclusión menor; por el delito de robo con homicidio, a la pena de treinta años de reclusión mayor; por cada uno de los tres delitos de asesinato a la pena de treinta años de reclusión mayor; por cada uno de los dos delitos de homicidio en grado de tentativa a la pena de diez años de prisión mayor; y por el delito de utilización ilegítima de vehículo de motor ajeno a la pena de cinco meses de arresto mayor y privación del permiso de conducir por tiempo de un año.</w:t>
      </w:r>
    </w:p>
    <w:p w:rsidR="00D06117" w:rsidRDefault="00D06117" w:rsidP="00D06117">
      <w:pPr>
        <w:pStyle w:val="TextoNormal"/>
      </w:pPr>
    </w:p>
    <w:p w:rsidR="00D06117" w:rsidRDefault="00D06117" w:rsidP="00D06117">
      <w:pPr>
        <w:pStyle w:val="TextoNormal"/>
      </w:pPr>
      <w:r>
        <w:t>b) Mediante providencia de la Sección Tercera de la Audiencia Provincial de Pontevedra de 21 de mayo de 1998 se aprobó la liquidación de condena practicada por el Secretario Judicial el 14 de mayo de 1998 en la causa de la que dimana la ejecutoria núm. 41-1998, en la que, tras deducirse únicamente los abonos por detención (un día) y por prisión preventiva (1.519 días), se hace constar que el actor deja extinguida la pena el día 24 de enero del año 2024.</w:t>
      </w:r>
    </w:p>
    <w:p w:rsidR="00D06117" w:rsidRDefault="00D06117" w:rsidP="00D06117">
      <w:pPr>
        <w:pStyle w:val="TextoNormal"/>
      </w:pPr>
    </w:p>
    <w:p w:rsidR="00D06117" w:rsidRDefault="00D06117" w:rsidP="00D06117">
      <w:pPr>
        <w:pStyle w:val="TextoNormal"/>
      </w:pPr>
      <w:r>
        <w:t>c) El 9 de julio de 2008 la Sección Tercera de la Audiencia Provincial de Pontevedra acordó requerir mediante providencia al centro penitenciario de Quatre Camins hoja de cálculo de la situación penitenciaria del condenado para, una vez recibida, dar traslado de la misma, junto con la ejecutoria, al Ministerio Fiscal para que informase sobre la posible aplicación de la Sentencia del Tribunal Supremo 197/2006, de 28 de febrero. La ficha de situación procesal penal del actor, elaborada por el citado centro penitenciario de Quatre Camins el mismo día 9 de julio de 2008, tras computar los abonos correspondientes a prisión preventiva y a beneficios penitenciarios, fija como fecha de cumplimiento definitivo, con el “antiguo código”, el día 3 de agosto de 2009. El Ministerio Fiscal, mediante escrito de fecha 21 de julio de 2008, informó que el contenido de la Sentencia del Tribunal Supremo 197/2006, de 28 de febrero, deberá de aplicarse en toda su extensión, “de forma que determinado el máximo de cumplimiento, debemos valorar que el cómputo de los beneficios penitenciarios será realizado en cada pena individualmente”.</w:t>
      </w:r>
    </w:p>
    <w:p w:rsidR="00D06117" w:rsidRDefault="00D06117" w:rsidP="00D06117">
      <w:pPr>
        <w:pStyle w:val="TextoNormal"/>
      </w:pPr>
    </w:p>
    <w:p w:rsidR="00D06117" w:rsidRDefault="00D06117" w:rsidP="00D06117">
      <w:pPr>
        <w:pStyle w:val="TextoNormal"/>
      </w:pPr>
      <w:r>
        <w:lastRenderedPageBreak/>
        <w:t>d) Mediante Auto de 4 de septiembre de 2008, dictado por la Sección Tercera de la Audiencia Provincial de Pontevedra, de conformidad con lo establecido en los arts. 988 y 141 y demás concordantes de la Ley de enjuiciamiento criminal (LECrim), en relación con lo dispuesto en las reglas primera y segunda del art. 70 del Código penal vigente en el momento de la comisión de los hechos (de 1973), “se establece el máximo de cumplimiento de las penas impuestas en la sentencia firme dictada por esta Sección Tercera en fecha 24/06/1996 al condenado Jesús Vela Martínez en el límite de treinta años de prisión, pero computándose los beneficios penitenciarios respecto a cada una de las penas individualmente”.</w:t>
      </w:r>
    </w:p>
    <w:p w:rsidR="00D06117" w:rsidRDefault="00D06117" w:rsidP="00D06117">
      <w:pPr>
        <w:pStyle w:val="TextoNormal"/>
      </w:pPr>
    </w:p>
    <w:p w:rsidR="00D06117" w:rsidRDefault="00D06117" w:rsidP="00D06117">
      <w:pPr>
        <w:pStyle w:val="TextoNormal"/>
      </w:pPr>
      <w:r>
        <w:t>e) Contra el anterior Auto el actor interpuso recurso de casación por infracción de ley (art. 849.1 LECrim) que fue inadmitido mediante Auto de la Sala de lo Penal del Tribunal Supremo de 25 de junio de 2009.</w:t>
      </w:r>
    </w:p>
    <w:p w:rsidR="00D06117" w:rsidRDefault="00D06117" w:rsidP="00D06117">
      <w:pPr>
        <w:pStyle w:val="TextoNormal"/>
      </w:pPr>
    </w:p>
    <w:p w:rsidR="00D06117" w:rsidRDefault="00D06117" w:rsidP="00D06117">
      <w:pPr>
        <w:pStyle w:val="TextoNormal"/>
      </w:pPr>
      <w:r>
        <w:t>Pues bien, las resoluciones anteriores a las aquí recurridas no deciden acerca del criterio de cómputo de las redenciones, ni incorporan dicho criterio de manera clara como ratio decidendi, por lo que no puede afirmarse que de ellas se derive una situación consolidada e intangible sobre esta cuestión.</w:t>
      </w:r>
    </w:p>
    <w:p w:rsidR="00D06117" w:rsidRDefault="00D06117" w:rsidP="00D06117">
      <w:pPr>
        <w:pStyle w:val="TextoNormal"/>
      </w:pPr>
    </w:p>
    <w:p w:rsidR="00D06117" w:rsidRDefault="00D06117" w:rsidP="00D06117">
      <w:pPr>
        <w:pStyle w:val="TextoNormal"/>
      </w:pPr>
      <w:r>
        <w:t>De lo anteriormente expuesto cabe concluir que, en el presente caso, ni existe vulneración del derecho a la tutela judicial efectiva en su vertiente de intangibilidad de las resoluciones judiciales firmes (art. 24.1 CE), ni vulneración del derecho a la libertad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o de la administración penitenciaria en la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amparo solicitado por don Jesús Vela Martínez.</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7852-2009.</w:t>
      </w:r>
    </w:p>
    <w:p w:rsidR="00D06117" w:rsidRDefault="00D06117" w:rsidP="00D06117">
      <w:pPr>
        <w:pStyle w:val="TextoNormalNegritaCentrado"/>
        <w:keepNext/>
      </w:pPr>
    </w:p>
    <w:p w:rsidR="00D06117" w:rsidRDefault="00D06117" w:rsidP="00D06117">
      <w:pPr>
        <w:pStyle w:val="TextoNormal"/>
      </w:pPr>
      <w: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w:t>
      </w:r>
      <w:r>
        <w:lastRenderedPageBreak/>
        <w:t>recurso de amparo remitiéndome a lo ya manifestado en el Voto particular que formulé a la Sentencia dictada en el recurso de amparo núm. 10718-2006.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5" w:name="SENTENCIA_2012_62"/>
      <w:r>
        <w:lastRenderedPageBreak/>
        <w:t>SENTENCIA 62/2012, de 29 de marzo de 2012</w:t>
      </w:r>
    </w:p>
    <w:bookmarkEnd w:id="6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ECLI:ES:TC:2012:62</w:t>
      </w:r>
    </w:p>
    <w:p w:rsidR="00D06117" w:rsidRDefault="00D06117" w:rsidP="00D06117">
      <w:pPr>
        <w:pStyle w:val="SntesisDescriptiva"/>
      </w:pPr>
    </w:p>
    <w:p w:rsidR="00D06117" w:rsidRDefault="00D06117" w:rsidP="00D06117">
      <w:pPr>
        <w:pStyle w:val="SntesisDescriptiva"/>
      </w:pPr>
      <w:r>
        <w:t>Recurso de amparo 10651-2009. Promovido por don José María Pérez Díaz con respecto a los Autos de la Sala Segunda del Tribunal Supremo y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Vulneración del derecho a la tutela judicial efectiva (intangibilidad): modificación, sin mediar recurso legal, de resolución judicial firme que se pronunciaba sobre el criterio de cómputo de redenciones de pena privativa de libertad.</w:t>
      </w:r>
    </w:p>
    <w:p w:rsidR="00D06117" w:rsidRDefault="00D06117" w:rsidP="00D06117">
      <w:pPr>
        <w:pStyle w:val="SntesisAnaltica"/>
      </w:pPr>
    </w:p>
    <w:p w:rsidR="00D06117" w:rsidRDefault="00D06117" w:rsidP="00D06117">
      <w:pPr>
        <w:pStyle w:val="Extracto"/>
      </w:pPr>
      <w:r>
        <w:t>1.</w:t>
      </w:r>
      <w:r>
        <w:tab/>
        <w:t>La modificación de una resolución judicial firme, sin mediar recurso legal, vulnera el derecho a la tutela judicial efectiva al lesionar el derecho a la intangibilidad de las resoluciones judiciales firmes [FJ 3].</w:t>
      </w:r>
    </w:p>
    <w:p w:rsidR="00D06117" w:rsidRDefault="00D06117" w:rsidP="00D06117">
      <w:pPr>
        <w:pStyle w:val="Extracto"/>
      </w:pPr>
    </w:p>
    <w:p w:rsidR="00D06117" w:rsidRDefault="00D06117" w:rsidP="00D06117">
      <w:pPr>
        <w:pStyle w:val="Extracto"/>
      </w:pPr>
      <w:r>
        <w:t>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2].</w:t>
      </w:r>
    </w:p>
    <w:p w:rsidR="00D06117" w:rsidRDefault="00D06117" w:rsidP="00D06117">
      <w:pPr>
        <w:pStyle w:val="Extracto"/>
      </w:pPr>
    </w:p>
    <w:p w:rsidR="00D06117" w:rsidRDefault="00D06117" w:rsidP="00D06117">
      <w:pPr>
        <w:pStyle w:val="Extracto"/>
      </w:pPr>
      <w:r>
        <w:t>3.</w:t>
      </w:r>
      <w:r>
        <w:tab/>
        <w:t>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62/2010) [FJ 2].</w:t>
      </w:r>
    </w:p>
    <w:p w:rsidR="00D06117" w:rsidRDefault="00D06117" w:rsidP="00D06117">
      <w:pPr>
        <w:pStyle w:val="Extracto"/>
      </w:pPr>
    </w:p>
    <w:p w:rsidR="00D06117" w:rsidRDefault="00D06117" w:rsidP="00D06117">
      <w:pPr>
        <w:pStyle w:val="Extracto"/>
      </w:pPr>
      <w:r>
        <w:t>4.</w:t>
      </w:r>
      <w:r>
        <w:tab/>
        <w:t>El principio de seguridad jurídica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(SSTC 219/200, 62/2010) [FJ 2].</w:t>
      </w:r>
    </w:p>
    <w:p w:rsidR="00D06117" w:rsidRDefault="00D06117" w:rsidP="00D06117">
      <w:pPr>
        <w:pStyle w:val="Extracto"/>
      </w:pPr>
    </w:p>
    <w:p w:rsidR="00D06117" w:rsidRDefault="00D06117" w:rsidP="00D06117">
      <w:pPr>
        <w:pStyle w:val="Extracto"/>
      </w:pPr>
      <w:r>
        <w:t>5.</w:t>
      </w:r>
      <w:r>
        <w:tab/>
        <w:t>El derecho a la tutela judicial efectiva (art. 24.1 CE) impide a los Jueces y Tribunales, fuera de los casos expresamente previstos en la ley, revisar el juicio efectuado en un caso concreto, incluso si entendieran con posterioridad que la decisión no se ajusta a la legalidad [FJ 3].</w:t>
      </w:r>
    </w:p>
    <w:p w:rsidR="00D06117" w:rsidRDefault="00D06117" w:rsidP="00D06117">
      <w:pPr>
        <w:pStyle w:val="Extracto"/>
      </w:pPr>
    </w:p>
    <w:p w:rsidR="00D06117" w:rsidRDefault="00D06117" w:rsidP="00D06117">
      <w:pPr>
        <w:pStyle w:val="Extracto"/>
      </w:pPr>
      <w:r>
        <w:t>6.</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w:t>
      </w:r>
      <w:r>
        <w:lastRenderedPageBreak/>
        <w:t>sobre los que, aun no constituyendo el objeto mismo del proceso, resultan relevantes para la decisión adoptada (SSTC 15/2006, 62/2010)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10651-2009, promovido por don José María Pérez Díaz representado por el Procurador de los Tribunales, don Javier Cuevas Rivas, y asistido por la Letrada doña Ainhoa Baglietto Gabilondo, contra el Auto de 22 de octubre de 2009 de la Sala Segunda del Tribunal Supremo que inadmite el recurso de casación planteado contra el Auto de 11 de diciembre de 2008 de la Sección Segunda de la Sala de lo Penal de la Audiencia Nacional (ejecutoria 95-1989, sumario 24-87) por el que se acordaba el licenciamiento definitivo del recurrente para el día 16 de noviembre de 2017. Ha intervenido el Ministerio Fiscal. Ha sido Ponente el Magistrado don Luis Ignacio Ortega Álvarez,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23 de diciembre de 2009, el demandante interpuso recurso de amparo contra las resoluciones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se basa la demanda son, en síntesis, los siguientes:</w:t>
      </w:r>
    </w:p>
    <w:p w:rsidR="00D06117" w:rsidRDefault="00D06117" w:rsidP="00D06117">
      <w:pPr>
        <w:pStyle w:val="TextoNormal"/>
      </w:pPr>
    </w:p>
    <w:p w:rsidR="00D06117" w:rsidRDefault="00D06117" w:rsidP="00D06117">
      <w:pPr>
        <w:pStyle w:val="TextoNormal"/>
      </w:pPr>
      <w:r>
        <w:t>a) El recurrente fue condenado mediante Sentencia de 21 de octubre de 1989 de la Sección Segunda de la Sala de lo Penal de la Audiencia Nacional como autor responsable de un delito de atentado del art. 233 en relación con el art. 406 del Código penal (CP), con la concurrencia de la agravante sexta del art. 10 del mismo, a la pena de veintinueve años de reclusión mayor, con su accesoria de inhabilitación absoluta durante el tiempo de la condena, y como autor responsable de siete delitos de asesinato del art. 406.3, art. 3 y 51 del Código penal, asimismo con la concurrencia de la agravante seis del art. 10 del mismo a siete penas de veinticuatro años de reclusión mayor con sus accesorias de inhabilitación absoluta, aplicándose lo dispuesto en la regla segunda del art. 70 del Código penal en cuanto al límite de la pena.</w:t>
      </w:r>
    </w:p>
    <w:p w:rsidR="00D06117" w:rsidRDefault="00D06117" w:rsidP="00D06117">
      <w:pPr>
        <w:pStyle w:val="TextoNormal"/>
      </w:pPr>
    </w:p>
    <w:p w:rsidR="00D06117" w:rsidRDefault="00D06117" w:rsidP="00D06117">
      <w:pPr>
        <w:pStyle w:val="TextoNormal"/>
      </w:pPr>
      <w:r>
        <w:lastRenderedPageBreak/>
        <w:t>Se practicó liquidación judicial en el que se determinaba que la condena de cumplimiento era 10.950 días, treinta años de condena de conformidad con el art.70.2 CP. Anteriormente, y de conformidad con la disposición transitoria tercera de la Ley Orgánica 10/1995 se practicó liquidación de condena, tras la que mediante Auto de fecha 16 de junio de 1997 el Tribunal determinó la no revisión de la Sentencia al Código penal de 1995.</w:t>
      </w:r>
    </w:p>
    <w:p w:rsidR="00D06117" w:rsidRDefault="00D06117" w:rsidP="00D06117">
      <w:pPr>
        <w:pStyle w:val="TextoNormal"/>
      </w:pPr>
    </w:p>
    <w:p w:rsidR="00D06117" w:rsidRDefault="00D06117" w:rsidP="00D06117">
      <w:pPr>
        <w:pStyle w:val="TextoNormal"/>
      </w:pPr>
      <w:r>
        <w:t>b) Con fecha de 7 de octubre de 2008, la prisión de Burgos solicita el licenciamiento definitivo del recurrente para el 15 de diciembre de 2008, de conformidad con los criterios anteriores a la STS 197/2006, de 28 de febrero, tal y como señalaba la propia propuesta de licenciamiento. Posteriormente con fecha 15 de octubre de 2008 la misma prisión de Burgos como complemento a la solicitud anterior participa a la Sala Segunda de lo Penal de la Audiencia Nacional “que dicha propuesta se realizó conforme a los criterios anteriores a la Sentencia del Tribunal Supremo de 28 de febrero de 2006 (doctrina Parot) dejando a su superior criterio si procede adoptar esta nueva doctrina”. La Sala, antes de resolver sobre el licenciamiento, solicitó del centro penitenciario información sobre las redenciones obtenidas. Tras recibirla, dio traslado al Ministerio Fiscal, que informó a favor del licenciamiento del recurrente para el 15 de diciembre de 2008. La Sala dictó providencia de 19 de noviembre de 2008, aprobando el licenciamiento para el 15 de diciembre de 2008. Ninguna de las partes recurrió dicha resolución.</w:t>
      </w:r>
    </w:p>
    <w:p w:rsidR="00D06117" w:rsidRDefault="00D06117" w:rsidP="00D06117">
      <w:pPr>
        <w:pStyle w:val="TextoNormal"/>
      </w:pPr>
    </w:p>
    <w:p w:rsidR="00D06117" w:rsidRDefault="00D06117" w:rsidP="00D06117">
      <w:pPr>
        <w:pStyle w:val="TextoNormal"/>
      </w:pPr>
      <w:r>
        <w:t>c) La prisión de Burgos, en escrito de fecha 20 de noviembre de 2008, antes de proceder al licenciamiento de conformidad con la orden recibida, requirió a la Sala Segunda de la Audiencia Nacional para que se pronunciara sobre si se debía licenciar al penado el 15 de diciembre de 2008, tal y como lo ha aprobado el Tribunal o se debería aplicar la doctrina devenida de la STS 197/2006. La Sala, tras oír al Ministerio Fiscal dictó Auto de fecha 11 de diciembre de 2008 en el que retrasa el licenciamiento aprobado en primer orden hasta el año 2017.</w:t>
      </w:r>
    </w:p>
    <w:p w:rsidR="00D06117" w:rsidRDefault="00D06117" w:rsidP="00D06117">
      <w:pPr>
        <w:pStyle w:val="TextoNormal"/>
      </w:pPr>
    </w:p>
    <w:p w:rsidR="00D06117" w:rsidRDefault="00D06117" w:rsidP="00D06117">
      <w:pPr>
        <w:pStyle w:val="TextoNormal"/>
      </w:pPr>
      <w:r>
        <w:t>d) Contra dicho Auto se interpuso recurso de casación, inadmitido por la Sala Segunda de lo Penal del Tribunal Supremo, mediante Auto de 22 de octubre de 2009, donde se señala el carácter firme de la providencia de la Sala Segunda de lo Penal de la Audiencia Nacional de 19 de noviembre de 2008. Contra el Auto del Tribunal Supremo se interpuso recurso o incidente de nulidad que fue igualmente inadmitido por providencia de 27 de octubre de 2009.</w:t>
      </w:r>
    </w:p>
    <w:p w:rsidR="00D06117" w:rsidRDefault="00D06117" w:rsidP="00D06117">
      <w:pPr>
        <w:pStyle w:val="TextoNormal"/>
      </w:pPr>
    </w:p>
    <w:p w:rsidR="00D06117" w:rsidRDefault="00D06117" w:rsidP="00D06117">
      <w:pPr>
        <w:pStyle w:val="TextoNormal"/>
      </w:pPr>
      <w:r w:rsidRPr="00D06117">
        <w:rPr>
          <w:rStyle w:val="NumeroAFNegritaCaracter"/>
        </w:rPr>
        <w:t>3</w:t>
      </w:r>
      <w:r>
        <w:t>. En la demanda de amparo se realizan las siguientes alegaciones:</w:t>
      </w:r>
    </w:p>
    <w:p w:rsidR="00D06117" w:rsidRDefault="00D06117" w:rsidP="00D06117">
      <w:pPr>
        <w:pStyle w:val="TextoNormal"/>
      </w:pPr>
    </w:p>
    <w:p w:rsidR="00D06117" w:rsidRDefault="00D06117" w:rsidP="00D06117">
      <w:pPr>
        <w:pStyle w:val="TextoNormal"/>
      </w:pPr>
      <w:r>
        <w:t>a) En primer lugar, se alega la vulneración del derecho a la tutela judicial efectiva, sin que quepa indefensión, por infracción del art. 24.1 CE, derecho a la defensa, en relación con los arts. 9.3 CE principio de legalidad y 17 CE, derecho a la libertad y seguridad jurídica, habiendo vulnerado la resolución de 22 de octubre los arts. 18.1 y 2 y 267 de la Ley Orgánica del Poder Judicial (LOPJ).</w:t>
      </w:r>
    </w:p>
    <w:p w:rsidR="00D06117" w:rsidRDefault="00D06117" w:rsidP="00D06117">
      <w:pPr>
        <w:pStyle w:val="TextoNormal"/>
      </w:pPr>
    </w:p>
    <w:p w:rsidR="00D06117" w:rsidRDefault="00D06117" w:rsidP="00D06117">
      <w:pPr>
        <w:pStyle w:val="TextoNormal"/>
      </w:pPr>
      <w:r>
        <w:t xml:space="preserve">Considera que la Sala Segunda de la Audiencia Nacional, al modificar al margen del sistema legal de recursos una resolución firme e intangible que da fin a la ejecución de la condena ha vulnerado los arts. 18.1, 2 y 267 LOPJ, en relación con la tutela judicial efectiva, principio de legalidad y derecho a la libertad y seguridad (arts. 9.3, 17 y 24.1 CE). Por otra parte, se queja que de la resolución dictada por el Tribunal Supremo, de fecha 22 de octubre </w:t>
      </w:r>
      <w:r>
        <w:lastRenderedPageBreak/>
        <w:t>de 2009, vulnera el derecho a la tutela judicial efectiva, sin que quepa indefensión, por cuanto no motiva la inadmisión a trámite, ni entra realmente en el tema objeto de estudio; solicita que se acuerde la revocación del Auto de 22 de octubre de la Sala Segunda del Tribunal Supremo y el Auto de 11 de diciembre de 2008 de la Sección Segunda de la Sala de lo Penal de la Audiencia Nacional, por vulneración de los derechos fundamentales aludidos y se ordene la inmediata puesta en libertad de José María Pérez Díaz por cumplimiento de condena.</w:t>
      </w:r>
    </w:p>
    <w:p w:rsidR="00D06117" w:rsidRDefault="00D06117" w:rsidP="00D06117">
      <w:pPr>
        <w:pStyle w:val="TextoNormal"/>
      </w:pPr>
    </w:p>
    <w:p w:rsidR="00D06117" w:rsidRDefault="00D06117" w:rsidP="00D06117">
      <w:pPr>
        <w:pStyle w:val="TextoNormal"/>
      </w:pPr>
      <w:r>
        <w:t>b) Se aduce también la vulneración del principio de legalidad consagrado en el artículo 25.1 y 2 CE en relación al artículo 9.1 CE, en relación a los artículos 70. 2 y 100 del Código penal de 1973 y artículos 66 del reglamento de servicios de prisiones de 1956 y 202 del reglamento penitenciario actual.</w:t>
      </w:r>
    </w:p>
    <w:p w:rsidR="00D06117" w:rsidRDefault="00D06117" w:rsidP="00D06117">
      <w:pPr>
        <w:pStyle w:val="TextoNormal"/>
      </w:pPr>
    </w:p>
    <w:p w:rsidR="00D06117" w:rsidRDefault="00D06117" w:rsidP="00D06117">
      <w:pPr>
        <w:pStyle w:val="TextoNormal"/>
      </w:pPr>
      <w:r>
        <w:t>En síntesis, considera que la interpretación llevada a cabo por la Audiencia Nacional,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la Audiencia Nacional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c) Considera lesionado su derecho a la tutela judicial efectiva sin indefensión, consagrado en el artículo 24.1 CE, en relación con el derecho a la libertad, art. 17 CE, en su vertiente de intangibilidad de resoluciones judiciales firmes.</w:t>
      </w:r>
    </w:p>
    <w:p w:rsidR="00D06117" w:rsidRDefault="00D06117" w:rsidP="00D06117">
      <w:pPr>
        <w:pStyle w:val="TextoNormal"/>
      </w:pPr>
    </w:p>
    <w:p w:rsidR="00D06117" w:rsidRDefault="00D06117" w:rsidP="00D06117">
      <w:pPr>
        <w:pStyle w:val="TextoNormal"/>
      </w:pPr>
      <w:r>
        <w:t>A raíz de la nueva interpretación de la aplicación de las redenciones sobre la totalidad de las condenas y no sobre la pena resultante de la aplicación de la refundición de condenas (art. 70.2 CP 1973) y teniendo en cuenta lo señalado en el segundo motivo de amparo, ambas resoluciones que en este acto se recurren crean una situación de indefensión e inseguridad jurídica, por cuanto que la aprobación de redenciones por parte de los diferentes Juzgados de Vigilancia Penitenciaria, firmes e intangibles, suponían con la interpretación hasta la STS 197/2006, reducciones de condena respecto de los treinta años.</w:t>
      </w:r>
    </w:p>
    <w:p w:rsidR="00D06117" w:rsidRDefault="00D06117" w:rsidP="00D06117">
      <w:pPr>
        <w:pStyle w:val="TextoNormal"/>
      </w:pPr>
    </w:p>
    <w:p w:rsidR="00D06117" w:rsidRDefault="00D06117" w:rsidP="00D06117">
      <w:pPr>
        <w:pStyle w:val="TextoNormal"/>
      </w:pPr>
      <w:r>
        <w:t xml:space="preserve">Aduce el recurrente que con la interpretación mantenida por el Tribunal Supremo y la misma Sección Segunda de lo Penal de la Audiencia Nacional hasta la STS 197/2006, había acumulado los días de redención ordinaria y extraordinaria, que junto con el período de </w:t>
      </w:r>
      <w:r>
        <w:lastRenderedPageBreak/>
        <w:t>cumplimiento efectivo en prisión, que hacían suponer un acortamiento de su condena de treinta años y el cumplimento de la condena el día 15 de diciembre de 2008, certificado de 7 de octubre de 2008, realizado por la prisión de Burgos, así como documentación que acredita las resoluciones judiciales por las que se han aprobado las redenciones ordinarias y extraordinarias del señor Pérez.</w:t>
      </w:r>
    </w:p>
    <w:p w:rsidR="00D06117" w:rsidRDefault="00D06117" w:rsidP="00D06117">
      <w:pPr>
        <w:pStyle w:val="TextoNormal"/>
      </w:pPr>
    </w:p>
    <w:p w:rsidR="00D06117" w:rsidRDefault="00D06117" w:rsidP="00D06117">
      <w:pPr>
        <w:pStyle w:val="TextoNormal"/>
      </w:pPr>
      <w:r>
        <w:t>De hecho, la Sección Segunda de la Sala de lo Penal de la Audiencia Nacional y el Tribunal Supremo, al no admitir a trámite el recurso, han aprobado un licenciamiento en base a una liquidación de condena de la prisión en la que han desaparecido las redenciones. Efectivamente, el licenciamiento definitivo debe ser una resolución en la que se determine y se analice si las redenciones y los límites, inicio de la condena, etc., están correctamente aplicadas. Lo que no puede hacer el Tribunal, sin mediar explicación es hacer desaparecer las redenciones obtenidas y aprobadas por autorización judicial firme.</w:t>
      </w:r>
    </w:p>
    <w:p w:rsidR="00D06117" w:rsidRDefault="00D06117" w:rsidP="00D06117">
      <w:pPr>
        <w:pStyle w:val="TextoNormal"/>
      </w:pPr>
    </w:p>
    <w:p w:rsidR="00D06117" w:rsidRDefault="00D06117" w:rsidP="00D06117">
      <w:pPr>
        <w:pStyle w:val="TextoNormal"/>
      </w:pPr>
      <w:r>
        <w:t>Las redenciones de condena reconocidas por resoluciones firmes son abono de condenas y por tanto, afectan al derecho a la libertad consagrado en el art. 17 CE, lo que implica la existencia de un deber reforzado de motivación, derivado del art. 24.1 CE, ya que el Auto de 11 de diciembre mantiene la resolución de la Audiencia Nacional imponiendo una situación peyorativa del recurrente.</w:t>
      </w:r>
    </w:p>
    <w:p w:rsidR="00D06117" w:rsidRDefault="00D06117" w:rsidP="00D06117">
      <w:pPr>
        <w:pStyle w:val="TextoNormal"/>
      </w:pPr>
    </w:p>
    <w:p w:rsidR="00D06117" w:rsidRDefault="00D06117" w:rsidP="00D06117">
      <w:pPr>
        <w:pStyle w:val="TextoNormal"/>
      </w:pPr>
      <w:r>
        <w:t>Por todo ello, solicita amparo por cuanto las dos resoluciones recurridas han vulnerado el derecho a la tutela judicial efectiva, en su vertiente de intangibilidad de resoluciones judiciales, en relación con el derecho a la libertad.</w:t>
      </w:r>
    </w:p>
    <w:p w:rsidR="00D06117" w:rsidRDefault="00D06117" w:rsidP="00D06117">
      <w:pPr>
        <w:pStyle w:val="TextoNormal"/>
      </w:pPr>
    </w:p>
    <w:p w:rsidR="00D06117" w:rsidRDefault="00D06117" w:rsidP="00D06117">
      <w:pPr>
        <w:pStyle w:val="TextoNormal"/>
      </w:pPr>
      <w:r>
        <w:t>d) Se aduce también la vulneración del principio de legalidad del artículo 25.1 CE, en relación al art. 9.3 CE, en cuanto a la aplicación con carácter retroactivo de una norma penal desfavorable, en relación con los arts. 7 del Convenio europeo para la protección de los derechos humanos y de las libertades fundamentales (CEDH) y 15 del Pacto internacional de derechos civiles y políticos (PIDCP).</w:t>
      </w:r>
    </w:p>
    <w:p w:rsidR="00D06117" w:rsidRDefault="00D06117" w:rsidP="00D06117">
      <w:pPr>
        <w:pStyle w:val="TextoNormal"/>
      </w:pPr>
    </w:p>
    <w:p w:rsidR="00D06117" w:rsidRDefault="00D06117" w:rsidP="00D06117">
      <w:pPr>
        <w:pStyle w:val="TextoNormal"/>
      </w:pPr>
      <w:r>
        <w:t>A su juicio, el Auto de fecha 11 de diciembre de 2008, mediante la aplicación de la STS 197/2006 de 28 de febrero, introduce una interpretación contra reo de manera retroactiva. Entiende que la Constitución garantiza en su art. 9.3, el principio de legalidad y de irretroactividad de las disposiciones sancionadoras no favorables o restrictivas de derechos individuales, así como el principio de seguridad jurídica. Igualmente el artículo 25.1 CE establece como derecho fundamental el derecho a no ser condenado o sancionado por acciones u omisiones que en el momento de producirse, no constituyan delito, consagrando de esta manera un principio de legalidad basado en la aplicación de las normas sustantivas penales graves con efecto retroactivo y “contra reo”. Considera evidente que se vulnera el artículo 25.1 en relación al 9.3 CE, cuando se hace una aplicación de una norma penal cuya entrada en vigor sea posterior al hecho enjuiciado, cuando resulte imprevisible concluir que dicha norma era más beneficiosa para el acusado.</w:t>
      </w:r>
    </w:p>
    <w:p w:rsidR="00D06117" w:rsidRDefault="00D06117" w:rsidP="00D06117">
      <w:pPr>
        <w:pStyle w:val="TextoNormal"/>
      </w:pPr>
    </w:p>
    <w:p w:rsidR="00D06117" w:rsidRDefault="00D06117" w:rsidP="00D06117">
      <w:pPr>
        <w:pStyle w:val="TextoNormal"/>
      </w:pPr>
      <w:r>
        <w:t xml:space="preserve">Es obvio, a su juicio, que ante la evidencia de la ley más favorable en la aplicación del Código penal de 1973, al entender que la aplicación de las redenciones incide sobre la liquidación de condena, al ser un mecanismo de reducción de la misma o de acortamiento del tiempo internamiento efectivo, así se reconoce en numerosas sentencias del propio Tribunal </w:t>
      </w:r>
      <w:r>
        <w:lastRenderedPageBreak/>
        <w:t>Supremo, entre ellas la STS 699/2003, de 14 de mayo, donde se llega a establecer la redención como un acortamiento de la condena frente a la libertad condicional que afectaría a la institución de la ejecución de la condena. Igualmente, la disposición transitoria segunda del Código penal actual establece la necesidad de tener en cuenta, no sólo la pena correspondiente al hecho enjuiciado, sino las disposiciones sobre redenciones por el trabajo de los condenados por el Código penal derogado, a la hora de establecer los criterios de determinación más favorable.</w:t>
      </w:r>
    </w:p>
    <w:p w:rsidR="00D06117" w:rsidRDefault="00D06117" w:rsidP="00D06117">
      <w:pPr>
        <w:pStyle w:val="TextoNormal"/>
      </w:pPr>
    </w:p>
    <w:p w:rsidR="00D06117" w:rsidRDefault="00D06117" w:rsidP="00D06117">
      <w:pPr>
        <w:pStyle w:val="TextoNormal"/>
      </w:pPr>
      <w:r>
        <w:t>De esta manera el Código penal de 1973, no contempla el presupuesto de aplicación de las redenciones a la totalidad de las condenas, tal y como se plantea en la sentencia que se pretende aplicar mediante el Auto impugnado. Por el contrario, esta posibilidad sí se contempla en el artículo 78 del Código penal vigente de 1995, en relación a los beneficios penitenciarios y de la libertad condicional aplicada a la totalidad de la condena en función de que “la condena a cumplir fuese inferior a la mitad de la suma total de las impuestas y según la peligrosidad criminal del penado”.</w:t>
      </w:r>
    </w:p>
    <w:p w:rsidR="00D06117" w:rsidRDefault="00D06117" w:rsidP="00D06117">
      <w:pPr>
        <w:pStyle w:val="TextoNormal"/>
      </w:pPr>
    </w:p>
    <w:p w:rsidR="00D06117" w:rsidRDefault="00D06117" w:rsidP="00D06117">
      <w:pPr>
        <w:pStyle w:val="TextoNormal"/>
      </w:pPr>
      <w:r>
        <w:t>El Auto aplica una interpretación derivada de la STS 197/2006 que no puede ser de aplicación, dado que la forma de liquidar su condena ya había sido establecida y admitida por parte de esta Sala en las diferentes liquidaciones de condena aprobadas por la misma al recurrente. En ausencia de una norma que expresamente determinara la aplicación de redenciones a la totalidad de las penas, una vez realizada la operación del art. 70.2, la interpretación de la ausencia normativa únicamente cabe si la misma es favorable al penado, lo cual no sucede en el presente caso.</w:t>
      </w:r>
    </w:p>
    <w:p w:rsidR="00D06117" w:rsidRDefault="00D06117" w:rsidP="00D06117">
      <w:pPr>
        <w:pStyle w:val="TextoNormal"/>
      </w:pPr>
    </w:p>
    <w:p w:rsidR="00D06117" w:rsidRDefault="00D06117" w:rsidP="00D06117">
      <w:pPr>
        <w:pStyle w:val="TextoNormal"/>
      </w:pPr>
      <w:r>
        <w:t>e) Asimismo, entiende vulnerado el derecho fundamental a la igualdad ante la Ley, art. 14 CE y art. 14 CEDH.</w:t>
      </w:r>
    </w:p>
    <w:p w:rsidR="00D06117" w:rsidRDefault="00D06117" w:rsidP="00D06117">
      <w:pPr>
        <w:pStyle w:val="TextoNormal"/>
      </w:pPr>
    </w:p>
    <w:p w:rsidR="00D06117" w:rsidRDefault="00D06117" w:rsidP="00D06117">
      <w:pPr>
        <w:pStyle w:val="TextoNormal"/>
      </w:pPr>
      <w:r>
        <w:t>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 xml:space="preserve">De dicho cambio de la interpretación jurisprudencial se aprovecha la Sección Segunda de la Sala de lo Penal de la Audiencia Nacional en la ejecutoria para su aplicación al demandante. Alega que en la misma ejecutoria y por la misma Sala de lo Penal se han dictado </w:t>
      </w:r>
      <w:r>
        <w:lastRenderedPageBreak/>
        <w:t>resoluciones contrarias en filosofía y forma de determinar el licenciamiento que han determinado que se haya vulnerado su derecho a la igualdad en relación con el derecho a la libertad.</w:t>
      </w:r>
    </w:p>
    <w:p w:rsidR="00D06117" w:rsidRDefault="00D06117" w:rsidP="00D06117">
      <w:pPr>
        <w:pStyle w:val="TextoNormal"/>
      </w:pPr>
    </w:p>
    <w:p w:rsidR="00D06117" w:rsidRDefault="00D06117" w:rsidP="00D06117">
      <w:pPr>
        <w:pStyle w:val="TextoNormal"/>
      </w:pPr>
      <w:r>
        <w:t>Así, para determinar que el criterio de aplicación de redenciones sobre la pena de treinta años era una norma aprobada no solamente en el caso del recurrente, sino también en la de los demás imputados en la presente ejecutoria, hallamos en la misma la liquidación de la prisión de Algeciras realizada en fecha 23 de abril de 1996 al señor López Ruiz. En ella obra que el mismo tiene una condena superior a los treinta años, y se señala que la pena a cumplir será 10.950 días a la que deben restarse los días de redención obtenida. Dicha liquidación muestra la conformidad del Ministerio Fiscal en fecha 14 de mayo de 1996 y tras la misma y de conformidad con ella se dicta Auto de fecha 17 de junio de 1996 en la que se acuerda no a lugar al cambio de Código penal. Pero en el mismo sentido obra la liquidación de condena judicial acumulada y rectificada de doña Begoña Uzcudun Echenagusia de 26 de mayo de 1994 en la que se da cuenta de las condenas, muy superiores de la misma a los treinta años, de las que de conformidad con el art. 70.2 cumplirá 10.950 días. A fecha de 22 de enero de 1996 se realiza por la prisión de Ourense la liquidación de condena de conformidad con la disposición transitoria tercera del Código penal de 1995, en la que obra las redenciones sobre la pena de treinta años. En Ministerio Fiscal informa a favor de la aprobación de dicha liquidación. El Auto de fecha 24 de mayo de 1996 determina la revisión del Código penal y señala que le es más favorable la pena de veinte años, a la que se le reducen los días de redención hasta la entrada en vigor del Código penal de 1995, que la anterior condena de treinta años sobre la que a buen seguro no redimirá o no se le descontará más de diez años. De hecho es puesta en libertad definitiva el 29 de enero de 2006, antes del cumplimiento de los veinte años, ya que empieza a cumplir la condena el 23 de septiembre de 1988 de conformidad con la liquidación judicial de 26 de mayo de 1994. Dichas resoluciones han sido adoptadas por el mismo Tribunal y en similares circunstancias y con los mismos criterios de licenciamiento que se habían adoptado con el señor Pérez Díaz.</w:t>
      </w:r>
    </w:p>
    <w:p w:rsidR="00D06117" w:rsidRDefault="00D06117" w:rsidP="00D06117">
      <w:pPr>
        <w:pStyle w:val="TextoNormal"/>
      </w:pPr>
    </w:p>
    <w:p w:rsidR="00D06117" w:rsidRDefault="00D06117" w:rsidP="00D06117">
      <w:pPr>
        <w:pStyle w:val="TextoNormal"/>
      </w:pPr>
      <w:r>
        <w:t>La conclusión implica la aplicación ad personam de la ley; aplicación que atenta de manera directa contra los principios de legalidad y de seguridad jurídica por los que se rige el derecho penal; vulneración de principios que lleva consigo la vulneración del derecho fundamental a la igualdad ante la ley.</w:t>
      </w:r>
    </w:p>
    <w:p w:rsidR="00D06117" w:rsidRDefault="00D06117" w:rsidP="00D06117">
      <w:pPr>
        <w:pStyle w:val="TextoNormal"/>
      </w:pPr>
    </w:p>
    <w:p w:rsidR="00D06117" w:rsidRDefault="00D06117" w:rsidP="00D06117">
      <w:pPr>
        <w:pStyle w:val="TextoNormal"/>
      </w:pPr>
      <w:r>
        <w:t>f) Se queja también de la vulneración del derecho fundamental a la libertad art. 17.1 CE, en relación con los artículos 5 y 7.1 del Convenio europeo para la protección de los derechos humanos y de las libertades fundamentales y 9.1, 5 y 15.1 del Pacto internacional de derechos civiles y políticos.</w:t>
      </w:r>
    </w:p>
    <w:p w:rsidR="00D06117" w:rsidRDefault="00D06117" w:rsidP="00D06117">
      <w:pPr>
        <w:pStyle w:val="TextoNormal"/>
      </w:pPr>
    </w:p>
    <w:p w:rsidR="00D06117" w:rsidRDefault="00D06117" w:rsidP="00D06117">
      <w:pPr>
        <w:pStyle w:val="TextoNormal"/>
      </w:pPr>
      <w:r>
        <w:t xml:space="preserve">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Las </w:t>
      </w:r>
      <w:r>
        <w:lastRenderedPageBreak/>
        <w:t>resoluciones recurridas retrasan la puesta en libertad del recurrente hasta el cumplimiento de los treinta años íntegros y, por tanto, violan el art. 17 CE y los arts. 5 y 15.1 CEDH, así como los arts. 9.1 y 5 y 15.1 PIDCP.</w:t>
      </w:r>
    </w:p>
    <w:p w:rsidR="00D06117" w:rsidRDefault="00D06117" w:rsidP="00D06117">
      <w:pPr>
        <w:pStyle w:val="TextoNormal"/>
      </w:pPr>
    </w:p>
    <w:p w:rsidR="00D06117" w:rsidRDefault="00D06117" w:rsidP="00D06117">
      <w:pPr>
        <w:pStyle w:val="TextoNormal"/>
      </w:pPr>
      <w:r>
        <w:t>g) Por último, alega la vulneración del art. 25.2 CE en relación con las Reglas mínimas para el tratamiento de los reclusos (elaboradas en el primer Congreso de las Naciones Unidas sobre prevención del delito y tratamiento del delincuente, Ginebra 1955) y el Pacto internacional de derechos civiles y políticos.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20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del Tribunal Constitucional acordó por providencia de 3 de marzo de 2011 la admisión a trámite del recurso de amparo y, de conformidad con el art. 51 de la Ley Orgánica del Tribunal Constitucional (LOTC), requerir atentamente a la Sala de lo Penal del Tribunal Supremo para que remitiera testimonio del recurso de casación núm. 10273-2009; igualmente se requirió la Sección Segunda de la Sala de lo Penal de la Audiencia Nacional, para que en el plazo de diez días remitieran testimonio de las actuaciones correspondientes a la ejecutoria 95-1989, interesándose al propio tiempo el emplazamiento de quienes fueron parte en el procedimiento, con excepción del recurrente en amparo, que aparece ya personado, para que en el plazo de diez días pudieran comparecer ante este Tribunal.</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Auto de 6 de junio de 2011 se denegó la suspensión solicitada por el recurrente.</w:t>
      </w:r>
    </w:p>
    <w:p w:rsidR="00D06117" w:rsidRDefault="00D06117" w:rsidP="00D06117">
      <w:pPr>
        <w:pStyle w:val="TextoNormal"/>
      </w:pPr>
    </w:p>
    <w:p w:rsidR="00D06117" w:rsidRDefault="00D06117" w:rsidP="00D06117">
      <w:pPr>
        <w:pStyle w:val="TextoNormal"/>
      </w:pPr>
      <w:r w:rsidRPr="00D06117">
        <w:rPr>
          <w:rStyle w:val="NumeroAFNegritaCaracter"/>
        </w:rPr>
        <w:t>6</w:t>
      </w:r>
      <w:r>
        <w:t>. El recurrente presentó alegaciones mediantes escrito que tuvo entrada en este Tribunal el 29 de diciembre de 2011, reiterando los argumentos expresados en la demanda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formuló sus alegaciones en escrito de 5 de enero de 2012, explicando que, por razones sistemáticas, abordará los motivos de amparo expuestos en orden distinto al que aparecen en la demanda.</w:t>
      </w:r>
    </w:p>
    <w:p w:rsidR="00D06117" w:rsidRDefault="00D06117" w:rsidP="00D06117">
      <w:pPr>
        <w:pStyle w:val="TextoNormal"/>
      </w:pPr>
      <w:r>
        <w:t>Comienza por el análisis del enunciado en el séptimo y último de los motivos que se recogen en la demanda, centrado en la eventual vulneración del principio de legalidad penal recogido en el art. 25.2 CE y, más concretamente, en el enunciado del mismo que alude al carácter rehabilitador y de reinserción social que deben de tener las penas señaladas a los diferentes delitos previstos en el Código penal. Pues bien, considera que el motivo debe ser rechazado a limine porque, como reiteradamente ha destacado la doctrina de ese Alto Tribunal (SSTC 28/1988 y 88/1998, y ATC 219/1998, por todos), el artículo 25.2 CE no contiene un derecho fundamental del ciudadano susceptible de ser invocado en amparo.</w:t>
      </w:r>
    </w:p>
    <w:p w:rsidR="00D06117" w:rsidRDefault="00D06117" w:rsidP="00D06117">
      <w:pPr>
        <w:pStyle w:val="TextoNormal"/>
      </w:pPr>
    </w:p>
    <w:p w:rsidR="00D06117" w:rsidRDefault="00D06117" w:rsidP="00D06117">
      <w:pPr>
        <w:pStyle w:val="TextoNormal"/>
      </w:pPr>
      <w:r>
        <w:lastRenderedPageBreak/>
        <w:t>Tampoco considera que tengan suficiente eficacia los motivos segundo y cuarto, centrados en la eventual vulneración del principio de legalidad penal conectado al de irretroactividad de las normas penales y restrictivas de derechos, puesto que, como ha señalado también de modo reiterado la doctrina del Tribunal Constitucional (STC 237/1993, por todas) no es invocable en amparo, a no ser que a través del mismo haya sido vulnerado alguno de los derechos fundamentales susceptibles de amparo. La afirmación del recurrente acerca de que el Tribunal Supremo haya realizado una interpretación del art. 70.2 CP 1973 acorde con los criterios que han sido recogido posteriormente en el art. 76 CP 1995, de tal modo que los beneficios penitenciarios hayan de ser aplicados, no a una nueva pena que resulte de la refundición de condenas, sino a cada una de las acumuladas hasta llegar al límite máximo de cumplimiento efectivo de las mismas, es una afirmación que no tiene más alcance que el de las propias alegaciones del actor en su demanda.</w:t>
      </w:r>
    </w:p>
    <w:p w:rsidR="00D06117" w:rsidRDefault="00D06117" w:rsidP="00D06117">
      <w:pPr>
        <w:pStyle w:val="TextoNormal"/>
      </w:pPr>
    </w:p>
    <w:p w:rsidR="00D06117" w:rsidRDefault="00D06117" w:rsidP="00D06117">
      <w:pPr>
        <w:pStyle w:val="TextoNormal"/>
      </w:pPr>
      <w:r>
        <w:t>Para que pudiera prosperar en si mismo este conjunto de motivos de amparo que inciden en una vulneración del principio de legalidad ex art. 25.1 CE, la interpretación que hacen las resoluciones judiciales recurridas del art. 70.2 CP 1973 (e incluso del art. 76.1 CP 1995) deberían suponer, para no incidir en una cuestión de legalidad ordinaria reservada a Jueces y Tribunales ex art. 117.3 CE y proscrita del recurso de amparo, la naturaleza de una interpretación normativa extensiva o in malam partem en sí mismas consideradas (STC 185/2000, de 1 de julio) o incidir en una aplicación analógica in peius (STC 283/2006, de 9 de octubre). No parece que en el caso de autos, y a los efectos de una posible vulneración del principio de legalidad (art. 25.1 CE) la interpretación que las resoluciones judiciales ahora recurridas en amparo hacen del art. 70.2 CP 1973 en exégesis derivada de la STS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w:t>
      </w:r>
    </w:p>
    <w:p w:rsidR="00D06117" w:rsidRDefault="00D06117" w:rsidP="00D06117">
      <w:pPr>
        <w:pStyle w:val="TextoNormal"/>
      </w:pPr>
    </w:p>
    <w:p w:rsidR="00D06117" w:rsidRDefault="00D06117" w:rsidP="00D06117">
      <w:pPr>
        <w:pStyle w:val="TextoNormal"/>
      </w:pPr>
      <w:r>
        <w:t xml:space="preserve">El tercer motivo lo centra en el núcleo mismo de la intangibilidad ex art. 24.1 CE. Considera el Ministerio Fiscal que es evidente que el núcleo del problema reside en que la Sala de lo Penal de la Audiencia Nacional asume en el Auto de 11 de diciembre de 2008 los criterios expresados por la Sala Segunda del Tribunal Supremo en su Sentencia del Pleno, STS 197/2006, de 28 de febrero. La norma en sí no ha variado, lo que sí ha variado sustancialmente es la interpretación que la Sala del Tribunal Supremo hace desde la STS 197/2006, de 28 de febrero, respecto de la aplicación de la regla. De ello resulta que con el nuevo criterio interpretativo operado por las resoluciones judiciales ahora recurridas en amparo, se ha ocasionado un evidente perjuicio penológico a la demandante de amparo. Abordando el derecho a la intangibilidad de las resoluciones judiciales firmes, así como a la ejecución de las mismas que se encuentra amparado en el seno más amplio del art. 24.1 CE que comprende el derecho a la tutela judicial efectiva (STC 23/2005, de 14 de febrero), afirma que cabría interrogarse si la naturaleza de unas resoluciones judiciales como los autos, liquidaciones y refundición de condena, poseen la naturaleza de firmes que implican su intangibilidad en términos del amparo propuesto ex art. 24.1 CE. A su juicio, no parece que puedan ser clasificadas como resoluciones judiciales de naturaleza intangibles las liquidaciones de </w:t>
      </w:r>
      <w:r>
        <w:lastRenderedPageBreak/>
        <w:t>condena habida cuenta de la extremada fluidez de la vida de cumplimiento penitenciario cuando entre en juego, como sucede en el caso de autos, la institución de la redención de penas, en sí mismas consideradas.</w:t>
      </w:r>
    </w:p>
    <w:p w:rsidR="00D06117" w:rsidRDefault="00D06117" w:rsidP="00D06117">
      <w:pPr>
        <w:pStyle w:val="TextoNormal"/>
      </w:pPr>
    </w:p>
    <w:p w:rsidR="00D06117" w:rsidRDefault="00D06117" w:rsidP="00D06117">
      <w:pPr>
        <w:pStyle w:val="TextoNormal"/>
      </w:pPr>
      <w:r>
        <w:t>Admite que, si bien el Auto en el que se fijara la refundición de penas, si no es recurrido, o si siéndolo, en cuanto a lo que acontezca en el resultado final del recurso, debe reputarse como firme y su consecuencia debe ser en principio la intangibilidad del mismo, en el caso de autos no se dan tales circunstancias, ya que no se varían las condenas objeto de refundición, tampoco el mecanismo limitador, un máximo de treinta años ex art. 70.2 CP, sino que lo que se modifica es una nueva jurisprudencia emanada por la Sala Segunda del Tribunal Supremo, la derivada de la STS 197/2006, de 28 de febrero, que hace suya la Sala de lo Penal de la Audiencia Nacional en el Auto ahora recurrido en amparo. Admite que es un tema discutible como lo es una fase procesal de ejecución de Sentencias y una variación interpretativa jurisprudencial de un precepto de dicha fase procesal ejecutoria. En el caso de autos, examinada la documentación judicial remitida no se encuentra vestigio de la refundición de condena de la que habla la demanda de amparo. Cierto es que en la Sentencia en la que fue condenado, por diversos delitos el señor Pérez Díaz, figura la aplicación de la regla segunda del art. 70 CP 1973 con la indicación de que el máximo de cumplimiento de las penas privativas de libertad lo será de treinta años, pero nada se dice, como es obvio, de los criterios a aplicar a tal refundición respecto de los beneficios de reducción de condena, pues ello es propio de la fase ejecutoria en liquidaciones y refundiciones de condena. En este caso, lo único que aparece documentado son liquidaciones de condena como la de 25 de abril de 1996 que quedó aprobada por Auto de 16 de junio de 1997. No es menos cierto que en todas ellas se van aplicando criterios de redención diferentes, por anteriores temporalmente, a las que luego fijaría la STS 197/2006, de 28 de febrero. Pero tales resoluciones judiciales no comportan, a juicio del Fiscal, un criterio de naturaleza equiparable a la de Sentencia o Auto de refundición de condenas que implicara como consecuencia constitucionalmente ineludible la vulneración del derecho fundamental a la intangibilidad de las resoluciones judiciales, ex art. 24.1 CE. Por todo ello este motivo debe a su vez ser desestimado.</w:t>
      </w:r>
    </w:p>
    <w:p w:rsidR="00D06117" w:rsidRDefault="00D06117" w:rsidP="00D06117">
      <w:pPr>
        <w:pStyle w:val="TextoNormal"/>
      </w:pPr>
    </w:p>
    <w:p w:rsidR="00D06117" w:rsidRDefault="00D06117" w:rsidP="00D06117">
      <w:pPr>
        <w:pStyle w:val="TextoNormal"/>
      </w:pPr>
      <w:r>
        <w:t>Asimismo se alega en el sexto motivo la vulneración del derecho a la libertad personal (art. 17.1 CE). Dicho motivo tal y como se expresa en la demanda de amparo, no posee autonomía argumentativa propia, sino que aparece necesaria e inextricablemente unido al resto de vulneraciones de derechos fundamentales alegados, por lo que se remite el Ministerio Fiscal a la respuesta que ha realizados a los diferentes alegaciones.</w:t>
      </w:r>
    </w:p>
    <w:p w:rsidR="00D06117" w:rsidRDefault="00D06117" w:rsidP="00D06117">
      <w:pPr>
        <w:pStyle w:val="TextoNormal"/>
      </w:pPr>
    </w:p>
    <w:p w:rsidR="00D06117" w:rsidRDefault="00D06117" w:rsidP="00D06117">
      <w:pPr>
        <w:pStyle w:val="TextoNormal"/>
      </w:pPr>
      <w:r>
        <w:t xml:space="preserve">Por último, analiza el primer motivo de amparo, relativo a la vulneración del derecho a la defensa art. 24. 1 CE, a un proceso con las debidas garantías, art. 24.2 CE, en relación con los arts. 13 CEDH y 14.5 PIDCP derecho al recurso. También carece de contenido a su juicio. Es cierto que el Auto de la Audiencia Nacional reprodujo por referencia la doctrina fijada por la STS 197/2006, de 28 de febrero, reflejando sintéticamente el resultado de su argumentación y que aún más sintéticamente los ratifica el Auto de 7 de abril que desestimó la súplica formulada contra aquél, pero la recepción de dicha doctrina de la STS 197/2006, se expresa con claridad suficiente para entender que el derecho de defensa más bien parece aludir a una supuesta incongruencia, que no se ha visto afectada en los términos exigidos por el art.24.1 CE. Dicha desestimación comporta, obviamente, el mantenimiento de la doctrina fijada en la STS 197/2006, de la que discrepa el demandante de amparo pero ello no </w:t>
      </w:r>
      <w:r>
        <w:lastRenderedPageBreak/>
        <w:t>puede significar, como pretende el recurrente, que ello suponga vulneración del derecho a la defensa o del recurso como se alega en dicho motivo.</w:t>
      </w:r>
    </w:p>
    <w:p w:rsidR="00D06117" w:rsidRDefault="00D06117" w:rsidP="00D06117">
      <w:pPr>
        <w:pStyle w:val="TextoNormal"/>
      </w:pPr>
    </w:p>
    <w:p w:rsidR="00D06117" w:rsidRDefault="00D06117" w:rsidP="00D06117">
      <w:pPr>
        <w:pStyle w:val="TextoNormal"/>
      </w:pPr>
      <w:r>
        <w:t>En cuanto a la vulneración del principio de igualdad en la aplicación de la ley porque el criterio emanado de la STS 197/2006, de 28 de febrero, que recogen y aplican las resoluciones judiciales recurridas “rompe” con toda la jurisprudencia existente en tal punto hasta ese momento, tampoco entiende el Fiscal que pueda prosperar. El órgano judicial que ha dictado una de las dos resoluciones que son objeto de este recurso, la Sección Segunda de la Sala de lo Penal de la Audiencia Nacional, es distinto de aquel, la Sala Segunda del Tribunal Supremo, que dictó la resolución, la STS 197/2006, de 28 de febrero, cuya doctrina recogida en el mismo, supuestamente, ha generado la situación personal discriminatoria. Además la demanda no aporta resolución judicial alguna dictada por la Sección Segunda de la Sala de lo Penal de la Audiencia Nacional en la que se decidiera de manera diferente a la recurrida en amparo en Supuestos sustancialmente idénticos, tal y como viene exigiendo la jurisprudencia del Tribunal Constitucional.</w:t>
      </w:r>
    </w:p>
    <w:p w:rsidR="00D06117" w:rsidRDefault="00D06117" w:rsidP="00D06117">
      <w:pPr>
        <w:pStyle w:val="TextoNormal"/>
      </w:pPr>
    </w:p>
    <w:p w:rsidR="00D06117" w:rsidRDefault="00D06117" w:rsidP="00D06117">
      <w:pPr>
        <w:pStyle w:val="TextoNormal"/>
      </w:pPr>
      <w:r>
        <w:t>Y, en segundo término, respecto del Auto de la casación de 22 de octubre de 2009 porque, aun cuando hubiera existido en la Sala Segunda del Tribunal Supremo el criterio de apartarse de una anterior línea jurisprudencial uniforme, tema este discutible si se atiende a lo que razona aquel en el fundamento jurídico cuarto de dicho Auto inadmisorio de la casación, hay que reconocer que éste ha recogido un conjunto de razonamientos en interpretación de la legalidad aplicable al caso que, desde la perspectiva de la racionalidad, justifican dicho eventual cambio de criterio, sin perjuicio lógicamente de que tales argumentos puedan ser analizados e incluso hasta rebatidos, desde la óptica de otros derechos fundamentales pero no desde el que ahora se invoca (SSTC 150/2001, de 2 de julio y 70/2003, de 9 de abril).</w:t>
      </w:r>
    </w:p>
    <w:p w:rsidR="00D06117" w:rsidRDefault="00D06117" w:rsidP="00D06117">
      <w:pPr>
        <w:pStyle w:val="TextoNormal"/>
      </w:pPr>
    </w:p>
    <w:p w:rsidR="00D06117" w:rsidRDefault="00D06117" w:rsidP="00D06117">
      <w:pPr>
        <w:pStyle w:val="TextoNormal"/>
      </w:pPr>
      <w:r>
        <w:t>Tampoco aprecia un trato injustificadamente desigual para con el señor Pérez Díaz respecto de otros dos condenados en la ejecutoria 95/1989, la señora Uzcudun Echenagusia y el señor López Ruiz. Tampoco en este caso procede aceptar esta vulneración de derecho fundamental.</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1 de febrero de 2011, a propuesta de la Sala Segunda, el Pleno acordó, en virtud del art. 10.1 n) LOTC,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22 de octubre de 2009 de la Sala Segunda del Tribunal Supremo que inadmite el recurso de casación planteado contra el Auto de 11 de diciembre de 2008 —también objeto del presente recurso— de la Sección Segunda de la Sala de lo Penal de la Audiencia Nacional (ejecutoria 95-1989, sumario 24-1987) por el que se acordaba el licenciamiento definitivo del demandante de amparo para el día 16 de noviembre de 2017.</w:t>
      </w:r>
    </w:p>
    <w:p w:rsidR="00D06117" w:rsidRDefault="00D06117" w:rsidP="00D06117">
      <w:pPr>
        <w:pStyle w:val="TextoNormal"/>
      </w:pPr>
    </w:p>
    <w:p w:rsidR="00D06117" w:rsidRDefault="00D06117" w:rsidP="00D06117">
      <w:pPr>
        <w:pStyle w:val="TextoNormal"/>
      </w:pPr>
      <w:r>
        <w:lastRenderedPageBreak/>
        <w:t>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como ha quedado expuesto en los antecedentes, interesa la desestimación del recurso, por entender que no puede apreciarse ninguna de las lesiones aducidas en la demanda.</w:t>
      </w:r>
    </w:p>
    <w:p w:rsidR="00D06117" w:rsidRDefault="00D06117" w:rsidP="00D06117">
      <w:pPr>
        <w:pStyle w:val="TextoNormal"/>
      </w:pPr>
    </w:p>
    <w:p w:rsidR="00D06117" w:rsidRDefault="00D06117" w:rsidP="00D06117">
      <w:pPr>
        <w:pStyle w:val="TextoNormal"/>
      </w:pPr>
      <w:r w:rsidRPr="00D06117">
        <w:rPr>
          <w:rStyle w:val="NumeroAFNegritaCaracter"/>
        </w:rPr>
        <w:t>2</w:t>
      </w:r>
      <w:r>
        <w:t>. El núcleo del presente recurso, como con más detalle se ha dado cuenta en los antecedentes, se centra en las lesiones que el recurrente dice haber padecido como consecuencia de la decisión de la Audiencia Nacional de alterar la fecha de licenciamiento del demandante, que inicialmente fijó, mediante providencia de 19 de noviembre de 2008, para el 15 de diciembre de 2008, y, posteriormente sin mediar recurso alguno, modificó mediante Auto de 11 de diciembre de 2008, señalando, en aplicación de la doctrina establecida por el Tribunal Supremo en la Sentencia 197/2006, de 28 de febrero, que la fecha de licenciamiento del recurrente debería ser el 16 de noviembre de 2017. En el Auto del Tribunal Supremo de 22 de octubre de 2009 que resuelve el recurso de casación interpuesto por el recurrente el Tribunal Supremo en el primero de sus razonamientos jurídicos señala que “el Auto que ahora se recurre, que es de fecha 11-12-08 retrasó el licenciamiento definitivo de su defendido hasta el día 16-11-2007, cuando con anterioridad mediante Providencia de fecha 19-11-2008 se había ya acordado el licenciamiento definitivo para el día 15-12-2008 y dicha resolución fue firme”.</w:t>
      </w:r>
    </w:p>
    <w:p w:rsidR="00D06117" w:rsidRDefault="00D06117" w:rsidP="00D06117">
      <w:pPr>
        <w:pStyle w:val="TextoNormal"/>
      </w:pPr>
    </w:p>
    <w:p w:rsidR="00D06117" w:rsidRDefault="00D06117" w:rsidP="00D06117">
      <w:pPr>
        <w:pStyle w:val="TextoNormal"/>
      </w:pPr>
      <w:r>
        <w:t>Dadas dichas resoluciones judiciales conviene comenzar nuestro análisis por la queja relativa a la vulneración del art. 24.1 CE, tutela judicial efectiva por haber sido lesionado el principio de intangibilidad de las resoluciones judiciales firmes, que basa el recurrente en la modificación de la providencia que señalaba su licenciamiento cuando ya era firme y sin que mediara recurso legal por ninguna de las partes.</w:t>
      </w:r>
    </w:p>
    <w:p w:rsidR="00D06117" w:rsidRDefault="00D06117" w:rsidP="00D06117">
      <w:pPr>
        <w:pStyle w:val="TextoNormal"/>
      </w:pPr>
    </w:p>
    <w:p w:rsidR="00D06117" w:rsidRDefault="00D06117" w:rsidP="00D06117">
      <w:pPr>
        <w:pStyle w:val="TextoNormal"/>
      </w:pPr>
      <w:r>
        <w:t xml:space="preserve">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w:t>
      </w:r>
      <w:r>
        <w:lastRenderedPageBreak/>
        <w:t>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3</w:t>
      </w:r>
      <w:r>
        <w:t>. De la doctrina señalada se desprende que en el presente recurso de amparo debe apreciarse la lesión aducida del derecho a la tutela judicial efectiva al haber sido vulnerado el principio de intangibilidad de las resoluciones judiciales firmes.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La providencia de 19 de noviembre de 2008 de la Sección Segunda de la Audiencia Nacional que literalmente señalaba que “constando informe favorable del Ministerio Fiscal se aprueba el licenciamiento definitivo respecto del penado JOSÉ MARÍA PÉREZ DÍAZ para el día 15-12-08 y para su cumplimentación remítase oficio al Centro Penitenciario donde se encuentra ingresado”.</w:t>
      </w:r>
    </w:p>
    <w:p w:rsidR="00D06117" w:rsidRDefault="00D06117" w:rsidP="00D06117">
      <w:pPr>
        <w:pStyle w:val="TextoNormal"/>
      </w:pPr>
    </w:p>
    <w:p w:rsidR="00D06117" w:rsidRDefault="00D06117" w:rsidP="00D06117">
      <w:pPr>
        <w:pStyle w:val="TextoNormal"/>
      </w:pPr>
      <w:r>
        <w:t xml:space="preserve">b) El Auto de 11 de diciembre de 2008 dictado por la Sección Segunda de la Sala de lo penal de la Audiencia Nacional en el que señala que, si bien inicialmente se aprobó el licenciamiento definitivo del penado, el Ministerio Fiscal interesó una nueva propuesta de licenciamiento que fue remitida por el centro penitenciario y aprobada por el órgano judicial, considerando que procedía la aplicación de la doctrina emanada de la STS 197/2006, de 28 de febrero; en definitiva, el citado Auto acuerda “en la medida que el licenciamiento del penado no se ha producido efectivamente” una nueva fecha de licenciamiento del recurrente </w:t>
      </w:r>
      <w:r>
        <w:lastRenderedPageBreak/>
        <w:t>para el 16 de noviembre de 2017. Decisión que devino firme tras ser rechazado el recurso de casación que interpuso el penado.</w:t>
      </w:r>
    </w:p>
    <w:p w:rsidR="00D06117" w:rsidRDefault="00D06117" w:rsidP="00D06117">
      <w:pPr>
        <w:pStyle w:val="TextoNormal"/>
      </w:pPr>
    </w:p>
    <w:p w:rsidR="00D06117" w:rsidRDefault="00D06117" w:rsidP="00D06117">
      <w:pPr>
        <w:pStyle w:val="TextoNormal"/>
      </w:pPr>
      <w:r>
        <w:t>Como antes se ha señalado, el derecho a la tutela judicial efectiva (art. 24.1 CE) impide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Del examen de las resoluciones judiciales señaladas y conforme a la doctrina expuesta, sólo cabe concluir que se ha modificado una resolución judicial firme, sin mediar recurso legal, por lo que se ha vulnerado el derecho a la tutela judicial efectiva del recurrente al haberse lesionado el derecho a la intangibilidad de las resoluciones judiciales firmes.</w:t>
      </w:r>
    </w:p>
    <w:p w:rsidR="00D06117" w:rsidRDefault="00D06117" w:rsidP="00D06117">
      <w:pPr>
        <w:pStyle w:val="TextoNormal"/>
      </w:pPr>
    </w:p>
    <w:p w:rsidR="00D06117" w:rsidRDefault="00D06117" w:rsidP="00D06117">
      <w:pPr>
        <w:pStyle w:val="TextoNormal"/>
      </w:pPr>
      <w:r w:rsidRPr="00D06117">
        <w:rPr>
          <w:rStyle w:val="NumeroAFNegritaCaracter"/>
        </w:rPr>
        <w:t>4</w:t>
      </w:r>
      <w:r>
        <w:t>. La estimación del motivo de amparo analizado en el fundamento anterior, hace innecesario el pronunciamiento sobre el resto de alegaciones planteadas en la demanda de amparo.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amparo solicitado por don José María Pérez Díaz y en su virtud:</w:t>
      </w:r>
    </w:p>
    <w:p w:rsidR="00D06117" w:rsidRDefault="00D06117" w:rsidP="00D06117">
      <w:pPr>
        <w:pStyle w:val="TextoNormal"/>
      </w:pPr>
    </w:p>
    <w:p w:rsidR="00D06117" w:rsidRDefault="00D06117" w:rsidP="00D06117">
      <w:pPr>
        <w:pStyle w:val="TextoNormal"/>
      </w:pPr>
      <w:r>
        <w:t>1º Declarar vulnerado su derecho a la tutela judicial efectiva, en su vertiente del derecho a la intangibilidad de las resoluciones judiciales firmes.</w:t>
      </w:r>
    </w:p>
    <w:p w:rsidR="00D06117" w:rsidRDefault="00D06117" w:rsidP="00D06117">
      <w:pPr>
        <w:pStyle w:val="TextoNormal"/>
      </w:pPr>
    </w:p>
    <w:p w:rsidR="00D06117" w:rsidRDefault="00D06117" w:rsidP="00D06117">
      <w:pPr>
        <w:pStyle w:val="TextoNormal"/>
      </w:pPr>
      <w:r>
        <w:t>2º Restablecerle en su derecho y, a tal fin, declarar la nulidad del Auto de 11 de diciembre de 2008 dictado por la Sección Segunda de la Sala de lo penal de la Audiencia Nacional y de las resoluciones judiciales posteriores dictadas por el Tribunal Supremo, en concreto, el Auto de 22 de octubre de 2009 de la Sala Segunda del Tribunal Supremo que inadmitió el recurso de casación y la providencia que rechazó el incidente de nulidad formulado.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6" w:name="SENTENCIA_2012_63"/>
      <w:r>
        <w:lastRenderedPageBreak/>
        <w:t>SENTENCIA 63/2012, de 29 de marzo de 2012</w:t>
      </w:r>
    </w:p>
    <w:bookmarkEnd w:id="6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ECLI:ES:TC:2012:63</w:t>
      </w:r>
    </w:p>
    <w:p w:rsidR="00D06117" w:rsidRDefault="00D06117" w:rsidP="00D06117">
      <w:pPr>
        <w:pStyle w:val="SntesisDescriptiva"/>
      </w:pPr>
    </w:p>
    <w:p w:rsidR="00D06117" w:rsidRDefault="00D06117" w:rsidP="00D06117">
      <w:pPr>
        <w:pStyle w:val="SntesisDescriptiva"/>
      </w:pPr>
      <w:r>
        <w:t>Recurso de amparo 2251-2010. Promovido por don Isidro María Garalde Bedialauneta con respecto a un Auto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w:t>
      </w:r>
    </w:p>
    <w:p w:rsidR="00D06117" w:rsidRDefault="00D06117" w:rsidP="00D06117">
      <w:pPr>
        <w:pStyle w:val="SntesisAnaltica"/>
      </w:pPr>
    </w:p>
    <w:p w:rsidR="00D06117" w:rsidRDefault="00D06117" w:rsidP="00D06117">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[FJ 3].</w:t>
      </w:r>
    </w:p>
    <w:p w:rsidR="00D06117" w:rsidRDefault="00D06117" w:rsidP="00D06117">
      <w:pPr>
        <w:pStyle w:val="Extracto"/>
      </w:pPr>
    </w:p>
    <w:p w:rsidR="00D06117" w:rsidRDefault="00D06117" w:rsidP="00D06117">
      <w:pPr>
        <w:pStyle w:val="Extracto"/>
      </w:pPr>
      <w:r>
        <w:t>2.</w:t>
      </w:r>
      <w:r>
        <w:tab/>
        <w:t xml:space="preserve">La exigencia de agotamiento de la vía judicial previa tiene por objeto preservar el carácter subsidiario del recurso de amparo, evitando que el acceso a esta jurisdicción constitucional se produzca </w:t>
      </w:r>
      <w:r w:rsidRPr="00D06117">
        <w:rPr>
          <w:i/>
        </w:rPr>
        <w:t>per saltum</w:t>
      </w:r>
      <w:r>
        <w:t>, esto es, sin dar oportunidad a los órganos judiciales de pronunciarse y, en definitiva, remediar la lesión que luego se invoca como fundamento del recurso de amparo (SSTC 8/1993, 174/2011) [FJ 2].</w:t>
      </w:r>
    </w:p>
    <w:p w:rsidR="00D06117" w:rsidRDefault="00D06117" w:rsidP="00D06117">
      <w:pPr>
        <w:pStyle w:val="Extracto"/>
      </w:pPr>
    </w:p>
    <w:p w:rsidR="00D06117" w:rsidRDefault="00D06117" w:rsidP="00D06117">
      <w:pPr>
        <w:pStyle w:val="Extracto"/>
      </w:pPr>
      <w:r>
        <w:t>3.</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2251-2010, promovido por don Isidro Garalde Bedialauneta, representado por el Procurador de los Tribunales don José Javier Cuevas Rivas y asistido por la Letrada doña Hailea Ziluaga Larreategi, contra Auto de la Sección Tercera de la Sala de lo Penal de la Audiencia Nacional de 26 de enero de 2010, que desestima el recurso de súplica interpuesto contra la providencia de 2 de diciembre de 2009, por la que se ordena al centro penitenciario elaborar la liquidación de condena conforme al criterio fijado en la Sentencia de la Sala Penal del Tribunal Supremo 197/2006. Ha intervenido el Ministerio Fiscal.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17 de marzo de 2010, don José Javier Cuevas Rivas, Procurador de los Tribunales, y de don Isidro Garalde Bedialauneta,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en el sumario 1-1982 del Juzgado Central núm. 4 mediante Sentencia de 15 de noviembre de 1993, en calidad de autor de un delito de atentado a la pena de veintiséis años de reclusión mayor; tres delitos de asesinato, consumados, a la pena de treinta años de reclusión mayor; un delito de atentado a la autoridad, en concurso ideal con un delito de asesinato frustrado cualificado por el uso de explosivos; un delito de estragos a once años de prisión mayor; y dos delitos de lesiones graves a las penas, respectivamente, de once años de prisión mayor. Posteriormente en el sumario 9-1990 del Juzgado Central núm. 5, mediante Sentencia de 30 de junio de 1995, fue condenado en calidad de autor de los delitos de atentado en relación con el de asesinato, utilización ilegítima de vehículo de motor y de falsificación de placas de matrícula, a las penas de veinte años de reclusión menor, tres años de prisión menor y tres años de prisión menor, respectivamente.</w:t>
      </w:r>
    </w:p>
    <w:p w:rsidR="00D06117" w:rsidRDefault="00D06117" w:rsidP="00D06117">
      <w:pPr>
        <w:pStyle w:val="TextoNormal"/>
      </w:pPr>
    </w:p>
    <w:p w:rsidR="00D06117" w:rsidRDefault="00D06117" w:rsidP="00D06117">
      <w:pPr>
        <w:pStyle w:val="TextoNormal"/>
      </w:pPr>
      <w:r>
        <w:t xml:space="preserve">La Sección Tercera de Sala de lo Penal de la Audiencia Nacional acordó mediante Auto de 22 de octubre de 2002 la refundición de tales condenas. Su fundamento jurídico único dice expresamente: “Los delitos cometidos por el penado Isidro María Garalde Bedialauneta presentan entre sí clara conexión jurídica y cronológica que hubiera permitido enjuiciarlos en un solo proceso como incursos en el número 5 del artículo 17 de la Ley de Enjuiciamiento Criminal, por lo que, de conformidad con lo preceptuado por el artículo 988 de la misma Ley, en relación con lo dispuesto en la regla 2ª del artículo 70 del Código Penal vigente en el momento de comisión de los hechos, es procedente acumular las condenas impuestas a dicho penado que se expresan en el antecedente segundo, y fijar el máximo de la condena total en las mencionadas causas en TREINTA AÑOS de privación de libertad”. Y en el fallo la Sala acuerda “Acumular las condenas impuestas al penado Isidro María Garalde Bedialauneta en las causas Sº 1/82 C-4 y Sº 9/90 C-5, fijándose en una duración de TREINTA </w:t>
      </w:r>
      <w:r>
        <w:lastRenderedPageBreak/>
        <w:t>AÑOS de privación de libertad el tiempo total de cumplimiento de todas las penas privativas de libertad impuestas en las causas expresadas”.</w:t>
      </w:r>
    </w:p>
    <w:p w:rsidR="00D06117" w:rsidRDefault="00D06117" w:rsidP="00D06117">
      <w:pPr>
        <w:pStyle w:val="TextoNormal"/>
      </w:pPr>
    </w:p>
    <w:p w:rsidR="00D06117" w:rsidRDefault="00D06117" w:rsidP="00D06117">
      <w:pPr>
        <w:pStyle w:val="TextoNormal"/>
      </w:pPr>
      <w:r>
        <w:t>b) El 12 de noviembre de 2009 tuvo entrada en la Sección Tercera de Sala de lo Penal de la Audiencia Nacional un oficio del Centro Penitenciario Puerto de Santa María, en el que consultaba si era aplicable al recurrente la doctrina emanada de la STS 197/2006, de 28 de febrero, toda vez que de no aplicarse la misma la fecha de licenciamiento sería el 2 de febrero de 2010 de acuerdo con las redenciones ordinarias consignadas en la hoja de cálculo y certificación de retenciones que se adjuntaba. La Sala, una vez evacuado el traslado conferido al Fiscal, dictó providencia de 2 de diciembre de 2009 acordando que “procede aplicar al interno la doctrina establecida por la STS 197/2006”, contra la cual se interpuso recurso de súplica desestimado por Auto de 26 de enero de 2010.</w:t>
      </w:r>
    </w:p>
    <w:p w:rsidR="00D06117" w:rsidRDefault="00D06117" w:rsidP="00D06117">
      <w:pPr>
        <w:pStyle w:val="TextoNormal"/>
      </w:pPr>
    </w:p>
    <w:p w:rsidR="00D06117" w:rsidRDefault="00D06117" w:rsidP="00D06117">
      <w:pPr>
        <w:pStyle w:val="TextoNormal"/>
      </w:pPr>
      <w:r w:rsidRPr="00D06117">
        <w:rPr>
          <w:rStyle w:val="NumeroAFNegritaCaracter"/>
        </w:rPr>
        <w:t>3</w:t>
      </w:r>
      <w:r>
        <w:t>. El actor fundamenta su demanda de amparo en la vulneración de los derechos fundamentales a la legalidad (art. 25.1 y 2 CE), a la tutela judicial efectiva (art. 24.1 CE), a la libertad (art. 17 CE) y a la igualdad en la aplicación de la ley (art. 14 CE).</w:t>
      </w:r>
    </w:p>
    <w:p w:rsidR="00D06117" w:rsidRDefault="00D06117" w:rsidP="00D06117">
      <w:pPr>
        <w:pStyle w:val="TextoNormal"/>
      </w:pPr>
    </w:p>
    <w:p w:rsidR="00D06117" w:rsidRDefault="00D06117" w:rsidP="00D06117">
      <w:pPr>
        <w:pStyle w:val="TextoNormal"/>
      </w:pPr>
      <w:r>
        <w:t>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en la providencia de 2 de diciembre de 2009, acordó la aplicación de la nueva doctrina del Tribunal Supremo sin dar traslado a la defensa del señor Garalde Bedialauneta,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 además que ello vulnera el principio acusatorio, porque el órgano judicial asume funciones acusatorias constitucionalmente vedadas. Por otra parte, sostiene el recurrente que la Audiencia Nacional, al dictar esa resolución mediante providencia, por entender erróneamente que se trataba de simple ejecución de la Sentencia del Tribunal Supremo de 28 de febrero de 2006 (STS 197/2006) cuando esta resolución sólo es firme para el señor Parot, determina que el único remedio que quepa sea el recurso de súplica ante el mismo órgano judicial, impidiendo el derecho a someter la cuestión ante un órgano superior.</w:t>
      </w:r>
    </w:p>
    <w:p w:rsidR="00D06117" w:rsidRDefault="00D06117" w:rsidP="00D06117">
      <w:pPr>
        <w:pStyle w:val="TextoNormal"/>
      </w:pPr>
    </w:p>
    <w:p w:rsidR="00D06117" w:rsidRDefault="00D06117" w:rsidP="00D06117">
      <w:pPr>
        <w:pStyle w:val="TextoNormal"/>
      </w:pPr>
      <w:r>
        <w:t xml:space="preserve">En un segundo motivo de amparo, se aduce la vulneración del principio de legalidad (art. 25.1 y 2 CE), en relación con la interpretación de los arts. 70.2 y 100 del Código penal (CP) de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w:t>
      </w:r>
      <w:r>
        <w:lastRenderedPageBreak/>
        <w:t>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El tercer y cuarto motivo de amparo denuncian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y también del Auto de refundición de condenas de 22 de octubre de 2002, que según el recurrente fija de modo firme e intangible en treinta años la pena acumulada a la que procederá aplicar los beneficios.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y el Auto de refundición de condenas de 22 de octubre de 2002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 xml:space="preserve">Como quinto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w:t>
      </w:r>
      <w:r>
        <w:lastRenderedPageBreak/>
        <w:t>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sexto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 xml:space="preserve">En el séptimo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el señor Garalde ha cumplido un tiempo de estancia efectiva en prisión al que deberían sumarse las redenciones ordinarias y extraordinarias y licenciarlo cuando el cómputo de ambas llegue a 10.950 días, es decir al máximo de 30 años previsto en el art. 70.2 CP 1973. Sin embargo, las resoluciones recurridas retrasan la puesta en libertad del recurrente hasta el cumplimiento de los treinta años íntegros y, por tanto, violan el art. 17 </w:t>
      </w:r>
      <w:r>
        <w:lastRenderedPageBreak/>
        <w:t>CE y los arts. 5 y 15.1 del Convenio europeo para la protección de los derechos humanos y de las libertades fundamentales, así como los arts. 9.1 y 5 y 15.1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14 de abril de 2011, la Sala Segunda de este Tribunal acordó la admisión a trámite de la demanda así como, a tenor de lo establecido en el art. 51 de la Ley Orgánica del Tribunal Constitucionales (LOTC), requerir atentamente al servicio de ejecutorias, a fin de que remita testimonio de las actuaciones correspondientes a la ejecutoria núm. 58-1995, interesándole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otra providencia de la misma fecha, la Sala Segunda de este Tribunal acordó formar pieza separada para la tramitación del incidente sobre suspensión y, conforme determina el art. 56 LOTC, conceder un plazo común de tres días a la parte actora y al Ministerio Fiscal para que aleguen lo que estimen pertinente. Evacuado dicho trámite, la Sala Segunda, por Auto de 6 de junio de 2011,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A través de una diligencia de ordenación de 3 de noviembre de 2011 se acordó dar vista de las actuaciones a la parte recurrente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día 7 de diciembre de 2011 presentó sus alegaciones el Fiscal, interesando la estimación del amparo solicitado y la anulación de las resoluciones recurridas.</w:t>
      </w:r>
    </w:p>
    <w:p w:rsidR="00D06117" w:rsidRDefault="00D06117" w:rsidP="00D06117">
      <w:pPr>
        <w:pStyle w:val="TextoNormal"/>
      </w:pPr>
    </w:p>
    <w:p w:rsidR="00D06117" w:rsidRDefault="00D06117" w:rsidP="00D06117">
      <w:pPr>
        <w:pStyle w:val="TextoNormal"/>
      </w:pPr>
      <w:r>
        <w:t>Comienza sosteniendo que por razones sistemáticas procede abordar los motivos de modo distinto al propuesto en la demanda de amparo. Es por ello que empieza por el examen del octavo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t>Tampoco considera el Ministerio Fiscal que los motivos segundo y quinto tengan suficiente eficacia suasoria. De un lado, “no parece que en el caso de autos, y a los efectos de una posible vulneración del principio de legalidad (art. 25.1) la interpretación que las resoluciones judiciales ahora recurridas en amparo hacen del art. 70.2 CP de 1973 en exégesis derivada de la STS (Pleno de la Sala 2ª 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De otro, “no tiene fundamento alguno sostener que se ha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20 de febrero, y no el art. 78 CP 1995”. En fin, “se cita todo ello además en relación con el derecho fundamental a la libertad personal (art. 17 CE). Pero tal cita debe considerarse ínsita en la argumentación de denegación de la irretroactividad contra reo que hemos expuesto más arriba. Si no concurre tal defecto constitucional en la aplicación al reo de la doctrina derivada de la STS del Pleno de la Sala Segunda del Tribunal Supremo 197/2006, de 28 de febrero, tampoco puede deducirse que el no licenciamiento del Sr. Garalde en la fecha prevista de no concurrir tal doctrina haya comprometido constitucionalmente su derecho a la libertad personal”.</w:t>
      </w:r>
    </w:p>
    <w:p w:rsidR="00D06117" w:rsidRDefault="00D06117" w:rsidP="00D06117">
      <w:pPr>
        <w:pStyle w:val="TextoNormal"/>
      </w:pPr>
    </w:p>
    <w:p w:rsidR="00D06117" w:rsidRDefault="00D06117" w:rsidP="00D06117">
      <w:pPr>
        <w:pStyle w:val="TextoNormal"/>
      </w:pPr>
      <w:r>
        <w:t>Rechaza también la denunciada vulneración del derecho a la igualdad en la aplicación de la Ley (art. 14 CE). En primer lugar, porque el órgano judicial que ha dictado una de las resoluciones impugnadas (la Audiencia Nacional) es distinto de aquél que sentó la doctrina supuestamente discriminatoria (el Tribunal Supremo). Y, en segundo lugar, porque en todo caso la Sentencia de la Sala Segunda del Tribunal Supremo a la que se atribuye el cambio de criterio, el cual ha sido asumido como ratio decidendi por todas la resoluciones impugnadas, había recogido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 xml:space="preserve">Por el contrario, el Ministerio Fiscal considera vulnerado el derecho a la intangibilidad de las resoluciones judiciales (art. 24.1 CE). Así, aun reconociendo que la STC 174/1989 pudiera avalar un criterio distinto, sostiene que “no parece que puedan ser calificadas como resoluciones judiciales de naturaleza intangible las liquidaciones de condena habida cuenta de la extremada fluidez de la vida de cumplimiento penitenciario cuando entre en juego, como sucede en el caso de autos, la institución de la redención de penas, en sí mismas consideradas”. Otra cosa acontece, sigue diciendo, “con la refundición de penas ex art. 70, regla 2ª, CP 1973 o en el vigente 76.1 CP. El Auto en que se fijara la refundición, si no es recurrido, o si siéndolo en cuanto a lo que acontezca en el resultado final del recurso, debe reputarse como firme y su consecuencia debe ser en principio la intangibilidad del mismo. La razón es obvia; se opera sobre una realidad, refundir condenas, y sobre una norma, en el </w:t>
      </w:r>
      <w:r>
        <w:lastRenderedPageBreak/>
        <w:t>caso de autos la regla 2ª del art. 70 CP”. Y en relación a esta segunda cuestión argumenta que en lo que hace a este caso concreto “[a] priori no entendemos como de recibo que establecidos unos criterios de interpretación normativa para fijar la refundición de condena (Auto de 22 de octubre de 2002) y establecidos ellos en resolución judicial, pudieran variarse en virtud de una posterior resolución, como son las resoluciones judiciales ahora recurridas en amparo, por vía de remisión a la STS 197/06, de 28 de febrero, que interpreta de otra manera las normas atinentes”. Según el Fiscal, “ello comporta la vulneración del derecho a la intangibilidad de las resoluciones judiciales ex art. 24.1 CE (por todas, STC 209/05, de 4 de julio), enumerado como tal en el cuarto de los motivos de amparo del presente recurso, y que además de alguna manera se desprende cuando se argumenta el derecho a la tutela judicial efectiva”.</w:t>
      </w:r>
    </w:p>
    <w:p w:rsidR="00D06117" w:rsidRDefault="00D06117" w:rsidP="00D06117">
      <w:pPr>
        <w:pStyle w:val="TextoNormal"/>
      </w:pPr>
    </w:p>
    <w:p w:rsidR="00D06117" w:rsidRDefault="00D06117" w:rsidP="00D06117">
      <w:pPr>
        <w:pStyle w:val="TextoNormal"/>
      </w:pPr>
      <w:r>
        <w:t>Por lo demás, a su juicio, este “derecho fundamental tiene engarce con el principio de legalidad (art. 25.1 CE) en relación con la prohibición de retroactividad de las normas penales perjudiciales para el reo (art. 9.3 CE, por todas 223/1997 y STEDH Streletz, Kessler, y Krenz vs Alemania de 22 de marzo de 2001), ya que las garantías de legalidad y seguridad jurídica que exigen ambos preceptos constitucionales deben extenderse no sólo al enjuiciamiento de los hechos como tipicidad cierta, taxativa y previsible (por todas, SSTC 196/2002, y 111/2004), sino que lo es asimismo para con la ejecución de las penas, integrándose la irretroactividad de las normas, y su interpretación, desfavorables al reo en el complejo de legalidad del art. 25.1 CE (vid. STEDH Puhk v. Estonia de 10 de febrero de 2004).”. En efecto, “en el hecho de autos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que supone de facto la creación ex novo de un nuevo marco paranormativo que ha causado una extensión de la fecha de licenciamiento del interno”.</w:t>
      </w:r>
    </w:p>
    <w:p w:rsidR="00D06117" w:rsidRDefault="00D06117" w:rsidP="00D06117">
      <w:pPr>
        <w:pStyle w:val="TextoNormal"/>
      </w:pPr>
    </w:p>
    <w:p w:rsidR="00D06117" w:rsidRDefault="00D06117" w:rsidP="00D06117">
      <w:pPr>
        <w:pStyle w:val="TextoNormal"/>
      </w:pPr>
      <w:r>
        <w:t>En fin, “a estas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El Ministerio Fiscal concluye que “[l]a consecuencia de todo ello es la estimación del amparo por todas esas vulneraciones, derecho a la intangibilidad de las resoluciones judiciales (art. 24.1 CE), en relación con el principio de legalidad penal en relación con la irretroactividad de lo desfavorable para el reo (art. 25.1 en relación con el art. 9.3 CE) y el derecho a la libertad personal”.</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del demandante de amparo formuló sus alegaciones mediante escrito que tuvo su entrada en el Registro General de este Tribunal el día 9 de diciembre de 2011,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La misma representación procesal presentó en este Tribunal escrito de fecha 5 de diciembre de 2011 solicitando la suspensión de los efectos de la aplicación de la Sentencia del Tribunal Supremo 197/2006, de 28 de febrero, pues a su juicio está produciendo tal </w:t>
      </w:r>
      <w:r>
        <w:lastRenderedPageBreak/>
        <w:t>perjuicio al recurrente que hace perder al amparo su finalidad, alegando que el art. 56.4 LOTC le habilita para pedir esta suspensión a pesar que la misma ya fue solicitad previamente y denegada por Auto de 6 de junio de 2011.</w:t>
      </w:r>
    </w:p>
    <w:p w:rsidR="00D06117" w:rsidRDefault="00D06117" w:rsidP="00D06117">
      <w:pPr>
        <w:pStyle w:val="TextoNormal"/>
      </w:pPr>
    </w:p>
    <w:p w:rsidR="00D06117" w:rsidRDefault="00D06117" w:rsidP="00D06117">
      <w:pPr>
        <w:pStyle w:val="TextoNormal"/>
      </w:pPr>
      <w:r w:rsidRPr="00D06117">
        <w:rPr>
          <w:rStyle w:val="NumeroAFNegritaCaracter"/>
        </w:rPr>
        <w:t>10</w:t>
      </w:r>
      <w:r>
        <w:t>. A propuesta de la Sala Segunda, el Pleno, en su reunión de 17 de enero de 2012 y conforme al art. 10.1 n) LOTC,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11</w:t>
      </w:r>
      <w:r>
        <w:t>. El Pleno, mediante providencia de 31 de enero de 2012, acordó, respecto de la solicitud de suspensión de 5 de diciembre de 2011 que “no ha lugar a lo solicitado en el mismo, toda vez que la suspensión interesada se refiere a una resolución judicial (STS 197/2006, de 28 de febrero) no recurrida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Tercera Sala de lo Penal de la Audiencia Nacional de 26 de enero de 2010, que desestima el recurso de súplica interpuesto contra la providencia de 2 de diciembre de 2009, por la que se ordena al centro penitenciario elaborar la liquidación de condena conforme al criterio fijado en la Sentencia de la Sala Penal del Tribunal Supremo 197/2006.</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legalidad (art. 25.1 y 2 CE), a la tutela judicial efectiva (art. 24.1 CE), a la libertad (art. 17.1 CE) y a la igualdad en la aplicación de la ley (art. 14 CE), con la argumentación que queda ampliamente expuesta en los antecedentes.</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 los derechos fundamentales consagrados en los arts. 24.1, 25.1 y 17.1 CE.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w:t>
      </w:r>
      <w:r>
        <w:lastRenderedPageBreak/>
        <w:t>jurisdicción ordinaria. Este requerimiento viene expresamente dispuesto por el art. 44.1 a) LOTC al exigir “que se hayan agotado todos los medios de impugnación previstos por las normas procesales para el caso concreto dentro de la vía judicial”.</w:t>
      </w:r>
    </w:p>
    <w:p w:rsidR="00D06117" w:rsidRDefault="00D06117" w:rsidP="00D06117">
      <w:pPr>
        <w:pStyle w:val="TextoNormal"/>
      </w:pPr>
    </w:p>
    <w:p w:rsidR="00D06117" w:rsidRDefault="00D06117" w:rsidP="00D06117">
      <w:pPr>
        <w:pStyle w:val="TextoNormal"/>
      </w:pPr>
      <w:r>
        <w:t>Tal como recordábamos en la STC 174/2011 de 7 de noviembre, FJ 2,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00D06117" w:rsidRDefault="00D06117" w:rsidP="00D06117">
      <w:pPr>
        <w:pStyle w:val="TextoNormal"/>
      </w:pPr>
    </w:p>
    <w:p w:rsidR="00D06117" w:rsidRDefault="00D06117" w:rsidP="00D06117">
      <w:pPr>
        <w:pStyle w:val="TextoNormal"/>
      </w:pPr>
      <w:r w:rsidRPr="00D06117">
        <w:rPr>
          <w:rStyle w:val="NumeroAFNegritaCaracter"/>
        </w:rPr>
        <w:t>3</w:t>
      </w:r>
      <w:r>
        <w:t>. En el presente supuesto la demandante de amparo impugna la providencia de la Sección Tercera Sala de lo Penal de la Audiencia Nacional de 2 de diciembre de 2009, por la que se ordena al centro penitenciario elaborar la liquidación de condena conforme al criterio fijado en la Sentencia de la Sala Penal del Tribunal Supremo 197/2006, y el Auto de 26 de enero de 2010 por el que se desestima el recurso de súplica interpuesto contra aquélla. De todo ello se desprende que el demandante de amparo ha acudido directamente ante este Tribunal sin hacer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que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íntegramente despejada casi dos años antes de pronunciarse las resoluciones impugnadas mediante el Auto del Tribunal Supremo de 7 de abril de 2008, dictado precisamente resolviendo un recurso de queja contra la denegación de la preparación de un recurso de casación contra el Auto desestimatorio del recuro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 fijación de criterio jurisprudencial que no podía ser ignorada, tanto tiempo después por la representación procesal y la defensa letrada del demandante de amparo.</w:t>
      </w:r>
    </w:p>
    <w:p w:rsidR="00D06117" w:rsidRDefault="00D06117" w:rsidP="00D06117">
      <w:pPr>
        <w:pStyle w:val="TextoNormal"/>
      </w:pPr>
    </w:p>
    <w:p w:rsidR="00D06117" w:rsidRDefault="00D06117" w:rsidP="00D06117">
      <w:pPr>
        <w:pStyle w:val="TextoNormal"/>
      </w:pPr>
      <w:r>
        <w:t>Por todo lo que antecede resulta procedente dictar Sentencia inadmitiendo el recuso de amparo por falta de agotamiento de la vía judicial previa [art. 44.1a) LOTC].</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el recurso de amparo formulado por don Isidro María Garalde Bedialauneta contra la providencia de la Sección Tercera Sala de lo Penal de la Audiencia Nacional de 2 de diciembre de 2009 y contra el Auto de 26 de enero de 2010 por el que se desestima el recurso de súplica interpuesto contra la providencia citada.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7" w:name="SENTENCIA_2012_64"/>
      <w:r>
        <w:lastRenderedPageBreak/>
        <w:t>SENTENCIA 64/2012, de 29 de marzo de 2012</w:t>
      </w:r>
    </w:p>
    <w:bookmarkEnd w:id="6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ECLI:ES:TC:2012:64</w:t>
      </w:r>
    </w:p>
    <w:p w:rsidR="00D06117" w:rsidRDefault="00D06117" w:rsidP="00D06117">
      <w:pPr>
        <w:pStyle w:val="SntesisDescriptiva"/>
      </w:pPr>
    </w:p>
    <w:p w:rsidR="00D06117" w:rsidRDefault="00D06117" w:rsidP="00D06117">
      <w:pPr>
        <w:pStyle w:val="SntesisDescriptiva"/>
      </w:pPr>
      <w:r>
        <w:t>Recurso de amparo 2383-2010. Promovido por don Joaquín Urain Larrañaga con respecto a los Autos de la Sala de lo Penal del Tribunal Supremo y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o del principio de legalidad en relación con la prohibición de retroactividad de las normas penales perjudiciales para el reo,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7].</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6].</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 xml:space="preserve">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w:t>
      </w:r>
      <w:r>
        <w:lastRenderedPageBreak/>
        <w:t>resoluciones recurridas, ni la doctrina del Tribunal Supremo invocada en ellas aplican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8.</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4].</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4].</w:t>
      </w:r>
    </w:p>
    <w:p w:rsidR="00D06117" w:rsidRDefault="00D06117" w:rsidP="00D06117">
      <w:pPr>
        <w:pStyle w:val="Extracto"/>
      </w:pPr>
    </w:p>
    <w:p w:rsidR="00D06117" w:rsidRDefault="00D06117" w:rsidP="00D06117">
      <w:pPr>
        <w:pStyle w:val="Extracto"/>
      </w:pPr>
      <w:r>
        <w:t>10.</w:t>
      </w:r>
      <w:r>
        <w:tab/>
        <w:t>El principio de seguridad jurídica consagrado en el art. 9.3 CE y el derecho a la tutela judicial efectiva –</w:t>
      </w:r>
      <w:r w:rsidRPr="00D06117">
        <w:rPr>
          <w:i/>
        </w:rPr>
        <w:t>ex</w:t>
      </w:r>
      <w:r>
        <w:t xml:space="preserve"> art. 24.1 CE– impiden a los Jueces y Tribunales, fuera de los casos expresamente previstos en la ley, revisar el juicio efectuado en un caso concreto, incluso si entendieran con posterioridad que la decisión no se ajusta a la legalidad (SSTC 219/2000, 62/2010) [FJ 5].</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5].</w:t>
      </w:r>
    </w:p>
    <w:p w:rsidR="00D06117" w:rsidRDefault="00D06117" w:rsidP="00D06117">
      <w:pPr>
        <w:pStyle w:val="Extracto"/>
      </w:pPr>
    </w:p>
    <w:p w:rsidR="00D06117" w:rsidRDefault="00D06117" w:rsidP="00D06117">
      <w:pPr>
        <w:pStyle w:val="Extracto"/>
      </w:pPr>
      <w:r>
        <w:t>13.</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[FFJJ 4, 8].</w:t>
      </w:r>
    </w:p>
    <w:p w:rsidR="00D06117" w:rsidRDefault="00D06117" w:rsidP="00D06117">
      <w:pPr>
        <w:pStyle w:val="Extracto"/>
      </w:pPr>
    </w:p>
    <w:p w:rsidR="00D06117" w:rsidRDefault="00D06117" w:rsidP="00D06117">
      <w:pPr>
        <w:pStyle w:val="Extracto"/>
      </w:pPr>
      <w:r>
        <w:t>14.</w:t>
      </w:r>
      <w:r>
        <w:tab/>
        <w:t>Aun cuando el nuevo criterio de cómputo de las redenciones dificulte objetivamente la posibilidad de reducir el cumplimiento efectivo de la pena en determinados supuestos, es lo cierto que tal criterio no impide que los penados puedan cumplir su condena con arreglo al elenco de medidas de la legislación penitenciaria vigente que favorecen y posibilitan la reeducación y reinserción social, si su conducta penitenciaria y su evolución muestra que se hallan en condiciones de hacer vida honrada en libertad [FJ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2383-2010, promovido por don Joaquín Urain Larrañaga, representado por el Procurador de los Tribunales don José Javier Cuevas Rivas y asistido por la Letrado doña Ainhoa Baglietto, contra los Autos de 21 de enero y de 19 de febrero de 2010 de la Sala Segunda del Tribunal Supremo y contra el Auto de la Sección Segunda de la Sala de lo Penal de la Audiencia Nacional de 24 de agosto de 2009. Ha intervenido el Ministerio Fiscal.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18 de marzo de 2010, don José Javier Cuevas Rivas, Procurador de los Tribunales, y de don Joaquín Urain Larrañaga,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por la Sección Segunda de Sala de lo Penal de la Audiencia Nacional, en diversos procesos a varias penas que suman más de cuatrocientos años, acordando el tribunal sentenciador mediante Auto de 16 de junio de 1997 la refundición de tales condenas. Su razonamiento jurídico único dice expresamente: “Los delitos cometidos por el penado Joaquín Urain Larrañaga presentan entre sí clara conexión jurídica y cronológica que hubiera permitido enjuiciarlos en un solo proceso, por lo que, de conformidad con lo preceptuado por el artículo 988 de la Ley de Enjuiciamiento Criminal, en relación con lo dispuesto en la regla 2ª del artículo 70 del Código Penal, es procedente refundir las condenas impuestas y expresadas, y fijar el máximo de la condena total a cumplir por el penado Joaquín Urain Larrañaga, en las indicadas causas, la de treinta años de privación de libertad”.</w:t>
      </w:r>
    </w:p>
    <w:p w:rsidR="00D06117" w:rsidRDefault="00D06117" w:rsidP="00D06117">
      <w:pPr>
        <w:pStyle w:val="TextoNormal"/>
      </w:pPr>
    </w:p>
    <w:p w:rsidR="00D06117" w:rsidRDefault="00D06117" w:rsidP="00D06117">
      <w:pPr>
        <w:pStyle w:val="TextoNormal"/>
      </w:pPr>
      <w:r>
        <w:t>b) El 21 de noviembre de 2008 tuvo entrada en la Sección Segunda de Sala de lo Penal de la Audiencia Nacional un oficio del centro penitenciario de La Moraleja, en Dueñas, en el que consultaba si era aplicable al recurrente la doctrina emanada de la STS 197/2006, de 28 de febrero, toda vez que de no aplicarse la fecha de licenciamiento sería el 29 de agosto de 2009 de acuerdo con las redenciones ordinarias consignadas en la hoja de cálculo que se adjuntaba. De aplicarse, por el contrario, la fecha sería el 10 de enero de 2016. Oficio que fue recordado por otro de 25 de mayo de 2009.</w:t>
      </w:r>
    </w:p>
    <w:p w:rsidR="00D06117" w:rsidRDefault="00D06117" w:rsidP="00D06117">
      <w:pPr>
        <w:pStyle w:val="TextoNormal"/>
      </w:pPr>
    </w:p>
    <w:p w:rsidR="00D06117" w:rsidRDefault="00D06117" w:rsidP="00D06117">
      <w:pPr>
        <w:pStyle w:val="TextoNormal"/>
      </w:pPr>
      <w:r>
        <w:t>La Sala, una vez evacuado el traslado conferido a las partes, apoyando el Fiscal la aplicación de los criterios de la STS 197/2006 y oponiéndose a ello el recurrente, interesó del centro penitenciario mediante diligencia de ordenación de 17 de julio de 2009 nueva propuesta de licenciamiento con cálculo efectuado de conformidad con los criterios de dicha Sentencia, y fijó mediante Auto de 24 de agosto de 2009 y de conformidad con los referidos criterios la fecha de licenciamiento definitiva del recurrente para el 10 de enero de 2016.</w:t>
      </w:r>
    </w:p>
    <w:p w:rsidR="00D06117" w:rsidRDefault="00D06117" w:rsidP="00D06117">
      <w:pPr>
        <w:pStyle w:val="TextoNormal"/>
      </w:pPr>
    </w:p>
    <w:p w:rsidR="00D06117" w:rsidRDefault="00D06117" w:rsidP="00D06117">
      <w:pPr>
        <w:pStyle w:val="TextoNormal"/>
      </w:pPr>
      <w:r>
        <w:t>Contra dicho Auto se interpuso recurso de casación, inadmitido por Auto de 21 de enero de 2010. Contra esa resolución se formuló incidente de nulidad de actuaciones, que fue también inadmitido en virtud de Providencia de 19 de febrero de 2010.</w:t>
      </w:r>
    </w:p>
    <w:p w:rsidR="00D06117" w:rsidRDefault="00D06117" w:rsidP="00D06117">
      <w:pPr>
        <w:pStyle w:val="TextoNormal"/>
      </w:pPr>
    </w:p>
    <w:p w:rsidR="00D06117" w:rsidRDefault="00D06117" w:rsidP="00D06117">
      <w:pPr>
        <w:pStyle w:val="TextoNormal"/>
      </w:pPr>
      <w:r>
        <w:t>3.</w:t>
      </w:r>
    </w:p>
    <w:p w:rsidR="00D06117" w:rsidRDefault="00D06117" w:rsidP="00D06117">
      <w:pPr>
        <w:pStyle w:val="TextoNormal"/>
      </w:pPr>
    </w:p>
    <w:p w:rsidR="00D06117" w:rsidRDefault="00D06117" w:rsidP="00D06117">
      <w:pPr>
        <w:pStyle w:val="TextoNormal"/>
      </w:pPr>
      <w:r w:rsidRPr="00D06117">
        <w:rPr>
          <w:rStyle w:val="NumeroAFNegritaCaracter"/>
        </w:rPr>
        <w:t>3</w:t>
      </w:r>
      <w:r>
        <w:t>. El actor fundamenta su demanda de amparo en la vulneración de los derechos fundamentales a la legalidad (art. 25.1 y 2 CE), a la tutela judicial efectiva (art. 24.1 CE), a la libertad (art. 17 CE) y a la igualdad en la aplicación de la ley (art. 14 CE).</w:t>
      </w:r>
    </w:p>
    <w:p w:rsidR="00D06117" w:rsidRDefault="00D06117" w:rsidP="00D06117">
      <w:pPr>
        <w:pStyle w:val="TextoNormal"/>
      </w:pPr>
    </w:p>
    <w:p w:rsidR="00D06117" w:rsidRDefault="00D06117" w:rsidP="00D06117">
      <w:pPr>
        <w:pStyle w:val="TextoNormal"/>
      </w:pPr>
      <w:r>
        <w:lastRenderedPageBreak/>
        <w:t>Aduce, en primer lugar, la vulneración del principio de legalidad (art. 25.1 y 2 CE), en relación con la interpretación de los arts. 70.2 y 100 del Código penal (CP) de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 xml:space="preserve">El segundo motivo de amparo denuncia la vulneración del derecho a la tutela judicial efectiva (art. 24.1 CE), en relación con el derecho a la libertad (art. 17 CE). Sostiene la demanda que la nueva interpretación del cómputo de las redenciones sobre la totalidad de la condena contradice el Auto de 16 de junio de 1997, toda vez que éste al refundir todas las penas en la resultante de treinta años suponía la desaparición de las que excedían de este límite de cumplimiento, y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w:t>
      </w:r>
      <w:r>
        <w:lastRenderedPageBreak/>
        <w:t>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Como tercer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cuarto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 Muy especialmente en este caso, pues la misma Sección Segunda de Sala de lo Penal de la Audiencia Nacional, mediante providencia de 18 de noviembre de 2008, después por tanto de la STS 197/2006, acordó el licenciamiento definitivo de otro penado a más de treinta años —el señor Carrasco Alba— para el 26 de febrero de 2009, lo que supone la aplicación de las redenciones ordinarias al límite máximo de cumplimiento de treinta años que se habría cumplido el 19 de diciembre de 2016.</w:t>
      </w:r>
    </w:p>
    <w:p w:rsidR="00D06117" w:rsidRDefault="00D06117" w:rsidP="00D06117">
      <w:pPr>
        <w:pStyle w:val="TextoNormal"/>
      </w:pPr>
    </w:p>
    <w:p w:rsidR="00D06117" w:rsidRDefault="00D06117" w:rsidP="00D06117">
      <w:pPr>
        <w:pStyle w:val="TextoNormal"/>
      </w:pPr>
      <w:r>
        <w:lastRenderedPageBreak/>
        <w:t>En el quinto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del señor Urain ha cumplido un tiempo de estancia efectiva en prisión al que deberían sumarse las redenciones ordinarias y extraordinarias y licenciarlo cuando el cómputo de ambas llegue a 10.950 días, es decir al máximo de treinta años previsto en el art. 70.2 CP 1973. Sin embargo, las resoluciones recurridas retrasan la puesta en libertad del recurrente hasta el cumplimiento de los treinta años íntegros y, por tanto, violan el art. 17 CE y los arts. 5 y 15.1 Convenio europeo para la protección de los derechos humanos y de las libertades fundamentales, así como los arts. 9.1 y 5 y 15.1 Pacto internacional de derechos civiles y políticos (PIDCP).</w:t>
      </w:r>
    </w:p>
    <w:p w:rsidR="00D06117" w:rsidRDefault="00D06117" w:rsidP="00D06117">
      <w:pPr>
        <w:pStyle w:val="TextoNormal"/>
      </w:pPr>
    </w:p>
    <w:p w:rsidR="00D06117" w:rsidRDefault="00D06117" w:rsidP="00D06117">
      <w:pPr>
        <w:pStyle w:val="TextoNormal"/>
      </w:pPr>
      <w:r>
        <w:t>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t>Aparte de los motivos de amparo, y mediante otrosí de la demanda, el recurrente solicita con apoyo en el art. 56.1 de la Ley Orgánica del Tribunal Constitucional (LOTC) la suspensión de la ejecución de las resoluciones recurridas.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31 de marzo de 2011, la Sala Segunda de este Tribunal acordó la admisión a trámite de la demanda así como, a tenor de lo establecido en el art. 51 LOTC, requerir atentamente a Sala Segunda del Tribunal Supremo, a fin de que remita testimonio de lo actuado en el recurso de casación 002-0011106-2009, y al Servicio de Ejecutorias de la Audiencia Nacional, para que remitiera testimonio de las actuaciones correspondientes a la ejecutoria 103-1989, interesándole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otra providencia de la misma fecha, la Sala Segunda de este Tribunal acordó formar pieza separada para la tramitación del incidente sobre suspensión y, conforme determina el art. 56 LOTC, conceder un plazo común de tres días a la parte recurrente y al Ministerio Fiscal para que aleguen lo que estimen pertinente. Evacuado dicho trámite, la Sala Segunda, por Auto de 16 de mayo de 2011,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A través de una diligencia de ordenación de 15 de julio de 2011 se acordó dar vista de las actuaciones a la parte recurrente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t>Comienza sosteniendo que por razones sistemáticas procede abordar los motivos de modo distinto al propuesto en la demanda de amparo. Es por ello que empieza por el examen del sexto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t>Tampoco considera el Ministerio Fiscal que los motivos primero, tercero y quinto tengan suficiente eficacia suasoria. De un lado, “no parece que en el caso de autos, y a los efectos de una posible vulneración del principio de legalidad (art. 25.1) la interpretación que las resoluciones judiciales ahora recurridas en amparo hacen del art. 70.2 CP 1973 en exégesis derivada de la STS (Pleno de la Sala Segunda del Tribunal Supremo)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De otro, “no tiene fundamento alguno sostener que se ha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20 de febrero, y no el art. 78 CP 1995”. En fin, “se cita todo ello además en relación con el derecho fundamental a la libertad personal (art. 17 CE). Pero tal cita debe considerarse ínsita en la argumentación de denegación de la irretroactividad contra reo que hemos expuesto más arriba. Si no concurre tal defecto constitucional en la aplicación al reo de la doctrina derivada de la STS del Pleno de la Sala Segunda del Tribunal Supremo 197/2006, de 28 de febrero, tampoco puede deducirse que el no licenciamiento del Sr. Urain en la fecha prevista de no concurrir tal doctrina haya comprometido constitucionalmente su derecho a la libertad personal”.</w:t>
      </w:r>
    </w:p>
    <w:p w:rsidR="00D06117" w:rsidRDefault="00D06117" w:rsidP="00D06117">
      <w:pPr>
        <w:pStyle w:val="TextoNormal"/>
      </w:pPr>
    </w:p>
    <w:p w:rsidR="00D06117" w:rsidRDefault="00D06117" w:rsidP="00D06117">
      <w:pPr>
        <w:pStyle w:val="TextoNormal"/>
      </w:pPr>
      <w:r>
        <w:t xml:space="preserve">Rechaza también la denunciada vulneración del derecho a la igualdad en la aplicación de la Ley (art. 14 CE). En primer lugar, porque el órgano judicial que ha dictado una de las resoluciones impugnadas (la Audiencia Nacional) es distinto de aquel que sentó la doctrina </w:t>
      </w:r>
      <w:r>
        <w:lastRenderedPageBreak/>
        <w:t>supuestamente discriminatoria (el Tribunal Supremo). Y, en segundo lugar, porque en todo caso la Sentencia de la Sala Segunda del Tribunal Supremo a la que se atribuye el cambio de criterio, el cual ha sido asumido como ratio decidendi por todas la resoluciones impugnadas, había recogido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Por el contrario, el Ministerio Fiscal considera vulnerado el derecho a la intangibilidad de las resoluciones judiciales (art. 24.1 CE). Así, aun reconociendo que la STC 174/1989 pudiera avalar un criterio distinto, sostiene que “no parece que puedan ser calificadas como resoluciones judiciales de naturaleza intangible las liquidaciones de condena habida cuenta de la extremada fluidez de la vida de cumplimiento penitenciario cuando entre en juego, como sucede en el caso de autos, la institución de la redención de penas, en sí mismas consideradas”. Otra cosa acontece, sigue diciendo, “con la refundición de penas ex art. 70, regla 2, CP 1973 o en el vigente 76.1 CP. El Auto en que se fijara la refundición, si no es recurrido, o si siéndolo en cuanto a lo que acontezca en el resultado final del recurso, debe reputarse como firme y su consecuencia debe ser en principio la intangibilidad del mismo. La razón es obvia; se opera sobre una realidad, refundir condenas, y sobre una norma, en el caso de autos la regla 2 del art. 70 CP”. Y en relación a esta segunda cuestión argumenta que en lo que hace a este caso concreto “[a] priori no entendemos como de recibo que establecidos unos criterios de interpretación normativa para fijar la refundición de condena (Auto de 16 de junio de 1997) y establecidos ellos en resolución judicial, pudieran variarse en virtud de una posterior resolución, como son las resoluciones judiciales ahora recurridas en amparo, por vía de remisión a la STS 197/06, de 28 de febrero, que interpreta de otra manera las normas atinentes”. Según el Fiscal, “ello comporta la vulneración del derecho a la intangibilidad de las resoluciones judiciales ex art. 24.1 CE (por todas, STC 209/05, de 4 de julio), enumerado como tal en el cuarto de los motivos de amparo del presente recurso, y que además de alguna manera se desprende cuando se argumenta el derecho a la tutela judicial efectiva”.</w:t>
      </w:r>
    </w:p>
    <w:p w:rsidR="00D06117" w:rsidRDefault="00D06117" w:rsidP="00D06117">
      <w:pPr>
        <w:pStyle w:val="TextoNormal"/>
      </w:pPr>
    </w:p>
    <w:p w:rsidR="00D06117" w:rsidRDefault="00D06117" w:rsidP="00D06117">
      <w:pPr>
        <w:pStyle w:val="TextoNormal"/>
      </w:pPr>
      <w:r>
        <w:t>Por lo demás, a su juicio, este “derecho fundamental tiene engarce con el principio de legalidad (art. 25.1 CE) en relación con la prohibición de retroactividad de las normas penales perjudiciales para el reo (art. 9.3 CE, por todas 223/1997 y STEDH Streletz, Kessler, y Krenz vs Alemania de 22 de marzo de 2001), ya que las garantías de legalidad y seguridad jurídica que exigen ambos preceptos constitucionales deben extenderse no sólo al enjuiciamiento de los hechos como tipicidad cierta, taxativa y previsible (por todas, SSTC 196/2002, y 111/2004), sino que lo es asimismo para con la ejecución de las penas, integrándose la irretroactividad de las normas, y su interpretación, desfavorables al reo en el complejo de legalidad del art. 25.1 CE (vid. STEDH Puhk v Estonia de 10 de febrero de 2004).”. En efecto, “en el hecho de autos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que supone de facto la creación ex novo de un nuevo marco paranormativo que ha causado una extensión de la fecha de licenciamiento del interno”.</w:t>
      </w:r>
    </w:p>
    <w:p w:rsidR="00D06117" w:rsidRDefault="00D06117" w:rsidP="00D06117">
      <w:pPr>
        <w:pStyle w:val="TextoNormal"/>
      </w:pPr>
    </w:p>
    <w:p w:rsidR="00D06117" w:rsidRDefault="00D06117" w:rsidP="00D06117">
      <w:pPr>
        <w:pStyle w:val="TextoNormal"/>
      </w:pPr>
      <w:r>
        <w:t xml:space="preserve">En fin, “a estas dos vulneraciones debe conectarse y adicionarse la consecuencia inexcusable de ellas, la vulneración del derecho a la libertad personal (art. 17.1 CE), por cuanto en </w:t>
      </w:r>
      <w:r>
        <w:lastRenderedPageBreak/>
        <w:t>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El Ministerio Fiscal concluye que “[l]a consecuencia de todo ello es la estimación del amparo por todas esas vulneraciones, derecho a la intangibilidad de las resoluciones judiciales (art. 24.1 CE), en relación con el principio de legalidad penal en relación con la irretroactividad de lo desfavorable para el reo (art. 25.1 en relación con el art. 9.3 CE) y el derecho a la libertad personal”.</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demandante de amparo formuló sus alegaciones mediante escrito que tuvo su entrada en el Registro General de este Tribunal el día 8 de septiembre de 2011,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t>8</w:t>
      </w:r>
      <w:r>
        <w:t>. El día 27 de septiembre de 2011 presentó sus alegaciones el Fiscal, interesando la estimación del amparo solicitado y la anulación de las resoluciones recurridas.</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procesal del recurrente presentó en este Tribunal escrito de fecha 5 de diciembre de 2011 solicitando la suspensión de los efectos de la aplicación de la Sentencia del Tribunal Supremo 197/2006, de 28 de febrero, pues a su juicio está produciendo tal perjuicio al recurrente que hace perder al amparo su finalidad, alegando que el art. 56.4 LOTC le habilita para pedir esta suspensión a pesar que la misma ya fue solicitad previamente y denegada por Auto de 16 de mayo de 2011. La Sala, mediante providencia de 11 de enero de 2012, acordó que “no ha lugar a lo solicitado en el mismo, toda vez que la suspensión interesada se refiere a una resolución judicial (STS 197/06, de 28 de febrero) no recurrida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A propuesta de la Sala Segunda, el Pleno, en su reunión de 17 de enero de 2011 y conforme al art. 10.1 n) LOTC,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Segunda de la Sala de lo Penal de la Audiencia Nacional de 24 de agosto de 2009, que resuelve que, en aplicación de la doctrina sentada por el Tribunal Supremo en la STS 197/2006, de 28 de febrero, la fecha de licenciamiento definitivo del recurrente sería el 10 de enero de 2016. También se dirige contra el Auto de 21 de enero de 2010 de la Sala Segunda del Tribunal Supremo, que inadmitió el recurso de casación interpuesto frente aquél, y contra el Auto de 19 de febrero de 2010, que inadmitió el incidente de nulidad de actuaciones promovido frente a la inadmisión del recurso de casación.</w:t>
      </w:r>
    </w:p>
    <w:p w:rsidR="00D06117" w:rsidRDefault="00D06117" w:rsidP="00D06117">
      <w:pPr>
        <w:pStyle w:val="TextoNormal"/>
      </w:pPr>
    </w:p>
    <w:p w:rsidR="00D06117" w:rsidRDefault="00D06117" w:rsidP="00D06117">
      <w:pPr>
        <w:pStyle w:val="TextoNormal"/>
      </w:pPr>
      <w:r>
        <w:lastRenderedPageBreak/>
        <w:t>En la demanda de amparo se denuncia la vulneración de los derechos fundamentales a la legalidad (art. 25.1 y 2 CE), a la tutela judicial efectiva (art. 24.1 CE), a la libertad (art. 17.1 CE) y a la igualdad en la aplicación de la ley (art. 14 CE), con la argumentación que queda ampliamente expuesta en los Antecedentes.</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 los derechos fundamentales consagrados en los arts. 24.1, 25.1 y 17.1 CE.</w:t>
      </w:r>
    </w:p>
    <w:p w:rsidR="00D06117" w:rsidRDefault="00D06117" w:rsidP="00D06117">
      <w:pPr>
        <w:pStyle w:val="TextoNormal"/>
      </w:pPr>
    </w:p>
    <w:p w:rsidR="00D06117" w:rsidRDefault="00D06117" w:rsidP="00D06117">
      <w:pPr>
        <w:pStyle w:val="TextoNormal"/>
      </w:pPr>
      <w:r w:rsidRPr="00D06117">
        <w:rPr>
          <w:rStyle w:val="NumeroAFNegritaCaracter"/>
        </w:rPr>
        <w:t>2</w:t>
      </w:r>
      <w:r>
        <w:t>. En los distintos motivos de amparo se denuncia —como ya anticipamos—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aplicado hasta ese momento, el recurrente habría extinguido ya su condena y debería haber obtenido la libertad el día 14 de junio 2006 (según se desprende de la propuesta de licenciamiento definitivo enviada inicialmente por el centro penitenciario al órgano judicial), en aplicación del nuevo criterio la pena no se extinguiría hasta el día 19 de septiembre de 2018.</w:t>
      </w:r>
    </w:p>
    <w:p w:rsidR="00D06117" w:rsidRDefault="00D06117" w:rsidP="00D06117">
      <w:pPr>
        <w:pStyle w:val="TextoNormal"/>
      </w:pPr>
    </w:p>
    <w:p w:rsidR="00D06117" w:rsidRDefault="00D06117" w:rsidP="00D06117">
      <w:pPr>
        <w:pStyle w:val="TextoNormal"/>
      </w:pPr>
      <w:r>
        <w:t>El recurrente entiende que de ello se deriva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197/1996.</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(arts.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w:t>
      </w:r>
      <w:r>
        <w:lastRenderedPageBreak/>
        <w:t>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no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Cuestión muy distinta es que la misma Sección Segunda de la Sala de lo Penal de la Audiencia Nacional, en un tiempo posterior al cambio doctrinal operado en 2006, haya aplicado singularmente a un penado —señor Carrasco Alba— las redenciones ordinarias al límite máximo de cumplimiento de treinta años, debiendo destacar que el derecho a la igualdad no ampara la equiparación a quien ha obtenido un trato privilegiado. Además, consta (documento 11 de los acompañados con la demanda de amparo) escrito del Ministerio Fiscal de 6 de octubre de 2008, evacuando el traslado conferido al efecto, en que se puede leer que “procede aprobar el licenciamiento definitivo del penado José Antonio Carrasco Alba para el próximo día 26 de febrero de 2009 como propone el centro penitenciario de San Sebastián, al encontrarse el penado en libertad condicional desde el día 30 de agosto de 2001, por lo que no procede la aplicación de la sentencia del Tribunal Supremo 197/2006, de 28 de febrero”, lo que pone de manifiesto que no es un supuesto idéntico al del recurrente, de modo que no puede servir como término de comparación válido para formular un juicio de igualdad.</w:t>
      </w:r>
    </w:p>
    <w:p w:rsidR="00D06117" w:rsidRDefault="00D06117" w:rsidP="00D06117">
      <w:pPr>
        <w:pStyle w:val="TextoNormal"/>
      </w:pPr>
    </w:p>
    <w:p w:rsidR="00D06117" w:rsidRDefault="00D06117" w:rsidP="00D06117">
      <w:pPr>
        <w:pStyle w:val="TextoNormal"/>
      </w:pPr>
      <w:r w:rsidRPr="00D06117">
        <w:rPr>
          <w:rStyle w:val="NumeroAFNegritaCaracter"/>
        </w:rPr>
        <w:t>4</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lastRenderedPageBreak/>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 xml:space="preserve">Por tanto, nuestro examen se limitará a analizar si la respuesta judicial obtenida por el recurrente en el Auto de la Sección Segunda de la Sala de lo Penal de la Audiencia Nacional de 24 de agosto de 2009, confirmado por los autos del Tribunal Supremo que respectivamente inadmitieron el recurso de casación y el posterior incidente de nulidad de actuaciones,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obtener el licenciamiento definitivo, y por tanto </w:t>
      </w:r>
      <w:r>
        <w:lastRenderedPageBreak/>
        <w:t>ser puesto en libertad, el día 28 de febrero de 2006. El Ministerio Fiscal también entiende concurrentes estas vulneraciones en los términos reseñados en los antecedentes.</w:t>
      </w:r>
    </w:p>
    <w:p w:rsidR="00D06117" w:rsidRDefault="00D06117" w:rsidP="00D06117">
      <w:pPr>
        <w:pStyle w:val="TextoNormal"/>
      </w:pPr>
    </w:p>
    <w:p w:rsidR="00D06117" w:rsidRDefault="00D06117" w:rsidP="00D06117">
      <w:pPr>
        <w:pStyle w:val="TextoNormal"/>
      </w:pPr>
      <w:r w:rsidRPr="00D06117">
        <w:rPr>
          <w:rStyle w:val="NumeroAFNegritaCaracter"/>
        </w:rPr>
        <w:t>5</w:t>
      </w:r>
      <w:r>
        <w:t>.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w:t>
      </w:r>
      <w:r>
        <w:lastRenderedPageBreak/>
        <w:t>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6</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recurrente fue condenado, por la Sección Segunda de Sala de lo Penal de la Audiencia Nacional, en diversos procesos a varias penas que suman más de cuatrocientos años, acordando el tribunal sentenciador mediante Auto de 16 de junio de 1997 la refundición de tales condenas. Su razonamiento jurídico único dice expresamente: “Los delitos cometidos por el penado Joaquín Urain Larrañaga presentan entre sí clara conexión jurídica y cronológica que hubiera permitido enjuiciarlos en un solo proceso, por lo que, de conformidad con lo preceptuado por el artículo 988 de la Ley de enjuiciamiento criminal, en relación con lo dispuesto en la regla 2ª del artículo 70 del Código penal, es procedente refundir las condenas impuestas y expresadas, y fijar el máximo de la condena total a cumplir por el penado Joaquín Urain Larrañaga, en las indicadas causas, la de treinta años de privación de libertad”.</w:t>
      </w:r>
    </w:p>
    <w:p w:rsidR="00D06117" w:rsidRDefault="00D06117" w:rsidP="00D06117">
      <w:pPr>
        <w:pStyle w:val="TextoNormal"/>
      </w:pPr>
    </w:p>
    <w:p w:rsidR="00D06117" w:rsidRDefault="00D06117" w:rsidP="00D06117">
      <w:pPr>
        <w:pStyle w:val="TextoNormal"/>
      </w:pPr>
      <w:r>
        <w:t>b) El 21 de noviembre de 2008 tuvo entrada en la Sección Segunda de Sala de lo Penal de la Audiencia Nacional un oficio del centro penitenciario de La Moraleja, en Dueñas, en el que consultaba si era aplicable al recurrente la doctrina emanada de la STS 197/2006, de 28 de febrero, toda vez que de no aplicarse la fecha de licenciamiento sería el 29 de agosto de 2009 de acuerdo con las redenciones ordinarias consignadas en la hoja de cálculo que se adjuntaba.</w:t>
      </w:r>
    </w:p>
    <w:p w:rsidR="00D06117" w:rsidRDefault="00D06117" w:rsidP="00D06117">
      <w:pPr>
        <w:pStyle w:val="TextoNormal"/>
      </w:pPr>
    </w:p>
    <w:p w:rsidR="00D06117" w:rsidRDefault="00D06117" w:rsidP="00D06117">
      <w:pPr>
        <w:pStyle w:val="TextoNormal"/>
      </w:pPr>
      <w:r>
        <w:t>c) La Sala, una vez evacuado el traslado conferido a las partes, interesó del centro penitenciario mediante diligencia de ordenación de 17 de julio de 2009 nueva propuesta de licenciamiento con cálculo efectuado de conformidad con los criterios de dicha sentencia, y fijó mediante Auto de 24 de agosto de 2009 y de conformidad con los referidos criterios la fecha de licenciamiento definitiva del recurrente para el 10 de enero de 2016.</w:t>
      </w:r>
    </w:p>
    <w:p w:rsidR="00D06117" w:rsidRDefault="00D06117" w:rsidP="00D06117">
      <w:pPr>
        <w:pStyle w:val="TextoNormal"/>
      </w:pPr>
    </w:p>
    <w:p w:rsidR="00D06117" w:rsidRDefault="00D06117" w:rsidP="00D06117">
      <w:pPr>
        <w:pStyle w:val="TextoNormal"/>
      </w:pPr>
      <w:r w:rsidRPr="00D06117">
        <w:rPr>
          <w:rStyle w:val="NumeroAFNegritaCaracter"/>
        </w:rPr>
        <w:t>7</w:t>
      </w:r>
      <w:r>
        <w:t>.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lastRenderedPageBreak/>
        <w:t>a) En cuanto a las resoluciones del Juzgado de Vigilancia Penitenciaria en las que se reconoció al penado determinados días de redención de pena por el trabajo u otras actividades realizadas, redenciones que recoge la hoja de cálculo adjunta a la propuesta de licenciamiento enviado por el centro penitenciario,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El Auto que fijó la fecha de licenciamiento definitivo de conformidad con la doctrina sentada por el Tribunal Supremo en la STS 197/2006, de 28 de febrero no dejó sin efecto dichas redenciones sino que, en ejercicio de las competencias que legalmente tiene atribuidas, las computó sucesivamente sobre las varias penas impuestas a efectos de liquidación de condena.</w:t>
      </w:r>
    </w:p>
    <w:p w:rsidR="00D06117" w:rsidRDefault="00D06117" w:rsidP="00D06117">
      <w:pPr>
        <w:pStyle w:val="TextoNormal"/>
      </w:pPr>
    </w:p>
    <w:p w:rsidR="00D06117" w:rsidRDefault="00D06117" w:rsidP="00D06117">
      <w:pPr>
        <w:pStyle w:val="TextoNormal"/>
      </w:pPr>
      <w:r>
        <w:t>b) Por lo que respecta al Auto de acumulación de condenas y fijación del límite máximo de cumplimiento treinta años de privación de libertad, que cita el Ministerio Fiscal como resolución intangible que ha sido ilegítimamente desconocida, se limita a hacer efectiva la previsión legal (arts. 988 de la Ley de enjuiciamiento criminal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o del principio de legalidad (art. 25.1 CE) en relación con la prohibición de retroactividad de las normas penales perjudiciales para el reo (art. 9.3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8</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lastRenderedPageBreak/>
        <w:t>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Joaquín Urain Larrañaga.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el recurso de amparo núm. 2383-2010 avocado al Pleno.</w:t>
      </w:r>
    </w:p>
    <w:p w:rsidR="00D06117" w:rsidRDefault="00D06117" w:rsidP="00D06117">
      <w:pPr>
        <w:pStyle w:val="TextoNormalNegritaCentrado"/>
        <w:keepNext/>
      </w:pPr>
    </w:p>
    <w:p w:rsidR="00D06117" w:rsidRDefault="00D06117" w:rsidP="00D06117">
      <w:pPr>
        <w:pStyle w:val="TextoNormal"/>
      </w:pPr>
      <w:r>
        <w:t>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lastRenderedPageBreak/>
        <w:t>Voto particular que formula la Magistrada doña Adela Asua Batarrita a la Sentencia dictada en el recurso de amparo núm. 2383-2010.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8" w:name="SENTENCIA_2012_65"/>
      <w:r>
        <w:lastRenderedPageBreak/>
        <w:t>SENTENCIA 65/2012, de 29 de marzo de 2012</w:t>
      </w:r>
    </w:p>
    <w:bookmarkEnd w:id="6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ECLI:ES:TC:2012:65</w:t>
      </w:r>
    </w:p>
    <w:p w:rsidR="00D06117" w:rsidRDefault="00D06117" w:rsidP="00D06117">
      <w:pPr>
        <w:pStyle w:val="SntesisDescriptiva"/>
      </w:pPr>
    </w:p>
    <w:p w:rsidR="00D06117" w:rsidRDefault="00D06117" w:rsidP="00D06117">
      <w:pPr>
        <w:pStyle w:val="SntesisDescriptiva"/>
      </w:pPr>
      <w:r>
        <w:t>Recurso de amparo 2516-2010. Promovido por don Jorge González Endemaño en relación con los Autos de la Sala de lo Penal del Tribunal Supremo y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existe vulneración del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8].</w:t>
      </w:r>
    </w:p>
    <w:p w:rsidR="00D06117" w:rsidRDefault="00D06117" w:rsidP="00D06117">
      <w:pPr>
        <w:pStyle w:val="Extracto"/>
      </w:pPr>
    </w:p>
    <w:p w:rsidR="00D06117" w:rsidRDefault="00D06117" w:rsidP="00D06117">
      <w:pPr>
        <w:pStyle w:val="Extracto"/>
      </w:pPr>
      <w:r>
        <w:t>3.</w:t>
      </w:r>
      <w:r>
        <w:tab/>
        <w:t>La aplicación del nuevo criterio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5, 7].</w:t>
      </w:r>
    </w:p>
    <w:p w:rsidR="00D06117" w:rsidRDefault="00D06117" w:rsidP="00D06117">
      <w:pPr>
        <w:pStyle w:val="Extracto"/>
      </w:pPr>
    </w:p>
    <w:p w:rsidR="00D06117" w:rsidRDefault="00D06117" w:rsidP="00D06117">
      <w:pPr>
        <w:pStyle w:val="Extracto"/>
      </w:pPr>
      <w:r>
        <w:t>4.</w:t>
      </w:r>
      <w:r>
        <w:tab/>
        <w:t xml:space="preserve">Las cuestiones relativas a la ejecución de la pena, en la medida en que no impliquen que la misma sea más grave que la prevista por la ley, no conciernen al derecho a la legalidad penal consagrado en el art. 7.1 CEDH, aunque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resoluciones recurridas, ni la doctrina del Tribunal Supremo invocada en ellas aplican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lastRenderedPageBreak/>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8.</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5].</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5].</w:t>
      </w:r>
    </w:p>
    <w:p w:rsidR="00D06117" w:rsidRDefault="00D06117" w:rsidP="00D06117">
      <w:pPr>
        <w:pStyle w:val="Extracto"/>
      </w:pPr>
    </w:p>
    <w:p w:rsidR="00D06117" w:rsidRDefault="00D06117" w:rsidP="00D06117">
      <w:pPr>
        <w:pStyle w:val="Extracto"/>
      </w:pPr>
      <w:r>
        <w:t>10.</w:t>
      </w:r>
      <w:r>
        <w:tab/>
        <w:t>El principio de seguridad jurídica consagrado en el art. 9.3 CE y el derecho a la tutela judicial efectiva –</w:t>
      </w:r>
      <w:r w:rsidRPr="00D06117">
        <w:rPr>
          <w:i/>
        </w:rPr>
        <w:t>ex</w:t>
      </w:r>
      <w:r>
        <w:t xml:space="preserve"> art. 24.1 CE– impiden a los Jueces y Tribunales, fuera de los casos expresamente previstos en la ley, revisar el juicio efectuado en un caso concreto, incluso si entendieran con posterioridad que la decisión no se ajusta a la legalidad (SSTC 219/2000, 62/2010) [FJ 6].</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6].</w:t>
      </w:r>
    </w:p>
    <w:p w:rsidR="00D06117" w:rsidRDefault="00D06117" w:rsidP="00D06117">
      <w:pPr>
        <w:pStyle w:val="Extracto"/>
      </w:pPr>
    </w:p>
    <w:p w:rsidR="00D06117" w:rsidRDefault="00D06117" w:rsidP="00D06117">
      <w:pPr>
        <w:pStyle w:val="Extracto"/>
      </w:pPr>
      <w:r>
        <w:t>12.</w:t>
      </w:r>
      <w:r>
        <w:tab/>
        <w:t xml:space="preserve">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w:t>
      </w:r>
      <w:r>
        <w:lastRenderedPageBreak/>
        <w:t>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13.</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[FFJJ 5, 9].</w:t>
      </w:r>
    </w:p>
    <w:p w:rsidR="00D06117" w:rsidRDefault="00D06117" w:rsidP="00D06117">
      <w:pPr>
        <w:pStyle w:val="Extracto"/>
      </w:pPr>
    </w:p>
    <w:p w:rsidR="00D06117" w:rsidRDefault="00D06117" w:rsidP="00D06117">
      <w:pPr>
        <w:pStyle w:val="Extracto"/>
      </w:pPr>
      <w:r>
        <w:t>14.</w:t>
      </w:r>
      <w:r>
        <w:tab/>
        <w:t>Aun cuando el nuevo criterio de cómputo de las redenciones dificulte objetivamente la posibilidad de reducir el cumplimiento efectivo de la pena en determinados supuestos, es lo cierto que tal criterio no impide que los penados puedan cumplir su condena con arreglo al elenco de medidas de la legislación penitenciaria vigente que favorecen y posibilitan la reeducación y reinserción social, si su conducta penitenciaria y su evolución muestra que se hallan en condiciones de hacer vida honrada en libertad [FJ 9].</w:t>
      </w:r>
    </w:p>
    <w:p w:rsidR="00D06117" w:rsidRDefault="00D06117" w:rsidP="00D06117">
      <w:pPr>
        <w:pStyle w:val="Extracto"/>
      </w:pPr>
    </w:p>
    <w:p w:rsidR="00D06117" w:rsidRDefault="00D06117" w:rsidP="00D06117">
      <w:pPr>
        <w:pStyle w:val="Extracto"/>
      </w:pPr>
      <w:r>
        <w:t>15.</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2516-2010, promovido por don Jorge González Endemaño, representado por el Procurador de los Tribunales don José Javier Cuevas Rivas y asistido por la Abogada doña Haizea Ziluaga Larreategi, contra el Auto de 21 de enero de 2010 de la Sala Segunda del Tribunal Supremo y contra los Autos de 29 de junio y 6 de mayo de 2009 dictados por la Sección Tercera de la Sala de lo Penal de la Audiencia Nacional. Ha intervenido el Ministerio Fiscal.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22 de marzo de 2010, el Procurador de los Tribunales don José Javier Cuevas Rivas, en nombre y representación de don Jorge González Endemaño,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sucintamente expuestos, los siguientes:</w:t>
      </w:r>
    </w:p>
    <w:p w:rsidR="00D06117" w:rsidRDefault="00D06117" w:rsidP="00D06117">
      <w:pPr>
        <w:pStyle w:val="TextoNormal"/>
      </w:pPr>
    </w:p>
    <w:p w:rsidR="00D06117" w:rsidRDefault="00D06117" w:rsidP="00D06117">
      <w:pPr>
        <w:pStyle w:val="TextoNormal"/>
      </w:pPr>
      <w:r>
        <w:t>a) El señor González Endemaño fue condenado por la Sala de lo Penal de la Audiencia Nacional, Sección Tercera, mediante Sentencia de 14 de julio de 1998 (rollo de Sala 56-1995, sumario 54-1995 del Juzgado Central de Instrucción núm. 4), en calidad de autor de los delitos de atentado en relación con el de asesinato, de asesinato frustrado y de tenencia ilícita de armas a las penas de treinta, veinte y tres años de prisión, respectivamente, afirmándose en su fundamento de Derecho primero que la legislación más favorable es la del Código penal (CP) de 1973 porque “imponiendo penas muy similares al del actualmente vigente, sin embargo permite una reducción muy sensible de las mismas por medio de las reducciones ordinarias y extraordinarias que regula”. El señor González Endemaño fue condenado también, por Sentencia de la misma Sala y Sección de la Audiencia Nacional de 3 de diciembre de 2001 (rollo de Sala 84-1996, Sumario 70-1996 del Juzgado Central de Instrucción núm. 4), como autor de los delitos de integración en banda armada, de depósito de armas y de tenencia de explosivos a la penas de diez, siete y siete años de prisión, respectivamente.</w:t>
      </w:r>
    </w:p>
    <w:p w:rsidR="00D06117" w:rsidRDefault="00D06117" w:rsidP="00D06117">
      <w:pPr>
        <w:pStyle w:val="TextoNormal"/>
      </w:pPr>
    </w:p>
    <w:p w:rsidR="00D06117" w:rsidRDefault="00D06117" w:rsidP="00D06117">
      <w:pPr>
        <w:pStyle w:val="TextoNormal"/>
      </w:pPr>
      <w:r>
        <w:t>b) El Juez de vigilancia penitenciaria núm. 1 de Andalucía suscribió liquidación de condena de fecha 8 de noviembre de 2001, en la que se aprueba una propuesta de redención de penas por el trabajo, sin indicar si esa reducción se aplicará al límite de cumplimiento o a cada una de las penas. Posteriormente, la Sección Tercera de la Sala de lo Penal de la Audiencia Nacional, luego de rectificar un error material en la suma de las condenas impuestas por la segunda Sentencia (veinticuatro años), aprueba liquidación de condena de fecha 10 de diciembre de 2002 en la que se indica que dichas penas comenzarán a cumplirse el 8 de enero de 2025 y, en consecuencia, su cumplimiento será el 1 de enero de 2049, acusando recibo de esa liquidación el Director del centro penitenciario mediante escrito de 9 de enero de 2003.</w:t>
      </w:r>
    </w:p>
    <w:p w:rsidR="00D06117" w:rsidRDefault="00D06117" w:rsidP="00D06117">
      <w:pPr>
        <w:pStyle w:val="TextoNormal"/>
      </w:pPr>
    </w:p>
    <w:p w:rsidR="00D06117" w:rsidRDefault="00D06117" w:rsidP="00D06117">
      <w:pPr>
        <w:pStyle w:val="TextoNormal"/>
      </w:pPr>
      <w:r>
        <w:t>c) Mediante escrito recibido el 11 de febrero de 2009 el interno Jorge González Endemaño interesa de la Sala la determinación del límite máximo de treinta años de cumplimiento de las penas impuestas en las Sentencias condenatorias referidas ut supra. La Sala de lo Penal de la Audiencia Nacional, Sección Tercera, acordó por Auto de 6 de mayo de 2009 “[a]cumular todas las penas de prisión impuestas en las Sentencias dictadas por esta Sección Tercera nº 31/98, de 14 de julio (Ejec. 27/01), y nº 29/01, de 3 de diciembre (Ejec. 30/02), relacionadas en los antecedentes de esta resolución para su cumplimiento sucesivo por el penado, con la limitación del máximo de cumplimiento de treinta años de prisión y con sujeción a lo expresado en el precedente Fundamento Jurídico Cuarto”.</w:t>
      </w:r>
    </w:p>
    <w:p w:rsidR="00D06117" w:rsidRDefault="00D06117" w:rsidP="00D06117">
      <w:pPr>
        <w:pStyle w:val="TextoNormal"/>
      </w:pPr>
    </w:p>
    <w:p w:rsidR="00D06117" w:rsidRDefault="00D06117" w:rsidP="00D06117">
      <w:pPr>
        <w:pStyle w:val="TextoNormal"/>
      </w:pPr>
      <w:r>
        <w:lastRenderedPageBreak/>
        <w:t>d) Contra este Auto se formuló recurso de súplica, desestimado por Auto de la misma Sala y Sección de 29 de junio de 2009. A su vez contra este otro Auto se dedujo recurso de casación, inadmitido por Auto de 21 de enero de 2010 de la Sala Segunda del Tribunal Supremo.</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los siete motivos o quejas que a continuación se señalan.</w:t>
      </w:r>
    </w:p>
    <w:p w:rsidR="00D06117" w:rsidRDefault="00D06117" w:rsidP="00D06117">
      <w:pPr>
        <w:pStyle w:val="TextoNormal"/>
      </w:pPr>
    </w:p>
    <w:p w:rsidR="00D06117" w:rsidRDefault="00D06117" w:rsidP="00D06117">
      <w:pPr>
        <w:pStyle w:val="TextoNormal"/>
      </w:pPr>
      <w:r>
        <w:t>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las resoluciones impugnadas la aplicación de la nueva doctrina de la Sala de lo Penal del Tribunal Supremo sentada en la Sentencia núm. 197/2006, de 20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w:t>
      </w:r>
    </w:p>
    <w:p w:rsidR="00D06117" w:rsidRDefault="00D06117" w:rsidP="00D06117">
      <w:pPr>
        <w:pStyle w:val="TextoNormal"/>
      </w:pPr>
    </w:p>
    <w:p w:rsidR="00D06117" w:rsidRDefault="00D06117" w:rsidP="00D06117">
      <w:pPr>
        <w:pStyle w:val="TextoNormal"/>
      </w:pPr>
      <w:r>
        <w:t>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20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 xml:space="preserve">En el tercer motivo de amparo denuncia el recurrente la vulneración del derecho a la tutela judicial efectiva sin indefensión (art. 24.1 CE), en cuanto garantiza la intangibilidad de las resoluciones judiciales firmes, en relación con el derecho a la libertad (art. 17.1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(en su caso, el Auto de 8 de noviembre de 2001 del Juez de vigilancia penitenciaria núm. 1 de Andalucía), intangibles y firmes, aplicadas (como se venía haciendo) al tope de treinta años, suponían una expectativa de importante acortamiento de su condena. Además, argumenta que la Sentencia de 14 de julio de 1998 de la Sala de lo Penal de la Audiencia Nacional, Sección Tercera, estableció de modo firme e intangible que las redenciones por trabajo se aplicaban a la fecha límite de cumplimiento, pues se lee en su fundamento de derecho primero que la </w:t>
      </w:r>
      <w:r>
        <w:lastRenderedPageBreak/>
        <w:t>legislación más favorable es la del Código penal de 1973 porque “imponiendo penas muy similares al del actualmente vigente, sin embargo permite una reducción muy sensible de las mismas por medio de las reducciones ordinarias y extraordinarias que regula”.</w:t>
      </w:r>
    </w:p>
    <w:p w:rsidR="00D06117" w:rsidRDefault="00D06117" w:rsidP="00D06117">
      <w:pPr>
        <w:pStyle w:val="TextoNormal"/>
      </w:pPr>
    </w:p>
    <w:p w:rsidR="00D06117" w:rsidRDefault="00D06117" w:rsidP="00D06117">
      <w:pPr>
        <w:pStyle w:val="TextoNormal"/>
      </w:pPr>
      <w:r>
        <w:t>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20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00D06117" w:rsidRDefault="00D06117" w:rsidP="00D06117">
      <w:pPr>
        <w:pStyle w:val="TextoNormal"/>
      </w:pPr>
    </w:p>
    <w:p w:rsidR="00D06117" w:rsidRDefault="00D06117" w:rsidP="00D06117">
      <w:pPr>
        <w:pStyle w:val="TextoNormal"/>
      </w:pPr>
      <w:r>
        <w:t>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20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00D06117" w:rsidRDefault="00D06117" w:rsidP="00D06117">
      <w:pPr>
        <w:pStyle w:val="TextoNormal"/>
      </w:pPr>
    </w:p>
    <w:p w:rsidR="00D06117" w:rsidRDefault="00D06117" w:rsidP="00D06117">
      <w:pPr>
        <w:pStyle w:val="TextoNormal"/>
      </w:pPr>
      <w:r>
        <w:t>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20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D06117" w:rsidRDefault="00D06117" w:rsidP="00D06117">
      <w:pPr>
        <w:pStyle w:val="TextoNormal"/>
      </w:pPr>
    </w:p>
    <w:p w:rsidR="00D06117" w:rsidRDefault="00D06117" w:rsidP="00D06117">
      <w:pPr>
        <w:pStyle w:val="TextoNormal"/>
      </w:pPr>
      <w:r>
        <w:t>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20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Mediante providencia de 14 de abril de 2011 la Sala Segunda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las ejecutorias referidas ut supra,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diligencia de ordenación del Secretario de Justicia de la Sala Segunda de 14 de junio de 2011 se tuvo por personada y parte en el procedimiento a la Procuradora doña María Esperanza Álvaro Mateo en nombre y representación de la Asociación de Víctimas del Terrorismo, y asimismo se procedió, conforme a lo establecido en el art. 52.1 LOTC, a dar vista de las actuaciones por plazo común de veinte días al Ministerio Fiscal y a las partes personadas para presentar las alegaciones que estimasen pertinentes.</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 la Asociación de Víctimas del Terrorismo presentó su escrito de alegaciones en este Tribunal el 15 de julio de 2011, oponiéndose a todos los motivos de amparo en el mismo orden que los expuso la demanda.</w:t>
      </w:r>
    </w:p>
    <w:p w:rsidR="00D06117" w:rsidRDefault="00D06117" w:rsidP="00D06117">
      <w:pPr>
        <w:pStyle w:val="TextoNormal"/>
      </w:pPr>
    </w:p>
    <w:p w:rsidR="00D06117" w:rsidRDefault="00D06117" w:rsidP="00D06117">
      <w:pPr>
        <w:pStyle w:val="TextoNormal"/>
      </w:pPr>
      <w:r>
        <w:t>Destaca, en primer término, que la acumulación de penas acordada en el Auto de 6 de mayo de 2009 fue a instancia del recurrente, formulada por él cuando ya era de público conocimiento que la Sala de lo Penal del Tribunal Supremo en su Sentencia núm. 197/2006, de 28 de febrero, había fijado un nuevo criterio sobre la aplicación de los beneficios penitenciarios, de modo que no se puede decir que no haya podido alegar al respecto.</w:t>
      </w:r>
    </w:p>
    <w:p w:rsidR="00D06117" w:rsidRDefault="00D06117" w:rsidP="00D06117">
      <w:pPr>
        <w:pStyle w:val="TextoNormal"/>
      </w:pPr>
    </w:p>
    <w:p w:rsidR="00D06117" w:rsidRDefault="00D06117" w:rsidP="00D06117">
      <w:pPr>
        <w:pStyle w:val="TextoNormal"/>
      </w:pPr>
      <w:r>
        <w:t>Argumenta también que las resoluciones impugnadas, aun cuando interpretan los criterios para liquidar los beneficios penitenciarios de un modo menos favorable al recurrente que antes de la citada STS 197/2006, lo hacen “respetando en todo momento el derecho del penado establecido en el Código Penal a que dicho límite [el límite de 30 años de estancia en prisión] no sea superado. De esta manera las resoluciones recurridas son ajustadas a derecho y respetuosas con los principios de legalidad penal y seguridad jurídica”.</w:t>
      </w:r>
    </w:p>
    <w:p w:rsidR="00D06117" w:rsidRDefault="00D06117" w:rsidP="00D06117">
      <w:pPr>
        <w:pStyle w:val="TextoNormal"/>
      </w:pPr>
    </w:p>
    <w:p w:rsidR="00D06117" w:rsidRDefault="00D06117" w:rsidP="00D06117">
      <w:pPr>
        <w:pStyle w:val="TextoNormal"/>
      </w:pPr>
      <w:r>
        <w:t>En tercer lugar, incide en que “los autos recurridos no modifican en ningún momento el límite máximo de cumplimiento de prisión fijado en treinta años ni anula las redenciones que han sido aprobadas por los Juzgados de Vigilancia Penitenciaria, simplemente determina la forma en la que dichas redenciones deben de ser aplicadas sin contradecir resoluciones judiciales firmes. Asimismo ocurre con las sentencias por las que fue condenado el Sr. Jorge González… Dichas sentencias hablan del límite máximo de estancia en prisión del Sr. Jorge González que en ningún caso deberá exceder los treinta años, sin hablar en ningún momento de la forma en que deben de ser aplicados los beneficios penitenciarios”.</w:t>
      </w:r>
    </w:p>
    <w:p w:rsidR="00D06117" w:rsidRDefault="00D06117" w:rsidP="00D06117">
      <w:pPr>
        <w:pStyle w:val="TextoNormal"/>
      </w:pPr>
    </w:p>
    <w:p w:rsidR="00D06117" w:rsidRDefault="00D06117" w:rsidP="00D06117">
      <w:pPr>
        <w:pStyle w:val="TextoNormal"/>
      </w:pPr>
      <w:r>
        <w:t>Tampoco nos encontramos, sigue diciendo, “ante la aplicación con carácter retroactivo de una norma penal desfavorable, nos encontramos en todo caso ante un cambio jurisprudencial que afecta no a la aplicación de un precepto legal sino a la interpretación sobre la aplicación que debe de hacerse de los beneficios penitenciarios”.</w:t>
      </w:r>
    </w:p>
    <w:p w:rsidR="00D06117" w:rsidRDefault="00D06117" w:rsidP="00D06117">
      <w:pPr>
        <w:pStyle w:val="TextoNormal"/>
      </w:pPr>
    </w:p>
    <w:p w:rsidR="00D06117" w:rsidRDefault="00D06117" w:rsidP="00D06117">
      <w:pPr>
        <w:pStyle w:val="TextoNormal"/>
      </w:pPr>
      <w:r>
        <w:t>También se opone a que se haya vulnerado el derecho a la igualdad ante la ley, pues “la interpretación llevada a cabo por el tribunal Supremo en su sentencia nº 197/2006 no es una interpretación ni arbitraria, ni irrazonable ni ilógica y ha sido dictada en el ejercicio de la función jurisdiccional que le corresponde sobre la legalidad penal”.</w:t>
      </w:r>
    </w:p>
    <w:p w:rsidR="00D06117" w:rsidRDefault="00D06117" w:rsidP="00D06117">
      <w:pPr>
        <w:pStyle w:val="TextoNormal"/>
      </w:pPr>
    </w:p>
    <w:p w:rsidR="00D06117" w:rsidRDefault="00D06117" w:rsidP="00D06117">
      <w:pPr>
        <w:pStyle w:val="TextoNormal"/>
      </w:pPr>
      <w:r>
        <w:t>Para fundar su oposición al motivo sexto de amparo se remite a lo argumentado en las consideraciones tercera y quinta.</w:t>
      </w:r>
    </w:p>
    <w:p w:rsidR="00D06117" w:rsidRDefault="00D06117" w:rsidP="00D06117">
      <w:pPr>
        <w:pStyle w:val="TextoNormal"/>
      </w:pPr>
    </w:p>
    <w:p w:rsidR="00D06117" w:rsidRDefault="00D06117" w:rsidP="00D06117">
      <w:pPr>
        <w:pStyle w:val="TextoNormal"/>
      </w:pPr>
      <w:r>
        <w:t>En fin, por lo que hace a la alegada lesión del art. 25.2 CE, arguye que “la reinserción no es el fin único de la pena sino que debe de ser armonizado junto con otros fines como pueden ser el de protección social”. Además, si bien “es cierto que los beneficios penitenciarios están orientados a una finalidad resocializadora del interno … esa finalidad es orientativa de la forma de ejecutar la condena, no de su extensión. Ésta, la extensión de la condena, está sometida a la prohibición de tratos inhumanos o degradantes, como sería el caso de la cadena perpetua no revisable.”</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recurrente presentó su escrito de alegaciones en este Tribunal el 18 de julio de 2011, en el que ratifica las formuladas en la demanda de amparo, las cuales resume.</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presentó en este Tribunal su escrito de alegaciones el 19 de julio de 2011, interesando la desestimación del amparo solicitado.</w:t>
      </w:r>
    </w:p>
    <w:p w:rsidR="00D06117" w:rsidRDefault="00D06117" w:rsidP="00D06117">
      <w:pPr>
        <w:pStyle w:val="TextoNormal"/>
      </w:pPr>
    </w:p>
    <w:p w:rsidR="00D06117" w:rsidRDefault="00D06117" w:rsidP="00D06117">
      <w:pPr>
        <w:pStyle w:val="TextoNormal"/>
      </w:pPr>
      <w:r>
        <w:t>Comienza sosteniendo que el primero de los motivos de amparo recogidos en la demanda carece manifiestamente de fundamento “desde el mismo momento en que, por dos ocasiones, la representación del actor ha hecho uso efectivo de este derecho a ser oído, en primer lugar, cuando interpuso recurso de súplica contra el auto de 6 de mayo de 2009” y posteriormente cuando recurrió en casación el Auto de 29 de junio de 2009, formulando en ambas ocasiones las alegaciones que tuvo por conveniente.</w:t>
      </w:r>
    </w:p>
    <w:p w:rsidR="00D06117" w:rsidRDefault="00D06117" w:rsidP="00D06117">
      <w:pPr>
        <w:pStyle w:val="TextoNormal"/>
      </w:pPr>
    </w:p>
    <w:p w:rsidR="00D06117" w:rsidRDefault="00D06117" w:rsidP="00D06117">
      <w:pPr>
        <w:pStyle w:val="TextoNormal"/>
      </w:pPr>
      <w:r>
        <w:t>A continuación, afirma que por razones sistemáticas procede abordar el resto de motivos de modo distinto al propuesto en la demanda de amparo. Es por ello que empieza por el examen del séptimo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t>Tampoco considera el Ministerio Fiscal que los motivos segundo y cuarto tengan suficiente eficacia suasoria. De un lado, “no parece que en el caso de autos, y a los efectos de una posible vulneración del principio de legalidad (art. 25.1) la interpretación que las reso</w:t>
      </w:r>
      <w:r>
        <w:lastRenderedPageBreak/>
        <w:t>luciones judiciales ahora recurridas en amparo hacen del art. 70.2 CP 1973 en exégesis derivada de la STS (Pleno de la Sala 2ª 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De otro, “no tiene fundamento alguno sostener que se han vulnerado dicho principio de irretroactividad de la ley penal por haber hecho aplicación del contenido del art. 78 CP1995 bajo el ropaje aparente del art. 70.2 CP1973, toda vez que el precepto que se ha aplicado ha sido siempre el art. 70.2 CP1973, de vigencia al tiempo de comisión de los hechos, y sobre el que ha recaído la interpretación sentada en la Sentencia de la Sala de lo Penal del Tribunal Supremo núm. 197/2006, de 20 de febrero, y no el art. 78 CP1995”.</w:t>
      </w:r>
    </w:p>
    <w:p w:rsidR="00D06117" w:rsidRDefault="00D06117" w:rsidP="00D06117">
      <w:pPr>
        <w:pStyle w:val="TextoNormal"/>
      </w:pPr>
    </w:p>
    <w:p w:rsidR="00D06117" w:rsidRDefault="00D06117" w:rsidP="00D06117">
      <w:pPr>
        <w:pStyle w:val="TextoNormal"/>
      </w:pPr>
      <w:r>
        <w:t>Rechaza también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la Sentencia de la Sala Segunda del Tribunal Supremo a la que se atribuye el cambio de criterio había recogido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Finalmente, se refiere conjuntamente a los derechos fundamentales alegados en los motivos tercero y sexto. Afirma que “es evidente que el núcleo del problema reside en que la Sección 3ª de la Sala de lo Penal de la Audiencia Nacional asume en las resoluciones objeto de la demanda de amparo los criterios expresados por la Sala Segunda del Tribunal Supremo en su sentencia del Pleno, STS 197/2006, de 28 de febrero”. Y acto seguido que “en el presente caso no puede hablarse, a diferencia de otros similares, de la posibilidad de sustentar el amparo en la vulneración del derecho fundamental a la intangibilidad de las resoluciones judiciales (art. 24.1 CE). Ello es así por cuanto en el caso que examinamos no ha existido resolución alguna previa que determinara, vía refundición o acumulación de condenas, no sólo el tiempo máximo de cumplimiento de conformidad con la regla 2 del art. 70 del CP 1973, sino los extremos de cómputo de los beneficios de redención de penas por el trabajo que le correspondiera por cada condena impuesta. Muy al contrario el actual demandante de amparo que fue condenado en dos sentencias, de 14 de mayo de 1998 y 3 de diciembre de 2001, en dos causas diferentes, ambas por la Sección 3ª de la Sala de lo Penal de la Audiencia Nacional, a diversas penas privativas de libertad, sólo interesó la refundición y la fijación de un tiempo máximo de cumplimiento de tales penas a la luz del art. 70.2 CP 1973 en un escrito manuscrito de fecha 3 de febrero de 2009 que desencadenó las resoluciones judiciales que ahora se impugnan en amparo. Hasta ese momento sólo se habían practicado sendas liquidaciones individualizadas de condena tanto por la Secretaría de la Sala y por el Centro Penitenciario de Algeciras en el que se encontraba interno el reo. Así y tras rectificar un error el CP aludido estableció el 9 de enero de 2002 (rectius 2003) la fecha de licenciamiento definitivo de aquél en una de las causas fijándola en el 1 de enero de 2049”.</w:t>
      </w:r>
    </w:p>
    <w:p w:rsidR="00D06117" w:rsidRDefault="00D06117" w:rsidP="00D06117">
      <w:pPr>
        <w:pStyle w:val="TextoNormal"/>
      </w:pPr>
    </w:p>
    <w:p w:rsidR="00D06117" w:rsidRDefault="00D06117" w:rsidP="00D06117">
      <w:pPr>
        <w:pStyle w:val="TextoNormal"/>
      </w:pPr>
      <w:r w:rsidRPr="00D06117">
        <w:rPr>
          <w:rStyle w:val="NumeroAFNegritaCaracter"/>
        </w:rPr>
        <w:t>9</w:t>
      </w:r>
      <w:r>
        <w:t>. A propuesta de la Sala Segunda, el Pleno, en su reunión de 13 de septiembre de 2011 y conforme al art. 10.1 n) LOTC,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La representación procesal del recurrente presentó en este Tribunal escrito de fecha 5 de diciembre de 2011 solicitando la suspensión de los efectos de la aplicación de la Sentencia del Tribunal Supremo 197/2006, de 28 de febrero, pues a su juicio está produciendo tal perjuicio al recurrente que hace perder al amparo su finalidad. El Pleno, mediante providencia de 20 de diciembre de 2011, acordó que “no ha lugar a lo solicitado en el mismo, toda vez que la suspensión interesada se refiere a una resolución judicial (STS 197/2006, de 28 de febrero) no recurrida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26 de marzo de 2012, se acordó señalar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21 de enero de 2010 de la Sala Segunda del Tribunal Supremo que inadmitió el recurso de casación contra el Auto de 29 de junio de 2009 de la Sección Tercera de la Sala de lo Penal de la Audiencia Nacional, que a su vez desestimó el recurso de súplica presentado contra el Auto de 6 de mayo de 2009, por el que se acordó que las penas acumuladas impuestas al demandante se cumplieran sucesivamente con la limitación del máximo de cumplimiento de treinta años de prisión, sin perjuicio de las redenciones que le pudieran ser aplicadas en su día, conforme al criterio de la Sentencia núm. 197/2006, de 28 de febrero, de la Sala Segunda del Tribunal Supremo. Según dicha Sentencia, en caso de penas acumuladas la redención de penas por el trabajo obtenida ha de computarse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de las infracciones y sanciones (art. 25.1 y 25.2 CE), a la libertad personal (art. 17.1 CE) y a la igualdad en la aplicación de la ley (art. 14 CE), con los argumentos que han sido expuestos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desestimación del recurso por las razones reseñadas en los antecedentes.</w:t>
      </w:r>
    </w:p>
    <w:p w:rsidR="00D06117" w:rsidRDefault="00D06117" w:rsidP="00D06117">
      <w:pPr>
        <w:pStyle w:val="TextoNormal"/>
      </w:pPr>
    </w:p>
    <w:p w:rsidR="00D06117" w:rsidRDefault="00D06117" w:rsidP="00D06117">
      <w:pPr>
        <w:pStyle w:val="TextoNormal"/>
      </w:pPr>
      <w:r>
        <w:t>En fin, la representación procesal de la Asociación de Víctimas del Terrorismo solicita la desestimación del recurso con arreglo a las alegaciones relacionadas en los antecedentes.</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En la primera de las quejas articuladas en la demanda, bajo la invocación de los derechos a la tutela judicial efectiva (art. 24.1 CE) y a un proceso con todas las garantías (art. 24.2 CE), se denuncia sustancialmente la indefensión generada por el hecho de que la primera de las resoluciones recurridas se adoptó sin abrir un trámite de audiencia al condenado, </w:t>
      </w:r>
      <w:r>
        <w:lastRenderedPageBreak/>
        <w:t>pese a introducir una perspectiva jurídica novedosa en el cómputo de las redenciones de penas por el trabajo que empeoraba la situación del reo. Esta queja ha de ser inadmitida, al concurrir respecto de ella el óbice procesal de falta de invocación ante los órganos de la jurisdicción ordinaria [art. 44.1 c) de la Ley Orgánica del Tribunal Constitucional]. En efecto, de la mera lectura del recurso de súplica interpuesto contra el Auto de 6 de mayo de 2009 de la Sección Tercera de la Sala de lo Penal de la Audiencia Nacional se desprende que el recurrente articuló una serie de motivos de recurso para oponerse a esa nueva perspectiva jurídica en el cómputo de las redenciones (lo que excluiría según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rsidRPr="00D06117">
        <w:rPr>
          <w:rStyle w:val="NumeroAFNegritaCaracter"/>
        </w:rPr>
        <w:t>3</w:t>
      </w:r>
      <w:r>
        <w:t>. En los restantes motivos se denuncia —como ya anticipamos— desde diversas perspectivas constitucionales la cuestión de fondo, esto es, la aplicación al presente caso de un nuevo criterio jurisprudencial en la interpretación de los arts. 70.2 y 100 del Código penal (CP) de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usado hasta ese momento el recurrente vería que las reducciones correspondientes al trabajo de los catorce años que van desde que entró en prisión preventiva hasta el Auto de 6 de mayo de 2009 se aplicarían al límite máximo de treinta años, en aplicación del nuevo criterio se restarían de la suma total de las penas impuestas (cincuenta y cuatro años).</w:t>
      </w:r>
    </w:p>
    <w:p w:rsidR="00D06117" w:rsidRDefault="00D06117" w:rsidP="00D06117">
      <w:pPr>
        <w:pStyle w:val="TextoNormal"/>
      </w:pPr>
    </w:p>
    <w:p w:rsidR="00D06117" w:rsidRDefault="00D06117" w:rsidP="00D06117">
      <w:pPr>
        <w:pStyle w:val="TextoNormal"/>
      </w:pPr>
      <w:r>
        <w:t xml:space="preserve">El recurrente entiende que de ello se deriva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w:t>
      </w:r>
      <w:r>
        <w:lastRenderedPageBreak/>
        <w:t>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197/2006.</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w:t>
      </w:r>
      <w:r>
        <w:lastRenderedPageBreak/>
        <w:t>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no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 xml:space="preserve">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w:t>
      </w:r>
      <w:r>
        <w:lastRenderedPageBreak/>
        <w:t>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de la Audiencia Nacional que se impugnan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que las reducciones correspondientes al trabajo de los catorce años que van desde que entró en prisión preventiva hasta el Auto de 6 de mayo de 2009 se aplicarían al límite máximo de treinta años y no a la suma total de las penas impuestas (cincuenta y cuatro años).</w:t>
      </w:r>
    </w:p>
    <w:p w:rsidR="00D06117" w:rsidRDefault="00D06117" w:rsidP="00D06117">
      <w:pPr>
        <w:pStyle w:val="TextoNormal"/>
      </w:pPr>
    </w:p>
    <w:p w:rsidR="00D06117" w:rsidRDefault="00D06117" w:rsidP="00D06117">
      <w:pPr>
        <w:pStyle w:val="TextoNormal"/>
      </w:pPr>
      <w:r w:rsidRPr="00D06117">
        <w:rPr>
          <w:rStyle w:val="NumeroAFNegritaCaracter"/>
        </w:rPr>
        <w:t>6</w:t>
      </w:r>
      <w:r>
        <w:t>.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w:t>
      </w:r>
      <w:r>
        <w:lastRenderedPageBreak/>
        <w:t>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La respuesta a la anterior cuestión ha de ser negativa pues, como veremos, el análisis del extracto de la primera Sentencia condenatoria alegado por el recurrente y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w:t>
      </w:r>
      <w:r>
        <w:lastRenderedPageBreak/>
        <w:t>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señor González Endemaño fue condenado en julio de 1998 en calidad de autor de los delitos de atentado en relación con el de asesinato, de asesinato frustrado y de tenencia ilícita de armas a las penas de treinta, veinte y tres años de prisión, respectivamente. En el fundamento de Derecho primero de esa Sentencia se afirmó que la legislación más favorable es la del Código penal de 1973 porque “imponiendo penas muy similares al del actualmente vigente, sin embargo permite una reducción muy sensible de las mismas por medio de las reducciones ordinarias y extraordinarias que regula”.</w:t>
      </w:r>
    </w:p>
    <w:p w:rsidR="00D06117" w:rsidRDefault="00D06117" w:rsidP="00D06117">
      <w:pPr>
        <w:pStyle w:val="TextoNormal"/>
      </w:pPr>
    </w:p>
    <w:p w:rsidR="00D06117" w:rsidRDefault="00D06117" w:rsidP="00D06117">
      <w:pPr>
        <w:pStyle w:val="TextoNormal"/>
      </w:pPr>
      <w:r>
        <w:t>b) Fue condenado también en diciembre de 2001 como autor de los delitos de integración en banda armada, de depósito de armas y de tenencia de explosivos a la penas de diez, siete y siete años de prisión, respectivamente.</w:t>
      </w:r>
    </w:p>
    <w:p w:rsidR="00D06117" w:rsidRDefault="00D06117" w:rsidP="00D06117">
      <w:pPr>
        <w:pStyle w:val="TextoNormal"/>
      </w:pPr>
    </w:p>
    <w:p w:rsidR="00D06117" w:rsidRDefault="00D06117" w:rsidP="00D06117">
      <w:pPr>
        <w:pStyle w:val="TextoNormal"/>
      </w:pPr>
      <w:r>
        <w:t>c) El Juez de vigilancia penitenciaria núm. 1 de Andalucía aprobó periódicamente las propuestas de redención de los centros penitenciarios, entre ellos el auto de liquidación de condena alegado por el recurrente de 8 de noviembre de 2001, en el que se aprueba una propuesta de redención de penas por el trabajo, sin indicar si esa reducción se aplicará al límite de cumplimiento o a cada una de las penas.</w:t>
      </w:r>
    </w:p>
    <w:p w:rsidR="00D06117" w:rsidRDefault="00D06117" w:rsidP="00D06117">
      <w:pPr>
        <w:pStyle w:val="TextoNormal"/>
      </w:pPr>
    </w:p>
    <w:p w:rsidR="00D06117" w:rsidRDefault="00D06117" w:rsidP="00D06117">
      <w:pPr>
        <w:pStyle w:val="TextoNormal"/>
      </w:pPr>
      <w:r>
        <w:t>d) La Sección Tercera de la Sala de lo Penal de la Audiencia Nacional, en tiempo en que aún no se había acordado la acumulación de las penas impuestas en las dos Sentencias, y dado que las de la primera condena terminarían de cumplirse el 8 de enero de 2025, aprueba liquidación de condena de fecha 10 de diciembre de 2002 en la que se indica que el cumplimiento de las impuestas por la segunda Sentencia se producirá el 1 de enero de 2049.</w:t>
      </w:r>
    </w:p>
    <w:p w:rsidR="00D06117" w:rsidRDefault="00D06117" w:rsidP="00D06117">
      <w:pPr>
        <w:pStyle w:val="TextoNormal"/>
      </w:pPr>
    </w:p>
    <w:p w:rsidR="00D06117" w:rsidRDefault="00D06117" w:rsidP="00D06117">
      <w:pPr>
        <w:pStyle w:val="TextoNormal"/>
      </w:pPr>
      <w:r>
        <w:t>e) Mediante escrito recibido el 11 de febrero de 2009 el interno don Jorge González Endemaño interesa de la Sala la acumulación de las penas impuestas en ambas Sentencias y la determinación del límite máximo de treinta años de cumplimiento. La Sala de lo Penal de la Audiencia Nacional, Sección Tercera, acordó por Auto de 6 de mayo de 2009 “[a]cumular todas las penas de prisión impuestas en las Sentencias dictadas por esta Sección Tercera nº 31/98, de 14 de julio (Ejec. 27/01), y nº 29/01, de 3 de diciembre (Ejec. 30/02), relacionadas en los antecedentes de esta resolución para su cumplimiento sucesivo por el penado, con la limitación del máximo de cumplimiento de treinta años de prisión y con sujeción a lo expresado en el precedente Fundamento Jurídico Cuarto”.</w:t>
      </w:r>
    </w:p>
    <w:p w:rsidR="00D06117" w:rsidRDefault="00D06117" w:rsidP="00D06117">
      <w:pPr>
        <w:pStyle w:val="TextoNormal"/>
      </w:pPr>
    </w:p>
    <w:p w:rsidR="00D06117" w:rsidRDefault="00D06117" w:rsidP="00D06117">
      <w:pPr>
        <w:pStyle w:val="TextoNormal"/>
      </w:pPr>
      <w:r w:rsidRPr="00D06117">
        <w:rPr>
          <w:rStyle w:val="NumeroAFNegritaCaracter"/>
        </w:rPr>
        <w:t>8</w:t>
      </w:r>
      <w:r>
        <w:t>. De ninguna de las resoluciones judiciales a las que se refiere el recurrente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lastRenderedPageBreak/>
        <w:t>a) En cuanto al extracto del fundamento de derecho primero de la Sentencia de 14 julio de 1998 adviértase que, además que se pronuncia sobre la existencia de reducciones ordinarias y extraordinarias en el Código penal de 1973 pero no sobre el modo de realizar su cómputo, lo que resulta determinante es que ese pronunciamiento se realiza en un momento en que no sólo no se han acumulado las penas de la primera y segunda condena sino, aún más, dicha segunda condena ni siquiera ha recaído. En ese contexto no es posible sostener que allí se esté estableciendo, con los efectos de firmeza e intangibilidad consiguientes, el criterio de cómputo de las redenciones de pena que el recurrente alega.</w:t>
      </w:r>
    </w:p>
    <w:p w:rsidR="00D06117" w:rsidRDefault="00D06117" w:rsidP="00D06117">
      <w:pPr>
        <w:pStyle w:val="TextoNormal"/>
      </w:pPr>
    </w:p>
    <w:p w:rsidR="00D06117" w:rsidRDefault="00D06117" w:rsidP="00D06117">
      <w:pPr>
        <w:pStyle w:val="TextoNormal"/>
      </w:pPr>
      <w:r>
        <w:t>b)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El Auto de 6 de mayo de 2009 que acordó la acumulación de las penas impuestas por ambas Sentencias y que se cumplieran conforme al criterio de cómputo fijado por la STS 197/2006 (y las resoluciones judiciales que lo ratificaron) no dejó sin efecto dichas redenciones sino que, en ejercicio de las competencias que legalmente tiene atribuidas, las computó sucesivamente sobre el conjunto de penas impuestas a efectos de liquidación de condena.</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9</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w:t>
      </w:r>
      <w:r>
        <w:lastRenderedPageBreak/>
        <w:t>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Jorge González Endemaño.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2516-2010.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10718-2006.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69" w:name="SENTENCIA_2012_66"/>
      <w:r>
        <w:lastRenderedPageBreak/>
        <w:t>SENTENCIA 66/2012, de 29 de marzo de 2012</w:t>
      </w:r>
    </w:p>
    <w:bookmarkEnd w:id="6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ECLI:ES:TC:2012:66</w:t>
      </w:r>
    </w:p>
    <w:p w:rsidR="00D06117" w:rsidRDefault="00D06117" w:rsidP="00D06117">
      <w:pPr>
        <w:pStyle w:val="SntesisDescriptiva"/>
      </w:pPr>
    </w:p>
    <w:p w:rsidR="00D06117" w:rsidRDefault="00D06117" w:rsidP="00D06117">
      <w:pPr>
        <w:pStyle w:val="SntesisDescriptiva"/>
      </w:pPr>
      <w:r>
        <w:t>Recurso de amparo 4169-2010. Promovido por doña María Josefa Uzkudun Etxenagusia en relación con las resoluciones de la Sala de lo Penal del Tribunal Supremo y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o del principio de legalidad en relación con la prohibición de retroactividad de las normas penales perjudiciales para el reo,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5].</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 xml:space="preserve">No se ha vulnerado el derecho a la legalidad de las infracciones y sanciones  por aplicación retroactiva del art. 78 CP 1995, pues la prohibición de retroactividad de la ley penal desfavorable, tiene como presupuesto fáctico la aplicación retroactiva de una norma penal a hechos cometidos previamente a su entrada en vigor y, </w:t>
      </w:r>
      <w:r>
        <w:lastRenderedPageBreak/>
        <w:t>en el presente caso, no se ha aplicado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8.</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4].</w:t>
      </w:r>
    </w:p>
    <w:p w:rsidR="00D06117" w:rsidRDefault="00D06117" w:rsidP="00D06117">
      <w:pPr>
        <w:pStyle w:val="Extracto"/>
      </w:pPr>
    </w:p>
    <w:p w:rsidR="00D06117" w:rsidRDefault="00D06117" w:rsidP="00D06117">
      <w:pPr>
        <w:pStyle w:val="Extracto"/>
      </w:pPr>
      <w:r>
        <w:t>9.</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4].</w:t>
      </w:r>
    </w:p>
    <w:p w:rsidR="00D06117" w:rsidRDefault="00D06117" w:rsidP="00D06117">
      <w:pPr>
        <w:pStyle w:val="Extracto"/>
      </w:pPr>
    </w:p>
    <w:p w:rsidR="00D06117" w:rsidRDefault="00D06117" w:rsidP="00D06117">
      <w:pPr>
        <w:pStyle w:val="Extracto"/>
      </w:pPr>
      <w:r>
        <w:t>10.</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4].</w:t>
      </w:r>
    </w:p>
    <w:p w:rsidR="00D06117" w:rsidRDefault="00D06117" w:rsidP="00D06117">
      <w:pPr>
        <w:pStyle w:val="Extracto"/>
      </w:pPr>
    </w:p>
    <w:p w:rsidR="00D06117" w:rsidRDefault="00D06117" w:rsidP="00D06117">
      <w:pPr>
        <w:pStyle w:val="Extracto"/>
      </w:pPr>
      <w:r>
        <w:t>11.</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[FJ 7].</w:t>
      </w:r>
    </w:p>
    <w:p w:rsidR="00D06117" w:rsidRDefault="00D06117" w:rsidP="00D06117">
      <w:pPr>
        <w:pStyle w:val="Extracto"/>
      </w:pPr>
    </w:p>
    <w:p w:rsidR="00D06117" w:rsidRDefault="00D06117" w:rsidP="00D06117">
      <w:pPr>
        <w:pStyle w:val="Extracto"/>
      </w:pPr>
      <w:r>
        <w:t>12.</w:t>
      </w:r>
      <w:r>
        <w:tab/>
        <w:t>Aun cuando el nuevo criterio de cómputo de las redenciones dificulta objetivamente la posibilidad de reducir el cumplimiento efectivo de la pena en determinados supuestos, tal criterio no impide que los penados puedan cumplir su condena con arreglo al elenco de medidas de la legislación penitenciaria que favorecen y posibilitan la reeducación y reinserción social, si su conducta penitenciaria y su evolución muestra que se hallan en condiciones de hacer vida honrada en libertad [FJ 7].</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4169-2010, promovido por doña María Josefa Uzkudun Etxenagusia, representada por el Procurador de los Tribunales don Javier J. Cuevas Rivas y asistida por la Letrada doña Onintza Ostolaza Arruaberrena, contra el Auto de 17 de agosto de 2009 dictado por la Sección Segunda de la Sala de lo Penal de la Audiencia Nacional en la ejecutoria núm. 77-1995; y contra la Sentencia 195/2010, de 24 de febrero de 2010, de la Sala de lo Penal del Tribunal Supremo en el recurso núm. 11182-2009P, que ratifica el Auto antedicho. Ha intervenido el Ministerio Fiscal y la Asociación Víctimas del Terrorismo.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fecha 14 de mayo de 2010 en la Oficina de Registro y Reparto Civil del Decanato de Madrid, y registrado en este Tribunal el 19 de mayo de 2010, el Procurador de los Tribunales don Javier J. Cuevas Rivas, en nombre y representación de doña María Josefa Uzkudun Etxenagusia,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sucintamente expuestos, los siguientes:</w:t>
      </w:r>
    </w:p>
    <w:p w:rsidR="00D06117" w:rsidRDefault="00D06117" w:rsidP="00D06117">
      <w:pPr>
        <w:pStyle w:val="TextoNormal"/>
      </w:pPr>
    </w:p>
    <w:p w:rsidR="00D06117" w:rsidRDefault="00D06117" w:rsidP="00D06117">
      <w:pPr>
        <w:pStyle w:val="TextoNormal"/>
      </w:pPr>
      <w:r>
        <w:t>a) Doña María Josefa Uzkudun Etxenagusia fue condenada en tres procedimientos seguidos ante la Sala de lo Penal de la Audiencia Nacional.</w:t>
      </w:r>
    </w:p>
    <w:p w:rsidR="00D06117" w:rsidRDefault="00D06117" w:rsidP="00D06117">
      <w:pPr>
        <w:pStyle w:val="TextoNormal"/>
      </w:pPr>
    </w:p>
    <w:p w:rsidR="00D06117" w:rsidRDefault="00D06117" w:rsidP="00D06117">
      <w:pPr>
        <w:pStyle w:val="TextoNormal"/>
      </w:pPr>
      <w:r>
        <w:t>Mediante Sentencia de 27 de mayo de 1992, dictada por la Sección Tercera de la Sala de lo Penal de la Audiencia Nacional en el sumario núm. 48-1990 del Juzgado Central de Instrucción núm. 4, a la pena de diez años de prisión por un delito de utilización de sustancias o aparatos explosivos.</w:t>
      </w:r>
    </w:p>
    <w:p w:rsidR="00D06117" w:rsidRDefault="00D06117" w:rsidP="00D06117">
      <w:pPr>
        <w:pStyle w:val="TextoNormal"/>
      </w:pPr>
    </w:p>
    <w:p w:rsidR="00D06117" w:rsidRDefault="00D06117" w:rsidP="00D06117">
      <w:pPr>
        <w:pStyle w:val="TextoNormal"/>
      </w:pPr>
      <w:r>
        <w:t>Mediante Sentencia núm. 5/1994, de 1 de febrero, dictada por la Sección Segunda de la Sala de lo Penal de la Audiencia Nacional en el sumario núm. 18-1991 del Juzgado Central de Instrucción núm. 2, a la pena de trece años de prisión por un delito de terrorismo.</w:t>
      </w:r>
    </w:p>
    <w:p w:rsidR="00D06117" w:rsidRDefault="00D06117" w:rsidP="00D06117">
      <w:pPr>
        <w:pStyle w:val="TextoNormal"/>
      </w:pPr>
    </w:p>
    <w:p w:rsidR="00D06117" w:rsidRDefault="00D06117" w:rsidP="00D06117">
      <w:pPr>
        <w:pStyle w:val="TextoNormal"/>
      </w:pPr>
      <w:r>
        <w:t>Mediante Sentencia núm. 38/1995, de 9 de junio, dictada por la Sección Segunda de la Sala de lo Penal de la Audiencia Nacional, en el sumario núm. 14-1993 del Juzgado Central de Instrucción núm. 5, a las siguientes penas: por un delito de pertenencia a banda armada, a la pena de once años de prisión mayor; por un delito de atentado, en grado de tentativa, a la pena de doce años de prisión mayor; por un delito de depósito de armas de guerra, a la pena de once años de prisión mayor; por un delito de tenencia de explosivos, a la pena de once años de prisión mayor: por un delito continuado de falsificación de documento oficial, a la pena de cinco años de prisión menor; por un delito continuado de falsificación de documento de identidad, a la pena de cinco meses de arresto mayor.</w:t>
      </w:r>
    </w:p>
    <w:p w:rsidR="00D06117" w:rsidRDefault="00D06117" w:rsidP="00D06117">
      <w:pPr>
        <w:pStyle w:val="TextoNormal"/>
      </w:pPr>
    </w:p>
    <w:p w:rsidR="00D06117" w:rsidRDefault="00D06117" w:rsidP="00D06117">
      <w:pPr>
        <w:pStyle w:val="TextoNormal"/>
      </w:pPr>
      <w:r>
        <w:t>b) Mediante Auto de 4 junio de 1996 de la Sección Segunda de la Sala de lo Penal de la Audiencia Nacional se declaró no haber lugar a la revisión de la Sentencia núm. 38/1995, de 9 de junio, dictada en el sumario núm. 14-1993 del Juzgado Central de Instrucción núm. 5, según el nuevo Código penal (CP) de 1995.</w:t>
      </w:r>
    </w:p>
    <w:p w:rsidR="00D06117" w:rsidRDefault="00D06117" w:rsidP="00D06117">
      <w:pPr>
        <w:pStyle w:val="TextoNormal"/>
      </w:pPr>
    </w:p>
    <w:p w:rsidR="00D06117" w:rsidRDefault="00D06117" w:rsidP="00D06117">
      <w:pPr>
        <w:pStyle w:val="TextoNormal"/>
      </w:pPr>
      <w:r>
        <w:t>c) Mediante Auto de 17 de julio de 2000, la Sección Segunda de la Sala de lo Penal de la Audiencia Nacional reconoció en sus fundamentos jurídicos, de conformidad con lo dispuesto en el art. 70.2 CP 1973, la procedencia de refundir las condenas impuestas a la actora, acordándose en su parte expositiva fijar en un máximo de treinta años el periodo de privación de libertad a imponer a la misma.</w:t>
      </w:r>
    </w:p>
    <w:p w:rsidR="00D06117" w:rsidRDefault="00D06117" w:rsidP="00D06117">
      <w:pPr>
        <w:pStyle w:val="TextoNormal"/>
      </w:pPr>
    </w:p>
    <w:p w:rsidR="00D06117" w:rsidRDefault="00D06117" w:rsidP="00D06117">
      <w:pPr>
        <w:pStyle w:val="TextoNormal"/>
      </w:pPr>
      <w:r>
        <w:t>d) El centro penitenciario de Albolote redactó el 22 de febrero de 2008 un oficio de cálculo de liquidación de condena, en el que, teniendo en cuenta los beneficios acumulados de redención ordinaria y extraordinaria de penas, se fijaba como fecha de cumplimiento definitivo el 27 de agosto de 2009. El Ministerio Fiscal se opuso, en fecha 17 de julio de 2009, a dicha liquidación al entender que era de aplicación la doctrina contenida de la STS de la Sala Segunda núm. 197/2006, de 28 febrero.</w:t>
      </w:r>
    </w:p>
    <w:p w:rsidR="00D06117" w:rsidRDefault="00D06117" w:rsidP="00D06117">
      <w:pPr>
        <w:pStyle w:val="TextoNormal"/>
      </w:pPr>
    </w:p>
    <w:p w:rsidR="00D06117" w:rsidRDefault="00D06117" w:rsidP="00D06117">
      <w:pPr>
        <w:pStyle w:val="TextoNormal"/>
      </w:pPr>
      <w:r>
        <w:t>Finalmente, mediante Auto de 17 de agosto de 2009, dictado en la ejecutoria núm. 77-1995, sumario núm. 14-1993, procedente del Juzgado Central de Instrucción núm. 5, la Sección Segunda de la Sala Penal de la Audiencia Nacional fijó como fecha de licenciamiento el 5 de febrero de 2021, en aplicación de la doctrina de la referida STS núm. 197/2006, de 28 de febrero.</w:t>
      </w:r>
    </w:p>
    <w:p w:rsidR="00D06117" w:rsidRDefault="00D06117" w:rsidP="00D06117">
      <w:pPr>
        <w:pStyle w:val="TextoNormal"/>
      </w:pPr>
    </w:p>
    <w:p w:rsidR="00D06117" w:rsidRDefault="00D06117" w:rsidP="00D06117">
      <w:pPr>
        <w:pStyle w:val="TextoNormal"/>
      </w:pPr>
      <w:r>
        <w:t>e) Contra dicho Auto de 17 de agosto de 2009 la actora interpuso recurso de casación ante la Sala de lo Penal del Tribunal Supremo, que vino a ser desestimado por la Sentencia núm. 195/2010, de 24 de febrero, notificada el 13 de abril de 2010.</w:t>
      </w:r>
    </w:p>
    <w:p w:rsidR="00D06117" w:rsidRDefault="00D06117" w:rsidP="00D06117">
      <w:pPr>
        <w:pStyle w:val="TextoNormal"/>
      </w:pPr>
    </w:p>
    <w:p w:rsidR="00D06117" w:rsidRDefault="00D06117" w:rsidP="00D06117">
      <w:pPr>
        <w:pStyle w:val="TextoNormal"/>
      </w:pPr>
      <w:r>
        <w:lastRenderedPageBreak/>
        <w:t>f) Interpuesto por la actora incidente de nulidad de actuaciones contra la anterior STS de 24 de febrero de 2010, éste fue admitido a trámite mediante providencia de la Sala de lo Penal del Tribunal Supremo de 11 de mayo de 2010 (folio 113 de las actuaciones), notificada el 18 de mayo de 2010 (folio 116 de las actuaciones), debido a que las cuestiones planteadas eran las mismas que las que fueron objeto del recurso de casación.</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los motivos o quejas que a continuación se señalan.</w:t>
      </w:r>
    </w:p>
    <w:p w:rsidR="00D06117" w:rsidRDefault="00D06117" w:rsidP="00D06117">
      <w:pPr>
        <w:pStyle w:val="TextoNormal"/>
      </w:pPr>
    </w:p>
    <w:p w:rsidR="00D06117" w:rsidRDefault="00D06117" w:rsidP="00D06117">
      <w:pPr>
        <w:pStyle w:val="TextoNormal"/>
      </w:pPr>
      <w:r>
        <w:t>Como primer motivo de amparo se denuncia la vulneración de los derechos a la tutela judicial efectiva sin indefensión (art. 24.1 CE), a un proceso con todas las garantías (art. 24.2 CE), así como de los derechos reconocidos por el art. 13 del Convenio europeo para la protección de los derechos humanos y las libertades fundamentales (CEDH) y por el art. 14.5 del Pacto internacional de derechos civiles y políticos (PIDCP), todo ello en relación con el derecho al recurso.</w:t>
      </w:r>
    </w:p>
    <w:p w:rsidR="00D06117" w:rsidRDefault="00D06117" w:rsidP="00D06117">
      <w:pPr>
        <w:pStyle w:val="TextoNormal"/>
      </w:pPr>
    </w:p>
    <w:p w:rsidR="00D06117" w:rsidRDefault="00D06117" w:rsidP="00D06117">
      <w:pPr>
        <w:pStyle w:val="TextoNormal"/>
      </w:pPr>
      <w:r>
        <w:t>Sostiene la recurrente que las resoluciones impugnadas acuerdan la aplicación de la nueva doctrina de la Sala de lo Penal del Tribunal Supremo sentada en la Sentencia núm. 197/2006, de 28 de febrero, —que establece un nuevo criterio en cuanto al cómputo de las redenciones por trabajo que empeora la situación del reo y obliga al cumplimiento íntegro de la condena de treinta años— la cual se encuentra recurrida en amparo y pendiente de resolución, dándose además la circunstancia de que el caso de la recurrente es distinto del que fue objeto de análisis y resolución en la referida STS 197/2006, y ello en la medida en que el nuevo criterio se plantea aquí en la liquidación de condena realizada por el centro penitenciario, habiéndose aplicado, hasta ese momento la fórmula resultante del art. 70.2 CP 1973, y existiendo respecto de la actora resoluciones judiciales firmes.</w:t>
      </w:r>
    </w:p>
    <w:p w:rsidR="00D06117" w:rsidRDefault="00D06117" w:rsidP="00D06117">
      <w:pPr>
        <w:pStyle w:val="TextoNormal"/>
      </w:pPr>
    </w:p>
    <w:p w:rsidR="00D06117" w:rsidRDefault="00D06117" w:rsidP="00D06117">
      <w:pPr>
        <w:pStyle w:val="TextoNormal"/>
      </w:pPr>
      <w:r>
        <w:t>Como segundo motivo de amparo se aduce la vulneración del principio de legalidad (art. 25 CE, en relación con el art. 9.1 CE), por la interpretación realizada por la Audiencia Nacional de los arts. 70.2 y 100 CP 1973, así como de los arts. 66 y 71.3 del reglamento de prisiones de 1956 y del art. 202 del reglamento penitenciario actual.</w:t>
      </w:r>
    </w:p>
    <w:p w:rsidR="00D06117" w:rsidRDefault="00D06117" w:rsidP="00D06117">
      <w:pPr>
        <w:pStyle w:val="TextoNormal"/>
      </w:pPr>
    </w:p>
    <w:p w:rsidR="00D06117" w:rsidRDefault="00D06117" w:rsidP="00D06117">
      <w:pPr>
        <w:pStyle w:val="TextoNormal"/>
      </w:pPr>
      <w:r>
        <w:t>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a los criterios mínimos que impone la lógica jurídica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sin que concurra ningún nuevo elemento que lo justifique.</w:t>
      </w:r>
    </w:p>
    <w:p w:rsidR="00D06117" w:rsidRDefault="00D06117" w:rsidP="00D06117">
      <w:pPr>
        <w:pStyle w:val="TextoNormal"/>
      </w:pPr>
    </w:p>
    <w:p w:rsidR="00D06117" w:rsidRDefault="00D06117" w:rsidP="00D06117">
      <w:pPr>
        <w:pStyle w:val="TextoNormal"/>
      </w:pPr>
      <w:r>
        <w:t>En el tercer y cuarto motivos de amparo denuncia el recurrente la vulneración del derecho a la tutela judicial efectiva sin indefensión (art. 24.1 CE), en cuanto garantiza la intangibilidad de las resoluciones judiciales firmes, en relación con el derecho a la libertad (art. 17.1 CE).</w:t>
      </w:r>
    </w:p>
    <w:p w:rsidR="00D06117" w:rsidRDefault="00D06117" w:rsidP="00D06117">
      <w:pPr>
        <w:pStyle w:val="TextoNormal"/>
      </w:pPr>
    </w:p>
    <w:p w:rsidR="00D06117" w:rsidRDefault="00D06117" w:rsidP="00D06117">
      <w:pPr>
        <w:pStyle w:val="TextoNormal"/>
      </w:pPr>
      <w:r>
        <w:lastRenderedPageBreak/>
        <w:t>Afirma el recurrente que la nueva interpretación del cómputo de las redenciones sobre la totalidad de la condena que realiza la Sala de lo Penal del Tribunal Supremo en su Sentencia núm. 197/2006, de 28 de febrero, aplicada en su caso por la Audiencia Nacional y por el Tribunal Supremo en las resoluciones impugnadas en amparo, le genera indefensión e inseguridad jurídica, puesto que las redenciones aprobadas por los Juzgados de Vigilancia Penitenciaria, intangibles y firmes, aplicadas (como se venía haciendo) al tope de treinta años, suponían una expectativa de importante acortamiento de su condena.</w:t>
      </w:r>
    </w:p>
    <w:p w:rsidR="00D06117" w:rsidRDefault="00D06117" w:rsidP="00D06117">
      <w:pPr>
        <w:pStyle w:val="TextoNormal"/>
      </w:pPr>
    </w:p>
    <w:p w:rsidR="00D06117" w:rsidRDefault="00D06117" w:rsidP="00D06117">
      <w:pPr>
        <w:pStyle w:val="TextoNormal"/>
      </w:pPr>
      <w:r>
        <w:t>En concreto, sostiene el carácter firme e intangible del Auto de 17 de julio de 2000 de la Sección Segunda de la Sala de lo Penal de la Audiencia Nacional, que acordó refundir las penas impuestas a la actora, de conformidad con lo dispuesto en el art. 70.2 CP 1973, estableciéndose un límite máximo de cumplimiento de treinta años. Así como del Auto de 4 junio de 1996 de la Sección Segunda de la Sala de lo Penal de la Audiencia Nacional, por el que, todavía sin haberse dictado el Auto de refundición de condenas, se denegó la posibilidad de aplicar a la condenada las normas del Código penal de 1995. Esta última resolución es, en opinión de la actora, firme e intangible, en la medida en que se hizo teniendo en consideración una liquidación de condena realizada por el centro penitenciario de Almería el 16 de abril de 1996, la cual tomó como referencia, de conformidad con el art. 70.2 CP 1973, la condena de treinta años y respecto de ella aplica las redenciones obtenidas hasta el momento y las que pudiera adquirir en el futuro. También invoca la existencia de una liquidación de condena realizada por el centro penitenciario de Albolote el 22 de febrero de 2008 en la que se fijaba como fecha de cumplimiento definitivo el 27 de agosto de 2009.</w:t>
      </w:r>
    </w:p>
    <w:p w:rsidR="00D06117" w:rsidRDefault="00D06117" w:rsidP="00D06117">
      <w:pPr>
        <w:pStyle w:val="TextoNormal"/>
      </w:pPr>
    </w:p>
    <w:p w:rsidR="00D06117" w:rsidRDefault="00D06117" w:rsidP="00D06117">
      <w:pPr>
        <w:pStyle w:val="TextoNormal"/>
      </w:pPr>
      <w:r>
        <w:t>Como quinto motivo de amparo se aduce la lesión del principio de legalidad (art. 25.1 CE, en relación con el art. 9.3 CE, así como el art. 7 CEDH y el art. 15 PIDCP), por aplicación retroactiva de una ley desfavorable.</w:t>
      </w:r>
    </w:p>
    <w:p w:rsidR="00D06117" w:rsidRDefault="00D06117" w:rsidP="00D06117">
      <w:pPr>
        <w:pStyle w:val="TextoNormal"/>
      </w:pPr>
    </w:p>
    <w:p w:rsidR="00D06117" w:rsidRDefault="00D06117" w:rsidP="00D06117">
      <w:pPr>
        <w:pStyle w:val="TextoNormal"/>
      </w:pPr>
      <w:r>
        <w:t>Se denuncia por la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00D06117" w:rsidRDefault="00D06117" w:rsidP="00D06117">
      <w:pPr>
        <w:pStyle w:val="TextoNormal"/>
      </w:pPr>
    </w:p>
    <w:p w:rsidR="00D06117" w:rsidRDefault="00D06117" w:rsidP="00D06117">
      <w:pPr>
        <w:pStyle w:val="TextoNormal"/>
      </w:pPr>
      <w:r>
        <w:t>En el sexto motivo de amparo se alega la lesión del derecho a la igualdad en la aplicación de la ley (art. 14 CE), en relación con el art. 14 CEDH.</w:t>
      </w:r>
    </w:p>
    <w:p w:rsidR="00D06117" w:rsidRDefault="00D06117" w:rsidP="00D06117">
      <w:pPr>
        <w:pStyle w:val="TextoNormal"/>
      </w:pPr>
    </w:p>
    <w:p w:rsidR="00D06117" w:rsidRDefault="00D06117" w:rsidP="00D06117">
      <w:pPr>
        <w:pStyle w:val="TextoNormal"/>
      </w:pPr>
      <w:r>
        <w:t>Denuncia la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00D06117" w:rsidRDefault="00D06117" w:rsidP="00D06117">
      <w:pPr>
        <w:pStyle w:val="TextoNormal"/>
      </w:pPr>
    </w:p>
    <w:p w:rsidR="00D06117" w:rsidRDefault="00D06117" w:rsidP="00D06117">
      <w:pPr>
        <w:pStyle w:val="TextoNormal"/>
      </w:pPr>
      <w:r>
        <w:t>Como séptimo motivo de amparo se alega la vulneración del derecho a la libertad (art. 17.1 CE), en relación con los arts. 5 y 7.1 CEDH y los arts. 9.1 y 5 y 15.1 PIDCP.</w:t>
      </w:r>
    </w:p>
    <w:p w:rsidR="00D06117" w:rsidRDefault="00D06117" w:rsidP="00D06117">
      <w:pPr>
        <w:pStyle w:val="TextoNormal"/>
      </w:pPr>
    </w:p>
    <w:p w:rsidR="00D06117" w:rsidRDefault="00D06117" w:rsidP="00D06117">
      <w:pPr>
        <w:pStyle w:val="TextoNormal"/>
      </w:pPr>
      <w:r>
        <w:t>Tras resaltar que, conforme a la doctrina de este Tribunal, la redención de penas por el trabajo afecta al derecho a la libertad personal, se sostiene por el recurrente, con cita del Voto particular a la Sentencia de la Sala de lo Penal del Tribunal Supremo núm. 197/2006, de 28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00D06117" w:rsidRDefault="00D06117" w:rsidP="00D06117">
      <w:pPr>
        <w:pStyle w:val="TextoNormal"/>
      </w:pPr>
    </w:p>
    <w:p w:rsidR="00D06117" w:rsidRDefault="00D06117" w:rsidP="00D06117">
      <w:pPr>
        <w:pStyle w:val="TextoNormal"/>
      </w:pPr>
      <w:r>
        <w:t>Por último, en el octavo motivo de amparo, el recurrente alega la vulneración del art. 25.2 CE, en relación con las “Reglas mínimas para tratamiento de los reclusos” elaboradas en el primer Congreso de las Naciones Unidas sobre prevención del delito y tratamiento del delincuente (Ginebra, 1955) y el Pacto internacional de derechos civiles y políticos.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y el Tribunal Supremo en las resoluciones impugnadas en amparo.</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14 de abril de 2011 la Sala Segunda de este Tribunal acordó la admisión a trámite de la demanda de amparo y, a tenor de lo dispuesto en el art. 51 de la Ley Orgánica del Tribunal Constitucional (LOTC), requerir atentamente a la Sección Segunda de la Sala de lo Penal de la Audiencia Nacional para que en el plazo de diez días remitiera testimonio de la ejecutoria núm. 77-1995 (dimanante del sumario núm. 14-1993 del Juzgado Central de Instrucción núm. 5),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00D06117" w:rsidRDefault="00D06117" w:rsidP="00D06117">
      <w:pPr>
        <w:pStyle w:val="TextoNormal"/>
      </w:pPr>
    </w:p>
    <w:p w:rsidR="00D06117" w:rsidRDefault="00D06117" w:rsidP="00D06117">
      <w:pPr>
        <w:pStyle w:val="TextoNormal"/>
      </w:pPr>
      <w:r w:rsidRPr="00D06117">
        <w:rPr>
          <w:rStyle w:val="NumeroAFNegritaCaracter"/>
        </w:rPr>
        <w:t>5</w:t>
      </w:r>
      <w:r>
        <w:t>. La representación procesal del recurrente presentó su escrito de alegaciones en este Tribunal el 21 de septiembre de 2011, en el que ratifica las formuladas en la demanda de amparo, las cuales resume, añadiendo, respecto del motivo segundo, la íntima imbricación existente entre los principios de legalidad y de seguridad jurídica, y que, en aplicación de la doctrina contenida en la STC 57/2008, de 28 de abril, ante la ausencia de normas que determinen la interpretación sobre el abono de prisión provisional y redenciones, la misma nunca puede hacerse en un sentido perjudicial para el reo.</w:t>
      </w:r>
    </w:p>
    <w:p w:rsidR="00D06117" w:rsidRDefault="00D06117" w:rsidP="00D06117">
      <w:pPr>
        <w:pStyle w:val="TextoNormal"/>
      </w:pPr>
    </w:p>
    <w:p w:rsidR="00D06117" w:rsidRDefault="00D06117" w:rsidP="00D06117">
      <w:pPr>
        <w:pStyle w:val="TextoNormal"/>
      </w:pPr>
      <w:r w:rsidRPr="00D06117">
        <w:rPr>
          <w:rStyle w:val="NumeroAFNegritaCaracter"/>
        </w:rPr>
        <w:t>6</w:t>
      </w:r>
      <w:r>
        <w:t>. El Ministerio Fiscal presentó en este Tribunal su escrito de alegaciones el 3 de octubre de 2011.</w:t>
      </w:r>
    </w:p>
    <w:p w:rsidR="00D06117" w:rsidRDefault="00D06117" w:rsidP="00D06117">
      <w:pPr>
        <w:pStyle w:val="TextoNormal"/>
      </w:pPr>
    </w:p>
    <w:p w:rsidR="00D06117" w:rsidRDefault="00D06117" w:rsidP="00D06117">
      <w:pPr>
        <w:pStyle w:val="TextoNormal"/>
      </w:pPr>
      <w:r>
        <w:t xml:space="preserve">Considera el Fiscal que debe ser rechazada la pretendida vulneración del principio de legalidad penal recogido en el art. 25.2 CE porque, como reiteradamente ha destacado este Tribunal, dicho precepto constitucional no contiene un derecho fundamental del ciudadano susceptible de ser invocado en amparo, sino más bien un mandato dirigido al legislador para </w:t>
      </w:r>
      <w:r>
        <w:lastRenderedPageBreak/>
        <w:t>orientar la política penal y penitenciaria con objeto de que configure las sanciones penales para que cumplan estos fines de reinserción y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No existe tampoco vulneración del principio de legalidad penal conectado al de irretroactividad de las normas penales y restrictivas de derechos, pues no tiene fundamento alguno sostener que se han vulnerado dicho principio de irretroactividad de la ley penal por haber hecho aplicación del contenido del art. 78 CP 1995 bajo el ropaje aparente del art. 70.2 CP 1973, toda vez que el precepto que se ha aplicado ha sido siempre el art. 70.2 CP 1973, vigente al tiempo de comisión de los hechos, y sobre el que ha recaído la interpretación sentada en la Sentencia de la Sala de lo Penal del Tribunal Supremo núm. 197/2006, de 28 de febrero, y no el art. 78 CP 1995. No habiendo apariencia de una interpretación normativa extensiva o in malam partem, ni una aplicación analógica in peius, no corresponde al Tribunal Constitucional decidir cual de las posibles interpretaciones es la más adecuada a la norma en juego.</w:t>
      </w:r>
    </w:p>
    <w:p w:rsidR="00D06117" w:rsidRDefault="00D06117" w:rsidP="00D06117">
      <w:pPr>
        <w:pStyle w:val="TextoNormal"/>
      </w:pPr>
    </w:p>
    <w:p w:rsidR="00D06117" w:rsidRDefault="00D06117" w:rsidP="00D06117">
      <w:pPr>
        <w:pStyle w:val="TextoNormal"/>
      </w:pPr>
      <w:r>
        <w:t>Tampoco cabe apreciar lesión del derecho fundamental a la igualdad en la aplicación de la ley que garantiza el art. 14 CE,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En fin, tampoco aprecia el Fiscal una vulneración autónoma del derecho a la libertad personal (art. 17.1 CE), más allá de lo que se argumentará a continuación a propósito del derecho a la intangibilidad de las resoluciones judiciales firmes; ni de los derechos a la defensa (art. 24.1 CE) y a un proceso con las debidas garantías (art. 24.2 CE), al haber obtenido la actora una respuesta suficiente a sus motivos de casación en la STS 195/2010; es más, en su opinión, podría incluso concurrir la causa de inadmisión de falta de agotamiento de la vía previa de recurso [art. 50.1 a) y 44.1 LOTC].</w:t>
      </w:r>
    </w:p>
    <w:p w:rsidR="00D06117" w:rsidRDefault="00D06117" w:rsidP="00D06117">
      <w:pPr>
        <w:pStyle w:val="TextoNormal"/>
      </w:pPr>
    </w:p>
    <w:p w:rsidR="00D06117" w:rsidRDefault="00D06117" w:rsidP="00D06117">
      <w:pPr>
        <w:pStyle w:val="TextoNormal"/>
      </w:pPr>
      <w:r>
        <w:t>Por el contrario, lo que resulta relevante según el Fiscal, como se desprende de los motivos tercero y cuarto de la demanda de amparo, es la aplicación del nuevo criterio jurisprudencial surgido de la citada Sentencia de la Sala de lo Penal del Tribunal Supremo núm. 197/2006, de 28 de febrero, a situaciones ya reconocidas por resoluciones firmes, en referencia al Auto de 17 de julio de 2000 de la Sección Segunda de la Sala de lo Penal de la Audiencia Nacional que refundió las condenas impuestas al recurrente y señaló como pena única a cumplir la de treinta años, así como a la liquidación de condena realizada por el centro penitenciario de Albolote, remitida a la Sala el 22 de febrero de 2008, que siguió a ese Auto con aplicación de las redenciones que se iban produciendo (antes de dictarse las resoluciones judiciales impugnadas en amparo), lo que resulta perjudicial para el recurrente.</w:t>
      </w:r>
    </w:p>
    <w:p w:rsidR="00D06117" w:rsidRDefault="00D06117" w:rsidP="00D06117">
      <w:pPr>
        <w:pStyle w:val="TextoNormal"/>
      </w:pPr>
    </w:p>
    <w:p w:rsidR="00D06117" w:rsidRDefault="00D06117" w:rsidP="00D06117">
      <w:pPr>
        <w:pStyle w:val="TextoNormal"/>
      </w:pPr>
      <w:r>
        <w:t xml:space="preserve">Aunque, para el Fiscal, las liquidaciones de condena no parece que puedan ser calificadas como resoluciones judiciales de naturaleza intangible, el Auto de 17 de julio de 2000 en el que se fija refundición y los criterios para la ejecución de condena si debe reputarse como </w:t>
      </w:r>
      <w:r>
        <w:lastRenderedPageBreak/>
        <w:t>firme e intangible, de manera que se impide la revisión del criterio fijado en el mismo en virtud de una jurisprudencia posterior porque ello, al ocasionar un evidente perjuicio penológico a la demandante de amparo, rompe con sus legítimas expectativas,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la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28 de febrero, aplicada por la Audiencia Nacional en la resolución impugnada en amparo.</w:t>
      </w:r>
    </w:p>
    <w:p w:rsidR="00D06117" w:rsidRDefault="00D06117" w:rsidP="00D06117">
      <w:pPr>
        <w:pStyle w:val="TextoNormal"/>
      </w:pPr>
    </w:p>
    <w:p w:rsidR="00D06117" w:rsidRDefault="00D06117" w:rsidP="00D06117">
      <w:pPr>
        <w:pStyle w:val="TextoNormal"/>
      </w:pPr>
      <w:r>
        <w:t>Por todo lo expuesto el Fiscal interesa, la estimación del amparo, en lo referente a declarar vulnerado el derecho a la tutela judicial efectiva en su vertiente intangibilidad de las resoluciones judiciales firmes (art. 24.1 CE), en conexión con el principio de legalidad y el derecho a la irretroactividad de interpretaciones desfavorables para el reo (art. 25.1 CE) y el derecho a la libertad personal (art. 17 CE).</w:t>
      </w:r>
    </w:p>
    <w:p w:rsidR="00D06117" w:rsidRDefault="00D06117" w:rsidP="00D06117">
      <w:pPr>
        <w:pStyle w:val="TextoNormal"/>
      </w:pPr>
    </w:p>
    <w:p w:rsidR="00D06117" w:rsidRDefault="00D06117" w:rsidP="00D06117">
      <w:pPr>
        <w:pStyle w:val="TextoNormal"/>
      </w:pPr>
      <w:r>
        <w:t>La consecuencia del otorgamiento del amparo ha de ser, según el Fiscal, la anulación de las resoluciones impugnadas, para que se dicte nueva resolución por la Sección Segunda de la Sala de lo Penal de la Audiencia Nacional respetuosa con los derechos fundamentales vulnerados.</w:t>
      </w:r>
    </w:p>
    <w:p w:rsidR="00D06117" w:rsidRDefault="00D06117" w:rsidP="00D06117">
      <w:pPr>
        <w:pStyle w:val="TextoNormal"/>
      </w:pPr>
    </w:p>
    <w:p w:rsidR="00D06117" w:rsidRDefault="00D06117" w:rsidP="00D06117">
      <w:pPr>
        <w:pStyle w:val="TextoNormal"/>
      </w:pPr>
      <w:r w:rsidRPr="00D06117">
        <w:rPr>
          <w:rStyle w:val="NumeroAFNegritaCaracter"/>
        </w:rPr>
        <w:t>7</w:t>
      </w:r>
      <w:r>
        <w:t>. La Asociación Víctimas del Terrorismo presentó en este Tribunal su escrito de alegaciones el 22 de septiembre de 2011, en el que solicita la inadmisión del recurso de amparo presentado, por los siguientes motivos.</w:t>
      </w:r>
    </w:p>
    <w:p w:rsidR="00D06117" w:rsidRDefault="00D06117" w:rsidP="00D06117">
      <w:pPr>
        <w:pStyle w:val="TextoNormal"/>
      </w:pPr>
    </w:p>
    <w:p w:rsidR="00D06117" w:rsidRDefault="00D06117" w:rsidP="00D06117">
      <w:pPr>
        <w:pStyle w:val="TextoNormal"/>
      </w:pPr>
      <w:r>
        <w:t xml:space="preserve">Considera la asociación, en primer lugar, respecto de la alegada vulneración del derecho a la tutela judicial efectiva sin indefensión (art. 24.1 CE) y de los derechos a la defensa y a un proceso con todas las garantías (art. 24.2 CE), que el cambio jurisprudencial operado desde la STS 197/2006, de 28 de febrero, no supone vulneración del derecho fundamental alguno desde el momento en que la actora se ha servido del sistema de recursos jurisdiccionales legalmente establecido. Respecto de la aducida vulneración del principio de legalidad (art. 25.1 CE, en relación con el art. 9.3 CE), afirma que las resoluciones impugnadas ni modifican ni niegan los beneficios penitenciarios derivados de la redención de penas, sino que tan sólo establecen la forma correcta en que deben ser aplicados respetando al límite legalmente establecido de estancia en prisión de treinta años, de manera que no se vulnera el principio de legalidad ni el de seguridad jurídica. Respecto de la pretendida vulneración de los derechos a la tutela judicial efectiva sin indefensión y a la libertad (arts. 24.1 y 17.1 CE) en su vertiente de intangibilidad de resoluciones judiciales firmes, en relación con los principios de legalidad y seguridad jurídica, afirma, en primer lugar, que las resoluciones que aprueban liquidaciones de condena no constituyen resoluciones judiciales firmes; que no se está enervando el derecho de la actora a no permanecer en prisión más allá del límite máximo de treinta años ni la aplicación de los beneficios penitenciarios obtenidos. Respecto de la posible lesión del principio de legalidad (art. 25.1 CE, en relación con el art. 9.3 CE), sostiene que el cambio jurisprudencial operado no supone la creación de norma legal alguna, </w:t>
      </w:r>
      <w:r>
        <w:lastRenderedPageBreak/>
        <w:t>por lo que difícilmente puede verse afectado el principio de irretroactividad. Sobre la pretendida vulneración del derecho fundamental a la igualdad ante la ley (art. 14 CE), afirma que la interpretación realizada por la STS 197/2006 no puede tildarse de irrazonable, ni de arbitraria, ni de lógica, habiéndose realizado el cambio de orientación respecto de la STS 529/1994, de 8 de marzo, la cual no fue reiterada en la forma prevista por el artículo 1.6 del Código civil. Por último, en lo que hace a la invocada vulneración del vulneración del art. 25.2 CE, en relación con las “Reglas mínimas para tratamiento de los reclusos” elaboradas en el primer Congreso de las Naciones Unidas sobre prevención del delito y tratamiento del delincuente (Ginebra, 1955) y el Pacto internacional de derechos civiles y políticos, sostiene la Asociación Víctimas del Terrorismo que la reinserción no es el único fin de la pena, sino que éste debe ser armonizado con otros como el de protección social; además la finalidad de socializadora opera con carácter orientativo sobre la forma de ejecutar la condena, no sobre su extensión, definida esta legalmente.</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17 de enero de 2012, el Pleno, de conformidad con lo establecido en el art. 10.1 n) LOTC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acordó señalar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17 de agosto de 2009 dictado por la Sección Segunda de la Sala de lo Penal de la Audiencia Nacional en la ejecutoria núm. 77-1995, y contra la Sentencia 195/2010, de 24 de febrero de 2010, dictada por la Sala de lo Penal del Tribunal Supremo en el recurso núm. 11182-2009P, que ratifica el Auto antedicho, y ello conforme al criterio de la Sentencia núm. 197/2006, de 28 de febrero, de la Sala Segunda del Tribunal Supremo, según la cual, en caso de penas acumuladas la redención de penas por el trabajo obtenida ha de computarse sobre cada una de las penas impuestas y no sobre el límite máximo de cumplimiento que pudiera haberse fijado.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de las infracciones y sanciones en relación con la irretroactividad de las normas sancionadoras desfavorables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interesa la estimación del recurso presentado, por entender que la aplicación del nuevo criterio jurisprudencial fijado en la referida Sentencia 197/2006 del Tribunal Supremo, supone la vulneración de los derechos fundamentales consagrados en los arts. 17.1, 24.1 y 25.1 CE, por afectar a situaciones ya reconocidas por resoluciones firmes.</w:t>
      </w:r>
    </w:p>
    <w:p w:rsidR="00D06117" w:rsidRDefault="00D06117" w:rsidP="00D06117">
      <w:pPr>
        <w:pStyle w:val="TextoNormal"/>
      </w:pPr>
    </w:p>
    <w:p w:rsidR="00D06117" w:rsidRDefault="00D06117" w:rsidP="00D06117">
      <w:pPr>
        <w:pStyle w:val="TextoNormal"/>
      </w:pPr>
      <w:r>
        <w:lastRenderedPageBreak/>
        <w:t>La Asociación Víctimas del Terrorismo, por su parte, interesa la inadmisión del recurso de amparo presentado, al no haberse producido vulneración de derecho alguno de la recurrente.</w:t>
      </w:r>
    </w:p>
    <w:p w:rsidR="00D06117" w:rsidRDefault="00D06117" w:rsidP="00D06117">
      <w:pPr>
        <w:pStyle w:val="TextoNormal"/>
      </w:pPr>
    </w:p>
    <w:p w:rsidR="00D06117" w:rsidRDefault="00D06117" w:rsidP="00D06117">
      <w:pPr>
        <w:pStyle w:val="TextoNormal"/>
      </w:pPr>
      <w:r w:rsidRPr="00D06117">
        <w:rPr>
          <w:rStyle w:val="NumeroAFNegritaCaracter"/>
        </w:rPr>
        <w:t>2</w:t>
      </w:r>
      <w:r>
        <w:t>. En lo que se refiere a la primera queja formulada en la demanda, bajo la invocación de los derechos a la tutela judicial efectiva sin indefensión (art. 24.1 CE) y a un proceso con todas las garantías (art. 24.2 CE), lo que se viene a denunciar es la vulneración del derecho a un recurso efectivo y a la segunda instancia penal.</w:t>
      </w:r>
    </w:p>
    <w:p w:rsidR="00D06117" w:rsidRDefault="00D06117" w:rsidP="00D06117">
      <w:pPr>
        <w:pStyle w:val="TextoNormal"/>
      </w:pPr>
    </w:p>
    <w:p w:rsidR="00D06117" w:rsidRDefault="00D06117" w:rsidP="00D06117">
      <w:pPr>
        <w:pStyle w:val="TextoNormal"/>
      </w:pPr>
      <w:r>
        <w:t>Sin embargo, esta queja no puede prosperar puesto que el recurrente —en contra de lo que sostiene— sí tuvo acceso al recurso legalmente previsto (el recurso de casación), que no fue inadmitido sino resuelto y desestimado por Sentencia de 24 de febrero de 2010 —que también es objeto del presente recurso—. Tanto en esta última resolución, como en el Auto de 17 de agosto de 2009 del Tribunal sentenciador, se rechazaron expresamente los motivos aducidos por la actora en apoyo de su pretensión permitiendo así al penado conocer la ratio decidendi de la desestimación.</w:t>
      </w:r>
    </w:p>
    <w:p w:rsidR="00D06117" w:rsidRDefault="00D06117" w:rsidP="00D06117">
      <w:pPr>
        <w:pStyle w:val="TextoNormal"/>
      </w:pPr>
    </w:p>
    <w:p w:rsidR="00D06117" w:rsidRDefault="00D06117" w:rsidP="00D06117">
      <w:pPr>
        <w:pStyle w:val="TextoNormal"/>
      </w:pPr>
      <w:r w:rsidRPr="00D06117">
        <w:rPr>
          <w:rStyle w:val="NumeroAFNegritaCaracter"/>
        </w:rPr>
        <w:t>3</w:t>
      </w:r>
      <w:r>
        <w:t>. En los motivos segundo y quinto de su demanda la actora denuncia la supuesta vulneración del principio de legalidad penal desde la doble perspectiva de la ilegitimidad del nuevo criterio interpretativo y de la aplicación retroactiva de una ley desfavorable (art. 25.1 CE).</w:t>
      </w:r>
    </w:p>
    <w:p w:rsidR="00D06117" w:rsidRDefault="00D06117" w:rsidP="00D06117">
      <w:pPr>
        <w:pStyle w:val="TextoNormal"/>
      </w:pPr>
    </w:p>
    <w:p w:rsidR="00D06117" w:rsidRDefault="00D06117" w:rsidP="00D06117">
      <w:pPr>
        <w:pStyle w:val="TextoNormal"/>
      </w:pPr>
      <w:r>
        <w:t>Denuncia aquí la demandante, desde diversas perspectivas constitucionales, la cuestión de fondo, esto es, la aplicación a las condenas privativas de libertad de un nuevo criterio jurisprudencial, adoptado por el Tribunal Supremo en la interpretación de los arts. 70.2 y 100 del Código penal (CP) de 1973 y preceptos concordantes del reglamento penitenciario, en relación con el cómputo de la redención de penas por trabajo en penas acumuladas a las que se ha fijado, según prevé el Código penal, un límite máximo de cumplimiento de treinta años de prisión.</w:t>
      </w:r>
    </w:p>
    <w:p w:rsidR="00D06117" w:rsidRDefault="00D06117" w:rsidP="00D06117">
      <w:pPr>
        <w:pStyle w:val="TextoNormal"/>
      </w:pPr>
    </w:p>
    <w:p w:rsidR="00D06117" w:rsidRDefault="00D06117" w:rsidP="00D06117">
      <w:pPr>
        <w:pStyle w:val="TextoNormal"/>
      </w:pPr>
      <w:r>
        <w:t>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Las quejas no pueden ser compartidas, dado que el contenido de los derechos alegados no tiene el alcance expresado por el demandante.</w:t>
      </w:r>
    </w:p>
    <w:p w:rsidR="00D06117" w:rsidRDefault="00D06117" w:rsidP="00D06117">
      <w:pPr>
        <w:pStyle w:val="TextoNormal"/>
      </w:pPr>
    </w:p>
    <w:p w:rsidR="00D06117" w:rsidRDefault="00D06117" w:rsidP="00D06117">
      <w:pPr>
        <w:pStyle w:val="TextoNormal"/>
      </w:pPr>
      <w:r>
        <w:lastRenderedPageBreak/>
        <w:t>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 xml:space="preserve">Pues bien, ni las resoluciones recurridas, ni la doctrina del Tribunal Supremo invocada en ellas, aplican retroactivamente dicho precepto (que, por otra parte, no hace referencia a la redención de penas por trabajo, puesto que dicha posibilidad desaparece en el CP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el art.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w:t>
      </w:r>
      <w:r>
        <w:lastRenderedPageBreak/>
        <w:t>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el motivo sexto de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se limitan a aplicar la doctrina sentada por el Tribunal Supremo, máximo intérprete de la ley, justificando razonadamente el cambio de criterio sobre la forma del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A lo que hay que añadir que para hacer el juicio de igualdad es necesaria la aportación de un término de comparación adecuado, circunstancia esta que no concurre en la presente demanda de amparo en la que no se aporta resolución alguna dictada por el órgano sentenciador —Sección Segunda de la Sala de lo Penal de la Audiencia Nacional— en la que se resolviese de manera diferente.</w:t>
      </w:r>
    </w:p>
    <w:p w:rsidR="00D06117" w:rsidRDefault="00D06117" w:rsidP="00D06117">
      <w:pPr>
        <w:pStyle w:val="TextoNormal"/>
      </w:pPr>
    </w:p>
    <w:p w:rsidR="00D06117" w:rsidRDefault="00D06117" w:rsidP="00D06117">
      <w:pPr>
        <w:pStyle w:val="TextoNormal"/>
      </w:pPr>
      <w:r w:rsidRPr="00D06117">
        <w:rPr>
          <w:rStyle w:val="NumeroAFNegritaCaracter"/>
        </w:rPr>
        <w:t>4</w:t>
      </w:r>
      <w:r>
        <w:t>. En su tercer y cuarto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w:t>
      </w:r>
    </w:p>
    <w:p w:rsidR="00D06117" w:rsidRDefault="00D06117" w:rsidP="00D06117">
      <w:pPr>
        <w:pStyle w:val="TextoNormal"/>
      </w:pPr>
    </w:p>
    <w:p w:rsidR="00D06117" w:rsidRDefault="00D06117" w:rsidP="00D06117">
      <w:pPr>
        <w:pStyle w:val="TextoNormal"/>
      </w:pPr>
      <w:r>
        <w:t xml:space="preserve">La actora afirma en estos motivos la intangibilidad de diversas resoluciones. Primero, del Auto de 4 junio de 1996 de la Sección Segunda de la Sala de lo Penal de la Audiencia Nacional, que declaró no haber lugar a la revisión de la Sentencia núm. 38/1995, de 9 de junio, dictada en el sumario núm. 14-1993 del Juzgado Central de Instrucción núm. 5, dictada en la referida causa según el nuevo Código penal de 1995. Respecto de esta resolución judicial la actora sostiene que es firme e intangible y que se hizo teniendo en consideración una liquidación de condena realizada por el centro penitenciario de Almería el 16 de abril de 1996 la cual tomó como referencia, de conformidad con el art. 70.2 CP 1973, la condena de treinta años y respecto de ella aplica las redenciones obtenidas hasta el momento y las que pudiera adquirir en el futuro. En segundo lugar, también otorga el atributo de la intangibilidad de las resoluciones judiciales firmes al Auto de 17 de julio de 2000 de Sección Segunda de la Sala de lo Penal de la Audiencia Nacional, que reconoció en su fundamento jurídico, de conformidad con lo dispuesto en el art. 70.2 CP 1973, la procedencia de refundir las condenas impuestas a la actora, acordándose en su parte expositiva fijar en un máximo de treinta años el periodo de privación de libertad a imponer a la misma. En tercer lugar, también se invoca como intangible la liquidación de condena realizada el 22 de febrero de </w:t>
      </w:r>
      <w:r>
        <w:lastRenderedPageBreak/>
        <w:t>2008 por el centro penitenciario de Albolote, fijándose como fecha de cumplimiento definitivo la de 27 de agosto de 2009.</w:t>
      </w:r>
    </w:p>
    <w:p w:rsidR="00D06117" w:rsidRDefault="00D06117" w:rsidP="00D06117">
      <w:pPr>
        <w:pStyle w:val="TextoNormal"/>
      </w:pPr>
    </w:p>
    <w:p w:rsidR="00D06117" w:rsidRDefault="00D06117" w:rsidP="00D06117">
      <w:pPr>
        <w:pStyle w:val="TextoNormal"/>
      </w:pPr>
      <w:r>
        <w:t>El Ministerio Fiscal comparte también este razonamiento del demandante por considerar que no es de recibo que, establecidos unos criterios de interpretación normativa para fijar la refundición de condena y establecidos ellos en resolución judicial, pudieran variarse en virtud de una posterior resolución que interpreta de otra manera las normas atinentes, como lo hacen las resoluciones judiciales ahora recurridas en amparo. La resolución judicial firme en la que considera el Fiscal que dichos criterios quedaron establecidos de forma intangible sería el referido Auto de 17 de julio de 2000 de la Sección Segunda de la Sala de lo Penal de la Audiencia Nacional, que reconoció en su fundamento jurídico, de conformidad con lo dispuesto en el art. 70.2 CP 1973, la procedencia de refundir las condenas impuestas a la actora, acordándose en su parte expositiva fijar en un máximo de treinta años el periodo de privación de libertad a imponer a la misma.</w:t>
      </w:r>
    </w:p>
    <w:p w:rsidR="00D06117" w:rsidRDefault="00D06117" w:rsidP="00D06117">
      <w:pPr>
        <w:pStyle w:val="TextoNormal"/>
      </w:pPr>
    </w:p>
    <w:p w:rsidR="00D06117" w:rsidRDefault="00D06117" w:rsidP="00D06117">
      <w:pPr>
        <w:pStyle w:val="TextoNormal"/>
      </w:pPr>
      <w:r>
        <w:t>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w:t>
      </w:r>
      <w:r>
        <w:lastRenderedPageBreak/>
        <w:t>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5</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La señora Uzkudun Etxenagusia fue condenada en mayo de 1992, febrero de 1994 y junio de 1995 a varias penas de prisión y arresto mayor, tras ser considerada autora de diversos delitos que se relacionan en los antecedentes de esta sentencia.</w:t>
      </w:r>
    </w:p>
    <w:p w:rsidR="00D06117" w:rsidRDefault="00D06117" w:rsidP="00D06117">
      <w:pPr>
        <w:pStyle w:val="TextoNormal"/>
      </w:pPr>
    </w:p>
    <w:p w:rsidR="00D06117" w:rsidRDefault="00D06117" w:rsidP="00D06117">
      <w:pPr>
        <w:pStyle w:val="TextoNormal"/>
      </w:pPr>
      <w:r>
        <w:t xml:space="preserve">b) Tras la entrada en vigor del Código penal de 1995, a fin de determinar si su aplicación le era más favorable (art. 2.2), el Tribunal sentenciador recabó del centro penitenciario de </w:t>
      </w:r>
      <w:r>
        <w:lastRenderedPageBreak/>
        <w:t>Almería donde cumplía condena la certificación prevista en su disposición transitoria tercera. En ella se hace referencia a los beneficios penitenciarios que el penado había obtenido hasta ese momento y las fechas previstas de cumplimiento con cómputo futuro de tales beneficios penitenciarios. Contrastados tales datos con las penas previstas para los hechos en el nuevo Código penal, el Tribunal acordó, por Auto de 4 de junio de 1996, que no procedía revisar las penas impuestas al demandante con el siguiente razonamiento: “Debe entenderse, como consecuencia de la desaparición en el nuevo Código de la redención de penas por el trabajo y por la necesidad de aplicación de las normas completas de uno u otro Código (aplicación no fragmentaria de las normas prevista en la DT 2ª) que, tampoco procederá la revisión cuando la antigua pena por aplicación de los beneficios penitenciarios del artículo 100 del C.P. vigente y normas complementarias equivalga en términos de cumplimiento real a una pena que también sea imponible, es decir que se encuentre dentro del ámbito punitivo que establezca la nueva norma, sin que en este caso tampoco proceda hacer una individualización de la pena a tenor del nuevo Código, lo que sólo se producirá cuando efectivamente, después de un análisis global previsto en la DT 5ª haya de revisarse la pena. SEGUNDO.- En el caso que nos ocupa, precisamente del análisis global a que se hace referencia en el anterior, resulta que la pena impuesta en la presente causa no resulta revisable según el nuevo Código Penal”, razón ésta por la que acordó no haber lugar a la revisión dado que la pena impuesta conforme al Código penal de 1973 era también imponible conforme al nuevo Código penal.</w:t>
      </w:r>
    </w:p>
    <w:p w:rsidR="00D06117" w:rsidRDefault="00D06117" w:rsidP="00D06117">
      <w:pPr>
        <w:pStyle w:val="TextoNormal"/>
      </w:pPr>
    </w:p>
    <w:p w:rsidR="00D06117" w:rsidRDefault="00D06117" w:rsidP="00D06117">
      <w:pPr>
        <w:pStyle w:val="TextoNormal"/>
      </w:pPr>
      <w:r>
        <w:t>c) Puesto que había sido condenada en diversos procesos por hechos que pudieron ser objeto de uno sólo, el Tribunal sentenciador, por Auto de 17 de julio de 2000, procedió a fijar en treinta años el límite máximo de cumplimiento de las condenas, de conformidad con lo dispuesto en el art. 988 LECrim y el art. 70, regla segunda, CP 1973.</w:t>
      </w:r>
    </w:p>
    <w:p w:rsidR="00D06117" w:rsidRDefault="00D06117" w:rsidP="00D06117">
      <w:pPr>
        <w:pStyle w:val="TextoNormal"/>
      </w:pPr>
    </w:p>
    <w:p w:rsidR="00D06117" w:rsidRDefault="00D06117" w:rsidP="00D06117">
      <w:pPr>
        <w:pStyle w:val="TextoNormal"/>
      </w:pPr>
      <w:r>
        <w:t>De acuerdo con esta decisión, el centro penitenciario de Albolote practicó el 22 de febrero de 2008 la liquidación provisional de las condenas impuestas a la demandante, según la cual, una vez descontado el tiempo que permaneció en prisión preventiva por dichas causas acumuladas, el demandante extinguiría sus condenas el día 27 de agosto de 2009.</w:t>
      </w:r>
    </w:p>
    <w:p w:rsidR="00D06117" w:rsidRDefault="00D06117" w:rsidP="00D06117">
      <w:pPr>
        <w:pStyle w:val="TextoNormal"/>
      </w:pPr>
    </w:p>
    <w:p w:rsidR="00D06117" w:rsidRDefault="00D06117" w:rsidP="00D06117">
      <w:pPr>
        <w:pStyle w:val="TextoNormal"/>
      </w:pPr>
      <w:r>
        <w:t>d) Sin embargo, finalmente, mediante Auto de 17 de agosto de 2009, dictado en la ejecutoria núm. 77-1995, sumario núm. 14-1993, procedente del Juzgado Central de Instrucción núm. 5, la Sección Segunda de la Sala Penal de la Audiencia Nacional fijó como fecha de licenciamiento el 5 de febrero de 2021, en aplicación de la doctrina emanada de la referida STS núm. 197/2006, de 28 febrero.</w:t>
      </w:r>
    </w:p>
    <w:p w:rsidR="00D06117" w:rsidRDefault="00D06117" w:rsidP="00D06117">
      <w:pPr>
        <w:pStyle w:val="TextoNormal"/>
      </w:pPr>
    </w:p>
    <w:p w:rsidR="00D06117" w:rsidRDefault="00D06117" w:rsidP="00D06117">
      <w:pPr>
        <w:pStyle w:val="TextoNormal"/>
      </w:pPr>
      <w:r w:rsidRPr="00D06117">
        <w:rPr>
          <w:rStyle w:val="NumeroAFNegritaCaracter"/>
        </w:rPr>
        <w:t>6</w:t>
      </w:r>
      <w:r>
        <w:t>. De ninguna de las resoluciones judiciales a las que se refiere el recurrente y el Ministerio Fiscal puede derivarse el efecto de intangibilidad respecto al criterio de cómputo de las redenciones pretendido. Ninguna de ellas realiza pronunciamiento alguno sobre esta cuestión en el fallo, ya que su objeto era otro, ni incorporan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Ni en los fallos de las referidas resoluciones se realiza pronunciamiento alguno acerca del criterio de cómputo de las redenciones (porque no era éste su objeto), ni de su fundamentación jurídica puede concluirse que la decisión de no revisar las condenas y de fijar un límite máximo de treinta años de privación de libertad se sustentaran de manera clara en un determinado criterio de cómputo de las redenciones que resulte determinante o decisivo para </w:t>
      </w:r>
      <w:r>
        <w:lastRenderedPageBreak/>
        <w:t>considerar o no más favorable el Código penal de 1973. Así, ni el Auto de 4 de junio de 1996, que acordó no haber lugar a la revisión de la Sentencia según el nuevo Código penal de 1995, ni el Auto de 17 de julio de 2000 que acordó fijar en un máximo de treinta años el período de privación de libertad a imponer a la actora, aprueban estrictamente liquidación de condena alguna, ni en ellos se decide de manera incontrovertible acerca del criterio de cómputo de las redenciones, ni tampoco se incorpora dicho criterio como ratio decidendi, por lo que no puede afirmarse que de estas resoluciones se derive una situación consolidada e intangible sobre esta cuestión. Siendo así, difícilmente podrá afirmarse que las resoluciones recurridas ignoren, o pongan en cuestión la firmeza e intangibilidad de lo decidido en los Autos señalados. El posterior Auto de 17 de agosto de 2009 que fijó la fecha de licenciamiento definitivo no dejó, pues, sin efecto dichas resoluciones sino que computó las redenciones sucesivamente sobre las penas impuestas a efectos de liquidación de condena.</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las causas expresadas, la vulneración del derecho a la libertad personal (art. 17.1 CE) invocada en el motivo séptimo del presente recurso.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7</w:t>
      </w:r>
      <w:r>
        <w:t>. La misma suerte desestimatoria debe seguir la queja plasmada en el último motivo de amparo de la demanda según el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w:t>
      </w:r>
      <w:r>
        <w:lastRenderedPageBreak/>
        <w:t>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recurso de amparo solicitado por doña María Josefa Uzkudun Etxenagusía.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Eugeni Gay Montalvo respecto de la Sentencia dictada en el recurso de amparo núm. 4169-2010 avocado al Pleno.</w:t>
      </w:r>
    </w:p>
    <w:p w:rsidR="00D06117" w:rsidRDefault="00D06117" w:rsidP="00D06117">
      <w:pPr>
        <w:pStyle w:val="TextoNormalNegritaCentrado"/>
        <w:keepNext/>
      </w:pPr>
    </w:p>
    <w:p w:rsidR="00D06117" w:rsidRDefault="00D06117" w:rsidP="00D06117">
      <w:pPr>
        <w:pStyle w:val="TextoNormal"/>
      </w:pPr>
      <w:r>
        <w:t>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0" w:name="SENTENCIA_2012_67"/>
      <w:r>
        <w:lastRenderedPageBreak/>
        <w:t>SENTENCIA 67/2012, de 29 de marzo de 2012</w:t>
      </w:r>
    </w:p>
    <w:bookmarkEnd w:id="7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ECLI:ES:TC:2012:67</w:t>
      </w:r>
    </w:p>
    <w:p w:rsidR="00D06117" w:rsidRDefault="00D06117" w:rsidP="00D06117">
      <w:pPr>
        <w:pStyle w:val="SntesisDescriptiva"/>
      </w:pPr>
    </w:p>
    <w:p w:rsidR="00D06117" w:rsidRDefault="00D06117" w:rsidP="00D06117">
      <w:pPr>
        <w:pStyle w:val="SntesisDescriptiva"/>
      </w:pPr>
      <w:r>
        <w:t>Recurso de amparo 4514-2010. Promovido por don Juan José Legorburu Guederiagha con respecto a los Autos de la Sala de lo Penal del Tribunal Supremo y de la Sección Segunda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Votos particulares.</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o del principio de legalidad en relación con la prohibición de retroactividad de las normas penales perjudiciales para el reo,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7].</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6].</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 xml:space="preserve">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w:t>
      </w:r>
      <w:r>
        <w:lastRenderedPageBreak/>
        <w:t>resoluciones recurridas, ni la doctrina del Tribunal Supremo invocada en ellas aplican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8.</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4].</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4].</w:t>
      </w:r>
    </w:p>
    <w:p w:rsidR="00D06117" w:rsidRDefault="00D06117" w:rsidP="00D06117">
      <w:pPr>
        <w:pStyle w:val="Extracto"/>
      </w:pPr>
    </w:p>
    <w:p w:rsidR="00D06117" w:rsidRDefault="00D06117" w:rsidP="00D06117">
      <w:pPr>
        <w:pStyle w:val="Extracto"/>
      </w:pPr>
      <w:r>
        <w:t>10.</w:t>
      </w:r>
      <w:r>
        <w:tab/>
        <w:t>El principio de seguridad jurídica consagrado en el art. 9.3 CE y el derecho a la tutela judicial efectiva –</w:t>
      </w:r>
      <w:r w:rsidRPr="00D06117">
        <w:rPr>
          <w:i/>
        </w:rPr>
        <w:t>ex</w:t>
      </w:r>
      <w:r>
        <w:t xml:space="preserve"> art. 24.1 CE– impiden a los Jueces y Tribunales, fuera de los casos expresamente previstos en la ley, revisar el juicio efectuado en un caso concreto, incluso si entendieran con posterioridad que la decisión no se ajusta a la legalidad (SSTC 219/2000, 62/2010) [FJ 5].</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5].</w:t>
      </w:r>
    </w:p>
    <w:p w:rsidR="00D06117" w:rsidRDefault="00D06117" w:rsidP="00D06117">
      <w:pPr>
        <w:pStyle w:val="Extracto"/>
      </w:pPr>
    </w:p>
    <w:p w:rsidR="00D06117" w:rsidRDefault="00D06117" w:rsidP="00D06117">
      <w:pPr>
        <w:pStyle w:val="Extracto"/>
      </w:pPr>
      <w:r>
        <w:t>13.</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[FFJJ 4, 8].</w:t>
      </w:r>
    </w:p>
    <w:p w:rsidR="00D06117" w:rsidRDefault="00D06117" w:rsidP="00D06117">
      <w:pPr>
        <w:pStyle w:val="Extracto"/>
      </w:pPr>
    </w:p>
    <w:p w:rsidR="00D06117" w:rsidRDefault="00D06117" w:rsidP="00D06117">
      <w:pPr>
        <w:pStyle w:val="Extracto"/>
      </w:pPr>
      <w:r>
        <w:t>14.</w:t>
      </w:r>
      <w:r>
        <w:tab/>
        <w:t>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y su evolución muestren que se hallan en condiciones de rehacer su vida en libertad [FJ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promovido por don Juan José Legorburu Guederiagha representado por la Procuradora de los Tribunales, doña Ana María Aparicio Carol, y asistido por el Letrado don Alfonso Zenon Castro, contra el Auto de 18 de marzo de 2010 de la Sala Segunda del Tribunal Supremo que desestima el recurso de casación planteado contra el Auto de 30 de marzo de 2009 de la Sección Segunda de la Sala de lo Penal de la Audiencia Nacional (ejecutoria 28-2004, sumario 2-2001) por el que se acordaba no haber lugar al licenciamiento definitivo para el día 2 de abril de 2009, ordenando que se practique una nueva liquidación de condena según la doctrina establecida en la Sentencia del Tribunal Supremo 197/2006, de 28 de febrero. Ha intervenido el Ministerio Fiscal. Ha sido Ponente el Magistrado don Luis Ignacio Ortega Álvarez,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1 de junio de 2010 el demandante interpuso recurso de amparo contra las resoluciones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se fundamenta la demanda son, sucintamente expuestos, los siguientes:</w:t>
      </w:r>
    </w:p>
    <w:p w:rsidR="00D06117" w:rsidRDefault="00D06117" w:rsidP="00D06117">
      <w:pPr>
        <w:pStyle w:val="TextoNormal"/>
      </w:pPr>
    </w:p>
    <w:p w:rsidR="00D06117" w:rsidRDefault="00D06117" w:rsidP="00D06117">
      <w:pPr>
        <w:pStyle w:val="TextoNormal"/>
      </w:pPr>
      <w:r>
        <w:t>El recurrente fue condenado a varias penas en diversos procedimientos cuya suma superaba los treinta años de condena. Conforme al art. 70.2 del Código penal (CP) de 1973 se impuso el límite de 30 años de cumplimiento; es decir, 10.950 días mediante Autos de 29 de noviembre de 2001 y 10 de mayo de 2005.</w:t>
      </w:r>
    </w:p>
    <w:p w:rsidR="00D06117" w:rsidRDefault="00D06117" w:rsidP="00D06117">
      <w:pPr>
        <w:pStyle w:val="TextoNormal"/>
      </w:pPr>
    </w:p>
    <w:p w:rsidR="00D06117" w:rsidRDefault="00D06117" w:rsidP="00D06117">
      <w:pPr>
        <w:pStyle w:val="TextoNormal"/>
      </w:pPr>
      <w:r>
        <w:t>Constan en las actuaciones las siguientes Sentencias, todas ellas dictadas por la Sala de lo Penal de la Audiencia Nacional, por las que se condena al recurrente a las penas que se señalan:</w:t>
      </w:r>
    </w:p>
    <w:p w:rsidR="00D06117" w:rsidRDefault="00D06117" w:rsidP="00D06117">
      <w:pPr>
        <w:pStyle w:val="TextoNormal"/>
      </w:pPr>
    </w:p>
    <w:p w:rsidR="00D06117" w:rsidRDefault="00D06117" w:rsidP="00D06117">
      <w:pPr>
        <w:pStyle w:val="TextoNormal"/>
      </w:pPr>
      <w:r>
        <w:t>Sentencia de 16 de febrero de 1987 (sumario 13-1986), por un delito de asesinato en grado de frustración a la pena de veinte años y un día de reclusión mayor.</w:t>
      </w:r>
    </w:p>
    <w:p w:rsidR="00D06117" w:rsidRDefault="00D06117" w:rsidP="00D06117">
      <w:pPr>
        <w:pStyle w:val="TextoNormal"/>
      </w:pPr>
    </w:p>
    <w:p w:rsidR="00D06117" w:rsidRDefault="00D06117" w:rsidP="00D06117">
      <w:pPr>
        <w:pStyle w:val="TextoNormal"/>
      </w:pPr>
      <w:r>
        <w:t>Sentencia de 13 de marzo de 1987 (sumario 50-1986) por un delito de estragos a dos años de prisión menor.</w:t>
      </w:r>
    </w:p>
    <w:p w:rsidR="00D06117" w:rsidRDefault="00D06117" w:rsidP="00D06117">
      <w:pPr>
        <w:pStyle w:val="TextoNormal"/>
      </w:pPr>
    </w:p>
    <w:p w:rsidR="00D06117" w:rsidRDefault="00D06117" w:rsidP="00D06117">
      <w:pPr>
        <w:pStyle w:val="TextoNormal"/>
      </w:pPr>
      <w:r>
        <w:t>Sentencia de 21 de mayo de 1987 (sumario 64-1986) por un delito de estragos a tres años de prisión menor.</w:t>
      </w:r>
    </w:p>
    <w:p w:rsidR="00D06117" w:rsidRDefault="00D06117" w:rsidP="00D06117">
      <w:pPr>
        <w:pStyle w:val="TextoNormal"/>
      </w:pPr>
    </w:p>
    <w:p w:rsidR="00D06117" w:rsidRDefault="00D06117" w:rsidP="00D06117">
      <w:pPr>
        <w:pStyle w:val="TextoNormal"/>
      </w:pPr>
      <w:r>
        <w:t>Sentencia de 7 de julio de 1987 (sumario 68-1985) por un delito de atentado a agente de la autoridad con resultado de lesiones graves a la pena de veintinueve años de reclusión mayor.</w:t>
      </w:r>
    </w:p>
    <w:p w:rsidR="00D06117" w:rsidRDefault="00D06117" w:rsidP="00D06117">
      <w:pPr>
        <w:pStyle w:val="TextoNormal"/>
      </w:pPr>
    </w:p>
    <w:p w:rsidR="00D06117" w:rsidRDefault="00D06117" w:rsidP="00D06117">
      <w:pPr>
        <w:pStyle w:val="TextoNormal"/>
      </w:pPr>
      <w:r>
        <w:t>Sentencia de 22 de septiembre de 1987 (sumario 94-1979), por un delito de asesinato a veintisiete años, ocho meses y un día de reclusión mayor y a cuatro años, dos meses y un día de prisión menor por un delito de utilización ilegítima de motor ajeno.</w:t>
      </w:r>
    </w:p>
    <w:p w:rsidR="00D06117" w:rsidRDefault="00D06117" w:rsidP="00D06117">
      <w:pPr>
        <w:pStyle w:val="TextoNormal"/>
      </w:pPr>
    </w:p>
    <w:p w:rsidR="00D06117" w:rsidRDefault="00D06117" w:rsidP="00D06117">
      <w:pPr>
        <w:pStyle w:val="TextoNormal"/>
      </w:pPr>
      <w:r>
        <w:t>Sentencia de 5 de octubre de 1987 (sumario 23-1985) por un delito de atentado con resultado de muerte a la pena de treinta años de reclusión mayor; por un delito de asesinato a la pena de treinta años de reclusión mayor; por tres delitos de asesinato en grado de frustración a la pena de veinticinco años de reclusión mayor por cada uno de ellos; por un delito de lesiones menos graves a la pena de seis meses de arresto mayor, y por un delito de estragos a la pena de ocho años de prisión mayor.</w:t>
      </w:r>
    </w:p>
    <w:p w:rsidR="00D06117" w:rsidRDefault="00D06117" w:rsidP="00D06117">
      <w:pPr>
        <w:pStyle w:val="TextoNormal"/>
      </w:pPr>
    </w:p>
    <w:p w:rsidR="00D06117" w:rsidRDefault="00D06117" w:rsidP="00D06117">
      <w:pPr>
        <w:pStyle w:val="TextoNormal"/>
      </w:pPr>
      <w:r>
        <w:t xml:space="preserve">Sentencia de 11 de marzo de 1988 (sumario 70-1981) por un delito de asesinato en grado de consumación a la pena de veintiséis años de reclusión mayor; por un delito de asesinado en grado de frustración a la pena de doce años y un día de reclusión menor; por dos delitos de detención ilegal a las penas de dos años de prisión menor; por dos delitos de utilización </w:t>
      </w:r>
      <w:r>
        <w:lastRenderedPageBreak/>
        <w:t>ilegitima de vehículos de motor a dos penas de cuatro años, dos meses y un día de prisión menor.</w:t>
      </w:r>
    </w:p>
    <w:p w:rsidR="00D06117" w:rsidRDefault="00D06117" w:rsidP="00D06117">
      <w:pPr>
        <w:pStyle w:val="TextoNormal"/>
      </w:pPr>
    </w:p>
    <w:p w:rsidR="00D06117" w:rsidRDefault="00D06117" w:rsidP="00D06117">
      <w:pPr>
        <w:pStyle w:val="TextoNormal"/>
      </w:pPr>
      <w:r>
        <w:t>Sentencia de 6 de mayo de 1988 (sumario 87-1985) por un delito de atentado con resultado de lesiones a una pena de veinticuatro años de reclusión mayor; por seis delitos de asesinato frustrado a una pena, por cada uno de ellos, de veintiún años de reclusión mayor; por un delito de estragos a la pena de siete años de prisión mayor.</w:t>
      </w:r>
    </w:p>
    <w:p w:rsidR="00D06117" w:rsidRDefault="00D06117" w:rsidP="00D06117">
      <w:pPr>
        <w:pStyle w:val="TextoNormal"/>
      </w:pPr>
    </w:p>
    <w:p w:rsidR="00D06117" w:rsidRDefault="00D06117" w:rsidP="00D06117">
      <w:pPr>
        <w:pStyle w:val="TextoNormal"/>
      </w:pPr>
      <w:r>
        <w:t>Sentencia de 17 de mayo de 1988 (sumario 82-1985) por un delito de atentado a treinta años de reclusión mayor.</w:t>
      </w:r>
    </w:p>
    <w:p w:rsidR="00D06117" w:rsidRDefault="00D06117" w:rsidP="00D06117">
      <w:pPr>
        <w:pStyle w:val="TextoNormal"/>
      </w:pPr>
    </w:p>
    <w:p w:rsidR="00D06117" w:rsidRDefault="00D06117" w:rsidP="00D06117">
      <w:pPr>
        <w:pStyle w:val="TextoNormal"/>
      </w:pPr>
      <w:r>
        <w:t>Sentencia de 27 de junio de 1988 (sumario 71-1984) por un delito de asesinato a veintinueve años de reclusión mayor.</w:t>
      </w:r>
    </w:p>
    <w:p w:rsidR="00D06117" w:rsidRDefault="00D06117" w:rsidP="00D06117">
      <w:pPr>
        <w:pStyle w:val="TextoNormal"/>
      </w:pPr>
    </w:p>
    <w:p w:rsidR="00D06117" w:rsidRDefault="00D06117" w:rsidP="00D06117">
      <w:pPr>
        <w:pStyle w:val="TextoNormal"/>
      </w:pPr>
      <w:r>
        <w:t>Sentencia de 5 de octubre de 1988 (sumario 83-1985) por un delito de asesinato frustrado a diecinueve años de reclusión menor.</w:t>
      </w:r>
    </w:p>
    <w:p w:rsidR="00D06117" w:rsidRDefault="00D06117" w:rsidP="00D06117">
      <w:pPr>
        <w:pStyle w:val="TextoNormal"/>
      </w:pPr>
    </w:p>
    <w:p w:rsidR="00D06117" w:rsidRDefault="00D06117" w:rsidP="00D06117">
      <w:pPr>
        <w:pStyle w:val="TextoNormal"/>
      </w:pPr>
      <w:r>
        <w:t>Sentencia de 30 de junio de 2004 (sumario 2-2001) por un delito de atentado con resultado de muerte a una pena de treinta años de reclusión mayor; por ocho delitos de asesinato frustrado a ocho penas de veintitrés años de reclusión mayor por cada uno de ellos; por un delito de depósito de armas de guerra a una pena de diez años de prisión mayor; por un delito de robo de vehículo con toma de rehenes a una pena de ocho años de prisión mayor.</w:t>
      </w:r>
    </w:p>
    <w:p w:rsidR="00D06117" w:rsidRDefault="00D06117" w:rsidP="00D06117">
      <w:pPr>
        <w:pStyle w:val="TextoNormal"/>
      </w:pPr>
    </w:p>
    <w:p w:rsidR="00D06117" w:rsidRDefault="00D06117" w:rsidP="00D06117">
      <w:pPr>
        <w:pStyle w:val="TextoNormal"/>
      </w:pPr>
      <w:r>
        <w:t>Con fecha 30 de marzo de 2009 la Sección Segunda de la Sala de lo Penal de la Audiencia Nacional dicta Auto en el que se acordaba no haber lugar al licenciamiento definitivo para el día 2 de abril de 2009 que proponía el centro penitenciario, ordenando se practique una nueva liquidación de condena según la denominada “doctrina Parot”, expresada en la STS 197/2006 de 28 de febrero. Interpuesto recurso de casación contra dicha resolución, interesando que se revocara la misma y solicitando la aprobación del licenciamiento del señor Legorburu para el 2 de abril de 2009, tal y como proponía el centro penitenciario, el Tribunal Supremo resuelve mediante Auto de 18 de marzo de 2010, inadmitiendo el recurso de casación y manteniendo la resolución de 30 de marzo de 2009.</w:t>
      </w:r>
    </w:p>
    <w:p w:rsidR="00D06117" w:rsidRDefault="00D06117" w:rsidP="00D06117">
      <w:pPr>
        <w:pStyle w:val="TextoNormal"/>
      </w:pPr>
    </w:p>
    <w:p w:rsidR="00D06117" w:rsidRDefault="00D06117" w:rsidP="00D06117">
      <w:pPr>
        <w:pStyle w:val="TextoNormal"/>
      </w:pPr>
      <w:r>
        <w:t>Dichos Autos señalan en sus fundamentos jurídicos que la aprobación de la fecha de licenciamiento es el resultado de la aplicación de la STS 197/2006, en la que se establece que, en lo referente a los supuestos de acumulación de condenas, la redención no puede aplicarse sobre el límite de treinta años de las condenas acumuladas, sino sobre todas y cada una de las condenas impuestas, empezando por la más grave, lo que hace que el licenciamiento se calcule teniendo en cuenta estas circunstancias.</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alega los siguientes motivos:</w:t>
      </w:r>
    </w:p>
    <w:p w:rsidR="00D06117" w:rsidRDefault="00D06117" w:rsidP="00D06117">
      <w:pPr>
        <w:pStyle w:val="TextoNormal"/>
      </w:pPr>
    </w:p>
    <w:p w:rsidR="00D06117" w:rsidRDefault="00D06117" w:rsidP="00D06117">
      <w:pPr>
        <w:pStyle w:val="TextoNormal"/>
      </w:pPr>
      <w:r>
        <w:t xml:space="preserve">En primer término se aduce la vulneración del principio de legalidad (art. 25 CE, en relación con el art. 9.1 CE), por la interpretación realizada por la Audiencia Nacional de los arts. 70.2 y 100 CP 1973, así como de los arts. 66 del reglamento de prisiones de 1956 y del art. 202 del reglamento penitenciario actual. La interpretación llevada a cabo por el Tribunal Supremo, y aplicada en el presente caso, es ajena al tenor literal de dichas normas, a las </w:t>
      </w:r>
      <w:r>
        <w:lastRenderedPageBreak/>
        <w:t>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En segundo lugar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con la interpretación mantenida por el Tribunal Supremo hasta la STS 197/2006, de 28 de febrero, había acumulado redenciones ordinarias y extraordinarias, que junto con los días de cumplimiento efectivo hubieran tenido que suponer en fecha de 11 de abril de 2008 su licenciamiento definitivo por cumplimiento de condena. El trabajo y los estudios en la prisión se realizaron en la confianza de que las redenciones así obtenidas implicarían un acortamiento del tiempo de permanencia en prisión, como en el caso de la STC 76/2004, de 26 de abril, habiéndose generado una expectativa de dicho acortamiento sobre la base de la actuación de los órganos judiciales hasta el momento. Citando la STC 174/1989, de 30 de octubre,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En tercer término alega la vulneración del derecho a la intangibilidad de las resoluciones judiciales firmes, art. 24 CE, en relación con los principios de legalidad y seguridad jurídica. En el procedimiento referido al señor Legorburu se acordó acumular las condenas impuestas al penado fijándose en una duración de treinta años de privación de libertad el tiempo total de cumplimiento de la condena. Consecuencia de dicho Auto se dictó resolución por la que aprobó la liquidación de condena correspondiente a mi representado considerando la existencia de una sola condena de treinta años de privación de libertad susceptible además de reducción por medio del beneficio de la redención de pena por el trabajo, ya que dicha condena se ajusta a las reglas del derogado Código penal, texto refundido de 1973, que, como es bien sabido, contemplaba dicho beneficio, como modo de reducción de la condena.</w:t>
      </w:r>
    </w:p>
    <w:p w:rsidR="00D06117" w:rsidRDefault="00D06117" w:rsidP="00D06117">
      <w:pPr>
        <w:pStyle w:val="TextoNormal"/>
      </w:pPr>
    </w:p>
    <w:p w:rsidR="00D06117" w:rsidRDefault="00D06117" w:rsidP="00D06117">
      <w:pPr>
        <w:pStyle w:val="TextoNormal"/>
      </w:pPr>
      <w:r>
        <w:lastRenderedPageBreak/>
        <w:t>Posteriormente, se dictó Auto por el que se acordaba no haber lugar a la revisión de la condena impuesta a mi representado toda vez que, según se pone de manifiesto en el propio Auto la pena impuesta con arreglo al Código penal de 1973 es más beneficiosa que la prevista por el texto legal de 1995, lo que ha de deberse al cómputo de las redenciones de pena por trabajo previstas por el artículo 100 de aquel texto refundido de 1973, ya que en ambos casos estaríamos ante una condena refundida en treinta años de prisión.</w:t>
      </w:r>
    </w:p>
    <w:p w:rsidR="00D06117" w:rsidRDefault="00D06117" w:rsidP="00D06117">
      <w:pPr>
        <w:pStyle w:val="TextoNormal"/>
      </w:pPr>
    </w:p>
    <w:p w:rsidR="00D06117" w:rsidRDefault="00D06117" w:rsidP="00D06117">
      <w:pPr>
        <w:pStyle w:val="TextoNormal"/>
      </w:pPr>
      <w:r>
        <w:t>Consecuencia de esta situación, en los diversos centros penitenciarios en los que ha estado ingresado el demandante se han ido realizando y notificando al penado distintas hojas de cálculo en las que la fecha de liquidación de condena se calculaba siempre aplicando las redenciones obtenidas por el señor Legorburu de la pena única y total de treinta años a la que habían sido refundidas o acumuladas todas las inicialmente impuestas. Así las cosas, no sólo nos encontramos con una expectativa de reducción de la condena y consecuentemente de libertad creada en el recurrente, por la aplicación de las redenciones de pena por el trabajo a una única pena de treinta años de prisión que materialmente se ha venido produciendo durante años, sino que nos encontramos con una resolución firme, nunca cuestionada y nunca modificada, por la que se acumulan todas las condenas impuestas al solicitante de amparo en una única, de donde se deriva la correspondiente liquidación de condena y cuya consecuencia es la aplicación a la misma de tal institución de la redención de penas por el trabajo. Las resoluciones judiciales ahora impugnadas atrasan gravemente la fecha de licenciamiento definitivo del demandante y modifican los criterios fijados en los Autos de acumulación de condena y de fijación del Código penal más favorable, que fijaban los criterios para la ejecución de la condena, considerada una determinada interpretación de la normativa en juego como consecuencia de la concurrencia de la nueva y posterior interpretación sobre refundición de penas efectuada por la STS 197/2006 de 28 de febrero, de donde resulta una vulneración del derecho a la intangibilidad de las resoluciones judiciales firmes, incardinado en el derecho fundamental a la tutela judicial efectiva y que resulta también de los principios de legalidad y seguridad jurídica.</w:t>
      </w:r>
    </w:p>
    <w:p w:rsidR="00D06117" w:rsidRDefault="00D06117" w:rsidP="00D06117">
      <w:pPr>
        <w:pStyle w:val="TextoNormal"/>
      </w:pPr>
    </w:p>
    <w:p w:rsidR="00D06117" w:rsidRDefault="00D06117" w:rsidP="00D06117">
      <w:pPr>
        <w:pStyle w:val="TextoNormal"/>
      </w:pPr>
      <w:r>
        <w:t xml:space="preserve">Como cuarto motivo de amparo se aduce la lesión del principio de legalidad (art. 25.1 CE, en relación con el art. 9.3 CE, así como el art. 7 Convenio europeo para la protección de los derechos humanos y de las libertades fundamentales (CEDH) y el art. 15 Pacto internacional de derechos civiles y políticos (PIDCP),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w:t>
      </w:r>
      <w:r>
        <w:lastRenderedPageBreak/>
        <w:t>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En el quinto motivo de amparo se alega la lesión del derecho a la igualdad en la aplicación de la ley (art. 14 CE), en relación con el art. 14 CEDH. Con cita de la STC 144/1988, de 12 de julio,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Como sexto motivo de amparo se alega la vulneración del derecho a la libertad (art. 17.1 CE), en relación con los arts. 5 y 7.1 CEDH y los arts. 9.1 y 5 y 15.1 PIDCP.</w:t>
      </w:r>
    </w:p>
    <w:p w:rsidR="00D06117" w:rsidRDefault="00D06117" w:rsidP="00D06117">
      <w:pPr>
        <w:pStyle w:val="TextoNormal"/>
      </w:pPr>
    </w:p>
    <w:p w:rsidR="00D06117" w:rsidRDefault="00D06117" w:rsidP="00D06117">
      <w:pPr>
        <w:pStyle w:val="TextoNormal"/>
      </w:pPr>
      <w:r>
        <w:t>Tras poner de relieve que, conforme a la jurisprudencia de este Tribunal, la redención de penas por el trabajo afecta al derecho a la libertad (SSTC 31/1999, de 8 de marzo, y 76/2004, de 26 de abril),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Las resoluciones recurridas retrasan la puesta en libertad del recurrente hasta el cumplimiento de los treinta años íntegros y, por tanto, violan el art. 17 CE y los arts. 5 y 15.1 CEDH, así como los arts. 9.1 y 5 y 15.1 PIDCP.</w:t>
      </w:r>
    </w:p>
    <w:p w:rsidR="00D06117" w:rsidRDefault="00D06117" w:rsidP="00D06117">
      <w:pPr>
        <w:pStyle w:val="TextoNormal"/>
      </w:pPr>
    </w:p>
    <w:p w:rsidR="00D06117" w:rsidRDefault="00D06117" w:rsidP="00D06117">
      <w:pPr>
        <w:pStyle w:val="TextoNormal"/>
      </w:pPr>
      <w:r>
        <w:t xml:space="preserve">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w:t>
      </w:r>
      <w:r>
        <w:lastRenderedPageBreak/>
        <w:t>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del Tribunal Constitucional acordó por providencia de 3 de marzo de 2011 la admisión a trámite del recurso de amparo y, de conformidad con el art. 51 de la Ley Orgánica del Tribunal Constitucional (LOTC), requerir atentamente a la Sala de lo Penal del Tribunal Supremo para que remitiera testimonio del recurso de casación núm. 10978-2009; igualmente se requirió a la Sección Segunda de la Sala de lo Penal de la Audiencia Nacional, para que en el plazo de diez días remitieran testimonio de las actuaciones correspondientes a la ejecutoria 28-2004, interesándose al propio tiempo el emplazamiento de quienes fueron parte en el procedimiento, con excepción del recurrente en amparo, que aparece ya personado, para que en el plazo de diez días pudieran comparecer ante este Tribunal</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Auto de 6 de junio de 2011 se denegó la suspensión solicitada por el recurrente; por providencia de 11 de enero de 2012, previa reiteración de la parte de la solicitud de suspensión, se acordó rechazar nuevamente la medida cautelar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El recurrente presentó alegaciones mediante escrito que tuvo entrada en este Tribunal el 30 de junio de 2011, reiterando los argumentos expresados en la demanda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formuló sus alegaciones en escrito de 1 de julio de 2011. Estima que por razones sistemáticas deben ser abordados los motivos de amparo propuestos por otro orden distinto del que es propuesto en la demanda; comienza por el análisis de la eventual vulneración del principio de legalidad penal recogido en el art. 25.2 CE y, más concretamente, en el enunciado en el séptimo motivo de amparo del mismo que alude al carácter rehabilitador y de reinserción social que deben de tener las penas señaladas a los diferentes delitos previstos en el Código penal. Considera que el motivo debe ser rechazado a limine porque, como reiteradamente ha destacado la doctrina de ese Alto Tribunal el art. 25.2 CE no contiene un derecho fundamental del ciudadano susceptible de ser invocado en amparo, sino más bien un mandato dirigido al legislador para orientar la política penitenciaria con objeto de que configure las sanciones penales para que cumplan estos fines de reinserción y rehabilitación establecidos en la Constitución.</w:t>
      </w:r>
    </w:p>
    <w:p w:rsidR="00D06117" w:rsidRDefault="00D06117" w:rsidP="00D06117">
      <w:pPr>
        <w:pStyle w:val="TextoNormal"/>
      </w:pPr>
    </w:p>
    <w:p w:rsidR="00D06117" w:rsidRDefault="00D06117" w:rsidP="00D06117">
      <w:pPr>
        <w:pStyle w:val="TextoNormal"/>
      </w:pPr>
      <w:r>
        <w:t xml:space="preserve">Tampoco considera que tenga suficiente fundamento el cuarto de los motivos de amparo de la demanda, centrado en la eventual vulneración del principio de legalidad penal conectado al de irretroactividad de las normas penales y restrictivas de derechos, puesto que, como ha señalado también de modo reiterado la doctrina del Tribunal (STC 237/1993, de 12 de julio, por todas) no es invocable en amparo, a no ser que a través del mismo haya sido vulnerado alguno de los derechos fundamentales susceptibles de amparo. La afirmación del recurrente acerca de que el Tribunal Supremo haya realizado una interpretación del art. 70.2 CP 1973 acorde con los criterios que han sido recogidos posteriormente en el art. 76 CP 1995, de tal modo que los beneficios penitenciarios hayan de ser aplicados, no a una nueva pena que resulte de la refundición de condenas, sino a cada una de las acumuladas hasta llegar al límite máximo de cumplimiento efectivo de las mismas, es una afirmación que no tiene más alcance que el de las propias alegaciones del actor en su demanda. Se podrá estar </w:t>
      </w:r>
      <w:r>
        <w:lastRenderedPageBreak/>
        <w:t>o no conforme con la interpretación de legalidad que el Tribunal Supremo haya alcanzado de este artículo en su Sentencia pero ciertamente no tiene fundamento racional alguno sostener que se ha vulnerado el principio de irretroactividad de la ley penal por haber hecho aplicación, como se dice en el recurso “de modo fraudulento” del contenido del art. 78 CP 1995 bajo el ropaje aparente del citado art. 70.2 CP 1973, porque el precepto que se ha aplicado ha sido siempre el art. 70.2 CP 1973, de vigencia al tiempo de comisión de los hechos, y sobre el que ha recaído la mencionada interpretación de la Sala Segunda y no el art. 76 CP 1995.</w:t>
      </w:r>
    </w:p>
    <w:p w:rsidR="00D06117" w:rsidRDefault="00D06117" w:rsidP="00D06117">
      <w:pPr>
        <w:pStyle w:val="TextoNormal"/>
      </w:pPr>
    </w:p>
    <w:p w:rsidR="00D06117" w:rsidRDefault="00D06117" w:rsidP="00D06117">
      <w:pPr>
        <w:pStyle w:val="TextoNormal"/>
      </w:pPr>
      <w:r>
        <w:t>No parece que en el caso de autos, y a los efectos de una posible vulneración del principio de legalidad (art. 25.1 CE) la interpretación que las resoluciones judiciales ahora recurridas en amparo hacen del art. 70.2 CP 1973 en exégesis derivada de la STS (Pleno de la Sala Segunda del Tribunal Supremo)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Es por todo este conjunto de razones por las que el Fiscal estima que tampoco concurre en este supuesto la vulneración del principio de legalidad (art. 25.1 en relación con el art. 9.3 CE) en su proscripción de la retroactividad de las normas penales perjudiciales al reo.</w:t>
      </w:r>
    </w:p>
    <w:p w:rsidR="00D06117" w:rsidRDefault="00D06117" w:rsidP="00D06117">
      <w:pPr>
        <w:pStyle w:val="TextoNormal"/>
      </w:pPr>
    </w:p>
    <w:p w:rsidR="00D06117" w:rsidRDefault="00D06117" w:rsidP="00D06117">
      <w:pPr>
        <w:pStyle w:val="TextoNormal"/>
      </w:pPr>
      <w:r>
        <w:t>Las mismas razones pueden esgrimirse respecto del primer motivo que refiere al art. 25.1 y 2 CE en relación con el art. 9.1 CE respecto el art. 70.2 y 100 CP y reglamentación penitenciaria.</w:t>
      </w:r>
    </w:p>
    <w:p w:rsidR="00D06117" w:rsidRDefault="00D06117" w:rsidP="00D06117">
      <w:pPr>
        <w:pStyle w:val="TextoNormal"/>
      </w:pPr>
    </w:p>
    <w:p w:rsidR="00D06117" w:rsidRDefault="00D06117" w:rsidP="00D06117">
      <w:pPr>
        <w:pStyle w:val="TextoNormal"/>
      </w:pPr>
      <w:r>
        <w:t>Asimismo, debe ser desestimada la vulneración del principio de igualdad en la aplicación de la ley que sostiene el demandante en su motivo quinto, apoyado en el denunciado abandono de una línea jurisprudencial anterior que había interpretado el art. 70.2 y concordantes del Código penal de 1973 de una manera distinta a la que ahora ha establecido, generando a su juicio una situación discriminatoria para el recurrente en el tratamiento de sus condenas refundidas. El motivo no puede prosperar, en primer lugar, porque el órgano judicial que ha dictado las dos resoluciones que son objeto de este recurso, la Sección Segunda de la Sala de lo Penal de la Audiencia Nacional, es distinto de aquel, la Sala Segunda del Tribunal Supremo, que hubo dictado la resolución cuya doctrina recogida en el mismo, supuestamente, ha generado la situación personal discriminatoria. Y, en segundo término porque, aun cuando hubiera existido en la Sala Segunda del Tribunal Supremo el criterio de apartarse de una anterior línea jurisprudencial uniforme, debe señalarse que ésta ha recogido un conjunto de razonamientos en interpretación de la legalidad aplicable al caso que, desde la perspectiva de la racionalidad, justifican dicho eventual cambio de criterio.</w:t>
      </w:r>
    </w:p>
    <w:p w:rsidR="00D06117" w:rsidRDefault="00D06117" w:rsidP="00D06117">
      <w:pPr>
        <w:pStyle w:val="TextoNormal"/>
      </w:pPr>
    </w:p>
    <w:p w:rsidR="00D06117" w:rsidRDefault="00D06117" w:rsidP="00D06117">
      <w:pPr>
        <w:pStyle w:val="TextoNormal"/>
      </w:pPr>
      <w:r>
        <w:t>Para el resto de los derechos fundamentales alegados en el motivo segundo, tutela judicial efectiva y libertad (arts. 24. 1 y 17.1 CE) en relación con la motivación del cambio de criterio interpretativo respecto del art. 70.2 y la reglamentación penitenciaria atinente a las redenciones de penas por el trabajo, como el motivo sexto que hace referencia al derecho a la libertad personal (art. 17.1 CE), muestran una especial conexión especialmente respecto del derecho a la intangibilidad de las resoluciones judiciales (art. 24.1 CE) que se plantea en el motivo tercero de la demanda de amparo.</w:t>
      </w:r>
    </w:p>
    <w:p w:rsidR="00D06117" w:rsidRDefault="00D06117" w:rsidP="00D06117">
      <w:pPr>
        <w:pStyle w:val="TextoNormal"/>
      </w:pPr>
    </w:p>
    <w:p w:rsidR="00D06117" w:rsidRDefault="00D06117" w:rsidP="00D06117">
      <w:pPr>
        <w:pStyle w:val="TextoNormal"/>
      </w:pPr>
      <w:r>
        <w:lastRenderedPageBreak/>
        <w:t>Del examen de las resoluciones judiciales queda claro que la contraposición se produce entre:</w:t>
      </w:r>
    </w:p>
    <w:p w:rsidR="00D06117" w:rsidRDefault="00D06117" w:rsidP="00D06117">
      <w:pPr>
        <w:pStyle w:val="TextoNormal"/>
      </w:pPr>
    </w:p>
    <w:p w:rsidR="00D06117" w:rsidRDefault="00D06117" w:rsidP="00D06117">
      <w:pPr>
        <w:pStyle w:val="TextoNormal"/>
      </w:pPr>
      <w:r>
        <w:t>a) El Auto en el que la Sección Segunda de la Audiencia Nacional acordó acumular diversas penas impuestas en diversos procesos de conformidad con lo establecido en la regla 2 del art. 70 CP fijándose un máximo de cumplimiento de treinta años.</w:t>
      </w:r>
    </w:p>
    <w:p w:rsidR="00D06117" w:rsidRDefault="00D06117" w:rsidP="00D06117">
      <w:pPr>
        <w:pStyle w:val="TextoNormal"/>
      </w:pPr>
    </w:p>
    <w:p w:rsidR="00D06117" w:rsidRDefault="00D06117" w:rsidP="00D06117">
      <w:pPr>
        <w:pStyle w:val="TextoNormal"/>
      </w:pPr>
      <w:r>
        <w:t>b) El Auto de 30 de marzo de 2009 dictado por la Sección Segunda de la Sala de lo Penal de la Audiencia Nacional en virtud del cual no se aceptaba la propuesta de licenciamiento del centro penitenciario de 2 de abril de 2009 y con aplicación de la doctrina emanada de la STS 197/2006 ordena practicar nueva liquidación a sus luces argumentales. Decisión judicial ratificada por el Auto dictado por la Sala Segunda del Tribunal Supremo el 18 de marzo de 2010 que desestimó un recurso de casación que la defensa del reo había deducido contra el mentado Auto.</w:t>
      </w:r>
    </w:p>
    <w:p w:rsidR="00D06117" w:rsidRDefault="00D06117" w:rsidP="00D06117">
      <w:pPr>
        <w:pStyle w:val="TextoNormal"/>
      </w:pPr>
    </w:p>
    <w:p w:rsidR="00D06117" w:rsidRDefault="00D06117" w:rsidP="00D06117">
      <w:pPr>
        <w:pStyle w:val="TextoNormal"/>
      </w:pPr>
      <w:r>
        <w:t>Es claro, pues, que el debate se suscita alrededor de ese cambio de criterio de la Sala respecto de cómo debe entenderse la refundición de condenas y, en definitiva, si esa decisión posee alcance de vulneración de los derechos fundamentales en juego y especialmente el derecho a la intangibilidad de las resoluciones judiciales. Es evidente, dice el Ministerio Fiscal, que el núcleo del problema reside en que la Sección Segunda de la Sala de lo Penal de la Audiencia Nacional asume en las resoluciones objeto de la demanda de amparo los criterios expresados por la Sala Segunda del Tribunal Supremo en su Sentencia del Pleno, STS 197/2006, de 28 de febrero.</w:t>
      </w:r>
    </w:p>
    <w:p w:rsidR="00D06117" w:rsidRDefault="00D06117" w:rsidP="00D06117">
      <w:pPr>
        <w:pStyle w:val="TextoNormal"/>
      </w:pPr>
    </w:p>
    <w:p w:rsidR="00D06117" w:rsidRDefault="00D06117" w:rsidP="00D06117">
      <w:pPr>
        <w:pStyle w:val="TextoNormal"/>
      </w:pPr>
      <w:r>
        <w:t>La norma en sí no ha variado tanto si se considera el art 70.2 CP o el 76.1 CP en la regla sustancial; el máximo de cumplimiento de la condena del culpable no podría exceder del triple del tiempo por el que se imponga la más grave de las penas en que haya incurrido. Lo que sí ha variado sustancialmente es la interpretación que la Sala Segunda del Tribunal Supremo hace desde la STS 197/2006, de 28 de febrero, respecto de la aplicación de la regla. Con el nuevo criterio interpretativo operado por las resoluciones judiciales ahora recurridas en amparo, se ha ocasionado un evidente perjuicio penológico al demandante de amparo. Lo que debemos analizar es si tal evidente perjuicio posee entidad y encaje en alguno de los derechos fundamentales que se alegan como vulnerados.</w:t>
      </w:r>
    </w:p>
    <w:p w:rsidR="00D06117" w:rsidRDefault="00D06117" w:rsidP="00D06117">
      <w:pPr>
        <w:pStyle w:val="TextoNormal"/>
      </w:pPr>
    </w:p>
    <w:p w:rsidR="00D06117" w:rsidRDefault="00D06117" w:rsidP="00D06117">
      <w:pPr>
        <w:pStyle w:val="TextoNormal"/>
      </w:pPr>
      <w:r>
        <w:t>El derecho a la intangibilidad de las resoluciones judiciales firmes, así como a la ejecución de las mismas se encuentra amparado en el seno más amplio del art.24.1 CE que comprende el derecho a la tutela judicial efectiva (STC 23/2005, de 14 de febrero). Cabría interrogarse si la naturaleza de unas resoluciones judiciales como los autos, liquidaciones y refundición de condena, poseen la naturaleza de firmes que implican su intangibilidad en términos del amparo propuesto ex art. 24 CE.</w:t>
      </w:r>
    </w:p>
    <w:p w:rsidR="00D06117" w:rsidRDefault="00D06117" w:rsidP="00D06117">
      <w:pPr>
        <w:pStyle w:val="TextoNormal"/>
      </w:pPr>
    </w:p>
    <w:p w:rsidR="00D06117" w:rsidRDefault="00D06117" w:rsidP="00D06117">
      <w:pPr>
        <w:pStyle w:val="TextoNormal"/>
      </w:pPr>
      <w:r>
        <w:t xml:space="preserve">El Auto en el que se fijara la refundición de penas, si no es recurrido, o si siéndolo, en cuanto a lo que acontezca en el resultado final del recurso, debe reputarse como firme y su consecuencia debe ser en principio la intangibilidad del mismo. Podría, hipotéticamente hablarse de una ampliación o nuevas condenas, y en tal caso decaer a tal sólo efecto el concepto de intangibilidad. Mas no es el caso de autos. En éste no se varían las condenas objeto de refundición, tampoco el mecanismo limitador, un máximo de 30 años ex regla 2 del art. 70 CP, sino lo que se modifica es una nueva jurisprudencia emanada por la Sala </w:t>
      </w:r>
      <w:r>
        <w:lastRenderedPageBreak/>
        <w:t>Segunda del Tribunal Supremo, la derivada de la STS 197/2006, de 28 de febrero que hace suya la Sección Segunda de la Sala de lo Penal de la Audiencia Nacional, siendo el núcleo duro de la interpretación del precepto.</w:t>
      </w:r>
    </w:p>
    <w:p w:rsidR="00D06117" w:rsidRDefault="00D06117" w:rsidP="00D06117">
      <w:pPr>
        <w:pStyle w:val="TextoNormal"/>
      </w:pPr>
    </w:p>
    <w:p w:rsidR="00D06117" w:rsidRDefault="00D06117" w:rsidP="00D06117">
      <w:pPr>
        <w:pStyle w:val="TextoNormal"/>
      </w:pPr>
      <w:r>
        <w:t>El conflicto, a nuestro juicio, se plantea en relación a la prevalencia entre la exigencia de mantenimiento de una resolución judicial de refundición de penas y la variación de una interpretación jurisprudencial de su núcleo duro normativo que implica consecuencias retroactivamente perjudiciales para la fecha de licenciamiento definitivo del reo, lo que implica inevitablemente la aparición de su derecho a la libertad (art. 17 CE). Se hace evidente que la ejecución de una Sentencia penal debe obedecer siempre a criterios de estricta legalidad, ya que el criterio de legalidad de ejecución penal forma parte del contenido del principio de legalidad (SSTC 11/1987, de 30 de enero y 147/1988, de 14 de julio). En dicha ejecución y en el caso de autos lo esencial es la determinación en el tiempo de una resolución judicial que fijara la liquidación de condena y en su seno los criterios (refundición de condenas, arts. 73-76 CP 1995 y 70 CE 1973) empleados para ello, sin olvidar la necesaria fluidez que impone a las fechas de licenciamiento los criterios de la redención de penas que son especialmente significativos en el Código penal 1973.</w:t>
      </w:r>
    </w:p>
    <w:p w:rsidR="00D06117" w:rsidRDefault="00D06117" w:rsidP="00D06117">
      <w:pPr>
        <w:pStyle w:val="TextoNormal"/>
      </w:pPr>
    </w:p>
    <w:p w:rsidR="00D06117" w:rsidRDefault="00D06117" w:rsidP="00D06117">
      <w:pPr>
        <w:pStyle w:val="TextoNormal"/>
      </w:pPr>
      <w:r>
        <w:t>No considera de recibo que establecidos unos criterios de interpretación normativa para fijar la refundición de condena (Auto de 29 de junio de 2001) y establecidos ellos en resolución judicial, pudieran variarse en virtud de una posterior resolución, como lo son las resoluciones judiciales ahora recurridas en amparo, por vía de remisión a la STS 197/2006, de 28 de febrero, que interpreta de otra manera las normas atinentes.</w:t>
      </w:r>
    </w:p>
    <w:p w:rsidR="00D06117" w:rsidRDefault="00D06117" w:rsidP="00D06117">
      <w:pPr>
        <w:pStyle w:val="TextoNormal"/>
      </w:pPr>
    </w:p>
    <w:p w:rsidR="00D06117" w:rsidRDefault="00D06117" w:rsidP="00D06117">
      <w:pPr>
        <w:pStyle w:val="TextoNormal"/>
      </w:pPr>
      <w:r>
        <w:t>De todo lo anterior lo que se desprende es que si estimamos que el Auto de 29 de junio de 2001 que fijó los criterios para la ejecución de la condena operando una interpretación concreta de la normativa en juego, y muy particularmente de la refundición de condenas, se ha visto modificado posteriormente en atención a una nueva interpretación emanada de una decisión de la Sala Segunda del Tribunal Supremo, ello comporta la vulneración del derecho a la intangibilidad de las resoluciones judiciales ex art. 24.1 CE (por todas, STC 209/2005, de 4 de julio), enumerado como tal en el cuarto de los motivos de amparo del presente recurso. Un derecho fundamental que además tiene engarce con el principio de legalidad en relación con la prohibición de retroactividad de la normas penales perjudiciales para el reo (art. 9.3 CE; por todas, STC 223/1997 y STEDH Streletz, Kessler y Krcnz c. Alemania de 22 de marzo de 2001), ya que las garantías de legalidad y seguridad jurídica que exigen ambos preceptos constitucionales deben extenderse no sólo al enjuiciamiento del hecho como tipicidad cierta, taxativa y previsible (por todas SSTC 196/2002, de 28 de octubre y 111/2004, de 12 de julio), sino que lo es asimismo para con la ejecución de las penas, integrándose la irretroactividad de las normas, y su interpretación, desfavorable al reo en el complejo de legalidad del art. 25.l CE (vid. STEDH Puhk c. Estonia de 10 de febrero de 2004).</w:t>
      </w:r>
    </w:p>
    <w:p w:rsidR="00D06117" w:rsidRDefault="00D06117" w:rsidP="00D06117">
      <w:pPr>
        <w:pStyle w:val="TextoNormal"/>
      </w:pPr>
    </w:p>
    <w:p w:rsidR="00D06117" w:rsidRDefault="00D06117" w:rsidP="00D06117">
      <w:pPr>
        <w:pStyle w:val="TextoNormal"/>
      </w:pPr>
      <w:r>
        <w:t xml:space="preserve">En el hecho de autos las resoluciones judiciales recurridas no se han limitado a variar la fecha de licenciamiento de conformidad con los extremos anejos al devenir del cumplimiento de la pena impuesta sino que han alterado éstos de manera contraria y desfavorable al reo, aportando una revisión interpretativa desfavorable, que supone de facto la creación ex novo de un nuevo marco normativo que ha causado una extensión de la fecha de licenciamiento del interno, y una revisión en la aplicación de los beneficios de la redención de </w:t>
      </w:r>
      <w:r>
        <w:lastRenderedPageBreak/>
        <w:t>penas. A esas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La consecuencia de todo ello es la estimación del amparo por todas esas vulneraciones constitucionales, derecho a la intangibilidad de las resoluciones judiciales (art. 24.1 CE) en relación con el principio de legalidad penal en relación con la irretroactividad de lo desfavorable para el reo (art. 25.1 en relación con el art. 9.3 CE) y el derecho a la libertad personal (art. 17.1 CE). La liquidación de condena y la fecha de licenciamiento definitivo del reo debe quedar fijada de conformidad con el canon interpretativo que en su momento fijara el Auto de 29 de junio de 2001 y conforme con los criterios del art. 70.2 CP allí expresados.</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17 de enero de 2012, a propuesta de la Sala Segunda, el Pleno acordó, en virtud del art. 10.1 n) LOTC,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señaló para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18 de marzo de 2010 de la Sala Segunda del Tribunal Supremo que desestima el recurso de casación planteado contra el Auto de 30 de marzo de 2009 de la Sección Segunda de la Sala de lo Penal de la Audiencia Nacional (ejecutoria 28-2004, sumario 2-2001) por el que se acordaba no haber lugar al licenciamiento definitivo para el día 2 de abril de 2009, ordenando que se practique una nueva liquidación de condena según la doctrina establecida en la Sentencia del Tribunal Supremo 197/2006, de 28 de febrero, según la cual y modificando el criterio de cómputo anteriormente aplicado, se establece que los beneficios penitenciarios y, en concreto, las redenciones de penas por el trabajo, han de computarse sobre cada una de las penas impuestas y no sobre la condena refundida.</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 los derechos fundamentales consagrados en los arts. 24.1, 25.1 y 17.1 CE.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Como primer motivo de amparo se denuncia, desde diversas perspectivas constitucionales la cuestión de fondo, esto es, la aplicación al presente caso de un nuevo criterio jurisprudencial en la interpretación de los arts. 70.2 y 100 del Código penal (CP) de 1973, y </w:t>
      </w:r>
      <w:r>
        <w:lastRenderedPageBreak/>
        <w:t>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deba practicarse una nueva liquidación de condena al no admitirse la propuesta por el centro penitenciario y que hubiera supuesto el licenciamiento definitivo del recurrente el día 2 de abril de 2009.</w:t>
      </w:r>
    </w:p>
    <w:p w:rsidR="00D06117" w:rsidRDefault="00D06117" w:rsidP="00D06117">
      <w:pPr>
        <w:pStyle w:val="TextoNormal"/>
      </w:pPr>
    </w:p>
    <w:p w:rsidR="00D06117" w:rsidRDefault="00D06117" w:rsidP="00D06117">
      <w:pPr>
        <w:pStyle w:val="TextoNormal"/>
      </w:pPr>
      <w:r>
        <w:t>El recurrente entiende que de ello se deriva la vulneración del principio de igualdad en la aplicación de la ley (art. 14 CE); del principio de legalidad penal (art. 25.1 CE) —desde la doble perspectiva de la ilegitimidad del nuevo criterio interpretativo y la aplicación retroactiva de una ley desfavorable—; del derecho a la libertad (art. 17.1 CE); y del derecho a la tutela judicial efectiva (art. 24.1 CE), en su vertiente del derecho a la intangibilidad de las resoluciones judiciales firmes,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197/2006.</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primer lugar, ha de tenerse en cuenta que no nos encontramos en el ámbito propio del derecho fundamental consagrado en el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—y en contra de lo sostenido por el Ministerio Fiscal—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w:t>
      </w:r>
      <w:r>
        <w:lastRenderedPageBreak/>
        <w:t>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este motivo no puede prosperar, en primer lugar, porque el órgano judicial que ha dictado la resolución objeto de este recurso, la Sección Segunda de la Sala de lo Penal de la Audiencia Nacional, es distinto de aquél, la Sala Segunda del Tribunal Supremo, que hubo dictado la resolución cuya doctrina recogida en el mismo, supuestamente, ha generado la situación personal discriminatoria; pero, en cualquier caso, porque, aun cuando hubiera existido en la Sala Segunda del Tribunal Supremo el criterio de apartarse de una anterior línea jurisprudencial uniforme, debe señalarse que ésta ha recogido un conjunto de razonamientos en interpretación de la legalidad aplicable al caso que, desde la perspectiva de la racionalidad, justifican dicho eventual cambio de criterio. No puede apre</w:t>
      </w:r>
      <w:r>
        <w:lastRenderedPageBreak/>
        <w:t>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4</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(entre otras,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w:t>
      </w:r>
      <w:r>
        <w:lastRenderedPageBreak/>
        <w:t>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En consecuencia nuestro examen se limitará a analizar si la respuesta judicial obtenida por el recurrente en las resoluciones impugnadas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obtener el licenciamiento definitivo. El Ministerio Fiscal también entiende concurrentes estas vulneraciones.</w:t>
      </w:r>
    </w:p>
    <w:p w:rsidR="00D06117" w:rsidRDefault="00D06117" w:rsidP="00D06117">
      <w:pPr>
        <w:pStyle w:val="TextoNormal"/>
      </w:pPr>
    </w:p>
    <w:p w:rsidR="00D06117" w:rsidRDefault="00D06117" w:rsidP="00D06117">
      <w:pPr>
        <w:pStyle w:val="TextoNormal"/>
      </w:pPr>
      <w:r w:rsidRPr="00D06117">
        <w:rPr>
          <w:rStyle w:val="NumeroAFNegritaCaracter"/>
        </w:rPr>
        <w:t>5</w:t>
      </w:r>
      <w:r>
        <w:t>.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 xml:space="preserve">En definitiva, el derecho a la intangibilidad de las resoluciones judiciales firmes consagrado en el art. 24.1 CE como una de las vertientes del derecho a la tutela judicial efectiva </w:t>
      </w:r>
      <w:r>
        <w:lastRenderedPageBreak/>
        <w:t>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6</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Los Autos de fecha 29 de noviembre de 2001 y 10 de mayo de 2005 en los que la Audiencia Nacional acordó acumular diversas penas impuestas en diversos procesos de conformidad con lo establecido en la regla 2 del art. 70 CP fijándose un máximo de cumplimiento de treinta años.</w:t>
      </w:r>
    </w:p>
    <w:p w:rsidR="00D06117" w:rsidRDefault="00D06117" w:rsidP="00D06117">
      <w:pPr>
        <w:pStyle w:val="TextoNormal"/>
      </w:pPr>
    </w:p>
    <w:p w:rsidR="00D06117" w:rsidRDefault="00D06117" w:rsidP="00D06117">
      <w:pPr>
        <w:pStyle w:val="TextoNormal"/>
      </w:pPr>
      <w:r>
        <w:t>b) El Auto de 30 de marzo de 2009 dictado por la Sección Segunda de la Sala de lo Penal de la Audiencia Nacional en virtud del cual no se aceptaba la propuesta de licenciamiento del centro penitenciario para el 2 de abril de 2009 y con aplicación de la doctrina emanada de la STS 197/2006 ordenaba practicar nueva liquidación a sus luces argumentales. Decisión judicial ratificada por el Auto dictado por la Sala Segunda del Tribunal Supremo el 18 de marzo de 2010 que desestimó un recurso de casación que la defensa del reo había deducido contra el mentado Auto.</w:t>
      </w:r>
    </w:p>
    <w:p w:rsidR="00D06117" w:rsidRDefault="00D06117" w:rsidP="00D06117">
      <w:pPr>
        <w:pStyle w:val="TextoNormal"/>
      </w:pPr>
    </w:p>
    <w:p w:rsidR="00D06117" w:rsidRDefault="00D06117" w:rsidP="00D06117">
      <w:pPr>
        <w:pStyle w:val="TextoNormal"/>
      </w:pPr>
      <w:r>
        <w:t>c) No consta ninguna otra resolución judicial relevante del Tribunal sentenciador.</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De ninguna de las resoluciones judiciales a las que se refiere el recurrente y el Ministerio Fiscal puede derivarse, en el presente caso, el efecto de intangibilidad respecto al criterio del cómputo de las redenciones pretendido. Ninguna de ellas realiza pronunciamiento </w:t>
      </w:r>
      <w:r>
        <w:lastRenderedPageBreak/>
        <w:t>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En cuanto a los Autos de acumulación de condenas y fijación del límite máximo de cumplimiento, que cita el Ministerio Fiscal como resoluciones intangibles que ha sido ilegítimamente desconocida, se limita a hacer efectiva la previsión legal (arts. 988 de la Ley de enjuiciamiento criminal y 70.2 CP 1973). No existe en ellos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Pues bien, ni en el fallo de dicha resolución se realiza pronunciamiento alguno acerca del criterio de cómputo de las redenciones (porque no era éste su objeto), ni de su fundamentación jurídica puede concluirse que la decisión de no revisar las condenas se sustentara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8</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de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w:t>
      </w:r>
      <w:r>
        <w:lastRenderedPageBreak/>
        <w:t>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rehacer su vida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Juan José Legorburu Guederiagha.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4514-2010.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rsidP="00D06117">
      <w:pPr>
        <w:pStyle w:val="TextoNormal"/>
      </w:pPr>
    </w:p>
    <w:p w:rsidR="00D06117" w:rsidRDefault="00D06117" w:rsidP="00D06117">
      <w:pPr>
        <w:pStyle w:val="TextoNormalNegritaCentrado"/>
        <w:keepNext/>
      </w:pPr>
      <w:r>
        <w:t>Voto particular que emite el Magistrado don Luis Ignacio Ortega Álvarez con relación a la Sentencia dictada en el recurso de amparo avocado al Pleno núm. 4514-2010.</w:t>
      </w:r>
    </w:p>
    <w:p w:rsidR="00D06117" w:rsidRDefault="00D06117" w:rsidP="00D06117">
      <w:pPr>
        <w:pStyle w:val="TextoNormalNegritaCentrado"/>
        <w:keepNext/>
      </w:pPr>
    </w:p>
    <w:p w:rsidR="00D06117" w:rsidRDefault="00D06117" w:rsidP="00D06117">
      <w:pPr>
        <w:pStyle w:val="TextoNormal"/>
      </w:pPr>
      <w:r>
        <w:t>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1" w:name="SENTENCIA_2012_68"/>
      <w:r>
        <w:lastRenderedPageBreak/>
        <w:t>SENTENCIA 68/2012, de 29 de marzo de 2012</w:t>
      </w:r>
    </w:p>
    <w:bookmarkEnd w:id="71"/>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ECLI:ES:TC:2012:68</w:t>
      </w:r>
    </w:p>
    <w:p w:rsidR="00D06117" w:rsidRDefault="00D06117" w:rsidP="00D06117">
      <w:pPr>
        <w:pStyle w:val="SntesisDescriptiva"/>
      </w:pPr>
    </w:p>
    <w:p w:rsidR="00D06117" w:rsidRDefault="00D06117" w:rsidP="00D06117">
      <w:pPr>
        <w:pStyle w:val="SntesisDescriptiva"/>
      </w:pPr>
      <w:r>
        <w:t>Recurso de amparo 5150-2010. Promovido por don Antonio García Carbonell en relación con los Autos de la Sala de lo Penal del Tribunal Supremo y de la Sección Quinta de la Audiencia Provincial de Barcelona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5].</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resoluciones recurridas, ni la doctrina del Tribunal Supremo invocada en ellas aplican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7.</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4].</w:t>
      </w:r>
    </w:p>
    <w:p w:rsidR="00D06117" w:rsidRDefault="00D06117" w:rsidP="00D06117">
      <w:pPr>
        <w:pStyle w:val="Extracto"/>
      </w:pPr>
    </w:p>
    <w:p w:rsidR="00D06117" w:rsidRDefault="00D06117" w:rsidP="00D06117">
      <w:pPr>
        <w:pStyle w:val="Extracto"/>
      </w:pPr>
      <w:r>
        <w:t>8.</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4].</w:t>
      </w:r>
    </w:p>
    <w:p w:rsidR="00D06117" w:rsidRDefault="00D06117" w:rsidP="00D06117">
      <w:pPr>
        <w:pStyle w:val="Extracto"/>
      </w:pPr>
    </w:p>
    <w:p w:rsidR="00D06117" w:rsidRDefault="00D06117" w:rsidP="00D06117">
      <w:pPr>
        <w:pStyle w:val="Extracto"/>
      </w:pPr>
      <w:r>
        <w:t>9.</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4].</w:t>
      </w:r>
    </w:p>
    <w:p w:rsidR="00D06117" w:rsidRDefault="00D06117" w:rsidP="00D06117">
      <w:pPr>
        <w:pStyle w:val="Extracto"/>
      </w:pPr>
    </w:p>
    <w:p w:rsidR="00D06117" w:rsidRDefault="00D06117" w:rsidP="00D06117">
      <w:pPr>
        <w:pStyle w:val="Extracto"/>
      </w:pPr>
      <w:r>
        <w:t>10.</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11.</w:t>
      </w:r>
      <w:r>
        <w:tab/>
        <w:t>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(STC 167/2003) [FJ 2].</w:t>
      </w:r>
    </w:p>
    <w:p w:rsidR="00D06117" w:rsidRDefault="00D06117" w:rsidP="00D06117">
      <w:pPr>
        <w:pStyle w:val="Extracto"/>
      </w:pPr>
    </w:p>
    <w:p w:rsidR="00D06117" w:rsidRDefault="00D06117" w:rsidP="00D06117">
      <w:pPr>
        <w:pStyle w:val="Extracto"/>
      </w:pPr>
      <w:r>
        <w:t>12.</w:t>
      </w:r>
      <w:r>
        <w:tab/>
        <w:t xml:space="preserve">Aun cuando el nuevo criterio de cómputo de las redenciones dificulte objetivamente la posibilidad de reducir el cumplimiento efectivo de la pena en determinados supuestos, es lo cierto que tal criterio no impide que los penados puedan cumplir su condena con arreglo al elenco de medidas de la legislación penitenciaria </w:t>
      </w:r>
      <w:r>
        <w:lastRenderedPageBreak/>
        <w:t>vigente que favorecen y posibilitan la reeducación y reinserción social, si su conducta penitenciaria y su evolución muestra que se hallan en condiciones de hacer vida honrada en libertad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5150-2010, promovido por don Antonio García Carbonell, representado por el Procurador de los Tribunales don Mario Castro Casas y asistido por el Letrado don Fermín Gavilán Pasaron, contra el Auto dictado el 15 de abril de 2010 por la Sala de lo Penal del Tribunal Supremo que desestimó el recurso de casación formulado contra el Auto de la Sección Quinta de la Audiencia Provincial de Barcelona, recaído el 3 de junio de 2009 en la ejecutoria núm. 279-1999. Ha intervenido el Ministerio Fiscal.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23 de junio de 2010 el Letrado don Fermín Gavilán Pasaron presentó en el Registro General de este Tribunal un escrito de demanda en nombre de don Antonio García Carbonell contra las resoluciones judiciales a las que se ha hecho mención en el encabezamiento de esta Sentencia, al tiempo que solicitaba la designación de Procurador del turno de oficio.</w:t>
      </w:r>
    </w:p>
    <w:p w:rsidR="00D06117" w:rsidRDefault="00D06117" w:rsidP="00D06117">
      <w:pPr>
        <w:pStyle w:val="TextoNormal"/>
      </w:pPr>
    </w:p>
    <w:p w:rsidR="00D06117" w:rsidRDefault="00D06117" w:rsidP="00D06117">
      <w:pPr>
        <w:pStyle w:val="TextoNormal"/>
      </w:pPr>
      <w:r>
        <w:t>La Comisión central de asistencia jurídica gratuita acordó el 16 de julio de 2010 reconocer a don Antonio García Carbonell el derecho de asistencia jurídica gratuita, en los términos establecidos en el art. 6 de la Ley 1/1996, de 10 de enero, de asistencia jurídica gratuita. Tras ello, el Colegio de Procuradores de Madrid procedió a designar, para su representación en el presente proceso de amparo, al Procurador de los Tribunales don Mario Castro Casas, el cual suscribió la demanda mediante escrito presentado el 3 de septiembre de 2010.</w:t>
      </w:r>
    </w:p>
    <w:p w:rsidR="00D06117" w:rsidRDefault="00D06117" w:rsidP="00D06117">
      <w:pPr>
        <w:pStyle w:val="TextoNormal"/>
      </w:pPr>
    </w:p>
    <w:p w:rsidR="00D06117" w:rsidRDefault="00D06117" w:rsidP="00D06117">
      <w:pPr>
        <w:pStyle w:val="TextoNormal"/>
      </w:pPr>
      <w:r>
        <w:t>2.</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relevantes para su resolución, son los siguientes:</w:t>
      </w:r>
    </w:p>
    <w:p w:rsidR="00D06117" w:rsidRDefault="00D06117" w:rsidP="00D06117">
      <w:pPr>
        <w:pStyle w:val="TextoNormal"/>
      </w:pPr>
    </w:p>
    <w:p w:rsidR="00D06117" w:rsidRDefault="00D06117" w:rsidP="00D06117">
      <w:pPr>
        <w:pStyle w:val="TextoNormal"/>
      </w:pPr>
      <w:r>
        <w:lastRenderedPageBreak/>
        <w:t>a) La Sección Décima de la Audiencia Provincial de Barcelona, mediante Sentencia de 27 de diciembre de 1996, condenó al demandante de amparo, como responsable de cuatro delitos de robo con violación, a cuatro penas de veinticuatro años de reclusión mayor; por la comisión de seis delitos de violación, a seis penas de quince años de reclusión menor; por cuatro delitos de detención ilegal, a cuatro penas de nueve años de prisión mayor; por un delito de robo con violencia, a cuatro años, dos meses y un día de prisión menor; por un delito de robo con intimidación, a dos años, cuatro meses y un día de prisión menor; por cinco faltas de lesiones, a otras tantas penas de veinte días de arresto menor. Igualmente le impuso las penas legales accesorias, así como el pago de las costas procesales y responsabilidades civiles que se determinan en la parte dispositiva de la resolución.</w:t>
      </w:r>
    </w:p>
    <w:p w:rsidR="00D06117" w:rsidRDefault="00D06117" w:rsidP="00D06117">
      <w:pPr>
        <w:pStyle w:val="TextoNormal"/>
      </w:pPr>
    </w:p>
    <w:p w:rsidR="00D06117" w:rsidRDefault="00D06117" w:rsidP="00D06117">
      <w:pPr>
        <w:pStyle w:val="TextoNormal"/>
      </w:pPr>
      <w:r>
        <w:t>Posteriormente, la Sección Quinta de la Audiencia Provincial de Barcelona, mediante Sentencia de 16 de septiembre de 1999, condenó al demandante de amparo a las penas de veinte años y un día de reclusión mayor por la comisión de un delito de robo con violación; doce años y un día de reclusión menor por la comisión de un delito de violación; seis años y un día de prisión mayor por un delito de detención ilegal; y dos años, cuatro meses y un día de prisión menor por cada uno de los dos delitos de lesiones apreciados. Igualmente le impuso las penas legales accesorias, así como el pago de las costas procesales y responsabilidades civiles que se determinan en la parte dispositiva de la resolución.</w:t>
      </w:r>
    </w:p>
    <w:p w:rsidR="00D06117" w:rsidRDefault="00D06117" w:rsidP="00D06117">
      <w:pPr>
        <w:pStyle w:val="TextoNormal"/>
      </w:pPr>
    </w:p>
    <w:p w:rsidR="00D06117" w:rsidRDefault="00D06117" w:rsidP="00D06117">
      <w:pPr>
        <w:pStyle w:val="TextoNormal"/>
      </w:pPr>
      <w:r>
        <w:t>b) Por Auto de 20 de diciembre de 1999, la Sección Quinta de la Audiencia Provincial de Barcelona acordó la acumulación de las condenas impuestas en ambas Sentencias, fijando en treinta años de privación de libertad el tiempo total de cumplimiento de las mismas, en aplicación de lo establecido en el art. 70.2 del Código penal (CP) de 1973.</w:t>
      </w:r>
    </w:p>
    <w:p w:rsidR="00D06117" w:rsidRDefault="00D06117" w:rsidP="00D06117">
      <w:pPr>
        <w:pStyle w:val="TextoNormal"/>
      </w:pPr>
    </w:p>
    <w:p w:rsidR="00D06117" w:rsidRDefault="00D06117" w:rsidP="00D06117">
      <w:pPr>
        <w:pStyle w:val="TextoNormal"/>
      </w:pPr>
      <w:r>
        <w:t>c) Como consecuencia de la acumulación de condenas, la Sala aprobó por providencia de 2 de marzo del 2000 la correspondiente liquidación de condena, estableciéndose como fecha de extinción de la misma el 25 de julio de 2025.</w:t>
      </w:r>
    </w:p>
    <w:p w:rsidR="00D06117" w:rsidRDefault="00D06117" w:rsidP="00D06117">
      <w:pPr>
        <w:pStyle w:val="TextoNormal"/>
      </w:pPr>
    </w:p>
    <w:p w:rsidR="00D06117" w:rsidRDefault="00D06117" w:rsidP="00D06117">
      <w:pPr>
        <w:pStyle w:val="TextoNormal"/>
      </w:pPr>
      <w:r>
        <w:t>d) El demandante de amparo pidió el 18 de julio de 2001 la revisión de la condena, solicitando que le fueran aplicadas las disposiciones del Código Penal de 1995, si bien en la audiencia pública celebrada al efecto el 13 de noviembre de 2001, tanto él mismo como su Letrado se mostraron conformes con la aplicación del Código penal de 1973, por lo que la Sala dictó Auto de 14 de noviembre de 2001 teniéndole por desistido de aquélla petición.</w:t>
      </w:r>
    </w:p>
    <w:p w:rsidR="00D06117" w:rsidRDefault="00D06117" w:rsidP="00D06117">
      <w:pPr>
        <w:pStyle w:val="TextoNormal"/>
      </w:pPr>
    </w:p>
    <w:p w:rsidR="00D06117" w:rsidRDefault="00D06117" w:rsidP="00D06117">
      <w:pPr>
        <w:pStyle w:val="TextoNormal"/>
      </w:pPr>
      <w:r>
        <w:t>e) Por medio de escrito de 28 de abril de 2009 el Ministerio Fiscal manifestó tener conocimiento de que la Administración penitenciaria tenía previsto proponer el licenciamiento definitivo del demandante para el 17 de julio de 2011, contraviniendo la jurisprudencia del Tribunal Supremo, por lo que solicitaba a la Sala sentenciadora que “se ordenara a la Administración Penitenciaria Catalana la aplicación de la ‘doctrina Parot’ (sic) al interno ... aplicándose los beneficios penitenciarios y redenciones que procedan con respecto a cada una de las penas que se encuentre cumpliendo”; habiéndose opuesto a dicha pretensión la defensa del condenado, por escrito de fecha 20 de mayo de 2009.</w:t>
      </w:r>
    </w:p>
    <w:p w:rsidR="00D06117" w:rsidRDefault="00D06117" w:rsidP="00D06117">
      <w:pPr>
        <w:pStyle w:val="TextoNormal"/>
      </w:pPr>
    </w:p>
    <w:p w:rsidR="00D06117" w:rsidRDefault="00D06117" w:rsidP="00D06117">
      <w:pPr>
        <w:pStyle w:val="TextoNormal"/>
      </w:pPr>
      <w:r>
        <w:t xml:space="preserve">f) Por Auto de 3 de junio de 2009, la mencionada Sección de la Audiencia Provincial de Barcelona estimó la petición efectuada por el Ministerio Fiscal y acordó practicar liquidación de condena, de manera que los beneficios penitenciarios y redenciones que procediesen se aplicarían respecto a cada una de las penas que se encontrase cumpliendo, ordenando </w:t>
      </w:r>
      <w:r>
        <w:lastRenderedPageBreak/>
        <w:t>que, una vez extinguida la primera, se diese cumplimiento a la siguiente y así sucesivamente hasta el límite máximo de cumplimiento.</w:t>
      </w:r>
    </w:p>
    <w:p w:rsidR="00D06117" w:rsidRDefault="00D06117" w:rsidP="00D06117">
      <w:pPr>
        <w:pStyle w:val="TextoNormal"/>
      </w:pPr>
    </w:p>
    <w:p w:rsidR="00D06117" w:rsidRDefault="00D06117" w:rsidP="00D06117">
      <w:pPr>
        <w:pStyle w:val="TextoNormal"/>
      </w:pPr>
      <w:r>
        <w:t>g) La defensa del penado interpuso contra dicha resolución recurso de casación ante la Sala de lo Penal del Tribunal Supremo, que fue desestimado por Auto de 15 de abril de 2010, en el que se reafirma la doctrina sentada en la Sentencia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3</w:t>
      </w:r>
      <w:r>
        <w:t>. En la demanda de amparo se aduce que las resoluciones judiciales impugnadas vulneran tanto el derecho a la libertad individual del recurrente (art. 17.1 CE) como el derecho a que las penas estén orientadas a la reinserción social (art. 25.2 CE).</w:t>
      </w:r>
    </w:p>
    <w:p w:rsidR="00D06117" w:rsidRDefault="00D06117" w:rsidP="00D06117">
      <w:pPr>
        <w:pStyle w:val="TextoNormal"/>
      </w:pPr>
    </w:p>
    <w:p w:rsidR="00D06117" w:rsidRDefault="00D06117" w:rsidP="00D06117">
      <w:pPr>
        <w:pStyle w:val="TextoNormal"/>
      </w:pPr>
      <w:r>
        <w:t>El demandante comienza explicando que pese a la aprobación del Código penal de 1995 no solicitó la revisión de su condena en consideración a que, mediante las redenciones ordinarias y extraordinarias por trabajo que preveía el Código penal de 1973, la duración de la condena que con arreglo a éste tenía que cumplir era menor. Añade que en aquel momento era imprevisible la doctrina iniciada por la Sentencia de la Sala de lo Penal del Tribunal Supremo 197/2006, de 28 de febrero, la cual tiene su razón de ser en la existencia de delincuentes con un amplio historial de condenas por delitos de gran alarma social y con un índice alto de reincidencia, siendo así que la mencionada doctrina sólo se está aplicando a delincuentes condenados por delitos de terrorismo y contra la libertad sexual, convirtiéndose en una aplicación del Derecho penal de autor proscrita en nuestra legislación, sin instarse su aplicación por el Ministerio Fiscal a otro tipo de penados, aunque los mismos tengan una acumulación de Sentencias por múltiples delitos y con un alto grado de reincidencia, lo que conlleva una discrecionalidad y arbitrariedad no aceptables en un Estado de Derecho.</w:t>
      </w:r>
    </w:p>
    <w:p w:rsidR="00D06117" w:rsidRDefault="00D06117" w:rsidP="00D06117">
      <w:pPr>
        <w:pStyle w:val="TextoNormal"/>
      </w:pPr>
    </w:p>
    <w:p w:rsidR="00D06117" w:rsidRDefault="00D06117" w:rsidP="00D06117">
      <w:pPr>
        <w:pStyle w:val="TextoNormal"/>
      </w:pPr>
      <w:r>
        <w:t xml:space="preserve">A continuación reproduce el contenido del Voto particular formulado a la Sentencia 734/2008, de 14 de noviembre, de la Sala de lo Penal del Tribunal Supremo, en el que se afirma que cuando “se haya abonado un determinado beneficio a un preso, si no es recurrido en tiempo y forma por el Ministerio Fiscal o por el propio penado, deviene firme e intangible, salvo que se den una de estas dos posibilidades: una, de naturaleza procesal, la de que la Ley no atribuya expresamente de firmeza a dicha resolución, excepción que en todo caso debería ser compatible con el principio de seguridad jurídica; otra, de carácter sustantivo, la de que el beneficio en cuestión no sea definitivo, sino condicional, pudiendo ser revisado en los supuestos legales en que así se prevea. Y de la misma manera que el Tribunal Constitucional estimó que ninguna de dichas circunstancias concurre en relación con la redención de penas por el trabajo, cabe afirmar que tampoco hay precepto legal alguno que torne en meramente provisional la decisión de aplicar los beneficios penitenciarios a la pena a cumplir y no a todas las impuestas, porque no es una decisión condicionada, ni siquiera la Ley podría hacerlo sin inconstitucional merma de la seguridad jurídica más elemental”. Añade que existe otro motivo para no entender aplicable a todos y cada uno de los casos la doctrina pretendida, cual es que “el art. 78 CP establece como excepcional que los beneficios penitenciarios, los permisos de salida, la clasificación en tercer grado y el cómputo de tiempo para la libertad condicional se refieran a la totalidad de las penas. Y lo establece como excepcional pues ese modo de actuar se atribuye al juzgador con el sintagma ‘podrá acordar’, que se trueca en modo imperativo en el apartado 2 del citado precepto solamente en los supuestos concretos de las letras a) y b) [inicialmente y, desde la Ley Orgánica de 2003 también c) y d)] del art. 76 CP. Aún más, esa facultad excepcional exige un presupuesto: </w:t>
      </w:r>
      <w:r>
        <w:lastRenderedPageBreak/>
        <w:t>que el triple de la pena más grave sea inferior a la suma de la totalidad de las penas impuestas. De suerte que, si el triple de la pena más grave no es inferior a la mitad de la suma de las penas impuestas o, aún en tal caso, si el sentenciador no hace uso de aquella posibilidad, la referencia será en relación a la pena a cumplir, expresión usada por el citado art. 78 en el inciso inicial del precepto”.</w:t>
      </w:r>
    </w:p>
    <w:p w:rsidR="00D06117" w:rsidRDefault="00D06117" w:rsidP="00D06117">
      <w:pPr>
        <w:pStyle w:val="TextoNormal"/>
      </w:pPr>
    </w:p>
    <w:p w:rsidR="00D06117" w:rsidRDefault="00D06117" w:rsidP="00D06117">
      <w:pPr>
        <w:pStyle w:val="TextoNormal"/>
      </w:pPr>
      <w:r>
        <w:t>Termina el demandante de amparo exponiendo que la especial trascendencia del presente recurso estriba en la conveniencia de determinar si la llamada “doctrina Parot” construida por el Tribunal Supremo es acorde con la Constitución, así como precisar, en el caso de que fuese declarada conforme con la misma, si puede aplicarse a cualesquiera delitos.</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Constitucional, por providencia de 31 de marzo de 2011, admitió a trámite la demanda y, de conformidad con lo dispuesto en el art. 51 de la Ley Orgánica del Tribunal Constitucional (LOTC), acordó dirigir atenta comunicación a la Sala de lo Penal del Tribunal Supremo y a la Sección Quinta de la Audiencia Provincial de Barcelona, a fin de que, en plazo que no excediera de diez días, remitiesen certificación o fotocopia adverada de las actuaciones correspondientes, respectivamente, al recurso de casación núm. 11132-1999 y a la ejecutoria núm. 279-1999, debiendo la Audiencia emplazar previamente a quienes hubieran sido parte en el procedimiento, a excepción del demandante de amparo, para que pudieran comparecer en el plazo de diez días en este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Secretaría de la Sala Segunda de 3 de mayo de 2011, se acordó, de conformidad con lo dispuesto en el art. 52.1 LOTC, dar vista de las actuaciones, por plazo común de veinte días, al demandante y al Ministerio Fiscal, para que presentaran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6</w:t>
      </w:r>
      <w:r>
        <w:t>. El recurrente en amparo evacuó el trámite de alegaciones mediante escrito registrado el 9 de junio de 2011, en el que se remite a cuanto argumentó previamente en la demanda.</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cumplimentó el trámite de alegaciones mediante escrito registrado el 15 de junio de 2011, en el que solicita que se estime el recurso de amparo, por entender que se ha vulnerado el derecho a la ejecución de las resoluciones judiciales en sus propios términos (art. 24.1 CE), en relación con los principios de legalidad penal y de irretroactividad de lo desfavorable para el reo (arts. 25.1 y 9.3 CE) y el derecho a la libertad personal (art. 17.1 CE).</w:t>
      </w:r>
    </w:p>
    <w:p w:rsidR="00D06117" w:rsidRDefault="00D06117" w:rsidP="00D06117">
      <w:pPr>
        <w:pStyle w:val="TextoNormal"/>
      </w:pPr>
    </w:p>
    <w:p w:rsidR="00D06117" w:rsidRDefault="00D06117" w:rsidP="00D06117">
      <w:pPr>
        <w:pStyle w:val="TextoNormal"/>
      </w:pPr>
      <w:r>
        <w:t>El Fiscal comienza rechazando que se haya producido una vulneración del art. 25.2 CE, puesto que, como reiteradamente ha destacado la doctrina de este Tribunal, el mencionado precepto constitucional no contiene un derecho fundamental del ciudadano susceptible de ser invocado en amparo, sino más bien un mandato dirigido al legislador para orientar la política penal y penitenciaria con objeto de que configure las sanciones penales de modo que cumplan estos fines de reinserción y rehabilitación establecidos en la Constitución, pero sin que se deriven derechos subjetivos del mismo.</w:t>
      </w:r>
    </w:p>
    <w:p w:rsidR="00D06117" w:rsidRDefault="00D06117" w:rsidP="00D06117">
      <w:pPr>
        <w:pStyle w:val="TextoNormal"/>
      </w:pPr>
    </w:p>
    <w:p w:rsidR="00D06117" w:rsidRDefault="00D06117" w:rsidP="00D06117">
      <w:pPr>
        <w:pStyle w:val="TextoNormal"/>
      </w:pPr>
      <w:r>
        <w:t xml:space="preserve">Sostiene el Ministerio Fiscal que, en realidad, el conflicto se plantea entre la exigencia de mantenimiento de una resolución judicial de refundición de penas y la variación de una interpretación jurisprudencial que implica consecuencias retroactivamente perjudiciales </w:t>
      </w:r>
      <w:r>
        <w:lastRenderedPageBreak/>
        <w:t>para la fecha de licenciamiento definitivo del reo. Pues bien, el Fiscal considera que el Auto que fijó los criterios para la ejecución de la condena según una interpretación concreta de la normativa en juego se ha visto modificado posteriormente en atención a una nueva interpretación emanada de la Sala Segunda del Tribunal Supremo, lo cual comporta la vulneración del derecho a la intangibilidad de las resoluciones judiciales ex art. 24.1 CE; un derecho fundamental que, además, tiene engarce con el principio de legalidad penal (art. 25.1 CE) y con la prohibición de retroactividad de las normas penales perjudiciales para el reo (art. 9.3 CE), ya que las garantías de legalidad y seguridad jurídica que exigen ambos preceptos constitucionales deben extenderse no sólo al enjuiciamiento del hecho como tipicidad cierta, taxativa y previsible, sino también a la ejecución de las penas, integrándose la irretroactividad de las normas y su interpretación desfavorable al reo en el complejo de legalidad del art. 25.1 CE. Añade que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que supone de facto la creación ex novo de un nuevo marco paranormativo que ha causado una extensión de la fecha de licenciamiento del interno y una revisión en la aplicación de los beneficios de la redención de penas.</w:t>
      </w:r>
    </w:p>
    <w:p w:rsidR="00D06117" w:rsidRDefault="00D06117" w:rsidP="00D06117">
      <w:pPr>
        <w:pStyle w:val="TextoNormal"/>
      </w:pPr>
    </w:p>
    <w:p w:rsidR="00D06117" w:rsidRDefault="00D06117" w:rsidP="00D06117">
      <w:pPr>
        <w:pStyle w:val="TextoNormal"/>
      </w:pPr>
      <w:r>
        <w:t>A juicio del Fiscal, a las mencionadas vulneraciones debe adicionarse la lesión del derecho a la libertad personal (art. 17.1 CE), por cuanto el demandante en vez de obtener el licenciamiento definitivo en la fecha prevista lo hará en otra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21 de junio de 2011, el Pleno del Tribunal, de conformidad con lo establecido en el art. 10.1 n) LOTC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26 de marzo de 2012 se señaló para la deliberación y votación de la presente Sentencia el día 29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dictado el 3 de junio de 2009 por la Sección Quinta de la Audiencia Provincial de Barcelona acordando practicar liquidación de condena en el seno de la ejecutoria núm. 279-1999, así como contra el Auto de 15 de abril de 2010 de la Sala de lo Penal del Tribunal Supremo que desestimó el recurso de casación formulado contra aquél.</w:t>
      </w:r>
    </w:p>
    <w:p w:rsidR="00D06117" w:rsidRDefault="00D06117" w:rsidP="00D06117">
      <w:pPr>
        <w:pStyle w:val="TextoNormal"/>
      </w:pPr>
    </w:p>
    <w:p w:rsidR="00D06117" w:rsidRDefault="00D06117" w:rsidP="00D06117">
      <w:pPr>
        <w:pStyle w:val="TextoNormal"/>
      </w:pPr>
      <w:r>
        <w:t>Según ha quedado expuesto con mayor detalle en los antecedentes de esta resolución, el demandante de amparo fue condenado a diversas penas que, una vez acumuladas en virtud de lo establecido en el art. 70.2 del Código penal (CP) de 1973, dieron lugar a que la Audiencia Provincial de Barcelona fijara en treinta años de privación de libertad el tiempo total de cumplimiento de las mismas; aprobándose la correspondiente liquidación de condena, en la que se establecía como fecha de extinción el 25 de julio de 2025.</w:t>
      </w:r>
    </w:p>
    <w:p w:rsidR="00D06117" w:rsidRDefault="00D06117" w:rsidP="00D06117">
      <w:pPr>
        <w:pStyle w:val="TextoNormal"/>
      </w:pPr>
    </w:p>
    <w:p w:rsidR="00D06117" w:rsidRDefault="00D06117" w:rsidP="00D06117">
      <w:pPr>
        <w:pStyle w:val="TextoNormal"/>
      </w:pPr>
      <w:r>
        <w:t>A juicio del demandante,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00D06117" w:rsidRDefault="00D06117" w:rsidP="00D06117">
      <w:pPr>
        <w:pStyle w:val="TextoNormal"/>
      </w:pPr>
    </w:p>
    <w:p w:rsidR="00D06117" w:rsidRDefault="00D06117" w:rsidP="00D06117">
      <w:pPr>
        <w:pStyle w:val="TextoNormal"/>
      </w:pPr>
      <w:r>
        <w:t>Sostiene el demandante de amparo que los Autos impugnados, en la medida en que aplican la mencionada doctrina, vulneran tanto su derecho a la libertad individual (art. 17.1 CE) como el derecho a que las penas estén orientadas a la reinserción social (art. 25.2 CE). Coincide parcialmente con este parecer el Ministerio Fiscal, el cual estima que se ha vulnerado el derecho a la intangibilidad de las resoluciones judiciales firmes (art. 24.1 CE), en relación con los principios de legalidad penal y de irretroactividad de lo desfavorable para el reo (arts. 25.1 y 9.3 CE) y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De las quejas esgrimidas en la demanda de amparo debe descartarse, ya desde el inicio, la relativa a la vulneración del art. 25.2 CE, conforme al cual las penas privativas de libertad han de hallarse orientadas a la reeducación y reinserción social. Este Tribunal ha declarado reiteradamente que el art. 25.2 CE no contiene un derecho subjetivo, ni menos aún un derecho fundamental, susceptible de protección en vía de amparo, sino tan sólo un mandato del constituyente al legislador y a la Administración penitenciaria para orientar la ejecución de las penas privativas de libertad (por todas, SSTC 115/2003, de 16 de junio, FJ 3; y 299/2005, de 21 de noviembre, FJ 2).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w:t>
      </w:r>
    </w:p>
    <w:p w:rsidR="00D06117" w:rsidRDefault="00D06117" w:rsidP="00D06117">
      <w:pPr>
        <w:pStyle w:val="TextoNormal"/>
      </w:pPr>
    </w:p>
    <w:p w:rsidR="00D06117" w:rsidRDefault="00D06117" w:rsidP="00D06117">
      <w:pPr>
        <w:pStyle w:val="TextoNormal"/>
      </w:pPr>
      <w:r>
        <w:t>A lo anterior se añade que aun cuando el nuevo criterio de cómputo de las redenciones dificulte objetivamente la posibilidad de reducir automáticamente el cumplimiento efectivo de la pena en determinados supuestos, singularmente aquellos en los que la duración de las penas acumuladas supere ampliamente los límites máximos de cumplimiento legalmente establecidos, es lo cierto que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
      </w:pPr>
      <w:r w:rsidRPr="00D06117">
        <w:rPr>
          <w:rStyle w:val="NumeroAFNegritaCaracter"/>
        </w:rPr>
        <w:t>3</w:t>
      </w:r>
      <w:r>
        <w:t>. Abordando ya el motivo sustancial de la petición de amparo, debemos afirmar, en primer lugar,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 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CP vigente).</w:t>
      </w:r>
    </w:p>
    <w:p w:rsidR="00D06117" w:rsidRDefault="00D06117" w:rsidP="00D06117">
      <w:pPr>
        <w:pStyle w:val="TextoNormal"/>
      </w:pPr>
    </w:p>
    <w:p w:rsidR="00D06117" w:rsidRDefault="00D06117" w:rsidP="00D06117">
      <w:pPr>
        <w:pStyle w:val="TextoNormal"/>
      </w:pPr>
      <w: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w:t>
      </w:r>
      <w:r>
        <w:lastRenderedPageBreak/>
        <w:t>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Las resoluciones impugnadas, dictadas por la Audiencia Provincial de Barcelona, se limitan a aplicar la doctrina sentada por otro órgano judicial, el Tribunal Supremo, máximo intérprete de la ley, justificando razonadamente el cambio de criterio sobre la forma de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17.1 CE.</w:t>
      </w:r>
    </w:p>
    <w:p w:rsidR="00D06117" w:rsidRDefault="00D06117" w:rsidP="00D06117">
      <w:pPr>
        <w:pStyle w:val="TextoNormal"/>
      </w:pPr>
    </w:p>
    <w:p w:rsidR="00D06117" w:rsidRDefault="00D06117" w:rsidP="00D06117">
      <w:pPr>
        <w:pStyle w:val="TextoNormal"/>
      </w:pPr>
      <w:r w:rsidRPr="00D06117">
        <w:rPr>
          <w:rStyle w:val="NumeroAFNegritaCaracter"/>
        </w:rPr>
        <w:t>4</w:t>
      </w:r>
      <w:r>
        <w:t>. Desde otra perspectiva, sostienen el demandante y el Ministerio Fiscal que la aplicación de la nueva interpretación jurisprudencial sobre la forma de cómputo de la redención de penas por el trabajo ha vulnerado el derecho a la tutela judicial efectiva, en cuanto este derecho garantiza la intangibilidad de las resoluciones judiciales firmes (art. 24.1 CE). Concreta el Fiscal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w:t>
      </w:r>
    </w:p>
    <w:p w:rsidR="00D06117" w:rsidRDefault="00D06117" w:rsidP="00D06117">
      <w:pPr>
        <w:pStyle w:val="TextoNormal"/>
      </w:pPr>
    </w:p>
    <w:p w:rsidR="00D06117" w:rsidRDefault="00D06117" w:rsidP="00D06117">
      <w:pPr>
        <w:pStyle w:val="TextoNormal"/>
      </w:pPr>
      <w: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w:t>
      </w:r>
      <w:r>
        <w:lastRenderedPageBreak/>
        <w:t>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 xml:space="preserve">Por tanto, nuestro examen se limitará a analizar si la respuesta judicial obtenida por el recurrente en las resoluciones judiciales que son objeto del presente recurso de amparo, al aplicar el nuevo criterio de cómputo de las redenciones a las penas impuestas, ha supuesto, </w:t>
      </w:r>
      <w:r>
        <w:lastRenderedPageBreak/>
        <w:t>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5</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el Abogado del Estado y el Ministerio Fiscal, y hemos recogido en los antecedentes de esta resolución una vez contrastados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demandante de amparo fue condenado al cumplimiento de diversas penas privativas de libertad por hechos cometidos durante la vigencia del Código penal de 1973, la Sala sentenciadora, en aplicación de lo establecido en el art. 70.2 del mencionado texto legal, acordó, mediante Auto de 20 de diciembre de 1999, fijar en treinta años de prisión el máximo de cumplimiento de la condena impuesta, practicándose la correspondiente liquidación de condena, con arreglo a la cual la fecha de su extinción sería el 25 de julio de 2025.</w:t>
      </w:r>
    </w:p>
    <w:p w:rsidR="00D06117" w:rsidRDefault="00D06117" w:rsidP="00D06117">
      <w:pPr>
        <w:pStyle w:val="TextoNormal"/>
      </w:pPr>
    </w:p>
    <w:p w:rsidR="00D06117" w:rsidRDefault="00D06117" w:rsidP="00D06117">
      <w:pPr>
        <w:pStyle w:val="TextoNormal"/>
      </w:pPr>
      <w:r>
        <w:t>b) Posteriormente, el demandante de amparo pidió la revisión de la condena, solicitando que le fueran aplicadas las disposiciones del Código penal de 1995, si bien en la audiencia pública celebrada al efecto el 13 de noviembre de 2001, tanto él mismo como su Letrado se mostraron conformes con la aplicación del Código penal de 1973, por lo que la Sala dictó Auto de 14 de noviembre de 2001 teniéndole por desistido de aquella petición.</w:t>
      </w:r>
    </w:p>
    <w:p w:rsidR="00D06117" w:rsidRDefault="00D06117" w:rsidP="00D06117">
      <w:pPr>
        <w:pStyle w:val="TextoNormal"/>
      </w:pPr>
    </w:p>
    <w:p w:rsidR="00D06117" w:rsidRDefault="00D06117" w:rsidP="00D06117">
      <w:pPr>
        <w:pStyle w:val="TextoNormal"/>
      </w:pPr>
      <w:r>
        <w:t>c) Es por medio de escrito de 28 de abril de 2009 cuando el Ministerio Fiscal manifestó tener conocimiento de que la Administración penitenciaria tenía previsto el licenciamiento definitivo del demandante para el 17 de julio de 2011, razón por la que solicitó a la Sala sentenciadora que se ordenara a la Administración penitenciaria la realización de una liquidación de condena que se ajustara a la doctrina dimanante de la STS 197/2006, de 28 de febrero; siendo así que por Auto de 3 de junio de 2009 la Audiencia Provincial de Barcelona estimó la petición efectuada por el Ministerio Fiscal y acordó que se practicara la liquidación de forma tal que los beneficios penitenciarios y redenciones que procediesen se aplicaran respecto a cada una de las penas que se encontrase cumpliendo, ordenando que, una vez extinguida la primera, se diese cumplimiento a la siguiente y así sucesivamente hasta el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6</w:t>
      </w:r>
      <w:r>
        <w:t>.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a) Por lo que respecta al Auto de la Sala de lo Penal de la Audiencia Nacional de 20 de diciembre de 1999 de acumulación de condenas y fijación del límite máximo de cumplimiento, esta resolución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b) Por lo que se refiere al Auto de 14 de noviembre de 2001, se limita a tener por desistido al demandante de amparo de su inicial petición de revisión de la condena, mostrándose tanto él mismo como su Letrado se mostraron conformes con la aplicación del Código penal de 1973. En todo caso, es claro que ni en el fallo de esta resolución se realiza pronunciamiento alguno acerca del criterio de cómputo de las redenciones (porque no era su objeto), ni de su fundamentación jurídica puede concluirse que la decisión de no revisar las condenas se sustentara de manera clara en un determinado criterio de cómputo de las redenciones que resulte determinante o decisivo para considerar o no más favorable el Código penal de 1973.</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Antonio García Carbonell.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5150-2010.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2" w:name="SENTENCIA_2012_69"/>
      <w:r>
        <w:lastRenderedPageBreak/>
        <w:t>SENTENCIA 69/2012, de 29 de marzo de 2012</w:t>
      </w:r>
    </w:p>
    <w:bookmarkEnd w:id="7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101, de 27 de abril de 2012)</w:t>
      </w:r>
    </w:p>
    <w:p w:rsidR="00D06117" w:rsidRDefault="00D06117" w:rsidP="00D06117">
      <w:pPr>
        <w:pStyle w:val="TtuloBOE"/>
      </w:pPr>
    </w:p>
    <w:p w:rsidR="00D06117" w:rsidRDefault="00D06117" w:rsidP="00D06117">
      <w:pPr>
        <w:pStyle w:val="SntesisDescriptiva"/>
      </w:pPr>
      <w:r>
        <w:t>ECLI:ES:TC:2012:69</w:t>
      </w:r>
    </w:p>
    <w:p w:rsidR="00D06117" w:rsidRDefault="00D06117" w:rsidP="00D06117">
      <w:pPr>
        <w:pStyle w:val="SntesisDescriptiva"/>
      </w:pPr>
    </w:p>
    <w:p w:rsidR="00D06117" w:rsidRDefault="00D06117" w:rsidP="00D06117">
      <w:pPr>
        <w:pStyle w:val="SntesisDescriptiva"/>
      </w:pPr>
      <w:r>
        <w:t>Recurso de amparo 7861-2010. Promovido por doña María Lourdes Churruca Madinabeitia con respecto a los Autos de la Sala de lo Penal del Tribunal Supremo y de la Sección Tercera de la Sala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o del principio de legalidad en relación con la prohibición de retroactividad de las normas penales perjudiciales para el reo,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8].</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5, 7].</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5.</w:t>
      </w:r>
      <w:r>
        <w:tab/>
        <w:t xml:space="preserve">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resoluciones recurridas, ni la doctrina del Tribunal Supremo invocada en ellas </w:t>
      </w:r>
      <w:r>
        <w:lastRenderedPageBreak/>
        <w:t>aplican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5].</w:t>
      </w:r>
    </w:p>
    <w:p w:rsidR="00D06117" w:rsidRDefault="00D06117" w:rsidP="00D06117">
      <w:pPr>
        <w:pStyle w:val="Extracto"/>
      </w:pPr>
    </w:p>
    <w:p w:rsidR="00D06117" w:rsidRDefault="00D06117" w:rsidP="00D06117">
      <w:pPr>
        <w:pStyle w:val="Extracto"/>
      </w:pPr>
      <w:r>
        <w:t>8.</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5].</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5].</w:t>
      </w:r>
    </w:p>
    <w:p w:rsidR="00D06117" w:rsidRDefault="00D06117" w:rsidP="00D06117">
      <w:pPr>
        <w:pStyle w:val="Extracto"/>
      </w:pPr>
    </w:p>
    <w:p w:rsidR="00D06117" w:rsidRDefault="00D06117" w:rsidP="00D06117">
      <w:pPr>
        <w:pStyle w:val="Extracto"/>
      </w:pPr>
      <w:r>
        <w:t>10.</w:t>
      </w:r>
      <w:r>
        <w:tab/>
        <w:t>El principio de seguridad jurídica consagrado en el art. 9.3 CE y el derecho a la tutela judicial efectiva –</w:t>
      </w:r>
      <w:r w:rsidRPr="00D06117">
        <w:rPr>
          <w:i/>
        </w:rPr>
        <w:t>ex</w:t>
      </w:r>
      <w:r>
        <w:t xml:space="preserve"> art. 24.1 CE– impiden a los Jueces y Tribunales, fuera de los casos expresamente previstos en la ley, revisar el juicio efectuado en un caso concreto, incluso si entendieran con posterioridad que la decisión no se ajusta a la legalidad (SSTC 219/2000, 62/2010) [FJ 6].</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6].</w:t>
      </w:r>
    </w:p>
    <w:p w:rsidR="00D06117" w:rsidRDefault="00D06117" w:rsidP="00D06117">
      <w:pPr>
        <w:pStyle w:val="Extracto"/>
      </w:pPr>
    </w:p>
    <w:p w:rsidR="00D06117" w:rsidRDefault="00D06117" w:rsidP="00D06117">
      <w:pPr>
        <w:pStyle w:val="Extracto"/>
      </w:pPr>
      <w:r>
        <w:lastRenderedPageBreak/>
        <w:t>12.</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6].</w:t>
      </w:r>
    </w:p>
    <w:p w:rsidR="00D06117" w:rsidRDefault="00D06117" w:rsidP="00D06117">
      <w:pPr>
        <w:pStyle w:val="Extracto"/>
      </w:pPr>
    </w:p>
    <w:p w:rsidR="00D06117" w:rsidRDefault="00D06117" w:rsidP="00D06117">
      <w:pPr>
        <w:pStyle w:val="Extracto"/>
      </w:pPr>
      <w:r>
        <w:t>13.</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[FFJJ 5, 9].</w:t>
      </w:r>
    </w:p>
    <w:p w:rsidR="00D06117" w:rsidRDefault="00D06117" w:rsidP="00D06117">
      <w:pPr>
        <w:pStyle w:val="Extracto"/>
      </w:pPr>
    </w:p>
    <w:p w:rsidR="00D06117" w:rsidRDefault="00D06117" w:rsidP="00D06117">
      <w:pPr>
        <w:pStyle w:val="Extracto"/>
      </w:pPr>
      <w:r>
        <w:t>14.</w:t>
      </w:r>
      <w:r>
        <w:tab/>
        <w:t>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y su evolución muestren que se hallan en condiciones de rehacer su vida en libertad [FJ 9].</w:t>
      </w:r>
    </w:p>
    <w:p w:rsidR="00D06117" w:rsidRDefault="00D06117" w:rsidP="00D06117">
      <w:pPr>
        <w:pStyle w:val="Extracto"/>
      </w:pPr>
    </w:p>
    <w:p w:rsidR="00D06117" w:rsidRDefault="00D06117" w:rsidP="00D06117">
      <w:pPr>
        <w:pStyle w:val="Extracto"/>
      </w:pPr>
      <w:r>
        <w:t>15.</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promovido por doña María Lourdes Churruca Madinabeitia, representada por el Procurador de los Tribunales don Javier Cuevas Rivas, contra el Auto de la Sección Tercera de la Sala Penal de la Audiencia Nacional de 26 de octubre de </w:t>
      </w:r>
      <w:r>
        <w:lastRenderedPageBreak/>
        <w:t>2009 (ejecutoria núm. 81-1998 del sumario núm. 25-1994 del Juzgado Central de instrucción núm. 5) que, conforme a la doctrina de la STS (Sala Segunda) núm. 197/2006, acumula condenas fijando el límite máximo, pero aplicando los beneficios y redenciones penitenciarios sobre la totalidad de las penas —de manera sucesiva—; contra el Auto del Tribunal Supremo (Sala Segunda) de 17 de junio de 2010 que inadmite el recurso de casación formalizado por la recurrente; y contra la providencia del mismo Tribunal de 24 de septiembre de 2010 que inadmite el incidente de nulidad de actuaciones. Ha intervenido el Ministerio Fiscal.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4 de noviembre de 2010 doña María Lourdes Churruca Madinabeitia, representada por el Procurador de los Tribunales don Javier Cuevas Rivas, interpuso recurso de amparo contra las resoluciones a las que se ha hecho referencia en el encabezamiento de esta Sentencia, por vulneración de sus derechos a la igualdad (art. 14 CE); a la libertad personal en relación con el principio de legalidad (art. 17 CE); a la tutela judicial efectiva (art. 24.1 CE), en su vertiente de intangibilidad de las resoluciones judiciales firmes, al derecho a la defensa, al derecho a un proceso justo con las debidas garantías (art. 24.2 CE); y por vulneración de los principios de legalidad y seguridad jurídica (art. 25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procesales del presente recurso son los siguientes:</w:t>
      </w:r>
    </w:p>
    <w:p w:rsidR="00D06117" w:rsidRDefault="00D06117" w:rsidP="00D06117">
      <w:pPr>
        <w:pStyle w:val="TextoNormal"/>
      </w:pPr>
    </w:p>
    <w:p w:rsidR="00D06117" w:rsidRDefault="00D06117" w:rsidP="00D06117">
      <w:pPr>
        <w:pStyle w:val="TextoNormal"/>
      </w:pPr>
      <w:r>
        <w:t xml:space="preserve">a) la recurrente, integrante de los comandos Eibar (1988-1989) y Vizcaya (1993-1994) de ETA, resultó ejecutoriamente condenada por Sentencia de la Audiencia Nacional núm. 40/1996, de 26 de junio (sumario 24-1994 del Juzgado Central de Instrucción núm. 2), a dieciocho años de reclusión menor por tentativa de atentado terrorista; en Sentencia de la Audiencia Nacional núm. 53/1996, de 22 de julio (sumario 22-1994 del Juzgado Central de Instrucción núm. 2), a veinte años de reclusión menor por atentado terrorista frustrado; en Sentencia de la Audiencia Nacional núm. 43/1996, de 25 de junio (sumario 30-1995 del Juzgado Central de Instrucción núm. 5), a cinco años de prisión menor por terrorismo (tentativa); en Sentencia de la Audiencia Nacional núm. 45/1996, de 26 de junio (sumario 22-1994 del Juzgado Central de Instrucción núm. 5), a ocho años de prisión mayor por terrorismo (frustrado); en Sentencia de la Audiencia Nacional núm. 7/1997, de 28 de enero (sumario 20-1989 del Juzgado Central de Instrucción núm. 4), a doce años de prisión mayor por terrorismo, treinta años de reclusión mayor por asesinato terrorista y ocho años de prisión mayor por tenencia de explosivos; en Sentencia de la Audiencia Nacional núm. 31/1997, de 29 de julio (sumario 44-1994 del Juzgado Central de Instrucción núm. 4), a treinta años de prisión menor por atentado, cuatro años de prisión menor por robo de vehículo, cuatro años de prisión menor y multa de 400.000 pesetas por falsificación de placas de matrícula; en Sentencia de la Audiencia Nacional núm. 6/1998, de 17 de marzo (sumario 26-1993 del Juzgado Central de Instrucción núm. 5), a cinco años de prisión menor por falsificación de placa de matrícula; treinta años de reclusión mayor por atentado con asesinato, seis años de prisión menor por utilización ilegítima de vehículo de motor; en Sentencia de la Audiencia Nacional núm. 29/1997, de 30 de mayo (sumario 6-1994 del Juzgado Central de Instrucción núm. 5), a veintiocho años de reclusión mayor por atentado </w:t>
      </w:r>
      <w:r>
        <w:lastRenderedPageBreak/>
        <w:t>con resultado de muerte, y cuatro años y dos meses de prisión menor por lesiones; en Sentencia de la Audiencia Nacional núm. 44/1996, de 25 de julio (sumario 23-1994 del Juzgado Central de Instrucción núm. 2), a la pena de veinte años de reclusión menor por el delito de atentado, veinte años de reclusión menor por asesinato frustrado y ocho años de prisión mayor por terrorismo; en Sentencia de la Audiencia Nacional núm. 25/1997, de 10 de julio (sumario 93-1994 del Juzgado Central de Instrucción núm. 4) a la pena de quince años de prisión por atentado en grado de tentativa, ocho años de prisión por tenencia ilícita de explosivos y doce años de prisión por pertenencia a banda armada; en Sentencia de la Audiencia Nacional núm. 2/1997, de 14 de enero (sumario 66-1994 del Juzgado Central de Instrucción núm. 4), a la pena de diez años de prisión mayor por robo con toma de rehenes, treinta años de reclusión mayor por atentado con asesinato y cinco años de prisión menor por lesiones.</w:t>
      </w:r>
    </w:p>
    <w:p w:rsidR="00D06117" w:rsidRDefault="00D06117" w:rsidP="00D06117">
      <w:pPr>
        <w:pStyle w:val="TextoNormal"/>
      </w:pPr>
    </w:p>
    <w:p w:rsidR="00D06117" w:rsidRDefault="00D06117" w:rsidP="00D06117">
      <w:pPr>
        <w:pStyle w:val="TextoNormal"/>
      </w:pPr>
      <w:r>
        <w:t>Finalmente en Sentencia de la Audiencia Nacional Sala de lo Penal (Sección Tercera) núm. 34/1998, de 9 de septiembre (sumario núm. 25-1994 del Juzgado Central de Instrucción núm. 5), se le condenó a quince años de reclusión menor por depósito de armas, diez años de prisión mayor por tenencia de explosivos, diecinueve años de reclusión menor por conspiración para cometer tres asesinatos, cuarenta y ocho años de reclusión menor (veinticuatro más veinticuatro) por dos tentativas de asesinato, diez años de prisión mayor por utilización ilegítima de vehículo de motor en concurso con detención ilegal, ocho años de prisión mayor por utilización ilegítima de vehículo motor y cuatro años de prisión menor y multa de 1.000.000 de pesetas por falsificación de matrículas continuada. Esta Sentencia de la Audiencia Nacional núm. 34/1998 dio lugar a la ejecutoria núm. 81-1998.</w:t>
      </w:r>
    </w:p>
    <w:p w:rsidR="00D06117" w:rsidRDefault="00D06117" w:rsidP="00D06117">
      <w:pPr>
        <w:pStyle w:val="TextoNormal"/>
      </w:pPr>
    </w:p>
    <w:p w:rsidR="00D06117" w:rsidRDefault="00D06117" w:rsidP="00D06117">
      <w:pPr>
        <w:pStyle w:val="TextoNormal"/>
      </w:pPr>
      <w:r>
        <w:t>b) En ejecución de la Sentencia de la Audiencia Nacional núm. 34/1998, el 8 de agosto de 2007 el Ministerio Fiscal interesó la acumulación de las condenas impuestas por diversos delitos conexos, informando el 26 de junio de 2008 a favor de la acumulación de las condenas de las Sentencias de la Audiencia Nacional núms., 40/1996, 43/1996, 53/1996, 31/1997 y 6/1998.</w:t>
      </w:r>
    </w:p>
    <w:p w:rsidR="00D06117" w:rsidRDefault="00D06117" w:rsidP="00D06117">
      <w:pPr>
        <w:pStyle w:val="TextoNormal"/>
      </w:pPr>
    </w:p>
    <w:p w:rsidR="00D06117" w:rsidRDefault="00D06117" w:rsidP="00D06117">
      <w:pPr>
        <w:pStyle w:val="TextoNormal"/>
      </w:pPr>
      <w:r>
        <w:t>El 23 de diciembre de 2008 la Sección Tercera de la Sala de lo Penal de la Audiencia Nacional dictó Auto que dispuso la acumulación de las condenas de las Sentencias de la Audiencia Nacional núms. 40/1996, 43/1996, 53/1996, 31/1997, 6/1998 y 34/1998, además de las Sentencias de la Audiencia Nacional núm. 45/1996 y 7/1997, con fijación del máximo de cumplimiento en cuarenta años (ex art. 76.1 del Código penal de 1995) y aplicando los beneficios penitenciarios sobre la totalidad de las penas impuestas, y no sobre el límite de cuarenta años (doctrina de STS 197/2006 recogida en art. 78 del Código penal de 1995). Este Auto fue notificado el 15 de enero de 2009.</w:t>
      </w:r>
    </w:p>
    <w:p w:rsidR="00D06117" w:rsidRDefault="00D06117" w:rsidP="00D06117">
      <w:pPr>
        <w:pStyle w:val="TextoNormal"/>
      </w:pPr>
    </w:p>
    <w:p w:rsidR="00D06117" w:rsidRDefault="00D06117" w:rsidP="00D06117">
      <w:pPr>
        <w:pStyle w:val="TextoNormal"/>
      </w:pPr>
      <w:r>
        <w:t>El 19 de enero de 2009 la actora interpuso recurso de súplica contra el Auto de 23 de diciembre de 2008, al estimar que infringía los derechos de los arts. 9.3, 14, 24.1, 25.1 y 2 CE y los arts. 71.2 y 100 del Código penal (CP) de 1973 y arts. 66 y 71.3 del Reglamento de servicios y prisiones de 1956 solicitando la aplicación del límite máximo de cumplimiento de treinta años (art. 71.2 CP 1973), y aplicando sobre este los beneficios y redenciones, al haberse cometido los hechos durante la vigencia del Código penal de 1973, sin que en ningún caso considerase aplicable la doctrina de STS núm. 197/2006.</w:t>
      </w:r>
    </w:p>
    <w:p w:rsidR="00D06117" w:rsidRDefault="00D06117" w:rsidP="00D06117">
      <w:pPr>
        <w:pStyle w:val="TextoNormal"/>
      </w:pPr>
    </w:p>
    <w:p w:rsidR="00D06117" w:rsidRDefault="00D06117" w:rsidP="00D06117">
      <w:pPr>
        <w:pStyle w:val="TextoNormal"/>
      </w:pPr>
      <w:r>
        <w:lastRenderedPageBreak/>
        <w:t>En Auto de 22 de enero de 2009 la Sección Tercera de la Sala de lo Penal de la Audiencia Nacional (notificado el 29 de enero de 2009) inadmitió el recurso al no resultar la resolución recurrible en súplica (arts. 236-237 de la Ley de enjuiciamiento criminal: LECrim), sino en casación en interés de la ley (art. 988 LECrim).</w:t>
      </w:r>
    </w:p>
    <w:p w:rsidR="00D06117" w:rsidRDefault="00D06117" w:rsidP="00D06117">
      <w:pPr>
        <w:pStyle w:val="TextoNormal"/>
      </w:pPr>
    </w:p>
    <w:p w:rsidR="00D06117" w:rsidRDefault="00D06117" w:rsidP="00D06117">
      <w:pPr>
        <w:pStyle w:val="TextoNormal"/>
      </w:pPr>
      <w:r>
        <w:t>Con fecha 28 de enero de 2009 se anunció por la representación de la recurrente recurso de casación (art. 988 LECrim), por infracción de precepto constitucional (arts. 9.3, 14, 24.1, 25.1 y 2 CE) y legal (arts. 71.2 y 100 CP 1973 y arts. 66 y 71.3 del Reglamento de servicios y prisiones de 1956), contra el Auto de 23 de diciembre de 2008 (notificado en forma el 28 de enero de 2009). Mediante Auto de 3 de febrero de 2009 se tuvo por preparado el recurso de casación.</w:t>
      </w:r>
    </w:p>
    <w:p w:rsidR="00D06117" w:rsidRDefault="00D06117" w:rsidP="00D06117">
      <w:pPr>
        <w:pStyle w:val="TextoNormal"/>
      </w:pPr>
    </w:p>
    <w:p w:rsidR="00D06117" w:rsidRDefault="00D06117" w:rsidP="00D06117">
      <w:pPr>
        <w:pStyle w:val="TextoNormal"/>
      </w:pPr>
      <w:r>
        <w:t>La STS (Sala Segunda) núm. 815/2009, de 22 de julio, estimó el recurso de casación por vulneración del art. 24.1 CE (falta de contradicción y de motivación del Auto de 23 de diciembre de 2008) anulándolo y ordenando la retroacción de actuaciones.</w:t>
      </w:r>
    </w:p>
    <w:p w:rsidR="00D06117" w:rsidRDefault="00D06117" w:rsidP="00D06117">
      <w:pPr>
        <w:pStyle w:val="TextoNormal"/>
      </w:pPr>
    </w:p>
    <w:p w:rsidR="00D06117" w:rsidRDefault="00D06117" w:rsidP="00D06117">
      <w:pPr>
        <w:pStyle w:val="TextoNormal"/>
      </w:pPr>
      <w:r>
        <w:t>c) El 31 de julio de 2009 se recibió en la Sección Tercera de la Sala de lo Penal de la Audiencia Nacional (ejecutoria núm. 81-1998 de la Sentencia de la Audiencia Nacional 34-1998) hoja de cálculo de penas y límite de cumplimiento de doña María Lourdes Churruca Medinabeitia (53.016 días, sin redención alguna) remitida por el centro penitenciario de Huelva.</w:t>
      </w:r>
    </w:p>
    <w:p w:rsidR="00D06117" w:rsidRDefault="00D06117" w:rsidP="00D06117">
      <w:pPr>
        <w:pStyle w:val="TextoNormal"/>
      </w:pPr>
    </w:p>
    <w:p w:rsidR="00D06117" w:rsidRDefault="00D06117" w:rsidP="00D06117">
      <w:pPr>
        <w:pStyle w:val="TextoNormal"/>
      </w:pPr>
      <w:r>
        <w:t>En informe de 10 de septiembre de 2009 el Ministerio Fiscal interesó la liquidación y fijación del límite máximo de cumplimiento en treinta años, con aplicación de la doctrina de STS núm. 197/2006, para el 24 de diciembre de 2024.</w:t>
      </w:r>
    </w:p>
    <w:p w:rsidR="00D06117" w:rsidRDefault="00D06117" w:rsidP="00D06117">
      <w:pPr>
        <w:pStyle w:val="TextoNormal"/>
      </w:pPr>
    </w:p>
    <w:p w:rsidR="00D06117" w:rsidRDefault="00D06117" w:rsidP="00D06117">
      <w:pPr>
        <w:pStyle w:val="TextoNormal"/>
      </w:pPr>
      <w:r>
        <w:t>Mediante escrito de 29 septiembre 2009 la actora solicitó la acumulación de condenas y fijación de límite máximo en treinta años (ex art. 70 regla 2, CP 1973), al que aplicar los beneficios y redenciones, respecto de las Sentencias de la Sección Segunda de Sala de lo Penal de la Audiencia Nacional núms. 40/1996 (sumario 24-1994 del Juzgado Central de Instrucción núm. 2); 43/1996 (sumario 30-1995 del Juzgado Central de Instrucción núm. 5); 44/1996 (sumario 23-1994 del Juzgado Central de Instrucción núm. 2); 45/1996 (sumario 22-1994 del Juzgado Central de Instrucción núm. 2); 45/1996 (sumario 22-1994 del Juzgado Central de Instrucción núm. 5); 29/1997 (sumario 6-1994 del Juzgado Central de Instrucción núm. 5) y 6/98 (sumario 26-1993 del Juzgado Central de Instrucción núm. 5); y respecto de las Sentencias de la Sección Tercera de la Sala de lo Penal de la Audiencia Nacional núms. 2/1997 (sumario 66-1994 del Juzgado Central de Instrucción núm. 4); 7/1997 (sumario 20-1989 del Juzgado Central de Instrucción núm. 4); 25/97 (sumario 93-1994 del Juzgado Central de Instrucción núm. 4); 31/1997 (sumario 44-1994 del Juzgado Central de Instrucción núm. 4) y 34/1998 (sumario 25-1994 del Juzgado Central de Instrucción núm. 5). La recurrente argumentó que los hechos se habían cometido por su pertenencia a ETA desde 1985, con anterioridad a la entrada en vigor del Código penal de 1995, resultando aplicable el Código penal de 1973, y debiéndose computar los beneficios y redenciones sobre dichos treinta años de máximo cumplimiento.</w:t>
      </w:r>
    </w:p>
    <w:p w:rsidR="00D06117" w:rsidRDefault="00D06117" w:rsidP="00D06117">
      <w:pPr>
        <w:pStyle w:val="TextoNormal"/>
      </w:pPr>
    </w:p>
    <w:p w:rsidR="00D06117" w:rsidRDefault="00D06117" w:rsidP="00D06117">
      <w:pPr>
        <w:pStyle w:val="TextoNormal"/>
      </w:pPr>
      <w:r>
        <w:t>Mediante informe de 15 octubre 2009 el Ministerio Fiscal no se opuso a la refundición solicitada, siempre que se mantuviere el límite máximo de cumplimiento en treinta años y la fecha del 24 diciembre 2024 como la de extinción.</w:t>
      </w:r>
    </w:p>
    <w:p w:rsidR="00D06117" w:rsidRDefault="00D06117" w:rsidP="00D06117">
      <w:pPr>
        <w:pStyle w:val="TextoNormal"/>
      </w:pPr>
    </w:p>
    <w:p w:rsidR="00D06117" w:rsidRDefault="00D06117" w:rsidP="00D06117">
      <w:pPr>
        <w:pStyle w:val="TextoNormal"/>
      </w:pPr>
      <w:r>
        <w:t>En Auto del 26 octubre 2009 la Sección Tercera de la Sala de lo Penal de la Audiencia Nacional procedió a acumular las condenas impuestas en las Sentencias de la Audiencia Nacional núms. 40/1996 (sumario 24-1994 del Juzgado Central de instrucción nº 5); 43/1996 (sumario 30-1995, del Juzgado Central de instrucción núm. 5); 44/1996 (sumario 23-1994, del Juzgado Central de instrucción núm. 2); 45/1996 (sumario 22-1994, del Juzgado Central de instrucción núm. 5); 53/1996 (sumario 22-1994 del Juzgado Central de instrucción núm. 2); 2/1997 (sumario 66-1994, del Juzgado Central de instrucción núm. 4); 7/1997 (sumario 20-1989 del Juzgado Central de instrucción núm. 4); 25/1997 (sumario 93-1994 del Juzgado Central de instrucción núm. 4); 29/1997 (sumario 6-1994, del Juzgado Central de instrucción núm. 5); 31/1997 (sumario 44-1994 del Juzgado Central de instrucción núm. 4); 6/1998 (sumario 26-1993 del Juzgado Central de instrucción núm. 5); y 34/1998 (sumario 25-1994 del Juzgado Central de instrucción núm. 5), fijando el máximo de cumplimiento en treinta años, pero con liquidación conforme al criterio de STS 197/2006.</w:t>
      </w:r>
    </w:p>
    <w:p w:rsidR="00D06117" w:rsidRDefault="00D06117" w:rsidP="00D06117">
      <w:pPr>
        <w:pStyle w:val="TextoNormal"/>
      </w:pPr>
    </w:p>
    <w:p w:rsidR="00D06117" w:rsidRDefault="00D06117" w:rsidP="00D06117">
      <w:pPr>
        <w:pStyle w:val="TextoNormal"/>
      </w:pPr>
      <w:r>
        <w:t>d) El 3 noviembre 2009 la representación de la recurrente interpuso recurso de casación por infracción de precepto constitucional (arts. 14, 24.1 y 2 y 25.1 y 2 CE) y de ley (arts. 70.2 y 100 CP de 1973 y arts. 66 y 71.3 del Reglamento de servicios y prisiones de 1956), contra el Auto 26 octubre 2009 de la Sección Tercera de la Sala de lo Penal de la Audiencia Nacional, el cual se tuvo por preparado en Auto de 18 de noviembre de 2009.</w:t>
      </w:r>
    </w:p>
    <w:p w:rsidR="00D06117" w:rsidRDefault="00D06117" w:rsidP="00D06117">
      <w:pPr>
        <w:pStyle w:val="TextoNormal"/>
      </w:pPr>
    </w:p>
    <w:p w:rsidR="00D06117" w:rsidRDefault="00D06117" w:rsidP="00D06117">
      <w:pPr>
        <w:pStyle w:val="TextoNormal"/>
      </w:pPr>
      <w:r>
        <w:t>Mediante Auto de 17 de junio de 2010 (notificado el 1 de julio de 2010) la Sala Segunda del Tribunal Supremo inadmitió el recurso de casación por: primero, no existir vulneración del principio de legalidad e irretroactividad de las disposiciones menos favorables, en cuanto que este no resulta aplicable a la jurisprudencia, habiéndose aplicado un criterio interpretativo de precepto legal aplicable al momento de la acumulación; segundo, no concurrir lesión del derecho a la tutela judicial efectiva (en vertiente de intangibilidad del fallo) ni el derecho a la libertad personal ni la igualdad de la aplicación de la ley, ya que no se produjo anterior acumulación de condenas, existiendo disparidad de situaciones fácticas y jurídicas entre penados; y tercero, tampoco se quebranta la finalidad educativa de la pena, al no ser ésta la exclusiva función de la misma.</w:t>
      </w:r>
    </w:p>
    <w:p w:rsidR="00D06117" w:rsidRDefault="00D06117" w:rsidP="00D06117">
      <w:pPr>
        <w:pStyle w:val="TextoNormal"/>
      </w:pPr>
    </w:p>
    <w:p w:rsidR="00D06117" w:rsidRDefault="00D06117" w:rsidP="00D06117">
      <w:pPr>
        <w:pStyle w:val="TextoNormal"/>
      </w:pPr>
      <w:r>
        <w:t>e) Mediante escrito del 16 de julio de 2010 la actora solicitó la nulidad de actuaciones del Auto del Tribunal Supremo (Sala Segunda) de 17 de junio de 2010, por vulneración del principio de legalidad e irretroactividad penal (art. 25.1 y 2 CE); del derecho a la tutela judicial efectiva, en vertiente de intangibilidad (art. 24.1 CE); del derecho a la libertad personal (art. 17 CE); y del derecho a la igualdad en la aplicación de la ley (art. 14 CE).</w:t>
      </w:r>
    </w:p>
    <w:p w:rsidR="00D06117" w:rsidRDefault="00D06117" w:rsidP="00D06117">
      <w:pPr>
        <w:pStyle w:val="TextoNormal"/>
      </w:pPr>
    </w:p>
    <w:p w:rsidR="00D06117" w:rsidRDefault="00D06117" w:rsidP="00D06117">
      <w:pPr>
        <w:pStyle w:val="TextoNormal"/>
      </w:pPr>
      <w:r>
        <w:t>En providencia de la Sala Segunda del Tribunal Supremo de 24 de septiembre de 2010 (notificada el 27 de septiembre de 2010) se inadmitió dicho incidente, por limitarse a reproducir las alegaciones del recurso de casación, a los efectos de discrepar, sin justificar la efectiva indefensión.</w:t>
      </w:r>
    </w:p>
    <w:p w:rsidR="00D06117" w:rsidRDefault="00D06117" w:rsidP="00D06117">
      <w:pPr>
        <w:pStyle w:val="TextoNormal"/>
      </w:pPr>
    </w:p>
    <w:p w:rsidR="00D06117" w:rsidRDefault="00D06117" w:rsidP="00D06117">
      <w:pPr>
        <w:pStyle w:val="TextoNormal"/>
      </w:pPr>
      <w:r>
        <w:t xml:space="preserve">f) En escrito de 7 de febrero de 2011 la representación de la recurrente solicitó de la Sección Tercera de la Sala de lo Penal de la Audiencia Nacional que efectuase nueva liquidación de condena para computarle el tiempo de prisión preventiva transcurrido simultáneamente en diversas causas desde la firmeza de la Sentencia de la Audiencia Nacional </w:t>
      </w:r>
      <w:r>
        <w:lastRenderedPageBreak/>
        <w:t>núm. 40/1996, de 26 de junio, a la firmeza de la Sentencia de la Audiencia Nacional núm. 34/1998, de 9 de septiembre, con arreglo al criterio de la STC 57/2008.</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tras alegar el cumplimiento de los requisitos formales, justifica la trascendencia constitucional en la novedad y necesidad de un pronunciamiento sobre la doctrina de la STS (Sala Segunda) núm. 197/2006, de 28 febrero (“doctrina Parot”), la cual, contra un inveterado criterio jurisprudencial, computa la redención de penas por el trabajo, no sobre la pena acumulada, sino sobre cada una de las impuestas, haciendo desaparecer las redenciones y beneficios ya firmes, afectándose así la tutela judicial, el principio de legalidad, la seguridad jurídica y la libertad personal de más de setenta y cinco presos de ETA, condenados a más de treinta años de prisión, y cuyo licenciamiento se ha visto pospuesto desde 2006.</w:t>
      </w:r>
    </w:p>
    <w:p w:rsidR="00D06117" w:rsidRDefault="00D06117" w:rsidP="00D06117">
      <w:pPr>
        <w:pStyle w:val="TextoNormal"/>
      </w:pPr>
    </w:p>
    <w:p w:rsidR="00D06117" w:rsidRDefault="00D06117" w:rsidP="00D06117">
      <w:pPr>
        <w:pStyle w:val="TextoNormal"/>
      </w:pPr>
      <w:r>
        <w:t>En primer lugar considera vulnerado el derecho al proceso con las debidas garantías y a la tutela judicial efectiva (arts. 24.2 y 1 CE) por la inadmisión del recurso de casación y del incidente de nulidad de actuaciones. Dicha inadmisión se reputa lesiva del derecho al recurso frente a una resolución, impidiendo un examen de fondo de la cuestión sobre la aplicación de un criterio de la STS 197/2006 a un caso distinto, como si se tratase de la ejecución de la primera sentencia; lo cual —dice— va en contra del art. 14.5 del Pacto internacional de derechos civiles y políticos (revisión de condena penal), sin perjuicio del recurso ante el Tribunal Constitucional (de carácter muy restrictivo).</w:t>
      </w:r>
    </w:p>
    <w:p w:rsidR="00D06117" w:rsidRDefault="00D06117" w:rsidP="00D06117">
      <w:pPr>
        <w:pStyle w:val="TextoNormal"/>
      </w:pPr>
    </w:p>
    <w:p w:rsidR="00D06117" w:rsidRDefault="00D06117" w:rsidP="00D06117">
      <w:pPr>
        <w:pStyle w:val="TextoNormal"/>
      </w:pPr>
      <w:r>
        <w:t>En segundo lugar considera vulnerado el principio de legalidad e irretroactividad penal (art. 25.1 y 2 CE) en cuanto que al computar los beneficios y redenciones penitenciarios sobre cada una de las penas impuestas de forma sucesiva, se está privando de virtualidad a la pena acumulada de treinta años, y en definitiva a las redenciones obtenidas. La aplicación del criterio de la STS 197/2006 constituye una exégesis contraria a las “pautas axiológicas” constitucionales de interpretación de los arts. 73 regla 2 y 100 del CP de 1973 (también de los arts. 66 y 71.3 del Reglamento de servicios y prisiones de 1956) y al criterio jurisprudencial después de quince años, eliminando el beneficio de la redención de penas por trabajo, que se debía aplicar sobre la condena efectiva de treinta años. El legislador había distinguido entre condena y tiempo efectivo de internamiento en los arts. 70.2, y 100 CP y en el art. 202 del Reglamento penitenciario. La STC 57/2008 señaló que ante la ausencia de normas no cabía nunca una interpretación en contra del reo. El Código penal de 1973 estableció la extinción de las penas superiores a treinta años, aplicando a estas los beneficios y redenciones, por lo que, en consecuencia, la aplicación por las resoluciones recurridas (STS 197/2006) de los beneficios de forma sucesiva a todas las penas impuestas resulta una aplicación retroactiva del art. 78 CP 1995. En definitiva se niega la efectividad de la redención de penas por trabajo (art. 100 CP 1973) privándola del carácter de cumplimiento de pena de prisión, imponiéndose al recurrente el cumplimiento del límite máximo de treinta años, más las redenciones ordinarias y extraordinarias (con lo que se excedería del límite de “tiempo de cumplimiento” efectivo). A mayor abundamiento, constituyó una práctica judicial el abono del trabajo y otras redenciones sobre la pena liquidada o acumulada en el momento de determinar el Código penal aplicable (año 1995), por lo que la posterior interpretación priva del derecho a la intangibilidad y efectividad de dichas resoluciones.</w:t>
      </w:r>
    </w:p>
    <w:p w:rsidR="00D06117" w:rsidRDefault="00D06117" w:rsidP="00D06117">
      <w:pPr>
        <w:pStyle w:val="TextoNormal"/>
      </w:pPr>
    </w:p>
    <w:p w:rsidR="00D06117" w:rsidRDefault="00D06117" w:rsidP="00D06117">
      <w:pPr>
        <w:pStyle w:val="TextoNormal"/>
      </w:pPr>
      <w:r>
        <w:t xml:space="preserve">En tercer lugar concurriría, según alega la recurrente, una vulneración del derecho a la tutela judicial efectiva, en la vertiente de intangibilidad de las resoluciones judiciales firmes </w:t>
      </w:r>
      <w:r>
        <w:lastRenderedPageBreak/>
        <w:t>(art. 24.1 CE), afectándose la seguridad jurídica, la legalidad y el derecho a la libertad (art. 17 CE) puesto que la resoluciones de los Juzgados de vigilancia penitenciaria aprobando redenciones (firmes e intangibles) habrían reducido la condena de treinta años, y la recurrente habría actuado en la confianza legítima de dicho acortamiento de la condena. Sin embargo, esta ulterior interpretación ha privado de los derechos adquiridos por liquidaciones firmes.</w:t>
      </w:r>
    </w:p>
    <w:p w:rsidR="00D06117" w:rsidRDefault="00D06117" w:rsidP="00D06117">
      <w:pPr>
        <w:pStyle w:val="TextoNormal"/>
      </w:pPr>
    </w:p>
    <w:p w:rsidR="00D06117" w:rsidRDefault="00D06117" w:rsidP="00D06117">
      <w:pPr>
        <w:pStyle w:val="TextoNormal"/>
      </w:pPr>
      <w:r>
        <w:t>En cuarto lugar se habría vulnerado, continua alegando la recurrente, el principio de legalidad penal por la aplicación retroactiva de la ley penal más desfavorable (art. 25.1 CE en relación con el art. 9.3 CE), al llevarse a cabo una aplicación retroactiva del art. 78 CP 1995 a hechos cometidos durante la vigencia del Código penal de 1973, cuyo régimen resultaba más beneficioso, a tenor de la posibilidad de reducción de condena mediante la redención de penas por trabajo. La no retroactividad respecto de redenciones ya fue proclamada en la exposición de motivos de la Ley Orgánica 7/2003, de 30 de junio, de reformas para el cumplimiento íntegro y efectivo de las penas (como recuerda el fundamento jurídico 5 del Voto particular a la STS 197/2006), de manera que su elusión y aplicación retroactiva del art. 78 CP 1995 lesionan el art. 25.1 CE.</w:t>
      </w:r>
    </w:p>
    <w:p w:rsidR="00D06117" w:rsidRDefault="00D06117" w:rsidP="00D06117">
      <w:pPr>
        <w:pStyle w:val="TextoNormal"/>
      </w:pPr>
    </w:p>
    <w:p w:rsidR="00D06117" w:rsidRDefault="00D06117" w:rsidP="00D06117">
      <w:pPr>
        <w:pStyle w:val="TextoNormal"/>
      </w:pPr>
      <w:r>
        <w:t>En quinto lugar se alega la vulneración del principio de igualdad en la aplicación de la ley (art. 14 CE). Con cita de las SSTC 144/1988 y 193/2001 (FJ 3) apunta cómo la STS 197/2006 se desmarcó injustificadamente de la línea jurisprudencial de las SSTS (Sala Segunda) 1985/1992, 506/1994, 529/1994, 1109/1997, 1458/2002, 1778/2002, 699/2003 y 1223/2005 y los Plenos no jurisdiccionales de 18 de julio de 1996 y 12 de febrero de 1999. Esta falta de fundamento se denunció igualmente en el Voto particular de la STS 197/2006. Se produjo un cambio inopinado e ilógico del criterio jurisprudencial sobre la redención de penas, de extensión a cada vez menos presos, evidenciándose el carácter ad personam del cambio, discriminando a quienes no se van a beneficiar con la nueva interpretación, respecto de quienes sí lo hicieron con anterioridad. Con ello se produce una reescritura jurisprudencial del art. 70.2 CP 1973. En concreto, alega el recurrente —reconociendo que no aporta las resoluciones—, que un somero repaso a los licenciamientos efectuados durante años por las Secciones Segunda y Tercera de la Audiencia Nacional permite apreciar lo inmotivado del cambio.</w:t>
      </w:r>
    </w:p>
    <w:p w:rsidR="00D06117" w:rsidRDefault="00D06117" w:rsidP="00D06117">
      <w:pPr>
        <w:pStyle w:val="TextoNormal"/>
      </w:pPr>
    </w:p>
    <w:p w:rsidR="00D06117" w:rsidRDefault="00D06117" w:rsidP="00D06117">
      <w:pPr>
        <w:pStyle w:val="TextoNormal"/>
      </w:pPr>
      <w:r>
        <w:t>En sexto lugar se invoca la vulneración del derecho a la libertad personal (art. 17.1 CE), en cuanto que la aplicación de los beneficios penitenciarios afecta dicho derecho (SSTC 31/1999 y 76/2004). La recurrente se ha visto privada de la libertad y por ende de su expectativa a la misma. Si se ha producido la vulneración del derecho a la tutela judicial efectiva, concomitantemente se habrá producido la de la libertad personal, ya que la progresión o regresión en la duración de la pena ya no dependen del comportamiento del preso. La nueva interpretación de la STS 197/2006 no tiene amparo legal, ya que desagrega las penas refundidas ignorando que el tiempo redimido es tiempo de pena efectivamente cumplido (como se acreditan los numerosísimos condenados que han liquidado sus penas conforme al Código penal de 1973, antes de alcanzar el máximo de treinta años).</w:t>
      </w:r>
    </w:p>
    <w:p w:rsidR="00D06117" w:rsidRDefault="00D06117" w:rsidP="00D06117">
      <w:pPr>
        <w:pStyle w:val="TextoNormal"/>
      </w:pPr>
    </w:p>
    <w:p w:rsidR="00D06117" w:rsidRDefault="00D06117" w:rsidP="00D06117">
      <w:pPr>
        <w:pStyle w:val="TextoNormal"/>
      </w:pPr>
      <w:r>
        <w:t xml:space="preserve">Finalmente, considera vulnerado el principio de reeducación y reinserción social de las penas privativas de libertad (art. 25.2 CE). El principio inspirador de la redención es que la pena refundida constituye una nueva unidad de ejecución que tiene como finalidad evitar las condenas prolongadas y estimular la reeducación y reinserción (SSTS 1985/1992 y </w:t>
      </w:r>
      <w:r>
        <w:lastRenderedPageBreak/>
        <w:t>689/2004) a la que se ha aplicar el trabajo como medio encaminado a la reinserción. No hacerlo así es imponer una condena excesivamente gravosa, un ensañamiento y trato inhumano y cruel, y supone una desincentivación para la reinserción y la resocialización.</w:t>
      </w:r>
    </w:p>
    <w:p w:rsidR="00D06117" w:rsidRDefault="00D06117" w:rsidP="00D06117">
      <w:pPr>
        <w:pStyle w:val="TextoNormal"/>
      </w:pPr>
    </w:p>
    <w:p w:rsidR="00D06117" w:rsidRDefault="00D06117" w:rsidP="00D06117">
      <w:pPr>
        <w:pStyle w:val="TextoNormal"/>
      </w:pPr>
      <w:r>
        <w:t>Concluye la demanda solicitando el otorgamiento del amparo y la puesta inmediata en libertad de la recurrente por haber cumplido la condena.</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14 de abril de 2011 la Sala Segunda del Tribunal Constitucional admitió a trámite el recurso de amparo recabando las actuaciones, con emplazamiento de las partes.</w:t>
      </w:r>
    </w:p>
    <w:p w:rsidR="00D06117" w:rsidRDefault="00D06117" w:rsidP="00D06117">
      <w:pPr>
        <w:pStyle w:val="TextoNormal"/>
      </w:pPr>
    </w:p>
    <w:p w:rsidR="00D06117" w:rsidRDefault="00D06117" w:rsidP="00D06117">
      <w:pPr>
        <w:pStyle w:val="TextoNormal"/>
      </w:pPr>
      <w:r>
        <w:t>En diligencia de ordenación de la Secretaria de Justicia de la Sala Segunda del Tribunal Constitucional, de 14 de julio de 2011, se acordó dar traslado a la recurrente y al Ministerio Fiscal por término de veinte días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5</w:t>
      </w:r>
      <w:r>
        <w:t>. En escrito presentado el 8 de septiembre de 2011 la representación de la actora se ratifica en su escrito de demanda, introduciendo alegaciones sobre la vulneración del proceso con todas las garantías (art. 24.2 CE), en su vertiente de exigencia del principio acusatorio, al considerar que el proceso de ejecutoria se desarrolló sin contradicción (con cita de la STC 11/1987 sobre refundición de condena sin audiencia de la ejecutada), viéndose privada de un recurso efectivo frente al Auto de 26 de octubre de 2009 de la Sección Tercera, Sala de lo Penal, de la Audiencia Nacional y frente al Auto del Tribunal Supremo (Sala Segunda) de 17 de junio de 2010, generándosele con todo ello indefensión. La primera oportunidad que ha tenido la recurrente de ser oída fue en casación, pero ésta fue inadmitida, lo que se traduce en una falta de audiencia y contradicción del procedimiento y en la inexistencia de una segunda instancia (dado lo limitado del recurso de amparo). La STS 197/2006 se dictó para un recurrente (Henry Parot) distinto del actual, sin que la actora tuviere en aquel procedimiento intervención, y ello sin perjuicio de que la referida STS 197/2006 se encuentre también impugnada. Reitera (con cita de la STC 57/2008) que se habría lesionado el principio de legalidad, especialmente respecto del art. 202.1 del Reglamento penitenciario, que aplica los beneficios penitenciarios indistintamente a la condena en sentencia o al tiempo efectivo de internamiento, y respecto de los arts. 66 y 71.3 del Reglamento de servicios y prisiones. Agrega que la pena liquidada (con los beneficios y redenciones) sigue siendo de 10.950 días, por lo que se ha defraudado a la recurrente quien trabajó y estudió, e incluso obtuvo la aprobación de la redenciones por el Juzgado de Vigilancia Penitenciaria, en la creencia legítima de que cumpliría menos, lesionándose además la intangibilidad de las resoluciones judiciales (SSTC 174/1989 y 76/2004).</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registrado el 20 de septiembre de 2011 el Fiscal ante el Tribunal Constitucional interesa la desestimación del amparo.</w:t>
      </w:r>
    </w:p>
    <w:p w:rsidR="00D06117" w:rsidRDefault="00D06117" w:rsidP="00D06117">
      <w:pPr>
        <w:pStyle w:val="TextoNormal"/>
      </w:pPr>
    </w:p>
    <w:p w:rsidR="00D06117" w:rsidRDefault="00D06117" w:rsidP="00D06117">
      <w:pPr>
        <w:pStyle w:val="TextoNormal"/>
      </w:pPr>
      <w:r>
        <w:t>Tras exponer los antecedentes fácticos y jurídicos del caso, descarta la lesión del art. 25.2 CE (principio reeducación y de reinserción), en cuanto que éste no es un derecho fundamental invocable en amparo sino un principio inspirador de la legislación penitenciaria.</w:t>
      </w:r>
    </w:p>
    <w:p w:rsidR="00D06117" w:rsidRDefault="00D06117" w:rsidP="00D06117">
      <w:pPr>
        <w:pStyle w:val="TextoNormal"/>
      </w:pPr>
    </w:p>
    <w:p w:rsidR="00D06117" w:rsidRDefault="00D06117" w:rsidP="00D06117">
      <w:pPr>
        <w:pStyle w:val="TextoNormal"/>
      </w:pPr>
      <w:r>
        <w:t xml:space="preserve">Igualmente interesa la desestimación de la vulneración de la tutela judicial efectiva y al proceso con todas las garantías (art. 24.2 CE) por la falta de audiencia en la promoción de </w:t>
      </w:r>
      <w:r>
        <w:lastRenderedPageBreak/>
        <w:t>la refundición de condenas en la ejecutoria, ya que la indefensión no ha sido efectiva, al haber dispuesto de la posibilidad de alegación y contradicción al interponer el recurso de casación, y ulteriormente mediante el presente amparo; del mismo modo no se ha vulnerado el derecho al recurso efectivo, en cuanto que se pudo interponer recurso de casación en cuya inadmisión se fue respondiendo a todos y cada uno de los motivos alegados.</w:t>
      </w:r>
    </w:p>
    <w:p w:rsidR="00D06117" w:rsidRDefault="00D06117" w:rsidP="00D06117">
      <w:pPr>
        <w:pStyle w:val="TextoNormal"/>
      </w:pPr>
    </w:p>
    <w:p w:rsidR="00D06117" w:rsidRDefault="00D06117" w:rsidP="00D06117">
      <w:pPr>
        <w:pStyle w:val="TextoNormal"/>
      </w:pPr>
      <w:r>
        <w:t>Asimismo, no resulta de recibo para el Fiscal la invocación de la tutela judicial efectiva junto a la irretroactividad de las normas penales desfavorables (art. 25.1 CE), por entender que se ha aplicado el art. 78 CP 1995, ya que —más allá de la convicción subjetiva del recurrente— efectivamente el precepto aplicado ha sido el art. 70, regla 2, CP de 1973, sin que pueda hablarse de una analogía in malam partem, al tratarse de una interpretación del precepto legal dada por el Pleno de la Sala Segunda del Tribunal Supremo dentro del tenor y de la lógica de la norma (sin que corresponda al Tribunal Constitucional decantar la interpretación más adecuada de la legalidad ordinaria), además, el principio de irretroactividad de la ley penal desfavorable recae sobre la ley y no sobre la jurisprudencia.</w:t>
      </w:r>
    </w:p>
    <w:p w:rsidR="00D06117" w:rsidRDefault="00D06117" w:rsidP="00D06117">
      <w:pPr>
        <w:pStyle w:val="TextoNormal"/>
      </w:pPr>
    </w:p>
    <w:p w:rsidR="00D06117" w:rsidRDefault="00D06117" w:rsidP="00D06117">
      <w:pPr>
        <w:pStyle w:val="TextoNormal"/>
      </w:pPr>
      <w:r>
        <w:t>Tampoco concurre la vulneración del principio de igualdad en la aplicación de la ley (art. 14 CE), primero porque los órganos judiciales que dictan la resoluciones son distintos, sin que se aporte resolución de contraste de la Sección Tercera de la Sala de lo Penal de la Audiencia Nacional; y, en segundo lugar, porque el apartamiento de la jurisprudencia anterior se ha hecho de forma razonada.</w:t>
      </w:r>
    </w:p>
    <w:p w:rsidR="00D06117" w:rsidRDefault="00D06117" w:rsidP="00D06117">
      <w:pPr>
        <w:pStyle w:val="TextoNormal"/>
      </w:pPr>
    </w:p>
    <w:p w:rsidR="00D06117" w:rsidRDefault="00D06117" w:rsidP="00D06117">
      <w:pPr>
        <w:pStyle w:val="TextoNormal"/>
      </w:pPr>
      <w:r>
        <w:t>Por último estima el Ministerio público que no concurre vulneración del derecho a la tutela judicial efectiva (art. 24.1 CE), en su vertiente de intangibilidad de las resoluciones judiciales firmes, en relación con el derecho a la libertad personal (art. 17.1 CE). Al margen de vicisitudes procesales, la refundición se inició a instancia de la recurrente y la Sala de lo Penal de la Audiencia Nacional apreció la conexidad y procedió a la acumulación —por primera y única vez— en el Auto de 26 de octubre de 2009. Aunque las condenas acumuladas fueren anteriores a la STS 197/2006 y no obstante afirmarse en STC 174/1989 la firmeza y preclusividad de las resoluciones de los Jueces de vigilancia penitenciaria sobre redención de penas por el trabajo consolidándose los días ya redimidos (a salvo del cambio de criterio o de errores materiales), no se ha lesionado la intangibilidad de las resoluciones judiciales, porque no existió ninguna resolución judicial anterior sobre la acumulación de condenas (sino cálculos de las autoridades penitenciarias), sin que pueda hablarse de expectativa cierta de fecha de excarcelación.</w:t>
      </w:r>
    </w:p>
    <w:p w:rsidR="00D06117" w:rsidRDefault="00D06117" w:rsidP="00D06117">
      <w:pPr>
        <w:pStyle w:val="TextoNormal"/>
      </w:pPr>
    </w:p>
    <w:p w:rsidR="00D06117" w:rsidRDefault="00D06117" w:rsidP="00D06117">
      <w:pPr>
        <w:pStyle w:val="TextoNormal"/>
      </w:pPr>
      <w:r w:rsidRPr="00D06117">
        <w:rPr>
          <w:rStyle w:val="NumeroAFNegritaCaracter"/>
        </w:rPr>
        <w:t>7</w:t>
      </w:r>
      <w:r>
        <w:t>. Por providencia de 17 de enero de 2012, el Pleno, de conformidad con lo establecido en el art. 10.1 n) de la Ley Orgánica del Tribunal Constitucional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26 de marzo de 2012 se señaló para la deliberación y votación de la presente Sentencia el día 29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tiene por objeto decidir si el Auto de 26 octubre de 2009 de la Sección Tercera de la Sala de lo Penal de la Audiencia Nacional (ejecutoria núm. </w:t>
      </w:r>
      <w:r>
        <w:lastRenderedPageBreak/>
        <w:t>81-1998, rollo núm. 110-1994, del sumario núm. 25-1994 del Juzgado Central de Instrucción núm. 5) de acumulación de doce condenas impuestas por distintos delitos relacionados con el terrorismo, con fijación del límite máximo de treinta años de privación de libertad [art. 70 regla segunda del Código penal (CP) de 1973], al aplicar el criterio de STS (Sala Segunda) núm. 197/2006 (cómputo de los beneficios y redenciones penitenciarias sobre cada una de las penas, y no sobre la resultante de la acumulación), ha lesionado los derechos fundamentales de la recurrente a la igualdad (art. 14 CE); al proceso con las debidas garantías (art. 24.2 CE); al principio de legalidad penal y seguridad jurídica (art. 25.1 CE); al principio de orientación de las penas hacia la reeducación y reinserción (art. 25.2 CE); y a la tutela judicial efectiva, en vertiente de intangibilidad de la resoluciones judiciales firmes y derecho a la defensa (art. 24.1 CE) relacionado con la libertad personal (art. 17.1 CE).</w:t>
      </w:r>
    </w:p>
    <w:p w:rsidR="00D06117" w:rsidRDefault="00D06117" w:rsidP="00D06117">
      <w:pPr>
        <w:pStyle w:val="TextoNormal"/>
      </w:pPr>
    </w:p>
    <w:p w:rsidR="00D06117" w:rsidRDefault="00D06117" w:rsidP="00D06117">
      <w:pPr>
        <w:pStyle w:val="TextoNormal"/>
      </w:pPr>
      <w:r>
        <w:t>En primer lugar es de señalar que, tras el agotamiento de la vía judicial ordinaria contra el Auto de la Sección Tercera de la Sala de lo Penal de la Audiencia Nacional recurrido, mediante la inadmisión del incidente de nulidad de actuaciones por la Sala Segunda del Tribunal Supremo (providencia del 24 de septiembre de 2010), y tras la interposición del presente recurso de amparo en escrito de 4 noviembre del mismo año 2010, la recurrente ha procedido a solicitar de la Sección Tercera de la Audiencia Nacional (7 de febrero de 2011) nueva liquidación, en la que “se le abone el tiempo de prisión provisional pasado en las diversas causas”. Esta contingencia, pese a que podría ser entendida como una demostración del carácter eventual de la impugnación efectuada en este amparo (o de la falta de agotamiento de la vía judicial previa), no debe constituir un óbice al presente y actual pronunciamiento, en cuanto que las vulneraciones ya denunciadas afectan directamente al derecho a la libertad personal del art. 17.1 CE (por todas STC 171/2009, de 9 de julio, FJ.2). Además, el thema decidendi del cómputo de las redenciones y beneficios penitenciarios sobre la pena acumulada reviste sustantividad constitucional propia y entidad y relevancia como para ser resuelto autónomamente de otras cuestiones, como el ulterior abono de la prisión preventiva, que seguirán su cauce legalmente establecido.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los argumentos que han sido expuestos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desestimación del recurso por las razones reseñadas en los antecedentes.</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En la primera de las quejas articuladas en la demanda, bajo la invocación de los derechos a la tutela judicial efectiva (art. 24.1 CE) y a un proceso con todas las garantías (art. 24.2 CE), se denuncia sustancialmente la indefensión generada por el hecho de que la primera de las resoluciones recurridas se adoptó sin abrir un trámite de audiencia al condenado, pese a introducir una perspectiva jurídica novedosa en el cómputo de las redenciones de penas por el trabajo que empeoraba la situación del reo. Esta queja ha de ser inadmitida, al concurrir respecto de ella el óbice procesal de falta de invocación ante los órganos de la jurisdicción ordinaria [art. 44.1 c) de la Ley Orgánica del Tribunal Constitucional]. En efecto, de la mera lectura del recurso de casación interpuesto contra el Auto de 26 de octubre de 2009 de la Sección Tercera de la Sala de lo Penal de la Audiencia Nacional se desprende </w:t>
      </w:r>
      <w:r>
        <w:lastRenderedPageBreak/>
        <w:t>que el recurrente articuló una serie de motivos de recurso para oponerse a esa nueva perspectiva jurídica en el cómputo de las redenciones (lo que excluiría según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rsidRPr="00D06117">
        <w:rPr>
          <w:rStyle w:val="NumeroAFNegritaCaracter"/>
        </w:rPr>
        <w:t>3</w:t>
      </w:r>
      <w:r>
        <w:t>. En los restantes motivos se denuncia —como ya anticipamos— desde diversas perspectivas constitucionales la cuestión de fondo, esto es, la aplicación al presente caso de un nuevo criterio jurisprudencial en la interpretación de los arts. 70.2 y 100 CP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usado hasta ese momento el recurrente vería que las reducciones correspondientes al trabajo de los catorce años que van desde que entró en prisión preventiva hasta el Auto de 26 de octubre de 2009 se aplicarían al límite máximo de treinta años, en aplicación del nuevo criterio se restarían de la suma total de las penas impuestas.</w:t>
      </w:r>
    </w:p>
    <w:p w:rsidR="00D06117" w:rsidRDefault="00D06117" w:rsidP="00D06117">
      <w:pPr>
        <w:pStyle w:val="TextoNormal"/>
      </w:pPr>
    </w:p>
    <w:p w:rsidR="00D06117" w:rsidRDefault="00D06117" w:rsidP="00D06117">
      <w:pPr>
        <w:pStyle w:val="TextoNormal"/>
      </w:pPr>
      <w:r>
        <w:t xml:space="preserve">El recurrente entiende que de ello se deriva la vulneración del principio de igualdad en la aplicación de la ley (art.14 CE);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w:t>
      </w:r>
      <w:r>
        <w:lastRenderedPageBreak/>
        <w:t>criterio de cómputo de las redenciones establecido con carácter previo por la citada STS 197/2006.</w:t>
      </w:r>
    </w:p>
    <w:p w:rsidR="00D06117" w:rsidRDefault="00D06117" w:rsidP="00D06117">
      <w:pPr>
        <w:pStyle w:val="TextoNormal"/>
      </w:pPr>
    </w:p>
    <w:p w:rsidR="00D06117" w:rsidRDefault="00D06117" w:rsidP="00D06117">
      <w:pPr>
        <w:pStyle w:val="TextoNormal"/>
      </w:pPr>
      <w:r w:rsidRPr="00D06117">
        <w:rPr>
          <w:rStyle w:val="NumeroAFNegritaCaracter"/>
        </w:rPr>
        <w:t>4</w:t>
      </w:r>
      <w:r>
        <w:t>.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w:t>
      </w:r>
      <w:r>
        <w:lastRenderedPageBreak/>
        <w:t>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no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5</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 xml:space="preserve">Igualmente hemos afirmado que su reconocimiento está inspirado en el art. 25.2 CE y se conecta con la orientación reeducadora de la pena privativa de libertad (STC 72/1994, de 3 </w:t>
      </w:r>
      <w:r>
        <w:lastRenderedPageBreak/>
        <w:t>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de la Audiencia Nacional que se impugnan en el presente procedimiento de amparo vulneró su derecho a la tutela judicial efectiva (art. 24.1 CE) y como consecuencia de ello su derecho a la libertad (art. 17.1 CE), lo que —según se argumenta en los motivos de amparo tercero y sexto, fundamentalmente— habría sucedido al aplicar un nuevo criterio de cómputo de la redención de penas por el trabajo que ignora la existencia de una legítima expectativa, fundada en la previa actuación de la administración penitenciaria y en resoluciones judiciales firmes e intangibles, de que las reducciones correspondientes al trabajo de los catorce años que van desde que entró en prisión preventiva hasta el Auto de 6 de mayo de 2009 se aplicarían al límite máximo de treinta años y no a la suma total de las penas impuestas.</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w:t>
      </w:r>
      <w:r>
        <w:lastRenderedPageBreak/>
        <w:t>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7</w:t>
      </w:r>
      <w:r>
        <w:t>. La respuesta a la anterior cuestión ha de ser negativa pues, como veremos, el análisis del extracto de la primera sentencia condenatoria alegado por el recurrente y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lastRenderedPageBreak/>
        <w:t>La recurrente, integrante de los comandos Eibar (1988-1989) y Vizcaya (1993-1994) de ETA, resultó ejecutoriamente condenada a dieciocho años de reclusión menor por tentativa de atentado terrorista; a veinte años de reclusión menor por atentado terrorista frustrado; a cinco años de prisión menor por terrorismo (tentativa); a ocho años de prisión mayor por terrorismo (frustrado); a doce años de prisión mayor por terrorismo, treinta años de reclusión mayor por asesinato terrorista y ocho años de prisión mayor por tenencia de explosivos; a treinta años de prisión menor por atentado, cuatro años de prisión menor por robo de vehículo, cuatro años de prisión menor y multa de 400.000 pesetas por falsificación de placas de matrícula; a cinco años de prisión menor por falsificación de placa de matrícula; treinta años de reclusión mayor por atentado con asesinato, seis años de prisión menor por utilización ilegítima de vehículo de motor; a veintiocho años de reclusión mayor por atentado con resultado de muerte, y cuatro años y dos meses de prisión menor por lesiones; a la pena de veinte años de reclusión menor por el delito de atentado, veinte años de reclusión menor por asesinato frustrado y ocho años de prisión mayor por terrorismo; a la pena de quince años de prisión por atentado en grado de tentativa, ocho años de prisión por tenencia ilícita de explosivos y doce años de prisión por pertenencia a banda armada; a la pena de diez años de prisión mayor por robo con toma de rehenes, treinta años de reclusión mayor por atentado con asesinato y cinco años de prisión menor por lesiones, a quince años de reclusión menor por depósito de armas, diez años de prisión mayor por tenencia de explosivos, diecinueve años de reclusión menor por conspiración para cometer tres asesinatos, cuarenta y ocho años de reclusión menor (veinticuatro más veinticuatro) por dos tentativas de asesinato, diez años de prisión mayor por utilización ilegítima de vehículo de motor en concurso con detención ilegal, ocho años de prisión mayor por utilización ilegítima de vehículo motor y cuatro años de prisión menor.</w:t>
      </w:r>
    </w:p>
    <w:p w:rsidR="00D06117" w:rsidRDefault="00D06117" w:rsidP="00D06117">
      <w:pPr>
        <w:pStyle w:val="TextoNormal"/>
      </w:pPr>
    </w:p>
    <w:p w:rsidR="00D06117" w:rsidRDefault="00D06117" w:rsidP="00D06117">
      <w:pPr>
        <w:pStyle w:val="TextoNormal"/>
      </w:pPr>
      <w:r>
        <w:t>Puesto que había sido condenada en sendos procesos por hechos que pudieron ser objeto de uno sólo, el Tribunal sentenciador, tras diversos avatares procesales, por Auto de 26 de octubre de 2009, procedió a fijar en treinta años el límite máximo de cumplimiento de las condenas, de conformidad con lo dispuesto en los arts. 17.5 y 988 de la Ley de enjuiciamiento criminal y el art. 70, regla 2, CP 1973, pero con liquidación conforme al criterio sentado en la STS 197/2006.</w:t>
      </w:r>
    </w:p>
    <w:p w:rsidR="00D06117" w:rsidRDefault="00D06117" w:rsidP="00D06117">
      <w:pPr>
        <w:pStyle w:val="TextoNormal"/>
      </w:pPr>
    </w:p>
    <w:p w:rsidR="00D06117" w:rsidRDefault="00D06117" w:rsidP="00D06117">
      <w:pPr>
        <w:pStyle w:val="TextoNormal"/>
      </w:pPr>
      <w:r w:rsidRPr="00D06117">
        <w:rPr>
          <w:rStyle w:val="NumeroAFNegritaCaracter"/>
        </w:rPr>
        <w:t>8</w:t>
      </w:r>
      <w:r>
        <w:t>. De ninguna de las resoluciones judiciales a las que se refiere el recurrente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w:t>
      </w:r>
      <w:r>
        <w:lastRenderedPageBreak/>
        <w:t>misma se produzca. Siendo así, en el presente caso no puede afirmarse que las resoluciones recurridas ignoren, o pongan en cuestión la firmeza e intangibilidad de lo decidido en los Autos del Juzgado de Vigilancia Penitenciaria.</w:t>
      </w:r>
    </w:p>
    <w:p w:rsidR="00D06117" w:rsidRDefault="00D06117" w:rsidP="00D06117">
      <w:pPr>
        <w:pStyle w:val="TextoNormal"/>
      </w:pPr>
    </w:p>
    <w:p w:rsidR="00D06117" w:rsidRDefault="00D06117" w:rsidP="00D06117">
      <w:pPr>
        <w:pStyle w:val="TextoNormal"/>
      </w:pPr>
      <w:r>
        <w:t>b) El Auto de 26 de octubre de 2009 que acordó la acumulación de las penas impuestas por ambas Sentencias y que se cumplieran conforme al criterio de cómputo fijado por la STS 197/2006 (y las resoluciones judiciales que lo ratificaron) no dejó sin efecto dichas redenciones sino que, en ejercicio de las competencias que legalmente tiene atribuidas, las computó sucesivamente sobre el conjunto de penas impuestas a efectos de liquidación de condena.</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9</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amparo solicitado por doña María Lourdes Churruca Madinabeitia.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veintinueve de marzo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7861-2010.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10718-2006.</w:t>
      </w:r>
    </w:p>
    <w:p w:rsidR="00D06117" w:rsidRDefault="00D06117" w:rsidP="00D06117">
      <w:pPr>
        <w:pStyle w:val="TextoNormal"/>
      </w:pPr>
    </w:p>
    <w:p w:rsidR="00D06117" w:rsidRDefault="00D06117" w:rsidP="00D06117">
      <w:pPr>
        <w:pStyle w:val="TextoNormal"/>
      </w:pPr>
      <w:r>
        <w:t>Madrid, a veintinueve de marzo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3" w:name="SENTENCIA_2012_70"/>
      <w:r>
        <w:lastRenderedPageBreak/>
        <w:t>SENTENCIA 70/2012, de 16 de abril de 2012</w:t>
      </w:r>
    </w:p>
    <w:bookmarkEnd w:id="73"/>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ECLI:ES:TC:2012:70</w:t>
      </w:r>
    </w:p>
    <w:p w:rsidR="00D06117" w:rsidRDefault="00D06117" w:rsidP="00D06117">
      <w:pPr>
        <w:pStyle w:val="SntesisDescriptiva"/>
      </w:pPr>
    </w:p>
    <w:p w:rsidR="00D06117" w:rsidRDefault="00D06117" w:rsidP="00D06117">
      <w:pPr>
        <w:pStyle w:val="SntesisDescriptiva"/>
      </w:pPr>
      <w:r>
        <w:t>Recurso de amparo 9432-2006. Promovido por Acqua-Medicina y Cirugía Estética, S.L., en relación con la Sentencia de la Sala de lo Contencioso-Administrativo del Tribunal Superior de Justicia de Madrid y la resolución de la Consejería de Sanidad de la Comunidad Autónoma de Madrid que le sancionó por indebida prescripción de tratamientos farmacológicos.</w:t>
      </w:r>
    </w:p>
    <w:p w:rsidR="00D06117" w:rsidRDefault="00D06117" w:rsidP="00D06117">
      <w:pPr>
        <w:pStyle w:val="SntesisDescriptiva"/>
      </w:pPr>
    </w:p>
    <w:p w:rsidR="00D06117" w:rsidRDefault="00D06117" w:rsidP="00D06117">
      <w:pPr>
        <w:pStyle w:val="SntesisAnaltica"/>
      </w:pPr>
      <w:r>
        <w:t>Supuesta vulneración de los derechos a la tutela judicial efectiva, presunción de inocencia y legalidad sancionadora: aptitud de los recursos administrativos para reparar la indefensión padecida en el expediente sancionador (STC 59/2004); falta de identidad subjetiva que determina la inexistencia de bis in idem; eficacia probatoria de las actas de inspección; falta de rango legal de la norma de complemento aplicada para integrar el tipo que no incide en el derecho a la legalidad sancionadora.</w:t>
      </w:r>
    </w:p>
    <w:p w:rsidR="00D06117" w:rsidRDefault="00D06117" w:rsidP="00D06117">
      <w:pPr>
        <w:pStyle w:val="SntesisAnaltica"/>
      </w:pPr>
    </w:p>
    <w:p w:rsidR="00D06117" w:rsidRDefault="00D06117" w:rsidP="00D06117">
      <w:pPr>
        <w:pStyle w:val="Extracto"/>
      </w:pPr>
      <w:r>
        <w:t>1.</w:t>
      </w:r>
      <w:r>
        <w:tab/>
        <w:t xml:space="preserve">La reserva de ley para la regulación del ejercicio de profesiones tituladas establecida, </w:t>
      </w:r>
      <w:r w:rsidRPr="00D06117">
        <w:rPr>
          <w:i/>
        </w:rPr>
        <w:t>ex</w:t>
      </w:r>
      <w:r>
        <w:t xml:space="preserve"> art 36 CE, no atañe al derecho a la legalidad sancionadora, razón por la cual la falta de rango que pueda tener la norma que integre los tipos infractores no incide en las garantías que acoge el art. 25.1 CE (SSTC 50/2003, 181/2008) [FJ 6].</w:t>
      </w:r>
    </w:p>
    <w:p w:rsidR="00D06117" w:rsidRDefault="00D06117" w:rsidP="00D06117">
      <w:pPr>
        <w:pStyle w:val="Extracto"/>
      </w:pPr>
    </w:p>
    <w:p w:rsidR="00D06117" w:rsidRDefault="00D06117" w:rsidP="00D06117">
      <w:pPr>
        <w:pStyle w:val="Extracto"/>
      </w:pPr>
      <w:r>
        <w:t>2.</w:t>
      </w:r>
      <w:r>
        <w:tab/>
        <w:t>La validez constitucional de la aplicación de las normas sancionadoras depende tanto del respeto al tenor literal del enunciado normativo, que marca en todo caso una zona indudable de exclusión de comportamientos, como de su previsibilidad, hallándose en todo caso vinculadas por los principios de legalidad y de seguridad jurídica (SSTC 151/1997, 263/1997) [FJ 5].</w:t>
      </w:r>
    </w:p>
    <w:p w:rsidR="00D06117" w:rsidRDefault="00D06117" w:rsidP="00D06117">
      <w:pPr>
        <w:pStyle w:val="Extracto"/>
      </w:pPr>
    </w:p>
    <w:p w:rsidR="00D06117" w:rsidRDefault="00D06117" w:rsidP="00D06117">
      <w:pPr>
        <w:pStyle w:val="Extracto"/>
      </w:pPr>
      <w:r>
        <w:t>3.</w:t>
      </w:r>
      <w:r>
        <w:tab/>
        <w:t>Las actas de inspección o infracción pueden ser consideradas como medios de prueba capaces de destruir la presunción de inocencia, sin perjuicio de que no gocen de mayor relevancia que los demás medios de prueba admitidos en Derecho y, por ello, no hayan de prevalecer necesariamente frente a otras pruebas que conduzcan a conclusiones distintas (SSTC 76/1990, 35/2006) [FJ 4].</w:t>
      </w:r>
    </w:p>
    <w:p w:rsidR="00D06117" w:rsidRDefault="00D06117" w:rsidP="00D06117">
      <w:pPr>
        <w:pStyle w:val="Extracto"/>
      </w:pPr>
    </w:p>
    <w:p w:rsidR="00D06117" w:rsidRDefault="00D06117" w:rsidP="00D06117">
      <w:pPr>
        <w:pStyle w:val="Extracto"/>
      </w:pPr>
      <w:r>
        <w:t>4.</w:t>
      </w:r>
      <w:r>
        <w:tab/>
        <w:t xml:space="preserve">No cabe apreciar la concurrencia de una identidad subjetiva en los procesos administrativo y penal que pudiera dar lugar a la infracción del principio </w:t>
      </w:r>
      <w:r w:rsidRPr="00D06117">
        <w:rPr>
          <w:i/>
        </w:rPr>
        <w:t>non bis in ídem</w:t>
      </w:r>
      <w:r>
        <w:t>, ya que en el primero la sanción administrativa recayó sobre una persona jurídica –la sociedad mercantil– mientras que el segundo se ha dirigido necesariamente contra personas físicas [FJ 3].</w:t>
      </w:r>
    </w:p>
    <w:p w:rsidR="00D06117" w:rsidRDefault="00D06117" w:rsidP="00D06117">
      <w:pPr>
        <w:pStyle w:val="Extracto"/>
      </w:pPr>
    </w:p>
    <w:p w:rsidR="00D06117" w:rsidRDefault="00D06117" w:rsidP="00D06117">
      <w:pPr>
        <w:pStyle w:val="Extracto"/>
      </w:pPr>
      <w:r>
        <w:t>5.</w:t>
      </w:r>
      <w:r>
        <w:tab/>
        <w:t>Doctrina sobre la preferencia de la jurisdicción penal y el deber de la Administración de paralizar el procedimiento administrativo sancionador cuando los hechos puedan ser constitutivos de infracción penal (STC 2/2003) [FJ 3].</w:t>
      </w:r>
    </w:p>
    <w:p w:rsidR="00D06117" w:rsidRDefault="00D06117" w:rsidP="00D06117">
      <w:pPr>
        <w:pStyle w:val="Extracto"/>
      </w:pPr>
    </w:p>
    <w:p w:rsidR="00D06117" w:rsidRDefault="00D06117" w:rsidP="00D06117">
      <w:pPr>
        <w:pStyle w:val="Extracto"/>
      </w:pPr>
      <w:r>
        <w:lastRenderedPageBreak/>
        <w:t>6.</w:t>
      </w:r>
      <w:r>
        <w:tab/>
        <w:t>La inicial indefensión causada por la Administración, al no incorporar y valorar el escrito de alegaciones presentado por el interesado, fue reparada en la misma vía administrativa, al reproducirse las alegaciones en un posterior recurso administrativo y ser tomadas en consideración y valoradas expresamente al resolver el mismo (STC 59/2004) [FJ 2].</w:t>
      </w:r>
    </w:p>
    <w:p w:rsidR="00D06117" w:rsidRDefault="00D06117" w:rsidP="00D06117">
      <w:pPr>
        <w:pStyle w:val="Extracto"/>
      </w:pPr>
    </w:p>
    <w:p w:rsidR="00D06117" w:rsidRDefault="00D06117" w:rsidP="00D06117">
      <w:pPr>
        <w:pStyle w:val="Extracto"/>
      </w:pPr>
      <w:r>
        <w:t>7.</w:t>
      </w:r>
      <w:r>
        <w:tab/>
        <w:t>Los posibles defectos en la notificación o emplazamiento administrativo, de un acto administrativa sancionador, revisten relevancia constitucional desde la perspectiva del art. 24.2 CE [FJ 2].</w:t>
      </w:r>
    </w:p>
    <w:p w:rsidR="00D06117" w:rsidRDefault="00D06117" w:rsidP="00D06117">
      <w:pPr>
        <w:pStyle w:val="Extracto"/>
      </w:pPr>
    </w:p>
    <w:p w:rsidR="00D06117" w:rsidRDefault="00D06117" w:rsidP="00D06117">
      <w:pPr>
        <w:pStyle w:val="Extracto"/>
      </w:pPr>
      <w:r>
        <w:t>8.</w:t>
      </w:r>
      <w:r>
        <w:tab/>
        <w:t>Doctrina sobre ejercicio del derecho de defensa en el seno de un expediente sancionador (SSTC 18/1981, 175/2007) [FJ 2].</w:t>
      </w:r>
    </w:p>
    <w:p w:rsidR="00D06117" w:rsidRDefault="00D06117" w:rsidP="00D06117">
      <w:pPr>
        <w:pStyle w:val="Extracto"/>
      </w:pPr>
    </w:p>
    <w:p w:rsidR="00D06117" w:rsidRDefault="00D06117" w:rsidP="00D06117">
      <w:pPr>
        <w:pStyle w:val="Extracto"/>
      </w:pPr>
      <w:r>
        <w:t>9.</w:t>
      </w:r>
      <w:r>
        <w:tab/>
        <w:t>Doctrina sobre las condiciones que han de darse para que la falta de emplazamiento personal en un expediente sancionador genere una situación de indefensión real (SSTC 54/2003, 175/2007) [FJ 2].</w:t>
      </w:r>
    </w:p>
    <w:p w:rsidR="00D06117" w:rsidRDefault="00D06117" w:rsidP="00D06117">
      <w:pPr>
        <w:pStyle w:val="Extracto"/>
      </w:pPr>
    </w:p>
    <w:p w:rsidR="00D06117" w:rsidRDefault="00D06117" w:rsidP="00D06117">
      <w:pPr>
        <w:pStyle w:val="Extracto"/>
      </w:pPr>
    </w:p>
    <w:p w:rsidR="00D06117" w:rsidRDefault="00D06117" w:rsidP="00D06117">
      <w:pPr>
        <w:pStyle w:val="Extracto"/>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Extracto"/>
      </w:pPr>
    </w:p>
    <w:p w:rsidR="00D06117" w:rsidRDefault="00D06117" w:rsidP="00D06117">
      <w:pPr>
        <w:pStyle w:val="Extracto"/>
      </w:pPr>
      <w:r>
        <w:t>EN NOMBRE DEL REY</w:t>
      </w:r>
    </w:p>
    <w:p w:rsidR="00D06117" w:rsidRDefault="00D06117" w:rsidP="00D06117">
      <w:pPr>
        <w:pStyle w:val="Extracto"/>
      </w:pPr>
    </w:p>
    <w:p w:rsidR="00D06117" w:rsidRDefault="00D06117" w:rsidP="00D06117">
      <w:pPr>
        <w:pStyle w:val="Extracto"/>
      </w:pPr>
      <w:r>
        <w:t>la siguiente</w:t>
      </w:r>
    </w:p>
    <w:p w:rsidR="00D06117" w:rsidRDefault="00D06117" w:rsidP="00D06117">
      <w:pPr>
        <w:pStyle w:val="Extracto"/>
      </w:pPr>
    </w:p>
    <w:p w:rsidR="00D06117" w:rsidRDefault="00D06117" w:rsidP="00D06117">
      <w:pPr>
        <w:pStyle w:val="TextoNormal"/>
      </w:pPr>
      <w:r>
        <w:t>S E N T E N C I A</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9432-2006, promovido por la entidad mercantil Acqua-Medicina y Cirugía Estética, S.L., representada por la Procuradora de los Tribunales doña Almudena Gil Segura y asistida por el Abogado don Ricardo Ibáñez Castresana, contra la Sentencia de 14 de julio de 2006 de la Sección Octava de la Sala de lo Contencioso-Administrativo del Tribunal Superior de Justicia de Madrid, que desestimó el recurso contencioso-administrativo interpuesto contra la resolución de la Consejería de Sanidad de la Comunidad Autónoma de Madrid de 31 de julio de 2003, a su vez desestimatoria del recurso de reposición presentado contra la resolución de 5 de marzo de 2003 adoptada en el expediente sancionador núm. 66-2002. Ha intervenido el Ministerio Fiscal. Ha comparecido la Comunidad Autónoma de Madrid defendida por el Letrado don Robert Da Costa López.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17 de octubre de 2006, la entidad mercantil Acqua-Medicina y Cirugía Estética, S.L., interpuso recurso de amparo contra las resoluciones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fundamentos de hecho de la demanda de amparo, relevantes para la resolución de este recurso, son los siguientes:</w:t>
      </w:r>
    </w:p>
    <w:p w:rsidR="00D06117" w:rsidRDefault="00D06117" w:rsidP="00D06117">
      <w:pPr>
        <w:pStyle w:val="TextoNormal"/>
      </w:pPr>
    </w:p>
    <w:p w:rsidR="00D06117" w:rsidRDefault="00D06117" w:rsidP="00D06117">
      <w:pPr>
        <w:pStyle w:val="TextoNormal"/>
      </w:pPr>
      <w:r>
        <w:t>a) El 22 de julio de 2002 el Servicio de ordenación y asistencia farmacéutica de la Comunidad Autónoma de Madrid llevó a cabo una inspección del local sito en la planta baja del número 80 de la calle Núñez de Balboa de Madrid, en el que la sociedad mercantil Acqua Medicina y Cirugía Estética, S.L., desarrollaba su actividad. En el acta levantada con motivo de dicha inspección, tras consignar su resultado, se hizo constar que se informaba a la entidad mercantil de que en el plazo de diez días podía formular alegaciones, lo que ésta llevó a cabo mediante escrito presentado el 31 de julio de 2002, aunque el mismo, por ignoradas razones, no fue incorporado por la Administración al expediente administrativo.</w:t>
      </w:r>
    </w:p>
    <w:p w:rsidR="00D06117" w:rsidRDefault="00D06117" w:rsidP="00D06117">
      <w:pPr>
        <w:pStyle w:val="TextoNormal"/>
      </w:pPr>
    </w:p>
    <w:p w:rsidR="00D06117" w:rsidRDefault="00D06117" w:rsidP="00D06117">
      <w:pPr>
        <w:pStyle w:val="TextoNormal"/>
      </w:pPr>
      <w:r>
        <w:t>b) Mediante orden de 12 de noviembre de 2002, el Director general de farmacia y productos sanitarios de la Comunidad Autónoma dispuso la iniciación de un expediente sancionador contra la mencionada mercantil. Dicho acuerdo de incoación fue notificado el 16 de diciembre de 2002 por medio de correo certificado con acuse de recibo, en la persona de una vecina del inmueble sito en la Avenida de Machupichu núm. 11 de Madrid, dirección a la que fue remitido por ser el domicilio fiscal de la sociedad mercantil.</w:t>
      </w:r>
    </w:p>
    <w:p w:rsidR="00D06117" w:rsidRDefault="00D06117" w:rsidP="00D06117">
      <w:pPr>
        <w:pStyle w:val="TextoNormal"/>
      </w:pPr>
    </w:p>
    <w:p w:rsidR="00D06117" w:rsidRDefault="00D06117" w:rsidP="00D06117">
      <w:pPr>
        <w:pStyle w:val="TextoNormal"/>
      </w:pPr>
      <w:r>
        <w:t>c) El 5 de marzo de 2003 el Consejero de Sanidad dictó una orden en la que se expresaba que, al no haber efectuado la parte interesada alegaciones sobre el contenido del acuerdo de iniciación del procedimiento, dicho acuerdo debía ser considerado como propuesta de resolución, según lo dispuesto en el art. 6.2 a) del Decreto 245/2000, de 16 de noviembre, por el que se aprueba el Reglamento para el ejercicio de la potestad sancionadora por la Administración pública de la Comunidad de Madrid. Como consecuencia de lo anterior, en la referida orden se procedió a sancionar la comisión de tres infracciones tipificadas en la Ley 25/1990, de 20 de diciembre, del medicamento: i) Con multa de 30.051 euros, la comisión de una falta muy grave del art. 108.2 c) l, consistente en la adquisición, prescripción y dispensación de medicamentos no autorizados por la Administración sanitaria. ii) Con multa de 15.025 euros, la comisión de una falta grave del art. 108.2 b) 21, consistente en la prescripción de un tratamiento farmacológico a base de sustancias medicinales cuya prescripción simultánea está prohibida en la Orden de 14 de febrero de 1997. iii) Con multa de 15.025 euros, la comisión de una falta grave del art. 108.2 b) 17, consistente en connivencia con oficinas de farmacia para la elaboración y dispensación de los tratamientos indicados.</w:t>
      </w:r>
    </w:p>
    <w:p w:rsidR="00D06117" w:rsidRDefault="00D06117" w:rsidP="00D06117">
      <w:pPr>
        <w:pStyle w:val="TextoNormal"/>
      </w:pPr>
    </w:p>
    <w:p w:rsidR="00D06117" w:rsidRDefault="00D06117" w:rsidP="00D06117">
      <w:pPr>
        <w:pStyle w:val="TextoNormal"/>
      </w:pPr>
      <w:r>
        <w:t>d) Esta orden sancionadora se intentó notificar en una primera ocasión, sin éxito, en el domicilio antes mencionado de la Avenida de Machupichu núm. 11 de Madrid. Tras ello, la notificación se realizó en el local de la compañía sito en el bajo de la calle Núñez de Balboa, núm. 80, de Madrid, lugar donde se había llevado a cabo la inspección.</w:t>
      </w:r>
    </w:p>
    <w:p w:rsidR="00D06117" w:rsidRDefault="00D06117" w:rsidP="00D06117">
      <w:pPr>
        <w:pStyle w:val="TextoNormal"/>
      </w:pPr>
    </w:p>
    <w:p w:rsidR="00D06117" w:rsidRDefault="00D06117" w:rsidP="00D06117">
      <w:pPr>
        <w:pStyle w:val="TextoNormal"/>
      </w:pPr>
      <w:r>
        <w:lastRenderedPageBreak/>
        <w:t>e) Contra el acuerdo sancionador interpuso la interesada recurso de reposición, alegando: i) Falta de incorporación al expediente administrativo del escrito de alegaciones presentado en los diez días siguientes a la inspección y la notificación del acuerdo de iniciación del expediente sancionador, con la consecuente omisión del trámite de alegaciones. ii) Caducidad del expediente sancionador. iii) Prescripción de las supuestas infracciones. iv) Inexistencia de las deficiencias imputadas, solicitando al respecto la práctica de prueba pericial. v) Vulneración del principio de proporcionalidad. vi) Vulneración de los principios non bis in idem y de prejudicialidad penal, pues por los mismos hechos y contra las mismas personas se tramitaban las diligencias previas núm. 1104-2002 del Juzgado de Instrucción núm. 1 de Leganés.</w:t>
      </w:r>
    </w:p>
    <w:p w:rsidR="00D06117" w:rsidRDefault="00D06117" w:rsidP="00D06117">
      <w:pPr>
        <w:pStyle w:val="TextoNormal"/>
      </w:pPr>
    </w:p>
    <w:p w:rsidR="00D06117" w:rsidRDefault="00D06117" w:rsidP="00D06117">
      <w:pPr>
        <w:pStyle w:val="TextoNormal"/>
      </w:pPr>
      <w:r>
        <w:t>f) El recurso fue desestimado por la Consejería de Sanidad mediante resolución de 31 de julio de 2003, denegándose la prueba pericial solicitada por no estimar apropiada ni pertinente para la determinación de los hechos, ya que los mismos habían resultado acreditados a través de las actas de inspección. No obstante, en la misma resolución se acordó suspender la ejecución de la orden hasta que recayera resolución judicial en las diligencias previas núm. 1104-2002 del Juzgado de Instrucción núm. 1 de Leganés, incoadas con motivo de los mismos hechos.</w:t>
      </w:r>
    </w:p>
    <w:p w:rsidR="00D06117" w:rsidRDefault="00D06117" w:rsidP="00D06117">
      <w:pPr>
        <w:pStyle w:val="TextoNormal"/>
      </w:pPr>
    </w:p>
    <w:p w:rsidR="00D06117" w:rsidRDefault="00D06117" w:rsidP="00D06117">
      <w:pPr>
        <w:pStyle w:val="TextoNormal"/>
      </w:pPr>
      <w:r>
        <w:t>g) Contra dicha resolución se interpuso recurso contencioso-administrativo, formulando, en síntesis, las siguientes alegaciones: i) Falta de incorporación al expediente administrativo del escrito de alegaciones presentado en los diez días siguientes a la inspección. ii) Falta de notificación del acuerdo de iniciación del expediente sancionador y omisión del trámite subsiguiente de alegaciones. iii) Prescripción de las supuestas infracciones. iv) Caducidad del expediente sancionador. v) Caducidad del acta de inspección. vi) Vulneración del principio non bis in idem y de la prejudicialidad penal, pues por los mismos hechos y contra las mismas personas se tramitaban las diligencias previas ya indicadas. vii) Inexistencia de las deficiencias imputadas (al respecto se aduce que los medicamentos hallados en la clínica eran de uso debidamente autorizado, se expone que la prescripción de tratamientos no ha infringido la Orden de 14 de febrero de 1997 y se niega que a los pacientes se les indicara un determinado establecimiento en el que podían encargar la elaboración de la correspondiente fórmula magistral). viii) Infracción de los principios de presunción de inocencia, de tipicidad (preguntándose la demandante en qué párrafo del art. 108 de la Ley del medicamento aparecen claramente subsumidas las infracciones imputadas) y de confianza legítima en la legalidad de la actuación de la entidad recurrente conforme a la lex artis. ix) Vulneración del principio de proporcionalidad en la fijación de la sanción.</w:t>
      </w:r>
    </w:p>
    <w:p w:rsidR="00D06117" w:rsidRDefault="00D06117" w:rsidP="00D06117">
      <w:pPr>
        <w:pStyle w:val="TextoNormal"/>
      </w:pPr>
    </w:p>
    <w:p w:rsidR="00D06117" w:rsidRDefault="00D06117" w:rsidP="00D06117">
      <w:pPr>
        <w:pStyle w:val="TextoNormal"/>
      </w:pPr>
      <w:r>
        <w:t>h) Correspondió el conocimiento del recurso a la Sección Octava de la Sala de lo Contencioso Administrativo del Tribunal Superior de Justicia de Madrid, donde se tramitó como procedimiento ordinario núm. 1922-2003. En el curso del mismo la demandante propuso la práctica de diversos medios de prueba, siendo denegada parte de la prueba documental así como la pericial y la testifical. Contra tal denegación se interpuso recurso de súplica, que fue desestimado por Auto de 12 de mayo de 2004. Finalmente, recayó Sentencia el 14 de julio de 2006, que desestimó el recurso contencioso-administrativo.</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la demanda de amparo se alega, en primer lugar, la vulneración del principio de supremacía del orden penal en relación con el principio non bis in idem, puesto que se ha tramitado el procedimiento sancionador, pese a encontrarse abierto un proceso penal por los </w:t>
      </w:r>
      <w:r>
        <w:lastRenderedPageBreak/>
        <w:t>mismos hechos, tramitado en el Juzgado de Instrucción núm. 1 de Leganés, en virtud de denuncia presentada por la propia Consejería de Sanidad de la Comunidad Autónoma de Madrid, obviándose así que los hechos probados ante la jurisdicción penal pueden incidir en el procedimiento administrativo, cuya resolución debe quedar en suspenso hasta que el proceso penal se concluya; y obviándose también que una posterior sanción penal implicaría la imposición de dos sanciones por una misma conducta.</w:t>
      </w:r>
    </w:p>
    <w:p w:rsidR="00D06117" w:rsidRDefault="00D06117" w:rsidP="00D06117">
      <w:pPr>
        <w:pStyle w:val="TextoNormal"/>
      </w:pPr>
    </w:p>
    <w:p w:rsidR="00D06117" w:rsidRDefault="00D06117" w:rsidP="00D06117">
      <w:pPr>
        <w:pStyle w:val="TextoNormal"/>
      </w:pPr>
      <w:r>
        <w:t>Se alega también la vulneración del derecho a la tutela judicial efectiva (art. 24.1 CE), a causa de que, según el acta de inspección levantada por el servicio de ordenación y asistencia farmacéutica, se informaba de la posibilidad de presentar alegaciones en el plazo de diez días, lo que se realizó el 31 de julio de 2002, pero sin que haya constancia de ellas en el expediente administrativo; y sin que, por tanto, se hayan tomado en consideración tales alegaciones para no incoar procedimiento sancionador. Al apreciar la Administración que no se habían presentado alegaciones, ni al acta ni al acuerdo de iniciación, procedió a resolver directamente sin que la parte recibiera notificación del acuerdo de iniciación de expediente sancionador. Al tiempo, la actora rechaza el argumento de la Administración de que no se ha producido indefensión porque contra la resolución sancionadora se ha podido presentar recurso de reposición, pues la omisión del trámite de alegaciones es determinante de la nulidad de pleno derecho de las resoluciones impugnadas.</w:t>
      </w:r>
    </w:p>
    <w:p w:rsidR="00D06117" w:rsidRDefault="00D06117" w:rsidP="00D06117">
      <w:pPr>
        <w:pStyle w:val="TextoNormal"/>
      </w:pPr>
    </w:p>
    <w:p w:rsidR="00D06117" w:rsidRDefault="00D06117" w:rsidP="00D06117">
      <w:pPr>
        <w:pStyle w:val="TextoNormal"/>
      </w:pPr>
      <w:r>
        <w:t>En tercer lugar se alega la vulneración del principio de presunción de inocencia (art. 24.2 CE), negándose la comisión de las infracciones imputadas, pues, en síntesis: a) los medicamentos y productos utilizados eran de uso legal, siendo adquiridos a los correspondientes laboratorios; b) los tratamientos prescritos se ajustaban a la legislación vigente; y c) nunca se ha impuesto a los pacientes la adquisición de los tratamientos en una oficina de farmacia determinada.</w:t>
      </w:r>
    </w:p>
    <w:p w:rsidR="00D06117" w:rsidRDefault="00D06117" w:rsidP="00D06117">
      <w:pPr>
        <w:pStyle w:val="TextoNormal"/>
      </w:pPr>
    </w:p>
    <w:p w:rsidR="00D06117" w:rsidRDefault="00D06117" w:rsidP="00D06117">
      <w:pPr>
        <w:pStyle w:val="TextoNormal"/>
      </w:pPr>
      <w:r>
        <w:t>Por último, se aduce la vulneración de los principios de legalidad y de tipicidad, como consecuencia de una palmaria equivocación en la interpretación de la normativa aplicable, en concreto, de la Orden de 14 de febrero de 1997, por la que se establecen determinados requisitos en la prescripción y dispensación de formulas magistrales y preparados oficinales para tratamientos peculiares, añadiéndose que resulta inconstitucional que la ley se remita a lo que disponga una simple orden ministerial en cuestiones que afectan a la libertad de ejercicio profesional del médico.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17 de abril de 2008, la Sección Segunda de este Tribunal acordó la admisión a trámite de la demanda de amparo, así como, a tenor de lo establecido en el art. 51 de la Ley Orgánica del Tribunal Constitucional (LOTC), requerir a la Consejería de Sanidad de la Comunidad Autónoma de Madrid y a la Sección Octava de la Sala de lo Contencioso-Administrativo del Tribunal Superior de Justicia de Madrid para que remitieran testimonio, respectivamente, del expediente administrativo y de las actuaciones judiciales, acordándose al mismo tiempo el emplazamiento de quienes fueron parte en el proceso judicial, para que pudieran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Mediante otra providencia de la misma fecha se acordó formar pieza separada de suspensión y, de conformidad con lo previsto en el art. 56 LOTC, conceder un plazo común de tres días al Ministerio Fiscal y a las partes personadas para que alegaran lo que estimasen pertinente en relación con la petición de suspensión interesada. La representación procesal </w:t>
      </w:r>
      <w:r>
        <w:lastRenderedPageBreak/>
        <w:t>de la entidad recurrente formuló alegaciones el 25 de abril de 2008, aduciendo que la suspensión solicitada no producía daño para el interés público y, por el contrario, evitaría el perjuicio derivado de carecer de liquidez suficiente para atender al pago de las sanciones, por lo que se vería obligada a solicitar un crédito bancario o a replantearse la continuidad de su actividad, con el consiguiente perjuicio para los empleados. Por el contrario, el Ministerio Fiscal se opuso a la suspensión en su escrito de alegaciones, presentado el 28 de mayo de 2008, al entender que el pronunciamiento judicial impugnado tiene un contenido exclusivamente pecuniario y, por tanto, fácilmente reparable. También el Letrado de la Comunidad Autónoma de Madrid, mediante escrito de 30 de mayo de 2008, se opuso a la suspensión, en consideración al alcance meramente económico de la sanción y a que la demanda no ofrece justificación alguna de su procedencia. Finalmente, la Sala, mediante el ATC 168/2008, de 23 de junio, denegó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 la entidad recurrente dio cumplimiento al trámite de alegaciones conferido, mediante escrito presentado el 19 de junio de 2008, en el que reiteró las efectuadas en el escrito de demanda.</w:t>
      </w:r>
    </w:p>
    <w:p w:rsidR="00D06117" w:rsidRDefault="00D06117" w:rsidP="00D06117">
      <w:pPr>
        <w:pStyle w:val="TextoNormal"/>
      </w:pPr>
    </w:p>
    <w:p w:rsidR="00D06117" w:rsidRDefault="00D06117" w:rsidP="00D06117">
      <w:pPr>
        <w:pStyle w:val="TextoNormal"/>
      </w:pPr>
      <w:r w:rsidRPr="00D06117">
        <w:rPr>
          <w:rStyle w:val="NumeroAFNegritaCaracter"/>
        </w:rPr>
        <w:t>7</w:t>
      </w:r>
      <w:r>
        <w:t>. El Letrado de la Administración autonómica presentó su escrito de alegaciones el 4 de julio de 2008, solicitando la desestimación del recurso de amparo. En lo atinente a la vulneración del principio non bis in idem, señala que, analizadas las actuaciones, se constata que el procedimiento sancionador finalizó el 5 de marzo del año 2003, fecha en la que se impuso la sanción. Es precisamente al recurrir la misma cuando el interesado manifiesta que existe un procedimiento penal por los mismos hechos; y a resultas de esa información se solicitó al Juzgado de Instrucción núm. 1 de Leganés testimonio de sus actuaciones, recibiéndose el 26 de junio de 2003 certificado de la Secretaría del Juzgado en el que se constata que se siguen diligencias previas por un delito contra la salud pública, estafa y lesiones; ante lo cual se procedió a suspender la ejecución de la orden impugnada. Por tanto, cuando se impuso la sanción administrativa no sólo no existía sanción penal —con lo que resulta imposible hablar de una vulneración del principio non bis in idem— sino que ni tan siquiera había conocimiento fehaciente de la existencia del proceso penal, pues la presentación de la denuncia nada implica al respecto. En segundo lugar, entiende que tampoco se vulnera la prejudicialidad penal pues una vez conocida la existencia del procedimiento penal se procedió a suspender la ejecución de la orden impugnada; añade que, en realidad, no existe concurrencia de procedimientos, pues el órgano administrativo tuvo conocimiento de la existencia de diligencias penales después de dictar la resolución sancionadora; es más, ni tan siquiera la parte actora ha acreditado con posterioridad que los hechos hayan sido castigados por el orden jurisdiccional penal. En todo caso, si bien la jurisdicción penal es prevalente, la Sentencia recurrida en amparo pone de manifiesto la posibilidad del actor de alegar en el procedimiento penal la existencia de una sanción administrativa previa.</w:t>
      </w:r>
    </w:p>
    <w:p w:rsidR="00D06117" w:rsidRDefault="00D06117" w:rsidP="00D06117">
      <w:pPr>
        <w:pStyle w:val="TextoNormal"/>
      </w:pPr>
    </w:p>
    <w:p w:rsidR="00D06117" w:rsidRDefault="00D06117" w:rsidP="00D06117">
      <w:pPr>
        <w:pStyle w:val="TextoNormal"/>
      </w:pPr>
      <w:r>
        <w:t>En cuanto al resto de las cuestiones suscitadas, entiende que deben ser rechazadas pues lo que se pretende es una revisión de lo ya juzgado, reiterándose en esta vía de amparo alegaciones realizadas en el recurso administrativo y en la demanda contencioso-administrativa, sobre las cuales ya ha habido un pronunciamiento judicial fundado y motivado en Derecho, con independencia de que la actora no lo comparta.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El Ministerio Fiscal presentó sus alegaciones en escrito registrado el 30 de julio de 2008, en el que señala que del examen de las actuaciones resulta que la Administración, al extraviar el escrito de alegaciones de la entidad recurrente, presentado en el 31 de julio de 2002, y al no emplazar personalmente a la parte demandante de amparo en el procedimiento administrativo sancionador —pese a tener conocimiento del efectivo domicilio de aquélla— no ha actuado con la diligencia que le era exigible y ha generado a dicha entidad recurrente en amparo, al impedirle ejercer el derecho de defensa en el procedimiento administrativo sancionador, una situación de indefensión relevante constitucionalmente. En consecuencia, la sanción fue impuesta de plano, sin respetar procedimiento contradictorio alguno. Y, al no ser reparada dicha lesión por el órgano judicial, ha de extenderse la declaración de nulidad a la Sentencia de la Sección Octava de la Sala de lo Contencioso Administrativo del Tribunal Superior de Justicia de Madrid. Para el Ministerio Fiscal la apreciación de la anterior vulneración constitucional hace improcedente entrar a considerar las demás quejas planteadas en la demanda.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12 de abril de 2012 se señaló para la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de amparo trae causa de la desestimación del recurso contencioso-administrativo interpuesto por la entidad demandante contra la imposición, por el Consejero de Sanidad de la Comunidad Autónoma de Madrid, de tres sanciones pecuniarias, por la comisión de otras tantas infracciones de la Ley 25/1990, de 20 de diciembre, del medicamento.</w:t>
      </w:r>
    </w:p>
    <w:p w:rsidR="00D06117" w:rsidRDefault="00D06117" w:rsidP="00D06117">
      <w:pPr>
        <w:pStyle w:val="TextoNormal"/>
      </w:pPr>
    </w:p>
    <w:p w:rsidR="00D06117" w:rsidRDefault="00D06117" w:rsidP="00D06117">
      <w:pPr>
        <w:pStyle w:val="TextoNormal"/>
      </w:pPr>
      <w:r>
        <w:t>En efecto, se dirige la demanda de amparo contra la Sentencia de la Sala de lo Contencioso-Administrativo del Tribunal Superior de Justicia de Madrid de 14 de julio de 2006, que desestimó el recurso contencioso-administrativo interpuesto por Acqua-Medicina y Cirugía Estética, S.L., contra la resolución del Consejero de Sanidad de la Comunidad Autónoma de Madrid de 31 de julio de 2003, a su vez desestimatoria del recurso de reposición formulado contra la resolución de 5 de marzo de 2003, mediante la cual fue sancionada como responsable de una falta muy grave y otras dos graves, previstas en la Ley 25/1990, de 20 de diciembre, del medicamento.</w:t>
      </w:r>
    </w:p>
    <w:p w:rsidR="00D06117" w:rsidRDefault="00D06117" w:rsidP="00D06117">
      <w:pPr>
        <w:pStyle w:val="TextoNormal"/>
      </w:pPr>
    </w:p>
    <w:p w:rsidR="00D06117" w:rsidRDefault="00D06117" w:rsidP="00D06117">
      <w:pPr>
        <w:pStyle w:val="TextoNormal"/>
      </w:pPr>
      <w:r>
        <w:t>Sostiene la demandante que en el curso del procedimiento administrativo se ha vulnerado el principio de supremacía del orden penal en relación con el principio non bis in idem, puesto que se ha tramitado el procedimiento sancionador, pese a encontrarse abierto un proceso penal por los mismos hechos. Igualmente se habría lesionado el derecho a la tutela judicial efectiva (art. 24.1 CE), a causa de que las alegaciones que presentó no se incorporaron al expediente administrativo, sin que, por tanto, se hubieran tomado en consideración por la Administración antes de resolver. En tercer lugar, se alega la vulneración del principio de presunción de inocencia (art. 24.2 CE). Por último, se aduce la vulneración de los principios de legalidad y de tipicidad como consecuencia de una equivocada aplicación de la normativa sancionadora, la cual, además, no respeta la necesaria reserva de ley en materia que afecta a libertad de ejercicio profesional de los médicos.</w:t>
      </w:r>
    </w:p>
    <w:p w:rsidR="00D06117" w:rsidRDefault="00D06117" w:rsidP="00D06117">
      <w:pPr>
        <w:pStyle w:val="TextoNormal"/>
      </w:pPr>
    </w:p>
    <w:p w:rsidR="00D06117" w:rsidRDefault="00D06117" w:rsidP="00D06117">
      <w:pPr>
        <w:pStyle w:val="TextoNormal"/>
      </w:pPr>
      <w:r>
        <w:lastRenderedPageBreak/>
        <w:t>También el Ministerio Fiscal solicita el otorgamiento del amparo en atención a que, al extraviar la Administración el escrito de alegaciones de la entidad recurrente y no habérsele emplazado en el procedimiento sancionador —pese a tenerse conocimiento de su efectivo domicilio— se ha generado una situación de indefensión relevante constitucionalmente, que no fue corregida en la vía contencioso-administrativa. Por el contrario, el Letrado de la Comunidad Autónoma de Madrid solicita la desestimación de la demanda al considerar que no se ha producido vulneración del principio non bis in idem, dado que cuando se impuso la sanción administrativa ni tan siquiera había conocimiento fehaciente de la existencia del proceso penal; y, una vez conocida su incoación, se procedió a suspender la ejecución de la resolución sancionadora; más aún, ni tan siquiera se ha acreditado que los hechos hayan sido castigados por el orden jurisdiccional penal. En todo caso, si bien la jurisdicción penal es prevalente, la Sentencia recurrida en amparo pone de manifiesto la posibilidad de alegar en el procedimiento penal la existencia de una sanción administrativa previa. En cuanto al resto de las cuestiones suscitadas, entiende que lo que se pretende es una revisión de lo ya juzgado, reiterándose en esta vía de amparo alegaciones realizadas en el recurso administrativo y en la demanda contencioso-administrativa, sobre las cuales ya ha habido un pronunciamiento judicial fundado en Derecho.</w:t>
      </w:r>
    </w:p>
    <w:p w:rsidR="00D06117" w:rsidRDefault="00D06117" w:rsidP="00D06117">
      <w:pPr>
        <w:pStyle w:val="TextoNormal"/>
      </w:pPr>
    </w:p>
    <w:p w:rsidR="00D06117" w:rsidRDefault="00D06117" w:rsidP="00D06117">
      <w:pPr>
        <w:pStyle w:val="TextoNormal"/>
      </w:pPr>
      <w:r w:rsidRPr="00D06117">
        <w:rPr>
          <w:rStyle w:val="NumeroAFNegritaCaracter"/>
        </w:rPr>
        <w:t>2</w:t>
      </w:r>
      <w:r>
        <w:t>. Con el fin de delimitar adecuadamente el objeto del presente recurso de amparo resulta necesario efectuar algunas precisiones. La primera de ellas consiste en que, pese a dirigirse formalmente la demanda de amparo contra la Sentencia recaída en el proceso contencioso-administrativo, sin embargo el recurso ha de entenderse formulado por el cauce del art. 43 de la Ley Orgánica del Tribunal Constitucional (LOTC) y no por el previsto en el art. 44 LOTC, ya que las infracciones constitucionales que se denuncian se imputan directamente a las resoluciones recaídas en el procedimiento administrativo sancionador y solo indirectamente, en la medida en que no las ha reparado, a la Sentencia del Tribunal Superior de Justicia de Madrid.</w:t>
      </w:r>
    </w:p>
    <w:p w:rsidR="00D06117" w:rsidRDefault="00D06117" w:rsidP="00D06117">
      <w:pPr>
        <w:pStyle w:val="TextoNormal"/>
      </w:pPr>
    </w:p>
    <w:p w:rsidR="00D06117" w:rsidRDefault="00D06117" w:rsidP="00D06117">
      <w:pPr>
        <w:pStyle w:val="TextoNormal"/>
      </w:pPr>
      <w:r>
        <w:t>Comenzando por el examen de la queja referida al desarrollo inaudita parte del expediente sancionador, debemos recordar, una vez más, que este Tribunal ha ido elaborando progresivamente una doctrina que asume la vigencia en el seno del procedimiento administrativo sancionador de un amplio abanico de garantías emanadas del art. 24.2 CE, entre las que se encuentra el derecho a la defensa, que proscribe cualquier indefensión (por todas, SSTC 18/1981, de 8 de junio, FJ 2; 7/1998, de 13 de enero, FJ 5; 276/2000, de 16 de noviembre, FJ 7; 272/2006, de 25 de septiembre, FJ 2; y 175/2007, de 23 de julio, FJ 3). El ejercicio de este derecho de defensa en el seno de un expediente sancionador presupone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En este sentido, en la STC 291/2000, de 30 de noviembre (FJ 4), ya declaró el Pleno de este Tribunal que los posibles defectos en la notificación o emplazamiento administrativo, cuando se trate, como en este supuesto acontece, de un acto administrativo sancionador, revisten relevancia constitucional desde la perspectiva del art. 24.2 CE.</w:t>
      </w:r>
    </w:p>
    <w:p w:rsidR="00D06117" w:rsidRDefault="00D06117" w:rsidP="00D06117">
      <w:pPr>
        <w:pStyle w:val="TextoNormal"/>
      </w:pPr>
    </w:p>
    <w:p w:rsidR="00D06117" w:rsidRDefault="00D06117" w:rsidP="00D06117">
      <w:pPr>
        <w:pStyle w:val="TextoNormal"/>
      </w:pPr>
      <w:r>
        <w:t xml:space="preserve">En el presente caso, el examen de las actuaciones revela la concurrencia, en un primer momento, de las condiciones que con arreglo a nuestra propia jurisprudencia han de darse </w:t>
      </w:r>
      <w:r>
        <w:lastRenderedPageBreak/>
        <w:t>para que la falta de emplazamiento personal en un expediente sancionador genere una situación de indefensión real: que el no emplazado tenga un derecho subjetivo o interés legítimo que pueda verse afectado por la resolución que se adopte; que haya mantenido una actitud diligente; y, por último, que pudiera ser identificado y emplazado a partir de los datos que obren en el expediente (SSTC 54/2003, de 24 de marzo, FJ 3; 145/2004, de 13 de septiembre, FJ 4; y 175/2007, de 23 de julio, FJ 4). En efecto, por un lado es evidente el interés legítimo de la entidad recurrente en el desarrollo y resultado del expediente sancionador, y también que ningún dato permite afirmar que tuvo conocimiento de su tramitación o que de cualquier otro modo mantuviera una actitud negligente. Por otra parte, es incontrovertible que su domicilio estaba plenamente identificado, tal y como se evidencia al comprobar que la resolución sancionadora sí fue notificada sin dificultad en el local en que se desarrollaba la actividad de la empresa y que es donde había tenido lugar la previa inspección.</w:t>
      </w:r>
    </w:p>
    <w:p w:rsidR="00D06117" w:rsidRDefault="00D06117" w:rsidP="00D06117">
      <w:pPr>
        <w:pStyle w:val="TextoNormal"/>
      </w:pPr>
    </w:p>
    <w:p w:rsidR="00D06117" w:rsidRDefault="00D06117" w:rsidP="00D06117">
      <w:pPr>
        <w:pStyle w:val="TextoNormal"/>
      </w:pPr>
      <w:r>
        <w:t>Debemos asimismo tomar en consideración que la demandante, una vez que se le notificó el acuerdo sancionador, interpuso recurso administrativo de reposición contra el mismo, reproduciendo las iniciales alegaciones que no habían sido incorporadas al expediente, las cuales, ahora sí, fueron valoradas expresamente en la resolución de 31 de julio de 2003 que desestimó el recurso de reposición. En consecuencia, la irregularidad inicialmente cometida fue reparada en la misma vía administrativa, evitando así que se consumase una indefensión de carácter material. Esta aptitud de los recursos administrativos para reparar las vulneraciones del derecho de defensa ya fue reconocida por la STC 59/2004, de 19 de abril (FJ 4), en la que también apreciamos que una inicial indefensión causada por la Administración, al no incorporar y valorar el escrito de alegaciones presentado por el interesado, desaparecía si el recurrente había reproducido sustancialmente sus alegaciones en un posterior recurso administrativo y la Administración, al resolver el mismo, las había tomado en consideración (igualmente, ATC 137/2006, de 19 de abril, FJ 2), a diferencia de los supuestos decididos en las SSTC 175/2007, de 23 de julio; y 70/2008, de 23 de junio, en los que, no obstante la interposición de recurso administrativo, la situación de indefensión no fue adecuadamente corregida.</w:t>
      </w:r>
    </w:p>
    <w:p w:rsidR="00D06117" w:rsidRDefault="00D06117" w:rsidP="00D06117">
      <w:pPr>
        <w:pStyle w:val="TextoNormal"/>
      </w:pPr>
    </w:p>
    <w:p w:rsidR="00D06117" w:rsidRDefault="00D06117" w:rsidP="00D06117">
      <w:pPr>
        <w:pStyle w:val="TextoNormal"/>
      </w:pPr>
      <w:r w:rsidRPr="00D06117">
        <w:rPr>
          <w:rStyle w:val="NumeroAFNegritaCaracter"/>
        </w:rPr>
        <w:t>3</w:t>
      </w:r>
      <w:r>
        <w:t>. La siguiente queja objeto de nuestro enjuiciamiento es la referida a la posible conculcación de la regla de la preferencia o precedencia de la jurisdicción penal sobre la Administración en el conocimiento de aquellos hechos que puedan ser no sólo constitutivos de infracción administrativa sino también penal. Tal situación se habría dado al haber tramitado y resuelto la Administración el procedimiento sancionador pese a que por los mismos hechos se estaban siguiendo diligencias penales en el Juzgado de Instrucción núm. 1 de Leganés, en virtud de denuncia presentada por la propia Consejería de Sanidad de la Comunidad Autónoma de Madrid.</w:t>
      </w:r>
    </w:p>
    <w:p w:rsidR="00D06117" w:rsidRDefault="00D06117" w:rsidP="00D06117">
      <w:pPr>
        <w:pStyle w:val="TextoNormal"/>
      </w:pPr>
    </w:p>
    <w:p w:rsidR="00D06117" w:rsidRDefault="00D06117" w:rsidP="00D06117">
      <w:pPr>
        <w:pStyle w:val="TextoNormal"/>
      </w:pPr>
      <w:r>
        <w:t xml:space="preserve">Ciertamente, es doctrina de este Tribunal fijada, entre otras muchas, en la STC 2/2003, de 16 de enero, FJ 9 (Pleno), que “la infracción por la Administración del deber de paralizar el procedimiento administrativo sancionador si los hechos pueden ser constitutivos de infracción penal tiene relevancia constitucional por cuanto estas reglas plasman la competencia exclusiva de la jurisdicción penal en el conocimiento de los hechos constitutivos de infracción penal y configuran un instrumento preventivo tendente a preservar los derechos a no ser sometido a un doble procedimiento sancionador —administrativo y penal— y a no ser sancionado en más de una ocasión por los mismos hechos”. Por ello, “una vez que el </w:t>
      </w:r>
      <w:r>
        <w:lastRenderedPageBreak/>
        <w:t>legislador ha decidido que unos hechos merecen ser el presupuesto fáctico de una infracción penal y configura una infracción penal en torno a ellos, la norma contenida en la disposición administrativa deja de ser aplicable y sólo los órganos judiciales integrados en la jurisdicción penal son órganos constitucionalmente determinados para conocer de dicha infracción y ejercer la potestad punitiva estatal”, de modo que “cuando el hecho reúne los elementos para ser calificado de infracción penal, la Administración no puede conocer, a efectos de su sanción, ni del hecho en su conjunto ni de fragmentos del mismo, y por ello ha de paralizar el procedimiento hasta que los órganos judiciales penales se pronuncien sobre la cuestión”. En definitiva, de no hacerse así, la subsunción de los hechos en la disposición administrativa quebranta el principio de legalidad sancionadora (art. 25.1 CE) y la competencia exclusiva de la jurisdicción penal para ejercer la potestad punitiva (art. 25.1 CE en relación con el art. 117.3 CE).</w:t>
      </w:r>
    </w:p>
    <w:p w:rsidR="00D06117" w:rsidRDefault="00D06117" w:rsidP="00D06117">
      <w:pPr>
        <w:pStyle w:val="TextoNormal"/>
      </w:pPr>
    </w:p>
    <w:p w:rsidR="00D06117" w:rsidRDefault="00D06117" w:rsidP="00D06117">
      <w:pPr>
        <w:pStyle w:val="TextoNormal"/>
      </w:pPr>
      <w:r>
        <w:t>Más aún, el principio de preferencia de la jurisdicción penal encuentra concreta plasmación en la propia normativa aplicada en este caso por la Administración, al disponer el art. 107.2 de la Ley 25/1990, de 20 de diciembre, del medicamento: “La instrucción de causa penal ante los Tribunales de Justicia suspenderá la tramitación del expediente administrativo sancionador que hubiera sido incoado por los mismos hechos y, en su caso, la eficacia de los actos administrativos de imposición de sanción. Las medidas administrativas que hubieran sido adoptadas para salvaguardar la salud y seguridad de las personas se mantendrán en tanto la autoridad judicial se pronuncie sobre las mismas”.</w:t>
      </w:r>
    </w:p>
    <w:p w:rsidR="00D06117" w:rsidRDefault="00D06117" w:rsidP="00D06117">
      <w:pPr>
        <w:pStyle w:val="TextoNormal"/>
      </w:pPr>
    </w:p>
    <w:p w:rsidR="00D06117" w:rsidRDefault="00D06117" w:rsidP="00D06117">
      <w:pPr>
        <w:pStyle w:val="TextoNormal"/>
      </w:pPr>
      <w:r>
        <w:t>Ahora bien, puesto que la prioridad de la jurisdicción penal se dirige a preservar el principio non bis in idem, la obligación de la Administración de suspender la tramitación del expediente administrativo sancionador tiene como premisa que concurran en los correspondientes procedimientos penal y administrativo una triple identidad subjetiva, objetiva y de fundamento.</w:t>
      </w:r>
    </w:p>
    <w:p w:rsidR="00D06117" w:rsidRDefault="00D06117" w:rsidP="00D06117">
      <w:pPr>
        <w:pStyle w:val="TextoNormal"/>
      </w:pPr>
    </w:p>
    <w:p w:rsidR="00D06117" w:rsidRDefault="00D06117" w:rsidP="00D06117">
      <w:pPr>
        <w:pStyle w:val="TextoNormal"/>
      </w:pPr>
      <w:r>
        <w:t>En el presente caso, la circunstancia de que el proceso penal se encuentre todavía en fase de instrucción, sin haber recaído resolución judicial que delimite los eventuales hechos imputados y su calificación penal, dificulta el examen de una posible coincidencia de identidades objetiva y de fundamento entre las actuaciones jurisdiccional y administrativa. Pero no así la comparación de su ámbito subjetivo puesto que resulta obvio que en el presente caso la sanción administrativa recayó sobre una persona jurídica —la sociedad mercantil Acqua Medicina y Cirugía Estética, S.L.— mientras que el proceso penal se ha dirigido necesariamente contra personas físicas. En efecto, así como en el ámbito administrativo el art. 130.1 de la Ley de régimen jurídico de las Administraciones públicas y del procedimiento administrativo común prevé la posibilidad de sancionar a las personas jurídicas por la comisión de hechos constitutivos de infracción administrativa, reconociéndoles, pues, capacidad infractora (en el mismo sentido, STC 246/1991, de 19 de noviembre, FJ 2), por el contrario, en el ámbito penal, hasta la reforma del Código Penal llevada a cabo por la Ley Orgánica 5/2010, de 22 de junio, ha regido en nuestro ordenamiento el principio societas delinquere non potest.</w:t>
      </w:r>
    </w:p>
    <w:p w:rsidR="00D06117" w:rsidRDefault="00D06117" w:rsidP="00D06117">
      <w:pPr>
        <w:pStyle w:val="TextoNormal"/>
      </w:pPr>
    </w:p>
    <w:p w:rsidR="00D06117" w:rsidRDefault="00D06117" w:rsidP="00D06117">
      <w:pPr>
        <w:pStyle w:val="TextoNormal"/>
      </w:pPr>
      <w:r>
        <w:t xml:space="preserve">Por tanto, descartado que en el presente caso, dada la fecha en que acaecieron los hechos, la persona jurídica ya sancionada administrativamente pueda llegar a serlo también en el curso del proceso penal, debemos también descartar que exista identidad real entre la mencionada persona jurídica y las personas físicas contra las que se dirige el proceso penal, </w:t>
      </w:r>
      <w:r>
        <w:lastRenderedPageBreak/>
        <w:t>pues, desde que se otorgó la escritura de su constitución el 21 de noviembre de 2001, son administradores mancomunados de Acqua Medicina y Cirugía Estética, S.L., los cónyuges don José Antonio González-Nicolás Albandea y doña Estrella Tarrasa Ortiz, de los cuales sólo el primero ha prestado declaración como imputado en las actuaciones penales, en el curso de las cuales lo han hecho, además de él, otras diecinueve personas.</w:t>
      </w:r>
    </w:p>
    <w:p w:rsidR="00D06117" w:rsidRDefault="00D06117" w:rsidP="00D06117">
      <w:pPr>
        <w:pStyle w:val="TextoNormal"/>
      </w:pPr>
    </w:p>
    <w:p w:rsidR="00D06117" w:rsidRDefault="00D06117" w:rsidP="00D06117">
      <w:pPr>
        <w:pStyle w:val="TextoNormal"/>
      </w:pPr>
      <w:r>
        <w:t>En esta misma línea, ya en el ATC 355/1991, de 25 de noviembre (FJ 5), apreciamos que en el caso allí examinado no se daba la identidad subjetiva entre ambos procesos, toda vez que los acusados en el proceso penal eran dos gerentes de la empresa, mientras que en el expediente administrativo lo era la propia empresa. Posteriormente, en el ATC 357/2003, de 10 de noviembre (FJ 2), afirmamos que “tampoco es posible apreciar la triple identidad requerida, de sujetos, hechos y fundamentos, que se erigen en presupuestos de la interdicción constitucional de incurrir en bis in idem al no darse la identidad subjetiva exigida como presupuesto para la vulneración denunciada cuando en uno de los procesos se sanciona a la persona jurídica empresario y en el otro se sanciona penalmente al representante legal de la misma”.</w:t>
      </w:r>
    </w:p>
    <w:p w:rsidR="00D06117" w:rsidRDefault="00D06117" w:rsidP="00D06117">
      <w:pPr>
        <w:pStyle w:val="TextoNormal"/>
      </w:pPr>
    </w:p>
    <w:p w:rsidR="00D06117" w:rsidRDefault="00D06117" w:rsidP="00D06117">
      <w:pPr>
        <w:pStyle w:val="TextoNormal"/>
      </w:pPr>
      <w:r>
        <w:t>Por tanto, no cabe apreciar la concurrencia de una identidad subjetiva en los procesos administrativo y penal que pudiera dar lugar a la infracción del principio non bis in idem y, en consecuencia, de la regla de prioridad de jurisdicción penal sobre la actividad administrativa sancionadora, sin perjuicio, naturalmente, de lo que finalmente llegue a declararse en su día con valor de cosa juzgada en el proceso penal.</w:t>
      </w:r>
    </w:p>
    <w:p w:rsidR="00D06117" w:rsidRDefault="00D06117" w:rsidP="00D06117">
      <w:pPr>
        <w:pStyle w:val="TextoNormal"/>
      </w:pPr>
    </w:p>
    <w:p w:rsidR="00D06117" w:rsidRDefault="00D06117" w:rsidP="00D06117">
      <w:pPr>
        <w:pStyle w:val="TextoNormal"/>
      </w:pPr>
      <w:r w:rsidRPr="00D06117">
        <w:rPr>
          <w:rStyle w:val="NumeroAFNegritaCaracter"/>
        </w:rPr>
        <w:t>4</w:t>
      </w:r>
      <w:r>
        <w:t>. Descartadas las quejas atinentes a la falta de emplazamiento de la entidad recurrente en el procedimiento sancionador y a la infracción de la regla de preferencia de la jurisdicción penal sobre la actuación administrativa sancionadora, debemos abordar la concerniente a la infracción del derecho a la presunción de inocencia (art. 24.2 CE) que, como es sabido, rige sin excepciones en el procedimiento administrativo sancionador y comporta la exigencia de un acervo probatorio suficiente, recayendo sobre la Administración pública actuante la carga probatoria tanto de la comisión del ilícito como de la participación del interesado (por todas, SSTC 45/1997, de 11 de marzo, FJ 4; y 74/2004, de 24 de abril, FJ 4) y ello sin perjuicio de que no corresponda a este Tribunal la revisión de la valoración del material probatorio, sino sólo llevar a cabo una supervisión externa de la razonabilidad del discurso que enlaza la actividad probatoria con el relato fáctico resultante (por todas, SSTC 117/2002, de 20 de mayo, FJ 9; 131/2003, de 30 de junio, FJ 7; y 82/2009, de 23 de marzo, FJ 4).</w:t>
      </w:r>
    </w:p>
    <w:p w:rsidR="00D06117" w:rsidRDefault="00D06117" w:rsidP="00D06117">
      <w:pPr>
        <w:pStyle w:val="TextoNormal"/>
      </w:pPr>
    </w:p>
    <w:p w:rsidR="00D06117" w:rsidRDefault="00D06117" w:rsidP="00D06117">
      <w:pPr>
        <w:pStyle w:val="TextoNormal"/>
      </w:pPr>
      <w:r>
        <w:t>En el presente caso la demandante niega la comisión de cada una de las infracciones apreciadas por la Administración, afirmando, en síntesis, que los medicamentos y productos utilizados eran de uso legal, siendo adquiridos a los correspondientes laboratorios; que los tratamientos prescritos se ajustaban a la legislación vigente y que nunca se ha impuesto a los pacientes la adquisición de los tratamientos en una oficina de farmacia determinada. Por el contrario, la Administración consideró acreditados los hechos a la vista del acta levantada por sus servicios de inspección en la visita realizada el 22 de julio de 2002 al establecimiento donde desarrollaba su actividad la entidad demandante de amparo. Así:</w:t>
      </w:r>
    </w:p>
    <w:p w:rsidR="00D06117" w:rsidRDefault="00D06117" w:rsidP="00D06117">
      <w:pPr>
        <w:pStyle w:val="TextoNormal"/>
      </w:pPr>
    </w:p>
    <w:p w:rsidR="00D06117" w:rsidRDefault="00D06117" w:rsidP="00D06117">
      <w:pPr>
        <w:pStyle w:val="TextoNormal"/>
      </w:pPr>
      <w:r>
        <w:t xml:space="preserve">a) La apreciación de la primera de las infracciones [falta muy grave del art. 108.2 c) l, consistente en la adquisición, prescripción y dispensación de medicamentos no autorizados </w:t>
      </w:r>
      <w:r>
        <w:lastRenderedPageBreak/>
        <w:t>por la Administración sanitaria] resulta de la intervención en el establecimiento de la demandante de ochenta y dos ampollas homeopáticas elaboradas por el laboratorio Simildiet, S.L., sin que dichos medicamentos homeopáticos figurasen registrados por el indicado laboratorio en cumplimiento de la disposición transitoria segunda del Real Decreto 2208/1994, regulador de los medicamentos homeopáticos para uso humano de fabricación industrial.</w:t>
      </w:r>
    </w:p>
    <w:p w:rsidR="00D06117" w:rsidRDefault="00D06117" w:rsidP="00D06117">
      <w:pPr>
        <w:pStyle w:val="TextoNormal"/>
      </w:pPr>
    </w:p>
    <w:p w:rsidR="00D06117" w:rsidRDefault="00D06117" w:rsidP="00D06117">
      <w:pPr>
        <w:pStyle w:val="TextoNormal"/>
      </w:pPr>
      <w:r>
        <w:t>b) La determinación de los hechos que dieron lugar a la apreciación de la segunda de las infracciones [falta grave del art. 108.2 b) 21, en la cual la Administración subsumió la prescripción de un tratamiento farmacológico a base de sustancias medicinales cuya prescripción simultánea considera prohibida por la Orden de 14 de febrero de 1997] se sustenta en el contenido de las recetas halladas con motivo de la misma inspección (folios 17 a 23 del expediente administrativo).</w:t>
      </w:r>
    </w:p>
    <w:p w:rsidR="00D06117" w:rsidRDefault="00D06117" w:rsidP="00D06117">
      <w:pPr>
        <w:pStyle w:val="TextoNormal"/>
      </w:pPr>
    </w:p>
    <w:p w:rsidR="00D06117" w:rsidRDefault="00D06117" w:rsidP="00D06117">
      <w:pPr>
        <w:pStyle w:val="TextoNormal"/>
      </w:pPr>
      <w:r>
        <w:t>c) Por último, la sanción de la falta grave del art. 108.2 b) 17 (consistente en la connivencia con oficinas de farmacia para la elaboración y dispensación de los tratamientos indicados), se sustenta en la intervención de dos documentos (folios 13 y 14 del expediente administrativo) en lo que se consigna: “Por la presente, solicito al Dr. González-Nicolás que haga las gestiones precisas para que en la farmacia [espacio en blanco] se vaya elaborando la fórmula magistral que me ha prescrito, bien entendido que el/la destinatario/a de la fórmula es el/la firmante y que esta solicitud no es óbice para que pueda escoger la farmacia que en cada momento prefiera para la preparación de las fórmulas que me prescribe el Dr. González-Nicolás, el cual me ha informado ampliamente de los principales establecimientos que preparan fórmulas, eligiendo el/la firmante la farmacia [espacio en blanco]. En Madrid, a [espacio en blanco]”.</w:t>
      </w:r>
    </w:p>
    <w:p w:rsidR="00D06117" w:rsidRDefault="00D06117" w:rsidP="00D06117">
      <w:pPr>
        <w:pStyle w:val="TextoNormal"/>
      </w:pPr>
    </w:p>
    <w:p w:rsidR="00D06117" w:rsidRDefault="00D06117" w:rsidP="00D06117">
      <w:pPr>
        <w:pStyle w:val="TextoNormal"/>
      </w:pPr>
      <w:r>
        <w:t>En consecuencia, la determinación de los hechos posteriormente sancionados por la Administración se sustenta en la documentación y medicamentos encontrados en el establecimiento de la entidad demandante en el curso de la visita de inspección realizada. En este sentido conviene recordar que es doctrina reiterada de este Tribunal que las actas de inspección o infracción, en las que los funcionarios competentes consignan los hechos que observan en el curso de sus comprobaciones e investigaciones, pueden ser consideradas por la Administración como medios de prueba capaces de destruir la presunción de inocencia, sin perjuicio de que no gocen de mayor relevancia que los demás medios de prueba admitidos en Derecho y, por ello, no hayan de prevalecer necesariamente frente a otras pruebas que conduzcan a conclusiones distintas (SSTC 76/1990, de 26 de abril, FJ 8; 14/1997, de 28 de enero, FJ 7; y 35/2006, de 13 de febrero, FJ 6).</w:t>
      </w:r>
    </w:p>
    <w:p w:rsidR="00D06117" w:rsidRDefault="00D06117" w:rsidP="00D06117">
      <w:pPr>
        <w:pStyle w:val="TextoNormal"/>
      </w:pPr>
    </w:p>
    <w:p w:rsidR="00D06117" w:rsidRDefault="00D06117" w:rsidP="00D06117">
      <w:pPr>
        <w:pStyle w:val="TextoNormal"/>
      </w:pPr>
      <w:r>
        <w:t>La aplicación de la mencionada doctrina determina la desestimación de esta queja, ya que existe, sin duda alguna, actividad probatoria de cargo, válida y suficiente para enervar la presunción de inocencia de la entidad recurrente. Ahora bien, ese valor probatorio sólo puede referirse a los hechos comprobados directamente por el funcionario, quedando fuera de su alcance las calificaciones jurídicas, los juicios de valor o las simples opiniones que los inspectores consignen en las actas y diligencias (STC 76/1990, de 26 de abril, FJ 8), de modo que aunque rechacemos la queja referida a la vulneración del derecho a la presunción de inocencia (art. 24.2 CE), ello no excluye la necesidad de examinar a continuación si la subsunción de esos hechos en el correspondiente precepto sancionador se ha hecho en términos constitucionalmente admisibles.</w:t>
      </w:r>
    </w:p>
    <w:p w:rsidR="00D06117" w:rsidRDefault="00D06117" w:rsidP="00D06117">
      <w:pPr>
        <w:pStyle w:val="TextoNormal"/>
      </w:pPr>
    </w:p>
    <w:p w:rsidR="00D06117" w:rsidRDefault="00D06117" w:rsidP="00D06117">
      <w:pPr>
        <w:pStyle w:val="TextoNormal"/>
      </w:pPr>
      <w:r w:rsidRPr="00D06117">
        <w:rPr>
          <w:rStyle w:val="NumeroAFNegritaCaracter"/>
        </w:rPr>
        <w:t>5</w:t>
      </w:r>
      <w:r>
        <w:t>. En efecto, exclusivamente en relación con la segunda de las sanciones impuestas [por la comisión de una falta grave prevista en el art. 108.2 b) 21 de la Ley 25/1990, de 20 de diciembre, del medicamento] se alega en la demanda de amparo la vulneración de los principios de legalidad y de tipicidad (art. 25.1 CE), aduciéndose que los hechos que la Administración declara probados no son subsumibles en tal infracción, así como una palmaria equivocación en la interpretación de la Orden de 14 de febrero de 1997 por la que se establecen determinados requisitos en la prescripción y dispensación de formulas magistrales y preparados oficinales para tratamientos peculiares; y añadiéndose, por último, que resulta inconstitucional que la ley se remita a lo que disponga una simple orden ministerial en cuestiones que afectan a la libertad de ejercicio profesional de los médicos.</w:t>
      </w:r>
    </w:p>
    <w:p w:rsidR="00D06117" w:rsidRDefault="00D06117" w:rsidP="00D06117">
      <w:pPr>
        <w:pStyle w:val="TextoNormal"/>
      </w:pPr>
    </w:p>
    <w:p w:rsidR="00D06117" w:rsidRDefault="00D06117" w:rsidP="00D06117">
      <w:pPr>
        <w:pStyle w:val="TextoNormal"/>
      </w:pPr>
      <w:r>
        <w:t>Así pues, es preciso enjuiciar la labor de interpretación y subsunción realizada en las resoluciones impugnadas, dado que la posibilidad de que se produzca una vulneración del art. 25.1 CE como consecuencia de las pautas interpretativas empleadas para la subsunción de la conducta en el tipo de la infracción ha sido expresamente contemplada por este Tribunal, afirmando que la validez constitucional de la aplicación de las normas sancionadoras depende tanto del respeto al tenor literal del enunciado normativo, que marca en todo caso una zona indudable de exclusión de comportamientos, como de su previsibilidad (SSTC 151/1997, de 29 de septiembre, FJ 4; y 236/1997, de 22 de diciembre, FJ 3), hallándose en todo caso vinculadas por los principios de legalidad y de seguridad jurídica. De este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(por todas, STC 111/2004, de 12 de julio, FJ 3).</w:t>
      </w:r>
    </w:p>
    <w:p w:rsidR="00D06117" w:rsidRDefault="00D06117" w:rsidP="00D06117">
      <w:pPr>
        <w:pStyle w:val="TextoNormal"/>
      </w:pPr>
    </w:p>
    <w:p w:rsidR="00D06117" w:rsidRDefault="00D06117" w:rsidP="00D06117">
      <w:pPr>
        <w:pStyle w:val="TextoNormal"/>
      </w:pPr>
      <w:r>
        <w:t>En el presente caso, las resoluciones impugnadas estiman acreditado que se realizó la prescripción de tratamientos farmacológicos a base de sustancias medicinales cuya prescripción simultánea consideran prohibida por la Orden de 14 de febrero de 1997, que en su art. 2.2 dispone que “no se podrán asociar sustancias medicinales de las incluidas en el art. 1 de esta Orden (esto es, sustancias medicinales con acciones anorexígenas, psicotrópicas, hormonales, laxantes y diuréticas solas o asociadas) entre sí o con otras sustancias medicinales en una misma fórmula magistral o preparado oficinal. Excepcionalmente se podrá prescribir una asociación de dos de estas sustancias, debiendo acompañar con la prescripción un informe haciendo constar la necesidad de esta asociación, así como su eficacia y seguridad para el tratamiento peculiar que se implanta”.</w:t>
      </w:r>
    </w:p>
    <w:p w:rsidR="00D06117" w:rsidRDefault="00D06117" w:rsidP="00D06117">
      <w:pPr>
        <w:pStyle w:val="TextoNormal"/>
      </w:pPr>
    </w:p>
    <w:p w:rsidR="00D06117" w:rsidRDefault="00D06117" w:rsidP="00D06117">
      <w:pPr>
        <w:pStyle w:val="TextoNormal"/>
      </w:pPr>
      <w:r>
        <w:t xml:space="preserve">Para la Administración, si bien la prescripción de estos medicamentos en el presente caso se realizó en recetas separadas, incluyendo, según los hechos consignados en las actas de inspección, un psicótropo en una, una asociación de diuréticos y laxantes en otra y un anoréxico en la tercera, no debe olvidarse que se prescribían en un solo acto médico para que se administraran simultáneamente, precisamente para que tal administración conjunta actuara sobre la patología específica del paciente, en este caso el sobrepeso, con el riesgo que para </w:t>
      </w:r>
      <w:r>
        <w:lastRenderedPageBreak/>
        <w:t>la salud puede suponer el consumo conjunto de dichas sustancias, las cuales presentan incompatibilidades entre sí o pueden provocar reacciones adversas.</w:t>
      </w:r>
    </w:p>
    <w:p w:rsidR="00D06117" w:rsidRDefault="00D06117" w:rsidP="00D06117">
      <w:pPr>
        <w:pStyle w:val="TextoNormal"/>
      </w:pPr>
    </w:p>
    <w:p w:rsidR="00D06117" w:rsidRDefault="00D06117" w:rsidP="00D06117">
      <w:pPr>
        <w:pStyle w:val="TextoNormal"/>
      </w:pPr>
      <w:r>
        <w:t>Por el contrario, la entidad demandante sostuvo en la vía judicial (fundamento jurídico quinto de la demanda contencioso-administrativa), como vulneración del principio de tipicidad, que las infracciones imputadas no aparecen subsumidas en el art. 108 de la Ley del medicamento. En la demanda de amparo, ahora como infracción del principio de legalidad, se aduce que “no se pretende que el Tribunal Constitucional entre a conocer de nuevo los hechos, sino que valore el encaje que de los mismos se hace. … Es este es el motivo básico en el que se sustenta nuestro recurso, por ser la violación más clara. Mi mandante no pudo cometer infracción por su actuación no se encuentra tipificada como infracción en norma alguna” (fundamento de derecho procesal II) concretando posteriormente que “los tratamientos prescritos por los facultativos médicos de la clínica figuran en recetas diferentes, no presentan incompatibilidades, dan lugar a su elaboración en cápsulas diferentes y se recogen en un informe de cada paciente; además, tales tratamientos no han durado nunca más de tres meses, dado que se cambiaba continuamente, así como los principios activos, debido a que los mismos tienen diferentes mecanismos de acción, utilizándose un principio u otro en función de las necesidades o particularidades del paciente” (fundamento jurídico tercero de la demanda de amparo).</w:t>
      </w:r>
    </w:p>
    <w:p w:rsidR="00D06117" w:rsidRDefault="00D06117" w:rsidP="00D06117">
      <w:pPr>
        <w:pStyle w:val="TextoNormal"/>
      </w:pPr>
    </w:p>
    <w:p w:rsidR="00D06117" w:rsidRDefault="00D06117" w:rsidP="00D06117">
      <w:pPr>
        <w:pStyle w:val="TextoNormal"/>
      </w:pPr>
      <w:r>
        <w:t>Así delimitados los planteamientos de las partes, resulta obvio que la interpretación por este Tribunal Constitucional del art. 2.2 de la Orden ministerial de 14 de febrero de 1997 —que en sí mismo no es de carácter sancionador— sólo es pertinente en la medida en que su incumplimiento se configure como elemento integrante del tipo infractor aplicado por la Administración: el art. 108.2 b) 21 de la Ley 25/1990, de 20 de diciembre, del medicamento.</w:t>
      </w:r>
    </w:p>
    <w:p w:rsidR="00D06117" w:rsidRDefault="00D06117" w:rsidP="00D06117">
      <w:pPr>
        <w:pStyle w:val="TextoNormal"/>
      </w:pPr>
    </w:p>
    <w:p w:rsidR="00D06117" w:rsidRDefault="00D06117" w:rsidP="00D06117">
      <w:pPr>
        <w:pStyle w:val="TextoNormal"/>
      </w:pPr>
      <w:r>
        <w:t>Pues bien, lo que dicho precepto sanciona es “la reincidencia en la comisión de infracciones leves, así como la comisión de alguna de las infracciones calificadas como leves cuando concurran de forma grave las circunstancias previstas en el apartado 1 de este artículo”, esto es, “riesgos para la salud, cuantía del eventual beneficio obtenido, grado de intencionalidad, gravedad de la alteración sanitaria y social producida, generalización de la infracción y reincidencia”.</w:t>
      </w:r>
    </w:p>
    <w:p w:rsidR="00D06117" w:rsidRDefault="00D06117" w:rsidP="00D06117">
      <w:pPr>
        <w:pStyle w:val="TextoNormal"/>
      </w:pPr>
    </w:p>
    <w:p w:rsidR="00D06117" w:rsidRDefault="00D06117" w:rsidP="00D06117">
      <w:pPr>
        <w:pStyle w:val="TextoNormal"/>
      </w:pPr>
      <w:r>
        <w:t>Por tanto, el precepto contempla dos conductas distintas: una, consistente en “la reincidencia en la comisión de infracciones leves”; otra, la comisión de una falta leve pero concurriendo alguna de las circunstancias agravantes previstas en el transcrito apartado 1 del mismo art. 108, siendo necesario, además, que la propia circunstancia de que se trate “concurra de forma grave”. Así pues, cualquiera de los dos supuestos tipificados en el precepto se sustenta en la inicial apreciación de una infracción leve, a la que ha de añadirse: o bien la reincidencia derivada de la comisión de otra infracción leve; o bien la concurrencia —de forma grave— de alguna de las circunstancias agravatorias que se han mencionado.</w:t>
      </w:r>
    </w:p>
    <w:p w:rsidR="00D06117" w:rsidRDefault="00D06117" w:rsidP="00D06117">
      <w:pPr>
        <w:pStyle w:val="TextoNormal"/>
      </w:pPr>
    </w:p>
    <w:p w:rsidR="00D06117" w:rsidRDefault="00D06117" w:rsidP="00D06117">
      <w:pPr>
        <w:pStyle w:val="TextoNormal"/>
      </w:pPr>
      <w:r>
        <w:t>Sin embargo, ni la resolución sancionadora identifica —ni la Sentencia impugnada se lo reprocha— cuáles son los datos en los que pudiera fundarse una reincidencia en la comisión de infracciones leves, ni concreta circunstancia agravante alguna que permitiera en este caso cualificar una infracción leve. Carencia de explicación o mínima referencia que podría cuestionar la aplicación del art. 108.2 b) 21 de la Ley 25/1990, de 20 de diciembre, del medicamento.</w:t>
      </w:r>
    </w:p>
    <w:p w:rsidR="00D06117" w:rsidRDefault="00D06117" w:rsidP="00D06117">
      <w:pPr>
        <w:pStyle w:val="TextoNormal"/>
      </w:pPr>
    </w:p>
    <w:p w:rsidR="00D06117" w:rsidRDefault="00D06117" w:rsidP="00D06117">
      <w:pPr>
        <w:pStyle w:val="TextoNormal"/>
      </w:pPr>
      <w:r>
        <w:t>No obstante, la entidad recurrente en su escrito de demanda se ha limitado a rebatir la interpretación del art. 2.2 de la Orden de 14 de febrero de 1997, realizada por la Administración sancionadora sin alusión alguna a esta ausencia de precisión de las resoluciones impugnadas respecto a la correspondencia de los hechos con el tenor legal de la infracción prevista en el art. 108.2 b) 21 de la Ley 25/1990, de 20 de diciembre, del medicamento. Si bien, la infracción del art. 2.2 referido podría constituir una de las infracciones leves previstas en la Ley del medicamento, la discusión sobre la interpretación de legalidad de dicho precepto queda fuera de este enjuiciamiento constitucional.</w:t>
      </w:r>
    </w:p>
    <w:p w:rsidR="00D06117" w:rsidRDefault="00D06117" w:rsidP="00D06117">
      <w:pPr>
        <w:pStyle w:val="TextoNormal"/>
      </w:pPr>
    </w:p>
    <w:p w:rsidR="00D06117" w:rsidRDefault="00D06117" w:rsidP="00D06117">
      <w:pPr>
        <w:pStyle w:val="TextoNormal"/>
      </w:pPr>
      <w:r>
        <w:t>Por ello, procede denegar el amparo solicitado, ya que las alegaciones de la entidad recurrente sobre la vulneración del principio de legalidad (art. 25.1 CE) se realizan de forma general sin proyectarse en el alcance de la vulneración respecto al tenor legal del art. 108.2 b) 21, cuya aplicación motiva la presente queja. La carencia de una precisa invocación al respecto, tanto en la vía judicial como en la demanda de amparo, conduce a que proceda su desestimación.</w:t>
      </w:r>
    </w:p>
    <w:p w:rsidR="00D06117" w:rsidRDefault="00D06117" w:rsidP="00D06117">
      <w:pPr>
        <w:pStyle w:val="TextoNormal"/>
      </w:pPr>
    </w:p>
    <w:p w:rsidR="00D06117" w:rsidRDefault="00D06117" w:rsidP="00D06117">
      <w:pPr>
        <w:pStyle w:val="TextoNormal"/>
      </w:pPr>
      <w:r w:rsidRPr="00D06117">
        <w:rPr>
          <w:rStyle w:val="NumeroAFNegritaCaracter"/>
        </w:rPr>
        <w:t>6</w:t>
      </w:r>
      <w:r>
        <w:t>. Por último se afirma por la entidad recurrente que resulta inconstitucional que la ley se remita a lo que disponga una simple orden ministerial (la tan citada Orden de 14 de febrero de 1997) en cuestiones que afectan a la libertad de ejercicio profesional de los médicos.</w:t>
      </w:r>
    </w:p>
    <w:p w:rsidR="00D06117" w:rsidRDefault="00D06117" w:rsidP="00D06117">
      <w:pPr>
        <w:pStyle w:val="TextoNormal"/>
      </w:pPr>
    </w:p>
    <w:p w:rsidR="00D06117" w:rsidRDefault="00D06117" w:rsidP="00D06117">
      <w:pPr>
        <w:pStyle w:val="TextoNormal"/>
      </w:pPr>
      <w:r>
        <w:t>También esta queja debe ser rechazada pues a este respecto tenemos dicho que no atañe al derecho a la legalidad sancionadora la falta de rango que ex art. 36 CE pueda tener la norma que integre los tipos infractores, pues la invocación de una específica previsión constitucional al respecto, la del art 36 CE (“La ley regulará … el ejercicio de las profesiones tituladas”), no convierte esta cuestión en una materia propia del art. 25.1 CE. Se trata de una cuestión que, por sí misma, es ajena al derecho fundamental concernido, por cuanto el mero hecho de que la norma de complemento aplicada para integrar la tipificación de una infracción careciese de rango legal, ello no incide en las garantías que acoge el art. 25.1 CE (por todas, SSTC 50/2003, de 17 de marzo, FJ 4; 283/2006, de 9 de octubre, FJ 5; y 181/2008, de 22 de diciembre, FJ 4).</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Acqua-Medicina y Cirugía Estética, S.L.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4" w:name="SENTENCIA_2012_71"/>
      <w:r>
        <w:lastRenderedPageBreak/>
        <w:t>SENTENCIA 71/2012, de 16 de abril de 2012</w:t>
      </w:r>
    </w:p>
    <w:bookmarkEnd w:id="74"/>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ECLI:ES:TC:2012:71</w:t>
      </w:r>
    </w:p>
    <w:p w:rsidR="00D06117" w:rsidRDefault="00D06117" w:rsidP="00D06117">
      <w:pPr>
        <w:pStyle w:val="SntesisDescriptiva"/>
      </w:pPr>
    </w:p>
    <w:p w:rsidR="00D06117" w:rsidRDefault="00D06117" w:rsidP="00D06117">
      <w:pPr>
        <w:pStyle w:val="SntesisDescriptiva"/>
      </w:pPr>
      <w:r>
        <w:t>Conflicto positivo de competencia 7601-2007. Planteado por el Consejo de Gobierno de la Comunidad de Madrid frente al acuerdo del Pleno del Tribunal de Defensa de la Competencia de 31 de mayo de 2007 por el que se mantiene la competencia de dicho órgano sobre el expediente núm. 627-2007, Estación sur de autobuses de Madrid.</w:t>
      </w:r>
    </w:p>
    <w:p w:rsidR="00D06117" w:rsidRDefault="00D06117" w:rsidP="00D06117">
      <w:pPr>
        <w:pStyle w:val="SntesisDescriptiva"/>
      </w:pPr>
    </w:p>
    <w:p w:rsidR="00D06117" w:rsidRDefault="00D06117" w:rsidP="00D06117">
      <w:pPr>
        <w:pStyle w:val="SntesisAnaltica"/>
      </w:pPr>
      <w:r>
        <w:t>Competencia estatal para resolver el expediente sancionador al producirse la hipotética desventaja competitiva en la explotación de una línea de transporte internacional, de modo que la práctica restrictiva tendría incidencia supraautonómica (STC 208/1999). Voto particular.</w:t>
      </w:r>
    </w:p>
    <w:p w:rsidR="00D06117" w:rsidRDefault="00D06117" w:rsidP="00D06117">
      <w:pPr>
        <w:pStyle w:val="SntesisAnaltica"/>
      </w:pPr>
    </w:p>
    <w:p w:rsidR="00D06117" w:rsidRDefault="00D06117" w:rsidP="00D06117">
      <w:pPr>
        <w:pStyle w:val="Extracto"/>
      </w:pPr>
      <w:r>
        <w:t>1.</w:t>
      </w:r>
      <w:r>
        <w:tab/>
        <w:t>El Tribunal de Defensa de la Competencia es el órgano competente para decidir un expediente sancionador relacionado con una línea regular de transporte de viajeros por carretera de carácter internacional con parada en Madrid, pues tal decisión tiene consecuencias no sólo en el territorio de la Comunidad de Madrid sino también en el mercado supraautonómico de transporte de viajeros (STC 208/1999) [FJ 6].</w:t>
      </w:r>
    </w:p>
    <w:p w:rsidR="00D06117" w:rsidRDefault="00D06117" w:rsidP="00D06117">
      <w:pPr>
        <w:pStyle w:val="Extracto"/>
      </w:pPr>
    </w:p>
    <w:p w:rsidR="00D06117" w:rsidRDefault="00D06117" w:rsidP="00D06117">
      <w:pPr>
        <w:pStyle w:val="Extracto"/>
      </w:pPr>
      <w:r>
        <w:t>2.</w:t>
      </w:r>
      <w:r>
        <w:tab/>
        <w:t>Corresponde al Tribunal de Defensa de la Competencia la decisión sobre si la imposibilidad de vender billetes en la Estación sur de autobuses, a una empresa que desarrolla su actividad no sólo el territorio de la Comunidad de Madrid sino también fuera dicho ámbito, en las mismas o similares condiciones que lo hacen sus competidores, puede ser susceptible de vulnerar la libre competencia entre empresas y generar una situación de desventaja competitiva, al tener la práctica restrictiva una incidencia supraautonómica [FJ 6].</w:t>
      </w:r>
    </w:p>
    <w:p w:rsidR="00D06117" w:rsidRDefault="00D06117" w:rsidP="00D06117">
      <w:pPr>
        <w:pStyle w:val="Extracto"/>
      </w:pPr>
    </w:p>
    <w:p w:rsidR="00D06117" w:rsidRDefault="00D06117" w:rsidP="00D06117">
      <w:pPr>
        <w:pStyle w:val="Extracto"/>
      </w:pPr>
      <w:r>
        <w:t>3.</w:t>
      </w:r>
      <w:r>
        <w:tab/>
        <w:t>Corresponde al Estado la competencia en materia de defensa de la competencia cuando la práctica restrictiva pueda alterar la libre competencia en un ámbito supracomunitario o en el conjunto del mercado nacional, aunque tal acto se realice en el territorio de una Comunidad Autónoma, correspondiendo la competencia a la Comunidad Autónoma sólo cuando dicha práctica tenga lugar en su territorio y no tenga trascendencia sobre el mercado supraautonómico (SSTC 208/1999, 157/2004) [FJ 5].</w:t>
      </w:r>
    </w:p>
    <w:p w:rsidR="00D06117" w:rsidRDefault="00D06117" w:rsidP="00D06117">
      <w:pPr>
        <w:pStyle w:val="Extracto"/>
      </w:pPr>
    </w:p>
    <w:p w:rsidR="00D06117" w:rsidRDefault="00D06117" w:rsidP="00D06117">
      <w:pPr>
        <w:pStyle w:val="Extracto"/>
      </w:pPr>
      <w:r>
        <w:t>4.</w:t>
      </w:r>
      <w:r>
        <w:tab/>
        <w:t>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[FJ 3].</w:t>
      </w:r>
    </w:p>
    <w:p w:rsidR="00D06117" w:rsidRDefault="00D06117" w:rsidP="00D06117">
      <w:pPr>
        <w:pStyle w:val="Extracto"/>
      </w:pPr>
    </w:p>
    <w:p w:rsidR="00D06117" w:rsidRDefault="00D06117" w:rsidP="00D06117">
      <w:pPr>
        <w:pStyle w:val="Extracto"/>
      </w:pPr>
      <w:r>
        <w:lastRenderedPageBreak/>
        <w:t>5.</w:t>
      </w:r>
      <w:r>
        <w:tab/>
        <w:t xml:space="preserve">Doctrina sobre la distribución de competencias en materia de defensa de la competencia, sobre su encuadre competencial dentro de las bases y coordinación de la planificación general de la actividad económica, </w:t>
      </w:r>
      <w:r w:rsidRPr="00D06117">
        <w:rPr>
          <w:i/>
        </w:rPr>
        <w:t>ex</w:t>
      </w:r>
      <w:r>
        <w:t xml:space="preserve"> art. 149.1.13 CE, y sobre el alcance del título competencial que ostenta el Estado al respecto (SSTC 88/1986, 208/1999)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7601-2007, planteado por el Consejo de Gobierno de la Comunidad de Madrid contra el acuerdo de 31 de mayo de 2007 del Pleno del Tribunal de Defensa de la Competencia, por el que se mantiene la competencia de dicho órgano sobre el expediente núm. 627-2007, Estación sur de autobuses de Madrid. Ha formulado alegaciones el Abogado del Estado.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27 de septiembre de 2007 tuvo entrada en el Registro General de este Tribunal escrito del Letrado de la Comunidad de Madrid en representación del Consejo de Gobierno de dicha Comunidad interponiendo conflicto positivo de competencias contra el acuerdo de 31 de mayo de 2007 del Pleno del Tribunal de Defensa de la Competencia, por el que se mantiene la competencia de dicho órgano sobre el expediente núm. 627-2007, Estación sur de autobuses de Madrid. Tras recordar el cumplimiento de los requisitos establecidos en la Ley Orgánica del Tribunal Constitucional (LOTC) para interponer un conflicto positivo de competencias, las alegaciones que sustentan la pretensión de fondo del Gobierno autonómico pueden resumirse del siguiente modo:</w:t>
      </w:r>
    </w:p>
    <w:p w:rsidR="00D06117" w:rsidRDefault="00D06117" w:rsidP="00D06117">
      <w:pPr>
        <w:pStyle w:val="TextoNormal"/>
      </w:pPr>
    </w:p>
    <w:p w:rsidR="00D06117" w:rsidRDefault="00D06117" w:rsidP="00D06117">
      <w:pPr>
        <w:pStyle w:val="TextoNormal"/>
      </w:pPr>
      <w:r>
        <w:t>a) El 8 de marzo de 2006 tiene entrada en el Servicio de defensa de la competencia estatal denuncia formulada por la consejera delegada de Aníbal, S.L., contra la empresa concesionaria de la Estación sur de autobuses de Madrid, Esamsa, por supuestas conductas prohibidas por la Ley 16/1989, de 17 de julio, de defensa de la competencia (en adelante, LDC), consistentes en negarle injustificadamente la adjudicación de una taquilla de venta de billetes, necesaria para la explotación de la línea internacional 02/2001 Santarem (Lisboa)-Madrid-París, para la que contaba con la correspondiente autorización administrativa, y la instalación de líneas telefónicas en el local 8 que la agencia de viajes Aníbal tours, S.A., posee en dicha estación de autobuses.</w:t>
      </w:r>
    </w:p>
    <w:p w:rsidR="00D06117" w:rsidRDefault="00D06117" w:rsidP="00D06117">
      <w:pPr>
        <w:pStyle w:val="TextoNormal"/>
      </w:pPr>
    </w:p>
    <w:p w:rsidR="00D06117" w:rsidRDefault="00D06117" w:rsidP="00D06117">
      <w:pPr>
        <w:pStyle w:val="TextoNormal"/>
      </w:pPr>
      <w:r>
        <w:t>b) El 16 de marzo de 2006 se incoa el expediente sancionador núm. 627-2007 por el Servicio de defensa de la competencia y con fecha 24 de noviembre de 2006 el Servicio de defensa de la competencia formula y notifica el pliego de concreción de hechos estimando que Esamsa ha incurrido en conducta tipificada por el art. 6.2 c) LDC. En dicho pliego se define el mercado relevante y considera que el mercado geográfico se reduciría a la estación correspondiente en función del recorrido de la línea de transporte, en este caso la Estación sur de autobuses.</w:t>
      </w:r>
    </w:p>
    <w:p w:rsidR="00D06117" w:rsidRDefault="00D06117" w:rsidP="00D06117">
      <w:pPr>
        <w:pStyle w:val="TextoNormal"/>
      </w:pPr>
    </w:p>
    <w:p w:rsidR="00D06117" w:rsidRDefault="00D06117" w:rsidP="00D06117">
      <w:pPr>
        <w:pStyle w:val="TextoNormal"/>
      </w:pPr>
      <w:r>
        <w:t>c) El 17 de enero de 2007, el Servicio de defensa de la competencia, conforme a lo dispuesto en el art. 5.4 de la Ley 1/2002, de 21 de febrero, de coordinación de las competencias del Estado y las Comunidades Autónomas en materia de defensa de la competencia (en adelante, Ley 1/2002), solicita informe al Tribunal de Defensa de la Competencia de la Comunidad de Madrid, adjuntando copia del pliego de concreción de hechos. El 28 de febrero de 2007, el Servicio de defensa de la competencia eleva informe-propuesta al Tribunal de Defensa de la Competencia, en el que considera acreditada la realización de conductas prohibidas por el art. 6.2 c) LDC, de las que es responsable Esamsa. El 21 de mayo de 2007, el Tribunal de Defensa de la Competencia se dirige al Tribunal de Defensa de la Competencia de la Comunidad de Madrid solicitando el informe preceptivo previsto en el art. 5.4 de la Ley 1/2002, acompañando copia del informe-propuesta emitido por el Servicio de defensa de la competencia, en el que se afirma literalmente: “De acuerdo con lo previsto en la LDC y en la Ley 1/2002, de 21 de febrero, son competentes para instruir y resolver el presente expediente el Servicio de Defensa de la Competencia y el Tribunal de Defensa de la Competencia, por tratarse de una supuesta infracción de la LDC, que afecta a líneas de transporte de viajeros por carretera cuyo recorrido supera los límites de la Comunidad de Madrid”.</w:t>
      </w:r>
    </w:p>
    <w:p w:rsidR="00D06117" w:rsidRDefault="00D06117" w:rsidP="00D06117">
      <w:pPr>
        <w:pStyle w:val="TextoNormal"/>
      </w:pPr>
    </w:p>
    <w:p w:rsidR="00D06117" w:rsidRDefault="00D06117" w:rsidP="00D06117">
      <w:pPr>
        <w:pStyle w:val="TextoNormal"/>
      </w:pPr>
      <w:r>
        <w:t>d) El 29 de mayo de 2007 tiene entrada en el Tribunal de Defensa de la Competencia escrito del Presidente del Tribunal de Defensa de la Competencia de la Comunidad de Madrid comunicando la decisión de este último de reclamar la competencia para la instrucción y conocimiento del expediente sancionador 627-2007, Estación sur de autobuses. El 31 de mayo de 2007, el Pleno del Tribunal de Defensa de la Competencia adopta acuerdo por el que decide mantener la competencia estatal sobre el citado expediente, de conformidad con el art. 1 de la Ley 1/2002. La Junta consultiva en materia de conflictos prevista en la Ley 1/2002, aprobó un dictamen no vinculante determinando que la competencia para conocer de la denuncia presentada que ha dado lugar al expediente sancionador 627-2007, Estación sur de autobuses, corresponde al Estado.</w:t>
      </w:r>
    </w:p>
    <w:p w:rsidR="00D06117" w:rsidRDefault="00D06117" w:rsidP="00D06117">
      <w:pPr>
        <w:pStyle w:val="TextoNormal"/>
      </w:pPr>
    </w:p>
    <w:p w:rsidR="00D06117" w:rsidRDefault="00D06117" w:rsidP="00D06117">
      <w:pPr>
        <w:pStyle w:val="TextoNormal"/>
      </w:pPr>
      <w:r>
        <w:t>e) El 26 de julio de 2007, el Consejo de Gobierno de la Comunidad de Madrid acuerda requerir al Gobierno de la Nación para que anule el acuerdo de 31 de mayo de 2007 del Pleno del Tribunal de Defensa de la Competencia, por el que decide mantener la competencia estatal sobre el expediente 627-2007, Estación sur de autobuses. El 24 de agosto de 2007, el Consejo de Ministros aprueba un acuerdo por el que no se estima fundado y, por tanto, se rechaza el requerimiento del Consejo de Gobierno de la Comunidad de Madrid y se ordena dar traslado del mismo al órgano requirente en cumplimiento de lo previsto en el art. 63.4 de la Ley Orgánica 2/1979, de 3 de octubre, del Tribunal Constitucional. Recibida la mencionada contestación del Consejo de Ministros el día 3 de septiembre de 2007, el Consejo de Gobierno de la Comunidad de Madrid acuerda con fecha 13 de septiembre de 2007 formalizar ante el Tribunal Constitucional conflicto positivo de competencia contra el Estado.</w:t>
      </w:r>
    </w:p>
    <w:p w:rsidR="00D06117" w:rsidRDefault="00D06117" w:rsidP="00D06117">
      <w:pPr>
        <w:pStyle w:val="TextoNormal"/>
      </w:pPr>
    </w:p>
    <w:p w:rsidR="00D06117" w:rsidRDefault="00D06117" w:rsidP="00D06117">
      <w:pPr>
        <w:pStyle w:val="TextoNormal"/>
      </w:pPr>
      <w:r w:rsidRPr="00D06117">
        <w:rPr>
          <w:rStyle w:val="NumeroAFNegritaCaracter"/>
        </w:rPr>
        <w:t>2</w:t>
      </w:r>
      <w:r>
        <w:t>. El objeto del presente conflicto positivo de competencia es el acuerdo de 31 de mayo de 2007, del Pleno del Tribunal de Defensa de la Competencia, por el que se decide mantener la competencia estatal sobre el expediente 627-2007, Estación sur de autobuses, por ser éste el acto que en este caso no respeta el orden de competencias establecido en la Constitución, en el Estatuto de Autonomía de la Comunidad de Madrid y en la Ley 1/2002, de 21 de febrero, de coordinación de las competencias del Estado y las Comunidades Autónomas en materia de defensa de la competencia, afectando al ámbito de autonomía de la Comunidad de Madrid (arts. 61.1 y 63.1 LOTC).</w:t>
      </w:r>
    </w:p>
    <w:p w:rsidR="00D06117" w:rsidRDefault="00D06117" w:rsidP="00D06117">
      <w:pPr>
        <w:pStyle w:val="TextoNormal"/>
      </w:pPr>
    </w:p>
    <w:p w:rsidR="00D06117" w:rsidRDefault="00D06117" w:rsidP="00D06117">
      <w:pPr>
        <w:pStyle w:val="TextoNormal"/>
      </w:pPr>
      <w:r>
        <w:t>Las alegaciones formuladas por el representante procesal de la Comunidad de Madrid, se sintetizan a continuación:</w:t>
      </w:r>
    </w:p>
    <w:p w:rsidR="00D06117" w:rsidRDefault="00D06117" w:rsidP="00D06117">
      <w:pPr>
        <w:pStyle w:val="TextoNormal"/>
      </w:pPr>
    </w:p>
    <w:p w:rsidR="00D06117" w:rsidRDefault="00D06117" w:rsidP="00D06117">
      <w:pPr>
        <w:pStyle w:val="TextoNormal"/>
      </w:pPr>
      <w:r>
        <w:t>A falta de referencias expresas en los artículos 148 y 149 de la Constitución, el Estatuto de Autonomía de la Comunidad de Madrid, aprobado por la Ley Orgánica 3/1983, de 25 de febrero, atribuye a la Comunidad de Madrid competencia exclusiva en materia de comercio interior, sin perjuicio de la política general de precios, de la libre circulación de bienes en el territorio del Estado y de la legislación sobre defensa de la competencia, y de acuerdo con las bases y la ordenación de la actividad económica general y la política monetaria del Estado, en los términos de los arts. 38 y 131 y de las materias 11 y 13 del art. 149.1 CE. La articulación de las competencias estatales y autonómicas en esta materia debe entenderse y aplicarse conforme a la doctrina del Tribunal Constitucional, contenida fundamentalmente en la Sentencia 208/1999, de 11 de noviembre. En cumplimiento del mandato formulado por el Tribunal Constitucional en dicha Sentencia, se promulgó la Ley 1/2002, de 21 de febrero, de coordinación de las competencias del Estado y las Comunidades Autónomas en materia de defensa de la competencia, en la que los apartados 1, 2 y 3 del art. 1 de la Ley 1/2002, de 21 de febrero, establecen los puntos o criterios de conexión que deslindan los ámbitos de la competencia ejecutiva de los órganos o autoridades de defensa de la competencia a nivel nacional.</w:t>
      </w:r>
    </w:p>
    <w:p w:rsidR="00D06117" w:rsidRDefault="00D06117" w:rsidP="00D06117">
      <w:pPr>
        <w:pStyle w:val="TextoNormal"/>
      </w:pPr>
    </w:p>
    <w:p w:rsidR="00D06117" w:rsidRDefault="00D06117" w:rsidP="00D06117">
      <w:pPr>
        <w:pStyle w:val="TextoNormal"/>
      </w:pPr>
      <w:r>
        <w:t>El acuerdo objeto del conflicto vulnera el orden constitucional, estatutario y legal de distribución de competencias entre el Estado y las Comunidades Autónomas, afectando al ámbito de autonomía de la Comunidad de Madrid, por cuanto realiza una interpretación extensiva del canon de constitucionalidad establecido en materia de defensa de la competencia por la Sentencia 208/1999, de 11 de noviembre. Dicho canon atribuye al Estado todas las actividades ejecutivas que determinen la configuración real del mercado único de ámbito nacional y, por lo tanto, las actuaciones ejecutivas en relación con aquellas prácticas que puedan alterar la libre competencia en un ámbito supracomunitario o en el conjunto del mercado nacional, aunque tales actos ejecutivos hayan de realizarse en el territorio de una Comunidad Autónoma. El tenor del acuerdo impugnado parece traslucir que éste va a ser el criterio general del Tribunal de Defensa de la Competencia en todos los supuestos análogos a éste, con lo cual la invasión competencial es más grave todavía.</w:t>
      </w:r>
    </w:p>
    <w:p w:rsidR="00D06117" w:rsidRDefault="00D06117" w:rsidP="00D06117">
      <w:pPr>
        <w:pStyle w:val="TextoNormal"/>
      </w:pPr>
    </w:p>
    <w:p w:rsidR="00D06117" w:rsidRDefault="00D06117" w:rsidP="00D06117">
      <w:pPr>
        <w:pStyle w:val="TextoNormal"/>
      </w:pPr>
      <w:r>
        <w:t xml:space="preserve">Se argumenta que hasta ahora el criterio era el opuesto, y cita para corroborar esta afirmación, el dictamen de 23 de diciembre de 2005, de la Junta consultiva en materia de conflictos, relativo a la denuncia de Spanair, S.A., contra Aena al resolver la utilización de la nueva terminal 4 del aeropuerto de Madrid-Barajas, donde se afirmaba textualmente: “Tiene razón la CAM cuando se opone a una interpretación literal del Art. 1.1 [de la Ley 1/2002, </w:t>
      </w:r>
      <w:r>
        <w:lastRenderedPageBreak/>
        <w:t>de 21 de febrero]. El intérprete debe corregir su automatismo, exigiendo una causalidad adecuada entre el hecho causante y la producción del efecto perturbador en el mercado extrautonómico, así como una valoración de su importancia”.</w:t>
      </w:r>
    </w:p>
    <w:p w:rsidR="00D06117" w:rsidRDefault="00D06117" w:rsidP="00D06117">
      <w:pPr>
        <w:pStyle w:val="TextoNormal"/>
      </w:pPr>
    </w:p>
    <w:p w:rsidR="00D06117" w:rsidRDefault="00D06117" w:rsidP="00D06117">
      <w:pPr>
        <w:pStyle w:val="TextoNormal"/>
      </w:pPr>
      <w:r>
        <w:t>Considera evidente, en contra de lo sostenido por el Tribunal de Defensa de la Competencia en el acto impugnado, que el canon de constitucionalidad establecido en la Sentencia 208/1999 y plasmado en los apartados 1, 2 y 3 del art. 1 de la Ley 1/2002, impone la realización de al menos las siguientes operaciones para determinar la competencia estatal o autonómica: 1) delimitación del mercado relevante, tanto desde el punto de vista objetivo o material como geográfico, lo cual exige un análisis de carácter fundamentalmente económico; 2) dentro de dicha dimensión territorial del mercado relevante, determinación de la extensión de los efectos restrictivos de la conducta; 3) constatación del nexo causal entre la conducta y el efecto perturbador de dicho mercado; y 4 a) valoración de la importancia de los hechos. En el supuesto de autos, ni el Servicio de defensa de la competencia ni el Tribunal de Defensa de la Competencia han realizado estas operaciones básicas e imprescindibles. No ha existido ninguna labor de análisis jurídico o económico de la conducta negativa de la empresa Esamsa. No se ha determinado el mercado relevante, ni se ha determinado el alcance geográfico de los efectos de dicha conducta, ni se ha analizado el nexo causal, ni se ha valorado la importancia de los hechos. Simplemente, se ha sostenido apodícticamente que el carácter supraautonómico de la línea de transporte por carretera atrae la competencia estatal.</w:t>
      </w:r>
    </w:p>
    <w:p w:rsidR="00D06117" w:rsidRDefault="00D06117" w:rsidP="00D06117">
      <w:pPr>
        <w:pStyle w:val="TextoNormal"/>
      </w:pPr>
    </w:p>
    <w:p w:rsidR="00D06117" w:rsidRDefault="00D06117" w:rsidP="00D06117">
      <w:pPr>
        <w:pStyle w:val="TextoNormal"/>
      </w:pPr>
      <w:r>
        <w:t>A continuación indica diversos hechos constatados en el pliego de concreción de hechos del informe-propuesta del Servicio de defensa de la competencia o averiguados por el Tribunal de Defensa de la Competencia de Madrid que pondrían de relieve la falta de rigor de la postura del Tribunal de Defensa de la Competencia. De las 62 taquillas para venta de billetes con que cuenta la Estación sur de autobuses, 58 son utilizadas por empresas de transporte de viajeros, de las cuales 15 son empresas de servicios discrecionales y 43 son empresas de líneas regulares nacionales o internacionales. De estas últimas, sólo 31 disponen de una o más taquillas; y de las 12 empresas restantes, 8 venden sus billetes a través de alguna de las que tienen asignada taquilla.</w:t>
      </w:r>
    </w:p>
    <w:p w:rsidR="00D06117" w:rsidRDefault="00D06117" w:rsidP="00D06117">
      <w:pPr>
        <w:pStyle w:val="TextoNormal"/>
      </w:pPr>
    </w:p>
    <w:p w:rsidR="00D06117" w:rsidRDefault="00D06117" w:rsidP="00D06117">
      <w:pPr>
        <w:pStyle w:val="TextoNormal"/>
      </w:pPr>
      <w:r>
        <w:t>Finalmente, el juicio de relevancia de la conducta no ha existido. Concluye las alegaciones afirmando que, entender en la actualidad y en un país desarrollado como España que disponer de una taquilla para vender billetes dentro de una estación es una actividad instrumental imprescindible para la prestación del servicio de transporte de viajeros por carretera supone ignorar la realidad socioeconómica de una sociedad tecnológica en la que existen muchas otras modalidades de venta: internet, teléfono, cajeros automáticos o, simplemente, otros puntos de venta fuera de la estación. Y todo ello, sin tener en cuenta que en la práctica, Aníbal, S.L., pudo vender sus billetes en otras ubicaciones dentro de la propia estación distintas de las taquillas.</w:t>
      </w:r>
    </w:p>
    <w:p w:rsidR="00D06117" w:rsidRDefault="00D06117" w:rsidP="00D06117">
      <w:pPr>
        <w:pStyle w:val="TextoNormal"/>
      </w:pPr>
    </w:p>
    <w:p w:rsidR="00D06117" w:rsidRDefault="00D06117" w:rsidP="00D06117">
      <w:pPr>
        <w:pStyle w:val="TextoNormal"/>
      </w:pPr>
      <w:r>
        <w:t>En definitiva se solicita la estimación del presente conflicto y que se declare que el citado acuerdo vulnera las competencias de la Comunidad de Madrid y, por ello, se anule el referido acuerdo.</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El Pleno del Tribunal mediante providencia de 24 de junio de 2008 acordó admitir a trámite el presente conflicto positivo de competencias, asimismo, de conformidad con el art. </w:t>
      </w:r>
      <w:r>
        <w:lastRenderedPageBreak/>
        <w:t>10.2 LOTC, en la redacción dada por la Ley Orgánica 6/2007, de 24 de mayo, decidió atribuir a la Sala Primera, que por turno objetivo le correspondía, el conocimiento del presente conflicto; acordó también dar traslado de la demanda al Gobierno de la Nación, al objeto de presentar alegaciones en el plazo de veinte días, y publicar la incoación del conflicto en el “Boletín Oficial del Estado” (lo que tuvo lugar el día 8 de julio de 2008) y en el “Boletín Oficial de la Comunidad de Madrid”; por último, se acordó comunicar la incoación del conflicto a la Sala de lo Contencioso-Administrativo de la Audiencia Nacional por si ante la misma estuviera impugnado el acuerdo objeto del conflicto, para que, en su caso, se suspendiera el curso del proceso hasta la decisión de este Tribunal.</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la Sala Primera de 8 de julio de 2008, se tuvo por personado al Abogado del Estado y se otorgó una prórroga de diez días, solicitada por la representación procesal del Estado en su escrito de personación de 7 de julio de 2008, del plazo para efectuar alegaciones. Mediante escrito de 3 de septiembre de 2008, don Antonio Hurtado Cejas, Procurador de los Tribunales y de Estación sur de autobuses, S.A., se personó en este proceso a los solos efectos de notificaciones y de estar al corriente del mismo. La Sala de lo Contencioso-Administrativo de la Audiencia Nacional remitió providencia de 23 de julio de 2008 por la que, acusando recibo de lo solicitado por este Tribunal, acordaba la suspensión del procedimiento sobre el acuerdo objeto del presente conflicto.</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de 12 de septiembre de 2008 el Abogado del Estado formuló sus alegaciones. En su opinión, el conflicto se circunscribe a deslindar las competencias del Estado y de la Comunidad de Madrid sobre actos de ejecución de la legislación de defensa de la competencia. Después de recordar la doctrina del Tribunal (STC 208/1999, de 11 de noviembre, confirmada por otras posteriores, entre otras, las SSTC 124/2003, de 19 de junio, y la 157/2004, de 21 de septiembre), considera que es clara la delimitación que el Tribunal ha efectuado de las facultades ejecutivas en materia de defensa de la competencia entre el Estado y las Comunidades Autónomas: tales facultades corresponderán al Estado siempre que la práctica restrictiva pueda alterar la libre competencia en un ámbito supracomunitario o en el conjunto del mercado nacional, aunque tal acto se realice en el territorio de una Comunidad Autónoma; por el contrario, la facultad ejecutiva corresponderá a la Comunidad sólo cuando concurran dos circunstancias: que la práctica restrictiva tenga lugar en el territorio de la Comunidad y además que no tenga incidencia supraautonómica.</w:t>
      </w:r>
    </w:p>
    <w:p w:rsidR="00D06117" w:rsidRDefault="00D06117" w:rsidP="00D06117">
      <w:pPr>
        <w:pStyle w:val="TextoNormal"/>
      </w:pPr>
    </w:p>
    <w:p w:rsidR="00D06117" w:rsidRDefault="00D06117" w:rsidP="00D06117">
      <w:pPr>
        <w:pStyle w:val="TextoNormal"/>
      </w:pPr>
      <w:r>
        <w:t>Así lo ha establecido el legislador en la Ley 1/2002 que no hace sino recoger la citada doctrina constitucional. A su juicio es evidente la incidencia supraautonómica de la conducta restrictiva de la competencia objeto del expediente sancionador 627-2007. Los argumentos de la parte recurrente de este proceso pueden resumirse, a su juicio, como sigue: 1) La interpretación del Estado de que todas las prácticas que puedan modificar o alterar la libre competencia en una línea de transporte internacional son competencia del Tribunal de Defensa de la Competencia “constituye un criterio apriorístico, formal, reduccionista y excesivo”; 2) habría existido un cambio de criterio por parte de la Junta consultiva en materia de conflictos respecto del dictamen de 23 de diciembre de 2005, que aporta con la demanda; 3) la delimitación de las competencias Estado-Comunidad de Madrid exigiría la previa definición del mercado relevante y el grado de incidencia de la práctica en el mismo; 4) en un país desarrollado como España la existencia de taquillas físicas de venta de billetes en la estación no puede considerarse una “actividad instrumental imprescindible para la prestación del servicio de transporte de viajeros por carretera”.</w:t>
      </w:r>
    </w:p>
    <w:p w:rsidR="00D06117" w:rsidRDefault="00D06117" w:rsidP="00D06117">
      <w:pPr>
        <w:pStyle w:val="TextoNormal"/>
      </w:pPr>
    </w:p>
    <w:p w:rsidR="00D06117" w:rsidRDefault="00D06117" w:rsidP="00D06117">
      <w:pPr>
        <w:pStyle w:val="TextoNormal"/>
      </w:pPr>
      <w:r>
        <w:t>En opinión del Abogado del Estado, de la doctrina del Tribunal Constitucional resulta que la competencia ejecutiva corresponde al Estado siempre que la práctica restrictiva pueda alterar la libre competencia en un ámbito supracomunitario o en el conjunto del mercado nacional, aunque el acto se realice en el territorio de una Comunidad Autónoma. Pues bien, el acto presuntamente restrictivo de la competencia consiste en la no adjudicación por la empresa “Estación Sur de Autobuses” (Esamsa) a Aníbal, S.L., de una taquilla para la venta de billetes de la línea internacional Santarem (Lisboa)-Madrid-París “cuando las adjudicó a otras empresas de transporte de viajeros por carretera que la solicitaron e iniciaron su actividad en la Estación después de la denunciante”. Es evidente, en su opinión, que la conducta de Esamsa denunciada, si produce efectos restrictivos, no puede ser sino en el ámbito geográfico de la línea regular de transporte de viajeros por carretera Santarem-Madrid-París para la que se solicita una taquilla (y otros servicios) de venta de billetes. La imposibilidad de vender billetes en la Estación sur de autobuses, en las mismas o similares condiciones que lo hacen sus competidores en esta línea regular, es susceptible de generar una situación de desventaja competitiva para Aníbal, S.L. Por supuesto esa desventaja competitiva se produciría en la explotación de una línea de transporte internacional y, por tanto, la práctica restrictiva tendría incidencia supraautonómica. Resulta, en definitiva, bastante obvio que la competencia controvertida corresponde al Estado.</w:t>
      </w:r>
    </w:p>
    <w:p w:rsidR="00D06117" w:rsidRDefault="00D06117" w:rsidP="00D06117">
      <w:pPr>
        <w:pStyle w:val="TextoNormal"/>
      </w:pPr>
    </w:p>
    <w:p w:rsidR="00D06117" w:rsidRDefault="00D06117" w:rsidP="00D06117">
      <w:pPr>
        <w:pStyle w:val="TextoNormal"/>
      </w:pPr>
      <w:r>
        <w:t>Resalta la evidente importancia que para la actividad económica del transporte de viajeros tiene la venta de billetes que jurídicamente es el núcleo mismo de la actividad. Recuerda el Abogado del Estado que, en el transporte terrestre de personas, la carta de porte o billete (art. 352 del Código de comercio: CCom) constituye el título legal del contrato entre el porteador y el pasajero (art. 353 CCom). Es decir, mediante la venta del billete se documenta la perfección del contrato de transporte entre el pasajero y el transportista, realizándose el pago del precio por aquél y quedando aplazada la realización de la prestación a que se obliga el transportista en los términos que se establezca en el billete. Así, por el contenido del billete o carta de porte se “decidirán las contestaciones que ocurran” sobre la ejecución del contrato y su cumplimiento “sin admitir más excepciones que la de falsedad y error material en su redacción” (art. 353 CCom). Por tanto, si se considera que jurídicamente la actividad principal es la suscripción del contrato y la ejecución del transporte simplemente constituye la realización de una de sus prestaciones, parece evidente que la actuación de Esamsa obstructiva de la venta de billetes por parte de Aníbal, S.L., ha de afectar sustancialmente a la actividad de ésta de explotación de una línea internacional de transporte de personas.</w:t>
      </w:r>
    </w:p>
    <w:p w:rsidR="00D06117" w:rsidRDefault="00D06117" w:rsidP="00D06117">
      <w:pPr>
        <w:pStyle w:val="TextoNormal"/>
      </w:pPr>
    </w:p>
    <w:p w:rsidR="00D06117" w:rsidRDefault="00D06117" w:rsidP="00D06117">
      <w:pPr>
        <w:pStyle w:val="TextoNormal"/>
      </w:pPr>
      <w:r>
        <w:t>En cuanto al argumento de que habría existido un cambio de criterio por parte de la Junta consultiva en materia de conflictos respecto del dictamen de 23 de diciembre de 2005 relativo a una denuncia de Spanair, S.A., contra Aena, recuerda que un órgano consultivo puede cambiar de criterio motivadamente, tal y como prevé el art. 54.1 c) de la Ley 30/1992, de 29 de noviembre, de régimen jurídico de las Administraciones públicas y procedimiento administrativo común y que los informes de la Junta consultiva no son parámetro de la constitucionalidad de posteriores resoluciones de la Administración del Estado o de la Comunidad Autónoma. Pero es que además, no parece que exista cambio alguno de criterio por parte de la Junta consultiva cuando en el informe de contraste aportado por la demanda también se declara la competencia del Estado para la tramitación del expediente en cuestión, sin duda dada la incidencia supraautonómica de la actuación restrictiva de la competencia.</w:t>
      </w:r>
    </w:p>
    <w:p w:rsidR="00D06117" w:rsidRDefault="00D06117" w:rsidP="00D06117">
      <w:pPr>
        <w:pStyle w:val="TextoNormal"/>
      </w:pPr>
    </w:p>
    <w:p w:rsidR="00D06117" w:rsidRDefault="00D06117" w:rsidP="00D06117">
      <w:pPr>
        <w:pStyle w:val="TextoNormal"/>
      </w:pPr>
      <w:r>
        <w:lastRenderedPageBreak/>
        <w:t>En cuanto al concepto de mercado relevante, se remiten las alegaciones al acuerdo del Tribunal de Defensa de la Competencia de 31 de mayo de 2007 en el que se rechaza que la definición del mercado relevante deba tomarse en consideración para delimitar las competencias entre el Estado y la Comunidad de Madrid. El Tribunal de Defensa de la Competencia razona que “el art. 1.1 Ley 1/2002 (desde la óptica de la Administración General del Estado) y el art. 1.3 Ley 1/2002 (desde la óptica de las Comunidades Autónomas), fijan como punto de conexión que permite deslindar a qué Administración Pública corresponde la competencia ejecutiva respecto de una determinada conducta el hecho de que la misma altere o pueda alterar la ‘libre competencia’ en un ámbito geográfico inferior o superior al de una Comunidad Autónoma. En modo alguno se utiliza el concepto jurídico de mercado relevante, como tampoco lo hace el art. 4 de la Ley 6/2004 de creación del Tribunal de Defensa de la Competencia de la Comunidad de Madrid, que afirma su competencia ejecutiva respecto de las conductas prohibidas por la Ley de Defensa de la Competencia cuando las mismas sin afectar a un ‘ámbito territorial’ más amplio que el de la Comunidad de Madrid, puedan alterar ‘la libre competencia’ en el ‘ámbito territorial’ de ésta. Tampoco se refiere al mercado relevante el art. 48.2 de la Ley alemana de defensa de la competencia (en la que se inspiró el legislador de la Ley 1/2002) al establecer que la autoridad competente será la federal (Bundeskartellamt) cuando el efecto de la conducta restrictiva o discriminatoria o de la regla de competencia se extiende más allá del territorio de un Land”. En efecto, el concepto de mercado relevante, tomado del Derecho comunitario, no es el que utiliza ni el Tribunal Constitucional, como supremo intérprete de la Constitución, ni la legislación española para deslindar las competencias en la materia que nos ocupa entre el Estado y las Comunidades Autónomas. Así, concluye el acuerdo objeto de este conflicto que “aunque se puede admitir que el ámbito territorial de los efectos restrictivos constituye un indicio del mercado geográfico relevante, no es posible afirmar que en virtud del art. 1.1 y 2 de la Ley 1/2002, la ‘delimitación’ del mercado geográfico relevante ha adquirido en el Derecho español de defensa de la competencia una función de deslinde de la competencia ejecutiva de las distintas autoridades españolas de competencia, que es desconocida en el Ordenamiento comunitario de competencia y en las demás legislaciones nacionales de competencia de la Unión Europea”.</w:t>
      </w:r>
    </w:p>
    <w:p w:rsidR="00D06117" w:rsidRDefault="00D06117" w:rsidP="00D06117">
      <w:pPr>
        <w:pStyle w:val="TextoNormal"/>
      </w:pPr>
    </w:p>
    <w:p w:rsidR="00D06117" w:rsidRDefault="00D06117" w:rsidP="00D06117">
      <w:pPr>
        <w:pStyle w:val="TextoNormal"/>
      </w:pPr>
      <w:r>
        <w:t>Nada cabe añadir a un razonamiento tan claro, que, por otra parte, no resulta contestado en la demanda. En todo caso, recuerda que el Tribunal Constitucional ya ha declarado que el criterio de delimitación de las competencias Estado-Comunidades Autónomas es el de la trascendencia supraautonómica de la actuación restrictiva de la competencia.</w:t>
      </w:r>
    </w:p>
    <w:p w:rsidR="00D06117" w:rsidRDefault="00D06117" w:rsidP="00D06117">
      <w:pPr>
        <w:pStyle w:val="TextoNormal"/>
      </w:pPr>
    </w:p>
    <w:p w:rsidR="00D06117" w:rsidRDefault="00D06117" w:rsidP="00D06117">
      <w:pPr>
        <w:pStyle w:val="TextoNormal"/>
      </w:pPr>
      <w:r>
        <w:t xml:space="preserve">En relación con el último razonamiento de la demanda que trata de restar importancia a la venta de billetes a través de una taquilla física en la propia estación “en un país desarrollado como España”, dado que habría otros medios para realizar tal venta, reitera el representante procesal del Estado que para la prestación de una línea regular de transporte de viajeros por carretera, cualquier operador de transportes precisa disponer y planificar adecuadamente una serie de infraestructuras, entre las que la venta de billetes constituye una fase absolutamente necesaria y fundamental del proceso de producción del servicio de línea regular de viajeros por carretera. Para llevar a cabo esta actividad instrumental, en el ámbito del transporte terrestre de viajeros, es preciso contar con un local abierto al público desde el que se hace visible la actividad y se venden los billetes de transporte. Un local abierto al público que, en este caso, necesariamente debe estar ubicado en las instalaciones de la Estación sur de autobuses de Madrid, pues el art. 2 de su reglamento de explotación (aprobado </w:t>
      </w:r>
      <w:r>
        <w:lastRenderedPageBreak/>
        <w:t>por la Dirección General de transportes de la Consejería de Obras Públicas Urbanismo y Transportes de la Comunidad de Madrid) obliga a concentrar en él todos los servicios de líneas regulares de transporte de viajeros que tengan su origen, parada o término en Madrid capital, entrando o saliendo de ella por la carretera de Extremadura, como es el caso de la línea Santarem-Madrid.</w:t>
      </w:r>
    </w:p>
    <w:p w:rsidR="00D06117" w:rsidRDefault="00D06117" w:rsidP="00D06117">
      <w:pPr>
        <w:pStyle w:val="TextoNormal"/>
      </w:pPr>
    </w:p>
    <w:p w:rsidR="00D06117" w:rsidRDefault="00D06117" w:rsidP="00D06117">
      <w:pPr>
        <w:pStyle w:val="TextoNormal"/>
      </w:pPr>
      <w:r>
        <w:t>En definitiva, solicita el Abogado del Estado la desestimación del presente conflicto y la declaración de la competencia del Estado.</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providencia de 16 de septiembre de 2008 se acordó tener por recibido el escrito de don Antonio Hurtado Cejas, Procurador de los Tribunales y de Estación sur de autobuses, S.A., y oír a las partes personadas por el término de diez días para que alegaran lo que estimase oportuno en cuanto a la solicitud del citado procurador. El Pleno, por Auto de 25 de noviembre de 2008, tras las alegaciones formuladas al efecto por el Letrado de la Comunidad de Madrid y del Abogado del Estado acordó denegar la personación solicitada por la empresa Estación sur de autobuses, S.A.</w:t>
      </w:r>
    </w:p>
    <w:p w:rsidR="00D06117" w:rsidRDefault="00D06117" w:rsidP="00D06117">
      <w:pPr>
        <w:pStyle w:val="TextoNormal"/>
      </w:pPr>
    </w:p>
    <w:p w:rsidR="00D06117" w:rsidRDefault="00D06117" w:rsidP="00D06117">
      <w:pPr>
        <w:pStyle w:val="TextoNormal"/>
      </w:pPr>
      <w:r w:rsidRPr="00D06117">
        <w:rPr>
          <w:rStyle w:val="NumeroAFNegritaCaracter"/>
        </w:rPr>
        <w:t>7</w:t>
      </w:r>
      <w:r>
        <w:t>. Por providencia de 12 de abril de 2012 se señaló para la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Consejo de Gobierno de la Comunidad Autónoma de Madrid contra el acuerdo del Pleno del Tribunal de Defensa de la Competencia de 31 de mayo de 2007, por el que se decide mantener la competencia estatal sobre el expediente 627-2007, Estación sur de autobuses.</w:t>
      </w:r>
    </w:p>
    <w:p w:rsidR="00D06117" w:rsidRDefault="00D06117" w:rsidP="00D06117">
      <w:pPr>
        <w:pStyle w:val="TextoNormal"/>
      </w:pPr>
    </w:p>
    <w:p w:rsidR="00D06117" w:rsidRDefault="00D06117" w:rsidP="00D06117">
      <w:pPr>
        <w:pStyle w:val="TextoNormal"/>
      </w:pPr>
      <w:r>
        <w:t>Como se ha expuesto con más detalle en los antecedentes, el presente proceso trae causa de la denuncia presentada el 8 de marzo de 2006 por la empresa Aníbal, S.L., contra la empresa concesionaria de la Estación sur de autobuses de Madrid, Esamsa, por la realización por esta última de una práctica prohibida por el art. 6.2 c) de la entonces vigente Ley 16/1989, de 17 de julio, de defensa de la competencia (hoy derogada por la Ley 15/2007, de 3 de julio), práctica consistente en la negativa injustificada a adjudicarle, en la mencionada estación, una taquilla de venta de billetes para la explotación de la línea internacional Santarem (Lisboa)-Madrid-París así como a instalar una línea telefónica en el local que dicha empresa posee en la misma estación de autobuses. Tramitado el correspondiente expediente por el Servicio de defensa de la competencia estatal y habiendo sido remitido al Tribunal de Defensa de la Competencia de la Comunidad de Madrid en aplicación de lo previsto en la Ley 1/2002, de 21 de febrero, de coordinación de las competencias del Estado y de las Comunidades Autónomas en materia de defensa de la competencia, este último órgano reclamó la competencia para la instrucción y conocimiento del expediente sancionador incoado. Con posterioridad a dicha reclamación, el Pleno del Tribunal de Defensa de la Competencia estatal adoptó el día 31 de mayo de 2007 un acuerdo en el que decidió mantener su competencia sobre el citado expediente sancionador, acuerdo contra el que se dirige el presente conflicto.</w:t>
      </w:r>
    </w:p>
    <w:p w:rsidR="00D06117" w:rsidRDefault="00D06117" w:rsidP="00D06117">
      <w:pPr>
        <w:pStyle w:val="TextoNormal"/>
      </w:pPr>
    </w:p>
    <w:p w:rsidR="00D06117" w:rsidRDefault="00D06117" w:rsidP="00D06117">
      <w:pPr>
        <w:pStyle w:val="TextoNormal"/>
      </w:pPr>
      <w:r>
        <w:lastRenderedPageBreak/>
        <w:t>El Letrado de la Comunidad de Madrid defiende que la competencia para la resolución del expediente citado corresponde al Tribunal de Defensa de la Competencia de la Comunidad de Madrid y, por ello, solicita que este Tribunal Constitucional dicte Sentencia por la que estime el conflicto interpuesto y declare inconstitucional y nulo el mencionado acuerdo de 31 de mayo de 2007 del Pleno del Tribunal de Defensa de la Competencia. Por su parte, el Abogado del Estado solicita la desestimación de la demanda y que se declare que la competencia controvertida corresponde al Estado.</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comenzar nuestro examen debe considerarse la incidencia que pueda tener en el proceso el hecho de que, desde que se dictó el acuerdo de 31 de marzo de 2007 que suscita el presente conflicto positivo de competencia, la normativa que constituye el marco jurídico de la materia haya sido modificada.</w:t>
      </w:r>
    </w:p>
    <w:p w:rsidR="00D06117" w:rsidRDefault="00D06117" w:rsidP="00D06117">
      <w:pPr>
        <w:pStyle w:val="TextoNormal"/>
      </w:pPr>
    </w:p>
    <w:p w:rsidR="00D06117" w:rsidRDefault="00D06117" w:rsidP="00D06117">
      <w:pPr>
        <w:pStyle w:val="TextoNormal"/>
      </w:pPr>
      <w:r>
        <w:t>a) En primer lugar, hay que analizar la incidencia de la modificación de la Ley 16/1989, de 17 de julio, de defensa de la competencia y de la Ley 1/2002, de 21 de febrero, de coordinación de las competencias del Estado y las Comunidades Autónomas en materia de defensa de la competencia por la Ley 15/2007, de 3 de julio, de defensa de la competencia (modificada a su vez por la Ley 2/2011, de 4 de marzo, de economía sostenible).</w:t>
      </w:r>
    </w:p>
    <w:p w:rsidR="00D06117" w:rsidRDefault="00D06117" w:rsidP="00D06117">
      <w:pPr>
        <w:pStyle w:val="TextoNormal"/>
      </w:pPr>
    </w:p>
    <w:p w:rsidR="00D06117" w:rsidRDefault="00D06117" w:rsidP="00D06117">
      <w:pPr>
        <w:pStyle w:val="TextoNormal"/>
      </w:pPr>
      <w:r>
        <w:t>Si bien la Ley 16/1989, de 17 de julio, de defensa de la competencia fue derogada por la vigente Ley 15/2007, de 3 de julio, de defensa de la competencia (ya en vigor en el momento de formalización del presente conflicto), debe señalarse que la conducta que se imputa a Esamsa (negativa injustificada a satisfacer la demanda de compra de productos o de prestación de servicios), prevista en el art. 6.2 c) de la norma derogada, viene recogida en idénticos términos en la norma vigente [art. 2.2 c)]. Asimismo, los cambios que la Ley 15/2007, de 3 de julio, ha establecido en cuanto a la creación de la nueva “Comisión Nacional de la Competencia” en sustitución del antiguo “Tribunal de Defensa de la Competencia” (art. 12 y disposición adicional sexta) no han supuesto un cambio sustancial en el objeto de la controversia ya que el ámbito de actuación de la citada Comisión —al igual que ocurría con el antiguo Tribunal— alcanza a todo el territorio nacional, con remisión expresa a la Ley 1/2002, de 21 de febrero, de coordinación de competencias del Estado y las Comunidades Autónomas en materia de defensa de la competencia. En cuanto a las modificaciones que la Ley 15/2007 de defensa de la competencia ha introducido en la mencionada Ley 1/2002, de 21 de febrero, cabe señalar que, por un lado, las referencias al Tribunal de Defensa de la Competencia y al Servicio de defensa de la competencia se deben entender hechas a la Comisión nacional de la competencia y a la Dirección de investigación, respectivamente (disposición adicional quinta), y, por otro, las restantes modificaciones de distintos apartados del artículo cinco no aportan modificaciones relevantes para el presente conflicto.</w:t>
      </w:r>
    </w:p>
    <w:p w:rsidR="00D06117" w:rsidRDefault="00D06117" w:rsidP="00D06117">
      <w:pPr>
        <w:pStyle w:val="TextoNormal"/>
      </w:pPr>
    </w:p>
    <w:p w:rsidR="00D06117" w:rsidRDefault="00D06117" w:rsidP="00D06117">
      <w:pPr>
        <w:pStyle w:val="TextoNormal"/>
      </w:pPr>
      <w:r>
        <w:t>b) En segundo lugar, hay que considerar que la Ley 6/2011, de 28 de diciembre, de medidas fiscales y administrativas, en su artículo 9, ha suprimido el Tribunal de Defensa de la Competencia de la Comunidad de Madrid. No obstante, el apartado 2 del mismo precepto dispone que “el ejercicio de las competencias en materia de defensa de la competencia en el ámbito territorial de la Comunidad de Madrid será asumido por la Consejería competente en materia de comercio interior”. Esta alteración organizativa no afecta, en consecuencia, a la titularidad autonómica de la competencia en materia de defensa de la competencia en el ámbito territorial de la Comunidad de Madrid que se reivindica en el presente conflicto de competencias.</w:t>
      </w:r>
    </w:p>
    <w:p w:rsidR="00D06117" w:rsidRDefault="00D06117" w:rsidP="00D06117">
      <w:pPr>
        <w:pStyle w:val="TextoNormal"/>
      </w:pPr>
    </w:p>
    <w:p w:rsidR="00D06117" w:rsidRDefault="00D06117" w:rsidP="00D06117">
      <w:pPr>
        <w:pStyle w:val="TextoNormal"/>
      </w:pPr>
      <w:r>
        <w:t>De lo anterior se deduce que el conflicto de competencias promovido en este proceso constitucional se mantiene vivo y en los exactos términos en que se suscitó.</w:t>
      </w:r>
    </w:p>
    <w:p w:rsidR="00D06117" w:rsidRDefault="00D06117" w:rsidP="00D06117">
      <w:pPr>
        <w:pStyle w:val="TextoNormal"/>
      </w:pPr>
    </w:p>
    <w:p w:rsidR="00D06117" w:rsidRDefault="00D06117" w:rsidP="00D06117">
      <w:pPr>
        <w:pStyle w:val="TextoNormal"/>
      </w:pPr>
      <w:r w:rsidRPr="00D06117">
        <w:rPr>
          <w:rStyle w:val="NumeroAFNegritaCaracter"/>
        </w:rPr>
        <w:t>3</w:t>
      </w:r>
      <w:r>
        <w:t>. Para la adecuada resolución del presente conflicto positivo de competencia hemos de determinar el encuadramiento de la cuestión debatida en la materia correspondiente del sistema de distribución de competencias recogido en la Constitución y en el Estatuto de Autonomía. La cuestión versa, sin duda, sobre la ejecución o aplicación singular de la legislación de defensa de la competencia.</w:t>
      </w:r>
    </w:p>
    <w:p w:rsidR="00D06117" w:rsidRDefault="00D06117" w:rsidP="00D06117">
      <w:pPr>
        <w:pStyle w:val="TextoNormal"/>
      </w:pPr>
    </w:p>
    <w:p w:rsidR="00D06117" w:rsidRDefault="00D06117" w:rsidP="00D06117">
      <w:pPr>
        <w:pStyle w:val="TextoNormal"/>
      </w:pPr>
      <w:r>
        <w:t>Si bien la Constitución no prevé expresamente la competencia del Estado en materia de defensa de la competencia, la jurisprudencia de este Tribunal la ha encuadrado dentro de las “bases y coordinación de la planificación general de la actividad económica” (art. 149.1.13 CE). Conviene recordar a continuación lo que señalamos en la STC 208/1999, de 11 de noviembre, FJ 6, a propósito del encuadre competencial de la materia “defensa de la competencia” y del alcance del título competencial que ostenta el Estado al respecto:</w:t>
      </w:r>
    </w:p>
    <w:p w:rsidR="00D06117" w:rsidRDefault="00D06117" w:rsidP="00D06117">
      <w:pPr>
        <w:pStyle w:val="TextoNormal"/>
      </w:pPr>
    </w:p>
    <w:p w:rsidR="00D06117" w:rsidRDefault="00D06117" w:rsidP="00D06117">
      <w:pPr>
        <w:pStyle w:val="TextoNormal"/>
      </w:pPr>
      <w:r>
        <w:t>“… la defensa de la competencia constituye, a la vez, un presupuesto y un límite necesario de la libertad de empresa en el marco de la economía de mercado, reconocida en el art. 38 C.E. Como dijimos en la tan citada STC 88/1986, ‘el reconocimiento de la economía de mercado por la Constitución, como marco obligado de la libertad de empresa, y el compromiso de proteger el ejercicio de ésta —artículo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éste’ (fundamento jurídico 4).</w:t>
      </w:r>
    </w:p>
    <w:p w:rsidR="00D06117" w:rsidRDefault="00D06117" w:rsidP="00D06117">
      <w:pPr>
        <w:pStyle w:val="TextoNormal"/>
      </w:pPr>
    </w:p>
    <w:p w:rsidR="00D06117" w:rsidRDefault="00D06117" w:rsidP="00D06117">
      <w:pPr>
        <w:pStyle w:val="TextoNormal"/>
      </w:pPr>
      <w:r>
        <w:t>Desde esta perspectiva, se halla naturalmente relacionada con la necesaria unidad de la economía nacional y la exigencia, que tantas veces hemos subrayado, de que exista un mercado único que permita al Estado el desarrollo de su competencia constitucional de bases y coordinación de la planificación general de la actividad económica (art. 149.1.13 CE) (SSTC 96/1984, fundamento jurídico 3; 64/1990, fundamento jurídico 10, y 118/1996, fundamento jurídico 7): sin ‘la igualdad de las condiciones básicas de ejercicio de la actividad económica (arts. 139.1 y 149.1.1 CE) ... no es posible alcanzar en el mercado nacional el grado de integración que su carácter unitario impone’ (STC 64/1990, fundamento jurídico 3). Parece, pues, innecesario destacar el carácter básico que, desde la competencia estatal ex art. 149.1.13, reviste cuanto a la defensa de la competencia se refiere, pues nos hallamos ante un elemento definitorio del mercado. De modo que no sólo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w:t>
      </w:r>
    </w:p>
    <w:p w:rsidR="00D06117" w:rsidRDefault="00D06117" w:rsidP="00D06117">
      <w:pPr>
        <w:pStyle w:val="TextoNormal"/>
      </w:pPr>
    </w:p>
    <w:p w:rsidR="00D06117" w:rsidRDefault="00D06117" w:rsidP="00D06117">
      <w:pPr>
        <w:pStyle w:val="TextoNormal"/>
      </w:pPr>
      <w:r>
        <w:lastRenderedPageBreak/>
        <w:t>Además, el Estado, en virtud de sus competencias normativas, puede y debe articular los mecanismos de coordinación que garanticen la uniformidad de la disciplina de la competencia en todo el mercado nacional y, desde luego, establecer los criterios de conexión pertinentes, siempre que resulten constitucional y estatutariamente correctos (STC 243/1994, fundamento jurídico 3) y los imprescindibles mecanismos de colaboración e información recíproca (SSTC 100/1991, fundamento jurídico 5; 236/1991, fundamento jurídico 6; 243/1994, fundamento jurídico 7; y 196/1997, fundamento jurídico 11).”</w:t>
      </w:r>
    </w:p>
    <w:p w:rsidR="00D06117" w:rsidRDefault="00D06117" w:rsidP="00D06117">
      <w:pPr>
        <w:pStyle w:val="TextoNormal"/>
      </w:pPr>
    </w:p>
    <w:p w:rsidR="00D06117" w:rsidRDefault="00D06117" w:rsidP="00D06117">
      <w:pPr>
        <w:pStyle w:val="TextoNormal"/>
      </w:pPr>
      <w:r>
        <w:t>Por otra parte, el Estatuto de Autonomía de la Comunidad de Madrid dispone sobre esta materia en el art. 26.3.1 lo siguiente: “De acuerdo con las bases y la ordenación de la actividad económica general y la política monetaria del Estado, corresponde a la Comunidad de Madrid, en los términos de lo dispuesto en los arts. 38, 131 y en las materias 11 y 13 del apartado 1 del artículo 149 de la Constitución, la competencia exclusiva en las siguientes materias: … Comercio interior, sin perjuicio de la política general de precios, de la libre circulación de bienes en el territorio del Estado y de la legislación sobre defensa de la competencia.”</w:t>
      </w:r>
    </w:p>
    <w:p w:rsidR="00D06117" w:rsidRDefault="00D06117" w:rsidP="00D06117">
      <w:pPr>
        <w:pStyle w:val="TextoNormal"/>
      </w:pPr>
    </w:p>
    <w:p w:rsidR="00D06117" w:rsidRDefault="00D06117" w:rsidP="00D06117">
      <w:pPr>
        <w:pStyle w:val="TextoNormal"/>
      </w:pPr>
      <w:r w:rsidRPr="00D06117">
        <w:rPr>
          <w:rStyle w:val="NumeroAFNegritaCaracter"/>
        </w:rPr>
        <w:t>4</w:t>
      </w:r>
      <w:r>
        <w:t>. El objeto del presente conflicto positivo de competencia se circunscribe a deslindar las competencias del Estado y de la Comunidad de Madrid en relación con un preciso acto de ejecución de la legislación de defensa de la competencia: la instrucción y la resolución del expediente sancionador relativo a una concreta actuación restrictiva de la libre competencia. En efecto, la cuestión que debemos resolver estriba exclusivamente en determinar si la resolución de la denuncia sobre la actuación imputada a la concesionaria de la Estación sur de autobuses de Madrid (Esamsa) pertenece a la competencia ejecutiva de la Comunidad de Madrid, como sostiene la demanda, o a la competencia ejecutiva del Estado, como afirma el Abogado del Estado. Como se ha indicado anteriormente, la actuación imputada a Esamsa consistió exclusivamente en la negativa injustificada a adjudicar a Aníbal, S.L., una taquilla de venta de billetes, necesaria para la explotación de la línea internacional Santarem (Lisboa)-Madrid-París y para la que contaba con la correspondiente autorización administrativa, así como la negativa a facilitar una línea telefónica a la agencia de viajes Aníbal tours, S.A., constituida por la misma empresa, ubicada en un local de negocio sito en la mencionada estación. En cambio, ni la denunciante ni las partes en este proceso constitucional han alegado que la práctica restrictiva de la competencia incluyera la negativa injustificada a prestar otros servicios propios de las estaciones de autobuses, como es la bajada o recogida de viajeros o la venta de billetes a través de taquillas ajenas o locales de negocio ubicados dentro del recinto de la estación.</w:t>
      </w:r>
    </w:p>
    <w:p w:rsidR="00D06117" w:rsidRDefault="00D06117" w:rsidP="00D06117">
      <w:pPr>
        <w:pStyle w:val="TextoNormal"/>
      </w:pPr>
    </w:p>
    <w:p w:rsidR="00D06117" w:rsidRDefault="00D06117" w:rsidP="00D06117">
      <w:pPr>
        <w:pStyle w:val="TextoNormal"/>
      </w:pPr>
      <w:r w:rsidRPr="00D06117">
        <w:rPr>
          <w:rStyle w:val="NumeroAFNegritaCaracter"/>
        </w:rPr>
        <w:t>5</w:t>
      </w:r>
      <w:r>
        <w:t>. Una vez delimitado el objeto del conflicto, debemos precisar que el canon para enjuiciar el presente conflicto viene conformado por la Constitución, por el Estatuto de Autonomía de la Comunidad de Madrid y por nuestra jurisprudencia, en particular la ya mencionada STC 208/1999. Habiéndonos ya referido a lo que señalan la Constitución y el Estatuto de Autonomía de la Comunidad de Madrid sobre esta materia con objeto de establecer el encuadre material, procede ahora que recordemos lo que señalamos específicamente en la STC 208/1999 respecto al ámbito territorial de las competencias ejecutivas autonómicas en la materia:</w:t>
      </w:r>
    </w:p>
    <w:p w:rsidR="00D06117" w:rsidRDefault="00D06117" w:rsidP="00D06117">
      <w:pPr>
        <w:pStyle w:val="TextoNormal"/>
      </w:pPr>
    </w:p>
    <w:p w:rsidR="00D06117" w:rsidRDefault="00D06117" w:rsidP="00D06117">
      <w:pPr>
        <w:pStyle w:val="TextoNormal"/>
      </w:pPr>
      <w:r>
        <w:t xml:space="preserve">“La competencia ejecutiva que, en materia de defensa de la competencia, cabe atribuir a las Comunidades Autónomas, en virtud de la asunción de comercio interior se halla, pues, </w:t>
      </w:r>
      <w:r>
        <w:lastRenderedPageBreak/>
        <w:t>limitada a aquellas actuaciones ejecutivas que hayan de realizarse en su territorio y que no afecten al mercado supracomunitario. De modo que no sólo la normación, sino todas las actividades ejecutivas que determinen la configuración real del mercado con transcendencia extracomunitaria habrán de atribuirse al Estado, al que corresponderán, por lo tanto, las actuaciones ejecutivas en relación con aquellas prácticas que puedan alterar la libre competencia en un ámbito supracomunitario o en el conjunto del mercado nacional, aunque tales actuaciones se realicen en el territorio de cualquiera de las Comunidades Autónomas recurrentes; pero, con esas limitaciones, la competencia ejecutiva atribuida a las Comunidades Autónomas por sus respectivos Estatutos, no puede resultar enervada por la legislación del Estado.” (FJ 6)</w:t>
      </w:r>
    </w:p>
    <w:p w:rsidR="00D06117" w:rsidRDefault="00D06117" w:rsidP="00D06117">
      <w:pPr>
        <w:pStyle w:val="TextoNormal"/>
      </w:pPr>
    </w:p>
    <w:p w:rsidR="00D06117" w:rsidRDefault="00D06117" w:rsidP="00D06117">
      <w:pPr>
        <w:pStyle w:val="TextoNormal"/>
      </w:pPr>
      <w:r>
        <w:t>“…el precepto desconoce que, si se trata de actos realizados dentro del territorio de una Comunidad Autónoma y que carezcan de trascendencia sobre el mercado supraautonómico, la competencia ejecutiva, desde la perspectiva constitucional y estatutaria corresponde a las Comunidades Autónomas recurrentes.” (FJ 7)</w:t>
      </w:r>
    </w:p>
    <w:p w:rsidR="00D06117" w:rsidRDefault="00D06117" w:rsidP="00D06117">
      <w:pPr>
        <w:pStyle w:val="TextoNormal"/>
      </w:pPr>
    </w:p>
    <w:p w:rsidR="00D06117" w:rsidRDefault="00D06117" w:rsidP="00D06117">
      <w:pPr>
        <w:pStyle w:val="TextoNormal"/>
      </w:pPr>
      <w:r>
        <w:t>De la STC 208/1999 (FFJJ 6 y 7), confirmada posteriormente por las SSTC 12/2003, de 19 de junio, y 157/2004, de 23 de septiembre, se desprende por tanto que, como alega el Abogado del Estado, las facultades en materia de defensa de la competencia corresponden al Estado siempre que la práctica restrictiva pueda alterar la libre competencia en un ámbito supracomunitario o en el conjunto del mercado nacional, aunque tal acto se realice en el territorio de una Comunidad Autónoma; y, que, por el contrario, la facultad ejecutiva corresponde a la Comunidad Autónoma sólo cuando concurran dos circunstancias: que la práctica restrictiva tenga lugar en el territorio de la Comunidad y, además, que “no afecte al mercado supraautonómico” o no tenga “trascendencia sobre el mercado supraautonómico”. En el presente caso resulta incontrovertido que la práctica restrictiva tuvo lugar en el territorio de la Comunidad Autónoma que plantea el conflicto, por lo que la disputa se centra en la segunda circunstancia mencionada, esto es, en la determinación de si la conducta imputada a Esamsa tiene o no trascendencia supraautonómica.</w:t>
      </w:r>
    </w:p>
    <w:p w:rsidR="00D06117" w:rsidRDefault="00D06117" w:rsidP="00D06117">
      <w:pPr>
        <w:pStyle w:val="TextoNormal"/>
      </w:pPr>
    </w:p>
    <w:p w:rsidR="00D06117" w:rsidRDefault="00D06117" w:rsidP="00D06117">
      <w:pPr>
        <w:pStyle w:val="TextoNormal"/>
      </w:pPr>
      <w:r w:rsidRPr="00D06117">
        <w:rPr>
          <w:rStyle w:val="NumeroAFNegritaCaracter"/>
        </w:rPr>
        <w:t>6</w:t>
      </w:r>
      <w:r>
        <w:t>. En aplicación de la doctrina recogida en la STC 208/1999, debemos desestimar el presente conflicto positivo de competencia, y declarar que el Tribunal de Defensa de la Competencia era el órgano competente para decidir el expediente sancionador núm. 626-2007.</w:t>
      </w:r>
    </w:p>
    <w:p w:rsidR="00D06117" w:rsidRDefault="00D06117" w:rsidP="00D06117">
      <w:pPr>
        <w:pStyle w:val="TextoNormal"/>
      </w:pPr>
    </w:p>
    <w:p w:rsidR="00D06117" w:rsidRDefault="00D06117" w:rsidP="00D06117">
      <w:pPr>
        <w:pStyle w:val="TextoNormal"/>
      </w:pPr>
      <w:r>
        <w:t>En efecto, la actuación imputada a Esamsa —negativa injustificada de la adjudicación de una taquilla de venta de billetes a Aníbal, S.L., necesaria para la explotación de la línea internacional Santarem (Lisboa)-Madrid-París, para la que esta empresa contaba con la correspondiente autorización administrativa— trasciende el ámbito geográfico de la Comunidad Autónoma de Madrid. De acuerdo con lo manifestado por el Abogado del Estado, si la conducta imputada a Esamsa fuera merecedora de reproche por producir efectos restrictivos a la competencia empresarial, dichos efectos no podrían dejar de trascender al ámbito geográfico de la comunidad de Madrid. Al tratarse de aspectos relacionados con una línea regular de transporte de viajeros por carretera de carácter internacional con parada en Madrid la decisión sobre la denegación de la taquilla solicitada y de otros servicios tiene consecuencias no sólo en el territorio de la Comunidad de Madrid, sino también en el mercado supraautonómico de transporte de viajeros.</w:t>
      </w:r>
    </w:p>
    <w:p w:rsidR="00D06117" w:rsidRDefault="00D06117" w:rsidP="00D06117">
      <w:pPr>
        <w:pStyle w:val="TextoNormal"/>
      </w:pPr>
    </w:p>
    <w:p w:rsidR="00D06117" w:rsidRDefault="00D06117" w:rsidP="00D06117">
      <w:pPr>
        <w:pStyle w:val="TextoNormal"/>
      </w:pPr>
      <w:r>
        <w:lastRenderedPageBreak/>
        <w:t>Con independencia de la importancia en términos de negocio de la venta de billetes en taquilla en la estación de autobuses, importancia que la parte recurrente pone en duda como consecuencia de los múltiples medios que en la actualidad permiten la adquisición de títulos de transporte de viajeros por carretera, en la resolución del presente conflicto nada aporta la mayor o menor relevancia de la disponibilidad de una taquilla, decisión que interesa, en su caso, para resolver el problema de fondo, ajeno a la identificación del órgano competente desde la perspectiva constitucional. Lo relevante es que la imposibilidad de vender billetes en la Estación sur de autobuses en las mismas o similares condiciones que lo hacen sus competidores en esta línea regular, puede ser susceptible de vulnerar la libre competencia entre empresas y generar una situación de desventaja competitiva para Aníbal, S.L., que desarrolla su actividad no sólo el territorio de la Comunidad de Madrid sino también fuera dicho ámbito. Por lo que la decisión material sobre la práctica imputada a Esamsa corresponde al Tribunal de Defensa de la Competencia, ya que la hipotética desventaja competitiva se produciría en la explotación de una línea de transporte internacional y, por tanto, la práctica restrictiva tendría incidencia supraautonómica.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conflicto positivo de competencia interpuesto por el Consejo de Gobierno de la Comunidad de Madrid contra el acuerdo de 31 de mayo de 2007 del Pleno del Tribunal de Defensa de la Competencia.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conflicto positivo de competencia núm. 7601-2007.</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expreso, con pleno respeto, mi discrepancia con el fallo y la fundamentación jurídica de la Sentencia, pese a que como ponente de la misma y, en dicha condición, recojo en ella la posición sustentada por la mayoría de los Magistrados que componen la Sala.</w:t>
      </w:r>
    </w:p>
    <w:p w:rsidR="00D06117" w:rsidRDefault="00D06117" w:rsidP="00D06117">
      <w:pPr>
        <w:pStyle w:val="TextoNormal"/>
      </w:pPr>
    </w:p>
    <w:p w:rsidR="00D06117" w:rsidRDefault="00D06117" w:rsidP="00D06117">
      <w:pPr>
        <w:pStyle w:val="TextoNormal"/>
      </w:pPr>
      <w:r>
        <w:t>En mi opinión, en virtud de los argumentos que reflejé en la primera ponencia presentada, que defendí en la deliberación de la Sala y que expongo a continuación, el conflicto positivo de competencia debió de ser estimado.</w:t>
      </w:r>
    </w:p>
    <w:p w:rsidR="00D06117" w:rsidRDefault="00D06117" w:rsidP="00D06117">
      <w:pPr>
        <w:pStyle w:val="TextoNormal"/>
      </w:pPr>
    </w:p>
    <w:p w:rsidR="00D06117" w:rsidRDefault="00D06117" w:rsidP="00D06117">
      <w:pPr>
        <w:pStyle w:val="TextoNormal"/>
      </w:pPr>
      <w:r>
        <w:t>El presente conflicto positivo de competencia constituye el primero que se suscita desde nuestra STC 208/1999, de 11 de noviembre, y desde la aprobación por el legislador estatal de la Ley 1/2002, de 26 de febrero, de coordinación de competencias del Estado y las Comunidades Autónomas en materia de defensa de la competencia a propósito de la interpre</w:t>
      </w:r>
      <w:r>
        <w:lastRenderedPageBreak/>
        <w:t>tación y aplicación de los criterios determinantes de la competencia ejecutiva de las Comunidades Autónomas en dicha materia. La clave de la resolución del conflicto residía entonces en el significado del término “afectación” o “trascendencia” sobre el mercado supraautonómico, criterios determinantes de la titularidad estatal de las competencias ejecutivas en la materia, que efectivamente fueron establecidos por la STC 208/1999, en sus fundamentos jurídicos 6 y 7. En mi opinión, la resolución del presente conflicto requiere precisar previamente el significado de ambos conceptos en el contexto concreto que aquí se afronta, pues las partes contraponen interpretaciones divergentes sobre la naturaleza y el alcance de los efectos que determinan la competencia ejecutiva estatal. Por ello, resulta obligado, a mi entender, efectuar una matización que complete aquella doctrina sentada en la STC 208/1999 que quedó plasmada en los términos generales propios del control abstracto de constitucionalidad.</w:t>
      </w:r>
    </w:p>
    <w:p w:rsidR="00D06117" w:rsidRDefault="00D06117" w:rsidP="00D06117">
      <w:pPr>
        <w:pStyle w:val="TextoNormal"/>
      </w:pPr>
    </w:p>
    <w:p w:rsidR="00D06117" w:rsidRDefault="00D06117" w:rsidP="00D06117">
      <w:pPr>
        <w:pStyle w:val="TextoNormal"/>
      </w:pPr>
      <w:r>
        <w:t>1. A mi juicio, el reconocimiento al Estado de la competencia ejecutiva sobre prácticas anticompetitivas que tienen lugar exclusivamente en una Comunidad Autónoma se fundamenta en la posibilidad de que tales prácticas anticompetitivas “menoscaben”, “perjudiquen” e “influyan desfavorablemente” en las condiciones de la competencia en un ámbito geográfico superior al autonómico. De ello cabe deducir que los efectos necesarios para considerar que la competencia ejecutiva sobre una concreta actuación restrictiva de la competencia que tiene lugar en una Comunidad Autónoma deba desplazarse de los órganos competentes de dicha Comunidad a los órganos estatales, tienen que ser en sí significativos así como idóneos para afectar a la competencia en un ámbito supraautonómico. Sin una mínima intensidad y sin la idoneidad necesaria de los efectos supraautonómicos suscitados por una práctica restrictiva o vulneradora de la competencia para afectar a la libre competencia en el mercado supraautonómico no puede apreciarse una conexión adecuada entre dichos efectos y la competencia ejecutiva del Estado. De otra forma sería imposible excluir a priori que una actuación restrictiva de la competencia realizada en el territorio de una Comunidad Autónoma no produzca algún tipo de efectos reflejos que se proyecten fuera de dicho territorio, pues, como ya señalamos en fecha temprana (STC 37/1981, de 16 de noviembre, FJ 1) y hemos recordado recientemente (SSTC 31/2010, de 28 de junio, FJ 63; y 194/2011, de 13 de diciembre, FJ 5), “la unidad política, jurídica, económica y social de España impide su división en compartimentos estancos”: en efecto, la propia realidad de la unidad del mercado nacional impide concebir los territorios de las Comunidades Autónomas como ámbitos o mercados autónomos, insensibles e impermeables a lo que ocurra fuera de ellos, que sería el presupuesto lógico para poder excluir con certeza la trascendencia supraautonómica de toda práctica restrictiva de la competencia que se realice en una determinada Comunidad Autónoma, pero que no sería, obviamente, una situación acorde con los principios y valores que emanan del texto constitucional. Por ello, la consideración de que cualesquiera efectos, aun irrelevantes o inidóneos para alterar la libre competencia en el mercado supraautonómico, determinan el desplazamiento automático al Estado de la competencia ejecutiva sobre una conducta restrictiva de la libre competencia realizada en una determinada Comunidad Autónoma, constituye a mi juicio una interpretación no acomodada al orden constitucional de competencias pues conduce al vaciamiento de las competencias ejecutivas que la Constitución y los Estatutos de Autonomía reconocen a las Comunidades Autónomas.</w:t>
      </w:r>
    </w:p>
    <w:p w:rsidR="00D06117" w:rsidRDefault="00D06117" w:rsidP="00D06117">
      <w:pPr>
        <w:pStyle w:val="TextoNormal"/>
      </w:pPr>
    </w:p>
    <w:p w:rsidR="00D06117" w:rsidRDefault="00D06117" w:rsidP="00D06117">
      <w:pPr>
        <w:pStyle w:val="TextoNormal"/>
      </w:pPr>
      <w:r>
        <w:t xml:space="preserve">Sin embargo, la Sentencia considera en su fundamento jurídico 6 que para entender afectado el mercado supraautonómico basta con atender al hecho de que la actividad del afectado </w:t>
      </w:r>
      <w:r>
        <w:lastRenderedPageBreak/>
        <w:t>por la práctica anticompetitiva —negativa injustificada a la adjudicación de una taquilla de venta de billetes en una estación de autobuses— consista en la explotación de una línea internacional regular de transporte de viajeros. De esta forma la Sentencia asume el automatismo en el desplazamiento al Estado de la competencia ejecutiva sobre una conducta cuyos efectos sobre el mercado supraautonómico presupone pero no concreta y, lo que es más importante, tampoco valora desde la perspectiva del Derecho de la competencia que es aquí relevante para efectuar la delimitación competencial. Con ello se consagra una especie de presunción iuris et de iure de la titularidad estatal de la competencia ejecutiva, que exime a los órganos estatales tanto de la concreción de los efectos supraautonómicos que se consideran producidos, como de su valoración. El presente supuesto ilustra con claridad el riesgo antes señalado de vaciamiento competencial que puede derivar de una aplicación no matizada de la cláusula de la “afectación en un ámbito supraautonómico”: al amparo de esa interpretación los órganos estatales de defensa de la competencia podrían extender de forma automática su competencia ejecutiva a la instrucción y resolución de la negativa injustificada a satisfacer la solicitud de servicios por cualquiera de las estaciones de autobuses del territorio del Estado así como por cualquiera de las empresas que explotan otros tipos de mercados plataforma (p. ej., recintos feriales, mercados mayoristas de alimentos frescos, etc.), por el simple dato de que quien ve denegada la satisfacción del servicio solicitado desarrolla su actividad en un ámbito supraautonómico.</w:t>
      </w:r>
    </w:p>
    <w:p w:rsidR="00D06117" w:rsidRDefault="00D06117" w:rsidP="00D06117">
      <w:pPr>
        <w:pStyle w:val="TextoNormal"/>
      </w:pPr>
    </w:p>
    <w:p w:rsidR="00D06117" w:rsidRDefault="00D06117" w:rsidP="00D06117">
      <w:pPr>
        <w:pStyle w:val="TextoNormal"/>
      </w:pPr>
      <w:r>
        <w:t>Si, por el contrario, se quiere evitar el referido automatismo, la determinación de la “afectación” o “trascendencia sobre el mercado supraautonómico” de una práctica anticompetitiva, a los efectos de la delimitación de las competencias ejecutivas sobre dicha actuación, no puede prescindir cabalmente de la previa identificación del mercado que se considera perturbado así como de la valoración de los efectos producidos sobre dicho mercado. Lo que no significa que, a los efectos de la delimitación de las competencias ejecutivas sobre una actuación anticompetitiva, deba efectuarse un examen completo y acabado del mercado relevante, lo que es función propia del órgano que debe instruir y resolver el expediente. Pero cuando menos debe existir una consideración del mercado relevante que se considera afectado y una valoración de los efectos producidos sobre dicho mercado, mínimamente razonadas, sobre cuya base cada entidad fundamente la asunción o el rechazo de su competencia ejecutiva a fin de poder resolver el expediente correspondiente. Esto es lo que ocurre en el presente caso, pues, como se desprende de sus alegaciones, las dos partes en conflicto parten explícita o implícitamente de una determinada concepción del mercado geográfico y de producto relevante y de una valoración de los efectos producidos, y en dicha concepción y valoración, respectivamente, fundamentan luego la asunción como propia de la competencia ejecutiva correspondiente.</w:t>
      </w:r>
    </w:p>
    <w:p w:rsidR="00D06117" w:rsidRDefault="00D06117" w:rsidP="00D06117">
      <w:pPr>
        <w:pStyle w:val="TextoNormal"/>
      </w:pPr>
    </w:p>
    <w:p w:rsidR="00D06117" w:rsidRDefault="00D06117" w:rsidP="00D06117">
      <w:pPr>
        <w:pStyle w:val="TextoNormal"/>
      </w:pPr>
      <w:r>
        <w:t xml:space="preserve">2. A los efectos de determinar el mercado de producto relevante y el ámbito geográfico afectado y, por consiguiente, la autoridad competente, hay que partir de la naturaleza de la práctica anticompetitiva sobre cuyo conocimiento disputan las partes del presente conflicto. La actuación imputada a Esamsa constituye un supuesto de abuso de posición de dominio tipificado en el art. 2.2 c) de la Ley 15/2007, de 3 de julio, de defensa de la competencia: la negativa injustificada a satisfacer las demandas de compra de productos o de prestación de servicios. Así se desprende también de la resolución de 31 de marzo de 2008 de la Comisión Nacional de la Competencia (sucesora del Tribunal de Defensa de la Competencia autor del acuerdo que suscita el presente conflicto), que puso fin al expediente núm. 627-2007 incoado tras la denuncia de Aníbal, S.L. En efecto, como la empresa Esamsa gestiona un </w:t>
      </w:r>
      <w:r>
        <w:lastRenderedPageBreak/>
        <w:t>concreto servicio público —la Estación sur de autobuses de Madrid— en régimen de concesión, por definición ostenta una posición de dominio absoluto en el concreto mercado de los servicios de estaciones de autobús establecido en aquella estación. Pues bien, la posición de dominio cuyo abuso se reprocha a la empresa en la denuncia presentada no se extiende más allá de la concreta estación de autobuses que gestiona, pues ése es y no otro el objeto del contrato de concesión del que ha sido adjudicataria; y ni siquiera se extiende a todos los servicios de estaciones de autobuses de la Comunidad de Madrid, pues en esta Comunidad existe una segunda estación de autobuses gestionada por otra empresa. El abuso se produce, en suma, en el mercado de los servicios ofrecidos por las estaciones de autobuses (taquillas de venta, información de horarios, dársenas, etc.) en una de las dos estaciones establecidas en Madrid para el transporte de viajeros por carretera.</w:t>
      </w:r>
    </w:p>
    <w:p w:rsidR="00D06117" w:rsidRDefault="00D06117" w:rsidP="00D06117">
      <w:pPr>
        <w:pStyle w:val="TextoNormal"/>
      </w:pPr>
    </w:p>
    <w:p w:rsidR="00D06117" w:rsidRDefault="00D06117" w:rsidP="00D06117">
      <w:pPr>
        <w:pStyle w:val="TextoNormal"/>
      </w:pPr>
      <w:r>
        <w:t>Asimismo conviene subrayar que la actuación imputada a Esamsa no supone la exclusión plena en el acceso de Aníbal, S.L., a los servicios de la estación de autobuses, pues a esta empresa se le ha permitido dejar y recoger viajeros en dicha estación y ha podido vender billetes en la propia estación, si bien en condiciones ciertamente irregulares, a través de taquillas ajenas, sin perjuicio de los que haya podido vender a través de otros medios (teléfono, servicios en línea, etc.). También cabe destacar que no consta que la empresa que denuncia la práctica restrictiva haya sufrido obstrucción adicional alguna en otros puntos de la línea de autobús que explota.</w:t>
      </w:r>
    </w:p>
    <w:p w:rsidR="00D06117" w:rsidRDefault="00D06117" w:rsidP="00D06117">
      <w:pPr>
        <w:pStyle w:val="TextoNormal"/>
      </w:pPr>
    </w:p>
    <w:p w:rsidR="00D06117" w:rsidRDefault="00D06117" w:rsidP="00D06117">
      <w:pPr>
        <w:pStyle w:val="TextoNormal"/>
      </w:pPr>
      <w:r>
        <w:t>De lo anterior se desprende que los efectos constatables de la actuación imputada a Esamsa se producen en la Comunidad de Madrid, en cuanto que éste es el lugar en el que se produce la conducta vulneradora de la competencia y en cuanto que dicha conducta interfiere en el pleno acceso a los servicios que la empresa denunciante solicitó en la Estación sur de autobuses de Madrid. La cuestión es si los efectos derivados de la práctica anticompetitiva se limitan al ámbito autonómico o se extienden más allá, afectando a la libre competencia en el mercado supraautonómico. El Abogado del Estado estima que la actuación denunciada constituyó una desventaja competitiva para la empresa denunciante, que redundó en que las condiciones en las que tuvo que explotar la línea de transporte fueron peores que las de sus competidores que sí dispusieron de taquilla propia en la estación de autobuses, de forma que la práctica restrictiva, al afectar a las condiciones de competencia entre las empresas que explotan líneas regulares de transporte de viajeros por carretera que cubren el mismo recorrido, sí tuvo trascendencia supraautonómica.</w:t>
      </w:r>
    </w:p>
    <w:p w:rsidR="00D06117" w:rsidRDefault="00D06117" w:rsidP="00D06117">
      <w:pPr>
        <w:pStyle w:val="TextoNormal"/>
      </w:pPr>
    </w:p>
    <w:p w:rsidR="00D06117" w:rsidRDefault="00D06117" w:rsidP="00D06117">
      <w:pPr>
        <w:pStyle w:val="TextoNormal"/>
      </w:pPr>
      <w:r>
        <w:t>Es cierto que una desventaja competitiva suficientemente intensa producida en el mercado auxiliar o instrumental de las estaciones de autobuses puede proyectarse también sobre el mercado principal de servicios de transporte de viajeros por carretera al que aquél sirve. Pero cualquier incidencia en las condiciones de explotación de la línea regular de transporte por la empresa denunciante no equivale de por sí a una alteración perceptible de las condiciones de la libre competencia en el mercado del transporte de viajeros por carretera de la línea de referencia.</w:t>
      </w:r>
    </w:p>
    <w:p w:rsidR="00D06117" w:rsidRDefault="00D06117" w:rsidP="00D06117">
      <w:pPr>
        <w:pStyle w:val="TextoNormal"/>
      </w:pPr>
    </w:p>
    <w:p w:rsidR="00D06117" w:rsidRDefault="00D06117" w:rsidP="00D06117">
      <w:pPr>
        <w:pStyle w:val="TextoNormal"/>
      </w:pPr>
      <w:r>
        <w:t xml:space="preserve">A partir de los datos aportados en el presente proceso constitucional por las partes no cabe apreciar en las circunstancias concretas del caso que la negativa injustificada a adjudicar una taquilla de venta de billetes en una estación de autobuses constituya una afectación suficientemente significativa de la libre competencia en un ámbito supraautonómico que justifique el desplazamiento de la competencia ejecutiva que, en principio, corresponde a la </w:t>
      </w:r>
      <w:r>
        <w:lastRenderedPageBreak/>
        <w:t>Comunidad Autónoma. Esta conclusión se fundamenta en la consideración de las siguientes circunstancias del caso.</w:t>
      </w:r>
    </w:p>
    <w:p w:rsidR="00D06117" w:rsidRDefault="00D06117" w:rsidP="00D06117">
      <w:pPr>
        <w:pStyle w:val="TextoNormal"/>
      </w:pPr>
    </w:p>
    <w:p w:rsidR="00D06117" w:rsidRDefault="00D06117" w:rsidP="00D06117">
      <w:pPr>
        <w:pStyle w:val="TextoNormal"/>
      </w:pPr>
      <w:r>
        <w:t>En primer lugar, la práctica restrictiva denunciada no ha afectado al acceso a las concesiones de transporte regular de viajeros por carretera, mercado que sí posee una indudable dimensión supraautonómica. En segundo lugar, el servicio de transporte de viajeros por carretera en la línea regular Lisboa-Madrid (único tramo explotado por la denunciante) era prestado por otros tres operadores más, por lo que las condiciones de la libre competencia estaban ampliamente garantizadas en la línea regular gracias a esos tres operadores, de forma que la concreta práctica denunciada por el cuarto operador no ha podido tener un impacto significativo o perceptible en las condiciones de la libre competencia de la citada línea. Por último, mientras duró la práctica denunciada, no se impidió a la empresa denunciante explotar la línea de transporte de viajeros de carretera de la que es titular en los términos de la concesión adjudicada. La interferencia en la libre competencia se ha localizado en una de las dos estaciones de autobuses de una Comunidad Autónoma, y aún con respecto a dicha estación no se le ha imposibilitado el acceso a los servicios de la estación que son esenciales para poder explotar la línea, como es la recogida o bajada de viajeros, ni tampoco plenamente la venta de billetes, pues ha podido efectuar la venta a través de taquillas ajenas y de locales de negocio ubicados dentro de la propia estación.</w:t>
      </w:r>
    </w:p>
    <w:p w:rsidR="00D06117" w:rsidRDefault="00D06117" w:rsidP="00D06117">
      <w:pPr>
        <w:pStyle w:val="TextoNormal"/>
      </w:pPr>
    </w:p>
    <w:p w:rsidR="00D06117" w:rsidRDefault="00D06117" w:rsidP="00D06117">
      <w:pPr>
        <w:pStyle w:val="TextoNormal"/>
      </w:pPr>
      <w:r>
        <w:t>En atención a las circunstancias expuestas, procedía estimar el conflicto positivo de competencia reconociendo que eran los órganos dependientes de la Comunidad Autónoma de Madrid quienes debían instruir y resolver sobre el expediente sancionador núm. 627-2007 incoado contra la empresa concesionaria de la Estación Sur de Autobuses de Madrid.</w:t>
      </w:r>
    </w:p>
    <w:p w:rsidR="00D06117" w:rsidRDefault="00D06117" w:rsidP="00D06117">
      <w:pPr>
        <w:pStyle w:val="TextoNormal"/>
      </w:pPr>
    </w:p>
    <w:p w:rsidR="00D06117" w:rsidRDefault="00D06117" w:rsidP="00D06117">
      <w:pPr>
        <w:pStyle w:val="TextoNormal"/>
      </w:pPr>
      <w:r>
        <w:t>Dado que la competencia ejecutiva sobre la actuación imputada a Esamsa ya fue ejercida por la Comisión nacional de la competencia por resolución de 31 de marzo de 2008, nuestro pronunciamiento debió de limitarse a declarar la titularidad de la competencia controvertida a favor de la Comunidad Autónoma de Madrid.</w:t>
      </w:r>
    </w:p>
    <w:p w:rsidR="00D06117" w:rsidRDefault="00D06117" w:rsidP="00D06117">
      <w:pPr>
        <w:pStyle w:val="TextoNormal"/>
      </w:pPr>
    </w:p>
    <w:p w:rsidR="00D06117" w:rsidRDefault="00D06117" w:rsidP="00D06117">
      <w:pPr>
        <w:pStyle w:val="TextoNormal"/>
      </w:pPr>
      <w:r>
        <w:t>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5" w:name="SENTENCIA_2012_72"/>
      <w:r>
        <w:lastRenderedPageBreak/>
        <w:t>SENTENCIA 72/2012, de 16 de abril de 2012</w:t>
      </w:r>
    </w:p>
    <w:bookmarkEnd w:id="75"/>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ECLI:ES:TC:2012:72</w:t>
      </w:r>
    </w:p>
    <w:p w:rsidR="00D06117" w:rsidRDefault="00D06117" w:rsidP="00D06117">
      <w:pPr>
        <w:pStyle w:val="SntesisDescriptiva"/>
      </w:pPr>
    </w:p>
    <w:p w:rsidR="00D06117" w:rsidRDefault="00D06117" w:rsidP="00D06117">
      <w:pPr>
        <w:pStyle w:val="SntesisDescriptiva"/>
      </w:pPr>
      <w:r>
        <w:t>Conflicto positivo de competencia 1608-2008 . Planteado por el Consell de la Generalitat Valenciana en relación con el Real Decreto 1472/2007, de 2 de noviembre, por el que se regula la renta básica de emancipación de los jóvenes.</w:t>
      </w:r>
    </w:p>
    <w:p w:rsidR="00D06117" w:rsidRDefault="00D06117" w:rsidP="00D06117">
      <w:pPr>
        <w:pStyle w:val="SntesisDescriptiva"/>
      </w:pPr>
    </w:p>
    <w:p w:rsidR="00D06117" w:rsidRDefault="00D06117" w:rsidP="00D06117">
      <w:pPr>
        <w:pStyle w:val="SntesisAnaltica"/>
      </w:pPr>
      <w:r>
        <w:t>Competencias sobre ordenación general de la economía, vivienda y asistencia social: STC 36/2012. Voto particular.</w:t>
      </w:r>
    </w:p>
    <w:p w:rsidR="00D06117" w:rsidRDefault="00D06117" w:rsidP="00D06117">
      <w:pPr>
        <w:pStyle w:val="SntesisAnaltica"/>
      </w:pPr>
    </w:p>
    <w:p w:rsidR="00D06117" w:rsidRDefault="00D06117" w:rsidP="00D06117">
      <w:pPr>
        <w:pStyle w:val="Extracto"/>
      </w:pPr>
      <w:r>
        <w:t>1.</w:t>
      </w:r>
      <w:r>
        <w:tab/>
        <w:t>Aplica la doctrina sobre distribución de competencias en materia de ayudas y, en particular, de regulación de la renta básica de emancipación de la STC 36/2012 [FFJJ 2 a 5].</w:t>
      </w:r>
    </w:p>
    <w:p w:rsidR="00D06117" w:rsidRDefault="00D06117" w:rsidP="00D06117">
      <w:pPr>
        <w:pStyle w:val="Extracto"/>
      </w:pPr>
    </w:p>
    <w:p w:rsidR="00D06117" w:rsidRDefault="00D06117" w:rsidP="00D06117">
      <w:pPr>
        <w:pStyle w:val="Extracto"/>
      </w:pPr>
      <w:r>
        <w:t>2.</w:t>
      </w:r>
      <w:r>
        <w:tab/>
        <w:t xml:space="preserve">La renta básica de emancipación se encuadra en la materia asistencia social, </w:t>
      </w:r>
      <w:r w:rsidRPr="00D06117">
        <w:rPr>
          <w:i/>
        </w:rPr>
        <w:t>ex</w:t>
      </w:r>
      <w:r>
        <w:t xml:space="preserve"> 148.1.20 CE, en cuanto ha quedado asociada a las ayudas que tratan de resolver una problemática social facilitando a determinados grupos de personas con rentas reducidas la efectiva emancipación respecto de sus familias [FJ 3].</w:t>
      </w:r>
    </w:p>
    <w:p w:rsidR="00D06117" w:rsidRDefault="00D06117" w:rsidP="00D06117">
      <w:pPr>
        <w:pStyle w:val="Extracto"/>
      </w:pPr>
    </w:p>
    <w:p w:rsidR="00D06117" w:rsidRDefault="00D06117" w:rsidP="00D06117">
      <w:pPr>
        <w:pStyle w:val="Extracto"/>
      </w:pPr>
      <w:r>
        <w:t>3.</w:t>
      </w:r>
      <w:r>
        <w:tab/>
        <w:t xml:space="preserve">La renta básica de emancipación no tiene encaje en la competencia estatal sobre bases y coordinación de la planificación general de la actividad económica, </w:t>
      </w:r>
      <w:r w:rsidRPr="00D06117">
        <w:rPr>
          <w:i/>
        </w:rPr>
        <w:t>ex</w:t>
      </w:r>
      <w:r>
        <w:t xml:space="preserve"> art. 149.1.13 CE, en tanto que, por su escasa relevancia económica, no supone una medida que incida directa y significativamente sobre la actividad económica general [FJ 3].</w:t>
      </w:r>
    </w:p>
    <w:p w:rsidR="00D06117" w:rsidRDefault="00D06117" w:rsidP="00D06117">
      <w:pPr>
        <w:pStyle w:val="Extracto"/>
      </w:pPr>
    </w:p>
    <w:p w:rsidR="00D06117" w:rsidRDefault="00D06117" w:rsidP="00D06117">
      <w:pPr>
        <w:pStyle w:val="Extracto"/>
      </w:pPr>
      <w:r>
        <w:t>4.</w:t>
      </w:r>
      <w:r>
        <w:tab/>
        <w:t>La renta básica de emancipación no se ubica de modo principal en la materia de vivienda, ya que ésta presenta tan sólo una relación mediata o instrumental con la misma, en la medida en que el fin primordial de facilitar el acceso a una vivienda en alquiler es el de fomentar la emancipación de los jóvenes, no tratándose por tanto, de desarrollar una política en materia de vivienda, fomentando de forma más intensa el alquiler (STC 36/2012) [FJ 3].</w:t>
      </w:r>
    </w:p>
    <w:p w:rsidR="00D06117" w:rsidRDefault="00D06117" w:rsidP="00D06117">
      <w:pPr>
        <w:pStyle w:val="Extracto"/>
      </w:pPr>
    </w:p>
    <w:p w:rsidR="00D06117" w:rsidRDefault="00D06117" w:rsidP="00D06117">
      <w:pPr>
        <w:pStyle w:val="Extracto"/>
      </w:pPr>
      <w:r>
        <w:t>5.</w:t>
      </w:r>
      <w:r>
        <w:tab/>
        <w:t>En ejercicio de la potestad subvencional del gasto público, cuando la Comunidad Autónoma ostenta una competencia exclusiva sobre una determinada materia y el Estado no invoca título competencial alguno sobre la misma, corresponde a éste decidir sobre la asignación de parte de sus fondos presupuestarios a esa materia y regular los aspectos centrales del régimen subvencional, siendo de competencia autonómica lo atinente a su gestión (SSTC 178/2011, 36/2012) [FJ 4].</w:t>
      </w:r>
    </w:p>
    <w:p w:rsidR="00D06117" w:rsidRDefault="00D06117" w:rsidP="00D06117">
      <w:pPr>
        <w:pStyle w:val="Extracto"/>
      </w:pPr>
    </w:p>
    <w:p w:rsidR="00D06117" w:rsidRDefault="00D06117" w:rsidP="00D06117">
      <w:pPr>
        <w:pStyle w:val="Extracto"/>
      </w:pPr>
      <w:r>
        <w:t>6.</w:t>
      </w:r>
      <w:r>
        <w:tab/>
        <w:t xml:space="preserve">La facultad de gasto público, consecuencia lógica de la autonomía financiera, no es título legitimador de atribución de competencias, ya que la inversión de fondos propios en una determinada actividad no es un título competencial propio, ni el </w:t>
      </w:r>
      <w:r>
        <w:lastRenderedPageBreak/>
        <w:t>solo hecho de financiar puede erigirse en núcleo que atraiga hacia sí toda competencia sobre los variados aspectos a que pueda dar lugar la actividad de financiación (SSTC 179/1985, 36/2012) [FJ 4].</w:t>
      </w:r>
    </w:p>
    <w:p w:rsidR="00D06117" w:rsidRDefault="00D06117" w:rsidP="00D06117">
      <w:pPr>
        <w:pStyle w:val="Extracto"/>
      </w:pPr>
    </w:p>
    <w:p w:rsidR="00D06117" w:rsidRDefault="00D06117" w:rsidP="00D06117">
      <w:pPr>
        <w:pStyle w:val="Extracto"/>
      </w:pPr>
      <w:r>
        <w:t>7.</w:t>
      </w:r>
      <w:r>
        <w:tab/>
        <w:t>El carácter de ayuda directa de la renta de emancipación no invade las competencias autonómicas ya que el Estado puede asignar fondos públicos a cualquier finalidad lícita, incluso aunque implique la financiación de acciones de fomento en materias de competencia exclusiva de las Comunidades Autónomas (SSTC 13/1992, 202/1992) [FJ 5].</w:t>
      </w:r>
    </w:p>
    <w:p w:rsidR="00D06117" w:rsidRDefault="00D06117" w:rsidP="00D06117">
      <w:pPr>
        <w:pStyle w:val="Extracto"/>
      </w:pPr>
    </w:p>
    <w:p w:rsidR="00D06117" w:rsidRDefault="00D06117" w:rsidP="00D06117">
      <w:pPr>
        <w:pStyle w:val="Extracto"/>
      </w:pPr>
      <w:r>
        <w:t>8.</w:t>
      </w:r>
      <w:r>
        <w:tab/>
        <w:t>El establecimiento de un plazo máximo de resolución, común en todo el territorio nacional, puede ser concebido como criterio coordinador que no menoscaba competencia autonómica alguna, en tanto que puede resultar adecuado, en ocasiones, que el Estado establezca condiciones que garanticen una cierta homogeneidad de la gestión de las subvenciones (SSTC 129/2010, 36/2012) [FJ 5].</w:t>
      </w:r>
    </w:p>
    <w:p w:rsidR="00D06117" w:rsidRDefault="00D06117" w:rsidP="00D06117">
      <w:pPr>
        <w:pStyle w:val="Extracto"/>
      </w:pPr>
    </w:p>
    <w:p w:rsidR="00D06117" w:rsidRDefault="00D06117" w:rsidP="00D06117">
      <w:pPr>
        <w:pStyle w:val="Extracto"/>
      </w:pPr>
      <w:r>
        <w:t>9.</w:t>
      </w:r>
      <w:r>
        <w:tab/>
        <w:t>La declaración de compatibilidad de la renta básica de emancipación con las ayudas que puedan establecer las Comunidades Autónomas no vulnera las competencias autonómicas, toda vez que esa declaración se remite a lo que disponga la normativa autonómica, que queda en libertad para decidir si las subvenciones, ayudas, o beneficios fiscales que establezca sean o no compatibles con la renta básica de emancipación (SSTC 129/2010, 36/2012) [FJ 5].</w:t>
      </w:r>
    </w:p>
    <w:p w:rsidR="00D06117" w:rsidRDefault="00D06117" w:rsidP="00D06117">
      <w:pPr>
        <w:pStyle w:val="Extracto"/>
      </w:pPr>
    </w:p>
    <w:p w:rsidR="00D06117" w:rsidRDefault="00D06117" w:rsidP="00D06117">
      <w:pPr>
        <w:pStyle w:val="Extracto"/>
      </w:pPr>
      <w:r>
        <w:t>10.</w:t>
      </w:r>
      <w:r>
        <w:tab/>
        <w:t>Doctrina sobre la pervivencia del objeto del conflicto positivo de competencia pese a la modificación o derogación de la norma (STC 36/2012)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1608-2008 promovido por el Consell de la Generalitat Valenciana contra el Real Decreto 1472/2007, de 2 de noviembre, por el que se regula la renta básica de emancipación de los jóvenes. Ha formulado alegaciones el Abogado del Estado. Ha sido Ponente el Magistrado don Pablo Pérez Tremps, quien expresa el parecer de la Sala.</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27 de febrero de 2008, la Abogada General de la Generalitat de la Comunitat Valenciana, en la representación que legalmente ostenta, promueve conflicto positivo de competencia contra el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El conflicto positivo de competencia se fundamenta en las alegaciones que se resumen a continuación:</w:t>
      </w:r>
    </w:p>
    <w:p w:rsidR="00D06117" w:rsidRDefault="00D06117" w:rsidP="00D06117">
      <w:pPr>
        <w:pStyle w:val="TextoNormal"/>
      </w:pPr>
    </w:p>
    <w:p w:rsidR="00D06117" w:rsidRDefault="00D06117" w:rsidP="00D06117">
      <w:pPr>
        <w:pStyle w:val="TextoNormal"/>
      </w:pPr>
      <w:r>
        <w:t xml:space="preserve">Tras exponer los antecedentes del caso y acreditar el cumplimiento de los requisitos procesales para el planteamiento del conflicto, la Abogada General de la Generalitat de la Comunidad Valenciana señala, en primer lugar, que la materia en la que se incardina la regulación que cuestiona es la relativa a vivienda, en la que la Comunidad Autónoma dispone de competencia exclusiva, mientras que el Real Decreto 1472/2007 indica que el mismo se dicta al amparo de las competencias estatales sobre planificación de la actividad económica, de conformidad con lo previsto en el art. 149.1.13 CE. A este respecto recalca que nada obsta a que el Estado, al amparo de lo dispuesto en dicho título competencial, apruebe la “renta básica de emancipación de los jóvenes” con la finalidad de facilitarles el acceso a la vivienda, pero ello no le habilita para reservarse competencias de gestión por cuanto no se dan los supuestos excepcionales que justificarían la gestión centralizada de las ayudas en una materia en la que la Comunidad Autónoma ostenta títulos competenciales exclusivos. De acuerdo con la jurisprudencia constitucional en materia de subvenciones (con cita de las SSTC 13/1992 y 242/1999), debiera haberse procedido a la territorialización de las partidas presupuestarias a favor de las Comunidades Autónomas por ser éstas las competentes para gestionar la ayuda. Esta alegación se singulariza en relación a determinados preceptos respecto de los que se afirma que ponen especialmente de manifiesto la centralización de la gestión económica en el Ministerio de Vivienda, solicitándose, de forma subsidiaria, que sean declarados inconstitucionales por invadir competencias de la Comunidad Valenciana. En cuanto al art. 1 estima que el establecimiento de la ayuda debió realizarse en el marco dispuesto por la STC 13/1992 [FJ 8 b)], debiendo, por ello, reputarse inconstitucional. Al art. 3.3 a) le reprocha que no responde a una condición esencial de otorgamiento de las ayudas sino que afecta a las competencias normativas y de gestión que corresponden a la Comunidad Autónoma. El art. 4 vulneraría, en su apartado 1, las competencias autonómicas por cuanto la utilización de las técnicas de colaboración o cooperación no puede servir como cauce para despojar a la Generalitat de sus competencias de gestión. Al apartado 2 se le reprocha que trata un aspecto relativo al procedimiento de gestión de las ayudas que no resulta justificado como criterio coordinador ex art. 149.1.13 CE, lo que también sucedería con el apartado 3, relativo al modelo de solicitud de renta básica, y con el primer inciso del apartado 5 mientras que el segundo inciso de este mismo apartado 5, en cuya virtud el acto del pago se centraliza en el Ministerio de Vivienda, sería una actuación de mera ejecución administrativa que ha de inscribirse en la competencia autonómica en materia de vivienda. Esa misma competencia se entiende vulnerada por el apartado 6 del art. 4 al implicar la reserva a favor del Estado de la ordenación del pago, acto de gestión que corresponde a la Comunidad Autónoma. La competencia autonómica para la gestión de las ayudas determinaría también la inconstitucionalidad del apartado 1 del art. 7, al condicionar el ejercicio de la potestad autonómica de gestión a la firma de un convenio, así como la del art. 8 puesto </w:t>
      </w:r>
      <w:r>
        <w:lastRenderedPageBreak/>
        <w:t>que el mismo es consecuencia de la centralización injustificada en favor del Estado de la ordenación del pago de esta ayuda. En cuanto al art. 9 discute que corresponda al Estado determinar de forma unilateral el régimen de compatibilidad o incompatibilidad de la ayuda en relación con subvenciones, ayudas y beneficios fiscales que pudiera conceder la Comunidad Autónoma, mientras que a la disposición adicional segunda se le reprocha que condiciona la potestad autonómica para regular las condiciones de otorgamiento de las ayudas y su tramitación.</w:t>
      </w:r>
    </w:p>
    <w:p w:rsidR="00D06117" w:rsidRDefault="00D06117" w:rsidP="00D06117">
      <w:pPr>
        <w:pStyle w:val="TextoNormal"/>
      </w:pPr>
    </w:p>
    <w:p w:rsidR="00D06117" w:rsidRDefault="00D06117" w:rsidP="00D06117">
      <w:pPr>
        <w:pStyle w:val="TextoNormal"/>
      </w:pPr>
      <w:r>
        <w:t>Por último se alega la vulneración de la autonomía financiera de las Comunidades Autónomas establecida en el art. 156 CE pues, según resulta de la norma impugnada, se han consignado centralizadamente los créditos a favor de un órgano estatal, que se reserva el acto de ordenación del pago de las ayudas. De esta forma se impide la gestión autonómica de subvenciones estatales en materias de su competencia, lo que supone la utilización del poder de gasto del Estado para vaciar de contenido las competencias exclusivas autonómicas, evitando la preceptiva territorialización de los fondos con arreglo a criterios objetivos de reparto o bien a través de convenios ajustados a los principios constitucionales.</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2 de abril de 2008 el Pleno del Tribunal Constitucional, a propuesta de la Sección Segunda, acordó admitir a trámite el presente conflicto; atribuir el conocimiento del presente conflicto a la Sala Primera, a la que por turno objetivo le ha correspondido;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Real Decreto 1472/2007, en cuyo caso se suspenderá el curso del proceso hasta la decisión del conflicto, según dispone el art. 61.2 de la Ley Orgánica del Tribunal Constitucional y publicar la incoación del conflicto en el “Boletín Oficial del Estado” y en el “Diari Oficial de la Generalitat Valenciana”.</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de 16 de abril de 2008 el Abogado del Estado se personó en el proceso solicitando una prórroga del plazo concedido para formular alegaciones, prórroga que le fue concedida mediante providencia de la Sala Primera de 17 de abril de 2008. El escrito de alegaciones del Abogado del Estado se registró el día 14 de mayo de 2008. En dicho escrito se opone a la demanda por las razones que se recogen a continuación.</w:t>
      </w:r>
    </w:p>
    <w:p w:rsidR="00D06117" w:rsidRDefault="00D06117" w:rsidP="00D06117">
      <w:pPr>
        <w:pStyle w:val="TextoNormal"/>
      </w:pPr>
    </w:p>
    <w:p w:rsidR="00D06117" w:rsidRDefault="00D06117" w:rsidP="00D06117">
      <w:pPr>
        <w:pStyle w:val="TextoNormal"/>
      </w:pPr>
      <w:r>
        <w:t>En cuanto a las alegaciones del Consell de la Generalitat valenciana el Abogado del Estado entiende que, aun cuando la demanda interesa la anulación de la totalidad de la norma, en realidad la misma admite la competencia estatal para dictar una norma sobre la renta básica de emancipación de los jóvenes y, a partir de ese reconocimiento, únicamente discute la constitucionalidad de determinados preceptos específicos que habrían invadido facultades ejecutivas autonómicas y sobre los que subsidiariamente reclama su anulación. Por ello estima que la demanda no levanta la carga de alegar y razonar la inconstitucionalidad de los preceptos del Real Decreto 1472/2007 no incluidos en la subsidiaria petición de anulación del suplico, por lo que procedería la desestimación del conflicto respecto de los no incluidos en dicha petición subsidiaria.</w:t>
      </w:r>
    </w:p>
    <w:p w:rsidR="00D06117" w:rsidRDefault="00D06117" w:rsidP="00D06117">
      <w:pPr>
        <w:pStyle w:val="TextoNormal"/>
      </w:pPr>
    </w:p>
    <w:p w:rsidR="00D06117" w:rsidRDefault="00D06117" w:rsidP="00D06117">
      <w:pPr>
        <w:pStyle w:val="TextoNormal"/>
      </w:pPr>
      <w:r>
        <w:t xml:space="preserve">A continuación, el Abogado del Estado justifica la competencia estatal para dictar el Real Decreto 1472/2008, indicando que el carácter exclusivo de las competencias autonómicas no puede servir de fundamento para restringir las competencias exclusivas que al Estado </w:t>
      </w:r>
      <w:r>
        <w:lastRenderedPageBreak/>
        <w:t>reconoce la Constitución, de manera que los títulos competenciales estatales del art. 149.1.1 y 13 CE suponen una importante matización a la exclusividad de la competencia autonómica en materia de vivienda, de suerte que el Estado puede, con una perspectiva nacional, efectuar una programación de los recursos presupuestarios que hayan de asignarse a la promoción del derecho de todos los españoles a una vivienda digna, programación que también supone un elemento esencial de la política económica a la vista de su incidencia final en los mercados inmobiliario y de trabajo. De ese modo resulta innegable que, en un aspecto fundamental para la ordenación y planificación del sector de la vivienda, como son las ayudas al alquiler, se ha de conjugar la competencia estatal en materia de bases y coordinación de la planificación general de la actividad económica del art. 149.1.13 CE con las competencias exclusivas que han asumido las Comunidades Autónomas. De esta manera el principio de unidad económica que la Constitución y la doctrina de este Tribunal han reconocido resultaría, para el Abogado del Estado, determinante a la hora de juzgar el presente conflicto, pues caben pocas dudas de que la disposición impugnada se sitúa en la ordenación general de la economía ya que el Real Decreto 1472/2007 no es sino una medida de política económica de la que se beneficia un determinado sector de la población para fomentar el mercado inmobiliario en su modalidad de arrendamiento que actúa directamente sobre los mercados de bienes y servicios a nivel nacional.</w:t>
      </w:r>
    </w:p>
    <w:p w:rsidR="00D06117" w:rsidRDefault="00D06117" w:rsidP="00D06117">
      <w:pPr>
        <w:pStyle w:val="TextoNormal"/>
      </w:pPr>
    </w:p>
    <w:p w:rsidR="00D06117" w:rsidRDefault="00D06117" w:rsidP="00D06117">
      <w:pPr>
        <w:pStyle w:val="TextoNormal"/>
      </w:pPr>
      <w:r>
        <w:t>Recuerda seguidamente la doctrina constitucional en materia de subvenciones haciendo referencia a la contenida en la STC 13/1992, deteniéndose en los supuestos de las letras b) y d) de su fundamento jurídico 8, relativo, el primero, a la completa gestión autonómica, y el segundo a la gestión centralizada por el Estado y señalando que esa genérica enumeración de casos no excluye otros que pudieran derivarse de la Constitución y los Estatutos de Autonomía, en particular el que aquí se trata, en el que la gestión de la subvención se entrega a la Comunidad Autónoma, reservándose el Estado exclusivamente el acto del pago, en cuanto que esa facultad ejecutiva resulta ser necesaria para asegurar la plena efectividad de las medidas y garantizar las mismas posibilidades de obtención y disfrute por parte de sus potenciales destinatarios, evitando que se sobrepase la cuantía global de los fondos estatales destinados al sector. De esta forma la disposición impugnada encajaría en el último supuesto que relaciona el fundamento jurídico 8 de la STC 13/1992, resultando constitucionalmente admisible la regulación de las ayudas que establece.</w:t>
      </w:r>
    </w:p>
    <w:p w:rsidR="00D06117" w:rsidRDefault="00D06117" w:rsidP="00D06117">
      <w:pPr>
        <w:pStyle w:val="TextoNormal"/>
      </w:pPr>
    </w:p>
    <w:p w:rsidR="00D06117" w:rsidRDefault="00D06117" w:rsidP="00D06117">
      <w:pPr>
        <w:pStyle w:val="TextoNormal"/>
      </w:pPr>
      <w:r>
        <w:t xml:space="preserve">Finalmente el Abogado del Estado descarta que la norma vulnere la autonomía financiera de la Comunidad Valenciana, por cuanto el Estado puede destinar fondos para el fomento de una materia aunque ésta sea de la exclusiva competencia autonómica, sin que se impida con ello el establecimiento de requisitos adicionales, peculiares o diferentes a los señalados por el Estado en las actuaciones protegidas por éste en materia de vivienda. Por tanto estima que no trata de una cuestión que ataña a la autonomía financiera, sino que es puramente competencial. Con esta última perspectiva examina los reproches que la demanda dirige específicamente contra los preceptos del Real Decreto 1472/2007 cuya anulación se suplica de forma subsidiaria. Así, en cuanto al art. 1 estima que el mismo se limita a proclamar el objetivo del real decreto de establecer una renta básica de emancipación, objetivo plenamente constitucional, según reconoce la demanda. Respecto a los arts. 3.3 a); 4, apartados 5 y 6; y 8, cuestionados todos ellos por atribuir al Ministerio de Vivienda, a través de entidades colaboradoras, la autorización de los pagos a los beneficiarios de las ayudas, estima que a los mismos les resulta de aplicación la doctrina de la STC 152/1988 a fin de asegurar la efectividad de las medidas y garantizar las mismas posibilidades de obtención y disfrute </w:t>
      </w:r>
      <w:r>
        <w:lastRenderedPageBreak/>
        <w:t>por parte de sus potenciales destinatarios en todo el territorio nacional, siendo a la vez un medio necesario para evitar que se sobrepase la cuantía global de los fondos o de los créditos que hayan de destinarse al sector. En el presente supuesto las potestades de gestión reservadas al Estado se limitan a la celebración de convenios con las entidades de crédito y a la autorización del pago de la ayuda, posibilidad cuya corrección técnica habría sido confirmada por este Tribunal en la STC 95/1986, pues con esa reserva competencial se asegura la igualdad en el disfrute por parte de los potenciales destinatarios y se evita que se sobrepase la cuantía global de los fondos destinados al sector. En cuanto a los apartados 1 y 7 del art. 4 indica que la utilización de la técnica del convenio de colaboración es irreprochable como mecanismo que integre competencias concurrentes estatales y autonómicas a lo que añade que la reserva de funciones ejecutivas al Estado resulta, en este caso, constitucionalmente admisible. En lo que respecta a los apartados 2 y 3 del art. 4 entiende que los mismos se encuentran amparados por la competencia estatal del art. 149.1.13 CE. Respecto del art. 9 estima que, tratándose de una ayuda estatal, al Estado le corresponde determinar su régimen de compatibilidad con otras ayudas o beneficios, sin perjuicio de la posibilidad autonómica de, al disciplinar las ayudas propias, especificar su incompatibilidad con ayudas o beneficios estatales. Igualmente descarta la inconstitucionalidad de la disposición adicional segunda, señalando que la referencia al necesario informe de una Comisión para el establecimiento de requisitos adicionales para la concesión de la renta básica no impide a la Comunidad Autónoma el desarrollo de las competencias propias en materia de vivienda, así como de la disposición final segunda, en tanto que el Estado dispone de competencias para dictar los preceptos cuya constitucionalidad se cuestiona.</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12 de abril de 2012 se acordó señalar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por el Consell de la Generalitat Valenciana frente al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Para el Gobierno autonómico promotor del conflicto la disposición impugnada no respeta el orden constitucional de competencias y estaría lesionando las competencias autonómicas exclusivas en materia de vivienda. Con arreglo a esta delimitación competencial la Comunidad Autónoma entiende que el reglamento impugnado debe ser anulado en su totalidad y, subsidiariamente, deben serlo los arts. 1; 3.3 a); 4, apartados 1, 2, 3, 5 y 6; 7.1; 8; 9 y disposición adicional segunda de la norma impugnada, preceptos en los que el recurrente funda esencialmente la inconstitucionalidad del reglamento. Por su parte, el Abogado del Estado, estando de acuerdo con que el reglamento impugnado afecta a la competencia autonómica en materia de vivienda, sostiene a su vez que la ayuda establecida en el Real Decreto 1472/2007 encontraría amparo en la competencia estatal del art. 149.1.13 CE, de manera que las funciones que el Estado se reserva se justificarían en atención a la necesidad de garantizar la eficacia de las ayudas así como la igualdad de los solicitantes evitando, al mismo tiempo, que se sobrepase la cuantía global de los fondos destinados a esta finalidad.</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Así expuestos los términos de la controversia planteada entre las partes hemos de comenzar por precisar el objeto del presente conflicto. A este respecto es preciso referirse en primer lugar a los efectos que sobre el mismo han tenido las modificaciones normativas habidas durante su pendencia. Esas modificaciones han sido introducidas por los Reales Decretos 366/2009, de 20 de marzo y 1260/2010, de 8 de octubre, a los que siguió la derogación de la norma impugnada en virtud del Real Decreto-ley 20/2011, de 30 de diciembre. Tal y como dijimos en la STC 129/2010, de 29 de noviembre, FJ 2, y en la STC 36/2012, de 15 de marzo, FJ 2, ambas resolutorias también de sendos conflictos planteados frente al Real Decreto 1472/2007, las modificaciones normativas apuntadas “no inciden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(STC 36/2012, FJ 2). En consecuencia, los cambios normativos producidos y la derogación posterior de la disposición impugnada no han originado la desaparición del objeto del presente conflicto.</w:t>
      </w:r>
    </w:p>
    <w:p w:rsidR="00D06117" w:rsidRDefault="00D06117" w:rsidP="00D06117">
      <w:pPr>
        <w:pStyle w:val="TextoNormal"/>
      </w:pPr>
    </w:p>
    <w:p w:rsidR="00D06117" w:rsidRDefault="00D06117" w:rsidP="00D06117">
      <w:pPr>
        <w:pStyle w:val="TextoNormal"/>
      </w:pPr>
      <w:r w:rsidRPr="00D06117">
        <w:rPr>
          <w:rStyle w:val="NumeroAFNegritaCaracter"/>
        </w:rPr>
        <w:t>3</w:t>
      </w:r>
      <w:r>
        <w:t>. Por otra parte, y a pesar de que el Consell de la Generalitat Valenciana y el Abogado del Estado coinciden en el encuadre competencial del conflicto planteado, que se situaría, a su juicio en la materia de vivienda, lo cierto es que en la STC 36/2012, hemos establecido, una vez fijada la finalidad primaria del Real Decreto 1472/2007, que la renta básica de emancipación no se ubica de modo principal en la materia vivienda,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 (STC 36/2012, FJ 5). En ese mismo pronunciamiento también se afirma que el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 para que pueda entrar en juego dicho título competencial del Estado” (FJ 5). Por tanto, la renta básica de emancipación ha quedado finalmente asociada de forma predominante al título competencial sobre asistencia social, ya que “según figura en el preámbulo del real decreto en cuestión, su finalidad principal es la de fomentar la emancipación de los jóvenes, removiendo los principales obstáculos con los que se encuentran para llevarla a cabo. Por ello, atendiendo a esta finalidad, podemos afirmar que el real decreto impugnado tiene conexión con el título competencial autonómico sobre asistencia social”, de lo que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(FJ 5).</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Realizada esta delimitación competencial, la STC 36/2012 descartó que el Real Decreto 1472/2007 hubiera invadido en bloque las competencias autonómicas en materia de asistencia social. Al contrario, remitiéndose a la STC 178/2011, de 8 de noviembre, FJ 7, que resolvía un conflicto referido a subvenciones relativas al área de la asistencia social, el Tribunal entiende que, aunque las subvenciones relativas a asistencia social, competencia ésta autonómica, se incluyen en principio en el primer supuesto del FJ 8 de la STC 13/1992, es preciso considerar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(STC 36/2012, de 13 de marzo, FJ 8, con cita de la STC 178/2011, de 8 de noviembre, FJ 7).</w:t>
      </w:r>
    </w:p>
    <w:p w:rsidR="00D06117" w:rsidRDefault="00D06117" w:rsidP="00D06117">
      <w:pPr>
        <w:pStyle w:val="TextoNormal"/>
      </w:pPr>
    </w:p>
    <w:p w:rsidR="00D06117" w:rsidRDefault="00D06117" w:rsidP="00D06117">
      <w:pPr>
        <w:pStyle w:val="TextoNormal"/>
      </w:pPr>
      <w:r>
        <w:t>También se descartó en este pronunciamiento la vulneración del principio de autonomía financiera de la Comunidad Autónoma debido a la asunción por el Estado, en virtud de su potestad de gasto, de actuaciones en una materia en la que carece de competencias, y cuyo desarrollo debe corresponder a las Comunidades Autónomas. A este respecto el Tribunal recordaba su reiterada doctrina respecto de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(STC 36/2012, FJ 7).</w:t>
      </w:r>
    </w:p>
    <w:p w:rsidR="00D06117" w:rsidRDefault="00D06117" w:rsidP="00D06117">
      <w:pPr>
        <w:pStyle w:val="TextoNormal"/>
      </w:pPr>
    </w:p>
    <w:p w:rsidR="00D06117" w:rsidRDefault="00D06117" w:rsidP="00D06117">
      <w:pPr>
        <w:pStyle w:val="TextoNormal"/>
      </w:pPr>
      <w:r>
        <w:t>En virtud de los anteriores razonamientos y habiendo descartado la inconstitucionalidad del real decreto en su totalidad, el Tribunal analizó, en la Sentencia de referencia, el ajuste constitucional de los preceptos impugnados de forma individualizada y estimó parcialmente el conflicto positivo de competencia interpuesto en aquel caso por el Consejo de Gobierno de la Comunidad Autónoma de La Rioja, anulando en consecuencia, con el alcance determinado en el fundamento jurídico 12 de aquella Sentencia, y a los efectos que interesan al presente conflicto de competencia, los arts. 3, apartado 3 a); 4, apartados 1, 3, 5, y 6; 7; y 8; la disposición adicional segunda del Real Decreto 1472/2007, de 2 de noviembre, por el que se regula la renta básica de emancipación de los jóvenes, al entender que todos ellos habían vulnerado la competencia autonómica en materia de asistencia social. Idéntica conclusión se puede extraer por lo que hace a la lesión de la competencia exclusiva autonómica en materia de asistencia social de la Comunidad Valenciana en esta materia ex art. 49.1.24 del Estatuto de Autonomía para la Comunidad Valenciana, de modo que, en virtud del contenido del fallo de la STC 36/2012, resulta pertinente apreciar la desaparición sobrevenida del objeto de la controversia respecto de aquellos artículos que hemos entendido que vulneraban las competencias autonómicas. Por ello, debe tenerse por extinguido el conflicto en lo que respecta a todos los preceptos impugnados excepto a los arts. 1, 4.2, y 9.</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Las impugnaciones respecto de los arts. 1, 4.2, y 9 del Real Decreto 1472/2007, han de ser también desestimadas por remisión a los razonamientos contenidos en la STC 36/2012.</w:t>
      </w:r>
    </w:p>
    <w:p w:rsidR="00D06117" w:rsidRDefault="00D06117" w:rsidP="00D06117">
      <w:pPr>
        <w:pStyle w:val="TextoNormal"/>
      </w:pPr>
    </w:p>
    <w:p w:rsidR="00D06117" w:rsidRDefault="00D06117" w:rsidP="00D06117">
      <w:pPr>
        <w:pStyle w:val="TextoNormal"/>
      </w:pPr>
      <w:r>
        <w:t>Por lo que hace a la impugnación del art. 1, que define qué sea la renta básica de emancipación, el fundamento jurídico 9 de la STC 36/2012, establece que “en este caso no se puede apreciar una extralimitación competencial en el precepto cuestionado, porque la referencia al carácter de ayuda directa del Estado de la renta de emancipación ha de ser entendida en el exclusivo sentido de que estas ayudas se nutren con fondos procedentes del presupuesto del Estado, y no que éste se convierta en el eje central de dichas ayudas. Ya hemos dicho anteriormente que 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FJ 7, y 202/1992, FJ 6). Por tanto, queda justificado el establecimiento de las ayudas con señalamiento de la finalidad a la que se dirigen en el art. 1 del Real Decreto 1472/2007”.</w:t>
      </w:r>
    </w:p>
    <w:p w:rsidR="00D06117" w:rsidRDefault="00D06117" w:rsidP="00D06117">
      <w:pPr>
        <w:pStyle w:val="TextoNormal"/>
      </w:pPr>
    </w:p>
    <w:p w:rsidR="00D06117" w:rsidRDefault="00D06117" w:rsidP="00D06117">
      <w:pPr>
        <w:pStyle w:val="TextoNormal"/>
      </w:pPr>
      <w:r>
        <w:t>Lo mismo sucede con la impugnación del art. 4.2, descartada tanto en la STC 36/2012, FJ 10, como en la STC 129/2010, FJ 7, en la medida en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(STC 36/2012, FJ 10, con cita de la STC 129/2010, FJ 7).</w:t>
      </w:r>
    </w:p>
    <w:p w:rsidR="00D06117" w:rsidRDefault="00D06117" w:rsidP="00D06117">
      <w:pPr>
        <w:pStyle w:val="TextoNormal"/>
      </w:pPr>
    </w:p>
    <w:p w:rsidR="00D06117" w:rsidRDefault="00D06117" w:rsidP="00D06117">
      <w:pPr>
        <w:pStyle w:val="TextoNormal"/>
      </w:pPr>
      <w:r>
        <w:t>Por último, y exactamente en los mismos términos, es preciso referirse al art. 9.1, párrafo segundo, al que se le achaca que declara la compatibilidad de la renta básica de emancipación con las que, en su caso, puedan establecer las Comunidades Autónomas. A este respecto, en el fundamento jurídico 11 de la STC 36/2012 (con remisión directa al fundamento jurídico 7 de la STC 129/2010), ya dijimos que no puede apreciarse la vulneración de las competencias autonómicas, toda vez que “esa declaración de compatibilidad, que no es sino una consecuencia del origen estatal de los fondos, se remite a lo que disponga la normativa autonómica, por lo que cada Comunidad Autónoma queda en libertad para decidir si las subvenciones, ayudas, o beneficios fiscales que establezca deben ser o no compatibles con la renta básica de emancipación. Ninguna vulneración se aprecia, tampoco, con respecto a los apartados 2 y 3, en los que se fijan las incompatibilidades con otras ayudas estatales y las consecuencias del incumplimiento de las condiciones y requisitos para disfrutar de las ayudas, ya que se trata de cuestiones estrechamente ligadas a la fijación de los requisitos para poder ser beneficiarios de la renta básica de emancipación, establecidos en el art. 2 del Real Decreto 1472/2007”.</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1º. Declarar la pérdida sobrevenida del objeto del conflicto por lo que respecta a los arts. 3.3 a); 4.1; 4.5, segundo inciso; 4.6; 7 y 8; así como la disposición adicional segunda del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2º. Desestimar el conflicto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rsidP="00D06117">
      <w:pPr>
        <w:pStyle w:val="ParrafoNormal"/>
      </w:pPr>
    </w:p>
    <w:p w:rsidR="00D06117" w:rsidRDefault="00D06117" w:rsidP="00D06117">
      <w:pPr>
        <w:pStyle w:val="TextoNormalNegritaCentrado"/>
        <w:keepNext/>
      </w:pPr>
      <w:r>
        <w:t>Voto concurrente que formula la Magistrada doña Adela Asua Batarrita a la Sentencia dictada en el conflicto positivo de competencia núm. 1608-2008.</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 la Sala, presento Voto concurrente remitiéndome a lo ya manifestado en el Voto también concurrente que formulé a la STC 36/2012, de 15 de marzo.</w:t>
      </w:r>
    </w:p>
    <w:p w:rsidR="00D06117" w:rsidRDefault="00D06117" w:rsidP="00D06117">
      <w:pPr>
        <w:pStyle w:val="TextoNormal"/>
      </w:pPr>
    </w:p>
    <w:p w:rsidR="00D06117" w:rsidRDefault="00D06117" w:rsidP="00D06117">
      <w:pPr>
        <w:pStyle w:val="TextoNormal"/>
      </w:pPr>
      <w:r>
        <w:t>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6" w:name="SENTENCIA_2012_73"/>
      <w:r>
        <w:lastRenderedPageBreak/>
        <w:t>SENTENCIA 73/2012, de 16 de abril de 2012</w:t>
      </w:r>
    </w:p>
    <w:bookmarkEnd w:id="76"/>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ECLI:ES:TC:2012:73</w:t>
      </w:r>
    </w:p>
    <w:p w:rsidR="00D06117" w:rsidRDefault="00D06117" w:rsidP="00D06117">
      <w:pPr>
        <w:pStyle w:val="SntesisDescriptiva"/>
      </w:pPr>
    </w:p>
    <w:p w:rsidR="00D06117" w:rsidRDefault="00D06117" w:rsidP="00D06117">
      <w:pPr>
        <w:pStyle w:val="SntesisDescriptiva"/>
      </w:pPr>
      <w:r>
        <w:t>Conflicto positivo de competencia 7045-2009 . Planteado por el Consejo de Gobierno de la Comunidad de Madrid en relación con el Real Decreto 366/2009, de 20 de marzo, por el que se modifica el Real Decreto 1472/2007, de 2 de noviembre, que regula la renta básica de emancipación de los jóvenes.</w:t>
      </w:r>
    </w:p>
    <w:p w:rsidR="00D06117" w:rsidRDefault="00D06117" w:rsidP="00D06117">
      <w:pPr>
        <w:pStyle w:val="SntesisDescriptiva"/>
      </w:pPr>
    </w:p>
    <w:p w:rsidR="00D06117" w:rsidRDefault="00D06117" w:rsidP="00D06117">
      <w:pPr>
        <w:pStyle w:val="SntesisAnaltica"/>
      </w:pPr>
      <w:r>
        <w:t>Competencias sobre ordenación general de la economía, vivienda y asistencia social: nulidad de diversos preceptos reglamentarios que vulneran competencias autonómicas (STC 36/2012).</w:t>
      </w:r>
    </w:p>
    <w:p w:rsidR="00D06117" w:rsidRDefault="00D06117" w:rsidP="00D06117">
      <w:pPr>
        <w:pStyle w:val="SntesisAnaltica"/>
      </w:pPr>
    </w:p>
    <w:p w:rsidR="00D06117" w:rsidRDefault="00D06117" w:rsidP="00D06117">
      <w:pPr>
        <w:pStyle w:val="Extracto"/>
      </w:pPr>
      <w:r>
        <w:t>1.</w:t>
      </w:r>
      <w:r>
        <w:tab/>
        <w:t>Aplica la doctrina sobre distribución de competencias en materia de ayudas y, en particular, de regulación de la renta básica de emancipación de la STC 36/2012 (STC 36/2012) [FFJJ 2 a 5].</w:t>
      </w:r>
    </w:p>
    <w:p w:rsidR="00D06117" w:rsidRDefault="00D06117" w:rsidP="00D06117">
      <w:pPr>
        <w:pStyle w:val="Extracto"/>
      </w:pPr>
    </w:p>
    <w:p w:rsidR="00D06117" w:rsidRDefault="00D06117" w:rsidP="00D06117">
      <w:pPr>
        <w:pStyle w:val="Extracto"/>
      </w:pPr>
      <w:r>
        <w:t>2.</w:t>
      </w:r>
      <w:r>
        <w:tab/>
        <w:t xml:space="preserve">La renta básica de emancipación se encuadra en la materia asistencia social, </w:t>
      </w:r>
      <w:r w:rsidRPr="00D06117">
        <w:rPr>
          <w:i/>
        </w:rPr>
        <w:t>ex</w:t>
      </w:r>
      <w:r>
        <w:t xml:space="preserve"> 148.1.20 CE, en cuanto ha quedado asociada a las ayudas que tratan de resolver una problemática social facilitando a determinados grupos de personas con rentas reducidas la efectiva emancipación respecto de sus familias [FJ 3].</w:t>
      </w:r>
    </w:p>
    <w:p w:rsidR="00D06117" w:rsidRDefault="00D06117" w:rsidP="00D06117">
      <w:pPr>
        <w:pStyle w:val="Extracto"/>
      </w:pPr>
    </w:p>
    <w:p w:rsidR="00D06117" w:rsidRDefault="00D06117" w:rsidP="00D06117">
      <w:pPr>
        <w:pStyle w:val="Extracto"/>
      </w:pPr>
      <w:r>
        <w:t>3.</w:t>
      </w:r>
      <w:r>
        <w:tab/>
        <w:t xml:space="preserve">La renta básica de emancipación no tiene encaje en la competencia estatal sobre bases y coordinación de la planificación general de la actividad económica, </w:t>
      </w:r>
      <w:r w:rsidRPr="00D06117">
        <w:rPr>
          <w:i/>
        </w:rPr>
        <w:t>ex</w:t>
      </w:r>
      <w:r>
        <w:t xml:space="preserve"> art. 149.1.13 CE, en tanto que, por su escasa relevancia económica, no supone una medida que incida directa y significativamente sobre la actividad económica general [FJ 3].</w:t>
      </w:r>
    </w:p>
    <w:p w:rsidR="00D06117" w:rsidRDefault="00D06117" w:rsidP="00D06117">
      <w:pPr>
        <w:pStyle w:val="Extracto"/>
      </w:pPr>
    </w:p>
    <w:p w:rsidR="00D06117" w:rsidRDefault="00D06117" w:rsidP="00D06117">
      <w:pPr>
        <w:pStyle w:val="Extracto"/>
      </w:pPr>
      <w:r>
        <w:t>4.</w:t>
      </w:r>
      <w:r>
        <w:tab/>
        <w:t>La renta básica de emancipación no se ubica de modo principal en la materia de vivienda, ya que ésta presenta tan sólo una relación mediata o instrumental con la misma, en la medida en que el fin primordial de facilitar el acceso a una vivienda en alquiler es el de fomentar la emancipación de los jóvenes, no tratándose por tanto, de desarrollar una política en materia de vivienda, fomentando de forma más intensa el alquiler (STC 36/2012) [FJ 3].</w:t>
      </w:r>
    </w:p>
    <w:p w:rsidR="00D06117" w:rsidRDefault="00D06117" w:rsidP="00D06117">
      <w:pPr>
        <w:pStyle w:val="Extracto"/>
      </w:pPr>
    </w:p>
    <w:p w:rsidR="00D06117" w:rsidRDefault="00D06117" w:rsidP="00D06117">
      <w:pPr>
        <w:pStyle w:val="Extracto"/>
      </w:pPr>
      <w:r>
        <w:t>5.</w:t>
      </w:r>
      <w:r>
        <w:tab/>
        <w:t>En ejercicio de la potestad subvencional del gasto público, cuando la Comunidad Autónoma ostenta una competencia exclusiva sobre una determinada materia y el Estado no invoca título competencial alguno sobre la misma, corresponde a éste decidir sobre la asignación de parte de sus fondos presupuestarios a esa materia y regular los aspectos centrales del régimen subvencional, siendo de competencia autonómica lo atinente a su gestión (SSTC 178/2011, 36/2012) [FJ 4].</w:t>
      </w:r>
    </w:p>
    <w:p w:rsidR="00D06117" w:rsidRDefault="00D06117" w:rsidP="00D06117">
      <w:pPr>
        <w:pStyle w:val="Extracto"/>
      </w:pPr>
    </w:p>
    <w:p w:rsidR="00D06117" w:rsidRDefault="00D06117" w:rsidP="00D06117">
      <w:pPr>
        <w:pStyle w:val="Extracto"/>
      </w:pPr>
      <w:r>
        <w:t>6.</w:t>
      </w:r>
      <w:r>
        <w:tab/>
        <w:t xml:space="preserve">La facultad de gasto público, consecuencia lógica de la autonomía financiera, no es título legitimador de atribución de competencias, ya que la inversión de fondos propios en una determinada actividad no es un título competencial propio, ni el </w:t>
      </w:r>
      <w:r>
        <w:lastRenderedPageBreak/>
        <w:t>solo hecho de financiar puede erigirse en núcleo que atraiga hacia sí toda competencia sobre los variados aspectos a que pueda dar lugar la actividad de financiación (SSTC 179/1985, 36/2012) [FJ 4].</w:t>
      </w:r>
    </w:p>
    <w:p w:rsidR="00D06117" w:rsidRDefault="00D06117" w:rsidP="00D06117">
      <w:pPr>
        <w:pStyle w:val="Extracto"/>
      </w:pPr>
    </w:p>
    <w:p w:rsidR="00D06117" w:rsidRDefault="00D06117" w:rsidP="00D06117">
      <w:pPr>
        <w:pStyle w:val="Extracto"/>
      </w:pPr>
      <w:r>
        <w:t>7.</w:t>
      </w:r>
      <w:r>
        <w:tab/>
        <w:t>La actuación estatal subvencional sólo se justifica en los casos en que, por razón de la materia sobre la que la subvención opera, la Constitución o los Estatutos de Autonomía hayan reservado al Estado competencias sobre dicha materia o cuando esa actuación se enmarque en las facultades estatales de dirección y coordinación de la política económica  (STC 201/1988) [FJ 4].</w:t>
      </w:r>
    </w:p>
    <w:p w:rsidR="00D06117" w:rsidRDefault="00D06117" w:rsidP="00D06117">
      <w:pPr>
        <w:pStyle w:val="Extracto"/>
      </w:pPr>
    </w:p>
    <w:p w:rsidR="00D06117" w:rsidRDefault="00D06117" w:rsidP="00D06117">
      <w:pPr>
        <w:pStyle w:val="Extracto"/>
      </w:pPr>
      <w:r>
        <w:t>8.</w:t>
      </w:r>
      <w:r>
        <w:tab/>
        <w:t>El precepto impugnado incurre en un exceso competencial al establecer, en forma detallada, los datos que necesariamente han de constar en el modelo de solicitud de la renta básica de emancipación, la regla procedimental sobre el reconocimiento provisional del derecho a la renta básica de emancipación y la acreditación del cumplimiento de los requisitos para ser beneficiario de la misma, vulnerando con ello la competencia autonómica para la regulación del procedimiento de gestión, control y resolución de las solicitudes de ayudas (STC 36/2012) [FJ 5].</w:t>
      </w:r>
    </w:p>
    <w:p w:rsidR="00D06117" w:rsidRDefault="00D06117" w:rsidP="00D06117">
      <w:pPr>
        <w:pStyle w:val="Extracto"/>
      </w:pPr>
    </w:p>
    <w:p w:rsidR="00D06117" w:rsidRDefault="00D06117" w:rsidP="00D06117">
      <w:pPr>
        <w:pStyle w:val="Extracto"/>
      </w:pPr>
      <w:r>
        <w:t>9.</w:t>
      </w:r>
      <w:r>
        <w:tab/>
        <w:t xml:space="preserve">No se aprecia causa de inconstitucionalidad en los preceptos que regulan los requisitos de los beneficiarios de la renta básica de emancipación, las incompatibilidades con otras ayudas estatales y las consecuencias del incumplimiento de las condiciones y requisitos para disfrutar de dichas ayudas, al ser condiciones que el Estado puede fijar </w:t>
      </w:r>
      <w:r w:rsidRPr="00D06117">
        <w:rPr>
          <w:i/>
        </w:rPr>
        <w:t>ex</w:t>
      </w:r>
      <w:r>
        <w:t xml:space="preserve"> art. 149.1.13 CE (STC 36/2012) [FFJJ 3, 5].</w:t>
      </w:r>
    </w:p>
    <w:p w:rsidR="00D06117" w:rsidRDefault="00D06117" w:rsidP="00D06117">
      <w:pPr>
        <w:pStyle w:val="Extracto"/>
      </w:pPr>
    </w:p>
    <w:p w:rsidR="00D06117" w:rsidRDefault="00D06117" w:rsidP="00D06117">
      <w:pPr>
        <w:pStyle w:val="Extracto"/>
      </w:pPr>
      <w:r>
        <w:t>10.</w:t>
      </w:r>
      <w:r>
        <w:tab/>
        <w:t>Doctrina sobre la pervivencia del objeto del conflicto positivo de competencia pese a la modificación o derogación de la norma (SSTC 158/2011, 36/2012)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7045-2009 planteado por el Consejo de Gobierno de la Comunidad de Madrid contra el Real Decreto 366/2009, de 20 de marzo, por el que se modifica el Real Decreto 1472/2007, de 2 de noviembre, por el que se regula la renta básica de emancipación de los jóvenes. Ha formulado alegaciones el Abogado del Estado. Ha sido Ponente el Magistrado don Luis Ignacio Ortega Álvarez, quien expresa el parecer de la Sala.</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día 29 de julio de 2009 el Letrado de la Comunidad de Madrid, en la representación que legalmente ostenta del Consejo de Gobierno de dicha Comunidad Autónoma, promueve conflicto positivo de competencia contra el Real Decreto 366/2009, de 20 de marzo, por el que se modifica el Real Decreto 1472/2007, de 2 de noviembre, en el cual se regula la renta básica de emancipación de los jóvenes. El conflicto se fundamenta en las alegaciones que, resumidamente, se exponen a continuación.</w:t>
      </w:r>
    </w:p>
    <w:p w:rsidR="00D06117" w:rsidRDefault="00D06117" w:rsidP="00D06117">
      <w:pPr>
        <w:pStyle w:val="TextoNormal"/>
      </w:pPr>
    </w:p>
    <w:p w:rsidR="00D06117" w:rsidRDefault="00D06117" w:rsidP="00D06117">
      <w:pPr>
        <w:pStyle w:val="TextoNormal"/>
      </w:pPr>
      <w:r>
        <w:t>Tras hacer referencia a los antecedentes del presente conflicto y al cumplimiento de los requisitos procesales para interponerlo, el Letrado de la Comunidad de Madrid destaca la identidad del presente conflicto con el interpuesto contra el Real Decreto 1472/2007, razón por la cual solicita la acumulación de ambos procesos. Cita como vulneradas las competencias de las Comunidad Autónoma en materia de procedimiento administrativo, vivienda y desarrollo de políticas de promoción integral de la juventud (art. 26.1, 3, 4 y 24 del Estatuto de Autonomía de la Comunidad Autónoma de Madrid). Seguidamente examina la distribución competencial en materia de vivienda, señalando que el carácter exclusivo de la competencia autonómica no quiere decir que el Estado carezca de todo mecanismo de intervención en esta materia. Cita al respecto la STC 152/1988, entendiendo que de ella se deduce que la intervención estatal en este ámbito ha de referirse a la definición de las actuaciones protegibles, la regulación esencial de las fórmulas de financiación adoptadas, el nivel de protección y la aportación de recursos estatales, de manera que las Comunidades Autónomas pueden desarrollar las bases estatales. Conforme a dicha delimitación competencial la representación procesal de la Comunidad de Madrid entiende que el Real Decreto 366/2009 incurre en los mismos vicios de inconstitucionalidad que aquel que modifica. Así indica que el título invocado por el Estado es el derivado del art. 149.1.13 CE, que conforme a la doctrina constitucional, ha de ser objeto de una interpretación restrictiva para no vaciar de contenido las competencias autonómicas con las cuales se relaciona. Dado que se trata del establecimiento de una subvención alega que ha de aplicarse aquí la doctrina constitucional en la materia, doctrina que resultaría desconocida por la regulación que se cuestiona por cuanto, a través, se vulneran las competencias exclusivas de la Comunidad de Madrid, puesto que el Estado pretende atribuirse el ejercicio de las competencias que, en esos ámbitos, corresponderían a la Comunidad Autónoma, pues la intervención habría de ajustarse a los supuestos de delimitación competencial a los que pueden reconducirse los distintos modelos de regulación subvencional que han sido sistematizados por este Tribunal en la STC 13/1992, de 6 de febrero. En coherencia con ello considera que no procede un régimen de gestión y consignación centralizada de las ayudas, reservándose el Estado el pago de las mismas y remitiendo sus gestión a la suscripción de un convenio de colaboración con el Ministerio de Vivienda, pues todo ello hace irrelevante la intervención de la Comunidad Autónoma, sin que se den aquí los supuestos (limitación de los fondos y necesidad de garantizar la igualdad en los destinatarios en que se permitiría la centralización de actuaciones de este tipo en la Administración General del Estado).</w:t>
      </w:r>
    </w:p>
    <w:p w:rsidR="00D06117" w:rsidRDefault="00D06117" w:rsidP="00D06117">
      <w:pPr>
        <w:pStyle w:val="TextoNormal"/>
      </w:pPr>
    </w:p>
    <w:p w:rsidR="00D06117" w:rsidRDefault="00D06117" w:rsidP="00D06117">
      <w:pPr>
        <w:pStyle w:val="TextoNormal"/>
      </w:pPr>
      <w:r>
        <w:t xml:space="preserve">A continuación el escrito de interposición del conflicto interesa subsidiariamente la declaración de la inconstitucionalidad, por extralimitación competencial, de determinados apartados del artículo único del Real Decreto 366/2009. Respecto del apartado 3 del artículo único se cuestiona la imposición de un determinado modelo para solicitar la renta básica de </w:t>
      </w:r>
      <w:r>
        <w:lastRenderedPageBreak/>
        <w:t>emancipación así como algunos aspectos del procedimiento de concesión, cuestiones que excederían de la competencia estatal y entrarían dentro de la competencia de la Comunidad de Madrid para establecer las peculiaridades de su procedimiento. En cuanto al apartado 4 el Letrado de la Comunidad Autónoma señala que la determinación de los medios documentales para acreditar la existencia de una fuente regular de ingresos ha de quedar dentro del ámbito competencial autonómico y, finalmente, en relación al apartado 5, considera que la referencia a la “Administración Pública competente” del modificado art. 6 sería contraria al orden competencial si con la misma se estuviera aludiendo a la Administración General del Estado, pues es la Comunidad de Madrid la competente para la gestión procedimental y para la ordenación del pago.</w:t>
      </w:r>
    </w:p>
    <w:p w:rsidR="00D06117" w:rsidRDefault="00D06117" w:rsidP="00D06117">
      <w:pPr>
        <w:pStyle w:val="TextoNormal"/>
      </w:pPr>
    </w:p>
    <w:p w:rsidR="00D06117" w:rsidRDefault="00D06117" w:rsidP="00D06117">
      <w:pPr>
        <w:pStyle w:val="TextoNormal"/>
      </w:pPr>
      <w:r>
        <w:t>Por todo ello suplica la estimación del conflicto y la consiguiente declaración de que el Real Decreto 366/2009 vulnera las competencias de la Comunidad de Madrid. Subsidiariamente solicita que se declare dicha vulneración por los apartados 3, 4 y 5 del artículo único de dicho real decreto.</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29 de septiembre de 2009 el Pleno del Tribunal Constitucional, a propuesta de la Sección Tercera, acordó admitir a trámite el presente conflicto; atribuir, de conformidad con lo dispuesto en el art. 10.2 de la Ley Orgánica del Tribunal Constitucional, en la redacción dada por la Ley Orgánica 6/2007, de 24 de mayo, su conocimiento a la Sala Segunda, a la que por turno objetivo le ha correspondido; dar traslado de la demanda y documentos presentados al Gobierno de la Nación al objeto de presentar alegaciones en el plazo de veinte días y formular las que estime oportunas sobre la solicitud de acumulación de este conflicto al registrado con el núm. 1501-2008; comunicar la incoación del conflicto a la Sala de lo Contencioso-Administrativo del Tribunal Supremo por si ante la misma estuviera impugnado o se impugnare el Real Decreto 366/2009, en cuyo caso se suspenderá el curso del proceso hasta la decisión del conflicto, según dispone el art. 61.2 LOTC, y publicar la incoación del conflicto en el “Boletín Oficial del Estado” y en el “Boletín Oficial de la Comunidad de Madrid”.</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de 6 de octubre de 2009 el Abogado del Estado se personó en el proceso solicitando una prórroga del plazo concedido para formular alegaciones, prórroga que le fue concedida por diez días más mediante providencia de la Sala Segunda de 7 de octubre de 2009. El escrito de alegaciones del Abogado del Estado se registró el día 17 de noviembre de 2009. En dicho escrito se opone a la demanda por las razones que se recogen a continuación.</w:t>
      </w:r>
    </w:p>
    <w:p w:rsidR="00D06117" w:rsidRDefault="00D06117" w:rsidP="00D06117">
      <w:pPr>
        <w:pStyle w:val="TextoNormal"/>
      </w:pPr>
    </w:p>
    <w:p w:rsidR="00D06117" w:rsidRDefault="00D06117" w:rsidP="00D06117">
      <w:pPr>
        <w:pStyle w:val="TextoNormal"/>
      </w:pPr>
      <w:r>
        <w:t>Señala en primer lugar la identidad de objeto, de partes y de argumentación jurídica entre el presente conflicto y el planteado por la Comunidad de Madrid contra el Real Decreto 1472/2007, pues el Real Decreto 366/2009, objeto del presente procedimiento, es una modificación del anterior que no ofrecería un relieve propio a los efectos de la reivindicación competencial de la Comunidad Autónoma. Constata a este respecto que el escrito del planteamiento del conflicto reproduce las alegaciones vertidas contra el texto anterior, denunciando, subsidiariamente, que determinados preceptos del nuevo incidirían en vicio de incompetencia específica independientemente del juicio de adecuación del texto en su conjunto al orden constitucional de competencias.</w:t>
      </w:r>
    </w:p>
    <w:p w:rsidR="00D06117" w:rsidRDefault="00D06117" w:rsidP="00D06117">
      <w:pPr>
        <w:pStyle w:val="TextoNormal"/>
      </w:pPr>
    </w:p>
    <w:p w:rsidR="00D06117" w:rsidRDefault="00D06117" w:rsidP="00D06117">
      <w:pPr>
        <w:pStyle w:val="TextoNormal"/>
      </w:pPr>
      <w:r>
        <w:lastRenderedPageBreak/>
        <w:t>Indica a continuación que la demanda reconoce la posibilidad de que el Estado pueda intervenir en esta materia persiguiendo el objetivo de dinamizar el mercado de arrendamiento de viviendas en tanto que medida de ordenación económica incardinable en la competencia estatal del art. 149.1.13 CE. Recalca al respecto que la norma ahora impugnada se sitúa en la misma línea que su antecedente, con ligeras modificaciones derivadas de la experiencia de su aplicación, muchas de ellas sugeridas por las propias Comunidades Autónomas, y atendiendo las indicaciones formuladas por el Defensor del Pueblo para evitar los retrasos en los abonos de estas ayudas. En cuanto a la reclamación de la competencia respecto al modelo de solicitud y el pago señala, respecto a este último, que la reserva al Estado del acto del pago se ampara en la doctrina de la STC 152/1998 y se justifica por la necesidad de imprimir celeridad en los pagos de estas ayudas.</w:t>
      </w:r>
    </w:p>
    <w:p w:rsidR="00D06117" w:rsidRDefault="00D06117" w:rsidP="00D06117">
      <w:pPr>
        <w:pStyle w:val="TextoNormal"/>
      </w:pPr>
    </w:p>
    <w:p w:rsidR="00D06117" w:rsidRDefault="00D06117" w:rsidP="00D06117">
      <w:pPr>
        <w:pStyle w:val="TextoNormal"/>
      </w:pPr>
      <w:r>
        <w:t>En cuanto a los preceptos impugnados de manera subsidiaria indica, respecto del artículo único apartado 3, que el mismo ha flexibilizado la regulación del modelo de solicitud, en el sentido de no exigir la utilización del impreso que apruebe el Ministerio de Vivienda, sino admitir su presentación conforme a un modelo que contenga los datos del que se adjunta como anexo, de forma que resulta lógico que las solicitudes se centralicen para garantizar las mismas posibilidades de obtención y disfrute por parte de todos sus potenciales destinatarios, evitando que se sobrepase la cuantía global de los fondos estatales destinados al sector. Asimismo destaca que la modificación de este apartado se refiere a las indicaciones mínimas que la solicitud debe contener, sin excluir otras de posible regulación por las Comunidades Autónomas. En lo que respecta al artículo único apartado 4 el Abogado del Estado niega que se trate de un precepto de carácter procedimental, por cuanto contiene una norma material definitoria del ámbito de la actuación protegida. Finalmente, en cuanto al apartado 5, señala que el precepto es irreprochable desde el punto de vista competencial, puesto que no define competencia alguna sino que se remite a la Administración que sea competente.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12 de abril de 2012 se acordó señalar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Consejo de Gobierno de la Comunidad de Madrid contra el Real Decreto 366/2009, de 20 de marzo, por el que se modifica el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El Consejo de Gobierno de la Comunidad de Madrid estima que la disposición impugnada no respeta el orden constitucional de competencias y lesiona las competencias autonómicas exclusivas en materia de vivienda así como la autonomía financiera de la Comunidad Autónoma. Junto a ello se interesa, de forma subsidiaria, la declaración de que los apartados 3, 4 y 5 del artículo único del Real Decreto 366/2009 vulneran el acervo competencial de la Comunidad de Madrid. El Abogado del Estado se ha opuesto al anterior planteamiento señalando que, como acontecía con el Real Decreto 1472/2007, las modificaciones introducidas encontrarían amparo en la competencia estatal del art. 149.1.13 CE.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Así expuestos los términos de la controversia planteada entre las partes hemos de referirnos ahora a la incidencia que sobre el presente conflicto pueda tener la derogación, en virtud del Real Decreto-Ley 20/2011, de 30 de diciembre, del Real Decreto 1472/2007, de 2 de noviembre, en su momento modificado por el Real Decreto 366/2009, de 20 de marzo, objeto del presente conflicto. A este respecto, tal y como dijimos en la STC 36/2012, de 15 de marzo, FJ 2, resolutoria de un conflicto planteado frente al Real Decreto 1472/2007, la derogación de éste no incide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De ahí que la derogación del Real Decreto 1472/2007, modificado en su momento por el impugnado Real Decreto 366/2009, no haya originado, conforme a reiterada doctrina de este Tribunal (por todas, STC 158/2011, de 19 de octubre, FJ 5), la desaparición del objeto del presente conflicto.</w:t>
      </w:r>
    </w:p>
    <w:p w:rsidR="00D06117" w:rsidRDefault="00D06117" w:rsidP="00D06117">
      <w:pPr>
        <w:pStyle w:val="TextoNormal"/>
      </w:pPr>
    </w:p>
    <w:p w:rsidR="00D06117" w:rsidRDefault="00D06117" w:rsidP="00D06117">
      <w:pPr>
        <w:pStyle w:val="TextoNormal"/>
      </w:pPr>
      <w:r w:rsidRPr="00D06117">
        <w:rPr>
          <w:rStyle w:val="NumeroAFNegritaCaracter"/>
        </w:rPr>
        <w:t>3</w:t>
      </w:r>
      <w:r>
        <w:t>. Por otra parte, y a pesar de que el Consejo de Gobierno de la Comunidad de Madrid y el Abogado del Estado coinciden en el encuadre competencial del conflicto planteado, que se situaría, a su juicio, en la materia de vivienda, lo cierto es que en la ya citada STC 36/2012 nos hemos apartado del encuadramiento competencial que se realizó en la previa STC 129/2010, de 29 de noviembre (FFJJ 3 y 5), en la cual afirmamos que la materia competencial afectada por la regulación del Real Decreto 1427/2007 era la relativa a vivienda, y que las competencias reconocidas al Estado en el art. 149.1.13 CE darían cobertura a la adopción de medidas como las establecidas en la norma cuestionada.</w:t>
      </w:r>
    </w:p>
    <w:p w:rsidR="00D06117" w:rsidRDefault="00D06117" w:rsidP="00D06117">
      <w:pPr>
        <w:pStyle w:val="TextoNormal"/>
      </w:pPr>
    </w:p>
    <w:p w:rsidR="00D06117" w:rsidRDefault="00D06117" w:rsidP="00D06117">
      <w:pPr>
        <w:pStyle w:val="TextoNormal"/>
      </w:pPr>
      <w:r>
        <w:t>Por ello, debemos atenernos ahora a la doctrina sentada en la STC 36/2012, FJ 5 en la cual hemos establecido, una vez sentado que el objeto principal de la ayuda es facilitar la emancipación de los jóvenes, que la renta básica de emancipación no se ubica de modo principal en la materia vivienda,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 En ese mismo fundamento jurídico también se afirma que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 para que pueda entrar en juego dicho título competencial del Estado”. Por tanto, la renta básica de emancipación ha quedado encuadrada competencialmente en la materia asistencia social en cuanto que “ponderando los distintos objetivos de la norma,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(STC 36/2012, FJ 5).</w:t>
      </w:r>
    </w:p>
    <w:p w:rsidR="00D06117" w:rsidRDefault="00D06117" w:rsidP="00D06117">
      <w:pPr>
        <w:pStyle w:val="TextoNormal"/>
      </w:pPr>
    </w:p>
    <w:p w:rsidR="00D06117" w:rsidRDefault="00D06117" w:rsidP="00D06117">
      <w:pPr>
        <w:pStyle w:val="TextoNormal"/>
      </w:pPr>
      <w:r>
        <w:t>En esta materia, como se señala en la demanda, la Comunidad Autónoma de Madrid tiene competencias en cuanto a la promoción integral de la juventud (art. 26.1.24 del Estatuto de Autonomía de Madrid).</w:t>
      </w:r>
    </w:p>
    <w:p w:rsidR="00D06117" w:rsidRDefault="00D06117" w:rsidP="00D06117">
      <w:pPr>
        <w:pStyle w:val="TextoNormal"/>
      </w:pPr>
    </w:p>
    <w:p w:rsidR="00D06117" w:rsidRDefault="00D06117" w:rsidP="00D06117">
      <w:pPr>
        <w:pStyle w:val="TextoNormal"/>
      </w:pPr>
      <w:r w:rsidRPr="00D06117">
        <w:rPr>
          <w:rStyle w:val="NumeroAFNegritaCaracter"/>
        </w:rPr>
        <w:t>4</w:t>
      </w:r>
      <w:r>
        <w:t>. Con arreglo a esa delimitación competencial, la STC 36/2012 descartó que el Real Decreto 1472/2007 hubiera invadido en bloque las competencias autonómicas en materia de asistencia social. Así, remitiéndose a la STC 178/2011, de 8 de noviembre, FJ 7, que resolvía un conflicto referido a subvenciones relativas al área de la asistencia social, señala que, es preciso considerar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(STC 36/2012, FJ 8, con cita de la STC 178/2011, FJ 7).</w:t>
      </w:r>
    </w:p>
    <w:p w:rsidR="00D06117" w:rsidRDefault="00D06117" w:rsidP="00D06117">
      <w:pPr>
        <w:pStyle w:val="TextoNormal"/>
      </w:pPr>
    </w:p>
    <w:p w:rsidR="00D06117" w:rsidRDefault="00D06117" w:rsidP="00D06117">
      <w:pPr>
        <w:pStyle w:val="TextoNormal"/>
      </w:pPr>
      <w:r>
        <w:t>Respecto a la vulneración del principio de autonomía financiera de la Comunidad Autónoma debido a la asunción por el Estado, en virtud de su potestad de gasto, de actuaciones en una materia en la que carece de competencias, y cuyo desarrollo debe corresponder a las Comunidades Autónomas, dijimos en la STC 36/2012, FJ 7, que no se podía realizar, prima facie, un pronunciamiento genérico, sino que había de estarse al concreto contenido de la norma, “al objeto de determinar si se ha producido algún exceso competencial en dicha regulación, con desconocimiento de la autonomía política y financiera de la citada Comunidad”. Sobre este particular, recordó el Tribunal su reiterada doctrina respecto de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 Por tanto, la actuación estatal subvencional sólo se justifica en los casos en que por razón de la materia sobre la que la subvención opera “la Constitución o los Estatutos de Autonomía hayan reservado al Estado competencias sobre la materia subvencionada o que aquella actuación se enmarque en las facultades estatales de dirección y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En definitiva, concluíamos, con cita de la STC 96/1990, de 24 de mayo, FJ 15, habrá que estar a la normativa que dicte el Estado para cada tipo de subvención,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CE.” (STC 36/2012, FJ 7).</w:t>
      </w:r>
    </w:p>
    <w:p w:rsidR="00D06117" w:rsidRDefault="00D06117" w:rsidP="00D06117">
      <w:pPr>
        <w:pStyle w:val="TextoNormal"/>
      </w:pPr>
    </w:p>
    <w:p w:rsidR="00D06117" w:rsidRDefault="00D06117" w:rsidP="00D06117">
      <w:pPr>
        <w:pStyle w:val="TextoNormal"/>
      </w:pPr>
      <w:r w:rsidRPr="00D06117">
        <w:rPr>
          <w:rStyle w:val="NumeroAFNegritaCaracter"/>
        </w:rPr>
        <w:t>5</w:t>
      </w:r>
      <w:r>
        <w:t>. Sentado lo anterior, tal como establecimos en la STC 36/2012, FJ 2, procede realizar ahora “un examen individualizado de los preceptos controvertidos para determinar si la regulación contenida en cada uno de ellos resulta constitucionalmente lícita, por recaer sobre una materia en la que el Estado tenga atribuidas competencias, o, por el contrario, pertenece a alguna materia que resulte de la exclusiva competencia de la Comunidad Autónoma”.</w:t>
      </w:r>
    </w:p>
    <w:p w:rsidR="00D06117" w:rsidRDefault="00D06117" w:rsidP="00D06117">
      <w:pPr>
        <w:pStyle w:val="TextoNormal"/>
      </w:pPr>
    </w:p>
    <w:p w:rsidR="00D06117" w:rsidRDefault="00D06117" w:rsidP="00D06117">
      <w:pPr>
        <w:pStyle w:val="TextoNormal"/>
      </w:pPr>
      <w:r>
        <w:t>De acuerdo con ello ha de procederse al examen de los distintos apartados del artículo único del Real Decreto 366/2009 así como de su disposición final primera, relativa al título competencial estatal en cuya virtud se dicta la norma.</w:t>
      </w:r>
    </w:p>
    <w:p w:rsidR="00D06117" w:rsidRDefault="00D06117" w:rsidP="00D06117">
      <w:pPr>
        <w:pStyle w:val="TextoNormal"/>
      </w:pPr>
    </w:p>
    <w:p w:rsidR="00D06117" w:rsidRDefault="00D06117" w:rsidP="00D06117">
      <w:pPr>
        <w:pStyle w:val="TextoNormal"/>
      </w:pPr>
      <w:r>
        <w:t>El apartado 1 modifica el art. 2 del Real Decreto 1472/2007, referido a los requisitos que ha de reunir los beneficiarios de la ayuda sin que sea contrario al orden constitucional de distribución de competencias, pues ya dijimos en la STC 36/2012, FJ 9, que “no se aprecia causa de inconstitucionalidad en cuanto al art. 2, relativo a los requisitos que han de cumplir los beneficiarios de las ayudas, que son condiciones de otorgamiento de las ayudas que el Estado puede fijar”. Lo mismo cabe decir del apartado 2, que modifica el art. 3 en aspectos que ya hemos considerado conformes con el orden competencial en la STC 36/2012, FJ 9.</w:t>
      </w:r>
    </w:p>
    <w:p w:rsidR="00D06117" w:rsidRDefault="00D06117" w:rsidP="00D06117">
      <w:pPr>
        <w:pStyle w:val="TextoNormal"/>
      </w:pPr>
    </w:p>
    <w:p w:rsidR="00D06117" w:rsidRDefault="00D06117" w:rsidP="00D06117">
      <w:pPr>
        <w:pStyle w:val="TextoNormal"/>
      </w:pPr>
      <w:r>
        <w:t>El apartado 3 presenta un doble contenido, relativo, el primero, a la modificación del art. 4.3 del Real Decreto 1472/2007 dedicado a las solicitudes para la percepción de la renta básica de emancipación, y el segundo, que modifica el art. 4.4, al procedimiento de concesión de dicha renta básica. Por lo que respecta al primero es de apreciar que, en su nueva redacción, el art. 4.3 no impone el uso de un modelo de solicitud sino que literalmente señala: “Los interesados presentarán la solicitud de la renta básica de emancipación conforme a un modelo que contenga, al menos, los datos del que se adjunta como anexo”. Así, aunque, se limita a indicar, por referencia a un modelo cuya utilización no se impone, los datos que necesariamente han de constar en las solicitudes, el grado de detalle con que se fijan hacen incurrir a la norma en un exceso competencial como apreciamos en la STC 36/2012 en relación con el mismo precepto antes de su modificación (FJ 10). Del mismo modo, procede estimar la demanda en lo relativo a la nueva redacción dada al art. 4.4 del Real Decreto 1472/2007, pues, en relación a este precepto, ya concluimos en la STC 36/2012, FJ 10 que “también vulnera la competencia autonómica el apartado 4, en la medida en que establece una detallada regla procedimental sobre el reconocimiento provisional del derecho a la renta básica de emancipación, que entra de lleno dentro de la competencia autonómica para la regulación del procedimiento de gestión, control y resolución de las solicitudes de ayudas” sin que las modificaciones ahora introducidas alteren tal conclusión.</w:t>
      </w:r>
    </w:p>
    <w:p w:rsidR="00D06117" w:rsidRDefault="00D06117" w:rsidP="00D06117">
      <w:pPr>
        <w:pStyle w:val="TextoNormal"/>
      </w:pPr>
    </w:p>
    <w:p w:rsidR="00D06117" w:rsidRDefault="00D06117" w:rsidP="00D06117">
      <w:pPr>
        <w:pStyle w:val="TextoNormal"/>
      </w:pPr>
      <w:r>
        <w:t xml:space="preserve">Por lo que se refiere al apartado 4, que modifica el art. 5 del Real Decreto 1472/2007, procede también remitirse a lo decidido respecto a éste último en la ya citada STC 36/2012, FJ 10, en la que consideramos que “el art. 5 se refiere a la acreditación del cumplimiento de los requisitos del art. 2, con una regulación muy detallada en una materia en la que el Estado no tiene competencia, ni siquiera para el establecimiento de las bases. Por tanto, sus previsiones vulneran la competencia autonómica en la materia, dado que ésta incluye la de regular el procedimiento correspondiente, como ya se ha señalado, así como la gestión de las solicitudes, incluyendo la recepción y tramitación de las solicitudes y las verificaciones o comprobaciones que se consideren necesarias”. Por remisión a la STC 36/2012, FJ 10, y por </w:t>
      </w:r>
      <w:r>
        <w:lastRenderedPageBreak/>
        <w:t>las mismas razones que acabamos de recoger, procede estimar también la impugnación del apartado 5, que modifica el art. 6 del Real Decreto 1472/2007.</w:t>
      </w:r>
    </w:p>
    <w:p w:rsidR="00D06117" w:rsidRDefault="00D06117" w:rsidP="00D06117">
      <w:pPr>
        <w:pStyle w:val="TextoNormal"/>
      </w:pPr>
    </w:p>
    <w:p w:rsidR="00D06117" w:rsidRDefault="00D06117" w:rsidP="00D06117">
      <w:pPr>
        <w:pStyle w:val="TextoNormal"/>
      </w:pPr>
      <w:r>
        <w:t>El apartado 6, modificativo del art. 9.2 del Real Decreto 1472/2007, es conforme con el orden constitucional de distribución de competencias, tal como ya declaramos en la STC 36/2012, FJ 11, pues “ninguna vulneración se aprecia, tampoco, con respecto a los apartados 2 y 3, en los que se fijan las incompatibilidades con otras ayudas estatales y las consecuencias del incumplimiento de las condiciones y requisitos para disfrutar de las ayudas, ya que se trata de cuestiones estrechamente ligadas a la fijación de los requisitos para poder ser beneficiarios de la renta básica de emancipación, establecidos en el art. 2 del Real Decreto 1472/2007”. Igualmente conforme con la distribución de competencias entre Estado y Comunidades Autónomas es el apartado 7, modificativo de la disposición adicional tercera del Real Decreto 1472/2007, en cuanto que, como ya señaló la STC 36/2012, FJ 11, trata de un aspecto relacionado directamente con los requisitos para ser beneficiario de las ayudas. Finalmente, la disposición final primera incurre en infracción del orden competencial pues, como ya señalo la STC 36/2012, FJ 11, dicho título no respalda la intervención estatal en este ámbito.</w:t>
      </w:r>
    </w:p>
    <w:p w:rsidR="00D06117" w:rsidRDefault="00D06117" w:rsidP="00D06117">
      <w:pPr>
        <w:pStyle w:val="TextoNormal"/>
      </w:pPr>
    </w:p>
    <w:p w:rsidR="00D06117" w:rsidRDefault="00D06117" w:rsidP="00D06117">
      <w:pPr>
        <w:pStyle w:val="TextoNormal"/>
      </w:pPr>
      <w:r w:rsidRPr="00D06117">
        <w:rPr>
          <w:rStyle w:val="NumeroAFNegritaCaracter"/>
        </w:rPr>
        <w:t>6</w:t>
      </w:r>
      <w:r>
        <w:t>. Llegados a este punto solamente nos resta pronunciarnos sobre el alcance de las consecuencias de la vulneración de competencias que hemos apreciado. A este respecto, por las razones que ya señalamos en la STC 36/2012, FJ 12, nuestro pronunciamiento, que debe incluir no sólo la estimación parcial del conflicto con declaración de la titularidad de la competencia controvertida a favor de la Comunidad Autónoma de Madrid, sino también la anulación de los preceptos correspondientes, ha de realizarse con respeto, en todo caso, de las ayudas que ya hayan sido concedidas.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Estimar parcialmente el conflicto positivo de competencia interpuesto por el Consejo de Gobierno de la Comunidad Autónoma de Madrid y, en consecuencia, declarar que los apartados 3, 4 y 5 del artículo único y la disposición final primera del Real Decreto 366/2009, de 20 de marzo, por el que se modifica el Real Decreto 1472/2007, de 2 de noviembre, por el que se regula la renta básica de emancipación de los jóvenes, vulneran las competencias de la Comunidad Autónoma de Madrid.</w:t>
      </w:r>
    </w:p>
    <w:p w:rsidR="00D06117" w:rsidRDefault="00D06117" w:rsidP="00D06117">
      <w:pPr>
        <w:pStyle w:val="TextoNormal"/>
      </w:pPr>
    </w:p>
    <w:p w:rsidR="00D06117" w:rsidRDefault="00D06117" w:rsidP="00D06117">
      <w:pPr>
        <w:pStyle w:val="TextoNormal"/>
      </w:pPr>
      <w:r>
        <w:t>2º Anular los citados preceptos, con el alcance que se determina en el fundamento jurídico 6 de esta Sentencia.</w:t>
      </w:r>
    </w:p>
    <w:p w:rsidR="00D06117" w:rsidRDefault="00D06117" w:rsidP="00D06117">
      <w:pPr>
        <w:pStyle w:val="TextoNormal"/>
      </w:pPr>
    </w:p>
    <w:p w:rsidR="00D06117" w:rsidRDefault="00D06117" w:rsidP="00D06117">
      <w:pPr>
        <w:pStyle w:val="TextoNormal"/>
      </w:pPr>
      <w:r>
        <w:t>3º Desestimar el conflicto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lastRenderedPageBreak/>
        <w:br w:type="page"/>
      </w:r>
    </w:p>
    <w:p w:rsidR="00D06117" w:rsidRDefault="00D06117" w:rsidP="00D06117">
      <w:pPr>
        <w:pStyle w:val="TtuloResolucin"/>
      </w:pPr>
      <w:bookmarkStart w:id="77" w:name="SENTENCIA_2012_74"/>
      <w:r>
        <w:lastRenderedPageBreak/>
        <w:t>SENTENCIA 74/2012, de 16 de abril de 2012</w:t>
      </w:r>
    </w:p>
    <w:bookmarkEnd w:id="77"/>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ECLI:ES:TC:2012:74</w:t>
      </w:r>
    </w:p>
    <w:p w:rsidR="00D06117" w:rsidRDefault="00D06117" w:rsidP="00D06117">
      <w:pPr>
        <w:pStyle w:val="SntesisDescriptiva"/>
      </w:pPr>
    </w:p>
    <w:p w:rsidR="00D06117" w:rsidRDefault="00D06117" w:rsidP="00D06117">
      <w:pPr>
        <w:pStyle w:val="SntesisDescriptiva"/>
      </w:pPr>
      <w:r>
        <w:t>Recurso de amparo 8879-2009, 9173-2009. Promovidos por Canal Mundo Producciones Audiovisuales, S.A., y Televisión Autonómica Valenciana, S.A., en relación con la Sentencia de la Sala de lo Civil del Tribunal Supremo que les condenó por vulneración del derecho a la propia imagen.</w:t>
      </w:r>
    </w:p>
    <w:p w:rsidR="00D06117" w:rsidRDefault="00D06117" w:rsidP="00D06117">
      <w:pPr>
        <w:pStyle w:val="SntesisDescriptiva"/>
      </w:pPr>
    </w:p>
    <w:p w:rsidR="00D06117" w:rsidRDefault="00D06117" w:rsidP="00D06117">
      <w:pPr>
        <w:pStyle w:val="SntesisAnaltica"/>
      </w:pPr>
      <w:r>
        <w:t>Supuesta vulneración del derecho a la libre información: reportaje grabado con cámara oculta (STC 12/2012).</w:t>
      </w:r>
    </w:p>
    <w:p w:rsidR="00D06117" w:rsidRDefault="00D06117" w:rsidP="00D06117">
      <w:pPr>
        <w:pStyle w:val="SntesisAnaltica"/>
      </w:pPr>
    </w:p>
    <w:p w:rsidR="00D06117" w:rsidRDefault="00D06117" w:rsidP="00D06117">
      <w:pPr>
        <w:pStyle w:val="Extracto"/>
      </w:pPr>
      <w:r>
        <w:t>1.</w:t>
      </w:r>
      <w:r>
        <w:tab/>
        <w:t>Aplica la doctrina sobre intromisión en el derecho a la propia imagen generada por la captación y difusión inconsentida de imágenes obtenidas mediante la utilización de cámaras ocultas, de la STC 12/2012 [FFJJ 2, 3].</w:t>
      </w:r>
    </w:p>
    <w:p w:rsidR="00D06117" w:rsidRDefault="00D06117" w:rsidP="00D06117">
      <w:pPr>
        <w:pStyle w:val="Extracto"/>
      </w:pPr>
    </w:p>
    <w:p w:rsidR="00D06117" w:rsidRDefault="00D06117" w:rsidP="00D06117">
      <w:pPr>
        <w:pStyle w:val="Extracto"/>
      </w:pPr>
      <w:r>
        <w:t>2.</w:t>
      </w:r>
      <w:r>
        <w:tab/>
        <w:t>Con independencia de la relevancia pública de la información que se pretenda obtener y difundir, la captación y difusión inconsentida de imágenes mediante la utilización de cámaras ocultas, en que aparezca plenamente identificado el afectado, no resulta necesaria ni adecuada, desde la perspectiva del derecho a la libertad de información, al existir diversos métodos de obtención y difusión de la información que no comprometen otros derechos constitucionales [FJ 2].</w:t>
      </w:r>
    </w:p>
    <w:p w:rsidR="00D06117" w:rsidRDefault="00D06117" w:rsidP="00D06117">
      <w:pPr>
        <w:pStyle w:val="Extracto"/>
      </w:pPr>
    </w:p>
    <w:p w:rsidR="00D06117" w:rsidRDefault="00D06117" w:rsidP="00D06117">
      <w:pPr>
        <w:pStyle w:val="Extracto"/>
      </w:pPr>
      <w:r>
        <w:t>3.</w:t>
      </w:r>
      <w:r>
        <w:tab/>
        <w:t>En la utilización de cámaras ocultas, la libertad de información no prevalece respecto al derecho a la propia imagen, no solo porque la captación intrusiva no es la única que permite la averiguación de la actividad desarrollada, sino porque, tuviese o no relevancia pública lo investigado, lo que está constitucionalmente prohibido es justamente la utilización de la misma [FFJJ 2, 3].</w:t>
      </w:r>
    </w:p>
    <w:p w:rsidR="00D06117" w:rsidRDefault="00D06117" w:rsidP="00D06117">
      <w:pPr>
        <w:pStyle w:val="Extracto"/>
      </w:pPr>
    </w:p>
    <w:p w:rsidR="00D06117" w:rsidRDefault="00D06117" w:rsidP="00D06117">
      <w:pPr>
        <w:pStyle w:val="Extracto"/>
      </w:pPr>
      <w:r>
        <w:t>4.</w:t>
      </w:r>
      <w:r>
        <w:tab/>
        <w:t>La intromisión en los derechos fundamentales de terceros en el ejercicio de la libertad de información sólo es constitucionalmente legítima cuando resulte necesaria, adecuada y proporcionada a la realización de este derecho constitucional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los recursos de amparo núms. 8879-2009 y 9173-2009, promovidos, el primero, por Canal Mundo Producciones Audiovisuales, S.A., y, el segundo, por Televisión Autonómica Valenciana, S.A., representados por las Procuradoras de los Tribunales doña María Luisa Montero Correal y doña Gloria Rincón Mayoral, bajo la dirección de los Letrados don Javier López Gutiérrez, luego sustituido por don Juan Luis Ortega Peña, y doña María Jesús Villanueva Lázaro, respectivamente, contra la Sentencia de la Sala de lo Civil del Tribunal Supremo de 30 de junio de 2009, por la que se estima parcialmente el recurso de casación núm. 1620-2006, interpuesto contra la Sentencia de la Sección Séptima de la Audiencia Provincial de Valencia de 5 de junio de 2006, por la que se desestima el recurso de apelación núm. 352-2006, interpuesto contra la Sentencia del Juzgado de Primera Instancia núm. 5 de Valencia de 23 de enero de 2006, dictada en el procedimiento ordinario núm. 721-2005. Ha intervenido el Ministerio Fiscal.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sendos escritos registrados en este Tribunal los días 21 y 30 de octubre de 2009, la Procuradora de los Tribunales doña María Luisa Montero Correal, en nombre y representación de Canal Mundo Producciones Audiovisuales, S.A., y bajo la dirección, inicialmente del Letrado don Javier López Gutiérrez ,y posteriormente del Letrado don Juan Luis Ortega Peña, y la Procuradora de los Tribunales doña Gloria Rincón Mayoral, en nombre y representación de Televisión Autonómica Valenciana, S.A., y bajo la dirección de la Letrada doña María Jesús Villanueva Lázaro, formularon sendas demandas de amparo que fueron turnadas, respectivamente, con los núms. 8879-2009 y 9173-2009, contra las Sentencias que se mencionan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El recurso tiene su origen en los siguientes antecedentes:</w:t>
      </w:r>
    </w:p>
    <w:p w:rsidR="00D06117" w:rsidRDefault="00D06117" w:rsidP="00D06117">
      <w:pPr>
        <w:pStyle w:val="TextoNormal"/>
      </w:pPr>
    </w:p>
    <w:p w:rsidR="00D06117" w:rsidRDefault="00D06117" w:rsidP="00D06117">
      <w:pPr>
        <w:pStyle w:val="TextoNormal"/>
      </w:pPr>
      <w:r>
        <w:t xml:space="preserve">a) La Sentencia del Juzgado de Primera Instancia núm. 5 de Valencia de 23 de enero de 2006, dictada en el procedimiento ordinario núm. 721-2005, desestimó la demanda interpuesta por don Miguel Antonio Pelayo Esteve contra las entidades ahora demandantes de amparo por intromisión ilegítima en sus derechos al honor, a la intimidad y a la propia imagen. La Sentencia pone de manifiesto que el entonces recurrente fundamentó su demanda en que el 3 de mayo de 2002 en el programa “Investigación TV”, emitido por el Canal 9 bajo el epígrafe “Mundos del más allá”, y producido por Canal Mundo Producciones Audiovisuales, S.A., en el que se incluían varios reportajes grabados con cámara oculta sobre pseudociencias, se reprodujeron una imágenes suyas, obtenidas con el método de cámara oculta, en las que aparecía en su vivienda con dos periodistas que se habían hecho pasar por un matrimonio que, manifestando haber notado en su vivienda la presencia de fenómenos extraños y aportando una fotografía trucada, acudió para formular una consulta de parapsicología. La desestimación de la demanda se basó en que el derecho a la información debe prevalecer sobre el derecho al honor en este caso porque el programa se limitó a recoger unas imágenes de actuaciones reales del actor en su función profesional como parapsicólogo, acompañándolas de unos comentarios que no fueron injuriosos o desproporcionados ni innecesarios para transmitir la información, como tampoco lo fueron las declaraciones </w:t>
      </w:r>
      <w:r>
        <w:lastRenderedPageBreak/>
        <w:t>efectuadas por los especialistas invitados al programa. En cuanto a la captación de la imagen, el juzgador descarta la violación del derecho a la intimidad del demandante por haberse efectuado las manifestaciones en una consulta abierta al público, aunque se localice en su propio domicilio. Considera que la obtención de las imágenes con cámara oculta se justifica por el interés informativo de mostrar las prácticas irregulares en consultas de parapsicología, lo que se ha realizado mediante una información veraz.</w:t>
      </w:r>
    </w:p>
    <w:p w:rsidR="00D06117" w:rsidRDefault="00D06117" w:rsidP="00D06117">
      <w:pPr>
        <w:pStyle w:val="TextoNormal"/>
      </w:pPr>
    </w:p>
    <w:p w:rsidR="00D06117" w:rsidRDefault="00D06117" w:rsidP="00D06117">
      <w:pPr>
        <w:pStyle w:val="TextoNormal"/>
      </w:pPr>
      <w:r>
        <w:t>b) Interpuesto recurso de apelación —tramitado con el núm. 352-2006 por la Sección Séptima de la Audiencia Provincial de Valencia—, fue desestimado por Sentencia de 5 de junio de 2006, que comparte los fundamentos de la Sentencia de instancia y que, atendidas las circunstancias concretas y valorando que se trata de periodismo de investigación, que el contexto es de advertencia informativa y la veracidad y neutralidad de la información, sin que se haya hecho mofa o escarnio del actor, declara que ni la información ni las expresiones vulneran los derechos al honor, a la intimidad o a la propia imagen del actor. Añade que el hecho de que no se disimularan los rasgos físicos del actor es relevante precisamente para advertir a la sociedad de la existencia de las prácticas irregulares criticadas, exponente del fraude que se quería denunciar.</w:t>
      </w:r>
    </w:p>
    <w:p w:rsidR="00D06117" w:rsidRDefault="00D06117" w:rsidP="00D06117">
      <w:pPr>
        <w:pStyle w:val="TextoNormal"/>
      </w:pPr>
    </w:p>
    <w:p w:rsidR="00D06117" w:rsidRDefault="00D06117" w:rsidP="00D06117">
      <w:pPr>
        <w:pStyle w:val="TextoNormal"/>
      </w:pPr>
      <w:r>
        <w:t>c) Contra la anterior Sentencia interpuso don Miguel Antonio Pelayo Esteve recurso de casación —tramitado con el núm. 1620-2006 por la Sala de lo Civil del Tribunal Supremo—, en el que se dictó Sentencia de 30 de junio de 2009 que, declarando haber lugar al mismo, estimó parcialmente la demanda en el particular relativo a la vulneración del derecho a la propia imagen, y condenó solidariamente a los ahora demandantes de amparo a indemnizar al recurrente. La Sala reproduce su doctrina en relación con el uso de cámaras ocultas en reportajes periodísticos, contenida en la STS del Pleno de 16 de enero de 2009 —recurso 1171-2002—, y declara que no se ha vulnerado el derecho al honor del recurrente, y que no procede pronunciarse sobre la eventual violación del derecho a la intimidad por no haberse efectuado una denuncia específica ni haber argumentado el actor sobre la misma. Sin embargo, sí aprecia la concurrencia de una intromisión ilegítima en el derecho a la propia imagen del recurrente. Declara la Sala que el demandante fue privado de su derecho a decidir sobre la reproducción de la representación de su aspecto físico, para consentir o impedir la grabación con cámara oculta o la difusión de la misma en un medio de comunicación. Que si bien la temática abordada tenía relevancia social, no cabía hacer prevalecer el derecho a la información sobre el derecho a la propia imagen, ya que ésta no era un elemento imprescindible ni esencial para la finalidad informativa y existía la posibilidad de emplear técnicas digitales para difuminar el rostro del actor. Que la afectada no era una persona que ejerciera profesión de notoriedad o proyección pública ni el lugar o dependencia donde se realizó la filmación era un lugar abierto al público. Y, por último, que la finalidad perseguida con el reportaje —denuncia de prácticas supuestamente fraudulentas en el ámbito de la parapsicología— tampoco justifica la captación de la imagen del recurrente mediante cámara oculta por no concurrir el interés público sobre el que deba ceder el derecho a la propia imagen.</w:t>
      </w:r>
    </w:p>
    <w:p w:rsidR="00D06117" w:rsidRDefault="00D06117" w:rsidP="00D06117">
      <w:pPr>
        <w:pStyle w:val="TextoNormal"/>
      </w:pPr>
    </w:p>
    <w:p w:rsidR="00D06117" w:rsidRDefault="00D06117" w:rsidP="00D06117">
      <w:pPr>
        <w:pStyle w:val="TextoNormal"/>
      </w:pPr>
      <w:r>
        <w:t xml:space="preserve">d) Promovidos por Canal Mundo Producciones Audiovisuales, S.A., y por Televisión Autonómica Valenciana, S.A., mediante escritos de fechas 28 de julio y 7 de septiembre de 2009, respectivamente, incidentes de nulidad de actuaciones, fueron inadmitidos por providencia de la Sala de lo Civil del Tribunal Supremo de 15 de septiembre de 2009, al apreciar la Sala que las peticiones de nulidad no tenían más fundamento que la manifestación de la </w:t>
      </w:r>
      <w:r>
        <w:lastRenderedPageBreak/>
        <w:t>disconformidad de las partes recurridas con los razonamientos jurídicos contenidos en la Sentencia.</w:t>
      </w:r>
    </w:p>
    <w:p w:rsidR="00D06117" w:rsidRDefault="00D06117" w:rsidP="00D06117">
      <w:pPr>
        <w:pStyle w:val="TextoNormal"/>
      </w:pPr>
    </w:p>
    <w:p w:rsidR="00D06117" w:rsidRDefault="00D06117" w:rsidP="00D06117">
      <w:pPr>
        <w:pStyle w:val="TextoNormal"/>
      </w:pPr>
      <w:r w:rsidRPr="00D06117">
        <w:rPr>
          <w:rStyle w:val="NumeroAFNegritaCaracter"/>
        </w:rPr>
        <w:t>3</w:t>
      </w:r>
      <w:r>
        <w:t>. Las entidades recurrentes aducen en sus respectivas demandas de amparo la vulneración del derecho a comunicar libremente información veraz [art. 20.1 d) CE], argumentando que, dentro del llamado periodismo de investigación, la utilización de cámaras ocultas viene justificada, como es este caso, cuando, tratándose de información veraz, referida a temas de singular interés general y concurriendo un fin informativo, resulta proporcionada, ya que a dicha información no se podría haber accedido de otro modo. Igualmente se destaca que la aparición de don Miguel Antonio Pelayo Esteve en el reportaje está plenamente justificada porque éste trae causa en denuncias o alertas de organizaciones de consumidores y usuarios, lo que justificó la elección del recurrente, que resultó así un contendido esencial de la información cuyo objetivo era denunciar la existencia de prácticas supuestamente fraudulentas en el ámbito de la parapsicología.</w:t>
      </w:r>
    </w:p>
    <w:p w:rsidR="00D06117" w:rsidRDefault="00D06117" w:rsidP="00D06117">
      <w:pPr>
        <w:pStyle w:val="TextoNormal"/>
      </w:pPr>
    </w:p>
    <w:p w:rsidR="00D06117" w:rsidRDefault="00D06117" w:rsidP="00D06117">
      <w:pPr>
        <w:pStyle w:val="TextoNormal"/>
      </w:pPr>
      <w:r w:rsidRPr="00D06117">
        <w:rPr>
          <w:rStyle w:val="NumeroAFNegritaCaracter"/>
        </w:rPr>
        <w:t>4</w:t>
      </w:r>
      <w:r>
        <w:t>. La Secretaría de Justicia de la Sala Primera de este Tribunal, por diligencia de ordenación de 7 de septiembre de 2010, tuvo por designado para la dirección letrada de Canal Mundo Producciones Audiovisuales, S.A., al Letrado don Juan Luis Ortega Peña, en sustitución del designado en la demanda don Javier López Gutiérrez.</w:t>
      </w:r>
    </w:p>
    <w:p w:rsidR="00D06117" w:rsidRDefault="00D06117" w:rsidP="00D06117">
      <w:pPr>
        <w:pStyle w:val="TextoNormal"/>
      </w:pPr>
    </w:p>
    <w:p w:rsidR="00D06117" w:rsidRDefault="00D06117" w:rsidP="00D06117">
      <w:pPr>
        <w:pStyle w:val="TextoNormal"/>
      </w:pPr>
      <w:r w:rsidRPr="00D06117">
        <w:rPr>
          <w:rStyle w:val="NumeroAFNegritaCaracter"/>
        </w:rPr>
        <w:t>5</w:t>
      </w:r>
      <w:r>
        <w:t>. La Sala Primera de este Tribunal, por sendas providencias de 15 de noviembre de 2010, acordó admitir a trámite los recursos de amparo núms. 8879-2009 y 9173-2009 y, en aplicación de lo dispuesto en el art. 51 de la Ley Orgánica del Tribunal Constitucional (LOTC), requerir atentamente al Tribunal Supremo y a la Audiencia Provincial de Valencia para que remitieran, respectivamente, certificación o copia adverada de las actuaciones correspondientes al recurso núm. 1620-2006 y rollo núm. 352-2006; y al Juzgado de Primera Instancia núm. 5 de Valencia en relación con las actuaciones correspondientes al juicio declarativo ordinario núm. 721-2005, y para que emplazara a quienes hubieran sido parte en el procedimiento, a excepción de las entidades recurrentes en amparo, a fin de que pudiesen comparecer en el plazo de diez días en el presente proceso.</w:t>
      </w:r>
    </w:p>
    <w:p w:rsidR="00D06117" w:rsidRDefault="00D06117" w:rsidP="00D06117">
      <w:pPr>
        <w:pStyle w:val="TextoNormal"/>
      </w:pPr>
    </w:p>
    <w:p w:rsidR="00D06117" w:rsidRDefault="00D06117" w:rsidP="00D06117">
      <w:pPr>
        <w:pStyle w:val="TextoNormal"/>
      </w:pPr>
      <w:r w:rsidRPr="00D06117">
        <w:rPr>
          <w:rStyle w:val="NumeroAFNegritaCaracter"/>
        </w:rPr>
        <w:t>6</w:t>
      </w:r>
      <w:r>
        <w:t>. . La Secretaría de Justicia de la Sala Primera de este Tribunal, por diligencias de ordenación de 30 de junio y de 28 de julio de 2011, acordó en los recursos de amparo núms. 8879-2009 y 9173-2009, respectivamente, tener por recibido el testimonio de las actuaciones, por personadas y parte a las Procuradoras de los Tribunales doña María Luisa Montero Correal y doña Gloria Rincón Mayoral, en nombre y representación de Canal Mundo Producciones Audiovisuales, S.A., y de Televisión Autonómica Valenciana, S.A., respectivamente, y dar vista de las actuaciones al Ministerio Fiscal y a las partes personadas por plazo común de veinte días para presentar las alegaciones que estimasen pertinentes, de conformidad con el art. 52 LOTC.</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El Ministerio Fiscal, mediante sendos escritos registrados los días 16 y 23 de septiembre de 2011, formuló alegaciones interesando la desestimación de los recursos de amparo núms. 9173-2009 y 8879-2009, respectivamente. El Ministerio Fiscal señala que, partiendo como hechos probados de la ausencia de consentimiento del afectado tanto para la captación de las imágenes como para su difusión, y de la nitidez con la que se emitió su imagen en el </w:t>
      </w:r>
      <w:r>
        <w:lastRenderedPageBreak/>
        <w:t>programa de televisión, debe concluirse que hubo una afectación al derecho a la propia imagen desproporcionada en relación con el derecho a la información, ya que, a pesar del interés público de la noticia emitida, la difusión se produjo sin ningún mecanismo que eliminara o paliara el reconocimiento de la persona.</w:t>
      </w:r>
    </w:p>
    <w:p w:rsidR="00D06117" w:rsidRDefault="00D06117" w:rsidP="00D06117">
      <w:pPr>
        <w:pStyle w:val="TextoNormal"/>
      </w:pPr>
    </w:p>
    <w:p w:rsidR="00D06117" w:rsidRDefault="00D06117" w:rsidP="00D06117">
      <w:pPr>
        <w:pStyle w:val="TextoNormal"/>
      </w:pPr>
      <w:r w:rsidRPr="00D06117">
        <w:rPr>
          <w:rStyle w:val="NumeroAFNegritaCaracter"/>
        </w:rPr>
        <w:t>8</w:t>
      </w:r>
      <w:r>
        <w:t>. La entidad demandante en el recurso de amparo núm. 8879-2009, mediante escritos registrados los días 2 y 5 de septiembre de 2011, formuló alegaciones ratificándose en lo expuesto en su demanda de amparo. La entidad demandante en el recurso de amparo núm. 9173-2009, mediante escritos registrados los días 27 de julio y 21 de septiembre de 2011, formuló alegaciones ratificándose en su escrito de demanda y adhiriéndose a las presentadas en el escrito de demanda por la otra recurrente, respectivamente, e interesando que se otorgara el amparo por la vulneración del derecho a comunicar libremente información veraz [art. 20.1 d) CE].</w:t>
      </w:r>
    </w:p>
    <w:p w:rsidR="00D06117" w:rsidRDefault="00D06117" w:rsidP="00D06117">
      <w:pPr>
        <w:pStyle w:val="TextoNormal"/>
      </w:pPr>
    </w:p>
    <w:p w:rsidR="00D06117" w:rsidRDefault="00D06117" w:rsidP="00D06117">
      <w:pPr>
        <w:pStyle w:val="TextoNormal"/>
      </w:pPr>
      <w:r w:rsidRPr="00D06117">
        <w:rPr>
          <w:rStyle w:val="NumeroAFNegritaCaracter"/>
        </w:rPr>
        <w:t>9</w:t>
      </w:r>
      <w:r>
        <w:t>. La Secretaría de Justicia de la Sala Primera de este Tribunal, mediante sendas diligencias de ordenación de 16 de noviembre de 2011, concedió un plazo común de diez días para que, de acuerdo con el art. 83 LOTC, se pronunciaran el Ministerio Fiscal y las partes personadas en relación con la posible acumulación de los recursos, lo que fue acordado por la Sala Primera de este Tribunal por ATC 13/2012, de 30 de enero.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12 de abril de 2012 se señaló para la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del presente recurso de amparo es determinar si las resoluciones judiciales impugnadas han vulnerado el derecho de las entidades recurrentes a comunicar libremente información veraz [art. 20.1 d) CE], al haber sido condenadas por intromisión en el derecho a la propia imagen por la difusión de unas imágenes obtenidas con el método de la “cámara oculta”.</w:t>
      </w:r>
    </w:p>
    <w:p w:rsidR="00D06117" w:rsidRDefault="00D06117" w:rsidP="00D06117">
      <w:pPr>
        <w:pStyle w:val="TextoNormal"/>
      </w:pPr>
    </w:p>
    <w:p w:rsidR="00D06117" w:rsidRDefault="00D06117" w:rsidP="00D06117">
      <w:pPr>
        <w:pStyle w:val="TextoNormal"/>
      </w:pPr>
      <w:r w:rsidRPr="00D06117">
        <w:rPr>
          <w:rStyle w:val="NumeroAFNegritaCaracter"/>
        </w:rPr>
        <w:t>2</w:t>
      </w:r>
      <w:r>
        <w:t>. La influencia que el uso de la técnica periodística denominada “cámara oculta” tiene en la ponderación entre los derechos a la propia imagen y a la información ha sido objeto de reciente pronunciamiento por este Tribunal en la STC 12/2012, de 30 de enero, a la que, para evitar reiteraciones innecesarias, es preciso remitirse. Esta resolución —partiendo de la reiterada doctrina de este Tribunal sobre que la intromisión en los derechos fundamentales de terceros en el ejercicio de la libertad de información sólo es constitucionalmente legítima cuando resulte necesaria, adecuada y proporcionada a la realización de este derecho constitucional— concluye que, con independencia de la relevancia pública de la información que se pretenda obtener y difundir, la captación videográfica inconsentida de imágenes mediante la utilización de cámaras ocultas para su posterior difusión, también inconsentida, en que aparezca plenamente identificado el afectado, no resulta necesaria ni adecuada, desde la perspectiva del derecho a la libertad de información [art. 20.1 d) CE], al existir, con carácter general, métodos de obtención de la información y, en su caso, una manera de difundirla en que no queden comprometidos y afectados otros derechos con rango y protección constitucional</w:t>
      </w:r>
    </w:p>
    <w:p w:rsidR="00D06117" w:rsidRDefault="00D06117" w:rsidP="00D06117">
      <w:pPr>
        <w:pStyle w:val="TextoNormal"/>
      </w:pPr>
    </w:p>
    <w:p w:rsidR="00D06117" w:rsidRDefault="00D06117" w:rsidP="00D06117">
      <w:pPr>
        <w:pStyle w:val="TextoNormal"/>
      </w:pPr>
      <w:r w:rsidRPr="00D06117">
        <w:rPr>
          <w:rStyle w:val="NumeroAFNegritaCaracter"/>
        </w:rPr>
        <w:t>3</w:t>
      </w:r>
      <w:r>
        <w:t>. En el presente caso, tal como ha sido expuesto con más detalle en los antecedentes, ha quedado acreditado que las entidades demandantes de amparo produjeron y emitieron, respectivamente, unas imágenes grabadas con el método de cámara oculta en que se observaba como dos periodistas se hacían pasar por potenciales clientes de la consulta de parapsicología del demandante en la instancia para captar su reacción, con la finalidad de hacer pública y denunciar la existencia de prácticas supuestamente fraudulentas en el campo de la parapsicología. Las imágenes, tal como también han declarado probado las resoluciones judiciales, se obtuvieron y reprodujeron sin el consentimiento de la persona afectada y su emisión se efectuó reproduciendo la representación de su aspecto físico sin matiz alguno, de manera era patente la cognoscibilidad del recurrente.</w:t>
      </w:r>
    </w:p>
    <w:p w:rsidR="00D06117" w:rsidRDefault="00D06117" w:rsidP="00D06117">
      <w:pPr>
        <w:pStyle w:val="TextoNormal"/>
      </w:pPr>
    </w:p>
    <w:p w:rsidR="00D06117" w:rsidRDefault="00D06117" w:rsidP="00D06117">
      <w:pPr>
        <w:pStyle w:val="TextoNormal"/>
      </w:pPr>
      <w:r>
        <w:t>En atención a lo expuesto, debe concluirse que no se ha producido la vulneración aducida por los recurrentes de su derecho a la información [art. 20.1 d) CE], toda vez que, conforme declaramos en la precitada STC 12/2012, de 30 de enero, FJ 7, la Sentencia aquí impugnada “valora correctamente los datos que concurren en la presente situación, y concluye con la negación de la pretendida prevalencia de la libertad de información. Conclusión constitucionalmente adecuada, no solo porque el método utilizado para obtener la captación intrusiva —la llamada cámara oculta— en absoluto fuese necesario ni adecuado para el objetivo de la averiguación de la actividad desarrollada, para lo que hubiera bastado con realizar entrevistas a sus clientes, sino, sobre todo, y en todo caso, porque, tuviese o no relevancia pública lo investigado por el periodista, lo que está constitucionalmente prohibido es justamente la utilización del método mismo (cámara oculta) por las razones que antes hemos expuesto”.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los amparos solicitados por Canal Mundo Producciones Audiovisuales, S.A., y Televisión Autonómica Valenciana, S.A.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8" w:name="SENTENCIA_2012_75"/>
      <w:r>
        <w:lastRenderedPageBreak/>
        <w:t>SENTENCIA 75/2012, de 16 de abril de 2012</w:t>
      </w:r>
    </w:p>
    <w:bookmarkEnd w:id="78"/>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ECLI:ES:TC:2012:75</w:t>
      </w:r>
    </w:p>
    <w:p w:rsidR="00D06117" w:rsidRDefault="00D06117" w:rsidP="00D06117">
      <w:pPr>
        <w:pStyle w:val="SntesisDescriptiva"/>
      </w:pPr>
    </w:p>
    <w:p w:rsidR="00D06117" w:rsidRDefault="00D06117" w:rsidP="00D06117">
      <w:pPr>
        <w:pStyle w:val="SntesisDescriptiva"/>
      </w:pPr>
      <w:r>
        <w:t>Cuestión de inconstitucionalidad 2948-2010.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en relación con el art. 100.7 de la Ley 29/1998, de 13 de julio, reguladora de la jurisdicción contencioso-administrativa.</w:t>
      </w:r>
    </w:p>
    <w:p w:rsidR="00D06117" w:rsidRDefault="00D06117" w:rsidP="00D06117">
      <w:pPr>
        <w:pStyle w:val="SntesisDescriptiva"/>
      </w:pPr>
    </w:p>
    <w:p w:rsidR="00D06117" w:rsidRDefault="00D06117" w:rsidP="00D06117">
      <w:pPr>
        <w:pStyle w:val="SntesisAnaltica"/>
      </w:pPr>
      <w:r>
        <w:t>Principios de seguridad jurídica, independencia judicial y supremacía del Tribunal Constitucional en materia de garantías constitucionales: STC 37/2012. Voto particular.</w:t>
      </w:r>
    </w:p>
    <w:p w:rsidR="00D06117" w:rsidRDefault="00D06117" w:rsidP="00D06117">
      <w:pPr>
        <w:pStyle w:val="SntesisAnaltica"/>
      </w:pPr>
    </w:p>
    <w:p w:rsidR="00D06117" w:rsidRDefault="00D06117" w:rsidP="00D06117">
      <w:pPr>
        <w:pStyle w:val="Extracto"/>
      </w:pPr>
      <w:r>
        <w:t>1.</w:t>
      </w:r>
      <w:r>
        <w:tab/>
        <w:t>Las dudas de constitucionalidad que se plantean en la presente cuestión en relación con el contenido normativo de los arts. 81 LSV y 132 LPC, determinado por la doctrina legal vinculante establecida en dos sentencias del Tribunal Supremo en interés de ley, han sido ya resueltas por este Tribunal en la STC 37/2012 [FFJJ 2 a 4].</w:t>
      </w:r>
    </w:p>
    <w:p w:rsidR="00D06117" w:rsidRDefault="00D06117" w:rsidP="00D06117">
      <w:pPr>
        <w:pStyle w:val="Extracto"/>
      </w:pPr>
    </w:p>
    <w:p w:rsidR="00D06117" w:rsidRDefault="00D06117" w:rsidP="00D06117">
      <w:pPr>
        <w:pStyle w:val="Extracto"/>
      </w:pPr>
      <w:r>
        <w:t>2.</w:t>
      </w:r>
      <w:r>
        <w:tab/>
        <w:t xml:space="preserve">El mandato normativo de los arts. 81 LSV y 132 LPC no vulnera el principio de seguridad jurídica, </w:t>
      </w:r>
      <w:r w:rsidRPr="00D06117">
        <w:rPr>
          <w:i/>
        </w:rPr>
        <w:t>ex</w:t>
      </w:r>
      <w:r>
        <w:t xml:space="preserve"> art. 9.3 CE, puesto que aparece enunciado, con el contenido establecido por la Sala de lo Contencioso-Administrativo del Tribunal Supremo en dos Sentencias en interés de ley, con suficiente claridad, eliminando cualquier sombra de incertidumbre acerca de su contenido y alcance (STC 37/2012) [FFJJ 1, 4].</w:t>
      </w:r>
    </w:p>
    <w:p w:rsidR="00D06117" w:rsidRDefault="00D06117" w:rsidP="00D06117">
      <w:pPr>
        <w:pStyle w:val="Extracto"/>
      </w:pPr>
    </w:p>
    <w:p w:rsidR="00D06117" w:rsidRDefault="00D06117" w:rsidP="00D06117">
      <w:pPr>
        <w:pStyle w:val="Extracto"/>
      </w:pPr>
      <w:r>
        <w:t>3.</w:t>
      </w:r>
      <w:r>
        <w:tab/>
        <w:t xml:space="preserve">La doctrina legal establecida por el Tribunal Supremo que establece el contenido normativo de los arts. 81 LSV y 132 LPC en cuanto a la fijación del </w:t>
      </w:r>
      <w:r w:rsidRPr="00D06117">
        <w:rPr>
          <w:i/>
        </w:rPr>
        <w:t>dies a quo</w:t>
      </w:r>
      <w:r>
        <w:t xml:space="preserve"> del cómputo del plazo de prescripción de las infracciones y sanciones administrativas no resulta contraria ni a la doctrina del Tribunal Constitucional que considera el silencio administrativo como ficción legal para poder recurrir ante la jurisdicción contencioso-administrativa ni, en consecuencia, al art. 123.1 CE (STC 37/2012) [FJ 4].</w:t>
      </w:r>
    </w:p>
    <w:p w:rsidR="00D06117" w:rsidRDefault="00D06117" w:rsidP="00D06117">
      <w:pPr>
        <w:pStyle w:val="Extracto"/>
      </w:pPr>
    </w:p>
    <w:p w:rsidR="00D06117" w:rsidRDefault="00D06117" w:rsidP="00D06117">
      <w:pPr>
        <w:pStyle w:val="Extracto"/>
      </w:pPr>
      <w:r>
        <w:t>4.</w:t>
      </w:r>
      <w:r>
        <w:tab/>
        <w:t xml:space="preserve">La doctrina legal vinculante establecida por el Tribunal Supremo para Jueces y Tribunales inferiores en grado del orden jurisdiccional contencioso-administrativo no sólo preserva la seguridad jurídica sino que además garantiza que el </w:t>
      </w:r>
      <w:r w:rsidRPr="00D06117">
        <w:rPr>
          <w:i/>
        </w:rPr>
        <w:t>status</w:t>
      </w:r>
      <w:r>
        <w:t xml:space="preserve"> jurídico de los ciudadanos sea igual en todo el territorio nacional (STC 37/2012) [FJ 4].</w:t>
      </w:r>
    </w:p>
    <w:p w:rsidR="00D06117" w:rsidRDefault="00D06117" w:rsidP="00D06117">
      <w:pPr>
        <w:pStyle w:val="Extracto"/>
      </w:pPr>
    </w:p>
    <w:p w:rsidR="00D06117" w:rsidRDefault="00D06117" w:rsidP="00D06117">
      <w:pPr>
        <w:pStyle w:val="Extracto"/>
      </w:pPr>
      <w:r>
        <w:lastRenderedPageBreak/>
        <w:t>5.</w:t>
      </w:r>
      <w:r>
        <w:tab/>
        <w:t xml:space="preserve">El art. 100.7 LJCA establece el carácter vinculante de las sentencias del Tribunal Supremo que estiman los recursos de casación en interés de ley, lo que no vulnera el principio de independencia judicial, </w:t>
      </w:r>
      <w:r w:rsidRPr="00D06117">
        <w:rPr>
          <w:i/>
        </w:rPr>
        <w:t>ex</w:t>
      </w:r>
      <w:r>
        <w:t xml:space="preserve"> art. 117.1 CE, ya que los Jueces o Tribunales de grado inferior no vienen compelidos a resolver el litigio ateniéndose al contenido del precepto legal que resulta concretado por dichas sentencias si estiman que este pudiera ser contrario a la Constitución, al poder plantear cuestión de inconstitucionalidad ante el Tribunal Constitucional (SSTC 133/1995, 37/2012) [FJ 3].</w:t>
      </w:r>
    </w:p>
    <w:p w:rsidR="00D06117" w:rsidRDefault="00D06117" w:rsidP="00D06117">
      <w:pPr>
        <w:pStyle w:val="Extracto"/>
      </w:pPr>
    </w:p>
    <w:p w:rsidR="00D06117" w:rsidRDefault="00D06117" w:rsidP="00D06117">
      <w:pPr>
        <w:pStyle w:val="Extracto"/>
      </w:pPr>
      <w:r>
        <w:t>6.</w:t>
      </w:r>
      <w:r>
        <w:tab/>
        <w:t>La independencia judicial permite que los órganos judiciales inferiores en grado discrepen del criterio sostenido por Tribunales superiores, con la excepción del supuesto de la doctrina legal que establezca el Tribunal Supremo al resolver el recurso de casación en interés de ley so pena de incurrir en infracción del art. 24.1 CE por inaplicar el precepto legal con el contenido determinado por esa doctrina legal (SSTC 308/2006, 82/2009 y 37/2012) [FJ 3].</w:t>
      </w:r>
    </w:p>
    <w:p w:rsidR="00D06117" w:rsidRDefault="00D06117" w:rsidP="00D06117">
      <w:pPr>
        <w:pStyle w:val="Extracto"/>
      </w:pPr>
    </w:p>
    <w:p w:rsidR="00D06117" w:rsidRDefault="00D06117" w:rsidP="00D06117">
      <w:pPr>
        <w:pStyle w:val="Extracto"/>
      </w:pPr>
      <w:r>
        <w:t>7.</w:t>
      </w:r>
      <w:r>
        <w:tab/>
        <w:t>El recurso de casación en interés de la ley tiene una función integradora del Derecho, pues mediante el establecimiento por el Tribunal Supremo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(SSTC 111/1992, 37/2012) [FJ 3].</w:t>
      </w:r>
    </w:p>
    <w:p w:rsidR="00D06117" w:rsidRDefault="00D06117" w:rsidP="00D06117">
      <w:pPr>
        <w:pStyle w:val="Extracto"/>
      </w:pPr>
    </w:p>
    <w:p w:rsidR="00D06117" w:rsidRDefault="00D06117" w:rsidP="00D06117">
      <w:pPr>
        <w:pStyle w:val="Extracto"/>
      </w:pPr>
      <w:r>
        <w:t>8.</w:t>
      </w:r>
      <w:r>
        <w:tab/>
        <w:t>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4].</w:t>
      </w:r>
    </w:p>
    <w:p w:rsidR="00D06117" w:rsidRDefault="00D06117" w:rsidP="00D06117">
      <w:pPr>
        <w:pStyle w:val="Extracto"/>
      </w:pPr>
    </w:p>
    <w:p w:rsidR="00D06117" w:rsidRDefault="00D06117" w:rsidP="00D06117">
      <w:pPr>
        <w:pStyle w:val="Extracto"/>
      </w:pPr>
      <w:r>
        <w:t>9.</w:t>
      </w:r>
      <w:r>
        <w:tab/>
        <w:t>La cuestión de inconstitucionalidad cumple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la cuestión de inconstitucionalidad núm. 2948-2010,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alternativamente,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Manuel Aragón Reyes,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9 de abril de 2010 tuvo entrada en el Registro General de este Tribunal oficio del Juzgado de lo Contencioso-Administrativo núm. 1 de Elche al que se acompañaba, junto con testimonio del procedimiento abreviado núm. 27-2009 tramitado en ese órgano judicial, Auto del referido Juzgado de 24 de febrero de 2010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por la posible contradicción de este precepto con el art. 117.1 CE.</w:t>
      </w:r>
    </w:p>
    <w:p w:rsidR="00D06117" w:rsidRDefault="00D06117" w:rsidP="00D06117">
      <w:pPr>
        <w:pStyle w:val="TextoNormal"/>
      </w:pPr>
    </w:p>
    <w:p w:rsidR="00D06117" w:rsidRDefault="00D06117" w:rsidP="00D06117">
      <w:pPr>
        <w:pStyle w:val="TextoNormal"/>
      </w:pPr>
      <w:r w:rsidRPr="00D06117">
        <w:rPr>
          <w:rStyle w:val="NumeroAFNegritaCaracter"/>
        </w:rPr>
        <w:t>2</w:t>
      </w:r>
      <w:r>
        <w:t>. Del conjunto de las actuaciones remitidas por el órgano judicial proponente resulta que los hechos que dan lugar al planteamiento de la cuestión son, sucíntamente expuestos, los que siguen:</w:t>
      </w:r>
    </w:p>
    <w:p w:rsidR="00D06117" w:rsidRDefault="00D06117" w:rsidP="00D06117">
      <w:pPr>
        <w:pStyle w:val="TextoNormal"/>
      </w:pPr>
    </w:p>
    <w:p w:rsidR="00D06117" w:rsidRDefault="00D06117" w:rsidP="00D06117">
      <w:pPr>
        <w:pStyle w:val="TextoNormal"/>
      </w:pPr>
      <w:r>
        <w:t>a) La presente cuestión de inconstitucionalidad se eleva con ocasión de la tramitación, por los cauces del procedimiento abreviado, del recurso contencioso-administrativo interpuesto por un conductor contra la resolución de la Dirección general de tráfico de 3 de octubre de 2008 que confirma en alzada la resolución de la Subdelegación del Gobierno de Alicante de 27 de enero de 2006 que le impuso una sanción de 600 euros y la suspensión durante un mes de la autorización administrativa para conducir, por la comisión de la infracción tipificada en el art. 20.1 del reglamento general de circulación, en relación con los arts. 67.1 y 69 LSV, en virtud de denuncia formulada el 19 de febrero de 2005 por agentes de la Jefatura provincial de tráfico de Alicante.</w:t>
      </w:r>
    </w:p>
    <w:p w:rsidR="00D06117" w:rsidRDefault="00D06117" w:rsidP="00D06117">
      <w:pPr>
        <w:pStyle w:val="TextoNormal"/>
      </w:pPr>
    </w:p>
    <w:p w:rsidR="00D06117" w:rsidRDefault="00D06117" w:rsidP="00D06117">
      <w:pPr>
        <w:pStyle w:val="TextoNormal"/>
      </w:pPr>
      <w:r>
        <w:lastRenderedPageBreak/>
        <w:t>b) Celebrada la vista del procedimiento abreviado, mediante providencia de 18 de enero de 2010 el Juzgado de lo Contencioso-Administrativo núm. 1 de Elche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00D06117" w:rsidRDefault="00D06117" w:rsidP="00D06117">
      <w:pPr>
        <w:pStyle w:val="TextoNormal"/>
      </w:pPr>
    </w:p>
    <w:p w:rsidR="00D06117" w:rsidRDefault="00D06117" w:rsidP="00D06117">
      <w:pPr>
        <w:pStyle w:val="TextoNormal"/>
      </w:pPr>
      <w:r>
        <w:t>c) La representación procesal del demandante evacuó el trámite conferido, manifestando que, si bien comparte las dudas de constitucionalidad del órgano judicial, lo procedente es que se dicte Sentencia estimatoria de su demanda. El Ministerio Fiscal manifestó que no se oponía al planteamiento de la cuestión. La Abogacía del Estado no presentó escrito de alegaciones.</w:t>
      </w:r>
    </w:p>
    <w:p w:rsidR="00D06117" w:rsidRDefault="00D06117" w:rsidP="00D06117">
      <w:pPr>
        <w:pStyle w:val="TextoNormal"/>
      </w:pPr>
    </w:p>
    <w:p w:rsidR="00D06117" w:rsidRDefault="00D06117" w:rsidP="00D06117">
      <w:pPr>
        <w:pStyle w:val="TextoNormal"/>
      </w:pPr>
      <w:r>
        <w:t>d) Mediante Auto de 24 de febrero de 2010 el Juzgado de lo Contencioso-Administrativo núm. 1 de Elche acordó plantear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en las consideraciones que seguidamente se resumen.</w:t>
      </w:r>
    </w:p>
    <w:p w:rsidR="00D06117" w:rsidRDefault="00D06117" w:rsidP="00D06117">
      <w:pPr>
        <w:pStyle w:val="TextoNormal"/>
      </w:pPr>
    </w:p>
    <w:p w:rsidR="00D06117" w:rsidRDefault="00D06117" w:rsidP="00D06117">
      <w:pPr>
        <w:pStyle w:val="TextoNormal"/>
      </w:pPr>
      <w:r>
        <w:t>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éste uno de los motivos aducidos por el interesado en defensa de la pretensión anulatoria de la resolución administrativa impugnada.</w:t>
      </w:r>
    </w:p>
    <w:p w:rsidR="00D06117" w:rsidRDefault="00D06117" w:rsidP="00D06117">
      <w:pPr>
        <w:pStyle w:val="TextoNormal"/>
      </w:pPr>
    </w:p>
    <w:p w:rsidR="00D06117" w:rsidRDefault="00D06117" w:rsidP="00D06117">
      <w:pPr>
        <w:pStyle w:val="TextoNormal"/>
      </w:pPr>
      <w:r>
        <w:t xml:space="preserve">En cuanto al fondo del asunto, se apuntan las diferencias entre la presente cuestión y la inadmitida por AATC 10/2006,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w:t>
      </w:r>
      <w:r>
        <w:lastRenderedPageBreak/>
        <w:t>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00D06117" w:rsidRDefault="00D06117" w:rsidP="00D06117">
      <w:pPr>
        <w:pStyle w:val="TextoNormal"/>
      </w:pPr>
    </w:p>
    <w:p w:rsidR="00D06117" w:rsidRDefault="00D06117" w:rsidP="00D06117">
      <w:pPr>
        <w:pStyle w:val="TextoNormal"/>
      </w:pPr>
      <w:r>
        <w:t>De este modo, en opinión del Juzgado promotor,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00D06117" w:rsidRDefault="00D06117" w:rsidP="00D06117">
      <w:pPr>
        <w:pStyle w:val="TextoNormal"/>
      </w:pPr>
    </w:p>
    <w:p w:rsidR="00D06117" w:rsidRDefault="00D06117" w:rsidP="00D06117">
      <w:pPr>
        <w:pStyle w:val="TextoNormal"/>
      </w:pPr>
      <w:r>
        <w:t>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00D06117" w:rsidRDefault="00D06117" w:rsidP="00D06117">
      <w:pPr>
        <w:pStyle w:val="TextoNormal"/>
      </w:pPr>
    </w:p>
    <w:p w:rsidR="00D06117" w:rsidRDefault="00D06117" w:rsidP="00D06117">
      <w:pPr>
        <w:pStyle w:val="TextoNormal"/>
      </w:pPr>
      <w:r>
        <w:t>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00D06117" w:rsidRDefault="00D06117" w:rsidP="00D06117">
      <w:pPr>
        <w:pStyle w:val="TextoNormal"/>
      </w:pPr>
    </w:p>
    <w:p w:rsidR="00D06117" w:rsidRDefault="00D06117" w:rsidP="00D06117">
      <w:pPr>
        <w:pStyle w:val="TextoNormal"/>
      </w:pPr>
      <w: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w:t>
      </w:r>
      <w:r>
        <w:lastRenderedPageBreak/>
        <w:t>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de diligencia) como una garantía constitucional.</w:t>
      </w:r>
    </w:p>
    <w:p w:rsidR="00D06117" w:rsidRDefault="00D06117" w:rsidP="00D06117">
      <w:pPr>
        <w:pStyle w:val="TextoNormal"/>
      </w:pPr>
    </w:p>
    <w:p w:rsidR="00D06117" w:rsidRDefault="00D06117" w:rsidP="00D06117">
      <w:pPr>
        <w:pStyle w:val="TextoNormal"/>
      </w:pPr>
      <w:r>
        <w:t>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19 de mayo de 2010 el Pleno, a propuesta de la Sección Primera, acordó admitir a trámite la presente cuestión de inconstitucionalidad y deferir a la Sala Primera su resolución, conforme a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 el “Boletín Oficial del Estado”, lo que se verificó en el núm. 136, de 4 de junio de 2010.</w:t>
      </w:r>
    </w:p>
    <w:p w:rsidR="00D06117" w:rsidRDefault="00D06117" w:rsidP="00D06117">
      <w:pPr>
        <w:pStyle w:val="TextoNormal"/>
      </w:pPr>
    </w:p>
    <w:p w:rsidR="00D06117" w:rsidRDefault="00D06117" w:rsidP="00D06117">
      <w:pPr>
        <w:pStyle w:val="TextoNormal"/>
      </w:pPr>
      <w:r w:rsidRPr="00D06117">
        <w:rPr>
          <w:rStyle w:val="NumeroAFNegritaCaracter"/>
        </w:rPr>
        <w:t>5</w:t>
      </w:r>
      <w:r>
        <w:t>. El Presidente del Congreso de los Diputados comunicó, por escrito registrado el 7 de junio de 2010, el acuerdo adoptado por la Mesa de la Cámara, en su reunión del día 1 de junio de 2010, de personarse en el proceso, ofreciendo su colaboración a los efectos del art. 88.1 LOTC, con remisión a la Dirección de estudios, análisis y publicaciones y a la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el 9 de junio de 2010, el Presidente del Senado comunicó el acuerdo adoptado por la Mesa de la Cámara, en su reunión del 8 de junio de 2010,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El Abogado del Estado, en la representación que legalmente ostenta, se personó y presentó escrito de alegaciones el 11 de junio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w:t>
      </w:r>
      <w:r>
        <w:lastRenderedPageBreak/>
        <w:t>Juzgado promotor de la cuestión no precisa sobre cuál de los apartados —y en su caso párrafos— de cada uno de dichos preceptos recae su duda de constitucionalidad y cual sea el nexo entre el tenor legal y el problema de la prescripción mientras pende el recurso de alzada. La falta de exteriorización del juicio de relevancia resulta agravada por la imprecisión del Auto de planteamiento en su parte dispositiva, tanto en lo que se refiere a los preceptos cuestionados, como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00D06117" w:rsidRDefault="00D06117" w:rsidP="00D06117">
      <w:pPr>
        <w:pStyle w:val="TextoNormal"/>
      </w:pPr>
    </w:p>
    <w:p w:rsidR="00D06117" w:rsidRDefault="00D06117" w:rsidP="00D06117">
      <w:pPr>
        <w:pStyle w:val="TextoNormal"/>
      </w:pPr>
      <w:r>
        <w:t>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cuál de las interpretaciones posibles de un precepto legal resulta más acomodada a la Constitución, ni puede servir para ventilar controversias interpretativas entre órganos judiciales.</w:t>
      </w:r>
    </w:p>
    <w:p w:rsidR="00D06117" w:rsidRDefault="00D06117" w:rsidP="00D06117">
      <w:pPr>
        <w:pStyle w:val="TextoNormal"/>
      </w:pPr>
    </w:p>
    <w:p w:rsidR="00D06117" w:rsidRDefault="00D06117" w:rsidP="00D06117">
      <w:pPr>
        <w:pStyle w:val="TextoNormal"/>
      </w:pPr>
      <w:r>
        <w:t>Subsidiariamente, solicita el Abogado del Estado la desestimación de la presente cuestión, pues entiende que, de entrarse en el fondo del asunto, debe concluirse que no existe infracción constitucional alguna.</w:t>
      </w:r>
    </w:p>
    <w:p w:rsidR="00D06117" w:rsidRDefault="00D06117" w:rsidP="00D06117">
      <w:pPr>
        <w:pStyle w:val="TextoNormal"/>
      </w:pPr>
    </w:p>
    <w:p w:rsidR="00D06117" w:rsidRDefault="00D06117" w:rsidP="00D06117">
      <w:pPr>
        <w:pStyle w:val="TextoNormal"/>
      </w:pPr>
      <w:r>
        <w:t xml:space="preserve">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w:t>
      </w:r>
      <w:r>
        <w:lastRenderedPageBreak/>
        <w:t>de ser el art. 100.7 LJCA una amenaza para la independencia judicial es, por el contrario, una garantía de la finalidad esencial de ésta, la sumisión plena al imperio de la ley.</w:t>
      </w:r>
    </w:p>
    <w:p w:rsidR="00D06117" w:rsidRDefault="00D06117" w:rsidP="00D06117">
      <w:pPr>
        <w:pStyle w:val="TextoNormal"/>
      </w:pPr>
    </w:p>
    <w:p w:rsidR="00D06117" w:rsidRDefault="00D06117" w:rsidP="00D06117">
      <w:pPr>
        <w:pStyle w:val="TextoNormal"/>
      </w:pPr>
      <w:r>
        <w:t>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00D06117" w:rsidRDefault="00D06117" w:rsidP="00D06117">
      <w:pPr>
        <w:pStyle w:val="TextoNormal"/>
      </w:pPr>
    </w:p>
    <w:p w:rsidR="00D06117" w:rsidRDefault="00D06117" w:rsidP="00D06117">
      <w:pPr>
        <w:pStyle w:val="TextoNormal"/>
      </w:pPr>
      <w:r>
        <w:t>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00D06117" w:rsidRDefault="00D06117" w:rsidP="00D06117">
      <w:pPr>
        <w:pStyle w:val="TextoNormal"/>
      </w:pPr>
    </w:p>
    <w:p w:rsidR="00D06117" w:rsidRDefault="00D06117" w:rsidP="00D06117">
      <w:pPr>
        <w:pStyle w:val="TextoNormal"/>
      </w:pPr>
      <w:r>
        <w:t>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00D06117" w:rsidRDefault="00D06117" w:rsidP="00D06117">
      <w:pPr>
        <w:pStyle w:val="TextoNormal"/>
      </w:pPr>
    </w:p>
    <w:p w:rsidR="00D06117" w:rsidRDefault="00D06117" w:rsidP="00D06117">
      <w:pPr>
        <w:pStyle w:val="TextoNormal"/>
      </w:pPr>
      <w: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w:t>
      </w:r>
      <w:r>
        <w:lastRenderedPageBreak/>
        <w:t>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00D06117" w:rsidRDefault="00D06117" w:rsidP="00D06117">
      <w:pPr>
        <w:pStyle w:val="TextoNormal"/>
      </w:pPr>
    </w:p>
    <w:p w:rsidR="00D06117" w:rsidRDefault="00D06117" w:rsidP="00D06117">
      <w:pPr>
        <w:pStyle w:val="TextoNormal"/>
      </w:pPr>
      <w:r w:rsidRPr="00D06117">
        <w:rPr>
          <w:rStyle w:val="NumeroAFNegritaCaracter"/>
        </w:rPr>
        <w:t>8</w:t>
      </w:r>
      <w:r>
        <w:t>. El escrito de alegaciones del Fiscal General del Estado se registró en este Tribunal el 29 de junio de 2010.</w:t>
      </w:r>
    </w:p>
    <w:p w:rsidR="00D06117" w:rsidRDefault="00D06117" w:rsidP="00D06117">
      <w:pPr>
        <w:pStyle w:val="TextoNormal"/>
      </w:pPr>
    </w:p>
    <w:p w:rsidR="00D06117" w:rsidRDefault="00D06117" w:rsidP="00D06117">
      <w:pPr>
        <w:pStyle w:val="TextoNormal"/>
      </w:pPr>
      <w:r>
        <w:t>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arts. 81 LSV y 132 LPC, sino sobre la interpretación vinculante de los mismos impuesta por las citadas Sentencias en interés de ley, en virtud del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00D06117" w:rsidRDefault="00D06117" w:rsidP="00D06117">
      <w:pPr>
        <w:pStyle w:val="TextoNormal"/>
      </w:pPr>
    </w:p>
    <w:p w:rsidR="00D06117" w:rsidRDefault="00D06117" w:rsidP="00D06117">
      <w:pPr>
        <w:pStyle w:val="TextoNormal"/>
      </w:pPr>
      <w:r>
        <w:t>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00D06117" w:rsidRDefault="00D06117" w:rsidP="00D06117">
      <w:pPr>
        <w:pStyle w:val="TextoNormal"/>
      </w:pPr>
    </w:p>
    <w:p w:rsidR="00D06117" w:rsidRDefault="00D06117" w:rsidP="00D06117">
      <w:pPr>
        <w:pStyle w:val="TextoNormal"/>
      </w:pPr>
      <w:r>
        <w:t>Por todo lo expuesto, el Fiscal General del Estado solicita que se desestime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12 de abril de 2012 se acordó señalar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lesiona el principio de seguridad jurídica (art. 9.3 CE), así como el principio de supremacía del Tribunal Constitucional en materia de garantías constitucionales [art. 123.1 CE, en relación con el art. 5.1 de la Ley Orgánica del Poder Judicial (LOPJ)], en cuanto la referida doctrina legal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00D06117" w:rsidRDefault="00D06117" w:rsidP="00D06117">
      <w:pPr>
        <w:pStyle w:val="TextoNormal"/>
      </w:pPr>
    </w:p>
    <w:p w:rsidR="00D06117" w:rsidRDefault="00D06117" w:rsidP="00D06117">
      <w:pPr>
        <w:pStyle w:val="TextoNormal"/>
      </w:pPr>
      <w:r>
        <w:t>De manera alternativa o subsidiaria el Juzgado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w:t>
      </w:r>
    </w:p>
    <w:p w:rsidR="00D06117" w:rsidRDefault="00D06117" w:rsidP="00D06117">
      <w:pPr>
        <w:pStyle w:val="TextoNormal"/>
      </w:pPr>
    </w:p>
    <w:p w:rsidR="00D06117" w:rsidRDefault="00D06117" w:rsidP="00D06117">
      <w:pPr>
        <w:pStyle w:val="TextoNormal"/>
      </w:pPr>
      <w:r w:rsidRPr="00D06117">
        <w:rPr>
          <w:rStyle w:val="NumeroAFNegritaCaracter"/>
        </w:rPr>
        <w:t>2</w:t>
      </w:r>
      <w:r>
        <w:t>. Las dudas de constitucionalidad que se plantean en la presente cuestión han sido ya resueltas por este Tribunal en su reciente STC 37/2012, de 19 de marzo, que desestima la cuestión de inconstitucionalidad promovida por el mismo Juzgado respecto de los mismos preceptos y con los mismos fundamentos, por lo que bastará aquí con remitirse a lo razonado en aquella Sentencia.</w:t>
      </w:r>
    </w:p>
    <w:p w:rsidR="00D06117" w:rsidRDefault="00D06117" w:rsidP="00D06117">
      <w:pPr>
        <w:pStyle w:val="TextoNormal"/>
      </w:pPr>
    </w:p>
    <w:p w:rsidR="00D06117" w:rsidRDefault="00D06117" w:rsidP="00D06117">
      <w:pPr>
        <w:pStyle w:val="TextoNormal"/>
      </w:pPr>
      <w:r>
        <w:t>En la STC 37/2012, FJ 2, comenzamos por precisar que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Efectuada la precisión que antecede, procedimos seguidamente en la STC 37/2012 al examen de la duda de constitucionalidad planteada por el Juzgado de lo Contencioso-Administrativo núm. 1 de Elche de forma subsidiaria o alternativa, es decir, en relación con la posible inconstitucionalidad del art. 100.7 LJCA, por constituir este precepto el presupuesto del que parte el planteamiento de la cuestión, señalando al respecto que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 (STC 37/2012, FJ 3). Y concluíamos descartando que el art. 100.7 LJCA, en la medida en que establece el carácter vinculante de las sentencias del Tribunal Supremo que estiman los recursos de casación en interés de ley, vulnere el principio de independencia judicial (art. 117.1 CE), por las razones que se expresan en la STC 37/2012, FFJJ 4, 5, 6 y 7.</w:t>
      </w:r>
    </w:p>
    <w:p w:rsidR="00D06117" w:rsidRDefault="00D06117" w:rsidP="00D06117">
      <w:pPr>
        <w:pStyle w:val="TextoNormal"/>
      </w:pPr>
    </w:p>
    <w:p w:rsidR="00D06117" w:rsidRDefault="00D06117" w:rsidP="00D06117">
      <w:pPr>
        <w:pStyle w:val="TextoNormal"/>
      </w:pPr>
      <w:r>
        <w:t>Dijimos allí, en efecto, que la independencia judicial, que se predica de todos y cada uno de los Jueces y Magistrados en cuanto ejercen la función jurisdiccional (STC 108/1986, de 26 de julio, FJ 6), “permite que los órganos judiciales inferiores en grado discrepen, mediante un razonamiento fundado en Derecho, del criterio sostenido por Tribunales superiores e incluso de la jurisprudencia sentada por el Tribunal Supremo (art. 1.6 del Código civil), si fuere el caso …,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 (STC 37/2012, FJ 7).</w:t>
      </w:r>
    </w:p>
    <w:p w:rsidR="00D06117" w:rsidRDefault="00D06117" w:rsidP="00D06117">
      <w:pPr>
        <w:pStyle w:val="TextoNormal"/>
      </w:pPr>
    </w:p>
    <w:p w:rsidR="00D06117" w:rsidRDefault="00D06117" w:rsidP="00D06117">
      <w:pPr>
        <w:pStyle w:val="TextoNormal"/>
      </w:pPr>
      <w:r>
        <w:t>Sin embargo, como seguidamente advertíamos, no por esa vinculación a la doctrina legal de la Sala de lo Contencioso-Administrativo del Tribunal Supremo sentada en las Sentencias estimatorias de recursos de casación en interés de ley queda abolida o cercenada la independencia judicial de los órganos judiciales inferiores en grado de dicho orden jurisdiccional. “Ello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(STC 37/2012, FJ 7).</w:t>
      </w:r>
    </w:p>
    <w:p w:rsidR="00D06117" w:rsidRDefault="00D06117" w:rsidP="00D06117">
      <w:pPr>
        <w:pStyle w:val="TextoNormal"/>
      </w:pPr>
    </w:p>
    <w:p w:rsidR="00D06117" w:rsidRDefault="00D06117" w:rsidP="00D06117">
      <w:pPr>
        <w:pStyle w:val="TextoNormal"/>
      </w:pPr>
      <w:r>
        <w:lastRenderedPageBreak/>
        <w:t>Añadimos a lo anterior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7).</w:t>
      </w:r>
    </w:p>
    <w:p w:rsidR="00D06117" w:rsidRDefault="00D06117" w:rsidP="00D06117">
      <w:pPr>
        <w:pStyle w:val="TextoNormal"/>
      </w:pPr>
    </w:p>
    <w:p w:rsidR="00D06117" w:rsidRDefault="00D06117" w:rsidP="00D06117">
      <w:pPr>
        <w:pStyle w:val="TextoNormal"/>
      </w:pPr>
      <w:r w:rsidRPr="00D06117">
        <w:rPr>
          <w:rStyle w:val="NumeroAFNegritaCaracter"/>
        </w:rPr>
        <w:t>4</w:t>
      </w:r>
      <w:r>
        <w:t>. Descartada la inconstitucionalidad del art. 100.7 LJCA, por las razones expresadas, rechazamos seguidamente en la citada STC 37/2012 la duda de constitucionalidad planteada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00D06117" w:rsidRDefault="00D06117" w:rsidP="00D06117">
      <w:pPr>
        <w:pStyle w:val="TextoNormal"/>
      </w:pPr>
    </w:p>
    <w:p w:rsidR="00D06117" w:rsidRDefault="00D06117" w:rsidP="00D06117">
      <w:pPr>
        <w:pStyle w:val="TextoNormal"/>
      </w:pPr>
      <w:r>
        <w:t>Así, por lo que se refiere a la pretendida vulneración del principio de seguridad jurídica, con cita de nuestra reiterada doctrina al respecto, declaramos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00D06117" w:rsidRDefault="00D06117" w:rsidP="00D06117">
      <w:pPr>
        <w:pStyle w:val="TextoNormal"/>
      </w:pPr>
    </w:p>
    <w:p w:rsidR="00D06117" w:rsidRDefault="00D06117" w:rsidP="00D06117">
      <w:pPr>
        <w:pStyle w:val="TextoNormal"/>
      </w:pPr>
      <w:r>
        <w:t xml:space="preserve">De igual modo declaramos en la STC 37/2012, FJ 9, que, por las razones que se expresan en los fundamentos jurídicos 10 y 11 —a los cuales resulta obligado remitirse ahora— no se advierte que el contenido normativo de los arts. 81 LSV y 132 LPC, determinado por la doctrina legal vinculante establecida por el Tribunal Supremo en las citadas Sentencias en interés de ley, resulte contrario ni a la doctrina constitucional sobre la configuración del silencio administrativo que se invoca en el Auto de planteamiento de la cuestión, ni, en consecuencia, al art. 123.1 CE, para concluir recordando que “no corresponde al Tribunal Constitucional determinar cuál sea la interpretación preferible cuando son posibles —dentro </w:t>
      </w:r>
      <w:r>
        <w:lastRenderedPageBreak/>
        <w:t>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la cuestión de inconstitucionalidad núm. 2948-2010.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(LOTC) y con pleno respeto a la opinión de la mayoría de la Sala, presento Voto particular en el que manifiesto mi discrepancia parcial con parte de la fundamentación jurídica de la presente Sentencia, en concreto con el fundamento jurídico cuarto, por las razones que expuse en el Voto particular que formulé a la STC 37/2010, de 19 de marzo, al que ahora me remito.</w:t>
      </w:r>
    </w:p>
    <w:p w:rsidR="00D06117" w:rsidRDefault="00D06117" w:rsidP="00D06117">
      <w:pPr>
        <w:pStyle w:val="TextoNormal"/>
      </w:pPr>
    </w:p>
    <w:p w:rsidR="00D06117" w:rsidRDefault="00D06117" w:rsidP="00D06117">
      <w:pPr>
        <w:pStyle w:val="TextoNormal"/>
      </w:pPr>
      <w:r>
        <w:t>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79" w:name="SENTENCIA_2012_76"/>
      <w:r>
        <w:lastRenderedPageBreak/>
        <w:t>SENTENCIA 76/2012, de 16 de abril de 2012</w:t>
      </w:r>
    </w:p>
    <w:bookmarkEnd w:id="79"/>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ECLI:ES:TC:2012:76</w:t>
      </w:r>
    </w:p>
    <w:p w:rsidR="00D06117" w:rsidRDefault="00D06117" w:rsidP="00D06117">
      <w:pPr>
        <w:pStyle w:val="SntesisDescriptiva"/>
      </w:pPr>
    </w:p>
    <w:p w:rsidR="00D06117" w:rsidRDefault="00D06117" w:rsidP="00D06117">
      <w:pPr>
        <w:pStyle w:val="SntesisDescriptiva"/>
      </w:pPr>
      <w:r>
        <w:t>Recurso de amparo 3132-2010. Promovido por don José Javier Gastearena Erice frente Sentencia de la Audiencia Provincial de Bizkaia que inadmitió su demanda de anulación de laudo arbitral al apreciar caducidad de la acción.</w:t>
      </w:r>
    </w:p>
    <w:p w:rsidR="00D06117" w:rsidRDefault="00D06117" w:rsidP="00D06117">
      <w:pPr>
        <w:pStyle w:val="SntesisDescriptiva"/>
      </w:pPr>
    </w:p>
    <w:p w:rsidR="00D06117" w:rsidRDefault="00D06117" w:rsidP="00D06117">
      <w:pPr>
        <w:pStyle w:val="SntesisAnaltica"/>
      </w:pPr>
      <w:r>
        <w:t>Vulneración del derecho a la tutela judicial efectiva (acceso a la justicia): interpretación rigorista y desproporcionada del art. 41.4 de la Ley de arbitraje que resulta incompatible con el derecho del recurrente a disponer en su integridad del plazo para la presentación de su demanda de nulidad del laudo.</w:t>
      </w:r>
    </w:p>
    <w:p w:rsidR="00D06117" w:rsidRDefault="00D06117" w:rsidP="00D06117">
      <w:pPr>
        <w:pStyle w:val="SntesisAnaltica"/>
      </w:pPr>
    </w:p>
    <w:p w:rsidR="00D06117" w:rsidRDefault="00D06117" w:rsidP="00D06117">
      <w:pPr>
        <w:pStyle w:val="Extracto"/>
      </w:pPr>
      <w:r>
        <w:t>1.</w:t>
      </w:r>
      <w:r>
        <w:tab/>
        <w:t xml:space="preserve">La Sentencia impugnada se funda, desde la perspectiva del derecho de acceso a la jurisdicción (art. 24.1 CE), en una interpretación rigorista y desproporcionada de las normas procesales contraria al derecho a la tutela judicial efectiva del recurrente, quien, pudo razonablemente confiar en que la presentación de su acción de nulidad antes de las 15 horas del siguiente día hábil al del vencimiento del plazo de dos meses previsto en el art. 41.4 de la Ley de arbitraje era tempestiva </w:t>
      </w:r>
      <w:r w:rsidRPr="00D06117">
        <w:rPr>
          <w:i/>
        </w:rPr>
        <w:t>ex</w:t>
      </w:r>
      <w:r>
        <w:t xml:space="preserve"> arts. 4 y 135 LEC (STC 32/1989) [FJ 5].</w:t>
      </w:r>
    </w:p>
    <w:p w:rsidR="00D06117" w:rsidRDefault="00D06117" w:rsidP="00D06117">
      <w:pPr>
        <w:pStyle w:val="Extracto"/>
      </w:pPr>
    </w:p>
    <w:p w:rsidR="00D06117" w:rsidRDefault="00D06117" w:rsidP="00D06117">
      <w:pPr>
        <w:pStyle w:val="Extracto"/>
      </w:pPr>
      <w:r>
        <w:t>2.</w:t>
      </w:r>
      <w:r>
        <w:tab/>
        <w:t xml:space="preserve">La caducidad de la acción adquiere relevancia constitucional cuando la decisión judicial de inadmisión sea consecuencia de la utilización de un criterio interpretativo rigorista o desproporcionado en relación con los fines que trata de proteger y los intereses que sacrifica, habida cuenta de la mayor intensidad con la que se proyecta el principio </w:t>
      </w:r>
      <w:r w:rsidRPr="00D06117">
        <w:rPr>
          <w:i/>
        </w:rPr>
        <w:t>pro actione</w:t>
      </w:r>
      <w:r>
        <w:t xml:space="preserve"> cuando se arriesga el derecho de acceso a la jurisdicción y, por tanto, la obtención de una primera respuesta judicial sobre la pretensión formulada [FJ 3].</w:t>
      </w:r>
    </w:p>
    <w:p w:rsidR="00D06117" w:rsidRDefault="00D06117" w:rsidP="00D06117">
      <w:pPr>
        <w:pStyle w:val="Extracto"/>
      </w:pPr>
    </w:p>
    <w:p w:rsidR="00D06117" w:rsidRDefault="00D06117" w:rsidP="00D06117">
      <w:pPr>
        <w:pStyle w:val="Extracto"/>
      </w:pPr>
      <w:r>
        <w:t>3.</w:t>
      </w:r>
      <w:r>
        <w:tab/>
        <w:t xml:space="preserve">Vulneran el derecho de acceso a la jurisdicción, </w:t>
      </w:r>
      <w:r w:rsidRPr="00D06117">
        <w:rPr>
          <w:i/>
        </w:rPr>
        <w:t>ex</w:t>
      </w:r>
      <w:r>
        <w:t xml:space="preserve"> art. 24.1 CE, por el desproporcionado sacrificio que comportan, las resoluciones judiciales que producen como resultado final una reducción del plazo legal establecido en el art. 135 LEC, convirtiendo en impracticable el derecho a disfrutar de dicho plazo en su integridad (SSTC 64/2005, 179/2007) [FJ 3].</w:t>
      </w:r>
    </w:p>
    <w:p w:rsidR="00D06117" w:rsidRDefault="00D06117" w:rsidP="00D06117">
      <w:pPr>
        <w:pStyle w:val="Extracto"/>
      </w:pPr>
    </w:p>
    <w:p w:rsidR="00D06117" w:rsidRDefault="00D06117" w:rsidP="00D06117">
      <w:pPr>
        <w:pStyle w:val="Extracto"/>
      </w:pPr>
      <w:r>
        <w:t>4.</w:t>
      </w:r>
      <w:r>
        <w:tab/>
        <w:t>El derecho a obtener un pronunciamiento jurisdiccional sobre el fondo de las pretensiones oportunamente deducidas se satisface también con una decisión de inadmisión fundada en una causa legal, siempre que haya sido razonablemente apreciada por el órgano judicial (STC 11/2011) [FJ 3].</w:t>
      </w:r>
    </w:p>
    <w:p w:rsidR="00D06117" w:rsidRDefault="00D06117" w:rsidP="00D06117">
      <w:pPr>
        <w:pStyle w:val="Extracto"/>
      </w:pPr>
    </w:p>
    <w:p w:rsidR="00D06117" w:rsidRDefault="00D06117" w:rsidP="00D06117">
      <w:pPr>
        <w:pStyle w:val="Extracto"/>
      </w:pPr>
      <w:r>
        <w:t>5.</w:t>
      </w:r>
      <w:r>
        <w:tab/>
        <w:t xml:space="preserve">La providencia que declaró no haber lugar a admitir a trámite el incidente de nulidad de actuaciones no incumple el requisito de agotamiento de la vía judicial previa, </w:t>
      </w:r>
      <w:r w:rsidRPr="00D06117">
        <w:rPr>
          <w:i/>
        </w:rPr>
        <w:t>ex</w:t>
      </w:r>
      <w:r>
        <w:t xml:space="preserve"> art. 44.1 a) LOTC, porque se justifica en motivos materiales o de fondo y no en razones simplemente formales o en la defectuosa interposición del incidente de nulidad [FJ 2].</w:t>
      </w:r>
    </w:p>
    <w:p w:rsidR="00D06117" w:rsidRDefault="00D06117" w:rsidP="00D06117">
      <w:pPr>
        <w:pStyle w:val="Extracto"/>
      </w:pPr>
    </w:p>
    <w:p w:rsidR="00D06117" w:rsidRDefault="00D06117" w:rsidP="00D06117">
      <w:pPr>
        <w:pStyle w:val="Extracto"/>
      </w:pPr>
      <w:r>
        <w:t>6.</w:t>
      </w:r>
      <w:r>
        <w:tab/>
        <w:t xml:space="preserve">La objeción del incumplimiento del requisito de justificación de la especial trascendencia constitucional del recurso, </w:t>
      </w:r>
      <w:r w:rsidRPr="00D06117">
        <w:rPr>
          <w:i/>
        </w:rPr>
        <w:t>ex</w:t>
      </w:r>
      <w:r>
        <w:t xml:space="preserve"> art. 49.1 LOTC, debe ser rechazada, al contener la demanda de amparo un apartado específicamente dedicado a cumplir con dicha carga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3132-2010, promovido por don José Javier Gastearena Erice, representado por el Procurador de los Tribunales don José Luis Martín Jaureguibeitia y asistido por la Abogada doña Fabiola Alberdi Peña, contra la Sentencia de la Audiencia Provincial de Bizkaia, Sección Cuarta, de 5 de enero de 2010, recaída en acción de anulación de laudo arbitral y contra la providencia de 24 de febrero de 2010, de la misma Sección, inadmitiendo a trámite el incidente de nulidad de actuaciones promovido contra la anterior resolución. Ha intervenido el Ministerio Fiscal. Ha actuado como parte don Mikel Gastearena Gorrochategui, representado por la Procuradora doña Elisa Zabía de la Mata y defendido por el Letrado don Gonzalo Barrenechea Correa.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el 15 de abril de 2010 el Procurador de los Tribunales don José Luis Martín Jaureguibeitia, en nombre y representación de don José Javier Gastearena Erice, interpuso demanda de amparo contra las resoluciones judiciales a las que se hecho referencia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relevantes para la resolución del presente recurso de amparo son los siguientes:</w:t>
      </w:r>
    </w:p>
    <w:p w:rsidR="00D06117" w:rsidRDefault="00D06117" w:rsidP="00D06117">
      <w:pPr>
        <w:pStyle w:val="TextoNormal"/>
      </w:pPr>
    </w:p>
    <w:p w:rsidR="00D06117" w:rsidRDefault="00D06117" w:rsidP="00D06117">
      <w:pPr>
        <w:pStyle w:val="TextoNormal"/>
      </w:pPr>
      <w:r>
        <w:t>a) Con fecha 29 de abril de 2008 el demandante de amparo recibió la notificación de la resolución de igual fecha de la corte arbitral del Ilustre Colegio de Abogados del Señorío de Bizkaia aclarando su Laudo anterior de 11 de abril de 2008, dictado en el arbitraje en Derecho núm. 10-2007.</w:t>
      </w:r>
    </w:p>
    <w:p w:rsidR="00D06117" w:rsidRDefault="00D06117" w:rsidP="00D06117">
      <w:pPr>
        <w:pStyle w:val="TextoNormal"/>
      </w:pPr>
    </w:p>
    <w:p w:rsidR="00D06117" w:rsidRDefault="00D06117" w:rsidP="00D06117">
      <w:pPr>
        <w:pStyle w:val="TextoNormal"/>
      </w:pPr>
      <w:r>
        <w:t xml:space="preserve">b) Por considerar que esa resolución aclaratoria vulneraba el principio de intangibilidad de las resoluciones arbitrales el recurrente en amparo ejerció contra la misma la acción de </w:t>
      </w:r>
      <w:r>
        <w:lastRenderedPageBreak/>
        <w:t>anulación prevista en los arts. 40 y siguientes de la Ley 60/2003, de 23 de diciembre, de arbitraje, y que fue registrada, para su tramitación, en el Juzgado decano de la Audiencia Provincial de Bizkaia el siguiente 30 de junio de 2008, a las 14:55 horas.</w:t>
      </w:r>
    </w:p>
    <w:p w:rsidR="00D06117" w:rsidRDefault="00D06117" w:rsidP="00D06117">
      <w:pPr>
        <w:pStyle w:val="TextoNormal"/>
      </w:pPr>
    </w:p>
    <w:p w:rsidR="00D06117" w:rsidRDefault="00D06117" w:rsidP="00D06117">
      <w:pPr>
        <w:pStyle w:val="TextoNormal"/>
      </w:pPr>
      <w:r>
        <w:t>c) El 5 de enero de 2010 la Sección Cuarta de la Audiencia Provincial de Bizkaia dictó Sentencia declarando la caducidad de la acción ejercida por el demandante de amparo (núm. 474-2008) por considerar, en línea con el criterio que luce en la jurisprudencia que cita y que afirma es mayoritaria, que el plazo para ejercer la citada acción de nulidad es un plazo civil, no susceptible de interrupción y, por tanto, que el presente asunto concluyó el 29 de junio de 2008. Por este motivo considera indiferente la hora del día siguiente 30 de junio en la que finalmente el actor presentó su demanda, “por cuanto el art. 135 LEC se refiere a la presentación de los escritos de término en relación con los plazos procesales” y no, por tanto, con los plazos civiles.</w:t>
      </w:r>
    </w:p>
    <w:p w:rsidR="00D06117" w:rsidRDefault="00D06117" w:rsidP="00D06117">
      <w:pPr>
        <w:pStyle w:val="TextoNormal"/>
      </w:pPr>
    </w:p>
    <w:p w:rsidR="00D06117" w:rsidRDefault="00D06117" w:rsidP="00D06117">
      <w:pPr>
        <w:pStyle w:val="TextoNormal"/>
      </w:pPr>
      <w:r>
        <w:t>d) Frente a esta Sentencia el demandante de amparo promovió incidente de nulidad de actuaciones con arreglo a lo dispuesto en el art. 241.1 en la Ley Orgánica del Poder Judicial (LOPJ) denunciando la vulneración de su derecho a la tutela judicial efectiva, en su vertiente de derecho de acceso a la jurisdicción (art. 24.1 CE), por considerar que la resolución judicial cuestionada le impidió disfrutar del plazo en su integridad. Mediante providencia de 24 de febrero de 2010 la Audiencia Provincial de Bizkaia acordó no haber lugar al incidente promovido por considerar, de un lado, que la nulidad interesada no se fundaba en la concurrencia de ninguno de los motivos previstos en los arts. 238 LOPJ y 225 de la Ley de enjuiciamiento civil (LEC), y, de otro, por no apreciar la lesión del art. 24.1 CE denunciada, toda vez que en su criterio la Sentencia impugnada es “una resolución fundada en Derecho, según la interpretación de este Tribunal, tanto de la naturaleza del plazo por la interposición de la acción anulatoria, cuanto de la inaplicación del art. 135 LEC a un plazo civil”.</w:t>
      </w:r>
    </w:p>
    <w:p w:rsidR="00D06117" w:rsidRDefault="00D06117" w:rsidP="00D06117">
      <w:pPr>
        <w:pStyle w:val="TextoNormal"/>
      </w:pPr>
    </w:p>
    <w:p w:rsidR="00D06117" w:rsidRDefault="00D06117" w:rsidP="00D06117">
      <w:pPr>
        <w:pStyle w:val="TextoNormal"/>
      </w:pPr>
      <w:r w:rsidRPr="00D06117">
        <w:rPr>
          <w:rStyle w:val="NumeroAFNegritaCaracter"/>
        </w:rPr>
        <w:t>3</w:t>
      </w:r>
      <w:r>
        <w:t>. En su demanda de amparo el recurrente denuncia que la Sentencia impugnada ha vulnerado su derecho a la tutela judicial efectiva (art. 24.1 CE), en su vertiente de derecho de acceso a la jurisdicción. Como ya hiciera antes en la vía judicial insiste ahora en que la decisión judicial de declarar caducada la acción de nulidad que presentó prescinde sin ninguna justificación razonable de lo dispuesto en el art. 135 LEC e ignora también la jurisprudencia, tanto ordinaria como constitucional, que en forma unánime ha subrayado la necesidad de interpretar los presupuestos y requisitos procesales con arreglo al principio pro actione con el objeto de impedir decisiones de inadmisión excesivamente rigoristas y desproporcionadas y, en consecuencia, permitir la obtención de una primera decisión judicial sobre el fondo de la pretensión planteada. Y para probarlo refiere, en particular, la consolidada doctrina constitucional, dictada precisamente al hilo del art. 135 LEC, según la cual el plazo para la interposición de un recurso o, en general, la evacuación de un trámite procesal comprende el reconocimiento del derecho a disponer del plazo en su integridad. Finalmente, en cumplimiento del art. 49 de la Ley Orgánica del Tribunal Constitucional (LOTC), el recurrente razona sobre la especial trascendencia del recurso, que cifra en la necesidad de que este Tribunal se pronuncie acerca de la aplicación también del art. 135.1 LEC a los procesos civiles en los que se ejercita una acción sometida a plazo de caducidad.</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Mediante providencia de 28 de febrero de 2011 la Sala Primera de este Tribunal acordó la admisión a trámite de la demanda de amparo presentada y, de conformidad con lo </w:t>
      </w:r>
      <w:r>
        <w:lastRenderedPageBreak/>
        <w:t>dispuesto en el art. 51 LOTC, dirigir atenta comunicación a la Audiencia Provincial de Bizkaia para que en el plazo de diez días remitiera certificación o fotocopia adverada de las actuaciones correspondientes al procedimiento de acción de nulidad de laudo arbitral núm. 474-2008 y emplazase a quienes hubieran sido partes en el procedimiento para que pudieran comparecer en este proceso constitucional; lo que así hizo el siguiente día 12 de abril de 2011 la Procuradora de los Tribunales doña Elisa Zabía de la Mata solicitando, en nombre y representación de don Mikel Gastearena Gorrochategui, se le tuviera por personada y parte en 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del Secretario de Justicia de la Sala Primera de este Tribunal de 14 de abril de 2011 se acordó tener por recibidos los testimonios de las actuaciones reclamadas, por personado y parte a don Mikel Gastearena Gorrochategui y, con arreglo al art. 52.1 LOTC, conceder al Ministerio Fiscal y a las partes personadas plazo común de veinte días para que, con vista de las actuaciones recibidas, formulasen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Con fecha 25 de mayo de 2011 el Ministerio Fiscal presentó sus alegaciones interesando el otorgamiento del amparo. Luego de resumir los antecedentes del caso y precisar el objeto de la controversia el Fiscal, con cita de la doctrina constitucional sobre el art. 135 LEC, concluye que la distinción entre plazos civiles y plazos procesales que sirve de fundamento a la decisión judicial impugnada carece de justificación razonable y resulta excesivamente rigorista y desproporcionada, por lo que la Sentencia impugnada vulneró efectivamente el derecho a la tutela judicial efectiva, en su vertiente de derecho de acceso a la jurisdicción (art. 24.1 CE). Por añadidura el Ministerio Fiscal considera que la providencia del órgano judicial que acordó no haber lugar al incidente de nulidad promovido por el demandante de amparo incurre en idéntico excesivo rigor y resulta, en consecuencia, igualmente contraria al art. 24.1 CE.</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en este Tribunal el 26 de mayo de 2011 la representación procesal de don Mikel Gastearena Gorrochategui formuló sus alegaciones interesando en primer término la inadmisión del presente recurso de amparo por dos motivos. Primero por falta de agotamiento de la vía judicial previa [art. 44.1 a) LOTC], al considerar que el demandante de amparo promovió el oportuno incidente de nulidad actuaciones en forma defectuosa, dando lugar a su obligada inadmisión. Y segundo por falta de justificación de la especial trascendencia constitucional del recurso (art. 49.1 LOTC).</w:t>
      </w:r>
    </w:p>
    <w:p w:rsidR="00D06117" w:rsidRDefault="00D06117" w:rsidP="00D06117">
      <w:pPr>
        <w:pStyle w:val="TextoNormal"/>
      </w:pPr>
    </w:p>
    <w:p w:rsidR="00D06117" w:rsidRDefault="00D06117" w:rsidP="00D06117">
      <w:pPr>
        <w:pStyle w:val="TextoNormal"/>
      </w:pPr>
      <w:r>
        <w:t>En segundo lugar, en cuanto al fondo del recurso, la citada parte procesal se opone igualmente al otorgamiento del amparo solicitado por considerar que la interpretación de la sentencia impugnada no es en modo alguno inmotivada, irrazonable o rigorista, y que el recurrente no ha demostrado que no pudiera presentar su demanda el día del vencimiento del plazo ni, en consecuencia, no pudiera disponer del correspondiente plazo para hacerlo en su integridad.</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12 de abril de 2012, se señaló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demandante de amparo impugna la Sentencia de la Sección Cuarta de la Audiencia Provincial de Bizkaia, de 5 de enero de 2010, que declaró la caducidad de la acción de anulación de laudo arbitral presentada por el recurrente en el procedimiento núm. 474-2008 con arreglo al art. 135.1 de la Ley de enjuiciamiento civil (LEC), y la providencia del propio órgano judicial, de 24 de febrero de 2010, que acordó no haber lugar a admitir el incidente de nulidad de actuaciones promovido contra la citada Sentencia. El recurrente denuncia que estas resoluciones judiciales, al rechazar la aplicación al caso del citado precepto legal, que permite la presentación de escritos hasta la quince horas del día hábil siguiente al del vencimiento del correspondiente plazo, e impedirle, en consecuencia, disfrutar del plazo en su integridad, vulneraron su derecho a la tutela judicial efectiva, en su vertiente de derecho de acceso a la jurisdicción (art. 24.1 CE).</w:t>
      </w:r>
    </w:p>
    <w:p w:rsidR="00D06117" w:rsidRDefault="00D06117" w:rsidP="00D06117">
      <w:pPr>
        <w:pStyle w:val="TextoNormal"/>
      </w:pPr>
    </w:p>
    <w:p w:rsidR="00D06117" w:rsidRDefault="00D06117" w:rsidP="00D06117">
      <w:pPr>
        <w:pStyle w:val="TextoNormal"/>
      </w:pPr>
      <w:r>
        <w:t>Ésta es también la opinión del Ministerio Fiscal que por parecidas razones interesa el otorgamiento del amparo solicitado. Por su parte, la representación procesal de don Mikel Gastearena Gorrochategui, parte en el proceso judicial a quo y personada en este proceso constitucional, solicita la inadmisión del presente recurso de amparo y subsidiariamente su desestimación.</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examinar el fondo del asunto debemos pronunciarnos sobre las tachas de admisión opuestas en su escrito de alegaciones por la representación procesal de don Mikel Gastearena Gorrochategui. Conforme se ha dejado anotado en los antecedentes, en su opinión, el presente recurso de amparo debiera ser inadmitido por incumplir, de un lado, el requisito de agotamiento de la vía judicial previa del art. 44.1 a) de la Ley Orgánica del Tribunal Constitucional (LOTC), y, de otro, la carga de justificar la especial trascendencia constitucional del recurso que exige el art. 49.1 LOTC in fine.</w:t>
      </w:r>
    </w:p>
    <w:p w:rsidR="00D06117" w:rsidRDefault="00D06117" w:rsidP="00D06117">
      <w:pPr>
        <w:pStyle w:val="TextoNormal"/>
      </w:pPr>
    </w:p>
    <w:p w:rsidR="00D06117" w:rsidRDefault="00D06117" w:rsidP="00D06117">
      <w:pPr>
        <w:pStyle w:val="TextoNormal"/>
      </w:pPr>
      <w:r>
        <w:t>Estas dos objeciones deben ser rechazadas. La primera porque la providencia de la Audiencia Provincial de Bizkaia, de 24 de febrero de 2010, que declaró no haber lugar a admitir a trámite el incidente de nulidad de actuaciones promovido por el demandante de amparo, se justifica en motivos materiales o de fondo y no, por tanto, como opina la citada representación procesal, en razones simplemente formales o en la defectuosa interposición del incidente de nulidad considerado. Como se desprende de las actuaciones recibidas y testimonia en forma inequívoca el contenido de la citada providencia, el órgano judicial acordó inadmitir el incidente de nulidad promovido por considerar de modo principal que su interpretación del art. 135 LEC no pugnaba con el art. 24.1 CE entonces denunciado por el demandante de amparo. En estas condiciones el fracaso en el presente asunto del remedio procesal intentado por el recurrente no puede equivaler al incumplimiento del requisito del art. 44.1 a) LOTC, so pena de confundir “recurso defectuosamente interpuesto” con “recurso infundado”, que es precisamente lo que este Tribunal se cuidó de precisar en su ATC 198/2010, de 21 de diciembre (FJ 8), invocado por la citada parte procesal.</w:t>
      </w:r>
    </w:p>
    <w:p w:rsidR="00D06117" w:rsidRDefault="00D06117" w:rsidP="00D06117">
      <w:pPr>
        <w:pStyle w:val="TextoNormal"/>
      </w:pPr>
    </w:p>
    <w:p w:rsidR="00D06117" w:rsidRDefault="00D06117" w:rsidP="00D06117">
      <w:pPr>
        <w:pStyle w:val="TextoNormal"/>
      </w:pPr>
      <w:r>
        <w:t>Y la segunda porque la demanda de amparo formulada contiene un apartado específicamente dedicado a cumplir con la carga de justificar la trascendencia constitucional del recurso a que obliga el art. 49.1 in fine LOTC.</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Para valorar si la decisión judicial recurrida vulneró el derecho a la tutela judicial efectiva del art. 24.1 CE, en su vertiente de derecho de acceso a la jurisdicción, conviene recordar en primer término que, según es consolidada doctrina constitucional, que está resumida entre otras muchas resoluciones en la más reciente STC 11/2011, de 28 de febrero (FJ 7), el derecho a obtener un pronunciamiento jurisdiccional sobre el fondo de las pretensiones oportunamente deducidas se satisface también con una decisión de inadmisión fundada en una causa legal, siempre que haya sido razonablemente apreciada por el órgano judicial. Y la caducidad de la acción, por transcurso del plazo previsto para su ejercicio, obviamente es una de esas causas legales que impiden un pronunciamiento sobre el fondo.</w:t>
      </w:r>
    </w:p>
    <w:p w:rsidR="00D06117" w:rsidRDefault="00D06117" w:rsidP="00D06117">
      <w:pPr>
        <w:pStyle w:val="TextoNormal"/>
      </w:pPr>
    </w:p>
    <w:p w:rsidR="00D06117" w:rsidRDefault="00D06117" w:rsidP="00D06117">
      <w:pPr>
        <w:pStyle w:val="TextoNormal"/>
      </w:pPr>
      <w:r>
        <w:t>En esa misma doctrina constitucional está igualmente dicho que el cómputo de los plazos sustantivos y procesales y, en lo que ahora más nos importa, la caducidad de la acción es una cuestión de simple legalidad ordinaria y, en consecuencia, que corresponde decidir a la jurisdicción ordinaria en el ejercicio de la competencia exclusiva que le reconoce el art. 117.3 CE. Sin embargo esta regla cede y, por consiguiente, la correspondiente cuestión adquiere relevancia constitucional no sólo cuando la decisión judicial de inadmisión sea fruto de un error patente en el cómputo del plazo o de una interpretación arbitraria o manifiestamente irrazonable de la legalidad, sino también cuando sea consecuencia de la utilización de un criterio interpretativo rigorista, excesivamente formalista o desproporcionado en relación con los fines que trata de proteger y los intereses que sacrifica, habida cuenta de la mayor intensidad con la que se proyecta el principio pro actione cuando, como aquí sucede, se arriesga el derecho de acceso a la jurisdicción y, por tanto, la obtención de una primera respuesta judicial sobre la pretensión formulada.</w:t>
      </w:r>
    </w:p>
    <w:p w:rsidR="00D06117" w:rsidRDefault="00D06117" w:rsidP="00D06117">
      <w:pPr>
        <w:pStyle w:val="TextoNormal"/>
      </w:pPr>
    </w:p>
    <w:p w:rsidR="00D06117" w:rsidRDefault="00D06117" w:rsidP="00D06117">
      <w:pPr>
        <w:pStyle w:val="TextoNormal"/>
      </w:pPr>
      <w:r>
        <w:t>En particular, y al hilo precisamente de la regla del art. 135 LEC, hemos declarado que las normas que establecen plazos para la realización de trámites procesales suponen “el reconocimiento del derecho a disponer del correspondiente plazo en su totalidad”, (SSTC 260/2000, de 30 de octubre, FJ 5; 38/2001, de 12 de febrero, FJ 2; 222/2003, de 15 de diciembre, FJ 4; 239/2005, de 26 de septiembre, FJ 2; 199/2007, de 24 de septiembre, FJ 2; y 151/2008, de 17 de noviembre, FJ 4). De modo congruente, hemos afirmado que vulneran el derecho de acceso a la jurisdicción (art. 24.1 CE), por el desproporcionado sacrificio que comportan, las resoluciones judiciales que producen como resultado final una reducción del correspondiente plazo legal, convirtiendo “en impracticable el citado derecho a disfrutar del plazo en su integridad” (SSTC 64/2005, de 14 de marzo, FJ 3; 239/2005, de 26 de septiembre, FJ 2; 25/2007, de 12 de febrero, FJ 2; y 179/2007, de 10 de septiembre, FJ 2).</w:t>
      </w:r>
    </w:p>
    <w:p w:rsidR="00D06117" w:rsidRDefault="00D06117" w:rsidP="00D06117">
      <w:pPr>
        <w:pStyle w:val="TextoNormal"/>
      </w:pPr>
    </w:p>
    <w:p w:rsidR="00D06117" w:rsidRDefault="00D06117" w:rsidP="00D06117">
      <w:pPr>
        <w:pStyle w:val="TextoNormal"/>
      </w:pPr>
      <w:r w:rsidRPr="00D06117">
        <w:rPr>
          <w:rStyle w:val="NumeroAFNegritaCaracter"/>
        </w:rPr>
        <w:t>4</w:t>
      </w:r>
      <w:r>
        <w:t>. Tal y como se ha dejado anotado en los antecedentes, en el presente asunto la resolución arbitral considerada en el proceso judicial a quo fue notificada al recurrente en amparo el 29 de abril de 2008, que interesó su anulación mediante demanda presentada para su tramitación el lunes día 30 de junio a la 14:55 horas. Interesa igualmente recordar que el art. 41.4 de la Ley 60/2003, de arbitraje, establece que la acción de anulación “habrá de ejercitarse dentro de los dos meses siguientes a su notificación”.</w:t>
      </w:r>
    </w:p>
    <w:p w:rsidR="00D06117" w:rsidRDefault="00D06117" w:rsidP="00D06117">
      <w:pPr>
        <w:pStyle w:val="TextoNormal"/>
      </w:pPr>
    </w:p>
    <w:p w:rsidR="00D06117" w:rsidRDefault="00D06117" w:rsidP="00D06117">
      <w:pPr>
        <w:pStyle w:val="TextoNormal"/>
      </w:pPr>
      <w:r>
        <w:t xml:space="preserve">Con estos presupuestos y para poder resolver sobre la excepción de caducidad de la citada demanda de anulación opuesta de contrario, la Sentencia impugnada comienza por preguntarse si el citado plazo de dos meses del art. 41.4 de la Ley de arbitraje “es un plazo civil que, de conformidad con el art. 5 CC … se computará de fecha a fecha sin exclusión de los días inhábiles o, por el contrario, se trata de un plazo procesal que, de conformidad con el </w:t>
      </w:r>
      <w:r>
        <w:lastRenderedPageBreak/>
        <w:t>art. 133 LEC, se computará también en este caso de fecha a fecha pero con exclusión de los días inhábiles”.</w:t>
      </w:r>
    </w:p>
    <w:p w:rsidR="00D06117" w:rsidRDefault="00D06117" w:rsidP="00D06117">
      <w:pPr>
        <w:pStyle w:val="TextoNormal"/>
      </w:pPr>
    </w:p>
    <w:p w:rsidR="00D06117" w:rsidRDefault="00D06117" w:rsidP="00D06117">
      <w:pPr>
        <w:pStyle w:val="TextoNormal"/>
      </w:pPr>
      <w:r>
        <w:t>Para la Sentencia la respuesta es no obstante inequívoca y está probada en otras resoluciones anteriores del propio órgano judicial, que siguen, afirma, la jurisprudencia mayoritaria, de modo que “el plazo para presentar la acción de nulidad es un plazo civil, no susceptible de ser interrumpido y cuyo transcurso produce de forma irremediable la caducidad de los derechos y acciones cuyo ejercicio está sometido a dicho plazo … En su consecuencia, cuando el día 30 de junio se presentó la acción de anulación ya se había producido [su] caducidad … siendo indiferente a la hora en que dicha presentación se hiciera por cuanto el art. 135 LEC se refiere a la presentación de los escritos de término pero en relación con los plazos procesales, que como hemos dicho no son los que corresponden a una acción de esta naturaleza”.</w:t>
      </w:r>
    </w:p>
    <w:p w:rsidR="00D06117" w:rsidRDefault="00D06117" w:rsidP="00D06117">
      <w:pPr>
        <w:pStyle w:val="TextoNormal"/>
      </w:pPr>
    </w:p>
    <w:p w:rsidR="00D06117" w:rsidRDefault="00D06117" w:rsidP="00D06117">
      <w:pPr>
        <w:pStyle w:val="TextoNormal"/>
      </w:pPr>
      <w:r w:rsidRPr="00D06117">
        <w:rPr>
          <w:rStyle w:val="NumeroAFNegritaCaracter"/>
        </w:rPr>
        <w:t>5</w:t>
      </w:r>
      <w:r>
        <w:t>. A la vista de la doctrina constitucional que antes hemos resumido y dados los antecedentes que acabamos de recordar debemos dilucidar ahora si la citada respuesta judicial vulneró o no el derecho a la tutela judicial efectiva del recurrente, en su vertiente de derecho de acceso a la jurisdicción (art. 24.1 CE). Antes no obstante es preciso advertir que no corresponde a este Tribunal, sino a los órganos de la jurisdicción ordinaria, determinar el catálogo de supuestos de presentación de escritos sujetos a plazo cubiertos por la regla del art. 135 LEC. Como menos aún nos corresponde elucidar si el plazo para el ejercicio de la acción de nulidad promovida por el recurrente en el presente asunto es un plazo civil o procesal ni, por lo mismo, determinar tampoco las consecuencias que se siguen de asumir una u otra concepción. Al igual que en otros supuestos semejantes, debe insistirse también ahora en que únicamente nos corresponde comprobar si la interpretación de las normas procesales efectuada por la Sentencia impugnada es o no respetuosa con el derecho a la tutela judicial efectiva del demandante de amparo y, en particular, como antes se ha subrayado, si esa interpretación revela un rigor o formalismo exagerado en relación con los fines que trata de preservar y el sacrificio que comporta y en, consecuencia, acaba por convertir en impracticable el derecho al disfrute del plazo en su totalidad.</w:t>
      </w:r>
    </w:p>
    <w:p w:rsidR="00D06117" w:rsidRDefault="00D06117" w:rsidP="00D06117">
      <w:pPr>
        <w:pStyle w:val="TextoNormal"/>
      </w:pPr>
    </w:p>
    <w:p w:rsidR="00D06117" w:rsidRDefault="00D06117" w:rsidP="00D06117">
      <w:pPr>
        <w:pStyle w:val="TextoNormal"/>
      </w:pPr>
      <w:r>
        <w:t>Con arreglo a este planteamiento y habida cuenta de la regla del art. 135.2 LEC que establece que en las actuaciones ante los Tribunales civiles no se admitirá la presentación de escritos en los Juzgados de guardia, debemos afirmar que la Sentencia impugnada no supera el canon constitucional que es exigible en la interpretación, conforme al principio pro actione, de los requisitos procesales, pues, al declarar que el plazo para la presentación de la acción de nulidad entonces considerada finalizaba el domingo 29 de junio de 2008 y rechazar la aplicación del art. 135 LEC, el órgano judicial dio lugar a una reducción del plazo legal de acceso a la jurisdicción incompatible con el derecho del recurrente a disponer del plazo en su integridad para presentar su acción de nulidad.</w:t>
      </w:r>
    </w:p>
    <w:p w:rsidR="00D06117" w:rsidRDefault="00D06117" w:rsidP="00D06117">
      <w:pPr>
        <w:pStyle w:val="TextoNormal"/>
      </w:pPr>
    </w:p>
    <w:p w:rsidR="00D06117" w:rsidRDefault="00D06117" w:rsidP="00D06117">
      <w:pPr>
        <w:pStyle w:val="TextoNormal"/>
      </w:pPr>
      <w:r>
        <w:t xml:space="preserve">Por consiguiente, forzoso es concluir que la Sentencia impugnada se funda, desde la perspectiva del derecho de acceso a la jurisdicción (art. 24.1 CE), en una interpretación rigorista y desproporcionada de las normas procesales y, por tanto, en una interpretación contraria al derecho a la tutela judicial efectiva del recurrente, quien, pudo razonablemente confiar en que la presentación de su acción de nulidad antes de las 15 horas del siguiente día hábil al del vencimiento del plazo de dos meses previsto en el art. 41.4 de la Ley de arbitraje era tempestiva, dados el descuento habitual del día final del plazo en “el supuesto </w:t>
      </w:r>
      <w:r>
        <w:lastRenderedPageBreak/>
        <w:t>de que sea inhábil” (STC 32/1989, de 13 de febrero, FJ 3), el tenor literal de la regla del art. 135.1 LEC, el carácter genéricamente supletorio de la misma (art. 4 LEC) y la regulación de los Juzgados de guardia (art. 135.2 LEC).</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interpuesto por don José Javier Gastearena Erice y, en su virtud:</w:t>
      </w:r>
    </w:p>
    <w:p w:rsidR="00D06117" w:rsidRDefault="00D06117" w:rsidP="00D06117">
      <w:pPr>
        <w:pStyle w:val="TextoNormal"/>
      </w:pPr>
    </w:p>
    <w:p w:rsidR="00D06117" w:rsidRDefault="00D06117" w:rsidP="00D06117">
      <w:pPr>
        <w:pStyle w:val="TextoNormal"/>
      </w:pPr>
      <w:r>
        <w:t>1º Declarar que ha sido vulnerado el derecho fundamental a la tutela judicial efectiva sin indefensión (art. 24.1 CE) del recurrente.</w:t>
      </w:r>
    </w:p>
    <w:p w:rsidR="00D06117" w:rsidRDefault="00D06117" w:rsidP="00D06117">
      <w:pPr>
        <w:pStyle w:val="TextoNormal"/>
      </w:pPr>
    </w:p>
    <w:p w:rsidR="00D06117" w:rsidRDefault="00D06117" w:rsidP="00D06117">
      <w:pPr>
        <w:pStyle w:val="TextoNormal"/>
      </w:pPr>
      <w:r>
        <w:t>2º Restablecerle en su derecho y, a tal fin, declarar la nulidad de la Sentencia de la Sección Cuarta de la Audiencia Provincial de Bizkaia, 5 de enero de 2010, y de su providencia de 24 de febrero de 2010, dictadas en el procedimiento de acción de nulidad de laudo arbitral núm. 474-2008, con retroacción de actuaciones al momento inmediatamente anterior al dictado de la primera de dichas resoluciones, para que se pronuncie una nueva que sea respetuosa con el derecho a la tutela judicial efectiva del actor.</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0" w:name="SENTENCIA_2012_77"/>
      <w:r>
        <w:lastRenderedPageBreak/>
        <w:t>SENTENCIA 77/2012, de 16 de abril de 2012</w:t>
      </w:r>
    </w:p>
    <w:bookmarkEnd w:id="80"/>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ECLI:ES:TC:2012:77</w:t>
      </w:r>
    </w:p>
    <w:p w:rsidR="00D06117" w:rsidRDefault="00D06117" w:rsidP="00D06117">
      <w:pPr>
        <w:pStyle w:val="SntesisDescriptiva"/>
      </w:pPr>
    </w:p>
    <w:p w:rsidR="00D06117" w:rsidRDefault="00D06117" w:rsidP="00D06117">
      <w:pPr>
        <w:pStyle w:val="SntesisDescriptiva"/>
      </w:pPr>
      <w:r>
        <w:t>Conflicto positivo de competencia 1171-2011 . Planteado por el Consell de la Generalitat Valenciana en relación con el Real Decreto 1260/2010, de 8 de octubre, por el que se modifica el Real Decreto 1472/2007, de 2 de noviembre, que regula la renta básica de emancipación de los jóvenes.</w:t>
      </w:r>
    </w:p>
    <w:p w:rsidR="00D06117" w:rsidRDefault="00D06117" w:rsidP="00D06117">
      <w:pPr>
        <w:pStyle w:val="SntesisDescriptiva"/>
      </w:pPr>
    </w:p>
    <w:p w:rsidR="00D06117" w:rsidRDefault="00D06117" w:rsidP="00D06117">
      <w:pPr>
        <w:pStyle w:val="SntesisAnaltica"/>
      </w:pPr>
      <w:r>
        <w:t>Competencias sobre ordenación general de la economía, vivienda y asistencia social: nulidad de diversos preceptos reglamentarios que vulneran competencias autonómicas (STC 36/2012).</w:t>
      </w:r>
    </w:p>
    <w:p w:rsidR="00D06117" w:rsidRDefault="00D06117" w:rsidP="00D06117">
      <w:pPr>
        <w:pStyle w:val="SntesisAnaltica"/>
      </w:pPr>
    </w:p>
    <w:p w:rsidR="00D06117" w:rsidRDefault="00D06117" w:rsidP="00D06117">
      <w:pPr>
        <w:pStyle w:val="Extracto"/>
      </w:pPr>
      <w:r>
        <w:t>1.</w:t>
      </w:r>
      <w:r>
        <w:tab/>
        <w:t>Aplica la doctrina sobre distribución de competencias en materia de ayudas y, en particular, de regulación de la renta básica de emancipación de la STC 36/2012 [FFJJ 1 a 8].</w:t>
      </w:r>
    </w:p>
    <w:p w:rsidR="00D06117" w:rsidRDefault="00D06117" w:rsidP="00D06117">
      <w:pPr>
        <w:pStyle w:val="Extracto"/>
      </w:pPr>
    </w:p>
    <w:p w:rsidR="00D06117" w:rsidRDefault="00D06117" w:rsidP="00D06117">
      <w:pPr>
        <w:pStyle w:val="Extracto"/>
      </w:pPr>
      <w:r>
        <w:t>2.</w:t>
      </w:r>
      <w:r>
        <w:tab/>
        <w:t xml:space="preserve">La renta básica de emancipación se encuadra en la materia asistencia social, </w:t>
      </w:r>
      <w:r w:rsidRPr="00D06117">
        <w:rPr>
          <w:i/>
        </w:rPr>
        <w:t>ex</w:t>
      </w:r>
      <w:r>
        <w:t xml:space="preserve"> 148.1.20 CE, en cuanto ha quedado asociada a las ayudas que tratan de resolver una problemática social facilitando a determinados grupos de personas con rentas reducidas la efectiva emancipación respecto de sus familias [FJ 3].</w:t>
      </w:r>
    </w:p>
    <w:p w:rsidR="00D06117" w:rsidRDefault="00D06117" w:rsidP="00D06117">
      <w:pPr>
        <w:pStyle w:val="Extracto"/>
      </w:pPr>
    </w:p>
    <w:p w:rsidR="00D06117" w:rsidRDefault="00D06117" w:rsidP="00D06117">
      <w:pPr>
        <w:pStyle w:val="Extracto"/>
      </w:pPr>
      <w:r>
        <w:t>3.</w:t>
      </w:r>
      <w:r>
        <w:tab/>
        <w:t xml:space="preserve">La renta básica de emancipación no tiene encaje en la competencia estatal sobre bases y coordinación de la planificación general de la actividad económica, </w:t>
      </w:r>
      <w:r w:rsidRPr="00D06117">
        <w:rPr>
          <w:i/>
        </w:rPr>
        <w:t>ex</w:t>
      </w:r>
      <w:r>
        <w:t xml:space="preserve"> art. 149.1.13 CE, en tanto que, por su escasa relevancia económica, no supone una medida que incida directa y significativamente sobre la actividad económica general [FJ 3].</w:t>
      </w:r>
    </w:p>
    <w:p w:rsidR="00D06117" w:rsidRDefault="00D06117" w:rsidP="00D06117">
      <w:pPr>
        <w:pStyle w:val="Extracto"/>
      </w:pPr>
    </w:p>
    <w:p w:rsidR="00D06117" w:rsidRDefault="00D06117" w:rsidP="00D06117">
      <w:pPr>
        <w:pStyle w:val="Extracto"/>
      </w:pPr>
      <w:r>
        <w:t>4.</w:t>
      </w:r>
      <w:r>
        <w:tab/>
        <w:t>La renta básica de emancipación no se ubica de modo principal en la materia de vivienda, ya que ésta presenta tan sólo una relación mediata o instrumental con la misma, en la medida en que el fin primordial de facilitar el acceso a una vivienda en alquiler es el de fomentar la emancipación de los jóvenes, no tratándose por tanto, de desarrollar una política en materia de vivienda, fomentando de forma más intensa el alquiler (STC 36/2012) [FJ 3].</w:t>
      </w:r>
    </w:p>
    <w:p w:rsidR="00D06117" w:rsidRDefault="00D06117" w:rsidP="00D06117">
      <w:pPr>
        <w:pStyle w:val="Extracto"/>
      </w:pPr>
    </w:p>
    <w:p w:rsidR="00D06117" w:rsidRDefault="00D06117" w:rsidP="00D06117">
      <w:pPr>
        <w:pStyle w:val="Extracto"/>
      </w:pPr>
      <w:r>
        <w:t>5.</w:t>
      </w:r>
      <w:r>
        <w:tab/>
        <w:t>En ejercicio de la potestad subvencional del gasto público, cuando la Comunidad Autónoma ostenta una competencia exclusiva sobre una determinada materia y el Estado no invoca título competencial alguno sobre la misma, corresponde a éste decidir sobre la asignación de parte de sus fondos presupuestarios a esa materia y regular los aspectos centrales del régimen subvencional, siendo de competencia autonómica lo atinente a su gestión (SSTC 178/2011, 36/2012) [FJ 4].</w:t>
      </w:r>
    </w:p>
    <w:p w:rsidR="00D06117" w:rsidRDefault="00D06117" w:rsidP="00D06117">
      <w:pPr>
        <w:pStyle w:val="Extracto"/>
      </w:pPr>
    </w:p>
    <w:p w:rsidR="00D06117" w:rsidRDefault="00D06117" w:rsidP="00D06117">
      <w:pPr>
        <w:pStyle w:val="Extracto"/>
      </w:pPr>
      <w:r>
        <w:t>6.</w:t>
      </w:r>
      <w:r>
        <w:tab/>
        <w:t xml:space="preserve">La facultad de gasto público, consecuencia lógica de la autonomía financiera, no es título legitimador de atribución de competencias, ya que la inversión de fondos propios en una determinada actividad no es un título competencial propio, ni el </w:t>
      </w:r>
      <w:r>
        <w:lastRenderedPageBreak/>
        <w:t>solo hecho de financiar puede erigirse en núcleo que atraiga hacia sí toda competencia sobre los variados aspectos a que pueda dar lugar la actividad de financiación (SSTC 179/1985, 36/2012) [FJ 4].</w:t>
      </w:r>
    </w:p>
    <w:p w:rsidR="00D06117" w:rsidRDefault="00D06117" w:rsidP="00D06117">
      <w:pPr>
        <w:pStyle w:val="Extracto"/>
      </w:pPr>
    </w:p>
    <w:p w:rsidR="00D06117" w:rsidRDefault="00D06117" w:rsidP="00D06117">
      <w:pPr>
        <w:pStyle w:val="Extracto"/>
      </w:pPr>
      <w:r>
        <w:t>7.</w:t>
      </w:r>
      <w:r>
        <w:tab/>
        <w:t>La actuación estatal subvencional sólo se justifica en los casos en que, por razón de la materia sobre la que la subvención opera, la Constitución o los Estatutos de Autonomía hayan reservado al Estado competencias sobre dicha materia o cuando esa actuación se enmarque en las facultades estatales de dirección y coordinación de la política económica  (STC 201/1988) [FJ 4].</w:t>
      </w:r>
    </w:p>
    <w:p w:rsidR="00D06117" w:rsidRDefault="00D06117" w:rsidP="00D06117">
      <w:pPr>
        <w:pStyle w:val="Extracto"/>
      </w:pPr>
    </w:p>
    <w:p w:rsidR="00D06117" w:rsidRDefault="00D06117" w:rsidP="00D06117">
      <w:pPr>
        <w:pStyle w:val="Extracto"/>
      </w:pPr>
      <w:r>
        <w:t>8.</w:t>
      </w:r>
      <w:r>
        <w:tab/>
        <w:t>El apartado impugnado vulnera la competencia autonómica en cuanto atribuye la competencia para la suspensión cautelar del pago de las ayudas a un órgano estatal, ya que el establecimiento de normas de control de la gestión autonómica de las subvenciones debe considerarse un control exorbitante que invade la autonomía financiera autonómica (SSTC 98/2001, 36/2012) [FJ 5].</w:t>
      </w:r>
    </w:p>
    <w:p w:rsidR="00D06117" w:rsidRDefault="00D06117" w:rsidP="00D06117">
      <w:pPr>
        <w:pStyle w:val="Extracto"/>
      </w:pPr>
    </w:p>
    <w:p w:rsidR="00D06117" w:rsidRDefault="00D06117" w:rsidP="00D06117">
      <w:pPr>
        <w:pStyle w:val="Extracto"/>
      </w:pPr>
      <w:r>
        <w:t>9.</w:t>
      </w:r>
      <w:r>
        <w:tab/>
        <w:t>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(SSTC 129/2010, 36/2012) [FJ 6].</w:t>
      </w:r>
    </w:p>
    <w:p w:rsidR="00D06117" w:rsidRDefault="00D06117" w:rsidP="00D06117">
      <w:pPr>
        <w:pStyle w:val="Extracto"/>
      </w:pPr>
    </w:p>
    <w:p w:rsidR="00D06117" w:rsidRDefault="00D06117" w:rsidP="00D06117">
      <w:pPr>
        <w:pStyle w:val="Extracto"/>
      </w:pPr>
      <w:r>
        <w:t>10.</w:t>
      </w:r>
      <w:r>
        <w:tab/>
        <w:t>El precepto impugnado debe ser declarado no conforme con el orden constitucional de competencias en tanto se refiere a actuaciones a desarrollar por un órgano estatal con las entidades de crédito con las que hubiera suscrito un convenio, de tal modo que reserva a dicho órgano estatal facultades relacionadas con la gestión de las ayudas (SSTC 129/2010, 36/2012) [FJ 7].</w:t>
      </w:r>
    </w:p>
    <w:p w:rsidR="00D06117" w:rsidRDefault="00D06117" w:rsidP="00D06117">
      <w:pPr>
        <w:pStyle w:val="Extracto"/>
      </w:pPr>
    </w:p>
    <w:p w:rsidR="00D06117" w:rsidRDefault="00D06117" w:rsidP="00D06117">
      <w:pPr>
        <w:pStyle w:val="Extracto"/>
      </w:pPr>
      <w:r>
        <w:t>11.</w:t>
      </w:r>
      <w:r>
        <w:tab/>
        <w:t>Doctrina sobre la pervivencia del objeto del conflicto positivo de competencia pese a la modificación o derogación de la norma (SSTC 158/2011, 36/2012) [FJ 2].</w:t>
      </w:r>
    </w:p>
    <w:p w:rsidR="00D06117" w:rsidRDefault="00D06117" w:rsidP="00D06117">
      <w:pPr>
        <w:pStyle w:val="Extracto"/>
      </w:pPr>
    </w:p>
    <w:p w:rsidR="00D06117" w:rsidRDefault="00D06117" w:rsidP="00D06117">
      <w:pPr>
        <w:pStyle w:val="Extracto"/>
      </w:pPr>
      <w:r>
        <w:t>12.</w:t>
      </w:r>
      <w:r>
        <w:tab/>
        <w:t>Procede la estimación parcial del conflicto con declaración de la titularidad de la competencia controvertida a favor de la Comunidad valenciana y la anulación de los preceptos correspondientes, que ha de realizarse con respeto, en todo caso, de las ayudas que ya hayan sido concedidas [FJ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conflicto positivo de competencia núm. 1171-2011 planteado por el Consell de la Generalitat Valenciana contra el Real Decreto 1260/2010, de 8 de octubre, por el que se modifica el Real Decreto 1472/2007, de 2 de noviembre, por el que se regula la renta básica de emancipación de los jóvenes. Ha formulado alegaciones el Abogado del Estado. Ha sido Ponente el Magistrado don Eugeni Gay Montalvo,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día 28 de febrero de 2011 la Abogada de la Generalitat de la Comunidad Valenciana, en la representación que legalmente ostenta, promueve conflicto positivo de competencia contra el Real Decreto 1260/2010, de 8 de octubre, por el que se modifica el Real Decreto 1472/2007, de 2 de noviembre, por el que se regula la renta básica de emancipación de los jóvenes. El conflicto se fundamenta en las alegaciones que, resumidamente, se exponen a continuación.</w:t>
      </w:r>
    </w:p>
    <w:p w:rsidR="00D06117" w:rsidRDefault="00D06117" w:rsidP="00D06117">
      <w:pPr>
        <w:pStyle w:val="TextoNormal"/>
      </w:pPr>
    </w:p>
    <w:p w:rsidR="00D06117" w:rsidRDefault="00D06117" w:rsidP="00D06117">
      <w:pPr>
        <w:pStyle w:val="TextoNormal"/>
      </w:pPr>
      <w:r>
        <w:t>Tras hacer referencia a los antecedentes del presente conflicto y al cumplimiento de los requisitos procesales para interponerlo, la Abogada de la Generalitat de la Comunidad Valenciana destaca la conexión que el presente conflicto guarda con el tramitado con el número 1608-2008 interpuesto por la propia Generalitat valenciana contra el Real Decreto 1472/2007. Indica a continuación que lo cuestionado son los artículos 3, apartado 6, y 4, apartados 2 y 6, del citado Real Decreto 1472/2007 en la redacción dada a los mismos por el Real Decreto 1260/2010. Seguidamente considera que nada obsta a que el Estado, al amparo de lo dispuesto en el art. 149.1.13 CE, apruebe la “renta básica de emancipación de los jóvenes” con la finalidad de facilitarles el acceso a la vivienda pero ello no le habilita para reservarse competencias de gestión por cuanto no se dan los supuestos excepcionales que justificarían la gestión centralizada de las ayudas.</w:t>
      </w:r>
    </w:p>
    <w:p w:rsidR="00D06117" w:rsidRDefault="00D06117" w:rsidP="00D06117">
      <w:pPr>
        <w:pStyle w:val="TextoNormal"/>
      </w:pPr>
    </w:p>
    <w:p w:rsidR="00D06117" w:rsidRDefault="00D06117" w:rsidP="00D06117">
      <w:pPr>
        <w:pStyle w:val="TextoNormal"/>
      </w:pPr>
      <w:r>
        <w:t>En concreto el escrito de interposición del conflicto reprocha al nuevo art. 3.6 que atribuye la competencia para la suspensión cautelar del pago de las ayudas a un órgano estatal cuando dicha atribución habría de corresponder a la Comunidad Autónoma en tanto que se trata de una circunstancia que puede concurrir a lo largo de la instrucción del procedimiento de concesión de las ayudas. Al artículo 4.2 se le reprocha el establecimiento detallado de plazos, en concreto el plazo de seis meses para la acreditación del cumplimiento de los requisitos que dan derecho a la ayuda y el de tres meses para la subsanación de los defectos que dieron lugar a la suspensión cautelar de la ordenación del pago de las ayudas. Lo cuestionado respecto del art. 4.6 es la obligación del interesado de presentar ante la entidad de crédito colaboradora las resoluciones de modificación o extinción del derecho a la renta básica de emancipación, obligación que se reputa contraria a lo estipulado en la Ley 30/1992 y a los nuevos derechos de acceso electrónico a las Administraciones Públicas.</w:t>
      </w:r>
    </w:p>
    <w:p w:rsidR="00D06117" w:rsidRDefault="00D06117" w:rsidP="00D06117">
      <w:pPr>
        <w:pStyle w:val="TextoNormal"/>
      </w:pPr>
    </w:p>
    <w:p w:rsidR="00D06117" w:rsidRDefault="00D06117" w:rsidP="00D06117">
      <w:pPr>
        <w:pStyle w:val="TextoNormal"/>
      </w:pPr>
      <w:r>
        <w:t>Tras ello la Abogada de la Generalitat de la Comunidad Valenciana alude a la jurisprudencia constitucional en materia de subvenciones (con cita de las SSTC 13/1992 y 242/1999), de la que deduce que debiera haberse procedido a la territorialización de las partidas presupuestarias a favor de las Comunidades Autónomas por ser éstas las competentes para gestionar la ayuda.</w:t>
      </w:r>
    </w:p>
    <w:p w:rsidR="00D06117" w:rsidRDefault="00D06117" w:rsidP="00D06117">
      <w:pPr>
        <w:pStyle w:val="TextoNormal"/>
      </w:pPr>
    </w:p>
    <w:p w:rsidR="00D06117" w:rsidRDefault="00D06117" w:rsidP="00D06117">
      <w:pPr>
        <w:pStyle w:val="TextoNormal"/>
      </w:pPr>
      <w:r>
        <w:t>Asimismo se alega la vulneración de la autonomía financiera de las Comunidades Autónomas establecida en el art. 156 CE pues, según resulta de la norma impugnada, se han consignado centralizadamente los créditos a favor de un órgano estatal, que se reserva el acto de ordenación del pago de las ayudas. De esta forma se impide la gestión autonómica de subvenciones estatales en materias de competencia, lo que supone la utilización del poder de gasto del Estado para vaciar de contenido las competencias exclusivas autonómicas, evitando la preceptiva territorialización de los fondos bien con arreglo a criterios objetivos de reparto, bien mediante convenios ajustados a los principios constitucionales.</w:t>
      </w:r>
    </w:p>
    <w:p w:rsidR="00D06117" w:rsidRDefault="00D06117" w:rsidP="00D06117">
      <w:pPr>
        <w:pStyle w:val="TextoNormal"/>
      </w:pPr>
    </w:p>
    <w:p w:rsidR="00D06117" w:rsidRDefault="00D06117" w:rsidP="00D06117">
      <w:pPr>
        <w:pStyle w:val="TextoNormal"/>
      </w:pPr>
      <w:r>
        <w:t>Por todo ello suplica la estimación del conflicto y que se declare que los artículos 3.6, y 4.2 y 6 del Real Decreto 1472/2007, en su nueva redacción vulneran las competencias de la Comunidad Valenciana.</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15 de marzo de 2011 el Pleno del Tribunal Constitucional, a propuesta de la Sección Tercera, acordó admitir a trámite el presente conflicto; atribuir, de conformidad con lo dispuesto en el art. 10.2 LOTC en la redacción dada por la Ley Orgánica 6/2007, de 24 de mayo, su conocimiento a la Sala Segunda, a la que por turno objetivo le ha correspondido;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citado Real Decreto, en cuyo caso se suspenderá el curso del proceso hasta la decisión del conflicto, según dispone el art. 61.2 de la Ley Orgánica del Tribunal Constitucional (LOTC); y publicar la incoación del conflicto en el “Boletín Oficial del Estado” y en el “Diari Oficial de la Comunitat Valenciana”.</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de 25 de marzo de 2011 el Abogado del Estado se personó en el proceso solicitando una prórroga del plazo concedido para formular alegaciones, prórroga que le fue concedida mediante providencia de la Sala Segunda de 28 de marzo de 2011. El escrito de alegaciones del Abogado del Estado se registró el día 19 de abril de 2011. En dicho escrito se opone a la demanda por las razones que se recogen a continuación.</w:t>
      </w:r>
    </w:p>
    <w:p w:rsidR="00D06117" w:rsidRDefault="00D06117" w:rsidP="00D06117">
      <w:pPr>
        <w:pStyle w:val="TextoNormal"/>
      </w:pPr>
    </w:p>
    <w:p w:rsidR="00D06117" w:rsidRDefault="00D06117" w:rsidP="00D06117">
      <w:pPr>
        <w:pStyle w:val="TextoNormal"/>
      </w:pPr>
      <w:r>
        <w:t>Señala en primer lugar la identidad de objeto, de partes y de argumentación jurídica entre el presente conflicto y el planteado por la Comunidad de Madrid contra el Real Decreto 1472/2007, pues el Real Decreto 1260/2010, objeto del presente procedimiento, es una modificación del anterior que no ofrecería un relieve propio a los efectos de la reivindicación competencial de la Comunidad Autónoma demandante. Constata a este respecto que el escrito de demanda reproduce las alegaciones vertidas contra el texto anterior y a considerar, subsidiariamente, que determinados preceptos del nuevo incidirían en vicio de incompetencia específica.</w:t>
      </w:r>
    </w:p>
    <w:p w:rsidR="00D06117" w:rsidRDefault="00D06117" w:rsidP="00D06117">
      <w:pPr>
        <w:pStyle w:val="TextoNormal"/>
      </w:pPr>
    </w:p>
    <w:p w:rsidR="00D06117" w:rsidRDefault="00D06117" w:rsidP="00D06117">
      <w:pPr>
        <w:pStyle w:val="TextoNormal"/>
      </w:pPr>
      <w:r>
        <w:t xml:space="preserve">En segundo lugar, el Abogado del Estado recalca que la norma ahora impugnada se sitúa en la misma línea que su antecedente con ligeras modificaciones derivadas de la experiencia de su aplicación y, acto seguido, indica que, admitiendo la demanda expresamente que el Estado puede dictar una norma sobre “renta básica de emancipación de los jóvenes”, únicamente se discute la constitucionalidad de dos preceptos específicos que habrían invadido facultades ejecutivas, de tal modo que la cuestión suscitada “ha de centrarse en determinar </w:t>
      </w:r>
      <w:r>
        <w:lastRenderedPageBreak/>
        <w:t>si la actuación estatal se halla justificada por la competencia que el art. 149.1.13 CE le atribuye sobre las bases y la coordinación de la planificación general de la actividad económica”, cuestión que ya ha sido resuelta por la STC129/2010, de 29 de noviembre, que cita en extenso.</w:t>
      </w:r>
    </w:p>
    <w:p w:rsidR="00D06117" w:rsidRDefault="00D06117" w:rsidP="00D06117">
      <w:pPr>
        <w:pStyle w:val="TextoNormal"/>
      </w:pPr>
    </w:p>
    <w:p w:rsidR="00D06117" w:rsidRDefault="00D06117" w:rsidP="00D06117">
      <w:pPr>
        <w:pStyle w:val="TextoNormal"/>
      </w:pPr>
      <w:r>
        <w:t>A continuación, el Abogado del Estado procede a dar contestación a la genérica alegación de la vulneración de la autonomía financiera de la Comunidad, vulneración que descarta por cuanto el Estado puede destinar fondos para el fomento de una materia aunque ésta sea de la exclusiva competencia autonómica, sin que se impida con ello el establecimiento de requisitos adicionales, peculiares o diferentes a los señalados por el Estado en las actuaciones protegidas por éste en materia de vivienda. Por tanto el Abogado del Estado estima que no se trata de una cuestión que ataña a la autonomía financiera de la Comunidad Autónoma, sino ante una cuestión puramente competencial.</w:t>
      </w:r>
    </w:p>
    <w:p w:rsidR="00D06117" w:rsidRDefault="00D06117" w:rsidP="00D06117">
      <w:pPr>
        <w:pStyle w:val="TextoNormal"/>
      </w:pPr>
    </w:p>
    <w:p w:rsidR="00D06117" w:rsidRDefault="00D06117" w:rsidP="00D06117">
      <w:pPr>
        <w:pStyle w:val="TextoNormal"/>
      </w:pPr>
      <w:r>
        <w:t>Pues bien, con esta última perspectiva examina los reproches que la demanda dirige específicamente contra determinados preceptos del Real Decreto 1472/2007 modificados por el Real Decreto 1260/2010, a saber, el apartado 6 del artículo 3 y los apartados 2 y 6 del artículo 4, cuya anulación suplica.</w:t>
      </w:r>
    </w:p>
    <w:p w:rsidR="00D06117" w:rsidRDefault="00D06117" w:rsidP="00D06117">
      <w:pPr>
        <w:pStyle w:val="TextoNormal"/>
      </w:pPr>
    </w:p>
    <w:p w:rsidR="00D06117" w:rsidRDefault="00D06117" w:rsidP="00D06117">
      <w:pPr>
        <w:pStyle w:val="TextoNormal"/>
      </w:pPr>
      <w:r>
        <w:t>Así, respecto del apartado 6 del artículo 3, que establece la suspensión cautelar de la ordenación del pago de las ayudas, el Abogado del Estado señala que este apartado debe ponerse en relación con el anterior apartado 4 —nunca cuestionado por la Generalitat valenciana— que prescribe que sólo manteniéndose las condiciones que habilitan para el reconocimiento de la ayuda se mantendrá el acceso a las mismas. Pues bien, el apartado 6 no hace sino formular una consecuencia del no mantenimiento de las condiciones o incumplimiento de los requisitos reglamentarios, cual es la suspensión cautelar del pago. Por lo demás, las modificaciones introducidas en este apartado 6 buscan la agilización de la tramitación contable de las solicitudes presentadas y precisan con mayor claridad algunas actuaciones de los beneficiarios para facilitar su cumplimiento y la ejecución del presupuesto para el fin propuesto en cada ejercicio.</w:t>
      </w:r>
    </w:p>
    <w:p w:rsidR="00D06117" w:rsidRDefault="00D06117" w:rsidP="00D06117">
      <w:pPr>
        <w:pStyle w:val="TextoNormal"/>
      </w:pPr>
    </w:p>
    <w:p w:rsidR="00D06117" w:rsidRDefault="00D06117" w:rsidP="00D06117">
      <w:pPr>
        <w:pStyle w:val="TextoNormal"/>
      </w:pPr>
      <w:r>
        <w:t>Por lo que se refiere al apartado 2 del artículo 4, el Abogado del Estado recuerda que la STC 129/2010 niega que el plazo fijado en este apartado tenga carácter de norma ordinaria de tramitación y considera que el establecimiento de un plazo máximo común en todo el territorio nacional debe concebirse como criterio coordinador que no menoscaba competencia autonómica alguna, sin que, por lo demás, pueda entenderse que este precepto regule procedimiento de reintegro alguno.</w:t>
      </w:r>
    </w:p>
    <w:p w:rsidR="00D06117" w:rsidRDefault="00D06117" w:rsidP="00D06117">
      <w:pPr>
        <w:pStyle w:val="TextoNormal"/>
      </w:pPr>
    </w:p>
    <w:p w:rsidR="00D06117" w:rsidRDefault="00D06117" w:rsidP="00D06117">
      <w:pPr>
        <w:pStyle w:val="TextoNormal"/>
      </w:pPr>
      <w:r>
        <w:t>Finalmente, respecto del apartado 6 del art. 4, el Abogado del Estado se limita a constatar que este precepto resulta afectado por la disconformidad con el orden constitucional de competencias declarada respecto de los arts. 3.3) y 8 del Real Decreto 1472/2007 declarada por la STC 129/2000, FJ 7.</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12 de abril de 2012 se acordó señalar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Consell de la Generalitat Valenciana contra el Real Decreto 1260/2010, de 8 de octubre, por el que se modifica el Real Decreto 1472/2007, de 2 de noviembre, por el que se regula la renta básica de emancipación de los jóvenes.</w:t>
      </w:r>
    </w:p>
    <w:p w:rsidR="00D06117" w:rsidRDefault="00D06117" w:rsidP="00D06117">
      <w:pPr>
        <w:pStyle w:val="TextoNormal"/>
      </w:pPr>
    </w:p>
    <w:p w:rsidR="00D06117" w:rsidRDefault="00D06117" w:rsidP="00D06117">
      <w:pPr>
        <w:pStyle w:val="TextoNormal"/>
      </w:pPr>
      <w:r>
        <w:t>El Consell de la Generalitat Valenciana estima que los artículos 3.6 y 4, apartados 2 y 6, del citado Real Decreto 1472/2007 en la redacción dada a los mismos por el Real Decreto 1260/2010 no respetan el orden constitucional de competencias y lesionan las competencias autonómicas exclusivas en materia de vivienda así como la autonomía financiera de la Comunidad Autónoma. El Abogado del Estado se ha opuesto al anterior planteamiento señalando que, como acontecía con el Real Decreto 1472/2007, las modificaciones introducidas encontrarían amparo en la competencia estatal del art. 149.1.13 CE.</w:t>
      </w:r>
    </w:p>
    <w:p w:rsidR="00D06117" w:rsidRDefault="00D06117" w:rsidP="00D06117">
      <w:pPr>
        <w:pStyle w:val="TextoNormal"/>
      </w:pPr>
    </w:p>
    <w:p w:rsidR="00D06117" w:rsidRDefault="00D06117" w:rsidP="00D06117">
      <w:pPr>
        <w:pStyle w:val="TextoNormal"/>
      </w:pPr>
      <w:r w:rsidRPr="00D06117">
        <w:rPr>
          <w:rStyle w:val="NumeroAFNegritaCaracter"/>
        </w:rPr>
        <w:t>2</w:t>
      </w:r>
      <w:r>
        <w:t>. Así expuestos los términos de la controversia planteada entre las partes hemos de referirnos ahora a la incidencia que sobre el presente conflicto pueda tener la derogación, en virtud del Real Decreto-ley 20/2011, de 30 de diciembre, del Real Decreto 1472/2007, de 2 de noviembre, en su momento modificado por el Real Decreto 366/2009, de 20 de marzo, y posteriormente por el Real Decreto 1260/2010, de 8 de octubre, siendo este último el objeto del presente conflicto. A este respecto tal y como dijimos en la STC 36/2012, de 15 de marzo, FJ 2, resolutoria de un conflicto planteado frente al Real Decreto 1472/2007, la derogación de éste no incide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De ahí que la derogación del Real Decreto 1472/2007, modificado en su momento por el impugnado Real Decreto 1260/2010, no haya originado, conforme a reiterada doctrina de este Tribunal (por todas, STC 158/2001, de 19 de octubre, FJ5), la desaparición del objeto del presente conflicto.</w:t>
      </w:r>
    </w:p>
    <w:p w:rsidR="00D06117" w:rsidRDefault="00D06117" w:rsidP="00D06117">
      <w:pPr>
        <w:pStyle w:val="TextoNormal"/>
      </w:pPr>
    </w:p>
    <w:p w:rsidR="00D06117" w:rsidRDefault="00D06117" w:rsidP="00D06117">
      <w:pPr>
        <w:pStyle w:val="TextoNormal"/>
      </w:pPr>
      <w:r w:rsidRPr="00D06117">
        <w:rPr>
          <w:rStyle w:val="NumeroAFNegritaCaracter"/>
        </w:rPr>
        <w:t>3</w:t>
      </w:r>
      <w:r>
        <w:t>. Por otra parte, y a pesar de que el Consell de la Generalitat valenciana y el Abogado del Estado coinciden en el encuadre competencial del conflicto planteado, que se situaría, a su juicio en la materia de vivienda, lo cierto es que en la ya citada STC 36/2012 nos hemos apartado del encuadramiento competencial que se realizó en la previa STC 129/2010, de 29 de noviembre (FFJJ 3 y 5), en la cual afirmamos que la materia competencial afectada por la regulación del Real Decreto 1427/2007 era la relativa a vivienda, y que las competencias reconocidas al Estado en el art. 149.1.13 CE darían cobertura a la adopción de medidas como las establecidas en la norma cuestionada.</w:t>
      </w:r>
    </w:p>
    <w:p w:rsidR="00D06117" w:rsidRDefault="00D06117" w:rsidP="00D06117">
      <w:pPr>
        <w:pStyle w:val="TextoNormal"/>
      </w:pPr>
    </w:p>
    <w:p w:rsidR="00D06117" w:rsidRDefault="00D06117" w:rsidP="00D06117">
      <w:pPr>
        <w:pStyle w:val="TextoNormal"/>
      </w:pPr>
      <w:r>
        <w:t xml:space="preserve">Procede, por consiguiente, que nos refiramos al encuadre competencial realizado y a la doctrina sentada en la STC 36/2012 que hemos aplicado en las SSTC 72/2012 y 73/2012, de fecha de hoy, dictadas con motivo de los conflictos positivos de competencia contra el propio Real Decreto 1472/2007, promovido por el propio Consell de la Generalitat Valenciana, así como por el promovido por el Consejo de Gobierno de la Comunidad de Madrid </w:t>
      </w:r>
      <w:r>
        <w:lastRenderedPageBreak/>
        <w:t>contra el Real Decreto 366/2009, de 20 de marzo, por el que se modifica el Real Decreto 1472/2007.</w:t>
      </w:r>
    </w:p>
    <w:p w:rsidR="00D06117" w:rsidRDefault="00D06117" w:rsidP="00D06117">
      <w:pPr>
        <w:pStyle w:val="TextoNormal"/>
      </w:pPr>
    </w:p>
    <w:p w:rsidR="00D06117" w:rsidRDefault="00D06117" w:rsidP="00D06117">
      <w:pPr>
        <w:pStyle w:val="TextoNormal"/>
      </w:pPr>
      <w:r>
        <w:t>De acuerdo con la doctrina recogida en la STC 36/2012, dado que el objeto principal de la ayuda es facilitar la emancipación de los jóvenes, la renta básica de emancipación no se ubica de modo principal en la materia vivienda,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w:t>
      </w:r>
    </w:p>
    <w:p w:rsidR="00D06117" w:rsidRDefault="00D06117" w:rsidP="00D06117">
      <w:pPr>
        <w:pStyle w:val="TextoNormal"/>
      </w:pPr>
    </w:p>
    <w:p w:rsidR="00D06117" w:rsidRDefault="00D06117" w:rsidP="00D06117">
      <w:pPr>
        <w:pStyle w:val="TextoNormal"/>
      </w:pPr>
      <w:r>
        <w:t>En ese mismo fundamento jurídico también se afirma que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 para que pueda entrar en juego dicho título competencial del Estado”.</w:t>
      </w:r>
    </w:p>
    <w:p w:rsidR="00D06117" w:rsidRDefault="00D06117" w:rsidP="00D06117">
      <w:pPr>
        <w:pStyle w:val="TextoNormal"/>
      </w:pPr>
    </w:p>
    <w:p w:rsidR="00D06117" w:rsidRDefault="00D06117" w:rsidP="00D06117">
      <w:pPr>
        <w:pStyle w:val="TextoNormal"/>
      </w:pPr>
      <w:r>
        <w:t>Por tanto, la renta básica de emancipación ha quedado finalmente encuadrada competencialmente en la materia asistencia social en cuanto que “ponderando los distintos objetivos de la norma,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(STC 36/2012, FJ 5). En esta materia la Comunidad Valenciana tiene tanto la competencia genérica en servicios sociales (art. 49.1.24 del Estatuto de Autonomía de la Comunidad Valenciana: EACV) como la específica en materia de juventud (art. 49.1.25 EACV).</w:t>
      </w:r>
    </w:p>
    <w:p w:rsidR="00D06117" w:rsidRDefault="00D06117" w:rsidP="00D06117">
      <w:pPr>
        <w:pStyle w:val="TextoNormal"/>
      </w:pPr>
    </w:p>
    <w:p w:rsidR="00D06117" w:rsidRDefault="00D06117" w:rsidP="00D06117">
      <w:pPr>
        <w:pStyle w:val="TextoNormal"/>
      </w:pPr>
      <w:r w:rsidRPr="00D06117">
        <w:rPr>
          <w:rStyle w:val="NumeroAFNegritaCaracter"/>
        </w:rPr>
        <w:t>4</w:t>
      </w:r>
      <w:r>
        <w:t>. Realizada la señalada delimitación competencial, la STC 36/2012 descartó que el Real Decreto 1472/2007 hubiera invadido en bloque las competencias autonómicas en materia de asistencia social. Así, remitiéndose a la STC 178/2011, de 8 de noviembre, FJ 7, que resolvía un conflicto referido a subvenciones relativas al área de la asistencia social, señala que, es preciso considerar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(STC 36/2012, FJ 8, con cita de la STC 178/2011, FJ 7).</w:t>
      </w:r>
    </w:p>
    <w:p w:rsidR="00D06117" w:rsidRDefault="00D06117" w:rsidP="00D06117">
      <w:pPr>
        <w:pStyle w:val="TextoNormal"/>
      </w:pPr>
    </w:p>
    <w:p w:rsidR="00D06117" w:rsidRDefault="00D06117" w:rsidP="00D06117">
      <w:pPr>
        <w:pStyle w:val="TextoNormal"/>
      </w:pPr>
      <w:r>
        <w:t xml:space="preserve">Respecto a la vulneración del principio de autonomía financiera de la Comunidad Autónoma debido a la asunción por el Estado, en virtud de su potestad de gasto, de actuaciones en una materia de la que carece de competencias, y cuyo desarrollo debe corresponder a las Comunidades Autónomas, dijimos en la STC 36/2012, FJ 7, que no se podía realizar prima facie un pronunciamiento genérico, sino que había de estarse al concreto contenido de la </w:t>
      </w:r>
      <w:r>
        <w:lastRenderedPageBreak/>
        <w:t>norma, “al objeto de determinar si se ha producido algún exceso competencial en dicha regulación con desconocimiento de la autonomía política y financiera de la citada Comunidad”. Sobre este particular, recordó el Tribunal su reiterada doctrina respecto a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Por tanto, la actuación estatal subvencional sólo se justifica en los casos en que, por razón de la materia subvencionada sobre la que opera, “la Constitución o los Estatutos de Autonomía hayan reservado al Estado competencias sobre la materia subvencionada o que aquella actuación se enmarque en las facultades estatales de dirección o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En definitiva, concluíamos, con cita de la STC 96/1990, de 24 de mayo, FJ 15, habrá que estar a la normativa que dicte el Estado para cada tipo de subvención,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de la CE”. (STC 36/2012, FJ 7).</w:t>
      </w:r>
    </w:p>
    <w:p w:rsidR="00D06117" w:rsidRDefault="00D06117" w:rsidP="00D06117">
      <w:pPr>
        <w:pStyle w:val="TextoNormal"/>
      </w:pPr>
    </w:p>
    <w:p w:rsidR="00D06117" w:rsidRDefault="00D06117" w:rsidP="00D06117">
      <w:pPr>
        <w:pStyle w:val="TextoNormal"/>
      </w:pPr>
      <w:r w:rsidRPr="00D06117">
        <w:rPr>
          <w:rStyle w:val="NumeroAFNegritaCaracter"/>
        </w:rPr>
        <w:t>5</w:t>
      </w:r>
      <w:r>
        <w:t>. El artículo único.2 del Real Decreto 1260/2010, de 8 de octubre, por el que se modifica el Real Decreto 1472/2007, de 2 de noviembre, añade al artículo 3 del Real Decreto 1472/2007 un apartado 6, que establece: “El incumplimiento de los requisitos legalmente establecidos producirá la suspensión cautelar de la ordenación del pago de las ayudas por el Ministerio de Vivienda. La incidencia será comunicada a los beneficiarios y a las Comunidades Autónomas y Ciudades de Ceuta y Melilla, a los efectos de lo dispuesto en el apartado 2 del artículo 4”.</w:t>
      </w:r>
    </w:p>
    <w:p w:rsidR="00D06117" w:rsidRDefault="00D06117" w:rsidP="00D06117">
      <w:pPr>
        <w:pStyle w:val="TextoNormal"/>
      </w:pPr>
    </w:p>
    <w:p w:rsidR="00D06117" w:rsidRDefault="00D06117" w:rsidP="00D06117">
      <w:pPr>
        <w:pStyle w:val="TextoNormal"/>
      </w:pPr>
      <w:r>
        <w:t>Este apartado vulnera la competencia autonómica en cuanto atribuye la competencia para la suspensión cautelar del pago de las ayudas a un órgano estatal cuando dicha atribución habría de corresponder a la Comunidad Autónoma. “Ya hemos declarado que el establecimiento de normas de control de la gestión autonómica de las subvenciones debe considerarse un control exorbitante que invade la autonomía financiera autonómica, excepto en lo que se refiere a la obligación de informar al final de cada ejercicio” (STC 36/2012, FJ 9, con cita de la STC 98/2001, de 5 de abril, FJ 8 k).</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La impugnación relativa al apartado 2 del artículo 4 del Real Decreto 1472/2007 modificado por el Real Decreto 1260/2010, al que se le reprocha el establecimiento detallado de plazos y, en concreto, de un plazo de seis meses para la acreditación del cumplimiento de los requisitos que dan derecho a la ayuda y de otro de tres meses para la subsanación de </w:t>
      </w:r>
      <w:r>
        <w:lastRenderedPageBreak/>
        <w:t>los defectos que dieron lugar a la suspensión cautelar de la ordenación del pago de las ayudas, ha de ser desestimada por remisión a los razonamientos contenidos en la STC 36/2012 (FJ 10) en la medida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(con cita en ambos casos de la STC 129/2010, FJ 7).</w:t>
      </w:r>
    </w:p>
    <w:p w:rsidR="00D06117" w:rsidRDefault="00D06117" w:rsidP="00D06117">
      <w:pPr>
        <w:pStyle w:val="TextoNormal"/>
      </w:pPr>
    </w:p>
    <w:p w:rsidR="00D06117" w:rsidRDefault="00D06117" w:rsidP="00D06117">
      <w:pPr>
        <w:pStyle w:val="TextoNormal"/>
      </w:pPr>
      <w:r w:rsidRPr="00D06117">
        <w:rPr>
          <w:rStyle w:val="NumeroAFNegritaCaracter"/>
        </w:rPr>
        <w:t>7</w:t>
      </w:r>
      <w:r>
        <w:t>. El artículo 4.6 del Real Decreto 1472/2007 modificado por el Real Decreto 1260/2010 establece que “el interesado presentará la resolución de reconocimiento definitivo del derecho a la renta básica de emancipación a la entidad de crédito colaboradora a través de la cual haya solicitado recibir dichas ayudas. La entidad lo comunicará al Ministerio de Vivienda si no hubiera recibido previamente del mismo la autorización de pago, a efectos de recabarla, según los criterios que se acuerden al efecto con dicho Ministerio. Igualmente, el interesado presentará ante la entidad de crédito colaboradora las resoluciones de modificación o extinción del derecho a la renta básica de emancipación”.</w:t>
      </w:r>
    </w:p>
    <w:p w:rsidR="00D06117" w:rsidRDefault="00D06117" w:rsidP="00D06117">
      <w:pPr>
        <w:pStyle w:val="TextoNormal"/>
      </w:pPr>
    </w:p>
    <w:p w:rsidR="00D06117" w:rsidRDefault="00D06117" w:rsidP="00D06117">
      <w:pPr>
        <w:pStyle w:val="TextoNormal"/>
      </w:pPr>
      <w:r>
        <w:t>Este precepto debe ser declarado no conforme con el orden constitucional de competencias en tanto se refiere a actuaciones a desarrollar por un órgano estatal con las entidades de crédito con las que hubiera suscrito un convenio, de tal modo que reserva a un órgano estatal facultades relacionadas con la gestión de las ayudas y por resultar afectado por la inconstitucionalidad de los arts. 3.3 a) y 8 del Real Decreto 1472/2007 (SSTC 129/2010, de 29 de noviembre, FJ 7, y 36/2012, FJ 9).</w:t>
      </w:r>
    </w:p>
    <w:p w:rsidR="00D06117" w:rsidRDefault="00D06117" w:rsidP="00D06117">
      <w:pPr>
        <w:pStyle w:val="TextoNormal"/>
      </w:pPr>
    </w:p>
    <w:p w:rsidR="00D06117" w:rsidRDefault="00D06117" w:rsidP="00D06117">
      <w:pPr>
        <w:pStyle w:val="TextoNormal"/>
      </w:pPr>
      <w:r w:rsidRPr="00D06117">
        <w:rPr>
          <w:rStyle w:val="NumeroAFNegritaCaracter"/>
        </w:rPr>
        <w:t>8</w:t>
      </w:r>
      <w:r>
        <w:t>. Llegados a este punto solamente nos resta pronunciarnos sobre el alcance de las consecuencias de la vulneración de competencias que hemos apreciado. A este respecto, por las razones que ya señalamos en la STC 36/2012, FJ 12, nuestro pronunciamiento, que debe incluir no sólo la estimación parcial del conflicto con declaración de la titularidad de la competencia controvertida a favor de la Comunidad valenciana, sino también la anulación de los preceptos correspondientes, ha de realizarse con respeto, en todo caso, de las ayudas que ya hayan sido concedidas.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Estimar parcialmente el conflicto positivo de competencia interpuesto por el Consell de la Generalitat Valenciana y, en consecuencia, declarar que los artículos 3.6 y 4.6 del Real Decreto 1472/2007, de 2 de noviembre, en la nueva redacción que les ha dado el Real Decreto 1260/2010, de 8 de octubre, vulneran las competencias de la Comunidad Valenciana.</w:t>
      </w:r>
    </w:p>
    <w:p w:rsidR="00D06117" w:rsidRDefault="00D06117" w:rsidP="00D06117">
      <w:pPr>
        <w:pStyle w:val="TextoNormal"/>
      </w:pPr>
    </w:p>
    <w:p w:rsidR="00D06117" w:rsidRDefault="00D06117" w:rsidP="00D06117">
      <w:pPr>
        <w:pStyle w:val="TextoNormal"/>
      </w:pPr>
      <w:r>
        <w:t>2º Anular los citados preceptos, con el alcance que se determina en el fundamento jurídico 8 de esta Sentencia.</w:t>
      </w:r>
    </w:p>
    <w:p w:rsidR="00D06117" w:rsidRDefault="00D06117" w:rsidP="00D06117">
      <w:pPr>
        <w:pStyle w:val="TextoNormal"/>
      </w:pPr>
    </w:p>
    <w:p w:rsidR="00D06117" w:rsidRDefault="00D06117" w:rsidP="00D06117">
      <w:pPr>
        <w:pStyle w:val="TextoNormal"/>
      </w:pPr>
      <w:r>
        <w:lastRenderedPageBreak/>
        <w:t>3º Desestimar el conflicto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1" w:name="SENTENCIA_2012_78"/>
      <w:r>
        <w:lastRenderedPageBreak/>
        <w:t>SENTENCIA 78/2012, de 16 de abril de 2012</w:t>
      </w:r>
    </w:p>
    <w:bookmarkEnd w:id="81"/>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ECLI:ES:TC:2012:78</w:t>
      </w:r>
    </w:p>
    <w:p w:rsidR="00D06117" w:rsidRDefault="00D06117" w:rsidP="00D06117">
      <w:pPr>
        <w:pStyle w:val="SntesisDescriptiva"/>
      </w:pPr>
    </w:p>
    <w:p w:rsidR="00D06117" w:rsidRDefault="00D06117" w:rsidP="00D06117">
      <w:pPr>
        <w:pStyle w:val="SntesisDescriptiva"/>
      </w:pPr>
      <w:r>
        <w:t>Cuestión de inconstitucionalidad 4362-2011 . Planteada por la Sección Segunda de la Sala de lo Contencioso-Administrativo del Tribunal Superior de Justicia del País Vasco en relación con el párrafo segundo del art. 34.2 de la Ley del Parlamento Vasco 11/1994, de 17 de junio, de ordenación farmacéutica de la Comunidad Autónoma del País Vasco.</w:t>
      </w:r>
    </w:p>
    <w:p w:rsidR="00D06117" w:rsidRDefault="00D06117" w:rsidP="00D06117">
      <w:pPr>
        <w:pStyle w:val="SntesisDescriptiva"/>
      </w:pPr>
    </w:p>
    <w:p w:rsidR="00D06117" w:rsidRDefault="00D06117" w:rsidP="00D06117">
      <w:pPr>
        <w:pStyle w:val="SntesisAnaltica"/>
      </w:pPr>
      <w:r>
        <w:t>Discriminación por razón de edad: nulidad del precepto legal que limita el otorgamiento de autorización para la apertura de nuevas oficinas de farmacia a los farmacéuticos mayores de sesenta y cinco años exclusivamente al supuesto de que no existan otras solicitudes (STC 63/2011).</w:t>
      </w:r>
    </w:p>
    <w:p w:rsidR="00D06117" w:rsidRDefault="00D06117" w:rsidP="00D06117">
      <w:pPr>
        <w:pStyle w:val="SntesisAnaltica"/>
      </w:pPr>
    </w:p>
    <w:p w:rsidR="00D06117" w:rsidRDefault="00D06117" w:rsidP="00D06117">
      <w:pPr>
        <w:pStyle w:val="Extracto"/>
      </w:pPr>
      <w:r>
        <w:t>1.</w:t>
      </w:r>
      <w:r>
        <w:tab/>
        <w:t xml:space="preserve">La prohibición, establecida en la norma cuestionada, de concesión de autorizaciones de apertura de nuevas oficinas de farmacia a farmacéuticos de más de sesenta y cinco años, salvo que no existan otras solicitudes en el mismo expediente, implica una discriminación por razón de la edad que no es constitucionalmente admisible </w:t>
      </w:r>
      <w:r w:rsidRPr="00D06117">
        <w:rPr>
          <w:i/>
        </w:rPr>
        <w:t>ex</w:t>
      </w:r>
      <w:r>
        <w:t xml:space="preserve"> art. 14 CE [FJ 4].</w:t>
      </w:r>
    </w:p>
    <w:p w:rsidR="00D06117" w:rsidRDefault="00D06117" w:rsidP="00D06117">
      <w:pPr>
        <w:pStyle w:val="Extracto"/>
      </w:pPr>
    </w:p>
    <w:p w:rsidR="00D06117" w:rsidRDefault="00D06117" w:rsidP="00D06117">
      <w:pPr>
        <w:pStyle w:val="Extracto"/>
      </w:pPr>
      <w:r>
        <w:t>2.</w:t>
      </w:r>
      <w:r>
        <w:tab/>
        <w:t>No resulta constitucionalmente admisible justificar la prohibición contenida en la norma cuestionada en que a los sesenta y cinco años se produzca una merma de la aptitud y capacidad necesarias para desempeñar la asistencia farmacéutica, en que la medida responda a exigencias de planificación y organización del servicio, o en la necesidad de evitar eventuales situaciones especulativas (SSTC 63/2011, 79/2011, 117/2011) [FJ 3].</w:t>
      </w:r>
    </w:p>
    <w:p w:rsidR="00D06117" w:rsidRDefault="00D06117" w:rsidP="00D06117">
      <w:pPr>
        <w:pStyle w:val="Extracto"/>
      </w:pPr>
    </w:p>
    <w:p w:rsidR="00D06117" w:rsidRDefault="00D06117" w:rsidP="00D06117">
      <w:pPr>
        <w:pStyle w:val="Extracto"/>
      </w:pPr>
      <w:r>
        <w:t>3.</w:t>
      </w:r>
      <w:r>
        <w:tab/>
        <w:t>No puede admitirse que la postergación de los farmacéuticos mayores de sesenta y cinco años constituya una medida de acción positiva dirigida a equilibrar la desfavorable situación de partida de los farmacéuticos menores de sesenta y cinco años, antes al contrario supone una exclusión prácticamente absoluta de los mayores de sesenta y cinco años, por lo que no cumple el juicio de proporcionalidad que le es exigible (SSTC 63/2011, 117/2011) [FJ 3].</w:t>
      </w:r>
    </w:p>
    <w:p w:rsidR="00D06117" w:rsidRDefault="00D06117" w:rsidP="00D06117">
      <w:pPr>
        <w:pStyle w:val="Extracto"/>
      </w:pPr>
    </w:p>
    <w:p w:rsidR="00D06117" w:rsidRDefault="00D06117" w:rsidP="00D06117">
      <w:pPr>
        <w:pStyle w:val="Extracto"/>
      </w:pPr>
      <w:r>
        <w:t>4.</w:t>
      </w:r>
      <w:r>
        <w:tab/>
        <w:t>Reitera la doctrina sobre el canon de control aplicable al enjuiciar la justificación y proporcionalidad de la diferenciación por edad de la STC 117/2011 [FJ 3].</w:t>
      </w:r>
    </w:p>
    <w:p w:rsidR="00D06117" w:rsidRDefault="00D06117" w:rsidP="00D06117">
      <w:pPr>
        <w:pStyle w:val="Extracto"/>
      </w:pPr>
    </w:p>
    <w:p w:rsidR="00D06117" w:rsidRDefault="00D06117" w:rsidP="00D06117">
      <w:pPr>
        <w:pStyle w:val="Extracto"/>
      </w:pPr>
      <w:r>
        <w:t>5.</w:t>
      </w:r>
      <w:r>
        <w:tab/>
        <w:t>La norma cuestionada no impide la participación en el procedimiento de autorización de nuevas oficinas de farmacia de los farmacéuticos mayores de sesenta y cinco años, sino que los excluye únicamente en el caso de que exista concurrencia con solicitantes de menor edad, produciendo el mismo efecto que si se utilizase la edad como criterio absoluto de exclusión, lo que determina que, desde la perspectiva de la prohibición de discriminación del art. 14 CE hemos necesariamente de tener en cuenta la doctrina que este Tribunal Constitucional ha establecido sobre dicho criterio absoluto de exclusión (SSTC 63/2011, 161/2011)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número 4362-2011 planteada por la Sección Segunda de la Sala de lo Contencioso-Administrativo del Tribunal Superior de Justicia del País Vasco en relación con el art. 34.2, párrafo segundo, de la Ley del Parlamento Vasco 11/1994, de 17 de junio, de ordenación farmacéutica de la Comunidad Autónoma del País Vasco. Han comparecido y formulado alegaciones el Parlamento y el Gobierno Vasco, el Fiscal General del Estado y las representaciones procesales de las partes en el proceso a quo.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el Tribunal el día 22 de julio de 2011 al que se adjunta el Auto de 15 de julio de 2011, la Sección Segunda de la Sala de lo Contencioso-Administrativo del Tribunal Superior de Justicia del País Vasco plantea cuestión de inconstitucionalidad en relación con el art. 34.2, párrafo segundo, de la Ley del Parlamento Vasco 11/1994, de 17 de junio, de ordenación farmacéutica de la Comunidad Autónoma del País Vasco, por posible vulneración de los arts. 14 —en su aspecto de igualdad en la ley— 36 y 38 CE, así como por infracción de los arts. 88 y 89 de la Ley 14/1986, de 25 de abril, general de sanidad, preceptos declarados básicos en materia de sanidad.</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cuestión de inconstitucionalidad son los siguientes:</w:t>
      </w:r>
    </w:p>
    <w:p w:rsidR="00D06117" w:rsidRDefault="00D06117" w:rsidP="00D06117">
      <w:pPr>
        <w:pStyle w:val="TextoNormal"/>
      </w:pPr>
    </w:p>
    <w:p w:rsidR="00D06117" w:rsidRDefault="00D06117" w:rsidP="00D06117">
      <w:pPr>
        <w:pStyle w:val="TextoNormal"/>
      </w:pPr>
      <w:r>
        <w:t>a) Por Orden de 28 de mayo de 2007 del Consejero de Sanidad de la Comunidad Autónoma del País Vasco se anunció el inicio del procedimiento para la creación de una nueva oficina de farmacia en la zona farmacéutica de Vitoria-Gasteiz, de acuerdo con lo dispuesto en el Decreto 338/1995, de 27 de junio, por el que se regulan los procedimientos de creación, traslado, cierre y funcionamiento de las oficinas de farmacia, modificado por Decreto 24/2004, de 3 de febrero. A la convocatoria se presentaron 38 solicitudes, entre ellas la del demandante en el proceso a quo, don F. E. S.</w:t>
      </w:r>
    </w:p>
    <w:p w:rsidR="00D06117" w:rsidRDefault="00D06117" w:rsidP="00D06117">
      <w:pPr>
        <w:pStyle w:val="TextoNormal"/>
      </w:pPr>
    </w:p>
    <w:p w:rsidR="00D06117" w:rsidRDefault="00D06117" w:rsidP="00D06117">
      <w:pPr>
        <w:pStyle w:val="TextoNormal"/>
      </w:pPr>
      <w:r>
        <w:t>b) La comisión de evaluación aprobó la lista definitiva de participantes y realizó la valoración de méritos de conformidad con el baremo con fecha 9 de abril de 2008, figurando el demandante como el concursante con mayor puntuación.</w:t>
      </w:r>
    </w:p>
    <w:p w:rsidR="00D06117" w:rsidRDefault="00D06117" w:rsidP="00D06117">
      <w:pPr>
        <w:pStyle w:val="TextoNormal"/>
      </w:pPr>
    </w:p>
    <w:p w:rsidR="00D06117" w:rsidRDefault="00D06117" w:rsidP="00D06117">
      <w:pPr>
        <w:pStyle w:val="TextoNormal"/>
      </w:pPr>
      <w:r>
        <w:t>c) La resolución de la Dirección General de farmacia (Consejería de Sanidad) de 8 de junio de 2008 denegó la solicitud del demandante de creación de una oficina de farmacia por haber alcanzado la edad de sesenta y cinco años el día 5 de junio de 2008 y toda vez que el art. 34.2, párrafo segundo, de la Ley 11/1994, de 17 de junio, de ordenación farmacéutica del País Vasco, dispone que las solicitudes de apertura de oficinas de farmacia sólo pueden resolverse a favor de farmacéuticos de sesenta y cinco años cuando no existan otras solicitudes en el mismo expediente.</w:t>
      </w:r>
    </w:p>
    <w:p w:rsidR="00D06117" w:rsidRDefault="00D06117" w:rsidP="00D06117">
      <w:pPr>
        <w:pStyle w:val="TextoNormal"/>
      </w:pPr>
    </w:p>
    <w:p w:rsidR="00D06117" w:rsidRDefault="00D06117" w:rsidP="00D06117">
      <w:pPr>
        <w:pStyle w:val="TextoNormal"/>
      </w:pPr>
      <w:r>
        <w:t>d) Contra dicha resolución de 6 de junio de 2008 el demandante formuló recurso de alzada, que fue desestimado por resolución de 21 de julio de 2008 del Viceconsejero de Sanidad del Gobierno Vasco, resolución sobre la que se ha planteado recurso contencioso-administrativo y que constituye el objeto del proceso a quo.</w:t>
      </w:r>
    </w:p>
    <w:p w:rsidR="00D06117" w:rsidRDefault="00D06117" w:rsidP="00D06117">
      <w:pPr>
        <w:pStyle w:val="TextoNormal"/>
      </w:pPr>
    </w:p>
    <w:p w:rsidR="00D06117" w:rsidRDefault="00D06117" w:rsidP="00D06117">
      <w:pPr>
        <w:pStyle w:val="TextoNormal"/>
      </w:pPr>
      <w:r>
        <w:t>e) Por providencia de 5 de mayo de 2011, en plazo para dictar Sentencia, se solicitó a las partes del proceso y al Ministerio Fiscal que expresaran su opinión sobre la posible vulneración por el art. 34.2, párrafo segundo, de la Ley del Parlamento Vasco 11/1994 de 17 de junio, de ordenación farmacéutica de la Comunidad Autónoma del País Vasco, de los arts. 14, en su aspecto de igualdad en la ley, 36 y 38 CE, así como de los arts. 88 y 89 de la Ley 14/1986, de 25 de abril, general de sanidad, preceptos de carácter básico (art. 149.1.16 CE) que reconocen los derechos recogidos en los citados preceptos constitucionales.</w:t>
      </w:r>
    </w:p>
    <w:p w:rsidR="00D06117" w:rsidRDefault="00D06117" w:rsidP="00D06117">
      <w:pPr>
        <w:pStyle w:val="TextoNormal"/>
      </w:pPr>
    </w:p>
    <w:p w:rsidR="00D06117" w:rsidRDefault="00D06117" w:rsidP="00D06117">
      <w:pPr>
        <w:pStyle w:val="TextoNormal"/>
      </w:pPr>
      <w:r>
        <w:t>f) El trámite sólo fue evacuado por la parte actora del proceso a quo y por el Ministerio Fiscal, que no se opusieron al planteamiento de la cuestión de inconstitucionalidad, sin que lo hicieran la Administración de la Comunidad Autónoma del País Vasco, parte demandada, ni la codemandada, doña A.I.R.R.</w:t>
      </w:r>
    </w:p>
    <w:p w:rsidR="00D06117" w:rsidRDefault="00D06117" w:rsidP="00D06117">
      <w:pPr>
        <w:pStyle w:val="TextoNormal"/>
      </w:pPr>
    </w:p>
    <w:p w:rsidR="00D06117" w:rsidRDefault="00D06117" w:rsidP="00D06117">
      <w:pPr>
        <w:pStyle w:val="TextoNormal"/>
      </w:pPr>
      <w:r w:rsidRPr="00D06117">
        <w:rPr>
          <w:rStyle w:val="NumeroAFNegritaCaracter"/>
        </w:rPr>
        <w:t>3</w:t>
      </w:r>
      <w:r>
        <w:t>. El Auto de planteamiento de la cuestión, tras hacer referencia a los antecedentes del caso, se detiene en la exposición de los requisitos que el art. 35 de la Ley Orgánica del Tribunal Constitucional (LOTC) exige para el planteamiento por los órganos judiciales de las cuestiones de inconstitucionalidad, explicitando que la demanda incluye entre sus argumentos que la imposición de una limitación de edad para acceder a las nuevas oficinas de farmacia incurre en inconstitucionalidad. En razón a todo ello y a que la cabecera del debate en el proceso contencioso-administrativo es la resolución de 21 de julio de 2008, del Viceconsejero de Sanidad del Gobierno Vasco —por la que se desestimó el recurso de alzada interpuesto contra la resolución de 6 de junio de 2008, del Director General de farmacia, que denegó la solicitud de creación de una oficina de farmacia en Vitoria-Gazteiz—, que se sustenta en lo dispuesto en el art. 34.2, segundo párrafo, de la Ley 11/1994, de 17 de junio, de ordenación farmacéutica de la Comunidad Autónoma del País Vasco, el órgano judicial determinó dirigirse a las partes del proceso y al Ministerio Fiscal, a través de la providencia correspondiente, recabando su opinión sobre la pertinencia de plantear la cuestión de inconstitucionalidad, según exige el art. 35 LOTC.</w:t>
      </w:r>
    </w:p>
    <w:p w:rsidR="00D06117" w:rsidRDefault="00D06117" w:rsidP="00D06117">
      <w:pPr>
        <w:pStyle w:val="TextoNormal"/>
      </w:pPr>
    </w:p>
    <w:p w:rsidR="00D06117" w:rsidRDefault="00D06117" w:rsidP="00D06117">
      <w:pPr>
        <w:pStyle w:val="TextoNormal"/>
      </w:pPr>
      <w:r>
        <w:t>Se detiene el Auto en la consideración de que el arto 34.2, párrafo segundo, de la Ley vasca 11/1994 es de aplicación al caso y satisface el juicio de relevancia exigible para el planteamiento de la cuestión ante el Tribunal Constitucional, planteamiento que se realiza, según el Auto, en los términos de la providencia dirigida a las partes del proceso y al Mi</w:t>
      </w:r>
      <w:r>
        <w:lastRenderedPageBreak/>
        <w:t>nisterio Fiscal al hacer referencia, de un lado, al precepto que pudiera incurrir en inconstitucionalidad —art. 34.2, párrafo segundo, de la Ley 11/1994— y, de otro, a los preceptos constitucionales que pudieran haberse vulnerado .—arts. 14, en su vertiente de igualdad en la ley, 36 y 38 CE—, en su conexión con los arts. 88 y 89 de la Ley 14/1986, de 25 de abril, general de sanidad, preceptos estos últimos de carácter básico.</w:t>
      </w:r>
    </w:p>
    <w:p w:rsidR="00D06117" w:rsidRDefault="00D06117" w:rsidP="00D06117">
      <w:pPr>
        <w:pStyle w:val="TextoNormal"/>
      </w:pPr>
    </w:p>
    <w:p w:rsidR="00D06117" w:rsidRDefault="00D06117" w:rsidP="00D06117">
      <w:pPr>
        <w:pStyle w:val="TextoNormal"/>
      </w:pPr>
      <w:r>
        <w:t>Tras ello el Auto hace alusión al Auto del Tribunal Supremo de 15 de abril de 2009, que planteó la cuestión de inconstitucionalidad frente al inciso inicial del art. 24.4 de la Ley de las Cortes de Aragón 4/1999, de 25 de marzo, de ordenación farmacéutica de Aragón, admitida a trámite por el Tribunal Constitucional. Cuestión de inconstitucionalidad que suscita similar problemática a la que ahora se promueve, esto es, a la circunstancia de la edad como elemento limitativo de la apertura de oficinas de farmacia.</w:t>
      </w:r>
    </w:p>
    <w:p w:rsidR="00D06117" w:rsidRDefault="00D06117" w:rsidP="00D06117">
      <w:pPr>
        <w:pStyle w:val="TextoNormal"/>
      </w:pPr>
    </w:p>
    <w:p w:rsidR="00D06117" w:rsidRDefault="00D06117" w:rsidP="00D06117">
      <w:pPr>
        <w:pStyle w:val="TextoNormal"/>
      </w:pPr>
      <w:r>
        <w:t>Por último, el Auto de planteamiento alude a diversas cuestiones de inconstitucionalidad admitidas a trámite por el Tribunal Constitucional en relación con diversos preceptos de leyes autonómicas que contienen prescripciones limitativas del acceso a las oficinas de farmacia por razón de edad (cita las cuestiones de inconstitucionalidad 6191-2001; 296-2003; 7754-2004; 12-2005; 251-2005 y 6725-2009), concluyendo que la reciente STC 63/2011, de 16 de mayo, ha estimado la cuestión de inconstitucionalidad 6191-2001, cuya argumentación, que reproduce, considera que sustenta la argumentación de fondo de la presente cuestión.</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13 de septiembre de 2011, el Pleno, a propuesta de la Sección Cuarta, acordó admitir a trámite la cuestión de inconstitucionalidad y, de conformidad con lo dispuesto en el art. 10.1 c) LOTC, en la redacción dada por la Ley Orgánica 6/2007, de 24 de mayo, deferir su conocimiento a la Sala Segunda, a la que, por turno objetivo, le ha correspondido. Igualmente se acordó dar traslado de las actuaciones al Congreso de los Diputados, al Senado, al Gobierno y al Fiscal General del Estado, así como al Parlamento y al Gobierno Vasco, al objeto de que pudieran personarse en el proceso y formular las alegaciones que estimasen convenientes en el plazo de quince días. Asimismo se dispuso la comunicación de la admisión a trámite de la cuestión a la Sección Segunda de la Sala de lo Contencioso-Administrativo del Tribunal Superior de Justicia del País Vasco a fin de que, de conformidad con lo dispuesto en el art. 35.3 LOTC, permanezca suspendido el proceso hasta la resolución de la cuestión. Finalmente se ordenó publicar la incoación de la cuestión en el “Boletín Oficial del Estado” y en el “Boletín Oficial del País Vasco”.</w:t>
      </w:r>
    </w:p>
    <w:p w:rsidR="00D06117" w:rsidRDefault="00D06117" w:rsidP="00D06117">
      <w:pPr>
        <w:pStyle w:val="TextoNormal"/>
      </w:pPr>
    </w:p>
    <w:p w:rsidR="00D06117" w:rsidRDefault="00D06117" w:rsidP="00D06117">
      <w:pPr>
        <w:pStyle w:val="TextoNormal"/>
      </w:pPr>
      <w:r w:rsidRPr="00D06117">
        <w:rPr>
          <w:rStyle w:val="NumeroAFNegritaCaracter"/>
        </w:rPr>
        <w:t>5</w:t>
      </w:r>
      <w:r>
        <w:t>. El día 21 de septiembre de 2011 la representación procesal de don F.E.S., parte actora en el proceso a quo, compareció en el proceso solicitando ser tenido por personado y parte. Por diligencia de ordenación de 10 de octubre de 2011 la Sala Segunda le concedió un plazo de quince días para formular las alegaciones que estimase convenientes. La representación procesal de don F.E.S. presentó sus alegaciones por escrito registrado el día 19 de octubre de 2011 en las que interesa la estimación de la cuestión por los motivos siguientes.</w:t>
      </w:r>
    </w:p>
    <w:p w:rsidR="00D06117" w:rsidRDefault="00D06117" w:rsidP="00D06117">
      <w:pPr>
        <w:pStyle w:val="TextoNormal"/>
      </w:pPr>
    </w:p>
    <w:p w:rsidR="00D06117" w:rsidRDefault="00D06117" w:rsidP="00D06117">
      <w:pPr>
        <w:pStyle w:val="TextoNormal"/>
      </w:pPr>
      <w:r>
        <w:t xml:space="preserve">Alude, en primer lugar, a la existencia de decisiones recientes del Tribunal Constitucional (con cita de las SSTC 63/2011, 79/2011 y 117/2011) que serían de aplicación al caso ahora planteado en cuanto que todas ellas se refieren a normas autonómicas que impedían participar en los procedimientos de instalación de nuevas oficinas de farmacia a los farmacéuticos mayores de sesenta y cinco años y en las que se ha apreciado que la limitación </w:t>
      </w:r>
      <w:r>
        <w:lastRenderedPageBreak/>
        <w:t>establecida no es constitucionalmente admisible porque no resulta ni idónea ni proporcionada respecto de la finalidad pretendida de favorecer el acceso de profesionales jóvenes y de mediana edad, produciendo en cambio la exclusión de los mayores de sesenta y cinco años de forma injustificada. Examinando la regulación contenida en la norma vasca concluye que la misma impone una restricción aun más injustificada y netamente discriminatoria, en cuanto que impide que todos los participantes en un procedimiento selectivo de adjudicación de nueva oficina de farmacia puedan obtener una nueva autorización cuando superen los sesenta y cinco años. Tal restricción no aparece justificada, pues no se puede argumentar la falta de capacidad o aptitud del farmacéutico, ni existen peculiaridades que diferencien a unas oficinas de farmacia de otras, ni a unos farmacéuticos de otros. Se trataría entonces de una regulación análoga a otras ya anuladas, constitutivas de una discriminación por razón de edad contraria al art. 14 CE.</w:t>
      </w:r>
    </w:p>
    <w:p w:rsidR="00D06117" w:rsidRDefault="00D06117" w:rsidP="00D06117">
      <w:pPr>
        <w:pStyle w:val="TextoNormal"/>
      </w:pPr>
    </w:p>
    <w:p w:rsidR="00D06117" w:rsidRDefault="00D06117" w:rsidP="00D06117">
      <w:pPr>
        <w:pStyle w:val="TextoNormal"/>
      </w:pPr>
      <w:r w:rsidRPr="00D06117">
        <w:rPr>
          <w:rStyle w:val="NumeroAFNegritaCaracter"/>
        </w:rPr>
        <w:t>6</w:t>
      </w:r>
      <w:r>
        <w:t>. Por medio de escrito que tuvo entrada en el Registro General de este Tribunal el 23 de septiembre de 2011 el Presidente del Senado comunicó que la Mesa de la Cámara había acordado personarse en el presente proceso y ofrecer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Con fecha 23 de septiembre de 2011 tuvo entrada en el Registro General de este Tribunal escrito del Abogado del Estado por el que se personó en el proceso en nombre del Gobierno y manifestó su intención de no formular alegaciones, aunque solicitó que se le comunicara en su día la sentencia que ponga fin al proceso.</w:t>
      </w:r>
    </w:p>
    <w:p w:rsidR="00D06117" w:rsidRDefault="00D06117" w:rsidP="00D06117">
      <w:pPr>
        <w:pStyle w:val="TextoNormal"/>
      </w:pPr>
    </w:p>
    <w:p w:rsidR="00D06117" w:rsidRDefault="00D06117" w:rsidP="00D06117">
      <w:pPr>
        <w:pStyle w:val="TextoNormal"/>
      </w:pPr>
      <w:r w:rsidRPr="00D06117">
        <w:rPr>
          <w:rStyle w:val="NumeroAFNegritaCaracter"/>
        </w:rPr>
        <w:t>8</w:t>
      </w:r>
      <w:r>
        <w:t>. El Presidente del Congreso de los Diputados, en escrito registrado en el Registro General de este Tribunal el 5 de octubre de 2011 comunicó que la Mesa de la Cámara había acordado la personación en dicho procedimiento y el ofrecimiento de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9</w:t>
      </w:r>
      <w:r>
        <w:t>. El día 13 de octubre de 2011 el Letrado del Parlamento Vasco compareció en el proceso interesando la desestimación de la cuestión planteada, de acuerdo con las alegaciones que se resumen a continuación.</w:t>
      </w:r>
    </w:p>
    <w:p w:rsidR="00D06117" w:rsidRDefault="00D06117" w:rsidP="00D06117">
      <w:pPr>
        <w:pStyle w:val="TextoNormal"/>
      </w:pPr>
    </w:p>
    <w:p w:rsidR="00D06117" w:rsidRDefault="00D06117" w:rsidP="00D06117">
      <w:pPr>
        <w:pStyle w:val="TextoNormal"/>
      </w:pPr>
      <w:r>
        <w:t>Tras aludir al objeto del proceso rechaza la pertinencia de cuestionar el precepto legal por ser contrario a los arts. 36 y 38 CE ante la carencia de razonamiento al respecto en el auto de planteamiento de la cuestión, de modo similar a lo ya declarado por el Tribunal Constitucional en la STC 117/2011, de 4 de julio, así como por tratarse de tachas que carecen de entidad autónoma sino que se encuentran estrictamente subordinadas a la eventual conculcación del principio de igualdad. Por ello, entiende que la presente cuestión se sustenta exclusivamente sobre la base de una lesión del principio de igualdad y en ello agota su fundamentación.</w:t>
      </w:r>
    </w:p>
    <w:p w:rsidR="00D06117" w:rsidRDefault="00D06117" w:rsidP="00D06117">
      <w:pPr>
        <w:pStyle w:val="TextoNormal"/>
      </w:pPr>
    </w:p>
    <w:p w:rsidR="00D06117" w:rsidRDefault="00D06117" w:rsidP="00D06117">
      <w:pPr>
        <w:pStyle w:val="TextoNormal"/>
      </w:pPr>
      <w:r>
        <w:t xml:space="preserve">Señala a continuación que el presente caso tiene evidentes conexiones con los ya decididos por el Tribunal Constitucional en las SSTC 63/2011, 79/2011 y 117/2011, pero también presenta aspectos que lo diferencian por cuanto la norma cuestionada no impide a los farmacéuticos mayores de sesenta y cinco años participar en el procedimiento sino que los posterga frente a cualquier otro solicitante de mayor edad estableciendo, no una regla de exclusión, como en los casos ya enjuiciados, sino una de preterición. Por otra parte indica </w:t>
      </w:r>
      <w:r>
        <w:lastRenderedPageBreak/>
        <w:t>que la norma cuestionada no puede analizarse aisladamente mediante su confrontación con el art. 14 CE, pues se trataría de una pieza de una regulación más general y en la que el dato de la edad del farmacéutico informa diferentes extremos de la normativa.</w:t>
      </w:r>
    </w:p>
    <w:p w:rsidR="00D06117" w:rsidRDefault="00D06117" w:rsidP="00D06117">
      <w:pPr>
        <w:pStyle w:val="TextoNormal"/>
      </w:pPr>
    </w:p>
    <w:p w:rsidR="00D06117" w:rsidRDefault="00D06117" w:rsidP="00D06117">
      <w:pPr>
        <w:pStyle w:val="TextoNormal"/>
      </w:pPr>
      <w:r>
        <w:t>Hace alusión a continuación al papel central del farmacéutico en la prestación de un servicio de interés público en materia sanitaria, lo que justifica también que la apertura de nuevas farmacias esté sometida a autorización administrativa en un proceso en el que los méritos del farmacéutico son determinantes a la hora de obtener la autorización de apertura de una nueva farmacia, de manera que las transmisiones están sometidas a dicho régimen, autorizándose a favor del solicitante con mayor puntuación. Este régimen tiene una excepción en el caso de transmisiones a favor de los hijos, padres, nietos, hermanos o cónyuge del farmacéutico titular, conforme al art. 17.3 de la propia Ley vasca, que pretende garantizar la sucesión familiar en la gestión empresarial de la oficina de farmacia. Alude igualmente el Letrado del Parlamento Vasco al hecho de que, a diferencia de otras normas autonómicas que imponen la caducidad de las autorizaciones, la normativa vasca ha optado, en atención a la dimensión privada de la actividad farmacéutica, por modular las consecuencias de la edad del farmacéutico fundamentalmente mediante la regulación de la figura del farmacéutico adjunto, cuya presencia es obligatoria cuando el titular tiene más de setenta años.</w:t>
      </w:r>
    </w:p>
    <w:p w:rsidR="00D06117" w:rsidRDefault="00D06117" w:rsidP="00D06117">
      <w:pPr>
        <w:pStyle w:val="TextoNormal"/>
      </w:pPr>
    </w:p>
    <w:p w:rsidR="00D06117" w:rsidRDefault="00D06117" w:rsidP="00D06117">
      <w:pPr>
        <w:pStyle w:val="TextoNormal"/>
      </w:pPr>
      <w:r>
        <w:t>Enmarcada la cuestión en tales términos, lo que ha de decidirse es si en este sector de interés público trascendente, objeto de planificación y sometido a autorización, está justificado que el legislador, a la hora de conceder nuevas autorizaciones, postergue a los farmacéuticos que han cumplido sesenta y cinco años frente a los de menor edad y si esa medida es idónea y proporcionada a los fines que persigue. Así estima que dicha regla de preterición no supone un sacrificio desmedido, por cuanto pretende garantizar una cierta estabilidad y permanencia en la ordenación farmacéutica, ya que los titulares de sesenta y cinco años no pueden garantizarla en la misma medida que los más jóvenes, los cuales, por otra parte, verían dificultada su incorporación. Además indica que el criterio de la antigüedad, entendido como años de ejercicio profesional, conduce a resultados absurdos si no se le pone un límite o freno, que es lo que hace la regla de preterición de los mayores de sesenta y cinco años ahora cuestionada, en cuanto que, al limitar la fuerza del criterio de la experiencia profesional acumulada, reintroduce un mínimo de equilibrio en un baremo que de otra manera favorecería de manera directamente proporcional la mayor edad de los solicitantes. Asimismo, está regla impediría o limitaría las transmisión de oficinas de farmacia entre personas del mismo círculo familiar, a fin de preservar un mínimo de equidad en la atribución de las autorizaciones y, por esa vía, defender la calidad de la atención farmacéutica. Concluye la representación procesal del Parlamento Vasco afirmando que las consecuencias de la regla de preterición no son en absoluto desmedidas atendiendo a la doctrina constitucional acerca de la caducidad de las oficinas de farmacia (STC 152/2003), pues, en ese caso, no hay autorización que pierda vigor y se puede seguir desarrollando indefinidamente la actividad.</w:t>
      </w:r>
    </w:p>
    <w:p w:rsidR="00D06117" w:rsidRDefault="00D06117" w:rsidP="00D06117">
      <w:pPr>
        <w:pStyle w:val="TextoNormal"/>
      </w:pPr>
    </w:p>
    <w:p w:rsidR="00D06117" w:rsidRDefault="00D06117" w:rsidP="00D06117">
      <w:pPr>
        <w:pStyle w:val="TextoNormal"/>
      </w:pPr>
      <w:r w:rsidRPr="00D06117">
        <w:rPr>
          <w:rStyle w:val="NumeroAFNegritaCaracter"/>
        </w:rPr>
        <w:t>10</w:t>
      </w:r>
      <w:r>
        <w:t xml:space="preserve">. Por escrito registrado en el Registro General de este Tribunal Constitucional el día 13 de octubre de 2011 la representación procesal del Gobierno Vasco compareció en el proceso, solicitando ser tenido por personada y parte. Por diligencia de ordenación de 20 de octubre de 2011 la Sala Segunda le concedió un plazo de quince días para formular las </w:t>
      </w:r>
      <w:r>
        <w:lastRenderedPageBreak/>
        <w:t>alegaciones que estimase convenientes. El Gobierno Vasco formuló sus alegaciones mediante escrito registrado el día 16 de noviembre de 2011 interesando la desestimación de la cuestión por los motivos siguientes.</w:t>
      </w:r>
    </w:p>
    <w:p w:rsidR="00D06117" w:rsidRDefault="00D06117" w:rsidP="00D06117">
      <w:pPr>
        <w:pStyle w:val="TextoNormal"/>
      </w:pPr>
    </w:p>
    <w:p w:rsidR="00D06117" w:rsidRDefault="00D06117" w:rsidP="00D06117">
      <w:pPr>
        <w:pStyle w:val="TextoNormal"/>
      </w:pPr>
      <w:r>
        <w:t>Tras estimar cumplidos los requisitos a los que se refiere el art. 35 LOTC señala su disentimiento respecto de las razones que llevan al órgano judicial a apreciar que el precepto pudiera ser contrario a los arts. 14, 36 y 38 CE.</w:t>
      </w:r>
    </w:p>
    <w:p w:rsidR="00D06117" w:rsidRDefault="00D06117" w:rsidP="00D06117">
      <w:pPr>
        <w:pStyle w:val="TextoNormal"/>
      </w:pPr>
    </w:p>
    <w:p w:rsidR="00D06117" w:rsidRDefault="00D06117" w:rsidP="00D06117">
      <w:pPr>
        <w:pStyle w:val="TextoNormal"/>
      </w:pPr>
      <w:r>
        <w:t>En cuanto a la denunciada vulneración del principio de igualdad del art. 14 CE destaca la Letrada autonómica la singularidad que presenta la norma cuestionada, en tanto que la misma no prohíbe la participación de los farmacéuticos que hayan cumplido la edad de sesenta y cinco años en los procedimientos de autorización de nuevas oficinas de farmacia. Circunstancia que impediría la automática traslación que realiza el Auto de planteamiento de los fundamentos de inconstitucionalidad en que se apoyó el Tribunal Supremo en relación con una Ley aragonesa respecto de la que la Ley 11/1994 presenta caracteres propios y singulares. Es por ello que la representación procesal del Gobierno Vasco considera dudosa la viabilidad de la cuestión de inconstitucionalidad en tanto el Auto de planteamiento no justifica la infracción denunciada al principio de igualdad.</w:t>
      </w:r>
    </w:p>
    <w:p w:rsidR="00D06117" w:rsidRDefault="00D06117" w:rsidP="00D06117">
      <w:pPr>
        <w:pStyle w:val="TextoNormal"/>
      </w:pPr>
    </w:p>
    <w:p w:rsidR="00D06117" w:rsidRDefault="00D06117" w:rsidP="00D06117">
      <w:pPr>
        <w:pStyle w:val="TextoNormal"/>
      </w:pPr>
      <w:r>
        <w:t>Entrando ya en la justificación de la norma cuestionada, la Letrada del Gobierno Vasco alude, en primer lugar, a las peculiaridades del régimen autorizatorio de las oficinas de farmacia y sus consecuencias en la materialización del principio de igualdad en el acceso a la autorización farmacéutica. Así, partiendo de la consideración de las farmacias como establecimientos sanitarios privados de interés público, se establece un régimen de intervención administrativa que se materializa en la necesidad de autorización y en la sujeción a planificación sanitaria en cuanto a la distribución del número de oficinas de farmacia, en atención a dos criterios predefinidos, población y régimen de distancias. La primera consecuencia de lo anterior es la limitación del número de autorizaciones que se pueden conceder, lo que demanda el establecimiento de un procedimiento de concurrencia competitiva para su otorgamiento, asentado sobre el principio de mérito y capacidad. Dicho sistema, sin embargo, no puede evitar la existencia de comportamientos especulativos vinculados a la titularidad de las oficinas de farmacia, lo que determina que, en estos procedimientos autorizatorios, los principios de igualdad, mérito y capacidad aparecen subordinados a las consecuencias que derivan de la circunstancia de que la oficina de farmacia sea objeto de tráfico mercantil de suerte que se permita la trasmisión onerosa de la misma a favor de terceros. A ello se añaden otra serie de mecanismos privilegiados de acceso a la autorización de la oficina de farmacia por parte de quien sea hijo, padre, nieto o cónyuge del titular que hacen que el acceso a la titularidad de las oficinas de farmacia en plano de igualdad se vea menoscabado, régimen que no es sino consecuencia lógica de la naturaleza privada de la actividad pues el farmacéutico titular ejerce funciones propias de los profesionales liberales.</w:t>
      </w:r>
    </w:p>
    <w:p w:rsidR="00D06117" w:rsidRDefault="00D06117" w:rsidP="00D06117">
      <w:pPr>
        <w:pStyle w:val="TextoNormal"/>
      </w:pPr>
    </w:p>
    <w:p w:rsidR="00D06117" w:rsidRDefault="00D06117" w:rsidP="00D06117">
      <w:pPr>
        <w:pStyle w:val="TextoNormal"/>
      </w:pPr>
      <w:r>
        <w:t>En ese contexto en el que muchos farmacéuticos se ven impedidos al acceso de la profesión la Ley 11/1994 despliega un entramado de medidas correctoras para evitar las anteriores distorsiones del sistema. Así, se establece el concurso de méritos como sistema general de acceso a la autorización de nueva oficina de farmacia, se obliga a los titulares de oficinas de farmacia a permanecer al frente del establecimiento sanitario al menos tres años desde su apertura, se somete a concurso de méritos las transmisiones a título oneroso que se reali</w:t>
      </w:r>
      <w:r>
        <w:lastRenderedPageBreak/>
        <w:t>cen a favor de terceros no familiares y, en último lugar, se establece un criterio de preferencia de edad, de modo que se prioriza a los menores de sesenta y cinco años en el acceso de las autorizaciones de apertura frente a los que sobrepasen esta edad, a los que, sin embargo, no se excluye. Expone a continuación una serie de datos relativos a los procedimientos de autorización de apertura de oficinas de farmacia, de los que extrae como conclusión que todos los farmacéuticos mayores de sesenta años que han concurrido a estos procedimientos habían sido previamente beneficiarios de una autorización de oficina de farmacia y, en prácticamente todos los casos, habían transmitido su farmacia a un tercero o a un familiar, así como que solamente un pequeño porcentaje de los solicitantes supera la edad de sesenta años. De todo ello concluye que el menoscabo del derecho de igualdad en el acceso a la autorización de oficinas de farmacia a los mayores de sesenta y cinco años se presenta como una eventualidad remota y, en modo alguno, afecta a aquel derecho en su vertiente de acceso a la titularidad de oficina de farmacia.</w:t>
      </w:r>
    </w:p>
    <w:p w:rsidR="00D06117" w:rsidRDefault="00D06117" w:rsidP="00D06117">
      <w:pPr>
        <w:pStyle w:val="TextoNormal"/>
      </w:pPr>
    </w:p>
    <w:p w:rsidR="00D06117" w:rsidRDefault="00D06117" w:rsidP="00D06117">
      <w:pPr>
        <w:pStyle w:val="TextoNormal"/>
      </w:pPr>
      <w:r>
        <w:t>A partir de lo anterior aborda la Letrada autonómica la cuestión de la justificación constitucional del art. 34.2, párrafo segundo, de la Ley 11/1994. Para ello parte de la doctrina constitucional acerca del principio de igualdad y de la prohibición de discriminación, haciendo especial referencia a la STC 200/2001. Recuerda que la doctrina constitucional acepta que la edad sea un criterio a utilizar por el legislador siempre que se supere el juicio de objetividad, razonabilidad y proporcionalidad, advirtiendo que el precepto cuestionado trae causa de razones de interés general vinculadas con la función de planificación que corresponde a los poderes públicos. Así, indica que la legislación no puede ser indiferente al efecto perverso que el doble sistema de acceso a estas autorizaciones provoca sobre la efectiva materialización del derecho a la igualdad, siendo obligada la intervención de los poderes públicos en pos de lograr cotas razonables de efectividad de tal principio en el acceso a las autorizaciones de las oficinas de farmacia, diferenciando para ello en función de las distintas situaciones que presentan quienes concurren a ellos. Se opta, entonces, por el establecimiento de una serie de factores correctores, entre los que se encuentra el criterio de la preferencia de edad, dirigidos a garantizar niveles óptimos de igualdad real de los farmacéuticos en el acceso a autorizaciones de apertura. Preferencia por razón de edad que encuentra su justificación en una política de reparto o redistribución de las autorizaciones para la creación de oficinas de farmacia, a fin de proporcionar mayores oportunidades de acceso a los profesionales que no hayan tenido la ocasión de hacerse con la titularidad de una oficina de farmacia. Esta limitación tampoco resulta arbitraria, pues trata de compensar los privilegios derivados del sistema de trasmisión de oficinas de farmacia, sin que, por lo demás, las connotaciones de interés general inherentes a la actividad farmacéutica conlleven la aplicación de la doctrina constitucional sentada en relación con las limitaciones de edad impuestas para el acceso a la función pública. De esta manera la determinación del límite de edad se justifica en la coincidencia con la edad de jubilación voluntaria lo que ha permitido al legislador establecer un mecanismo preferencial, que no excluyente, en uno de los procedimientos de acceso a la autorización farmacéutica. Exclusión que queda matizada por la posibilidad de acceder a la oficina por el sistema de transmisión o, incluso, a una autorización de apertura sin concurrencia de farmacéutico menor de sesenta y cinco años, la de acceder a una pensión de jubilación o el desarrollo profesional en campos distintos a la titularidad de oficina de farmacia que el art. 34.2, párrafo segundo, en ningún caso excluye.</w:t>
      </w:r>
    </w:p>
    <w:p w:rsidR="00D06117" w:rsidRDefault="00D06117" w:rsidP="00D06117">
      <w:pPr>
        <w:pStyle w:val="TextoNormal"/>
      </w:pPr>
    </w:p>
    <w:p w:rsidR="00D06117" w:rsidRDefault="00D06117" w:rsidP="00D06117">
      <w:pPr>
        <w:pStyle w:val="TextoNormal"/>
      </w:pPr>
      <w:r>
        <w:t xml:space="preserve">En lo tocante al juicio de proporcionalidad, estima la representación procesal del Gobierno vasco que es claro que el objetivo del precepto es la búsqueda de la satisfacción del </w:t>
      </w:r>
      <w:r>
        <w:lastRenderedPageBreak/>
        <w:t>interés general que trate de garantizar cotas razonables de igualdad material en el acceso a la autorización de apertura de oficinas de farmacia de nueva creación. También, en la medida en que establece una prioridad entre candidatos, resulta proporcionada la medida desde el puro interés de todo farmacéutico en ser titular de una oficina de farmacia pues, además, el índice real de afectación de la norma es tan escaso que es asumible desde la perspectiva del juicio de igualdad, incidiendo exclusivamente en el derecho a acceder a sucesivas autorizaciones de farmacia. Resulta entonces que la norma no impide la concurrencia de terceros ni su incidencia es desproporcionada pues se dirige a equilibrar la posición de desigualdad en que se encontrarían los titulados que no han tenido nunca la oportunidad de acceder a la titularidad de una oficina de farmacia. En definitiva, según la Letrada autonómica, el límite que deriva para los farmacéuticos de más de sesenta y cinco años es lícito en cuanto existen razones de interés público que justifican un trato desigual y conecta con una realidad también diferenciada y sirve adecuadamente al objetivo que se ha querido amparar, el acceso de los farmacéuticos que no sean titulares de oficinas de farmacia ni lo hayan sido nunca a una autorización de apertura.</w:t>
      </w:r>
    </w:p>
    <w:p w:rsidR="00D06117" w:rsidRDefault="00D06117" w:rsidP="00D06117">
      <w:pPr>
        <w:pStyle w:val="TextoNormal"/>
      </w:pPr>
    </w:p>
    <w:p w:rsidR="00D06117" w:rsidRDefault="00D06117" w:rsidP="00D06117">
      <w:pPr>
        <w:pStyle w:val="TextoNormal"/>
      </w:pPr>
      <w:r>
        <w:t>Finalmente la representación procesal del Gobierno Vasco descarta que el art. 34.2, párrafo segundo, de la Ley 11/1994 sea contrario a la regulación del ejercicio de profesiones tituladas del art. 36 CE ni al art. 38 CE en cuanto reconoce la libertad de empresa, pues no es ésta la única actividad que los farmacéuticos pueden realizar con su titulación académica, ni tampoco, por tratarse de un servicio de interés público, puede prevalecer la libertad de empresa frente a las limitaciones derivadas de la planificación sanitaria que establezcan las Comunidades Autónomas.</w:t>
      </w:r>
    </w:p>
    <w:p w:rsidR="00D06117" w:rsidRDefault="00D06117" w:rsidP="00D06117">
      <w:pPr>
        <w:pStyle w:val="TextoNormal"/>
      </w:pPr>
    </w:p>
    <w:p w:rsidR="00D06117" w:rsidRDefault="00D06117" w:rsidP="00D06117">
      <w:pPr>
        <w:pStyle w:val="TextoNormal"/>
      </w:pPr>
      <w:r w:rsidRPr="00D06117">
        <w:rPr>
          <w:rStyle w:val="NumeroAFNegritaCaracter"/>
        </w:rPr>
        <w:t>11</w:t>
      </w:r>
      <w:r>
        <w:t>. El día 18 de octubre de 2011 el Fiscal General del Estado formuló sus alegaciones solicitando la estimación de la cuestión de inconstitucionalidad por las razones que, resumidamente, se exponen a continuación.</w:t>
      </w:r>
    </w:p>
    <w:p w:rsidR="00D06117" w:rsidRDefault="00D06117" w:rsidP="00D06117">
      <w:pPr>
        <w:pStyle w:val="TextoNormal"/>
      </w:pPr>
    </w:p>
    <w:p w:rsidR="00D06117" w:rsidRDefault="00D06117" w:rsidP="00D06117">
      <w:pPr>
        <w:pStyle w:val="TextoNormal"/>
      </w:pPr>
      <w:r>
        <w:t>Tras exponer los antecedentes del caso, alude a dos cuestiones que, entiende, han de ser examinadas con carácter previo al fondo del asunto. La primera es la imposibilidad de la inaplicación del precepto cuestionado por su eventual contradicción con el Derecho comunitario y la segunda se refiere al hecho de que la cuestión no perdería su objeto aunque se hubiera modificado la norma.</w:t>
      </w:r>
    </w:p>
    <w:p w:rsidR="00D06117" w:rsidRDefault="00D06117" w:rsidP="00D06117">
      <w:pPr>
        <w:pStyle w:val="TextoNormal"/>
      </w:pPr>
    </w:p>
    <w:p w:rsidR="00D06117" w:rsidRDefault="00D06117" w:rsidP="00D06117">
      <w:pPr>
        <w:pStyle w:val="TextoNormal"/>
      </w:pPr>
      <w:r>
        <w:t>Señalado lo anterior el Fiscal General del Estado concreta la duda de constitucionalidad en torno al establecimiento de una edad límite, sesenta y cinco años, para la posibilidad de solicitar autorización para la apertura de una oficina de farmacia en el País Vasco, sin que esa prohibición obedezca a verdaderas razones objetivas que la justifiquen, resultando, por tanto, contraria al principio de igualdad ante la ley del art. 14 CE, así como a los derechos al libre ejercicio de la profesión y a la libre empresa de los arts. 36 y 38 CE, de acuerdo, por otra parte, con la doctrina de la STC 63/2011.</w:t>
      </w:r>
    </w:p>
    <w:p w:rsidR="00D06117" w:rsidRDefault="00D06117" w:rsidP="00D06117">
      <w:pPr>
        <w:pStyle w:val="TextoNormal"/>
      </w:pPr>
    </w:p>
    <w:p w:rsidR="00D06117" w:rsidRDefault="00D06117" w:rsidP="00D06117">
      <w:pPr>
        <w:pStyle w:val="TextoNormal"/>
      </w:pPr>
      <w:r>
        <w:t xml:space="preserve">Recuerda el Ministerio Público que la cuestión de la edad como determinante de la posibilidad de acceso a una autorización de oficinas de farmacia ha sido abordada por tres sentencias del Tribunal Constitucional, las SSTC 63/2011, 79/2011 y 117/2011, que han declarado la inconstitucionalidad de preceptos análogos al ahora cuestionado por vulneración del art. 14 CE. Partiendo de esa doctrina, lo que ha de determinarse es si la limitación de la edad establecida en el art. 34.2 de la Ley del Parlamento Vasco 11/1994 es discriminatoria, según </w:t>
      </w:r>
      <w:r>
        <w:lastRenderedPageBreak/>
        <w:t>atienda o no a razones objetivas, fundamentadas en fines de interés general. Alude a la configuración de las oficinas de farmacia como establecimientos sanitarios privados pero de interés público, lo que hace que se estructuren en torno a dos ejes (STC 109/2003) la libertad de empresa y propiedad privada, de una parte, y, de otra, el interés y la planificación públicas. De ello se deduce que el legislador dispone de la necesaria libertad para estructurar el servicio público del modo que mejor satisfaga los intereses generales de los ciudadanos.</w:t>
      </w:r>
    </w:p>
    <w:p w:rsidR="00D06117" w:rsidRDefault="00D06117" w:rsidP="00D06117">
      <w:pPr>
        <w:pStyle w:val="TextoNormal"/>
      </w:pPr>
    </w:p>
    <w:p w:rsidR="00D06117" w:rsidRDefault="00D06117" w:rsidP="00D06117">
      <w:pPr>
        <w:pStyle w:val="TextoNormal"/>
      </w:pPr>
      <w:r>
        <w:t>Entrando ya en el enjuiciamiento concreto de la norma sostiene el Fiscal General del Estado que son dos las cuestiones que han de ser tomadas en consideración. La primera sería si las razones esgrimidas para justificar la norma están encaminadas a la satisfacción del interés general y si la misma supera o no el juicio de proporcionalidad sobre la relación existente entre la medida adoptada, el resultado producido y la finalidad pretendida. En segundo lugar, se plantea si los términos taxativos y de alcance general con que dicha norma se manifiesta superan o no el canon de proporcionalidad establecido por el Tribunal Constitucional en relación al derecho de acceso en condiciones de igualdad a la apertura de un establecimiento de interés general como es el de una oficina de farmacia.</w:t>
      </w:r>
    </w:p>
    <w:p w:rsidR="00D06117" w:rsidRDefault="00D06117" w:rsidP="00D06117">
      <w:pPr>
        <w:pStyle w:val="TextoNormal"/>
      </w:pPr>
    </w:p>
    <w:p w:rsidR="00D06117" w:rsidRDefault="00D06117" w:rsidP="00D06117">
      <w:pPr>
        <w:pStyle w:val="TextoNormal"/>
      </w:pPr>
      <w:r>
        <w:t>Respecto de la primera cuestión, desdoblada en dos íntimamente relacionadas, advierte el Fiscal General del Estado que, en efecto, el precepto cuestionado se enmarca en una ley que tiene como objetivo primordial la estructuración, desarrollo y plena efectividad del servicio farmacéutico dentro del territorio de la Comunidad Autónoma del País Vasco, siendo así que resulta razonable la justificación de la medida, dirigida a asegurar la continuidad en la explotación de una concreta oficina. Resulta, sin embargo, que desde la perspectiva del interés individual de todo farmacéutico a ser titular de una oficina (con independencia de que, como tiene señalado la STC 109/2003, ésta no sea la única manifestación del derecho al libre ejercicio de la profesión, en el caso de la farmacéutica), la primacía de los intereses públicos que aquí concurre ha de responder a criterios de racionalidad y de proporcionalidad. Examinando ya las posibles justificaciones de la norma, señala el Fiscal General del Estado que la limitación de la norma no puede justificarse en razones basadas en una eventual merma de aptitud o capacidad del farmacéutico mayor de sesenta y cinco años dado que, en primer lugar, la prohibición para los mayores de sesenta y cinco años solamente tiene eficacia “cuando no existan otras solicitudes en el mismo expediente”; en segundo lugar, no se establece un límite de edad para la jubilación y, en tercer lugar, la edad de sesenta y cinco años no es obstáculo para concurrir a la adquisición de una oficina de farmacia. Por otra parte estima el Fiscal General que la amplitud con la que se concibe la norma tampoco abona como justificación el beneficio que podría suponer para los farmacéuticos más jóvenes pues lo que existe es una exclusión indiferenciada que excluye toda posibilidad de ponderación. En este sentido advierte el Ministerio Fiscal que, por las connotaciones de interés general inherentes a la actividad farmacéutica, sería aplicable la doctrina constitucional sentada en relación con las limitaciones de edad impuestas para el acceso a la función pública (SSTC 75/1983 y 37/2004), con lo que cabe concluir que, al presentarse la limitación por razón de edad de forma indiferenciada y genérica, resulta desproporcionada y lesiva para el derecho de los aspirantes a acceder a la titularidad de una oficina de farmacia. Tampoco respondería el precepto cuestionado a razones vinculadas a la planificación y organización de los servicios ni a la necesidad de evitar situaciones especulativas, cuestión ya descartada en la STC 79/2011 y cuya concurrencia no justificaría una exclusión total ajena al principio de proporcionalidad.</w:t>
      </w:r>
    </w:p>
    <w:p w:rsidR="00D06117" w:rsidRDefault="00D06117" w:rsidP="00D06117">
      <w:pPr>
        <w:pStyle w:val="TextoNormal"/>
      </w:pPr>
    </w:p>
    <w:p w:rsidR="00D06117" w:rsidRDefault="00D06117" w:rsidP="00D06117">
      <w:pPr>
        <w:pStyle w:val="TextoNormal"/>
      </w:pPr>
      <w:r>
        <w:lastRenderedPageBreak/>
        <w:t>Como conclusión de todo lo anterior, el Fiscal General del Estado afirma que la norma así enunciada resulta contraria al art. 14 CE porque no satisface el juicio de proporcionalidad que exige el principio de igualdad ante la ley que reconoce el citado art. 14 CE, al anticipar en un período excesivamente largo de tiempo la limitación por edad de los profesionales farmacéuticos para solicitar autorización administrativa de apertura de establecimientos farmacéuticos. Y, en segundo lugar, porque tampoco satisface las exigencias del juicio de proporcionalidad, al tener un alcance general y excluyente de modo automático de toda posibilidad de reconsideración en función de las circunstancias particulares que se puedan producir en un supuesto concreto.</w:t>
      </w:r>
    </w:p>
    <w:p w:rsidR="00D06117" w:rsidRDefault="00D06117" w:rsidP="00D06117">
      <w:pPr>
        <w:pStyle w:val="TextoNormal"/>
      </w:pPr>
    </w:p>
    <w:p w:rsidR="00D06117" w:rsidRDefault="00D06117" w:rsidP="00D06117">
      <w:pPr>
        <w:pStyle w:val="TextoNormal"/>
      </w:pPr>
      <w:r>
        <w:t>Alcanzada la anterior conclusión el Fiscal General del Estado señala el carácter básico de los arts. 88 y 89 de la Ley 14/1986, relativos al ejercicio libre de las profesiones sanitarias y a la libertad de empresa en el sector sanitario, a la vez que descarta que exista vulneración del derecho al ejercicio de las profesiones tituladas del art. 36 CE, ni del derecho a la libertad de empresa del art. 38 CE.</w:t>
      </w:r>
    </w:p>
    <w:p w:rsidR="00D06117" w:rsidRDefault="00D06117" w:rsidP="00D06117">
      <w:pPr>
        <w:pStyle w:val="TextoNormal"/>
      </w:pPr>
    </w:p>
    <w:p w:rsidR="00D06117" w:rsidRDefault="00D06117" w:rsidP="00D06117">
      <w:pPr>
        <w:pStyle w:val="TextoNormal"/>
      </w:pPr>
      <w:r>
        <w:t>En conclusión de todo lo expuesto el Fiscal General del Estado considera que “el cuestionado inciso del apartado 2 del art. 34 de la Ley 11/1994 vulnera el principio de igualdad del art. 14 CE con una discriminación por razón de edad carente de cobertura constitucional.</w:t>
      </w:r>
    </w:p>
    <w:p w:rsidR="00D06117" w:rsidRDefault="00D06117" w:rsidP="00D06117">
      <w:pPr>
        <w:pStyle w:val="TextoNormal"/>
      </w:pPr>
    </w:p>
    <w:p w:rsidR="00D06117" w:rsidRDefault="00D06117" w:rsidP="00D06117">
      <w:pPr>
        <w:pStyle w:val="TextoNormal"/>
      </w:pPr>
      <w:r w:rsidRPr="00D06117">
        <w:rPr>
          <w:rStyle w:val="NumeroAFNegritaCaracter"/>
        </w:rPr>
        <w:t>12</w:t>
      </w:r>
      <w:r>
        <w:t>. La representación procesal de doña A.I.R.R., codemandada en el proceso a quo, se personó en el proceso mediante escrito registrado el día 19 de octubre de 2011. Por diligencia de ordenación de 20 de octubre de 2011 la Sala Segunda le concedió un plazo de quince días para formular las alegaciones que estimase convenientes. Finalmente sus alegaciones se registraron en este Tribunal Constitucional el día 16 de noviembre de 2011.</w:t>
      </w:r>
    </w:p>
    <w:p w:rsidR="00D06117" w:rsidRDefault="00D06117" w:rsidP="00D06117">
      <w:pPr>
        <w:pStyle w:val="TextoNormal"/>
      </w:pPr>
    </w:p>
    <w:p w:rsidR="00D06117" w:rsidRDefault="00D06117" w:rsidP="00D06117">
      <w:pPr>
        <w:pStyle w:val="TextoNormal"/>
      </w:pPr>
      <w:r>
        <w:t>En ellas, tras exponer los antecedentes que han dado lugar al planteamiento de la cuestión alude a las, a su juicio, sustanciales diferencias existentes entre el precepto cuestionado y los de otras leyes autonómicas que, asimismo, han sido objeto de cuestión de inconstitucionalidad, pues el ahora cuestionado, a diferencia de los otros, no excluye en absoluto la participación de los mayores de sesenta y cinco años en los procedimientos de autorización de nuevas oficinas de farmacia sino que establece una preferencia a favor de los farmacéuticos más jóvenes. Estima que esa medida es razonable y proporcional en tanto que se trata de una medida de acción positiva para favorecer el empleo de dicho grupo sin que con ello se vulnere el derecho a la libertad de empresa y al libre ejercicio de la profesión. Asimismo indica que la medida cuestionada trata de garantizar que el adjudicatario permanezca un mínimo de tiempo en el desempeño de la función, evitando que el procedimiento de autorización se convierta en una forma de burlar los principios de mérito y capacidad en la medida en que, conforme a los arts. 17.2 y 3 de la Ley del Parlamento Vasco 11/1994, los hijos de farmacéuticos titulares de oficinas de farmacia no tienen que acudir a procesos selectivos para resultar adjudicatarios de una autorización de una farmacia ya abierta. Finalmente señala que esta preferencia para los farmacéuticos más jóvenes se justifica porqué la ya citada Ley del Parlamento Vasco 11/1994 presume que, a partir de los sesenta y cinco años, el mérito y capacidad de un farmacéutico ya no son plenos pues prevé, como regla general, la incorporación obligatoria de un adjunto cuando el titular de la farmacia cumpla los sesenta y cinco años.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13</w:t>
      </w:r>
      <w:r>
        <w:t>. Por providencia de 12 de abril de 2012 se acordó señalar para deliberación y votación de la presente Sentencia el día 16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Tal y como ha quedado reflejado en los antecedentes de esta resolución, la presente cuestión de inconstitucionalidad ha sido promovida por la Sección Segunda de la Sala de lo Contencioso-Administrativo del Tribunal Superior de Justicia del País Vasco en relación con el art. 34.2, párrafo segundo, de la Ley del Parlamento Vasco 11/1994, de 17 de junio, de ordenación farmacéutica de la Comunidad Autónoma del País Vasco, por supuesta vulneración del art. 14 CE en cuanto establece que “dichos procedimientos [para la autorización de una nueva oficina de farmacia] sólo podrán resolverse a favor de farmacéuticos de más de sesenta y cinco años o de farmacéuticos titulares o cotitulares de oficinas de farmacia ubicadas en la misma zona farmacéutica cuando no existan otras solicitudes en el mismo expediente”, así como de los arts. 36 y 38 CE, en la medida en que el primero no permite que la ley regule sin límite o condicionamiento alguno el ejercicio de las profesiones tituladas, y el segundo reconoce la libertad de empresa, ambos artículos “en relación, además, con dos normas básicas, como son las de los artículos 88 y 89 de la Ley 14/1986, de 25 de abril, General de Sanidad.” Mientras el Fiscal General del Estado y el demandante en el proceso a quo abogan en sus escritos de alegaciones por la estimación de la cuestión por vulneración del art. 14 CE, el Gobierno y el Parlamento Vasco así como la parte codemandada en el proceso a quo solicitan su desestimación.</w:t>
      </w:r>
    </w:p>
    <w:p w:rsidR="00D06117" w:rsidRDefault="00D06117" w:rsidP="00D06117">
      <w:pPr>
        <w:pStyle w:val="TextoNormal"/>
      </w:pPr>
    </w:p>
    <w:p w:rsidR="00D06117" w:rsidRDefault="00D06117" w:rsidP="00D06117">
      <w:pPr>
        <w:pStyle w:val="TextoNormal"/>
      </w:pPr>
      <w:r w:rsidRPr="00D06117">
        <w:rPr>
          <w:rStyle w:val="NumeroAFNegritaCaracter"/>
        </w:rPr>
        <w:t>2</w:t>
      </w:r>
      <w:r>
        <w:t>. Planteada en tales términos la cuestión, hemos, en primer lugar, de delimitar de forma precisa su objeto. A tales efectos debemos recordar que la resolución impugnada en el proceso contencioso-administrativo denegó la solicitud del demandante de creación de una oficina de farmacia por haber alcanzado éste la edad de sesenta y cinco años, de lo que resulta que el inciso “de farmacéuticos de más de sesenta y cinco años” del art. 34.2, párrafo segundo, de la Ley del Parlamento Vasco 11/1994 es, por consiguiente, el objeto de la presente cuestión de inconstitucionalidad, por ser el relevante para la resolución del proceso a quo.</w:t>
      </w:r>
    </w:p>
    <w:p w:rsidR="00D06117" w:rsidRDefault="00D06117" w:rsidP="00D06117">
      <w:pPr>
        <w:pStyle w:val="TextoNormal"/>
      </w:pPr>
    </w:p>
    <w:p w:rsidR="00D06117" w:rsidRDefault="00D06117" w:rsidP="00D06117">
      <w:pPr>
        <w:pStyle w:val="TextoNormal"/>
      </w:pPr>
      <w:r>
        <w:t>Asimismo, en la respuesta a la duda de constitucionalidad que se nos plantea, hemos necesariamente de tener en cuenta la doctrina que este Tribunal Constitucional ha establecido en las SSTC 63/2011, de 16 de mayo, 79/2011, de 6 de junio, 117/2011, de 4 de julio y 161/2011, de 19 de octubre, en las que hemos declarado la inconstitucionalidad de las prohibiciones del acceso a autorizaciones de nuevas oficinas de farmacia a mayores de sesenta y cinco años contenida en las Leyes 4/1996, de 26 de diciembre, de Castilla-La Mancha; 5/1999, de 21 de mayo, de Galicia; 4/1999, de 25 de marzo, de Aragón y 3/1996, de 25 de junio, de Extremadura, al considerarla una discriminación arbitraria por razón de la edad que no quedaba justificada.</w:t>
      </w:r>
    </w:p>
    <w:p w:rsidR="00D06117" w:rsidRDefault="00D06117" w:rsidP="00D06117">
      <w:pPr>
        <w:pStyle w:val="TextoNormal"/>
      </w:pPr>
    </w:p>
    <w:p w:rsidR="00D06117" w:rsidRDefault="00D06117" w:rsidP="00D06117">
      <w:pPr>
        <w:pStyle w:val="TextoNormal"/>
      </w:pPr>
      <w:r>
        <w:t xml:space="preserve">Ciertamente, como han alegado tanto el Letrado del Parlamento Vasco como la Letrada del Gobierno autonómico, la regulación ahora cuestionada no es exactamente coincidente, en su dicción literal, con las declaradas inconstitucionales en las Sentencias que acabamos de citar. La diferencia entre ésta y aquéllas se encontraría en que el párrafo segundo del art. 34.2 de la Ley del Parlamento Vasco 11/1994 no introduce una regla de exclusión absoluta de los farmacéuticos mayores de sesenta y cinco años de los procedimientos de autorización </w:t>
      </w:r>
      <w:r>
        <w:lastRenderedPageBreak/>
        <w:t>de nuevas oficinas de farmacia sino que tal exclusión se produce únicamente en el caso de que exista concurrencia con solicitantes de menor edad, supuesto en el que la solicitud del farmacéutico mayor de sesenta y cinco años no es tenida en cuenta. Sin embargo pese a las diferencias en el tenor literal de la norma ahora cuestionada respecto de otras ya enjuiciadas por este Tribunal, es evidente que esta norma supone, como ha apuntado el Letrado del Parlamento Vasco que, si bien no se impide la participación en el procedimiento de los farmacéuticos mayores de sesenta y cinco años sí que, por aplicación del art. 34.2, párrafo segundo de la Ley 11/1994, van a verse postergados o excluidos en presencia de cualquier otro participante de menor edad. Ello implica que en el supuesto por ella previsto la norma va a producir el mismo efecto que si se utilizase la edad como criterio absoluto de exclusión, lo que, a su vez, determina que, especialmente desde la perspectiva de la prohibición de discriminación del art. 14 CE, haya de ser examinada en los mismos términos en los que lo fueron los preceptos legales enjuiciados en las Sentencias antes citadas.</w:t>
      </w:r>
    </w:p>
    <w:p w:rsidR="00D06117" w:rsidRDefault="00D06117" w:rsidP="00D06117">
      <w:pPr>
        <w:pStyle w:val="TextoNormal"/>
      </w:pPr>
    </w:p>
    <w:p w:rsidR="00D06117" w:rsidRDefault="00D06117" w:rsidP="00D06117">
      <w:pPr>
        <w:pStyle w:val="TextoNormal"/>
      </w:pPr>
      <w:r w:rsidRPr="00D06117">
        <w:rPr>
          <w:rStyle w:val="NumeroAFNegritaCaracter"/>
        </w:rPr>
        <w:t>3</w:t>
      </w:r>
      <w:r>
        <w:t>. Como recuerda la STC 117/2011, de 4 de julio, FJ 5, dado que “la edad es uno de los factores a los que alcanza la prohibición constitucional de fundar en ellos un tratamiento diferenciado que no se acomode a las rigurosas exigencias de justificación y proporcionalidad recién mencionadas, la respuesta a la duda de constitucionalidad planteada vendrá dada, tal como razonábamos en el STC 63/2011, por la valoración de las razones esgrimidas por los órganos autonómicos en pro de la justificación constitucional del distinto tratamiento que la ley cuestionada dispensa a los mayores de sesenta y cinco años. Al no hallarnos en el ámbito de la genérica interdicción de la desigualdad, sino en el de la prohibición de la discriminación por las causas que, en enumeración abierta, se contienen en el segundo inciso del art. 14 CE, el canon de control de la excepcional legitimidad constitucionalidad de la diferenciación por uno de esos factores, como lo es la edad, es mucho más estricto al enjuiciar la justificación y proporcionalidad de la diferenciación.” Procede, por tanto, analizar las razones que, en opinión de los órganos autonómicos, justifican la regla de exclusión cuestionada.</w:t>
      </w:r>
    </w:p>
    <w:p w:rsidR="00D06117" w:rsidRDefault="00D06117" w:rsidP="00D06117">
      <w:pPr>
        <w:pStyle w:val="TextoNormal"/>
      </w:pPr>
    </w:p>
    <w:p w:rsidR="00D06117" w:rsidRDefault="00D06117" w:rsidP="00D06117">
      <w:pPr>
        <w:pStyle w:val="TextoNormal"/>
      </w:pPr>
      <w:r>
        <w:t>Así, en primer lugar, no resulta constitucionalmente admisible justificar la prohibición contenida en la norma cuestionada en que a los sesenta y cinco años se produzca una merma de la aptitud y capacidad necesarias para desempeñar la asistencia farmacéutica pues ello supone presumir, para los farmacéuticos que pretendan optar a obtener una autorización para abrir una nueva oficina de farmacia (vinieran o no disfrutando de una autorización previa), una incapacidad derivada de la sola circunstancia de haber superado los sesenta y cinco años de edad [en el mismo sentido STC 63/2011, FJ 4 a), reiterado en las SSTC 79/2011, FJ 4 a) y 117/2011, FJ 5 a)].</w:t>
      </w:r>
    </w:p>
    <w:p w:rsidR="00D06117" w:rsidRDefault="00D06117" w:rsidP="00D06117">
      <w:pPr>
        <w:pStyle w:val="TextoNormal"/>
      </w:pPr>
    </w:p>
    <w:p w:rsidR="00D06117" w:rsidRDefault="00D06117" w:rsidP="00D06117">
      <w:pPr>
        <w:pStyle w:val="TextoNormal"/>
      </w:pPr>
      <w:r>
        <w:t xml:space="preserve">En segundo lugar no cabe apreciar que la medida responda a exigencias de planificación y organización del servicio, más concretamente, en la idea de permanencia en la función al frente de la oficina de farmacia ya que la Ley 11/1994, a diferencia de otras leyes autonómicas, no establece caducidad de la autorización, resultando que el farmacéutico puede permanecer indefinidamente al frente de su oficina de farmacia, con la única exigencia de nombrar a otro farmacéutico adjunto (art. 6.6 de la Ley 11/1994 en relación con el Decreto 129/1997, de 3 de junio). De este modo, si lo que se pretende es que la autorización implique un período de permanencia en la explotación de la oficina de farmacia (fijado en tres años por el art. 17.1 de la Ley 11/1994), el límite de edad de sesenta y cinco años para instar la autorización resulta excesivo y desproporcionado al sacrificio que supone la pérdida del </w:t>
      </w:r>
      <w:r>
        <w:lastRenderedPageBreak/>
        <w:t>derecho a obtenerla por haber rebasado una determinada edad, cuando la autorización, una vez conseguida, se puede prolongar en el tiempo sin ningún plazo de caducidad [al respecto, SSTC 79/2011, FJ 4 b) y 117/2011, FJ 5 c)].</w:t>
      </w:r>
    </w:p>
    <w:p w:rsidR="00D06117" w:rsidRDefault="00D06117" w:rsidP="00D06117">
      <w:pPr>
        <w:pStyle w:val="TextoNormal"/>
      </w:pPr>
    </w:p>
    <w:p w:rsidR="00D06117" w:rsidRDefault="00D06117" w:rsidP="00D06117">
      <w:pPr>
        <w:pStyle w:val="TextoNormal"/>
      </w:pPr>
      <w:r>
        <w:t>En tercer lugar, como sucedía en los casos examinados en las SSTC 63/2011, FJ 4 b) y 117/2011, FJ 5 b), tampoco puede admitirse que la postergación de los farmacéuticos mayores de sesenta y cinco años constituya una medida de acción positiva dirigida a equilibrar la desfavorable situación de partida de los integrantes de un grupo desfavorecido, como serían los farmacéuticos menores de sesenta y cinco años. De hecho, como en los casos antes citados, la exclusión de los mayores de sesenta y cinco años en caso de concurrencia con otros menores de esa edad se manifiesta injustificada y desproporcionada, pues la amplitud del colectivo privilegiado (todos los profesionales, hasta que cumplan la edad de sesenta y cinco años) permite albergar serias dudas acerca de que efectivamente se trate de un grupo desfavorecido que precise de una medida de acción positiva para reequilibrar su posición frente a los mayores de sesenta y cinco años. En el caso la medida excepcional, pretendida o supuestamente de discriminación positiva, más que privilegiar a un grupo supuestamente merecedor de especial protección margina a un colectivo concreto (los mayores de sesenta y cinco años). Por otra parte, el propósito de favorecer al colectivo de los menores de sesenta y cinco años se instrumenta apartando de la selección a los mayores de sesenta y cinco años, los cuales, además, no tienen ningún obstáculo legal para ejercer la profesión por encima de esa edad.</w:t>
      </w:r>
    </w:p>
    <w:p w:rsidR="00D06117" w:rsidRDefault="00D06117" w:rsidP="00D06117">
      <w:pPr>
        <w:pStyle w:val="TextoNormal"/>
      </w:pPr>
    </w:p>
    <w:p w:rsidR="00D06117" w:rsidRDefault="00D06117" w:rsidP="00D06117">
      <w:pPr>
        <w:pStyle w:val="TextoNormal"/>
      </w:pPr>
      <w:r>
        <w:t>Consecuentemente no estamos ante una medida de favorecimiento de un grupo necesitado de reequilibrio, sino ante una medida de exclusión, que se revela como injustificadamente lesiva de la prohibición de discriminación contenida en el art. 14 CE. Si la edad de sesenta y cinco años no es obstáculo para seguir ejerciendo la profesión de farmacéutico titular de la oficina de farmacia, la preterición en el acceso a una nueva autorización para los mayores de esa edad no está conectada con el interés público presente en la ordenación del servicio farmacéutico, y sin embargo incide en una de las formas de ejercicio profesional, precisamente la articulada a través de la organización de una actividad empresarial, faceta en la cual no está justificada la restricción impuesta a los mayores de sesenta y cinco años. Finalmente, la exclusión de la que hablamos produce el resultado práctico de que las solicitudes de los farmacéuticos serán tenidas o no en cuenta en el proceso dependiendo exclusivamente de la edad del solicitante, sin que la exclusión de los mayores de sesenta y cinco años lleve consigo de por sí el acceso de nuevos profesionales, revelándose así la medida como inidónea al fin pretendido.</w:t>
      </w:r>
    </w:p>
    <w:p w:rsidR="00D06117" w:rsidRDefault="00D06117" w:rsidP="00D06117">
      <w:pPr>
        <w:pStyle w:val="TextoNormal"/>
      </w:pPr>
    </w:p>
    <w:p w:rsidR="00D06117" w:rsidRDefault="00D06117" w:rsidP="00D06117">
      <w:pPr>
        <w:pStyle w:val="TextoNormal"/>
      </w:pPr>
      <w:r>
        <w:t>De todo ello resulta que nos hallamos ante una medida que no tiene como objetivo beneficiar a un colectivo desfavorecido en concurrencia con otros; antes al contrario, la medida en cuestión supone una exclusión prácticamente absoluta de los mayores de sesenta y cinco años —como las circunstancias del caso y los datos aportados por la Letrada del Gobierno Vasco han puesto de manifiesto—, por lo que no cumple el juicio de proporcionalidad que le es exigible [en el mismo sentido, STC 117/2011, FJ 5 b)], ya que priva a un profesional farmacéutico que dispone de todas las facultades para ejercer la titularidad de una oficina de farmacia de obtener la autorización ya que tal solicitud le va a ser rechazada automáticamente en caso de concurrir con una farmacéutico de menor edad.</w:t>
      </w:r>
    </w:p>
    <w:p w:rsidR="00D06117" w:rsidRDefault="00D06117" w:rsidP="00D06117">
      <w:pPr>
        <w:pStyle w:val="TextoNormal"/>
      </w:pPr>
    </w:p>
    <w:p w:rsidR="00D06117" w:rsidRDefault="00D06117" w:rsidP="00D06117">
      <w:pPr>
        <w:pStyle w:val="TextoNormal"/>
      </w:pPr>
      <w:r>
        <w:lastRenderedPageBreak/>
        <w:t>Finalmente, no cabe tampoco encontrar la justificación de la medida cuestionada en la necesidad de evitar eventuales situaciones especulativas, a las que han aludido los Letrados del Parlamento y del Gobierno Vasco pues, sin perjuicio de señalar tales comportamientos, caso de existir, parecen encontrar su fundamento en la regulación de la trasmisión de las oficinas de farmacia del art. 17 de la propia Ley 11/1994, ya excluimos en la STC 79/2011, FJ 4, que “en todo caso, este tipo de riesgos especulativos, de resultar factibles, no pueden justificar, por su carácter preventivo y a la luz del principio de proporcionalidad, una exclusión a radice de los mayores de sesenta y cinco años de la opción misma de concurrir a los concursos para nuevas oficinas, frente a la alternativa de introducir mecanismos específicos que, sin sostenerse en tal exclusión absoluta, vayan dirigidos a eliminar o mitigar tales riesgos.”</w:t>
      </w:r>
    </w:p>
    <w:p w:rsidR="00D06117" w:rsidRDefault="00D06117" w:rsidP="00D06117">
      <w:pPr>
        <w:pStyle w:val="TextoNormal"/>
      </w:pPr>
    </w:p>
    <w:p w:rsidR="00D06117" w:rsidRDefault="00D06117" w:rsidP="00D06117">
      <w:pPr>
        <w:pStyle w:val="TextoNormal"/>
      </w:pPr>
      <w:r w:rsidRPr="00D06117">
        <w:rPr>
          <w:rStyle w:val="NumeroAFNegritaCaracter"/>
        </w:rPr>
        <w:t>4</w:t>
      </w:r>
      <w:r>
        <w:t>. Consecuencia de todo lo anteriormente expuesto es que la prohibición establecida en la norma cuestionada implica una discriminación por razón de la edad que no es constitucionalmente admisible (art. 14 CE), sin que, alcanzada la anterior conclusión, resulte necesario pronunciarse respecto al resto de vulneraciones constitucionales denunciadas.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cuestión de inconstitucionalidad núm. 4362-2011 y, en consecuencia, declarar la inconstitucionalidad y nulidad del inciso “de farmacéuticos de más de sesenta y cinco años” del art. 34.2, párrafo segundo, de la Ley del Parlamento Vasco 11/1994, de 17 de junio, de ordenación farmacéutica de la Comunidad Autónoma del País Vasco.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dieciséis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2" w:name="SENTENCIA_2012_79"/>
      <w:r>
        <w:lastRenderedPageBreak/>
        <w:t>SENTENCIA 79/2012, de 17 de abril de 2012</w:t>
      </w:r>
    </w:p>
    <w:bookmarkEnd w:id="8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ECLI:ES:TC:2012:79</w:t>
      </w:r>
    </w:p>
    <w:p w:rsidR="00D06117" w:rsidRDefault="00D06117" w:rsidP="00D06117">
      <w:pPr>
        <w:pStyle w:val="SntesisDescriptiva"/>
      </w:pPr>
    </w:p>
    <w:p w:rsidR="00D06117" w:rsidRDefault="00D06117" w:rsidP="00D06117">
      <w:pPr>
        <w:pStyle w:val="SntesisDescriptiva"/>
      </w:pPr>
      <w:r>
        <w:t>Cuestión de inconstitucionalidad 1389-2005. Planteada por la Sección Décima de la Audiencia Provincial de Madrid en relación con el artículo 35.7 de la Ley 53/2002, de 30 de diciembre, de medidas fiscales, administrativas y del orden social.</w:t>
      </w:r>
    </w:p>
    <w:p w:rsidR="00D06117" w:rsidRDefault="00D06117" w:rsidP="00D06117">
      <w:pPr>
        <w:pStyle w:val="SntesisDescriptiva"/>
      </w:pPr>
    </w:p>
    <w:p w:rsidR="00D06117" w:rsidRDefault="00D06117" w:rsidP="00D06117">
      <w:pPr>
        <w:pStyle w:val="SntesisAnaltica"/>
      </w:pPr>
      <w:r>
        <w:t>Derecho a la tutela judicial sin indefensión: constitucionalidad del precepto legal que supedita la tramitación de recursos presentados por personas jurídicas con ánimo de lucro sujetas al impuesto sobre sociedades y que superen una determinada facturación anual al abono de la tasa por el ejercicio de la potestad jurisdiccional en el orden civil (STC 20/2012).</w:t>
      </w:r>
    </w:p>
    <w:p w:rsidR="00D06117" w:rsidRDefault="00D06117" w:rsidP="00D06117">
      <w:pPr>
        <w:pStyle w:val="SntesisAnaltica"/>
      </w:pPr>
    </w:p>
    <w:p w:rsidR="00D06117" w:rsidRDefault="00D06117" w:rsidP="00D06117">
      <w:pPr>
        <w:pStyle w:val="Extracto"/>
      </w:pPr>
      <w:r>
        <w:t>1.</w:t>
      </w:r>
      <w:r>
        <w:tab/>
        <w:t>Aplica la doctrina sobre la constitucionalidad de las tasas por el ejercicio de la potestad jurisdiccional en el orden civil, en relación con el derecho a los recursos legalmente previstos, de la STC 20/2012 [FFJJ 2 a 8].</w:t>
      </w:r>
    </w:p>
    <w:p w:rsidR="00D06117" w:rsidRDefault="00D06117" w:rsidP="00D06117">
      <w:pPr>
        <w:pStyle w:val="Extracto"/>
      </w:pPr>
    </w:p>
    <w:p w:rsidR="00D06117" w:rsidRDefault="00D06117" w:rsidP="00D06117">
      <w:pPr>
        <w:pStyle w:val="Extracto"/>
      </w:pPr>
      <w:r>
        <w:t>2.</w:t>
      </w:r>
      <w:r>
        <w:tab/>
        <w:t xml:space="preserve">No es inconstitucional, </w:t>
      </w:r>
      <w:r w:rsidRPr="00D06117">
        <w:rPr>
          <w:i/>
        </w:rPr>
        <w:t>ex</w:t>
      </w:r>
      <w:r>
        <w:t xml:space="preserve"> art. 24.1 CE, la previsión legal de que las demandas civiles que no vayan acompañadas del documento que acredite el pago de la tasa judicial no sean cursadas por el Secretario judicial e inadmitidas transcurrido el plazo de subsanación y tampoco la subordinación de la admisión de un recurso de apelación civil al abono de dicha tasa, pues el derecho de acceso a los recursos recibe un menor grado de protección que el derecho de acceso a la justicia (STC 20/2012) [FJ 4].</w:t>
      </w:r>
    </w:p>
    <w:p w:rsidR="00D06117" w:rsidRDefault="00D06117" w:rsidP="00D06117">
      <w:pPr>
        <w:pStyle w:val="Extracto"/>
      </w:pPr>
    </w:p>
    <w:p w:rsidR="00D06117" w:rsidRDefault="00D06117" w:rsidP="00D06117">
      <w:pPr>
        <w:pStyle w:val="Extracto"/>
      </w:pPr>
      <w:r>
        <w:t>3.</w:t>
      </w:r>
      <w:r>
        <w:tab/>
        <w:t>Desde la perspectiva que ofrece el art. 24.1 CE resulta indiferente que el pago de la tasa judicial se haya llevado a cabo antes de presentar el escrito procesal que realiza el hecho imponible, después de presentarlo, pero antes de recibir el requerimiento del Secretario judicial, o durante el plazo que se otorga para la subsanación, al no lesionar bienes o derechos constitucionales, no gravar injustificadamente la posición de la parte contraria y no dañar la integridad objetiva del procedimiento (SSTC 76/1996, 125/2010) [FJ 8].</w:t>
      </w:r>
    </w:p>
    <w:p w:rsidR="00D06117" w:rsidRDefault="00D06117" w:rsidP="00D06117">
      <w:pPr>
        <w:pStyle w:val="Extracto"/>
      </w:pPr>
    </w:p>
    <w:p w:rsidR="00D06117" w:rsidRDefault="00D06117" w:rsidP="00D06117">
      <w:pPr>
        <w:pStyle w:val="Extracto"/>
      </w:pPr>
      <w:r>
        <w:t>4.</w:t>
      </w:r>
      <w:r>
        <w:tab/>
        <w:t>Los órganos jurisdiccionales han de ponderar los defectos procesales de las partes guardando la debida proporcionalidad entre el defecto y la sanción que debe acarrear y procurar, siempre que sea posible, la subsanación del defecto, favoreciendo la conservación de la eficacia de los actos procesales y del proceso como instrumento para alcanzar la efectividad de la tutela judicial (STC 12/2003) [FJ 8].</w:t>
      </w:r>
    </w:p>
    <w:p w:rsidR="00D06117" w:rsidRDefault="00D06117" w:rsidP="00D06117">
      <w:pPr>
        <w:pStyle w:val="Extracto"/>
      </w:pPr>
    </w:p>
    <w:p w:rsidR="00D06117" w:rsidRDefault="00D06117" w:rsidP="00D06117">
      <w:pPr>
        <w:pStyle w:val="Extracto"/>
      </w:pPr>
      <w:r>
        <w:t>5.</w:t>
      </w:r>
      <w:r>
        <w:tab/>
        <w:t>El derecho a acceder a los recursos legales no nace directamente de la Constitución sino de lo que dispongan las leyes procesales que los crean y se incorpora al derecho a la tutela judicial efectiva en la concreta configuración que reciba de cada una de las leyes de enjuiciamiento que regulan los diferentes órdenes jurisdiccionales (SSTC 42/1982, 35/2011) [FJ 4].</w:t>
      </w:r>
    </w:p>
    <w:p w:rsidR="00D06117" w:rsidRDefault="00D06117" w:rsidP="00D06117">
      <w:pPr>
        <w:pStyle w:val="Extracto"/>
      </w:pPr>
    </w:p>
    <w:p w:rsidR="00D06117" w:rsidRDefault="00D06117" w:rsidP="00D06117">
      <w:pPr>
        <w:pStyle w:val="Extracto"/>
      </w:pPr>
      <w:r>
        <w:t>6.</w:t>
      </w:r>
      <w:r>
        <w:tab/>
        <w:t>El control constitucional de los requisitos de admisión de los recursos es más laxo que el de los requisitos de acceso al proceso, puesto que se pide la revisión de una Sentencia que habría satisfecho el derecho fundamental a una tutela judicial efectiva sin indefensión de todas las partes procesales, razón por la cual el acceso al recurso debe ser contrapesado con el derecho de las otras partes a un proceso sin dilaciones indebidas y a la ejecución de lo resuelto (SSTC 55/1995, 27/2009) [FJ 4].</w:t>
      </w:r>
    </w:p>
    <w:p w:rsidR="00D06117" w:rsidRDefault="00D06117" w:rsidP="00D06117">
      <w:pPr>
        <w:pStyle w:val="Extracto"/>
      </w:pPr>
    </w:p>
    <w:p w:rsidR="00D06117" w:rsidRDefault="00D06117" w:rsidP="00D06117">
      <w:pPr>
        <w:pStyle w:val="Extracto"/>
      </w:pPr>
      <w:r>
        <w:t>7.</w:t>
      </w:r>
      <w:r>
        <w:tab/>
        <w:t>La tasa que grava el ejercicio de la potestad jurisdiccional en el orden civil persigue el legítimo interés de contribuir a financiar el servicio público de la Administración de justicia con cargo a los justiciables que más se benefician de la actividad jurisdiccional disminuyendo correlativamente la financiación procedente de los impuestos, a cargo de todos los contribuyentes, en términos respetuosos con las previsiones constitucionales sobre la gratuidad de la justicia (STC 20/2012) [FJ 5].</w:t>
      </w:r>
    </w:p>
    <w:p w:rsidR="00D06117" w:rsidRDefault="00D06117" w:rsidP="00D06117">
      <w:pPr>
        <w:pStyle w:val="Extracto"/>
      </w:pPr>
    </w:p>
    <w:p w:rsidR="00D06117" w:rsidRDefault="00D06117" w:rsidP="00D06117">
      <w:pPr>
        <w:pStyle w:val="Extracto"/>
      </w:pPr>
      <w:r>
        <w:t>8.</w:t>
      </w:r>
      <w:r>
        <w:tab/>
        <w:t>La posibilidad de subsanar los defectos procesales se refiere sólo a los requisitos formales y en las condiciones y plazos que las leyes procesales establezcan, pero no es difícil inducir un designio del legislador de permitir la subsanación de los defectos que posean este carácter en desarrollo del principio de tutela efectiva consagrado en el art. 24 CE (STC 39/1988) [FJ 7].</w:t>
      </w:r>
    </w:p>
    <w:p w:rsidR="00D06117" w:rsidRDefault="00D06117" w:rsidP="00D06117">
      <w:pPr>
        <w:pStyle w:val="Extracto"/>
      </w:pPr>
    </w:p>
    <w:p w:rsidR="00D06117" w:rsidRDefault="00D06117" w:rsidP="00D06117">
      <w:pPr>
        <w:pStyle w:val="Extracto"/>
      </w:pPr>
      <w:r>
        <w:t>9.</w:t>
      </w:r>
      <w:r>
        <w:tab/>
        <w:t>El plazo de subsanación de defectos procesales no lo es tan solo para la acreditación formal del cumplimiento temporáneo del requisito procesal exigible, sino también para la realización, en dicho plazo, del acto omitido o la rectificación del defectuosamente practicado (SSTC 69/1997, 155/2011) [FJ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1389-2005, planteada por la Audiencia Provincial de Madrid, Sección Décima, en relación con el artículo 35.7 de la Ley 53/2002, de 30 de diciembre, de medidas fiscales, administrativas y del orden social. Ha comparecido el Gobierno de la Nación, representado por el Abogado del Estado, y ha intervenido el Fiscal General del Estado.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1 de marzo de 2005 tuvo entrada en el Registro General de este Tribunal un oficio de la Sección Décima de la Audiencia Provincial de Madrid, del 22 de febrero del mismo año, al que se acompañaba, junto con el testimonio del correspondiente procedimiento (rollo de apelación núm. 460-2004, procedente del juicio verbal seguido ante el Juzgado de Primera Instancia núm. 49 de Madrid con el núm. 782-2003), su Auto de 28 de enero de 2005, por el que se plantea cuestión de inconstitucionalidad en relación con el art. 35.7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presente cuestión de inconstitucionalidad son los siguientes:</w:t>
      </w:r>
    </w:p>
    <w:p w:rsidR="00D06117" w:rsidRDefault="00D06117" w:rsidP="00D06117">
      <w:pPr>
        <w:pStyle w:val="TextoNormal"/>
      </w:pPr>
    </w:p>
    <w:p w:rsidR="00D06117" w:rsidRDefault="00D06117" w:rsidP="00D06117">
      <w:pPr>
        <w:pStyle w:val="TextoNormal"/>
      </w:pPr>
      <w:r>
        <w:t>a) El día 1 de junio de 2001, un motorista sufrió un accidente de circulación cuando circulaba por el carril central de la calzada lateral de la M-30 sur, tras colisionar con un todoterreno que había cambiado bruscamente de carril.</w:t>
      </w:r>
    </w:p>
    <w:p w:rsidR="00D06117" w:rsidRDefault="00D06117" w:rsidP="00D06117">
      <w:pPr>
        <w:pStyle w:val="TextoNormal"/>
      </w:pPr>
    </w:p>
    <w:p w:rsidR="00D06117" w:rsidRDefault="00D06117" w:rsidP="00D06117">
      <w:pPr>
        <w:pStyle w:val="TextoNormal"/>
      </w:pPr>
      <w:r>
        <w:t>b) El Juzgado de Primera Instancia núm. 49 de Madrid, tras sustanciar el juicio verbal núm. 728-2003, dictó Sentencia el 19 de diciembre de 2003. Su fallo condenó al conductor del automóvil, a su dueño y a la aseguradora Fiatc a que abonaran al motorista una indemnización de 959,91 euros, más los intereses legales y las costas del proceso, por los daños en las prendas y objetos que resultaron deteriorados como consecuencia del accidente.</w:t>
      </w:r>
    </w:p>
    <w:p w:rsidR="00D06117" w:rsidRDefault="00D06117" w:rsidP="00D06117">
      <w:pPr>
        <w:pStyle w:val="TextoNormal"/>
      </w:pPr>
    </w:p>
    <w:p w:rsidR="00D06117" w:rsidRDefault="00D06117" w:rsidP="00D06117">
      <w:pPr>
        <w:pStyle w:val="TextoNormal"/>
      </w:pPr>
      <w:r>
        <w:t>c) Fiatc Mutua de seguros interpuso recurso de apelación, sosteniendo que la indemnización no debería superar 270,46 euros, que es el coste de la limpieza y reparación de la indumentaria del motorista, nunca el precio de su sustitución, como era lo concedido. El recurso fue presentado por escrito de 30 de marzo de 2004, registrado en el Juzgado Decano el 2 de abril. El demandante se opuso el 4 de mayo. Trasladados los autos a la Audiencia, las partes comparecieron el 27 de mayo. Por providencia de 19 de julio de 2004, la Audiencia Provincial dio por recibidas las actuaciones y las partes por comparecidas, y requirió a la apelante para que acreditase, en el plazo de cinco días, el ingreso de la tasa por el ejercicio de la potestad jurisdiccional en el orden civil al tiempo de la interposición del recurso “sin que se admita, por extemporáneo, el ingreso posterior a la expiración del término del emplazamiento para la interposición, bajo apercibimiento de que no acreditándose el ingreso en los términos indicados se declarará indebidamente admitido el recurso y firme la sentencia apelada”.</w:t>
      </w:r>
    </w:p>
    <w:p w:rsidR="00D06117" w:rsidRDefault="00D06117" w:rsidP="00D06117">
      <w:pPr>
        <w:pStyle w:val="TextoNormal"/>
      </w:pPr>
    </w:p>
    <w:p w:rsidR="00D06117" w:rsidRDefault="00D06117" w:rsidP="00D06117">
      <w:pPr>
        <w:pStyle w:val="TextoNormal"/>
      </w:pPr>
      <w:r>
        <w:t>d) La apelante interpuso recurso de reposición contra esta providencia. Al recurso se acompañó el resguardo del modelo 696 de autoliquidación y pago de la tasa, que había realizado el 29 de julio de 2004 por un importe de 94,80 euros (90 por ser un juicio verbal y 4,80 de cantidad variable), por lo que se solicitaba que se tuviera por subsanado el defecto, con fundamento en las razones expuestas en el escrito del recurso. El recurso de reposición fue admitido por providencia de 2 de septiembre de 2004, en la que se concedía a las partes personadas un plazo de cinco días para impugnarlo.</w:t>
      </w:r>
    </w:p>
    <w:p w:rsidR="00D06117" w:rsidRDefault="00D06117" w:rsidP="00D06117">
      <w:pPr>
        <w:pStyle w:val="TextoNormal"/>
      </w:pPr>
    </w:p>
    <w:p w:rsidR="00D06117" w:rsidRDefault="00D06117" w:rsidP="00D06117">
      <w:pPr>
        <w:pStyle w:val="TextoNormal"/>
      </w:pPr>
      <w:r>
        <w:t xml:space="preserve">e) Por nuevo proveído de 22 de octubre de 2004, se acordó dar audiencia a las partes personadas y al Ministerio Fiscal, en el término común de diez días, para que alegasen lo </w:t>
      </w:r>
      <w:r>
        <w:lastRenderedPageBreak/>
        <w:t>que estimaran pertinente acerca del planteamiento de cuestión de inconstitucionalidad en relación con el art. 35.7.2 de la Ley 53/2002, y de su eventual oposición a lo dispuesto en el art. 24 CE. Frente a esta providencia interpuso recurso de reposición el Ministerio Fiscal, denunciando la falta de especificación del concreto derecho protegido por el art. 24 CE que pudiera resultar vulnerado.</w:t>
      </w:r>
    </w:p>
    <w:p w:rsidR="00D06117" w:rsidRDefault="00D06117" w:rsidP="00D06117">
      <w:pPr>
        <w:pStyle w:val="TextoNormal"/>
      </w:pPr>
    </w:p>
    <w:p w:rsidR="00D06117" w:rsidRDefault="00D06117" w:rsidP="00D06117">
      <w:pPr>
        <w:pStyle w:val="TextoNormal"/>
      </w:pPr>
      <w:r>
        <w:t>El recurso fue desestimado por Auto de 22 de diciembre de 2004, en el que se acordó completar la resolución impugnada “en el exclusivo sentido de concretar que el derecho constitucional que se entiende puede verse comprometido por la dicción del apartado 7.2 del artículo 35 de la Ley 53/2002 es el de tutela efectiva sin indefensión del art. 24.1 CE”.</w:t>
      </w:r>
    </w:p>
    <w:p w:rsidR="00D06117" w:rsidRDefault="00D06117" w:rsidP="00D06117">
      <w:pPr>
        <w:pStyle w:val="TextoNormal"/>
      </w:pPr>
    </w:p>
    <w:p w:rsidR="00D06117" w:rsidRDefault="00D06117" w:rsidP="00D06117">
      <w:pPr>
        <w:pStyle w:val="TextoNormal"/>
      </w:pPr>
      <w:r>
        <w:t>f) En su escrito de 26 de enero de 2005, el Ministerio Fiscal se manifestó contrario al planteamiento de la cuestión de inconstitucionalidad. Su oposición trae causa de la formulación del juicio de aplicabilidad de la norma. A este respecto, apunta que el control de los requisitos formales de interposición del recurso de apelación se tenía que haber realizado por el Juzgado sentenciador, pero finalmente fue hecho por la Sección Décima de la Audiencia Provincial de Madrid, sin dar la posibilidad al apelante de subsanar el defecto padecido. La exclusión de esta posibilidad de subsanación contraviene lo dispuesto en el art. 231 de la Ley de enjuiciamiento civil (LEC), que en opinión del Ministerio Fiscal sería de aplicación al caso y debiera haberse brindado al recurrente la posibilidad de abonar las tasas en el plazo de diez días señalado en ese mismo artículo de la ley rituaria.</w:t>
      </w:r>
    </w:p>
    <w:p w:rsidR="00D06117" w:rsidRDefault="00D06117" w:rsidP="00D06117">
      <w:pPr>
        <w:pStyle w:val="TextoNormal"/>
      </w:pPr>
    </w:p>
    <w:p w:rsidR="00D06117" w:rsidRDefault="00D06117" w:rsidP="00D06117">
      <w:pPr>
        <w:pStyle w:val="TextoNormal"/>
      </w:pPr>
      <w:r>
        <w:t>g) Finalmente, por Auto de 28 de enero de 2005, el órgano judicial acordó elevar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Auto de la Sección Décima de la Audiencia Provincial de Madrid de 28 de enero de 2005 plantea cuestión de inconstitucionalidad respecto al art. 35.7 de la Ley 53/2002, de 30 de diciembre, de medidas fiscales, administrativas y del orden social, apoyándose en los fundamentos siguientes:</w:t>
      </w:r>
    </w:p>
    <w:p w:rsidR="00D06117" w:rsidRDefault="00D06117" w:rsidP="00D06117">
      <w:pPr>
        <w:pStyle w:val="TextoNormal"/>
      </w:pPr>
    </w:p>
    <w:p w:rsidR="00D06117" w:rsidRDefault="00D06117" w:rsidP="00D06117">
      <w:pPr>
        <w:pStyle w:val="TextoNormal"/>
      </w:pPr>
      <w:r>
        <w:t>a) El Auto comienza sus razonamientos con un pormenorizado examen del cumplimiento de los requisitos procesales de admisibilidad de la cuestión, donde se presta particular atención al momento en que puede ser planteada (SSTC 8/1982, 76/1982 y 234/1997), en este caso antes de dictar la resolución que desestime el recurso de reposición contra el requerimiento de acreditar el pago de la tasa judicial, poniendo fin al procedimiento mediante la inadmisión del recurso de apelación, o que lo estime, prosiguiendo la sustanciación de la apelación.</w:t>
      </w:r>
    </w:p>
    <w:p w:rsidR="00D06117" w:rsidRDefault="00D06117" w:rsidP="00D06117">
      <w:pPr>
        <w:pStyle w:val="TextoNormal"/>
      </w:pPr>
    </w:p>
    <w:p w:rsidR="00D06117" w:rsidRDefault="00D06117" w:rsidP="00D06117">
      <w:pPr>
        <w:pStyle w:val="TextoNormal"/>
      </w:pPr>
      <w:r>
        <w:t>b) En este sentido, el Auto subraya que la razón cardinal por la que la Sala estima que el art. 35, apartado 7.2, de la Ley 53/2002 puede ser contrario al derecho a la tutela judicial efectiva sin indefensión que reconoce el art. 24.1 CE es la consideración de que lo único que permite subsanar el precepto cuestionado es el presupuesto formal (la acreditación del ingreso) y no el ingreso mismo. Por esta razón, el órgano judicial no comparte la alegación del Ministerio Fiscal acerca de la necesidad de permitir la subsanación del defecto incumplido por el apelante, al no haber liquidado la tasa en el momento de interponer la apelación ante el Juzgado sino más tarde, cuando fue requerido por la Audiencia.</w:t>
      </w:r>
    </w:p>
    <w:p w:rsidR="00D06117" w:rsidRDefault="00D06117" w:rsidP="00D06117">
      <w:pPr>
        <w:pStyle w:val="TextoNormal"/>
      </w:pPr>
    </w:p>
    <w:p w:rsidR="00D06117" w:rsidRDefault="00D06117" w:rsidP="00D06117">
      <w:pPr>
        <w:pStyle w:val="TextoNormal"/>
      </w:pPr>
      <w:r>
        <w:lastRenderedPageBreak/>
        <w:t>A criterio de la Sala, es axiomático que no puede ser subsanado lo que no tiene existencia alguna; es decir, sólo puede ser subsanado aquello que es incompleto o insuficiente, no la falta absoluta de un presupuesto o un requisito legalmente establecidos como necesarios. Asimismo, señala que no obstante lo dispuesto en el art. 231 LEC, no existe en nuestro Derecho un “principio” según el cual cualquier falta de presupuestos procesales o incumplimiento de los requisitos procesales pueda ser subsanado. El derecho a la tutela judicial se satisface prioritariamente, no exclusivamente, mediante una resolución de fondo, que estime o desestime las pretensiones deducidas; así, también puede denegarse la decisión de fondo por concurrir una causa de inadmisión prevista por la ley (SSTC 114/1986, 213/1990 y 247/1991). La Ley Orgánica del Poder Judicial dispone la subsanación de todos los actos subsanables, pero sin definir cuáles son éstos (arts. 11.3, 240 y 243). La STC 5/1988, de 21 de enero, declara que el art. 24.1 CE no consagra una regla general y absoluta a favor de la subsanación de los vicios o defectos procesales, regla que tampoco se contempla en el actual ordenamiento procesal; sin perjuicio de la tendencia, cada vez más acentuada, a favorecer la conservación de los actos procesales o la subsanación de los defectos susceptibles de reparación sin ruptura del proceso. La STC 162/1986, de 17 de diciembre, declara la doctrina general de la proporcionalidad para permitir la subsanación, desarrollada en la STC 39/1988, de 9 de marzo.</w:t>
      </w:r>
    </w:p>
    <w:p w:rsidR="00D06117" w:rsidRDefault="00D06117" w:rsidP="00D06117">
      <w:pPr>
        <w:pStyle w:val="TextoNormal"/>
      </w:pPr>
    </w:p>
    <w:p w:rsidR="00D06117" w:rsidRDefault="00D06117" w:rsidP="00D06117">
      <w:pPr>
        <w:pStyle w:val="TextoNormal"/>
      </w:pPr>
      <w:r>
        <w:t>Finalmente, el Auto afirma que la literalidad del precepto legal cuestionado no permite la subsanación de la omisión de ingreso de la tasa, sino sólo de la falta de acreditación documental de dicho ingreso. La afirmación en contrario del Fiscal carece de argumentos que la apoyen, por lo que no desvanece la duda de la Sala. Y observa que la Audiencia no hubiera podido declarar la nulidad de las actuaciones para que el Juzgado requiriese la subsanación de la falta, porque el art. 227, apartado 2, párrafo 2, LEC prohíbe al Tribunal que conoce del recurso que decrete de oficio una nulidad de las actuaciones que no haya sido solicitada, salvo unos supuestos tasados ajenos al abono de las tasas. Precepto que ha entrado en vigor por disposición de la Ley Orgánica 19/2003, de 23 de diciembre, que ha levantado la suspensión que había introducido la disposición final decimoséptima LEC.</w:t>
      </w:r>
    </w:p>
    <w:p w:rsidR="00D06117" w:rsidRDefault="00D06117" w:rsidP="00D06117">
      <w:pPr>
        <w:pStyle w:val="TextoNormal"/>
      </w:pPr>
    </w:p>
    <w:p w:rsidR="00D06117" w:rsidRDefault="00D06117" w:rsidP="00D06117">
      <w:pPr>
        <w:pStyle w:val="TextoNormal"/>
      </w:pPr>
      <w:r>
        <w:t>c) La Audiencia Provincial observa que la tasa prevista en el art. 35.7 de la Ley 53/2002 no es una figura completamente extraña a nuestra ordenación fiscal. Los Decretos 1034/1959 y 1035/1959, de 18 de junio, regulaban unas tasas judiciales, que fueron suprimidas por la Ley 25/1986, de 24 de diciembre, entre otras razones por estimarse contrarias al principio de gratuidad de la justicia (art. 119 CE), por ser “incompatibles con algunos principios tributarios vigentes” y porque la fórmula de gestión merecía el calificativo de “poco eficiente”. Seguidamente se exponen los rasgos definitorios de la tasa, analizando su adecuación misma a la noción de tasa, los supuestos en los que resulta exigible en el orden judicial civil, el devengo, la determinación de la base imponible y el modo de liquidación.</w:t>
      </w:r>
    </w:p>
    <w:p w:rsidR="00D06117" w:rsidRDefault="00D06117" w:rsidP="00D06117">
      <w:pPr>
        <w:pStyle w:val="TextoNormal"/>
      </w:pPr>
    </w:p>
    <w:p w:rsidR="00D06117" w:rsidRDefault="00D06117" w:rsidP="00D06117">
      <w:pPr>
        <w:pStyle w:val="TextoNormal"/>
      </w:pPr>
      <w:r>
        <w:t xml:space="preserve">d) Sostiene el órgano judicial que la duda de constitucionalidad no nace de la eventual incompatibilidad con el art. 24.1 CE por el hecho de que éste impida que la Administración de justicia pueda tener un coste para quienes la utilizan, mencionando en este punto una serie de resoluciones del Tribunal Europeo de Derechos Humanos. El problema nace de la configuración del tributo como inevitable presupuesto de admisibilidad del acto procesal gravado en cada caso. En su opinión, la única interpretación plausible del art. 35.7 de la Ley 53/2002 es, y así parece corroborarlo la dicción del art. 449.6 LEC, que la subsanación que permite aquel precepto atañe exclusivamente a la omisión del documento que acredite, ante </w:t>
      </w:r>
      <w:r>
        <w:lastRenderedPageBreak/>
        <w:t>el órgano judicial, que se había efectuado el ingreso en el tesoro público de la tasa que corresponda. Dicho de otro modo, en tanto la acreditación del pago, mediante la presentación del ejemplar correspondiente del impreso de autoliquidación, reviste carácter formal y por ende subsanable, el ingreso efectivo de la tasa constituye una obligación material cuyo cumplimiento extemporáneo no puede aceptarse.</w:t>
      </w:r>
    </w:p>
    <w:p w:rsidR="00D06117" w:rsidRDefault="00D06117" w:rsidP="00D06117">
      <w:pPr>
        <w:pStyle w:val="TextoNormal"/>
      </w:pPr>
    </w:p>
    <w:p w:rsidR="00D06117" w:rsidRDefault="00D06117" w:rsidP="00D06117">
      <w:pPr>
        <w:pStyle w:val="TextoNormal"/>
      </w:pPr>
      <w:r>
        <w:t>e) Por lo que se refiere al derecho a los recursos, el Auto recuerda que la jurisprudencia constitucional admite que su ejercicio está subordinado a la observancia de una serie de presupuestos y requisitos, cuyo incumplimiento comporta distintas consecuencias (mencionando, entre otras muchas, las SSTC 57/1984, 162/1986, 21/1989 o 134/1990). De acuerdo con los principios generales que derivan de esta jurisprudencia, debe afirmarse que el órgano judicial puede permitir la subsanación de las faltas documentales; pero no del defecto sustancial o material del ingreso de la tasa, porque ello supondría autorizar el cumplimiento extemporáneo de un requisito cuya observancia establece la ley como anterior o, a lo sumo, simultáneo, pero nunca posterior, a la interposición del recurso.</w:t>
      </w:r>
    </w:p>
    <w:p w:rsidR="00D06117" w:rsidRDefault="00D06117" w:rsidP="00D06117">
      <w:pPr>
        <w:pStyle w:val="TextoNormal"/>
      </w:pPr>
    </w:p>
    <w:p w:rsidR="00D06117" w:rsidRDefault="00D06117" w:rsidP="00D06117">
      <w:pPr>
        <w:pStyle w:val="TextoNormal"/>
      </w:pPr>
      <w:r>
        <w:t>Los requisitos que no revisten mero carácter formal, sino que se configuran como materiales o sustantivos para el acceso al proceso judicial, pueden ser exigidos para la admisibilidad de la pretensión sin incurrir en formalismos desproporcionados, sino como una vía razonable y adecuada para garantizar los intereses protegidos. Así, se ha afirmado que autorizar la consignación o depósito extemporáneo, como es el realizado tras el requerimiento para acreditar que se había consignado al tiempo de preparar un recurso, es un proceder que daña la regularidad del procedimiento y los intereses de las otras partes del proceso (SSTC 59/1984, 46/1989 y 39/1990).</w:t>
      </w:r>
    </w:p>
    <w:p w:rsidR="00D06117" w:rsidRDefault="00D06117" w:rsidP="00D06117">
      <w:pPr>
        <w:pStyle w:val="TextoNormal"/>
      </w:pPr>
    </w:p>
    <w:p w:rsidR="00D06117" w:rsidRDefault="00D06117" w:rsidP="00D06117">
      <w:pPr>
        <w:pStyle w:val="TextoNormal"/>
      </w:pPr>
      <w:r>
        <w:t>f) A diferencia de lo que sucede con las consignaciones o depósitos, cabe cuestionar si el ingreso y satisfacción de la denominada tasa judicial es una exigencia razonable y proporcionada, dispuesta en beneficio de un interés legítimo digno de protección. El Auto sostiene que las tasas judiciales son ajenas a la función jurisdiccional, a pesar del obiter dictum que en sentido contrario contiene la STC 141/1988, de 12 de julio. De modo que impedir el acceso a la jurisdicción, sea en primer grado o en vía de recurso, parece a todas luces una medida desproporcionada, sin perjuicio de que la finalidad del tributo pueda considerarse legítima (art. 31 CE). La exigencia de que el ingreso del tributo sea inexcusablemente previo a la realización del acto procesal gravado comporta condicionar el acceso a la justicia, no a la integridad objetiva del proceso, sino a la mayor eficacia recaudatoria de la hacienda pública (art. 103 CE).</w:t>
      </w:r>
    </w:p>
    <w:p w:rsidR="00D06117" w:rsidRDefault="00D06117" w:rsidP="00D06117">
      <w:pPr>
        <w:pStyle w:val="TextoNormal"/>
      </w:pPr>
    </w:p>
    <w:p w:rsidR="00D06117" w:rsidRDefault="00D06117" w:rsidP="00D06117">
      <w:pPr>
        <w:pStyle w:val="TextoNormal"/>
      </w:pPr>
      <w:r>
        <w:t>El Auto finaliza su fundamentación observando que la declaración de constitucionalidad incondicionada de la norma determinaría la desestimación del recurso de reposición y, con él, la inadmisión sobrevenida del recurso de apelación; diversamente, a la declaración de inconstitucionalidad se anudaría la estimación del recurso de reposición, la declaración de tener por subsanado el requisito y, consecuentemente, la continuación del recurso de apelación hasta su decisión de fondo.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7 de junio de 2005, la Sección Tercera admitió a trámite la cuestión y dio traslado al Congreso de los Diputados, al Senado, al Gobierno y a la Fiscalía General del Estado. Asimismo, acordó publicar la incoación de la cuestión en el “Boletín Oficial del Estado”, lo que tuvo lugar en el ejemplar de 20 de junio de 2005.</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de 21 de junio de 2005, registrado el siguiente día 23, el Presidente del Congreso de los Diputados comunicó al Tribunal que el Congreso no se personaría en el proceso ni formularía alegaciones, pero que ponía a su disposición las actuaciones de la Cámara que pudiere precisar.</w:t>
      </w:r>
    </w:p>
    <w:p w:rsidR="00D06117" w:rsidRDefault="00D06117" w:rsidP="00D06117">
      <w:pPr>
        <w:pStyle w:val="TextoNormal"/>
      </w:pPr>
    </w:p>
    <w:p w:rsidR="00D06117" w:rsidRDefault="00D06117" w:rsidP="00D06117">
      <w:pPr>
        <w:pStyle w:val="TextoNormal"/>
      </w:pPr>
      <w:r>
        <w:t>Por escrito de 21 de junio de 2005, registrado el siguiente día 23, el Presidente del Senado comunicó asimismo que la Cámara se daba por personada en el procedimiento y ofrecía su colaboración.</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por escrito de 22 de junio de 2005, presentado en el Registro General el siguiente día 23, formuló alegaciones a favor de la desestimación de la cuestión de inconstitucionalidad.</w:t>
      </w:r>
    </w:p>
    <w:p w:rsidR="00D06117" w:rsidRDefault="00D06117" w:rsidP="00D06117">
      <w:pPr>
        <w:pStyle w:val="TextoNormal"/>
      </w:pPr>
    </w:p>
    <w:p w:rsidR="00D06117" w:rsidRDefault="00D06117" w:rsidP="00D06117">
      <w:pPr>
        <w:pStyle w:val="TextoNormal"/>
      </w:pPr>
      <w:r>
        <w:t>Entiende que la cuestión cumple todas las exigencias formales que la Ley Orgánica y la doctrina del Tribunal han exigido. Aunque podría suscitarse la duda de si cabe encontrar una interpretación del precepto más conforme con la Constitución, ello no afecta a la viabilidad de la cuestión (STC 161/1997). Sin embargo, precisa que la duda debe circunscribirse al párrafo segundo del art. 35.7 de la Ley 53/2002, que es al que se refirió el trámite de alegaciones a las partes y el propia Auto que suscita la cuestión.</w:t>
      </w:r>
    </w:p>
    <w:p w:rsidR="00D06117" w:rsidRDefault="00D06117" w:rsidP="00D06117">
      <w:pPr>
        <w:pStyle w:val="TextoNormal"/>
      </w:pPr>
    </w:p>
    <w:p w:rsidR="00D06117" w:rsidRDefault="00D06117" w:rsidP="00D06117">
      <w:pPr>
        <w:pStyle w:val="TextoNormal"/>
      </w:pPr>
      <w:r>
        <w:t>En cuanto al fondo, el Abogado del Estado inicia sus alegaciones explicando que cabe una interpretación del precepto cuestionado más conforme con el art. 24.1 CE: el propio art. 35 articula el mecanismo de la subsanación, sin distinguir entre la justificación formal y el pago. La amplitud del precepto permite una interpretación pro actione, por lo que sólo transcurrido el plazo de diez días para la subsanación sin que se hubiera justificado el pago de la tasa, aunque sea fuera del plazo de devengo, cabría la inadmisión de la actuación procesal. Pues la tasa no es un requisito configurado como presupuesto procesal de indeclinable cumplimiento en tiempo y forma (STC 69/1997): la Ley 53/2002 no configura el pago de la tasa como presupuesto material de la acción, sino que únicamente impone como requisito procesal la justificación del pago, cualquier que sea el momento en que se produzca. Sin que valga el argumento derivado del art. 449.6 LEC, que sólo resulta aplicable a los supuestos en él enumerados.</w:t>
      </w:r>
    </w:p>
    <w:p w:rsidR="00D06117" w:rsidRDefault="00D06117" w:rsidP="00D06117">
      <w:pPr>
        <w:pStyle w:val="TextoNormal"/>
      </w:pPr>
    </w:p>
    <w:p w:rsidR="00D06117" w:rsidRDefault="00D06117" w:rsidP="00D06117">
      <w:pPr>
        <w:pStyle w:val="TextoNormal"/>
      </w:pPr>
      <w:r>
        <w:t>El Abogado del Estado señala que esta interpretación coincide con la que sostuvo el órgano judicial que planteó la cuestión de inconstitucionalidad núm. 647-2004. Y, acto seguido, reitera los argumentos que formuló en dicha cuestión, resuelta en la STC 20/2012, de 16 de febrero.</w:t>
      </w:r>
    </w:p>
    <w:p w:rsidR="00D06117" w:rsidRDefault="00D06117" w:rsidP="00D06117">
      <w:pPr>
        <w:pStyle w:val="TextoNormal"/>
      </w:pPr>
    </w:p>
    <w:p w:rsidR="00D06117" w:rsidRDefault="00D06117" w:rsidP="00D06117">
      <w:pPr>
        <w:pStyle w:val="TextoNormal"/>
      </w:pPr>
      <w:r w:rsidRPr="00D06117">
        <w:rPr>
          <w:rStyle w:val="NumeroAFNegritaCaracter"/>
        </w:rPr>
        <w:t>7</w:t>
      </w:r>
      <w:r>
        <w:t>. El Fiscal General del Estado, por escrito de 4 de julio de 2005, registrado el siguiente día 8, informó a favor de la desestimación de la cuestión:</w:t>
      </w:r>
    </w:p>
    <w:p w:rsidR="00D06117" w:rsidRDefault="00D06117" w:rsidP="00D06117">
      <w:pPr>
        <w:pStyle w:val="TextoNormal"/>
      </w:pPr>
    </w:p>
    <w:p w:rsidR="00D06117" w:rsidRDefault="00D06117" w:rsidP="00D06117">
      <w:pPr>
        <w:pStyle w:val="TextoNormal"/>
      </w:pPr>
      <w:r>
        <w:t>Tras pormenorizar los antecedentes de la cuestión, analiza las exigencias del art. 65 de la Ley Orgánica del Tribunal Constitucional y concluye que la duda de constitucionalidad puede ser resuelta en el fondo, pero circunscrita al párrafo segundo del art. 35.7 de la Ley 35/2002, que es el citado en la providencia que abrió el trámite de alegaciones a las partes y el que centra el contenido del Auto de planteamiento.</w:t>
      </w:r>
    </w:p>
    <w:p w:rsidR="00D06117" w:rsidRDefault="00D06117" w:rsidP="00D06117">
      <w:pPr>
        <w:pStyle w:val="TextoNormal"/>
      </w:pPr>
    </w:p>
    <w:p w:rsidR="00D06117" w:rsidRDefault="00D06117" w:rsidP="00D06117">
      <w:pPr>
        <w:pStyle w:val="TextoNormal"/>
      </w:pPr>
      <w:r>
        <w:t>El precepto legal puede afectar tanto al derecho de acceso a la justicia (contemplado en la cuestión núm. 647-2004) como el de acceso al recurso, aunque es este último el que resulta comprometido en el proceso judicial origen de la cuestión de inconstitucionalidad. El Fiscal sintetiza la doctrina constitucional sobre estas dos vertientes del derecho fundamental a la tutela judicial efectiva con cita de las SSTC 166/2003 y 225/2003, respectivamente, concluyendo que si la norma cuestionada respeta el derecho de acceso a la jurisdicción con mayor razón respetará el derecho de acceso al recurso.</w:t>
      </w:r>
    </w:p>
    <w:p w:rsidR="00D06117" w:rsidRDefault="00D06117" w:rsidP="00D06117">
      <w:pPr>
        <w:pStyle w:val="TextoNormal"/>
      </w:pPr>
    </w:p>
    <w:p w:rsidR="00D06117" w:rsidRDefault="00D06117" w:rsidP="00D06117">
      <w:pPr>
        <w:pStyle w:val="TextoNormal"/>
      </w:pPr>
      <w:r>
        <w:t>Analiza a continuación la norma legal, en los mismos términos informados en la cuestión 647-2004, llegando a la misma conclusión: son los grandes usuarios del servicio público de la justicia los que vienen obligados al pago de la tasa, solamente cuando instan procesos civiles o contencioso-administrativos no exentos por razón de la materia, lo que entraña una importante diferencia con el caso resuelto en la STC 141/1988. Ninguna de las razones que en aquel supuesto condujeron a declarar inconstitucional el precepto que impedía presentar documentos en un proceso sin previo pago del impuesto de transmisiones acontece en el precepto ahora cuestionado.</w:t>
      </w:r>
    </w:p>
    <w:p w:rsidR="00D06117" w:rsidRDefault="00D06117" w:rsidP="00D06117">
      <w:pPr>
        <w:pStyle w:val="TextoNormal"/>
      </w:pPr>
    </w:p>
    <w:p w:rsidR="00D06117" w:rsidRDefault="00D06117" w:rsidP="00D06117">
      <w:pPr>
        <w:pStyle w:val="TextoNormal"/>
      </w:pPr>
      <w:r>
        <w:t>En primer lugar, el Fiscal General del Estado advierte que no se cuestiona el establecimiento de la tasa judicial, como expresamente reconoce el Auto con cita de jurisprudencia europea. Precisa que el precepto no impone la inadmisión de la demanda o recurso, sino que el Secretario judicial no le dará curso, lo que atañe al deber de colaboración con la Administración tributaria, no la actividad jurisdiccional (art. 117.3 y 4, CE); aunque el efecto final, si no se justifica el abono de la tasa, conduzca a la ineficacia de los actos procesales.</w:t>
      </w:r>
    </w:p>
    <w:p w:rsidR="00D06117" w:rsidRDefault="00D06117" w:rsidP="00D06117">
      <w:pPr>
        <w:pStyle w:val="TextoNormal"/>
      </w:pPr>
    </w:p>
    <w:p w:rsidR="00D06117" w:rsidRDefault="00D06117" w:rsidP="00D06117">
      <w:pPr>
        <w:pStyle w:val="TextoNormal"/>
      </w:pPr>
      <w:r>
        <w:t>El tributo en que consiste la tasa tiene un fin legítimo e impone una limitación al derecho de acceso a los tribunales que es razonable y proporcionada, y que no afecta a su contenido esencial. Para recabar recursos que financien un servicio de quienes son sus mayores usuarios, es adecuado que se condicione su prestación al pago de la contribución. La regulación legal hace recaer la obligación de pago sólo sobre personas jurídicas con capacidad económica indudable, y además están exentas las materias con un interés público.</w:t>
      </w:r>
    </w:p>
    <w:p w:rsidR="00D06117" w:rsidRDefault="00D06117" w:rsidP="00D06117">
      <w:pPr>
        <w:pStyle w:val="TextoNormal"/>
      </w:pPr>
    </w:p>
    <w:p w:rsidR="00D06117" w:rsidRDefault="00D06117" w:rsidP="00D06117">
      <w:pPr>
        <w:pStyle w:val="TextoNormal"/>
      </w:pPr>
      <w:r>
        <w:t>Finalmente, el Fiscal expone que no comparte el razonamiento de la Audiencia que lleva a la conclusión de que el ingreso de la tasa es insubsanable, a diferencia de la acreditación documental de haberlo efectuado. La norma cuestionada no establece como causa de inadmisión de la demanda o el recurso la falta de ingreso de la tasa, sino que se limita a disponer que no se dará curso a los escritos correspondientes. Además, establece que debe requerirse al interesado, si no aporta el documento justificativo del pago, para que subsane la omisión en el plazo de diez días, sin distinguir entre ingreso de la tasa o su acreditación, por lo que resulta indiferente el momento del pago.</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providencia de 17 de abril de 2012 se señaló para deliberación y votación de la presente Sentencia el día 17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artículo 35 de la Ley 53/2002, de 30 de diciembre, de medidas fiscales, administrativas y del orden social, creó la tasa por el ejercicio de la potestad jurisdiccional en los órdenes civil y contencioso-administrativo. Su apartado 7, que es objeto de la presente cuestión de inconstitucionalidad, bajo el epígrafe de “autoliquidación y pago” dispuso lo siguiente:</w:t>
      </w:r>
    </w:p>
    <w:p w:rsidR="00D06117" w:rsidRDefault="00D06117" w:rsidP="00D06117">
      <w:pPr>
        <w:pStyle w:val="TextoNormal"/>
      </w:pPr>
    </w:p>
    <w:p w:rsidR="00D06117" w:rsidRDefault="00D06117" w:rsidP="00D06117">
      <w:pPr>
        <w:pStyle w:val="TextoNormal"/>
      </w:pPr>
      <w:r>
        <w:t>“1. Los sujetos pasivos autoliquidarán esta tasa conforme al modelo oficial establecido por el Ministerio de Hacienda y procederán a su ingreso en el Tesoro Público con arreglo a lo dispuesto en la legislación tributaria general y en las normas reglamentarias de desarrollo de este artículo.</w:t>
      </w:r>
    </w:p>
    <w:p w:rsidR="00D06117" w:rsidRDefault="00D06117" w:rsidP="00D06117">
      <w:pPr>
        <w:pStyle w:val="TextoNormal"/>
      </w:pPr>
    </w:p>
    <w:p w:rsidR="00D06117" w:rsidRDefault="00D06117" w:rsidP="00D06117">
      <w:pPr>
        <w:pStyle w:val="TextoNormal"/>
      </w:pPr>
      <w:r>
        <w:t>2.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t>Este precepto ha sido cuestionado por vulnerar el derecho de acceso a la justicia que forma parte del derecho a la tutela judicial efectiva enunciado por el art. 24.1 de la Constitución. El Auto de planteamiento afirma, como se ha resumido con más detalle en los antecedentes, que subordinar el acceso a un recurso de apelación civil, como el que conoce la Audiencia Provincial de Madrid en el proceso previo, al pago temporáneo de la tasa sin posibilidad de subsanación, vulnera el derecho fundamental. Por el contrario, tanto el Abogado del Estado como el Fiscal General del Estado sostienen la constitucionalidad del precepto cuestionado.</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preliminar, se debe precisar que la cuestión sólo atañe al segundo párrafo del apartado 7 del art. 35 que acabamos de transcribir. Así lo ponen de manifiesto tanto el Fiscal General del Estado como el Abogado del Estado, y así resulta de una lectura del propio Auto que plantea la cuestión y de las actuaciones judiciales que lo acompañan.</w:t>
      </w:r>
    </w:p>
    <w:p w:rsidR="00D06117" w:rsidRDefault="00D06117" w:rsidP="00D06117">
      <w:pPr>
        <w:pStyle w:val="TextoNormal"/>
      </w:pPr>
    </w:p>
    <w:p w:rsidR="00D06117" w:rsidRDefault="00D06117" w:rsidP="00D06117">
      <w:pPr>
        <w:pStyle w:val="TextoNormal"/>
      </w:pPr>
      <w:r>
        <w:t>El Auto de la Audiencia Provincial, en efecto, nada tiene que reprochar a la previsión legal de que los justiciables autoliquiden la tasa judicial ante el Ministerio de Hacienda en los términos previstos por la legislación tributaria y con arreglo a un formulario oficial, así como que la ingresen directamente en el Tesoro público. La duda de constitucionalidad se centra en el contenido del segundo párrafo, tal y como muestra el contenido del Auto, que limita a dicho precepto su razonamiento de inconstitucionalidad, por ser el relevante para la resolución del proceso a quo. Por añadidura, fue el art. 35.7, párrafo 2, el que fue puesto de manifiesto a las partes y al Ministerio Fiscal en el preceptivo trámite previo de alegaciones. Por consiguiente, en cumplimiento de lo previsto por el art. 163 CE y el art. 35.2 de la Ley Orgánica del Tribunal Constitucional (tal y como han sido interpretados, entre otras muchas, por las SSTC 64/2003, de 27 de marzo, FJ 5, y 130/2009, de 1 de junio, FJ 2), limitaremos nuestro juicio de constitucionalidad al segundo párrafo del apartado 7 del art. 35.</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Esta norma ha sido enjuiciada recientemente por la STC 20/2012, de 16 de febrero (publicada en el “Boletín Oficial del Estado” núm. 61, de 12 de marzo), que desestimó la </w:t>
      </w:r>
      <w:r>
        <w:lastRenderedPageBreak/>
        <w:t>cuestión que había suscitado sobre ella un Juzgado de Primera Instancia de A Coruña. La doctrina de la STC 20/2012 es determinante de la respuesta que debemos dar ahora a la cuestión de inconstitucionalidad planteada por la Audiencia Provincial de Madrid.</w:t>
      </w:r>
    </w:p>
    <w:p w:rsidR="00D06117" w:rsidRDefault="00D06117" w:rsidP="00D06117">
      <w:pPr>
        <w:pStyle w:val="TextoNormal"/>
      </w:pPr>
    </w:p>
    <w:p w:rsidR="00D06117" w:rsidRDefault="00D06117" w:rsidP="00D06117">
      <w:pPr>
        <w:pStyle w:val="TextoNormal"/>
      </w:pPr>
      <w:r>
        <w:t>Allí examinamos con detalle el contenido, finalidad y efectos de la norma de la que forma parte el precepto cuestionado: el art. 35 de la Ley de medidas para el año 2003, que es el que ha creado las tasas judiciales vigentes, así como sus antecedentes históricos y legislativos, subrayando las hondas diferencias que separan a las tasas o aranceles judiciales que existían cuando la Constitución de 1978 fue aprobada, y que fueron derogadas en 1986, con las tasas por el ejercicio de la potestad jurisdiccional creadas por la Ley 53/2002, de 30 de diciembre (STC 20/2012, de 16 de febrero, FFJJ 2 a 6).</w:t>
      </w:r>
    </w:p>
    <w:p w:rsidR="00D06117" w:rsidRDefault="00D06117" w:rsidP="00D06117">
      <w:pPr>
        <w:pStyle w:val="TextoNormal"/>
      </w:pPr>
    </w:p>
    <w:p w:rsidR="00D06117" w:rsidRDefault="00D06117" w:rsidP="00D06117">
      <w:pPr>
        <w:pStyle w:val="TextoNormal"/>
      </w:pPr>
      <w:r>
        <w:t>Lo mismo que entonces, en este proceso constitucional sólo procede analizar el precepto cuestionado desde la perspectiva de las tasas que gravan la actuación del orden jurisdiccional civil, pues la cuestión de inconstitucionalidad dimana de un litigio que se ventila ante ese orden jurisdiccional. A diferencia de lo acaecido entonces, sin embargo, la decisión que debe adoptar la Sala que ha suscitado la presente cuestión versa sobre un recurso de apelación, no sobre una demanda (como era el caso en la STC 20/2012) o cualquiera de los restantes tipos de actuaciones que la disposición de rango legal cuestionada sujeta al gravamen. Conforme establece el art. 163 CE, y recuerda el art. 35.1 de la Ley Orgánica de este Tribunal, el planteamiento de la cuestión de inconstitucionalidad por los Tribunales exige que la norma cuestionada sea “aplicable al caso” que se dilucida en el proceso donde la cuestión se suscita y, además, que de su validez dependa el fallo que el Juez o Tribunal haya de dictar. Ese juicio de relevancia no sólo condiciona el planteamiento de la cuestión, sino que delimita su alcance: pues el constituyente ha configurado la cuestión de inconstitucionalidad en estrecha relación con el proceso judicial en el que la aplicación de la norma cuestionada resulta necesaria, sin perjuicio de la existencia de un notorio interés público y general en la depuración del Ordenamiento jurídico y en la conformidad con la Constitución de las normas que lo integran (STC 20/2012, de 16 de febrero, FJ 4).</w:t>
      </w:r>
    </w:p>
    <w:p w:rsidR="00D06117" w:rsidRDefault="00D06117" w:rsidP="00D06117">
      <w:pPr>
        <w:pStyle w:val="TextoNormal"/>
      </w:pPr>
    </w:p>
    <w:p w:rsidR="00D06117" w:rsidRDefault="00D06117" w:rsidP="00D06117">
      <w:pPr>
        <w:pStyle w:val="TextoNormal"/>
      </w:pPr>
      <w:r>
        <w:t>Por consiguiente, en este proceso debemos limitarnos a examinar la constitucionalidad del párrafo segundo del art. 35.7 en relación con las tasas del orden jurisdiccional civil que gravan la presentación de recursos [art. 35.1 b) de la Ley 53/2002].</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Como recordamos en la STC 20/2012, FJ 4, desde la STC 37/1995, de 7 de febrero (FJ 5), este Tribunal ha subrayado el diferente relieve constitucional que posee el derecho de acceso a la jurisdicción y el de acceso a los recursos legalmente establecidos. Aunque ambos derechos se encuentran ínsitos en el art. 24.1 CE, el derecho a acceder a la justicia es un componente medular del derecho fundamental a la tutela judicial efectiva proclamado por el precepto constitucional y que no viene otorgado por la ley, sino que nace de la Constitución misma. Por el contrario, el derecho a acceder a los recursos legales se incorpora al derecho fundamental en la concreta configuración que reciba de cada una de las leyes de enjuiciamiento que regulan los diferentes órdenes jurisdiccionales, salvo en lo relativo al derecho del condenado a la revisión de su condena y la pena impuesta (SSTC 42/1982, de 5 de julio; 33/1989, de 13 de febrero; y 48/2008, de 11 de marzo); el derecho al recurso legal no nace directamente de la Constitución, sino de lo que hayan dispuesto las leyes procesales que los crean, y se incorpora al derecho fundamental en su configuración legal (en </w:t>
      </w:r>
      <w:r>
        <w:lastRenderedPageBreak/>
        <w:t>el mismo sentido, entre otras muchas, SSTC 46/2004, de 23 de marzo, FJ 4; 15/2006, de 16 de enero, FJ 3; 181/2007, de 10 de septiembre, FJ 2; y 35/2011, de 28 de marzo, FJ 3).</w:t>
      </w:r>
    </w:p>
    <w:p w:rsidR="00D06117" w:rsidRDefault="00D06117" w:rsidP="00D06117">
      <w:pPr>
        <w:pStyle w:val="TextoNormal"/>
      </w:pPr>
    </w:p>
    <w:p w:rsidR="00D06117" w:rsidRDefault="00D06117" w:rsidP="00D06117">
      <w:pPr>
        <w:pStyle w:val="TextoNormal"/>
      </w:pPr>
      <w:r>
        <w:t>Lo anterior se traduce en que el principio hermenéutico pro actione protege el derecho de acceso a la justicia, dada la diferente trascendencia que cabe otorgar —desde la perspectiva constitucional— a los requisitos legales de acceso al proceso, en tanto pueden obstaculizar o eliminar el derecho de los ciudadanos a someter el caso al conocimiento y pronunciamiento de un Juez y por tanto causar indefensión. Por el contrario, el control constitucional de los requisitos de admisión de los recursos legalmente establecidos es más laxo, puesto que lo que se pide en ese momento no es más que la revisión de la respuesta judicial contenida en la Sentencia de instancia previamente dictada la cual, si resuelve el fondo del asunto, ya habría satisfecho el núcleo del derecho fundamental a una tutela judicial efectiva sin indefensión de todas las partes procesales, y el acceso al recurso debe ser contrapesado con el derecho de las otras partes a un proceso sin dilaciones indebidas y a la ejecución de lo resuelto (SSTC 55/1995, de 6 de marzo, FJ 2; 309/2005, de 12 de diciembre, FJ 2; 51/2007, de 12 de marzo, FJ 4; y 27/2009, de 26 de enero, FJ 3).</w:t>
      </w:r>
    </w:p>
    <w:p w:rsidR="00D06117" w:rsidRDefault="00D06117" w:rsidP="00D06117">
      <w:pPr>
        <w:pStyle w:val="TextoNormal"/>
      </w:pPr>
    </w:p>
    <w:p w:rsidR="00D06117" w:rsidRDefault="00D06117" w:rsidP="00D06117">
      <w:pPr>
        <w:pStyle w:val="TextoNormal"/>
      </w:pPr>
      <w:r>
        <w:t>En la STC 20/2012, reiteradamente citada, llegamos a la conclusión de que no es inconstitucional, desde la óptica del art. 24.1 CE, la previsión legal de que las demandas civiles que no vayan acompañadas del documento que acredite el pago de la tasa judicial prevista por el art. 35 de la Ley 53/2002, no sean cursadas por el Secretario judicial y, por ende, sean inadmitidas por el Juzgado transcurrido el plazo de los diez días de subsanación previsto por el mismo apartado 7, párrafo 2, de este art. 35. Como afirman al unísono el Fiscal General y el Abogado del Estado, con mayor razón debemos alcanzar la misma conclusión cuando lo que se subordina al abono de la tasa judicial no es la admisión de una demanda, protegida por el derecho de acceso a la justicia, sino la admisión de un recurso establecido por la ley, como es el recurso de apelación civil, pues el derecho de acceso a los recursos recibe un menor grado de protección desde el punto de vista del derecho fundamental a la tutela judicial efectiva (art. 24.1 CE).</w:t>
      </w:r>
    </w:p>
    <w:p w:rsidR="00D06117" w:rsidRDefault="00D06117" w:rsidP="00D06117">
      <w:pPr>
        <w:pStyle w:val="TextoNormal"/>
      </w:pPr>
    </w:p>
    <w:p w:rsidR="00D06117" w:rsidRDefault="00D06117" w:rsidP="00D06117">
      <w:pPr>
        <w:pStyle w:val="TextoNormal"/>
      </w:pPr>
      <w:r w:rsidRPr="00D06117">
        <w:rPr>
          <w:rStyle w:val="NumeroAFNegritaCaracter"/>
        </w:rPr>
        <w:t>5</w:t>
      </w:r>
      <w:r>
        <w:t>. En efecto, la tasa que grava el ejercicio de la potestad jurisdiccional en el orden civil persigue el legítimo interés de contribuir a financiar el servicio público de la administración de justicia con cargo a los justiciables que más se benefician de la actividad jurisdiccional, disminuyendo correlativamente la financiación procedente de los impuestos, a cargo de todos los contribuyentes; y lo hace en unos términos plenamente respetuosos con las previsiones constitucionales sobre la gratuidad de la justicia (STC 20/2012, FFJJ 8, 9 y 10).</w:t>
      </w:r>
    </w:p>
    <w:p w:rsidR="00D06117" w:rsidRDefault="00D06117" w:rsidP="00D06117">
      <w:pPr>
        <w:pStyle w:val="TextoNormal"/>
      </w:pPr>
    </w:p>
    <w:p w:rsidR="00D06117" w:rsidRDefault="00D06117" w:rsidP="00D06117">
      <w:pPr>
        <w:pStyle w:val="TextoNormal"/>
      </w:pPr>
      <w:r>
        <w:t>Esta conclusión general sólo podría verse modificada si se mostrase que la cuantía de las tasas establecidas por la Ley 53/2002, de 30 de diciembre, son tan elevadas que impiden en la práctica el ejercicio del derecho fundamental o lo obstaculizan en un caso concreto en términos irrazonables (STC 20/2012, FJ 10). Sin embargo, el Auto que ha planteado la cuestión de inconstitucionalidad no alberga duda alguna sobre la capacidad económica de la entidad litigante, una importante compañía de seguros, para abonar la tasa judicial prevista por el art. 35 de la Ley 53/2002. Y de hecho, como consta en las actuaciones judiciales, la recurrente llevó a cabo el abono de la tasa en el mismo momento en que el órgano judicial la requirió para que aportara la justificación del pago, entregando acto seguido a la Audiencia el documento acreditativo de la autoliquidación efectuada.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El problema en el que centra su atención el Auto de planteamiento de la cuestión es que, tal y como interpreta el art. 35.7.2 cuestionado, no es posible aceptar la subsanación ofrecida por la entidad que ha promovido el recurso de apelación. Ese aspecto del precepto es lo que debería conducir, en opinión de la Audiencia Provincial, a declarar su inconstitucionalidad. Como se ha recogido con mayor detalle en los antecedentes, el Auto entiende que lo único que permite subsanar el precepto cuestionado es el presupuesto formal (la acreditación del ingreso) y no el ingreso mismo de la tasa judicial, que sólo podría ser efectuado antes de interponer el recurso. Siendo axiomático que sólo puede ser subsanado lo que es incompleto o insuficiente, pero no la falta absoluta de un presupuesto o un requisito legalmente establecido como necesario, habría que entender que la literalidad del art. 35.7.2 no permite la subsanación de la omisión de ingreso de la tasa una vez presentado el recurso, sino sólo la falta de acreditación documental de dicho ingreso. Lo que conduciría a tener que inadmitir el recurso de apelación, a pesar de que la sociedad recurrente acreditó que había pagado la tasa, aunque fuera tardíamente.</w:t>
      </w:r>
    </w:p>
    <w:p w:rsidR="00D06117" w:rsidRDefault="00D06117" w:rsidP="00D06117">
      <w:pPr>
        <w:pStyle w:val="TextoNormal"/>
      </w:pPr>
    </w:p>
    <w:p w:rsidR="00D06117" w:rsidRDefault="00D06117" w:rsidP="00D06117">
      <w:pPr>
        <w:pStyle w:val="TextoNormal"/>
      </w:pPr>
      <w:r>
        <w:t>Sin embargo, tal y como afirman al unísono el Abogado del Estado y el Fiscal General del Estado, la interpretación del precepto legal que sostiene el Auto impugnado no es la que se deduce con naturalidad del texto del art. 35.7.2, ni leído literalmente ni haciendo uso de los instrumentos hermenéuticos que indica el Código civil en su art. 3. Cuando el art. 35.7.2 afirma que sin el justificante del pago de la tasa, el Secretario judicial no dará curso al escrito procesal mediante el que se realice el hecho imponible del tributo, “salvo que la omisión fuere subsanada en un plazo de diez días”, nada hay en el precepto legal que impida entender que el justiciable puede presentar dentro del plazo el justificante de haber abonado la tasa, antes de presentar el escrito del recurso o en cualquier momento posterior, siempre que sea antes de que hayan transcurrido los diez días de plazo que otorga expresamente el precepto</w:t>
      </w:r>
    </w:p>
    <w:p w:rsidR="00D06117" w:rsidRDefault="00D06117" w:rsidP="00D06117">
      <w:pPr>
        <w:pStyle w:val="TextoNormal"/>
      </w:pPr>
    </w:p>
    <w:p w:rsidR="00D06117" w:rsidRDefault="00D06117" w:rsidP="00D06117">
      <w:pPr>
        <w:pStyle w:val="TextoNormal"/>
      </w:pPr>
      <w:r w:rsidRPr="00D06117">
        <w:rPr>
          <w:rStyle w:val="NumeroAFNegritaCaracter"/>
        </w:rPr>
        <w:t>7</w:t>
      </w:r>
      <w:r>
        <w:t>. Como razonan el Abogado del Estado y el Fiscal General del Estado, ni la Ley 53/2002 ni la Ley de enjuiciamiento civil (LEC) configuran el ingreso de la tasa judicial como presupuesto de admisión del recurso. El art. 35 de la Ley 53/2002 dispone expresamente la posibilidad de subsanar la omisión sin precisar si dicha omisión consiste en aportar el justificante del pago realizado en su día o en el momento en que se formula el requerimiento. La Ley de enjuiciamiento civil, por su parte, no condiciona la admisión de los recursos al previo pago o consignación de cantidades económicas sino en los supuestos tasados que enumera el art. 449 LEC; el cual, en cualquier caso, se remite expresamente al art. 231 de la misma ley “antes de que se rechacen o declaren desiertos los recursos”. Precepto este último que establece un principio general de subsanabilidad de los actos procesales de las partes, cuyo texto vigente (redactado por la Ley 13/2009, de 3 de noviembre) es particularmente claro: “El Tribunal y el Secretario judicial cuidarán de que puedan ser subsanados los defectos en que incurran los actos procesales de las partes”.</w:t>
      </w:r>
    </w:p>
    <w:p w:rsidR="00D06117" w:rsidRDefault="00D06117" w:rsidP="00D06117">
      <w:pPr>
        <w:pStyle w:val="TextoNormal"/>
      </w:pPr>
    </w:p>
    <w:p w:rsidR="00D06117" w:rsidRDefault="00D06117" w:rsidP="00D06117">
      <w:pPr>
        <w:pStyle w:val="TextoNormal"/>
      </w:pPr>
      <w:r>
        <w:t xml:space="preserve">Esta previsión legal se hace eco del principio general expresado por el art. 11.3 de la Ley Orgánica del Poder Judicial, y se encuentra en sintonía con una nutrida jurisprudencia constitucional recaída en la materia. Como afirmó este Tribunal al juzgar un problema en cierta forma parecido al actual, provocado porque la antigua Ley de enjuiciamiento civil ordenaba que “no podrá proveerse ninguna solicitud que no lleve firma de Abogado” (art. 10 LEC 1881), del escrito presentado por una parte sin cumplir el requisito legal “no puede decirse que sea inválido, pues la categoría que mejor le conviene, toda vez que en él se contiene la declaración de voluntad del representante de la parte litigante, es la de acto incompleto”; y </w:t>
      </w:r>
      <w:r>
        <w:lastRenderedPageBreak/>
        <w:t>tampoco puede sostenerse que se trate de un acto procesal nulo, pues en defecto de norma expresa que establezca sanción de nulidad para el escrito que incumpliera el requisito, no puede ya mantenerse la vieja doctrina jurisprudencial sobre el carácter de orden público de todos los preceptos procesales y la nulidad de todos los actos procesales no acomodados a la ley. La vigente Ley Orgánica del Poder Judicial de 1985, “a partir de la regla de la vinculación de los órganos jurisdiccionales del Estado a los derechos fundamentales de los ciudadanos y a las libertades públicas”, ha limitado de forma drástica las causas de nulidad de los actos procesales. Sus arts. 11 y 238 a 243 “han invertido completamente la antes citada doctrina jurisprudencial y han establecido, por el contrario, las siguientes cardinales reglas: a) una tasa rigurosa de las causas de nulidad de pleno derecho de los actos judiciales, que sólo se produce cuando tales actos se han realizado con manifiesta falta de jurisdicción o competencia objetiva funcional, cuando se realizan bajo violencia o intimidación y cuando se prescinde total o parcialmente de las normas de procedimiento establecidas por la Ley con infracción de los principios de audiencia, asistencia y defensa, según reza el art. 238 de la Ley Orgánica del Poder Judicial; b) una consagración del principio de conservación de los actos procesales, que aparece con claridad en los arts. 241 y 242 de la Ley Orgánica del Poder Judicial, ya que el primero de los citados preceptos establece que las actuaciones judiciales realizadas fuera del tiempo establecido sólo podrán anularse si lo impusiera la naturaleza del término o plazo y el siguiente dispone que la nulidad de un acto no implicará la de los sucesivos que fueran independientes de él; c) el principio de la subsanación de los defectos procesales que posean este carácter, que resulta del art. 11 y del art. 243 de la Ley Orgánica del Poder Judicial. Es verdad que, según el primero de estos preceptos, por lo menos literalmente entendido, la subsanación se refiere sólo a los requisitos formales, y, de acuerdo con el segundo, la subsanación se produce en las condiciones y plazos que las leyes procesales establezcan, pero no es difícil inducir un designio del legislador de permitir la subsanación de los defectos que posean este carácter y el designio de emanar tal regla en desarrollo del principio de tutela efectiva consagrado en el art. 24 de la Constitución” (STC 39/1988, de 9 de marzo, FJ 1). Designio del legislador que ha sido desarrollado con prístina claridad en el vigente art. 231 LEC, antes transcrito.</w:t>
      </w:r>
    </w:p>
    <w:p w:rsidR="00D06117" w:rsidRDefault="00D06117" w:rsidP="00D06117">
      <w:pPr>
        <w:pStyle w:val="TextoNormal"/>
      </w:pPr>
    </w:p>
    <w:p w:rsidR="00D06117" w:rsidRDefault="00D06117" w:rsidP="00D06117">
      <w:pPr>
        <w:pStyle w:val="TextoNormal"/>
      </w:pPr>
      <w:r w:rsidRPr="00D06117">
        <w:rPr>
          <w:rStyle w:val="NumeroAFNegritaCaracter"/>
        </w:rPr>
        <w:t>8</w:t>
      </w:r>
      <w:r>
        <w:t>. Por añadidura, desde la perspectiva estrictamente constitucional que ofrece el art. 24.1 CE, resulta determinante la constatación de que la falta de pago de la tasa judicial, antes de presentar el escrito procesal que realiza el hecho imponible, no frustra las finalidades perseguidas por el tributo: la financiación del ejercicio de la potestad jurisdiccional queda plenamente asegurada desde el momento mismo en que el Secretario judicial no dará curso al proceso hasta que no se haya acreditado el pago del tributo. Resulta de todo punto indiferente que el pago al Tesoro público se haya llevada a cabo antes de presentar el recurso; después de presentarlo, pero antes de recibir el requerimiento del Secretario judicial; o durante los diez días de plazo que el art. 35.7.2 de la Ley 53/2002 otorga expresamente para que “la omisión fuere subsanada”. Finalmente, que el abono de la tasa se efectúe antes o después de presentado el escrito procesal no lesiona bienes o derechos constitucionales, no grava injustificadamente la posición de la parte contraria, ni daña la integridad objetiva del procedimiento (por todas, SSTC 76/1996, de 30 de abril, FJ 4; 125/2010, de 29 de noviembre, FJ 2).</w:t>
      </w:r>
    </w:p>
    <w:p w:rsidR="00D06117" w:rsidRDefault="00D06117" w:rsidP="00D06117">
      <w:pPr>
        <w:pStyle w:val="TextoNormal"/>
      </w:pPr>
    </w:p>
    <w:p w:rsidR="00D06117" w:rsidRDefault="00D06117" w:rsidP="00D06117">
      <w:pPr>
        <w:pStyle w:val="TextoNormal"/>
      </w:pPr>
      <w:r>
        <w:t xml:space="preserve">Por lo demás, la interpretación del art. 35.7.2 de la Ley 53/2002 que mantiene el Auto que plantea la cuestión encuentra su apoyo en la vieja jurisprudencia civil sobre el carácter de orden público de los preceptos procesales, no en la nueva concepción impuesta por la </w:t>
      </w:r>
      <w:r>
        <w:lastRenderedPageBreak/>
        <w:t>Constitución de 1978 y la vigente legislación orgánica del poder judicial y de enjuiciamiento civil. Como hemos sostenido en numerosas resoluciones, “la figura o la técnica procesal de la subsanación de defectos procesales …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 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 (STC 69/1997, de 8 de abril, FJ 6; en el mismo sentido, entre otras muchas, SSTC 168/2003, de 29 de septiembre, FJ 5; 155/2011, de 17 de octubre, FJ 4). Pues “los órganos jurisdiccionales ordinarios han de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(por todas, STC 12/2003, de 28 de enero, FJ 4).</w:t>
      </w:r>
    </w:p>
    <w:p w:rsidR="00D06117" w:rsidRDefault="00D06117" w:rsidP="00D06117">
      <w:pPr>
        <w:pStyle w:val="TextoNormal"/>
      </w:pPr>
    </w:p>
    <w:p w:rsidR="00D06117" w:rsidRDefault="00D06117" w:rsidP="00D06117">
      <w:pPr>
        <w:pStyle w:val="TextoNormal"/>
      </w:pPr>
      <w:r>
        <w:t>Por consiguiente, la duda de constitucionalidad es infundada en este punto, lo que lleva a mantener en su integridad el juicio positivo que sobre la constitucionalidad del art. 35.7.2 de la Ley 53/2002 declaramos en la STC 20/2012, de 16 de febrero.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cuestión de inconstitucionalidad núm. 1389-2005 relativa al artículo 35.7, párrafo segundo,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diecisiete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3" w:name="SENTENCIA_2012_80"/>
      <w:r>
        <w:lastRenderedPageBreak/>
        <w:t>SENTENCIA 80/2012, de 18 de abril de 2012</w:t>
      </w:r>
    </w:p>
    <w:bookmarkEnd w:id="8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ECLI:ES:TC:2012:80</w:t>
      </w:r>
    </w:p>
    <w:p w:rsidR="00D06117" w:rsidRDefault="00D06117" w:rsidP="00D06117">
      <w:pPr>
        <w:pStyle w:val="SntesisDescriptiva"/>
      </w:pPr>
    </w:p>
    <w:p w:rsidR="00D06117" w:rsidRDefault="00D06117" w:rsidP="00D06117">
      <w:pPr>
        <w:pStyle w:val="SntesisDescriptiva"/>
      </w:pPr>
      <w:r>
        <w:t>Recurso de inconstitucionalidad 4033-1998. Interpuesto por el Presidente del Gobierno de la Nación en relación con el art. 16.6 de la Ley del Parlamento Vasco 14/1998, del deporte.</w:t>
      </w:r>
    </w:p>
    <w:p w:rsidR="00D06117" w:rsidRDefault="00D06117" w:rsidP="00D06117">
      <w:pPr>
        <w:pStyle w:val="SntesisDescriptiva"/>
      </w:pPr>
    </w:p>
    <w:p w:rsidR="00D06117" w:rsidRDefault="00D06117" w:rsidP="00D06117">
      <w:pPr>
        <w:pStyle w:val="SntesisAnaltica"/>
      </w:pPr>
      <w:r>
        <w:t>Competencias sobre cultura, deporte y relaciones exteriores: interpretación del precepto legal que atribuye a las federaciones deportivas vascas la condición de representantes únicas del deporte federado vasco en el ámbito internacional. Votos particulares.</w:t>
      </w:r>
    </w:p>
    <w:p w:rsidR="00D06117" w:rsidRDefault="00D06117" w:rsidP="00D06117">
      <w:pPr>
        <w:pStyle w:val="SntesisAnaltica"/>
      </w:pPr>
    </w:p>
    <w:p w:rsidR="00D06117" w:rsidRDefault="00D06117" w:rsidP="00D06117">
      <w:pPr>
        <w:pStyle w:val="Extracto"/>
      </w:pPr>
      <w:r>
        <w:t>1.</w:t>
      </w:r>
      <w:r>
        <w:tab/>
        <w:t>El primer inciso del artículo impugnado según el cual las federaciones vascas de cada modalidad deportiva serán las únicas representantes del deporte federado vasco en el ámbito internacional es constitucional siempre que se trate de deportes en los que no existan federaciones españolas y que no se impidan o perturben las competencias del Estado de coordinación y representación internacional del deporte español [FJ 11].</w:t>
      </w:r>
    </w:p>
    <w:p w:rsidR="00D06117" w:rsidRDefault="00D06117" w:rsidP="00D06117">
      <w:pPr>
        <w:pStyle w:val="Extracto"/>
      </w:pPr>
    </w:p>
    <w:p w:rsidR="00D06117" w:rsidRDefault="00D06117" w:rsidP="00D06117">
      <w:pPr>
        <w:pStyle w:val="Extracto"/>
      </w:pPr>
      <w:r>
        <w:t>2.</w:t>
      </w:r>
      <w:r>
        <w:tab/>
        <w:t>No es inconstitucional la previsión legal que atribuye a las federaciones vascas la exclusividad en la representación internacional del deporte federado vasco porque no se ve involucrado un interés nacional, no afecta al deporte federado español en su conjunto ni incide en la imagen exterior del Estado español, al ceñirse a supuestos en que las federaciones vascas no tienen correspondencia en una federación española sino que participan directamente en una competición internacional [FJ 10].</w:t>
      </w:r>
    </w:p>
    <w:p w:rsidR="00D06117" w:rsidRDefault="00D06117" w:rsidP="00D06117">
      <w:pPr>
        <w:pStyle w:val="Extracto"/>
      </w:pPr>
    </w:p>
    <w:p w:rsidR="00D06117" w:rsidRDefault="00D06117" w:rsidP="00D06117">
      <w:pPr>
        <w:pStyle w:val="Extracto"/>
      </w:pPr>
      <w:r>
        <w:t>3.</w:t>
      </w:r>
      <w:r>
        <w:tab/>
        <w:t>Una lectura conforme a la Constitución permite al legislador vasco, en ejercicio de su competencia exclusiva en materia de deporte, configurar a las federaciones vascas como únicas representantes del deporte vasco en la esfera internacional, ya que la previsión de la integración de las federaciones vascas en las españolas permite contemplar un escenario en el que la participación del deporte vasco en competiciones oficiales deriva de la estructura piramidal prevista por los legisladores autonómico y estatal [FJ 10].</w:t>
      </w:r>
    </w:p>
    <w:p w:rsidR="00D06117" w:rsidRDefault="00D06117" w:rsidP="00D06117">
      <w:pPr>
        <w:pStyle w:val="Extracto"/>
      </w:pPr>
    </w:p>
    <w:p w:rsidR="00D06117" w:rsidRDefault="00D06117" w:rsidP="00D06117">
      <w:pPr>
        <w:pStyle w:val="Extracto"/>
      </w:pPr>
      <w:r>
        <w:t>4.</w:t>
      </w:r>
      <w:r>
        <w:tab/>
        <w:t>La invocación del título competencial de “relaciones internacionales” no resulta aplicable para resolver la controversia planteada, ni puede sustentar una pretendida invasión de competencias estatales, puesto que la actividad deportiva en su dimensión internacional no puede calificarse como materia propia de las relaciones internacionales, en el sentido estricto que ha sido definido por la doctrina [FJ 4].</w:t>
      </w:r>
    </w:p>
    <w:p w:rsidR="00D06117" w:rsidRDefault="00D06117" w:rsidP="00D06117">
      <w:pPr>
        <w:pStyle w:val="Extracto"/>
      </w:pPr>
    </w:p>
    <w:p w:rsidR="00D06117" w:rsidRDefault="00D06117" w:rsidP="00D06117">
      <w:pPr>
        <w:pStyle w:val="Extracto"/>
      </w:pPr>
      <w:r>
        <w:t>5.</w:t>
      </w:r>
      <w:r>
        <w:tab/>
        <w:t xml:space="preserve">La representación internacional de las diferentes modalidades deportivas, cuya constitucionalidad se aborda en este proceso, tiene un arduo encaje en el título competencial de cultura, ya que se refiere única y exclusivamente a una cuestión </w:t>
      </w:r>
      <w:r>
        <w:lastRenderedPageBreak/>
        <w:t>organizativa o estructural de la práctica del deporte y no a otras dimensiones culturales del mismo [FJ 5].</w:t>
      </w:r>
    </w:p>
    <w:p w:rsidR="00D06117" w:rsidRDefault="00D06117" w:rsidP="00D06117">
      <w:pPr>
        <w:pStyle w:val="Extracto"/>
      </w:pPr>
    </w:p>
    <w:p w:rsidR="00D06117" w:rsidRDefault="00D06117" w:rsidP="00D06117">
      <w:pPr>
        <w:pStyle w:val="Extracto"/>
      </w:pPr>
      <w:r>
        <w:t>6.</w:t>
      </w:r>
      <w:r>
        <w:tab/>
        <w:t xml:space="preserve">El encuadre competencial del precepto impugnado ha de situarse exclusivamente en la materia específica de deporte, pues su contenido se inscribe en la regulación de las federaciones deportivas, correspondiendo la competencia exclusiva en la materia a la Comunidad Autónoma del País Vasco </w:t>
      </w:r>
      <w:r w:rsidRPr="00D06117">
        <w:rPr>
          <w:i/>
        </w:rPr>
        <w:t>ex</w:t>
      </w:r>
      <w:r>
        <w:t xml:space="preserve"> arts. 148.1.19 CE y 10.36 EAPV [FJ 6].</w:t>
      </w:r>
    </w:p>
    <w:p w:rsidR="00D06117" w:rsidRDefault="00D06117" w:rsidP="00D06117">
      <w:pPr>
        <w:pStyle w:val="Extracto"/>
      </w:pPr>
    </w:p>
    <w:p w:rsidR="00D06117" w:rsidRDefault="00D06117" w:rsidP="00D06117">
      <w:pPr>
        <w:pStyle w:val="Extracto"/>
      </w:pPr>
      <w:r>
        <w:t>7.</w:t>
      </w:r>
      <w:r>
        <w:tab/>
        <w:t>Doctrina sobre el orden constitucional de distribución de competencias en materia de relaciones internacionales (SSTC 165/1994, 31/2010) [FFJJ 4, 7, 10].</w:t>
      </w:r>
    </w:p>
    <w:p w:rsidR="00D06117" w:rsidRDefault="00D06117" w:rsidP="00D06117">
      <w:pPr>
        <w:pStyle w:val="Extracto"/>
      </w:pPr>
    </w:p>
    <w:p w:rsidR="00D06117" w:rsidRDefault="00D06117" w:rsidP="00D06117">
      <w:pPr>
        <w:pStyle w:val="Extracto"/>
      </w:pPr>
      <w:r>
        <w:t>8.</w:t>
      </w:r>
      <w:r>
        <w:tab/>
        <w:t>Doctrina sobre el orden constitucional de distribución de competencias en materia de cultura (SSTC 49/1984, 1/1986, 71/1997) [FJ 5].</w:t>
      </w:r>
    </w:p>
    <w:p w:rsidR="00D06117" w:rsidRDefault="00D06117" w:rsidP="00D06117">
      <w:pPr>
        <w:pStyle w:val="Extracto"/>
      </w:pPr>
    </w:p>
    <w:p w:rsidR="00D06117" w:rsidRDefault="00D06117" w:rsidP="00D06117">
      <w:pPr>
        <w:pStyle w:val="Extracto"/>
      </w:pPr>
      <w:r>
        <w:t>9.</w:t>
      </w:r>
      <w:r>
        <w:tab/>
        <w:t>Doctrina sobre el orden constitucional y estatutario de distribución de competencias en materia de deporte (SSTC 1/1986, 90/1990) [FFJJ 6 a 8].</w:t>
      </w:r>
    </w:p>
    <w:p w:rsidR="00D06117" w:rsidRDefault="00D06117" w:rsidP="00D06117">
      <w:pPr>
        <w:pStyle w:val="Extracto"/>
      </w:pPr>
    </w:p>
    <w:p w:rsidR="00D06117" w:rsidRDefault="00D06117" w:rsidP="00D06117">
      <w:pPr>
        <w:pStyle w:val="Extracto"/>
      </w:pPr>
      <w:r>
        <w:t>10.</w:t>
      </w:r>
      <w:r>
        <w:tab/>
        <w:t>Doctrina sobre la concurrencia de títulos competenciales que inciden sobre el deporte (STC 16/1996) [FFJJ 5, 7].</w:t>
      </w:r>
    </w:p>
    <w:p w:rsidR="00D06117" w:rsidRDefault="00D06117" w:rsidP="00D06117">
      <w:pPr>
        <w:pStyle w:val="Extracto"/>
      </w:pPr>
    </w:p>
    <w:p w:rsidR="00D06117" w:rsidRDefault="00D06117" w:rsidP="00D06117">
      <w:pPr>
        <w:pStyle w:val="Extracto"/>
      </w:pPr>
      <w:r>
        <w:t>11.</w:t>
      </w:r>
      <w:r>
        <w:tab/>
        <w:t>Doctrina sobre el principio de territorialidad de las normas y actos de las Comunidades Autónomas (SSTC 37/1981, 194/2011) [FJ 7].</w:t>
      </w:r>
    </w:p>
    <w:p w:rsidR="00D06117" w:rsidRDefault="00D06117" w:rsidP="00D06117">
      <w:pPr>
        <w:pStyle w:val="Extracto"/>
      </w:pPr>
    </w:p>
    <w:p w:rsidR="00D06117" w:rsidRDefault="00D06117" w:rsidP="00D06117">
      <w:pPr>
        <w:pStyle w:val="Extracto"/>
      </w:pPr>
      <w:r>
        <w:t>12.</w:t>
      </w:r>
      <w:r>
        <w:tab/>
        <w:t>Doctrina sobre límites al ejercicio de competencias exclusivas de las Comunidades Autónomas (SSTC 1/1986, 133/1990) [FFJJ 7, 8].</w:t>
      </w:r>
    </w:p>
    <w:p w:rsidR="00D06117" w:rsidRDefault="00D06117" w:rsidP="00D06117">
      <w:pPr>
        <w:pStyle w:val="Extracto"/>
      </w:pPr>
    </w:p>
    <w:p w:rsidR="00D06117" w:rsidRDefault="00D06117" w:rsidP="00D06117">
      <w:pPr>
        <w:pStyle w:val="Extracto"/>
      </w:pPr>
      <w:r>
        <w:t>13.</w:t>
      </w:r>
      <w:r>
        <w:tab/>
        <w:t>Doctrina sobre organización deportiva estatal y autonómica (STC 67/1985) [FJ 9].</w:t>
      </w:r>
    </w:p>
    <w:p w:rsidR="00D06117" w:rsidRDefault="00D06117" w:rsidP="00D06117">
      <w:pPr>
        <w:pStyle w:val="Extracto"/>
      </w:pPr>
    </w:p>
    <w:p w:rsidR="00D06117" w:rsidRDefault="00D06117" w:rsidP="00D06117">
      <w:pPr>
        <w:pStyle w:val="Extracto"/>
      </w:pPr>
      <w:r>
        <w:t>14.</w:t>
      </w:r>
      <w:r>
        <w:tab/>
        <w:t>Doctrina sobre la interpretación de las normas conforme a la Constitución (SSTC 30/2011, 32/2011) [FJ 10].</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inconstitucionalidad núm. 4033-1998, interpuesto por el Presidente del Gobierno de la Nación contra la frase primera del artículo 16.6 de la Ley del Parlamento Vasco 14/1998, de 11 de junio, del deporte. Han intervenido y formulado alegaciones el Letrado de la Comunidad Autónoma del País Vasco y el Letrado del Parlamento Vasco.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Constitucional el día 25 de septiembre de 1998, el Abogado del Estado, actuando en el ejercicio de las funciones que legalmente le corresponden, interpuso recurso de inconstitucionalidad contra la frase primera del art. 16.6 de la Ley del Parlamento Vasco 14/1998, de 11 de junio, del deporte, según la cual “la federación vasca de cada modalidad deportiva será la única representante del deporte federado vasco en el ámbito estatal e internacional”. Se efectúa invocación expresa del art. 161.2 CE.</w:t>
      </w:r>
    </w:p>
    <w:p w:rsidR="00D06117" w:rsidRDefault="00D06117" w:rsidP="00D06117">
      <w:pPr>
        <w:pStyle w:val="TextoNormal"/>
      </w:pPr>
    </w:p>
    <w:p w:rsidR="00D06117" w:rsidRDefault="00D06117" w:rsidP="00D06117">
      <w:pPr>
        <w:pStyle w:val="TextoNormal"/>
      </w:pPr>
      <w:r>
        <w:t>En el escrito rector de este proceso constitucional se fundamenta la impugnación del precepto reproducido en que desconoce que la representación del deporte federado en las competiciones deportivas internacionales corresponde a las federaciones deportivas españolas. Esta conclusión se alcanza a partir de las consideraciones que seguidamente se exponen.</w:t>
      </w:r>
    </w:p>
    <w:p w:rsidR="00D06117" w:rsidRDefault="00D06117" w:rsidP="00D06117">
      <w:pPr>
        <w:pStyle w:val="TextoNormal"/>
      </w:pPr>
    </w:p>
    <w:p w:rsidR="00D06117" w:rsidRDefault="00D06117" w:rsidP="00D06117">
      <w:pPr>
        <w:pStyle w:val="TextoNormal"/>
      </w:pPr>
      <w:r>
        <w:t>a) Examina en primer lugar el Abogado del Estado la distribución constitucional de competencias en relación con las distintas modalidades deportivas y las competiciones internacionales. Al respecto recuerda que en la exposición de motivos de la Ley 10/1990, de 15 de octubre, se afirma que en este ámbito “inciden varios títulos competenciales”. Es el caso de la “promoción del deporte” (art. 148.1.19 CE), o del “deporte” como materia competencial específica en los distintos Estatutos de Autonomía. Además, se mencionan otros títulos estatales, como el de “cultura” (art. 149.2 CE) y “relaciones internacionales” (art. 149.1.3 CE). Siempre en opinión del Abogado del Estado, “es obvio” que en esta materia también inciden títulos como “educación”, “investigación”, “sanidad” o “legislación mercantil”, si bien este recurso se fundamenta en los títulos de “relaciones internacionales” y “cultura” puesto que el conflicto constitucional planteado se refiere “a la configuración de la representación del deporte español en el ámbito internacional” teniendo en cuenta que las competiciones internacionales constituyen una importante manifestación de la comunicación cultural entre distintos sujetos de la comunidad internacional.</w:t>
      </w:r>
    </w:p>
    <w:p w:rsidR="00D06117" w:rsidRDefault="00D06117" w:rsidP="00D06117">
      <w:pPr>
        <w:pStyle w:val="TextoNormal"/>
      </w:pPr>
    </w:p>
    <w:p w:rsidR="00D06117" w:rsidRDefault="00D06117" w:rsidP="00D06117">
      <w:pPr>
        <w:pStyle w:val="TextoNormal"/>
      </w:pPr>
      <w:r>
        <w:t>Recuerda, a continuación, el Abogado del Estado que la Comunidad Autónoma del País Vasco ostenta competencia exclusiva en materia de “deporte” en virtud de lo dispuesto en el art. 10.36 de su Estatuto de Autonomía lo que, sin embargo, no impide que el Estado pueda ejercitar y desarrollar plenamente competencias que, en virtud de otros títulos, le corresponden tal como ha sostenido el Tribunal Constitucional en las SSTC 118/1996, de 27 de junio, y 61/1997, de 20 de marzo.</w:t>
      </w:r>
    </w:p>
    <w:p w:rsidR="00D06117" w:rsidRDefault="00D06117" w:rsidP="00D06117">
      <w:pPr>
        <w:pStyle w:val="TextoNormal"/>
      </w:pPr>
    </w:p>
    <w:p w:rsidR="00D06117" w:rsidRDefault="00D06117" w:rsidP="00D06117">
      <w:pPr>
        <w:pStyle w:val="TextoNormal"/>
      </w:pPr>
      <w:r>
        <w:lastRenderedPageBreak/>
        <w:t>Por lo que respecta a la competencia genérica sobre cultura que corresponde al Estado en virtud del art. 149.2 CE, señala el Abogado del Estado que tiene una conexión evidente con la actividad deportiva; conexión que ya se puso de manifiesto, entre otras, en la STC 16/1996, de 1 de febrero, en la que se afirmaba que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 [FJ 2 C) t)]. En relación con el título competencial relativo a las relaciones internacionales (art. 149.1.3 CE), el Abogado del Estado reproduce la doctrina constitucional contenida en la STC 153/1989 según la cual “la dimensión exterior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La reserva de esta competencia a favor del Estado se refiere, según la doctrina constitucional recogida en las SSTC 137/1987, 153/1989 y 80/1993, a materias tan características del ordenamiento internacional como son las relativas a la celebración de tratados (ius contrahendi), a la representación exterior del Estado (ius legationis), así como a la creación de obligaciones internacionales y a la responsabilidad internacional del Estado; e incluyendo, de acuerdo con la STC 165/1994,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w:t>
      </w:r>
    </w:p>
    <w:p w:rsidR="00D06117" w:rsidRDefault="00D06117" w:rsidP="00D06117">
      <w:pPr>
        <w:pStyle w:val="TextoNormal"/>
      </w:pPr>
    </w:p>
    <w:p w:rsidR="00D06117" w:rsidRDefault="00D06117" w:rsidP="00D06117">
      <w:pPr>
        <w:pStyle w:val="TextoNormal"/>
      </w:pPr>
      <w:r>
        <w:t>Los efectos en el ámbito de las relaciones internacionales de la materia que nos ocupa resultan evidentes para el Abogado del Estado pues se trata de la representación del deporte estatal en las competiciones internacionales. En este sentido, la autoatribución que la ley vasca hace con carácter exclusivo de la representación del deporte vasco a las federaciones autonómicas en competiciones internaciones impide que el Estado ejerza su competencia de representación del deporte español en su conjunto; competencia estatal exclusiva que supone que la representación internacional del deporte español —en el que se incluye el vasco— corresponde exclusivamente a las federaciones estatales o, en su caso, a las autonómicas en los términos y con las condiciones que el Estado establezca. Y ello es así porque la participación en competiciones internacionales supone la asunción de compromisos y responsabilidades con entes internacionales en materias como ordenación del deporte y sus competiciones, régimen disciplinario o resolución de conflictos por vía extrajurisdiccional; y forma parte de la política exterior en materia de cultura física o deporte.</w:t>
      </w:r>
    </w:p>
    <w:p w:rsidR="00D06117" w:rsidRDefault="00D06117" w:rsidP="00D06117">
      <w:pPr>
        <w:pStyle w:val="TextoNormal"/>
      </w:pPr>
    </w:p>
    <w:p w:rsidR="00D06117" w:rsidRDefault="00D06117" w:rsidP="00D06117">
      <w:pPr>
        <w:pStyle w:val="TextoNormal"/>
      </w:pPr>
      <w:r>
        <w:t xml:space="preserve">Seguidamente recuerda el Abogado del Estado la STC 1/1986 —dictada en relación con el decreto estatal por el que se establecía que la participación de una federación autonómica en una competición internacional no oficial requería de la autorización estatal— en la que el Tribunal Constitucional elaboró una doctrina constitucional clara sobre la existencia de intereses propios del deporte federado español en su conjunto y la Administración que, necesariamente, ha de tener competencias sobre la regulación y administración de esos intereses que, sin duda, no hubiera mantenido en la hipótesis de estimar inconstitucional la distribución de competencia sobre la que se asentaba el precepto. En conclusión, respecto de este </w:t>
      </w:r>
      <w:r>
        <w:lastRenderedPageBreak/>
        <w:t>primer apartado de las alegaciones, se insiste en el protagonismo del Estado cuando el deporte tiene proyección internacional.</w:t>
      </w:r>
    </w:p>
    <w:p w:rsidR="00D06117" w:rsidRDefault="00D06117" w:rsidP="00D06117">
      <w:pPr>
        <w:pStyle w:val="TextoNormal"/>
      </w:pPr>
    </w:p>
    <w:p w:rsidR="00D06117" w:rsidRDefault="00D06117" w:rsidP="00D06117">
      <w:pPr>
        <w:pStyle w:val="TextoNormal"/>
      </w:pPr>
      <w:r>
        <w:t>b) El desarrollo estatal de la competencia que ostenta el Estado en deporte en el ámbito estatal a nivel nacional e internacional se ha producido en la Ley 10/1990, del deporte, a cuya referencia el Abogado del Estado dedica el siguiente bloque de alegaciones.</w:t>
      </w:r>
    </w:p>
    <w:p w:rsidR="00D06117" w:rsidRDefault="00D06117" w:rsidP="00D06117">
      <w:pPr>
        <w:pStyle w:val="TextoNormal"/>
      </w:pPr>
    </w:p>
    <w:p w:rsidR="00D06117" w:rsidRDefault="00D06117" w:rsidP="00D06117">
      <w:pPr>
        <w:pStyle w:val="TextoNormal"/>
      </w:pPr>
      <w:r>
        <w:t>Así, de acuerdo con lo establecido en el art. 8 i) de dicha Ley, corresponde al Consejo Superior de Deportes “autorizar o denegar, previa conformidad del Ministerio de Asuntos Exteriores, la celebración en territorio español de competiciones deportivas oficiales de carácter internacional, así como la participación de las selecciones españolas en las competiciones internacionales”; precepto que constituye la ejecución de la competencia estatal para la dirección de la política exterior en materia deportiva, amparándose tanto en el art. 149.1.3 CE como en el art. 149.2 CE. A su vez el art. 8 p) confiere al citado consejo la competencia para “autorizar la inscripción de las Federaciones deportivas españolas en las correspondientes Federaciones deportivas de carácter internacional”. Se están ejercitando las mismas que en el caso anterior, adquiriendo mayor relevancia la competencia de relaciones internacionales puesto que la integración en la federación internacional supone la asunción de determinadas obligaciones y compromisos, así como participar en la elaboración de las normas técnicas que van a regir la actividad deportiva internacional, así como su régimen disciplinario. El Abogado del Estado trae a colación la STC 168/1993, en materia de telecomunicaciones, respecto de las facultades de determinados Ministerios de participar en las organizaciones internacionales de telecomunicaciones.</w:t>
      </w:r>
    </w:p>
    <w:p w:rsidR="00D06117" w:rsidRDefault="00D06117" w:rsidP="00D06117">
      <w:pPr>
        <w:pStyle w:val="TextoNormal"/>
      </w:pPr>
    </w:p>
    <w:p w:rsidR="00D06117" w:rsidRDefault="00D06117" w:rsidP="00D06117">
      <w:pPr>
        <w:pStyle w:val="TextoNormal"/>
      </w:pPr>
      <w:r>
        <w:t>Siguiendo con el análisis de la Ley 10/1990, subraya el Abogado del Estado que el art. 32 exige que las federaciones deportivas de ámbito autonómico se integren en las federaciones deportivas españolas correspondientes “para la participación de sus miembros en actividades o competiciones deportivas oficiales de ámbito estatal o internacional”. Éste es, sin duda, el precepto que más claramente configura la relación entre las federaciones autonómicas y las estatales y los requisitos que debe cumplir un deportista para participar en competiciones internacionales. Este régimen no excluye, sin embargo, la posibilidad de que una federación autonómica —o un deportista— participen en una competición internacional pero para ello deberán contar con la autorización del Consejo Superior de Deportes o con la correspondiente licencia de la federación española correspondiente. Para el Abogado del Estado, en este precepto se materializan las competencias en materia de coordinación con la actuación deportiva de las Comunidades Autónomas que corresponde al Estado en los términos de la STC 165/1994, de 26 de mayo, a través del mecanismo de la integración en las federaciones españolas.</w:t>
      </w:r>
    </w:p>
    <w:p w:rsidR="00D06117" w:rsidRDefault="00D06117" w:rsidP="00D06117">
      <w:pPr>
        <w:pStyle w:val="TextoNormal"/>
      </w:pPr>
    </w:p>
    <w:p w:rsidR="00D06117" w:rsidRDefault="00D06117" w:rsidP="00D06117">
      <w:pPr>
        <w:pStyle w:val="TextoNormal"/>
      </w:pPr>
      <w:r>
        <w:t xml:space="preserve">El régimen de representación del deporte español en las competiciones internacionales se cierra con los arts. 33.2 y 47 de la Ley 10/1990, en tanto que prevén, respectivamente, que las federaciones deportivas españolas ostentarán la representación de España en las actividades y competiciones deportivas de carácter internacional —correspondiendo a cada federación la elección de los deportistas que han de integrar las selecciones nacionales— y que los deportistas federados están obligados a asistir a las convocatorias de las selecciones deportivas nacionales para la participación en competiciones internacionales. Se configura, así, la exclusividad de la representación del deporte español, que debe ser única, puesto que no podría hablarse de la participación del deporte español en su conjunto si en una misma </w:t>
      </w:r>
      <w:r>
        <w:lastRenderedPageBreak/>
        <w:t>competición internacional compitiesen en el mismo plano la supuesta representación estatal y la de una parte del territorio.</w:t>
      </w:r>
    </w:p>
    <w:p w:rsidR="00D06117" w:rsidRDefault="00D06117" w:rsidP="00D06117">
      <w:pPr>
        <w:pStyle w:val="TextoNormal"/>
      </w:pPr>
    </w:p>
    <w:p w:rsidR="00D06117" w:rsidRDefault="00D06117" w:rsidP="00D06117">
      <w:pPr>
        <w:pStyle w:val="TextoNormal"/>
      </w:pPr>
      <w:r>
        <w:t>Finalmente, invoca el Abogado del Estado el Real Decreto 2075/1982, de 9 de julio, vigente en aquello que no se oponga a la Ley 10/1990 y que fue objeto de la ya citada STC 1/1986. También este reglamento incide sobre la necesidad de que las federaciones autonómicas cuenten con autorización estatal para la participación en una competición internacional de carácter no oficial.</w:t>
      </w:r>
    </w:p>
    <w:p w:rsidR="00D06117" w:rsidRDefault="00D06117" w:rsidP="00D06117">
      <w:pPr>
        <w:pStyle w:val="TextoNormal"/>
      </w:pPr>
    </w:p>
    <w:p w:rsidR="00D06117" w:rsidRDefault="00D06117" w:rsidP="00D06117">
      <w:pPr>
        <w:pStyle w:val="TextoNormal"/>
      </w:pPr>
      <w:r>
        <w:t>El Abogado del Estado concluye este apartado remarcando tres consideraciones: a) que la regulación examinada se refiere a actividades o competiciones oficiales de carácter internacional, de modo que cabe la posibilidad de que el deporte federado a nivel autonómico actúe en el deporte internacional no oficial; b) que, a tenor de lo dispuesto en el art. 8 i) de la Ley 10/1990, cabe la posibilidad de que las selecciones autonómicas intervengan en competiciones internacionales, siempre que cuenten con la autorización del Consejo Superior de Deportes o, excepcionalmente, cuando no exista federación deportiva española en una determinada modalidad deportiva, pues en los términos de “selecciones españolas” también se incluyen las selecciones autonómicas, y c) que el sistema de representación del deporte se organiza escalonadamente, de modo que la federación autonómica representa el deporte de este ámbito en la española y ésta, al integrarse en la internacional, cumple idéntica función. Todo ello sin perjuicio de las excepciones ya reseñadas, que habrán de contar con la intervención del Consejo Superior de Deportes.</w:t>
      </w:r>
    </w:p>
    <w:p w:rsidR="00D06117" w:rsidRDefault="00D06117" w:rsidP="00D06117">
      <w:pPr>
        <w:pStyle w:val="TextoNormal"/>
      </w:pPr>
    </w:p>
    <w:p w:rsidR="00D06117" w:rsidRDefault="00D06117" w:rsidP="00D06117">
      <w:pPr>
        <w:pStyle w:val="TextoNormal"/>
      </w:pPr>
      <w:r>
        <w:t>c) El tercer bloque de las alegaciones del Abogado del Estado se centra en la inconstitucionalidad del art. 16.6 de la Ley del deporte vasco, por invadir competencias constitucionales estatales y por extralimitarse territorialmente en el ejercicio de su competencia exclusiva en materia deportiva. El mandato normativo cuestionado, según subraya el Abogado del Estado, es el que atribuye a las federaciones autonómicas del País Vasco, en exclusiva, la representación del deporte vasco en el ámbito internacional, puesto que dicha atribución hace imposible que las federaciones españolas cumplan con la más importante de las funciones que tienen asignadas en la esfera internacional: la representación del deporte español en su conjunto.</w:t>
      </w:r>
    </w:p>
    <w:p w:rsidR="00D06117" w:rsidRDefault="00D06117" w:rsidP="00D06117">
      <w:pPr>
        <w:pStyle w:val="TextoNormal"/>
      </w:pPr>
    </w:p>
    <w:p w:rsidR="00D06117" w:rsidRDefault="00D06117" w:rsidP="00D06117">
      <w:pPr>
        <w:pStyle w:val="TextoNormal"/>
      </w:pPr>
      <w:r>
        <w:t>La atribución de esa representatividad vulnera el bloque de la constitucionalidad en lo que hace al carácter territorial de las competencias autonómicas (art. 20.6 del Estatuto para el País Vasco) y supone que en las competiciones y actividades deportivas internacionales puedan enfrentarse el deporte español y el deporte vasco. Por lo tanto, el precepto legal impugnado es inconstitucional porque extiende una competencia autonómica al ámbito internacional, desconociendo el límite territorial implícito en la misma y, además, porque vulnera e impide el ejercicio de la competencia, necesariamente estatal, de representación del deporte federado español en su conjunto en el ámbito internacional.</w:t>
      </w:r>
    </w:p>
    <w:p w:rsidR="00D06117" w:rsidRDefault="00D06117" w:rsidP="00D06117">
      <w:pPr>
        <w:pStyle w:val="TextoNormal"/>
      </w:pPr>
    </w:p>
    <w:p w:rsidR="00D06117" w:rsidRDefault="00D06117" w:rsidP="00D06117">
      <w:pPr>
        <w:pStyle w:val="TextoNormal"/>
      </w:pPr>
      <w:r>
        <w:t xml:space="preserve">Con respecto al primer motivo, debe tenerse en cuenta que la competencia del art. 10.36 del Estatuto para el País Vasco se refiere a la regulación legal, desarrollo y ejecución del deporte en el País Vasco, pero no legitima a la Comunidad Autónoma para regular materias que puedan incidir en el deporte estatal en su conjunto o en el deporte internacional. La representación “única” del deporte autonómico en el ámbito internacional supone trasvasar este límite territorial y convertir a la entidad federativa en un sujeto deportivo internacional </w:t>
      </w:r>
      <w:r>
        <w:lastRenderedPageBreak/>
        <w:t>cuyas decisiones habrán de producir efectos fuera del territorio de la Comunidad, e incluso del Estado.</w:t>
      </w:r>
    </w:p>
    <w:p w:rsidR="00D06117" w:rsidRDefault="00D06117" w:rsidP="00D06117">
      <w:pPr>
        <w:pStyle w:val="TextoNormal"/>
      </w:pPr>
    </w:p>
    <w:p w:rsidR="00D06117" w:rsidRDefault="00D06117" w:rsidP="00D06117">
      <w:pPr>
        <w:pStyle w:val="TextoNormal"/>
      </w:pPr>
      <w:r>
        <w:t>Por lo que se refiere a la segunda reflexión, el sistema de representación “en cascada”, único posible y previsto por el Estado para el ejercicio de sus competencias, queda privado de sentido al pasar de la representación autonómica directamente a la esfera internacional. La previsión normativa impugnada impide que el Estado pueda ejercer su evidente y manifiesta competencia de representar internacionalmente el deporte español en su conjunto —sin perjuicio de las excepciones, ya mencionadas, que puedan suscitarse, bien porque se trate de un deporte en el que no exista federación española, bien porque la competición no tenga carácter oficial o bien porque el Consejo Superior de Deportes, en otros casos, permita la intervención directa de las federaciones autonómicas en el ámbito internacional.</w:t>
      </w:r>
    </w:p>
    <w:p w:rsidR="00D06117" w:rsidRDefault="00D06117" w:rsidP="00D06117">
      <w:pPr>
        <w:pStyle w:val="TextoNormal"/>
      </w:pPr>
    </w:p>
    <w:p w:rsidR="00D06117" w:rsidRDefault="00D06117" w:rsidP="00D06117">
      <w:pPr>
        <w:pStyle w:val="TextoNormal"/>
      </w:pPr>
      <w:r>
        <w:t>La conclusión de todo lo afirmado es que el precepto resulta inconstitucional porque en el ámbito internacional la federación deportiva del País Vasco nunca puede tener la representación “única” del deporte vasco sin la intervención del Consejo Superior de Deportes. Si la federación deportiva del País Vasco se integra en la española, los deportistas vascos que participen serán, al mismo tiempo, miembros de ambas federaciones y el deporte vasco que representen será también español en cuanto que forma parte de éste. Si la federación deportiva del País Vasco decide no integrarse en la española, tampoco podrá ostentar la representación en el ámbito internacional porque no podría participar en él y si lo hiciera vulneraría la competencia exclusiva del Estado para representar al deporte español en su conjunto.</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29 de septiembre de 1998 la Sección Cuarta de este Tribunal acordó admitir a trámite el presente recurso de inconstitucionalidad, así como, de conformidad con el art. 34 Ley Orgánica del Tribunal Constitucional (LOTC), dar traslado de la demanda y documentos presentados al Congreso de los Diputados y al Senado, así como al Gobierno y al Parlamento Vasco, por conducto de sus Presidentes, al objeto de que en el plazo de quince días pudiesen personarse en el proceso y formular las alegaciones que estimaran convenientes. Asimismo se acuerda tener por invocado por el Presidente del Gobierno el artículo 161.2 de la Constitución lo que, a su tenor y de acuerdo con el art. 30 LOTC, produce la suspensión, para las partes, de la vigencia y aplicación del precepto impugnado desde la fecha de interposición del recurso y, desde la publicación oficial, para terceros. Finalmente, se acordó publicar la incoación del recurso en los boletines oficiales del Estado y del País Vasco.</w:t>
      </w:r>
    </w:p>
    <w:p w:rsidR="00D06117" w:rsidRDefault="00D06117" w:rsidP="00D06117">
      <w:pPr>
        <w:pStyle w:val="TextoNormal"/>
      </w:pPr>
    </w:p>
    <w:p w:rsidR="00D06117" w:rsidRDefault="00D06117" w:rsidP="00D06117">
      <w:pPr>
        <w:pStyle w:val="TextoNormal"/>
      </w:pPr>
      <w:r>
        <w:t>Esta providencia se publicó en el “Boletín Oficial del Estado” núm. 240, de 7 de octubre de 1998, rectificándose los errores padecidos mediante edicto insertado en el “Boletín Oficial del Estado” núm. 249, de 17 de octubre, y en el “Boletín Oficial del País Vasco” núm. 194, de 13 de octubre de 1998.</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registrado en este Tribunal Constitucional el 9 de octubre de 1998, el Presidente del Congreso de los Diputados comunicó que la Mesa de la Cámara había acordado no personarse ni formular alegaciones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En esa misma fecha el Letrado de los servicios jurídicos centrales de la Administración de la Comunidad Autónoma del País Vasco presentó escrito interesando que se le tuviera por personado en la representación que ostenta, al tiempo que solicitaba la ampliación del plazo otorgado para formular alegaciones.</w:t>
      </w:r>
    </w:p>
    <w:p w:rsidR="00D06117" w:rsidRDefault="00D06117" w:rsidP="00D06117">
      <w:pPr>
        <w:pStyle w:val="TextoNormal"/>
      </w:pPr>
    </w:p>
    <w:p w:rsidR="00D06117" w:rsidRDefault="00D06117" w:rsidP="00D06117">
      <w:pPr>
        <w:pStyle w:val="TextoNormal"/>
      </w:pPr>
      <w:r>
        <w:t>Por proveído de 13 de octubre de 1998 la Sección Cuarta de este Tribunal tuvo por personado al Gobierno Vasco en la representación del Letrado antes citado, a quien se concedió una ampliación del plazo para formular alegaciones de ocho días a contar desde el siguiente al de expiración del ordinario.</w:t>
      </w:r>
    </w:p>
    <w:p w:rsidR="00D06117" w:rsidRDefault="00D06117" w:rsidP="00D06117">
      <w:pPr>
        <w:pStyle w:val="TextoNormal"/>
      </w:pPr>
    </w:p>
    <w:p w:rsidR="00D06117" w:rsidRDefault="00D06117" w:rsidP="00D06117">
      <w:pPr>
        <w:pStyle w:val="TextoNormal"/>
      </w:pPr>
      <w:r w:rsidRPr="00D06117">
        <w:rPr>
          <w:rStyle w:val="NumeroAFNegritaCaracter"/>
        </w:rPr>
        <w:t>5</w:t>
      </w:r>
      <w:r>
        <w:t>. El 17 de octubre de 1998 el Letrado del Parlamento Vasco solicitó que se le tuviera por personado en representación de la Cámara y que se le concediera una prórroga de diez días para la formulación y presentación de alegaciones.</w:t>
      </w:r>
    </w:p>
    <w:p w:rsidR="00D06117" w:rsidRDefault="00D06117" w:rsidP="00D06117">
      <w:pPr>
        <w:pStyle w:val="TextoNormal"/>
      </w:pPr>
    </w:p>
    <w:p w:rsidR="00D06117" w:rsidRDefault="00D06117" w:rsidP="00D06117">
      <w:pPr>
        <w:pStyle w:val="TextoNormal"/>
      </w:pPr>
      <w:r>
        <w:t>Mediante providencia, de 19 de octubre de 1998, se tuvo por personado al Letrado en nombre del Parlamento Vasco, accediéndose a su petición de ampliación del plazo para formular alegaciones en este proceso.</w:t>
      </w:r>
    </w:p>
    <w:p w:rsidR="00D06117" w:rsidRDefault="00D06117" w:rsidP="00D06117">
      <w:pPr>
        <w:pStyle w:val="TextoNormal"/>
      </w:pPr>
    </w:p>
    <w:p w:rsidR="00D06117" w:rsidRDefault="00D06117" w:rsidP="00D06117">
      <w:pPr>
        <w:pStyle w:val="TextoNormal"/>
      </w:pPr>
      <w:r w:rsidRPr="00D06117">
        <w:rPr>
          <w:rStyle w:val="NumeroAFNegritaCaracter"/>
        </w:rPr>
        <w:t>6</w:t>
      </w:r>
      <w:r>
        <w:t>. El día 19 de octubre de 1998 el Presidente del Senado interesó que se tuviera por personada a dicha Cámara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Letrado de la Comunidad Autónoma de Euskadi formuló alegaciones el 3 de noviembre de 1998, interesando la desestimación del presente recurso de inconstitucionalidad, con base en la siguiente argumentación:</w:t>
      </w:r>
    </w:p>
    <w:p w:rsidR="00D06117" w:rsidRDefault="00D06117" w:rsidP="00D06117">
      <w:pPr>
        <w:pStyle w:val="TextoNormal"/>
      </w:pPr>
    </w:p>
    <w:p w:rsidR="00D06117" w:rsidRDefault="00D06117" w:rsidP="00D06117">
      <w:pPr>
        <w:pStyle w:val="TextoNormal"/>
      </w:pPr>
      <w:r>
        <w:t>a) El Letrado autonómico inicia su exposición delimitando los términos del debate y precisando, en este sentido, que la impugnación se refiere sólo al primer inciso del art. 16.6 de la Ley del Parlamento Vasco 14/1998, de 11 de junio, del deporte; y dentro del mismo, “exclusivamente en la parte relativa a la representación internacional del deporte federado vasco por parte de las Federaciones vascas”. La mencionada impugnación se sustenta en que el precepto de la ley vasca invade la competencia estatal exclusiva consistente en la representación del deporte español en su conjunto en el ámbito internacional, competencia que se manifiesta en la participación en competiciones internacionales y en la integración de las entidades deportivas españolas en entidades deportivas de ámbito internacional. El motivo de inconstitucionalidad presupone, pues, “que la proyección internacional del deporte es unitaria, que el deporte sólo puede salir al ámbito internacional como deporte del Estado en su conjunto; lo cual, a su vez, conlleva la negación radical de una proyección internacional del deporte autonómico como tal, con su propia especificidad, esto es, la exclusión de una intervención verdaderamente autónoma de las Comunidades Autónomas en la proyección internacional de su propio deporte”.</w:t>
      </w:r>
    </w:p>
    <w:p w:rsidR="00D06117" w:rsidRDefault="00D06117" w:rsidP="00D06117">
      <w:pPr>
        <w:pStyle w:val="TextoNormal"/>
      </w:pPr>
    </w:p>
    <w:p w:rsidR="00D06117" w:rsidRDefault="00D06117" w:rsidP="00D06117">
      <w:pPr>
        <w:pStyle w:val="TextoNormal"/>
      </w:pPr>
      <w:r>
        <w:t xml:space="preserve">Sostiene el Letrado autonómico que en el escrito rector de este recurso se considera que la intervención autonómica en la proyección exterior de su competencia sobre deporte está suficientemente garantizada mediante las dos fórmulas previstas en la Ley 10/1990, del deporte: integración de las federaciones vascas en las españolas y posibilidad de que aquéllas salgan al ámbito internacional en los casos previstos por la normativa estatal y con la autorización de la Administración del Estado. Sin embargo, “la referida integración conlleva </w:t>
      </w:r>
      <w:r>
        <w:lastRenderedPageBreak/>
        <w:t>que al ámbito internacional no salga el deporte vasco con su especificidad, sino incorporado al deporte estatal en su conjunto”.</w:t>
      </w:r>
    </w:p>
    <w:p w:rsidR="00D06117" w:rsidRDefault="00D06117" w:rsidP="00D06117">
      <w:pPr>
        <w:pStyle w:val="TextoNormal"/>
      </w:pPr>
    </w:p>
    <w:p w:rsidR="00D06117" w:rsidRDefault="00D06117" w:rsidP="00D06117">
      <w:pPr>
        <w:pStyle w:val="TextoNormal"/>
      </w:pPr>
      <w:r>
        <w:t>Los títulos competenciales aducidos por el Abogado del Estado para fundamentar la competencia estatal para la representación internacional unitaria del deporte estatal no otorgan, en realidad, dicha competencia, planteándose por el Abogado del Estado, implícitamente, la incompatibilidad entre la norma autonómica impugnada y la Ley estatal del deporte que, sin embargo, subraya el Letrado, no es parámetro de constitucionalidad.</w:t>
      </w:r>
    </w:p>
    <w:p w:rsidR="00D06117" w:rsidRDefault="00D06117" w:rsidP="00D06117">
      <w:pPr>
        <w:pStyle w:val="TextoNormal"/>
      </w:pPr>
    </w:p>
    <w:p w:rsidR="00D06117" w:rsidRDefault="00D06117" w:rsidP="00D06117">
      <w:pPr>
        <w:pStyle w:val="TextoNormal"/>
      </w:pPr>
      <w:r>
        <w:t>Antes de abordar el análisis de los títulos competenciales aducidos de contrario por el Abogado del Estado, el Letrado de la Comunidad Autónoma del País Vasco recuerda que “al hablar de representación o proyección internacional del deporte nos estamos refiriendo, fundamentalmente, a la participación de entidades deportivas privadas en competiciones de ámbito internacional organizadas por entes privados, y a su integración en entidades deportivas, igualmente privadas, cuya actuación no se circunscribe al territorio de un Estado”. A ello se añade el matiz de que la competencia autonómica para configurar la representación internacional del deporte vasco como tal no excluye a la estatal; “lo que excluye es que esta última representación deba ser forzosamente, imperativamente, unitaria”.</w:t>
      </w:r>
    </w:p>
    <w:p w:rsidR="00D06117" w:rsidRDefault="00D06117" w:rsidP="00D06117">
      <w:pPr>
        <w:pStyle w:val="TextoNormal"/>
      </w:pPr>
    </w:p>
    <w:p w:rsidR="00D06117" w:rsidRDefault="00D06117" w:rsidP="00D06117">
      <w:pPr>
        <w:pStyle w:val="TextoNormal"/>
      </w:pPr>
      <w:r>
        <w:t>b) Seguidamente las alegaciones se centran en dar respuesta a la invocación del título competencial “relaciones internacionales” del art. 149.1.3 CE como fundamento de la inconstitucionalidad del precepto, para lo cual se parte del estudio de la doctrina constitucional dictada acerca de esta materia: en particular, de la establecida en las SSTC 1/1986, de 10 de enero; 17/1991, de 31 de enero; y 165/1994, de 26 de mayo.</w:t>
      </w:r>
    </w:p>
    <w:p w:rsidR="00D06117" w:rsidRDefault="00D06117" w:rsidP="00D06117">
      <w:pPr>
        <w:pStyle w:val="TextoNormal"/>
      </w:pPr>
    </w:p>
    <w:p w:rsidR="00D06117" w:rsidRDefault="00D06117" w:rsidP="00D06117">
      <w:pPr>
        <w:pStyle w:val="TextoNormal"/>
      </w:pPr>
      <w:r>
        <w:t>En la primera de las resoluciones citadas, subraya el Letrado autonómico, el Tribunal Constitucional comienza reconociendo que la proyección exterior de las Comunidades Autónomas es consustancial a su autonomía política, pudiendo realizar actividades no ya sólo fuera de su territorio, sino incluso fuera de los límites territoriales de España, encontrándose su límite en la competencia del Estado ex art. 149.1.3 CE. El alcance de esta competencia estatal se realiza, primero, señalando que la dimensión externa de un asunto no puede servir para realizar una interpretación expansiva del art. 149.1.3 CE, siendo objeto de aquella reserva las relaciones entre sujetos internacionales regidas por el Derecho internacional como la celebración de tratados (ius contrahendi), representación exterior (ius legationis), asunción de obligaciones internacionales y responsabilidad internacional del Estado. Consecuentemente, las Comunidades Autónomas no pueden concertar tratados con Estados soberanos y Organizaciones internacionales gubernamentales, ni “establecer órganos permanentes de representación” ante esas mismas instancias, lo que supone entender el ius legationis en términos estrictos, ceñido a las formas de representación que se den ante sujetos de Derecho internacional y sometidas a un estatuto internacional.</w:t>
      </w:r>
    </w:p>
    <w:p w:rsidR="00D06117" w:rsidRDefault="00D06117" w:rsidP="00D06117">
      <w:pPr>
        <w:pStyle w:val="TextoNormal"/>
      </w:pPr>
    </w:p>
    <w:p w:rsidR="00D06117" w:rsidRDefault="00D06117" w:rsidP="00D06117">
      <w:pPr>
        <w:pStyle w:val="TextoNormal"/>
      </w:pPr>
      <w:r>
        <w:t xml:space="preserve">Asimismo, el Tribunal determina que el Estado puede establecer “medidas que regulen y coordinen las actividades con proyección externa de las Comunidades Autónomas”. Esta posibilidad de actuación estatal no se contempla como un contenido de las facultades integrantes del concepto “relaciones internacionales” sino, siempre en opinión del Letrado de la Comunidad Autónoma de Euskadi, “como arbitrio preventivo para impedir que las Comunidades Autónomas, a través del ejercicio de su propio poder de relevancia internacional, </w:t>
      </w:r>
      <w:r>
        <w:lastRenderedPageBreak/>
        <w:t>perturben o condicionen el ejercicio de la competencia del Estado sobre relaciones internacionales”. Se trata, por tanto, de “una garantía preventiva del ejercicio normal de la competencia estatal”. Ello conlleva que la puesta en marcha de esta posibilidad tenga como presupuesto la existencia real de un riesgo de perturbación de la competencia estatal sobre relaciones internacionales derivado del ejercicio, por parte de las Comunidades Autónomas, de su poder de proyección internacional y que debe ser proporcional al riesgo y a la finalidad de conjurarlo.</w:t>
      </w:r>
    </w:p>
    <w:p w:rsidR="00D06117" w:rsidRDefault="00D06117" w:rsidP="00D06117">
      <w:pPr>
        <w:pStyle w:val="TextoNormal"/>
      </w:pPr>
    </w:p>
    <w:p w:rsidR="00D06117" w:rsidRDefault="00D06117" w:rsidP="00D06117">
      <w:pPr>
        <w:pStyle w:val="TextoNormal"/>
      </w:pPr>
      <w:r>
        <w:t>Para concluir las consideraciones sobre la STC 165/1994, el Letrado autonómico se refiere al concepto de “política exterior” manejado por el Tribunal Constitucional, en su opinión, de una forma no tan precisa como el de relaciones internacionales, A este respecto señala que la dirección de la política exterior que corresponde al Estado no es otra cosa que la acción política del Gobierno llevada a cabo con el instrumento de las relaciones internacionales a que se refiere el art. 149.1.3 CE. No se otorgan, por tanto, otras potestades y facultades distintas de las que corresponden a este título competencial y, por ello, el Tribunal no usa el concepto “política exterior” para definir el contenido de la competencia estatal ex art. 149.1.3 CE, sino únicamente para precisar el objeto y alcance de esa garantía preventiva del ejercicio pleno de la competencia estatal de la que se ha hablado. Consecuentemente, la única política exterior que puede hacer el Estado es la que lleva a cabo a través del título “relaciones internacionales” y, por ende, no puede realizar acciones que no sean relaciones internacionales so pretexto de que dirige la política exterior.</w:t>
      </w:r>
    </w:p>
    <w:p w:rsidR="00D06117" w:rsidRDefault="00D06117" w:rsidP="00D06117">
      <w:pPr>
        <w:pStyle w:val="TextoNormal"/>
      </w:pPr>
    </w:p>
    <w:p w:rsidR="00D06117" w:rsidRDefault="00D06117" w:rsidP="00D06117">
      <w:pPr>
        <w:pStyle w:val="TextoNormal"/>
      </w:pPr>
      <w:r>
        <w:t>Por lo que respecta a la doctrina precedente asentada en la STC 17/1991, en relación con la promoción exterior de la competencia propia, el Letrado autonómico destaca que el Tribunal rechazó que pudiera ampararse en el título del art. 149.1.3 CE la atribución al Estado de la competencia para la difusión internacional del patrimonio histórico, así como el intercambio de información cultural, técnica y científica con otros Estados y Organismos internacionales; pues, de ser así, se cercenaría la competencia autonómica en la protección del patrimonio cultural.</w:t>
      </w:r>
    </w:p>
    <w:p w:rsidR="00D06117" w:rsidRDefault="00D06117" w:rsidP="00D06117">
      <w:pPr>
        <w:pStyle w:val="TextoNormal"/>
      </w:pPr>
    </w:p>
    <w:p w:rsidR="00D06117" w:rsidRDefault="00D06117" w:rsidP="00D06117">
      <w:pPr>
        <w:pStyle w:val="TextoNormal"/>
      </w:pPr>
      <w:r>
        <w:t>Finalmente, el Letrado autonómico trae a colación la STC 1/1986, invocada por el Abogado del Estado, para apuntar, en primer lugar, que en ella el Tribunal no se pronunció en absoluto sobre la incidencia del art. 149.1.3 CE en la proyección internacional del deporte; y, en segundo lugar, que la apelación a “los intereses propios del deporte federado español en su conjunto” no permite deducir una doctrina constitucional clara sobre la distribución de competencias en materia de organización deportiva y, concretamente, en el aspecto de la proyección internacional del deporte, como pretende el Abogado del Estado. La tesis central de la resolución consiste en que el control o supervisión de la actuación de un ente deportivo de ámbito estatal supera el interés autonómico y, por ello, los límites de la competencia autonómica sobre deporte. Hay que tener en cuenta, subraya el Letrado, que lo discutido fue, simplemente, qué Administración ostentaba competencia para supervisar la decisión de la federación española, concluyendo el Tribunal que correspondía a la estatal por el ámbito supraautonómico de la federación concernida. La mención a los intereses generales del deporte español se hizo para significar que el ámbito de intereses de las federaciones españolas supera el autonómico y no para fundar una eventual competencia estatal para condicionar la participación de las Comunidades Autónomas en la organización de la proyección internacional de su propio deporte.</w:t>
      </w:r>
    </w:p>
    <w:p w:rsidR="00D06117" w:rsidRDefault="00D06117" w:rsidP="00D06117">
      <w:pPr>
        <w:pStyle w:val="TextoNormal"/>
      </w:pPr>
    </w:p>
    <w:p w:rsidR="00D06117" w:rsidRDefault="00D06117" w:rsidP="00D06117">
      <w:pPr>
        <w:pStyle w:val="TextoNormal"/>
      </w:pPr>
      <w:r>
        <w:lastRenderedPageBreak/>
        <w:t>A la luz de esta doctrina y teniendo en cuenta que el art. 16.6 de la Ley del deporte vasco tiene por objeto la actuación de entes asociativos privados de ámbito autonómico en el ámbito internacional —haciendo notar que esa misma naturaleza privada es predicable de las federaciones internacionales y de otras entidades como el Comité Olímpico Internacional—, determinándose por la ley vasca que cuando esos entes privados vascos realizan esas actividades inter privatos, cumplen la función pública de representar en el ámbito internacional privado al deporte vasco; resulta evidente, según el Letrado autonómico, que se trata de una actividad de promoción internacional de la competencia autonómica sobre deporte (art. 10.36 del Estatuto de Autonomía para el País Vasco: EAPV) o, si se quiere, sobre deporte en relación con la cultura (art. 10.17 del cuerpo normativo). Se trata, pues, de una acción autonómica que se integra en el contenido más elemental de la posibilidad, reconocida por el Tribunal Constitucional, de proyección internacional de la autonomía política de las Comunidades Autónomas. La norma autonómica no invade la competencia estatal porque no contempla relaciones entre Estados o sujetos con personalidad jurídica internacional regidas por el Derecho internacional; tampoco otorga a las federaciones vascas una representación que excluya o condicione el ius legationis del Estado ni, en fin, les encomienda la celebración de tratados internacionales (ius contrahendi) o la realización de actividades que puedan comprometer la responsabilidad de Derecho internacional.</w:t>
      </w:r>
    </w:p>
    <w:p w:rsidR="00D06117" w:rsidRDefault="00D06117" w:rsidP="00D06117">
      <w:pPr>
        <w:pStyle w:val="TextoNormal"/>
      </w:pPr>
    </w:p>
    <w:p w:rsidR="00D06117" w:rsidRDefault="00D06117" w:rsidP="00D06117">
      <w:pPr>
        <w:pStyle w:val="TextoNormal"/>
      </w:pPr>
      <w:r>
        <w:t>Siempre en opinión del Letrado autonómico, el Abogado del Estado, tras reprochar a la norma autonómica la invasión del espacio competencial del art. 149.1.3 CE, apunta que la representación unitaria del deporte del Estado en su conjunto que establece la Ley 10/1990 es expresión de la garantía preventiva recogida en la STC 165/1994, acaso porque es consciente de la debilidad de su argumentación. Frente a ello sostiene que la representación unitaria del deporte del Estado en su conjunto, a través de las federaciones españolas, anula por completo y de manera permanente la representación autónoma del deporte vaco como tal, a través de las federaciones vascas, cuando la garantía preventiva de referencia no permite la exclusión total, general y permanente de las competencias autonómicas en la materia de que se trate. Las intervenciones estatales apriorísticas y generales que ampara esta garantía sólo pueden ser las consistentes en los métodos de información recíproca que permitan comprobar la existencia puntual del riesgo referido, siendo evidente que lo postulado en el recurso rebasa este límite. Ante esta situación reitera el Letrado autonómico que estamos ante la promoción del deporte mediante la competición internacional entre sujetos privados y de la participación de esos sujetos en foros internacionales donde se trata de la ordenación de esa competición, actuación que difícilmente puede afectar a la política exterior del Estado.</w:t>
      </w:r>
    </w:p>
    <w:p w:rsidR="00D06117" w:rsidRDefault="00D06117" w:rsidP="00D06117">
      <w:pPr>
        <w:pStyle w:val="TextoNormal"/>
      </w:pPr>
    </w:p>
    <w:p w:rsidR="00D06117" w:rsidRDefault="00D06117" w:rsidP="00D06117">
      <w:pPr>
        <w:pStyle w:val="TextoNormal"/>
      </w:pPr>
      <w:r>
        <w:t>En cuanto al título “cultura” del art. 149.2 CE, el Letrado autonómico achaca al recurso del Abogado del Estado el no haber expuesto con claridad el argumento sustentador de la inconstitucionalidad del precepto legal por invasión de esta competencia; entrando a continuación a examinar la doctrina de este Tribunal Constitucional contenida, entre otras, en las SSTC 49/1984, 157/1985, 106/1987, 17/1991, etc.</w:t>
      </w:r>
    </w:p>
    <w:p w:rsidR="00D06117" w:rsidRDefault="00D06117" w:rsidP="00D06117">
      <w:pPr>
        <w:pStyle w:val="TextoNormal"/>
      </w:pPr>
    </w:p>
    <w:p w:rsidR="00D06117" w:rsidRDefault="00D06117" w:rsidP="00D06117">
      <w:pPr>
        <w:pStyle w:val="TextoNormal"/>
      </w:pPr>
      <w:r>
        <w:t xml:space="preserve">Se recuerda, en primer lugar, que el Tribunal Constitucional tiene reiterado que “la competencia sobre cultura es una competencia concurrente” que corresponde, tanto al Estado como a las Comunidades Autónomas; reconociéndose que en materia cultural es destacada la acción autonómica como o “algo inherente a la Comunidad” (STC 49/1984, de 5 de abril). Al parecer del Letrado Autonómico, la intervención principal en la ordenación y protección </w:t>
      </w:r>
      <w:r>
        <w:lastRenderedPageBreak/>
        <w:t>de la cultura la debe tener la Comunidad Autónoma, siendo la intervención del Estado secundaria y complementaria. Lo que al Estado se le encomienda en el art. 149.2 CE es, primero, respetar la pluralidad cultural y, segundo, intervenir protegiendo la cultura, cualquier cultura y todas las culturas, cuando su acción sea precisa para complementar la tarea de las Comunidades Autónomas. Si el constituyente hubiese detectado alguna necesidad de uniformidad en materia de cultura, no habría optado por la concurrencia competencial sino que hubiera atribuido la materia al Estado, bien con carácter exclusivo, bien mediante la fijación de las bases.</w:t>
      </w:r>
    </w:p>
    <w:p w:rsidR="00D06117" w:rsidRDefault="00D06117" w:rsidP="00D06117">
      <w:pPr>
        <w:pStyle w:val="TextoNormal"/>
      </w:pPr>
    </w:p>
    <w:p w:rsidR="00D06117" w:rsidRDefault="00D06117" w:rsidP="00D06117">
      <w:pPr>
        <w:pStyle w:val="TextoNormal"/>
      </w:pPr>
      <w:r>
        <w:t>Por otra parte, subraya el Letrado, el Tribunal Constitucional ha mantenido una doctrina unánime tendente a limitar la potencialidad expansiva del título estatal genérico sobre cultura, tal como se expresó, entre otras, en la STC 109/1996, de 13 de junio, en relación a museos que no eran de titularidad estatal, en la que se afirmaba que “la competencia sobre cultura no puede convertirse en un título universal desde el que puedan realizarse indistintamente todas y las mismas funciones que pueden realizarse desde otras competencias específicas que tienen aspectos culturales”. Al entender del Letrado existen unos límites a la intervención estatal en esta materia que se encuentran implícitos en esta doctrina constitucional. En primer lugar menciona la necesidad de comprobar si la materia reservada a la competencia autonómica es exclusivamente una manifestación concreta de la cultura o si tiene otras vertientes no culturales, pues en este caso la limitación debería ceñirse sólo a los aspectos culturales. En segundo lugar indica que cuando un aspecto concreto de la cultura ha sido reservado a la competencia autonómica, el carácter secundario de la intervención estatal en materia cultural se agudiza. Y, finalmente, hace hincapié en que la intervención estatal no sólo no puede anular competencias autonómicas sobre el aspecto cultural específico sino que tampoco puede desconocer la competencia autonómica sobre la cultura en general, pretendiendo exclusividad o uniformidad. Nuevamente hace referencia a la STC 17/1991, para recordar que, aunque el Abogado del Estado sostuvo en aquella ocasión la competencia estatal con una argumentación similar a la ahora empleada (a saber, que el interés general del Estado exige una difusión internacional unitaria de la cultura), el Tribunal descartó que esa difusión fuese incardinable en los títulos de los arts. 149.1.3 y 149.2 CE.</w:t>
      </w:r>
    </w:p>
    <w:p w:rsidR="00D06117" w:rsidRDefault="00D06117" w:rsidP="00D06117">
      <w:pPr>
        <w:pStyle w:val="TextoNormal"/>
      </w:pPr>
    </w:p>
    <w:p w:rsidR="00D06117" w:rsidRDefault="00D06117" w:rsidP="00D06117">
      <w:pPr>
        <w:pStyle w:val="TextoNormal"/>
      </w:pPr>
      <w:r>
        <w:t>A la luz de esta doctrina, el Letrado autonómico sostiene que nos hallamos ante un supuesto en el que la Comunidad Autónoma del País Vasco, además de su competencia sobre cultura (art. 10.17 EAPV) ostenta la competencia exclusiva sobre deporte (art. 10.36 EAPV), materia en la que el Estado carece de un título específico. Por otro lado, el deporte es cultura, pero no es sólo cultura, por lo que la competencia autonómica no se limita a la vertiente cultural; la actividad autonómica es una actividad de promoción exterior. La interpretación que hace el Abogado del Estado de la competencia estatal en la materia y que funda su impugnación de la norma autonómica, conlleva la obligatoriedad de una promoción exterior del deporte unitaria, anulatoria de la promoción autónoma del deporte autonómico como tal.</w:t>
      </w:r>
    </w:p>
    <w:p w:rsidR="00D06117" w:rsidRDefault="00D06117" w:rsidP="00D06117">
      <w:pPr>
        <w:pStyle w:val="TextoNormal"/>
      </w:pPr>
    </w:p>
    <w:p w:rsidR="00D06117" w:rsidRDefault="00D06117" w:rsidP="00D06117">
      <w:pPr>
        <w:pStyle w:val="TextoNormal"/>
      </w:pPr>
      <w:r>
        <w:t xml:space="preserve">Teniendo lo anterior argumenta el Letrado que la promoción internacional del deporte, a través de la participación en competiciones internacionales y el contacto con entidades deportivas de ámbito internacional, es promoción de un hecho cultural, pero también de una política en materia deportiva, que trasciende lo cultural por lo que la intervención defendida por el Abogado del Estado sobrepasa los límites del 149.2 CE. El aspecto cultural del deporte está específicamente reservado a la Comunidad Autónoma, por lo que la intervención </w:t>
      </w:r>
      <w:r>
        <w:lastRenderedPageBreak/>
        <w:t>del Estado será secundaria y reducida y deberá estar justificada por la presencia evidente de una necesidad de tratamiento general no para lograr la uniformidad sino para proteger la cultura, que es plural.</w:t>
      </w:r>
    </w:p>
    <w:p w:rsidR="00D06117" w:rsidRDefault="00D06117" w:rsidP="00D06117">
      <w:pPr>
        <w:pStyle w:val="TextoNormal"/>
      </w:pPr>
    </w:p>
    <w:p w:rsidR="00D06117" w:rsidRDefault="00D06117" w:rsidP="00D06117">
      <w:pPr>
        <w:pStyle w:val="TextoNormal"/>
      </w:pPr>
      <w:r>
        <w:t>Pues bien, en este caso, ni existe esa necesidad de intervención ni la intervención estatal que se defiende protege la cultura. En este sentido, la proyección internacional unitaria del deporte del Estado en su conjunto es una uniformación cultural que niega la pluralidad cultural que reconoce la Constitución y reduce a la nada la política deportiva de las Comunidades Autónomas. La proyección internacional autónoma y singularizada se hace más necesaria, si cabe, respecto de aquellas modalidades deportivas que contribuyen a definir la singularidad cultural de un pueblo o nación. No sólo las llamadas tradicionales, integradas desde antiguo en la cultura de una nación (en este caso, la pelota vasca o los Herri-Kirolak, deportes populares vascos), sino también las modalidades deportivas que tienen una especial presencia, en términos cuantitativos y cualitativos, en esa nación (por ejemplo, ciclismo en el País Vasco, tenis y motociclismo en Cataluña). Ello no impide que el Estado promocione internacionalmente el deporte, desde una perspectiva cultural, pero sí que elimine las diferencias y los matices.</w:t>
      </w:r>
    </w:p>
    <w:p w:rsidR="00D06117" w:rsidRDefault="00D06117" w:rsidP="00D06117">
      <w:pPr>
        <w:pStyle w:val="TextoNormal"/>
      </w:pPr>
    </w:p>
    <w:p w:rsidR="00D06117" w:rsidRDefault="00D06117" w:rsidP="00D06117">
      <w:pPr>
        <w:pStyle w:val="TextoNormal"/>
      </w:pPr>
      <w:r>
        <w:t>Por lo que atañe a la invocación del límite territorial de las competencias autonómicas, se apunta que, al carecer de un desarrollo específico en el escrito de demanda, “habrá que suponer que esa extralimitación la deriva (el Abogado del Estado) de la dimensión internacional del asunto; y, si es así, lo mismo que se ha argumentado para defender el precepto impugnado al analizar la materia competencial ‘relaciones internacionales’ sirve ahora para negar la referida extralimitación competencial”. A ello se añade la doctrina constitucional que relativiza el limite territorial de las competencias autonómicas afirmando que negar toda proyección extraterritorial al ejercicio de dichas competencias es tanto como negar la existencia misma de éstas (y cita, entre otras, las SSTC 37/1981, 165/1985 y 48/1988).</w:t>
      </w:r>
    </w:p>
    <w:p w:rsidR="00D06117" w:rsidRDefault="00D06117" w:rsidP="00D06117">
      <w:pPr>
        <w:pStyle w:val="TextoNormal"/>
      </w:pPr>
    </w:p>
    <w:p w:rsidR="00D06117" w:rsidRDefault="00D06117" w:rsidP="00D06117">
      <w:pPr>
        <w:pStyle w:val="TextoNormal"/>
      </w:pPr>
      <w:r w:rsidRPr="00D06117">
        <w:rPr>
          <w:rStyle w:val="NumeroAFNegritaCaracter"/>
        </w:rPr>
        <w:t>8</w:t>
      </w:r>
      <w:r>
        <w:t>. El escrito de alegaciones del Letrado del Parlamento Vasco tuvo entrada en el Registro General de este Tribunal Constitucional el 4 de noviembre de 1998, solicitándose la desestimación del recurso y el levantamiento de la suspensión del precepto impugnado.</w:t>
      </w:r>
    </w:p>
    <w:p w:rsidR="00D06117" w:rsidRDefault="00D06117" w:rsidP="00D06117">
      <w:pPr>
        <w:pStyle w:val="TextoNormal"/>
      </w:pPr>
    </w:p>
    <w:p w:rsidR="00D06117" w:rsidRDefault="00D06117" w:rsidP="00D06117">
      <w:pPr>
        <w:pStyle w:val="TextoNormal"/>
      </w:pPr>
      <w:r>
        <w:t>Las alegaciones de carácter sustantivo se abren con la determinación del objeto del recurso, señalando a este respecto el Letrado parlamentario que el Abogado del Estado propugna aquí una representación deportiva unitaria del Estado en el ámbito internacional, excluyente de cualquier posible representación deportiva internacional que sea expresión, manifestación o representación de una Comunidad Autónoma. Y esta tesis se sustenta en la Ley 10/1990, del deporte, que por no integrarse en el bloque de la constitucionalidad, debe quedar al margen de este proceso constitucional.</w:t>
      </w:r>
    </w:p>
    <w:p w:rsidR="00D06117" w:rsidRDefault="00D06117" w:rsidP="00D06117">
      <w:pPr>
        <w:pStyle w:val="TextoNormal"/>
      </w:pPr>
    </w:p>
    <w:p w:rsidR="00D06117" w:rsidRDefault="00D06117" w:rsidP="00D06117">
      <w:pPr>
        <w:pStyle w:val="TextoNormal"/>
      </w:pPr>
      <w:r>
        <w:t xml:space="preserve">Seguidamente se refiere a la naturaleza de las federaciones deportivas, recordando que son organizaciones de naturaleza privada y que las relaciones deportivas no se establecen entre Estados sino entre asociaciones privadas de distintos ámbitos. Los sujetos que participan en las competiciones deportivas internacionales no son los Estados, ni siquiera necesariamente las selecciones nacionales. Así, en el art. 34 de la Carta Olímpica se dice que “la expresión país significa todo país, Estado, territorio o porción de territorio que el C.I.O. considere, según su absoluta discreción, como zona de jurisdicción de un Comité Nacional Olímpico reconocido”. Y es que no puede olvidarse que el deporte es una actividad libre y </w:t>
      </w:r>
      <w:r>
        <w:lastRenderedPageBreak/>
        <w:t>voluntaria y que la limitación de la libertad, tanto de un individuo como de un grupo no puede ampararse en razones de tipo político. Una limitación de la actividad deportiva de una Comunidad Autónoma por no ser un Estado comportaría, por tanto, una discriminación por razones políticas.</w:t>
      </w:r>
    </w:p>
    <w:p w:rsidR="00D06117" w:rsidRDefault="00D06117" w:rsidP="00D06117">
      <w:pPr>
        <w:pStyle w:val="TextoNormal"/>
      </w:pPr>
    </w:p>
    <w:p w:rsidR="00D06117" w:rsidRDefault="00D06117" w:rsidP="00D06117">
      <w:pPr>
        <w:pStyle w:val="TextoNormal"/>
      </w:pPr>
      <w:r>
        <w:t>De conformidad con la naturaleza privada de las asociaciones deportivas debe concluirse que no pueden constituirse en sujetos de “relaciones internacionales”, por lo que todo intento de encuadrar sus actividades fuera del ámbito del Estado como “relaciones internacionales” comporta una interpretación expansiva del art. 149.1.3 CE y, en este caso, subsume en la competencia estatal la competencia exclusiva sobre deporte de la Comunidad Autónoma del País Vasco. Esta idea tiene pleno apoyo en la doctrina sentada por la STC 165/1994, en la que el Tribunal Constitucional conectó el título competencial estatal con determinadas características del ordenamiento internacional, como son el ius contrahendi y el ius legationis, así como con la creación de obligaciones internacionales y con la responsabilidad del Estado en el exterior.</w:t>
      </w:r>
    </w:p>
    <w:p w:rsidR="00D06117" w:rsidRDefault="00D06117" w:rsidP="00D06117">
      <w:pPr>
        <w:pStyle w:val="TextoNormal"/>
      </w:pPr>
    </w:p>
    <w:p w:rsidR="00D06117" w:rsidRDefault="00D06117" w:rsidP="00D06117">
      <w:pPr>
        <w:pStyle w:val="TextoNormal"/>
      </w:pPr>
      <w:r>
        <w:t>La doctrina constitucional ha progresado en el sentido de afirmar que allí donde las Comunidades Autónomas ostenten competencias exclusivas debe admitirse también, dentro del marco constitucional, la proyección exterior y la participación de las Comunidades Autónomas en la actividad exterior correspondiente a la competencia, en tanto en cuanto no incida sobre las materias características del Derecho internacional antes mencionadas. Pues bien, a juicio del Letrado del Parlamento vasco, “resulta imposible pensar que la actividad deportiva internacional sea un ejercicio de soberanía, a no ser que concibamos el deporte como una guerra entre países, como ejercicio soberano del ius belli”.</w:t>
      </w:r>
    </w:p>
    <w:p w:rsidR="00D06117" w:rsidRDefault="00D06117" w:rsidP="00D06117">
      <w:pPr>
        <w:pStyle w:val="TextoNormal"/>
      </w:pPr>
    </w:p>
    <w:p w:rsidR="00D06117" w:rsidRDefault="00D06117" w:rsidP="00D06117">
      <w:pPr>
        <w:pStyle w:val="TextoNormal"/>
      </w:pPr>
      <w:r>
        <w:t>En esta misma línea, tras reproducir parcialmente el fundamento jurídico 5 de la STC 165/1994, concluye el Letrado parlamentario que “de cuanto venimos exponiendo se concluye que el campo de las actividades deportivas internacionales no está contemplado en la competencia de ‘relaciones internacionales’ del artículo 149.1.3. Asimismo que a las Comunidades Autónomas el artículo 149.1.3 de la Constitución no les veta actuaciones o actividades exteriores que no infrinjan la reserva estatal que contiene el referido artículo”. A mayor abundamiento, las posibles responsabilidades derivadas de las actividades deportivas están reguladas en el ámbito privado de las asociaciones y federaciones deportivas, sean éstas de carácter internacional, estatal, autonómico, etc., sin que afecten a la responsabilidad del Estado.</w:t>
      </w:r>
    </w:p>
    <w:p w:rsidR="00D06117" w:rsidRDefault="00D06117" w:rsidP="00D06117">
      <w:pPr>
        <w:pStyle w:val="TextoNormal"/>
      </w:pPr>
    </w:p>
    <w:p w:rsidR="00D06117" w:rsidRDefault="00D06117" w:rsidP="00D06117">
      <w:pPr>
        <w:pStyle w:val="TextoNormal"/>
      </w:pPr>
      <w:r>
        <w:t>Tampoco cabe incluir el deporte internacional en la actividad exterior del Gobierno, porque éste no es el sujeto de las actividades deportivas internacionales, sino las respectivas federaciones deportivas. Cuestión distinta es la utilización o la resonancia política que los acontecimientos deportivos tienen en el ámbito internacional, tanto en el sentido aglutinante de los grupos o ámbitos cuya representación deportiva ostentan, cuanto en la promoción de la imagen internacionalmente reconocible de un grupo, sea una autonomía o un Estado. Pero esto, subraya el Letrado parlamentario, no es un problema jurídico, sino un problema político.</w:t>
      </w:r>
    </w:p>
    <w:p w:rsidR="00D06117" w:rsidRDefault="00D06117" w:rsidP="00D06117">
      <w:pPr>
        <w:pStyle w:val="TextoNormal"/>
      </w:pPr>
    </w:p>
    <w:p w:rsidR="00D06117" w:rsidRDefault="00D06117" w:rsidP="00D06117">
      <w:pPr>
        <w:pStyle w:val="TextoNormal"/>
      </w:pPr>
      <w:r>
        <w:t xml:space="preserve">Con respecto a la competencia en materia de cultura (art. 149.2 CE), señala el Letrado parlamentario que la Constitución distingue entre españoles y pueblos de España que tienen </w:t>
      </w:r>
      <w:r>
        <w:lastRenderedPageBreak/>
        <w:t>su propia cultura, que es objeto de protección particular por parte del Estado o Nación española. Se trata, evidentemente, de una competencia concurrente, para la cual la STC 49/1984, de 5 de abril, estableció algunas pautas interpretativas de las que se infiere que la preservación y estímulo de los valores deportivo-culturales del País Vasco afecta principalmente a la Comunidad Autónoma, de tal suerte que la competencia estatal habrá de ser complementaria, pero no sustitutiva de la autonómica. Por todo ello se debe concluir que el deporte, en cuanto manifestación cultural (aspecto que no agota la naturaleza del mismo) debe ser atribuido a la Comunidad Autónoma del País Vasco y que la competencia estatal debe dirigirse a garantizar la pluralidad deportiva pero no a diluir lo diverso en representaciones monolíticas y uniformes que no serían otra cosa que la negación de la pluralidad cultural. En este sentido, remarca el Letrado, que la Ley impugnada es una forma de cristalización de la realidad pluricultural y plurinacional reconocida en la CE que, sin embargo, no cierra la posibilidad de que las federaciones vascas —y deportistas individuales— se integren en ámbitos superiores (tal como prevé expresamente en el art. 27 de la Ley vasca del deporte).</w:t>
      </w:r>
    </w:p>
    <w:p w:rsidR="00D06117" w:rsidRDefault="00D06117" w:rsidP="00D06117">
      <w:pPr>
        <w:pStyle w:val="TextoNormal"/>
      </w:pPr>
    </w:p>
    <w:p w:rsidR="00D06117" w:rsidRDefault="00D06117" w:rsidP="00D06117">
      <w:pPr>
        <w:pStyle w:val="TextoNormal"/>
      </w:pPr>
      <w:r>
        <w:t>Con respecto a la alegada extralimitación territorial, el Letrado del Parlamento Vasco remite la respuesta a lo ya apuntado en relación con la competencia “relaciones internacionales” del art. 149.1.3 CE.</w:t>
      </w:r>
    </w:p>
    <w:p w:rsidR="00D06117" w:rsidRDefault="00D06117" w:rsidP="00D06117">
      <w:pPr>
        <w:pStyle w:val="TextoNormal"/>
      </w:pPr>
    </w:p>
    <w:p w:rsidR="00D06117" w:rsidRDefault="00D06117" w:rsidP="00D06117">
      <w:pPr>
        <w:pStyle w:val="TextoNormal"/>
      </w:pPr>
      <w:r>
        <w:t>El escrito concluye con la solicitud de que se desestime el presente recurso de inconstitucionalidad. Asimismo, mediante otrosí se interesa que se dicte Auto por el que se levante la suspensión del precepto legal impugnado.</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8 de octubre de 1998, la Sección Tercera acordó que, próximo a finalizar el plazo de los cinco meses que señala el art. 161.2 CE desde que se produjo la suspensión de los preceptos impugnados, se oyese a las partes personadas para que en el plazo de cinco días expusieran lo que considerasen conveniente acerca del mantenimiento o levantamiento de dicha suspensión.</w:t>
      </w:r>
    </w:p>
    <w:p w:rsidR="00D06117" w:rsidRDefault="00D06117" w:rsidP="00D06117">
      <w:pPr>
        <w:pStyle w:val="TextoNormal"/>
      </w:pPr>
    </w:p>
    <w:p w:rsidR="00D06117" w:rsidRDefault="00D06117" w:rsidP="00D06117">
      <w:pPr>
        <w:pStyle w:val="TextoNormal"/>
      </w:pPr>
      <w:r>
        <w:t>Evacuado el trámite conferido por las partes, este Tribunal acordó, por Auto 35/1999, de 9 de febrero, el mantenimiento de la suspensión del precepto legal impugnado. Dicha decisión fue publicada en el “Boletín Oficial del Estado” núm. 44, de 20 de febrero de 1999, y en el “Boletín Oficial del País Vasco” núm. 41, de 1 de marzo de 1999.</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17 de abril de 2012 se señaló para la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inconstitucionalidad, interpuesto por el Presidente del Gobierno, tiene como objeto la impugnación de la primera frase del art. 16.6 de la Ley del Parlamento Vasco 14/1998, de 11 de junio, del deporte, según la cual “la federación vasca de cada modalidad deportiva será la única representante del deporte federado vasco en el ámbito estatal e internacional”.</w:t>
      </w:r>
    </w:p>
    <w:p w:rsidR="00D06117" w:rsidRDefault="00D06117" w:rsidP="00D06117">
      <w:pPr>
        <w:pStyle w:val="TextoNormal"/>
      </w:pPr>
    </w:p>
    <w:p w:rsidR="00D06117" w:rsidRDefault="00D06117" w:rsidP="00D06117">
      <w:pPr>
        <w:pStyle w:val="TextoNormal"/>
      </w:pPr>
      <w:r>
        <w:lastRenderedPageBreak/>
        <w:t>El recurso se plantea por motivos estrictamente competenciales pues el Abogado del Estado considera que este precepto legal autonómico invade las competencias estatales en materia de relaciones internacionales (art. 149.1.3 CE) y de cultura (art. 149.2 CE). El representante del Presidente del Gobierno señala, además, que el art. 10.36 del Estatuto de Autonomía para el País Vasco (EAPV) (competencia exclusiva en materia de deporte) no legitima el ejercicio de competencias autonómicas a nivel internacional y que la exclusividad de la representación del deporte federado vasco en el exterior, que el precepto impugnado atribuye en exclusiva a las federaciones deportivas vascas, es inconstitucional porque desconoce el límite territorial implícito a las competencias autonómicas impidiendo, a su vez, el ejercicio de la competencia necesariamente estatal de representación del deporte federado español en su conjunto en el ámbito internacional, y menoscaba el sistema de representación en cascada previsto por el legislador estatal.</w:t>
      </w:r>
    </w:p>
    <w:p w:rsidR="00D06117" w:rsidRDefault="00D06117" w:rsidP="00D06117">
      <w:pPr>
        <w:pStyle w:val="TextoNormal"/>
      </w:pPr>
    </w:p>
    <w:p w:rsidR="00D06117" w:rsidRDefault="00D06117" w:rsidP="00D06117">
      <w:pPr>
        <w:pStyle w:val="TextoNormal"/>
      </w:pPr>
      <w:r>
        <w:t>Por su parte, tanto el Letrado de la Comunidad Autónoma del País Vasco como el Letrado del Parlamento Vasco defienden la adecuación del precepto impugnado al orden constitucional y estatutario de distribución de competencias, aduciendo que ninguno de los títulos competenciales invocados por el Abogado del Estado configura una competencia estatal en relación a la pretendida representación unitaria del deporte. En esencia sostienen que el precepto se dicta al amparo de las competencias exclusivas que la Comunidad Autónoma del País Vasco ostenta sobre cultura (art. 10.17 EAPV) y deporte (art. 10.36 EAPV) y que su contenido versa sobre la participación de entidades deportivas privadas en competiciones de ámbito internacional organizadas por entes igualmente privados, como son las federaciones internacionales y el Comité Olímpico Internacional. En particular, el Gobierno Vasco argumenta que la promoción internacional de una actividad privada autonómica no afecta a las políticas exteriores del Estado, ni condiciona el ejercicio de sus competencias, señalando que negar la eficacia extraterritorial de las competencias autonómicas es negar su propia existencia. El Letrado del Parlamento Vasco subraya que no se trata de una representación oficial sino de una representación deportiva, poniendo de relieve que los participantes en confrontaciones deportivas internacionales no son necesariamente representantes de Estados o selecciones nacionales, sino que pueden serlo de cualquier país, territorio, o porción de territorio que se considere como “zona de jurisdicción” de un Comité Nacional Olímpico reconocido.</w:t>
      </w:r>
    </w:p>
    <w:p w:rsidR="00D06117" w:rsidRDefault="00D06117" w:rsidP="00D06117">
      <w:pPr>
        <w:pStyle w:val="TextoNormal"/>
      </w:pPr>
    </w:p>
    <w:p w:rsidR="00D06117" w:rsidRDefault="00D06117" w:rsidP="00D06117">
      <w:pPr>
        <w:pStyle w:val="TextoNormal"/>
      </w:pPr>
      <w:r w:rsidRPr="00D06117">
        <w:rPr>
          <w:rStyle w:val="NumeroAFNegritaCaracter"/>
        </w:rPr>
        <w:t>2</w:t>
      </w:r>
      <w:r>
        <w:t>. Establecidas en estos términos las posiciones de las partes, y con carácter previo al análisis del fondo del asunto, conviene precisar el objeto de este recurso de inconstitucionalidad. Aunque se impugna la totalidad del primer inciso o frase del art. 16.6 de la Ley del deporte del País Vasco, las dudas de constitucionalidad que se plantean en este proceso se circunscriben, sin embargo, a la atribución a las federaciones vascas de la exclusividad de la representación del deporte federado vasco en el ámbito internacional. No se cuestiona, por tanto, la posibilidad de que las federaciones vascas representen al deporte federado vasco en el ámbito internacional sino, únicamente, que dicha representación sea configurada como “exclusiva” —al definirse a las federaciones vascas como “únicas” representantes del deporte federado vasco. Por otro lado, conviene también subrayar que ese carácter “exclusivo” no se discute cuando se refiere a la representación del deporte federado vasco en el ámbito estatal, previsión que también se contiene en el precepto impugnado.</w:t>
      </w:r>
    </w:p>
    <w:p w:rsidR="00D06117" w:rsidRDefault="00D06117" w:rsidP="00D06117">
      <w:pPr>
        <w:pStyle w:val="TextoNormal"/>
      </w:pPr>
    </w:p>
    <w:p w:rsidR="00D06117" w:rsidRDefault="00D06117" w:rsidP="00D06117">
      <w:pPr>
        <w:pStyle w:val="TextoNormal"/>
      </w:pPr>
      <w:r>
        <w:t xml:space="preserve">Por lo tanto, nuestra tarea consiste en determinar si la previsión contenida en el precepto impugnado de la Ley del deporte vasco, en el sentido apuntado, invade las competencias del </w:t>
      </w:r>
      <w:r>
        <w:lastRenderedPageBreak/>
        <w:t>Estado en materia de relaciones internaciones (149.1.3 CE) y de cultura (art. 149.2 CE), suponiendo un ejercicio extralimitado de la competencia autonómica que impide el ejercicio de competencias propias del Estado y quebranta el modelo de organización deportiva piramidal que establece la normativa vigente o si, por el contrario, se trata del normal ejercicio de la competencia que, sobre el deporte, ostenta la Comunidad Autónoma del País Vasco conforme a lo previsto en el art. 10.36 de su Estatuto de Autonomía.</w:t>
      </w:r>
    </w:p>
    <w:p w:rsidR="00D06117" w:rsidRDefault="00D06117" w:rsidP="00D06117">
      <w:pPr>
        <w:pStyle w:val="TextoNormal"/>
      </w:pPr>
    </w:p>
    <w:p w:rsidR="00D06117" w:rsidRDefault="00D06117" w:rsidP="00D06117">
      <w:pPr>
        <w:pStyle w:val="TextoNormal"/>
      </w:pPr>
      <w:r w:rsidRPr="00D06117">
        <w:rPr>
          <w:rStyle w:val="NumeroAFNegritaCaracter"/>
        </w:rPr>
        <w:t>3</w:t>
      </w:r>
      <w:r>
        <w:t>. Delimitado de esta forma el objeto de nuestro enjuiciamiento debemos abordar ahora el encuadramiento competencial de las cuestiones controvertidas, dejando para más adelante la cuestión relativa a la posible extralimitación territorial de la eventual competencia autonómica. Sobre este particular, el Estado considera de aplicación para la resolución del presente proceso constitucional el título competencial relativo a las “relaciones internacionales” del art. 149.1.3 CE, así como el art. 149.2 CE que configura el servicio a la cultura “como deber y atribución esencial” del Estado sin perjuicio de las competencias que correspondan a las Comunidades Autónomas. La Comunidad Autónoma del País Vasco, por su parte, invoca su competencia exclusiva en materia de deporte, según el art. 10.36 EAPV, y sus competencias en materia de cultura según el art. 10.17 EAPV.</w:t>
      </w:r>
    </w:p>
    <w:p w:rsidR="00D06117" w:rsidRDefault="00D06117" w:rsidP="00D06117">
      <w:pPr>
        <w:pStyle w:val="TextoNormal"/>
      </w:pPr>
    </w:p>
    <w:p w:rsidR="00D06117" w:rsidRDefault="00D06117" w:rsidP="00D06117">
      <w:pPr>
        <w:pStyle w:val="TextoNormal"/>
      </w:pPr>
      <w:r w:rsidRPr="00D06117">
        <w:rPr>
          <w:rStyle w:val="NumeroAFNegritaCaracter"/>
        </w:rPr>
        <w:t>4</w:t>
      </w:r>
      <w:r>
        <w:t>. Iniciando nuestro análisis por el título competencial previsto en el art. 149.1.3 CE que invoca el Abogado del Estado conviene recordar nuestra doctrina al respecto, establecida en la STC 165/1994, de 26 de mayo, en la que resolvimos el conflicto positivo de competencia promovido por el Gobierno de la Nación frente al Decreto del Gobierno Vasco que preveía la existencia y el encuadramiento en el Gabinete para asuntos relacionados con las Comunidades Europeas de una Oficina del País Vasco en Bruselas; doctrina que conocen e invocan todas las partes en este proceso, si bien para sostener posiciones de diverso signo, y que recientemente hemos sintetizado en la STC 31/2010, de 28 de junio, (FJ 125).</w:t>
      </w:r>
    </w:p>
    <w:p w:rsidR="00D06117" w:rsidRDefault="00D06117" w:rsidP="00D06117">
      <w:pPr>
        <w:pStyle w:val="TextoNormal"/>
      </w:pPr>
    </w:p>
    <w:p w:rsidR="00D06117" w:rsidRDefault="00D06117" w:rsidP="00D06117">
      <w:pPr>
        <w:pStyle w:val="TextoNormal"/>
      </w:pPr>
      <w:r>
        <w:t>En aquella resolución señalamos que para determinar si existe la posibilidad de que las Comunidades Autónomas realicen actividades que se proyecten fuera de España es preciso partir de la “estructura del Estado autonómico o Estado de las Autonomías”, donde “las Comunidades Autónomas han asumido (con carácter exclusivo, o bien compartido con el Estado) un conjunto de funciones públicas —de normación o de ejecución— que suponen la existencia de un ámbito material propio de actuación”; sin que, a la vista de ese haz de competencias, pueda “en forma alguna excluirse que, para llevar a cabo correctamente las funciones que tenga atribuidas, una Comunidad Autónoma haya de realizar determinadas actividades, no ya sólo fuera de su territorio, sino incluso fuera de los límites territoriales de España” (FJ 3).</w:t>
      </w:r>
    </w:p>
    <w:p w:rsidR="00D06117" w:rsidRDefault="00D06117" w:rsidP="00D06117">
      <w:pPr>
        <w:pStyle w:val="TextoNormal"/>
      </w:pPr>
    </w:p>
    <w:p w:rsidR="00D06117" w:rsidRDefault="00D06117" w:rsidP="00D06117">
      <w:pPr>
        <w:pStyle w:val="TextoNormal"/>
      </w:pPr>
      <w:r>
        <w:t xml:space="preserve">Ahora bien, quedan en todo caso fuera de las competencias autonómicas cualesquiera actividades que puedan encuadrarse en el título “relaciones internacionales” reservado en exclusiva al Estado ex art. 149.1.3 CE. Para especificar el alcance de este título señalamos entonces que, en sentido negativo, las relaciones internacionales “en cuanto materia jurídica, no se identifican en modo alguno con el contenido más amplio que posee dicha expresión en sentido sociológico, ni con cualquier actividad exterior. Ni tampoco, obvio es, con la ‘política exterior’ en cuanto acción política del Gobierno” (FJ 5). Y, en sentido positivo, especificamos que “el objeto de aquella reserva —en términos generales, como se ha dicho— son las relaciones de España con otros Estados independientes y soberanos, el aspecto </w:t>
      </w:r>
      <w:r>
        <w:lastRenderedPageBreak/>
        <w:t>más tradicional de estas relaciones, y con las Organizaciones Internacionales gubernamentales. Relaciones que, en todo caso, están regidas por el ‘Derecho internacional general’ a que se refiere el art. 96.1 CE, y por los tratados y convenios en vigor para España. Son, pues, las normas del Derecho internacional, general o particular, aplicables a España, las que permiten determinar en cada caso tanto el contenido de las mismas como su sujeto. Por lo que este Tribunal ha podido referirse, en relación con el art. 149.1.3 CE, a materias tan características del ordenamiento internacional como son las relativas a la celebración de tratados (ius contrahendi), y a la representación exterior del Estado (ius legationis), así como a la creación de obligaciones internacionales y a la responsabilidad internacional del Estado (SSTC 137/1987, 153/1989 y 80/1993)” (ibidem).</w:t>
      </w:r>
    </w:p>
    <w:p w:rsidR="00D06117" w:rsidRDefault="00D06117" w:rsidP="00D06117">
      <w:pPr>
        <w:pStyle w:val="TextoNormal"/>
      </w:pPr>
    </w:p>
    <w:p w:rsidR="00D06117" w:rsidRDefault="00D06117" w:rsidP="00D06117">
      <w:pPr>
        <w:pStyle w:val="TextoNormal"/>
      </w:pPr>
      <w:r>
        <w:t>Consecuentemente, “la posibilidad de las Comunidades Autónomas de llevar a cabo actividades que tengan una proyección exterior debe entenderse limitada a aquellas que, siendo necesarias, o al menos convenientes, para el ejercicio de sus competencias, no impliquen el ejercicio de un ius contrahendi, no originen obligaciones inmediatas y actuales frente a poderes públicos extranjeros, no incidan en la política exterior del Estado, y no generen responsabilidad de éste frente a Estados extranjeros u organizaciones inter o supranacionales” (FJ 6), pues los entes territoriales dotados de autonomía en el seno de un único Estado soberano no son sujetos de Derecho internacional. Esta precisión no permite efectuar “una exposición exhaustiva de cuáles sean esas actividades, por cuanto que lo decisivo para su inclusión en la competencia autonómica será, junto a la efectiva existencia de la atribución competencial estatutaria, que, por una parte, no incidan en la reserva estatal arriba expuesta, y por otra, que no la perturben o condicionen: lo que significará que, dentro de esa competencia exclusiva estatal se sitúa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 (ibidem).</w:t>
      </w:r>
    </w:p>
    <w:p w:rsidR="00D06117" w:rsidRDefault="00D06117" w:rsidP="00D06117">
      <w:pPr>
        <w:pStyle w:val="TextoNormal"/>
      </w:pPr>
    </w:p>
    <w:p w:rsidR="00D06117" w:rsidRDefault="00D06117" w:rsidP="00D06117">
      <w:pPr>
        <w:pStyle w:val="TextoNormal"/>
      </w:pPr>
      <w:r>
        <w:t>Teniendo en cuenta lo anterior, resulta evidente que la llamada “representación internacional” en el ámbito deportivo tiene difícil encaje en la materia de “relaciones internaciones” prevista en el art. 149.1 3 CE, puesto que ni nos encontramos ante relaciones entre Estados u otro tipo de organismos públicos —ya que las estructuras deportivas internacionales tienen un carácter absolutamente privado— ni la participación en competiciones oficiales supone la asunción de compromisos u obligaciones internacionales de ningún tipo.</w:t>
      </w:r>
    </w:p>
    <w:p w:rsidR="00D06117" w:rsidRDefault="00D06117" w:rsidP="00D06117">
      <w:pPr>
        <w:pStyle w:val="TextoNormal"/>
      </w:pPr>
    </w:p>
    <w:p w:rsidR="00D06117" w:rsidRDefault="00D06117" w:rsidP="00D06117">
      <w:pPr>
        <w:pStyle w:val="TextoNormal"/>
      </w:pPr>
      <w:r>
        <w:t xml:space="preserve">Así lo hemos mantenido recientemente en la STC 31/2010, de 28 de junio, sobre la adecuación a la Constitución de determinados preceptos del Estatuto de Autonomía de Cataluña, en la que, con ocasión de pronunciarnos sobre la constitucionalidad del apartado segundo del art. 134 EAC relativo a la competencia autonómica sobre “deporte y tiempo libre” —que prevé la participación de la Generalitat “en entidades y organismos de ámbito estatal, europeo e internacional que tengan por objeto el desarrollo del deporte”— por su posible colisión con las competencias del Estado en materia de relaciones internacionales (art. 149.1.3 CE), dijimos que “la participación de la Generalitat en entidades y organismos europeos o, en general, internacionales ‘que tengan por objeto el desarrollo del deporte’, no supone … el ejercicio de potestades que están reservadas al Estado ex art. 149.1.3 CE, ni puede condicionar el libre y pleno ejercicio estatal de dicha competencia correspondiendo al Estado regular su alcance y modalidades” (FJ 80). En idéntico sentido nos pronunciamos respecto de la impugnación de la atribución a la Generalitat de Cataluña de la competencia </w:t>
      </w:r>
      <w:r>
        <w:lastRenderedPageBreak/>
        <w:t>sobre “la proyección internacional de la cultura catalana” [art. 127.1 d) EAC] que los recurrentes consideraban contraria a la doctrina de la STC 165/1994, de 26 de mayo, reiterando que “frente al reproche formulado al precepto estatutario, la incorporación expresa de cláusulas de salvaguardia de competencias estatales no es exigible en términos constitucionales. Y es que la competencia estatal en el ámbito de las ‘relaciones internaciones’ (art. 149.1.3 CE), que ciertamente incluye, entre otros contenidos, el ejercicio del ius contrahendi, no impide que las Comunidades Autónomas realicen actividades en el exterior que sean proyección de sus competencias materiales, siempre que no perturben o condicionen la competencia estatal (STC 165/1994, FFJJ 3 a 6), lo que hemos corroborado precisamente en materia de cultura (STC 17/1991, de 31 de enero, FJ 6)” (FJ 73).</w:t>
      </w:r>
    </w:p>
    <w:p w:rsidR="00D06117" w:rsidRDefault="00D06117" w:rsidP="00D06117">
      <w:pPr>
        <w:pStyle w:val="TextoNormal"/>
      </w:pPr>
    </w:p>
    <w:p w:rsidR="00D06117" w:rsidRDefault="00D06117" w:rsidP="00D06117">
      <w:pPr>
        <w:pStyle w:val="TextoNormal"/>
      </w:pPr>
      <w:r>
        <w:t>La aplicación de la doctrina expuesta a este caso demuestra que la invocación del título competencial de “relaciones internacionales” no resulta aplicable para resolver la controversia planteada, ni puede sustentar una pretendida invasión de competencias estatales —ni siquiera por alusión a política exterior como acción política del Gobierno— o el impedimento de su ejercicio, puesto que la actividad deportiva en su dimensión internacional no puede calificarse como materia propia de las “relaciones internacionales”, en el sentido estricto en que ha sido definido por nuestra doctrina, independientemente de la mayor o menor dimensión simbólica o sociológica de las competiciones internacionales en las que participe el deporte español. La afirmación anterior no descarta que la dimensión internacional del deporte pueda tener una incidencia en la propia acción exterior del Estado; incidencia que, aun sin implicar el ejercicio de las actividades propias de las relaciones internacionales, justifique la intervención estatal en esta materia.</w:t>
      </w:r>
    </w:p>
    <w:p w:rsidR="00D06117" w:rsidRDefault="00D06117" w:rsidP="00D06117">
      <w:pPr>
        <w:pStyle w:val="TextoNormal"/>
      </w:pPr>
    </w:p>
    <w:p w:rsidR="00D06117" w:rsidRDefault="00D06117" w:rsidP="00D06117">
      <w:pPr>
        <w:pStyle w:val="TextoNormal"/>
      </w:pPr>
      <w:r w:rsidRPr="00D06117">
        <w:rPr>
          <w:rStyle w:val="NumeroAFNegritaCaracter"/>
        </w:rPr>
        <w:t>5</w:t>
      </w:r>
      <w:r>
        <w:t>. Por lo que respecta a la invocación, tanto por el Abogado del Estado (art. 149.2 CE) como por la Comunidad Autónoma del País Vasco (art. 10.17 EAPV) de las competencias que Estado y Comunidad Autónoma poseen en materia de cultura —pues se trata esta de una materia sobre la que se proyectan competencias concurrentes tal como se recoge en la Constitución e indicamos en nuestra STC 49/1984, de 5 de abril, FJ 6 y en la STC 106/1987, de 25 de junio, FJ 2— debemos señalar que la cuestión suscitada difícilmente admite tal encuadre competencial.</w:t>
      </w:r>
    </w:p>
    <w:p w:rsidR="00D06117" w:rsidRDefault="00D06117" w:rsidP="00D06117">
      <w:pPr>
        <w:pStyle w:val="TextoNormal"/>
      </w:pPr>
    </w:p>
    <w:p w:rsidR="00D06117" w:rsidRDefault="00D06117" w:rsidP="00D06117">
      <w:pPr>
        <w:pStyle w:val="TextoNormal"/>
      </w:pPr>
      <w:r>
        <w:t>Ciertamente, no puede negarse la existencia de una dimensión cultural del deporte dada su relación con el desarrollo de la personalidad, con la educación y con el intercambio de valores y culturas que fomenta la práctica deportiva, especialmente cuando dicha práctica se desarrolla a nivel internacional. Como ya señalamos en la STC 109/1996, de 13 de junio (FJ 3), si se adopta una noción de cultura en sentido amplio “son muchas las materias competenciales específicamente contempladas en el bloque de la constitucionalidad que tienen un contenido cultural, desde la enseñanza hasta los diversos medios de comunicación social, pasando por las bibliotecas, los espectáculos, el deporte o la artesanía”. Esta innegable dimensión cultural del deporte —que se muestra de forma más intensa en relación a los deportes autóctonos o tradicionales de cada Comunidad Autónoma, que en ocasiones se proyectan también a nivel internacional, y de forma más leve en relación a otras prácticas deportivas— no se ve, sin embargo, concernida o afectada en este caso concreto pues la específica regulación cuya constitucionalidad se aborda en este proceso tiene un arduo encaje en el título competencial de cultura, ya que se refiere única y exclusivamente a una cuestión organizativa o estructural de la práctica del deporte (en relación a la representación interna</w:t>
      </w:r>
      <w:r>
        <w:lastRenderedPageBreak/>
        <w:t>cional de una modalidad deportiva) y no a otras dimensiones del mismo. No nos encontramos, en definitiva, ante una regulación referida a una manifestación cultural en sentido estricto, como pueda serlo la relativa al cine (STC 49/1984, de 5 de abril); a los espectáculos (SSTC 143/1985, de 24 de octubre); al patrimonio histórico-artístico (STC 17/1991, de 31 de enero); a los museos (109/1996, de 13 de junio), o al libro (STC 71/1997, de 10 de abril).</w:t>
      </w:r>
    </w:p>
    <w:p w:rsidR="00D06117" w:rsidRDefault="00D06117" w:rsidP="00D06117">
      <w:pPr>
        <w:pStyle w:val="TextoNormal"/>
      </w:pPr>
    </w:p>
    <w:p w:rsidR="00D06117" w:rsidRDefault="00D06117" w:rsidP="00D06117">
      <w:pPr>
        <w:pStyle w:val="TextoNormal"/>
      </w:pPr>
      <w:r>
        <w:t>En cualquier caso conviene recordar que “la competencia sobre cultura no puede convertirse en un título universal desde el que puedan realizarse indistintamente todas y las mismas funciones que pueden realizarse desde otras competencias específicas que tienen aspectos culturales” (STC 109/1996, de 13 de junio, FJ 4) sin que quepa extender la competencia estatal sobre cultura “a ámbitos no queridos por el constituyente … pues por esta vía se dejarían vacíos de contenido los títulos del bloque de la constitucionalidad que se limitan a regular una porción definida del amplio espectro de la misma”( STC 17/1991, de 31 de enero, FJ 3).</w:t>
      </w:r>
    </w:p>
    <w:p w:rsidR="00D06117" w:rsidRDefault="00D06117" w:rsidP="00D06117">
      <w:pPr>
        <w:pStyle w:val="TextoNormal"/>
      </w:pPr>
    </w:p>
    <w:p w:rsidR="00D06117" w:rsidRDefault="00D06117" w:rsidP="00D06117">
      <w:pPr>
        <w:pStyle w:val="TextoNormal"/>
      </w:pPr>
      <w:r w:rsidRPr="00D06117">
        <w:rPr>
          <w:rStyle w:val="NumeroAFNegritaCaracter"/>
        </w:rPr>
        <w:t>6</w:t>
      </w:r>
      <w:r>
        <w:t>. El encuadre competencial del precepto impugnado, atendiendo a su objeto y a su finalidad, ha de situarse exclusivamente en la materia específica de deporte, pues su contenido se inscribe en la regulación “de la estructura asociativa del deporte vasco en sus distintos segmentos organizativos” —tal como se señala en el preámbulo de la Ley del deporte del País Vasco— y, en concreto, de las federaciones deportivas, a fin de proceder a su restructuración y “dar solución a la preocupante atomización federativa”. Se da cumplimiento así al mandato constitucional de fomento y promoción del deporte (art. 43.3 CE) teniendo en cuenta que, si bien la práctica del deporte es libre y voluntaria (art. 2.2 de la Ley del deporte del País Vasco) se trata de “una actividad social de interés público que contribuye a la formación y al desarrollo integral de las personas, a la mejora de su calidad de vida y al bienestar individual y social” (art. 2.1 de la Ley del deporte del País Vasco) y tiene una importante incidencia en el desarrollo de la salud, repercutiendo en otros sectores como puedan ser el de la educación o la cultura. Esta relevancia social (y también económica) justifica una intervención de los poderes públicos que no se limita, necesariamente, a las tradicionales medidas de fomento (como puedan ser ayudas económicas, incentivos fiscales o premios honoríficos) sino que se extiende a la ordenación de dicha práctica deportiva, a la adopción, también, de medidas positivas, de carácter organizativo que inciden directamente en la consolidación y promoción de una determinada práctica deportiva, con especial importancia cuando nos encontramos ante el deporte profesional [en esta línea, pero en relación con el ámbito de la investigación científica y técnica, ya nos pronunciamos en la STC 90/1990, de 11 de junio, FJ 2 A) b)].</w:t>
      </w:r>
    </w:p>
    <w:p w:rsidR="00D06117" w:rsidRDefault="00D06117" w:rsidP="00D06117">
      <w:pPr>
        <w:pStyle w:val="TextoNormal"/>
      </w:pPr>
    </w:p>
    <w:p w:rsidR="00D06117" w:rsidRDefault="00D06117" w:rsidP="00D06117">
      <w:pPr>
        <w:pStyle w:val="TextoNormal"/>
      </w:pPr>
      <w:r>
        <w:t>Encuadrada la cuestión en la materia “deporte”, hay que poner de relieve que la Constitución no contiene reserva competencial alguna a favor del Estado en el art. 149 CE, habiendo sido asumidas dichas competencias por la Comunidad Autónoma del País Vasco a través de su Estatuto de Autonomía cuyo art. 10.36 EAPV define como competencia exclusiva de la Comunidad Autónoma del País Vasco el “turismo y deporte. Ocio y esparcimiento”. Con esta perspectiva, la alusión contenida en el art. 148.1.19 CE —según el cual las Comunidades Autónomas podrán asumir competencias sobre “la promoción del deporte y la adecuada utilización del ocio”— tiene ciertamente un valor hermenéutico, en relación a la voluntad constitucional de que dicha materia sea asumida por las Comunidades Autónomas, que no puede ignorarse.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Partiendo, pues, de la exclusividad de la competencia de la Comunidad Autónoma del País Vasco en materia de deporte, conviene recordar ahora, a efectos del posterior enjuiciamiento del precepto impugnado, que las competencias autonómicas —incluso aquellas que han sido configuradas como exclusivas— deben ejercerse: (a) con respeto a las competencias que puedan corresponder al Estado en virtud de otros títulos competenciales y (b) de acuerdo con el principio de territorialidad de las competencias, como algo implícito al propio sistema de autonomías territoriales que de forma expresa se consagra en el art. 20.6 EAPV (STC 13/1988, de 4 de febrero, FJ 2).</w:t>
      </w:r>
    </w:p>
    <w:p w:rsidR="00D06117" w:rsidRDefault="00D06117" w:rsidP="00D06117">
      <w:pPr>
        <w:pStyle w:val="TextoNormal"/>
      </w:pPr>
    </w:p>
    <w:p w:rsidR="00D06117" w:rsidRDefault="00D06117" w:rsidP="00D06117">
      <w:pPr>
        <w:pStyle w:val="TextoNormal"/>
      </w:pPr>
      <w:r>
        <w:t>a) Respecto de la primera cuestión, el hecho de que la Comunidad Autónoma del País Vasco ostente la competencia exclusiva sobre la materia de deporte, de acuerdo con el art. 10.36 EAPV, y que el Estado carezca de un título competencial constitucional específico no significa, no obstante, que el Estado no pueda intervenir, en concurrencia con las Comunidades Autónomas, en la regulación del deporte. La propia “realidad” poliédrica de la materia deportiva determina necesariamente el entrecruzamiento de títulos competenciales, la concurrencia de la actuación de las diversas Administraciones públicas —estatal, autonómica y local— en las diferentes facetas sobre las que se proyecta la actividad deportiva (salud, educación, cultura, investigación, educación física, profesiones reguladas o legislación mercantil, por ejemplo) que exigen en algunos casos, una actuación supraautonómica, por requerir de un enfoque global y no fragmentado, o de la coordinación de diversas actuaciones, o por tratarse de actuaciones en las que la materia de deporte se entronca con otra materia atribuida competencialmente al Estado (por ejemplo, la especial vinculación del deporte con la salud (STC 194/1998, de 1 de octubre, FJ 7). Como señalamos en la STC 16/1996, de 1 de febrero,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 [FJ 2 C) t)]. Pues, en efecto, la citada Ley 10/1990, de 15 de octubre, se aprueba con el objeto de proceder a “la ordenación del deporte, de acuerdo con las competencias que corresponden a la Administración del Estado” y a la coordinación “con las Comunidades Autónomas y, en su caso, con las Corporaciones Locales, [de] aquellas [otras competencias] que puedan afectar, directa y manifiestamente, a los intereses generales del deporte en el ámbito nacional”; ley que no fue objeto de reproche competencial alguno por parte de ninguna Comunidad Autónoma, como tampoco lo fue su predecesora (Ley 13/1980, de 31 de marzo).</w:t>
      </w:r>
    </w:p>
    <w:p w:rsidR="00D06117" w:rsidRDefault="00D06117" w:rsidP="00D06117">
      <w:pPr>
        <w:pStyle w:val="TextoNormal"/>
      </w:pPr>
    </w:p>
    <w:p w:rsidR="00D06117" w:rsidRDefault="00D06117" w:rsidP="00D06117">
      <w:pPr>
        <w:pStyle w:val="TextoNormal"/>
      </w:pPr>
      <w:r>
        <w:t xml:space="preserve">Especialmente relevante a los efectos de enjuiciamiento del precepto controvertido es la incidencia de la dimensión internacional del deporte en la acción exterior del Estado español puesto que la representación internacional del deporte federado español puede calificarse como una cuestión de interés general, relacionada directamente con la imagen exterior que se proyecta del Estado Español, que, si bien no se integra —como ya hemos señalado— en el título competencial de “relaciones internacionales” constituye fundamento suficiente de la intervención reguladora del Estado en materia deportiva y se proyecta, consecuentemente, sobre el alcance de las competencias autonómicas en esta materia, en el sentido de que determinadas decisiones —como la decisión de participación de las selecciones españolas en competiciones internacionales, la autorización de la inscripción de las federaciones españolas en las federaciones internacionales correspondientes, o la autorización de la celebración </w:t>
      </w:r>
      <w:r>
        <w:lastRenderedPageBreak/>
        <w:t>de competiciones internacionales de carácter oficial en territorio español (art. 8 Ley 10/1990)— ha de ubicarse necesariamente en el ámbito de decisión del Estado, constituyendo un límite externo al ejercicio de las competencias autonómicas. Así, lo apuntamos en el ATC 35/1999, de 9 de febrero (FJ 2), en el que, con motivo de nuestro pronunciamiento sobre el mantenimiento de la suspensión de la aplicación del precepto aquí controvertido, señalamos que “la vigencia y aplicabilidad de la norma aquí impugnada habría de perjudicar gravemente aquel interés [general], pues la imagen internacional de España se vería inevitablemente alterada en un foro de tanta y tan eficaz difusión como es el de las competiciones deportivas, con el riesgo de que, caso de prosperar el recurso de inconstitucionalidad, sería necesario rectificar de nuevo aquella pluralidad y volver al modelo de representación internacional hasta ahora existente”, lo que indudablemente establece una conexión entre interés general y representación unitaria del deporte español en el ámbito internacional; aunque también es cierto que dicha afirmación se realizó sin prejuzgar, por tanto, el fondo y sin pretender “que el interés general sólo puede verse satisfecho con la garantía de disciplinas normativas unitarias” (FJ 2).</w:t>
      </w:r>
    </w:p>
    <w:p w:rsidR="00D06117" w:rsidRDefault="00D06117" w:rsidP="00D06117">
      <w:pPr>
        <w:pStyle w:val="TextoNormal"/>
      </w:pPr>
    </w:p>
    <w:p w:rsidR="00D06117" w:rsidRDefault="00D06117" w:rsidP="00D06117">
      <w:pPr>
        <w:pStyle w:val="TextoNormal"/>
      </w:pPr>
      <w:r>
        <w:t>b) Por lo que concierne a la segunda cuestión, conviene advertir que constatada la vigencia del principio de territorialidad de las normas y actos de las Comunidades Autónomas, no puede obviarse, no obstante, que “dichos principios [principio de territorialidad y de unidad de mercado], por su cualidad de tales, no pueden ser interpretados en unos términos que impidan a las instancias autonómicas, en el ejercicio de sus propias competencias, adoptar decisiones cuyas consecuencias puedan proyectarse sobre otros lugares del territorio nacional [por referencia al principio de territorialidad, SSTC 37/1981, de 16 de noviembre, FJ 1; 150/1990, de 4 de octubre, FJ 5; y 126/2002, de 23 de mayo, FJ 9 a)]” (STC 168/2004, de 6 de octubre, FJ 5). Es más, como señalamos en la ya citada STC 165/1994 —respecto de la materia “relaciones internacionales”— allí donde las Comunidades Autónomas sean titulares de competencias exclusivas es constitucional la actividad internacional (proyección exterior) siempre que no se afecte a materias propias del ordenamiento internacional, ni se enerve el ejercicio de otras competencias que correspondan al Estado.</w:t>
      </w:r>
    </w:p>
    <w:p w:rsidR="00D06117" w:rsidRDefault="00D06117" w:rsidP="00D06117">
      <w:pPr>
        <w:pStyle w:val="TextoNormal"/>
      </w:pPr>
    </w:p>
    <w:p w:rsidR="00D06117" w:rsidRDefault="00D06117" w:rsidP="00D06117">
      <w:pPr>
        <w:pStyle w:val="TextoNormal"/>
      </w:pPr>
      <w:r>
        <w:t xml:space="preserve">Con carácter general, estas consecuencias supraterritoriales son el resultado lógico de “la unidad política, jurídica, económica y social de España” que “impide su división en compartimientos estancos”, por lo que “la privación a las Comunidades Autónomas de la posibilidad de actuar cuando sus actos pudieran originar consecuencias más allá de sus límites territoriales equivaldría necesariamente a privarlas, pura y simplemente, de toda capacidad de actuación” [STC 37/1981, de 16 de noviembre, FJ 1; doctrina luego reiterada en las SSTC 44/1984, de 27 de marzo, FJ 2, y en la ya mencionada STC 291/2005, de 10 de noviembre, FJ 3 b)]. Así, la limitación territorial de la eficacia de las normas y actos autonómicos no puede significar que esté vedado a los órganos autonómicos, en uso de sus competencias propias, adoptar decisiones que puedan producir consecuencias en otros lugares del territorio nacional o internacional siempre que no se condicione o enerve el ejercicio de competencias estatales propias. Conviene recordar, en este sentido, que el principio de supraterritorialidad no puede utilizarse como principio delimitador de competencias fuera de los casos expresamente previstos por el bloque de la constitucionalidad [SSTC 173/2005, de 23 de junio, FJ 9 b) y 194/2011, de 13 de diciembre, FJ 5]; es decir, en aquellos supuestos en que, además del alcance territorial superior al de una comunidad autónoma, la actividad pública que se ejerza sobre el objeto de la competencia no sea susceptible de fraccionamiento y requiera un grado de homogeneidad que sólo pueda garantizarse mediante su atribución a </w:t>
      </w:r>
      <w:r>
        <w:lastRenderedPageBreak/>
        <w:t>un solo titular que forzosamente tiene que ser el Estado (entre otras, SSTC 243/1994, de 21 de julio, FJ 6; 175/1999, de 30 de septiembre, FJ 6; o 223/2000, de 21 de septiembre, FJ 11).</w:t>
      </w:r>
    </w:p>
    <w:p w:rsidR="00D06117" w:rsidRDefault="00D06117" w:rsidP="00D06117">
      <w:pPr>
        <w:pStyle w:val="TextoNormal"/>
      </w:pPr>
    </w:p>
    <w:p w:rsidR="00D06117" w:rsidRDefault="00D06117" w:rsidP="00D06117">
      <w:pPr>
        <w:pStyle w:val="TextoNormal"/>
      </w:pPr>
      <w:r>
        <w:t>En conclusión, el ejercicio de las competencias asumidas como exclusivas por las Comunidades Autónomas en sus respectivos Estatutos de Autonomía, tiene como límite el ejercicio de las competencias propias del Estado, bien como consecuencia de la concurrencia de otros títulos competenciales —como ocurre, por ejemplo, cuando la competencia del Estado en comercio exterior (149.1.10 CE) o sobre la planificación general de la economía (149.1.13 CE) se superpone a la competencia autonómica de turismo (STC 13/1988, de 4 de febrero, FFJJ 1, 2, 3 y 9, en materia de “ferias internacionales”)—; bien como consecuencia de la afectación de un interés nacional o —como señalamos en la STC 133/1990, de 19 de julio, (en relación con la materia “protección civil”)— de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suprautonómico” (FJ 6). Límites o condicionamientos que no excluyen per se la proyección extraterritorial o internacional de las competencias autonómicas cuando ello sea posible.</w:t>
      </w:r>
    </w:p>
    <w:p w:rsidR="00D06117" w:rsidRDefault="00D06117" w:rsidP="00D06117">
      <w:pPr>
        <w:pStyle w:val="TextoNormal"/>
      </w:pPr>
    </w:p>
    <w:p w:rsidR="00D06117" w:rsidRDefault="00D06117" w:rsidP="00D06117">
      <w:pPr>
        <w:pStyle w:val="TextoNormal"/>
      </w:pPr>
      <w:r w:rsidRPr="00D06117">
        <w:rPr>
          <w:rStyle w:val="NumeroAFNegritaCaracter"/>
        </w:rPr>
        <w:t>8</w:t>
      </w:r>
      <w:r>
        <w:t>. La aplicación de los límites que se acaban de señalar a las competencias autonómicas en materia deportiva tuvo su reflejo en la STC 1/1986, de 10 de enero. En ella sostuvimos que la atribución estatutaria de la competencia exclusiva en materia de deporte debe necesariamente ponerse en conexión, de un lado, con el carácter territorialmente limitado de las competencias autonómicas y, de otro, con la posible afectación de intereses generales —supraautonómicos— del deporte español “en su conjunto” cuya defensa y promoción corresponderán, entonces, al Estado.</w:t>
      </w:r>
    </w:p>
    <w:p w:rsidR="00D06117" w:rsidRDefault="00D06117" w:rsidP="00D06117">
      <w:pPr>
        <w:pStyle w:val="TextoNormal"/>
      </w:pPr>
    </w:p>
    <w:p w:rsidR="00D06117" w:rsidRDefault="00D06117" w:rsidP="00D06117">
      <w:pPr>
        <w:pStyle w:val="TextoNormal"/>
      </w:pPr>
      <w:r>
        <w:t>En efecto, en la citada Sentencia —en la que resolvimos el conflicto positivo de competencia entablado por la Generalitat de Cataluña respecto de la competencia para autorizar “la posible participación federativa catalana en competiciones internacionales cuando no comparezca la federación española correspondiente” (FJ 1)— hicimos hincapié en que, sin cuestionar la posible proyección internacional de las federaciones deportivas de ámbito catalán (permitida, de hecho, por el art. 14 de la Ley general de la cultura física y del deporte, entonces vigente, siempre que se contase con la preceptiva autorización), “la posible intervención administrativa que aquí se viene considerando no puede corresponder a las autoridades de la Comunidad Autónoma, pues si ésta tiene, sin duda, competencias en materia deportiva con arreglo a su Estatuto de Autonomía, no es menos cierto que estas competencias, como cualesquiera otras de las que ostente, no pueden desplegarse sobre entes que, como en este caso ocurre, existen y desarrollan sus actividades en un ámbito nacional sustraído ya al ejercicio de las potestades autonómicas, estando la autonomía constitucionalmente garantizada a las Comunidades Autónomas, al servicio de la gestión de sus intereses propios (art. 137 de la Constitución), limitados ratione loci (art. 25.1 del Estatuto de Autonomía de Cataluña), y no siendo desde ella posible, ciertamente, la afectación, como aquí habría de ocurrir, de intereses que son propios del deporte federado español en su conjunto. Si así no fuera, por lo demás, se quebraría la coherencia y el sentido mismo de la interven</w:t>
      </w:r>
      <w:r>
        <w:lastRenderedPageBreak/>
        <w:t>ción administrativa controvertida, en la que ha de buscarse, sin perjuicio de otras consideraciones no pertinentes ahora, que sean coextensos los ámbitos de actuación del ente controlado y de aquel que ejerce el control.” (FJ 3).</w:t>
      </w:r>
    </w:p>
    <w:p w:rsidR="00D06117" w:rsidRDefault="00D06117" w:rsidP="00D06117">
      <w:pPr>
        <w:pStyle w:val="TextoNormal"/>
      </w:pPr>
    </w:p>
    <w:p w:rsidR="00D06117" w:rsidRDefault="00D06117" w:rsidP="00D06117">
      <w:pPr>
        <w:pStyle w:val="TextoNormal"/>
      </w:pPr>
      <w:r w:rsidRPr="00D06117">
        <w:rPr>
          <w:rStyle w:val="NumeroAFNegritaCaracter"/>
        </w:rPr>
        <w:t>9</w:t>
      </w:r>
      <w:r>
        <w:t>. Delimitados ya los criterios constitucionales que habrán de guiarnos en la resolución del recurso de inconstitucionalidad planteado, debemos abordar ahora el concreto ejercicio que, de la competencia reconocida en el art. 10.36 EAPV, ha llevado a cabo la Comunidad Autónoma del País Vasco a través de la promulgación de la Ley 14/1998 del deporte vasco y, en particular, del precepto impugnado (art. 16.6 primer inciso). Para ello, y antes de entrar en cuestiones de orden constitucional, conviene tomar en consideración la regulación contenida en la ley del Parlamento Vasco que conforma el contexto en el que se inscribe la disposición aquí enjuiciada.</w:t>
      </w:r>
    </w:p>
    <w:p w:rsidR="00D06117" w:rsidRDefault="00D06117" w:rsidP="00D06117">
      <w:pPr>
        <w:pStyle w:val="TextoNormal"/>
      </w:pPr>
    </w:p>
    <w:p w:rsidR="00D06117" w:rsidRDefault="00D06117" w:rsidP="00D06117">
      <w:pPr>
        <w:pStyle w:val="TextoNormal"/>
      </w:pPr>
      <w:r>
        <w:t>El legislador vasco regula la actividad deportiva reproduciendo el modelo de organización actualmente consolidado, tanto a nivel internacional como nacional, fundamentado en tres ejes: carácter privado de las organizaciones deportivas (independientemente de que puedan ejercer funciones públicas por “delegación”); monopolio federativo (esto es, una federación por modalidad deportiva) y estructura organizativa en cascada o piramidal (que implica que las entidades deportivas de base, de una determinada modalidad deportiva, se integran en su federación provincial correspondiente —territorial, en el caso del País Vasco— que, a su vez, se integra en la federación autonómica, y luego en la estatal, a efectos de poder participar en determinadas competiciones estatales e internacionales, configurándose así una estructura piramidal, escalonada o en cascada, de tal suerte que cada uno de los niveles comprende y agota el inferior, en términos estrictamente territoriales). Rasgos, todos ellos, que definen la organización deportiva española y que fueron refrendados por este Tribunal en nuestra STC 67/1985, de 24 de mayo, con ocasión del análisis sobre la naturaleza de las federaciones deportivas desde la perspectiva del art. 22 CE.</w:t>
      </w:r>
    </w:p>
    <w:p w:rsidR="00D06117" w:rsidRDefault="00D06117" w:rsidP="00D06117">
      <w:pPr>
        <w:pStyle w:val="TextoNormal"/>
      </w:pPr>
    </w:p>
    <w:p w:rsidR="00D06117" w:rsidRDefault="00D06117" w:rsidP="00D06117">
      <w:pPr>
        <w:pStyle w:val="TextoNormal"/>
      </w:pPr>
      <w:r>
        <w:t>Así, la Ley 14/1998, de 11 de junio, del deporte vasco parte de la configuración de las federaciones deportivas vascas como agentes colaboradores de la Administración (arts. 3 y 15.3) y del monopolio federativo pues “sólo podrá reconocerse dentro del ámbito de la Comunidad Autónoma del País Vasco una federación vasca por cada modalidad deportiva” y “una federación territorial en cada territorio histórico por cada modalidad” (art. 24.1); previsión que ha de ponerse en relación con la contenida en el art. 16.7 que exige la necesaria integración de las federaciones territoriales en las federaciones vascas de su modalidad deportiva y el art. 27 que prevé la integración de las federaciones vascas en federaciones de ámbito territorial superior, haciéndose referencia, en el art. 45.1 segundo inciso, a la necesidad de coordinación de las funciones y actividades de las federaciones territoriales y vascas de una determinada modalidad deportiva “garantizando una correcta estructura piramidal de las competiciones deportivas”. Se reitera, así, a nivel autonómico, el mismo modelo establecido en la Ley 10/1990, de 15 de octubre, respecto del deporte federado español que prevé la integración de las federaciones autonómicas en la federación española de la modalidad deportiva correspondiente a efectos de representar al deporte español en el ámbito internacional (arts. 33.2 y 34).</w:t>
      </w:r>
    </w:p>
    <w:p w:rsidR="00D06117" w:rsidRDefault="00D06117" w:rsidP="00D06117">
      <w:pPr>
        <w:pStyle w:val="TextoNormal"/>
      </w:pPr>
    </w:p>
    <w:p w:rsidR="00D06117" w:rsidRDefault="00D06117" w:rsidP="00D06117">
      <w:pPr>
        <w:pStyle w:val="TextoNormal"/>
      </w:pPr>
      <w:r>
        <w:t xml:space="preserve">La norma vasca parte, además, del principio general de territorialidad en el ejercicio de la propia competencia deportiva, de su proyección en el ámbito autonómico, subrayando </w:t>
      </w:r>
      <w:r>
        <w:lastRenderedPageBreak/>
        <w:t>como función de las federaciones deportivas “la promoción o la práctica de una misma modalidad deportiva dentro de su ámbito territorial” (art. 15), así como la calificación autorización y ordenación de “las actividades y competiciones deportivas oficiales de ámbito comunitario de su modalidad deportiva” (art. 16.3); sin que ello obste a la previsión de la proyección internacional del deporte autonómico en términos de no exclusividad —art. 16.6, segundo inciso, que establece el deber de las federaciones vascas de “fomentar e instrumentar la participación de sus selecciones deportivas en actividades y competiciones deportivas estatales e internacionales” o la previsión del art. 37 relativo a la promoción de la participación de las selecciones vascas en competiciones y organismos internacionales.</w:t>
      </w:r>
    </w:p>
    <w:p w:rsidR="00D06117" w:rsidRDefault="00D06117" w:rsidP="00D06117">
      <w:pPr>
        <w:pStyle w:val="TextoNormal"/>
      </w:pPr>
    </w:p>
    <w:p w:rsidR="00D06117" w:rsidRDefault="00D06117" w:rsidP="00D06117">
      <w:pPr>
        <w:pStyle w:val="TextoNormal"/>
      </w:pPr>
      <w:r w:rsidRPr="00D06117">
        <w:rPr>
          <w:rStyle w:val="NumeroAFNegritaCaracter"/>
        </w:rPr>
        <w:t>10</w:t>
      </w:r>
      <w:r>
        <w:t>. Resumido así el contexto normativo en el que se inserta el precepto autonómico impugnado conviene reiterar que no se cuestiona en este proceso constitucional la exclusividad que el art. 16.1 primer inciso de la Ley del deporte del País Vasco atribuye a las federaciones vascas en la representación del deporte federado vasco en el ámbito estatal. Parece entenderse, así, que esta exclusividad en nada incide o menoscaba las competencias que ostenta el Estado en relación a las federaciones deportivas españolas, pudiéndose concebir como el corolario lógico de la estructura piramidal del deporte, según la cual sólo las federaciones vascas —y no las de los territorios históricos u ámbito territorial inferior— serán las representantes del deporte vasco en el ámbito nacional y, por tanto, las llamadas a integrarse en la federación española de la correspondiente modalidad deportiva a efectos de participar en competiciones oficiales de carácter nacional e internacional.</w:t>
      </w:r>
    </w:p>
    <w:p w:rsidR="00D06117" w:rsidRDefault="00D06117" w:rsidP="00D06117">
      <w:pPr>
        <w:pStyle w:val="TextoNormal"/>
      </w:pPr>
    </w:p>
    <w:p w:rsidR="00D06117" w:rsidRDefault="00D06117" w:rsidP="00D06117">
      <w:pPr>
        <w:pStyle w:val="TextoNormal"/>
      </w:pPr>
      <w:r>
        <w:t>La controversia tampoco se suscita respecto de la posibilidad de que las federaciones vascas sean representantes del deporte federado vasco en el ámbito internacional —posibilidad prevista en otros preceptos de la Ley 14/1998 que no han sido impugnados en este proceso constitucional (como el art. 16.6 segundo inciso o el art. 37 de la Ley del deporte del País Vasco) y que, como hemos apuntado tanto en el fundamento jurídico 7 b) como en el fundamento jurídico 8 de esta resolución, el Tribunal Constitucional ha admitido expresamente—, sino de la exclusividad que se atribuye a dicha representación cuando se afirma que las federaciones vascas serán las “únicas” representantes del deporte federado vasco en el ámbito internacional.</w:t>
      </w:r>
    </w:p>
    <w:p w:rsidR="00D06117" w:rsidRDefault="00D06117" w:rsidP="00D06117">
      <w:pPr>
        <w:pStyle w:val="TextoNormal"/>
      </w:pPr>
    </w:p>
    <w:p w:rsidR="00D06117" w:rsidRDefault="00D06117" w:rsidP="00D06117">
      <w:pPr>
        <w:pStyle w:val="TextoNormal"/>
      </w:pPr>
      <w:r>
        <w:t xml:space="preserve">La aplicación de los criterios apuntados en los fundamentos jurídicos 7 a) y b) y 8 determina que la Comunidad Autónoma del País Vasco, en el ejercicio de su competencia exclusiva sobre “deporte”, no pueda prever que las federaciones vascas serán las “únicas representantes del deporte federado vasco” con carácter general, pues ello implicaría que el legislador vasco está configurando el régimen o la regulación de determinadas facetas de la materia de deporte que afectan a la imagen exterior del Estado y que inciden en la esfera de intereses del deporte federado español en su conjunto; cuando, en realidad, se trata de decisiones que quedan al margen del poder de actuación de las Comunidades Autónomas y pertenecen forzosamente al del Estado, constituyendo, así, un límite externo al ejercicio de esa competencia exclusiva autonómica. Las cuestiones que se incluyan en esa “representación internacional” del deporte federado español en su conjunto —relativas por ejemplo a la organización de competiciones internacionales oficiales en territorio español; a la decisión de participar en competiciones internaciones en el exterior o a la conformación de las selecciones españolas— no pueden pertenecer al ámbito de decisión de una Comunidad Autónoma pues trascienden de su esfera de intereses propios y tampoco pueden ser configuradas como un pretendido efecto extraterritorial de una competencia propia. Los intereses que se ven </w:t>
      </w:r>
      <w:r>
        <w:lastRenderedPageBreak/>
        <w:t>afectados como consecuencia de la necesidad de atender a la imagen internacional del Estado español, a la representación unitaria del deporte federado español en su conjunto en competiciones internacionales, y sus consiguientes efectos simbólicos, requieren de una actuación no fragmentada, de una actuación común y coordinadora que sólo puede competer al Estado.</w:t>
      </w:r>
    </w:p>
    <w:p w:rsidR="00D06117" w:rsidRDefault="00D06117" w:rsidP="00D06117">
      <w:pPr>
        <w:pStyle w:val="TextoNormal"/>
      </w:pPr>
    </w:p>
    <w:p w:rsidR="00D06117" w:rsidRDefault="00D06117" w:rsidP="00D06117">
      <w:pPr>
        <w:pStyle w:val="TextoNormal"/>
      </w:pPr>
      <w:r>
        <w:t>No obstante, las consideraciones precedentes no abocan a la estimación del presente recurso de inconstitucionalidad, puesto que el art. 16.6, primer inciso, admite una lectura conforme a la Constitución que, si es posible, resulta obligada. Ciertamente,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(por todas SSTC 30/2011, de 16 de marzo, FJ 11; y 32/2011, de 17 de marzo de 2011, FJ 9).</w:t>
      </w:r>
    </w:p>
    <w:p w:rsidR="00D06117" w:rsidRDefault="00D06117" w:rsidP="00D06117">
      <w:pPr>
        <w:pStyle w:val="TextoNormal"/>
      </w:pPr>
    </w:p>
    <w:p w:rsidR="00D06117" w:rsidRDefault="00D06117" w:rsidP="00D06117">
      <w:pPr>
        <w:pStyle w:val="TextoNormal"/>
      </w:pPr>
      <w:r>
        <w:t>Pues bien, en este caso, teniendo en cuenta el contexto normativo en que se integra el concreto inciso impugnado del art. 16.6 de la Ley del deporte del País Vasco existe una lectura plenamente conforme con el orden constitucional de competencias que se vincula, precisamente, a la existencia de un espacio en el que el legislador vasco, en ejercicio de su competencia exclusiva en materia de deporte, puede configurar a las federaciones vascas como “únicas representantes del deporte vasco” en la esfera internacional. Conviene subrayar, en este punto, que el precepto cuestionado se refiere al “deporte federado vasco” sin aludir ni pretender su aplicación al “deporte federado español”, que es el regulado por el Estado. La propia previsión de la integración de las federaciones vascas en las federaciones españolas permite contemplar un escenario en el que la participación del deporte vasco en competiciones oficiales sigue los cauces que derivan de esa estructura piramidal prevista por ambos legisladores, autonómico y estatal.</w:t>
      </w:r>
    </w:p>
    <w:p w:rsidR="00D06117" w:rsidRDefault="00D06117" w:rsidP="00D06117">
      <w:pPr>
        <w:pStyle w:val="TextoNormal"/>
      </w:pPr>
    </w:p>
    <w:p w:rsidR="00D06117" w:rsidRDefault="00D06117" w:rsidP="00D06117">
      <w:pPr>
        <w:pStyle w:val="TextoNormal"/>
      </w:pPr>
      <w:r>
        <w:t>La previsión legal que atribuye a las federaciones vascas la exclusividad en la representación internacional del deporte federado vasco se ciñe, por tanto, a los supuestos en que las federaciones vascas no tienen correspondencia en una federación española sino que, conforme a la normativa internacional aplicable (según los estatutos de la organización internacional de que se trate) y a las propias previsiones estatales al respecto, participan directamente en una competición internacional porque no se ve involucrado un interés nacional, no se afecta al deporte federado español en su conjunto, ni se incide en la imagen exterior del Estado español.</w:t>
      </w:r>
    </w:p>
    <w:p w:rsidR="00D06117" w:rsidRDefault="00D06117" w:rsidP="00D06117">
      <w:pPr>
        <w:pStyle w:val="TextoNormal"/>
      </w:pPr>
    </w:p>
    <w:p w:rsidR="00D06117" w:rsidRDefault="00D06117" w:rsidP="00D06117">
      <w:pPr>
        <w:pStyle w:val="TextoNormal"/>
      </w:pPr>
      <w:r>
        <w:t xml:space="preserve">Es en ese espacio en el que no se produce una confluencia o concurrencia con la competencia que ostenta el Estado en relación con la dimensión internacional del deporte, donde la previsión del art. 16.6, primer inciso, adquiere todo su sentido, sin perturbar la competencia estatal ni quebrar la estructura piramidal del deporte. Se trata de supuestos que no corresponde deslindar a este Tribunal pero a los que se refiere expresamente el Abogado del Estado en sus alegaciones: participación del deporte federado vasco en competiciones internacionales no oficiales; en competiciones internacionales oficiales de modalidades deportivas para las que no se haya creado una federación española; o en eventos deportivos en los que no participen selecciones nacionales de otros Estados o países y/o cuenten con la </w:t>
      </w:r>
      <w:r>
        <w:lastRenderedPageBreak/>
        <w:t>preceptiva autorización del Consejo Superior de Deportes. Esta posibilidad ya fue apuntada en nuestra STC 1/1986, en relación a la Ley del deporte 13/1980, de 31 de marzo, en la que afirmamos que “toda vez que este precepto, referido sólo a competiciones oficiales, no descarta, en términos absolutos, toda participación internacional de las federaciones deportivas de ámbito autonómico, sino sólo, estando a su tenor literal, en aquellos casos en que los encuentros pretendan celebrarse con selecciones nacionales extranjeras” resulta posible, “de conformidad con nuestro ordenamiento deportivo, una intervención en encuentros internacionales de las federaciones deportivas cuyo ámbito propio se extienda al territorio de una Comunidad Autónoma” (FFJJ 2 y 3). En la misma línea hemos señalado, con motivo del mantenimiento de la suspensión del precepto controvertido, que la representación unitaria del deporte no es la única vía posible para satisfacer el interés general en juego (ATC 35/1999, de 9 de febrero). En esos casos de no confluencia, la representación del deporte federado vasco corresponderá únicamente a las federaciones vascas, en aplicación del art. 16.6, primer inciso, excluyendo, por otra parte, la eventual participación de las federaciones de los territorios históricos.</w:t>
      </w:r>
    </w:p>
    <w:p w:rsidR="00D06117" w:rsidRDefault="00D06117" w:rsidP="00D06117">
      <w:pPr>
        <w:pStyle w:val="TextoNormal"/>
      </w:pPr>
    </w:p>
    <w:p w:rsidR="00D06117" w:rsidRDefault="00D06117" w:rsidP="00D06117">
      <w:pPr>
        <w:pStyle w:val="TextoNormal"/>
      </w:pPr>
      <w:r>
        <w:t>Conviene recordar asimismo que la participación o afiliación de entidades deportivas y/o culturales autonómicas en organizaciones internacionales no implica per se que se esté atribuyendo al órgano de la Comunidad Autónoma de que se trate la condición de sujeto internacional, cualidad que le está vedada ex art. 149.1.3 CE, por lo que será posible siempre que lo permita la normativa correspondiente dictada por la organización internacional de que se trate y no invada la competencia exclusiva en materia de relaciones internacionales reconocida en el art. 149.1.3 CE. (STC 31/2010, de 28 de junio, FFJJ 127 y 129).</w:t>
      </w:r>
    </w:p>
    <w:p w:rsidR="00D06117" w:rsidRDefault="00D06117" w:rsidP="00D06117">
      <w:pPr>
        <w:pStyle w:val="TextoNormal"/>
      </w:pPr>
    </w:p>
    <w:p w:rsidR="00D06117" w:rsidRDefault="00D06117" w:rsidP="00D06117">
      <w:pPr>
        <w:pStyle w:val="TextoNormal"/>
      </w:pPr>
      <w:r w:rsidRPr="00D06117">
        <w:rPr>
          <w:rStyle w:val="NumeroAFNegritaCaracter"/>
        </w:rPr>
        <w:t>11</w:t>
      </w:r>
      <w:r>
        <w:t>. En conclusión, el primer inciso del art. 16.6 de la Ley del deporte del País Vasco según el cual las federaciones vascas de cada modalidad deportiva serán las únicas representantes del deporte federado vasco en el ámbito internacional es constitucional siempre que se trate de deportes en los que no existan federaciones españolas, y que, en ningún caso, se impidan o perturben las competencias del Estado de coordinación y representación internacional del deporte español.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recurso de inconstitucionalidad núm. 4033-1998 interpuesto por el Presidente del Gobierno de la Nación y declarar que el art. 16.6 de la Ley del Parlamento Vasco 14/1998, de 11 de junio, del deporte, primer inciso, es constitucional siempre que se interprete en los términos establecidos en el fundamento jurídico 11.</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rsidP="00D06117">
      <w:pPr>
        <w:pStyle w:val="ParrafoNormal"/>
      </w:pPr>
    </w:p>
    <w:p w:rsidR="00D06117" w:rsidRDefault="00D06117" w:rsidP="00D06117">
      <w:pPr>
        <w:pStyle w:val="TextoNormalNegritaCentrado"/>
        <w:keepNext/>
      </w:pPr>
      <w:r>
        <w:lastRenderedPageBreak/>
        <w:t>Voto particular que formula el Magistrado don Manuel Aragón Reyes, al que se adhiere el Magistrado don Javier Delgado Barrio, respecto de la Sentencia dictada en el recurso de inconstitucionalidad núm. 4033-1998.</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Pleno, formulo el presente Voto particular, al discrepar del fallo y de parte de la fundamentación jurídica de la Sentencia que ha desestimado el recurso de inconstitucionalidad interpuesto por el Presidente del Gobierno contra la frase primera del art. 16.6 de la Ley del Parlamento Vasco 14/1998, de 11 de junio, del deporte, conforme a la cual “la federación vasca de cada modalidad deportiva será la única representante del deporte federado vasco en el ámbito estatal e internacional”.</w:t>
      </w:r>
    </w:p>
    <w:p w:rsidR="00D06117" w:rsidRDefault="00D06117" w:rsidP="00D06117">
      <w:pPr>
        <w:pStyle w:val="TextoNormal"/>
      </w:pPr>
    </w:p>
    <w:p w:rsidR="00D06117" w:rsidRDefault="00D06117" w:rsidP="00D06117">
      <w:pPr>
        <w:pStyle w:val="TextoNormal"/>
      </w:pPr>
      <w:r>
        <w:t>A mi entender, en virtud de los argumentos que defendí en la deliberación del Pleno y que resumidamente expongo a continuación, el recurso de inconstitucionalidad debió de ser estimado, declarando la inconstitucionalidad y consiguiente nulidad del precepto impugnado en el inciso “e internacional”.</w:t>
      </w:r>
    </w:p>
    <w:p w:rsidR="00D06117" w:rsidRDefault="00D06117" w:rsidP="00D06117">
      <w:pPr>
        <w:pStyle w:val="TextoNormal"/>
      </w:pPr>
    </w:p>
    <w:p w:rsidR="00D06117" w:rsidRDefault="00D06117" w:rsidP="00D06117">
      <w:pPr>
        <w:pStyle w:val="TextoNormal"/>
      </w:pPr>
      <w:r>
        <w:t>1. El Tribunal ha perdido la ocasión que el presente recurso le brindaba de aclarar el significado del contenido y alcance del título atributivo de competencia exclusiva al Estado en materia de “relaciones internacionales” (art. 149.1.3 CE).</w:t>
      </w:r>
    </w:p>
    <w:p w:rsidR="00D06117" w:rsidRDefault="00D06117" w:rsidP="00D06117">
      <w:pPr>
        <w:pStyle w:val="TextoNormal"/>
      </w:pPr>
    </w:p>
    <w:p w:rsidR="00D06117" w:rsidRDefault="00D06117" w:rsidP="00D06117">
      <w:pPr>
        <w:pStyle w:val="TextoNormal"/>
      </w:pPr>
      <w:r>
        <w:t>Es cierto que la doctrina de este Tribunal ha venido concretando el título competencial enunciado en el art. 149.1.3 CE señaladamente en las actuaciones relativas a la celebración de Tratados (ius contrahendi), representación exterior del Estado (ius legationis), creación de obligaciones internacionales y responsabilidad internacional del Estado (por todas, STC 165/1994, de 26 de mayo, FJ 5, con cita de doctrina precedente: SSTC 137/1987, 153/1989 y 80/1993), pero sin que esta enumeración pretenda tener un carácter exhaustivo, como lo hemos venido a corroborar expresamente en la STC 31/2010, de 28 de junio, FFJJ 73 y 125 (que cita la anterior doctrina).</w:t>
      </w:r>
    </w:p>
    <w:p w:rsidR="00D06117" w:rsidRDefault="00D06117" w:rsidP="00D06117">
      <w:pPr>
        <w:pStyle w:val="TextoNormal"/>
      </w:pPr>
    </w:p>
    <w:p w:rsidR="00D06117" w:rsidRDefault="00D06117" w:rsidP="00D06117">
      <w:pPr>
        <w:pStyle w:val="TextoNormal"/>
      </w:pPr>
      <w:r>
        <w:t xml:space="preserve">Por ello ha de entenderse que de nuestra doctrina se extrae sin dificultad la conclusión de que, además de los atributos clásicos que el Derecho internacional reconoce a los Estados, se integra también en la competencia del Estado ex art. 149.1.3 CE “la dirección y puesta en ejecución de la política exterior que corresponde en exclusiva al Estado”, por lo que “dentro de la competencia estatal se sitúa la posibilidad de establecer medidas que regulen y coordinen las actividades con proyección externa de las Comunidades Autónomas, para evitar o remediar eventuales perjuicios” (STC 31/2010, FJ 125) a esa competencia estatal de dirección y puesta en ejecución de la política exterior. Por ello, la competencia estatal en el ámbito de las “relaciones internaciones” (art. 149.1.3 CE) “no impide que las Comunidades Autónomas realicen actividades en el exterior que sean proyección de sus competencias materiales, siempre que no perturben o condicionen la competencia estatal” (STC 31/2010, FJ 73; en parecidos términos, FJ 125). Y, en particular, la participación de las Comunidades Autónomos en entidades y organismos internacionales “que tengan por objeto el desarrollo del deporte” ni puede suponer “el ejercicio de potestades que están reservadas al Estado ex art. 149.1.3 CE, ni puede condicionar el libre y pleno ejercicio estatal de dicha competencia, correspondiendo al Estado regular su alcance y modalidades” (STC </w:t>
      </w:r>
      <w:r>
        <w:lastRenderedPageBreak/>
        <w:t>31/2010, FJ 80). Por eso mismo, la eventual atribución estatutaria de la facultad de promover la afiliación de las organizaciones deportivas de la Comunidad Autónoma a las entidades afines de ámbito internacional “está supeditada a lo que se disponga tanto en la normativa reguladora de las entidades de ámbito internacional respecto a las que se persigue la afiliación como a la que dicte el Estado en el ejercicio de la competencia que le reserva el art. 149.1.3 CE”; esa eventual actividad promocional de la Comunidad Autónoma que se proyecta sobre las organizaciones deportivas en las que ostenta competencias “le permite promover su proyección exterior siempre en el respeto de las competencias del Estado ex art. 149.1.3 CE, esto es, sin menoscabar la representación española en el seno de dichas organizaciones” (STC 31/2010, FJ 129).</w:t>
      </w:r>
    </w:p>
    <w:p w:rsidR="00D06117" w:rsidRDefault="00D06117" w:rsidP="00D06117">
      <w:pPr>
        <w:pStyle w:val="TextoNormal"/>
      </w:pPr>
    </w:p>
    <w:p w:rsidR="00D06117" w:rsidRDefault="00D06117" w:rsidP="00D06117">
      <w:pPr>
        <w:pStyle w:val="TextoNormal"/>
      </w:pPr>
      <w:r>
        <w:t>En definitiva, el título competencial en materia de “relaciones internacionales” (art. 149.1.3 CE) no queda reducido a las relaciones reguladas por el Derecho internacional, sino que tiene un contenido y alcance más amplio, conforme ha quedado expuesto. En efecto, al contrario de lo que se afirma en la Sentencia de la que discrepo (fundamento jurídico 4), la representación internacional en el ámbito deportivo incide claramente (como alegaba con acierto el Abogado del Estado) en la competencia estatal exclusiva del art. 149.1.3 CE, ya que la materia de “relaciones internacionales” no se ciñe exclusivamente a las relaciones regidas por el Derecho internacional.</w:t>
      </w:r>
    </w:p>
    <w:p w:rsidR="00D06117" w:rsidRDefault="00D06117" w:rsidP="00D06117">
      <w:pPr>
        <w:pStyle w:val="TextoNormal"/>
      </w:pPr>
    </w:p>
    <w:p w:rsidR="00D06117" w:rsidRDefault="00D06117" w:rsidP="00D06117">
      <w:pPr>
        <w:pStyle w:val="TextoNormal"/>
      </w:pPr>
      <w:r>
        <w:t>Por otra parte, el hecho de que las federaciones deportivas, estatales o autonómicas, tengan naturaleza jurídica privada en nuestro Derecho positivo, no es razón suficiente para excluir la afectación del título competencial del art. 149.1.3 CE. Como ya afirmara este Tribunal en la STC 67/1985, de 24 de mayo, FJ 4, las federaciones deportivas son “asociaciones de carácter privado a las que se atribuyen funciones públicas de carácter administrativo”. En este sentido, las federaciones deportivas, aunque privadas, ejercen funciones públicas por atribución del legislador, cumplen fines de interés público y general, “que son propios del deporte federado español en su conjunto” (STC 1/1986, de 10 de enero, FJ 3) y representan la “imagen internacional de España” cuando intervienen en competiciones deportivas oficiales fuera de España; imagen “que se vería inevitablemente alterada en un foro de tanta y tan eficaz difusión como es el de las competencias deportivas”, si se mantiene la vigencia y aplicación de un precepto que determine que la federación autonómica de cada modalidad deportiva sea la única representante del deporte federado autonómico en el ámbito internacional, como así se dijo en el ATC 35/1999 al confirmar la suspensión del art. 16.6, primer párrafo, de la Ley vasca del deporte. Y es que, en efecto, si la federación autonómica de cada modalidad deportiva es la única representante del deporte federado de esa Comunidad Autónoma en el ámbito internacional, la federación española correspondiente representará entonces el deporte de toda España en la modalidad deportiva de que se trate, menos el de esa Comunidad Autónoma, con grave daño para la imagen internacional de España y evidente perturbación, en mi opinión, de la competencia estatal exclusiva en el ámbito de las “relaciones internaciones” (art. 149.1.3 CE).</w:t>
      </w:r>
    </w:p>
    <w:p w:rsidR="00D06117" w:rsidRDefault="00D06117" w:rsidP="00D06117">
      <w:pPr>
        <w:pStyle w:val="TextoNormal"/>
      </w:pPr>
    </w:p>
    <w:p w:rsidR="00D06117" w:rsidRDefault="00D06117" w:rsidP="00D06117">
      <w:pPr>
        <w:pStyle w:val="TextoNormal"/>
      </w:pPr>
      <w:r>
        <w:t xml:space="preserve">Por ello, salvo que se mantenga una interpretación reduccionista del título competencial del art. 149.1.3 CE, como se hace la Sentencia de la que discrepo (lo que, a mi juicio, no autoriza la doctrina de este Tribunal, sintetizada en la STC 31/2010, FFJJ 73, 80, 125 y 129, como acabamos de ver), resulta obligado concluir que la representación internacional en el ámbito deportivo incide en la dirección y puesta en ejecución de la política exterior, que corresponde en exclusiva al Estado (en cuanto afecta a la imagen exterior de España), y por </w:t>
      </w:r>
      <w:r>
        <w:lastRenderedPageBreak/>
        <w:t>tanto, afecta a la competencia estatal en materia de “relaciones internacionales” (art. 149.1.3 CE), competencia que resulta perturbada en el caso del precepto enjuiciado, en cuanto determina que la federación vasca de cada modalidad deportiva es la única representante del deporte federado vasco en el ámbito internacional, lo que excluye la representación del deporte federado vasco en dicho ámbito por la federación española de la modalidad deportiva correspondiente. Ello hubiera bastado, a mi entender, para declarar la inconstitucionalidad y consiguiente nulidad del precepto impugnado en el inciso señalado, como así lo propuse, sin éxito, en la deliberación del Pleno.</w:t>
      </w:r>
    </w:p>
    <w:p w:rsidR="00D06117" w:rsidRDefault="00D06117" w:rsidP="00D06117">
      <w:pPr>
        <w:pStyle w:val="TextoNormal"/>
      </w:pPr>
    </w:p>
    <w:p w:rsidR="00D06117" w:rsidRDefault="00D06117" w:rsidP="00D06117">
      <w:pPr>
        <w:pStyle w:val="TextoNormal"/>
      </w:pPr>
      <w:r>
        <w:t>Además, y a su vez, esta aclaración del contenido y alcance del art. 149.1.3 CE estimo que hubiera sido muy necesaria para terminar con el criticable entendimiento de ese precepto contenido en algunas de nuestras Sentencias, que parecen haber reducido el significado del término “relaciones internacionales”, utilizado por la Constitución, a lo que sólo es una parte del mismo, esto es, a las relaciones entre Estados regidas por el Derecho internacional. Como es pacífico en la doctrina académica, el término “relaciones internacionales” es más amplio que el de relaciones “jurídicas” internacionales.</w:t>
      </w:r>
    </w:p>
    <w:p w:rsidR="00D06117" w:rsidRDefault="00D06117" w:rsidP="00D06117">
      <w:pPr>
        <w:pStyle w:val="TextoNormal"/>
      </w:pPr>
    </w:p>
    <w:p w:rsidR="00D06117" w:rsidRDefault="00D06117" w:rsidP="00D06117">
      <w:pPr>
        <w:pStyle w:val="TextoNormal"/>
      </w:pPr>
      <w:r>
        <w:t>2. No obstante, la línea discursiva seguida por la Sentencia de la que discrepo ha sido otra, que, pese a su debilidad también hubiera podido apoyar si se hubiera concluido con la estimación del recurso, pues considero que, desde los propios razonamientos de partida de la Sentencia, se llegaría igualmente a un fallo de inconstitucionalidad y nulidad del precepto impugnado en el inciso “e internacional”.</w:t>
      </w:r>
    </w:p>
    <w:p w:rsidR="00D06117" w:rsidRDefault="00D06117" w:rsidP="00D06117">
      <w:pPr>
        <w:pStyle w:val="TextoNormal"/>
      </w:pPr>
    </w:p>
    <w:p w:rsidR="00D06117" w:rsidRDefault="00D06117" w:rsidP="00D06117">
      <w:pPr>
        <w:pStyle w:val="TextoNormal"/>
      </w:pPr>
      <w:r>
        <w:t>La Sentencia, tras rechazar que el título competencial del art. 149.1.3 CE resulte aplicable la controversia planteada (fundamento jurídico 4) y excluir asimismo que tenga encaje en el título de cultura del art. 149.2 CE (fundamento jurídico 5), para afirmar seguidamente que el encuadre del precepto impugnado ha de situarse en la materia específica de deporte (fundamento jurídico 6), de competencia exclusiva de la Comunidad Autónoma del País Vasco de la Comunidad Autónoma (fundamento jurídico 7), se argumenta que esta competencia, en cuanto se proyecta sobre la dimensión internacional del deporte, no puede perturbar la acción exterior del Estado español en materia deportiva, de modo que el alcance de esa competencia de la Comunidad Autónoma sobre deporte “ha de ubicarse necesariamente en el ámbito de decisión del Estado, constituyendo un límite externo al ejercicio de las competencias autonómicas” (fundamento jurídico 8). Conclusión que, por otra parte, no deja de entrañar una cierta incoherencia, pues se niega que el Estado ostente título competencial específico alguno sobre el deporte y se afirma al propio tiempo que la intervención del Estado en materia deportiva resulta plenamente justificada por la dimensión internacional del deporte y por los intereses generales que se ven afectados en la representación internacional del deporte federado español (lo que sólo del art. 149.1.3 CE puede derivar).</w:t>
      </w:r>
    </w:p>
    <w:p w:rsidR="00D06117" w:rsidRDefault="00D06117" w:rsidP="00D06117">
      <w:pPr>
        <w:pStyle w:val="TextoNormal"/>
      </w:pPr>
    </w:p>
    <w:p w:rsidR="00D06117" w:rsidRDefault="00D06117" w:rsidP="00D06117">
      <w:pPr>
        <w:pStyle w:val="TextoNormal"/>
      </w:pPr>
      <w:r>
        <w:t xml:space="preserve">En cualquier caso, como digo, de este razonamiento de la Sentencia se seguiría también de manera lógica, a mi entender, la declaración de inconstitucionalidad y nulidad del precepto impugnado en el inciso señalado, pues el mismo supone sin lugar a dudas una extralimitación evidente en el ejercicio de las competencias autonómicas en materia de deporte, que afecta a la acción exterior del Estado español, dado que la representación internacional del deporte federado español en su conjunto —que el precepto impugnado convierte en inoperante— es una cuestión de interés general, directamente conectada la imagen exterior de España. Esta es, por lo demás, la conclusión a la que, aparentemente, se llega en principio </w:t>
      </w:r>
      <w:r>
        <w:lastRenderedPageBreak/>
        <w:t>en la propia Sentencia, al afirmarse (fundamento jurídico 10) que lo razonado en los fundamentos jurídicos 7 y 8 determina “que la Comunidad Autónoma del País Vasco, en el ejercicio de su competencia exclusiva sobre ‘deporte’, no pueda prever que las federaciones vascas serán las ‘únicas representantes del deporte federado vasco’ con carácter general, pues ello implicaría que el legislador vasco está configurando el régimen o la regulación de determinadas facetas de la materia de deporte que afectan a la imagen exterior del Estado y que inciden en la esfera de intereses del deporte federado español en su conjunto … Los intereses que se ven afectados como consecuencia de la necesidad de atender a la imagen internacional del Estado español, a la representación unitaria del deporte federado español en su conjunto en competiciones internacionales, y sus consiguientes efectos simbólicos, requieren de una actuación no fragmentada, de una actuación común y coordinadora que sólo puede competer al Estado”.</w:t>
      </w:r>
    </w:p>
    <w:p w:rsidR="00D06117" w:rsidRDefault="00D06117" w:rsidP="00D06117">
      <w:pPr>
        <w:pStyle w:val="TextoNormal"/>
      </w:pPr>
    </w:p>
    <w:p w:rsidR="00D06117" w:rsidRDefault="00D06117" w:rsidP="00D06117">
      <w:pPr>
        <w:pStyle w:val="TextoNormal"/>
      </w:pPr>
      <w:r>
        <w:t>3. Sin embargo, lo cierto es que tras este razonamiento, que puedo compartir en los términos antes indicados, la Sentencia continúa sorprendentemente afirmando que lo anterior no aboca a la estimación del recurso, porque el precepto impugnado admite una interpretación conforme a la Constitución, conclusión esta con la que no puedo sino expresar mi más firme discrepancia, porque la exégesis que realiza la Sentencia desborda absolutamente los límites de la interpretación de conformidad.</w:t>
      </w:r>
    </w:p>
    <w:p w:rsidR="00D06117" w:rsidRDefault="00D06117" w:rsidP="00D06117">
      <w:pPr>
        <w:pStyle w:val="TextoNormal"/>
      </w:pPr>
    </w:p>
    <w:p w:rsidR="00D06117" w:rsidRDefault="00D06117" w:rsidP="00D06117">
      <w:pPr>
        <w:pStyle w:val="TextoNormal"/>
      </w:pPr>
      <w:r>
        <w:t>La Sentencia, en efecto, sostiene (fundamentos jurídicos 10 y 11) que el precepto impugnado es constitucional siempre que se entienda que la atribución a las federaciones deportivas vascas de la representación exclusiva del deporte federado vasco en la esfera internacional viene referida a aquellos supuestos en los que “no se produce una confluencia o concurrencia con la competencia que ostenta el Estado en relación con la dimensión internacional del deporte”. Es decir, que ha de entenderse que las federaciones vascas de cada modalidad deportiva sólo pueden representar al deporte federado vasco en el ámbito internacional cuando se trate de competiciones internacionales no oficiales (“partidos amistosos”), o de competiciones internacionales oficiales en modalidades deportivas en las que no exista una federación española, o de eventos deportivos internacionales en los que no participen selecciones de otros Estados o países, y cuenten con la preceptiva autorización del Consejo Superior de Deportes. Así interpretado, dice la Sentencia, el art. 16.6 de la Ley vasca 14/1998, de 11 de junio, del deporte, es constitucional.</w:t>
      </w:r>
    </w:p>
    <w:p w:rsidR="00D06117" w:rsidRDefault="00D06117" w:rsidP="00D06117">
      <w:pPr>
        <w:pStyle w:val="TextoNormal"/>
      </w:pPr>
    </w:p>
    <w:p w:rsidR="00D06117" w:rsidRDefault="00D06117" w:rsidP="00D06117">
      <w:pPr>
        <w:pStyle w:val="TextoNormal"/>
      </w:pPr>
      <w:r>
        <w:t>Con ello, la Sentencia de la que discrepo salva la constitucionalidad del precepto impugnado haciéndole decir lo que no dice: la federación vasca de cada modalidad deportiva no es la “única” representante del deporte federado vasco en el ámbito internacional; tampoco lo es “de cada modalidad deportiva”, sino sólo de algunas modalidades deportivas; y en fin, no es tampoco la (única) representante del “deporte federado vasco” a nivel internacional, sino sólo de algunos deportes federados vascos. De este modo, según el Tribunal Constitucional, “cada modalidad deportiva” sólo es “algunas modalidades deportivas”; el “deporte federado vasco”, sólo es “algunos deportes federados vascos”; y “única” (término inequívoco por excelencia) no es “única”. Pocas dudas caben, pues, de que la Sentencia modifica radicalmente el enunciado legal sometido a enjuiciamiento y transgrede de manera clara los límites de la interpretación de conformidad con la Constitución, desnaturalizando este instrumento hermenéutico y convirtiendo en legislador positivo a este Tribunal, lo que resulta a todas luces inaceptable.</w:t>
      </w:r>
    </w:p>
    <w:p w:rsidR="00D06117" w:rsidRDefault="00D06117" w:rsidP="00D06117">
      <w:pPr>
        <w:pStyle w:val="TextoNormal"/>
      </w:pPr>
    </w:p>
    <w:p w:rsidR="00D06117" w:rsidRDefault="00D06117" w:rsidP="00D06117">
      <w:pPr>
        <w:pStyle w:val="TextoNormal"/>
      </w:pPr>
      <w:r>
        <w:lastRenderedPageBreak/>
        <w:t>En efecto, conforme a reiterada doctrina constitucional, la interpretación conforme a la Constitución no permite “reconstruir una norma que no esté debidamente explícita en un texto, para concluir que ésta es la norma constitucional” (STC 11/1981, de 8 de abril, FJ 4; y en similares términos STC 24/2004, de 24 de febrero, FJ 6), ni tampoco “ignorar o desfigurar el sentido de los enunciados legales meridianos” (SSTC 22/1985, de 15 de febrero, FJ 5; y 341/1993, de 18 de noviembre, FJ 2), olvidando “el respeto al propio tenor literal de aquéllos” (STC 222/1992, de 11 de diciembre, FJ 2). La interpretación conforme no puede ser una interpretación contra legem, pues ello implicaría alterar radicalmente los enunciados legales sometidos al enjuiciamiento de este Tribunal (STC 24/2004, de 24 de febrero, FJ 6), ni cabe extremar los esfuerzos interpretativos en beneficio de la conservación de la ley, pero a costa de la certeza del Derecho. Tampoco compete al Tribunal Constitucional, bajo pretexto de interpretación conforme, la reconstrucción de una norma no explicitada debidamente en el texto legal enjuiciado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184/2003, de 23 de octubre, FJ 7; 138/2005, de 26 de mayo, FJ 5; y 235/2007, de 7 de noviembre, FJ 7).</w:t>
      </w:r>
    </w:p>
    <w:p w:rsidR="00D06117" w:rsidRDefault="00D06117" w:rsidP="00D06117">
      <w:pPr>
        <w:pStyle w:val="TextoNormal"/>
      </w:pPr>
    </w:p>
    <w:p w:rsidR="00D06117" w:rsidRDefault="00D06117" w:rsidP="00D06117">
      <w:pPr>
        <w:pStyle w:val="TextoNormal"/>
      </w:pPr>
      <w:r>
        <w:t>Esta consolidada doctrina sobre la interpretación de conformidad con la Constitución ha podido este Tribunal flexibilizarla en supuestos en los que, por la singularidad de la norma enjuiciada y por las dificultades que entraña su reforma, como sucede en el caso de los Estatutos de Autonomía (ejemplos claros de ello son las SSTC 247/2007, de 12 de diciembre, y 31/2010, de 28 de junio, pero hay muchos otros en diversas Sentencias de este Tribunal desde su más temprana jurisprudencia), para evitar vacíos normativos de efectos indeseables, resultaba especialmente indicado apurar las posibilidades hermenéuticas, por si hubiera alguna interpretación (aunque forzada) adecuada a la Constitución que permitiera preservar la validez del precepto enjuiciado. Sin embargo, no es éste el supuesto de las leyes ordinarias, donde el vacío normativo que pudiera dejar la declaración de inconstitucionalidad y consiguiente nulidad del precepto enjuiciado, que determina su expulsión del ordenamiento jurídico, puede ser fácilmente remediado (si fuere necesario) mediante la intervención del legislador ordinario. En el presente caso, además, resulta que la expulsión del ordenamiento del inciso “e internacional” del precepto impugnado ni siquiera produciría vacío legal alguno.</w:t>
      </w:r>
    </w:p>
    <w:p w:rsidR="00D06117" w:rsidRDefault="00D06117" w:rsidP="00D06117">
      <w:pPr>
        <w:pStyle w:val="TextoNormal"/>
      </w:pPr>
    </w:p>
    <w:p w:rsidR="00D06117" w:rsidRDefault="00D06117" w:rsidP="00D06117">
      <w:pPr>
        <w:pStyle w:val="TextoNormal"/>
      </w:pPr>
      <w:r>
        <w:t>En definitiva, la Sentencia de la que discrepo ha incurrido, a mi entender, en un exceso de jurisdicción, al traspasar los límites de la interpretación conforme a la Constitución. De seguir en nuestro enjuiciamiento la operación manipulativa que realiza la Sentencia, nunca declararíamos la inconstitucionalidad de una norma, por muy opuesto a la Constitución que resultase el enunciado del texto legal: bastaría con hacerle decir lo contrario de lo que dice, como se hace en esta Sentencia. Ello resulta inadmisible, pues supondría una devaluación de la normatividad, que un Estado de Derecho no puede permitirse.</w:t>
      </w:r>
    </w:p>
    <w:p w:rsidR="00D06117" w:rsidRDefault="00D06117" w:rsidP="00D06117">
      <w:pPr>
        <w:pStyle w:val="TextoNormal"/>
      </w:pPr>
    </w:p>
    <w:p w:rsidR="00D06117" w:rsidRDefault="00D06117" w:rsidP="00D06117">
      <w:pPr>
        <w:pStyle w:val="TextoNormal"/>
      </w:pPr>
      <w:r>
        <w:t>Y en este sentido emito mi Voto particular.</w:t>
      </w:r>
    </w:p>
    <w:p w:rsidR="00D06117" w:rsidRDefault="00D06117" w:rsidP="00D06117">
      <w:pPr>
        <w:pStyle w:val="TextoNormal"/>
      </w:pPr>
    </w:p>
    <w:p w:rsidR="00D06117" w:rsidRDefault="00D06117" w:rsidP="00D06117">
      <w:pPr>
        <w:pStyle w:val="TextoNormal"/>
      </w:pPr>
      <w:r>
        <w:t>Madrid, a dieciocho de abril de dos mil doce.</w:t>
      </w:r>
    </w:p>
    <w:p w:rsidR="00D06117" w:rsidRDefault="00D06117" w:rsidP="00D06117">
      <w:pPr>
        <w:pStyle w:val="TextoNormal"/>
      </w:pPr>
    </w:p>
    <w:p w:rsidR="00D06117" w:rsidRDefault="00D06117" w:rsidP="00D06117">
      <w:pPr>
        <w:pStyle w:val="TextoNormalNegritaCentrado"/>
        <w:keepNext/>
      </w:pPr>
      <w:r>
        <w:lastRenderedPageBreak/>
        <w:t>Voto particular que formula el Magistrado don Francisco Pérez de los Cobos Orihuel a la Sentencia que resuelve el recurso de inconstitucionalidad 4033-1998.</w:t>
      </w:r>
    </w:p>
    <w:p w:rsidR="00D06117" w:rsidRDefault="00D06117" w:rsidP="00D06117">
      <w:pPr>
        <w:pStyle w:val="TextoNormalNegritaCentrado"/>
        <w:keepNext/>
      </w:pPr>
    </w:p>
    <w:p w:rsidR="00D06117" w:rsidRDefault="00D06117" w:rsidP="00D06117">
      <w:pPr>
        <w:pStyle w:val="TextoNormal"/>
      </w:pPr>
      <w:r>
        <w:t>Con el debido respeto al parecer mayoritario del Pleno del Tribunal Constitucional, en uso de la facultad que me atribuye el art. 90.2 de la Ley Orgánica del Tribunal Constitucional, me veo en la obligación de manifestar a través de este Voto particular mi discrepancia con el fallo y la fundamentación jurídica (concretamente, los fundamentos jurídicos 10 y 11) de la Sentencia que ha desestimado el recurso de inconstitucionalidad interpuesto por el Presidente del Gobierno de la Nación en relación con el art. 16.6 de la Ley del Parlamento Vasco 14/1998, de 11 de junio, del deporte, primer inciso, cuyo tenor ha sido considerado constitucional siempre que se interprete en los términos establecidos en el fundamento jurídico 11 de la Sentencia.</w:t>
      </w:r>
    </w:p>
    <w:p w:rsidR="00D06117" w:rsidRDefault="00D06117" w:rsidP="00D06117">
      <w:pPr>
        <w:pStyle w:val="TextoNormal"/>
      </w:pPr>
    </w:p>
    <w:p w:rsidR="00D06117" w:rsidRDefault="00D06117" w:rsidP="00D06117">
      <w:pPr>
        <w:pStyle w:val="TextoNormal"/>
      </w:pPr>
      <w:r>
        <w:t>La principal razón de mi discrepancia radica en que, a mi juicio, el Tribunal ha rebasado en su Sentencia con creces los límites del “principio de interpretación conforme”, hasta el punto de violentar el tenor de la ley recurrida para hacerle decir lo que no dice.</w:t>
      </w:r>
    </w:p>
    <w:p w:rsidR="00D06117" w:rsidRDefault="00D06117" w:rsidP="00D06117">
      <w:pPr>
        <w:pStyle w:val="TextoNormal"/>
      </w:pPr>
    </w:p>
    <w:p w:rsidR="00D06117" w:rsidRDefault="00D06117" w:rsidP="00D06117">
      <w:pPr>
        <w:pStyle w:val="TextoNormal"/>
      </w:pPr>
      <w:r>
        <w:t>Como el Tribunal Constitucional ha afirmado con reiteración, la posibilidad de emitir pronunciamientos interpretativos por su parte está sujeta a límites que no debe desconocer so pena de menoscabar la función de garante de la Constitución que le es propia. La interpretación conforme —ha dicho este Tribunal— tiene como límite infranqueable el del “respeto al propio tenor literal” de los preceptos interpretados (STC 222/1992, de 11 de diciembre, FJ 2 y ATC 328/2007, de 12 de julio, FJ 2), sin que quepa una “reconstrucción del mandato normativo” (SSTC 11/1981, de 8 de abril, FJ 4 y 24/2004, de 24 de febrero, FJ 6) ni “ignorar o desfigurar el sentido de enunciados legales meridianos” (SSTC 22/1985, de 15 de febrero, FJ 5 y 24/2004, de 24 de febrero, FJ 6). La interpretación conforme “no puede ser una interpretación contra legem, pues ello implicaría desfigurar y manipular los enunciados legales”, y no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(por todas, STC 273/2005, de 27 de octubre, FJ 8 y STC 35/2012, de 15 de marzo, FJ 8). En conclusión, “la posibilidad de interpretar las normas … no puede llegar a entender que la norma dice lo contrario o algo sustancialmente distinto de lo que dice” (STC 34/1981, de 10 de noviembre, FJ 5).</w:t>
      </w:r>
    </w:p>
    <w:p w:rsidR="00D06117" w:rsidRDefault="00D06117" w:rsidP="00D06117">
      <w:pPr>
        <w:pStyle w:val="TextoNormal"/>
      </w:pPr>
    </w:p>
    <w:p w:rsidR="00D06117" w:rsidRDefault="00D06117" w:rsidP="00D06117">
      <w:pPr>
        <w:pStyle w:val="TextoNormal"/>
      </w:pPr>
      <w:r>
        <w:t xml:space="preserve">Pues bien, tal es, en mi opinión, de lo ocurrido en el presente caso. El precepto recurrido y enjuiciado, el art. 16.6 de la Ley 14/1998 de la Ley del deporte vasco afirma de forma categórica, incondicionada, sin excepciones ni matices, que “la federación vasca de cada modalidad deportiva será la única representante del deporte federado vasco en el ámbito estatal e internacional”. De su literalidad, a mi entender, resulta indubitado que la ley recurrida atribuye a las federaciones deportivas vascas la representación internacional del deporte federado vasco en régimen de exclusividad —“única”— y con carácter absoluto —sin incluir límites en cuanto a tipos de deportes, competiciones o situaciones en que la previsión legal resulte aplicable—. Esta atribución, sin embargo, resulta contraria a la Constitución, pues como pone de manifiesto la propia Sentencia en su fundamentación, expresando un criterio que comparto, en atención a las exigencias a que quedan sometidas las competencias autonómicas, no es admisible que la Comunidad Autónoma del País Vasco pueda prever </w:t>
      </w:r>
      <w:r>
        <w:lastRenderedPageBreak/>
        <w:t>que las federaciones vascas sean las “únicas representantes del deporte federado vasco” con carácter general, dado que ello implicaría que el legislador vasco estaría configurando la regulación de determinadas facetas de la materia del deporte que afectan a la imagen exterior del Estado y que inciden en la esfera de intereses del deporte federado español en su conjunto; cuando, en realidad, se trata de decisiones que quedan fuera del poder de actuación de las Comunidades Autónomas y pertenecen forzosamente al Estado y, por tanto, constituyen un límite externo al ejercicio de esa competencia exclusiva autonómica (fundamento jurídico 10).</w:t>
      </w:r>
    </w:p>
    <w:p w:rsidR="00D06117" w:rsidRDefault="00D06117" w:rsidP="00D06117">
      <w:pPr>
        <w:pStyle w:val="TextoNormal"/>
      </w:pPr>
    </w:p>
    <w:p w:rsidR="00D06117" w:rsidRDefault="00D06117" w:rsidP="00D06117">
      <w:pPr>
        <w:pStyle w:val="TextoNormal"/>
      </w:pPr>
      <w:r>
        <w:t>El contraste entre la doctrina general elaborada en la Sentencia, sintéticamente transcrita, y la literalidad del precepto recurrido debiera haber llevado al Tribunal a declarar la inconstitucionalidad del precepto en cuestión, o, al menos, la de alguno de sus términos (“la única” o “internacional”), pero la mayoría del Pleno ha preferido salvarla afirmando que “es constitucional siempre que se trate de deportes en los que no existan federaciones españolas, y que, en ningún caso, se impidan o perturben las competencias del Estado de coordinación y representación internacional del deporte español” (fundamento jurídico 11). Esto es, haciendo una verdadera reconstrucción del precepto, al que se vacía de contenido y priva de su genuina identidad.</w:t>
      </w:r>
    </w:p>
    <w:p w:rsidR="00D06117" w:rsidRDefault="00D06117" w:rsidP="00D06117">
      <w:pPr>
        <w:pStyle w:val="TextoNormal"/>
      </w:pPr>
    </w:p>
    <w:p w:rsidR="00D06117" w:rsidRDefault="00D06117" w:rsidP="00D06117">
      <w:pPr>
        <w:pStyle w:val="TextoNormal"/>
      </w:pPr>
      <w:r>
        <w:t>A mi juicio, este modus operandi del Tribunal, supone el desconocimiento por su parte de deberes inherentes a la alta función jurisdiccional (art. 161.1 CE) que tiene encomendada:</w:t>
      </w:r>
    </w:p>
    <w:p w:rsidR="00D06117" w:rsidRDefault="00D06117" w:rsidP="00D06117">
      <w:pPr>
        <w:pStyle w:val="TextoNormal"/>
      </w:pPr>
    </w:p>
    <w:p w:rsidR="00D06117" w:rsidRDefault="00D06117" w:rsidP="00D06117">
      <w:pPr>
        <w:pStyle w:val="TextoNormal"/>
      </w:pPr>
      <w:r>
        <w:t>En primer lugar, el desconocimiento del respeto que el Tribunal debe al castellano, como lengua propia y del Estado (art. 3 CE). El Tribunal se debe a la lengua con la que trabaja y no puede ni debe tergiversarla o manipularla.</w:t>
      </w:r>
    </w:p>
    <w:p w:rsidR="00D06117" w:rsidRDefault="00D06117" w:rsidP="00D06117">
      <w:pPr>
        <w:pStyle w:val="TextoNormal"/>
      </w:pPr>
    </w:p>
    <w:p w:rsidR="00D06117" w:rsidRDefault="00D06117" w:rsidP="00D06117">
      <w:pPr>
        <w:pStyle w:val="TextoNormal"/>
      </w:pPr>
      <w:r>
        <w:t>En segundo lugar, el desconocimiento del deber de respeto a la autonomía política de las nacionalidades y regiones (art. 2 CE), en este caso de la Comunidad Autónoma del País Vasco. En consideración a la potestad legislativa del País Vasco, este Tribunal debiera limitarse a enjuiciar la constitucionalidad del precepto impugnado y a declarar, en consecuencia, su constitucionalidad o su inconstitucionalidad y nulidad (arts. 27.1 y 39.1 LOTC), pero no debiera violentar el precepto legal hasta hacerle decir lo que evidentemente no dice y ni fue querido por el legislador del País Vasco. A mi juicio, resulta más respetuosa con el principio de autonomía política del País Vasco la declaración de la inconstitucionalidad del precepto impugnado que imponer su tergiversación vinculante.</w:t>
      </w:r>
    </w:p>
    <w:p w:rsidR="00D06117" w:rsidRDefault="00D06117" w:rsidP="00D06117">
      <w:pPr>
        <w:pStyle w:val="TextoNormal"/>
      </w:pPr>
    </w:p>
    <w:p w:rsidR="00D06117" w:rsidRDefault="00D06117" w:rsidP="00D06117">
      <w:pPr>
        <w:pStyle w:val="TextoNormal"/>
      </w:pPr>
      <w:r>
        <w:t>En tercer lugar, el desconocimiento de la función nomofiláctica o de depuración del ordenamiento jurídico de leyes inconstitucionales que nos es propia. Si, como hemos afirmado con reiteración, “la función del Tribunal en los procesos de inconstitucionalidad es la ‘depuración del Ordenamiento jurídico’” (por todas, STC 24/2004, de 24 de febrero, FJ 1), el abuso de la interpretación conforme supone una clara abdicación de la misma, lesiva, además, de la seguridad jurídica que la Constitución quiere garantizar (art. 9.3 CE).</w:t>
      </w:r>
    </w:p>
    <w:p w:rsidR="00D06117" w:rsidRDefault="00D06117" w:rsidP="00D06117">
      <w:pPr>
        <w:pStyle w:val="TextoNormal"/>
      </w:pPr>
    </w:p>
    <w:p w:rsidR="00D06117" w:rsidRDefault="00D06117" w:rsidP="00D06117">
      <w:pPr>
        <w:pStyle w:val="TextoNormal"/>
      </w:pPr>
      <w:r>
        <w:t>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4" w:name="SENTENCIA_2012_81"/>
      <w:r>
        <w:lastRenderedPageBreak/>
        <w:t>SENTENCIA 81/2012, de 18 de abril de 2012</w:t>
      </w:r>
    </w:p>
    <w:bookmarkEnd w:id="8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ECLI:ES:TC:2012:81</w:t>
      </w:r>
    </w:p>
    <w:p w:rsidR="00D06117" w:rsidRDefault="00D06117" w:rsidP="00D06117">
      <w:pPr>
        <w:pStyle w:val="SntesisDescriptiva"/>
      </w:pPr>
    </w:p>
    <w:p w:rsidR="00D06117" w:rsidRDefault="00D06117" w:rsidP="00D06117">
      <w:pPr>
        <w:pStyle w:val="SntesisDescriptiva"/>
      </w:pPr>
      <w:r>
        <w:t>Cuestión de inconstitucionalidad 4569-2000. Planteada por la Sección Segunda de la Sala de lo Contencioso-Administrativo del Tribunal Superior de Justicia de Cataluña respecto al artículo 110.1 g) de la Ley del Parlamento de Cataluña 8/1987, de 15 de abril, municipal y de régimen local de Cataluña.</w:t>
      </w:r>
    </w:p>
    <w:p w:rsidR="00D06117" w:rsidRDefault="00D06117" w:rsidP="00D06117">
      <w:pPr>
        <w:pStyle w:val="SntesisDescriptiva"/>
      </w:pPr>
    </w:p>
    <w:p w:rsidR="00D06117" w:rsidRDefault="00D06117" w:rsidP="00D06117">
      <w:pPr>
        <w:pStyle w:val="SntesisAnaltica"/>
      </w:pPr>
      <w:r>
        <w:t>Competencias sobre régimen local y reserva de ley orgánica en relación con la regulación de las elecciones locales y el derecho al ejercicio de los cargos públicos representativos: nulidad del precepto legal autonómico que impide la presentación de una moción de censura al alcalde durante los períodos electorales.  Voto particular.</w:t>
      </w:r>
    </w:p>
    <w:p w:rsidR="00D06117" w:rsidRDefault="00D06117" w:rsidP="00D06117">
      <w:pPr>
        <w:pStyle w:val="SntesisAnaltica"/>
      </w:pPr>
    </w:p>
    <w:p w:rsidR="00D06117" w:rsidRDefault="00D06117" w:rsidP="00D06117">
      <w:pPr>
        <w:pStyle w:val="Extracto"/>
      </w:pPr>
      <w:r>
        <w:t>1.</w:t>
      </w:r>
      <w:r>
        <w:tab/>
        <w:t xml:space="preserve">La prohibición de presentación de la moción de censura cuando se ha publicado una convocatoria de elecciones, que prevé el artículo cuestionado, altera la configuración del mecanismo de la moción de censura, elimina posibilidades de remoción del alcalde y elección de uno nuevo y menoscaba el estatus representativo de los concejales, invadiendo ilegítimamente la competencia estatal </w:t>
      </w:r>
      <w:r w:rsidRPr="00D06117">
        <w:rPr>
          <w:i/>
        </w:rPr>
        <w:t>ex</w:t>
      </w:r>
      <w:r>
        <w:t xml:space="preserve"> art. 149.1.18 CE y vulnerando la reserva de ley orgánica que impone el art. 81.1 CE en relación con los arts. 23 y 140 CE [FJ 4].</w:t>
      </w:r>
    </w:p>
    <w:p w:rsidR="00D06117" w:rsidRDefault="00D06117" w:rsidP="00D06117">
      <w:pPr>
        <w:pStyle w:val="Extracto"/>
      </w:pPr>
    </w:p>
    <w:p w:rsidR="00D06117" w:rsidRDefault="00D06117" w:rsidP="00D06117">
      <w:pPr>
        <w:pStyle w:val="Extracto"/>
      </w:pPr>
      <w:r>
        <w:t>2.</w:t>
      </w:r>
      <w:r>
        <w:tab/>
        <w:t>La prohibición de la presentación de la moción de censura prevista en el artículo cuestionado, que no se refiere únicamente a la convocatoria de elecciones autonómicas sino a la de cualquier tipo de convocatoria electoral, no tiene por objeto el régimen electoral catalán, sino la moción de censura al alcalde, institución no comprendida dentro de la materia elecciones autonómicas, no encontrando por tanto cobertura en la competencia que ostenta la Comunidad Autónoma de Cataluña para la regulación de las elecciones autonómicas [FJ 4].</w:t>
      </w:r>
    </w:p>
    <w:p w:rsidR="00D06117" w:rsidRDefault="00D06117" w:rsidP="00D06117">
      <w:pPr>
        <w:pStyle w:val="Extracto"/>
      </w:pPr>
    </w:p>
    <w:p w:rsidR="00D06117" w:rsidRDefault="00D06117" w:rsidP="00D06117">
      <w:pPr>
        <w:pStyle w:val="Extracto"/>
      </w:pPr>
      <w:r>
        <w:t>3.</w:t>
      </w:r>
      <w:r>
        <w:tab/>
        <w:t xml:space="preserve">La regulación de los aspectos nucleares de la moción de censura al alcalde entran dentro del ámbito de las bases del régimen local, </w:t>
      </w:r>
      <w:r w:rsidRPr="00D06117">
        <w:rPr>
          <w:i/>
        </w:rPr>
        <w:t>ex</w:t>
      </w:r>
      <w:r>
        <w:t xml:space="preserve"> art. 149.1.18 CE, si bien ciertos elementos de la misma, al optar el legislador estatal por una moción de censura constructiva, tienen, además, un carácter electoral y de desarrollo del art. 23 CE, operando respecto a los mismos, por el juego de los arts. 81.1, 140 y 23.2 CE, la reserva de ley orgánica [FJ 3].</w:t>
      </w:r>
    </w:p>
    <w:p w:rsidR="00D06117" w:rsidRDefault="00D06117" w:rsidP="00D06117">
      <w:pPr>
        <w:pStyle w:val="Extracto"/>
      </w:pPr>
    </w:p>
    <w:p w:rsidR="00D06117" w:rsidRDefault="00D06117" w:rsidP="00D06117">
      <w:pPr>
        <w:pStyle w:val="Extracto"/>
      </w:pPr>
      <w:r>
        <w:t>4.</w:t>
      </w:r>
      <w:r>
        <w:tab/>
        <w:t>Enmarcada la moción de censura al alcalde en las bases del régimen local, en el desarrollo del art. 23 CE y en el régimen electoral general, es indudable que es al Estado al que corresponde, de acuerdo con los arts. 149.1.18 y 81.1 CE, en relación con los arts. 140 y 23 CE, establecer su configuración, límites y garantías [FJ 3].</w:t>
      </w:r>
    </w:p>
    <w:p w:rsidR="00D06117" w:rsidRDefault="00D06117" w:rsidP="00D06117">
      <w:pPr>
        <w:pStyle w:val="Extracto"/>
      </w:pPr>
    </w:p>
    <w:p w:rsidR="00D06117" w:rsidRDefault="00D06117" w:rsidP="00D06117">
      <w:pPr>
        <w:pStyle w:val="Extracto"/>
      </w:pPr>
      <w:r>
        <w:t>5.</w:t>
      </w:r>
      <w:r>
        <w:tab/>
        <w:t>Doctrina constitucional relativa a la moción de censura al alcalde (SSTC 5/1983, 214/1989) [FJ 3].</w:t>
      </w:r>
    </w:p>
    <w:p w:rsidR="00D06117" w:rsidRDefault="00D06117" w:rsidP="00D06117">
      <w:pPr>
        <w:pStyle w:val="Extracto"/>
      </w:pPr>
    </w:p>
    <w:p w:rsidR="00D06117" w:rsidRDefault="00D06117" w:rsidP="00D06117">
      <w:pPr>
        <w:pStyle w:val="Extracto"/>
      </w:pPr>
      <w:r>
        <w:lastRenderedPageBreak/>
        <w:t>6.</w:t>
      </w:r>
      <w:r>
        <w:tab/>
        <w:t>Doctrina sobre la reserva de ley orgánica establecida para la regulación del régimen electoral general, materia en la que se integran las elecciones locales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4569-2000, planteada por la Sección Segunda de la Sala de lo Contencioso-Administrativo del Tribunal Superior de Justicia de Cataluña respecto al artículo 110.1 g) de la Ley 8/1987, de 15 de abril, municipal y de régimen local de Cataluña en relación con el art. 81.1 de la Constitución. Han intervenido la Generalitat de Cataluña, el Parlamento de Cataluña, el Fiscal General del Estado y el Abogado del Estado. Ha sido Ponente el Magistrado don Francisco Pérez de los Cobos Orihuel,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11 de agosto de 2000 tuvo entrada en el Registro General de este Tribunal escrito de la Sección Segunda de la Sala de lo Contencioso-Administrativo del Tribunal Superior de Justicia de Cataluña al que se acompaña, junto al testimonio de las actuaciones núm. 94-2000, el Auto del referido órgano judicial de 26 de junio de 2000, por el que se acuerda plantear cuestión de inconstitucionalidad respecto al art. 110.1 g) de la Ley del Parlamento de Cataluña 8/1987, de 15 de abril, municipal y de régimen local de Cataluña, por su posible contradicción con el art. 81.1 CE, en relación con los arts. 23, 140 y 149.1.1 CE, en cuanto regula el régimen jurídico de la moción de censura en el ámbito de las entidades locales municipales.</w:t>
      </w:r>
    </w:p>
    <w:p w:rsidR="00D06117" w:rsidRDefault="00D06117" w:rsidP="00D06117">
      <w:pPr>
        <w:pStyle w:val="TextoNormal"/>
      </w:pPr>
    </w:p>
    <w:p w:rsidR="00D06117" w:rsidRDefault="00D06117" w:rsidP="00D06117">
      <w:pPr>
        <w:pStyle w:val="TextoNormal"/>
      </w:pPr>
      <w:r w:rsidRPr="00D06117">
        <w:rPr>
          <w:rStyle w:val="NumeroAFNegritaCaracter"/>
        </w:rPr>
        <w:t>2</w:t>
      </w:r>
      <w:r>
        <w:t>. La cuestión trae causa del recurso interpuesto por don Josep Mitjans Boada, don Josep Maria Rigual Boada, doña Montserrat Marrugat Esteve y doña Mercé Ferrer Casanella contra el Decreto núm. 12/2000 de la Alcaldía del Ayuntamiento de Sant Cugat de Sesgarrigues, de fecha 25 de enero de 2000, por el que se desestima la convocatoria de una sesión del Pleno municipal para debatir y aprobar una moción de censura contra el alcalde.</w:t>
      </w:r>
    </w:p>
    <w:p w:rsidR="00D06117" w:rsidRDefault="00D06117" w:rsidP="00D06117">
      <w:pPr>
        <w:pStyle w:val="TextoNormal"/>
      </w:pPr>
    </w:p>
    <w:p w:rsidR="00D06117" w:rsidRDefault="00D06117" w:rsidP="00D06117">
      <w:pPr>
        <w:pStyle w:val="TextoNormal"/>
      </w:pPr>
      <w:r>
        <w:t xml:space="preserve">Los actores, concejales del Ayuntamiento de Sant Cugat de Sesgarrigues, habían presentado una propuesta de convocar Pleno municipal para abordar una moción de censura contra </w:t>
      </w:r>
      <w:r>
        <w:lastRenderedPageBreak/>
        <w:t>el alcalde, cumpliendo a su juicio con los requisitos exigidos por el art. 197 de la Ley Orgánica del régimen electoral general (LOREG).</w:t>
      </w:r>
    </w:p>
    <w:p w:rsidR="00D06117" w:rsidRDefault="00D06117" w:rsidP="00D06117">
      <w:pPr>
        <w:pStyle w:val="TextoNormal"/>
      </w:pPr>
    </w:p>
    <w:p w:rsidR="00D06117" w:rsidRDefault="00D06117" w:rsidP="00D06117">
      <w:pPr>
        <w:pStyle w:val="TextoNormal"/>
      </w:pPr>
      <w:r>
        <w:t>La propuesta fue desestimada por el citado decreto de la Alcaldía de 25 de enero de 2000, dictado en aplicación del art. 110.1 g) de la Ley 8/1987, de 15 de abril, municipal y de régimen local de Cataluña, conforme al cual no procede la convocatoria automática del Pleno para la discusión y aprobación de la moción de censura cuando se hubiere convocado un proceso electoral y en tanto no hubiere culminado el mismo, tomando en consideración que, con anterioridad a la solicitud de los ediles, que traía fecha del día 24 de enero de 2000, mediante Real Decreto 64/2000, de 17 de enero, se había disuelto el Congreso de los Diputados y el Senado y se habían convocado elecciones generales.</w:t>
      </w:r>
    </w:p>
    <w:p w:rsidR="00D06117" w:rsidRDefault="00D06117" w:rsidP="00D06117">
      <w:pPr>
        <w:pStyle w:val="TextoNormal"/>
      </w:pPr>
    </w:p>
    <w:p w:rsidR="00D06117" w:rsidRDefault="00D06117" w:rsidP="00D06117">
      <w:pPr>
        <w:pStyle w:val="TextoNormal"/>
      </w:pPr>
      <w:r w:rsidRPr="00D06117">
        <w:rPr>
          <w:rStyle w:val="NumeroAFNegritaCaracter"/>
        </w:rPr>
        <w:t>3</w:t>
      </w:r>
      <w:r>
        <w:t>. Contra la resolución denegatoria, los ediles solicitantes formalizaron recurso contencioso-administrativo ante la Sala correspondiente del Tribunal Superior de Justicia de Cataluña, correspondiendo su conocimiento a la Sección Segunda de la citada Sala. Fue sustanciado en el rollo de Sala núm. 94-2000 y se llevó a efecto su tramitación hasta el momento de su deliberación y fallo en que, mediante providencia de 8 de mayo de 2000, se acordó la suspensión del término para dictar Sentencia y la apertura del trámite de audiencia a las partes personadas y al Ministerio Fiscal para que informaran sobre la procedencia de elevar cuestión de inconstitucionalidad respecto del al artículo 110.1 g) de la Ley del Parlamento de Cataluña 8/1987, de 15 de abril, municipal y de régimen local de Cataluña, por “una posible vulneración del régimen de competencias estatales en materia de régimen electoral general, previsto en la Constitución”.</w:t>
      </w:r>
    </w:p>
    <w:p w:rsidR="00D06117" w:rsidRDefault="00D06117" w:rsidP="00D06117">
      <w:pPr>
        <w:pStyle w:val="TextoNormal"/>
      </w:pPr>
    </w:p>
    <w:p w:rsidR="00D06117" w:rsidRDefault="00D06117" w:rsidP="00D06117">
      <w:pPr>
        <w:pStyle w:val="TextoNormal"/>
      </w:pPr>
      <w:r>
        <w:t>La representación procesal del Ayuntamiento de San Cugat de Sesgarrigues presentó sus alegaciones señalando que la regulación de la Ley Orgánica del régimen electoral general va mucho más allá de lo necesario para velar por la uniformidad del derecho electoral entrando a regular materias relativas al mero funcionamiento del régimen local cuya competencia corresponde a la Comunidad Autónoma de Cataluña. En efecto, se afirma que el procedimiento y requisitos para la presentación de una moción de censura son cuestiones de procedimiento local cuya regulación competencia a la Comunidad Autónoma catalana ex art. 9.8 de su Estatuto de Autonomía.</w:t>
      </w:r>
    </w:p>
    <w:p w:rsidR="00D06117" w:rsidRDefault="00D06117" w:rsidP="00D06117">
      <w:pPr>
        <w:pStyle w:val="TextoNormal"/>
      </w:pPr>
    </w:p>
    <w:p w:rsidR="00D06117" w:rsidRDefault="00D06117" w:rsidP="00D06117">
      <w:pPr>
        <w:pStyle w:val="TextoNormal"/>
      </w:pPr>
      <w:r>
        <w:t>Por su parte, los recurrentes alegaron que cabía salvar la constitucionalidad del precepto interpretando que se refiere exclusivamente a la convocatoria de elecciones locales y aplicando directamente la Ley Orgánica del régimen electoral general. Subsidiariamente consideran pertinente la elevación de la cuestión de inconstitucionalidad.</w:t>
      </w:r>
    </w:p>
    <w:p w:rsidR="00D06117" w:rsidRDefault="00D06117" w:rsidP="00D06117">
      <w:pPr>
        <w:pStyle w:val="TextoNormal"/>
      </w:pPr>
    </w:p>
    <w:p w:rsidR="00D06117" w:rsidRDefault="00D06117" w:rsidP="00D06117">
      <w:pPr>
        <w:pStyle w:val="TextoNormal"/>
      </w:pPr>
      <w:r>
        <w:t>El Ministerio Fiscal cumplió con el trámite conferido señalando que la moción de censura de los concejales para sustituir al alcalde forma parte del derecho fundamental a acceder en condiciones de igualdad a las funciones y cargos públicos (art. 23.2 CE) de modo que cualquier restricción de la misma afecta al citado derecho. Junto a ello hace notar que la disposición adicional primera.4 LOREG establece que las disposiciones de su título III, en el que se inserta el art. 197 LOREG que regula la moción de censura municipal, no pueden ser sustituidas o modificadas por la legislación autonómica. Termina instando a que, si por la vía interpretativa, no es posible acomodar el precepto cuestionado al ordenamiento constitucional se plantee la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Por Auto de 26 de junio de 2000, la Sección Segunda de la Sala de lo Contencioso-Administrativo del Tribunal Superior de Justicia de Cataluña acuerda plantear cuestión de inconstitucionalidad respecto del párrafo primero del respecto al art. 110.1 g) de la Ley del Parlamento de Cataluña 8/1987, de 15 de abril, municipal y de régimen local de Cataluña. En la fundamentación de la resolución, el órgano judicial considera que el citado precepto resulta “contrario a los arts. 81.1 de la CE, en relación a los arts. 23.1, 140 y l49.1.l de la Norma Fundamental quebrantando en consecuencia el régimen competencial que la Constitución atribuye al Estado para la regulación de las condiciones básicas que garanticen la igualdad de todos los españoles en el ejercicio de los derechos y el cumplimiento de los deberes constitucionales referidos al régimen electoral general, así como por vulnerar la reserva de la Ley Orgánica a cuya regulación debe someterse el ámbito primario y nuclear del régimen electoral general, en el cual se integra la regulación uniforme que garantice la igualdad en el ejercicio de la moción de censura”.</w:t>
      </w:r>
    </w:p>
    <w:p w:rsidR="00D06117" w:rsidRDefault="00D06117" w:rsidP="00D06117">
      <w:pPr>
        <w:pStyle w:val="TextoNormal"/>
      </w:pPr>
    </w:p>
    <w:p w:rsidR="00D06117" w:rsidRDefault="00D06117" w:rsidP="00D06117">
      <w:pPr>
        <w:pStyle w:val="TextoNormal"/>
      </w:pPr>
      <w:r>
        <w:t>Razona el órgano judicial que la esencia de la cuestión está en dilucidar si el régimen de la moción de censura municipal se incardina en el concepto de “régimen local” o en el de “régimen electoral general” y defiende su incardinación en éste último. La Sala argumenta que la moción de censura opera no sólo como un mecanismo de destitución del alcalde sino también de nombramiento de uno nuevo, configurándose, por tanto, como un procedimiento de elección del mismo. Se trata, en consecuencia, de una cuestión que entra dentro de la materia “elecciones locales” que, de acuerdo con la doctrina del Tribunal Constitucional (STC 38/1983, de 16 de mayo), no se integra en el concepto de “régimen local” y que puede asimilarse a la materia “régimen electoral general”, ya que, tal y como ha señalado el Tribunal Constitucional, las normas electorales son aquellas relativas “a quiénes pueden elegir, a quiénes se puede elegir y bajo qué condiciones, para qué espacio de tiempo y bajo qué criterios organizativos desde el punto de vista procedimental y territorial” (STC 72/1984, de 14 de junio).</w:t>
      </w:r>
    </w:p>
    <w:p w:rsidR="00D06117" w:rsidRDefault="00D06117" w:rsidP="00D06117">
      <w:pPr>
        <w:pStyle w:val="TextoNormal"/>
      </w:pPr>
    </w:p>
    <w:p w:rsidR="00D06117" w:rsidRDefault="00D06117" w:rsidP="00D06117">
      <w:pPr>
        <w:pStyle w:val="TextoNormal"/>
      </w:pPr>
      <w:r>
        <w:t>A partir de ahí, se argumenta que el art. 81.1 CE reserva el régimen electoral general a la Ley Orgánica. Conforme a la STC 38/1983 corresponde al Estado la competencia exclusiva sobre el contenido primario y nuclear del régimen electoral. Las Comunidades Autónomas pueden desarrollar estas materias, pero no sustituir, modificar o contradecir las normas básicas sobre elecciones locales. A juicio de la Sala esto es lo que ha hecho el precepto cuestionado estableciendo una limitación temporal ex novo a la moción de censura y restringiendo así una manifestación del derecho fundamental contenido en el art. 23.2 CE. Esta limitación y restricción no encuentra su razón de ser en la protección o salvaguarda de ningún otro derecho fundamental, de modo que carece de justificación constitucional.</w:t>
      </w:r>
    </w:p>
    <w:p w:rsidR="00D06117" w:rsidRDefault="00D06117" w:rsidP="00D06117">
      <w:pPr>
        <w:pStyle w:val="TextoNormal"/>
      </w:pPr>
    </w:p>
    <w:p w:rsidR="00D06117" w:rsidRDefault="00D06117" w:rsidP="00D06117">
      <w:pPr>
        <w:pStyle w:val="TextoNormal"/>
      </w:pPr>
      <w:r>
        <w:t>Finalmente, el Auto de planteamiento destaca que no es posible aplicar el Derecho estatal como jerárquicamente superior o prevalente, por lo que resulta necesario elevar la cuestión de inconstitucionalidad ante este Tribunal.</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Mediante providencia de 16 de enero de 2001, la Sección Primera de este Tribunal acordó admitir a trámite la cuestión y, conforme al art. 37.2 de la Ley Orgánica del Tribunal Constitucional (LOTC), dirigir atenta comunicación al Congreso de los Diputados, al Senado, al Gobierno y al Fiscal General del Estado, así como al Gobierno de la Generalidad de Cataluña y al Parlamento de Cataluña, al objeto de que pudieran personarse y formular </w:t>
      </w:r>
      <w:r>
        <w:lastRenderedPageBreak/>
        <w:t>las alegaciones que estimasen convenientes. Además resolvió publicar la incoación de la cuestión en el “Boletín Oficial del Estado”.</w:t>
      </w:r>
    </w:p>
    <w:p w:rsidR="00D06117" w:rsidRDefault="00D06117" w:rsidP="00D06117">
      <w:pPr>
        <w:pStyle w:val="TextoNormal"/>
      </w:pPr>
    </w:p>
    <w:p w:rsidR="00D06117" w:rsidRDefault="00D06117" w:rsidP="00D06117">
      <w:pPr>
        <w:pStyle w:val="TextoNormal"/>
      </w:pPr>
      <w:r>
        <w:t>De ese modo, en el “Boletín Oficial del Estado” núm. 27, de 31 de enero de 2001, se hizo pública la admisión a trámite de la cuestión de inconstitucionalidad núm. 4569-2000.</w:t>
      </w:r>
    </w:p>
    <w:p w:rsidR="00D06117" w:rsidRDefault="00D06117" w:rsidP="00D06117">
      <w:pPr>
        <w:pStyle w:val="TextoNormal"/>
      </w:pPr>
    </w:p>
    <w:p w:rsidR="00D06117" w:rsidRDefault="00D06117" w:rsidP="00D06117">
      <w:pPr>
        <w:pStyle w:val="TextoNormal"/>
      </w:pPr>
      <w:r w:rsidRPr="00D06117">
        <w:rPr>
          <w:rStyle w:val="NumeroAFNegritaCaracter"/>
        </w:rPr>
        <w:t>6</w:t>
      </w:r>
      <w:r>
        <w:t>. La Mesa del Senado, por escrito registrado en este Tribunal el 1 de febrero de 2001, trasladó su acuerdo de 29 de enero de 2001 de dar por personada a esa Cámara en el presente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6 de febrero de 2001 tuvo entrada en el Registro General de este Tribunal Constitucional un escrito de don Ramón Riu i Fortuny, Abogado de la Generalitat de Cataluña en la representación que legalmente ostenta por el que, evacuando el trámite conferido, presenta sus alegaciones.</w:t>
      </w:r>
    </w:p>
    <w:p w:rsidR="00D06117" w:rsidRDefault="00D06117" w:rsidP="00D06117">
      <w:pPr>
        <w:pStyle w:val="TextoNormal"/>
      </w:pPr>
    </w:p>
    <w:p w:rsidR="00D06117" w:rsidRDefault="00D06117" w:rsidP="00D06117">
      <w:pPr>
        <w:pStyle w:val="TextoNormal"/>
      </w:pPr>
      <w:r>
        <w:t>En ellas, en primer lugar se destaca que la cuestión de si la regulación de las elecciones locales, y más concretamente, la moción de censura, forma parte del régimen local o del régimen electoral general ha sido objeto de un antiguo y extenso debate doctrinal. A este respecto, se señala la contradicción que supone entender que la moción de censura al alcalde sea materia reservada a la Ley Orgánica en tanto que la disolución del Ayuntamiento aparece regulada en el art. 61 de la Ley reguladora de las bases del régimen local. En todo caso, el escrito considera que una cosa es incardinar el sistema electoral local en el sistema electoral general y otra muy distinta aceptar sin más que la regulación de la moción de censura a los alcaldes forma parte del régimen electoral. Además entiende que resultaría incompatible con la reserva de ley orgánica el extenderlo a cualquier aspecto o circunstancia que tenga relación con la moción de censura.</w:t>
      </w:r>
    </w:p>
    <w:p w:rsidR="00D06117" w:rsidRDefault="00D06117" w:rsidP="00D06117">
      <w:pPr>
        <w:pStyle w:val="TextoNormal"/>
      </w:pPr>
    </w:p>
    <w:p w:rsidR="00D06117" w:rsidRDefault="00D06117" w:rsidP="00D06117">
      <w:pPr>
        <w:pStyle w:val="TextoNormal"/>
      </w:pPr>
      <w:r>
        <w:t>Por otra parte, a juicio de la representación procesal de la Generalidad, cabe demostrar que no hay antinomia alguna entre el precepto impugnado y la Ley Orgánica del régimen electoral general. Para ello, en primer lugar, alega que la reserva de ley orgánica no impide la regulación por la Generalitat de aquellas materias conexas respecto de las que tiene atribuida competencia legislativa. La exigencia de mayorías parlamentarias reforzadas constituye una excepción a la regla general de la mayoría simple, vinculada a su vez al principio democrático. Por ello no cabe extender el ámbito reservado a la ley orgánica, obligando la Constitución a una interpretación restrictiva del mismo. A ello se suma que el ámbito de la reserva de ley orgánica no es coextenso al de las competencias atribuidas al Estado. Respecto al régimen electoral general en concreto, el escrito de alegaciones invoca la STC 38/1983, de 16 de mayo, FJ 2, en el sentido de que debe circunscribirse a “lo que es primario y nuclear en el régimen electoral”, de modo que es preciso interpretar restrictivamente el ámbito material de la reserva de ley orgánica sobre el régimen electoral general, resultando además que la regulación del sistema electoral incide en otras materias conexas sobre las que la Generalitat de Cataluña ha asumido competencias legislativas.</w:t>
      </w:r>
    </w:p>
    <w:p w:rsidR="00D06117" w:rsidRDefault="00D06117" w:rsidP="00D06117">
      <w:pPr>
        <w:pStyle w:val="TextoNormal"/>
      </w:pPr>
    </w:p>
    <w:p w:rsidR="00D06117" w:rsidRDefault="00D06117" w:rsidP="00D06117">
      <w:pPr>
        <w:pStyle w:val="TextoNormal"/>
      </w:pPr>
      <w:r>
        <w:t xml:space="preserve">A su juicio, no cabe admitir que aquellos aspectos conexos al régimen electoral general respecto de los que la propia Ley Orgánica del régimen electoral general no haya explicitado un reenvío al legislador autonómico se encuentren absolutamente vedados a su regulación. El legislador catalán dispone de título competencial propio en materia de régimen local que le permite incidir en los aspectos de la moción de censura a los alcaldes que no contradigan </w:t>
      </w:r>
      <w:r>
        <w:lastRenderedPageBreak/>
        <w:t>o se opongan a las disposiciones del régimen electoral general y a las normas estatales básicas del régimen local.</w:t>
      </w:r>
    </w:p>
    <w:p w:rsidR="00D06117" w:rsidRDefault="00D06117" w:rsidP="00D06117">
      <w:pPr>
        <w:pStyle w:val="TextoNormal"/>
      </w:pPr>
    </w:p>
    <w:p w:rsidR="00D06117" w:rsidRDefault="00D06117" w:rsidP="00D06117">
      <w:pPr>
        <w:pStyle w:val="TextoNormal"/>
      </w:pPr>
      <w:r>
        <w:t>Para proceder al deslinde de las materias “régimen electoral general” y “régimen local” determinando en cual de estos ámbitos encaja la regulación de la moción de censura al alcalde es preciso acudir a los criterios generales enunciados por el Tribunal Constitucional. Así, conforme al art. 9.8 del Estatuto de Autonomía de Cataluña, la Generalidad de Cataluña ha asumido la competencia exclusiva en materia de régimen local sin perjuicio de las bases estatales del régimen de las Administraciones públicas. Conforme a la STC 32/1981, de 28 de julio, FJ 5, la fijación de estas condiciones básicas no puede implicar en ningún caso el establecimiento de un régimen uniforme para todas las entidades locales en todo el Estado. Al respecto, el escrito señala que aquellos aspectos relacionados con la elección de los órganos de las corporaciones locales que no encajen estrictamente con la materia “régimen electoral general” y no revistan una naturaleza básica han de ser reconocidos en el ámbito de esta competencia autonómica. Conforme al criterio de que el régimen electoral general tan sólo incluye lo primario y nuclear, la Ley Orgánica del régimen electoral general incorporó una regulación de la moción de censura en su artículo 197. El ámbito material de la reserva de ley orgánica ha de entenderse en todo caso agotado con las previsiones incluidas en esa ley, quedando la posibilidad de regular otros aspectos o materias conexas. De ese modo, la previsión incluida en el precepto cuestionado, que puede incidir sobre la moción de censura pero no modifica ni impide la efectividad de lo recogido en la Ley Orgánica del régimen electoral general, encaja en la competencia asumida por la Generalitat en materia de régimen local. Adicionalmente señala que es más que dudoso, a su entender, que el plazo y el automatismo en la convocatoria del pleno constituyan elementos inherentes al ámbito primario del régimen electoral y, por consiguiente, a la reserva de ley orgánica.</w:t>
      </w:r>
    </w:p>
    <w:p w:rsidR="00D06117" w:rsidRDefault="00D06117" w:rsidP="00D06117">
      <w:pPr>
        <w:pStyle w:val="TextoNormal"/>
      </w:pPr>
    </w:p>
    <w:p w:rsidR="00D06117" w:rsidRDefault="00D06117" w:rsidP="00D06117">
      <w:pPr>
        <w:pStyle w:val="TextoNormal"/>
      </w:pPr>
      <w:r>
        <w:t>En todo caso, el Abogado de la Generalitat considera que es posible realizar una interpretación del precepto cuestionado conforme a la Constitución. Así, señala que la regulación que establece no afecta a la regulación intrínseca del mecanismo de la moción de censura, que en nada se modifica, sino que atañe únicamente a las circunstancias en que ese mecanismo puede activarse. Por tanto incide en las circunstancias previas —y pasajeras— anteriores a la presentación de la moción de censura, mientras que la Ley Orgánica 8/1999 se refiere a otras cuestiones tales como los requisitos materiales de la moción, el procedimiento a seguir para su presentación y sus efectos. Lo que la norma catalana establece es, por tanto, tan sólo una limitación temporal, pasajera y breve, de muy escasa entidad. De esa manera no existe propiamente una antinomia entre ambas normas.</w:t>
      </w:r>
    </w:p>
    <w:p w:rsidR="00D06117" w:rsidRDefault="00D06117" w:rsidP="00D06117">
      <w:pPr>
        <w:pStyle w:val="TextoNormal"/>
      </w:pPr>
    </w:p>
    <w:p w:rsidR="00D06117" w:rsidRDefault="00D06117" w:rsidP="00D06117">
      <w:pPr>
        <w:pStyle w:val="TextoNormal"/>
      </w:pPr>
      <w:r>
        <w:t xml:space="preserve">Subsidiariamente, para el caso de que no se admitiera el encaje antes reseñado, el escrito de alegaciones señala que es también posible hacer una interpretación de la ley catalana conforme a la Constitución, entendiendo que la limitación impuesta al ejercicio de la moción de censura se circunscribe únicamente al supuesto en que su tramitación pueda coincidir con una convocatoria electoral al Parlamento de Cataluña. El Parlamento de Cataluña dispone de la competencia para regular su propio régimen electoral, dentro del marco de la Constitución Española, y por ello puede establecer que el período que transcurre entre la convocatoria y la celebración de las elecciones catalanas no coincida con la presentación de mociones de censura a los alcaldes de los municipios de Cataluña. A juicio de la representación procesal de la Generalidad, existen razones plausibles que pudieron llevar al Parlamento de Cataluña a aprobar el precepto cuestionado y que apuntan, además de a la voluntad </w:t>
      </w:r>
      <w:r>
        <w:lastRenderedPageBreak/>
        <w:t>de procurar un mayor sosiego y estabilidad de los Ayuntamientos durante los períodos de campaña y precampaña electoral, evitando que las polémicas inherentes al proceso electoral en curso pueda precipitar irreflexivamente situaciones de crisis en los ayuntamientos, también a procurar que el proceso electoral en marcha pueda verse afectado por contiendas locales ajenas a ese objeto específico.</w:t>
      </w:r>
    </w:p>
    <w:p w:rsidR="00D06117" w:rsidRDefault="00D06117" w:rsidP="00D06117">
      <w:pPr>
        <w:pStyle w:val="TextoNormal"/>
      </w:pPr>
    </w:p>
    <w:p w:rsidR="00D06117" w:rsidRDefault="00D06117" w:rsidP="00D06117">
      <w:pPr>
        <w:pStyle w:val="TextoNormal"/>
      </w:pPr>
      <w:r>
        <w:t>Adicionalmente el escrito de alegaciones rechaza que el precepto cuestionado invada la competencia reservada al Estado por el art. 149.1.1 CE para establecer y regular las condiciones básicas que aseguren la igualdad en el ejercicio de la moción de censura municipal en todo el territorio nacional. De una parte porque la STC 38/1983, de l6 de mayo, FJ 2, rechazó con toda claridad que el art. 149.l.l CE pudiera resultar vulnerado por normas autonómicas de desarrollo relacionadas con el sistema electoral local. De otra porque el art. 149.1.1 CE no puede dar cobertura a disposiciones estatales dictadas en aplicación de títulos competenciales más específicos como son en este caso los arts. 81.1 y 140 CE.</w:t>
      </w:r>
    </w:p>
    <w:p w:rsidR="00D06117" w:rsidRDefault="00D06117" w:rsidP="00D06117">
      <w:pPr>
        <w:pStyle w:val="TextoNormal"/>
      </w:pPr>
    </w:p>
    <w:p w:rsidR="00D06117" w:rsidRDefault="00D06117" w:rsidP="00D06117">
      <w:pPr>
        <w:pStyle w:val="TextoNormal"/>
      </w:pPr>
      <w:r>
        <w:t>Por último, la representación procesal de la Generalidad de Cataluña argumenta que el art. 110.1 g) de la Ley municipal y de régimen local de Cataluña no limita ni restringe injustificadamente el derecho a acceder en condiciones de igualdad a las funciones y cargos públicos (art. 23.2 CE). Señala que el Tribunal Constitucional en las SSTC 5/1983, de 4 de febrero, FJ 5 y 30/1983, de 26 de abril, FJ 3, tiene declarado que la elección de alcalde, cuando es de segundo grado, no afecta al derecho reconocido en el art. 23.2 CE, que se refiere exclusivamente a la elección de representantes directos. Tan sólo en casos muy excepcionales la elección del alcalde se produce subsidiariamente de forma inmediata por los electores, y en ellos ha de entenderse que la pequeña dilación temporal impuesta por el precepto aparece plenamente justificada, en las razones antes expuestas, y resulta especialmente proporcional a la vista de su carácter provisional.</w:t>
      </w:r>
    </w:p>
    <w:p w:rsidR="00D06117" w:rsidRDefault="00D06117" w:rsidP="00D06117">
      <w:pPr>
        <w:pStyle w:val="TextoNormal"/>
      </w:pPr>
    </w:p>
    <w:p w:rsidR="00D06117" w:rsidRDefault="00D06117" w:rsidP="00D06117">
      <w:pPr>
        <w:pStyle w:val="TextoNormal"/>
      </w:pPr>
      <w:r>
        <w:t>Por todo ello, el escrito de alegaciones termina interesando que se dicte Sentencia por la que se desestime la cuestión de inconstitucionalidad planteada.</w:t>
      </w:r>
    </w:p>
    <w:p w:rsidR="00D06117" w:rsidRDefault="00D06117" w:rsidP="00D06117">
      <w:pPr>
        <w:pStyle w:val="TextoNormal"/>
      </w:pPr>
    </w:p>
    <w:p w:rsidR="00D06117" w:rsidRDefault="00D06117" w:rsidP="00D06117">
      <w:pPr>
        <w:pStyle w:val="TextoNormal"/>
      </w:pPr>
      <w:r w:rsidRPr="00D06117">
        <w:rPr>
          <w:rStyle w:val="NumeroAFNegritaCaracter"/>
        </w:rPr>
        <w:t>8</w:t>
      </w:r>
      <w:r>
        <w:t>. La Mesa del Congreso de los Diputados, en escrito registrado en este Tribunal el 7 de febrero de 2001, dio traslado de su acuerdo de 1 de febrero de 2001 de que el Congreso de los Diputados no se personará en el procedimiento ni formulará alegaciones.</w:t>
      </w:r>
    </w:p>
    <w:p w:rsidR="00D06117" w:rsidRDefault="00D06117" w:rsidP="00D06117">
      <w:pPr>
        <w:pStyle w:val="TextoNormal"/>
      </w:pPr>
    </w:p>
    <w:p w:rsidR="00D06117" w:rsidRDefault="00D06117" w:rsidP="00D06117">
      <w:pPr>
        <w:pStyle w:val="TextoNormal"/>
      </w:pPr>
      <w:r w:rsidRPr="00D06117">
        <w:rPr>
          <w:rStyle w:val="NumeroAFNegritaCaracter"/>
        </w:rPr>
        <w:t>9</w:t>
      </w:r>
      <w:r>
        <w:t>. El Abogado del Estado, en la representación que ostenta, vino a cumplimentar el trámite de alegaciones mediante escrito ingresado en el Registro General de este Tribunal el día 8 de febrero de 2001.</w:t>
      </w:r>
    </w:p>
    <w:p w:rsidR="00D06117" w:rsidRDefault="00D06117" w:rsidP="00D06117">
      <w:pPr>
        <w:pStyle w:val="TextoNormal"/>
      </w:pPr>
    </w:p>
    <w:p w:rsidR="00D06117" w:rsidRDefault="00D06117" w:rsidP="00D06117">
      <w:pPr>
        <w:pStyle w:val="TextoNormal"/>
      </w:pPr>
      <w:r>
        <w:t>En el mismo comienza por señalar que la regulación del precepto cuestionado se incardina en la materia “régimen electoral general”, tal y como reconoce el mismo precepto autonómico que se remite a “la legislación electoral”, si bien la innovación que contiene es ajena a las previsiones de la legislación básica.</w:t>
      </w:r>
    </w:p>
    <w:p w:rsidR="00D06117" w:rsidRDefault="00D06117" w:rsidP="00D06117">
      <w:pPr>
        <w:pStyle w:val="TextoNormal"/>
      </w:pPr>
    </w:p>
    <w:p w:rsidR="00D06117" w:rsidRDefault="00D06117" w:rsidP="00D06117">
      <w:pPr>
        <w:pStyle w:val="TextoNormal"/>
      </w:pPr>
      <w:r>
        <w:t xml:space="preserve">El Abogado del Estado señala su coincidencia con las argumentaciones del Auto de planteamiento también en lo que afecta a la lesión del art. 23 CE pues el fracaso de la moción de censura por imperio de la norma cuestionada impediría la eficaz renovación de un cargo electivo por sus propios electores, los concejales. En consonancia con ello también comparte </w:t>
      </w:r>
      <w:r>
        <w:lastRenderedPageBreak/>
        <w:t>que la regulación en cuestión lesiona el art. l49.l.l CE, de modo que el Abogado del Estado se adhiere a la pretensión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10</w:t>
      </w:r>
      <w:r>
        <w:t>. El Fiscal General del Estado, por su parte, formuló sus alegaciones mediante escrito ingresado en el Registro General de este Tribunal el día 9 de febrero de 2001.</w:t>
      </w:r>
    </w:p>
    <w:p w:rsidR="00D06117" w:rsidRDefault="00D06117" w:rsidP="00D06117">
      <w:pPr>
        <w:pStyle w:val="TextoNormal"/>
      </w:pPr>
    </w:p>
    <w:p w:rsidR="00D06117" w:rsidRDefault="00D06117" w:rsidP="00D06117">
      <w:pPr>
        <w:pStyle w:val="TextoNormal"/>
      </w:pPr>
      <w:r>
        <w:t>Comienza sus consideraciones sobre el fondo de la cuestión destacando que la moción de censura se integra dentro del mecanismo de elección de segundo grado de los alcaldes que ha establecido el legislador estatal, de conformidad con el art. 140 CE, formando parte del núcleo esencial del régimen electoral general, materia que es de competencia exclusiva del Estado, únicamente susceptible de regulación a través de Ley Orgánica. Ello no resulta incompatible con que Cataluña pueda también establecer normativas legales en el ejercicio de sus competencias propias para adaptar los mecanismos de elección de los alcaldes de sus municipios a las peculiaridades propias de su marco institucional.</w:t>
      </w:r>
    </w:p>
    <w:p w:rsidR="00D06117" w:rsidRDefault="00D06117" w:rsidP="00D06117">
      <w:pPr>
        <w:pStyle w:val="TextoNormal"/>
      </w:pPr>
    </w:p>
    <w:p w:rsidR="00D06117" w:rsidRDefault="00D06117" w:rsidP="00D06117">
      <w:pPr>
        <w:pStyle w:val="TextoNormal"/>
      </w:pPr>
      <w:r>
        <w:t>Por lo que hace a la cuestión de la invasión por parte del precepto cuestionado de las competencias exclusivas sobre el régimen electoral general, el Fiscal General del Estado coincide con el auto de planteamiento de la cuestión de inconstitucionalidad en que la regulación abordada por el precepto cuestionado es materia sujeta a la normativa electoral general. Y también en que la misma introduce una prohibición que no aparece en la Ley Orgánica del régimen electoral general y que representa una limitación que afecta a la esencia material de un derecho fundamental que el art. 23 CE reconoce a los concejales en cuanto representantes de la voluntad popular.</w:t>
      </w:r>
    </w:p>
    <w:p w:rsidR="00D06117" w:rsidRDefault="00D06117" w:rsidP="00D06117">
      <w:pPr>
        <w:pStyle w:val="TextoNormal"/>
      </w:pPr>
    </w:p>
    <w:p w:rsidR="00D06117" w:rsidRDefault="00D06117" w:rsidP="00D06117">
      <w:pPr>
        <w:pStyle w:val="TextoNormal"/>
      </w:pPr>
      <w:r>
        <w:t>Se trata además, siempre a juicio del Fiscal General del Estado, de una prohibición que no soporta la aplicación de la regla de la proporcionalidad, pues se limita un derecho fundamental sin que ello resulte justificado por la preservación de otro derecho o de un interés general susceptible de protección. La norma legal podría hallar alguna justificación si la prohibición hubiera quedado limitada a aquéllas convocatorias que pudieran incidir de un modo directo en la voluntad de los electores del municipio correspondiente, pero los términos taxativos en los que se manifiesta el precepto cuestionado extienden la prohibición a todo tipo de convocatorias electorales, lo que le priva de fundamento constitucional y lo vuelve desproporcionado y contrario a los arts. 23.2, 81.1 y 149.1.1 CE. Por ello, el Fiscal General del Estado interesa que se dicte sentencia estimatoria de la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11</w:t>
      </w:r>
      <w:r>
        <w:t>. El Letrado del Parlamento de Cataluña, en nombre y representación del mismo, formuló sus alegaciones mediante escrito ingresado en el Registro General de este Tribunal el día 12 de febrero de 2001. En ellas pone de relieve, en primer lugar, la importancia que la autonomía municipal tiene para Cataluña, si bien señala que, a diferencia de los sistemas federales clásicos, en nuestra Constitución las competencias sobre Administración local están repartidas entre el Estado y las Comunidades Autónomas. En este panorama, la autonomía local no legitima nuevas competencias exclusivas del Estado que no vengan apoyadas en preceptos constitucionales expresos, ni tampoco limita las competencias autonómicas. Por otro lado, a juicio de esa representación procesal, la presente cuestión de inconstitucionalidad es sobrevenida, pues una vez aprobada la Ley municipal y de régimen local de Ca</w:t>
      </w:r>
      <w:r>
        <w:lastRenderedPageBreak/>
        <w:t>taluña, se consideró constitucional durante la vigencia de la Ley Orgánica del régimen electoral general de 1985 y ha sido tan sólo la introducción en 1991 del nuevo art. 197 LOREG la que provoca las dudas de inconstitucionalidad.</w:t>
      </w:r>
    </w:p>
    <w:p w:rsidR="00D06117" w:rsidRDefault="00D06117" w:rsidP="00D06117">
      <w:pPr>
        <w:pStyle w:val="TextoNormal"/>
      </w:pPr>
    </w:p>
    <w:p w:rsidR="00D06117" w:rsidRDefault="00D06117" w:rsidP="00D06117">
      <w:pPr>
        <w:pStyle w:val="TextoNormal"/>
      </w:pPr>
      <w:r>
        <w:t>A continuación, el escrito de alegaciones del Parlamento de Cataluña introduce una serie de consideraciones teóricas acerca de la relación entre la ley orgánica y la ley ordinaria en nuestro ordenamiento jurídico que concluyen con que la relación entre ambas se organiza de acuerdo al principio de competencia y no al de jerarquía.</w:t>
      </w:r>
    </w:p>
    <w:p w:rsidR="00D06117" w:rsidRDefault="00D06117" w:rsidP="00D06117">
      <w:pPr>
        <w:pStyle w:val="TextoNormal"/>
      </w:pPr>
    </w:p>
    <w:p w:rsidR="00D06117" w:rsidRDefault="00D06117" w:rsidP="00D06117">
      <w:pPr>
        <w:pStyle w:val="TextoNormal"/>
      </w:pPr>
      <w:r>
        <w:t>Después aborda la cuestión de la responsabilidad política de los alcaldes y el régimen electoral, partiendo de la consideración de este Tribunal de que la regulación de las elecciones municipales constituye uno de los aspectos esenciales del régimen electoral general, y resume la jurisprudencia al respecto. No obstante, el sistema de la responsabilidad política de los alcaldes, la sustitución de un alcalde por otro, su ratificación, son temas que, a su parecer, se deben regular en las normas de régimen local, no en las del régimen electoral general. La Constitución regula el sistema de responsabilidad del Gobierno en un título específico, el quinto, y no cuando habla de las normas electorales. Además, cuando se trata del Gobierno central y de los Gobiernos autonómicos las normas que regulan la moción de censura no están en las leyes electorales sino en otras más específicas: los Reglamentos de las Cámaras. Un repaso a la historia de la legislación local confirma sin excepciones y de forma rotunda que la legislación local, desde el Real Decreto de 23 de julio de 1835 para el ordenamiento provisional de los ayuntamientos del reino, ha regulado siempre la organización y composición de los órganos de gobierno de las entidades locales, y lo ha hecho siempre al margen de las normas electorales. Del mismo modo la exigencia de la responsabilidad política del Gobierno ha estado siempre al margen de la elección política, ligada a la pérdida de confianza política (ATC 538/1985) y no al sistema electoral. Sin embargo, por la inercia de regular la responsabilidad política junto a la elección, la necesidad de dar una respuesta políticamente coherente a la responsabilidad política de las autoridades locales democráticas se plasmó en la Ley Orgánica del régimen electoral general que, a juicio del Letrado del Parlamento de Cataluña, es una norma material y formalmente inadecuada. Considera que elección y substitución son realidades por completo diferentes que no tienen por qué ir reguladas conjuntamente, por más que la moción de censura constructiva implique efectos determinados. Se pregunta, en este sentido, si remover es lo mismo que elegir, y qué elección se hace cuando fracasa la moción de censura. Elección, ratificación, revocación, son elementos necesariamente conexos en el sistema constitucional de responsabilidad política democrática, pero de ahí no puede concluirse que formen parte del régimen electoral general.</w:t>
      </w:r>
    </w:p>
    <w:p w:rsidR="00D06117" w:rsidRDefault="00D06117" w:rsidP="00D06117">
      <w:pPr>
        <w:pStyle w:val="TextoNormal"/>
      </w:pPr>
    </w:p>
    <w:p w:rsidR="00D06117" w:rsidRDefault="00D06117" w:rsidP="00D06117">
      <w:pPr>
        <w:pStyle w:val="TextoNormal"/>
      </w:pPr>
      <w:r>
        <w:t>Por otro lado señala que la remisión del art. 22.3 de la Ley reguladora de las bases de régimen local a los arts. 197 y 197 bis LOREG no es suficiente para dotar a estas normas de carácter básico. Tras un detallado análisis de la jurisprudencia relativa a las normas básicas, llega a la conclusión de que los citados preceptos de la Ley Orgánica del régimen electoral general en su redacción vigente han desbordado, por su detallismo casuista, el carácter de normas básicas y, por tanto, no les resulta aplicable la inmodificabilidad que debe sólo predicarse de los aspectos substanciales y básicos.</w:t>
      </w:r>
    </w:p>
    <w:p w:rsidR="00D06117" w:rsidRDefault="00D06117" w:rsidP="00D06117">
      <w:pPr>
        <w:pStyle w:val="TextoNormal"/>
      </w:pPr>
    </w:p>
    <w:p w:rsidR="00D06117" w:rsidRDefault="00D06117" w:rsidP="00D06117">
      <w:pPr>
        <w:pStyle w:val="TextoNormal"/>
      </w:pPr>
      <w:r>
        <w:lastRenderedPageBreak/>
        <w:t>Como conclusión, el escrito reseña que la moción de censura municipal pertenece al ámbito jurídico-material del régimen local, no al del régimen electoral general. Por ello el precepto cuestionado no vulnera la competencia expresada en el art. 197 LOREG y debe leerse armónicamente con esta legislación general, entendiéndolo como una excepción ratione oportunitatis, guiada por la intención de no mezclar procesos de substitución con procesos electorales y respetuosa del derecho fundamental garantizado en el art. 23 CE. Por todo ello, el escrito de alegaciones termina solicitando que se resuelva la cuestión de inconstitucionalidad planteada en el sentido de reconocer y garantizar la competencia legislativa del legislador de la generalidad, declarando la conformidad armónica del art. 110.1 g) de la Ley de la Generalitat 8/1987, de 15 de abril, municipal y de régimen local de Cataluña, con el bloque de constitucionalidad.</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17 de abril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cuestión de inconstitucionalidad ha sido promovida por la Sección Segunda de la Sala de lo Contencioso-Administrativo del Tribunal Superior de Justicia de Cataluña respecto al artículo 110.1 g) de la Ley del Parlamento de Cataluña 8/1987, de 15 de abril, municipal y de régimen local de Cataluña que dispone:</w:t>
      </w:r>
    </w:p>
    <w:p w:rsidR="00D06117" w:rsidRDefault="00D06117" w:rsidP="00D06117">
      <w:pPr>
        <w:pStyle w:val="TextoNormal"/>
      </w:pPr>
    </w:p>
    <w:p w:rsidR="00D06117" w:rsidRDefault="00D06117" w:rsidP="00D06117">
      <w:pPr>
        <w:pStyle w:val="TextoNormal"/>
      </w:pPr>
      <w:r>
        <w:t xml:space="preserve">“De conformidad con lo establecido por la legislación electoral, el procedimiento para exigir la responsabilidad política de los presidentes de las corporaciones locales, se regirá por las siguientes reglas: </w:t>
      </w:r>
    </w:p>
    <w:p w:rsidR="00D06117" w:rsidRDefault="00D06117" w:rsidP="00D06117">
      <w:pPr>
        <w:pStyle w:val="TextoNormal"/>
      </w:pPr>
    </w:p>
    <w:p w:rsidR="00D06117" w:rsidRDefault="00D06117" w:rsidP="00D06117">
      <w:pPr>
        <w:pStyle w:val="TextoNormal"/>
      </w:pPr>
      <w:r>
        <w:t>…</w:t>
      </w:r>
    </w:p>
    <w:p w:rsidR="00D06117" w:rsidRDefault="00D06117" w:rsidP="00D06117">
      <w:pPr>
        <w:pStyle w:val="TextoNormal"/>
      </w:pPr>
    </w:p>
    <w:p w:rsidR="00D06117" w:rsidRDefault="00D06117" w:rsidP="00D06117">
      <w:pPr>
        <w:pStyle w:val="TextoNormal"/>
      </w:pPr>
      <w:r>
        <w:t>g) En ningún caso podrá presentarse una moción de censura si hubiera sido publicada en el ‘Boletín Oficial del Estado’ o en el ‘Diari Oficial de la Generalitat de Catalunya’ una convocatoria electoral política y hasta que hayan tenido lugar las elecciones correspondientes.”</w:t>
      </w:r>
    </w:p>
    <w:p w:rsidR="00D06117" w:rsidRDefault="00D06117" w:rsidP="00D06117">
      <w:pPr>
        <w:pStyle w:val="TextoNormal"/>
      </w:pPr>
    </w:p>
    <w:p w:rsidR="00D06117" w:rsidRDefault="00D06117" w:rsidP="00D06117">
      <w:pPr>
        <w:pStyle w:val="TextoNormal"/>
      </w:pPr>
      <w:r>
        <w:t>El órgano judicial entiende que el precepto infringe la reserva de ley orgánica prevista en el art. 81.1 CE y quebranta la competencia que la Constitución atribuye al Estado para la regulación de las condiciones básicas que garanticen la igualdad de todos los españoles en el ejercicio de los derechos (art. 149.1.1 CE). Sustenta su duda de inconstitucionalidad en que el precepto limita y restringe el ejercicio de la moción de censura contra el alcalde, desconociendo que la regulación de la moción de censura en las corporaciones locales, de un lado, forma parte del régimen electoral general (art. 81.1 CE) y, de otro, se integra en el contenido del derecho fundamental a acceder en condiciones de igualdad a las funciones y cargos públicos (art. 23.2 CE).</w:t>
      </w:r>
    </w:p>
    <w:p w:rsidR="00D06117" w:rsidRDefault="00D06117" w:rsidP="00D06117">
      <w:pPr>
        <w:pStyle w:val="TextoNormal"/>
      </w:pPr>
    </w:p>
    <w:p w:rsidR="00D06117" w:rsidRDefault="00D06117" w:rsidP="00D06117">
      <w:pPr>
        <w:pStyle w:val="TextoNormal"/>
      </w:pPr>
      <w:r>
        <w:t>Tanto el Abogado del Estado como el Fiscal General del Estado coinciden con el planteamiento del Tribunal Superior de Justicia de Cataluña y, en consecuencia, interesan la estimación de la cuestión de inconstitucionalidad.</w:t>
      </w:r>
    </w:p>
    <w:p w:rsidR="00D06117" w:rsidRDefault="00D06117" w:rsidP="00D06117">
      <w:pPr>
        <w:pStyle w:val="TextoNormal"/>
      </w:pPr>
    </w:p>
    <w:p w:rsidR="00D06117" w:rsidRDefault="00D06117" w:rsidP="00D06117">
      <w:pPr>
        <w:pStyle w:val="TextoNormal"/>
      </w:pPr>
      <w:r>
        <w:lastRenderedPageBreak/>
        <w:t>Por su parte, la Generalitat y el Parlamento de Cataluña interesan su desestimación. El Letrado del Parlamento catalán considera que la regulación de la moción de censura, en cuanto mecanismo de exigencia de responsabilidad política, se incardina en la materia “régimen local” para cuya regulación la Comunidad Autónoma de Cataluña ostenta competencias en virtud de su Estatuto de Autonomía (art. 9.8 del Estatuto de Autonomía de Cataluña), rechazando, por otra parte, que la regulación detallada incluida en la Ley Orgánica del régimen electoral general pueda considerarse orgánica o básica. El Abogado de la Generalitat de Cataluña también discute la incardinación de la regulación de la institución de la moción de censura en la materia “régimen electoral general” y afirma que, en todo caso, el precepto autonómico cuestionado aborda una materia conexa —las circunstancias en las que puede activarse el mecanismo de la moción de censura— sin que se modifique la configuración del instrumento de la moción de censura realizada por la Ley Orgánica del régimen electoral general, puesto que se limita a introducir una restricción pasajera, temporal, leve y, además, justificada y proporcionada.</w:t>
      </w:r>
    </w:p>
    <w:p w:rsidR="00D06117" w:rsidRDefault="00D06117" w:rsidP="00D06117">
      <w:pPr>
        <w:pStyle w:val="TextoNormal"/>
      </w:pPr>
    </w:p>
    <w:p w:rsidR="00D06117" w:rsidRDefault="00D06117" w:rsidP="00D06117">
      <w:pPr>
        <w:pStyle w:val="TextoNormal"/>
      </w:pPr>
      <w:r w:rsidRPr="00D06117">
        <w:rPr>
          <w:rStyle w:val="NumeroAFNegritaCaracter"/>
        </w:rPr>
        <w:t>2</w:t>
      </w:r>
      <w:r>
        <w:t>. Como recuerda el Abogado de la Generalitat de Cataluña, la incardinación de la regulación del sistema electoral local en la materia “régimen electoral general” o “régimen local” fue, inicialmente, una cuestión objeto de debate doctrinal. No obstante, este Tribunal tuvo ya ocasión de pronunciarse sobre ella en su Sentencia 38/1983, de 16 de mayo, en la que afirmamos que no cabe equiparar las expresiones “régimen electoral general” y “elecciones generales” de tal forma que las elecciones locales quedaran integradas en la materia régimen local y, por tanto, remitidas al juego de la legislación básica estatal más la legislación autonómica de desarrollo ex art. 149.1.18 CE (FJ 2). El Tribunal señaló que el art. 140 CE reserva la regulación de las elecciones locales a la ley y que esta ley ha de ser una ley orgánica tanto por la exigencia derivada del art. 23.1 CE como por la derivada del artículo 81.1 CE (STC 38/1983, FJ 2). En definitiva, “es, cabalmente, el art. 140 en relación con el 81.1 el que hace legítimo un sistema en que se establezca un régimen uniforme en materia de elecciones locales” (STC 38/1983, FJ 2) y que tenga carácter orgánico (STC 38/1983, FJ 3). En definitiva, “el régimen electoral general está compuesto por las normas electorales válidas para la generalidad de las instituciones representativas del Estado en su conjunto y en el de las entidades territoriales en que se organiza, a tenor del artículo 137 de la CE” (STC 38/1983, FJ 3), salvo las excepciones que se hallen establecidas en la Constitución o, por remisión de ésta, en los Estatutos de Autonomía (elecciones de Senadores por las Comunidades Autónomas; elecciones autonómicas; elecciones vascas relativas a las Juntas Generales y Diputaciones forales) (STC 33/1983, FJ 3). Se reserva, pues, a ley orgánica “el régimen electoral general, tanto de las elecciones que tienen en los artículos 67 al 70 sus líneas constitucionales, como de las elecciones que las tienen en el artículo 140” (STC 38/1983, FJ 2).</w:t>
      </w:r>
    </w:p>
    <w:p w:rsidR="00D06117" w:rsidRDefault="00D06117" w:rsidP="00D06117">
      <w:pPr>
        <w:pStyle w:val="TextoNormal"/>
      </w:pPr>
    </w:p>
    <w:p w:rsidR="00D06117" w:rsidRDefault="00D06117" w:rsidP="00D06117">
      <w:pPr>
        <w:pStyle w:val="TextoNormal"/>
      </w:pPr>
      <w:r>
        <w:t>Ninguna duda cabe, pues, de que, conforme a nuestra doctrina constitucional, la regulación de las elecciones locales cae dentro de la materia “régimen electoral general” y está reservada a ley orgánica de acuerdo con los artículos 81.1, 140 y 23.1 CE.</w:t>
      </w:r>
    </w:p>
    <w:p w:rsidR="00D06117" w:rsidRDefault="00D06117" w:rsidP="00D06117">
      <w:pPr>
        <w:pStyle w:val="TextoNormal"/>
      </w:pPr>
    </w:p>
    <w:p w:rsidR="00D06117" w:rsidRDefault="00D06117" w:rsidP="00D06117">
      <w:pPr>
        <w:pStyle w:val="TextoNormal"/>
      </w:pPr>
      <w:r>
        <w:t xml:space="preserve">Por otra parte, hay que tener presente que son normas electorales aquellas que fijan las reglas y establecen los procedimientos mediante los cuales cabe dilucidar la provisión de los órganos y cargos representativos, o, tal y como afirmamos en la STC 72/1984, de 14 de julio, aquellas relativas a quiénes pueden elegir, a quiénes se puede elegir y bajo qué condiciones, para qué espacio de tiempo y bajo qué criterios organizativos desde el punto de vista </w:t>
      </w:r>
      <w:r>
        <w:lastRenderedPageBreak/>
        <w:t>procedimental y territorial (FJ 4). A estos efectos, es indiferente que la elección sea de primer grado o de segundo grado, por lo que resulta adecuada la regulación en la Ley Orgánica del régimen electoral general no sólo de los procedimientos de elección directa del alcalde por los vecinos, sino también de su elección por los concejales. A lo que hay que añadir que, además, la regulación de los sistemas de elección del alcalde en el marco abierto del art. 140 CE, que únicamente dispone que los alcaldes serán elegidos por los concejales o por los vecinos, es también desarrollo directo del derecho fundamental consagrado en el art. 23.1 CE puesto que configura y delimita el derecho de participación política de los vecinos respecto a este tipo de cargos representativos, así como del art. 23.2 CE al regular aspectos centrales del acceso al cargo de alcalde y las condiciones para su remoción, por lo que la reserva de ley orgánica se impone también ex art. 81.1 CE por este segundo motivo.</w:t>
      </w:r>
    </w:p>
    <w:p w:rsidR="00D06117" w:rsidRDefault="00D06117" w:rsidP="00D06117">
      <w:pPr>
        <w:pStyle w:val="TextoNormal"/>
      </w:pPr>
    </w:p>
    <w:p w:rsidR="00D06117" w:rsidRDefault="00D06117" w:rsidP="00D06117">
      <w:pPr>
        <w:pStyle w:val="TextoNormal"/>
      </w:pPr>
      <w:r>
        <w:t>Aclarado que las elecciones locales se integran en la materia “régimen electoral general”, es preciso ahora analizar si la regulación de la moción de censura se enmarca, también en esta materia o si, como sostienen las representaciones autonómicas, entra dentro de la materia “régimen local”.</w:t>
      </w:r>
    </w:p>
    <w:p w:rsidR="00D06117" w:rsidRDefault="00D06117" w:rsidP="00D06117">
      <w:pPr>
        <w:pStyle w:val="TextoNormal"/>
      </w:pPr>
    </w:p>
    <w:p w:rsidR="00D06117" w:rsidRDefault="00D06117" w:rsidP="00D06117">
      <w:pPr>
        <w:pStyle w:val="TextoNormal"/>
      </w:pPr>
      <w:r w:rsidRPr="00D06117">
        <w:rPr>
          <w:rStyle w:val="NumeroAFNegritaCaracter"/>
        </w:rPr>
        <w:t>3</w:t>
      </w:r>
      <w:r>
        <w:t>. La adecuada resolución de la cuestión planteada exige, por tanto, analizar el encuadre competencial de la regulación de la moción de censura al alcalde, siendo para ello necesario partir de la naturaleza y función de esta institución, pues, sin duda, las dificultades que presenta su encuadramiento derivan de su carácter híbrido y complejo.</w:t>
      </w:r>
    </w:p>
    <w:p w:rsidR="00D06117" w:rsidRDefault="00D06117" w:rsidP="00D06117">
      <w:pPr>
        <w:pStyle w:val="TextoNormal"/>
      </w:pPr>
    </w:p>
    <w:p w:rsidR="00D06117" w:rsidRDefault="00D06117" w:rsidP="00D06117">
      <w:pPr>
        <w:pStyle w:val="TextoNormal"/>
      </w:pPr>
      <w:r>
        <w:t>La moción de censura es un instrumento clave de las formas de gobierno parlamentario —que se basan en la existencia de una relación de confianza entre el Gobierno y las Cámaras—, porque es un mecanismo a través del cual el Legislativo controla la gestión del Ejecutivo y exige responsabilidad política al mismo, configurándose como un cauce para la manifestación de la extinción de la confianza de las Cámaras en el Ejecutivo. En este sentido está consagrada la moción de censura en el título V de nuestra Constitución que regula las relaciones entre el Gobierno y las Cortes Generales (arts. 113 y 114 CE).</w:t>
      </w:r>
    </w:p>
    <w:p w:rsidR="00D06117" w:rsidRDefault="00D06117" w:rsidP="00D06117">
      <w:pPr>
        <w:pStyle w:val="TextoNormal"/>
      </w:pPr>
    </w:p>
    <w:p w:rsidR="00D06117" w:rsidRDefault="00D06117" w:rsidP="00D06117">
      <w:pPr>
        <w:pStyle w:val="TextoNormal"/>
      </w:pPr>
      <w:r>
        <w:t>Su virtualidad como mecanismo de control y exigencia de responsabilidad política de los gobernantes por quienes les invistieron de la confianza para serlo, ha llevado al legislador a incorporar la moción de censura a otras instituciones que también reúnen las notas de representación democrática y confianza a la hora de elegir al poder ejecutivo, como es el caso de los gobiernos municipales pese a las indudables diferencias que existen entre el Pleno de un Ayuntamiento o una Asamblea vecinal (en el régimen de concejo abierto) y las Asambleas legislativas y autonómicas.</w:t>
      </w:r>
    </w:p>
    <w:p w:rsidR="00D06117" w:rsidRDefault="00D06117" w:rsidP="00D06117">
      <w:pPr>
        <w:pStyle w:val="TextoNormal"/>
      </w:pPr>
    </w:p>
    <w:p w:rsidR="00D06117" w:rsidRDefault="00D06117" w:rsidP="00D06117">
      <w:pPr>
        <w:pStyle w:val="TextoNormal"/>
      </w:pPr>
      <w:r>
        <w:t xml:space="preserve">No obstante, la moción de censura al alcalde no siempre ha estado contemplada en nuestra legislación. Así, la Ley 39/1978, de 17 de julio, de elecciones locales, no reguló, en su día, esta figura, aunque consagró la moción de censura de los presidentes de las Diputaciones provinciales. Pese a ello, nuestros Tribunales de lo contencioso-administrativo (entre otras, SSTS de 14 de julio de 1983 y 10 de octubre de 1984), al hilo de una doctrina constitucional (STC 5/1983, de 4 de febrero; ATC 52/1983, de 9 de febrero) que negó que el art. 23.2 amparara a los alcaldes frente a su remoción por los concejales, entendieron que la Ley de elecciones locales presentaba en este punto una laguna y admitieron la moción de censura a los alcaldes considerando que era una facultad que correspondía a los concejales sobre la </w:t>
      </w:r>
      <w:r>
        <w:lastRenderedPageBreak/>
        <w:t>base del principio contrarius actus —quienes han elegido al alcalde pueden también destituirlo— y de la aplicación analógica de la regulación existente para los presidentes de las Diputaciones provinciales. La incorporación a nuestro ordenamiento jurídico de la moción de censura al alcalde se produjo, por tanto, en aquel momento, por vía jurisprudencial.</w:t>
      </w:r>
    </w:p>
    <w:p w:rsidR="00D06117" w:rsidRDefault="00D06117" w:rsidP="00D06117">
      <w:pPr>
        <w:pStyle w:val="TextoNormal"/>
      </w:pPr>
    </w:p>
    <w:p w:rsidR="00D06117" w:rsidRDefault="00D06117" w:rsidP="00D06117">
      <w:pPr>
        <w:pStyle w:val="TextoNormal"/>
      </w:pPr>
      <w:r>
        <w:t>La introducción en la legislación de la institución de la moción de censura al alcalde tiene lugar, posteriormente, a través de la Ley 7/1985, de 2 de abril, reguladora de las bases del régimen local (LBRL) y de la Ley Orgánica del régimen electoral general, cuya tramitación discurrió de forma paralela. En un primer momento, la regulación completa de la figura se abordaba en el proyecto de la Ley reguladora de las bases de régimen local, pero finalmente se aceptó una enmienda que llevó a convertir el art. 22.3 LRBL en una remisión a la Ley Orgánica del régimen electoral general optándose, por tanto, por incluir finalmente su régimen jurídico en esta última norma.</w:t>
      </w:r>
    </w:p>
    <w:p w:rsidR="00D06117" w:rsidRDefault="00D06117" w:rsidP="00D06117">
      <w:pPr>
        <w:pStyle w:val="TextoNormal"/>
      </w:pPr>
    </w:p>
    <w:p w:rsidR="00D06117" w:rsidRDefault="00D06117" w:rsidP="00D06117">
      <w:pPr>
        <w:pStyle w:val="TextoNormal"/>
      </w:pPr>
      <w:r>
        <w:t>En efecto, actualmente la Ley reguladora de las bases del régimen local dispone, en su artículo 22.3, únicamente, que corresponde al Pleno la votación sobre la moción de censura al alcalde que se rige “por lo dispuesto en la legislación electoral general”, remitiendo, por tanto, su régimen jurídico a la Ley Orgánica del régimen electoral general (LOREG), cuyo artículo 197 es el que dispone que el alcalde puede ser destituido mediante moción de censura y el que establece las normas para su presentación, tramitación y votación.</w:t>
      </w:r>
    </w:p>
    <w:p w:rsidR="00D06117" w:rsidRDefault="00D06117" w:rsidP="00D06117">
      <w:pPr>
        <w:pStyle w:val="TextoNormal"/>
      </w:pPr>
    </w:p>
    <w:p w:rsidR="00D06117" w:rsidRDefault="00D06117" w:rsidP="00D06117">
      <w:pPr>
        <w:pStyle w:val="TextoNormal"/>
      </w:pPr>
      <w:r>
        <w:t>En los municipios en los que el alcalde es elegido por los concejales o por el procedimiento subsidiario previsto en el art. 196 c) LOREG, la moción de censura debe ser propuesta por la mayoría absoluta del número legal de miembros de la Corporación y ha de incluir un candidato a la Alcaldía que puede ser cualquiera de los concejales que acepte expresamente [art. 197.1 a) LOREG]. Si la moción de censura prospera con el voto favorable de la mayoría absoluta del número de concejales, el candidato incluido en la misma es proclamado alcalde [art. 197.1 f) LOREG]. En los municipios con régimen de concejo abierto en los que el alcalde es elegido por los vecinos, la moción de censura se rige por las mismas reglas, con la especialidad de que la firma, presentación y votación corresponde a los electores en lugar de a los concejales y de que puede proponerse como candidato a la Alcaldía a cualquier elector residente en el municipio con derecho de sufragio pasivo (art. 197.4 LOREG).</w:t>
      </w:r>
    </w:p>
    <w:p w:rsidR="00D06117" w:rsidRDefault="00D06117" w:rsidP="00D06117">
      <w:pPr>
        <w:pStyle w:val="TextoNormal"/>
      </w:pPr>
    </w:p>
    <w:p w:rsidR="00D06117" w:rsidRDefault="00D06117" w:rsidP="00D06117">
      <w:pPr>
        <w:pStyle w:val="TextoNormal"/>
      </w:pPr>
      <w:r>
        <w:t xml:space="preserve">La Ley Orgánica del régimen electoral general regula los límites, pero también las garantías del ejercicio de la moción de censura al alcalde. En efecto, la ley establece que ningún concejal puede firmar durante su mandato más de una moción de censura (art. 197.2 LOREG) y que los concejales que hayan votado a favor de la aprobación de un asunto al que se hubiese vinculado una cuestión de confianza no podrán firmar una moción de censura contra el alcalde que lo hubiese planteado hasta que transcurra un plazo de seis meses (art. 197.bis 8). Por otra parte, y a modo de garantía, también dispone que “el Alcalde, en el ejercicio de sus competencias, está obligado a impedir cualquier acto que perturbe, obstaculice o impida el derecho de los miembros de la Corporación a asistir a la sesión plenaria en que se vote la moción de censura y a ejercer su derecho al voto en la misma”. Es más, la Ley Orgánica del régimen electoral general prevé ahora, tras la reforma introducida a través de la Ley Orgánica 8/1999, de 21 de abril, una garantía adicional que tiene por objeto evitar las prácticas de elusión de los alcaldes de las mociones de censura mediante la negativa a convocar el Pleno, disponiendo que el escrito de proposición de la moción debidamente </w:t>
      </w:r>
      <w:r>
        <w:lastRenderedPageBreak/>
        <w:t>diligenciado y registrado supone la convocatoria automática del Pleno el décimo día hábil siguiente al de su registro [art. 197.1 c) LOREG].</w:t>
      </w:r>
    </w:p>
    <w:p w:rsidR="00D06117" w:rsidRDefault="00D06117" w:rsidP="00D06117">
      <w:pPr>
        <w:pStyle w:val="TextoNormal"/>
      </w:pPr>
    </w:p>
    <w:p w:rsidR="00D06117" w:rsidRDefault="00D06117" w:rsidP="00D06117">
      <w:pPr>
        <w:pStyle w:val="TextoNormal"/>
      </w:pPr>
      <w:r>
        <w:t>La moción de censura al alcalde, tal y como está configurada en nuestro ordenamiento jurídico, es, pues, una moción constructiva que ha de ir acompañada de la propuesta de un candidato a la alcaldía, introduciéndose así un requisito que refuerza la estabilidad del gobierno municipal y que supone que el efecto de la moción, en caso de aprobarse, va más allá de la exigencia de responsabilidad política al alcalde y de la destitución o cese del mismo, implicando también una nueva elección de alcalde.</w:t>
      </w:r>
    </w:p>
    <w:p w:rsidR="00D06117" w:rsidRDefault="00D06117" w:rsidP="00D06117">
      <w:pPr>
        <w:pStyle w:val="TextoNormal"/>
      </w:pPr>
    </w:p>
    <w:p w:rsidR="00D06117" w:rsidRDefault="00D06117" w:rsidP="00D06117">
      <w:pPr>
        <w:pStyle w:val="TextoNormal"/>
      </w:pPr>
      <w:r>
        <w:t>La moción de censura al alcalde se presenta así como un instrumento de naturaleza híbrida. Por un lado, es, primordialmente, un instrumento de control y de exigencia de responsabilidad política al alcalde por parte del Pleno y, por tanto, un mecanismo de relación entre los órganos del gobierno municipal. Por otro lado, cuando prospera, la moción de censura es, también, causa de cese del alcalde inicialmente designado —poniendo fin a la efectividad de la elección inicial de alcalde— y, también, un procedimiento de proclamación de uno nuevo.</w:t>
      </w:r>
    </w:p>
    <w:p w:rsidR="00D06117" w:rsidRDefault="00D06117" w:rsidP="00D06117">
      <w:pPr>
        <w:pStyle w:val="TextoNormal"/>
      </w:pPr>
    </w:p>
    <w:p w:rsidR="00D06117" w:rsidRDefault="00D06117" w:rsidP="00D06117">
      <w:pPr>
        <w:pStyle w:val="TextoNormal"/>
      </w:pPr>
      <w:r>
        <w:t>En la medida en que se trata de una competencia que corresponde al Pleno para el control y debate respecto a la gestión del alcalde y, por tanto, de un instrumento de relación entre los órganos del gobierno municipal y de exigencia de responsabilidad política al alcalde, la moción de censura aparece como una pieza clave de la forma de gobierno local, esto es, del régimen institucional local. La configuración de la moción, la determinación de las condiciones para su ejercicio, y su régimen de límites y garantías perfilan un determinado modelo institucional que persigue asegurar la estabilidad del gobierno municipal (optando por una moción constructiva y estableciendo los límites de su ejercicio), pero también garantizar la efectividad del mecanismo de control (estableciendo un régimen de garantías). Por ello, todos estos aspectos de la regulación de la moción de censura constituyen elementos nucleares de la forma de gobierno local que entran dentro del concepto de bases del régimen local y su establecimiento es competencia del Estado ex art. 149.1.18 CE puesto que el “régimen local” se incardina, como ha afirmado reiteradamente este Tribunal, en el “régimen jurídico de las Administraciones públicas” (por todas, SSTC 25/1983, de 7 de abril, FJ 4, y 214/1989, de 21 de diciembre, FJ 1).</w:t>
      </w:r>
    </w:p>
    <w:p w:rsidR="00D06117" w:rsidRDefault="00D06117" w:rsidP="00D06117">
      <w:pPr>
        <w:pStyle w:val="TextoNormal"/>
      </w:pPr>
    </w:p>
    <w:p w:rsidR="00D06117" w:rsidRDefault="00D06117" w:rsidP="00D06117">
      <w:pPr>
        <w:pStyle w:val="TextoNormal"/>
      </w:pPr>
      <w:r>
        <w:t>Ahora bien, no puede olvidarse que al ser la moción de censura al alcalde una moción constructiva, cuando prospera implica la apertura de un procedimiento extraordinario de elección del alcalde, que pone fin anticipado al mandato del anteriormente elegido y permite designar a uno nuevo.</w:t>
      </w:r>
    </w:p>
    <w:p w:rsidR="00D06117" w:rsidRDefault="00D06117" w:rsidP="00D06117">
      <w:pPr>
        <w:pStyle w:val="TextoNormal"/>
      </w:pPr>
    </w:p>
    <w:p w:rsidR="00D06117" w:rsidRDefault="00D06117" w:rsidP="00D06117">
      <w:pPr>
        <w:pStyle w:val="TextoNormal"/>
      </w:pPr>
      <w:r>
        <w:t xml:space="preserve">La determinación de los elementos centrales de la moción de censura constructiva al alcalde implica, por tanto, también, la regulación de otros tres aspectos. En primer lugar, supone la regulación de un procedimiento de elección de un cargo electivo de representación política, incardinándose este aspecto en la materia “elecciones locales” y, por tanto, en el “régimen electoral general”. En segundo lugar, implica también la regulación de los elementos nucleares del régimen de acceso, permanencia y cese del alcalde, desarrollándose de forma directa el art. 23.2 CE. Y, por último, paralelamente, se configura el ius in officium, el estatus representativo de los concejales, ya que, en la medida en que la iniciativa de la moción y, por tanto, de la puesta en marcha de un procedimiento extraordinario de </w:t>
      </w:r>
      <w:r>
        <w:lastRenderedPageBreak/>
        <w:t>elección de nuevo alcalde y de remoción del anterior, se atribuye a los concejales esta facultad de presentar una moción de censura con los límites y garantías previstos en la legislación, pasa a formar parte del núcleo de su función de representación política.</w:t>
      </w:r>
    </w:p>
    <w:p w:rsidR="00D06117" w:rsidRDefault="00D06117" w:rsidP="00D06117">
      <w:pPr>
        <w:pStyle w:val="TextoNormal"/>
      </w:pPr>
    </w:p>
    <w:p w:rsidR="00D06117" w:rsidRDefault="00D06117" w:rsidP="00D06117">
      <w:pPr>
        <w:pStyle w:val="TextoNormal"/>
      </w:pPr>
      <w:r>
        <w:t>Pues bien, como hemos visto más arriba (en el fundamento jurídico 2), la regulación de las elecciones locales en el marco del art. 140 CE, y por tanto, también —cabría añadir ahora— de los procedimientos extraordinarios de elección del alcalde, es materia reservada a la ley orgánica ex arts. 81.1, 140 y 23.1 [STC 38/1983, de 16 de mayo (FFJJ 2 y 3)]. Es más, también dijimos en nuestra STC 47/1990, de 20 de marzo, que la remisión a las leyes que el art. 23.2 CE contempla a efectos de la regulación del derecho fundamental de acceso —y, por tanto, también del de permanencia y cese en los mismos— en condiciones de igualdad a las funciones y cargos públicos, “ha de ponerse en conexión con las previsiones que la propia Constitución establece en cuanto a la normación sustantiva de unos y otros cargos y funciones públicas y, muy en especial, en lo que concierne al rango o tipo de norma que deba regular el acceso a cargos electivos de representación política, a través de procesos electorales generales, debe regularse mediante Ley Orgánica, no porque esta exigencia se deduzca expresamente del art. 23.2 de la Constitución, sino porque deriva manifiestamente del art. 81.1”.</w:t>
      </w:r>
    </w:p>
    <w:p w:rsidR="00D06117" w:rsidRDefault="00D06117" w:rsidP="00D06117">
      <w:pPr>
        <w:pStyle w:val="TextoNormal"/>
      </w:pPr>
    </w:p>
    <w:p w:rsidR="00D06117" w:rsidRDefault="00D06117" w:rsidP="00D06117">
      <w:pPr>
        <w:pStyle w:val="TextoNormal"/>
      </w:pPr>
      <w:r>
        <w:t>En definitiva, nos encontramos con que la regulación de los aspectos nucleares de la moción de censura al alcalde entran dentro del ámbito de las bases del régimen local (art. 149.1.18 CE), si bien ciertos elementos de la misma, al optar el legislador estatal por una moción de censura constructiva, tienen, además, un carácter electoral y de desarrollo del art. 23 CE, operando respecto a los mismos, por el juego de los arts. 81.1, 140 y 23.2 CE, la reserva de ley orgánica. Por ello, cuando la Ley reguladora de las bases de régimen local contempla la moción de censura al alcalde se limita a consagrar la competencia del Pleno para la votación de la misma (art. 22.3), remitiendo el resto de su régimen —dada la necesidad de unidad en la regulación— a lo dispuesto en la legislación electoral general (art. 197 LOREG).</w:t>
      </w:r>
    </w:p>
    <w:p w:rsidR="00D06117" w:rsidRDefault="00D06117" w:rsidP="00D06117">
      <w:pPr>
        <w:pStyle w:val="TextoNormal"/>
      </w:pPr>
    </w:p>
    <w:p w:rsidR="00D06117" w:rsidRDefault="00D06117" w:rsidP="00D06117">
      <w:pPr>
        <w:pStyle w:val="TextoNormal"/>
      </w:pPr>
      <w:r>
        <w:t>La regulación establecida en el art. 197 LOREG, al que remite el art. 22.3 LBRL, es, por tanto, al mismo tiempo, norma de configuración de los elementos esenciales de un instrumento clave de la forma de gobierno local (art. 149.1.18 CE), regulación de un procedimiento extraordinario de elección del alcalde (arts. 81.1, 23 y 140 CE) y norma de desarrollo directo del art. 23.2 CE (regulación de elementos centrales del régimen de acceso, permanencia y cese del alcalde), satisfaciendo la reserva de ley orgánica que rige para estas dos últimas cuestiones ex art. 81.1. Todo lo cual explica y justifica el alcance y la densidad de las bases en esta materia, así como que, en coherencia con ello, en el apartado cuarto de la disposición adicional primera LOREG, se disponga que el contenido del título III, relativo a las disposiciones especiales para las elecciones municipales y en el que está incluida la regulación de la moción de censura al alcalde, no puede ser modificado o sustituido por la legislación de las Comunidades Autónomas. Ello, claro está, sin perjuicio de un eventual desarrollo autonómico de otros aspectos del régimen institucional local.</w:t>
      </w:r>
    </w:p>
    <w:p w:rsidR="00D06117" w:rsidRDefault="00D06117" w:rsidP="00D06117">
      <w:pPr>
        <w:pStyle w:val="TextoNormal"/>
      </w:pPr>
    </w:p>
    <w:p w:rsidR="00D06117" w:rsidRDefault="00D06117" w:rsidP="00D06117">
      <w:pPr>
        <w:pStyle w:val="TextoNormal"/>
      </w:pPr>
      <w:r>
        <w:t xml:space="preserve">Enmarcada así la moción de censura al alcalde en las bases del régimen local, en el desarrollo del art. 23 CE y en el régimen electoral general, es indudable que es al Estado al que corresponde, de acuerdo con los arts. 149.1.18 y 81.1 CE, en relación con los arts. 140 y 23 CE, establecer su configuración, límites y garantías. Preceptos a los que, sin duda, cabría </w:t>
      </w:r>
      <w:r>
        <w:lastRenderedPageBreak/>
        <w:t>añadir también el artículo 149.1.1 CE, que habilita al Estado para regular el contenido primario, las facultades elementales y los límites esenciales en aquello que sea necesario para asegurar la igualdad de los españoles en el ejercicio de los derechos constitucionales que derivan del art. 23 CE. No obstante, como ya dijimos en la STC 38/1983, de 16 de mayo (FJ 2), en relación con las elecciones locales— pudiendo ahora extenderse esta afirmación a los elementos electorales y de desarrollo directo del art. 23 que presenta la moción de censura al alcalde—, no es necesario acudir al art. 149.1.1 CE para considerar legítima la regulación estatal, pues la habilitación para establecer un régimen uniforme en esta materia deriva del art. 81.1 en relación con los arts. 140 y 23 CE. A lo que se suma, en la regulación de los elementos centrales de la moción de censura, la competencia estatal para el establecimiento de las bases del régimen local ex art. 149.1.18 CE, de tal forma que los títulos específicos que ostenta así el Estado hacen pasar a un segundo plano el alcance y la cobertura que pudiera ofrecer la cláusula general ex art. 149.1.1 CE.</w:t>
      </w:r>
    </w:p>
    <w:p w:rsidR="00D06117" w:rsidRDefault="00D06117" w:rsidP="00D06117">
      <w:pPr>
        <w:pStyle w:val="TextoNormal"/>
      </w:pPr>
    </w:p>
    <w:p w:rsidR="00D06117" w:rsidRDefault="00D06117" w:rsidP="00D06117">
      <w:pPr>
        <w:pStyle w:val="TextoNormal"/>
      </w:pPr>
      <w:r w:rsidRPr="00D06117">
        <w:rPr>
          <w:rStyle w:val="NumeroAFNegritaCaracter"/>
        </w:rPr>
        <w:t>4</w:t>
      </w:r>
      <w:r>
        <w:t>. Realizado el encuadramiento competencial y material de la regulación de la moción de censura al alcalde, puede ahora ya valorarse la constitucionalidad del precepto autonómico cuestionado —artículo 110.1 g) de la Ley 8/1987, de 15 de abril, municipal y de régimen local de Cataluña—, que, como hemos expuesto, dispone que, en ningún caso, podrá presentarse una moción de censura a un presidente de una Corporación local cuando hubiera sido publicada en el “Boletín Oficial del Estado” o en el “Diari Oficial de la Generalitat de Cataluña” una convocatoria de elecciones.</w:t>
      </w:r>
    </w:p>
    <w:p w:rsidR="00D06117" w:rsidRDefault="00D06117" w:rsidP="00D06117">
      <w:pPr>
        <w:pStyle w:val="TextoNormal"/>
      </w:pPr>
    </w:p>
    <w:p w:rsidR="00D06117" w:rsidRDefault="00D06117" w:rsidP="00D06117">
      <w:pPr>
        <w:pStyle w:val="TextoNormal"/>
      </w:pPr>
      <w:r>
        <w:t>Se trata de una norma que establece un supuesto en el que se prohíbe la presentación de mociones de censura, introduciendo una limitación o restricción nueva respecto a las previstas en la legislación estatal. La Ley Orgánica del régimen electoral general establece los límites al ejercicio de la moción de censura por los concejales, incluyendo, como hemos visto más arriba, únicamente no poder firmar más de una moción de censura por mandato (art. 197.2 LOREG) y el necesario respeto de un plazo de seis meses para poder presentar una moción de censura por parte de concejales que hubieran votado a favor de la aprobación de un asunto al que se hubiere vinculado una cuestión de confianza (art. 198.bis 8 LOREG). Más allá de estos límites, la Ley Orgánica del régimen electoral general lo que persigue es asegurar la efectividad del mecanismo previendo la convocatoria automática del Pleno el décimo día hábil siguiente a la presentación del escrito de la proposición de moción diligenciado y registrado.</w:t>
      </w:r>
    </w:p>
    <w:p w:rsidR="00D06117" w:rsidRDefault="00D06117" w:rsidP="00D06117">
      <w:pPr>
        <w:pStyle w:val="TextoNormal"/>
      </w:pPr>
    </w:p>
    <w:p w:rsidR="00D06117" w:rsidRDefault="00D06117" w:rsidP="00D06117">
      <w:pPr>
        <w:pStyle w:val="TextoNormal"/>
      </w:pPr>
      <w:r>
        <w:t>La prohibición de presentación de la moción de censura cuando se ha publicado una convocatoria de elecciones en el “Boletín Oficial del Estado” o en el “Diari Oficial de la Generalitat de Cataluña” que prevé el artículo 110.1 g) de la Ley 8/1987, de 15 de abril, municipal y de régimen local de Cataluña, altera la configuración del mecanismo de la moción de censura, elimina posibilidades de remoción del anterior alcalde y de elección de uno nuevo y menoscaba el estatus representativo de los concejales, invadiendo ilegítimamente la competencia estatal ex art. 149.1.18 CE y vulnerando la reserva de ley orgánica que impone el art. 81.1 CE en relación con los arts. 23 y 140 CE.</w:t>
      </w:r>
    </w:p>
    <w:p w:rsidR="00D06117" w:rsidRDefault="00D06117" w:rsidP="00D06117">
      <w:pPr>
        <w:pStyle w:val="TextoNormal"/>
      </w:pPr>
    </w:p>
    <w:p w:rsidR="00D06117" w:rsidRDefault="00D06117" w:rsidP="00D06117">
      <w:pPr>
        <w:pStyle w:val="TextoNormal"/>
      </w:pPr>
      <w:r>
        <w:t xml:space="preserve">Frente a ello no puede admitirse —como pretende el Abogado de la Generalidad— que el artículo 100.1 g) de la Ley 8/1987 encuentre cobertura en la competencia que ostenta la Comunidad Autónoma de Cataluña para la regulación de las elecciones autonómicas. La </w:t>
      </w:r>
      <w:r>
        <w:lastRenderedPageBreak/>
        <w:t>prohibición de la presentación de la moción de censura prevista en este precepto no se refiere únicamente a la publicación de una convocatoria de elecciones autonómicas, sino a la de cualquier tipo de convocatoria electoral. Y, en todo caso, lo que resulta determinante es que el artículo no tiene por objeto el régimen electoral catalán, sino la moción de censura al alcalde, esto es, una institución que no puede entenderse comprendida dentro de la materia “elecciones autonómicas”.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cuestión de inconstitucionalidad y declarar inconstitucional y nulo el artículo 110.1 g) de la Ley del Parlamento de Cataluña 8/1987, de 15 de abril, municipal y de régimen local de Cataluña.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Luis Ignacio Ortega Álvarez al que se adhiere el Magistrado don Javier Delgado Barrio en relación a la Sentencia dictada en la cuestión de inconstitucionalidad núm. 4569-2000.</w:t>
      </w:r>
    </w:p>
    <w:p w:rsidR="00D06117" w:rsidRDefault="00D06117" w:rsidP="00D06117">
      <w:pPr>
        <w:pStyle w:val="TextoNormalNegritaCentrado"/>
        <w:keepNext/>
      </w:pPr>
    </w:p>
    <w:p w:rsidR="00D06117" w:rsidRDefault="00D06117" w:rsidP="00D06117">
      <w:pPr>
        <w:pStyle w:val="TextoNormal"/>
      </w:pPr>
      <w:r>
        <w:t>En el ejercicio de la facultad conferida por el art. 90.2 de la Ley Orgánica del Tribunal Constitucional, formulo el presente Voto concurrente por cuanto, pese a que comparto plenamente el fallo aprobado también con mi voto por este Tribunal, me siento en la obligación de exponer mi discrepancia con parte de la argumentación de la Sentencia a fin de ser coherente con la posición mantenida durante su deliberación en el Pleno.</w:t>
      </w:r>
    </w:p>
    <w:p w:rsidR="00D06117" w:rsidRDefault="00D06117" w:rsidP="00D06117">
      <w:pPr>
        <w:pStyle w:val="TextoNormal"/>
      </w:pPr>
    </w:p>
    <w:p w:rsidR="00D06117" w:rsidRDefault="00D06117" w:rsidP="00D06117">
      <w:pPr>
        <w:pStyle w:val="TextoNormal"/>
      </w:pPr>
      <w:r>
        <w:t>Comparto con la Sentencia su punto de partida en el fundamento jurídico 3, pues, como afirma “la adecuada resolución de la cuestión planteada exige, por tanto, analizar el encuadre competencial de la regulación de la moción de censura al Alcalde…”. Entiendo, por tanto, que el problema constitucional que se plantea en la cuestión a la que la Sentencia ha de responder se relaciona esencialmente con la distribución constitucional de competencias entre el Estado y las Comunidades Autónomas, lo que también implica que su resolución ha de llevarse a cabo del modo que es usual en estos casos.</w:t>
      </w:r>
    </w:p>
    <w:p w:rsidR="00D06117" w:rsidRDefault="00D06117" w:rsidP="00D06117">
      <w:pPr>
        <w:pStyle w:val="TextoNormal"/>
      </w:pPr>
    </w:p>
    <w:p w:rsidR="00D06117" w:rsidRDefault="00D06117" w:rsidP="00D06117">
      <w:pPr>
        <w:pStyle w:val="TextoNormal"/>
      </w:pPr>
      <w:r>
        <w:t>Esto es, admitiendo que la moción de censura local es una institución con múltiples facetas, debería, en primer lugar, encuadrarse la cuestión en el ámbito material que le sea propio dentro del sistema de distribución de competencias y, a partir de ahí, determinar los títulos competenciales estatales y autonómicos que resultan de aplicación, para, finalmente, precisar cuál es el que debe ser considerado prevalente o determinante a efectos de resolver la controversia.</w:t>
      </w:r>
    </w:p>
    <w:p w:rsidR="00D06117" w:rsidRDefault="00D06117" w:rsidP="00D06117">
      <w:pPr>
        <w:pStyle w:val="TextoNormal"/>
      </w:pPr>
    </w:p>
    <w:p w:rsidR="00D06117" w:rsidRDefault="00D06117" w:rsidP="00D06117">
      <w:pPr>
        <w:pStyle w:val="TextoNormal"/>
      </w:pPr>
      <w:r>
        <w:lastRenderedPageBreak/>
        <w:t>Tal operación, nada extraña, por otra parte, a la práctica de este Tribunal en la resolución de discrepancias competenciales, conduce, en mi opinión, a las siguientes conclusiones. En primer lugar, comparto con la Sentencia tanto sus afirmaciones del fundamento jurídico 3 acerca de la naturaleza híbrida de la moción de censura local como lo relativo al encuadramiento material de la cuestión: el sistema institucional del Gobierno local, ya que se trata de una cuestión que afecta al estatuto de los concejales y su ámbito de atribuciones como representantes electos de los ciudadanos, así como al del alcalde en cuanto que responsable electo, aún mediante elección de segundo grado, del gobierno y administración municipales y, finalmente, a la propia relación existente entre el alcalde y el Pleno de la Corporación. De hecho, la moción de censura es el instrumento de control más potente con el que cuentan los miembros del Pleno de la Corporación para fiscalizar la actuación de sus órganos de gobierno, fiscalización que pertenece al núcleo inherente a la función representativa que constitucionalmente corresponde a los miembros de una corporación local. Encuadrada así la cuestión, también estoy de acuerdo con la Sentencia en que los títulos competenciales estatales que deberían considerarse en su resolución son los de los arts. 149.1.1 y 149.1.18 CE, títulos que habrían de ponerse, en su caso, en relación con las previsiones del Estatuto de Autonomía de Cataluña de 1979 en relación con el régimen local (art. 9.8, que atribuía a la Generalitat competencia exclusiva en materia de régimen local, sin perjuicio de lo que dispone el art. 149.1.18 CE).</w:t>
      </w:r>
    </w:p>
    <w:p w:rsidR="00D06117" w:rsidRDefault="00D06117" w:rsidP="00D06117">
      <w:pPr>
        <w:pStyle w:val="TextoNormal"/>
      </w:pPr>
    </w:p>
    <w:p w:rsidR="00D06117" w:rsidRDefault="00D06117" w:rsidP="00D06117">
      <w:pPr>
        <w:pStyle w:val="TextoNormal"/>
      </w:pPr>
      <w:r>
        <w:t>Desgraciadamente acaban aquí mis coincidencias con la argumentación que se contiene en la Sentencia pues, de modo contrario a ella, entiendo que el título competencial a considerar aquí es el art. 149.1.1 CE tanto por su relación con el régimen electoral general como por la evidente conexión que, en tanto que referente al status de concejal y a las causas legales de remoción del alcalde, esta cuestión tiene con el art. 23 CE. Así, considero que, salvando lo relativo al aspecto puramente organizativo que ya se contempla en la Ley reguladora de las bases del régimen local, esto es, la atribución de la competencia al Pleno de la Corporación para la discusión y, eventual, aprobación de una moción de censura al alcalde, no procede el encuadramiento competencial de la moción de censura local en el art. 149.1.18 CE.</w:t>
      </w:r>
    </w:p>
    <w:p w:rsidR="00D06117" w:rsidRDefault="00D06117" w:rsidP="00D06117">
      <w:pPr>
        <w:pStyle w:val="TextoNormal"/>
      </w:pPr>
    </w:p>
    <w:p w:rsidR="00D06117" w:rsidRDefault="00D06117" w:rsidP="00D06117">
      <w:pPr>
        <w:pStyle w:val="TextoNormal"/>
      </w:pPr>
      <w:r>
        <w:t>En primer lugar, porque el art. 149.1.18 CE es un título en el que juega el binomio bases-desarrollo, con lo que, de ser de aplicación dicho título competencial, debería necesariamente analizarse si la regulación cuestionada pudiera estar dentro del margen de disposición del legislador autonómico en materia de régimen local dado que, al menos en principio, el legislador básico no podría agotar todo el espacio normativo en esta materia. Sin embargo la ponencia admite tal agotamiento, sin explicación alguna, sin que pueda considerar, por razones a las que luego aludiré, que la invocación del art. 81.1 en relación con el 23 y el 140, todos ellos de la Constitución Española, constituya justificación suficiente para ello. Ninguno de los citados preceptos constitucionales es un precepto atributivo de competencias y, por tanto, no son susceptibles de ser utilizados de modo directo para resolver una controversia competencial como la que aquí se plantea.</w:t>
      </w:r>
    </w:p>
    <w:p w:rsidR="00D06117" w:rsidRDefault="00D06117" w:rsidP="00D06117">
      <w:pPr>
        <w:pStyle w:val="TextoNormal"/>
      </w:pPr>
    </w:p>
    <w:p w:rsidR="00D06117" w:rsidRDefault="00D06117" w:rsidP="00D06117">
      <w:pPr>
        <w:pStyle w:val="TextoNormal"/>
      </w:pPr>
      <w:r>
        <w:t xml:space="preserve">En segundo lugar, la cuestión del diseño institucional del gobierno local, a lo que específicamente se refiere la cuestión controvertida (lo que la ponencia llama “forma de gobierno local, esto es, del régimen institucional local” en el fundamento jurídico 3) es un aspecto cuya inserción en la competencia estatal del art. 149.1.18 CE en materia de régimen local requeriría, cuando menos, de alguna reflexión y no de la acrítica incorporación que se hace </w:t>
      </w:r>
      <w:r>
        <w:lastRenderedPageBreak/>
        <w:t>en la Sentencia. En efecto, considero que tal como esta competencia viene siendo entendida por nuestra doctrina, la expresión régimen local se ha identificado fundamentalmente con el régimen jurídico de las Administraciones locales (así en la STC 31/2010, FJ 36, con cita de la STC 214/1989, FJ 1) de modo que “corresponde al legislador estatal fijar ‘unos principios o bases relativos a los aspectos institucionales (organizativos y funcionales) y a las competencias locales’ de los entes locales constitucionalmente necesarios” (STC 31/2010, FJ 37, con cita de la STC 214/1989, FFJJ 1 y 4). Aspectos organizativos e institucionales, entendidos como criterios básicos referidos a las administraciones locales, pues, en coherencia con el título competencial estatal que se refiere a las “bases del régimen jurídico de las Administraciones Públicas”, parecería que el régimen local es mas el régimen jurídico de las Administraciones locales y no el de los órganos políticos que las dirigen. De ahí que la inclusión en la materia régimen local de aspectos directamente relacionados con el gobierno local deba abordarse con sumo cuidado de manera que de aquella se excluyan las cuestiones estrictamente políticas, de relación entre el alcalde y los concejales, por cuanto, además de afectar a la elección del alcalde, se relacionan con derechos fundamentales como es el caso del art. 23.2 CE. Igualmente este Tribunal también ha declarado reiteradamente que la garantía de la autonomía local (art. 137 CE), con la que directamente se relaciona el esquema de gobierno local en general y la moción de censura en particular y de la competencia normativa estatal sobre “bases del régimen jurídico de las Administraciones públicas” (art. 149.1.18 C.E.) son cánones no coextensos (así, STC 240/2006, FJ 8, con cita de otras).</w:t>
      </w:r>
    </w:p>
    <w:p w:rsidR="00D06117" w:rsidRDefault="00D06117" w:rsidP="00D06117">
      <w:pPr>
        <w:pStyle w:val="TextoNormal"/>
      </w:pPr>
    </w:p>
    <w:p w:rsidR="00D06117" w:rsidRDefault="00D06117" w:rsidP="00D06117">
      <w:pPr>
        <w:pStyle w:val="TextoNormal"/>
      </w:pPr>
      <w:r>
        <w:t xml:space="preserve">De hecho, conforme a su propia lógica, la ponencia ha de admitir implícitamente que el Estado ha regulado una institución como la moción de censura local al amparo de un único título competencial, el art. 149.1.18 CE, pero en dos normas distintas, la Ley reguladora de las bases del régimen local y la Ley Orgánica del régimen electoral general. Esta regulación de la institución en dos normas distintas abre un interrogante que la Sentencia no despeja, como es el de la justificación de la inclusión de una base del régimen local ex art. 1491.18 CE en una norma de rango orgánico como la Ley Orgánica del régimen electoral general y que, conforme a nuestra doctrina (STC 13/2009, de 19 de enero, FJ 9) ha sido dictada al amparo del art. 149.1.1 en relación los arts. 23 y 81.1 CE. Inclusión que siguiendo el propio razonamiento de la Sentencia, en mi opinión, no puede implicar sino que, o bien la regulación de la moción de censura local en la Ley Orgánica del régimen electoral general no tiene el carácter orgánico predicable del resto de la norma que regula el régimen electoral general, o bien, como se desprende con claridad de la Sentencia, que se está utilizando un precepto constitucional distinto del art. 149.1.18 CE como justificativo de la atribución de competencias al Estado. Precepto que, frente a reiterada doctrina iniciada ya en la STC 5/1981, de 13 de febrero, tampoco se oculta que no es otro que el art. 81.1 CE, pues, en primer lugar, se afirma, en el fundamento jurídico 3, que “en definitiva, nos encontramos con que la regulación de los aspectos nucleares de la moción de censura al alcalde entran dentro del ámbito de las bases del régimen local (art. 149.1.18 CE), si bien ciertos elementos de la misma, al optar el legislador estatal por una moción de censura constructiva, tienen, además, un carácter electoral y de desarrollo del art. 23 CE, operando respecto a los mismos, por el juego de los arts. 81.1, 140 y 23.2 CE, la reserva de Ley Orgánica.”, para más adelante, cuando se descarta —en ese mismo fundamento jurídico 3— la aplicación al caso del art. 149.1.1 CE, sentenciar que “la habilitación para establecer un régimen uniforme en esta materia deriva del art. 81.1 en relación con los arts. 140 y 23 CE. A lo que se suma, en la regulación de los elementos centrales de la moción de censura, la competencia estatal para el establecimiento de las bases del régimen local ex art. 149.1.18 CE, de tal forma que los </w:t>
      </w:r>
      <w:r>
        <w:lastRenderedPageBreak/>
        <w:t>títulos específicos que ostenta así el Estado hacen pasar a un segundo plano el alcance y la cobertura que pudiera ofrecer la cláusula general ex art. 149.1.1 CE.”</w:t>
      </w:r>
    </w:p>
    <w:p w:rsidR="00D06117" w:rsidRDefault="00D06117" w:rsidP="00D06117">
      <w:pPr>
        <w:pStyle w:val="TextoNormal"/>
      </w:pPr>
    </w:p>
    <w:p w:rsidR="00D06117" w:rsidRDefault="00D06117" w:rsidP="00D06117">
      <w:pPr>
        <w:pStyle w:val="TextoNormal"/>
      </w:pPr>
      <w:r>
        <w:t>En mi opinión ambas afirmaciones ponen claramente de manifiesto que la ratio última de la decisión desestimatoria de la Sentencia es la utilización del art. 81.1 CE como título atributivo de competencias al Estado. Así, parece considerarse que la competencia estatal para regular la moción de censura en el ámbito local y la consiguiente inconstitucionalidad por incompetencia de cualquier regulación autonómica en la materia descansa, de modo directo, en el juego conjunto del art. 81.1 CE en relación con los arts. 140 y 23 CE y, de modo indirecto o mediato, en el art. 149.1.18 CE. En mi criterio tal modo de razonar obvia que el art. 81.1 CE y las reglas de atribución competencial tienen una naturaleza distinta, pues la reserva establecida por el primero es, en rigor, una norma del sistema de fuentes y, pese a la incidencia que la reserva de Ley Orgánica tiene en el orden competencial, entiendo que las clausulas competenciales de la Constitución han de predeterminar su objeto y no a la inversa, pues, de lo contrario, se estaría afectando a la unidad sistemática del orden constitucional, tal como señalamos en la STC 173/1998, de 23 de julio, FJ 7. En la Sentencia de cuya forma de razonar discrepo esta utilización del art. 81.1 CE se basa en la STC 38/1983, reiteradamente citada, cuyos criterios, en especial en lo relativo a la relación de la reserva de ley orgánica del art. 81.1 CE con las reglas de delimitación de competencias entre Estado y Comunidades Autónomas, considero que, como he expuesto, han sido superados por la doctrina de este Tribunal [al respecto baste también con remitirse a la STC 135/2006, de 27 de abril, FJ 2 c)].</w:t>
      </w:r>
    </w:p>
    <w:p w:rsidR="00D06117" w:rsidRDefault="00D06117" w:rsidP="00D06117">
      <w:pPr>
        <w:pStyle w:val="TextoNormal"/>
      </w:pPr>
    </w:p>
    <w:p w:rsidR="00D06117" w:rsidRDefault="00D06117" w:rsidP="00D06117">
      <w:pPr>
        <w:pStyle w:val="TextoNormal"/>
      </w:pPr>
      <w:r>
        <w:t>Por las anteriores razones, y compartiendo la conclusión desestimatoria a la que llega la Ponencia, entiendo que esa conclusión hubiera debido asentarse en el entendimiento de que el título competencial estatal que ampara la regulación de la moción de censura en el ámbito local es el art. 149.1.1 CE, tanto en su vertiente relativa a la regulación del régimen electoral general, como en su evidente relación que, en tanto que relativa al status de concejal y a las causas legales de remoción del alcalde, esta cuestión tiene con el art. 23 CE. Conclusión que se ratifica si se considera que el legislador estatal de régimen local se ha abstenido de regular esta cuestión en la Ley reguladora de las bases del régimen local y la ha reenviado a la norma que regula el régimen electoral general.</w:t>
      </w:r>
    </w:p>
    <w:p w:rsidR="00D06117" w:rsidRDefault="00D06117" w:rsidP="00D06117">
      <w:pPr>
        <w:pStyle w:val="TextoNormal"/>
      </w:pPr>
    </w:p>
    <w:p w:rsidR="00D06117" w:rsidRDefault="00D06117" w:rsidP="00D06117">
      <w:pPr>
        <w:pStyle w:val="TextoNormal"/>
      </w:pPr>
      <w:r>
        <w:t>En suma, frente a la argumentación de la Sentencia, estimo que la cuestión hubiera debido encuadrarse competencialmente en el art. 149.1.1 CE en relación con los arts. 23, 81.1 y 140 CE pues, de hecho, lo que el precepto cuestionado producía era, en el fondo, una limitación temporal de las facultades de los concejales para presentar una moción de censura. Por eso, aun reconociendo que la cuestión planteada tiene relación con el régimen local, entiendo que esa relación no puede prevalecer sobre los aspectos relacionados con el régimen electoral y con el art. 23 CE que la moción de censura local plantea, tanto desde la perspectiva de los concejales, al ejercer este instrumento de control, como de la del propio alcalde, que será sustituido en caso de que la moción prospere. Además la ponencia continúa trasladando las afirmaciones de la STC 38/1983, FJ 2, en relación con las elecciones locales a la regulación de la moción de censura, afirmando que lo hace (fundamento jurídico 3, último párrafo) en lo relativo a los elementos electorales y de desarrollo directo del art. 23 que presenta la moción de censura al alcalde, lo que, me parece que más que aproximar, aleja la cuestión del ámbito propio del art. 149.1.18 CE y la aproxima al del art. 149.1.1 CE.</w:t>
      </w:r>
    </w:p>
    <w:p w:rsidR="00D06117" w:rsidRDefault="00D06117" w:rsidP="00D06117">
      <w:pPr>
        <w:pStyle w:val="TextoNormal"/>
      </w:pPr>
    </w:p>
    <w:p w:rsidR="00D06117" w:rsidRDefault="00D06117" w:rsidP="00D06117">
      <w:pPr>
        <w:pStyle w:val="TextoNormal"/>
      </w:pPr>
      <w:r>
        <w:lastRenderedPageBreak/>
        <w:t>Así, como la propia Sentencia no niega, además de al régimen electoral local o, más precisamente, al sistema institucional de gobierno local —en cuanto que la finalidad de la moción de censura es esencialmente un mecanismo de exigencia de responsabilidad política que persigue el cambio del titular de la alcaldía— se está afectando al ámbito de atribuciones de los concejales en el ejercicio de sus funciones de representación de la voluntad de los vecinos y a la posición institucional del alcalde, en tanto que responsable último del gobierno y administración municipales. Igualmente en cuanto a su ya aludido aspecto de mecanismo de exigencia de responsabilidad política en el seno de la corporación local presenta también una relación con el art. 23 CE que la hace susceptible de recibir un tratamiento legislativo uniforme al amparo del tan citado art. 149.1.1.CE, que debería haber sido considerado el título competencial estatal a partir del cual hubiera debido abordarse el enjuiciamiento del precepto cuestionado, evitando, en todo caso, la, en mi opinión, inadecuada utilización en el presente caso tanto del título competencial estatal que deriva del art. 149.1.18 CE como, en especial, de la reserva de ley orgánica del art. 81.1 CE.</w:t>
      </w:r>
    </w:p>
    <w:p w:rsidR="00D06117" w:rsidRDefault="00D06117" w:rsidP="00D06117">
      <w:pPr>
        <w:pStyle w:val="TextoNormal"/>
      </w:pPr>
    </w:p>
    <w:p w:rsidR="00D06117" w:rsidRDefault="00D06117" w:rsidP="00D06117">
      <w:pPr>
        <w:pStyle w:val="TextoNormal"/>
      </w:pPr>
      <w:r>
        <w:t>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5" w:name="SENTENCIA_2012_82"/>
      <w:r>
        <w:lastRenderedPageBreak/>
        <w:t>SENTENCIA 82/2012, de 18 de abril de 2012</w:t>
      </w:r>
    </w:p>
    <w:bookmarkEnd w:id="8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abril de 2012)</w:t>
      </w:r>
    </w:p>
    <w:p w:rsidR="00D06117" w:rsidRDefault="00D06117" w:rsidP="00D06117">
      <w:pPr>
        <w:pStyle w:val="TtuloBOE"/>
      </w:pPr>
    </w:p>
    <w:p w:rsidR="00D06117" w:rsidRDefault="00D06117" w:rsidP="00D06117">
      <w:pPr>
        <w:pStyle w:val="SntesisDescriptiva"/>
      </w:pPr>
      <w:r>
        <w:t>ECLI:ES:TC:2012:82</w:t>
      </w:r>
    </w:p>
    <w:p w:rsidR="00D06117" w:rsidRDefault="00D06117" w:rsidP="00D06117">
      <w:pPr>
        <w:pStyle w:val="SntesisDescriptiva"/>
      </w:pPr>
    </w:p>
    <w:p w:rsidR="00D06117" w:rsidRDefault="00D06117" w:rsidP="00D06117">
      <w:pPr>
        <w:pStyle w:val="SntesisDescriptiva"/>
      </w:pPr>
      <w:r>
        <w:t>Recurso de inconstitucionalidad 2054-2001. Interpuesto por el Presidente del Gobierno con respecto a la Ley Foral 16/2000, de 29 de diciembre, de modificación de la Ley Foral 10/1999, por la que se declara parque natural las Bardenas Reales de Navarra.</w:t>
      </w:r>
    </w:p>
    <w:p w:rsidR="00D06117" w:rsidRDefault="00D06117" w:rsidP="00D06117">
      <w:pPr>
        <w:pStyle w:val="SntesisDescriptiva"/>
      </w:pPr>
    </w:p>
    <w:p w:rsidR="00D06117" w:rsidRDefault="00D06117" w:rsidP="00D06117">
      <w:pPr>
        <w:pStyle w:val="SntesisAnaltica"/>
      </w:pPr>
      <w:r>
        <w:t>Competencias sobre medio ambiente y defensa nacional: validez de la declaración de espacio natural protegido sin elaboración previa del plan de ordenación de los recursos naturales de la zona y cuyo efectos se difieren al cambio de uso del suelo ocupado por un polígono de tiro. Votos particulares.</w:t>
      </w:r>
    </w:p>
    <w:p w:rsidR="00D06117" w:rsidRDefault="00D06117" w:rsidP="00D06117">
      <w:pPr>
        <w:pStyle w:val="SntesisAnaltica"/>
      </w:pPr>
    </w:p>
    <w:p w:rsidR="00D06117" w:rsidRDefault="00D06117" w:rsidP="00D06117">
      <w:pPr>
        <w:pStyle w:val="Extracto"/>
      </w:pPr>
      <w:r>
        <w:t>1.</w:t>
      </w:r>
      <w:r>
        <w:tab/>
        <w:t>La ley foral no perturba las concurrentes competencias estatales sobre el mismo espacio físico ya que salvaguarda la competencia estatal en materia de defensa nacional, que prevalece sobre la autonómica hasta el punto de que esta última solamente será efectiva cuando no concurra, por haber desaparecido su utilidad militar, la competencia estatal [FJ 5].</w:t>
      </w:r>
    </w:p>
    <w:p w:rsidR="00D06117" w:rsidRDefault="00D06117" w:rsidP="00D06117">
      <w:pPr>
        <w:pStyle w:val="Extracto"/>
      </w:pPr>
    </w:p>
    <w:p w:rsidR="00D06117" w:rsidRDefault="00D06117" w:rsidP="00D06117">
      <w:pPr>
        <w:pStyle w:val="Extracto"/>
      </w:pPr>
      <w:r>
        <w:t>2.</w:t>
      </w:r>
      <w:r>
        <w:tab/>
        <w:t>La declaración del parque natural de las Bardenas Reales, sin la previa aprobación del plan de ordenación de los recursos naturales, respeta la normativa básica estatal –art. 15 LCEN– al existir y hacerse constar en la norma que lo declara, las razones que lo justifican –la próxima extinción del título jurídico en cuya virtud se hacía uso de la zona como campo de tiro y la revisión del uso y la actividad que venía realizándose en dicha zona con objeto de alcanzar la plenitud ambiental– [FJ 6].</w:t>
      </w:r>
    </w:p>
    <w:p w:rsidR="00D06117" w:rsidRDefault="00D06117" w:rsidP="00D06117">
      <w:pPr>
        <w:pStyle w:val="Extracto"/>
      </w:pPr>
    </w:p>
    <w:p w:rsidR="00D06117" w:rsidRDefault="00D06117" w:rsidP="00D06117">
      <w:pPr>
        <w:pStyle w:val="Extracto"/>
      </w:pPr>
      <w:r>
        <w:t>3.</w:t>
      </w:r>
      <w:r>
        <w:tab/>
        <w:t xml:space="preserve">Los espacios naturales protegidos son el soporte de un título competencial distinto del que cobija la protección del medio ambiente y no habiéndose reservado el Estado competencia alguna respecto de tales espacios resulta posible que esa materia pueda corresponder a las Comunidades Autónomas, </w:t>
      </w:r>
      <w:r w:rsidRPr="00D06117">
        <w:rPr>
          <w:i/>
        </w:rPr>
        <w:t>ex</w:t>
      </w:r>
      <w:r>
        <w:t xml:space="preserve"> art. 149.3 CE (SSTC 69/1982, 102/1995) [FJ 4].</w:t>
      </w:r>
    </w:p>
    <w:p w:rsidR="00D06117" w:rsidRDefault="00D06117" w:rsidP="00D06117">
      <w:pPr>
        <w:pStyle w:val="Extracto"/>
      </w:pPr>
    </w:p>
    <w:p w:rsidR="00D06117" w:rsidRDefault="00D06117" w:rsidP="00D06117">
      <w:pPr>
        <w:pStyle w:val="Extracto"/>
      </w:pPr>
      <w:r>
        <w:t>4.</w:t>
      </w:r>
      <w:r>
        <w:tab/>
        <w:t>En supuestos de concurrencia de títulos competenciales prevalece, como criterio general, la regla competencial específica sobre la más genérica, por lo que, atendiendo a las circunstancias del caso, es la competencia estatal en materia de defensa nacional la prevalente, debiendo la concurrente competencia de la Comunidad Foral en materia de espacios naturales acomodarse e integrarse con aquélla (SSTC 40/1998, 14/2004) [FJ 4].</w:t>
      </w:r>
    </w:p>
    <w:p w:rsidR="00D06117" w:rsidRDefault="00D06117" w:rsidP="00D06117">
      <w:pPr>
        <w:pStyle w:val="Extracto"/>
      </w:pPr>
    </w:p>
    <w:p w:rsidR="00D06117" w:rsidRDefault="00D06117" w:rsidP="00D06117">
      <w:pPr>
        <w:pStyle w:val="Extracto"/>
      </w:pPr>
      <w:r>
        <w:t>5.</w:t>
      </w:r>
      <w:r>
        <w:tab/>
        <w:t>La atribución de una competencia al Estado sobre un ámbito físico determinado no impide necesariamente que se ejerzan otras competencias en ese espacio, siempre que ambas tengan distinto objeto jurídico y que el ejercicio de las autonómicas no interfiera o perturbe el ejercicio de las estatales (SSTC 166/2000, 46/2007) [FJ 4].</w:t>
      </w:r>
    </w:p>
    <w:p w:rsidR="00D06117" w:rsidRDefault="00D06117" w:rsidP="00D06117">
      <w:pPr>
        <w:pStyle w:val="Extracto"/>
      </w:pPr>
    </w:p>
    <w:p w:rsidR="00D06117" w:rsidRDefault="00D06117" w:rsidP="00D06117">
      <w:pPr>
        <w:pStyle w:val="Extracto"/>
      </w:pPr>
      <w:r>
        <w:t>6.</w:t>
      </w:r>
      <w:r>
        <w:tab/>
        <w:t>Aplica la doctrina sobre el carácter básico del art. 15 LCEN y la inseparabilidad entre la calificación de un espacio natural y la elaboración del correspondiente PORN de la zona de las SSTC 102/1995 y 163/1995, y del ATC 238/2002 [FJ 6].</w:t>
      </w:r>
    </w:p>
    <w:p w:rsidR="00D06117" w:rsidRDefault="00D06117" w:rsidP="00D06117">
      <w:pPr>
        <w:pStyle w:val="Extracto"/>
      </w:pPr>
    </w:p>
    <w:p w:rsidR="00D06117" w:rsidRDefault="00D06117" w:rsidP="00D06117">
      <w:pPr>
        <w:pStyle w:val="Extracto"/>
      </w:pPr>
      <w:r>
        <w:t>7.</w:t>
      </w:r>
      <w:r>
        <w:tab/>
        <w:t>Para apreciar la inconstitucionalidad mediata o indirecta, por contradicción de la normativa autonómica con la norma estatal básica será necesario que la norma estatal sea, en sentido material y formal, una norma básica dictada al amparo del correspondiente título competencial y que dicha contradicción sea efectiva e insalvable por vía interpretativa (STC 162/2009) [FJ 6].</w:t>
      </w:r>
    </w:p>
    <w:p w:rsidR="00D06117" w:rsidRDefault="00D06117" w:rsidP="00D06117">
      <w:pPr>
        <w:pStyle w:val="Extracto"/>
      </w:pPr>
    </w:p>
    <w:p w:rsidR="00D06117" w:rsidRDefault="00D06117" w:rsidP="00D06117">
      <w:pPr>
        <w:pStyle w:val="Extracto"/>
      </w:pPr>
      <w:r>
        <w:t>8.</w:t>
      </w:r>
      <w:r>
        <w:tab/>
        <w:t>Doctrina sobre concurrencia de competencias estatales y autonómicas sobre un mismo espacio físico (SSTC 69/1988, 46/2007)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2054-2001, interpuesto por el Presidente del Gobierno, representado por el Abogado del Estado, contra la Ley Foral 16/2000, de 29 de diciembre, de modificación de la Ley Foral 10/1999, de 6 de abril, por la que se declara Parque Natural las Bardenas Reales de Navarra. Ha comparecido y formulado alegaciones el Parlamento de Navarra. Ha sido Ponente el Magistrado don Luis Ignacio Ortega Álvarez,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que tuvo su entrada en este Tribunal el día 9 de abril de 2001, el Abogado del Estado, en representación del Presidente del Gobierno, interpuso recurso de inconstitucionalidad contra la Ley Foral 16/2000, de 29 de diciembre, de modificación de la Ley Foral 10/1999, de 6 de abril, por la que se declara Parque Natural las Bardenas Reales de Navarra. En la demanda se hizo expresa invocación del art. 161.2 CE a fin de que se produjera la suspensión de la norma impugnada.</w:t>
      </w:r>
    </w:p>
    <w:p w:rsidR="00D06117" w:rsidRDefault="00D06117" w:rsidP="00D06117">
      <w:pPr>
        <w:pStyle w:val="TextoNormal"/>
      </w:pPr>
    </w:p>
    <w:p w:rsidR="00D06117" w:rsidRDefault="00D06117" w:rsidP="00D06117">
      <w:pPr>
        <w:pStyle w:val="TextoNormal"/>
      </w:pPr>
      <w:r w:rsidRPr="00D06117">
        <w:rPr>
          <w:rStyle w:val="NumeroAFNegritaCaracter"/>
        </w:rPr>
        <w:t>2</w:t>
      </w:r>
      <w:r>
        <w:t>. Las alegaciones del Abogado del Estado son, sustancialmente, las que se resumen a continuación:</w:t>
      </w:r>
    </w:p>
    <w:p w:rsidR="00D06117" w:rsidRDefault="00D06117" w:rsidP="00D06117">
      <w:pPr>
        <w:pStyle w:val="TextoNormal"/>
      </w:pPr>
    </w:p>
    <w:p w:rsidR="00D06117" w:rsidRDefault="00D06117" w:rsidP="00D06117">
      <w:pPr>
        <w:pStyle w:val="TextoNormal"/>
      </w:pPr>
      <w:r>
        <w:t>Comienza señalando que el objeto de la ley ahora recurrida es, exclusivamente, extender la superficie del preexistente parque natural a fin de incluir en el mismo la zona de las Bardenas Reales, tradicionalmente ocupada por un polígono de tiro del Ministerio de Defensa desde 1951, decisión que pretende justificarse por los eventuales cambios que se producirían en el uso del espacio ocupado por el citado polígono de tiro, razón por la cual el legislador navarro ha decidido someter dicho uso al régimen propio del parque natural. Con ello se conculcaría la competencia estatal en materia de “defensa nacional” (art. 149.1.4 CE), toda vez que la Ley Foral 16/2000, al extender el parque natural, determina la incompatibilidad de uso de la zona ocupada por el polígono de tiro de las Bardenas Reales, zona declarada de interés para la defensa nacional por el Real Decreto 1943/2000, de 1 de diciembre. Con ello se estaría desconociendo la reiterada doctrina constitucional sobre la necesaria armonización de las competencias que se han de ejercer en el mismo espacio físico. En este sentido, cita las SSTC 149/1998, de 29 de junio, y 166/2000, de 15 de junio y, por ser específicamente aplicable al caso al tratarse del mismo problema competencial, el ATC 428/1989, de 21 de julio, en el que se declara que la competencia de defensa nacional no puede quedar menoscabada por el ejercicio de otra autonómica. Destaca además que el problema constitucional que se somete a enjuiciamiento nada tiene que ver con los títulos que las Administraciones en conflicto puedan tener sobre la titularidad o el aprovechamiento del territorio afectado sino que versa sobre si el Estado, en uso de sus competencias constitucionales, ha decidido un uso para ese espacio incompatible con el ordenado por la Comunidad Autónoma por lo que estima que, desde el punto de vista competencial, ninguna trascendencia tiene un eventual cambio de las relaciones jurídicas en las que se basa el derecho de uso del Estado.</w:t>
      </w:r>
    </w:p>
    <w:p w:rsidR="00D06117" w:rsidRDefault="00D06117" w:rsidP="00D06117">
      <w:pPr>
        <w:pStyle w:val="TextoNormal"/>
      </w:pPr>
    </w:p>
    <w:p w:rsidR="00D06117" w:rsidRDefault="00D06117" w:rsidP="00D06117">
      <w:pPr>
        <w:pStyle w:val="TextoNormal"/>
      </w:pPr>
      <w:r>
        <w:t>Así, resalta que el conflicto competencial se produce por la incompatibilidad de uso que, para el espacio físico ocupado por el polígono de tiro, establece la norma recurrida respecto a la declaración de zona de interés para la defensa nacional que se realizó, en relación a ese mismo espacio físico, por el Real Decreto 1943/2000, de 1 de diciembre. Esta declaración somete este espacio a una serie de límites y condiciones entre las que se encuentra la autorización del Ministerio de Defensa para cualquier obra de edificación o construcción o para la cesión por cualquier título de los aprovechamientos de los territorios afectados así como obtener esa misma autorización para la determinación de la compatibilidad con los fines de la defensa nacional de cualquier regulación, ordenación o actividad administrativa que pueda incidir en la utilización militar del campo de entrenamiento. Es evidente, a juicio del Abogado del Estado, que la ley foral recurrida no tiene en absoluto en cuenta esta disposición estatal pues prevé, directamente y sin ningún tipo de mecanismo de cooperación, la inclusión del espacio ocupado por el polígono de tiro en un parque natural previo el desmantelamiento de aquél. Por ello nos encontraríamos ante un caso paradigmático de ejercicio de competencias autonómicas de ordenación del territorio y medio ambiente que interfiere y perturba una competencia exclusiva estatal, conducta clara y expresamente prohibida por la doctrina constitucional pues la decisión autonómica hubiera debido respetar el régimen de límites y condiciones previsto por el Estado mediante el Real Decreto 1943/2000 y al no hacerlo así sino, por el contrario, haber establecido un uso manifiestamente incompatible con la declaración de zona de interés para la defensa nacional la Ley Foral ha de ser declarada inconstitucional.</w:t>
      </w:r>
    </w:p>
    <w:p w:rsidR="00D06117" w:rsidRDefault="00D06117" w:rsidP="00D06117">
      <w:pPr>
        <w:pStyle w:val="TextoNormal"/>
      </w:pPr>
    </w:p>
    <w:p w:rsidR="00D06117" w:rsidRDefault="00D06117" w:rsidP="00D06117">
      <w:pPr>
        <w:pStyle w:val="TextoNormal"/>
      </w:pPr>
      <w:r>
        <w:t xml:space="preserve">Finalmente el Abogado del Estado alega la infracción de la normativa básica estatal en materia de ordenación de espacios protegidos (art. 149.1.23 CE), en concreto, el art. 15 de </w:t>
      </w:r>
      <w:r>
        <w:lastRenderedPageBreak/>
        <w:t>la Ley 4/1989, de 27 de marzo, de conservación de espacios naturales y de la flora y fauna silvestres, el cual exige que la declaración de parques y reservas venga precedida por la aprobación del correspondiente plan de ordenación de los recursos naturales, precepto cuyo carácter básico ha sido confirmado por las SSTC 102/1995, de 26 de junio y 163/1995, de 8 de noviembre. En este caso, ni se ha aprobado el plan previamente ni se dan las condiciones exigidas en el mismo precepto para su posposición, pues la propia norma foral condiciona la eficacia de las previsiones de ese plan al previo desmantelamiento de las instalaciones militares, de suerte que su existencia no supone impedimento alguno que haga imposible la aprobación del plan con anterioridad a la ampliación del parque. Con ello también se perjudica a la competencia estatal sobre la zona declarada de interés para la defensa nacional pues, tras su declaración como parque natural, se impide el sometimiento a los límites y condiciones propios derivados de tal declaración sin especificar los usos concretos de protección medioambiental.</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providencia de 8 de mayo de 2001, la Sección Segunda del Tribunal acordó admitir a trámite el recurso de inconstitucionalidad y dar traslado de la demanda y documentos presentados al Congreso de los Diputados y al Senado, así como al Parlamento y al Gobierno de Navarra, al objeto de que en el plazo de quince días pudieran personarse en el proceso y formular las alegaciones que estimaren convenientes. También acordó tener por invocado por el Presidente del Gobierno el art. 161.2 CE, que produce la suspensión de la vigencia de la ley impugnada, desde la fecha de interposición del recurso para las partes del proceso y desde el día en que aparezca publicada la suspensión en el “Boletín Oficial del Estado” para los terceros, y ordenó publicar la incoación del recurso en el “Boletín Oficial del Estado” y en el “Boletín Oficial de Navarra”.</w:t>
      </w:r>
    </w:p>
    <w:p w:rsidR="00D06117" w:rsidRDefault="00D06117" w:rsidP="00D06117">
      <w:pPr>
        <w:pStyle w:val="TextoNormal"/>
      </w:pPr>
    </w:p>
    <w:p w:rsidR="00D06117" w:rsidRDefault="00D06117" w:rsidP="00D06117">
      <w:pPr>
        <w:pStyle w:val="TextoNormal"/>
      </w:pPr>
      <w:r w:rsidRPr="00D06117">
        <w:rPr>
          <w:rStyle w:val="NumeroAFNegritaCaracter"/>
        </w:rPr>
        <w:t>4</w:t>
      </w:r>
      <w:r>
        <w:t>. El día 21 de mayo de 2001 se registró en el Tribunal un escrito de la Presidenta del Congreso de los Diputados en el que comunicó al Tribunal que dicha Cámara no se personaría en el proceso ni formularía alegaciones.</w:t>
      </w:r>
    </w:p>
    <w:p w:rsidR="00D06117" w:rsidRDefault="00D06117" w:rsidP="00D06117">
      <w:pPr>
        <w:pStyle w:val="TextoNormal"/>
      </w:pPr>
    </w:p>
    <w:p w:rsidR="00D06117" w:rsidRDefault="00D06117" w:rsidP="00D06117">
      <w:pPr>
        <w:pStyle w:val="TextoNormal"/>
      </w:pPr>
      <w:r w:rsidRPr="00D06117">
        <w:rPr>
          <w:rStyle w:val="NumeroAFNegritaCaracter"/>
        </w:rPr>
        <w:t>5</w:t>
      </w:r>
      <w:r>
        <w:t>. La Presidenta del Senado, mediante escrito registrado el día 29 de mayo de 2001, comunicó que la Cámara se personaba en el proceso, ofreciendo su colaboración.</w:t>
      </w:r>
    </w:p>
    <w:p w:rsidR="00D06117" w:rsidRDefault="00D06117" w:rsidP="00D06117">
      <w:pPr>
        <w:pStyle w:val="TextoNormal"/>
      </w:pPr>
    </w:p>
    <w:p w:rsidR="00D06117" w:rsidRDefault="00D06117" w:rsidP="00D06117">
      <w:pPr>
        <w:pStyle w:val="TextoNormal"/>
      </w:pPr>
      <w:r w:rsidRPr="00D06117">
        <w:rPr>
          <w:rStyle w:val="NumeroAFNegritaCaracter"/>
        </w:rPr>
        <w:t>6</w:t>
      </w:r>
      <w:r>
        <w:t>. El día 31 de mayo de 2001 el Letrado del Parlamento de Navarra se personó en el proceso y formuló las siguientes alegaciones:</w:t>
      </w:r>
    </w:p>
    <w:p w:rsidR="00D06117" w:rsidRDefault="00D06117" w:rsidP="00D06117">
      <w:pPr>
        <w:pStyle w:val="TextoNormal"/>
      </w:pPr>
    </w:p>
    <w:p w:rsidR="00D06117" w:rsidRDefault="00D06117" w:rsidP="00D06117">
      <w:pPr>
        <w:pStyle w:val="TextoNormal"/>
      </w:pPr>
      <w:r>
        <w:t xml:space="preserve">Se refiere, en primer lugar, a la competencia exclusiva de la Comunidad Foral de Navarra en materia de espacios naturales protegidos, la cual, contemplada en el art. 50.1 d) de la Ley Orgánica 13/1982, de 10 de agosto, de reintegración y amejoramiento del régimen foral de Navarra, debe ser ejercida de acuerdo con la legislación básica estatal, en este caso la Ley 4/1989, de 27 de marzo, de conservación de espacios naturales y de la flora y fauna silvestres. En ese marco la Ley Foral 9/1996, de 17 de marzo, de espacios naturales de Navarra, ha regulado la figura de los parques naturales, caracterizados por establecer un régimen de protección adecuado a las circunstancias que concurran en cada caso y fijado por las correspondientes leyes de declaración y planes de ordenación de los recursos naturales. Estos planes han de elaborarse, como regla general, previamente a la declaración como parque natural si bien, excepcionalmente, cuando existan razones que lo justifiquen y que se hagan constar en la Ley Foral que los declare, es posible que el plan se tramite en el plazo de un </w:t>
      </w:r>
      <w:r>
        <w:lastRenderedPageBreak/>
        <w:t>año a partir de la declaración de espacio natural protegido. Siguiendo ese marco general fue aprobado por el Gobierno de Navarra, mediante Decreto foral 226/1998, el plan de ordenación de los recursos naturales de las Bardenas Reales de Navarra, a lo que siguió su declaración como parque natural mediante la Ley Foral 10/1999, de 6 de abril, declaración en la que se excluía de su ámbito territorial la parte de las Bardenas Reales destinada a polígono de tiro. En ese sentido, el Letrado del Parlamento Foral apunta que la integración del territorio actualmente ocupado por el polígono en el parque natural no es sino un paso más que pretende desarrollar previsiones ya recogidas en la ley foral declarativa inicial.</w:t>
      </w:r>
    </w:p>
    <w:p w:rsidR="00D06117" w:rsidRDefault="00D06117" w:rsidP="00D06117">
      <w:pPr>
        <w:pStyle w:val="TextoNormal"/>
      </w:pPr>
    </w:p>
    <w:p w:rsidR="00D06117" w:rsidRDefault="00D06117" w:rsidP="00D06117">
      <w:pPr>
        <w:pStyle w:val="TextoNormal"/>
      </w:pPr>
      <w:r>
        <w:t>Señala a continuación que la ley foral impugnada no vulnera la competencia estatal en materia de defensa. Así, indica que la jurisprudencia constitucional ha sentado el principio general de que la atribución de una competencia sobre un ámbito físico determinado no impide necesariamente que se ejerzan otras competencias en ese espacio siempre que ambas tengan distinto objeto jurídico. En este punto señala que la Comunidad Foral no puede quedar desapoderada de sus competencias exclusivas en materia de espacios naturales protegidos en un supuesto en el que existe una continuidad, que los hace susceptibles de sujetarse a su mismo régimen de protección, entre las características y valores naturales de los terrenos del polígono de tiro con los del resto del territorio del parque natural. Estima que tampoco debe merecer reproche alguno, desde la perspectiva constitucional, la aspiración de que los terrenos dejen de estar vinculados lo antes posible a las necesidades de la defensa por cuanto las determinaciones de la ley foral únicamente serán efectivas una vez que se produzca el desmantelamiento de edificaciones e instalaciones incompatibles con los usos del plan de ordenación de los recursos naturales (PORN) lo que salvaguarda perfectamente los anteriores intereses, por cuanto el plan sólo podrá contemplar un uso distinto al actual en el caso de que los terrenos dejen de estar vinculados a fines de defensa. En el caso contrario, las determinaciones que se establezcan y que no sean compatibles con los usos militares quedan diferidas en su eficacia al momento en que se produzca dicha situación de no vinculación, constituyendo meras previsiones de futuro derivadas del cambio de destino de los terrenos si éste llega a producirse. Además indica que el actual uso militar de los terrenos queda salvaguardado por cuanto la tramitación administrativa del plan exigiría el informe vinculante de la Administración del Estado, conforme a lo dispuesto en la disposición adicional primera de la Ley 6/1998, de 13 de abril, sobre régimen del suelo y valoraciones, por lo que las posibles determinaciones a introducir en la modificación del vigente PORN deberían contar con un informe favorable del Ministerio de Defensa. Por todo lo expuesto, el Letrado del Parlamento Foral estima que lo que se impugna realmente es una mera hipótesis de futuro ya que resulta imposible concretar la vulneración competencial.</w:t>
      </w:r>
    </w:p>
    <w:p w:rsidR="00D06117" w:rsidRDefault="00D06117" w:rsidP="00D06117">
      <w:pPr>
        <w:pStyle w:val="TextoNormal"/>
      </w:pPr>
    </w:p>
    <w:p w:rsidR="00D06117" w:rsidRDefault="00D06117" w:rsidP="00D06117">
      <w:pPr>
        <w:pStyle w:val="TextoNormal"/>
      </w:pPr>
      <w:r>
        <w:t>Indica a continuación que el recurso interpuesto descansa en la previa declaración administrativa, llevada a cabo por el Real Decreto 1943/2000, de 1 de diciembre, de los terrenos como zona de interés para la defensa nacional, respecto a la cual considera que no son razones objetivas vinculadas a la política estratégica de la defensa las que han guiado la declaración analizada sino meros criterios de oportunidad desconectados de los fines que legalmente ha de perseguir un acto de esa naturaleza. Por lo demás, sostiene que la declaración efectuada, aun siendo injustificada y desproporcionada, en nada afecta a la constitucionalidad de la Ley Foral 16/2000 ya que su objeto no es cuestionar la competencia del Estado en materia de defensa sino ampliar un parque natural en el uso de una competencia legislativa que no puede verse anulada por un régimen de limitación administrativa más o menos intenso vinculado a una actividad de defensa nacional.</w:t>
      </w:r>
    </w:p>
    <w:p w:rsidR="00D06117" w:rsidRDefault="00D06117" w:rsidP="00D06117">
      <w:pPr>
        <w:pStyle w:val="TextoNormal"/>
      </w:pPr>
    </w:p>
    <w:p w:rsidR="00D06117" w:rsidRDefault="00D06117" w:rsidP="00D06117">
      <w:pPr>
        <w:pStyle w:val="TextoNormal"/>
      </w:pPr>
      <w:r>
        <w:t>La representación procesal de la Cámara Foral rechaza también que la norma impugnada vulnere la normativa básica estatal en materia de medio ambiente. En tal sentido indica que la ley foral recurrida no ha procedido a ninguna declaración de parque natural por cuanto ese parque fue declarado por la Ley Foral 10/1999, previa la aprobación del correspondiente plan llevada a cabo por el Decreto Foral 266/1988, de 7 de septiembre. De esta manera la Ley Foral 16/2000 lo único que hace es modificar puntualmente la originaria declaración efectuada por la Ley Foral 10/1999, estableciendo el plazo de un año para que se lleve a cabo la necesaria modificación del plan de ordenación de los recursos naturales. En todo caso, la posposición que realiza la norma foral impugnada está plenamente justificada en la norma por referencia a la conclusión del convenio de cesión de uso de los terrenos a favor del Ministerio de Defensa y a la indefinición del régimen de usos provocada por la falta de datos objetivos sobre el mantenimiento o no del polígono de tiro, circunstancias que justificarían que el legislador navarro haya instado a la entidad competente el inicio del procedimiento al objeto de evitar dilaciones innecesarias en el establecimiento de un régimen de protección adecuado al territorio afectado. Finalmente indica que la posposición en el tiempo de la modificación del plan de ordenación de los recursos naturales en nada perturba la competencia estatal sobre la zona declarada de interés para la defensa nacional ya que, cualquiera que sea el momento en que se apruebe dicha modificación, su eficacia queda condicionada al desmantelamiento de las instalaciones militares.</w:t>
      </w:r>
    </w:p>
    <w:p w:rsidR="00D06117" w:rsidRDefault="00D06117" w:rsidP="00D06117">
      <w:pPr>
        <w:pStyle w:val="TextoNormal"/>
      </w:pPr>
    </w:p>
    <w:p w:rsidR="00D06117" w:rsidRDefault="00D06117" w:rsidP="00D06117">
      <w:pPr>
        <w:pStyle w:val="TextoNormal"/>
      </w:pPr>
      <w:r>
        <w:t>Por todo lo anterior, la representación procesal del Parlamento de Navarra solicita que se dicte Sentencia por la que se declare la plena constitucionalidad de la la Ley Foral 16/2000, de 29 de diciembre, de modificación de la Ley Foral 10/1999, de 6 de abril, por la que se declara Parque Natural las Bardenas Reales de Navarra.</w:t>
      </w:r>
    </w:p>
    <w:p w:rsidR="00D06117" w:rsidRDefault="00D06117" w:rsidP="00D06117">
      <w:pPr>
        <w:pStyle w:val="TextoNormal"/>
      </w:pPr>
    </w:p>
    <w:p w:rsidR="00D06117" w:rsidRDefault="00D06117" w:rsidP="00D06117">
      <w:pPr>
        <w:pStyle w:val="TextoNormal"/>
      </w:pPr>
      <w:r w:rsidRPr="00D06117">
        <w:rPr>
          <w:rStyle w:val="NumeroAFNegritaCaracter"/>
        </w:rPr>
        <w:t>7</w:t>
      </w:r>
      <w:r>
        <w:t>. El Presidente del Gobierno de Navarra presentó el día 1 de junio de 2001 un escrito al que acompaña la certificación del acuerdo adoptado por dicho gobierno en el sentido de darse por notificado de la interposición del recurso de inconstitucionalidad contra la Ley Foral 6/2000 y remitir dicho acuerdo al Tribunal.</w:t>
      </w:r>
    </w:p>
    <w:p w:rsidR="00D06117" w:rsidRDefault="00D06117" w:rsidP="00D06117">
      <w:pPr>
        <w:pStyle w:val="TextoNormal"/>
      </w:pPr>
    </w:p>
    <w:p w:rsidR="00D06117" w:rsidRDefault="00D06117" w:rsidP="00D06117">
      <w:pPr>
        <w:pStyle w:val="TextoNormal"/>
      </w:pPr>
      <w:r w:rsidRPr="00D06117">
        <w:rPr>
          <w:rStyle w:val="NumeroAFNegritaCaracter"/>
        </w:rPr>
        <w:t>8</w:t>
      </w:r>
      <w:r>
        <w:t>. La Sección Segunda del Tribunal, por providencia de 17 de julio de 2001, próximo a finalizar el plazo de cinco meses previsto en el art. 161.2 CE desde que se produjo la suspensión de la ley impugnada en este recurso de inconstitucionalidad, acordó oír a las partes personadas en el mismo para que, en el plazo común de cinco días, expusieran lo que estimaren procedente acerca del mantenimiento o levantamiento de dicha suspensión. Evacuado por el Abogado del Estado y por el Letrado del Parlamento de Navarra el trámite de alegaciones conferido, el Pleno del Tribunal, mediante el ATC 252/2001, de 18 de septiembre, acordó el levantamiento de la suspensión de la Ley Foral 16/2000, de 29 de diciembre, de modificación de la Ley Foral 10/1999, de 6 de abril, por la que se declara Parque Natural las Bardenas Reales de Navarra.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17 de abril de 2012 se señaló para deliberación y votación del presente recurso de inconstitucionalidad el día 18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inconstitucionalidad, interpuesto por el Presidente del Gobierno, tiene como objeto la impugnación de la Ley Foral 16/2000, de 29 de diciembre, de modificación de la Ley Foral 10/1999, de 6 de abril, por la que se declara parque natural las Bardenas Reales de Navarra.</w:t>
      </w:r>
    </w:p>
    <w:p w:rsidR="00D06117" w:rsidRDefault="00D06117" w:rsidP="00D06117">
      <w:pPr>
        <w:pStyle w:val="TextoNormal"/>
      </w:pPr>
    </w:p>
    <w:p w:rsidR="00D06117" w:rsidRDefault="00D06117" w:rsidP="00D06117">
      <w:pPr>
        <w:pStyle w:val="TextoNormal"/>
      </w:pPr>
      <w:r>
        <w:t>El recurso se plantea exclusivamente por motivos competenciales, pues el Abogado del Estado atribuye a la norma impugnada la vulneración de las competencias exclusivas estatales en materia de defensa nacional ex art. 149.1.4 CE en cuanto esa zona, usada como polígono de tiro por el Ejército del aire, ha sido declarada, mediante Real Decreto 1943/2000, de 1 de diciembre, como zona de interés para la defensa nacional, de conformidad con lo dispuesto en el art. 5 de la Ley 8/1975, de 12 de marzo, de zonas e instalaciones de interés para la defensa nacional. Además, se alega la vulneración de la normativa básica estatal por cuanto, en contradicción con lo dispuesto en la Ley 4/1989, de 27 de marzo, de conservación de espacios naturales y de la flora y fauna silvestres (LCEN), la declaración de la zona ocupada por el polígono de tiro como Parque Natural no ha venido precedida por la aprobación del preceptivo plan de ordenación de los recursos naturales (en adelante, PORN). El Letrado del Parlamento Foral sostiene de contrario que la norma ha sido dictada en ejercicio de la competencia exclusiva de la Comunidad Foral de Navarra sobre espacios naturales protegidos, competencia que ha de ejercerse de acuerdo con la legislación básica del Estado, según establece el art. 50.1 d) de la Ley Orgánica 13/1982, de 10 de agosto, de reintegración y amejoramiento del régimen foral de Navarra (LORAFNA), sin que se afecte a los intereses de la defensa nacional, los cuales quedarían salvaguardados por el hecho de que las previsiones legales sólo serán efectivas una vez que la zona deje de usarse como polígono de tiro y se haya producido el desmantelamiento de las instalaciones militares. Esa misma razón es la que impediría apreciar la vulneración de la legislación básica estatal en materia de medio ambiente por cuanto la posposición en la elaboración del PORN se justificaría por la indeterminación en torno al mantenimiento o no del polígono de tiro.</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a conocer el fondo del asunto que se nos plantea procede que hagamos referencia a las diversas normas y acuerdos relativos a la zona controvertida que han de ser tenidos en cuenta para el examen de la cuestión suscitada en el mismo.</w:t>
      </w:r>
    </w:p>
    <w:p w:rsidR="00D06117" w:rsidRDefault="00D06117" w:rsidP="00D06117">
      <w:pPr>
        <w:pStyle w:val="TextoNormal"/>
      </w:pPr>
    </w:p>
    <w:p w:rsidR="00D06117" w:rsidRDefault="00D06117" w:rsidP="00D06117">
      <w:pPr>
        <w:pStyle w:val="TextoNormal"/>
      </w:pPr>
      <w:r>
        <w:t xml:space="preserve">Al respecto ha de citarse, en cuanto antecedente directo de la norma ahora impugnada, la Ley Foral 10/1999, de 6 de abril, por la que se declara parque natural las Bardenas Reales de Navarra, norma que excluye de dicha figura de protección el polígono de tiro que ocupa una extensión de 2.244 hectáreas en la referidas Bardenas Reales. El meritado parque natural se rige por el PORN aprobado definitivamente por el Gobierno de Navarra mediante Decreto Foral 266/1998, de 7 de septiembre, en el que también se excluye expresamente la zona destinada a polígono de tiro reconociendo el uso militar de esa misma zona y previendo expresamente dos posibles opciones: la renovación del convenio con el Ministerio de Defensa relativo al uso militar de la zona, con las modificaciones a que hubiere lugar, y la no renovación del mismo, debiéndose entonces adoptar la figura de protección más adecuada. No obstante, la exposición de motivos de dicha Ley Foral 10/1999 indica que “el adecuado estado de todo el territorio de las Bardenas Reales aconseja la revisión del uso y actividad que viene realizándose en una parte de él: la superficie reservada a polígono de tiro. Este </w:t>
      </w:r>
      <w:r>
        <w:lastRenderedPageBreak/>
        <w:t>deseo ha sido aprobado por el Parlamento de Navarra en repetidas ocasiones. Por ello, una vez concluidas las relaciones jurídicas vigentes reguladoras del uso indicado y con el fin de alcanzar la plenitud ambiental de Bardenas Reales y de esta Ley Foral, resulta oportuno que las Administraciones Públicas competentes adopten cuantas medidas e iniciativas sean necesarias para la superación del estado actual indicado. Todo ello previo estudio de las posibles afecciones medioambientales relacionadas con dicho espacio”.</w:t>
      </w:r>
    </w:p>
    <w:p w:rsidR="00D06117" w:rsidRDefault="00D06117" w:rsidP="00D06117">
      <w:pPr>
        <w:pStyle w:val="TextoNormal"/>
      </w:pPr>
    </w:p>
    <w:p w:rsidR="00D06117" w:rsidRDefault="00D06117" w:rsidP="00D06117">
      <w:pPr>
        <w:pStyle w:val="TextoNormal"/>
      </w:pPr>
      <w:r>
        <w:t>Por su parte, la Ley Foral 16/2000, de 29 de diciembre, objeto del presente recurso de inconstitucionalidad, amplía la declaración de parque natural de las Bardenas Reales incluyendo formalmente en el mismo al polígono de tiro, aludiendo, en su exposición de motivos, a la próxima conclusión de las relaciones jurídicas vigentes reguladoras del uso de la zona como polígono de tiro. Al respecto la disposición final tercera prevé que en el plazo de un año se proceda por la Comunidad de Bardenas Reales de Navarra a la redacción de la modificación del PORN para su tramitación y aprobación por el Gobierno de Navarra. En tal modificación se establecerán las determinaciones y el régimen aplicable a los terrenos ocupados por el polígono de tiro, cuya efectividad se retrasa al momento en que se produzca el total desmantelamiento de las edificaciones e instalaciones militares incompatibles con los usos definidos por el PORN y que se desactiven los explosivos y se retiren todos los elementos y restos de carácter militar existentes en los terrenos ocupados por el campo de tiro y zonas adyacentes al mismo.</w:t>
      </w:r>
    </w:p>
    <w:p w:rsidR="00D06117" w:rsidRDefault="00D06117" w:rsidP="00D06117">
      <w:pPr>
        <w:pStyle w:val="TextoNormal"/>
      </w:pPr>
    </w:p>
    <w:p w:rsidR="00D06117" w:rsidRDefault="00D06117" w:rsidP="00D06117">
      <w:pPr>
        <w:pStyle w:val="TextoNormal"/>
      </w:pPr>
      <w:r>
        <w:t>En cuanto al uso militar de la zona controvertida ya hemos mencionado que el Ejército del aire ha venido utilizando ininterrumpidamente el espacio aludido como campo de tiro desde el año 1951, uso amparado por los sucesivos acuerdos concertados entre el hoy Ministerio de Defensa y la Comunidad de Bardenas Reales de Navarra. En virtud de tales acuerdos la referida comunidad, titular de un amplio derecho de disfrute a perpetuidad sobre los terrenos en que está enclavado el polígono, cede, con las correspondientes contraprestaciones, al Ejército del aire el uso del mencionado polígono para la instalación de un campo de tiro. El acuerdo inicial, de 9 de junio de 1951, que, tras sucesivas renovaciones, expiraba el 9 de junio de 2001 fue renovado por el suscrito el 8 de junio de 2001, el cual, a su vez, ha sido sustituido por un tercero, de fecha 22 de diciembre de 2008, que prorroga durante veinte años el uso de los terrenos en cuestión como campo de instrucción y adiestramiento aéreo de las Fuerzas Armadas. Esa misma zona ha sido declarada como de interés para la defensa nacional mediante el Real Decreto 1943/2000, de 1 de diciembre, el cual señala en su preámbulo que “con el fin de preservar la instalación militar de cualquier actuación que pudiera afectarla, han sido adecuadamente ponderados los distintos intereses que pueden incidir en la zona que se declara de interés para la Defensa Nacional, y que se extiende no sólo a la superficie ocupada por el campo de entrenamiento de las Fuerzas Armadas y su zona de seguridad, en las Bardenas Reales (Navarra), sino también a una zona de sobrevuelo de los aviones que han de utilizarla”.</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Así expuestas las posiciones de las partes y los antecedentes de la cuestión controvertida apreciamos que el problema competencial aquí suscitado es doble: en primer lugar la concurrencia de competencias, estatales en materia de defensa y autonómicas en relación con los espacios naturales protegidos, sobre un mismo espacio físico, en este caso la zona de las Bardenas Reales que viene siendo usada como polígono de tiro por el Ejército del aire. Por otro lado se alega por el recurrente la vulneración de la normativa básica medioambiental estatal respecto a las previsiones en torno a la previa planificación de los recursos </w:t>
      </w:r>
      <w:r>
        <w:lastRenderedPageBreak/>
        <w:t>naturales en los citados espacios naturales protegidos, en este caso, las propias Bardenas Reales.</w:t>
      </w:r>
    </w:p>
    <w:p w:rsidR="00D06117" w:rsidRDefault="00D06117" w:rsidP="00D06117">
      <w:pPr>
        <w:pStyle w:val="TextoNormal"/>
      </w:pPr>
    </w:p>
    <w:p w:rsidR="00D06117" w:rsidRDefault="00D06117" w:rsidP="00D06117">
      <w:pPr>
        <w:pStyle w:val="TextoNormal"/>
      </w:pPr>
      <w:r>
        <w:t>Abordando ya la resolución del primer aspecto mencionado, debemos partir de nuestra consolidada doctrina respecto a la concurrencia de competencias estatales y autonómicas en el territorio derivadas de títulos jurídicos distintos, doctrina según la cual (STC 46/2007, de 1 de marzo, FJ 5):</w:t>
      </w:r>
    </w:p>
    <w:p w:rsidR="00D06117" w:rsidRDefault="00D06117" w:rsidP="00D06117">
      <w:pPr>
        <w:pStyle w:val="TextoNormal"/>
      </w:pPr>
    </w:p>
    <w:p w:rsidR="00D06117" w:rsidRDefault="00D06117" w:rsidP="00D06117">
      <w:pPr>
        <w:pStyle w:val="TextoNormal"/>
      </w:pPr>
      <w:r>
        <w:t>“…las situaciones de concurrencia competencial sobre un mismo espacio físico han de resolverse, en primer lugar, acudiendo a técnicas de colaboración y concertación. De esta forma resultará imprescindible el establecimiento de mecanismos de colaboración que permitan la necesaria coordinación y cooperación entre las Administraciones Públicas implicadas en la búsqueda de aquellas soluciones con las que consiga optimizar el ejercicio de las competencias estatales y autonómicas, pudiendo elegirse en cada caso las técnicas que se estimen más adecuadas. En definitiva, la concurrencia competencial no puede resolverse en términos de exclusión, sino que ha de acudirse a un expediente de acomodación e integración de los títulos competenciales —estatal y autonómico— que convergen sobre un mismo espacio físico y que, por eso mismo, están llamados a cohonestarse.</w:t>
      </w:r>
    </w:p>
    <w:p w:rsidR="00D06117" w:rsidRDefault="00D06117" w:rsidP="00D06117">
      <w:pPr>
        <w:pStyle w:val="TextoNormal"/>
      </w:pPr>
    </w:p>
    <w:p w:rsidR="00D06117" w:rsidRDefault="00D06117" w:rsidP="00D06117">
      <w:pPr>
        <w:pStyle w:val="TextoNormal"/>
      </w:pPr>
      <w:r>
        <w:t>Ahora bien, también hemos establecido que,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Para ello, habrá que tomar en consideración, como señala el fundamento jurídico 30 de la STC 40/1998, de 19 de febrero, cuál sea la competencia estatal de carácter sectorial que pretenda ejercerse, las razones que han llevado al constituyente a reservar esa competencia al Estado o el modo concreto en que éste o la Comunidad Autónoma pretendan ejercer las que les corresponden. En este sentido, hemos declarado que el Estado tiene competencias que pueden incidir de manera importante sobre el territorio, cual es el caso de la competencia sobre puertos y aeropuertos, y que no puede verse privado del ejercicio de sus competencias exclusivas por la existencia de una competencia, aunque también sea exclusiva, de una Comunidad Autónoma.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w:t>
      </w:r>
    </w:p>
    <w:p w:rsidR="00D06117" w:rsidRDefault="00D06117" w:rsidP="00D06117">
      <w:pPr>
        <w:pStyle w:val="TextoNormal"/>
      </w:pPr>
    </w:p>
    <w:p w:rsidR="00D06117" w:rsidRDefault="00D06117" w:rsidP="00D06117">
      <w:pPr>
        <w:pStyle w:val="TextoNormal"/>
      </w:pPr>
      <w:r>
        <w:t xml:space="preserve">A este respecto también hemos de referirnos, por su directa relación con la cuestión que ahora se controvierte, al ATC 428/1989, de 21 de julio, del Tribunal Constitucional, por el que se inadmitió el recurso de amparo interpuesto por la comisión promotora de la iniciativa legislativa popular prevista en el artículo 12 del Estatuto de Autonomía de Castilla-La Mancha, relativa a la declaración del Rincón de Anchuras como parque natural, iniciativa que no fue admitida a trámite por la Mesa de la Cámara autonómica por entenderla referida a materias ajenas a la competencia regional. Dicho Auto de la Sección Segunda del Tribunal Constitucional reconoció que corresponde a las Comunidades Autónomas la declaración y gestión de espacios naturales protegidos como los parques naturales, si bien tuvo en cuenta que, en tal caso, el Gobierno de la Nación, a través del Real Decreto 811/1988, de 20 de julio, había declarado previamente un espacio ubicado en el término de Anchuras como zona de interés para la defensa nacional en razón de su destino a polígono de entrenamiento </w:t>
      </w:r>
      <w:r>
        <w:lastRenderedPageBreak/>
        <w:t>para el Ejército del aire. Así, en el fundamento jurídico 4 del citado ATC 428/1989, de 21 de julio, dijimos:</w:t>
      </w:r>
    </w:p>
    <w:p w:rsidR="00D06117" w:rsidRDefault="00D06117" w:rsidP="00D06117">
      <w:pPr>
        <w:pStyle w:val="TextoNormal"/>
      </w:pPr>
    </w:p>
    <w:p w:rsidR="00D06117" w:rsidRDefault="00D06117" w:rsidP="00D06117">
      <w:pPr>
        <w:pStyle w:val="TextoNormal"/>
      </w:pPr>
      <w:r>
        <w:t>“Conocidos los principales datos normativos del asunto que nos ocupa, lo que se ha de dilucidar es, pues, si la Comunidad Autónoma de Castilla-La Mancha, cuya competencia para declarar una determinada zona de su territorio como parque resulta indudable, puede efectuar tal declaración respecto de una zona previamente declarada por el Gobierno del Reino como de interés para la Defensa Nacional. La respuesta a este interrogante ha de ser, a todas luces, negativa.</w:t>
      </w:r>
    </w:p>
    <w:p w:rsidR="00D06117" w:rsidRDefault="00D06117" w:rsidP="00D06117">
      <w:pPr>
        <w:pStyle w:val="TextoNormal"/>
      </w:pPr>
    </w:p>
    <w:p w:rsidR="00D06117" w:rsidRDefault="00D06117" w:rsidP="00D06117">
      <w:pPr>
        <w:pStyle w:val="TextoNormal"/>
      </w:pPr>
      <w:r>
        <w:t>En un supuesto como éste y a diferencia de aquellos otros en que sobre un mismo ámbito territorial, personal o material cabe que existan competencias pertenecientes a distintos Entes susceptibles de ejercitarse en régimen de no interferencia o de interferencia modulada por técnicas de coordinación y colaboración la acción estatal impide de raíz toda posibilidad de una acción autonómica de signo contrario. Aquí, en efecto, el Gobierno, en el marco de la competencia exclusiva que sobre Defensa reconoce al Estado el art. 149.1.4 de la CE y de las facultades que le otorga la Ley 8/1975, ha decidido destinar a polígono de entrenamiento de la Fuerza Aérea una zona del territorio castellano-manchego carente de tutela singular como espacio natural protegido, y es evidente que tal decisión no podría verse contradicha por la Comunidad Autónoma concernida a través de una declaración a posteriori de esa zona como Parque, pues semejante declaración, que equivaldría a la pretensión de sustraer a la zona en cuestión al destino que le fue señalado en el ejercicio legítimo de una competencia estatal, implicaría el desconocimiento de ésta y la vulneración consiguiente del citado precepto constitucional. Es cierto que la Comunidad Autónoma de Castilla-La Mancha posee, según antes dijimos, la competencia de declarar como Parque las áreas de su territorio que reúnan las características descritas en el art. 13 de la Ley 4/1989, pero también lo es que la referida competencia no puede ejercerse de modo que quede menoscabada o invadida la competencia del Estado para declarar una zona como de interés para la Defensa Nacional, ya que —reiterando doctrina consolidada de este Tribunal (cfr., v.g., STC 69/1988, de 19 de abril, fundamento jurídico 3.º)— el Estado no ha de verse privado del ejercicio de sus competencias por la existencia de una competencia autonómica.”</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Con arreglo a los criterios expuestos podemos comenzar ya el enjuiciamiento de la norma impugnada, la cual se incardina en la competencia de la Comunidad Foral sobre espacios naturales protegidos del art. 50.1 d) LORAFNA, la cual ha de ser ejercida “de acuerdo con la legislación básica del Estado”. Respecto al alcance de las competencias autonómicas en esta materia ya declaramos (STC 102/1995, de 26 de junio, FJ 16) que los espacios naturales son “el soporte de un título competencial distinto del que cobija la protección del medio ambiente y no habiéndose reservado el Estado competencia alguna respecto de tales espacios resulta por una parte posible que esa materia pueda corresponder a las Comunidades Autónomas, como comprendida en el art. 149.3, de la Constitución y que el perímetro de su actuación sea muy amplio (SSTC 69/1982, de 23 de noviembre y 82/1982, de 21 de diciembre)”. No obstante, además de la exigencia de adecuación a la normativa básica medioambiental que se deriva del propio tenor literal del art. 50.1 d) LORAFNA, la amplitud con la que puede ser entendida la competencia de la Comunidad Foral de Navarra en materia de espacios naturales protegidos no enerva el hecho de que se trata de una zona en la que convergen intereses estatales vinculados con la defensa nacional de competencia </w:t>
      </w:r>
      <w:r>
        <w:lastRenderedPageBreak/>
        <w:t>exclusiva del Estado ex art. 149.1.4 CE. Es por ello que, atendiendo a esa situación de concurrencia competencial y conforme a los criterios de nuestra doctrina, para que la competencia autonómica pueda reputarse legítimamente ejercida habremos de determinar si la misma se cohonesta con las concurrentes competencias estatales en materia de defensa nacional ejercidas sobre ese mismo territorio en los términos del ya citado Real Decreto 1943/2000, de 1 de diciembre.</w:t>
      </w:r>
    </w:p>
    <w:p w:rsidR="00D06117" w:rsidRDefault="00D06117" w:rsidP="00D06117">
      <w:pPr>
        <w:pStyle w:val="TextoNormal"/>
      </w:pPr>
    </w:p>
    <w:p w:rsidR="00D06117" w:rsidRDefault="00D06117" w:rsidP="00D06117">
      <w:pPr>
        <w:pStyle w:val="TextoNormal"/>
      </w:pPr>
      <w:r>
        <w:t>Al respecto, atendiendo a nuestra doctrina según la cual “este Tribunal ha señalado como criterio general a tener en cuenta en los supuestos de concurrencia de títulos competenciales el de la prevalencia de la regla competencial específica sobre el de la más genérica” (así, en la STC 14/2004, de 13 de febrero, FJ 5) ninguna duda cabe de que, atendiendo a las circunstancias del caso, es la competencia estatal en materia de defensa nacional la que ha de ser considerada prevalente, debiendo entonces la concurrente competencia de la Comunidad Foral acomodarse e integrarse con aquélla. En efecto, como en el caso resuelto en la STC 40/1998, de 19 de febrero, (FJ 29), nos encontramos también aquí ante una competencia estatal susceptible de incidir de manera importante sobre el territorio y, en el caso que examinamos, se trata de un supuesto en el que han de prevalecer los intereses generales vinculados a la defensa nacional reconocidos en la exclusividad competencial estatal derivada del art. 149.1.4 CE y concretados en el adiestramiento y perfeccionamiento del Ejército del aire para el mejor cumplimiento de la función que, en cuanto integrante de las Fuerzas Armadas, tiene constitucionalmente encomendada (art. 8.1 CE). Se expresa así un interés general constitucionalmente protegido cuya preservación esta atribuida al Estado por la Constitución y que, en cuanto tal, no puede verse postergado por la decisión autonómica la cual, por el contrario, ha de quedar, en principio, desplazada. Esta conclusión se refuerza atendiendo a las circunstancias fácticas que rodean la situación de concurrencia competencial planteada ya que, por un lado, se trata de una zona que ha venido siendo destinada ininterrumpidamente desde 1951 como polígono de tiro de las Fuerzas Armadas y, por otro, no existe, hasta el momento, un lugar alternativo que pueda sustituir el uso de dicha zona en concordancia con los intereses superiores de la defensa nacional.</w:t>
      </w:r>
    </w:p>
    <w:p w:rsidR="00D06117" w:rsidRDefault="00D06117" w:rsidP="00D06117">
      <w:pPr>
        <w:pStyle w:val="TextoNormal"/>
      </w:pPr>
    </w:p>
    <w:p w:rsidR="00D06117" w:rsidRDefault="00D06117" w:rsidP="00D06117">
      <w:pPr>
        <w:pStyle w:val="TextoNormal"/>
      </w:pPr>
      <w:r>
        <w:t xml:space="preserve">Ahora bien, determinada la preferencia de la competencia estatal en virtud de su carácter más específico y, por consiguiente, la posibilidad de condicionar, en el ejercicio de una competencia dotada de una clara dimensión espacial como es la establecida en el art. 149.1.4 CE, la concurrente competencia autonómica sobre espacios naturales protegidos también tenemos establecido que esa preferencia no ha de ser entendida en términos absolutos (al respecto SSTC 14/2005, de 31 de enero, FJ 5, y 46/2007, de 1 de marzo, FJ 10). En tal sentido hemos de tener presente que, también con arreglo a nuestra jurisprudencia,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(al respecto, STC 166/2000, de 15 de junio, FJ 3 y doctrina allí citada). Con arreglo a tal criterio es evidente que si la Comunidad Foral pretendiera, por la vía de la declaración del espacio en cuestión como parque natural, impedir su utilización para fines vinculados directamente con la defensa nacional, en concreto el uso como polígono de tiro del Ejército del aire, la consecuencia sería la inconstitucionalidad de dicha previsión legal por infracción del orden constitucional de las competencias del Estado en esta materia, ya que, impidiendo su ejercicio, estaría privando a éste de las competencias que la Constitución le atribuye. Por </w:t>
      </w:r>
      <w:r>
        <w:lastRenderedPageBreak/>
        <w:t>ello, apreciada la situación de concurrencia competencial en el mismo espacio físico y sentada la prevalencia de la competencia estatal en materia de defensa nacional, debemos determinar ahora si la declaración como parque natural que ha llevado a cabo la Ley Foral 16/2000 ha transgredido o enervado el efectivo ejercicio de las competencias estatales en materia de defensa nacional, entre las que inequívocamente se encuentra la potestad de declarar zonas del territorio como de interés para la defensa [STC 103/1989, de 8 de junio, FJ 7 a) in fine] así como hacer uso de ellas de acuerdo con ese expresado interés.</w:t>
      </w:r>
    </w:p>
    <w:p w:rsidR="00D06117" w:rsidRDefault="00D06117" w:rsidP="00D06117">
      <w:pPr>
        <w:pStyle w:val="TextoNormal"/>
      </w:pPr>
    </w:p>
    <w:p w:rsidR="00D06117" w:rsidRDefault="00D06117" w:rsidP="00D06117">
      <w:pPr>
        <w:pStyle w:val="TextoNormal"/>
      </w:pPr>
      <w:r w:rsidRPr="00D06117">
        <w:rPr>
          <w:rStyle w:val="NumeroAFNegritaCaracter"/>
        </w:rPr>
        <w:t>5</w:t>
      </w:r>
      <w:r>
        <w:t>. A este respecto debemos señalar, en primer lugar, que, los antecedentes normativos que antes hemos expuesto, nos permiten constatar que la existencia previa de un campo de tiro en la zona no es, tanto en la inicial Ley Foral 10/1999 como en la impugnada Ley Foral 16/2000, un hecho desconocido por el legislador foral cuando pretende ejercer sus competencias en materia de espacios naturales protegidos. Antes al contrario pues, como reconoce el propio Abogado del Estado en su demanda, la disposición final tercera de la norma impugnada establece que el necesario PORN sólo será de aplicación cuando se produzca el desmantelamiento de las instalaciones militares, de modo que su uso actual debe quedar preservado hasta que los terrenos del campo de tiro dejen de estar vinculados a fines de la defensa pues, como literalmente reza, sus “determinaciones y régimen jurídico serán efectivos una vez que se produzca el total desmantelamiento de las edificaciones e instalaciones militares que sean incompatibles con los usos definidos por el PORN, que se desactiven los explosivos y se retiren todos los elementos y restos de carácter militar existentes en los terrenos ocupados por el campo de tiro y zonas adyacentes al mismo”. De esta suerte, como han coincidido en señalar ambas partes, las medidas de protección vinculadas a la declaración de esa zona como parque natural sólo entrarían en vigor una vez que el campo de tiro afectado y las zonas adyacentes hubieran cambiado de uso y se hubieran desmantelado las instalaciones militares o, dicho en otros términos, cuando la zona hubiera devenido carente de interés desde la perspectiva de su vinculación a la defensa nacional. La propia ley foral tampoco hace pronunciamiento alguno respecto al momento en que dicho desmantelamiento vaya a ser producido ni contiene mención que impida, hasta entonces, su uso militar. De hecho, según hemos expuesto en el fundamento jurídico segundo de la presente resolución, dicho uso militar podría mantenerse, en principio y salvo posteriores acuerdos, hasta finales del año 2028.</w:t>
      </w:r>
    </w:p>
    <w:p w:rsidR="00D06117" w:rsidRDefault="00D06117" w:rsidP="00D06117">
      <w:pPr>
        <w:pStyle w:val="TextoNormal"/>
      </w:pPr>
    </w:p>
    <w:p w:rsidR="00D06117" w:rsidRDefault="00D06117" w:rsidP="00D06117">
      <w:pPr>
        <w:pStyle w:val="TextoNormal"/>
      </w:pPr>
      <w:r>
        <w:t>Así, la norma foral no hace desaparecer el campo de tiro, pues ello no se desprende de la ley impugnada ni, por otra parte, podría ser realizado por una Comunidad Autónoma. Por el contrario la Ley Foral 16/2000 no hace sino explicitar la voluntad del legislador navarro tendente a la integración de la zona actualmente ocupada por el polígono de tiro en el preexistente parque natural, voluntad, por otra parte, ya explicitada con anterioridad en la exposición de motivos de la Ley Foral 10/1999, pero que, sin embargo, carece de vigor impositivo inmediato en cuanto que, por designio expreso del Parlamento Foral, queda sometida a la condición que viene claramente expresada en la disposición final tercera de la propia Ley Foral 16/2000: que la zona deje de estar destinada al uso militar pues es la misma norma foral la que difiere la efectiva aplicación del eventual cambio de uso del suelo ocupado por el campo de tiro y de las zonas adyacentes o, lo que es lo mismo, la integración de la zona en el preexistente parque natural de las Bardenas Reales, hasta el desmantelamiento de las instalaciones militares.</w:t>
      </w:r>
    </w:p>
    <w:p w:rsidR="00D06117" w:rsidRDefault="00D06117" w:rsidP="00D06117">
      <w:pPr>
        <w:pStyle w:val="TextoNormal"/>
      </w:pPr>
    </w:p>
    <w:p w:rsidR="00D06117" w:rsidRDefault="00D06117" w:rsidP="00D06117">
      <w:pPr>
        <w:pStyle w:val="TextoNormal"/>
      </w:pPr>
      <w:r>
        <w:lastRenderedPageBreak/>
        <w:t>Con esa condición, la ley foral impugnada evita otorgar, de forma contraria al orden constitucional, una preferencia absoluta a las competencias autonómicas pues, en obligada ponderación de los intereses eventualmente afectados por esa situación de concurrencia competencial, la efectividad de la calificación como espacio natural protegido de la zona ocupada por el polígono de tiro queda, lisa y llanamente, diferida al momento en que se produzca el cese del uso militar de la misma. Decisión que, claro está, es ajena a la competencia de la Comunidad Foral pues habrá de ser adoptada por el Estado en el ejercicio de sus competencias, teniendo en cuenta, en su caso, los eventuales límites temporales acordados con los titulares de los bienes afectados en relación con el uso militar a los que ya nos hemos referido.</w:t>
      </w:r>
    </w:p>
    <w:p w:rsidR="00D06117" w:rsidRDefault="00D06117" w:rsidP="00D06117">
      <w:pPr>
        <w:pStyle w:val="TextoNormal"/>
      </w:pPr>
    </w:p>
    <w:p w:rsidR="00D06117" w:rsidRDefault="00D06117" w:rsidP="00D06117">
      <w:pPr>
        <w:pStyle w:val="TextoNormal"/>
      </w:pPr>
      <w:r>
        <w:t>Por la misma razón tampoco se infringen las determinaciones del Real Decreto 1943/2000, mediante el cual se ha ejercido las competencias estatales ex art. 149.1.4 CE, pues, siendo su finalidad la preservación de la instalación militar de cualquier actuación que pudiera afectarla, al no incidirse en la utilización militar de la instalación no ha habido actuación que haya afectado a la zona declarada de interés para la defensa nacional. Por ello no se ha producido la incompatibilidad de uso en la que el Abogado del Estado residencia la vulneración competencial denunciada, pues los eventuales usos derivados de la declaración de la zona en cuestión como parque natural que, hipotéticamente, resultaren incompatibles con el uso militar han quedado legalmente pospuestos ya que, por determinación expresa del propio legislador foral, únicamente serán posibles una vez que la misma haya dejado de estar destinada a dicho uso. De hecho, durante la pendencia del proceso, se han mantenido las previsiones del PORN aprobado por Decreto Foral 266/1998, de 7 de septiembre, que establecían que, en caso de firmarse un nuevo convenio, —como así ha ocurrido— se mantendría la actual zonificación lo que significa, en la práctica que el polígono de tiro está excluido de las previsiones del citado PORN. Recuérdese asimismo que, como nuestra doctrina ha señalado respecto a la necesidad del correspondiente PORN con respecto a la calificación de un espacio natural, que “sin plan de ordenación, la declaración de espacio natural es, en buena medida, inoperante” (STC 163/1995, de 8 de noviembre, FJ 6), apreciación que puede, sin duda, trasladarse al supuesto de que un PORN, con independencia de que su modificación se haya o no realizado en el plazo legal establecido –—cuestión del todo ajena al presente proceso (al respecto AATC 72/2002, de 23 de abril, y 238/2002, de 26 de noviembre)—, difiera la efectividad de sus previsiones al desmantelamiento de las instalaciones militares. Y aún en el supuesto de que el vigente PORN fuera modificado subsistiendo el uso militar de la zona es claro que a dicha modificación le serían de aplicación las determinaciones del art. 2 c) del Real Decreto 1943/2000, relativas a la necesaria determinación, por parte del Ministerio de Defensa, de la compatibilidad de la misma con los fines de la defensa nacional en cuanto a su eventual incidencia en la utilización militar del campo de entrenamiento (en un sentido similar, se pronuncia la disposición adicional segunda del texto refundido de la Ley de suelo, aprobado por Real Decreto Legislativo 2/2008, de 20 de junio). Se respeta así la prioridad de los intereses de la defensa nacional que se proclama en el art. 1 del Real Decreto 1943/2000.</w:t>
      </w:r>
    </w:p>
    <w:p w:rsidR="00D06117" w:rsidRDefault="00D06117" w:rsidP="00D06117">
      <w:pPr>
        <w:pStyle w:val="TextoNormal"/>
      </w:pPr>
    </w:p>
    <w:p w:rsidR="00D06117" w:rsidRDefault="00D06117" w:rsidP="00D06117">
      <w:pPr>
        <w:pStyle w:val="TextoNormal"/>
      </w:pPr>
      <w:r>
        <w:t xml:space="preserve">Esta conclusión se confirma a la luz de lo dispuesto en la normativa de la Comunidad Foral en materia de espacios naturales constituida por la Ley Foral 9/1996, de 17 de junio, según la cual la declaración de un parque natural ha de realizarse por ley foral [art. 4.1 d)] y su régimen de protección ha de establecerse en el plan de ordenación de los recursos naturales (art. 17). Corresponde, pues a la ley foral de declaración de un parque natural así </w:t>
      </w:r>
      <w:r>
        <w:lastRenderedPageBreak/>
        <w:t>como, en especial, al aludido plan la aplicación de las disposiciones contenidas en la Ley Foral 9/1996 en el ámbito espacial de que se trate (art. 5.3). Tales planes de ordenación de los recursos naturales concretan las consecuencias que tiene la declaración de un espacio como parque natural en cuanto que “tienen por objeto ordenar y proteger determinados ámbitos delimitados por ellos mismos en razón de sus especiales características naturales, ecológicas y paisajísticas diferenciadas, estableciendo las medidas de fomento y las condiciones de uso y aprovechamiento de dichos ámbitos, compatibles con su protección y conservación” (art. 22.1). En este caso, es patente las determinaciones del referido plan, aprobado en 1998, no se refieren al espacio que ocupa el polígono de tiro, pues se reconoce expresamente tanto que se trata de terrenos de uso exclusivo militar como la posibilidad de que dicho uso militar se mantenga.</w:t>
      </w:r>
    </w:p>
    <w:p w:rsidR="00D06117" w:rsidRDefault="00D06117" w:rsidP="00D06117">
      <w:pPr>
        <w:pStyle w:val="TextoNormal"/>
      </w:pPr>
    </w:p>
    <w:p w:rsidR="00D06117" w:rsidRDefault="00D06117" w:rsidP="00D06117">
      <w:pPr>
        <w:pStyle w:val="TextoNormal"/>
      </w:pPr>
      <w:r>
        <w:t>Ello implica que, aún en el caso —que no ha acontecido— de que las previsiones de la disposición final tercera de la Ley Foral 16/2000 hubieran sido puestas en práctica, mediante la oportuna reforma del plan de ordenación de los recursos naturales de Bardenas Reales de Navarra, en lo relativo a “las determinaciones y el régimen de los terrenos ocupados por el polígono de tiro” las mismas únicamente serían efectivas una vez que la zona ya no resultase de interés para la defensa nacional. Ya hemos comprobado que, en todo caso, un plan de ordenación de los recursos naturales referido a la zona en cuestión habría de obtener la autorización del Ministerio de Defensa respecto a su compatibilidad con los fines de la defensa nacional en la medida en que pudiera incidir en la utilización militar del campo de entrenamiento. Por tanto, el meritado plan sólo sería de aplicación cuando se produjese el desmantelamiento de las instalaciones militares, de modo que el uso actual de los terrenos del campo de tiro queda preservado hasta que cese su vinculación a fines de la defensa nacional, como la propia ley foral reconoce al diferir la efectiva entrada en vigor del cambio de uso del suelo ocupado por el campo de tiro y de las zonas adyacentes hasta el desmantelamiento de las instalaciones militares. No hay, por tanto, incompatibilidad de uso, pues el legislador foral no condiciona ni restringe el ejercicio de la competencia estatal en materia de defensa, ejercida, en primera instancia, mediante el recurso a técnicas de derecho privado, como los convenios a los que ya se ha hecho referencia, así como, posteriormente, a través de la ya aludida declaración de la zona como de interés para la defensa nacional. Antes al contrario, resulta que el legislador foral se pliega a la prevalencia de la competencia estatal en materia de defensa —que se concreta también en el límite temporal acordado por el propio Ministerio de Defensa para el mantenimiento del uso militar de la zona—, limitándose a establecer previsiones, en ejercicio de su indiscutida competencia sobre espacios naturales protegidos, sobre el uso futuro de esos terrenos para la eventualidad de que los mismos pudieran dejar de estar afectos a la defensa nacional. Cuestión esta última relativa a la posibilidad de incluir en un instrumento de ordenación de previsiones sobre el destino futuro de determinados bienes sobre la que la propia legislación estatal proporciona ejemplos (así, arts. 190 bis y 191 de la Ley 33/2003, de 3 de noviembre, de patrimonio de las Administraciones públicas).</w:t>
      </w:r>
    </w:p>
    <w:p w:rsidR="00D06117" w:rsidRDefault="00D06117" w:rsidP="00D06117">
      <w:pPr>
        <w:pStyle w:val="TextoNormal"/>
      </w:pPr>
    </w:p>
    <w:p w:rsidR="00D06117" w:rsidRDefault="00D06117" w:rsidP="00D06117">
      <w:pPr>
        <w:pStyle w:val="TextoNormal"/>
      </w:pPr>
      <w:r>
        <w:t xml:space="preserve">En suma, como los hechos han confirmado, es posible concluir que la ley foral no ha obviado la obligación de no interferir ni perturbar las concurrentes competencias estatales sobre un mismo espacio físico ya que las atribuciones de la Comunidad Foral se han ejercido de forma que se salvaguarda la competencia estatal en materia de defensa nacional, la cual no se ve invadida o menoscabada sino que prevalece sobre la autonómica desplazándola hasta el punto de que esta última solamente será efectiva en relación con el espacio físico delimitado por la Ley Foral 16/2000 cuando no concurra, por haber desaparecido la utilidad </w:t>
      </w:r>
      <w:r>
        <w:lastRenderedPageBreak/>
        <w:t>militar del mismo, la competencia estatal. Todo ello supone que se respeta implícitamente la prevalencia de la competencia estatal en materia de defensa nacional dado que la regulación impugnada no impide, como la realidad ha confirmado, el uso de la zona como polígono de tiro.</w:t>
      </w:r>
    </w:p>
    <w:p w:rsidR="00D06117" w:rsidRDefault="00D06117" w:rsidP="00D06117">
      <w:pPr>
        <w:pStyle w:val="TextoNormal"/>
      </w:pPr>
    </w:p>
    <w:p w:rsidR="00D06117" w:rsidRDefault="00D06117" w:rsidP="00D06117">
      <w:pPr>
        <w:pStyle w:val="TextoNormal"/>
      </w:pPr>
      <w:r>
        <w:t>Falta así la alegada perturbación en el ejercicio de la competencia estatal en materia de defensa nacional que constituye el presupuesto de la vulneración competencial denunciada, ya que, utilizando los términos del antes citado ATC 428/1989, de 21 de julio, no se sustrae la zona al destino que le fue señalado en el ejercicio legítimo de una competencia estatal ni se ha ejercido la competencia autonómica sobre espacios naturales protegidos de modo que la estatal en materia de defensa quede invadida o menoscabada.</w:t>
      </w:r>
    </w:p>
    <w:p w:rsidR="00D06117" w:rsidRDefault="00D06117" w:rsidP="00D06117">
      <w:pPr>
        <w:pStyle w:val="TextoNormal"/>
      </w:pPr>
    </w:p>
    <w:p w:rsidR="00D06117" w:rsidRDefault="00D06117" w:rsidP="00D06117">
      <w:pPr>
        <w:pStyle w:val="TextoNormal"/>
      </w:pPr>
      <w:r>
        <w:t>Por todo lo expuesto, este primer motivo de inconstitucionalidad ha de ser desestimado.</w:t>
      </w:r>
    </w:p>
    <w:p w:rsidR="00D06117" w:rsidRDefault="00D06117" w:rsidP="00D06117">
      <w:pPr>
        <w:pStyle w:val="TextoNormal"/>
      </w:pPr>
    </w:p>
    <w:p w:rsidR="00D06117" w:rsidRDefault="00D06117" w:rsidP="00D06117">
      <w:pPr>
        <w:pStyle w:val="TextoNormal"/>
      </w:pPr>
      <w:r w:rsidRPr="00D06117">
        <w:rPr>
          <w:rStyle w:val="NumeroAFNegritaCaracter"/>
        </w:rPr>
        <w:t>6</w:t>
      </w:r>
      <w:r>
        <w:t>. La segunda tacha de inconstitucionalidad imputada a la Ley Foral 16/2000 hace referencia a la vulneración de la normativa básica estatal pues, de acuerdo con el propio art. 50.1 d) LORAFNA, las competencias autonómicas en materia de espacios naturales protegidos deberán respetar las bases que el Estado tenga establecidas ex art. 149.1.23 CE. Tales bases venían constituidas, en el momento de interponerse el presente recurso, por el art. 15 LCEN, precepto que exigía que la declaración del espacio natural protegido viniera precedida de la necesaria elaboración y aprobación del correspondiente PORN, obligación que solamente se dispensaba, con carácter excepcional, cuando existieran razones que lo justifiquen las cuales habían de constar expresamente en la norma que los declarase, lo que no sucedería en el caso de la Ley Foral 16/2000.</w:t>
      </w:r>
    </w:p>
    <w:p w:rsidR="00D06117" w:rsidRDefault="00D06117" w:rsidP="00D06117">
      <w:pPr>
        <w:pStyle w:val="TextoNormal"/>
      </w:pPr>
    </w:p>
    <w:p w:rsidR="00D06117" w:rsidRDefault="00D06117" w:rsidP="00D06117">
      <w:pPr>
        <w:pStyle w:val="TextoNormal"/>
      </w:pPr>
      <w:r>
        <w:t>Se nos plantea así un supuesto de los que hemos calificado (STC 162/2009, de 29 de junio, FJ 2, y doctrina allí citada) como inconstitucionalidad de carácter mediato o indirecto, en cuanto que la infracción por la normativa autonómica del orden constitucional de distribución de competencias derivaría, en su caso, de su efectiva contradicción con la norma estatal básica. Ahora bien, para que dicha vulneración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D06117" w:rsidRDefault="00D06117" w:rsidP="00D06117">
      <w:pPr>
        <w:pStyle w:val="TextoNormal"/>
      </w:pPr>
    </w:p>
    <w:p w:rsidR="00D06117" w:rsidRDefault="00D06117" w:rsidP="00D06117">
      <w:pPr>
        <w:pStyle w:val="TextoNormal"/>
      </w:pPr>
      <w:r>
        <w:t>Por otra parte, la anterior operación deberemos realizarla atendiendo a nuestro consolidado criterio (por todas, STC 44/2007, de 1 de marzo, FJ 7) en virtud de la cual la normativa estatal a tener en cuenta como elemento de referencia para el enjuiciamiento de las normas autonómicas ha de ser la vigente en el momento de adoptarse la decisión por parte de este Tribunal. Por esa razón, habiendo sido derogada la citada Ley de conservación Ley 4/1989, de 27 de marzo, de conservación de espacios naturales y de la flora y fauna silvestres, por la Ley 42/2007, de 13 de diciembre, de patrimonio natural y de la biodiversidad, hemos de centrar nuestra atención en el art. 35 de esta última norma legal, el cual, no obstante, recoge esta obligación en términos muy similares a las de su precedente, razón por la cual las consideraciones que en su momento realizamos en torno al art. 15 LCEN son trasladables en su integridad al art. 34 de la Ley 42/2007.</w:t>
      </w:r>
    </w:p>
    <w:p w:rsidR="00D06117" w:rsidRDefault="00D06117" w:rsidP="00D06117">
      <w:pPr>
        <w:pStyle w:val="TextoNormal"/>
      </w:pPr>
    </w:p>
    <w:p w:rsidR="00D06117" w:rsidRDefault="00D06117" w:rsidP="00D06117">
      <w:pPr>
        <w:pStyle w:val="TextoNormal"/>
      </w:pPr>
      <w:r>
        <w:lastRenderedPageBreak/>
        <w:t>A tal efecto, debemos recordar que el art. 15 LCEN ha sido objeto de examen en la STC 163/1995, de 8 de noviembre, FJ 6, y en el ATC 238/2002, de 26 de noviembre, FJ 5. En ambos casos establecimos que este precepto, cuyo carácter básico fue reconocido por la STC 102/1995, de 26 de junio, FJ 17, contiene un mandato de inseparabilidad entre la calificación de un espacio natural y la elaboración del correspondiente PORN de la zona, estableciéndose como regla general la aprobación previa del plan y como posibilidad alternativa, “calificada como excepcional”, su aprobación sucesiva en el plazo de un año desde la declaración del parque o reserva natural. No obstante, para hacer uso de esta posibilidad excepcional es preciso que se cumplan dos condiciones: “que existan razones que así lo justifiquen y que dichas razones se hagan constar expresamente en la norma que los declare”.</w:t>
      </w:r>
    </w:p>
    <w:p w:rsidR="00D06117" w:rsidRDefault="00D06117" w:rsidP="00D06117">
      <w:pPr>
        <w:pStyle w:val="TextoNormal"/>
      </w:pPr>
    </w:p>
    <w:p w:rsidR="00D06117" w:rsidRDefault="00D06117" w:rsidP="00D06117">
      <w:pPr>
        <w:pStyle w:val="TextoNormal"/>
      </w:pPr>
      <w:r>
        <w:t>Ahora bien, advertíamos en ambos casos que “ni el carácter excepcional de la medida, ni la postergación de los trámites de audiencia e información pública a un momento posterior a la declaración de los parques y reservas —aspectos ambos que el legislador estatal ya tuvo presentes, como es obvio, al aprobar el precepto— autorizan a añadir nuevos condicionantes —en este caso, un determinado nivel de suficiencia o adecuación en la explicación de las razones justificadoras de la excepción— a aquellos que puedan desprenderse lógicamente de la norma interpretada en sus propios términos”.</w:t>
      </w:r>
    </w:p>
    <w:p w:rsidR="00D06117" w:rsidRDefault="00D06117" w:rsidP="00D06117">
      <w:pPr>
        <w:pStyle w:val="TextoNormal"/>
      </w:pPr>
    </w:p>
    <w:p w:rsidR="00D06117" w:rsidRDefault="00D06117" w:rsidP="00D06117">
      <w:pPr>
        <w:pStyle w:val="TextoNormal"/>
      </w:pPr>
      <w:r>
        <w:t>La aplicación de estos criterios de nuestra doctrina nos conduce a la desestimación del motivo de inconstitucionalidad alegado. En efecto, son dos las condiciones de cuyo cumplimiento depende que pueda legítimamente procederse a la declaración de parques y reservas naturales sin la previa aprobación del plan, a saber: que existan razones que así lo justifiquen y que dichas razones se hagan constar expresamente en la norma que los declare. En lo que concierne al primero de los requisitos citados, es evidente qué razón justificadora de la excepción ciertamente existe. El legislador foral fundamenta su actuación en la proximidad de la conclusión de las relaciones jurídicas vigentes reguladoras de la zona como polígono de tiro, relaciones jurídicas que, en forma de convenio sobre la cesión de uso de los terrenos a favor del Ministerio de Defensa, no habían llegado a su término en el momento de la entrada en vigor de la ley foral, razón por la cual atendiendo a las circunstancias fácticas concurrentes, no cabía realmente, en el momento de aprobarse la ley foral, realizar pronunciamiento previo alguno sobre el régimen de uso de tales terrenos. Y por lo que atañe a la condición según la cual han de mencionarse explícitamente en la norma las razones que justifican la excepción, hay pocas dudas que albergar acerca de que ha resultado igualmente satisfecha, habida cuenta de que la exposición de motivos de la misma hace referencia, además de a la circunstancia ya mencionada de la, en aquel momento, próxima extinción del titulo jurídico en cuya virtud se hacía uso de la zona como campo de tiro, a la eventual revisión del uso y la actividad que venía realizándose en la superficie reservada a polígono de tiro “con objeto de alcanzar la plenitud ambiental de Bardenas Reales”, con lo que se hace constar expresamente en la misma cuál es el excepcional motivo que permitía proceder a la extensión de la declaración del parque a la zona en cuestión, obviando la previa elaboración del plan pertinente.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recurso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Ramón Rodríguez Arribas y al que se adhiere el Magistrado don Francisco Pérez de los Cobos Orihuel respecto a la Sentencia del Pleno de fecha 18 de abril de 2012 dictada en el recurso de inconstitucionalidad núm. 2054-2001.</w:t>
      </w:r>
    </w:p>
    <w:p w:rsidR="00D06117" w:rsidRDefault="00D06117" w:rsidP="00D06117">
      <w:pPr>
        <w:pStyle w:val="TextoNormalNegritaCentrado"/>
        <w:keepNext/>
      </w:pPr>
    </w:p>
    <w:p w:rsidR="00D06117" w:rsidRDefault="00D06117" w:rsidP="00D06117">
      <w:pPr>
        <w:pStyle w:val="TextoNormal"/>
      </w:pPr>
      <w:r>
        <w:t>En el ejercicio de la facultad que nos confiere el art. 90.2 de la Ley Orgánica del Tribunal Constitucional y con el pleno respeto a la opinión de la mayoría, expreso mi discrepancia con la Sentencia que fundo en las siguientes consideraciones:</w:t>
      </w:r>
    </w:p>
    <w:p w:rsidR="00D06117" w:rsidRDefault="00D06117" w:rsidP="00D06117">
      <w:pPr>
        <w:pStyle w:val="TextoNormal"/>
      </w:pPr>
    </w:p>
    <w:p w:rsidR="00D06117" w:rsidRDefault="00D06117" w:rsidP="00D06117">
      <w:pPr>
        <w:pStyle w:val="TextoNormal"/>
      </w:pPr>
      <w:r>
        <w:t>1. Aunque la eficacia real del asunto es prácticamente nula, sin embargo desde un punto de vista doctrinal no puedo silenciar mi discrepancia con la solución adoptada.</w:t>
      </w:r>
    </w:p>
    <w:p w:rsidR="00D06117" w:rsidRDefault="00D06117" w:rsidP="00D06117">
      <w:pPr>
        <w:pStyle w:val="TextoNormal"/>
      </w:pPr>
    </w:p>
    <w:p w:rsidR="00D06117" w:rsidRDefault="00D06117" w:rsidP="00D06117">
      <w:pPr>
        <w:pStyle w:val="TextoNormal"/>
      </w:pPr>
      <w:r>
        <w:t>La Sentencia de la mayoría acepta la constitucionalidad de la Ley Foral 16/2000 de Navarra, que amplia la declaración de parque natural de las Bardenas Reales al polígono de tiro existente, instalado y utilizado por el Ministerio de Defensa, en base a que la propia ley, aunque en la disposición final tercera prevé que en el plazo de un año se proceda por la Comunidad de Bardenas Reales de Navarra a la redacción de la modificación del plan de ordenación de los recursos naturales (PORN) para su tramitación y aprobación por el Gobierno de Navarra, su efectividad se retrasa al momento en que se produzca el total desmantelamiento de las edificaciones e instalaciones militares incompatibles con los usos definidos en el PORN y que se desactiven los explosivos y se retiren los elementos y restos de carácter militar existentes en los terrenos ocupados por el campo de tiro y zonas adyacentes al mismo, concluyendo en el fundamento jurídico 5 que “aún en el caso —que no ha acontecido— de que las previsiones de la disposición final tercera de la Ley Foral 16/2000 hubieran sido puestas en práctica mediante la oportuna reforma del plan de ordenación de los recursos naturales de Bardenas Reales de Navarra, en lo relativo a ‘las determinaciones y el régimen de los terrenos ocupados por el polígono de tiro’ las mismas únicamente serían efectivas una vez que la zona ya no resultase de interés para la defensa nacional”.</w:t>
      </w:r>
    </w:p>
    <w:p w:rsidR="00D06117" w:rsidRDefault="00D06117" w:rsidP="00D06117">
      <w:pPr>
        <w:pStyle w:val="TextoNormal"/>
      </w:pPr>
    </w:p>
    <w:p w:rsidR="00D06117" w:rsidRDefault="00D06117" w:rsidP="00D06117">
      <w:pPr>
        <w:pStyle w:val="TextoNormal"/>
      </w:pPr>
      <w:r>
        <w:t>2. La tesis de la Sentencia, a mi juicio y reiterando el respeto que me merece la opinión de la mayoría, entra en contradicción frontal con nuestra propia doctrina.</w:t>
      </w:r>
    </w:p>
    <w:p w:rsidR="00D06117" w:rsidRDefault="00D06117" w:rsidP="00D06117">
      <w:pPr>
        <w:pStyle w:val="TextoNormal"/>
      </w:pPr>
    </w:p>
    <w:p w:rsidR="00D06117" w:rsidRDefault="00D06117" w:rsidP="00D06117">
      <w:pPr>
        <w:pStyle w:val="TextoNormal"/>
      </w:pPr>
      <w:r>
        <w:t xml:space="preserve">Si hemos dicho y reiterado que las competencias son indisponibles por todas STC 38/2012, de 26 de marzo (FJ 8), ello significa que no puede renunciarse a ejercerlas cuando sea procedente, ni pueden ejercerse cuando no se posean en el tiempo y el espacio en que se pretenda hacer uso de ellas. Pues bien, no puede negarse que cuando se dictó la Ley 16/2000 por la Comunidad Foral Navarra, el 29 de diciembre de dicho año, ampliando el parque natural de las Bardenas Reales al polígono de tiro, la Comunidad Autónoma carecía de competencia alguna sobre las 2.244 hectáreas que aquél ocupa, y no podía regular el uso </w:t>
      </w:r>
      <w:r>
        <w:lastRenderedPageBreak/>
        <w:t>de dicho espacio territorial, ya que sobre él estaba ejerciendo, de manera exclusiva y excluyendo sus competencias el Estado con el título que le otorga el art. 149. 1.4 CE, sobre defensa nacional y Fuerzas Armadas.</w:t>
      </w:r>
    </w:p>
    <w:p w:rsidR="00D06117" w:rsidRDefault="00D06117" w:rsidP="00D06117">
      <w:pPr>
        <w:pStyle w:val="TextoNormal"/>
      </w:pPr>
    </w:p>
    <w:p w:rsidR="00D06117" w:rsidRDefault="00D06117" w:rsidP="00D06117">
      <w:pPr>
        <w:pStyle w:val="TextoNormal"/>
      </w:pPr>
      <w:r>
        <w:t>3. En consecuencia, debió declararse la inconstitucionalidad de la ley sometida a nuestro control, sin sentar el que pudiera ser un precedente que, de generalizarse, permitiría una suerte de ejercicio anticipado o preventivo de competencias de las que no se posean para cuando se adquieran, si es que se llegan a adquirir, con quebranto de la seguridad jurídica y trastorno del orden constitucional en el reparto competencial</w:t>
      </w:r>
    </w:p>
    <w:p w:rsidR="00D06117" w:rsidRDefault="00D06117" w:rsidP="00D06117">
      <w:pPr>
        <w:pStyle w:val="TextoNormal"/>
      </w:pPr>
    </w:p>
    <w:p w:rsidR="00D06117" w:rsidRDefault="00D06117" w:rsidP="00D06117">
      <w:pPr>
        <w:pStyle w:val="TextoNormal"/>
      </w:pPr>
      <w:r>
        <w:t>Madrid, a dieciocho de abril del dos  mil doce.</w:t>
      </w:r>
    </w:p>
    <w:p w:rsidR="00D06117" w:rsidRDefault="00D06117" w:rsidP="00D06117">
      <w:pPr>
        <w:pStyle w:val="TextoNormal"/>
      </w:pPr>
    </w:p>
    <w:p w:rsidR="00D06117" w:rsidRDefault="00D06117" w:rsidP="00D06117">
      <w:pPr>
        <w:pStyle w:val="TextoNormalNegritaCentrado"/>
        <w:keepNext/>
      </w:pPr>
      <w:r>
        <w:t>Voto particular que formula el Magistrado don Manuel Aragón Reyes en la Sentencia del Pleno recaída en el recurso de inconstitucionalidad núm. 2054-2001.</w:t>
      </w:r>
    </w:p>
    <w:p w:rsidR="00D06117" w:rsidRDefault="00D06117" w:rsidP="00D06117">
      <w:pPr>
        <w:pStyle w:val="TextoNormalNegritaCentrado"/>
        <w:keepNext/>
      </w:pPr>
    </w:p>
    <w:p w:rsidR="00D06117" w:rsidRDefault="00D06117" w:rsidP="00D06117">
      <w:pPr>
        <w:pStyle w:val="TextoNormal"/>
      </w:pPr>
      <w:r>
        <w:t>En ejercicio de la facultad conferida por el art. 90.2 LOTC, y con pleno respeto a la opinión de la mayoría del Pleno, formulo el presente voto particular, al discrepar tanto del fallo como de la fundamentación jurídica de la Sentencia que desestima el recurso de inconstitucionalidad, ya que, a mi juicio, tal recurso debió de estimarse declarándose inconstitucional y nula la ley foral impugnada por las razones que defendí en la deliberación del Pleno y que expreso a continuación.</w:t>
      </w:r>
    </w:p>
    <w:p w:rsidR="00D06117" w:rsidRDefault="00D06117" w:rsidP="00D06117">
      <w:pPr>
        <w:pStyle w:val="TextoNormal"/>
      </w:pPr>
    </w:p>
    <w:p w:rsidR="00D06117" w:rsidRDefault="00D06117" w:rsidP="00D06117">
      <w:pPr>
        <w:pStyle w:val="TextoNormal"/>
      </w:pPr>
      <w:r>
        <w:t>1. La primera y más general razón de mi discrepancia radica en que, en mi opinión (que encuentra apoyo en la doctrina del Tribunal Constitucional, y muy singularmente en la contenida en los fundamentos jurídicos 58 y 59 de la STC 31/2010, de 28 de junio), la atribución por el Estatuto de Autonomía de una competencia exclusiva a una Comunidad Autónoma sobre una materia no implica, de modo necesario, que tal competencia se extienda incondicionadamente a todos los sectores u objetos que la materia comprende, ya que sobre ellos puede recaer también una competencia exclusiva del Estado. La competencia de la Comunidad Autónoma, en tales casos, encuentra su límite en la competencia estatal. Por ello, si el Estado ya hubiera proyectado, válidamente, sobre ese sector u objeto su competencia exclusiva, desde ese momento cesa sobre el mismo la competencia autonómica para ejercer las potestades normativas e incluso ejecutivas que fuesen propias de la competencia estatal.</w:t>
      </w:r>
    </w:p>
    <w:p w:rsidR="00D06117" w:rsidRDefault="00D06117" w:rsidP="00D06117">
      <w:pPr>
        <w:pStyle w:val="TextoNormal"/>
      </w:pPr>
    </w:p>
    <w:p w:rsidR="00D06117" w:rsidRDefault="00D06117" w:rsidP="00D06117">
      <w:pPr>
        <w:pStyle w:val="TextoNormal"/>
      </w:pPr>
      <w:r>
        <w:t>La Sentencia de la que discrepo no se atiene exactamente a ese punto de partida que, a mi juicio, resulta insoslayable por ser una de las piezas maestras del sistema de distribución de competencias en nuestro Estado autonómico.</w:t>
      </w:r>
    </w:p>
    <w:p w:rsidR="00D06117" w:rsidRDefault="00D06117" w:rsidP="00D06117">
      <w:pPr>
        <w:pStyle w:val="TextoNormal"/>
      </w:pPr>
    </w:p>
    <w:p w:rsidR="00D06117" w:rsidRDefault="00D06117" w:rsidP="00D06117">
      <w:pPr>
        <w:pStyle w:val="TextoNormal"/>
      </w:pPr>
      <w:r>
        <w:t xml:space="preserve">En el supuesto examinado en la Sentencia, la ley foral impugnada declara parque natural el polígono de tiro de las Bardenas Reales de Navarra (ampliando el territorio del parque natural ya existente), cuando resulta que, en el momento de dictarse la ley, ese espacio físico era de competencia exclusiva del Estado por estar destinado, desde el Real Decreto 1943/2000, de 1 de diciembre, a actividades de la defensa nacional, decisión adoptada por el Estado en ejercicio de la competencia exclusiva que, sobre “defensa y Fuerzas Armadas”, le atribuye el art. 149.1.4 CE. La Comunidad Foral de Navarra, esgrime, para dictar esa ley, su “competencia exclusiva” en “materia de espacios naturales protegidos” prevista en el art. </w:t>
      </w:r>
      <w:r>
        <w:lastRenderedPageBreak/>
        <w:t>50.1 d) LORAFNA (aunque el mismo precepto reconoce al propio tiempo que esa competencia habrá de ejercerse “de acuerdo con la legislación básica estatal”). Dejemos de lado, porque no es relevante para la resolución del problema que se examina, la técnica (no infrecuente en normas estatutarias) de declarar una competencia como exclusiva diciendo, al mismo tiempo, que no lo es (lo que conducirá, necesariamente, a un concepto de exclusividad funcional y no material). Lo que importa es que, en la competencia (de desarrollo de lo básico) que la Comunidad Foral tiene atribuida, está incluida (y ello es claro) la potestad de declarar como parque natural una zona de su territorio.</w:t>
      </w:r>
    </w:p>
    <w:p w:rsidR="00D06117" w:rsidRDefault="00D06117" w:rsidP="00D06117">
      <w:pPr>
        <w:pStyle w:val="TextoNormal"/>
      </w:pPr>
    </w:p>
    <w:p w:rsidR="00D06117" w:rsidRDefault="00D06117" w:rsidP="00D06117">
      <w:pPr>
        <w:pStyle w:val="TextoNormal"/>
      </w:pPr>
      <w:r>
        <w:t>La Sentencia de la que discrepo entiende que estamos ante un supuesto de competencias concurrentes (la de defensa, del Estado, y la de espacios naturales protegidos, de la Comunidad Foral) y que, por ello, en este caso debe otorgarse “preferencia a la competencia estatal en virtud de su carácter más específico” (fundamento jurídico 4), lo que le conduce a sostener que “si la Comunidad Autónoma pretendiera, por la vía de la declaración del espacio en cuestión como parque natural, impedir su utilización para fines vinculados directamente a la defensa nacional, en concreto el uso como polígono de tiro del Ejército del aire, la consecuencia sería la inconstitucionalidad de dicha previsión legal por infracción del orden constitucional de competencias del Estado en esta materia”. Dado, se dirá después, que la declaración de parque natural no tiene efectos inmediatos, sino que la propia ley foral los difiere al futuro en que ya no exista el polígono de tiro, tal impedimento o perturbación de la competencia estatal no se da y, en consecuencia, la ley impugnada no incurre en inconstitucionalidad.</w:t>
      </w:r>
    </w:p>
    <w:p w:rsidR="00D06117" w:rsidRDefault="00D06117" w:rsidP="00D06117">
      <w:pPr>
        <w:pStyle w:val="TextoNormal"/>
      </w:pPr>
    </w:p>
    <w:p w:rsidR="00D06117" w:rsidRDefault="00D06117" w:rsidP="00D06117">
      <w:pPr>
        <w:pStyle w:val="TextoNormal"/>
      </w:pPr>
      <w:r>
        <w:t>Dejo para más adelante el examen de si la ley sólo tenía efectos para el futuro y de si, incluso de ser así, caben ese tipo de leyes meramente “preventivas” en nuestro sistema autonómico. Lo que ahora me interesa subrayar es que disiento de la premisa general de que se parte en la Sentencia: que estemos en un caso de competencias concurrentes y que en ese caso la concurrencia ha de resolverse dando “preferencia” al título más específico, sobre el más “genérico”. Creo que se trata de un planteamiento erróneo, porque no estamos, a mi juicio, ante un supuesto de competencias concurrentes. Lo estaríamos si sobre ese espacio físico se proyectasen dos competencias, ambas completamente válidas, la del Estado y la de la Comunidad Autónoma. Y ése no es el supuesto que se examina, sino otro bien distinto: sobre determinada zona de las Bardenas Reales el Estado ya había ejercido su competencia exclusiva declarándolo polígono de tiro del Ejército del aire, mientras que la Comunidad Foral, precisamente por ese ejercicio de la competencia estatal, carecía por completo de competencia sobre dicho espacio físico para declararlo parque natural, es decir, para dejar sin efecto la competencia que el Estado válidamente había ejercido y continuaba ejerciendo. Sencillamente, en ese supuesto la Comunidad Autónoma no tenía competencia para hacer lo que hizo. No es un problema, pues, de concurrencia entre normas válidas, o entre competencias (del Estado y de la Comunidad Autónoma) válidamente ejercidas, sino de pura incompetencia de la Comunidad Foral.</w:t>
      </w:r>
    </w:p>
    <w:p w:rsidR="00D06117" w:rsidRDefault="00D06117" w:rsidP="00D06117">
      <w:pPr>
        <w:pStyle w:val="TextoNormal"/>
      </w:pPr>
    </w:p>
    <w:p w:rsidR="00D06117" w:rsidRDefault="00D06117" w:rsidP="00D06117">
      <w:pPr>
        <w:pStyle w:val="TextoNormal"/>
      </w:pPr>
      <w:r>
        <w:t xml:space="preserve">Es cierto que este Tribunal ha venido utilizando el término “preferencia” de la competencia estatal no en el sentido más genuino de “prevalencia” (lo que conduciría en buena lógica a la inaplicación de la legislación autonómica en conflicto) sino con el significado de que la competencia exclusiva del Estado anula la competencia de la Comunidad Autónoma, con la consecuencia de que, en tales casos, la norma de la Comunidad Autónoma incurriría en inconstitucionalidad. Posiblemente ese modo de utilizar la “preferencia” del título estatal, </w:t>
      </w:r>
      <w:r>
        <w:lastRenderedPageBreak/>
        <w:t>lo que pone de manifiesto es la dificultad de que en nuestro ordenamiento pueda operar la “prevalencia” desligada del razonamiento sobre la invasión competencial. Por otro lado, la distinción entre título “genérico” y título “específico” no juega entre nosotros para resolver el conflicto competencial, sino para plantear correctamente su resolución, es decir, para ubicar en uno u otro título competencial la competencia debatida. Ni la competencia del Estado puede ser “preferida” (entendida como el Tribunal la entiende) porque su título sea mas “específico” que el de la Comunidad Autónoma (puede ser “preferida” operando en títulos tan genéricos como el del art. 149.1.13 CE), ni esa relación se establece para enfrentar títulos estatales y títulos autonómicos, sino para decidir previamente, en el interior de las reglas competenciales del Estado y en el de las reglas competenciales de la Comunidad Autónoma, cuáles, de entre los títulos de uno y otra, se aplican, es decir, para determinar en qué título, de entre varios, del Estado, y en qué título, de entre varios, de la Comunidad Autónoma, se ubica la competencia. Por ello, de entre varios títulos del Estado, se preferirá el más específico y lo mismo sucederá entre los títulos de la Comunidad Autónoma. Esta regla, por lo demás, está sometida a excepciones, y, por ejemplo, en cuanto al Estado, el Tribunal, a veces la apoya no en su título más específico, sino en el más genérico, o incluso, también a veces, en una dualidad de títulos. Sea cual sea al final el título del Estado (genérico o específico) la controversia competencial se resuelve a su favor si sobre la materia o el objeto de la materia posee una competencia exclusiva.</w:t>
      </w:r>
    </w:p>
    <w:p w:rsidR="00D06117" w:rsidRDefault="00D06117" w:rsidP="00D06117">
      <w:pPr>
        <w:pStyle w:val="TextoNormal"/>
      </w:pPr>
    </w:p>
    <w:p w:rsidR="00D06117" w:rsidRDefault="00D06117" w:rsidP="00D06117">
      <w:pPr>
        <w:pStyle w:val="TextoNormal"/>
      </w:pPr>
      <w:r>
        <w:t>Creo, pues, que en la Sentencia de la que discrepo no se ha seguido correctamente la doctrina de nuestro Tribunal en cuanto al uso del término “preferente” y en cuanto a la utilización de los términos “específico” y “genérico” en la resolución de los conflictos competenciales. Sin embargo, aun con tales imprecisiones, de aceptarse lo que sostiene la Sentencia, esto es, que si el ejercicio de la competencia de la Comunidad Autónoma hubiera impedido o perturbado la competencia exclusiva estatal, la ley foral habría que declararla inconstitucional, lo que no cabría sostener al mismo tiempo, como también hace la Sentencia, es que, en este caso, el ejercicio de la competencia de la Comunidad Foral no produzca esos efectos, porque no perturba el ejercicio libre y pacífico de la competencia estatal. La perturbación, por el contrario, me parece clara: al decidir la Comunidad Foral que ese terreno no debería ser polígono de tiro de defensa, está coaccionado políticamente, sin duda, la libertad estatal para perpetuar su decisión, es decir, para seguir ejerciendo, sin perturbación alguna, la competencia exclusiva que la Constitución le atribuye.</w:t>
      </w:r>
    </w:p>
    <w:p w:rsidR="00D06117" w:rsidRDefault="00D06117" w:rsidP="00D06117">
      <w:pPr>
        <w:pStyle w:val="TextoNormal"/>
      </w:pPr>
    </w:p>
    <w:p w:rsidR="00D06117" w:rsidRDefault="00D06117" w:rsidP="00D06117">
      <w:pPr>
        <w:pStyle w:val="TextoNormal"/>
      </w:pPr>
      <w:r>
        <w:t xml:space="preserve">2. De todos modos, el argumento definitivo que lleva a la Sentencia a no declarar la inconstitucionalidad de la ley foral es el de que dicha ley no impedía o perturbaba la competencia exclusiva del Estado porque defería sus efectos hasta el momento en que ese espacio material dejase de ser polígono de tiro. Es decir, en este caso, la ley foral no es inconstitucional porque carece de eficacia inmediata. Este razonamiento no lo comparto en modo alguno. Primero porque, aun si fuese así, la declaración de parque natural ya produce una indudable perturbación en el ejercicio de la competencia estatal, como antes acabo de razonar. En segundo lugar porque no estoy de acuerdo en que la ley careciese de toda eficacia inmediata, ya que contiene decisiones cuya efectividad no queda diferida al hecho futuro e incierto de la desaparición del polígono de tiro. Así sucede con la autorización al Gobierno de Navarra para dictar disposiciones reglamentarias para el desarrollo de la ley (disposición final primera), la determinación de su entrada en vigor el día 10 de junio de 2001 (a poco más de 5 meses de la promulgación de la ley), y el mandato a la Comunidad de las Bardenas </w:t>
      </w:r>
      <w:r>
        <w:lastRenderedPageBreak/>
        <w:t>Reales para que en el plazo de un año desde la entrada en vigor de la ley proceda a la redacción de la modificación del plan de ordenación de los recursos naturales (PORN) para su tramitación y aprobación por el Gobierno de Navarra (disposición final tercera) imponiéndose que en “esta modificación se establecerán las determinaciones y el régimen de los terrenos ocupados por el polígono de tiro” (misma disposición final tercera). La ley foral, que sólo retrasa su vigencia unos meses, establece, pues, algunas determinaciones que tienen eficacia a partir del momento de su entrada en vigor. Por último, y en definitiva, porque la única previsión (también en la disposición final tercera) sobre el retraso de la eficacia de la ley hasta que deje de haber polígono de tiro no puede servir de fundamento para la constitucionalidad de la ley.</w:t>
      </w:r>
    </w:p>
    <w:p w:rsidR="00D06117" w:rsidRDefault="00D06117" w:rsidP="00D06117">
      <w:pPr>
        <w:pStyle w:val="TextoNormal"/>
      </w:pPr>
    </w:p>
    <w:p w:rsidR="00D06117" w:rsidRDefault="00D06117" w:rsidP="00D06117">
      <w:pPr>
        <w:pStyle w:val="TextoNormal"/>
      </w:pPr>
      <w:r>
        <w:t>Efectivamente, dicho retraso no lo es para elaborar ni para aprobar el PORN, sino para que, elaborado y aprobado éste (potestades que ya sí se atribuyen) sólo adquiera eficacia (esto es, sólo sea aplicable) “una vez que se produzca el total desmantelamiento de las edificaciones e instalaciones militares que sean incompatibles con los usos definidos por el Plan de Ordenación de los Recursos Naturales, que se desactiven los explosivos y se retiren todos los elementos y restos de carácter militar existentes en los terrenos ocupados por el polígono de tiro y zonas adyacentes al mismo”. Está claro, de un lado, que se atribuye competencia normativa sobre un objeto en el que la Comunidad Foral carece de competencia, y, de otro, que, pese a diferirse la aplicación de esa norma (PORN) hasta el desmantelamiento del polígono de tiro, la voluntad del legislador navarro es clara: en el futuro no debe haber polígono de tiro ¿Cómo puede afirmarse que no se invade, ni siquiera se perturba, la competencia exclusiva del Estado?</w:t>
      </w:r>
    </w:p>
    <w:p w:rsidR="00D06117" w:rsidRDefault="00D06117" w:rsidP="00D06117">
      <w:pPr>
        <w:pStyle w:val="TextoNormal"/>
      </w:pPr>
    </w:p>
    <w:p w:rsidR="00D06117" w:rsidRDefault="00D06117" w:rsidP="00D06117">
      <w:pPr>
        <w:pStyle w:val="TextoNormal"/>
      </w:pPr>
      <w:r>
        <w:t>3. El Abogado del Estado, que basó la denuncia de inconstitucionalidad en argumentos (vulneración de la competencia exclusiva del Estado en materia de defensa) coincidentes, en gran parte, con la tesis que he venido sosteniendo, también achacó a la Ley la vulneración de la normativa básica estatal, ya que la ley foral no respetaba [pese a lo que el art. 50.1 d) LORAFNA dispone] las bases que, sobre protección del medio ambiente, el Estado tiene atribuidas, ex art. 149.1.23 CE, ya que el art. 15 de la Ley estatal 4/1989, de 27 de marzo, de conservación de espacios naturales y de la flora y fauna silvestres exige que la declaración de parques y reservas venga precedida por la aprobación del correspondiente PORN (precepto cuyo carácter básico ha sido confirmado por las SSTC 102/1995 y 163/1995), exigencia que no se cumple, claramente en la ley navarra, en la que no sólo no se aprueba el PORN alguno con anterioridad a la ley, sino que se retrasa su elaboración a un año desde la entrada en vigor de ésta.</w:t>
      </w:r>
    </w:p>
    <w:p w:rsidR="00D06117" w:rsidRDefault="00D06117" w:rsidP="00D06117">
      <w:pPr>
        <w:pStyle w:val="TextoNormal"/>
      </w:pPr>
    </w:p>
    <w:p w:rsidR="00D06117" w:rsidRDefault="00D06117" w:rsidP="00D06117">
      <w:pPr>
        <w:pStyle w:val="TextoNormal"/>
      </w:pPr>
      <w:r>
        <w:t>Es cierto que la propia ley estatal prevé excepcionalmente que el PORN se aprueba con posterioridad (siempre que sea dentro del año siguiente a la declaración de Parque Natural), “cuando existan razones que lo justifiquen y que se harán constar de modo expreso” (art. 35.2 de la Ley 4/1989, ya citada). Pero, como bien dice el Abogado del Estado, en este caso, ni se expresan tales razones, ni si ellas consisten en que aún hay polígono de tiro, como la ley foral reconoce, puedan valer a efectos del citado art. 35.2, ya que resulta absurdo que no se elabore y apruebe previamente el PORN cuando se está ordenando que se elabore y apruebe después, aunque en ese momento aún subsista el polígono de tiro. El Abogado del Estado señala de manera incontestable esa incoherencia de la ley: no pueden darse las condiciones exigidas por la ley estatal para la excepción, pues si la propia norma foral condi</w:t>
      </w:r>
      <w:r>
        <w:lastRenderedPageBreak/>
        <w:t>ciona la eficacia (no de toda la ley, sino de las previsiones de ese Plan) al previo desmantelamiento de las instalaciones militares, la existencia de dichas instalaciones no supondría, en la propia lógica de la ley, impedimento alguno para la aprobación del plan con anterioridad a la ampliación del parque.</w:t>
      </w:r>
    </w:p>
    <w:p w:rsidR="00D06117" w:rsidRDefault="00D06117" w:rsidP="00D06117">
      <w:pPr>
        <w:pStyle w:val="TextoNormal"/>
      </w:pPr>
    </w:p>
    <w:p w:rsidR="00D06117" w:rsidRDefault="00D06117" w:rsidP="00D06117">
      <w:pPr>
        <w:pStyle w:val="TextoNormal"/>
      </w:pPr>
      <w:r>
        <w:t>Y es que la correcta interpretación del art. 35.2 de la ley estatal 4/1989 conduce a entender que las “razones que justifiquen” la excepción (elaborar y aprobar después el PORN) se refieren a circunstancias de índole geográfica, medioambiental, de complejidad o de urgencia de la declaración para preservar recursos naturales, etc., pero nunca al hecho de que no se tenga competencia sobre el objeto de la declaración. Como es obvio, esa competencia es un presupuesto para poder declarar el enclave como parque natural. Por ello, en realidad, ni la Comunidad Foral podía aprobar el PORN antes de dictar la ley, como ordena la base estatal, ni tampoco ampararse en el art. 35.2 de dicha ley para demorarlo.</w:t>
      </w:r>
    </w:p>
    <w:p w:rsidR="00D06117" w:rsidRDefault="00D06117" w:rsidP="00D06117">
      <w:pPr>
        <w:pStyle w:val="TextoNormal"/>
      </w:pPr>
    </w:p>
    <w:p w:rsidR="00D06117" w:rsidRDefault="00D06117" w:rsidP="00D06117">
      <w:pPr>
        <w:pStyle w:val="TextoNormal"/>
      </w:pPr>
      <w:r>
        <w:t>Aunque el problema central sea el de la incompetencia para la declaración del parque natural, la inconstitucionalidad de la Ley Foral por vulneración de la legislación básica estatal me parece, también por este motivo, difícilmente discutible.</w:t>
      </w:r>
    </w:p>
    <w:p w:rsidR="00D06117" w:rsidRDefault="00D06117" w:rsidP="00D06117">
      <w:pPr>
        <w:pStyle w:val="TextoNormal"/>
      </w:pPr>
    </w:p>
    <w:p w:rsidR="00D06117" w:rsidRDefault="00D06117" w:rsidP="00D06117">
      <w:pPr>
        <w:pStyle w:val="TextoNormal"/>
      </w:pPr>
      <w:r>
        <w:t>4. La simple lectura de la ley foral lo que pone de manifiesto es que el legislador ha venido a actuar de la siguiente manera: primero se declara parque natural un espacio donde la Comunidad Autónoma carece de competencias porque el Estado había ejercido (y estaba ejerciendo) su competencia exclusiva; a continuación se manda elaborar un PORN sin tener aún la competencia para hacerlo; y, al final, se presupone que la competencia estatal no se vulnera porque se prevé la eficacia de todo ello para cuando el Estado deje de ser competente. Una ley, pues, en el mejor de los casos, puramente preventiva, dictada por si un día (acontecimiento futuro e incierto) se tiene la competencia que hoy no se tiene.</w:t>
      </w:r>
    </w:p>
    <w:p w:rsidR="00D06117" w:rsidRDefault="00D06117" w:rsidP="00D06117">
      <w:pPr>
        <w:pStyle w:val="TextoNormal"/>
      </w:pPr>
    </w:p>
    <w:p w:rsidR="00D06117" w:rsidRDefault="00D06117" w:rsidP="00D06117">
      <w:pPr>
        <w:pStyle w:val="TextoNormal"/>
      </w:pPr>
      <w:r>
        <w:t>Frente a la claridad de lo que se pretende no vale la excusa de que (como dice la exposición de motivos de la ley) estuviese próxima la conclusión de las relaciones jurídicas vigentes del uso del terreno como campo de tiro del Ejército del aire. En primer lugar porque lo que estaba próximo a concluir era sólo el convenio entre el Ministerio de Defensa y la Comunidad de las Bardenas Reales de Navarra de 1951 que se había venido renovando desde entonces y que tocaba prorrogar o rescindir el 9 de junio de 2001; y es claro que el ejercicio de la competencia exclusiva del Estado no dependía de que tal convenio se renovase o no, puesto que tal aquiescencia de la Comunidad de las Bardenas no podía erigirse en condición para que el Estado pueda ejercer su competencia exclusiva ex art 149.1.4 CE. En segundo lugar porque era perfectamente previsible (dados los antecedentes) la renovación de tal convenio, como efectivamente así ocurrió, ya que fue renovado el 8 de junio de 2001, y nuevamente renovado el 22 de diciembre de 2008, con efectos hasta diciembre de 2028. Precisamente por esa voluntad de la Comunidad de las Bardenas Reales de interesarles la continuidad del convenio, el PORN que la ley les encargaba elaborar en el plazo de un año nunca se elaboró (ni, en consecuencia, se aprobó), como reconoce la propia Sentencia (fundamento jurídico 5). Este hecho no deja de ser muy expresivo del carácter, en cierto modo absurdo, de esta curiosa ley foral.</w:t>
      </w:r>
    </w:p>
    <w:p w:rsidR="00D06117" w:rsidRDefault="00D06117" w:rsidP="00D06117">
      <w:pPr>
        <w:pStyle w:val="TextoNormal"/>
      </w:pPr>
    </w:p>
    <w:p w:rsidR="00D06117" w:rsidRDefault="00D06117" w:rsidP="00D06117">
      <w:pPr>
        <w:pStyle w:val="TextoNormal"/>
      </w:pPr>
      <w:r>
        <w:t xml:space="preserve">Tampoco vale, para intentar apoyar la pertinencia de esta ley “preventiva” el argumento empleado en la Sentencia (fundamento jurídico 5) de que la legislación estatal (arts. 190 bis y 191 de la Ley 33/2003, de 3 de noviembre de patrimonio de las Administraciones públicas) </w:t>
      </w:r>
      <w:r>
        <w:lastRenderedPageBreak/>
        <w:t>admite “la posibilidad de incluir, en un instrumento de ordenación, previsiones sobre el destino futuro de determinados bienes”, pues, de manera manifiesta, esa previsión no tiene nada que ver con el supuesto que examinamos que es otro bien distinto: previsión de actuación sin competencia para el caso de que en un futuro se tuviese competencia.</w:t>
      </w:r>
    </w:p>
    <w:p w:rsidR="00D06117" w:rsidRDefault="00D06117" w:rsidP="00D06117">
      <w:pPr>
        <w:pStyle w:val="TextoNormal"/>
      </w:pPr>
    </w:p>
    <w:p w:rsidR="00D06117" w:rsidRDefault="00D06117" w:rsidP="00D06117">
      <w:pPr>
        <w:pStyle w:val="TextoNormal"/>
      </w:pPr>
      <w:r>
        <w:t>No me caben dudas, pues, de que esta ley foral meramente preventiva (en el mejor de los casos, pues, como dije más atrás, algunos de sus mandatos adquirían eficacia desde su entrada en vigor) no puede tener cabida en nuestro ordenamiento. Primero por la infracción competencial que supone; segundo por sus efectos perturbadores para la seguridad jurídica; y finalmente por la degradación de la normatividad que origina una ley como esta que se proclama a sí misma ineficaz.</w:t>
      </w:r>
    </w:p>
    <w:p w:rsidR="00D06117" w:rsidRDefault="00D06117" w:rsidP="00D06117">
      <w:pPr>
        <w:pStyle w:val="TextoNormal"/>
      </w:pPr>
    </w:p>
    <w:p w:rsidR="00D06117" w:rsidRDefault="00D06117" w:rsidP="00D06117">
      <w:pPr>
        <w:pStyle w:val="TextoNormal"/>
      </w:pPr>
      <w:r>
        <w:t>Además, en este caso concreto no se ve que utilidad podía tener la de disponer con anticipación de lo que no se tenía, salvo el propósito de coaccionar políticamente al Estado en el ejercicio válido de su competencia exclusiva. Declárese, pues, parque natural cuando ya ese terreno no sea polígono de tiro, eso sería lo correcto si, en tal momento (y no antes) la voluntad mayoritaria del Parlamento navarro lo decidiera; pero no cuando todavía era polígono de tiro y dependía únicamente del Estado que lo siguiera siendo.</w:t>
      </w:r>
    </w:p>
    <w:p w:rsidR="00D06117" w:rsidRDefault="00D06117" w:rsidP="00D06117">
      <w:pPr>
        <w:pStyle w:val="TextoNormal"/>
      </w:pPr>
    </w:p>
    <w:p w:rsidR="00D06117" w:rsidRDefault="00D06117" w:rsidP="00D06117">
      <w:pPr>
        <w:pStyle w:val="TextoNormal"/>
      </w:pPr>
      <w:r>
        <w:t>Con el argumento empleado por la Sentencia, tanto el Estado como las Comunidades Autónomas podrían dictar leyes careciendo de competencia, pero en previsión, además futura e incierta, de que algún día pudieran tenerla. Nuestra Constitución, y el Tribunal Constitucional como su supremo intérprete, no pueden permitir ese tipo de leyes. Ya tenemos un ordenamiento jurídico bastante complicado como para introducir en el mismo más confusión aún. La declaración de inconstitucionalidad y consiguiente nulidad de la ley foral, por todas las razones, genéricas y específicas, que he venido exponiendo, es lo que, a mi juicio, el Tribunal Constitucional debería haber decidido.</w:t>
      </w:r>
    </w:p>
    <w:p w:rsidR="00D06117" w:rsidRDefault="00D06117" w:rsidP="00D06117">
      <w:pPr>
        <w:pStyle w:val="TextoNormal"/>
      </w:pPr>
    </w:p>
    <w:p w:rsidR="00D06117" w:rsidRDefault="00D06117" w:rsidP="00D06117">
      <w:pPr>
        <w:pStyle w:val="TextoNormal"/>
      </w:pPr>
      <w:r>
        <w:t>Y en este sentido emito mi Voto particular.</w:t>
      </w:r>
    </w:p>
    <w:p w:rsidR="00D06117" w:rsidRDefault="00D06117" w:rsidP="00D06117">
      <w:pPr>
        <w:pStyle w:val="TextoNormal"/>
      </w:pPr>
    </w:p>
    <w:p w:rsidR="00D06117" w:rsidRDefault="00D06117" w:rsidP="00D06117">
      <w:pPr>
        <w:pStyle w:val="TextoNormal"/>
      </w:pPr>
      <w:r>
        <w:t>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6" w:name="SENTENCIA_2012_83"/>
      <w:r>
        <w:lastRenderedPageBreak/>
        <w:t>SENTENCIA 83/2012, de 18 de abril de 2012</w:t>
      </w:r>
    </w:p>
    <w:bookmarkEnd w:id="8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ECLI:ES:TC:2012:83</w:t>
      </w:r>
    </w:p>
    <w:p w:rsidR="00D06117" w:rsidRDefault="00D06117" w:rsidP="00D06117">
      <w:pPr>
        <w:pStyle w:val="SntesisDescriptiva"/>
      </w:pPr>
    </w:p>
    <w:p w:rsidR="00D06117" w:rsidRDefault="00D06117" w:rsidP="00D06117">
      <w:pPr>
        <w:pStyle w:val="SntesisDescriptiva"/>
      </w:pPr>
      <w:r>
        <w:t>Recurso de inconstitucionalidad 1902-2002. Interpuesto por el Consejo de Gobierno de la Junta de Andalucía en relación con el art. 24 y la disposición adicional vigésima de la Ley 24/2001, de 27 de diciembre, de medidas fiscales, administrativas y del orden social.</w:t>
      </w:r>
    </w:p>
    <w:p w:rsidR="00D06117" w:rsidRDefault="00D06117" w:rsidP="00D06117">
      <w:pPr>
        <w:pStyle w:val="SntesisDescriptiva"/>
      </w:pPr>
    </w:p>
    <w:p w:rsidR="00D06117" w:rsidRDefault="00D06117" w:rsidP="00D06117">
      <w:pPr>
        <w:pStyle w:val="SntesisAnaltica"/>
      </w:pPr>
      <w:r>
        <w:t>Competencias en materia de juego: atribución al Estado de la competencia para autorizar los juegos que excedan los límites de una Comunidad Autónoma sin abarcar a la totalidad del territorio nacional (STC 35/2012).</w:t>
      </w:r>
    </w:p>
    <w:p w:rsidR="00D06117" w:rsidRDefault="00D06117" w:rsidP="00D06117">
      <w:pPr>
        <w:pStyle w:val="SntesisAnaltica"/>
      </w:pPr>
    </w:p>
    <w:p w:rsidR="00D06117" w:rsidRDefault="00D06117" w:rsidP="00D06117">
      <w:pPr>
        <w:pStyle w:val="Extracto"/>
      </w:pPr>
      <w:r>
        <w:t>1.</w:t>
      </w:r>
      <w:r>
        <w:tab/>
        <w:t>La cuestión general planteada relativa al reparto competencial de la materia juego entre el Estado y las Comunidades Autónomas debe reputarse resuelta por la doctrina establecida en STC 35/2012 [FJ 3].</w:t>
      </w:r>
    </w:p>
    <w:p w:rsidR="00D06117" w:rsidRDefault="00D06117" w:rsidP="00D06117">
      <w:pPr>
        <w:pStyle w:val="Extracto"/>
      </w:pPr>
    </w:p>
    <w:p w:rsidR="00D06117" w:rsidRDefault="00D06117" w:rsidP="00D06117">
      <w:pPr>
        <w:pStyle w:val="Extracto"/>
      </w:pPr>
      <w:r>
        <w:t>2.</w:t>
      </w:r>
      <w:r>
        <w:tab/>
        <w:t>Ha perdido su objeto la impugnación relativa al precepto impugnado en cuanto al inciso “exceda de los límites de una concreta Comunidad Autónoma” que atribuye competencias al Estado cuando el juego es de ámbito supra autonómico e inferior al nacional, puesto que no cabe pronunciarse acerca de la constitucionalidad del mismo al haber sido ya expulsado del ordenamiento por la STC 35/2012 [FJ 3].</w:t>
      </w:r>
    </w:p>
    <w:p w:rsidR="00D06117" w:rsidRDefault="00D06117" w:rsidP="00D06117">
      <w:pPr>
        <w:pStyle w:val="Extracto"/>
      </w:pPr>
    </w:p>
    <w:p w:rsidR="00D06117" w:rsidRDefault="00D06117" w:rsidP="00D06117">
      <w:pPr>
        <w:pStyle w:val="Extracto"/>
      </w:pPr>
      <w:r>
        <w:t>3.</w:t>
      </w:r>
      <w:r>
        <w:tab/>
        <w:t>Doctrina sobre la utilización de la supraterritorialidad como criterio de atribución de competencias en materia de juego y apuestas, cuyo ámbito sea nacional o superior al de una Comunidad Autónoma, por el Estado (SSTC 194/2011, 35/2012) [FJ 3].</w:t>
      </w:r>
    </w:p>
    <w:p w:rsidR="00D06117" w:rsidRDefault="00D06117" w:rsidP="00D06117">
      <w:pPr>
        <w:pStyle w:val="Extracto"/>
      </w:pPr>
    </w:p>
    <w:p w:rsidR="00D06117" w:rsidRDefault="00D06117" w:rsidP="00D06117">
      <w:pPr>
        <w:pStyle w:val="Extracto"/>
      </w:pPr>
      <w:r>
        <w:t>4.</w:t>
      </w:r>
      <w:r>
        <w:tab/>
        <w:t xml:space="preserve">Doctrina sobre </w:t>
      </w:r>
      <w:r w:rsidRPr="00D06117">
        <w:rPr>
          <w:i/>
        </w:rPr>
        <w:t>ius superveniens</w:t>
      </w:r>
      <w:r>
        <w:t xml:space="preserve"> en controversias competenciales (STC 1/2011)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inconstitucionalidad núm. 1902-2002, promovido por el Consejo de Gobierno de la Junta de Andalucía contra el art. 24 y la disposición adicional vigésima de la Ley 24/2001, de 27 de diciembre, de medidas fiscales, administrativas y del orden social. Han comparecido y formulado alegaciones el Abogado del Estado y el Senado.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día 27 de marzo de 2002, la Letrada de la Junta de Andalucía, en la representación que legalmente ostenta, interpuso recurso de inconstitucionalidad contra el art. 24 y la disposición adicional vigésima de la Ley 24/2001, de 27 de diciembre, de medidas fiscales, administrativas y del orden social (en adelante, Ley 24/2001), que se estiman contrarios a los arts. 9.3 y 149.3 de la Constitución, y 13.33 del Estatuto de Autonomía de Andalucía.</w:t>
      </w:r>
    </w:p>
    <w:p w:rsidR="00D06117" w:rsidRDefault="00D06117" w:rsidP="00D06117">
      <w:pPr>
        <w:pStyle w:val="TextoNormal"/>
      </w:pPr>
    </w:p>
    <w:p w:rsidR="00D06117" w:rsidRDefault="00D06117" w:rsidP="00D06117">
      <w:pPr>
        <w:pStyle w:val="TextoNormal"/>
      </w:pPr>
      <w:r>
        <w:t>Sostiene la demandante que la disposición adicional vigésima, que atribuye al Estado la competencia para la autorización de “todo tipo de apuestas”, cuando el ámbito de desarrollo abarque el territorio nacional o “exceda de los límites de una concreta Comunidad Autónoma”, supone un quebranto del marco de distribución competencial proyectado en el bloque de la constitucionalidad, pues determina el ejercicio por el Estado de actuaciones sobre “cualquier tipo de apuestas”, incluso si éstas no tienen el carácter de deportivas, benéficas o mutuas. Esto incide en el ámbito competencial asumido por la Comunidad Autónoma de Andalucía, suponiendo una extralimitación del Estado. A partir de ahí, la tacha se fundamenta en los tres argumentos siguientes:</w:t>
      </w:r>
    </w:p>
    <w:p w:rsidR="00D06117" w:rsidRDefault="00D06117" w:rsidP="00D06117">
      <w:pPr>
        <w:pStyle w:val="TextoNormal"/>
      </w:pPr>
    </w:p>
    <w:p w:rsidR="00D06117" w:rsidRDefault="00D06117" w:rsidP="00D06117">
      <w:pPr>
        <w:pStyle w:val="TextoNormal"/>
      </w:pPr>
      <w:r>
        <w:t>En primer lugar, y con carácter general, se recuerda en el escrito de demanda la jurisprudencia constitucional en materia de juego, contenida en las SSTC 163/1994, de 26 de mayo; 164/1994, de 26 de mayo; 216/1994, de 20 de julio; 49/1995, de 16 de febrero, y 171/1998, de 23 de julio, para sostener que el precepto impugnado se refiere a un juego de naturaleza no asimilable a los que eran objeto de estas Sentencias, y respecto del que “no puede predicarse con la misma intensidad la afectación al ámbito del monopolio del Estado justificador de la competencia del art. 149.1.14, salvo que se pretenda llegar por este camino a la negación de la virtualidad de cualquier competencia de ‘ingreso’ de las Comunidades Autónomas”. Asimismo, se sostiene en el escrito de demanda que si bien las citadas sentencias consideran que el ingreso o resultado de la explotación del juego es competencia del Estado, sea porque se integra como ingreso público (SSTC 163/1994; 164/1994 y 216/1994), sea porque puede incidir sobre el ámbito de dicho monopolio (STC 171/1988), este planteamiento no es correcto, ya que “el planteamiento competencial correcto es el que se recoge en el voto particular formulado por el Magistrado Carles Viver Pi-Sunyer en la sentencia 163/1994, y que posteriormente reitera en la sentencia 171/1998. En primer lugar, porque la atribución constitucional de competencias no debe atender al resultado del ejercicio material de las mismas, sino a la actividad en si misma considerada ... de otro lado, porque también se expone en el citado voto particular [que] ni la potestad de gasto, ni la potestad de ingresos pueden convertirse en títulos competenciales”.</w:t>
      </w:r>
    </w:p>
    <w:p w:rsidR="00D06117" w:rsidRDefault="00D06117" w:rsidP="00D06117">
      <w:pPr>
        <w:pStyle w:val="TextoNormal"/>
      </w:pPr>
    </w:p>
    <w:p w:rsidR="00D06117" w:rsidRDefault="00D06117" w:rsidP="00D06117">
      <w:pPr>
        <w:pStyle w:val="TextoNormal"/>
      </w:pPr>
      <w:r>
        <w:lastRenderedPageBreak/>
        <w:t>En segundo lugar, el título competencial contenido en el art. 149.1.14 CE sería insuficiente para amparar la competencia del Estado, pues el contenido y significado de este título ha evolucionado significativamente con posterioridad a las Sentencias citadas, de manera que el correcto entendimiento del mismo es como un título de coordinación, tal y como se afirmó en la STC 233/1999, de 13 de diciembre, FJ 41, y no como un título que se refiera únicamente a la hacienda del Estado. Así entendido, este título competencial no ampara la regulación contenida en el precepto que se impugna.</w:t>
      </w:r>
    </w:p>
    <w:p w:rsidR="00D06117" w:rsidRDefault="00D06117" w:rsidP="00D06117">
      <w:pPr>
        <w:pStyle w:val="TextoNormal"/>
      </w:pPr>
    </w:p>
    <w:p w:rsidR="00D06117" w:rsidRDefault="00D06117" w:rsidP="00D06117">
      <w:pPr>
        <w:pStyle w:val="TextoNormal"/>
      </w:pPr>
      <w:r>
        <w:t>En tercer y último lugar, la intervención del Estado en esta materia no puede verse amparada sobre la base de la supraterritorialidad, pues una vez que todas las Comunidades Autónomas han asumido competencias en materia de juego y apuestas, el interés general o supraautonómico no puede identificarse con los ingresos que la explotación de una actividad de juego puedan suponer para la hacienda pública estatal. Tras recordar parte de la doctrina constitucional sobre la supraterritorialidad (con cita de las SSTC 329/1993 y 102/1995), se afirma en el escrito que en este supuesto es patente que el fenómeno del juego es susceptible de ser compartimentado, habiendo además otros mecanismos de coordinación alternativos al establecimiento de este punto de conexión.</w:t>
      </w:r>
    </w:p>
    <w:p w:rsidR="00D06117" w:rsidRDefault="00D06117" w:rsidP="00D06117">
      <w:pPr>
        <w:pStyle w:val="TextoNormal"/>
      </w:pPr>
    </w:p>
    <w:p w:rsidR="00D06117" w:rsidRDefault="00D06117" w:rsidP="00D06117">
      <w:pPr>
        <w:pStyle w:val="TextoNormal"/>
      </w:pPr>
      <w:r>
        <w:t>La disposición adicional vigésima se reputa así inconstitucional por incidir en la materia juego con extralimitación de la competencia estatal.</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7 de mayo de 2002, la Sección Cuarta de este Tribunal acordó admitir a trámite el recurso de inconstitucionalidad promovido por la Junta de Andalucía. Asimismo, acordó dar traslado de la demanda y documentos presentados, conforme al art. 34 de la Ley Orgánica del Tribunal Constitucional (LOTC), al Congreso de los Diputados y al Senado, por conducto de sus Presidentes, así como al Gobierno, a través del Ministro de Justicia, al objeto de que en el plazo de quince días puedan personarse en el proceso y formular alegaciones. Por último, se acordó publicar la incoación del proceso en el “Boletín Oficial del Estado”.</w:t>
      </w:r>
    </w:p>
    <w:p w:rsidR="00D06117" w:rsidRDefault="00D06117" w:rsidP="00D06117">
      <w:pPr>
        <w:pStyle w:val="TextoNormal"/>
      </w:pPr>
    </w:p>
    <w:p w:rsidR="00D06117" w:rsidRDefault="00D06117" w:rsidP="00D06117">
      <w:pPr>
        <w:pStyle w:val="TextoNormal"/>
      </w:pPr>
      <w:r w:rsidRPr="00D06117">
        <w:rPr>
          <w:rStyle w:val="NumeroAFNegritaCaracter"/>
        </w:rPr>
        <w:t>3</w:t>
      </w:r>
      <w:r>
        <w:t>. El día 21 de mayo de 2002 el Abogado del Estado, en la representación que legalmente ostenta, se dirigió al Tribunal Constitucional personándose en el proceso y solicitó una prórroga del plazo concedido por ocho días, para formular sus alegaciones.</w:t>
      </w:r>
    </w:p>
    <w:p w:rsidR="00D06117" w:rsidRDefault="00D06117" w:rsidP="00D06117">
      <w:pPr>
        <w:pStyle w:val="TextoNormal"/>
      </w:pPr>
    </w:p>
    <w:p w:rsidR="00D06117" w:rsidRDefault="00D06117" w:rsidP="00D06117">
      <w:pPr>
        <w:pStyle w:val="TextoNormal"/>
      </w:pPr>
      <w:r w:rsidRPr="00D06117">
        <w:rPr>
          <w:rStyle w:val="NumeroAFNegritaCaracter"/>
        </w:rPr>
        <w:t>4</w:t>
      </w:r>
      <w:r>
        <w:t>. Con fecha 23 de mayo de 2002 se registra un escrito de la Presidenta del Congreso de los Diputados comunicando al Tribunal el acuerdo de la Mesa de la Cámara de no personarse en el proceso ni formular alegaciones.</w:t>
      </w:r>
    </w:p>
    <w:p w:rsidR="00D06117" w:rsidRDefault="00D06117" w:rsidP="00D06117">
      <w:pPr>
        <w:pStyle w:val="TextoNormal"/>
      </w:pPr>
    </w:p>
    <w:p w:rsidR="00D06117" w:rsidRDefault="00D06117" w:rsidP="00D06117">
      <w:pPr>
        <w:pStyle w:val="TextoNormal"/>
      </w:pPr>
      <w:r w:rsidRPr="00D06117">
        <w:rPr>
          <w:rStyle w:val="NumeroAFNegritaCaracter"/>
        </w:rPr>
        <w:t>5</w:t>
      </w:r>
      <w:r>
        <w:t>. El día 28 de mayo de 2002 la Sección Cuarta de este Tribunal acordó incorporar a las actuaciones el escrito del Abogado del Estado de 21 de mayo de 2002 y concederle la prórroga solicitada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Con fecha 13 de junio de 2002 se registra el escrito mediante el cual el Abogado del Estado formula sus alegaciones en el presente recurso, proponiendo su desestimación por las razones que resumidamente se exponen:</w:t>
      </w:r>
    </w:p>
    <w:p w:rsidR="00D06117" w:rsidRDefault="00D06117" w:rsidP="00D06117">
      <w:pPr>
        <w:pStyle w:val="TextoNormal"/>
      </w:pPr>
    </w:p>
    <w:p w:rsidR="00D06117" w:rsidRDefault="00D06117" w:rsidP="00D06117">
      <w:pPr>
        <w:pStyle w:val="TextoNormal"/>
      </w:pPr>
      <w:r>
        <w:lastRenderedPageBreak/>
        <w:t>a) Con carácter general, en relación con el reparto de competencias en materia de juego, el Abogado del Estado destaca que la demanda toma como punto de partida la denominada “tesis reduccionista”, que trataría de limitar la competencia del Estado en esta materia a la Lotería nacional, atribuyendo la competencia hacendística en todo lo demás a las Comunidades Autónomas, por considerar tales materias accesorias de la competencia en materia de juego.</w:t>
      </w:r>
    </w:p>
    <w:p w:rsidR="00D06117" w:rsidRDefault="00D06117" w:rsidP="00D06117">
      <w:pPr>
        <w:pStyle w:val="TextoNormal"/>
      </w:pPr>
    </w:p>
    <w:p w:rsidR="00D06117" w:rsidRDefault="00D06117" w:rsidP="00D06117">
      <w:pPr>
        <w:pStyle w:val="TextoNormal"/>
      </w:pPr>
      <w:r>
        <w:t>b) Afirma el Abogado que la propia cita de la jurisprudencia hecha en la demanda (SSTC 163/1994, 164/1994, 216/1994 y 49/1995) es suficientemente ilustrativa “de la comprensión de las exacciones sobre el juego dentro de la competencia estatal sobre Hacienda General establecida en el art. 149.1.14 en razón de su naturaleza de fuente o recurso de la Hacienda estatal”, sin que ello suponga un menoscabo de la competencia exclusiva autonómica para organizar y autorizar la celebración de juegos en el territorio de la Comunidad Autónoma.</w:t>
      </w:r>
    </w:p>
    <w:p w:rsidR="00D06117" w:rsidRDefault="00D06117" w:rsidP="00D06117">
      <w:pPr>
        <w:pStyle w:val="TextoNormal"/>
      </w:pPr>
    </w:p>
    <w:p w:rsidR="00D06117" w:rsidRDefault="00D06117" w:rsidP="00D06117">
      <w:pPr>
        <w:pStyle w:val="TextoNormal"/>
      </w:pPr>
      <w:r>
        <w:t>c) Finalmente, sostiene que los argumentos desplegados en la demanda en relación con la supraterritorialidad de la norma no son más que “una objeción abstracta, carente de la más mínima precisión o acotamiento de textos, y por tanto, desligada de la genuina naturaleza y objeto del recurso que se ejercita”. Rechaza en todo caso el argumento porque en este caso no habría atribución competencial alguna al Estado, sino que “los tributos sobre el juego son originarios del Estado y la definición del ámbito de la cesión es exclusiva competencia estatal”.</w:t>
      </w:r>
    </w:p>
    <w:p w:rsidR="00D06117" w:rsidRDefault="00D06117" w:rsidP="00D06117">
      <w:pPr>
        <w:pStyle w:val="TextoNormal"/>
      </w:pPr>
    </w:p>
    <w:p w:rsidR="00D06117" w:rsidRDefault="00D06117" w:rsidP="00D06117">
      <w:pPr>
        <w:pStyle w:val="TextoNormal"/>
      </w:pPr>
      <w:r w:rsidRPr="00D06117">
        <w:rPr>
          <w:rStyle w:val="NumeroAFNegritaCaracter"/>
        </w:rPr>
        <w:t>7</w:t>
      </w:r>
      <w:r>
        <w:t>. Con fecha 31 de mayo de 2002 se registra el escrito mediante el cual el Letrado de las Cortes Generales, actuando en representación y defensa del Senado, y que comparece ante el Tribunal en relación con el presente recurso, y con los recursos de inconstitucionalidad núm. 1847-2002, promovido por el Gobierno de la Generalitat de Cataluña, 1921-2002, promovido por el Consejo de Gobierno de la Junta de Comunidades de Castilla-La Mancha y 1937-2002, promovido por el Gobierno de Canarias, todos ellos relacionados con la Ley 24/2001, solicitando la acumulación de todos ellos, por estimar que cumplen los requisitos contenidos en el art. 83 LOTC. Asimismo, se solicita la suspensión del plazo concedido para formular alegaciones, lo que se justifica en que, frente a la práctica reiterada de no formular alegaciones, se ha producido un cambio de criterio por parte de la Mesa del Senado en lo que afecta a estos recursos, si bien las reglas concernientes a plazos de convocatoria de los órganos del Senado han llevado a que este cambio se manifieste estando ya muy avanzado el plazo fijado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8</w:t>
      </w:r>
      <w:r>
        <w:t>. Con fecha 12 de junio de 2002 se registra el escrito mediante el cual el Letrado de las Cortes Generales, comparece en relación con los recursos citados en el antecedente anterior, para solicitar la acumulación a éstos del núm. 1848-2002, promovido por Diputados del grupo parlamentario Socialista en el Congreso, contra la totalidad de la Ley 24/2001 y contra determinados preceptos de la misma. El Letrado da asimismo cuenta del acuerdo adoptado por la Mesa del Senado, en su reunión de 4 de junio de 2002, por la que se adoptó comunicar a este Tribunal que, para el caso de que se produzca la acumulación del recurso núm. 1848-2002 con el núm. 1390-1999, contra la Ley 50/1998, de medidas fiscales, administrativas y del orden social, el Senado da por reproducidas las alegaciones formuladas entonces en relación con la vulneración de preceptos constitucionales y reglamentarios sobre el procedimiento y competencia en lo que afecta a la Cámara.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9</w:t>
      </w:r>
      <w:r>
        <w:t>. Mediante providencia de 18 de junio de 2002, se acordó tener por personado al citado Letrado de las Cortes Generales, en representación del Senado, en el presente recurso de inconstitucionalidad, así como en los registrados con los núms. 1847-2002, 1848-2002, 1921-2002, 1937-2002, según interesa en su escritos de 30 de mayo y 12 de junio de 2002, accediendo a la suspensión que pide del plazo concedido para hacer alegaciones hasta tanto se resuelva sobre la acumulación de los mismos. Asimismo, acordó oír a los recurrentes y a las demás partes personadas para que en el plazo de diez días aleguen lo que estimen oportuno en relación con la petición de acumulación. Por último, acordó llevar testimonio del citado escrito y de esta resolución a los recursos de inconstitucionalidad antes relacionados.</w:t>
      </w:r>
    </w:p>
    <w:p w:rsidR="00D06117" w:rsidRDefault="00D06117" w:rsidP="00D06117">
      <w:pPr>
        <w:pStyle w:val="TextoNormal"/>
      </w:pPr>
    </w:p>
    <w:p w:rsidR="00D06117" w:rsidRDefault="00D06117" w:rsidP="00D06117">
      <w:pPr>
        <w:pStyle w:val="TextoNormal"/>
      </w:pPr>
      <w:r w:rsidRPr="00D06117">
        <w:rPr>
          <w:rStyle w:val="NumeroAFNegritaCaracter"/>
        </w:rPr>
        <w:t>10</w:t>
      </w:r>
      <w:r>
        <w:t>. Por ATC 205/2002, de 15 de octubre, el Pleno del Tribunal decidió no acceder a la acumulación solicitada, por no concurrir la necesaria conexión de objetos entre los distintos recursos (fundamento jurídico 2). Asimismo, se acuerda conceder un plazo de quince días a la representación del Senado para que pueda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11</w:t>
      </w:r>
      <w:r>
        <w:t>. Mediante escrito registrado el 8 de noviembre de 2002, el Letrado de las Cortes Generales, en la representación que legalmente ostenta, propugna la desestimación del recurso, con base en las alegaciones que a continuación se resumen:</w:t>
      </w:r>
    </w:p>
    <w:p w:rsidR="00D06117" w:rsidRDefault="00D06117" w:rsidP="00D06117">
      <w:pPr>
        <w:pStyle w:val="TextoNormal"/>
      </w:pPr>
    </w:p>
    <w:p w:rsidR="00D06117" w:rsidRDefault="00D06117" w:rsidP="00D06117">
      <w:pPr>
        <w:pStyle w:val="TextoNormal"/>
      </w:pPr>
      <w:r>
        <w:t>a) El silencio de la Constitución en la materia de juego no desapodera al Estado de esta competencia, como habrían venido a corroborar las SSTC 163/1994, 164/1994 y 216/1994, máxime cuando dicha competencia se refiere a un ámbito territorial estatal o superior al de una Comunidad Autónoma.</w:t>
      </w:r>
    </w:p>
    <w:p w:rsidR="00D06117" w:rsidRDefault="00D06117" w:rsidP="00D06117">
      <w:pPr>
        <w:pStyle w:val="TextoNormal"/>
      </w:pPr>
    </w:p>
    <w:p w:rsidR="00D06117" w:rsidRDefault="00D06117" w:rsidP="00D06117">
      <w:pPr>
        <w:pStyle w:val="TextoNormal"/>
      </w:pPr>
      <w:r>
        <w:t>b) La propia jurisprudencia del Tribunal, y en particular la STC 171/1998, de 23 de julio, ha confirmado el anclaje de esta materia en el título de la “Hacienda Pública”, al afirmar que el monopolio fiscal se extiende a los demás juegos de suerte que pueden concurrir con ella.</w:t>
      </w:r>
    </w:p>
    <w:p w:rsidR="00D06117" w:rsidRDefault="00D06117" w:rsidP="00D06117">
      <w:pPr>
        <w:pStyle w:val="TextoNormal"/>
      </w:pPr>
    </w:p>
    <w:p w:rsidR="00D06117" w:rsidRDefault="00D06117" w:rsidP="00D06117">
      <w:pPr>
        <w:pStyle w:val="TextoNormal"/>
      </w:pPr>
      <w:r w:rsidRPr="00D06117">
        <w:rPr>
          <w:rStyle w:val="NumeroAFNegritaCaracter"/>
        </w:rPr>
        <w:t>12</w:t>
      </w:r>
      <w:r>
        <w:t>. Mediante escrito registrado en este Tribunal el 17 de junio de 2008 la Letrada de la Junta de Andalucía, en la representación que legalmente ostenta, solicita tener por desistido al Consejo de Gobierno de la Junta de Andalucía de este recurso.</w:t>
      </w:r>
    </w:p>
    <w:p w:rsidR="00D06117" w:rsidRDefault="00D06117" w:rsidP="00D06117">
      <w:pPr>
        <w:pStyle w:val="TextoNormal"/>
      </w:pPr>
    </w:p>
    <w:p w:rsidR="00D06117" w:rsidRDefault="00D06117" w:rsidP="00D06117">
      <w:pPr>
        <w:pStyle w:val="TextoNormal"/>
      </w:pPr>
      <w:r w:rsidRPr="00D06117">
        <w:rPr>
          <w:rStyle w:val="NumeroAFNegritaCaracter"/>
        </w:rPr>
        <w:t>13</w:t>
      </w:r>
      <w:r>
        <w:t>. El anterior escrito es posteriormente corregido por la Letrada de la Junta de Andalucía, mediante un segundo registrado el 20 de junio de 2008, por el que se solicita un desistimiento parcial del recurso, en cuanto exclusivamente referido a la impugnación del art. 24 de la Ley 24/2001.</w:t>
      </w:r>
    </w:p>
    <w:p w:rsidR="00D06117" w:rsidRDefault="00D06117" w:rsidP="00D06117">
      <w:pPr>
        <w:pStyle w:val="TextoNormal"/>
      </w:pPr>
    </w:p>
    <w:p w:rsidR="00D06117" w:rsidRDefault="00D06117" w:rsidP="00D06117">
      <w:pPr>
        <w:pStyle w:val="TextoNormal"/>
      </w:pPr>
      <w:r w:rsidRPr="00D06117">
        <w:rPr>
          <w:rStyle w:val="NumeroAFNegritaCaracter"/>
        </w:rPr>
        <w:t>14</w:t>
      </w:r>
      <w:r>
        <w:t>. Mediante providencia de 24 de junio de 2008, el Pleno acuerda incorporar a los autos los escritos que presenta la Letrada de la Junta de Andalucía y oír al Abogado del Estado y al Senado para que, en el plazo de diez días, aleguen lo que estimen procedente en relación con la solicitud de desistimiento parcial.</w:t>
      </w:r>
    </w:p>
    <w:p w:rsidR="00D06117" w:rsidRDefault="00D06117" w:rsidP="00D06117">
      <w:pPr>
        <w:pStyle w:val="TextoNormal"/>
      </w:pPr>
    </w:p>
    <w:p w:rsidR="00D06117" w:rsidRDefault="00D06117" w:rsidP="00D06117">
      <w:pPr>
        <w:pStyle w:val="TextoNormal"/>
      </w:pPr>
      <w:r w:rsidRPr="00D06117">
        <w:rPr>
          <w:rStyle w:val="NumeroAFNegritaCaracter"/>
        </w:rPr>
        <w:t>15</w:t>
      </w:r>
      <w:r>
        <w:t>. Mediante escrito registrado el 1 de julio de 2008, el Abogado del Estado muestra su conformidad con la anterior subsanación del escrito de desistimiento, aceptando la rectificación en los términos pedidos por la Letrada de la Junta de Andalucía.</w:t>
      </w:r>
    </w:p>
    <w:p w:rsidR="00D06117" w:rsidRDefault="00D06117" w:rsidP="00D06117">
      <w:pPr>
        <w:pStyle w:val="TextoNormal"/>
      </w:pPr>
    </w:p>
    <w:p w:rsidR="00D06117" w:rsidRDefault="00D06117" w:rsidP="00D06117">
      <w:pPr>
        <w:pStyle w:val="TextoNormal"/>
      </w:pPr>
      <w:r w:rsidRPr="00D06117">
        <w:rPr>
          <w:rStyle w:val="NumeroAFNegritaCaracter"/>
        </w:rPr>
        <w:t>16</w:t>
      </w:r>
      <w:r>
        <w:t>. Mediante escrito registrado el 7 de julio de 2008, el Abogado del Estado acepta el desistimiento parcial formulado por el Consejo de Gobierno de la Junta de Andalucía. El Senado no formuló alegación alguna.</w:t>
      </w:r>
    </w:p>
    <w:p w:rsidR="00D06117" w:rsidRDefault="00D06117" w:rsidP="00D06117">
      <w:pPr>
        <w:pStyle w:val="TextoNormal"/>
      </w:pPr>
    </w:p>
    <w:p w:rsidR="00D06117" w:rsidRDefault="00D06117" w:rsidP="00D06117">
      <w:pPr>
        <w:pStyle w:val="TextoNormal"/>
      </w:pPr>
      <w:r w:rsidRPr="00D06117">
        <w:rPr>
          <w:rStyle w:val="NumeroAFNegritaCaracter"/>
        </w:rPr>
        <w:t>17</w:t>
      </w:r>
      <w:r>
        <w:t>. Mediante el ATC 279/2008, de 16 de septiembre, el Pleno del Tribunal acuerda tener por desistida parcialmente a la Junta de Andalucía del recurso de inconstitucionalidad núm. 1902-2002 por lo que se refiere al art. 24 de la Ley 24/2001, manteniéndose el recurso en cuanto a la impugnación de la disposición adicional vigésima de la misma ley.</w:t>
      </w:r>
    </w:p>
    <w:p w:rsidR="00D06117" w:rsidRDefault="00D06117" w:rsidP="00D06117">
      <w:pPr>
        <w:pStyle w:val="TextoNormal"/>
      </w:pPr>
    </w:p>
    <w:p w:rsidR="00D06117" w:rsidRDefault="00D06117" w:rsidP="00D06117">
      <w:pPr>
        <w:pStyle w:val="TextoNormal"/>
      </w:pPr>
      <w:r w:rsidRPr="00D06117">
        <w:rPr>
          <w:rStyle w:val="NumeroAFNegritaCaracter"/>
        </w:rPr>
        <w:t>18</w:t>
      </w:r>
      <w:r>
        <w:t>. Por providencia de 17 de abril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 este recurso de inconstitucionalidad, interpuesto por el Consejo de Gobierno de la Junta de Andalucía contra la disposición adicional vigésima de la Ley 24/2001, de 27 de diciembre, de medidas fiscales, administrativas y del orden social, coincide parcialmente con el resuelto en nuestra STC 35/2012, de 15 de marzo, que abordaba el recurso de inconstitucionalidad 1847-2002, promovido por el Gobierno de la Generalitat de Cataluña, contra el art. 24 y la disposición adicional vigésima de la misma ley. En la parte coincidente, el fundamento del recurso reposaba en la alegación de que la disposición adicional vigésima excedería de la competencia del Estado en materia de juego y apuestas, invadiendo en consecuencia la competencia en la materia de la Comunidad Autónoma de Cataluña. Asimismo, aducía la recurrente que el criterio de la supraterritorialidad de esta disposición, al referirse al juego cuyo ámbito territorial exceda de una Comunidad Autónoma, desconocería también el orden constitucional de reparto de competencias, ya que de acuerdo con la STC 223/2000, de 21 de septiembre, FJ 11, cualquier efecto supraterritorial de una competencia no implica que ésta haya de revertir al Estado. Por ello, y si bien éste es competente para fijar el punto de conexión (STC 72/1983, de 29 de julio, FJ 6), una vez que todas las Comunidades Autónomas han asumido competencias en materia de juego, el Estado no ostenta título competencial sobre la misma sobre la base de la extraterritorialidad.</w:t>
      </w:r>
    </w:p>
    <w:p w:rsidR="00D06117" w:rsidRDefault="00D06117" w:rsidP="00D06117">
      <w:pPr>
        <w:pStyle w:val="TextoNormal"/>
      </w:pPr>
    </w:p>
    <w:p w:rsidR="00D06117" w:rsidRDefault="00D06117" w:rsidP="00D06117">
      <w:pPr>
        <w:pStyle w:val="TextoNormal"/>
      </w:pPr>
      <w:r>
        <w:t>En el presente recurso, y tras el desistimiento parcial de la Junta de Andalucía, aceptado mediante ATC 279/2008, de 16 de septiembre, se afirma la inconstitucionalidad de la disposición adicional vigésima de la Ley 24/2001. El fundamento del escrito de demanda, de forma similar al resuelto en la citada STC 35/2012, de 15 de marzo, reposa en la alegación de que el precepto impugnado supone una extralimitación del Estado, contraria al bloque de la constitucionalidad, con respecto a orden de distribución competencial entre el Estado y las Comunidades Autónomas en materia de juego y apuestas. En general, el citado precepto se recurre por estimarse contrario a la distribución de competencias entre el Estado y la Comunidad de Andalucía en materia de juego. En particular, se considera también inconstitucional que la intervención del Estado en esta materia se lleve a cabo sobre la base de la supraterritorialidad, para aquellos juegos que se desarrollen en un ámbito superior al de una Comunidad Autónoma, pero inferior al del Estado.</w:t>
      </w:r>
    </w:p>
    <w:p w:rsidR="00D06117" w:rsidRDefault="00D06117" w:rsidP="00D06117">
      <w:pPr>
        <w:pStyle w:val="TextoNormal"/>
      </w:pPr>
    </w:p>
    <w:p w:rsidR="00D06117" w:rsidRDefault="00D06117" w:rsidP="00D06117">
      <w:pPr>
        <w:pStyle w:val="TextoNormal"/>
      </w:pPr>
      <w:r>
        <w:lastRenderedPageBreak/>
        <w:t>El precepto impugnado es del siguiente tenor:</w:t>
      </w:r>
    </w:p>
    <w:p w:rsidR="00D06117" w:rsidRDefault="00D06117" w:rsidP="00D06117">
      <w:pPr>
        <w:pStyle w:val="TextoNormal"/>
      </w:pPr>
    </w:p>
    <w:p w:rsidR="00D06117" w:rsidRDefault="00D06117" w:rsidP="00D06117">
      <w:pPr>
        <w:pStyle w:val="TextoNormal"/>
      </w:pPr>
      <w:r>
        <w:t>“Disposición adicional vigésima. Competencia para la autorización de Apuestas a nivel nacional y en el ámbito territorial superior al de una Comunidad Autónoma.</w:t>
      </w:r>
    </w:p>
    <w:p w:rsidR="00D06117" w:rsidRDefault="00D06117" w:rsidP="00D06117">
      <w:pPr>
        <w:pStyle w:val="TextoNormal"/>
      </w:pPr>
    </w:p>
    <w:p w:rsidR="00D06117" w:rsidRDefault="00D06117" w:rsidP="00D06117">
      <w:pPr>
        <w:pStyle w:val="TextoNormal"/>
      </w:pPr>
      <w:r>
        <w:t>Corresponde al Estado, a través del Ministerio de Hacienda y, concretamente de la Entidad Pública Empresarial Loterías y Apuestas del Estado, ejercer la competencia, de conformidad con la normativa vigente, para la autorización del desarrollo de topo tipo de apuestas, cualquiera que sea el soporte de las mismas, boletos, medios informáticos o telemáticos, siempre que su ámbito de desarrollo, aplicación, celebración o comercialización abarque el territorio nacional o exceda de los límites de una concreta Comunidad Autónoma. Se autoriza al Ministerio de Hacienda para dictar cuantas disposiciones de desarrollo fueran necesarias para el mejor cumplimiento de lo previsto en la presente disposición.”</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previo a cualquier otra consideración, es preciso poner de manifiesto, según quedó expuesto en el fundamento jurídico 2 de la misma Sentencia, que el presente recurso no ha perdido objeto, por tratarse de una controversia en cuyo fondo late una cuestión competencial.</w:t>
      </w:r>
    </w:p>
    <w:p w:rsidR="00D06117" w:rsidRDefault="00D06117" w:rsidP="00D06117">
      <w:pPr>
        <w:pStyle w:val="TextoNormal"/>
      </w:pPr>
    </w:p>
    <w:p w:rsidR="00D06117" w:rsidRDefault="00D06117" w:rsidP="00D06117">
      <w:pPr>
        <w:pStyle w:val="TextoNormal"/>
      </w:pPr>
      <w:r>
        <w:t>Asimismo, debemos precisar cuál debe ser el parámetro de control del presente recurso, pues resulta de aplicación nuestra doctrina sobre el ius superveniens, según la cual el control de las normas que incurren en un posible exceso competencial debe hacerse de acuerdo con las normas del bloque de la constitucionalidad vigentes en el momento de dictar Sentencia (STC 1/2011, de 14 de febrero, FJ 2, y doctrina allí citada). Ello determina que nuestro pronunciamiento deba dictarse a la luz de la delimitación de competencias que se deriva de la reforma del Estatuto llevada a cabo por la Ley Orgánica 2/2007, de 19 de marzo, de reforma del Estatuto de Autonomía para Andalucía.</w:t>
      </w:r>
    </w:p>
    <w:p w:rsidR="00D06117" w:rsidRDefault="00D06117" w:rsidP="00D06117">
      <w:pPr>
        <w:pStyle w:val="TextoNormal"/>
      </w:pPr>
    </w:p>
    <w:p w:rsidR="00D06117" w:rsidRDefault="00D06117" w:rsidP="00D06117">
      <w:pPr>
        <w:pStyle w:val="TextoNormal"/>
      </w:pPr>
      <w:r w:rsidRPr="00D06117">
        <w:rPr>
          <w:rStyle w:val="NumeroAFNegritaCaracter"/>
        </w:rPr>
        <w:t>3</w:t>
      </w:r>
      <w:r>
        <w:t>. Planteado el recurso de inconstitucionalidad en los términos expuestos hay que señalar que la cuestión general que se suscita, relativa al reparto competencial de la materia juego entre el Estado y las Comunidades Autónomas, una vez examinada, debe reputarse resuelta por la doctrina que este Tribunal ha establecido en la citada STC 35/2012, de 15 de marzo, en cuyo fundamento jurídico 4 precisamos la delimitación competencial en esta materia.</w:t>
      </w:r>
    </w:p>
    <w:p w:rsidR="00D06117" w:rsidRDefault="00D06117" w:rsidP="00D06117">
      <w:pPr>
        <w:pStyle w:val="TextoNormal"/>
      </w:pPr>
    </w:p>
    <w:p w:rsidR="00D06117" w:rsidRDefault="00D06117" w:rsidP="00D06117">
      <w:pPr>
        <w:pStyle w:val="TextoNormal"/>
      </w:pPr>
      <w:r>
        <w:t>a) Con carácter general, constatamos en aquella Sentencia que la distribución competencial entre Comunidades Autónomas y Estado en materia de juego había sido ya resuelta en nuestra doctrina, además de asumida en el propio Estatuto de Autonomía de Cataluña, tras su reforma en 2006. Procede ahora trasladar las conclusiones alcanzadas en relación con el Estatuto de Autonomía de Cataluña al Estatuto de Autonomía de Andalucía, cuyo art. 81.1, tras la reforma estatutaria ya referida, implícitamente acepta la competencia del Estado sobre el juego desarrollado en el ámbito estatal, al establecer que “[c]orresponde a la Comunidad Autónoma la competencia exclusiva en materia de juegos, apuestas y casinos, incluidas las modalidades por medios informáticos y telemáticos, cuando la actividad se desarrolle exclusivamente en Andalucía”. En consecuencia, trasladando aquí las conclusiones alcanzadas en la Sentencia citada, debe rechazarse de plano la interpretación que hace la demanda del reparto de competencias en materia de juego, pues es evidente que el Estado sigue ostentado la competencia material en los juegos y apuestas cuyo ámbito sea estatal. Procede, por tanto, desestimar la primera parte de este motivo de inconstitucionalidad.</w:t>
      </w:r>
    </w:p>
    <w:p w:rsidR="00D06117" w:rsidRDefault="00D06117" w:rsidP="00D06117">
      <w:pPr>
        <w:pStyle w:val="TextoNormal"/>
      </w:pPr>
    </w:p>
    <w:p w:rsidR="00D06117" w:rsidRDefault="00D06117" w:rsidP="00D06117">
      <w:pPr>
        <w:pStyle w:val="TextoNormal"/>
      </w:pPr>
      <w:r>
        <w:t>b) Por lo que respecta a la supraterritorialidad, señalamos en la STC 35/2012, de 15 de marzo, FJ 5, que “no resultan evidentes las razones que justificarían la utilización de la supraterritorialidad como criterio determinante para la atribución de competencias al Estado. Cabe ciertamente pensar en otros mecanismos de cooperación, incluso entre Comunidades Autónomas, que pudieran dar solución a los eventuales problemas de efectos extraterritoriales en la materia del juego y apuestas, cuando su ámbito supere el autonómico y sea inferior al nacional, máxime al tratarse de una materia que admite el fraccionamiento en su ejercicio, sin que por tanto sea preciso atribuir su ejercicio a un único titular. En otras palabras, y como afirmamos en la ya citada STC 194/2011, de 13 de diciembre, FJ 6, bien que en relación a la materia laboral, el recurso a la técnica del desplazamiento de competencias al Estado, en el caso de efectos extraterritoriales del ejercicio de la competencia ejecutiva autonómica, no puede ser asumido como solución sin más. Incluso es de constatar que esta interpretación, de ausencia de necesidad o de justificación de la extraterritorialidad como criterio atributivo de competencia, ha sido asumida por el legislador estatal, de manera que la referencia al carácter supra autonómico de la actividad ha desaparecido tras la derogación de la disposición adicional vigésima, mediante la disposición derogatoria, apartado 2, inciso decimocuarto de la citada Ley 13/2011”.</w:t>
      </w:r>
    </w:p>
    <w:p w:rsidR="00D06117" w:rsidRDefault="00D06117" w:rsidP="00D06117">
      <w:pPr>
        <w:pStyle w:val="TextoNormal"/>
      </w:pPr>
    </w:p>
    <w:p w:rsidR="00D06117" w:rsidRDefault="00D06117" w:rsidP="00D06117">
      <w:pPr>
        <w:pStyle w:val="TextoNormal"/>
      </w:pPr>
      <w:r>
        <w:t>A partir de tales consideraciones, concluimos la inconstitucionalidad de la citada disposición adicional vigésima, en cuanto al inciso “exceda de los límites de una concreta Comunidad Autónoma”, por suponer una vulneración del orden constitucional de competencias, al atribuírselas al Estado cuando el juego es de ámbito supra autonómico e inferior al nacional. La impugnación, por lo tanto, ha perdido su objeto con respecto de este motivo, puesto que no cabe pronunciarse acerca de la constitucionalidad de este inciso, recurrido por idénticos motivos y que ha sido ya expulsado del ordenamiento.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Declarar la pérdida de objeto del presente recurso en relación con el inciso “o exceda de los límites de una concreta Comunidad Autónoma” de la disposición adicional vigésima de la Ley 24/2001, de 27 de diciembre, de medidas fiscales, administrativas y del orden social.</w:t>
      </w:r>
    </w:p>
    <w:p w:rsidR="00D06117" w:rsidRDefault="00D06117" w:rsidP="00D06117">
      <w:pPr>
        <w:pStyle w:val="TextoNormal"/>
      </w:pPr>
    </w:p>
    <w:p w:rsidR="00D06117" w:rsidRDefault="00D06117" w:rsidP="00D06117">
      <w:pPr>
        <w:pStyle w:val="TextoNormal"/>
      </w:pPr>
      <w:r>
        <w:t>2º Desestimar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7" w:name="SENTENCIA_2012_84"/>
      <w:r>
        <w:lastRenderedPageBreak/>
        <w:t>SENTENCIA 84/2012, de 18 de abril de 2012</w:t>
      </w:r>
    </w:p>
    <w:bookmarkEnd w:id="8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ECLI:ES:TC:2012:84</w:t>
      </w:r>
    </w:p>
    <w:p w:rsidR="00D06117" w:rsidRDefault="00D06117" w:rsidP="00D06117">
      <w:pPr>
        <w:pStyle w:val="SntesisDescriptiva"/>
      </w:pPr>
    </w:p>
    <w:p w:rsidR="00D06117" w:rsidRDefault="00D06117" w:rsidP="00D06117">
      <w:pPr>
        <w:pStyle w:val="SntesisDescriptiva"/>
      </w:pPr>
      <w:r>
        <w:t>Cuestión de inconstitucionalidad 3151-2003. Planteada por la Sala de lo Social del Tribunal Superior de Justicia de Castilla-La Mancha en relación con el art. 138.6 del texto refundido de la Ley de procedimiento laboral, aprobado por Real Decreto Legislativo 2/1995, de 7 de abril.</w:t>
      </w:r>
    </w:p>
    <w:p w:rsidR="00D06117" w:rsidRDefault="00D06117" w:rsidP="00D06117">
      <w:pPr>
        <w:pStyle w:val="SntesisDescriptiva"/>
      </w:pPr>
    </w:p>
    <w:p w:rsidR="00D06117" w:rsidRDefault="00D06117" w:rsidP="00D06117">
      <w:pPr>
        <w:pStyle w:val="SntesisAnaltica"/>
      </w:pPr>
      <w:r>
        <w:t>Derecho a la tutela judicial efectiva en relación con el obligado cumplimiento de las resoluciones judiciales firmes: incorrecta formulación del juicio de relevancia al promoverse la cuestión de inconstitucionalidad respecto de un precepto de cuya validez no depende el fallo que deba dictarse en el recurso de suplicación.</w:t>
      </w:r>
    </w:p>
    <w:p w:rsidR="00D06117" w:rsidRDefault="00D06117" w:rsidP="00D06117">
      <w:pPr>
        <w:pStyle w:val="SntesisAnaltica"/>
      </w:pPr>
    </w:p>
    <w:p w:rsidR="00D06117" w:rsidRDefault="00D06117" w:rsidP="00D06117">
      <w:pPr>
        <w:pStyle w:val="Extracto"/>
      </w:pPr>
      <w:r>
        <w:t>1.</w:t>
      </w:r>
      <w:r>
        <w:tab/>
        <w:t>En ausencia de una argumentación específica en el Auto de planteamiento de la cuestión de inconstitucionalidad que permitiera entender que el recurso de suplicación, en el marco del cual ha sido planteada la cuestión, podía ser viable, pese a que los arts. 138.4 y 189.2 LPL excluyen dicho recurso en los procesos de movilidad geográfica, resulta clara la inexistencia del necesario requisito del juicio de relevancia, de lo que deriva la inadmisión de la presente cuestión [FJ 5].</w:t>
      </w:r>
    </w:p>
    <w:p w:rsidR="00D06117" w:rsidRDefault="00D06117" w:rsidP="00D06117">
      <w:pPr>
        <w:pStyle w:val="Extracto"/>
      </w:pPr>
    </w:p>
    <w:p w:rsidR="00D06117" w:rsidRDefault="00D06117" w:rsidP="00D06117">
      <w:pPr>
        <w:pStyle w:val="Extracto"/>
      </w:pPr>
      <w:r>
        <w:t>2.</w:t>
      </w:r>
      <w:r>
        <w:tab/>
        <w:t>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en que la cuestión se plantea ni de los presupuestos procesales que le sirven de base, pues, por esta vía indirecta, estaría resolviendo un problema de legalidad ordinaria, para lo que carece de jurisdicción y competencia (SSTC 196/1987, 110/1993) [FJ 3].</w:t>
      </w:r>
    </w:p>
    <w:p w:rsidR="00D06117" w:rsidRDefault="00D06117" w:rsidP="00D06117">
      <w:pPr>
        <w:pStyle w:val="Extracto"/>
      </w:pPr>
    </w:p>
    <w:p w:rsidR="00D06117" w:rsidRDefault="00D06117" w:rsidP="00D06117">
      <w:pPr>
        <w:pStyle w:val="Extracto"/>
      </w:pPr>
      <w:r>
        <w:t>3.</w:t>
      </w:r>
      <w:r>
        <w:tab/>
        <w:t xml:space="preserve">No es a través de justificaciones implícitas como este Tribunal puede controlar la razonabilidad, suficiencia y coherencia del juicio de relevancia, en orden a garantizar que la cuestión de inconstitucionalidad no se utilice para obtener pronunciamientos innecesarios para el proceso </w:t>
      </w:r>
      <w:r w:rsidRPr="00D06117">
        <w:rPr>
          <w:i/>
        </w:rPr>
        <w:t>a quo</w:t>
      </w:r>
      <w:r>
        <w:t xml:space="preserve"> y, desde la perspectiva del proceso constitucional, con un uso del mismo no acomodado a su naturaleza (SSTC17/1981, 115/2009) [FJ 3].</w:t>
      </w:r>
    </w:p>
    <w:p w:rsidR="00D06117" w:rsidRDefault="00D06117" w:rsidP="00D06117">
      <w:pPr>
        <w:pStyle w:val="Extracto"/>
      </w:pPr>
    </w:p>
    <w:p w:rsidR="00D06117" w:rsidRDefault="00D06117" w:rsidP="00D06117">
      <w:pPr>
        <w:pStyle w:val="Extracto"/>
      </w:pPr>
      <w:r>
        <w:t>4.</w:t>
      </w:r>
      <w:r>
        <w:tab/>
        <w:t>Doctrina sobre el control del juicio de relevancia (SSTC 17/1981, 81/2009) [FFJJ 2, 3, 5].</w:t>
      </w:r>
    </w:p>
    <w:p w:rsidR="00D06117" w:rsidRDefault="00D06117" w:rsidP="00D06117">
      <w:pPr>
        <w:pStyle w:val="Extracto"/>
      </w:pPr>
    </w:p>
    <w:p w:rsidR="00D06117" w:rsidRDefault="00D06117" w:rsidP="00D06117">
      <w:pPr>
        <w:pStyle w:val="Extracto"/>
      </w:pPr>
      <w:r>
        <w:t>5.</w:t>
      </w:r>
      <w:r>
        <w:tab/>
        <w:t>Doctrina sobre inadmisión por sentencia de la cuestión de inconstitucionalidad por falta de requisitos procesales (SSTC 133/2004, 224/2006)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3151-2003, planteada por la Sala de lo Social del Tribunal Superior de Justicia de Castilla-La Mancha sobre el apartado 6 del art. 138 de la Ley de procedimiento laboral, texto refundido aprobado por Real Decreto Legislativo 2/1995, de 7 de abril, por posible vulneración de los arts. 24.1 y 118 de la Constitución. Han intervenido el Abogado del Estado, en la representación que ostenta, y el Fiscal General del Estado. Ha sido Ponente el Magistrado don Javier Delgado Barrio,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14 de mayo de 2003 tuvo entrada en el Registro General de este Tribunal Constitucional un escrito del Presidente de la Sala de lo Social del Tribunal Superior de Justicia de Castilla-La Mancha al que se acompañaba, junto al testimonio de las actuaciones correspondientes al recurso de suplicación 1222-2001, sobre impugnación de movilidad geográfica, el Auto de 25 de marzo de 2003 por el que se acuerda plantear cuestión de inconstitucionalidad en relación con el apartado 6 del art. 138 de la Ley de procedimiento laboral, texto refundido aprobado por Real Decreto Legislativo 2/1995, de 7 de abril (en adelante, LPL), por posible vulneración de los arts. 24.1 y 118 de la Constitución.</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hecho del planteamiento de la presente cuestión de inconstitucionalidad son, en síntesis, los siguientes:</w:t>
      </w:r>
    </w:p>
    <w:p w:rsidR="00D06117" w:rsidRDefault="00D06117" w:rsidP="00D06117">
      <w:pPr>
        <w:pStyle w:val="TextoNormal"/>
      </w:pPr>
    </w:p>
    <w:p w:rsidR="00D06117" w:rsidRDefault="00D06117" w:rsidP="00D06117">
      <w:pPr>
        <w:pStyle w:val="TextoNormal"/>
      </w:pPr>
      <w:r>
        <w:t>a) Don José Madrid Gallego, trabajador de la empresa Banco Español de Crédito, S.A., presentó demanda de impugnación de movilidad geográfica (traslado), en la que, tras exponer los hechos y fundamentos de derecho que estimó de rigor, solicitaba del Juzgado que declarara que la decisión de movilidad geográfica, desde la localidad de La Solana hasta la de Argamasilla de Alba, de que había sido objeto era nula o, en todo caso, injustificada, anulándola y ordenando a la empresa que le repusiera en su anterior puesto de trabajo.</w:t>
      </w:r>
    </w:p>
    <w:p w:rsidR="00D06117" w:rsidRDefault="00D06117" w:rsidP="00D06117">
      <w:pPr>
        <w:pStyle w:val="TextoNormal"/>
      </w:pPr>
    </w:p>
    <w:p w:rsidR="00D06117" w:rsidRDefault="00D06117" w:rsidP="00D06117">
      <w:pPr>
        <w:pStyle w:val="TextoNormal"/>
      </w:pPr>
      <w:r>
        <w:t>b) Por Sentencia de 3 de febrero de 2001 el Juzgado de lo Social núm. 3 de Ciudad Real estimó la demanda, declarando injustificado el traslado del actor a la sucursal de Argamasilla de Alba y ordenando que se repusiera al mismo en su anterior puesto de trabajo en la sucursal de La Solana.</w:t>
      </w:r>
    </w:p>
    <w:p w:rsidR="00D06117" w:rsidRDefault="00D06117" w:rsidP="00D06117">
      <w:pPr>
        <w:pStyle w:val="TextoNormal"/>
      </w:pPr>
    </w:p>
    <w:p w:rsidR="00D06117" w:rsidRDefault="00D06117" w:rsidP="00D06117">
      <w:pPr>
        <w:pStyle w:val="TextoNormal"/>
      </w:pPr>
      <w:r>
        <w:t>c) Mediante escrito presentado en el Juzgado el día 2 de marzo de 2001 el demandante interesó la ejecución del fallo de la Sentencia a fin de que se requiriera a la demandada para que le repusiera en su puesto de trabajo, al haberse negado a ello, según aducía. Tras la oportuna tramitación del incidente de ejecución, el Juzgado dictó Auto de 29 de marzo de 2001 en cuya parte dispositiva dispuso, textualmente, lo siguiente: “Que no siendo posible reponer al actor en el puesto de trabajo de la sucursal de La Solana deberá el mismo en el plazo de CINCO DIAS desde la notificación de esta resolución optar entre continuar prestando servicios en el puesto de trabajo que actualmente ocupa en la sucursal de Argamasilla de Alba o extinguir la relación laboral conforme a lo preceptuado en el art. 50.1.c del Estatuto de los Trabajadores”. En el Auto se indicaba expresamente que contra el mismo podrían las partes interponer recurso de suplicación ante el Tribunal Superior de Justicia.</w:t>
      </w:r>
    </w:p>
    <w:p w:rsidR="00D06117" w:rsidRDefault="00D06117" w:rsidP="00D06117">
      <w:pPr>
        <w:pStyle w:val="TextoNormal"/>
      </w:pPr>
    </w:p>
    <w:p w:rsidR="00D06117" w:rsidRDefault="00D06117" w:rsidP="00D06117">
      <w:pPr>
        <w:pStyle w:val="TextoNormal"/>
      </w:pPr>
      <w:r>
        <w:t>d) Mediante escrito registrado el día 24 de abril de 2001 el demandante anunció su intención de interponer recurso de suplicación frente a la anterior resolución. El recurso fue tenido por anunciado por providencia del Juzgado de 25 de abril de 2001. Contra dicha providencia interpuso recurso de reposición la empresa demandada, aduciendo que el Auto recurrido no era susceptible de recurso de suplicación, al no encontrarse en ninguno de los supuestos de acceso al recurso previstos en el art. 189.2 LPL, al no tratarse de un Auto que resolviera un recurso de reposición, ni ser tampoco recurrible la Sentencia en cuya ejecución fue dictado, ni tratarse de un Auto que resolviera algún punto sustancial no controvertido en el pleito. El recurso fue desestimado por Auto del Juzgado de 5 de junio de 2001, en el que se confirma la providencia recurrida al entender que el Auto dictado en ejecución debe ser recurrible en suplicación para garantizar el derecho a la tutela judicial efectiva del trabajador, toda vez que la ejecución del fallo a tenor de lo previsto en los apartados 6 y 7 del art. 138 LPL había motivado una resolución distinta de la contenida en el fallo de la Sentencia, por los motivos que en la propia resolución se indicaban.</w:t>
      </w:r>
    </w:p>
    <w:p w:rsidR="00D06117" w:rsidRDefault="00D06117" w:rsidP="00D06117">
      <w:pPr>
        <w:pStyle w:val="TextoNormal"/>
      </w:pPr>
    </w:p>
    <w:p w:rsidR="00D06117" w:rsidRDefault="00D06117" w:rsidP="00D06117">
      <w:pPr>
        <w:pStyle w:val="TextoNormal"/>
      </w:pPr>
      <w:r>
        <w:t>e) En fecha 16 de mayo de 2001 el demandante presentó en el Juzgado de lo Social, ante la Sala de lo Social del Tribunal Superior de Justicia de Castilla-La Mancha, recurso de suplicación contra el Auto de 29 de marzo de 2001, aduciendo la vulneración por el mismo del art. 24 CE, en relación con el art. 138.2 y 6, LPL, por errónea aplicación de dicha norma, todo ello en relación con los arts. 9.3, 117.3 y 118 CE. El recurso fue impugnado por la empresa demandada mediante escrito presentado el día 25 de junio de 2001, en el que, de una parte, se insistía en su criterio sobre la inadmisibilidad del recurso, por no ser recurrible en suplicación la resolución recurrida de conformidad con el art. 189 LPL, y, de otra, para el caso de que se admitiese la posibilidad de recurso, se oponía a la pretensión del recurrente, al considerar correcto el Auto recurrido a tenor de lo dispuesto en el art. 138.6 LPL.</w:t>
      </w:r>
    </w:p>
    <w:p w:rsidR="00D06117" w:rsidRDefault="00D06117" w:rsidP="00D06117">
      <w:pPr>
        <w:pStyle w:val="TextoNormal"/>
      </w:pPr>
    </w:p>
    <w:p w:rsidR="00D06117" w:rsidRDefault="00D06117" w:rsidP="00D06117">
      <w:pPr>
        <w:pStyle w:val="TextoNormal"/>
      </w:pPr>
      <w:r>
        <w:t>f) Por providencia de 12 de diciembre de 2002, la Sala de lo Social del Tribunal Superior de Justicia de Castilla-La Mancha acordó, de conformidad con lo dispuesto en el art. 35.2 de la Ley Orgánica del Tribunal Constitucional (LOTC), oír a las partes y al Ministerio Fiscal por plazo común de diez días para que alegaran lo que estimaran pertinente sobre la eventual pertinencia de plantear cuestión de inconstitucionalidad del art. 138.6 LPL, por colisión con el art. 24.1 y con el art. 118 del texto constitucional.</w:t>
      </w:r>
    </w:p>
    <w:p w:rsidR="00D06117" w:rsidRDefault="00D06117" w:rsidP="00D06117">
      <w:pPr>
        <w:pStyle w:val="TextoNormal"/>
      </w:pPr>
    </w:p>
    <w:p w:rsidR="00D06117" w:rsidRDefault="00D06117" w:rsidP="00D06117">
      <w:pPr>
        <w:pStyle w:val="TextoNormal"/>
      </w:pPr>
      <w:r>
        <w:t xml:space="preserve">g) Evacuando el trámite conferido, el demandante don José Madrid Gallego presentó escrito considerando pertinente el planteamiento de la cuestión de inconstitucionalidad por </w:t>
      </w:r>
      <w:r>
        <w:lastRenderedPageBreak/>
        <w:t>considerar que el art. 138.6 LPL impide el cumplimiento por el condenado de lo decidido en el fallo de la sentencia, permitiendo que, salvo que el trabajador asuma la extinción de su contrato de trabajo, la sentencia quede sin cumplir, vulnerándose con ello el derecho a la ejecución de las sentencias en sus propios términos que forma parte del contenido esencial del derecho a la tutela judicial efectiva del art. 24.1 CE y la obligación de cumplir las sentencias y demás resoluciones firmes de los Jueces y Tribunales que proclama el art. 118 CE.</w:t>
      </w:r>
    </w:p>
    <w:p w:rsidR="00D06117" w:rsidRDefault="00D06117" w:rsidP="00D06117">
      <w:pPr>
        <w:pStyle w:val="TextoNormal"/>
      </w:pPr>
    </w:p>
    <w:p w:rsidR="00D06117" w:rsidRDefault="00D06117" w:rsidP="00D06117">
      <w:pPr>
        <w:pStyle w:val="TextoNormal"/>
      </w:pPr>
      <w:r>
        <w:t>h) El Ministerio Fiscal, por su parte, consideró en el escrito presentado al efecto no procedente el planteamiento de la cuestión de inconstitucionalidad, al entender que existía un posible ajuste de la norma a la Constitución por vía interpretativa, tal y como había patrocinado la Sala, aun de forma incidental, en un Auto de fecha 19 de noviembre de 2002, en la resolución de un recurso de queja, en virtud de la cual se entendería que la conjunción copulativa “y” utilizada por el precepto considerado podría interpretarse no en clave de exigencia simultánea sino en términos complementarios (ejecución del fallo in natura y, en su caso, extinción del contrato).</w:t>
      </w:r>
    </w:p>
    <w:p w:rsidR="00D06117" w:rsidRDefault="00D06117" w:rsidP="00D06117">
      <w:pPr>
        <w:pStyle w:val="TextoNormal"/>
      </w:pPr>
    </w:p>
    <w:p w:rsidR="00D06117" w:rsidRDefault="00D06117" w:rsidP="00D06117">
      <w:pPr>
        <w:pStyle w:val="TextoNormal"/>
      </w:pPr>
      <w:r>
        <w:t>i) La empresa demandada presentó igualmente su escrito de alegaciones en el que, además de reiterar su criterio de que el recurso de suplicación debía ser inadmitido, manifestaba no considerar procedente el planteamiento de la cuestión, al tratarse de un precepto consolidado procedente de la reforma laboral de 1994, resultar coherente con otros preceptos del Estatuto de los trabajadores, en particular los que permiten la extinción indemnizada del contrato en los casos de despido improcedente, y dar, por ello, cumplimiento al mandato del art. 118 CE, así como a las reglas sobre ejecución de sentencias de la Ley Orgánica del Poder Judicial y de la supletoria de la Ley de enjuiciamiento civil (LEC).</w:t>
      </w:r>
    </w:p>
    <w:p w:rsidR="00D06117" w:rsidRDefault="00D06117" w:rsidP="00D06117">
      <w:pPr>
        <w:pStyle w:val="TextoNormal"/>
      </w:pPr>
    </w:p>
    <w:p w:rsidR="00D06117" w:rsidRDefault="00D06117" w:rsidP="00D06117">
      <w:pPr>
        <w:pStyle w:val="TextoNormal"/>
      </w:pPr>
      <w:r>
        <w:t>j) Finalmente, la Sala de lo Social del Tribunal Superior de Justicia de Castilla-La Mancha dictó Auto el 25 de marzo de 2003, cuya parte dispositiva acuerda textualmente lo que sigue: “Que con suspensión del plazo para dictar Sentencia, se acuerda plantear la Cuestión de Inconstitucionalidad del párrafo 6 del artículo 138 de la Ley de Procedimiento Laboral, texto articulado de 7-4-95, en la medida que se entienda que cuando en el mismo se alude a que, cuando el empresario no procediere a reintegrar al trabajador en sus anteriores condiciones de trabajo o lo hiciese de modo irregular, la ejecución que el trabajador puede instar de la sentencia supone la extinción del contrato de trabajo por causa de lo previsto en el artículo 50.1.c) del texto refundido de la Ley del Estatuto de los Trabajadores, sin otra opción posible de ejecución de la misma, por su posible colisión con los artículos 24.1 y 118 de la Constitución”.</w:t>
      </w:r>
    </w:p>
    <w:p w:rsidR="00D06117" w:rsidRDefault="00D06117" w:rsidP="00D06117">
      <w:pPr>
        <w:pStyle w:val="TextoNormal"/>
      </w:pPr>
    </w:p>
    <w:p w:rsidR="00D06117" w:rsidRDefault="00D06117" w:rsidP="00D06117">
      <w:pPr>
        <w:pStyle w:val="TextoNormal"/>
      </w:pPr>
      <w:r w:rsidRPr="00D06117">
        <w:rPr>
          <w:rStyle w:val="NumeroAFNegritaCaracter"/>
        </w:rPr>
        <w:t>3</w:t>
      </w:r>
      <w:r>
        <w:t>. El Auto de 25 de marzo de 2003 de la Sala de lo Social del Tribunal Superior de Justicia de Castilla-La Mancha fundamenta el planteamiento de la cuestión de inconstitucionalidad en las consideraciones que seguidamente se resumen.</w:t>
      </w:r>
    </w:p>
    <w:p w:rsidR="00D06117" w:rsidRDefault="00D06117" w:rsidP="00D06117">
      <w:pPr>
        <w:pStyle w:val="TextoNormal"/>
      </w:pPr>
    </w:p>
    <w:p w:rsidR="00D06117" w:rsidRDefault="00D06117" w:rsidP="00D06117">
      <w:pPr>
        <w:pStyle w:val="TextoNormal"/>
      </w:pPr>
      <w:r>
        <w:t>Comienza la Sala por señalar que, a efectos de una adecuada comprensión de la duda de constitucionalidad que se plantea, es de resaltar lo siguiente:</w:t>
      </w:r>
    </w:p>
    <w:p w:rsidR="00D06117" w:rsidRDefault="00D06117" w:rsidP="00D06117">
      <w:pPr>
        <w:pStyle w:val="TextoNormal"/>
      </w:pPr>
    </w:p>
    <w:p w:rsidR="00D06117" w:rsidRDefault="00D06117" w:rsidP="00D06117">
      <w:pPr>
        <w:pStyle w:val="TextoNormal"/>
      </w:pPr>
      <w:r>
        <w:t xml:space="preserve">a) El precepto sustantivo al que la modalidad procesal considerada viene a dar cobertura adjetiva es el art. 40.1, quinto párrafo, del Estatuto de los trabajadores, que establece que, sin perjuicio de la ejecutividad del traslado en el plazo de incorporación citado (treinta días, según el párrafo tercero del mismo precepto), el trabajador que, no habiendo optado por la </w:t>
      </w:r>
      <w:r>
        <w:lastRenderedPageBreak/>
        <w:t>extinción de su contrato, se muestre disconforme con la decisión empresarial, podrá impugnarla ante la jurisdicción competente. La Sentencia declarará el traslado justificado o injustificado y, en este último caso, reconocerá el derecho del trabajador a ser reincorporado al centro de trabajo de origen.</w:t>
      </w:r>
    </w:p>
    <w:p w:rsidR="00D06117" w:rsidRDefault="00D06117" w:rsidP="00D06117">
      <w:pPr>
        <w:pStyle w:val="TextoNormal"/>
      </w:pPr>
    </w:p>
    <w:p w:rsidR="00D06117" w:rsidRDefault="00D06117" w:rsidP="00D06117">
      <w:pPr>
        <w:pStyle w:val="TextoNormal"/>
      </w:pPr>
      <w:r>
        <w:t>b) Mediante la Ley de 30 de diciembre de 1994, de medidas fiscales, administrativas y del orden social, se añadió al art. 138 LPL un apartado 7, en el que se establece que si la Sentencia declara la nulidad de la medida empresarial, su ejecución se efectuará en sus propios términos, salvo que el trabajador inste la ejecución prevista en el apartado anterior.</w:t>
      </w:r>
    </w:p>
    <w:p w:rsidR="00D06117" w:rsidRDefault="00D06117" w:rsidP="00D06117">
      <w:pPr>
        <w:pStyle w:val="TextoNormal"/>
      </w:pPr>
    </w:p>
    <w:p w:rsidR="00D06117" w:rsidRDefault="00D06117" w:rsidP="00D06117">
      <w:pPr>
        <w:pStyle w:val="TextoNormal"/>
      </w:pPr>
      <w:r>
        <w:t>La duda de constitucionalidad que alberga la Sala a la vista del anterior esquema legal está relacionada con la efectividad de la tutela judicial a la que se refiere el art. 24.1 CE, así como también con respecto al art. 118 del mismo texto fundamental. Y la duda se plantea desde una variada perspectiva, que va, además, acompañada de otras consideraciones que, sin duda, a juicio de la Sala, tienen también alcance constitucional.</w:t>
      </w:r>
    </w:p>
    <w:p w:rsidR="00D06117" w:rsidRDefault="00D06117" w:rsidP="00D06117">
      <w:pPr>
        <w:pStyle w:val="TextoNormal"/>
      </w:pPr>
    </w:p>
    <w:p w:rsidR="00D06117" w:rsidRDefault="00D06117" w:rsidP="00D06117">
      <w:pPr>
        <w:pStyle w:val="TextoNormal"/>
      </w:pPr>
      <w:r>
        <w:t>Conforme a la dicción literal del art. 138.6 LPL, el mismo señala que, dictada Sentencia favorable a la demanda presentada por el trabajador, y declarado que el traslado efectuado por la empresa no es ajustado a derecho, calificado como injustificado, con condena a reincorporar al trabajador al centro de trabajo de origen [art. 41.5 de la Ley del estatuto de los trabajadores (LET)], si la empresa incumple esa declaración de condena y se niega a realizar esa reincorporación, en ejecución de esa Sentencia, el trabajador sólo tiene la opción de extinguir su contrato de trabajo. Parece que la norma que se debate pretende, al señalar que el trabajador podrá solicitar la ejecución del fallo ante el Juzgado de lo Social “y la extinción del contrato”, da a entender, y así se viene considerando en la doctrina y en la escasa doctrina jurisprudencial existente, que la petición de ejecución de la Sentencia comporta, sin más, la extinción del contrato de trabajo, dado el tenor de la conjunción “y”, que no parece dejar opción a poder elegir entre la ejecución o la extinción del contrato. Imposibilidad legal avalada en la intención del legislador por la introducción del nuevo apartado 7, donde sí se da la posibilidad de la ejecución “en sus propios términos”. Es, precisamente, en esa imposibilidad de ejecución de la Sentencia en sus propios términos, en coherencia con el fallo de la misma, y en la reconversión final de la acción ejercitada en una extinción del contrato, donde la Sala proponente tiene la duda de constitucionalidad.</w:t>
      </w:r>
    </w:p>
    <w:p w:rsidR="00D06117" w:rsidRDefault="00D06117" w:rsidP="00D06117">
      <w:pPr>
        <w:pStyle w:val="TextoNormal"/>
      </w:pPr>
    </w:p>
    <w:p w:rsidR="00D06117" w:rsidRDefault="00D06117" w:rsidP="00D06117">
      <w:pPr>
        <w:pStyle w:val="TextoNormal"/>
      </w:pPr>
      <w:r>
        <w:t xml:space="preserve">Y ello, en primer lugar, debido a que, sin duda, esa dicción del precepto comporta el no ejecutar lo juzgado en sus propios términos. Añadido a ello, es claro, a juicio de la Sala, que se potencia con esa regulación, injustificadamente, en el haz de relaciones jurídico-laborales que el contrato de trabajo comporta, en cuanto de tracto sucesivo, a quien ostenta la condición de supremacía en la misma, incrementando así la originaria situación de desigualdad de ese tipo de contrato, en contra del carácter social de nuestro sistema de convivencia (art. 1.1 CE) y de la remoción de las desigualdades (art. 9.2 CE), toda vez que, en la práctica, supone incrementar desmedidamente el poder empresarial para decidir sobre los traslados de los trabajadores, medida, sin duda, trascendente, en cuanto que, a su vez, influye en otro conjunto de derechos del afectado, privados incluidos, sin que su capacidad real de reacción vaya mas allá de tener que abandonar la empresa, con derecho a una indemnización tasada, sea cual sea el perjuicio que ello haya podido causarle, aunque la medida empresarial carezca de cobijo legal suficiente. Con lo que aumenta de modo desmedido la maniobrabilidad jurídica de la parte más fuerte del contrato y disminuye la oferta de tutela judicial que puede </w:t>
      </w:r>
      <w:r>
        <w:lastRenderedPageBreak/>
        <w:t>ofrecer el sistema al trabajador afectado por una decisión objetivamente injusta, en cuanto que la reparación que para ello se ofrece no comporta la de privar de efectos a la medida, pese a ser fáctica y jurídicamente viable.</w:t>
      </w:r>
    </w:p>
    <w:p w:rsidR="00D06117" w:rsidRDefault="00D06117" w:rsidP="00D06117">
      <w:pPr>
        <w:pStyle w:val="TextoNormal"/>
      </w:pPr>
    </w:p>
    <w:p w:rsidR="00D06117" w:rsidRDefault="00D06117" w:rsidP="00D06117">
      <w:pPr>
        <w:pStyle w:val="TextoNormal"/>
      </w:pPr>
      <w:r>
        <w:t>Parece así, a juicio de la Sala, constitucionalmente desacertado un precepto procesal que impide la ejecución en sus propios términos de una Sentencia que contempla una obligación al condenado que, además, propiamente no es de hacer, como demuestra el siguiente apartado del precepto, o que, cuando menos, podría ser entendida como una condena de hacer “no personalísimo” (art. 706 LEC), y que deja, por lo tanto, huérfana de todo contenido la declaración del fallo emitido, sin justificación alguna de razonabilidad de esa transformación de la acción ejercitada en otra distinta extintiva, la más grave y perjudicial para el trabajador. Y, por lo tanto, el precepto cuestionado aparece, al entender de la Sala, enfrentado con el art. 24.1 CE. Lo que, además, se agrava si se tiene en cuenta que ni tan siquiera se establece un diferente trato procesal para el trabajador despedido beneficiado con garantías representativas o sindicales que podría así, por esa vía indirecta, ser objeto de una situación límite que le condujera a que, caso de pretender la ejecución de una Sentencia favorable, ello realmente acabara en una extinción de su contrato.</w:t>
      </w:r>
    </w:p>
    <w:p w:rsidR="00D06117" w:rsidRDefault="00D06117" w:rsidP="00D06117">
      <w:pPr>
        <w:pStyle w:val="TextoNormal"/>
      </w:pPr>
    </w:p>
    <w:p w:rsidR="00D06117" w:rsidRDefault="00D06117" w:rsidP="00D06117">
      <w:pPr>
        <w:pStyle w:val="TextoNormal"/>
      </w:pPr>
      <w:r>
        <w:t>Añade la Sala que ha intentado interpretar el precepto debatido de tal modo que resulte coherente con el entramado constitucional y con lo postulado en demanda y recurso, entendiendo que, realmente, cuando el precepto dice “y”, quiere decir “o”. De tal modo que permita así una opción al trabajador, entre solicitar la ejecución de la Sentencia que le ha sido favorable en sus propios términos, pudiendo el órgano judicial adoptar las medidas de coerción precisas a ello encaminadas, para lo que, entre otras varias posibles, serviría por analogía lo que establece el art. 282 LPL, o bien, poder solicitar de modo directo, sin necesidad de acudir a un nuevo pleito, la extinción del contrato por causa de lo previsto en el art. 50.1 c) LET. Lo que, como mero obiter dictum, se ha indicado en un Auto de fecha 19 de noviembre de 2002, dictado resolviendo una queja, tal y como señala el Ministerio Fiscal, en cuyo trámite el precepto no adquiría la relevancia que ahora tiene. Pero la realidad, señala la Sala, es que ese intento interpretativo del precepto en concordancia con las exigencias constitucionales excede del ámbito que competencialmente es propio de este órgano judicial, en cuanto que implica realizar una censura de constitucionalidad de un precepto legal haciéndole decir lo que literalmente no dice.</w:t>
      </w:r>
    </w:p>
    <w:p w:rsidR="00D06117" w:rsidRDefault="00D06117" w:rsidP="00D06117">
      <w:pPr>
        <w:pStyle w:val="TextoNormal"/>
      </w:pPr>
    </w:p>
    <w:p w:rsidR="00D06117" w:rsidRDefault="00D06117" w:rsidP="00D06117">
      <w:pPr>
        <w:pStyle w:val="TextoNormal"/>
      </w:pPr>
      <w:r>
        <w:t>Concluye, por ello, la Sala reafirmando su duda de que el reiterado precepto pueda encajar en una interpretación razonable de la tutela judicial efectiva contemplada para todos, incluidos, sin duda alguna, los trabajadores, por lo que, vista la duda de constitucionalidad que le ofrece el art. 138.6 LPL, precepto de cuya aplicación depende el recurso de suplicación que debe de resolver, lo que comporta que concurra la relevancia necesaria, acuerda plantear la duda de constitucionalidad del mencionado artículo, en la medida en que, al señalar que se podrá instar la ejecución del fallo ante el Juzgado de lo Social “y” la extinción del contrato, se impida con ello optar por la ejecución en sus propios términos del fallo de la Sentencia objeto de la ejecución, que haya reconocido su derecho a ser repuesto en su antiguo puesto de trabajo, y se haga obligatoria la extinción del contrato, sin otra opción posible, lo que podría colisionar con los arts. 24.1 y 118 de la Constitución.</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Por providencia de 21 de octubre de 2003 la Sección Primera de este Tribunal acordó admitir a trámite la cuestión, así como dar traslado de las actuaciones recibidas, conforme </w:t>
      </w:r>
      <w:r>
        <w:lastRenderedPageBreak/>
        <w:t>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y publicar la incoación de la cuestión en el “Boletín Oficial del Estado” (lo que se cumplimentó en el “BOE” núm. 262 de 1 de noviembre de 2003).</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el 5 de noviembre de 2003,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y por escrito registrado el 13 de noviembre de 2003, se recibió comunicación del Presidente del Senado en el sentido de que se tuviera a dicha Cámara por personada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formuló sus alegaciones mediante escrito registrado el 11 de noviembre de 2003, en el que suplicaba la desestimación de la cuestión planteada.</w:t>
      </w:r>
    </w:p>
    <w:p w:rsidR="00D06117" w:rsidRDefault="00D06117" w:rsidP="00D06117">
      <w:pPr>
        <w:pStyle w:val="TextoNormal"/>
      </w:pPr>
    </w:p>
    <w:p w:rsidR="00D06117" w:rsidRDefault="00D06117" w:rsidP="00D06117">
      <w:pPr>
        <w:pStyle w:val="TextoNormal"/>
      </w:pPr>
      <w:r>
        <w:t>Tras recordar los antecedentes del caso y manifestar su conformidad con la interpretación que del precepto cuestionado hace la Sala proponente, rechaza el Abogado del Estado la pretendida contraposición recogida en el Auto de la Sala entre el precepto sustantivo (art. 40 LET), que ordenaría la reposición del trabajador en su anterior puesto de trabajo, y el precepto procesal, que establecería para el mismo caso una fórmula de ejecución por equivalente, sugiriendo una especie de jerarquización entre ambos preceptos, que daría preeminencia al sustantivo frente al procesal, presentado éste como una desviación y conculcación del derecho sustantivo. Tal contraposición no es acertada, al margen, naturalmente, del juicio técnico que merezca la mejor o peor coordinación entre preceptos. La distinción entre lo procesal y lo sustantivo es eminentemente relativa y, especialmente, en el ámbito de las relaciones laborales, donde las modificaciones de unas mismas materias se han llevado a cabo de una manera indistinta en textos legales de una u otra clase. Y si no hay especiales razones para distinguir estas materias por sus contenidos necesarios, menos razón hay para jerarquizarlas en planos de subordinación. La ley, como fuente del ordenamiento, no conoce rangos distintos por la índole sustantiva o adjetiva que pueda resultar predominante en sus preceptos. Reconoce, en cambio, el efecto derogatorio derivado de la lex posterior, de forma que, si en virtud de la Ley de 19 de mayo de 1994 se introdujo en el art. 138 LPL una modificación dando un distinto tratamiento a los traslados injustificados, se comprende que la modificación pudo muy bien haberse llevado al propio Estatuto de los trabajadores —que quedaba obviamente afectado por la reforma legal—, siendo razones de oportunidad o circunstanciales las que determinaron que aquella modificación se introdujera en un precepto procesal.</w:t>
      </w:r>
    </w:p>
    <w:p w:rsidR="00D06117" w:rsidRDefault="00D06117" w:rsidP="00D06117">
      <w:pPr>
        <w:pStyle w:val="TextoNormal"/>
      </w:pPr>
    </w:p>
    <w:p w:rsidR="00D06117" w:rsidRDefault="00D06117" w:rsidP="00D06117">
      <w:pPr>
        <w:pStyle w:val="TextoNormal"/>
      </w:pPr>
      <w:r>
        <w:t xml:space="preserve">En definitiva, no cabe entender lesionada la tutela del derecho sustantivo por una supuesta discordancia entre éste y su regulación procesal, porque la verdadera dimensión del derecho viene dada por la norma posterior, representada precisamente por la norma procesal cuestionada. Si la consecuencia de la injustificación en el traslado era en el Estatuto de los trabajadores el reconocimiento del derecho a la reincorporación al lugar de trabajo de origen, en la Ley de procedimiento laboral el ejercicio de este derecho se ve condicionado por una facultad reconocida al empleador, que puede evitar la reincorporación del trabajador </w:t>
      </w:r>
      <w:r>
        <w:lastRenderedPageBreak/>
        <w:t>indemnizando a éste en los términos previstos para el despido injustificado, siendo realmente el caso muy semejante al del despido improcedente.</w:t>
      </w:r>
    </w:p>
    <w:p w:rsidR="00D06117" w:rsidRDefault="00D06117" w:rsidP="00D06117">
      <w:pPr>
        <w:pStyle w:val="TextoNormal"/>
      </w:pPr>
    </w:p>
    <w:p w:rsidR="00D06117" w:rsidRDefault="00D06117" w:rsidP="00D06117">
      <w:pPr>
        <w:pStyle w:val="TextoNormal"/>
      </w:pPr>
      <w:r>
        <w:t>En todos estos casos el legislador ha valorado, sin duda, el hecho de que, sin merma de los mecanismos protectores del trabajador, la negativa del empresario a reincorporarlo revela una situación insostenible, donde desaparece la propia causa determinante del contrato y donde no es reconocible un interés de nadie a mantener a ultranza la vigencia de la relación laboral, como ilustra el caso concreto que motivó el planteamiento de la presente cuestión. Ello explica la compatibilidad entre la injustificación del traslado que pueda declararse en sentencia y el hecho de quedar “justificada” la conducta del empresario evitando el reintegro del trabajador, aunque sometiéndose a las indemnizaciones por despido improcedente. En el fondo, es una manera de armonizar dos cosas: el hecho de reconocer que no hay posibilidad de ocupación efectiva del trabajador en el lugar de origen y el hecho de juzgar injustificado su traslado a otro lugar.</w:t>
      </w:r>
    </w:p>
    <w:p w:rsidR="00D06117" w:rsidRDefault="00D06117" w:rsidP="00D06117">
      <w:pPr>
        <w:pStyle w:val="TextoNormal"/>
      </w:pPr>
    </w:p>
    <w:p w:rsidR="00D06117" w:rsidRDefault="00D06117" w:rsidP="00D06117">
      <w:pPr>
        <w:pStyle w:val="TextoNormal"/>
      </w:pPr>
      <w:r>
        <w:t>No hay por tanto, a juicio del Abogado del Estado, lesión alguna del derecho a la tutela judicial efectiva del art. 24.1 CE. El legislador ha dado forma procesal a una cuestión que la Sala proponente considera como propia del derecho sustantivo, pero que, en realidad, no deja de ser una delimitación o definición sustantiva del propio derecho regulado. El traslado de localidad en el desempeño del trabajo no comporta un derecho absoluto del trabajador a excluirlo, sino que genera, en caso de disconformidad, un derecho a la indemnización, en cuantía variable según que haya sido considerado justificado o injustificado.</w:t>
      </w:r>
    </w:p>
    <w:p w:rsidR="00D06117" w:rsidRDefault="00D06117" w:rsidP="00D06117">
      <w:pPr>
        <w:pStyle w:val="TextoNormal"/>
      </w:pPr>
    </w:p>
    <w:p w:rsidR="00D06117" w:rsidRDefault="00D06117" w:rsidP="00D06117">
      <w:pPr>
        <w:pStyle w:val="TextoNormal"/>
      </w:pPr>
      <w:r>
        <w:t>La jurisprudencia del Tribunal Constitucional ha señalado con reiteración la perfecta posibilidad de que en la ejecución de una sentencia se sustituya la condena por su equivalente pecuniario u otro tipo de prestación por razones atendibles. Pero en el caso de la cuestión planteada no es necesario llegar a esta justificación última, porque la sustitución es puramente nominal. No es que haya derecho al reintegro en el puesto de trabajo y por una razón excepcional u ocasional pueda sustituirse ese reintegro con una indemnización, sino que se trata de que el legislador asigna de una manera general y directa un efecto indemnizatorio a los casos en que el trabajador opta por la ejecución de las Sentencias declaratorias de la injustificación del traslado, por más que lo haga a través de un difícil circunloquio como una especia de contenido forzoso de la petición de ejecución.</w:t>
      </w:r>
    </w:p>
    <w:p w:rsidR="00D06117" w:rsidRDefault="00D06117" w:rsidP="00D06117">
      <w:pPr>
        <w:pStyle w:val="TextoNormal"/>
      </w:pPr>
    </w:p>
    <w:p w:rsidR="00D06117" w:rsidRDefault="00D06117" w:rsidP="00D06117">
      <w:pPr>
        <w:pStyle w:val="TextoNormal"/>
      </w:pPr>
      <w:r w:rsidRPr="00D06117">
        <w:rPr>
          <w:rStyle w:val="NumeroAFNegritaCaracter"/>
        </w:rPr>
        <w:t>7</w:t>
      </w:r>
      <w:r>
        <w:t>. El Fiscal General del Estado evacuó el trámite conferido mediante escrito registrado el 24 de noviembre de 2003, interesando la desestimación de la cuestión de inconstitucionalidad.</w:t>
      </w:r>
    </w:p>
    <w:p w:rsidR="00D06117" w:rsidRDefault="00D06117" w:rsidP="00D06117">
      <w:pPr>
        <w:pStyle w:val="TextoNormal"/>
      </w:pPr>
    </w:p>
    <w:p w:rsidR="00D06117" w:rsidRDefault="00D06117" w:rsidP="00D06117">
      <w:pPr>
        <w:pStyle w:val="TextoNormal"/>
      </w:pPr>
      <w:r>
        <w:t>Tras analizar el precepto cuestionado y ponerlo en relación con el resto de las disposiciones que lo complementan, resalta el Fiscal General que se trata de una regulación establecida para sustituir, en la ejecución de Sentencias firmes por traslado injustificado del trabajador, el cumplimiento de la reincorporación a su puesto de trabajo de origen, en sus propios términos, por la extinción del contrato de trabajo con indemnización, siendo lo mismo que establece la ley para el caso del despido improcedente. Por el contrario, cuando el despido o el traslado vulneran derechos fundamentales se exige en la ley la ejecución de la Sentencia en sus propios términos, dando así el legislador un tratamiento diferente a los despidos improcedentes (y traslados injustificados), por un lado, y a los despidos o traslados nulos, por otro.</w:t>
      </w:r>
    </w:p>
    <w:p w:rsidR="00D06117" w:rsidRDefault="00D06117" w:rsidP="00D06117">
      <w:pPr>
        <w:pStyle w:val="TextoNormal"/>
      </w:pPr>
    </w:p>
    <w:p w:rsidR="00D06117" w:rsidRDefault="00D06117" w:rsidP="00D06117">
      <w:pPr>
        <w:pStyle w:val="TextoNormal"/>
      </w:pPr>
      <w:r>
        <w:t>En esta sustitución de la reincorporación al puesto de origen por la extinción indemnizada del contrato no aprecia el Fiscal General vulneración del derecho a la tutela judicial efectiva, en su faceta del derecho a la ejecución de las Sentencias firmes, ni tampoco del derecho al cumplimiento de las Sentencias (art. 118 CE), referido éste, por lo demás, a los ciudadanos, más que a los Jueces, porque los fallos no sólo pueden entenderse cumplidos a través de una modalidad de ejecución, sino que ésta admite sustituciones, sin que con ello resulte lesionado el derecho que protege el art. 24.1 CE.</w:t>
      </w:r>
    </w:p>
    <w:p w:rsidR="00D06117" w:rsidRDefault="00D06117" w:rsidP="00D06117">
      <w:pPr>
        <w:pStyle w:val="TextoNormal"/>
      </w:pPr>
    </w:p>
    <w:p w:rsidR="00D06117" w:rsidRDefault="00D06117" w:rsidP="00D06117">
      <w:pPr>
        <w:pStyle w:val="TextoNormal"/>
      </w:pPr>
      <w:r>
        <w:t>Y es que, si bien las SSTC 322/1994 y 3/1998 señalaron que “el contenido esencial del derecho a la tutela judicial efectiva comprende el derecho a que las Sentencias sean ejecutadas en sus propios términos, de modo que desconoce el derecho fundamental el Juez que, por omisión, pasividad o defectuoso entendimiento se aparta, sin causa justificada, de lo previsto en el fallo que debe ejecutarse (SSTC 32/1982, 125/1987, 148/1989, 194/1993), puesto que, en definitiva, el derecho reconocido en el art. 24 C.E. se concreta en que se cumpla el fallo judicial, de modo que las resoluciones judiciales no se conviertan en meras declaraciones sin efectividad (SSTC 32/1982, 58/1993)”, también añaden que “el derecho a la ejecución de las Sentencias no alcanza a cubrir las modalidades con las que aquélla se pueda satisfacer, ya que tan constitucional resulta una ejecución en la que se observe identidad total entre el contenido del fallo y lo ejecutado finalmente, como aquélla en la que, bien por disposición legal bien por razones atendibles, la condena original se sustituya por su equivalente pecuniario u otro tipo de prestación (doctrina posteriormente reiterada en SSTC 69/1983, 67/1984, 205/1987, 149/1989, 194/1991, 61/1992, 322/1994)”.</w:t>
      </w:r>
    </w:p>
    <w:p w:rsidR="00D06117" w:rsidRDefault="00D06117" w:rsidP="00D06117">
      <w:pPr>
        <w:pStyle w:val="TextoNormal"/>
      </w:pPr>
    </w:p>
    <w:p w:rsidR="00D06117" w:rsidRDefault="00D06117" w:rsidP="00D06117">
      <w:pPr>
        <w:pStyle w:val="TextoNormal"/>
      </w:pPr>
      <w:r>
        <w:t>Concluye, por todo ello, el Fiscal General del Estado estimando que el art. 138.6 LPL, complementado con los demás preceptos examinados, no es contrario a los arts. 24.1 y 118 CE.</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17 de abril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 la presente cuestión de inconstitucionalidad, planteada por la Sala de lo Social del Tribunal Superior de Justicia de Castilla-La Mancha, es determinar si el apartado 6 del art. 138 de la Ley de procedimiento laboral (LPL), texto refundido aprobado por Real Decreto Legislativo 2/1995, de 7 de abril, vulnera los arts. 24.1 y 118 de la Constitución.</w:t>
      </w:r>
    </w:p>
    <w:p w:rsidR="00D06117" w:rsidRDefault="00D06117" w:rsidP="00D06117">
      <w:pPr>
        <w:pStyle w:val="TextoNormal"/>
      </w:pPr>
    </w:p>
    <w:p w:rsidR="00D06117" w:rsidRDefault="00D06117" w:rsidP="00D06117">
      <w:pPr>
        <w:pStyle w:val="TextoNormal"/>
      </w:pPr>
      <w:r>
        <w:t xml:space="preserve">El art. 138 de la Ley de procedimiento laboral regula el procedimiento de impugnación de las decisiones empresariales en materia de movilidad geográfica y modificación sustancial de condiciones de trabajo. El apartado 5 del artículo establece que la Sentencia (que, como aclara el apartado 4, “no tendrá recurso y será inmediatamente ejecutiva”) “declarará justificada o injustificada la decisión empresarial, según hayan quedado acreditadas o no, respecto de los trabajadores afectados, las razones invocadas por la empresa”. La Sentencia que declare injustificada la medida, continúa señalando el precepto, “reconocerá el derecho del trabajador a ser repuesto en sus anteriores condiciones de trabajo”. Finalmente, establece </w:t>
      </w:r>
      <w:r>
        <w:lastRenderedPageBreak/>
        <w:t>que “se declarará nula la decisión adoptada en fraude de ley, eludiendo las normas establecidas para las de carácter colectivo en el último párrafo del apartado 1 del artículo 40 del texto refundido de la Ley del estatuto de los trabajadores, y en el último párrafo del apartado 3 del artículo 41 del mismo texto legal”.</w:t>
      </w:r>
    </w:p>
    <w:p w:rsidR="00D06117" w:rsidRDefault="00D06117" w:rsidP="00D06117">
      <w:pPr>
        <w:pStyle w:val="TextoNormal"/>
      </w:pPr>
    </w:p>
    <w:p w:rsidR="00D06117" w:rsidRDefault="00D06117" w:rsidP="00D06117">
      <w:pPr>
        <w:pStyle w:val="TextoNormal"/>
      </w:pPr>
      <w:r>
        <w:t>Y el apartado 6, objeto de la presente cuestión de inconstitucionalidad, señala textualmente lo siguiente:</w:t>
      </w:r>
    </w:p>
    <w:p w:rsidR="00D06117" w:rsidRDefault="00D06117" w:rsidP="00D06117">
      <w:pPr>
        <w:pStyle w:val="TextoNormal"/>
      </w:pPr>
    </w:p>
    <w:p w:rsidR="00D06117" w:rsidRDefault="00D06117" w:rsidP="00D06117">
      <w:pPr>
        <w:pStyle w:val="TextoNormal"/>
      </w:pPr>
      <w:r>
        <w:t>“Cuando el empresario no procediere a reintegrar al trabajador en sus anteriores condiciones de trabajo o lo hiciere de modo irregular, el trabajador podrá solicitar la ejecución del fallo ante el Juzgado de lo Social y la extinción del contrato por causa de lo previsto en el artículo 50.1.c) del texto refundido de la Ley del Estatuto de los Trabajadores conforme a lo establecido en los artículos 277, 278 y 279 de la presente Ley.”</w:t>
      </w:r>
    </w:p>
    <w:p w:rsidR="00D06117" w:rsidRDefault="00D06117" w:rsidP="00D06117">
      <w:pPr>
        <w:pStyle w:val="TextoNormal"/>
      </w:pPr>
    </w:p>
    <w:p w:rsidR="00D06117" w:rsidRDefault="00D06117" w:rsidP="00D06117">
      <w:pPr>
        <w:pStyle w:val="TextoNormal"/>
      </w:pPr>
      <w:r>
        <w:t>Finalmente, el artículo concluye con un apartado 7 que establece que “si la sentencia declarara la nulidad de la medida empresarial, su ejecución se efectuará en sus propios términos, salvo que el trabajador inste la ejecución prevista en el apartado anterior. En todo caso serán de aplicación los plazos establecidos en el mismo.”</w:t>
      </w:r>
    </w:p>
    <w:p w:rsidR="00D06117" w:rsidRDefault="00D06117" w:rsidP="00D06117">
      <w:pPr>
        <w:pStyle w:val="TextoNormal"/>
      </w:pPr>
    </w:p>
    <w:p w:rsidR="00D06117" w:rsidRDefault="00D06117" w:rsidP="00D06117">
      <w:pPr>
        <w:pStyle w:val="TextoNormal"/>
      </w:pPr>
      <w:r>
        <w:t>A juicio del órgano proponente, el apartado 6 del precepto, en la medida en que, al señalar que se podrá instar por el trabajador la ejecución del fallo ante el Juzgado de lo Social y la extinción del contrato, impida optar por la ejecución en sus propios términos del fallo de la Sentencia objeto de la ejecución que hubiera reconocido su derecho a ser repuesto en su antiguo puesto de trabajo, convirtiendo en obligatoria la extinción del contrato, sin otra opción posible, podría colisionar con los arts. 24.1 y 118 de la Constitución.</w:t>
      </w:r>
    </w:p>
    <w:p w:rsidR="00D06117" w:rsidRDefault="00D06117" w:rsidP="00D06117">
      <w:pPr>
        <w:pStyle w:val="TextoNormal"/>
      </w:pPr>
    </w:p>
    <w:p w:rsidR="00D06117" w:rsidRDefault="00D06117" w:rsidP="00D06117">
      <w:pPr>
        <w:pStyle w:val="TextoNormal"/>
      </w:pPr>
      <w:r>
        <w:t>Tanto el Abogado del Estado, en la representación que ostenta, como el Fiscal General del Estado interesan la desestimación de la cuestión de inconstitucionalidad, por entender que el precepto cuestionado no es contrario a los artículos invocados.</w:t>
      </w:r>
    </w:p>
    <w:p w:rsidR="00D06117" w:rsidRDefault="00D06117" w:rsidP="00D06117">
      <w:pPr>
        <w:pStyle w:val="TextoNormal"/>
      </w:pPr>
    </w:p>
    <w:p w:rsidR="00D06117" w:rsidRDefault="00D06117" w:rsidP="00D06117">
      <w:pPr>
        <w:pStyle w:val="TextoNormal"/>
      </w:pPr>
      <w:r>
        <w:t>Y es de advertir que la derogación del texto refundido de la Ley de procedimiento laboral de 7 de abril de 1995 por la disposición derogatoria única de la Ley 36/2011, de 10 de octubre, reguladora de la jurisdicción social, carece de trascendencia en estos autos, dado que la disposición transitoria segunda, apartados 2 y 3 de la nueva ley remite los recursos de suplicación pendientes a la legislación anterior.</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Antes de abordar el examen del problema de fondo planteado en la presente cuestión hemos de analizar si la misma cumple las condiciones procesales exigidas por los arts. 163 CE y 35 de la Ley Orgánica del Tribunal Constitucional (LOTC). A tal efecto hemos de recordar una vez más que, aun cuando el art. 37.1 LOTC abre la posibilidad de rechazar en trámite de admisión las cuestiones de inconstitucionalidad planteadas por los órganos judiciales cuando faltaren las condiciones procesales (entre otros muchos, AATC 42/1998, de 18 de febrero, FJ 1; 21/2001, de 30 de enero, FJ 1; 25/2003, de 28 de enero, FJ 3; 188/2003, de 3 de junio, FJ 1; y 206/2005, de 10 de mayo, FJ 2),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w:t>
      </w:r>
      <w:r>
        <w:lastRenderedPageBreak/>
        <w:t>de fundamentación, requeridos para el válido planteamiento de la cuestión de inconstitucionalidad (por todas, SSTC 133/2004, de 22 de julio, FJ 1; 255/2004, de 22 de diciembre, FJ 2; y 224/2006, de 6 de julio, FJ 4).</w:t>
      </w:r>
    </w:p>
    <w:p w:rsidR="00D06117" w:rsidRDefault="00D06117" w:rsidP="00D06117">
      <w:pPr>
        <w:pStyle w:val="TextoNormal"/>
      </w:pPr>
    </w:p>
    <w:p w:rsidR="00D06117" w:rsidRDefault="00D06117" w:rsidP="00D06117">
      <w:pPr>
        <w:pStyle w:val="TextoNormal"/>
      </w:pPr>
      <w:r>
        <w:t>Sentado lo anterior, es preciso comenzar recordando que el art. 35.1 LOTC exige que la norma con rango de ley de la que tenga dudas un Juez o Tribunal debe ser “aplicable al caso y de cuya validez dependa el fallo”, añadiéndose en el apartado 2 del indicado precepto que el órgano judicial deberá especificar o justificar, en el auto de planteamiento de la cuestión, en qué medida la decisión del proceso depende de la validez de la norma en cuestión.</w:t>
      </w:r>
    </w:p>
    <w:p w:rsidR="00D06117" w:rsidRDefault="00D06117" w:rsidP="00D06117">
      <w:pPr>
        <w:pStyle w:val="TextoNormal"/>
      </w:pPr>
    </w:p>
    <w:p w:rsidR="00D06117" w:rsidRDefault="00D06117" w:rsidP="00D06117">
      <w:pPr>
        <w:pStyle w:val="TextoNormal"/>
      </w:pPr>
      <w:r>
        <w:t>Es decir, la norma cuestionada debe superar el denominado “juicio de relevancia”, o lo que es lo mismo, la justificación de la medida en que la decisión del proceso depende de su validez, habida cuenta de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de 1 de junio, FJ 1; y 141/2008, de 30 de octubre, FJ 6; AATC 42/1998, de 18 de febrero, FJ 1; 21/2001, de 30 de enero, FJ 1; 25/2003, de 28 de enero, FJ 3; 206/2005, de 10 de mayo, FJ 2; y 360/2006, de 10 de octubre, FJ 2).</w:t>
      </w:r>
    </w:p>
    <w:p w:rsidR="00D06117" w:rsidRDefault="00D06117" w:rsidP="00D06117">
      <w:pPr>
        <w:pStyle w:val="TextoNormal"/>
      </w:pPr>
    </w:p>
    <w:p w:rsidR="00D06117" w:rsidRDefault="00D06117" w:rsidP="00D06117">
      <w:pPr>
        <w:pStyle w:val="TextoNormal"/>
      </w:pPr>
      <w:r>
        <w:t>Sobre este particular, es a los Jueces y Tribunales ordinarios que plantean las cuestiones de inconstitucionalidad a quienes corresponde, prima facie,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100/2006, de 30 de marzo, FJ 2; 141/2008, de 30 de octubre, FJ 4; y 81/2009, de 23 de marzo, FJ 3).</w:t>
      </w:r>
    </w:p>
    <w:p w:rsidR="00D06117" w:rsidRDefault="00D06117" w:rsidP="00D06117">
      <w:pPr>
        <w:pStyle w:val="TextoNormal"/>
      </w:pPr>
    </w:p>
    <w:p w:rsidR="00D06117" w:rsidRDefault="00D06117" w:rsidP="00D06117">
      <w:pPr>
        <w:pStyle w:val="TextoNormal"/>
      </w:pPr>
      <w:r w:rsidRPr="00D06117">
        <w:rPr>
          <w:rStyle w:val="NumeroAFNegritaCaracter"/>
        </w:rPr>
        <w:t>3</w:t>
      </w:r>
      <w:r>
        <w:t>. La presente cuestión de inconstitucionalidad plantea, desde esta perspectiva, un problema singular y específico que necesariamente ha de ser analizado por este Tribunal en su control del juicio de relevancia. Dicho problema es el que deriva del hecho de que la cuestión haya sido planteada en el marco de un recurso de suplicación interpuesto contra una resolución de un Juzgado de lo Social dictada en ejecución de una Sentencia en materia de movilidad geográfica, siendo así que, de conformidad con el art. 138.4 LPL, las Sentencias dictadas por los Juzgados de lo Social en materia de movilidad geográfica y modificaciones sustanciales de las condiciones de trabajo no tienen recurso.</w:t>
      </w:r>
    </w:p>
    <w:p w:rsidR="00D06117" w:rsidRDefault="00D06117" w:rsidP="00D06117">
      <w:pPr>
        <w:pStyle w:val="TextoNormal"/>
      </w:pPr>
    </w:p>
    <w:p w:rsidR="00D06117" w:rsidRDefault="00D06117" w:rsidP="00D06117">
      <w:pPr>
        <w:pStyle w:val="TextoNormal"/>
      </w:pPr>
      <w:r>
        <w:t xml:space="preserve">Este problema ha sido suscitado en el proceso por la empresa demandada, que presentó primero un recurso de reposición ante el Juzgado de lo Social contra la providencia que tuvo por anunciado el recurso de suplicación, aduciendo que el Auto recurrido no respondía a </w:t>
      </w:r>
      <w:r>
        <w:lastRenderedPageBreak/>
        <w:t>ninguno de los supuestos que, conforme al art. 189.2 LPL, permiten recurrir en suplicación los Autos dictados en ejecución de Sentencias, en particular por no tratarse de un Auto que resolviera un recurso de reposición planteado contra otro dictado en ejecución de Sentencia siendo irrecurrible la propia Sentencia ejecutoria, y reiterado luego en el escrito de impugnación del recurso de suplicación. Y también su criterio sobre la inadmisibilidad del recurso fue expuesto a la Sala proponente en el escrito presentado en el trámite de audiencia del art. 35.2 LOTC, previo al planteamiento de la presente cuestión.</w:t>
      </w:r>
    </w:p>
    <w:p w:rsidR="00D06117" w:rsidRDefault="00D06117" w:rsidP="00D06117">
      <w:pPr>
        <w:pStyle w:val="TextoNormal"/>
      </w:pPr>
    </w:p>
    <w:p w:rsidR="00D06117" w:rsidRDefault="00D06117" w:rsidP="00D06117">
      <w:pPr>
        <w:pStyle w:val="TextoNormal"/>
      </w:pPr>
      <w:r>
        <w:t>Como hemos señalado en diversas ocasiones,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00D06117" w:rsidRDefault="00D06117" w:rsidP="00D06117">
      <w:pPr>
        <w:pStyle w:val="TextoNormal"/>
      </w:pPr>
    </w:p>
    <w:p w:rsidR="00D06117" w:rsidRDefault="00D06117" w:rsidP="00D06117">
      <w:pPr>
        <w:pStyle w:val="TextoNormal"/>
      </w:pPr>
      <w:r>
        <w:t>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D06117" w:rsidRDefault="00D06117" w:rsidP="00D06117">
      <w:pPr>
        <w:pStyle w:val="TextoNormal"/>
      </w:pPr>
    </w:p>
    <w:p w:rsidR="00D06117" w:rsidRDefault="00D06117" w:rsidP="00D06117">
      <w:pPr>
        <w:pStyle w:val="TextoNormal"/>
      </w:pPr>
      <w:r>
        <w:t>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limitándose a señalar, en el apartado sexto del Auto de planteamiento, que el art. 138.6 LPL es “precepto de cuya aplicación depende el Recurso de Suplicación que debe resolver (art. 35.1 LOTC), lo que comporta que concurre la relevancia necesaria”. Y es claro que esta apodíctica afirmación del Auto no puede considerarse suficiente para justificar la relevancia de la cuestión, teniendo en cuenta las alegaciones formuladas por las partes en el proceso y en el propio trámite de audiencia.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00D06117" w:rsidRDefault="00D06117" w:rsidP="00D06117">
      <w:pPr>
        <w:pStyle w:val="TextoNormal"/>
      </w:pPr>
    </w:p>
    <w:p w:rsidR="00D06117" w:rsidRDefault="00D06117" w:rsidP="00D06117">
      <w:pPr>
        <w:pStyle w:val="TextoNormal"/>
      </w:pPr>
      <w:r>
        <w:t>Así pues, alegada en el recurso de suplicación que es el proceso a quo la inadmisibilidad de tal recurso, alegación sustentada en la dicción de los arts. 138.4 y 189.2 LPL, que expresamente lo excluyen en los procesos de la naturaleza del que ha dado lugar al planteamiento de esta cuestión de inconstitucionalidad, ante esa patente exclusión legal del recurso, la inexistencia de un razonamiento de la Sala que permitiera entender que la suplicación podía ser viable pese al sentido literal de los citados preceptos, nos conduce a concluir que estamos ante una terminante insuficiencia del juicio de relevancia, lo que hace procedente el pronunciamiento de inadmisión de la cuestión planteada.</w:t>
      </w:r>
    </w:p>
    <w:p w:rsidR="00D06117" w:rsidRDefault="00D06117" w:rsidP="00D06117">
      <w:pPr>
        <w:pStyle w:val="TextoNormal"/>
      </w:pPr>
    </w:p>
    <w:p w:rsidR="00D06117" w:rsidRDefault="00D06117" w:rsidP="00D06117">
      <w:pPr>
        <w:pStyle w:val="TextoNormal"/>
      </w:pPr>
      <w:r w:rsidRPr="00D06117">
        <w:rPr>
          <w:rStyle w:val="NumeroAFNegritaCaracter"/>
        </w:rPr>
        <w:t>4</w:t>
      </w:r>
      <w:r>
        <w:t>. Y aunque no sea necesario es de añadir cuál ha sido el desarrollo experimentado por la jurisprudencia laboral en esta materia, entre la fecha de planteamiento de la cuestión y el momento presente. En efecto, sea cual fuere el criterio que la Sala proponente tuviera en el año 2003 sobre la admisibilidad de los recursos de suplicación interpuestos contra los Autos que, en ejecución de Sentencias de movilidad geográfica y modificación sustancial de condiciones de trabajo y en aplicación del art. 138.6 LPL, declaran extinguida la relación laboral, es lo cierto que la propia Sala proponente ha afirmado de manera inequívoca la inadmisibilidad de tales recursos, en aplicación de la doctrina unificada del Tribunal Supremo, sin que a estos efectos tenga relevancia alguna la derogación de la Ley de procedimiento laboral por cuanto de acuerdo con la disposición transitoria segunda de la Ley 36/2011, de 10 de octubre, reguladora de la jurisdicción social los recursos de suplicación iniciados con anterioridad a la entrada en vigor de la misma se seguirán sustanciando conforme a la legislación anterior.</w:t>
      </w:r>
    </w:p>
    <w:p w:rsidR="00D06117" w:rsidRDefault="00D06117" w:rsidP="00D06117">
      <w:pPr>
        <w:pStyle w:val="TextoNormal"/>
      </w:pPr>
    </w:p>
    <w:p w:rsidR="00D06117" w:rsidRDefault="00D06117" w:rsidP="00D06117">
      <w:pPr>
        <w:pStyle w:val="TextoNormal"/>
      </w:pPr>
      <w:r>
        <w:t>En efecto, en su Sentencia de 5 de junio de 2008, resolviendo un recurso de suplicación planteado contra el Auto que declaró extinguida la relación laboral por falta de ejecución del fallo de una Sentencia dictada en un proceso de modificación sustancial de condiciones de trabajo, que había declarado improcedente la modificación y condenado a la empresa a reponer al trabajador en sus anteriores condiciones de trabajo, la Sala proponente declara la irrecurribilidad del indicado Auto de ejecución y anula todas las actuaciones seguidas para la tramitación del recurso de suplicación formulado contra tal resolución. Como indica la resolución, con este criterio se sigue la doctrina jurisprudencial establecida en dos Sentencias del Tribunal Supremo de 6 de octubre y 21 de noviembre de 2005 en las que, en esencia, se argumenta que la admisión de recursos de suplicación en fase de ejecución de Sentencia está legalmente condicionada a que previamente haya sido susceptible de tal recurso la sentencia ejecutada (art. 189.2 LPL), y, en el caso de los procesos sobre modificación sustancial de condiciones de trabajo, el art. 138.4 LPL señala que la Sentencia no tendrá recurso y será inmediatamente ejecutiva, sin que para ello sea óbice el hecho de que el art. 138.6 LPL se remita a las normas de la readmisión en el despido para el supuesto de que el empresario no procediera a reintegrar al trabajador en sus anteriores condiciones de trabajo o lo hiciere de modo irregular. Criterio que, a su vez, se basa expresamente en lo que el Tribunal Supremo califica como doctrina constante de la Sala, establecida en SSTS de 27 de febrero de 1991, 9 de febrero de 1996 y 28 de mayo de 1996, dictadas en relación con la modalidad procesal de clasificación profesional, cuyas Sentencias, al igual que ocurre con las dictadas en la de modificación sustancial de condiciones de trabajo, tampoco tienen recurso. Posteriormente el Tribunal Supremo ha reiterado de nuevo este criterio en otra STS de 21 de febrero de 2008, también en un procedimiento de modificación sustancial de condiciones de trabajo del art. 138 LPL, por el que se rige igualmente el de movilidad geográfica.</w:t>
      </w:r>
    </w:p>
    <w:p w:rsidR="00D06117" w:rsidRDefault="00D06117" w:rsidP="00D06117">
      <w:pPr>
        <w:pStyle w:val="TextoNormal"/>
      </w:pPr>
    </w:p>
    <w:p w:rsidR="00D06117" w:rsidRDefault="00D06117" w:rsidP="00D06117">
      <w:pPr>
        <w:pStyle w:val="TextoNormal"/>
      </w:pPr>
      <w:r w:rsidRPr="00D06117">
        <w:rPr>
          <w:rStyle w:val="NumeroAFNegritaCaracter"/>
        </w:rPr>
        <w:t>5</w:t>
      </w:r>
      <w:r>
        <w:t>. Por consecuencia, todo lo expuesto nos conduce a concluir que en ausencia de una argumentación específica en el Auto de planteamiento de la cuestión que permitiera entender que el recurso de suplicación podía ser viable pese al sentido literal de los arts. 138.4 y 189.2 LPL, resulta clara la inexistencia del necesario requisito del juicio de relevancia, de lo que deriva la procedencia del pronunciamiento de inadmisión de la presente cuestión.</w:t>
      </w:r>
    </w:p>
    <w:p w:rsidR="00D06117" w:rsidRDefault="00D06117" w:rsidP="00D06117">
      <w:pPr>
        <w:pStyle w:val="TextoNormal"/>
      </w:pPr>
    </w:p>
    <w:p w:rsidR="00D06117" w:rsidRDefault="00D06117" w:rsidP="00D06117">
      <w:pPr>
        <w:pStyle w:val="TextoNormal"/>
      </w:pPr>
      <w:r>
        <w:t>Y es de añadir, aunque no sea necesario, que, de acuerdo con la doctrina jurisprudencial expuesta, el recurso de suplicación en cuyo seno se ha planteado la presente cuestión de inconstitucionalidad habrá de ser resuelto por la Sala proponente declarando la inadmisibilidad del recurso y en aplicación de dos preceptos —los arts. 138.4 y 189.2 LPL— distintos del cuestionado.</w:t>
      </w:r>
    </w:p>
    <w:p w:rsidR="00D06117" w:rsidRDefault="00D06117" w:rsidP="00D06117">
      <w:pPr>
        <w:pStyle w:val="TextoNormal"/>
      </w:pPr>
    </w:p>
    <w:p w:rsidR="00D06117" w:rsidRDefault="00D06117" w:rsidP="00D06117">
      <w:pPr>
        <w:pStyle w:val="TextoNormal"/>
      </w:pPr>
      <w:r>
        <w:t>No resultan, por ello, justificados, desde la perspectiva constitucional, ni la paralización del proceso a quo que se ha mantenido hasta esta fecha ni el pronunciamiento de este Tribunal sobre la constitucionalidad de un precepto legal en el que no habrá de basar su fallo el órgano judicial proponente.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la cuestión de inconstitucionalidad núm. 3151-2003, planteada por la Sala de lo Social del Tribunal Superior de Justicia de Castilla-La Mancha.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8" w:name="SENTENCIA_2012_85"/>
      <w:r>
        <w:lastRenderedPageBreak/>
        <w:t>SENTENCIA 85/2012, de 18 de abril de 2012</w:t>
      </w:r>
    </w:p>
    <w:bookmarkEnd w:id="8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ECLI:ES:TC:2012:85</w:t>
      </w:r>
    </w:p>
    <w:p w:rsidR="00D06117" w:rsidRDefault="00D06117" w:rsidP="00D06117">
      <w:pPr>
        <w:pStyle w:val="SntesisDescriptiva"/>
      </w:pPr>
    </w:p>
    <w:p w:rsidR="00D06117" w:rsidRDefault="00D06117" w:rsidP="00D06117">
      <w:pPr>
        <w:pStyle w:val="SntesisDescriptiva"/>
      </w:pPr>
      <w:r>
        <w:t>Cuestión de inconstitucionalidad 1584-2005. Planteada por la Sección Décima de la Audiencia Provincial de Madrid en relación con el artículo 35.7 de la Ley 53/2002, de 30 de diciembre, de medidas fiscales, administrativas y del orden social.</w:t>
      </w:r>
    </w:p>
    <w:p w:rsidR="00D06117" w:rsidRDefault="00D06117" w:rsidP="00D06117">
      <w:pPr>
        <w:pStyle w:val="SntesisDescriptiva"/>
      </w:pPr>
    </w:p>
    <w:p w:rsidR="00D06117" w:rsidRDefault="00D06117" w:rsidP="00D06117">
      <w:pPr>
        <w:pStyle w:val="SntesisAnaltica"/>
      </w:pPr>
      <w:r>
        <w:t>Derecho a la tutela judicial sin indefensión: STC 79/2012 (constitucionalidad del precepto legal que supedita la tramitación de recursos presentados por personas jurídicas con ánimo de lucro sujetas al impuesto sobre sociedades y que superen una determinada facturación anual al abono de la tasa por el ejercicio de la potestad jurisdiccional en el orden civil).</w:t>
      </w:r>
    </w:p>
    <w:p w:rsidR="00D06117" w:rsidRDefault="00D06117" w:rsidP="00D06117">
      <w:pPr>
        <w:pStyle w:val="SntesisAnaltica"/>
      </w:pPr>
    </w:p>
    <w:p w:rsidR="00D06117" w:rsidRDefault="00D06117" w:rsidP="00D06117">
      <w:pPr>
        <w:pStyle w:val="Extracto"/>
      </w:pPr>
      <w:r>
        <w:t>1.</w:t>
      </w:r>
      <w:r>
        <w:tab/>
        <w:t>Reitera la doctrina sobre la constitucionalidad del precepto que subordina el acceso a un recurso de apelación civil al pago temporáneo de una tasa, con remisión a la fundamentación jurídica de la STC 79/2012, que aplica la doctrina establecida por la STC 20/2012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1584-2005, planteada por la Audiencia Provincial de Madrid, Sección Décima, en relación con el artículo 35, apartado 7, de la Ley 53/2002, de 30 de diciembre, de medidas fiscales, administrativas y del orden social. Ha comparecido el Gobierno de la Nación, representado por el Abogado del Estado, y ha intervenido el Fiscal General del Estado.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8 de marzo de 2005 tuvo entrada en el Registro General de este Tribunal un oficio de la Sección Décima de la Audiencia Provincial de Madrid, del 24 de febrero anterior, al que se acompañaba, junto con el testimonio del correspondiente procedimiento (rollo de apelación núm. 470-2004, procedente del juicio verbal seguido ante el Juzgado de Primera Instancia núm. 51 de Madrid con el núm. 336-2003), su Auto de 28 de enero de 2005, por el que se plantea cuestión de inconstitucionalidad en relación con el art. 35.7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presente cuestión de inconstitucionalidad son los siguientes:</w:t>
      </w:r>
    </w:p>
    <w:p w:rsidR="00D06117" w:rsidRDefault="00D06117" w:rsidP="00D06117">
      <w:pPr>
        <w:pStyle w:val="TextoNormal"/>
      </w:pPr>
    </w:p>
    <w:p w:rsidR="00D06117" w:rsidRDefault="00D06117" w:rsidP="00D06117">
      <w:pPr>
        <w:pStyle w:val="TextoNormal"/>
      </w:pPr>
      <w:r>
        <w:t>a) En septiembre de 2002, se produjo un incendio en un taller de automóviles que afectó a varios de los vehículos que se encontraban en él para ser reparados. El 25 de marzo de 2003, el dueño de uno de esos automóviles formuló demanda contra la entidad mercantil titular del taller y su compañía aseguradora, Axa Aurora Ibérica, S.A., de seguros y reaseguros, reclamando 1.701,92 euros en concepto de daños.</w:t>
      </w:r>
    </w:p>
    <w:p w:rsidR="00D06117" w:rsidRDefault="00D06117" w:rsidP="00D06117">
      <w:pPr>
        <w:pStyle w:val="TextoNormal"/>
      </w:pPr>
    </w:p>
    <w:p w:rsidR="00D06117" w:rsidRDefault="00D06117" w:rsidP="00D06117">
      <w:pPr>
        <w:pStyle w:val="TextoNormal"/>
      </w:pPr>
      <w:r>
        <w:t>b) El Juzgado de Primera Instancia núm. 51 de Madrid, tras sustanciar el juicio verbal núm. 336-2003, dictó Sentencia el 22 de diciembre de 2003. Su fallo estimó parcialmente la demanda y condenó a la sociedad titular del taller y a su compañía de seguros a la reparación in natura de los daños acaecidos en el vehículo propiedad del actor con ocasión del incendio sufrido, sin incluir los daños relativos a la primera reparación hecho por el taller.</w:t>
      </w:r>
    </w:p>
    <w:p w:rsidR="00D06117" w:rsidRDefault="00D06117" w:rsidP="00D06117">
      <w:pPr>
        <w:pStyle w:val="TextoNormal"/>
      </w:pPr>
    </w:p>
    <w:p w:rsidR="00D06117" w:rsidRDefault="00D06117" w:rsidP="00D06117">
      <w:pPr>
        <w:pStyle w:val="TextoNormal"/>
      </w:pPr>
      <w:r>
        <w:t>c) Contra dicha Sentencia se alzaron en apelación el demandante y la entidad aseguradora Axa Aurora Ibérica, S.A., quien también impugnó el recurso de apelación del actor. Todo ello mediante escritos presentados ante el Juzgado, de fechas 13 de febrero y 2 de marzo de 2003. Trasladados los autos a la Audiencia, las partes comparecieron el 21 de mayo y el 3 de junio. Por providencia de 19 de julio de 2004, la Audiencia Provincial dio por recibidas las actuaciones y las partes por comparecidas, y requirió a la entidad apelante para que acreditase, en el plazo de cinco días, el ingreso de la tasa por el ejercicio de la potestad jurisdiccional en el orden civil al tiempo de la interposición del recurso “sin que se admita, por extemporáneo, el ingreso posterior a la expiración del término del emplazamiento para la interposición, bajo apercibimiento de que no acreditándose el ingreso en los términos indicados se declarará indebidamente admitido el recurso y firme la sentencia apelada”.</w:t>
      </w:r>
    </w:p>
    <w:p w:rsidR="00D06117" w:rsidRDefault="00D06117" w:rsidP="00D06117">
      <w:pPr>
        <w:pStyle w:val="TextoNormal"/>
      </w:pPr>
    </w:p>
    <w:p w:rsidR="00D06117" w:rsidRDefault="00D06117" w:rsidP="00D06117">
      <w:pPr>
        <w:pStyle w:val="TextoNormal"/>
      </w:pPr>
      <w:r>
        <w:t>d) La apelante interpuso recurso de reposición contra esta providencia. Al recurso se acompañó el resguardo del modelo 696 de autoliquidación y pago de la tasa, que había realizado el 29 de julio de 2004 por un importe de 308,51 euros (300 por ser un recurso de apelación y 8,51 de cantidad variable), por lo que se solicitaba que se tuviera por subsanado el defecto, con fundamento en las razones expuestas en el escrito del recurso. El recurso de reposición fue admitido por providencia de 14 de septiembre de 2004, en la que se concedía a las partes personadas un plazo de cinco días para impugnarlo.</w:t>
      </w:r>
    </w:p>
    <w:p w:rsidR="00D06117" w:rsidRDefault="00D06117" w:rsidP="00D06117">
      <w:pPr>
        <w:pStyle w:val="TextoNormal"/>
      </w:pPr>
    </w:p>
    <w:p w:rsidR="00D06117" w:rsidRDefault="00D06117" w:rsidP="00D06117">
      <w:pPr>
        <w:pStyle w:val="TextoNormal"/>
      </w:pPr>
      <w:r>
        <w:t xml:space="preserve">e) Por nuevo proveído de 22 de octubre de 2004, se acordó dar audiencia a las partes personadas y al Ministerio Fiscal, en el término común de diez días, para que alegasen lo que estimaran pertinente acerca del planteamiento de cuestión de inconstitucionalidad en </w:t>
      </w:r>
      <w:r>
        <w:lastRenderedPageBreak/>
        <w:t>relación con el art. 35, apartado 7.2 de la Ley 5312002, y de su eventual oposición a lo dispuesto en el art. 24 CE. Frente a esta providencia interpuso recurso de reposición el Ministerio Fiscal, denunciando la falta de especificación del concreto derecho protegido por el art. 24 CE que pudieran resultar vulnerado.</w:t>
      </w:r>
    </w:p>
    <w:p w:rsidR="00D06117" w:rsidRDefault="00D06117" w:rsidP="00D06117">
      <w:pPr>
        <w:pStyle w:val="TextoNormal"/>
      </w:pPr>
    </w:p>
    <w:p w:rsidR="00D06117" w:rsidRDefault="00D06117" w:rsidP="00D06117">
      <w:pPr>
        <w:pStyle w:val="TextoNormal"/>
      </w:pPr>
      <w:r>
        <w:t>El recurso fue desestimado por Auto de 15 de diciembre de 2004, en el que se acordó completar la resolución impugnada “en el exclusivo sentido de concretar que el derecho constitucional que se entiende puede verse comprometido por la dicción del apartado 7.2 del artículo 35 de la Ley 5312002 es el de tutela efectiva sin indefensión del art. 24.1 CE”.</w:t>
      </w:r>
    </w:p>
    <w:p w:rsidR="00D06117" w:rsidRDefault="00D06117" w:rsidP="00D06117">
      <w:pPr>
        <w:pStyle w:val="TextoNormal"/>
      </w:pPr>
    </w:p>
    <w:p w:rsidR="00D06117" w:rsidRDefault="00D06117" w:rsidP="00D06117">
      <w:pPr>
        <w:pStyle w:val="TextoNormal"/>
      </w:pPr>
      <w:r>
        <w:t>f) En escrito de 8 de noviembre de 2004, la sociedad Axa alegó que no cuestionaba la constitucionalidad “del artículo 7.2 de la Ley 35/2002”, sino la falta de aplicación de las consecuencias jurídicas del art. 6 de la Orden 661/2003 en el presente caso.</w:t>
      </w:r>
    </w:p>
    <w:p w:rsidR="00D06117" w:rsidRDefault="00D06117" w:rsidP="00D06117">
      <w:pPr>
        <w:pStyle w:val="TextoNormal"/>
      </w:pPr>
    </w:p>
    <w:p w:rsidR="00D06117" w:rsidRDefault="00D06117" w:rsidP="00D06117">
      <w:pPr>
        <w:pStyle w:val="TextoNormal"/>
      </w:pPr>
      <w:r>
        <w:t>En su informe de 24 de enero de 2005, el Ministerio Fiscal se manifestó contrario al planteamiento de la cuestión de inconstitucionalidad. Su oposición trae causa de la formulación del juicio de aplicabilidad de la norma. A este respecto, apunta que el control de los requisitos formales de interposición del recurso de apelación se tenía que haber realizado por el Juzgado sentenciador, pero finalmente fue hecho por la Sección Décima de la Audiencia Provincial de Madrid, sin dar la posibilidad al apelante de subsanar el defecto padecido. La exclusión de esta posibilidad de subsanación contraviene lo dispuesto en el art. 231 de la Ley de enjuiciamiento civil (LEC), que en opinión del Ministerio Fiscal sería de aplicación al caso y debiera haberse brindado al recurrente la posibilidad de abonar las tasas en el plazo de diez días señalado en ese mismo artículo de la ley rituaria.</w:t>
      </w:r>
    </w:p>
    <w:p w:rsidR="00D06117" w:rsidRDefault="00D06117" w:rsidP="00D06117">
      <w:pPr>
        <w:pStyle w:val="TextoNormal"/>
      </w:pPr>
    </w:p>
    <w:p w:rsidR="00D06117" w:rsidRDefault="00D06117" w:rsidP="00D06117">
      <w:pPr>
        <w:pStyle w:val="TextoNormal"/>
      </w:pPr>
      <w:r>
        <w:t>g) Finalmente, por Auto de 28 de enero de 2005, el órgano judicial acordó elevar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Auto de la Sección Décima de la Audiencia Provincial de Madrid de 28 de enero de 2005 plantea cuestión de inconstitucionalidad respecto al art. 35.7 de la Ley 53/2002, de 30 de diciembre, de medidas fiscales, administrativas y del orden social, apoyándose en los fundamentos siguientes:</w:t>
      </w:r>
    </w:p>
    <w:p w:rsidR="00D06117" w:rsidRDefault="00D06117" w:rsidP="00D06117">
      <w:pPr>
        <w:pStyle w:val="TextoNormal"/>
      </w:pPr>
    </w:p>
    <w:p w:rsidR="00D06117" w:rsidRDefault="00D06117" w:rsidP="00D06117">
      <w:pPr>
        <w:pStyle w:val="TextoNormal"/>
      </w:pPr>
      <w:r>
        <w:t>a) El Auto comienza sus razonamientos con un pormenorizado examen del cumplimiento de los requisitos procesales de admisibilidad de la cuestión, donde se presta particular atención al momento en que puede ser planteada (SSTC 8/1982, 76/1982 y 234/1997), en este caso antes de dictar la resolución que desestime el recurso de reposición contra el requerimiento de acreditar el pago de la tasa judicial, poniendo fin al procedimiento mediante la inadmisión del recurso de apelación, o que lo estime, prosiguiendo la sustanciación de la apelación.</w:t>
      </w:r>
    </w:p>
    <w:p w:rsidR="00D06117" w:rsidRDefault="00D06117" w:rsidP="00D06117">
      <w:pPr>
        <w:pStyle w:val="TextoNormal"/>
      </w:pPr>
    </w:p>
    <w:p w:rsidR="00D06117" w:rsidRDefault="00D06117" w:rsidP="00D06117">
      <w:pPr>
        <w:pStyle w:val="TextoNormal"/>
      </w:pPr>
      <w:r>
        <w:t xml:space="preserve">b) En este sentido, el Auto subraya que la razón cardinal por la que la Sala estima que el art. 35, apartado 7.2, de la Ley 53/2002 puede ser contrario al derecho a la tutela judicial efectiva sin indefensión que reconoce el art. 24.1 CE es la consideración de que lo único que permite subsanar el precepto cuestionado es el presupuesto formal (la acreditación del ingreso) y no el ingreso mismo. Por esta razón, el órgano judicial no comparte la alegación </w:t>
      </w:r>
      <w:r>
        <w:lastRenderedPageBreak/>
        <w:t>del Ministerio Fiscal acerca de la necesidad de permitir la subsanación del defecto incumplido por el apelante, al no haber liquidado la tasa en el momento de interponer la apelación ante el Juzgado sino más tarde, cuando fue requerido por la Audiencia.</w:t>
      </w:r>
    </w:p>
    <w:p w:rsidR="00D06117" w:rsidRDefault="00D06117" w:rsidP="00D06117">
      <w:pPr>
        <w:pStyle w:val="TextoNormal"/>
      </w:pPr>
    </w:p>
    <w:p w:rsidR="00D06117" w:rsidRDefault="00D06117" w:rsidP="00D06117">
      <w:pPr>
        <w:pStyle w:val="TextoNormal"/>
      </w:pPr>
      <w:r>
        <w:t>A criterio de la Sala, es axiomático que no puede ser subsanado lo que no tiene existencia alguna; es decir, sólo puede ser subsanado aquello que es incompleto o insuficiente, no la falta absoluta de un presupuesto o un requisito legalmente establecidos como necesarios. Asimismo, señala que no obstante lo dispuesto en el art. 231 LEC, no existe en nuestro Derecho un “principio” según el cual cualquier falta de presupuestos procesales o incumplimiento de los requisitos procesales pueda ser subsanado. El derecho a la tutela judicial se satisface prioritariamente, no exclusivamente, mediante una resolución de fondo, que estime o desestime las pretensiones deducidas; así, también puede denegarse la decisión de fondo por concurrir una causa de inadmisión prevista por la ley (SSTC 114/1986, 213/1990 y 247/1991). La Ley Orgánica del Poder Judicial (LOPJ) dispone la subsanación de todos los actos subsanables, pero sin definir cuáles son éstos (arts. 11.3, 240 y 243 LOPJ). La STC 5/1988, de 21 de enero, declara que el art. 24.1 CE no consagra una regla general y absoluta a favor de la subsanación de los vicios o defectos procesales, regla que tampoco se contempla en el actual ordenamiento procesal; sin perjuicio de la tendencia, cada vez más acentuada, a favorecer la conservación de los actos procesales o la subsanación de los defectos susceptibles de reparación sin ruptura del proceso. La STC 162/1986, de 17 de diciembre, declara la doctrina general de la proporcionalidad para permitir la subsanación, desarrollada en la STC 39/1988, de 9 de marzo.</w:t>
      </w:r>
    </w:p>
    <w:p w:rsidR="00D06117" w:rsidRDefault="00D06117" w:rsidP="00D06117">
      <w:pPr>
        <w:pStyle w:val="TextoNormal"/>
      </w:pPr>
    </w:p>
    <w:p w:rsidR="00D06117" w:rsidRDefault="00D06117" w:rsidP="00D06117">
      <w:pPr>
        <w:pStyle w:val="TextoNormal"/>
      </w:pPr>
      <w:r>
        <w:t>Finalmente, el Auto afirma que la literalidad del precepto legal cuestionado no permite la subsanación de la omisión de ingreso de la tasa, sino sólo de la falta de acreditación documental de dicho ingreso. La afirmación en contrario del Fiscal carece de argumentos que la apoyen, por lo que no desvanece la duda de la Sala. Y observa que la Audiencia no hubiera podido declarar la nulidad de las actuaciones para que el Juzgado requiriese la subsanación de la falta, porque el art. 227, apartado 2, párrafo 2, LEC prohíbe al Tribunal que conoce del recurso que decrete de oficio una nulidad de las actuaciones que no haya sido solicitada, salvo unos supuestos tasados ajenos al abono de las tasas. Precepto que ha entrado en vigor por disposición de la Ley Orgánica 19/2003, de 23 de diciembre, que ha levantado la suspensión que había introducido la disposición final 17 LEC.</w:t>
      </w:r>
    </w:p>
    <w:p w:rsidR="00D06117" w:rsidRDefault="00D06117" w:rsidP="00D06117">
      <w:pPr>
        <w:pStyle w:val="TextoNormal"/>
      </w:pPr>
    </w:p>
    <w:p w:rsidR="00D06117" w:rsidRDefault="00D06117" w:rsidP="00D06117">
      <w:pPr>
        <w:pStyle w:val="TextoNormal"/>
      </w:pPr>
      <w:r>
        <w:t>c) La Audiencia Provincial observa que la tasa prevista en el art. 35.7 de la Ley 53/2002 no es una figura completamente extraña a nuestra ordenación fiscal, pues los Decretos 1034/1959 y 1035/1959, de 18 de junio, regulaban unas tasas judiciales. Las cuales fueron suprimidas por la Ley 25/1986, de 24 de diciembre, entre otras razones por estimarse contrarias al principio de gratuidad de la justicia (art. 119 CE), por ser “incompatibles con algunos principios tributarios vigentes” y porque la fórmula de gestión merecía el calificativo de “poco eficiente”. Seguidamente se exponen los rasgos definitorios de la tasa, analizando su adecuación misma a la noción de tasa, los supuestos en lo que resulta exigible en el orden judicial civil, el devengo, la determinación de la base imponible y el modo de liquidación.</w:t>
      </w:r>
    </w:p>
    <w:p w:rsidR="00D06117" w:rsidRDefault="00D06117" w:rsidP="00D06117">
      <w:pPr>
        <w:pStyle w:val="TextoNormal"/>
      </w:pPr>
    </w:p>
    <w:p w:rsidR="00D06117" w:rsidRDefault="00D06117" w:rsidP="00D06117">
      <w:pPr>
        <w:pStyle w:val="TextoNormal"/>
      </w:pPr>
      <w:r>
        <w:t xml:space="preserve">d) Sostiene el órgano judicial que la duda de constitucionalidad no nace de la eventual incompatibilidad con el art. 24.1 CE por el hecho de que éste impida que la Administración de Justicia pueda tener un coste para quienes la utilizan, mencionando en este punto una serie de resoluciones del Tribunal Europeo de Derechos Humanos. El problema nace de la </w:t>
      </w:r>
      <w:r>
        <w:lastRenderedPageBreak/>
        <w:t>configuración del tributo como inesquivable presupuesto de admisibilidad del acto procesal gravado en cada caso. En su opinión, la única interpretación plausible del art. 35.7 de la Ley 53/2002 es, y así parece corroborarlo la dicción del art. 449.6 LEC, que la subsanación que permite aquel precepto atañe exclusivamente a la omisión del documento que acredite, ante el órgano judicial, que se había efectuado el ingreso en el tesoro público de la tasa que corresponda. Dicho de otro modo, en tanto la acreditación del pago, mediante la presentación del ejemplar correspondiente del impreso de autoliquidación, reviste carácter formal y por ende subsanable, el ingreso efectivo de la tasa constituye una obligación material cuyo cumplimiento extemporáneo no puede aceptarse.</w:t>
      </w:r>
    </w:p>
    <w:p w:rsidR="00D06117" w:rsidRDefault="00D06117" w:rsidP="00D06117">
      <w:pPr>
        <w:pStyle w:val="TextoNormal"/>
      </w:pPr>
    </w:p>
    <w:p w:rsidR="00D06117" w:rsidRDefault="00D06117" w:rsidP="00D06117">
      <w:pPr>
        <w:pStyle w:val="TextoNormal"/>
      </w:pPr>
      <w:r>
        <w:t>e) Por lo que se refiere al derecho a los recursos, el Auto recuerda que la jurisprudencia constitucional admite que su ejercicio está subordinado a la observancia de una serie de presupuestos y requisitos, cuyo incumplimiento comporta distintas consecuencias (mencionando, entre otras muchas, las SSTC 57/1984, 162/1986, 21/1989 o 134/1990). De acuerdo con los principios generales que derivan de esta jurisprudencia, debe afirmarse que el órgano judicial puede permitir la subsanación de las faltas documentales; pero no del defecto sustancial o material del ingreso de la tasa, porque ello supondría autorizar el cumplimiento extemporáneo de un requisito cuya observancia establece la ley como anterior o, a lo sumo, simultáneo, pero nunca posterior, a la interposición del recurso.</w:t>
      </w:r>
    </w:p>
    <w:p w:rsidR="00D06117" w:rsidRDefault="00D06117" w:rsidP="00D06117">
      <w:pPr>
        <w:pStyle w:val="TextoNormal"/>
      </w:pPr>
    </w:p>
    <w:p w:rsidR="00D06117" w:rsidRDefault="00D06117" w:rsidP="00D06117">
      <w:pPr>
        <w:pStyle w:val="TextoNormal"/>
      </w:pPr>
      <w:r>
        <w:t>Los requisitos que no revisten mero carácter formal, sino que se configuran como materiales o sustantivos para el acceso al proceso judicial, pueden ser exigidos para la admisibilidad de la pretensión sin incurrir en formalismos desproporcionados, sino como una vía razonable y adecuada para garantizar los intereses protegidos. Así, se ha afirmado que autorizar la consignación o depósito extemporáneo, como es el realizado tras el requerimiento para acreditar que se había consignado al tiempo de preparar un recurso, es un proceder que daña la regularidad del procedimiento y los intereses de las otras partes del proceso (SSTC 59/1984, 46/1989 y 39/1990).</w:t>
      </w:r>
    </w:p>
    <w:p w:rsidR="00D06117" w:rsidRDefault="00D06117" w:rsidP="00D06117">
      <w:pPr>
        <w:pStyle w:val="TextoNormal"/>
      </w:pPr>
    </w:p>
    <w:p w:rsidR="00D06117" w:rsidRDefault="00D06117" w:rsidP="00D06117">
      <w:pPr>
        <w:pStyle w:val="TextoNormal"/>
      </w:pPr>
      <w:r>
        <w:t>f) A diferencia de lo que sucede con las consignaciones o depósitos, cabe cuestionar si el ingreso y satisfacción de la denominada tasa judicial es una exigencia razonable y proporcionada, dispuesta en beneficio de un interés legítimo digno de protección. El Auto sostiene que las tasas judiciales son ajenas a la función jurisdiccional, a pesar del obiter dictum que en sentido contrario contiene la STC 141/1988, de 12 de julio. De modo que impedir el acceso a la jurisdicción, sea en primer grado o en vía de recurso, parece a todas luces una medida desproporcionada, sin perjuicio de que la finalidad del tributo pueda considerarse legítima (art. 31 CE). La exigencia de que el ingreso del tributo sea inexcusablemente previo a la realización del acto procesal gravado comporta condicionar el acceso a la justicia, no a la integridad objetiva del proceso, sino a la mayor eficacia recaudatoria de la hacienda pública (art. 103 CE).</w:t>
      </w:r>
    </w:p>
    <w:p w:rsidR="00D06117" w:rsidRDefault="00D06117" w:rsidP="00D06117">
      <w:pPr>
        <w:pStyle w:val="TextoNormal"/>
      </w:pPr>
    </w:p>
    <w:p w:rsidR="00D06117" w:rsidRDefault="00D06117" w:rsidP="00D06117">
      <w:pPr>
        <w:pStyle w:val="TextoNormal"/>
      </w:pPr>
      <w:r>
        <w:t>El Auto finaliza su fundamentación observando que la declaración de constitucionalidad incondicionada de la norma determinaría la desestimación del recurso de reposición y, con él, la inadmisión sobrevenida del recurso de apelación; diversamente, a la declaración de inconstitucionalidad se anudaría la estimación del recurso de reposición, la declaración de tener por subsanado el requisito y, consecuentemente, la continuación del recurso de apelación hasta su decisión de fondo.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Por providencia de 7 de junio de 2005, la Sección Primera admitió a trámite la cuestión y dio traslado al Congreso de los Diputados, al Senado, al Gobierno y a la Fiscalía General del Estado. Asimismo, acordó publicar la incoación de la cuestión en el “Boletín Oficial del Estado”, lo que tuvo lugar en el ejemplar de 20 de junio de 2005.</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de 21 de junio de 2005, registrado el siguiente día 23, el Presidente del Congreso de los Diputados comunicó al Tribunal que el Congreso no se personaría en el proceso ni formularía alegaciones, pero que ponía a su disposición las actuaciones de la Cámara que pudiere precisar.</w:t>
      </w:r>
    </w:p>
    <w:p w:rsidR="00D06117" w:rsidRDefault="00D06117" w:rsidP="00D06117">
      <w:pPr>
        <w:pStyle w:val="TextoNormal"/>
      </w:pPr>
    </w:p>
    <w:p w:rsidR="00D06117" w:rsidRDefault="00D06117" w:rsidP="00D06117">
      <w:pPr>
        <w:pStyle w:val="TextoNormal"/>
      </w:pPr>
      <w:r>
        <w:t>Por escrito de 21 de junio de 2005, registrado el siguiente día 23, el Presidente del Senado comunicó asimismo que la Cámara se personaba en el procedimiento y ofrecía su colaboración.</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por escrito de 22 de junio de 2005, presentado en el Registro General el siguiente día 23, formuló alegaciones a favor de la desestimación de la cuestión de inconstitucionalidad:</w:t>
      </w:r>
    </w:p>
    <w:p w:rsidR="00D06117" w:rsidRDefault="00D06117" w:rsidP="00D06117">
      <w:pPr>
        <w:pStyle w:val="TextoNormal"/>
      </w:pPr>
    </w:p>
    <w:p w:rsidR="00D06117" w:rsidRDefault="00D06117" w:rsidP="00D06117">
      <w:pPr>
        <w:pStyle w:val="TextoNormal"/>
      </w:pPr>
      <w:r>
        <w:t>Entiende que la cuestión cumple todas las exigencias formales que la Ley Orgánica y la doctrina del Tribunal han exigido. Aunque podría suscitarse la duda de si cabe encontrar una interpretación del precepto más conforme con la Constitución, ello no afecta a la viabilidad de la cuestión (STC 161/1997). Sin embargo, precisa que la duda debe circunscribirse al párrafo segundo del art. 35.7 de la Ley 53/2002, que es al que se refirió el trámite de alegaciones a las partes y el propia Auto que suscita la cuestión.</w:t>
      </w:r>
    </w:p>
    <w:p w:rsidR="00D06117" w:rsidRDefault="00D06117" w:rsidP="00D06117">
      <w:pPr>
        <w:pStyle w:val="TextoNormal"/>
      </w:pPr>
    </w:p>
    <w:p w:rsidR="00D06117" w:rsidRDefault="00D06117" w:rsidP="00D06117">
      <w:pPr>
        <w:pStyle w:val="TextoNormal"/>
      </w:pPr>
      <w:r>
        <w:t>En cuanto al fondo, el Abogado del Estado inicia sus alegaciones explicando que cabe una interpretación del precepto cuestionado más conforme con el art. 24.1 CE: el propio art. 35 articula el mecanismo de la subsanación, sin distinguir entre la justificación formal y el pago. La amplitud del precepto permite una interpretación pro actione, por lo que sólo transcurrido el plazo de diez días para la subsanación sin que se hubiera justificado el pago de la tasa, aunque sea fuera del plazo de devengo, cabría la inadmisión de la actuación procesal. Pues la tasa no es un requisito configurado como presupuesto procesal de indeclinable cumplimiento en tiempo y forma (STC 69/1997): la Ley 53/2002 no configura el pago de la tasa como presupuesto material de la acción, sino que únicamente impone como requisito procesal la justificación del pago, cualquier que sea el momento en que se produzca. Sin que valga el argumento derivado del art. 449.6 LEC, que sólo resulta aplicable a los supuestos en él enumerados.</w:t>
      </w:r>
    </w:p>
    <w:p w:rsidR="00D06117" w:rsidRDefault="00D06117" w:rsidP="00D06117">
      <w:pPr>
        <w:pStyle w:val="TextoNormal"/>
      </w:pPr>
    </w:p>
    <w:p w:rsidR="00D06117" w:rsidRDefault="00D06117" w:rsidP="00D06117">
      <w:pPr>
        <w:pStyle w:val="TextoNormal"/>
      </w:pPr>
      <w:r>
        <w:t>El Abogado del Estado señala que esta interpretación coincide con la que sostuvo el órgano judicial que planteó la cuestión de inconstitucionalidad núm. 647-2004. Y, acto seguido, reitera los argumentos que formuló en dicha cuestión, resuelta en la STC 20/2012.</w:t>
      </w:r>
    </w:p>
    <w:p w:rsidR="00D06117" w:rsidRDefault="00D06117" w:rsidP="00D06117">
      <w:pPr>
        <w:pStyle w:val="TextoNormal"/>
      </w:pPr>
    </w:p>
    <w:p w:rsidR="00D06117" w:rsidRDefault="00D06117" w:rsidP="00D06117">
      <w:pPr>
        <w:pStyle w:val="TextoNormal"/>
      </w:pPr>
      <w:r w:rsidRPr="00D06117">
        <w:rPr>
          <w:rStyle w:val="NumeroAFNegritaCaracter"/>
        </w:rPr>
        <w:t>7</w:t>
      </w:r>
      <w:r>
        <w:t>. El Fiscal General del Estado, por escrito de 6 de julio de 2005, registrado el siguiente día 8, informó a favor de la desestimación de la cuestión. Tras pormenorizar los antecedentes de la cuestión, observa que es igual a la que, con número de registro 1389-2005, fue informada el anterior día 4. Por las mismas razones entonces expuestas, solicita igualmente su desestimación.</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providencia de 17 de abril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artículo 35 de la Ley 53/2002, de 30 de diciembre, de medidas fiscales, administrativas y del orden social, creó la tasa por el ejercicio de la potestad jurisdiccional en los órdenes civil y contencioso-administrativo. Su apartado 7, que es objeto de la presente cuestión de inconstitucionalidad, bajo el epígrafe de “autoliquidación y pago” dispuso lo siguiente:</w:t>
      </w:r>
    </w:p>
    <w:p w:rsidR="00D06117" w:rsidRDefault="00D06117" w:rsidP="00D06117">
      <w:pPr>
        <w:pStyle w:val="TextoNormal"/>
      </w:pPr>
    </w:p>
    <w:p w:rsidR="00D06117" w:rsidRDefault="00D06117" w:rsidP="00D06117">
      <w:pPr>
        <w:pStyle w:val="TextoNormal"/>
      </w:pPr>
      <w:r>
        <w:t>“1. Los sujetos pasivos autoliquidarán esta tasa conforme al modelo oficial establecido por el Ministerio de Hacienda y procederán a su ingreso en el Tesoro Público con arreglo a lo dispuesto en la legislación tributaria general y en las normas reglamentarias de desarrollo de este artículo.</w:t>
      </w:r>
    </w:p>
    <w:p w:rsidR="00D06117" w:rsidRDefault="00D06117" w:rsidP="00D06117">
      <w:pPr>
        <w:pStyle w:val="TextoNormal"/>
      </w:pPr>
    </w:p>
    <w:p w:rsidR="00D06117" w:rsidRDefault="00D06117" w:rsidP="00D06117">
      <w:pPr>
        <w:pStyle w:val="TextoNormal"/>
      </w:pPr>
      <w:r>
        <w:t>2.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t>Este precepto ha sido cuestionado por vulnerar el derecho de acceso a la justicia que forma parte del derecho a la tutela judicial efectiva enunciado por el art. 24.1 de la Constitución. El Auto de planteamiento, en términos idénticos a los que dieron lugar a la cuestión núm. 1389-2005, afirma que subordinar el acceso a un recurso de apelación civil, como el que conoce la Audiencia Provincial de Madrid en el proceso previo, al pago temporáneo de la tasa sin posibilidad de subsanación, vulnera el derecho fundamental, como se ha resumido con más detalle en los antecedentes. Por el contrario, tanto el Abogado del Estado como el Fiscal General del Estado sostienen la constitucionalidad del precepto cuestionado.</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preliminar, se debe precisar que la cuestión sólo atañe al segundo párrafo del apartado 7 del artículo 35 que acabamos de transcribir. Así lo ponen de manifiesto tanto el Fiscal General del Estado como el Abogado del Estado, y así resulta de una lectura del propio Auto que plantea la cuestión y de las actuaciones judiciales que lo acompañan.</w:t>
      </w:r>
    </w:p>
    <w:p w:rsidR="00D06117" w:rsidRDefault="00D06117" w:rsidP="00D06117">
      <w:pPr>
        <w:pStyle w:val="TextoNormal"/>
      </w:pPr>
    </w:p>
    <w:p w:rsidR="00D06117" w:rsidRDefault="00D06117" w:rsidP="00D06117">
      <w:pPr>
        <w:pStyle w:val="TextoNormal"/>
      </w:pPr>
      <w:r>
        <w:t xml:space="preserve">El Auto de la Audiencia Provincial, en efecto, nada tiene que reprochar a la previsión legal de que los justiciables autoliquiden la tasa judicial ante el Ministerio de Hacienda en los términos previstos por la legislación tributaria y con arreglo a un formulario oficial, así como que la ingresen directamente en el Tesoro público. La duda de constitucionalidad se centra en el contenido del segundo párrafo, tal y como muestra el contenido del Auto, que limita a dicho precepto su razonamiento de inconstitucionalidad, por ser el relevante para la resolución del proceso a quo. Por añadidura, fue el art. 35.7, párrafo 2, el que fue puesto de manifiesto a las partes y al Ministerio Fiscal en el preceptivo trámite previo de alegaciones. Por consiguiente, en cumplimiento de lo previsto por el art. 163 CE y el art. 35.2 de la Ley Orgánica del Tribunal Constitucional (LOTC) ,tal y como han sido interpretados, entre otras muchas, por las SSTC 64/2003, de 27 de marzo, FJ 5; y 130/2009, de 1 de junio, FJ 2, </w:t>
      </w:r>
      <w:r>
        <w:lastRenderedPageBreak/>
        <w:t>limitaremos nuestro juicio de constitucionalidad al segundo párrafo del apartado 7 del artículo 35.</w:t>
      </w:r>
    </w:p>
    <w:p w:rsidR="00D06117" w:rsidRDefault="00D06117" w:rsidP="00D06117">
      <w:pPr>
        <w:pStyle w:val="TextoNormal"/>
      </w:pPr>
    </w:p>
    <w:p w:rsidR="00D06117" w:rsidRDefault="00D06117" w:rsidP="00D06117">
      <w:pPr>
        <w:pStyle w:val="TextoNormal"/>
      </w:pPr>
      <w:r w:rsidRPr="00D06117">
        <w:rPr>
          <w:rStyle w:val="NumeroAFNegritaCaracter"/>
        </w:rPr>
        <w:t>3</w:t>
      </w:r>
      <w:r>
        <w:t>. Una cuestión de inconstitucionalidad idéntica, suscitada por la misma Sección Décima de la Audiencia Provincial de Madrid en el curso de otro recurso de apelación civil del que estaba conociendo, ha sido desestimada por la Sentencia 79/2012, de este Pleno de 17 de abril de 2012, dictada en la cuestión de inconstitucionalidad núm. 1389-2005, siguiendo la doctrina establecida por la Sentencia 20/2012, de 16 de febrero (publicada en el “Boletín Oficial del Estado” núm. 61, de 12 de marzo). En este proceso constitucional sólo queda alcanzar la misma conclusión sostenida entonces, apoyada en los mismos fundamentos, cuya reiteración resulta innecesaria dado que las Sentencias de este Tribunal Constitucional son publicadas oficialmente en el “Boletín Oficial del Estado” (art. 164.1 CE y art. 86.2 LOTC; SSTC 164/1987, de 27 de octubre, FJ único; 132/1990, de 17 de julio, FJ único; o 387/1993, de 23 de diciembre, FJ único).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cuestión de inconstitucionalidad núm. 1584-2005 relativa al artículo 35, apartado 7, párrafo segundo,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89" w:name="SENTENCIA_2012_86"/>
      <w:r>
        <w:lastRenderedPageBreak/>
        <w:t>SENTENCIA 86/2012, de 18 de abril de 2012</w:t>
      </w:r>
    </w:p>
    <w:bookmarkEnd w:id="8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ECLI:ES:TC:2012:86</w:t>
      </w:r>
    </w:p>
    <w:p w:rsidR="00D06117" w:rsidRDefault="00D06117" w:rsidP="00D06117">
      <w:pPr>
        <w:pStyle w:val="SntesisDescriptiva"/>
      </w:pPr>
    </w:p>
    <w:p w:rsidR="00D06117" w:rsidRDefault="00D06117" w:rsidP="00D06117">
      <w:pPr>
        <w:pStyle w:val="SntesisDescriptiva"/>
      </w:pPr>
      <w:r>
        <w:t>Cuestión de inconstitucionalidad 3210-2005 . Planteada por el Juzgado de lo Contencioso-Administrativo núm. 1 de Palma de Mallorca respecto al art. 18.1 y 2 de la Ley del Parlamento de las Illes Balears 11/2001, de 15 de junio, de ordenación de la actividad comercial en las Illes Balears.</w:t>
      </w:r>
    </w:p>
    <w:p w:rsidR="00D06117" w:rsidRDefault="00D06117" w:rsidP="00D06117">
      <w:pPr>
        <w:pStyle w:val="SntesisDescriptiva"/>
      </w:pPr>
    </w:p>
    <w:p w:rsidR="00D06117" w:rsidRDefault="00D06117" w:rsidP="00D06117">
      <w:pPr>
        <w:pStyle w:val="SntesisAnaltica"/>
      </w:pPr>
      <w:r>
        <w:t>Competencias sobre horarios comerciales: desaparición parcial de objeto de la cuestión en relación con el precepto anulado por la STC 26/2012; inaplicabilidad del Derecho sobrevenido a las cuestiones de inconstitucionalidad (STC 184/2011).</w:t>
      </w:r>
    </w:p>
    <w:p w:rsidR="00D06117" w:rsidRDefault="00D06117" w:rsidP="00D06117">
      <w:pPr>
        <w:pStyle w:val="SntesisAnaltica"/>
      </w:pPr>
    </w:p>
    <w:p w:rsidR="00D06117" w:rsidRDefault="00D06117" w:rsidP="00D06117">
      <w:pPr>
        <w:pStyle w:val="Extracto"/>
      </w:pPr>
      <w:r>
        <w:t>1.</w:t>
      </w:r>
      <w:r>
        <w:tab/>
        <w:t>Procede desestimar la cuestión planteada en lo que respecta al art. 18.1 de la Ley balear 11/2001, ya que la duda del órgano judicial se fundamenta en su contradicción con el art. 43.2 del Real Decreto-ley 6/2000 que ha sido declarado inconstitucional y nulo, y al haber sido expulsada del ordenamiento jurídico la norma con rango de ley utilizada por el órgano judicial como parámetro de control del precepto autonómico que cuestiona, nos encontraríamos ante un juicio de constitucionalidad abstracto, sin efectos para el caso, lo que resulta improcedente en una cuestión de inconstitucionalidad (AATC 340/2003, 75/2004) [FJ 3].</w:t>
      </w:r>
    </w:p>
    <w:p w:rsidR="00D06117" w:rsidRDefault="00D06117" w:rsidP="00D06117">
      <w:pPr>
        <w:pStyle w:val="Extracto"/>
      </w:pPr>
    </w:p>
    <w:p w:rsidR="00D06117" w:rsidRDefault="00D06117" w:rsidP="00D06117">
      <w:pPr>
        <w:pStyle w:val="Extracto"/>
      </w:pPr>
      <w:r>
        <w:t>2.</w:t>
      </w:r>
      <w:r>
        <w:tab/>
        <w:t>Procede apreciar la desaparición sobrevenida del objeto de la cuestión, en lo que respecta al art. 18.2 de la Ley 11/2001, al haber quedado disipada la duda de constitucionalidad planteada por el órgano judicial, ya que el citado precepto legal ha sido expulsado del ordenamiento, una vez anulado por inconstitucional, por la STC 26/2012 [FJ 2].</w:t>
      </w:r>
    </w:p>
    <w:p w:rsidR="00D06117" w:rsidRDefault="00D06117" w:rsidP="00D06117">
      <w:pPr>
        <w:pStyle w:val="Extracto"/>
      </w:pPr>
    </w:p>
    <w:p w:rsidR="00D06117" w:rsidRDefault="00D06117" w:rsidP="00D06117">
      <w:pPr>
        <w:pStyle w:val="Extracto"/>
      </w:pPr>
      <w:r>
        <w:t>3.</w:t>
      </w:r>
      <w:r>
        <w:tab/>
        <w:t xml:space="preserve">Doctrina sobre inaplicabilidad del </w:t>
      </w:r>
      <w:r w:rsidRPr="00D06117">
        <w:rPr>
          <w:i/>
        </w:rPr>
        <w:t>ius superveniens</w:t>
      </w:r>
      <w:r>
        <w:t xml:space="preserve"> a las cuestiones de inconstitucionalidad (STC 184/2011)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la cuestión de inconstitucionalidad núm. 3210-2005 planteada por el Juzgado de lo Contencioso-Administrativo núm. 1 de Palma de Mallorca, respecto al art. 18.1 y 2 de la Ley del Parlamento de las Illes Balears 11/2001, de 15 de junio, de ordenación de la actividad comercial en las Illes Balears, en relación con lo dispuesto en el art. 43 del Real Decreto-ley 6/2000, de 23 de junio, por posible vulneración del art. 149.1.13 CE. Han comparecido y formulado alegaciones el Abogado del Estado, el Consejo de Gobierno y el Parlamento de las Illes Balears así como el Fiscal General del Estado.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6 de mayo de 2005 se registró en este Tribunal Constitucional un escrito del Juzgado de lo Contencioso-Administrativo núm. 1 de Palma de Mallorca, fechado el 22 de abril anterior, al que se acompaña Auto del mismo órgano judicial, por el que se plantea cuestión de inconstitucionalidad respecto al art. 18.1 y 2 de la Ley del Parlamento de las Illes Balears 11/2001, de 15 de junio, de ordenación de la actividad comercial en las Illes Balears, en relación con lo dispuesto en el art. 43 del Real Decreto-ley 6/2000, de 23 de junio, por posible vulneración del art. 149.1.13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hecho de la presente cuestión de inconstitucionalidad son los siguientes:</w:t>
      </w:r>
    </w:p>
    <w:p w:rsidR="00D06117" w:rsidRDefault="00D06117" w:rsidP="00D06117">
      <w:pPr>
        <w:pStyle w:val="TextoNormal"/>
      </w:pPr>
    </w:p>
    <w:p w:rsidR="00D06117" w:rsidRDefault="00D06117" w:rsidP="00D06117">
      <w:pPr>
        <w:pStyle w:val="TextoNormal"/>
      </w:pPr>
      <w:r>
        <w:t>a) El 29 de octubre de 2003, una entidad mercantil interpuso recurso contencioso-administrativo contra la resolución del Consejero de Comercio, Industria y Energía del Gobierno Balear de 13 de agosto de 2003, desestimatoria del recurso de alzada formulado contra la resolución del Director general de promoción dndustrial de 21 de mayo de 2003, por la que se le imponía una sanción de 1.500 euros en calidad de responsable de la infracción tipificada en el art. 48 c) de la Ley 11/2001, de 15 de junio, de ordenación de la actividad comercial.</w:t>
      </w:r>
    </w:p>
    <w:p w:rsidR="00D06117" w:rsidRDefault="00D06117" w:rsidP="00D06117">
      <w:pPr>
        <w:pStyle w:val="TextoNormal"/>
      </w:pPr>
    </w:p>
    <w:p w:rsidR="00D06117" w:rsidRDefault="00D06117" w:rsidP="00D06117">
      <w:pPr>
        <w:pStyle w:val="TextoNormal"/>
      </w:pPr>
      <w:r>
        <w:t>b) La actora formalizó su demanda el 3 de enero de 2004, siendo contestada por la Abogada de la Comunidad Autónoma el siguiente día 24.</w:t>
      </w:r>
    </w:p>
    <w:p w:rsidR="00D06117" w:rsidRDefault="00D06117" w:rsidP="00D06117">
      <w:pPr>
        <w:pStyle w:val="TextoNormal"/>
      </w:pPr>
    </w:p>
    <w:p w:rsidR="00D06117" w:rsidRDefault="00D06117" w:rsidP="00D06117">
      <w:pPr>
        <w:pStyle w:val="TextoNormal"/>
      </w:pPr>
      <w:r>
        <w:t>c) Por Auto de 30 de junio de 2004, el Juzgado actuante elevó cuestión de inconstitucionalidad en relación con el art. 18 de la Ley 11/2001, de 15 de junio. Sin embargo, dicha cuestión fue inadmitida por el ATC 60/2005, de 2 de febrero, al apreciarse el incorrecto cumplimiento de los requisitos del art. 35.2 de la Ley Orgánica del Tribunal Constitucional (LOTC).</w:t>
      </w:r>
    </w:p>
    <w:p w:rsidR="00D06117" w:rsidRDefault="00D06117" w:rsidP="00D06117">
      <w:pPr>
        <w:pStyle w:val="TextoNormal"/>
      </w:pPr>
    </w:p>
    <w:p w:rsidR="00D06117" w:rsidRDefault="00D06117" w:rsidP="00D06117">
      <w:pPr>
        <w:pStyle w:val="TextoNormal"/>
      </w:pPr>
      <w:r>
        <w:t>d) Mediante nuevo Auto de 18 de marzo de 2005 el Juzgado de lo Contencioso- Administrativo núm. 1 de Palma de Mallorca acordó, con suspensión del plazo para dictar Sentencia, dar traslado a las partes y al Ministerio Fiscal para que alegaran en torno a la procedencia de plantear cuestión de inconstitucionalidad respecto del art. 18 de la Ley 11/2001, por posible vulneración del art. 149.1.13 CE.</w:t>
      </w:r>
    </w:p>
    <w:p w:rsidR="00D06117" w:rsidRDefault="00D06117" w:rsidP="00D06117">
      <w:pPr>
        <w:pStyle w:val="TextoNormal"/>
      </w:pPr>
    </w:p>
    <w:p w:rsidR="00D06117" w:rsidRDefault="00D06117" w:rsidP="00D06117">
      <w:pPr>
        <w:pStyle w:val="TextoNormal"/>
      </w:pPr>
      <w:r>
        <w:lastRenderedPageBreak/>
        <w:t>e) Tanto el Ministerio Fiscal, en su escrito de 4 de abril de 2005, como la entidad mercantil demandante, por escrito de alegaciones de 12 de abril de 2005, manifestaron su parecer favorable al planteamiento de la cuestión de inconstitucionalidad, en tanto que la representación de la Administración autonómica, en escrito de 14 de abril de 2005, se opuso.</w:t>
      </w:r>
    </w:p>
    <w:p w:rsidR="00D06117" w:rsidRDefault="00D06117" w:rsidP="00D06117">
      <w:pPr>
        <w:pStyle w:val="TextoNormal"/>
      </w:pPr>
    </w:p>
    <w:p w:rsidR="00D06117" w:rsidRDefault="00D06117" w:rsidP="00D06117">
      <w:pPr>
        <w:pStyle w:val="TextoNormal"/>
      </w:pPr>
      <w:r>
        <w:t>f) Finalmente, por Auto de 22 de abril de 2005, el órgano judicial acordó elevar la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La fundamentación jurídica de dicho Auto se abre con una clara expresión de la aplicabilidad del precepto legal cuestionado al caso sujeto a resolución del órgano judicial y de la relevancia del mismo para el sentido final de dicha resolución. La duda concreta de constitucionalidad se expresa en los siguientes términos: “el Real Decreto-ley [se refiere al 6/2000, de 23 de junio, de medidas urgentes de intensificación de la competencia en mercados de bienes y servicios] permite una libertad horaria mucho más amplia que la fijada por la ley Balear 11/2001, de 15 de junio, que establece en su artículo 18 un máximo de 72 horas semanales de apertura al público con un horario máximo de 12 horas diarias mientras que en el artículo 43 del RD Ley 6/2000 se fijan un mínimo de 90 horas semanales y el horario de apertura dentro de los días laborales de la semana será libremente acordado por cada comerciante respetando siempre el límite máximo del horario global que en su caso se establezca”.</w:t>
      </w:r>
    </w:p>
    <w:p w:rsidR="00D06117" w:rsidRDefault="00D06117" w:rsidP="00D06117">
      <w:pPr>
        <w:pStyle w:val="TextoNormal"/>
      </w:pPr>
    </w:p>
    <w:p w:rsidR="00D06117" w:rsidRDefault="00D06117" w:rsidP="00D06117">
      <w:pPr>
        <w:pStyle w:val="TextoNormal"/>
      </w:pPr>
      <w:r>
        <w:t>Dada la discrepancia entre la norma estatal básica y la autonómica de desarrollo, y en atención a la pendencia del recurso de inconstitucionalidad núm. 5061-2001, que tiene por objeto, entre otros preceptos, el art. 18 de la Ley 11/2001, solicita el órgano judicial un pronunciamiento sobre la constitucionalidad del mismo.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la Sección Tercera de este Tribunal Constitucional de 7 de junio de 2005 se acordó admitir a trámite la presente cuestión de inconstitucionalidad así como dar traslado de las actuaciones recibidas, conforme establece el art. 37.2 LOTC, al Congreso de los Diputados y al Senado, al Gobierno, por conducto del Ministro de Justicia, y al Fiscal General del Estado, así como al Gobierno y Parlamento de las Illes Balears, por conducto de sus Presidentes, al objeto de que, en el improrrogable plazo de quince días, pudieran personarse en el proceso y formular las alegaciones que estimaren convenientes. Finalmente se ordenó publicar la incoación de la cuestión de inconstitucionalidad en el “Boletín Oficial del Estado” y en el “Butlletí Oficial de la Comunitat Autónoma de les Illes Balears”.</w:t>
      </w:r>
    </w:p>
    <w:p w:rsidR="00D06117" w:rsidRDefault="00D06117" w:rsidP="00D06117">
      <w:pPr>
        <w:pStyle w:val="TextoNormal"/>
      </w:pPr>
    </w:p>
    <w:p w:rsidR="00D06117" w:rsidRDefault="00D06117" w:rsidP="00D06117">
      <w:pPr>
        <w:pStyle w:val="TextoNormal"/>
      </w:pPr>
      <w:r w:rsidRPr="00D06117">
        <w:rPr>
          <w:rStyle w:val="NumeroAFNegritaCaracter"/>
        </w:rPr>
        <w:t>5</w:t>
      </w:r>
      <w:r>
        <w:t>. El 23 de junio de 2005 el Presidente del Congreso de los Diputados comunicó el acuerdo de la Mesa de la Cámara de no personarse en el procedimiento ni formular alegaciones. El Presidente del Senado, por escrito registrado en la misma fecha, comunicó el acuerdo de la Mesa de la Cámara de personarse en el procedimiento y ofrecer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día 1 de julio de 2005 el Abogado del Estado registró su escrito de alegaciones interesando la estimación de la cuestión de inconstitucionalidad por los motivos que, sucintamente, se reseñan a continuación.</w:t>
      </w:r>
    </w:p>
    <w:p w:rsidR="00D06117" w:rsidRDefault="00D06117" w:rsidP="00D06117">
      <w:pPr>
        <w:pStyle w:val="TextoNormal"/>
      </w:pPr>
    </w:p>
    <w:p w:rsidR="00D06117" w:rsidRDefault="00D06117" w:rsidP="00D06117">
      <w:pPr>
        <w:pStyle w:val="TextoNormal"/>
      </w:pPr>
      <w:r>
        <w:lastRenderedPageBreak/>
        <w:t>Comienza destacando que el art. 18.1 de la Ley balear 11/2001 contraría lo dispuesto en el art. 43.2 del Real Decreto-ley 6/2000 por cuanto el primero fija en 72 horas el máximo de apertura semanal que el segundo eleva a un mínimo de 90 horas. Por su parte, el art. 18.2 establece un máximo diario de 12 horas que estaría también en disconformidad con el mismo art. 43.2, el cual da libertad al comerciante para fijar el horario de cada día laborable, con tal de que se respete el máximo semanal nunca inferior a las 90 horas. La contradicción entre el precepto estatal y el autonómico es en suma, para el Abogado del Estado, manifiesta y patente.</w:t>
      </w:r>
    </w:p>
    <w:p w:rsidR="00D06117" w:rsidRDefault="00D06117" w:rsidP="00D06117">
      <w:pPr>
        <w:pStyle w:val="TextoNormal"/>
      </w:pPr>
    </w:p>
    <w:p w:rsidR="00D06117" w:rsidRDefault="00D06117" w:rsidP="00D06117">
      <w:pPr>
        <w:pStyle w:val="TextoNormal"/>
      </w:pPr>
      <w:r>
        <w:t>Indica, no obstante, el Abogado del Estado que el art. 43 del Real Decreto-ley 6/2000 ha sido expresamente derogado por la Ley 1/2004, de 21 de diciembre, cuyo art. 3.1 resulta ahora en armonía con el art. 18.1 de la Ley balear 11/2001 mientras que el art. 3.2 de la ley estatal sigue siendo inconciliable con el art. 18.2 de la ley autonómica. No por ello la cuestión pierde su objeto respecto al art. 18.1, atendida la doctrina constitucional, pues en el proceso a quo se impugna una sanción impuesta durante la vigencia del Real Decreto-ley 6/2000 por violar el límite horario establecido en los dos apartados del art. 18 de la Ley balear 11/2001.</w:t>
      </w:r>
    </w:p>
    <w:p w:rsidR="00D06117" w:rsidRDefault="00D06117" w:rsidP="00D06117">
      <w:pPr>
        <w:pStyle w:val="TextoNormal"/>
      </w:pPr>
    </w:p>
    <w:p w:rsidR="00D06117" w:rsidRDefault="00D06117" w:rsidP="00D06117">
      <w:pPr>
        <w:pStyle w:val="TextoNormal"/>
      </w:pPr>
      <w:r>
        <w:t>Apunta a continuación el Abogado del Estado que en este caso las cosas revisten alguna mayor complicación pues el Tribunal ha venido admitiendo las que denomina cuestiones de inconstitucionalidad mediatas, entendiendo por tales las colisiones entre Derecho estatal y autonómico que, mediatamente, suscitan puntos de inconstitucionalidad. Señala que estas inconstitucionalidades competenciales mediatas dan lugar a situaciones como la presente en la que existen dos normas legales del Estado sucesivas, de las cuales la primera entra en contradicción y la segunda está en armonía con un precepto autonómico que ha permanecido, entretanto, inalterado. Estima el Abogado del Estado que estas situaciones desaparecerían si los problemas de colisión entre normas estatales y autonómicas se consideraran ajenos a la jurisdicción constitucional y se dejaran a los Tribunales del Poder Judicial, viendo en ellos una cuestión no tanto de validez de la norma autonómica cuanto de eficacia y aplicabilidad que habría de solventarse reconociendo la prevalencia de la norma estatal básica (así, en el Voto particular de la STC 1/2003). No es ésa la doctrina seguida por el Tribunal Constitucional que siempre ha entrado a conocer las inconstitucionalidades competenciales mediatas, lo que lleva alojada la paradoja de lo que denomina desplazamiento del objeto procesal pues exige examinar previamente si la norma estatal que se reputa contradicha está realmente amparada en la competencia constitucional invocada.</w:t>
      </w:r>
    </w:p>
    <w:p w:rsidR="00D06117" w:rsidRDefault="00D06117" w:rsidP="00D06117">
      <w:pPr>
        <w:pStyle w:val="TextoNormal"/>
      </w:pPr>
    </w:p>
    <w:p w:rsidR="00D06117" w:rsidRDefault="00D06117" w:rsidP="00D06117">
      <w:pPr>
        <w:pStyle w:val="TextoNormal"/>
      </w:pPr>
      <w:r>
        <w:t>Señalado lo anterior, el Abogado del Estado afirma la inconstitucionalidad del art. 18 de la Ley balear 11/2001 por infringir el art. 149.1.13 CE pues entiende que la fijación del horario semanal y diario que ha llevado a cabo el art. 43.2 del Real Decreto-ley 6/2000 está amparada por la citada norma constitucional de competencia ya que han sido formalmente declaradas básicas y también lo son desde la perspectiva material, de conformidad con reiterada doctrina constitucional (con cita, entre otras, de las SSTC 225/1993 y 124/2003), y en atención a las finalidades que el legislador básico pretende alcanzar en la fijación de los horarios comerciales.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El Presidente del Parlamento de las Illes Balears, en nombre y representación del mismo, formuló sus alegaciones mediante escrito registrado el día 5 de julio de 2005 interesando la desestimación de la cuestión planteada por los motivos que se recogen a continuación.</w:t>
      </w:r>
    </w:p>
    <w:p w:rsidR="00D06117" w:rsidRDefault="00D06117" w:rsidP="00D06117">
      <w:pPr>
        <w:pStyle w:val="TextoNormal"/>
      </w:pPr>
    </w:p>
    <w:p w:rsidR="00D06117" w:rsidRDefault="00D06117" w:rsidP="00D06117">
      <w:pPr>
        <w:pStyle w:val="TextoNormal"/>
      </w:pPr>
      <w:r>
        <w:t>Alude en primer lugar a la pendencia de diversos procesos constitucionales en relación con el comercio interior y los horarios comerciales, señalando a continuación que la cuestión concreta discutida es la relativa al horario global semanal de apertura de los comercios de las Illes Balears, aspecto en que la contradicción entre la norma estatal y la autonómica no ofrece dudas interpretativas. Entiende que la norma autonómica encuentra amparo en la competencia exclusiva autonómica en materia de comercio interior, la cual permitiría regular la submateria de comercio interior relativa a los horarios comerciales, tal y como, por otra parte, ya se había argumentado en el recurso de inconstitucionalidad 5061-2001 presentado por el Estado contra determinados preceptos de la Ley balear 11/2001, entre los que se encuentra el ahora cuestionado. Indica a continuación, en segundo lugar, que las SSTC 124/2003 y 157/2004 han señalado que la existencia de un título genérico estatal, como el relativo a la ordenación general de la economía, no permite vaciar de contenido una materia y un título competencial más específico como son los horarios comerciales pues la normativa básica estatal ha de dejar un espacio normativo suficiente para que las Comunidades Autónomas puedan desarrollar sus competencias normativas y de ejecución.</w:t>
      </w:r>
    </w:p>
    <w:p w:rsidR="00D06117" w:rsidRDefault="00D06117" w:rsidP="00D06117">
      <w:pPr>
        <w:pStyle w:val="TextoNormal"/>
      </w:pPr>
    </w:p>
    <w:p w:rsidR="00D06117" w:rsidRDefault="00D06117" w:rsidP="00D06117">
      <w:pPr>
        <w:pStyle w:val="TextoNormal"/>
      </w:pPr>
      <w:r>
        <w:t>Finalmente se refiere a la innecesariedad del planteamiento de la cuestión de inconstitucionalidad en atención al carácter plenamente aplicable de la norma autonómica y defiende la aplicación al presente caso de la doctrina constitucional del ius superveniens, en atención a la derogación del art. 43 del Real Decreto-ley 6/2000 ya que la pérdida sobrevenida de vigencia del artículo que sirve como parámetro de constitucionalidad determina la desaparición del objeto de la impugnación.</w:t>
      </w:r>
    </w:p>
    <w:p w:rsidR="00D06117" w:rsidRDefault="00D06117" w:rsidP="00D06117">
      <w:pPr>
        <w:pStyle w:val="TextoNormal"/>
      </w:pPr>
    </w:p>
    <w:p w:rsidR="00D06117" w:rsidRDefault="00D06117" w:rsidP="00D06117">
      <w:pPr>
        <w:pStyle w:val="TextoNormal"/>
      </w:pPr>
      <w:r w:rsidRPr="00D06117">
        <w:rPr>
          <w:rStyle w:val="NumeroAFNegritaCaracter"/>
        </w:rPr>
        <w:t>8</w:t>
      </w:r>
      <w:r>
        <w:t>. La Abogada de la Comunidad Autónoma de las Illes Balears, en representación del Gobierno de aquella, formuló su escrito de alegaciones el día 7 de julio de 2005 en el que, resumidamente, expone lo siguiente.</w:t>
      </w:r>
    </w:p>
    <w:p w:rsidR="00D06117" w:rsidRDefault="00D06117" w:rsidP="00D06117">
      <w:pPr>
        <w:pStyle w:val="TextoNormal"/>
      </w:pPr>
    </w:p>
    <w:p w:rsidR="00D06117" w:rsidRDefault="00D06117" w:rsidP="00D06117">
      <w:pPr>
        <w:pStyle w:val="TextoNormal"/>
      </w:pPr>
      <w:r>
        <w:t>Tras señalar los antecedentes de la presente cuestión de inconstitucionalidad alude a la pendencia de los recursos de inconstitucionalidad núms. 5019-2000 y 5061-2000 interpuestos, respectivamente, por el Gobierno de las Illes Balears contra, entre otros, el art. 43.2 del Real Decreto-ley 6/2000 y por el Estado contra determinados preceptos de la Ley balear 11/2001, entre los que se encuentran los relativos a los horarios comerciales. Igualmente indica que la normativa estatal que se discutía y que fue de aplicación en los autos que originan la presente cuestión se ha visto superada por la Ley estatal 1/2004, de 21 de diciembre, de horarios comerciales, cuyo art. 3 es concordante con el art. 18 de la ley autonómica, precepto que resulta de aplicación en todo caso, pues se levantó la suspensión de su vigencia y aplicación por el ATC 20/2002, de 12 de febrero. La conclusión que alcanza la representación procesal del Gobierno de las Illes Balears es que, levantada la suspensión, hasta que el Tribunal Constitucional resuelva sobre la validez de los preceptos estatales y autonómicos, será la norma autonómica la que, provisionalmente, deban aplicar los operadores jurídicos tal y como hizo la Administración de la Comunidad Autónoma.</w:t>
      </w:r>
    </w:p>
    <w:p w:rsidR="00D06117" w:rsidRDefault="00D06117" w:rsidP="00D06117">
      <w:pPr>
        <w:pStyle w:val="TextoNormal"/>
      </w:pPr>
    </w:p>
    <w:p w:rsidR="00D06117" w:rsidRDefault="00D06117" w:rsidP="00D06117">
      <w:pPr>
        <w:pStyle w:val="TextoNormal"/>
      </w:pPr>
      <w:r>
        <w:lastRenderedPageBreak/>
        <w:t>La Letrada autonómica se detiene a continuación en el examen del alcance de la competencia autonómica exclusiva en materia de comercio interior del art. 10.38 del Estatuto de Autonomía, reconociendo que, junto a los límites explícitos de ese precepto (política general de precios, libre circulación de bienes y legislación sobre defensa de la competencia), dicha competencia puede verse incidida por otros títulos competenciales estatales de carácter exclusivo o de naturaleza horizontal como son los derivados del art. 149.1.1 y 13 CE. Con respecto a este último destaca que, en un esquema competencial bases-desarrollo, la norma estatal se reconduce a la fijación de bases que, aun admitiendo junto a directrices y criterios globales de ordenación, medidas o acciones singulares, deben venir delimitados por dos criterios: la acreditación de una incidencia directa y significativa sobre la actividad económica general y la garantía de espacio normativo suficiente a las Comunidades Autónomas para que puedan desarrollar sus competencias normativas y de ejecución en materia de comercio minorista y horarios comerciales.</w:t>
      </w:r>
    </w:p>
    <w:p w:rsidR="00D06117" w:rsidRDefault="00D06117" w:rsidP="00D06117">
      <w:pPr>
        <w:pStyle w:val="TextoNormal"/>
      </w:pPr>
    </w:p>
    <w:p w:rsidR="00D06117" w:rsidRDefault="00D06117" w:rsidP="00D06117">
      <w:pPr>
        <w:pStyle w:val="TextoNormal"/>
      </w:pPr>
      <w:r>
        <w:t>Entrando ya en el fondo del asunto, la Abogada de la Comunidad Autónoma de las Illes Balears estima que el objeto de debate ha de quedar circunscrito a la consideración de si la fijación máxima horaria que determina el art. 18 de la Ley balear 11/2001 excede del ámbito competencial autonómico o, por el contrario, se ajusta a éste. Al respecto indica que las SSTC 225/1993, 228/1993, 264/1993 y 268/1993 consideraron los horarios comerciales como una submateria del comercio interior, estimando que las competencias estatales ex art. 149.1.13 CE le permitían imponer en todo el territorio nacional un régimen de horarios comerciales limitativo de la competencia autonómica en materia de comercio interior. Tales Sentencias, sin embargo, no se pronunciaron sobre la cuestión concreta de la que ahora se trata. Considera en este sentido que una regulación material y pormenorizada de los horarios comerciales no puede venir amparada en la competencia estatal del art. 149.1.13 CE, ya que el Tribunal Constitucional lo ha admitido únicamente en relación con el régimen de libertad de horarios comerciales. Esta conclusión se ve, a juicio de la Abogada autonómica, reforzada por el hecho de que establecer, como hace la norma estatal, un mínimo de 90 horas semanales supone que no exista margen razonable para el desarrollo legislativo autonómico, lo que tampoco casa con la necesidad de mantener una interpretación restrictiva del art. 149.1.13 CE cuando se confronta con competencias exclusiva de las Comunidades Autónomas ni con los Votos particulares formulados a las Sentencias antes citadas y con la exigencia constitucional de atender al hecho insular (art. 138.1 CE), lo que ha de limitar la incidencia del art. 149.1.13 CE y permitir el establecimiento de una política propia en materia de comercio adaptada a las características peculiares de las Illes Balears.</w:t>
      </w:r>
    </w:p>
    <w:p w:rsidR="00D06117" w:rsidRDefault="00D06117" w:rsidP="00D06117">
      <w:pPr>
        <w:pStyle w:val="TextoNormal"/>
      </w:pPr>
    </w:p>
    <w:p w:rsidR="00D06117" w:rsidRDefault="00D06117" w:rsidP="00D06117">
      <w:pPr>
        <w:pStyle w:val="TextoNormal"/>
      </w:pPr>
      <w:r>
        <w:t>La conclusión que se obtiene de todo ello es que el art. 43 del Real Decreto-ley 6/2000, en lo que afecta a los horarios comerciales, no constituye una norma materialmente básica ex art. 149.1.13 CE y que, en cambio el art. 18 de la Ley balear 11/2001 se ampara en la competencia autonómica en materia de comercio interior.</w:t>
      </w:r>
    </w:p>
    <w:p w:rsidR="00D06117" w:rsidRDefault="00D06117" w:rsidP="00D06117">
      <w:pPr>
        <w:pStyle w:val="TextoNormal"/>
      </w:pPr>
    </w:p>
    <w:p w:rsidR="00D06117" w:rsidRDefault="00D06117" w:rsidP="00D06117">
      <w:pPr>
        <w:pStyle w:val="TextoNormal"/>
      </w:pPr>
      <w:r w:rsidRPr="00D06117">
        <w:rPr>
          <w:rStyle w:val="NumeroAFNegritaCaracter"/>
        </w:rPr>
        <w:t>9</w:t>
      </w:r>
      <w:r>
        <w:t>. El Fiscal General del Estado, mediante escrito registrado en este Tribunal el día 11 de julio de 2005 presentó las alegaciones que se resumen a continuación.</w:t>
      </w:r>
    </w:p>
    <w:p w:rsidR="00D06117" w:rsidRDefault="00D06117" w:rsidP="00D06117">
      <w:pPr>
        <w:pStyle w:val="TextoNormal"/>
      </w:pPr>
    </w:p>
    <w:p w:rsidR="00D06117" w:rsidRDefault="00D06117" w:rsidP="00D06117">
      <w:pPr>
        <w:pStyle w:val="TextoNormal"/>
      </w:pPr>
      <w:r>
        <w:t xml:space="preserve">Tras la exposición de los antecedentes de la presente cuestión de inconstitucionalidad transcribe el contenido de los arts. 18 de la Ley balear 11/2001 y 43 del Real Decreto-ley 6/2000, indicando que este último ha sido derogado por la Ley estatal 1/2004, de 21 de diciembre. Señala a continuación que, en su criterio, los preceptos que deberían haber sido </w:t>
      </w:r>
      <w:r>
        <w:lastRenderedPageBreak/>
        <w:t>cuestionados serían aquellos que sirven de fundamento legal a la infracción apreciada y a la sanción impuesta, ya que el precepto cuestionado lo único que determina es el presupuesto fáctico sobre el que se ha configurado la infracción leve que ha sido apreciada y la sanción prevista para el mismo, pero no atiende al núcleo central del debate procesal que es el de la constitucionalidad de la infracción administrativa apreciada y de la sanción impuesta. Así resulta que, de modo similar a como acontecía en la STC 254/2004, el precepto cuestionado carece de contenido normativo tipificador de infracción o sanción alguna, lo que determinaría la eventual carencia de relevancia del precepto cuestionado para la decisión final del proceso.</w:t>
      </w:r>
    </w:p>
    <w:p w:rsidR="00D06117" w:rsidRDefault="00D06117" w:rsidP="00D06117">
      <w:pPr>
        <w:pStyle w:val="TextoNormal"/>
      </w:pPr>
    </w:p>
    <w:p w:rsidR="00D06117" w:rsidRDefault="00D06117" w:rsidP="00D06117">
      <w:pPr>
        <w:pStyle w:val="TextoNormal"/>
      </w:pPr>
      <w:r>
        <w:t>Entrando ya en el fondo del asunto señala que el problema consiste en determinar si la norma legal autonómica ha sido dictada en el ámbito de las competencias autonómicas o, por el contrario, ha invadido esferas de competencias exclusivas del Estado en materia de fijación de bases y coordinación de la planificación general de la actividad económica. Para responder a esta cuestión estima el Fiscal General del Estado que ha de partirse de dos ideas: la competencia exclusiva autonómica en materia de comercio interior, sin perjuicio de la competencia exclusiva del Estado en materia de fijación de bases y coordinación de la planificación general de la actividad económica, y, de otro lado, que la submateria de horarios comerciales forma parte de la materia de comercio interior. Igualmente destaca el Fiscal el carácter básico atribuido al art. 43 del Real Decreto-ley 6/2000, con el que se perseguía flexibilizar los horarios comerciales. Partiendo de ese marco normativo alude el Ministerio público a la doctrina de la STC 225/1993 en relación a la extensión de las decisiones básicas estatales. Doctrina de la que deriva la necesidad de un examen de la norma estatal y de la finalidad que persigue, señalando que se trata de medidas de liberalización relacionadas con un objetivo de política económica que estaría vinculado a la inmediata incorporación a la moneda única y con la convergencia real dentro del marco de la Unión Europea. En concreto, respecto a la medida en materia de horarios comerciales, indica el Fiscal General del Estado, estima que la misma trataba, con cita de la STC 225/1993, FJ 3, de “estimular la actividad en el sector de la distribución, facilitando una adecuación de la productividad y de la capacidad de competencia de las empresas a las demandas reales de los consumidores”, lo que, al igual que el caso del Real Decreto-ley 2/1985, permitiría su adopción por el Estado, por tratarse de una medida de política económica general que responde a fines de interés general basados en la búsqueda de un mayor dinamismo de las empresas distribuidoras y una mayor flexibilización de la oferta comercial. Así, en la medida en que el fin perseguido por esta norma estatal no es otro que el del establecimiento de un régimen de libertad de actividades, se justifica su carácter básico en cuanto que responde a un fin de interés general como es el de la ordenación de la actividad económica general.</w:t>
      </w:r>
    </w:p>
    <w:p w:rsidR="00D06117" w:rsidRDefault="00D06117" w:rsidP="00D06117">
      <w:pPr>
        <w:pStyle w:val="TextoNormal"/>
      </w:pPr>
    </w:p>
    <w:p w:rsidR="00D06117" w:rsidRDefault="00D06117" w:rsidP="00D06117">
      <w:pPr>
        <w:pStyle w:val="TextoNormal"/>
      </w:pPr>
      <w:r>
        <w:t xml:space="preserve">Determinado de tal forma el carácter básico de la norma estatal el Fiscal General del Estado entiende que la norma cuestionada, aunque parte de la libertad del comerciante para determinar los horarios de apertura y cierre de los establecimientos comerciales, establece dos límites a esa libertad. Uno de carácter global o general, el de 72 horas semanales como máximo frente a las 90 que contempla la norma estatal, y otro, que es el del horario diario máximo de 12 horas. Llegados a este punto el Ministerio público estima que el art. 18 de la Ley balear 11/2001 es inconstitucional pues resulta que el Estado se ha amparado en su competencia exclusiva sobre ordenación de la actividad económica general para dictar el art. 43 del Real Decreto-ley 6/2000 y, siendo incompatible la norma estatal, de carácter básico, con las restricciones en esta materia introducidas posteriormente por la Comunidad </w:t>
      </w:r>
      <w:r>
        <w:lastRenderedPageBreak/>
        <w:t>Autónoma de las Illes Balears el art. 18 de la Ley balear 11/2001 ha de ser declarado inconstitucional.</w:t>
      </w:r>
    </w:p>
    <w:p w:rsidR="00D06117" w:rsidRDefault="00D06117" w:rsidP="00D06117">
      <w:pPr>
        <w:pStyle w:val="TextoNormal"/>
      </w:pPr>
    </w:p>
    <w:p w:rsidR="00D06117" w:rsidRDefault="00D06117" w:rsidP="00D06117">
      <w:pPr>
        <w:pStyle w:val="TextoNormal"/>
      </w:pPr>
      <w:r>
        <w:t>Afirmado lo anterior estima el Fiscal General del Estado que la inconstitucionalidad sólo debe causar la nulidad y consiguiente expulsión del ordenamiento jurídico del art. 18.2 pero no del art. 18.1. En ese sentido señala que, aunque el límite máximo establecido es mas restrictivo que el de la norma estatal que regía al tiempo en que fue publicada aquella, con posterioridad la Ley 1/2004 ha venido a establecer una compatibilidad absoluta de la norma estatal con la autonómica, ya que aquella dispone en su art. 3 un horario global coincidente con el de la norma balear. Por ello, entiende que si bien el precepto ha de ser declarado inconstitucional en lo que se refiere al supuesto de autos, con el efecto de su inaplicabilidad por el órgano judicial en el proceso a quo, al establecer unos límites más restrictivos que los fijados en la norma estatal que regía al tiempo de su aplicación al supuesto de autos, no tiene sentido acordar su nulidad y consiguiente expulsión del ordenamiento jurídico cuando ahora es perfectamente conforme a la norma estatal y satisface los fines que esta última persigue.</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17 de abril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En el presente proceso constitucional debemos resolver la cuestión de inconstitucionalidad planteada respecto al art. 18.1 y 2 de la Ley del Parlamento de las Illes Balears 11/2001, de 15 de junio, de ordenación de la actividad comercial en las Illes Balears, en relación con lo dispuesto en el art. 43 del Real Decreto-ley 6/2000, de 23 de junio, por posible vulneración del art. 149.1.13 CE.</w:t>
      </w:r>
    </w:p>
    <w:p w:rsidR="00D06117" w:rsidRDefault="00D06117" w:rsidP="00D06117">
      <w:pPr>
        <w:pStyle w:val="TextoNormal"/>
      </w:pPr>
    </w:p>
    <w:p w:rsidR="00D06117" w:rsidRDefault="00D06117" w:rsidP="00D06117">
      <w:pPr>
        <w:pStyle w:val="TextoNormal"/>
      </w:pPr>
      <w:r>
        <w:t>El art. 18 de la Ley balear 11/2001 establecía lo siguiente:</w:t>
      </w:r>
    </w:p>
    <w:p w:rsidR="00D06117" w:rsidRDefault="00D06117" w:rsidP="00D06117">
      <w:pPr>
        <w:pStyle w:val="TextoNormal"/>
      </w:pPr>
    </w:p>
    <w:p w:rsidR="00D06117" w:rsidRDefault="00D06117" w:rsidP="00D06117">
      <w:pPr>
        <w:pStyle w:val="TextoNormal"/>
      </w:pPr>
      <w:r>
        <w:t>“Artículo 18. Horarios en días laborales.</w:t>
      </w:r>
    </w:p>
    <w:p w:rsidR="00D06117" w:rsidRDefault="00D06117" w:rsidP="00D06117">
      <w:pPr>
        <w:pStyle w:val="TextoNormal"/>
      </w:pPr>
    </w:p>
    <w:p w:rsidR="00D06117" w:rsidRDefault="00D06117" w:rsidP="00D06117">
      <w:pPr>
        <w:pStyle w:val="TextoNormal"/>
      </w:pPr>
      <w:r>
        <w:t>1. Cada comerciante, tanto al por mayor como al detalle, determinará el horario de apertura y cierre de sus establecimientos comerciales, así como los días en que ha de desarrollar su actividad, con un máximo de 72 horas semanales, sin perjuicio de los derechos reconocidos a los trabajadores en la normativa laboral.</w:t>
      </w:r>
    </w:p>
    <w:p w:rsidR="00D06117" w:rsidRDefault="00D06117" w:rsidP="00D06117">
      <w:pPr>
        <w:pStyle w:val="TextoNormal"/>
      </w:pPr>
    </w:p>
    <w:p w:rsidR="00D06117" w:rsidRDefault="00D06117" w:rsidP="00D06117">
      <w:pPr>
        <w:pStyle w:val="TextoNormal"/>
      </w:pPr>
      <w:r>
        <w:t>2. El horario diario no podrá exceder de 12 horas.”</w:t>
      </w:r>
    </w:p>
    <w:p w:rsidR="00D06117" w:rsidRDefault="00D06117" w:rsidP="00D06117">
      <w:pPr>
        <w:pStyle w:val="TextoNormal"/>
      </w:pPr>
    </w:p>
    <w:p w:rsidR="00D06117" w:rsidRDefault="00D06117" w:rsidP="00D06117">
      <w:pPr>
        <w:pStyle w:val="TextoNormal"/>
      </w:pPr>
      <w:r>
        <w:t>El órgano judicial estima que este precepto es contrario a la normativa estatal en materia de horarios comerciales vigente en el momento de dictarse el acto administrativo impugnado en el proceso a quo, según lo establecido en el art. 43 del Real Decreto-ley 6/2000, de 23 de junio, de medidas urgentes de intensificación de la competencia en mercados de bienes y servicios. Plantea así un problema de los que nuestra doctrina ha calificado como de inconstitucionalidad mediata o indirecta por cuanto estima vulnerada la normativa básica estatal en materia de horarios comerciales y, a su través, el art. 149.1.13 CE, título competencial que ampararía al Estado en el establecimiento de la regulación de los horarios comerciales.</w:t>
      </w:r>
    </w:p>
    <w:p w:rsidR="00D06117" w:rsidRDefault="00D06117" w:rsidP="00D06117">
      <w:pPr>
        <w:pStyle w:val="TextoNormal"/>
      </w:pPr>
    </w:p>
    <w:p w:rsidR="00D06117" w:rsidRDefault="00D06117" w:rsidP="00D06117">
      <w:pPr>
        <w:pStyle w:val="TextoNormal"/>
      </w:pPr>
      <w:r>
        <w:lastRenderedPageBreak/>
        <w:t>Como ha quedado expuesto con más detalle en los antecedentes de la presente resolución el Abogado del Estado considera que la cuestión debe ser estimada por entender que el art. 18 de la Ley balear 11/2001 es contrario al art. 149.1.13 CE. Conclusión también compartida por el Fiscal General del Estado, si bien este último entiende que la inconstitucionalidad apreciada únicamente debe llevar aparejada la consecuencia de nulidad en el caso del art. 18.2. Por el contrario, las representaciones procesales del Gobierno y del Parlamento de las Illes Balears se han opuesto a la estimación de la cuestión pues niegan carácter básico a los preceptos estatales en materia de horarios comerciales y entienden que el art. 18 de la Ley balear 11/2001 ha sido dictado en ejercicio de las competencias autonómicas en materia de comercio interior.</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abordar la resolución de la presente cuestión, debemos despejar dos cuestiones de orden procesal. La primera es la que plantea el Fiscal General del Estado, para el cual se habría incumplido el requisito del juicio de relevancia exigido por el art. 35.2 de la Ley Orgánica del Tribunal Constitucional (LOTC) por cuanto que los preceptos relevantes serían aquellos que sirven de fundamento a la infracción apreciada y a la sanción impuesta, mientras que lo único que determinaría el art. 18 sería el presupuesto fáctico sobre el que se ha configurado la infracción leve que ha sido apreciada y la sanción prevista para el mismo.</w:t>
      </w:r>
    </w:p>
    <w:p w:rsidR="00D06117" w:rsidRDefault="00D06117" w:rsidP="00D06117">
      <w:pPr>
        <w:pStyle w:val="TextoNormal"/>
      </w:pPr>
    </w:p>
    <w:p w:rsidR="00D06117" w:rsidRDefault="00D06117" w:rsidP="00D06117">
      <w:pPr>
        <w:pStyle w:val="TextoNormal"/>
      </w:pPr>
      <w:r>
        <w:t>Dicho óbice no puede ser apreciado pues a diferencia de lo que ocurría en el caso resuelto en la STC 254/2004, de 23 de diciembre, citada por el propio Fiscal General del Estado, resulta que, en este caso, la norma cuestionada es la determinante de la infracción y sanción impuesta a la parte actora en el proceso a quo, pues es la que precisa la conducta sancionable. En efecto, el art. 48 c) de la propia Ley 11/2001, al que hace referencia el expediente sancionador considera infracción leve “el incumplimiento de los horarios comerciales cuando no constituya falta grave o muy grave”, infracción sancionable “con admonición o multa de 150 euros hasta 1.500 euros” conforme al art. 53 a) de la misma Ley balear 11/2001. De ello resulta que, dada la configuración del tipo infractor que se establece en el citado art. 48 c), es el art. 18 la norma relevante para el juicio a quo en cuanto que es aquel cuyo incumplimiento ha dado lugar a la sanción recurrida en el procedimiento que ha suscitado la presente cuestión (en el mismo sentido STC 106/2009, de 4 de mayo, FJ 1).</w:t>
      </w:r>
    </w:p>
    <w:p w:rsidR="00D06117" w:rsidRDefault="00D06117" w:rsidP="00D06117">
      <w:pPr>
        <w:pStyle w:val="TextoNormal"/>
      </w:pPr>
    </w:p>
    <w:p w:rsidR="00D06117" w:rsidRDefault="00D06117" w:rsidP="00D06117">
      <w:pPr>
        <w:pStyle w:val="TextoNormal"/>
      </w:pPr>
      <w:r>
        <w:t>La segunda cuestión de orden procesal atañe al art. 18.2. En la STC 26/2012, de 1 de marzo, resolutoria del recurso de inconstitucionalidad núm. 5061-2001, interpuesto por el Presidente del Gobierno, contra determinados preceptos de la Ley 11/2001, y dictada con posterioridad a la admisión a trámite de la presente cuestión, hemos declarado inconstitucional y nulo dicho precepto legal autonómico, resolución ésta que, a partir del día siguiente de su publicación en el “Boletín Oficial del Estado”, tiene el valor de cosa juzgada y plenos efectos frente a todos (arts. 164.1 CE y 38.1 LOTC). Se sigue de ello que el precepto cuestionado ha sido expulsado del ordenamiento, una vez anulado por inconstitucional, lo que debe conducirnos ahora 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por lo que respecta al citado precepto legal, al haber quedado disipada la duda de constitucionalidad planteada por el órgano judicial.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Por lo que respecta al enjuiciamiento del art. 18.1 de la Ley balear 11/2001, es evidente, y así ha sido señalado por las partes comparecidas en este proceso, que la duda del órgano judicial se fundamenta en la contradicción que aprecia entre la norma estatal, el art. 43.2 del Real Decreto-ley 6/2000, y la norma autonómica que cuestiona pues, en dicha contradicción, residencia la vulneración del art. 149.1.13 CE.</w:t>
      </w:r>
    </w:p>
    <w:p w:rsidR="00D06117" w:rsidRDefault="00D06117" w:rsidP="00D06117">
      <w:pPr>
        <w:pStyle w:val="TextoNormal"/>
      </w:pPr>
    </w:p>
    <w:p w:rsidR="00D06117" w:rsidRDefault="00D06117" w:rsidP="00D06117">
      <w:pPr>
        <w:pStyle w:val="TextoNormal"/>
      </w:pPr>
      <w:r>
        <w:t>Teniendo en cuenta lo anterior así como que la doctrina del ius superveniens no resulta aplicable a las cuestiones de inconstitucionalidad (por todas, STC 184/2011, de 23 de noviembre, FJ 3 y las allí citadas), procede ahora advertir que sobre el art. 43 del Real Decreto-ley 6/2000, de 23 de junio, de medidas urgentes de intensificación de la competencia en mercados de bienes y servicios, ya nos hemos pronunciado en la STC 31/2011, de 17 de marzo, en la que estimamos el recurso de inconstitucionalidad núm. 4989-2000 interpuesto por el Parlamento de Cataluña y concluimos que el citado art. 43 era inconstitucional y nulo por vulnerar el art. 86.1 CE. Declaración de inconstitucionalidad y nulidad contenida en el fallo de la citada Sentencia de este Tribunal que produjo plenos efectos de cosa juzgada a partir de su publicación en el “Boletín Oficial del Estado” (arts. 164.1 CE y 38.1 LOTC) por lo que, al resultar nulo y expulsado del ordenamiento jurídico el citado precepto legal, no resulta posible la aplicación, en los autos de los que deriva la cuestión, de la norma estatal que fundamentaba la duda de constitucionalidad expresada por el órgano judicial. Resulta así que el alcance y la fundamentación de la duda expresada en su momento por el órgano judicial se ha visto modificada de raíz, ya que partía de una premisa que ahora ya ha desaparecido. Efectivamente, la cuestión se había planteado realizando un juicio material de inconstitucionalidad en el que, dado el carácter mediato o indirecto del mismo, uno de los términos era una norma estatal proclamada básica, la cual entraba en conflicto con la autonómica cuestionada, razón por la que se afirmaba la vulneración del art. 149.1.13 CE a cuyo amparo se proclamaba dictada la regulación estatal. De esta forma, al no existir ya la norma con rango de ley utilizada por el órgano judicial como parámetro de control del precepto autonómico que cuestiona, ya no se trataría de un juicio de constitucionalidad concreto, al que se refiere el art. 163 CE, sino abstracto, sin efectos para el caso, lo que resulta improcedente en una cuestión de inconstitucionalidad (en este sentido, AATC 340/2003, de 21 de octubre, FJ único; y 75/2004, de 9 de marzo, FJ único).</w:t>
      </w:r>
    </w:p>
    <w:p w:rsidR="00D06117" w:rsidRDefault="00D06117" w:rsidP="00D06117">
      <w:pPr>
        <w:pStyle w:val="TextoNormal"/>
      </w:pPr>
    </w:p>
    <w:p w:rsidR="00D06117" w:rsidRDefault="00D06117" w:rsidP="00D06117">
      <w:pPr>
        <w:pStyle w:val="TextoNormal"/>
      </w:pPr>
      <w:r>
        <w:t>En suma, por todo lo expuesto, hemos de desestimar la cuestión planteada en lo que respecta al art. 18.1 de la Ley balear 11/2001.</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Declarar la desaparición sobrevenida del objeto de la presente cuestión de inconstitucionalidad por lo que respecta al art. 18.2 de la Ley del Parlamento de las Illes Balears 11/2001, de 15 de junio, de ordenación de la actividad comercial en las Illes Balears.</w:t>
      </w:r>
    </w:p>
    <w:p w:rsidR="00D06117" w:rsidRDefault="00D06117" w:rsidP="00D06117">
      <w:pPr>
        <w:pStyle w:val="TextoNormal"/>
      </w:pPr>
    </w:p>
    <w:p w:rsidR="00D06117" w:rsidRDefault="00D06117" w:rsidP="00D06117">
      <w:pPr>
        <w:pStyle w:val="TextoNormal"/>
      </w:pPr>
      <w:r>
        <w:lastRenderedPageBreak/>
        <w:t>2º Desestimar la cuestión de inconstitucionalidad planteada respecto al art. 18.1 de la Ley del Parlamento de las Illes Balears 11/2001, de 15 de junio, de ordenación de la actividad comercial en las Illes Balears.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0" w:name="SENTENCIA_2012_87"/>
      <w:r>
        <w:lastRenderedPageBreak/>
        <w:t>SENTENCIA 87/2012, de 18 de abril de 2012</w:t>
      </w:r>
    </w:p>
    <w:bookmarkEnd w:id="9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117, de 16 de mayo de 2012)</w:t>
      </w:r>
    </w:p>
    <w:p w:rsidR="00D06117" w:rsidRDefault="00D06117" w:rsidP="00D06117">
      <w:pPr>
        <w:pStyle w:val="TtuloBOE"/>
      </w:pPr>
    </w:p>
    <w:p w:rsidR="00D06117" w:rsidRDefault="00D06117" w:rsidP="00D06117">
      <w:pPr>
        <w:pStyle w:val="SntesisDescriptiva"/>
      </w:pPr>
      <w:r>
        <w:t>ECLI:ES:TC:2012:87</w:t>
      </w:r>
    </w:p>
    <w:p w:rsidR="00D06117" w:rsidRDefault="00D06117" w:rsidP="00D06117">
      <w:pPr>
        <w:pStyle w:val="SntesisDescriptiva"/>
      </w:pPr>
    </w:p>
    <w:p w:rsidR="00D06117" w:rsidRDefault="00D06117" w:rsidP="00D06117">
      <w:pPr>
        <w:pStyle w:val="SntesisDescriptiva"/>
      </w:pPr>
      <w:r>
        <w:t>Cuestión de inconstitucionalidad 5053-2006. Planteada por la Sección Primera de la Sala de lo Contencioso-Administrativo de la Audiencia Nacional, en relación con la disposición adicional tercera de la Ley del Parlamento de Galicia 9/2002, de 30 de diciembre, de ordenación urbanística y protección del medio rural de Galicia.</w:t>
      </w:r>
    </w:p>
    <w:p w:rsidR="00D06117" w:rsidRDefault="00D06117" w:rsidP="00D06117">
      <w:pPr>
        <w:pStyle w:val="SntesisDescriptiva"/>
      </w:pPr>
    </w:p>
    <w:p w:rsidR="00D06117" w:rsidRDefault="00D06117" w:rsidP="00D06117">
      <w:pPr>
        <w:pStyle w:val="SntesisAnaltica"/>
      </w:pPr>
      <w:r>
        <w:t>Competencias sobre igualdad básica, medio ambiente y ordenación del territorio: nulidad del precepto legal autonómico que determina limitaciones o servidumbres sobre los terrenos colindantes con el dominio público marítimo-terrestre.</w:t>
      </w:r>
    </w:p>
    <w:p w:rsidR="00D06117" w:rsidRDefault="00D06117" w:rsidP="00D06117">
      <w:pPr>
        <w:pStyle w:val="SntesisAnaltica"/>
      </w:pPr>
    </w:p>
    <w:p w:rsidR="00D06117" w:rsidRDefault="00D06117" w:rsidP="00D06117">
      <w:pPr>
        <w:pStyle w:val="Extracto"/>
      </w:pPr>
      <w:r>
        <w:t>1.</w:t>
      </w:r>
      <w:r>
        <w:tab/>
        <w:t>La Comunidad Autónoma carece de competencia para determinar, ni siquiera por remisión mimética a la legislación estatal, limitaciones o servidumbres sobre los terrenos colindantes con el dominio público marítimo-terrestre dirigidas a su protección y conservación, lo que determina la inconstitucionalidad de la disposición sometida a cuestionamiento [FJ 5].</w:t>
      </w:r>
    </w:p>
    <w:p w:rsidR="00D06117" w:rsidRDefault="00D06117" w:rsidP="00D06117">
      <w:pPr>
        <w:pStyle w:val="Extracto"/>
      </w:pPr>
    </w:p>
    <w:p w:rsidR="00D06117" w:rsidRDefault="00D06117" w:rsidP="00D06117">
      <w:pPr>
        <w:pStyle w:val="Extracto"/>
      </w:pPr>
      <w:r>
        <w:t>2.</w:t>
      </w:r>
      <w:r>
        <w:tab/>
        <w:t xml:space="preserve">Sólo al Estado corresponde establecer limitaciones y servidumbres sobre terrenos colindantes al dominio marítimo-terrestre y, entre ellas, la servidumbre de protección, ejerciendo al efecto su competencia para establecer una legislación básica en materia de medio ambiente, </w:t>
      </w:r>
      <w:r w:rsidRPr="00D06117">
        <w:rPr>
          <w:i/>
        </w:rPr>
        <w:t>ex</w:t>
      </w:r>
      <w:r>
        <w:t xml:space="preserve"> art. 149.1.23 CE, en conexión con su competencia para fijar en condiciones de igualdad el ejercicio del derecho de propiedad en todo el territorio, </w:t>
      </w:r>
      <w:r w:rsidRPr="00D06117">
        <w:rPr>
          <w:i/>
        </w:rPr>
        <w:t>ex</w:t>
      </w:r>
      <w:r>
        <w:t xml:space="preserve"> art. 149.1.1 CE (SSTC 149/1991, 198/1991) [FFJJ 4, 5].</w:t>
      </w:r>
    </w:p>
    <w:p w:rsidR="00D06117" w:rsidRDefault="00D06117" w:rsidP="00D06117">
      <w:pPr>
        <w:pStyle w:val="Extracto"/>
      </w:pPr>
    </w:p>
    <w:p w:rsidR="00D06117" w:rsidRDefault="00D06117" w:rsidP="00D06117">
      <w:pPr>
        <w:pStyle w:val="Extracto"/>
      </w:pPr>
      <w:r>
        <w:t>3.</w:t>
      </w:r>
      <w:r>
        <w:tab/>
        <w:t>Las competencias autonómicas en materia de ordenación del territorio y urbanismo no pueden incidir en la fijación por el Estado de la servidumbre de protección de costas en ejercicio de competencias que sólo a él corresponden (STC 149/1991) [FJ 5].</w:t>
      </w:r>
    </w:p>
    <w:p w:rsidR="00D06117" w:rsidRDefault="00D06117" w:rsidP="00D06117">
      <w:pPr>
        <w:pStyle w:val="Extracto"/>
      </w:pPr>
    </w:p>
    <w:p w:rsidR="00D06117" w:rsidRDefault="00D06117" w:rsidP="00D06117">
      <w:pPr>
        <w:pStyle w:val="Extracto"/>
      </w:pPr>
      <w:r>
        <w:t>4.</w:t>
      </w:r>
      <w:r>
        <w:tab/>
        <w:t xml:space="preserve">Las Comunidades Autónomas no pueden establecer limitaciones y servidumbres sobre los terrenos colindantes al demanio marítimo-terrestre, ni siquiera para reproducir las previsiones estatales, operación que quedaría vedada por la doctrina sobre la </w:t>
      </w:r>
      <w:r w:rsidRPr="00D06117">
        <w:rPr>
          <w:i/>
        </w:rPr>
        <w:t>lex repetita</w:t>
      </w:r>
      <w:r>
        <w:t xml:space="preserve"> (STC 341/2005) [FJ 5].</w:t>
      </w:r>
    </w:p>
    <w:p w:rsidR="00D06117" w:rsidRDefault="00D06117" w:rsidP="00D06117">
      <w:pPr>
        <w:pStyle w:val="Extracto"/>
      </w:pPr>
    </w:p>
    <w:p w:rsidR="00D06117" w:rsidRDefault="00D06117" w:rsidP="00D06117">
      <w:pPr>
        <w:pStyle w:val="Extracto"/>
      </w:pPr>
      <w:r>
        <w:t>5.</w:t>
      </w:r>
      <w:r>
        <w:tab/>
        <w:t>La reproducción de normas estatales en normas autonómicas es inconstitucional cuando la Comunidad Autónoma carece de la correspondiente competencia, salvo que la reiteración de la norma estatal sea imprescindible para el entendimiento del precepto (STC 10/1982) [FJ 5].</w:t>
      </w:r>
    </w:p>
    <w:p w:rsidR="00D06117" w:rsidRDefault="00D06117" w:rsidP="00D06117">
      <w:pPr>
        <w:pStyle w:val="Extracto"/>
      </w:pPr>
    </w:p>
    <w:p w:rsidR="00D06117" w:rsidRDefault="00D06117" w:rsidP="00D06117">
      <w:pPr>
        <w:pStyle w:val="Extracto"/>
      </w:pPr>
      <w:r>
        <w:t>6.</w:t>
      </w:r>
      <w:r>
        <w:tab/>
        <w:t>Doctrina sobre el juicio de relevancia en la cuestión de inconstitucionalidad (SSTC 17/1981, 41/2010) [FJ 2].</w:t>
      </w:r>
    </w:p>
    <w:p w:rsidR="00D06117" w:rsidRDefault="00D06117" w:rsidP="00D06117">
      <w:pPr>
        <w:pStyle w:val="Extracto"/>
      </w:pPr>
    </w:p>
    <w:p w:rsidR="00D06117" w:rsidRDefault="00D06117" w:rsidP="00D06117">
      <w:pPr>
        <w:pStyle w:val="Extracto"/>
      </w:pPr>
      <w:r>
        <w:lastRenderedPageBreak/>
        <w:t>7.</w:t>
      </w:r>
      <w:r>
        <w:tab/>
        <w:t>Doctrina sobre la pervivencia del objeto de la cuestión de inconstitucionalidad pese a la modificación de la norma (SSTC 134/2004, 68/2007)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5053-2006, promovida por la Sección Primera de la Sala de lo Contencioso-Administrativo de la Audiencia Nacional, en relación con la disposición adicional tercera de la Ley del Parlamento de Galicia 9/2002, de 30 de diciembre, de ordenación urbanística y protección del medio rural de Galicia. Han comparecido el Abogado del Estado, el Fiscal General del Estado, la Xunta de Galicia y el Parlamento de Galicia. Ha sido Ponente el Magistrado don Pablo Pérez Tremps, quien expresa el parecer del Pleno.</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8 de mayo de 2006 tuvo entrada en el Registro General de este Tribunal Constitucional oficio de la Sala de lo Contencioso-Administrativo de la Audiencia Nacional por el que se adjunta testimonio de las actuaciones correspondientes al recurso contencioso-administrativo núm. 623-2003, en cumplimiento del Auto del mismo órgano jurisdiccional de 2 de marzo de 2006, que se acompaña, que acuerda plantear cuestión de inconstitucionalidad en relación con la disposición adicional tercera de la Ley del Parlamento de Galicia 9/2002, de 30 de diciembre, de ordenación urbanística y protección del medio rural de Galicia, por presunta vulneración del art. 149.1.23 CE.</w:t>
      </w:r>
    </w:p>
    <w:p w:rsidR="00D06117" w:rsidRDefault="00D06117" w:rsidP="00D06117">
      <w:pPr>
        <w:pStyle w:val="TextoNormal"/>
      </w:pPr>
    </w:p>
    <w:p w:rsidR="00D06117" w:rsidRDefault="00D06117" w:rsidP="00D06117">
      <w:pPr>
        <w:pStyle w:val="TextoNormal"/>
      </w:pPr>
      <w:r w:rsidRPr="00D06117">
        <w:rPr>
          <w:rStyle w:val="NumeroAFNegritaCaracter"/>
        </w:rPr>
        <w:t>2</w:t>
      </w:r>
      <w:r>
        <w:t>. El origen del planteamiento de la cuestión se encuentra en el recurso contencioso-administrativo interpuesto el 10 de julio de 2003 por el Ayuntamiento de Laxe contra la Orden Ministerial de 28 de febrero de 2003, dictada por el Director general de costas, por delegación de la Ministra de Medio Ambiente, que aprobó el deslinde de bienes de dominio público marítimo-terrestre del tramo de costa de unos cuatro mil metros de longitud, comprendido en la playa de Traba, en el término municipal de Laxe (A Coruña).</w:t>
      </w:r>
    </w:p>
    <w:p w:rsidR="00D06117" w:rsidRDefault="00D06117" w:rsidP="00D06117">
      <w:pPr>
        <w:pStyle w:val="TextoNormal"/>
      </w:pPr>
    </w:p>
    <w:p w:rsidR="00D06117" w:rsidRDefault="00D06117" w:rsidP="00D06117">
      <w:pPr>
        <w:pStyle w:val="TextoNormal"/>
      </w:pPr>
      <w:r>
        <w:t xml:space="preserve">La demanda contenciosa contenía expresamente en su suplico, entre otros pedimentos, el siguiente: (Que se dicte Sentencia que) “2º.- Rectifique la línea de servidumbre trazada en el deslinde objeto de recurso, en la zona del deslinde lindante con los terrenos incluidos </w:t>
      </w:r>
      <w:r>
        <w:lastRenderedPageBreak/>
        <w:t>en el Núcleo de Mórdomo se determine la aplicación de la servidumbre de protección de 20 metros de anchura desde la línea interior de deslinde, por tratarse de suelo urbano, en aplicación de la Disposición transitoria tercera de la Ley de Costas”. Este pedimento derivaba de la consideración de que la orden recurrida habría ignorado por completo las determinaciones de la disposición adicional tercera de la Ley del Parlamento de Galicia 9/2002, de 30 de diciembre, de ordenación urbanística y protección del medio rural de Galicia, previamente contenidas en la disposición adicional sexta de la Ley del suelo de Galicia, aprobada como Ley 1/1997, de 24 de marzo, y según las cuales “será de aplicación a los núcleos rurales preexistentes de carácter tradicional contemplados en la Ley 11/1985, de 22 de agosto, de adaptación de la del suelo de Galicia, y al suelo de núcleo rural previsto en la presente Ley, el régimen previsto en el número 3 de la disposición transitoria tercera de la Ley 22/1988, de 28 de julio, de Costas, así como lo establecido en el número 3 de la disposición transitoria séptima y en los números 1 y 3 de la disposición transitoria novena del Reglamento General para el desarrollo y ejecución de dicha Ley”.</w:t>
      </w:r>
    </w:p>
    <w:p w:rsidR="00D06117" w:rsidRDefault="00D06117" w:rsidP="00D06117">
      <w:pPr>
        <w:pStyle w:val="TextoNormal"/>
      </w:pPr>
    </w:p>
    <w:p w:rsidR="00D06117" w:rsidRDefault="00D06117" w:rsidP="00D06117">
      <w:pPr>
        <w:pStyle w:val="TextoNormal"/>
      </w:pPr>
      <w:r>
        <w:t>El Abogado del Estado, en su contestación a la demanda, solicitó mediante otrosí que, una vez concluso el proceso, se dictara Auto acordando el planteamiento al Tribunal Constitucional de cuestión de inconstitucionalidad respecto de la disposición adicional tercera de la Ley 9/2002, del Parlamento de Galicia, de ordenación urbanística y protección del medio rural de Galicia.</w:t>
      </w:r>
    </w:p>
    <w:p w:rsidR="00D06117" w:rsidRDefault="00D06117" w:rsidP="00D06117">
      <w:pPr>
        <w:pStyle w:val="TextoNormal"/>
      </w:pPr>
    </w:p>
    <w:p w:rsidR="00D06117" w:rsidRDefault="00D06117" w:rsidP="00D06117">
      <w:pPr>
        <w:pStyle w:val="TextoNormal"/>
      </w:pPr>
      <w:r w:rsidRPr="00D06117">
        <w:rPr>
          <w:rStyle w:val="NumeroAFNegritaCaracter"/>
        </w:rPr>
        <w:t>3</w:t>
      </w:r>
      <w:r>
        <w:t>. Concluido el procedimiento, la Sala de lo Contencioso-Administrativo de la Audiencia Nacional, mediante providencia de 10 de enero de 2006, acordó requerir a las partes y al Ministerio Fiscal para que alegasen sobre la pertinencia de plantear cuestión de inconstitucionalidad circunscrita a la disposición adicional tercera de la Ley 9/2002, del Parlamento de Galicia, de ordenación urbanística y protección del medio rural de Galicia, “por posible colisión con el artículo 149 de la Constitución consistente en una eventual invasión de las competencias exclusivas del Estado”.</w:t>
      </w:r>
    </w:p>
    <w:p w:rsidR="00D06117" w:rsidRDefault="00D06117" w:rsidP="00D06117">
      <w:pPr>
        <w:pStyle w:val="TextoNormal"/>
      </w:pPr>
    </w:p>
    <w:p w:rsidR="00D06117" w:rsidRDefault="00D06117" w:rsidP="00D06117">
      <w:pPr>
        <w:pStyle w:val="TextoNormal"/>
      </w:pPr>
      <w:r>
        <w:t>Con fecha 26 de enero de 2006, el Fiscal formalizó sus alegaciones en escrito en el que pone de manifiesto que se cumplen con los requisitos legalmente exigidos en el art. 35  de la Ley Orgánica del Tribunal Constitucional (LOTC) para el planteamiento de cuestión de inconstitucionalidad, razón por la cual no se opone a dicho planteamiento.</w:t>
      </w:r>
    </w:p>
    <w:p w:rsidR="00D06117" w:rsidRDefault="00D06117" w:rsidP="00D06117">
      <w:pPr>
        <w:pStyle w:val="TextoNormal"/>
      </w:pPr>
    </w:p>
    <w:p w:rsidR="00D06117" w:rsidRDefault="00D06117" w:rsidP="00D06117">
      <w:pPr>
        <w:pStyle w:val="TextoNormal"/>
      </w:pPr>
      <w:r>
        <w:t xml:space="preserve">El Abogado del Estado, por su parte, mediante escrito presentado el 1 de febrero de 2006, presenta alegaciones en las que parte de la constatación de que el fallo que debe dictar la Audiencia Nacional en el pleito pendiente depende de la validez constitucional del precepto autonómico que sería objeto de la cuestión de inconstitucionalidad sobre cuyo posible planteamiento se le inquiere. Sentado lo anterior, el Abogado del Estado apunta a la STC 149/1991, de 4 de julio, como Sentencia clave para la apreciación de la inconstitucionalidad del precepto de cuyo cuestionamiento se trata, para —con copia literal del escrito de contestación a la demanda en su momento presentado— afirmar que la disposición adicional tercera de la Ley 9/2002, del Parlamento de Galicia, de ordenación urbanística y protección del medio rural de Galicia, tiene como virtualidad “pasar por encima de (las) circunstancias y requisitos prefijados por la Ley estatal” para determinar la reducción de la anchura de la servidumbre de protección de costas en el seno de sus previsiones transitorias, de modo que “en la práctica del Parlamento gallego añade otro supuesto, un supuesto autonómico a los casos en que las Cortes Generales y el Gobierno de la Nación previeron una reducción a 20 </w:t>
      </w:r>
      <w:r>
        <w:lastRenderedPageBreak/>
        <w:t>metros de esta franja sujeta a un régimen jurídico limitativo de usos y aprovechamientos”. A lo que se sumaría que el supuesto se insertaría retroactivamente “violentando la noción de derecho transitorio”. En definitiva, ateniéndose a la doctrina sentada por la STC 149/1991, el Abogado del Estado concluye que la disposición autonómica de cuyo posible cuestionamiento se trata “contraviene (la) legislación básica de protección del medio ambiente, dictada por el Estado, vulnera el título competencial en que se basa para dictarla y el principio de igualdad a favor de los dueños de los predios colindantes con el dominio público marítimo-terrestre estatal que se encuentren en un núcleo rural allá en la Comunidad Autónoma de Galicia”.</w:t>
      </w:r>
    </w:p>
    <w:p w:rsidR="00D06117" w:rsidRDefault="00D06117" w:rsidP="00D06117">
      <w:pPr>
        <w:pStyle w:val="TextoNormal"/>
      </w:pPr>
    </w:p>
    <w:p w:rsidR="00D06117" w:rsidRDefault="00D06117" w:rsidP="00D06117">
      <w:pPr>
        <w:pStyle w:val="TextoNormal"/>
      </w:pPr>
      <w:r>
        <w:t>El Ayuntamiento de Laxe presentó el 1 de febrero de 2010 escrito de alegaciones que concluye solicitando que se acuerde no haber lugar al planteamiento de la cuestión de inconstitucionalidad instada por el Abogado del Estado. En el razonamiento del Ayuntamiento, las previsiones de la disposición transitoria tercera de la Ley de costas (y concordantes de su reglamento de ejecución y desarrollo), que trascribe, “hay que encuadrarlas en el marco normativo que constituye la legislación urbanística en la Comunidad Autónoma de Galicia, es decir, la Ley 9/2002, de Ordenación Urbanística y Protección del Medio Rural de Galicia, vigente actualmente, que resulta de aplicación en la extensión de la servidumbre de protección, la cual dependerá de la clasificación urbanística de los terrenos sobre los que recae, o de la apreciación de que en esos terrenos concurren una serie de circunstancias urbanísticas, como para que a los mismos haya de reconocerse la condición de suelo urbano”. Y ello particularmente, para el caso que es objeto del proceso pendiente de resolución, en el marco de lo previsto en la disposición adicional tercera de aquella ley, con la consecuencia de determinar la reducción de la servidumbre de protección para el núcleo rural de Mórdomo a veinte metros, por tener la consideración de suelo urbano, y ello en el bien entendido de que un precepto idéntico a esta disposición de cuyo posible cuestionamiento se trata se contenía previamente en la disposición adicional sexta de la Ley 1/1997, del suelo de Galicia, sin que en ningún momento fuese cuestionada su constitucionalidad.</w:t>
      </w:r>
    </w:p>
    <w:p w:rsidR="00D06117" w:rsidRDefault="00D06117" w:rsidP="00D06117">
      <w:pPr>
        <w:pStyle w:val="TextoNormal"/>
      </w:pPr>
    </w:p>
    <w:p w:rsidR="00D06117" w:rsidRDefault="00D06117" w:rsidP="00D06117">
      <w:pPr>
        <w:pStyle w:val="TextoNormal"/>
      </w:pPr>
      <w:r>
        <w:t xml:space="preserve">Después de recordar que la regulación urbanística de Galicia ha tenido siempre entre sus principales objetivos atender a las peculiaridades de los núcleos rurales de Galicia, desde la Ley 11/1985, de 22 de agosto, de adaptación de la Ley del suelo a Galicia (art. 12), en cuya aplicación las normas subsidiarias de planeamiento municipal de Laxe, aprobadas en 1987, habrían delimitado el núcleo de Mórdomo, pasando por la propia Ley 1/1997, del suelo de Galicia, que acuñó un tipo específico de “suelo de núcleo rural”, incorporando la disposición adicional sexta ya mencionada, el Ayuntamiento afirma no compartir las alegaciones del Abogado del Estado con la consecuencia de confirmar el pleno acomodo constitucional de la disposición adicional de posible cuestionamiento. Afirma a este respecto el Ayuntamiento que, como reconoce el Abogado del Estado, corresponde a la Administración autonómica la tutela de la zona de servidumbre así como, conjuntamente con la Administración local, la concreción de las determinaciones urbanísticas que resultan de aplicación, “lo que —según afirma— directamente engarza con la aplicación de las disposiciones transitoria 3 y 9 de la Ley y del Reglamento”. La STC 61/1997 habría delimitado el alcance de las competencias estatales para determinar las clases básicas de suelo, de modo que el legislador autonómico puede establecer otras clases de suelo, siempre que guarden correspondencia con las definidas por la Ley 6/1998, de régimen del suelo y valoraciones, planteamiento que habría venido a confirmar la Ley 164/2001, de 11 de julio. De ahí que el legislador gallego haya acuñado, en ejercicio de sus competencias, el tipo de “suelo de núcleo rural”, tipo de suelo que, de </w:t>
      </w:r>
      <w:r>
        <w:lastRenderedPageBreak/>
        <w:t>tener que ser equiparado a alguna de las clases de suelo fijadas por la legislación estatal, lo sería a la del suelo urbano.</w:t>
      </w:r>
    </w:p>
    <w:p w:rsidR="00D06117" w:rsidRDefault="00D06117" w:rsidP="00D06117">
      <w:pPr>
        <w:pStyle w:val="TextoNormal"/>
      </w:pPr>
    </w:p>
    <w:p w:rsidR="00D06117" w:rsidRDefault="00D06117" w:rsidP="00D06117">
      <w:pPr>
        <w:pStyle w:val="TextoNormal"/>
      </w:pPr>
      <w:r>
        <w:t>Sobre la base de lo anterior el Ayuntamiento apunta a la plena constitucionalidad de la disposición potencialmente cuestionada, toda vez que la Ley de costas “no puede alterar el marco competencial establecido en la Constitución y en los Estatutos de autonomía”, dado que, como tiene afirmado la STC 149/1991, de 4 de julio, la naturaleza demanial no aísla la porción del terreno así considerado de su entorno y, por ende, no sustrae las competencias sobre ese espacio que pudieran ostentar otros entes públicos y, en particular, las competencias autonómicas sobre urbanismo. La disposición identificada por la Audiencia respondería, así, al marco competencial que corresponde a la Comunidad Autónoma por integrarse en la ordenación del territorio y el urbanismo, afectando, como afecta, a la zona de protección (sobre la que tendría plenas competencias) y no a la zona demanial. En este sentido, la Ley de costas y, en concreto su disposición transitoria tercera, a pesar de ser una ley “ordinaria”, introduce en su texto referencias a otras competencias, particularmente en cuanto que reduce la anchura de la servidumbre de protección respecto de los terrenos “clasificados como urbanos”, clasificación que se define en los instrumentos de planeamiento, “sin perjuicio de la competencia exclusiva de las Comunidades Autónomas de categorizar otras tipologías de suelo”, como sucede para los núcleos rurales de Galicia. Tal interpretación encontraría, además, acomodo en la disposición adicional sexta de la Ley de costas, cuando advierte que “las limitaciones en el uso del suelo previstas en esta Ley se aplicarán sin menoscabo de las competencias que las Comunidades Autónomas y Ayuntamientos puedan ejercer en materia de ordenación del territorio y del litoral y urbanismo”.</w:t>
      </w:r>
    </w:p>
    <w:p w:rsidR="00D06117" w:rsidRDefault="00D06117" w:rsidP="00D06117">
      <w:pPr>
        <w:pStyle w:val="TextoNormal"/>
      </w:pPr>
    </w:p>
    <w:p w:rsidR="00D06117" w:rsidRDefault="00D06117" w:rsidP="00D06117">
      <w:pPr>
        <w:pStyle w:val="TextoNormal"/>
      </w:pPr>
      <w:r>
        <w:t>A la vista de todo lo cual, después de llamar la atención sobre la situación “dramática” a la que conduciría la aplicación generalizada en Galicia del criterio apuntado por el Abogado del Estado, el Ayuntamiento concluye afirmando que la disposición adicional tercera de la Ley gallega 9/2002, “que equipara a los núcleos rurales al suelo urbano a efectos de la fijación de la servidumbre de protección, es plenamente respetuosa con la Constitución y con el marco competencial fijado por ésta”.</w:t>
      </w:r>
    </w:p>
    <w:p w:rsidR="00D06117" w:rsidRDefault="00D06117" w:rsidP="00D06117">
      <w:pPr>
        <w:pStyle w:val="TextoNormal"/>
      </w:pPr>
    </w:p>
    <w:p w:rsidR="00D06117" w:rsidRDefault="00D06117" w:rsidP="00D06117">
      <w:pPr>
        <w:pStyle w:val="TextoNormal"/>
      </w:pPr>
      <w:r w:rsidRPr="00D06117">
        <w:rPr>
          <w:rStyle w:val="NumeroAFNegritaCaracter"/>
        </w:rPr>
        <w:t>4</w:t>
      </w:r>
      <w:r>
        <w:t>. La Audiencia Nacional, mediante Auto de 2 de marzo de 2006, decidió plantear cuestión de inconstitucionalidad respecto de la disposición adicional tercera de la Ley del Parlamento de Galicia 9/2002, de 30 de diciembre, de ordenación urbanística y protección del medio rural de Galicia, por considerar que podría vulnerar el art. 149.1.23 de la Constitución.</w:t>
      </w:r>
    </w:p>
    <w:p w:rsidR="00D06117" w:rsidRDefault="00D06117" w:rsidP="00D06117">
      <w:pPr>
        <w:pStyle w:val="TextoNormal"/>
      </w:pPr>
    </w:p>
    <w:p w:rsidR="00D06117" w:rsidRDefault="00D06117" w:rsidP="00D06117">
      <w:pPr>
        <w:pStyle w:val="TextoNormal"/>
      </w:pPr>
      <w:r>
        <w:t xml:space="preserve">Después de trascribir la disposición objeto de cuestionamiento, afirma la Audiencia Nacional que en el caso de autos concurren los requisitos de aplicabilidad y de relevancia exigidos por la doctrina constitucional para plantear la cuestión de inconstitucionalidad, dado que aquella disposición “es de ineludible aplicación al objeto del presente recurso contencioso-administrativo”. La disposición en cuestión, en la consideración de la Audiencia Nacional, vendría a extender “de forma taxativa y automática” a los supuestos que en la misma se exponen el régimen regulado por los preceptos de la legislación estatal en materia de costas que la misma expresamente menciona consistente en la aplicación, en unas circunstancias específicas y cumplidos unos concretos requisitos, de la servidumbre de protección de 20 metros, que en dicha Ley de costas constituye una excepción a la regla general de una </w:t>
      </w:r>
      <w:r>
        <w:lastRenderedPageBreak/>
        <w:t>servidumbre de protección de 100 metros prevista en su artículo 23. Y ello con la consecuencia de que en el territorio de Galicia regirá el régimen de 20 metros de servidumbre de protección en los casos previstos en la disposición cuestionada (particularmente en los núcleos rurales), con independencia de que se cumplan o no los requisitos fijados al efecto en la legislación estatal de costas, planteamiento al que busca acogerse el Ayuntamiento recurrente cuando incluye en el suplico de su demanda un pedimento por el que solicita que para el núcleo rural de Mórdomo, en aplicación de aquella disposición, se rectifique la delimitación de la servidumbre de protección, para reducirla a 20 metros. El fallo del recurso interpuesto, en lo que a este pedimento se refiere, depende, pues, de forma imprescindible del enjuiciamiento previo sobre la constitucionalidad de aquel precepto de la ley autonómica.</w:t>
      </w:r>
    </w:p>
    <w:p w:rsidR="00D06117" w:rsidRDefault="00D06117" w:rsidP="00D06117">
      <w:pPr>
        <w:pStyle w:val="TextoNormal"/>
      </w:pPr>
    </w:p>
    <w:p w:rsidR="00D06117" w:rsidRDefault="00D06117" w:rsidP="00D06117">
      <w:pPr>
        <w:pStyle w:val="TextoNormal"/>
      </w:pPr>
      <w:r>
        <w:t>Justificado así el juicio de aplicabilidad y relevancia, el Auto de la Audiencia Nacional se detiene a continuación en exponer las razones por las cuales considera que la disposición autonómica de continua referencia pudiera resultar vulneradora del artículo 149.1 CE, en su regla 23, por cuanto estaría invadiendo “una competencia exclusiva del Estado, con la consecuencia añadida de causar una desigualdad respecto a los ciudadanos de otros territorios del Estado cuyas propiedades no se encuentren situadas en el ámbito de aplicación de la Ley gallega”. Acogiéndose expresamente a lo argumentado por la Abogacía del Estado, asume el órgano cuestionante que cuando las Cortes Generales y luego el Gobierno, en desarrollo de la Ley que aquéllas aprobaron, decidieron reducir la anchura de la servidumbre de protección que establece con carácter general la Ley de costas, regularon de forma precisa los requisitos, circunstancias y momento que deberían concurrir a tal efecto, requiriéndose una determinada clasificación urbanística, un pertinente instrumento de planeamiento, el reconocimiento expreso de la Administración urbanística competente y todo ello en una fecha concreta, siendo así que con la disposición gallega cuestionada toda esa regulación contenida en la normativa estatal “podría quedar sin efecto, en los supuestos de los núcleos rurales de Galicia que la misma prevé y desplazada por esta Ley de un Parlamento autonómico, que además lo aplica con carácter retroactivo, dejando sin efecto el sistema transitorio que se establece en la Ley del Estado”. Lo anterior supondría, a la vista de la doctrina establecida en la STC 149/1991, una vulneración del precepto constitucional invocado dado que la legislación estatal afectada sería una regulación de defensa del medio ambiente, concretada en la protección del demanio marítimo-terrestre que, como tal, correspondería en exclusiva al Estado, con lo que la Comunidad Autónoma gallega estaría invadiendo esa competencia estatal al añadir un nuevo supuesto para aplicar una servidumbre de 20 metros, sin que tal disposición pueda encontrar cobertura en la disposición adicional sexta de la propia Ley de costas, pues las competencias autonómicas en materia de ordenación del territorio y urbanismo “se han de ejercitar en compatibilidad con esa competencia básica del Estado”.</w:t>
      </w:r>
    </w:p>
    <w:p w:rsidR="00D06117" w:rsidRDefault="00D06117" w:rsidP="00D06117">
      <w:pPr>
        <w:pStyle w:val="TextoNormal"/>
      </w:pPr>
    </w:p>
    <w:p w:rsidR="00D06117" w:rsidRDefault="00D06117" w:rsidP="00D06117">
      <w:pPr>
        <w:pStyle w:val="TextoNormal"/>
      </w:pPr>
      <w:r w:rsidRPr="00D06117">
        <w:rPr>
          <w:rStyle w:val="NumeroAFNegritaCaracter"/>
        </w:rPr>
        <w:t>5</w:t>
      </w:r>
      <w:r>
        <w:t>. La Sección Segunda de este Tribunal, mediante providencia de 20 de junio de 2006, acordó admitir a trámite la cuestión de inconstitucionalidad y dar traslado de las actuaciones al Congreso de Diputados y al Senado, por conducto de sus Presidentes, al Gobierno de la Nación, por conducto del Ministro de Justicia, y al Fiscal General del Estado, así como a la Xunta de Galicia y al Parlamento de Galicia,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de “Diario Oficial de Galicia”.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Con fecha 30 de junio de 2006, tuvo entrada en el Registro General de este Tribunal escrito del Presidente del Congreso de los Diputados por el que transmite el acuerdo adoptado por la Mesa de la Cámara conforme al cual se decide comunicar al Tribunal que el Congreso no se personará en el procedimiento ni formulará alegaciones.</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que tuvo entrada en este Tribunal el 12 de julio de 2006, el Presidente del Senado pone en su conocimiento el acuerdo de la Mesa de la Cámara por el que se decide su personación en el procedimiento,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8</w:t>
      </w:r>
      <w:r>
        <w:t>. El Abogado del Estado formuló alegaciones mediante escrito registrado en este Tribunal el 4 de julio de 2006 por el que solicita que la presente cuestión sea estimada.</w:t>
      </w:r>
    </w:p>
    <w:p w:rsidR="00D06117" w:rsidRDefault="00D06117" w:rsidP="00D06117">
      <w:pPr>
        <w:pStyle w:val="TextoNormal"/>
      </w:pPr>
    </w:p>
    <w:p w:rsidR="00D06117" w:rsidRDefault="00D06117" w:rsidP="00D06117">
      <w:pPr>
        <w:pStyle w:val="TextoNormal"/>
      </w:pPr>
      <w:r>
        <w:t>El Abogado del Estado parte en su razonamiento del régimen establecido en la Ley de costas sobre la servidumbre de protección, trascribiendo el art. 23 y la disposición transitoria tercera para concluir que dicha ley sólo permite la aplicación de la servidumbre de 20 metros, de forma transitoria, a los terrenos que estuvieran clasificados como urbanos a la entrada en vigor de aquella ley, si bien la disposición cuestionada, mediante la remisión al punto tercero de la disposición transitoria tercera de la Ley de costas, pretende extender la servidumbre de protección a casos no previstos en la legislación básica, “aplicándola a todos los ‘núcleos rurales preexistentes de carácter tradicional contemplados en la Ley 11/1985, de 22 de agosto, de adaptación de la del suelo a Galicia’ y de los ‘núcleos rurales’ previstos en la propia Ley”. Y ello en el bien entendido de que, tal y como se desprende de los arts. 12 y 17 de la misma ley gallega, el núcleo rural de carácter tradicional no es en sí mismo una clasificación urbanística, sino que la correspondiente norma de planeamiento debe clasificarlo como urbano, urbanizable o no urbanizable, por más que el art. 13.1 de la ley cuestionada (como el antecedente de la Ley 1/1997, de 24 de marzo, del suelo) haya acuñado el tipo de suelo de núcleo rural.</w:t>
      </w:r>
    </w:p>
    <w:p w:rsidR="00D06117" w:rsidRDefault="00D06117" w:rsidP="00D06117">
      <w:pPr>
        <w:pStyle w:val="TextoNormal"/>
      </w:pPr>
    </w:p>
    <w:p w:rsidR="00D06117" w:rsidRDefault="00D06117" w:rsidP="00D06117">
      <w:pPr>
        <w:pStyle w:val="TextoNormal"/>
      </w:pPr>
      <w:r>
        <w:t xml:space="preserve">De lo anterior deduce el Abogado del Estado que “existen discrepancias difícilmente salvables entre la legislación básica estatal y la normativa autonómica objeto del presente proceso”, que se evidenciarían a la luz de la doctrina constitucional sentada por la STC 149/1991, cuyos pronunciamientos sobre el art. 23 y la disposición transitoria tercera se trascriben y analizan. Concluye, entonces, el Abogado del Estado, en aplicación de la doctrina sentada en las SSTC 38/2004, de 11 de marzo, y 31/2006, de 1 de febrero, que se cumplen los dos requisitos exigidos para el éxito de la impugnación: en primer lugar, que la legislación de costas, como legislación básica, ha sido dictada al amparo del sistema constitucional de competencias, y, en segundo lugar, que la Ley autonómica cuestionada contradice, efectivamente, la legislación básica estatal, “al menos desde un doble punto de vista”, temporal y material. La disposición cuestionada entraría en contradicción con la legislación básica estatal desde una perspectiva puramente temporal, dado que extiende la servidumbre de 20 metros a los núcleos rurales de carácter tradicional y al suelo de núcleo rural existentes a la fecha de entrada en vigor de la propia ley gallega, es decir, el 1 de enero de 2003, en aplicación de su disposición final tercera, desconociendo que la ley estatal fija como criterio temporal el de su propia entrada en vigor, el 29 de julio de 1988, y ello con la circunstancia añadida de que la disposición recurrida pretende la aplicación de la servidumbre de protección de 20 metros a una tipología de suelo que no existía en el momento de entrada en vigor </w:t>
      </w:r>
      <w:r>
        <w:lastRenderedPageBreak/>
        <w:t>de la Ley de costas. Desde una perspectiva material, la contradicción entre ambas normas se evidencia cuando se constata que, tomando como referencia la disposición autonómica la condición de núcleo rural, está contemplando la posibilidad de aplicar la servidumbre de protección reducida a núcleos rurales clasificados como urbanizables o no urbanizables a la entrada en vigor de la Ley de costas, y ello a pesar de que la ley estatal sólo ha reservado tal excepción para los que fueran suelos urbanos, lo que es igualmente extensible cuando la disposición se refiere al suelo clasificado como de núcleo rural, por ser ésta una categoría introducida por la legislación autonómica.</w:t>
      </w:r>
    </w:p>
    <w:p w:rsidR="00D06117" w:rsidRDefault="00D06117" w:rsidP="00D06117">
      <w:pPr>
        <w:pStyle w:val="TextoNormal"/>
      </w:pPr>
    </w:p>
    <w:p w:rsidR="00D06117" w:rsidRDefault="00D06117" w:rsidP="00D06117">
      <w:pPr>
        <w:pStyle w:val="TextoNormal"/>
      </w:pPr>
      <w:r>
        <w:t>Concluye el Abogado del Estado su escrito rebatiendo los argumentos ofrecidos por el Ayuntamiento recurrente en el proceso a quo dentro del trámite abierto en aplicación del art. 35.2 LOTC. En relación con la apelación a la competencia autonómica para establecer otras clases de suelo distintas a la clasificación tripartita establecida por la legislación estatal, el Abogado del Estado observa que tal alegación sólo es relevante respecto del inciso de la disposición cuestionada relativo al suelo clasificado como núcleo rural tras la Ley 1/1997, si bien advierte, en todo caso, que mediante la creación de clases de suelo propias las Comunidades no pueden incidir en la legislación del Estado dictada en virtud de otro título competencial. Del mismo modo descarta el argumento de la asimilación del suelo clasificado como núcleo rural con el suelo urbano, que se vería contradicho por la propia exposición de motivos de la ley, y, en último término por la Ley estatal 6/1998, siendo así que la asimilación se produciría más propiamente con la categoría de suelo no urbanizable.</w:t>
      </w:r>
    </w:p>
    <w:p w:rsidR="00D06117" w:rsidRDefault="00D06117" w:rsidP="00D06117">
      <w:pPr>
        <w:pStyle w:val="TextoNormal"/>
      </w:pPr>
    </w:p>
    <w:p w:rsidR="00D06117" w:rsidRDefault="00D06117" w:rsidP="00D06117">
      <w:pPr>
        <w:pStyle w:val="TextoNormal"/>
      </w:pPr>
      <w:r>
        <w:t>De todo lo cual concluye el Abogado del Estado que la norma cuestionada incurre, respecto de los dos supuestos que contempla, en la vulneración constitucional denunciada por la Audiencia Nacional. En lo que se respecta a la referencia a los núcleos rurales de carácter tradicional, porque la única interpretación que resultaría conforme con la norma estatal —la que supondría entender que únicamente se refiere a los núcleos rurales que estuvieran clasificados como urbanos antes de la entrada en vigor de la Ley de costas— es contradictoria con el sentido de una norma que otorga el mismo tratamiento temporal a situaciones que nacieron legalmente con posterioridad a aquella fecha, máxime si se tiene en cuenta que la segunda referencia contenida en el precepto —relativa a los suelos clasificados como suelo de núcleo rural— no existía en el momento de entrada en vigor de la Ley estatal, a lo que se suma la dificultad de asimilar esta clase de suelo al urbano.</w:t>
      </w:r>
    </w:p>
    <w:p w:rsidR="00D06117" w:rsidRDefault="00D06117" w:rsidP="00D06117">
      <w:pPr>
        <w:pStyle w:val="TextoNormal"/>
      </w:pPr>
    </w:p>
    <w:p w:rsidR="00D06117" w:rsidRDefault="00D06117" w:rsidP="00D06117">
      <w:pPr>
        <w:pStyle w:val="TextoNormal"/>
      </w:pPr>
      <w:r w:rsidRPr="00D06117">
        <w:rPr>
          <w:rStyle w:val="NumeroAFNegritaCaracter"/>
        </w:rPr>
        <w:t>9</w:t>
      </w:r>
      <w:r>
        <w:t>. El 14 de julio de 2006 tuvo entrada en el Registro General de este Tribunal escrito del Fiscal General del Estado por el que formula alegaciones que concluye interesando que se dicte sentencia desestimatoria.</w:t>
      </w:r>
    </w:p>
    <w:p w:rsidR="00D06117" w:rsidRDefault="00D06117" w:rsidP="00D06117">
      <w:pPr>
        <w:pStyle w:val="TextoNormal"/>
      </w:pPr>
    </w:p>
    <w:p w:rsidR="00D06117" w:rsidRDefault="00D06117" w:rsidP="00D06117">
      <w:pPr>
        <w:pStyle w:val="TextoNormal"/>
      </w:pPr>
      <w:r>
        <w:t xml:space="preserve">Después de referir los antecedentes del proceso a quo, con especial atención al contenido del Auto de planteamiento de la presente cuestión de inconstitucionalidad, y de trascribir la norma cuestionada y la disposición transitoria tercera, apartado 3, de la Ley de costas, a la que aquélla se remite expresamente, el Fiscal General del Estado pone de manifiesto ciertos extremos que, no habiendo sido considerados por el Auto de planteamiento de la cuestión, abocarían, en su opinión, a su desestimación. Señala, en primer lugar, el Fiscal General del Estado que ambas normas —la estatal y la autonómica— “aluden a una situación jurídica previa a su respectiva entrada en vigor”, lo que, en su opinión, “significa que si la Ley autonómica 11/1985 —ciertamente ya derogada— prevé que los llamados ‘núcleos rurales’ incluyan suelo urbano, y si por ello así haya de calificarse al núcleo de Mórdomo, no exista </w:t>
      </w:r>
      <w:r>
        <w:lastRenderedPageBreak/>
        <w:t>realmente contradicción entre ambas normas, y, por tanto, la cuestión deba desestimarse”. En segundo lugar, el Fiscal General advierte que el Auto de planteamiento omite “datos tan relevantes para la presente cuestión” como la determinación de la fecha en que el núcleo rural de Mórdomo fue calificado como tal y si se ha declarado “núcleo rural tradicional” o no; si los terrenos incluidos en tal núcleo pueden calificarse como urbanos o no, “deficiencia” que no exime de abordar el objeto de la cuestión.</w:t>
      </w:r>
    </w:p>
    <w:p w:rsidR="00D06117" w:rsidRDefault="00D06117" w:rsidP="00D06117">
      <w:pPr>
        <w:pStyle w:val="TextoNormal"/>
      </w:pPr>
    </w:p>
    <w:p w:rsidR="00D06117" w:rsidRDefault="00D06117" w:rsidP="00D06117">
      <w:pPr>
        <w:pStyle w:val="TextoNormal"/>
      </w:pPr>
      <w:r>
        <w:t>En opinión del Fiscal General del Estado, la competencia del Estado para regular las costas derivaría más propiamente del art. 132.2 CE que del 149.1.23 CE, si bien considera que no es imprescindible profundizar en la competencia del Estado al respecto ni en la competencia autonómica en materia de urbanismo. Partiendo de la constitucionalidad de la disposición transitoria tercera, apartado 3, de la Ley de costas, a su juicio la resolución de la presente cuestión exige analizar los requisitos establecidos en la norma cuestionada. El primero, de carácter temporal, por cuanto se refiere a los núcleos tradicionales preexistentes contemplados en la Ley 11/1985, de lo que deduce que “existe una perfecta correlación en la previsión temporal” de la norma estatal y la autonómica, “porque se tratará de núcleos rurales que existían cuando entró en vigor la ley estatal de costas”, como exige la disposición transitoria estatal. El segundo requisito, de carácter sustantivo, “se refiere a la calificación que procede del concepto ‘núcleo rural’, o del suelo que comprende el mismo porque, existiendo una definición legal del suelo urbano (art. 1 de la Ley estatal 6/1998, de 13 de abril, de régimen de suelo y valoraciones), si el integrado en un núcleo rural cumple sus requisitos, tampoco existirá contradicción entre ambas normas legales”, razonamiento que concluye afirmando, a la vista del art. 12.3 de la Ley gallega 11/1985 y de los arts. 3.1 c), 10, 13, 24 a 30 y 56 de la propia Ley 9/2002, que “el núcleo rural está constituido, esencialmente, por suelo que reúne las características propias del suelo urbano”. En la consideración del Fiscal General del Estado, “si tenemos en cuenta, por otra parte, que existe una definición legal de suelo urbano (artículo 1 de la Ley del suelo) que no coincide con el significado común extrajurídico del término, y consideramos la mencionada regulación autonómica de los llamados núcleos rurales, no podemos sino afirmar que éstos encajan en el concepto establecido en la Ley estatal, y que su mención expresa en la Ley autonómica no responde a una auténtica diferencia ontológica entre suelo urbano y núcleo rural, sino al establecimiento de instrumentos más rigurosos en el planeamiento y desarrollo de estos últimos, limitando de forma muy importante las facultades de los propietarios del suelo …, en que implícitamente se trata de establecer fórmulas adicionales de protección del medio ambiente, como se desprende de la definición del artículo 13.1 de la Ley”.</w:t>
      </w:r>
    </w:p>
    <w:p w:rsidR="00D06117" w:rsidRDefault="00D06117" w:rsidP="00D06117">
      <w:pPr>
        <w:pStyle w:val="TextoNormal"/>
      </w:pPr>
    </w:p>
    <w:p w:rsidR="00D06117" w:rsidRDefault="00D06117" w:rsidP="00D06117">
      <w:pPr>
        <w:pStyle w:val="TextoNormal"/>
      </w:pPr>
      <w:r>
        <w:t>Sobre la base de todo lo anterior, y teniendo en cuenta que el Auto de planteamiento de la cuestión no cuestiona que los terrenos a los que se pretendía aplicar la reducción de la extensión de la servidumbre de protección constituyen suelo urbano, el Fiscal General del Estado concluye afirmando que en su opinión no existe una verdadera contradicción entre la norma cuestionada y el apartado 3 de la disposición transitoria tercera de la Ley de costas, “sino una simple especificación o adaptación a la realidad urbanística de Galicia de la previsión estatal, que, en consecuencia, y en relación con el objeto del proceso judicial, no supone una generalización o extralimitación de la norma autonómica que pudiera implicar la invasión de competencias exclusivas del Estado, ni, en consecuencia, la inconstitucionalidad de aquélla”.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10</w:t>
      </w:r>
      <w:r>
        <w:t>. Con fecha 19 de julio de 2006 tuvo entrada en este Tribunal escrito de alegaciones presentado por el Letrado de la Xunta de Galicia, que concluye suplicando que se desestime la cuestión planteada.</w:t>
      </w:r>
    </w:p>
    <w:p w:rsidR="00D06117" w:rsidRDefault="00D06117" w:rsidP="00D06117">
      <w:pPr>
        <w:pStyle w:val="TextoNormal"/>
      </w:pPr>
    </w:p>
    <w:p w:rsidR="00D06117" w:rsidRDefault="00D06117" w:rsidP="00D06117">
      <w:pPr>
        <w:pStyle w:val="TextoNormal"/>
      </w:pPr>
      <w:r>
        <w:t>Comienza la Xunta su escrito llamando la atención sobre que, a la vista del suplico del recurso contencioso-administrativo interpuesto en el proceso a quo por el Ayuntamiento de Laxe, podría dudarse de si la disposición objeto de cuestionamiento es aplicable al caso, si bien admite que en la fundamentación jurídica de aquel recurso se explica que la viabilidad de esa pretensión “está directamente basada en ese precepto autonómico, sobre la idea de que el núcleo de Mórdomo es un núcleo rural”, por lo que concluye que sólo una concepción estricta de la admisibilidad de las cuestiones de inconstitucionalidad en relación con el juicio de relevancia que exigiera su precisión en el suplico de la demanda contencioso-administrativa determinaría la inadmisión de la presente, lo cual se deja al superior parecer del intérprete constitucional.</w:t>
      </w:r>
    </w:p>
    <w:p w:rsidR="00D06117" w:rsidRDefault="00D06117" w:rsidP="00D06117">
      <w:pPr>
        <w:pStyle w:val="TextoNormal"/>
      </w:pPr>
    </w:p>
    <w:p w:rsidR="00D06117" w:rsidRDefault="00D06117" w:rsidP="00D06117">
      <w:pPr>
        <w:pStyle w:val="TextoNormal"/>
      </w:pPr>
      <w:r>
        <w:t>Sentado lo anterior, el Letrado de la Xunta se detiene en la trascripción del precepto recurrido (advirtiendo que coincide en su literalidad con la disposición adicional sexta de la Ley urbanística gallega anterior, la Ley 1/1997, sin que se suscitara cuestión de inconstitucionalidad alguna), y de la disposición transitoria tercera, apartado 3, de la Ley de costas, para advertir que la disposición transitoria séptima del reglamento de la Ley de costas ya aclara que se puede atender a si en la fecha de entrada en vigor de la citada Ley los terrenos reunían los requisitos exigidos por la legislación urbanística para su clasificación como suelo urbano, con independencia del planeamiento, en lo que insistiría jurisprudencia ordinaria consolidada. Advierte seguidamente el representante de la Xunta que en su opinión, frente al criterio expresado por la Audiencia en su Auto, cabe una interpretación del precepto autonómico acorde con la Constitución y la normativa estatal básica.</w:t>
      </w:r>
    </w:p>
    <w:p w:rsidR="00D06117" w:rsidRDefault="00D06117" w:rsidP="00D06117">
      <w:pPr>
        <w:pStyle w:val="TextoNormal"/>
      </w:pPr>
    </w:p>
    <w:p w:rsidR="00D06117" w:rsidRDefault="00D06117" w:rsidP="00D06117">
      <w:pPr>
        <w:pStyle w:val="TextoNormal"/>
      </w:pPr>
      <w:r>
        <w:t>Admite la Xunta que la interpretación del precepto ofrecida por la Audiencia Nacional en su Auto, que califica de “maximalista” y según la cual la reducción de la servidumbre de protección podría ser aplicable “indiscriminadamente y pro futuro respecto al suelo de cualquier núcleo rural y cualquiera que sea, a su vez, el momento en que tal declaración se produzca”, vulneraría la Constitución por contradecir los arts. 23 a 26 de la Ley de costas, cuya constitucionalidad ha sido declarada por la STC 149/1991, y alterar el alcance y sentido de las disposiciones transitorias 3.3 de aquella Ley y 7.1 y 3 del reglamento que la desarrolla. Frente a esta interpretación, afirma la Xunta que la aplicación de la servidumbre de protección de 20 metros a los núcleos rurales contemplados en la legislación del suelo de Galicia, impuesta por la disposición recurrida, sólo será posible teniendo en cuenta las circunstancias fácticas concurrentes en el momento de la entrada en vigor de la Ley de costas.</w:t>
      </w:r>
    </w:p>
    <w:p w:rsidR="00D06117" w:rsidRDefault="00D06117" w:rsidP="00D06117">
      <w:pPr>
        <w:pStyle w:val="TextoNormal"/>
      </w:pPr>
    </w:p>
    <w:p w:rsidR="00D06117" w:rsidRDefault="00D06117" w:rsidP="00D06117">
      <w:pPr>
        <w:pStyle w:val="TextoNormal"/>
      </w:pPr>
      <w:r>
        <w:t xml:space="preserve">Para fundamentar esta interpretación del precepto cuestionado, que la Xunta estima conforme con la Constitución, su escrito de alegaciones apela a la jurisprudencia constitucional sobre distribución de competencias en materia de urbanismo, con expresa mención de la STC 61/1997, de 20 de marzo, y de las SSTC 149/1991, de 4 de julio, y 198/1991, de 17 de octubre, para concluir que, si bien se ha reconocido al Estado la competencia para fijar la tipología básica de las clases de suelo, ello no justifica que la legislación estatal asocie a la clasificación del suelo consecuencias jurídicas que inciden directamente sobre competencias exclusivas de las Comunidades Autónomas, tales como el urbanismo y la ordenación </w:t>
      </w:r>
      <w:r>
        <w:lastRenderedPageBreak/>
        <w:t>del territorio y del litoral, lo que justificaría la prevención de la disposición adicional sexta de la Ley de costas. Lo anterior se manifestaría particularmente en la competencia autonómica para establecer tipologías propias de suelos, competencia ejercida por la Comunidad gallega, ex art. 27.3 de su Estatuto, al acuñar desde la Ley 11/1985 (es decir, con anterioridad a la aprobación de la Ley de costas) hasta la Ley 9/2002, pasando por la Ley 1/1997, el tipo de suelo de núcleo rural atendiendo a una peculiaridad propia del asentamiento de población en Galicia. Y ello en cumplimiento de un mandato del art. 2 del Estatuto de autonomía, norma de mayor rango que la Ley estatal de costas.</w:t>
      </w:r>
    </w:p>
    <w:p w:rsidR="00D06117" w:rsidRDefault="00D06117" w:rsidP="00D06117">
      <w:pPr>
        <w:pStyle w:val="TextoNormal"/>
      </w:pPr>
    </w:p>
    <w:p w:rsidR="00D06117" w:rsidRDefault="00D06117" w:rsidP="00D06117">
      <w:pPr>
        <w:pStyle w:val="TextoNormal"/>
      </w:pPr>
      <w:r>
        <w:t>Tal y como razona seguidamente la Xunta, “evidentemente, como la normativa estatal no recoge el tipo de suelo de núcleo rural, es imposible que la Ley de costas, al utilizar esos tipos de suelo pudiera haber mencionado aquel de núcleo rural, para incluirlo en la excepción de su D. T 3, pero ello no puede excluirlo necesariamente de su reducción de los 20 metros, si la finalidad y el bien jurídico no se ve alterado, y a la vez permite respetar esa especialidad de asentamiento gallega”. La explicación estaría en que la Ley de costas, cuando en su disposición transitoria tercera habla de suelo declarado expresamente como urbano, está pensado en la clasificación del suelo establecida en la legislación estatal entonces vigente (texto refundido de 1976) y no en los peculiares modelos de asentamiento de población de las distintas Comunidades Autónomas, si bien la disposición adicional sexta de la Ley de costas “previno la incidencia de la competencia autonómica en urbanismo y ordenación del territorio”. De modo que, debe entenderse la apelación en la Ley de costas al “suelo urbano” como “suelo transformado urbanísticamente”, permitiendo equiparar con aquél el suelo de núcleo rural (lo que se desprendería, igualmente, al observar los deberes de los propietarios de este suelo ex art, 24 de la Ley 9/2002), porque, de no hacerlo así, “estaremos cercenando las competencias autonómicas de atender a su peculiar forma de asentamiento”.</w:t>
      </w:r>
    </w:p>
    <w:p w:rsidR="00D06117" w:rsidRDefault="00D06117" w:rsidP="00D06117">
      <w:pPr>
        <w:pStyle w:val="TextoNormal"/>
      </w:pPr>
    </w:p>
    <w:p w:rsidR="00D06117" w:rsidRDefault="00D06117" w:rsidP="00D06117">
      <w:pPr>
        <w:pStyle w:val="TextoNormal"/>
      </w:pPr>
      <w:r>
        <w:t>Siguiendo la interpretación propuesta por la Xunta, con la disposición cuestionada se trataría de que “las disposiciones transitorias de la Ley de costas (sean) aplicables a todo el suelo comprendido en los núcleos rurales de carácter tradicional, formalmente declarados a la entrada en vigor de la Ley de costas o que se declaren con posterioridad por contar ya en la fecha de entrada en vigor de la Ley de costas con los requisitos objetivos que la legislación autonómica marca para que el núcleo pueda ser delimitado como tal”. Esta interpretación se correspondería, en todo caso, con la vocación de las previsiones transitorias de la legislación de costas, dirigidas a asegurar, desde la perspectiva de la defensa de las condiciones ambientales del dominio público marítimo-terrestre, la racional aplicación para el futuro de los arts. 23 a 26 de la Ley de costas, dado que la ordenación de los núcleos rurales, frente al proceso de urbanización normal que contempla la legislación de costas, limita severamente sus posibilidades de expansión, lo que hace inocua desde la perspectiva de la protección ambiental de la costa “la incorporación de nuevos terrenos al fenómeno urbanizador dentro del núcleo previamente delimitado” a la par que “encaja sin dificultad en lo que constituye una genuina operación de ordenación del territorio para la cual es competente, exclusivamente, la Comunidad Autónoma”.</w:t>
      </w:r>
    </w:p>
    <w:p w:rsidR="00D06117" w:rsidRDefault="00D06117" w:rsidP="00D06117">
      <w:pPr>
        <w:pStyle w:val="TextoNormal"/>
      </w:pPr>
    </w:p>
    <w:p w:rsidR="00D06117" w:rsidRDefault="00D06117" w:rsidP="00D06117">
      <w:pPr>
        <w:pStyle w:val="TextoNormal"/>
      </w:pPr>
      <w:r>
        <w:t xml:space="preserve">Descarta, finalmente, la Xunta que la interpretación propuesta pueda verse rebatida con la apelación al título estatal contenido en la regla 1 del art. 149.1 CE, ya que con tal interpretación “sólo se atribuye a los propietarios de terrenos colindantes con las zonas costeras un régimen jurídico distinto al establecido en la legislación del Estado, en función de la </w:t>
      </w:r>
      <w:r>
        <w:lastRenderedPageBreak/>
        <w:t>existencia de un modo de asentamiento de población peculiar y específico de Galicia”, de modo que se estaría otorgando un “tratamiento equiparable entre los núcleos rurales de población y el suelo urbano del resto del Estado, con fundamento en las peculiaridades propias del modelo poblacional de Galicia y en una interpretación teleológica y razonable de la finalidad capital que persigue la servidumbre de protección: la defensa de las circunstancias ambientales del dominio público marítimo-terrestre”. Este argumento se ha sostenido, de hecho, por cierta doctrina administrativista.</w:t>
      </w:r>
    </w:p>
    <w:p w:rsidR="00D06117" w:rsidRDefault="00D06117" w:rsidP="00D06117">
      <w:pPr>
        <w:pStyle w:val="TextoNormal"/>
      </w:pPr>
    </w:p>
    <w:p w:rsidR="00D06117" w:rsidRDefault="00D06117" w:rsidP="00D06117">
      <w:pPr>
        <w:pStyle w:val="TextoNormal"/>
      </w:pPr>
      <w:r w:rsidRPr="00D06117">
        <w:rPr>
          <w:rStyle w:val="NumeroAFNegritaCaracter"/>
        </w:rPr>
        <w:t>11</w:t>
      </w:r>
      <w:r>
        <w:t>. Mediante escrito que tuvo entrada en el Registro General de este Tribunal el 17 de julio de 2006, el Letrado oficial mayor del Parlamento de Galicia, en representación procesal de la Cámara, presentó alegaciones para concluir suplicando que se dicte Sentencia desestimatoria.</w:t>
      </w:r>
    </w:p>
    <w:p w:rsidR="00D06117" w:rsidRDefault="00D06117" w:rsidP="00D06117">
      <w:pPr>
        <w:pStyle w:val="TextoNormal"/>
      </w:pPr>
    </w:p>
    <w:p w:rsidR="00D06117" w:rsidRDefault="00D06117" w:rsidP="00D06117">
      <w:pPr>
        <w:pStyle w:val="TextoNormal"/>
      </w:pPr>
      <w:r>
        <w:t>Advierte, en primer lugar, el Parlamento de Galicia que la regulación establecida en la disposición objeto de cuestionamiento se dicta en ejercicio de la competencia exclusiva que el art. 27.3 del Estatuto de autonomía de Galicia le reconoce a la Comunidad Autónoma en materia de ordenación del territorio y del litoral, sin invadir la competencia exclusiva que el Estado tiene para aprobar la legislación básica sobre protección del medio ambiente (art. 149.1.23 CE), sin perjuicio de las facultades de las Comunidades Autónomas de establecer normas adicionales de protección, siendo la distribución competencial en materia de medio ambiente particularmente compleja, tal y como habría señalado la STC 102/1995, de 20 de abril. Toda la Ley 9/2002 en la que se incardina la disposición cuestionada habría sido aprobada en ejercicio de la competencia exclusiva en materia de ordenación del territorio y en ella se incluye una categoría propia de suelo, con la denominación de “suelo de núcleo rural”.</w:t>
      </w:r>
    </w:p>
    <w:p w:rsidR="00D06117" w:rsidRDefault="00D06117" w:rsidP="00D06117">
      <w:pPr>
        <w:pStyle w:val="TextoNormal"/>
      </w:pPr>
    </w:p>
    <w:p w:rsidR="00D06117" w:rsidRDefault="00D06117" w:rsidP="00D06117">
      <w:pPr>
        <w:pStyle w:val="TextoNormal"/>
      </w:pPr>
      <w:r>
        <w:t>La disposición cuestionada, en la medida en que remite a la normativa básica estatal de costas respecto de los núcleos rurales preexistentes de carácter tradicional y al suelo de núcleo rural para aplicarles el régimen excepcional de la zona de servidumbre de protección reducida a 20 metros, sería una norma incompleta, “pues al reconocer la competencia estatal en la zona de servidumbre de demanio marítimo-terrestre y concretamente el carácter básico de la disposición transitoria tercera.3 de la Ley de costas, así como de las disposiciones transitorias séptima.3 y novena.1 y 3 del reglamento general de esta ley, remite a su régimen jurídico a los referidos núcleos rurales, que considera una categoría de suelo urbano o asimilado con las características y requisitos que especifica la citada normativa básica de costas”. Todo lo anterior confirma su constitucionalidad, que se vería igualmente demostrada —a la luz del principio de conservación de la norma— por el dato de que en la tramitación parlamentaria del proyecto de ley ningún grupo parlamentario presentase ninguna enmienda y de que el contenido de la disposición se contuviera ya en la disposición adicional sexta de la Ley gallega 1/1997.</w:t>
      </w:r>
    </w:p>
    <w:p w:rsidR="00D06117" w:rsidRDefault="00D06117" w:rsidP="00D06117">
      <w:pPr>
        <w:pStyle w:val="TextoNormal"/>
      </w:pPr>
    </w:p>
    <w:p w:rsidR="00D06117" w:rsidRDefault="00D06117" w:rsidP="00D06117">
      <w:pPr>
        <w:pStyle w:val="TextoNormal"/>
      </w:pPr>
      <w:r>
        <w:t xml:space="preserve">Afirma seguidamente el Parlamento de Galicia que, a la vista de la doctrina constitucional expuesta y del título competencial ejercido por el legislador autonómico, no puede compartirse el criterio de la Sala a quo al interpretar que la disposición cuestionada “añade un supuesto más a los previstos en la normativa básica para sujetarlo a ese régimen especial de protección”, dado que no existe contradicción normativa entre los preceptos estatales y el precepto autonómico toda vez que la disposición cuestionada remite a la normativa estatal de costas en relación con los núcleos rurales preexistentes de carácter tradicional, por su </w:t>
      </w:r>
      <w:r>
        <w:lastRenderedPageBreak/>
        <w:t>carácter de suelo asimilado al urbano, y el suelo de núcleo rural, por su carácter de suelo urbano, tal y como habría venido a reconocer la mayoría de la doctrina a la vista de las obligaciones impuestas al propietario por la Ley 9/2002. Este razonamiento descartaría igualmente que, como afirma la Sala cuestionante, la disposición objeto de cuestionamiento tenga carácter retroactivo con la consecuencia de dejar sin efecto el sistema transitorio establecido en la Ley de costas, dado que —como habría afirmado cierta doctrina— “la clave para la determinación de la anchura de la zona de servidumbre es la situación del núcleo a la entrada en vigor de la Ley de costas, no la resultante de la legislación urbanística de Galicia” de modo que los criterios que se establecen en aquella disposición “deben entenderse como aplicativos de los previstos en la legislación de costas y no como justificativos de una ampliación de los supuestos en que la reducción de dicha zona es admisible utilizando referencias temporales posteriores”, ya que los núcleos rurales son preexistentes a la Ley de costas y el suelo de núcleo rural está asimilado el suelo urbano.</w:t>
      </w:r>
    </w:p>
    <w:p w:rsidR="00D06117" w:rsidRDefault="00D06117" w:rsidP="00D06117">
      <w:pPr>
        <w:pStyle w:val="TextoNormal"/>
      </w:pPr>
    </w:p>
    <w:p w:rsidR="00D06117" w:rsidRDefault="00D06117" w:rsidP="00D06117">
      <w:pPr>
        <w:pStyle w:val="TextoNormal"/>
      </w:pPr>
      <w:r w:rsidRPr="00D06117">
        <w:rPr>
          <w:rStyle w:val="NumeroAFNegritaCaracter"/>
        </w:rPr>
        <w:t>12</w:t>
      </w:r>
      <w:r>
        <w:t>. Mediante providencia de 17 de abril de 2012 se señaló para deliberación y votación de la presente Sentencia el día18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cuestión de inconstitucionalidad, promovida por la Sala de lo Contencioso-Administrativo de la Audiencia Nacional, se dirige frente a la disposición adicional tercera de la Ley del Parlamento de Galicia 9/2002, de 30 de diciembre, de ordenación urbanística y protección del medio rural de Galicia, cuyo tenor literal, en la redacción que se mantuvo vigente hasta la aprobación de la Ley 18/2008, de 29 de diciembre, de vivienda, bajo el encabezamiento “Núcleos rurales afectados por la legislación de costas”, versaba como sigue: “Será de aplicación a los núcleos rurales preexistentes de carácter tradicional contemplados en la Ley 11/1985, de 22 de agosto, de adaptación de la del suelo de Galicia, y al suelo de núcleo rural previsto en la presente Ley, el régimen previsto en el número 3 de la disposición transitoria tercera de la Ley 22/1988, de 28 de julio, de Costas, así como lo establecido en el número 3 de la disposición transitoria séptima y en los números 1 y 3 de la disposición transitoria novena del Reglamento General para el desarrollo y ejecución de dicha Ley.”</w:t>
      </w:r>
    </w:p>
    <w:p w:rsidR="00D06117" w:rsidRDefault="00D06117" w:rsidP="00D06117">
      <w:pPr>
        <w:pStyle w:val="TextoNormal"/>
      </w:pPr>
    </w:p>
    <w:p w:rsidR="00D06117" w:rsidRDefault="00D06117" w:rsidP="00D06117">
      <w:pPr>
        <w:pStyle w:val="TextoNormal"/>
      </w:pPr>
      <w:r>
        <w:t>Tal y como ha quedado reflejado en los antecedentes de esta resolución, el origen del planteamiento de la presente cuestión se encuentra en un recurso contencioso-administrativo interpuesto el 10 de julio de 2003 por el Ayuntamiento de Laxe contra la orden ministerial de aprobación del deslinde de bienes de dominio público correspondiente a un tramo de costas comprendido en su término municipal, siendo así que en el suplico de la demanda se solicitaba expresamente la rectificación de la línea de la servidumbre de protección, para reducirla a la anchura de 20 metros, “en la zona del deslinde lindante con los terrenos incluidos en el Núcleo de Mórdomo”, y ello, literalmente, “por tratarse de suelo urbano, en aplicación de la disposición transitoria tercera de la Ley de costas”, tal y como se desprendería de la aplicación de la disposición objeto de cuestionamiento.</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Tal y como ha quedado reflejado en el antecedente de hecho décimo de la presente resolución, la Xunta de Galicia apunta a un posible vicio en el cumplimiento del requisito del juicio de relevancia que derivaría del hecho de no haberse especificado expresamente </w:t>
      </w:r>
      <w:r>
        <w:lastRenderedPageBreak/>
        <w:t>en el suplico de la demanda contencioso-administrativa en la que tiene su origen la presente cuestión que el mismo se sustenta en la disposición cuestionada, si bien admite que de la fundamentación del recurso se desprende meridianamente que la correspondiente pretensión “está directamente basada en ese precepto autonómico, sobre la idea de que el núcleo de Mórdomo es un núcleo rural”, por lo que reconoce que sólo desde una concepción estricta de admisibilidad de las cuestiones de inconstitucionalidad, que sólo a este Tribunal le corresponde establecer, podría concluirse que el requisito que nos ocupa ha quedado incumplido.</w:t>
      </w:r>
    </w:p>
    <w:p w:rsidR="00D06117" w:rsidRDefault="00D06117" w:rsidP="00D06117">
      <w:pPr>
        <w:pStyle w:val="TextoNormal"/>
      </w:pPr>
    </w:p>
    <w:p w:rsidR="00D06117" w:rsidRDefault="00D06117" w:rsidP="00D06117">
      <w:pPr>
        <w:pStyle w:val="TextoNormal"/>
      </w:pPr>
      <w:r>
        <w:t>Hemos recordado, entre otras, en la STC 41/2010, de 22 de julio, FJ 2, con cita de la STC 115/2009, de 18 de mayo, FJ 2, que en el contexto de las cuestiones de inconstitucionalidad “la norma cuestionada debe superar el denominado ‘juicio de relevancia’, o lo que es lo mismo, la justificación de la medida en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de 1 de junio, FJ 1; y 141/2008, de 30 de octubre, FJ 6; AATC 42/1998, de 18 de febrero, FJ 1; 21/2001, de 30 de enero, FJ 1; 25/2003, de 28 de enero, FJ 3; 206/2005, de 10 de mayo, FJ 2; y 360/2006, de 10 de octubre, FJ 2)”. Con todo, el alcance del control que realiza este Tribunal sobre el juicio de relevancia es limitado, concentrándose en un doble criterio, recordado por la citada STC 41/2010, que se concreta, de una parte, en que es a los órganos judiciales que plantean las cuestiones de inconstitucionalidad a quienes corresponde, en principio, expresar el juicio de relevancia, sin que el Tribunal Constitucional pueda sustituir o rectificar el criterio judicial, salvo en los casos en los que éste sea manifiestamente irrazonable y resulte “evidente que la norma legal cuestionada no es, en modo alguno, aplicable al caso” (SSTC 76/1990, de 26 de abril, FJ 1; o 37/2002, de 14 de febrero, FJ 2), y en los que “de manera notoria, sin necesidad de examinar el fondo debatido y en aplicación de principios jurídicos básicos, se advierta que la argumentación judicial en relación con el juicio de relevancia carece de consistencia” (por todas STC 81/2009, de 23 de marzo, FJ 3 y jurisprudencia allí citada). Por otra parte, no puede desconocerse que el control que efectúe este Tribunal al efecto debe seguir un criterio flexible, “que se justifica por la conveniencia de que las cuestiones planteadas por los órganos judiciales encuentren, siempre que sea posible, solución por Sentencia con el objeto de contribuir a la depuración del ordenamiento jurídico de preceptos presuntamente inconstitucionales, extendiendo así la fuerza vinculante de la Constitución gracias a la cooperación entre los órganos judiciales y el Tribunal Constitucional” (SSTC 203/1998, de 15 de octubre, FJ 2; 67/2002, de 21 de marzo, FJ 2; y 133/2004, de 22 de julio, FJ 1).</w:t>
      </w:r>
    </w:p>
    <w:p w:rsidR="00D06117" w:rsidRDefault="00D06117" w:rsidP="00D06117">
      <w:pPr>
        <w:pStyle w:val="TextoNormal"/>
      </w:pPr>
    </w:p>
    <w:p w:rsidR="00D06117" w:rsidRDefault="00D06117" w:rsidP="00D06117">
      <w:pPr>
        <w:pStyle w:val="TextoNormal"/>
      </w:pPr>
      <w:r>
        <w:t>Bajo tales parámetros, no se puede sostener, como pretende la Xunta de Galicia, que el cumplimiento del requisito del juicio de relevancia dependa de los términos en los que el demandante en el proceso a quo haya formulado, no ya la fundamentación de su escrito de demanda, sino específicamente el suplico en que concreta sus pretensiones. Siendo, como acabamos de recordar, responsabilidad del órgano judicial cuestionante la expresión del juicio de relevancia, debemos concentrar nuestra atención en el Auto de planteamiento, en el que se justifica de forma razonable y consistente que la disposición objeto de cuestionamiento es, en sus propias palabras, y como la propia Xunta admite, “de ineludible aplica</w:t>
      </w:r>
      <w:r>
        <w:lastRenderedPageBreak/>
        <w:t>ción” al objeto de resolver sobre el recurso contencioso-administrativo del que está conociendo, basando como basa el Ayuntamiento recurrente el segundo suplico de su demanda en la aplicabilidad al caso de aquella disposición a los efectos de rectificar la Orden de deslinde objeto de su recurso determinando la reducción de la servidumbre de protección de costas a la anchura de 20 metros en los terrenos correspondientes al núcleo rural de Mórdomo en consideración a su condición de núcleo rural. Y ello por cuanto la disposición cuestionada prescribe —recordemos— que a los núcleos rurales preexistentes de carácter tradicional contemplados en la Ley 11/1985, de 22 de agosto, de adaptación de la del suelo de Galicia, al igual que al suelo de núcleo rural previsto en dicha ley, les será de aplicación el régimen transitorio previsto en la legislación de costas para la reducción de la servidumbre de protección en consideración al carácter urbano de los terrenos, en los términos de la disposición transitoria tercera, apartado 3, de la Ley 22/1988, de 28 de julio, de costas (LC), y las disposiciones transitorias séptima, apartado 3, y novena, apartados 1 y 3, del reglamento general para el desarrollo y ejecución de la Ley 22/1988, de 28 de julio, de costas, aprobado mediante Real Decreto 1471/1989, de 1 de diciembre.</w:t>
      </w:r>
    </w:p>
    <w:p w:rsidR="00D06117" w:rsidRDefault="00D06117" w:rsidP="00D06117">
      <w:pPr>
        <w:pStyle w:val="TextoNormal"/>
      </w:pPr>
    </w:p>
    <w:p w:rsidR="00D06117" w:rsidRDefault="00D06117" w:rsidP="00D06117">
      <w:pPr>
        <w:pStyle w:val="TextoNormal"/>
      </w:pPr>
      <w:r w:rsidRPr="00D06117">
        <w:rPr>
          <w:rStyle w:val="NumeroAFNegritaCaracter"/>
        </w:rPr>
        <w:t>3</w:t>
      </w:r>
      <w:r>
        <w:t>. Descartado, pues, que la presente cuestión haya incurrido en vicio alguno del juicio de relevancia, debemos, antes de entrar en el fondo del asunto, hacer una advertencia sobre su pervivencia toda vez que el precepto contra el que se dirige ha sido sustancialmente modificado en su redacción como consecuencia de la aprobación de la disposición adicional segunda de la Ley de la Comunidad Autónoma de Galicia 18/2008, de 29 de diciembre, de vivienda, disposición que —conviene advertirlo— ha sido objeto de un recurso de inconstitucionalidad interpuesto por el Gobierno de la Nación, registrado bajo el número de referencia 3644-2009 y pendiente de resolución por parte de este Tribunal. En la redacción introducida por esta disposición, que mantiene su vigencia, la disposición adicional tercera de la Ley 9/2002 versa como sigue:</w:t>
      </w:r>
    </w:p>
    <w:p w:rsidR="00D06117" w:rsidRDefault="00D06117" w:rsidP="00D06117">
      <w:pPr>
        <w:pStyle w:val="TextoNormal"/>
      </w:pPr>
    </w:p>
    <w:p w:rsidR="00D06117" w:rsidRDefault="00D06117" w:rsidP="00D06117">
      <w:pPr>
        <w:pStyle w:val="TextoNormal"/>
      </w:pPr>
      <w:r>
        <w:t xml:space="preserve">“1. A los núcleos rurales preexistentes de carácter tradicional contemplados en la Ley 11/1985, de 22 de agosto, de adaptación de la del suelo a Galicia, les será de aplicación el régimen previsto en el apartado 3 de la disposición transitoria tercera de la Ley 22/1988, de 28 de julio, de costas, así como lo establecido en el apartado 3 de la disposición transitoria séptima y en los apartados 1 y 3 de la disposición transitoria novena del Reglamento general para el desarrollo y ejecución de dicha Ley de costas, cuando, a la entrada en vigor de esta última, concurría en los mismos alguno de los siguientes supuestos: </w:t>
      </w:r>
    </w:p>
    <w:p w:rsidR="00D06117" w:rsidRDefault="00D06117" w:rsidP="00D06117">
      <w:pPr>
        <w:pStyle w:val="TextoNormal"/>
      </w:pPr>
    </w:p>
    <w:p w:rsidR="00D06117" w:rsidRDefault="00D06117" w:rsidP="00D06117">
      <w:pPr>
        <w:pStyle w:val="TextoNormal"/>
      </w:pPr>
      <w:r>
        <w:t xml:space="preserve">a.- En municipios con planeamiento, los terrenos clasificados de suelo urbano de núcleo rural, así como aquellos que reunían alguno de los siguientes requisitos: </w:t>
      </w:r>
    </w:p>
    <w:p w:rsidR="00D06117" w:rsidRDefault="00D06117" w:rsidP="00D06117">
      <w:pPr>
        <w:pStyle w:val="TextoNormal"/>
      </w:pPr>
    </w:p>
    <w:p w:rsidR="00D06117" w:rsidRDefault="00D06117" w:rsidP="00D06117">
      <w:pPr>
        <w:pStyle w:val="TextoNormal"/>
      </w:pPr>
      <w:r>
        <w:t xml:space="preserve">Que contaban con acceso rodado, abastecimiento de agua, evacuación de aguas residuales y suministro de energía eléctrica. </w:t>
      </w:r>
    </w:p>
    <w:p w:rsidR="00D06117" w:rsidRDefault="00D06117" w:rsidP="00D06117">
      <w:pPr>
        <w:pStyle w:val="TextoNormal"/>
      </w:pPr>
    </w:p>
    <w:p w:rsidR="00D06117" w:rsidRDefault="00D06117" w:rsidP="00D06117">
      <w:pPr>
        <w:pStyle w:val="TextoNormal"/>
      </w:pPr>
      <w:r>
        <w:t xml:space="preserve">Que, aun careciendo de alguno de los servicios citados en el guión anterior, estaban comprendidos en áreas consolidadas por la edificación como mínimo en dos terceras partes de su superficie, de conformidad con la ordenación de aplicación. </w:t>
      </w:r>
    </w:p>
    <w:p w:rsidR="00D06117" w:rsidRDefault="00D06117" w:rsidP="00D06117">
      <w:pPr>
        <w:pStyle w:val="TextoNormal"/>
      </w:pPr>
    </w:p>
    <w:p w:rsidR="00D06117" w:rsidRDefault="00D06117" w:rsidP="00D06117">
      <w:pPr>
        <w:pStyle w:val="TextoNormal"/>
      </w:pPr>
      <w:r>
        <w:t xml:space="preserve">b. En municipios sin planeamiento, los terrenos que reunían alguno de los siguientes requisitos: </w:t>
      </w:r>
    </w:p>
    <w:p w:rsidR="00D06117" w:rsidRDefault="00D06117" w:rsidP="00D06117">
      <w:pPr>
        <w:pStyle w:val="TextoNormal"/>
      </w:pPr>
    </w:p>
    <w:p w:rsidR="00D06117" w:rsidRDefault="00D06117" w:rsidP="00D06117">
      <w:pPr>
        <w:pStyle w:val="TextoNormal"/>
      </w:pPr>
      <w:r>
        <w:lastRenderedPageBreak/>
        <w:t xml:space="preserve">Que contaban con acceso rodado, abastecimiento de agua, evacuación de aguas residuales y suministro de energía eléctrica. </w:t>
      </w:r>
    </w:p>
    <w:p w:rsidR="00D06117" w:rsidRDefault="00D06117" w:rsidP="00D06117">
      <w:pPr>
        <w:pStyle w:val="TextoNormal"/>
      </w:pPr>
    </w:p>
    <w:p w:rsidR="00D06117" w:rsidRDefault="00D06117" w:rsidP="00D06117">
      <w:pPr>
        <w:pStyle w:val="TextoNormal"/>
      </w:pPr>
      <w:r>
        <w:t xml:space="preserve">Que, aun careciendo de alguno de los servicios citados en el guión anterior, estaban comprendidos en áreas consolidadas por la edificación como mínimo en la mitad de su superficie. </w:t>
      </w:r>
    </w:p>
    <w:p w:rsidR="00D06117" w:rsidRDefault="00D06117" w:rsidP="00D06117">
      <w:pPr>
        <w:pStyle w:val="TextoNormal"/>
      </w:pPr>
    </w:p>
    <w:p w:rsidR="00D06117" w:rsidRDefault="00D06117" w:rsidP="00D06117">
      <w:pPr>
        <w:pStyle w:val="TextoNormal"/>
      </w:pPr>
      <w:r>
        <w:t xml:space="preserve">2. Reglamentariamente se establecerá la documentación y el procedimiento para determinar las áreas en que concurren los requisitos señalados en el apartado anterior. </w:t>
      </w:r>
    </w:p>
    <w:p w:rsidR="00D06117" w:rsidRDefault="00D06117" w:rsidP="00D06117">
      <w:pPr>
        <w:pStyle w:val="TextoNormal"/>
      </w:pPr>
    </w:p>
    <w:p w:rsidR="00D06117" w:rsidRDefault="00D06117" w:rsidP="00D06117">
      <w:pPr>
        <w:pStyle w:val="TextoNormal"/>
      </w:pPr>
      <w:r>
        <w:t>3. En los deslindes del dominio público marítimo-terrestre el límite interior de su zona de servidumbre de protección habrá de ajustarse a la realidad urbanística preexistente reconocida expresamente por la Administración urbanística autonómica.”</w:t>
      </w:r>
    </w:p>
    <w:p w:rsidR="00D06117" w:rsidRDefault="00D06117" w:rsidP="00D06117">
      <w:pPr>
        <w:pStyle w:val="TextoNormal"/>
      </w:pPr>
    </w:p>
    <w:p w:rsidR="00D06117" w:rsidRDefault="00D06117" w:rsidP="00D06117">
      <w:pPr>
        <w:pStyle w:val="TextoNormal"/>
      </w:pPr>
      <w:r>
        <w:t>Es reiterada doctrina constitucional, tal y como ha recordado la STC 68/2007, de 28 de marzo, FJ 4, con cita de la STC 134/2004, de 22 de julio (FJ 3),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de modo que, concretamente para las cuestiones de inconstitucionalidad, hemos declarado, como la STC 22/2010, de 27 de abril, FJ 2, recuerda, que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Esta circunstancia concurre, evidentemente, en el asunto que nos ocupa, por ser la disposición cuestionada, en la redacción fijada originalmente por la Ley 9/2002, la que el Ayuntamiento recurrente pretendería que fuera aplicada para anular la orden de deslinde recurrida en lo que respecta a la servidumbre de protección de costas fijada para el tramo correspondiente al núcleo de Mórdomo, lo que determina la pervivencia del juicio de aplicabilidad y relevancia respecto de la disposición en cuestión y, con ello, la pervivencia del objeto de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4</w:t>
      </w:r>
      <w:r>
        <w:t>. Una vez aclarado que la presente cuestión no ha perdido objeto, debemos volver, para su resolución, sobre los concretos términos en los que ha sido planteada. En la consideración de la Audiencia Nacional, órgano jurisdiccional promotor, la disposición adicional tercera de la Ley gallega 9/2002, en la redacción entonces vigente, podría resultar vulneradora de la competencia estatal establecida en el art. 149.1.23 CE, en los términos en que ha sido interpretada por la STC 149/1991, de 4 de julio, por pretender extender a los supuestos en ella recogidos el régimen previsto en la legislación estatal de costas para la reducción excepcional de la servidumbre de protección en los suelos urbanos. Este planteamiento es sustancialmente sustentado por el Abogado del Estado, pero el Fiscal General del Estado, la Xunta de Galicia y el Parlamento gallego lo rebaten.</w:t>
      </w:r>
    </w:p>
    <w:p w:rsidR="00D06117" w:rsidRDefault="00D06117" w:rsidP="00D06117">
      <w:pPr>
        <w:pStyle w:val="TextoNormal"/>
      </w:pPr>
    </w:p>
    <w:p w:rsidR="00D06117" w:rsidRDefault="00D06117" w:rsidP="00D06117">
      <w:pPr>
        <w:pStyle w:val="TextoNormal"/>
      </w:pPr>
      <w:r>
        <w:t xml:space="preserve">Para dar respuesta a la cuestión así planteada, debemos volver una vez más sobre la literalidad del precepto cuestionado, según el cual “será de aplicación a los núcleos rurales </w:t>
      </w:r>
      <w:r>
        <w:lastRenderedPageBreak/>
        <w:t>preexistentes de carácter tradicional contemplados en la Ley 11/1985, de 22 de agosto, de adaptación de la del suelo de Galicia, y al suelo de núcleo rural previsto en la presente Ley, el régimen previsto en el número 3 de la disposición transitoria tercera de la Ley 22/1988, de 28 de julio, de Costas, así como lo establecido en el número 3 de la disposición transitoria séptima y en los números 1 y 3 de la disposición transitoria novena del Reglamento General para el desarrollo y ejecución de dicha Ley”. En su recto entendimiento, parece evidente que el precepto busca aplicar a “los núcleos rurales preexistentes de carácter tradicional contemplados en la Ley 11/1985, de 22 de agosto, de adaptación de la del suelo de Galicia”, de una parte, y “al suelo de núcleo rural” previsto en la propia Ley gallega 9/2002, de otra, el régimen previsto en la disposición transitoria tercera, apartado 3, LC y en las disposiciones transitorias séptima, apartado 3, y novena, apartados 1 y 3, del Reglamento general para el desarrollo y ejecución de dicha Ley de costas, de modo que debemos acudir a los preceptos estatales de remisión, analizando su contenido y alcance, para pronunciarnos sobre la constitucionalidad del precepto gallego en los concretos términos en los que ha sido cuestionado.</w:t>
      </w:r>
    </w:p>
    <w:p w:rsidR="00D06117" w:rsidRDefault="00D06117" w:rsidP="00D06117">
      <w:pPr>
        <w:pStyle w:val="TextoNormal"/>
      </w:pPr>
    </w:p>
    <w:p w:rsidR="00D06117" w:rsidRDefault="00D06117" w:rsidP="00D06117">
      <w:pPr>
        <w:pStyle w:val="TextoNormal"/>
      </w:pPr>
      <w:r>
        <w:t>El apartado 3 de la disposición transitoria tercera LC, prescribe en su primera frase que “los terrenos clasificados como suelo urbano a la entrada en vigor de la presente Ley estarán sujetos a las servidumbres establecidas en ella, con la salvedad de que la anchura de la servidumbre de protección será de 20 metros” para establecer, sucesivamente, el régimen de los usos y construcciones preexistentes o futuros en unos términos que, por lo que hace a la autorización de nuevos usos y construcciones, han sido modificados con posterioridad al planteamiento de la cuestión de inconstitucionalidad que nos ocupa por el art. 120, apartado 7, de la Ley 53/2002, de 30 de diciembre, de medidas fiscales, administrativas y del orden social, sin que ello afecte a la presente cuestión, dado que el ámbito objetivo del proceso a quo, en lo que a nuestros efectos interesa, se limita a la fijación misma de la anchura de la servidumbre de protección, con independencia de cuál sea el preciso estatuto, particularmente en términos transitorios, de los terrenos sometidos a tal servidumbre. El apartado 1 de la disposición transitoria novena del Reglamento general para el desarrollo y ejecución de dicha Ley de costas, por su parte, insiste en que “los terrenos clasificados como suelo urbano a la entrada en vigor de la Ley de Costas, estarán sujetos a las servidumbres establecidas en ella, con la salvedad de que la anchura de la servidumbre de protección será de veinte metros” para establecer a renglón seguido, como la disposición transitoria LC que desarrolla, el régimen de usos y construcciones pro praeterito y pro futuro, siendo así que el apartado 3 de la misma disposición precisa que “a los efectos de la aplicación del apartado 1 anterior, sólo se considerará como suelo urbano el que tenga expresamente establecida esta clasificación en los instrumentos de ordenación vigentes en la fecha de entrada en vigor de la Ley de Costas, salvo que se trate de áreas urbanas en que la edificación estuviera consolidada o los terrenos dispusieran de los servicios exigidos en la legislación urbanística en la citada fecha y la Administración urbanística competente les hubiera reconocido expresamente ese carácter”. En esta precisión viene a coincidir el apartado 3 de la disposición transitoria séptima del mismo reglamento, a la que la disposición cuestionada también se remite, y según la cual “en los municipios que carezcan de instrumentos de ordenación se aplicarán íntegramente las disposiciones de la Ley de Costas y de este reglamento sobre las zonas de servidumbre de protección y de influencia, salvo que se acredite que en la fecha de entrada en vigor de la citada Ley los terrenos reunían los requisitos exigidos por la legislación urbanística para su clasificación como suelo urbano”.</w:t>
      </w:r>
    </w:p>
    <w:p w:rsidR="00D06117" w:rsidRDefault="00D06117" w:rsidP="00D06117">
      <w:pPr>
        <w:pStyle w:val="TextoNormal"/>
      </w:pPr>
    </w:p>
    <w:p w:rsidR="00D06117" w:rsidRDefault="00D06117" w:rsidP="00D06117">
      <w:pPr>
        <w:pStyle w:val="TextoNormal"/>
      </w:pPr>
      <w:r>
        <w:lastRenderedPageBreak/>
        <w:t>Tratándose como se trata de disposiciones transitorias, su comprensión exige dirigirse a los preceptos introducidos con vocación de futuro por la legislación en la que se incardinan. Y ello obliga a acudir al art. 23.1 LC, que establece que “la servidumbre de protección recaerá sobre una zona de 100 metros medida tierra adentro desde el límite interior de la ribera del mar”, prescripción que se comprende plenamente en conexión con otros preceptos de la misma ley, según los cuales, “la protección y defensa del dominio público marítimo-terrestre comprende la defensa de su integridad y de los fines de uso general a que está destinado; la preservación de sus características y elementos naturales y la prevención de las perjudiciales consecuencias de obras e instalaciones, en los términos de la presente Ley” (art. 20), a los efectos de lo cual “los terrenos colindantes con el dominio público marítimo-terrestre estarán sujetos a las limitaciones y servidumbres que se determinan en el presente título, prevaleciendo sobre la interposición de cualquier acción” (art. 21.1).</w:t>
      </w:r>
    </w:p>
    <w:p w:rsidR="00D06117" w:rsidRDefault="00D06117" w:rsidP="00D06117">
      <w:pPr>
        <w:pStyle w:val="TextoNormal"/>
      </w:pPr>
    </w:p>
    <w:p w:rsidR="00D06117" w:rsidRDefault="00D06117" w:rsidP="00D06117">
      <w:pPr>
        <w:pStyle w:val="TextoNormal"/>
      </w:pPr>
      <w:r>
        <w:t>Resulta así que las disposiciones de la legislación de costas a que se remite la disposición objeto de la presente cuestión de inconstitucionalidad prevén la reducción excepcional de una de las servidumbres por ella establecidas para proteger la integridad y utilidad del demanio marítimo-terrestre, la servidumbre de protección de costas, de 100 a 20 metros, para los terrenos que a la entrada en vigor de la Ley de costas —es decir, el 29 de julio de 1988, a la vista de lo previsto por la disposición final tercera LC— tuvieran la consideración de suelo urbano, bien porque estuvieran así clasificados por un instrumento de planeamiento en vigor, bien porque reunieran a esa fecha los requisitos exigidos por la legislación urbanística para su clasificación como suelo urbano, en consideración al carácter consolidado de la edificación o a la disponibilidad de los servicios exigidos en la legislación urbanística, siempre y cuando la Administración urbanística competente les hubiera reconocido expresamente ese carácter.</w:t>
      </w:r>
    </w:p>
    <w:p w:rsidR="00D06117" w:rsidRDefault="00D06117" w:rsidP="00D06117">
      <w:pPr>
        <w:pStyle w:val="TextoNormal"/>
      </w:pPr>
    </w:p>
    <w:p w:rsidR="00D06117" w:rsidRDefault="00D06117" w:rsidP="00D06117">
      <w:pPr>
        <w:pStyle w:val="TextoNormal"/>
      </w:pPr>
      <w:r>
        <w:t>Este Tribunal ha tenido oportunidad de pronunciarse sobre todos los preceptos de referencia, para confirmar su constitucionalidad desde el punto de vista competencial. En sus Sentencias 149/1991, de 4 de julio (a la que, no en vano, se remiten todas las partes personadas en el presente procedimiento), y en la sucesiva 198/1991, de 17 de octubre, afirmamos que en su aprobación el Estado había ejercido su competencia derivada de la regla 23 del art. 149.1 CE, que le permite dictar legislación básica en materia de medio ambiente, en conexión con la competencia estatal que se deriva del art. 149.1.1 CE, y ello sin menoscabo de las competencias autonómicas para la ordenación del territorio y el urbanismo, no involucradas en estas prescripciones.</w:t>
      </w:r>
    </w:p>
    <w:p w:rsidR="00D06117" w:rsidRDefault="00D06117" w:rsidP="00D06117">
      <w:pPr>
        <w:pStyle w:val="TextoNormal"/>
      </w:pPr>
    </w:p>
    <w:p w:rsidR="00D06117" w:rsidRDefault="00D06117" w:rsidP="00D06117">
      <w:pPr>
        <w:pStyle w:val="TextoNormal"/>
      </w:pPr>
      <w:r>
        <w:t xml:space="preserve">En los concretos términos del fundamento jurídico 1, apartado d), de la STC 149/1991, que conoció, entre otros, de un recurso de inconstitucionalidad interpuesto precisamente por la Xunta de Galicia contra varios preceptos de la Ley de costas (entre ellos, la disposición transitoria tercera, apartado 3) por considerarlos vulneradores de la competencia autonómica para la ordenación del territorio y el urbanismo, las funciones atribuidas por la Carta europea del litoral a las zonas costeras no sólo facultan, sino que obligan, al legislador estatal a proteger el demanio marítimo-terrestre, a fin de asegurar tanto el mantenimiento de su integridad física y jurídica, como su uso público y sus valores paisajísticos (tal y como exigiría el propio art. 45 CE). Y ello en el bien entendido de que tales finalidades no pueden alcanzarse sin limitar o condicionar de algún modo las utilizaciones del propio demanio, así como el uso que de los terrenos colindantes con él puedan hacer sus propietarios, lo que supone, sin duda, incidir sobre la competencia autonómica para la ordenación del territorio, </w:t>
      </w:r>
      <w:r>
        <w:lastRenderedPageBreak/>
        <w:t>incidencia cuya legitimidad sólo puede deducirse, en lo que hace a los terrenos colindantes, de unos títulos estatales distintos al que se deriva de la propia titularidad estatal del demanio: el contenido en el art. 149.1.1 CE y el que se extrae de la regla 23 del mismo artículo. El primero faculta al Estado para regular las condiciones básicas de la propiedad sobre los terrenos colindantes con la zona marítimo-terrestre, asegurando la igualdad básica de todos los españoles en el ejercicio de un derecho que se ve inevitablemente condicionado por la imposición de servidumbres o limitaciones para asegurar la integridad física y la accesibilidad de la zona marítimo-terrestre, sin que, por ello, se excluya la posibilidad de que, a través de los correspondientes instrumentos de ordenación, las Comunidades Autónomas condicionen adicionalmente el uso que a esos terrenos puede darse. El segundo, derivado del art. 149.1.23 CE, permite al Estado establecer limitaciones en el uso de los terrenos colindantes con el demanio marítimo-terrestre como contenido de la legislación básica sobre medio ambiente por él aprobada, sin perjuicio de que las Comunidades Autónomas pueda aprobar normas adicionales de protección.</w:t>
      </w:r>
    </w:p>
    <w:p w:rsidR="00D06117" w:rsidRDefault="00D06117" w:rsidP="00D06117">
      <w:pPr>
        <w:pStyle w:val="TextoNormal"/>
      </w:pPr>
    </w:p>
    <w:p w:rsidR="00D06117" w:rsidRDefault="00D06117" w:rsidP="00D06117">
      <w:pPr>
        <w:pStyle w:val="TextoNormal"/>
      </w:pPr>
      <w:r>
        <w:t>Sobre este planteamiento abunda el fundamento jurídico 3, apartado b), de la misma Sentencia, para especificar en el sucesivo apartado d), al referirse concretamente al art. 23 LC, que “es evidente que la protección de los bienes que integran este dominio, la preservación de sus características propias y el aseguramiento del libre acceso público a ellas no puede alcanzarse si no es dictando una legislación básica para la protección del medio ambiente y limitando, de uno u otro modo, la libre disponibilidad sobre los terrenos colindantes, una limitación que, por lo demás, sólo el Estado puede imponer de modo general (art. 149.1.8. C.E.), garantizando al tiempo la igualdad básica de todos los españoles que posean fundos en esos terrenos, según ya dijimos, acerca de una norma análoga, en la STC 227/1988 y cuyo carácter básico no necesita explicitación alguna por inferirse naturalmente de su contenido y su generalidad”. De ahí que las disposiciones que establecen un régimen transitorio para la fijación de la servidumbre de protección apoyándose en el régimen urbanístico de los terrenos en el momento de entrada en vigor de la LC, encuentren, por las mismas razones, cobertura en el título estatal ex art. 149.1.23 CE, así como —tal y como precisa el fundamento jurídico 8 d) de la STC 149/1991 y, por remisión a él el fundamento jurídico 8, apartado a), de la STC 198/1991, respecto de las correlativas disposiciones transitorias del Reglamento general para el desarrollo y ejecución de dicha Ley de costas— en la competencia que al Estado reserva el art. 149.1.1 de la Constitución, “ya que con él se garantiza que las limitaciones y servidumbres que establece la Ley no tengan una proyección desigual sobre las facultades de los propietarios según las diversas situaciones urbanísticas de los terrenos e inmuebles de su titularidad. Es decir, si la necesidad de asegurar la igualdad de todos los españoles en el ejercicio del derecho que garantiza el art. 33.1 de la C.E., no quedaría plenamente asegurada si el Estado no regulase las condiciones básicas de la propiedad sobre los terrenos colindantes del dominio público marítimo-terrestre sujetos a las limitaciones ya conocidas, tampoco lo quedaría si no procediese a fijar los criterios a los que transitoriamente, en atención al planeamiento y circunstancias urbanísticas preexistentes en cada caso, deba acomodarse y ajustarse la aplicación de dichas limitaciones”.</w:t>
      </w:r>
    </w:p>
    <w:p w:rsidR="00D06117" w:rsidRDefault="00D06117" w:rsidP="00D06117">
      <w:pPr>
        <w:pStyle w:val="TextoNormal"/>
      </w:pPr>
    </w:p>
    <w:p w:rsidR="00D06117" w:rsidRDefault="00D06117" w:rsidP="00D06117">
      <w:pPr>
        <w:pStyle w:val="TextoNormal"/>
      </w:pPr>
      <w:r>
        <w:t xml:space="preserve">No existe, en definitiva, duda alguna, a la luz de la doctrina constitucional recién glosada, de que el Estado ejerce una competencia propia, ex art. 149.1.23 CE, y, de forma conexa, ex art. 149.1.1 CE, para establecer servidumbres y limitaciones en los terrenos colindantes con el dominio público marítimo-terrestre —y, entre ellas, la servidumbre de protección— a los efectos de garantizar la protección y defensa de sus condiciones medioambientales, y </w:t>
      </w:r>
      <w:r>
        <w:lastRenderedPageBreak/>
        <w:t>ello sin perjuicio alguno de las competencias autonómicas para la ordenación del territorio y el urbanismo, que no se ven desconocidas por aquella regulación. Lo que sirve tanto para el régimen establecido con vocación de futuro en la legislación de costas como para el régimen transitorio. En estos términos, sólo al Estado compete, en efecto, el establecimiento de tales servidumbres y limitaciones y, por ende, la precisión de su alcance y contenido.</w:t>
      </w:r>
    </w:p>
    <w:p w:rsidR="00D06117" w:rsidRDefault="00D06117" w:rsidP="00D06117">
      <w:pPr>
        <w:pStyle w:val="TextoNormal"/>
      </w:pPr>
    </w:p>
    <w:p w:rsidR="00D06117" w:rsidRDefault="00D06117" w:rsidP="00D06117">
      <w:pPr>
        <w:pStyle w:val="TextoNormal"/>
      </w:pPr>
      <w:r>
        <w:t>La anterior conclusión es crucial a los efectos de determinar la estimación de la presente cuestión de inconstitucionalidad, tal y como pasamos a razonar.</w:t>
      </w:r>
    </w:p>
    <w:p w:rsidR="00D06117" w:rsidRDefault="00D06117" w:rsidP="00D06117">
      <w:pPr>
        <w:pStyle w:val="TextoNormal"/>
      </w:pPr>
    </w:p>
    <w:p w:rsidR="00D06117" w:rsidRDefault="00D06117" w:rsidP="00D06117">
      <w:pPr>
        <w:pStyle w:val="TextoNormal"/>
      </w:pPr>
      <w:r w:rsidRPr="00D06117">
        <w:rPr>
          <w:rStyle w:val="NumeroAFNegritaCaracter"/>
        </w:rPr>
        <w:t>5</w:t>
      </w:r>
      <w:r>
        <w:t>. Volviendo a los términos en los que se expresa la disposición cuestionada, recordaremos que su objeto no es otro que aplicar a “los núcleos rurales preexistentes de carácter tradicional contemplados en la Ley 11/1985, de 22 de agosto, de adaptación de la del suelo de Galicia” y “al suelo de núcleo rural” previsto en la Ley gallega 9/2002, el régimen previsto en la disposición transitoria tercera, apartado 3 de la Ley de costas y en las disposiciones transitorias séptima, apartado 3, y novena, apartados 1 y 3, del Reglamento general para el desarrollo y ejecución de dicha Ley de costas. Pretende, en definitiva, establecer supuestos de aplicación de las referidas disposiciones transitorias de la ley de costas y del Reglamento general para el desarrollo y ejecución de dicha Ley de costas, a cuyo contenido nos hemos referido ya, lo que supone por sí mismo una vulneración de la competencia estatal con independencia del concreto alcance —ampliatorio o no de las reglas estatales— de tal operación.</w:t>
      </w:r>
    </w:p>
    <w:p w:rsidR="00D06117" w:rsidRDefault="00D06117" w:rsidP="00D06117">
      <w:pPr>
        <w:pStyle w:val="TextoNormal"/>
      </w:pPr>
    </w:p>
    <w:p w:rsidR="00D06117" w:rsidRDefault="00D06117" w:rsidP="00D06117">
      <w:pPr>
        <w:pStyle w:val="TextoNormal"/>
      </w:pPr>
      <w:r>
        <w:t xml:space="preserve">En el fundamento jurídico anterior ha quedado sentado que, a la luz de la doctrina constitucional fijada en las SSTC 149/1991 y 198/1991, sólo al Estado corresponde establecer limitaciones y servidumbres sobre los terrenos colindantes al demanio marítimo-terrestre y, entre ellas, la servidumbre de protección. Ejerce, al efecto, el Estado su competencia para establecer una legislación básica en materia de medio ambiente, ex art. 149.1.23 CE, en conexión con su competencia ex art. 149.1.1 CE para fijar en condiciones de igualdad el ejercicio del derecho de propiedad en todo el territorio, de modo que las Comunidades Autónomas no pueden establecer disposición alguna al respecto, ni siquiera para reproducir con exactitud las previsiones estatales, operación que quedaría vedada por la doctrina sobre la lex repetita 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 Resulta así, irrelevante, tal y como plantean —en sentidos opuestos— el órgano cuestionante y el Abogado del Estado, de una parte, y la Xunta de Galicia y el Parlamento gallego, de otra, razonar si los supuestos específicos contemplados por la disposición cuestionada son o no subsumibles en los supuestos contemplados por la legislación estatal para determinar la reducción de la anchura de la servidumbre de protección, ya que la Comunidad Autónoma carece, simple y llanamente, de competencia para adoptar disposición alguna para determinar, ni siquiera por remisión mimética a la legislación estatal, limitaciones o servidumbres sobre los terrenos colindantes con el dominio público marítimo-terrestre dirigidas a su protección y conservación, lo que determina la inconstitucionalidad de la disposición sometida a cuestionamiento. No puede oponerse a esta conclusión, como pretenden la Xunta de Galicia y el Parlamento gallego, que el legislador gallego ha ejercido, al aprobar tal disposición, sus competencias en materia de ordenación </w:t>
      </w:r>
      <w:r>
        <w:lastRenderedPageBreak/>
        <w:t>del territorio y urbanismo, ya que, tal y como dejó sentado la reiteradamente citada STC 149/1991, estas competencias no pueden incidir en la fijación por el Estado de la servidumbre de protección de costas en ejercicio de competencias que sólo a él corresponden.</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cuestión de inconstitucionalidad y, en su virtud, declarar inconstitucional y nula la disposición adicional tercera de la Ley del Parlamento de Galicia 9/2002, de 30 de diciembre, de ordenación urbanística y protección del medio rural de Galicia, en su redacción original.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abril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1" w:name="SENTENCIA_2012_88"/>
      <w:r>
        <w:lastRenderedPageBreak/>
        <w:t>SENTENCIA 88/2012, de 7 de mayo de 2012</w:t>
      </w:r>
    </w:p>
    <w:bookmarkEnd w:id="91"/>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ECLI:ES:TC:2012:88</w:t>
      </w:r>
    </w:p>
    <w:p w:rsidR="00D06117" w:rsidRDefault="00D06117" w:rsidP="00D06117">
      <w:pPr>
        <w:pStyle w:val="SntesisDescriptiva"/>
      </w:pPr>
    </w:p>
    <w:p w:rsidR="00D06117" w:rsidRDefault="00D06117" w:rsidP="00D06117">
      <w:pPr>
        <w:pStyle w:val="SntesisDescriptiva"/>
      </w:pPr>
      <w:r>
        <w:t xml:space="preserve">Recurso de amparo 6976-2006. Promovido por don Rafael Simancas Simancas y otros Diputados de la Asamblea de Madrid en relación con los acuerdos de la Mesa de la Cámara de 21 de marzo y 4 de abril de 2006 por los que se inadmitió </w:t>
      </w:r>
    </w:p>
    <w:p w:rsidR="00D06117" w:rsidRDefault="00D06117" w:rsidP="00D06117">
      <w:pPr>
        <w:pStyle w:val="SntesisDescriptiva"/>
      </w:pPr>
      <w:r>
        <w:t>a trámite la solicitud de creación de una comisión no permanente de investigación.</w:t>
      </w:r>
    </w:p>
    <w:p w:rsidR="00D06117" w:rsidRDefault="00D06117" w:rsidP="00D06117">
      <w:pPr>
        <w:pStyle w:val="SntesisDescriptiva"/>
      </w:pPr>
    </w:p>
    <w:p w:rsidR="00D06117" w:rsidRDefault="00D06117" w:rsidP="00D06117">
      <w:pPr>
        <w:pStyle w:val="SntesisAnaltica"/>
      </w:pPr>
      <w:r>
        <w:t>Vulneración del derecho al ejercicio del cargo parlamentario: rechazo de la creación de una comisión parlamentaria en un asunto de interés general que contraviene las previsiones del reglamento parlamentario.</w:t>
      </w:r>
    </w:p>
    <w:p w:rsidR="00D06117" w:rsidRDefault="00D06117" w:rsidP="00D06117">
      <w:pPr>
        <w:pStyle w:val="SntesisAnaltica"/>
      </w:pPr>
    </w:p>
    <w:p w:rsidR="00D06117" w:rsidRDefault="00D06117" w:rsidP="00D06117">
      <w:pPr>
        <w:pStyle w:val="Extracto"/>
      </w:pPr>
      <w:r>
        <w:t>1.</w:t>
      </w:r>
      <w:r>
        <w:tab/>
        <w:t xml:space="preserve">La Mesa de la Asamblea limitó indebidamente las facultades de los parlamentarios recurrentes en amparo, vulnerando su derecho fundamental a ejercer su cargo público, </w:t>
      </w:r>
      <w:r w:rsidRPr="00D06117">
        <w:rPr>
          <w:i/>
        </w:rPr>
        <w:t>ex</w:t>
      </w:r>
      <w:r>
        <w:t xml:space="preserve"> art. 23.2 CE, al rechazar la creación de una comisión de investigación, ya que el objeto de la misma versaba sobre una cuestión de interés general sobre la que la Comunidad de Madrid tiene competencia [FFJJ 1, 3, 5, 6].</w:t>
      </w:r>
    </w:p>
    <w:p w:rsidR="00D06117" w:rsidRDefault="00D06117" w:rsidP="00D06117">
      <w:pPr>
        <w:pStyle w:val="Extracto"/>
      </w:pPr>
    </w:p>
    <w:p w:rsidR="00D06117" w:rsidRDefault="00D06117" w:rsidP="00D06117">
      <w:pPr>
        <w:pStyle w:val="Extracto"/>
      </w:pPr>
      <w:r>
        <w:t>2.</w:t>
      </w:r>
      <w:r>
        <w:tab/>
        <w:t>Siendo la de la Mesa una potestad rigurosamente reglada, ésta tan sólo puede rechazar la creación de una comisión de investigación en el caso de que la indagación propuesta no recaiga sobre asuntos de interés público sobre los que la Comunidad tenga competencia o cuando la iniciativa se hubiera formulado incumpliendo los requisitos formales exigidos [FJ 5].</w:t>
      </w:r>
    </w:p>
    <w:p w:rsidR="00D06117" w:rsidRDefault="00D06117" w:rsidP="00D06117">
      <w:pPr>
        <w:pStyle w:val="Extracto"/>
      </w:pPr>
    </w:p>
    <w:p w:rsidR="00D06117" w:rsidRDefault="00D06117" w:rsidP="00D06117">
      <w:pPr>
        <w:pStyle w:val="Extracto"/>
      </w:pPr>
      <w:r>
        <w:t>3.</w:t>
      </w:r>
      <w:r>
        <w:tab/>
        <w:t xml:space="preserve">La decisión de la Mesa ha afectado al ejercicio de una facultad que forma parte del núcleo de la función representativa parlamentaria ya que, dado el interés público del objeto de la comisión de investigación, es claro que a través de la misma pretendía ejercerse la función de control de gobierno, función que pertenece indudablemente al núcleo de dicha función representativa, </w:t>
      </w:r>
      <w:r w:rsidRPr="00D06117">
        <w:rPr>
          <w:i/>
        </w:rPr>
        <w:t>ex</w:t>
      </w:r>
      <w:r>
        <w:t xml:space="preserve"> art. 23.2 CE (STC 141/2007) [FFJJ 4, 6].</w:t>
      </w:r>
    </w:p>
    <w:p w:rsidR="00D06117" w:rsidRDefault="00D06117" w:rsidP="00D06117">
      <w:pPr>
        <w:pStyle w:val="Extracto"/>
      </w:pPr>
    </w:p>
    <w:p w:rsidR="00D06117" w:rsidRDefault="00D06117" w:rsidP="00D06117">
      <w:pPr>
        <w:pStyle w:val="Extracto"/>
      </w:pPr>
      <w:r>
        <w:t>4.</w:t>
      </w:r>
      <w:r>
        <w:tab/>
        <w:t>El requisito de interés público para crear comisiones de investigación no puede considerarse contrario a la Constitución ni al Estatuto de Autonomía, pues, al ser estas comisiones órganos del Parlamento, es acorde con su naturaleza limitar su ámbito de actuación a asuntos que sean de interés para la comunidad que se encuentra representada en la Cámara, exigencia que además concuerda con la prevista en el art. 76 CE [FJ 4].</w:t>
      </w:r>
    </w:p>
    <w:p w:rsidR="00D06117" w:rsidRDefault="00D06117" w:rsidP="00D06117">
      <w:pPr>
        <w:pStyle w:val="Extracto"/>
      </w:pPr>
    </w:p>
    <w:p w:rsidR="00D06117" w:rsidRDefault="00D06117" w:rsidP="00D06117">
      <w:pPr>
        <w:pStyle w:val="Extracto"/>
      </w:pPr>
      <w:r>
        <w:t>5.</w:t>
      </w:r>
      <w:r>
        <w:tab/>
        <w:t xml:space="preserve">Doctrina sobre el derecho de los ciudadanos a acceder y ejercer las funciones y cargos públicos </w:t>
      </w:r>
      <w:r w:rsidRPr="00D06117">
        <w:rPr>
          <w:i/>
        </w:rPr>
        <w:t>ex</w:t>
      </w:r>
      <w:r>
        <w:t xml:space="preserve"> art. 23.2 CE (SSTC 161/1988, 119/2011) [FJ 2].</w:t>
      </w:r>
    </w:p>
    <w:p w:rsidR="00D06117" w:rsidRDefault="00D06117" w:rsidP="00D06117">
      <w:pPr>
        <w:pStyle w:val="Extracto"/>
      </w:pPr>
    </w:p>
    <w:p w:rsidR="00D06117" w:rsidRDefault="00D06117" w:rsidP="00D06117">
      <w:pPr>
        <w:pStyle w:val="Extracto"/>
      </w:pPr>
      <w:r>
        <w:t>6.</w:t>
      </w:r>
      <w:r>
        <w:tab/>
        <w:t xml:space="preserve">Doctrina sobre la conexión entre el derecho a ejercer los cargos públicos, </w:t>
      </w:r>
      <w:r w:rsidRPr="00D06117">
        <w:rPr>
          <w:i/>
        </w:rPr>
        <w:t>ex</w:t>
      </w:r>
      <w:r>
        <w:t xml:space="preserve"> art. 23.2 CE, y el derecho de los ciudadanos a participar en los asuntos públicos, </w:t>
      </w:r>
      <w:r w:rsidRPr="00D06117">
        <w:rPr>
          <w:i/>
        </w:rPr>
        <w:t>ex</w:t>
      </w:r>
      <w:r>
        <w:t xml:space="preserve"> art. 23.1 CE (STC 119/2011) [FJ 2].</w:t>
      </w:r>
    </w:p>
    <w:p w:rsidR="00D06117" w:rsidRDefault="00D06117" w:rsidP="00D06117">
      <w:pPr>
        <w:pStyle w:val="Extracto"/>
      </w:pPr>
    </w:p>
    <w:p w:rsidR="00D06117" w:rsidRDefault="00D06117" w:rsidP="00D06117">
      <w:pPr>
        <w:pStyle w:val="Extracto"/>
      </w:pPr>
      <w:r>
        <w:t>7.</w:t>
      </w:r>
      <w:r>
        <w:tab/>
        <w:t xml:space="preserve">Doctrina sobre la protección del </w:t>
      </w:r>
      <w:r w:rsidRPr="00D06117">
        <w:rPr>
          <w:i/>
        </w:rPr>
        <w:t>ius in officium</w:t>
      </w:r>
      <w:r>
        <w:t xml:space="preserve"> de los parlamentarios (STC 40/2003) [FJ 2].</w:t>
      </w:r>
    </w:p>
    <w:p w:rsidR="00D06117" w:rsidRDefault="00D06117" w:rsidP="00D06117">
      <w:pPr>
        <w:pStyle w:val="Extracto"/>
      </w:pPr>
    </w:p>
    <w:p w:rsidR="00D06117" w:rsidRDefault="00D06117" w:rsidP="00D06117">
      <w:pPr>
        <w:pStyle w:val="Extracto"/>
      </w:pPr>
      <w:r>
        <w:t>8.</w:t>
      </w:r>
      <w:r>
        <w:tab/>
        <w:t>Doctrina sobre la potestad de las Mesas parlamentarias para la calificación y admisión a trámite de escritos y documentos (SSTC 161/1988, 108/2011) [FFJJ 2, 5].</w:t>
      </w:r>
    </w:p>
    <w:p w:rsidR="00D06117" w:rsidRDefault="00D06117" w:rsidP="00D06117">
      <w:pPr>
        <w:pStyle w:val="Extracto"/>
      </w:pPr>
    </w:p>
    <w:p w:rsidR="00D06117" w:rsidRDefault="00D06117" w:rsidP="00D06117">
      <w:pPr>
        <w:pStyle w:val="Extracto"/>
      </w:pPr>
      <w:r>
        <w:t>9.</w:t>
      </w:r>
      <w:r>
        <w:tab/>
        <w:t>Al haberse adoptado los acuerdos impugnados en una legislatura ya concluida no cabe adoptar ninguna medida destinada al pleno restablecimiento del derecho vulnerado por la Mesa de la Asamblea, por lo que la pretensión de los parlamentarios recurrentes ha de quedar satisfecha mediante la declaración de la lesión de su derecho fundamental garantizado por el art. 23.2 CE y la nulidad de los acuerdos que impidieron su ejercicio (STC 141/2007) [FJ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6976-2006, promovido por don Rafael Simancas Simancas, Diputado de la Asamblea de Madrid y portavoz y representante del Grupo Parlamentario Socialista en la referida Asamblea, don José Guillermo Fernando Marín Calvo, también en su condición de Diputado de la Asamblea de Madrid y de portavoz y representante del Grupo Parlamentario de Izquierda Unida, en la mencionada Asamblea, doña Alicia Acebes Carabaño, doña Inés Alberdi Alonso, doña María Helena Almazán Vicario, doña Virginia Aranda Pizarro, doña Ana-María Arroyo Veneroso, don Francisco Cabaco López, don Antonio Chazarra Montiel, don José Carmelo Cepeda García, don Francisco Contreras Lorenzo, don Francisco Cordero Bermejo, don José Antonio Díaz Martínez, don Enrique Eghegoyen Vera, don Antonio Fernández Gordillo, don Alejandro Lucas Fernández Martín, doña Matilde Fernández Sanz, don José Manuel Franco Pardo, doña María-Antonia García Fernández, doña Carmen García Rojas, don José Luis García Sánchez, don Francisco Garrido Hernández, don Francisco Javier Gómez Gómez, don Rafael Gómez Montoya, don Jorge Gómez Moreno, don Francisco Hernández Ballesteros, doña María Patrocinio de las Heras Pinilla, doña María Isabel Manzano Martínez, doña María Paz Martín Lozano, doña María Maravillas Martínez Doncel, doña María Ángeles Martínez Herrando, don Oscar José Monterrubio Rodríguez, doña María Encarnación Moya Nieto, don Adolfo Navarro Muñoz, don Modesto Nolla Estrada, don Adolfo Pinedo Simal, don Marcos Sanz Agüero, doña Ruth Porta Cantoni, doña María Dolores Rodríguez Gabucio, don Andrés Rojo Cubero, don Juan Antonio Ruiz Castillo, don Pedro Feliciano Sabando Suárez, don Eduardo Sánchez Gatell, doña Felisa Sánchez Ocaña, don Manuel Sánchez Cifuentes, don José Quintana Viar, en su </w:t>
      </w:r>
      <w:r>
        <w:lastRenderedPageBreak/>
        <w:t>condición de Diputados integrantes del grupo parlamentario socialista, y de don Eduardo Cuenca Cañizares, don Fausto Fernández Díaz, doña Margarita Ferre Luparia, doña María Caridad García Álvarez, don Jorge García Castaño, doña María Reyes Montiel Mesa, don Miguel Ángel Reneses González-Solares y don Luis Suárez Machota en su condición de Diputados integrantes del Grupo Parlamentario de Izquierda Unida en la referida Asamblea, representados por el Procurador de los Tribunales don Roberto Granizo Palomeque y asistido por los Abogados don Manuel de la Rocha Rubí y doña Sofía García-Hortelano Martín-Ampudia, interpuesto contra el acuerdo de la Mesa de la Asamblea de Madrid de 4 de abril de 2006 por el que se desestimó la solicitud de reconsideración del acuerdo de 21 de marzo de 2006 por el que se acordó la inadmisión a trámite de la creación de la comisión no permanente de investigación sobre el “contrato de concesión de obra pública para la redacción del proyecto, ejecución de obra y gestión del servicio público de explotación de la línea ferroviaria de transporte público de viajeros con infraestructura propia, entre Madrid y los municipios de Rivas-Vaciamadrid y Arganda del Rey y el riesgo a que pudieron estar expuestos los usuarios de la misma”. Ha intervenido el Ministerio Fiscal. Ha comparecido la Asamblea de Madrid representada por doña Clara Garrido Criado, Letrada de su asesoría jurídica. Ha sido Ponente el Magistrado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3 de julio de 2006 don Roberto Granizo Palomeque, Procurador de los Tribunales, en nombre y representación de don Rafael Simancas Simancas, don José Guillermo Fernando Marín Calvo y de los demás Diputados de la Asamblea de Madrid mencionados en el encabezamiento de esta Sentencia, interpuso recurso de amparo contra las resoluciones más arriba señaladas.</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14 de marzo de 2006 todos los Diputados integrantes de los Grupos Parlamentarios Socialista y de Izquierda Unida presentaron un escrito dirigido a la Mesa de la Asamblea de Madrid por el que solicitaban la creación de una comisión de investigación sobre el “contrato de concesión de obra pública para la redacción del proyecto, ejecución de obra y gestión del servició público de explotación de la línea ferroviaria de transporte público de viajeros con infraestructura propia, entre Madrid y los municipios de Rivas-Vaciamadrid y Arganda del Rey y el riesgo a que pudieran estar expuestos los usuarios de la misma”. Junto con esta solicitud, en cumplimiento de lo dispuesto en el art. 75 del Reglamento de la Asamblea de Madrid, acompañaron las normas de composición, organización y funcionamiento de la referida comisión.</w:t>
      </w:r>
    </w:p>
    <w:p w:rsidR="00D06117" w:rsidRDefault="00D06117" w:rsidP="00D06117">
      <w:pPr>
        <w:pStyle w:val="TextoNormal"/>
      </w:pPr>
    </w:p>
    <w:p w:rsidR="00D06117" w:rsidRDefault="00D06117" w:rsidP="00D06117">
      <w:pPr>
        <w:pStyle w:val="TextoNormal"/>
      </w:pPr>
      <w:r>
        <w:t>b) La Mesa de la Cámara, en su reunión de 21 de marzo de 2006, acordó “no admitir a trámite la iniciativa presentada por entender que no concurría el requisito de asunto de interés público que el art. 75 del Reglamento exige para la creación de una comisión de investigación”.</w:t>
      </w:r>
    </w:p>
    <w:p w:rsidR="00D06117" w:rsidRDefault="00D06117" w:rsidP="00D06117">
      <w:pPr>
        <w:pStyle w:val="TextoNormal"/>
      </w:pPr>
    </w:p>
    <w:p w:rsidR="00D06117" w:rsidRDefault="00D06117" w:rsidP="00D06117">
      <w:pPr>
        <w:pStyle w:val="TextoNormal"/>
      </w:pPr>
      <w:r>
        <w:lastRenderedPageBreak/>
        <w:t>c) El 30 de marzo de 2006 don Rafael Simancas Simancas y don Fernando Marín Calvo, en su condición de portavoces y representantes de los Grupos Parlamentarios Socialista y de Izquierda Unida, presentaron ante la Mesa de la Asamblea escrito de solicitud de reconsideración.</w:t>
      </w:r>
    </w:p>
    <w:p w:rsidR="00D06117" w:rsidRDefault="00D06117" w:rsidP="00D06117">
      <w:pPr>
        <w:pStyle w:val="TextoNormal"/>
      </w:pPr>
    </w:p>
    <w:p w:rsidR="00D06117" w:rsidRDefault="00D06117" w:rsidP="00D06117">
      <w:pPr>
        <w:pStyle w:val="TextoNormal"/>
      </w:pPr>
      <w:r>
        <w:t>d) La Mesa de la Asamblea de Madrid, por acuerdo de 4 de a abril de 2006, se ratificó en su anterior acuerdo de 21 de marzo de 2006 por el que decidió no admitir a trámite la iniciativa por entender que no concurría el requisito de interés público que exige el art. 75 del Reglamento de la Asamblea de Madrid para la creación de una comisión de investigación. Según se afirma en esta resolución el Reglamento de la Cámara atribuye al órgano rector la competencia para valorar si la iniciativa presentada tiene el interés público que exige el citado precepto reglamentario y por ello la Mesa puede entrar a efectuar una valoración sustantiva o material sobre el cumplimiento del referido requisito.</w:t>
      </w:r>
    </w:p>
    <w:p w:rsidR="00D06117" w:rsidRDefault="00D06117" w:rsidP="00D06117">
      <w:pPr>
        <w:pStyle w:val="TextoNormal"/>
      </w:pPr>
    </w:p>
    <w:p w:rsidR="00D06117" w:rsidRDefault="00D06117" w:rsidP="00D06117">
      <w:pPr>
        <w:pStyle w:val="TextoNormal"/>
      </w:pPr>
      <w:r>
        <w:t>En esta resolución se sostiene que el asunto que fundamenta la solicitud de la creación de la comisión de investigación carece de interés público, pues se considera que el fundamento objetivo que sustenta esta iniciativa lo constituyen unas consideraciones adicionales de un informe de un antiguo responsable de las obras de ampliación de la línea 9 del Metro que se produjo en la IV legislatura. También se afirma que la inexistencia de interés público se pone de manifiesto porque el expediente de contratación estuvo a disposición de los grupos parlamentarios durante años y nunca solicitaron investigación alguna. Por ello la Mesa considera que, al no existir ningún hecho nuevo que justifique una investigación “más allá de la interpretación que se da a unas consideraciones vertidas en un informe del que la única noticia que se ha tenido ha sido la prensa, puesto que no se ha solicitado formalmente su entrega a la Cámara”, al haber reconocido el autor del citado informe “que las deficiencias que se detectaron en su construcción y explotación de la línea 9 fueron subsanadas antes de su puesta en marcha”, “la investigación de la Comisión se limitaría a analizar las consecuencias hipotéticas de un eventual suceso pasado que no ocurrió”. Según sostiene el acuerdo impugnado “[u]na comisión de investigación no puede tener por objeto analizar las consecuencias de un informe técnico que contiene consideraciones sobre el sistema de ejecución de unas obras que se remontan a tres legislaturas anteriores de las que no se ha derivado posteriormente ninguna consecuencia y en el que se manifiesta que cualquier posible deficiencia fue subsanada.”</w:t>
      </w:r>
    </w:p>
    <w:p w:rsidR="00D06117" w:rsidRDefault="00D06117" w:rsidP="00D06117">
      <w:pPr>
        <w:pStyle w:val="TextoNormal"/>
      </w:pPr>
    </w:p>
    <w:p w:rsidR="00D06117" w:rsidRDefault="00D06117" w:rsidP="00D06117">
      <w:pPr>
        <w:pStyle w:val="TextoNormal"/>
      </w:pPr>
      <w:r w:rsidRPr="00D06117">
        <w:rPr>
          <w:rStyle w:val="NumeroAFNegritaCaracter"/>
        </w:rPr>
        <w:t>3</w:t>
      </w:r>
      <w:r>
        <w:t>. Aducen los recurrentes que las decisiones impugnadas de la Asamblea de Madrid vulneran el art. 23 CE. Alegan, por una parte, que tales acuerdos suponen una restricción del ius in officium de los parlamentarios que garantiza el art. 23.2 CE, ya que este derecho fundamental no sólo garantiza el acceso igualitario a las funciones y cargos públicos, sino también que los que hayan accedido a los mismos se mantengan en ellos y los desempeñen de conformidad con lo que la ley disponga.</w:t>
      </w:r>
    </w:p>
    <w:p w:rsidR="00D06117" w:rsidRDefault="00D06117" w:rsidP="00D06117">
      <w:pPr>
        <w:pStyle w:val="TextoNormal"/>
      </w:pPr>
    </w:p>
    <w:p w:rsidR="00D06117" w:rsidRDefault="00D06117" w:rsidP="00D06117">
      <w:pPr>
        <w:pStyle w:val="TextoNormal"/>
      </w:pPr>
      <w:r>
        <w:t xml:space="preserve">Los demandantes de amparo sostienen también que existe una conexión entre el derecho de los parlamentarios ex art. 23.2 CE y el derecho de los ciudadanos a participar en los asuntos públicos (art. 23.1 CE), pues entienden que, de acuerdo con la STC 107/2001, de 23 de abril, FJ 3, son primordialmente los representantes políticos de los ciudadanos los que dan efectividad a su derecho a participar en los asuntos públicos. Por ello consideran que la Mesa de la Asamblea al impedir la creación de la comisión de investigación solicitada ha vulnerado no sólo el derecho fundamental de los parlamentarios a ejercer su ius in officium </w:t>
      </w:r>
      <w:r>
        <w:lastRenderedPageBreak/>
        <w:t>(art. 23.2 CE) sino también el derecho de los ciudadanos a participar en los asuntos públicos del art. 23.1 CE a través de sus parlamentarios.</w:t>
      </w:r>
    </w:p>
    <w:p w:rsidR="00D06117" w:rsidRDefault="00D06117" w:rsidP="00D06117">
      <w:pPr>
        <w:pStyle w:val="TextoNormal"/>
      </w:pPr>
    </w:p>
    <w:p w:rsidR="00D06117" w:rsidRDefault="00D06117" w:rsidP="00D06117">
      <w:pPr>
        <w:pStyle w:val="TextoNormal"/>
      </w:pPr>
      <w:r>
        <w:t>Los Diputados recurrentes alegan que, al ser el derecho consagrado en el art. 23.2 CE un derecho de configuración legal y establecer el art. 75.1 del Reglamento de la Asamblea de Madrid los requisitos exigidos para crear una comisión de investigación, tienen derecho a que se cree una comisión de este tipo si cumplen los requisitos exigidos por este precepto reglamentario.</w:t>
      </w:r>
    </w:p>
    <w:p w:rsidR="00D06117" w:rsidRDefault="00D06117" w:rsidP="00D06117">
      <w:pPr>
        <w:pStyle w:val="TextoNormal"/>
      </w:pPr>
    </w:p>
    <w:p w:rsidR="00D06117" w:rsidRDefault="00D06117" w:rsidP="00D06117">
      <w:pPr>
        <w:pStyle w:val="TextoNormal"/>
      </w:pPr>
      <w:r>
        <w:t>Por otra parte, ponen de manifiesto que, según la doctrina constitucional (STC 161/1988), el control que debe ejercer la Mesa respecto de las iniciativas parlamentarias no puede ser un control de oportunidad, que es el tipo de control que la Mesa ha ejercido en este caso. También aducen que, de acuerdo con las SSTC 161/1988, 205/1990 y 177/2002, salvo que las iniciativas se refieran a cuestiones manifiestamente ajenas a las atribuciones de la Cámara o manifiestamente contrarias a Derecho, el examen de la Mesa debe limitarse a controlar su viabilidad y por ello consideran que no puede ser utilizado el trámite de admisión para imponer el parecer de la mayoría política de la Mesa frente a la pretensión de las minorías, que es lo que, a su juicio, ha sucedido en este supuesto. A su juicio, al afectar la decisión de inadmisión de estas iniciativas a derechos fundamentales de los parlamentarios estas decisiones deben basarse en la estricta aplicación de un precepto parlamentario, precepto que, en su opinión, debe ser interpretado de manera restrictiva.</w:t>
      </w:r>
    </w:p>
    <w:p w:rsidR="00D06117" w:rsidRDefault="00D06117" w:rsidP="00D06117">
      <w:pPr>
        <w:pStyle w:val="TextoNormal"/>
      </w:pPr>
    </w:p>
    <w:p w:rsidR="00D06117" w:rsidRDefault="00D06117" w:rsidP="00D06117">
      <w:pPr>
        <w:pStyle w:val="TextoNormal"/>
      </w:pPr>
      <w:r>
        <w:t>Por todo ello entienden los recurrentes que la Mesa de la Asamblea de Madrid, al inadmitir la solicitud de creación de la comisión de investigación propuesta, se ha extralimitado en el ejercicio de sus funciones de calificación y decisión, pues, en su opinión, en el presente caso la creación de la comisión tenía un claro interés público, tanto por la materia a la que se refería (se trataba de un contrato de concesión de obra pública para la redacción del proyecto, ejecución de obra y gestión del servicio público de explotación de la línea ferroviaria de transporte público de viajeros) como por afectar a una actuación del Gobierno autonómico que incidía directamente sobre los ciudadanos. Según los Diputados demandantes de amparo, en este supuesto la Mesa más que discutir la relevancia o interés público del objeto de la comisión —interés público que, a su juicio, es evidente— ha analizado la cuestión de fondo sobre la que se pretendía crear la comisión de investigación y ha rechazado la creación de esta comisión por entender que no existían las irregularidades que pretendían investigarse a través de la creación de la referida comisión, y al actuar de este modo la Mesa de la Asamblea ha vulnerado el art. 23 CE.</w:t>
      </w:r>
    </w:p>
    <w:p w:rsidR="00D06117" w:rsidRDefault="00D06117" w:rsidP="00D06117">
      <w:pPr>
        <w:pStyle w:val="TextoNormal"/>
      </w:pPr>
    </w:p>
    <w:p w:rsidR="00D06117" w:rsidRDefault="00D06117" w:rsidP="00D06117">
      <w:pPr>
        <w:pStyle w:val="TextoNormal"/>
      </w:pPr>
      <w:r>
        <w:t>Por último señalan que, como con la regulación existente no ha habido precedentes en los que se haya denegado la creación de una comisión de investigación, se ha discriminado por razones ideológicas a los grupos parlamentarios recurrentes.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23 de enero de 2008 la Sección Segunda acordó, de conformidad con lo dispuesto en el art. 50.3 de la Ley Orgánica del Tribunal Constitucional (LOTC) en su redacción anterior a la actualmente vigente (disposición transitoria tercera de la Ley 6/2007), conceder a la parte demandante y al Ministerio Fiscal el plazo común de diez días para que, con las aportaciones documentales que procedieran, formularan las alegaciones que estimaran conveniente en relación con la causa de inadmisión que preveía el art. 50.1 c) LOTC: carencia manifiesta de contenido constitucional de la demanda.</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en este Tribunal el 12 de febrero de 2008 los recurrentes en amparo formularon alegaciones. Sostienen que no concurre la causa de inadmisión señalada en la providencia de 23 de enero de 2008 —carencia manifiesta de contenido constitucional de la demanda— pues consideran que la decisión de la Mesa de la Asamblea de Madrid de inadmitir la iniciativa por la que se solicitaba la creación de una comisión de investigación vulnera el derecho de participación política consagrado en el art. 23 CE , por lo que, reiterando los argumentos expuestos en su escrito de demanda, solicitan que se admita a trámite el recurso de amparo.</w:t>
      </w:r>
    </w:p>
    <w:p w:rsidR="00D06117" w:rsidRDefault="00D06117" w:rsidP="00D06117">
      <w:pPr>
        <w:pStyle w:val="TextoNormal"/>
      </w:pPr>
    </w:p>
    <w:p w:rsidR="00D06117" w:rsidRDefault="00D06117" w:rsidP="00D06117">
      <w:pPr>
        <w:pStyle w:val="TextoNormal"/>
      </w:pPr>
      <w:r w:rsidRPr="00D06117">
        <w:rPr>
          <w:rStyle w:val="NumeroAFNegritaCaracter"/>
        </w:rPr>
        <w:t>6</w:t>
      </w:r>
      <w:r>
        <w:t>. El Fiscal presentó su escrito de alegaciones en el Registro de este Tribunal el 15 de febrero de 2008.</w:t>
      </w:r>
    </w:p>
    <w:p w:rsidR="00D06117" w:rsidRDefault="00D06117" w:rsidP="00D06117">
      <w:pPr>
        <w:pStyle w:val="TextoNormal"/>
      </w:pPr>
    </w:p>
    <w:p w:rsidR="00D06117" w:rsidRDefault="00D06117" w:rsidP="00D06117">
      <w:pPr>
        <w:pStyle w:val="TextoNormal"/>
      </w:pPr>
      <w:r>
        <w:t>El Ministerio Fiscal, tras exponer la doctrina constitucional que considera aplicable y los preceptos del Reglamento de la Asamblea de Madrid que, a su juicio, deben ser tenidos en cuenta para resolver la cuestión planteada en el recurso de amparo, llega a la conclusión de que la Mesa de la Cámara, en cumplimiento de los requisitos reglamentarios, debe examinar el contenido material de la iniciativa y comprobar si la misma se refiere a asuntos de interés público dentro del ámbito de competencias de la Comunidad de Madrid, como exige el art. 75 del Reglamento de la Asamblea de Madrid. De ahí que, a juicio del Fiscal, en este supuesto el examen que debe efectuar la Mesa de la iniciativa presentada va más allá de la estricta verificación de los requisitos formales y, en consecuencia, considera que debe entrar a valorar si la comisión de investigación propuesta es sobre un asunto de interés público que incida en el ámbito competencial de la Comunidad de Madrid. En el presente caso, a juicio del Fiscal la Mesa ha apreciado que no concurría el referido requisito y ha motivado expresa, suficiente y adecuadamente su decisión y por esta razón descarta que concurran las vulneraciones del art. 23 CE invocadas por los recurrentes. Por todo ello interesa la inadmisión del recurso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Por providencia de la Sala Primera de 21 de noviembre de 2011 la Sala, de conformidad con lo previsto en el art. 11.2 LOTC, acordó conocer del presente recurso de amparo y admitirlo a trámite.</w:t>
      </w:r>
    </w:p>
    <w:p w:rsidR="00D06117" w:rsidRDefault="00D06117" w:rsidP="00D06117">
      <w:pPr>
        <w:pStyle w:val="TextoNormal"/>
      </w:pPr>
    </w:p>
    <w:p w:rsidR="00D06117" w:rsidRDefault="00D06117" w:rsidP="00D06117">
      <w:pPr>
        <w:pStyle w:val="TextoNormal"/>
      </w:pPr>
      <w:r>
        <w:t>En aplicación de lo dispuesto en el art. 51 LOTC se dirigió atenta comunicación a la Presidenta de la Asamblea de Madrid a fin de que en un plazo que no excediera de diez días remitiera certificación o fotocopia adverada de las actuaciones correspondientes al expediente administrativo relativo a los acuerdos impugnados y se acompañó a la mencionada comunicación copia de los de la demanda para conocimiento de la Mesa de la Asamblea de Madrid a efectos de su personación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8</w:t>
      </w:r>
      <w:r>
        <w:t>. El 29 de diciembre de 2011 tuvo entrada en el Registro de este Tribunal el escrito formulado por doña Clara Garrido Criado, Letrada jefe de la asesoría jurídica de la Asamblea de Madrid, por el que solicitó que se la tuviera por personada en el presente recurso de amparo. Asimismo la Asamblea de Madrid remitió las actuaciones solicitadas.</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Por diligencia de ordenación 9 de enero de 2012 el Secretario de Justicia de la Sección Segunda tuvo por recibidos los testimonios de las actuaciones remitidos por la Asamblea de </w:t>
      </w:r>
      <w:r>
        <w:lastRenderedPageBreak/>
        <w:t>Madrid y se tuvo por personada y parte a la Letrada jefe de la asesoría jurídica de la Asamblea de Madrid.</w:t>
      </w:r>
    </w:p>
    <w:p w:rsidR="00D06117" w:rsidRDefault="00D06117" w:rsidP="00D06117">
      <w:pPr>
        <w:pStyle w:val="TextoNormal"/>
      </w:pPr>
    </w:p>
    <w:p w:rsidR="00D06117" w:rsidRDefault="00D06117" w:rsidP="00D06117">
      <w:pPr>
        <w:pStyle w:val="TextoNormal"/>
      </w:pPr>
      <w:r>
        <w:t>En esta misma diligencia de ordenación, de acuerdo con lo dispuesto en el art. 52 LOTC, se dio vista de las actuaciones al Ministerio Fiscal y a las partes personadas por plazo común de veinte días para que pudieran presentar las alegaciones que estimaran pertinentes.</w:t>
      </w:r>
    </w:p>
    <w:p w:rsidR="00D06117" w:rsidRDefault="00D06117" w:rsidP="00D06117">
      <w:pPr>
        <w:pStyle w:val="TextoNormal"/>
      </w:pPr>
    </w:p>
    <w:p w:rsidR="00D06117" w:rsidRDefault="00D06117" w:rsidP="00D06117">
      <w:pPr>
        <w:pStyle w:val="TextoNormal"/>
      </w:pPr>
      <w:r w:rsidRPr="00D06117">
        <w:rPr>
          <w:rStyle w:val="NumeroAFNegritaCaracter"/>
        </w:rPr>
        <w:t>10</w:t>
      </w:r>
      <w:r>
        <w:t>. Los recurrentes presentaron su escrito de alegaciones el 14 de febrero de 2012. Entienden los demandantes de amparo que la Mesa, al considerar que el asunto sobre el que se pedía la creación de la comisión de investigación carecía de interés público e inadmitir por este motivo la iniciativa presentada, se ha extralimitado en el ejercicio de sus funciones de calificación. Tal forma de proceder conlleva, según los recurrentes, la lesión del art. 23 CE, pues impide que una iniciativa promovida por las minorías parlamentarias se someta a investigación y debate público en la Asamblea. Por todo ello y tras reiterar los argumentos expuestos en su escrito de demanda y la doctrina constitucional que consideran aplicable, los recurrentes solicitan la estimación del amparo.</w:t>
      </w:r>
    </w:p>
    <w:p w:rsidR="00D06117" w:rsidRDefault="00D06117" w:rsidP="00D06117">
      <w:pPr>
        <w:pStyle w:val="TextoNormal"/>
      </w:pPr>
    </w:p>
    <w:p w:rsidR="00D06117" w:rsidRDefault="00D06117" w:rsidP="00D06117">
      <w:pPr>
        <w:pStyle w:val="TextoNormal"/>
      </w:pPr>
      <w:r w:rsidRPr="00D06117">
        <w:rPr>
          <w:rStyle w:val="NumeroAFNegritaCaracter"/>
        </w:rPr>
        <w:t>11</w:t>
      </w:r>
      <w:r>
        <w:t>. El Fiscal presentó su escrito de alegaciones el 16 de febrero de 2012 en el que da por reproducidas las formuladas en su anterior escrito de 15 de febrero de 2008.</w:t>
      </w:r>
    </w:p>
    <w:p w:rsidR="00D06117" w:rsidRDefault="00D06117" w:rsidP="00D06117">
      <w:pPr>
        <w:pStyle w:val="TextoNormal"/>
      </w:pPr>
    </w:p>
    <w:p w:rsidR="00D06117" w:rsidRDefault="00D06117" w:rsidP="00D06117">
      <w:pPr>
        <w:pStyle w:val="TextoNormal"/>
      </w:pPr>
      <w:r w:rsidRPr="00D06117">
        <w:rPr>
          <w:rStyle w:val="NumeroAFNegritaCaracter"/>
        </w:rPr>
        <w:t>12</w:t>
      </w:r>
      <w:r>
        <w:t>. El 12 de febrero de 2012 se registro en este Tribunal el escrito de alegaciones de la Asamblea de Madrid. Según sostiene la representación procesal de la Cámara, la decisión de la Mesa de inadmitir la iniciativa presentada no vulnera el art. 75.1 del Reglamento de la Asamblea de Madrid. En su opinión, la Mesa ejerce en un mismo acto una doble función: por una parte, la función de admisión o inadmisión a trámite de la iniciativa presentada ante ella y, por otra, la encomendada por el art. 75.1 del Reglamento, que es la función de acuerdo; función que, según sostiene esta parte procesal, es distinta de la de admisión a trámite y que conlleva una facultad de decisión o acuerdo que va más allá de los límites inherentes a la función de calificación o admisión a trámite. Según sostiene la Asamblea de Madrid, el referido precepto reglamentario impone a la Mesa la obligación de examinar los presupuestos materiales y formales que ha de reunir la solicitud, de ahí que sólo cuando concurran todos ellos cabrá la calificación de admisión a trámite y la creación de la comisión de investigación propuesta.</w:t>
      </w:r>
    </w:p>
    <w:p w:rsidR="00D06117" w:rsidRDefault="00D06117" w:rsidP="00D06117">
      <w:pPr>
        <w:pStyle w:val="TextoNormal"/>
      </w:pPr>
    </w:p>
    <w:p w:rsidR="00D06117" w:rsidRDefault="00D06117" w:rsidP="00D06117">
      <w:pPr>
        <w:pStyle w:val="TextoNormal"/>
      </w:pPr>
      <w:r>
        <w:t>Aduce, por otra parte, la Asamblea de Madrid que la Mesa, cuando examinó la propuesta de creación de la comisión de investigación, no se extralimitó en sus funciones ni, en consecuencia, utilizó este trámite como un mecanismo para imponer el parecer de la mayoría política de este órgano haciendo prevalecer un criterio de tal naturaleza fuera del ámbito de sus potestades. Sostiene la representante de la Asamblea, que no era posible que la Mesa actuara de tal modo, ya que en este órgano no están representados los grupos parlamentarios, pues los miembros de la Mesa son elegidos uti singuli de entre los propios Diputados en la sesión constitutiva de la Cámara [arts. 9, 10, 11, 51 y 52 del Reglamento de la Asamblea de Madrid (RAM)], momento en el que los referidos grupos no están todavía constituidos (art. 39.1 RAM a sensu contrario). Estas consideraciones llevan a esta parte procesal a sostener que en la Mesa no existe strictu sensu una mayoría política a semejanza de lo que ocurre en los demás órganos de la Cámara y singularmente en la Junta de portavoces.</w:t>
      </w:r>
    </w:p>
    <w:p w:rsidR="00D06117" w:rsidRDefault="00D06117" w:rsidP="00D06117">
      <w:pPr>
        <w:pStyle w:val="TextoNormal"/>
      </w:pPr>
    </w:p>
    <w:p w:rsidR="00D06117" w:rsidRDefault="00D06117" w:rsidP="00D06117">
      <w:pPr>
        <w:pStyle w:val="TextoNormal"/>
      </w:pPr>
      <w:r>
        <w:lastRenderedPageBreak/>
        <w:t>En todo caso, según la Asamblea de Madrid, aunque se admitiera que la composición de la Mesa reflejara la composición política de la Cámara, debe desecharse cualquier lectura del art. 57.1 RAM que no tenga en cuenta la distinción entre las dos funciones señaladas: la de admisión a trámite y la de acuerdo y que implique que, solicitada la comisión de investigación por dos quintos de la Cámara, la misma deba ser estimada automáticamente sin ningún margen de decisión. De otro modo, sostiene la Asamblea, se estaría dejando esta decisión en manos de una minoría parlamentaria, de un máximo del 40 por 100 de los Diputados, y ello supondría una interpretación del Reglamento contraria al art. 14.4 del Estatuto de Autonomía de la Comunidad de Madrid, que exige que los acuerdos deban ser aprobados por la mayoría de los miembros presentes, salvo en los supuestos en los que el Estatuto, el Reglamento o las leyes exijan mayorías especiales.</w:t>
      </w:r>
    </w:p>
    <w:p w:rsidR="00D06117" w:rsidRDefault="00D06117" w:rsidP="00D06117">
      <w:pPr>
        <w:pStyle w:val="TextoNormal"/>
      </w:pPr>
    </w:p>
    <w:p w:rsidR="00D06117" w:rsidRDefault="00D06117" w:rsidP="00D06117">
      <w:pPr>
        <w:pStyle w:val="TextoNormal"/>
      </w:pPr>
      <w:r>
        <w:t>Alega también el representante de la Asamblea de Madrid que si se compara el procedimiento de creación de una comisión de investigación regulado en el Reglamento de la Asamblea de Madrid con el procedimiento previsto en otros reglamentos parlamentarios se observa que la Asamblea de Madrid es la única Cámara en la que el Pleno no tiene capacidad alguna de decisión sobre la creación de la comisión de investigación. Todo ello no hace más que confirmar, según esta parte procesal, la singularidad de la función que atribuye a la Mesa de la Cámara el art. 75.1 RAM, por remisión al art. 49.1 g); singularidad que, aunque no llega a hacer del mismo un órgano funcional, le aproxima a ello y en coherencia con esta consideración hace inaplicables para este supuesto las limitaciones que se le imponen como órgano encargado de la calificación y admisión a trámite de los escritos parlamentarios [art. 49.1 c)] tal y como han sido configuradas por la jurisprudencia del Tribunal Constitucional.</w:t>
      </w:r>
    </w:p>
    <w:p w:rsidR="00D06117" w:rsidRDefault="00D06117" w:rsidP="00D06117">
      <w:pPr>
        <w:pStyle w:val="TextoNormal"/>
      </w:pPr>
    </w:p>
    <w:p w:rsidR="00D06117" w:rsidRDefault="00D06117" w:rsidP="00D06117">
      <w:pPr>
        <w:pStyle w:val="TextoNormal"/>
      </w:pPr>
      <w:r>
        <w:t>Por todo ello se sostiene que la Mesa de la Cámara está habilitada para apreciar, en la ausencia del interés público, la eventual existencia de una limitación material a la solicitud de creación presentada por dos quintos de los Diputados de la Asamblea no dando curso a la misma y, en su caso, rechazándola; decisión que, en la medida que incide sobre los derechos de los parlamentarios, deberá ser motivada. De ahí que se considere que en el presente caso, al haber motivado debidamente la Mesa su decisión de rechazar la creación de la comisión de investigación, los acuerdos impugnados no vulneren los derechos fundamentales que consagra el art. 23 CE.</w:t>
      </w:r>
    </w:p>
    <w:p w:rsidR="00D06117" w:rsidRDefault="00D06117" w:rsidP="00D06117">
      <w:pPr>
        <w:pStyle w:val="TextoNormal"/>
      </w:pPr>
    </w:p>
    <w:p w:rsidR="00D06117" w:rsidRDefault="00D06117" w:rsidP="00D06117">
      <w:pPr>
        <w:pStyle w:val="TextoNormal"/>
      </w:pPr>
      <w:r>
        <w:t>Se opone también la Asamblea de Madrid a la alegación de la demanda de amparo en la que se aduce que la Mesa ha discriminado a los recurrentes por razones ideológicas. Según sostiene esta parte procesal la Mesa al adoptar los acuerdos impugnados no discriminó a los recurrentes, pues la decisiones impugnadas se acordaron en virtud de lo dispuesto en el art. 75.1 RAM y tienen fundamentación suficiente y razonable.</w:t>
      </w:r>
    </w:p>
    <w:p w:rsidR="00D06117" w:rsidRDefault="00D06117" w:rsidP="00D06117">
      <w:pPr>
        <w:pStyle w:val="TextoNormal"/>
      </w:pPr>
    </w:p>
    <w:p w:rsidR="00D06117" w:rsidRDefault="00D06117" w:rsidP="00D06117">
      <w:pPr>
        <w:pStyle w:val="TextoNormal"/>
      </w:pPr>
      <w:r>
        <w:t>Termina sus alegaciones la representación procesal de la Asamblea de Madrid señalando que en el “suplico” de la demanda se indica que se impugna además del acuerdo de la Mesa de Madrid de 4 de abril de 2006, el de 21 de marzo, cuando el acuerdo impugnado es el primero de ellos, que alcanzó firmeza cuando en virtud del segundo se confirmó. Junto a ello aduce también que como los acuerdos impugnados se adoptaron en el año 2006, esto es, en la VII legislatura de la Asamblea de Madrid, y ahora nos encontramos en la IX, un eventual fallo estimatorio del recurso no podría ordenar a la Mesa la creación de la comisión de investigación cuya creación rechazaron los acuerdos impugnados.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13</w:t>
      </w:r>
      <w:r>
        <w:t>. Mediante providencia de 3 de mayo de 2012 se señaló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recurso de amparo se dirige contra los acuerdos de la Mesa de la Asamblea de Madrid de 21 de marzo de 2006 y 4 de abril de 2006. El primero decidió no admitir a trámite la iniciativa formulada por Diputados de los Grupos Parlamentarios Socialista y de Izquierda Unida por la que se proponía la creación de una comisión de investigación sobre el contrato de concesión de obra pública para la redacción del proyecto, ejecución de obra y gestión del servicio público de explotación de la línea ferroviaria de transportes público de viajeros y el riesgo a que pudieron estar expuestos los usuarios de la misma. El segundo desestimó la solicitud de reconsideración formulada contra aquél.</w:t>
      </w:r>
    </w:p>
    <w:p w:rsidR="00D06117" w:rsidRDefault="00D06117" w:rsidP="00D06117">
      <w:pPr>
        <w:pStyle w:val="TextoNormal"/>
      </w:pPr>
    </w:p>
    <w:p w:rsidR="00D06117" w:rsidRDefault="00D06117" w:rsidP="00D06117">
      <w:pPr>
        <w:pStyle w:val="TextoNormal"/>
      </w:pPr>
      <w:r>
        <w:t>Como ha quedado expuesto en los antecedentes, la Mesa rechazó la iniciativa propuesta al considerar que la comisión de investigación cuya creación se solicitaba no tenía por objeto un asunto de interés público dentro del ámbito de competencias de la Comunidad de Madrid, tal y como exige el art. 75.1 del Reglamento de la Asamblea de Madrid (RAM). La Mesa consideró, según se afirma en el acuerdo que desestimó la solicitud de reconsideración, que “una comisión de investigación no puede tener por objeto analizar las consecuencias de un informe técnico que contiene consideraciones sobre el sistema de ejecución de unas obras que se remontan a tres legislaturas anteriores, de los (sic) que no se ha derivado posteriormente ninguna consecuencia, y en el que se manifiesta que cualquier posible deficiencia fue subsanada”.</w:t>
      </w:r>
    </w:p>
    <w:p w:rsidR="00D06117" w:rsidRDefault="00D06117" w:rsidP="00D06117">
      <w:pPr>
        <w:pStyle w:val="TextoNormal"/>
      </w:pPr>
    </w:p>
    <w:p w:rsidR="00D06117" w:rsidRDefault="00D06117" w:rsidP="00D06117">
      <w:pPr>
        <w:pStyle w:val="TextoNormal"/>
      </w:pPr>
      <w:r>
        <w:t>Los recurrentes consideran que la Mesa de la Asamblea, al haber rechazado la propuesta de creación de la comisión de investigación, ha lesionado los derechos fundamentales que consagra el art. 23.1 y 2 CE. Por el contrario, tanto el Fiscal como la Asamblea de Madrid sostienen que las resoluciones impugnadas no vulneran los derechos fundamentales invocados, pues entienden que la Mesa se ha limitado a aplicar lo dispuesto en el art. 75.1 RAM; precepto que le obliga no sólo a verificar si concurren los requisitos formales exigidos para la creación de una comisión de este tipo, sino también a comprobar si el asunto sobre el que pretende crearse la comisión de investigación es de interés público. Por todo ello consideran que, al haberse adoptado en virtud de lo dispuesto en el referido precepto reglamentario y haberse adoptado esta decisión de forma debidamente motivada, no se ha incurrido en las vulneraciones del art. 23 CE alegadas.</w:t>
      </w:r>
    </w:p>
    <w:p w:rsidR="00D06117" w:rsidRDefault="00D06117" w:rsidP="00D06117">
      <w:pPr>
        <w:pStyle w:val="TextoNormal"/>
      </w:pPr>
    </w:p>
    <w:p w:rsidR="00D06117" w:rsidRDefault="00D06117" w:rsidP="00D06117">
      <w:pPr>
        <w:pStyle w:val="TextoNormal"/>
      </w:pPr>
      <w:r w:rsidRPr="00D06117">
        <w:rPr>
          <w:rStyle w:val="NumeroAFNegritaCaracter"/>
        </w:rPr>
        <w:t>2</w:t>
      </w:r>
      <w:r>
        <w:t>. Este Tribunal ha elaborado una doctrina en torno al derecho de los ciudadanos a acceder en condiciones de igualdad a las funciones y cargos públicos, con los requisitos que señalen las leyes (art. 23.2 CE) que, a los efectos que interesan para resolver el presente recurso de amparo, puede sistematizarse del siguiente modo:</w:t>
      </w:r>
    </w:p>
    <w:p w:rsidR="00D06117" w:rsidRDefault="00D06117" w:rsidP="00D06117">
      <w:pPr>
        <w:pStyle w:val="TextoNormal"/>
      </w:pPr>
    </w:p>
    <w:p w:rsidR="00D06117" w:rsidRDefault="00D06117" w:rsidP="00D06117">
      <w:pPr>
        <w:pStyle w:val="TextoNormal"/>
      </w:pPr>
      <w:r>
        <w:t>a) El art. 23.2 CE “no sólo garantiza el acceso igualitario a las funciones y cargos públicos, sino también que los que hayan accedido a los mismos se mantengan en ellos y los desempeñen de conformidad con lo que la ley disponga” (por todas, STC 40/2003, de 27 de febrero, FJ 2).</w:t>
      </w:r>
    </w:p>
    <w:p w:rsidR="00D06117" w:rsidRDefault="00D06117" w:rsidP="00D06117">
      <w:pPr>
        <w:pStyle w:val="TextoNormal"/>
      </w:pPr>
    </w:p>
    <w:p w:rsidR="00D06117" w:rsidRDefault="00D06117" w:rsidP="00D06117">
      <w:pPr>
        <w:pStyle w:val="TextoNormal"/>
      </w:pPr>
      <w:r>
        <w:lastRenderedPageBreak/>
        <w:t>b) Cuando, como sucede en este caso, son los representantes los que consideran vulnerado su derecho a ejercer su cargo público (art. 23.2 CE) la vulneración de este derecho fundamental incide también en el derecho de los ciudadanos a participar en los asuntos públicos (art. 23.1 CE) al existir una directa conexión entre estos derechos fundamentales, pues, según ha sostenido reiteradamente este Tribunal ,“son primordialmente los representantes políticos de los ciudadanos quienes dan efectividad a su derecho a participar en los asuntos públicos” (por todas, STC 119/2011, de 5 de julio, FJ 3). De ahí que en la citada Sentencia, como en otras muchas, hayamos sostenido que el derecho que garantiza el art. 23.2 CE, así como, indirectamente, el que el art. 23.1 CE reconoce a los ciudadanos, quedaría vacío de contenido, o sería ineficaz, si el representante político se viese privado del mismo o perturbado en su ejercicio.</w:t>
      </w:r>
    </w:p>
    <w:p w:rsidR="00D06117" w:rsidRDefault="00D06117" w:rsidP="00D06117">
      <w:pPr>
        <w:pStyle w:val="TextoNormal"/>
      </w:pPr>
    </w:p>
    <w:p w:rsidR="00D06117" w:rsidRDefault="00D06117" w:rsidP="00D06117">
      <w:pPr>
        <w:pStyle w:val="TextoNormal"/>
      </w:pPr>
      <w:r>
        <w:t>c) Es asimismo doctrina reiterada de este Tribunal que el derecho que consagra el art. 23.2 CE es un derecho de configuración legal y, en consecuencia, corresponde a los reglamentos parlamentarios “fijar y ordenar los derechos y atribuciones propios de los parlamentarios, los cuales, una vez creados,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[por todas STC 40/2003, de 27 de febrero, FJ 2 a)]. Todo ello sin perjuicio de que, como también hemos señalado reiteradamente, “el art. 23.2 CE no contempla un derecho fundamental de los parlamentarios al cumplimiento de la legalidad parlamentaria, sino un derecho a ejercer las facultades inherentes al núcleo de su función representativa de acuerdo con lo previsto en dicha normativa y en condiciones de igualdad” (STC 242/2006, de 24 de julio, FJ 4, entre otras muchas).</w:t>
      </w:r>
    </w:p>
    <w:p w:rsidR="00D06117" w:rsidRDefault="00D06117" w:rsidP="00D06117">
      <w:pPr>
        <w:pStyle w:val="TextoNormal"/>
      </w:pPr>
    </w:p>
    <w:p w:rsidR="00D06117" w:rsidRDefault="00D06117" w:rsidP="00D06117">
      <w:pPr>
        <w:pStyle w:val="TextoNormal"/>
      </w:pPr>
      <w:r>
        <w:t>d) En relación con las decisiones que adoptan las Mesas de las Cámaras en el ejercicio de su potestad de calificación y de admisión a trámite de los escritos y documentos a ellas dirigidas y su incidencia en el ius in officium de los parlamentarios existe también abundante doctrina constitucional en la que hemos mantenido que es acorde con la Constitución atribuir a este órgano la función de controlar la regularidad legal de los escritos y documentos parlamentarios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(por todas, STC 108/2011, de 20 de julio, FJ 6).</w:t>
      </w:r>
    </w:p>
    <w:p w:rsidR="00D06117" w:rsidRDefault="00D06117" w:rsidP="00D06117">
      <w:pPr>
        <w:pStyle w:val="TextoNormal"/>
      </w:pPr>
    </w:p>
    <w:p w:rsidR="00D06117" w:rsidRDefault="00D06117" w:rsidP="00D06117">
      <w:pPr>
        <w:pStyle w:val="TextoNormal"/>
      </w:pPr>
      <w:r>
        <w:t xml:space="preserve">No obstante, hemos señalado también que “el Reglamento parlamentario puede permitir o, en su caso, establecer, incluso, que la Mesa extienda su examen de las iniciativas más allá de la estricta verificación de sus requisitos formales, siempre, claro está, que los escritos y documentos girados a la Mesa, sean de control de la actividad de los Ejecutivos o sean de carácter legislativo, vengan, justamente, limitados materialmente por la Constitución, el bloque de la constitucionalidad o el Reglamento parlamentario pertinente. De modo que si </w:t>
      </w:r>
      <w:r>
        <w:lastRenderedPageBreak/>
        <w:t>la legalidad aplicable no impone límite material alguno a la iniciativa, la verificación de su admisibilidad ha de ser siempre formal, cuidando únicamente la Mesa de que la iniciativa en cuestión cumpla con los requisitos de forma que le exige esa legalidad” (entre otras muchas, STC 40/2003, de 27 de febrero FJ 2). Todo ello sin perjuicio de que, además, hayamos admitido la posibilidad de que las Mesas de las Cámaras puedan rechazar escritos en los que se planten cuestiones entera y manifiestamente ajenas a las atribuciones de la Cámara (STC 161/1988, de 20 de septiembre, FJ 8).</w:t>
      </w:r>
    </w:p>
    <w:p w:rsidR="00D06117" w:rsidRDefault="00D06117" w:rsidP="00D06117">
      <w:pPr>
        <w:pStyle w:val="TextoNormal"/>
      </w:pPr>
    </w:p>
    <w:p w:rsidR="00D06117" w:rsidRDefault="00D06117" w:rsidP="00D06117">
      <w:pPr>
        <w:pStyle w:val="TextoNormal"/>
      </w:pPr>
      <w:r>
        <w:t>e) En todo caso, la Mesa de la Cámara deberá motivar su decisión sobre la inadmisión de las iniciativas, pues al ser estas iniciativas una manifestación del ius in officium del parlamentario que las formula, su rechazo arbitrario o no motivado vulnerará el derecho que le garantiza el art. 23.2 CE a ejercer sus funciones sin impedimentos ilegítimos (SSTC 203/2001, de 15 de octubre, FJ 3; 177/2002, de 14 de octubre, FJ 3; y 40/2003 de 27 de febrero FJ 2).</w:t>
      </w:r>
    </w:p>
    <w:p w:rsidR="00D06117" w:rsidRDefault="00D06117" w:rsidP="00D06117">
      <w:pPr>
        <w:pStyle w:val="TextoNormal"/>
      </w:pPr>
    </w:p>
    <w:p w:rsidR="00D06117" w:rsidRDefault="00D06117" w:rsidP="00D06117">
      <w:pPr>
        <w:pStyle w:val="TextoNormal"/>
      </w:pPr>
      <w:r w:rsidRPr="00D06117">
        <w:rPr>
          <w:rStyle w:val="NumeroAFNegritaCaracter"/>
        </w:rPr>
        <w:t>3</w:t>
      </w:r>
      <w:r>
        <w:t>. La cuestión que debemos analizar en el presente recurso de amparo es, como se ha indicado, si la Mesa de la Asamblea de Madrid, al rechazar la creación de la comisión de investigación propuesta por los parlamentarios recurrentes en amparo, vulneró su ius in officium y, en consecuencia, el derecho fundamental que garantiza el art. 23.2 CE, pues, como ha quedado expuesto, este derecho fundamental garantiza no sólo el acceso a los cargos y funciones públicas, sino también el ejercicio de estos cargos y funciones públicas de conformidad con lo previsto en las leyes.</w:t>
      </w:r>
    </w:p>
    <w:p w:rsidR="00D06117" w:rsidRDefault="00D06117" w:rsidP="00D06117">
      <w:pPr>
        <w:pStyle w:val="TextoNormal"/>
      </w:pPr>
    </w:p>
    <w:p w:rsidR="00D06117" w:rsidRDefault="00D06117" w:rsidP="00D06117">
      <w:pPr>
        <w:pStyle w:val="TextoNormal"/>
      </w:pPr>
      <w:r>
        <w:t>Para apreciar si existe esta vulneración constitucional lo primero que debemos examinar es si la decisión de la Mesa ha afectado al ejercicio de una facultad que forme parte del núcleo de la función representativa parlamentaria, pues, como hemos señalado anteriormente, sólo estas facultades están garantizadas por el art. 23.2 CE. En el caso que ahora se examina, dado el objeto de la iniciativa rechazada —crear una comisión de investigación sobre la adjudicación de un contrato de concesión de obra pública para la redacción del proyecto, ejecución de obra y gestión del servicio público de explotación de una línea ferroviaria de transporte público entre diversos municipios de la Comunidad de Madrid— es claro que a través de la misma pretendía ejercerse la función de control de gobierno; función que pertenece indudablemente al núcleo de la función representativa parlamentaria (STC 141/2007, de 18 de junio, FJ 3).</w:t>
      </w:r>
    </w:p>
    <w:p w:rsidR="00D06117" w:rsidRDefault="00D06117" w:rsidP="00D06117">
      <w:pPr>
        <w:pStyle w:val="TextoNormal"/>
      </w:pPr>
    </w:p>
    <w:p w:rsidR="00D06117" w:rsidRDefault="00D06117" w:rsidP="00D06117">
      <w:pPr>
        <w:pStyle w:val="TextoNormal"/>
      </w:pPr>
      <w:r w:rsidRPr="00D06117">
        <w:rPr>
          <w:rStyle w:val="NumeroAFNegritaCaracter"/>
        </w:rPr>
        <w:t>4</w:t>
      </w:r>
      <w:r>
        <w:t>. Ahora bien, para que su ejercicio se encuentre garantizado por el art. 23.2 CE es preciso que se lleve a cabo respetando lo dispuesto en la normativa parlamentaria, pues este derecho fundamental garantiza su ejercicio de acuerdo con lo previsto en la legalidad parlamentaria y en condiciones de igualdad (STC 242/2006, de 24 de julio, FJ 4).</w:t>
      </w:r>
    </w:p>
    <w:p w:rsidR="00D06117" w:rsidRDefault="00D06117" w:rsidP="00D06117">
      <w:pPr>
        <w:pStyle w:val="TextoNormal"/>
      </w:pPr>
    </w:p>
    <w:p w:rsidR="00D06117" w:rsidRDefault="00D06117" w:rsidP="00D06117">
      <w:pPr>
        <w:pStyle w:val="TextoNormal"/>
      </w:pPr>
      <w:r>
        <w:t>El art. 75.1 RAM dispone en su primer inciso “[l]a Mesa, a propuesta de dos quintas partes de los miembros de la Asamblea, acordará la creación de una Comisión de investigación sobre cualquier asunto de interés público dentro del ámbito de competencias de la Comunidad de Madrid”, y es precisamente en este inciso del art. 75.1 RAM en el que ha fundamentado la Mesa su decisión de no admitir a trámite la iniciativa presentada al considerar que no concurría “el requisito de interés público que el art. 75 del Reglamento exige para la creación una comisión de investigación”.</w:t>
      </w:r>
    </w:p>
    <w:p w:rsidR="00D06117" w:rsidRDefault="00D06117" w:rsidP="00D06117">
      <w:pPr>
        <w:pStyle w:val="TextoNormal"/>
      </w:pPr>
    </w:p>
    <w:p w:rsidR="00D06117" w:rsidRDefault="00D06117" w:rsidP="00D06117">
      <w:pPr>
        <w:pStyle w:val="TextoNormal"/>
      </w:pPr>
      <w:r>
        <w:lastRenderedPageBreak/>
        <w:t>De acuerdo con la doctrina constitucional expuesta, el reglamento de la Cámara puede establecer límites materiales a la admisión de las iniciativas parlamentarias y otorgar a la Mesa la función de verificar si la iniciativa presentada los respeta, por lo que, salvo que la exigencia impuesta por la norma parlamentaria sea por su contenido inconstitucional, el establecimiento de estos límites materiales no conllevará una ilegitima restricción del derecho de los parlamentarios del ejercicio de sus funciones representativas.</w:t>
      </w:r>
    </w:p>
    <w:p w:rsidR="00D06117" w:rsidRDefault="00D06117" w:rsidP="00D06117">
      <w:pPr>
        <w:pStyle w:val="TextoNormal"/>
      </w:pPr>
    </w:p>
    <w:p w:rsidR="00D06117" w:rsidRDefault="00D06117" w:rsidP="00D06117">
      <w:pPr>
        <w:pStyle w:val="TextoNormal"/>
      </w:pPr>
      <w:r>
        <w:t>En el presente caso, la exigencia establecida en el art. 75.1 RAM cuando establece como requisito para poder crear una comisión de investigación que tenga como objeto un asunto de interés público no puede considerarse contraria a la Constitución ni al Estatuto de Autonomía de la Comunidad de Madrid, pues, al ser estas comisiones órganos del Parlamento, es acorde con su naturaleza limitar su ámbito de actuación a asuntos que sean de interés para la comunidad que se encuentra representada en la Cámara. Esta exigencia, además, concuerda con la prevista en el art. 76 CE cuando establece que el Congreso, el Senado o ambas Cámaras conjuntamente pueden nombrar comisiones de investigación “sobre cualquier asunto de interés público”, por lo que ninguna vulneración constitucional puede conllevar que la normativa parlamentaria de la Asamblea de Madrid establezca un requisito similar cuando regula la creación de sus comisiones de investigación.</w:t>
      </w:r>
    </w:p>
    <w:p w:rsidR="00D06117" w:rsidRDefault="00D06117" w:rsidP="00D06117">
      <w:pPr>
        <w:pStyle w:val="TextoNormal"/>
      </w:pPr>
    </w:p>
    <w:p w:rsidR="00D06117" w:rsidRDefault="00D06117" w:rsidP="00D06117">
      <w:pPr>
        <w:pStyle w:val="TextoNormal"/>
      </w:pPr>
      <w:r w:rsidRPr="00D06117">
        <w:rPr>
          <w:rStyle w:val="NumeroAFNegritaCaracter"/>
        </w:rPr>
        <w:t>5</w:t>
      </w:r>
      <w:r>
        <w:t>. La siguiente cuestión que debemos examinar para apreciar si las resoluciones impugnadas vulneran el derecho fundamental que consagra el art. 23.2 CE es si la Mesa de la Asamblea de Madrid, al inadmitir la iniciativa presentada por considerar que la creación de la comisión de investigación propuesta carecía del interés público que exige el art. 75.1 RAM, ha efectuado una aplicación de lo dispuesto en este precepto reglamentario contraria al referido derecho fundamental.</w:t>
      </w:r>
    </w:p>
    <w:p w:rsidR="00D06117" w:rsidRDefault="00D06117" w:rsidP="00D06117">
      <w:pPr>
        <w:pStyle w:val="TextoNormal"/>
      </w:pPr>
    </w:p>
    <w:p w:rsidR="00D06117" w:rsidRDefault="00D06117" w:rsidP="00D06117">
      <w:pPr>
        <w:pStyle w:val="TextoNormal"/>
      </w:pPr>
      <w:r>
        <w:t>Para valorar en términos jurídico-constitucionales las resoluciones de la Mesa de la Asamblea de Madrid impugnadas es condición inexcusable determinar si el art. 75.1 RAM otorga a los Diputados el derecho a crear una comisión de investigación si cumplen los requisitos exigidos en este precepto reglamentario o si, por el contrario, esta norma se limita a regular los requisitos necesarios para que los parlamentarios puedan solicitar la creación de este tipo de comisiones y a otorgar a la Mesa la competencia para que, en atención a consideraciones de oportunidad o, en todo caso, de libre apreciación política, decida o no su constitución.</w:t>
      </w:r>
    </w:p>
    <w:p w:rsidR="00D06117" w:rsidRDefault="00D06117" w:rsidP="00D06117">
      <w:pPr>
        <w:pStyle w:val="TextoNormal"/>
      </w:pPr>
    </w:p>
    <w:p w:rsidR="00D06117" w:rsidRDefault="00D06117" w:rsidP="00D06117">
      <w:pPr>
        <w:pStyle w:val="TextoNormal"/>
      </w:pPr>
      <w:r>
        <w:t>El art. 75.1 RAM establece expresamente que la Mesa “acordará” la creación de la comisión solicitada, por lo que no parece otorgar a este órgano margen alguno de discrecionalidad para decidir si crea o no lo comisión propuesta, sino que únicamente le atribuye la facultad de comprobar si la iniciativa cumple los requisitos exigidos por el mismo. Una interpretación literal del precepto lleva, por tanto, a entender, que la Mesa sólo puede rechazar la creación de la comisión de investigación solicitada en el caso de que la indagación propuesta no recaiga sobre asuntos de interés público sobre los que la Comunidad de Madrid tenga competencia o cuando la iniciativa se hubiera formulado incumpliendo los requisitos formales exigidos. Es la de la Mesa una potestad rigurosamente reglada.</w:t>
      </w:r>
    </w:p>
    <w:p w:rsidR="00D06117" w:rsidRDefault="00D06117" w:rsidP="00D06117">
      <w:pPr>
        <w:pStyle w:val="TextoNormal"/>
      </w:pPr>
    </w:p>
    <w:p w:rsidR="00D06117" w:rsidRDefault="00D06117" w:rsidP="00D06117">
      <w:pPr>
        <w:pStyle w:val="TextoNormal"/>
      </w:pPr>
      <w:r>
        <w:t xml:space="preserve">Esta interpretación es, además, la que se deriva del sentido y la finalidad de la institución que regula esta norma —las comisiones de investigación— y de la propia función que desempeña la Mesa como órgano rector de la Cámara. El entendimiento del precepto en el </w:t>
      </w:r>
      <w:r>
        <w:lastRenderedPageBreak/>
        <w:t>sentido indicado garantiza a la oposición parlamentaria que pueda valerse de este tipo de iniciativas cuando la petición la hayan suscrito las dos quintas partes de la Cámara; interpretación que es acorde con la naturaleza de este tipo de comisiones como órganos a través de los cuales la oposición parlamentaria puede ejercer su función de control político. Es significativo a estos efectos que el Reglamento exija una minoría tan cualificada para que pueda solicitarse la creación de este tipo de comisiones; exigencia que tiene sentido en el caso de que la norma parlamentaria atribuya a este conjunto de voluntades —no a otro órgano y no específicamente a la Mesa— la determinación de lo que sea objeto de investigación, pues si la decisión le correspondiera a otro órgano no parece lógico exigir un número tan alto de diputados que avale la iniciativa; sentido que, sin embargo, sí tiene cuando la decisión sobre si la investigación debe o no efectuarse no depende más que de que exista una propuesta en tal sentido y de que la misma se formalice debidamente. Requisito, por otra parte, que evita que pueda hacerse un uso abusivo de este tipo de comisiones que pudiera pervertir su propia funcionalidad.</w:t>
      </w:r>
    </w:p>
    <w:p w:rsidR="00D06117" w:rsidRDefault="00D06117" w:rsidP="00D06117">
      <w:pPr>
        <w:pStyle w:val="TextoNormal"/>
      </w:pPr>
    </w:p>
    <w:p w:rsidR="00D06117" w:rsidRDefault="00D06117" w:rsidP="00D06117">
      <w:pPr>
        <w:pStyle w:val="TextoNormal"/>
      </w:pPr>
      <w:r>
        <w:t>Junto a ello debe tenerse en cuenta que, como hemos señalado en reiteradas ocasiones,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 [SSTC 40/2003, de 27 de febrero, FJ 7, en el mismo sentido y 89/2005, de 18 de abril, FJ 7; 90/2005, de 18 de abril, FJ 7; 78/2006, de 13 de marzo, FJ 3 b); 44/2010, de 26 de julio, FJ 5 y 29/2011, de 14 de marzo, FJ 4]. Resulta, por tanto, que de acuerdo con esta doctrina, no es acorde con la naturaleza de la Mesa adoptar decisiones de carácter discrecional, por lo que no resultaría conforme con las funciones que corresponde a este órgano entender que es competencia de la Mesa decidir si existen o no motivos que justifiquen la creación de una comisión de investigación, al ser ésta una decisión que conlleva un margen de discrecionalidad política.</w:t>
      </w:r>
    </w:p>
    <w:p w:rsidR="00D06117" w:rsidRDefault="00D06117" w:rsidP="00D06117">
      <w:pPr>
        <w:pStyle w:val="TextoNormal"/>
      </w:pPr>
    </w:p>
    <w:p w:rsidR="00D06117" w:rsidRDefault="00D06117" w:rsidP="00D06117">
      <w:pPr>
        <w:pStyle w:val="TextoNormal"/>
      </w:pPr>
      <w:r>
        <w:t>Las consideraciones anteriores nos llevan a apreciar que cuando el art. 75.1 RAM establece que la comisión de investigación propuesta debe recaer sobre un “asunto de interés público dentro del ámbito de competencias de la Comunidad de Madrid” no está atribuyendo a la Mesa la facultad de realizar un examen liminar sobre si existen o no motivos que fundamenten la investigación solicitada, sino, simplemente, está estableciendo qué tipo de asuntos pueden ser objeto de estas comisiones y para ello sólo requiere que se trate de asuntos que incidan en cuestiones de interés general y que sobre los mismos tenga competencias la Comunidad de Madrid, con independencia de la valoración que puedan merecer los hechos que pretenden ser investigados. Interpretar de otro modo el referido concepto supondría, como se ha expuesto, no sólo ir en contra del tenor literal del precepto, sino también del sentido y finalidad de las comisiones de investigación, y conllevaría, además, atribuir a la Mesa una decisión de carácter político que este órgano, dada su naturaleza, no puede adoptar.</w:t>
      </w:r>
    </w:p>
    <w:p w:rsidR="00D06117" w:rsidRDefault="00D06117" w:rsidP="00D06117">
      <w:pPr>
        <w:pStyle w:val="TextoNormal"/>
      </w:pPr>
    </w:p>
    <w:p w:rsidR="00D06117" w:rsidRDefault="00D06117" w:rsidP="00D06117">
      <w:pPr>
        <w:pStyle w:val="TextoNormal"/>
      </w:pPr>
      <w:r>
        <w:lastRenderedPageBreak/>
        <w:t>Por ello, cuando el art. 75.1 RAM establece como presupuesto habilitante para la creación de una comisión de investigación que tenga por objeto “asuntos de interés público” esta exigencia sólo determina que este tipo de comisiones tienen que versar sobre asuntos que afecten a los intereses de la Comunidad, lo que conlleva excluir de su ámbito los asuntos de estricto interés particular, por más que puedan ser de interés del público, sin trascendencia en cuestiones que puedan ser de interés para la ciudadanía en cuanto tal.</w:t>
      </w:r>
    </w:p>
    <w:p w:rsidR="00D06117" w:rsidRDefault="00D06117" w:rsidP="00D06117">
      <w:pPr>
        <w:pStyle w:val="TextoNormal"/>
      </w:pPr>
    </w:p>
    <w:p w:rsidR="00D06117" w:rsidRDefault="00D06117" w:rsidP="00D06117">
      <w:pPr>
        <w:pStyle w:val="TextoNormal"/>
      </w:pPr>
      <w:r>
        <w:t>Por todo cuanto se ha expuesto debemos concluir que, de acuerdo con lo previsto en el art. 75.1 RAM, la Mesa sólo puede rechazar la creación de un comisión de investigación si la iniciativa no cumple manifiestamente los requisitos formales exigidos por este precepto o cuando no recaiga sobre un “un asunto de interés público dentro del ámbito de la Comunidad de Madrid”, entendiendo el concepto de interés público en el sentido que acabamos de indicar.</w:t>
      </w:r>
    </w:p>
    <w:p w:rsidR="00D06117" w:rsidRDefault="00D06117" w:rsidP="00D06117">
      <w:pPr>
        <w:pStyle w:val="TextoNormal"/>
      </w:pPr>
    </w:p>
    <w:p w:rsidR="00D06117" w:rsidRDefault="00D06117" w:rsidP="00D06117">
      <w:pPr>
        <w:pStyle w:val="TextoNormal"/>
      </w:pPr>
      <w:r>
        <w:t>Y es claro que el “contrato de concesión de obra pública para la redacción del proyecto, ejecución de obra y gestión del servicio público de explotación de la línea ferroviaria de transporte público de viajeros con infraestructura propia, entre Madrid y los municipios de Rivas-Vaciamadrid y Arganda del Rey y el riesgo a que pudieron estar expuestos los usuarios de la misma” es una cuestión de interés general sobre la que tiene competencia la Comunidad de Madrid (art. 26.1.6 del Estatuto de Autonomía de Madrid).</w:t>
      </w:r>
    </w:p>
    <w:p w:rsidR="00D06117" w:rsidRDefault="00D06117" w:rsidP="00D06117">
      <w:pPr>
        <w:pStyle w:val="TextoNormal"/>
      </w:pPr>
    </w:p>
    <w:p w:rsidR="00D06117" w:rsidRDefault="00D06117" w:rsidP="00D06117">
      <w:pPr>
        <w:pStyle w:val="TextoNormal"/>
      </w:pPr>
      <w:r w:rsidRPr="00D06117">
        <w:rPr>
          <w:rStyle w:val="NumeroAFNegritaCaracter"/>
        </w:rPr>
        <w:t>6</w:t>
      </w:r>
      <w:r>
        <w:t>. En el presente caso, tal y como hemos señalado, la Mesa de la Asamblea rechazó crear la comisión de investigación propuesta por entender que no existían motivos que justificaran esta iniciativa; decisión que por las razones que acabamos de exponer no puede considerarse amparada en el art. 75.1 RAM. Así pues, la Mesa de la Asamblea limitó indebidamente las facultades de los parlamentarios recurrentes en amparo, vulnerando por ello su derecho fundamental a ejercer su cargo público que les garantiza el art. 23.2 CE.</w:t>
      </w:r>
    </w:p>
    <w:p w:rsidR="00D06117" w:rsidRDefault="00D06117" w:rsidP="00D06117">
      <w:pPr>
        <w:pStyle w:val="TextoNormal"/>
      </w:pPr>
    </w:p>
    <w:p w:rsidR="00D06117" w:rsidRDefault="00D06117" w:rsidP="00D06117">
      <w:pPr>
        <w:pStyle w:val="TextoNormal"/>
      </w:pPr>
      <w:r>
        <w:t>Procedente será por tanto el pronunciamiento previsto en el art. 53 a) de la Ley Orgánica del Tribunal Constitucional.</w:t>
      </w:r>
    </w:p>
    <w:p w:rsidR="00D06117" w:rsidRDefault="00D06117" w:rsidP="00D06117">
      <w:pPr>
        <w:pStyle w:val="TextoNormal"/>
      </w:pPr>
    </w:p>
    <w:p w:rsidR="00D06117" w:rsidRDefault="00D06117" w:rsidP="00D06117">
      <w:pPr>
        <w:pStyle w:val="TextoNormal"/>
      </w:pPr>
      <w:r>
        <w:t>La estimación del recurso con fundamento en esta queja nos exime de analizar la otra alegación planteada en la demanda de amparo.</w:t>
      </w:r>
    </w:p>
    <w:p w:rsidR="00D06117" w:rsidRDefault="00D06117" w:rsidP="00D06117">
      <w:pPr>
        <w:pStyle w:val="TextoNormal"/>
      </w:pPr>
    </w:p>
    <w:p w:rsidR="00D06117" w:rsidRDefault="00D06117" w:rsidP="00D06117">
      <w:pPr>
        <w:pStyle w:val="TextoNormal"/>
      </w:pPr>
      <w:r>
        <w:t>Debe señalarse, por último, que al haberse adoptado los acuerdos impugnados en una legislatura ya concluida no cabe adoptar en el fallo de nuestra Sentencia ninguna medida destinada al pleno restablecimiento del derecho vulnerado por la Mesa de la Asamblea de Madrid (entre otras muchas, STC 141/2007, de 18 de junio, FJ 6), por lo que la pretensión de los parlamentarios recurrentes en amparo ha de quedar satisfecha mediante la declaración de la lesión de su derecho fundamental garantizado por el art. 23.2 CE y la nulidad de los acuerdos que impidieron su ejercicio.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1º Declarar el derecho de los recurrentes a ejercer sus cargos públicos en los términos que dimanan del art. 23.2 CE.</w:t>
      </w:r>
    </w:p>
    <w:p w:rsidR="00D06117" w:rsidRDefault="00D06117" w:rsidP="00D06117">
      <w:pPr>
        <w:pStyle w:val="TextoNormal"/>
      </w:pPr>
    </w:p>
    <w:p w:rsidR="00D06117" w:rsidRDefault="00D06117" w:rsidP="00D06117">
      <w:pPr>
        <w:pStyle w:val="TextoNormal"/>
      </w:pPr>
      <w:r>
        <w:t>2º Anular el acuerdo de la Mesa de la Asamblea de Madrid de 21 de marzo de 2006 por el que se acordó la inadmisión a trámite de la creación de la comisión no permanente de investigación sobre el “contrato de concesión de obra pública para la redacción del proyecto, ejecución de obra y gestión del servicio público de explotación de la línea ferroviaria de transporte público de viajeros con infraestructura propia, entre Madrid y los municipios de Rivas-Vaciamadrid y Arganda del Rey y el riesgo a que pudieran estar expuestos los usuarios de la misma” y el acuerdo de 4 de abril de 2006 por el que se desestimó la solicitud de reconsideración formulada contra el anterior acuerdo.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2" w:name="SENTENCIA_2012_89"/>
      <w:r>
        <w:lastRenderedPageBreak/>
        <w:t>SENTENCIA 89/2012, de 7 de mayo de 2012</w:t>
      </w:r>
    </w:p>
    <w:bookmarkEnd w:id="92"/>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ECLI:ES:TC:2012:89</w:t>
      </w:r>
    </w:p>
    <w:p w:rsidR="00D06117" w:rsidRDefault="00D06117" w:rsidP="00D06117">
      <w:pPr>
        <w:pStyle w:val="SntesisDescriptiva"/>
      </w:pPr>
    </w:p>
    <w:p w:rsidR="00D06117" w:rsidRDefault="00D06117" w:rsidP="00D06117">
      <w:pPr>
        <w:pStyle w:val="SntesisDescriptiva"/>
      </w:pPr>
      <w:r>
        <w:t>Conflicto positivo de competencia 5854-2008. Planteado por el Gobierno de Cataluña respecto de la resolución del Instituto Nacional de las Artes Escénicas y de la Música de 13 de marzo de 2008 por la que se convocan ayudas para el año 2008 dentro del programa de espacios escénicos de nueva generación.</w:t>
      </w:r>
    </w:p>
    <w:p w:rsidR="00D06117" w:rsidRDefault="00D06117" w:rsidP="00D06117">
      <w:pPr>
        <w:pStyle w:val="SntesisDescriptiva"/>
      </w:pPr>
    </w:p>
    <w:p w:rsidR="00D06117" w:rsidRDefault="00D06117" w:rsidP="00D06117">
      <w:pPr>
        <w:pStyle w:val="SntesisAnaltica"/>
      </w:pPr>
      <w:r>
        <w:t>Competencias sobre cultura: convocatoria estatal de ayudas que vulnera las competencias de la Generalitat de Cataluña.</w:t>
      </w:r>
    </w:p>
    <w:p w:rsidR="00D06117" w:rsidRDefault="00D06117" w:rsidP="00D06117">
      <w:pPr>
        <w:pStyle w:val="SntesisAnaltica"/>
      </w:pPr>
    </w:p>
    <w:p w:rsidR="00D06117" w:rsidRDefault="00D06117" w:rsidP="00D06117">
      <w:pPr>
        <w:pStyle w:val="Extracto"/>
      </w:pPr>
      <w:r>
        <w:t>1.</w:t>
      </w:r>
      <w:r>
        <w:tab/>
        <w:t>Las ayudas a espacios escénicos de nueva generación encuentran el fundamento competencial del Estado en el art. 149.2 CE en tanto establece un título genérico de intervención en materia de cultura que se superpone a la competencia exclusiva de la Comunidad Autónoma de Cataluña (STC 109/1996) [FJ 6].</w:t>
      </w:r>
    </w:p>
    <w:p w:rsidR="00D06117" w:rsidRDefault="00D06117" w:rsidP="00D06117">
      <w:pPr>
        <w:pStyle w:val="Extracto"/>
      </w:pPr>
    </w:p>
    <w:p w:rsidR="00D06117" w:rsidRDefault="00D06117" w:rsidP="00D06117">
      <w:pPr>
        <w:pStyle w:val="Extracto"/>
      </w:pPr>
      <w:r>
        <w:t>2.</w:t>
      </w:r>
      <w:r>
        <w:tab/>
        <w:t>La resolución impugnada contiene apartados de carácter netamente ejecutivo y de gestión centralizada de las ayudas que, por su propia naturaleza y dada las competencias que el Estatuto de Autonomía de Cataluña atribuye a la Comunidad Autónoma en materia de cultura, no pueden considerarse acordes al orden constitucional de distribución de competencias, al no limitarse a prever los aspectos centrales o esenciales del régimen subvencional [FJ 9].</w:t>
      </w:r>
    </w:p>
    <w:p w:rsidR="00D06117" w:rsidRDefault="00D06117" w:rsidP="00D06117">
      <w:pPr>
        <w:pStyle w:val="Extracto"/>
      </w:pPr>
    </w:p>
    <w:p w:rsidR="00D06117" w:rsidRDefault="00D06117" w:rsidP="00D06117">
      <w:pPr>
        <w:pStyle w:val="Extracto"/>
      </w:pPr>
      <w:r>
        <w:t>3.</w:t>
      </w:r>
      <w:r>
        <w:tab/>
        <w:t>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(SSTC 13/1992, 159/2011) [FJ 6].</w:t>
      </w:r>
    </w:p>
    <w:p w:rsidR="00D06117" w:rsidRDefault="00D06117" w:rsidP="00D06117">
      <w:pPr>
        <w:pStyle w:val="Extracto"/>
      </w:pPr>
    </w:p>
    <w:p w:rsidR="00D06117" w:rsidRDefault="00D06117" w:rsidP="00D06117">
      <w:pPr>
        <w:pStyle w:val="Extracto"/>
      </w:pPr>
      <w:r>
        <w:t>4.</w:t>
      </w:r>
      <w:r>
        <w:tab/>
        <w:t>Se permite la excepcional gestión centralizada de subvenciones cuando el Estado ostente algún título competencial sobre la materia, resulte imprescindible para asegurar la plena efectividad de las medidas dentro de la ordenación básica del sector y sirva para garantizar las mismas posibilidades de obtención por los destinatarios en todo el territorio nacional (SSTC 13/1992, 159/2011) [FJ 6].</w:t>
      </w:r>
    </w:p>
    <w:p w:rsidR="00D06117" w:rsidRDefault="00D06117" w:rsidP="00D06117">
      <w:pPr>
        <w:pStyle w:val="Extracto"/>
      </w:pPr>
    </w:p>
    <w:p w:rsidR="00D06117" w:rsidRDefault="00D06117" w:rsidP="00D06117">
      <w:pPr>
        <w:pStyle w:val="Extracto"/>
      </w:pPr>
      <w:r>
        <w:t>5.</w:t>
      </w:r>
      <w:r>
        <w:tab/>
        <w:t>La exclusión de la competencia autonómica por el mero hecho de que los efectos del sistema de ayudas previsto puedan tener efectos supraautonómicos no es compatible con la Constitución (SSTC 329/1993, 38/2012) [FJ 7].</w:t>
      </w:r>
    </w:p>
    <w:p w:rsidR="00D06117" w:rsidRDefault="00D06117" w:rsidP="00D06117">
      <w:pPr>
        <w:pStyle w:val="Extracto"/>
      </w:pPr>
    </w:p>
    <w:p w:rsidR="00D06117" w:rsidRDefault="00D06117" w:rsidP="00D06117">
      <w:pPr>
        <w:pStyle w:val="Extracto"/>
      </w:pPr>
      <w:r>
        <w:t>6.</w:t>
      </w:r>
      <w:r>
        <w:tab/>
        <w:t xml:space="preserve">Que la adjudicación final de las ayudas requiera de la valoración de todos los proyectos que se presenten en el conjunto del territorio nacional no justifica la excepcional tramitación centralizada, ya que existen fórmulas de cooperación o colaboración, a través de las cuales es posible valorar el tipo de proyectos que deba ser </w:t>
      </w:r>
      <w:r>
        <w:lastRenderedPageBreak/>
        <w:t>objeto de la actuación estratégica, que permiten la territorialización de ayudas (SSTC 148/2000, 200/2009) [FJ 7].</w:t>
      </w:r>
    </w:p>
    <w:p w:rsidR="00D06117" w:rsidRDefault="00D06117" w:rsidP="00D06117">
      <w:pPr>
        <w:pStyle w:val="Extracto"/>
      </w:pPr>
    </w:p>
    <w:p w:rsidR="00D06117" w:rsidRDefault="00D06117" w:rsidP="00D06117">
      <w:pPr>
        <w:pStyle w:val="Extracto"/>
      </w:pPr>
      <w:r>
        <w:t>7.</w:t>
      </w:r>
      <w:r>
        <w:tab/>
        <w:t>Doctrina sobre la facultad de gasto del Estado y delimitación competencial en relación al ejercicio de la potestad subvencionadora (SSTC 13/1992, 178/2011) [FJ 4].</w:t>
      </w:r>
    </w:p>
    <w:p w:rsidR="00D06117" w:rsidRDefault="00D06117" w:rsidP="00D06117">
      <w:pPr>
        <w:pStyle w:val="Extracto"/>
      </w:pPr>
    </w:p>
    <w:p w:rsidR="00D06117" w:rsidRDefault="00D06117" w:rsidP="00D06117">
      <w:pPr>
        <w:pStyle w:val="Extracto"/>
      </w:pPr>
      <w:r>
        <w:t>8.</w:t>
      </w:r>
      <w:r>
        <w:tab/>
        <w:t>La resolución de controversias relativas a la regulación y aplicación de ayudas o subvenciones que puedan establecerse en las distintas áreas o segmentos de la acción pública requiere partir de la distribución competencial existente en la materia constitucional en la que proceda encuadrar las ayudas o subvenciones de que se trate (SSTC 138/2009, 178/2011) [FJ 3].</w:t>
      </w:r>
    </w:p>
    <w:p w:rsidR="00D06117" w:rsidRDefault="00D06117" w:rsidP="00D06117">
      <w:pPr>
        <w:pStyle w:val="Extracto"/>
      </w:pPr>
    </w:p>
    <w:p w:rsidR="00D06117" w:rsidRDefault="00D06117" w:rsidP="00D06117">
      <w:pPr>
        <w:pStyle w:val="Extracto"/>
      </w:pPr>
      <w:r>
        <w:t>9.</w:t>
      </w:r>
      <w:r>
        <w:tab/>
        <w:t>La lectura del art. 149.2 CE lleva a la conclusión de que la cultura es competencia tanto del Estado como de las Comunidades Autónomas y que esta concurrencia de competencias está ordenada a la preservación y estímulo de los valores culturales propios del cuerpo social desde la instancia pública correspondiente (SSTC 49/1984, 31/2010) [FJ 3].</w:t>
      </w:r>
    </w:p>
    <w:p w:rsidR="00D06117" w:rsidRDefault="00D06117" w:rsidP="00D06117">
      <w:pPr>
        <w:pStyle w:val="Extracto"/>
      </w:pPr>
    </w:p>
    <w:p w:rsidR="00D06117" w:rsidRDefault="00D06117" w:rsidP="00D06117">
      <w:pPr>
        <w:pStyle w:val="Extracto"/>
      </w:pPr>
      <w:r>
        <w:t>10.</w:t>
      </w:r>
      <w:r>
        <w:tab/>
        <w:t xml:space="preserve">El Estado, </w:t>
      </w:r>
      <w:r w:rsidRPr="00D06117">
        <w:rPr>
          <w:i/>
        </w:rPr>
        <w:t>ex</w:t>
      </w:r>
      <w:r>
        <w:t xml:space="preserve"> art. 149.2 CE, puede establecer acciones de fomento en materias culturales en relación con aquellas cuestiones que requieran de tratamientos generales o que exijan de una acción pública supraordenada a la de una o varias Comunidades Autónomas o, como suele ser más habitual, en ejercicio de un título genérico de intervención anclado en el deber que la Constitución le impone en el servicio de la cultura [FJ 3].</w:t>
      </w:r>
    </w:p>
    <w:p w:rsidR="00D06117" w:rsidRDefault="00D06117" w:rsidP="00D06117">
      <w:pPr>
        <w:pStyle w:val="Extracto"/>
      </w:pPr>
    </w:p>
    <w:p w:rsidR="00D06117" w:rsidRDefault="00D06117" w:rsidP="00D06117">
      <w:pPr>
        <w:pStyle w:val="Extracto"/>
      </w:pPr>
      <w:r>
        <w:t>11.</w:t>
      </w:r>
      <w:r>
        <w:tab/>
        <w:t>Doctrina sobre la competencia exclusiva del Estado respecto a la preservación del patrimonio cultural común (SSTC 49/1984, 71/1997) [FJ 5].</w:t>
      </w:r>
    </w:p>
    <w:p w:rsidR="00D06117" w:rsidRDefault="00D06117" w:rsidP="00D06117">
      <w:pPr>
        <w:pStyle w:val="Extracto"/>
      </w:pPr>
    </w:p>
    <w:p w:rsidR="00D06117" w:rsidRDefault="00D06117" w:rsidP="00D06117">
      <w:pPr>
        <w:pStyle w:val="Extracto"/>
      </w:pPr>
      <w:r>
        <w:t>12.</w:t>
      </w:r>
      <w:r>
        <w:tab/>
        <w:t>El alcance del fallo es meramente declarativo, con declaración de la titularidad de la competencia controvertida a favor de la Comunidad Autónoma de Cataluña, pero sin afectar a situaciones ya consolidadas, al haber agotado la resolución impugnada su virtualidad con el pago de las ayudas y finalizado el plazo de su justificación (STC 109/1996, 38/2012) [FJ 10].</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conflicto positivo de competencia núm. 5854-2008, promovido por el Gobierno de Cataluña, representado por el Letrado de la Generalitat de Cataluña, contra la resolución, de 13 de marzo de 2008, del Instituto Nacional de las Artes Escénicas y de la Música (INAEM) por la que se convocan ayudas para el año 2008 dentro del programa de espacios escénicos de nueva generación. Ha comparecido y formulado alegaciones la Abogada del Estado. Ha sido Ponente la Magistrada doña Elisa Pérez Vera,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17 de julio de 2008 la Letrada de la Generalitat de Cataluña, en la representación que legalmente ostenta del Gobierno de dicha Comunidad Autónoma, promueve conflicto positivo de competencia contra la resolución, de 13 de marzo de 2008, del Instituto Nacional de las Artes Escénicas y de la Música (INAEM) por la que se convocan ayudas para el año 2008 dentro del programa de espacios escénicos de nueva generación. Se adjunta el requerimiento de incompetencia así como la respuesta negativa acordada por el Consejo de Ministros. La fundamentación del conflicto es, en resumen, la siguiente:</w:t>
      </w:r>
    </w:p>
    <w:p w:rsidR="00D06117" w:rsidRDefault="00D06117" w:rsidP="00D06117">
      <w:pPr>
        <w:pStyle w:val="TextoNormal"/>
      </w:pPr>
    </w:p>
    <w:p w:rsidR="00D06117" w:rsidRDefault="00D06117" w:rsidP="00D06117">
      <w:pPr>
        <w:pStyle w:val="TextoNormal"/>
      </w:pPr>
      <w:r>
        <w:t>a) Se alude, en primer lugar, al requerimiento de incompetencia que el Gobierno de la Generalitat dirigió al Gobierno de la Nación en relación con la resolución impugnada solicitando su derogación o, subsidiariamente, su nueva redacción; y al rechazo de dicho requerimiento, a efectos de lo dispuesto en el art. 63.5 de la Ley Orgánica del Tribunal Constitucional (LOTC). Señala, a continuación, la Letrada de la Generalitat de Cataluña, que el objeto del presente conflicto de competencia lo constituye la resolución del INAEM, de 13 de marzo de 2008, en su integridad.</w:t>
      </w:r>
    </w:p>
    <w:p w:rsidR="00D06117" w:rsidRDefault="00D06117" w:rsidP="00D06117">
      <w:pPr>
        <w:pStyle w:val="TextoNormal"/>
      </w:pPr>
    </w:p>
    <w:p w:rsidR="00D06117" w:rsidRDefault="00D06117" w:rsidP="00D06117">
      <w:pPr>
        <w:pStyle w:val="TextoNormal"/>
      </w:pPr>
      <w:r>
        <w:t>b) En segundo lugar, observa que el objetivo de la resolución del INAEM es la modernización de las infraestructuras y la construcción de nuevos espacios escénicos que permitan, también, la realización de proyectos de formación o de especial interés artístico. Bajo ese loable propósito, sostiene la Letrada de la Generalitat, se vulneran las competencias exclusivas que ostenta la Generalitat de Cataluña en materia de cultura, conforme a lo dispuesto en el art. 127.1 a) cuarto y 127.1 d) primero y segundo del Estatuto de Autonomía de Cataluña (EAC); así como las previsiones del Estatuto en relación a las subvenciones estatales en materias de competencias exclusivas de la Generalitat ex art. 114 EAC.</w:t>
      </w:r>
    </w:p>
    <w:p w:rsidR="00D06117" w:rsidRDefault="00D06117" w:rsidP="00D06117">
      <w:pPr>
        <w:pStyle w:val="TextoNormal"/>
      </w:pPr>
    </w:p>
    <w:p w:rsidR="00D06117" w:rsidRDefault="00D06117" w:rsidP="00D06117">
      <w:pPr>
        <w:pStyle w:val="TextoNormal"/>
      </w:pPr>
      <w:r>
        <w:t>c) Por lo que respecta al marco competencial en el que se desenvuelve la controversia la Letrada menciona las previsiones que, en materia de cultura, se contienen en la Constitución aludiendo al mandato general de promover y tutelar el acceso a la cultura que el art. 44.1 CE dirige a todos los poderes públicos; a la previsión de que las Comunidades Autónomas puedan asumir competencias en materia de cultura ex art. 148.1.17 CE; a las reglas específicas contenidas en el art. 149.1 CE que reservan al Estado la competencia exclusiva en determinados ámbitos culturales —legislación sobre propiedad intelectual (9); régimen de prensa, radio y televisión (27); defensa del patrimonio cultural, artístico y monumental español contra la exportación y la expoliación y legislación sobre museos, bibliotecas y archivos de titularidad estatal, sin perjuicio de su gestión por las Comunidades Autónomas (28)—</w:t>
      </w:r>
      <w:r>
        <w:lastRenderedPageBreak/>
        <w:t>; así como a la previsión del art. 149.2 CE que define el servicio a la cultura como un deber y una atribución esencial del Estado. A continuación la Letrada pone de relieve que el vigente Estatuto de Autonomía de la Comunidad Autónoma contiene numerosísimas referencias a cultura: desde el reconocimiento del derecho de acceso a la cultura, a la preservación y a la difusión del patrimonio cultural y la proyección exterior de la cultura catalana, hasta las previsiones de naturaleza competencial contenidas en el art. 127 EAC. El citado precepto atribuye la competencia exclusiva en materia de cultura a la Generalitat de Cataluña enumerando las submaterias que, en todo caso, se encuentran incluidas en aquélla y resultan de aplicación a este caso: “la promoción, la planificación, la construcción y la gestión de equipamientos culturales situados en Cataluña” [art. 127.1 a) cuarto EAC]; “el fomento y la difusión de la creación y la producción teatrales, musicales, audiovisuales, literarias, de danza, de circo y de artes combinadas llevadas a cabo en Cataluña” [art. 127.1 d) primero] y “la promoción y la difusión del patrimonio cultural, artístico y monumental y los centros de depósito cultural de Cataluña” [art. 127.1 d) segundo].</w:t>
      </w:r>
    </w:p>
    <w:p w:rsidR="00D06117" w:rsidRDefault="00D06117" w:rsidP="00D06117">
      <w:pPr>
        <w:pStyle w:val="TextoNormal"/>
      </w:pPr>
    </w:p>
    <w:p w:rsidR="00D06117" w:rsidRDefault="00D06117" w:rsidP="00D06117">
      <w:pPr>
        <w:pStyle w:val="TextoNormal"/>
      </w:pPr>
      <w:r>
        <w:t>De acuerdo con el orden de distribución competencial descrito, argumenta la Letrada de la Generalitat, los mandatos constitucionales y estatutarios en relación con la cultura y su promoción deben realizarse “a través” y no “a pesar de” los sistemas de reparto de competencia [cita las SSTC 14/1986, FJ 3, y 13/1992, FJ 4.3), entre otras]. En este sentido, subraya, la previsión del art. 149.2 CE no puede ser entendida como una competencia genérica en materia de cultura que habilite al Estado para llevar a cabo todo tipo de actuaciones en cualquier ámbito cultural pues ello haría perder toda lógica al previo establecimiento en el art. 149.1 de competencias específicas exclusivas a favor del Estado, así como la asunción de competencias efectuada por los diversos Estatutos de Autonomía.</w:t>
      </w:r>
    </w:p>
    <w:p w:rsidR="00D06117" w:rsidRDefault="00D06117" w:rsidP="00D06117">
      <w:pPr>
        <w:pStyle w:val="TextoNormal"/>
      </w:pPr>
    </w:p>
    <w:p w:rsidR="00D06117" w:rsidRDefault="00D06117" w:rsidP="00D06117">
      <w:pPr>
        <w:pStyle w:val="TextoNormal"/>
      </w:pPr>
      <w:r>
        <w:t>Las ayudas objeto de la resolución del INAEM no encuentran cabida en las competencias que, en materia de cultura, se atribuyen en exclusiva al Estado (reglas 9, 27 y 28 del art. 149.1 CE) resultando claro, al contrario, que los espacios escénicos y los espectáculos que en ellos se lleven a cabo se incardinan en las submaterias del art. 127 EAC relativas a la promoción, construcción y gestión de equipamientos culturales en Cataluña, así como al fomento y a la difusión de la creación y producción teatrales.</w:t>
      </w:r>
    </w:p>
    <w:p w:rsidR="00D06117" w:rsidRDefault="00D06117" w:rsidP="00D06117">
      <w:pPr>
        <w:pStyle w:val="TextoNormal"/>
      </w:pPr>
    </w:p>
    <w:p w:rsidR="00D06117" w:rsidRDefault="00D06117" w:rsidP="00D06117">
      <w:pPr>
        <w:pStyle w:val="TextoNormal"/>
      </w:pPr>
      <w:r>
        <w:t>Con esta perspectiva, continúa argumentando la Abogada de la Generalitat, la resolución del INAEM no puede sino ubicarse en el art. 149.2 CE siendo las posibilidades de actuación del Estado las señaladas por el Tribunal Constitucional, entre otras, en las SSTC 17/1991 —en relación a la Ley reguladora del patrimonio histórico— y 109/1996 —en relación al sistema español de museos—. En ambas Sentencias se señaló la existencia de una competencia concurrente entre Estado y Comunidades autónomas en materia de cultura, correspondiendo al Estado una acción específica “en el área de preservación del patrimonio cultural común” así como en todo aquello “que precise de tratamientos generales o que haga menester esa acción pública cuando los fines culturales no pudieran lograrse desde otras instancias” sin que, sin embargo, sea posible que por la vía de la incardinación general del patrimonio histórico-artístico en el término cultura se dejen vacíos de contenido otros títulos competenciales o que el art. 149.2 CE se convierta en un “título universal desde el que puedan realizarse indistintamente todas y las mismas funciones que pueden realizarse desde otras competencias específicas que tienen aspectos culturales”. Así, en los casos en los que el Estado ostente un título competencial genérico, básico o de coordinación que se entre</w:t>
      </w:r>
      <w:r>
        <w:lastRenderedPageBreak/>
        <w:t>cruza con una competencia exclusiva de las Comunidades Autónomas, podrá consignar subvenciones en sus presupuestos y regular sus condiciones esenciales siempre que deje un margen a las Comunidades Autónomas para desarrollar y complementar la regulación, correspondiendo a éstas su gestión y siendo la excepción su gestión centralizada. De otro modo, se produciría una extensión de la competencia basada en el art. 149.2 CE no querida por el constituyente.</w:t>
      </w:r>
    </w:p>
    <w:p w:rsidR="00D06117" w:rsidRDefault="00D06117" w:rsidP="00D06117">
      <w:pPr>
        <w:pStyle w:val="TextoNormal"/>
      </w:pPr>
    </w:p>
    <w:p w:rsidR="00D06117" w:rsidRDefault="00D06117" w:rsidP="00D06117">
      <w:pPr>
        <w:pStyle w:val="TextoNormal"/>
      </w:pPr>
      <w:r>
        <w:t>Por último, en este bloque de alegaciones, la Letrada apunta que, además, debe tenerse en cuenta la previsión contenida en el art. 114 EAC según el cual corresponde a la Generalitat la especificación de los objetivos a los que se destinen las subvenciones estatales y comunitarias europeas que sean territorializables, así como la regulación de las condiciones de su otorgamiento y gestión; participando, asimismo, en la determinación del carácter no territorizable de las subvenciones estatales. En este caso, ninguno de los elementos de la resolución impugnada determina que las subvenciones deban calificarse como no territorializables —apareciendo la posibilidad contraria (territorialización) como idónea, puesto que se trata de ayudas para la reforma o construcción de espacios escénicos en un punto territorial concreto—, pero en el caso de haberse considerado como tal tendrían que haberse articulado medios para garantizar la participación de la Generalitat.</w:t>
      </w:r>
    </w:p>
    <w:p w:rsidR="00D06117" w:rsidRDefault="00D06117" w:rsidP="00D06117">
      <w:pPr>
        <w:pStyle w:val="TextoNormal"/>
      </w:pPr>
    </w:p>
    <w:p w:rsidR="00D06117" w:rsidRDefault="00D06117" w:rsidP="00D06117">
      <w:pPr>
        <w:pStyle w:val="TextoNormal"/>
      </w:pPr>
      <w:r>
        <w:t>d) A continuación, la Letrada de la Generalitat describe cuál es la concreta invasión de las competencias de la Comunidad Autónoma de Cataluña que se denuncia en este conflicto, subrayando que en los puntos quinto, séptimo, octavo y noveno de la tantas veces citada resolución se reserva al INAEM la gestión de las subvenciones, conteniéndose una regulación tan completa que no se deja espacio alguno para concretar el destino de las mismas o para desarrollar y completar la regulación de sus condiciones de otorgamiento. Se invierte, así, el orden competencial al contener la resolución la regulación de funciones claramente ejecutivas como son la propia convocatoria y la concesión de las ayudas que quedan reservadas a la gestión directa y exclusiva del INAEM, sin que esta reserva venga justificada por ninguna de las circunstancias exigidas por el Tribunal Constitucional.</w:t>
      </w:r>
    </w:p>
    <w:p w:rsidR="00D06117" w:rsidRDefault="00D06117" w:rsidP="00D06117">
      <w:pPr>
        <w:pStyle w:val="TextoNormal"/>
      </w:pPr>
    </w:p>
    <w:p w:rsidR="00D06117" w:rsidRDefault="00D06117" w:rsidP="00D06117">
      <w:pPr>
        <w:pStyle w:val="TextoNormal"/>
      </w:pPr>
      <w:r>
        <w:t>En este sentido, subraya, la previsión de que la solicitud pueda presentarse en los servicios correspondientes de las Comunidades Autónomas o la participación de tres vocales designados por aquellas Comunidades Autónomas de donde procedan el mayor número de solicitudes, no enervan la invasión competencial denunciada. La actuación estatal constituye, por lo demás, una vulneración de las previsiones contenidas en el art. 114.2 EAC pues, aun en el caso de que las ayudas se considerasen no territorializables, la Generalitat tendría que haber participado en la determinación de dicho carácter.</w:t>
      </w:r>
    </w:p>
    <w:p w:rsidR="00D06117" w:rsidRDefault="00D06117" w:rsidP="00D06117">
      <w:pPr>
        <w:pStyle w:val="TextoNormal"/>
      </w:pPr>
    </w:p>
    <w:p w:rsidR="00D06117" w:rsidRDefault="00D06117" w:rsidP="00D06117">
      <w:pPr>
        <w:pStyle w:val="TextoNormal"/>
      </w:pPr>
      <w:r>
        <w:t xml:space="preserve">Seguidamente, y como segundo apartado de este tercer bloque de alegaciones, la Letrada de la Generalitat se opone a los argumentos utilizados en el acuerdo del Consejo de Ministros para rechazar el requerimiento competencial formulado en su día. Insiste, en este punto, en que no se discute cuál sea el marco de competencias del INAEM, ni la legitimidad del Estado para destinar fondos a esos ámbitos, sino el hecho de que el Estado lleve a cabo esa actuación desconociendo las referidas competencias autonómicas, debiéndose proceder, en cambio, a la territorialización de tales fondos para que sean gestionados de forma descentralizada. La finalidad de “asegurar el efectivo equilibrio territorial en la oferta e infraestructuras culturales de las distintas Comunidades Autónomas”, reitera, no puede pretenderse </w:t>
      </w:r>
      <w:r>
        <w:lastRenderedPageBreak/>
        <w:t>mediante una fórmula que orille competencias asumidas por las Comunidades Autonómicas.</w:t>
      </w:r>
    </w:p>
    <w:p w:rsidR="00D06117" w:rsidRDefault="00D06117" w:rsidP="00D06117">
      <w:pPr>
        <w:pStyle w:val="TextoNormal"/>
      </w:pPr>
    </w:p>
    <w:p w:rsidR="00D06117" w:rsidRDefault="00D06117" w:rsidP="00D06117">
      <w:pPr>
        <w:pStyle w:val="TextoNormal"/>
      </w:pPr>
      <w:r>
        <w:t>En este caso, señala la Letrada, la pretensión de acogerse al supuesto excepcional de gestión centralizada de subvenciones contemplado en la STC 13/1992, y reiterado posteriormente en otras Sentencias del Tribunal Constitucional, carece de toda justificación, pues en la resolución del INAEM no se explica la concurrencia de ninguno de los criterios establecidos por la doctrina constitucional: que la centralización resulte imprescindible para asegurar su plena efectividad, para garantizar iguales posibilidades de obtención y disfrute por parte de sus potenciales destinatarios en todo el territorio nacional y para evitar toda posible superación de la cuantía global de los fondos que hayan de destinarse al sector. La afirmación genérica de que resulta imposible establecer criterios de territorialización de los fondos “porque a priori se desconocen las empresas que van a acudir a las convocatorias” no sirve a estos efectos de justificación. En este punto, la Letrada de la Generalitat enfatiza que en reiterados pronunciamientos de este Tribunal [SSTC 106/1987 (FJ 4), 186/1999 (FJ 10), 190/2000 (FJ 10) y 188/2001 (FJ 11)] se ha señalado que “las dificultades que pudieran existir ... no pueden ser alegadas para eludir competencias que constitucionalmente corresponden a una Comunidad Autónoma” sino que debe hacerse un esfuerzo para salvar dichos obstáculos. La ausencia de criterios no puede conducir a que el Tribunal determine que la eficacia de las ayudas dependa de su gestión por el Estado; por el contrario, alega citando la STC 186/1999 (FJ 10), “sólo cuando dichos parámetros y criterios objetivos existan podrá, en ocasiones, aparecer razonablemente justificada o deducirse sin esfuerzo la procedencia de la gestión centralizada”.</w:t>
      </w:r>
    </w:p>
    <w:p w:rsidR="00D06117" w:rsidRDefault="00D06117" w:rsidP="00D06117">
      <w:pPr>
        <w:pStyle w:val="TextoNormal"/>
      </w:pPr>
    </w:p>
    <w:p w:rsidR="00D06117" w:rsidRDefault="00D06117" w:rsidP="00D06117">
      <w:pPr>
        <w:pStyle w:val="TextoNormal"/>
      </w:pPr>
      <w:r>
        <w:t>Por otra parte, las ayudas a la programación —que también aparecen en la resolución del INAEM y que pretenden vincularse al objetivo de la comunicación entre las Comunidades Autonómicas a que se refiere el art. 149.2 CE en tanto en cuanto se prevé la reserva de un porcentaje a la programación de determinados espectáculos— no pueden considerarse como el objetivo de las subvenciones establecidas a efectos de determinar cuál sea el título competencial. En efecto, el verdadero y principal objeto de la convocatoria es la construcción o reforma de espacios, mientras que las ayudas a la programación tienen un carácter complementario de aquéllas, previa firma del contrato con el INAEM; carácter complementario que no puede tener como efecto la transmutación de la finalidad y objetivos de la convocatoria. Estas ayudas complementarias sólo en cierta medida corresponden al objetivo de comunicación cultural ex art. 149.2 CE y no pueden alterar el verdadero objeto de la resolución que no es otro que la dotación de espacios escénicos; elementos de naturaleza material que se hallan ubicados en lugares concretos del territorio y cuya promoción, planificación, construcción y gestión corresponde de forma exclusiva a la Generalitat cuando se encuentran situados en Cataluña. Lo que pretende el Estado, alega la Letrada, es la negación de la competencia de la Generalitat de Cataluña sobre los espacios escénicos de forma artificial, articulando una suerte de ayudas complementarias (de solicitud obligatoria) que podrían ser convocadas de forma autónoma pues su pretendido objetivo de comunicación cultural no guarda vinculación alguna con la construcción o reforma de espacios escénicos y además, de acuerdo con los apartados 1 d) primero y segundo del art. 127 EAC corresponde a la Comunidad Autónoma de Cataluña el fomento y la difusión de la creación y producción teatrales, musicales, etc.; lo que, a su vez, impediría la gestión centralizada.</w:t>
      </w:r>
    </w:p>
    <w:p w:rsidR="00D06117" w:rsidRDefault="00D06117" w:rsidP="00D06117">
      <w:pPr>
        <w:pStyle w:val="TextoNormal"/>
      </w:pPr>
    </w:p>
    <w:p w:rsidR="00D06117" w:rsidRDefault="00D06117" w:rsidP="00D06117">
      <w:pPr>
        <w:pStyle w:val="TextoNormal"/>
      </w:pPr>
      <w:r>
        <w:lastRenderedPageBreak/>
        <w:t>Por otra parte, se señala, el Estado olvida que el art. 149.2 CE contempla el deber del Estado de facilitar la comunicación cultural entre las Comunidades Autónomas “de acuerdo con ellas”; acuerdo que no se consigue con una mera referencia a la voluntad de colaboración con todas las Administraciones públicas que se recoge en el preámbulo, ni con la puesta a disposición de las Comunidades Autónomas del plan estatal de equipamientos escénicos de nueva generación en la comisión técnica sectorial de asuntos culturales. Tampoco es de recibo, desde la perspectiva competencial, el argumento de que las ayudas son compatibles con otras subvenciones de cualquier otra Administración. Concluye la Letrada de la Generalitat que no se cuestiona la competencia del Estado para destinar fondos a la construcción y reforma de espacios escénicos, sino que lo que se debate es “el agotamiento que produce la resolución de 13 de marzo de 2008 en la regulación de las subvenciones así como la reserva de su gestión a INAEM”.</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16 de septiembre de 2008 el Pleno del Tribunal Constitucional, a propuesta de la Sección Cuarta, acordó admitir a trámite el presente conflicto; atribuir, de conformidad con lo dispuesto en el art. 10.2 LOTC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al Decano de los Juzgados Centrales de lo Contencioso-Administrativo por si ante los mismos estuviese impugnada o se impugnare la resolución controvertida, en cuyo caso deberá suspenderse el curso del proceso hasta la decisión del conflicto, según dispone el art. 61.2 LOTC y publicar la incoación del conflicto en el “Boletín Oficial del Estado” y en el “Diari Oficial de la Generalitat de Cataluña”.</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de 13 de octubre de 2008 el Abogado del Estado se personó en el proceso solicitando una prórroga del plazo concedido para formular alegaciones, prórroga que le fue concedida mediante providencia de la Sala Segunda de 14 de octubre de 2008. El escrito de alegaciones del Abogado del Estado se registró el día 4 de noviembre de 2008.</w:t>
      </w:r>
    </w:p>
    <w:p w:rsidR="00D06117" w:rsidRDefault="00D06117" w:rsidP="00D06117">
      <w:pPr>
        <w:pStyle w:val="TextoNormal"/>
      </w:pPr>
    </w:p>
    <w:p w:rsidR="00D06117" w:rsidRDefault="00D06117" w:rsidP="00D06117">
      <w:pPr>
        <w:pStyle w:val="TextoNormal"/>
      </w:pPr>
      <w:r>
        <w:t>En dicho escrito se opone a la demanda y, tras definir el objeto del conflicto y la doctrina del Tribunal Constitucional en relación a las competencias estatales y autonómicas en materia de cultura, defiende la constitucionalidad de la resolución impugnada con los siguientes argumentos:</w:t>
      </w:r>
    </w:p>
    <w:p w:rsidR="00D06117" w:rsidRDefault="00D06117" w:rsidP="00D06117">
      <w:pPr>
        <w:pStyle w:val="TextoNormal"/>
      </w:pPr>
    </w:p>
    <w:p w:rsidR="00D06117" w:rsidRDefault="00D06117" w:rsidP="00D06117">
      <w:pPr>
        <w:pStyle w:val="TextoNormal"/>
      </w:pPr>
      <w:r>
        <w:t>a) El art. 149.2 CE ampara la resolución objeto de controversia; de hecho, se encuadra con naturalidad en la primera dimensión de ese precepto constitucional que faculta al Estado a una intervención más intensa (en exclusiva) al integrarse la citada resolución en el ámbito de la “preservación del patrimonio cultural común, así como lo que precise de tratamientos generales o que no puedan lograrse desde otras instancias”. La resolución tiene por finalidad, se dice, la contribución a que la cultura general se muestre “con alcance general, justificando así la competencia” del Estado “para facilitar la comunicación entre Comunidades Autónomas” (STC 17/1991, FJ 12). Esta es la razón que justifica la asunción de competencias ejecutivas por parte del Estado ya que el resultado buscado —modernización de las infraestructuras escénicas que facilite la comunicación cultural interterritorial, necesidad de equilibrar la oferta entre los diversos ámbitos territoriales, captación de nuevos públicos y coordinación de agentes públicos y privados— no puede alcanzarse desde ninguna otra instancia.</w:t>
      </w:r>
    </w:p>
    <w:p w:rsidR="00D06117" w:rsidRDefault="00D06117" w:rsidP="00D06117">
      <w:pPr>
        <w:pStyle w:val="TextoNormal"/>
      </w:pPr>
    </w:p>
    <w:p w:rsidR="00D06117" w:rsidRDefault="00D06117" w:rsidP="00D06117">
      <w:pPr>
        <w:pStyle w:val="TextoNormal"/>
      </w:pPr>
      <w:r>
        <w:t>La convocatoria de ayudas pretende, en definitiva, dos finalidades: de un lado, la creación de una red de dotaciones teatrales que equilibre la actividad del sector entre las distintas partes del territorio nacional y, de otro, la promoción y preservación del patrimonio cultural común y el intercambio interregional. Y precisamente, a esas finalidades coadyuvan las obligaciones de programación que pesan sobre los beneficiarios del programa de ayudas en relación a la reserva de un porcentaje de la programación a espectáculos subvencionados por el INAEM, a espectáculos representados por empresas o compañías de cuatro Comunidades Autónomas incluida la propia —o de tres, incluida la propia, y un país iberoamericano— y a espectáculos de autores españoles de los cuales, al menos la mitad, han de ser autores vivos. Las ayudas complementarias garantizan también ese equilibrio territorial y la igualdad de todos los españoles en el acceso a la cultura. Atendidas estas finalidades, concluye el Abogado del Estado, es razonable entender que, en virtud del art. 149.2 CE el Estado tiene una competencia específica y no actúa en virtud de un título genérico de intervención.</w:t>
      </w:r>
    </w:p>
    <w:p w:rsidR="00D06117" w:rsidRDefault="00D06117" w:rsidP="00D06117">
      <w:pPr>
        <w:pStyle w:val="TextoNormal"/>
      </w:pPr>
    </w:p>
    <w:p w:rsidR="00D06117" w:rsidRDefault="00D06117" w:rsidP="00D06117">
      <w:pPr>
        <w:pStyle w:val="TextoNormal"/>
      </w:pPr>
      <w:r>
        <w:t>b) Aun en el caso de entenderse que la medida adoptada no encuentra acomodo en el art. 149.2 CE, concurren en este caso circunstancias excepcionales que justifican la gestión centralizada del Estado impidiendo la territorialización de las ayudas, según la doctrina constitucional, pues dicha gestión centralizada resulta imprescindible “para asegurar la plena efectividad de las medida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que se trate”.</w:t>
      </w:r>
    </w:p>
    <w:p w:rsidR="00D06117" w:rsidRDefault="00D06117" w:rsidP="00D06117">
      <w:pPr>
        <w:pStyle w:val="TextoNormal"/>
      </w:pPr>
    </w:p>
    <w:p w:rsidR="00D06117" w:rsidRDefault="00D06117" w:rsidP="00D06117">
      <w:pPr>
        <w:pStyle w:val="TextoNormal"/>
      </w:pPr>
      <w:r>
        <w:t>Y aunque la supraterritorialidad no es en sí misma un criterio atributivo de competencias, sí constituirá un supuesto excepcional de ejercicio estatal de competencias ejecutivas cuando la actividad pública no sea susceptible de fraccionamiento y, aun en ese caso, no pueda llevarse a cabo mediante mecanismos de cooperación o coordinación por requerir un grado de homogeneidad que sólo pueda asegurarse mediante atribución a un único titular (con cita, entre otras, de las SSTC 329/1993, FJ 4; 102/1995, FJ 8; 190/2000, FJ 10; y 306/2002).</w:t>
      </w:r>
    </w:p>
    <w:p w:rsidR="00D06117" w:rsidRDefault="00D06117" w:rsidP="00D06117">
      <w:pPr>
        <w:pStyle w:val="TextoNormal"/>
      </w:pPr>
    </w:p>
    <w:p w:rsidR="00D06117" w:rsidRDefault="00D06117" w:rsidP="00D06117">
      <w:pPr>
        <w:pStyle w:val="TextoNormal"/>
      </w:pPr>
      <w:r>
        <w:t xml:space="preserve">Entiende el Abogado del Estado que, en este caso, de la naturaleza y contenido de la medida de fomento se deduce que su plena efectividad sólo puede lograrse desde una gestión centralizada; siendo, además, evidente la incidencia suprautonómica de la finalidad de requilibrar la dotación de espacios escénicos de nivel entre las distintas partes del territorio español; lo que “exige una visión global de la cultura de España y que sólo el Estado puede asumir”. En este sentido, teniendo en cuenta las competencias que ostentan las Comunidades Autónomas en materia de cultura —y, en particular, Cataluña (art. 111 EAC)— es indiscutible que pueden establecer políticas culturales propias que no tengan como objetivo la financiación del intercambio cultural o el reequilibrio de las dotaciones escénicas. Por ello, y resultando evidente que un objetivo esencial para garantizar la existencia de un patrimonio cultural común es favorecer la movilidad y el intercambio cultural entre las regiones, garantizando la existencia de un verdadero patrimonio nacional, queda justificada la </w:t>
      </w:r>
      <w:r>
        <w:lastRenderedPageBreak/>
        <w:t>reserva al Estado. Una gestión compartimentada de esas ayudas sería “absolutamente incompatible con su finalidad” porque “si se quiebra esa gestión centralizada y se admite la compartimentación de esta modalidad dejarían de ser flujos de unión de las diversas comunidades culturales”. Concluye, en fin, el Abogado del Estado que “como elemento sistémico, las ayudas a la comunicación cultural interregional han de exigir un aplicación y una interpretación homogénea para sus destinatarios”.</w:t>
      </w:r>
    </w:p>
    <w:p w:rsidR="00D06117" w:rsidRDefault="00D06117" w:rsidP="00D06117">
      <w:pPr>
        <w:pStyle w:val="TextoNormal"/>
      </w:pPr>
    </w:p>
    <w:p w:rsidR="00D06117" w:rsidRDefault="00D06117" w:rsidP="00D06117">
      <w:pPr>
        <w:pStyle w:val="TextoNormal"/>
      </w:pPr>
      <w:r>
        <w:t>c) Por último, y en relación a concretos aspectos de la demanda de la Generalitat, se arguye que no se ha vulnerado el art. 114.5 EAC puesto que se ha permitido su participación en la determinación del carácter no territorializable de estas ayudas mediante la puesta a disposición de las Comunidades Autónomas del proyecto de resolución en la comisión técnica sectorial de asuntos culturales. En esta línea recuerda que el principio de colaboración puede articularse a través de muy diversas formas sin que corresponda al Tribunal fijar cuál de ellas es más idónea; pudiendo ir desde la fijación de medios y de sistemas de relación que hagan posible la información recíproca, hasta el establecimiento de criterios para alcanzar una homogeneidad técnica, o la acción conjunta de autoridades estatales y autonómicas. Y, rebatiendo los argumentos de la Letrada de la Comunidad Autónoma de Cataluña, subraya que la puesta a disposición del proyecto, a la que se ha hecho referencia, satisfacía plenamente las exigencias del art. 114.5 EAC independientemente de que existan formas de participación de las Comunidades más intensas, sobre las que el Gobierno se plantea reflexionar. A lo anterior se añade que la propia resolución prevé la participación de las Comunidades Autónomas en la comisión de valoración de las subvenciones, que emite informe preceptivo que habrá de servir de apoyo a la resolución.</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3 de mayo de 2012 se señaló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Gobierno de la Generalitat de Cataluña frente a la resolución del Instituto Nacional de Artes Escénicas y Musicales (INAEM), de 13 de marzo de 2008, por la que se convocan ayudas para el año 2008, dentro del programa de espacios escénicos de nueva generación.</w:t>
      </w:r>
    </w:p>
    <w:p w:rsidR="00D06117" w:rsidRDefault="00D06117" w:rsidP="00D06117">
      <w:pPr>
        <w:pStyle w:val="TextoNormal"/>
      </w:pPr>
    </w:p>
    <w:p w:rsidR="00D06117" w:rsidRDefault="00D06117" w:rsidP="00D06117">
      <w:pPr>
        <w:pStyle w:val="TextoNormal"/>
      </w:pPr>
      <w:r>
        <w:t>Como se ha expuesto con más detalle en los antecedentes, la Generalitat de Cataluña, aun admitiendo la competencia estatal para destinar recursos presupuestarios a esta materia, entiende que la resolución objeto del conflicto vulnera su competencia exclusiva en materia de cultura como consecuencia de la regulación centralizada de la tramitación y gestión de las ayudas previstas. Por su parte, el Abogado del Estado entiende que la resolución del INAEM se aprueba en ejercicio de la competencia que ex art. 149.2 CE ostenta el Estado para tomar medidas en materia de cultura relativas al “patrimonio cultural común” o a actuaciones que requieran de una actuación no fragmentada. Subsidiariamente, sostiene que las ayudas se inscriben en la excepción prevista en el cuarto de los supuestos previstos en la STC 13/1992, de 6 de febrero, FJ 8 d), concurriendo circunstancias, como que las ayudas no puedan ser territorializadas por su propia naturaleza, que justifican su gestión centralizada.</w:t>
      </w:r>
    </w:p>
    <w:p w:rsidR="00D06117" w:rsidRDefault="00D06117" w:rsidP="00D06117">
      <w:pPr>
        <w:pStyle w:val="TextoNormal"/>
      </w:pPr>
    </w:p>
    <w:p w:rsidR="00D06117" w:rsidRDefault="00D06117" w:rsidP="00D06117">
      <w:pPr>
        <w:pStyle w:val="TextoNormal"/>
      </w:pPr>
      <w:r>
        <w:t>Con carácter previo al análisis sobre la conformidad o disconformidad de la resolución al orden competencial establecido en la Constitución conviene señalar, en cuanto a la delimitación del objeto del conflicto, que, de acuerdo con el escrito por el que se plantea, éste se extiende a la integridad de resolución del INAEM, de 13 de marzo, solicitándose la declaración de que tal resolución vulnera el orden constitucional de competencias debiendo procederse a su territorialización. Debe apuntarse, no obstante, que en el escrito de alegaciones se especifica que son los apartados quinto, séptimo, octavo y noveno —relativos a las “solicitudes”, “comisión de valoración”, “evaluación de las solicitudes y propuesta de resolución” y “resolución”, respectivamente— los que contienen una regulación tan pormenorizada que no dejan espacio alguno a la intervención de la Comunidad Autónoma de Cataluña.</w:t>
      </w:r>
    </w:p>
    <w:p w:rsidR="00D06117" w:rsidRDefault="00D06117" w:rsidP="00D06117">
      <w:pPr>
        <w:pStyle w:val="TextoNormal"/>
      </w:pPr>
    </w:p>
    <w:p w:rsidR="00D06117" w:rsidRDefault="00D06117" w:rsidP="00D06117">
      <w:pPr>
        <w:pStyle w:val="TextoNormal"/>
      </w:pPr>
      <w:r w:rsidRPr="00D06117">
        <w:rPr>
          <w:rStyle w:val="NumeroAFNegritaCaracter"/>
        </w:rPr>
        <w:t>2</w:t>
      </w:r>
      <w:r>
        <w:t>. El apartado primero de la resolución cuestionada señala que tiene por objeto la regulación de las ayudas convocadas por el citado organismo a la dotación y a la mejora de espacios escénicos, “en orden a la preservación del patrimonio cultural de las artes escénicas y musicales y a su difusión en el ámbito del territorio del Estado, favoreciendo especialmente la comunicación entre las distintas Comunidades Autónomas, la igualdad de todos los ciudadanos en el acceso a los bienes culturales y la creación y consolidación de nuevos públicos”. Con carácter complementario a esas ayudas “a la construcción, reforma y/o equipamiento de espacios escénicos”, los beneficiarios podrán recibir una ayuda para la programación, gestión y actividades adicionales de dichos espacios escénicos objeto de reforma, en función del plan que se presente.</w:t>
      </w:r>
    </w:p>
    <w:p w:rsidR="00D06117" w:rsidRDefault="00D06117" w:rsidP="00D06117">
      <w:pPr>
        <w:pStyle w:val="TextoNormal"/>
      </w:pPr>
    </w:p>
    <w:p w:rsidR="00D06117" w:rsidRDefault="00D06117" w:rsidP="00D06117">
      <w:pPr>
        <w:pStyle w:val="TextoNormal"/>
      </w:pPr>
      <w:r>
        <w:t>Por su parte, el preámbulo de la norma identifica varias finalidades: en primer lugar, “la modernización de las infraestructuras escénicas, así como la construcción de nuevos espacios”, en la línea de actuaciones similares ya iniciadas por otras Administraciones públicas como el Consorcio de Rehabilitación de Teatros de Madrid (1994), el Consorcio de Rehabilitación de Teatros de Barcelona (2001) o el acuerdo Ministerio de Fomento-Ministerio de Cultura que se viene ocupando de la rehabilitación de teatros de titularidad de corporaciones locales; en segundo lugar, la necesidad de “requilibrar la oferta entre los diversos ámbitos territoriales, conseguir la tan necesaria captación de nuevos públicos y coordinar los esfuerzos de los distintos agentes públicos y privados implicados en el sector”, prestándose una especial atención a las salas alternativas o espacios escénicos no convencionales “de presencia deficitaria en muchos municipios del país”. Por todo ello, desde el Ministerio de Cultura se considera necesario “fomentar tanto la creación de nuevos espacios como la estabilidad de la oferta, con adecuación suficiente para adaptarse a las nuevas tendencias escénicas y musicales, pero, sobre todo, crear con la colaboración de todas las administraciones públicas y de la iniciativa privada, una red de dotaciones que equilibre la actividad del sector a nivel autonómico, provincial y local, que sirva a la vez para impulsar la consecución de los fines del INAEM, como son la promoción y preservación de las artes escénicas y musicales”.</w:t>
      </w:r>
    </w:p>
    <w:p w:rsidR="00D06117" w:rsidRDefault="00D06117" w:rsidP="00D06117">
      <w:pPr>
        <w:pStyle w:val="TextoNormal"/>
      </w:pPr>
    </w:p>
    <w:p w:rsidR="00D06117" w:rsidRDefault="00D06117" w:rsidP="00D06117">
      <w:pPr>
        <w:pStyle w:val="TextoNormal"/>
      </w:pPr>
      <w:r>
        <w:t xml:space="preserve">Establecidos así el objeto y las finalidades, la resolución regula los beneficiarios (apartado segundo) y los requisitos para participar (apartado tercero) consignando las partidas presupuestarias a las que se imputan la ayudas y su importe total (3.500.000 euros). Se prevé en el apartado quinto que las solicitudes y la documentación que debe acompañarlas (genérica y específica sobre el proyecto) se dirijan al Director General del INAEM —si bien </w:t>
      </w:r>
      <w:r>
        <w:lastRenderedPageBreak/>
        <w:t>podrán presentarse no sólo en las dependencias centralizadas del INAEM sino también en los servicios correspondientes de las Comunidades Autónomas—; estableciéndose el plazo de presentación en el apartado sexto. En el apartado séptimo se regula la comisión de valoración de las ayudas y su composición previéndose la presencia de “tres vocales designados respectivamente por las tres comunidades autónomas de donde proceda el mayor número de solicitudes que se presenten a esta convocatoria”; recogiéndose en los apartados octavo, noveno y undécimo el procedimiento de evaluación de solicitudes, resolución, pago de las ayudas y justificación de las mismas. El apartado décimo regula el contrato-programa que deberán firmar los beneficiarios de las ayudas vinculando el espacio objeto de ayuda con los fines de promoción y comunicación del INAEM (durante un periodo máximo de cuatro años), a través de la reserva de porcentajes mínimos de las funciones anuales a: 1) Espectáculos subvencionados por el INAEM; 2) espectáculos representados por empresas o compañías procedentes de, al menos, cuatro Comunidades Autónomas incluida la propia o de tres comunidades, incluida la propia y un país iberoamericano y 3) espectáculos de autores españoles de los que al menos la mitad deben ser autores vivos.</w:t>
      </w:r>
    </w:p>
    <w:p w:rsidR="00D06117" w:rsidRDefault="00D06117" w:rsidP="00D06117">
      <w:pPr>
        <w:pStyle w:val="TextoNormal"/>
      </w:pPr>
    </w:p>
    <w:p w:rsidR="00D06117" w:rsidRDefault="00D06117" w:rsidP="00D06117">
      <w:pPr>
        <w:pStyle w:val="TextoNormal"/>
      </w:pPr>
      <w:r>
        <w:t>Importa destacar, a efectos de lo que aquí interesa, que el anexo II de la convocatoria recoge los criterios de valoración de las ayudas (“cuadro de indicadores y puntuaciones”). En alguna de las previsiones de este cuadro tienen reflejo las finalidades —ya apuntadas— de la concreta convocatoria de ayudas: por ejemplo, cuando se otorga la máxima puntuación (4 puntos) al criterio de localización en “municipio deficitario”; o cuando se prevé la puntuación (3 puntos) de “la pertenencia del espacio a la red del teatro alternativo” y se otorga el máximo de 2 puntos (en este apartado) a la “disponibilidad de funciones para espectáculos procedentes de fuera de la comunidad autónoma”; la presencia de “nuevos públicos” (4 puntos); “la programación interdisciplinar y/o interterritorial” (3 puntos). El resto de indicadores se refiere al modo de gestión, al aforo, a la superficie de escena, a los equipamientos del espacio y a la previsión de programación (número de funciones, días, etc.); resultando una valoración de un máximo de 56 puntos y un mínimo de 7 puntos que permite la clasificación de los proyectos en tres grupos, cada uno de ellos con su aportación presupuestaria específica.</w:t>
      </w:r>
    </w:p>
    <w:p w:rsidR="00D06117" w:rsidRDefault="00D06117" w:rsidP="00D06117">
      <w:pPr>
        <w:pStyle w:val="TextoNormal"/>
      </w:pPr>
    </w:p>
    <w:p w:rsidR="00D06117" w:rsidRDefault="00D06117" w:rsidP="00D06117">
      <w:pPr>
        <w:pStyle w:val="TextoNormal"/>
      </w:pPr>
      <w:r w:rsidRPr="00D06117">
        <w:rPr>
          <w:rStyle w:val="NumeroAFNegritaCaracter"/>
        </w:rPr>
        <w:t>3</w:t>
      </w:r>
      <w:r>
        <w:t>. Como hemos reiterado en numerosas ocasiones la resolución de controversias relativas a la regulación y aplicación de ayudas o subvenciones que puedan establecerse en las distintas áreas o segmentos de la acción pública requiere partir de la distribución competencial existente en la materia constitucional en la que proceda encuadrar las ayudas o subvenciones de que se trate (entre otras, SSTC 138/2009, de 15 de junio, FJ 3 o 200/2009, de 28 de septiembre, FJ 3; 156/2011, de 29 de junio, FJ 3; y 178/2011, de 8 de noviembre, FJ 4). Coinciden en este caso, ambas partes, en que las ayudas establecidas en la resolución del INAEM —relativas a la modernización de espacios escénicos polivalentes— deben encuadrase en materia de cultura —criterio que hay que confirmar— difiriendo, sin embargo en el alcance que deba darse a las competencias concurrentes sobre la misma.</w:t>
      </w:r>
    </w:p>
    <w:p w:rsidR="00D06117" w:rsidRDefault="00D06117" w:rsidP="00D06117">
      <w:pPr>
        <w:pStyle w:val="TextoNormal"/>
      </w:pPr>
    </w:p>
    <w:p w:rsidR="00D06117" w:rsidRDefault="00D06117" w:rsidP="00D06117">
      <w:pPr>
        <w:pStyle w:val="TextoNormal"/>
      </w:pPr>
      <w:r>
        <w:t xml:space="preserve">En esta materia, conforme al vigente Estatuto de Autonomía, la Comunidad Autónoma de Cataluña ostenta competencia exclusiva respecto de las actividades artísticas y culturales que se llevan a cabo en Cataluña; en concreto, según lo dispuesto en el art. 127.1 a) apartado cuarto del Estatuto de Autonomía de Cataluña (EAC) de 2006, la mencionada competencia exclusiva se proyecta sobre “la promoción, la planificación, la construcción y la gestión de equipamientos culturales situados en Cataluña” así como sobre la actividad de fomento de </w:t>
      </w:r>
      <w:r>
        <w:lastRenderedPageBreak/>
        <w:t>la cultura —conforme a lo dispuesto en el art. 127.1 d) apartados primero y segundo—; en particular, sobre “el fomento y la difusión de la creación y la producción teatrales, musicales, audiovisuales, literarias, de danza, de circo y de artes combinadas llevadas a cabo en Cataluña”; “la promoción y la difusión del patrimonio cultural, artístico y monumental y de los centros de depósito cultural de Cataluña”; y la proyección exterior de su cultura.</w:t>
      </w:r>
    </w:p>
    <w:p w:rsidR="00D06117" w:rsidRDefault="00D06117" w:rsidP="00D06117">
      <w:pPr>
        <w:pStyle w:val="TextoNormal"/>
      </w:pPr>
    </w:p>
    <w:p w:rsidR="00D06117" w:rsidRDefault="00D06117" w:rsidP="00D06117">
      <w:pPr>
        <w:pStyle w:val="TextoNormal"/>
      </w:pPr>
      <w:r>
        <w:t>Sin perjuicio de las competencias autonómicas, el art. 149.1 CE contiene algunos títulos competenciales específicos que reconocen la competencia exclusiva del Estado en relación a la defensa del patrimonio cultural, artístico y monumental contra la exportación y la expoliación así como la regulación de los museos, bibliotecas y archivos de titularidad estatal, sin perjuicio de su gestión por las Comunidades Autónomas, ex art. 149.1.28 CE; la regulación de la propiedad intelectual e industrial, ex art. 149.1.9 CE; o la regulación básica de los medios de comunicación, ex art. 149.1.27 CE. Sin embargo, ninguno de estos títulos competenciales específicos resulta aplicable en este caso puesto que el sistema de ayudas establecido se dirige a la modernización de espacios escénicos así como a la captación de nuevos públicos.</w:t>
      </w:r>
    </w:p>
    <w:p w:rsidR="00D06117" w:rsidRDefault="00D06117" w:rsidP="00D06117">
      <w:pPr>
        <w:pStyle w:val="TextoNormal"/>
      </w:pPr>
    </w:p>
    <w:p w:rsidR="00D06117" w:rsidRDefault="00D06117" w:rsidP="00D06117">
      <w:pPr>
        <w:pStyle w:val="TextoNormal"/>
      </w:pPr>
      <w:r>
        <w:t>La actuación del Estado (y sus organismos vinculados o dependientes) en materia de subvenciones a la cultura tiene su encaje, aparte de los títulos específicos mencionados, en el art. 149.2 CE que establece que “el Estado considerará el servicio de la cultura como deber y atribución esencial y facilitará la comunicación cultural entre Comunidades Autónomas, de acuerdo con ellas”. Existe, pues, una concurrencia no excluyente de competencias estatales y autonómicas en materia de cultura (STC 106/1987, de 25 de junio, FJ 2) pues, como concluimos en la STC 49/1984, de 5 de abril, FJ 6, la lectura del art. 149.2 CE y una reflexión sobre la vida cultural, “lleva a la conclusión de que la cultura es algo de la competencia propia e institucional tanto del Estado como de las Comunidades Autónomas”. En este sentido “más que un reparto competencial vertical, lo que se produce es una concurrencia de competencias ordenada a la preservación y estímulo de los valores culturales propios del cuerpo social desde la instancia pública correspondiente. Que en materia cultural es destacada la acción autonómica es algo inherente a la Comunidad (art. 2 CE).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es algo que está en la línea de la proclamación que se hace en el indicado precepto constitucional”. Doctrina ésta que, en lo esencial, hemos reiterado, entre otras, en las SSTC 17/1991, de 31 de enero, FJ 3 (referida al patrimonio histórico-artístico); 71/1997, de 10 de abril, FJ 3 (relativa al sector del libro) y, recientemente, la STC 31/2010, de 30 de junio, FJ 73 (que examinó la conformidad del art. 127 EAC 2006 con el orden constitucional de distribución de competencias) en la que subrayamos que el mandato al Estado contenido en el art. 149.2 CE se realizará “de acuerdo” con las Comunidades Autónomas, “lo que implica antes una invocación genérica y de principio a la colaboración entre Administraciones que son titulares de competencias concurrentes en un ámbito material compartido, que el sometimiento del ejercicio de las competencias del Estado a la condición del consentimiento de las Comunidades Autónomas”.</w:t>
      </w:r>
    </w:p>
    <w:p w:rsidR="00D06117" w:rsidRDefault="00D06117" w:rsidP="00D06117">
      <w:pPr>
        <w:pStyle w:val="TextoNormal"/>
      </w:pPr>
    </w:p>
    <w:p w:rsidR="00D06117" w:rsidRDefault="00D06117" w:rsidP="00D06117">
      <w:pPr>
        <w:pStyle w:val="TextoNormal"/>
      </w:pPr>
      <w:r>
        <w:t>En definitiva, el Estado por la vía del art. 149.2 CE puede establecer acciones de fomento en materias culturales, bien de manera especialmente intensa en relación con aquellas cues</w:t>
      </w:r>
      <w:r>
        <w:lastRenderedPageBreak/>
        <w:t>tiones que requieran de tratamientos generales o que exijan de una acción pública supraordenada a la de una o varias Comunidades Autónomas; bien, como suele ser más habitual, en ejercicio de un título genérico de intervención, anclado en el deber que la Constitución le impone en el servicio de la cultura.</w:t>
      </w:r>
    </w:p>
    <w:p w:rsidR="00D06117" w:rsidRDefault="00D06117" w:rsidP="00D06117">
      <w:pPr>
        <w:pStyle w:val="TextoNormal"/>
      </w:pPr>
    </w:p>
    <w:p w:rsidR="00D06117" w:rsidRDefault="00D06117" w:rsidP="00D06117">
      <w:pPr>
        <w:pStyle w:val="TextoNormal"/>
      </w:pPr>
      <w:r w:rsidRPr="00D06117">
        <w:rPr>
          <w:rStyle w:val="NumeroAFNegritaCaracter"/>
        </w:rPr>
        <w:t>4</w:t>
      </w:r>
      <w:r>
        <w:t>. Expuesto de esta forma el marco competencial, y al efecto de resolver el conflicto planteado respecto de la resolución del INAEM, conviene recordar que en relación a la facultad de gasto del Estado en materia de subvenciones existe una consolidada jurisprudencia constitucional, cuyas líneas esenciales fijamos en la STC 13/1992, de 6 de febrero (FJ 4), que parte de la premisa de que “ni la subvención es concepto que delimite competencias, ni la facultad de gasto constituye un título competencial autónomo e implícito, ajeno al sistema de distribución de competencias establecido en la Constitución y en los Estatutos de Autonomía. Por el contrario, el ejercicio de competencias estatales, anejo al gasto o a la subvención, sólo se justifica en los casos en que por razón de la materia se hayan reservado al Estado, en la Constitución o en los Estatutos de Autonomía, tales competencias”. Por ello, “la sola decisión de contribuir a la financiación de determinadas actividades no autoriza al Estado para invadir competencias que ratione materiae corresponden a las Comunidades Autónomas, de modo que tal decisión habrá de articularse respetando en todo caso las competencias autonómicas, lo que significa que la legitimidad constitucional del otorgamiento de subvenciones estatales, así como su régimen normativo y de gestión, está condicionada al dato de que el Estado posea competencias para ello en la materia de que se trate” (STC 188/1989, de 16 de noviembre, FJ 3). Esto no significa que el Estado, en virtud de lo que en la STC 13/1992 se calificó como “señorío sobre su presupuesto, esencia misma de su poder financiero”, no pueda destinar sus propios recursos a cualquier fin que considere relevante; sin embargo, el respeto del orden constitucional de distribución de competencias impone que la forma en la que se asignen esos recursos y, en concreto, el modo de atribuir las competencias de gestión deba adaptarse en cada ámbito material al reparto de funciones consagrado en la Constitución y en los Estatutos de Autonomía (STC 109/1996, de 13 de junio, FJ 3; doctrina que hemos recordado, entre otras, en las SSTC 138/2009, de 15 de junio FJ 3; 200/2009, de 28 de septiembre, FJ 3; 159/2011, de 19 de octubre FJ 7; o 178/2011, de 8 de noviembre FJ 5).</w:t>
      </w:r>
    </w:p>
    <w:p w:rsidR="00D06117" w:rsidRDefault="00D06117" w:rsidP="00D06117">
      <w:pPr>
        <w:pStyle w:val="TextoNormal"/>
      </w:pPr>
    </w:p>
    <w:p w:rsidR="00D06117" w:rsidRDefault="00D06117" w:rsidP="00D06117">
      <w:pPr>
        <w:pStyle w:val="TextoNormal"/>
      </w:pPr>
      <w:r>
        <w:t>En la citada STC 13/1992 establecimos un esquema de delimitación competencial entre Estado y Comunidades Autónomas en relación al ejercicio de la potestad subvencionadora. De acuerdo con el mismo, cuando la materia afectada sea de la exclusiva competencia estatal, el Estado podrá regular y gestionar completamente las subvenciones correspondientes; mientras que, por el contrario, cuando las Comunidades Autónomas tengan atribuidas competencias en la materia de que se trate, el reparto competencial habrá de reconducirse a uno de estos cuatro supuestos generales que siguen siendo de referencia obligada en nuestra doctrina: a) aquellos supuestos en los que la Comunidad Autónoma ostenta una competencia en exclusiva sobre una determinada materia y el Estado no invoca título competencial alguno; b) aquellos en los que el Estado ostenta un título competencial genérico de intervención que se superpone a la competencia de las Comunidades Autónomas sobre una materia, aunque ésta se califique de exclusiva; o bien el Estado tiene competencias sobre las bases o la coordinación general de un sector o materia correspondiendo a las Comunidades Autónomas su desarrollo y ejecución; c) aquellos en los que el Estado tiene competencia legislativa sobre una materia y la Comunidad Autónoma la de ejecución y, finalmente, d) aque</w:t>
      </w:r>
      <w:r>
        <w:lastRenderedPageBreak/>
        <w:t>llos supuestos en los que, no obstante tener las Comunidades Autónomas competencias exclusivas sobre la materia en que recaen las subvenciones, éstas pueden ser gestionadas excepcionalmente por la Administración del Estado o un organismo dependiente siempre que se cumplan las condiciones que allí expresamente se mencionan [STC 13/1992, de 6 de febrero, FJ 8 a), b), c) y d)].</w:t>
      </w:r>
    </w:p>
    <w:p w:rsidR="00D06117" w:rsidRDefault="00D06117" w:rsidP="00D06117">
      <w:pPr>
        <w:pStyle w:val="TextoNormal"/>
      </w:pPr>
    </w:p>
    <w:p w:rsidR="00D06117" w:rsidRDefault="00D06117" w:rsidP="00D06117">
      <w:pPr>
        <w:pStyle w:val="TextoNormal"/>
      </w:pPr>
      <w:r w:rsidRPr="00D06117">
        <w:rPr>
          <w:rStyle w:val="NumeroAFNegritaCaracter"/>
        </w:rPr>
        <w:t>5</w:t>
      </w:r>
      <w:r>
        <w:t>. Partiendo de esta doctrina acerca de los criterios que han de guiar el spending power del Estado y señalada la concurrencia de competencias estatales y autonómicas en materia de cultura, debemos dar respuesta a la primera de las alegaciones del Abogado del Estado que parte de la competencia exclusiva del Estado y, por tanto, de la inexistencia de ningún problema de delimitación competencial con la Comunidad Autónoma (STC 13/1992, FJ 7). Con cita de la STC 71/1997, el representante del Gobierno de la Nación señala la doble posibilidad de intervención que el art. 149.2 CE atribuye al Estado en materia de cultura, a la que aludíamos. La primera, más específica e intensa, respondería a la competencia exclusiva que ostenta el Estado respecto de “la preservación del patrimonio cultural común” así como de todo aquello que “precise de tratamientos generales o que no pueda lograrse desde otras instancias (SSTC 49/1984, 157/1985, 107/1987 y 17/1991)” (STC 71/1997, de 10 de abril FJ 3). La segunda, menos intensa y en concurrencia con las Comunidades Autónomas, se refiere a la realización por el Estado de “una actividad genérica de fomento y apoyo a las diversas manifestaciones culturales, aunque en este supuesto, como se dijo en la STC 109/1996 …, deberá limitarse a prever las ayudas que estime pertinentes sin llevar a cabo otras actividades normativas y de gestión superpuestas o duplicadas respecto de las que corresponden a las Comunidades Autónomas con competencias en la materia de cultura” (ibidem).</w:t>
      </w:r>
    </w:p>
    <w:p w:rsidR="00D06117" w:rsidRDefault="00D06117" w:rsidP="00D06117">
      <w:pPr>
        <w:pStyle w:val="TextoNormal"/>
      </w:pPr>
    </w:p>
    <w:p w:rsidR="00D06117" w:rsidRDefault="00D06117" w:rsidP="00D06117">
      <w:pPr>
        <w:pStyle w:val="TextoNormal"/>
      </w:pPr>
      <w:r>
        <w:t>Entiende el Abogado del Estado que la competencia en este caso ejercida se ubica en la primera de las dimensiones del art. 149.2 CE descritas, la más intensa, puesto que la resolución del INAEM por la que se convocan las ayudas dentro del programa “espacios escénicos de nueva generación” tiene por finalidad contribuir a la “cultura general” y facilitar la comunicación entre Comunidades Autónomas, constituyendo el equilibrio interterritorial de la oferta de espacios escénicos perseguido con estas ayudas “una dimensión general del patrimonio cultural común que sólo desde el Estado puede abordarse”.</w:t>
      </w:r>
    </w:p>
    <w:p w:rsidR="00D06117" w:rsidRDefault="00D06117" w:rsidP="00D06117">
      <w:pPr>
        <w:pStyle w:val="TextoNormal"/>
      </w:pPr>
    </w:p>
    <w:p w:rsidR="00D06117" w:rsidRDefault="00D06117" w:rsidP="00D06117">
      <w:pPr>
        <w:pStyle w:val="TextoNormal"/>
      </w:pPr>
      <w:r>
        <w:t xml:space="preserve">Las consideraciones del Abogado del Estado en este punto, sin embargo, no pueden ser compartidas. Aunque nuestra jurisprudencia no contenga una definición del concepto de “patrimonio cultural común”, sí aporta algunos ejemplos que permiten negar este carácter a las ayudas previstas en la resolución del INAEM. Así, en la citada STC 71/1997 (en relación con las ayudas al sector del libro español y, en particular, las ayudas destinadas a la gestión de los sectores de distribución y comercialización del libro con la finalidad de “la mejora de los elementos de gestión e información bibliográfica y empresarial, ampliación y mejora de los equipos informáticos ya existentes y la mejora de los elementos de comercialización”) consideramos que el sistema de ayudas establecido, con “la finalidad explícita de difundir la cultura de los distintos pueblos de España” a través de la contribución “al desarrollo y modernización del sector del libro en su conjunto” (FJ 2), no podía considerarse como una actividad de fomento “que pretenda preservar el ‘patrimonio cultural común’, ni puede afirmarse que tan sólo la actuación unitaria del Estado garantiza la consecución de sus objetivos” (FJ 3). A esa apreciación llegamos aun constatando que la regulación cuestionada tenía en cuenta como parámetros de concesión de las ayudas criterios no económicos como el </w:t>
      </w:r>
      <w:r>
        <w:lastRenderedPageBreak/>
        <w:t>número de títulos en catálogo, el fondo editorial o la duración e intensidad de las actividades dedicadas al sector. Pues bien, esta conclusión resulta fácilmente trasladable al caso que ahora nos ocupa, pues también en éste se pretende una modernización o mejora del sector que se vincula directamente a unos determinados objetivos de programación —que responden, por tanto, no sólo a criterios económicos sino de contenido de programación, de comunicación entre Comunidades Autónomas y de difusión de autores españoles vivos (pues a ello se refiere el contrato-programa que debe firmar el beneficiario de las ayudas con el INAEM)— que, sin embargo, no resultan encuadrables en ese objetivo de “preservación del patrimonio cultural común” ni precisan, necesariamente, de un tratamiento unitario.</w:t>
      </w:r>
    </w:p>
    <w:p w:rsidR="00D06117" w:rsidRDefault="00D06117" w:rsidP="00D06117">
      <w:pPr>
        <w:pStyle w:val="TextoNormal"/>
      </w:pPr>
    </w:p>
    <w:p w:rsidR="00D06117" w:rsidRDefault="00D06117" w:rsidP="00D06117">
      <w:pPr>
        <w:pStyle w:val="TextoNormal"/>
      </w:pPr>
      <w:r>
        <w:t>Llegados a este punto resulta conveniente señalar, como contraste, que hemos considerado que sí requería de ese tratamiento unitario el establecimiento de los criterios para determinar cuáles sean los bienes integrados en el patrimonio histórico artístico, pues en ese amplio designio “se comprende, en primer lugar, lo relativo a ‘los tratamientos generales’ a los que se refiere la citada STC 49/1984 y entre ellos, específicamente, aquellos principios institucionales que reclaman una definición unitaria, puesto que se trata del Patrimonio Histórico Español en general (preámbulo y art. 1.1)” (STC 17/1991, de 31 de enero, FJ 3); o la declaración —en relación a la llamada cuota de pantalla— de las películas españolas de “especial interés” cuando dicha declaración se hace con efectos en todo el territorio nacional, como medida de protección del mercado cinematográfico español, sin perjuicio de las competencias autonómicas para declarar tal “especial interés” respecto de las películas exhibidas en su propio territorio (SSTC 157/1985, de 15 de noviembre y 106/1987, de 25 de junio, FJ 2). Y en la STC 109/1996, de 13 de junio, FJ 3, distinguíamos entre aquellos “museos y en general los bienes y establecimientos culturales que requieren una actuación unificada”, determinados por el Estado y sobre los que ostenta una amplia capacidad de decisión, y los que “han quedado bajo la titularidad exclusiva de las Comunidades Autónomas” sobre los que el Estado “no puede retener exactamente las mismas facultades”.</w:t>
      </w:r>
    </w:p>
    <w:p w:rsidR="00D06117" w:rsidRDefault="00D06117" w:rsidP="00D06117">
      <w:pPr>
        <w:pStyle w:val="TextoNormal"/>
      </w:pPr>
    </w:p>
    <w:p w:rsidR="00D06117" w:rsidRDefault="00D06117" w:rsidP="00D06117">
      <w:pPr>
        <w:pStyle w:val="TextoNormal"/>
      </w:pPr>
      <w:r w:rsidRPr="00D06117">
        <w:rPr>
          <w:rStyle w:val="NumeroAFNegritaCaracter"/>
        </w:rPr>
        <w:t>6</w:t>
      </w:r>
      <w:r>
        <w:t>. Descartado, pues, que la convocatoria cuestionada establezca medidas que, al amparo del art. 149.2 CE, persigan la preservación del “patrimonio cultural común” o que nos encontremos ante una regulación que precise de “tratamientos generales o que no puedan lograrse desde otras instancias” (STC 71/1997, de 10 de abril, FJ 3, citando las SSTC 49/1984, de 5 de abril; 157/1985, de 15 de noviembre; 107/1989, de 8 de junio; y 17/1991, de 31 de enero) podemos afirmar que el fundamento competencial del Estado en este caso se encuentra en el art. 149.2 CE en tanto en cuanto establece un título genérico de intervención en materia de cultura; “actividad genérica de fomento y apoyo a las diversas manifestaciones culturales” (STC 109/1996, de 13 de junio, FJ 4) que se superpone a la competencia exclusiva de la Comunidad Autónoma de Cataluña teniendo en cuenta que esa competencia estatal “no puede convertirse en un título universal desde el que puedan realizarse indistintamente todas y las mismas funciones que pueden realizarse desde otras competencias específicas” (STC 109/1996, de 13 de junio, FJ 4).</w:t>
      </w:r>
    </w:p>
    <w:p w:rsidR="00D06117" w:rsidRDefault="00D06117" w:rsidP="00D06117">
      <w:pPr>
        <w:pStyle w:val="TextoNormal"/>
      </w:pPr>
    </w:p>
    <w:p w:rsidR="00D06117" w:rsidRDefault="00D06117" w:rsidP="00D06117">
      <w:pPr>
        <w:pStyle w:val="TextoNormal"/>
      </w:pPr>
      <w:r>
        <w:t xml:space="preserve">La solución del conflicto competencial suscitado ha de partir, pues, de lo previsto en el segundo de los supuestos contemplados en la meritada STC 13/1992, FJ 8 b), según el cual el Estado, en estos casos, “puede consignar subvenciones de fomento en sus presupuestos generales, especificando su destino y regulando sus condiciones esenciales de otorgamiento hasta donde lo permita su competencia genérica, básica o de coordinación, pero siempre que </w:t>
      </w:r>
      <w:r>
        <w:lastRenderedPageBreak/>
        <w:t>deje un margen a las Comunidades Autónomas para concretar con mayor detalle la afectación o destino; o, al menos, para desarrollar y complementar la regulación de las condiciones de otorgamiento de las ayudas y su tramitación”, correspondiendo además a las Comunidades Autónomas la gestión de dichos fondos. “Se trata de partidas”, dijimos,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En la misma línea nos pronunciamos en las SSTC 109/1996, de 13 de junio, FJ 4 y 71/1997, de 10 de abril, FJ 3; así como recientemente en las SSTC 200/2009, de 28 de septiembre, FJ 3 y 159/2011, de 19 de octubre, FJ 7.</w:t>
      </w:r>
    </w:p>
    <w:p w:rsidR="00D06117" w:rsidRDefault="00D06117" w:rsidP="00D06117">
      <w:pPr>
        <w:pStyle w:val="TextoNormal"/>
      </w:pPr>
    </w:p>
    <w:p w:rsidR="00D06117" w:rsidRDefault="00D06117" w:rsidP="00D06117">
      <w:pPr>
        <w:pStyle w:val="TextoNormal"/>
      </w:pPr>
      <w:r>
        <w:t>Ciertamente, según esa misma doctrina se permite la excepcional gestión centralizada de las subvenciones por un órgano de la Administración del Estado u organismo de ésta dependiente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[SSTC 13/1992, de 6 de febrero, FJ 8.d); 79/1992, de 28 de mayo, FJ 2; 330/1993, de 12 de noviembre, FJ 3; 109/1996, de 13 de junio, FJ 5; 71/1997, de 10 de abril, FJ ; 200/2009, de 28 de septiembre, FJ 3; y 159/2011, de 19 de octubre, FJ 7].</w:t>
      </w:r>
    </w:p>
    <w:p w:rsidR="00D06117" w:rsidRDefault="00D06117" w:rsidP="00D06117">
      <w:pPr>
        <w:pStyle w:val="TextoNormal"/>
      </w:pPr>
    </w:p>
    <w:p w:rsidR="00D06117" w:rsidRDefault="00D06117" w:rsidP="00D06117">
      <w:pPr>
        <w:pStyle w:val="TextoNormal"/>
      </w:pPr>
      <w:r>
        <w:t>Tal sería la situación, según la tesis sustentada subsidiariamente por el Abogado del Estado, en el caso que nos ocupa. Así, lo que se discute en este punto es la concurrencia, o no, de razones que justifiquen el recurso a la excepcional gestión centralizada de las ayudas, de acuerdo con lo establecido en el fundamento jurídico 8 d) de la STC 13/1992, a través de un sistema que reserva al INAEM y a la Dirección General de Cultura la total tramitación del procedimiento y gestión de las subvenciones.</w:t>
      </w:r>
    </w:p>
    <w:p w:rsidR="00D06117" w:rsidRDefault="00D06117" w:rsidP="00D06117">
      <w:pPr>
        <w:pStyle w:val="TextoNormal"/>
      </w:pPr>
    </w:p>
    <w:p w:rsidR="00D06117" w:rsidRDefault="00D06117" w:rsidP="00D06117">
      <w:pPr>
        <w:pStyle w:val="TextoNormal"/>
      </w:pPr>
      <w:r w:rsidRPr="00D06117">
        <w:rPr>
          <w:rStyle w:val="NumeroAFNegritaCaracter"/>
        </w:rPr>
        <w:t>7</w:t>
      </w:r>
      <w:r>
        <w:t>. Centrado el debate en estos términos conviene analizar tanto las razones expresadas en la resolución como las aducidas a favor de la gestión centralizada de las ayudas en cuestión por el Abogado del Estado. Pues bien, debe ponerse de manifiesto, en primer lugar, que la resolución controvertida no contiene mención expresa alguna sobre esta cuestión, por lo que la ausencia de esta justificación sobre la centralización de la gestión administrativa de las ayudas que como regla general ha de corresponder a las Comunidades Autónomas, exigencia que ha de considerarse no sólo formal sino material, [STC 13/1992, FJ 8 d) y 242/1999, de 21 de diciembre, FJ 11] podría llevar ya a desechar tal hipótesis. No obstante, la alusión que se contiene en el preámbulo de la resolución a la persecución de finalidades de proyección general, así como a la creación paulatina de una red de dotaciones que equilibre la actividad del sector a nivel autonómico, provincial y local puede considerarse como una justificación tácita a estos efectos.</w:t>
      </w:r>
    </w:p>
    <w:p w:rsidR="00D06117" w:rsidRDefault="00D06117" w:rsidP="00D06117">
      <w:pPr>
        <w:pStyle w:val="TextoNormal"/>
      </w:pPr>
    </w:p>
    <w:p w:rsidR="00D06117" w:rsidRDefault="00D06117" w:rsidP="00D06117">
      <w:pPr>
        <w:pStyle w:val="TextoNormal"/>
      </w:pPr>
      <w:r>
        <w:t xml:space="preserve">Sin embargo, ni ésta ni las razones aducidas por el Abogado del Estado sobre la necesidad de centralización de las ayudas resultan convincentes, pues no aportan ninguna justificación sobre el carácter imprescindible de la intervención estatal en la tramitación y gestión de las </w:t>
      </w:r>
      <w:r>
        <w:lastRenderedPageBreak/>
        <w:t>ayudas que vaya más allá de la referencia a los objetivos que la resolución persigue (preámbulo y apartado primero de la resolución). En efecto, no acierta a discernirse por qué la consecución de dichos objetivos requiere de un tratamiento centralizado y no puede ser alcanzada a través del sistema constitucional de distribución de competencias, tomando como punto de partida los principios de cooperación y colaboración y teniendo en cuenta que las condiciones esenciales de estas ayudas se contemplan de forma unitaria en la resolución.</w:t>
      </w:r>
    </w:p>
    <w:p w:rsidR="00D06117" w:rsidRDefault="00D06117" w:rsidP="00D06117">
      <w:pPr>
        <w:pStyle w:val="TextoNormal"/>
      </w:pPr>
    </w:p>
    <w:p w:rsidR="00D06117" w:rsidRDefault="00D06117" w:rsidP="00D06117">
      <w:pPr>
        <w:pStyle w:val="TextoNormal"/>
      </w:pPr>
      <w:r>
        <w:t>La visión global de la cultura de España “que sólo el Estado puede asumir” en orden a garantizar el equilibrio territorial de la oferta de espacios escénicos, a la que alude al Abogado del Estado, no constituye, en definitiva, argumento suficiente para afirmar la imposibilidad de territorializar estas ayudas y la consecuente necesidad de su centralización para garantizar la plena efectividad y la igualdad de posibilidades de obtención por parte de los potenciales destinatarios. En esta línea, en relación a las ayudas a los sectores distribución y comercialización del libro, apuntamos en la STC 71/1997, de 10 de abril, que “la mayor difusión posible de los datos bibliográficos cuya gestión realiza el Ministerio de Cultura y el cumplimiento de la finalidad propia de la Agencia Española del ISBN, en definitiva, la difusión de la oferta cultural editada y su mejor conocimiento por el ciudadano, no exigen que la gestión de las ayudas articuladas al efecto deban centralizarse en la Administración del Estado sin intervención alguna de la Administración autonómica, salvo la de mero receptor de las solicitudes y de la documentación aneja” (FJ 5).</w:t>
      </w:r>
    </w:p>
    <w:p w:rsidR="00D06117" w:rsidRDefault="00D06117" w:rsidP="00D06117">
      <w:pPr>
        <w:pStyle w:val="TextoNormal"/>
      </w:pPr>
    </w:p>
    <w:p w:rsidR="00D06117" w:rsidRDefault="00D06117" w:rsidP="00D06117">
      <w:pPr>
        <w:pStyle w:val="TextoNormal"/>
      </w:pPr>
      <w:r>
        <w:t>Conviene recordar, en este punto, que la incidencia supraautonómica de las ayudas no constituye en sí misma un criterio que justifique la centralización de su tramitación y gestión. Y no sólo porque la supraterritorialidad no es un título competencial (STC 178/2011, de 8 de noviembre, FJ 5), sino porque existen otros modelos distintos al de la actuación directa del Estado para diseñar una política de ayudas que, aun partiendo de elementos territoriales concretos, proyecte sus efectos a la generalidad del territorio. La adopción de una solución basada en la decisión unitaria, con la consiguiente exclusión de la competencia autonómica, por el mero hecho de que los efectos del sistema de ayudas previsto puedan tener efectos supraautonómicos no es compatible con la Constitución (SSTC 329/1993, de 12 de noviembre, FJ 4; 126/2002, de 20 de mayo, FJ 9; y 38/2012, de 26 de marzo, FJ 5). Aceptar tal premisa significaría obviar nuestra doctrina según la cual “la limitación de la eficacia territorial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FJ 1)” (STC 126/2002, de 20 de mayo, FJ 9).</w:t>
      </w:r>
    </w:p>
    <w:p w:rsidR="00D06117" w:rsidRDefault="00D06117" w:rsidP="00D06117">
      <w:pPr>
        <w:pStyle w:val="TextoNormal"/>
      </w:pPr>
    </w:p>
    <w:p w:rsidR="00D06117" w:rsidRDefault="00D06117" w:rsidP="00D06117">
      <w:pPr>
        <w:pStyle w:val="TextoNormal"/>
      </w:pPr>
      <w:r>
        <w:t xml:space="preserve">A lo anterior debe añadirse que, en este caso, y si bien la finalidad última de la convocatoria de ayudas es transversal o global en el sentido de que se persigue el reequilibrio territorial en el sector de las artes escénicas, ni las ayudas van dirigidas a entidades cuyo ámbito de actuación sea supraautonómico, ni la actividad propiamente subvencionada —construcción de equipamientos escénicos o mejora de los ya existentes— excede del concreto ámbito territorial de la Comunidad Autónoma en la que se ubiquen las dotaciones beneficiarias. Así, los criterios para la valoración de las candidaturas presentadas se refieren a aspectos </w:t>
      </w:r>
      <w:r>
        <w:lastRenderedPageBreak/>
        <w:t>con una evidente dimensión intraautonómica —tales como el municipio en que se ubique la dotación, su magnitud, o cuestiones relativas al propio funcionamiento de la entidad (años de funcionamiento, tipo de programación, número de funciones por temporada, etc.)— y suponen una reducción de la eventual discrecionalidad que difícilmente justifica la exclusión de la participación de las Comunidades Autónomas en la gestión de estas ayudas (en este sentido, STC 242/1999, de 20 diciembre, FJ 12).</w:t>
      </w:r>
    </w:p>
    <w:p w:rsidR="00D06117" w:rsidRDefault="00D06117" w:rsidP="00D06117">
      <w:pPr>
        <w:pStyle w:val="TextoNormal"/>
      </w:pPr>
    </w:p>
    <w:p w:rsidR="00D06117" w:rsidRDefault="00D06117" w:rsidP="00D06117">
      <w:pPr>
        <w:pStyle w:val="TextoNormal"/>
      </w:pPr>
      <w:r>
        <w:t>A esta conclusión sobre la innecesariedad de centralizar la gestión de las ayudas no obsta la previsión, en la misma convocatoria del INAEM, de unas ayudas “para programación, gestión y actividades adicionales de los espacios objeto de construcción y reforma” que se establecen con carácter complementario a las ayudas de construcción o reforma de espacios escénicos. Ello es así porque estas ayudas complementarias no sólo no constituyen el objeto de la convocatoria controvertida, sino que habrán de determinarse con posterioridad a la resolución de la misma y a la firma del subsiguiente contrato-programa con el INAEM que el apartado décimo de la resolución establece como obligación de todos los beneficiarios de las ayudas a espacios escénicos. Se trata, por tanto, de unas ayudas que podrían haberse establecido con carácter autónomo y cuya previsión —sin regulación— en la convocatoria del INAEM impugnada en nada ha de incidir en la resolución de este conflicto competencial.</w:t>
      </w:r>
    </w:p>
    <w:p w:rsidR="00D06117" w:rsidRDefault="00D06117" w:rsidP="00D06117">
      <w:pPr>
        <w:pStyle w:val="TextoNormal"/>
      </w:pPr>
    </w:p>
    <w:p w:rsidR="00D06117" w:rsidRDefault="00D06117" w:rsidP="00D06117">
      <w:pPr>
        <w:pStyle w:val="TextoNormal"/>
      </w:pPr>
      <w:r>
        <w:t>Tampoco puede considerarse suficiente, a efectos de justificar la centralización de la gestión de las ayudas, el argumento relativo a la imposibilidad de identificar a los potenciales beneficiarios de las ayudas y de garantizar la igualdad entre ellos por resultar imposible conocer de antemano en qué Comunidades Autónomas se presentarán solicitudes y en qué número. Ya hemos señalado en diferentes ocasiones y en relación a diversas materias que el hecho de que la adjudicación final de las ayudas requiera de la valoración de “todos los [proyectos] que se presenten en el conjunto del territorio nacional” no puede admitirse como una de las circunstancias que justifican la excepcional tramitación centralizada (STC 38/2012, de 26 de marzo, FJ 6, citando la STC 200/2009, de 28 de septiembre, FJ 4).</w:t>
      </w:r>
    </w:p>
    <w:p w:rsidR="00D06117" w:rsidRDefault="00D06117" w:rsidP="00D06117">
      <w:pPr>
        <w:pStyle w:val="TextoNormal"/>
      </w:pPr>
    </w:p>
    <w:p w:rsidR="00D06117" w:rsidRDefault="00D06117" w:rsidP="00D06117">
      <w:pPr>
        <w:pStyle w:val="TextoNormal"/>
      </w:pPr>
      <w:r>
        <w:t xml:space="preserve">En esta línea también hemos rechazado que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puesto que “las posibles dificultades previas pueden salvarse mediante diversas técnicas. En primer lugar, mediante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También dijimos que el argumento del agotamiento de los fondos no resulta determinante, puesto que pueden arbitrarse sistemas de cooperación que posibiliten el desplazamiento de los fondos (STC 186/1999, FJ 10)” (STC 188/2001, de 20 de septiembre, FJ 11). Así, en la citada STC 188/2001 señalamos, en relación a la pretendida necesidad de una lista única de solicitantes de becas para todo el territorio nacional —lista única que el Abogado del Estado consideraba necesaria como garantía </w:t>
      </w:r>
      <w:r>
        <w:lastRenderedPageBreak/>
        <w:t>del principio de igualdad— que ésta podía ser obviada “dejando sin distribuir entre las Comunidades Autónomas un porcentaje de los fondos, de modo que, mediante los oportunos instrumentos de colaboración y, específicamente, a través de mecanismos de coordinación (por todas, STC 32/1983, de 28 de abril, FJ 2), dichos fondos se canalicen hacia los becarios con mejor derecho con independencia de su localización territorial, o utilizando cualquier otra técnica que no implique la centralización del procedimiento de otorgamiento del sistema de becas, impidiendo la gestión autonómica de la normativa estatal básica”.</w:t>
      </w:r>
    </w:p>
    <w:p w:rsidR="00D06117" w:rsidRDefault="00D06117" w:rsidP="00D06117">
      <w:pPr>
        <w:pStyle w:val="TextoNormal"/>
      </w:pPr>
    </w:p>
    <w:p w:rsidR="00D06117" w:rsidRDefault="00D06117" w:rsidP="00D06117">
      <w:pPr>
        <w:pStyle w:val="TextoNormal"/>
      </w:pPr>
      <w:r>
        <w:t>En efecto, existen fórmulas de cooperación o colaboración que permiten la territorialización de ayudas como las previstas en la resolución cuestionada y aunque no nos corresponda fijar cuáles son los medios idóneos que deban utilizarse, nuestra doctrina ha enumerado, ciertamente, algunos de ellos: como los convenios de colaboración (STC 200/2009, de 28 de septiembre, FJ 4); la “fijación de medios y sistemas de relación que hagan posible la información recíproca”, el establecimiento de criterios para garantizar una homogeneidad técnica o “la acción conjunta de autoridades estatales y autonómicas” (STC 148/2000, de 1 de junio, FJ 3) a través de los cuales sea posible valorar qué proyectos se ajustan más al objetivo de requilibrar la oferta de espacios escénicos.</w:t>
      </w:r>
    </w:p>
    <w:p w:rsidR="00D06117" w:rsidRDefault="00D06117" w:rsidP="00D06117">
      <w:pPr>
        <w:pStyle w:val="TextoNormal"/>
      </w:pPr>
    </w:p>
    <w:p w:rsidR="00D06117" w:rsidRDefault="00D06117" w:rsidP="00D06117">
      <w:pPr>
        <w:pStyle w:val="TextoNormal"/>
      </w:pPr>
      <w:r>
        <w:t>Y es que, en definitiva, “‘la garantía de la eficacia de la normativa estatal ha de cohonestarse con el respeto al principio de autonomía, de modo que … las dificultades que pudieran existir ...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(SSTC 106/1987, FJ 4; y 186/1999, de 14 de octubre, FJ 10)’ (STC 188/2001, de 20 de septiembre, FJ 11)”, (STC 159/2011, de 19 de octubre, FJ 7).</w:t>
      </w:r>
    </w:p>
    <w:p w:rsidR="00D06117" w:rsidRDefault="00D06117" w:rsidP="00D06117">
      <w:pPr>
        <w:pStyle w:val="TextoNormal"/>
      </w:pPr>
    </w:p>
    <w:p w:rsidR="00D06117" w:rsidRDefault="00D06117" w:rsidP="00D06117">
      <w:pPr>
        <w:pStyle w:val="TextoNormal"/>
      </w:pPr>
      <w:r>
        <w:t>En este caso, el Estado —a través de un organismo de él dependiente— no ha tenido en cuenta otras posibilidades como las apuntadas que, sin perjuicio del objetivo global de mejora y requilibrio de espacios y equipamientos escénicos en todos los niveles territoriales, hubiesen permitido una gestión descentralizada de estas ayudas; sobre todo teniendo en cuenta que la definición del objeto de las ayudas, de los posibles beneficiarios, de los criterios de otorgamiento y el establecimiento de una vinculación de los beneficiarios a un contrato programa que implica la reserva de un porcentaje de programación a determinado tipo de espectáculos —coadyuvando, así, en un segundo plano, a la difusión de espectáculos propios y de otras Comunidades Autónomas o países iberoamericanos—, se incardinan en las competencias normativas en relación a esta concreta actividad de fomento que el Estado puede asumir sin vulnerar las competencias autonómicas —como seguidamente veremos— garantizando, a la vez, el régimen homogéneo perseguido.</w:t>
      </w:r>
    </w:p>
    <w:p w:rsidR="00D06117" w:rsidRDefault="00D06117" w:rsidP="00D06117">
      <w:pPr>
        <w:pStyle w:val="TextoNormal"/>
      </w:pPr>
    </w:p>
    <w:p w:rsidR="00D06117" w:rsidRDefault="00D06117" w:rsidP="00D06117">
      <w:pPr>
        <w:pStyle w:val="TextoNormal"/>
      </w:pPr>
      <w:r w:rsidRPr="00D06117">
        <w:rPr>
          <w:rStyle w:val="NumeroAFNegritaCaracter"/>
        </w:rPr>
        <w:t>8</w:t>
      </w:r>
      <w:r>
        <w:t>. Rechazada, pues, la concurrencia de esas circunstancias excepcionales que, según nuestra doctrina, justificarían la centralización de la gestión de estas ayudas, debemos ahora analizar la resolución impugnada a los efectos de determinar qué apartados de la misma suponen el reflejo de la competencia estatal en virtud de un título genérico de intervención y cuáles, por suponer una extralimitación del ejercicio de dicha competencia, invaden la competencia de la Comunidad Autónoma en materia de cultura, teniendo en cuenta que las alegaciones de la Generalitat han identificado como especialmente problemáticos los apartados quinto, séptimo, octavo y noveno de la resolución.</w:t>
      </w:r>
    </w:p>
    <w:p w:rsidR="00D06117" w:rsidRDefault="00D06117" w:rsidP="00D06117">
      <w:pPr>
        <w:pStyle w:val="TextoNormal"/>
      </w:pPr>
    </w:p>
    <w:p w:rsidR="00D06117" w:rsidRDefault="00D06117" w:rsidP="00D06117">
      <w:pPr>
        <w:pStyle w:val="TextoNormal"/>
      </w:pPr>
      <w:r>
        <w:t>Dado que nos encontramos en el segundo de los supuestos previstos en el fundamento jurídico 8 de la STC 13/1992 conviene partir del principio de que los aspectos centrales o esenciales del régimen subvencional —entre los que se encuentran el objeto y finalidad de las ayudas, su modalidad técnica y los requisitos esenciales de acceso— pueden ser regulados por el Estado en ejercicio de su competencia ex art. 149.2 CE. Teniendo en cuenta esta premisa, abordamos a continuación los apartados de la resolución del INAEM que resultan conformes al orden constitucional de distribución de competencias en esta materia:</w:t>
      </w:r>
    </w:p>
    <w:p w:rsidR="00D06117" w:rsidRDefault="00D06117" w:rsidP="00D06117">
      <w:pPr>
        <w:pStyle w:val="TextoNormal"/>
      </w:pPr>
    </w:p>
    <w:p w:rsidR="00D06117" w:rsidRDefault="00D06117" w:rsidP="00D06117">
      <w:pPr>
        <w:pStyle w:val="TextoNormal"/>
      </w:pPr>
      <w:r>
        <w:t>a) No resulta inconstitucional, en este sentido, el apartado primero de la resolución por el que se establece la finalidad, el objeto y el ámbito de aplicación de las ayudas previstas (incluida la posibilidad de otorgar ayudas complementarias relacionadas con ciertos compromisos de programación). En ese apartado primero se establece también la compatibilidad de la ayuda que, en su caso, se otorgue con otras que pudiera otorgar el INAEM u otras entidades públicas y privadas para la misma o distinta actividad del solicitante. Esta declaración de compatibilidad “no es sino una consecuencia del origen estatal de los fondos” cuya efectividad remite “a lo que disponga la normativa autonómica, por lo que cada Comunidad Autónoma queda en libertad para decidir si las subvenciones, ayudas o beneficios fiscales que establezca deben ser o no compatibles” con estas ayudas (STC 36/2012, de 15 de marzo, FJ 11, con cita de la STC 129/2010, de 29 de noviembre, FJ 7). En definitiva, esta previsión no vulnera las competencias autonómicas y, en estrecha relación con ella, tampoco lo hace la regulación sobre concurrencia de ayudas contenida en el apartado decimotercero al establecer que, en ningún caso, el importe de las ayudas previstas en la convocatoria, en concurrencia con otras, supere el coste de la actividad a desarrollar por el beneficiario.</w:t>
      </w:r>
    </w:p>
    <w:p w:rsidR="00D06117" w:rsidRDefault="00D06117" w:rsidP="00D06117">
      <w:pPr>
        <w:pStyle w:val="TextoNormal"/>
      </w:pPr>
    </w:p>
    <w:p w:rsidR="00D06117" w:rsidRDefault="00D06117" w:rsidP="00D06117">
      <w:pPr>
        <w:pStyle w:val="TextoNormal"/>
      </w:pPr>
      <w:r>
        <w:t>b) Tampoco se aprecia invasión competencial alguna en los apartados segundo y tercero de la resolución relativos a la concreción de los posibles beneficiarios de las ayudas y a los requisitos que deben cumplir para poder participar en la convocatoria; condiciones de otorgamiento de las ayudas que constituyen elementos esenciales del régimen subvencional y que, por tanto, puede establecer el Estado en ejercicio de su competencia. Por la misma razón cabe considerar conforme al orden de distribución de competencias la concreta previsión —en el apartado quinto, subapartado b)— de la aportación, junto a la solicitud, de la documentación complementaria que acredite el cumplimiento de esos “aspectos nucleares que han de satisfacerse para poder acceder a la correspondiente subvención” [STC 159/2011, de 19 de octubre, FJ 8 d)], que, en atención a la materia (proyecto de desarrollo local y urbano) considera que el precepto relativo a la documentación complementaria tiene carácter básico.</w:t>
      </w:r>
    </w:p>
    <w:p w:rsidR="00D06117" w:rsidRDefault="00D06117" w:rsidP="00D06117">
      <w:pPr>
        <w:pStyle w:val="TextoNormal"/>
      </w:pPr>
    </w:p>
    <w:p w:rsidR="00D06117" w:rsidRDefault="00D06117" w:rsidP="00D06117">
      <w:pPr>
        <w:pStyle w:val="TextoNormal"/>
      </w:pPr>
      <w:r>
        <w:t>Se trata, en concreto, de la acreditación de extremos tales como el ejercicio de la actividad profesional en el campo de las artes escénicas y musicales; de la aportación del proyecto técnico de las obras y equipamientos a realizar; de la acreditación de la solicitud de tres presupuestos a empresas de ejecución de obra o consultoría cuando los gastos subvencionables superen cierta cantidad —conforme a lo dispuesto apartado duodécimo, subapartado 6 con remisión al art. 31 de la Ley general de subvenciones que tiene carácter básico—; o de la acreditación de la capacidad de disposición sobre el espacio escénico —a título de propiedad o de arrendamiento, por ejemplo—. Todos ellos son aspectos que se relacionan in</w:t>
      </w:r>
      <w:r>
        <w:lastRenderedPageBreak/>
        <w:t>trínsecamente con los requisitos que han de cumplir los solicitantes para poder ser seleccionados y valorados en esta concreta convocatoria, por lo que han de considerarse incluidos en la competencia normativa que corresponde al Estado.</w:t>
      </w:r>
    </w:p>
    <w:p w:rsidR="00D06117" w:rsidRDefault="00D06117" w:rsidP="00D06117">
      <w:pPr>
        <w:pStyle w:val="TextoNormal"/>
      </w:pPr>
    </w:p>
    <w:p w:rsidR="00D06117" w:rsidRDefault="00D06117" w:rsidP="00D06117">
      <w:pPr>
        <w:pStyle w:val="TextoNormal"/>
      </w:pPr>
      <w:r>
        <w:t>c) En la línea apuntada también deben considerarse compatibles con la distribución competencial los criterios objetivos que deben cumplir los potenciales beneficiarios de las ayudas; criterios que, tal como se recoge en el apartado octavo de la resolución, se establecen en su anexo II con su consiguiente puntuación. Los criterios establecidos se relacionan directamente con el objeto y la finalidad de las ayudas que, como hemos visto, persiguen un objetivo global de reequilibrio de la oferta de espacios escénicos y nuevos públicos y cuyo establecimiento a nivel general, o unitario, no vulnera las competencias autonómicas (en esta línea, STC 71/1997, de 10 de abril, FJ 4). A esa función de homogeneización de criterios también sirve, y por ello debe considerarse constitucional, el establecimiento de tres grupos de clasificación de proyectos —grupo A (más de 42 puntos); grupo B (de 27 a 42 puntos) y grupo C (de 7 a 26 puntos)— según se especifica en este mismo apartado octavo, a cada uno de los cuales se atribuye una dotación presupuestaria determinada en el apartado cuarto.</w:t>
      </w:r>
    </w:p>
    <w:p w:rsidR="00D06117" w:rsidRDefault="00D06117" w:rsidP="00D06117">
      <w:pPr>
        <w:pStyle w:val="TextoNormal"/>
      </w:pPr>
    </w:p>
    <w:p w:rsidR="00D06117" w:rsidRDefault="00D06117" w:rsidP="00D06117">
      <w:pPr>
        <w:pStyle w:val="TextoNormal"/>
      </w:pPr>
      <w:r>
        <w:t>Como hemos señalado en reiteradas ocasiones, la cuantía de las ayudas ha de considerarse un elemento esencial de la regulación subvencional establecida, y también por ello la imputación a los consiguientes créditos, teniendo en cuenta que esa consignación en los presupuestos generales del Estado habría de territorializarse con posterioridad, a través del instrumento oportuno. La distribución del total del montante consignado presupuestariamente para destinarse a estas ayudas en tres grupos diferentes (en función de la puntuación obtenida) también puede considerase como un elemento esencial de la regulación abordable por el Estado en la medida en que se asegura, así, una distribución de recursos estatales de formas más equitativa por cuanto no se excluye de forma automática a los solicitantes que no lleguen a cierta puntuación, sino que se contempla todo el abanico de puntuaciones posibles.</w:t>
      </w:r>
    </w:p>
    <w:p w:rsidR="00D06117" w:rsidRDefault="00D06117" w:rsidP="00D06117">
      <w:pPr>
        <w:pStyle w:val="TextoNormal"/>
      </w:pPr>
    </w:p>
    <w:p w:rsidR="00D06117" w:rsidRDefault="00D06117" w:rsidP="00D06117">
      <w:pPr>
        <w:pStyle w:val="TextoNormal"/>
      </w:pPr>
      <w:r>
        <w:t>d) La fijación de un plazo máximo común en todo el territorio nacional (como el establecido en el apartado sexto de la resolución) puede ser “concebido como un criterio coordinador [que] no menoscaba competencia autonómica alguna porque puede resultar adecuado, en ocasiones, que el Estado establezca condiciones que garanticen la homogeneidad de la gestión”, tal como ocurre en este caso [STC 159/2011, de 19 de octubre, FJ 8 d), citando la STC 186/1999, de 14 de octubre, FJ 11 b) que, a su vez, recoge la cita de la STC 104/1988, de 8 de junio].</w:t>
      </w:r>
    </w:p>
    <w:p w:rsidR="00D06117" w:rsidRDefault="00D06117" w:rsidP="00D06117">
      <w:pPr>
        <w:pStyle w:val="TextoNormal"/>
      </w:pPr>
    </w:p>
    <w:p w:rsidR="00D06117" w:rsidRDefault="00D06117" w:rsidP="00D06117">
      <w:pPr>
        <w:pStyle w:val="TextoNormal"/>
      </w:pPr>
      <w:r>
        <w:t>e) El apartado décimo de la resolución prevé la firma de un contrato-programa entre el beneficiario de la ayuda y el INAEM a efectos de establecer un compromiso o reserva de programación destinada a espectáculos de otras Comunidades Autónomas o de países iberoamericanos, que se vincula directamente a la comunicación y difusión de la cultura española, y por tanto a los objetivos del INAEM —tal como ambas partes reconocen en sus alegaciones y hemos consignado en los antecedentes de esta Sentencia— que debe considerarse conforme al orden constitucional de distribución de competencias.</w:t>
      </w:r>
    </w:p>
    <w:p w:rsidR="00D06117" w:rsidRDefault="00D06117" w:rsidP="00D06117">
      <w:pPr>
        <w:pStyle w:val="TextoNormal"/>
      </w:pPr>
    </w:p>
    <w:p w:rsidR="00D06117" w:rsidRDefault="00D06117" w:rsidP="00D06117">
      <w:pPr>
        <w:pStyle w:val="TextoNormal"/>
      </w:pPr>
      <w:r>
        <w:t xml:space="preserve">f) Por último, resultan constitucionales algunas de las previsiones concretas del apartado duodécimo. Así, la obligación de los beneficiarios de incluir el logo actualizado del INAEM </w:t>
      </w:r>
      <w:r>
        <w:lastRenderedPageBreak/>
        <w:t>en sus materiales de difusión (subapartado 5) por cuanto se pretende, simplemente, la identificación del origen de los fondos; la obligación, ya mencionada, de solicitar tres presupuestos a proveedores cuando los gastos subvencionables superen determinada cuantía (subapartado 6) y la obligación de destinar los bienes inmuebles y muebles resultantes a la finalidad concreta de la subvención (subapartado 7) en tanto en cuanto estas dos últimas previsiones remiten a lo dispuesto en el art. 31.3 y 4 de la Ley general de subvenciones que tienen carácter básico.</w:t>
      </w:r>
    </w:p>
    <w:p w:rsidR="00D06117" w:rsidRDefault="00D06117" w:rsidP="00D06117">
      <w:pPr>
        <w:pStyle w:val="TextoNormal"/>
      </w:pPr>
    </w:p>
    <w:p w:rsidR="00D06117" w:rsidRDefault="00D06117" w:rsidP="00D06117">
      <w:pPr>
        <w:pStyle w:val="TextoNormal"/>
      </w:pPr>
      <w:r w:rsidRPr="00D06117">
        <w:rPr>
          <w:rStyle w:val="NumeroAFNegritaCaracter"/>
        </w:rPr>
        <w:t>9</w:t>
      </w:r>
      <w:r>
        <w:t>. La resolución cuestionada contiene, sin embargo, otros apartados de carácter netamente ejecutivo que, por su propia naturaleza y dada las competencias que el Estatuto de Autonomía de Cataluña atribuye a la Comunidad Autónoma de Cataluña, no pueden considerarse acordes al orden constitucional de distribución de competencias. Conviene recordar, en este sentido, que como “como norma general debe ser la Comunidad Autónoma quien establezca el procedimiento de gestión, control y resolución de las solicitudes que se presenten” (STC 36/2012, de 15 de marzo, FJ 10) puesto que es doctrina reiterada de este Tribunal que “las normas procedimentales ratione materiae deben ser dictadas por las Comunidades Autónomas competentes en el correspondiente sector material, respetando las reglas del procedimiento administrativo común” (STC 36/2012, de 15 de marzo, FJ 8).</w:t>
      </w:r>
    </w:p>
    <w:p w:rsidR="00D06117" w:rsidRDefault="00D06117" w:rsidP="00D06117">
      <w:pPr>
        <w:pStyle w:val="TextoNormal"/>
      </w:pPr>
    </w:p>
    <w:p w:rsidR="00D06117" w:rsidRDefault="00D06117" w:rsidP="00D06117">
      <w:pPr>
        <w:pStyle w:val="TextoNormal"/>
      </w:pPr>
      <w:r>
        <w:t>a) El apartado quinto de la resolución del INAEM contiene una extensa y exhaustiva regulación del procedimiento de tramitación de las ayudas que incluye el órgano estatal a quien debe dirigirse la solicitud, los lugares de posible presentación, el modelo normalizado de solicitud y de declaración responsable que debe utilizarse, así como la documentación general y complementaria que debe acompañarla. A excepción de la previsión de la documentación complementaria o “sobre el proyecto” que, como se ha visto, se vincula directamente con la acreditación de los requisitos que han de cumplir los solicitantes para poder presentarse a la convocatoria, la regulación del resto de aspectos en la norma estatal vulnera, claramente, las competencias autonómicas puesto que el papel de las Comunidades Autónomas se relega al de meras tramitadoras (recepción de solicitudes y remisión al INAEM), tratándose de normas meramente procedimentales cuyo dictado, como acaba de decirse, corresponde a las Comunidades Autónomas (entre otra muchas, SSTC 109/1996, de 13 de junio, FJ 6 y 71/1997, de 10 de abril, FJ 5). Por lo que concierne a los modelos normalizados de solicitud, este Tribunal ya ha señalado que no tienen carácter básico y que se trata de una cuestión meramente procedimental que corresponde fijar a la Comunidad autónoma, decidiendo el modelo o formulario más adecuado para las solicitudes y las resoluciones (SSTC 70/1997, de 10 de abril, FJ 4; 242/1999, de 21 de diciembre, FJ 11; y 36/2012, de 15 de marzo, FJ 10).</w:t>
      </w:r>
    </w:p>
    <w:p w:rsidR="00D06117" w:rsidRDefault="00D06117" w:rsidP="00D06117">
      <w:pPr>
        <w:pStyle w:val="TextoNormal"/>
      </w:pPr>
    </w:p>
    <w:p w:rsidR="00D06117" w:rsidRDefault="00D06117" w:rsidP="00D06117">
      <w:pPr>
        <w:pStyle w:val="TextoNormal"/>
      </w:pPr>
      <w:r>
        <w:t>b) Por las mismas razones el apartado séptimo, por el que se crea y se regula la composición de la comisión de valoración de las solicitudes, vulnera las competencias de la Comunidad Autónoma de Cataluña, por cuanto se atribuye a un órgano estatal la emisión de un informe sobre las solicitudes [STC 159/2011, de 19 de octubre, FJ 8 e)], sin que a ello obste la previsión de que formen parte de la mencionada comisión tres vocales designados por las tres Comunidades Autónomas de donde proceda el mayor número de solicitudes.</w:t>
      </w:r>
    </w:p>
    <w:p w:rsidR="00D06117" w:rsidRDefault="00D06117" w:rsidP="00D06117">
      <w:pPr>
        <w:pStyle w:val="TextoNormal"/>
      </w:pPr>
    </w:p>
    <w:p w:rsidR="00D06117" w:rsidRDefault="00D06117" w:rsidP="00D06117">
      <w:pPr>
        <w:pStyle w:val="TextoNormal"/>
      </w:pPr>
      <w:r>
        <w:t xml:space="preserve">c) Los apartados octavo y noveno de la resolución no resultan conformes al orden constitucional de distribución de competencias en tanto que referidos a reglas procedimentales de tramitación de solicitudes (con nombramiento de órgano instructor y descripción de sus </w:t>
      </w:r>
      <w:r>
        <w:lastRenderedPageBreak/>
        <w:t>funciones) y a la centralización de la propuesta de resolución y de la resolución definitiva del procedimiento competitivo [STC 159/2011, de 19 de octubre, FJ 8 f)]. Como hemos señalado, se exceptúan de esta declaración de inconstitucionalidad la remisión al anexo II (criterios de evaluación) y la especificación de los grupos en que se clasifican los solicitantes (en función de la puntuación obtenida) contenidas en el apartado octavo.</w:t>
      </w:r>
    </w:p>
    <w:p w:rsidR="00D06117" w:rsidRDefault="00D06117" w:rsidP="00D06117">
      <w:pPr>
        <w:pStyle w:val="TextoNormal"/>
      </w:pPr>
    </w:p>
    <w:p w:rsidR="00D06117" w:rsidRDefault="00D06117" w:rsidP="00D06117">
      <w:pPr>
        <w:pStyle w:val="TextoNormal"/>
      </w:pPr>
      <w:r>
        <w:t>d) Por lo que respecta al pago de las ayudas, conviene recordar que, según nuestra doctrina, se trata de “un acto de ejecución que, conforme a los criterios generales antes expuestos, debe corresponder en principio a las Comunidades Autónomas (STC 79/1992, de 28 de mayo, FJ 2)” (STC 36/2012, de 15 de marzo, FJ 10). Por tanto, el Estado deberá poner a disposición de las Comunidades Autónomas los fondos necesarios para el pago de dichas ayudas y en este sentido ha de declararse inconstitucional la referencia al INAEM que se contiene en el apartado undécimo de la resolución (en relación a la devolución del importe, de lo que se deduce que también el pago se ha realizado por dicho organismo) así como toda la regulación relativa a los medios de justificación de la ayuda, con excepción de la previsión concerniente a que el pago se realice a partir de la fecha de formalización del contrato-programa.</w:t>
      </w:r>
    </w:p>
    <w:p w:rsidR="00D06117" w:rsidRDefault="00D06117" w:rsidP="00D06117">
      <w:pPr>
        <w:pStyle w:val="TextoNormal"/>
      </w:pPr>
    </w:p>
    <w:p w:rsidR="00D06117" w:rsidRDefault="00D06117" w:rsidP="00D06117">
      <w:pPr>
        <w:pStyle w:val="TextoNormal"/>
      </w:pPr>
      <w:r>
        <w:t>e) De igual manera, las previsiones contenidas en el apartado duodécimo bajo la denominación “obligaciones de los beneficiarios y reintegro de las subvenciones” no reconocen las competencias autonómicas en relación al control de las ayudas con excepción de lo dispuesto en el subapartado 5 —inclusión del logo del INAEM—, subapartado 6 —obligación de solicitar tres presupuestos a proveedores cuando los gastos subvencionables superen determinada cuantía— y subapartado 7 —obligación de destino de bienes inmuebles y muebles resultantes a la finalidad concreta de la subvención—. Las previsiones de este apartado exceden del núcleo regulador que puede asumir el Estado; especialmente, la referencia a las actuaciones de comprobación que puede realizar el órgano concedente (entendiendo por tal el INAEM), la Intervención General del Estado y el Tribunal de Cuentas, obviando los órganos de control propios de que dispone la Comunidad Autónoma de Cataluña. Todo ello, claro está, sin perjuicio del carácter básico que tienen determinados preceptos de la Ley general de subvenciones, como es el caso del art. 37 de la Ley general de subvenciones regulador de los supuestos de reintegro de subvenciones.</w:t>
      </w:r>
    </w:p>
    <w:p w:rsidR="00D06117" w:rsidRDefault="00D06117" w:rsidP="00D06117">
      <w:pPr>
        <w:pStyle w:val="TextoNormal"/>
      </w:pPr>
    </w:p>
    <w:p w:rsidR="00D06117" w:rsidRDefault="00D06117" w:rsidP="00D06117">
      <w:pPr>
        <w:pStyle w:val="TextoNormal"/>
      </w:pPr>
      <w:r>
        <w:t>f) Vulneran también las competencias autonómicas los apartados decimocuarto y decimoquinto en tanto en cuanto la referencia a la responsabilidad y régimen sancionador, a la normativa aplicable y a las posibilidades de recurso “tienen como referencia al Estado como gestor del procedimiento de tramitación de las ayudas, referencia que no tiene virtualidad una vez que los fondos han de transferirse a las Comunidades Autónomas” [STC 159/2011, de 19 de octubre, FJ 8 h)], en este caso, con carácter posterior a su consignación en los presupuestos generales del Estado, con independencia de que la Comunidad Autónoma deba respetar tanto los preceptos de carácter básico de la Ley general de subvenciones, como el procedimiento administrativo común en materia sancionadora y de recursos (Ley de régimen jurídico de las Administraciones públicas y del procedimiento administrativo común).</w:t>
      </w:r>
    </w:p>
    <w:p w:rsidR="00D06117" w:rsidRDefault="00D06117" w:rsidP="00D06117">
      <w:pPr>
        <w:pStyle w:val="TextoNormal"/>
      </w:pPr>
    </w:p>
    <w:p w:rsidR="00D06117" w:rsidRDefault="00D06117" w:rsidP="00D06117">
      <w:pPr>
        <w:pStyle w:val="TextoNormal"/>
      </w:pPr>
      <w:r>
        <w:t xml:space="preserve">En conclusión, la resolución impugnada no se limita a prever el establecimiento de las ayudas, las clases de estas ayudas, su cuantía máxima, el objeto o finalidad de las mismas, los requisitos de las empresas solicitantes y los criterios esenciales para la concesión, sino que además, se prevé que el Estado asuma las funciones ejecutivas y la gestión centralizada </w:t>
      </w:r>
      <w:r>
        <w:lastRenderedPageBreak/>
        <w:t>de las mismas, lo que no resulta acorde al orden constitucional de distribución de competencias antes descrito.</w:t>
      </w:r>
    </w:p>
    <w:p w:rsidR="00D06117" w:rsidRDefault="00D06117" w:rsidP="00D06117">
      <w:pPr>
        <w:pStyle w:val="TextoNormal"/>
      </w:pPr>
    </w:p>
    <w:p w:rsidR="00D06117" w:rsidRDefault="00D06117" w:rsidP="00D06117">
      <w:pPr>
        <w:pStyle w:val="TextoNormal"/>
      </w:pPr>
      <w:r w:rsidRPr="00D06117">
        <w:rPr>
          <w:rStyle w:val="NumeroAFNegritaCaracter"/>
        </w:rPr>
        <w:t>10</w:t>
      </w:r>
      <w:r>
        <w:t>. Llegados a este punto, debemos pronunciarnos sobre el alcance que tiene la vulneración de competencias que hemos apreciado. Tal como hemos considerado en otras ocasiones (concretamente, en materia de cultura, en la STC 109/1996, de 13 de junio, FJ 7) y teniendo en cuenta que la resolución ha agotado su virtualidad con el pago de las ayudas reguladas para el año 2008 —habiendo finalizado el plazo de su justificación el 31 de enero de 2009— la pretensión de la Generalitat de Cataluña ha de estimarse satisfecha mediante la declaración de titularidad de la competencia controvertida (en esta línea, STC 109/1996, de 13 de junio, FJ 12 y STC 38/2012, de 26 de marzo, FJ 9), sin afectar, por tanto, a situaciones ya consolidadas. A este respecto conviene puntualizar que, ciertamente, la resolución contempla una proyección pro futuro de sus efectos, al preverse la firma de un contrato-programa entre el INAEM y los beneficiarios de las ayudas con una duración máxima de cuatro años. No obstante, tal previsión no resulta relevante a los efectos que aquí interesan pues, como señalamos con anterioridad, su objeto es el establecimiento de una reserva de programación teatral destinada a favorecer la comunicación cultural entre Comunidades Autónomas y otros países iberoamericanos, así como a la difusión de las obras de autores españoles vivos, y no implica ninguna previsión de gasto respecto de las ayudas reguladas en la resolución cuestionada. En este sentido, la alusión a que el contrato “expresará la necesaria anualidad del compromiso de gasto por parte del INAEM” sólo puede entenderse en su integridad poniéndola en relación con lo expresamente dispuesto en el apartado primero según el cual “la concesión de ayuda en el segundo año y sucesivos de la concertación dependerá de la normativa aplicable en cada momento, de la existencia de crédito presupuestario suficiente y de la consecución o no del contrato-programa firmado por el INAEM, cuyo cumplimiento será evaluado en el proceso de concurrencia que se abra al efecto”. En conclusión, el alcance de nuestro fallo en este proceso constitucional no puede ser sino meramente declarativo, incluyendo la estimación parcial del conflicto con declaración de la titularidad de la competencia controvertida a favor de la Comunidad Autónoma de Cataluña.</w:t>
      </w:r>
    </w:p>
    <w:p w:rsidR="00D06117" w:rsidRDefault="00D06117" w:rsidP="00D06117">
      <w:pPr>
        <w:pStyle w:val="TextoNormal"/>
      </w:pPr>
    </w:p>
    <w:p w:rsidR="00D06117" w:rsidRDefault="00D06117" w:rsidP="00D06117">
      <w:pPr>
        <w:pStyle w:val="TextoNormal"/>
      </w:pPr>
      <w:r w:rsidRPr="00D06117">
        <w:rPr>
          <w:rStyle w:val="NumeroAFNegritaCaracter"/>
        </w:rPr>
        <w:t>11</w:t>
      </w:r>
      <w:r>
        <w:t>. Finalmente, para evitar posibles dudas acerca de cuáles son los aspectos de la resolución impugnada que han invadido la competencia autonómica, hemos de precisar que son inconstitucionales:</w:t>
      </w:r>
    </w:p>
    <w:p w:rsidR="00D06117" w:rsidRDefault="00D06117" w:rsidP="00D06117">
      <w:pPr>
        <w:pStyle w:val="TextoNormal"/>
      </w:pPr>
    </w:p>
    <w:p w:rsidR="00D06117" w:rsidRDefault="00D06117" w:rsidP="00D06117">
      <w:pPr>
        <w:pStyle w:val="TextoNormal"/>
      </w:pPr>
      <w:r>
        <w:t>- el apartado quinto, excepto el subapartado b).</w:t>
      </w:r>
    </w:p>
    <w:p w:rsidR="00D06117" w:rsidRDefault="00D06117" w:rsidP="00D06117">
      <w:pPr>
        <w:pStyle w:val="TextoNormal"/>
      </w:pPr>
    </w:p>
    <w:p w:rsidR="00D06117" w:rsidRDefault="00D06117" w:rsidP="00D06117">
      <w:pPr>
        <w:pStyle w:val="TextoNormal"/>
      </w:pPr>
      <w:r>
        <w:t>- el apartado séptimo.</w:t>
      </w:r>
    </w:p>
    <w:p w:rsidR="00D06117" w:rsidRDefault="00D06117" w:rsidP="00D06117">
      <w:pPr>
        <w:pStyle w:val="TextoNormal"/>
      </w:pPr>
    </w:p>
    <w:p w:rsidR="00D06117" w:rsidRDefault="00D06117" w:rsidP="00D06117">
      <w:pPr>
        <w:pStyle w:val="TextoNormal"/>
      </w:pPr>
      <w:r>
        <w:t>- el apartado octavo, con excepción de la frase “para la evaluación de los proyectos se tendrán en cuenta los criterios e indicadores objetivos contenidos en el Anexo II de esta resolución, que deberán cumplimentar los solicitantes”; de la clasificación de los proyectos en tres grupos “Grupo A: más de 42 puntos; Grupo B: 27-42 puntos y Grupo C: 7-26 puntos” y de la previsión de que “la clasificación resultante determinará la cuantía de la ayuda para la construcción, reforma y/o equipamiento, así como la cuantía máxima de la ayuda para actividades y programación”.</w:t>
      </w:r>
    </w:p>
    <w:p w:rsidR="00D06117" w:rsidRDefault="00D06117" w:rsidP="00D06117">
      <w:pPr>
        <w:pStyle w:val="TextoNormal"/>
      </w:pPr>
    </w:p>
    <w:p w:rsidR="00D06117" w:rsidRDefault="00D06117" w:rsidP="00D06117">
      <w:pPr>
        <w:pStyle w:val="TextoNormal"/>
      </w:pPr>
      <w:r>
        <w:t>- el apartado noveno.</w:t>
      </w:r>
    </w:p>
    <w:p w:rsidR="00D06117" w:rsidRDefault="00D06117" w:rsidP="00D06117">
      <w:pPr>
        <w:pStyle w:val="TextoNormal"/>
      </w:pPr>
    </w:p>
    <w:p w:rsidR="00D06117" w:rsidRDefault="00D06117" w:rsidP="00D06117">
      <w:pPr>
        <w:pStyle w:val="TextoNormal"/>
      </w:pPr>
      <w:r>
        <w:lastRenderedPageBreak/>
        <w:t>- el apartado undécimo, con excepción de la previsión de que “el pago de las ayudas se hará efectivo a partir de la fecha de formalización del contrato-programa” y sin perjuicio de la aplicación de los preceptos básicos de la Ley general de subvenciones.</w:t>
      </w:r>
    </w:p>
    <w:p w:rsidR="00D06117" w:rsidRDefault="00D06117" w:rsidP="00D06117">
      <w:pPr>
        <w:pStyle w:val="TextoNormal"/>
      </w:pPr>
    </w:p>
    <w:p w:rsidR="00D06117" w:rsidRDefault="00D06117" w:rsidP="00D06117">
      <w:pPr>
        <w:pStyle w:val="TextoNormal"/>
      </w:pPr>
      <w:r>
        <w:t>- el apartado duodécimo, excepto los subapartados 5, 6 y 7.</w:t>
      </w:r>
    </w:p>
    <w:p w:rsidR="00D06117" w:rsidRDefault="00D06117" w:rsidP="00D06117">
      <w:pPr>
        <w:pStyle w:val="TextoNormal"/>
      </w:pPr>
    </w:p>
    <w:p w:rsidR="00D06117" w:rsidRDefault="00D06117" w:rsidP="00D06117">
      <w:pPr>
        <w:pStyle w:val="TextoNormal"/>
      </w:pPr>
      <w:r>
        <w:t>- los apartados decimocuarto y decimoquinto, sin perjuicio de la aplicación de la legislación básica estatal.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Estimar parcialmente el conflicto positivo de competencia interpuesto por la Generalitat de Cataluña y, en consecuencia, declarar que los apartados quinto, séptimo, octavo, noveno, undécimo, duodécimo, decimocuarto y decimoquinto de la resolución, de 13 de marzo de 2008, del Instituto Nacional de las Artes Escénicas y de la Música (INAEM), por la que se convocan ayudas para 2008, dentro del programa de espacios escénicos de nueva generación, vulneran las competencias de la Comunidad Autónoma de Cataluña en los términos establecidos en el fundamento jurídico 11 de esta resolución.</w:t>
      </w:r>
    </w:p>
    <w:p w:rsidR="00D06117" w:rsidRDefault="00D06117" w:rsidP="00D06117">
      <w:pPr>
        <w:pStyle w:val="TextoNormal"/>
      </w:pPr>
    </w:p>
    <w:p w:rsidR="00D06117" w:rsidRDefault="00D06117" w:rsidP="00D06117">
      <w:pPr>
        <w:pStyle w:val="TextoNormal"/>
      </w:pPr>
      <w:r>
        <w:t>2º Desestimar el conflicto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3" w:name="SENTENCIA_2012_90"/>
      <w:r>
        <w:lastRenderedPageBreak/>
        <w:t>SENTENCIA 90/2012, de 7 de mayo de 2012</w:t>
      </w:r>
    </w:p>
    <w:bookmarkEnd w:id="93"/>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ECLI:ES:TC:2012:90</w:t>
      </w:r>
    </w:p>
    <w:p w:rsidR="00D06117" w:rsidRDefault="00D06117" w:rsidP="00D06117">
      <w:pPr>
        <w:pStyle w:val="SntesisDescriptiva"/>
      </w:pPr>
    </w:p>
    <w:p w:rsidR="00D06117" w:rsidRDefault="00D06117" w:rsidP="00D06117">
      <w:pPr>
        <w:pStyle w:val="SntesisDescriptiva"/>
      </w:pPr>
      <w:r>
        <w:t>Recurso de amparo 7209-2009. Promovido por Bodegas Antaño, S.A., frente a la Sentencia de la Sala de lo Contencioso-Administrativo del Tribunal Superior de Justicia de Castilla y León, con sede en Valladolid, y la resolución del Consejero de Agricultura y Ganadería de la Junta de Castilla y León que le sancionó por utilización indebida de contraetiquetas.</w:t>
      </w:r>
    </w:p>
    <w:p w:rsidR="00D06117" w:rsidRDefault="00D06117" w:rsidP="00D06117">
      <w:pPr>
        <w:pStyle w:val="SntesisDescriptiva"/>
      </w:pPr>
    </w:p>
    <w:p w:rsidR="00D06117" w:rsidRDefault="00D06117" w:rsidP="00D06117">
      <w:pPr>
        <w:pStyle w:val="SntesisAnaltica"/>
      </w:pPr>
      <w:r>
        <w:t>Vulneración del derecho a la legalidad sancionadora: subsunción de los hechos en un ilícito administrativo tipificado por la Ley de la viña y del vino no aplicable en Castilla y León al no tener carácter básico.</w:t>
      </w:r>
    </w:p>
    <w:p w:rsidR="00D06117" w:rsidRDefault="00D06117" w:rsidP="00D06117">
      <w:pPr>
        <w:pStyle w:val="SntesisAnaltica"/>
      </w:pPr>
    </w:p>
    <w:p w:rsidR="00D06117" w:rsidRDefault="00D06117" w:rsidP="00D06117">
      <w:pPr>
        <w:pStyle w:val="Extracto"/>
      </w:pPr>
      <w:r>
        <w:t>1.</w:t>
      </w:r>
      <w:r>
        <w:tab/>
        <w:t>Convertir la expresión “legislación básica de la viña y del vino” empleada por la Ley autonómica, en sinónimo de “legislación estatal” en la materia representa una interpretación que se extiende a la totalidad de normas dictadas por el Estado en la materia, con abstracción de que posean la condición formal de bases o carezcan de la misma, que no puede considerarse acorde con las exigencias de predeterminación normativa de los ilícitos consustanciales al mandato de taxatividad [FJ 5].</w:t>
      </w:r>
    </w:p>
    <w:p w:rsidR="00D06117" w:rsidRDefault="00D06117" w:rsidP="00D06117">
      <w:pPr>
        <w:pStyle w:val="Extracto"/>
      </w:pPr>
    </w:p>
    <w:p w:rsidR="00D06117" w:rsidRDefault="00D06117" w:rsidP="00D06117">
      <w:pPr>
        <w:pStyle w:val="Extracto"/>
      </w:pPr>
      <w:r>
        <w:t>2.</w:t>
      </w:r>
      <w:r>
        <w:tab/>
        <w:t>La tipificación de infracciones administrativas no consiste en la definición de un elenco mínimo susceptible de completarse a resultas de la valoración del reproche material que eventualmente pueda formular el aplicador del Derecho respecto de determinados comportamientos, sino la definición completa y cerrada de conductas ilícitas, más allá de las cuales no hay lagunas sino actuaciones lícitas que no pueden ser objeto de represión jurídica [FJ 6].</w:t>
      </w:r>
    </w:p>
    <w:p w:rsidR="00D06117" w:rsidRDefault="00D06117" w:rsidP="00D06117">
      <w:pPr>
        <w:pStyle w:val="Extracto"/>
      </w:pPr>
    </w:p>
    <w:p w:rsidR="00D06117" w:rsidRDefault="00D06117" w:rsidP="00D06117">
      <w:pPr>
        <w:pStyle w:val="Extracto"/>
      </w:pPr>
      <w:r>
        <w:t>3.</w:t>
      </w:r>
      <w:r>
        <w:tab/>
        <w:t>La aplicación de Derecho supletorio ha de partir de la constatación de la existencia de una laguna, de un vacío de regulación, que no existe cuando falta la tipificación de una concreta conducta pues, en tales casos, no hay laguna jurídica alguna habida cuenta de que no existen conductas materialmente merecedoras de castigo en defecto de regulación legal al respecto ya que, en ausencia de esa predeterminación, no cabe reproche alguno [FJ 5].</w:t>
      </w:r>
    </w:p>
    <w:p w:rsidR="00D06117" w:rsidRDefault="00D06117" w:rsidP="00D06117">
      <w:pPr>
        <w:pStyle w:val="Extracto"/>
      </w:pPr>
    </w:p>
    <w:p w:rsidR="00D06117" w:rsidRDefault="00D06117" w:rsidP="00D06117">
      <w:pPr>
        <w:pStyle w:val="Extracto"/>
      </w:pPr>
      <w:r>
        <w:t>4.</w:t>
      </w:r>
      <w:r>
        <w:tab/>
        <w:t xml:space="preserve">Doctrina sobre la prohibición de la interpretación extensiva y la analogía </w:t>
      </w:r>
      <w:r w:rsidRPr="00D06117">
        <w:rPr>
          <w:i/>
        </w:rPr>
        <w:t>in malam partem</w:t>
      </w:r>
      <w:r>
        <w:t xml:space="preserve"> en el ámbito penal y sancionador (SSTC 133/1987, 220/2007) [FJ 4].</w:t>
      </w:r>
    </w:p>
    <w:p w:rsidR="00D06117" w:rsidRDefault="00D06117" w:rsidP="00D06117">
      <w:pPr>
        <w:pStyle w:val="Extracto"/>
      </w:pPr>
    </w:p>
    <w:p w:rsidR="00D06117" w:rsidRDefault="00D06117" w:rsidP="00D06117">
      <w:pPr>
        <w:pStyle w:val="Extracto"/>
      </w:pPr>
      <w:r>
        <w:t>5.</w:t>
      </w:r>
      <w:r>
        <w:tab/>
        <w:t>La aplicación del art. 25.1 CE al ámbito administrativo sancionador exige la cobertura de la potestad sancionadora en una norma de rango legal, no excluyendo la remisión a disposiciones reglamentarias siempre que queden determinados los elementos esenciales de la conducta antijurídica y la naturaleza y límites de las sanciones a imponer (STC 2/1987, 104/2009) [FJ 4].</w:t>
      </w:r>
    </w:p>
    <w:p w:rsidR="00D06117" w:rsidRDefault="00D06117" w:rsidP="00D06117">
      <w:pPr>
        <w:pStyle w:val="Extracto"/>
      </w:pPr>
    </w:p>
    <w:p w:rsidR="00D06117" w:rsidRDefault="00D06117" w:rsidP="00D06117">
      <w:pPr>
        <w:pStyle w:val="Extracto"/>
      </w:pPr>
      <w:r>
        <w:t>6.</w:t>
      </w:r>
      <w:r>
        <w:tab/>
        <w:t>Doctrina sobre la garantías, material y formal, derivadas del derecho a la legalidad sancionadora (SSTC 77/2006, 144/2011) [FFJJ 4,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7209-2009, interpuesto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14 de mayo de 2009 y la resolución sancionadora del Consejero de Agricultura y Ganadería de la Junta de Castilla y León de 19 de octubre de 2006. Han comparecido y formulado alegaciones el Letrado de la Comunidad Autónoma de Castilla y León y el Ministerio Fiscal. Ha sido Ponente el Magistrado don Pablo Pérez Tremps,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Juzgado Decano de Valladolid el 24 de julio de 2009 y registrado en este Tribunal el siguiente día 3 de agosto, la Procuradora de los Tribunales doña Mercedes Caro Bonilla, actuando en nombre y representación de Bodegas Antaño, S.A., interpuso recurso de amparo frente a las resoluciones que se citan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procesales de los que trae causa el presente recurso de amparo, relevantes para la resolución del caso, son, sucintamente expuestos, los siguientes:</w:t>
      </w:r>
    </w:p>
    <w:p w:rsidR="00D06117" w:rsidRDefault="00D06117" w:rsidP="00D06117">
      <w:pPr>
        <w:pStyle w:val="TextoNormal"/>
      </w:pPr>
    </w:p>
    <w:p w:rsidR="00D06117" w:rsidRDefault="00D06117" w:rsidP="00D06117">
      <w:pPr>
        <w:pStyle w:val="TextoNormal"/>
      </w:pPr>
      <w:r>
        <w:t>a) El 14 de marzo de 2006 los servicios de inspección del Consejo regulador de la denominación de origen “Rueda” levantaron acta de infracción a la firma Bodegas Antaño, S.A. Dicha acta dio origen a la incoación de expediente sancionador que concluyó por Orden del Consejero de Agricultura y Ganadería de la Junta de Castilla y León de 19 de octubre de 2006, en la que se imponía a la sociedad ahora demandante de amparo una multa de 60.000 € por la utilización indebida de contraetiquetas de vinos de calidad producidos en regiones determinadas, conducta que constituye una infracción administrativa muy grave tipificada en el art. 40.2 d) de la Ley 24/2003, de 10 de julio, de la viña y del vino.</w:t>
      </w:r>
    </w:p>
    <w:p w:rsidR="00D06117" w:rsidRDefault="00D06117" w:rsidP="00D06117">
      <w:pPr>
        <w:pStyle w:val="TextoNormal"/>
      </w:pPr>
    </w:p>
    <w:p w:rsidR="00D06117" w:rsidRDefault="00D06117" w:rsidP="00D06117">
      <w:pPr>
        <w:pStyle w:val="TextoNormal"/>
      </w:pPr>
      <w:r>
        <w:t xml:space="preserve">En el curso del expediente administrativo sancionador Bodegas Antaño, S.A., adujo que la conducta no constituye un ilícito administrativo en el territorio de la Comunidad Autónoma de Castilla y León al no figurar en el cuadro de infracciones de la Ley 8/2005, de 10 </w:t>
      </w:r>
      <w:r>
        <w:lastRenderedPageBreak/>
        <w:t>de junio, de la viña y del vino de Castilla y León. Esta alegación recibió la siguiente respuesta por parte de la Administración autonómica actuante:</w:t>
      </w:r>
    </w:p>
    <w:p w:rsidR="00D06117" w:rsidRDefault="00D06117" w:rsidP="00D06117">
      <w:pPr>
        <w:pStyle w:val="TextoNormal"/>
      </w:pPr>
    </w:p>
    <w:p w:rsidR="00D06117" w:rsidRDefault="00D06117" w:rsidP="00D06117">
      <w:pPr>
        <w:pStyle w:val="TextoNormal"/>
      </w:pPr>
      <w:r>
        <w:t>“[l]a expresión ‘legislación básica’ que contiene el artículo 42 de la Ley 8/2005, de 10 de junio, de la Viña y del vino de Castilla y León, es una expresión genérica y tiene como finalidad remitirse a la totalidad del régimen sancionador que contiene la Ley 24/2003, de 10 de julio, de la Viña y el vino, sin distinguir entre preceptos básicos y no básicos, ya que la totalidad de preceptos que integran la Ley 24/2003, de 10 de julio, de la Viña y el Vino, tienen como objeto la ordenación básica en el marco de la normativa de la Unión Europea, de la viña y del vino, así como su designación, presentación, promoción y publicidad, porque así lo establece el artículo 1 de la misma.</w:t>
      </w:r>
    </w:p>
    <w:p w:rsidR="00D06117" w:rsidRDefault="00D06117" w:rsidP="00D06117">
      <w:pPr>
        <w:pStyle w:val="TextoNormal"/>
      </w:pPr>
    </w:p>
    <w:p w:rsidR="00D06117" w:rsidRDefault="00D06117" w:rsidP="00D06117">
      <w:pPr>
        <w:pStyle w:val="TextoNormal"/>
      </w:pPr>
      <w:r>
        <w:t>Por si la explicación dada anteriormente no fuera suficiente, hay que señalar que el artículo 149.3 de la Constitución Española de 1978, en su último inciso, recoge la denominada ‘Cláusula de Supletoriedad del Derecho Estatal’ al señalar que ‘el derecho estatal será, en todo caso, supletorio del derecho de las Comunidades Autónomas’, sin que pueda dejarse pasar sin ser sancionada una conducta tan grave como es la cesión de contraetiquetas entre bodegas, cuando, además, dicha conducta es constitutiva de una infracción muy grave tal y como prevé el artículo 40.2 d) de la Ley 24/2003, artículo que es aplicable en la Comunidad Autónoma de Castilla y León en virtud de la citada cláusula de supletoriedad recogida en el texto Constitucional.”</w:t>
      </w:r>
    </w:p>
    <w:p w:rsidR="00D06117" w:rsidRDefault="00D06117" w:rsidP="00D06117">
      <w:pPr>
        <w:pStyle w:val="TextoNormal"/>
      </w:pPr>
    </w:p>
    <w:p w:rsidR="00D06117" w:rsidRDefault="00D06117" w:rsidP="00D06117">
      <w:pPr>
        <w:pStyle w:val="TextoNormal"/>
      </w:pPr>
      <w:r>
        <w:t>b) La empresa sancionada interpuso recurso contencioso-administrativo, que fue estimado por la Sentencia del Juzgado de lo Contencioso-Administrativo núm. 2 de Valladolid 189/2008, de 1 de septiembre. Dicha estimación trajo causa del acogimiento del tercero de los motivos de impugnación de la resolución administrativa sancionadora aducidos por Bodegas Antaño, S.A., a saber, quebrantamiento de los principios de legalidad y tipicidad en la medida en que el art. 40.2 d) de la Ley de la viña y del vino no es aplicable en Castilla y León al no revestir carácter básico y no haber sido incorporado su contenido a la Ley 8/2005, de 10 de junio, de la viña y del vino de Castilla y León.</w:t>
      </w:r>
    </w:p>
    <w:p w:rsidR="00D06117" w:rsidRDefault="00D06117" w:rsidP="00D06117">
      <w:pPr>
        <w:pStyle w:val="TextoNormal"/>
      </w:pPr>
    </w:p>
    <w:p w:rsidR="00D06117" w:rsidRDefault="00D06117" w:rsidP="00D06117">
      <w:pPr>
        <w:pStyle w:val="TextoNormal"/>
      </w:pPr>
      <w:r>
        <w:t>c) La representación procesal de la Junta de Castilla y León se alzó en apelación frente a esta resolución dando lugar a la Sentencia de la Sección Segunda de la Sala de lo Contencioso-Administrativo del Tribunal Superior de Justicia de Castilla y León, con sede en Valladolid, 1244/2009, de 14 de mayo. Esta Sentencia estimó el recurso de apelación y, revocando la Sentencia de instancia, desestimó la impugnación de la resolución administrativa sancionadora. Para el órgano judicial ad quem, cuando el art. 42 de la Ley autonómica 8/2005 declara que “con carácter general, el régimen sancionador en las materias objeto de la presente Ley será el establecido en la legislación básica de la Viña y del Vino, sin perjuicio de lo que se dispone en los artículos siguientes”, el legislador castellano-leonés “se está refiriendo a la Ley 24/2003, de 10 de julio, en su conjunto, que es la Ley básica de la Viña y el Vino, sin excluir aquellas normas contenidas en ella que no son calificadas por la propia ley como básicas, pero que son aplicables en las Comunidades Autónomas en tanto las desplacen con el simple ejercicio de sus competencias normativas.” (Fundamento de Derecho segundo). Y añade a renglón seguido:</w:t>
      </w:r>
    </w:p>
    <w:p w:rsidR="00D06117" w:rsidRDefault="00D06117" w:rsidP="00D06117">
      <w:pPr>
        <w:pStyle w:val="TextoNormal"/>
      </w:pPr>
    </w:p>
    <w:p w:rsidR="00D06117" w:rsidRDefault="00D06117" w:rsidP="00D06117">
      <w:pPr>
        <w:pStyle w:val="TextoNormal"/>
      </w:pPr>
      <w:r>
        <w:t xml:space="preserve">“Se entiende que es así y que la Comunidad de Castilla y León no ha desplazado, sino que ha asumido, las normas reguladoras de las infracciones administrativas que no tienen el </w:t>
      </w:r>
      <w:r>
        <w:lastRenderedPageBreak/>
        <w:t>carácter de básicas en la Ley 24/2003, en concreto el art. 40.2.d),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el Juez a quo de la expresión tantas veces mencionada.”</w:t>
      </w:r>
    </w:p>
    <w:p w:rsidR="00D06117" w:rsidRDefault="00D06117" w:rsidP="00D06117">
      <w:pPr>
        <w:pStyle w:val="TextoNormal"/>
      </w:pPr>
    </w:p>
    <w:p w:rsidR="00D06117" w:rsidRDefault="00D06117" w:rsidP="00D06117">
      <w:pPr>
        <w:pStyle w:val="TextoNormal"/>
      </w:pPr>
      <w:r w:rsidRPr="00D06117">
        <w:rPr>
          <w:rStyle w:val="NumeroAFNegritaCaracter"/>
        </w:rPr>
        <w:t>3</w:t>
      </w:r>
      <w:r>
        <w:t>. La actora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00D06117" w:rsidRDefault="00D06117" w:rsidP="00D06117">
      <w:pPr>
        <w:pStyle w:val="TextoNormal"/>
      </w:pPr>
    </w:p>
    <w:p w:rsidR="00D06117" w:rsidRDefault="00D06117" w:rsidP="00D06117">
      <w:pPr>
        <w:pStyle w:val="TextoNormal"/>
      </w:pPr>
      <w:r>
        <w:t xml:space="preserve">Sostiene la representación procesal de Bodegas Antaño, S.A., que, contrariamente a lo afirmado en la resolución administrativa sancionadora y en la Sentencia de la Sección Segunda de la Sala de lo Contencioso-Administrativo del Tribunal Superior de Justicia de </w:t>
      </w:r>
      <w:r>
        <w:lastRenderedPageBreak/>
        <w:t>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00D06117" w:rsidRDefault="00D06117" w:rsidP="00D06117">
      <w:pPr>
        <w:pStyle w:val="TextoNormal"/>
      </w:pPr>
    </w:p>
    <w:p w:rsidR="00D06117" w:rsidRDefault="00D06117" w:rsidP="00D06117">
      <w:pPr>
        <w:pStyle w:val="TextoNormal"/>
      </w:pPr>
      <w:r>
        <w:t>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00D06117" w:rsidRDefault="00D06117" w:rsidP="00D06117">
      <w:pPr>
        <w:pStyle w:val="TextoNormal"/>
      </w:pPr>
    </w:p>
    <w:p w:rsidR="00D06117" w:rsidRDefault="00D06117" w:rsidP="00D06117">
      <w:pPr>
        <w:pStyle w:val="TextoNormal"/>
      </w:pPr>
      <w:r>
        <w:t>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Bodegas Antaño, S.A., “la conclusión no puede ser ésa, porque la realidad es que el art. 35 de la Ley estatal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00D06117" w:rsidRDefault="00D06117" w:rsidP="00D06117">
      <w:pPr>
        <w:pStyle w:val="TextoNormal"/>
      </w:pPr>
    </w:p>
    <w:p w:rsidR="00D06117" w:rsidRDefault="00D06117" w:rsidP="00D06117">
      <w:pPr>
        <w:pStyle w:val="TextoNormal"/>
      </w:pPr>
      <w:r>
        <w:lastRenderedPageBreak/>
        <w:t>Afirma la actora que la Ley autonómica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11.2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DF 2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00D06117" w:rsidRDefault="00D06117" w:rsidP="00D06117">
      <w:pPr>
        <w:pStyle w:val="TextoNormal"/>
      </w:pPr>
    </w:p>
    <w:p w:rsidR="00D06117" w:rsidRDefault="00D06117" w:rsidP="00D06117">
      <w:pPr>
        <w:pStyle w:val="TextoNormal"/>
      </w:pPr>
      <w:r>
        <w:t>Para la representación de Bodegas Antaño, S.A.,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00D06117" w:rsidRDefault="00D06117" w:rsidP="00D06117">
      <w:pPr>
        <w:pStyle w:val="TextoNormal"/>
      </w:pPr>
    </w:p>
    <w:p w:rsidR="00D06117" w:rsidRDefault="00D06117" w:rsidP="00D06117">
      <w:pPr>
        <w:pStyle w:val="TextoNormal"/>
      </w:pPr>
      <w:r>
        <w:t>Antes de cerrar su escrito de demanda, la actora reconoce que, en el momento de producirse los hechos, podía prever la aplicación de lo dispuesto en el art. 44.3 e) del Reglamento de la denominación de origen “Rueda”, aprobado por Orden MAPA 2059/2002, de 21 de julio, donde se tipifica como infracción grave la indebida tenencia, negociación o utilización de los documentos, precintas, etiquetas, sellos, etc., propios de la denominación, sancionando esta conducta con multa de 20.000 pesetas al doble del valor del producto afectado y decomiso. Para la demandante de amparo, el indicado reglamento se encontraba entonces vigente en virtud de lo previsto en la disposición transitoria de la Ley autonómica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w:t>
      </w:r>
    </w:p>
    <w:p w:rsidR="00D06117" w:rsidRDefault="00D06117" w:rsidP="00D06117">
      <w:pPr>
        <w:pStyle w:val="TextoNormal"/>
      </w:pPr>
    </w:p>
    <w:p w:rsidR="00D06117" w:rsidRDefault="00D06117" w:rsidP="00D06117">
      <w:pPr>
        <w:pStyle w:val="TextoNormal"/>
      </w:pPr>
      <w:r>
        <w:lastRenderedPageBreak/>
        <w:t>La demanda concluye con la solicitud de que se dicte Sentencia por la que se reconozca el derecho de la recurrente a la legalidad en materia sancionadora y, a fin de reparar la lesión padecida en éste, que se anulen la Sentencia de la Sección Segunda de la Sala de lo Contencioso-Administrativo del Tribunal Superior de Justicia de Castilla y León núm. 1244, de 14 de mayo, y la Orden del Consejero de Agricultura y Ganadería de la Junta de Castilla y León de 19 de octubre de 2006, por la que se le impone una sanción de 60.000 € como autor de una infracción del art. 40.2 d) de la Ley estatal 24/2003, de la viña y del vino.</w:t>
      </w:r>
    </w:p>
    <w:p w:rsidR="00D06117" w:rsidRDefault="00D06117" w:rsidP="00D06117">
      <w:pPr>
        <w:pStyle w:val="TextoNormal"/>
      </w:pPr>
    </w:p>
    <w:p w:rsidR="00D06117" w:rsidRDefault="00D06117" w:rsidP="00D06117">
      <w:pPr>
        <w:pStyle w:val="TextoNormal"/>
      </w:pPr>
      <w:r w:rsidRPr="00D06117">
        <w:rPr>
          <w:rStyle w:val="NumeroAFNegritaCaracter"/>
        </w:rPr>
        <w:t>4</w:t>
      </w:r>
      <w:r>
        <w:t>. Por diligencia de ordenación del Secretario de Justicia de la Sección Segunda de este Tribunal se concedió, de acuerdo con lo previsto en el art. 49.4 de la Ley Orgánica del Tribunal Constitucional (LOTC), un plazo de diez días a la Procuradora doña Mercedes Caro Bonilla a fin de que suscribiera el escrito de demanda, advirtiéndole de que la falta de subsanación del defecto advertido en el plazo indicado determinaría la inadmisión del presente recurso.</w:t>
      </w:r>
    </w:p>
    <w:p w:rsidR="00D06117" w:rsidRDefault="00D06117" w:rsidP="00D06117">
      <w:pPr>
        <w:pStyle w:val="TextoNormal"/>
      </w:pPr>
    </w:p>
    <w:p w:rsidR="00D06117" w:rsidRDefault="00D06117" w:rsidP="00D06117">
      <w:pPr>
        <w:pStyle w:val="TextoNormal"/>
      </w:pPr>
      <w:r w:rsidRPr="00D06117">
        <w:rPr>
          <w:rStyle w:val="NumeroAFNegritaCaracter"/>
        </w:rPr>
        <w:t>5</w:t>
      </w:r>
      <w:r>
        <w:t>. Subsanado el defecto antes citado, por providencia de 15 de noviembre de 2010 la Sala Primera de este Tribunal acordó, de conformidad con lo dispuesto en el art. 11.2 LOTC, admitir a trámite la demanda de amparo formulada por la Procuradora doña Mercedes Caro Bonilla en nombre y representación de Bodegas Antaño, S.A. En la misma providencia se acordó, en aplicación de lo dispuesto en el art. 51 LOTC, dirigir atenta comunicación a la Sección Segunda de la Sala de lo Contencioso-Administrativo del Tribunal Superior de Justicia de Castilla y León, con sede en Valladolid, a fin de que, en plazo que no excediera de diez días, remitiera certificación o copia adverada de las actuaciones correspondientes al recurso de apelación núm. 712-2008 y al Juzgado de lo Contencioso-Administrativo núm. 2 de Valladolid para que, en plazo no superior a diez días, remitiera certificación o fotocopia adverada de las actuaciones correspondientes al recurso contencioso-administrativo núm. 93-2007, debiendo previamente emplazar a quienes hubieran sido parte en ese proceso, excepto la recurrente en amparo, para que pudieran comparecer en el presente recurso de amparo, lo que así hizo el siguiente día 23 de diciembre el Letrado de la Comunidad Autónoma de Castilla y León, solicitando que se le tuviera por personado y parte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del Secretario de Justicia de la Sección Segunda de 30 de marzo de 2011 se tuvieron por recibidos los testimonios de las actuaciones reclamadas,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presentó sus alegaciones el 4 de mayo de 2011. Tras una pormenorizada exposición de los antecedentes del recurso, desarrolla los motivos en virtud de los cuales interesa que se dicte Sentencia estimatoria del recurso de amparo promovido por Bodegas Antaño, S.A.</w:t>
      </w:r>
    </w:p>
    <w:p w:rsidR="00D06117" w:rsidRDefault="00D06117" w:rsidP="00D06117">
      <w:pPr>
        <w:pStyle w:val="TextoNormal"/>
      </w:pPr>
    </w:p>
    <w:p w:rsidR="00D06117" w:rsidRDefault="00D06117" w:rsidP="00D06117">
      <w:pPr>
        <w:pStyle w:val="TextoNormal"/>
      </w:pPr>
      <w:r>
        <w:t>a) Aborda en primer lugar el Ministerio Fiscal la cuestión relativa al alcance de la referencia que en el art. 42 de la Ley de las Cortes de Castilla y León 8/2005 se hace a la “le</w:t>
      </w:r>
      <w:r>
        <w:lastRenderedPageBreak/>
        <w:t>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 de la Ley estatal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00D06117" w:rsidRDefault="00D06117" w:rsidP="00D06117">
      <w:pPr>
        <w:pStyle w:val="TextoNormal"/>
      </w:pPr>
    </w:p>
    <w:p w:rsidR="00D06117" w:rsidRDefault="00D06117" w:rsidP="00D06117">
      <w:pPr>
        <w:pStyle w:val="TextoNormal"/>
      </w:pPr>
      <w:r>
        <w:t>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agostó, regulador del procedimiento sancionador.</w:t>
      </w:r>
    </w:p>
    <w:p w:rsidR="00D06117" w:rsidRDefault="00D06117" w:rsidP="00D06117">
      <w:pPr>
        <w:pStyle w:val="TextoNormal"/>
      </w:pPr>
    </w:p>
    <w:p w:rsidR="00D06117" w:rsidRDefault="00D06117" w:rsidP="00D06117">
      <w:pPr>
        <w:pStyle w:val="TextoNormal"/>
      </w:pPr>
      <w:r>
        <w:t xml:space="preserve">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w:t>
      </w:r>
      <w:r>
        <w:lastRenderedPageBreak/>
        <w:t>fuera sancionada la sociedad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00D06117" w:rsidRDefault="00D06117" w:rsidP="00D06117">
      <w:pPr>
        <w:pStyle w:val="TextoNormal"/>
      </w:pPr>
    </w:p>
    <w:p w:rsidR="00D06117" w:rsidRDefault="00D06117" w:rsidP="00D06117">
      <w:pPr>
        <w:pStyle w:val="TextoNormal"/>
      </w:pPr>
      <w:r>
        <w:t>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00D06117" w:rsidRDefault="00D06117" w:rsidP="00D06117">
      <w:pPr>
        <w:pStyle w:val="TextoNormal"/>
      </w:pPr>
    </w:p>
    <w:p w:rsidR="00D06117" w:rsidRDefault="00D06117" w:rsidP="00D06117">
      <w:pPr>
        <w:pStyle w:val="TextoNormal"/>
      </w:pPr>
      <w:r>
        <w:t>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00D06117" w:rsidRDefault="00D06117" w:rsidP="00D06117">
      <w:pPr>
        <w:pStyle w:val="TextoNormal"/>
      </w:pPr>
    </w:p>
    <w:p w:rsidR="00D06117" w:rsidRDefault="00D06117" w:rsidP="00D06117">
      <w:pPr>
        <w:pStyle w:val="TextoNormal"/>
      </w:pPr>
      <w:r>
        <w:t xml:space="preserve">En este caso, la interpretación extensiva de la remisión que la ley territorial hace a la legislación básica contradice las garantías que integran el derecho fundamental al principio </w:t>
      </w:r>
      <w:r>
        <w:lastRenderedPageBreak/>
        <w:t>de legalidad sancionadora. La demandante de amparo no pudo racionalmente prever su responsabilidad por infracción de lo previsto en el art. 40.2 d) de la ley estatal y acomodar a dicha norma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00D06117" w:rsidRDefault="00D06117" w:rsidP="00D06117">
      <w:pPr>
        <w:pStyle w:val="TextoNormal"/>
      </w:pPr>
    </w:p>
    <w:p w:rsidR="00D06117" w:rsidRDefault="00D06117" w:rsidP="00D06117">
      <w:pPr>
        <w:pStyle w:val="TextoNormal"/>
      </w:pPr>
      <w:r>
        <w:t>Por todo ello, el Ministerio Fiscal entiende que debe estimarse el recurso de amparo y declarar vulnerado el derecho fundamental de la actora a la legalidad sancionadora.</w:t>
      </w:r>
    </w:p>
    <w:p w:rsidR="00D06117" w:rsidRDefault="00D06117" w:rsidP="00D06117">
      <w:pPr>
        <w:pStyle w:val="TextoNormal"/>
      </w:pPr>
    </w:p>
    <w:p w:rsidR="00D06117" w:rsidRDefault="00D06117" w:rsidP="00D06117">
      <w:pPr>
        <w:pStyle w:val="TextoNormal"/>
      </w:pPr>
      <w:r w:rsidRPr="00D06117">
        <w:rPr>
          <w:rStyle w:val="NumeroAFNegritaCaracter"/>
        </w:rPr>
        <w:t>8</w:t>
      </w:r>
      <w:r>
        <w:t>. El 5 de mayo de 2011 se presentó en el Registro General de este Tribunal el escrito de alegaciones del Letrado de la Comunidad Autónoma de Castilla y León</w:t>
      </w:r>
    </w:p>
    <w:p w:rsidR="00D06117" w:rsidRDefault="00D06117" w:rsidP="00D06117">
      <w:pPr>
        <w:pStyle w:val="TextoNormal"/>
      </w:pPr>
    </w:p>
    <w:p w:rsidR="00D06117" w:rsidRDefault="00D06117" w:rsidP="00D06117">
      <w:pPr>
        <w:pStyle w:val="TextoNormal"/>
      </w:pPr>
      <w:r>
        <w:t>a) Inicia su escrito el Letrado autonómico aduciendo la extemporaneidad del recurso de amparo, pues se interpuso al día siguiente de que hubiera transcurrido el plazo de veinte días desde la notificación de la resolución recaída en el proceso judicial previo (art. 43.2 LOTC), en este caso la Sentencia de la Sección Segunda de la Sala de lo Contencioso-Administrativo del Tribunal Superior de Justicia de Castilla y León, con sede en Valladolid, sin que sea de aplicación supletoria lo dispuesto en el art. 135 de la Ley de enjuiciamiento civil, según resulta de lo afirmado en la STC 230/2006, de 17 de julio. No puede admitirse, tampoco, la aplicación del plazo de treinta días del art. 44.2 LOTC pues no nos hallamos ante un recurso de amparo mixto sino que lo que se pretende por la actora es obtener la nulidad de la resolución administrativa sancionadora, a la que se imputa la lesión del derecho fundamental invocado.</w:t>
      </w:r>
    </w:p>
    <w:p w:rsidR="00D06117" w:rsidRDefault="00D06117" w:rsidP="00D06117">
      <w:pPr>
        <w:pStyle w:val="TextoNormal"/>
      </w:pPr>
    </w:p>
    <w:p w:rsidR="00D06117" w:rsidRDefault="00D06117" w:rsidP="00D06117">
      <w:pPr>
        <w:pStyle w:val="TextoNormal"/>
      </w:pPr>
      <w:r>
        <w:t>b) Con carácter subsidiario el Letrado de la Comunidad Autónoma de Castilla y León postula la desestimación del presente recurso de amparo.</w:t>
      </w:r>
    </w:p>
    <w:p w:rsidR="00D06117" w:rsidRDefault="00D06117" w:rsidP="00D06117">
      <w:pPr>
        <w:pStyle w:val="TextoNormal"/>
      </w:pPr>
    </w:p>
    <w:p w:rsidR="00D06117" w:rsidRDefault="00D06117" w:rsidP="00D06117">
      <w:pPr>
        <w:pStyle w:val="TextoNormal"/>
      </w:pPr>
      <w:r>
        <w:t>Respecto del alcance de la remisión que la Ley autonómica de la viña y el vino hace a los preceptos de la norma estatal, el citado Letrado sostiene que “las remisiones expresas que contiene la Ley 8/2005, de 10 de junio, de la viña y el vino de Castilla y León, a la legislación básica del Estado, lo son en su conjunto a la Ley estatal 24/2003, que es la ley básica en la materia vinícola, sin distinción estricta, única y exclusiva a los preceptos directamente de carácter básico, excluyendo a los demás.” La propia ley y los reglamentos dictados por la Administración autonómica vendrían a demostrar que ésa es la voluntad del legislador. A la misma conclusión se llegaría, según el Letrado de la Comunidad Autónoma de Castilla y León, aplicando los criterios hermenéuticos del art. 3.1 del Código civil, en particular si se atiende a la teleología del precepto legal autonómico.</w:t>
      </w:r>
    </w:p>
    <w:p w:rsidR="00D06117" w:rsidRDefault="00D06117" w:rsidP="00D06117">
      <w:pPr>
        <w:pStyle w:val="TextoNormal"/>
      </w:pPr>
    </w:p>
    <w:p w:rsidR="00D06117" w:rsidRDefault="00D06117" w:rsidP="00D06117">
      <w:pPr>
        <w:pStyle w:val="TextoNormal"/>
      </w:pPr>
      <w:r>
        <w:t>Para reforzar su argumentación, el Letrado autonómico se detiene en el art. 45 de la Ley de las Cortes de Castilla y León 8/2005, que remite a la Ley básica de la viña y del vino en materia de medidas cautelares, siendo así que esta cuestión se regula en los arts. 35 y 43 de la Ley 24/2003, ninguno de los cuales tiene carácter básico. Esta remisión lo es a la regulación íntegra y global de las medidas cautelares en la vigente ley estatal, o la que en el futuro pueda sustituirla, con independencia de que los concretos preceptos legales sean o no bases.</w:t>
      </w:r>
    </w:p>
    <w:p w:rsidR="00D06117" w:rsidRDefault="00D06117" w:rsidP="00D06117">
      <w:pPr>
        <w:pStyle w:val="TextoNormal"/>
      </w:pPr>
    </w:p>
    <w:p w:rsidR="00D06117" w:rsidRDefault="00D06117" w:rsidP="00D06117">
      <w:pPr>
        <w:pStyle w:val="TextoNormal"/>
      </w:pPr>
      <w:r>
        <w:lastRenderedPageBreak/>
        <w:t>La sucesiva regulación reglamentaria de la Comunidad Autónoma de Castilla y León posterior a la ley básica estatal abonaría igualmente esta interpretación. Así, el Decreto 62/2004, de 27 de mayo, por el que se aprobó transitoriamente la gestión y control de los vinos con denominación de origen y el régimen sancionador de los vinos de calidad producidos en regiones determinadas, en cuanto a las infracciones administrativas, se refería en su articulado a “las infracciones administrativas tipificadas en la Ley 24/2003, de 10 de julio” y el vigente Decreto 51/2006 especifica determinadas infracciones administrativas de esta misma ley, algunas de las cuales no tienen carácter básico. Si el legislador autonómico no hubiese entendido que con la remisión al régimen sancionador de la ley básica estatal incorporaba el catálogo y relación de las infracciones administrativas contenidas en esta ley, hubiera desarrollado por sí mismo la materia, procediendo a la tipificación de los ilícitos y estableciendo las medidas cautelares pertinentes.</w:t>
      </w:r>
    </w:p>
    <w:p w:rsidR="00D06117" w:rsidRDefault="00D06117" w:rsidP="00D06117">
      <w:pPr>
        <w:pStyle w:val="TextoNormal"/>
      </w:pPr>
    </w:p>
    <w:p w:rsidR="00D06117" w:rsidRDefault="00D06117" w:rsidP="00D06117">
      <w:pPr>
        <w:pStyle w:val="TextoNormal"/>
      </w:pPr>
      <w:r>
        <w:t>Por otra parte, que una disposición contenida en una norma estatal no tenga carácter básico, como sucede en el caso del art. 40.2 d) de la Ley 24/2003, no significa que no sea aplicable en las Comunidades Autónomas. Serán de aplicación bien porque las Comunidades Autónomas las asuman expresamente, o bien porque no las desplacen o sustituyan, en cuyo caso entra en juego la cláusula supletoria del art. 149.3 CE.</w:t>
      </w:r>
    </w:p>
    <w:p w:rsidR="00D06117" w:rsidRDefault="00D06117" w:rsidP="00D06117">
      <w:pPr>
        <w:pStyle w:val="TextoNormal"/>
      </w:pPr>
    </w:p>
    <w:p w:rsidR="00D06117" w:rsidRDefault="00D06117" w:rsidP="00D06117">
      <w:pPr>
        <w:pStyle w:val="TextoNormal"/>
      </w:pPr>
      <w:r>
        <w:t>Sostiene el Letrado autonómico que el régimen sancionador de la ley estatal es aplicable en Castilla y León “por la remisión expresa y general del artículo 42 de la Ley autonómica 8/2005, y porque esta Ley autonómica no contiene una regulación propia y distinta del catálogo y relación de las infracciones administrativas tipificadas en materia vinícola”. Tras reproducirse algunos pasajes de la Sentencia de la Sección Segunda de la Sala de lo Contencioso-Administrativo del Tribunal Superior de Justicia de Castilla y León aquí impugnada, reconoce el Letrado autonómico que la expresión “legislación básica de la viña y el vino” utilizada por la ley territorial puede no ser la más correcta desde el punto de vista de la técnica legislativa, pero el espíritu y finalidad de la Ley 8/2005, de la viña y el vino de Castilla y León en este punto no puede ser más claro: asegurar la aplicabilidad todas las normas relativas a infracciones y sanciones contenidas en la ley estatal.</w:t>
      </w:r>
    </w:p>
    <w:p w:rsidR="00D06117" w:rsidRDefault="00D06117" w:rsidP="00D06117">
      <w:pPr>
        <w:pStyle w:val="TextoNormal"/>
      </w:pPr>
    </w:p>
    <w:p w:rsidR="00D06117" w:rsidRDefault="00D06117" w:rsidP="00D06117">
      <w:pPr>
        <w:pStyle w:val="TextoNormal"/>
      </w:pPr>
      <w:r>
        <w:t>Llama la atención el Letrado autonómico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procesal de la sociedad demandante de amparo formuló sus alegaciones el 5 de mayo de 2011, ratificándose en los argumentos ya expuestos en el escrito rector de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3 de mayo de 2012 se señaló para deliberación y votación de la presente Sentencia el día 7 siguiente.</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Según se ha expuesto con mayor detalle en los antecedentes de esta resolución, Bodegas Antaño, S.A., solicita amparo respecto de la Orden del Consejero de Agricultura y Ganadería de la Junta de Castilla y León de 19 de octubre de 2006, imponiéndole una sanción pecuniaria de 60.000 €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14 de mayo de 2009, que con estimación del recurso de apelación formulado por la Administración autora del acto contra la Sentencia del Juzgado de lo Contencioso-Administrativo núm. 2 de Valladolid de 1 de septiembre de 2008, confirmó la legalidad de dicha resolución administrativa. Sostiene la actora que ambas resoluciones habrían vulnerado su derecho fundamental a la legalidad sancionadora, opinión que comparte el Ministerio Fiscal en las alegaciones formuladas en este proceso constitucional y de la que discrepa la representación de la Junta de Castilla y León, quien interesa la inadmisión del recurso de amparo por extemporáneo.</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emprender el análisis del fondo planteado en este proceso constitucional resulta imprescindible despejar el óbice procesal opuesto por el Letrado de la Comunidad Autónoma de Castilla y León, quien aduce extemporaneidad en la interposición por la mercantil Bodegas Antaño, S.A., del recurso de amparo dado que éste tuvo entrada en el Juzgado Decano de los de Valladolid al día siguiente de que hubiera expirado el plazo de veinte días desde la notificación de la resolución recaída en el proceso judicial previo establecido por el art. 43.2 de la Ley Orgánica de este Tribunal (LOTC). Parte el Letrado autonómico de la premisa de que el recurso de amparo se ha formulado por el cauce del art. 43 LOTC. Y añade que, habida cuenta de que la Sentencia dictada por la Sección Segunda de la Sala de lo Contencioso-Administrativo del Tribunal Superior de Justicia de Castilla y León, con sede en Valladolid, le fue notificada a la ahora demandante de amparo el 25 de junio de 2009, el referido plazo finalizó el 23 de julio de 2009, de modo que la presentación del recurso al día siguiente (24 de julio de 2009) ha de reputarse extemporánea. Añade el Letrado autonómico que la doctrina sentada en la STC 230/2006, de 17 de julio, descarta la aplicación —supletoria ex art. 80 LOTC— al caso del apartado 1 del art. 135 de la Ley de enjuiciamiento civil, que autoriza la presentación de escritos sujetos a plazo “hasta las quince horas del día hábil siguiente al del vencimiento del plazo, en el servicio común procesal creado a tal efecto o, de no existir éste, en la sede del órgano judicial.”</w:t>
      </w:r>
    </w:p>
    <w:p w:rsidR="00D06117" w:rsidRDefault="00D06117" w:rsidP="00D06117">
      <w:pPr>
        <w:pStyle w:val="TextoNormal"/>
      </w:pPr>
    </w:p>
    <w:p w:rsidR="00D06117" w:rsidRDefault="00D06117" w:rsidP="00D06117">
      <w:pPr>
        <w:pStyle w:val="TextoNormal"/>
      </w:pPr>
      <w:r>
        <w:t>Con independencia de que, efectivamente, éste no es un recurso de amparo mixto, sino un recurso del art. 43 LOTC, ya que la vulneración del art. 25.1 CE se imputa directamente a la Administración autonómica en ejercicio de su potestad sancionadora, la posibilidad de presentación del recurso hasta las 15 horas del siguiente día hábil al del vencimiento del plazo de interposición, esto es, el día 24 de julio de 2009, aparece ya expresamente prevista en el art. 85.2 LOTC, en la redacción dada al mismo por la Ley Orgánica 6/2007, de 24 de mayo. Ello permite descartar la concurrencia del motivo de inadmisibilidad del recurso de amparo opuesta por el Letrado de la Junta de Castilla y León.</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En el caso que ahora nos ocupa, Bodegas Antaño, S.A., fue sancionada por la realización de una conducta —utilización indebida de contraetiquetas propias del vino de calidad producido en una región determinada— tipificada como infracción muy grave en el art. 40.2 d) de la Ley 24/2003, de 10 de julio, de la viña y del vino. En su defensa la sociedad adujo que dicho precepto legal no es aplicable en la Comunidad Autónoma de Castilla y León porque las Cortes de Castilla y León, en ejercicio de las competencias autonómicas en materia de agricultura y denominaciones de origen (art. 32.1.7 y 32 de la Ley Orgánica 4/1983, de 25 de febrero, de Estatuto de Autonomía de Castilla y León, en la redacción dada por la Ley Orgánica 4/1999, de 8 de enero), aprobaron la Ley 8/2005, de 10 de junio, de la viña y del vino de Castilla y León, norma legal que desplaza a la ley estatal en todo aquello que no tenga carácter básico, como sucede en el caso del art. 40.2 d), al que no se atribuye formalmente tal condición en el apartado segundo de la disposición final segunda de la Ley 24/2003.</w:t>
      </w:r>
    </w:p>
    <w:p w:rsidR="00D06117" w:rsidRDefault="00D06117" w:rsidP="00D06117">
      <w:pPr>
        <w:pStyle w:val="TextoNormal"/>
      </w:pPr>
    </w:p>
    <w:p w:rsidR="00D06117" w:rsidRDefault="00D06117" w:rsidP="00D06117">
      <w:pPr>
        <w:pStyle w:val="TextoNormal"/>
      </w:pPr>
      <w:r>
        <w:t>Esta alegación fue refutada por la Administración autonómica por dos razones distintas. La primera se apoya en una interpretación del art. 42 de la Ley de la viña y del vino de Castilla y León, conforme al cual “con carácter general, el régimen sancionador en las materias objeto de la presente Ley será el establecido en la legislación básica de la Viña y del Vino, sin perjuicio de lo que se dispone en los artículos siguientes”, que hace de la expresión “legislación básica” un sinónimo de “legislación estatal” en la materia pues aquélla “es una expresión genérica y tiene como finalidad remitirse a la totalidad del régimen sancionador que contiene la Ley 24/2003, de 10 de julio, de la Viña y el vino, sin distinguir entre preceptos básicos y no básicos”. La segunda predica la aplicación del precepto estatal como Derecho supletorio ex art. 149.3 CE habida cuenta de que, en palabras de la Administración autora de la resolución sancionadora controvertida en este proceso constitucional, no puede “dejarse pasar sin ser sancionada una conducta tan grave como es la cesión de contraetiquetas entre bodegas, cuando, además, dicha conducta es constitutiva de una infracción muy grave tal y como prevé el artículo 40.2 d) de la Ley 24/2003, artículo que es aplicable en la Comunidad Autónoma de Castilla y León en virtud de la citada cláusula de supletoriedad recogida en el texto Constitucional.”</w:t>
      </w:r>
    </w:p>
    <w:p w:rsidR="00D06117" w:rsidRDefault="00D06117" w:rsidP="00D06117">
      <w:pPr>
        <w:pStyle w:val="TextoNormal"/>
      </w:pPr>
    </w:p>
    <w:p w:rsidR="00D06117" w:rsidRDefault="00D06117" w:rsidP="00D06117">
      <w:pPr>
        <w:pStyle w:val="TextoNormal"/>
      </w:pPr>
      <w:r>
        <w:t xml:space="preserve">Por su parte, la Sección Segunda de la Sala de lo Contencioso-Administrativo del Tribunal Superior de Justicia de Castilla y León, con sede en Valladolid, en su Sentencia 1244/2009, de 14 de mayo, hizo hincapié en el primero de estos argumentos. Entiende el indicado órgano judicial en dicha resolución que el legislador autonómico ha remitido a la Ley 24/2003, de 10 de julio, en su conjunto, sin excluir aquellos preceptos a los cuales el legislador estatal no les ha atribuido formalmente la condición de básicos porque éstos no han sido desplazados sino, antes bien, “asumidos” por la Ley de la viña y del vino de Castilla y León. En apoyo de esta interpretación del alcance de la remisión que la disposición autonómica efectúa a la norma estatal se apuntan tres razones, a saber: que no ha mediado desplazamiento porque la ley autonómica “no lo dice de forma expresa”; por razones de orden lógico, a cuyos efectos se indica que también en relación con las medidas cautelares el art. 45 de la propia ley territorial se remite a lo dispuesto “en la legislación básica de la viña y del vino”, siendo así que el único precepto de la ley estatal en la materia (art. 35) no tiene atribuido —tampoco— carácter básico; y, finalmente,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w:t>
      </w:r>
      <w:r>
        <w:lastRenderedPageBreak/>
        <w:t>que legalmente les están reservados, en defensa de los productores y consumidores frente a su uso indebido … Y desde esta perspectiva … difícilmente puede sostenerse que el legislador autonómico no quisiera tipificar como infracción la utilización indebida de contraetiquetas”.</w:t>
      </w:r>
    </w:p>
    <w:p w:rsidR="00D06117" w:rsidRDefault="00D06117" w:rsidP="00D06117">
      <w:pPr>
        <w:pStyle w:val="TextoNormal"/>
      </w:pPr>
    </w:p>
    <w:p w:rsidR="00D06117" w:rsidRDefault="00D06117" w:rsidP="00D06117">
      <w:pPr>
        <w:pStyle w:val="TextoNormal"/>
      </w:pPr>
      <w:r>
        <w:t>Bodegas Antaño, S.A., reitera ahora la denuncia de vulneración del derecho a la legalidad (art. 25.1 CE) porque, contrariamente a los argumentos expuestos, entiende que ha sido sancionada por una conducta que no constituye infracción administrativa en el territorio de Castilla y León. Como ya hemos avanzado anteriormente, el Ministerio Fiscal participa de esta misma opinión, de la que discrepa la representación procesal de la Junta de Castilla y León.</w:t>
      </w:r>
    </w:p>
    <w:p w:rsidR="00D06117" w:rsidRDefault="00D06117" w:rsidP="00D06117">
      <w:pPr>
        <w:pStyle w:val="TextoNormal"/>
      </w:pPr>
    </w:p>
    <w:p w:rsidR="00D06117" w:rsidRDefault="00D06117" w:rsidP="00D06117">
      <w:pPr>
        <w:pStyle w:val="TextoNormal"/>
      </w:pPr>
      <w:r w:rsidRPr="00D06117">
        <w:rPr>
          <w:rStyle w:val="NumeroAFNegritaCaracter"/>
        </w:rPr>
        <w:t>4</w:t>
      </w:r>
      <w:r>
        <w:t>. Toda vez que en el presente recurso de amparo se denuncia una lesión del derecho a la legalidad sancionadora proclamado en el art. 25.1 CE, conviene recordar que en las SSTC 135/2010, de 2 de diciembre, FJ 4, y 144/2011, de 26 de septiembre, FJ 4, este Tribunal ha hecho hincapié en que ese derecho fundamental incorpora la regla nullum crimen nulla poena sine lege, de aplicación al ordenamiento administrativo sancionador y que comprende una doble garantía, formal y material. Esta última trae causa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A su vez, la garantía formal hace referencia al rango necesario de las normas tipificadoras de esas conductas y sanciones “toda vez que la doctrina constitucional reitera que el término ‘legislación vigente’ contenido en el art. 25.1 CE es expresivo de una reserva de ley en materia sancionadora (por todas STC 77/2006, de 13 de marzo, FJ único y jurisprudencia allí citada)”.</w:t>
      </w:r>
    </w:p>
    <w:p w:rsidR="00D06117" w:rsidRDefault="00D06117" w:rsidP="00D06117">
      <w:pPr>
        <w:pStyle w:val="TextoNormal"/>
      </w:pPr>
    </w:p>
    <w:p w:rsidR="00D06117" w:rsidRDefault="00D06117" w:rsidP="00D06117">
      <w:pPr>
        <w:pStyle w:val="TextoNormal"/>
      </w:pPr>
      <w:r>
        <w:t>En esas mismas Sentencias se indicaba igualmente que la aplicación de dicha doctrina al ámbito administrativo sancionador presenta algunas matizaciones, “como el alcance de la reserva de ley contenida en el art. 25.1 CE que tiene, en el ámbito del Derecho administrativo sancionador, una eficacia relativa o limitada, no pudiendo ser tan estricto como el que se aplica a los tipos y sanciones penales por distintas razones que atañen ‘al modelo constitucional de distribución de las potestades públicas, bien por el carácter en cierto modo insuprimible de la potestad reglamentaria en ciertas materias’ (STC 2/1987, de 21 de enero), bien ‘por exigencias de prudencia o de oportunidad que pueden variar en los distintos ámbitos de ordenación territoriales (STC 87/1985, de 16 de julio) o materiales’. De este modo, 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de tal forma que quede totalmente excluido que las remisiones de la ley al reglamento hagan posible una regulación independiente y no claramente subordinada a la ley (STC 104/2009, de 4 de mayo, FFJJ 2 y 3 y jurisprudencia allí citada).”</w:t>
      </w:r>
    </w:p>
    <w:p w:rsidR="00D06117" w:rsidRDefault="00D06117" w:rsidP="00D06117">
      <w:pPr>
        <w:pStyle w:val="TextoNormal"/>
      </w:pPr>
    </w:p>
    <w:p w:rsidR="00D06117" w:rsidRDefault="00D06117" w:rsidP="00D06117">
      <w:pPr>
        <w:pStyle w:val="TextoNormal"/>
      </w:pPr>
      <w:r>
        <w:t xml:space="preserve">Por su relevancia para la adecuada resolución del presente caso hay que recordar que la garantía material del principio de legalidad tiene implicaciones tanto para el legislador como </w:t>
      </w:r>
      <w:r>
        <w:lastRenderedPageBreak/>
        <w:t>para los órganos judiciales. Según hemos tenido ocasión de advertir, “en su labor de interpretación y aplicación de las leyes penales, estos últimos se hallan también sometidos al principio de tipicidad, en el sentido de que, por un lado, se encuentran en una situación de sujeción estricta a la ley penal (SSTC 133/1987, de 21 de julio, FJ 5; … 232/1997, de 16 de diciembre, FJ 2) y, por otro, les está vedada la interpretación extensiva y la analogía in malam partem (SSTC 81/1995, de 5 de junio, FJ 5; … 170/2002, de 30 de septiembre, FJ 12), es decir, la exégesis y aplicación de las normas fuera de los supuestos y de los límites que ellas mismas determinan. El que estas técnicas jurídicas, que tan fértiles resultados producen en otros sectores del ordenamiento jurídico, estén prohibidas en el ámbito penal y sancionador obedece a que en caso contrario las mismas se convertirían en fuente creadora de delitos y penas y, por su parte, el aplicador de la nueva norma así obtenida invadiría el ámbito que sólo al legislador corresponde, en contra de los postulados del principio de división de poderes (SSTC 133/1987, de 21 de julio, FJ 4; … 127/2001, de 4 de junio, FJ 4).” (SSTC 38/2003, de 27 de febrero, FJ 8; y 220/2007, de 5 de noviembre, FJ 4).</w:t>
      </w:r>
    </w:p>
    <w:p w:rsidR="00D06117" w:rsidRDefault="00D06117" w:rsidP="00D06117">
      <w:pPr>
        <w:pStyle w:val="TextoNormal"/>
      </w:pPr>
    </w:p>
    <w:p w:rsidR="00D06117" w:rsidRDefault="00D06117" w:rsidP="00D06117">
      <w:pPr>
        <w:pStyle w:val="TextoNormal"/>
      </w:pPr>
      <w:r w:rsidRPr="00D06117">
        <w:rPr>
          <w:rStyle w:val="NumeroAFNegritaCaracter"/>
        </w:rPr>
        <w:t>5</w:t>
      </w:r>
      <w:r>
        <w:t>. El examen del presente supuesto a la luz de la doctrina sintetizada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 habida cuenta de que ninguno de los argumentos esgrimidos por la Administración autora del acto, y luego parcialmente asumidos por la Sección Segunda de la Sala de lo Contencioso-Administrativo del Tribunal Superior de Justicia de Castilla y León, con sede en Valladolid, justifica en términos constitucionalmente conformes la aplicación al caso del indicado precepto de la ley estatal de la viña y del vino.</w:t>
      </w:r>
    </w:p>
    <w:p w:rsidR="00D06117" w:rsidRDefault="00D06117" w:rsidP="00D06117">
      <w:pPr>
        <w:pStyle w:val="TextoNormal"/>
      </w:pPr>
    </w:p>
    <w:p w:rsidR="00D06117" w:rsidRDefault="00D06117" w:rsidP="00D06117">
      <w:pPr>
        <w:pStyle w:val="TextoNormal"/>
      </w:pPr>
      <w:r>
        <w:t>En efecto,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 Al prescindirse del significado propio de la expresión “legislación básica” se genera incertidumbre acerca de las conductas que, en materia vitivinícola, puedan merecer una respuesta represora por parte de la Administración autonómica de Castilla y León, toda vez que no quedan limitadas a aquellas expresamente caracterizadas como básicas por el legislador en cumplimiento del requisito formal de lo básico.</w:t>
      </w:r>
    </w:p>
    <w:p w:rsidR="00D06117" w:rsidRDefault="00D06117" w:rsidP="00D06117">
      <w:pPr>
        <w:pStyle w:val="TextoNormal"/>
      </w:pPr>
    </w:p>
    <w:p w:rsidR="00D06117" w:rsidRDefault="00D06117" w:rsidP="00D06117">
      <w:pPr>
        <w:pStyle w:val="TextoNormal"/>
      </w:pPr>
      <w:r>
        <w:t xml:space="preserve">Esta expansión de la remisión realizada por el legislador autonómico castellano-leonés desde lo básico —a lo que específica y exclusivamente alcanza—, hasta incluir la totalidad de normas dictadas por el Estado en materia vitivinícola, no resulta, frente a lo que parece </w:t>
      </w:r>
      <w:r>
        <w:lastRenderedPageBreak/>
        <w:t>entender la Sentencia dictada por la Sección Segunda de la Sala de lo Contencioso-Administrativo del Tribunal Superior de Justicia de Castilla y León, con sede en Valladolid, del hecho de que el legislador autonómico no haya satisfecho de declarar que con la aprobación de la Ley de las Cortes de Castilla y León 8/2005, de 10 de junio, procedía a desplazar las normas no básicas dictadas por el Estado en la materia, pues no pesa tal carga sobre el legislador autonómico, de modo que su silencio respecto de aquello que no está obligado a pronunciarse no puede entenderse como ejercicio incompleto de las competencias normativas. Tampoco se justifica por el hecho de que en otros ámbitos —distintos del sancionador—, la remisión pueda extenderse más allá de los límites a los que ha de ceñirse cuando de la definición de ilícitos se trata; la interpretación extensiva, por fértil que pueda ser en otros sectores del ordenamiento, está prohibida en el ámbito penal y en el sancionador porque, de lo contrario, el aplicador de la norma se transmutaría en creador de la misma, invadiendo el ámbito del legislador, como hemos reseñado en el anterior fundamento jurídico.</w:t>
      </w:r>
    </w:p>
    <w:p w:rsidR="00D06117" w:rsidRDefault="00D06117" w:rsidP="00D06117">
      <w:pPr>
        <w:pStyle w:val="TextoNormal"/>
      </w:pPr>
    </w:p>
    <w:p w:rsidR="00D06117" w:rsidRDefault="00D06117" w:rsidP="00D06117">
      <w:pPr>
        <w:pStyle w:val="TextoNormal"/>
      </w:pPr>
      <w:r>
        <w:t>Esa transmutación —y la advertida invasión del ámbito reservado en exclusiva al legislador— se produce cuando el aplicador de la norma deduce el carácter ilícito de la conducta no de la decisión expresa del legislador sino de la consideración, realizada en la Sentencia de apelación, de que “difícilmente puede sostenerse que el Legislador autonómico no quisiera tipificar como infracción la utilización indebida de contraetiquetas”. Estamos en presencia de una valoración penológica de la conducta in abstracto (función propia del creador de la norma) y no ante un juicio calificativo de unos concretos hechos (tarea que le corresponde al aplicador del Derecho).</w:t>
      </w:r>
    </w:p>
    <w:p w:rsidR="00D06117" w:rsidRDefault="00D06117" w:rsidP="00D06117">
      <w:pPr>
        <w:pStyle w:val="TextoNormal"/>
      </w:pPr>
    </w:p>
    <w:p w:rsidR="00D06117" w:rsidRDefault="00D06117" w:rsidP="00D06117">
      <w:pPr>
        <w:pStyle w:val="TextoNormal"/>
      </w:pPr>
      <w:r w:rsidRPr="00D06117">
        <w:rPr>
          <w:rStyle w:val="NumeroAFNegritaCaracter"/>
        </w:rPr>
        <w:t>6</w:t>
      </w:r>
      <w:r>
        <w:t>. El mismo vicio concurre en la argumentación sobre la que se asienta la afirmación de que la tipificación del art. 40.2 d) de la Ley 24/2003, de la viña y del vino, es aplicable en el territorio de Castilla y León a resultas de la cláusula de supletoriedad del art. 149.3 CE porque, según se afirma en la resolución administrativa sancionadora, no puede “dejarse pasar sin ser sancionada una conducta tan grave como es la cesión de contraetiquetas entre bodegas”. Se trata de una valoración abstracta de comportamientos y no ante un juicio sobre hechos concretos, que es aquello que cabalmente corresponde al aplicador de la norma. Además, la aplicación de Derecho supletorio ha de partir de la constatación de la existencia de una laguna, de un vacío de regulación, que no existe cuando falta la tipificación de una concreta conducta pues, en tales casos, no hay laguna jurídica alguna habida cuenta de que no existen conductas materialmente merecedoras de castigo en defecto de regulación legal al respecto.</w:t>
      </w:r>
    </w:p>
    <w:p w:rsidR="00D06117" w:rsidRDefault="00D06117" w:rsidP="00D06117">
      <w:pPr>
        <w:pStyle w:val="TextoNormal"/>
      </w:pPr>
    </w:p>
    <w:p w:rsidR="00D06117" w:rsidRDefault="00D06117" w:rsidP="00D06117">
      <w:pPr>
        <w:pStyle w:val="TextoNormal"/>
      </w:pPr>
      <w:r>
        <w:t xml:space="preserve">La falta de predeterminación de la ilicitud de una conducta no es un defecto que deba resolverse o una laguna que sea preciso colmar porque en ausencia de esa predeterminación no cabe reproche formalizado alguno. En lo que ahora interesa, cuando el legislador autonómico, al ejercer una determinada competencia, no tipifica una concreta conducta, no está ejerciendo de manera incompleta sus potestades de ordenación de un determinado sector de la vida social. La tipificación de infracciones administrativas no consiste en la definición de un elenco mínimo susceptible de completarse a resultas de la valoración del reproche material que eventualmente pueda formular el aplicador del Derecho respecto de determinados comportamientos, sino la definición completa y cerrada de conductas ilícitas, más allá de las cuales no hay lagunas sino actuaciones lícitas que no pueden ser objeto de represión jurídica. Por lo demás, y frente a lo señalado por la representación de la Junta de Castilla y León, por muy razonable o lógica que pueda parecer la tipificación de ciertas conductas, no </w:t>
      </w:r>
      <w:r>
        <w:lastRenderedPageBreak/>
        <w:t>es el particular, en este caso una persona jurídica, quien deba padecer las consecuencias de una deficiente, incorrecta o incompleta tipificación de las mismas por exigencia del art. 25.1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Bodegas Antaño, S.A., y, en consecuencia:</w:t>
      </w:r>
    </w:p>
    <w:p w:rsidR="00D06117" w:rsidRDefault="00D06117" w:rsidP="00D06117">
      <w:pPr>
        <w:pStyle w:val="TextoNormal"/>
      </w:pPr>
    </w:p>
    <w:p w:rsidR="00D06117" w:rsidRDefault="00D06117" w:rsidP="00D06117">
      <w:pPr>
        <w:pStyle w:val="TextoNormal"/>
      </w:pPr>
      <w:r>
        <w:t>1º. Declarar vulnerado su derecho fundamental a la legalidad sancionadora (art. 25.1 CE).</w:t>
      </w:r>
    </w:p>
    <w:p w:rsidR="00D06117" w:rsidRDefault="00D06117" w:rsidP="00D06117">
      <w:pPr>
        <w:pStyle w:val="TextoNormal"/>
      </w:pPr>
    </w:p>
    <w:p w:rsidR="00D06117" w:rsidRDefault="00D06117" w:rsidP="00D06117">
      <w:pPr>
        <w:pStyle w:val="TextoNormal"/>
      </w:pPr>
      <w:r>
        <w:t>2º. Restablecerla en su derecho y, a tal fin, declarar la nulidad de la Orden del Consejero de Agricultura y Ganadería de la Junta de Castilla y León de 19 de octubre de 2006, por la que se le impone a Bodegas Antaño, S.A., una sanción de 60.000 euros como autora de una infracción del art. 40.2 d) de la Ley 24/2003, de 10 de julio, de la viña y del vino, así como de la Sentencia de la Sección Segunda de la Sala de lo Contencioso-Administrativo del Tribunal Superior de Justicia de Castilla y León, con sede en Valladolid, 1244/2009, de 14 de mayo.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4" w:name="SENTENCIA_2012_91"/>
      <w:r>
        <w:lastRenderedPageBreak/>
        <w:t>SENTENCIA 91/2012, de 7 de mayo de 2012</w:t>
      </w:r>
    </w:p>
    <w:bookmarkEnd w:id="94"/>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ECLI:ES:TC:2012:91</w:t>
      </w:r>
    </w:p>
    <w:p w:rsidR="00D06117" w:rsidRDefault="00D06117" w:rsidP="00D06117">
      <w:pPr>
        <w:pStyle w:val="SntesisDescriptiva"/>
      </w:pPr>
    </w:p>
    <w:p w:rsidR="00D06117" w:rsidRDefault="00D06117" w:rsidP="00D06117">
      <w:pPr>
        <w:pStyle w:val="SntesisDescriptiva"/>
      </w:pPr>
      <w:r>
        <w:t>Cuestión de inconstitucionalidad 9690-2009. Planteada por el Juzgado de lo Contencioso-Administrativo núm. 1 de Elche, en relación con el artículo 81 del texto articulado de la Ley sobre tráfico, circulación de vehículos a motor y seguridad vial, aprobado por Real Decreto Legislativo 339/1990, de 2 de marzo, y el artículo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subsidiariamente, en relación con el artículo 100.7 de la Ley 29/1998, de 13 de julio, reguladora de la Jurisdicción Contencioso-Administrativa.</w:t>
      </w:r>
    </w:p>
    <w:p w:rsidR="00D06117" w:rsidRDefault="00D06117" w:rsidP="00D06117">
      <w:pPr>
        <w:pStyle w:val="SntesisDescriptiva"/>
      </w:pPr>
    </w:p>
    <w:p w:rsidR="00D06117" w:rsidRDefault="00D06117" w:rsidP="00D06117">
      <w:pPr>
        <w:pStyle w:val="SntesisAnaltica"/>
      </w:pPr>
      <w:r>
        <w:t>Principios de seguridad jurídica, independencia judicial y supremacía del Tribunal Constitucional en materia de garantías constitucionales: STC 37/2012.</w:t>
      </w:r>
    </w:p>
    <w:p w:rsidR="00D06117" w:rsidRDefault="00D06117" w:rsidP="00D06117">
      <w:pPr>
        <w:pStyle w:val="SntesisAnaltica"/>
      </w:pPr>
    </w:p>
    <w:p w:rsidR="00D06117" w:rsidRDefault="00D06117" w:rsidP="00D06117">
      <w:pPr>
        <w:pStyle w:val="Extracto"/>
      </w:pPr>
      <w:r>
        <w:t>1.</w:t>
      </w:r>
      <w:r>
        <w:tab/>
        <w:t>Las dudas de constitucionalidad que se plantean en la presente cuestión en relación con el contenido normativo de los arts. 81 LSV y 132 LPC, determinado por la doctrina legal vinculante establecida en dos sentencias del Tribunal Supremo en interés de ley, han sido ya resueltas por este Tribunal en la STC 37/2012 [FFJJ 2 a 4].</w:t>
      </w:r>
    </w:p>
    <w:p w:rsidR="00D06117" w:rsidRDefault="00D06117" w:rsidP="00D06117">
      <w:pPr>
        <w:pStyle w:val="Extracto"/>
      </w:pPr>
    </w:p>
    <w:p w:rsidR="00D06117" w:rsidRDefault="00D06117" w:rsidP="00D06117">
      <w:pPr>
        <w:pStyle w:val="Extracto"/>
      </w:pPr>
      <w:r>
        <w:t>2.</w:t>
      </w:r>
      <w:r>
        <w:tab/>
        <w:t xml:space="preserve">El mandato normativo de los arts. 81 LSV y 132 LPC no vulnera el principio de seguridad jurídica, </w:t>
      </w:r>
      <w:r w:rsidRPr="00D06117">
        <w:rPr>
          <w:i/>
        </w:rPr>
        <w:t>ex</w:t>
      </w:r>
      <w:r>
        <w:t xml:space="preserve"> art. 9.3 CE, puesto que aparece enunciado, con el contenido establecido por la Sala de lo Contencioso-Administrativo del Tribunal Supremo en dos Sentencias en interés de ley, con suficiente claridad, eliminando cualquier sombra de incertidumbre acerca de su contenido y alcance en cuanto a la fijación del </w:t>
      </w:r>
      <w:r w:rsidRPr="00D06117">
        <w:rPr>
          <w:i/>
        </w:rPr>
        <w:t>dies a quo</w:t>
      </w:r>
      <w:r>
        <w:t xml:space="preserve"> del cómputo del plazo de prescripción de las infracciones y sanciones administrativas (STC 37/2012) [FFJJ 1, 4].</w:t>
      </w:r>
    </w:p>
    <w:p w:rsidR="00D06117" w:rsidRDefault="00D06117" w:rsidP="00D06117">
      <w:pPr>
        <w:pStyle w:val="Extracto"/>
      </w:pPr>
    </w:p>
    <w:p w:rsidR="00D06117" w:rsidRDefault="00D06117" w:rsidP="00D06117">
      <w:pPr>
        <w:pStyle w:val="Extracto"/>
      </w:pPr>
      <w:r>
        <w:t>3.</w:t>
      </w:r>
      <w:r>
        <w:tab/>
        <w:t>La doctrina legal establecida por el Tribunal Supremo que establece el contenido normativo de los arts. 81 LSV y 132 LPC no resulta contraria ni a la doctrina del Tribunal Constitucional que considera el silencio administrativo como ficción legal para poder recurrir ante la jurisdicción contencioso-administrativa ni, en consecuencia, al art. 123.1 CE (STC 37/2012) [FJ 4].</w:t>
      </w:r>
    </w:p>
    <w:p w:rsidR="00D06117" w:rsidRDefault="00D06117" w:rsidP="00D06117">
      <w:pPr>
        <w:pStyle w:val="Extracto"/>
      </w:pPr>
    </w:p>
    <w:p w:rsidR="00D06117" w:rsidRDefault="00D06117" w:rsidP="00D06117">
      <w:pPr>
        <w:pStyle w:val="Extracto"/>
      </w:pPr>
      <w:r>
        <w:t>4.</w:t>
      </w:r>
      <w:r>
        <w:tab/>
        <w:t xml:space="preserve">El art. 100.7 LJCA establece el carácter vinculante de las sentencias del Tribunal Supremo que estiman los recursos de casación en interés de ley, lo que no vulnera el principio de independencia judicial, </w:t>
      </w:r>
      <w:r w:rsidRPr="00D06117">
        <w:rPr>
          <w:i/>
        </w:rPr>
        <w:t>ex</w:t>
      </w:r>
      <w:r>
        <w:t xml:space="preserve"> art. 117.1 CE, ya que los Jueces o Tribunales de grado inferior no vienen compelidos a resolver el litigio ateniéndose al contenido del precepto legal que resulta concretado por dichas sentencias si estiman que este pudiera ser contrario a la Constitución, al poder plantear cuestión </w:t>
      </w:r>
      <w:r>
        <w:lastRenderedPageBreak/>
        <w:t>de inconstitucionalidad ante el Tribunal Constitucional (SSTC 133/1995, 37/2012) [FJ 3].</w:t>
      </w:r>
    </w:p>
    <w:p w:rsidR="00D06117" w:rsidRDefault="00D06117" w:rsidP="00D06117">
      <w:pPr>
        <w:pStyle w:val="Extracto"/>
      </w:pPr>
    </w:p>
    <w:p w:rsidR="00D06117" w:rsidRDefault="00D06117" w:rsidP="00D06117">
      <w:pPr>
        <w:pStyle w:val="Extracto"/>
      </w:pPr>
      <w:r>
        <w:t>5.</w:t>
      </w:r>
      <w:r>
        <w:tab/>
        <w:t>La independencia judicial permite que los órganos judiciales inferiores en grado discrepen del criterio sostenido por Tribunales superiores, con la excepción del supuesto de la doctrina legal que establezca el Tribunal Supremo al resolver el recurso de casación en interés de ley so pena de incurrir en infracción del art. 24.1 CE por inaplicar el precepto legal con el contenido determinado por esa doctrina legal (SSTC 308/2006, 82/2009 y 37/2012) [FJ 3].</w:t>
      </w:r>
    </w:p>
    <w:p w:rsidR="00D06117" w:rsidRDefault="00D06117" w:rsidP="00D06117">
      <w:pPr>
        <w:pStyle w:val="Extracto"/>
      </w:pPr>
    </w:p>
    <w:p w:rsidR="00D06117" w:rsidRDefault="00D06117" w:rsidP="00D06117">
      <w:pPr>
        <w:pStyle w:val="Extracto"/>
      </w:pPr>
      <w:r>
        <w:t>6.</w:t>
      </w:r>
      <w:r>
        <w:tab/>
        <w:t>El recurso de casación en interés de la ley tiene una función integradora del Derecho, pues mediante el establecimiento por el Tribunal Supremo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(SSTC 111/1992, 37/2012) [FJ 3].</w:t>
      </w:r>
    </w:p>
    <w:p w:rsidR="00D06117" w:rsidRDefault="00D06117" w:rsidP="00D06117">
      <w:pPr>
        <w:pStyle w:val="Extracto"/>
      </w:pPr>
    </w:p>
    <w:p w:rsidR="00D06117" w:rsidRDefault="00D06117" w:rsidP="00D06117">
      <w:pPr>
        <w:pStyle w:val="Extracto"/>
      </w:pPr>
      <w:r>
        <w:t>7.</w:t>
      </w:r>
      <w:r>
        <w:tab/>
        <w:t xml:space="preserve">La doctrina legal vinculante establecida por el Tribunal Supremo para Jueces y Tribunales inferiores en grado del orden jurisdiccional contencioso-administrativo no sólo preserva la seguridad jurídica sino que además garantiza que el </w:t>
      </w:r>
      <w:r w:rsidRPr="00D06117">
        <w:rPr>
          <w:i/>
        </w:rPr>
        <w:t>status</w:t>
      </w:r>
      <w:r>
        <w:t xml:space="preserve"> jurídico de los ciudadanos sea igual en todo el territorio nacional (STC 37/2012) [FJ 4].</w:t>
      </w:r>
    </w:p>
    <w:p w:rsidR="00D06117" w:rsidRDefault="00D06117" w:rsidP="00D06117">
      <w:pPr>
        <w:pStyle w:val="Extracto"/>
      </w:pPr>
    </w:p>
    <w:p w:rsidR="00D06117" w:rsidRDefault="00D06117" w:rsidP="00D06117">
      <w:pPr>
        <w:pStyle w:val="Extracto"/>
      </w:pPr>
      <w:r>
        <w:t>8.</w:t>
      </w:r>
      <w:r>
        <w:tab/>
        <w:t>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4].</w:t>
      </w:r>
    </w:p>
    <w:p w:rsidR="00D06117" w:rsidRDefault="00D06117" w:rsidP="00D06117">
      <w:pPr>
        <w:pStyle w:val="Extracto"/>
      </w:pPr>
    </w:p>
    <w:p w:rsidR="00D06117" w:rsidRDefault="00D06117" w:rsidP="00D06117">
      <w:pPr>
        <w:pStyle w:val="Extracto"/>
      </w:pPr>
      <w:r>
        <w:t>9.</w:t>
      </w:r>
      <w:r>
        <w:tab/>
        <w:t>La cuestión de inconstitucionalidad cumple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la cuestión de inconstitucionalidad núm. 9690-2009,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subsidiariamente,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Francisco Pérez de los Cobos Orihuel,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14 de diciembre de 2009 tuvo entrada en el registro general de este Tribunal oficio del Juzgado de lo Contencioso-Administrativo núm. 1 de Elche al que se acompañaba, junto con testimonio del procedimiento abreviado núm. 423-2009 tramitado en ese órgano judicial, Auto del referido Juzgado de 16 de octubre de 2009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por la posible contradicción de este precepto con el art. 117.1 CE.</w:t>
      </w:r>
    </w:p>
    <w:p w:rsidR="00D06117" w:rsidRDefault="00D06117" w:rsidP="00D06117">
      <w:pPr>
        <w:pStyle w:val="TextoNormal"/>
      </w:pPr>
    </w:p>
    <w:p w:rsidR="00D06117" w:rsidRDefault="00D06117" w:rsidP="00D06117">
      <w:pPr>
        <w:pStyle w:val="TextoNormal"/>
      </w:pPr>
      <w:r w:rsidRPr="00D06117">
        <w:rPr>
          <w:rStyle w:val="NumeroAFNegritaCaracter"/>
        </w:rPr>
        <w:t>2</w:t>
      </w:r>
      <w:r>
        <w:t>. Del conjunto de las actuaciones remitidas por el órgano judicial proponente resulta que los hechos que dan lugar al planteamiento de la cuestión son, sucintamente expuestos, los que siguen:</w:t>
      </w:r>
    </w:p>
    <w:p w:rsidR="00D06117" w:rsidRDefault="00D06117" w:rsidP="00D06117">
      <w:pPr>
        <w:pStyle w:val="TextoNormal"/>
      </w:pPr>
    </w:p>
    <w:p w:rsidR="00D06117" w:rsidRDefault="00D06117" w:rsidP="00D06117">
      <w:pPr>
        <w:pStyle w:val="TextoNormal"/>
      </w:pPr>
      <w:r>
        <w:t>a) La presente cuestión de inconstitucionalidad se eleva con ocasión de la tramitación, por los cauces del procedimiento abreviado, del recurso contencioso-administrativo interpuesto contra la resolución de la Dirección General de Tráfico de 20 de enero de 2009 que confirma en alzada la imposición de una sanción de 400 euros, por la comisión de la infracción tipificada en el art. 1.2 del reglamento general de conductores, en relación con los arts. 65, 67 y 69 LSV, en virtud de denuncia formulada el 6 de julio de 2006 por agentes de la Jefatura Provincial de Tráfico de Alicante.</w:t>
      </w:r>
    </w:p>
    <w:p w:rsidR="00D06117" w:rsidRDefault="00D06117" w:rsidP="00D06117">
      <w:pPr>
        <w:pStyle w:val="TextoNormal"/>
      </w:pPr>
    </w:p>
    <w:p w:rsidR="00D06117" w:rsidRDefault="00D06117" w:rsidP="00D06117">
      <w:pPr>
        <w:pStyle w:val="TextoNormal"/>
      </w:pPr>
      <w:r>
        <w:t xml:space="preserve">b) Celebrada la vista del procedimiento abreviado, mediante providencia de 15 de julio de 2009 el Juzgado de lo Contencioso-Administrativo núm. 1 de Elche acordó, de conformidad con el art. 35.2 de la Ley Orgánica del Tribunal Constitucional (LOTC), requerir a </w:t>
      </w:r>
      <w:r>
        <w:lastRenderedPageBreak/>
        <w:t>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00D06117" w:rsidRDefault="00D06117" w:rsidP="00D06117">
      <w:pPr>
        <w:pStyle w:val="TextoNormal"/>
      </w:pPr>
    </w:p>
    <w:p w:rsidR="00D06117" w:rsidRDefault="00D06117" w:rsidP="00D06117">
      <w:pPr>
        <w:pStyle w:val="TextoNormal"/>
      </w:pPr>
      <w:r>
        <w:t>c) La Abogacía del Estado se opuso al planteamiento de la cuestión por razones tanto procesales como sustantivas. En cuanto a las primeras, sostuvo el Abogado del Estado que el proceso no se halla concluso y pendiente únicamente del pronunciamiento de la Sentencia, porque el acto de la vista del procedimiento abreviado no se ha celebrado. Respecto de las segundas, alegó el Abogado del Estado que no procede el planteamiento de la cuestión en relación con el art. 81 LSV y el art. 132 LPC, tal como han sido interpretados con carácter vinculante por las Sentencias en interés de ley de la Sala de lo Contencioso-Administrativo del Tribunal Supremo de 15 de diciembre de 2004 y 22 de septiembre de 2008, aduciendo que la duda de constitucionalidad que se suscita por el órgano judicial es sustancialmente idéntica a la planteada en cuestiones precedentes de otros Juzgados de lo Contencioso-Administrativo que fueron inadmitidas por este Tribunal en AATC 10/2006, 11/2006 y 404/2006; a lo que añade el Abogado del Estado que tampoco resulta procedente el planteamiento de la cuestión respecto del art. 100.7 LJCA, por infundada, pues la vinculación de Jueces y Tribunales a la doctrina fijada por el Tribunal Supremo en las Sentencias dictadas en recursos de casación en interés de ley asegura la igualdad y seguridad jurídica de los particulares en la aplicación de las normas, sin perjudicar la independencia judicial.</w:t>
      </w:r>
    </w:p>
    <w:p w:rsidR="00D06117" w:rsidRDefault="00D06117" w:rsidP="00D06117">
      <w:pPr>
        <w:pStyle w:val="TextoNormal"/>
      </w:pPr>
    </w:p>
    <w:p w:rsidR="00D06117" w:rsidRDefault="00D06117" w:rsidP="00D06117">
      <w:pPr>
        <w:pStyle w:val="TextoNormal"/>
      </w:pPr>
      <w:r>
        <w:t>Ni el Ministerio Fiscal ni el demandante en el proceso a quo formularon alegaciones.</w:t>
      </w:r>
    </w:p>
    <w:p w:rsidR="00D06117" w:rsidRDefault="00D06117" w:rsidP="00D06117">
      <w:pPr>
        <w:pStyle w:val="TextoNormal"/>
      </w:pPr>
    </w:p>
    <w:p w:rsidR="00D06117" w:rsidRDefault="00D06117" w:rsidP="00D06117">
      <w:pPr>
        <w:pStyle w:val="TextoNormal"/>
      </w:pPr>
      <w:r>
        <w:t>d) Mediante Auto 16 de octubre de 2009 el Juzgado de lo Contencioso-Administrativo núm. 1 de Elche acordó plantear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en las consideraciones que seguidamente se resumen.</w:t>
      </w:r>
    </w:p>
    <w:p w:rsidR="00D06117" w:rsidRDefault="00D06117" w:rsidP="00D06117">
      <w:pPr>
        <w:pStyle w:val="TextoNormal"/>
      </w:pPr>
    </w:p>
    <w:p w:rsidR="00D06117" w:rsidRDefault="00D06117" w:rsidP="00D06117">
      <w:pPr>
        <w:pStyle w:val="TextoNormal"/>
      </w:pPr>
      <w:r>
        <w:t>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éste uno de los motivos aducidos por el interesado en defensa de la pretensión anulatoria de la resolución administrativa impugnada.</w:t>
      </w:r>
    </w:p>
    <w:p w:rsidR="00D06117" w:rsidRDefault="00D06117" w:rsidP="00D06117">
      <w:pPr>
        <w:pStyle w:val="TextoNormal"/>
      </w:pPr>
    </w:p>
    <w:p w:rsidR="00D06117" w:rsidRDefault="00D06117" w:rsidP="00D06117">
      <w:pPr>
        <w:pStyle w:val="TextoNormal"/>
      </w:pPr>
      <w:r>
        <w:t xml:space="preserve">En cuanto al fondo del asunto, se apuntan las diferencias entre la presente cuestión y la inadmitida por AATC 10/2006,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w:t>
      </w:r>
      <w:r>
        <w:lastRenderedPageBreak/>
        <w:t>10/2006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00D06117" w:rsidRDefault="00D06117" w:rsidP="00D06117">
      <w:pPr>
        <w:pStyle w:val="TextoNormal"/>
      </w:pPr>
    </w:p>
    <w:p w:rsidR="00D06117" w:rsidRDefault="00D06117" w:rsidP="00D06117">
      <w:pPr>
        <w:pStyle w:val="TextoNormal"/>
      </w:pPr>
      <w:r>
        <w:t>De este modo, en opinión del Juzgado promotor,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00D06117" w:rsidRDefault="00D06117" w:rsidP="00D06117">
      <w:pPr>
        <w:pStyle w:val="TextoNormal"/>
      </w:pPr>
    </w:p>
    <w:p w:rsidR="00D06117" w:rsidRDefault="00D06117" w:rsidP="00D06117">
      <w:pPr>
        <w:pStyle w:val="TextoNormal"/>
      </w:pPr>
      <w:r>
        <w:t>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00D06117" w:rsidRDefault="00D06117" w:rsidP="00D06117">
      <w:pPr>
        <w:pStyle w:val="TextoNormal"/>
      </w:pPr>
    </w:p>
    <w:p w:rsidR="00D06117" w:rsidRDefault="00D06117" w:rsidP="00D06117">
      <w:pPr>
        <w:pStyle w:val="TextoNormal"/>
      </w:pPr>
      <w:r>
        <w:t xml:space="preserve">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resultantes de la doctrina legal establecida en interés de ley por las Sentencias de la Sala de lo Contencioso-Administrativo del Tribunal Supremo de 15 de diciembre de 2004 y 22 de septiembre de 2008. El precepto constitucional que se reputa vulnerado es el art. 9.3 CE, </w:t>
      </w:r>
      <w:r>
        <w:lastRenderedPageBreak/>
        <w:t>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00D06117" w:rsidRDefault="00D06117" w:rsidP="00D06117">
      <w:pPr>
        <w:pStyle w:val="TextoNormal"/>
      </w:pPr>
    </w:p>
    <w:p w:rsidR="00D06117" w:rsidRDefault="00D06117" w:rsidP="00D06117">
      <w:pPr>
        <w:pStyle w:val="TextoNormal"/>
      </w:pPr>
      <w:r>
        <w:t>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como una garantía constitucional.</w:t>
      </w:r>
    </w:p>
    <w:p w:rsidR="00D06117" w:rsidRDefault="00D06117" w:rsidP="00D06117">
      <w:pPr>
        <w:pStyle w:val="TextoNormal"/>
      </w:pPr>
    </w:p>
    <w:p w:rsidR="00D06117" w:rsidRDefault="00D06117" w:rsidP="00D06117">
      <w:pPr>
        <w:pStyle w:val="TextoNormal"/>
      </w:pPr>
      <w:r>
        <w:t>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18 de febrero de 2010 el Pleno, a propuesta de la Sección Tercera, acordó admitir a trámite la presente cuestión de inconstitucionalidad y, de conformidad con lo dispuesto en el art. 10.1 c) LOTC, en la redacción dada por la Ley Orgánica 6/2007, de 24 de mayo, reservar para sí el conocimiento de la presente cuestión.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 el “Boletín Oficial del Estado”, lo que se verificó en el núm. 56, de 5 de marzo de 2010.</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el 4 de marzo de 2010, el Presidente del Senado comunicó el acuerdo adoptado por la Mesa de la Cámara, en su reunión del 2 de marzo de 2010,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6</w:t>
      </w:r>
      <w:r>
        <w:t>. El Presidente del Congreso de los Diputados comunicó, por escrito registrado el 5 de marzo de 2010, el acuerdo adoptado por la Mesa de la Cámara, en su reunión del día 2 de marzo de 2010, de personarse en el proceso, ofreciendo su colaboración a los efectos del art. 88.1 LOTC, con remisión a la Dirección de estudios, análisis y publicaciones y a la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7</w:t>
      </w:r>
      <w:r>
        <w:t>. El Abogado del Estado, en la representación que legalmente ostenta, se personó y presentó escrito de alegaciones el 15 de marzo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cuál de los apartados —y en su caso párrafos— de cada uno de dichos preceptos recae su duda de constitucionalidad y cuál sea el nexo entre el tenor legal y el problema de la prescripción mientras pende el recurso de alzada. La falta de exteriorización del juicio de relevancia resulta agravada por la imprecisión del Auto de planteamiento en su parte dispositiva, tanto en lo que se refiere a los preceptos cuestionados, como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00D06117" w:rsidRDefault="00D06117" w:rsidP="00D06117">
      <w:pPr>
        <w:pStyle w:val="TextoNormal"/>
      </w:pPr>
    </w:p>
    <w:p w:rsidR="00D06117" w:rsidRDefault="00D06117" w:rsidP="00D06117">
      <w:pPr>
        <w:pStyle w:val="TextoNormal"/>
      </w:pPr>
      <w:r>
        <w:t>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cuál de las interpretaciones posibles de un precepto legal resulta más acomodada a la Constitución, ni puede servir para ventilar controversias interpretativas entre órganos judiciales.</w:t>
      </w:r>
    </w:p>
    <w:p w:rsidR="00D06117" w:rsidRDefault="00D06117" w:rsidP="00D06117">
      <w:pPr>
        <w:pStyle w:val="TextoNormal"/>
      </w:pPr>
    </w:p>
    <w:p w:rsidR="00D06117" w:rsidRDefault="00D06117" w:rsidP="00D06117">
      <w:pPr>
        <w:pStyle w:val="TextoNormal"/>
      </w:pPr>
      <w:r>
        <w:t>Subsidiariamente, solicita el Abogado del Estado la desestimación de la presente cuestión, pues entiende que, de entrarse en el fondo del asunto, debe concluirse que no existe infracción constitucional alguna.</w:t>
      </w:r>
    </w:p>
    <w:p w:rsidR="00D06117" w:rsidRDefault="00D06117" w:rsidP="00D06117">
      <w:pPr>
        <w:pStyle w:val="TextoNormal"/>
      </w:pPr>
    </w:p>
    <w:p w:rsidR="00D06117" w:rsidRDefault="00D06117" w:rsidP="00D06117">
      <w:pPr>
        <w:pStyle w:val="TextoNormal"/>
      </w:pPr>
      <w:r>
        <w:t>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00D06117" w:rsidRDefault="00D06117" w:rsidP="00D06117">
      <w:pPr>
        <w:pStyle w:val="TextoNormal"/>
      </w:pPr>
    </w:p>
    <w:p w:rsidR="00D06117" w:rsidRDefault="00D06117" w:rsidP="00D06117">
      <w:pPr>
        <w:pStyle w:val="TextoNormal"/>
      </w:pPr>
      <w:r>
        <w:t>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00D06117" w:rsidRDefault="00D06117" w:rsidP="00D06117">
      <w:pPr>
        <w:pStyle w:val="TextoNormal"/>
      </w:pPr>
    </w:p>
    <w:p w:rsidR="00D06117" w:rsidRDefault="00D06117" w:rsidP="00D06117">
      <w:pPr>
        <w:pStyle w:val="TextoNormal"/>
      </w:pPr>
      <w:r>
        <w:t>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00D06117" w:rsidRDefault="00D06117" w:rsidP="00D06117">
      <w:pPr>
        <w:pStyle w:val="TextoNormal"/>
      </w:pPr>
    </w:p>
    <w:p w:rsidR="00D06117" w:rsidRDefault="00D06117" w:rsidP="00D06117">
      <w:pPr>
        <w:pStyle w:val="TextoNormal"/>
      </w:pPr>
      <w:r>
        <w:t>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00D06117" w:rsidRDefault="00D06117" w:rsidP="00D06117">
      <w:pPr>
        <w:pStyle w:val="TextoNormal"/>
      </w:pPr>
    </w:p>
    <w:p w:rsidR="00D06117" w:rsidRDefault="00D06117" w:rsidP="00D06117">
      <w:pPr>
        <w:pStyle w:val="TextoNormal"/>
      </w:pPr>
      <w:r>
        <w:lastRenderedPageBreak/>
        <w:t>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00D06117" w:rsidRDefault="00D06117" w:rsidP="00D06117">
      <w:pPr>
        <w:pStyle w:val="TextoNormal"/>
      </w:pPr>
    </w:p>
    <w:p w:rsidR="00D06117" w:rsidRDefault="00D06117" w:rsidP="00D06117">
      <w:pPr>
        <w:pStyle w:val="TextoNormal"/>
      </w:pPr>
      <w:r w:rsidRPr="00D06117">
        <w:rPr>
          <w:rStyle w:val="NumeroAFNegritaCaracter"/>
        </w:rPr>
        <w:t>8</w:t>
      </w:r>
      <w:r>
        <w:t>. El escrito de alegaciones del Fiscal General del Estado se registró en este Tribunal el 8 de abril de 2010.</w:t>
      </w:r>
    </w:p>
    <w:p w:rsidR="00D06117" w:rsidRDefault="00D06117" w:rsidP="00D06117">
      <w:pPr>
        <w:pStyle w:val="TextoNormal"/>
      </w:pPr>
    </w:p>
    <w:p w:rsidR="00D06117" w:rsidRDefault="00D06117" w:rsidP="00D06117">
      <w:pPr>
        <w:pStyle w:val="TextoNormal"/>
      </w:pPr>
      <w:r>
        <w:t>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arts. 81 LSV y 132 LPC, sino sobre la interpretación vinculante de los mismos impuesta por las citadas Sentencias en interés de ley, en virtud del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00D06117" w:rsidRDefault="00D06117" w:rsidP="00D06117">
      <w:pPr>
        <w:pStyle w:val="TextoNormal"/>
      </w:pPr>
    </w:p>
    <w:p w:rsidR="00D06117" w:rsidRDefault="00D06117" w:rsidP="00D06117">
      <w:pPr>
        <w:pStyle w:val="TextoNormal"/>
      </w:pPr>
      <w:r>
        <w:t xml:space="preserve">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w:t>
      </w:r>
      <w:r>
        <w:lastRenderedPageBreak/>
        <w:t>de la ley en todo el territorio nacional, evitando diferentes soluciones interpretativas de una misma norma legal.</w:t>
      </w:r>
    </w:p>
    <w:p w:rsidR="00D06117" w:rsidRDefault="00D06117" w:rsidP="00D06117">
      <w:pPr>
        <w:pStyle w:val="TextoNormal"/>
      </w:pPr>
    </w:p>
    <w:p w:rsidR="00D06117" w:rsidRDefault="00D06117" w:rsidP="00D06117">
      <w:pPr>
        <w:pStyle w:val="TextoNormal"/>
      </w:pPr>
      <w:r>
        <w:t>Por todo lo expuesto, el Fiscal General del Estado solicita que se desestime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19 de mayo de 2010, el Pleno del Tribunal acordó deferir a la Sala Segunda la resolución de la presente cuestión de inconstitucionalidad, conforme a lo dispuesto en el art. 10.1 c) LOTC.</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3 de mayo de 2012 se señaló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lesiona el principio de seguridad jurídica (art. 9.3 CE), así como el principio de supremacía del Tribunal Constitucional en materia de garantías constitucionales [art. 123.1 CE, en relación con el art. 5.1 de la Ley Orgánica del Poder Judicial (LOPJ)], en cuanto la referida doctrina legal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00D06117" w:rsidRDefault="00D06117" w:rsidP="00D06117">
      <w:pPr>
        <w:pStyle w:val="TextoNormal"/>
      </w:pPr>
    </w:p>
    <w:p w:rsidR="00D06117" w:rsidRDefault="00D06117" w:rsidP="00D06117">
      <w:pPr>
        <w:pStyle w:val="TextoNormal"/>
      </w:pPr>
      <w:r>
        <w:t>De manera alternativa o subsidiaria el Juzgado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w:t>
      </w:r>
    </w:p>
    <w:p w:rsidR="00D06117" w:rsidRDefault="00D06117" w:rsidP="00D06117">
      <w:pPr>
        <w:pStyle w:val="TextoNormal"/>
      </w:pPr>
    </w:p>
    <w:p w:rsidR="00D06117" w:rsidRDefault="00D06117" w:rsidP="00D06117">
      <w:pPr>
        <w:pStyle w:val="TextoNormal"/>
      </w:pPr>
      <w:r w:rsidRPr="00D06117">
        <w:rPr>
          <w:rStyle w:val="NumeroAFNegritaCaracter"/>
        </w:rPr>
        <w:t>2</w:t>
      </w:r>
      <w:r>
        <w:t>. Las dudas de constitucionalidad que se plantean en la presente cuestión han sido ya resueltas por este Tribunal en su reciente STC 37/2012, de 19 de marzo, que desestima la cuestión de inconstitucionalidad promovida por el mismo Juzgado respecto de los mismos preceptos y con los mismos fundamentos, por lo que bastará aquí con remitirse a lo razonado en aquella Sentencia.</w:t>
      </w:r>
    </w:p>
    <w:p w:rsidR="00D06117" w:rsidRDefault="00D06117" w:rsidP="00D06117">
      <w:pPr>
        <w:pStyle w:val="TextoNormal"/>
      </w:pPr>
    </w:p>
    <w:p w:rsidR="00D06117" w:rsidRDefault="00D06117" w:rsidP="00D06117">
      <w:pPr>
        <w:pStyle w:val="TextoNormal"/>
      </w:pPr>
      <w:r>
        <w:lastRenderedPageBreak/>
        <w:t>En la STC 37/2012, FJ 2, comenzamos por precisar que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00D06117" w:rsidRDefault="00D06117" w:rsidP="00D06117">
      <w:pPr>
        <w:pStyle w:val="TextoNormal"/>
      </w:pPr>
    </w:p>
    <w:p w:rsidR="00D06117" w:rsidRDefault="00D06117" w:rsidP="00D06117">
      <w:pPr>
        <w:pStyle w:val="TextoNormal"/>
      </w:pPr>
      <w:r w:rsidRPr="00D06117">
        <w:rPr>
          <w:rStyle w:val="NumeroAFNegritaCaracter"/>
        </w:rPr>
        <w:t>3</w:t>
      </w:r>
      <w:r>
        <w:t>. Efectuada la precisión que antecede, procedimos seguidamente en la STC 37/2012 al examen de la duda de constitucionalidad planteada por el Juzgado de lo Contencioso-Administrativo núm. 1 de Elche de forma subsidiaria o alternativa, es decir, en relación con la posible inconstitucionalidad del art. 100.7 LJCA, por constituir este precepto el presupuesto del que parte el planteamiento de la cuestión, señalando al respecto que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 (STC 37/2012, FJ 3). Y concluíamos descartando que el art. 100.7 LJCA, en la medida en que establece el carácter vinculante de las sentencias del Tribunal Supremo que estiman los recursos de casación en interés de ley, vulnere el principio de independencia judicial (art. 117.1 CE), por las razones que se expresan en la STC 37/2012, FFJJ 4, 5, 6 y 7.</w:t>
      </w:r>
    </w:p>
    <w:p w:rsidR="00D06117" w:rsidRDefault="00D06117" w:rsidP="00D06117">
      <w:pPr>
        <w:pStyle w:val="TextoNormal"/>
      </w:pPr>
    </w:p>
    <w:p w:rsidR="00D06117" w:rsidRDefault="00D06117" w:rsidP="00D06117">
      <w:pPr>
        <w:pStyle w:val="TextoNormal"/>
      </w:pPr>
      <w:r>
        <w:t>Dijimos allí, en efecto, que la independencia judicial, que se predica de todos y cada uno de los jueces y magistrados en cuanto ejercen la función jurisdiccional (STC 108/1986, de 26 de julio, FJ 6), “permite que los órganos judiciales inferiores en grado discrepen, mediante un razonamiento fundado en Derecho, del criterio sostenido por Tribunales superiores e incluso de la jurisprudencia sentada por el Tribunal Supremo (art. 1.6 del Código civil), si fuere el caso …,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 (STC 37/2012, FJ 7).</w:t>
      </w:r>
    </w:p>
    <w:p w:rsidR="00D06117" w:rsidRDefault="00D06117" w:rsidP="00D06117">
      <w:pPr>
        <w:pStyle w:val="TextoNormal"/>
      </w:pPr>
    </w:p>
    <w:p w:rsidR="00D06117" w:rsidRDefault="00D06117" w:rsidP="00D06117">
      <w:pPr>
        <w:pStyle w:val="TextoNormal"/>
      </w:pPr>
      <w:r>
        <w:lastRenderedPageBreak/>
        <w:t>Sin embargo, como seguidamente advertíamos, no por esa vinculación a la doctrina legal de la Sala de lo Contencioso-Administrativo del Tribunal Supremo sentada en las sentencias estimatorias de recursos de casación en interés de ley queda abolida o cercenada la independencia judicial de los órganos judiciales inferiores en grado de dicho orden jurisdiccional. “Ello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(STC 37/2012, FJ 7).</w:t>
      </w:r>
    </w:p>
    <w:p w:rsidR="00D06117" w:rsidRDefault="00D06117" w:rsidP="00D06117">
      <w:pPr>
        <w:pStyle w:val="TextoNormal"/>
      </w:pPr>
    </w:p>
    <w:p w:rsidR="00D06117" w:rsidRDefault="00D06117" w:rsidP="00D06117">
      <w:pPr>
        <w:pStyle w:val="TextoNormal"/>
      </w:pPr>
      <w:r>
        <w:t>Añadimos a lo anterior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7).</w:t>
      </w:r>
    </w:p>
    <w:p w:rsidR="00D06117" w:rsidRDefault="00D06117" w:rsidP="00D06117">
      <w:pPr>
        <w:pStyle w:val="TextoNormal"/>
      </w:pPr>
    </w:p>
    <w:p w:rsidR="00D06117" w:rsidRDefault="00D06117" w:rsidP="00D06117">
      <w:pPr>
        <w:pStyle w:val="TextoNormal"/>
      </w:pPr>
      <w:r w:rsidRPr="00D06117">
        <w:rPr>
          <w:rStyle w:val="NumeroAFNegritaCaracter"/>
        </w:rPr>
        <w:t>4</w:t>
      </w:r>
      <w:r>
        <w:t>. Descartada la inconstitucionalidad del art. 100.7 LJCA, por las razones expresadas, rechazamos seguidamente en la citada STC 37/2012 la duda de constitucionalidad planteada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00D06117" w:rsidRDefault="00D06117" w:rsidP="00D06117">
      <w:pPr>
        <w:pStyle w:val="TextoNormal"/>
      </w:pPr>
    </w:p>
    <w:p w:rsidR="00D06117" w:rsidRDefault="00D06117" w:rsidP="00D06117">
      <w:pPr>
        <w:pStyle w:val="TextoNormal"/>
      </w:pPr>
      <w:r>
        <w:t xml:space="preserve">Así, por lo que se refiere a la pretendida vulneración del principio de seguridad jurídica, con cita de nuestra reiterada doctrina al respecto, declaramos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w:t>
      </w:r>
      <w:r>
        <w:lastRenderedPageBreak/>
        <w:t>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00D06117" w:rsidRDefault="00D06117" w:rsidP="00D06117">
      <w:pPr>
        <w:pStyle w:val="TextoNormal"/>
      </w:pPr>
    </w:p>
    <w:p w:rsidR="00D06117" w:rsidRDefault="00D06117" w:rsidP="00D06117">
      <w:pPr>
        <w:pStyle w:val="TextoNormal"/>
      </w:pPr>
      <w:r>
        <w:t>De igual modo declaramos en la STC 37/2012, FJ 9, que, por las razones que se expresan en los FFJJ 10 y 11 —a los cuales resulta obligado remitirse ahora— no se advierte que el contenido normativo de los arts. 81 LSV y 132 LPC, determinado por la doctrina legal vinculante establecida por el Tribunal Supremo en las citadas sentencias en interés de ley, resulte contrario ni a la doctrina constitucional sobre la configuración del silencio administrativo que se invoca en el Auto de planteamiento de la cuestión, ni, en consecuencia, al art. 123.1 CE, para concluir recordando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5" w:name="SENTENCIA_2012_92"/>
      <w:r>
        <w:lastRenderedPageBreak/>
        <w:t>SENTENCIA 92/2012, de 7 de mayo de 2012</w:t>
      </w:r>
    </w:p>
    <w:bookmarkEnd w:id="95"/>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ECLI:ES:TC:2012:92</w:t>
      </w:r>
    </w:p>
    <w:p w:rsidR="00D06117" w:rsidRDefault="00D06117" w:rsidP="00D06117">
      <w:pPr>
        <w:pStyle w:val="SntesisDescriptiva"/>
      </w:pPr>
    </w:p>
    <w:p w:rsidR="00D06117" w:rsidRDefault="00D06117" w:rsidP="00D06117">
      <w:pPr>
        <w:pStyle w:val="SntesisDescriptiva"/>
      </w:pPr>
      <w:r>
        <w:t>Recurso de amparo 791-2010. Promovido por don Mariano Ariza Jorge en relación con los Autos de la Audiencia Provincial y de un Juzgado de lo Penal de Madrid sobre liquidación de condena.</w:t>
      </w:r>
    </w:p>
    <w:p w:rsidR="00D06117" w:rsidRDefault="00D06117" w:rsidP="00D06117">
      <w:pPr>
        <w:pStyle w:val="SntesisDescriptiva"/>
      </w:pPr>
    </w:p>
    <w:p w:rsidR="00D06117" w:rsidRDefault="00D06117" w:rsidP="00D06117">
      <w:pPr>
        <w:pStyle w:val="SntesisAnaltica"/>
      </w:pPr>
      <w:r>
        <w:t>Vulneración del derecho a la libertad personal: prolongación ilegítima de la privación de libertad al no abonarse, para el cumplimiento de la pena de prisión impuesta, parte del tiempo de la prisión preventiva acordada en la misma causa (STC 57/2008).</w:t>
      </w:r>
    </w:p>
    <w:p w:rsidR="00D06117" w:rsidRDefault="00D06117" w:rsidP="00D06117">
      <w:pPr>
        <w:pStyle w:val="SntesisAnaltica"/>
      </w:pPr>
    </w:p>
    <w:p w:rsidR="00D06117" w:rsidRDefault="00D06117" w:rsidP="00D06117">
      <w:pPr>
        <w:pStyle w:val="Extracto"/>
      </w:pPr>
      <w:r>
        <w:t>1.</w:t>
      </w:r>
      <w:r>
        <w:tab/>
        <w:t>Vulnera el derecho a la libertad personal, al suponer un alargamiento ilegítimo de la situación de privación de libertad que vulnera el art. 17.1 CE, la negativa a abonar en una causa penal, como tiempo de cumplimiento de la pena el período en el que permaneció simultáneamente en la condición de preso preventivo en aquella y de penado en otra causa, pues la distinta funcionalidad de la prisión provisional y de la pena permite que la privación de libertad cumpla materialmente una doble función y efecto jurídico –cautelar y sancionatorio– (SSTC 19/1999, 57/2008) [FFJJ 3, 5, 6].</w:t>
      </w:r>
    </w:p>
    <w:p w:rsidR="00D06117" w:rsidRDefault="00D06117" w:rsidP="00D06117">
      <w:pPr>
        <w:pStyle w:val="Extracto"/>
      </w:pPr>
    </w:p>
    <w:p w:rsidR="00D06117" w:rsidRDefault="00D06117" w:rsidP="00D06117">
      <w:pPr>
        <w:pStyle w:val="Extracto"/>
      </w:pPr>
      <w:r>
        <w:t>2.</w:t>
      </w:r>
      <w:r>
        <w:tab/>
        <w:t>No se aprecia vulneración del derecho a la libertad personal al no considerarse irrazonables las decisiones judiciales que excluyen el abono del mismo tiempo de prisión provisional para el cumplimiento de varias causas, ya que toman en consideración el tenor del enunciado del art. 58.1 del Código penal entonces vigente y atienden al fundamento y la finalidad de la norma [FJ 5].</w:t>
      </w:r>
    </w:p>
    <w:p w:rsidR="00D06117" w:rsidRDefault="00D06117" w:rsidP="00D06117">
      <w:pPr>
        <w:pStyle w:val="Extracto"/>
      </w:pPr>
    </w:p>
    <w:p w:rsidR="00D06117" w:rsidRDefault="00D06117" w:rsidP="00D06117">
      <w:pPr>
        <w:pStyle w:val="Extracto"/>
      </w:pPr>
      <w:r>
        <w:t>3.</w:t>
      </w:r>
      <w:r>
        <w:tab/>
        <w:t>La libertad personal, art. 17.1 CE, puede resultar conculcada tanto cuando se actúa bajo la cobertura improcedente de la ley como cuando se procede contra lo que la ley dispone (SSTC 127/1984, 57/2008) [FJ 4].</w:t>
      </w:r>
    </w:p>
    <w:p w:rsidR="00D06117" w:rsidRDefault="00D06117" w:rsidP="00D06117">
      <w:pPr>
        <w:pStyle w:val="Extracto"/>
      </w:pPr>
    </w:p>
    <w:p w:rsidR="00D06117" w:rsidRDefault="00D06117" w:rsidP="00D06117">
      <w:pPr>
        <w:pStyle w:val="Extracto"/>
      </w:pPr>
      <w:r>
        <w:t>4.</w:t>
      </w:r>
      <w:r>
        <w:tab/>
        <w:t xml:space="preserve">Dado el papel fundante de los derechos fundamentales, </w:t>
      </w:r>
      <w:r w:rsidRPr="00D06117">
        <w:rPr>
          <w:i/>
        </w:rPr>
        <w:t>ex</w:t>
      </w:r>
      <w:r>
        <w:t xml:space="preserve"> art. 10 CE, debe ser el derecho fundamental la clave lógica de la interpretación de la ley y no la interpretación de ésta el elemento determinante del ámbito correspondiente al derecho fundamental (STC 57/2008) [FJ 4].</w:t>
      </w:r>
    </w:p>
    <w:p w:rsidR="00D06117" w:rsidRDefault="00D06117" w:rsidP="00D06117">
      <w:pPr>
        <w:pStyle w:val="Extracto"/>
      </w:pPr>
    </w:p>
    <w:p w:rsidR="00D06117" w:rsidRDefault="00D06117" w:rsidP="00D06117">
      <w:pPr>
        <w:pStyle w:val="Extracto"/>
      </w:pPr>
      <w:r>
        <w:t>5.</w:t>
      </w:r>
      <w:r>
        <w:tab/>
        <w:t xml:space="preserve">En modo alguno puede ser ampliada la demanda de amparo en el trámite de alegaciones previsto en el art. 52.1 LOTC, pues es en la demanda donde deben quedar fijados el objeto procesal, la definición y la delimitación de la pretensión, así como la concreta individualización de la </w:t>
      </w:r>
      <w:r w:rsidRPr="00D06117">
        <w:rPr>
          <w:i/>
        </w:rPr>
        <w:t>causa petendi</w:t>
      </w:r>
      <w:r>
        <w:t xml:space="preserve"> (SSTC 5/2008, 126/2009)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791-2010, promovido por don Mariano Ariza Jorge, representado por la Procuradora de los Tribunales doña Begoña López Cerezo, y asistido por el Letrado don Antonio Morata Sánchez, contra el Auto del Juzgado de lo Penal núm. 4 (ejecuciones penales) de Madrid, de 17 de marzo de 2010, dictado en la ejecutoria núm. 5-2009, por el que se aprueba la liquidación de condena; contra el Auto del mismo Juzgado, de 16 de julio de 2009, que desestimó el recurso de reforma interpuesto contra el anterior y contra el Auto de la Sección decimoquinta de la Audiencia Provincial de Madrid, de 4 de diciembre de 2009 (rollo núm. 844-2009), que desestimó el recurso subsidiario de apelación interpuesto. Ha intervenido el Ministerio Fiscal.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presentado en el Decanato de los Juzgados de Madrid el 29 de enero de 2010, que fue recibido en el Registro General de este Tribunal el 1 de febrero siguiente, doña Begoña López Cerezo, Procuradora de los Tribunales, en nombre y representación de don Mariano Ariza Jorge, manifestó su voluntad de interponer recurso de amparo, solicitando la designación de Letrado del turno de oficio. Designado que fue, interpuso recurso de amparo contra las resoluciones que se citan en el encabezamiento, mediante demanda registrada el 5 de mayo de 2010.</w:t>
      </w:r>
    </w:p>
    <w:p w:rsidR="00D06117" w:rsidRDefault="00D06117" w:rsidP="00D06117">
      <w:pPr>
        <w:pStyle w:val="TextoNormal"/>
      </w:pPr>
    </w:p>
    <w:p w:rsidR="00D06117" w:rsidRDefault="00D06117" w:rsidP="00D06117">
      <w:pPr>
        <w:pStyle w:val="TextoNormal"/>
      </w:pPr>
      <w:r w:rsidRPr="00D06117">
        <w:rPr>
          <w:rStyle w:val="NumeroAFNegritaCaracter"/>
        </w:rPr>
        <w:t>2</w:t>
      </w:r>
      <w:r>
        <w:t>. Son hechos relevantes para el examen de la pretensión de amparo, sucintamente expuestos, los siguientes:</w:t>
      </w:r>
    </w:p>
    <w:p w:rsidR="00D06117" w:rsidRDefault="00D06117" w:rsidP="00D06117">
      <w:pPr>
        <w:pStyle w:val="TextoNormal"/>
      </w:pPr>
    </w:p>
    <w:p w:rsidR="00D06117" w:rsidRDefault="00D06117" w:rsidP="00D06117">
      <w:pPr>
        <w:pStyle w:val="TextoNormal"/>
      </w:pPr>
      <w:r>
        <w:t>a) El demandante de amparo ingresó en prisión provisional el 23 de noviembre de 2007, en virtud de mandamiento de prisión dictado por el Juzgado de Instrucción núm. 15 de Madrid, por los hechos instruidos en las diligencias previas núm. 8558-2007, seguidas en el Juzgado de Instrucción núm. 20 de Madrid —que posteriormente dieron lugar al juicio oral núm. 105-2008 y a la ejecutoria núm. 3006-2008—. También se decretó su prisión provisional, desde el mismo día, por los hechos investigados por el Juzgado de Instrucción núm. 15 de Madrid, en las diligencias previas núm. 9596-2007 —que posteriormente dieron lugar al juicio oral núm. 545-2008 y a la ejecutoria núm. 5-2009—.</w:t>
      </w:r>
    </w:p>
    <w:p w:rsidR="00D06117" w:rsidRDefault="00D06117" w:rsidP="00D06117">
      <w:pPr>
        <w:pStyle w:val="TextoNormal"/>
      </w:pPr>
    </w:p>
    <w:p w:rsidR="00D06117" w:rsidRDefault="00D06117" w:rsidP="00D06117">
      <w:pPr>
        <w:pStyle w:val="TextoNormal"/>
      </w:pPr>
      <w:r>
        <w:t xml:space="preserve">b) El Juzgado de lo Penal núm. 28 de Madrid dictó Sentencia el 14 de marzo de 2007—declarada firme el 19 de junio de 2008—, en el juicio oral núm. 105-2008, por la que se condenaba al demandante de amparo como autor de un delito de robo con violencia e intimidación a la pena de tres años y siete meses de prisión. En fecha 14 de julio de 2008 el </w:t>
      </w:r>
      <w:r>
        <w:lastRenderedPageBreak/>
        <w:t>Secretario Judicial efectuó liquidación de condena abonando doscientos nueve días, correspondientes al tiempo en que estuvo en prisión provisional por dicha causa, desde el 23 de noviembre de 2007 al 18 de junio de 2008 (folio 71 de las actuaciones remitidas).</w:t>
      </w:r>
    </w:p>
    <w:p w:rsidR="00D06117" w:rsidRDefault="00D06117" w:rsidP="00D06117">
      <w:pPr>
        <w:pStyle w:val="TextoNormal"/>
      </w:pPr>
    </w:p>
    <w:p w:rsidR="00D06117" w:rsidRDefault="00D06117" w:rsidP="00D06117">
      <w:pPr>
        <w:pStyle w:val="TextoNormal"/>
      </w:pPr>
      <w:r>
        <w:t>c) El Juzgado de lo Penal núm. 16 de Madrid dictó posteriormente Sentencia el 31 de octubre de 2008 —declarada firme por Auto del mismo Juzgado de 15 de diciembre de 2008—, en el juicio oral núm. 545-2008, por la que se condenó al demandante de amparo como autor de otro delito de robo con violencia e intimidación a la pena de tres años, seis meses y un día de prisión y se le absolvió de la acusación por un tercer delito de robo con intimidación.</w:t>
      </w:r>
    </w:p>
    <w:p w:rsidR="00D06117" w:rsidRDefault="00D06117" w:rsidP="00D06117">
      <w:pPr>
        <w:pStyle w:val="TextoNormal"/>
      </w:pPr>
    </w:p>
    <w:p w:rsidR="00D06117" w:rsidRDefault="00D06117" w:rsidP="00D06117">
      <w:pPr>
        <w:pStyle w:val="TextoNormal"/>
      </w:pPr>
      <w:r>
        <w:t>d) El Director del centro penitenciario Madrid V remitió al Juzgado de Ejecuciones Penales núm. 4 de Madrid, propuesta de liquidación de condena en la ejecutoria 5-2009, practicándose la liquidación por el Secretario Judicial que consideró abonables únicamente los dos días en que el demandante estuvo detenido, fijando que le quedaban por cumplir 1.276 días de condena. Dicha liquidación fue aprobada por Auto de 26 de marzo de 2009. El demandante interpuso recurso de reforma y subsidiario de apelación, indicando que había estado en prisión provisional un año y veintitrés días en la causa seguida por dos delitos, por lo que se le debían abonar para el cumplimiento de la pena impuesta en dicha causa el doble del tiempo real padecido en situación de privación de libertad, esto es, dos años, un mes y dieciséis días; argumentaba que, en caso contrario, “nos encontraríamos en la incongruencia de que si las causas hubiesen sido instruidas en diferentes juzgados, y hubiese ocurrido lo que en esta situación, es decir, en una hubiese sido absuelto y en otra condenado, se le descontaría los días de prisión preventiva”, de conformidad con la STC 57/2008.</w:t>
      </w:r>
    </w:p>
    <w:p w:rsidR="00D06117" w:rsidRDefault="00D06117" w:rsidP="00D06117">
      <w:pPr>
        <w:pStyle w:val="TextoNormal"/>
      </w:pPr>
    </w:p>
    <w:p w:rsidR="00D06117" w:rsidRDefault="00D06117" w:rsidP="00D06117">
      <w:pPr>
        <w:pStyle w:val="TextoNormal"/>
      </w:pPr>
      <w:r>
        <w:t>e) Por Auto de 16 de julio de 2009 el Juez de lo Penal núm. 4 desestimó el recurso de reforma indicando en su razonamiento jurídico:</w:t>
      </w:r>
    </w:p>
    <w:p w:rsidR="00D06117" w:rsidRDefault="00D06117" w:rsidP="00D06117">
      <w:pPr>
        <w:pStyle w:val="TextoNormal"/>
      </w:pPr>
    </w:p>
    <w:p w:rsidR="00D06117" w:rsidRDefault="00D06117" w:rsidP="00D06117">
      <w:pPr>
        <w:pStyle w:val="TextoNormal"/>
      </w:pPr>
      <w:r>
        <w:t>“Segundo.- La Sentencia del Tribunal Constitucional 57/2008 recoge una decisión que se estima de interpretación de la legalidad ordinaria, pese a que en la propia redacción de la citada resolución se recuerda que la interpretación y aplicación de la legalidad procesal y penal es una cuestión que corresponde resolver en exclusiva a los órganos judiciales en el ejercicio de la función jurisdiccional que les encomienda el art. 117.3 de la Constitución Española. Se produce una situación de iguales características a la que se suscitó en su día en relación a la institución de la prescripción a raíz de la Sentencia del Tribunal Constitucional 63/2005 de 14 de marzo, respecto de la que los Plenos de la Sala Segunda del Tribunal Supremo de 12 de mayo de 2005, y 25 de abril de 2006 adoptaron los siguientes acuerdos: ‘La Sala Penal del Tribunal Supremo ha examinado la Sentencia del Tribunal Constitucional 63/2005 y considera que la misma insiste en la extensión de la jurisdicción constitucional basándose en una interpretación de la tutela judicial efectiva que prácticamente, vacía de contenido del art. 123 de la Constitución Española que establece que el Tribunal Supremo es el órgano jurisdiccional superior en todos los órdenes salvo lo dispuesto en materia de garantías constitucionales, por lo que consiguientemente, le incumbe la interpretación en última instancia de las normas penales’, y ‘mantener la actual jurisprudencia sobre la interrupción de la prescripción pese a la Sentencia del Tribunal Constitucional 63/2005’</w:t>
      </w:r>
    </w:p>
    <w:p w:rsidR="00D06117" w:rsidRDefault="00D06117" w:rsidP="00D06117">
      <w:pPr>
        <w:pStyle w:val="TextoNormal"/>
      </w:pPr>
    </w:p>
    <w:p w:rsidR="00D06117" w:rsidRDefault="00D06117" w:rsidP="00D06117">
      <w:pPr>
        <w:pStyle w:val="TextoNormal"/>
      </w:pPr>
      <w:r>
        <w:t xml:space="preserve">Tercero.- Pero en el caso que aquí se plantea, parte de otro presupuesto distinto, esto es Mariano Ariza se encontraba cumpliendo como preventivo en dos causas a la vez ejecutoria </w:t>
      </w:r>
      <w:r>
        <w:lastRenderedPageBreak/>
        <w:t>3006-2008 del Juzgado de lo Penal núm. 28 de Madrid y ejecutoria 5/2009, desde el día 23 de noviembre de 2007 hasta la fecha en que por el Juzgado de lo Penal núm. 28 se legaliza al haberse dictado Sentencia firme el 19 de junio de 2008, por lo que si bien puede apreciarse una finalidad distinta entre las instituciones jurídicas de cumplimiento de la pena y la prisión preventiva, esto no ocurre cuando se trata de dos medidas cautelares concurrentes, como es el caso, porque la privación de libertad es única; si bien es verdad, tal y como expone el Tribunal Constitucional en la citada Sentencia, que la superposición de la situación de preventivo a la de penado/condenado, puede generar ciertos perjuicios en el interno, en cuanto a su régimen penitenciario, ya que la imposibilidad de clasificación le impide el acceso a ciertos beneficios penitenciarios y en particular el disfrute de permisos, tales perjuicios no se producen cuando estamos ante dos medidas cautelares concurrentes sin olvidar que el tiempo total de cumplimiento como preventivo que ha estado por la presente ejecutoria le ha sido de abono en su totalidad a la ejecutoria 3006-2008 del Juzgado de lo Penal núm. 28 de Madrid, recordando que dicha facultad le viene atribuida en virtud del artículo 58.2 del Código Penal, al Juez de vigilancia penitenciaria, por lo que en atención a lo expuesto procede desestimar el recurso de reforma.”</w:t>
      </w:r>
    </w:p>
    <w:p w:rsidR="00D06117" w:rsidRDefault="00D06117" w:rsidP="00D06117">
      <w:pPr>
        <w:pStyle w:val="TextoNormal"/>
      </w:pPr>
    </w:p>
    <w:p w:rsidR="00D06117" w:rsidRDefault="00D06117" w:rsidP="00D06117">
      <w:pPr>
        <w:pStyle w:val="TextoNormal"/>
      </w:pPr>
      <w:r>
        <w:t>f) La representación del demandante interpuso recurso de apelación en el que además de reproducir la pretensión expuesta en el recurso de reforma, solicitó subsidiariamente, para el caso que no se apreciara dicha petición, que se le descontara el tiempo en que estuvo simultáneamente como preventivo y penado, concretamente desde el 19 de junio de 2008, fecha en que el Juzgado de lo Penal núm. 28 dictó Sentencia firme, y por lo tanto, el recurrente tenía la condición de penado en la primera causa y de preso preventivo por la segunda causa. A dicho recurso se opuso el Ministerio Fiscal y fue desestimado por Auto de 4 de diciembre de 2009, dictado por la Sección decimoquinta de la Audiencia Provincial de Madrid, que fue notificado el 14 de diciembre siguiente.</w:t>
      </w:r>
    </w:p>
    <w:p w:rsidR="00D06117" w:rsidRDefault="00D06117" w:rsidP="00D06117">
      <w:pPr>
        <w:pStyle w:val="TextoNormal"/>
      </w:pPr>
    </w:p>
    <w:p w:rsidR="00D06117" w:rsidRDefault="00D06117" w:rsidP="00D06117">
      <w:pPr>
        <w:pStyle w:val="TextoNormal"/>
      </w:pPr>
      <w:r>
        <w:t>g) El Auto de la Sección decimoquinta de la Audiencia Provincial de Madrid desestimó la apelación, tras referirse a la STC 57/2008, señalando:</w:t>
      </w:r>
    </w:p>
    <w:p w:rsidR="00D06117" w:rsidRDefault="00D06117" w:rsidP="00D06117">
      <w:pPr>
        <w:pStyle w:val="TextoNormal"/>
      </w:pPr>
    </w:p>
    <w:p w:rsidR="00D06117" w:rsidRDefault="00D06117" w:rsidP="00D06117">
      <w:pPr>
        <w:pStyle w:val="TextoNormal"/>
      </w:pPr>
      <w:r>
        <w:t>“La doctrina del Tribunal Constitucional es aplicable, en el caso de coincidencia simultánea de varias medidas cautelares de prisión provisional con una de penado en otra causa, a una sola. Así se acordó en la reunión de Magistrados de las Secciones Penales de la AP de Madrid, para unificación de criterios, de fecha 18 de junio de 2009.</w:t>
      </w:r>
    </w:p>
    <w:p w:rsidR="00D06117" w:rsidRDefault="00D06117" w:rsidP="00D06117">
      <w:pPr>
        <w:pStyle w:val="TextoNormal"/>
      </w:pPr>
    </w:p>
    <w:p w:rsidR="00D06117" w:rsidRDefault="00D06117" w:rsidP="00D06117">
      <w:pPr>
        <w:pStyle w:val="TextoNormal"/>
      </w:pPr>
      <w:r>
        <w:t xml:space="preserve">Esto es lo que ocurre en el presente supuesto. El recurrente estuvo en situación de preso preventivo, en la causa que se ejecuta (juicio oral núm. 545-2008 del Juzgado de instrucción núm. 15 de Madrid, después juicio oral núm. 545-2008 del Juzgado de lo penal núm. 16 de Madrid, y actualmente ejecutoria 5-2009 del Penal núm. 4 de Madrid), durante un período de un año y veintitrés días; y, simultáneamente, estuvo como preso preventivo en la causa diligencias previas núm. 8558-2007 del Juzgado de instrucción núm. 20 de Madrid, posteriormente juicio oral núm. 105-2008 del Juzgado de lo Penal núm. 3, hoy ejecutoria 3006-2008 del Juzgado de lo penal de Madrid núm. 28. Esta última causa comenzó a ejecutarse el día 19 de junio de 2008 y en la misma le fue de abono, para la liquidación de la condena, el tiempo de prisión preventiva íntegro sufrido en la causa que se ejecuta y cuya liquidación de condena se cuestiona. Por tanto, como quiera que ya le fue abonada en otra causa el período de prisión provisional de un año y veintitrés días sufrido en la presente causa, no </w:t>
      </w:r>
      <w:r>
        <w:lastRenderedPageBreak/>
        <w:t>puede serle abonado de nuevo, por lo que procede la confirmación de la resolución recurrida.”</w:t>
      </w:r>
    </w:p>
    <w:p w:rsidR="00D06117" w:rsidRDefault="00D06117" w:rsidP="00D06117">
      <w:pPr>
        <w:pStyle w:val="TextoNormal"/>
      </w:pPr>
    </w:p>
    <w:p w:rsidR="00D06117" w:rsidRDefault="00D06117" w:rsidP="00D06117">
      <w:pPr>
        <w:pStyle w:val="TextoNormal"/>
      </w:pPr>
      <w:r>
        <w:t>h) La representación del recurrente solicitó aclaración, mediante escrito presentado en dicha Sección el 16 de diciembre de 2009. En él afirmaba que la parte dispositiva del Auto no resolvía la petición deducida subsidiariamente en el recurso. Por providencia de 18 de enero de 2010, la Sección decimoquinta declaró no haber lugar a la aclaración “al estar resuelto en la resolución cuya aclaración se interesa”.</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sustenta la demanda en la vulneración del derecho fundamental a la libertad (art. 17.1 CE) en relación con el derecho a la tutela judicial efectiva sin indefensión (art. 24.1 CE) y los principios de legalidad y de interdicción de la arbitrariedad de los poderes públicos (art. 9.3 CE).</w:t>
      </w:r>
    </w:p>
    <w:p w:rsidR="00D06117" w:rsidRDefault="00D06117" w:rsidP="00D06117">
      <w:pPr>
        <w:pStyle w:val="TextoNormal"/>
      </w:pPr>
    </w:p>
    <w:p w:rsidR="00D06117" w:rsidRDefault="00D06117" w:rsidP="00D06117">
      <w:pPr>
        <w:pStyle w:val="TextoNormal"/>
      </w:pPr>
      <w:r>
        <w:t>Comienza exponiendo que sufrió tres procesos distintos, uno de ellos instruido por el Juzgado de Instrucción núm. 20 de Madrid y sentenciado por el Juzgado de lo Penal núm. 28, y los otros dos instruidos por el Juzgado de Instrucción núm. 15 de Madrid y sentenciados por el Juzgado de lo Penal núm. 16, en uno de los cuales, el recurrente fue absuelto.</w:t>
      </w:r>
    </w:p>
    <w:p w:rsidR="00D06117" w:rsidRDefault="00D06117" w:rsidP="00D06117">
      <w:pPr>
        <w:pStyle w:val="TextoNormal"/>
      </w:pPr>
    </w:p>
    <w:p w:rsidR="00D06117" w:rsidRDefault="00D06117" w:rsidP="00D06117">
      <w:pPr>
        <w:pStyle w:val="TextoNormal"/>
      </w:pPr>
      <w:r>
        <w:t>Continúa afirmando que en “todas las causas se acordó la prisión provisional del recurrente, mas al realizarse la liquidación de condena por el Juzgado de ejecuciones penales núm. 4 no se descontó el tiempo que el recurrente había estado en prisión provisional en la causa, por entender las resoluciones impugnadas que el período de prisión provisional de un año y veintitrés días le había sido abonado en otra causa y no podía serle abonado de nuevo”.</w:t>
      </w:r>
    </w:p>
    <w:p w:rsidR="00D06117" w:rsidRDefault="00D06117" w:rsidP="00D06117">
      <w:pPr>
        <w:pStyle w:val="TextoNormal"/>
      </w:pPr>
    </w:p>
    <w:p w:rsidR="00D06117" w:rsidRDefault="00D06117" w:rsidP="00D06117">
      <w:pPr>
        <w:pStyle w:val="TextoNormal"/>
      </w:pPr>
      <w:r>
        <w:t>Añade que desde el 19 de junio de 2008, fecha en que adquirió firmeza la Sentencia dictada por el Juzgado de lo Penal núm. 28 de Madrid, hasta el 15 de diciembre de 2008, en que adquirió firmeza la Sentencia dictada por el Juzgado de lo Penal núm. 16 de Madrid, el demandante simultaneó la condición de penado en una causa y preso preventivo, sin que, al realizar la liquidación de condena se haya tenido en cuenta el descuento de dicho periodo en la causa en que sufrió prisión preventiva.</w:t>
      </w:r>
    </w:p>
    <w:p w:rsidR="00D06117" w:rsidRDefault="00D06117" w:rsidP="00D06117">
      <w:pPr>
        <w:pStyle w:val="TextoNormal"/>
      </w:pPr>
    </w:p>
    <w:p w:rsidR="00D06117" w:rsidRDefault="00D06117" w:rsidP="00D06117">
      <w:pPr>
        <w:pStyle w:val="TextoNormal"/>
      </w:pPr>
      <w:r>
        <w:t>Razona que el art. 58 del Código penal (CP) estipula que el tiempo de privación de libertad sufrido provisionalmente será abonado en su totalidad por el Juez sentenciador para el cumplimiento de la pena impuesta en la causa. Indica que la STC 57/2008, de 28 de abril estableció que si el legislador no incluyó ninguna previsión en el art. 58 CP respecto al no abono del tiempo en el que simultáneamente coinciden la situación de prisión provisional en una causa y de penado en otra es sencillamente porque no quiso hacerlo, en todo caso no resulta constitucionalmente adecuada una interpretación del artículo 58 CP basada en un dato ausente de este. Indica que la misma Sentencia afirma que no abonar en su totalidad el tiempo de privación de libertad sufrido provisionalmente para el cumplimiento de la pena de prisión impuesta en la causa carece de cobertura legal, y supone por ende un alargamiento ilegítimo de la situación de privación de libertad, lesiva del art. 17.1 CE, lo que implica retrotraer las actuaciones al momento inmediatamente anterior al periodo al pronunciamiento de la resoluciones judiciales lesivas para el recurrente.</w:t>
      </w:r>
    </w:p>
    <w:p w:rsidR="00D06117" w:rsidRDefault="00D06117" w:rsidP="00D06117">
      <w:pPr>
        <w:pStyle w:val="TextoNormal"/>
      </w:pPr>
    </w:p>
    <w:p w:rsidR="00D06117" w:rsidRDefault="00D06117" w:rsidP="00D06117">
      <w:pPr>
        <w:pStyle w:val="TextoNormal"/>
      </w:pPr>
      <w:r>
        <w:lastRenderedPageBreak/>
        <w:t>Por último, justifica la especial trascendencia constitucional indicando que “de conformidad con lo establecido también por ese Alto Tribunal en la STC 155/2009, de 25 de junio, en la negativa de acatamiento de la doctrina constitucional fijada en la referida STC 57/2008, 28 de abril, resolviendo el recurso de amparo núm. 5899-2003, ya que el art. 5.1 LOPJ estipula que la Constitución de 1978 es la norma suprema del ordenamiento jurídico, y vincula a todos los Jueces y Tribunales, quienes interpretarán y aplicarán las leyes según los preceptos y principios constitucionales conforme a la interpretación de los mismos que resulte de la resoluciones dictadas por ese Alto Tribunal en todo tipo de procesos, sin que pueda ser admisible la rebeldía manifiesta a acatar la jurisprudencia constitucional que supone que el Auto impugnado dictado por el JEP número cuatro de Madrid, de fecha 16/7/09, se afirme que la extensión de la jurisdicción constitucional vacía de contenido el art. 123 CE, que establece que el TS es el órgano jurisdiccional superior en todos los órdenes, salvo lo dispuesto materia de garantías constitucionales, por lo que incumbe a éste la interpretación en última instancia de las normas penales, llegando a considerar la citada Sentencia de ese Alto Tribunal 57/2008 de interpretación de la legalidad ordinaria, y que la interpretación y aplicación de la legalidad procesal y penal corresponde a los órganos judiciales ordinarios.”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 de diciembre de 2010, la Sala Primera de este Tribunal acordó la admisión a trámite del recurso de amparo y, en aplicación de lo previsto en el art. 51 de la Ley Orgánica del Tribunal Constitucional (LOTC), ordenó dirigir atenta comunicación a la Audiencia Provincial y al Juzgado de Ejecuciones Penales de Madrid, a fin de que, respectivamente, en el plazo de diez días, remitieran certificación o fotocopia adverada de las actuaciones correspondientes, al rollo núm. 844-2009, y de la ejecutoria núm. 5-2009, al tiempo que se debía emplazar a quienes hubieran sido parte en el procedimiento, excepto a la parte recurrente en amparo, para que pudieran comparecer en este proceso constitucional, si lo estimasen pertinente.</w:t>
      </w:r>
    </w:p>
    <w:p w:rsidR="00D06117" w:rsidRDefault="00D06117" w:rsidP="00D06117">
      <w:pPr>
        <w:pStyle w:val="TextoNormal"/>
      </w:pPr>
    </w:p>
    <w:p w:rsidR="00D06117" w:rsidRDefault="00D06117" w:rsidP="00D06117">
      <w:pPr>
        <w:pStyle w:val="TextoNormal"/>
      </w:pPr>
      <w:r w:rsidRPr="00D06117">
        <w:rPr>
          <w:rStyle w:val="NumeroAFNegritaCaracter"/>
        </w:rPr>
        <w:t>5</w:t>
      </w:r>
      <w:r>
        <w:t>. Una vez recibidos los testimonios solicitados y cumplimentados los emplazamientos requeridos, la Sala Primera, por diligencia de ordenación de su Secretaría de Justicia de 8 de abril de 2011, acordó dar vista de las actuaciones a las partes personadas y al Ministerio Fiscal, por plazo común de veinte días, para que formularan las alegaciones que estimaran pertinentes, conforme determina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La representación del demandante presentó el 12 de mayo de 2011 escrito de alegaciones, en que tras dar por reproducidos los argumentos expuestos en la demanda, indica que estima oportuno manifestar a tenor de las actuaciones remitidas por la Ilma. Audiencia Provincial que el demandante estuvo en prisión preventiva en la causa que luego dio lugar a la ejecutoria núm. 5-2009, por dos delitos, desde el día 23 de noviembre de 2007 en que fue detenido, hasta el día 31 de octubre de 2008 en que fue absuelto por uno de ellos por la Sentencia del Juzgado de lo Penal núm. 16 de Madrid, y condenado por otro en esa misma Sentencia, sin que dichos períodos de prisión provisional hayan sido abonados en la ejecutoria núm. 5-2009. Añade que desde el 19 de junio de 2008 en que fue condenado por Sentencia del Juzgado de lo Penal núm. 3 de Madrid hasta el 31 de octubre de 2008 en que fue condenado por Sentencia del Juzgado de lo Penal núm. 16 de Madrid, simultaneó su situación de prisión provisional con la del penado, sin que en la ejecutoria núm. 5-2009 se le </w:t>
      </w:r>
      <w:r>
        <w:lastRenderedPageBreak/>
        <w:t>haya abonado ningún período de prisión preventiva. Por último afirma que la reforma operada por la Ley Orgánica 5/2010 de 22 de junio del art. 58.1 CP y que entró en vigor del 24 de diciembre de 2010, no puede tener efectos retroactivos.</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presentó alegaciones mediante escrito registrado el día 19 de mayo de 2011.</w:t>
      </w:r>
    </w:p>
    <w:p w:rsidR="00D06117" w:rsidRDefault="00D06117" w:rsidP="00D06117">
      <w:pPr>
        <w:pStyle w:val="TextoNormal"/>
      </w:pPr>
    </w:p>
    <w:p w:rsidR="00D06117" w:rsidRDefault="00D06117" w:rsidP="00D06117">
      <w:pPr>
        <w:pStyle w:val="TextoNormal"/>
      </w:pPr>
      <w:r>
        <w:t>Comienza el Ministerio Fiscal exponiendo los antecedentes procesales de los que trae causa la demanda de amparo y los argumentos expuestos por el demandante en su recurso. Posteriormente transcribe parcialmente los fundamentos jurídicos segundo a séptimo de la STC 57/2008, e indica que las resoluciones cuestionadas niegan que la doctrina expuesta en dicha Sentencia fuera aplicable, dado que no se ha producido una coincidencia entre la situación de prisión preventiva y de penado, sino solamente entre situaciones de prisión preventiva a las que no se refiere la mencionada Sentencia, y a las que no sería de aplicación la doctrina en ella contenida, al no apreciarse que la superposición de dos situaciones de prisión preventiva pueda generar perjuicios al interno. Sin embargo afirma que dichas resoluciones no reparan en el extremo, plenamente acreditado, de que el demandante había simultaneando la condición de preso preventivo y de penado desde el 19 de junio de 2008 hasta el 15 de diciembre de 2008, a pesar de que ello fue esgrimido específicamente, como pretensión subsidiaria en su recurso de apelación, período en que la doctrina del Tribunal Constitucional era de inequívoca aplicación.</w:t>
      </w:r>
    </w:p>
    <w:p w:rsidR="00D06117" w:rsidRDefault="00D06117" w:rsidP="00D06117">
      <w:pPr>
        <w:pStyle w:val="TextoNormal"/>
      </w:pPr>
    </w:p>
    <w:p w:rsidR="00D06117" w:rsidRDefault="00D06117" w:rsidP="00D06117">
      <w:pPr>
        <w:pStyle w:val="TextoNormal"/>
      </w:pPr>
      <w:r>
        <w:t>Por lo expuesto el Ministerio Fiscal interesa la estimación parcial de la demanda de amparo, a fin de que se declare vulnerado el derecho a la libertad personal del recurrente (art. 17.1 CE), y que se anulen los Autos impugnados, retrotrayendo las actuaciones al momento inmediatamente anterior al dictado de la primera de la resoluciones, a fin de que se dicte nuevo Auto de liquidación de condena respetuoso con el derecho a la libertad personal del recurrente.</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3 de mayo de 2012 se acordó señalar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Instrucción núm. 15 de Madrid decretó simultáneamente la prisión provisional del demandante de amparo, a partir de del 23 de noviembre de 2007, en dos causas penales seguidas por atraco a sucursales bancarias.</w:t>
      </w:r>
    </w:p>
    <w:p w:rsidR="00D06117" w:rsidRDefault="00D06117" w:rsidP="00D06117">
      <w:pPr>
        <w:pStyle w:val="TextoNormal"/>
      </w:pPr>
    </w:p>
    <w:p w:rsidR="00D06117" w:rsidRDefault="00D06117" w:rsidP="00D06117">
      <w:pPr>
        <w:pStyle w:val="TextoNormal"/>
      </w:pPr>
      <w:r>
        <w:t>En la primera de las causas penales (que dio lugar a la ejecutoria núm. 3006-2008), permaneció en dicha situación cautelar hasta que, el 19 de junio de 2008, fue declarada firme la condena de tres años y siete meses de prisión, por delito de robo, que le fue impuesta por el Juzgado de lo Penal núm. 3. Por esta razón, el demandante adquirió la condición de penado desde dicha fecha. Para el cumplimiento de la pena impuesta le fueron posteriormente abonados los 209 días en que permaneció preso preventivo por esta causa; es decir, desde el 23 de noviembre de 2007 hasta el 19 de junio de 2008.</w:t>
      </w:r>
    </w:p>
    <w:p w:rsidR="00D06117" w:rsidRDefault="00D06117" w:rsidP="00D06117">
      <w:pPr>
        <w:pStyle w:val="TextoNormal"/>
      </w:pPr>
    </w:p>
    <w:p w:rsidR="00D06117" w:rsidRDefault="00D06117" w:rsidP="00D06117">
      <w:pPr>
        <w:pStyle w:val="TextoNormal"/>
      </w:pPr>
      <w:r>
        <w:lastRenderedPageBreak/>
        <w:t>En la segunda de las causas penales (que dio lugar a la ejecutoria núm. 5-2009), la prisión preventiva, decretada inicialmente en la misma fecha, se mantuvo algún tiempo más —un total de 389 días— hasta que el 15 de diciembre de 2008 fue declarada firme la segunda condena por robo que le fue impuesta, esta vez por el Juzgado de lo Penal núm. 16 (tres años, seis meses y un día de prisión). Por lo que desde entonces —también en esta causa— pasó a la situación de penado.</w:t>
      </w:r>
    </w:p>
    <w:p w:rsidR="00D06117" w:rsidRDefault="00D06117" w:rsidP="00D06117">
      <w:pPr>
        <w:pStyle w:val="TextoNormal"/>
      </w:pPr>
    </w:p>
    <w:p w:rsidR="00D06117" w:rsidRDefault="00D06117" w:rsidP="00D06117">
      <w:pPr>
        <w:pStyle w:val="TextoNormal"/>
      </w:pPr>
      <w:r>
        <w:t>Su solicitud de que, para el cumplimiento de la pena impuesta en esta segunda causa, le fueran abonados los 389 días que en ella permaneció en prisión provisional, fue desestimada por el Juez de lo Penal núm. 4 de Madrid mediante Auto de 16 de julio de 2009. Y la desestimación fue confirmada mediante Auto de 4 de diciembre de 2009, por la Sección decimoquinta de la Audiencia Provincial. Los órganos judiciales justificaron su decisión señalando que la situación del señor Ariza era distinta a la abordada en la STC 57/2008, de 28 de abril, que el penado había alegado en apoyo de su pretensión, pues en este caso solicitaba que, por segunda vez, se le abonara el tiempo de privación de libertad sufrido provisional y simultáneamente en dos causas penales, pese a que ya le fue abonado en la primera de ellas, lo cual mostraba que su petición carecía de justificación legal alguna. A lo expuesto añadieron que la situación simultánea de prisión preventiva concurrente en las dos causas no le causó perjuicio alguno distinto de la propia privación cautelar de libertad, por lo que su pretensión de doble abono carecía también de toda justificación material.</w:t>
      </w:r>
    </w:p>
    <w:p w:rsidR="00D06117" w:rsidRDefault="00D06117" w:rsidP="00D06117">
      <w:pPr>
        <w:pStyle w:val="TextoNormal"/>
      </w:pPr>
    </w:p>
    <w:p w:rsidR="00D06117" w:rsidRDefault="00D06117" w:rsidP="00D06117">
      <w:pPr>
        <w:pStyle w:val="TextoNormal"/>
      </w:pPr>
      <w:r>
        <w:t>Quien demanda el amparo de este Tribunal denuncia que dichas resoluciones han vulnerado su derecho fundamental a la libertad personal (art. 17.1 CE) en relación con su derecho a la tutela judicial efectiva (art. 24.1 CE) y los principios de legalidad e interdicción de la arbitrariedad de los poderes públicos (art. 9.3 CE), por no haberle abonado para el cumplimiento de la pena impuesta en la segunda causa el tiempo durante el que el demandante permaneció con la prisión provisional decretada. Y, en su escrito de alegaciones, amplía la demanda solicitando que el cómputo de la duración de su prisión provisional en esta segunda causa sea el doble del real, por cuanto fue acusado por dos hechos delictivos y absuelto finalmente de una de las acusaciones.</w:t>
      </w:r>
    </w:p>
    <w:p w:rsidR="00D06117" w:rsidRDefault="00D06117" w:rsidP="00D06117">
      <w:pPr>
        <w:pStyle w:val="TextoNormal"/>
      </w:pPr>
    </w:p>
    <w:p w:rsidR="00D06117" w:rsidRDefault="00D06117" w:rsidP="00D06117">
      <w:pPr>
        <w:pStyle w:val="TextoNormal"/>
      </w:pPr>
      <w:r>
        <w:t>El Ministerio Fiscal, como expusimos en los antecedentes, coincide parcialmente con el demandante pues considera que sí hay un plazo de tiempo que debe serle abonado, dado que las resoluciones judiciales impugnadas han desconocido el derecho fundamental a la libertad personal del recurrente (art. 17.1 CE), al no reparar en el extremo fáctico, plenamente acreditado, de que, en la segunda causa penal, el demandante simultaneó la condición de preso preventivo y de penado desde el 19 de junio de 2008 hasta el 15 de diciembre de 2008, y que dicho período tiempo de privación provisional de libertad no le ha sido tampoco abonado para el cumplimiento de la pena impuesta en la primera causa.</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Con carácter previo al análisis de las quejas de amparo planteadas en la demanda debemos descartar expresamente la viabilidad de la última y novedosa pretensión formulada indebidamente por el demandante en el trámite previsto en el art. 52.1 de la Ley Orgánica del Tribunal Constitucional (STC 11/2011, de 28 de febrero, FJ 3), la cual ha de ser desestimada dado que, de conformidad con nuestra reiterada jurisprudencia, en modo alguno puede ser ampliada la demanda en cuanto a sus pretensiones en dicho trámite de alegaciones. Es en la demanda de amparo presentada en el plazo legal previsto, y no posteriormente, </w:t>
      </w:r>
      <w:r>
        <w:lastRenderedPageBreak/>
        <w:t>donde deben quedar fijados el objeto procesal, la definición y la delimitación de la pretensión, así como la concreta individualización de la causa petendi, por lo que no son admisibles alteraciones en la pretensión de amparo introducidas en ulteriores alegaciones. La ratio del trámite de alegaciones es reforzar y complementar el argumento del recurso debidamente planteado, pero no su ampliación hasta el punto, como es el caso, de modificarlo sustancialmente introduciendo cuestiones nuevas que no estaban presentes en la demanda [SSTC 5/2008, de 21 de enero, FJ 2; 13/2008, de 31 de enero, FJ 3; y 126/2009, de 21 de mayo, FJ 3 b)].</w:t>
      </w:r>
    </w:p>
    <w:p w:rsidR="00D06117" w:rsidRDefault="00D06117" w:rsidP="00D06117">
      <w:pPr>
        <w:pStyle w:val="TextoNormal"/>
      </w:pPr>
    </w:p>
    <w:p w:rsidR="00D06117" w:rsidRDefault="00D06117" w:rsidP="00D06117">
      <w:pPr>
        <w:pStyle w:val="TextoNormal"/>
      </w:pPr>
      <w:r w:rsidRPr="00D06117">
        <w:rPr>
          <w:rStyle w:val="NumeroAFNegritaCaracter"/>
        </w:rPr>
        <w:t>3</w:t>
      </w:r>
      <w:r>
        <w:t>. La solicitud de amparo del demandante puede ser entonces expuesta a través de dos pretensiones conexas, pero bien diferenciadas por su fundamento y por el período de tiempo a que se refieren. Habiendo estado en prisión preventiva simultáneamente en dos causas penales, y habiendo continuado vigente su privación provisional de libertad en la segunda causa una vez recaída Sentencia firme en la primera de ellas, resulta evidente que el tiempo de abono para el cumplimiento de la segunda pena impuesta que el demandante reclama íntegramente puede ser dividido en este caso en dos tramos bien diferenciados:</w:t>
      </w:r>
    </w:p>
    <w:p w:rsidR="00D06117" w:rsidRDefault="00D06117" w:rsidP="00D06117">
      <w:pPr>
        <w:pStyle w:val="TextoNormal"/>
      </w:pPr>
    </w:p>
    <w:p w:rsidR="00D06117" w:rsidRDefault="00D06117" w:rsidP="00D06117">
      <w:pPr>
        <w:pStyle w:val="TextoNormal"/>
      </w:pPr>
      <w:r>
        <w:t>a) El primer tramo es aquel que se extiende desde el 23 de noviembre de 2007 hasta el 19 de junio de 2008, período este en el que permaneció simultáneamente en situación de prisión provisional por las dos causas.</w:t>
      </w:r>
    </w:p>
    <w:p w:rsidR="00D06117" w:rsidRDefault="00D06117" w:rsidP="00D06117">
      <w:pPr>
        <w:pStyle w:val="TextoNormal"/>
      </w:pPr>
    </w:p>
    <w:p w:rsidR="00D06117" w:rsidRDefault="00D06117" w:rsidP="00D06117">
      <w:pPr>
        <w:pStyle w:val="TextoNormal"/>
      </w:pPr>
      <w:r>
        <w:t>b) El segundo tramo de tiempo se extiende desde el 20 de junio hasta el 15 de diciembre de 2008; período en el que permaneció en calidad de penado en la primera causa y continuó en condición de preso preventivo en la segunda de ellas.</w:t>
      </w:r>
    </w:p>
    <w:p w:rsidR="00D06117" w:rsidRDefault="00D06117" w:rsidP="00D06117">
      <w:pPr>
        <w:pStyle w:val="TextoNormal"/>
      </w:pPr>
    </w:p>
    <w:p w:rsidR="00D06117" w:rsidRDefault="00D06117" w:rsidP="00D06117">
      <w:pPr>
        <w:pStyle w:val="TextoNormal"/>
      </w:pPr>
      <w:r>
        <w:t>Resulta relevante añadir que en la primera de las causas (ejecutoria 3006-2008) se le abonaron para el cumplimiento de la pena impuesta únicamente los días de prisión provisional sufridos durante dicho primer tramo de tiempo, es decir 209 días, desde el 23 de noviembre de 2007 hasta el 19 de junio de 2008.</w:t>
      </w:r>
    </w:p>
    <w:p w:rsidR="00D06117" w:rsidRDefault="00D06117" w:rsidP="00D06117">
      <w:pPr>
        <w:pStyle w:val="TextoNormal"/>
      </w:pPr>
    </w:p>
    <w:p w:rsidR="00D06117" w:rsidRDefault="00D06117" w:rsidP="00D06117">
      <w:pPr>
        <w:pStyle w:val="TextoNormal"/>
      </w:pPr>
      <w:r>
        <w:t>Con los datos expuestos no puede sino coincidirse con el Ministerio Fiscal en que, en aplicación de la doctrina fijada en la STC 57/2008, de 28 de abril, debe declararse que los órganos judiciales desconocieron el derecho a la libertad personal del demandante de amparo al no reconocerle su derecho a que le fuera abonado en la segunda causa, como tiempo de cumplimiento de la pena, aquel segundo tramo de tiempo (del 20 de junio al 15 de diciembre de 2008) en el que permaneció simultáneamente en la condición de penado en la primera causa y de preso preventivo en la segunda.</w:t>
      </w:r>
    </w:p>
    <w:p w:rsidR="00D06117" w:rsidRDefault="00D06117" w:rsidP="00D06117">
      <w:pPr>
        <w:pStyle w:val="TextoNormal"/>
      </w:pPr>
    </w:p>
    <w:p w:rsidR="00D06117" w:rsidRDefault="00D06117" w:rsidP="00D06117">
      <w:pPr>
        <w:pStyle w:val="TextoNormal"/>
      </w:pPr>
      <w:r>
        <w:t xml:space="preserve">El examen de las actuaciones, singularmente la lectura de los folios 71 y 73 de las que han sido remitidas, pone de manifiesto que en la liquidación de condena de la primera causa (ejecutoria núm. 3006-2008) únicamente se abonaron al penado 209 días de prisión provisional —los que van desde el 23 de noviembre de 2007 hasta el 19 de junio de 2008—. Por lo tanto, el período de tiempo posterior durante el que el señor Ariza simultaneó la condición de penado en la primera causa y preventivo en la segunda —180 días más, desde el 20 de junio hasta el 15 de diciembre de 2008— no le ha sido abonado en ninguna de las dos ejecutorias, razón ésta que, como señala el Ministerio Fiscal, muestra el error de hecho en el que incurrieron los Autos de 16 de julio de 2009 (del Juzgado Penal núm. 4, de ejecuciones </w:t>
      </w:r>
      <w:r>
        <w:lastRenderedPageBreak/>
        <w:t>penales) y de 4 de diciembre de 2009 (de la Sección decimoquinta de la Audiencia provincial) cuando fundamentaron la decisión de no abonar el tiempo transcurrido en prisión provisional en el hecho de que “el tiempo total de cumplimiento como preventivo que ha estado por la presente ejecutoria [5-2009] le ha sido de abono en su totalidad a la ejecutoria 3006-2008”. No había sido abonado en su totalidad, sino parcialmente.</w:t>
      </w:r>
    </w:p>
    <w:p w:rsidR="00D06117" w:rsidRDefault="00D06117" w:rsidP="00D06117">
      <w:pPr>
        <w:pStyle w:val="TextoNormal"/>
      </w:pPr>
    </w:p>
    <w:p w:rsidR="00D06117" w:rsidRDefault="00D06117" w:rsidP="00D06117">
      <w:pPr>
        <w:pStyle w:val="TextoNormal"/>
      </w:pPr>
      <w:r>
        <w:t>Lo expuesto conlleva la estimación de la solicitud de amparo en este aspecto concreto dado que el art. 58 del Código penal vigente en aquel momento establecía taxativamente que “[e]l tiempo de privación de libertad sufrido provisionalmente será abonado en su totalidad por el juez o tribunal sentenciador para el cumplimiento de la pena o penas impuestas en la causa en que dicha privación fue acordada”, previsión legal ésta que, dijimos ya en la STC 57/2008, obliga a computar como tiempo de cumplimiento de la pena aquellos períodos que se hubieren pasado en prisión preventiva aunque durante los mismos se hubiese permanecido también en calidad de penado por otra causa pues “no puede negarse la funcionalidad y la realidad material de la prisión provisional como medida cautelar de privación de libertad en una causa porque coincida simultáneamente con una privación de libertad para el cumplimiento de una pena impuesta en otra causa distinta” (FJ 6). Como se había dicho antes en la STC 19/1999, de 22 de febrero, la distinta funcionalidad de la medida cautelar en que consiste la prisión provisional y de la pena permite, sin violencia lógica, que un mismo hecho (la privación de libertad) cumpla materialmente una doble función (FJ 5) y produzca, consecuentemente —hemos de añadir— un doble efecto jurídico. Este razonamiento se ve reforzado porque, en tales supuestos, el cumplimiento como penado se ve perjudicialmente afectado por el hecho de coincidir simultáneamente con la situación de prisión provisional en otra causa (STC 57/2008, FJ 7).</w:t>
      </w:r>
    </w:p>
    <w:p w:rsidR="00D06117" w:rsidRDefault="00D06117" w:rsidP="00D06117">
      <w:pPr>
        <w:pStyle w:val="TextoNormal"/>
      </w:pPr>
    </w:p>
    <w:p w:rsidR="00D06117" w:rsidRDefault="00D06117" w:rsidP="00D06117">
      <w:pPr>
        <w:pStyle w:val="TextoNormal"/>
      </w:pPr>
      <w:r w:rsidRPr="00D06117">
        <w:rPr>
          <w:rStyle w:val="NumeroAFNegritaCaracter"/>
        </w:rPr>
        <w:t>4</w:t>
      </w:r>
      <w:r>
        <w:t>. Resta por analizar la segunda pretensión de amparo conexa, pero bien diferenciada, relativa a la negativa judicial a abonar el primer tramo de tiempo antes descrito para el cumplimiento de la pena impuesta en la segunda causa.</w:t>
      </w:r>
    </w:p>
    <w:p w:rsidR="00D06117" w:rsidRDefault="00D06117" w:rsidP="00D06117">
      <w:pPr>
        <w:pStyle w:val="TextoNormal"/>
      </w:pPr>
    </w:p>
    <w:p w:rsidR="00D06117" w:rsidRDefault="00D06117" w:rsidP="00D06117">
      <w:pPr>
        <w:pStyle w:val="TextoNormal"/>
      </w:pPr>
      <w:r>
        <w:t>El demandante, con los mismos argumentos ya analizados —es decir, la supuesta cobertura legal que le ofrece el art. 58.1 del Código penal— considera que la decisión de los órganos judiciales impugnada vulnera también su derecho a la libertad personal al haber acordado indebidamente no abonarle para el cumplimiento de la pena impuesta en la segunda causa el tiempo en que, simultáneamente, estuvo con la prisión provisional decretada en ambas causas. Los órganos judiciales han fundado su decisión en el hecho de que dicho período de tiempo (209 días, desde el 23 de noviembre de 2007 hasta el 19 de junio de 2008) ya le había sido abonado al demandante para el cumplimiento de la pena impuesta en la primera causa, esto es, en la ejecutoria núm. 3006-2008.</w:t>
      </w:r>
    </w:p>
    <w:p w:rsidR="00D06117" w:rsidRDefault="00D06117" w:rsidP="00D06117">
      <w:pPr>
        <w:pStyle w:val="TextoNormal"/>
      </w:pPr>
    </w:p>
    <w:p w:rsidR="00D06117" w:rsidRDefault="00D06117" w:rsidP="00D06117">
      <w:pPr>
        <w:pStyle w:val="TextoNormal"/>
      </w:pPr>
      <w:r>
        <w:t>Pese a la aparente similitud del planteamiento, la cuestión presenta perfiles materiales diferenciados, pues el demandante no pretende ahora que se le abone en la segunda causa el tiempo de prisión provisionalmente sufrido en ésta durante el que simultáneamente estuvo en calidad de penado en la primera (pretensión con base legal que, en aplicación de la STC 57/2008, hemos reconocido ya en el fundamento jurídico anterior) sino que, más allá, solicita que el tiempo durante el que simultáneamente ha estado en prisión provisional en dos causas le sea descontado dos veces, abonándosele así para el cumplimiento de las penas impuestas en cada causa.</w:t>
      </w:r>
    </w:p>
    <w:p w:rsidR="00D06117" w:rsidRDefault="00D06117" w:rsidP="00D06117">
      <w:pPr>
        <w:pStyle w:val="TextoNormal"/>
      </w:pPr>
    </w:p>
    <w:p w:rsidR="00D06117" w:rsidRDefault="00D06117" w:rsidP="00D06117">
      <w:pPr>
        <w:pStyle w:val="TextoNormal"/>
      </w:pPr>
      <w:r>
        <w:lastRenderedPageBreak/>
        <w:t>Este Tribunal ha señalado que la libertad personal (art. 17.1 CE) puede resultar conculcada tanto cuando se actúa bajo la cobertura improcedente de la ley como cuando se procede contra lo que la ley dispone (AATC 320/1984 de 30 de mayo, FJ único, reproducido por las SSTC 127/1984, de 26 de diciembre, FJ 4; 28/1985, de 27 de marzo, FJ 2; 34/1987, de 12 de marzo, FJ 1; 241/1994, de 20 de julio, FJ 4; o 57/2008, de 28 de abril, FJ 2). Más concretamente, en relación con la ejecución de las penas privativas de libertad, este Tribunal tiene declarado que “no es excluible una lesión del art. 17.1 CE, si no se procede tal y como ordena el Código penal y la Ley de enjuiciamiento criminal”, pues el derecho reconocido en el art. 17.1 CE permite la privación de libertad sólo en los casos y en las formas previstos en la ley (STC 130/1996, de 9 de julio, FJ 2, que reproduce doctrina de la STC 147/1988, de 14 de julio, FJ 2). Dada la dicción del art. 17.1 CE, la función de este Tribunal ha de limitarse a una supervisión externa de la razonabilidad de la fundamentación de las resoluciones judiciales recurridas desde la perspectiva del derecho a la libertad (SSTC 108/1997, de 2 de junio, FJ 2; y 31/1999, de 8 de marzo, FFJJ 3 y 6). Dicho de otra manera, “dado el papel fundante de los derechos fundamentales, ex art. 10 CE, debe ser el derecho fundamental la clave lógica de la interpretación de la ley, y no la interpretación de ésta el elemento determinante del ámbito correspondiente al derecho fundamental. En otros términos, debe ser el derecho fundamental el prius lógico para la interpretación de la ley, y no la interpretación de ésta el elemento definitorio del derecho fundamental. Es así como este Tribunal, al ejercer la función que constitucionalmente tiene atribuida, puede, y debe, enfrentarse a la interpretación de leyes por los órganos de la jurisdicción ordinaria, en cuanto elemento incidente en la interpretación del derecho fundamental” (STC 57/2008, FJ 2, in fine).</w:t>
      </w:r>
    </w:p>
    <w:p w:rsidR="00D06117" w:rsidRDefault="00D06117" w:rsidP="00D06117">
      <w:pPr>
        <w:pStyle w:val="TextoNormal"/>
      </w:pPr>
    </w:p>
    <w:p w:rsidR="00D06117" w:rsidRDefault="00D06117" w:rsidP="00D06117">
      <w:pPr>
        <w:pStyle w:val="TextoNormal"/>
      </w:pPr>
      <w:r w:rsidRPr="00D06117">
        <w:rPr>
          <w:rStyle w:val="NumeroAFNegritaCaracter"/>
        </w:rPr>
        <w:t>5</w:t>
      </w:r>
      <w:r>
        <w:t>. Al igual que hicimos en la STC 57/2008, es a la luz de la doctrina expuesta que ha de ser examinada la queja del recurrente en amparo, atendidas las circunstancias fácticas concurrentes que fueron descritas en el fundamento jurídico primero de esta resolución.</w:t>
      </w:r>
    </w:p>
    <w:p w:rsidR="00D06117" w:rsidRDefault="00D06117" w:rsidP="00D06117">
      <w:pPr>
        <w:pStyle w:val="TextoNormal"/>
      </w:pPr>
    </w:p>
    <w:p w:rsidR="00D06117" w:rsidRDefault="00D06117" w:rsidP="00D06117">
      <w:pPr>
        <w:pStyle w:val="TextoNormal"/>
      </w:pPr>
      <w:r>
        <w:t>La norma que, en opinión del demandante, da cobertura a su solicitud es el art. 58.1 del Código penal, en la redacción entonces vigente, dada por la Ley Orgánica. 15/2003, de 25 de noviembre, que indicaba: “el tiempo de privación de libertad sufrido provisionalmente será abonado en su totalidad por el Juez o Tribunal sentenciador para el cumplimiento de la pena o penas impuestas en la causa en que dicha privación fue acordada.”</w:t>
      </w:r>
    </w:p>
    <w:p w:rsidR="00D06117" w:rsidRDefault="00D06117" w:rsidP="00D06117">
      <w:pPr>
        <w:pStyle w:val="TextoNormal"/>
      </w:pPr>
    </w:p>
    <w:p w:rsidR="00D06117" w:rsidRDefault="00D06117" w:rsidP="00D06117">
      <w:pPr>
        <w:pStyle w:val="TextoNormal"/>
      </w:pPr>
      <w:r>
        <w:t>La concreta cuestión ahora analizada, es decir, la supuesta procedencia de abonar un mismo tiempo de privación de libertad, sufrido provisional y simultáneamente en varias causas, a la pena o penas impuestas en cada una de ellas, no fue abordada por la STC 57/2008. En aquel caso lo cuestionado por el demandante era la negativa judicial a abonar el tiempo de prisión provisional padecido en dicha causa para el cumplimiento de la pena impuesta, con el argumento de haber estado simultáneamente privado de libertad como penado en otra causa distinta. Se trataba allí de valorar la razonabilidad de la exclusión de un supuesto en la aplicación judicial de la norma; exclusión que este Tribunal consideró irrazonable atendido el enunciado normativo y su finalidad. Ahora nos corresponde valorar la razonabilidad de la pretensión del demandante, conforme a la cual ha de ser incluido un nuevo supuesto en la norma, con los efectos que él reclama.</w:t>
      </w:r>
    </w:p>
    <w:p w:rsidR="00D06117" w:rsidRDefault="00D06117" w:rsidP="00D06117">
      <w:pPr>
        <w:pStyle w:val="TextoNormal"/>
      </w:pPr>
    </w:p>
    <w:p w:rsidR="00D06117" w:rsidRDefault="00D06117" w:rsidP="00D06117">
      <w:pPr>
        <w:pStyle w:val="TextoNormal"/>
      </w:pPr>
      <w:r>
        <w:t xml:space="preserve">El contraste de la pretensión de amparo con la decisión judicial denegatoria y la norma alegada permite anticipar que la solicitud del demandante no puede ser atendida ni su fundamento puede ser compartido, por más que pueda argumentarse que la pretendida inclusión </w:t>
      </w:r>
      <w:r>
        <w:lastRenderedPageBreak/>
        <w:t>pueda tener, en abstracto, cabida en el tenor literal de la norma, pues, como veremos a continuación, atendida la finalidad del precepto de cobertura invocado, no resulta irrazonable ni ajeno a su finalidad considerar que el supuesto que plantea el demandante no está incluido en la regla establecida por el legislador. A lo que se ha de añadir que, como señalaron fundadamente los órganos judiciales,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 Desarrollaremos, a continuación, este razonamiento.</w:t>
      </w:r>
    </w:p>
    <w:p w:rsidR="00D06117" w:rsidRDefault="00D06117" w:rsidP="00D06117">
      <w:pPr>
        <w:pStyle w:val="TextoNormal"/>
      </w:pPr>
    </w:p>
    <w:p w:rsidR="00D06117" w:rsidRDefault="00D06117" w:rsidP="00D06117">
      <w:pPr>
        <w:pStyle w:val="TextoNormal"/>
      </w:pPr>
      <w:r>
        <w:t>Para los órganos judiciales, la norma alegada antes transcrita, el art. 58.1 del Código penal entonces vigente, contempla la realidad de una sola causa penal en la que la privación cautelar de libertad ha sido subseguida de una privación de libertad establecida como sanción de la conducta investigada, imputada y finalmente atribuida. Sobre esa realidad —un hecho investigado, una privación cautelar decretada para posibilitar su investigación y enjuiciamiento y una sanción privativa de libertad impuesta como sanción por la comisión del hecho imputado— y no sobre otra, entienden que el legislador ha decidido que el efecto material de privación de libertad que la medida cautelar conlleva se tome en consideración para reducir la duración de la privación de libertad impuesta como sanción. Ése es el supuesto previsto en la norma y ésa su finalidad.</w:t>
      </w:r>
    </w:p>
    <w:p w:rsidR="00D06117" w:rsidRDefault="00D06117" w:rsidP="00D06117">
      <w:pPr>
        <w:pStyle w:val="TextoNormal"/>
      </w:pPr>
    </w:p>
    <w:p w:rsidR="00D06117" w:rsidRDefault="00D06117" w:rsidP="00D06117">
      <w:pPr>
        <w:pStyle w:val="TextoNormal"/>
      </w:pPr>
      <w:r>
        <w:t>Si, como el demandante pretende, dicha previsión legal se aplicara a supuestos distintos a los que contempla y justifican la norma, por ejemplo el caso que se propone en la demanda, los efectos de su aplicación se alejarían de su finalidad y generarían una suerte de fraude de ley,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y azarosa: el número de causas que se abran en investigación de los hechos. De esta manera queda completamente desvirtuada la finalidad de la norma, prevista, repetimos, para una sola causa y una sola condena.</w:t>
      </w:r>
    </w:p>
    <w:p w:rsidR="00D06117" w:rsidRDefault="00D06117" w:rsidP="00D06117">
      <w:pPr>
        <w:pStyle w:val="TextoNormal"/>
      </w:pPr>
    </w:p>
    <w:p w:rsidR="00D06117" w:rsidRDefault="00D06117" w:rsidP="00D06117">
      <w:pPr>
        <w:pStyle w:val="TextoNormal"/>
      </w:pPr>
      <w:r>
        <w:t>Así como un mismo tiempo material —la simultánea privación de libertad cautelar y sancionatoria coincidente—, puede cumplir una doble función y puede provocar un doble efecto jurídico (cautelar y sancionatorio), lo que nos llevó en la STC 57/2008 a considerar irrazonable la decisión judicial de no incluir para el abono de la pena impuesta dicho tiempo de prisión provisional coincidente con el de penado en causa distinta; no ocurre lo mismo con el supuesto que sustenta la pretensión del demandante de amparo. Pues, en este caso, un mismo tiempo material —la simultánea privación cautelar de libertad acordada en dos causas penales, debido a una simple circunstancia procesal (haberse iniciado indebidamente dos procesos por separado pese a tratarse de delitos conexos ex art. 17.5 de la Ley de enjuiciamiento criminal)— no cumple esa doble y diferenciada función, sino sólo la función cautelar y, por ello, no puede pretenderse razonadamente que provoque un doble efecto de abono para el cumplimiento de ambas penas.</w:t>
      </w:r>
    </w:p>
    <w:p w:rsidR="00D06117" w:rsidRDefault="00D06117" w:rsidP="00D06117">
      <w:pPr>
        <w:pStyle w:val="TextoNormal"/>
      </w:pPr>
    </w:p>
    <w:p w:rsidR="00D06117" w:rsidRDefault="00D06117" w:rsidP="00D06117">
      <w:pPr>
        <w:pStyle w:val="TextoNormal"/>
      </w:pPr>
      <w:r>
        <w:lastRenderedPageBreak/>
        <w:t>En definitiva, no pueden considerarse irrazonables las decisiones judiciales impugnadas en el concreto aspecto ahora analizado, en cuanto excluyen el abono del mismo tiempo de prisión provisional para el cumplimiento de varias causas, ya que toman en consideración el tenor del enunciado del art. 58.1 del Código penal entonces vigente, que se refiere al abono de períodos de prisión provisional sufridos en una sola causa, y atienden al fundamento y la finalidad de la norma, que entienden dirigida a dar por cumplida parcial o totalmente la sanción privativa de libertad finalmente impuesta, con dicha anticipada privación cautelar de libertad. Por lo que, no siendo irrazonable la aplicación de la norma, no se aprecia vulneración del derecho a la libertad personal, por lo que la pretensión de amparo, en este concreto aspecto, ha de ser desestimada.</w:t>
      </w:r>
    </w:p>
    <w:p w:rsidR="00D06117" w:rsidRDefault="00D06117" w:rsidP="00D06117">
      <w:pPr>
        <w:pStyle w:val="TextoNormal"/>
      </w:pPr>
    </w:p>
    <w:p w:rsidR="00D06117" w:rsidRDefault="00D06117" w:rsidP="00D06117">
      <w:pPr>
        <w:pStyle w:val="TextoNormal"/>
      </w:pPr>
      <w:r w:rsidRPr="00D06117">
        <w:rPr>
          <w:rStyle w:val="NumeroAFNegritaCaracter"/>
        </w:rPr>
        <w:t>6</w:t>
      </w:r>
      <w:r>
        <w:t>. No obstante lo expuesto, las consideraciones hechas precedentemente en el fundamento jurídico tercero han de conducir al otorgamiento parcial del amparo, puesto que la decisión de no abonar al demandante para el cumplimiento de la pena de prisión impuesta parte del tiempo de privación de libertad sufrido preventivamente en la misma causa (180 días, desde el 19 de junio hasta el 15 de diciembre de 2008) por coincidir con su condición de penado en otra causa, supone un alargamiento ilegítimo de su situación de privación de libertad, que vulnera el art. 17.1 CE.</w:t>
      </w:r>
    </w:p>
    <w:p w:rsidR="00D06117" w:rsidRDefault="00D06117" w:rsidP="00D06117">
      <w:pPr>
        <w:pStyle w:val="TextoNormal"/>
      </w:pPr>
    </w:p>
    <w:p w:rsidR="00D06117" w:rsidRDefault="00D06117" w:rsidP="00D06117">
      <w:pPr>
        <w:pStyle w:val="TextoNormal"/>
      </w:pPr>
      <w:r>
        <w:t>A los efectos del art. 55 de la Ley Orgánica del Tribunal Constitucional el otorgamiento del amparo determina la declaración de nulidad de las resoluciones judiciales recurridas, retrotrayendo las actuaciones al momento inmediatamente anterior a su pronunciamiento a fin de que se dicte una nueva resolución de liquidación de condena respetuosa con el derecho fundamental vulnerado.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parcialmente el amparo solicitado por don Mariano Ariza Jorge y, en su virtud:</w:t>
      </w:r>
    </w:p>
    <w:p w:rsidR="00D06117" w:rsidRDefault="00D06117" w:rsidP="00D06117">
      <w:pPr>
        <w:pStyle w:val="TextoNormal"/>
      </w:pPr>
    </w:p>
    <w:p w:rsidR="00D06117" w:rsidRDefault="00D06117" w:rsidP="00D06117">
      <w:pPr>
        <w:pStyle w:val="TextoNormal"/>
      </w:pPr>
      <w:r>
        <w:t>1º Reconocer su derecho a la libertad (art. 17.1 CE)</w:t>
      </w:r>
    </w:p>
    <w:p w:rsidR="00D06117" w:rsidRDefault="00D06117" w:rsidP="00D06117">
      <w:pPr>
        <w:pStyle w:val="TextoNormal"/>
      </w:pPr>
    </w:p>
    <w:p w:rsidR="00D06117" w:rsidRDefault="00D06117" w:rsidP="00D06117">
      <w:pPr>
        <w:pStyle w:val="TextoNormal"/>
      </w:pPr>
      <w:r>
        <w:t>2º Declarar la nulidad de los Autos del Juzgado de Ejecuciones Penales núm. 4 de Madrid, 16 de julio de 2009 y de 17 de marzo de 2010, dictados en la ejecutoria núm. 5/2009, así como del Auto de la Sección decimoquinta de la Audiencia Provincial de Madrid, de 4 de diciembre de 2009, dictado en el rollo núm. 844-2009.</w:t>
      </w:r>
    </w:p>
    <w:p w:rsidR="00D06117" w:rsidRDefault="00D06117" w:rsidP="00D06117">
      <w:pPr>
        <w:pStyle w:val="TextoNormal"/>
      </w:pPr>
    </w:p>
    <w:p w:rsidR="00D06117" w:rsidRDefault="00D06117" w:rsidP="00D06117">
      <w:pPr>
        <w:pStyle w:val="TextoNormal"/>
      </w:pPr>
      <w:r>
        <w:t>3º Retrotraer las actuaciones al momento procesal inmediatamente anterior al dictado del Auto de 16 de julio de 2009, para que se dicte una nueva resolución respetuosa con el derecho fundamental reconocido.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lastRenderedPageBreak/>
        <w:br w:type="page"/>
      </w:r>
    </w:p>
    <w:p w:rsidR="00D06117" w:rsidRDefault="00D06117" w:rsidP="00D06117">
      <w:pPr>
        <w:pStyle w:val="TtuloResolucin"/>
      </w:pPr>
      <w:bookmarkStart w:id="96" w:name="SENTENCIA_2012_93"/>
      <w:r>
        <w:lastRenderedPageBreak/>
        <w:t>SENTENCIA 93/2012, de 7 de mayo de 2012</w:t>
      </w:r>
    </w:p>
    <w:bookmarkEnd w:id="96"/>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ECLI:ES:TC:2012:93</w:t>
      </w:r>
    </w:p>
    <w:p w:rsidR="00D06117" w:rsidRDefault="00D06117" w:rsidP="00D06117">
      <w:pPr>
        <w:pStyle w:val="SntesisDescriptiva"/>
      </w:pPr>
    </w:p>
    <w:p w:rsidR="00D06117" w:rsidRDefault="00D06117" w:rsidP="00D06117">
      <w:pPr>
        <w:pStyle w:val="SntesisDescriptiva"/>
      </w:pPr>
      <w:r>
        <w:t>Cuestión de inconstitucionalidad 1473-2010. Planteada por el Juzgado de lo contencioso-administrativo núm. 12 de Barcelona en relación con el artículo 132.2 y 3 de la Ley 30/1992, de 26 de noviembre, de régimen jurídico de las Administraciones públicas y del procedimiento administrativo común, tal como ha sido interpretado con carácter vinculante por las Sentencias en interés de ley de la Sala de lo Contencioso-Administrativo del Tribunal Supremo de 15 de diciembre de 2004 y 22 de septiembre de 2008.</w:t>
      </w:r>
    </w:p>
    <w:p w:rsidR="00D06117" w:rsidRDefault="00D06117" w:rsidP="00D06117">
      <w:pPr>
        <w:pStyle w:val="SntesisDescriptiva"/>
      </w:pPr>
    </w:p>
    <w:p w:rsidR="00D06117" w:rsidRDefault="00D06117" w:rsidP="00D06117">
      <w:pPr>
        <w:pStyle w:val="SntesisAnaltica"/>
      </w:pPr>
      <w:r>
        <w:t>Principios de seguridad jurídica, independencia judicial y supremacía del Tribunal Constitucional en materia de garantías constitucionales: STC 37/2012. Voto particular.</w:t>
      </w:r>
    </w:p>
    <w:p w:rsidR="00D06117" w:rsidRDefault="00D06117" w:rsidP="00D06117">
      <w:pPr>
        <w:pStyle w:val="SntesisAnaltica"/>
      </w:pPr>
    </w:p>
    <w:p w:rsidR="00D06117" w:rsidRDefault="00D06117" w:rsidP="00D06117">
      <w:pPr>
        <w:pStyle w:val="Extracto"/>
      </w:pPr>
      <w:r>
        <w:t>1.</w:t>
      </w:r>
      <w:r>
        <w:tab/>
        <w:t>Las dudas de constitucionalidad que se plantean en la presente cuestión en relación con el contenido normativo de los apartados 2 y 3 del art. 132 LPC, determinado por la doctrina legal vinculante establecida en dos sentencias del Tribunal Supremo en interés de ley, han sido ya resueltas por este Tribunal en la STC 37/2012 [FFJJ 2 a 4].</w:t>
      </w:r>
    </w:p>
    <w:p w:rsidR="00D06117" w:rsidRDefault="00D06117" w:rsidP="00D06117">
      <w:pPr>
        <w:pStyle w:val="Extracto"/>
      </w:pPr>
    </w:p>
    <w:p w:rsidR="00D06117" w:rsidRDefault="00D06117" w:rsidP="00D06117">
      <w:pPr>
        <w:pStyle w:val="Extracto"/>
      </w:pPr>
      <w:r>
        <w:t>2.</w:t>
      </w:r>
      <w:r>
        <w:tab/>
        <w:t xml:space="preserve">El mandato normativo del art. 132 LPC no vulnera el principio de seguridad jurídica, </w:t>
      </w:r>
      <w:r w:rsidRPr="00D06117">
        <w:rPr>
          <w:i/>
        </w:rPr>
        <w:t>ex</w:t>
      </w:r>
      <w:r>
        <w:t xml:space="preserve"> art. 9.3 CE, puesto que aparece enunciado, con el contenido establecido por la Sala de lo Contencioso-Administrativo del Tribunal Supremo en dos Sentencias en interés de ley, con suficiente claridad, eliminando cualquier sombra de incertidumbre acerca de su contenido y alcance en cuanto a la fijación del </w:t>
      </w:r>
      <w:r w:rsidRPr="00D06117">
        <w:rPr>
          <w:i/>
        </w:rPr>
        <w:t>dies a quo</w:t>
      </w:r>
      <w:r>
        <w:t xml:space="preserve"> del cómputo del plazo de prescripción de las infracciones y sanciones administrativas (STC 37/2012) [FJ 3].</w:t>
      </w:r>
    </w:p>
    <w:p w:rsidR="00D06117" w:rsidRDefault="00D06117" w:rsidP="00D06117">
      <w:pPr>
        <w:pStyle w:val="Extracto"/>
      </w:pPr>
    </w:p>
    <w:p w:rsidR="00D06117" w:rsidRDefault="00D06117" w:rsidP="00D06117">
      <w:pPr>
        <w:pStyle w:val="Extracto"/>
      </w:pPr>
      <w:r>
        <w:t>3.</w:t>
      </w:r>
      <w:r>
        <w:tab/>
        <w:t>La doctrina legal establecida por el Tribunal Supremo que establece el contenido normativo del art. 132 LPC no contradice la doctrina constitucional sobre el silencio administrativo, configurado como una ficción legal que responde a la finalidad de que el ciudadano pueda acceder a la vía judicial superando los efectos de la inactividad de la Administración (STC 37/2012) [FJ 3].</w:t>
      </w:r>
    </w:p>
    <w:p w:rsidR="00D06117" w:rsidRDefault="00D06117" w:rsidP="00D06117">
      <w:pPr>
        <w:pStyle w:val="Extracto"/>
      </w:pPr>
    </w:p>
    <w:p w:rsidR="00D06117" w:rsidRDefault="00D06117" w:rsidP="00D06117">
      <w:pPr>
        <w:pStyle w:val="Extracto"/>
      </w:pPr>
      <w:r>
        <w:t>4.</w:t>
      </w:r>
      <w:r>
        <w:tab/>
        <w:t xml:space="preserve">La doctrina legal vinculante establecida por el Tribunal Supremo para Jueces y Tribunales inferiores en grado del orden jurisdiccional contencioso-administrativo no sólo preserva la seguridad jurídica sino que además garantiza que el </w:t>
      </w:r>
      <w:r w:rsidRPr="00D06117">
        <w:rPr>
          <w:i/>
        </w:rPr>
        <w:t>status</w:t>
      </w:r>
      <w:r>
        <w:t xml:space="preserve"> jurídico de los ciudadanos sea igual en todo el territorio nacional (STC 37/2012) [FJ 3].</w:t>
      </w:r>
    </w:p>
    <w:p w:rsidR="00D06117" w:rsidRDefault="00D06117" w:rsidP="00D06117">
      <w:pPr>
        <w:pStyle w:val="Extracto"/>
      </w:pPr>
    </w:p>
    <w:p w:rsidR="00D06117" w:rsidRDefault="00D06117" w:rsidP="00D06117">
      <w:pPr>
        <w:pStyle w:val="Extracto"/>
      </w:pPr>
      <w:r>
        <w:t>5.</w:t>
      </w:r>
      <w:r>
        <w:tab/>
        <w:t>Aunque el incumplimiento por la Administración de la obligación de resolver en plazo el recurso de alzada pudiera considerarse contrario a las exigencias del principio de eficacia administrativa, es claro que ello en modo alguno resulta imputable a los preceptos legales cuestionados con el contenido normativo establecido por las Sentencias en interés de ley del Tribunal Supremo [FJ 3].</w:t>
      </w:r>
    </w:p>
    <w:p w:rsidR="00D06117" w:rsidRDefault="00D06117" w:rsidP="00D06117">
      <w:pPr>
        <w:pStyle w:val="Extracto"/>
      </w:pPr>
    </w:p>
    <w:p w:rsidR="00D06117" w:rsidRDefault="00D06117" w:rsidP="00D06117">
      <w:pPr>
        <w:pStyle w:val="Extracto"/>
      </w:pPr>
      <w:r>
        <w:t>6.</w:t>
      </w:r>
      <w:r>
        <w:tab/>
        <w:t xml:space="preserve">Hemos de rechazar la supuesta infracción del principio de interdicción de la arbitrariedad, </w:t>
      </w:r>
      <w:r w:rsidRPr="00D06117">
        <w:rPr>
          <w:i/>
        </w:rPr>
        <w:t>ex</w:t>
      </w:r>
      <w:r>
        <w:t xml:space="preserve"> art 9.3 CE, pues no tiene otro sustento que la discrepancia del Juzgado promotor de la cuestión con la doctrina legal sentada en las Sentencias del Tribunal Supremo en interés de ley, que determina el contenido normativo de los preceptos cuestionados en cuanto a la imprescriptibilidad de la sanción durante la pendencia del recurso de alzada contra la resolución sancionadora [FJ 4].</w:t>
      </w:r>
    </w:p>
    <w:p w:rsidR="00D06117" w:rsidRDefault="00D06117" w:rsidP="00D06117">
      <w:pPr>
        <w:pStyle w:val="Extracto"/>
      </w:pPr>
    </w:p>
    <w:p w:rsidR="00D06117" w:rsidRDefault="00D06117" w:rsidP="00D06117">
      <w:pPr>
        <w:pStyle w:val="Extracto"/>
      </w:pPr>
      <w:r>
        <w:t>7.</w:t>
      </w:r>
      <w:r>
        <w:tab/>
        <w:t>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1473-2010, planteada por el Juzgado de lo Contencioso-Administrativo núm. 12 de Barcelona, en relación con los apartados 2 y 3 del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por posible infracción de los arts. 9 y 103 de la Constitución Española. Han intervenido el Abogado del Estado y el Fiscal General del Estado. Ha sido Ponente el Magistrado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Con fecha 23 de febrero de 2010 tuvo entrada en el Registro General de este Tribunal oficio del Juzgado de lo Contencioso-Administrativo núm. 12 de Barcelona al que se acompañaba, junto con testimonio del procedimiento abreviado núm. 304-2008 tramitado en ese órgano judicial, Auto del referido Juzgado de 11 de febrero del mismo año por el que se acuerda elevar a este Tribunal cuestión de inconstitucionalidad con respecto a los apartados 2 y 3 del art. 132 de la Ley 30/1992, de 26 de noviembre, de régimen jurídico de las Administraciones públicas y del procedimiento administrativo común (LPC), tal como han sido </w:t>
      </w:r>
      <w:r>
        <w:lastRenderedPageBreak/>
        <w:t>interpretados con carácter vinculante por las Sentencias de la Sala de lo Contencioso-Administrativo del Tribunal Supremo de 15 de diciembre de 2004 y 22 de septiembre de 2008, por su posible contradicción con los arts. 9 y 103 CE.</w:t>
      </w:r>
    </w:p>
    <w:p w:rsidR="00D06117" w:rsidRDefault="00D06117" w:rsidP="00D06117">
      <w:pPr>
        <w:pStyle w:val="TextoNormal"/>
      </w:pPr>
    </w:p>
    <w:p w:rsidR="00D06117" w:rsidRDefault="00D06117" w:rsidP="00D06117">
      <w:pPr>
        <w:pStyle w:val="TextoNormal"/>
      </w:pPr>
      <w:r w:rsidRPr="00D06117">
        <w:rPr>
          <w:rStyle w:val="NumeroAFNegritaCaracter"/>
        </w:rPr>
        <w:t>2</w:t>
      </w:r>
      <w:r>
        <w:t>. Del conjunto de las actuaciones remitidas por el órgano judicial proponente resulta que los hechos que dan lugar al planteamiento de la cuestión son los que siguen:</w:t>
      </w:r>
    </w:p>
    <w:p w:rsidR="00D06117" w:rsidRDefault="00D06117" w:rsidP="00D06117">
      <w:pPr>
        <w:pStyle w:val="TextoNormal"/>
      </w:pPr>
    </w:p>
    <w:p w:rsidR="00D06117" w:rsidRDefault="00D06117" w:rsidP="00D06117">
      <w:pPr>
        <w:pStyle w:val="TextoNormal"/>
      </w:pPr>
      <w:r>
        <w:t>a) La presente cuestión de inconstitucionalidad se eleva con ocasión de la tramitación, por los cauces del procedimiento abreviado, del recurso contencioso-administrativo interpuesto por una empresa de transportes contra la resolución del Conseller del Departamento de política territorial y obras públicas de la Generalitat de Cataluña de 18 de abril de 2008, que confirma en alzada la resolución de 15 de octubre de 2004, del Director general de puertos y transportes del referido Departamento por la que se impone una multa de 2.001 euros, por infracción del art. 140.24 de la Ley 16/1987, de 30 de julio, de ordenación de los transportes terrestres.</w:t>
      </w:r>
    </w:p>
    <w:p w:rsidR="00D06117" w:rsidRDefault="00D06117" w:rsidP="00D06117">
      <w:pPr>
        <w:pStyle w:val="TextoNormal"/>
      </w:pPr>
    </w:p>
    <w:p w:rsidR="00D06117" w:rsidRDefault="00D06117" w:rsidP="00D06117">
      <w:pPr>
        <w:pStyle w:val="TextoNormal"/>
      </w:pPr>
      <w:r>
        <w:t>b) Concluido el proceso y habiendo quedado vistos los autos para Sentencia, por providencia de 17 de diciembre de 2009 el Juzgado acordó la suspensión del plazo para dictar Sentencia y, de conformidad con el art. 35.2 de la Ley Orgánica del Tribunal Constitucional (LOTC), requirió a las partes y al Ministerio Fiscal para que, por plazo común de diez días, alegaran cuanto estimasen oportuno en relación con la pertinencia de plantear cuestión de inconstitucionalidad en relación con los apartados 2 y 3 del art. 132 LPC, tal como han sido interpretados con carácter vinculante por las Sentencias en interés de ley de la Sala de lo Contencioso-Administrativo del Tribunal Supremo de 15 de diciembre de 2004 y 22 de septiembre de 2008, por la eventual colisión de estos preceptos con los principios de seguridad jurídica y eficacia de la Administración pública establecidos en los artículos 9 y 103 de la Constitución.</w:t>
      </w:r>
    </w:p>
    <w:p w:rsidR="00D06117" w:rsidRDefault="00D06117" w:rsidP="00D06117">
      <w:pPr>
        <w:pStyle w:val="TextoNormal"/>
      </w:pPr>
    </w:p>
    <w:p w:rsidR="00D06117" w:rsidRDefault="00D06117" w:rsidP="00D06117">
      <w:pPr>
        <w:pStyle w:val="TextoNormal"/>
      </w:pPr>
      <w:r>
        <w:t>c) La representación procesal de la empresa demandante formuló alegaciones concluyendo la inconstitucionalidad del art. 132 LPC en la interpretación realizada por el Tribunal Supremo en las sentencias dictadas en casación en interés de ley antes citadas. Por su parte, tanto la Letrada de la Generalitat de Cataluña como el Ministerio Fiscal se pronunciaron en contra del planteamiento de la cuestión.</w:t>
      </w:r>
    </w:p>
    <w:p w:rsidR="00D06117" w:rsidRDefault="00D06117" w:rsidP="00D06117">
      <w:pPr>
        <w:pStyle w:val="TextoNormal"/>
      </w:pPr>
    </w:p>
    <w:p w:rsidR="00D06117" w:rsidRDefault="00D06117" w:rsidP="00D06117">
      <w:pPr>
        <w:pStyle w:val="TextoNormal"/>
      </w:pPr>
      <w:r>
        <w:t>d) Mediante Auto de 11 de febrero de 2010 el Juzgado de lo Contencioso-administrativo núm. 12 de Barcelona acordó plantear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en las consideraciones que seguidamente se resumen.</w:t>
      </w:r>
    </w:p>
    <w:p w:rsidR="00D06117" w:rsidRDefault="00D06117" w:rsidP="00D06117">
      <w:pPr>
        <w:pStyle w:val="TextoNormal"/>
      </w:pPr>
    </w:p>
    <w:p w:rsidR="00D06117" w:rsidRDefault="00D06117" w:rsidP="00D06117">
      <w:pPr>
        <w:pStyle w:val="TextoNormal"/>
      </w:pPr>
      <w:r>
        <w:t xml:space="preserve">Por lo que se refiere al juicio de relevancia, afirma que debe entenderse cumplido por cuanto en el debate procesal se ha suscitado la prescripción de la infracción y de la sanción. Como quiera que la tramitación del recurso de alzada superó tanto el plazo de prescripción de la infracción como de la sanción, razona el Juzgado que el fallo depende no ya del hecho de que haya transcurrido el plazo fijado legalmente para una u otra alternativa sino de la forma de computar los plazos y, en concreto, de las fechas de inicio y final de cada uno de los periodos. De ahí que la validez constitucional de los apartados 2 y 3 del art. 132 LPC en </w:t>
      </w:r>
      <w:r>
        <w:lastRenderedPageBreak/>
        <w:t>la interpretación dada a los mismos por la jurisprudencia dictada en casación en interés de ley por el Tribunal Supremo sea determinante para el fallo.</w:t>
      </w:r>
    </w:p>
    <w:p w:rsidR="00D06117" w:rsidRDefault="00D06117" w:rsidP="00D06117">
      <w:pPr>
        <w:pStyle w:val="TextoNormal"/>
      </w:pPr>
    </w:p>
    <w:p w:rsidR="00D06117" w:rsidRDefault="00D06117" w:rsidP="00D06117">
      <w:pPr>
        <w:pStyle w:val="TextoNormal"/>
      </w:pPr>
      <w:r>
        <w:t>En cuanto al fondo del asunto, tras exponer el régimen legal del cómputo de la prescripción de infracciones y sanciones y recordar brevemente los fundamentos de las Sentencias de 15 de diciembre de 2004 y 22 de septiembre de 2008 dictadas por el Tribunal Supremo en casación en interés de ley, explica la repercusión que dicha interpretación tiene sobre los principios de seguridad jurídica y eficacia de la Administración. En cuanto al primero señala que las interpretaciones jurisprudenciales llevan a la admisión de un lapso de tiempo indeterminado en el que no opera la prescripción de la infracción pero tampoco de la sanción lo que lleva al bloqueo de una institución cuyo origen y sentido se encuentra en el principio de seguridad jurídica. Existe, en su opinión, un valor constitucional básico en la institución de la prescripción en materia sancionadora que no puede ser enervado por la quiebra del tracto sucesivo entre ambas prescripciones que no encuentra apoyo en otros valores constitucionales prevalentes.</w:t>
      </w:r>
    </w:p>
    <w:p w:rsidR="00D06117" w:rsidRDefault="00D06117" w:rsidP="00D06117">
      <w:pPr>
        <w:pStyle w:val="TextoNormal"/>
      </w:pPr>
    </w:p>
    <w:p w:rsidR="00D06117" w:rsidRDefault="00D06117" w:rsidP="00D06117">
      <w:pPr>
        <w:pStyle w:val="TextoNormal"/>
      </w:pPr>
      <w:r>
        <w:t>En segundo lugar, y en relación con su repercusión en el principio de eficacia, afirma que la admisión de un régimen que libera a la Administración de las consecuencias negativas del silencio administrativo pone en cuestión el principio de eficacia de la Administración que se ha expresado recientemente en la configuración de un derecho subjetivo a la buena administración que ha sido reconocido en la Carta de derechos fundamentales aprobada por el Tratado de Lisboa y en el art. 30 del Estatuto de Cataluña, y que determina que nos encontremos con una cuestión de rango constitucional aunque sea, nuevamente, por conexión de este imperativo constitucional con el de prohibición de la interdicción de la arbitrariedad de los poderes públicos.</w:t>
      </w:r>
    </w:p>
    <w:p w:rsidR="00D06117" w:rsidRDefault="00D06117" w:rsidP="00D06117">
      <w:pPr>
        <w:pStyle w:val="TextoNormal"/>
      </w:pPr>
    </w:p>
    <w:p w:rsidR="00D06117" w:rsidRDefault="00D06117" w:rsidP="00D06117">
      <w:pPr>
        <w:pStyle w:val="TextoNormal"/>
      </w:pPr>
      <w:r>
        <w:t>Entiende por último que existen diferencias entre la presente cuestión y las inadmitidas por AATC 10/2006 y 11/2006, ambos de 17 de enero, y 404/2006, de 8 de noviembre. Los razonamientos que fundaron tales decisiones parten de una primera consideración sobre la diferencia que debe establecerse entre las cuestiones que afectan a derechos fundamentales y las que se refieren a otros preceptos constitucionales, y se consideró que el régimen legal del cómputo de la prescripción no planteaba problemas de constitucionalidad por cuanto el mandato legal y sus consecuencias quedan claras con la interpretación que el Tribunal Supremo introdujo en 2004. Pero desde entonces, añade, se han producido novedades con la interpretación que este mismo Tribunal realizó de la cuestión en 2008 y en determinados ámbitos el principio de eficacia se proyecta en un derecho subjetivo a la buena administración. Entiende el juzgador que lo argumentado en el Auto de planteamiento de la cuestión no es lo mismo que se planteó en aquellas cuestiones de inconstitucionalidad pues no se trata de la afectación a los derechos de presunción de inocencia y tutela judicial efectiva sino de la afectación a los principios de seguridad jurídica y eficacia administrativa desde una perspectiva diferente a la entonces tenida en cuenta. Lo que ahora se expone es, en primer lugar, cómo siendo indudable el sentido del precepto y las consecuencias que genera la interpretación conjunta de ambos apartados permite la pervivencia ilimitada en el tiempo de las acciones administrativas punitivas y, en segundo lugar, la vinculación de los principios de seguridad jurídica y de eficacia administrativa con la prohibición de arbitrariedad.</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Por providencia de 14 de abril de 2010 el Pleno, a propuesta de la Sección Primera, acordó admitir a trámite la presente cuestión de inconstitucionalidad y dar traslado de las </w:t>
      </w:r>
      <w:r>
        <w:lastRenderedPageBreak/>
        <w:t>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12 de Barcelona a los efectos previstos en el art. 35.3 LOTC y publicar la incoación del procedimiento en el “Boletín Oficial del Estado”, lo que se verificó en el núm. 60, de 10 de marzo de 2012.</w:t>
      </w:r>
    </w:p>
    <w:p w:rsidR="00D06117" w:rsidRDefault="00D06117" w:rsidP="00D06117">
      <w:pPr>
        <w:pStyle w:val="TextoNormal"/>
      </w:pPr>
    </w:p>
    <w:p w:rsidR="00D06117" w:rsidRDefault="00D06117" w:rsidP="00D06117">
      <w:pPr>
        <w:pStyle w:val="TextoNormal"/>
      </w:pPr>
      <w:r w:rsidRPr="00D06117">
        <w:rPr>
          <w:rStyle w:val="NumeroAFNegritaCaracter"/>
        </w:rPr>
        <w:t>5</w:t>
      </w:r>
      <w:r>
        <w:t>. El Presidente del Senado comunicó, por escrito registrado en este Tribunal el 28 de abril de 2010 el acuerdo adoptado por la Mesa de la Cámara, en su reunión del día 27 de abril de 2010,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en este Tribunal el 29 de abril de 2010, el Presidente del Congreso de los Diputados comunicó el acuerdo adoptado por la Mesa de la Cámara, en su reunión de 27 de abril de 2010,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Abogado del Estado, en la representación que legalmente ostenta, se personó y presentó escrito de alegaciones el 10 de mayo de 2010, en el que, tras advertir que la presente cuestión es virtualmente idéntica a las numeradas 9689-2009 y 9690-2009, considera que se trata de una cuestión inadmisible porque el Juzgado no exterioriza debidamente el juicio de relevancia (art. 35.1 LOTC) y, en cualquier caso, porque los apartados del art. 132 LPC que se cuestionan no son realmente relevantes para el fallo a dictar en el proceso a quo.</w:t>
      </w:r>
    </w:p>
    <w:p w:rsidR="00D06117" w:rsidRDefault="00D06117" w:rsidP="00D06117">
      <w:pPr>
        <w:pStyle w:val="TextoNormal"/>
      </w:pPr>
    </w:p>
    <w:p w:rsidR="00D06117" w:rsidRDefault="00D06117" w:rsidP="00D06117">
      <w:pPr>
        <w:pStyle w:val="TextoNormal"/>
      </w:pPr>
      <w:r>
        <w:t>Considera, en primer lugar, que el propósito del Juez proponente es que el Tribunal Constitucional declare que se reinicia la prescripción de la infracción o de la sanción también durante la pendencia del recurso de alzada superando la doctrina en interés de ley sentada en las SSTS de 15 de diciembre de 2004 y 22 de septiembre de 2008, siendo la cuestión de inconstitucionalidad un medio inadecuado para ello por cuanto en ella no cabe ventilar controversias interpretativas entre Tribunales del Poder judicial pues si lo que tiene por objeto no son los preceptos legales cuestionados sino la interpretación judicial, lo que se pretendería expulsar de ordenamiento no es tanto los preceptos legales impugnados sino la jurisprudencia del Tribunal Supremo en torno a ellos.</w:t>
      </w:r>
    </w:p>
    <w:p w:rsidR="00D06117" w:rsidRDefault="00D06117" w:rsidP="00D06117">
      <w:pPr>
        <w:pStyle w:val="TextoNormal"/>
      </w:pPr>
    </w:p>
    <w:p w:rsidR="00D06117" w:rsidRDefault="00D06117" w:rsidP="00D06117">
      <w:pPr>
        <w:pStyle w:val="TextoNormal"/>
      </w:pPr>
      <w:r>
        <w:t>En segundo lugar, subraya que la sanción recurrida se impuso por una infracción contemplada en la Ley de ordenación de los transportes terrestres, cuyo art. 145 fija el plazo de prescripción de las infracciones y remite en lo demás a la Ley de régimen jurídico de las Administraciones públicas y del procedimiento administrativo común y sin embargo, pese a ser el art. 145 de la Ley de ordenación de los transportes terrestres el directamente aplicable, la cuestión se plantea en relación a los dos apartados del art. 132 LPC al que aquél remite. No existe, sin embargo, en su opinión, en la dicción de los apartados antes citados la más mínima relación con la prescriptibilidad de la sanción o de la infracción durante la pendencia del recurso de alzada, pues el legislador no se ha pronunciado sobre ello por lo que concluye que lo que se pretende es que el Tribunal Constitucional supla la insuficiencia normativa. Pero si se invalidaran los preceptos legales cuestionados no por ello podría en</w:t>
      </w:r>
      <w:r>
        <w:lastRenderedPageBreak/>
        <w:t>tenderse integrado o complementado el régimen de las infracciones y sanciones administrativas en el sentido de permitir el curso de la prescripción durante la pendencia de la alzada sino que, por el contrario, se habría ampliado el tamaño de la laguna. Lo que se pretende, en definitiva, con el planteamiento de esta cuestión es que el Tribunal Constitucional, desbordando su jurisdicción, sustituya la interpretación sentada por el Tribunal Supremo en las citadas Sentencias en interés de ley por la que el Juzgado promotor de la cuestión tiene in mente.</w:t>
      </w:r>
    </w:p>
    <w:p w:rsidR="00D06117" w:rsidRDefault="00D06117" w:rsidP="00D06117">
      <w:pPr>
        <w:pStyle w:val="TextoNormal"/>
      </w:pPr>
    </w:p>
    <w:p w:rsidR="00D06117" w:rsidRDefault="00D06117" w:rsidP="00D06117">
      <w:pPr>
        <w:pStyle w:val="TextoNormal"/>
      </w:pPr>
      <w:r>
        <w:t>Subsidiariamente, solicita el Abogado del Estado la desestimación de la presente cuestión, pues entiende que, de entrarse en el fondo del asunto, debe concluirse que no existe infracción constitucional alguna.</w:t>
      </w:r>
    </w:p>
    <w:p w:rsidR="00D06117" w:rsidRDefault="00D06117" w:rsidP="00D06117">
      <w:pPr>
        <w:pStyle w:val="TextoNormal"/>
      </w:pPr>
    </w:p>
    <w:p w:rsidR="00D06117" w:rsidRDefault="00D06117" w:rsidP="00D06117">
      <w:pPr>
        <w:pStyle w:val="TextoNormal"/>
      </w:pPr>
      <w:r>
        <w:t>Así, en primer lugar, es claro que la regulación contenida en los apartados 2 y 3 del art. 132 LPC en modo alguno quebranta el principio de eficacia administrativa (art. 103.1 CE). El retraso en la resolución de los recursos de alzada contra sanciones administrativas es causado por la masiva interposición de estos recursos, que se explica por el efecto de inejecutividad que el legislador ha anudado a la interposición del recurso administrativo (art. 138.3 LPC, no cuestionado). Y si a lo anterior se añadiera la posibilidad a la que apunta el Auto de planteamiento de la cuestión de que infracciones o sanciones no firmes pudieran prescribir mientras que el recurso de alzada no fuera expresamente desestimado, el resultado sería la masiva impunidad de conductas constitutivas de ilícitos administrativos y, por ello, la desprotección de los bienes jurídicos que pretenden tutelarse con el régimen sancionador administrativo, lo que seguramente no sería muy congruente con el genuino y adecuado concepto de eficacia administrativa que refleja el art. 103.1 CE. Por otra parte, la conexión que realiza el Juzgado del principio de eficacia administrativa con el principio de interdicción de la arbitrariedad no aparece razonada en el Auto de planteamiento, y ciertamente resulta bastante difícil de imaginar en qué pueda consistir. Ni se puede dirigir un reproche tan grave al legislador como es el de incurrir en arbitrariedad porque no regule expresamente todos los puntos que al órgano judicial encargado de aplicar la ley le gustaría ver resueltos en el texto legal, ni una eventual actuación arbitraria de la Administración en modo alguno convierte en arbitraria la norma legal aplicada.</w:t>
      </w:r>
    </w:p>
    <w:p w:rsidR="00D06117" w:rsidRDefault="00D06117" w:rsidP="00D06117">
      <w:pPr>
        <w:pStyle w:val="TextoNormal"/>
      </w:pPr>
    </w:p>
    <w:p w:rsidR="00D06117" w:rsidRDefault="00D06117" w:rsidP="00D06117">
      <w:pPr>
        <w:pStyle w:val="TextoNormal"/>
      </w:pPr>
      <w:r>
        <w:t>En cuanto a la pretendida vulneración del principio de seguridad jurídica (art. 9.3 CE), sostiene el Abogado del Estado que resulta inconsistente si se entiende referida a los apartados 2 y 3 del art. 132 LPC, pues no cabe reprochar al legislador una suerte de omisión o insuficiencia por no haber establecido positivamente que, durante la pendencia del recurso de alzada, se reanuden los plazos de prescripción. En la Constitución no puede hallarse base para la pretensión de favorecer al máximo la prescriptibilidad de infracciones y sanciones administrativas en beneficio de los infractores y en perjuicio de los bienes jurídicos tutelados por el régimen sancionador.</w:t>
      </w:r>
    </w:p>
    <w:p w:rsidR="00D06117" w:rsidRDefault="00D06117" w:rsidP="00D06117">
      <w:pPr>
        <w:pStyle w:val="TextoNormal"/>
      </w:pPr>
    </w:p>
    <w:p w:rsidR="00D06117" w:rsidRDefault="00D06117" w:rsidP="00D06117">
      <w:pPr>
        <w:pStyle w:val="TextoNormal"/>
      </w:pPr>
      <w:r>
        <w:t xml:space="preserve">La supuesta infracción del principio de seguridad jurídica resultaría igualmente infundada, según el Abogado del Estado, si se entendiese referida a la doctrina sentada en las Sentencias en interés de ley de la Sala de lo Contencioso-Administrativo del Tribunal Supremo de 15 de diciembre de 2004 y 22 de septiembre de 2008,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w:t>
      </w:r>
      <w:r>
        <w:lastRenderedPageBreak/>
        <w:t>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00D06117" w:rsidRDefault="00D06117" w:rsidP="00D06117">
      <w:pPr>
        <w:pStyle w:val="TextoNormal"/>
      </w:pPr>
    </w:p>
    <w:p w:rsidR="00D06117" w:rsidRDefault="00D06117" w:rsidP="00D06117">
      <w:pPr>
        <w:pStyle w:val="TextoNormal"/>
      </w:pPr>
      <w:r w:rsidRPr="00D06117">
        <w:rPr>
          <w:rStyle w:val="NumeroAFNegritaCaracter"/>
        </w:rPr>
        <w:t>8</w:t>
      </w:r>
      <w:r>
        <w:t>. El 8 de junio de 2010 tuvo entrada el escrito de alegaciones del Fiscal General del Estado. En él, 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w:t>
      </w:r>
    </w:p>
    <w:p w:rsidR="00D06117" w:rsidRDefault="00D06117" w:rsidP="00D06117">
      <w:pPr>
        <w:pStyle w:val="TextoNormal"/>
      </w:pPr>
    </w:p>
    <w:p w:rsidR="00D06117" w:rsidRDefault="00D06117" w:rsidP="00D06117">
      <w:pPr>
        <w:pStyle w:val="TextoNormal"/>
      </w:pPr>
      <w:r>
        <w:t>Tras analizar la doctrina constitucional en materia de seguridad jurídica, considera que no es la normativa sobre prescripción de la infracción y sanción administrativa del precepto legal cuestionado la que genera una situación de inseguridad jurídica, ni tampoco la interpretación por la doctrina legal de manera separada siendo, por el contrario, la conjunción de ambas doctrinas la que provoca un resultado no deseado que distorsiona la aplicación de la prescripción que no puede ser corregida de oficio por el Tribunal Supremo. Entiende que la doctrina establecida en la Sentencia de 2004 se aparta de la doctrina seguida por el propio Tribunal Supremo para la prescripción de los delitos y faltas sin que haya razón alguna de esta diferencia cuando el ilícito administrativo no es sino una manifestación más del ius puniendi, concluyendo que las consecuencias de la conjunción de ambas doctrinas genera una situación de interinidad o provisionalidad sobre la operatividad de la prescripción, que no es provocada por el administrado, y desproporcionada con la finalidad de la norma que regula la prescripción. En cuanto a la infracción del principio de eficacia, considera la Fiscalía que en cuanto el legislador impone a la Administración, como un fin público, procurar la resolución en el plazo previsto, la resolución del recurso de alzada fuera del plazo legalmente previsto resultaría contrario al principio constitucional de eficacia salvo que fuera razonable uno más largo por la complejidad del asunto. En este caso, además, la situación jurídica generada por la falta de eficacia de la Administración sólo proyecta sus consecuencias sobre el administrado cuando debería prevalecer, frente al mal funcionamiento de la Administración, el interés de quien ha cumplido correctamente con sus obligaciones sin que la Administración pueda beneficiarse del incumplimiento de su obligación de resolver y notificar.</w:t>
      </w:r>
    </w:p>
    <w:p w:rsidR="00D06117" w:rsidRDefault="00D06117" w:rsidP="00D06117">
      <w:pPr>
        <w:pStyle w:val="TextoNormal"/>
      </w:pPr>
    </w:p>
    <w:p w:rsidR="00D06117" w:rsidRDefault="00D06117" w:rsidP="00D06117">
      <w:pPr>
        <w:pStyle w:val="TextoNormal"/>
      </w:pPr>
      <w:r>
        <w:t xml:space="preserve">Concluye, no obstante, el Fiscal General del Estado que aunque se hayan desconocido los principios de seguridad jurídica y eficacia, en la medida que el desconocimiento no nace del precepto cuestionado sino de la doctrina legal establecida por las Sentencias de 2004 y 2008, debe desestimarse la cuestión de inconstitucionalidad planteada al considerar que la doctrina del Tribunal Supremo dictada en interés de ley, a pesar de su carácter vinculante, </w:t>
      </w:r>
      <w:r>
        <w:lastRenderedPageBreak/>
        <w:t>es una resolución judicial y no una norma legal, por lo que quedaría excluida del control de este Tribunal mediante el planteamiento de la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del Pleno de 17 de abril de 2012 se acuerda, de conformidad con lo dispuesto en el artículo 10.1 c) LOTC, deferir a la Sala Primera el conocimiento de la presente cuestión.</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3 de mayo de 2012 se señaló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 12 de Barcelona plantea cuestión de inconstitucionalidad respecto de los apartados 2 y 3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comporta la vulneración tanto del principio de seguridad jurídica (art. 9.3 CE), como del principio de eficacia administrativa (art. 103.1 CE), en conexión con el principio de interdicción de la arbitrariedad de los poderes públicos, puesto que no se encuentra justificación razonable o proporcionada para esa interpretación, en cuanto impone un régimen de cómputo de la prescripción de infracciones y sanciones que permite la pervivencia ilimitada en el tiempo de la acción punitiva en el supuesto de inactividad de la Administración en la resolución del recurso administrativo.</w:t>
      </w:r>
    </w:p>
    <w:p w:rsidR="00D06117" w:rsidRDefault="00D06117" w:rsidP="00D06117">
      <w:pPr>
        <w:pStyle w:val="TextoNormal"/>
      </w:pPr>
    </w:p>
    <w:p w:rsidR="00D06117" w:rsidRDefault="00D06117" w:rsidP="00D06117">
      <w:pPr>
        <w:pStyle w:val="TextoNormal"/>
      </w:pPr>
      <w:r w:rsidRPr="00D06117">
        <w:rPr>
          <w:rStyle w:val="NumeroAFNegritaCaracter"/>
        </w:rPr>
        <w:t>2</w:t>
      </w:r>
      <w:r>
        <w:t>. Pues bien, las dudas de constitucionalidad que se plantean en la presente cuestión han sido ya resueltas por este Tribunal en su reciente STC 37/2012, de 19 de marzo, que desestima la cuestión de inconstitucionalidad promovida por otro Juzgado del orden contencioso-administrativo también respecto del art. 132 LPC (aunque no sólo) con el contenido vinculante sentado por las referidas Sentencias en interés de ley, y con fundamentos similares, por lo que bastará aquí con remitirse a lo razonado en la STC 37/2012, en lo que tiene de coincidente con la presente cuestión.</w:t>
      </w:r>
    </w:p>
    <w:p w:rsidR="00D06117" w:rsidRDefault="00D06117" w:rsidP="00D06117">
      <w:pPr>
        <w:pStyle w:val="TextoNormal"/>
      </w:pPr>
    </w:p>
    <w:p w:rsidR="00D06117" w:rsidRDefault="00D06117" w:rsidP="00D06117">
      <w:pPr>
        <w:pStyle w:val="TextoNormal"/>
      </w:pPr>
      <w:r>
        <w:t xml:space="preserve">En la STC 37/2012, FJ 2, comenzamos por precisar que ha de entenderse (aunque no se exprese en estos mismos términos en el Auto de planteamiento) que lo que se cuestiona no es, en realidad, una mera interpretación jurisprudencial del Tribunal Supremo (en cuyo caso habríamos de declarar la inadmisibilidad de la cuestión), sino la constitucionalidad de determinados preceptos legales [en aquel caso los arts. 81 de la Ley sobre tráfico, circulación de vehículos a motor y seguridad vial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w:t>
      </w:r>
      <w:r>
        <w:lastRenderedPageBreak/>
        <w:t>referidas sentencias y para los órganos judiciales inferiores en grado de la jurisdicción contencioso-administrativa, los concretos preceptos cuestionados sólo pueden ser interpretados y aplicados en la forma establecida por el Tribunal Supremo en las citadas sentencias y no en ninguna otra. Esta misma precisión resulta pertinente en el presente caso, en el que se cuestionan los apartados 2 y 3 del art. 132 LPC con el contenido vinculante fijado por las referidas Sentencias en interés de ley.</w:t>
      </w:r>
    </w:p>
    <w:p w:rsidR="00D06117" w:rsidRDefault="00D06117" w:rsidP="00D06117">
      <w:pPr>
        <w:pStyle w:val="TextoNormal"/>
      </w:pPr>
    </w:p>
    <w:p w:rsidR="00D06117" w:rsidRDefault="00D06117" w:rsidP="00D06117">
      <w:pPr>
        <w:pStyle w:val="TextoNormal"/>
      </w:pPr>
      <w:r w:rsidRPr="00D06117">
        <w:rPr>
          <w:rStyle w:val="NumeroAFNegritaCaracter"/>
        </w:rPr>
        <w:t>3</w:t>
      </w:r>
      <w:r>
        <w:t>. Descartamos asimismo en la STC 37/2012 la duda de constitucionalidad planteada entonces con carácter principal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00D06117" w:rsidRDefault="00D06117" w:rsidP="00D06117">
      <w:pPr>
        <w:pStyle w:val="TextoNormal"/>
      </w:pPr>
    </w:p>
    <w:p w:rsidR="00D06117" w:rsidRDefault="00D06117" w:rsidP="00D06117">
      <w:pPr>
        <w:pStyle w:val="TextoNormal"/>
      </w:pPr>
      <w:r>
        <w:t>En efecto, por lo que se refiere a la pretendida vulneración del principio de seguridad jurídica —duda de constitucionalidad coincidente con la planteada en la presente cuestión— resulta que, con cita de nuestra reiterada doctrina al respecto, declaramos en la citada STC 37/2012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00D06117" w:rsidRDefault="00D06117" w:rsidP="00D06117">
      <w:pPr>
        <w:pStyle w:val="TextoNormal"/>
      </w:pPr>
    </w:p>
    <w:p w:rsidR="00D06117" w:rsidRDefault="00D06117" w:rsidP="00D06117">
      <w:pPr>
        <w:pStyle w:val="TextoNormal"/>
      </w:pPr>
      <w:r>
        <w:t>Afirmamos igualmente entonces que la doctrina legal sentada por el Tribunal Supremo en las citadas Sentencias, que determina el contenido normativo de los preceptos cuestionados para los órganos judiciales inferiores en grado del orden contencioso-administrativo (y por lo tanto los preceptos mismos), no contradice la doctrina constitucional sobre el silencio administrativo, configurado como una ficción legal que responde a la finalidad de que el ciudadano pueda acceder a la vía judicial superando los efectos de la inactividad de la Administración. De suerte que “[s]i la Administración incumple su obligación legal de resolver expresamente (y notificar su resolución) el recurso de alzada contra una resolución sancionadora dentro del plazo legalmente establecido, el interesado podrá optar por acudir a la vía judicial contra esa desestimación presunta o esperar a que se dicte por la Administración resolución expresa, sin que pueda apreciarse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como recuerda el Abogado del Estado, inejecución que, sin duda alguna, no perjudica (más bien beneficia) al ciudadano que ha sido sancionado” (STC 37/2012, FJ 10).</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Ha de rechazarse, en suma, por las mismas razones que ya quedaron expresadas en la STC 37/2012, que los apartados 2 y 3 del art. 132 LPC, tal como han sido interpretados con carácter vinculante por las referidas Sentencias en interés de la ley, vulneren el principio de seguridad jurídica (art. 9.3 CE). Y asimismo debemos descartar la pretendida infracción del principio de eficacia administrativa (art. 103.1 CE), que se anuda por el Juzgado promotor de la presente cuestión al incumplimiento por la Administración de la obligación de resolver en plazo el recurso de alzada, pues aunque esa demora de la Administración pudiera ciertamente considerarse contraria a las exigencias del principio de eficacia administrativa, como señala el Fiscal General del Estado, es claro que ello en modo alguno resulta imputable a los preceptos legales cuestionados, con el contenido normativo establecido por las referidas Sentencias en interés de ley del Tribunal Supremo para los órganos judiciales inferiores en grado del orden contencioso-administrativo.</w:t>
      </w:r>
    </w:p>
    <w:p w:rsidR="00D06117" w:rsidRDefault="00D06117" w:rsidP="00D06117">
      <w:pPr>
        <w:pStyle w:val="TextoNormal"/>
      </w:pPr>
    </w:p>
    <w:p w:rsidR="00D06117" w:rsidRDefault="00D06117" w:rsidP="00D06117">
      <w:pPr>
        <w:pStyle w:val="TextoNormal"/>
      </w:pPr>
      <w:r>
        <w:t>Del mismo modo hemos de rechazar la supuesta infracción del principio de interdicción de la arbitrariedad (art 9.3 CE), no sólo porque no se haga mención del mismo en la providencia por la que se acuerda la apertura del trámite de audiencia (art. 35.2 LOTC), sino además, y en todo caso, porque tal duda de constitucionalidad, que se relaciona en el Auto de planteamiento con la pretendida vulneración de los principios de seguridad jurídica y eficacia administrativa, carece de sustantividad propia, pues no tiene otro sustento que la discrepancia del Juzgado promotor de la cuestión con la doctrina legal sentada en las referidas Sentencias en interés de ley, que determina el contenido normativo de los preceptos cuestionados, en cuanto a la imprescriptibilidad de la sanción durante la pendencia del recurso de alzada contra la resolución sancionadora. Debiendo, por lo demás, recordarse, como ya lo hiciéramos en la citada STC 37/2012,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rsidP="00D06117">
      <w:pPr>
        <w:pStyle w:val="ParrafoNormal"/>
      </w:pPr>
    </w:p>
    <w:p w:rsidR="00D06117" w:rsidRDefault="00D06117" w:rsidP="00D06117">
      <w:pPr>
        <w:pStyle w:val="TextoNormalNegritaCentrado"/>
        <w:keepNext/>
      </w:pPr>
      <w:r>
        <w:lastRenderedPageBreak/>
        <w:t>Voto particular que formula la Magistrada doña Adela Asua Batarrita a la Sentencia dictada en la cuestión de inconstitucionalidad núm. 1473-2010.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 la Sala, expreso mi discrepancia parcial con el fallo y parte de la fundamentación jurídica de la Sentencia dictada en la presente cuestión de inconstitucionalidad remitiéndome a lo ya manifestado en el Voto particular que formulé a la STC 37/2012, de 19 de marzo.</w:t>
      </w:r>
    </w:p>
    <w:p w:rsidR="00D06117" w:rsidRDefault="00D06117" w:rsidP="00D06117">
      <w:pPr>
        <w:pStyle w:val="TextoNormal"/>
      </w:pPr>
    </w:p>
    <w:p w:rsidR="00D06117" w:rsidRDefault="00D06117" w:rsidP="00D06117">
      <w:pPr>
        <w:pStyle w:val="TextoNormal"/>
      </w:pPr>
      <w:r>
        <w:t>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7" w:name="SENTENCIA_2012_94"/>
      <w:r>
        <w:lastRenderedPageBreak/>
        <w:t>SENTENCIA 94/2012, de 7 de mayo de 2012</w:t>
      </w:r>
    </w:p>
    <w:bookmarkEnd w:id="97"/>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ECLI:ES:TC:2012:94</w:t>
      </w:r>
    </w:p>
    <w:p w:rsidR="00D06117" w:rsidRDefault="00D06117" w:rsidP="00D06117">
      <w:pPr>
        <w:pStyle w:val="SntesisDescriptiva"/>
      </w:pPr>
    </w:p>
    <w:p w:rsidR="00D06117" w:rsidRDefault="00D06117" w:rsidP="00D06117">
      <w:pPr>
        <w:pStyle w:val="SntesisDescriptiva"/>
      </w:pPr>
      <w:r>
        <w:t>Cuestión de inconstitucionalidad 3215-2010. Planteada por el Juzgado de lo Contencioso-Administrativo núm. 1 de Elche, en relación con el artículo 81 del texto articulado de la Ley sobre tráfico, circulación de vehículos a motor y seguridad vial, aprobado por Real Decreto Legislativo 339/1990, de 2 de marzo, y el artículo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subsidiariamente, en relación con el artículo 100.7 de la Ley 29/1998, de 13 de julio, reguladora de la jurisdicción contencioso-administrativa.</w:t>
      </w:r>
    </w:p>
    <w:p w:rsidR="00D06117" w:rsidRDefault="00D06117" w:rsidP="00D06117">
      <w:pPr>
        <w:pStyle w:val="SntesisDescriptiva"/>
      </w:pPr>
    </w:p>
    <w:p w:rsidR="00D06117" w:rsidRDefault="00D06117" w:rsidP="00D06117">
      <w:pPr>
        <w:pStyle w:val="SntesisAnaltica"/>
      </w:pPr>
      <w:r>
        <w:t>Principios de seguridad jurídica, independencia judicial y supremacía del Tribunal Constitucional en materia de garantías constitucionales: STC 37/2012.</w:t>
      </w:r>
    </w:p>
    <w:p w:rsidR="00D06117" w:rsidRDefault="00D06117" w:rsidP="00D06117">
      <w:pPr>
        <w:pStyle w:val="SntesisAnaltica"/>
      </w:pPr>
    </w:p>
    <w:p w:rsidR="00D06117" w:rsidRDefault="00D06117" w:rsidP="00D06117">
      <w:pPr>
        <w:pStyle w:val="Extracto"/>
      </w:pPr>
      <w:r>
        <w:t>1.</w:t>
      </w:r>
      <w:r>
        <w:tab/>
        <w:t>Las dudas de constitucionalidad que se plantean en la presente cuestión en relación con el contenido normativo de los arts. 81 LSV y 132 LPC, determinado por la doctrina legal vinculante establecida en dos sentencias del Tribunal Supremo en interés de ley, han sido ya resueltas por este Tribunal en la STC 37/2012 [FFJJ 2 a 4].</w:t>
      </w:r>
    </w:p>
    <w:p w:rsidR="00D06117" w:rsidRDefault="00D06117" w:rsidP="00D06117">
      <w:pPr>
        <w:pStyle w:val="Extracto"/>
      </w:pPr>
    </w:p>
    <w:p w:rsidR="00D06117" w:rsidRDefault="00D06117" w:rsidP="00D06117">
      <w:pPr>
        <w:pStyle w:val="Extracto"/>
      </w:pPr>
      <w:r>
        <w:t>2.</w:t>
      </w:r>
      <w:r>
        <w:tab/>
        <w:t xml:space="preserve">El mandato normativo de los arts. 81 LSV y 132 LPC no vulnera el principio de seguridad jurídica, </w:t>
      </w:r>
      <w:r w:rsidRPr="00D06117">
        <w:rPr>
          <w:i/>
        </w:rPr>
        <w:t>ex</w:t>
      </w:r>
      <w:r>
        <w:t xml:space="preserve"> art. 9.3 CE, puesto que aparece enunciado, con el contenido establecido por la Sala de lo Contencioso-Administrativo del Tribunal Supremo en dos Sentencias en interés de ley, con suficiente claridad, eliminando cualquier sombra de incertidumbre acerca de su contenido y alcance en cuanto a la fijación del </w:t>
      </w:r>
      <w:r w:rsidRPr="00D06117">
        <w:rPr>
          <w:i/>
        </w:rPr>
        <w:t>dies a quo</w:t>
      </w:r>
      <w:r>
        <w:t xml:space="preserve"> del cómputo del plazo de prescripción de las infracciones y sanciones administrativas (STC 37/2012) [FFJJ 1, 4].</w:t>
      </w:r>
    </w:p>
    <w:p w:rsidR="00D06117" w:rsidRDefault="00D06117" w:rsidP="00D06117">
      <w:pPr>
        <w:pStyle w:val="Extracto"/>
      </w:pPr>
    </w:p>
    <w:p w:rsidR="00D06117" w:rsidRDefault="00D06117" w:rsidP="00D06117">
      <w:pPr>
        <w:pStyle w:val="Extracto"/>
      </w:pPr>
      <w:r>
        <w:t>3.</w:t>
      </w:r>
      <w:r>
        <w:tab/>
        <w:t>La doctrina legal establecida por el Tribunal Supremo que establece el contenido normativo de los arts. 81 LSV y 132 LPC no resulta contraria ni a la doctrina del Tribunal Constitucional que considera el silencio administrativo como ficción legal para poder recurrir ante la jurisdicción contencioso-administrativa ni, en consecuencia, al art. 123.1 CE (STC 37/2012) [FJ 4].</w:t>
      </w:r>
    </w:p>
    <w:p w:rsidR="00D06117" w:rsidRDefault="00D06117" w:rsidP="00D06117">
      <w:pPr>
        <w:pStyle w:val="Extracto"/>
      </w:pPr>
    </w:p>
    <w:p w:rsidR="00D06117" w:rsidRDefault="00D06117" w:rsidP="00D06117">
      <w:pPr>
        <w:pStyle w:val="Extracto"/>
      </w:pPr>
      <w:r>
        <w:t>4.</w:t>
      </w:r>
      <w:r>
        <w:tab/>
        <w:t xml:space="preserve">El art. 100.7 LJCA establece el carácter vinculante de las sentencias del Tribunal Supremo que estiman los recursos de casación en interés de ley, lo que no vulnera el principio de independencia judicial, </w:t>
      </w:r>
      <w:r w:rsidRPr="00D06117">
        <w:rPr>
          <w:i/>
        </w:rPr>
        <w:t>ex</w:t>
      </w:r>
      <w:r>
        <w:t xml:space="preserve"> art. 117.1 CE, ya que los Jueces o Tribunales de grado inferior no vienen compelidos a resolver el litigio ateniéndose al contenido del precepto legal que resulta concretado por dichas sentencias si estiman que este pudiera ser contrario a la Constitución, al poder plantear cuestión </w:t>
      </w:r>
      <w:r>
        <w:lastRenderedPageBreak/>
        <w:t>de inconstitucionalidad ante el Tribunal Constitucional (SSTC 133/1995, 37/2012) [FJ 3].</w:t>
      </w:r>
    </w:p>
    <w:p w:rsidR="00D06117" w:rsidRDefault="00D06117" w:rsidP="00D06117">
      <w:pPr>
        <w:pStyle w:val="Extracto"/>
      </w:pPr>
    </w:p>
    <w:p w:rsidR="00D06117" w:rsidRDefault="00D06117" w:rsidP="00D06117">
      <w:pPr>
        <w:pStyle w:val="Extracto"/>
      </w:pPr>
      <w:r>
        <w:t>5.</w:t>
      </w:r>
      <w:r>
        <w:tab/>
        <w:t>La independencia judicial permite que los órganos judiciales inferiores en grado discrepen del criterio sostenido por Tribunales superiores, con la excepción del supuesto de la doctrina legal que establezca el Tribunal Supremo al resolver el recurso de casación en interés de ley so pena de incurrir en infracción del art. 24.1 CE por inaplicar el precepto legal con el contenido determinado por esa doctrina legal (SSTC 308/2006, 82/2009 y 37/2012) [FJ 3].</w:t>
      </w:r>
    </w:p>
    <w:p w:rsidR="00D06117" w:rsidRDefault="00D06117" w:rsidP="00D06117">
      <w:pPr>
        <w:pStyle w:val="Extracto"/>
      </w:pPr>
    </w:p>
    <w:p w:rsidR="00D06117" w:rsidRDefault="00D06117" w:rsidP="00D06117">
      <w:pPr>
        <w:pStyle w:val="Extracto"/>
      </w:pPr>
      <w:r>
        <w:t>6.</w:t>
      </w:r>
      <w:r>
        <w:tab/>
        <w:t>El recurso de casación en interés de la ley tiene una función integradora del Derecho, pues mediante el establecimiento por el Tribunal Supremo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(SSTC 111/1992, 37/2012) [FJ 3].</w:t>
      </w:r>
    </w:p>
    <w:p w:rsidR="00D06117" w:rsidRDefault="00D06117" w:rsidP="00D06117">
      <w:pPr>
        <w:pStyle w:val="Extracto"/>
      </w:pPr>
    </w:p>
    <w:p w:rsidR="00D06117" w:rsidRDefault="00D06117" w:rsidP="00D06117">
      <w:pPr>
        <w:pStyle w:val="Extracto"/>
      </w:pPr>
      <w:r>
        <w:t>7.</w:t>
      </w:r>
      <w:r>
        <w:tab/>
        <w:t xml:space="preserve">La doctrina legal vinculante establecida por el Tribunal Supremo para Jueces y Tribunales inferiores en grado del orden jurisdiccional contencioso-administrativo no sólo preserva la seguridad jurídica sino que además garantiza que el </w:t>
      </w:r>
      <w:r w:rsidRPr="00D06117">
        <w:rPr>
          <w:i/>
        </w:rPr>
        <w:t>status</w:t>
      </w:r>
      <w:r>
        <w:t xml:space="preserve"> jurídico de los ciudadanos sea igual en todo el territorio nacional (STC 37/2012) [FJ 4].</w:t>
      </w:r>
    </w:p>
    <w:p w:rsidR="00D06117" w:rsidRDefault="00D06117" w:rsidP="00D06117">
      <w:pPr>
        <w:pStyle w:val="Extracto"/>
      </w:pPr>
    </w:p>
    <w:p w:rsidR="00D06117" w:rsidRDefault="00D06117" w:rsidP="00D06117">
      <w:pPr>
        <w:pStyle w:val="Extracto"/>
      </w:pPr>
      <w:r>
        <w:t>8.</w:t>
      </w:r>
      <w:r>
        <w:tab/>
        <w:t>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4].</w:t>
      </w:r>
    </w:p>
    <w:p w:rsidR="00D06117" w:rsidRDefault="00D06117" w:rsidP="00D06117">
      <w:pPr>
        <w:pStyle w:val="Extracto"/>
      </w:pPr>
    </w:p>
    <w:p w:rsidR="00D06117" w:rsidRDefault="00D06117" w:rsidP="00D06117">
      <w:pPr>
        <w:pStyle w:val="Extracto"/>
      </w:pPr>
      <w:r>
        <w:t>9.</w:t>
      </w:r>
      <w:r>
        <w:tab/>
        <w:t>La cuestión de inconstitucionalidad cumple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compuesto por don Eugeni Gay Montalvo, Vicepresidente,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la cuestión de inconstitucionalidad núm. 3215-2010,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subsidiariamente,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19 de abril de 2010 tuvo entrada en el Registro General de este Tribunal oficio del Juzgado de lo Contencioso-Administrativo núm. 1 de Elche al que se acompañaba, junto con testimonio del procedimiento abreviado núm. 871-2008 tramitado en ese órgano judicial, Auto del referido Juzgado de 24 de febrero de 2010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por la posible contradicción de este precepto con el art. 117.1 CE.</w:t>
      </w:r>
    </w:p>
    <w:p w:rsidR="00D06117" w:rsidRDefault="00D06117" w:rsidP="00D06117">
      <w:pPr>
        <w:pStyle w:val="TextoNormal"/>
      </w:pPr>
    </w:p>
    <w:p w:rsidR="00D06117" w:rsidRDefault="00D06117" w:rsidP="00D06117">
      <w:pPr>
        <w:pStyle w:val="TextoNormal"/>
      </w:pPr>
      <w:r w:rsidRPr="00D06117">
        <w:rPr>
          <w:rStyle w:val="NumeroAFNegritaCaracter"/>
        </w:rPr>
        <w:t>2</w:t>
      </w:r>
      <w:r>
        <w:t>. Del conjunto de las actuaciones remitidas por el órgano judicial proponente resulta que los hechos que dan lugar al planteamiento de la cuestión son, sucintamente expuestos, los que siguen:</w:t>
      </w:r>
    </w:p>
    <w:p w:rsidR="00D06117" w:rsidRDefault="00D06117" w:rsidP="00D06117">
      <w:pPr>
        <w:pStyle w:val="TextoNormal"/>
      </w:pPr>
    </w:p>
    <w:p w:rsidR="00D06117" w:rsidRDefault="00D06117" w:rsidP="00D06117">
      <w:pPr>
        <w:pStyle w:val="TextoNormal"/>
      </w:pPr>
      <w:r>
        <w:t>a) La presente cuestión de inconstitucionalidad se eleva con ocasión de la tramitación, por los cauces del procedimiento abreviado, del recurso contencioso-administrativo interpuesto por un conductor contra la resolución de la Dirección General de Tráfico de 23 de julio de 2008 que confirma en alzada la resolución de la Subdelegación del Gobierno de Alicante de 28 de noviembre de 2005 que le impuso una sanción de 600 euros y la suspensión durante un mes de la autorización administrativa para conducir, por la comisión de la infracción tipificada en el art. 20.1 del reglamento general de circulación, en relación con los arts. 67.1 y 69 LSV, en virtud de denuncia formulada el 10 de julio de 2005 por agentes de la Jefatura Provincial de Tráfico de Alicante.</w:t>
      </w:r>
    </w:p>
    <w:p w:rsidR="00D06117" w:rsidRDefault="00D06117" w:rsidP="00D06117">
      <w:pPr>
        <w:pStyle w:val="TextoNormal"/>
      </w:pPr>
    </w:p>
    <w:p w:rsidR="00D06117" w:rsidRDefault="00D06117" w:rsidP="00D06117">
      <w:pPr>
        <w:pStyle w:val="TextoNormal"/>
      </w:pPr>
      <w:r>
        <w:lastRenderedPageBreak/>
        <w:t>b) Celebrada la vista del procedimiento abreviado en fecha 18 de enero de 2010, mediante providencia de 20 de enero de 2010 el Juzgado de lo Contencioso-Administrativo núm. 1 de Elche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00D06117" w:rsidRDefault="00D06117" w:rsidP="00D06117">
      <w:pPr>
        <w:pStyle w:val="TextoNormal"/>
      </w:pPr>
    </w:p>
    <w:p w:rsidR="00D06117" w:rsidRDefault="00D06117" w:rsidP="00D06117">
      <w:pPr>
        <w:pStyle w:val="TextoNormal"/>
      </w:pPr>
      <w:r>
        <w:t>c) La representación procesal del demandante evacuó el trámite conferido, manifestando que comparte las dudas de constitucionalidad del órgano judicial, por lo que considera procedente el planteamiento de la cuestión. El Ministerio Fiscal y la Abogacía del Estado no presentaron escrito de alegaciones.</w:t>
      </w:r>
    </w:p>
    <w:p w:rsidR="00D06117" w:rsidRDefault="00D06117" w:rsidP="00D06117">
      <w:pPr>
        <w:pStyle w:val="TextoNormal"/>
      </w:pPr>
    </w:p>
    <w:p w:rsidR="00D06117" w:rsidRDefault="00D06117" w:rsidP="00D06117">
      <w:pPr>
        <w:pStyle w:val="TextoNormal"/>
      </w:pPr>
      <w:r>
        <w:t>d) Mediante Auto de 24 de febrero de 2010 el Juzgado de lo Contencioso-Administrativo núm. 1 de Elche acordó plantear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en las consideraciones que seguidamente se resumen.</w:t>
      </w:r>
    </w:p>
    <w:p w:rsidR="00D06117" w:rsidRDefault="00D06117" w:rsidP="00D06117">
      <w:pPr>
        <w:pStyle w:val="TextoNormal"/>
      </w:pPr>
    </w:p>
    <w:p w:rsidR="00D06117" w:rsidRDefault="00D06117" w:rsidP="00D06117">
      <w:pPr>
        <w:pStyle w:val="TextoNormal"/>
      </w:pPr>
      <w:r>
        <w:t>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éste uno de los motivos aducidos por el interesado en defensa de la pretensión anulatoria de la resolución administrativa impugnada.</w:t>
      </w:r>
    </w:p>
    <w:p w:rsidR="00D06117" w:rsidRDefault="00D06117" w:rsidP="00D06117">
      <w:pPr>
        <w:pStyle w:val="TextoNormal"/>
      </w:pPr>
    </w:p>
    <w:p w:rsidR="00D06117" w:rsidRDefault="00D06117" w:rsidP="00D06117">
      <w:pPr>
        <w:pStyle w:val="TextoNormal"/>
      </w:pPr>
      <w:r>
        <w:t xml:space="preserve">En cuanto al fondo del asunto, se apuntan las diferencias entre la presente cuestión y la inadmitida por ATC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el ATC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w:t>
      </w:r>
      <w:r>
        <w:lastRenderedPageBreak/>
        <w:t>la caducidad ni la prescripción de la sanción. Para llegar a esta conclusión el Tribunal Supremo parte, según el Juzgado promotor de la cuestión, de una interpretación inadecuada de la STC 243/2006,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00D06117" w:rsidRDefault="00D06117" w:rsidP="00D06117">
      <w:pPr>
        <w:pStyle w:val="TextoNormal"/>
      </w:pPr>
    </w:p>
    <w:p w:rsidR="00D06117" w:rsidRDefault="00D06117" w:rsidP="00D06117">
      <w:pPr>
        <w:pStyle w:val="TextoNormal"/>
      </w:pPr>
      <w:r>
        <w:t>De este modo, en opinión del Juzgado promotor,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00D06117" w:rsidRDefault="00D06117" w:rsidP="00D06117">
      <w:pPr>
        <w:pStyle w:val="TextoNormal"/>
      </w:pPr>
    </w:p>
    <w:p w:rsidR="00D06117" w:rsidRDefault="00D06117" w:rsidP="00D06117">
      <w:pPr>
        <w:pStyle w:val="TextoNormal"/>
      </w:pPr>
      <w:r>
        <w:t>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00D06117" w:rsidRDefault="00D06117" w:rsidP="00D06117">
      <w:pPr>
        <w:pStyle w:val="TextoNormal"/>
      </w:pPr>
    </w:p>
    <w:p w:rsidR="00D06117" w:rsidRDefault="00D06117" w:rsidP="00D06117">
      <w:pPr>
        <w:pStyle w:val="TextoNormal"/>
      </w:pPr>
      <w:r>
        <w:t>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00D06117" w:rsidRDefault="00D06117" w:rsidP="00D06117">
      <w:pPr>
        <w:pStyle w:val="TextoNormal"/>
      </w:pPr>
    </w:p>
    <w:p w:rsidR="00D06117" w:rsidRDefault="00D06117" w:rsidP="00D06117">
      <w:pPr>
        <w:pStyle w:val="TextoNormal"/>
      </w:pPr>
      <w: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w:t>
      </w:r>
      <w:r>
        <w:lastRenderedPageBreak/>
        <w:t>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como una garantía constitucional.</w:t>
      </w:r>
    </w:p>
    <w:p w:rsidR="00D06117" w:rsidRDefault="00D06117" w:rsidP="00D06117">
      <w:pPr>
        <w:pStyle w:val="TextoNormal"/>
      </w:pPr>
    </w:p>
    <w:p w:rsidR="00D06117" w:rsidRDefault="00D06117" w:rsidP="00D06117">
      <w:pPr>
        <w:pStyle w:val="TextoNormal"/>
      </w:pPr>
      <w:r>
        <w:t>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19 de mayo de 2010 el Pleno, a propuesta de la Sección Cuarta, acordó admitir a trámite la presente cuestión de inconstitucionalidad y deferir a la Sala Segunda su resolución, conforme a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 el “Boletín Oficial del Estado”, lo que se verificó en el núm. 136, de 4 de junio de 2010.</w:t>
      </w:r>
    </w:p>
    <w:p w:rsidR="00D06117" w:rsidRDefault="00D06117" w:rsidP="00D06117">
      <w:pPr>
        <w:pStyle w:val="TextoNormal"/>
      </w:pPr>
    </w:p>
    <w:p w:rsidR="00D06117" w:rsidRDefault="00D06117" w:rsidP="00D06117">
      <w:pPr>
        <w:pStyle w:val="TextoNormal"/>
      </w:pPr>
      <w:r w:rsidRPr="00D06117">
        <w:rPr>
          <w:rStyle w:val="NumeroAFNegritaCaracter"/>
        </w:rPr>
        <w:t>5</w:t>
      </w:r>
      <w:r>
        <w:t>. El Presidente del Congreso de los Diputados comunicó, por escrito registrado el 4 de junio de 2010, el acuerdo adoptado por la Mesa de la Cámara, en su reunión del día 1 de junio de 2010, de personarse en el proceso, ofreciendo su colaboración a los efectos del art. 88.1 LOTC, con remisión a la dirección de estudios, análisis y publicaciones y a la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el 8 de junio de 2010, el Presidente del Senado comunicó el acuerdo adoptado por la Mesa de la Cámara, en su reunión del 8 de junio de 2010,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El Abogado del Estado, en la representación que legalmente ostenta, se personó y presentó escrito de alegaciones el 11 de junio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cuál de los apartados —y en su caso párrafos— de cada uno de dichos preceptos recae su duda de constitucionalidad y cuál sea el </w:t>
      </w:r>
      <w:r>
        <w:lastRenderedPageBreak/>
        <w:t>nexo entre el tenor legal y el problema de la prescripción mientras pende el recurso de alzada. La falta de exteriorización del juicio de relevancia resulta agravada por la imprecisión del Auto de planteamiento en su parte dispositiva, tanto en lo que se refiere a los preceptos cuestionados, como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00D06117" w:rsidRDefault="00D06117" w:rsidP="00D06117">
      <w:pPr>
        <w:pStyle w:val="TextoNormal"/>
      </w:pPr>
    </w:p>
    <w:p w:rsidR="00D06117" w:rsidRDefault="00D06117" w:rsidP="00D06117">
      <w:pPr>
        <w:pStyle w:val="TextoNormal"/>
      </w:pPr>
      <w:r>
        <w:t>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cuál de las interpretaciones posibles de un precepto legal resulta más acomodada a la Constitución, ni puede servir para ventilar controversias interpretativas entre órganos judiciales.</w:t>
      </w:r>
    </w:p>
    <w:p w:rsidR="00D06117" w:rsidRDefault="00D06117" w:rsidP="00D06117">
      <w:pPr>
        <w:pStyle w:val="TextoNormal"/>
      </w:pPr>
    </w:p>
    <w:p w:rsidR="00D06117" w:rsidRDefault="00D06117" w:rsidP="00D06117">
      <w:pPr>
        <w:pStyle w:val="TextoNormal"/>
      </w:pPr>
      <w:r>
        <w:t>Subsidiariamente, solicita el Abogado del Estado la desestimación de la presente cuestión, pues entiende que, de entrarse en el fondo del asunto, debe concluirse que no existe infracción constitucional alguna.</w:t>
      </w:r>
    </w:p>
    <w:p w:rsidR="00D06117" w:rsidRDefault="00D06117" w:rsidP="00D06117">
      <w:pPr>
        <w:pStyle w:val="TextoNormal"/>
      </w:pPr>
    </w:p>
    <w:p w:rsidR="00D06117" w:rsidRDefault="00D06117" w:rsidP="00D06117">
      <w:pPr>
        <w:pStyle w:val="TextoNormal"/>
      </w:pPr>
      <w:r>
        <w:t>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00D06117" w:rsidRDefault="00D06117" w:rsidP="00D06117">
      <w:pPr>
        <w:pStyle w:val="TextoNormal"/>
      </w:pPr>
    </w:p>
    <w:p w:rsidR="00D06117" w:rsidRDefault="00D06117" w:rsidP="00D06117">
      <w:pPr>
        <w:pStyle w:val="TextoNormal"/>
      </w:pPr>
      <w:r>
        <w:lastRenderedPageBreak/>
        <w:t>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00D06117" w:rsidRDefault="00D06117" w:rsidP="00D06117">
      <w:pPr>
        <w:pStyle w:val="TextoNormal"/>
      </w:pPr>
    </w:p>
    <w:p w:rsidR="00D06117" w:rsidRDefault="00D06117" w:rsidP="00D06117">
      <w:pPr>
        <w:pStyle w:val="TextoNormal"/>
      </w:pPr>
      <w:r>
        <w:t>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00D06117" w:rsidRDefault="00D06117" w:rsidP="00D06117">
      <w:pPr>
        <w:pStyle w:val="TextoNormal"/>
      </w:pPr>
    </w:p>
    <w:p w:rsidR="00D06117" w:rsidRDefault="00D06117" w:rsidP="00D06117">
      <w:pPr>
        <w:pStyle w:val="TextoNormal"/>
      </w:pPr>
      <w:r>
        <w:t>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00D06117" w:rsidRDefault="00D06117" w:rsidP="00D06117">
      <w:pPr>
        <w:pStyle w:val="TextoNormal"/>
      </w:pPr>
    </w:p>
    <w:p w:rsidR="00D06117" w:rsidRDefault="00D06117" w:rsidP="00D06117">
      <w:pPr>
        <w:pStyle w:val="TextoNormal"/>
      </w:pPr>
      <w: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w:t>
      </w:r>
      <w:r>
        <w:lastRenderedPageBreak/>
        <w:t>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00D06117" w:rsidRDefault="00D06117" w:rsidP="00D06117">
      <w:pPr>
        <w:pStyle w:val="TextoNormal"/>
      </w:pPr>
    </w:p>
    <w:p w:rsidR="00D06117" w:rsidRDefault="00D06117" w:rsidP="00D06117">
      <w:pPr>
        <w:pStyle w:val="TextoNormal"/>
      </w:pPr>
      <w:r w:rsidRPr="00D06117">
        <w:rPr>
          <w:rStyle w:val="NumeroAFNegritaCaracter"/>
        </w:rPr>
        <w:t>8</w:t>
      </w:r>
      <w:r>
        <w:t>. El escrito de alegaciones del Fiscal General del Estado se registró en este Tribunal el 1 de julio de 2010.</w:t>
      </w:r>
    </w:p>
    <w:p w:rsidR="00D06117" w:rsidRDefault="00D06117" w:rsidP="00D06117">
      <w:pPr>
        <w:pStyle w:val="TextoNormal"/>
      </w:pPr>
    </w:p>
    <w:p w:rsidR="00D06117" w:rsidRDefault="00D06117" w:rsidP="00D06117">
      <w:pPr>
        <w:pStyle w:val="TextoNormal"/>
      </w:pPr>
      <w:r>
        <w:t>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arts. 81 LSV y 132 LPC, sino sobre la interpretación vinculante de los mismos impuesta por las citadas Sentencias en interés de ley, en virtud del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00D06117" w:rsidRDefault="00D06117" w:rsidP="00D06117">
      <w:pPr>
        <w:pStyle w:val="TextoNormal"/>
      </w:pPr>
    </w:p>
    <w:p w:rsidR="00D06117" w:rsidRDefault="00D06117" w:rsidP="00D06117">
      <w:pPr>
        <w:pStyle w:val="TextoNormal"/>
      </w:pPr>
      <w:r>
        <w:t>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00D06117" w:rsidRDefault="00D06117" w:rsidP="00D06117">
      <w:pPr>
        <w:pStyle w:val="TextoNormal"/>
      </w:pPr>
    </w:p>
    <w:p w:rsidR="00D06117" w:rsidRDefault="00D06117" w:rsidP="00D06117">
      <w:pPr>
        <w:pStyle w:val="TextoNormal"/>
      </w:pPr>
      <w:r>
        <w:t>Por todo lo expuesto, el Fiscal General del Estado solicita que se desestime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19 de mayo de 2010, el Pleno de este Tribunal acordó de conformidad con lo dispuesto en el art. 10.1 c) LOTC, en la redacción dada por la Ley Orgánica 6/2007, deferir a la Sala Segunda el conocimiento de la presente cuestión.</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3 de mayo de 2012 se señaló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lesiona el principio de seguridad jurídica (art. 9.3 CE), así como el principio de supremacía del Tribunal Constitucional en materia de garantías constitucionales [art. 123.1 CE, en relación con el art. 5.1 de la Ley Orgánica del Poder Judicial (LOPJ)], en cuanto la referida doctrina legal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00D06117" w:rsidRDefault="00D06117" w:rsidP="00D06117">
      <w:pPr>
        <w:pStyle w:val="TextoNormal"/>
      </w:pPr>
    </w:p>
    <w:p w:rsidR="00D06117" w:rsidRDefault="00D06117" w:rsidP="00D06117">
      <w:pPr>
        <w:pStyle w:val="TextoNormal"/>
      </w:pPr>
      <w:r>
        <w:t>De manera alternativa o subsidiaria el Juzgado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w:t>
      </w:r>
    </w:p>
    <w:p w:rsidR="00D06117" w:rsidRDefault="00D06117" w:rsidP="00D06117">
      <w:pPr>
        <w:pStyle w:val="TextoNormal"/>
      </w:pPr>
    </w:p>
    <w:p w:rsidR="00D06117" w:rsidRDefault="00D06117" w:rsidP="00D06117">
      <w:pPr>
        <w:pStyle w:val="TextoNormal"/>
      </w:pPr>
      <w:r w:rsidRPr="00D06117">
        <w:rPr>
          <w:rStyle w:val="NumeroAFNegritaCaracter"/>
        </w:rPr>
        <w:t>2</w:t>
      </w:r>
      <w:r>
        <w:t>. Las dudas de constitucionalidad que se plantean en la presente cuestión han sido ya resueltas por este Tribunal en su reciente STC 37/2012, de 19 de marzo, que desestima la cuestión de inconstitucionalidad promovida por el mismo Juzgado respecto de los mismos preceptos y con los mismos fundamentos, por lo que bastará aquí con remitirse a lo razonado en aquella Sentencia.</w:t>
      </w:r>
    </w:p>
    <w:p w:rsidR="00D06117" w:rsidRDefault="00D06117" w:rsidP="00D06117">
      <w:pPr>
        <w:pStyle w:val="TextoNormal"/>
      </w:pPr>
    </w:p>
    <w:p w:rsidR="00D06117" w:rsidRDefault="00D06117" w:rsidP="00D06117">
      <w:pPr>
        <w:pStyle w:val="TextoNormal"/>
      </w:pPr>
      <w:r>
        <w:t>En la STC 37/2012, FJ 2, comenzamos por precisar que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Efectuada la precisión que antecede, procedimos seguidamente en la STC 37/2012 al examen de la duda de constitucionalidad planteada por el Juzgado de lo Contencioso-Administrativo núm. 1 de Elche de forma subsidiaria o alternativa, es decir, en relación con la posible inconstitucionalidad del art. 100.7 LJCA, por constituir este precepto el presupuesto del que parte el planteamiento de la cuestión, señalando al respecto que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 (STC 37/2012, FJ 3). Y concluíamos descartando que el art. 100.7 LJCA, en la medida en que establece el carácter vinculante de las sentencias del Tribunal Supremo que estiman los recursos de casación en interés de ley, vulnere el principio de independencia judicial (art. 117.1 CE), por las razones que se expresan en la STC 37/2012, FFJJ 4, 5, 6 y 7.</w:t>
      </w:r>
    </w:p>
    <w:p w:rsidR="00D06117" w:rsidRDefault="00D06117" w:rsidP="00D06117">
      <w:pPr>
        <w:pStyle w:val="TextoNormal"/>
      </w:pPr>
    </w:p>
    <w:p w:rsidR="00D06117" w:rsidRDefault="00D06117" w:rsidP="00D06117">
      <w:pPr>
        <w:pStyle w:val="TextoNormal"/>
      </w:pPr>
      <w:r>
        <w:t>Dijimos allí, en efecto, que la independencia judicial, que se predica de todos y cada uno de los Jueces y Magistrados en cuanto ejercen la función jurisdiccional (STC 108/1986, de 26 de julio, FJ 6), “permite que los órganos judiciales inferiores en grado discrepen, mediante un razonamiento fundado en Derecho, del criterio sostenido por Tribunales superiores e incluso de la jurisprudencia sentada por el Tribunal Supremo (art. 1.6 del Código civil), si fuere el caso …,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 (STC 37/2012, FJ 7).</w:t>
      </w:r>
    </w:p>
    <w:p w:rsidR="00D06117" w:rsidRDefault="00D06117" w:rsidP="00D06117">
      <w:pPr>
        <w:pStyle w:val="TextoNormal"/>
      </w:pPr>
    </w:p>
    <w:p w:rsidR="00D06117" w:rsidRDefault="00D06117" w:rsidP="00D06117">
      <w:pPr>
        <w:pStyle w:val="TextoNormal"/>
      </w:pPr>
      <w:r>
        <w:t>Sin embargo, como seguidamente advertíamos, no por esa vinculación a la doctrina legal de la Sala de lo Contencioso-Administrativo del Tribunal Supremo sentada en las sentencias estimatorias de recursos de casación en interés de ley queda abolida o cercenada la independencia judicial de los órganos judiciales inferiores en grado de dicho orden jurisdiccional. “Ello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(STC 37/2012, FJ 7).</w:t>
      </w:r>
    </w:p>
    <w:p w:rsidR="00D06117" w:rsidRDefault="00D06117" w:rsidP="00D06117">
      <w:pPr>
        <w:pStyle w:val="TextoNormal"/>
      </w:pPr>
    </w:p>
    <w:p w:rsidR="00D06117" w:rsidRDefault="00D06117" w:rsidP="00D06117">
      <w:pPr>
        <w:pStyle w:val="TextoNormal"/>
      </w:pPr>
      <w:r>
        <w:lastRenderedPageBreak/>
        <w:t>Añadimos a lo anterior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7).</w:t>
      </w:r>
    </w:p>
    <w:p w:rsidR="00D06117" w:rsidRDefault="00D06117" w:rsidP="00D06117">
      <w:pPr>
        <w:pStyle w:val="TextoNormal"/>
      </w:pPr>
    </w:p>
    <w:p w:rsidR="00D06117" w:rsidRDefault="00D06117" w:rsidP="00D06117">
      <w:pPr>
        <w:pStyle w:val="TextoNormal"/>
      </w:pPr>
      <w:r w:rsidRPr="00D06117">
        <w:rPr>
          <w:rStyle w:val="NumeroAFNegritaCaracter"/>
        </w:rPr>
        <w:t>4</w:t>
      </w:r>
      <w:r>
        <w:t>. Descartada la inconstitucionalidad del art. 100.7 LJCA, por las razones expresadas, rechazamos seguidamente en la citada STC 37/2012 la duda de constitucionalidad planteada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00D06117" w:rsidRDefault="00D06117" w:rsidP="00D06117">
      <w:pPr>
        <w:pStyle w:val="TextoNormal"/>
      </w:pPr>
    </w:p>
    <w:p w:rsidR="00D06117" w:rsidRDefault="00D06117" w:rsidP="00D06117">
      <w:pPr>
        <w:pStyle w:val="TextoNormal"/>
      </w:pPr>
      <w:r>
        <w:t>Así, por lo que se refiere a la pretendida vulneración del principio de seguridad jurídica, con cita de nuestra reiterada doctrina al respecto, declaramos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00D06117" w:rsidRDefault="00D06117" w:rsidP="00D06117">
      <w:pPr>
        <w:pStyle w:val="TextoNormal"/>
      </w:pPr>
    </w:p>
    <w:p w:rsidR="00D06117" w:rsidRDefault="00D06117" w:rsidP="00D06117">
      <w:pPr>
        <w:pStyle w:val="TextoNormal"/>
      </w:pPr>
      <w:r>
        <w:t>De igual modo declaramos en la STC 37/2012, FJ 9, que, por las razones que se expresan en los FFJJ 10 y 11 —a los cuales resulta obligado remitirse ahora— no se advierte que el contenido normativo de los arts. 81 LSV y 132 LPC, determinado por la doctrina legal vinculante establecida por el Tribunal Supremo en las citadas Sentencias en interés de ley, resulte contrario ni a la doctrina constitucional sobre la configuración del silencio administrativo que se invoca en el Auto de planteamiento de la cuestión, ni, en consecuencia, al art. 123.1 CE, para concluir recordando que “no corresponde al Tribunal Constitucional deter</w:t>
      </w:r>
      <w:r>
        <w:lastRenderedPageBreak/>
        <w:t>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8" w:name="SENTENCIA_2012_95"/>
      <w:r>
        <w:lastRenderedPageBreak/>
        <w:t>SENTENCIA 95/2012, de 7 de mayo de 2012</w:t>
      </w:r>
    </w:p>
    <w:bookmarkEnd w:id="98"/>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ECLI:ES:TC:2012:95</w:t>
      </w:r>
    </w:p>
    <w:p w:rsidR="00D06117" w:rsidRDefault="00D06117" w:rsidP="00D06117">
      <w:pPr>
        <w:pStyle w:val="SntesisDescriptiva"/>
      </w:pPr>
    </w:p>
    <w:p w:rsidR="00D06117" w:rsidRDefault="00D06117" w:rsidP="00D06117">
      <w:pPr>
        <w:pStyle w:val="SntesisDescriptiva"/>
      </w:pPr>
      <w:r>
        <w:t>Recurso de amparo 6377-2010. Promovido por doña Susana Patricia Higueras Poyatos en relación con el Auto de un Juzgado de Primera Instancia e Instrucción de La Palma del Condado de 8 de agosto de 2010, dictado en procedimiento de habeas corpus.</w:t>
      </w:r>
    </w:p>
    <w:p w:rsidR="00D06117" w:rsidRDefault="00D06117" w:rsidP="00D06117">
      <w:pPr>
        <w:pStyle w:val="SntesisDescriptiva"/>
      </w:pPr>
    </w:p>
    <w:p w:rsidR="00D06117" w:rsidRDefault="00D06117" w:rsidP="00D06117">
      <w:pPr>
        <w:pStyle w:val="SntesisAnaltica"/>
      </w:pPr>
      <w:r>
        <w:t>Vulneración del derecho a la libertad personal: detención preventiva que duró más del tiempo estrictamente necesario, e inadmisión a trámite de una petición de habeas corpus por razones de fondo (STC 165/2007).</w:t>
      </w:r>
    </w:p>
    <w:p w:rsidR="00D06117" w:rsidRDefault="00D06117" w:rsidP="00D06117">
      <w:pPr>
        <w:pStyle w:val="SntesisAnaltica"/>
      </w:pPr>
    </w:p>
    <w:p w:rsidR="00D06117" w:rsidRDefault="00D06117" w:rsidP="00D06117">
      <w:pPr>
        <w:pStyle w:val="Extracto"/>
      </w:pPr>
      <w:r>
        <w:t>1.</w:t>
      </w:r>
      <w:r>
        <w:tab/>
        <w:t>Vulnera la garantía que el art. 17.2 CE reconoce al titular del derecho a la libertad personal, la prolongación de la detención preventiva más allá del tiempo necesario para el esclarecimiento de los hechos presuntamente delictivos que la motivaron [FFJJ 4, 7].</w:t>
      </w:r>
    </w:p>
    <w:p w:rsidR="00D06117" w:rsidRDefault="00D06117" w:rsidP="00D06117">
      <w:pPr>
        <w:pStyle w:val="Extracto"/>
      </w:pPr>
    </w:p>
    <w:p w:rsidR="00D06117" w:rsidRDefault="00D06117" w:rsidP="00D06117">
      <w:pPr>
        <w:pStyle w:val="Extracto"/>
      </w:pPr>
      <w:r>
        <w:t>2.</w:t>
      </w:r>
      <w:r>
        <w:tab/>
        <w:t xml:space="preserve">Vulnera la garantía recogida en el art. 17.4 CE la inadmisión de plano de la solicitud de </w:t>
      </w:r>
      <w:r w:rsidRPr="00D06117">
        <w:rPr>
          <w:i/>
        </w:rPr>
        <w:t>habeas corpus</w:t>
      </w:r>
      <w:r>
        <w:t xml:space="preserve"> [FFJJ 4, 7].</w:t>
      </w:r>
    </w:p>
    <w:p w:rsidR="00D06117" w:rsidRDefault="00D06117" w:rsidP="00D06117">
      <w:pPr>
        <w:pStyle w:val="Extracto"/>
      </w:pPr>
    </w:p>
    <w:p w:rsidR="00D06117" w:rsidRDefault="00D06117" w:rsidP="00D06117">
      <w:pPr>
        <w:pStyle w:val="Extracto"/>
      </w:pPr>
      <w:r>
        <w:t>3.</w:t>
      </w:r>
      <w:r>
        <w:tab/>
        <w:t>Pueden calificarse como privaciones de libertad ilegales, en cuanto indebidamente mantenidas, aquéllas que, aún sin rebasar el límite máximo de setenta y dos horas, sobrepasen el tiempo indispensable para realizar las oportunas pesquisas dirigidas al esclarecimiento del hecho delictivo que se imputa al detenido (STC 250/2006) [FJ 2].</w:t>
      </w:r>
    </w:p>
    <w:p w:rsidR="00D06117" w:rsidRDefault="00D06117" w:rsidP="00D06117">
      <w:pPr>
        <w:pStyle w:val="Extracto"/>
      </w:pPr>
    </w:p>
    <w:p w:rsidR="00D06117" w:rsidRDefault="00D06117" w:rsidP="00D06117">
      <w:pPr>
        <w:pStyle w:val="Extracto"/>
      </w:pPr>
      <w:r>
        <w:t>4.</w:t>
      </w:r>
      <w:r>
        <w:tab/>
        <w:t xml:space="preserve">Las solicitudes de </w:t>
      </w:r>
      <w:r w:rsidRPr="00D06117">
        <w:rPr>
          <w:i/>
        </w:rPr>
        <w:t>habeas corpus</w:t>
      </w:r>
      <w:r>
        <w:t xml:space="preserve"> deben tramitarse con urgencia y agilidad, por cuanto la razón de ser de esta garantía específica de la libertad se encuentra en que sean verificadas con prontitud por un Juez la legalidad y las condiciones de la detención, sin que puedan considerarse un impedimento de este comportamiento las inconveniencias o incomodidades que para el órgano judicial pudieran originarse por dicha petición [FJ 3].</w:t>
      </w:r>
    </w:p>
    <w:p w:rsidR="00D06117" w:rsidRDefault="00D06117" w:rsidP="00D06117">
      <w:pPr>
        <w:pStyle w:val="Extracto"/>
      </w:pPr>
    </w:p>
    <w:p w:rsidR="00D06117" w:rsidRDefault="00D06117" w:rsidP="00D06117">
      <w:pPr>
        <w:pStyle w:val="Extracto"/>
      </w:pPr>
      <w:r>
        <w:t>5.</w:t>
      </w:r>
      <w:r>
        <w:tab/>
        <w:t>Los protocolos de colaboración entre juzgados y fuerzas y cuerpos de seguridad sobre conducción de detenidos no pueden ser obstáculo para la presentación del detenido al juez en un momento anterior a lo dispuesto en los mismos cuando las circunstancias concurrentes y las exigencias constitucionales y legales así lo aconsejen (SSTC 224/2002, 88/2011) [FJ 3].</w:t>
      </w:r>
    </w:p>
    <w:p w:rsidR="00D06117" w:rsidRDefault="00D06117" w:rsidP="00D06117">
      <w:pPr>
        <w:pStyle w:val="Extracto"/>
      </w:pPr>
    </w:p>
    <w:p w:rsidR="00D06117" w:rsidRDefault="00D06117" w:rsidP="00D06117">
      <w:pPr>
        <w:pStyle w:val="Extracto"/>
      </w:pPr>
      <w:r>
        <w:t>6.</w:t>
      </w:r>
      <w:r>
        <w:tab/>
        <w:t xml:space="preserve">El juicio de admisibilidad de la solicitud de </w:t>
      </w:r>
      <w:r w:rsidRPr="00D06117">
        <w:rPr>
          <w:i/>
        </w:rPr>
        <w:t>habeas corpus</w:t>
      </w:r>
      <w:r>
        <w:t xml:space="preserve"> debe reducirse al cumplimiento de los requisitos formales, no siendo constitucionalmente legítimo fundamentar su inadmisión en la afirmación de que el solicitante no se encuentra ilícitamente privado de libertad, porque el contenido propio de la pretensión es precisamente la de determinar la licitud o ilicitud de dicha privación (SSTC 35/2008, 173/2008) [FJ 4].</w:t>
      </w:r>
    </w:p>
    <w:p w:rsidR="00D06117" w:rsidRDefault="00D06117" w:rsidP="00D06117">
      <w:pPr>
        <w:pStyle w:val="Extracto"/>
      </w:pPr>
    </w:p>
    <w:p w:rsidR="00D06117" w:rsidRDefault="00D06117" w:rsidP="00D06117">
      <w:pPr>
        <w:pStyle w:val="Extracto"/>
      </w:pPr>
      <w:r>
        <w:t>7.</w:t>
      </w:r>
      <w:r>
        <w:tab/>
        <w:t xml:space="preserve">El enjuiciamiento de la legalidad de la detención a realizar en el procedimiento de </w:t>
      </w:r>
      <w:r w:rsidRPr="00D06117">
        <w:rPr>
          <w:i/>
        </w:rPr>
        <w:t>habeas corpus</w:t>
      </w:r>
      <w:r>
        <w:t>, que ha de llevarse a cabo en el juicio de fondo previa audiencia del solicitante y demás partes, es si cabe, aún más necesario cuando el solicitante alegue que la privación de libertad se ha prolongado indebidamente (SSTC 224/2002, 165/2007) [FJ 4].</w:t>
      </w:r>
    </w:p>
    <w:p w:rsidR="00D06117" w:rsidRDefault="00D06117" w:rsidP="00D06117">
      <w:pPr>
        <w:pStyle w:val="Extracto"/>
      </w:pPr>
    </w:p>
    <w:p w:rsidR="00D06117" w:rsidRDefault="00D06117" w:rsidP="00D06117">
      <w:pPr>
        <w:pStyle w:val="Extracto"/>
      </w:pPr>
      <w:r>
        <w:t>8.</w:t>
      </w:r>
      <w:r>
        <w:tab/>
        <w:t xml:space="preserve">El mero traslado del solicitante al juzgado no satisface las exigencias constitucionales del </w:t>
      </w:r>
      <w:r w:rsidRPr="00D06117">
        <w:rPr>
          <w:i/>
        </w:rPr>
        <w:t>habeas corpus</w:t>
      </w:r>
      <w:r>
        <w:t>, resultando necesario cumplimentar el trámite de audiencia al detenido para que formule las alegaciones y proponga las pruebas que entienda pertinentes (SSTC 14/2009, 15/2009) [FJ 5].</w:t>
      </w:r>
    </w:p>
    <w:p w:rsidR="00D06117" w:rsidRDefault="00D06117" w:rsidP="00D06117">
      <w:pPr>
        <w:pStyle w:val="Extracto"/>
      </w:pPr>
    </w:p>
    <w:p w:rsidR="00D06117" w:rsidRDefault="00D06117" w:rsidP="00D06117">
      <w:pPr>
        <w:pStyle w:val="Extracto"/>
      </w:pPr>
      <w:r>
        <w:t>9.</w:t>
      </w:r>
      <w:r>
        <w:tab/>
        <w:t xml:space="preserve">La decisión de inadmisión del procedimiento de </w:t>
      </w:r>
      <w:r w:rsidRPr="00D06117">
        <w:rPr>
          <w:i/>
        </w:rPr>
        <w:t>habeas corpus</w:t>
      </w:r>
      <w:r>
        <w:t xml:space="preserve"> vulnera el art. 17.4 CE, por lo que resulta innecesario realizar cualquier consideración sobre la lesión a la tutela judicial efectiva por incumplimiento del deber de motivación, que rige para mantener una situación de privación de libertad (SSTC 288/2000, 122/2004) [FJ 6].</w:t>
      </w:r>
    </w:p>
    <w:p w:rsidR="00D06117" w:rsidRDefault="00D06117" w:rsidP="00D06117">
      <w:pPr>
        <w:pStyle w:val="Extracto"/>
      </w:pPr>
    </w:p>
    <w:p w:rsidR="00D06117" w:rsidRDefault="00D06117" w:rsidP="00D06117">
      <w:pPr>
        <w:pStyle w:val="Extracto"/>
      </w:pPr>
      <w:r>
        <w:t>10.</w:t>
      </w:r>
      <w:r>
        <w:tab/>
        <w:t>Doctrina sobre los límites  temporales de la detención preventiva (SSTC 199/1987, 88/2011) [FJ 2].</w:t>
      </w:r>
    </w:p>
    <w:p w:rsidR="00D06117" w:rsidRDefault="00D06117" w:rsidP="00D06117">
      <w:pPr>
        <w:pStyle w:val="Extracto"/>
      </w:pPr>
    </w:p>
    <w:p w:rsidR="00D06117" w:rsidRDefault="00D06117" w:rsidP="00D06117">
      <w:pPr>
        <w:pStyle w:val="Extracto"/>
      </w:pPr>
      <w:r>
        <w:t>11.</w:t>
      </w:r>
      <w:r>
        <w:tab/>
        <w:t xml:space="preserve">Doctrina sobre el procedimiento de </w:t>
      </w:r>
      <w:r w:rsidRPr="00D06117">
        <w:rPr>
          <w:i/>
        </w:rPr>
        <w:t>habeas corpus</w:t>
      </w:r>
      <w:r>
        <w:t xml:space="preserve"> y su vulneración por resoluciones judiciales de inadmisión a trámite (SSTC 93/2006, 88/2011) [FJ 4].</w:t>
      </w:r>
    </w:p>
    <w:p w:rsidR="00D06117" w:rsidRDefault="00D06117" w:rsidP="00D06117">
      <w:pPr>
        <w:pStyle w:val="Extracto"/>
      </w:pPr>
    </w:p>
    <w:p w:rsidR="00D06117" w:rsidRDefault="00D06117" w:rsidP="00D06117">
      <w:pPr>
        <w:pStyle w:val="Extracto"/>
      </w:pPr>
      <w:r>
        <w:t>12.</w:t>
      </w:r>
      <w:r>
        <w:tab/>
        <w:t xml:space="preserve">Doctrina sobre la motivación de las resoluciones judiciales de denegación de la solicitud de </w:t>
      </w:r>
      <w:r w:rsidRPr="00D06117">
        <w:rPr>
          <w:i/>
        </w:rPr>
        <w:t>habeas corpus</w:t>
      </w:r>
      <w:r>
        <w:t xml:space="preserve"> (STC 66/1996, 165/2007) [FJ 6].</w:t>
      </w:r>
    </w:p>
    <w:p w:rsidR="00D06117" w:rsidRDefault="00D06117" w:rsidP="00D06117">
      <w:pPr>
        <w:pStyle w:val="Extracto"/>
      </w:pPr>
    </w:p>
    <w:p w:rsidR="00D06117" w:rsidRDefault="00D06117" w:rsidP="00D06117">
      <w:pPr>
        <w:pStyle w:val="Extracto"/>
      </w:pPr>
      <w:r>
        <w:t>13.</w:t>
      </w:r>
      <w:r>
        <w:tab/>
        <w:t xml:space="preserve">No procede retrotraer las actuaciones al momento en que se produjo la vulneración del derecho a la libertad, toda vez que al no encontrarse ya la recurrente privada de libertad no se cumpliría el presupuesto necesario para que el órgano judicial pudiera decidir la admisión a trámite del procedimiento de </w:t>
      </w:r>
      <w:r w:rsidRPr="00D06117">
        <w:rPr>
          <w:i/>
        </w:rPr>
        <w:t>habeas corpus</w:t>
      </w:r>
      <w:r>
        <w:t xml:space="preserve"> (SSTC 31/1985, 88/2011) [FJ 7].</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compuesto por don Eugeni Gay Montalvo, Presidente, doña Elisa Pérez Vera, don Ramón Rodríguez Arribas,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6377-2010, promovido por doña Susana Patricia Higueras Poyatos, representada por el Procurador de los Tribunales don Álvaro Mondría Teran y </w:t>
      </w:r>
      <w:r>
        <w:lastRenderedPageBreak/>
        <w:t>asistida por la Letrada doña Susana Lucero Zalazar, contra el Auto del Juzgado de Primera Instancia e Instrucción núm. 3 de La Palma del Condado de 8 de agosto de 2010, dictado en el procedimiento de habeas corpus núm. 2-2010. Ha intervenido el Ministerio Fiscal. Ha sido Ponente la Magistrada doña Elisa Pérez Vera,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día 27 de agosto de 2010, doña Susana Patricia Higueras Poyatos anunció su intención de recurrir en amparo la resolución judicial reseñada en el encabezamiento, interesando a tal fin que se le designara Abogado y Procurador del turno de oficio. Una vez efectuados estos nombramientos, se formalizó la correspondiente demanda mediante escrito registrado en fecha 31 de marzo de 2011.</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con relevancia para la resolución del presente recurso de amparo, tal como se desprende de éste y de las actuaciones recibidas, son los siguientes:</w:t>
      </w:r>
    </w:p>
    <w:p w:rsidR="00D06117" w:rsidRDefault="00D06117" w:rsidP="00D06117">
      <w:pPr>
        <w:pStyle w:val="TextoNormal"/>
      </w:pPr>
    </w:p>
    <w:p w:rsidR="00D06117" w:rsidRDefault="00D06117" w:rsidP="00D06117">
      <w:pPr>
        <w:pStyle w:val="TextoNormal"/>
      </w:pPr>
      <w:r>
        <w:t>a) Sobre las 19:35 del sábado 7 de agosto de 2010 doña Susana Patricia Higueras Poyatos fue detenida, después de haberlo sido su marido momentos antes, en la urbanización “Caño Guerrero” de la localidad Torre de la Higuera por agentes de la Guardia Civil, siendo conducida al puesto de seguridad ciudadana de la citada localidad, adscrito a la Comandancia de la Guardia Civil de Huelva. Según el atestado policial (núm. 365-2010) ambos habían sido detenidos por presuntos delitos de hurto y uso de identidad falsa, por su participación en diversas sustracciones a bañistas que se venían produciendo en la playa de Matalascañas y al proporcionar sus datos personales alterados cuando se les solicitó su identificación por los agentes actuantes. Obra en dicho atestado diligencia de información de derechos a la recurrente con ocasión de su detención así como diligencia por la que se acredita su traslado a un centro de salud para ser reconocida, concluyendo este último trámite sobre las 20:00 horas del mismo día.</w:t>
      </w:r>
    </w:p>
    <w:p w:rsidR="00D06117" w:rsidRDefault="00D06117" w:rsidP="00D06117">
      <w:pPr>
        <w:pStyle w:val="TextoNormal"/>
      </w:pPr>
    </w:p>
    <w:p w:rsidR="00D06117" w:rsidRDefault="00D06117" w:rsidP="00D06117">
      <w:pPr>
        <w:pStyle w:val="TextoNormal"/>
      </w:pPr>
      <w:r>
        <w:t>b) Una vez en las dependencias de la Guardia Civil, se dispuso que fuera oída en manifestación en presencia del Letrado de oficio, sobre las 22:36 del día 7 de agosto, significando que no deseaba cumplimentar este trámite, porque era su intención prestar declaración ante la autoridad judicial.</w:t>
      </w:r>
    </w:p>
    <w:p w:rsidR="00D06117" w:rsidRDefault="00D06117" w:rsidP="00D06117">
      <w:pPr>
        <w:pStyle w:val="TextoNormal"/>
      </w:pPr>
    </w:p>
    <w:p w:rsidR="00D06117" w:rsidRDefault="00D06117" w:rsidP="00D06117">
      <w:pPr>
        <w:pStyle w:val="TextoNormal"/>
      </w:pPr>
      <w:r>
        <w:t>c) Al tener conocimiento de que su detención se prologaría hasta el lunes 9 de agosto, la recurrente sobre las 22:40 horas del mismo día procedió a solicitar se incoara el procedimiento de habeas corpus. Esta solicitud se cursó vía telefónica por la Guardia Civil a las 22:43 horas, siendo atendida la llamada por la Juez de Instrucción en funciones de guardia, quien ordenó a los agentes que la detenida permaneciera “en custodia” en las dependencias de la Guardia Civil de Torre la Higuera, siendo citada y presentada al día siguiente, 8 de agosto sobre las 10:00 horas, ante el Juzgado de Primera Instancia de Instrucción núm. 3 de la Palma del Condado.</w:t>
      </w:r>
    </w:p>
    <w:p w:rsidR="00D06117" w:rsidRDefault="00D06117" w:rsidP="00D06117">
      <w:pPr>
        <w:pStyle w:val="TextoNormal"/>
      </w:pPr>
    </w:p>
    <w:p w:rsidR="00D06117" w:rsidRDefault="00D06117" w:rsidP="00D06117">
      <w:pPr>
        <w:pStyle w:val="TextoNormal"/>
      </w:pPr>
      <w:r>
        <w:lastRenderedPageBreak/>
        <w:t>d) Una vez a presencia judicial, en el tiempo y en la forma acordada, la Magistrada, sin recibirle declaración sobre su pretensión de habeas corpus, procedió a notificar a la recurrente un Auto, de 8 de agosto de 2010, por el que, conforme con el dictamen del Fiscal, se procedía a “denegar la solicitud de habeas corpus”.</w:t>
      </w:r>
    </w:p>
    <w:p w:rsidR="00D06117" w:rsidRDefault="00D06117" w:rsidP="00D06117">
      <w:pPr>
        <w:pStyle w:val="TextoNormal"/>
      </w:pPr>
    </w:p>
    <w:p w:rsidR="00D06117" w:rsidRDefault="00D06117" w:rsidP="00D06117">
      <w:pPr>
        <w:pStyle w:val="TextoNormal"/>
      </w:pPr>
      <w:r>
        <w:t>A tal fin, en el fundamento jurídico único de dicha resolución se razona:</w:t>
      </w:r>
    </w:p>
    <w:p w:rsidR="00D06117" w:rsidRDefault="00D06117" w:rsidP="00D06117">
      <w:pPr>
        <w:pStyle w:val="TextoNormal"/>
      </w:pPr>
    </w:p>
    <w:p w:rsidR="00D06117" w:rsidRDefault="00D06117" w:rsidP="00D06117">
      <w:pPr>
        <w:pStyle w:val="TextoNormal"/>
      </w:pPr>
      <w:r>
        <w:t>“El artículo 6 de la Ley Orgánica 6/1984 reguladora del procedimiento de Habeas Corpus establece que ‘promovida la solicitud de Habeas Corpus el Juez examinará la concurrencia de los requisitos para su tramitación y dará traslado de la misma al Ministerio Fiscal. Seguidamente, mediante auto, acordará la incoación del procedimiento, o, en su caso, denegará la solicitud por ser ésta improcedente. Dicho auto se notificará, en todo caso, al Ministerio Fiscal. Contra la resolución que en uno u otro caso se adopte, no cabrá recurso alguno’.</w:t>
      </w:r>
    </w:p>
    <w:p w:rsidR="00D06117" w:rsidRDefault="00D06117" w:rsidP="00D06117">
      <w:pPr>
        <w:pStyle w:val="TextoNormal"/>
      </w:pPr>
    </w:p>
    <w:p w:rsidR="00D06117" w:rsidRDefault="00D06117" w:rsidP="00D06117">
      <w:pPr>
        <w:pStyle w:val="TextoNormal"/>
      </w:pPr>
      <w:r>
        <w:t>Por su lado, el art. 1 de la misma Ley establece que ‘mediante el procedimiento de Habeas Corpus, regulado en la presente Ley, se podrá obtener la inmediata puesta a disposición de la Autoridad Judicial competente, de cualquier persona detenida ilegalmente. A los efectos de esta Ley se consideran personas ilegalmente detenidas: a) Las que lo fueran por una autoridad, agente de la misma, funcionario público o particular, sin que concurran los supuestos legales, o sin haberse cumplido las formalidades prevenidas y requisitos exigidos por las leyes. b) las que estén ilícitamente internadas en cualquier establecimiento o lugar. c) Las que lo estuvieran por plazo superior al señalado en las leyes si, transcurrido el mismo, no fuesen puestas en libertad o entregadas al Juez más próximo al lugar de la detención. d) Las privadas de libertad a quienes no les sean respetados los derechos que la Constitución y las leyes procesales garantizan a toda persona detenida’.</w:t>
      </w:r>
    </w:p>
    <w:p w:rsidR="00D06117" w:rsidRDefault="00D06117" w:rsidP="00D06117">
      <w:pPr>
        <w:pStyle w:val="TextoNormal"/>
      </w:pPr>
    </w:p>
    <w:p w:rsidR="00D06117" w:rsidRDefault="00D06117" w:rsidP="00D06117">
      <w:pPr>
        <w:pStyle w:val="TextoNormal"/>
      </w:pPr>
      <w:r>
        <w:t>De lo dispuesto en el citado art. 1 se deduce que el imputado en las presentes diligencias no se encuentra en ninguno de los supuestos que se recogen en el mismo, por lo que la solicitud debe considerarse improcedente y denegar la misma.”</w:t>
      </w:r>
    </w:p>
    <w:p w:rsidR="00D06117" w:rsidRDefault="00D06117" w:rsidP="00D06117">
      <w:pPr>
        <w:pStyle w:val="TextoNormal"/>
      </w:pPr>
    </w:p>
    <w:p w:rsidR="00D06117" w:rsidRDefault="00D06117" w:rsidP="00D06117">
      <w:pPr>
        <w:pStyle w:val="TextoNormal"/>
      </w:pPr>
      <w:r>
        <w:t>Notificada esta resolución judicial, se procedió a devolver a la detenida a las dependencias de la Guardia Civil.</w:t>
      </w:r>
    </w:p>
    <w:p w:rsidR="00D06117" w:rsidRDefault="00D06117" w:rsidP="00D06117">
      <w:pPr>
        <w:pStyle w:val="TextoNormal"/>
      </w:pPr>
    </w:p>
    <w:p w:rsidR="00D06117" w:rsidRDefault="00D06117" w:rsidP="00D06117">
      <w:pPr>
        <w:pStyle w:val="TextoNormal"/>
      </w:pPr>
      <w:r>
        <w:t>e) Obra en las actuaciones una “diligencia de exposición de hechos”, elaborada por el agente instructor del atestado sobre las 11:00 horas del día 8 de agosto, donde se hacen constar las medidas de investigación practicadas para un mejor esclarecimiento de los hechos (entre éstas, recepción de las denuncias de las correspondientes víctimas y entrada y registro en el domicilio de los detenidos, donde se ocuparon diversos efectos supuestamente sustraídos). Si bien, en esta diligencia se anuncia a la autoridad judicial que “se continúan las diligencias con el fin de esclarecer todos los posibles hechos delictivos, así como la entrega de los efectos intervenidos a sus legítimos propietarios, siendo informada su señoría a través de futuras diligencias ampliatorias” (que son entregadas mediante atestado ampliatorio con fecha 31 de agosto de 2010).</w:t>
      </w:r>
    </w:p>
    <w:p w:rsidR="00D06117" w:rsidRDefault="00D06117" w:rsidP="00D06117">
      <w:pPr>
        <w:pStyle w:val="TextoNormal"/>
      </w:pPr>
    </w:p>
    <w:p w:rsidR="00D06117" w:rsidRDefault="00D06117" w:rsidP="00D06117">
      <w:pPr>
        <w:pStyle w:val="TextoNormal"/>
      </w:pPr>
      <w:r>
        <w:t xml:space="preserve">f) Finalmente, la recurrente fue puesta a disposición judicial para ser oída en declaración en la mañana del lunes 9 de agosto, sobre las 10:00 horas, tal como estaba previsto desde un principio. En este sentido, consta diligencia de “remisión y entrega” del atestado por parte del instructor en la que se significa que “en Torre la Higuera (Huelva), siendo las 10:00 </w:t>
      </w:r>
      <w:r>
        <w:lastRenderedPageBreak/>
        <w:t>horas del día 9 de agosto de 2010, por esta diligencia se hace entrega en la sede judicial de los de Primera Instancia e Instrucción en funciones de guardia de los de la Palma del Condado de 1.- Las presentes diligencias, las cuales constan de treinta y cinco folios sellados, rubricados y escritos por una sola cara, 5 anexos, índice de actuaciones y portada 2.- De los detenidos D José Ruge Maldonado y doña Susana Patricia Higueras Poyatos y cuyos demás datos obran en las diligencias correspondientes, así como de sus pertenencias”.</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demandante invoca como vulnerada en primer lugar la garantía referente al derecho a la libertad personal recogida en el art. 17.2 CE, pues la detención preventiva de que fue objeto en las dependencias de la Guardia Civil se prolongó más allá del tiempo estrictamente necesario para el esclarecimiento de los hechos que la motivaron. En efecto, en el caso que nos ocupa “la privación de libertad quedó vacía de legitimación a partir del momento en que se cerró el atestado de la Guardia Civil y no fue puesta inmediatamente a disposición judicial”. Además, “trasladada al Juzgado de Instrucción núm. 3 en funciones de guardia, se le notifica la denegación de la incoación, es devuelta en condición de detenida al Puesto de la Guardia Civil, hasta que a la mañana siguiente fue puesta a disposición judicial, y, reiteramos, pese a que ya no quedaban diligencias pendientes”. De este modo, según la recurrente, se incumplió la jurisprudencia constitucional que afirma que “desde el momento en que las averiguaciones tendentes al esclarecimiento de los hechos fueron finalizadas, y no constando la existencia de otras circunstancias, la detención policial del actor quedó privada de fundamento constitucional”. (Se citan en la demanda las SSTC 224/2002, de 25 de noviembre; 23/2004, de 23 de febrero y 165/2007, de 2 de julio).</w:t>
      </w:r>
    </w:p>
    <w:p w:rsidR="00D06117" w:rsidRDefault="00D06117" w:rsidP="00D06117">
      <w:pPr>
        <w:pStyle w:val="TextoNormal"/>
      </w:pPr>
    </w:p>
    <w:p w:rsidR="00D06117" w:rsidRDefault="00D06117" w:rsidP="00D06117">
      <w:pPr>
        <w:pStyle w:val="TextoNormal"/>
      </w:pPr>
      <w:r>
        <w:t>Como segundo motivo de impugnación se alega la infracción del derecho a la tutela judicial efectiva (art. 24.1 CE), en relación con el contenido del art. 17.4 CE, imputable ahora a la autoridad judicial, porque ésta ha procedido a inadmitir a trámite la solicitud de habeas corpus sin oír a la detenida, incumpliéndose así también la doctrina de este Tribunal que determina que el enjuiciamiento de la legalidad del mantenimiento de la detención “debe llevarse a cabo en el juicio de fondo, previa comparecencia y audiencia del solicitante y demás partes” (STC 23/2004, de 23 de febrero, entre otras). Además, el Auto dictado por el Juzgado de primera instancia e instrucción vulneró el citado art. 24.1 CE porque adolece de la necesaria motivación, limitándose a reseñar que la petición planteada por la detenida no se encontraba recogida en ninguno de los supuestos previstos en el artículo 1 de la Ley Orgánica 6/1984, de 6 de mayo, de regulación del procedimiento de habeas corpus (LOHC).</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por providencia de 20 de octubre de 2011, acordó admitir a trámite la demanda de amparo y, en aplicación de lo dispuesto en el art. 51 de la Ley Orgánica del Tribunal Constitucional (LOTC), dirigir atenta comunicación al Juzgado de Primera Instancia e Instrucción núm. 3 de la Palma del Condado para la remisión de certificación o fotocopia adverada de las actuaciones y emplazamiento de quienes hubiesen sido parte en el procedimiento, a excepción de la demandante de amparo, para que, si lo deseasen, pudiesen comparecer en el plazo de diez días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Secretaria de Justicia de la Sala Segunda de este Tribunal de 25 de enero de 2012 se acordó dar vista de las actuaciones recibidas al Ministerio Fiscal y a la parte recurrente, por plazo común de veinte días, para presentar las alegaciones que estimasen pertinentes, de conformidad con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Ministerio Fiscal presentó sus alegaciones por escrito registrado en este Tribunal el día 29 de febrero de 2012, interesando la estimación de la demanda de amparo. Comienza por reseñar, en relación a la primera de las quejas, que la STC 165/2007, de 2 de julio, somete la detención de cualquier ciudadano al criterio de la necesidad estricta y al criterio del lapso temporal más breve posible, que exige que el detenido sea conducido “sin dilación” ante la autoridad judicial. En el mismo sentido, la reciente STC 180/2011, de 21 de diciembre, en la que pronunciándose este Tribunal sobre la innecesaria prolongación de una detención policial, reitera la doctrina de que los plazos de privación de libertad son plazos máximos, que no tienen que ser agotados. Con respecto a la segunda queja sobre la inadmisión a trámite de la solicitud de habeas corpus, recuerda el Fiscal la doctrina tradicional de este Tribunal, también recogida en la citada STC 165/2007, de que no procede acordar esta inadmisión sin examinar las circunstancias de la detención ya que el enjuiciamiento de la legalidad de la privación de libertad debe llevarse a cabo en el juicio de fondo, previa comparecencia y audiencia del solicitante y demás partes, por cuanto en otro caso quedaría desvirtuado el procedimiento.</w:t>
      </w:r>
    </w:p>
    <w:p w:rsidR="00D06117" w:rsidRDefault="00D06117" w:rsidP="00D06117">
      <w:pPr>
        <w:pStyle w:val="TextoNormal"/>
      </w:pPr>
    </w:p>
    <w:p w:rsidR="00D06117" w:rsidRDefault="00D06117" w:rsidP="00D06117">
      <w:pPr>
        <w:pStyle w:val="TextoNormal"/>
      </w:pPr>
      <w:r>
        <w:t>En el presente caso, continua el Fiscal, fue solicitada la incoación del habeas corpus ante el Juez competente (el del lugar de la detención), por persona legitimada para ello (la propia detenida), cumpliéndose los demás requisitos exigidos por la jurisprudencia constitucional, es decir una efectiva privación de libertad en un centro policial y que ésta había sido acordada por la autoridad gubernativa. Sin embargo, el Juez en un Auto claramente estereotipado no admitió a trámite la solicitud para llevar a cabo las diligencias previstas en el art. 7 de la citada ley, es decir puesta a disposición inmediata del detenido, práctica de pruebas en su caso y decisión final de estimación o desestimación. La invocación que hace la Magistrada de que no concurre ninguno de los supuestos del art. 1 LOHC, no puede servir de base para la inadmisión pues, conforme a la anterior doctrina, esto es lo que se trata de depurar en este procedimiento. Por esta decisión de inadmisión a limine del expediente, por otra parte, no pudo ser constatada la denuncia sobre el “plazo razonable” de la detención que formulaba la solicitante.</w:t>
      </w:r>
    </w:p>
    <w:p w:rsidR="00D06117" w:rsidRDefault="00D06117" w:rsidP="00D06117">
      <w:pPr>
        <w:pStyle w:val="TextoNormal"/>
      </w:pPr>
    </w:p>
    <w:p w:rsidR="00D06117" w:rsidRDefault="00D06117" w:rsidP="00D06117">
      <w:pPr>
        <w:pStyle w:val="TextoNormal"/>
      </w:pPr>
      <w:r>
        <w:t>De lo expuesto, deduce el Ministerio público “claramente la violación del art. 17 CE en los dos apartados denunciados por la recurrente por no haber quedado justificado en absoluto el plazo de la detención y por haberse dado a las normas reguladoras del procedimiento de habeas corpus una interpretación contraria al núm. 4 del art. 17, de acuerdo a la interpretación que del mismo ofrece el Tribunal Constitucional”. Por ello, interesa que se otorgue el amparo solicitado, reconociéndole su derecho a la libertad y procediéndose a la anulación del Auto dictado por el Juzgado de Primera Instancia e Instrucción núm. 3 de la Palma del Condado.</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 la recurrente en amparo no evacuó el trámite de alegaciones conferido, como así consta en diligencia extendida por el Secretario de Justicia de la Sala Segunda de 7 de marzo de 2012.</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3 de mayo de 2012 se señaló para deliberación y fallo de la Sentencia el día 7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demanda de amparo tiene por objeto la impugnación del Auto del Juzgado de Primera Instancia e Instrucción núm. 3 de la Palma del Condado de 8 de agosto de 2010, que denegó la incoación del procedimiento de habeas corpus que había instado la recurrente con ocasión de su detención en el puesto de seguridad ciudadana de la Guardia Civil en la localidad de Torre de la Higuera (Huelva), en el marco de las diligencias policiales núm. 365-2010 seguidas por presuntos delitos de hurto y uso de identidad falsa. La recurrente invoca en su demanda la vulneración de los derechos a la libertad personal (art. 17.2 y 4 CE) y a la tutela judicial efectiva (art. 24.1 CE), en primer lugar por haber sido prolongada indebidamente su detención por los agentes de la Guardia Civil desde que se concluyó el atestado hasta que pasó a disposición judicial y, en segundo lugar, por haber inadmitido el Juzgado a trámite su solicitud de habeas corpus, sin entrar en un análisis de fondo sobre la legalidad de la detención, en contra de una consolidada doctrina de este Tribunal, estando además revestido el Auto dictado de una evidente falta de motivación. El Fiscal interesa la estimación del recurso de amparo, por no haber quedado justificado en absoluto el plazo de la detención y por haberse dado a las normas reguladoras del procedimiento de habeas corpus una interpretación contraria a lo dispuesto en el art. 17.4 CE, al acordarse el rechazo liminar de la solicitud presentada.</w:t>
      </w:r>
    </w:p>
    <w:p w:rsidR="00D06117" w:rsidRDefault="00D06117" w:rsidP="00D06117">
      <w:pPr>
        <w:pStyle w:val="TextoNormal"/>
      </w:pPr>
    </w:p>
    <w:p w:rsidR="00D06117" w:rsidRDefault="00D06117" w:rsidP="00D06117">
      <w:pPr>
        <w:pStyle w:val="TextoNormal"/>
      </w:pPr>
      <w:r w:rsidRPr="00D06117">
        <w:rPr>
          <w:rStyle w:val="NumeroAFNegritaCaracter"/>
        </w:rPr>
        <w:t>2</w:t>
      </w:r>
      <w:r>
        <w:t>. Por lo que respecta a la primera de las quejas contenidas en la demanda de amparo, sobre el tiempo que la recurrente permaneció privada de libertad, conviene reseñar, en la línea de una reiterada doctrina de este Tribunal, que nuestra Constitución, habida cuenta del valor cardinal que la libertad personal tiene en el Estado de Derecho, somete la detención de cualquier ciudadano al criterio de la necesidad estricta y, además, al criterio del lapso temporal más breve posible, en consonancia con lo dispuesto en el Convenio europeo para la protección de los derechos humanos y de las libertades fundamentales (art. 5.2 y 3) y en el Pacto internacional de derechos civiles y políticos (art. 9.3), que exige que el detenido sea conducido “sin dilación” o “sin demora” ante la autoridad judicial (en este sentido, STC 165/2007, de 2 de julio, FJ 2, recogiendo pronunciamientos anteriores de este Tribunal, como los contenidos en las SSTC 199/1987, de 16 de diciembre, FJ 8 y 224/1998, de 24 de noviembre, FJ 3). No hay que olvidar que la libertad de los ciudadanos es, en un régimen democrático donde rigen derechos fundamentales, la regla general y no la excepción (STC 209/2000, de 24 de julio, FJ 3), reconociendo nuestra Constitución su importancia cuando la configura, no sólo como un valor superior del ordenamiento jurídico (art. 1.1 CE), sino además como un derecho fundamental (art. 17 CE), vinculado directamente con la dignidad de la persona y cuya trascendencia estriba precisamente en ser el presupuesto de otras libertades y derechos fundamentales (STC 147/2000, de 29 de mayo, FJ 3).</w:t>
      </w:r>
    </w:p>
    <w:p w:rsidR="00D06117" w:rsidRDefault="00D06117" w:rsidP="00D06117">
      <w:pPr>
        <w:pStyle w:val="TextoNormal"/>
      </w:pPr>
    </w:p>
    <w:p w:rsidR="00D06117" w:rsidRDefault="00D06117" w:rsidP="00D06117">
      <w:pPr>
        <w:pStyle w:val="TextoNormal"/>
      </w:pPr>
      <w:r>
        <w:t xml:space="preserve">En la reciente STC 88/2011, de 6 de junio, por otra parte, recordábamos que “el art. 17.2 CE ha establecido dos plazos, en lo que se refiere a los límites temporales de la detención preventiva,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Sin embargo, el plazo máximo absoluto presenta una plena concreción temporal y está fijado en las setenta y dos horas computadas desde el inicio de la detención, que no tiene que coincidir necesariamente con el momento en el cual el </w:t>
      </w:r>
      <w:r>
        <w:lastRenderedPageBreak/>
        <w:t>afectado se encuentra en las dependencias policiales (STC 288/2000, de 27 de noviembre, FJ 3) … Este sometimiento de la detención a plazos persigue la finalidad de ofrecer una mayor seguridad de los afectados por la medida, evitando así que existan privaciones de libertad de duración indefinida, incierta o ilimitada … En consecuencia, la vulneración del citado art. 17.2 CE se puede producir, no sólo por rebasarse el plazo máximo absoluto, es decir, cuando el detenido sigue bajo el control de la autoridad gubernativa o sus agentes una vez cumplidas las setenta y dos horas de privación de libertad, sino también cuando, no habiendo transcurrido ese plazo máximo, se traspasa el relativo, al no ser la detención ya necesaria por haberse realizado las averiguaciones tendentes al esclarecimiento de los hechos y, sin embargo, no se procede a la liberación del detenido ni se le pone a disposición de la autoridad judicial (STC 23/2004, de 23 de febrero, FJ 2).” Por ello, hemos afirmado de manera concluyente en la STC 250/2006, de 24 de julio, que “pueden calificarse como privaciones de libertad ilegales, en cuanto indebidamente prolongadas o mantenidas, aquellas que, aún sin rebasar el indicado límite máximo, sobrepasen el tiempo indispensable para realizar las oportunas pesquisas dirigidas al esclarecimiento del hecho delictivo que se imputa al detenido, pues en tal caso opera una restricción del derecho fundamental a la libertad personal que la norma constitucional no consiente” (FJ 3).</w:t>
      </w:r>
    </w:p>
    <w:p w:rsidR="00D06117" w:rsidRDefault="00D06117" w:rsidP="00D06117">
      <w:pPr>
        <w:pStyle w:val="TextoNormal"/>
      </w:pPr>
    </w:p>
    <w:p w:rsidR="00D06117" w:rsidRDefault="00D06117" w:rsidP="00D06117">
      <w:pPr>
        <w:pStyle w:val="TextoNormal"/>
      </w:pPr>
      <w:r w:rsidRPr="00D06117">
        <w:rPr>
          <w:rStyle w:val="NumeroAFNegritaCaracter"/>
        </w:rPr>
        <w:t>3</w:t>
      </w:r>
      <w:r>
        <w:t>. En el presente caso, observamos que la recurrente fue detenida sobre las 19:35 horas del sábado 7 de agosto de 2010 en la urbanización “Caño Guerrero” de Torre de la Higuera por funcionarios de la Guardia Civil, siendo conducida a las dependencias que tiene este Cuerpo en la citada localidad. Según el atestado incoado, fue reconocida en un centro médico sobre las 20:00 horas, disponiéndose su toma de declaración en presencia de abogado de oficio a las 22:36 horas del mismo día, donde manifestó que se acogía a su derecho a no declarar en sede policial y hacerlo cuando fuese requerida para ello ante la autoridad judicial, por lo que se dio por concluido el acto.</w:t>
      </w:r>
    </w:p>
    <w:p w:rsidR="00D06117" w:rsidRDefault="00D06117" w:rsidP="00D06117">
      <w:pPr>
        <w:pStyle w:val="TextoNormal"/>
      </w:pPr>
    </w:p>
    <w:p w:rsidR="00D06117" w:rsidRDefault="00D06117" w:rsidP="00D06117">
      <w:pPr>
        <w:pStyle w:val="TextoNormal"/>
      </w:pPr>
      <w:r>
        <w:t>Seguidamente, la recurrente no fue puesta en libertad ni pasó a disposición judicial, teniendo conocimiento de que su detención se prolongaría hasta el lunes día 9 por la mañana. Por ello, sobre las 22:40 horas, promovió procedimiento de habeas corpus, solicitud que fue cursada por la Guardia Civil vía telefónica a las 22:43 horas. Entonces, la Magistrada de guardia ordenó a los agentes que se la retuviera “en custodia” en el puesto de seguridad ciudadana hasta el día siguiente, en que le fue presentada a las 10:00 horas para tramitar el habeas corpus. En este momento, la Juez notificó a la actora un Auto de inadmisión de plano de su solicitud, siendo devuelta a las dependencias policiales, donde permaneció hasta el lunes 9 de agosto, en que fue puesta a disposición judicial sobre las 10:00 horas, tal como consta en diligencia extendida al efecto por el instructor del atestado.</w:t>
      </w:r>
    </w:p>
    <w:p w:rsidR="00D06117" w:rsidRDefault="00D06117" w:rsidP="00D06117">
      <w:pPr>
        <w:pStyle w:val="TextoNormal"/>
      </w:pPr>
    </w:p>
    <w:p w:rsidR="00D06117" w:rsidRDefault="00D06117" w:rsidP="00D06117">
      <w:pPr>
        <w:pStyle w:val="TextoNormal"/>
      </w:pPr>
      <w:r>
        <w:t xml:space="preserve">Merece consignarse que la detenida permaneció en las dependencias de la Guardia Civil hasta el citado día 9 a la hora indicada a pesar de que ya no resultaba necesario realizar nuevas diligencias para esclarecer los hechos delictivos que se le imputaban. Esta circunstancia se deduce, no sólo de un análisis exhaustivo del atestado de la Guardia Civil, donde se aprecia que las diligencias esenciales que lo integran ya se habían realizado con notable antelación (así, recepción de las denuncias de las víctimas sobre las 19:51 y 21:42 horas del 7 de agosto, declaración de su esposo y de la recurrente a las 21:31 y 22:36 horas del mismo día, registro de su domicilio y diligencia correspondiente sobre las 22:50 también del día 7 y reseña por el instructor de sus antecedentes policiales y causas pendientes a las 00:30 horas del día 8), sino fundamentalmente de la propia “diligencia de exposición de hechos” </w:t>
      </w:r>
      <w:r>
        <w:lastRenderedPageBreak/>
        <w:t>confeccionada por el funcionario instructor, quien, sobre las 11:00 horas del día 8 de agosto transcribe para dar cuenta a la autoridad judicial todas las diligencias practicadas, al entender que ya había quedado concluido el atestado.</w:t>
      </w:r>
    </w:p>
    <w:p w:rsidR="00D06117" w:rsidRDefault="00D06117" w:rsidP="00D06117">
      <w:pPr>
        <w:pStyle w:val="TextoNormal"/>
      </w:pPr>
    </w:p>
    <w:p w:rsidR="00D06117" w:rsidRDefault="00D06117" w:rsidP="00D06117">
      <w:pPr>
        <w:pStyle w:val="TextoNormal"/>
      </w:pPr>
      <w:r>
        <w:t>En todo caso, tampoco parece que la titular del Juzgado de Instrucción actuara con la celeridad exigible al conocer la solicitud de la recurrente sobre las 22:43 horas del día 7 de agosto (cursada diligentemente por la Guardia civil a los pocos minutos de ser presentada) y disponer que sólo a las 10:00 horas del día siguiente fuera conducida al Juzgado, para, finalmente, inadmitir a trámite el recurso formulado. En este sentido, resulta conveniente subrayar la necesidad de que estas solicitudes de habeas corpus de los detenidos se tramiten con la conveniente urgencia y agilidad, por cuanto la razón de ser de esta garantía específica de la libertad se encuentra precisamente en que sean verificadas con prontitud por un Juez la legalidad y las condiciones de la detención, quedando, por ello, desvirtuado este procedimiento si se tramita con demoras, posponiéndose el traslado del detenido a presencia judicial. Sin que puedan considerarse un impedimento para adoptar este comportamiento las inconveniencias o incomodidades que para el órgano judicial pudieran originarse por la petición del habeas corpus por el detenido en ciertas horas, en nuestro caso sobre las 22:40 horas de la noche, porque también en ese espacio temporal el Juzgado de Instrucción se encuentra en funciones de guardia y no consta en las actuaciones recibidas en este Tribunal que el ahora interviniente, en esa hora o en las inmediatamente posteriores, se encontrara realizando una diligencia inexcusable, en todo caso con más trascendencia que resolver una queja de un ciudadano referente a una supuesta ilegalidad de su detención. Además, conviene resaltar que el art. 17.4 CE, al regular este procedimiento de habeas corpus, se refiere a la “inmediata puesta a disposición judicial” de la persona detenida y que el art. 7 de la propia Ley Orgánica 6/1984, de 24 de mayo, de habeas corpus, establece como primera medida que debe seguir el Juez en estos casos la de ordenar a la autoridad a cuya disposición se halle la persona privada de libertad que “la ponga de manifiesto ante él, sin pretexto ni demora alguna”, pudiendo, incluso, personarse “en el lugar donde aquella se encuentre”.</w:t>
      </w:r>
    </w:p>
    <w:p w:rsidR="00D06117" w:rsidRDefault="00D06117" w:rsidP="00D06117">
      <w:pPr>
        <w:pStyle w:val="TextoNormal"/>
      </w:pPr>
    </w:p>
    <w:p w:rsidR="00D06117" w:rsidRDefault="00D06117" w:rsidP="00D06117">
      <w:pPr>
        <w:pStyle w:val="TextoNormal"/>
      </w:pPr>
      <w:r>
        <w:t>Por otra parte, la recurrente manifiesta en su escrito de demanda que cuando fue detenida se le informó que sería puesta a disposición judicial a las 10:00 horas del lunes día 9 de agosto, cumpliéndose esta previsión por los agentes actuantes, como hemos visto. Esta circunstancia parece dejar entrever, aunque no se hace referencia a ello en el atestado incoado, que se cumplimentó ese trámite a la referida hora porque así estaba dispuesta para estas conducciones de detenidos según los protocolos existentes a tal fin acordados entre los Juzgados y las fuerzas y cuerpos de seguridad.</w:t>
      </w:r>
    </w:p>
    <w:p w:rsidR="00D06117" w:rsidRDefault="00D06117" w:rsidP="00D06117">
      <w:pPr>
        <w:pStyle w:val="TextoNormal"/>
      </w:pPr>
    </w:p>
    <w:p w:rsidR="00D06117" w:rsidRDefault="00D06117" w:rsidP="00D06117">
      <w:pPr>
        <w:pStyle w:val="TextoNormal"/>
      </w:pPr>
      <w:r>
        <w:t xml:space="preserve">Sobre este particular ya se ha pronunciado este Tribunal Constitucional en ocasiones anteriores, concluyendo que dichos acuerdos no pueden ser obstáculo para la presentación del detenido al Juez en otros momentos anteriores cuando las circunstancias concurrentes y las exigencias constitucionales y legales lo aconsejen. Así, en la STC 224/2002, de 25 de noviembre, en un supuesto en que se había demorado la puesta a disposición judicial del recurrente (ante un Juzgado de detenidos de Barcelona), precisamente porque sólo estaba prevista “una única conducción a las 8:00 horas”, afirmamos que tal circunstancia “no puede justificar en principio un alargamiento tan desproporcionado del periodo de detención, una vez declarada la conclusión de las investigaciones policiales, máxime cuando, como acontece en este caso (también en la presente demanda), se había presentado ante el Juzgado de </w:t>
      </w:r>
      <w:r>
        <w:lastRenderedPageBreak/>
        <w:t>guardia una solicitud de habeas corpus que permitió conocer, una vez remitidas, la conclusión de las diligencias policiales” (FJ 4). En el mismo sentido, en la STC 165/2007, de 2 de julio, donde a la detenida también se le había informado en una comisaría de Sevilla que no sería puesta a disposición judicial hasta el día siguiente porque “sólo se realiza una conducción de detenidos al día, a las nueve de la mañana”, manteníamos que no se apreciaba justificado el criterio del instructor del atestado policial, que al parecer se había basado para su decisión en este protocolo de colaboración vigente, pues éste preveía en sus disposiciones otra conclusión alternativa, en particular “que no quedaba excluida la presentación de un detenido ante el Juez de guardia en hora distinta a la antes señalada”, pudiendo así “el Juzgado de Instrucción de guardia recibir detenidos durante las 24 horas cuando las circunstancias así lo aconsejen” (FJ 3). Finalmente, en la STC 88/2011, de 6 de junio, concluíamos que esta última solución “parece más adecuada y acorde con las exigencias constitucionales del derecho a la libertad personal, en la forma expuesta por nuestra jurisprudencia, no siendo incompatible la existencia de estos protocolos de colaboración, que pretenden ordenar el traslado de detenidos (fundamentalmente en grandes urbes, donde este tránsito es elevado), con la exigencia constitucional de no prolongar indebidamente el tiempo de detención de un ciudadano, pues ambas previsiones pueden coexistir razonablemente, ponderándose en cada caso las circunstancias particulares concurrentes” (FJ 3).</w:t>
      </w:r>
    </w:p>
    <w:p w:rsidR="00D06117" w:rsidRDefault="00D06117" w:rsidP="00D06117">
      <w:pPr>
        <w:pStyle w:val="TextoNormal"/>
      </w:pPr>
    </w:p>
    <w:p w:rsidR="00D06117" w:rsidRDefault="00D06117" w:rsidP="00D06117">
      <w:pPr>
        <w:pStyle w:val="TextoNormal"/>
      </w:pPr>
      <w:r>
        <w:t>En consecuencia, la primera queja planteada por la recurrente merece ser estimada por este Tribunal, pues la detención preventiva de que fue objeto en las dependencias de la Guardia Civil se prolongó más allá del tiempo necesario para el esclarecimiento de los hechos presuntamente delictivos que la motivaron, contribuyendo a ello la propia actuación desarrollada por el órgano judicial en los términos expuestos, por lo que resultó infringida la garantía que el art. 17.2 CE le reconoce en cuanto titular del derecho a la libertad personal.</w:t>
      </w:r>
    </w:p>
    <w:p w:rsidR="00D06117" w:rsidRDefault="00D06117" w:rsidP="00D06117">
      <w:pPr>
        <w:pStyle w:val="TextoNormal"/>
      </w:pPr>
    </w:p>
    <w:p w:rsidR="00D06117" w:rsidRDefault="00D06117" w:rsidP="00D06117">
      <w:pPr>
        <w:pStyle w:val="TextoNormal"/>
      </w:pPr>
      <w:r w:rsidRPr="00D06117">
        <w:rPr>
          <w:rStyle w:val="NumeroAFNegritaCaracter"/>
        </w:rPr>
        <w:t>4</w:t>
      </w:r>
      <w:r>
        <w:t>. La segunda cuestión que ahora hay que analizar es determinar si el Juzgado de Primera Instancia e Instrucción núm. 3 de La Palma del Condado, al rechazar a limine la incoación del procedimiento de habeas corpus en su Auto de 8 de agosto de 2010, vulneró el derecho a la libertad personal y a la tutela judicial efectiva de la recurrente, tal como ésta argumenta en su demanda.</w:t>
      </w:r>
    </w:p>
    <w:p w:rsidR="00D06117" w:rsidRDefault="00D06117" w:rsidP="00D06117">
      <w:pPr>
        <w:pStyle w:val="TextoNormal"/>
      </w:pPr>
    </w:p>
    <w:p w:rsidR="00D06117" w:rsidRDefault="00D06117" w:rsidP="00D06117">
      <w:pPr>
        <w:pStyle w:val="TextoNormal"/>
      </w:pPr>
      <w:r>
        <w:t>Desde esta perspectiva, este Tribunal ya ha tenido oportunidad de pronunciarse en reiteradas ocasiones sobre el reconocimiento constitucional del procedimiento de habeas corpus previsto en el art. 17.4 CE y en qué medida puede verse vulnerado este precepto por resoluciones judiciales de inadmisión a trámite. Según esta doctrina (recogida últimamente en la citada STC 88/2011, de 6 de junio), este procedimiento,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165/2007, de 2 de julio, FJ 4). Por ello, hemos afirmado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w:t>
      </w:r>
    </w:p>
    <w:p w:rsidR="00D06117" w:rsidRDefault="00D06117" w:rsidP="00D06117">
      <w:pPr>
        <w:pStyle w:val="TextoNormal"/>
      </w:pPr>
    </w:p>
    <w:p w:rsidR="00D06117" w:rsidRDefault="00D06117" w:rsidP="00D06117">
      <w:pPr>
        <w:pStyle w:val="TextoNormal"/>
      </w:pPr>
      <w:r>
        <w:t>Por ello, aun cuando la Ley Orgánica de habeas corpus (LOHC) permita realizar un juicio de admisibilidad previa sobre la concurrencia de los requisitos para su tramitación, posibilitando denegar la incoación del procedimiento, previo dictamen del Ministerio Fiscal, la legitimidad constitucional de tal resolución liminar debe reducirse a los supuestos en los cuales se incumplen los requisitos formales (tanto los presupuestos procesales como los elementos formales de la solicitud) a los que se refiere el art. 4 LOHC (SSTC 172/2008, de 18 de diciembre, FJ 3 y 173/2008, de 22 de diciembre, FJ 3, entre otras). De este modo, no es constitucionalmente legítimo fundamentar la inadmisión de este procedimiento en la afirmación de que el recurrente no se encontraba ilícitamente privado de libertad, porque el contenido propio de la pretensión formulada en el habeas corpus es precisamente la de determinar la licitud o ilicitud de dicha privación [SSTC 35/2008, de 25 de febrero, FJ 2 b) y 147/2008, de 10 de noviembre, FJ 2 b)].</w:t>
      </w:r>
    </w:p>
    <w:p w:rsidR="00D06117" w:rsidRDefault="00D06117" w:rsidP="00D06117">
      <w:pPr>
        <w:pStyle w:val="TextoNormal"/>
      </w:pPr>
    </w:p>
    <w:p w:rsidR="00D06117" w:rsidRDefault="00D06117" w:rsidP="00D06117">
      <w:pPr>
        <w:pStyle w:val="TextoNormal"/>
      </w:pPr>
      <w:r>
        <w:t>Por otra parte, este Tribunal también ha afirmado de manera específica que el procedimiento de habeas corpus no sirve solamente para verificar el fundamento de cualquier detención, sino también para poner fin a detenciones que, ajustándose originariamente a la legalidad, se mantienen o prorrogan ilegalmente o tienen lugar en condiciones ilegales (STC 224/1998, de 24 de noviembre, FJ 5). Resultando que este enjuiciamiento de la legalidad de la detención a que hemos hecho referencia, que ha de llevarse a cabo en el juicio de fondo previa audiencia del solicitante y demás partes, “es si cabe, aún más necesario cuando el solicitante alegue que la privación de libertad se ha prolongado indebidamente” (en este sentido, SSTC 224/2002, de 25 de noviembre, FJ 5; 23/2004, de 23 de febrero, FJ 5; y 165/2007, de 2 de julio, FJ 4).</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En este caso, la demandante, detenida en el puesto de seguridad ciudadana de Torre de la Higuera, adscrito a la Comandancia de la Guardia Civil de Huelva, instó un procedimiento de habeas corpus sobre las 22:40 horas del día 7 de agosto de 2010, denunciando expresamente que, no obstante no quedar ya diligencias por practicar en el atestado, había tenido conocimiento de que iba a continuar detenida hasta el lunes 9 de agosto. El Juzgado de Primera Instancia e Instrucción núm. 3 de La Palma del Condado, de conformidad con el informe del Fiscal, denegó la incoación de dicho procedimiento por Auto del día 8 del mismo mes, no porque la solicitud careciese de los requisitos formales antes expuestos ni porque no concurriera el presupuesto fáctico de una real y efectiva situación de privación de libertad, sino al entender que la recurrente no se encontraba en ninguno de los supuestos considerados como detención ilegal por el art. 1 LOHC. De esta manera, la resolución judicial, no sólo no restableció el derecho a la libertad vulnerado, una vez constatado que las diligencias policiales ya estaban concluidas y, no obstante, no se había pasado a la detenida a disposición judicial, sino que desconoció la garantía prevista en el art. 17.4 CE, infringiendo específicamente este precepto constitucional (así, SSTC 14/2009 y 15/2009, ambas de 20 de enero, FJ único), al anticipar el fondo en el trámite de admisión, impidiendo que la recurrente compareciera ante la Juez y formulara las alegaciones y propusiera las pruebas que entendiera pertinentes. En definitiva, el órgano judicial no ejerció de forma eficaz su función de control de la privación de la libertad de acuerdo con la naturaleza y función constitucional del procedimiento de habeas corpus. Esta conducta, además, aparece acentuada en este caso porque, según hemos expuesto, el Juzgado de Instrucción, sin oír a la recurrente sobre las circunstancias de su detención, la devolvió a las dependencias policiales de procedencia, limitándose previamente a notificarle el Auto de inadmisión. Respecto de </w:t>
      </w:r>
      <w:r>
        <w:lastRenderedPageBreak/>
        <w:t>este punto, conviene resaltar que con el mero traslado del solicitante del habeas corpus, a estos fines al Juzgado, no se satisfacen las exigencias constitucionales de este instrumento procesal, resultando necesario cumplimentar el trámite de audiencia al detenido, en los términos desarrollados en la jurisprudencia constitucional antes transcrita.</w:t>
      </w:r>
    </w:p>
    <w:p w:rsidR="00D06117" w:rsidRDefault="00D06117" w:rsidP="00D06117">
      <w:pPr>
        <w:pStyle w:val="TextoNormal"/>
      </w:pPr>
    </w:p>
    <w:p w:rsidR="00D06117" w:rsidRDefault="00D06117" w:rsidP="00D06117">
      <w:pPr>
        <w:pStyle w:val="TextoNormal"/>
      </w:pPr>
      <w:r w:rsidRPr="00D06117">
        <w:rPr>
          <w:rStyle w:val="NumeroAFNegritaCaracter"/>
        </w:rPr>
        <w:t>6</w:t>
      </w:r>
      <w:r>
        <w:t>. Por otra parte, la recurrente señala en su demanda que el Auto del Juzgado de Instrucción objeto de impugnación había provocado una lesión complementaria del derecho a la tutela judicial efectiva (art. 24.1 CE), al carecer de “la necesaria motivación”.</w:t>
      </w:r>
    </w:p>
    <w:p w:rsidR="00D06117" w:rsidRDefault="00D06117" w:rsidP="00D06117">
      <w:pPr>
        <w:pStyle w:val="TextoNormal"/>
      </w:pPr>
    </w:p>
    <w:p w:rsidR="00D06117" w:rsidRDefault="00D06117" w:rsidP="00D06117">
      <w:pPr>
        <w:pStyle w:val="TextoNormal"/>
      </w:pPr>
      <w:r>
        <w:t>Así las cosas, es cierto que este Tribunal ha mantenido la importancia de la motivación de las resoluciones judiciales en general y específicamente en el proceso de habeas corpus (entre otras, en la STC 165/2007, de 2 de julio, FJ 6), significando que este procedimiento implica “una garantía procesal específica prevista en la Constitución para la protección del derecho fundamental a la libertad personal cuyo acceso no puede ser en modo alguno denegado sin que a la persona que acuda al mismo no se le haga saber la precisa razón legal de dicha denegación, so pena de incurrir el órgano judicial que así proceda en una vulneración del derecho a obtener una resolución judicial motivada” (STC 66/1996, de 16 de abril, FJ 5). También hemos afirmado que la mera referencia a que “no se dan ninguno de los supuestos del art. 1 de la Ley de habeas corpus”, como causa de justificación de la inadmisión a trámite de la petición formulada, no permite conocer la razón determinante de la denegación, por lo que una resolución judicial en estos términos, genérica y estereotipada, no ofrece la motivación mínima que es constitucionalmente exigible (STC 86/1996, de 21 de mayo, FJ 9).</w:t>
      </w:r>
    </w:p>
    <w:p w:rsidR="00D06117" w:rsidRDefault="00D06117" w:rsidP="00D06117">
      <w:pPr>
        <w:pStyle w:val="TextoNormal"/>
      </w:pPr>
    </w:p>
    <w:p w:rsidR="00D06117" w:rsidRDefault="00D06117" w:rsidP="00D06117">
      <w:pPr>
        <w:pStyle w:val="TextoNormal"/>
      </w:pPr>
      <w:r>
        <w:t>No obstante lo anterior, también hemos afirmado que, en supuestos como el presente, la perspectiva de examen que debe adoptarse es única y exclusivamente la de la libertad, puesto que, estando en juego este derecho fundamental, la eventual ausencia de una motivación suficiente y razonable de la decisión no supondría sólo un problema de falta de tutela judicial, propio del ámbito del art. 24.1 CE, sino prioritariamente una cuestión que afecta al derecho a la libertad personal, en cuanto que la suficiencia o razonabilidad de la resolución judicial relativa a la garantía constitucional del procedimiento de habeas corpus, prevista en el art. 17.4 CE, forma parte de la propia garantía (SSTC 61 /2003, de 24 de marzo, FJ 1; 94/2003, de 19 de mayo, FJ 2; 122/2004, de 12 de julio, FJ 2). Por ello, como hemos razonado en la STC 288/2000, de 27 de noviembre (FJ 7), “si la propia decisión de inadmisión del procedimiento vulnera ya el art. 17.4 CE, resulta irrelevante si esa decisión ha sido adoptada cumpliendo o no el deber de motivación, que rige para mantener una situación de privación de libertad”, por lo que resulta innecesario realizar cualquier otra consideración sobre la lesión a la tutela judicial efectiva, por falta de motivación, que se articula con carácter independiente en el escrito de demanda.</w:t>
      </w:r>
    </w:p>
    <w:p w:rsidR="00D06117" w:rsidRDefault="00D06117" w:rsidP="00D06117">
      <w:pPr>
        <w:pStyle w:val="TextoNormal"/>
      </w:pPr>
    </w:p>
    <w:p w:rsidR="00D06117" w:rsidRDefault="00D06117" w:rsidP="00D06117">
      <w:pPr>
        <w:pStyle w:val="TextoNormal"/>
      </w:pPr>
      <w:r w:rsidRPr="00D06117">
        <w:rPr>
          <w:rStyle w:val="NumeroAFNegritaCaracter"/>
        </w:rPr>
        <w:t>7</w:t>
      </w:r>
      <w:r>
        <w:t>. En definitiva, de lo expuesto en los anteriores fundamentos se constata, en primer lugar, la lesión de la garantía que el art. 17.2 CE reconoce a la demandante en cuanto titular del derecho a la libertad personal (art. 17.1 CE), como consecuencia de la detención preventiva de que fue objeto en las dependencias de la Guardia Civil y que se prolongó más allá del tiempo necesario para el esclarecimiento de los hechos presuntamente delictivos que la motivaron. En segundo término debe señalarse también la infracción de la garantía recogida en el art. 17.4 CE al haber sido rechazada de plano la solicitud de habeas corpus formulada por la recurrente.</w:t>
      </w:r>
    </w:p>
    <w:p w:rsidR="00D06117" w:rsidRDefault="00D06117" w:rsidP="00D06117">
      <w:pPr>
        <w:pStyle w:val="TextoNormal"/>
      </w:pPr>
    </w:p>
    <w:p w:rsidR="00D06117" w:rsidRDefault="00D06117" w:rsidP="00D06117">
      <w:pPr>
        <w:pStyle w:val="TextoNormal"/>
      </w:pPr>
      <w:r>
        <w:t>En cuanto al alcance del otorgamiento del amparo, debemos advertir, como en casos análogos, que no cabe retrotraer las actuaciones al momento en que se produjo la vulneración del derecho a la libertad para subsanarla, toda vez que, al no encontrarse ya la recurrente privada de libertad, no se cumpliría el presupuesto necesario para que el órgano judicial pudiera decidir la admisión a trámite del procedimiento de habeas corpus. Así lo hemos afirmado desde nuestra primera resolución al respecto (STC 31/1985, de 5 de marzo, FJ 4) y se ha reiterado en ocasiones posteriores (entre las últimas, SSTC 165/2007, de 2 de julio, FJ 7; 37/2008, de 25 de febrero, FJ 4; 147/2008, de 10 de noviembre, FJ 5 y 88/2011, de 6 de junio, FJ 6).</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demanda de amparo interpuesta por doña Susana Patricia Higueras Poyatos, y en su virtud:</w:t>
      </w:r>
    </w:p>
    <w:p w:rsidR="00D06117" w:rsidRDefault="00D06117" w:rsidP="00D06117">
      <w:pPr>
        <w:pStyle w:val="TextoNormal"/>
      </w:pPr>
    </w:p>
    <w:p w:rsidR="00D06117" w:rsidRDefault="00D06117" w:rsidP="00D06117">
      <w:pPr>
        <w:pStyle w:val="TextoNormal"/>
      </w:pPr>
      <w:r>
        <w:t>1º Reconocer que se ha vulnerado su derecho a la libertad personal (art. 17.1, 2 y 4 CE).</w:t>
      </w:r>
    </w:p>
    <w:p w:rsidR="00D06117" w:rsidRDefault="00D06117" w:rsidP="00D06117">
      <w:pPr>
        <w:pStyle w:val="TextoNormal"/>
      </w:pPr>
    </w:p>
    <w:p w:rsidR="00D06117" w:rsidRDefault="00D06117" w:rsidP="00D06117">
      <w:pPr>
        <w:pStyle w:val="TextoNormal"/>
      </w:pPr>
      <w:r>
        <w:t>2º Restablecerla en su derecho y, a tal fin, declarar la nulidad del Auto del Juzgado de Primera Instancia e Instrucción núm. 3 de La Palma del Condado, de 8 de agosto de 2010, dictado en el procedimiento de habeas corpus núm. 2-2010.</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99" w:name="SENTENCIA_2012_96"/>
      <w:r>
        <w:lastRenderedPageBreak/>
        <w:t>SENTENCIA 96/2012, de 7 de mayo de 2012</w:t>
      </w:r>
    </w:p>
    <w:bookmarkEnd w:id="99"/>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ECLI:ES:TC:2012:96</w:t>
      </w:r>
    </w:p>
    <w:p w:rsidR="00D06117" w:rsidRDefault="00D06117" w:rsidP="00D06117">
      <w:pPr>
        <w:pStyle w:val="SntesisDescriptiva"/>
      </w:pPr>
    </w:p>
    <w:p w:rsidR="00D06117" w:rsidRDefault="00D06117" w:rsidP="00D06117">
      <w:pPr>
        <w:pStyle w:val="SntesisDescriptiva"/>
      </w:pPr>
      <w:r>
        <w:t>Recurso de amparo 8640-2010. Promovido por la entidad Banco Bilbao Vizcaya Argentaria, S.A. (BBVA), en relación con las diligencias preliminares de juicio acordadas por un Juzgado de Primera Instancia de Madrid.</w:t>
      </w:r>
    </w:p>
    <w:p w:rsidR="00D06117" w:rsidRDefault="00D06117" w:rsidP="00D06117">
      <w:pPr>
        <w:pStyle w:val="SntesisDescriptiva"/>
      </w:pPr>
    </w:p>
    <w:p w:rsidR="00D06117" w:rsidRDefault="00D06117" w:rsidP="00D06117">
      <w:pPr>
        <w:pStyle w:val="SntesisAnaltica"/>
      </w:pPr>
      <w:r>
        <w:t>Vulneración del derecho a la tutela judicial efectiva en relación con el derecho a la protección de datos de carácter personal: resolución judicial que ordena la entrega a una asociación de la relación circunstanciada de quienes hubieran contratado con la entidad bancaria determinados productos financieros.</w:t>
      </w:r>
    </w:p>
    <w:p w:rsidR="00D06117" w:rsidRDefault="00D06117" w:rsidP="00D06117">
      <w:pPr>
        <w:pStyle w:val="SntesisAnaltica"/>
      </w:pPr>
    </w:p>
    <w:p w:rsidR="00D06117" w:rsidRDefault="00D06117" w:rsidP="00D06117">
      <w:pPr>
        <w:pStyle w:val="Extracto"/>
      </w:pPr>
      <w:r>
        <w:t>1.</w:t>
      </w:r>
      <w:r>
        <w:tab/>
        <w:t>El requerimiento judicial a una entidad bancaria de la entrega de datos personales de sus clientes, sin el previo consentimiento de estos, para su posterior entrega a una asociación de consumidores que pretende iniciar un proceso para la defensa de intereses colectivos, vulnera los derechos a la protección de datos de carácter personal y a la tutela judicial efectiva ya que se adoptó sin una especial motivación y sin someterse a un estricto juicio de proporcionalidad, no siendo suficiente la existencia de la genérica habilitación legal del art. 256.1.6 LEC (STC 85/1992) [FJ 11].</w:t>
      </w:r>
    </w:p>
    <w:p w:rsidR="00D06117" w:rsidRDefault="00D06117" w:rsidP="00D06117">
      <w:pPr>
        <w:pStyle w:val="Extracto"/>
      </w:pPr>
    </w:p>
    <w:p w:rsidR="00D06117" w:rsidRDefault="00D06117" w:rsidP="00D06117">
      <w:pPr>
        <w:pStyle w:val="Extracto"/>
      </w:pPr>
      <w:r>
        <w:t>2.</w:t>
      </w:r>
      <w:r>
        <w:tab/>
        <w:t xml:space="preserve">El derecho a la protección de los datos de carácter personal deriva del art. 18.4 CE y consagra en sí mismo un derecho o libertad fundamental que excede el ámbito propio del derecho fundamental a la intimidad, </w:t>
      </w:r>
      <w:r w:rsidRPr="00D06117">
        <w:rPr>
          <w:i/>
        </w:rPr>
        <w:t>ex</w:t>
      </w:r>
      <w:r>
        <w:t xml:space="preserve"> art. 18.1 CE, y que se traduce en un derecho de control sobre los datos relativos a la propia persona (SSTC 254/1993, 292/2000) [FJ 6].</w:t>
      </w:r>
    </w:p>
    <w:p w:rsidR="00D06117" w:rsidRDefault="00D06117" w:rsidP="00D06117">
      <w:pPr>
        <w:pStyle w:val="Extracto"/>
      </w:pPr>
    </w:p>
    <w:p w:rsidR="00D06117" w:rsidRDefault="00D06117" w:rsidP="00D06117">
      <w:pPr>
        <w:pStyle w:val="Extracto"/>
      </w:pPr>
      <w:r>
        <w:t>3.</w:t>
      </w:r>
      <w:r>
        <w:tab/>
        <w:t>La llamada “libertad informática” configura el derecho a controlar el uso de los datos personales insertos en un programa informático, que incluye la oposición del ciudadano a que determinados datos personales sean utilizados para fines distintos de aquel legítimo que justificó su obtención (STC 292/2000) [FJ 6].</w:t>
      </w:r>
    </w:p>
    <w:p w:rsidR="00D06117" w:rsidRDefault="00D06117" w:rsidP="00D06117">
      <w:pPr>
        <w:pStyle w:val="Extracto"/>
      </w:pPr>
    </w:p>
    <w:p w:rsidR="00D06117" w:rsidRDefault="00D06117" w:rsidP="00D06117">
      <w:pPr>
        <w:pStyle w:val="Extracto"/>
      </w:pPr>
      <w:r>
        <w:t>4.</w:t>
      </w:r>
      <w:r>
        <w:tab/>
        <w:t xml:space="preserve">El objeto de protección del derecho a la protección de datos, </w:t>
      </w:r>
      <w:r w:rsidRPr="00D06117">
        <w:rPr>
          <w:i/>
        </w:rPr>
        <w:t>ex</w:t>
      </w:r>
      <w:r>
        <w:t xml:space="preserve"> art. 18.4 CE, no se reduce sólo a los datos íntimos de la persona sino a cualquier tipo de dato personal cuyo conocimiento o empleo por terceros pueda afectar a sus derechos, sean o no fundamentales, por lo que también alcanza a aquellos datos personales públicos, que por el hecho de serlo, no escapan al poder de disposición del afectado (STC 292/2000) [FJ 6].</w:t>
      </w:r>
    </w:p>
    <w:p w:rsidR="00D06117" w:rsidRDefault="00D06117" w:rsidP="00D06117">
      <w:pPr>
        <w:pStyle w:val="Extracto"/>
      </w:pPr>
    </w:p>
    <w:p w:rsidR="00D06117" w:rsidRDefault="00D06117" w:rsidP="00D06117">
      <w:pPr>
        <w:pStyle w:val="Extracto"/>
      </w:pPr>
      <w:r>
        <w:t>5.</w:t>
      </w:r>
      <w:r>
        <w:tab/>
        <w:t xml:space="preserve">El derecho a la protección de datos atribuye a su titular un haz de facultades cuyo ejercicio impone a terceros deberes jurídicos que sirven para garantizar el poder de disposición sobre los datos personales, a saber, los derechos a que se requiera el previo consentimiento para la recogida y uso de los datos personales, a saber y </w:t>
      </w:r>
      <w:r>
        <w:lastRenderedPageBreak/>
        <w:t>ser informado sobre el destino y uso de esos datos, y a acceder, rectificar y cancelar dichos datos (SSTC 254/1993, 292/2000) [FJ 7].</w:t>
      </w:r>
    </w:p>
    <w:p w:rsidR="00D06117" w:rsidRDefault="00D06117" w:rsidP="00D06117">
      <w:pPr>
        <w:pStyle w:val="Extracto"/>
      </w:pPr>
    </w:p>
    <w:p w:rsidR="00D06117" w:rsidRDefault="00D06117" w:rsidP="00D06117">
      <w:pPr>
        <w:pStyle w:val="Extracto"/>
      </w:pPr>
      <w:r>
        <w:t>6.</w:t>
      </w:r>
      <w:r>
        <w:tab/>
        <w:t>El contenido del derecho fundamental a la protección de datos se concreta en la facultad de consentir la recogida, la obtención y el acceso a los datos personales, su posterior almacenamiento y tratamiento, así como sus posibles usos, por un tercero, lo que requiere como complementos indispensables, la facultad de saber en todo momento quién dispone de esos datos personales y a qué uso los está sometiendo, y el poder oponerse a esa posesión y usos (STC 292/2000) [FJ 7].</w:t>
      </w:r>
    </w:p>
    <w:p w:rsidR="00D06117" w:rsidRDefault="00D06117" w:rsidP="00D06117">
      <w:pPr>
        <w:pStyle w:val="Extracto"/>
      </w:pPr>
    </w:p>
    <w:p w:rsidR="00D06117" w:rsidRDefault="00D06117" w:rsidP="00D06117">
      <w:pPr>
        <w:pStyle w:val="Extracto"/>
      </w:pPr>
      <w:r>
        <w:t>7.</w:t>
      </w:r>
      <w:r>
        <w:tab/>
        <w:t xml:space="preserve">El derecho a la intimidad, </w:t>
      </w:r>
      <w:r w:rsidRPr="00D06117">
        <w:rPr>
          <w:i/>
        </w:rPr>
        <w:t>ex</w:t>
      </w:r>
      <w:r>
        <w:t xml:space="preserve"> 18.1 CE, confiere a la persona el poder jurídico de imponer a terceros el deber de abstenerse de toda intromisión en la esfera íntima de la persona y la prohibición de hacer uso de lo así conocido (SSTC 73/1982, 12/2012) [FJ 7].</w:t>
      </w:r>
    </w:p>
    <w:p w:rsidR="00D06117" w:rsidRDefault="00D06117" w:rsidP="00D06117">
      <w:pPr>
        <w:pStyle w:val="Extracto"/>
      </w:pPr>
    </w:p>
    <w:p w:rsidR="00D06117" w:rsidRDefault="00D06117" w:rsidP="00D06117">
      <w:pPr>
        <w:pStyle w:val="Extracto"/>
      </w:pPr>
      <w:r>
        <w:t>8.</w:t>
      </w:r>
      <w:r>
        <w:tab/>
        <w:t>Las medidas limitativas de los derechos fundamentales deberán estar previstas por la Ley, ser adoptadas mediante resolución judicial especialmente motivada y ser idóneas, necesarias y proporcionadas en relación con un fin constitucionalmente legítimo (SSTC 207/1996, 25/2005) [FFJJ 7, 8].</w:t>
      </w:r>
    </w:p>
    <w:p w:rsidR="00D06117" w:rsidRDefault="00D06117" w:rsidP="00D06117">
      <w:pPr>
        <w:pStyle w:val="Extracto"/>
      </w:pPr>
    </w:p>
    <w:p w:rsidR="00D06117" w:rsidRDefault="00D06117" w:rsidP="00D06117">
      <w:pPr>
        <w:pStyle w:val="Extracto"/>
      </w:pPr>
      <w:r>
        <w:t>9.</w:t>
      </w:r>
      <w:r>
        <w:tab/>
        <w:t>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173/1995) [FJ 9].</w:t>
      </w:r>
    </w:p>
    <w:p w:rsidR="00D06117" w:rsidRDefault="00D06117" w:rsidP="00D06117">
      <w:pPr>
        <w:pStyle w:val="Extracto"/>
      </w:pPr>
    </w:p>
    <w:p w:rsidR="00D06117" w:rsidRDefault="00D06117" w:rsidP="00D06117">
      <w:pPr>
        <w:pStyle w:val="Extracto"/>
      </w:pPr>
      <w:r>
        <w:t>10.</w:t>
      </w:r>
      <w:r>
        <w:tab/>
        <w:t xml:space="preserve">El deber de motivación de las resoluciones judiciales limitativas de los derechos fundamentales no encuentra su fundamento constitucional en el derecho a la tutela judicial efectiva, </w:t>
      </w:r>
      <w:r w:rsidRPr="00D06117">
        <w:rPr>
          <w:i/>
        </w:rPr>
        <w:t>ex</w:t>
      </w:r>
      <w:r>
        <w:t xml:space="preserve"> art. 24.1 en relación con el art. 120.3 CE, sino en la protección del derecho sustantivo, lo que implica que en estos casos la ausencia de motivación ocasiona por sí sola la vulneración del derecho fundamental (SSTC 128/1995, 54/1996) [FJ 9].</w:t>
      </w:r>
    </w:p>
    <w:p w:rsidR="00D06117" w:rsidRDefault="00D06117" w:rsidP="00D06117">
      <w:pPr>
        <w:pStyle w:val="Extracto"/>
      </w:pPr>
    </w:p>
    <w:p w:rsidR="00D06117" w:rsidRDefault="00D06117" w:rsidP="00D06117">
      <w:pPr>
        <w:pStyle w:val="Extracto"/>
      </w:pPr>
      <w:r>
        <w:t>11.</w:t>
      </w:r>
      <w:r>
        <w:tab/>
        <w:t xml:space="preserve">La circunstancia de haber sido parte en el proceso judicial previo no es suficiente para ostentar legitimación activa en el recurso de amparo, </w:t>
      </w:r>
      <w:r w:rsidRPr="00D06117">
        <w:rPr>
          <w:i/>
        </w:rPr>
        <w:t>ex</w:t>
      </w:r>
      <w:r>
        <w:t xml:space="preserve"> arts. 162.1 b) CE y 46.1 b) LOTC, sino que se exige además ostentar un interés legítimo, siendo posible ostentar legitimación para recurrir en amparo aun cuando no se haya sido parte en la vía judicial previa [FJ 2].</w:t>
      </w:r>
    </w:p>
    <w:p w:rsidR="00D06117" w:rsidRDefault="00D06117" w:rsidP="00D06117">
      <w:pPr>
        <w:pStyle w:val="Extracto"/>
      </w:pPr>
    </w:p>
    <w:p w:rsidR="00D06117" w:rsidRDefault="00D06117" w:rsidP="00D06117">
      <w:pPr>
        <w:pStyle w:val="Extracto"/>
      </w:pPr>
      <w:r>
        <w:t>12.</w:t>
      </w:r>
      <w:r>
        <w:tab/>
        <w:t>El Tribunal Constitucional ha efectuado una interpretación amplia y flexible de la noción de interés legítimo a efectos de reconocer legitimación activa en el recurso de amparo, entendiendo que tal interés concurre en todo aquel cuyo círculo jurídico pueda resultar afectado por la violación de un derecho fundamental, aunque dicha vulneración no se haya producido directamente en su contra y sin que ello signifique que en el recurso de amparo exista la acción pública (SSTC 60/1982, 208/2009) [FJ 2].</w:t>
      </w:r>
    </w:p>
    <w:p w:rsidR="00D06117" w:rsidRDefault="00D06117" w:rsidP="00D06117">
      <w:pPr>
        <w:pStyle w:val="Extracto"/>
      </w:pPr>
    </w:p>
    <w:p w:rsidR="00D06117" w:rsidRDefault="00D06117" w:rsidP="00D06117">
      <w:pPr>
        <w:pStyle w:val="Extracto"/>
      </w:pPr>
      <w:r>
        <w:lastRenderedPageBreak/>
        <w:t>13.</w:t>
      </w:r>
      <w:r>
        <w:tab/>
        <w:t>La entidad bancaria ostenta legitimación activa para recurrir en amparo pues, al impugnar el requerimiento de entrega de listados de datos personales de los clientes que hubieran suscrito determinados productos financieros y sin perjuicio de que dichos datos sean de la titularidad de las personas físicas a que se refieren, dicha entidad es la titular de los ficheros en que se contienen esos datos y responsable de su adecuado tratamiento, uso y custodia [FJ 2].</w:t>
      </w:r>
    </w:p>
    <w:p w:rsidR="00D06117" w:rsidRDefault="00D06117" w:rsidP="00D06117">
      <w:pPr>
        <w:pStyle w:val="Extracto"/>
      </w:pPr>
    </w:p>
    <w:p w:rsidR="00D06117" w:rsidRDefault="00D06117" w:rsidP="00D06117">
      <w:pPr>
        <w:pStyle w:val="Extracto"/>
      </w:pPr>
      <w:r>
        <w:t>14.</w:t>
      </w:r>
      <w:r>
        <w:tab/>
        <w:t xml:space="preserve">Se aprecia la especial trascendencia constitucional, </w:t>
      </w:r>
      <w:r w:rsidRPr="00D06117">
        <w:rPr>
          <w:i/>
        </w:rPr>
        <w:t>ex</w:t>
      </w:r>
      <w:r>
        <w:t xml:space="preserve"> art. 50.1 b) LOTC, al plantearse una faceta de un derecho fundamental susceptible de amparo sobre la que no haya doctrina del Tribunal Constitucional cual es el tratar de determinar si la previsión contenida en el art. 256.1.6 LEC puede justificar, y con qué límites, una medida consistente en ordenar a las entidades bancarias la entrega de datos personales de sus clientes, sin el consentimiento de éstos, a las asociaciones de consumidores para el ejercicio de acciones colectivas [FJ 4].</w:t>
      </w:r>
    </w:p>
    <w:p w:rsidR="00D06117" w:rsidRDefault="00D06117" w:rsidP="00D06117">
      <w:pPr>
        <w:pStyle w:val="Extracto"/>
      </w:pPr>
    </w:p>
    <w:p w:rsidR="00D06117" w:rsidRDefault="00D06117" w:rsidP="00D06117">
      <w:pPr>
        <w:pStyle w:val="Extracto"/>
      </w:pPr>
      <w:r>
        <w:t>15.</w:t>
      </w:r>
      <w:r>
        <w:tab/>
        <w:t xml:space="preserve">El requisito de la invocación del derecho vulnerado, </w:t>
      </w:r>
      <w:r w:rsidRPr="00D06117">
        <w:rPr>
          <w:i/>
        </w:rPr>
        <w:t>ex</w:t>
      </w:r>
      <w:r>
        <w:t xml:space="preserve"> art. 44.1 c) LOTC, ha de ser interpretado de manera flexible y finalista, atendiendo, más que al puro formalismo de la invocación tempestiva, a la exposición de un marco de alegaciones que permita al Juez o Tribunal ordinario cumplir con su función tutelar de los derechos fundamentales, al objeto de preservar el carácter subsidiario del recurso de amparo (SSTC 75/1988, 88/2005) [FJ 3].</w:t>
      </w:r>
    </w:p>
    <w:p w:rsidR="00D06117" w:rsidRDefault="00D06117" w:rsidP="00D06117">
      <w:pPr>
        <w:pStyle w:val="Extracto"/>
      </w:pPr>
    </w:p>
    <w:p w:rsidR="00D06117" w:rsidRDefault="00D06117" w:rsidP="00D06117">
      <w:pPr>
        <w:pStyle w:val="Extracto"/>
      </w:pPr>
      <w:r>
        <w:t>16.</w:t>
      </w:r>
      <w:r>
        <w:tab/>
        <w:t>El vicio de incongruencia de las resoluciones judiciales se mide por la adecuación entre lo resuelto y los términos en que las partes han formulado sus pretensiones, concediendo más, menos o cosa distinta de lo pedido, lo que puede entrañar una vulneración del principio de contradicción constitutiva de una efectiva denegación del derecho a la tutela judicial cuando la desviación sea de tal naturaleza que suponga una sustancial modificación de los términos en los que discurrió la controversia procesal (STC 91/2010, 44/2008) [FJ 5].</w:t>
      </w:r>
    </w:p>
    <w:p w:rsidR="00D06117" w:rsidRDefault="00D06117" w:rsidP="00D06117">
      <w:pPr>
        <w:pStyle w:val="Extracto"/>
      </w:pPr>
    </w:p>
    <w:p w:rsidR="00D06117" w:rsidRDefault="00D06117" w:rsidP="00D06117">
      <w:pPr>
        <w:pStyle w:val="Extracto"/>
      </w:pPr>
      <w:r>
        <w:t>17.</w:t>
      </w:r>
      <w:r>
        <w:tab/>
        <w:t xml:space="preserve">No existirá incongruencia </w:t>
      </w:r>
      <w:r w:rsidRPr="00D06117">
        <w:rPr>
          <w:i/>
        </w:rPr>
        <w:t>extra petitum</w:t>
      </w:r>
      <w:r>
        <w:t xml:space="preserve"> cuando el Juez se pronuncie sobre una pretensión que, aun cuando no fuera formal y expresamente formulada, estuviera implícita o fuera consecuencia inescindible o necesaria de los pedimentos articulados o de la cuestión principal debatida en el proceso (STC 91/2010)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8640-2010, promovido por la entidad Banco Bilbao Vizcaya Argentaria, S.A. (BBVA), representada por la Procuradora de los Tribunales doña Ana Llorens Pardo y asistida por el Abogado don Jesús Remón Peñalver, contra el Auto de 20 de octubre de 2010 y la providencia de 29 de noviembre de 2010 del Juzgado de Primera Instancia núm. 87 de Madrid, dictados en procedimiento de diligencias preliminares núm. 1711-2010. Ha intervenido el Ministerio Fiscal. Ha comparecido y formulado alegaciones la Asociación de Usuarios de Bancos, Cajas de Ahorros y Seguros de España, representada por el Procurador de los Tribunales don Jorge Luis de Miguel López y asistida por el Abogado don Luis Francisco García Perulles. Ha sido Ponente el Magistrado don Manuel Aragón Reyes,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14 de diciembre de 2010, la Procuradora de los Tribunales doña Ana Llorens Pardo, en nombre y representación de la entidad Banco Bilbao Vizcaya Argentaria, S.A. (BBVA), interpuso recurso de amparo contra las resoluciones judiciales referidas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que se fundamenta la demanda de amparo son los siguientes:</w:t>
      </w:r>
    </w:p>
    <w:p w:rsidR="00D06117" w:rsidRDefault="00D06117" w:rsidP="00D06117">
      <w:pPr>
        <w:pStyle w:val="TextoNormal"/>
      </w:pPr>
    </w:p>
    <w:p w:rsidR="00D06117" w:rsidRDefault="00D06117" w:rsidP="00D06117">
      <w:pPr>
        <w:pStyle w:val="TextoNormal"/>
      </w:pPr>
      <w:r>
        <w:t>a) La Asociación de Usuarios de Bancos, Cajas de Ahorros y Seguros de España (ADICAE) presentó, el 10 de agosto de 2010, escrito de petición de diligencias preliminares de juicio ex art. 256.1.6 de la Ley 1/2000, de 7 de enero, de enjuiciamiento civil (LEC), contra la sociedad BBVA (que dio lugar al procedimiento de diligencias preliminares núm. 1711-2010 del Juzgado de Primera Instancia núm. 87 de Madrid), con la finalidad de interponer demanda de consumo colectiva en ejercicio de la acción de cesación para la defensa de los intereses colectivos de consumidores y usuarios.</w:t>
      </w:r>
    </w:p>
    <w:p w:rsidR="00D06117" w:rsidRDefault="00D06117" w:rsidP="00D06117">
      <w:pPr>
        <w:pStyle w:val="TextoNormal"/>
      </w:pPr>
    </w:p>
    <w:p w:rsidR="00D06117" w:rsidRDefault="00D06117" w:rsidP="00D06117">
      <w:pPr>
        <w:pStyle w:val="TextoNormal"/>
      </w:pPr>
      <w:r>
        <w:t xml:space="preserve">Concretamente, la asociación ADICAE pretende presentar acción de cesación de conductas contrarias a la regulación contenida en el texto refundido de la Ley general para la defensa de los consumidores y usuarios en materia de cláusulas abusivas, a la que se acumularan otras como la acción de nulidad contractual por vicios del consentimiento fundada en normas de protección de los consumidores, y acciones restitutorias e indemnizatorias de daños y perjuicios causados a los consumidores al amparo del art. 1.101 del Código civil, por incumplimiento de los deberes de la entidad financiera establecidos en el art. 79 de la Ley de mercado de valores. En consecuencia, se solicita que el Juzgado requiera a la sociedad BBVA para que entregue a ADICAE los listados diferenciados por productos financieros, en fichero electrónico “excel” o compatible, que contengan los datos personales (nombre y apellidos, DNI, dirección postal actualizada, y núms. de teléfono, fax y correo electrónico, si estuvieren disponibles), de los clientes personas físicas que, en toda España, hubieran contratado con dicha entidad bancaria productos financieros con la denominación comercial de “contrato cuota segura” y “contrato marco para la cobertura de operaciones financieras” o similares, o cualquier otro tipo de productos de permuta financiera de tipos de interés, cualquiera que sea su denominación comercial, que tengan por objeto cubrir el </w:t>
      </w:r>
      <w:r>
        <w:lastRenderedPageBreak/>
        <w:t>riesgo de subidas de interés asociado a un préstamo o crédito con o sin garantía hipotecaria, concertado a interés variable, mediante la contratación de un derivado financiero.</w:t>
      </w:r>
    </w:p>
    <w:p w:rsidR="00D06117" w:rsidRDefault="00D06117" w:rsidP="00D06117">
      <w:pPr>
        <w:pStyle w:val="TextoNormal"/>
      </w:pPr>
    </w:p>
    <w:p w:rsidR="00D06117" w:rsidRDefault="00D06117" w:rsidP="00D06117">
      <w:pPr>
        <w:pStyle w:val="TextoNormal"/>
      </w:pPr>
      <w:r>
        <w:t>Todo ello, conforme se razona en la solicitud de diligencias preliminares, por entender ADICAE que se trata de productos financieros de elevado riesgo, comercializados indiscriminadamente por BBVA, sin información lo suficientemente comprensible para los clientes, y formalizados mediante contratos que incluyen cláusulas abusivas. Asimismo, ADICAE interesa que, en caso de negativa de la entidad BBVA a entregar la documentación requerida, se ordenen por el Juzgado las medidas de intervención necesarias, incluida la entrada y registro en la sede de la entidad bancaria para encontrar los documentos o datos precisos, todo ello de conformidad con lo previsto en el art. 261.5 LEC.</w:t>
      </w:r>
    </w:p>
    <w:p w:rsidR="00D06117" w:rsidRDefault="00D06117" w:rsidP="00D06117">
      <w:pPr>
        <w:pStyle w:val="TextoNormal"/>
      </w:pPr>
    </w:p>
    <w:p w:rsidR="00D06117" w:rsidRDefault="00D06117" w:rsidP="00D06117">
      <w:pPr>
        <w:pStyle w:val="TextoNormal"/>
      </w:pPr>
      <w:r>
        <w:t>b) Por Auto de 1 de septiembre de 2010, el Juzgado de Primera Instancia núm. 87 de Madrid acordó acceder a la solicitud de diligencias preliminares formulada por ADICAE, fijando como caución a depositar por dicha asociación la suma de 500 euros (que fue efectivamente ingresada el siguiente 10 de septiembre), requiriendo a BBVA para que en el plazo de cinco días a contar desde la notificación de dicha resolución, aportase al Juzgado, para su entrega a la parte actora, los listados en fichero electrónico de sus clientes personas físicas que hubieran contratado los referidos productos financieros, sin perjuicio de poder oponerse a esta medida dentro del mismo plazo.</w:t>
      </w:r>
    </w:p>
    <w:p w:rsidR="00D06117" w:rsidRDefault="00D06117" w:rsidP="00D06117">
      <w:pPr>
        <w:pStyle w:val="TextoNormal"/>
      </w:pPr>
    </w:p>
    <w:p w:rsidR="00D06117" w:rsidRDefault="00D06117" w:rsidP="00D06117">
      <w:pPr>
        <w:pStyle w:val="TextoNormal"/>
      </w:pPr>
      <w:r>
        <w:t>c) La representación procesal de BBVA presentó con fecha 28 de septiembre de 2010 escrito de oposición a la diligencia preliminar acordada, solicitando su desestimación íntegra e interesando, subsidiariamente, que en caso de no rechazarse la petición de ADICAE, sea la propia entidad BBVA quien, a sus expensas, remita comunicación sobre este extremo a sus clientes, en los términos que autorice el juzgado, acreditando su remisión mediante verificación por empresa auditora de primer orden.</w:t>
      </w:r>
    </w:p>
    <w:p w:rsidR="00D06117" w:rsidRDefault="00D06117" w:rsidP="00D06117">
      <w:pPr>
        <w:pStyle w:val="TextoNormal"/>
      </w:pPr>
    </w:p>
    <w:p w:rsidR="00D06117" w:rsidRDefault="00D06117" w:rsidP="00D06117">
      <w:pPr>
        <w:pStyle w:val="TextoNormal"/>
      </w:pPr>
      <w:r>
        <w:t>d) Señalada mediante providencia de 30 de septiembre de 2010 fecha para la vista el día 20 de octubre de 2010, se celebró ésta, en la que las partes se ratificaron en sus pretensiones y se practicó la prueba documental solicitada, quedando el incidente concluso para su resolución.</w:t>
      </w:r>
    </w:p>
    <w:p w:rsidR="00D06117" w:rsidRDefault="00D06117" w:rsidP="00D06117">
      <w:pPr>
        <w:pStyle w:val="TextoNormal"/>
      </w:pPr>
    </w:p>
    <w:p w:rsidR="00D06117" w:rsidRDefault="00D06117" w:rsidP="00D06117">
      <w:pPr>
        <w:pStyle w:val="TextoNormal"/>
      </w:pPr>
      <w:r>
        <w:t xml:space="preserve">e) Mediante Auto de 20 de octubre de 2010, el Juzgado de Primera Instancia núm. 87 de Madrid estimó la solicitud de diligencias preliminares promovida por ADICAE y, en consecuencia, acordó requerir a la entidad BBVA para que, en el plazo improrrogable de 30 días desde la notificación de dicha resolución, procediese a entregar al Juzgado, para su puesta a disposición de ADICAE, los listados diferenciados por productos financieros identificados bien por su código o referencia bancaria o por su código ISIN si dispusieran de él, en formato electrónico tipo excel o compatible, conteniendo la identificación de sus datos personales (nombre, apellido, DNI, dirección postal actualizada, número. de teléfono, fax y correo electrónico, si estuvieran disponibles), de todos los clientes, personas físicas, con la condición de consumidores o usuarios que hubieran contratado los productos financieros comercializados en toda España por BBVA con la denominación comercial “contrato cuota segura”, “contrato marco para la cobertura de operaciones financieras” o similares, o cualquier otro tipo de productos de permuta financiera de tipos de interés, cualquiera que sea su denominación comercial, que tengan por objeto cubrir el riesgo de subidas de tipo de interés </w:t>
      </w:r>
      <w:r>
        <w:lastRenderedPageBreak/>
        <w:t>asociado a un préstamo o crédito con o sin garantía hipotecaria, concertado a interés variable, mediante la contratación de un derivado financiero.</w:t>
      </w:r>
    </w:p>
    <w:p w:rsidR="00D06117" w:rsidRDefault="00D06117" w:rsidP="00D06117">
      <w:pPr>
        <w:pStyle w:val="TextoNormal"/>
      </w:pPr>
    </w:p>
    <w:p w:rsidR="00D06117" w:rsidRDefault="00D06117" w:rsidP="00D06117">
      <w:pPr>
        <w:pStyle w:val="TextoNormal"/>
      </w:pPr>
      <w:r>
        <w:t>En el Auto citado, el Juez transcribe textualmente la solicitud de ADICAE y añade, a modo de aclaración: “es decir, la información se refiere no sólo al contrato cuota segura o al contrato marco de protección de operaciones financieras, sino a aquellos productos que estén o no vinculados, o concertados para la cobertura frente a oscilaciones de tipo de interés, tanto sean swaps, como clips, caps o cualesquiera otros negociados al amparo del art. 19 de la Ley 36/2003, de 11 de noviembre, y deberá extenderse desde el año 2007 a la fecha actual de 2010”. Todo ello con apercibimiento de recogida de oficio de estos documentos previo mandamiento judicial de entrada, acceso, registro y recogida en la sucursal donde se hallen depositados, en virtud de lo dispuesto en el art. 261.2 LEC.</w:t>
      </w:r>
    </w:p>
    <w:p w:rsidR="00D06117" w:rsidRDefault="00D06117" w:rsidP="00D06117">
      <w:pPr>
        <w:pStyle w:val="TextoNormal"/>
      </w:pPr>
    </w:p>
    <w:p w:rsidR="00D06117" w:rsidRDefault="00D06117" w:rsidP="00D06117">
      <w:pPr>
        <w:pStyle w:val="TextoNormal"/>
      </w:pPr>
      <w:r>
        <w:t>Asimismo, en dicho Auto se rechazan las alegaciones formuladas por BBVA para oponerse a la solicitud de diligencias preliminares interesadas por ADICAE, y se indica que no cabe recurso alguno.</w:t>
      </w:r>
    </w:p>
    <w:p w:rsidR="00D06117" w:rsidRDefault="00D06117" w:rsidP="00D06117">
      <w:pPr>
        <w:pStyle w:val="TextoNormal"/>
      </w:pPr>
    </w:p>
    <w:p w:rsidR="00D06117" w:rsidRDefault="00D06117" w:rsidP="00D06117">
      <w:pPr>
        <w:pStyle w:val="TextoNormal"/>
      </w:pPr>
      <w:r>
        <w:t>Más concretamente, se rechazan las alegaciones materiales, de fondo o de justificación material, pues entiende el Juzgado que habrán de dilucidarse en la demanda posterior y no en el trámite de medidas preliminares. En cuanto a las alegaciones de oposición, se descarta la falta de legitimación activa de ADICAE, por entender el Juzgado que, conforme a lo dispuesto en el art. 11 LEC, no es necesario que esta asociación cuente con la autorización orgánica o de sus afiliados, ni con el consentimiento de los perjudicados para ejercer las acciones de defensa de los consumidores y usuarios, bastando que conste debidamente registrada en el registro especial de sanidad y consumo, como queda acreditado. Asimismo, se rechaza el alegato referido a la falta de necesidad de identificar a los presuntos perjudicados, dado el carácter abstracto de la acción de cesación que se pretende interponer por ADICAE, pues sin entrar a analizar la naturaleza de la acción de cesación, que entiende es cuestión a dilucidar en el proceso principal, interpreta el juez que ADICAE también pretende ejercer una acción de subsanación de un presunto daño colectivamente ocasionado, por lo que entiende que la exigencia de identificación de los posibles perjudicados resulta obligada de conformidad con el art. 15 LEC, y no entra a valorar la indebida acumulación de acciones alegada en el escrito de oposición, por entender que esta cuestión excede el ámbito de las medidas preliminares.</w:t>
      </w:r>
    </w:p>
    <w:p w:rsidR="00D06117" w:rsidRDefault="00D06117" w:rsidP="00D06117">
      <w:pPr>
        <w:pStyle w:val="TextoNormal"/>
      </w:pPr>
    </w:p>
    <w:p w:rsidR="00D06117" w:rsidRDefault="00D06117" w:rsidP="00D06117">
      <w:pPr>
        <w:pStyle w:val="TextoNormal"/>
      </w:pPr>
      <w:r>
        <w:t>Por último, el Juzgado rechaza las alegaciones de BBVA en cuanto a la insuficiencia de la caución exigida a ADICAE (porque una caución elevada resultaría un obstáculo insalvable para la asociación), así como la propuesta alternativa de que sea la entidad bancaria quien remita comunicación a sus clientes, al entender el Juzgado que ello sería “permitir que la parte se constituya en árbitro y ejecutor de sí misma, lo que no es profilácticamente recomendable”.</w:t>
      </w:r>
    </w:p>
    <w:p w:rsidR="00D06117" w:rsidRDefault="00D06117" w:rsidP="00D06117">
      <w:pPr>
        <w:pStyle w:val="TextoNormal"/>
      </w:pPr>
    </w:p>
    <w:p w:rsidR="00D06117" w:rsidRDefault="00D06117" w:rsidP="00D06117">
      <w:pPr>
        <w:pStyle w:val="TextoNormal"/>
      </w:pPr>
      <w:r>
        <w:t xml:space="preserve">f) Contra el Auto de 20 de octubre de 2010 promovió la entidad BBVA incidente de nulidad de actuaciones, alegando, entre otros extremos, lesión del derecho a la tutela judicial efectiva (art. 24.1 CE), en relación con el derecho a la intimidad y a la protección de datos personales (art. 18.1 y 4 CE), como consecuencia del requerimiento judicial de entrega de los datos personales de clientes de BBVA que hubiesen contratado los productos financieros en cuestión, para su traslado a la asociación ADICAE. Asimismo se alega la vulneración </w:t>
      </w:r>
      <w:r>
        <w:lastRenderedPageBreak/>
        <w:t>del derecho a la tutela judicial efectiva (art. 24.1 CE) por la incongruencia extra petitum en que incurriría el Auto impugnado, al entender los demandantes que se amplía el requerimiento de entrega de datos a otros productos financieros no contemplados en la solicitud de diligencias preliminares formulada por ADICAE.</w:t>
      </w:r>
    </w:p>
    <w:p w:rsidR="00D06117" w:rsidRDefault="00D06117" w:rsidP="00D06117">
      <w:pPr>
        <w:pStyle w:val="TextoNormal"/>
      </w:pPr>
    </w:p>
    <w:p w:rsidR="00D06117" w:rsidRDefault="00D06117" w:rsidP="00D06117">
      <w:pPr>
        <w:pStyle w:val="TextoNormal"/>
      </w:pPr>
      <w:r>
        <w:t>g) Mediante providencia de 29 de noviembre de 2010 el Juzgado acordó no haber lugar al incidente de nulidad promovido por BBVA, por entender que la nulidad “debe hacerse valer a través de los recursos que correspondan” y que “las alegaciones de fondo que contiene ya se alegaron en el acto de la vista y de las mismas se dio puntual respuesta”.</w:t>
      </w:r>
    </w:p>
    <w:p w:rsidR="00D06117" w:rsidRDefault="00D06117" w:rsidP="00D06117">
      <w:pPr>
        <w:pStyle w:val="TextoNormal"/>
      </w:pPr>
    </w:p>
    <w:p w:rsidR="00D06117" w:rsidRDefault="00D06117" w:rsidP="00D06117">
      <w:pPr>
        <w:pStyle w:val="TextoNormal"/>
      </w:pPr>
    </w:p>
    <w:p w:rsidR="00D06117" w:rsidRDefault="00D06117" w:rsidP="00D06117">
      <w:pPr>
        <w:pStyle w:val="TextoNormal"/>
      </w:pPr>
      <w:r>
        <w:t>Por otra parte, la demandante considera que desde la perspectiva del art. 18 CE no es admisible, ex art. 256.1.6 LEC, requerir a la entidad bancaria que entregue los datos personales de sus clientes a la asociación ADICAE, sin contar con el consentimiento de aquéllos y sin que el Auto que acuerda dicha cesión de datos contenga un razonamiento suficiente que justifique la excepcionalidad de tal medida. Ciertamente, entiende la recurrente que el art. 11.2 d) de la Ley Orgánica 15/1999, de 13 de diciembre, de protección de datos personales (LOPD) excluye el consentimiento del afectado cuando el destinatario de la cesión de datos personales sea un órgano judicial en el ejercicio de sus funciones constitucionales, pero no es esto lo que sucede en el presente caso, en el que los datos de los clientes del BBVA se requieren para su entrega a un tercero, la asociación ADICAE.</w:t>
      </w:r>
    </w:p>
    <w:p w:rsidR="00D06117" w:rsidRDefault="00D06117" w:rsidP="00D06117">
      <w:pPr>
        <w:pStyle w:val="TextoNormal"/>
      </w:pPr>
    </w:p>
    <w:p w:rsidR="00D06117" w:rsidRDefault="00D06117" w:rsidP="00D06117">
      <w:pPr>
        <w:pStyle w:val="TextoNormal"/>
      </w:pPr>
      <w:r>
        <w:t>Por tanto, para la entidad recurrente resulta claro que el órgano judicial viene obligado a interpretar tales preceptos en el sentido más favorable para la efectividad de los derechos fundamentales, en este caso los derechos a la intimidad y a la protección de datos personales de los afectados y, en consecuencia, el Auto impugnado desconoce el valor que una base de datos de clientes tiene para una entidad financiera, ignora que los datos le han sido facilitados a BBVA por sus clientes en una relación de confianza y sólo y exclusivamente para sus relaciones con dichos clientes, y olvida el grave riesgo de un uso desviado por parte del tercero, ADICAE, a quien se ceden esos datos.</w:t>
      </w:r>
    </w:p>
    <w:p w:rsidR="00D06117" w:rsidRDefault="00D06117" w:rsidP="00D06117">
      <w:pPr>
        <w:pStyle w:val="TextoNormal"/>
      </w:pPr>
    </w:p>
    <w:p w:rsidR="00D06117" w:rsidRDefault="00D06117" w:rsidP="00D06117">
      <w:pPr>
        <w:pStyle w:val="TextoNormal"/>
      </w:pPr>
      <w:r>
        <w:t>En segundo lugar, se alega por la entidad demandante de amparo que el Auto impugnado vulnera su derecho a la tutela judicial efectiva (art. 24.1 CE) por la incongruencia por exceso o extra petitum en que incurre dicha resolución judicial, al ampliar el requerimiento de entrega de datos a otros productos financieros no contemplados en la solicitud de diligencias preliminares de ADICAE, lesión constitucional que tampoco fue reparada por la providencia que rechaza el incidente de nulidad promovido contra el Auto.</w:t>
      </w:r>
    </w:p>
    <w:p w:rsidR="00D06117" w:rsidRDefault="00D06117" w:rsidP="00D06117">
      <w:pPr>
        <w:pStyle w:val="TextoNormal"/>
      </w:pPr>
    </w:p>
    <w:p w:rsidR="00D06117" w:rsidRDefault="00D06117" w:rsidP="00D06117">
      <w:pPr>
        <w:pStyle w:val="TextoNormal"/>
      </w:pPr>
      <w:r>
        <w:t>Asimismo, la demandante de amparo procede a justificar la especial trascendencia constitucional de su recurso, conforme a lo exigido por los arts. 49.1 in fine y 50.1 b) de la Ley Orgánica del Tribunal Constitucional (LOTC), sosteniendo que en este caso no se trata únicamente de que las resoluciones judiciales impugnadas hayan vulnerado su derecho a la tutela judicial efectiva, en relación con los derechos a la intimidad y a la protección de datos personales, sino que plantea una cuestión que reviste especial trascendencia constitucional a la luz de los criterios a los que se alude en la STC 155/2009, de 25 de junio, FJ 2.</w:t>
      </w:r>
    </w:p>
    <w:p w:rsidR="00D06117" w:rsidRDefault="00D06117" w:rsidP="00D06117">
      <w:pPr>
        <w:pStyle w:val="TextoNormal"/>
      </w:pPr>
    </w:p>
    <w:p w:rsidR="00D06117" w:rsidRDefault="00D06117" w:rsidP="00D06117">
      <w:pPr>
        <w:pStyle w:val="TextoNormal"/>
      </w:pPr>
      <w:r>
        <w:lastRenderedPageBreak/>
        <w:t>Así, en primer lugar, considera que se plantea un problema o una faceta de un derecho fundamental susceptible de amparo sobre el que no existe doctrina del Tribunal Constitucional, cual es la determinación de si en la aplicación de la medida prevista en el art. 256.1.6 LEC, cuando se ordena a las entidades bancarias entregar los datos personales de sus clientes, sin el consentimiento de éstos, a las asociaciones de consumidores para el ejercicio de futuras acciones colectivas, se están respetando o no las garantías exigidas por los derechos fundamentales protegidos por los arts. 18 y 24.1 CE; en segundo lugar, porque existen resoluciones judiciales contradictorias sobre la incidencia que en el derecho fundamental protegido por el art. 18 CE puede tener la controvertida medida de entrega de datos personales de clientes de entidades bancarias a asociaciones de consumidores, resoluciones que se citan en la demanda de amparo; en fin, porque se trata de una cuestión de alcance general que trasciende el caso concreto y tiene una importante repercusión social y económica en el momento actual, habida cuenta de la proliferación de solicitudes formuladas por asociaciones de consumidores y usuarios frente a entidades financieras en las que se reclama la entrega de listados conteniendo datos personales de sus clientes a fin de interponer futuras acciones colectivas basadas en la existencia de un presunto hecho dañoso.</w:t>
      </w:r>
    </w:p>
    <w:p w:rsidR="00D06117" w:rsidRDefault="00D06117" w:rsidP="00D06117">
      <w:pPr>
        <w:pStyle w:val="TextoNormal"/>
      </w:pPr>
    </w:p>
    <w:p w:rsidR="00D06117" w:rsidRDefault="00D06117" w:rsidP="00D06117">
      <w:pPr>
        <w:pStyle w:val="TextoNormal"/>
      </w:pPr>
      <w:r>
        <w:t>En la misma demanda, mediante otrosí, la entidad recurrente solicita la suspensión inaudita parte por razones de urgencia excepcional de las resoluciones judiciales impugnadas. Asimismo razona que, de no acordarse la suspensión, se ocasionará un perjuicio irreparable no sólo a ella sino también a sus clientes, por la afectación de sus derechos a la intimidad y a la protección de datos personales, y añade que el Juzgado de Primera Instancia núm. 87 de Madrid ha acordado mediante providencia de 13 de diciembre de 2010 (recurrida en reposición) la entrada en las oficinas de BBVA a los efectos de recabar la documentación requerida por ADICAE, lo que, a juicio de la demandante, anuncia una nueva vulneración, la del derecho a la inviolabilidad domiciliaria (art. 18.2 CE).</w:t>
      </w:r>
    </w:p>
    <w:p w:rsidR="00D06117" w:rsidRDefault="00D06117" w:rsidP="00D06117">
      <w:pPr>
        <w:pStyle w:val="TextoNormal"/>
      </w:pPr>
    </w:p>
    <w:p w:rsidR="00D06117" w:rsidRDefault="00D06117" w:rsidP="00D06117">
      <w:pPr>
        <w:pStyle w:val="TextoNormal"/>
      </w:pPr>
      <w:r w:rsidRPr="00D06117">
        <w:rPr>
          <w:rStyle w:val="NumeroAFNegritaCaracter"/>
        </w:rPr>
        <w:t>3</w:t>
      </w:r>
      <w:r>
        <w:t>. En la demanda de amparo se aduce, en primer lugar, que el Auto impugnado (y la providencia que rechaza el incidente de nulidad promovido contra el mismo, porque no reparó la lesión denunciada) ha vulnerado el derecho de la entidad recurrente en amparo a la tutela judicial efectiva (art. 24.1 CE), porque incurre en interpretación irrazonable y arbitraria de los requisitos procesales aplicables para acordar la medida adoptada, al desconocer la exigencias constitucionales de motivación reforzada cuando están en juego derechos fundamentales sustantivos, en este caso los derechos a la intimidad y a la protección de datos personales (art. 18.1 y 4 CE) de los clientes de BBVA, datos de cuya custodia, tratamiento y conservación es responsable dicha entidad frente a sus clientes, y que el órgano judicial pretende entregar a la asociación ADICAE sin verificar si esa medida resulta justificada en atención a la naturaleza de las futuras acciones procesales que dicha asociación dice pretender ejercitar y omitiendo la exigencia de cualquier garantía para la protección de esos datos. Así, entiende que en atención a las acciones que pretende ejercitar ADICAE, la medida acordada es innecesaria, está injustificada y resulta desproporcionada.</w:t>
      </w:r>
    </w:p>
    <w:p w:rsidR="00D06117" w:rsidRDefault="00D06117" w:rsidP="00D06117">
      <w:pPr>
        <w:pStyle w:val="TextoNormal"/>
      </w:pPr>
    </w:p>
    <w:p w:rsidR="00D06117" w:rsidRDefault="00D06117" w:rsidP="00D06117">
      <w:pPr>
        <w:pStyle w:val="TextoNormal"/>
      </w:pPr>
      <w:r>
        <w:t xml:space="preserve">Por otra parte, la demandante considera que desde la perspectiva del art. 18 CE no es admisible, ex art. 256.1.6 LEC, requerir a la entidad bancaria que entregue los datos personales de sus clientes a la asociación ADICAE, sin contar con el consentimiento de aquéllos y sin que el Auto que acuerda dicha cesión de datos contenga un razonamiento suficiente que justifique la excepcionalidad de tal medida. Ciertamente, entiende la recurrente que el </w:t>
      </w:r>
      <w:r>
        <w:lastRenderedPageBreak/>
        <w:t>art. 11.2 d) de la Ley Orgánica 15/1999, de 13 de diciembre, de protección de datos personales (LOPD) excluye el consentimiento del afectado cuando el destinatario de la cesión de datos personales sea un órgano judicial en el ejercicio de sus funciones constitucionales, pero no es esto lo que sucede en el presente caso, en el que los datos de los clientes del BBVA se requieren para su entrega a un tercero, la asociación ADICAE.</w:t>
      </w:r>
    </w:p>
    <w:p w:rsidR="00D06117" w:rsidRDefault="00D06117" w:rsidP="00D06117">
      <w:pPr>
        <w:pStyle w:val="TextoNormal"/>
      </w:pPr>
    </w:p>
    <w:p w:rsidR="00D06117" w:rsidRDefault="00D06117" w:rsidP="00D06117">
      <w:pPr>
        <w:pStyle w:val="TextoNormal"/>
      </w:pPr>
      <w:r>
        <w:t>Por tanto, para la entidad recurrente resulta claro que el órgano judicial viene obligado a interpretar tales preceptos en el sentido más favorable para la efectividad de los derechos fundamentales, en este caso los derechos a la intimidad y a la protección de datos personales de los afectados y, en consecuencia, el Auto impugnado desconoce el valor que una base de datos de clientes tiene para una entidad financiera, ignora que los datos le han sido facilitados a BBVA por sus clientes en una relación de confianza y sólo y exclusivamente para sus relaciones con dichos clientes, y olvida el grave riesgo de un uso desviado por parte del tercero, ADICAE, a quien se ceden esos datos.</w:t>
      </w:r>
    </w:p>
    <w:p w:rsidR="00D06117" w:rsidRDefault="00D06117" w:rsidP="00D06117">
      <w:pPr>
        <w:pStyle w:val="TextoNormal"/>
      </w:pPr>
    </w:p>
    <w:p w:rsidR="00D06117" w:rsidRDefault="00D06117" w:rsidP="00D06117">
      <w:pPr>
        <w:pStyle w:val="TextoNormal"/>
      </w:pPr>
      <w:r>
        <w:t>En segundo lugar, se alega por la entidad demandante de amparo que el Auto impugnado vulnera su derecho a la tutela judicial efectiva (art. 24.1 CE) por la incongruencia por exceso o extra petitum en que incurre dicha resolución judicial, al ampliar el requerimiento de entrega de datos a otros productos financieros no contemplados en la solicitud de diligencias preliminares de ADICAE, lesión constitucional que tampoco fue reparada por la providencia que rechaza el incidente de nulidad promovido contra el Auto.</w:t>
      </w:r>
    </w:p>
    <w:p w:rsidR="00D06117" w:rsidRDefault="00D06117" w:rsidP="00D06117">
      <w:pPr>
        <w:pStyle w:val="TextoNormal"/>
      </w:pPr>
    </w:p>
    <w:p w:rsidR="00D06117" w:rsidRDefault="00D06117" w:rsidP="00D06117">
      <w:pPr>
        <w:pStyle w:val="TextoNormal"/>
      </w:pPr>
      <w:r>
        <w:t>Asimismo, la demandante de amparo procede a justificar la especial trascendencia constitucional de su recurso, conforme a lo exigido por los arts. 49.1 in fine y 50.1 b) de la Ley Orgánica del Tribunal Constitucional (LOTC), sosteniendo que en este caso no se trata únicamente de que las resoluciones judiciales impugnadas hayan vulnerado su derecho a la tutela judicial efectiva, en relación con los derechos a la intimidad y a la protección de datos personales, sino que plantea una cuestión que reviste especial trascendencia constitucional a la luz de los criterios a los que se alude en la STC 155/2009, de 25 de junio, FJ 2.</w:t>
      </w:r>
    </w:p>
    <w:p w:rsidR="00D06117" w:rsidRDefault="00D06117" w:rsidP="00D06117">
      <w:pPr>
        <w:pStyle w:val="TextoNormal"/>
      </w:pPr>
    </w:p>
    <w:p w:rsidR="00D06117" w:rsidRDefault="00D06117" w:rsidP="00D06117">
      <w:pPr>
        <w:pStyle w:val="TextoNormal"/>
      </w:pPr>
      <w:r>
        <w:t>Así, en primer lugar, considera que se plantea un problema o una faceta de un derecho fundamental susceptible de amparo sobre el que no existe doctrina del Tribunal Constitucional, cual es la determinación de si en la aplicación de la medida prevista en el art. 256.1.6 LEC, cuando se ordena a las entidades bancarias entregar los datos personales de sus clientes, sin el consentimiento de éstos, a las asociaciones de consumidores para el ejercicio de futuras acciones colectivas, se están respetando o no las garantías exigidas por los derechos fundamentales protegidos por los arts. 18 y 24.1 CE; en segundo lugar, porque existen resoluciones judiciales contradictorias sobre la incidencia que en el derecho fundamental protegido por el art. 18 CE puede tener la controvertida medida de entrega de datos personales de clientes de entidades bancarias a asociaciones de consumidores, resoluciones que se citan en la demanda de amparo; en fin, porque se trata de una cuestión de alcance general que trasciende el caso concreto y tiene una importante repercusión social y económica en el momento actual, habida cuenta de la proliferación de solicitudes formuladas por asociaciones de consumidores y usuarios frente a entidades financieras en las que se reclama la entrega de listados conteniendo datos personales de sus clientes a fin de interponer futuras acciones colectivas basadas en la existencia de un presunto hecho dañoso.</w:t>
      </w:r>
    </w:p>
    <w:p w:rsidR="00D06117" w:rsidRDefault="00D06117" w:rsidP="00D06117">
      <w:pPr>
        <w:pStyle w:val="TextoNormal"/>
      </w:pPr>
    </w:p>
    <w:p w:rsidR="00D06117" w:rsidRDefault="00D06117" w:rsidP="00D06117">
      <w:pPr>
        <w:pStyle w:val="TextoNormal"/>
      </w:pPr>
      <w:r>
        <w:lastRenderedPageBreak/>
        <w:t>En la misma demanda, mediante otrosí, la entidad recurrente solicita la suspensión inaudita parte por razones de urgencia excepcional de las resoluciones judiciales impugnadas. Asimismo razona que, de no acordarse la suspensión, se ocasionará un perjuicio irreparable no sólo a ella sino también a sus clientes, por la afectación de sus derechos a la intimidad y a la protección de datos personales, y añade que el Juzgado de Primera Instancia núm. 87 de Madrid ha acordado mediante providencia de 13 de diciembre de 2010 (recurrida en reposición) la entrada en las oficinas de BBVA a los efectos de recabar la documentación requerida por ADICAE, lo que, a juicio de la demandante, anuncia una nueva vulneración, la del derecho a la inviolabilidad domiciliaria (art. 18.2 CE).</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escrito presentado en el Registro General de este Tribunal el 16 de diciembre de 2010 la entidad BBVA insistió en su solicitud de suspensión inaudita parte por razones de urgencia de las resoluciones judiciales impugnadas en amparo, alegando que el Juzgado de Primera Instancia núm. 87 de Madrid aún no había resuelto el recurso de reposición interpuesto por BBVA contra la providencia de fecha 13 de diciembre de 2010 por que se ordena la entrada en las oficinas de la entidad bancaria a los efectos de recabar la documentación requerida por ADICAE, y que dicha providencia ha tenido una importante difusión en los medios de comunicación, con grave perjuicio para la imagen pública de la entidad BBVA.</w:t>
      </w:r>
    </w:p>
    <w:p w:rsidR="00D06117" w:rsidRDefault="00D06117" w:rsidP="00D06117">
      <w:pPr>
        <w:pStyle w:val="TextoNormal"/>
      </w:pPr>
    </w:p>
    <w:p w:rsidR="00D06117" w:rsidRDefault="00D06117" w:rsidP="00D06117">
      <w:pPr>
        <w:pStyle w:val="TextoNormal"/>
      </w:pPr>
      <w:r>
        <w:t>Con fecha 28 de enero de 2011 la entidad bancaria BBVA, mediante escrito presentado en el registro general de este Tribunal en cuanto se produjo su apertura, reiteró su solicitud de suspensión urgente inaudita parte, ante la circunstancia sobrevenida de que el Juzgado de Primera Instancia núm. 87 de Madrid había acordado, mediante providencia fechada y notificada el día anterior, entregar a ADICAE el día 28 de enero de 2011 a las 10:30 horas los “CDs” que contienen los datos personales de los clientes de BBVA que durante el periodo comprendido entre 2007 y 2010 hubieran contratado con esta entidad bancaria determinados productos financieros. En consecuencia, la demandante de amparo interesa de este Tribunal que acuerde con carácter urgente la suspensión cautelar de las resoluciones judiciales impugnadas en amparo, extendiéndola a la referida providencia de 27 de enero de 2011.</w:t>
      </w:r>
    </w:p>
    <w:p w:rsidR="00D06117" w:rsidRDefault="00D06117" w:rsidP="00D06117">
      <w:pPr>
        <w:pStyle w:val="TextoNormal"/>
      </w:pPr>
    </w:p>
    <w:p w:rsidR="00D06117" w:rsidRDefault="00D06117" w:rsidP="00D06117">
      <w:pPr>
        <w:pStyle w:val="TextoNormal"/>
      </w:pPr>
      <w:r>
        <w:t>La Sección Primera de este Tribunal, mediante providencia de 28 de enero de 2011, acordó la suspensión cautelar de las resoluciones judiciales impugnadas en amparo de conformidad con lo dispuesto en el art. 56.3 LOTC, dada la concurrencia de razones de urgencia excepcional en el caso, toda vez que la puesta a disposición de ADICAE de las bases de datos de la entidad bancaria demandante de amparo que contienen datos personales de aquellos de sus clientes que hubieran contratado determinados productos financieros, produciría un perjuicio de imposible o muy difícil reparación que haría perder su finalidad al recurso de amparo, en caso de que éste fuera admitido y eventualmente estimado. Dicha providencia fue inmediatamente comunicada al Juzgado de Primera Instancia núm. 87 de Madrid y notificada al Ministerio Fiscal el 31 de enero de 2011, quien interpuso recurso de súplica, que fue desestimado por ATC 16/2011, de 25 de febrero, acordándose confirmar íntegramente la providencia recurrida, sin perjuicio de la decisión que proceda adoptar en cuanto a la ratificación, modificación o alzamiento de la suspensión cautelar acordada, tras oír al Fiscal y a las partes personadas en la pieza separada de suspensión una vez admitido a trámite, en su caso, el recurso de amparo interpuesto por la entidad bancaria BBVA.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Mediante providencia de 12 de septiembre de 2011, la Sala Primera de este Tribunal acordó la admisión a trámite de la demanda de amparo y, a tenor de lo dispuesto en el art. 51 LOTC, requerir atentamente al Juzgado de Primera Instancia núm. 87 de Madrid para que en el plazo de diez días remitiera certificación o copia adverada de las actuaciones correspondientes al procedimiento de diligencias preliminares núm. 1711-2010, interesándose al propio tiempo el emplazamiento de quienes fueron parte en el procedimiento, a excepción de la entidad demandante de amparo, ya personada, para que pudieran comparecer en el plazo de diez días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del Secretario de Justicia de la Sala Primera de 27 de octubre de 2011 se tuvo por recibido el testimonio de las actuaciones y por personado y parte al Procurador de los Tribunales don Jorge Luis de Miguel López, en nombre y representación de la asociación ADICAE, procediendo asimismo a formar pieza separada de suspensión con los correspondientes particulares.</w:t>
      </w:r>
    </w:p>
    <w:p w:rsidR="00D06117" w:rsidRDefault="00D06117" w:rsidP="00D06117">
      <w:pPr>
        <w:pStyle w:val="TextoNormal"/>
      </w:pPr>
    </w:p>
    <w:p w:rsidR="00D06117" w:rsidRDefault="00D06117" w:rsidP="00D06117">
      <w:pPr>
        <w:pStyle w:val="TextoNormal"/>
      </w:pPr>
      <w:r>
        <w:t>Formada la pieza, y en virtud de lo acordado en el ATC 16/2011, de 25 de febrero, por diligencia de ordenación de la misma fecha se concedió un plazo común de tres días al Ministerio Fiscal y a las partes personadas para que alegasen lo que estimasen oportuno en cuanto a la ratificación, modificación o alzamiento de la suspensión cautelar acordada en el presente proceso constitucional. Trámite que fue evacuado oportunamente, interesando la entidad recurrente en amparo el mantenimiento de la suspensión en sus propios términos, mientras que el Fiscal y la asociación ADICAE solicitaron el alzamiento de la suspensión o, subsidiariamente, para el caso de que se acordase su mantenimiento, que éste se condicione a que la entidad recurrente en amparo preste fianza suficiente (que ADICAE cifró en 54 millones de euros), a lo que añadió el Fiscal que, para el caso de no acordarse la fianza, o como medida complementaria a ésta, se autorizase al Juzgado de Primera Instancia núm. 87 de Madrid la adopción de medidas adecuadas para asegurar la localización, entrega y custodia por el propio órgano judicial de la documentación requerida a la entidad BBVA.</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diligencia de ordenación del Secretario de Justicia de la Sala Primera, de 4 de noviembre de 2011, se procedió, conforme a lo establecido en el art. 52.1 LOTC, a dar vista de las actuaciones por plazo común de veinte días al Ministerio Fiscal y a las partes personadas, para presentar las alegaciones que estimasen pertinentes.</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 la entidad BBVA, recurrente en amparo, presentó su escrito de alegaciones en este Tribunal el 9 de diciembre de 2011, en las que viene a reproducir las formuladas en la demanda de amparo.</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procesal de la asociación ADICAE presentó su escrito de alegaciones en este Tribunal el 12 de diciembre de 2011.</w:t>
      </w:r>
    </w:p>
    <w:p w:rsidR="00D06117" w:rsidRDefault="00D06117" w:rsidP="00D06117">
      <w:pPr>
        <w:pStyle w:val="TextoNormal"/>
      </w:pPr>
    </w:p>
    <w:p w:rsidR="00D06117" w:rsidRDefault="00D06117" w:rsidP="00D06117">
      <w:pPr>
        <w:pStyle w:val="TextoNormal"/>
      </w:pPr>
      <w:r>
        <w:t>En primer lugar, ADICAE aduce que el recurso de amparo debe ser inadmitido por falta de legitimación activa de la entidad bancaria demandante de amparo, por cuanto la entidad BBVA acude a este proceso constitucional como defensora del derecho a la protección de datos personales de sus clientes (art. 18.4 CE), y no directamente invocando la lesión de un derecho fundamental propio.</w:t>
      </w:r>
    </w:p>
    <w:p w:rsidR="00D06117" w:rsidRDefault="00D06117" w:rsidP="00D06117">
      <w:pPr>
        <w:pStyle w:val="TextoNormal"/>
      </w:pPr>
    </w:p>
    <w:p w:rsidR="00D06117" w:rsidRDefault="00D06117" w:rsidP="00D06117">
      <w:pPr>
        <w:pStyle w:val="TextoNormal"/>
      </w:pPr>
      <w:r>
        <w:lastRenderedPageBreak/>
        <w:t>En segundo lugar, sostiene ADICAE que el recurso de amparo debe ser inadmitido por falta de la especial trascendencia constitucional exigida por el art. 50.1 b) LOTC, pues resulta innecesario un pronunciamiento de este Tribunal sobre el fondo del asunto planteado en la demanda de amparo para determinar el alcance y contenido de los derechos fundamentales que se alegan como vulnerados, sin que concurra tampoco ninguno de los supuestos de especial trascendencia constitucional enunciados por la STC 155/2009, de 25 de junio, FJ 2. A juicio de ADICAE, la cuestión de las diligencias preliminares para la preparación de acciones colectivas en defensa de los intereses colectivos de consumidores y usuarios está perfectamente regulada en el Derecho comunitario europeo y en la vigente legislación procesal española, a lo que se añade que este Tribunal ha reconocido con amplitud la legitimación activa de las asociaciones de consumidores y usuarios para la defensa de los mismos (SSTC 73/2004, de 22 de abril, y 217/2007, de 8 de octubre). Otro tanto sucede, a juicio de ADICAE, con la regulación del derecho a la protección de la intimidad y los datos personales, y sobre la que asimismo existe jurisprudencia constitucional clara y reiterada, debiendo tenerse en cuenta especialmente la STC 110/1984, de 26 de noviembre, en relación con el secreto bancario y, más en particular, la doctrina sentada sobre el derecho a la protección de datos en la STC 292/2000, de 30 de noviembre.</w:t>
      </w:r>
    </w:p>
    <w:p w:rsidR="00D06117" w:rsidRDefault="00D06117" w:rsidP="00D06117">
      <w:pPr>
        <w:pStyle w:val="TextoNormal"/>
      </w:pPr>
    </w:p>
    <w:p w:rsidR="00D06117" w:rsidRDefault="00D06117" w:rsidP="00D06117">
      <w:pPr>
        <w:pStyle w:val="TextoNormal"/>
      </w:pPr>
      <w:r>
        <w:t>Alega finalmente ADICAE que las resoluciones judiciales impugnadas en amparo son congruentes con la pretensión formulada en el proceso de diligencias preliminares y contienen una fundamentación razonable y fundada en Derecho, por lo que no existe vulneración alguna del derecho a la tutela judicial efectiva (art. 24.1 CE) de la entidad BBVA. En particular, por lo que se refiere a la incongruencia extra petitum que BBVA achaca al Auto de 20 de octubre de 2010, rechaza ADICAE que se haya producido ese pretendido vicio, pues entiende que la resolución judicial no otorga más de lo pedido por ADICAE en su inicial solicitud de diligencias preliminares.</w:t>
      </w:r>
    </w:p>
    <w:p w:rsidR="00D06117" w:rsidRDefault="00D06117" w:rsidP="00D06117">
      <w:pPr>
        <w:pStyle w:val="TextoNormal"/>
      </w:pPr>
    </w:p>
    <w:p w:rsidR="00D06117" w:rsidRDefault="00D06117" w:rsidP="00D06117">
      <w:pPr>
        <w:pStyle w:val="TextoNormal"/>
      </w:pPr>
      <w:r>
        <w:t>Por todo ello concluye ADICAE postulando la inadmisión del recurso de amparo por falta de legitimación activa de la entidad BBVA o, subsidiariamente, por carecer de especial trascendencia constitucional; y de forma alternativa interesa la denegación del amparo.</w:t>
      </w:r>
    </w:p>
    <w:p w:rsidR="00D06117" w:rsidRDefault="00D06117" w:rsidP="00D06117">
      <w:pPr>
        <w:pStyle w:val="TextoNormal"/>
      </w:pPr>
    </w:p>
    <w:p w:rsidR="00D06117" w:rsidRDefault="00D06117" w:rsidP="00D06117">
      <w:pPr>
        <w:pStyle w:val="TextoNormal"/>
      </w:pPr>
      <w:r w:rsidRPr="00D06117">
        <w:rPr>
          <w:rStyle w:val="NumeroAFNegritaCaracter"/>
        </w:rPr>
        <w:t>10</w:t>
      </w:r>
      <w:r>
        <w:t>. El Ministerio Fiscal presentó su escrito de alegaciones en este Tribunal el 13 de diciembre de 2011.</w:t>
      </w:r>
    </w:p>
    <w:p w:rsidR="00D06117" w:rsidRDefault="00D06117" w:rsidP="00D06117">
      <w:pPr>
        <w:pStyle w:val="TextoNormal"/>
      </w:pPr>
    </w:p>
    <w:p w:rsidR="00D06117" w:rsidRDefault="00D06117" w:rsidP="00D06117">
      <w:pPr>
        <w:pStyle w:val="TextoNormal"/>
      </w:pPr>
      <w:r>
        <w:t>Tras exponer detalladamente los antecedentes del asunto y con carácter previo al examen de fondo del asunto, el Fiscal somete a la consideración de este Tribunal la eventual concurrencia de sendos óbices de admisibilidad: incumplimiento del requisito del art. 44.1 c) LOTC, por invocación tardía en la vía judicial de los derechos fundamentales que se alegan como vulnerados en la demanda de amparo, y falta de legitimación activa de la entidad demandante de amparo, por pretender actuar en este proceso constitucional como defensora de derechos fundamentales de terceros, sus clientes.</w:t>
      </w:r>
    </w:p>
    <w:p w:rsidR="00D06117" w:rsidRDefault="00D06117" w:rsidP="00D06117">
      <w:pPr>
        <w:pStyle w:val="TextoNormal"/>
      </w:pPr>
    </w:p>
    <w:p w:rsidR="00D06117" w:rsidRDefault="00D06117" w:rsidP="00D06117">
      <w:pPr>
        <w:pStyle w:val="TextoNormal"/>
      </w:pPr>
      <w:r>
        <w:t xml:space="preserve">Por lo que se refiere al incumplimiento del requisito del art. 44.1 c) LOTC, sostiene el Fiscal que ya en el trámite de oposición al Auto de 1 de septiembre de 2010 por el que el Juzgado, accediendo a lo interesado por ADICAE, requirió a la entidad BBVA para que facilitase los listados de los datos personales de sus clientes que hubieran suscrito determinados productos financieros, la entidad demandante debió invocar la vulneración de los derechos fundamentales que ahora alega en su demanda de amparo, lo que, sin embargo, no </w:t>
      </w:r>
      <w:r>
        <w:lastRenderedPageBreak/>
        <w:t>se realizó al formalizar el escrito de oposición. La invocación formal de tales derechos (tutela judicial efectiva, intimidad personal y protección de datos personales), en conexión con los motivos de oposición alegados, se efectuó con posterioridad, en el incidente de nulidad de actuaciones del art. 241.1 de la Ley Orgánica del Poder Judicial (LOPJ) promovido por BBVA contra el Auto de 20 de octubre de 2010 que desestimó su oposición, lo que constituye, a juicio del Fiscal, una invocación tardía en el proceso a quo de los derechos fundamentales que sustentan la pretensión de amparo, que determina el incumplimiento del requisito temporal previsto en el art. 44.1 c) LOTC.</w:t>
      </w:r>
    </w:p>
    <w:p w:rsidR="00D06117" w:rsidRDefault="00D06117" w:rsidP="00D06117">
      <w:pPr>
        <w:pStyle w:val="TextoNormal"/>
      </w:pPr>
    </w:p>
    <w:p w:rsidR="00D06117" w:rsidRDefault="00D06117" w:rsidP="00D06117">
      <w:pPr>
        <w:pStyle w:val="TextoNormal"/>
      </w:pPr>
      <w:r>
        <w:t>Sostiene asimismo el Fiscal que la entidad demandante de amparo no es titular de los derechos a la intimidad y a la protección de datos personales, sino que su titularidad corresponde a terceros, esto es, a los clientes cuyos datos personales deben ser puestos a disposición del órgano judicial para su ulterior entrega a la asociación ADICAE, por lo que la entidad BBVA carece de legitimación activa para invocar en la vía de amparo la lesión de tales derechos fundamentales en cuanto derechos de la personalidad y de ejercicio estrictamente personal (derechos subjetivos), al no ser titular de los mismos (STC 11/1992, FJ 2). Es cierto que, en el presente caso, podría reconocerse un cierto interés legítimo en la entidad bancaria demandante, en cuanto poseedora de los datos personales que son objeto de requerimiento judicial de entrega. No obstante, dicho interés legítimo no resulta suficiente como título habilitante para fundamentar una pretensión de amparo por eventual vulneración de los derechos a la intimidad personal y a la protección de datos personales. En primer lugar, porque dicha vulneración no se imputa directamente a ninguna disposición de carácter general que imponga la obligación legal de cesión de tales datos. En segundo lugar, precisamente por el carácter eminentemente personalísimo de los derechos fundamentales invocados por la demandante. Y en tercer lugar, por la relación meramente contractual que une a la entidad demandante con sus clientes, en cuya virtud la entidad bancaria es simplemente depositaria de los datos facilitados por sus clientes, en el marco de los contratos suscritos por ambas partes, sin que por ello ostente ninguna representación de sus clientes ni, tampoco, quede facultada ni autorizada para ejercitar acciones en defensa de los derechos personalísimos de estos. Amén de que esos clientes podrían verse favorecidos en sus derechos e intereses legítimos mediante la actuación procesal de la asociación ADICAE (que, a diferencia de la entidad bancaria, sí que ostenta, por expresa previsión legal, la representación y defensa de los intereses colectivos de los usuarios y consumidores), de prosperar la demanda que esta asociación pretende ejercitar contra la entidad BBVA en protección de los intereses generales y colectivos de usuarios y consumidores.</w:t>
      </w:r>
    </w:p>
    <w:p w:rsidR="00D06117" w:rsidRDefault="00D06117" w:rsidP="00D06117">
      <w:pPr>
        <w:pStyle w:val="TextoNormal"/>
      </w:pPr>
    </w:p>
    <w:p w:rsidR="00D06117" w:rsidRDefault="00D06117" w:rsidP="00D06117">
      <w:pPr>
        <w:pStyle w:val="TextoNormal"/>
      </w:pPr>
      <w:r>
        <w:t xml:space="preserve">Para el caso en que se rechacen los anteriores óbices de admisibilidad, el Fiscal procede a analizar el contenido de las lesiones denunciadas por la entidad recurrente en amparo, iniciando dicho examen por la alegación de vulneración del derecho a la intimidad y a la protección de datos personales (art. 18 CE). En este sentido, el Fiscal entiende que no existe tal vulneración, pues mediante la facilitación de los datos personales requeridos no se trataba de averiguar la situación económica de dichas personas, ni siquiera el conocimiento del estado de sus cuentas o movimientos bancarios (intimidad económica), a lo que habría que añadir que su objeto es muy limitado, pues sólo alcanza a aquellos datos que permitieran la identificación personal de los clientes afectados (esto es, su nombre y apellidos) y que posibilitaran la ulterior comunicación con los mismas (dirección postal y, en su caso, electrónica, números de teléfono o fax), a fin de cumplir con la carga procesal de información prevista en el art. 15.2 LEC. Por otro lado, considera que los datos solicitados no pueden </w:t>
      </w:r>
      <w:r>
        <w:lastRenderedPageBreak/>
        <w:t>calificarse de datos altamente invasivos en la esfera de privacidad de una persona y, por tanto, no formarían parte del ámbito propio y reservado al conocimiento de los demás, que es lo que garantiza el derecho a la intimidad personal (art. 18.1 CE), conforme a reiterada doctrina constitucional (por todas, SSTC 207/1996, FJ 3; 218/2002, FJ 4; 196/2004, FJ 2; 206/2007, FJ 10; 70/2009, FJ 2; y 159/2009, FJ 3), pues se trata de datos que no hacen referencia a los aspectos más básicos de la autodeterminación personal. Su facilitación no permitiría reconstruir la vida íntima de las personas cuyos datos son facilitados ni conocer, por tanto, sus actividades privadas.</w:t>
      </w:r>
    </w:p>
    <w:p w:rsidR="00D06117" w:rsidRDefault="00D06117" w:rsidP="00D06117">
      <w:pPr>
        <w:pStyle w:val="TextoNormal"/>
      </w:pPr>
    </w:p>
    <w:p w:rsidR="00D06117" w:rsidRDefault="00D06117" w:rsidP="00D06117">
      <w:pPr>
        <w:pStyle w:val="TextoNormal"/>
      </w:pPr>
      <w:r>
        <w:t>Pero aun en el caso de que se estimase que los datos solicitados a BBVA forman parte del contenido esencial que garantiza el derecho a la intimidad personal, ello no sería suficiente —continua el Fiscal— para entender que su facilitación a terceros conlleve una lesión de la intimidad personal. En el presente caso, la “cesión” de dichos datos personales fue autorizada mediante resolución judicial (garantía de jurisdiccionalidad), dictada en el marco de una solicitud de diligencias preliminares de carácter preparatorio de un ulterior proceso civil para el ejercicio de acciones en defensa de los intereses colectivos de consumidores y usuarios, al amparo de lo previsto en el art. 256.1.6 LEC, al objeto de identificar a los integrantes del eventual grupo de consumidores afectados cuando, no estando determinados, fueran fácilmente determinables, en cuya defensa pretende actuar la asociación ADICAE que interesa dicha medida de averiguación, medida legal dotada de una finalidad constitucional legítima, de singular relevancia en nuestra sociedad actual, como es la protección especial y prioritaria que merecen los usuarios y consumidores (art. 51 CE), en línea con los instrumentos de protección acordados en el marco de la Unión Europea.</w:t>
      </w:r>
    </w:p>
    <w:p w:rsidR="00D06117" w:rsidRDefault="00D06117" w:rsidP="00D06117">
      <w:pPr>
        <w:pStyle w:val="TextoNormal"/>
      </w:pPr>
    </w:p>
    <w:p w:rsidR="00D06117" w:rsidRDefault="00D06117" w:rsidP="00D06117">
      <w:pPr>
        <w:pStyle w:val="TextoNormal"/>
      </w:pPr>
      <w:r>
        <w:t>La cobertura legal de la medida de averiguación acordada y la jurisdiccionalidad de la misma, mediante el dictado de la oportuna resolución judicial, excluirían, prima facie, en opinión del Fiscal, una eventual ilegitimidad de la intromisión en el derecho a la intimidad de los clientes de la entidad bancaria. Pero además, a juicio del Fiscal la medida no sólo responde a un fin legal de transcendencia constitucional, sino que en el presente caso se ajusta al canon de proporcionalidad constitucional, pues es idónea y necesaria. Por otro lado, no se solicita que la entidad BBVA facilite la totalidad de los datos de sus clientes sino sólo de aquellos que hubieran suscrito determinados productos financieros y, con respecto a éstos, sólo se requieren determinados datos. El carácter limitado de los datos solicitados adquiere —concluye el Fiscal— una singular importancia en el presente caso, pues una cesión indiscriminada de todos aquellos datos de los clientes disponibles por la entidad bancaria sí que tendría un carácter altamente invasivo del derecho a la intimidad personal y podría ser calificada de desproporcionada, lo que no sucede en el presente caso, dado el alcance de los datos solicitados por la resolución judicial impugnada.</w:t>
      </w:r>
    </w:p>
    <w:p w:rsidR="00D06117" w:rsidRDefault="00D06117" w:rsidP="00D06117">
      <w:pPr>
        <w:pStyle w:val="TextoNormal"/>
      </w:pPr>
    </w:p>
    <w:p w:rsidR="00D06117" w:rsidRDefault="00D06117" w:rsidP="00D06117">
      <w:pPr>
        <w:pStyle w:val="TextoNormal"/>
      </w:pPr>
      <w:r>
        <w:t>Por otro lado, según el Fiscal la existencia de autorización judicial excluye, en el presente caso, la necesidad de consentimiento por parte de los titulares de los datos recabados, conforme a lo previsto en el art. 11.2 d) LOPD; y ello, con independencia de que el destinatario último de los datos solicitados no sea el órgano judicial sino la asociación ADICAE, a la que se facilitan tales datos para cumplir con la carga legal que establece el art. 15.2 LEC, en vistas a un ulterior ejercicio de acciones en defensa de los intereses colectivos de consumidores y usuarios, pues el legislador autoriza, bajo supervisión judicial, la cesión de deter</w:t>
      </w:r>
      <w:r>
        <w:lastRenderedPageBreak/>
        <w:t>minados datos de identificación de usuarios y clientes a los efectos de cumplir con una finalidad legal que guarda relación directa con el principio de protección especial y prioritaria que proclama el art. 51 CE.</w:t>
      </w:r>
    </w:p>
    <w:p w:rsidR="00D06117" w:rsidRDefault="00D06117" w:rsidP="00D06117">
      <w:pPr>
        <w:pStyle w:val="TextoNormal"/>
      </w:pPr>
    </w:p>
    <w:p w:rsidR="00D06117" w:rsidRDefault="00D06117" w:rsidP="00D06117">
      <w:pPr>
        <w:pStyle w:val="TextoNormal"/>
      </w:pPr>
      <w:r>
        <w:t>Por otro lado, el eventual uso desviado o incorrecto que de este listado de clientes pudiera hacer la asociación ADICAE, no es una alegación relevante en el presente caso, por tratarse de una argumentación meramente cautelar o especulativa y que, por tanto, no puede justificar una solicitud de amparo. La facilitación de dichos datos a la asociación ADICAE no autoriza a esta última a su divulgación indiscriminada ni a un uso distinto de aquel para el cual fue concedido. Y en caso de producirse un uso desviado por parte de ADICAE de dichos datos, ajeno al fin para el cual fueron facilitados, los titulares de dichos datos e incluso los organismos públicos con competencia en la materia, dispondrían de los instrumentos legales adecuados para reaccionar frente a esta práctica, incluso mediante la imposición de las sanciones legales oportunas a la asociación ADICAE.</w:t>
      </w:r>
    </w:p>
    <w:p w:rsidR="00D06117" w:rsidRDefault="00D06117" w:rsidP="00D06117">
      <w:pPr>
        <w:pStyle w:val="TextoNormal"/>
      </w:pPr>
    </w:p>
    <w:p w:rsidR="00D06117" w:rsidRDefault="00D06117" w:rsidP="00D06117">
      <w:pPr>
        <w:pStyle w:val="TextoNormal"/>
      </w:pPr>
      <w:r>
        <w:t>Por lo que se refiere a la alegada lesión del derecho a la tutela judicial efectiva (art. 24.1 CE), en cuanto garantía de una resolución judicial fundada en Derecho, considera el Fiscal que tampoco concurre tal lesión, al entender que la resolución impugnada da cumplida respuesta a los diferentes motivos de oposición, tanto procesales como sustantivos, esgrimidos por la entidad bancaria, sin que los razonamientos del Auto puedan considerarse arbitrarios ni irrazonables, por lo que dicha resolución cumple con el estándar de suficiencia de la motivación exigido constitucionalmente. A la misma conclusión se llegaría, según el Fiscal, en el caso de exigirse un canon reforzado de motivación por aplicación del principio de proporcionalidad, pues entiende el Fiscal que el órgano judicial valoró la idoneidad y necesidad —como criterios de proporcionalidad— de la medida de averiguación acordada, así como la presencia de un interés legítimo en la asociación solicitante de la misma, de conformidad con lo previsto en el art. 258 LEC, y además examinó la propuesta alternativa de comunicación interna por la entidad bancaria, rechazándola por no estimarla adecuada, lo que se ajusta a las previsiones del art. 256.1.6, en relación con el art. 15.2, ambos de la Ley de enjuiciamiento civil.</w:t>
      </w:r>
    </w:p>
    <w:p w:rsidR="00D06117" w:rsidRDefault="00D06117" w:rsidP="00D06117">
      <w:pPr>
        <w:pStyle w:val="TextoNormal"/>
      </w:pPr>
    </w:p>
    <w:p w:rsidR="00D06117" w:rsidRDefault="00D06117" w:rsidP="00D06117">
      <w:pPr>
        <w:pStyle w:val="TextoNormal"/>
      </w:pPr>
      <w:r>
        <w:t>Y respecto a la providencia de 29 de noviembre de 2010, por la que se inadmite el incidente de nulidad, también debe descartarse la alegada lesión del derecho a la tutela judicial efectiva porque, si bien es cierto que la razón primera en que se fundamenta dicha inadmisión, esto es, que la nulidad debe hacerse valer a través de los recursos ordinarios que procedan, entra en franca contradicción con la previsión contenida en el art. 241.1 LOPJ, no cabe olvidar que no fue esta la única razón de la inadmisión, pues la mencionada providencia llega a pronunciarse, aunque sea sucintamente, sobre la cuestión de fondo, añadiendo, como motivo de inadmisión, que las alegaciones planteadas en el incidente fueron ya respondidas en el Auto de 20 de octubre de 2010, lo que constituye una reiteración de los criterios de fondo utilizados en su momento para rechazar la oposición formulada por la entidad bancaria, de forma que no cabe imputar a dicha providencia una lesión autónoma del derecho a la tutela judicial efectiva.</w:t>
      </w:r>
    </w:p>
    <w:p w:rsidR="00D06117" w:rsidRDefault="00D06117" w:rsidP="00D06117">
      <w:pPr>
        <w:pStyle w:val="TextoNormal"/>
      </w:pPr>
    </w:p>
    <w:p w:rsidR="00D06117" w:rsidRDefault="00D06117" w:rsidP="00D06117">
      <w:pPr>
        <w:pStyle w:val="TextoNormal"/>
      </w:pPr>
      <w:r>
        <w:t xml:space="preserve">Por último, rechaza el Fiscal que se haya producido la vulneración del derecho a la tutela judicial efectiva (art. 24.1 CE) que denuncia la entidad bancaria demandante de amparo por incongruencia extra petitum, porque la demandante de amparo no alega ni justifica que la pretendida incongruencia que denuncia le haya ocasionado indefensión (SSTC 182/2000, </w:t>
      </w:r>
      <w:r>
        <w:lastRenderedPageBreak/>
        <w:t>FJ 3; 194/2005, FJ 2; 42/2006, FJ 4), y, en cualquier caso, porque no se constata la existencia de una modificación sustancial del objeto del proceso como consecuencia de una divergencia relevante entre lo solicitado por la asociación ADICAE y lo acordado en la parte dispositiva del Auto de 20 de octubre de 2010, por lo que no existe incongruencia alguna, habiéndose limitado el Auto de 20 de octubre de 2010 a añadir, a modo de aclaración de lo acordado con anterioridad, que la información solicitada se refería no sólo al “contrato cuota segura” o al “contrato marco de operaciones financieras”, sino a cualquier otro producto negociado al amparo del art. 19 de la Ley 36/2003, precepto que, además, fue introducido en el debate procesal por la propia entidad bancaria en su escrito de oposición a las diligencias preliminares, como norma bajo cuyo amparo legal se comercializaron los contratos de “cuota segura”.</w:t>
      </w:r>
    </w:p>
    <w:p w:rsidR="00D06117" w:rsidRDefault="00D06117" w:rsidP="00D06117">
      <w:pPr>
        <w:pStyle w:val="TextoNormal"/>
      </w:pPr>
    </w:p>
    <w:p w:rsidR="00D06117" w:rsidRDefault="00D06117" w:rsidP="00D06117">
      <w:pPr>
        <w:pStyle w:val="TextoNormal"/>
      </w:pPr>
      <w:r>
        <w:t>Por todo ello el Fiscal concluye interesando que se dicte Sentencia por la que se deniegue el amparo.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3 de mayo de 2012, se acordó señalar para deliberación y votación de la presente Sentencia el día 7 del mismo mes y año, lo que hace innecesario resolver sobre el mantenimiento o alzamiento de la suspensión acordada.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entidad demandante de amparo imputa al Auto de 20 de octubre de 2010 (y a la providencia de 29 de noviembre de 2010, que rechaza el incidente de nulidad promovido contra el mismo porque no reparó la lesión denunciada), la vulneración de su derecho fundamental a la tutela judicial efectiva (art. 24.1 CE), porque considera que la medida acordada en dicho Auto se fundamenta en una interpretación irrazonable de los requisitos legales aplicables, al desconocer las exigencias constitucionales de motivación reforzada cuando están en juego derechos fundamentales sustantivos, en este caso los derechos a la intimidad y a la protección de datos personales (art. 18.1 y 4 CE) de los clientes de la entidad demandante de amparo, que ésta custodia en el marco de la relación contractual bancaria.</w:t>
      </w:r>
    </w:p>
    <w:p w:rsidR="00D06117" w:rsidRDefault="00D06117" w:rsidP="00D06117">
      <w:pPr>
        <w:pStyle w:val="TextoNormal"/>
      </w:pPr>
    </w:p>
    <w:p w:rsidR="00D06117" w:rsidRDefault="00D06117" w:rsidP="00D06117">
      <w:pPr>
        <w:pStyle w:val="TextoNormal"/>
      </w:pPr>
      <w:r>
        <w:t>Conforme ha quedado expuesto en el relato de antecedentes, en el Auto impugnado se acuerda, en virtud del art. 256.1.6 de Ley de enjuiciamiento civil (LEC), requerir a la entidad BBVA la entrega al Juzgado de los listados diferenciados por productos financieros, en fichero electrónico “excel” o compatible, que contengan los datos personales (nombre y apellidos, DNI, dirección postal actualizada, y núms. de teléfono, fax y correo electrónico, si estuvieren disponibles), de los clientes personas físicas que, en toda España y desde el año 2007 a octubre de 2010, hubieran contratado con dicha entidad bancaria productos financieros con la denominación comercial de “contrato cuota segura” y “contrato marco para la cobertura de operaciones financieras” o similares, o cualquier otro tipo de productos de permuta financiera de tipos de interés, cualquiera que sea su denominación comercial, que tengan por objeto cubrir el riesgo de subidas de interés asociado a un préstamo o crédito con o sin garantía hipotecaria, concertado a interés variable, mediante la contratación de un derivado financiero. Todo ello, con la finalidad de ponerlos a disposición de la asociación ADICAE, a los efectos de interponer futuras acciones en defensa de los intereses colectivos de consumidores y usuarios, con fundamento en la existencia de presuntas cláusulas abusivas en los contratos de suscripción de tales productos financieros.</w:t>
      </w:r>
    </w:p>
    <w:p w:rsidR="00D06117" w:rsidRDefault="00D06117" w:rsidP="00D06117">
      <w:pPr>
        <w:pStyle w:val="TextoNormal"/>
      </w:pPr>
    </w:p>
    <w:p w:rsidR="00D06117" w:rsidRDefault="00D06117" w:rsidP="00D06117">
      <w:pPr>
        <w:pStyle w:val="TextoNormal"/>
      </w:pPr>
      <w:r>
        <w:t>Asimismo, se aduce por la recurrente en amparo que el Auto impugnado vulnera su derecho a la tutela judicial efectiva (art. 24.1 CE) por incurrir en incongruencia extra petitum, al extender, según la entidad demandante, el requerimiento de entrega de datos a otros productos financieros no contemplados en la solicitud de diligencias preliminares de ADICAE.</w:t>
      </w:r>
    </w:p>
    <w:p w:rsidR="00D06117" w:rsidRDefault="00D06117" w:rsidP="00D06117">
      <w:pPr>
        <w:pStyle w:val="TextoNormal"/>
      </w:pPr>
    </w:p>
    <w:p w:rsidR="00D06117" w:rsidRDefault="00D06117" w:rsidP="00D06117">
      <w:pPr>
        <w:pStyle w:val="TextoNormal"/>
      </w:pPr>
      <w:r>
        <w:t>Tanto la representación procesal de la asociación ADICAE, como el Ministerio Fiscal, interesan la denegación del amparo solicitado, en los términos que han quedado relatados en los antecedentes de la presente Sentencia. Así, la asociación ADICAE y el Ministerio Fiscal coinciden en alegar la falta de legitimación activa de la entidad demandante de amparo, en cuanto acude a este proceso constitucional como defensora de derechos fundamentales de terceros, sus clientes; además, el Ministerio Fiscal considera incumplido el requisito del art. 44.1 c) de la Ley Orgánica del Tribunal Constitucional (LOTC), por invocación tardía en la vía judicial de los derechos fundamentales que se alegan como vulnerados en la demanda de amparo; y la asociación ADICAE aduce a su vez la carencia de especial trascendencia constitucional del presente recurso de amparo [art. 50.1 b) LOTC]. En consecuencia, interesan que se inadmita o, subsidiariamente, que se desestime el recurso de amparo.</w:t>
      </w:r>
    </w:p>
    <w:p w:rsidR="00D06117" w:rsidRDefault="00D06117" w:rsidP="00D06117">
      <w:pPr>
        <w:pStyle w:val="TextoNormal"/>
      </w:pPr>
    </w:p>
    <w:p w:rsidR="00D06117" w:rsidRDefault="00D06117" w:rsidP="00D06117">
      <w:pPr>
        <w:pStyle w:val="TextoNormal"/>
      </w:pPr>
      <w:r w:rsidRPr="00D06117">
        <w:rPr>
          <w:rStyle w:val="NumeroAFNegritaCaracter"/>
        </w:rPr>
        <w:t>2</w:t>
      </w:r>
      <w:r>
        <w:t>. A tenor de lo expuesto, debemos pronunciarnos con carácter previo sobre los óbices de admisibilidad aducidos por la asociación ADICAE y el Ministerio Fiscal antes de entrar a analizar, en su caso, las quejas planteadas en la demanda de amparo por la entidad BBVA.</w:t>
      </w:r>
    </w:p>
    <w:p w:rsidR="00D06117" w:rsidRDefault="00D06117" w:rsidP="00D06117">
      <w:pPr>
        <w:pStyle w:val="TextoNormal"/>
      </w:pPr>
    </w:p>
    <w:p w:rsidR="00D06117" w:rsidRDefault="00D06117" w:rsidP="00D06117">
      <w:pPr>
        <w:pStyle w:val="TextoNormal"/>
      </w:pPr>
      <w:r>
        <w:t>Comenzando por el óbice de falta de legitimación activa de la entidad demandante de amparo, en cuya apreciación coinciden la asociación ADICAE y el Ministerio Fiscal, resulta obligado recordar que los criterios que sirven para determinar si el demandante de amparo ostenta o no legitimación para acudir ante este Tribunal se encuentran en los arts. 162.1 b) CE y 46.1 b) LOTC. Así como el segundo reconoce legitimación para interponer recurso de amparo contra resoluciones de los órganos judiciales a quienes hayan sido parte en el proceso judicial correspondiente, el primero reconoce legitimación para recurrir en amparo a toda persona natural o jurídica que invoque un interés legítimo; razón por la que este Tribunal ha realizado una interpretación integradora de ambos preceptos, en el sentido de entender que la fórmula del art. 46.1 b) LOTC complementa a la del art. 162.1 b) CE, sin que se deba considerar limitativa o restrictiva de ella (por todas, SSTC 106/1984, de 16 de noviembre, FJ 1; 237/1997, de 19 de diciembre, FJ 2; y 158/2002, de 16 de septiembre, FJ 2).</w:t>
      </w:r>
    </w:p>
    <w:p w:rsidR="00D06117" w:rsidRDefault="00D06117" w:rsidP="00D06117">
      <w:pPr>
        <w:pStyle w:val="TextoNormal"/>
      </w:pPr>
    </w:p>
    <w:p w:rsidR="00D06117" w:rsidRDefault="00D06117" w:rsidP="00D06117">
      <w:pPr>
        <w:pStyle w:val="TextoNormal"/>
      </w:pPr>
      <w:r>
        <w:t xml:space="preserve">De este modo hemos precisado que la circunstancia de haber sido parte en el proceso judicial previo no es suficiente para ostentar legitimación activa en el recurso de amparo, sino que se exige, además, ostentar un interés legítimo (y que, a la inversa, es posible ostentar legitimación para recurrir en amparo aun cuando no se haya sido parte en la vía judicial previa); asimismo, hemos efectuado una interpretación muy amplia y flexible de la noción de interés legítimo a efectos de reconocer legitimación para recurrir en amparo, entendiendo que tal interés concurre en todo aquel cuyo círculo jurídico pueda resultar afectado por la violación de un derecho fundamental, aunque dicha vulneración no se haya producido directamente en su contra, y sin que ello signifique, obviamente, que en el recurso de amparo exista la acción pública (SSTC 60/1982, de 11 de octubre, FJ 2; 62/1983, de 11 de julio, FJ </w:t>
      </w:r>
      <w:r>
        <w:lastRenderedPageBreak/>
        <w:t>2; 25/1989, de 3 de febrero, FJ 1; 43/1990, de 15 de marzo, FJ 3; 221/2002, de 25 de noviembre, FJ 2; 176/2005, de 4 de julio, FJ 2; 52/2007, de 12 de marzo, FJ 3; y 208/2009, de 26 de noviembre, FJ 2, entre otras).</w:t>
      </w:r>
    </w:p>
    <w:p w:rsidR="00D06117" w:rsidRDefault="00D06117" w:rsidP="00D06117">
      <w:pPr>
        <w:pStyle w:val="TextoNormal"/>
      </w:pPr>
    </w:p>
    <w:p w:rsidR="00D06117" w:rsidRDefault="00D06117" w:rsidP="00D06117">
      <w:pPr>
        <w:pStyle w:val="TextoNormal"/>
      </w:pPr>
      <w:r>
        <w:t>No existiendo duda alguna sobre la condición de parte en el proceso judicial previo de la entidad demandante de amparo, la cuestión se ciñe a determinar si, además, ostenta un interés legítimo para recurrir en amparo. Como se ha expuesto, la demandante invoca la lesión de su derecho a la tutela judicial efectiva (art. 24.1 CE) en relación con los derechos a la intimidad y a la protección de datos personales (art. 18.1 y 4 CE), así como la vulneración de su derecho a la tutela judicial efectiva por la incongruencia extra petitum, que imputa al Auto recurrido en amparo. Respecto a esta segunda queja es innegable que la entidad demandante actúa en el presente recurso de amparo en defensa de un derecho propio, por cuanto no cabe duda de que el derecho de las partes en un proceso a que el órgano judicial resuelva las pretensiones oportunamente deducidas integra el contenido del derecho a la tutela judicial efectiva sin indefensión (por todas, SSTC 14/1984, de 3 de febrero, FJ 2; 90/1988, de 13 de mayo, FJ 2; y 8/2004, de 9 de febrero, FJ 4), por lo que su legitimación en amparo resulta en este punto incuestionable.</w:t>
      </w:r>
    </w:p>
    <w:p w:rsidR="00D06117" w:rsidRDefault="00D06117" w:rsidP="00D06117">
      <w:pPr>
        <w:pStyle w:val="TextoNormal"/>
      </w:pPr>
    </w:p>
    <w:p w:rsidR="00D06117" w:rsidRDefault="00D06117" w:rsidP="00D06117">
      <w:pPr>
        <w:pStyle w:val="TextoNormal"/>
      </w:pPr>
      <w:r>
        <w:t>Mayores dificultades suscita la queja principal de la entidad demandante, referida a la vulneración de su derecho a la tutela judicial efectiva en conexión con los derechos a la intimidad y a la protección de datos personales de sus clientes. Ciertamente, si se entendiera que a través de esta queja la demandante pretende hacer valer en el presente proceso constitucional derechos fundamentales que le son ajenos, resultaría obligado concluir que no ostenta legitimación activa para pretender el amparo en este extremo. Sin embargo, no es esto lo que acontece, pues, como se ha señalado, lo que cuestiona la demandante de amparo es la razonabilidad en términos constitucionales de la respuesta que el órgano judicial ha dado en el Auto impugnado a su oposición al requerimiento de entrega de listados en fichero informático de datos personales de aquellos de sus clientes que hubieran suscrito determinados productos financieros, por entender la demandante que la decisión judicial no ha ponderado debidamente la afectación que esa cesión de datos a un tercero, la asociación ADICAE, supone para los derechos fundamentales a la intimidad (art. 18.1 CE) y a la protección de datos personales (art. 18.4 CE), siendo así que la entidad bancaria demandante es responsable frente a sus clientes de la custodia y conservación de esos datos personales (que sus clientes le facilitan a los solos efectos de la relación contractual bancaria), organizados en ficheros cuya titularidad corresponde a la demandante. En definitiva, la demandante es titular del derecho a la tutela judicial efectiva e invoca un interés legítimo también en relación con esta queja, interés que efectivamente concurre, pues, sin perjuicio de que los datos personales objeto de cesión sean de la titularidad de las personas físicas a que se refieren, la entidad bancaria demandante de amparo es la titular de los ficheros en que se contienen esos datos y por ello la responsable de su adecuado tratamiento, uso y custodia, conforme a lo establecido en la Ley Orgánica de protección de datos de carácter personal (LOPD), lo que conduce a rechazar la pretendida falta de legitimación de la demandante para recurrir en amparo, alegada tanto por la asociación ADICAE como por el Ministerio Fiscal.</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El Ministerio Fiscal considera también, como antes quedó señalado, que en este caso se ha producido una invocación tardía en el proceso a quo de los derechos fundamentales que sustentan la pretensión de amparo, lo que determina el incumplimiento del requisito previsto en el art. 44.1 c) LOTC, en cuanto exige que la denuncia de vulneración de los </w:t>
      </w:r>
      <w:r>
        <w:lastRenderedPageBreak/>
        <w:t>derechos fundamentales que luego sirven de fundamento al recurso de amparo haya tenido lugar “tan pronto como, una vez conocida (la violación), hubiera lugar para ello”. Sostiene el Fiscal que tal invocación debió hacerse ya en el trámite de oposición al Auto de 1 de septiembre de 2010 por el que el Juzgado, accediendo a lo interesado por ADICAE, requirió a la entidad BBVA para que facilitase los listados de los datos personales de sus clientes que hubieran suscrito determinados productos financieros, pero que sólo se efectuó con posterioridad, en el incidente de nulidad de actuaciones promovido por la entidad BBVA contra el Auto de 20 de octubre de 2010 que desestimó su oposición, y contra el que ahora se dirige la demanda de amparo (junto a la providencia de 29 de noviembre de 2010 que declara no haber lugar al incidente de nulidad).</w:t>
      </w:r>
    </w:p>
    <w:p w:rsidR="00D06117" w:rsidRDefault="00D06117" w:rsidP="00D06117">
      <w:pPr>
        <w:pStyle w:val="TextoNormal"/>
      </w:pPr>
    </w:p>
    <w:p w:rsidR="00D06117" w:rsidRDefault="00D06117" w:rsidP="00D06117">
      <w:pPr>
        <w:pStyle w:val="TextoNormal"/>
      </w:pPr>
      <w:r>
        <w:t>Para dar respuesta a este óbice de admisibilidad conviene recordar que, conforme a la doctrina reiterada de este Tribunal, el requisito exigido por el art. 44.1 c) LOTC ha de ser interpretado de manera flexible y con criterio finalista, atendiendo, más que al puro formalismo de la invocación tempestiva del derecho constitucional que se estime infringido, a la exposición de un marco de alegaciones que permita al Juez o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En resumidas cuentas, no se requiere una especie de editio actionis, bastando para considerar cumplido el requisito con que de las alegaciones del recurrente pueda inferirse la lesión del derecho fundamental que luego se intente invocar en el recurso de amparo, siempre que la queja haya quedado acotada en términos que permitan a los órganos judiciales pronunciarse sobre la misma (SSTC 75/1988, de 25 de abril, FJ 5; 29/1996, de 26 de febrero, FJ 2; 69/1997, de 8 de abril, FJ 3; 146/1998, de 30 de junio, FJ 4; 142/2000, de 29 de mayo, FJ 2; 14/2001, de 29 de enero, FJ 11; y 88/2005, de 18 de abril, FJ 3, entre otras muchas).</w:t>
      </w:r>
    </w:p>
    <w:p w:rsidR="00D06117" w:rsidRDefault="00D06117" w:rsidP="00D06117">
      <w:pPr>
        <w:pStyle w:val="TextoNormal"/>
      </w:pPr>
    </w:p>
    <w:p w:rsidR="00D06117" w:rsidRDefault="00D06117" w:rsidP="00D06117">
      <w:pPr>
        <w:pStyle w:val="TextoNormal"/>
      </w:pPr>
      <w:r>
        <w:t>La aplicación de la referida doctrina conduce al rechazo de la objeción de admisibilidad que formula el Ministerio Fiscal. En efecto, examinado el escrito de oposición de la recurrente en amparo al Auto de 1 de septiembre de 2010, por el que el Juzgado de Primera Instancia núm. 87 de Madrid acordó la práctica de la diligencia preliminar solicitada por la asociación ADICAE, consistente en la entrega de los listados de datos personales en soporte informático de los clientes de aquella entidad que hubieran contratado con la misma determinados productos financieros, se observa que, entre otras alegaciones de estricta legalidad ordinaria que no vienen al caso, la recurrente plantea en su escrito la misma queja que formula en la demanda de amparo, con mención de lo dispuesto en la LOPD, aunque no se cite expresamente el derecho a la protección de datos de carácter personal (art. 18.4 CE).</w:t>
      </w:r>
    </w:p>
    <w:p w:rsidR="00D06117" w:rsidRDefault="00D06117" w:rsidP="00D06117">
      <w:pPr>
        <w:pStyle w:val="TextoNormal"/>
      </w:pPr>
    </w:p>
    <w:p w:rsidR="00D06117" w:rsidRDefault="00D06117" w:rsidP="00D06117">
      <w:pPr>
        <w:pStyle w:val="TextoNormal"/>
      </w:pPr>
      <w:r>
        <w:t xml:space="preserve">En efecto, en su escrito de oposición la recurrente sostiene que el requerimiento de entrega de esos datos personales constituye una medida injustificada y desproporcionada, que no responde a la defensa de los intereses de los consumidores y usuarios, sino a una estrategia espuria de la asociación ADICAE; que los datos personales de los clientes de BBVA cuya aportación se requiere están protegidos por la Ley Orgánica de protección de datos, siendo la entidad bancaria responsable frente a sus clientes de la custodia, tratamiento y conservación de los mismos, sin que ADICAE acredite que haya adoptado las medidas necesarias de índole técnica y organizativas para garantizar la seguridad de los datos de carácter personal y evitar su alteración, pérdida, tratamiento o acceso no autorizado (art. 9 </w:t>
      </w:r>
      <w:r>
        <w:lastRenderedPageBreak/>
        <w:t>LOPD), ni tampoco que dicha asociación esté en condiciones de garantizar el deber de secreto y custodia respecto de los datos requeridos (art. 9 LOPD); en fin, que resulta innecesario que la entidad BBVA tenga que entregar la base de datos personales de sus clientes a ADICAE, ya que para cumplir con la finalidad que se persigue con lo dispuesto en el art. 256.1.6 LEC sería suficiente con que los clientes supuestamente afectados recibieran una comunicación a través de la propia entidad bancaria, anunciándoles el propósito de ADICAE de interponer demanda de acción colectivo y sus derechos procesales, verificándose posteriormente la certeza y corrección del envío de esa información por la entidad bancaria a sus clientes mediante una auditoría realizada por tercero ajeno a las partes. Es evidente, pues, que pese a no citarse bajo el concreto, o literal nomen iuris, en el escrito de oposición se alega la lesión del derecho fundamental a la protección de datos de carácter personal de los clientes de la entidad bancaria, teniendo ésta el deber de custodia, tratamiento y conservación de los mismos.</w:t>
      </w:r>
    </w:p>
    <w:p w:rsidR="00D06117" w:rsidRDefault="00D06117" w:rsidP="00D06117">
      <w:pPr>
        <w:pStyle w:val="TextoNormal"/>
      </w:pPr>
    </w:p>
    <w:p w:rsidR="00D06117" w:rsidRDefault="00D06117" w:rsidP="00D06117">
      <w:pPr>
        <w:pStyle w:val="TextoNormal"/>
      </w:pPr>
      <w:r>
        <w:t>Y por lo que se refiere a la vulneración del derecho a la tutela judicial efectiva (art. 24.1 CE) que se imputa al Auto de 20 de octubre de 2010 por incurrir en incongruencia extra petita, es notorio que esta queja fue planteada en los mismos términos en el incidente de nulidad promovido por la recurrente en amparo contra dicho Auto, por lo que tampoco en este punto cabe duda alguna en cuanto al cumplimiento de la invocación tempestiva del derecho fundamental que se estima vulnerado, exigido por el art. 44.1 c) LOTC.</w:t>
      </w:r>
    </w:p>
    <w:p w:rsidR="00D06117" w:rsidRDefault="00D06117" w:rsidP="00D06117">
      <w:pPr>
        <w:pStyle w:val="TextoNormal"/>
      </w:pPr>
    </w:p>
    <w:p w:rsidR="00D06117" w:rsidRDefault="00D06117" w:rsidP="00D06117">
      <w:pPr>
        <w:pStyle w:val="TextoNormal"/>
      </w:pPr>
      <w:r w:rsidRPr="00D06117">
        <w:rPr>
          <w:rStyle w:val="NumeroAFNegritaCaracter"/>
        </w:rPr>
        <w:t>4</w:t>
      </w:r>
      <w:r>
        <w:t>. Por lo que se refiere a la pretendida falta de especial trascendencia constitucional del recurso, que alega la representación procesal de la asociación ADICAE, también esta objeción debe ser descartada.</w:t>
      </w:r>
    </w:p>
    <w:p w:rsidR="00D06117" w:rsidRDefault="00D06117" w:rsidP="00D06117">
      <w:pPr>
        <w:pStyle w:val="TextoNormal"/>
      </w:pPr>
    </w:p>
    <w:p w:rsidR="00D06117" w:rsidRDefault="00D06117" w:rsidP="00D06117">
      <w:pPr>
        <w:pStyle w:val="TextoNormal"/>
      </w:pPr>
      <w:r>
        <w:t>En la fase de admisión del presente recurso de amparo este Tribunal constató, de acuerdo con lo exigido por el art. 50.1 b) LOTC, al tratarse de una demanda de amparo interpuesta tras la entrada en vigor de la Ley Orgánica 6/2007, de 24 de mayo, que concurría la especial trascendencia constitucional exigida para la admisión a trámite del presente recurso, sin que encontremos razones para modificar esa inicial apreciación en el momento procesal en que ahora nos hallamos.</w:t>
      </w:r>
    </w:p>
    <w:p w:rsidR="00D06117" w:rsidRDefault="00D06117" w:rsidP="00D06117">
      <w:pPr>
        <w:pStyle w:val="TextoNormal"/>
      </w:pPr>
    </w:p>
    <w:p w:rsidR="00D06117" w:rsidRDefault="00D06117" w:rsidP="00D06117">
      <w:pPr>
        <w:pStyle w:val="TextoNormal"/>
      </w:pPr>
      <w:r>
        <w:t xml:space="preserve">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y entre los que se encuentra el supuesto reseñado en la letra a), esto es cuando se trata de un “recurso que plantee un problema o una faceta de un derecho fundamental susceptible de amparo sobre el que no haya doctrina del Tribunal Constitucional”, supuesto que concurre en el presente caso, al impugnarse una resolución judicial por la que, con fundamento en lo previsto en el art. 256.1.6 LEC, se requiere a la entidad bancaria demandante de amparo para que ponga a disposición de la asociación de consumidores solicitante en el proceso de diligencias preliminares, los datos personales en fichero electrónico de los clientes personas físicas de dicha entidad bancaria que hubieran contratado con ésta determinados productos financieros, y alegarse por la demandante de amparo la vulneración del derecho a la tutela judicial efectiva sin indefensión (art. 24.1 CE), en relación con los derechos a la intimidad (art. 18.1 CE) y a la protección de datos personales (art. 18.4 </w:t>
      </w:r>
      <w:r>
        <w:lastRenderedPageBreak/>
        <w:t>CE), tratándose de determinar si la previsión contenida en el art. 256.1.6 LEC puede justificar y con qué límites una medida consistente en ordenar a las entidades bancarias la entrega de datos personales de sus clientes (sin el consentimiento de éstos), a las asociaciones de consumidores para el ejercicio de futuras acciones colectivas.</w:t>
      </w:r>
    </w:p>
    <w:p w:rsidR="00D06117" w:rsidRDefault="00D06117" w:rsidP="00D06117">
      <w:pPr>
        <w:pStyle w:val="TextoNormal"/>
      </w:pPr>
    </w:p>
    <w:p w:rsidR="00D06117" w:rsidRDefault="00D06117" w:rsidP="00D06117">
      <w:pPr>
        <w:pStyle w:val="TextoNormal"/>
      </w:pPr>
      <w:r w:rsidRPr="00D06117">
        <w:rPr>
          <w:rStyle w:val="NumeroAFNegritaCaracter"/>
        </w:rPr>
        <w:t>5</w:t>
      </w:r>
      <w:r>
        <w:t>. Rechazadas las objeciones planteadas por la representación procesal de ADICAE y el Ministerio Fiscal, procede que examinemos las quejas formuladas en la demanda de amparo por la entidad BBVA, debiendo descartarse, para empezar, la pretendida lesión del derecho a la tutela judicial efectiva (art. 24.1 CE), por incongruencia, que se imputa al Auto impugnado.</w:t>
      </w:r>
    </w:p>
    <w:p w:rsidR="00D06117" w:rsidRDefault="00D06117" w:rsidP="00D06117">
      <w:pPr>
        <w:pStyle w:val="TextoNormal"/>
      </w:pPr>
    </w:p>
    <w:p w:rsidR="00D06117" w:rsidRDefault="00D06117" w:rsidP="00D06117">
      <w:pPr>
        <w:pStyle w:val="TextoNormal"/>
      </w:pPr>
      <w:r>
        <w:t>Para el adecuado examen de la lesión constitucional que se denuncia, conviene recordar que en materia de incongruencia existe ya una consolidada jurisprudencia constitucional, conforme a la cual el vicio de incongruencia de las resoluciones judiciales se mide por el ajuste o adecuación entre lo resuelto y los términos en que las partes han formulado sus pretensiones, concediendo más o menos o cosa distinta de lo pedido, lo que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(STC 91/2010, de 15 de noviembre, FJ 5; doctrina que también se encuentra, entre otras muchas, en las SSTC 264/2005, de 24 de octubre, FJ 2; 40/2006, de 13 de febrero, FJ 2, y 44/2008, de 10 de marzo, FJ 2). Así, y en lo que aquí importa, hemos declarado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formulada, estuviera implícita o fuera consecuencia inescindible o necesaria de los pedimentos articulados o de la cuestión principal debatida en el proceso (STC 91/2010, FJ 5).</w:t>
      </w:r>
    </w:p>
    <w:p w:rsidR="00D06117" w:rsidRDefault="00D06117" w:rsidP="00D06117">
      <w:pPr>
        <w:pStyle w:val="TextoNormal"/>
      </w:pPr>
    </w:p>
    <w:p w:rsidR="00D06117" w:rsidRDefault="00D06117" w:rsidP="00D06117">
      <w:pPr>
        <w:pStyle w:val="TextoNormal"/>
      </w:pPr>
      <w:r>
        <w:t xml:space="preserve">De acuerdo con esta jurisprudencia, y atendiendo a los hechos en que se fundamenta la demanda, la queja de vulneración del derecho a la tutela judicial efectiva (art. 24.1 CE) fundada en la supuesta incongruencia extra petitum del Auto recurrido debe ser rechazada, como mantiene el Ministerio Fiscal. Y ello, porque el Juzgado de Primera Instancia núm. 87 de Madrid, estimó la solicitud de diligencias preliminares reproduciendo literalmente la solicitud de listados diferenciados por productos financieros promovida por ADICAE añadiendo exclusivamente, y a modo de aclaración, que “la información se refiere no sólo al contrato cuota segura o al contrato marco de protección de operaciones financieras, sino a aquellos productos que estén o no vinculados, o concertados para la cobertura frente a oscilaciones de tipo de interés, tanto sean swaps, como clips, caps o cualesquiera otros negociados al amparo del art. 19 de la Ley 36/2003, de 11 de noviembre, y deberá extenderse desde el año 2007 a la fecha actual de 2010”; aclaración que no se puede entender como una modificación sustancial del objeto procesal, con la consiguiente indefensión y sustracción a las partes del verdadero debate contradictorio, puesto que el escrito de petición de ADICAE se refiere no sólo a los listados de clientes que hubieran contratado con dicha entidad bancaria productos financieros con la denominación comercial de “contrato cuota segura” y “contrato marco para la cobertura de operaciones financieras” o similares, sino también “a cualquier otro tipo de productos de permuta financiera de tipos de interés, cualquiera que </w:t>
      </w:r>
      <w:r>
        <w:lastRenderedPageBreak/>
        <w:t>sea su denominación comercial, que tenga por objeto cubrir el riesgo de subidas de interés asociado a un préstamo o crédito con o sin garantía hipotecaria, concertado a interés variable, mediante la contratación de un derivado financiero”.</w:t>
      </w:r>
    </w:p>
    <w:p w:rsidR="00D06117" w:rsidRDefault="00D06117" w:rsidP="00D06117">
      <w:pPr>
        <w:pStyle w:val="TextoNormal"/>
      </w:pPr>
    </w:p>
    <w:p w:rsidR="00D06117" w:rsidRDefault="00D06117" w:rsidP="00D06117">
      <w:pPr>
        <w:pStyle w:val="TextoNormal"/>
      </w:pPr>
      <w:r>
        <w:t>En consecuencia, la referencia a productos que estén o no vinculados o concertados para la cobertura frente a oscilaciones de tipo de interés, así como la remisión al art. 19 de la Ley 36/2003, de 11 de noviembre, que regula los instrumentos de cobertura de riesgo de tipo de interés de los prestamos hipotecarios, no puede calificarse como una ampliación del objeto que excede lo pedido por el solicitante de la medida. En primer lugar, porque como se ha indicado, el juzgador no se aparta de la esencia y sustancia de lo pedido; y, en segundo término, porque no estamos ante un caso en que la decisión judicial se haya pronunciado sobre temas o materias respecto de las cuales el hoy recurrente en amparo no tuviera la oportunidad de ejercitar adecuadamente su derecho de defensa, formulando o exponiendo las alegaciones que tuvieran por conveniente en apoyo de sus respectivas posiciones procesales. Al contrario, las alegaciones de fondo del BBVA, relativas a la posible lesión del derecho a la tutela judicial efectiva, a la intimidad y a la protección de datos personales, no varían en función de la denominación comercial del producto financiero contratado por los clientes cuyos datos se solicitan y, como indica el Fiscal, el art. 19 de la Ley 36/2003 fue introducido en el debate procesal por la propia entidad bancaria en su escrito de oposición a las diligencias preliminares, como norma bajo cuyo amparo legal se comercializaron los contratos de “cuota segura”.</w:t>
      </w:r>
    </w:p>
    <w:p w:rsidR="00D06117" w:rsidRDefault="00D06117" w:rsidP="00D06117">
      <w:pPr>
        <w:pStyle w:val="TextoNormal"/>
      </w:pPr>
    </w:p>
    <w:p w:rsidR="00D06117" w:rsidRDefault="00D06117" w:rsidP="00D06117">
      <w:pPr>
        <w:pStyle w:val="TextoNormal"/>
      </w:pPr>
      <w:r>
        <w:t>Por todo ello, la queja de vulneración del derecho a la tutela judicial efectiva (art. 24.1 CE), fundada en la supuesta incongruencia extra petitum del Auto impugnado en amparo, debe ser rechazada.</w:t>
      </w:r>
    </w:p>
    <w:p w:rsidR="00D06117" w:rsidRDefault="00D06117" w:rsidP="00D06117">
      <w:pPr>
        <w:pStyle w:val="TextoNormal"/>
      </w:pPr>
    </w:p>
    <w:p w:rsidR="00D06117" w:rsidRDefault="00D06117" w:rsidP="00D06117">
      <w:pPr>
        <w:pStyle w:val="TextoNormal"/>
      </w:pPr>
      <w:r w:rsidRPr="00D06117">
        <w:rPr>
          <w:rStyle w:val="NumeroAFNegritaCaracter"/>
        </w:rPr>
        <w:t>6</w:t>
      </w:r>
      <w:r>
        <w:t>. Entrando ya en el examen de la queja principal formulada, la entidad demandante solicita que este Tribunal se pronuncie sobre la posible vulneración de su derecho fundamental a la tutela judicial efectiva (art. 24.1 CE), por entender que la medida acordada en las resoluciones impugnadas se fundamenta en una aplicación arbitraria e irrazonable del art. 256.1.6 LEC, al no tener en cuenta las limitaciones que a la hora de aplicar este precepto derivan del contenido constitucional del derecho fundamental a la intimidad y a la protección de datos personales (apartados 1 y 4 del art. 18 CE), toda vez que las resoluciones impugnadas ordenan la entrega al Juzgado de un conjunto de ficheros que contienen datos personales de cuya custodia, tratamiento y conservación es responsable la entidad recurrente, a lo que se une el hecho de que el órgano judicial pretende recabar esos datos con la finalidad de ponerlos a disposición de una asociación de consumidores y usuarios, todo ello sin contar con el previo conocimiento y consentimiento de los titulares de esos datos y sin que exista ninguna previsión explícita para garantizar que quien reciba estos datos los utilizará exclusivamente para las finalidades previstas.</w:t>
      </w:r>
    </w:p>
    <w:p w:rsidR="00D06117" w:rsidRDefault="00D06117" w:rsidP="00D06117">
      <w:pPr>
        <w:pStyle w:val="TextoNormal"/>
      </w:pPr>
    </w:p>
    <w:p w:rsidR="00D06117" w:rsidRDefault="00D06117" w:rsidP="00D06117">
      <w:pPr>
        <w:pStyle w:val="TextoNormal"/>
      </w:pPr>
      <w:r>
        <w:t xml:space="preserve">Pues bien, para resolver esta cuestión es necesario, en primer lugar, dirimir si los datos que se solicitan a la entidad bancaria están protegidos por el art. 18 CE, pues sólo en caso afirmativo será pertinente que este Tribunal se pronuncie sobre la queja principal planteada por la entidad demandante. Como se recordará, el Auto de 20 de octubre de 2010 del Juzgado de Primera Instancia núm. 87 de Madrid acordó requerir a la entidad BBVA para que procediese a entregar al Juzgado (para su puesta a disposición de ADICAE) los listados diferenciados por productos financieros, en formato electrónico tipo “excel” o compatible, </w:t>
      </w:r>
      <w:r>
        <w:lastRenderedPageBreak/>
        <w:t>conteniendo la identificación de los datos personales (nombre, apellidos, DNI, dirección postal actualizada, número de teléfono, fax y correo electrónico, si estuvieran disponibles) de todos los clientes, personas físicas, con la condición de consumidores o usuarios, que hubieran contratado los productos financieros que ya hemos descrito con detalle en el relato de antecedentes de esta Sentencia, comercializados en toda España por BBVA.</w:t>
      </w:r>
    </w:p>
    <w:p w:rsidR="00D06117" w:rsidRDefault="00D06117" w:rsidP="00D06117">
      <w:pPr>
        <w:pStyle w:val="TextoNormal"/>
      </w:pPr>
    </w:p>
    <w:p w:rsidR="00D06117" w:rsidRDefault="00D06117" w:rsidP="00D06117">
      <w:pPr>
        <w:pStyle w:val="TextoNormal"/>
      </w:pPr>
      <w:r>
        <w:t>Para el Fiscal, los datos solicitados no afectan al núcleo esencial de la privacidad de la persona y, por tanto, no pueden calificarse de datos altamente invasivos de dicha privacidad, “precisamente por carecer de un carácter íntimo”. Asimismo, entiende que alguno de ellos son de fácil conocimiento público, como la dirección postal o el número de teléfono, y considera que la simple condición de cliente del banco, como suscriptor de un producto financiero, sin mayores precisiones en cuanto a sus actividades bancarias o estado de las cuentas, no sería un dato que por sí mismo afectara al núcleo esencial de privacidad de dichas personas. En definitiva, sostiene que los datos recabados no formarían parte del ámbito propio y reservado al conocimiento de los demás, que es lo que garantiza el derecho a la intimidad personal (art. 18.1 CE), pues no harían referencia a los aspectos más básicos de la autodeterminación personal.</w:t>
      </w:r>
    </w:p>
    <w:p w:rsidR="00D06117" w:rsidRDefault="00D06117" w:rsidP="00D06117">
      <w:pPr>
        <w:pStyle w:val="TextoNormal"/>
      </w:pPr>
    </w:p>
    <w:p w:rsidR="00D06117" w:rsidRDefault="00D06117" w:rsidP="00D06117">
      <w:pPr>
        <w:pStyle w:val="TextoNormal"/>
      </w:pPr>
      <w:r>
        <w:t>Sin embargo, este Tribunal viene sosteniendo que el derecho a la protección de los datos de carácter personal deriva del art. 18.4 CE, también invocado por la entidad demandante, y consagra “en sí mismo un derecho o libertad fundamental” (SSTC 254/1993, de 20 de julio, FJ 6; y 254/2000, de 30 de noviembre, FJ 5, entre otras), que “excede el ámbito propio del derecho fundamental a la intimidad (art. 18.1 CE), y que se traduce en un derecho de control sobre los datos relativos a la propia persona. La llamada libertad informática es así el derecho a controlar el uso de los mismos datos insertos en un programa informático (habeas data) y comprende, entre otros aspectos, la oposición del ciudadano a que determinados datos personales sean utilizados para fines distintos de aquel legítimo que justificó su obtención” (STC 292/2000, de 30 de noviembre, FJ 5).</w:t>
      </w:r>
    </w:p>
    <w:p w:rsidR="00D06117" w:rsidRDefault="00D06117" w:rsidP="00D06117">
      <w:pPr>
        <w:pStyle w:val="TextoNormal"/>
      </w:pPr>
    </w:p>
    <w:p w:rsidR="00D06117" w:rsidRDefault="00D06117" w:rsidP="00D06117">
      <w:pPr>
        <w:pStyle w:val="TextoNormal"/>
      </w:pPr>
      <w:r>
        <w:t>Así, el Tribunal Constitucional ha perfilado las singularidades del derecho a la protección de datos, indicando expresamente que “su objeto es más amplio que el del derecho a la intimidad” (STC 292/2000, FJ 6), puesto que “el derecho fundamental a la protección de datos amplía la garantía constitucional a aquellos de esos datos que sean relevantes para o tengan incidencia en el ejercicio de cualesquiera derechos de la persona, sean o no derechos constitucionales y sean o no relativos al honor, la ideología, la intimidad personal y familiar a cualquier otro bien constitucionalmente amparado” (STC 292/2000, FJ 6). En consecuencia, el objeto de protección del derecho fundamental a la protección de datos que se deriva del art. 18.4 CE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(STC 292/2000, FJ 6).</w:t>
      </w:r>
    </w:p>
    <w:p w:rsidR="00D06117" w:rsidRDefault="00D06117" w:rsidP="00D06117">
      <w:pPr>
        <w:pStyle w:val="TextoNormal"/>
      </w:pPr>
    </w:p>
    <w:p w:rsidR="00D06117" w:rsidRDefault="00D06117" w:rsidP="00D06117">
      <w:pPr>
        <w:pStyle w:val="TextoNormal"/>
      </w:pPr>
      <w:r>
        <w:t xml:space="preserve">De lo expuesto se desprende que los datos solicitados a la entidad demandante están protegidos por el art. 18.4 CE, que “consagra un derecho fundamental autónomo a controlar </w:t>
      </w:r>
      <w:r>
        <w:lastRenderedPageBreak/>
        <w:t>el flujo de informaciones que conciernen a cada persona” (STC 11/1998, de 13 de enero, FJ 5) y, en consecuencia, lo que nos corresponde analizar, en segundo término, es si la medida acordada por el juez limita el derecho fundamental a la protección de datos de carácter personal y, en caso afirmativo, si dicha injerencia es constitucionalmente legítima.</w:t>
      </w:r>
    </w:p>
    <w:p w:rsidR="00D06117" w:rsidRDefault="00D06117" w:rsidP="00D06117">
      <w:pPr>
        <w:pStyle w:val="TextoNormal"/>
      </w:pPr>
    </w:p>
    <w:p w:rsidR="00D06117" w:rsidRDefault="00D06117" w:rsidP="00D06117">
      <w:pPr>
        <w:pStyle w:val="TextoNormal"/>
      </w:pPr>
      <w:r w:rsidRPr="00D06117">
        <w:rPr>
          <w:rStyle w:val="NumeroAFNegritaCaracter"/>
        </w:rPr>
        <w:t>7</w:t>
      </w:r>
      <w:r>
        <w:t>. El derecho fundamental a la protección de datos posee una peculiaridad que lo distingue de otros, como el derecho a la intimidad personal y familiar del art. 18.1 CE, y que radica en su contenido, ya que a diferencia de este último, que confiere a la persona el poder jurídico de imponer a terceros el deber de abstenerse de toda intromisión en la esfera íntima de la persona y la prohibición de hacer uso de lo así conocido (SSTC 73/1982, de 2 de diciembre, FJ 5; 110/1984, de 26 de noviembre, FJ 3; 89/1987, de 3 de junio, FJ 3; 231/1988, de 2 de diciembre, FJ 3; 197/1991, de 17 de octubre, FJ 3; 196/2004, de 15 de noviembre, FJ 2; 206/2007, de 24 de septiembre, FJ 5; 70/2009, de 23 de marzo, FJ 2, y 12/2012, de 30 de enero, FJ 5, entre otras), el derecho a la protección de datos atribuye a su titular, tal y como ha reiterado este Tribunal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sólo es posible y efectivo imponiendo a terceros los mencionados deberes de hacer.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FJ 7)” (STC 292/2000, FJ 6).</w:t>
      </w:r>
    </w:p>
    <w:p w:rsidR="00D06117" w:rsidRDefault="00D06117" w:rsidP="00D06117">
      <w:pPr>
        <w:pStyle w:val="TextoNormal"/>
      </w:pPr>
    </w:p>
    <w:p w:rsidR="00D06117" w:rsidRDefault="00D06117" w:rsidP="00D06117">
      <w:pPr>
        <w:pStyle w:val="TextoNormal"/>
      </w:pPr>
      <w:r>
        <w:t>Por tanto, el contenido del derecho fundamental a la protección de datos otorga a su titular un poder de disposición y de control sobre los datos personales que se concreta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(STC 292/2000, FJ 7). Así, la cesión de datos personales a un tercero para proceder a un tratamiento con fines distintos de los que originaron su recogida, supone una nueva posesión y uso que requiere el consentimiento del interesado, y ello porque si se priva a la persona de las facultades de disposición y control sobre sus datos personales, se la estará también privando del derecho fundamental consagrado en el art. 18.4 CE (STC 292/2000, FJ 7), de donde se infiere que cuando el Juez, en el seno de un procedimiento de medidas preliminares, solicita un fichero informático que contiene un conjunto de datos personales, con la finalidad de hacérselos llegar a una asociación que pretende iniciar un proceso para la defensa de los intereses colectivos de consumidores y usuarios, al objeto de concretar a los integrantes del grupo de afectados, está limitando el contenido del derecho fundamental a la protección de datos protegido por el art. 18.4 CE y, en consecuencia, deberán darse los presupuestos habilitantes necesarios para que dicha injerencia en el derecho fundamental pueda calificarse de constitucionalmente legítima.</w:t>
      </w:r>
    </w:p>
    <w:p w:rsidR="00D06117" w:rsidRDefault="00D06117" w:rsidP="00D06117">
      <w:pPr>
        <w:pStyle w:val="TextoNormal"/>
      </w:pPr>
    </w:p>
    <w:p w:rsidR="00D06117" w:rsidRDefault="00D06117" w:rsidP="00D06117">
      <w:pPr>
        <w:pStyle w:val="TextoNormal"/>
      </w:pPr>
      <w:r>
        <w:t xml:space="preserve">A tal efecto, conviene recordar los requisitos que conforman nuestra doctrina sobre los límites que pueden sufrir los derechos fundamentales, los cuales pueden resumirse en los </w:t>
      </w:r>
      <w:r>
        <w:lastRenderedPageBreak/>
        <w:t>siguientes: “que la medida limitativa del derecho fundamental esté prevista por la Ley, que sea adoptada mediante resolución judicial especialmente motivada, y que sea idónea, necesaria y proporcionada en relación con un fin constitucionalmente legítimo” (SSTC 207/1996, de 16 de diciembre, FJ 4 y 25/2005, de 14 de febrero, FJ 6, entre otras muchas); requisitos que hemos reiterado en relación con la concreta facultad de disposición y control de los datos personales, que “sólo cabe limitar en atención a derechos y bienes de relevancia constitucional y, por tanto, esté justificada, sea proporcionada y, además, se establezca por Ley, pues el derecho fundamental a la protección de datos personales no admite otros límites” (STC 292/2000, FJ 13, penúltimo párrafo).</w:t>
      </w:r>
    </w:p>
    <w:p w:rsidR="00D06117" w:rsidRDefault="00D06117" w:rsidP="00D06117">
      <w:pPr>
        <w:pStyle w:val="TextoNormal"/>
      </w:pPr>
    </w:p>
    <w:p w:rsidR="00D06117" w:rsidRDefault="00D06117" w:rsidP="00D06117">
      <w:pPr>
        <w:pStyle w:val="TextoNormal"/>
      </w:pPr>
      <w:r w:rsidRPr="00D06117">
        <w:rPr>
          <w:rStyle w:val="NumeroAFNegritaCaracter"/>
        </w:rPr>
        <w:t>8</w:t>
      </w:r>
      <w:r>
        <w:t>. Comenzando por la necesidad de que la medida limitativa de derechos esté prevista en la ley (ex art. 53.1 CE), estamos ante un requisito cuya exigencia ha sido recordada expresamente por este Tribunal en múltiples pronunciamientos, como por ejemplo en relación con el derecho a la intimidad (SSTC 37/1989, de 15 de febrero, FJ 7; 207/1996, de 16 de febrero, FJ 4; y 70/2002, de 3 de abril, FJ 10); con el derecho a la integridad física (SSTC 120/1990, de 27 de junio, FJ 8; 7/1994, de 17 de enero, FJ 3; y 35/1996, de 11 de marzo, FJ 2); con el derecho a la libertad de expresión (STC 52/1995, de 23 de febrero, FJ 4); con el derecho a la libertad de circulación (STC 85/1989, de 10 de mayo, FJ 3); con el derecho a la libertad personal (SSTC 32/1987, de 12 de marzo, FJ 3; 86/1996, de 21 de mayo, FJ 2; 47/2000, de 17 de febrero; y 169/2001, de 16 de julio); con el derecho al secreto de las comunicaciones (SSTC 49/1999, de 5 de abril, FJ 4; y 184/2003, FJ 5) y, entre otros, con el derecho a la protección de datos de carácter personal (STC 292/2000, de 30 de noviembre, FJ 13). En este sentido, es de señalar que la Ley Orgánica 15/1999, de 13 de diciembre, de protección de datos de carácter personal, si bien establece en su art. 11.1 que “[l]os datos de carácter personal objeto de tratamiento sólo podrán ser comunicados a un tercero para el cumplimiento de fines directamente relacionados con las funciones legítimas del cedente y del cesionario con el previo consentimiento del interesado”, dispone en su segundo apartado, letra d), que el consentimiento “no será preciso” cuando, entre otros supuestos, la comunicación que deba efectuarse tenga por destinatarios a “los jueces o Tribunales”, y éstos estén actuando “en el ejercicio de las funciones” que tienen atribuidas.</w:t>
      </w:r>
    </w:p>
    <w:p w:rsidR="00D06117" w:rsidRDefault="00D06117" w:rsidP="00D06117">
      <w:pPr>
        <w:pStyle w:val="TextoNormal"/>
      </w:pPr>
    </w:p>
    <w:p w:rsidR="00D06117" w:rsidRDefault="00D06117" w:rsidP="00D06117">
      <w:pPr>
        <w:pStyle w:val="TextoNormal"/>
      </w:pPr>
      <w:r>
        <w:t>Por tanto, encontramos en el art. 11.2 d) LOPD una genérica habilitación legal a favor del juez para la obtención de datos de carácter personal sin el previo consentimiento del interesado, siempre que actúe “en el ejercicio de las funciones que tiene atribuidas”, precepto que hay que poner en conexión, en el caso que nos ocupa, con el art. 256.1.6 LEC (que se incardina en el capítulo segundo de la Ley de enjuiciamiento civil, dedicado a las diligencias preliminares), y que establece que “todo juicio podrá prepararse” por petición de quien pretenda iniciar un proceso para la defensa de los intereses colectivos de consumidores y usuarios “al objeto de concretar a los integrantes del grupo de afectados cuando, no estando determinados, sean fácilmente determinables”, añadiendo que, a tal efecto, “el tribunal adoptará las medidas oportunas para la averiguación de los integrantes del grupo, de acuerdo a las circunstancias del caso y conforme a los datos suministrados por el solicitante, incluyendo el requerimiento al demandado para que colabore en dicha determinación”, de donde podemos concluir que el Juez cuenta con una previsión legal suficiente para acordar la medida cuestionada.</w:t>
      </w:r>
    </w:p>
    <w:p w:rsidR="00D06117" w:rsidRDefault="00D06117" w:rsidP="00D06117">
      <w:pPr>
        <w:pStyle w:val="TextoNormal"/>
      </w:pPr>
    </w:p>
    <w:p w:rsidR="00D06117" w:rsidRDefault="00D06117" w:rsidP="00D06117">
      <w:pPr>
        <w:pStyle w:val="TextoNormal"/>
      </w:pPr>
      <w:r>
        <w:t xml:space="preserve">Ahora bien, la previsión legal que se acaba de reproducir y de la que deriva una facultad a favor del juez para adoptar “las medidas oportunas” en orden a la averiguación de los </w:t>
      </w:r>
      <w:r>
        <w:lastRenderedPageBreak/>
        <w:t>integrantes del grupo de afectados, debe ponerse en conexión con el art. 258 LEC que fija, a los efectos de resolver sobre la petición de diligencias preliminares, que el órgano judicial deberá verificar si la diligencia “es adecuada a la finalidad que el solicitante persigue y que en la solicitud concurren justa causa e interés jurídico”; asimismo, este precepto indica que “el Tribunal rechazará la petición de diligencias realizada, si no considerare que éstas están justificadas”, de donde se deduce que el Juez, en todo caso y con independencia de la naturaleza de la medida solicitada, habrá de someter su decisión a una suerte de ponderación en la que deberá motivar la adecuación de la medida a la finalidad, justa causa e interés legítimo concurrentes. Justificación de la medida, y posterior sometimiento a un juicio de ponderación que, en el caso que nos ocupa, se torna aún más exigente toda vez que limita el contenido del derecho fundamental protegido por el art. 18.4 CE, lo que nos reconduce al examen del cumplimiento de los otros dos requisitos anteriormente citados y que, además de la previsión legal, resultan imprescindibles para que el límite sufrido por el derecho fundamental sea constitucionalmente legítimo: que sea adoptada mediante resolución judicial especialmente motivada, y que sea idónea, necesaria y proporcionada en relación con un fin constitucionalmente legítimo (SSTC 207/1996, de 16 de diciembre, FJ 4, y 24/2004, FJ 6, entre otras muchas; y STC 292/2000, FJ 13, en relación con la protección de datos de carácter personal).</w:t>
      </w:r>
    </w:p>
    <w:p w:rsidR="00D06117" w:rsidRDefault="00D06117" w:rsidP="00D06117">
      <w:pPr>
        <w:pStyle w:val="TextoNormal"/>
      </w:pPr>
    </w:p>
    <w:p w:rsidR="00D06117" w:rsidRDefault="00D06117" w:rsidP="00D06117">
      <w:pPr>
        <w:pStyle w:val="TextoNormal"/>
      </w:pPr>
      <w:r w:rsidRPr="00D06117">
        <w:rPr>
          <w:rStyle w:val="NumeroAFNegritaCaracter"/>
        </w:rPr>
        <w:t>9</w:t>
      </w:r>
      <w:r>
        <w:t>. Como se acaba de exponer, las exigencias de justificación y motivación de la medida se ven reforzadas cuando se está limitando el contenido de un derecho fundamental, exigencias que no se satisfacen con cualquier forma de motivación que permita conocer la ratio decidendi de la resolución judicial, pues 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sino en la protección del derecho sustantivo, lo que implica que “la ausencia de motivación ocasiona, por sí sola, en estos casos la vulneración del propio derecho fundamental sustantivo (SSTC 128/1995 y 158/1996, 181/1995 y 54/1996), todo ello sin perjuicio de que se produzca o no, además, la lesión del derecho a la tutela judicial efectiva (STC 158/1996)” (STC 207/1996, de 16 de diciembre, FJ 4).</w:t>
      </w:r>
    </w:p>
    <w:p w:rsidR="00D06117" w:rsidRDefault="00D06117" w:rsidP="00D06117">
      <w:pPr>
        <w:pStyle w:val="TextoNormal"/>
      </w:pPr>
    </w:p>
    <w:p w:rsidR="00D06117" w:rsidRDefault="00D06117" w:rsidP="00D06117">
      <w:pPr>
        <w:pStyle w:val="TextoNormal"/>
      </w:pPr>
      <w:r>
        <w:t>Canon reforzado de justificación que garantiza, en el caso que nos ocupa, que no se puedan obtener, bajo la cobertura legal que presta el art. 256.1.6 LEC y, por tanto, sin el previo consentimiento de los afectados, datos de carácter personal que no sean imprescindibles para el ejercicio de la acción colectiva que se pretende iniciar, y que evita, entre otras posibles consecuencias negativas, que pudiéndose identificar a los integrantes del grupo de afectados por otra vía, se utilice la más gravosa para el derecho fundamental.</w:t>
      </w:r>
    </w:p>
    <w:p w:rsidR="00D06117" w:rsidRDefault="00D06117" w:rsidP="00D06117">
      <w:pPr>
        <w:pStyle w:val="TextoNormal"/>
      </w:pPr>
    </w:p>
    <w:p w:rsidR="00D06117" w:rsidRDefault="00D06117" w:rsidP="00D06117">
      <w:pPr>
        <w:pStyle w:val="TextoNormal"/>
      </w:pPr>
      <w:r>
        <w:t xml:space="preserve">Sin embargo, la resolución judicial impugnada expone, como única justificación de la medida, que “puesto que estamos en un trámite de medidas preliminares”, no es oportuno “analizar si estamos ante una acción abstracta, una acción colectiva o una acción de protección de intereses difusos”, entendiendo que éstas son cuestiones cuya resolución se debe trasladar a un momento posterior, cuando se formule la demanda y se resuelva el fondo del litigio. En consecuencia, estima que la diligencia solicitada está justificada al tratarse de acciones colectivas con afectación a múltiples perjudicados y, por tanto, “la exigencia de identificación establecida en el art. 15 LEC es obligada y ello, aunque se ejercite conjuntamente a una acción abstracta de cesación, pues es unánime la jurisprudencia que admite la </w:t>
      </w:r>
      <w:r>
        <w:lastRenderedPageBreak/>
        <w:t>posibilidad de acumular a la acción abstracta de cesación, otra de naturaleza colectiva o difusa, si bien estableciendo las especificaciones propias de la naturaleza jurídica de las acciones ejercitadas. Pero esta cuestión, excede del ámbito de estas medidas preliminares y se analizarán con mayor detalle al resolver la cuestión principal”.</w:t>
      </w:r>
    </w:p>
    <w:p w:rsidR="00D06117" w:rsidRDefault="00D06117" w:rsidP="00D06117">
      <w:pPr>
        <w:pStyle w:val="TextoNormal"/>
      </w:pPr>
    </w:p>
    <w:p w:rsidR="00D06117" w:rsidRDefault="00D06117" w:rsidP="00D06117">
      <w:pPr>
        <w:pStyle w:val="TextoNormal"/>
      </w:pPr>
      <w:r>
        <w:t>Más allá del párrafo reproducido, no se encuentra en la resolución impugnada ninguna otra argumentación a partir de la que se pueda deducir una relación causal entre la necesidad de obtener los datos solicitados y el tipo de acciones que se pretende iniciar, lo que en el caso que nos ocupa no resulta baladí, toda vez que para ejercitar la acción de cesación que se postula como motivo principal para la admisión de solicitud de las diligencias preliminares, no son necesarios los datos personales que se solicitan en la demanda (tal y como recoge el art. 15.4 LEC), pues la Ley de enjuiciamiento civil no considera necesaria ninguna publicidad, ni llamamiento, ni intervención de los consumidores en ese tipo de procesos, dado que con la acción de cesación lo que se persigue es una condena para que el demandado cese en una determinada conducta, o una condena que prohíba su reiteración futura (ex art. 53 del texto refundido de la Ley general para la defensa de consumidores y usuarios).</w:t>
      </w:r>
    </w:p>
    <w:p w:rsidR="00D06117" w:rsidRDefault="00D06117" w:rsidP="00D06117">
      <w:pPr>
        <w:pStyle w:val="TextoNormal"/>
      </w:pPr>
    </w:p>
    <w:p w:rsidR="00D06117" w:rsidRDefault="00D06117" w:rsidP="00D06117">
      <w:pPr>
        <w:pStyle w:val="TextoNormal"/>
      </w:pPr>
      <w:r>
        <w:t>Tampoco explica el Auto impugnado la pertinencia de la acumulación del resto de acciones, como la acción de nulidad contractual por vicios de consentimiento y las acciones restitutorias e indemnizatorias de daños y perjuicios, aclaración que resulta imprescindible en orden a justificar la medida, toda vez que la naturaleza subjetiva del vicio de consentimiento pudiera excluir toda posibilidad de acumulación (ya que ha de ejercitarse de forma individual), y lo mismo podría predicarse en cuanto a las acciones de restitución e indemnización de daños y perjuicios, pues en cada caso concreto habrá de probarse la existencia de daño, el nexo causal entre la conducta de la entidad bancaria y la producción de aquél, y la determinación del quantum del perjuicio causado, a efectos de determinar la indemnización que correspondería a cada afectado. En suma, no se exteriorizan los elementos de juicio que, en este caso concreto, motivan que las diligencias solicitadas son necesarias para la finalidad perseguida por ADICAE y, lo que no es menos importante, que lo son en el momento procesal en que se solicitan.</w:t>
      </w:r>
    </w:p>
    <w:p w:rsidR="00D06117" w:rsidRDefault="00D06117" w:rsidP="00D06117">
      <w:pPr>
        <w:pStyle w:val="TextoNormal"/>
      </w:pPr>
    </w:p>
    <w:p w:rsidR="00D06117" w:rsidRDefault="00D06117" w:rsidP="00D06117">
      <w:pPr>
        <w:pStyle w:val="TextoNormal"/>
      </w:pPr>
      <w:r w:rsidRPr="00D06117">
        <w:rPr>
          <w:rStyle w:val="NumeroAFNegritaCaracter"/>
        </w:rPr>
        <w:t>10</w:t>
      </w:r>
      <w:r>
        <w:t xml:space="preserve">. Pero, además, el Auto impugnado omite todo juicio de proporcionalidad, requisito que junto a la previsión legal y a la justificación de la medida, resulta una exigencia imprescindible para la constitucionalidad de cualquier medida restrictiva de derechos fundamentales, pues como dijimos, entre otras muchas, en la STC 49/1999, de 5 de abril, FJ 7, el ámbito en el que normalmente y de forma muy particular resulta aplicable el principio de proporcionalidad es el de los derechos fundamentales. Así, este Tribunal ha declarado en numerosas Sentencias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de 15 de octubre, FJ 5; 66/1985,de 23 de mayo, FJ 1; 19/1988, de 16 de febrero, FJ 8; 85/1992, de 8 de junio, FJ 5; y 50/1995, de 23 de febrero, FJ 7). Incluso en las Sentencias en las que hemos hecho referencia al principio de proporcionalidad como canon derivado del valor justicia (SSTC 160/1987, de 2 de octubre, FJ 6; 50/1995, FJ 7; y 173/1995, de 21 de noviembre, FJ 2), del principio del Estado de Derecho (STC 160/1987, FJ 6), del principio de interdicción de la arbitrariedad de los poderes públicos (SSTC 6/1988, de 21 de enero, FJ 3; y 50/1995, FJ 7) o de la dignidad de la </w:t>
      </w:r>
      <w:r>
        <w:lastRenderedPageBreak/>
        <w:t>persona (STC 160/1987, FJ 6), lo hemos hecho en el contexto de la incidencia de la actuación de los poderes públicos en el ámbito de concretos y determinados derechos constitucionales de los ciudadanos.</w:t>
      </w:r>
    </w:p>
    <w:p w:rsidR="00D06117" w:rsidRDefault="00D06117" w:rsidP="00D06117">
      <w:pPr>
        <w:pStyle w:val="TextoNormal"/>
      </w:pPr>
    </w:p>
    <w:p w:rsidR="00D06117" w:rsidRDefault="00D06117" w:rsidP="00D06117">
      <w:pPr>
        <w:pStyle w:val="TextoNormal"/>
      </w:pPr>
      <w:r>
        <w:t>Por tanto, determinar si la actuación judicial ha vulnerado materialmente el art. 18.4 CE requiere, finalmente, analizar las exigencias de proporcionalidad que se proyectan sobre la injerencia en el derecho a la protección de datos de carácter personal.</w:t>
      </w:r>
    </w:p>
    <w:p w:rsidR="00D06117" w:rsidRDefault="00D06117" w:rsidP="00D06117">
      <w:pPr>
        <w:pStyle w:val="TextoNormal"/>
      </w:pPr>
    </w:p>
    <w:p w:rsidR="00D06117" w:rsidRDefault="00D06117" w:rsidP="00D06117">
      <w:pPr>
        <w:pStyle w:val="TextoNormal"/>
      </w:pPr>
      <w:r>
        <w:t>En este sentido, hemos destacado (SSTC 207/1996, de 16 de diciembre, FJ 4; 49/1999, de 5 de abril, FJ 7; 159/2009, de 29 de junio, FJ 3; 86/2006, de 27 de marzo, FJ 3; 206/2007, de 24 de septiembre, FJ 6; y 173/2011, de 7 de noviembre, FJ 2, entre otras) que para comprobar si una medida restrictiva de un derecho fundamental supera el juicio de proporcionalidad, es necesario constatar si cumple los tres siguientes requisitos o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D06117" w:rsidRDefault="00D06117" w:rsidP="00D06117">
      <w:pPr>
        <w:pStyle w:val="TextoNormal"/>
      </w:pPr>
    </w:p>
    <w:p w:rsidR="00D06117" w:rsidRDefault="00D06117" w:rsidP="00D06117">
      <w:pPr>
        <w:pStyle w:val="TextoNormal"/>
      </w:pPr>
      <w:r>
        <w:t>En consecuencia, y toda vez que el art. 256.1.6 LEC no concreta el modo en que se pueden hacer efectivas las medidas de averiguación de los eventuales integrantes del grupo de afectados, la resolución debería haber exteriorizado las razones por las que la medida era idónea para conseguir el fin propuesto; debería haber motivado que no existía otra medida menos lesiva para identificar a los integrantes del grupo (juicio de necesidad), máxime cuando contaba con una propuesta concreta de la entidad bancaria, hoy demandante de amparo, que proponía que ADICAE entregara al Juzgado una carta en la que se informara de la presentación de la demanda, carta que, tras la supervisión del juzgado, sería remitida por el BBVA a todos los clientes que hubieran suscrito dichos productos financieros, lo que se acreditaría mediante verificación por empresa auditora externa; y, por último, debería haber valorado y exteriorizado si la solicitud de dichos datos personales era una medida ponderada o equilibrada, por derivarse de ella más beneficios o ventajas para el interés general que perjuicios sobre otros bienes o valores en conflicto. Sin embargo, como se ha expuesto en el fundamento jurídico anterior, el Auto impugnado se presenta como una decisión ajena a toda ponderación de la idoneidad, necesidad y proporcionalidad de la medida.</w:t>
      </w:r>
    </w:p>
    <w:p w:rsidR="00D06117" w:rsidRDefault="00D06117" w:rsidP="00D06117">
      <w:pPr>
        <w:pStyle w:val="TextoNormal"/>
      </w:pPr>
    </w:p>
    <w:p w:rsidR="00D06117" w:rsidRDefault="00D06117" w:rsidP="00D06117">
      <w:pPr>
        <w:pStyle w:val="TextoNormal"/>
      </w:pPr>
      <w:r w:rsidRPr="00D06117">
        <w:rPr>
          <w:rStyle w:val="NumeroAFNegritaCaracter"/>
        </w:rPr>
        <w:t>11</w:t>
      </w:r>
      <w:r>
        <w:t xml:space="preserve">. De todo lo expuesto se deduce que las resoluciones judiciales impugnadas han vulnerado el art. 18.4 CE. Y ello, porque una diligencia preliminar consistente en requerir a una entidad bancaria la entrega de datos personales de sus clientes, sin el previo consentimiento de éstos, para su posterior entrega a una asociación de consumidores que pretende iniciar un proceso para la defensa de los intereses colectivos de consumidores y usuarios, implica un claro límite en el derecho fundamental a la protección de datos de carácter personal (art. 18.4 CE) y, en consecuencia, no es suficiente la existencia de una genérica habilitación legal (ex art. 256.1.6 LEC), sino que dicha medida ha de adoptarse mediante resolución especialmente motivada, exteriorizando los elementos de juicio en los que se basa la resolución, de forma que las razones fácticas y jurídicas queden perfectamente expuestas y, además, debe someterse a un estricto juicio de proporcionalidad, como principio inherente </w:t>
      </w:r>
      <w:r>
        <w:lastRenderedPageBreak/>
        <w:t>del Estado de Derecho, cuya condición de canon de constitucionalidad tiene especial aplicación cuando se trata de proteger derechos fundamentales frente a limitaciones o constricciones que procedan de normas o resoluciones singulares (STC 85/1992, de 8 de junio, FJ 4). Sin embargo, nada de esto se ha hecho en las resoluciones jurídicas impugnadas.</w:t>
      </w:r>
    </w:p>
    <w:p w:rsidR="00D06117" w:rsidRDefault="00D06117" w:rsidP="00D06117">
      <w:pPr>
        <w:pStyle w:val="TextoNormal"/>
      </w:pPr>
    </w:p>
    <w:p w:rsidR="00D06117" w:rsidRDefault="00D06117" w:rsidP="00D06117">
      <w:pPr>
        <w:pStyle w:val="TextoNormal"/>
      </w:pPr>
      <w:r>
        <w:t>Tal vulneración material del art. 18.4 CE implica, correlativamente, la lesión del derecho a la tutela judicial efectiva (art. 24.1 CE) de la entidad bancaria demandante de amparo que, cuando se opone al requerimiento de entrega de los ficheros informáticos con los datos personales de aquellos de sus clientes que hubieran suscrito determinados productos financieros, datos sobre los que tiene una obligación jurídica de custodia, no obtiene del órgano judicial una respuesta fundada en una aplicación del ordenamiento jurídico conforme a la Constitución, de acuerdo con las exigencias de motivación y proporcionalidad anteriormente referidas.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la entidad Banco Bilbao Vizcaya Argentaria, S.A., y, en consecuencia:</w:t>
      </w:r>
    </w:p>
    <w:p w:rsidR="00D06117" w:rsidRDefault="00D06117" w:rsidP="00D06117">
      <w:pPr>
        <w:pStyle w:val="TextoNormal"/>
      </w:pPr>
    </w:p>
    <w:p w:rsidR="00D06117" w:rsidRDefault="00D06117" w:rsidP="00D06117">
      <w:pPr>
        <w:pStyle w:val="TextoNormal"/>
      </w:pPr>
      <w:r>
        <w:t>1º Reconocer su derecho fundamental a la tutela judicial efectiva (art. 24.1 CE), en conexión con el derecho fundamental a la protección de datos de carácter personal (art. 18.4 CE).</w:t>
      </w:r>
    </w:p>
    <w:p w:rsidR="00D06117" w:rsidRDefault="00D06117" w:rsidP="00D06117">
      <w:pPr>
        <w:pStyle w:val="TextoNormal"/>
      </w:pPr>
    </w:p>
    <w:p w:rsidR="00D06117" w:rsidRDefault="00D06117" w:rsidP="00D06117">
      <w:pPr>
        <w:pStyle w:val="TextoNormal"/>
      </w:pPr>
      <w:r>
        <w:t>2º Declarar la nulidad de los Autos de 1 de septiembre de 2010 y de 20 de octubre de 2010, del Juzgado de Primera Instancia núm. 87 de Madrid, así como de la providencia de 29 de noviembre de 2010, del Juzgado de Primera Instancia núm. 87 de Madrid, dictados en procedimiento de diligencias preliminares núm. 1711-2010.</w:t>
      </w:r>
    </w:p>
    <w:p w:rsidR="00D06117" w:rsidRDefault="00D06117" w:rsidP="00D06117">
      <w:pPr>
        <w:pStyle w:val="TextoNormal"/>
      </w:pPr>
    </w:p>
    <w:p w:rsidR="00D06117" w:rsidRDefault="00D06117" w:rsidP="00D06117">
      <w:pPr>
        <w:pStyle w:val="TextoNormal"/>
      </w:pPr>
      <w:r>
        <w:t>3º Retrotraer las actuaciones al momento inmediatamente anterior al dictado del Auto de 1 de septiembre de 2010 del Juzgado de Primera Instancia núm. 87 de Madrid, para que dicho órgano judicial, con respeto a los derechos fundamentales reconocidos, dicte la resolución que proceda.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0" w:name="SENTENCIA_2012_97"/>
      <w:r>
        <w:lastRenderedPageBreak/>
        <w:t>SENTENCIA 97/2012, de 7 de mayo de 2012</w:t>
      </w:r>
    </w:p>
    <w:bookmarkEnd w:id="100"/>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ECLI:ES:TC:2012:97</w:t>
      </w:r>
    </w:p>
    <w:p w:rsidR="00D06117" w:rsidRDefault="00D06117" w:rsidP="00D06117">
      <w:pPr>
        <w:pStyle w:val="SntesisDescriptiva"/>
      </w:pPr>
    </w:p>
    <w:p w:rsidR="00D06117" w:rsidRDefault="00D06117" w:rsidP="00D06117">
      <w:pPr>
        <w:pStyle w:val="SntesisDescriptiva"/>
      </w:pPr>
      <w:r>
        <w:t>Recurso de amparo 2525-2011. Promovido por doña Adelaida Verge Ramos en relación con las Sentencias de la Audiencia Provincial y de un Juzgado de Instrucción de Las Palmas de Gran Canaria que la condenaron por sendas faltas de lesiones y vejaciones injustas.</w:t>
      </w:r>
    </w:p>
    <w:p w:rsidR="00D06117" w:rsidRDefault="00D06117" w:rsidP="00D06117">
      <w:pPr>
        <w:pStyle w:val="SntesisDescriptiva"/>
      </w:pPr>
    </w:p>
    <w:p w:rsidR="00D06117" w:rsidRDefault="00D06117" w:rsidP="00D06117">
      <w:pPr>
        <w:pStyle w:val="SntesisAnaltica"/>
      </w:pPr>
      <w:r>
        <w:t>Vulneración del derecho a la tutela judicial sin indefensión: citación incursa en defectos formales y en la que no se informaba a la interesada de su condición de denunciada en el proceso.</w:t>
      </w:r>
    </w:p>
    <w:p w:rsidR="00D06117" w:rsidRDefault="00D06117" w:rsidP="00D06117">
      <w:pPr>
        <w:pStyle w:val="SntesisAnaltica"/>
      </w:pPr>
    </w:p>
    <w:p w:rsidR="00D06117" w:rsidRDefault="00D06117" w:rsidP="00D06117">
      <w:pPr>
        <w:pStyle w:val="Extracto"/>
      </w:pPr>
      <w:r>
        <w:t>1.</w:t>
      </w:r>
      <w:r>
        <w:tab/>
        <w:t>La finalidad esencial de la citación para la celebración del juicio es la de garantizar el acceso al proceso y la efectividad del derecho de defensa, por lo que es necesario que la forma en que se realice garantice que aquélla ha llegado a poder del destinatario, siendo esencial la recepción de la cédula por el destinatario y su constancia en las actuaciones (SSTC 22/1987, 327/1993) [FJ 3].</w:t>
      </w:r>
    </w:p>
    <w:p w:rsidR="00D06117" w:rsidRDefault="00D06117" w:rsidP="00D06117">
      <w:pPr>
        <w:pStyle w:val="Extracto"/>
      </w:pPr>
    </w:p>
    <w:p w:rsidR="00D06117" w:rsidRDefault="00D06117" w:rsidP="00D06117">
      <w:pPr>
        <w:pStyle w:val="Extracto"/>
      </w:pPr>
      <w:r>
        <w:t>2.</w:t>
      </w:r>
      <w:r>
        <w:tab/>
        <w:t>La comunicación telefónica realizada no puede considerarse como un medio idóneo para trasmitir el contenido íntegro de la citación al juicio de faltas dado que los únicos datos de constancia de la transmisión y recepción que aparecen manuscritos en el testimonio de la cédula de citación no sirven para acreditar de modo fehaciente la recepción de la misma por su destinataria ni el contenido de lo comunicado, no quedando por tanto constancia indubitada que permita desvirtuar la rotunda negativa de su recepción [FJ 3].</w:t>
      </w:r>
    </w:p>
    <w:p w:rsidR="00D06117" w:rsidRDefault="00D06117" w:rsidP="00D06117">
      <w:pPr>
        <w:pStyle w:val="Extracto"/>
      </w:pPr>
    </w:p>
    <w:p w:rsidR="00D06117" w:rsidRDefault="00D06117" w:rsidP="00D06117">
      <w:pPr>
        <w:pStyle w:val="Extracto"/>
      </w:pPr>
      <w:r>
        <w:t>3.</w:t>
      </w:r>
      <w:r>
        <w:tab/>
        <w:t>Doctrina sobre la inidoneidad de la notificación telefónica para efectuar citaciones judiciales (SSTC 94/2005, 175/2009) [FJ 3].</w:t>
      </w:r>
    </w:p>
    <w:p w:rsidR="00D06117" w:rsidRDefault="00D06117" w:rsidP="00D06117">
      <w:pPr>
        <w:pStyle w:val="Extracto"/>
      </w:pPr>
    </w:p>
    <w:p w:rsidR="00D06117" w:rsidRDefault="00D06117" w:rsidP="00D06117">
      <w:pPr>
        <w:pStyle w:val="Extracto"/>
      </w:pPr>
      <w:r>
        <w:t>4.</w:t>
      </w:r>
      <w:r>
        <w:tab/>
        <w:t>Doctrina sobre el correcto emplazamiento de las partes para la celebración del juicio de faltas y la posibilidad de celebrarse en ausencia del denunciado (SSTC 134/2002, 255/2006) [FJ 4].</w:t>
      </w:r>
    </w:p>
    <w:p w:rsidR="00D06117" w:rsidRDefault="00D06117" w:rsidP="00D06117">
      <w:pPr>
        <w:pStyle w:val="Extracto"/>
      </w:pPr>
    </w:p>
    <w:p w:rsidR="00D06117" w:rsidRDefault="00D06117" w:rsidP="00D06117">
      <w:pPr>
        <w:pStyle w:val="Extracto"/>
      </w:pPr>
      <w:r>
        <w:t>5.</w:t>
      </w:r>
      <w:r>
        <w:tab/>
        <w:t>La confusión del órgano judicial ha generado una clara situación de indefensión en la actora –</w:t>
      </w:r>
      <w:r w:rsidRPr="00D06117">
        <w:rPr>
          <w:i/>
        </w:rPr>
        <w:t>ex</w:t>
      </w:r>
      <w:r>
        <w:t xml:space="preserve"> art. 24.1 CE– quien, al no haber sido informada de la existencia de una denuncia y de un procedimiento judicial dirigido contra ella, se ha visto privada del conocimiento de que su real situación procesal imponía su personación en el procedimiento y la debida articulación de su defensa en el juicio oral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Vicepresidente,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2525-2011, promovido por doña Adelaida Verge Ramos, representada por el Procurador de los Tribunales don Carlos Jiménez Padrón, contra la Sentencia de 30 de marzo de 2011, de la Sección Sexta de la Audiencia Provincial de las Palmas que desestimó el recurso de apelación interpuesto contra la Sentencia de 16 de septiembre de 2010 del Juzgado de instrucción núm. 7 de Las Palmas de Gran Canaria en el juicio de faltas núm. 139-2010, que condenó a la actora, como autora responsable de una falta de lesiones del artículo 617.1 del Código penal, a la pena de cuarenta y cinco días de multa y, como autora de una falta de vejaciones injustas del artículo 620 del Código penal, a la pena de veinte días de multa, con una cuota de 10 euros/día, así como a indemnizar a la denunciante en la suma de 150 euros, con expresa imposición de costas.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de 4 de mayo de 2011 doña Adelaida Verge Ramos solicitó la designación de Abogado y Procurador de oficio para interponer recurso de amparo frente a la resolución reseñada en el encabezamiento, así como la suspensión del plazo para la interposición del mismo hasta que se produjese la designación solicitada.</w:t>
      </w:r>
    </w:p>
    <w:p w:rsidR="00D06117" w:rsidRDefault="00D06117" w:rsidP="00D06117">
      <w:pPr>
        <w:pStyle w:val="TextoNormal"/>
      </w:pPr>
    </w:p>
    <w:p w:rsidR="00D06117" w:rsidRDefault="00D06117" w:rsidP="00D06117">
      <w:pPr>
        <w:pStyle w:val="TextoNormal"/>
      </w:pPr>
      <w:r>
        <w:t>Mediante diligencia de ordenación de la Sala Segunda, Sección Cuarta, de este Tribunal Constitucional de 30 de mayo de 2011 se tuvieron por designados del turno de oficio como Procurador a don Carlos Jiménez Padrón y como Abogado a don Enrique Martínez Relaño, otorgándoseles el plazo de treinta días a fin de que formalizasen la demanda de amparo.</w:t>
      </w:r>
    </w:p>
    <w:p w:rsidR="00D06117" w:rsidRDefault="00D06117" w:rsidP="00D06117">
      <w:pPr>
        <w:pStyle w:val="TextoNormal"/>
      </w:pPr>
    </w:p>
    <w:p w:rsidR="00D06117" w:rsidRDefault="00D06117" w:rsidP="00D06117">
      <w:pPr>
        <w:pStyle w:val="TextoNormal"/>
      </w:pPr>
      <w:r>
        <w:t>Mediante escrito registrado en este Tribunal con fecha 29 de junio de 2011 el antedicho Procurador de los Tribunales, en nombre y representación de doña Adelaida Verge Ramos, interpuso recurso de amparo frente a la resolución reseñada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de los que trae causa la demanda de amparo, relevantes para la resolución del caso son, en síntesis, los siguientes:</w:t>
      </w:r>
    </w:p>
    <w:p w:rsidR="00D06117" w:rsidRDefault="00D06117" w:rsidP="00D06117">
      <w:pPr>
        <w:pStyle w:val="TextoNormal"/>
      </w:pPr>
    </w:p>
    <w:p w:rsidR="00D06117" w:rsidRDefault="00D06117" w:rsidP="00D06117">
      <w:pPr>
        <w:pStyle w:val="TextoNormal"/>
      </w:pPr>
      <w:r>
        <w:t>a) En la comisaría del distrito sur ODAC. de la Jefatura Superior de Policía de Canarias se tramitó el atestado núm. 7442 como consecuencia de las denuncias cruzadas, por una parte, de doña María Teresa Ruiz Medina y su hija doña María Ángeles Álvarez Ruiz, y por otra, de la ahora demandante de amparo, doña Adelaida Verge Ramos, quien en su declaración ante el Instructor del atestado fijó como domicilio la Avda. José Ramírez Bethencourt, 10, 4º E de Las Palmas de Gran Canaria, facilitando, igualmente, su número de teléfono (folio 17 de las actuaciones).</w:t>
      </w:r>
    </w:p>
    <w:p w:rsidR="00D06117" w:rsidRDefault="00D06117" w:rsidP="00D06117">
      <w:pPr>
        <w:pStyle w:val="TextoNormal"/>
      </w:pPr>
    </w:p>
    <w:p w:rsidR="00D06117" w:rsidRDefault="00D06117" w:rsidP="00D06117">
      <w:pPr>
        <w:pStyle w:val="TextoNormal"/>
      </w:pPr>
      <w:r>
        <w:t>El instructor del atestado acordó (folio 5) que todas las partes intervinieran en la doble condición de denunciantes-denunciadas, lo cual determinó que a las tres implicadas se les practicara diligencia de información de derechos en dicha doble consideración. Así, mediante el acta de información de la denuncia y de los derechos al denunciado por faltas de fecha 13 de septiembre de 2010 (folio 21) y a través del acta de instrucción de derechos al perjudicado u ofendido de fecha 14 de septiembre de 2010 (folio 22), la demandante de amparo fue informada de sus derechos en esa doble condición.</w:t>
      </w:r>
    </w:p>
    <w:p w:rsidR="00D06117" w:rsidRDefault="00D06117" w:rsidP="00D06117">
      <w:pPr>
        <w:pStyle w:val="TextoNormal"/>
      </w:pPr>
    </w:p>
    <w:p w:rsidR="00D06117" w:rsidRDefault="00D06117" w:rsidP="00D06117">
      <w:pPr>
        <w:pStyle w:val="TextoNormal"/>
      </w:pPr>
      <w:r>
        <w:t>b) Mediante Auto de 16 de septiembre de 2010 del Juzgado de Instrucción núm. 7 de Las Palmas de Gran Canaria (folio 32), se acordó incoar juicio de faltas inmediato disponiéndose igualmente citar a las tres encartadas para el correspondiente juicio a celebrar el día 16 de septiembre de 2010.</w:t>
      </w:r>
    </w:p>
    <w:p w:rsidR="00D06117" w:rsidRDefault="00D06117" w:rsidP="00D06117">
      <w:pPr>
        <w:pStyle w:val="TextoNormal"/>
      </w:pPr>
    </w:p>
    <w:p w:rsidR="00D06117" w:rsidRDefault="00D06117" w:rsidP="00D06117">
      <w:pPr>
        <w:pStyle w:val="TextoNormal"/>
      </w:pPr>
      <w:r>
        <w:t>Mediante sendas cédulas de citación para juicios rápidos por falta de la comisaría del distrito sur ODAC de la Jefatura Superior de Policía de Canarias de fecha 15 de septiembre de 2010 (folios 11 y 14), doña María Teresa Ruiz Medina y doña María Ángeles Álvarez Ruiz fueron citadas personalmente, para comparecer en calidad de perjudicadas a dicho juicio el día 16 de septiembre de 2010 a las 13:25 horas, en el Juzgado de Instrucción núm. 7.</w:t>
      </w:r>
    </w:p>
    <w:p w:rsidR="00D06117" w:rsidRDefault="00D06117" w:rsidP="00D06117">
      <w:pPr>
        <w:pStyle w:val="TextoNormal"/>
      </w:pPr>
    </w:p>
    <w:p w:rsidR="00D06117" w:rsidRDefault="00D06117" w:rsidP="00D06117">
      <w:pPr>
        <w:pStyle w:val="TextoNormal"/>
      </w:pPr>
      <w:r>
        <w:t>Mediante cédula de citación para juicios rápidos por falta de la comisaría distrito sur ODAC de la Jefatura Superior de Policía de Canarias de fecha el 15 de septiembre de 2010 (folio 23) se comunicó mediante telefonema a la demandante de amparo, doña Adelaida Verge Ramos, “que deberá personarse el día 16/09/2010 a las 13:25 horas, en el Juzgado de Instrucción núm. 7 … en relación con el atestado núm. 7442 del año 2010 de la Comisaría de Distrito Sur, en calidad de: Perjudicado. Se le informa de los siguientes derechos: - Personarse en la causa sin necesidad de formular querella.- Derecho a designar Abogado.- Tomar conocimiento de lo actuado e instar lo que a su derecho convenga.- Apercibimiento: Que el juicio podrá celebrarse de forma inmediata, aún en caso de su incomparecencia.- Que a la celebración del mismo deberá personarse con todos los medios de prueba de los que intente valerse.- Que en caso de incomparecencia, sin justa causa, podrá ser sancionado con multa de 200 a 2000 euros, según art. 967.2 de la Ley de Enjuiciamiento Criminal.- Que de no personarse en la causa y no hacer renuncia o reserva de acciones civiles, el Ministerio Fiscal las ejercitará si correspondiere.”</w:t>
      </w:r>
    </w:p>
    <w:p w:rsidR="00D06117" w:rsidRDefault="00D06117" w:rsidP="00D06117">
      <w:pPr>
        <w:pStyle w:val="TextoNormal"/>
      </w:pPr>
    </w:p>
    <w:p w:rsidR="00D06117" w:rsidRDefault="00D06117" w:rsidP="00D06117">
      <w:pPr>
        <w:pStyle w:val="TextoNormal"/>
      </w:pPr>
      <w:r>
        <w:t>c) Celebrado el juicio oral de faltas inmediato núm. 139-2010 en fecha 16 de septiembre de 2010, en el acta del mismo (folio 35) se hace constar: “Adelaida Verge Ramos, no comparece a pesar de estar citada en forma”.</w:t>
      </w:r>
    </w:p>
    <w:p w:rsidR="00D06117" w:rsidRDefault="00D06117" w:rsidP="00D06117">
      <w:pPr>
        <w:pStyle w:val="TextoNormal"/>
      </w:pPr>
    </w:p>
    <w:p w:rsidR="00D06117" w:rsidRDefault="00D06117" w:rsidP="00D06117">
      <w:pPr>
        <w:pStyle w:val="TextoNormal"/>
      </w:pPr>
      <w:r>
        <w:t>d) La demandante de amparo fue condenada a la pena de veinte días de multa por Sentencia de 16 de septiembre de 2010 del Juzgado de instrucción núm. 7 de Las Palmas de Gran Canaria en el juicio de faltas inmediato núm. 139-2010 como autora de una falta de lesiones del art. 617.1 del Código penal y de una falta de vejaciones injustas del art. 620 del mismo texto, a la pena de veinte días de multa, con una cuota de 10 euros/día, así como a indemnizar a la denunciante, doña María de los Ángeles Álvarez Ruiz en la suma de 150 euros.</w:t>
      </w:r>
    </w:p>
    <w:p w:rsidR="00D06117" w:rsidRDefault="00D06117" w:rsidP="00D06117">
      <w:pPr>
        <w:pStyle w:val="TextoNormal"/>
      </w:pPr>
    </w:p>
    <w:p w:rsidR="00D06117" w:rsidRDefault="00D06117" w:rsidP="00D06117">
      <w:pPr>
        <w:pStyle w:val="TextoNormal"/>
      </w:pPr>
      <w:r>
        <w:lastRenderedPageBreak/>
        <w:t>e) Interpuesto recurso apelación por la demandante de amparo contra la anterior Sentencia, en el que se invocaba como motivo la ausencia de citación, éste fue desestimado mediante Sentencia de 30 de marzo de 2011 de la Sección Sexta Audiencia Provincial de Las Palmas por cuanto “consta al folio 23 la citación en forma al amparo de lo dispuesto en el artículo 962 de la Lecr, que establece esa competencia para la policía, lo que consta en el indicado folio, por telefonema de la policía. Por lo tanto, sí que consta la citación en forma y por lo tanto no es procedente acceder a la pretensión de nulidad articulada”.</w:t>
      </w:r>
    </w:p>
    <w:p w:rsidR="00D06117" w:rsidRDefault="00D06117" w:rsidP="00D06117">
      <w:pPr>
        <w:pStyle w:val="TextoNormal"/>
      </w:pPr>
    </w:p>
    <w:p w:rsidR="00D06117" w:rsidRDefault="00D06117" w:rsidP="00D06117">
      <w:pPr>
        <w:pStyle w:val="TextoNormal"/>
      </w:pPr>
      <w:r>
        <w:t>f) Mediante escrito registrado en este Tribunal en fecha 29 de junio de 2011 el Procurador de los Tribunales don Carlos Jiménez Padrón, en nombre y representación de doña Adelaida Verge Ramos interpuso recurso de amparo frente a la anterior resolución.</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tras la exposición de los antecedentes fácticos —en los que destaca que no fue citada por ningún medio para comparecer a la vista del juicio de faltas y que en la citación obrante en autos aparece citada en calidad de “perjudicada” y en ningún caso en calidad de “denunciada”, desconociendo, por tanto, la existencia de una denuncia y de un procedimiento judicial contra ella—, articula su motivo impugnatorio alegando la vulneración del derecho a la tutela judicial efectiva (art. 24, apartados 1 y 2, CE), en la vertiente de derecho a la defensa, al no haber sido informada de que existía procedimiento judicial contra ella, ni de la acusación que se le formulaba, no pudiendo defenderse ni utilizar medio de prueba alguno, al desconocer la existencia del propio procedimiento judicial.</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por providencia de 12 de diciembre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 la demandante de amparo, para que, si lo desearan, pudiesen comparecer en el plazo de diez días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18 de enero de 2012 se acordó dar vista de las actuaciones recibidas a la parte recurrente y al Ministerio Fiscal por plazo común de veinte días para presentar las alegaciones que estimasen pertinentes, de conformidad con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La demandante de amparo, en escrito registrado el 17 de febrero de 2012, destacó el hecho de que el Ministerio Fiscal hubiese interesado la estimación del recurso de apelación interpuesto contra la Sentencia de 16 de septiembre de 2010, reiterando que no fue citada por ningún medio para comparecer a la vista del juicio de faltas celebrado el 16 de septiembre de 2010.</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mediante escrito de alegaciones registrado en este Tribunal con fecha de 20 de febrero de 2012, interesa la estimación del recurso de amparo.</w:t>
      </w:r>
    </w:p>
    <w:p w:rsidR="00D06117" w:rsidRDefault="00D06117" w:rsidP="00D06117">
      <w:pPr>
        <w:pStyle w:val="TextoNormal"/>
      </w:pPr>
    </w:p>
    <w:p w:rsidR="00D06117" w:rsidRDefault="00D06117" w:rsidP="00D06117">
      <w:pPr>
        <w:pStyle w:val="TextoNormal"/>
      </w:pPr>
      <w:r>
        <w:t xml:space="preserve">Tras destacar los principales antecedentes fácticos de los que trae causa este recurso, y antes de entrar en el fondo de la pretensión de amparo, entiende que, tanto la Sentencia de 16 de septiembre de 2010 del Juzgado de Instrucción núm. 7 de Las Palmas de Gran Canaria, </w:t>
      </w:r>
      <w:r>
        <w:lastRenderedPageBreak/>
        <w:t>como la Sentencia de 30 de marzo de 2011 de la Sección Sexta de la Audiencia Provincial de las Palmas son objeto del recurso, sin que sea posible imputar a la Sentencia de la Audiencia Provincial una lesión autónoma del derecho a la tutela judicial efectiva, pues es la Sentencia de primera instancia la que causó directamente la lesión del derecho de defensa.</w:t>
      </w:r>
    </w:p>
    <w:p w:rsidR="00D06117" w:rsidRDefault="00D06117" w:rsidP="00D06117">
      <w:pPr>
        <w:pStyle w:val="TextoNormal"/>
      </w:pPr>
    </w:p>
    <w:p w:rsidR="00D06117" w:rsidRDefault="00D06117" w:rsidP="00D06117">
      <w:pPr>
        <w:pStyle w:val="TextoNormal"/>
      </w:pPr>
      <w:r>
        <w:t>En cuanto al fondo, considera que el hecho de que la demandante no fuese citada personalmente, sino mediante telefonema, a pesar de ser conocido su domicilio y su teléfono por haber comparecido en la comisaría a presentar denuncia y prestar declaración, únicamente podrá considerarse acorde con el derecho a la tutela judicial efectiva en la medida en que el medio técnico empleado permita dejar constancia fehaciente en autos de su envío y recepción, ya que la posibilidad legalmente prevista de realizar los actos de citación a los juicios rápidos por la policía utilizando cualquier medio de comunicación para su transmisión no puede implicar una disminución de los requisitos legales exigibles a los actos de comunicación procesal para garantizar la tutela judicial efectiva sin indefensión.</w:t>
      </w:r>
    </w:p>
    <w:p w:rsidR="00D06117" w:rsidRDefault="00D06117" w:rsidP="00D06117">
      <w:pPr>
        <w:pStyle w:val="TextoNormal"/>
      </w:pPr>
    </w:p>
    <w:p w:rsidR="00D06117" w:rsidRDefault="00D06117" w:rsidP="00D06117">
      <w:pPr>
        <w:pStyle w:val="TextoNormal"/>
      </w:pPr>
      <w:r>
        <w:t>Considera que la comunicación telefónica de la citación al acto del juicio de faltas no es un medio idóneo para la transmisión de los documentos en que se contiene el acto de citación procesal, ya que los datos que aparecen manuscritos en el testimonio de la cédula de citación no sirven para acreditar de modo fehaciente la transmisión y recepción de la citación por el destinatario ni del contenido de lo comunicado, máxime cuando la persona destinataria niega, como en este caso, haber recibido la comunicación y haber sufrido por ello indefensión. Además, para el Fiscal no aparece acreditado el motivo por el que, a diferencia de las otras dos denunciantes-denunciadas, la actora no fue citada personalmente, ni la concurrencia de situación de urgencia que justificase la utilización del telefonema para su citación. Por otra parte, la cédula de citación que consta en autos cita a la actora únicamente en calidad de perjudicada, esto es, sin referencia expresa a su condición de denunciada ni a los derechos correspondientes a esta condición, no permitiéndole conocer que también concurría al acto del juicio y sería enjuiciada en calidad de denunciada.</w:t>
      </w:r>
    </w:p>
    <w:p w:rsidR="00D06117" w:rsidRDefault="00D06117" w:rsidP="00D06117">
      <w:pPr>
        <w:pStyle w:val="TextoNormal"/>
      </w:pPr>
    </w:p>
    <w:p w:rsidR="00D06117" w:rsidRDefault="00D06117" w:rsidP="00D06117">
      <w:pPr>
        <w:pStyle w:val="TextoNormal"/>
      </w:pPr>
      <w:r>
        <w:t>Concluye la Fiscal señalando que, tanto la Sentencia del Juzgado de Instrucción como la dictada en apelación por la Audiencia Provincial, han lesionado el derecho a la tutela judicial efectiva de la recurrente quien, al no haber comparecido al juicio por desconocer su señalamiento, padeció indefensión al no haber podido ser oída ni utilizar los medios de prueba oportunos para su defensa.</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3 de mayo 2012, se señaló para deliberación y fallo de la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promovido por doña Adelaida Verge Ramos, tiene por objeto la Sentencia de 30 de marzo de 2011 de la Sección Sexta de la Audiencia Provincial de Las Palmas que desestimó el recurso de apelación interpuesto contra la Sentencia de 16 de septiembre de 2010 del Juzgado de Instrucción núm. 7 de Las Palmas de Gran Canaria en el juicio de faltas núm. 139-2010, que condenó a la actora como autora responsable de una falta de lesiones del art. 617.1 del Código penal, a la pena de cuarenta y cinco días de multa y, como autora de una falta de vejaciones injustas en el art. 620 del mismo texto legal, </w:t>
      </w:r>
      <w:r>
        <w:lastRenderedPageBreak/>
        <w:t>a la pena de veinte días de multa con una cuota de 10 euros/día, así como a indemnizar a la denunciante en la suma de 150 euros, con expresa imposición de costas.</w:t>
      </w:r>
    </w:p>
    <w:p w:rsidR="00D06117" w:rsidRDefault="00D06117" w:rsidP="00D06117">
      <w:pPr>
        <w:pStyle w:val="TextoNormal"/>
      </w:pPr>
    </w:p>
    <w:p w:rsidR="00D06117" w:rsidRDefault="00D06117" w:rsidP="00D06117">
      <w:pPr>
        <w:pStyle w:val="TextoNormal"/>
      </w:pPr>
      <w:r>
        <w:t>La recurrente en amparo considera que la resolución impugnada ha infringido su derecho fundamental a la tutela judicial efectiva (art. 24.1 y 2 CE) en la medida en que desconocía que existiese una denuncia y un procedimiento judicial contra ella, dándose además la circunstancia de que la citación al juicio, que niega haber recibido, se hace en calidad de “perjudicada” y no como “denunciada”. Esta falta de citación en debida forma, ha determinado, a su juicio, el padecimiento de indefensión al no haber sido informada de la existencia de un procedimiento judicial contra ella ni de la acusación formulada, no pudiendo, en consecuencia, defenderse ni utilizar medio de prueba alguno. En el suplico de su demanda solicita que se declare la nulidad de la Sentencia y la devolución de las actuaciones para el dictado de una nueva Sentencia. El Ministerio Fiscal, por su parte, ha interesado la estimación del recurso.</w:t>
      </w:r>
    </w:p>
    <w:p w:rsidR="00D06117" w:rsidRDefault="00D06117" w:rsidP="00D06117">
      <w:pPr>
        <w:pStyle w:val="TextoNormal"/>
      </w:pPr>
    </w:p>
    <w:p w:rsidR="00D06117" w:rsidRDefault="00D06117" w:rsidP="00D06117">
      <w:pPr>
        <w:pStyle w:val="TextoNormal"/>
      </w:pPr>
      <w:r>
        <w:t>Con carácter previo, debemos señalar que, si bien la demanda se formalizó contra la Sentencia de 30 de marzo de 2011 de la Sección Sexta de la Audiencia Provincial de Las Palmas de Gran Canaria, ha de entenderse que lo fue en cuanto que la misma desestimó el recurso de apelación contra la Sentencia del Juzgado de Instrucción núm. 7 de la misma ciudad dictada en el juicio de faltas inmediato núm. 139-2010, siendo a esta Sentencia dictada en primera instancia a la que ha de imputarse en primer lugar la lesión del derecho de defensa de la recurrente en amparo al alegarse haber sido condenada sin haber sido previamente citada al acto del juicio, limitándose la Sentencia de la Audiencia Provincial a no restablecer el derecho supuestamente lesionado al desestimar el recurso de apelación. Por ello, en buena lógica debe entenderse que ambas resoluciones judiciales constituyen el objeto del recurso de amparo.</w:t>
      </w:r>
    </w:p>
    <w:p w:rsidR="00D06117" w:rsidRDefault="00D06117" w:rsidP="00D06117">
      <w:pPr>
        <w:pStyle w:val="TextoNormal"/>
      </w:pPr>
    </w:p>
    <w:p w:rsidR="00D06117" w:rsidRDefault="00D06117" w:rsidP="00D06117">
      <w:pPr>
        <w:pStyle w:val="TextoNormal"/>
      </w:pPr>
      <w:r w:rsidRPr="00D06117">
        <w:rPr>
          <w:rStyle w:val="NumeroAFNegritaCaracter"/>
        </w:rPr>
        <w:t>2</w:t>
      </w:r>
      <w:r>
        <w:t>. Entrando ya en el fondo del asunto, la demandante de amparo imputa a la Sentencia recurrida la vulneración del derecho a la tutela judicial efectiva (art. 24 CE), en su vertiente de derecho a la defensa, en los términos antes expuestos, es decir, alega que el pronunciamiento condenatorio contenido en la Sentencia dictada en el juicio de faltas inmediato núm. 139-2010 del Juzgado de Instrucción núm. 7 de Las Palmas de Gran Canarias se produjo sin haber tenido conocimiento del mismo por no haber sido debidamente citada a dicho juicio, negando haber recibido la citación por telefonema y habiéndose visto privada por ello del derecho a ser oída y de ejercitar su defensa.</w:t>
      </w:r>
    </w:p>
    <w:p w:rsidR="00D06117" w:rsidRDefault="00D06117" w:rsidP="00D06117">
      <w:pPr>
        <w:pStyle w:val="TextoNormal"/>
      </w:pPr>
    </w:p>
    <w:p w:rsidR="00D06117" w:rsidRDefault="00D06117" w:rsidP="00D06117">
      <w:pPr>
        <w:pStyle w:val="TextoNormal"/>
      </w:pPr>
      <w:r>
        <w:t>De las actuaciones correspondientes al juicio de faltas núm. 139-2010 y del rollo de apelación núm. 49-2011 de la Sección Sexta de la Audiencia Provincial de las Palmas se desprende que en la comisaría del distrito sur, ODAC de la Jefatura Superior de la Policía Nacional de Canarias se tramitó el atestado núm. 7442 como consecuencia de las denuncias cruzadas, por una parte, de doña María Teresa Ruiz Medina y de su hija doña María Ángeles Álvarez Ruiz, y por otra, de la demandante de amparo, doña Adelaida Verge Ramos. Ante las denuncias mutuas el instructor del atestado acordó que todas las partes intervinieran en la doble condición de denunciantes-denunciadas (folio 5), lo que determinó que a las tres implicadas se les practicará diligencia de información de derechos en su doble condición de denunciante y denunciada, constando las respectivas actas de información de la denuncia y de los derechos al denunciado por faltas y de instrucción de derechos al perjudicado y ofendido practicadas a la actora en esa doble condición (folios 21 y 22).</w:t>
      </w:r>
    </w:p>
    <w:p w:rsidR="00D06117" w:rsidRDefault="00D06117" w:rsidP="00D06117">
      <w:pPr>
        <w:pStyle w:val="TextoNormal"/>
      </w:pPr>
    </w:p>
    <w:p w:rsidR="00D06117" w:rsidRDefault="00D06117" w:rsidP="00D06117">
      <w:pPr>
        <w:pStyle w:val="TextoNormal"/>
      </w:pPr>
      <w:r>
        <w:t>Al haberse instruido el atestado por los trámites establecidos para el enjuiciamiento inmediato de faltas, las citaciones para comparecer al acto del juicio ante el Juez de Instrucción núm. 7 de Las Palmas de Gran Canarias fueron practicadas por la policía según previene el art. 962 de la Ley de enjuiciamiento criminal (LECrim), pero mientras que la citación para comparecer en el juicio rápido de faltas el día 16 de septiembre de 2010 a las 13:25 horas fue practicada personalmente en el caso de doña María Teresa Ruiz Medina y doña María Ángeles Álvarez Ruiz (folios 11 y 14), la citación a la demandante de amparo fue practicada mediante telefonema (pág. 23) en la única calidad de “perjudicado”. Así, en el testimonio de la cedula de citación practicada a doña Adelaida Verge consta con letra manuscrita “citada a juicio telefonema 2759/10. C.P. 56238” junto con las firmas del instructor y del comunicante, sin que consten en el atestado las razones por las que su citación, a diferencia de la practicada con las otras dos implicadas, se realizó por telefonema y no personalmente a pesar de constar en la propia cédula su domicilio y su teléfono, ya que había comparecido anteriormente en la comisaría para presentar denuncia y prestar declaración.</w:t>
      </w:r>
    </w:p>
    <w:p w:rsidR="00D06117" w:rsidRDefault="00D06117" w:rsidP="00D06117">
      <w:pPr>
        <w:pStyle w:val="TextoNormal"/>
      </w:pPr>
    </w:p>
    <w:p w:rsidR="00D06117" w:rsidRDefault="00D06117" w:rsidP="00D06117">
      <w:pPr>
        <w:pStyle w:val="TextoNormal"/>
      </w:pPr>
      <w:r>
        <w:t>Así pues, dos son los aspectos que deberemos someter a examen. En primer lugar, el hecho de haber sido citada la actora, no personalmente, sino mediante telefonema y, en segundo lugar, haberlo sido en calidad, únicamente, de perjudicada.</w:t>
      </w:r>
    </w:p>
    <w:p w:rsidR="00D06117" w:rsidRDefault="00D06117" w:rsidP="00D06117">
      <w:pPr>
        <w:pStyle w:val="TextoNormal"/>
      </w:pPr>
    </w:p>
    <w:p w:rsidR="00D06117" w:rsidRDefault="00D06117" w:rsidP="00D06117">
      <w:pPr>
        <w:pStyle w:val="TextoNormal"/>
      </w:pPr>
      <w:r w:rsidRPr="00D06117">
        <w:rPr>
          <w:rStyle w:val="NumeroAFNegritaCaracter"/>
        </w:rPr>
        <w:t>3</w:t>
      </w:r>
      <w:r>
        <w:t>. Para dilucidar la primera de las cuestiones —esto es, la validez de la citación realizada mediante telefonema— debemos partir de lo preceptuado por el art. 271 de la Ley Orgánica del Poder Judicial cuando establece que “las notificaciones podrán practicarse por medio del correo, del telégrafo o de cualquier medio técnico que permita la constancia de su práctica y de las circunstancias esenciales de la misma según determinen las Leyes procesales”. Ello nos remite directamente al art. 962 LECrim, que atribuye a la Policía judicial la citación ante el Juzgado de las partes en los procedimientos para el enjuiciamiento de faltas, preceptuando su apartado 2 que la información a la persona denunciada “se practicará en todo caso por escrito”, si bien el art. 796.3 del mismo texto permite, en caso de urgencia, practicar las citaciones “por cualquier medio de comunicación, incluso verbalmente, sin perjuicio de dejar constancia de su contenido en la pertinente acta”. Sin embargo, esta posibilidad, que aparece prevista únicamente para casos de urgencia dentro de la dinámica propia del juicio rápido, en ningún caso puede implicar una lesión del derecho a la tutela judicial efectiva de los así citados, como sucedería en el supuesto de que las citaciones realizadas por medios técnicos no permitiesen dejar constancia fehaciente en autos de su envío y recepción. Este parece ser, por lo demás, el sentido del art. 152 de la Ley de enjuiciamiento civil —aplicable por mor de lo dispuesto en el art. 166 LECrim— cuando establece, en su apartado 1, que se tendrán por válidamente realizados los actos de comunicación “cuando quede constancia suficiente de haber sido practicados en la persona o en el domicilio del destinatario”; y al prever, en su apartado 2, la posibilidad de que dichos actos se efectúen mediante cualquier medio técnico “que permita dejar en los autos constancia fehaciente de la recepción, de su fecha y del contenido de lo comunicado”.</w:t>
      </w:r>
    </w:p>
    <w:p w:rsidR="00D06117" w:rsidRDefault="00D06117" w:rsidP="00D06117">
      <w:pPr>
        <w:pStyle w:val="TextoNormal"/>
      </w:pPr>
    </w:p>
    <w:p w:rsidR="00D06117" w:rsidRDefault="00D06117" w:rsidP="00D06117">
      <w:pPr>
        <w:pStyle w:val="TextoNormal"/>
      </w:pPr>
      <w:r>
        <w:t>La exigencia legal de que el medio técnico utilizado permita dejar constancia fehaciente en autos de su envío y recepción se corresponde, como hemos anticipado, con la ineludible necesidad, al entablar y proseguir los procesos judiciales, de una plena observancia del de</w:t>
      </w:r>
      <w:r>
        <w:lastRenderedPageBreak/>
        <w:t>recho a la tutela judicial efectiva sin indefensión (art. 24.1 CE), para lo cual se hace necesaria una correcta y escrupulosa constitución de la relación jurídico-procesal en cada una de las instancias del proceso, erigiéndose el régimen procesal de emplazamientos como un instrumento de capital importancia, ya que sólo mediante unas correctas citaciones y notificaciones a las partes de los distintos actos que tienen lugar en el seno del procedimiento judicial cabrá garantizar los indisponibles principios de contradicción e igualdad de armas entre las partes en litigio.</w:t>
      </w:r>
    </w:p>
    <w:p w:rsidR="00D06117" w:rsidRDefault="00D06117" w:rsidP="00D06117">
      <w:pPr>
        <w:pStyle w:val="TextoNormal"/>
      </w:pPr>
    </w:p>
    <w:p w:rsidR="00D06117" w:rsidRDefault="00D06117" w:rsidP="00D06117">
      <w:pPr>
        <w:pStyle w:val="TextoNormal"/>
      </w:pPr>
      <w:r>
        <w:t>En este sentido la STC 58/2010, de 4 de octubre, FJ 3, dejó sentado que el incumplimiento o deficiente realización de las prescripciones legales establecidas al respecto “comportará la ineficacia del acto de comunicación procesal en la medida en que se coloque al interesado en una situación de indefensión proscrita por el art. 24.1 CE, esto es, salvo que hubiese tenido conocimiento extraprocesal de su contenido o el incumplimiento fuese imputable a la propia conducta del afectado por haberse situado voluntaria o negligentemente al margen del proceso (STC 268/2000, de 13 de noviembre, FJ 4, y las allí citadas). Pero, inversamente, cabe que los efectos ordinarios del acto de comunicación procesal puedan ser enervados cuando, pese a haber sido realizado conforme a las prescripciones legales, sin embargo el destinatario no haya llegado a tener conocimiento real del mismo. En este sentido, al igual que hemos afirmado en relación con las notificaciones realizadas a través de terceras personas (STC 3/2010, de 17 de marzo, FJ 2; y las que en ella se citan), debemos ahora señalar, respecto de las comunicaciones procesales realizadas a través de medios técnicos, que los órganos judiciales no pueden presumir, sin lesionar el derecho consagrado en el art. 24.1 CE, que hayan llegado al conocimiento de la parte interesada cuando la misma cuestione fundadamente la recepción del acto de comunicación procesal o la fecha en que se produjo, supuesto en el cual, a la vista de las circunstancias del caso, de las alegaciones formuladas y de la prueba que pudiera eventualmente practicarse, están obligados a emitir un pronunciamiento expreso sobre la posibilidad o no de que el acto de comunicación procesal haya llegado a su destinatario.”</w:t>
      </w:r>
    </w:p>
    <w:p w:rsidR="00D06117" w:rsidRDefault="00D06117" w:rsidP="00D06117">
      <w:pPr>
        <w:pStyle w:val="TextoNormal"/>
      </w:pPr>
    </w:p>
    <w:p w:rsidR="00D06117" w:rsidRDefault="00D06117" w:rsidP="00D06117">
      <w:pPr>
        <w:pStyle w:val="TextoNormal"/>
      </w:pPr>
      <w:r>
        <w:t xml:space="preserve">Más concretamente, en la STC 94/2005, de 18 de abril, FJ 4, dijimos que “además de que la citación telefónica no esté prevista en la Ley de enjuiciamiento criminal como medio de comunicación procesal en los preceptos que regulan ésta (art. 175 en relación con el art. 166), respecto de tal forma de comunicar la doctrina de este Tribunal no se plantea su eventual imperfección (como no es inhabitual que ocurra en los supuestos de notificación, citación o emplazamiento mediante Oficial o Agente judicial, o mediante correo o telegrama, cuando —como no es infrecuente— los mismos dan pie a discutir la recepción o no de lo notificado por el destinatario en atención a si la dirección en la que tiene lugar la comunicación fue correcta o incorrecta o si fue recibida por persona idónea o no en atención a su relación o proximidad con quien es objeto de citación o notificación, etc.), sino que afirma su inidoneidad en sí misma considerada para lograr el fin que se persigue con las comunicaciones procesales, a saber: la constancia o acreditación de que el sujeto a quien se pretende comunicar la decisión judicial tenga conocimiento de lo que se ha procedido hasta ese momento y de lo que se va a proceder a continuación, en orden a que adopte las medidas que estime más convenientes para la defensa de sus intereses en sede jurisdiccional: en el caso de imputado, posición que correspondía al aquí recurrente, fundamentalmente para darle opción a preparar las medidas para su defensa. El legislador es perfectamente consciente de ello, como demuestra el art. 271 de la Ley Orgánica del Poder Judicial cuando dispone que </w:t>
      </w:r>
      <w:r>
        <w:lastRenderedPageBreak/>
        <w:t>las notificaciones podrán practicarse por medio del correo, del telégrafo o de cualquier medio técnico ‘que permita la constancia de su práctica y de las circunstancias esenciales de la misma según determinen las leyes procesales’ o, más recientemente, el art. 162 de la Ley de enjuiciamiento civil, cuando determina en la regulación dedicada a los actos de comunicación judicial que, caso de disponer los órganos judiciales y los destinatarios de sus comunicaciones de medios electrónicos, telemáticos, infotelecomunicaciones, o de otra clase semejante, podrán utilizarlos siempre que los mismos ‘permitan el envío y la recepción de escritos y documentos, de forma tal que esté garantizada la autenticidad de la comunicación y de su contenido y quede constancia fehaciente de la remisión y recepción íntegras y del momento en que se hicieron’. No cumple tales exigencias, evidentemente, la comunicación telefónica sin más, por lo que tal medio en sí, reiterando lo que ya dijimos en las Sentencias antes aludidas al respecto, no puede considerarse idóneo para efectuar citaciones. Naturalmente ello sin perjuicio alguno de que, respecto del citado por tal vía que comparezca ante el órgano judicial, tal comparecencia conlleve las obligaciones y derechos subsiguientes a una citación correcta, en tanto en cuanto la comparecencia en sí comporta haberse dado por enterado de la comunicación que con él se pretendía.”</w:t>
      </w:r>
    </w:p>
    <w:p w:rsidR="00D06117" w:rsidRDefault="00D06117" w:rsidP="00D06117">
      <w:pPr>
        <w:pStyle w:val="TextoNormal"/>
      </w:pPr>
    </w:p>
    <w:p w:rsidR="00D06117" w:rsidRDefault="00D06117" w:rsidP="00D06117">
      <w:pPr>
        <w:pStyle w:val="TextoNormal"/>
      </w:pPr>
      <w:r>
        <w:t>Finalmente, la STC 175/2009, de 16 de julio, FJ 2, en un supuesto de citación por teléfono a un juicio de faltas de uno de los denunciados, reiteró que entre las garantías contenidas en el art. 24.1 CE se sitúa “la necesidad de que los actos de comunicación de los órganos judiciales con las partes se realicen de forma correcta y con la diligencia debida”, matizando, en cuanto a la diligencia exigible a los órganos judiciales cuando realizan los emplazamientos, “que la citación tiene que practicarse en forma legal mediante el cumplimiento de los requisitos procesales con el fin de que el acto o resolución llegue a conocimiento de la parte y de que el Juzgado tenga la seguridad o certeza del cumplimiento de los requisitos legales para asegurar la recepción de dicha comunicación por su destinatario. Así, se ha destacado que la notificación telefónica no es un medio idóneo para emplazamientos y citaciones a un juicio oral, no sólo por no estar previsto en la Ley de enjuiciamiento criminal como medio de comunicación procesal, sino especialmente porque en sí mismo considerado no es apto para cumplir el fin perseguido de dejar constancia o acreditación de que el sujeto a quien se pretende comunicar la decisión judicial tenga conocimiento de ella (por todas, STC 94/2005, de 18 de abril, FJ 2).”</w:t>
      </w:r>
    </w:p>
    <w:p w:rsidR="00D06117" w:rsidRDefault="00D06117" w:rsidP="00D06117">
      <w:pPr>
        <w:pStyle w:val="TextoNormal"/>
      </w:pPr>
    </w:p>
    <w:p w:rsidR="00D06117" w:rsidRDefault="00D06117" w:rsidP="00D06117">
      <w:pPr>
        <w:pStyle w:val="TextoNormal"/>
      </w:pPr>
      <w:r>
        <w:t xml:space="preserve">Descendiendo al presente caso, el examen de las actuaciones judiciales pone de manifiesto que el medio utilizado para la citación para el acto de juicio de faltas, según se desprende de la anotación manuscrita en la cedula de citación, fue el telefonema. Sin embargo, la recurrente, como antes se ha señalado, en su recurso de apelación negó haber recibido citación personal alguna para comparecer al juicio que se iba a celebrar. Resulta, en definitiva, que existe una cédula que señalaba el juicio en la que se indica que la actora fue citada mediante telefonema; que en la declaración de la denunciada y aquí solicitante de amparo se determinó una dirección detallada a efectos de notificaciones (identificando igualmente número telefónico); que pese a todo ello se procedió a una citación telefónica de la que no queda otra constancia que la mención “citada a juicio telefonema 2759/10 C.P. 56238” —sin que, por lo demás, conste acreditado en el atestado el motivo por el que la demandante de amparo no fue citada personalmente, a diferencia de la citación personal realizada a las otras dos denunciantes-denunciadas, ni la concurrencia de una situación de urgencia que justificará la utilización del telefonema para su citación—. Aunque el número 2759-2010 pudiera corresponderse con el asignado en el libro registro de telefonemas de la respectiva </w:t>
      </w:r>
      <w:r>
        <w:lastRenderedPageBreak/>
        <w:t>comisaría, y la referencia “C.P. 56238” igualmente pudiera corresponderse con el número de agente que realizó la comunicación, sin embargo, lo cierto es que tales extremos no constan en el testimonio remitido, al no haberse acompañado copia del asiento del libro registro de telefonemas donde figuren más datos relativos a la comunicación de la citación realizada y sus posibles incidencias. De esta manera, lo practicado y aportado, por sí solo, no acredita de manera suficiente que realmente se realizase la citación en la persona indicada, ni que tal comunicación cumpliese las exigencias de contenido que determina la ley procesal aplicable, sobre todo, porque no queda una constancia indubitada en la misma que permita desvirtuar la rotunda negativa de su recepción por la destinataria de la comunicación con el indeseado resultado de que el juicio se celebrase sin su asistencia. En otras palabras, los únicos datos de constancia de la transmisión y recepción que aparecen manuscritos en el testimonio de la cédula de citación no sirven para acreditar de modo fehaciente la recepción de la misma por su destinataria ni el contenido de lo comunicado, lo que determina que la comunicación telefónica realizada no pueda considerarse como un medio idóneo para trasmitir el contenido íntegro de la citación al juicio de faltas.</w:t>
      </w:r>
    </w:p>
    <w:p w:rsidR="00D06117" w:rsidRDefault="00D06117" w:rsidP="00D06117">
      <w:pPr>
        <w:pStyle w:val="TextoNormal"/>
      </w:pPr>
    </w:p>
    <w:p w:rsidR="00D06117" w:rsidRDefault="00D06117" w:rsidP="00D06117">
      <w:pPr>
        <w:pStyle w:val="TextoNormal"/>
      </w:pPr>
      <w:r>
        <w:t>En estas condiciones, la conclusión, por tanto, no puede ser otra que la de que tal forma de proceder, aunque el telefonema fuera recibido efectivamente por la demandante en amparo, como parece en cédula, comportó la vulneración de las garantías del proceso e, inmediatamente derivado de ello, la de la tutela judicial efectiva sin indefensión, pues entre las garantías propias del proceso ocupa un lugar esencial la citación. Por decirlo con términos ya utilizados en ocasión similar, en la STC 327/1993, de 8 de noviembre, FJ 2: “por lo que se refiere, más en concreto, al juicio de faltas, este Tribunal ha subrayado en distintas resoluciones —SSTC 22/1987 y 141/1991—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la recepción de la cédula por el destinatario y la constancia en las actuaciones”.</w:t>
      </w:r>
    </w:p>
    <w:p w:rsidR="00D06117" w:rsidRDefault="00D06117" w:rsidP="00D06117">
      <w:pPr>
        <w:pStyle w:val="TextoNormal"/>
      </w:pPr>
    </w:p>
    <w:p w:rsidR="00D06117" w:rsidRDefault="00D06117" w:rsidP="00D06117">
      <w:pPr>
        <w:pStyle w:val="TextoNormal"/>
      </w:pPr>
      <w:r w:rsidRPr="00D06117">
        <w:rPr>
          <w:rStyle w:val="NumeroAFNegritaCaracter"/>
        </w:rPr>
        <w:t>4</w:t>
      </w:r>
      <w:r>
        <w:t>. Respecto al segundo aspecto a analizar —consistente, recuérdese, en constar en la citación dirigida a la actora su calidad, únicamente, de perjudicada— debemos partir de la premisa de que el concreto acto de comunicación de la citación al juicio de faltas inmediato se produce en un tipo de proceso penal cuya tramitación se concentra en el único acto procesal del juicio al que la recurrente debía acudir, no sólo en calidad de denunciante sino también como denunciada con los medios de prueba que estimase necesarios para su defensa, pudiendo celebrarse incluso en su ausencia si estuviera debidamente citada. En este caso, la garantía del derecho de tutela judicial representada por la correcta realización de los actos de comunicación procesal, adquiere un carácter especialmente intenso al tratarse de un proceso penal. En este sentido, la STC 255/2006, de 11 de septiembre, FJ 2, señaló que “el correcto emplazamiento de las partes para la celebración del juicio de faltas exige un especial cuidado en el órgano judicial, al depender de ello la presencia en un acto en el que, concentradamente, se articula la acusación, se proponen y practican pruebas y se realizan los alegatos en defensa de los intereses de las partes. Esta exigencia se ve especialmente reforzada por la posibilidad legal de que se celebre el juicio de faltas en ausencia del denunciado cuando conste habérsele citado con las formalidades prescritas en la ley (por todas, SSTC 134/2002, de 3 de junio, FJ 2, y 94/2005, de 18 de abril, FJ 2).”</w:t>
      </w:r>
    </w:p>
    <w:p w:rsidR="00D06117" w:rsidRDefault="00D06117" w:rsidP="00D06117">
      <w:pPr>
        <w:pStyle w:val="TextoNormal"/>
      </w:pPr>
    </w:p>
    <w:p w:rsidR="00D06117" w:rsidRDefault="00D06117" w:rsidP="00D06117">
      <w:pPr>
        <w:pStyle w:val="TextoNormal"/>
      </w:pPr>
      <w:r>
        <w:t>Para analizar la viabilidad de esta queja debe, en primer lugar, determinarse la calidad en la que fue citada la demandante de amparo al juicio de faltas inmediato seguido ante el Juzgado de Instrucción núm. 7 de Las Palmas de Gran Canaria. A tal efecto resulta esclarecedora la cédula de citación para juicio rápido por falta en la que se comunica a la actora —mediante telefonema— que deberá personarse el día indicado en el Juzgado “en calidad de: Perjudicado” (sic), informándosele a continuación de sus derechos a personarse en la causa sin necesidad de formular querella, designar Abogado y a tomar conocimiento de lo actuado e instar lo que su derecho convenga. Por último, también se le apercibe de que “el juicio podrá celebrarse de forma inmediata, aun en caso su incomparecencia; que a la celebración del mismo deberá personarse con todos los medios de prueba de los que intente valerse; que en caso de incomparecencia, sin justa causa, podrá ser sancionado con multa de 200 a 2000 euros, según art. 967.2 de la Ley de Enjuiciamiento Criminal; que de no personarse la causa y no hacer renuncia ni reserva de acciones civiles, el Ministerio Fiscal las ejercitará si correspondiente”.</w:t>
      </w:r>
    </w:p>
    <w:p w:rsidR="00D06117" w:rsidRDefault="00D06117" w:rsidP="00D06117">
      <w:pPr>
        <w:pStyle w:val="TextoNormal"/>
      </w:pPr>
    </w:p>
    <w:p w:rsidR="00D06117" w:rsidRDefault="00D06117" w:rsidP="00D06117">
      <w:pPr>
        <w:pStyle w:val="TextoNormal"/>
      </w:pPr>
      <w:r>
        <w:t>La cuestión que se plantea, pues, versa sobre un acto de comunicación judicial a una parte en el proceso, acto esencial toda vez que estaba dirigido a garantizar la presencia de la acusada en el juicio de faltas con pleno conocimiento de su posición procesal.</w:t>
      </w:r>
    </w:p>
    <w:p w:rsidR="00D06117" w:rsidRDefault="00D06117" w:rsidP="00D06117">
      <w:pPr>
        <w:pStyle w:val="TextoNormal"/>
      </w:pPr>
    </w:p>
    <w:p w:rsidR="00D06117" w:rsidRDefault="00D06117" w:rsidP="00D06117">
      <w:pPr>
        <w:pStyle w:val="TextoNormal"/>
      </w:pPr>
      <w:r>
        <w:t>La información de derechos y apercibimientos realizados en la cédula de citación responde a lo dispuesto en el art. 962 LECrim, que establece lo siguiente: “1. Cuando la Policía Judicial tenga noticia de un hecho que presente los caracteres de falta tipificada en el artículo 617, en el artículo 623.1 cuando sea flagrante o en el artículo 620 del Código Penal, siempre que en este último caso el ofendido sea alguna de las personas a las que se refiere el artículo 173.2 del mismo Código, cuyo enjuiciamiento corresponda al Juzgado de Instrucción al que se debe entregar el atestado o a otro del mismo partido judicial, procederá de forma inmediata a citar ante el juzgado de guardia a los ofendidos y perjudicados, al denunciante, al denunciado y a los testigos que puedan dar razón de los hechos. Al hacer dicha citación se apercibirá a las personas citadas de las respectivas consecuencias de no comparecer ante el Juzgado de guardia. Asimismo, se las apercibirá de que podrá celebrarse el juicio de faltas de forma inmediata en el Juzgado de guardia, incluso aunque no comparezcan, y de que han de comparecer con los medios de prueba de que intenten valerse. Al denunciante y al ofendido o perjudicado se les informará de sus derechos en los términos previstos en los artículos 109, 110 y 967.2. A la persona denunciada se le informará sucintamente de los hechos en que consista la denuncia y del derecho que le asiste de comparecer asistido de abogado. Dicha información se practicará en todo caso por escrito.”</w:t>
      </w:r>
    </w:p>
    <w:p w:rsidR="00D06117" w:rsidRDefault="00D06117" w:rsidP="00D06117">
      <w:pPr>
        <w:pStyle w:val="TextoNormal"/>
      </w:pPr>
    </w:p>
    <w:p w:rsidR="00D06117" w:rsidRDefault="00D06117" w:rsidP="00D06117">
      <w:pPr>
        <w:pStyle w:val="TextoNormal"/>
      </w:pPr>
      <w:r>
        <w:t>En este precepto se vienen a distinguir con claridad las distintas calidades procesales en que se puede ser citado a juicio: de un lado, como denunciante, ofendido o perjudicado; de otro, como denunciado; y, por último, como testigo.</w:t>
      </w:r>
    </w:p>
    <w:p w:rsidR="00D06117" w:rsidRDefault="00D06117" w:rsidP="00D06117">
      <w:pPr>
        <w:pStyle w:val="TextoNormal"/>
      </w:pPr>
    </w:p>
    <w:p w:rsidR="00D06117" w:rsidRDefault="00D06117" w:rsidP="00D06117">
      <w:pPr>
        <w:pStyle w:val="TextoNormal"/>
      </w:pPr>
      <w:r>
        <w:t xml:space="preserve">Respecto de la primera categoría —denunciante, ofendido o perjudicado— se contempla un régimen especial de derechos cuyo contenido se determina por remisión a los artículos 109, 110 y 967 del mismo texto legal. Así, en el art. 109 se dispone, respecto del ofendido, que el Secretario Judicial le instruirá “del derecho que le asiste para mostrarse parte en el proceso y renunciar o no a la restitución de la cosa, reparación del daño e indemnización </w:t>
      </w:r>
      <w:r>
        <w:lastRenderedPageBreak/>
        <w:t>del perjuicio causado por el hecho punible. Asimismo le informará de la posibilidad y procedimiento para solicitar las ayudas que conforme a la legislación vigente puedan corresponderle”. Respecto de los perjudicados, el art. 110 establece que “podrán mostrarse parte en la causa si lo hicieran antes del trámite de calificación del delito, y ejercitar las acciones civiles y penales que procedan o solamente unas u otras, según les conviniere, sin que por ello se retroceda en el curso de las actuaciones. Aun cuando los perjudicados no se muestren parte en la causa, no por esto se entiende que renuncian al derecho de restitución, reparación o indemnización que a su favor puede acordarse en sentencia firme, siendo menester que la renuncia de este derecho se haga en su caso de una manera expresa y terminante”.</w:t>
      </w:r>
    </w:p>
    <w:p w:rsidR="00D06117" w:rsidRDefault="00D06117" w:rsidP="00D06117">
      <w:pPr>
        <w:pStyle w:val="TextoNormal"/>
      </w:pPr>
    </w:p>
    <w:p w:rsidR="00D06117" w:rsidRDefault="00D06117" w:rsidP="00D06117">
      <w:pPr>
        <w:pStyle w:val="TextoNormal"/>
      </w:pPr>
      <w:r>
        <w:t>Respecto de la segunda categoría —esto es, las personas denunciadas—, el apartado 2 del citado art. 962 dispone, como se ha visto, que se les “informará sucintamente de los hechos en que consista la denuncia y del derecho que le asiste de comparecer asistido de abogado. Dicha información se practicará en todo caso por escrito”. Previsión esta que se reproduce en el artículo 967.1 al disponerse que “a la citación del imputado se acompañará copia de la querella o de la denuncia que se haya presentado”.</w:t>
      </w:r>
    </w:p>
    <w:p w:rsidR="00D06117" w:rsidRDefault="00D06117" w:rsidP="00D06117">
      <w:pPr>
        <w:pStyle w:val="TextoNormal"/>
      </w:pPr>
    </w:p>
    <w:p w:rsidR="00D06117" w:rsidRDefault="00D06117" w:rsidP="00D06117">
      <w:pPr>
        <w:pStyle w:val="TextoNormal"/>
      </w:pPr>
      <w:r>
        <w:t>Este Tribunal ha subrayado en distintas resoluciones (SSTC 41/1987, de 6 de abril, FJ 3; 141/1991, de 20 de junio, FJ 2; 17/1992, de 10 de febrero, FJ 2; 327/1993, de 8 de noviembre, FJ 2; y 10/1995, de 16 de enero, FJ 2) que la finalidad esencial de la citación para la celebración del juicio es la de garantizar el acceso al proceso con todas las garantías y, en concreto, la efectividad del derecho de defensa, por lo que no puede reducirse a un mero requisito formal para la realización de los siguientes actos procesales, sino que es necesario que el contenido y la forma en que se realice garantice, en la mayor medida posible, que aquélla ha llegado efectivamente a poder del destinatario y la constancia en las actuaciones, de manera que, en lo que ahora más nos interesa, a aquél se le proporcione un conocimiento específico, cabal y efectivo de su situación procesal y de las concretas obligaciones que de la misma se desprenden.</w:t>
      </w:r>
    </w:p>
    <w:p w:rsidR="00D06117" w:rsidRDefault="00D06117" w:rsidP="00D06117">
      <w:pPr>
        <w:pStyle w:val="TextoNormal"/>
      </w:pPr>
    </w:p>
    <w:p w:rsidR="00D06117" w:rsidRDefault="00D06117" w:rsidP="00D06117">
      <w:pPr>
        <w:pStyle w:val="TextoNormal"/>
      </w:pPr>
      <w:r>
        <w:t>Pues bien, en el presente caso la obligación de “aseguramiento” de la posición procesal y del derecho de las partes a la defensa no ha sido cumplimentada de manera adecuada por el Juzgado de Instrucción porque la citación a la actora se formula en una posición procesal (“perjudicada”) que no era la que le correspondía (“denunciada”), sin que conste que se le informase, ni verbalmente ni mucho menos por escrito, del concreto contenido de la denuncia y de las imputaciones que en ella se contenían —sin que se le facilitase copia de la denuncia presentada—, ni del derecho que le asistía de comparecer asistida de abogado en calidad de denunciada (como exigen los arts. 962.2 y 967.2 LECrim, antes transcritos). En definitiva, en la cédula de citación obrante en las actuaciones se cita a la demandante en calidad de “perjudicado” sin referencia expresa a su condición de denunciada y de los derechos correspondientes a esta condición por lo que, en cualquier caso, y con independencia de los defectos antes expuestos respecto del medio utilizado para comunicar la citación, lo cierto es que el contenido de la comunicación no puede entenderse que permitiese conocer a la demandante de amparo que también concurriría al acto del juicio y sería enjuiciada en calidad de denunciada.</w:t>
      </w:r>
    </w:p>
    <w:p w:rsidR="00D06117" w:rsidRDefault="00D06117" w:rsidP="00D06117">
      <w:pPr>
        <w:pStyle w:val="TextoNormal"/>
      </w:pPr>
    </w:p>
    <w:p w:rsidR="00D06117" w:rsidRDefault="00D06117" w:rsidP="00D06117">
      <w:pPr>
        <w:pStyle w:val="TextoNormal"/>
      </w:pPr>
      <w:r>
        <w:t xml:space="preserve">Partiendo del dato fáctico, y por tanto, incuestionable de que la recurrente en amparo fue erróneamente citada en calidad de perjudicada, y no, como correspondía, en calidad de denunciada, podemos llegar a colegir, en buena lógica, que la citación —además de no haber </w:t>
      </w:r>
      <w:r>
        <w:lastRenderedPageBreak/>
        <w:t>sido realizada “en forma”, en contra de lo que consideró la Audiencia Provincial al desestimar el recurso de apelación interpuesto— tampoco contenía un “fondo material” que se adecuase a la realidad procesal y que proporcionase a la parte un conocimiento correcto y pleno de su verdadera situación y de los derechos que le asistían. Téngase especialmente presente, en este sentido. que el art. 110 LECrim atribuye a los “perjudicados” la mera potestad, que no obligación, de personarse en la causa (se dice así que “podrán mostrarse parte en la causa”, y que “aun cuando los perjudicados no se muestren parte en la causa”), resultando así incuestionable que la citación practicada, al facilitar a la actora una información errónea de cuál era su verdadera posición en el proceso, ha venido a enervar la plenitud de conocimiento y de ejercicio de los concretos derechos y obligaciones que aquella situación procesal llevaba aparejados.</w:t>
      </w:r>
    </w:p>
    <w:p w:rsidR="00D06117" w:rsidRDefault="00D06117" w:rsidP="00D06117">
      <w:pPr>
        <w:pStyle w:val="TextoNormal"/>
      </w:pPr>
    </w:p>
    <w:p w:rsidR="00D06117" w:rsidRDefault="00D06117" w:rsidP="00D06117">
      <w:pPr>
        <w:pStyle w:val="TextoNormal"/>
      </w:pPr>
      <w:r>
        <w:t>En definitiva, la confusión del órgano judicial ha generado una clara situación de indefensión en la actora, quien, al no haber sido informada de la existencia de una denuncia y de un procedimiento judicial dirigido contra ella, se ha visto privada del conocimiento de que su real situación procesal imponía su personación en el procedimiento y la debida articulación de su defensa en el juicio oral, lo que supone una evidente lesión del derecho a la tutela judicial efectiva sin indefensión (art 24.1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demanda de amparo interpuesta por doña Adelaida Verge Ramos.</w:t>
      </w:r>
    </w:p>
    <w:p w:rsidR="00D06117" w:rsidRDefault="00D06117" w:rsidP="00D06117">
      <w:pPr>
        <w:pStyle w:val="TextoNormal"/>
      </w:pPr>
    </w:p>
    <w:p w:rsidR="00D06117" w:rsidRDefault="00D06117" w:rsidP="00D06117">
      <w:pPr>
        <w:pStyle w:val="TextoNormal"/>
      </w:pPr>
      <w:r>
        <w:t>1º Declarar que se ha vulnerado el derecho fundamental de la recurrente a la tutela judicial efectiva (art. 24.1 y 2 CE).</w:t>
      </w:r>
    </w:p>
    <w:p w:rsidR="00D06117" w:rsidRDefault="00D06117" w:rsidP="00D06117">
      <w:pPr>
        <w:pStyle w:val="TextoNormal"/>
      </w:pPr>
    </w:p>
    <w:p w:rsidR="00D06117" w:rsidRDefault="00D06117" w:rsidP="00D06117">
      <w:pPr>
        <w:pStyle w:val="TextoNormal"/>
      </w:pPr>
      <w:r>
        <w:t>2º Restablecerla en su derecho y, a tal fin, anular las Sentencias de 30 de marzo de 2011, de la Sección Sexta de la Audiencia Provincial de las Palmas que desestimó el recurso de apelación interpuesto y la Sentencia de 16 de septiembre de 2010 del Juzgado de Instrucción núm. 7 de Las Palmas de Gran Canaria en el juicio de faltas núm. 139-2010, ordenándose la retroacción de las actuaciones al concreto trámite de citación de doña Adelaida Verge Ramos al juicio de faltas.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1" w:name="SENTENCIA_2012_98"/>
      <w:r>
        <w:lastRenderedPageBreak/>
        <w:t>SENTENCIA 98/2012, de 7 de mayo de 2012</w:t>
      </w:r>
    </w:p>
    <w:bookmarkEnd w:id="101"/>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ECLI:ES:TC:2012:98</w:t>
      </w:r>
    </w:p>
    <w:p w:rsidR="00D06117" w:rsidRDefault="00D06117" w:rsidP="00D06117">
      <w:pPr>
        <w:pStyle w:val="SntesisDescriptiva"/>
      </w:pPr>
    </w:p>
    <w:p w:rsidR="00D06117" w:rsidRDefault="00D06117" w:rsidP="00D06117">
      <w:pPr>
        <w:pStyle w:val="SntesisDescriptiva"/>
      </w:pPr>
      <w:r>
        <w:t>Cuestión de inconstitucionalidad 127-2012. Planteada por el Juzgado de lo Contencioso-Administrativo núm. 12 de Barcelona, en relación con el artículo 132.2 y 3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w:t>
      </w:r>
    </w:p>
    <w:p w:rsidR="00D06117" w:rsidRDefault="00D06117" w:rsidP="00D06117">
      <w:pPr>
        <w:pStyle w:val="SntesisDescriptiva"/>
      </w:pPr>
    </w:p>
    <w:p w:rsidR="00D06117" w:rsidRDefault="00D06117" w:rsidP="00D06117">
      <w:pPr>
        <w:pStyle w:val="SntesisAnaltica"/>
      </w:pPr>
      <w:r>
        <w:t>Principios de seguridad jurídica, independencia judicial y supremacía del Tribunal Constitucional en materia de garantías constitucionales: STC 37/2012. Voto particular.</w:t>
      </w:r>
    </w:p>
    <w:p w:rsidR="00D06117" w:rsidRDefault="00D06117" w:rsidP="00D06117">
      <w:pPr>
        <w:pStyle w:val="SntesisAnaltica"/>
      </w:pPr>
    </w:p>
    <w:p w:rsidR="00D06117" w:rsidRDefault="00D06117" w:rsidP="00D06117">
      <w:pPr>
        <w:pStyle w:val="Extracto"/>
      </w:pPr>
      <w:r>
        <w:t>1.</w:t>
      </w:r>
      <w:r>
        <w:tab/>
        <w:t>Las dudas de constitucionalidad que se plantean en la presente cuestión en relación con el contenido normativo de los apartados 2 y 3 del art. 132 LPC, determinado por la doctrina legal vinculante establecida en dos sentencias del Tribunal Supremo en interés de ley, han sido ya resueltas por este Tribunal en la STC 37/2012 [FFJJ 2 a 4].</w:t>
      </w:r>
    </w:p>
    <w:p w:rsidR="00D06117" w:rsidRDefault="00D06117" w:rsidP="00D06117">
      <w:pPr>
        <w:pStyle w:val="Extracto"/>
      </w:pPr>
    </w:p>
    <w:p w:rsidR="00D06117" w:rsidRDefault="00D06117" w:rsidP="00D06117">
      <w:pPr>
        <w:pStyle w:val="Extracto"/>
      </w:pPr>
      <w:r>
        <w:t>2.</w:t>
      </w:r>
      <w:r>
        <w:tab/>
        <w:t xml:space="preserve">El mandato normativo del art. 132 LPC no vulnera el principio de seguridad jurídica, </w:t>
      </w:r>
      <w:r w:rsidRPr="00D06117">
        <w:rPr>
          <w:i/>
        </w:rPr>
        <w:t>ex</w:t>
      </w:r>
      <w:r>
        <w:t xml:space="preserve"> art. 9.3 CE, puesto que aparece enunciado, con el contenido establecido por la Sala de lo Contencioso-Administrativo del Tribunal Supremo en dos Sentencias en interés de ley, con suficiente claridad, eliminando cualquier sombra de incertidumbre acerca de su contenido y alcance en cuanto a la fijación del </w:t>
      </w:r>
      <w:r w:rsidRPr="00D06117">
        <w:rPr>
          <w:i/>
        </w:rPr>
        <w:t>dies a quo</w:t>
      </w:r>
      <w:r>
        <w:t xml:space="preserve"> del cómputo del plazo de prescripción de las infracciones y sanciones administrativas (STC 37/2012) [FJ 3].</w:t>
      </w:r>
    </w:p>
    <w:p w:rsidR="00D06117" w:rsidRDefault="00D06117" w:rsidP="00D06117">
      <w:pPr>
        <w:pStyle w:val="Extracto"/>
      </w:pPr>
    </w:p>
    <w:p w:rsidR="00D06117" w:rsidRDefault="00D06117" w:rsidP="00D06117">
      <w:pPr>
        <w:pStyle w:val="Extracto"/>
      </w:pPr>
      <w:r>
        <w:t>3.</w:t>
      </w:r>
      <w:r>
        <w:tab/>
        <w:t>La doctrina legal establecida por el Tribunal Supremo que establece el contenido normativo del art. 132 LPC no contradice la doctrina constitucional sobre el silencio administrativo, configurado como una ficción legal que responde a la finalidad de que el ciudadano pueda acceder a la vía judicial superando los efectos de la inactividad de la Administración (STC 37/2012) [FJ 3].</w:t>
      </w:r>
    </w:p>
    <w:p w:rsidR="00D06117" w:rsidRDefault="00D06117" w:rsidP="00D06117">
      <w:pPr>
        <w:pStyle w:val="Extracto"/>
      </w:pPr>
    </w:p>
    <w:p w:rsidR="00D06117" w:rsidRDefault="00D06117" w:rsidP="00D06117">
      <w:pPr>
        <w:pStyle w:val="Extracto"/>
      </w:pPr>
      <w:r>
        <w:t>4.</w:t>
      </w:r>
      <w:r>
        <w:tab/>
        <w:t xml:space="preserve">La doctrina legal vinculante establecida por el Tribunal Supremo para Jueces y Tribunales inferiores en grado del orden jurisdiccional contencioso-administrativo no sólo preserva la seguridad jurídica sino que además garantiza que el </w:t>
      </w:r>
      <w:r w:rsidRPr="00D06117">
        <w:rPr>
          <w:i/>
        </w:rPr>
        <w:t>status</w:t>
      </w:r>
      <w:r>
        <w:t xml:space="preserve"> jurídico de los ciudadanos sea igual en todo el territorio nacional (STC 37/2012) [FJ 3].</w:t>
      </w:r>
    </w:p>
    <w:p w:rsidR="00D06117" w:rsidRDefault="00D06117" w:rsidP="00D06117">
      <w:pPr>
        <w:pStyle w:val="Extracto"/>
      </w:pPr>
    </w:p>
    <w:p w:rsidR="00D06117" w:rsidRDefault="00D06117" w:rsidP="00D06117">
      <w:pPr>
        <w:pStyle w:val="Extracto"/>
      </w:pPr>
      <w:r>
        <w:t>5.</w:t>
      </w:r>
      <w:r>
        <w:tab/>
        <w:t>Aunque el incumplimiento por la Administración de la obligación de resolver en plazo el recurso de alzada pudiera considerarse contrario a las exigencias del principio de eficacia administrativa, es claro que ello en modo alguno resulta imputable a los preceptos legales cuestionados con el contenido normativo establecido por las Sentencias en interés de ley del Tribunal Supremo [FJ 3].</w:t>
      </w:r>
    </w:p>
    <w:p w:rsidR="00D06117" w:rsidRDefault="00D06117" w:rsidP="00D06117">
      <w:pPr>
        <w:pStyle w:val="Extracto"/>
      </w:pPr>
    </w:p>
    <w:p w:rsidR="00D06117" w:rsidRDefault="00D06117" w:rsidP="00D06117">
      <w:pPr>
        <w:pStyle w:val="Extracto"/>
      </w:pPr>
      <w:r>
        <w:t>6.</w:t>
      </w:r>
      <w:r>
        <w:tab/>
        <w:t xml:space="preserve">Hemos de rechazar la supuesta infracción del principio de interdicción de la arbitrariedad, </w:t>
      </w:r>
      <w:r w:rsidRPr="00D06117">
        <w:rPr>
          <w:i/>
        </w:rPr>
        <w:t>ex</w:t>
      </w:r>
      <w:r>
        <w:t xml:space="preserve"> art 9.3 CE, pues no tiene otro sustento que la discrepancia del Juzgado promotor de la cuestión con la doctrina legal sentada en las Sentencias del Tribunal Supremo en interés de ley, que determina el contenido normativo de los preceptos cuestionados en cuanto a la imprescriptibilidad de la sanción durante la pendencia del recurso de alzada contra la resolución sancionadora [FJ 4].</w:t>
      </w:r>
    </w:p>
    <w:p w:rsidR="00D06117" w:rsidRDefault="00D06117" w:rsidP="00D06117">
      <w:pPr>
        <w:pStyle w:val="Extracto"/>
      </w:pPr>
    </w:p>
    <w:p w:rsidR="00D06117" w:rsidRDefault="00D06117" w:rsidP="00D06117">
      <w:pPr>
        <w:pStyle w:val="Extracto"/>
      </w:pPr>
      <w:r>
        <w:t>7.</w:t>
      </w:r>
      <w:r>
        <w:tab/>
        <w:t>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127-2012, planteada por el Juzgado de lo Contencioso-Administrativo núm. 12 de Barcelona, en relación con los apartados 2 y 3 del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por posible infracción de los arts. 9.3 y 103.1 de la Constitución. Han intervenido el Abogado del Estado y el Fiscal General del Estado. Ha sido ponente el Magistrado don Manuel Aragón Reyes,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11 de enero de 2012 tuvo entrada en el Registro General de este Tribunal oficio del Juzgado de lo Contencioso-Administrativo núm. 12 de Barcelona al que se acompañaba, junto con testimonio del procedimiento abreviado núm. 324-2010 tramitado en ese órgano judicial, Auto del referido Juzgado de 20 de diciembre de 2011 por el que se acuerda elevar a este Tribunal cuestión de inconstitucionalidad con respecto a los apartados 2 y 3 del art. 132 de la Ley 30/1992, de 26 de noviembre, de régimen jurídico de las Administraciones públicas y del procedimiento administrativo común (LPC), tal como han sido inter</w:t>
      </w:r>
      <w:r>
        <w:lastRenderedPageBreak/>
        <w:t>pretados con carácter vinculante por las Sentencias de la Sala de lo Contencioso-Administrativo del Tribunal Supremo de 15 de diciembre de 2004 y 22 de septiembre de 2008, por su posible contradicción con los arts. 9.3 y 103.1 CE.</w:t>
      </w:r>
    </w:p>
    <w:p w:rsidR="00D06117" w:rsidRDefault="00D06117" w:rsidP="00D06117">
      <w:pPr>
        <w:pStyle w:val="TextoNormal"/>
      </w:pPr>
    </w:p>
    <w:p w:rsidR="00D06117" w:rsidRDefault="00D06117" w:rsidP="00D06117">
      <w:pPr>
        <w:pStyle w:val="TextoNormal"/>
      </w:pPr>
      <w:r w:rsidRPr="00D06117">
        <w:rPr>
          <w:rStyle w:val="NumeroAFNegritaCaracter"/>
        </w:rPr>
        <w:t>2</w:t>
      </w:r>
      <w:r>
        <w:t>. Del conjunto de las actuaciones remitidas por el órgano judicial proponente resulta que los hechos que dan lugar al planteamiento de la cuestión son los que siguen:</w:t>
      </w:r>
    </w:p>
    <w:p w:rsidR="00D06117" w:rsidRDefault="00D06117" w:rsidP="00D06117">
      <w:pPr>
        <w:pStyle w:val="TextoNormal"/>
      </w:pPr>
    </w:p>
    <w:p w:rsidR="00D06117" w:rsidRDefault="00D06117" w:rsidP="00D06117">
      <w:pPr>
        <w:pStyle w:val="TextoNormal"/>
      </w:pPr>
      <w:r>
        <w:t>a) La presente cuestión de inconstitucionalidad se eleva con ocasión de la tramitación, por los cauces del procedimiento abreviado, del recurso contencioso-administrativo interpuesto por una empresa de transportes contra la resolución del Conseller del Departamento de Política Territorial y Obras Públicas de la Generalitat de Cataluña de 23 de marzo de 2010, que confirma en alzada la resolución del Director General de Puertos y Transportes del referido Departamento de 14 de marzo de 2007 por la que le fue impuesta a dicha empresa una sanción de 4.601 euros por la comisión de la infracción muy grave tipificada en el art. 140.12 de la Ley 16/1987, de 30 de julio, de ordenación de los transportes terrestres (LOTT).</w:t>
      </w:r>
    </w:p>
    <w:p w:rsidR="00D06117" w:rsidRDefault="00D06117" w:rsidP="00D06117">
      <w:pPr>
        <w:pStyle w:val="TextoNormal"/>
      </w:pPr>
    </w:p>
    <w:p w:rsidR="00D06117" w:rsidRDefault="00D06117" w:rsidP="00D06117">
      <w:pPr>
        <w:pStyle w:val="TextoNormal"/>
      </w:pPr>
      <w:r>
        <w:t>b) Celebrada la vista del procedimiento abreviado, mediante providencia de 17 de noviembre de 2011 el Juzgado de lo Contencioso-Administrativo núm. 12 de Barcelona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los apartados 2 y 3 del art. 132 LPC, tal como han sido interpretados con carácter vinculante por las Sentencias en interés de ley de la Sala de lo Contencioso-Administrativo del Tribunal Supremo de 15 de diciembre de 2004 y 22 de septiembre de 2008, por su posible contradicción con los principios de seguridad jurídica (art. 9.3 CE) y eficacia de la Administración pública (art. 103.1 CE).</w:t>
      </w:r>
    </w:p>
    <w:p w:rsidR="00D06117" w:rsidRDefault="00D06117" w:rsidP="00D06117">
      <w:pPr>
        <w:pStyle w:val="TextoNormal"/>
      </w:pPr>
    </w:p>
    <w:p w:rsidR="00D06117" w:rsidRDefault="00D06117" w:rsidP="00D06117">
      <w:pPr>
        <w:pStyle w:val="TextoNormal"/>
      </w:pPr>
      <w:r>
        <w:t>c) La representación procesal de la empresa demandante no formuló alegaciones. Por su parte, tanto la Letrada de la Generalitat de Cataluña como el Ministerio Fiscal se pronunciaron en contra del planteamiento de la cuestión.</w:t>
      </w:r>
    </w:p>
    <w:p w:rsidR="00D06117" w:rsidRDefault="00D06117" w:rsidP="00D06117">
      <w:pPr>
        <w:pStyle w:val="TextoNormal"/>
      </w:pPr>
    </w:p>
    <w:p w:rsidR="00D06117" w:rsidRDefault="00D06117" w:rsidP="00D06117">
      <w:pPr>
        <w:pStyle w:val="TextoNormal"/>
      </w:pPr>
      <w:r>
        <w:t>d) Mediante Auto de 20 de diciembre de 2011 el Juzgado de lo Contencioso-Administrativo núm. 12 de Barcelona acordó plantear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3</w:t>
      </w:r>
      <w:r>
        <w:t>. El Juzgado fundamenta el planteamiento de la cuestión en las consideraciones que seguidamente se resumen.</w:t>
      </w:r>
    </w:p>
    <w:p w:rsidR="00D06117" w:rsidRDefault="00D06117" w:rsidP="00D06117">
      <w:pPr>
        <w:pStyle w:val="TextoNormal"/>
      </w:pPr>
    </w:p>
    <w:p w:rsidR="00D06117" w:rsidRDefault="00D06117" w:rsidP="00D06117">
      <w:pPr>
        <w:pStyle w:val="TextoNormal"/>
      </w:pPr>
      <w:r>
        <w:t>Por lo que se refiere al juicio de relevancia, afirma que debe entenderse cumplido por cuanto en el debate procesal se ha suscitado la prescripción de la infracción y de la sanción, siendo así que desde la interposición del recurso de alzada contra la sanción hasta la notificación de su resolución han transcurrido algo más de tres años, que es el plazo de prescripción previsto en el art. 145 LOTT (por remisión a la Ley de régimen jurídico de las Administraciones públicas y del procedimiento administrativo común) en relación con las sanciones impuestas por infracciones muy graves, en tanto que el plazo de prescripción de las infracciones previstas en la Ley de ordenación de los transportes terrestres es de un año.</w:t>
      </w:r>
    </w:p>
    <w:p w:rsidR="00D06117" w:rsidRDefault="00D06117" w:rsidP="00D06117">
      <w:pPr>
        <w:pStyle w:val="TextoNormal"/>
      </w:pPr>
    </w:p>
    <w:p w:rsidR="00D06117" w:rsidRDefault="00D06117" w:rsidP="00D06117">
      <w:pPr>
        <w:pStyle w:val="TextoNormal"/>
      </w:pPr>
      <w:r>
        <w:lastRenderedPageBreak/>
        <w:t>En cuanto al fondo del asunto, se apuntan las diferencias entre la presente cuestión y la inadmitida por AATC 10/2006 y 11/2006, ambos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11/2006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w:t>
      </w:r>
    </w:p>
    <w:p w:rsidR="00D06117" w:rsidRDefault="00D06117" w:rsidP="00D06117">
      <w:pPr>
        <w:pStyle w:val="TextoNormal"/>
      </w:pPr>
    </w:p>
    <w:p w:rsidR="00D06117" w:rsidRDefault="00D06117" w:rsidP="00D06117">
      <w:pPr>
        <w:pStyle w:val="TextoNormal"/>
      </w:pPr>
      <w:r>
        <w:t>De este modo, en opinión del Juzgado promotor de la cuestión, el sancionado queda en una situación de inseguridad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w:t>
      </w:r>
    </w:p>
    <w:p w:rsidR="00D06117" w:rsidRDefault="00D06117" w:rsidP="00D06117">
      <w:pPr>
        <w:pStyle w:val="TextoNormal"/>
      </w:pPr>
    </w:p>
    <w:p w:rsidR="00D06117" w:rsidRDefault="00D06117" w:rsidP="00D06117">
      <w:pPr>
        <w:pStyle w:val="TextoNormal"/>
      </w:pPr>
      <w:r>
        <w:t>Además, según se indica en el Auto, esta interpretación vinculante de las reglas del cómputo de los plazos de prescripción de las infracciones y de las sanciones del art. 132 LPC, resultante de la doctrina legal establecida por las citadas Sentencias del Tribunal Supremo, no sólo afecta a la seguridad jurídica, sino que también pone en cuestión la efectividad del principio de eficacia administrativa (art. 103.1 CE), que se conecta con el derecho a la buena administración, reconocido en la Carta europea de derechos fundamentales (art. 41), así como en el Estatuto de Autonomía de Cataluña (art. 30). Para el Juzgado promotor de la cuestión, cuando lo que se plantea es el incumplimiento por parte de la Administración de su obligación de resolver en un plazo razonable, debe admitirse que el problema adquiere relevancia constitucional por conexión con el principio de interdicción de la arbitrariedad.</w:t>
      </w:r>
    </w:p>
    <w:p w:rsidR="00D06117" w:rsidRDefault="00D06117" w:rsidP="00D06117">
      <w:pPr>
        <w:pStyle w:val="TextoNormal"/>
      </w:pPr>
    </w:p>
    <w:p w:rsidR="00D06117" w:rsidRDefault="00D06117" w:rsidP="00D06117">
      <w:pPr>
        <w:pStyle w:val="TextoNormal"/>
      </w:pPr>
      <w:r>
        <w:t xml:space="preserve">En definitiva, considera el Juzgado proponente de la cuestión que los apartados 2 y 3 del art. 132 LPC, tal como han sido interpretados con carácter vinculante por las referidas Sentencias en interés de ley de la Sala de lo Contencioso-Administrativo del Tribunal Supremo, comportan la vulneración tanto del principio de seguridad jurídica (art. 9.3 CE), como del principio de eficacia administrativa (art. 103.1 CE), en ambos casos en conexión con el principio de interdicción de la arbitrariedad de los poderes públicos (art. 9.3 CE), puesto que no se encuentra justificación razonable o proporcionada para esa interpretación, en cuanto impone un régimen de cómputo de la prescripción de infracciones y sanciones que </w:t>
      </w:r>
      <w:r>
        <w:lastRenderedPageBreak/>
        <w:t>permite la pervivencia ilimitada en el tiempo de la acción punitiva en el supuesto de inactividad de la Administración en la resolución del recurso administrativo.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28 de febrero de 2012 el Pleno, a propuesta de la Sección Primera, acordó admitir a trámite la presente cuestión de inconstitucionalidad y deferir a la Sala Primera su resolución, conforme a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12 de Barcelona a los efectos previstos en el art. 35.3 LOTC y publicar la incoación del procedimiento en el “Boletín Oficial del Estado”, lo que se verificó en el núm. 60, de 10 de marzo de 2012.</w:t>
      </w:r>
    </w:p>
    <w:p w:rsidR="00D06117" w:rsidRDefault="00D06117" w:rsidP="00D06117">
      <w:pPr>
        <w:pStyle w:val="TextoNormal"/>
      </w:pPr>
    </w:p>
    <w:p w:rsidR="00D06117" w:rsidRDefault="00D06117" w:rsidP="00D06117">
      <w:pPr>
        <w:pStyle w:val="TextoNormal"/>
      </w:pPr>
      <w:r w:rsidRPr="00D06117">
        <w:rPr>
          <w:rStyle w:val="NumeroAFNegritaCaracter"/>
        </w:rPr>
        <w:t>5</w:t>
      </w:r>
      <w:r>
        <w:t>. El Presidente del Congreso de los Diputados comunicó, por escrito registrado en este Tribunal el 15 de marzo de 2012, el acuerdo adoptado por la Mesa de la Cámara, en su reunión del día 13 de marzo de 2012, de personarse en el proceso, ofreciendo su colaboración a los efectos del art. 88.1 LOTC, con remisión a la Dirección de estudios, análisis y publicaciones y a la asesoría jurídica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en este Tribunal el 15 de marzo de 2012, el Presidente del Senado comunicó el acuerdo adoptado por la Mesa de la Cámara, en su reunión del 14 de marzo de 2012, de personarse en el proceso,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7</w:t>
      </w:r>
      <w:r>
        <w:t>. El Abogado del Estado, en la representación que legalmente ostenta, se personó y presentó escrito de alegaciones el 23 de marzo de 2012, en el que, tras advertir que la presente cuestión es virtualmente idéntica a la resuelta por este Tribunal en su reciente STC 37/2012, de 19 de marzo, considera que se trata de una cuestión inadmisible porque el Juzgado no exterioriza debidamente el juicio de relevancia (art. 35.1 LOTC) y, en cualquier caso, porque los apartados del art. 132 LPC que se cuestionan no son realmente relevantes para el fallo a dictar en el proceso a quo.</w:t>
      </w:r>
    </w:p>
    <w:p w:rsidR="00D06117" w:rsidRDefault="00D06117" w:rsidP="00D06117">
      <w:pPr>
        <w:pStyle w:val="TextoNormal"/>
      </w:pPr>
    </w:p>
    <w:p w:rsidR="00D06117" w:rsidRDefault="00D06117" w:rsidP="00D06117">
      <w:pPr>
        <w:pStyle w:val="TextoNormal"/>
      </w:pPr>
      <w:r>
        <w:t xml:space="preserve">La cuestión de inconstitucionalidad es un medio de control de la ley (arts. 163 CE y 35.1 LOTC), no de la actividad de sus intérpretes, ni siquiera cuando el intérprete sea el Tribunal Supremo. Así las cosas, si se entendiera que la presente cuestión tiene por objeto no tanto los apartados 2 y 3 del art. 132 LPC, sino la doctrina que se contiene en las Sentencias en interés de ley de la Sala de lo Contencioso-Administrativo del Tribunal Supremo de 15 de diciembre de 2004 y 22 de septiembre de 2008, postulando una interpretación del problema de la prescripción durante la pendencia del recurso de alzada de significado opuesto a la doctrina sentada por las citadas Sentencias, cabría concluir que el Juzgado proponente pretende servirse de la cuestión de inconstitucionalidad para una finalidad ajena a la misma, lo que determinaría su inadmisión, pues es doctrina constitucional reiterada que este procedimiento constitucional no puede degenerar en un cauce consultivo para despejar las dudas que albergue el órgano judicial sobre cual de las interpretaciones posibles de un precepto </w:t>
      </w:r>
      <w:r>
        <w:lastRenderedPageBreak/>
        <w:t>legal resulta más acomodada a la Constitución, ni puede servir para ventilar controversias interpretativas entre órganos judiciales.</w:t>
      </w:r>
    </w:p>
    <w:p w:rsidR="00D06117" w:rsidRDefault="00D06117" w:rsidP="00D06117">
      <w:pPr>
        <w:pStyle w:val="TextoNormal"/>
      </w:pPr>
    </w:p>
    <w:p w:rsidR="00D06117" w:rsidRDefault="00D06117" w:rsidP="00D06117">
      <w:pPr>
        <w:pStyle w:val="TextoNormal"/>
      </w:pPr>
      <w:r>
        <w:t>Por otra parte, la sanción administrativa impugnada en el proceso a quo fue impuesta por cometer una infracción prevista en la Ley de ordenación de los transportes terrestres (LOTT), que contiene un precepto, el art. 145, que fija el plazo de prescripción de un año para las infracciones previstas en dicha ley, remitiéndose en lo demás a la Ley de régimen jurídico de las Administraciones públicas y del procedimiento administrativo común, al igual que en lo tocante al plazo de prescripción de las sanciones. Nada dice la cuestión respecto del art. 145 LOTT, sin duda por entender que este precepto resulta irrelevante respecto al problema de la prescriptibilidad de la infracción o de la sanción durante la pendencia de la alzada. Y está en lo cierto —continúa el Abogado del Estado— pero es que esa misma irrelevancia es predicable de los apartados 2 y 3 del art. 132 LPC que se cuestionan, pues el contenido de los mismos es totalmente ajeno al referido problema. Lo que se pretende, en definitiva, con el planteamiento de esta cuestión es que el Tribunal Constitucional, desbordando su jurisdicción, sustituya la interpretación sentada por el Tribunal Supremo en las citadas Sentencias en interés de ley por la que el Juzgado promotor de la cuestión tiene in mente.</w:t>
      </w:r>
    </w:p>
    <w:p w:rsidR="00D06117" w:rsidRDefault="00D06117" w:rsidP="00D06117">
      <w:pPr>
        <w:pStyle w:val="TextoNormal"/>
      </w:pPr>
    </w:p>
    <w:p w:rsidR="00D06117" w:rsidRDefault="00D06117" w:rsidP="00D06117">
      <w:pPr>
        <w:pStyle w:val="TextoNormal"/>
      </w:pPr>
      <w:r>
        <w:t>Subsidiariamente, solicita el Abogado del Estado la desestimación de la presente cuestión, pues entiende que, de entrarse en el fondo del asunto, debe concluirse que no existe infracción constitucional alguna.</w:t>
      </w:r>
    </w:p>
    <w:p w:rsidR="00D06117" w:rsidRDefault="00D06117" w:rsidP="00D06117">
      <w:pPr>
        <w:pStyle w:val="TextoNormal"/>
      </w:pPr>
    </w:p>
    <w:p w:rsidR="00D06117" w:rsidRDefault="00D06117" w:rsidP="00D06117">
      <w:pPr>
        <w:pStyle w:val="TextoNormal"/>
      </w:pPr>
      <w:r>
        <w:t>Así, en primer lugar, es claro que la regulación contenida en los apartados 2 y 3 del art. 132 LPC en modo alguno quebranta el principio de eficacia administrativa (art. 103.1 CE). El retraso en la resolución de los recursos de alzada contra sanciones administrativas es causado por la masiva interposición de estos recursos, que se explica por el efecto de inejecutividad que legislador ha anudado a la interposición del recurso administrativo (art. 138.3 LPC, no cuestionado). Y si a lo anterior se añadiera la posibilidad a la que apunta el Auto de planteamiento de la cuestión de que infracciones o sanciones no firmes pudieran prescribir mientras que el recurso de alzada no fuera expresamente desestimado, el resultado sería la masiva impunidad de conductas constitutivas de ilícitos administrativos y, por ello, la desprotección de los bienes jurídicos que pretenden tutelarse con el régimen sancionador administrativo, lo que seguramente no sería muy congruente con el genuino y adecuado concepto de eficacia administrativa que refleja el art. 103.1 CE. Por otra parte, la conexión que realiza el Juzgado del principio de eficacia administrativa con el principio de interdicción de la arbitrariedad no aparece razonada en el Auto de planteamiento, y ciertamente resulta bastante difícil de imaginar en qué pueda consistir. Ni se puede dirigir un reproche tan grave al legislador como es el de incurrir en arbitrariedad porque no regule expresamente todos los puntos que al órgano judicial encargado de aplicar la ley le gustaría ver resueltos en el texto legal, ni una eventual actuación arbitraria de la Administración en modo alguno convierte en arbitraria la norma legal aplicada.</w:t>
      </w:r>
    </w:p>
    <w:p w:rsidR="00D06117" w:rsidRDefault="00D06117" w:rsidP="00D06117">
      <w:pPr>
        <w:pStyle w:val="TextoNormal"/>
      </w:pPr>
    </w:p>
    <w:p w:rsidR="00D06117" w:rsidRDefault="00D06117" w:rsidP="00D06117">
      <w:pPr>
        <w:pStyle w:val="TextoNormal"/>
      </w:pPr>
      <w:r>
        <w:t xml:space="preserve">En cuanto a la pretendida vulneración del principio de seguridad jurídica (art. 9.3 CE), sostiene el Abogado del Estado que resulta inconsistente si se entiende referida a los apartados 2 y 3 del art. 132 LPC, pues no cabe reprochar al legislador una suerte de omisión o insuficiencia por no haber establecido positivamente que, durante la pendencia del recurso de alzada, se reanuden los plazos de prescripción. En la Constitución no puede hallarse base </w:t>
      </w:r>
      <w:r>
        <w:lastRenderedPageBreak/>
        <w:t>para la pretensión de favorecer al máximo la prescriptibilidad de infracciones y sanciones administrativas en beneficio de los infractores y en perjuicio de los bienes jurídicos tutelados por el régimen sancionador.</w:t>
      </w:r>
    </w:p>
    <w:p w:rsidR="00D06117" w:rsidRDefault="00D06117" w:rsidP="00D06117">
      <w:pPr>
        <w:pStyle w:val="TextoNormal"/>
      </w:pPr>
    </w:p>
    <w:p w:rsidR="00D06117" w:rsidRDefault="00D06117" w:rsidP="00D06117">
      <w:pPr>
        <w:pStyle w:val="TextoNormal"/>
      </w:pPr>
      <w:r>
        <w:t>La supuesta infracción del principio de seguridad jurídica resultaría igualmente infundada, según el Abogado del Estado, si se entendiese referida a la doctrina sentada en las Sentencias en interés de ley de la Sala de lo Contencioso-Administrativo del Tribunal Supremo de 15 de diciembre de 2004 y 22 de septiembre de 2008,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00D06117" w:rsidRDefault="00D06117" w:rsidP="00D06117">
      <w:pPr>
        <w:pStyle w:val="TextoNormal"/>
      </w:pPr>
    </w:p>
    <w:p w:rsidR="00D06117" w:rsidRDefault="00D06117" w:rsidP="00D06117">
      <w:pPr>
        <w:pStyle w:val="TextoNormal"/>
      </w:pPr>
      <w:r w:rsidRPr="00D06117">
        <w:rPr>
          <w:rStyle w:val="NumeroAFNegritaCaracter"/>
        </w:rPr>
        <w:t>8</w:t>
      </w:r>
      <w:r>
        <w:t>. El escrito de alegaciones del Fiscal General del Estado se registró en este Tribunal el 2 de abril de 2012.</w:t>
      </w:r>
    </w:p>
    <w:p w:rsidR="00D06117" w:rsidRDefault="00D06117" w:rsidP="00D06117">
      <w:pPr>
        <w:pStyle w:val="TextoNormal"/>
      </w:pPr>
    </w:p>
    <w:p w:rsidR="00D06117" w:rsidRDefault="00D06117" w:rsidP="00D06117">
      <w:pPr>
        <w:pStyle w:val="TextoNormal"/>
      </w:pPr>
      <w:r>
        <w:t>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apartados 2 y 3 del art. 132 LPC, sino sobre la interpretación vinculante de los mismos impuesta por las citadas Sentencias en interés de ley, en virtud del art. 100.7 de la Ley reguladora de la jurisdicción contencioso-administrativa, señala el Fiscal General del Estado que la cuestión debe ser desestimada, toda vez que este Tribunal ha venido a declarar en su reciente STC 37/2012, de 19 de marzo, que la configuración del art. 132 LPC, con el contenido normativo resultante de la doctrina legal sentada en las referidas Sentencias en interés de ley, no vulnera el principio de seguridad jurídica (art. 9.3 CE).</w:t>
      </w:r>
    </w:p>
    <w:p w:rsidR="00D06117" w:rsidRDefault="00D06117" w:rsidP="00D06117">
      <w:pPr>
        <w:pStyle w:val="TextoNormal"/>
      </w:pPr>
    </w:p>
    <w:p w:rsidR="00D06117" w:rsidRDefault="00D06117" w:rsidP="00D06117">
      <w:pPr>
        <w:pStyle w:val="TextoNormal"/>
      </w:pPr>
      <w:r>
        <w:lastRenderedPageBreak/>
        <w:t>Asimismo considera el Fiscal que la cuestión carece de fundamento en cuanto a la vulneración del principio de eficacia administrativa (art. 103.1 CE), en conexión con el principio de interdicción de la arbitrariedad, pues esa infracción constitucional no surge de lo dispuesto en los apartados 2 y 3 del art. 132 LPC en la interpretación vinculante sentada por el Tribunal Supremo en las citadas Sentencias en interés de ley —cuya constitucionalidad ha sido declarada por la citada STC 37/2012— sino que resulta imputable exclusivamente a la actuación de la Administración, que ha resuelto tardíamente el recurso de alzada interpuesto por la empresa demandante en el proceso a quo, siendo obvio que la actuación administrativa no puede ser objeto de la cuestión de inconstitucionalidad.</w:t>
      </w:r>
    </w:p>
    <w:p w:rsidR="00D06117" w:rsidRDefault="00D06117" w:rsidP="00D06117">
      <w:pPr>
        <w:pStyle w:val="TextoNormal"/>
      </w:pPr>
    </w:p>
    <w:p w:rsidR="00D06117" w:rsidRDefault="00D06117" w:rsidP="00D06117">
      <w:pPr>
        <w:pStyle w:val="TextoNormal"/>
      </w:pPr>
      <w:r>
        <w:t>Por todo lo expuesto, el Fiscal General del Estado solicita que se desestime la presente cuestión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3 de mayo de 2012 se señaló para deliberación y votación de la presente Sentencia el día 7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Contencioso-Administrativo núm. 12 de Barcelona plantea cuestión de inconstitucionalidad respecto de los apartados 2 y 3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comporta la vulneración tanto del principio de seguridad jurídica (art. 9.3 CE), como del principio de eficacia administrativa (art. 103.1 CE), en ambos casos en conexión con el principio de interdicción de la arbitrariedad de los poderes públicos, puesto que no se encuentra justificación razonable o proporcionada para esa interpretación, en cuanto impone un régimen de cómputo de la prescripción de infracciones y sanciones que permite la pervivencia ilimitada en el tiempo de la acción punitiva en el supuesto de inactividad de la Administración en la resolución del recurso administrativo.</w:t>
      </w:r>
    </w:p>
    <w:p w:rsidR="00D06117" w:rsidRDefault="00D06117" w:rsidP="00D06117">
      <w:pPr>
        <w:pStyle w:val="TextoNormal"/>
      </w:pPr>
    </w:p>
    <w:p w:rsidR="00D06117" w:rsidRDefault="00D06117" w:rsidP="00D06117">
      <w:pPr>
        <w:pStyle w:val="TextoNormal"/>
      </w:pPr>
      <w:r w:rsidRPr="00D06117">
        <w:rPr>
          <w:rStyle w:val="NumeroAFNegritaCaracter"/>
        </w:rPr>
        <w:t>2</w:t>
      </w:r>
      <w:r>
        <w:t>. Como han puesto de relieve en sus alegaciones tanto el Abogado del Estado como el Fiscal General del Estado, las dudas de constitucionalidad que se plantean en la presente cuestión han sido ya resueltas por este Tribunal en su reciente STC 37/2012, de 19 de marzo, que desestima la cuestión de inconstitucionalidad promovida por otro Juzgado del orden contencioso-administrativo también respecto del art. 132 LPC (aunque no sólo) con el contenido vinculante sentado por las referidas Sentencias en interés de ley, y con fundamentos similares, por lo que bastará aquí con remitirse a lo razonado en la STC 37/2012, en lo que tiene de coincidente con la presente cuestión.</w:t>
      </w:r>
    </w:p>
    <w:p w:rsidR="00D06117" w:rsidRDefault="00D06117" w:rsidP="00D06117">
      <w:pPr>
        <w:pStyle w:val="TextoNormal"/>
      </w:pPr>
    </w:p>
    <w:p w:rsidR="00D06117" w:rsidRDefault="00D06117" w:rsidP="00D06117">
      <w:pPr>
        <w:pStyle w:val="TextoNormal"/>
      </w:pPr>
      <w:r>
        <w:t xml:space="preserve">En la STC 37/2012, FJ 2, comenzamos por precisar que ha de entenderse (aunque no se exprese en estos mismos términos en el Auto de planteamiento) que lo que se cuestiona no es, en realidad, una mera interpretación jurisprudencial del Tribunal Supremo (en cuyo caso </w:t>
      </w:r>
      <w:r>
        <w:lastRenderedPageBreak/>
        <w:t>habríamos de declarar la inadmisibilidad de la cuestión), sino la constitucionalidad de determinados preceptos legales (en aquel caso los arts. 81 de la Ley sobre tráfico, circulación de vehículos a motor y seguridad vial: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y para los órganos judiciales inferiores en grado de la jurisdicción contencioso-administrativa, los concretos preceptos cuestionados sólo pueden ser interpretados y aplicados en la forma establecida por el Tribunal Supremo en las citadas Sentencias y no en ninguna otra. Esta misma precisión resulta pertinente en el presente caso, en el que se cuestionan los apartados 2 y 3 del art. 132 LPC con el contenido vinculante fijado por las referidas Sentencias en interés de ley.</w:t>
      </w:r>
    </w:p>
    <w:p w:rsidR="00D06117" w:rsidRDefault="00D06117" w:rsidP="00D06117">
      <w:pPr>
        <w:pStyle w:val="TextoNormal"/>
      </w:pPr>
    </w:p>
    <w:p w:rsidR="00D06117" w:rsidRDefault="00D06117" w:rsidP="00D06117">
      <w:pPr>
        <w:pStyle w:val="TextoNormal"/>
      </w:pPr>
      <w:r w:rsidRPr="00D06117">
        <w:rPr>
          <w:rStyle w:val="NumeroAFNegritaCaracter"/>
        </w:rPr>
        <w:t>3</w:t>
      </w:r>
      <w:r>
        <w:t>. Descartamos asimismo en la STC 37/2012 la duda de constitucionalidad planteada entonces con carácter principal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00D06117" w:rsidRDefault="00D06117" w:rsidP="00D06117">
      <w:pPr>
        <w:pStyle w:val="TextoNormal"/>
      </w:pPr>
    </w:p>
    <w:p w:rsidR="00D06117" w:rsidRDefault="00D06117" w:rsidP="00D06117">
      <w:pPr>
        <w:pStyle w:val="TextoNormal"/>
      </w:pPr>
      <w:r>
        <w:t>En efecto, por lo que se refiere a la pretendida vulneración del principio de seguridad jurídica —duda de constitucionalidad coincidente con la planteada en la presente cuestión— resulta que, con cita de nuestra reiterada doctrina al respecto, declaramos en la citada STC 37/2012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00D06117" w:rsidRDefault="00D06117" w:rsidP="00D06117">
      <w:pPr>
        <w:pStyle w:val="TextoNormal"/>
      </w:pPr>
    </w:p>
    <w:p w:rsidR="00D06117" w:rsidRDefault="00D06117" w:rsidP="00D06117">
      <w:pPr>
        <w:pStyle w:val="TextoNormal"/>
      </w:pPr>
      <w:r>
        <w:t xml:space="preserve">Afirmamos igualmente entonces que la doctrina legal sentada por el Tribunal Supremo en las citadas Sentencias, que determina el contenido normativo de los preceptos cuestionados para los órganos judiciales inferiores en grado del orden contencioso-administrativo (y por lo tanto los preceptos mismos), no contradice la doctrina constitucional sobre el silencio administrativo, configurado como una ficción legal que responde a la finalidad de que el ciudadano pueda acceder a la vía judicial superando los efectos de la inactividad de la Administración. De suerte que “[s]i la Administración incumple su obligación legal de resolver expresamente (y notificar su resolución) el recurso de alzada contra una resolución sancionadora dentro del plazo legalmente establecido, el interesado podrá optar por acudir a la vía </w:t>
      </w:r>
      <w:r>
        <w:lastRenderedPageBreak/>
        <w:t>judicial contra esa desestimación presunta o esperar a que se dicte por la Administración resolución expresa, sin que pueda apreciarse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como recuerda el Abogado del Estado, inejecución que, sin duda alguna, no perjudica (más bien beneficia) al ciudadano que ha sido sancionado” (STC 37/2012, FJ 10).</w:t>
      </w:r>
    </w:p>
    <w:p w:rsidR="00D06117" w:rsidRDefault="00D06117" w:rsidP="00D06117">
      <w:pPr>
        <w:pStyle w:val="TextoNormal"/>
      </w:pPr>
    </w:p>
    <w:p w:rsidR="00D06117" w:rsidRDefault="00D06117" w:rsidP="00D06117">
      <w:pPr>
        <w:pStyle w:val="TextoNormal"/>
      </w:pPr>
      <w:r w:rsidRPr="00D06117">
        <w:rPr>
          <w:rStyle w:val="NumeroAFNegritaCaracter"/>
        </w:rPr>
        <w:t>4</w:t>
      </w:r>
      <w:r>
        <w:t>. Ha de rechazarse, en suma, por las mismas razones que ya quedaron expresadas en la STC 37/2012, que los apartados 2 y 3 del art. 132 LPC, tal como han sido interpretados con carácter vinculante por las referidas Sentencias en interés de la ley, vulneren el principio de seguridad jurídica (art. 9.3 CE). Y asimismo debemos descartar la pretendida infracción del principio de eficacia administrativa (art. 103.1 CE), que se anuda por el Juzgado promotor de la presente cuestión al incumplimiento por la Administración de la obligación de resolver en plazo el recurso de alzada, pues aunque esa demora de la Administración pudiera ciertamente considerarse contraria a las exigencias del principio de eficacia administrativa, como señala el Fiscal General del Estado, es claro que ello en modo alguno resulta imputable a los preceptos legales cuestionados, con el contenido normativo establecido por las referidas Sentencias en interés de ley del Tribunal Supremo para los órganos judiciales inferiores en grado del orden contencioso-administrativo.</w:t>
      </w:r>
    </w:p>
    <w:p w:rsidR="00D06117" w:rsidRDefault="00D06117" w:rsidP="00D06117">
      <w:pPr>
        <w:pStyle w:val="TextoNormal"/>
      </w:pPr>
    </w:p>
    <w:p w:rsidR="00D06117" w:rsidRDefault="00D06117" w:rsidP="00D06117">
      <w:pPr>
        <w:pStyle w:val="TextoNormal"/>
      </w:pPr>
      <w:r>
        <w:t>Del mismo modo hemos de rechazar la supuesta infracción del principio de interdicción de la arbitrariedad (art. 9.3 CE), no sólo porque no se haga mención del mismo en la providencia por la que se acuerda la apertura del trámite de audiencia (art. 35.2 LOTC), sino además, y en todo caso, porque tal duda de constitucionalidad, que se relaciona en el Auto de planteamiento con la pretendida vulneración de los principios de seguridad jurídica y eficacia administrativa, carece de sustantividad propia, pues no tiene otro sustento que la discrepancia del Juzgado promotor de la cuestión con la doctrina legal sentada en las referidas Sentencias en interés de ley, que determina el contenido normativo de los preceptos cuestionados, en cuanto a la imprescriptibilidad de la sanción durante la pendencia del recurso de alzada contra la resolución sancionadora. Debiendo, por lo demás, recordarse, como ya lo hiciéramos en la citada STC 37/2012,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lastRenderedPageBreak/>
        <w:t>Publíquese esta Sentencia en el “Boletín Oficial del Estado”.</w:t>
      </w:r>
    </w:p>
    <w:p w:rsidR="00D06117" w:rsidRDefault="00D06117" w:rsidP="00D06117">
      <w:pPr>
        <w:pStyle w:val="TextoNormal"/>
      </w:pPr>
      <w:r>
        <w:t>Dada en Madrid, a siete de mayo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la cuestión de inconstitucionalidad núm. 127-2012.</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 la Sala, expreso mi discrepancia parcial con el fallo y parte de la fundamentación jurídica de la Sentencia dictada en la presente cuestión de inconstitucionalidad remitiéndome a lo ya manifestado en el Voto particular que formulé a la STC 37/2012, de 19 de marzo.</w:t>
      </w:r>
    </w:p>
    <w:p w:rsidR="00D06117" w:rsidRDefault="00D06117" w:rsidP="00D06117">
      <w:pPr>
        <w:pStyle w:val="TextoNormal"/>
      </w:pPr>
    </w:p>
    <w:p w:rsidR="00D06117" w:rsidRDefault="00D06117" w:rsidP="00D06117">
      <w:pPr>
        <w:pStyle w:val="TextoNormal"/>
      </w:pPr>
      <w:r>
        <w:t>Madrid, a siete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2" w:name="SENTENCIA_2012_99"/>
      <w:r>
        <w:lastRenderedPageBreak/>
        <w:t>SENTENCIA 99/2012, de 8 de mayo de 2012</w:t>
      </w:r>
    </w:p>
    <w:bookmarkEnd w:id="102"/>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ECLI:ES:TC:2012:99</w:t>
      </w:r>
    </w:p>
    <w:p w:rsidR="00D06117" w:rsidRDefault="00D06117" w:rsidP="00D06117">
      <w:pPr>
        <w:pStyle w:val="SntesisDescriptiva"/>
      </w:pPr>
    </w:p>
    <w:p w:rsidR="00D06117" w:rsidRDefault="00D06117" w:rsidP="00D06117">
      <w:pPr>
        <w:pStyle w:val="SntesisDescriptiva"/>
      </w:pPr>
      <w:r>
        <w:t>Conflicto positivo de competencia 3549-2001. Planteado por el Consejo de Gobierno de la Junta de Comunidades de Castilla-La Mancha en relación con el Real Decreto 117/2001, por el que se establece la normativa básica de fomento de las inversiones para la mejora de las condiciones de transformación y comercialización de los productos agrarios, silvícolas y de la alimentación.</w:t>
      </w:r>
    </w:p>
    <w:p w:rsidR="00D06117" w:rsidRDefault="00D06117" w:rsidP="00D06117">
      <w:pPr>
        <w:pStyle w:val="SntesisDescriptiva"/>
      </w:pPr>
    </w:p>
    <w:p w:rsidR="00D06117" w:rsidRDefault="00D06117" w:rsidP="00D06117">
      <w:pPr>
        <w:pStyle w:val="SntesisAnaltica"/>
      </w:pPr>
      <w:r>
        <w:t>Competencias sobre agricultura, ganadería y ordenación general de la economía: regulación de ayudas estructurales cofinanciadas con fondos de la Unión Europea; ejercicio adecuado de la competencia estatal (STC 13/1992).</w:t>
      </w:r>
    </w:p>
    <w:p w:rsidR="00D06117" w:rsidRDefault="00D06117" w:rsidP="00D06117">
      <w:pPr>
        <w:pStyle w:val="SntesisAnaltica"/>
      </w:pPr>
    </w:p>
    <w:p w:rsidR="00D06117" w:rsidRDefault="00D06117" w:rsidP="00D06117">
      <w:pPr>
        <w:pStyle w:val="Extracto"/>
      </w:pPr>
      <w:r>
        <w:t>1.</w:t>
      </w:r>
      <w:r>
        <w:tab/>
        <w:t>El Estado puede regular las condiciones de otorgamiento de las ayudas hasta donde lo permita su competencia general básica o de coordinación, pero siempre que deje un margen a las Comunidades Autónomas para desarrollar y complementar la regulación de las condiciones de otorgamiento y su tramitación, correspondiendo por lo general a éstas la gestión de los fondos, que deben ser distribuidos entre ellas conforme a criterios objetivos o mediante convenios de colaboración ajustados a los principios constitucionales y al orden de distribución de competencias (SSTC 13/1992, 128/1999) [FJ 3].</w:t>
      </w:r>
    </w:p>
    <w:p w:rsidR="00D06117" w:rsidRDefault="00D06117" w:rsidP="00D06117">
      <w:pPr>
        <w:pStyle w:val="Extracto"/>
      </w:pPr>
    </w:p>
    <w:p w:rsidR="00D06117" w:rsidRDefault="00D06117" w:rsidP="00D06117">
      <w:pPr>
        <w:pStyle w:val="Extracto"/>
      </w:pPr>
      <w:r>
        <w:t>2.</w:t>
      </w:r>
      <w:r>
        <w:tab/>
        <w:t>No vulnera las competencias autonómicas la previsión estatal de convocatoria anual y única de subvenciones para todas las Comunidades Autónomas pues, al tener una finalidad coordinadora, garantiza la tramitación simultánea de las solicitudes, su concesión en función del orden de prelación y la ejecución del gasto dentro durante la vigencia de crédito presupuestario [FJ 8].</w:t>
      </w:r>
    </w:p>
    <w:p w:rsidR="00D06117" w:rsidRDefault="00D06117" w:rsidP="00D06117">
      <w:pPr>
        <w:pStyle w:val="Extracto"/>
      </w:pPr>
    </w:p>
    <w:p w:rsidR="00D06117" w:rsidRDefault="00D06117" w:rsidP="00D06117">
      <w:pPr>
        <w:pStyle w:val="Extracto"/>
      </w:pPr>
      <w:r>
        <w:t>3.</w:t>
      </w:r>
      <w:r>
        <w:tab/>
        <w:t>No es contraria al orden constitucional de competencias la obligación impuesta a las Comunidades Autónomas de publicar la resolución de la concesión de las ayudas, pues es un medio para asegurar la difusión la actividad de fomento y cumplir con el principio de publicidad, reconocido tanto por la normativa básica estatal como por la regulación autonómica sobre la materia [FJ 8].</w:t>
      </w:r>
    </w:p>
    <w:p w:rsidR="00D06117" w:rsidRDefault="00D06117" w:rsidP="00D06117">
      <w:pPr>
        <w:pStyle w:val="Extracto"/>
      </w:pPr>
    </w:p>
    <w:p w:rsidR="00D06117" w:rsidRDefault="00D06117" w:rsidP="00D06117">
      <w:pPr>
        <w:pStyle w:val="Extracto"/>
      </w:pPr>
      <w:r>
        <w:t>4.</w:t>
      </w:r>
      <w:r>
        <w:tab/>
        <w:t>No vulnera las competencias autonómicas la vinculación de la concesión de las ayudas a las cuantías previamente aprobadas para cada Comunidad Autónoma en las conferencias sectoriales, pues persigue asegurar que las ayudas no comporten, en lo que se refiere a la aportación estatal, compromisos de gasto que excedan de la dotación que haya sido objeto de territorialización [FJ 8].</w:t>
      </w:r>
    </w:p>
    <w:p w:rsidR="00D06117" w:rsidRDefault="00D06117" w:rsidP="00D06117">
      <w:pPr>
        <w:pStyle w:val="Extracto"/>
      </w:pPr>
    </w:p>
    <w:p w:rsidR="00D06117" w:rsidRDefault="00D06117" w:rsidP="00D06117">
      <w:pPr>
        <w:pStyle w:val="Extracto"/>
      </w:pPr>
      <w:r>
        <w:t>5.</w:t>
      </w:r>
      <w:r>
        <w:tab/>
        <w:t xml:space="preserve">No vulnera las competencias autonómicas la obligación de reflejar, en cada resolución de concesión de las ayudas, el porcentaje y cuantía de la aportación de cada Administración participante, pues es una medida homogeneizadora orientada a </w:t>
      </w:r>
      <w:r>
        <w:lastRenderedPageBreak/>
        <w:t>asegurar que cada entidad pueda conocer el destino de sus aportaciones y a informar al perceptor del alcance y cuantía de las mismas [FJ 8].</w:t>
      </w:r>
    </w:p>
    <w:p w:rsidR="00D06117" w:rsidRDefault="00D06117" w:rsidP="00D06117">
      <w:pPr>
        <w:pStyle w:val="Extracto"/>
      </w:pPr>
    </w:p>
    <w:p w:rsidR="00D06117" w:rsidRDefault="00D06117" w:rsidP="00D06117">
      <w:pPr>
        <w:pStyle w:val="Extracto"/>
      </w:pPr>
      <w:r>
        <w:t>6.</w:t>
      </w:r>
      <w:r>
        <w:tab/>
        <w:t>Los preceptos impugnados no vacían el título competencial autonómico, pues la autonomía presupuestaria del Estado le permite escoger y priorizar las políticas a realizar dentro del respeto al orden constitucional de distribución de competencias (STC 128/1999) [FFJJ 6, 7].</w:t>
      </w:r>
    </w:p>
    <w:p w:rsidR="00D06117" w:rsidRDefault="00D06117" w:rsidP="00D06117">
      <w:pPr>
        <w:pStyle w:val="Extracto"/>
      </w:pPr>
    </w:p>
    <w:p w:rsidR="00D06117" w:rsidRDefault="00D06117" w:rsidP="00D06117">
      <w:pPr>
        <w:pStyle w:val="Extracto"/>
      </w:pPr>
      <w:r>
        <w:t>7.</w:t>
      </w:r>
      <w:r>
        <w:tab/>
        <w:t>Los principios generales sobre subvenciones estatales en materias de competencia autonómica no resultan alterados porque estén financiadas por la Unión Europea, pues no existe una competencia específica para la ejecución del Derecho de la Unión Europea, correspondiendo dicha ejecución a quien materialmente ostente la competencia, en función de la distribución interna de competencias entre el Estado y las Comunidades Autónomas (STC 236/1991) [FJ 3].</w:t>
      </w:r>
    </w:p>
    <w:p w:rsidR="00D06117" w:rsidRDefault="00D06117" w:rsidP="00D06117">
      <w:pPr>
        <w:pStyle w:val="Extracto"/>
      </w:pPr>
    </w:p>
    <w:p w:rsidR="00D06117" w:rsidRDefault="00D06117" w:rsidP="00D06117">
      <w:pPr>
        <w:pStyle w:val="Extracto"/>
      </w:pPr>
      <w:r>
        <w:t>8.</w:t>
      </w:r>
      <w:r>
        <w:tab/>
        <w:t>Doctrina relativa a la incidencia del Derecho de la Unión Europea en los procesos constitucionales (SSTC 79/1992, 33/2005) [FJ 2].</w:t>
      </w:r>
    </w:p>
    <w:p w:rsidR="00D06117" w:rsidRDefault="00D06117" w:rsidP="00D06117">
      <w:pPr>
        <w:pStyle w:val="Extracto"/>
      </w:pPr>
    </w:p>
    <w:p w:rsidR="00D06117" w:rsidRDefault="00D06117" w:rsidP="00D06117">
      <w:pPr>
        <w:pStyle w:val="Extracto"/>
      </w:pPr>
      <w:r>
        <w:t>9.</w:t>
      </w:r>
      <w:r>
        <w:tab/>
        <w:t>Doctrina sobre distribución de competencias en materia de ayudas a la agricultura y ganadería (SSTC 95/1986, 128/1999) [FJ 3].</w:t>
      </w:r>
    </w:p>
    <w:p w:rsidR="00D06117" w:rsidRDefault="00D06117" w:rsidP="00D06117">
      <w:pPr>
        <w:pStyle w:val="Extracto"/>
      </w:pPr>
    </w:p>
    <w:p w:rsidR="00D06117" w:rsidRDefault="00D06117" w:rsidP="00D06117">
      <w:pPr>
        <w:pStyle w:val="Extracto"/>
      </w:pPr>
      <w:r>
        <w:t>10.</w:t>
      </w:r>
      <w:r>
        <w:tab/>
        <w:t>Doctrina sobre criterios generales para la regulación de subvenciones estatales en materias de competencia autonómica (STC 13/1992) [FFJJ 3, 6].</w:t>
      </w:r>
    </w:p>
    <w:p w:rsidR="00D06117" w:rsidRDefault="00D06117" w:rsidP="00D06117">
      <w:pPr>
        <w:pStyle w:val="Extracto"/>
      </w:pPr>
    </w:p>
    <w:p w:rsidR="00D06117" w:rsidRDefault="00D06117" w:rsidP="00D06117">
      <w:pPr>
        <w:pStyle w:val="Extracto"/>
      </w:pPr>
      <w:r>
        <w:t>11.</w:t>
      </w:r>
      <w:r>
        <w:tab/>
        <w:t xml:space="preserve">Doctrina sobre competencias del Estado sobre las bases y coordinación de la planificación general de la actividad económica, </w:t>
      </w:r>
      <w:r w:rsidRPr="00D06117">
        <w:rPr>
          <w:i/>
        </w:rPr>
        <w:t>ex</w:t>
      </w:r>
      <w:r>
        <w:t xml:space="preserve"> 149.1.13 CE (SSTC 125/1984, 128/1999) [FFJJ 2, 3].</w:t>
      </w:r>
    </w:p>
    <w:p w:rsidR="00D06117" w:rsidRDefault="00D06117" w:rsidP="00D06117">
      <w:pPr>
        <w:pStyle w:val="Extracto"/>
      </w:pPr>
    </w:p>
    <w:p w:rsidR="00D06117" w:rsidRDefault="00D06117" w:rsidP="00D06117">
      <w:pPr>
        <w:pStyle w:val="Extracto"/>
      </w:pPr>
      <w:r>
        <w:t>12.</w:t>
      </w:r>
      <w:r>
        <w:tab/>
        <w:t>Doctrina sobre carencia de valor normativo de los títulos y preámbulos de las normas y de la imposibilidad de erigirse en objeto directo de una declaración de inconstitucionalidad (SSTC 36/1981, 31/2012) [FJ 2].</w:t>
      </w:r>
    </w:p>
    <w:p w:rsidR="00D06117" w:rsidRDefault="00D06117" w:rsidP="00D06117">
      <w:pPr>
        <w:pStyle w:val="Extracto"/>
      </w:pPr>
    </w:p>
    <w:p w:rsidR="00D06117" w:rsidRDefault="00D06117" w:rsidP="00D06117">
      <w:pPr>
        <w:pStyle w:val="Extracto"/>
      </w:pPr>
      <w:r>
        <w:t>13.</w:t>
      </w:r>
      <w:r>
        <w:tab/>
        <w:t>Doctrina sobre la pervivencia o pérdida del objeto del conflicto positivo de competencia derivada de la modificación de las normas (SSTC182/1988, 128/1999, 158/2011) [FFJJ 2,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conflicto positivo de competencia núm. 3549-2001, promovido por el Consejo de Gobierno de la Junta de Comunidades de Castilla-La Mancha, en relación con el Real Decreto 117/2001, de 9 de febrero, por el que se establece la normativa básica de fomento de las inversiones para la mejora de las condiciones de transformación y comercialización de los productos agrarios, silvícolas y de la alimentación. Ha comparecido el Abogado del Estado y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que tuvo su entrada en este Tribunal el día 22 de junio de 2001, el Letrado de la Junta de Comunidades de Castilla-La Mancha, en la representación que legalmente ostenta, promueve conflicto positivo de competencia en relación con el Real Decreto 117/2001, de 9 de febrero, por el que se establece la normativa básica de fomento de las inversiones para la mejora de las condiciones de transformación y comercialización de los productos agrarios, silvícolas y de la alimentación. Con carácter previo, el 20 de abril de 2001, la Junta de Comunidades de Castilla-La Mancha había formulado un requerimiento de incompetencia, a los efectos del artículos 63 de la Ley Orgánica del Tribunal Constitucional (LOTC), contra el título del Real Decreto, el penúltimo párrafo de su preámbulo, sus artículos 1, 6, 7.4, 8.1, 2, 4 y 6, las disposiciones adicionales cuarta y quinta y los anexos I y II. Habiendo decidido el Consejo de Ministros no estimar fundado el requerimiento, mediante acuerdo de 18 de mayo de 2001, se plantea el presente conflicto de competencia.</w:t>
      </w:r>
    </w:p>
    <w:p w:rsidR="00D06117" w:rsidRDefault="00D06117" w:rsidP="00D06117">
      <w:pPr>
        <w:pStyle w:val="TextoNormal"/>
      </w:pPr>
    </w:p>
    <w:p w:rsidR="00D06117" w:rsidRDefault="00D06117" w:rsidP="00D06117">
      <w:pPr>
        <w:pStyle w:val="TextoNormal"/>
      </w:pPr>
      <w:r>
        <w:t>Los términos del mismo y su fundamentación jurídica, según se desprende de la demanda y de la documentación que adjunta, son, en síntesis, los que se relatan a continuación.</w:t>
      </w:r>
    </w:p>
    <w:p w:rsidR="00D06117" w:rsidRDefault="00D06117" w:rsidP="00D06117">
      <w:pPr>
        <w:pStyle w:val="TextoNormal"/>
      </w:pPr>
    </w:p>
    <w:p w:rsidR="00D06117" w:rsidRDefault="00D06117" w:rsidP="00D06117">
      <w:pPr>
        <w:pStyle w:val="TextoNormal"/>
      </w:pPr>
      <w:r>
        <w:t>El escrito del Consejo de Gobierno de la Junta de Comunidades de Castilla-La Mancha señala, en primer lugar, que el Real Decreto 117/2001 pretende dar cumplimiento, al amparo de la competencia estatal del art. 149.1.13 CE, a lo dispuesto en diversos reglamentos comunitarios relacionados con ayudas estructurales cofinanciadas con fondos comunitarios. En tal sentido señala que muchos de sus preceptos son meras transcripciones o particularizaciones de los contenidos en los referidos reglamentos comunitarios, las cuales, so pena de invadir las competencias autonómicas, han de ser o bien normas básicas de ordenación del sector, o bien normas justificadas en razones de coordinación de las actividades del Estado y de las Comunidades Autónomas relativas a la ejecución de las medidas de ayuda.</w:t>
      </w:r>
    </w:p>
    <w:p w:rsidR="00D06117" w:rsidRDefault="00D06117" w:rsidP="00D06117">
      <w:pPr>
        <w:pStyle w:val="TextoNormal"/>
      </w:pPr>
    </w:p>
    <w:p w:rsidR="00D06117" w:rsidRDefault="00D06117" w:rsidP="00D06117">
      <w:pPr>
        <w:pStyle w:val="TextoNormal"/>
      </w:pPr>
      <w:r>
        <w:t xml:space="preserve">De acuerdo con ese criterio, el conflicto no se refiere a la totalidad de la norma sino que se circunscribe al propio título del Real Decreto 117/2001, en la medida en que califica como básica la normativa que contiene la disposición; al penúltimo párrafo de su preámbulo y a la disposición adicional cuarta al proclamar que la norma se dicta al amparo del art. 149.1.13 CE; al art. 1, en cuanto establece las prioridades, criterios básicos de selección y principios básicos del procedimiento de concesión de las ayudas; al art. 6, en relación con los anexos I y II —referidos respectivamente a las inversiones y gastos no subvencionables—, en cuanto establece cuáles son las inversiones prioritarias sin tener en cuenta la regulación autonómica previa; al art. 7.4 en cuanto establece porcentajes de financiación del </w:t>
      </w:r>
      <w:r>
        <w:lastRenderedPageBreak/>
        <w:t>Ministerio de Agricultura, Pesca y Alimentación (MAPA) diferentes a los de los cuadros financieros previamente aprobados; a los apartados 1, 2, 4 y 6 del art. 8 por fijar normas básicas de procedimiento que exceden de las bases del procedimiento administrativo establecidas en la Ley 30/1992; a la disposición adicional quinta referida a la tramitación de solicitudes ya presentadas. A todos estos preceptos se les imputa la invasión de las competencias autonómicas exclusivas sobre agricultura, ganadería e industrias agroalimentarias del art. 31.1.6 del Estatuto de Autonomía de Castilla-La Mancha.</w:t>
      </w:r>
    </w:p>
    <w:p w:rsidR="00D06117" w:rsidRDefault="00D06117" w:rsidP="00D06117">
      <w:pPr>
        <w:pStyle w:val="TextoNormal"/>
      </w:pPr>
    </w:p>
    <w:p w:rsidR="00D06117" w:rsidRDefault="00D06117" w:rsidP="00D06117">
      <w:pPr>
        <w:pStyle w:val="TextoNormal"/>
      </w:pPr>
      <w:r>
        <w:t xml:space="preserve">El escrito de demanda comienza su argumentación señalando que el Real Decreto impugnado establece las prioridades, los criterios básicos de selección de las inversiones, los límites de la aportación estatal y los principios básicos del procedimiento de concesión de las ayudas estructurales cofinanciadas por el Fondo europeo de orientación y garantía agraria (FEOGA) y las Administraciones públicas españolas, destinadas a las inversiones en la transformación y comercialización de los productos agrarios, silvícolas y de la alimentación contempladas en los Reglamentos (CE) 1257/1999, 1260/1999, 1750/1999, 2603/1999 y 2075/2000, y todo ello al amparo de la competencia exclusiva estatal sobre bases y coordinación de la planificación general de la actividad económica </w:t>
      </w:r>
      <w:r w:rsidRPr="00D06117">
        <w:rPr>
          <w:i/>
        </w:rPr>
        <w:t>ex</w:t>
      </w:r>
      <w:r>
        <w:t xml:space="preserve"> art. 149.1.13 CE. Respecto de las disposiciones que son mera particularización de los reglamentos comunitarios, la Comunidad Autónoma que plantea el conflicto no suscita problema alguno de constitucionalidad. Respecto de las demás, que son consideradas desarrollo o complemento de la normativa comunitaria, en el escrito de demanda se alega, por un lado, que no respetan las pautas y directrices contenidas en la normativa comunitaria, y por otro que sólo pueden tener aplicación directa y no invasiva de las competencias autonómicas en agricultura y ganadería, cuando hayan de ser consideradas normas básicas de ordenación del sector, o bien cuando la existencia de una regulación común esté justificada por razones de coordinación de las actividades del Estado y de las Comunidades Autónomas relativas a la ejecución de las medidas de ayuda previstas en los reglamentos comunitarios aplicables. A juicio de la Comunidad Autónoma recurrente no puede hablarse de normas básicas ni de normas de coordinación respecto de los arts. 6, 7.4, 8.1, 2, 4 y 6, disposición adicional quinta y relaciones contenidas en los anexos I y II, preceptos a los que sólo podría atribuírseles un carácter supletorio respecto de las disposiciones ya adoptadas en la Comunidad Autónoma de Castilla-La Mancha.</w:t>
      </w:r>
    </w:p>
    <w:p w:rsidR="00D06117" w:rsidRDefault="00D06117" w:rsidP="00D06117">
      <w:pPr>
        <w:pStyle w:val="TextoNormal"/>
      </w:pPr>
    </w:p>
    <w:p w:rsidR="00D06117" w:rsidRDefault="00D06117" w:rsidP="00D06117">
      <w:pPr>
        <w:pStyle w:val="TextoNormal"/>
      </w:pPr>
      <w:r>
        <w:t xml:space="preserve">Detallando aún más las impugnaciones, la demanda indica, con respecto al art. 6, en relación con los anexos I y II, y al art. 7.4 que los mismos establecen, con carácter básico, una relación de las inversiones consideradas prioritarias a las que habrán de destinarse, con carácter preferente, la aportación estatal a las ayudas cofinanciadas con fondos comunitarios, prioridades que contradicen lo establecido en el programa operativo integrado de Castilla-La Mancha, aprobado por las autoridades comunitarias y desarrollado por la Orden autonómica de 8 de junio de 2000, por la que se establecen los programas de fomento de la calidad agroalimentaria en Castilla-La Mancha, actuaciones todas ellas llevadas a cabo en el marco de lo dispuesto en la normativa comunitaria, singularmente, el Reglamento (CE) 1260/1999, de 21 de junio, por el que se establecen las disposiciones generales sobre los fondos estructurales. De acuerdo con la demanda, no se justifica el carácter básico de tales decisiones pues en este caso se trata de promover el desarrollo y el ajuste estructural de las regiones menos desarrolladas para acercarlas al nivel de renta </w:t>
      </w:r>
      <w:r w:rsidRPr="00D06117">
        <w:rPr>
          <w:i/>
        </w:rPr>
        <w:t>per capita</w:t>
      </w:r>
      <w:r>
        <w:t xml:space="preserve"> de la media comunitaria, de manera que la intervención en Castilla-La Mancha se ha de realizar necesaria</w:t>
      </w:r>
      <w:r>
        <w:lastRenderedPageBreak/>
        <w:t>mente en función del acercamiento que a dicho índice experimente esa Comunidad Autónoma, quedando dentro de la competencia autonómica la posibilidad de establecer, en atención a sus peculiaridades, un orden de prioridades y unos objetivos específicos propios en lo que atañe a la mejora de la competitividad de las empresas de transformación de los productos agrícolas, silvícolas y de la alimentación.</w:t>
      </w:r>
    </w:p>
    <w:p w:rsidR="00D06117" w:rsidRDefault="00D06117" w:rsidP="00D06117">
      <w:pPr>
        <w:pStyle w:val="TextoNormal"/>
      </w:pPr>
    </w:p>
    <w:p w:rsidR="00D06117" w:rsidRDefault="00D06117" w:rsidP="00D06117">
      <w:pPr>
        <w:pStyle w:val="TextoNormal"/>
      </w:pPr>
      <w:r>
        <w:t>Por otra parte también se cuestiona el establecimiento de normas de tramitación y gestión de las ayudas que, por su concreción, no pueden ser calificadas como normas de carácter básico. Así sucede con la referencia a que la convocatoria de las ayudas establezca la fecha límite de la presentación de solicitudes de ayudas que no podrá ser posterior al 30 de junio (art. 8.1), con la obligación de publicar la resolución de concesión de ayudas en un plazo no superior a seis meses contados desde la fecha de la convocatoria correspondiente (art. 8.2), con la necesidad de que, en las resoluciones autonómicas, se fijen individualizadamente los porcentajes y cuantías correspondientes a las ayudas otorgadas con cargo a los fondos comunitarios y a cada administración participante (art. 8.6) y con el establecimiento de reglas de tramitación de solicitudes presentadas con anterioridad a la entrada en vigor de la norma (disposición adicional quinta). Con respecto a todas ellas se discute, en primer lugar, la posibilidad de que el Estado, mediante normas de rango infralegal, establezca principios para la gestión de un tipo concreto de ayudas que se apartan de los básicos del procedimiento administrativo común para configurarse como reglas concretas que no son sino la plasmación, con carácter básico, de tales principios entre las varias posibles que existen. Tampoco estas reglas encuentran justificación como reglas básicas de coordinación adecuadas para garantizar la homogeneidad de la gestión en todo el Estado. Finalmente, el art. 8.4 se controvierte al entender que la obligación en el mismo establecida, respecto de las limitaciones de cuantía en la concesión de ayudas autonómicas, es demasiado rígida e impide la necesaria flexibilidad con la que han de contar los gestores para la concesión de las ayudas.</w:t>
      </w:r>
    </w:p>
    <w:p w:rsidR="00D06117" w:rsidRDefault="00D06117" w:rsidP="00D06117">
      <w:pPr>
        <w:pStyle w:val="TextoNormal"/>
      </w:pPr>
    </w:p>
    <w:p w:rsidR="00D06117" w:rsidRDefault="00D06117" w:rsidP="00D06117">
      <w:pPr>
        <w:pStyle w:val="TextoNormal"/>
      </w:pPr>
      <w:r>
        <w:t>La última parte del escrito de interposición expone la adecuación de la normativa autonómica, constituida por la referida Orden de 8 de junio de 2000, a las directrices comunitarias en la materia, de tal forma que la misma regula el procedimiento de concesión de todas las ayudas disponibles para el fomento de la calidad agroalimentaria en Castilla-La Mancha con independencia de cuál sea el origen de los fondos con que dichas ayudas son financiadas. Frente a ello, a los preceptos impugnados se les reprocha que, divergiendo de su antecedente, el Real Decreto 633/1995, de 21 de abril, establecen reglas de gestión que, más que facilitar el acceso de los beneficiarios a las ayudas, pretenden constreñirles en función de consideraciones de pura conveniencia burocrática que no constituyen directrices o criterios globales de ordenación de un sector, únicos aspectos que tendrían cabida en las competencias que ostenta el Estado derivadas del art. 149.1.13 CE. Por ello considera que tanto las prioridades como los criterios básicos de selección, los límites de la aportación estatal y la regulación del régimen de ayudas, que incluye su procedimiento de gestión, están fijados en el programa operativo integrado de Castilla-La Mancha, sin que proceda intervención estatal al respecto.</w:t>
      </w:r>
    </w:p>
    <w:p w:rsidR="00D06117" w:rsidRDefault="00D06117" w:rsidP="00D06117">
      <w:pPr>
        <w:pStyle w:val="TextoNormal"/>
      </w:pPr>
    </w:p>
    <w:p w:rsidR="00D06117" w:rsidRDefault="00D06117" w:rsidP="00D06117">
      <w:pPr>
        <w:pStyle w:val="TextoNormal"/>
      </w:pPr>
      <w:r>
        <w:t>El escrito de interposición concluye solicitando que se tenga por formulado el conflicto positivo de competencias y que se dicte en su día sentencia en la que, por resultar contrarios al orden constitucional de distribución de competencias, se declare la nulidad de lo impugnado o su inaplicación en Castilla-La Mancha con declaración igualmente de que la regulación de la materia compete a la Comunidad Autónoma de Castilla-La Mancha.</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17 de julio de 2001, la Sección Cuarta del Tribunal acordó admitir a trámite el conflicto positivo de competencias frente al Real Decreto 117/2001, de 9 de febrero, y dar traslado de la demanda y documentos presentados al Gobierno de la Nación, por conducto de su Presidente, al objeto de que, en el plazo de veinte días y por medio de la representación procesal que determina el art. 82.2 LOTC, aporte cuantos documentos y alegaciones considerara convenientes. Asimismo, se acordó comunicar la incoación del conflicto a la Sala de lo Contencioso-Administrativo del Tribunal Supremo, por si ante la misma estuviere impugnado o se impugnare el citado Real Decreto, en cuyo caso se suspenderá el curso del proceso hasta la decisión del conflicto, según dispone el art. 61.2 LOTC, y finalmente se ordenó la publicación de la incoación del conflicto en el “Boletín Oficial del Estado” y en el “Diario Oficial de Castilla-La Mancha”.</w:t>
      </w:r>
    </w:p>
    <w:p w:rsidR="00D06117" w:rsidRDefault="00D06117" w:rsidP="00D06117">
      <w:pPr>
        <w:pStyle w:val="TextoNormal"/>
      </w:pPr>
    </w:p>
    <w:p w:rsidR="00D06117" w:rsidRDefault="00D06117" w:rsidP="00D06117">
      <w:pPr>
        <w:pStyle w:val="TextoNormal"/>
      </w:pPr>
      <w:r w:rsidRPr="00D06117">
        <w:rPr>
          <w:rStyle w:val="NumeroAFNegritaCaracter"/>
        </w:rPr>
        <w:t>3</w:t>
      </w:r>
      <w:r>
        <w:t>. El Abogado del Estado cumplimentó el trámite de alegaciones conferido mediante escrito registrado el día 12 de septiembre de 2001 en el que sostiene la competencia del Estado para dictar los preceptos impugnados del Real Decreto 117/2001, de 9 de febrero, por las razones que sintéticamente se exponen a continuación.</w:t>
      </w:r>
    </w:p>
    <w:p w:rsidR="00D06117" w:rsidRDefault="00D06117" w:rsidP="00D06117">
      <w:pPr>
        <w:pStyle w:val="TextoNormal"/>
      </w:pPr>
    </w:p>
    <w:p w:rsidR="00D06117" w:rsidRDefault="00D06117" w:rsidP="00D06117">
      <w:pPr>
        <w:pStyle w:val="TextoNormal"/>
      </w:pPr>
      <w:r>
        <w:t>Comienza señalando que en la fundamentación jurídica del escrito de planteamiento se formulan consideraciones carentes de trascendencia competencial. Eso es lo que ocurriría con los alegatos relativos a la supuesta vulneración de la normativa comunitaria sobre la materia pues, conforme a la doctrina constitucional, el Derecho comunitario no es en sí mismo canon o parámetro de constitucionalidad en los procesos constitucionales. Lo mismo sucedería con el reproche relativo al cambio en la forma de regular las ayudas derivado de las diferencias del régimen previsto en la norma impugnado respecto de aquél al que ha venido a sustituir, contenido en el Real Decreto 633/1995, pues el titular la competencia para dictar normas básicas tiene, como es lógico, la facultad de modificarlas. Finalmente, respecto de la afirmación de que el Estado no puede establecer principios básicos del procedimiento administrativo común mediante normas infralegales, señala que ésa es una cuestión sobre la que ya se ha pronunciado la doctrina constitucional admitiendo dicha posibilidad (con cita de la STC 128/1999, de 1 de julio, FJ 15).</w:t>
      </w:r>
    </w:p>
    <w:p w:rsidR="00D06117" w:rsidRDefault="00D06117" w:rsidP="00D06117">
      <w:pPr>
        <w:pStyle w:val="TextoNormal"/>
      </w:pPr>
    </w:p>
    <w:p w:rsidR="00D06117" w:rsidRDefault="00D06117" w:rsidP="00D06117">
      <w:pPr>
        <w:pStyle w:val="TextoNormal"/>
      </w:pPr>
      <w:r>
        <w:t>Examina, a continuación, el régimen de distribución de competencias entre el Estado y las Comunidades Autónomas en esta materia indicando que el mismo ha sido objeto de varios pronunciamientos constitucionales, resumidos y ordenados en la STC 128/1999, de 1 de julio. Con apoyo en la citada Sentencia, el Abogado del Estado entiende que en el título competencial autonómico sobre agricultura y ganadería incide el estatal sobre la ordenación general de la economía derivado del art. 149.1.13 CE, el cual también ampararía las decisiones estatales dictadas en desarrollo y aplicación de la normativa comunitaria.</w:t>
      </w:r>
    </w:p>
    <w:p w:rsidR="00D06117" w:rsidRDefault="00D06117" w:rsidP="00D06117">
      <w:pPr>
        <w:pStyle w:val="TextoNormal"/>
      </w:pPr>
    </w:p>
    <w:p w:rsidR="00D06117" w:rsidRDefault="00D06117" w:rsidP="00D06117">
      <w:pPr>
        <w:pStyle w:val="TextoNormal"/>
      </w:pPr>
      <w:r>
        <w:t>Con arreglo a las anteriores premisas lleva a cabo el análisis de la constitucionalidad de los preceptos impugnados. Así, con respecto a la impugnación del título y del preámbulo del real decreto, señala que los mismos carecen de virtualidad jurídica, por lo que no pueden ser objeto de conflicto. En relación con el art. 1 indica que se limita a señalar cuál es el contenido de la norma, sin que tenga un mandato normativo directo susceptible de ser enjuiciado puesto que su contenido es tan genérico que no se le puede considerar causante de vulneración competencial alguna.</w:t>
      </w:r>
    </w:p>
    <w:p w:rsidR="00D06117" w:rsidRDefault="00D06117" w:rsidP="00D06117">
      <w:pPr>
        <w:pStyle w:val="TextoNormal"/>
      </w:pPr>
    </w:p>
    <w:p w:rsidR="00D06117" w:rsidRDefault="00D06117" w:rsidP="00D06117">
      <w:pPr>
        <w:pStyle w:val="TextoNormal"/>
      </w:pPr>
      <w:r>
        <w:lastRenderedPageBreak/>
        <w:t>En cuanto al segundo grupo de preceptos impugnados, compuesto por los arts. 6 y 7.4 y los anexos I y II, señala que su regulación tiene dos objetivos, por un lado, la delimitación de las inversiones que van a ser favorecidas con las ayudas (art. 6) y aquellas que no van a ser objeto de financiación estatal (anexos I y II) y, por otro, la determinación de los porcentajes de participación estatal. Esa limitación está configurada con criterios económicos estableciendo las inversiones prioritarias en el ámbito nacional, que deberán ser atendidas preferentemente con las aportaciones del Estado, las cuales son distintas de las inversiones a las que las Comunidades Autónomas dan prioridad en su ámbito territorial, que se atenderán con el remanente presupuestario de los fondos estatales. Por ello, en la medida en que se utilizan criterios económicos en la priorización de inversiones atendiendo a su incidencia en la actividad económica general no se afecta al elemento esencial de la competencia autonómica. Además, la delimitación negativa afecta sólo a las ayudas cofinanciadas por el FEOGA y el Estado, conforme al art. 4.5 del Real Decreto 117/2001. Lo mismo sucede en el caso de los porcentajes previstos en el art. 7.4 pues si el Estado, por su autonomía presupuestaria, puede determinar y priorizar el destino de sus fondos también podrá optar por atribuir a una u otra actividad una mayor o menor financiación. Por ello, entiende que no se ha producido la denunciada invasión de la competencia autonómica, sin que se haya justificado en qué manera esa competencia se ha visto afectada.</w:t>
      </w:r>
    </w:p>
    <w:p w:rsidR="00D06117" w:rsidRDefault="00D06117" w:rsidP="00D06117">
      <w:pPr>
        <w:pStyle w:val="TextoNormal"/>
      </w:pPr>
    </w:p>
    <w:p w:rsidR="00D06117" w:rsidRDefault="00D06117" w:rsidP="00D06117">
      <w:pPr>
        <w:pStyle w:val="TextoNormal"/>
      </w:pPr>
      <w:r>
        <w:t>Respecto del art. 8.1, relativo al establecimiento de una fecha límite de presentación de las solicitudes de ayudas, éste tiene por objeto asegurar la tramitación coetánea de todas las peticiones para poder priorizar las ayudas. La publicación de la resolución, prevista en el art. 8.2, persigue garantizar la igualdad de trato, por lo que no es tanto una previsión procedimental especial como una regla básica en el otorgamiento de ayudas en un determinado sector para que éstas cumplan su objetivo. La crítica al art. 8.4 se refiere a cuestiones de técnica normativa sin contenido competencial, sin perjuicio de señalar que el mismo persigue que exista una continúa supervisión de las disponibilidades presupuestarias para evitar que un excesivo reconocimiento de ayudas produzca un endeudamiento imprevisto. La exigencia de que en la resolución consten los porcentajes y cuantías correspondientes a cada Administración y al FEOGA (art. 8.6) constituye también una base pues persigue asegurar en todos los casos una máxima información para el perceptor de la ayuda estableciendo un contenido mínimo en la resolución administrativa de otorgamiento.</w:t>
      </w:r>
    </w:p>
    <w:p w:rsidR="00D06117" w:rsidRDefault="00D06117" w:rsidP="00D06117">
      <w:pPr>
        <w:pStyle w:val="TextoNormal"/>
      </w:pPr>
    </w:p>
    <w:p w:rsidR="00D06117" w:rsidRDefault="00D06117" w:rsidP="00D06117">
      <w:pPr>
        <w:pStyle w:val="TextoNormal"/>
      </w:pPr>
      <w:r>
        <w:t>Finalmente, en cuanto a la disposición adicional quinta, relativa a la tramitación de solicitudes ya presentadas, señala que la misma regula un cierto efecto retroactivo que ha de ser establecido por la norma estatal pues, conforme a la doctrina del Tribunal (con cita de la STC 66/1998), quien tiene competencia para regular una determinada materia la tiene también para establecer su régimen transitorio.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8 de mayo de 2012 se señaló para deliberación y votación del presente conflicto positivo de competencia el día 8 de mayo de 2012.</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ha de resolver el conflicto positivo de competencia planteado contra el Real Decreto 117/2001, de 9 de febrero, por el que se establece la nor</w:t>
      </w:r>
      <w:r>
        <w:lastRenderedPageBreak/>
        <w:t>mativa básica de fomento de las inversiones para la mejora de las condiciones de transformación y comercialización de los productos agrarios, silvícolas y de la alimentación, conflicto que, conforme a lo expuesto en el escrito de demanda, tiene por objeto el propio título de la norma, el penúltimo párrafo de su preámbulo y los arts. 1; 6; 7.4; 8.1, 2, 4 y 6, así como las disposiciones adicionales cuarta y quinta y las relaciones contenidas en los anexos I y II del referido Real Decreto 117/2001.</w:t>
      </w:r>
    </w:p>
    <w:p w:rsidR="00D06117" w:rsidRDefault="00D06117" w:rsidP="00D06117">
      <w:pPr>
        <w:pStyle w:val="TextoNormal"/>
      </w:pPr>
    </w:p>
    <w:p w:rsidR="00D06117" w:rsidRDefault="00D06117" w:rsidP="00D06117">
      <w:pPr>
        <w:pStyle w:val="TextoNormal"/>
      </w:pPr>
      <w:r w:rsidRPr="00D06117">
        <w:rPr>
          <w:rStyle w:val="NumeroAFNegritaCaracter"/>
        </w:rPr>
        <w:t>2</w:t>
      </w:r>
      <w:r>
        <w:t>. Previamente a la resolución del conflicto planteado hemos de precisar una serie de cuestiones que afectan a la precisa delimitación del objeto del presente proceso constitucional, al parámetro de enjuiciamiento que ha de ser aplicable al mismo y a la pervivencia de la controversia trabada entre las partes.</w:t>
      </w:r>
    </w:p>
    <w:p w:rsidR="00D06117" w:rsidRDefault="00D06117" w:rsidP="00D06117">
      <w:pPr>
        <w:pStyle w:val="TextoNormal"/>
      </w:pPr>
    </w:p>
    <w:p w:rsidR="00D06117" w:rsidRDefault="00D06117" w:rsidP="00D06117">
      <w:pPr>
        <w:pStyle w:val="TextoNormal"/>
      </w:pPr>
      <w:r>
        <w:t>a) En relación con la delimitación del conflicto debemos descartar, en aplicación de nuestra consolidada doctrina, que puedan ser incluidos en el objeto de la impugnación tanto el propio título de la norma como un párrafo de su preámbulo, pues ambos carecen de contenido normativo. En la STC 173/1998, FJ 4 ya dijimos que ni las rúbricas de los títulos de las leyes ni los preámbulos tienen valor normativo, por lo que lo establecido en ellos no puede prevalecer sobre el articulado de la ley. También en el fundamento jurídico 7 de la STC 31/2010, de 28 de junio, se decía literalmente: “Ciertamente hemos repetido desde la STC 36/1981, de 12 de noviembre, FJ 2, que un “preámbulo no tiene valor normativo”, siendo por ello innecesario, y hasta incorrecto, hacerlo objeto de “una declaración de inconstitucionalidad expresa que se recogiera en la parte dispositiva” de una Sentencia de este Tribunal (</w:t>
      </w:r>
      <w:r w:rsidRPr="00D06117">
        <w:rPr>
          <w:i/>
        </w:rPr>
        <w:t>ibid</w:t>
      </w:r>
      <w:r>
        <w:t>). Esa carencia de valor normativo tiene como consecuencia, en efecto, que, como afirmamos en la STC 116/1999, de 17 de junio, FJ 2, los preámbulos “no pueden ser objeto directo de un recurso de inconstitucionalidad (SSTC 36/1981, fundamento jurídico 7; 150/1990, fundamento jurídico 2; 212/1996, fundamento jurídico 15; y 173/1998, fundamento jurídico 4)”. Por lo demás, los términos en que se expresa el penúltimo párrafo del preámbulo del Real Decreto 117/2001, al establecer que el mismo se dicta al amparo del artículo 149.1.13 de la Constitución, que atribuye al Estado la competencia exclusiva sobre bases y coordinación de la planificación general de la actividad económica, no plantean conflicto competencial alguno, puesto que no hacen más que poner de manifiesto el título competencial que da cobertura a la elaboración del decreto por parte del Estado, sin que ello prejuzgue el ajuste constitucional de la regulación concreta contenida en la norma.</w:t>
      </w:r>
    </w:p>
    <w:p w:rsidR="00D06117" w:rsidRDefault="00D06117" w:rsidP="00D06117">
      <w:pPr>
        <w:pStyle w:val="TextoNormal"/>
      </w:pPr>
    </w:p>
    <w:p w:rsidR="00D06117" w:rsidRDefault="00D06117" w:rsidP="00D06117">
      <w:pPr>
        <w:pStyle w:val="TextoNormal"/>
      </w:pPr>
      <w:r>
        <w:t>b) Por otra parte, a la vista del planteamiento realizado por la parte actora al defender que el régimen jurídico contenido en el Real Decreto 117/2001 vulnera la normativa comunitaria en cuyo marco la Comunidad Autónoma ha dictado la Orden de 8 de junio de 2000 de la Consejería de Agricultura y Medio Ambiente, por la que se establecen los programas de fomento de la calidad agroalimentaria en Castilla-La Mancha (FOCAL 2000), hemos de traer a colación nuestra doctrina relativa a la incidencia del Derecho comunitario europeo en los procesos constitucionales. En primer lugar debe recordarse que la eventual infracción del Derecho de la Unión Europea por una disposición normativa interna no es causa de inconstitucionalidad de la misma, o dicho de otro modo que el Derecho comunitario no puede servir de parámetro de constitucionalidad para la resolución de la controversia que nos ocupa, porque no es en sí mismo “canon o parámetro directo de constitucionalidad en los procesos constitucionales” (por todas, SSTC 147/1996, de 19 de septiembre, FJ 3; y 38/2002, de 14 de febrero, FJ 11). En segundo lugar conviene recordar el principio de auto</w:t>
      </w:r>
      <w:r>
        <w:lastRenderedPageBreak/>
        <w:t>nomía institucional, en virtud del cual el Derecho de la Unión reconoce a los Estados miembros autonomía suficiente para ordenar la organización interna destinada al desarrollo y ejecución de ese Derecho europeo, conforme a las propias normas nacionales, lo que implica que “los criterios constitucionales y estatutarios de reparto de competencias no podrían verse modificados o alterados (STC 79/1992, de 28 de mayo, FJ 1) sino mediante su expresa reforma”, y no por la intervención del Derecho de la Unión Europea, de modo que lo relativo a la titularidad y forma de ejercicio de las potestades y funciones precisas al efecto de alcanzar el resultado u objetivo comunitario, “es una cuestión que depende del correspondiente sistema u orden constitucional —al margen de su grado de ajuste a las exigencias comunitarias y sin perjuicio de su modulación jurisprudencial—” (STC 45/2001, de 15 de febrero de 2001, FJ 7). Y por último, reconociendo la importancia de la Unión Europea en la interpretación del orden interno de distribución de competencias (por todas STC 102/1995, de 26 de junio, FJ 5), conviene también recordar que el origen comunitario de la regulación de la actividad de que se trata en nada obsta para que el orden de distribución de competencias obedezca exclusivamente a las pautas de derecho interno (STC 33/2005, de 17 de febrero, FJ 3). Y esto es así porque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(STC 33/2005, de 17 de febrero, FJ 3), de tal manera que debemos concluir que las controversias competenciales han de ser resueltas de acuerdo con los criterios establecidos al respecto en las normas que integran el bloque de constitucionalidad (por todas, STC 38/2002, FJ 11, y las resoluciones allí mencionadas).</w:t>
      </w:r>
    </w:p>
    <w:p w:rsidR="00D06117" w:rsidRDefault="00D06117" w:rsidP="00D06117">
      <w:pPr>
        <w:pStyle w:val="TextoNormal"/>
      </w:pPr>
    </w:p>
    <w:p w:rsidR="00D06117" w:rsidRDefault="00D06117" w:rsidP="00D06117">
      <w:pPr>
        <w:pStyle w:val="TextoNormal"/>
      </w:pPr>
      <w:r>
        <w:t xml:space="preserve">En cuanto al alegato de que el Real Decreto 117/2001 altera lo previsto previamente en la mencionada Orden autonómica de 8 de junio de 2000, hemos de señalar que, sin perjuicio de lo que se dirá al enjuiciar los concretos preceptos controvertidos, no puede pretenderse que el ejercicio previo de una competencia autonómica en una materia como la agricultura produzca, por esa sola razón, una suerte de efecto preclusivo que impida al Estado el ejercicio de sus propias competencias, las cuales, por lo demás, están expresamente reconocidas en el precepto estatutario que atribuye a la Comunidad Autónoma sus competencias en materia agrícola (en un sentido similar, pero respecto de las competencias en materia de ganadería nos pronunciamos en la STC 158/2011, del 19 de octubre, FJ 8).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Así, la Comunidad Autónoma de Castilla-La Mancha está ciertamente facultada para desarrollar una política agraria orientada a la satisfacción de sus singulares intereses en esta materia en la que la Comunidad Autónoma de Castilla La-Mancha ha asumido competencia exclusiva, “de acuerdo con la ordenación general de la economía” (art. 31.1.6 de su Estatuto de Autonomía), pero esa opción debe moverse, conforme a lo que dispone el propio precepto estatutario, dentro de las orientaciones básicas y de coordinación que el Estado disponga para el sector agrícola, siempre que, claro está, la actuación estatal pueda entenderse ajustada al orden constitucional de distribución de competencias, extremo que, precisamente, es el que ha de ser dilucidado en el presente proceso constitucional. Así, que el Gobierno de Castilla-La Mancha haya dictado la Orden autonómica de 8 de junio de 2000, y ésta se haya estado </w:t>
      </w:r>
      <w:r>
        <w:lastRenderedPageBreak/>
        <w:t>aplicando con anterioridad al Real Decreto estatal impugnado 117/2001, tal anticipación no invalidaría el eventual carácter básico de este último “con las consecuencias correspondientes para las normas de todas las Comunidades Autónomas en cuanto a su necesaria adaptación a la nueva legislación básica” (STC 158/2011, del 19 de octubre, FJ 8).</w:t>
      </w:r>
    </w:p>
    <w:p w:rsidR="00D06117" w:rsidRDefault="00D06117" w:rsidP="00D06117">
      <w:pPr>
        <w:pStyle w:val="TextoNormal"/>
      </w:pPr>
    </w:p>
    <w:p w:rsidR="00D06117" w:rsidRDefault="00D06117" w:rsidP="00D06117">
      <w:pPr>
        <w:pStyle w:val="TextoNormal"/>
      </w:pPr>
      <w:r>
        <w:t>c) Finalmente, y aún con carácter previo al enjuiciamiento de la norma cuestionada, hemos de analizar los efectos que pueda tener sobre la controversia el hecho de que algunos de los preceptos del Real Decreto 117/2001 que se controvierten en el presente conflicto hayan sido modificados durante la pendencia de este proceso constitucional. Tal es lo que sucede con los arts. 6, 7.4, 8.1 así como con el Anexo I, los cuales han sido modificados por el Real Decreto 326/2003, de 14 de marzo. Respecto a esta cuestión, los criterios de nuestra doctrina son claros: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 En concordancia con ello, también hemos indicado que, en los procedimientos de naturaleza competencial, la incidencia posterior de otras normas “no habría de llevar a la total desaparición sobrevenida de su objeto, máxime cuando las partes …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128/1999, FJ 4)” (STC 158/2011, de 19 de octubre, FJ 5).</w:t>
      </w:r>
    </w:p>
    <w:p w:rsidR="00D06117" w:rsidRDefault="00D06117" w:rsidP="00D06117">
      <w:pPr>
        <w:pStyle w:val="TextoNormal"/>
      </w:pPr>
    </w:p>
    <w:p w:rsidR="00D06117" w:rsidRDefault="00D06117" w:rsidP="00D06117">
      <w:pPr>
        <w:pStyle w:val="TextoNormal"/>
      </w:pPr>
      <w:r>
        <w:t xml:space="preserve">En el caso que nos ocupa, la disputa se ha trabado sobre el Real Decreto 117/2001, el cual establece, al amparo de lo dispuesto en el art. 149.1.13 CE, la normativa básica sobre las ayudas públicas cofinanciadas por fondos comunitarios a las inversiones en la transformación y comercialización de los productos agrarios, silvícolas y de la alimentación. En su preámbulo señala que con el mismo se persigue adecuar la normativa española a la comunitaria en cuanto a la determinación de las inversiones y gastos subvencionables así como determinar las inversiones que han de subvencionarse prioritariamente por razones de política económica general, así como de adecuación a los créditos presupuestarios. En relación con la concesión de las ayudas, el Real Decreto determina los principios básicos del procedimiento, de los cuales se afirma que vienen impuestos, de una parte, por las exigencias de concurrencia y publicidad que impone la igualdad de trato de todos los empresarios y respecto de todos los proyectos de inversión que se presentan y, de otra parte, por la necesidad de ajustarse al presupuesto disponible en cada caso. Teniendo esto presente es posible apreciar que las modificaciones normativas a las que se ha hecho referencia no afectan sustancialmente a los términos en que fue planteado el conflicto, relacionado con la alegada falta de competencia estatal para establecer determinados aspectos tanto de la regulación sustantiva de las ayudas como de su procedimiento de concesión. Por esta razón, sin perjuicio de </w:t>
      </w:r>
      <w:r>
        <w:lastRenderedPageBreak/>
        <w:t>lo que con más detalle se expondrá al analizar cada uno de los preceptos antes mencionados, en especial el art. 8.1, es preciso entender que pervive la disputa sobre la que se requiere el pronunciamiento de este Tribunal. La modificación normativa de que ha sido objeto el Real Decreto 117/2001 no altera los términos del conflicto, centrados en si el Estado puede, en ejercicio de sus competencias en materia de bases y coordinación de la planificación general de la actividad económica (art. 149.1.13 CE), desarrollar las previsiones contenidas en el decreto en cuestión y que resultan impugnadas.</w:t>
      </w:r>
    </w:p>
    <w:p w:rsidR="00D06117" w:rsidRDefault="00D06117" w:rsidP="00D06117">
      <w:pPr>
        <w:pStyle w:val="TextoNormal"/>
      </w:pPr>
    </w:p>
    <w:p w:rsidR="00D06117" w:rsidRDefault="00D06117" w:rsidP="00D06117">
      <w:pPr>
        <w:pStyle w:val="TextoNormal"/>
      </w:pPr>
      <w:r w:rsidRPr="00D06117">
        <w:rPr>
          <w:rStyle w:val="NumeroAFNegritaCaracter"/>
        </w:rPr>
        <w:t>3</w:t>
      </w:r>
      <w:r>
        <w:t>. Pasando ya al fondo de las cuestiones planteadas, cabe constatar que la fundamentación central del conflicto se centra en la legitimidad de una normativa estatal aprobada al amparo de lo previsto en el art. 149.l.13 CE, y susceptible de “interponerse” entre el Derecho comunitario, en este caso, entre otros, los Reglamentos (CE) 1257/1999, de 17 de mayo, y 1260/1999, de 21 de junio, del Consejo, que choca, a juicio de quien plantea el conflicto de competencia, con la ejecución de esas mismas disposiciones comunitarias, al amparo de su competencia exclusiva en materia de agricultura y ganadería, por la Comunidad Autónoma de Castilla-La Mancha.</w:t>
      </w:r>
    </w:p>
    <w:p w:rsidR="00D06117" w:rsidRDefault="00D06117" w:rsidP="00D06117">
      <w:pPr>
        <w:pStyle w:val="TextoNormal"/>
      </w:pPr>
    </w:p>
    <w:p w:rsidR="00D06117" w:rsidRDefault="00D06117" w:rsidP="00D06117">
      <w:pPr>
        <w:pStyle w:val="TextoNormal"/>
      </w:pPr>
      <w:r>
        <w:t>Señalado lo anterior, hemos de proceder, en primer lugar, al encuadramiento competencial de las disposiciones controvertidas.</w:t>
      </w:r>
    </w:p>
    <w:p w:rsidR="00D06117" w:rsidRDefault="00D06117" w:rsidP="00D06117">
      <w:pPr>
        <w:pStyle w:val="TextoNormal"/>
      </w:pPr>
    </w:p>
    <w:p w:rsidR="00D06117" w:rsidRDefault="00D06117" w:rsidP="00D06117">
      <w:pPr>
        <w:pStyle w:val="TextoNormal"/>
      </w:pPr>
      <w:r>
        <w:t>Es evidente, y ello no lo discuten las partes de este proceso, que, al tratarse de cuestiones relativas a la regulación y aplicación de diversas líneas de ayudas a la transformación y comercialización de los productos agrarios, silvícolas y de la alimentación, los preceptos del Real Decreto 117/2001, objeto de este conflicto, se inscriben en la materia “agricultura y ganadería e industrias agroalimentarias”, materia en la que la competencia autonómica exclusiva se asume “de acuerdo con la ordenación general de la economía”. Así pues, esta competencia autonómica reconocida entronca, de acuerdo con el propio precepto estatutario, con la que el art. 149.l.13 CE reserva al Estado sobre las bases y coordinación de la planificación general de la actividad económica, por lo que procede que recordemos ahora lo que, respecto a ésta última, establecimos en la STC 128/1999, de 1 de julio, FJ 7 A), invocada por las partes y que, recogiendo anteriores pronunciamientos de este Tribunal, afirma:</w:t>
      </w:r>
    </w:p>
    <w:p w:rsidR="00D06117" w:rsidRDefault="00D06117" w:rsidP="00D06117">
      <w:pPr>
        <w:pStyle w:val="TextoNormal"/>
      </w:pPr>
    </w:p>
    <w:p w:rsidR="00D06117" w:rsidRDefault="00D06117" w:rsidP="00D06117">
      <w:pPr>
        <w:pStyle w:val="TextoNormal"/>
      </w:pPr>
      <w:r>
        <w:t>“Sobre la citada competencia estatal de ‘ordenación general de la economía’, que se vincula al art. 149.1.13 CE, la doctrina constitucional tiene establecido que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No obstante, la jurisprudencia constitucional también ha precisado (SSTC 125/1984, 76/1991) que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w:t>
      </w:r>
    </w:p>
    <w:p w:rsidR="00D06117" w:rsidRDefault="00D06117" w:rsidP="00D06117">
      <w:pPr>
        <w:pStyle w:val="TextoNormal"/>
      </w:pPr>
    </w:p>
    <w:p w:rsidR="00D06117" w:rsidRDefault="00D06117" w:rsidP="00D06117">
      <w:pPr>
        <w:pStyle w:val="TextoNormal"/>
      </w:pPr>
      <w:r>
        <w:t xml:space="preserve">Dentro del anterior marco general, este conflicto se encuadra más concretamente entre aquéllos que tienen por objeto disposiciones del Estado relativas a la regulación de ayudas económicas o subvenciones agrarias, cuestión sobre la que existe ya una dilatada doctrina </w:t>
      </w:r>
      <w:r>
        <w:lastRenderedPageBreak/>
        <w:t>constitucional (SSTC 95/1986, de 10 de julio; 96/1986, de 10 de julio; 101/1988, de 8 de junio; 145/1989, de 21 de septiembre; 188/1989, de 16 de noviembre; 79/1992, de 28 de mayo; 29/1994, de 27 de enero; 128/1999, de 1 de julio, etc.). A lo largo de toda esta serie de pronunciamientos, se han consolidado un conjunto de principios que fueron sistematizados en su momento por la STC 13/1992, de 6 de febrero, resolución en la que afirmamos que el poder de gasto del Estado no puede concretarse y ejercerse al margen del sistema constitucional de distribución de competencias, ya que “no existe una competencia subvencional diferenciada resultante de la potestad financiera del Estado” o, lo que es lo mismo, “el Estado ... no dispone de un poder general para subvenciones (gasto público), entendido como poder libre o desvinculado del orden competencial” (STC 13/1992, FFJJ 4 y 6) ya que el poder subvencional no es autónomo respecto del reparto constitucional de competencias (por todas, STC 13/1992, FJ 8).</w:t>
      </w:r>
    </w:p>
    <w:p w:rsidR="00D06117" w:rsidRDefault="00D06117" w:rsidP="00D06117">
      <w:pPr>
        <w:pStyle w:val="TextoNormal"/>
      </w:pPr>
    </w:p>
    <w:p w:rsidR="00D06117" w:rsidRDefault="00D06117" w:rsidP="00D06117">
      <w:pPr>
        <w:pStyle w:val="TextoNormal"/>
      </w:pPr>
      <w:r>
        <w:t>Del mismo modo, conforme a los criterios generales sobre subvenciones estatales en materia de competencias autonómicas recapitulados en la STC 13/1992 (en especial el ya mencionado FJ 8), hemos de apreciar que, en materia de agricultura y ganadería, el Estado puede intervenir en virtud de sus competencias para la elaboración de las bases y la coordinación de la planificación general de la actividad económica, (art. 149.1.13 CE). El apartado b) del fundamento jurídico 8 de la STC 13/1992 establece que “cuando el Estado ostenta un título competencial genérico de intervención que se superpone a la competencia de las Comunidades Autónomas sobre una materia, aun si ésta se califica de exclusiva (</w:t>
      </w:r>
      <w:r w:rsidRPr="00D06117">
        <w:rPr>
          <w:i/>
        </w:rPr>
        <w:t>v.gr</w:t>
      </w:r>
      <w:r>
        <w:t>., la ordenación general de la economía), o bien tiene competencia sobre las bases o la coordinación general de un sector o materia, correspondiendo a las Comunidades Autónomas las competencias de desarrollo normativo y de ejecución”,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D06117" w:rsidRDefault="00D06117" w:rsidP="00D06117">
      <w:pPr>
        <w:pStyle w:val="TextoNormal"/>
      </w:pPr>
    </w:p>
    <w:p w:rsidR="00D06117" w:rsidRDefault="00D06117" w:rsidP="00D06117">
      <w:pPr>
        <w:pStyle w:val="TextoNormal"/>
      </w:pPr>
      <w:r>
        <w:t xml:space="preserve">Lo anterior significa, en lo que aquí importa, que el Estado puede regular las condiciones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correspondiendo por regla general a éstas la gestión de los fondos, lo que implica que deben ser distribuidos entre ellas conforme a criterios objetivos o mediante convenios [en tal sentido FJ 7 B) de la STC 128/1999, de 1 de julio y doctrina allí citada]. Estos principios generales no han de resultar alterados por el hecho de que las ayudas dispongan de financiación comunitaria, pues el Derecho de la Unión Europea, como hemos dicho en el fundamento jurídico 1, no altera la distribución interna de competencias entre el Estado y las Comunidades Autónomas, entendiendo que “la ejecución del Derecho </w:t>
      </w:r>
      <w:r>
        <w:lastRenderedPageBreak/>
        <w:t>comunitario corresponde a quien materialmente ostente la competencia ... puesto que no existe una competencia específica para la ejecución del derecho comunitario” (STC 236/1991, de 12 de diciembre, FJ 9).</w:t>
      </w:r>
    </w:p>
    <w:p w:rsidR="00D06117" w:rsidRDefault="00D06117" w:rsidP="00D06117">
      <w:pPr>
        <w:pStyle w:val="TextoNormal"/>
      </w:pPr>
    </w:p>
    <w:p w:rsidR="00D06117" w:rsidRDefault="00D06117" w:rsidP="00D06117">
      <w:pPr>
        <w:pStyle w:val="TextoNormal"/>
      </w:pPr>
      <w:r w:rsidRPr="00D06117">
        <w:rPr>
          <w:rStyle w:val="NumeroAFNegritaCaracter"/>
        </w:rPr>
        <w:t>4</w:t>
      </w:r>
      <w:r>
        <w:t>. Conforme a los criterios anteriormente expuestos procede abordar ya el enjuiciamiento de los preceptos cuestionados comenzando por el art. 1. Éste hace referencia al objeto del Real Decreto 117/2001, que es el establecimiento de las prioridades, los criterios básicos de selección de las inversiones, de los límites de la aportación estatal y de los principios básicos del procedimiento de concesión de las ayudas estructurales cofinanciadas con fondos comunitarios y por las Administraciones públicas españolas destinadas a las inversiones en la transformación y comercialización de los productos agrarios, silvícolas y de la alimentación. El contenido normativo del precepto es, pues, meramente descriptivo, limitándose a señalar cuál es el contenido de la norma, por lo que, en tanto que dichas prioridades, criterios, límites y principios procedimentales son concretados en los restantes preceptos del Real Decreto 117/2001, entre ellos, evidentemente, los controvertidos en el presente proceso constitucional, está claro que la regulación susceptible de vulnerar las competencias autonómicas no puede encontrarse, más que indirectamente, en este art. 1. Así lo probaría también el hecho de que, aun cuando el precepto se cita como impugnado en el escrito de planteamiento del conflicto, lo cierto es que ninguna argumentación se aporta en sustento de dicha impugnación, siendo, en todo caso, este incumplimiento de la carga de argumentar motivo suficiente para desestimar esta parte del conflicto (por todas STC 233/1999, de 16 de diciembre, FJ 2). Todo ello determina que la impugnación del art. 1 del Real Decreto 117/2001 haya de ser desestimada.</w:t>
      </w:r>
    </w:p>
    <w:p w:rsidR="00D06117" w:rsidRDefault="00D06117" w:rsidP="00D06117">
      <w:pPr>
        <w:pStyle w:val="TextoNormal"/>
      </w:pPr>
    </w:p>
    <w:p w:rsidR="00D06117" w:rsidRDefault="00D06117" w:rsidP="00D06117">
      <w:pPr>
        <w:pStyle w:val="TextoNormal"/>
      </w:pPr>
      <w:r w:rsidRPr="00D06117">
        <w:rPr>
          <w:rStyle w:val="NumeroAFNegritaCaracter"/>
        </w:rPr>
        <w:t>5</w:t>
      </w:r>
      <w:r>
        <w:t>. Igual suerte debe correr la controversia suscitada en relación con la disposición adicional cuarta, que establece que el título competencial contenido en el art. 149.1.13 CE ampararía al Estado para dictar la norma ahora cuestionada en algunos de sus preceptos. A este respecto hemos de señalar, en primer lugar, que tampoco se aportan a este Tribunal las razones por las que se estima que se vulnera el orden constitucional de distribución de competencias. De hecho, el propio planteamiento del recurrente, que cuestiona que la competencia antes citada habilite para dictar los concretos preceptos del Real Decreto 117/2001 que controvierte, nos lleva a concluir que la impugnación de la citada disposición adicional cuarta no tiene sustantividad propia sino que el debate procesal trabado en torno a la cobertura competencial de los preceptos impugnados ha de ser dilucidado por referencia al contenido concreto de cada uno de ellos. Por lo demás, esta disposición adicional expresa, en todo caso, el título competencial estatal que habilitaría al Estado para dictar los restantes preceptos de la norma que no han sido controvertidos en el presente proceso pues tal previsión siempre será adecuada al orden constitucional de distribución de competencias respecto de los artículos que no infrinjan competencias autonómicas.</w:t>
      </w:r>
    </w:p>
    <w:p w:rsidR="00D06117" w:rsidRDefault="00D06117" w:rsidP="00D06117">
      <w:pPr>
        <w:pStyle w:val="TextoNormal"/>
      </w:pPr>
    </w:p>
    <w:p w:rsidR="00D06117" w:rsidRDefault="00D06117" w:rsidP="00D06117">
      <w:pPr>
        <w:pStyle w:val="TextoNormal"/>
      </w:pPr>
      <w:r w:rsidRPr="00D06117">
        <w:rPr>
          <w:rStyle w:val="NumeroAFNegritaCaracter"/>
        </w:rPr>
        <w:t>6</w:t>
      </w:r>
      <w:r>
        <w:t>. En cuanto a los restantes preceptos impugnados distinguiremos entre los que se refieren a la regulación sustantiva de las ayudas, arts. 6 y 7.4 así como los anexos I y II, cuyo enjuiciamiento abordaremos inmediatamente, de aquellos otros que se refieren a cuestiones procedimentales en torno a las subvenciones previstas en la norma, caso del art. 8, apartados 1, 2, 4 y 6, y de la disposición adicional quinta, que examinaremos con posterioridad.</w:t>
      </w:r>
    </w:p>
    <w:p w:rsidR="00D06117" w:rsidRDefault="00D06117" w:rsidP="00D06117">
      <w:pPr>
        <w:pStyle w:val="TextoNormal"/>
      </w:pPr>
    </w:p>
    <w:p w:rsidR="00D06117" w:rsidRDefault="00D06117" w:rsidP="00D06117">
      <w:pPr>
        <w:pStyle w:val="TextoNormal"/>
      </w:pPr>
      <w:r>
        <w:lastRenderedPageBreak/>
        <w:t>Respecto al primer grupo de preceptos impugnados ya hemos señalado que, durante la pendencia del presente proceso constitucional, los mismos han sido modificados por el Real Decreto 326/2003, de 14 de marzo. No obstante, es de advertir que tales modificaciones no afectan a los términos del debate procesal trabado inicialmente entre las partes, debate en el que lo discutido es la vulneración de las competencias autonómicas por la determinación estatal tanto de las inversiones prioritarias a los efectos de recibir las ayudas a las que hace referencia la norma (art. 6 y anexos I y II) como del establecimiento de porcentajes de aportación estatal en las ayudas públicas concedidas (art.7.4). Esa discusión no se ve afectada ni por los cambios en las inversiones consideradas prioritarias ni por las variaciones en los porcentajes de la referida aportación estatal, únicos aspectos en los que el mencionado Real Decreto 326/2003 ha modificado la inicial redacción del Real Decreto 117/2001.</w:t>
      </w:r>
    </w:p>
    <w:p w:rsidR="00D06117" w:rsidRDefault="00D06117" w:rsidP="00D06117">
      <w:pPr>
        <w:pStyle w:val="TextoNormal"/>
      </w:pPr>
    </w:p>
    <w:p w:rsidR="00D06117" w:rsidRDefault="00D06117" w:rsidP="00D06117">
      <w:pPr>
        <w:pStyle w:val="TextoNormal"/>
      </w:pPr>
      <w:r>
        <w:t>Examinando lo dispuesto en el art. 6 y los anexos I y II, que han sido impugnados en conexión con el mismo, hemos de partir para su enjuiciamiento de nuestra consolidada doctrina en materia de subvenciones, en cuya virtud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lo cual significa tanto que el Estado siempre podrá, en uso de sus potestades financieras (de gasto, en este caso), asignar fondos públicos a unas finalidades u otras, como que, admitido lo anterior, en la programación y en la ejecución de ese gasto el Estado deba respetar el orden competencial (por todas, STC 13/1992, de 6 de febrero, FJ 7).</w:t>
      </w:r>
    </w:p>
    <w:p w:rsidR="00D06117" w:rsidRDefault="00D06117" w:rsidP="00D06117">
      <w:pPr>
        <w:pStyle w:val="TextoNormal"/>
      </w:pPr>
    </w:p>
    <w:p w:rsidR="00D06117" w:rsidRDefault="00D06117" w:rsidP="00D06117">
      <w:pPr>
        <w:pStyle w:val="TextoNormal"/>
      </w:pPr>
      <w:r>
        <w:t>En tal sentido, apreciamos que el precepto controvertido, conforme a su apartado primero, se refiere sólo al destino prioritario de la aportación estatal a las ayudas estructurales cofinanciadas por el Fondo europeo de orientación y garantía agraria (FEOGA), señalando de manera expresa, en ese mismo apartado, que el remanente de la misma se destine a las inversiones que hayan sido priorizadas por las Comunidades Autónomas en su ámbito territorial “siempre que se dediquen exclusivamente a la financiación de inversiones de transformación y comercialización de productos agrarios, silvícolas y de la alimentación”. Del mismo modo el precepto salvaguarda, en su apartado tercero, la competencia autonómica para fijar la prioridad de las inversiones cofinanciadas por el FEOGA y la Comunidad Autónoma respectiva.</w:t>
      </w:r>
    </w:p>
    <w:p w:rsidR="00D06117" w:rsidRDefault="00D06117" w:rsidP="00D06117">
      <w:pPr>
        <w:pStyle w:val="TextoNormal"/>
      </w:pPr>
    </w:p>
    <w:p w:rsidR="00D06117" w:rsidRDefault="00D06117" w:rsidP="00D06117">
      <w:pPr>
        <w:pStyle w:val="TextoNormal"/>
      </w:pPr>
      <w:r>
        <w:t xml:space="preserve">De esta manera el Estado ha establecido de forma positiva en el precepto cuestionado y negativamente en los anexos I y II, unas prioridades de inversión que van a vincular únicamente a aquellas aportaciones efectuadas con cargo a sus propios presupuestos. Así, está claro que el Estado puede establecer criterios básicos para todo el territorio nacional que se refieran al apoyo financiero estatal a este tipo de programas, pues tal posibilidad encuentra su acomodo en las potestades estatales para la planificación sectorial </w:t>
      </w:r>
      <w:r w:rsidRPr="00D06117">
        <w:rPr>
          <w:i/>
        </w:rPr>
        <w:t>ex</w:t>
      </w:r>
      <w:r>
        <w:t xml:space="preserve"> art. 149.1.13 CE de forma que las citadas prioridades de inversión, en las que la representación procesal de la Junta de Comunidades de Castilla-La Mancha centra su discrepancia, encuentran, conforme a la doctrina que acabamos de recoger, en el citado título competencial estatal su presupuesto habilitante.</w:t>
      </w:r>
    </w:p>
    <w:p w:rsidR="00D06117" w:rsidRDefault="00D06117" w:rsidP="00D06117">
      <w:pPr>
        <w:pStyle w:val="TextoNormal"/>
      </w:pPr>
    </w:p>
    <w:p w:rsidR="00D06117" w:rsidRDefault="00D06117" w:rsidP="00D06117">
      <w:pPr>
        <w:pStyle w:val="TextoNormal"/>
      </w:pPr>
      <w:r>
        <w:t xml:space="preserve">Con respecto a tales prioridades, fijadas en el art. 6.2 y en ambos anexos, es posible apreciar que, partiendo de que la autonomía presupuestaria del Estado le permite escoger y priorizar las políticas a realizar dentro del respeto al orden constitucional de distribución de </w:t>
      </w:r>
      <w:r>
        <w:lastRenderedPageBreak/>
        <w:t xml:space="preserve">competencias (STC 128/1999, FJ 9 </w:t>
      </w:r>
      <w:r w:rsidRPr="00D06117">
        <w:rPr>
          <w:i/>
        </w:rPr>
        <w:t>in fine</w:t>
      </w:r>
      <w:r>
        <w:t>), las mismas no vacían de contenido las competencias autonómicas en materia de agricultura pues no están establecidas de modo tan minucioso o exhaustivo que no permitan modular el orden de prioridades y el establecimiento de objetivos específicos propios. En primer lugar, ya hemos apreciado que tales prioridades se refieren sólo a la aportación estatal a la financiación de las ayudas a las que se refiere el Real Decreto 117/2001, prioridades que no se imponen a las inversiones financiadas exclusivamente con cargo a los presupuestos autonómicos o a los fondos comunitarios, lo que significa que en esos casos es posible señalar prioridades específicas de ámbito autonómico que actúen como criterios de selección o modulación de las ayudas, como implícitamente reconoce el art. 6.3. En segundo lugar, el apartado 3 del artículo cuestionado atribuye a las Comunidades Autónomas la facultad de fijar, en las correspondientes convocatorias y dentro del respeto a las prioridades antes señaladas en las actuaciones cofinanciadas por el Estado, los oportunos criterios de selección con lo que el elenco de actividades que se califica de prioritario a nivel estatal es lo suficientemente amplio como para permitir, dentro del mismo, un margen de opción a la Comunidad Autónoma, primando unas actividades sobre otras, evitando así que estas determinaciones supongan una invasión del acervo competencial autonómico. Por último, la norma estatal también admite que el remanente presupuestario de la aportación estatal pueda ser destinado a subvencionar inversiones en el ámbito territorial autonómico seleccionadas con criterios de prioridad diferentes a los establecidos por el Estado. Todo lo expuesto permite descartar el riesgo de vaciamiento del título competencial autonómico que, conforme a nuestra doctrina, determinaría la extralimitación competencial estatal.</w:t>
      </w:r>
    </w:p>
    <w:p w:rsidR="00D06117" w:rsidRDefault="00D06117" w:rsidP="00D06117">
      <w:pPr>
        <w:pStyle w:val="TextoNormal"/>
      </w:pPr>
    </w:p>
    <w:p w:rsidR="00D06117" w:rsidRDefault="00D06117" w:rsidP="00D06117">
      <w:pPr>
        <w:pStyle w:val="TextoNormal"/>
      </w:pPr>
      <w:r>
        <w:t>Igualmente, desde la perspectiva de la normativa comunitaria que este Tribunal Constitucional puede tomar en consideración “para aplicar correctamente ... el esquema interno de distribución de competencias (STC 128/1999, FJ 9), mediante una más precisa determinación del título competencial en disputa, que ha de realizarse atendiendo al carácter de las normas objeto de la controversia competencial” (STC 45/2001, de 15 de febrero, FJ 7), hemos de tener en cuenta que, conforme a nuestra doctrina, el Estado puede prever al amparo del art. 149.1.13 CE acciones o medidas singulares que sean necesarias para alcanzar, dentro de la ordenación de cada sector, los fines propuestos por la normativa comunitaria (STC 128/1999, de 1 de julio, FJ 9 y resoluciones allí citadas). Por ello, debemos concluir que el art. 6 y los anexos cuestionados se ajustan a tal doctrina pues responden a lo previsto en los arts. 25.2 y 27.2 del Reglamento (CE) 1257/1999, de 17 de mayo, ya que los mismos se limitan a señalar los posibles objetivos a perseguir con las ayudas y a especificar que responderán a criterios de selección que fijen prioridades e indiquen inversiones excluidas de la ayuda (en un sentido similar, arts. 69 a 72 del Reglamento (CE) 1698/2005, de 20 de septiembre, que ha derogado el citado). Por otra parte, el propio programa operativo integrado de Castilla-La Mancha, en el marco de lo previsto en el título II del ya derogado Reglamento (CE) 1260/1999, de 21 de junio, indica expresamente que las ayudas de aplicación a las distintas medidas que articulan los ejes prioritarios del programa operativo, entre las que se encuentra la relativa a la “mejora de la transformación y comercialización de los productos agrícolas”, se relacionan con carácter meramente indicativo.</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En relación con el art. 7.4 del Real Decreto 117/2001, dedicado a determinar la aportación estatal a las ayudas en cuestión, procede apreciar, en primer lugar, que se trata de una norma que cuenta con un antecedente en el art. 4.4 del Real Decreto 633/1995, de 21 de abril, que recogía los porcentajes de aportación estatal a las ayudas en el mismo previstas. </w:t>
      </w:r>
      <w:r>
        <w:lastRenderedPageBreak/>
        <w:t>Sentado lo anterior, hemos de reiterar que es doctrina de este Tribunal (así, STC 128/1999, de 1 de julio, FJ 10) que el Estado siempre podrá en uso de sus potestades financieras (de gasto, en este caso) “asignar fondos públicos a unas finalidades u otras, pues existen preceptos constitucionales (y singularmente los del Capítulo Tercero del Título I) que legitiman la capacidad del Estado para disponer de su presupuesto en la acción social o económica” (STC 13/1992, FJ 7). Por tanto, la autonomía presupuestaria del Estado, que le permite realizar políticas tendentes a alcanzar sus objetivos políticos, sociales y económicos así como la libertad de escoger y priorizar las mismas, conduce a que pueda, en su ámbito de competencias, determinar la mayor o menor financiación que destina a la realización de este programa comunitario sin que, desde esta perspectiva, quepa formular reproche alguno a lo dispuesto en el art. 7.4, el cual no expresa sino la competencia estatal para regular unos medios financieros propios.</w:t>
      </w:r>
    </w:p>
    <w:p w:rsidR="00D06117" w:rsidRDefault="00D06117" w:rsidP="00D06117">
      <w:pPr>
        <w:pStyle w:val="TextoNormal"/>
      </w:pPr>
    </w:p>
    <w:p w:rsidR="00D06117" w:rsidRDefault="00D06117" w:rsidP="00D06117">
      <w:pPr>
        <w:pStyle w:val="TextoNormal"/>
      </w:pPr>
      <w:r>
        <w:t>También debemos descartar el alegato de que el precepto que estamos examinando vulnere las competencias autonómicas por apartarse de los porcentajes de financiación previstos en los instrumentos de desarrollo en Castilla-La Mancha de lo previsto en el ya citado Reglamento (CE) 1260/1999, de 21 de junio, pues, sin perjuicio de reiterar que el Derecho comunitario no es, en sí mismo, parámetro de constitucionalidad en un proceso como el que nos ocupa, tampoco puede deducirse de dicho reglamento una obligación como la que el recurrente entiende vulnerada ya que, conforme a los arts. 17.2 c) y 18.2 c) del reglamento citado, los planes de financiación contenidos en los instrumentos de programación en él previstos tienen un carácter meramente indicativo.</w:t>
      </w:r>
    </w:p>
    <w:p w:rsidR="00D06117" w:rsidRDefault="00D06117" w:rsidP="00D06117">
      <w:pPr>
        <w:pStyle w:val="TextoNormal"/>
      </w:pPr>
    </w:p>
    <w:p w:rsidR="00D06117" w:rsidRDefault="00D06117" w:rsidP="00D06117">
      <w:pPr>
        <w:pStyle w:val="TextoNormal"/>
      </w:pPr>
      <w:r>
        <w:t>Todo lo expuesto determina que debamos descartar que los arts. 6 y 7.4 así como los anexos I y II del Real Decreto 117/2001 vulneren el orden constitucional de distribución de competencias.</w:t>
      </w:r>
    </w:p>
    <w:p w:rsidR="00D06117" w:rsidRDefault="00D06117" w:rsidP="00D06117">
      <w:pPr>
        <w:pStyle w:val="TextoNormal"/>
      </w:pPr>
    </w:p>
    <w:p w:rsidR="00D06117" w:rsidRDefault="00D06117" w:rsidP="00D06117">
      <w:pPr>
        <w:pStyle w:val="TextoNormal"/>
      </w:pPr>
      <w:r w:rsidRPr="00D06117">
        <w:rPr>
          <w:rStyle w:val="NumeroAFNegritaCaracter"/>
        </w:rPr>
        <w:t>8</w:t>
      </w:r>
      <w:r>
        <w:t>. Resolveremos ahora la controversia planteada en torno al art. 8, apartados 1, 2, 4 y 6, y a la disposición adicional quinta, preceptos todos ellos a los que, sin perjuicio de otras consideraciones singulares a las que se dará respuesta al examinar cada uno de ellos, el demandante les reprocha que establecen, para un tipo concreto de ayudas, una serie de previsiones procedimentales mediante normas de rango reglamentario que no resultarían necesarias para alcanzar unos objetivos de política global o sectorial, lo que impediría que encontrasen amparo en lo dispuesto en el art. 149.1.13 CE.</w:t>
      </w:r>
    </w:p>
    <w:p w:rsidR="00D06117" w:rsidRDefault="00D06117" w:rsidP="00D06117">
      <w:pPr>
        <w:pStyle w:val="TextoNormal"/>
      </w:pPr>
    </w:p>
    <w:p w:rsidR="00D06117" w:rsidRDefault="00D06117" w:rsidP="00D06117">
      <w:pPr>
        <w:pStyle w:val="TextoNormal"/>
      </w:pPr>
      <w:r>
        <w:t xml:space="preserve">Este razonamiento general del que arrancan los vicios de incompetencia que se imputan a los preceptos controvertidos no puede ser tomado en consideración. En atención a nuestra doctrina (al respecto SSTC 214/1994, de 14 de julio, FFJJ 7 y 10, y 128/1999, FJ 15, entre otras) es indudable que, como regla general, la normativa básica en una determinada materia ha de venir establecida en una norma con rango de ley que proclame expresamente su carácter básico, admitiendo dicha regla general que aspectos básicos de una determinada materia vengan establecidos por normas de rango reglamentario cuando resulten complemento necesario para garantizar el fin al que responde la competencia estatal sobre bases y coordinación de la planificación general de la actividad económica. En el caso que nos ocupa la naturaleza de la materia a la que se refiere el Real Decreto 117/2001, ayudas estructurales en materia agrícola derivadas del Derecho comunitario y específicamente dirigidas a la transformación y comercialización de productos, admite tanto la existencia de una norma estatal </w:t>
      </w:r>
      <w:r w:rsidRPr="00D06117">
        <w:rPr>
          <w:i/>
        </w:rPr>
        <w:t>ex</w:t>
      </w:r>
      <w:r>
        <w:t xml:space="preserve"> art. 149.1.13 CE como que la misma, en atención a su carácter coyuntural, no exija </w:t>
      </w:r>
      <w:r>
        <w:lastRenderedPageBreak/>
        <w:t>inexcusablemente una ley formal. Lo anterior no obsta, sin embargo, para que, admitida la competencia estatal para establecer bases en esta materia, la forma en que dicha competencia haya sido ejercida pueda vulnerar las competencias autonómicas por la falta de conexión con el título competencial sobre el que reposa la actuación estatal, cuestión ésta a la que debemos responder examinando cada uno de los preceptos impugnados.</w:t>
      </w:r>
    </w:p>
    <w:p w:rsidR="00D06117" w:rsidRDefault="00D06117" w:rsidP="00D06117">
      <w:pPr>
        <w:pStyle w:val="TextoNormal"/>
      </w:pPr>
    </w:p>
    <w:p w:rsidR="00D06117" w:rsidRDefault="00D06117" w:rsidP="00D06117">
      <w:pPr>
        <w:pStyle w:val="TextoNormal"/>
      </w:pPr>
      <w:r>
        <w:t>Comenzando por el art. 8, a su apartado primero se le reprocha que la concesión de las subvenciones deba efectuarse mediante una sola convocatoria cuya fecha de cierre no podrá ser posterior al 30 de junio de cada año. A este respecto hemos de señalar, en primer lugar, que el Real Decreto 326/2003, de 14 de marzo, ha modificado el Real Decreto 117/2001 en lo relativo a la fecha de cierre de la convocatoria, haciendo desaparecer la obligación de que la convocatoria autonómica de las ayudas se efectuase en una fecha anterior al 30 de junio, y permitiendo así que las Comunidades Autónomas determinen en las correspondientes convocatorias el plazo para la presentación de las solicitudes que consideren más oportuno, modificación que conlleva que, en el momento de dictar la presente Sentencia, no exista controversia en relación con este aspecto concreto. Dicho de otro modo, en el presente asunto cabe apreciar la pérdida de objeto de la impugnación aludida, exclusivamente en lo que hace a la fecha fija de la convocatoria única. Según nuestra consolidada doctrina, en los supuestos en que una norma impugnada haya sido sustituida por otra resulta necesario ponderar hasta qué punto la modificación normativa comporta la desaparición de la controversia competencial traída al proceso. “La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(por todas, SSTC 233/1999, de 12 de diciembre, FJ 3; 33/2005 de 17 de febrero, FJ 2)”. Además 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128/1999, de 1 de julio, FJ 4)”. Ahora bien, en este caso la ponderación que exige la valoración sobre la pérdida de objeto lleva a considerar que, una vez el Estado ha decidido mantener una convocatoria única, suprimiendo la fecha límite determinada para la publicación de la convocatoria, puede deducirse del cambio normativo que el Estado mantiene su convicción acerca de que la determinación de la modalidad de convocatoria cae dentro de su ámbito competencial, mientras que ha cejado en la voluntad de fijar también el plazo de dicha convocatoria.</w:t>
      </w:r>
    </w:p>
    <w:p w:rsidR="00D06117" w:rsidRDefault="00D06117" w:rsidP="00D06117">
      <w:pPr>
        <w:pStyle w:val="TextoNormal"/>
      </w:pPr>
    </w:p>
    <w:p w:rsidR="00D06117" w:rsidRDefault="00D06117" w:rsidP="00D06117">
      <w:pPr>
        <w:pStyle w:val="TextoNormal"/>
      </w:pPr>
      <w:r>
        <w:t>De lo anterior se deduce que subsiste, en cambio, la controversia en torno a que la concesión haya de efectuarse mediante una única convocatoria pública dictada por las Comunidades Autónomas competentes para su tramitación y resolución.</w:t>
      </w:r>
    </w:p>
    <w:p w:rsidR="00D06117" w:rsidRDefault="00D06117" w:rsidP="00D06117">
      <w:pPr>
        <w:pStyle w:val="TextoNormal"/>
      </w:pPr>
    </w:p>
    <w:p w:rsidR="00D06117" w:rsidRDefault="00D06117" w:rsidP="00D06117">
      <w:pPr>
        <w:pStyle w:val="TextoNormal"/>
      </w:pPr>
      <w:r>
        <w:t xml:space="preserve">En relación con esta última previsión apreciamos que la misma en nada vulnera las competencias autonómicas. En efecto, al tratarse de subvenciones que se otorgan en régimen de concurrencia competitiva necesariamente ha de existir un acto de convocatoria que garantice la tramitación simultánea de las solicitudes presentadas y la concesión de las subvenciones en función del orden de prelación que resulte de la aplicación de los criterios establecidos en la convocatoria, la cual no es sino la invitación pública a solicitar las ayudas a cuantos reúnan los requisitos necesarios para acceder a ellas (en ese sentido, art. 23.2 de la Ley 38/2003, de 17 de noviembre, general de subvenciones, y art. 76 del Decreto Legislativo </w:t>
      </w:r>
      <w:r>
        <w:lastRenderedPageBreak/>
        <w:t xml:space="preserve">1/2002, de 19 de noviembre, por el que se aprueba el texto refundido de la Ley de hacienda de Castilla-La Mancha). Igualmente la exigencia de convocatoria anual se relaciona con la existencia del propio crédito presupuestario persiguiendo que la ejecución del gasto en que la subvención consiste se realice, en principio, dentro de la vigencia de aquél, asegurando así que las prioridades establecidas en la normativa reguladora van a hacerse efectivas evitando la presentación de solicitudes cuando el crédito presupuestario estuviese agotado. Desde ambas perspectivas la previsión ahora enjuiciada tiene una finalidad coordinadora con respecto a las ayudas previstas en la norma, y por tanto el Estado la puede establecer al amparo de su competencia </w:t>
      </w:r>
      <w:r w:rsidRPr="00D06117">
        <w:rPr>
          <w:i/>
        </w:rPr>
        <w:t>ex</w:t>
      </w:r>
      <w:r>
        <w:t xml:space="preserve"> art. 149.1.13 CE.</w:t>
      </w:r>
    </w:p>
    <w:p w:rsidR="00D06117" w:rsidRDefault="00D06117" w:rsidP="00D06117">
      <w:pPr>
        <w:pStyle w:val="TextoNormal"/>
      </w:pPr>
    </w:p>
    <w:p w:rsidR="00D06117" w:rsidRDefault="00D06117" w:rsidP="00D06117">
      <w:pPr>
        <w:pStyle w:val="TextoNormal"/>
      </w:pPr>
      <w:r>
        <w:t xml:space="preserve">En el apartado segundo de ese mismo art. 8, la Comunidad Autónoma cuestiona la obligación de publicar la resolución dictada en el procedimiento de concesión de las ayudas, pues las previsiones básicas en esta materia ya habrían sido establecidas por disposiciones de superior rango, en especial los arts. 56 y 60 de la Ley 30/1992, de 26 de noviembre, con el carácter de bases del procedimiento administrativo común. Este cuestionamiento procede del hecho de que, en aplicación de la normativa autonómica previa a la aprobación del decreto impugnado, las resoluciones de concesión de la subvención no eran publicadas, sino directamente notificadas a los interesados, y ello en coherencia con un sistema de convocatoria de ayudas abierta y continuada, sistema este que viene a ser modificado por la normativa estatal básica que prevé la convocatoria única y, en coherencia con este sistema, la publicación de las resoluciones que ponen fin a la misma. Es cierto que el art. 60 de la citada Ley 30/1992 dispone que los actos administrativos serán objeto de publicación, entre otros supuestos, cuando así lo establezcan las normas reguladoras del concreto procedimiento, por lo que, desde esta perspectiva, la previsión ahora cuestionada sería una norma estrictamente procedimental que correspondería dictar a la Comunidad Autónoma en cuanto gestora del concreto procedimiento. En todo caso no debe olvidarse que la publicación del acto por el que se concede una subvención, es una obligación establecida por el art. 18.1 de la Ley 38/2003, de 17 de noviembre, general de subvenciones, que establece que “1. Los órganos administrativos concedentes publicarán en el diario oficial correspondiente, y en los términos que se fijen reglamentariamente, las subvenciones concedidas con expresión de la convocatoria, el programa y crédito presupuestario al que se imputen, beneficiario, cantidad concedida y finalidad o finalidades de la subvención”. Siendo esta disposición normativa básica, tal y como se determina en la disposición final primera de la misma norma, disposición, por lo demás, no impugnada hasta la fecha ante este Tribunal, puede deducirse que la norma impugnada, que reproduce la previsión de la Ley general de subvenciones, es asimismo básica. Por lo demás cabe decir que tal disposición persigue el objetivo de asegurar el interés público, fortaleciendo la transparencia de la Administración y facilitando el conocimiento de la gestión de los fondos públicos, dando así a conocer actuaciones administrativas concretas que interesan a un grupo determinado, los posibles beneficiarios de la subvención. De esta forma la publicidad así regulada constituye un elemento al servicio del control del correcto ejercicio de las potestades públicas, así como de protección de los intereses de terceros. Por ello, desde la consideración de la publicación de la resolución como medio para asegurar la difusión de la actividad de fomento desarrollada, ninguna tacha cabe imputar al precepto respecto de su adecuación al orden constitucional de distribución de competencias, precepto que, por lo demás, plasma uno de los principios básicos que han de regir la actividad subvencionadora de las Administraciones públicas como es el de publicidad, reconocido tanto por la normativa básica estatal como por la propia regulación autonómica en la materia [arts. 8.3 a) y 18 de la Ley 38/2003, de 17 de noviembre, general de </w:t>
      </w:r>
      <w:r>
        <w:lastRenderedPageBreak/>
        <w:t>subvenciones, y art. 73.3 m) del Decreto Legislativo 1/2002, de 19 de noviembre, por el que se aprueba el texto refundido de la Ley de hacienda de Castilla-La Mancha, recogiendo lo dispuesto en el anterior art. 73 de la Ley 6/1997, de 10 de julio, de hacienda].</w:t>
      </w:r>
    </w:p>
    <w:p w:rsidR="00D06117" w:rsidRDefault="00D06117" w:rsidP="00D06117">
      <w:pPr>
        <w:pStyle w:val="TextoNormal"/>
      </w:pPr>
    </w:p>
    <w:p w:rsidR="00D06117" w:rsidRDefault="00D06117" w:rsidP="00D06117">
      <w:pPr>
        <w:pStyle w:val="TextoNormal"/>
      </w:pPr>
      <w:r>
        <w:t>Al apartado cuarto se le reprocha, además de su deficiente redacción, que vincule la concesión de las ayudas a las cuantías previamente aprobadas para cada Comunidad Autónoma en las correspondientes conferencias sectoriales por cuanto la Comunidad Autónoma entiende que el sistema de gestión de las ayudas debería contar con resortes flexibles que permitiesen que, por ejemplo, una menor cuantía de las obligaciones de pago contraídas con respecto a las ayudas concedidas pudiera ser redirigida hacia nuevos proyectos, posibilidad que queda descartada con un régimen de convocatoria anual como el que prevé la normativa estatal impugnada, en el que las convocatorias cuentan con un techo que no puede ser rebasado. En cuanto a la mayor o menor inteligibilidad del precepto debemos recordar que este Tribunal Constitucional no es juez de la calidad técnica de las normas sometidas a su enjuiciamiento (por todas, STC 341/2005, de 21 de diciembre, FJ 9) ni tampoco le corresponde señalar cuál sería la fórmula más recomendable de las distintas posibles para regular una determinada materia, sino que nuestra tarea ha de limitarse a decidir si la elegida por la norma se adecua al orden constitucional de distribución de competencias. En este sentido, la regulación cuestionada persigue asegurar que los acuerdos adoptados por los gestores de las ayudas no comporten, en lo que se refiere a la aportación estatal, compromisos de gasto que excedan de la dotación que haya sido objeto de territorialización mediante los procedimientos establecidos al efecto. Respondiendo a dicha finalidad es claro que la misma ha de estimarse ajustada al referido orden constitucional de distribución de competencias. Así pues el reproche formulado no puede ser atendido pues no se vulneran las competencias autonómicas.</w:t>
      </w:r>
    </w:p>
    <w:p w:rsidR="00D06117" w:rsidRDefault="00D06117" w:rsidP="00D06117">
      <w:pPr>
        <w:pStyle w:val="TextoNormal"/>
      </w:pPr>
    </w:p>
    <w:p w:rsidR="00D06117" w:rsidRDefault="00D06117" w:rsidP="00D06117">
      <w:pPr>
        <w:pStyle w:val="TextoNormal"/>
      </w:pPr>
      <w:r>
        <w:t xml:space="preserve">La última tacha formulada al art. 8 es la relativa a su apartado sexto, respecto al cual la representación procesal del Gobierno autonómico no aporta razón alguna de su oposición más allá de la genérica consideración de que el Estado no estaría competencialmente habilitado </w:t>
      </w:r>
      <w:r w:rsidRPr="00D06117">
        <w:rPr>
          <w:i/>
        </w:rPr>
        <w:t>ex</w:t>
      </w:r>
      <w:r>
        <w:t xml:space="preserve"> art. 149.1.13 CE para establecer que la resolución de concesión de las ayudas refleje, para cada una de ellas, el porcentaje y cuantía correspondiente de las ayudas otorgadas con cargo a los fondos comunitarios y a cada Administración pública participante. La alegada tacha no puede ser estimada pues esta previsión en nada obsta al pleno desenvolvimiento de las competencias autonómicas relacionadas con las ayudas previstas en el Real Decreto 117/2001, las cuales no se ven impedidas o limitadas por una previsión como la que enjuiciamos que en nada sustancial incide sobre la competencia autonómica. A este respecto no puede obviarse que las ayudas cuya gestión asume la Comunidad Autónoma están integradas por una pluralidad de aportaciones públicas, cada una de las cuales, individualmente considerada, habrá de respetar las limitaciones cuantitativas establecidas por las entidades que aportan la ayuda y que se recogen en el art. 7 del Real Decreto 117/2001. Por esta razón, siendo evidente que los límites de dichas aportaciones han de tenerse en cuenta en la decisión administrativa que otorgue la subvención, la disposición cuestionada puede ser entendida como una medida homogeneizadora orientada a asegurar que las resoluciones administrativas contengan la información suficiente para que cada entidad pueda conocer el destino de sus aportaciones, sirviendo también a la finalidad de información antes citada desde la perspectiva de asegurar que los porcentajes fijados no han sido vulnerados en los actos de adjudicación adoptados por el gestor de la ayuda e informando, asimismo, al perceptor del alcance y cuantía de la aportación de cada Administración.</w:t>
      </w:r>
    </w:p>
    <w:p w:rsidR="00D06117" w:rsidRDefault="00D06117" w:rsidP="00D06117">
      <w:pPr>
        <w:pStyle w:val="TextoNormal"/>
      </w:pPr>
    </w:p>
    <w:p w:rsidR="00D06117" w:rsidRDefault="00D06117" w:rsidP="00D06117">
      <w:pPr>
        <w:pStyle w:val="TextoNormal"/>
      </w:pPr>
      <w:r>
        <w:t>Finalmente, la disposición adicional quinta, relativa a la tramitación de solicitudes ya presentadas con anterioridad a la entrada en vigor del Real Decreto 117/2001, se impugna por entender que la misma desconoce la previa existencia de normativa autonómica en la materia. Ya hemos apreciado antes que la mera existencia de normas de la Comunidad Autónoma no puede configurarse como el argumento en el que descanse la alegada vulneración de competencias sino que para apreciar dicha vulneración será preciso que la actuación estatal no se ajuste al orden competencial derivado de lo dispuesto en la Constitución y en el Estatuto de Autonomía de Castilla-La Mancha. En este caso no se ha aportado un argumento concreto referido a la invasión competencial en la que incurriría esta disposición adicional quinta, lo que nos lleva a concluir que su impugnación está vinculada a las de los otros preceptos del Real Decreto 117/2001 que ya hemos declarado conformes con el orden constitucional de distribución de competencias. Igualmente nuestra doctrina (SSTC 172/1996, de 31 de octubre, FJ 5; 206/1997, de 27 de noviembre, FJ 16 y 66/1998, de 18 de marzo, FJ 15) ha señalado que, admitida la competencia del Estado para regular las bases sobre una materia, no puede objetarse la atribución al mismo de la competencia para regular, con el mismo carácter de básico, los aspectos transitorios de la misma. En consecuencia, la impugnación de la disposición adicional quinta ha de ser desestimada.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En relación con el conflicto positivo de competencia núm. 3549-2001 planteado frente al Real Decreto 117/2001, de 9 de febrero por la Junta de Comunidades de Castilla-La Mancha:</w:t>
      </w:r>
    </w:p>
    <w:p w:rsidR="00D06117" w:rsidRDefault="00D06117" w:rsidP="00D06117">
      <w:pPr>
        <w:pStyle w:val="TextoNormal"/>
      </w:pPr>
    </w:p>
    <w:p w:rsidR="00D06117" w:rsidRDefault="00D06117" w:rsidP="00D06117">
      <w:pPr>
        <w:pStyle w:val="TextoNormal"/>
      </w:pPr>
      <w:r>
        <w:t>1º Declarar que el conflicto ha perdido objeto respecto del inciso “que no podrá ser posterior al 30 de junio” contenido en el apartado 1 del artículo 8.</w:t>
      </w:r>
    </w:p>
    <w:p w:rsidR="00D06117" w:rsidRDefault="00D06117" w:rsidP="00D06117">
      <w:pPr>
        <w:pStyle w:val="TextoNormal"/>
      </w:pPr>
    </w:p>
    <w:p w:rsidR="00D06117" w:rsidRDefault="00D06117" w:rsidP="00D06117">
      <w:pPr>
        <w:pStyle w:val="TextoNormal"/>
      </w:pPr>
      <w:r>
        <w:t>2º Desestimarlo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ocho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3" w:name="SENTENCIA_2012_100"/>
      <w:r>
        <w:lastRenderedPageBreak/>
        <w:t>SENTENCIA 100/2012, de 8 de mayo de 2012</w:t>
      </w:r>
    </w:p>
    <w:bookmarkEnd w:id="10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ECLI:ES:TC:2012:100</w:t>
      </w:r>
    </w:p>
    <w:p w:rsidR="00D06117" w:rsidRDefault="00D06117" w:rsidP="00D06117">
      <w:pPr>
        <w:pStyle w:val="SntesisDescriptiva"/>
      </w:pPr>
    </w:p>
    <w:p w:rsidR="00D06117" w:rsidRDefault="00D06117" w:rsidP="00D06117">
      <w:pPr>
        <w:pStyle w:val="SntesisDescriptiva"/>
      </w:pPr>
      <w:r>
        <w:t>Cuestión de inconstitucionalidad 3741-2001. Planteada por la Sección Primera de la Sala de lo Contencioso-Administrativo del Tribunal Superior de Justicia de Canarias con respecto a la disposición adicional segunda de la Ley 20/1991, de modificación de los aspectos fiscales del régimen económico fiscal de Canarias, y la disposición adicional tercera del Real Decreto-ley 7/1993, de medidas urgentes de adaptación y modificación del impuesto sobre el valor añadido, del impuesto especial sobre determinados medios de transporte, del impuesto general indirecto canario, del arbitrio sobre la producción e importación en las islas Canarias y de la tarifa especial del arbitrio insular a la entrada de mercancías.</w:t>
      </w:r>
    </w:p>
    <w:p w:rsidR="00D06117" w:rsidRDefault="00D06117" w:rsidP="00D06117">
      <w:pPr>
        <w:pStyle w:val="SntesisDescriptiva"/>
      </w:pPr>
    </w:p>
    <w:p w:rsidR="00D06117" w:rsidRDefault="00D06117" w:rsidP="00D06117">
      <w:pPr>
        <w:pStyle w:val="SntesisAnaltica"/>
      </w:pPr>
      <w:r>
        <w:t>Principios de irretroactividad de las leyes, de legalidad en materia tributaria y de libertad de circulación de bienes y personas, límites a los decretos-leyes: validez de las disposiciones legales que someten a exacción tributaria la entrada de determinadas mercancías en Canarias.</w:t>
      </w:r>
    </w:p>
    <w:p w:rsidR="00D06117" w:rsidRDefault="00D06117" w:rsidP="00D06117">
      <w:pPr>
        <w:pStyle w:val="SntesisAnaltica"/>
      </w:pPr>
    </w:p>
    <w:p w:rsidR="00D06117" w:rsidRDefault="00D06117" w:rsidP="00D06117">
      <w:pPr>
        <w:pStyle w:val="Extracto"/>
      </w:pPr>
      <w:r>
        <w:t>1.</w:t>
      </w:r>
      <w:r>
        <w:tab/>
        <w:t>El arbitrio insular a la entrada de mercancías obedece a un fin constitucionalmente legítimo y resulta razonable y proporcionado en atención a las circunstancias de las islas Canarias, de suerte que no vulnera la libertad de circulación ordenada por el art. 139.2 CE [FJ 5].</w:t>
      </w:r>
    </w:p>
    <w:p w:rsidR="00D06117" w:rsidRDefault="00D06117" w:rsidP="00D06117">
      <w:pPr>
        <w:pStyle w:val="Extracto"/>
      </w:pPr>
    </w:p>
    <w:p w:rsidR="00D06117" w:rsidRDefault="00D06117" w:rsidP="00D06117">
      <w:pPr>
        <w:pStyle w:val="Extracto"/>
      </w:pPr>
      <w:r>
        <w:t>2.</w:t>
      </w:r>
      <w:r>
        <w:tab/>
        <w:t>Doctrina sobre el régimen económico-fiscal de las islas Canarias (SSTC 16/2003, 137/2003) [FJ 5].</w:t>
      </w:r>
    </w:p>
    <w:p w:rsidR="00D06117" w:rsidRDefault="00D06117" w:rsidP="00D06117">
      <w:pPr>
        <w:pStyle w:val="Extracto"/>
      </w:pPr>
    </w:p>
    <w:p w:rsidR="00D06117" w:rsidRDefault="00D06117" w:rsidP="00D06117">
      <w:pPr>
        <w:pStyle w:val="Extracto"/>
      </w:pPr>
      <w:r>
        <w:t>3.</w:t>
      </w:r>
      <w:r>
        <w:tab/>
        <w:t>Una exacción a la entrada de determinadas mercancías en Canarias constituye una medida de naturaleza tributaria afectante de la libre circulación, al someter a aquéllas a un sobre-gravamen con relación a las que circulan por el resto del territorio comunitario, si bien la mera afectación de aquella libertad no convierte a la medida per se en ilegítima, quedando justificada cuando tenga una razón de ser suficiente y unos efectos proporcionados y adecuados al fin perseguido [FJ 4].</w:t>
      </w:r>
    </w:p>
    <w:p w:rsidR="00D06117" w:rsidRDefault="00D06117" w:rsidP="00D06117">
      <w:pPr>
        <w:pStyle w:val="Extracto"/>
      </w:pPr>
    </w:p>
    <w:p w:rsidR="00D06117" w:rsidRDefault="00D06117" w:rsidP="00D06117">
      <w:pPr>
        <w:pStyle w:val="Extracto"/>
      </w:pPr>
      <w:r>
        <w:t>4.</w:t>
      </w:r>
      <w:r>
        <w:tab/>
        <w:t>Doctrina sobre la libre circulación de bienes por el territorio nacional (SSTC 37/1981, 109/2003) [FJ 4].</w:t>
      </w:r>
    </w:p>
    <w:p w:rsidR="00D06117" w:rsidRDefault="00D06117" w:rsidP="00D06117">
      <w:pPr>
        <w:pStyle w:val="Extracto"/>
      </w:pPr>
    </w:p>
    <w:p w:rsidR="00D06117" w:rsidRDefault="00D06117" w:rsidP="00D06117">
      <w:pPr>
        <w:pStyle w:val="Extracto"/>
      </w:pPr>
      <w:r>
        <w:t>5.</w:t>
      </w:r>
      <w:r>
        <w:tab/>
        <w:t>Las disposiciones estatales cuestionadas no contrarían el 46.1 EACan, pues las franquicias fiscales sobre el consumo, recogidas en dicho artículo, operan como directrices que deben ajustarse a las necesidades sociales y económicas de cada momento histórico, lo que pone de relieve la viabilidad de la aplicación en Canarias de impuestos estatales sobre consumos específicos (SSTC 35/1984, 16/2003, 109/2004) [FJ 6].</w:t>
      </w:r>
    </w:p>
    <w:p w:rsidR="00D06117" w:rsidRDefault="00D06117" w:rsidP="00D06117">
      <w:pPr>
        <w:pStyle w:val="Extracto"/>
      </w:pPr>
    </w:p>
    <w:p w:rsidR="00D06117" w:rsidRDefault="00D06117" w:rsidP="00D06117">
      <w:pPr>
        <w:pStyle w:val="Extracto"/>
      </w:pPr>
      <w:r>
        <w:t>6.</w:t>
      </w:r>
      <w:r>
        <w:tab/>
        <w:t xml:space="preserve">No puede apreciarse vicio de inconstitucionalidad ni desde la perspectiva del art. 31.3 CE, cuya exigencia de ley para la materia tributaria ha sido respetada en el </w:t>
      </w:r>
      <w:r>
        <w:lastRenderedPageBreak/>
        <w:t>presente caso, ni desde la óptica del art 133.1 CE —entendido en su conexión con el art. 96.1 CE–, en el hecho de que, desde la entrada de España en la Comunidad Europea, la tarifa especial del arbitrio insular venga autorizada y condicionada por el Derecho comunitario [FJ 7].</w:t>
      </w:r>
    </w:p>
    <w:p w:rsidR="00D06117" w:rsidRDefault="00D06117" w:rsidP="00D06117">
      <w:pPr>
        <w:pStyle w:val="Extracto"/>
      </w:pPr>
    </w:p>
    <w:p w:rsidR="00D06117" w:rsidRDefault="00D06117" w:rsidP="00D06117">
      <w:pPr>
        <w:pStyle w:val="Extracto"/>
      </w:pPr>
      <w:r>
        <w:t>7.</w:t>
      </w:r>
      <w:r>
        <w:tab/>
        <w:t>El art. 133.1 CE puesto en relación con los arts. 149.1.14 y 157.3 CE, es una norma atributiva de competencias en materia tributaria al Estado, cuyo poder es “originario”, en contraposición con el poder “derivado” de las Comunidades Autónomas y las corporaciones locales, ex art. 133.2 CE, pero ello no impide que esa potestad originaria pueda quedar afectada por los tratados internacionales, ex art. 96.1 CE (SSTC 19/1987, 72/2003) [FJ 7].</w:t>
      </w:r>
    </w:p>
    <w:p w:rsidR="00D06117" w:rsidRDefault="00D06117" w:rsidP="00D06117">
      <w:pPr>
        <w:pStyle w:val="Extracto"/>
      </w:pPr>
    </w:p>
    <w:p w:rsidR="00D06117" w:rsidRDefault="00D06117" w:rsidP="00D06117">
      <w:pPr>
        <w:pStyle w:val="Extracto"/>
      </w:pPr>
      <w:r>
        <w:t>8.</w:t>
      </w:r>
      <w:r>
        <w:tab/>
        <w:t>El condicionar la tarifa especial del arbitrio sobre la importación de mercancías en las islas Canarias al Derecho comunitario no ha supuesto una abdicación contra constitutione del Estado español del ejercicio de sus competencias tributarias, al tratarse de un inequívoco acto de ejercicio de soberanía que persigue una finalidad constitucional legítima como es la de atender a las circunstancias del hecho insular, ex art. 138.1 CE (DDTC 1/1992, 1/2004; STC 28/1991) [FJ 7].</w:t>
      </w:r>
    </w:p>
    <w:p w:rsidR="00D06117" w:rsidRDefault="00D06117" w:rsidP="00D06117">
      <w:pPr>
        <w:pStyle w:val="Extracto"/>
      </w:pPr>
    </w:p>
    <w:p w:rsidR="00D06117" w:rsidRDefault="00D06117" w:rsidP="00D06117">
      <w:pPr>
        <w:pStyle w:val="Extracto"/>
      </w:pPr>
      <w:r>
        <w:t>9.</w:t>
      </w:r>
      <w:r>
        <w:tab/>
        <w:t>Doctrina sobre la cesión del ejercicio de competencias en favor de instituciones internacionales (DDTC 1/1992, 1/2004) [FJ 7].</w:t>
      </w:r>
    </w:p>
    <w:p w:rsidR="00D06117" w:rsidRDefault="00D06117" w:rsidP="00D06117">
      <w:pPr>
        <w:pStyle w:val="Extracto"/>
      </w:pPr>
    </w:p>
    <w:p w:rsidR="00D06117" w:rsidRDefault="00D06117" w:rsidP="00D06117">
      <w:pPr>
        <w:pStyle w:val="Extracto"/>
      </w:pPr>
      <w:r>
        <w:t>10.</w:t>
      </w:r>
      <w:r>
        <w:tab/>
        <w:t>Resulta clara la concurrencia del presupuesto habilitante previsto en el art. 86.1 CE, pues se había producido un vacío legislativo que dejaba sin aplicación el arbitrio litigioso que vino a cubrir un Reglamento comunitario, que a su vez necesitaba la concreción del tipo aplicable en el arbitrio, que es lo que dispuso la disposición cuestionada del Real Decreto-ley, guardando la medida adoptada la debida conexión con la situación de urgencia pues se trataba de proteger la economía canaria frente a la importación de productos sensibles [FJ 8].</w:t>
      </w:r>
    </w:p>
    <w:p w:rsidR="00D06117" w:rsidRDefault="00D06117" w:rsidP="00D06117">
      <w:pPr>
        <w:pStyle w:val="Extracto"/>
      </w:pPr>
    </w:p>
    <w:p w:rsidR="00D06117" w:rsidRDefault="00D06117" w:rsidP="00D06117">
      <w:pPr>
        <w:pStyle w:val="Extracto"/>
      </w:pPr>
      <w:r>
        <w:t>11.</w:t>
      </w:r>
      <w:r>
        <w:tab/>
        <w:t>Doctrina sobre el examen de la concurrencia del presupuesto habilitante de la extraordinaria y urgente necesidad de los Decretos-leyes (SSTC 29/1982, 1/2012) [FJ 8].</w:t>
      </w:r>
    </w:p>
    <w:p w:rsidR="00D06117" w:rsidRDefault="00D06117" w:rsidP="00D06117">
      <w:pPr>
        <w:pStyle w:val="Extracto"/>
      </w:pPr>
    </w:p>
    <w:p w:rsidR="00D06117" w:rsidRDefault="00D06117" w:rsidP="00D06117">
      <w:pPr>
        <w:pStyle w:val="Extracto"/>
      </w:pPr>
      <w:r>
        <w:t>12.</w:t>
      </w:r>
      <w:r>
        <w:tab/>
        <w:t>La disposición cuestionada no vulnera el art. 86 CE al no afectar al deber de contribuir al sostenimiento de los gastos públicos, ex art. 31.1 CE, pues se limita a recoger una prórroga autorizada por dos Reglamentos comunitarios sin alterar la presión fiscal que deben soportar los contribuyentes ni provocar un cambio sustancial de la posición de los ciudadanos en el conjunto del sistema tributario  (SSTC 137/2003, 108/2004) [FJ 9].</w:t>
      </w:r>
    </w:p>
    <w:p w:rsidR="00D06117" w:rsidRDefault="00D06117" w:rsidP="00D06117">
      <w:pPr>
        <w:pStyle w:val="Extracto"/>
      </w:pPr>
    </w:p>
    <w:p w:rsidR="00D06117" w:rsidRDefault="00D06117" w:rsidP="00D06117">
      <w:pPr>
        <w:pStyle w:val="Extracto"/>
      </w:pPr>
      <w:r>
        <w:t>13.</w:t>
      </w:r>
      <w:r>
        <w:tab/>
        <w:t>Doctrina sobre los límites materiales de los decreto-leyes, ex art. 86.1, y el deber de contribuir al sostenimiento de los gastos públicos, ex art. 31.1 CE (SSTC 111/1983, 189/2005) [FJ 9].</w:t>
      </w:r>
    </w:p>
    <w:p w:rsidR="00D06117" w:rsidRDefault="00D06117" w:rsidP="00D06117">
      <w:pPr>
        <w:pStyle w:val="Extracto"/>
      </w:pPr>
    </w:p>
    <w:p w:rsidR="00D06117" w:rsidRDefault="00D06117" w:rsidP="00D06117">
      <w:pPr>
        <w:pStyle w:val="Extracto"/>
      </w:pPr>
      <w:r>
        <w:t>14.</w:t>
      </w:r>
      <w:r>
        <w:tab/>
        <w:t xml:space="preserve">La disposición cuestionada no contiene previsión retroactiva alguna que vulnere el principio de seguridad jurídica ya que, desde la entrada en vigor del Reglamento </w:t>
      </w:r>
      <w:r>
        <w:lastRenderedPageBreak/>
        <w:t>comunitario, el arbitrio insular era directamente aplicable con unos tipos impositivos cuya concreción se hizo por el Real Decreto-ley cuestionado en los términos establecidos en dicho Reglamento, no generando por tanto confusión alguna acerca de la conducta exigible para su cumplimiento ni incertidumbre sobre sus efectos [FJ 10].</w:t>
      </w:r>
    </w:p>
    <w:p w:rsidR="00D06117" w:rsidRDefault="00D06117" w:rsidP="00D06117">
      <w:pPr>
        <w:pStyle w:val="Extracto"/>
      </w:pPr>
    </w:p>
    <w:p w:rsidR="00D06117" w:rsidRDefault="00D06117" w:rsidP="00D06117">
      <w:pPr>
        <w:pStyle w:val="Extracto"/>
      </w:pPr>
      <w:r>
        <w:t>15.</w:t>
      </w:r>
      <w:r>
        <w:tab/>
        <w:t>Doctrina sobre el principio de seguridad jurídica y la retroactividad de las normas tributarias, ex art. 9.3 CE (SSTC 27/1984, 136/2011) [FJ 10].</w:t>
      </w:r>
    </w:p>
    <w:p w:rsidR="00D06117" w:rsidRDefault="00D06117" w:rsidP="00D06117">
      <w:pPr>
        <w:pStyle w:val="Extracto"/>
      </w:pPr>
    </w:p>
    <w:p w:rsidR="00D06117" w:rsidRDefault="00D06117" w:rsidP="00D06117">
      <w:pPr>
        <w:pStyle w:val="Extracto"/>
      </w:pPr>
      <w:r>
        <w:t>16.</w:t>
      </w:r>
      <w:r>
        <w:tab/>
        <w:t>Es necesario que el razonamiento que cuestiona la constitucionalidad haya de exteriorizarse proporcionando los elementos que lleven al mismo, de tal manera que las cuestiones sólo pueden considerarse correctamente planteadas en relación con aquellos preceptos cuya vulneración resulte mínimamente fundada, debiendo quedar excluidas del objeto del proceso aquellas cuestiones que no los proporcionen (SSTC 17/1981, 245/2004)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3741-2001 planteada por la Sección Primera de la Sala de lo Contencioso-Administrativo del Tribunal Superior de Justicia de Canarias sobre la disposición adicional segunda de la Ley 20/1991, de 7 de junio, de modificación de los aspectos fiscales del régimen económico fiscal de Canarias, y la disposición adicional tercera del Real Decreto-ley 7/1993, de 21 de mayo, de medidas urgentes de adaptación y modificación del impuesto sobre el valor añadido, del impuesto especial sobre determinados medios de transporte, del impuesto general indirecto canario, del arbitrio sobre la producción e importación en las islas Canarias y de la tarifa especial del arbitrio insular a la entrada de mercancías. Han comparecido y formulado alegaciones, el Abogado del Estado, en la representación que ostenta, y el Fiscal General del Estado. Ha sido Ponente el Magistrado don Javier Delgado Barrio,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día 3 de julio de 2001 tuvo entrada en el Registro General de este Tribunal Constitucional un escrito de la Sección Primera de la Sala de lo Contencioso-Administrativo del </w:t>
      </w:r>
      <w:r>
        <w:lastRenderedPageBreak/>
        <w:t>Tribunal Superior de Justicia de Canarias (Las Palmas de Gran Canaria), al que se acompaña, junto al testimonio del correspondiente procedimiento, el Auto de la referida Sala de 18 de junio de 2001, por el que se acuerda elevar a este Tribunal cuestión de inconstitucionalidad en relación con la disposición adicional segunda de la Ley 20/1991, de 7 de junio, de modificación de los aspectos fiscales del régimen económico fiscal de Canarias, y la disposición adicional tercera del Real Decreto-ley 7/1993, de 21 de mayo, de medidas urgentes de adaptación y modificación de, entre otros impuestos, la tarifa especial del arbitrio insular a la entrada de mercancías, por posible vulneración de los arts. 31.3, 133.1 y 139.2, y disposición derogatoria, apartado 3, todos ellos de la Constitución Española, y del artículo 46.1 del Estatuto de Autonomía de Canarias; y en relación también con disposición adicional tercera del Real Decreto-ley 7/1993, de 21 de mayo, por presunta vulneración de los arts. 9.3 y 86.1, en relación con el art. 31.1, todos ellos de la Constitución Española.</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hecho del planteamiento de la presente cuestión de inconstitucionalidad son los siguientes:</w:t>
      </w:r>
    </w:p>
    <w:p w:rsidR="00D06117" w:rsidRDefault="00D06117" w:rsidP="00D06117">
      <w:pPr>
        <w:pStyle w:val="TextoNormal"/>
      </w:pPr>
    </w:p>
    <w:p w:rsidR="00D06117" w:rsidRDefault="00D06117" w:rsidP="00D06117">
      <w:pPr>
        <w:pStyle w:val="TextoNormal"/>
      </w:pPr>
      <w:r>
        <w:t>a) Con fecha de 17 de mayo de 1994 fue girada a la entidad mercantil Compañía Canariense de Tabacos, S.A., una liquidación derivada de un acta de disconformidad (núm. 000370) en concepto de arbitrio insular de entrada-tarifa especial correspondiente al ejercicio 1993 por la introducción en Canarias desde Espluges de Llobregat (Barcelona) de 826 bultos con 9.138 kilogramos de “expositores, gavetas y fundas para cigarrillos puros” (DUA núm. 55988-1993), al tipo del 12,5 por 100, y con una deuda tributaria de 1.024.745 pesetas (6.158,84 €). Dicha liquidación fue recurrida ante la Dirección General de Tributos de la Consejería de Economía y Hacienda del Gobierno de Canarias, siendo desestimada la reclamación mediante resolución con fecha de 6 de noviembre de 1996 (expediente núm. 105-94-3).</w:t>
      </w:r>
    </w:p>
    <w:p w:rsidR="00D06117" w:rsidRDefault="00D06117" w:rsidP="00D06117">
      <w:pPr>
        <w:pStyle w:val="TextoNormal"/>
      </w:pPr>
    </w:p>
    <w:p w:rsidR="00D06117" w:rsidRDefault="00D06117" w:rsidP="00D06117">
      <w:pPr>
        <w:pStyle w:val="TextoNormal"/>
      </w:pPr>
      <w:r>
        <w:t>b) Interpuesto recurso contencioso-administrativo (núm. 88-1997) ante la Sala de lo Contencioso-Administrativo del Tribunal Superior de Justicia de Canarias, por providencia con fecha de 10 de abril de 2001 se declararon conclusas las actuaciones, señalándose para votación y fallo el día 4 de mayo de 2001.</w:t>
      </w:r>
    </w:p>
    <w:p w:rsidR="00D06117" w:rsidRDefault="00D06117" w:rsidP="00D06117">
      <w:pPr>
        <w:pStyle w:val="TextoNormal"/>
      </w:pPr>
    </w:p>
    <w:p w:rsidR="00D06117" w:rsidRDefault="00D06117" w:rsidP="00D06117">
      <w:pPr>
        <w:pStyle w:val="TextoNormal"/>
      </w:pPr>
      <w:r>
        <w:t>c) Por providencia de 4 de mayo de 2001 la Sala acordó, de conformidad con el art. 35 de la Ley Orgánica del Tribunal Constitucional (LOTC) y con suspensión del plazo para dictar Sentencia, dar audiencia a las partes personadas y al Ministerio Fiscal, para que en el plazo improrrogable de diez días alegasen lo que estimasen oportuno sobre la pertinencia de plantear cuestión de inconstitucionalidad sobre la disposición adicional primera de la Ley 20/1991, de 7 de junio, de modificación del régimen económico fiscal de Canarias, por la que se dispuso que continuaría vigente la tarifa especial del arbitrio insular sobre la entrada de mercancías en las islas Canarias en los términos previstos en el art. 6 del Protocolo 2 del Tratado de adhesión a las Comunidades Europeas, así como sobre la disposición adicional tercera del Real Decreto-ley 7/1993, de 21 de mayo, por la que se dispuso la vigencia de tal tarifa especial a partir de la prórroga prevista en el art. 6.4 del Reglamento (CEE) núm. 1911-1991 del Consejo, de 26 de junio; la primera, por presunta vulneración de los arts. 31.3, 133 y 139.2, y disposición derogatoria, apartado 3, de la Constitución Española, y del art. 46.1 del Estatuto de Autonomía de Canarias, al haberse mantenido o restablecido la vigencia de normas preconstitucionales; y la segunda, por su posible contradicción con los arts. 9.3 y 86.1, en conexión con el art. 31.1, de la Constitución Española.</w:t>
      </w:r>
    </w:p>
    <w:p w:rsidR="00D06117" w:rsidRDefault="00D06117" w:rsidP="00D06117">
      <w:pPr>
        <w:pStyle w:val="TextoNormal"/>
      </w:pPr>
    </w:p>
    <w:p w:rsidR="00D06117" w:rsidRDefault="00D06117" w:rsidP="00D06117">
      <w:pPr>
        <w:pStyle w:val="TextoNormal"/>
      </w:pPr>
      <w:r>
        <w:t>d) En cumplimiento del anterior trámite, la parte actora presentó su escrito de alegaciones fechado el 17 de mayo de 2001, suplicando el planteamiento de la cuestión de inconstitucionalidad. Por su parte, la Letrada del Gobierno Canario, mediante escrito fechado el día 18 de mayo de 2001, suplicaba se declarase la improcedencia de su planteamiento Finalmente, el Ministerio Fiscal por escrito de 19 de mayo de 2001 interesó también el planteamiento de la cuestión.</w:t>
      </w:r>
    </w:p>
    <w:p w:rsidR="00D06117" w:rsidRDefault="00D06117" w:rsidP="00D06117">
      <w:pPr>
        <w:pStyle w:val="TextoNormal"/>
      </w:pPr>
    </w:p>
    <w:p w:rsidR="00D06117" w:rsidRDefault="00D06117" w:rsidP="00D06117">
      <w:pPr>
        <w:pStyle w:val="TextoNormal"/>
      </w:pPr>
      <w:r w:rsidRPr="00D06117">
        <w:rPr>
          <w:rStyle w:val="NumeroAFNegritaCaracter"/>
        </w:rPr>
        <w:t>3</w:t>
      </w:r>
      <w:r>
        <w:t>. En la fundamentación jurídica del Auto de promoción de la cuestión se razona, en esencia, en los siguientes términos:</w:t>
      </w:r>
    </w:p>
    <w:p w:rsidR="00D06117" w:rsidRDefault="00D06117" w:rsidP="00D06117">
      <w:pPr>
        <w:pStyle w:val="TextoNormal"/>
      </w:pPr>
    </w:p>
    <w:p w:rsidR="00D06117" w:rsidRDefault="00D06117" w:rsidP="00D06117">
      <w:pPr>
        <w:pStyle w:val="TextoNormal"/>
      </w:pPr>
      <w:r>
        <w:t>a) Precisa el órgano judicial que plantea la cuestión, ante todo, el contenido de las disposiciones implicadas, señalando a tal fin que la disposición adicional segunda de la Ley 20/1991, de 7 de junio, disponía que “[c]ontinuará vigente la Tarifa Especial a la Entrada de Mercancías, en los términos previstos en el artículo 6 del Protocolo 2 del Tratado de Adhesión. El Gobierno de la Nación, atendiendo a las circunstancias que puedan concurrir en la economía canaria, planteará a la Comisión Europea la prolongación más allá del 1 de enero de 1993 de la vigencia de la Tarifa Especial para un período de tiempo limitado, así como su extensión a los productos sensibles, según las previsiones del artículo 6.3 del mencionado Protocolo número 2 del Tratado de Adhesión”.</w:t>
      </w:r>
    </w:p>
    <w:p w:rsidR="00D06117" w:rsidRDefault="00D06117" w:rsidP="00D06117">
      <w:pPr>
        <w:pStyle w:val="TextoNormal"/>
      </w:pPr>
    </w:p>
    <w:p w:rsidR="00D06117" w:rsidRDefault="00D06117" w:rsidP="00D06117">
      <w:pPr>
        <w:pStyle w:val="TextoNormal"/>
      </w:pPr>
      <w:r>
        <w:t>Añade el órgano judicial a continuación que el art. 6.3 del Protocolo núm. 2 del Acta de adhesión de España y Portugal a la CEE (“BOE” núm. 1, de 1 de enero de 1986) dispone que “[l]a exacción denominada ‘arbitrio insular-tarifa especial’ de las Islas Canarias, quedará suprimida respecto de los productos originarios del territorio aduanero de la Comunidad el 1 de marzo de 1986. [/] Sin embargo, la referida exacción podrá ser mantenida para la importación de los productos enumerados en la lista que figura en el Anexo B, con un tipo ... reducido … aplicado uniformemente a todas las importaciones de los correspondientes productos originarios del conjunto del territorio aduanero de la Comunidad. Dicha exacción será suprimida a más tardar el 1 de enero de 1993, salvo si el Consejo, por mayoría cualificada y a propuesta de la Comisión, decidiese su prolongación en función de la evolución de la situación económica de las Islas Canarias para cada uno de los productos afectados. Esta exacción no podrá en ningún momento ser superior al nivel del arancel aduanero español resultante de las adaptaciones efectuadas para la implantación del arancel aduanero común”.</w:t>
      </w:r>
    </w:p>
    <w:p w:rsidR="00D06117" w:rsidRDefault="00D06117" w:rsidP="00D06117">
      <w:pPr>
        <w:pStyle w:val="TextoNormal"/>
      </w:pPr>
    </w:p>
    <w:p w:rsidR="00D06117" w:rsidRDefault="00D06117" w:rsidP="00D06117">
      <w:pPr>
        <w:pStyle w:val="TextoNormal"/>
      </w:pPr>
      <w:r>
        <w:t>Señala el órgano judicial a renglón seguido que la disposición adicional tercera del Real Decreto-ley 7/1993, de 21 de mayo, dispuso bajo el título “Prórroga de la Tarifa Especial del Arbitrio Insular a la Entrada de Mercancías” que “[a] partir de la entrada en vigor de la prórroga de la Tarifa Especial del Arbitrio Insular a la Entrada de Mercancías, prevista en el artículo 6.4 del Reglamento (CEE) número 1.911/91 del Consejo, de 26 de junio, dicha Tarifa Especial se exigirá a los mismos tipos impositivos que los vigentes a 31 de diciembre de 1.992; todo ello en los términos establecidos en el Reglamento (CEE) número 564/93 del Consejo, de 8 de marzo”.</w:t>
      </w:r>
    </w:p>
    <w:p w:rsidR="00D06117" w:rsidRDefault="00D06117" w:rsidP="00D06117">
      <w:pPr>
        <w:pStyle w:val="TextoNormal"/>
      </w:pPr>
    </w:p>
    <w:p w:rsidR="00D06117" w:rsidRDefault="00D06117" w:rsidP="00D06117">
      <w:pPr>
        <w:pStyle w:val="TextoNormal"/>
      </w:pPr>
      <w:r>
        <w:t xml:space="preserve">Y, en fin, concluye el órgano judicial señalando que ese art. 6.4 del Reglamento (CEE) 1911-1991 del Consejo, había previsto que, con posterioridad al 31 de diciembre de 1992 “el Consejo podrá autorizar, dependiendo de los casos, a petición de España y de acuerdo </w:t>
      </w:r>
      <w:r>
        <w:lastRenderedPageBreak/>
        <w:t>con el procedimiento previsto en el apartado 3 del artículo 6 del Protocolo n° 2, la aplicación de esta exacción a determinados productos sensibles hasta el 31 de diciembre del año 2000 como muy tarde”. Y esta autorización a la que hace referencia este artículo es la que puede entenderse concedida mediante el ya referido Reglamento (CEE) núm. 564-1993 del Consejo, cuya entrada en vigor tuvo lugar el día de su publicación (“DOCE” núm. L 59, de 12 de marzo de 1993), remitiéndose ese precepto a lo dispuesto en el art. 6.4 del anterior Reglamento (CEE) núm. 1911-1991.</w:t>
      </w:r>
    </w:p>
    <w:p w:rsidR="00D06117" w:rsidRDefault="00D06117" w:rsidP="00D06117">
      <w:pPr>
        <w:pStyle w:val="TextoNormal"/>
      </w:pPr>
    </w:p>
    <w:p w:rsidR="00D06117" w:rsidRDefault="00D06117" w:rsidP="00D06117">
      <w:pPr>
        <w:pStyle w:val="TextoNormal"/>
      </w:pPr>
      <w:r>
        <w:t>b) De las normas citadas anteriormente deduce el órgano judicial que plantea la presente cuestión de inconstitucionalidad que, una vez obtenida la autorización comunitaria precisa para ello, son las disposiciones adicionales segunda de la Ley 20/1991 y tercera del Real Decreto-ley 7/1993, por las que se dispuso la continuación o restablecimiento de la vigencia o exigibilidad de la tarifa especial del arbitrio insular a la entrada de mercancías en las islas Canarias, las que habrían habilitado a la Comunidad Autónoma de Canarias para liquidar y exigir la liquidación controvertida. Pues bien, a juicio del órgano judicial, no se advierte cómo puede compatibilizarse la terminante prohibición del art. 139.2 CE (según la cual “ninguna autoridad podrá adoptar medidas que directa o indirectamente obstaculicen ... la libre circulación de bienes en todo el territorio español”), con el mantenimiento o restablecimiento de la vigencia —en virtud de los preceptos legales cuestionados— de otros preceptos legales preconstitucionales como son, de un lado, el art. 22.2.A) de la Ley 30/1972, de 22 de julio, sobre régimen económico-fiscal de Canarias, conforme al cual el hecho imponible del arbitrio insular a la entrada de mercancías en las islas Canarias es “la entrada en las islas Canarias de toda clase de mercancías procedentes del resto de España o del extranjero”; y, de otro, el apartado 2.F.2 del mismo art. 22, según el cual “podrá establecerse una tarifa especial para la importación de productos industriales y agrarios procedentes del extranjero que sean de la misma naturaleza que los que se fabriquen o produzcan en Canarias”. Preceptos estos que concuerdan con la configuración del hecho imponible que se ha hecho en el art. 2 de la ordenanza fiscal reguladora de la misma y aprobada por Real Decreto 997/1978, de 12 de mayo.</w:t>
      </w:r>
    </w:p>
    <w:p w:rsidR="00D06117" w:rsidRDefault="00D06117" w:rsidP="00D06117">
      <w:pPr>
        <w:pStyle w:val="TextoNormal"/>
      </w:pPr>
    </w:p>
    <w:p w:rsidR="00D06117" w:rsidRDefault="00D06117" w:rsidP="00D06117">
      <w:pPr>
        <w:pStyle w:val="TextoNormal"/>
      </w:pPr>
      <w:r>
        <w:t>Para el órgano judicial tales disposiciones de Derecho interno equiparan, a los efectos de tributación por el concepto de tarifa especial, las entradas de mercancías procedentes del resto de España con las que provienen del resto del territorio aduanero comunitario (de hecho, en el caso de autos las mercancías “importadas” procedían de otra parte del territorio español), sentando una diferencia que podría contrariar la unidad de mercado (STC 64/1990, de 5 de abril, FJ 3) y que no puede justificarse en la singularidad, excepcionalidad o particularidad del régimen económico y fiscal de Canarias. Y no puede justificarse porque aun cuando el art. 46.1 del Estatuto de Autonomía de Canarias señala que el “régimen económico-fiscal especial, propio de su acervo histórico y constitucionalmente reconocido” de que goza Canarias está “basado en la libertad comercial de importación y exportación ... y en franquicias aduaneras y fiscales sobre el consumo”, tal proclamación no puede implicar una derogación o excepción del art. 139.2 CE. Es más, si el principio de la franquicia sobre el consumo se concreta en la inaplicación en Canarias de la imposición indirecta estatal de ámbito general que grava el comercio (impuesto sobre el valor añadido), no es posible advertir la compatibilidad de tal franquicia con la denominada tarifa especial (que es calificable como un impuesto estatal).</w:t>
      </w:r>
    </w:p>
    <w:p w:rsidR="00D06117" w:rsidRDefault="00D06117" w:rsidP="00D06117">
      <w:pPr>
        <w:pStyle w:val="TextoNormal"/>
      </w:pPr>
    </w:p>
    <w:p w:rsidR="00D06117" w:rsidRDefault="00D06117" w:rsidP="00D06117">
      <w:pPr>
        <w:pStyle w:val="TextoNormal"/>
      </w:pPr>
      <w:r>
        <w:lastRenderedPageBreak/>
        <w:t>Por lo tanto, el órgano judicial entiende que la normativa reguladora de la denominada tarifa especial del arbitrio insular sobre la entrada de mercancías podría haber sido afectada en su vigencia y derogada en virtud de la disposición derogatoria, apartado 3, de la Constitución Española. Por este motivo, al restablecer la normativa cuestionada la vigencia de unas normas constitucionalmente derogadas, so pretexto de un pretendido apoyo en el ordenamiento comunitario, puede entenderse infringida tal disposición derogatoria del texto constitucional mediante las disposiciones o preceptos legales cuya constitucionalidad se cuestiona.</w:t>
      </w:r>
    </w:p>
    <w:p w:rsidR="00D06117" w:rsidRDefault="00D06117" w:rsidP="00D06117">
      <w:pPr>
        <w:pStyle w:val="TextoNormal"/>
      </w:pPr>
    </w:p>
    <w:p w:rsidR="00D06117" w:rsidRDefault="00D06117" w:rsidP="00D06117">
      <w:pPr>
        <w:pStyle w:val="TextoNormal"/>
      </w:pPr>
      <w:r>
        <w:t>c) Considera el órgano judicial, por otra parte, que el intento de dar continuidad o recuperar la vigencia de una normativa tributaria tan dudosamente compatible con la Constitución de 1978 (y también con el propio Derecho comunitario) como es la reguladora de la tarifa especial infringe asimismo la asignación y distribución del poder tributario y su sometimiento al principio de legalidad en materia tributaria, establecidos en los arts. 31.3 y 133, ambos de la Constitución. Indica el órgano judicial, que de los preceptos citados se desprende que son el Estado, las Comunidades Autónomas y las corporaciones locales quienes, mediante ley en su caso, y en todo caso con arreglo a la Constitución y a las leyes, pueden establecer y exigir tributos en España, y, sin embargo, el legislador estatal ha abdicado de su potestad originaria tributaria, ejercitable mediante ley, en favor de las instituciones comunitarias, supeditando la vigencia y exigibilidad del impuesto estatal de que se trata, o incluso el alcance de la normativa reguladora del mismo, a lo que dichas instituciones comunitarias decidan al respecto, como si de un impuesto, no ya estatal español, sino europeo comunitario, se tratase. Sin desconocer el órgano judicial la primacía y aplicación directa del ordenamiento comunitario, lo que niega es que las instituciones comunitarias hayan asumido las competencias o atribuciones de los Estados miembros para establecer y regular sus propios tributos y menos aun cuando lo que se pretende es atribuir a alguna de las instituciones comunitarias la facultad de decidir la pervivencia de barreras fiscales entre diversas partes del territorio nacional español.</w:t>
      </w:r>
    </w:p>
    <w:p w:rsidR="00D06117" w:rsidRDefault="00D06117" w:rsidP="00D06117">
      <w:pPr>
        <w:pStyle w:val="TextoNormal"/>
      </w:pPr>
    </w:p>
    <w:p w:rsidR="00D06117" w:rsidRDefault="00D06117" w:rsidP="00D06117">
      <w:pPr>
        <w:pStyle w:val="TextoNormal"/>
      </w:pPr>
      <w:r>
        <w:t>d) Añade a continuación el órgano judicial que el instrumento normativo finalmente utilizado para restablecer la vigencia —con posterioridad al 1 de enero de 1993— de la denominada tarifa especial, a saber, un decreto-ley (el Real Decreto-ley 7/1993), está infringiendo el art. 86.1, en conexión con el art. 31.1, ambos de la Constitución, pues dicha norma, aparte de establecerse con una urgencia que no está justificada, está afectando a un derecho, deber o libertad regulado en el título I de la Constitución, a saber, el deber de contribuir.</w:t>
      </w:r>
    </w:p>
    <w:p w:rsidR="00D06117" w:rsidRDefault="00D06117" w:rsidP="00D06117">
      <w:pPr>
        <w:pStyle w:val="TextoNormal"/>
      </w:pPr>
    </w:p>
    <w:p w:rsidR="00D06117" w:rsidRDefault="00D06117" w:rsidP="00D06117">
      <w:pPr>
        <w:pStyle w:val="TextoNormal"/>
      </w:pPr>
      <w:r>
        <w:t>e) Concluye el órgano judicial cuestionando también el alcance retroactivo de la disposición adicional tercera del Real Decreto-ley 7/1993, de 21 de mayo, que considera que pudiera ser contrario al principio de seguridad jurídica enunciado en el art. 9.3 CE, pues mediante dicha disposición adicional se restableció una tarifa cuya supresión no sólo se preveía con efectos a partir del 12 de marzo inmediatamente anterior —fecha de la publicación y entrada en vigor del Reglamento (CEE) núm. 564-1993 del Consejo, de 8 de marzo—, sino que podía haberse entendido definitivamente suprimida a partir del 1 de enero de dicho año, con arreglo a lo dispuesto en el art. 6.3 del Protocolo núm. 2 del Acta de adhesión antes referido, ya que en tal fecha no se había conseguido obtener del Consejo la pertinente autorización de prórroga.</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Mediante providencia de 23 de abril de 2002, la Sección Primera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112, de 10 de mayo).</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en este Tribunal el día 17 de mayo de 2002 se recibió comunicación de la Presidenta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de la Secretaría General. Posteriormente, por escrito registrado el 20 de mayo siguiente, la Presidenta del Senado solicitó a este Tribunal que se tuviera a dicha Cámara por personada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presentó su escrito el día 23 de mayo de 2002 en el que suplicaba que se dictase Sentencia por la que se inadmitiese la cuestión respecto de la segunda parte o inciso final de la disposición adicional tercera de la Ley 20/1991, de 7 de junio, y se desestimase en todo lo demás; y, subsidiariamente, se desestimase en su integridad.</w:t>
      </w:r>
    </w:p>
    <w:p w:rsidR="00D06117" w:rsidRDefault="00D06117" w:rsidP="00D06117">
      <w:pPr>
        <w:pStyle w:val="TextoNormal"/>
      </w:pPr>
    </w:p>
    <w:p w:rsidR="00D06117" w:rsidRDefault="00D06117" w:rsidP="00D06117">
      <w:pPr>
        <w:pStyle w:val="TextoNormal"/>
      </w:pPr>
      <w:r>
        <w:t>En dicho escrito precisa, ante todo, el peculiar régimen económico-fiscal de franquicia que las islas Canarias disfruta y cuya historia se resume en la exposición de motivos de la Ley 30/1972, de 22 de julio, siendo su art. 22 el que establecía y regulaba todos los elementos esenciales del arbitrio insular a la entrada de mercancías, que distinguía dos tarifas: una general y necesaria, y otra especial y potestativa “para la importación de productos industriales y agrarios procedentes del extranjero, que sean de la misma naturaleza que los que se fabriquen o produzcan en Canarias” (fijándose el tipo impositivo de cada producto por ordenanza, sin que pudiese ser inferior al que a cada producto corresponda para la desgravación de exportaciones en el régimen general). Por su parte el art. 14 de la misma ley señalaba que “cuando se envíen a Canarias desde el resto de España mercancías de la misma naturaleza que las que se produzcan en las islas y sean de las comprendidas en la tarifa especial mencionada en el número 2 de la letra F del artículo 22 de esta Ley, aquéllas no gozarán de la desgravación fiscal a la exportación”. De esta manera, la Ley 30/1972, a efectos de la tarifa especial, distingue entre el comercio Canarias-extranjero y el comercio Canarias-resto de España. Y, en fin, concluye que la tarifa especial no sólo tenía una finalidad fiscal o recaudatoria en beneficio de las corporaciones locales canarias, sino que representaba, de conformidad con la exposición de motivos de la Ley 30/1972, una medida claramente proteccionista de la agricultura y la industria del archipiélago; finalidad garantista que recoge el Real Decreto 997/1978, de 12 de mayo, por el que se aprobaba la Ordenanza reguladora de la tarifa especial del arbitrio insular a la entrada de mercancías, la disposición adicional tercera de la Constitución Española y el art. 46.1 del Estatuto de Autonomía.</w:t>
      </w:r>
    </w:p>
    <w:p w:rsidR="00D06117" w:rsidRDefault="00D06117" w:rsidP="00D06117">
      <w:pPr>
        <w:pStyle w:val="TextoNormal"/>
      </w:pPr>
    </w:p>
    <w:p w:rsidR="00D06117" w:rsidRDefault="00D06117" w:rsidP="00D06117">
      <w:pPr>
        <w:pStyle w:val="TextoNormal"/>
      </w:pPr>
      <w:r>
        <w:t xml:space="preserve">Añade a continuación el Abogado del Estado que la integración de España en la CEE tuvo un decisivo influjo en la existencia y régimen de la tarifa especial del arbitrio insular a </w:t>
      </w:r>
      <w:r>
        <w:lastRenderedPageBreak/>
        <w:t>la entrada de mercancías. El art. 25.2 del Acta de adhesión de España y Portugal a la CEE remitió a un protocolo especial, el núm. 2, la definición de las “condiciones en que se aplicarán las disposiciones de los Tratados CEE y CECA sobre la libre circulación de mercancías, así como los actos de las instituciones de la Comunidad relativos a la legislación aduanera y a la política comercial en las islas Canarias y en Ceuta y Melilla”, previendo su art. 6.3 la supresión de la citada tarifa especial “respecto de los productos originarios del territorio aduanero de la Comunidad”, aunque permitiendo el mantenimiento transitorio para la importación de los productos enumerados en la lista del anexo B con un tipo del 90 por 100 del indicado en la lista. En todo caso, de conformidad con ese art. 6.3, la tarifa especial sería suprimida a más tardar el día 1 de enero de 1993, salvo si el Consejo, a propuesta de la Comisión, decidiese su aplicación en función de la evolución económica de las islas Canarias para cada uno de los productos afectados.</w:t>
      </w:r>
    </w:p>
    <w:p w:rsidR="00D06117" w:rsidRDefault="00D06117" w:rsidP="00D06117">
      <w:pPr>
        <w:pStyle w:val="TextoNormal"/>
      </w:pPr>
    </w:p>
    <w:p w:rsidR="00D06117" w:rsidRDefault="00D06117" w:rsidP="00D06117">
      <w:pPr>
        <w:pStyle w:val="TextoNormal"/>
      </w:pPr>
      <w:r>
        <w:t>En el año 1991, continua el Abogado del Estado, se aprobaron dos normas en relación con la tarifa especial del arbitrio insular a la entrada de mercancías. En primer lugar, la Ley 20/1991, de 7 de junio (que derogaba la tarifa general del arbitrio insular a la entrada de mercancías), cuya disposición adicional segunda se cuestiona, y en la que la exposición de motivos señala que la tarifa especial del arbitrio insular a la entrada de mercancías se mantendrá en los términos previstos en el art. 6.2 del Protocolo núm. 2 del Tratado de adhesión, poniéndose al servicio de la suficiencia financiera de las entidades locales del archipiélago, en cuanto que los rendimientos obtenidos se atribuían a las corporaciones locales canarias. Y, en segundo lugar, el Reglamento (CEE) núm. 1911-1991 del Consejo, de 26 de junio de 1991, relativo a la aplicación de las disposiciones del Derecho comunitario en Canarias, cuya finalidad es modificar el régimen establecido en el Acta de adhesión “e integrar a Canarias en el territorio aduanero de la Comunidad”, pero mediante “un proceso progresivo durante un período transitorio adecuado”, sin perjuicio de “los condicionamientos específicos debidos a la lejanía e insularidad” y a su “régimen económico y fiscal histórico”. El art. 6.4 de este reglamento preveía que, en relación con los productos procedentes de otras partes de la Comunidad, la tarifa especial del arbitrio insular a la entrada de mercancías no podría prorrogarse “más allá del 31 de diciembre de 1992”, aunque el Consejo podía autorizar, a petición de España, la aplicación de esta exacción a determinados productos sensibles hasta el 31 de diciembre del año 2000 como muy tarde. Tratándose de mercancías originarias de países terceros, la exacción debería reducirse a partir del 1 de enero de 1996 para desaparecer el 31 de diciembre de 2000.</w:t>
      </w:r>
    </w:p>
    <w:p w:rsidR="00D06117" w:rsidRDefault="00D06117" w:rsidP="00D06117">
      <w:pPr>
        <w:pStyle w:val="TextoNormal"/>
      </w:pPr>
    </w:p>
    <w:p w:rsidR="00D06117" w:rsidRDefault="00D06117" w:rsidP="00D06117">
      <w:pPr>
        <w:pStyle w:val="TextoNormal"/>
      </w:pPr>
      <w:r>
        <w:t>En 1993, añade el Abogado del Estado, el Reglamento (CEE) núm. 564-1993 del Consejo, de 8 de marzo de 1993, altera el panorama señalado, pues prorroga la tarifa especial del arbitrio insular a la entrada de mercancías “con ocasión de la introducción en estas islas de productos sensibles procedentes de otras partes de la Comunidad”, manteniéndola hasta el 31 de diciembre de 2000 “habida cuenta de los factores económicos inherentes a la situación geográfica excepcional de las islas Canarias”. Con base en esta norma se dictó el Real Decreto-ley 7/1993, de 21 de mayo, que opera casi como un recordatorio de los anteriores reglamentos comunitarios. Y tras este real decreto-ley tuvieron también incidencia en la tarifa especial el art. 5 de la Ley 16/1994, de 7 de junio (que establece reglas sobre infracciones y momento del devengo en la tarifa especial), el art. 47 de la Ley 19/1994, de 6 de julio (que establece exenciones en la tarifa especial), y el art. 66 de la Ley 13/1996, de 30 de diciembre (que establece una reducción progresiva de los tipos de gravamen de la tarifa especial e insiste en su desaparición el día 31 de diciembre de 2000).</w:t>
      </w:r>
    </w:p>
    <w:p w:rsidR="00D06117" w:rsidRDefault="00D06117" w:rsidP="00D06117">
      <w:pPr>
        <w:pStyle w:val="TextoNormal"/>
      </w:pPr>
    </w:p>
    <w:p w:rsidR="00D06117" w:rsidRDefault="00D06117" w:rsidP="00D06117">
      <w:pPr>
        <w:pStyle w:val="TextoNormal"/>
      </w:pPr>
      <w:r>
        <w:t>Una vez concretada la evolución legislativa de la tarifa especial, pasa el Abogado del Estado a analizar la relevancia de los preceptos cuestionados. Y a tal fin subraya que es un dato incontrovertible que la tarifa especial del arbitrio insular a la entrada de mercancías se aplicó en España desde la entrada en vigor de la Constitución hasta el 1 de enero de 1986, por la vigencia del art. 22 de la Ley 30/1972 y del Real Decreto 997/1978, sin que ningún tribunal entendiera que dicha tarifa contradecía la Constitución. Después, el 1 de enero de 1986, con la adhesión de España a la CEE, se abrió una nueva etapa que se puede entender terminada con el Reglamento (CEE) núm. 1911-1991 y la disposición adicional segunda de la Ley 20/1991. La tercera etapa llegaría con el Reglamento (CEE) núm. 564-1993 y la disposición adicional tercera del Real Decreto-ley 7/1993. Y, en fin, la cuarta etapa y última va desde 1993 hasta el 31 de diciembre de 2000. Pues bien, la disposición adicional segunda de la Ley 20/1991 tiene dos partes: una primera parte, innecesaria, que dispone que “continuará vigente” la tarifa especial en los términos del art. 6.3 del Protocolo núm. 2 (y que de no existir esta parte de la disposición, la tarifa habría seguido vigente ex art. 6.3 del Protocolo núm. 2) y, una segunda parte, que ordena al Gobierno que plantee ante la Comisión Europea la prórroga de la vigencia de la tarifa especial más allá del 1 de enero de 1993, aunque “para un período de tiempo limitado” y ceñida a los “productos sensibles” y que no puede considerarse cuestionada por el órgano judicial al no contener el Auto de planteamiento ni un solo argumento que razone su inconstitucionalidad. Y lo mismo sucede con la disposición adicional tercera del Real Decreto-ley 7/1993 que no hace sino aplicar lo previsto en el art. 1 del Reglamento (CEE) núm. 564-1993 (prórroga de la tarifa especial hasta el 31 de diciembre de 2000), por lo que su eficacia innovadora es cero o cercana al cero, de modo tal que si no se hubiera dictado no por ello hubiera dejado de aplicarse la citada tarifa.</w:t>
      </w:r>
    </w:p>
    <w:p w:rsidR="00D06117" w:rsidRDefault="00D06117" w:rsidP="00D06117">
      <w:pPr>
        <w:pStyle w:val="TextoNormal"/>
      </w:pPr>
    </w:p>
    <w:p w:rsidR="00D06117" w:rsidRDefault="00D06117" w:rsidP="00D06117">
      <w:pPr>
        <w:pStyle w:val="TextoNormal"/>
      </w:pPr>
      <w:r>
        <w:t>Hecha la aclaración anterior, pasa ya el Abogado del Estado a analizar las dudas de constitucionalidad planteadas por el órgano judicial, a cuyo fin comienza señalando que la tarifa especial del arbitrio insular a la entrada de mercancías servía a una finalidad proteccionista reñida o difícilmente conciliable con un sistema de franquicia aduanera, pues la suma de la tarifa general y la tarifa especial del arbitrio insular a la entrada de mercancías creaban un arancel canario distinto del general. Ahora bien, dicho esto, hace el Abogado del Estado una serie de precisiones previas como que el órgano judicial proponente parece reprochar la violación del art. 139.2 CE no a las disposiciones cuestionadas, sino a dos preceptos preconstitucionales [los apartados A) y F).2 del art. 22.2 de la Ley 30/1972], y además sólo respecto de los productos industriales y agrarios “procedentes del extranjero”, no del resto de España, cuando, como es obvio, respecto de los productos procedentes del extranjero no se aplica lo dispuesto en el art. 139.2 CE; que el órgano judicial cita los arts. 157.2 CE y 9 c) de la Ley Orgánica de financiación de las Comunidades Autónomas que contienen una prohibición dirigida a las Comunidades Autónomas, cuando lo cuestionado en el presente caso son normas estatales en sentido estricto; y que desde el 1 de enero de 1986 la regulación de la tarifa especial reposa en el art. 6.3 del Protocolo núm. 2 del Acta de adhesión, norma esta que aun cuando es susceptible de un control de constitucionalidad [art. 27 c) LOTC], el órgano judicial no ha cuestionado.</w:t>
      </w:r>
    </w:p>
    <w:p w:rsidR="00D06117" w:rsidRDefault="00D06117" w:rsidP="00D06117">
      <w:pPr>
        <w:pStyle w:val="TextoNormal"/>
      </w:pPr>
    </w:p>
    <w:p w:rsidR="00D06117" w:rsidRDefault="00D06117" w:rsidP="00D06117">
      <w:pPr>
        <w:pStyle w:val="TextoNormal"/>
      </w:pPr>
      <w:r>
        <w:t xml:space="preserve">Señala a continuación el Abogado del Estado que, de acuerdo con la doctrina de las SSTC 37/1981 y 66/1991, no toda medida que incida en la libre circulación de bienes y personas es necesariamente contraria al art. 139.2 CE, sino sólo aquéllas que persigan de forma intencionada obstaculizar la libre circulación o generen obstáculos que no guarden relación y </w:t>
      </w:r>
      <w:r>
        <w:lastRenderedPageBreak/>
        <w:t>sean desproporcionados con el fin constitucionalmente lícito que persiga la medida adoptada. En este sentido, la tarifa especial es una consecuencia más del hecho insular pues nació para proteger la agricultura y la industria en Canarias, favoreciendo el desarrollo económico y social, y haciendo menos vulnerables a las islas respecto a las vicisitudes y oscilaciones de comercio internacional, garantizándoles una mínima capacidad propia para abastecerse de materias primas esenciales y bienes de consumo primarios, sin dependencias excesivas del resto del territorio español o de países extranjeros. Y este sentido, no sólo el Estado está obligado a prestar “atención particular” al hecho insular según el art. 138.1 CE, precepto con un peso y significado propio (STC 146/1992), sino que el hecho insular otorga un amplio margen para elegir la técnica que resulte más apropiada para contrarrestar los mayores costes o desequilibrios (STC 68/1996, de 16 de octubre), tanto más cuando —como le sucede a Canarias— la lejanía a la península y cercanía a la costa africana, con un relieve y clima peculiares, y una falta de recursos naturales y estructura económica, legitima constitucionalmente la finalidad perseguida por la tarifa especial. Sin embargo, nada hay en el Auto de planteamiento que justifique el entendimiento de esa tarifa especial como una medida que sacrifica desproporcionadamente la libre circulación de bienes. Además, considera el Abogado del Estado que el análisis de la libre circulación de bienes dentro de España debe hacerse teniendo en cuenta el mercado común europeo y, concretamente, el art. 299.2 del Tratado constitutivo de la Comunidad Europea, que habilita al Consejo para fijar las condiciones de aplicación de los Tratados en las regiones ultraperiféricas, habida cuenta de su gran lejanía, insularidad, reducida superficie, relieve y climas adversos, y dependencia económica de un reducido número de productos, “factores cuya persistencia y combinación perjudican gravemente a su desarrollo”.</w:t>
      </w:r>
    </w:p>
    <w:p w:rsidR="00D06117" w:rsidRDefault="00D06117" w:rsidP="00D06117">
      <w:pPr>
        <w:pStyle w:val="TextoNormal"/>
      </w:pPr>
    </w:p>
    <w:p w:rsidR="00D06117" w:rsidRDefault="00D06117" w:rsidP="00D06117">
      <w:pPr>
        <w:pStyle w:val="TextoNormal"/>
      </w:pPr>
      <w:r>
        <w:t>En suma, para el Abogado del Estado la ponderación entre la restricción a la libre circulación de mercancías provenientes de otras partes de España que puede generar la tarifa especial (art. 139.2 CE) y las necesidades de protección de la agricultura e industrias locales justificadas por el hecho insular (art. 138.1 CE), no puede llegar a una solución distinta de la que cabe inferir del Derecho europeo. Así, la apreciación del Reglamento (CEE) núm. 564-1993 no puede tacharse de irrazonable o desproporcionada y, por tanto, no puede entenderse que viole el art. 139.2 CE, y lo mismo ha de concluirse para la simple declaración de vigencia de la tarifa especial que hace la disposición adicional segunda —primer inciso— de la Ley 20/1991 y la disposición adicional tercera del Real Decreto-ley 7/1993, y para la fijación de una orientación política vinculante para el Gobierno que hace la disposición adicional segunda —segundo inciso— de la Ley 20/1991.</w:t>
      </w:r>
    </w:p>
    <w:p w:rsidR="00D06117" w:rsidRDefault="00D06117" w:rsidP="00D06117">
      <w:pPr>
        <w:pStyle w:val="TextoNormal"/>
      </w:pPr>
    </w:p>
    <w:p w:rsidR="00D06117" w:rsidRDefault="00D06117" w:rsidP="00D06117">
      <w:pPr>
        <w:pStyle w:val="TextoNormal"/>
      </w:pPr>
      <w:r>
        <w:t>A continuación pasa a analizar el Abogado del Estado la supuesta infracción del art. 46.1 del Estatuto de Autonomía de Canarias (EACan), señalando que el mismo argumento que se ha utilizado con relación a la pretendida infracción del art. 139.2 CE sirve, mutatis mutandis, para analizar esta otra infracción, pues el peculiar régimen económico-fiscal canario ampara “las modulaciones y derogaciones que permitan paliar las características estructurales permanentes que dificultan su desarrollo”.</w:t>
      </w:r>
    </w:p>
    <w:p w:rsidR="00D06117" w:rsidRDefault="00D06117" w:rsidP="00D06117">
      <w:pPr>
        <w:pStyle w:val="TextoNormal"/>
      </w:pPr>
    </w:p>
    <w:p w:rsidR="00D06117" w:rsidRDefault="00D06117" w:rsidP="00D06117">
      <w:pPr>
        <w:pStyle w:val="TextoNormal"/>
      </w:pPr>
      <w:r>
        <w:t xml:space="preserve">Después analiza el Abogado del Estado la supuesta infracción del apartado 3 de la disposición derogatoria de la Constitución, afirmando que esta cuestión sólo cobraría sentido si se supusiese que el régimen de la tarifa especial vigente a finales de 1978 se oponía a lo establecido en la Constitución y, concretamente, a su art. 139.2 y que, por tanto, los intentos </w:t>
      </w:r>
      <w:r>
        <w:lastRenderedPageBreak/>
        <w:t>de restablecer la vigencia de normas insanablemente opuestas a la citada disposición constitucional devenían inconstitucionales. Sin embargo, rechaza a renglón seguido que sea así por dos motivos. En primer lugar, porque ya ha quedado dicho que la tarifa especial es compatible con el art. 139.2 CE, correctamente entendido y conjuntamente interpretado con el art. 138.1 CE. Y, en segundo lugar, porque el legislador español se ha limitado a dar publicidad interna a una situación creada y configurada por normas convencionales internacionales (Protocolo núm. 2) y normas de Derecho derivado europeo (reglamentos de 1991 y 1993).</w:t>
      </w:r>
    </w:p>
    <w:p w:rsidR="00D06117" w:rsidRDefault="00D06117" w:rsidP="00D06117">
      <w:pPr>
        <w:pStyle w:val="TextoNormal"/>
      </w:pPr>
    </w:p>
    <w:p w:rsidR="00D06117" w:rsidRDefault="00D06117" w:rsidP="00D06117">
      <w:pPr>
        <w:pStyle w:val="TextoNormal"/>
      </w:pPr>
      <w:r>
        <w:t>La siguiente infracción que analiza el Abogado del Estado es la de los arts. 31.3 y 133.1, ambos de la Constitución, que el órgano judicial considera vulnerados por haber abdicado el legislador español de su “potestad originaria tributaria”. Y a este respecto señala que los arts. 31.3 y 133.1 citados establecen una exigencia de norma con rango de ley que los dos preceptos cuestionados satisfacen. Y si, como parece, se trata de reprochar una suerte de claudicación de la soberanía tributaria, tal vez cupiera aducir el art. 133.1 CE que califica de “originaria” la potestad tributaria de las Cortes, pero no el art. 31.3 que no exige más que el establecimiento de las prestaciones patrimoniales de carácter público se efectúe “con arreglo a la Ley”. Y por lo que toca a la disposición adicional tercera del Real Decreto-ley 7/1993, la posible infracción de los límites materiales del decreto-ley supondría una violación del art. 86.1 CE, pero no de los arts. 31.3 y 133.1 CE. Pero es que, además, ninguna de las normas legales cuestionadas establece ex novo la tarifa especial del arbitrio insular a la entrada de mercancías, ya que ésta fue establecida por la Ley 30/1972 y, posteriormente modificada, por el Protocolo núm. 2 y por el Reglamento (CEE) 564-1993, que en modo alguno invaden competencia alguna constitucional del legislador español en materia tributaria.</w:t>
      </w:r>
    </w:p>
    <w:p w:rsidR="00D06117" w:rsidRDefault="00D06117" w:rsidP="00D06117">
      <w:pPr>
        <w:pStyle w:val="TextoNormal"/>
      </w:pPr>
    </w:p>
    <w:p w:rsidR="00D06117" w:rsidRDefault="00D06117" w:rsidP="00D06117">
      <w:pPr>
        <w:pStyle w:val="TextoNormal"/>
      </w:pPr>
      <w:r>
        <w:t xml:space="preserve">Por otra parte, y por lo que se refiere a la vulneración de la disposición adicional 3 y el art. 86.1, ambos de la Constitución, en relación con el art. 31.1, también de la Constitución, por la disposición adicional tercera del Real Decreto-ley 7/1993, considera el Abogado del Estado que las disposiciones cuestionadas no afectan inconstitucionalmente al deber de contribuir, en los términos que han sido señalados por la doctrina constitucional (SSTC 111/1983, de 2 de diciembre, FJ 8; 60/1986, de 20 de mayo, FJ 4; 182/1997, de 28 de octubre, FJ 6; y ss.), pues la afectación a que hace referencia el art. 86.1 CE atiende a “la configuración constitucional del derecho o deber afectado en cada caso” y a “la naturaleza y alcance de la concreta regulación de que se trate”, de manera que habrá que analizar si el legislador extraordinario ha introducido “una alteración sustancial de la posición de los ciudadanos en el conjunto del sistema tributario”, afectando así a “la esencia del deber constitucional de contribuir al sostenimiento de los gastos públicos”. Y en este sentido, considera el Abogado del Estado que la tarifa especial es una figura tributaria de aplicación territorialmente limitada (entrada de mercancías en Canarias) que grava exclusivamente la entrada de mercancías en las islas, o lo que es lo mismo, es una figura impositiva de escasísimo relieve en el “conjunto del sistema tributario”, que se aplica, comparativamente, a pocos sujetos pasivos, por lo que no puede considerarse que quede esencialmente afectado el deber constitucional de contribuir y, en consecuencia, que queden afectadas las materias vedadas al decreto-ley por el art. 86.1 CE. Por lo demás, y aunque el órgano judicial que suscita la cuestión hace igualmente una brevísima referencia a la posible falta del presupuesto habilitante para dictar la disposición adicional tercera del Real Decreto-ley 7/1993 (“con urgencia </w:t>
      </w:r>
      <w:r>
        <w:lastRenderedPageBreak/>
        <w:t>que no aparece justificada”), lo cierto es que se trata de una afirmación desnuda carente de todo desarrollo argumental, que el órgano proponente tenía la carga de efectuar.</w:t>
      </w:r>
    </w:p>
    <w:p w:rsidR="00D06117" w:rsidRDefault="00D06117" w:rsidP="00D06117">
      <w:pPr>
        <w:pStyle w:val="TextoNormal"/>
      </w:pPr>
    </w:p>
    <w:p w:rsidR="00D06117" w:rsidRDefault="00D06117" w:rsidP="00D06117">
      <w:pPr>
        <w:pStyle w:val="TextoNormal"/>
      </w:pPr>
      <w:r>
        <w:t>Y con relación a la ultima violación alegada por el órgano judicial, la de art. 9.3 CE, imputada a la disposición adicional tercera del Real Decreto-ley 7/1993, según sostiene el Auto de planteamiento por aplicarse de forma retroactiva, señala el Abogado del Estado que si, en palabras del propio órgano judicial promotor, “la entrada en vigor de la prórroga de la Tarifa Especial del Arbitrio Insular a la Entrada de Mercancías” se produjo el 12 de marzo de 1993 (fecha de publicación en el “Diario Oficial de las Comunidades Europeas”), momento a partir del cual la citada tarifa debía exigirse a los “mismos tipos” vigentes el último día de 1992 [aunque “en los términos” del Reglamento (CEE) núm. 564-1993], no puede sostenerse que la cuestionada disposición adicional tercera esté dotada de una eficacia retroactiva que vulnere el principio de seguridad jurídica, pues esa pretendida retroactividad no sólo es aparente [al no proyectarse sobre situaciones jurídicas preexistentes, limitándose a declarar una entrada en vigor ya producida con la publicación en el “DOCE” del Reglamento (CEE) núm. 564-1993] sino que, aun aceptando que tuviera eficacia retroactiva en ningún caso resultaría quebrantada la seguridad jurídica porque desde el 12 de marzo de 1993, fecha de su publicación, era de público conocimiento por los ciudadanos comunitarios europeos (españoles incluidos).</w:t>
      </w:r>
    </w:p>
    <w:p w:rsidR="00D06117" w:rsidRDefault="00D06117" w:rsidP="00D06117">
      <w:pPr>
        <w:pStyle w:val="TextoNormal"/>
      </w:pPr>
    </w:p>
    <w:p w:rsidR="00D06117" w:rsidRDefault="00D06117" w:rsidP="00D06117">
      <w:pPr>
        <w:pStyle w:val="TextoNormal"/>
      </w:pPr>
      <w:r w:rsidRPr="00D06117">
        <w:rPr>
          <w:rStyle w:val="NumeroAFNegritaCaracter"/>
        </w:rPr>
        <w:t>7</w:t>
      </w:r>
      <w:r>
        <w:t>. El Fiscal General del Estado evacuó el trámite conferido mediante escrito registrado el día 27 de mayo de 2002, interesando la desestimación de la cuestión de inconstitucionalidad planteada.</w:t>
      </w:r>
    </w:p>
    <w:p w:rsidR="00D06117" w:rsidRDefault="00D06117" w:rsidP="00D06117">
      <w:pPr>
        <w:pStyle w:val="TextoNormal"/>
      </w:pPr>
    </w:p>
    <w:p w:rsidR="00D06117" w:rsidRDefault="00D06117" w:rsidP="00D06117">
      <w:pPr>
        <w:pStyle w:val="TextoNormal"/>
      </w:pPr>
      <w:r>
        <w:t>Tras precisar los antecedentes en su planteamiento, revisar los argumentos del Auto de planteamiento y concretar la normativa aplicable, tanto la interna como la comunitaria, el Fiscal General del Estado recuerda que la tarifa especial del arbitrio insular a la entrada de mercancías no grava todas las entradas de mercancías, sino únicamente los productos industriales y agrarios que sean de la misma naturaleza que los que se fabriquen o produzcan en Canarias, y respecto de la cual los reglamentos (CEE) han abundado en las razones de su mantenimiento, a saber, el compensar las desventajas relacionadas con el aislamiento geográfico del archipiélago (lejanía e insularidad), con referencia a determinados productos sensibles para la economía canaria. De esta manera, la tarifa especial no tiene una finalidad meramente recaudatoria, sino que se trata de una medida económica establecida mediante un instrumento fiscal, pues la finalidad del gravamen de determinados productos es el desarrollo de sectores productivos, económica y socialmente importantes para la evolución de las islas Canarias, que se protegen mediante un elemento fiscal que pretende desaconsejar —aunque no impedir de modo absoluto— que estos productos se obtengan fuera del archipiélago, fomentando así los concretos sectores a los que conciernen. En consecuencia, al no tratarse de un impuesto con finalidad recaudatoria, sino de una medida fiscal con una finalidad orientada al desarrollo económico con indiferencia sobre lo que se recaude, el régimen, exigencias y garantías de la materia tributaria, han de aplicarse con prudencia y flexibilidad.</w:t>
      </w:r>
    </w:p>
    <w:p w:rsidR="00D06117" w:rsidRDefault="00D06117" w:rsidP="00D06117">
      <w:pPr>
        <w:pStyle w:val="TextoNormal"/>
      </w:pPr>
    </w:p>
    <w:p w:rsidR="00D06117" w:rsidRDefault="00D06117" w:rsidP="00D06117">
      <w:pPr>
        <w:pStyle w:val="TextoNormal"/>
      </w:pPr>
      <w:r>
        <w:t xml:space="preserve">Dicho lo que antecede y antes de entrar a estudiar la denunciada infracción de preceptos constitucionales, pasa el Fiscal General del Estado a examinar la validez del juicio de relevancia que hizo la Sección Primera de la Sala de lo Contencioso-Administrativo del Tribunal Superior de Justicia de Canarias, con sede en Las Palmas, concretamente, en la valoración que hace de la normativa comunitaria y, en particular, del Reglamento (CEE) núm. </w:t>
      </w:r>
      <w:r>
        <w:lastRenderedPageBreak/>
        <w:t>564-1993 del Consejo, de 8 de marzo de 1993, que estaba vigente en el momento del devengo del arbitrio. Y a este respecto señala que el Gobierno de Canarias, en sus alegaciones, mantuvo que la vigencia de la tarifa especial hasta el 31 de diciembre de 2000 aparece impuesta por la normativa comunitaria, por lo que el fallo no depende de las disposiciones adicionales cuestionadas sino de las normas comunitarias. La Sala estima, sin embargo, que las normas comunitarias, en particular los reglamentos (CEE), contienen una autorización que la CEE debe conceder necesariamente para el mantenimiento de la tarifa especial, autorización que, una vez obtenida, faculta a las instancias nacionales para mantener (o no) dicha tarifa. Los reglamentos suponen, por tanto, una condición necesaria pero no suficiente, para el mantenimiento del arbitrio, que debe establecerse por las disposiciones normativas españolas.</w:t>
      </w:r>
    </w:p>
    <w:p w:rsidR="00D06117" w:rsidRDefault="00D06117" w:rsidP="00D06117">
      <w:pPr>
        <w:pStyle w:val="TextoNormal"/>
      </w:pPr>
    </w:p>
    <w:p w:rsidR="00D06117" w:rsidRDefault="00D06117" w:rsidP="00D06117">
      <w:pPr>
        <w:pStyle w:val="TextoNormal"/>
      </w:pPr>
      <w:r>
        <w:t>Para el Fiscal General del Estado, esa concepción de la Sala choca con la naturaleza normativa de los reglamentos comunitarios. El art. 249 del Tratado constitutivo de la Comunidad Europea (antiguo art. 189) señala que los reglamentos tienen “un alcance general”, siendo “obligatorio[s] en todos sus elementos y directamente aplicable[s] en cada Estado miembro”, lo que supone que su aplicabilidad directa hace innecesaria su recepción a través del Derecho interno. Es más, como señaló la STC 130/1995, “España es Estado miembro de las Comunidades Europeas desde el 1 de enero de 1986, de conformidad con las previsiones del art. 93 CE y, por tanto, sujeto a las normas del ordenamiento comunitario que poseen efecto directo para los ciudadanos y tienen primacía sobre las disposiciones internas, como así se ha declarado por el Tribunal de Justicia de las Comunidades Europeas (Sentencias de 5 de febrero de 1963, en el asunto Van Gend and Loas y de 15 de julio de 1964, asunto Costa contra E.N.E.L.) y ha sido reconocido por este Tribunal (SSTC 28/1991 y 64/1991, entre otras)” (FJ 4). Pero no sólo eso, sino que la consideración de los reglamentos (CEE) que hace la Sala, como mera autorización, tampoco se compadece con los términos en que están redactados, que contienen expresiones imperativas y no expresiones que exterioricen consentimiento, tolerancia o concesión. El Reglamento (CEE) núm. 564-1993, vigente en el momento de devengarse el arbitrio que se impugnó en el proceso contencioso administrativo —como reconoce el Auto de planteamiento— establece en su art. 1 que “[h]asta el 31 de diciembre del año 2000 se aplicará el ‘arbitrio insular-tarifa especial’ de las islas Canarias a la introducción en estas islas de los productos enumerados en la lista que figura en Anexo procedentes de otras partes de la Comunidad”, y en su art. 2 que “[e]l presente Reglamento será obligatorio en todos sus elementos y directamente aplicable en cada Estado miembro”. Y la misma expresión “se aplicará” es la que emplea en el art. 6.4 del Reglamento (CEE) núm. 1991-1991.</w:t>
      </w:r>
    </w:p>
    <w:p w:rsidR="00D06117" w:rsidRDefault="00D06117" w:rsidP="00D06117">
      <w:pPr>
        <w:pStyle w:val="TextoNormal"/>
      </w:pPr>
    </w:p>
    <w:p w:rsidR="00D06117" w:rsidRDefault="00D06117" w:rsidP="00D06117">
      <w:pPr>
        <w:pStyle w:val="TextoNormal"/>
      </w:pPr>
      <w:r>
        <w:t>Según lo antedicho, considera el Fiscal General del Estado que, dada la primacía de las normas comunitarias y su efecto directo para los ciudadanos, y la obligatoriedad de los reglamentos (CEE), es irrelevante la duda de constitucionalidad de las disposiciones cuestionadas, ya que la vigencia del arbitrio insular a la entrada de mercancías —tarifa especial— se establece en los reglamentos (CEE) y no en las disposiciones adicionales cuya constitucionalidad se cuestiona.</w:t>
      </w:r>
    </w:p>
    <w:p w:rsidR="00D06117" w:rsidRDefault="00D06117" w:rsidP="00D06117">
      <w:pPr>
        <w:pStyle w:val="TextoNormal"/>
      </w:pPr>
    </w:p>
    <w:p w:rsidR="00D06117" w:rsidRDefault="00D06117" w:rsidP="00D06117">
      <w:pPr>
        <w:pStyle w:val="TextoNormal"/>
      </w:pPr>
      <w:r>
        <w:t xml:space="preserve">Hecha la precisión que antecede y no obstante la misma, pasa el Fiscal General de Estado a analizar las dudas de constitucionalidad que se suscitan por la Sala y, más concretamente, la relativa a la posible vulneración del art. 139.2 CE, a cuyo fin, considera que hay que partir </w:t>
      </w:r>
      <w:r>
        <w:lastRenderedPageBreak/>
        <w:t>del contenido de la disposición adicional tercera de la propia Constitución y de su tramitación parlamentaria, pues la preocupación que movió a los constituyentes a la inclusión de esta disposición adicional fue precisamente la aprobación del art. 139 CE (art. 133 del proyecto constitucional), que podría comportar dudas sobre la constitucionalidad del régimen económico-fiscal de las islas Canarias, razón por la cual se introdujo esa disposición adicional tercera (en la Comisión del Senado y fue mantenida en el Pleno de esta Cámara). Además, hay que tener presente la sensibilidad demostrada por el constituyente en relación con la peculiaridad insular [manifestada en referencias explícitas a sus circunstancias (art. 143.1), a la particular atención que precisa (art. 138.2) o a especialidades diferenciadoras de otros territorios (art. 141.1)].</w:t>
      </w:r>
    </w:p>
    <w:p w:rsidR="00D06117" w:rsidRDefault="00D06117" w:rsidP="00D06117">
      <w:pPr>
        <w:pStyle w:val="TextoNormal"/>
      </w:pPr>
    </w:p>
    <w:p w:rsidR="00D06117" w:rsidRDefault="00D06117" w:rsidP="00D06117">
      <w:pPr>
        <w:pStyle w:val="TextoNormal"/>
      </w:pPr>
      <w:r>
        <w:t>Pues bien, a juicio del Fiscal General del Estado, la tarifa especial del arbitrio insular a la entrada de mercancías —conforme a la doctrina sentada por la STC 35/1984, de 13 de marzo— pertenece al régimen económico y fiscal de Canarias (aunque la Sala estime que no, porque son leyes estatales las que la establecen y porque existe una oposición entre este arbitrio y los principios del régimen económico y fiscal de Canarias señalados en el art. 46.1 del Estatuto de Autonomía de Canarias), al tratarse de una medida económica aprobada por el Estado en el ejercicio de las competencias exclusivas (art. 149.1.10 y 13 CE) para robustecer concretos sectores productivos canarios mediante un instrumento impositivo, cuya recaudación se destina “a proporcionar recursos financieros a los entes públicos canarios” y que, de ninguna manera, colisiona con el art. 139.2 CE, por responder a una especialidad excepcional admitida por la propia Constitución.</w:t>
      </w:r>
    </w:p>
    <w:p w:rsidR="00D06117" w:rsidRDefault="00D06117" w:rsidP="00D06117">
      <w:pPr>
        <w:pStyle w:val="TextoNormal"/>
      </w:pPr>
    </w:p>
    <w:p w:rsidR="00D06117" w:rsidRDefault="00D06117" w:rsidP="00D06117">
      <w:pPr>
        <w:pStyle w:val="TextoNormal"/>
      </w:pPr>
      <w:r>
        <w:t>Pasa a continuación el Fiscal General del Estado a estudiar la vulneración por las disposiciones cuestionadas del principio de legalidad tributaria (arts. 33.1 y 133 CE), según dice el órgano judicial porque el Estado ha abdicado de su potestad para imponer tributos mediante leyes dejándola en manos de las instituciones comunitarias. Subraya el Fiscal General que aun cuando la tarifa especial se estableció mediante la Ley 30/1972 (desarrollada por el Real Decreto 997/1978) con vocación de permanencia, con la entrada de España en la CEE, este arbitrio pasó a tener un carácter provisional, temporal (hasta el 31 de diciembre del año 2000), fecha de la integración completa de las islas Canarias en la unión aduanera, con aplicación del arancel aduanero común [como se deduce de la lectura de los considerandos de los Reglamentos (CEE) núms. 1911-1991 y 564-1993]. Por tanto, la entrada de España en la Comunidad Europea supuso la desaparición progresiva de la tarifa especial del arbitrio insular a la entrada de mercancías como consecuencia de las previsiones comunitarias, habiendo prestado el Estado español su autorización mediante la Ley Orgánica 10/1985, de 2 de agosto, de acuerdo con lo previsto en el art. 93 CE y, por consiguiente, habiendo cumplido con los requisitos exigidos por la legislación española (como se hace constar en el propio Tratado de adhesión de España a las Comunidades Europeas), por lo que no existe violación constitucional alguna por la causa que alega la Sala.</w:t>
      </w:r>
    </w:p>
    <w:p w:rsidR="00D06117" w:rsidRDefault="00D06117" w:rsidP="00D06117">
      <w:pPr>
        <w:pStyle w:val="TextoNormal"/>
      </w:pPr>
    </w:p>
    <w:p w:rsidR="00D06117" w:rsidRDefault="00D06117" w:rsidP="00D06117">
      <w:pPr>
        <w:pStyle w:val="TextoNormal"/>
      </w:pPr>
      <w:r>
        <w:t xml:space="preserve">La siguiente vulneración que estudia el Fiscal General del Estado es la del art. 86.1 CE, en relación con el art. 31.1 CE, por la disposición adicional tercera del Real Decreto-ley 7/1993, de 21 de mayo. Y a este respecto señala que, de acuerdo con la doctrina de la STC 182/1997, la tarifa especial del arbitrio insular a la entrada de mercancías poco tiene que ver con el deber de los ciudadanos de contribuir al sostenimiento de los gastos públicos, sino con la protección y robustecimiento de sectores productivos canarios al tratarse de una medida de política económica que se actúa mediante un instrumento fiscal. De esta manera, al </w:t>
      </w:r>
      <w:r>
        <w:lastRenderedPageBreak/>
        <w:t>no resultar afectado el deber básico regulado en el art. 31.1 CE, no entran en juego las limitaciones y garantías establecidas para el cumplimiento de ese deber. Y añade el Fiscal General —sobre las razones de urgencia que llevaron a que la norma fuese un decreto-ley— que la conclusión del plazo de vigencia y la entrada en vigor del Reglamento (CEE) núm. 564-1993 del Consejo, de 8 de marzo de 1993 (al que explícitamente se remite), junto con la necesidad de actualización de las tarifas y las urgencias económicas que pudiera haber en interés de los sectores productivos que amparaba, eran razones que respaldan la actuación urgente del Gobierno.</w:t>
      </w:r>
    </w:p>
    <w:p w:rsidR="00D06117" w:rsidRDefault="00D06117" w:rsidP="00D06117">
      <w:pPr>
        <w:pStyle w:val="TextoNormal"/>
      </w:pPr>
    </w:p>
    <w:p w:rsidR="00D06117" w:rsidRDefault="00D06117" w:rsidP="00D06117">
      <w:pPr>
        <w:pStyle w:val="TextoNormal"/>
      </w:pPr>
      <w:r>
        <w:t>En último lugar, y respecto de la vulneración por la disposición adicional tercera del Real Decreto-ley 7/1993, de 21 de mayo, del principio de seguridad jurídica garantizado en el art. 9.3 CE, señala el Fiscal General del Estado que, aparte de que la eficacia directa del reglamento (CEE) priva de relevancia a la cuestión, impide la apreciación de retroactividad alguna ya que desde la fecha señalada en el Auto de planteamiento estaba vigente el arbitrio por virtud del Reglamento (CEE) núm. 564-1993, siendo la prórroga de su vigencia claramente previsible pues ya el Reglamento (CEE) núm. 1911-1991 preveía una eventual prórroga hasta el 31 de diciembre del año 2000 en función de las circunstancias que pudieran concurrir en la economía canaria, lo que excluye cualquier tipo de imprevisibilidad respecto a la actuación de las instancias nacionales y comunitarias [de hecho, la solicitud fue enviada el 7 de diciembre de 1992 “con el fin de aplicar dicha exacción hasta el 31 de diciembre de 2000 a un determinado número de productos considerados sensibles por estas autoridades”, como se afirma en los considerandos del Reglamento (CEE) núm. 564-1993]. Pero no sólo eso, sino que incluso aunque se admitiese que el Reglamento (CEE) núm. 564-1993 operaba únicamente como una autorización, la retroactividad denunciada tendría razón de ser en la evitación del “efecto anuncio” que provocaría su publicación en el “Diario Oficial de las Comunidades Europeas”, en perjuicio de los intereses económicos de los sectores productivos canarios que la norma ampara. En consecuencia, siendo previsible con mucha antelación la norma cuestionada y estando justificada, si fuese necesario, la “retroactividad” que le imputa la Sala, tampoco hay vulneración de la seguridad jurídica amparada por el artículo 9.3 CE.</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7 de mayo de 2012 se señaló para deliberación y votación de la presente Sentencia el día 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La Sección Primera de la Sala de lo Contencioso-Administrativo del Tribunal Superior de Justicia de Canarias (Las Palmas de Gran Canaria) plantea cuestión de inconstitucionalidad, en primer lugar, respecto de la disposición adicional segunda de la Ley 20/1991, de 7 de junio, de modificación de los aspectos fiscales del régimen económico fiscal de Canarias, y la disposición adicional tercera del Real Decreto-ley 7/1993, de 21 de mayo, de medidas urgentes de adaptación y modificación del impuesto sobre el valor añadido, del impuesto especial sobre determinados medios de transporte, del impuesto general indirecto canario, del arbitrio sobre la producción e importación en las islas Canarias y de la tarifa especial del arbitrio insular a la entrada de mercancías, por posible vulneración de los arts. 31.3, 133 y 139.2, y disposición derogatoria, apartado 3, todos ellos de la Constitución, y del art. 46.1 del Estatuto de Autonomía de Canarias; y, en segundo lugar, también en relación con la </w:t>
      </w:r>
      <w:r>
        <w:lastRenderedPageBreak/>
        <w:t>disposición adicional tercera del Real Decreto-ley 7/1993, de 21 de mayo, pero esta vez por presunta vulneración de los arts. 9.3 y 86.1, en relación con el art. 31.1, todos ellos de la Constitución.</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entrar a analizar las cuestiones de fondo planteadas a este Tribunal es necesario hacer dos precisiones sobre el objeto del proceso.</w:t>
      </w:r>
    </w:p>
    <w:p w:rsidR="00D06117" w:rsidRDefault="00D06117" w:rsidP="00D06117">
      <w:pPr>
        <w:pStyle w:val="TextoNormal"/>
      </w:pPr>
    </w:p>
    <w:p w:rsidR="00D06117" w:rsidRDefault="00D06117" w:rsidP="00D06117">
      <w:pPr>
        <w:pStyle w:val="TextoNormal"/>
      </w:pPr>
      <w:r>
        <w:t>En primer lugar, para el Abogado del Estado debe excluirse de dicho objeto la segunda parte de la disposición adicional segunda de la Ley 20/1991 dado que no puede considerarse cuestionada al no contener el Auto de planteamiento ni un solo argumento que razone su inconstitucionalidad. Y a este respecto hay que señalar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(por todas, STC 90/2009, de 20 de abril, FJ 6). Es por tanto necesario “que el razonamiento que cuestiona la constitucionalidad haya de exteriorizarse, proporcionando los elementos que lleven al mismo” (STC 17/1981, de 1 de junio, FJ 1), de tal manera que “las cuestiones sólo pueden considerarse correctamente planteadas en relación con aquellos preceptos cuya vulneración resulte mínimamente fundada” (SSTC 126/1987, de 16 de julio, FJ 3; y 245/2004, de 16 de diciembre, FJ 3), cosa que no sucede en el presente caso con referencia a la segunda parte de la disposición adicional segunda de la Ley 20/1991, de 7 de junio, razón por la cual, debe quedar excluida del objeto de la presente cuestión de inconstitucionalidad.</w:t>
      </w:r>
    </w:p>
    <w:p w:rsidR="00D06117" w:rsidRDefault="00D06117" w:rsidP="00D06117">
      <w:pPr>
        <w:pStyle w:val="TextoNormal"/>
      </w:pPr>
    </w:p>
    <w:p w:rsidR="00D06117" w:rsidRDefault="00D06117" w:rsidP="00D06117">
      <w:pPr>
        <w:pStyle w:val="TextoNormal"/>
      </w:pPr>
      <w:r>
        <w:t>En segundo lugar, el Fiscal General del Estado considera que, dada la primacía de las normas comunitarias y su efecto directo para los ciudadanos, y la obligatoriedad de los reglamentos (CEE), es irrelevante la duda de constitucionalidad de las disposiciones cuestionadas, ya que la vigencia del arbitrio insular a la entrada de mercancías —tarifa especial— se establece en los reglamentos (CEE) y no en las disposiciones adicionales cuya constitucionalidad se cuestiona. Y el Abogado del Estado afirma que tanto la primera parte de la disposición adicional segunda de la Ley 20/1991 como la disposición adicional tercera del Real Decreto-ley 7/1993 no hacen sino aplicar el art. 6.3 del Protocolo núm. 2 y el art. 1 del Reglamento (CEE) núm. 564-1993, respectivamente, careciendo de toda eficacia innovadora, por lo que de no haberse dictado las normas cuestionadas no por ello hubiera dejado de aplicarse la tarifa especial.</w:t>
      </w:r>
    </w:p>
    <w:p w:rsidR="00D06117" w:rsidRDefault="00D06117" w:rsidP="00D06117">
      <w:pPr>
        <w:pStyle w:val="TextoNormal"/>
      </w:pPr>
    </w:p>
    <w:p w:rsidR="00D06117" w:rsidRDefault="00D06117" w:rsidP="00D06117">
      <w:pPr>
        <w:pStyle w:val="TextoNormal"/>
      </w:pPr>
      <w:r>
        <w:t xml:space="preserve">Pues bien, sin perjuicio de dejar constancia del efecto directo de los reglamentos comunitarios [como así lo prevé el art. 288 Tratado de funcionamiento de la Unión Europea (249 del Tratado constitutivo de la Comunidad Europea) y lo disponen los arts. 11 del Reglamento (CEE) núm. 1911-1991 y 2 del Reglamento (CEE) núm. 564-1993], lo cierto es que los vicios de inconstitucionalidad se imputan a la normativa interna, que es la que establece, configura y dota de contenido al tributo controvertido —la tarifa especial—, aun cuando esa regulación venga condicionada —en su alcance y vigencia— por normas comunitarias. En consecuencia, con la perspectiva del control externo que del juicio de relevancia corresponde efectuar a este Tribunal Constitucional no resulta notorio que el planteamiento efectuado por el órgano judicial sobre la aplicabilidad al caso de la norma cuestionada —esto es, del nexo causal entre la validez de la norma legal cuestionada y la decisión a adoptar en </w:t>
      </w:r>
      <w:r>
        <w:lastRenderedPageBreak/>
        <w:t>el proceso a quo— sea erróneo o inconsistente (SSTC 141/2008, de 30 de octubre, FJ 4; 81/2009, de 23 de marzo, FJ 3; y 115/2009, de 18 de mayo, FJ 2), razón por la cual, debe rechazarse la objeción opuesta por el Fiscal General del Estado.</w:t>
      </w:r>
    </w:p>
    <w:p w:rsidR="00D06117" w:rsidRDefault="00D06117" w:rsidP="00D06117">
      <w:pPr>
        <w:pStyle w:val="TextoNormal"/>
      </w:pPr>
    </w:p>
    <w:p w:rsidR="00D06117" w:rsidRDefault="00D06117" w:rsidP="00D06117">
      <w:pPr>
        <w:pStyle w:val="TextoNormal"/>
      </w:pPr>
      <w:r w:rsidRPr="00D06117">
        <w:rPr>
          <w:rStyle w:val="NumeroAFNegritaCaracter"/>
        </w:rPr>
        <w:t>3</w:t>
      </w:r>
      <w:r>
        <w:t>. En el análisis de las cuestiones sometidas a nuestro conocimiento es necesario comenzar señalando que la Ley 30/1972, de 22 de julio, sobre régimen económico-fiscal de Canarias (“BOE” núm. 176, de 24 de julio), preveía una serie de medidas de corte económico y fiscal con el fin de promover el desarrollo económico y social del archipiélago, entre las cuales se encontraba dentro de su título II (régimen fiscal), capítulo II (haciendas locales), un arbitrio insular a la entrada de mercancías en las islas Canarias (en sustitución de los antiguos arbitrios de los cabildos a la importación y exportación, y del recargo municipal sobre los mismos), que gravaba “la entrada en las islas Canarias de toda clase de mercancías procedentes del resto de España o del extranjero” [art. 22.2.A)], con dos tarifas, una general, cuyo tipo máximo no podrá exceder del 5 por 100 [art. 22.2.F).1] y una especial, para “la importación de productos industriales y agrarios procedentes del extranjero que sean de la misma naturaleza que los que se fabriquen o produzcan en Canarias”, cuyo tipo para cada producto no podrá ser inferior al que corresponda para la desgravación de exportaciones en el régimen general [art. 22.2.F).2].</w:t>
      </w:r>
    </w:p>
    <w:p w:rsidR="00D06117" w:rsidRDefault="00D06117" w:rsidP="00D06117">
      <w:pPr>
        <w:pStyle w:val="TextoNormal"/>
      </w:pPr>
    </w:p>
    <w:p w:rsidR="00D06117" w:rsidRDefault="00D06117" w:rsidP="00D06117">
      <w:pPr>
        <w:pStyle w:val="TextoNormal"/>
      </w:pPr>
      <w:r>
        <w:t>La anterior norma legal fue desarrollada por el Real Decreto 997/1978, de 12 de mayo, por el que se aprueba la Ordenanza fiscal reguladora de la tarifa especial del arbitrio insular a la entrada de mercancías en las islas Canarias (“BOE” núm. 114, de 13 de mayo), en el que se fija como hecho imponible “la importación en las islas Canarias de productos industriales o agrarios, abreviadamente ‘mercancías’, procedentes del extranjero, que sean de la misma naturaleza que los que se fabriquen o produzcan en Canarias y figuren incluidos en el Anexo de la Ordenanza” (art. 2.1).</w:t>
      </w:r>
    </w:p>
    <w:p w:rsidR="00D06117" w:rsidRDefault="00D06117" w:rsidP="00D06117">
      <w:pPr>
        <w:pStyle w:val="TextoNormal"/>
      </w:pPr>
    </w:p>
    <w:p w:rsidR="00D06117" w:rsidRDefault="00D06117" w:rsidP="00D06117">
      <w:pPr>
        <w:pStyle w:val="TextoNormal"/>
      </w:pPr>
      <w:r>
        <w:t>El 7 de marzo de 1990, al amparo del art. 25.4 del Acta de adhesión a la Comunidad (que autorizaba al Consejo, a instancia de España, a propuesta de la Comisión y previa consulta al Parlamento Europeo, a “decidir la integración de las islas Canarias y de Ceuta y Melilla en el territorio aduanero de la Comunidad”), España solicitó la integración de Canarias en el territorio aduanero de la Comunidad. Ahora bien, como la integración del archipiélago en el conjunto de las políticas comunes requería un proceso de adaptación progresivo que tuviese en cuenta los condicionamientos específicos debidos a la lejanía y la insularidad de las Canarias, se aprobó el Reglamento (CEE) núm. 1911-1991 del Consejo, de 26 de junio de 1991, relativo a la aplicación de las disposiciones del Derecho comunitario en las islas Canarias (“DOCE” núm. L 171, de 29 de junio de 1991). Este reglamento estableció que, a partir del 1 de julio de 1991, las islas Canarias pasarían a formar parte del territorio aduanero de la Comunidad, quedando incluidas en el conjunto de las políticas comunes y siendo objeto de la progresiva introducción del arancel aduanero común a lo largo de un período transitorio cuya fecha límite no podía situarse, en principio, más allá del 31 de diciembre del año 2000. En concreto, este reglamento autorizaba la existencia de un “Arbitrio sobre la Producción y sobre las Importaciones” (art. 5.1) y de una exacción denominada “Arbitrio insular-tarifa especial”, aplicable “a los productos procedentes de otras partes de la Comunidad”, “sin que pueda prorrogarse más allá del 31 de diciembre de 1992”, salvo que el Consejo, a petición de España, autorizase la aplicación de esta exacción “a determinados productos sensibles hasta el 31 de diciembre del año 2000 como muy tarde” (art. 6.4).</w:t>
      </w:r>
    </w:p>
    <w:p w:rsidR="00D06117" w:rsidRDefault="00D06117" w:rsidP="00D06117">
      <w:pPr>
        <w:pStyle w:val="TextoNormal"/>
      </w:pPr>
    </w:p>
    <w:p w:rsidR="00D06117" w:rsidRDefault="00D06117" w:rsidP="00D06117">
      <w:pPr>
        <w:pStyle w:val="TextoNormal"/>
      </w:pPr>
      <w:r>
        <w:lastRenderedPageBreak/>
        <w:t>Como puede comprobarse, al ser un objetivo la plena integración de Canarias en la Unión Europea, en el año 1991 se empezó “la introducción progresiva de una fiscalidad indirecta moderna, instrumento de desarrollo económico y social y de financiación de los presupuestos locales” (Reglamento 1911-1991). Esta nueva fiscalidad se introdujo por la Ley 20/1991, de 7 de junio, de modificación de los aspectos fiscales del régimen económico fiscal de Canarias (“BOE” núm. 137, de 8 de junio), que pretendió adecuar las figuras impositivas aplicables en Canarias a las exigencias de la entonces Comunidad Económica Europea, aunque “respetando la especialidad canaria que lleva consigo una presión fiscal indirecta, diferenciada y menor que en el resto del Estado”, razón por la cual implantó un “arbitrio sobre la producción y la importación”, con entrada en vigor el día 1 de enero de 1992, que subsumía la “tarifa general del arbitrio insular a la entrada de mercancías” y dejaba vigente la “tarifa especial del arbitrio insular a la entrada de mercancías” en los términos previstos en el art. 6 del Protocolo núm. 2 del Tratado de Adhesión a la CEE, sin perjuicio de que “en su momento, y atendiendo a las circunstancias que puedan concurrir en la economía canaria, el Gobierno español planteará a la Comisión su prolongación más allá del 1 de enero de 1993 para un período de tiempo limitado” (apartado III de su exposición de motivos). En efecto, conforme a la disposición adicional segunda de esta norma legal: “Continuará vigente la Tarifa Especial a la Entrada de Mercancías en los términos previstos en el artículo 6 del Protocolo 2 del Tratado de Adhesión”. El Gobierno de la Nación “atendiendo a las circunstancias que puedan concurrir en la economía canaria, planteará a la Comisión Europea la prolongación más allá del 1 de enero de 1993 de la vigencia de la Tarifa Especial para un período de tiempo limitado, así como su extensión a los productos sensibles, según las previsiones del artículo 6.3 del mencionado Protocolo núm. 2 del Tratado de Adhesión” [art. 6.3 del Protocolo 2 que preveía la permanencia de la tarifa especial hasta el 1 de enero de 1993 “salvo si el Consejo, por mayoría cualificada y a propuesta de la Comisión, decidiese su prolongación en función de la evolución de la situación económica de las islas Canarias para cada uno de los productos afectados”].</w:t>
      </w:r>
    </w:p>
    <w:p w:rsidR="00D06117" w:rsidRDefault="00D06117" w:rsidP="00D06117">
      <w:pPr>
        <w:pStyle w:val="TextoNormal"/>
      </w:pPr>
    </w:p>
    <w:p w:rsidR="00D06117" w:rsidRDefault="00D06117" w:rsidP="00D06117">
      <w:pPr>
        <w:pStyle w:val="TextoNormal"/>
      </w:pPr>
      <w:r>
        <w:t>El 7 de diciembre de 1992 las autoridades españolas enviaron una petición a la Comisión, al amparo de lo dispuesto en el art. 6.4 del Reglamento (CEE) núm. 1911-1991 del Consejo, solicitando la aplicación de la tarifa especial a un determinado número de productos considerados sensibles. Dicha petición dio lugar a la aprobación del Reglamento (CEE) núm. 564-1993 del Consejo, de 8 de marzo de 1993, por el que se prorroga la aplicación del arbitrio insular-tarifa especial de las islas Canarias con ocasión de la introducción en estas islas de determinados productos sensibles procedentes de otras partes de la Comunidad (“DOCE” núm. L 59/1, de 12 de marzo de 1993). La justificación de este reglamento se hallaba, según el Consejo, en las “necesidades de mejora de los sectores productivos económico y socialmente importantes para el desarrollo de las islas Canarias”, motivo por el cual dispone que “[h]asta el 31 de diciembre de 2000 se aplicará el ‘arbitrio insular-tarifa especial’ de las islas Canarias a la introducción en estas islas de los productos enumerados en la lista que figura en Anexo procedentes de otras partes de la Comunidad” (art. 1), entrando en vigor ese reglamento “el día de su publicación en el Diario Oficial de las Comunidades Europeas” (art. 2), esto es, el día 12 de marzo de 1993, y siendo “obligatorio en todos sus elementos y directamente aplicable en cada Estado miembro” (art. 2). No obstante, a solicitud de las autoridades españolas, el Reglamento (CE) núm. 1105-2001 del Consejo, de 30 de mayo, prorrogaría su aplicación hasta el 31 de diciembre de 2001 (“DOCE” L 151/1, de 7 de junio de 2001).</w:t>
      </w:r>
    </w:p>
    <w:p w:rsidR="00D06117" w:rsidRDefault="00D06117" w:rsidP="00D06117">
      <w:pPr>
        <w:pStyle w:val="TextoNormal"/>
      </w:pPr>
    </w:p>
    <w:p w:rsidR="00D06117" w:rsidRDefault="00D06117" w:rsidP="00D06117">
      <w:pPr>
        <w:pStyle w:val="TextoNormal"/>
      </w:pPr>
      <w:r>
        <w:lastRenderedPageBreak/>
        <w:t>Acto seguido el Gobierno de España dictó el Real Decreto-ley 7/1993, de 21 de mayo, de medidas urgentes de adaptación y modificación del impuesto sobre el valor añadido, del impuesto especial sobre determinados medios de transporte, del impuesto general indirecto canario, del arbitrio sobre la producción e importación en las islas Canarias y de la tarifa especial del arbitrio insular a la entrada de mercancías (“BOE” núm. 126, de 27 de mayo), cuya disposición adicional tercera, bajo el título de “Prórroga de la Tarifa Especial del Arbitrio Insular a la Entrada de Mercancías”, señalaba que “[a] partir de la entrada en vigor de la prórroga de la Tarifa Especial del Arbitrio Insular a la Entrada de Mercancías, prevista en el artículo 6.4 del Reglamento (CEE) número 1.911/91 del Consejo, de 26 de junio, dicha Tarifa Especial se exigirá a los mismos tipos impositivos que los vigentes el 31 de diciembre de 1992; todo ello en los términos establecidos en el Reglamento (CEE) número 564/93 del Consejo, de 8 de marzo”. Este real decreto-ley entraba en vigor “el día de su publicación en el ‘Boletín Oficial del Estado’” (disposición final única), es decir, el día 27 de mayo de 1993.</w:t>
      </w:r>
    </w:p>
    <w:p w:rsidR="00D06117" w:rsidRDefault="00D06117" w:rsidP="00D06117">
      <w:pPr>
        <w:pStyle w:val="TextoNormal"/>
      </w:pPr>
    </w:p>
    <w:p w:rsidR="00D06117" w:rsidRDefault="00D06117" w:rsidP="00D06117">
      <w:pPr>
        <w:pStyle w:val="TextoNormal"/>
      </w:pPr>
      <w:r>
        <w:t>Finalmente, el anterior arbitrio insular a la entrada de mercancías en las islas Canarias sería sustituido por un nuevo arbitrio sobre importaciones y entregas de mercancías en Canarias con vigencia hasta el 31 de diciembre de 2011 [autorizado por Decisión del Consejo de 6 de diciembre de 2001, COM (2991) 732 final. 2001/0284 (CNS)] por obra de la Ley 24/2001, de 27 de diciembre, de medidas fiscales, administrativas y del orden social (“BOE” núm. 313, de 31 de diciembre), que, aunque originariamente tenía prevista una vigencia máxima hasta el 31 de diciembre de 2011 [art. 1 de la Decisión 2002/546/CE del consejo, de 20 de junio (“DOCE” L 179/22, de 9 de julio de 2002)], recientemente ha sido prorrogada, en principio, hasta el 31 de diciembre de 2013 [art. 1 de la Decisión núm. 895/2011/UE del Consejo, de 19 de diciembre (“DOCE” L 345/17, de 29 de diciembre de 2011)].</w:t>
      </w:r>
    </w:p>
    <w:p w:rsidR="00D06117" w:rsidRDefault="00D06117" w:rsidP="00D06117">
      <w:pPr>
        <w:pStyle w:val="TextoNormal"/>
      </w:pPr>
    </w:p>
    <w:p w:rsidR="00D06117" w:rsidRDefault="00D06117" w:rsidP="00D06117">
      <w:pPr>
        <w:pStyle w:val="TextoNormal"/>
      </w:pPr>
      <w:r>
        <w:t>Modificaciones estas últimas, por otra parte, que no tienen efecto alguno sobre el objeto del presente proceso constitucional en la medida en que la norma cuestionada sigue siendo aplicable en el proceso a quo y de su validez depende la decisión a adoptar en éste (entre las últimas, SSTC 21/2012, de 16 de febrero, FJ 2; y 28/2010, de 1 de marzo, FJ 2).</w:t>
      </w:r>
    </w:p>
    <w:p w:rsidR="00D06117" w:rsidRDefault="00D06117" w:rsidP="00D06117">
      <w:pPr>
        <w:pStyle w:val="TextoNormal"/>
      </w:pPr>
    </w:p>
    <w:p w:rsidR="00D06117" w:rsidRDefault="00D06117" w:rsidP="00D06117">
      <w:pPr>
        <w:pStyle w:val="TextoNormal"/>
      </w:pPr>
      <w:r w:rsidRPr="00D06117">
        <w:rPr>
          <w:rStyle w:val="NumeroAFNegritaCaracter"/>
        </w:rPr>
        <w:t>4</w:t>
      </w:r>
      <w:r>
        <w:t>. Señala el órgano judicial, en primer lugar, que las disposiciones adicionales segunda y tercera, respectivamente, de la Ley 20/1991 y del Real Decreto-ley 7/1993, en la medida que habilitan a la Comunidad Autónoma de Canarias para liquidar la tarifa especial del arbitrio insular a la entrada de mercancías en las islas Canarias, vulneran tanto el art. 139.2 como el apartado 3 de la disposición derogatoria, ambos de la Constitución, al tratarse de una medida contraria a la unidad de mercado que no se justifica en la singularidad canaria prevista en el art. 46.1 del Estatuto de Autonomía para Canarias, restableciéndose una norma preconstitucional que había quedado derogada con la entrada en vigor de la Constitución, precisamente, por oponerse a aquel art. 139.2 CE. No comparten esta opinión, sin embargo, ni el Abogado del Estado ni el Fiscal General del Estado. Para el primero, la tarifa especial es una consecuencia más del hecho insular y se dirige a proteger la agricultura e industria canaria, estando el Estado obligado ex art. 138.1 CE, a prestar particular atención a ese hecho insular, que justifica la restricción a la libre circulación de mercancías, por tratarse de una medida que no puede tacharse de irrazonable o desproporcionada. Y para el segundo, la tarifa especial, parte integrante del régimen económico y fiscal de Canarias, supone una especialidad excepcional que admite la propia Constitución.</w:t>
      </w:r>
    </w:p>
    <w:p w:rsidR="00D06117" w:rsidRDefault="00D06117" w:rsidP="00D06117">
      <w:pPr>
        <w:pStyle w:val="TextoNormal"/>
      </w:pPr>
    </w:p>
    <w:p w:rsidR="00D06117" w:rsidRDefault="00D06117" w:rsidP="00D06117">
      <w:pPr>
        <w:pStyle w:val="TextoNormal"/>
      </w:pPr>
      <w:r>
        <w:t>Debe señalarse en primer término que no toda medida que incida sobre la circulación de bienes y personas por el territorio nacional puede catalogarse automáticamente como contraria al artículo 139.2 de la Constitución. En efecto, “el que una medida determinada no sea, por sus efectos, ajena a la libre circulación de bienes por el territorio nacional, a la libertad de empresa y al derecho de propiedad privada, no significa que haya de entenderse que ex Constitutione es inaceptable” (STC 109/2003, de 5 de junio, FJ 15), habida cuenta que sólo lo será “cuando persiga de forma intencionada la finalidad de obstaculizar la circulación o genere consecuencias objetivas que impliquen el surgimiento de obstáculos que no guarden relación y sean desproporcionados respecto del fin constitucionalmente legítimo que persigue la norma adoptada” (STC 109/2003, de 5 de junio, FJ 15).</w:t>
      </w:r>
    </w:p>
    <w:p w:rsidR="00D06117" w:rsidRDefault="00D06117" w:rsidP="00D06117">
      <w:pPr>
        <w:pStyle w:val="TextoNormal"/>
      </w:pPr>
    </w:p>
    <w:p w:rsidR="00D06117" w:rsidRDefault="00D06117" w:rsidP="00D06117">
      <w:pPr>
        <w:pStyle w:val="TextoNormal"/>
      </w:pPr>
      <w:r>
        <w:t>Por otra parte, la libre circulación, como límite al ejercicio de las competencias normativas por los poderes públicos afecta tanto a las medidas desestimulantes u obstativas del tráfico de bienes, como también a las medidas estimulantes o favorecedoras, que provocan el desplazamiento de un lugar a otro del territorio a la búsqueda del beneficio, y sean de tipo económico o de naturaleza tributaria. En efecto, de un lado, la actuación de los poderes públicos es lesiva de aquella libertad de circulación no sólo cuando se introduzcan “medidas coactivas que directamente impongan trabas injustificadas a la circulación de industrias o a su desarrollo en condiciones básicas de igualdad, sino también mediante medidas de naturaleza graciable y acogimiento voluntario como ayudas, subvenciones u otro tipo de auxilios, que, en el marco de la actual Administración prestacional, adquieren, junto a su tradicional configuración como medios de fomento, promoción y protección empresarial, una innegable virtualidad de instrumentos de intervención económica, de los que puede llegar a hacerse un uso incompatible con las exigencias del mercado único, por propiciar, en mayor o menor grado, la disociación en ciertas zonas o sectores de reglas económicas que han de permanecer uniformes” (STC 64/1990, de 5 de abril, FJ 4). Y, de otro lado, “[n]o puede desconocerse que, en un marco de libre competencia, las medidas tributarias afectan a su ejercicio y, consecuentemente, al acceso al mercado en posiciones de libre concurrencia, de modo que, en tanto favorezcan el ejercicio de actividades económicas para determinados operadores o concretas inversiones o actuaciones de los sujetos (bien mediante exenciones o bonificaciones, bien mediante amortizaciones aceleradas de inversiones, bien mediante subvenciones, ayudas, etc.), si carecen de una justificación que las legitime, harán de peor condición a quienes, encontrándose en la misma situación, no pueden acceder a ninguna de ellas” (STC 96/2002, de 25 de abril, FJ 12).</w:t>
      </w:r>
    </w:p>
    <w:p w:rsidR="00D06117" w:rsidRDefault="00D06117" w:rsidP="00D06117">
      <w:pPr>
        <w:pStyle w:val="TextoNormal"/>
      </w:pPr>
    </w:p>
    <w:p w:rsidR="00D06117" w:rsidRDefault="00D06117" w:rsidP="00D06117">
      <w:pPr>
        <w:pStyle w:val="TextoNormal"/>
      </w:pPr>
      <w:r>
        <w:t xml:space="preserve">Sentado lo anterior, debe añadirse que la garantía constitucional del art. 139.1 CE, en cuanto manifestación concreta del principio de igualdad del art. 14 CE, garantiza el derecho “a no soportar un perjuicio —o una falta de beneficio— desigual e injustificado en razón de los criterios jurídicos por los que se guía la actuación de los poderes públicos” (SSTC 8/1986, de 21 de enero, FJ 4; y 96/2002, de 25 de abril, FJ 12). Lo importante no es, entonces, la existencia misma de una medida diferente en el territorio nacional, sino la existencia o no de una justificación razonable que legitime la medida diferente (STC 96/2002, de 25 de abril, FJ 12), así como, la proporcionalidad de la medida, entendida como adecuación razonable al fin legítimo constitucionalmente perseguido (STC 88/1986, de 1 de julio, FJ 6). En efecto, ya hemos tenido oportunidad de señalar que la unidad de mercado en el territorio nacional o “la unidad del orden económico en todo el ámbito del Estado” (STC 96/1984, de 19 de octubre, FJ 3) “no impide toda normación que, de una manera u otra </w:t>
      </w:r>
      <w:r>
        <w:lastRenderedPageBreak/>
        <w:t>pueda afectar a la libertad de circulación, sino la ‘fragmentación del mercado’ (STC 32/1983, de 28 de abril, FJ 3), en el sentido de que ‘las consecuencias objetivas de las medidas adoptadas impliquen el surgimiento de obstáculos que no guardan relación con el fin constitucionalmente lícito que aquéllas persiguen’ (SSTC 37/1981, de 16 de noviembre, FJ 2; y 233/1999, de 16 de diciembre, FJ 26)” (STC 96/2002, de 25 de abril, FJ 11). Y también hemos tenido ocasión de precisar que para ponderar la constitucionalidad de una medida afectante de la libertad invocada “es preciso efectuar un juicio de proporcionalidad en el que, además del objetivo que al establecerla se persigue y comprobando la legitimidad del mismo, se verifique también la relación de causalidad y necesidad que con él debe guardar …, en cuanto medio ordenado para hacerlo posible” (SSTC 66/1991, de 22 de marzo, FJ 2; y 109/2003, de 5 de junio, FJ 15).</w:t>
      </w:r>
    </w:p>
    <w:p w:rsidR="00D06117" w:rsidRDefault="00D06117" w:rsidP="00D06117">
      <w:pPr>
        <w:pStyle w:val="TextoNormal"/>
      </w:pPr>
    </w:p>
    <w:p w:rsidR="00D06117" w:rsidRDefault="00D06117" w:rsidP="00D06117">
      <w:pPr>
        <w:pStyle w:val="TextoNormal"/>
      </w:pPr>
      <w:r>
        <w:t>Según lo que antecede, podemos afirmar ya en este momento que una exacción a la entrada de determinadas mercancías en Canarias constituye una medida de naturaleza tributaria afectante de la libre circulación, al someter a aquéllas a un sobre-gravamen con relación a las que circulan por el resto del territorio comunitario. Ahora bien, la mera afectación de aquella libertad no convierte a la citada medida per se en ilegítima siendo preciso analizar si tiene una razón de ser suficiente y unos efectos proporcionados y adecuados al fin perseguido, de modo tal que justifique una injerencia legítima, desde el punto de vista constitucional, en el ejercicio de aquella libertad.</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La búsqueda de la finalidad de la tarifa controvertida debe hacerse “partiendo de la existencia del régimen económico y fiscal de Canarias” (disposición adicional tercera CE) y de la atribución al Estado de la garantía de “la realización efectiva del principio de solidaridad … atendiendo en particular a las circunstancias del hecho insular” (art. 138.1 CE), pues la Constitución “se inserta en una línea tradicional que a lo largo de la historia ha venido justificando la existencia del régimen económico y fiscal de Canarias, precisamente por las características propias del archipiélago canario, es decir, por el ‘hecho insular’” [STC 16/2003, de 30 de enero, FJ 5 a)]. En efecto, el régimen económico y fiscal de Canarias tiene un sentido eminentemente finalista que obedece al “carácter insular y las condiciones geológicas y climatológicas de las provincias canarias” que reclaman “un conjunto armónico de medidas que estimulen el desarrollo económico y social de las islas” (exposición de motivos de la Ley 30/1972), para “promover su desarrollo económico y social” (exposición de motivos de la Ley 20/1991). Y ese sentido “esencialmente finalista” del régimen económico y fiscal resulta del “conjunto de elementos —no exclusivamente fiscales— de carácter rigurosamente instrumental”, que actúan como “puros medios para conseguir un fin —art. 138.1 CE—, concretamente, la realización efectiva del principio de solidaridad atendiendo precisamente al hecho insular” [STC 16/2003, de 30 de enero, FJ 5 a)]. Además, el citado régimen tiene un “carácter evolutivo” que deriva también del propio art. 138.1 CE pues “[d]icho precepto no se refiere simplemente al hecho insular, sino ‘a las circunstancias del hecho insular’”, y “si el hecho insular es perfectamente invariable, las ‘circunstancias’ sociales y económicas que lo rodean, no” [STC 16/2003, de 30 de enero, FJ 5 b) 1)]; carácter evolutivo pese al cual “pueden identificarse en el régimen fiscal canario algunos rasgos que se han venido manifestando de forma constante: en primer lugar, un ‘diferencial de tributación con respecto al resto del territorio nacional’ o, dicho de otro modo, ‘una presión fiscal indirecta menor’; y, en segundo lugar, la existencia de tributos de ámbito canario atribuidos en su recaudación a la Comunidad Autónoma o a los Cabildos” (STC 137/2003, de 3 de </w:t>
      </w:r>
      <w:r>
        <w:lastRenderedPageBreak/>
        <w:t>julio, FJ 8; y, en el mismo sentido, SSTC 16/2003, de 30 de enero, FJ 8; y 62/2003, de 27 de marzo, FFJJ 4 y 5).</w:t>
      </w:r>
    </w:p>
    <w:p w:rsidR="00D06117" w:rsidRDefault="00D06117" w:rsidP="00D06117">
      <w:pPr>
        <w:pStyle w:val="TextoNormal"/>
      </w:pPr>
    </w:p>
    <w:p w:rsidR="00D06117" w:rsidRDefault="00D06117" w:rsidP="00D06117">
      <w:pPr>
        <w:pStyle w:val="TextoNormal"/>
      </w:pPr>
      <w:r>
        <w:t>Como ya tuvimos ocasión de señalar en la STC 16/2003, “en el campo de esas ‘circunstancias’” del hecho insular recogidas en el art. 138.1 CE, había una, expresamente anunciada en la Constitución, destinada a influir decisivamente en el régimen económico y fiscal de Canarias: el art. 93 CE era una clara previsión del ingreso de España en lo que hoy es la Unión Europea, acontecimiento que necesariamente había de tener una importante repercusión en el régimen económico y fiscal. Ya la primitiva redacción del art. 46.2 del Estatuto de Autonomía de Canarias (EACan) había previsto para ese supuesto la “defensa” de la peculiaridad canaria y en la redacción actual incorpora al contenido del régimen económico y fiscal de Canarias “los principios y normas aplicables como consecuencia del reconocimiento de Canarias como región ultraperiférica de la Unión Europea” [STC 16/2003, de 30 de enero, FJ 5 b).1)].</w:t>
      </w:r>
    </w:p>
    <w:p w:rsidR="00D06117" w:rsidRDefault="00D06117" w:rsidP="00D06117">
      <w:pPr>
        <w:pStyle w:val="TextoNormal"/>
      </w:pPr>
    </w:p>
    <w:p w:rsidR="00D06117" w:rsidRDefault="00D06117" w:rsidP="00D06117">
      <w:pPr>
        <w:pStyle w:val="TextoNormal"/>
      </w:pPr>
      <w:r>
        <w:t>Pues bien, debemos recordar, siquiera brevemente, que la Ley 30/1972, de 22 de julio, sobre régimen económico-fiscal de las Canarias, fue dictada como consecuencia del “carácter insular y las condiciones geológicas y climatológicas de las provincias canarias” que “dan a su economía unas especialidades características que aconsejan, en algunos aspectos, que se adopten en aquellas provincias medidas distintas a las que se aplican en el resto del territorio nacional”, para lo cual se pretende articular “un conjunto armónico de medidas que estimulen el desarrollo económico y social de las islas” (apartado I de la exposición de motivos), entre las cuales se encuentra la creación de un arbitrio insular a la entrada de mercancías en las islas Canarias que “al contar con una tarifa especial para las mercancías que se produzcan en Canarias, podrá ser utilizado como instrumento de política económica en beneficio de su industria y agricultura” (apartado II de la exposición de motivos). Tarifa especial que, a diferencia de la tarifa general “de finalidad claramente recaudatoria”, es “concebida como instrumento de política económica en beneficio de la industria y agricultura del Archipiélago” (exposición de motivos del Real Decreto 997/1978, de 12 de mayo).</w:t>
      </w:r>
    </w:p>
    <w:p w:rsidR="00D06117" w:rsidRDefault="00D06117" w:rsidP="00D06117">
      <w:pPr>
        <w:pStyle w:val="TextoNormal"/>
      </w:pPr>
    </w:p>
    <w:p w:rsidR="00D06117" w:rsidRDefault="00D06117" w:rsidP="00D06117">
      <w:pPr>
        <w:pStyle w:val="TextoNormal"/>
      </w:pPr>
      <w:r>
        <w:t>Por otra parte, no hay que olvidar que la Ley 20/1991, de 7 de junio, de modificación de los aspectos fiscales del régimen económico fiscal de Canarias, fue dictada con la finalidad de adecuar las figuras impositivas aplicables en Canarias a las exigencias de la entonces Comunidad Económica Europea, para lo cual se implantó, junto con el “impuesto general indirecto canario” (que unificaba la imposición indirecta en Canarias representada por el impuesto general sobre el tráfico de las empresas y el arbitrio insular sobre el lujo), un “arbitrio sobre la producción y la importación”, que subsumía la “tarifa general” del arbitrio insular a la entrada de mercancías y dejaba vigente la “tarifa especial” del mismo arbitrio —de conformidad con su disposición adicional segunda— “en los términos previstos en el artículo 6 del Protocolo 2 del Tratado de Adhesión” (art. 6 que expresamente preveía la subsistencia de la tarifa especial “atendiendo a las circunstancias que puedan concurrir en la economía canaria”).</w:t>
      </w:r>
    </w:p>
    <w:p w:rsidR="00D06117" w:rsidRDefault="00D06117" w:rsidP="00D06117">
      <w:pPr>
        <w:pStyle w:val="TextoNormal"/>
      </w:pPr>
    </w:p>
    <w:p w:rsidR="00D06117" w:rsidRDefault="00D06117" w:rsidP="00D06117">
      <w:pPr>
        <w:pStyle w:val="TextoNormal"/>
      </w:pPr>
      <w:r>
        <w:t xml:space="preserve">Esas circunstancias que pudieran concurrir en la economía canaria eran fruto de los condicionamientos específicos debidos a la lejanía y a la insularidad [como señala el Considerando 4 del Reglamento (CEE) núm. 1911-1991 del Consejo, de 26 de junio de 1991, por el que se procede a la integración completa de las islas Canarias en el territorio aduanero común y en el conjunto de las políticas comunes], lo que ha justificado históricamente “la </w:t>
      </w:r>
      <w:r>
        <w:lastRenderedPageBreak/>
        <w:t>aplicación de regímenes económicos y fiscales excepcionales sucesivos destinados a compensar las desventajas relacionadas con el aislamiento geográfico del archipiélago” (Considerando 7); aspectos fiscales especiales que operan como un “instrumento de desarrollo económico y social y de financiación de los presupuestos locales” (Considerando 9), que no resultan incompatibles con “el refuerzo de la integración de las islas Canarias en la Comunidad” (Considerando 8), y entre cuyas medidas particulares no sólo se autoriza la aplicación de una tarifa especial “a los productos procedentes de otras partes de la Comunidad” [art. 6.4 del Reglamento (CEE) núm. 1911-1991] sino que, en la medida que los productos que eran objeto de esa tarifa pertenecían “a sectores productivos económico y socialmente importantes para el desarrollo de las islas Canarias”, esto es, se trataba de “productos sensibles para la economía canaria”, las necesidades de mejora de aquellos sectores justificaba “el mantenimiento de esta exacción hasta el 31 de diciembre de 2000, habida cuenta, especialmente, de los factores económicos inherentes a la situación geográfica excepcional de las islas Canarias” [Considerandos 3 y 4 del Reglamento (CEE) núm. 564-1993 del Consejo, de 8 de marzo de 1993].</w:t>
      </w:r>
    </w:p>
    <w:p w:rsidR="00D06117" w:rsidRDefault="00D06117" w:rsidP="00D06117">
      <w:pPr>
        <w:pStyle w:val="TextoNormal"/>
      </w:pPr>
    </w:p>
    <w:p w:rsidR="00D06117" w:rsidRDefault="00D06117" w:rsidP="00D06117">
      <w:pPr>
        <w:pStyle w:val="TextoNormal"/>
      </w:pPr>
      <w:r>
        <w:t>En suma, la justificación de la “tarifa especial” se halla en someter a tributación la entrada en las islas Canarias de aquellos productos agrícolas e industriales que se consideran sensibles para la economía canaria (esto es, los similares a los que se producen en el archipiélago), operando como un instrumento de política económica y social para el desarrollo de un archipiélago que se encuentra castigado por los mayores costes y desequilibrios que derivan de su peculiar situación y condiciones geográficas; esto es, por los “factores perjudiciales” a los que hace referencia el Tratado CE [a saber, la lejanía, insularidad, reducida superficie, relieve y clima adversos y dependencia económica de un reducido número de productos (art. 299.1)].</w:t>
      </w:r>
    </w:p>
    <w:p w:rsidR="00D06117" w:rsidRDefault="00D06117" w:rsidP="00D06117">
      <w:pPr>
        <w:pStyle w:val="TextoNormal"/>
      </w:pPr>
    </w:p>
    <w:p w:rsidR="00D06117" w:rsidRDefault="00D06117" w:rsidP="00D06117">
      <w:pPr>
        <w:pStyle w:val="TextoNormal"/>
      </w:pPr>
      <w:r>
        <w:t>Existe, pues, un objetivo legítimo desde el punto de vista constitucional, que guarda una perfecta relación de causalidad y necesidad con el medio ordenado para hacerlo posible y que conduce necesariamente a concluir que el arbitrio litigioso obedece a un fin constitucionalmente legítimo —hecho insular, art. 138.1 CE y régimen económico y fiscal, disposición adicional tercera CE— y resulta razonable y proporcionado en atención a las circunstancias de las islas Canarias, de suerte que no vulnera la libertad de circulación ordenada por el art. 139.2 CE.</w:t>
      </w:r>
    </w:p>
    <w:p w:rsidR="00D06117" w:rsidRDefault="00D06117" w:rsidP="00D06117">
      <w:pPr>
        <w:pStyle w:val="TextoNormal"/>
      </w:pPr>
    </w:p>
    <w:p w:rsidR="00D06117" w:rsidRDefault="00D06117" w:rsidP="00D06117">
      <w:pPr>
        <w:pStyle w:val="TextoNormal"/>
      </w:pPr>
      <w:r w:rsidRPr="00D06117">
        <w:rPr>
          <w:rStyle w:val="NumeroAFNegritaCaracter"/>
        </w:rPr>
        <w:t>6</w:t>
      </w:r>
      <w:r>
        <w:t>. Considera también el órgano judicial que las disposiciones adicionales cuestionadas pueden contrariar el art. 46.1 del Estatuto de Autonomía para Canarias, pues si el régimen económico-fiscal especial de que goza Canarias está “basado en la libertad comercial de importación y exportación … y en franquicias aduaneras y fiscales sobre el consumo”, concretándose el principio de la franquicia sobre el consumo en la inaplicación en Canarias de la imposición indirecta estatal de ámbito general que grava el comercio (impuesto sobre el valor añadido), no es posible advertir la compatibilidad de tal franquicia con la denominada tarifa especial (que es calificable como un impuesto estatal). El Abogado del Estado considera, sin embargo, que no se ha producido esta vulneración pues el peculiar régimen económico-fiscal canario ampara las modulaciones y derogaciones que permitan paliar las características permanentes que dificultan el desarrollo del archipiélago.</w:t>
      </w:r>
    </w:p>
    <w:p w:rsidR="00D06117" w:rsidRDefault="00D06117" w:rsidP="00D06117">
      <w:pPr>
        <w:pStyle w:val="TextoNormal"/>
      </w:pPr>
    </w:p>
    <w:p w:rsidR="00D06117" w:rsidRDefault="00D06117" w:rsidP="00D06117">
      <w:pPr>
        <w:pStyle w:val="TextoNormal"/>
      </w:pPr>
      <w:r>
        <w:t xml:space="preserve">Ya en este punto, es de recordar que en la STC 16/2003, de 30 de enero, en relación precisamente con la existencia o no de una franquicia general sobre el consumo reconocida </w:t>
      </w:r>
      <w:r>
        <w:lastRenderedPageBreak/>
        <w:t>por el art. 46.1 EACan y amparada en la disposición adicional tercera de la Constitución, declaramos que “la invocada franquicia fiscal sobre el consumo, en cuanto determinante de la exclusión de la imposición estatal indirecta, no tiene un carácter absoluto —recuérdese cómo en Canarias se aplicaron la contribución de usos y consumos de 1940 y el impuesto sobre el gasto de 1957—, pues las franquicias recogidas en el art. 46.1 EACan operan, tal como ya se ha dicho, con la virtualidad propia de las ‘directrices’ (STC 35/1984, de 13 de marzo, FJ 2), es decir, como rasgos básicos del sistema. No podía ser de otra manera, si se tiene en cuenta la tan subrayada configuración equilibradora del régimen económico y fiscal de Canarias. Y así resulta del propio Estatuto de Autonomía que, después de haber establecido en su art. 46.1 las bases del régimen económico y fiscal —concretamente las ‘franquicias fiscales sobre el consumo’, en plural, y no una pretendida franquicia fiscal, en singular, es decir, global sobre el consumo—, con la evolución del texto de su disposición adicional segunda viene a poner de relieve la viabilidad de la aplicación en Canarias de impuestos estatales sobre consumos específicos” (STC 16/2003, de 30 de enero, FJ 7; y 109/2004, de 30 de junio, FJ 4). Y añadíamos a renglón seguido que “el núcleo esencial del art. 46 EACan … tiene, en realidad, como antes hemos destacado, una naturaleza evolutiva, esto es, ajustada a las necesidades sociales y económicas de cada momento histórico, como lo pone de manifiesto, de un lado, la progresiva desaparición de las franquicias aduaneras desde la integración de España en la Unión Europea y, de otra parte, la inexistencia de una pretendida franquicia total sobre el consumo, al menos con el sentido y extensión que los recurrentes pretenden” (SSTC 16/2003, de 30 de enero, FJ 8; y 109/2004, de 30 de junio, FJ 6).</w:t>
      </w:r>
    </w:p>
    <w:p w:rsidR="00D06117" w:rsidRDefault="00D06117" w:rsidP="00D06117">
      <w:pPr>
        <w:pStyle w:val="TextoNormal"/>
      </w:pPr>
    </w:p>
    <w:p w:rsidR="00D06117" w:rsidRDefault="00D06117" w:rsidP="00D06117">
      <w:pPr>
        <w:pStyle w:val="TextoNormal"/>
      </w:pPr>
      <w:r>
        <w:t>En consecuencia, tampoco contrarían las normas cuestionadas el precepto estatutario citado.</w:t>
      </w:r>
    </w:p>
    <w:p w:rsidR="00D06117" w:rsidRDefault="00D06117" w:rsidP="00D06117">
      <w:pPr>
        <w:pStyle w:val="TextoNormal"/>
      </w:pPr>
    </w:p>
    <w:p w:rsidR="00D06117" w:rsidRDefault="00D06117" w:rsidP="00D06117">
      <w:pPr>
        <w:pStyle w:val="TextoNormal"/>
      </w:pPr>
      <w:r w:rsidRPr="00D06117">
        <w:rPr>
          <w:rStyle w:val="NumeroAFNegritaCaracter"/>
        </w:rPr>
        <w:t>7</w:t>
      </w:r>
      <w:r>
        <w:t>. Argumenta el órgano judicial que de los arts. 31.3 y 133.1 CE deriva que son el Estado, las Comunidades Autónomas y las corporaciones locales quienes ostentan potestad tributaria y sin embargo con las normas cuestionadas se produce, a su juicio, una abdicación del Estado español del ejercicio de su potestad originaria en materia tributaria al permitir a las instituciones comunitarias, no ya establecer y regular los tributos propios del Estado, sino decidir la pervivencia de barreras fiscales entre diversas partes del territorio nacional español. No comparten este juicio, sin embargo, ni el Abogado del Estado ni el Fiscal General del Estado, para quienes la tarifa especial respeta ambos preceptos al venir regulada por la Ley 30/1972, de 22 de julio.</w:t>
      </w:r>
    </w:p>
    <w:p w:rsidR="00D06117" w:rsidRDefault="00D06117" w:rsidP="00D06117">
      <w:pPr>
        <w:pStyle w:val="TextoNormal"/>
      </w:pPr>
    </w:p>
    <w:p w:rsidR="00D06117" w:rsidRDefault="00D06117" w:rsidP="00D06117">
      <w:pPr>
        <w:pStyle w:val="TextoNormal"/>
      </w:pPr>
      <w:r>
        <w:t xml:space="preserve">El planteamiento que hace el órgano judicial relativo a una eventual abdicación del Estado en el ejercicio de las competencias que en materia tributaria le atribuyen los arts. 31.3 y 133.1, ambos de la Constitución, obliga a este Tribunal a precisar, en primer lugar, que el art. 31.3 CE no es una norma atributiva de competencias, sino una norma principialista que consagra la reserva de ley en materia de prestaciones patrimoniales de carácter público como expresión máxima del principio de autoimposición de la comunidad sobre sí misma. Sí es, sin embargo, el art. 133.1 CE (STC 19/1987, de 17 de febrero, FJ 4), puesto en relación con el art. 149.1.14 CE y con el art. 157.3 CE, una norma atributiva de competencias en materia tributaria al Estado, cuyo poder es “originario” o primario por derivar directamente del texto constitucional, en contraposición con el poder “derivado” o secundario —a que hace referencia el art. 133.2 CE— de las Comunidades Autónomas y las corporaciones locales, cuyo ejercicio no sólo queda condicionado por la Constitución, sino también por las normas que dicte el Estado en la materia. Esto supone “que aquella potestad originaria del Estado no </w:t>
      </w:r>
      <w:r>
        <w:lastRenderedPageBreak/>
        <w:t>puede quedar enervada por disposición alguna de inferior rango, referida a la materia tributaria” (SSTC 181/1988, de 13 de octubre, FJ 3; 192/2000, de 13 de julio, FJ 6; y 72/2003, de 10 de abril, FJ 5), pero no impide que sí pueda quedar afectada por disposiciones de igual o superior rango, ex art. 96.1 CE.</w:t>
      </w:r>
    </w:p>
    <w:p w:rsidR="00D06117" w:rsidRDefault="00D06117" w:rsidP="00D06117">
      <w:pPr>
        <w:pStyle w:val="TextoNormal"/>
      </w:pPr>
    </w:p>
    <w:p w:rsidR="00D06117" w:rsidRDefault="00D06117" w:rsidP="00D06117">
      <w:pPr>
        <w:pStyle w:val="TextoNormal"/>
      </w:pPr>
      <w:r>
        <w:t>En efecto, la afirmación que hace el órgano judicial obliga también a este Tribunal a recordar que “[l]os tratados internacionales válidamente celebrados una vez publicados oficialmente en España, formarán parte del ordenamiento interno” (art. 96.1 CE). Ahora bien, en determinados casos “[l]a prestación del consentimiento del Estado para obligarse por medio de tratados o convenios requerirá la previa autorización de las Cortes Generales” (arts. 94.1 CE y 155.1 del Reglamento del Congreso de los Diputados: RCD), autorización que, con carácter general, revestirá la forma de un “acuerdo” (art. 155.4 RCD) que se tramitará conforme al procedimiento legislativo común (art. 153.1 RCD), salvo cuando mediante la celebración del Tratado “se atribuya a una organización o institución internacional el ejercicio de competencias derivadas de la Constitución”, en cuyo caso el consentimiento para celebrar los tratados deberá otorgarse por ley orgánica (arts. 93 CE y 154 RCD).</w:t>
      </w:r>
    </w:p>
    <w:p w:rsidR="00D06117" w:rsidRDefault="00D06117" w:rsidP="00D06117">
      <w:pPr>
        <w:pStyle w:val="TextoNormal"/>
      </w:pPr>
    </w:p>
    <w:p w:rsidR="00D06117" w:rsidRDefault="00D06117" w:rsidP="00D06117">
      <w:pPr>
        <w:pStyle w:val="TextoNormal"/>
      </w:pPr>
      <w:r>
        <w:t>El art. 93 del texto constitucional “opera como bisagra mediante la cual la Constitución misma da entrada en nuestro sistema constitucional a otros ordenamientos jurídicos a través de la cesión del ejercicio de competencias”, es decir, es el “soporte constitucional básico de la integración de otros ordenamientos con el nuestro, a través de la cesión del ejercicio de competencias derivadas de la Constitución, ordenamientos llamados a coexistir con el Ordenamiento interno, en tanto que ordenamientos autónomos por su origen” (DTC 1/2004, de 13 de diciembre, FJ 2). Por este motivo, “[l]a adhesión del Reino de España a la hoy Unión Europea se ha instrumentado en efecto a través del art. 93 de nuestra Constitución”, que es “el fundamento último de nuestra incorporación al proceso de integración europea y de nuestra vinculación al Derecho comunitario” (DTC 1/2004, de 13 de diciembre, FJ 2). Y puesto que con la incorporación a la Comunidad Económica Europea el Estado español estaba cediendo el ejercicio de competencias a favor de una organización internacional del cual derivan normas obligatorias para España, su adhesión exigía necesariamente la autorización previa de las Cortes Generales por Ley Orgánica ex art. 93 CE, como así se hizo, primero, por la Ley Orgánica 10/1985, de 2 de agosto, de autorización para la adhesión de España a las Comunidades Europeas (“BOE” núm. 189, de 8 de agosto), luego por la Ley Orgánica 4/1986, de 26 de noviembre, por la que se autoriza la ratificación por España del Acta única europea (“BOE” núm. 288, de 2 de diciembre), y, finalmente y en lo que ahora interesa, por la Ley Orgánica 10/1992, de 28 de diciembre, por la que se autoriza la ratificación por España del Tratado de la Unión Europea (“BOE” núm. 312, de 29 de diciembre).</w:t>
      </w:r>
    </w:p>
    <w:p w:rsidR="00D06117" w:rsidRDefault="00D06117" w:rsidP="00D06117">
      <w:pPr>
        <w:pStyle w:val="TextoNormal"/>
      </w:pPr>
    </w:p>
    <w:p w:rsidR="00D06117" w:rsidRDefault="00D06117" w:rsidP="00D06117">
      <w:pPr>
        <w:pStyle w:val="TextoNormal"/>
      </w:pPr>
      <w:r>
        <w:t xml:space="preserve">Una vez prestado el consentimiento por el Estado español, previa autorización de las Cortes en tal sentido, las normas emanadas de aquélla institución internacional no sólo obligan a España con su sola publicación en el “Diario Oficial de las Comunidades Europeas”, sino que, además, “la operación de cesión del ejercicio de competencias a la Unión europea y la integración consiguiente del Derecho comunitario en el nuestro propio imponen límites inevitables a las facultades soberanas del Estado”, aceptables siempre que “el Derecho europeo sea compatible con los principios fundamentales del Estado social y democrático de Derecho establecido por la Constitución nacional”, esto es, siempre que sea respetuoso con “la soberanía del Estado, de nuestras estructuras constitucionales básicas y del sistema valores y principios fundamentales consagrados en nuestra Constitución” (DTC 1/2004, de 13 </w:t>
      </w:r>
      <w:r>
        <w:lastRenderedPageBreak/>
        <w:t>de diciembre, FJ 4). De esta manera, aquella operación de cesión comporta “una determinada limitación o constricción, a ciertos efectos, de atribuciones y competencias de los poderes públicos españoles (limitación de ‘derechos soberanos’, en expresión del Tribunal de Justicia de las Comunidades, caso Costa/Enel, Sentencia de 15 de julio de 1964)” (DTC 1/1992, de 1 de julio, FJ 4). Aunque sin olvidar que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(DTC 1/2004, de 13 de diciembre, FJ 4). Así, desde la incorporación de España a las Comunidades Europeas “se integró en el Ordenamiento español un sistema normativo autónomo, dotado de un régimen de aplicabilidad específico, basado en el principio de prevalencia de sus disposiciones propias frente a cualesquiera del orden interno con las que pudieran entrar en contradicción” (DTC 1/2004, de 13 de diciembre, FJ 4).</w:t>
      </w:r>
    </w:p>
    <w:p w:rsidR="00D06117" w:rsidRDefault="00D06117" w:rsidP="00D06117">
      <w:pPr>
        <w:pStyle w:val="TextoNormal"/>
      </w:pPr>
    </w:p>
    <w:p w:rsidR="00D06117" w:rsidRDefault="00D06117" w:rsidP="00D06117">
      <w:pPr>
        <w:pStyle w:val="TextoNormal"/>
      </w:pPr>
      <w:r>
        <w:t>Según lo que antecede, la cesión efectuada por el Estado español del ejercicio de facultades soberanas —en el caso que nos ocupa, en materia tributaria— como consecuencia de la adhesión de España a la Comunidad Europea no ha supuesto, como sostiene el órgano judicial, una abdicación —contra constitutione— del Estado español del ejercicio de sus competencias tributarias. Se trata, más bien, de “un inequívoco acto de ejercicio de la soberanía de España” (DTC 1/2004, de 13 de diciembre, FJ 2) que no sólo ha cumplido escrupulosamente con el requisito de “índole orgánico procedimental” previsto en el art. 93 CE (STC 28/1991, de 14 de febrero, FJ 4; y DDTC 1/1992, de 1 de julio, FJ 4; y 1/2004, de 13 de diciembre, FJ 2), sino que ha respetado los límites materiales que para el ejercicio de la citada soberanía derivan implícitamente del texto constitucional en la medida que las normas discutidas no se muestran incompatibles con ninguno de los “valores y principios fundamentales consagrados en nuestra Constitución” (DTC 1/2004, de 13 de diciembre, FJ 2). Y no se muestran incompatibles, como se ha dicho, por perseguir una finalidad constitucional legítima como es la de atender “a las circunstancias del hecho insular” (art. 138.1 CE).</w:t>
      </w:r>
    </w:p>
    <w:p w:rsidR="00D06117" w:rsidRDefault="00D06117" w:rsidP="00D06117">
      <w:pPr>
        <w:pStyle w:val="TextoNormal"/>
      </w:pPr>
    </w:p>
    <w:p w:rsidR="00D06117" w:rsidRDefault="00D06117" w:rsidP="00D06117">
      <w:pPr>
        <w:pStyle w:val="TextoNormal"/>
      </w:pPr>
      <w:r>
        <w:t>En consecuencia, del hecho que, desde la entrada de España en la Comunidad Económica Europea, la tarifa especial del arbitrio sobre la importación de mercancías en las islas Canarias venga autorizada y condicionada por el Derecho comunitario [concretamente, por los Reglamentos (CEE) núm. 1911-1991 del Consejo, de 26 de junio de 1991, y núm. 564-1993 del Consejo, de 8 de marzo de 1993] no se colige vicio alguno que prive al citado tributo de su legitimidad constitucional, tanto más cuando su regulación, como correctamente señalan el Abogado del Estado y el Fiscal General del Estado, viene de la mano de la Ley 30/1972, de 22 de julio, de régimen económico-fiscal de Canarias, por lo que, ni desde la perspectiva del art. 31.3 CE, cuya exigencia de ley para la materia tributaria ha sido respetada en el presente caso, ni desde la óptica del art 133.1 CE —entendido en su conexión con el art. 96.1 CE— puede apreciarse el pretendido vicio imputado por el órgano judicial.</w:t>
      </w:r>
    </w:p>
    <w:p w:rsidR="00D06117" w:rsidRDefault="00D06117" w:rsidP="00D06117">
      <w:pPr>
        <w:pStyle w:val="TextoNormal"/>
      </w:pPr>
    </w:p>
    <w:p w:rsidR="00D06117" w:rsidRDefault="00D06117" w:rsidP="00D06117">
      <w:pPr>
        <w:pStyle w:val="TextoNormal"/>
      </w:pPr>
      <w:r w:rsidRPr="00D06117">
        <w:rPr>
          <w:rStyle w:val="NumeroAFNegritaCaracter"/>
        </w:rPr>
        <w:t>8</w:t>
      </w:r>
      <w:r>
        <w:t xml:space="preserve">. La siguiente imputación que hace el órgano judicial que plantea la presente cuestión de inconstitucionalidad se refiere a la utilización del instrumento del decreto-ley (concretamente, del Real Decreto-ley 7/1993) para aprobar la prórroga de la tarifa especial lo que, a su juicio, vulnera el art. 86.1 CE, de un lado, por afectar su objeto al deber de contribuir </w:t>
      </w:r>
      <w:r>
        <w:lastRenderedPageBreak/>
        <w:t>consagrado en el art. 31.1 CE, y, de otro, por tratarse de una norma que se aprueba con una urgencia que no está justificada ya que hacía años que se preveía la supresión del gravamen que regula.</w:t>
      </w:r>
    </w:p>
    <w:p w:rsidR="00D06117" w:rsidRDefault="00D06117" w:rsidP="00D06117">
      <w:pPr>
        <w:pStyle w:val="TextoNormal"/>
      </w:pPr>
    </w:p>
    <w:p w:rsidR="00D06117" w:rsidRDefault="00D06117" w:rsidP="00D06117">
      <w:pPr>
        <w:pStyle w:val="TextoNormal"/>
      </w:pPr>
      <w:r>
        <w:t>Debe precisarse a este respecto, ante todo,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siendo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(STC 11/2002, de 17 de enero, FJ 4; 137/2003, de 3 de julio, FJ 3; 189/2005, de 7 de julio, FJ 3; 329/2005, de 15 de diciembre, FJ 5; 68/2007, de 28 de marzo, FJ 6; 31/2011, de 17 de marzo, FJ 3; 137/2011, de 14 de septiembre, FJ4; y 1/2012, de 13 de enero, FJ 6).</w:t>
      </w:r>
    </w:p>
    <w:p w:rsidR="00D06117" w:rsidRDefault="00D06117" w:rsidP="00D06117">
      <w:pPr>
        <w:pStyle w:val="TextoNormal"/>
      </w:pPr>
    </w:p>
    <w:p w:rsidR="00D06117" w:rsidRDefault="00D06117" w:rsidP="00D06117">
      <w:pPr>
        <w:pStyle w:val="TextoNormal"/>
      </w:pPr>
      <w:r>
        <w:t>Pero debe añadirse a renglón seguido que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(SSTC 137/2003, de 3 de julio, FJ 3; 189/2005, de 7 de julio, FJ 3; 329/2005, de 15 de diciembre, FJ 5; 332/2005, de 15 de diciembre, FJ 6; 68/2007, de 28 de marzo, FJ 6; y 137/2011, de 14 de septiembre, FJ 4). 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(SSTC 182/1997, de 28 de octubre, FJ 3; y 137/2003, de 3 de julio, FJ 3; 189/2005, de 7 de julio, FJ 3; 329/2005, de 15 de diciembre, FJ 5; 68/2007, de 28 de marzo, FJ 6; 137/2011, de 14 de septiembre, FJ 4; y 1/2012, de 13 de enero, FJ 6).</w:t>
      </w:r>
    </w:p>
    <w:p w:rsidR="00D06117" w:rsidRDefault="00D06117" w:rsidP="00D06117">
      <w:pPr>
        <w:pStyle w:val="TextoNormal"/>
      </w:pPr>
    </w:p>
    <w:p w:rsidR="00D06117" w:rsidRDefault="00D06117" w:rsidP="00D06117">
      <w:pPr>
        <w:pStyle w:val="TextoNormal"/>
      </w:pPr>
      <w:r>
        <w:t xml:space="preserve">A este respecto, conviene recordar que el examen sobre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137/2003, </w:t>
      </w:r>
      <w:r>
        <w:lastRenderedPageBreak/>
        <w:t>de 3 de julio, FJ 3; 189/2005, de 7 de julio, FJ 3; 329/2005, de 15 de diciembre, FJ 5; 68/2007, de 28 de marzo, FJ 6; 137/2011, de 14 de septiembre, FJ 4; y 1/2012, de 13 de enero, FJ 6), debiendo siempre tenerse presentes “las situaciones concretas y los objetivos gubernamentales que han dado lugar a la aprobación de cada uno de los decretos-leyes enjuiciados (SSTC 6/1983, de 4 de febrero, FJ 5; 182/1997,de 28 de octubre, FJ 3; 11/2002, de 17 de enero, FJ 4; 137/2003, de 3 de julio, FJ 3; 189/2005, de 7 de julio, FJ 3; 329/2005, de 15 de diciembre, FJ 5; 68/2007, de 28 de marzo, FJ 6; y 1/2012, de 13 de enero, FJ 6). Es decir, para controlar la concurrencia del presupuesto habilitante del decreto-ley (la “extraordinaria y urgente necesidad”), es preciso analizar dos elementos: en primer lugar, los motivos que, habiendo sido tenidos en cuenta por el Gobierno en su aprobación, hayan sido explicitados de una forma razonada (SSTC 29/1982, de 31 de mayo, FJ 3; 111/1983, de 2 de diciembre, FJ 5; 182/1997, de 29 de octubre, FJ 3; 137/2003, de 3 de julio, FJ 4; 189/2005, de 7 de julio, FJ 3; 329/2005, de 15 de diciembre, FJ 5; 68/2007, de 28 de marzo, FJ 7; y 31/2011, de 17 de marzo, FJ 3); y, en segundo lugar, la existencia de una necesaria conexión entre la situación de urgencia definida y la medida concreta adoptada para subvenir a la misma (SSTC 29/1982, de 31 de mayo, FJ 3; 182/1997, de 28 de octubre, FJ 3; y 137/2003, de 3 de julio, FJ 4; 189/2005, de 7 de julio, FJ 4; 329/2005, de 15 de diciembre, FJ 6; 68/2007, de 28 de marzo, FJ 7; y 31/2011, de 17 de marzo, FJ 3).</w:t>
      </w:r>
    </w:p>
    <w:p w:rsidR="00D06117" w:rsidRDefault="00D06117" w:rsidP="00D06117">
      <w:pPr>
        <w:pStyle w:val="TextoNormal"/>
      </w:pPr>
    </w:p>
    <w:p w:rsidR="00D06117" w:rsidRDefault="00D06117" w:rsidP="00D06117">
      <w:pPr>
        <w:pStyle w:val="TextoNormal"/>
      </w:pPr>
      <w:r>
        <w:t>Pues bien, antes de analizar la concurrencia de los citados elementos es necesario recordar brevemente que la tarifa especial del arbitrio insular a la entrada mercancías establecida por la Ley 30/1972, de 22 de julio (art. 22), tras el Tratado de adhesión de España y Portugal a la CEE de 12 de junio de 1985, debía suprimirse, a más tardar, el día 1 de enero de 1993, salvo que el Consejo, a propuesta de la Comisión, previa petición de España, decidiese su prolongación [arts. 6.3 del citado Protocolo 2 y 6.4 del Reglamento (CEE) núm. 1911-1991]. Tal petición fue formulada por el Gobierno español a la Comisión el 7 de diciembre de 1992, ordenando el Reglamento (CEE) núm. 564-1993 del Consejo, de 8 de marzo, la aplicación de la citada tarifa especial hasta el 31 de diciembre de 2000 (art. 1). Y sobre esta prórroga, el Real Decreto-ley 7/1993 aquí cuestionado no hace sino prever, a partir de su entrada en vigor —y “en los términos establecidos en el Reglamento (CEE) número 564-1993 del Consejo, de 8 de marzo”— la aplicación de los tipos impositivos vigentes en 1992 (disposición adicional tercera). Por tanto, no es el Real Decreto-ley 7/1993, como pretende el órgano judicial cuestionante, el que dispone la prórroga de la tarifa especial, pues se limita a concretar la forma de determinación de la base imponible y los tipos de gravamen aplicables, sino el Reglamento (CEE) núm. 564-1993 del Consejo, que era directamente aplicable [arts. 288 del Tratado de funcionamiento de la UE y 2, párrafo segundo, del Reglamento (CEE) 564-1993 del Consejo] y que es el que dispone la continuidad de la aplicación de la citada tarifa más allá del momento en que tenía prevista su expiración, eso sí, a unos tipos impositivos que en ningún caso podían superar “el 90 por 100 del tipo aplicable a los mismos productos originarios de países terceros” (art. 1).</w:t>
      </w:r>
    </w:p>
    <w:p w:rsidR="00D06117" w:rsidRDefault="00D06117" w:rsidP="00D06117">
      <w:pPr>
        <w:pStyle w:val="TextoNormal"/>
      </w:pPr>
    </w:p>
    <w:p w:rsidR="00D06117" w:rsidRDefault="00D06117" w:rsidP="00D06117">
      <w:pPr>
        <w:pStyle w:val="TextoNormal"/>
      </w:pPr>
      <w:r>
        <w:t xml:space="preserve">No obstante lo anterior, aunque entendiésemos que el Reglamento (CEE) núm. 564-1993 sólo autoriza la prórroga del tributo como conditio sine qua non para su establecimiento por nuestro Derecho interno, lo cierto es que concurrirían en el Real Decreto-ley 7/1993 cuestionado los dos elementos que legitimarían el uso de este extraordinario instrumento normativo. En efecto, con relación al primer elemento, esto es, a los motivos que a propósito de la concurrencia del presupuesto habilitante del decreto-ley debe poner de manifiesto el </w:t>
      </w:r>
      <w:r>
        <w:lastRenderedPageBreak/>
        <w:t>Gobierno, nuestro análisis ha de partir necesariamente del examen de la exposición de motivos del Decreto-Ley 7/1993 impugnado. Pues bien, en la misma se señala, con carácter general, que “el día 1 de enero han entrado en vigor las principales disposiciones necesarias para que el mercado interior comunitario pudiera operar sin barreras fiscales de ningún tipo”, aunque “el Gobierno de Canarias se ha dirigido al Gobierno de la Nación, instando la adopción de forma inmediata de una serie de medidas de reforma de los tipos, bases imponibles y exenciones de los tributos integrantes del Régimen Económico Fiscal de Canarias”, medidas , como se ve, cuya adopción pedía por el Gobierno canario, “de forma inmediata” y que, en relación con la tarifa especial del arbitrio insular a la entrada de mercancías, responden a las previsiones de los Reglamentos (CEE) núm. 1911-1991, de 26 de junio, y núm. 564-1993, de 8 de marzo.</w:t>
      </w:r>
    </w:p>
    <w:p w:rsidR="00D06117" w:rsidRDefault="00D06117" w:rsidP="00D06117">
      <w:pPr>
        <w:pStyle w:val="TextoNormal"/>
      </w:pPr>
    </w:p>
    <w:p w:rsidR="00D06117" w:rsidRDefault="00D06117" w:rsidP="00D06117">
      <w:pPr>
        <w:pStyle w:val="TextoNormal"/>
      </w:pPr>
      <w:r>
        <w:t>En definitiva, resulta clara la concurrencia del presupuesto habilitante previsto en el art. 86.1 CE, pues, en las circunstancias específicas de las islas Canarias, desde el 1 de enero de 1993 se había producido un vacío legislativo que dejaba sin aplicación el arbitrio litigioso, vacío que vino a cubrir el Reglamento CEE 564-1993, de 8 de marzo, el cual a su vez necesitaba la concreción del tipo aplicable en el arbitrio que es lo que dispuso la disposición adicional tercera del Real Decreto-ley 7/1993.</w:t>
      </w:r>
    </w:p>
    <w:p w:rsidR="00D06117" w:rsidRDefault="00D06117" w:rsidP="00D06117">
      <w:pPr>
        <w:pStyle w:val="TextoNormal"/>
      </w:pPr>
    </w:p>
    <w:p w:rsidR="00D06117" w:rsidRDefault="00D06117" w:rsidP="00D06117">
      <w:pPr>
        <w:pStyle w:val="TextoNormal"/>
      </w:pPr>
      <w:r>
        <w:t>Respecto del segundo elemento, a saber, la existencia de una necesaria conexión entre la situación de urgencia definida y la medida concreta adoptada para subvenir a la misma, no cabe duda de que la medida adoptada guarda la debida conexión con la situación de urgencia (prórroga del tributo cuya vigencia se había extinguido, en principio, el 31 de diciembre de 1992) pues se trataba de proteger la economía canaria frente a la importación de productos sensibles.</w:t>
      </w:r>
    </w:p>
    <w:p w:rsidR="00D06117" w:rsidRDefault="00D06117" w:rsidP="00D06117">
      <w:pPr>
        <w:pStyle w:val="TextoNormal"/>
      </w:pPr>
    </w:p>
    <w:p w:rsidR="00D06117" w:rsidRDefault="00D06117" w:rsidP="00D06117">
      <w:pPr>
        <w:pStyle w:val="TextoNormal"/>
      </w:pPr>
      <w:r>
        <w:t>En suma, a la vista de las circunstancias y las razones señaladas debemos concluir que no sólo la situación de urgencia ha sido debidamente explicitada de una forma razonada, sino que la concreta medida adoptada guardaba la necesaria conexión con la situación a la que pretendía dar respuesta.</w:t>
      </w:r>
    </w:p>
    <w:p w:rsidR="00D06117" w:rsidRDefault="00D06117" w:rsidP="00D06117">
      <w:pPr>
        <w:pStyle w:val="TextoNormal"/>
      </w:pPr>
    </w:p>
    <w:p w:rsidR="00D06117" w:rsidRDefault="00D06117" w:rsidP="00D06117">
      <w:pPr>
        <w:pStyle w:val="TextoNormal"/>
      </w:pPr>
      <w:r w:rsidRPr="00D06117">
        <w:rPr>
          <w:rStyle w:val="NumeroAFNegritaCaracter"/>
        </w:rPr>
        <w:t>9</w:t>
      </w:r>
      <w:r>
        <w:t>. La otra vulneración del art. 86.1 CE que se imputa a la disposición adicional tercera del Real Decreto-ley 7/1993 hace referencia al límite material que establece dicho precepto al señalar que las disposiciones legislativas provisionales que puede dictar el Gobierno en casos de extraordinaria y urgente necesidad “no podrán afectar... a los derechos, deberes y libertades de los ciudadanos regulados en el Título I” de la Constitución. Concretamente, estima el órgano judicial que la norma cuestionada, ha “afectado” a uno de los “deberes” regulados en dicho título I de la Constitución: el deber de contribuir al sostenimiento de los gastos públicos recogido en el art. 31.1 CE. Tanto para el Abogado del Estado como para el Fiscal General del Estado, en cambio, esta queja debe ser igualmente rechazada, para el primero, porque la tarifa especial es una figura tributaria de aplicación territorialmente limitada y, por tanto, una figura impositiva de escasísimo relieve en el “conjunto del sistema tributario”, que se aplica, comparativamente, a pocos sujetos pasivos, por lo que no puede considerarse que quede esencialmente afectado el deber constitucional de contribuir; y, para el segundo, porque la citada tarifa especial tiene poco que ver con el deber de los ciudadanos de contribuir al sostenimiento de los gastos públicos y mucho con la protección y robustecimiento de sectores productivos canarios.</w:t>
      </w:r>
    </w:p>
    <w:p w:rsidR="00D06117" w:rsidRDefault="00D06117" w:rsidP="00D06117">
      <w:pPr>
        <w:pStyle w:val="TextoNormal"/>
      </w:pPr>
    </w:p>
    <w:p w:rsidR="00D06117" w:rsidRDefault="00D06117" w:rsidP="00D06117">
      <w:pPr>
        <w:pStyle w:val="TextoNormal"/>
      </w:pPr>
      <w:r>
        <w:lastRenderedPageBreak/>
        <w:t>Centrado así el debate, debemos subrayar que del hecho de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(SSTC 182/1997, de 28 de octubre, FJ 8; 137/2003, de 3 de julio, FJ 6; y 108/2004, de 30 de junio, FJ 7; 245/2004, de 16 de diciembre, FJ 4; y 189/2005, de 7 de julio, FJ 7). Es decir, “el hecho de que una materia esté reservada a la Ley ordinaria, con carácter absoluto o relativo, no excluye eo ipso la regulación extraordinaria y provisional de la misma mediante Decreto-ley” (SSTC 60/1986, de 20 de mayo, FJ 2; y 182/1997, de 20 de octubre, FJ 8). A lo que este Tribunal debe atender al interpretar el límite material del art. 86.1 CE “no es, pues, al modo como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de 28 de octubre, FJ 8; 137/2003, de 3 de julio, FJ 6; 108/2004, de 30 de junio, FJ 7; y 245/2004, de 16 de diciembre, FJ 4, 189/2005, de 7 de julio, FJ 7; y 329/2005, de 15 de diciembre FJ 8). Y, sobre este particular, en la sección 2 del capítulo segundo del título I de la Constitución, bajo la rúbrica “De los derechos y deberes de los ciudadanos”, se inserta el art. 31.1 CE, precepto que establece “un auténtico mandato jurídico, fuente de derechos y obligaciones”, del que “se deriva un deber constitucional para los ciudadanos de contribuir, a través de los impuestos, al sostenimiento o financiación de los gastos públicos” (SSTC 182/1997, de 28 de octubre, FJ 6; 245/2004, de 16 de diciembre, FJ 5; y 189/2005, de 7 de julio, FJ 7), siendo, en consecuencia, uno de “los deberes cuya afectación está vedada al Decreto-ley el deber de contribuir al sostenimiento de los gastos públicos que enuncia el art. 31.1 CE” (SSTC 137/2003, de 3 de julio, FJ 6; 245/2004, de 16 de diciembre, FJ 5; y 189/2005, de 7 de julio, FJ 7).</w:t>
      </w:r>
    </w:p>
    <w:p w:rsidR="00D06117" w:rsidRDefault="00D06117" w:rsidP="00D06117">
      <w:pPr>
        <w:pStyle w:val="TextoNormal"/>
      </w:pPr>
    </w:p>
    <w:p w:rsidR="00D06117" w:rsidRDefault="00D06117" w:rsidP="00D06117">
      <w:pPr>
        <w:pStyle w:val="TextoNormal"/>
      </w:pPr>
      <w:r>
        <w:t>Esto sentado, es preciso recordar asimismo que, respecto de la interpretación de los límites materiales de la utilización del decreto-ley, hemos venido manteniendo siempre una posición equilibrada que evite las concepciones extremas, de modo que “la cláusula restrictiva del art. 86.1 de la Constitución (‘no podrán afectar…’)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60/1986, de 20 de mayo, FJ 4; 182/1997, de 18 de octubre, FJ 6; 137/2003, de 3 de julio, FJ 6; 108/2004, de 30 de junio, FJ 7; y 189/2005, de 7 de julio, FJ 7). Posición que nos ha llevado a concluir que el decreto-ley “no puede alterar ni el régimen general ni los elementos esenciales del deber de contribuir” (SSTC 111/1983, de 2 de diciembre, FJ 8; 182/1997, de 18 de octubre, FJ 7; 137/2003, de 3 de julio, FJ 6; 108/2004, de 30 de junio, FJ 7; y 189/2005, de 7 de julio, FJ 7).</w:t>
      </w:r>
    </w:p>
    <w:p w:rsidR="00D06117" w:rsidRDefault="00D06117" w:rsidP="00D06117">
      <w:pPr>
        <w:pStyle w:val="TextoNormal"/>
      </w:pPr>
    </w:p>
    <w:p w:rsidR="00D06117" w:rsidRDefault="00D06117" w:rsidP="00D06117">
      <w:pPr>
        <w:pStyle w:val="TextoNormal"/>
      </w:pPr>
      <w:r>
        <w:t>Pues bien, el art. 31.1 CE “conecta el citado deber de contribuir con el criterio de la capacidad económica” y lo relaciona, a su vez, “no con cualquier figura tributaria en parti</w:t>
      </w:r>
      <w:r>
        <w:lastRenderedPageBreak/>
        <w:t>cular, sino con el conjunto del sistema tributario”, por lo que queda claro que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(SSTC 182/1997, de 18 de octubre, FJ 7; 137/2003, de 3 de julio, FJ 6; 108/2004, de 30 de junio, FJ 7; y 189/2005, de 7 de julio, FJ 7). De manera que vulnerará el art. 86 CE “cualquier intervención o innovación normativa que, por su entidad cualitativa o cuantitativa, altere sensiblemente la posición del obligado a contribuir según su capacidad económica en el conjunto del sistema tributario” (SSTC 182/1997, de 28 de octubre, FJ 7; 137/2003, de 3 de julio, FJ 6; 108/2004, de 30 de junio, FJ 7; y 189/2005, de 7 de julio, FJ 7). Por tanto,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de 28 de octubre, FJ 7; 137/2003, de 3 de julio, FJ 6; 108/2004, de 30 de junio, FJ 7; y 189/2005, de 7 de julio, FJ 7).</w:t>
      </w:r>
    </w:p>
    <w:p w:rsidR="00D06117" w:rsidRDefault="00D06117" w:rsidP="00D06117">
      <w:pPr>
        <w:pStyle w:val="TextoNormal"/>
      </w:pPr>
    </w:p>
    <w:p w:rsidR="00D06117" w:rsidRDefault="00D06117" w:rsidP="00D06117">
      <w:pPr>
        <w:pStyle w:val="TextoNormal"/>
      </w:pPr>
      <w:r>
        <w:t>A la luz de estas consideraciones, no cabe sino afirmar, junto con el Abogado del Estado y el Fiscal General del Estado, que la disposición adicional tercera del Real Decreto-ley 7/1993, de 21 de mayo, no vulnera el art. 86 CE por no afectar, ni siquiera indirectamente, al deber de contribuir al sostenimiento de los gastos públicos establecido en el art. 31.1 CE, por las razones siguientes. En primer lugar, porque la disposición cuestionada se limita a recoger una prórroga que viene autorizada por los Reglamentos (CEE) núms. 1911-1991 y 564-1993, del Consejo, respecto de un gravamen establecido y regulado por la Ley 30/1972, de 22 de julio, sobre régimen económico-fiscal de Canarias, por lo que difícilmente aquella disposición puede afectar al deber de contribuir en términos prohibidos por el art. 86.2 CE; en segundo lugar, porque aun admitiendo a los meros efectos dialécticos que el citado decreto-ley fuese quien, como consecuencia de la citada prórroga, estableciese el gravamen controvertido, en ningún caso afectaría tampoco al deber de contribuir por la naturaleza del tributo analizado, esto es, un tributo indirecto, instantáneo, objetivo y real que, lejos de configurarse como un tributo global sobre la renta o sobre el consumo, grava una específica manifestación de capacidad económica, para unas concretas mercancías y en una determinada parte del territorio nacional, lo que supone que por sus características, ni puede decirse que “repercuta sensiblemente en el criterio de reparto de la carga tributaria entre los contribuyentes”, ni tampoco puede afirmarse que a través de aquella tarifa se personalice “el reparto de la carga fiscal en nuestro sistema tributario según los criterios de capacidad económica, igualdad y progresividad” (STC 137/2003, de 3 de julio, FJ 7; y 108/2004, de 30 de junio, FJ 8).</w:t>
      </w:r>
    </w:p>
    <w:p w:rsidR="00D06117" w:rsidRDefault="00D06117" w:rsidP="00D06117">
      <w:pPr>
        <w:pStyle w:val="TextoNormal"/>
      </w:pPr>
    </w:p>
    <w:p w:rsidR="00D06117" w:rsidRDefault="00D06117" w:rsidP="00D06117">
      <w:pPr>
        <w:pStyle w:val="TextoNormal"/>
      </w:pPr>
      <w:r>
        <w:t>En consecuencia, la disposición adicional tercera del Real Decreto-ley 7/1993 no ha alterado “de manera relevante la presión fiscal que deben soportar los contribuyentes y, por consiguiente, no ha provocado un cambio sustancial de la posición de los ciudadanos en el conjunto del sistema tributario, de manera que no ha afectado a la esencia del deber constitucional de contribuir al sostenimiento de los gastos públicos que enuncia el art. 31.1 CE” (SSTC 137/2003, de 3 de julio, FJ 7; y 108/2004, de 30 de junio, FJ 8).</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10</w:t>
      </w:r>
      <w:r>
        <w:t>. En último lugar, imputa el órgano judicial también a la disposición adicional tercera del Real Decreto-ley 7/1993, de 21 de mayo, la vulneración del principio de seguridad jurídica enunciado en el art. 9.3 CE, al restablecer la vigencia de una tarifa que podía entenderse suprimida desde el día 1 de enero de 1993 con arreglo a lo dispuesto en el art. 6.3 del Protocolo núm. 2 del Acta de adhesión. El Abogado del Estado considera que no se ha producido dicha vulneración porque, de acuerdo con las propias palabras del órgano judicial, si la tarifa especial entró el vigor el día 12 de marzo de 1993, aplicándose los mismos tipos que estaban vigentes el último día de 1992, no puede sostenerse la existencia de una retroactividad contraria al citado precepto constitucional. Y de la misma opinión es el Fiscal General de Estado para quien no sólo la tarifa especial estaba vigente desde el día 12 de marzo de 1993, sino que su prórroga era previsible por haberlo así señalado el Reglamento (CEE) núm. 1911-1991.</w:t>
      </w:r>
    </w:p>
    <w:p w:rsidR="00D06117" w:rsidRDefault="00D06117" w:rsidP="00D06117">
      <w:pPr>
        <w:pStyle w:val="TextoNormal"/>
      </w:pPr>
    </w:p>
    <w:p w:rsidR="00D06117" w:rsidRDefault="00D06117" w:rsidP="00D06117">
      <w:pPr>
        <w:pStyle w:val="TextoNormal"/>
      </w:pPr>
      <w:r>
        <w:t>Tampoco esta vulneración resulta atendible, en la medida en que no puede apreciarse que la norma cuestionada contenga previsión retroactiva alguna que contraríe el principio de seguridad jurídica consagrado constitucionalmente en el art. 9.3 CE. En efecto, con relación al principio de seguridad jurídica hemos dicho insistentemente que viene a ser la suma de certeza y legalidad, jerarquía y publicidad normativa, irretroactividad de lo no favorable e interdicción de la arbitrariedad, equilibrada de tal suerte que permita promover, en el orden jurídico, la justicia y la igualdad, en libertad (SSTC 27/1981, de 20 de julio, FJ 10; 71/1982, de 30 de noviembre, FJ 4; 126/1987, de 16 de julio, FJ 7; 227/1988, de 29 de noviembre, FJ 10; 65/1990, de 5 de abril, FJ 6; 150/1990, de 4 de octubre, FJ 8; 173/1996, de 31 de octubre, FJ 3; 225/1998, de 25 de noviembre, FJ 2; y 90/2009, de 20 de abril, FJ 4). Es decir, la seguridad jurídica entendida como la certeza sobre la normativa jurídica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el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contenida en dicho texto infringiría el principio de seguridad jurídica (SSTC 150/1990, de 4 de octubre, FJ 8; 142/1993, de 22 de abril, FJ 4; 212/1996, de 19 de diciembre, FJ 15; 90/2009, de 20 de abril, FJ 4; y 136/2011, de 13 de septiembre, FJ 9). Y resulta evidente que la norma cuestionada no genera confusión o duda alguna acerca de la conducta exigible para su cumplimiento, ni tampoco genera incertidumbre alguna sobre sus efectos (pago de un tributo a una tarifa especial de las mercancías introducidas en las islas Canarias a partir del 12 de marzo de 1993).</w:t>
      </w:r>
    </w:p>
    <w:p w:rsidR="00D06117" w:rsidRDefault="00D06117" w:rsidP="00D06117">
      <w:pPr>
        <w:pStyle w:val="TextoNormal"/>
      </w:pPr>
    </w:p>
    <w:p w:rsidR="00D06117" w:rsidRDefault="00D06117" w:rsidP="00D06117">
      <w:pPr>
        <w:pStyle w:val="TextoNormal"/>
      </w:pPr>
      <w:r>
        <w:t xml:space="preserve">A lo anterior debe añadirse también que es doctrina reiterada de este Tribunal la de que el principio de irretroactividad de las leyes consagrado en el art. 9.3 de la Constitución concierne sólo a las sancionadoras no favorables y a las restrictivas de derechos individuales, en el sentido que hemos dado a esta expresión (SSTC 27/1981, de 20 de julio, FJ 10; 6/1983, de 4 de febrero, FJ 2; 150/1990, de 4 de octubre, FJ 8; 173/1996, de 31 de octubre, FJ 3; y 90/2009, de 20 de abril, FJ 4), a saber, que la “restricción de derechos individuales” ha de equipararse a la idea de sanción, por lo cual el límite de dicho artículo hay que considerarlo referido a las limitaciones introducidas en el ámbito de los derechos fundamentales y de las </w:t>
      </w:r>
      <w:r>
        <w:lastRenderedPageBreak/>
        <w:t>libertades públicas (del título I de la Constitución) o en la esfera general de protección de la persona (SSTC 42/1986, de 10 de abril, FJ 3; y 90/2009, de 20 de abril, FJ 4). Y es también doctrina consolidada de este Tribunal la de que el principio de seguridad jurídica no puede entenderse como un derecho de los ciudadanos al mantenimiento de un determinado régimen fiscal (SSTC 126/1987, de 16 de julio, FJ 11; y 116/2009, de 18 de mayo, FJ 3), aun cuando, eso sí, protege la confianza de los ciudadanos que ajustan su conducta económica a la legislación vigente frente a cambios normativos que no sean razonablemente previsibles, ya que la retroactividad posible de las normas no puede trascender la interdicción de la arbitrariedad (SSTC 150/1990, de 4 de octubre, FJ 8; 182/1997, de 28 de octubre, FJ 11; y 90/2009, de 20 de abril, FJ 4).</w:t>
      </w:r>
    </w:p>
    <w:p w:rsidR="00D06117" w:rsidRDefault="00D06117" w:rsidP="00D06117">
      <w:pPr>
        <w:pStyle w:val="TextoNormal"/>
      </w:pPr>
    </w:p>
    <w:p w:rsidR="00D06117" w:rsidRDefault="00D06117" w:rsidP="00D06117">
      <w:pPr>
        <w:pStyle w:val="TextoNormal"/>
      </w:pPr>
      <w:r>
        <w:t>En consecuencia, “aunque la retroactividad de las normas tributarias no está de forma total proscrita, sí puede tacharse de lesiva desde el punto de vista constitucional, cuando su articulación por el legislador vulnere alguno de los principios del art. 9.3 CE” (STC 234/2001, de 13 de diciembre, FJ 9). Y determinar cuándo una norma tributaria vulnera la seguridad jurídica de los ciudadanos es una cuestión que sólo puede resolverse caso por caso, teniendo en cuenta, de un lado, el grado de retroactividad de la norma y, de otro, las circunstancias que concurran en cada supuesto (SSTC 126/1987, de 16 de julio, FJ 11; 150/1990, de 4 de octubre, FJ 8; 197/1992, de 19 de noviembre, FJ 4; 173/1996, de 31 de octubre, FJ 3; 182/1997, de 28 de octubre, FJ 11; 234/2001, de 13 de diciembre, FJ 10; 89/2009, de 20 de abril, FJ 3; y 116/2009, de 18 de mayo, FJ 3).</w:t>
      </w:r>
    </w:p>
    <w:p w:rsidR="00D06117" w:rsidRDefault="00D06117" w:rsidP="00D06117">
      <w:pPr>
        <w:pStyle w:val="TextoNormal"/>
      </w:pPr>
    </w:p>
    <w:p w:rsidR="00D06117" w:rsidRDefault="00D06117" w:rsidP="00D06117">
      <w:pPr>
        <w:pStyle w:val="TextoNormal"/>
      </w:pPr>
      <w:r>
        <w:t>En el presente caso, tampoco desde esta perspectiva existe quiebra alguna de la confianza de los ciudadanos, pues nos encontramos ante una disposición normativa que concreta un determinado régimen jurídico prospectivamente y no de forma retroactiva como sostiene el órgano judicial. En efecto, la disposición adicional tercera cuestionada señala que “[a] partir de la entrada en vigor de la prórroga de la Tarifa Especial del Arbitrio Insular a la Entrada de Mercancías prevista en el artículo 6.4 del Reglamento (CEE) número 1.911/91 del Consejo, de 26 de junio, dicha Tarifa Especial se exigirá a los mismos tipos impositivos que los vigentes el 31 de diciembre de 1992; todo ello en los términos establecidos en el Reglamento (CEE) número 564/93 del Consejo, de 8 de marzo”.</w:t>
      </w:r>
    </w:p>
    <w:p w:rsidR="00D06117" w:rsidRDefault="00D06117" w:rsidP="00D06117">
      <w:pPr>
        <w:pStyle w:val="TextoNormal"/>
      </w:pPr>
    </w:p>
    <w:p w:rsidR="00D06117" w:rsidRDefault="00D06117" w:rsidP="00D06117">
      <w:pPr>
        <w:pStyle w:val="TextoNormal"/>
      </w:pPr>
      <w:r>
        <w:t>El estudio del precepto hace necesario distinguir la entrada en vigor de dos normas distintas: de un lado, el Reglamento (CEE) 564/93 del Consejo, que es el que dispone la prórroga de la tarifa especial, cuya entrada en vigor se produjo “el día de su publicación en el Diario Oficial de las Comunidades Europeas” (art. 2, párrafo primero) es decir, el día 12 de marzo de 1993, precepto este que añadía en su párrafo segundo que “el presente Reglamento es obligatorio, en todos sus elementos y directamente aplicable en cada Estado miembro”. Y, de otro lado, el Real Decreto-ley 7/1993, que entró en vigor “el día de su publicación en el Boletín Oficial del Estado” (disposición final única), esto es, el día 27 de mayo de 1993, “en los términos establecidos en el Reglamento (CEE) número 564/93 del Consejo, de 8 de marzo” (disposición adicional tercera), esto es, desde el 12 de marzo anterior.</w:t>
      </w:r>
    </w:p>
    <w:p w:rsidR="00D06117" w:rsidRDefault="00D06117" w:rsidP="00D06117">
      <w:pPr>
        <w:pStyle w:val="TextoNormal"/>
      </w:pPr>
    </w:p>
    <w:p w:rsidR="00D06117" w:rsidRDefault="00D06117" w:rsidP="00D06117">
      <w:pPr>
        <w:pStyle w:val="TextoNormal"/>
      </w:pPr>
      <w:r>
        <w:t>Así pues, desde el 12 de marzo de 1993 el arbitrio insular —tarifa especial— era directamente aplicable y obligatorio en todos sus elementos, con unos tipos impositivos cuya concreción se hizo por el Real Decreto-ley 7/1993, razón por la cual no estamos ante ningún supuesto de retroactividad contraria al art. 9.3 CE, sino ante un caso de inexistencia de norma aplicable desde el día 1 de enero hasta el día 11 de marzo de 1993.</w:t>
      </w:r>
    </w:p>
    <w:p w:rsidR="00D06117" w:rsidRDefault="00D06117" w:rsidP="00D06117">
      <w:pPr>
        <w:pStyle w:val="TextoNormal"/>
      </w:pPr>
    </w:p>
    <w:p w:rsidR="00D06117" w:rsidRDefault="00D06117" w:rsidP="00D06117">
      <w:pPr>
        <w:pStyle w:val="TextoNormal"/>
      </w:pPr>
      <w:r>
        <w:t>Debe rechazarse, pues, esta última vulneración invocada por el órgano judicial.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ocho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4" w:name="SENTENCIA_2012_101"/>
      <w:r>
        <w:lastRenderedPageBreak/>
        <w:t>SENTENCIA 101/2012, de 8 de mayo de 2012</w:t>
      </w:r>
    </w:p>
    <w:bookmarkEnd w:id="10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ECLI:ES:TC:2012:101</w:t>
      </w:r>
    </w:p>
    <w:p w:rsidR="00D06117" w:rsidRDefault="00D06117" w:rsidP="00D06117">
      <w:pPr>
        <w:pStyle w:val="SntesisDescriptiva"/>
      </w:pPr>
    </w:p>
    <w:p w:rsidR="00D06117" w:rsidRDefault="00D06117" w:rsidP="00D06117">
      <w:pPr>
        <w:pStyle w:val="SntesisDescriptiva"/>
      </w:pPr>
      <w:r>
        <w:t>Cuestión de inconstitucionalidad 4246-2001. Planteada por el Juzgado de lo penal núm. 6 de Granada en relación con el artículo 335 del Código penal.</w:t>
      </w:r>
    </w:p>
    <w:p w:rsidR="00D06117" w:rsidRDefault="00D06117" w:rsidP="00D06117">
      <w:pPr>
        <w:pStyle w:val="SntesisDescriptiva"/>
      </w:pPr>
    </w:p>
    <w:p w:rsidR="00D06117" w:rsidRDefault="00D06117" w:rsidP="00D06117">
      <w:pPr>
        <w:pStyle w:val="SntesisAnaltica"/>
      </w:pPr>
      <w:r>
        <w:t>Principio de seguridad jurídica, derecho a la legalidad penal: nulidad de la tipificación, excesivamente abierta e indefinida, del delito de caza y pesca no autorizada.</w:t>
      </w:r>
    </w:p>
    <w:p w:rsidR="00D06117" w:rsidRDefault="00D06117" w:rsidP="00D06117">
      <w:pPr>
        <w:pStyle w:val="SntesisAnaltica"/>
      </w:pPr>
    </w:p>
    <w:p w:rsidR="00D06117" w:rsidRDefault="00D06117" w:rsidP="00D06117">
      <w:pPr>
        <w:pStyle w:val="Extracto"/>
      </w:pPr>
      <w:r>
        <w:t>1.</w:t>
      </w:r>
      <w:r>
        <w:tab/>
        <w:t>La norma penal cuestionada vulnera la garantía formal del principio de legalidad penal al no contener el núcleo esencial de la prohibición penal, toda vez que remite la determinación de las especies cinegéticas no expresamente autorizadas para la caza a las normas específicas en la materia, de modo que es el Gobierno, a través de normas reglamentarias, y no el Parlamento, el que, en forma independiente y no subordinada a la ley, define libremente la conducta típica (STC 24/2004) [FJ 5].</w:t>
      </w:r>
    </w:p>
    <w:p w:rsidR="00D06117" w:rsidRDefault="00D06117" w:rsidP="00D06117">
      <w:pPr>
        <w:pStyle w:val="Extracto"/>
      </w:pPr>
    </w:p>
    <w:p w:rsidR="00D06117" w:rsidRDefault="00D06117" w:rsidP="00D06117">
      <w:pPr>
        <w:pStyle w:val="Extracto"/>
      </w:pPr>
      <w:r>
        <w:t>2.</w:t>
      </w:r>
      <w:r>
        <w:tab/>
        <w:t>La norma penal cuestionada vulnera la garantía formal del principio de legalidad penal al no contener ninguna exigencia específica de lesión o puesta en peligro del bien jurídico protegido –la fauna silvestre– que sirva para precisar tal prohibición y cualificar, entre las acciones abstractas que identifica –cazar o pescar–, las que por ese motivo merecen reproche penal (STC 34/2005) [FJ 5].</w:t>
      </w:r>
    </w:p>
    <w:p w:rsidR="00D06117" w:rsidRDefault="00D06117" w:rsidP="00D06117">
      <w:pPr>
        <w:pStyle w:val="Extracto"/>
      </w:pPr>
    </w:p>
    <w:p w:rsidR="00D06117" w:rsidRDefault="00D06117" w:rsidP="00D06117">
      <w:pPr>
        <w:pStyle w:val="Extracto"/>
      </w:pPr>
      <w:r>
        <w:t>3.</w:t>
      </w:r>
      <w:r>
        <w:tab/>
        <w:t>El precepto penal cuestionado no satisface la exigencia de certeza a que obliga el principio de legalidad penal, ex art. 25.1 CE, toda vez que, incluso integrado con las normas extrapenales o reglamentarias específicas a las que se remite, no permite identificar con la necesaria y suficiente precisión la conducta delictiva que tipifica [FJ 6].</w:t>
      </w:r>
    </w:p>
    <w:p w:rsidR="00D06117" w:rsidRDefault="00D06117" w:rsidP="00D06117">
      <w:pPr>
        <w:pStyle w:val="Extracto"/>
      </w:pPr>
    </w:p>
    <w:p w:rsidR="00D06117" w:rsidRDefault="00D06117" w:rsidP="00D06117">
      <w:pPr>
        <w:pStyle w:val="Extracto"/>
      </w:pPr>
      <w:r>
        <w:t>4.</w:t>
      </w:r>
      <w:r>
        <w:tab/>
        <w:t>La tipificación como delictivas de todas las conductas de caza que no estén expresamente autorizadas, aunque no estén tampoco expresamente prohibidas, crea un amplísimo espacio de inseguridad jurídica, incompatible con la exigencia constitucional de certeza [FJ 6].</w:t>
      </w:r>
    </w:p>
    <w:p w:rsidR="00D06117" w:rsidRDefault="00D06117" w:rsidP="00D06117">
      <w:pPr>
        <w:pStyle w:val="Extracto"/>
      </w:pPr>
    </w:p>
    <w:p w:rsidR="00D06117" w:rsidRDefault="00D06117" w:rsidP="00D06117">
      <w:pPr>
        <w:pStyle w:val="Extracto"/>
      </w:pPr>
      <w:r>
        <w:t>5.</w:t>
      </w:r>
      <w:r>
        <w:tab/>
        <w:t>La garantía de orden formal del principio de legalidad penal, obliga a que sea una norma con rango de ley la que defina las conductas delictivas y señale las penas correspondientes, lo que no impide la existencia constitucionalmente admisible de leyes penales en blanco que no describen agotadoramente la correspondiente conducta o su consecuencia jurídico-penal, sino que se remiten a otras normas, que pueden ser incluso de carácter reglamentario, siempre que cumplan las exigencias que impone el art. 25.1 CE (STC 283/2006) [FJ 3].</w:t>
      </w:r>
    </w:p>
    <w:p w:rsidR="00D06117" w:rsidRDefault="00D06117" w:rsidP="00D06117">
      <w:pPr>
        <w:pStyle w:val="Extracto"/>
      </w:pPr>
    </w:p>
    <w:p w:rsidR="00D06117" w:rsidRDefault="00D06117" w:rsidP="00D06117">
      <w:pPr>
        <w:pStyle w:val="Extracto"/>
      </w:pPr>
      <w:r>
        <w:t>6.</w:t>
      </w:r>
      <w:r>
        <w:tab/>
        <w:t xml:space="preserve">Para que la remisión a normas extrapenales sea constitucionalmente admisible: el reenvío normativo debe ser expreso y estar justificado en razón del bien jurídico </w:t>
      </w:r>
      <w:r>
        <w:lastRenderedPageBreak/>
        <w:t>protegido por la norma penal; la ley remisora, además de señalar la pena, debe contener el núcleo esencial de la prohibición; y la conducta calificada de delictiva debe quedar suficientemente precisada con el complemento indispensable de la norma a la que la ley penal se remite, de forma que resulte salvaguardada la función de garantía de tipo con la posibilidad de conocimiento de la actuación penalmente conminada (STC 127/1990) [FJ 3].</w:t>
      </w:r>
    </w:p>
    <w:p w:rsidR="00D06117" w:rsidRDefault="00D06117" w:rsidP="00D06117">
      <w:pPr>
        <w:pStyle w:val="Extracto"/>
      </w:pPr>
    </w:p>
    <w:p w:rsidR="00D06117" w:rsidRDefault="00D06117" w:rsidP="00D06117">
      <w:pPr>
        <w:pStyle w:val="Extracto"/>
      </w:pPr>
      <w:r>
        <w:t>7.</w:t>
      </w:r>
      <w:r>
        <w:tab/>
        <w:t>La garantía de carácter material del principio de legalidad penal se traduce en la exigencia absoluta de la predeterminación normativa de las conductas ilícitas y de las sanciones correspondientes mediante una tipificación lo más precisa y taxativa posible en la descripción que incorpora para que, de este modo, los ciudadanos puedan conocer de antemano el ámbito de lo prohibido y prever, así, las consecuencias de sus acciones (STC 283/200) [FJ 3].</w:t>
      </w:r>
    </w:p>
    <w:p w:rsidR="00D06117" w:rsidRDefault="00D06117" w:rsidP="00D06117">
      <w:pPr>
        <w:pStyle w:val="Extracto"/>
      </w:pPr>
    </w:p>
    <w:p w:rsidR="00D06117" w:rsidRDefault="00D06117" w:rsidP="00D06117">
      <w:pPr>
        <w:pStyle w:val="Extracto"/>
      </w:pPr>
      <w:r>
        <w:t>8.</w:t>
      </w:r>
      <w:r>
        <w:tab/>
        <w:t>Doctrina sobre las garantías formales y materiales del principio de legalidad penal (SSTC 127/1990, 283/2006)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doña Adela Asua Batarrita, don Luis Ortega Álvarez y don Francisco Pérez de los Cobos,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de inconstitucionalidad núm. 4246-2001, planteada por el Juzgado de lo penal núm. 6 de Granada, en relación con el art. 335 del Código penal, por posible vulneración de los arts. 9.3 y 25.1 CE. Han formulado alegaciones el Abogado del Estado y el Fiscal General del Estado y se ha personado el Senado. Ha sido Ponente el Presidente don Pascual Sala Sánchez,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24 de julio de 2001 tuvo entrada en el Registro General de este Tribunal un escrito del Juzgado de lo Penal núm. 6 de Granada al que se acompaña, junto con el testimonio del procedimiento de juicio oral núm. 197-2001 (dimanante del procedimiento abreviado núm. 2-2000), el Auto de 12 de julio de 2001, en el que se acuerda plantear cuestión de inconstitucionalidad en relación con el art. 335 del Código penal, por posible vulneración de los arts. 9.3 y 25.1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de la presente cuestión son los siguientes:</w:t>
      </w:r>
    </w:p>
    <w:p w:rsidR="00D06117" w:rsidRDefault="00D06117" w:rsidP="00D06117">
      <w:pPr>
        <w:pStyle w:val="TextoNormal"/>
      </w:pPr>
    </w:p>
    <w:p w:rsidR="00D06117" w:rsidRDefault="00D06117" w:rsidP="00D06117">
      <w:pPr>
        <w:pStyle w:val="TextoNormal"/>
      </w:pPr>
      <w:r>
        <w:t>a) El 7 de noviembre de 1999 agentes del Servicio de protección de la naturaleza de la Guardia Civil detuvieron en el paraje conocido como “El Cañón” del término municipal de Motril (Granada) a don Manuel Sánchez Rubiño y a don Juan Cortés Santiago mientras cazaban pájaros con reclamo y la ayuda de una red abatible de unos cinco metros de longitud, careciendo de la preceptiva autorización administrativa para hacerlo, siéndoles intervenidos en el momento de su detención cinco jilgueros y dos verderones.</w:t>
      </w:r>
    </w:p>
    <w:p w:rsidR="00D06117" w:rsidRDefault="00D06117" w:rsidP="00D06117">
      <w:pPr>
        <w:pStyle w:val="TextoNormal"/>
      </w:pPr>
    </w:p>
    <w:p w:rsidR="00D06117" w:rsidRDefault="00D06117" w:rsidP="00D06117">
      <w:pPr>
        <w:pStyle w:val="TextoNormal"/>
      </w:pPr>
      <w:r>
        <w:t>En las diligencias policiales consta textualmente anotado que las citadas aves “no figuran entre las catalogadas como piezas de caza por el Real Decreto 1095/1989, de 8 de septiembre, por el que se declaran las especies objeto de caza y pesca y se establecen normas para su protección, si bien no son tampoco especies amenazadas, según el Real Decreto 439/1990, de 30 de marzo, por el que se regula el Catálogo Nacional de Especies Amenazadas”.</w:t>
      </w:r>
    </w:p>
    <w:p w:rsidR="00D06117" w:rsidRDefault="00D06117" w:rsidP="00D06117">
      <w:pPr>
        <w:pStyle w:val="TextoNormal"/>
      </w:pPr>
    </w:p>
    <w:p w:rsidR="00D06117" w:rsidRDefault="00D06117" w:rsidP="00D06117">
      <w:pPr>
        <w:pStyle w:val="TextoNormal"/>
      </w:pPr>
      <w:r>
        <w:t>b) Por este motivo el Juzgado de Instrucción núm. 4 de Motril tramitó diligencias previas (núm. 1094-1999) y, con fecha 10 de enero de 2000, dictó Auto acordando su continuación por los trámites del procedimiento abreviado (núm. 2-2000) por si los hechos considerados fueren constitutivos de un delito contra la fauna del art. 335 del Código penal (“El que cace o pesque especies distintas a las indicadas en el artículo anterior, no estando expresamente autorizada su caza o pesca por las normas específicas en la materia, será castigado con la pena de multa de cuatro a ocho meses”). Formulada acusación por el Ministerio Fiscal, el Juzgado de instrucción, por nuevo Auto de 24 de mayo de 2000, acordó la apertura del correspondiente juicio oral.</w:t>
      </w:r>
    </w:p>
    <w:p w:rsidR="00D06117" w:rsidRDefault="00D06117" w:rsidP="00D06117">
      <w:pPr>
        <w:pStyle w:val="TextoNormal"/>
      </w:pPr>
    </w:p>
    <w:p w:rsidR="00D06117" w:rsidRDefault="00D06117" w:rsidP="00D06117">
      <w:pPr>
        <w:pStyle w:val="TextoNormal"/>
      </w:pPr>
      <w:r>
        <w:t>c) Remitidas las actuaciones al Juzgado de lo Penal núm. 6 de Granada (rollo 197-2001), una vez conclusas y dentro del plazo para dictar Sentencia, el citado Juzgado, por providencia de 21 de junio de 2001, acordó, de conformidad con lo previsto en el art. 35.2 de la Ley Orgánica del Tribunal Constitucional (LOTC), conceder a las partes y al Ministerio Fiscal plazo común de diez días para que formularan alegaciones sobre la pertinencia de plantear cuestión de inconstitucionalidad respecto del art. 335 del Código penal (CP) por su posible contradicción con los arts. 9.3 y 25.1 CE.</w:t>
      </w:r>
    </w:p>
    <w:p w:rsidR="00D06117" w:rsidRDefault="00D06117" w:rsidP="00D06117">
      <w:pPr>
        <w:pStyle w:val="TextoNormal"/>
      </w:pPr>
    </w:p>
    <w:p w:rsidR="00D06117" w:rsidRDefault="00D06117" w:rsidP="00D06117">
      <w:pPr>
        <w:pStyle w:val="TextoNormal"/>
      </w:pPr>
      <w:r>
        <w:t>d) El Ministerio Fiscal por escrito de 22 de junio de 2001 se opuso al planteamiento de la cuestión por considerar, bien que sin ninguna motivación, que no existían motivos para hacerlo. Por su parte, la representación del acusado don Manuel Sánchez Rubiño, mediante escrito de 5 de julio de 2001, manifestó su opinión favorable al planteamiento de la cuestión anunciada por considerar que el art. 335 CP vulnera el principio de legalidad penal del art. 25.1 CE en su doble vertiente de garantía de carácter formal o de reserva de ley, y de carácter material o de seguridad jurídica. La representación procesal del otro acusado, don Juan Cortés Santiago, no presentó alegaciones.</w:t>
      </w:r>
    </w:p>
    <w:p w:rsidR="00D06117" w:rsidRDefault="00D06117" w:rsidP="00D06117">
      <w:pPr>
        <w:pStyle w:val="TextoNormal"/>
      </w:pPr>
    </w:p>
    <w:p w:rsidR="00D06117" w:rsidRDefault="00D06117" w:rsidP="00D06117">
      <w:pPr>
        <w:pStyle w:val="TextoNormal"/>
      </w:pPr>
      <w:r>
        <w:t>e) Con fecha 12 de julio de 2001, el órgano judicial dictó Auto planteando la presente cuestión de inconstitucionalidad en relación con el art. 335 CP por posible vulneración de los arts. 9.3 y 25.1 CE.</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su Auto de planteamiento, el órgano judicial, después de justificar el cumplimiento de los requisitos del art. 35.2 LOTC, considera que el art. 335 CP podría efectivamente </w:t>
      </w:r>
      <w:r>
        <w:lastRenderedPageBreak/>
        <w:t>vulnerar los principios de seguridad jurídica y legalidad penal de los arts. 9.3 y 25.1 CE. Sirviéndose de la Sentencia del Tribunal Supremo de 8 de febrero de 2000, a la que se remite in totum, el órgano promotor argumenta, en primer término, que el citado precepto legal encierra en realidad una norma penal totalmente en blanco que no contiene el núcleo esencial de la prohibición. De hecho, añade, la acción que tipifica (cazar o pescar) es, en sí misma, jurídicamente neutra y tiene también un objeto igualmente neutro (especies animales que no están en peligro de extinción ni tampoco amenazadas) que no reclama en consecuencia una tutela específica, máxime cuando el tipo penal considerado no exige la lesión o puesta en peligro del bien jurídico protegido que pudiera coadyuvar a precisar mejor el núcleo del injusto, al modo de lo que hacen por su parte los arts. 325 o 333 CP.</w:t>
      </w:r>
    </w:p>
    <w:p w:rsidR="00D06117" w:rsidRDefault="00D06117" w:rsidP="00D06117">
      <w:pPr>
        <w:pStyle w:val="TextoNormal"/>
      </w:pPr>
    </w:p>
    <w:p w:rsidR="00D06117" w:rsidRDefault="00D06117" w:rsidP="00D06117">
      <w:pPr>
        <w:pStyle w:val="TextoNormal"/>
      </w:pPr>
      <w:r>
        <w:t>En segundo lugar, el órgano judicial promotor considera que esa remisión a “normas administrativas específicas” quiebra las mínimas exigencias constitucionales de certeza, sobre todo por la anómala fórmula de tipificación que utiliza el precepto penal cuestionado al consagrar como delictivas todas las conductas de caza y pesca que no estén expresamente autorizadas, aunque no estén tampoco expresamente prohibidas, con la consecuente creación de un amplísimo espacio de inseguridad jurídica que no puede ser paliado ni corregido mediante interpretaciones restrictivas de los supuestos límites y contrarios al sentido común a que en muchas ocasiones conduce el desmesurado ámbito literal de aplicación del precepto cuestionado.</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fecha 30 de octubre de 2001, la Sección Segunda del Pleno de este Tribunal acordó admitir a trámite la cuestión planteada y, de conformidad con el art. 37.2 LOTC, dar traslado de las actuaciones recibidas al Congreso de los Diputados y al Senado, por conducto de sus Presidentes, al Gobierno, por conducto del Ministerio de Justicia, y al Fiscal General del Estado para que, en el plazo de quince días, pudieran personarse en el proceso y formular las alegaciones que estimen convenientes.</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el 16 de noviembre de 2001, la Presidenta del Congreso de los Diputados comunicó el acuerdo de la Mesa de la Cámara de no personarse ni formular alegaciones en el presente proceso constitucional, poniendo a disposición del Tribunal las actuaciones que pudiera precisar.</w:t>
      </w:r>
    </w:p>
    <w:p w:rsidR="00D06117" w:rsidRDefault="00D06117" w:rsidP="00D06117">
      <w:pPr>
        <w:pStyle w:val="TextoNormal"/>
      </w:pPr>
    </w:p>
    <w:p w:rsidR="00D06117" w:rsidRDefault="00D06117" w:rsidP="00D06117">
      <w:pPr>
        <w:pStyle w:val="TextoNormal"/>
      </w:pPr>
      <w:r w:rsidRPr="00D06117">
        <w:rPr>
          <w:rStyle w:val="NumeroAFNegritaCaracter"/>
        </w:rPr>
        <w:t>6</w:t>
      </w:r>
      <w:r>
        <w:t>. Por escrito registrado el 22 de noviembre de 2001 el Abogado del Estado se personó en nombre del Gobierno en el presente proceso constitucional y formuló las alegaciones que seguidamente se resumen.</w:t>
      </w:r>
    </w:p>
    <w:p w:rsidR="00D06117" w:rsidRDefault="00D06117" w:rsidP="00D06117">
      <w:pPr>
        <w:pStyle w:val="TextoNormal"/>
      </w:pPr>
    </w:p>
    <w:p w:rsidR="00D06117" w:rsidRDefault="00D06117" w:rsidP="00D06117">
      <w:pPr>
        <w:pStyle w:val="TextoNormal"/>
      </w:pPr>
      <w:r>
        <w:t>El Abogado del Estado comienza advirtiendo la apreciable diferencia que existe entre cazar o pescar especies expresamente no autorizadas, que es lo que sanciona el art. 335 CP cuestionado, y cazar o pescar especies autorizadas careciendo de la oportuna licencia o contraviniendo sus condiciones o límites, que es por su parte el supuesto enjuiciado por la Sentencia del Tribunal Supremo de 8 de febrero de 2000, y a la que el órgano judicial promotor se remite in totum para justificar sus dudas de constitucionalidad. Por esta razón, el Abogado del Estado considera que las dudas de constitucionalidad que entonces expresaba la citada Sentencia respecto del citado precepto penal tomaban pie en la pretendida e indebida aplicación del art. 335 CP al supuesto entonces examinado y que, por tanto, no sirven para fundar la cuestión planteada en el presente proceso constitucional.</w:t>
      </w:r>
    </w:p>
    <w:p w:rsidR="00D06117" w:rsidRDefault="00D06117" w:rsidP="00D06117">
      <w:pPr>
        <w:pStyle w:val="TextoNormal"/>
      </w:pPr>
    </w:p>
    <w:p w:rsidR="00D06117" w:rsidRDefault="00D06117" w:rsidP="00D06117">
      <w:pPr>
        <w:pStyle w:val="TextoNormal"/>
      </w:pPr>
      <w:r>
        <w:t>A continuación discrepa de la tacha de absoluta indeterminación que el Auto de planteamiento reprocha al art. 335 CP, toda vez que ese reproche parte de un entendimiento del mismo injustificadamente muy amplio, en cuanto que equivalente a la prohibición de cazar cualquier especie zoológica que no esté expresamente autorizada, de modo que por hipótesis habilitaría su aplicación —ciertamente absurda— a la caza, por ejemplo, de roedores o de insectos. En su opinión, correctamente interpretado, el núcleo de la prohibición que establece el precepto penal cuestionado no es difícil de determinar y consiste, en el caso considerado en el proceso judicial a quo, en la prohibición general de cazar todo tipo de aves, salvo las expresa y nominativamente autorizadas por las normas específicas, de modo que basta con acudir a la lista correspondiente para comprobar si el ave de que se trate es o no objeto de caza. En consecuencia, frente a lo que sugiere el Auto de planteamiento, en esta materia no hay indefinición ni existe la categoría mixta de conductas no expresamente autorizadas pero tampoco expresamente prohibidas.</w:t>
      </w:r>
    </w:p>
    <w:p w:rsidR="00D06117" w:rsidRDefault="00D06117" w:rsidP="00D06117">
      <w:pPr>
        <w:pStyle w:val="TextoNormal"/>
      </w:pPr>
    </w:p>
    <w:p w:rsidR="00D06117" w:rsidRDefault="00D06117" w:rsidP="00D06117">
      <w:pPr>
        <w:pStyle w:val="TextoNormal"/>
      </w:pPr>
      <w:r>
        <w:t>Finalmente, el hecho de que las correspondientes listas de especies prohibidas o autorizadas se contengan en normas de carácter puramente reglamentario no vulnera tampoco a su juicio el principio de legalidad penal del art. 25.1 CE. Principalmente, entre otras razones, porque, dada la complejidad de la materia, es perfectamente lógico que las listas de especies prohibidas se incluyan en normas de carácter reglamentario con la finalidad de poder resolver con la necesaria agilidad acerca de la caza de ciertas especies ante amenazas de disminución repentina o grave, para de este modo “actualizar en momentos determinados una prohibición que la Ley ha juzgado necesaria de una manera general”.</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el 14 de noviembre de 2001 la Presidenta del Senado comunicó que la Mesa de la Cámara acordó personarse en el presente proceso constitucional y dar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8</w:t>
      </w:r>
      <w:r>
        <w:t>. El día 3 de diciembre de 2001, el Fiscal General del Estado presentó sus alegaciones. Luego de centrar la cuestión planteada, y que cifra en determinar si la norma penal cuestionada contiene el núcleo esencial de la prohibición y cumple con las exigencias de certeza que impone el necesario respeto del principio de legalidad penal del art. 25.1 CE, y de recordar también las normas específicas en la materia a las que se remite el art. 335 CP cuestionado para describir la conducta que tipifica (y que incluyen directivas comunitarias, leyes estatales y autonómicas, así como reglamentos), el Fiscal General del Estado considera, en síntesis, que “el supuesto de hecho de la norma penal aplicable está descrito con la necesaria claridad, no existiendo, en principio indefinición”, toda vez que, con arreglo a esas misma normas específicas, no hay duda de que constituye infracción penal la caza de cualquier animal silvestre que no esté autorizada, “sin que quepa confundirse la certeza de la prohibición, con el hecho de que la normativa sea compleja y se halle establecida en los distintos cuerpos legales de diverso orden jerárquico, todo lo cual no resta un ápice a la máxima incontestable de la prohibición genérica y terminante de caza de cualquier animal silvestre, salvo que esté expresamente autorizada, y “cuya concreta relación no puede obviamente contenerse en un precepto del código penal, mereciendo sólo una genérica remisión a la normativa correspondiente”.</w:t>
      </w:r>
    </w:p>
    <w:p w:rsidR="00D06117" w:rsidRDefault="00D06117" w:rsidP="00D06117">
      <w:pPr>
        <w:pStyle w:val="TextoNormal"/>
      </w:pPr>
    </w:p>
    <w:p w:rsidR="00D06117" w:rsidRDefault="00D06117" w:rsidP="00D06117">
      <w:pPr>
        <w:pStyle w:val="TextoNormal"/>
      </w:pPr>
      <w:r>
        <w:t xml:space="preserve">En consecuencia, el Fiscal concluye que el precepto penal cuestionado satisface los requisitos exigidos por la doctrina constitucional en materia de leyes penales en blanco ex </w:t>
      </w:r>
      <w:r>
        <w:lastRenderedPageBreak/>
        <w:t>principio de legalidad del art. 25.1 CE, a saber: “el reenvío expreso, la comprensión del núcleo esencial de la prohibición y, en fin, la necesaria certeza y concreción de la norma remitida”, por lo que interesa la desestimación de la cuestión planteada.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8 de mayo de 2012 se acordó señalar para deliberación y votación de la presente Sentencia el día 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Juzgado de lo Penal núm. 6 de Granada cuestiona la constitucionalidad del art. 335 Código penal (CP), en la redacción de la Ley Orgánica 10/1995, de 23 de noviembre, porque considera que ese precepto es una norma penal totalmente en blanco que no contiene, según es siempre constitucionalmente obligado, el núcleo esencial de la prohibición y efectúa, además, una remisión a normas administrativas específicas que vulneran los principios de seguridad jurídica y de legalidad penal de los arts. 9.3 y 25.1 CE.</w:t>
      </w:r>
    </w:p>
    <w:p w:rsidR="00D06117" w:rsidRDefault="00D06117" w:rsidP="00D06117">
      <w:pPr>
        <w:pStyle w:val="TextoNormal"/>
      </w:pPr>
    </w:p>
    <w:p w:rsidR="00D06117" w:rsidRDefault="00D06117" w:rsidP="00D06117">
      <w:pPr>
        <w:pStyle w:val="TextoNormal"/>
      </w:pPr>
      <w:r w:rsidRPr="00D06117">
        <w:rPr>
          <w:rStyle w:val="NumeroAFNegritaCaracter"/>
        </w:rPr>
        <w:t>2</w:t>
      </w:r>
      <w:r>
        <w:t>. Perfilado el objeto del proceso, importa advertir que, con posterioridad al planteamiento y tramitación de la presente cuestión, el precepto penal cuestionado fue modificado por la Ley Orgánica 15/2003, de 25 de noviembre, cuyo art. único, centésimo vigésimo cuarto, da nueva redacción al citado art. 335.1 CP, de modo que a partir de entonces tiene el siguiente tenor:</w:t>
      </w:r>
    </w:p>
    <w:p w:rsidR="00D06117" w:rsidRDefault="00D06117" w:rsidP="00D06117">
      <w:pPr>
        <w:pStyle w:val="TextoNormal"/>
      </w:pPr>
    </w:p>
    <w:p w:rsidR="00D06117" w:rsidRDefault="00D06117" w:rsidP="00D06117">
      <w:pPr>
        <w:pStyle w:val="TextoNormal"/>
      </w:pPr>
      <w:r>
        <w:t>“El que cace o pesque especies distintas de las indicadas en el artículo anterior [relativo a la caza o pesca de especies protegidas], cuando esté expresamente prohibido por las normas específicas sobre su caza o pesca, será castigado con la pena de multa de ocho a doce meses e inhabilitación especial para el ejercicio del derecho de cazar o pescar por tiempo de dos a cinco años.”</w:t>
      </w:r>
    </w:p>
    <w:p w:rsidR="00D06117" w:rsidRDefault="00D06117" w:rsidP="00D06117">
      <w:pPr>
        <w:pStyle w:val="TextoNormal"/>
      </w:pPr>
    </w:p>
    <w:p w:rsidR="00D06117" w:rsidRDefault="00D06117" w:rsidP="00D06117">
      <w:pPr>
        <w:pStyle w:val="TextoNormal"/>
      </w:pPr>
      <w:r>
        <w:t>Esta circunstancia nos obliga a comprobar en este momento la posible pérdida sobrevenida del objeto de la presente cuestión de inconstitucionalidad, pues, aun cuando esta causa no sea una de las que el art. 86.1 de la Ley Orgánica del Tribunal Constitucional señala como una de las causas de terminación extraordinaria de los distintos procesos constitucionales, no hay duda de que esa circunstancia puede provocar igualmente la conclusión del proceso constitucional y sin que sea necesario, por tanto, un pronunciamiento sobre el reproche de constitucionalidad planteado, habida cuenta de la posibilidad de que las alteraciones sobrevenidas que se produzcan durante la tramitación del proceso constitucional en la relevancia de la norma terminen por afectar a la subsistencia de la propia cuestión planteada (últimamente STC 6/2010, de 14 de abril, y AATC 311/2007, de 19 de junio, FJ único; y 29/2009, de 27 de enero, FJ 1).</w:t>
      </w:r>
    </w:p>
    <w:p w:rsidR="00D06117" w:rsidRDefault="00D06117" w:rsidP="00D06117">
      <w:pPr>
        <w:pStyle w:val="TextoNormal"/>
      </w:pPr>
    </w:p>
    <w:p w:rsidR="00D06117" w:rsidRDefault="00D06117" w:rsidP="00D06117">
      <w:pPr>
        <w:pStyle w:val="TextoNormal"/>
      </w:pPr>
      <w:r>
        <w:t xml:space="preserve">Ciertamente, en el presente, no cabe descartar que, en virtud de la citada modificación legal, la norma penal cuestionada haya dejado de ser relevante para la resolución del proceso judicial del que trae causa la presente cuestión de inconstitucionalidad, al no poder resolver ya el órgano judicial mediante la aplicación del art. 335 CP en su redacción entonces vigente, sino con arreglo a la nueva redacción introducida por Ley Orgánica 15/2003, como consecuencia de la forzosa aplicación del principio de retroactividad de la ley penal más favorable que con carácter general sienta el art. 2.2 del Código Penal y, de modo particular, </w:t>
      </w:r>
      <w:r>
        <w:lastRenderedPageBreak/>
        <w:t>establece la disposición transitoria primera de la propia Ley Orgánica 15/2003, cuando dispone que se aplicará la nueva ley “una vez que entre en vigor, si las disposiciones de la misma son más favorables para el reo, aunque los hechos hubieran sido cometidos con anterioridad a su entrada en vigor”.</w:t>
      </w:r>
    </w:p>
    <w:p w:rsidR="00D06117" w:rsidRDefault="00D06117" w:rsidP="00D06117">
      <w:pPr>
        <w:pStyle w:val="TextoNormal"/>
      </w:pPr>
    </w:p>
    <w:p w:rsidR="00D06117" w:rsidRDefault="00D06117" w:rsidP="00D06117">
      <w:pPr>
        <w:pStyle w:val="TextoNormal"/>
      </w:pPr>
      <w:r>
        <w:t>Comoquiera, sin embargo, que la determinación del alcance del citado principio de retroactividad es una operación que corresponde en principio efectuar al propio órgano judicial proponente, no es posible concluir con la necesaria seguridad que el precepto penal cuestionado haya dejado ser relevante para la resolución del proceso judicial a quo, lo que exige que nos pronunciemos sobre la tacha de inconstitucionalidad planteada, siendo así que la regla general es que las cuestiones de inconstitucionalidad han de ser resueltas de acuerdo con la legislación en vigor al tiempo de su planteamiento.</w:t>
      </w:r>
    </w:p>
    <w:p w:rsidR="00D06117" w:rsidRDefault="00D06117" w:rsidP="00D06117">
      <w:pPr>
        <w:pStyle w:val="TextoNormal"/>
      </w:pPr>
    </w:p>
    <w:p w:rsidR="00D06117" w:rsidRDefault="00D06117" w:rsidP="00D06117">
      <w:pPr>
        <w:pStyle w:val="TextoNormal"/>
      </w:pPr>
      <w:r w:rsidRPr="00D06117">
        <w:rPr>
          <w:rStyle w:val="NumeroAFNegritaCaracter"/>
        </w:rPr>
        <w:t>3</w:t>
      </w:r>
      <w:r>
        <w:t>. Conforme se ha recordado, el órgano judicial proponente cuestiona la constitucionalidad del art. 335 CP, en su redacción anterior a la Ley Orgánica 15/2003, de 25 de noviembre, por considerar que el tipo que describe no satisface las exigencias formales y materiales que impone el principio de legalidad penal del art. 25.1 CE.</w:t>
      </w:r>
    </w:p>
    <w:p w:rsidR="00D06117" w:rsidRDefault="00D06117" w:rsidP="00D06117">
      <w:pPr>
        <w:pStyle w:val="TextoNormal"/>
      </w:pPr>
    </w:p>
    <w:p w:rsidR="00D06117" w:rsidRDefault="00D06117" w:rsidP="00D06117">
      <w:pPr>
        <w:pStyle w:val="TextoNormal"/>
      </w:pPr>
      <w:r>
        <w:t>Según es consolidada y unánime doctrina de este Tribunal, que está resumida entre otras muchas en la STC 283/2006, de 9 de octubre, FFJJ 5 y 8, el principio de legalidad penal, en su vertiente de garantía de orden formal, obliga a que sea precisamente una norma con rango de ley la que defina las conductas delictivas y señale las penas correspondientes. No obstante, como también está dicho en esa misma doctrina constitucional, la reserva de ley en materia penal no impide la existencia de las denominadas “leyes penales en blanco”, esto es, como sucede en el presente caso, según luego se insistirá, normas penales incompletas que no describen agotadoramente la correspondiente conducta o su consecuencia jurídico-penal, sino que se remiten para su integración a otras normas distintas, que pueden ser incluso de carácter reglamentario. Ahora bien, para que esa remisión a normas extrapenales sea admisible constitucionalmente debe cumplir en todo caso los siguientes requisitos: a) que el reenvío normativo sea expreso y esté justificado en razón del bien jurídico protegido por la norma penal; b) que la ley, además de señalar la pena, contenga el núcleo esencial de la prohibición; y c), sea satisfecha la exigencia de certeza o, lo que en expresión constitucional ya normalizada es lo mismo: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 (STC 127/1990, de 5 de julio, FJ 3).</w:t>
      </w:r>
    </w:p>
    <w:p w:rsidR="00D06117" w:rsidRDefault="00D06117" w:rsidP="00D06117">
      <w:pPr>
        <w:pStyle w:val="TextoNormal"/>
      </w:pPr>
    </w:p>
    <w:p w:rsidR="00D06117" w:rsidRDefault="00D06117" w:rsidP="00D06117">
      <w:pPr>
        <w:pStyle w:val="TextoNormal"/>
      </w:pPr>
      <w:r>
        <w:t>Junto a la citada garantía formal el principio de legalidad penal del art. 25.1 CE comprende también otra de carácter material, que refleja la especial trascendencia del principio de seguridad jurídica en este ámbito limitativo de la libertad individual y que, en relación con el legislador, y por lo que aquí más importa, se traduce en la exigencia absoluta de la predeterminación normativa de las conductas ilícitas y de las sanciones correspondientes mediante una tipificación lo más precisa y taxativa posible en la descripción que incorpora para que, de este modo, “los ciudadanos puedan conocer de antemano el ámbito de lo prohibido y prever, así, las consecuencias de sus acciones” (STC 283/2006, de 9 de octubre, FJ 5).</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La aplicación de esta doctrina al presente asunto exige, en primer lugar, recordar el tenor de la norma penal cuestionada.</w:t>
      </w:r>
    </w:p>
    <w:p w:rsidR="00D06117" w:rsidRDefault="00D06117" w:rsidP="00D06117">
      <w:pPr>
        <w:pStyle w:val="TextoNormal"/>
      </w:pPr>
    </w:p>
    <w:p w:rsidR="00D06117" w:rsidRDefault="00D06117" w:rsidP="00D06117">
      <w:pPr>
        <w:pStyle w:val="TextoNormal"/>
      </w:pPr>
      <w:r>
        <w:t>El art. 335 CP 1995 cuestionado tipifica como delito y castiga con pena de multa de cuatro a ocho meses a quien “cace o pesque especies distintas a las indicadas en el artículo anterior [especies en peligro de extinción y, en general, amenazadas], no estando expresamente autorizada su caza o pesca por las normas específicas en la materia”.</w:t>
      </w:r>
    </w:p>
    <w:p w:rsidR="00D06117" w:rsidRDefault="00D06117" w:rsidP="00D06117">
      <w:pPr>
        <w:pStyle w:val="TextoNormal"/>
      </w:pPr>
    </w:p>
    <w:p w:rsidR="00D06117" w:rsidRDefault="00D06117" w:rsidP="00D06117">
      <w:pPr>
        <w:pStyle w:val="TextoNormal"/>
      </w:pPr>
      <w:r>
        <w:t>Estamos, en consecuencia, ante un precepto que presenta una innegable estructura de ley penal en blanco, por cuanto la definición de la conducta típica incorpora un elemento normativo (la caza o pesca de especies no autorizadas expresamente) cuyo significado, en lo que ahora exclusivamente nos importa, sólo puede precisarse acudiendo a las normas específicas que determinan cuáles son las especies cinegéticas autorizadas de modo expreso.</w:t>
      </w:r>
    </w:p>
    <w:p w:rsidR="00D06117" w:rsidRDefault="00D06117" w:rsidP="00D06117">
      <w:pPr>
        <w:pStyle w:val="TextoNormal"/>
      </w:pPr>
    </w:p>
    <w:p w:rsidR="00D06117" w:rsidRDefault="00D06117" w:rsidP="00D06117">
      <w:pPr>
        <w:pStyle w:val="TextoNormal"/>
      </w:pPr>
      <w:r>
        <w:t>Esas normas específicas a que se remite el precepto penal cuestionado tienen carácter extrapenal y, como pone de relieve el Ministerio Fiscal y consta anotado también en las actuaciones judiciales, son al tiempo de producirse los hechos enjuiciados en el proceso judicial a quo las previstas, de un lado, en los arts. 29 a 32, relativos a las especies amenazadas, y 33 y 34, sobre especies objeto de caza y sus límites, de la Ley 4/1989, de 27 de marzo, de conservación de los espacios naturales y de la flora y de la fauna silvestres; y, de otro, y principalmente, en el Real Decreto 1095/1989, de 8 de septiembre, por el que se declaran las especies objeto de caza y pesca y se establecen normas para su protección; y en el Real Decreto 439/1990, de 30 de marzo, por el que se regula el catálogo nacional de especies amenazadas.</w:t>
      </w:r>
    </w:p>
    <w:p w:rsidR="00D06117" w:rsidRDefault="00D06117" w:rsidP="00D06117">
      <w:pPr>
        <w:pStyle w:val="TextoNormal"/>
      </w:pPr>
    </w:p>
    <w:p w:rsidR="00D06117" w:rsidRDefault="00D06117" w:rsidP="00D06117">
      <w:pPr>
        <w:pStyle w:val="TextoNormal"/>
      </w:pPr>
      <w:r w:rsidRPr="00D06117">
        <w:rPr>
          <w:rStyle w:val="NumeroAFNegritaCaracter"/>
        </w:rPr>
        <w:t>5</w:t>
      </w:r>
      <w:r>
        <w:t>. Con estos presupuestos y de acuerdo con la doctrina constitucional que antes se ha resumido debemos comprobar ahora si el precepto penal cuestionado cumple con los requisitos que ex art. 25.1 CE son exigibles a las leyes penales en blanco.</w:t>
      </w:r>
    </w:p>
    <w:p w:rsidR="00D06117" w:rsidRDefault="00D06117" w:rsidP="00D06117">
      <w:pPr>
        <w:pStyle w:val="TextoNormal"/>
      </w:pPr>
    </w:p>
    <w:p w:rsidR="00D06117" w:rsidRDefault="00D06117" w:rsidP="00D06117">
      <w:pPr>
        <w:pStyle w:val="TextoNormal"/>
      </w:pPr>
      <w:r>
        <w:t>En primer lugar, no hay duda de que la remisión a las citadas normas extrapenales específicas es expresa y está además justificada en atención al bien jurídico protegido por la norma penal (la biodiversidad, los recursos naturales y el medio ambiente y, de modo particular, la fauna silvestre), habida cuenta de la complejidad técnica de la materia y el carácter variable del grado de protección de las especies cinegéticas, lo que hace imprescindible la acomodación de la normativa a esa evolución y justifica la remisión a la legislación administrativa para determinar las especies de caza autorizadas, sin necesidad de acudir a la constante actualización de la norma penal, que tiene, como hemos advertido en otras ocasiones semejantes (SSTC 120/1998, de 15 de junio, FJ 5; y 34/2005, de 17 de febrero, FJ 3), “una pretensión de relativa permanencia en el tiempo”.</w:t>
      </w:r>
    </w:p>
    <w:p w:rsidR="00D06117" w:rsidRDefault="00D06117" w:rsidP="00D06117">
      <w:pPr>
        <w:pStyle w:val="TextoNormal"/>
      </w:pPr>
    </w:p>
    <w:p w:rsidR="00D06117" w:rsidRDefault="00D06117" w:rsidP="00D06117">
      <w:pPr>
        <w:pStyle w:val="TextoNormal"/>
      </w:pPr>
      <w:r>
        <w:t>No sucede, sin embargo, lo mismo con las otras dos exigencias, pues, aun cuando el art. 335 CP 1995 cuestionado señala la pena aplicable al delito que tipifica, no contiene el núcleo esencial de la prohibición ni satisface tampoco la exigencia de certeza.</w:t>
      </w:r>
    </w:p>
    <w:p w:rsidR="00D06117" w:rsidRDefault="00D06117" w:rsidP="00D06117">
      <w:pPr>
        <w:pStyle w:val="TextoNormal"/>
      </w:pPr>
    </w:p>
    <w:p w:rsidR="00D06117" w:rsidRDefault="00D06117" w:rsidP="00D06117">
      <w:pPr>
        <w:pStyle w:val="TextoNormal"/>
      </w:pPr>
      <w:r>
        <w:t>La norma penal cuestionada en el presente proceso constitucional no contiene efectivamente el núcleo esencial de la prohibición toda vez que remite íntegramente y sin ninguna precisión añadida la determinación de las especies no expresamente autorizadas a las nor</w:t>
      </w:r>
      <w:r>
        <w:lastRenderedPageBreak/>
        <w:t>mas específicas en materia de caza, de modo que es el Gobierno, a través de normas reglamentarias y, en particular, de los correspondientes listados de especies cinegéticas, y no el Parlamento, el que en forma por completo independiente y no subordinada a la ley termina en rigor por definir libremente la conducta típica. De hecho, con el citado art. 335 CP en la mano, basta simplemente con que la Administración guarde silencio y no se pronuncie sobre la caza o no de una determinada especie animal para que su captura o muerte pase a integrar el tipo penal que consideramos. Todo lo cual supone, según hemos advertido en otras ocasiones, una vulneración de la garantía formal del principio de legalidad penal (STC 24/2004, de 24 de febrero, FJ 5).</w:t>
      </w:r>
    </w:p>
    <w:p w:rsidR="00D06117" w:rsidRDefault="00D06117" w:rsidP="00D06117">
      <w:pPr>
        <w:pStyle w:val="TextoNormal"/>
      </w:pPr>
    </w:p>
    <w:p w:rsidR="00D06117" w:rsidRDefault="00D06117" w:rsidP="00D06117">
      <w:pPr>
        <w:pStyle w:val="TextoNormal"/>
      </w:pPr>
      <w:r>
        <w:t>Esta libertad absoluta e incondicionada para que sea una norma la que defina el tipo es, en efecto, manifiesta puesto que, como prueba su propio tenor literal, la norma penal cuestionada no contiene tampoco ninguna exigencia específica de lesión o puesta en peligro del bien jurídico protegido (la fauna silvestre) que sirva para precisar el núcleo esencial de la prohibición penal y cualificar de este modo, entre las acciones abstractas que identifica (cazar o pescar), las que por ese motivo merecen reproche penal. Este déficit en la definición del núcleo esencial de la prohibición es tanto más acusado y significativo si comparamos ahora el art. 335 CP cuestionado con el resto de normas penales previstas en el propio capítulo IV del título XVI del libro II del Código penal de 1995, sobre los “delitos relativos a la protección de la flora y fauna”, y en los que el legislador penal sí exige que la correspondiente conducta, además de vulnerar las normas extrapenales en la materia, afecte a especies de flora y fauna “amenazadas” (arts. 332 y 334 CP), “perjudique el equilibrio biológico” (art. 333 CP) o consista en la utilización de instrumentos o artes de caza o pesca de innegable “eficacia destructiva” (art. 336 CP). Lo que supone ciertamente un plus de antijuridicidad material que coadyuva a precisar la correspondiente conducta penal típica y permite cumplir con la comentada exigencia constitucional (STC 34/2005, de 17 de febrero, FJ 3); una circunstancia, sin embargo, que, como se ha comprobado, no concurre en el caso del art. 335 CP 1995.</w:t>
      </w:r>
    </w:p>
    <w:p w:rsidR="00D06117" w:rsidRDefault="00D06117" w:rsidP="00D06117">
      <w:pPr>
        <w:pStyle w:val="TextoNormal"/>
      </w:pPr>
    </w:p>
    <w:p w:rsidR="00D06117" w:rsidRDefault="00D06117" w:rsidP="00D06117">
      <w:pPr>
        <w:pStyle w:val="TextoNormal"/>
      </w:pPr>
      <w:r w:rsidRPr="00D06117">
        <w:rPr>
          <w:rStyle w:val="NumeroAFNegritaCaracter"/>
        </w:rPr>
        <w:t>6</w:t>
      </w:r>
      <w:r>
        <w:t>. Por añadidura, como antes hemos anticipado, el art. 335 CP 1995 cuestionado no satisface tampoco la exigencia de certeza a que obliga el principio de legalidad penal del art. 25.1 CE, toda vez que el citado precepto penal, incluso una vez integrado con las normas extrapenales o reglamentarias específicas a que se remite, no permite identificar con la necesaria y suficiente precisión la conducta delictiva que tipifica.</w:t>
      </w:r>
    </w:p>
    <w:p w:rsidR="00D06117" w:rsidRDefault="00D06117" w:rsidP="00D06117">
      <w:pPr>
        <w:pStyle w:val="TextoNormal"/>
      </w:pPr>
    </w:p>
    <w:p w:rsidR="00D06117" w:rsidRDefault="00D06117" w:rsidP="00D06117">
      <w:pPr>
        <w:pStyle w:val="TextoNormal"/>
      </w:pPr>
      <w:r>
        <w:t>Desde esta perspectiva tiene razón el órgano judicial proponente cuando, sirviéndose del criterio que luce en la STS de 8 de febrero de 2000, advierte que la tipificación como delictivas de todas las conductas de caza que no estén expresamente autorizadas, aunque no estén tampoco expresamente prohibidas, crea un amplísimo espacio de inseguridad jurídica, incompatible con la citada exigencia constitucional de certeza. Tan amplio, de hecho, que conductas tan inocuas para el Derecho penal como matar ratas o insectos pasarían a integrar el tipo penal del art. 335 CP 1995, simplemente porque esas especies, al igual que los jilgueros y verderones, no figuran tampoco en el listado de especies cuya captura en vivo o muerte está autorizada expresamente por las correspondientes normas específicas.</w:t>
      </w:r>
    </w:p>
    <w:p w:rsidR="00D06117" w:rsidRDefault="00D06117" w:rsidP="00D06117">
      <w:pPr>
        <w:pStyle w:val="TextoNormal"/>
      </w:pPr>
    </w:p>
    <w:p w:rsidR="00D06117" w:rsidRDefault="00D06117" w:rsidP="00D06117">
      <w:pPr>
        <w:pStyle w:val="TextoNormal"/>
      </w:pPr>
      <w:r>
        <w:t>De modo que, en conclusión, el art. 335 CP 1995 cuestionado en el presente proceso contiene una formulación tan abierta e indefinida que su aplicación depende en último tér</w:t>
      </w:r>
      <w:r>
        <w:lastRenderedPageBreak/>
        <w:t>mino de una decisión prácticamente libre y arbitraria, primero del Gobierno y la Administración, a través de normas reglamentarias, y más tarde, del intérprete y juzgador encargado de su aplicación, y que resulta constitucionalmente incompatible con el principio de legalidad que garantiza el art. 25.1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cuestión de inconstitucionalidad y, en su virtud, declarar inconstitucional y nulo el art. 335 del Código penal en la redacción de la Ley Orgánica 10/1995, de 23 de noviembre.</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ocho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5" w:name="SENTENCIA_2012_102"/>
      <w:r>
        <w:lastRenderedPageBreak/>
        <w:t>SENTENCIA 102/2012, de 8 de mayo de 2012</w:t>
      </w:r>
    </w:p>
    <w:bookmarkEnd w:id="10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ECLI:ES:TC:2012:102</w:t>
      </w:r>
    </w:p>
    <w:p w:rsidR="00D06117" w:rsidRDefault="00D06117" w:rsidP="00D06117">
      <w:pPr>
        <w:pStyle w:val="SntesisDescriptiva"/>
      </w:pPr>
    </w:p>
    <w:p w:rsidR="00D06117" w:rsidRDefault="00D06117" w:rsidP="00D06117">
      <w:pPr>
        <w:pStyle w:val="SntesisDescriptiva"/>
      </w:pPr>
      <w:r>
        <w:t>Recurso de inconstitucionalidad 1921-2002. Interpuesto por el Consejo de Gobierno de la Junta de Comunidades de Castilla-La Mancha en relación con diversos preceptos de la Ley 24/2001, de medidas fiscales, administrativas y del orden social.</w:t>
      </w:r>
    </w:p>
    <w:p w:rsidR="00D06117" w:rsidRDefault="00D06117" w:rsidP="00D06117">
      <w:pPr>
        <w:pStyle w:val="SntesisDescriptiva"/>
      </w:pPr>
    </w:p>
    <w:p w:rsidR="00D06117" w:rsidRDefault="00D06117" w:rsidP="00D06117">
      <w:pPr>
        <w:pStyle w:val="SntesisAnaltica"/>
      </w:pPr>
      <w:r>
        <w:t>Principios de seguridad jurídica, solidaridad y equilibrio interterritorial; interdicción de la arbitrariedad: validez de los preceptos que, incluidos en una ley de contenido heterogéneo, afectan a la regulación jurídica del trasvase Tajo-Segura.</w:t>
      </w:r>
    </w:p>
    <w:p w:rsidR="00D06117" w:rsidRDefault="00D06117" w:rsidP="00D06117">
      <w:pPr>
        <w:pStyle w:val="SntesisAnaltica"/>
      </w:pPr>
    </w:p>
    <w:p w:rsidR="00D06117" w:rsidRDefault="00D06117" w:rsidP="00D06117">
      <w:pPr>
        <w:pStyle w:val="Extracto"/>
      </w:pPr>
      <w:r>
        <w:t>1.</w:t>
      </w:r>
      <w:r>
        <w:tab/>
        <w:t>Corresponde al Estado, en la determinación del régimen económico del agua y, concretamente, en la regulación de las tarifas por la explotación del acueducto Tajo-Segura, ponderar los intereses de las cuencas cedentes y cesionarias en conflicto para, atendido el principio de solidaridad interterritorial y de equilibrio económico entre las diversas partes del territorio español, fijar el contenido y alcance, subjetiva y objetivamente, de tales tarifas [FJ 5].</w:t>
      </w:r>
    </w:p>
    <w:p w:rsidR="00D06117" w:rsidRDefault="00D06117" w:rsidP="00D06117">
      <w:pPr>
        <w:pStyle w:val="Extracto"/>
      </w:pPr>
    </w:p>
    <w:p w:rsidR="00D06117" w:rsidRDefault="00D06117" w:rsidP="00D06117">
      <w:pPr>
        <w:pStyle w:val="Extracto"/>
      </w:pPr>
      <w:r>
        <w:t>2.</w:t>
      </w:r>
      <w:r>
        <w:tab/>
        <w:t>Las tasas, como prestación patrimonial de carácter público de naturaleza tributaria, están sometidas al principio de reserva de ley, ex art. 31.3 CE, que alcanza no sólo a su creación sino también a la determinación de sus elementos esenciales o configuradores, entre los cuales se encuentra su cuantía ( SSTC 57/2010, 121/2005) [FJ 5].</w:t>
      </w:r>
    </w:p>
    <w:p w:rsidR="00D06117" w:rsidRDefault="00D06117" w:rsidP="00D06117">
      <w:pPr>
        <w:pStyle w:val="Extracto"/>
      </w:pPr>
    </w:p>
    <w:p w:rsidR="00D06117" w:rsidRDefault="00D06117" w:rsidP="00D06117">
      <w:pPr>
        <w:pStyle w:val="Extracto"/>
      </w:pPr>
      <w:r>
        <w:t>3.</w:t>
      </w:r>
      <w:r>
        <w:tab/>
        <w:t>Doctrina sobre la cuantía de las tasas (SSTC 296/1994, 20/2012) [FJ 5].</w:t>
      </w:r>
    </w:p>
    <w:p w:rsidR="00D06117" w:rsidRDefault="00D06117" w:rsidP="00D06117">
      <w:pPr>
        <w:pStyle w:val="Extracto"/>
      </w:pPr>
    </w:p>
    <w:p w:rsidR="00D06117" w:rsidRDefault="00D06117" w:rsidP="00D06117">
      <w:pPr>
        <w:pStyle w:val="Extracto"/>
      </w:pPr>
      <w:r>
        <w:t>4.</w:t>
      </w:r>
      <w:r>
        <w:tab/>
        <w:t>La redistribución de los sobrantes de aguas de cuencas excedentarias es una materia cuya regulación corresponde en exclusiva a la legislación estatal, de manera que su libertad de configuración no puede quedar constreñida siquiera por las normas estatutarias (STC 247/2007) [FJ 5].</w:t>
      </w:r>
    </w:p>
    <w:p w:rsidR="00D06117" w:rsidRDefault="00D06117" w:rsidP="00D06117">
      <w:pPr>
        <w:pStyle w:val="Extracto"/>
      </w:pPr>
    </w:p>
    <w:p w:rsidR="00D06117" w:rsidRDefault="00D06117" w:rsidP="00D06117">
      <w:pPr>
        <w:pStyle w:val="Extracto"/>
      </w:pPr>
      <w:r>
        <w:t>5.</w:t>
      </w:r>
      <w:r>
        <w:tab/>
        <w:t>Corresponde al legislador estatal la determinación de los bienes que forman parte del dominio público, comprendido entre tales el agua, siendo de su responsabilidad establecer su régimen jurídico, al entenderse incluida en el concepto material de legislación civil, ex art. 149.1.8 CE, y afectar a las condiciones básicas que garanticen la igualdad de todos los españoles, ex art. 149.1.1 CE, ello sin perjuicio de las competencias atribuidas a las Comunidades Autónomas sobre la gestión y aprovechamiento de los recursos hidráulicos, en virtud de la Constitución y de sus respectivos Estatutos de Autonomía (SSTC 46/2007, 247/2007, 149/2011) [FJ 5].</w:t>
      </w:r>
    </w:p>
    <w:p w:rsidR="00D06117" w:rsidRDefault="00D06117" w:rsidP="00D06117">
      <w:pPr>
        <w:pStyle w:val="Extracto"/>
      </w:pPr>
    </w:p>
    <w:p w:rsidR="00D06117" w:rsidRDefault="00D06117" w:rsidP="00D06117">
      <w:pPr>
        <w:pStyle w:val="Extracto"/>
      </w:pPr>
      <w:r>
        <w:t>6.</w:t>
      </w:r>
      <w:r>
        <w:tab/>
        <w:t xml:space="preserve">La titularidad estatal del dominio público y la competencia para determinar las categorías de bienes que lo integran no son, en sí mismos, criterios de delimitación </w:t>
      </w:r>
      <w:r>
        <w:lastRenderedPageBreak/>
        <w:t>competencial, por lo que la naturaleza demanial de un bien no lo aísla de su entorno ni lo sustrae de las competencias que correspondan a otros entes públicos que no ostentan esa titularidad (SSTC 149/1991, 247/2007) [FJ 5].</w:t>
      </w:r>
    </w:p>
    <w:p w:rsidR="00D06117" w:rsidRDefault="00D06117" w:rsidP="00D06117">
      <w:pPr>
        <w:pStyle w:val="Extracto"/>
      </w:pPr>
    </w:p>
    <w:p w:rsidR="00D06117" w:rsidRDefault="00D06117" w:rsidP="00D06117">
      <w:pPr>
        <w:pStyle w:val="Extracto"/>
      </w:pPr>
      <w:r>
        <w:t>7.</w:t>
      </w:r>
      <w:r>
        <w:tab/>
        <w:t>Doctrina sobre la administración de los recursos hidráulicos en cuencas intercomunitarias (SSTC 227/1988, 32/2011) [FJ 5].</w:t>
      </w:r>
    </w:p>
    <w:p w:rsidR="00D06117" w:rsidRDefault="00D06117" w:rsidP="00D06117">
      <w:pPr>
        <w:pStyle w:val="Extracto"/>
      </w:pPr>
    </w:p>
    <w:p w:rsidR="00D06117" w:rsidRDefault="00D06117" w:rsidP="00D06117">
      <w:pPr>
        <w:pStyle w:val="Extracto"/>
      </w:pPr>
      <w:r>
        <w:t>8.</w:t>
      </w:r>
      <w:r>
        <w:tab/>
        <w:t>La decisión de atribuir el conocimiento de un proyecto a una u otra comisión es una función de la Mesa del Congreso de los Diputados o del Senado, de manera que se trata de una decisión de mera oportunidad parlamentaria que no conlleva merma alguna de los principios constitucionales que han de informar el procedimiento legislativo en cuanto procedimiento de formación de la voluntad del órgano [FJ 3].</w:t>
      </w:r>
    </w:p>
    <w:p w:rsidR="00D06117" w:rsidRDefault="00D06117" w:rsidP="00D06117">
      <w:pPr>
        <w:pStyle w:val="Extracto"/>
      </w:pPr>
    </w:p>
    <w:p w:rsidR="00D06117" w:rsidRDefault="00D06117" w:rsidP="00D06117">
      <w:pPr>
        <w:pStyle w:val="Extracto"/>
      </w:pPr>
      <w:r>
        <w:t>9.</w:t>
      </w:r>
      <w:r>
        <w:tab/>
        <w:t>La inobservancia de los preceptos que regulan el procedimiento legislativo podría viciar de inconstitucionalidad la ley cuando esa inobservancia altere de modo sustancial el proceso de formación de voluntad en el seno de las Cámaras (STC 136/2011) [FJ 3].</w:t>
      </w:r>
    </w:p>
    <w:p w:rsidR="00D06117" w:rsidRDefault="00D06117" w:rsidP="00D06117">
      <w:pPr>
        <w:pStyle w:val="Extracto"/>
      </w:pPr>
    </w:p>
    <w:p w:rsidR="00D06117" w:rsidRDefault="00D06117" w:rsidP="00D06117">
      <w:pPr>
        <w:pStyle w:val="Extracto"/>
      </w:pPr>
      <w:r>
        <w:t>10.</w:t>
      </w:r>
      <w:r>
        <w:tab/>
        <w:t>No puede tacharse de arbitraria una norma que persigue una finalidad razonable y que no se muestra desprovista de todo fundamento, aunque pueda legítimamente discreparse de la solución adoptada, pues entrar en un enjuiciamiento de cuál sería su medida justa supone discutir una opción tomada por el legislador que, aun cuando pueda ser discutible, no resulta arbitraria ni irracional (SSTC 149/2006, 128/2009) [FJ 4].</w:t>
      </w:r>
    </w:p>
    <w:p w:rsidR="00D06117" w:rsidRDefault="00D06117" w:rsidP="00D06117">
      <w:pPr>
        <w:pStyle w:val="Extracto"/>
      </w:pPr>
    </w:p>
    <w:p w:rsidR="00D06117" w:rsidRDefault="00D06117" w:rsidP="00D06117">
      <w:pPr>
        <w:pStyle w:val="Extracto"/>
      </w:pPr>
      <w:r>
        <w:t>11.</w:t>
      </w:r>
      <w:r>
        <w:tab/>
        <w:t>No es posible imputar a la norma impugnada una quiebra del principio de seguridad jurídica por tratarse de una ley de contenido indefinido, pues su objeto, aunque heterogéneo, está perfectamente delimitado en el momento de presentación del proyecto al Congreso de los Diputados, teniendo todos sus eventuales destinatarios conocimiento del mismo mediante su publicación en el Diario Oficial de las Cortes Generales y finalmente mediante la inserción del texto definitivo en el BOE (SSTC 136/2011, 176/2011) [FJ 2].</w:t>
      </w:r>
    </w:p>
    <w:p w:rsidR="00D06117" w:rsidRDefault="00D06117" w:rsidP="00D06117">
      <w:pPr>
        <w:pStyle w:val="Extracto"/>
      </w:pPr>
    </w:p>
    <w:p w:rsidR="00D06117" w:rsidRDefault="00D06117" w:rsidP="00D06117">
      <w:pPr>
        <w:pStyle w:val="Extracto"/>
      </w:pPr>
      <w:r>
        <w:t>12.</w:t>
      </w:r>
      <w:r>
        <w:tab/>
        <w:t>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(STC 136/2001)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1921-2002, interpuesto por el Consejo de Gobierno de la Junta de Comunidades de Castilla-La Mancha contra los arts. 89 y 90 de la Ley 24/2001, de 27 de diciembre, de medidas fiscales, administrativas y del orden social, al considerar que vulneran los arts. 2, 9.3 y 138.1, todos ellos de la Constitución Española. Han intervenido el Abogado del Estado, en la representación que ostenta, y el Letrado de las Cortes Generales, don Benigno Pendás García, en representación del Senado. Ha sido Ponente el Magistrado don Francisco Pérez de los Cobos Orihuel,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30 de marzo de 2002 tuvo entrada en el Registro General de este Tribunal Constitucional un escrito del Letrado del Consejo de Gobierno de la Junta de Comunidades de Castilla-La Mancha por el que se interpone un recurso de inconstitucionalidad contra los arts. 89 y 90 de la Ley 24/2001, de 27 de diciembre, de medidas fiscales, administrativas y del orden social, al considerar que vulneran los arts. 2, 9.3 y 138.1, todos ellos de la Constitución Española.</w:t>
      </w:r>
    </w:p>
    <w:p w:rsidR="00D06117" w:rsidRDefault="00D06117" w:rsidP="00D06117">
      <w:pPr>
        <w:pStyle w:val="TextoNormal"/>
      </w:pPr>
    </w:p>
    <w:p w:rsidR="00D06117" w:rsidRDefault="00D06117" w:rsidP="00D06117">
      <w:pPr>
        <w:pStyle w:val="TextoNormal"/>
      </w:pPr>
      <w:r>
        <w:t>Tras concretar el contenido de los preceptos impugnados y precisar su legitimación para interponer el presente recurso de inconstitucionalidad por afectar la regulación jurídica del trasvase Tajo-Segura contenida tanto en la Ley 52/1980, de 16 de octubre, como en el Real Decreto-ley 8/1995, de 4 de agosto, señala el representante del Consejo de Gobierno recurrente que al haberse introducido esas modificaciones en una ley —llamada vulgarmente— “de acompañamiento” a los presupuestos generales del Estado, se vulnera el principio de seguridad jurídica del art. 9.3 CE, como así ha señalado determinada doctrina científica, los propios dictámenes del Consejo de Estado (dictámenes núms. 3445-1996, de 3 de octubre, y 4908-1997, de 25 de septiembre) y el Voto particular de la STC 32/2000.</w:t>
      </w:r>
    </w:p>
    <w:p w:rsidR="00D06117" w:rsidRDefault="00D06117" w:rsidP="00D06117">
      <w:pPr>
        <w:pStyle w:val="TextoNormal"/>
      </w:pPr>
    </w:p>
    <w:p w:rsidR="00D06117" w:rsidRDefault="00D06117" w:rsidP="00D06117">
      <w:pPr>
        <w:pStyle w:val="TextoNormal"/>
      </w:pPr>
      <w:r>
        <w:t xml:space="preserve">Para el Gobierno autonómico recurrente las leyes “de acompañamiento” o leyes “ómnibus” tienen su origen en la doctrina de este Tribunal acerca del contenido posible de las leyes de presupuestos contenida fundamentalmente en la STC 76/1992, que provocó que el Gobierno tramitase paralelamente a estas leyes, unas leyes de medidas a los efectos de incorporar aquellas normas sustantivas que no cumplieran los requisitos para integrarse en el contenido necesario o eventual de una ley de presupuestos, incurriendo así en una burla formal de aquella doctrina. Sin embargo, la técnica utilizada no salva el deterioro del principio de seguridad jurídica desde la perspectiva de la publicidad de las normas, pues este principio no sólo exige el cumplimiento de la formalidad de su publicación oficial sino también que por el modo en que ésta se realice permita a su destinatario su conocimiento sin necesidad de una diligencia extraordinaria. A su juicio, sin embargo, la acumulación de </w:t>
      </w:r>
      <w:r>
        <w:lastRenderedPageBreak/>
        <w:t>preceptos inconexos en una norma hace imposible el conocimiento por el ciudadano de los preceptos que se encuentra obligado a cumplir.</w:t>
      </w:r>
    </w:p>
    <w:p w:rsidR="00D06117" w:rsidRDefault="00D06117" w:rsidP="00D06117">
      <w:pPr>
        <w:pStyle w:val="TextoNormal"/>
      </w:pPr>
    </w:p>
    <w:p w:rsidR="00D06117" w:rsidRDefault="00D06117" w:rsidP="00D06117">
      <w:pPr>
        <w:pStyle w:val="TextoNormal"/>
      </w:pPr>
      <w:r>
        <w:t>Por otra parte, señala el Letrado del Consejo de Gobierno castellano-manchego que las infracciones del procedimiento de elaboración de la norma conllevan igualmente la vulneración del principio consagrado en el art. 9.3 CE. A este respecto denuncia que en la tramitación de la Ley 24/2001 no han tenido intervención las Comunidades Autónomas, intervención que sería exigible a tenor de lo dispuesto en la Ley que aprueba el Plan hidrológico nacional y que responde a la lógica de ser oídas en las decisiones que puedan afectar a su ámbito de competencias, en este caso, las recogidas en el art. 31.1.2 del Estatuto de Autonomía de Castilla-La Mancha. También para el Consejo de Gobierno el hecho de que durante la tramitación del proyecto de ley intervengan las Comisiones de Economía y Hacienda del Congreso de los Diputados y la de Economía, Comercio y Turismo del Senado, y no la comisión competente por razón de cada materia, vulnera el art. 43 del Reglamento del Congreso de los Diputados y concordante del Senado.</w:t>
      </w:r>
    </w:p>
    <w:p w:rsidR="00D06117" w:rsidRDefault="00D06117" w:rsidP="00D06117">
      <w:pPr>
        <w:pStyle w:val="TextoNormal"/>
      </w:pPr>
    </w:p>
    <w:p w:rsidR="00D06117" w:rsidRDefault="00D06117" w:rsidP="00D06117">
      <w:pPr>
        <w:pStyle w:val="TextoNormal"/>
      </w:pPr>
      <w:r>
        <w:t>A continuación se denuncia la vulneración de la prohibición de arbitrariedad (art. 9.3 CE), pues se considera que la modificación operada por los preceptos impugnados está huérfana de las más mínima motivación, sin que pueda encontrarse en la Ley 24/2001 ni deducirse los motivos que han llevado al legislador a operar tal modificación. Ello es más grave y arbitrario —añade el Consejo de Gobierno— cuando se altera el régimen del trasvase de la Ley 10/2001, de 5 de julio, del plan hidrológico nacional, abocando a la finalización a plazo fijo del régimen de compensaciones económicas a la cuenca cedente que debe llevar toda obra permanente de transferencia de recursos hídricos, sin haberse optado por la fórmula de los tres céntimos de euro/metro cúbico que según el Plan hidrológico nacional constituye la “cuota ambiental”. Con esta modificación se da la circunstancia de que la compensación económica a la cuenca cedente no sólo es decreciente en el tiempo, sino llamada a desaparecer en el mismo momento en que se haya amortizado la inversión inicial, padeciendo el art. 45.2 CE en la medida que la disminución de la tarifa de conducción del agua y la supresión del mecanismo de compensación propicia una utilización no racional de los recursos naturales. De esta manera, se produce una disminución tarifaria para los destinatarios del trasvase, con correlativa disminución de los recursos de las Comunidades Autónomas de la cuenca cedente y, además, un aumento de tarifas para los regantes afectados por las filtraciones del túnel del Talave, generándose con ello un tratamiento desigual con respecto a las compensaciones previstas en el plan hidrológico nacional para los cesionistas de aguas y una alteración infundada de régimen de tarifas. En suma, estaríamos ante una actuación arbitraria del legislador, que introduce una patente contradicción con un sistema que presupone la existencia generalizada de compensaciones en las regulaciones de los trasvases, conduciendo a la desaparición a fecha fija de esa compensación en el caso del trasvase Tajo-Segura, lo que implica un trato desigual entre todos los beneficiarios por las compensaciones provenientes de los distintos trasvases.</w:t>
      </w:r>
    </w:p>
    <w:p w:rsidR="00D06117" w:rsidRDefault="00D06117" w:rsidP="00D06117">
      <w:pPr>
        <w:pStyle w:val="TextoNormal"/>
      </w:pPr>
    </w:p>
    <w:p w:rsidR="00D06117" w:rsidRDefault="00D06117" w:rsidP="00D06117">
      <w:pPr>
        <w:pStyle w:val="TextoNormal"/>
      </w:pPr>
      <w:r>
        <w:t xml:space="preserve">Concluye su escrito de alegaciones el representante del Consejo de Gobierno recurrente denunciando la vulneración del principio de solidaridad y equilibrio interterritorial por la nueva regulación, al suprimir los preceptos impugnados las compensaciones que debería recibir la Comunidad Autónoma de Castilla-La Mancha por la imposibilidad del uso de los recursos naturales presentes en la propia Comunidad, e imponer el pago por la restitución de caudales de agua perdidos, no trasvasables. Esto es incompatible, a su juicio, con los arts. </w:t>
      </w:r>
      <w:r>
        <w:lastRenderedPageBreak/>
        <w:t>2 y 138.1 CE, por cuanto supone que una fuente de riqueza es asignada en exclusiva a determinados territorios sin que los excluidos de beneficiarse de la misma sean compensados, gravándose incluso la restitución de recursos perdidos.</w:t>
      </w:r>
    </w:p>
    <w:p w:rsidR="00D06117" w:rsidRDefault="00D06117" w:rsidP="00D06117">
      <w:pPr>
        <w:pStyle w:val="TextoNormal"/>
      </w:pPr>
    </w:p>
    <w:p w:rsidR="00D06117" w:rsidRDefault="00D06117" w:rsidP="00D06117">
      <w:pPr>
        <w:pStyle w:val="TextoNormal"/>
      </w:pPr>
      <w:r w:rsidRPr="00D06117">
        <w:rPr>
          <w:rStyle w:val="NumeroAFNegritaCaracter"/>
        </w:rPr>
        <w:t>2</w:t>
      </w:r>
      <w:r>
        <w:t>. La Sección Segunda de este Tribunal acordó admitir a trámite el recurso mediante providencia de 7 de mayo de 2002, dando traslado de la demanda y documentos presentados, conforme establece el art. 34 de la Ley Orgánica del Tribunal Constitucional (LOTC), al Congreso de los Diputados y al Senado, por conducto de sus Presidentes, y al Gobierno, por conducto del Ministro de Justicia, para que, en el improrrogable plazo de quince días, pudieran personarse en el procedimiento y formular las alegaciones que estimasen convenientes. Todo ello con publicación en el “Boletín Oficial del Estado” (lo que se cumplimentó en el “BOE”  núm. 121, de 21 de mayo de 2002).</w:t>
      </w:r>
    </w:p>
    <w:p w:rsidR="00D06117" w:rsidRDefault="00D06117" w:rsidP="00D06117">
      <w:pPr>
        <w:pStyle w:val="TextoNormal"/>
      </w:pPr>
    </w:p>
    <w:p w:rsidR="00D06117" w:rsidRDefault="00D06117" w:rsidP="00D06117">
      <w:pPr>
        <w:pStyle w:val="TextoNormal"/>
      </w:pPr>
      <w:r w:rsidRPr="00D06117">
        <w:rPr>
          <w:rStyle w:val="NumeroAFNegritaCaracter"/>
        </w:rPr>
        <w:t>3</w:t>
      </w:r>
      <w:r>
        <w:t>. El día 21 de mayo de 2002 presentó un escrito en el Registro de este Tribunal el Abogado del Estado, en la representación que ostenta, solicitando se le tuviese por personado y se le concediese una prórroga del plazo concedido para formular alegaciones por ocho días más.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la Sección Segunda de este Tribunal con fecha de 28 de mayo de 2002, se acordó tener por personado y parte al Abogado del Estado, en representación del Gobierno, y prorrogarle en ocho días más el plazo concedido para formular alegaciones, a partir del día siguiente al de expiración del ordinario.</w:t>
      </w:r>
    </w:p>
    <w:p w:rsidR="00D06117" w:rsidRDefault="00D06117" w:rsidP="00D06117">
      <w:pPr>
        <w:pStyle w:val="TextoNormal"/>
      </w:pPr>
    </w:p>
    <w:p w:rsidR="00D06117" w:rsidRDefault="00D06117" w:rsidP="00D06117">
      <w:pPr>
        <w:pStyle w:val="TextoNormal"/>
      </w:pPr>
      <w:r w:rsidRPr="00D06117">
        <w:rPr>
          <w:rStyle w:val="NumeroAFNegritaCaracter"/>
        </w:rPr>
        <w:t>5</w:t>
      </w:r>
      <w:r>
        <w:t>. Por escrito registrado el día 23 de mayo de 2002 la Presidenta del Congreso de los Diputados comunicó a este Tribunal la decisión de la Mesa de la Cámara de no personarse en el procedimiento ni formular alegaciones, con remisión a la dirección de estudios y documentación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registrado el día 31 de mayo de 2002, el Letrado de las Cortes Generales-Jefe de la Asesoría Jurídica del Senado, don Benigno Pendás García, en representación de esta Cámara, suplicó se le tuviese por personado en los recursos de inconstitucionalidad núms. 1847-2002, 1902-2002, 1921-2002 y 1937-2002, promovidos todos ellos con relación a la Ley 24/2001, de 27 de diciembre. En el mismo escrito se solicita la acumulación de los recursos en los términos previstos en el art. 83 LOTC y la suspensión del plazo para la presentación de alegaciones.</w:t>
      </w:r>
    </w:p>
    <w:p w:rsidR="00D06117" w:rsidRDefault="00D06117" w:rsidP="00D06117">
      <w:pPr>
        <w:pStyle w:val="TextoNormal"/>
      </w:pPr>
    </w:p>
    <w:p w:rsidR="00D06117" w:rsidRDefault="00D06117" w:rsidP="00D06117">
      <w:pPr>
        <w:pStyle w:val="TextoNormal"/>
      </w:pPr>
      <w:r>
        <w:t>Posteriormente, por nuevo escrito presentado en el Registro de este Tribunal el día 13 de junio de 2002, el Letrado de las Cortes Generales-Jefe de la Asesoría Jurídica del Senado, solicitó la acumulación a los anteriores recursos del núm. 1848-2002, al tratarse también de un proceso con un objeto conexo. Igualmente, solicitó se tuviesen por reproducidas las alegaciones formuladas por la Cámara en el recurso 1390-1999, siempre que en los recursos acumulados se haga referencia a la vulneración de preceptos constitucionales y reglamentarios sobre el procedimiento legislativo y competencias del Senado.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Por escrito registrado en este Tribunal el día 11 de junio de 2002, el Abogado del Estado, en la representación que ostenta, presentó sus alegaciones solicitando se dictase Sentencia desestimatoria del recurso de inconstitucionalidad.</w:t>
      </w:r>
    </w:p>
    <w:p w:rsidR="00D06117" w:rsidRDefault="00D06117" w:rsidP="00D06117">
      <w:pPr>
        <w:pStyle w:val="TextoNormal"/>
      </w:pPr>
    </w:p>
    <w:p w:rsidR="00D06117" w:rsidRDefault="00D06117" w:rsidP="00D06117">
      <w:pPr>
        <w:pStyle w:val="TextoNormal"/>
      </w:pPr>
      <w:r>
        <w:t>Parte el Abogado del Estado señalando, en primer lugar, que el art. 89 impugnado se limita, de un lado, a modificar el parámetro con que se calcula uno de los componentes de la tarifa de conducción del acueducto Tajo-Segura al sustituir el parámetro “coste de las obras” por el de “coste total no amortizado” y, de otro, a precisar que los beneficiarios de las aguas concedidas como compensación a las infiltradas en el túnel de Talave participarán exclusivamente en el reparto de la aportación de la tarifa de conducción (gastos fijos de funcionamiento). En segundo lugar, añade que el art. 90 establece el régimen de tarifas para los beneficiarios de la cuenca alta del Guadiana que obtengan agua del acueducto Tajo-Segura.</w:t>
      </w:r>
    </w:p>
    <w:p w:rsidR="00D06117" w:rsidRDefault="00D06117" w:rsidP="00D06117">
      <w:pPr>
        <w:pStyle w:val="TextoNormal"/>
      </w:pPr>
    </w:p>
    <w:p w:rsidR="00D06117" w:rsidRDefault="00D06117" w:rsidP="00D06117">
      <w:pPr>
        <w:pStyle w:val="TextoNormal"/>
      </w:pPr>
      <w:r>
        <w:t>A continuación, y tras concretar el Abogado del Estado tanto los fundamentos de la inconstitucionalidad esgrimidos por la recurrente, como la finalidad y alcance del acuerdo del Consejo de Ministros de 18 de abril de 1986 sobre el destino de los fondos recaudados por la tarifa de conducción, entra a analizar la denunciada infracción del principio de seguridad jurídica, distinguiendo entre el contenido constitucionalmente definido de las leyes de presupuestos al amparo del art. 134.2 CE, derivado de su especial función y su especial tramitación, y el contenido de las llamadas “leyes de acompañamiento”; contenido de estas últimas, que lejos de ser una burla formal de la doctrina constitucional son precisamente consecuencia del acatamiento —por el Gobierno y las Cortes Generales— de esa doctrina sobre los límites al contenido eventual de las leyes de presupuestos, que se aprueban en el ejercicio de la potestad legislativa ordinaria, a través del trámite ordinario y sin limitaciones constitucionales a su fuerza activa y pasiva. De esta manera, la finalidad de estas leyes de modificar otras para contribuir a alcanzar determinados objetivos de política económica, es totalmente lícita, sin que pueda establecerse ningún límite constitucional a su contenido posible.</w:t>
      </w:r>
    </w:p>
    <w:p w:rsidR="00D06117" w:rsidRDefault="00D06117" w:rsidP="00D06117">
      <w:pPr>
        <w:pStyle w:val="TextoNormal"/>
      </w:pPr>
    </w:p>
    <w:p w:rsidR="00D06117" w:rsidRDefault="00D06117" w:rsidP="00D06117">
      <w:pPr>
        <w:pStyle w:val="TextoNormal"/>
      </w:pPr>
      <w:r>
        <w:t>Dicho lo que antecede, subraya el Abogado del Estado a renglón seguido que este Tribunal no es juez de la perfección técnica, sino de la constitucionalidad de las leyes. A su juicio, es patentemente exagerado y carente de toda base afirmar que la mayor conexión interna de un texto facilita su comprensión por el ciudadano y que, por el contrario, la modificación en un mismo texto de diversas leyes, la dificulta. Los arts. 89 y 90 de la Ley 24/2001 identifican perfectamente los cuerpos legales modificados y los preceptos a los que la modificación alcanza, siendo claros en su contenido (certeza) y sin dificultades previsibles en su aplicación (previsibilidad).</w:t>
      </w:r>
    </w:p>
    <w:p w:rsidR="00D06117" w:rsidRDefault="00D06117" w:rsidP="00D06117">
      <w:pPr>
        <w:pStyle w:val="TextoNormal"/>
      </w:pPr>
    </w:p>
    <w:p w:rsidR="00D06117" w:rsidRDefault="00D06117" w:rsidP="00D06117">
      <w:pPr>
        <w:pStyle w:val="TextoNormal"/>
      </w:pPr>
      <w:r>
        <w:t xml:space="preserve">Analiza el Abogado del Estado después aquellos vicios en la tramitación de la Ley 24/2001 que denuncia el Consejo de Gobierno recurrente para señalar, en primer lugar, que las medidas incorporadas a los arts. 89 y 90 impugnados no están aisladas al haber sido incorporadas en el lugar adecuado de la ley, sin que ningún precepto ni principio constitucional exija que las leyes lleven exposiciones de motivos, y ni mucho menos, de llevarlas, que tengan un determinado grado de detalle. En segundo lugar, que no existe ningún precepto del bloque de la constitucionalidad que obligue a que la Comunidad Autónoma de Castilla-La Mancha deba tener una intervención en el trámite legislativo de la Ley 24/2001. De la Ley 10/2001, de 5 de julio, del plan hidrológico nacional, de la que no se cita ningún </w:t>
      </w:r>
      <w:r>
        <w:lastRenderedPageBreak/>
        <w:t>precepto por el recurrente —siendo su carga la de identificar el precepto en el que basa su argumento— no es posible derivar ningún derecho de la citada Comunidad Autónoma a intervenir en el procedimiento legislativo o prelegislativo de la Ley 24/2001, atendida la materia regulada por sus arts. 89 y 90. Además, ni las competencias previstas en el art. 31.1.2 del Estatuto de Autonomía de Castilla-La Mancha (sobre ordenación del territorio, urbanismo y vivienda) tienen nada que ver con la tarifa de conducción del agua regulada en la Ley 52/1990, ni el hecho de que la Comunidad Autónoma tenga competencias relacionadas con el contenido de los preceptos impugnados le otorga el derecho a intervenir en el citado procedimiento. En fin, en tercer lugar, que atribuida por la Mesa de la Cámara a la Comisión de Economía, Comercio y Turismo, el conocimiento del proyecto de ley que daría lugar a la Ley 24/2001, de acuerdo con lo dispuesto en los arts. 43 y 54 del Reglamento del Senado, no sólo no consta durante su tramitación protesta o impugnación alguna de las decisiones tomadas en este sentido, sino que si el contenido del proyecto de ley se hubiese dividido o desarticulado para encomendárselo a todas y cada de las Comisiones, su tramitación habría resultado imposible.</w:t>
      </w:r>
    </w:p>
    <w:p w:rsidR="00D06117" w:rsidRDefault="00D06117" w:rsidP="00D06117">
      <w:pPr>
        <w:pStyle w:val="TextoNormal"/>
      </w:pPr>
    </w:p>
    <w:p w:rsidR="00D06117" w:rsidRDefault="00D06117" w:rsidP="00D06117">
      <w:pPr>
        <w:pStyle w:val="TextoNormal"/>
      </w:pPr>
      <w:r>
        <w:t>Por otra parte y respecto de la supuesta arbitrariedad del legislador, para el Abogado del Estado ninguna de las alegaciones del Letrado autonómico ofrecen la más mínima base para tachar de arbitraria la decisión del legislador nacional. A su juicio, aunque no puede exigirse a las leyes la misma motivación que se predica de otros actos de los poderes públicos (sentencias o actos administrativos), la memoria justificativa que acompañó al proyecto de ley demuestra el fundamento razonable de la modificación acometida. Pues bien, subrayando el Abogado del Estado que la impugnación queda reducida a que las modificaciones introducidas en el componente a) de la tarifa de conducción (que cambia el “coste de las obras” por el “coste total no amortizado de las obras”) hacen decrecer de forma evidente su importe y, por tanto, las cantidades que percibe la Junta de Comunidades de los rendimientos de la tarifa, sin embargo, considera que es a las Cortes Generales a quien toca ponderar los intereses de las diversas Comunidades Autónomas que ceden o se beneficien de una obra pública de interés general como es el acueducto Tajo-Segura. De esta manera, a la hora de fijar el componente a) de la tarifa de conducción, los intereses financieros de la Junta de Comunidades de Castilla-La Mancha (levemente afectados) no tienen por qué ser los supremos en la compleja ponderación que debe efectuar el legislador nacional, pudiendo serlo los intereses de los usuarios y del empleo del agua en las cuencas cesionarias o receptoras o la contención de precios, ambos fundamentos invocados por la memoria. Pero es que, además, añade, la modificación operada tiene un fundamento de justicia, al dar base legal a la jurisprudencia del Tribunal Supremo en la materia (concretamente, a las Sentencias del Tribunal Supremo de 13 de febrero y 9 de julio, ambas de 1999).</w:t>
      </w:r>
    </w:p>
    <w:p w:rsidR="00D06117" w:rsidRDefault="00D06117" w:rsidP="00D06117">
      <w:pPr>
        <w:pStyle w:val="TextoNormal"/>
      </w:pPr>
    </w:p>
    <w:p w:rsidR="00D06117" w:rsidRDefault="00D06117" w:rsidP="00D06117">
      <w:pPr>
        <w:pStyle w:val="TextoNormal"/>
      </w:pPr>
      <w:r>
        <w:t xml:space="preserve">Con relación a la supuesta infracción del principio de solidaridad y del equilibrio económico interterritorial, al eliminarse las compensaciones que recibe la Comunidad de Castilla-La Mancha e imponerse el pago por la restitución de caudales de agua perdidos no trasvasables, señala el Abogado del Estado que el hecho de que una medida del legislador cause una disminución —exigua— de ingresos a una Comunidad Autónoma no puede calificarse de infractora de los principios citados. Desde el punto de vista contrario, las Comunidades Autónomas receptoras del agua pueden justificar el sacrificio que hace la de Castilla-La Mancha en nombre de la solidaridad y de la justicia y adecuación del equilibrio interterritorial, pues la solidaridad entre Comunidades Autónomas puede entrañar sacrificios de unas en favor de otras, tanto más cuanto se trata del agua, un bien de dominio público nacional </w:t>
      </w:r>
      <w:r>
        <w:lastRenderedPageBreak/>
        <w:t>con relación al cual corresponde al Estado valorar las exigencias de solidaridad y equilibrio. La Comunidad Autónoma recurrente, sin embargo, ni concreta la disminución económica de los ingresos que le causa la medida, ni detalla porqué el sacrificio que hace resulta insolidario o generador de un desequilibrio económico interterritorial, ni, en fin, demuestra que el sacrificio soportado no está justificado por los mayores beneficios que la medida tiene en otros territorios. Y, en fin, tampoco la compensación a los beneficiarios por las aguas infiltradas en el túnel de Talave, que pagan por un solo elemento de la tarifa de conducción (los gastos fijos y no por los gastos de funcionamiento o los variables), puede considerarse injusta o carente de fundamento.</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del Pleno del Tribunal con fecha de 18 de junio de 2002 se tuvo por personado al Letrado de las Cortes Generales-Jefe de la Asesoría Jurídica del Senado, don Benigno Pendás García, en representación de la Cámara, accediéndose a la suspensión del plazo concedido para hacer alegaciones en tanto se resolviese sobre la acumulación instada, oyéndose a la recurrente y a las partes personadas para que, en el plazo de diez días, formulasen las alegaciones que estimasen pertinentes sobre la acumulación solicitada. Formuladas las correspondientes alegaciones, por ATC 205/2002, de 15 de octubre, se acordó no acceder a la acumulación solicitada, al no haber conexión de objetos, otorgando un plazo de quince días a la representación del Senado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9</w:t>
      </w:r>
      <w:r>
        <w:t>. Por escrito registrado en este Tribunal el día 8 de noviembre de 2002, el Letrado de las Cortes Generales-Jefe de la Asesoría Jurídica del Senado, en representación de esta Cámara, formuló alegaciones solicitando la desestimación del recurso en todos sus puntos.</w:t>
      </w:r>
    </w:p>
    <w:p w:rsidR="00D06117" w:rsidRDefault="00D06117" w:rsidP="00D06117">
      <w:pPr>
        <w:pStyle w:val="TextoNormal"/>
      </w:pPr>
    </w:p>
    <w:p w:rsidR="00D06117" w:rsidRDefault="00D06117" w:rsidP="00D06117">
      <w:pPr>
        <w:pStyle w:val="TextoNormal"/>
      </w:pPr>
      <w:r>
        <w:t>Tras precisar que en el marco de una impugnación por defectuosa técnica de una ley ordinaria debe tenerse en cuenta la tesis de la “deferencia judicial”, dominante en la interpretación judicial norteamericana (ejercicio del self-restraint), y tras recordar la concepción de la ley como voluntad general, subraya el Letrado del Senado que las objeciones que se formulan en el recurso nada tienen que ver con contenidos especialmente protegidos ni con el derecho al procedimiento, ni tampoco con los específicos mandatos del art. 9 CE. En efecto, a su juicio, la presunción de constitucionalidad de la ley, consecuencia del principio mayoritario, no puede sustituirse por la presunción de inconstitucionalidad basada en la teoría de la neocodificación. El principio de seguridad jurídica invocado por la recurrente no es sino, en el análisis que de él ha hecho el Tribunal Constitucional, una síntesis de los demás principios reconocidos en el citado precepto, a saber, la suma de certeza y legalidad, jerarquía y publicidad normativa, irretroactividad de lo no favorable e interdicción de la arbitrariedad (STC 27/1981). De esta manera, cuando una norma constituye un mandato cierto, publicado y preciso, no puede considerarse como generadora de incertidumbre o inseguridad en su contenido (STC 99/1987).</w:t>
      </w:r>
    </w:p>
    <w:p w:rsidR="00D06117" w:rsidRDefault="00D06117" w:rsidP="00D06117">
      <w:pPr>
        <w:pStyle w:val="TextoNormal"/>
      </w:pPr>
    </w:p>
    <w:p w:rsidR="00D06117" w:rsidRDefault="00D06117" w:rsidP="00D06117">
      <w:pPr>
        <w:pStyle w:val="TextoNormal"/>
      </w:pPr>
      <w:r>
        <w:t xml:space="preserve">Para el representante del Senado la cuestión de la técnica legislativa no tiene conexión con la posible invalidez constitucional de la norma, pues el constituyente, al reconocer la existencia de leyes específicas, no ha creado la necesidad de que cada ley ordinaria tenga un presupuesto de hecho habilitante para el ejercicio de la potestad legislativa ni ha incluido la cláusula de no ejercicio de la potestad legislativa a través de una ley de contenido inespecífico, heterogéneo o indeterminado que se apruebe una vez al año. Ni siquiera ha prohibido siquiera una ley universal, que afecte a la calidad de las leyes del ordenamiento jurídico vigente. El calificar una ley como cómodo cajón de sastre o el adornarla con calificativos </w:t>
      </w:r>
      <w:r>
        <w:lastRenderedPageBreak/>
        <w:t>académicos despectivos nada tiene que ver con la singular tesis de la habilitación caso por caso de la potestad legislativa, que convierte al intérprete de la Constitución y al que impetra su juicio en auténtico constituyente. Existen y existirán leyes que tienen contenidos fragmentarios o que incluyen materias sin conexión cierta con el objeto principal que el título de la ley enuncia. Como toda claridad ha señalado la STC 57/1989, “la regulación de una determinada materia puede depender de la propia oportunidad parlamentaria o de la conveniencia legislativa del momento que haga aconsejable forme parte de uno u otro texto legal”. De este modo, el legislador no está sometido a un modelo canónico de ordenación de contenidos, a una especie de mecano de piezas para armar conforme a un manual de instrucciones, siendo la ley de contenido complejo o ley ómnibus una manifestación primordial del creciente margen de intervención de los Parlamentos en aspectos de la realidad social sometidos a una dinámica que en nada se parece a la realidad del siglo pasado. No tiene sentido identificar hoy en día la seguridad jurídica con una obsesión porque la norma incida sobre una única materia o sector, o sobre un único apartado académico del Derecho.</w:t>
      </w:r>
    </w:p>
    <w:p w:rsidR="00D06117" w:rsidRDefault="00D06117" w:rsidP="00D06117">
      <w:pPr>
        <w:pStyle w:val="TextoNormal"/>
      </w:pPr>
    </w:p>
    <w:p w:rsidR="00D06117" w:rsidRDefault="00D06117" w:rsidP="00D06117">
      <w:pPr>
        <w:pStyle w:val="TextoNormal"/>
      </w:pPr>
      <w:r>
        <w:t>Respecto de la alegación de la Junta de Comunidades de la vulneración del principio de interdicción de la arbitrariedad de los poderes públicos por no contener la modificación operada una compensación suficiente para contrarrestar el efecto que produce la existencia del trasvase, a juicio del representante del Senado no puede aceptarse desde el momento en que el propio recurso considera razonable el nuevo método de cálculo del canon, aceptando implícitamente que es razonable y ponderado a los costes iniciales históricos de la obra pública.</w:t>
      </w:r>
    </w:p>
    <w:p w:rsidR="00D06117" w:rsidRDefault="00D06117" w:rsidP="00D06117">
      <w:pPr>
        <w:pStyle w:val="TextoNormal"/>
      </w:pPr>
    </w:p>
    <w:p w:rsidR="00D06117" w:rsidRDefault="00D06117" w:rsidP="00D06117">
      <w:pPr>
        <w:pStyle w:val="TextoNormal"/>
      </w:pPr>
      <w:r>
        <w:t>Por otra parte, subraya el representante del Senado que al no haberse invocado ninguna vulneración competencial, salvo en términos inespecíficos e indirectos, parece claro que se admite que las normas que regulan determinados aspectos del trasvase Tajo-Segura no son impugnables por razón de la competencia. Además, el Estado está ejerciendo unas competencias exclusivas, como son los aprovechamientos hidráulicos de aguas que discurren por más de una Comunidad Autónoma (art. 149.1.22 CE) y las obras públicas de interés general o cuya realización afecte a más de una Comunidad Autónoma (art. 149.1.24 CE) que no es del interés exclusivo de una Comunidad Autónoma por lo que, por definición, no puede afectar a la solidaridad y equilibrio interterritorial, al operar en el ámbito del interés general. La STC 227/1988 es clara y no admite duda alguna sobre la competencia exclusiva del Estado para legislar en materia de ordenación de los recursos hidráulicos.</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8 de mayo de 2012 se señaló para deliberación y votación de la presente Sentencia dicho día.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del presente recurso de inconstitucionalidad es analizar la constitucionalidad de los arts. 89 y 90 de la Ley 24/2001, de 27 de diciembre, de medidas fiscales, administrativas y del orden social.</w:t>
      </w:r>
    </w:p>
    <w:p w:rsidR="00D06117" w:rsidRDefault="00D06117" w:rsidP="00D06117">
      <w:pPr>
        <w:pStyle w:val="TextoNormal"/>
      </w:pPr>
    </w:p>
    <w:p w:rsidR="00D06117" w:rsidRDefault="00D06117" w:rsidP="00D06117">
      <w:pPr>
        <w:pStyle w:val="TextoNormal"/>
      </w:pPr>
      <w:r>
        <w:t xml:space="preserve">El art. 89 de la Ley 24/2001, de 27 de diciembre, objeto del presente proceso constitucional, modifica la Ley 52/1980, de 16 de octubre, de regulación del régimen económico de la explotación del acueducto Tajo-Segura, y, concretamente, sustituye en la forma de cálculo </w:t>
      </w:r>
      <w:r>
        <w:lastRenderedPageBreak/>
        <w:t>de la tarifa de conducción de las aguas excedentarias trasvasadas desde la cuenca del Tajo a la del Segura, la aportación consistente en el “coste de las obras” por el de “amortización del coste de las obras” [art. 7.1 a)]; sustituye igualmente para el cálculo de la tarifa el valor del “coste total de las obras” por el de “coste total no amortizado de las obras” [art. 7.2 a)]; sustituye en la actualización bianual de la tarifa la referencia al “coste de las obras” por la de “a la amortización del coste de las obras” (art. 14); y, en fin, añade una precisión a la utilización de la infraestructura del acueducto Tajo-Segura para el aprovechamiento, dentro de la provincia de Albacete, de los recursos subterráneos existentes, de manera que los beneficiarios de “las aguas concedidas como compensación a las infiltradas en el túnel del Talave … participarán exclusivamente en el reparto de los gastos fijos de funcionamiento” (disposición adicional sexta, segundo párrafo).</w:t>
      </w:r>
    </w:p>
    <w:p w:rsidR="00D06117" w:rsidRDefault="00D06117" w:rsidP="00D06117">
      <w:pPr>
        <w:pStyle w:val="TextoNormal"/>
      </w:pPr>
    </w:p>
    <w:p w:rsidR="00D06117" w:rsidRDefault="00D06117" w:rsidP="00D06117">
      <w:pPr>
        <w:pStyle w:val="TextoNormal"/>
      </w:pPr>
      <w:r>
        <w:t>Por su parte, el art. 90 de la Ley 24/2001, de 27 de diciembre, modifica el art. 5 del Real Decreto-ley 8/1995, de 4 de agosto, por el que se adoptan medidas urgentes de mejora del aprovechamiento del trasvase Tajo-Segura, para incorporar un nuevo apartado 3 referente a la forma de cálculo de la tarifa a abonar por los beneficiarios de las aguas derivadas a la cuenca alta del Guadiana, a través del acueducto, por el uso del tramo que utilicen de esa infraestructura.</w:t>
      </w:r>
    </w:p>
    <w:p w:rsidR="00D06117" w:rsidRDefault="00D06117" w:rsidP="00D06117">
      <w:pPr>
        <w:pStyle w:val="TextoNormal"/>
      </w:pPr>
    </w:p>
    <w:p w:rsidR="00D06117" w:rsidRDefault="00D06117" w:rsidP="00D06117">
      <w:pPr>
        <w:pStyle w:val="TextoNormal"/>
      </w:pPr>
      <w:r w:rsidRPr="00D06117">
        <w:rPr>
          <w:rStyle w:val="NumeroAFNegritaCaracter"/>
        </w:rPr>
        <w:t>2</w:t>
      </w:r>
      <w:r>
        <w:t>. Considera el Consejo de Gobierno de la Junta de Comunidades de Castilla-La Mancha que los preceptos impugnados son contrarios al art. 9.3 CE, por ir incluidos en una ley de “acompañamiento” o ley “ómnibus”, esto es, en una ley sin objeto predeterminado, cuya publicación formal no implica que las normas que contiene sean conocidas por sus destinatarios sin necesidad de una diligencia extraordinaria. Antes al contrario, la acumulación de preceptos inconexos hace imposible a los ciudadanos, a su juicio, el conocimiento de los preceptos que se encuentran obligados a cumplir.</w:t>
      </w:r>
    </w:p>
    <w:p w:rsidR="00D06117" w:rsidRDefault="00D06117" w:rsidP="00D06117">
      <w:pPr>
        <w:pStyle w:val="TextoNormal"/>
      </w:pPr>
    </w:p>
    <w:p w:rsidR="00D06117" w:rsidRDefault="00D06117" w:rsidP="00D06117">
      <w:pPr>
        <w:pStyle w:val="TextoNormal"/>
      </w:pPr>
      <w:r>
        <w:t>Esta cuestión ha sido recientemente resuelta por este Tribunal, en el sentido de rechazar el citado planteamiento, no sólo porque la publicación de una disposición en el “Boletín Oficial del Estado” (como ha sucedido en el presente caso, concretamente, en el “BOE” núm. 313, de 31 de diciembre de 2001), “basta para el conocimiento formal de las disposiciones que la norma publicada incorpora”, sino también porque, desde la estricta perspectiva constitucional que nos ocupa, no es posible imputar a la norma impugnada una quiebra del principio de seguridad jurídica previsto en el art. 9.3 CE por tratarse de una ley de contenido indefinido, sin objeto predeterminado, “pues la norma tiene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[STC 136/2011, de 13 de septiembre, FJ 9; y también STC 176/2011, de 8 de noviembre, FJ 2 e)].</w:t>
      </w:r>
    </w:p>
    <w:p w:rsidR="00D06117" w:rsidRDefault="00D06117" w:rsidP="00D06117">
      <w:pPr>
        <w:pStyle w:val="TextoNormal"/>
      </w:pPr>
    </w:p>
    <w:p w:rsidR="00D06117" w:rsidRDefault="00D06117" w:rsidP="00D06117">
      <w:pPr>
        <w:pStyle w:val="TextoNormal"/>
      </w:pPr>
      <w:r>
        <w:t xml:space="preserve">Por tanto, como hemos tenido ya ocasión de afirmar, no es suficiente para considerar inconstitucional la Ley 24/2001 “el que se haya recurrido al expediente de utilizar un solo vehículo que ampare preceptos en muchas materias y sectores, por muy desaconsejable que tal práctica parezca técnicamente. Al hacerlo el legislador ha optado por la tramitación y aprobación simultánea de un conjunto de normas jurídicas cada una de ellas con su propia virtualidad y fuerza innovadora del ordenamiento jurídico, lo que en sí mismo no vulnera el </w:t>
      </w:r>
      <w:r>
        <w:lastRenderedPageBreak/>
        <w:t>art. 9.3 CE”. Y es que dicha forma de proceder podrá ser, en su caso, “expresión de una mala técnica legislativa, mas de dicha circunstancia no cabe inferir de modo necesario una infracción del mencionado principio constitucional”, dado que, como señalan el Abogado del Estado y el Letrado del Senado, “el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(STC 136/2001, de 13 de septiembre, FJ 9).</w:t>
      </w:r>
    </w:p>
    <w:p w:rsidR="00D06117" w:rsidRDefault="00D06117" w:rsidP="00D06117">
      <w:pPr>
        <w:pStyle w:val="TextoNormal"/>
      </w:pPr>
    </w:p>
    <w:p w:rsidR="00D06117" w:rsidRDefault="00D06117" w:rsidP="00D06117">
      <w:pPr>
        <w:pStyle w:val="TextoNormal"/>
      </w:pPr>
      <w:r>
        <w:t>En el caso analizado, los dos preceptos impugnados son claros, sin que ofrezcan especiales dificultades de comprensión y entendimiento que puedan inducir a sus eventuales destinatarios a error o confusión. Y de existir, como se sostiene, era labor del Consejo de Gobierno recurrente la de explicitar las razones por las que se considera que la duda sembrada entre sus potenciales destinatarios es insuperable y, por tanto, merecedora de una declaración de inconstitucionalidad. No habiéndolo hecho así, debe rechazarse la denunciada vulneración del principio de seguridad jurídica (art. 9.3 CE).</w:t>
      </w:r>
    </w:p>
    <w:p w:rsidR="00D06117" w:rsidRDefault="00D06117" w:rsidP="00D06117">
      <w:pPr>
        <w:pStyle w:val="TextoNormal"/>
      </w:pPr>
    </w:p>
    <w:p w:rsidR="00D06117" w:rsidRDefault="00D06117" w:rsidP="00D06117">
      <w:pPr>
        <w:pStyle w:val="TextoNormal"/>
      </w:pPr>
      <w:r w:rsidRPr="00D06117">
        <w:rPr>
          <w:rStyle w:val="NumeroAFNegritaCaracter"/>
        </w:rPr>
        <w:t>3</w:t>
      </w:r>
      <w:r>
        <w:t>. Señala también el Consejo de Gobierno de la Junta de Comunidades de Castilla-La Mancha que los preceptos impugnados son igualmente contrarios al art. 9.3 CE, pero esta vez por razones que afectan al procedimiento parlamentario de tramitación de la Ley 24/2001. Pues bien, antes de entrar a dar una respuesta singularizada a cada una de las cuestiones planteadas debe señalarse que “la inobservancia de los preceptos que regulan el procedimiento legislativo podría viciar de inconstitucionalidad la ley cuando esa inobservancia altere de modo sustancial el proceso de formación de voluntad en el seno de las Cámaras”. No basta, en consecuencia, “cualquier vicio o inobservancia de los previstos en las normas que regulan el procedimiento parlamentario para declarar la eventual inconstitucionalidad de la norma o disposición con que se pone fin al mismo”, pues “tal inconstitucionalidad sólo se producirá si el vicio o inobservancia denunciada afecta esencialmente al proceso de formación de la voluntad de los parlamentarios, de modo que sólo los vicios o defectos más graves provocan un déficit democrático en el proceso de elaboración de una norma que podría conducir a su declaración de inconstitucionalidad” (STC 136/2011, de 13 de septiembre, FJ 9).</w:t>
      </w:r>
    </w:p>
    <w:p w:rsidR="00D06117" w:rsidRDefault="00D06117" w:rsidP="00D06117">
      <w:pPr>
        <w:pStyle w:val="TextoNormal"/>
      </w:pPr>
    </w:p>
    <w:p w:rsidR="00D06117" w:rsidRDefault="00D06117" w:rsidP="00D06117">
      <w:pPr>
        <w:pStyle w:val="TextoNormal"/>
      </w:pPr>
      <w:r>
        <w:t xml:space="preserve">a) La primera denuncia hace referencia al hecho de no haberse dado intervención a la Comunidad Autónoma durante la tramitación parlamentaria del proyecto de ley, intervención que, a su juicio, es exigible a tenor de lo dispuesto en la Ley del plan hidrológico nacional, al tratarse de una decisión que afecta al ámbito de competencias autonómico, concretamente, a las recogidas en el art. 31.1.2 del Estatuto de Autonomía. Como puede comprobarse, el Consejo de Gobierno recurrente denuncia la omisión de un trámite que considera obligatorio y a cuyo incumplimiento anuda la inconstitucionalidad de la norma y, sin embargo, como señala el Abogado del Estado, no concreta el precepto en el que basa esa pretensión. Pues bien, hemos de comenzar recordando que, cuando lo que está en juego es la depuración del ordenamiento jurídico, es carga del recurrente la de ofrecer la fundamentación que razonablemente es de esperar, de manera que en los casos en que ésta no se atiende se incurre en una falta de diligencia procesalmente exigible (por todas, SSTC 16/2003, de 30 de enero, FJ 9; 245/2004, de 16 de diciembre, FJ 3; y 112/2006, de 5 de abril, FJ 19), como sucede en el presente supuesto en el que el Consejo de Gobierno de la Junta de Comunidades de Castilla-La Mancha se limita a invocar el incumplimiento de un </w:t>
      </w:r>
      <w:r>
        <w:lastRenderedPageBreak/>
        <w:t>pretendido trámite de audiencia previa sin especificar la norma concreta que le confiere ese derecho.</w:t>
      </w:r>
    </w:p>
    <w:p w:rsidR="00D06117" w:rsidRDefault="00D06117" w:rsidP="00D06117">
      <w:pPr>
        <w:pStyle w:val="TextoNormal"/>
      </w:pPr>
    </w:p>
    <w:p w:rsidR="00D06117" w:rsidRDefault="00D06117" w:rsidP="00D06117">
      <w:pPr>
        <w:pStyle w:val="TextoNormal"/>
      </w:pPr>
      <w:r>
        <w:t>Esto sentado, debe añadirse a renglón seguido que, de un lado y como señala el Abogado del Estado, de la Ley 10/2001, de 5 de julio, del plan hidrológico nacional, no es posible deducir el derecho de la Comunidad Autónoma a intervenir preceptivamente con carácter previo o durante la tramitación de la ley objeto del presente proceso constitucional, aunque algunos de sus preceptos (concretamente, los arts. 89 y 90 impugnados) afecten a la forma de cálculo de la tarifa de conducción de las aguas excedentarias trasvasadas dese la cuenca del Tajo a la del Segura. De otro lado, tampoco del art. 31.1.2 de la Ley Orgánica 9/1982, de 10 de agosto, de Estatuto de Autonomía de Castilla-La Mancha (en la redacción vigente al momento de dictarse la norma impugnada), que atribuye a la Junta de Comunidades de Castilla-La Mancha la competencia exclusiva en materia “ordenación del territorio, urbanismo y vivienda”, es posible colegir la pretendida audiencia preceptiva como un trámite sustancial del procedimiento parlamentario de aprobación de la Ley de medidas fiscales, administrativas y del orden social. Debe rechazarse, en consecuencia, el vicio alegado.</w:t>
      </w:r>
    </w:p>
    <w:p w:rsidR="00D06117" w:rsidRDefault="00D06117" w:rsidP="00D06117">
      <w:pPr>
        <w:pStyle w:val="TextoNormal"/>
      </w:pPr>
    </w:p>
    <w:p w:rsidR="00D06117" w:rsidRDefault="00D06117" w:rsidP="00D06117">
      <w:pPr>
        <w:pStyle w:val="TextoNormal"/>
      </w:pPr>
      <w:r>
        <w:t>b) Añade también el Consejo de Gobierno recurrente otro vicio en el procedimiento parlamentario, esta vez referido al hecho de que el proyecto de ley se tramitó en la Comisión de Economía y Hacienda del Congreso, y en la de Economía, Comercio y Turismo del Senado, y no en la competente por razón de cada materia, en contra de lo señalado en el art. 43 del Reglamento del Congreso de los Diputados y concordante del Senado. A este respecto debe señalarse, en primer lugar, que estamos en presencia de un acto de trámite (la atribución a una comisión del conocimiento de un proyecto de ley) inserto en un procedimiento parlamentario cuya eventual inobservancia sólo podría alcanzar relevancia constitucional y, por tanto, viciar de inconstitucionalidad la ley resultante cuando, como hemos señalado anteriormente y debemos reiterar ahora, esa inobservancia altere de modo sustancial el proceso de formación de voluntad de una Cámara, extremo éste que no sólo no se deduce de la pretendida irregularidad denunciada, sino que ni siquiera se alega. Antes al contrario, el Consejo de Gobierno recurrente se limita a poner de manifiesto de forma genérica la pretendida irregularidad de una eventual incompetencia de la comisión que ha conocido del proyecto, pero lo hace sin concretar las razones por las que considera que era incompetente por tener la competencia otra.</w:t>
      </w:r>
    </w:p>
    <w:p w:rsidR="00D06117" w:rsidRDefault="00D06117" w:rsidP="00D06117">
      <w:pPr>
        <w:pStyle w:val="TextoNormal"/>
      </w:pPr>
    </w:p>
    <w:p w:rsidR="00D06117" w:rsidRDefault="00D06117" w:rsidP="00D06117">
      <w:pPr>
        <w:pStyle w:val="TextoNormal"/>
      </w:pPr>
      <w:r>
        <w:t>Pero es que, en segundo lugar, la decisión de atribuir el conocimiento de un proyecto a una u otra comisión es una función de la Mesa del Congreso de los Diputados (arts. 43.1 y 109 del Reglamento del Congreso de los Diputados) o del Senado (arts. 54 y 104.2 del Reglamento del Senado), de manera que, cuando por razón de la materia un proyecto, proposición o asunto pueda corresponder, en principio, a varias comisiones, se encomendará a aquella “que sea de la competencia principal de una comisión” (así se deduce del art. 43.2 del Reglamento del Congreso de los Diputados). Se trata, pues, de una decisión de mera oportunidad parlamentaria que, en sí misma, no conlleva merma alguna de los principios constitucionales que han de informar el procedimiento legislativo en cuanto procedimiento de formación de la voluntad del órgano. Debe rechazarse, por tanto, esta otra irregularidad del procedimiento legislativo.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El siguiente vicio que imputa el Consejo de Gobierno de la Junta de Comunidades recurrente a los preceptos impugnados es la vulneración de la prohibición de arbitrariedad </w:t>
      </w:r>
      <w:r>
        <w:lastRenderedPageBreak/>
        <w:t>(art. 9.3 CE), no sólo por considerar que están huérfanos de motivación sino por provocar una disminución de los recursos a recibir por la Comunidad de Castilla-La Mancha por el agua cedida, generando un trato desigual entre todos los beneficiarios por las compensaciones provenientes de los distintos trasvases.</w:t>
      </w:r>
    </w:p>
    <w:p w:rsidR="00D06117" w:rsidRDefault="00D06117" w:rsidP="00D06117">
      <w:pPr>
        <w:pStyle w:val="TextoNormal"/>
      </w:pPr>
    </w:p>
    <w:p w:rsidR="00D06117" w:rsidRDefault="00D06117" w:rsidP="00D06117">
      <w:pPr>
        <w:pStyle w:val="TextoNormal"/>
      </w:pPr>
      <w:r>
        <w:t>Debe insistirse una vez más en que el control de la constitucionalidad de las leyes debe ejercerse por este Tribunal de forma que no se impongan constricciones indebidas al poder legislativo y se respeten sus legítimas opciones políticas. Por lo demás, como venimos señalando desde muy antiguo, el cuidado que este Tribunal ha de observar para mantenerse dentro de los límites del control del legislador democrático debe extremarse cuando se trata de aplicar preceptos generales e indeterminados, como es el de la interdicción de la arbitrariedad. Así, al examinar una norma legal desde este punto de vista,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sin que sea pertinente realizar un análisis a fondo de todas las motivaciones posibles de la norma y de todas sus eventuales consecuencias [entre las últimas, STC 136/2011, de 13 de septiembre, FJ 12 b)].</w:t>
      </w:r>
    </w:p>
    <w:p w:rsidR="00D06117" w:rsidRDefault="00D06117" w:rsidP="00D06117">
      <w:pPr>
        <w:pStyle w:val="TextoNormal"/>
      </w:pPr>
    </w:p>
    <w:p w:rsidR="00D06117" w:rsidRDefault="00D06117" w:rsidP="00D06117">
      <w:pPr>
        <w:pStyle w:val="TextoNormal"/>
      </w:pPr>
      <w:r>
        <w:t>Precisado lo anterior hemos de afirmar, ante todo, que no se aprecia que los preceptos cuestionados establezcan discriminación de ningún tipo, aun cuando el Consejo de Gobierno recurrente así lo defienda, su alegación no deja de ser una mera imputación genérica pues ni identifica dónde está el trato desigual, ni especifica cuáles son esos otros beneficiarios que estarían recibiendo un mejor trato, ni, en fin, cuantifica las diferentes compensaciones que estarían recibiendo unos y otros, y que generarían la diferencia de trato que se considera inconstitucional. No habiendo cumplido la parte recurrente con su deber de ofrecer la fundamentación que razonablemente es de esperar para poder analizar la violación denunciada, no cabe sino rechazar la pretendida inconstitucionalidad.</w:t>
      </w:r>
    </w:p>
    <w:p w:rsidR="00D06117" w:rsidRDefault="00D06117" w:rsidP="00D06117">
      <w:pPr>
        <w:pStyle w:val="TextoNormal"/>
      </w:pPr>
    </w:p>
    <w:p w:rsidR="00D06117" w:rsidRDefault="00D06117" w:rsidP="00D06117">
      <w:pPr>
        <w:pStyle w:val="TextoNormal"/>
      </w:pPr>
      <w:r>
        <w:t xml:space="preserve">Pero es que a lo anterior hay que añadir que las normas impugnadas tampoco carecen de toda explicación racional pues, como señala el Abogado del Estado y consta en la memoria justificativa que acompañaba a la propuesta del Ministerio de Medio Ambiente de incorporar ambos preceptos en el anteproyecto de Ley de medidas, respondían a “los usos sobrevenidos”, a la necesidad de corregir “las dificultades encontradas en la aplicación de estas normas” (los arts. 7 y 14, y las disposiciones adicionales 1 y 6 de la Ley 52/1980, de 16 de octubre, de regulación del régimen económico de la explotación del acueducto Tajo-Segura, y el art. 5 del Real Decreto-ley 84/1995, de 4 de agosto, por el que se adoptan medidas urgentes de mejora del aprovechamiento del trasvase Tajo-Segura), y a “la interpretación que de las mismas se ha hecho en las sucesivas sentencias del Tribunal Supremo”. Esto hacía aconsejable “la introducción de algunas modificaciones” en la redacción de una y otra norma legal, a los efectos no sólo de “recoger explícitamente la amortización del coste de las obras, según la interpretación efectuada por el Tribunal Supremo en la Sentencia de 13 de febrero de 1999”, sino también de “hacer posible la aplicación de tarifas a las derivaciones a los abastecimientos del Alto Guadiana y a las Tablas de Daimiel, así como a los usos del acueducto para aprovechamiento de las aguas afloradas por el túnel de Talave”, y de fijar una contribución para los beneficiarios del aprovechamiento de los recursos subterráneos de la provincia de Albacete que se sirvan de la infraestructura del acueducto, no por los conceptos de aportación al coste de las obras o de gastos variables de funcionamiento, </w:t>
      </w:r>
      <w:r>
        <w:lastRenderedPageBreak/>
        <w:t>por tratarse de volúmenes de agua que reponen a los aflorados por el túnel del Talave, pero sí, por razones de justicia, por los gastos fijos de funcionamiento en los tramos del acueducto utilizados para dicha reposición.</w:t>
      </w:r>
    </w:p>
    <w:p w:rsidR="00D06117" w:rsidRDefault="00D06117" w:rsidP="00D06117">
      <w:pPr>
        <w:pStyle w:val="TextoNormal"/>
      </w:pPr>
    </w:p>
    <w:p w:rsidR="00D06117" w:rsidRDefault="00D06117" w:rsidP="00D06117">
      <w:pPr>
        <w:pStyle w:val="TextoNormal"/>
      </w:pPr>
      <w:r>
        <w:t>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Debe rechazarse también esta vulneración.</w:t>
      </w:r>
    </w:p>
    <w:p w:rsidR="00D06117" w:rsidRDefault="00D06117" w:rsidP="00D06117">
      <w:pPr>
        <w:pStyle w:val="TextoNormal"/>
      </w:pPr>
    </w:p>
    <w:p w:rsidR="00D06117" w:rsidRDefault="00D06117" w:rsidP="00D06117">
      <w:pPr>
        <w:pStyle w:val="TextoNormal"/>
      </w:pPr>
      <w:r w:rsidRPr="00D06117">
        <w:rPr>
          <w:rStyle w:val="NumeroAFNegritaCaracter"/>
        </w:rPr>
        <w:t>5</w:t>
      </w:r>
      <w:r>
        <w:t>. Denuncia el Consejo de Gobierno de la Junta de Comunidades de Castilla-La Mancha en último lugar, por razones similares al motivo anterior, la vulneración del principio de solidaridad y equilibrio interterritorial (arts. 2 y 138.1, ambos de la Constitución Española), al reducir los preceptos impugnados las compensaciones que debería recibir la Comunidad Autónoma por la imposibilidad del uso de los recursos naturales presentes en su territorio, a la vez que impone el pago por la restitución de caudales de agua perdidos, no trasvasables.</w:t>
      </w:r>
    </w:p>
    <w:p w:rsidR="00D06117" w:rsidRDefault="00D06117" w:rsidP="00D06117">
      <w:pPr>
        <w:pStyle w:val="TextoNormal"/>
      </w:pPr>
    </w:p>
    <w:p w:rsidR="00D06117" w:rsidRDefault="00D06117" w:rsidP="00D06117">
      <w:pPr>
        <w:pStyle w:val="TextoNormal"/>
      </w:pPr>
      <w:r>
        <w:t>A este respecto debe recordarse, siquiera brevemente, que el “agua” es un “recurso esencial”, de carácter “unitario e integrante de un mismo ciclo (hidrológico)”, de manera que “corresponde al legislador estatal en exclusiva la potestad para excluir genéricamente del tráfico jurídico privado las aguas continentales, consideradas como un género de bienes naturales o un recurso natural unitario, y para integrarlas en el dominio público del Estado” (STC 227/1988, de 29 de noviembre, FJ 14), siendo responsabilidad del Estado no sólo la de definir legislativamente el dominio público estatal, sino también la de establecer, por mandato constitucional, su régimen jurídico (SSTC 46/2007, de 1 de marzo, FJ 12; y 149/2011, de 28 de septiembre, FJ 7). Y ello porque debe entenderse incluida tanto “en el concepto material de legislación civil, a que se refiere el art. 149.1.8 de la Constitución, como porque atañe a las condiciones básicas o posiciones jurídicas fundamentales de todos los españoles en el ejercicio de los derechos constitucionales, respecto de los que el Estado debe garantizar la igualdad sustancial, mediante su propia regulación, de acuerdo con el art. 149.1.1 de la Constitución” [STC 247/2007, de 12 de diciembre, FJ 21 d)]. Ello sin perjuicio, claro está, “de las competencias atribuidas a las Comunidades Autónomas sobre la gestión y aprovechamiento de los recursos hidráulicos, en virtud de la Constitución y de sus respectivos Estatutos de Autonomía” [STC 247/2007, de 12 de diciembre, FJ 21 e)].</w:t>
      </w:r>
    </w:p>
    <w:p w:rsidR="00D06117" w:rsidRDefault="00D06117" w:rsidP="00D06117">
      <w:pPr>
        <w:pStyle w:val="TextoNormal"/>
      </w:pPr>
    </w:p>
    <w:p w:rsidR="00D06117" w:rsidRDefault="00D06117" w:rsidP="00D06117">
      <w:pPr>
        <w:pStyle w:val="TextoNormal"/>
      </w:pPr>
      <w:r>
        <w:t xml:space="preserve">En efecto, aunque el art. 132.2 CE “no es en sí mismo una norma de distribución de competencias”, sí establece “una reserva de ley”, “de ley del Estado”, para completar la enumeración de los bienes del dominio público estatal (STC 227/1988, de 29 de noviembre, FJ 14). De esta manera, aunque “la titularidad estatal del dominio público y la competencia para determinar las categorías de bienes que lo integran no son, en sí mismos, criterios de delimitación competencial por lo que, en consecuencia, la naturaleza demanial de un bien no lo aísla de su entorno ni lo sustrae de las competencias que correspondan a otros entes públicos que no ostentan esa titularidad” [SSTC 149/1991, de 4 de julio, FJ 1 c); 9/2001, de 18 de enero, FJ 16; 46/2007, de 1 de marzo, FJ 12; y 247/2007, de 12 de diciembre, FJ 21], </w:t>
      </w:r>
      <w:r>
        <w:lastRenderedPageBreak/>
        <w:t>sin embargo, la redistribución de los sobrantes de aguas de cuencas excedentarias es una materia cuya regulación corresponde en exclusiva a la legislación estatal, de manera que su libertad de configuración no puede quedar constreñida siquiera por las normas estatutarias (STC 247/2007, de 12 de diciembre, FJ 22).</w:t>
      </w:r>
    </w:p>
    <w:p w:rsidR="00D06117" w:rsidRDefault="00D06117" w:rsidP="00D06117">
      <w:pPr>
        <w:pStyle w:val="TextoNormal"/>
      </w:pPr>
    </w:p>
    <w:p w:rsidR="00D06117" w:rsidRDefault="00D06117" w:rsidP="00D06117">
      <w:pPr>
        <w:pStyle w:val="TextoNormal"/>
      </w:pPr>
      <w:r>
        <w:t>Por otra parte, junto con la anterior reserva legal en materia demanial, el art. 149.1.22 CE atribuye al Estado la competencia en materia de legislación, ordenación y concesión de recursos y aprovechamientos hidráulicos en las cuencas intercomunitarias, asumiéndose así que las aguas de una misma cuenca, también las subterráneas que convergen en la red de cauces de una cuenca hidrográfica [SSTC 227/1988, de 29 de noviembre, FJ 16; 30/2011, de 16 de marzo, FJ 5 f); y 32/2011, de 17 de marzo, FJ 5 f)], forman un conjunto integrado que deber ser gestionado de forma homogénea, de manera que “el criterio de la cuenca hidrográfica como unidad de gestión permite una administración equilibrada de los recursos hidráulicos que la integran, en atención al conjunto de intereses afectados” [SSTC 227/1988, de 29 de noviembre, FJ 15; 30/2011, de 16 de marzo, FJ 6; y 32/2011, de 17 de marzo, FJ 6]. De este modo, el derecho al abastecimiento de agua, desde la perspectiva del Estado social de Derecho consagrado en nuestra Constitución (art. 1 CE) permite “que se atiendan dichas necesidades, en aras del valor de la justicia” [STC 247/2007, de 12 de diciembre, FJ 20 a)], razón por la cual no puede considerarse el uso del agua por las cuencas cesionarias como un “privilegio económico o social” [STC 247/2007, de 12 de diciembre, FJ 20 c)], ni, por tanto, como una discriminación para las cuencas cedentes, siempre y cuando el ejercicio de aquel derecho se haga mediante “criterios de sostenibilidad”, esto es, mediante una “utilización racional”, lo que “se acomoda a los criterios propios del principio de solidaridad” [SSTC 247/2007, de 12 de diciembre, FJ 20 c); y 249/2007, de 13 de diciembre, FJ 5 c)].</w:t>
      </w:r>
    </w:p>
    <w:p w:rsidR="00D06117" w:rsidRDefault="00D06117" w:rsidP="00D06117">
      <w:pPr>
        <w:pStyle w:val="TextoNormal"/>
      </w:pPr>
    </w:p>
    <w:p w:rsidR="00D06117" w:rsidRDefault="00D06117" w:rsidP="00D06117">
      <w:pPr>
        <w:pStyle w:val="TextoNormal"/>
      </w:pPr>
      <w:r>
        <w:t>De lo anterior se puede concluir que al legislador estatal le corresponde la determinación de los bienes que, aparte de los citados en el art. 132.2 CE, forman parte del dominio público, y puesto que ha incluido entre tales el agua, como recurso esencial, es de su responsabilidad, por mandato constitucional, la de concretar su régimen jurídico y, dentro del mismo, su régimen económico. Si a esto unimos que los principios de igualdad material y solidaridad que sancionan los arts. 2, 9.2, 40, 138.1 y 2, y 139, todos ellos de la Constitución “vinculan a todos los poderes públicos, en el ejercicio de sus respectivas competencias, y no sólo al Estado” (SSTC 150/1990, de 4 de octubre, FJ 11; y 13/2007, de 18 de enero, FJ 7), y que al Estado le corresponde garantizar, de conformidad con el art. 138 CE, “la realización efectiva del principio de solidaridad consagrado en el art. 2 de la Constitución, velando por el establecimiento de un equilibrio económico, adecuado y justo entre las diversas partes del territorio español” (por todas, STC 13/2007, de 18 de enero, FJ 7), no cabe duda alguna de que es al Estado, en la determinación del régimen económico del agua y, concretamente, en la regulación de las tarifas por la explotación del acueducto Tajo-Segura, a quien corresponde ponderar los intereses en conflicto (los de las cuencas cedentes y cesionarias), para, atendido el principio de solidaridad interterritorial y de equilibrio económico entre las diversas partes del territorio español, fijar el contenido y alcance, subjetiva y objetivamente, de tales tarifas.</w:t>
      </w:r>
    </w:p>
    <w:p w:rsidR="00D06117" w:rsidRDefault="00D06117" w:rsidP="00D06117">
      <w:pPr>
        <w:pStyle w:val="TextoNormal"/>
      </w:pPr>
    </w:p>
    <w:p w:rsidR="00D06117" w:rsidRDefault="00D06117" w:rsidP="00D06117">
      <w:pPr>
        <w:pStyle w:val="TextoNormal"/>
      </w:pPr>
      <w:r>
        <w:t xml:space="preserve">No obstante lo anterior, el Consejo de Gobierno recurrente considera insolidaria la disminución de la tarifa de conducción del agua para los destinatarios del trasvase y, por tanto, la disminución de los recursos que debe percibir. Sin embargo, debe señalarse que esa reducción de la tarifa no puede calificarse en modo alguno de insolidaria al ser fruto de las </w:t>
      </w:r>
      <w:r>
        <w:lastRenderedPageBreak/>
        <w:t>Sentencias del Tribunal Supremo de 13 de febrero (recurso núm. 735-1995) y 9 de julio de 1999 (recurso núm. 604-1997), por las que se declaran no ajustadas a Derecho las tarifas por conducción de agua por el acueducto Tajo-Segura aprobadas por los Acuerdos del Consejo de Ministros de 4 de agosto de 1995 y 6 de junio de 1997, respectivamente, tanto en lo referente a la determinación del componente consistente en el coste de las obras (y la exclusión de las amortizaciones) como el del coste de funcionamiento (gastos fijos y gastos variables).</w:t>
      </w:r>
    </w:p>
    <w:p w:rsidR="00D06117" w:rsidRDefault="00D06117" w:rsidP="00D06117">
      <w:pPr>
        <w:pStyle w:val="TextoNormal"/>
      </w:pPr>
    </w:p>
    <w:p w:rsidR="00D06117" w:rsidRDefault="00D06117" w:rsidP="00D06117">
      <w:pPr>
        <w:pStyle w:val="TextoNormal"/>
      </w:pPr>
      <w:r>
        <w:t>En efecto, es preciso recordar que las tasas, como prestación patrimonial de carácter público de naturaleza tributaria, están sometidas al principio de reserva de ley (art. 31.3 CE), que alcanza no sólo a su creación sino también a la determinación de sus elementos esenciales o configuradores (por todas, SSTC 57/2010, de 4 de octubre, FJ 4; 73/2011, de 19 de mayo, FJ 3; y 184/2011, de 23 de noviembre, FJ 6), entre los cuales se encuentra, su cuantía (SSTC 221/1992, de 11 de diciembre, FJ 7; 185/1995, de 5 de diciembre, FJ 6; 233/1999, de 16 de diciembre, FJ 9; 106/2000, de 4 de mayo, FJ 3; 63/2003, de 27 de marzo, FJ 6; 150/2003, de 15 de julio, FJ 3; 102/2005, de 20 de abril, FJ 7; y 121/2005, de 10 de mayo, FJ 8). Dejando ahora a un lado el hecho de que la intensidad con la que opera aquella reserva de ley es diferente en cada tributo y en cada uno de los elementos esenciales del mismo (SSTC 37/1981, de 16 de noviembre, FJ 4; 233/1999, de 16 de diciembre, FJ 9; 63/2003, de 27 de marzo, FJ 4; 150/2003, de 15 de julio, FJ 3; 102/2005, de 20 de abril, FJ 3; 121/2005, de 10 de mayo, FJ 5; y 73/2011, de 19 de mayo, FJ 3), este Tribunal ha apreciado como una de las características de las tasas la de ser la “contraprestación proporcional, más o menos aproximada, del coste de un servicio o realización de actividades en régimen de Derecho público” (SSTC 296/1994, de 10 de noviembre, FJ 4; 16/2003, de 30 de enero, FJ 3; y ATC 71/2008, de 26 de febrero, FJ 5), o, debemos añadir ahora, la contraprestación por la utilidad derivada de la utilización privativa o el aprovechamiento especial del dominio público. En consecuencia, es consustancial a la naturaleza retributiva de las tasas su cuantía que, como elemento esencial, debe estar presidido por el principio de equivalencia, debiendo atender al importe del coste provocado o de la utilidad obtenida “con los que tiene una relación, más o menos intensa, de contraprestación” (SSTC 296/1994, de 10 de noviembre, FJ 4; 16/2003, de 30 de enero, FJ 3; y 20/2012, de 16 de febrero, FJ 11; y ATC 407/2007, de 6 de noviembre, FJ 4).</w:t>
      </w:r>
    </w:p>
    <w:p w:rsidR="00D06117" w:rsidRDefault="00D06117" w:rsidP="00D06117">
      <w:pPr>
        <w:pStyle w:val="TextoNormal"/>
      </w:pPr>
    </w:p>
    <w:p w:rsidR="00D06117" w:rsidRDefault="00D06117" w:rsidP="00D06117">
      <w:pPr>
        <w:pStyle w:val="TextoNormal"/>
      </w:pPr>
      <w:r>
        <w:t>Pues bien, sin dejar a un lado, como señala el Abogado del Estado, que el Consejo de Gobierno recurrente no ha concretado la disminución económica de los ingresos que le causa la medida, ni ha detallado el por qué el sacrificio que hace resulta insolidario o generador de un desequilibrio económico, en fin, ni ha demostrado que el sacrificio soportado no está justificado por los mayores beneficios que la medida tiene en otros territorios, lo cierto es que el legislador estatal se ha limitado a ajustar la forma de cálculo de la tasa por tarifa de conducción de las aguas excedentarias trasvasadas desde la cuenca del Tajo a la del Segura, a la contraprestación del coste del servicio o del valor de la utilidad obtenida, para adecuarla a las exigencias constitucionales. Por esta razón, debe concluirse que no puede considerarse como un privilegio económico ni, por tanto, como una actuación dañina de la solidaridad o del equilibrio económico territorial que debe presidir la actuación de los poderes públicos. Debe rechazarse, por tanto, el último vicio denunciado por el Consejo de Gobierno recurrente.</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recurso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ocho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6" w:name="SENTENCIA_2012_103"/>
      <w:r>
        <w:lastRenderedPageBreak/>
        <w:t>SENTENCIA 103/2012, de 9 de mayo de 2012</w:t>
      </w:r>
    </w:p>
    <w:bookmarkEnd w:id="10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ECLI:ES:TC:2012:103</w:t>
      </w:r>
    </w:p>
    <w:p w:rsidR="00D06117" w:rsidRDefault="00D06117" w:rsidP="00D06117">
      <w:pPr>
        <w:pStyle w:val="SntesisDescriptiva"/>
      </w:pPr>
    </w:p>
    <w:p w:rsidR="00D06117" w:rsidRDefault="00D06117" w:rsidP="00D06117">
      <w:pPr>
        <w:pStyle w:val="SntesisDescriptiva"/>
      </w:pPr>
      <w:r>
        <w:t>Cuestión interna de inconstitucionalidad 605-2011. Planteada por la Sala Segunda del Tribunal Constitucional, en relación con el artículo 35.7.2 de la Ley 53/2002, de medidas fiscales, administrativas y de orden social.</w:t>
      </w:r>
    </w:p>
    <w:p w:rsidR="00D06117" w:rsidRDefault="00D06117" w:rsidP="00D06117">
      <w:pPr>
        <w:pStyle w:val="SntesisDescriptiva"/>
      </w:pPr>
    </w:p>
    <w:p w:rsidR="00D06117" w:rsidRDefault="00D06117" w:rsidP="00D06117">
      <w:pPr>
        <w:pStyle w:val="SntesisAnaltica"/>
      </w:pPr>
      <w:r>
        <w:t>Derecho a la tutela judicial sin indefensión: constitucionalidad del precepto legal que supedita la tramitación de recursos presentados por personas jurídicas con ánimo de lucro sujetas al impuesto sobre sociedades y que superen una determinada facturación anual al abono de la tasa por el ejercicio de la potestad jurisdiccional en el orden civil (STC 20/2012).</w:t>
      </w:r>
    </w:p>
    <w:p w:rsidR="00D06117" w:rsidRDefault="00D06117" w:rsidP="00D06117">
      <w:pPr>
        <w:pStyle w:val="SntesisAnaltica"/>
      </w:pPr>
    </w:p>
    <w:p w:rsidR="00D06117" w:rsidRDefault="00D06117" w:rsidP="00D06117">
      <w:pPr>
        <w:pStyle w:val="Extracto"/>
      </w:pPr>
      <w:r>
        <w:t>1.</w:t>
      </w:r>
      <w:r>
        <w:tab/>
        <w:t>La exigencia de la tasa judicial cuestionada persigue un fin constitucionalmente lícito, como es que las entidades mercantiles con un elevado volumen de facturación contribuyan a financiar los costes generados por la actividad jurisdiccional que conlleva juzgar las demandas que libremente deciden presentar ante los Tribunales del orden civil para defender sus derechos e intereses legítimos, y lo hace sin limitar de un modo desproporcionado el derecho de acceso a la jurisdicción, pues no alcanza a ser un obstáculo siquiera significativo para el mismo (STC 20/2012; SSTEDH Kreuz contra Polonia, de 19 de junio de 2001, Urbanek c. Austria, de 9 de diciembre de 2010) [FJ 3].</w:t>
      </w:r>
    </w:p>
    <w:p w:rsidR="00D06117" w:rsidRDefault="00D06117" w:rsidP="00D06117">
      <w:pPr>
        <w:pStyle w:val="Extracto"/>
      </w:pPr>
    </w:p>
    <w:p w:rsidR="00D06117" w:rsidRDefault="00D06117" w:rsidP="00D06117">
      <w:pPr>
        <w:pStyle w:val="Extracto"/>
      </w:pPr>
      <w:r>
        <w:t>2.</w:t>
      </w:r>
      <w:r>
        <w:tab/>
        <w:t>Si no limita el derecho de acceso a la justicia requerir a las entidades mercantiles con un elevado volumen de facturación que contribuyan a financiar la actividad jurisdiccional que conlleva juzgar las demandas en las que reclaman derechos de contenido económico, mucho menos puede apreciarse esa exigencia respecto al derecho de acceso a los recursos, donde el juicio de proporcionalidad al que puede someterse la decisión del legislador por este Tribunal es menos intenso (STC 20/2012) [FJ 5].</w:t>
      </w:r>
    </w:p>
    <w:p w:rsidR="00D06117" w:rsidRDefault="00D06117" w:rsidP="00D06117">
      <w:pPr>
        <w:pStyle w:val="Extracto"/>
      </w:pPr>
    </w:p>
    <w:p w:rsidR="00D06117" w:rsidRDefault="00D06117" w:rsidP="00D06117">
      <w:pPr>
        <w:pStyle w:val="Extracto"/>
      </w:pPr>
      <w:r>
        <w:t>3.</w:t>
      </w:r>
      <w:r>
        <w:tab/>
        <w:t>Carece de lógica reprochar que el legislador, para lograr un alto grado de cumplimiento espontáneo de la obligación de pagar un tributo legítimo, haya decidido que la contribución de los justiciables a la financiación de la justicia se produzca mediante tasas cuyo previo pago es requerido como regla general para obtener el beneficio ínsito en la prestación pública (STC 20/2012) [FJ 3].</w:t>
      </w:r>
    </w:p>
    <w:p w:rsidR="00D06117" w:rsidRDefault="00D06117" w:rsidP="00D06117">
      <w:pPr>
        <w:pStyle w:val="Extracto"/>
      </w:pPr>
    </w:p>
    <w:p w:rsidR="00D06117" w:rsidRDefault="00D06117" w:rsidP="00D06117">
      <w:pPr>
        <w:pStyle w:val="Extracto"/>
      </w:pPr>
      <w:r>
        <w:t>4.</w:t>
      </w:r>
      <w:r>
        <w:tab/>
        <w:t>El derecho de acceso a los recursos establecidos en la ley, como dimensión del derecho a la tutela judicial efectiva, también despliega efectos frente al legislador, reputando inconstitucional que éste pudiera condicionar la utilización de un recurso legalmente previsto al cumplimiento de obstáculos procesales que no aparezcan como justificados y proporcionados conforme a las finalidades que persiguen [FJ 4].</w:t>
      </w:r>
    </w:p>
    <w:p w:rsidR="00D06117" w:rsidRDefault="00D06117" w:rsidP="00D06117">
      <w:pPr>
        <w:pStyle w:val="Extracto"/>
      </w:pPr>
    </w:p>
    <w:p w:rsidR="00D06117" w:rsidRDefault="00D06117" w:rsidP="00D06117">
      <w:pPr>
        <w:pStyle w:val="Extracto"/>
      </w:pPr>
      <w:r>
        <w:lastRenderedPageBreak/>
        <w:t>5.</w:t>
      </w:r>
      <w:r>
        <w:tab/>
        <w:t>Doctrina sobre la constitucionalidad de la tasa por el ejercicio de la potestad jurisdiccional en el orden civil en relación con el derecho a los recursos legalmente previstos (SSTC 20/2012, 79/2012) [FFJJ 3, 4].</w:t>
      </w:r>
    </w:p>
    <w:p w:rsidR="00D06117" w:rsidRDefault="00D06117" w:rsidP="00D06117">
      <w:pPr>
        <w:pStyle w:val="Extracto"/>
      </w:pPr>
    </w:p>
    <w:p w:rsidR="00D06117" w:rsidRDefault="00D06117" w:rsidP="00D06117">
      <w:pPr>
        <w:pStyle w:val="Extracto"/>
      </w:pPr>
      <w:r>
        <w:t>6.</w:t>
      </w:r>
      <w:r>
        <w:tab/>
        <w:t>Doctrina sobre el control constitucional de los requisitos legales de acceso a los recursos (STC 20/2012)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interna de inconstitucionalidad núm. 605-2011, planteada por la Sala Segunda del Tribunal Constitucional, en relación con el art. 35.7.2 de la Ley 53/2002, de medidas fiscales, administrativas y de orden social, por posible vulneración del art. 24.1 CE. Han comparecido el Ministerio Fiscal y el Abogado del Estado.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providencia de 1 de marzo de 2011, el Pleno de este Tribunal admitió la presente cuestión interna de inconstitucionalidad planteada por la Sala Segunda del mismo en relación con el art. 35.7.2 de la Ley 53/2002, de medidas fiscales, administrativas y de orden social, por posible vulneración del art. 24.1 CE. Asimismo, de conformidad con lo dispuesto en el art. 10.1 c) de la Ley Orgánica del Tribunal Constitucional (LOTC) en su redacción vigente dada por la Ley Orgánica 6/2007, de 24 de mayo, acordó reservar para sí el conocimiento de la presente cuestión.</w:t>
      </w:r>
    </w:p>
    <w:p w:rsidR="00D06117" w:rsidRDefault="00D06117" w:rsidP="00D06117">
      <w:pPr>
        <w:pStyle w:val="TextoNormal"/>
      </w:pPr>
    </w:p>
    <w:p w:rsidR="00D06117" w:rsidRDefault="00D06117" w:rsidP="00D06117">
      <w:pPr>
        <w:pStyle w:val="TextoNormal"/>
      </w:pPr>
      <w:r>
        <w:t>En la misma providencia se acordó, conforme a lo establecido art. 37.3 LOTC, dar traslado de las actuaciones al Congreso de los Diputados, al Senado, al Gobierno y al Fiscal General del Estado, para que en el plazo de quince días se personaran y presentaran las oportunas alegaciones. Por último, se comunicó a la Sala Segunda de este Tribunal la citada providencia para que, de conformidad con el art. 35.3 LOTC, permanezca suspendido el recurso de amparo núm. 2223-2004 hasta que ésta sea resuelta por el Tribunal y se ordenó la publicación de la cuestión en el “Boletín Oficial del Estado” (lo que se llevó a cabo en el “BOE” núm. 62, de 14 de marzo de 2011).</w:t>
      </w:r>
    </w:p>
    <w:p w:rsidR="00D06117" w:rsidRDefault="00D06117" w:rsidP="00D06117">
      <w:pPr>
        <w:pStyle w:val="TextoNormal"/>
      </w:pPr>
    </w:p>
    <w:p w:rsidR="00D06117" w:rsidRDefault="00D06117" w:rsidP="00D06117">
      <w:pPr>
        <w:pStyle w:val="TextoNormal"/>
      </w:pPr>
      <w:r>
        <w:lastRenderedPageBreak/>
        <w:t>Los antecedentes de la presente cuestión de inconstitucionalidad son los siguientes:</w:t>
      </w:r>
    </w:p>
    <w:p w:rsidR="00D06117" w:rsidRDefault="00D06117" w:rsidP="00D06117">
      <w:pPr>
        <w:pStyle w:val="TextoNormal"/>
      </w:pPr>
    </w:p>
    <w:p w:rsidR="00D06117" w:rsidRDefault="00D06117" w:rsidP="00D06117">
      <w:pPr>
        <w:pStyle w:val="TextoNormal"/>
      </w:pPr>
      <w:r>
        <w:t>a) Mediante escrito presentado en el Registro General de este Tribunal el día 5 de abril de 2004 la Procuradora de los Tribunales doña María Ángeles Almansa Sanz, en representación de Gestión y Construcción de Obras, S.A., dedujo demanda de amparo contra Auto del Juzgado de Primera Instancia de Villarrobledo (Albacete) de 12 de septiembre de 2003 (procedimiento de menor cuantía núm. 15-2001) y contra el Auto de la Sección Primera de la Audiencia Provincial de Albacete de 4 de marzo de 2004, que desestima el recurso de queja interpuesto contra el anterior.</w:t>
      </w:r>
    </w:p>
    <w:p w:rsidR="00D06117" w:rsidRDefault="00D06117" w:rsidP="00D06117">
      <w:pPr>
        <w:pStyle w:val="TextoNormal"/>
      </w:pPr>
    </w:p>
    <w:p w:rsidR="00D06117" w:rsidRDefault="00D06117" w:rsidP="00D06117">
      <w:pPr>
        <w:pStyle w:val="TextoNormal"/>
      </w:pPr>
      <w:r>
        <w:t>En el primer Auto se declaró desierto el recurso de apelación interpuesto el 24 de abril de 2003 contra la Sentencia del Juzgado de Primera Instancia de Villarrobledo de 28 de febrero de 2003, por no haberse acompañado, pese a haberse concedido un plazo de diez días para subsanar el defecto, el justificante de pago de la tasa por el ejercicio de la potestad jurisdiccional ex art. 35 de la Ley 53/2002, de 30 de diciembre, cuyo apartado 7.2 disponía que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 Interpuesto recurso de reposición, fue desestimado por Auto de 9 de febrero de 2004, por lo que la actora acudió en queja ante la Audiencia Provincial de Albacete. La Sección Primera de ésta desestimó el recurso mediante el citado Auto de 4 de marzo de 2004, razonando que la tasa era exigible conforme a la regulación legal y que, al no haberse justificado su abono por la recurrente, era correcta la resolución que negó el curso a la apelación.</w:t>
      </w:r>
    </w:p>
    <w:p w:rsidR="00D06117" w:rsidRDefault="00D06117" w:rsidP="00D06117">
      <w:pPr>
        <w:pStyle w:val="TextoNormal"/>
      </w:pPr>
    </w:p>
    <w:p w:rsidR="00D06117" w:rsidRDefault="00D06117" w:rsidP="00D06117">
      <w:pPr>
        <w:pStyle w:val="TextoNormal"/>
      </w:pPr>
      <w:r>
        <w:t>b) La entidad mercantil demandante de amparo considera que los órganos judiciales han lesionado su derecho a la tutela judicial efectiva (art. 24.1 CE) al haberle cerrado la vía del recurso de apelación, entendiendo, por un lado, que no le era exigible la tasa en el momento de preparación del recurso, por no haber entrado en vigor la ley que la impone cuando recayó y se le notificó la Sentencia apelada (fue notificada el 5 de marzo de 2003 y la tasa entró en vigor el 1 de abril siguiente). Por otro, sostiene que se trata de una cuestión meramente fiscal, de modo que el impago de la tasa podrá dar lugar a la correspondiente actuación administrativa, mas nunca a impedir el acceso a un trámite procesal, pues ello resulta contrario al derecho fundamental invocado, al limitarse y condicionarse la efectividad del mismo en virtud de una previsión legal a todas luces injusta. En cualquier caso, entiende que la interpretación de la legalidad realizada por los órganos judiciales ha sido desproporcionada o excesivamente formalista en relación con los fines que se preservan y los intereses que se sacrifican.</w:t>
      </w:r>
    </w:p>
    <w:p w:rsidR="00D06117" w:rsidRDefault="00D06117" w:rsidP="00D06117">
      <w:pPr>
        <w:pStyle w:val="TextoNormal"/>
      </w:pPr>
    </w:p>
    <w:p w:rsidR="00D06117" w:rsidRDefault="00D06117" w:rsidP="00D06117">
      <w:pPr>
        <w:pStyle w:val="TextoNormal"/>
      </w:pPr>
      <w:r>
        <w:t>c) Por providencia de 18 de abril de 2006 la Sala Segunda acordó admitir a trámite este recurso de amparo. Por diligencia de ordenación de 18 de julio de 2006, con arreglo a lo dispuesto por el art. 52.1 LOTC, se concedió a las partes personadas y al Fiscal plazo de veinte días para formular las alegaciones que estimasen pertinentes.</w:t>
      </w:r>
    </w:p>
    <w:p w:rsidR="00D06117" w:rsidRDefault="00D06117" w:rsidP="00D06117">
      <w:pPr>
        <w:pStyle w:val="TextoNormal"/>
      </w:pPr>
    </w:p>
    <w:p w:rsidR="00D06117" w:rsidRDefault="00D06117" w:rsidP="00D06117">
      <w:pPr>
        <w:pStyle w:val="TextoNormal"/>
      </w:pPr>
      <w:r>
        <w:t xml:space="preserve">d) Éste, en alegaciones presentadas el 28 de septiembre de 2006, tras exponer los antecedentes del caso y la doctrina de este Tribunal, se refiere a la previsión legal que exige la tasa por el ejercicio de la potestad jurisdiccional, y, en primer lugar, señala que si la norma fuera claramente impeditiva del derecho fundamental de acceso al recurso (art. 24.1 CE) </w:t>
      </w:r>
      <w:r>
        <w:lastRenderedPageBreak/>
        <w:t>podría contrariar ese derecho, surgiendo una razón de inconstitucionalidad. En este sentido, señala que ya ha sido admitida a trámite la cuestión de inconstitucionalidad núm. 647-2004, ratificándose en las alegaciones allí realizadas, conforme a las cuales la tasa que establece el precepto en cuestión aparece como razonable y proporcionada en relación con el fin que se propone obtener. En cualquier caso, interesa de la Sala la suspensión de la resolución de este recurso de amparo hasta tanto no se resuelva la cuestión de inconstitucionalidad señalada.</w:t>
      </w:r>
    </w:p>
    <w:p w:rsidR="00D06117" w:rsidRDefault="00D06117" w:rsidP="00D06117">
      <w:pPr>
        <w:pStyle w:val="TextoNormal"/>
      </w:pPr>
    </w:p>
    <w:p w:rsidR="00D06117" w:rsidRDefault="00D06117" w:rsidP="00D06117">
      <w:pPr>
        <w:pStyle w:val="TextoNormal"/>
      </w:pPr>
      <w:r>
        <w:t>e) La Sala Segunda, mediante Auto de 21 de diciembre de 2010, acordó elevar al Pleno cuestión interna de inconstitucionalidad, que fue aceptada por el Pleno de este Tribunal en la ya mencionada providencia de 1 de marzo de 2011.</w:t>
      </w:r>
    </w:p>
    <w:p w:rsidR="00D06117" w:rsidRDefault="00D06117" w:rsidP="00D06117">
      <w:pPr>
        <w:pStyle w:val="TextoNormal"/>
      </w:pPr>
    </w:p>
    <w:p w:rsidR="00D06117" w:rsidRDefault="00D06117" w:rsidP="00D06117">
      <w:pPr>
        <w:pStyle w:val="TextoNormal"/>
      </w:pPr>
      <w:r w:rsidRPr="00D06117">
        <w:rPr>
          <w:rStyle w:val="NumeroAFNegritaCaracter"/>
        </w:rPr>
        <w:t>2</w:t>
      </w:r>
      <w:r>
        <w:t>. El día 10 de marzo de 2011, el Presidente del Congreso de los Diputados comunicó el acuerdo de la Mesa de la Cámara, de 8 de marzo de 2011, personándose en el procedimiento y ofreciendo su colaboración a los efectos del art. 88.1 LOTC, con remisión a la Dirección de estudios y documentación de la Secretaría General. El 16 de marzo de 2011 se registró comunicación del Presidente del Senado dando cuenta de que la Mesa de la Cámara acordó dar por personada a 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3</w:t>
      </w:r>
      <w:r>
        <w:t>. El Abogado del Estado presentó escrito en el Registro General de este Tribunal el 21 de marzo de 2011, personándose en esta cuestión interna de inconstitucionalidad y formulando alegaciones a favor de su desestimación.</w:t>
      </w:r>
    </w:p>
    <w:p w:rsidR="00D06117" w:rsidRDefault="00D06117" w:rsidP="00D06117">
      <w:pPr>
        <w:pStyle w:val="TextoNormal"/>
      </w:pPr>
    </w:p>
    <w:p w:rsidR="00D06117" w:rsidRDefault="00D06117" w:rsidP="00D06117">
      <w:pPr>
        <w:pStyle w:val="TextoNormal"/>
      </w:pPr>
      <w:r>
        <w:t>En ellas se refería a que pendían “ante el Tribunal tres cuestiones de inconstitucionalidad con el mismo objeto (647/2004, 1389/2005 y 1584/2005)” y “da[ba] por reproducidas las alegaciones consignadas” en las mismas, esto es, que el precepto cuestionado en la interpretación que justificaba el planteamiento de la cuestión no vulnera el derecho de acceso a la justicia por dos motivos: a) porque la doctrina sentada en la STC 141/1998 no es extensible a este supuesto, dado que las tasas judiciales cuyos efectos se enjuician aquí, a diferencia del impuesto de actos jurídicos documentados, sí se imponen en función de la propia realidad o finalidad del proceso; y b) porque la jurisprudencia sentada en la STEDH 19 de junio de 2001 (caso Kreuz c. Polonia) admite que una restricción financiera al acceso de una persona a un Tribunal sólo viola el art. 6.1 Convenio europeo para la protección de los derechos humanos y de las libertades fundamentales (CEDH) si excesiva dadas las circunstancias del caso. Añade ahora que esa doctrina se ha consolidado en otras sentencias que cita (la más reciente, la STEDH 26 de octubre de 2010, caso Marina c. Letonia).</w:t>
      </w:r>
    </w:p>
    <w:p w:rsidR="00D06117" w:rsidRDefault="00D06117" w:rsidP="00D06117">
      <w:pPr>
        <w:pStyle w:val="TextoNormal"/>
      </w:pPr>
    </w:p>
    <w:p w:rsidR="00D06117" w:rsidRDefault="00D06117" w:rsidP="00D06117">
      <w:pPr>
        <w:pStyle w:val="TextoNormal"/>
      </w:pPr>
      <w:r>
        <w:t xml:space="preserve">De otro, expone las divergencias en la aplicación del precepto por los distintos tribunales en el interim, concluyendo que “cuando han proliferado tan discordantes interpretaciones, al art. 35.siete.2 de la Ley 53/2002 podrá reprochársele imperfección o deficiencia técnica pero no inconstitucionalidad, pues su tenor literal permite interpretaciones perfectamente respetuosas con el derecho fundamental a la tutela judicial efectiva”. En esta línea, considera que algunos Tribunales han sostenido una interpretación del precepto que sería indudablemente respetuosa del derecho fundamental, según la cual el art. 35 de la Ley 53/2002, desarrollado por la Orden HAC/661/2003 y la resolución de la Secretaría de Estado de Justicia de 8 de noviembre de 2003, en lugar de suponer que la omisión del pago de la tasa determine el cierre del proceso, se limita a imponer a los órganos judiciales el deber de suministrar </w:t>
      </w:r>
      <w:r>
        <w:lastRenderedPageBreak/>
        <w:t>información a la Administración tributaria para que la Delegación de Hacienda pueda practicar la liquidación de oficio. Por tanto, la falta de pago sólo daría lugar a la paralización del procedimiento en el estado en que se encontrase, situación que sería reversible si posteriormente se justifica el pago de la tasa, aun tardío, hasta el momento en que se decreta la caducidad del proceso. No puede decirse, sigue el Abogado del Estado, que, así entendido y aplicado, el art. 35.7.2 de la Ley 53/2002 viole el derecho a la tutela judicial efectiva, pues la paralización del curso de los autos no genera por sí sola pérdida de derechos sustantivos o procesales. Crea simplemente un estado de inactividad procesal imputable a la parte que puede generar la caducidad de la instancia. Con arreglo a esta interpretación, concluye el Abogado del Estado, “la resolución judicial contra la que se interpuso el recurso de amparo violó claramente el derecho a la tutela judicial efectiva (derecho al recurso) puesto que, por no haber subsanado la omisión en el pago de la tasa, consideró justificado declarar desierta la apelación. Ahora bien, esta pérdida de la vía de recurso de ninguna manera está impuesta por el tenor del art. 35.siete.2 de la Ley 53/2002, que solo exigía paralizar el trámite de la apelación”.</w:t>
      </w:r>
    </w:p>
    <w:p w:rsidR="00D06117" w:rsidRDefault="00D06117" w:rsidP="00D06117">
      <w:pPr>
        <w:pStyle w:val="TextoNormal"/>
      </w:pPr>
    </w:p>
    <w:p w:rsidR="00D06117" w:rsidRDefault="00D06117" w:rsidP="00D06117">
      <w:pPr>
        <w:pStyle w:val="TextoNormal"/>
      </w:pPr>
      <w:r w:rsidRPr="00D06117">
        <w:rPr>
          <w:rStyle w:val="NumeroAFNegritaCaracter"/>
        </w:rPr>
        <w:t>4</w:t>
      </w:r>
      <w:r>
        <w:t>. El Fiscal General del Estado, mediante escrito de 25 de abril de 2011, interesó la desestimación de la presente cuestión de inconstitucionalidad.</w:t>
      </w:r>
    </w:p>
    <w:p w:rsidR="00D06117" w:rsidRDefault="00D06117" w:rsidP="00D06117">
      <w:pPr>
        <w:pStyle w:val="TextoNormal"/>
      </w:pPr>
    </w:p>
    <w:p w:rsidR="00D06117" w:rsidRDefault="00D06117" w:rsidP="00D06117">
      <w:pPr>
        <w:pStyle w:val="TextoNormal"/>
      </w:pPr>
      <w:r>
        <w:t>Tras sintetizar los hechos relevantes del recurso de amparo del que procede esta cuestión interna de inconstitucionalidad y exponer en su contexto la norma objeto de ésta, destaca en primer lugar que la jurisprudencia del Tribunal Europeo de Derechos Humanos (caso Kreuz c. Polonia, de 19 de junio de 2001, y otras que ratifican esta doctrina) no reputa contrario al derecho de acceso efectivo a un Tribunal previsto en el art. 6.1 CEDH la exigencia de tasas judiciales, salvo que su establecimiento resulte, atendidas las circunstancias de cada caso, desproporcionado en relación a la capacidad económica del recurrente. Una vez sentado esto, expone que, aunque la regulación legal entraña, de alguna manera, una limitación del derecho de acceso al proceso y a los recursos, esta limitación pretende la consecución de un fin constitucionalmente legítimo —el sostenimiento de los gastos públicos, en especial la financiación del servicio público en que consiste la administración de justicia— y parece razonable y proporcionada en relación con ese fin, pues, debido a las exenciones subjetiva y objetivas que regula la norma, la obligación de pago de la tasa judicial nace sólo cuando el hecho imponible es realizado por personas cuya capacidad económica para hacer frente a dicho pago resulta indiscutida y nunca surge cuando la actividad jurisdiccional instada versa ratione materiae sobre pretensiones que revisten un manifiesto interés público.</w:t>
      </w:r>
    </w:p>
    <w:p w:rsidR="00D06117" w:rsidRDefault="00D06117" w:rsidP="00D06117">
      <w:pPr>
        <w:pStyle w:val="TextoNormal"/>
      </w:pPr>
    </w:p>
    <w:p w:rsidR="00D06117" w:rsidRDefault="00D06117" w:rsidP="00D06117">
      <w:pPr>
        <w:pStyle w:val="TextoNormal"/>
      </w:pPr>
      <w:r>
        <w:t>Además, tal como queda acreditado por una jurisprudencia menor caracterizada por la divergencia aplicativa de la norma objeto del presente proceso, un modo de interpretarla es que la falta de pago de la tasa judicial no determina con carácter automático y necesario el archivo de las actuaciones y la firmeza de la sentencia impugnada, sino solamente que no se dé curso al escrito de interposición del recurso, pudiendo el recurrente subsanar su falta, de modo que no es tanto la omisión del pago de la tasa como su inactividad pertinaz lo que puede conducir a la pérdida del derecho a recurrir y la consiguiente firmeza de la sentencia. Concluye el Fiscal que “[s]ostener un criterio distinto, como el que mantuvo la Sección Décima de la Audiencia Provincial de Madrid en el proceso a quo, sí que podría generar una vulneración del derecho a la tutela judicial efectiva (art. 24.1 CE), pero, se insiste, dicho criterio interpretativo no resulta del tenor literal del precepto legal cuestionado”.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Por providencia de 8 de mayo de 2012 se señaló para deliberación y votación de la presente Sentencia el día 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cuestión interna de inconstitucionalidad núm. 605-2011 se suscita por la Sala Segunda del Tribunal Constitucional en relación con el art. 35 apartado 7.2, de la Ley 53/2002, de medidas fiscales, administrativas y de orden social, precepto de cuya aplicación depende el fallo del recurso de amparo 2223-2004, en el que se impugnan sendos Autos, respectivamente del Juzgado de Primera Instancia de Villarrobledo (Albacete) y de la Sección Primera de la Audiencia Provincial de Albacete, que declararon desierto el recurso de apelación interpuesto contra la Sentencia de 28 de febrero de 2003 dictada por el primero de dichos órganos judiciales.</w:t>
      </w:r>
    </w:p>
    <w:p w:rsidR="00D06117" w:rsidRDefault="00D06117" w:rsidP="00D06117">
      <w:pPr>
        <w:pStyle w:val="TextoNormal"/>
      </w:pPr>
    </w:p>
    <w:p w:rsidR="00D06117" w:rsidRDefault="00D06117" w:rsidP="00D06117">
      <w:pPr>
        <w:pStyle w:val="TextoNormal"/>
      </w:pPr>
      <w:r>
        <w:t>El art. 35 de la citada Ley 53/2002 creó la tasa por el ejercicio de la potestad jurisdiccional en los órdenes civil y contencioso-administrativo. Su apartado 7, párrafo 2, al que concretamente se refiere la presente cuestión de inconstitucionalidad, dispuso:</w:t>
      </w:r>
    </w:p>
    <w:p w:rsidR="00D06117" w:rsidRDefault="00D06117" w:rsidP="00D06117">
      <w:pPr>
        <w:pStyle w:val="TextoNormal"/>
      </w:pPr>
    </w:p>
    <w:p w:rsidR="00D06117" w:rsidRDefault="00D06117" w:rsidP="00D06117">
      <w:pPr>
        <w:pStyle w:val="TextoNormal"/>
      </w:pPr>
      <w:r>
        <w:t>“El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rsidRPr="00D06117">
        <w:rPr>
          <w:rStyle w:val="NumeroAFNegritaCaracter"/>
        </w:rPr>
        <w:t>2</w:t>
      </w:r>
      <w:r>
        <w:t>. La controversia, tal como se desprende del Auto de planteamiento, se proyecta sobre si el precepto cuestionado, al determinar que la falta de presentación del justificante de pago junto con el escrito procesal de que se trate, aquí el de interposición de un recurso de apelación civil, cierra el cauce procedimental correspondiente, podría vulnerar el derecho de acceso a los recursos legalmente previstos que forma parte de la tutela judicial efectiva que proclama el art. 24.1 CE.</w:t>
      </w:r>
    </w:p>
    <w:p w:rsidR="00D06117" w:rsidRDefault="00D06117" w:rsidP="00D06117">
      <w:pPr>
        <w:pStyle w:val="TextoNormal"/>
      </w:pPr>
    </w:p>
    <w:p w:rsidR="00D06117" w:rsidRDefault="00D06117" w:rsidP="00D06117">
      <w:pPr>
        <w:pStyle w:val="TextoNormal"/>
      </w:pPr>
      <w:r>
        <w:t>Según resulta de sus alegaciones, referidas con detalle en los antecedentes de esta resolución, el Abogado del Estado y el Ministerio Fiscal solicitan la desestimación de la cuestión así planteada y alternativamente sostienen que el precepto objeto de este proceso constitucional es susceptible de otra interpretación que es plenamente constitucional.</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Pues bien, este Tribunal en la reciente STC 20/2012, de 16 de febrero, se ha pronunciado sobre si ese mismo precepto, por impedir que se diera curso a una demanda civil al no ir acompañada del correspondiente justificante del pago de la tasa, vulnera el derecho de acceso a la justicia que se inserta como dimensión primera y principal en el derecho a la tutela judicial efectiva ex art. 24.1 CE. En ella afirmamos que es constitucional subordinar la prestación de la actividad jurisdiccional en el orden civil al abono de unas tasas judiciales por la interposición de la demanda, siempre que, en la línea de la doctrina del Tribunal Europeo de Derechos Humanos iniciada con la Sentencia Kreuz contra Polonia, de 19 de junio de 2001 (asunto núm. 28249/95), y consolidada posteriormente (por todas, SSTEDH de 26 de julio de 2005, Kniat c. Polonia, asunto 71731/01; 28 de noviembre de 2006, Apostol c. Georgia, asunto 40765/02; y 9 de diciembre de 2010, Urbanek c. Austria, asunto </w:t>
      </w:r>
      <w:r>
        <w:lastRenderedPageBreak/>
        <w:t>35123/05), su cuantía no sea excesiva a la luz de las circunstancias propias de cada caso, de modo que no se impida en la práctica el acceso a la jurisdicción o lo obstaculice en un caso concreto en términos irrazonables.</w:t>
      </w:r>
    </w:p>
    <w:p w:rsidR="00D06117" w:rsidRDefault="00D06117" w:rsidP="00D06117">
      <w:pPr>
        <w:pStyle w:val="TextoNormal"/>
      </w:pPr>
    </w:p>
    <w:p w:rsidR="00D06117" w:rsidRDefault="00D06117" w:rsidP="00D06117">
      <w:pPr>
        <w:pStyle w:val="TextoNormal"/>
      </w:pPr>
      <w:r>
        <w:t>Y, luego de analizar la regulación completa del tributo, concluíamos que, dadas las exenciones objetivas y subjetivas que prevé el art. 35 de la Ley 53/2002, solamente quedan sujetas al pago de esta tasa judicial las personas jurídicas con ánimo de lucro cuya cifra de negocios hubiere alcanzado, en el período impositivo anterior, un importe neto superior a seis millones de euros, y únicamente cuando promueven procesos en que se controvierten derechos de contenido económico, circunstancias todas ellas que acreditan que la exigencia de la tasa judicial cuestionada persigue un fin constitucionalmente lícito, como es que las entidades mercantiles con un elevado volumen de facturación contribuyan a financiar los costes generados por la actividad jurisdiccional que conlleva juzgar las demandas que libremente deciden presentar ante los Tribunales del orden civil para defender sus derechos e intereses legítimos, y lo hace sin limitar de un modo desproporcionado el derecho de acceso a la jurisdicción, pues no alcanza a ser un obstáculo siquiera significativo para el mismo. Sentado lo anterior, continúa razonando la STC 20/2012, carece de lógica reprochar que el legislador, para lograr un alto grado de cumplimiento espontáneo de la obligación de pagar un tributo legítimo, haya decidido que la contribución de los justiciables a la financiación de la justicia se produzca mediante tasas cuyo previo pago es requerido como regla general para obtener el beneficio ínsito en la prestación pública.</w:t>
      </w:r>
    </w:p>
    <w:p w:rsidR="00D06117" w:rsidRDefault="00D06117" w:rsidP="00D06117">
      <w:pPr>
        <w:pStyle w:val="TextoNormal"/>
      </w:pPr>
    </w:p>
    <w:p w:rsidR="00D06117" w:rsidRDefault="00D06117" w:rsidP="00D06117">
      <w:pPr>
        <w:pStyle w:val="TextoNormal"/>
      </w:pPr>
      <w:r w:rsidRPr="00D06117">
        <w:rPr>
          <w:rStyle w:val="NumeroAFNegritaCaracter"/>
        </w:rPr>
        <w:t>4</w:t>
      </w:r>
      <w:r>
        <w:t>. La aplicación de la anterior doctrina al presente supuesto conduce necesariamente a la desestimación de la cuestión de inconstitucionalidad suscitada. Se hace necesario, no obstante, un razonamiento intermedio, pues la STC 20/2012, cuya doctrina nos sirve de punto de partida, enjuicia el art. 35.7.2 Ley 53/2002 en relación al derecho de acceso a la justicia cuando en este supuesto, como ya dijimos al delimitar el objeto del proceso, la duda de constitucionalidad es si el legislador al promulgar dicho precepto vulnera el derecho de acceso a los recursos legalmente previstos, que es una vertiente diferente de la tutela judicial efectiva garantizada por el art. 24.1 CE.</w:t>
      </w:r>
    </w:p>
    <w:p w:rsidR="00D06117" w:rsidRDefault="00D06117" w:rsidP="00D06117">
      <w:pPr>
        <w:pStyle w:val="TextoNormal"/>
      </w:pPr>
    </w:p>
    <w:p w:rsidR="00D06117" w:rsidRDefault="00D06117" w:rsidP="00D06117">
      <w:pPr>
        <w:pStyle w:val="TextoNormal"/>
      </w:pPr>
      <w:r>
        <w:t>Hemos tenido ocasión de sentar que el derecho de acceso a los recursos establecidos en la ley, como dimensión del derecho a la tutela judicial efectiva, también despliega efectos frente al legislador, reputando inconstitucional que éste pudiera condicionar la utilización de un recurso legalmente previsto al cumplimiento de obstáculos procesales que no aparezcan como justificados y proporcionados conforme a las finalidades que persiguen, y que este vínculo se establece, aunque igualmente referido a un juicio de proporcionalidad, de un modo distinto y más laxo al que supone el derecho de acceso a la justicia.</w:t>
      </w:r>
    </w:p>
    <w:p w:rsidR="00D06117" w:rsidRDefault="00D06117" w:rsidP="00D06117">
      <w:pPr>
        <w:pStyle w:val="TextoNormal"/>
      </w:pPr>
    </w:p>
    <w:p w:rsidR="00D06117" w:rsidRDefault="00D06117" w:rsidP="00D06117">
      <w:pPr>
        <w:pStyle w:val="TextoNormal"/>
      </w:pPr>
      <w:r>
        <w:t xml:space="preserve">Así, en la STC 3/1983, de 25 de enero, FJ 4, resolviendo sobre si es constitucional que el legislador exigiera para tener preparado el recurso de casación frente a las Sentencias dictadas por las Magistraturas de Trabajo la consignación previa del importe de la condena, incrementada en un 20 por 100, dijimos que “[a]nalizando la presunta incompatibilidad entre la obligación de consignar el importe de la condena y el art. 24.1 de la C.E. que garantiza a todos el derecho a la tutela judicial efectiva, debe tenerse presente que este Tribunal viene configurando el alcance del mismo, no sólo como un derecho al acceso al proceso de instancia, sino también a los recursos establecidos en la Ley. Al no existir, sin embargo, norma o principio alguno en la C.E. que obligue a la existencia de una doble instancia o de unos </w:t>
      </w:r>
      <w:r>
        <w:lastRenderedPageBreak/>
        <w:t>determinados recursos en materia laboral, es evidente que en abstracto es posible la inexistencia de recursos o condicionar los previstos al cumplimiento de determinados requisitos, perteneciendo al ámbito de libertad del legislador establecer unos u otros en la forma que considere oportuna. Aunque sea conveniente precisar que a su vez es distinto el enjuiciamiento que pueda recibir una norma según actúe como impeditiva u obstaculizadora del acceso a la jurisdicción o simplemente como limitadora de un recurso extraordinario contra una Sentencia previamente dictada en un proceso contradictorio, en el que las partes gozaron de todas las garantías y medios de defensa legales.</w:t>
      </w:r>
    </w:p>
    <w:p w:rsidR="00D06117" w:rsidRDefault="00D06117" w:rsidP="00D06117">
      <w:pPr>
        <w:pStyle w:val="TextoNormal"/>
      </w:pPr>
    </w:p>
    <w:p w:rsidR="00D06117" w:rsidRDefault="00D06117" w:rsidP="00D06117">
      <w:pPr>
        <w:pStyle w:val="TextoNormal"/>
      </w:pPr>
      <w:r>
        <w:t>Ahora bien, cuando se parte del previo establecimiento en la ley de unos determinados recursos (en este caso el de casación) y en determinados supuestos (Sentencias de condena) si el acceso a ellos se vincula al cumplimiento de unos obstáculos procesales, es evidente que el legislador no goza de absoluta libertad,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que se establecen, que deben, en todo caso, ser adecuadas al espíritu constitucional, siendo en definitiva el juicio de razonabilidad y proporcionalidad el que resulta trascendente para la confrontación entre el art. 170 de la LPL y el art. 24.1 de la CE”.</w:t>
      </w:r>
    </w:p>
    <w:p w:rsidR="00D06117" w:rsidRDefault="00D06117" w:rsidP="00D06117">
      <w:pPr>
        <w:pStyle w:val="TextoNormal"/>
      </w:pPr>
    </w:p>
    <w:p w:rsidR="00D06117" w:rsidRDefault="00D06117" w:rsidP="00D06117">
      <w:pPr>
        <w:pStyle w:val="TextoNormal"/>
      </w:pPr>
      <w:r>
        <w:t>La menor intensidad con que el principio de proporcionalidad vincula al legislador cuando ya se ha obtenido una primera respuesta judicial y se trata únicamente de acceder a un recurso legalmente previsto la declaramos también, esta vez contrario sensu, cuando, enjuiciando la constitucionalidad de que el legislador exija para presentar un recurso contencioso-administrativo una comunicación previa a la Administración autora del acto que se pretendiese recurrir, afirmamos en la STC 76/1996, de 30 de abril, FJ 2, que “el denominado recurso contencioso-administrativo no es propiamente un recurso —no genera una segunda instancia o una casación— pues viene a dar vida a un proceso en primera o única instancia, de suerte que no se instala en el terreno del acceso a los recursos sino en el del acceso a la jurisdicción (SSTC 3/1983, 37/1995 y 55/1995), lo que intensifica las exigencias que derivan del principio de proporcionalidad que tan destacada función cumple en el ámbito de los derechos fundamentales (STC 55/1996)”.</w:t>
      </w:r>
    </w:p>
    <w:p w:rsidR="00D06117" w:rsidRDefault="00D06117" w:rsidP="00D06117">
      <w:pPr>
        <w:pStyle w:val="TextoNormal"/>
      </w:pPr>
    </w:p>
    <w:p w:rsidR="00D06117" w:rsidRDefault="00D06117" w:rsidP="00D06117">
      <w:pPr>
        <w:pStyle w:val="TextoNormal"/>
      </w:pPr>
      <w:r>
        <w:t>Siguiendo esta línea argumental la STC 20/2012, FJ 5, ha recordado que “el principio hermenéutico pro actione protege el derecho de acceso a la justicia, dada la diferente trascendencia que cabe otorgar —desde la perspectiva constitucional— a los requisitos legales de acceso al proceso, en tanto pueden obstaculizar o eliminar el derecho de los ciudadanos a someter el caso al conocimiento y pronunciamiento de un Juez y por tanto causar indefensión. Por el contrario, el control constitucional de los requisitos de admisión de los recursos legalmente establecidos es más laxo”. Más aún, en la STC 79/2012 hemos dicho, si bien que como obiter dictum (pues el debate planteado se refería a la subsanabilidad del requisito de pago de la tasa para apelar en vía jurisdiccional civil y no a su efecto de cierre del proceso), que “en la Sentencia 20/2012, de 16 de febrero (FJ 5), desde la Sentencia de Pleno 37/1995, de 7 de febrero (FJ 5), este Tribunal ha subrayado el diferente relieve constitucional que posee el derecho de acceso a la jurisdicción y el de acceso a los recursos legalmente establecidos”.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Precisado el canon de enjuiciamiento de esta manera, estamos en condiciones de concluir que si el art. 35 de la Ley 53/2002, en la medida que requiere a entidades mercantiles con un elevado volumen de facturación que contribuyan a financiar la actividad jurisdiccional que conlleva juzgar las demandas en las que reclaman derechos de contenido económico so pena de no darles curso, no limita de un modo desproporcionado el derecho de acceso a la justicia, como hemos declarado en la STC 20/2012, mucho menos puede apreciarse desproporción en ese precepto cuando proyecta esa misma exigencia sobre idénticos sujetos y con iguales consecuencias pero referida a la promoción de recursos contra un previo pronunciamiento judicial, ámbito éste en el que, como ya hemos apuntado, el juicio de proporcionalidad al que puede someterse la decisión del legislador por este Tribunal es menos intenso, todo lo cual implica que la limitación de acceso a los recursos previstos en las leyes procesales civiles que dispone el precepto objeto de este proceso no desconozca la dimensión de la tutela judicial efectiva (art. 24.1 CE) que garantiza el acceso a los recursos establecidos en la ley y que, en su virtud, proceda desestimar esta cuestión de inconstitucionalidad.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cuestión de inconstitucionalidad núm. 605-2011, planteada por la Sala Segunda de este Tribunal, relativa al artículo 35 apartado 7.2 de la Ley 53/2002, de 30 de diciembre, de medidas fiscales, administrativas y del orden social.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nueve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7" w:name="SENTENCIA_2012_104"/>
      <w:r>
        <w:lastRenderedPageBreak/>
        <w:t>SENTENCIA 104/2012, de 10 de mayo de 2012</w:t>
      </w:r>
    </w:p>
    <w:bookmarkEnd w:id="10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ECLI:ES:TC:2012:104</w:t>
      </w:r>
    </w:p>
    <w:p w:rsidR="00D06117" w:rsidRDefault="00D06117" w:rsidP="00D06117">
      <w:pPr>
        <w:pStyle w:val="SntesisDescriptiva"/>
      </w:pPr>
    </w:p>
    <w:p w:rsidR="00D06117" w:rsidRDefault="00D06117" w:rsidP="00D06117">
      <w:pPr>
        <w:pStyle w:val="SntesisDescriptiva"/>
      </w:pPr>
      <w:r>
        <w:t>Cuestión interna de inconstitucionalidad 644-2011. Planteada por la Sala Segunda del Tribunal Constitucional respecto del artículo 35.7.2 de la Ley 53/2002, de medidas fiscales, administrativas y de orden social.</w:t>
      </w:r>
    </w:p>
    <w:p w:rsidR="00D06117" w:rsidRDefault="00D06117" w:rsidP="00D06117">
      <w:pPr>
        <w:pStyle w:val="SntesisDescriptiva"/>
      </w:pPr>
    </w:p>
    <w:p w:rsidR="00D06117" w:rsidRDefault="00D06117" w:rsidP="00D06117">
      <w:pPr>
        <w:pStyle w:val="SntesisAnaltica"/>
      </w:pPr>
      <w:r>
        <w:t>Derecho a la tutela judicial sin indefensión: STC 103/2012.</w:t>
      </w:r>
    </w:p>
    <w:p w:rsidR="00D06117" w:rsidRDefault="00D06117" w:rsidP="00D06117">
      <w:pPr>
        <w:pStyle w:val="SntesisAnaltica"/>
      </w:pPr>
    </w:p>
    <w:p w:rsidR="00D06117" w:rsidRDefault="00D06117" w:rsidP="00D06117">
      <w:pPr>
        <w:pStyle w:val="Extracto"/>
      </w:pPr>
      <w:r>
        <w:t>1.</w:t>
      </w:r>
      <w:r>
        <w:tab/>
        <w:t>La cuestión planteada sobre la supeditación de la tramitación de los recursos presentados por personas jurídicas con ánimo de lucro al abono de la tasa por el ejercicio de la potestad jurisdiccional en el orden civil ya ha sido resuelta en la STC 103/2012, que se remitía en lo esencial a la doctrina establecida en la STC 20/2012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Pablo Pérez Tremps,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la cuestión interna de inconstitucionalidad núm. 644-2011, elevada al Pleno de este Tribunal por la Sala Segunda, respecto del art. 35.7.2, de la Ley 53/2002, de medidas fiscales, administrativas y de orden social, por posible vulneración del art. 24.1 CE. Han comparecido el Ministerio Fiscal y el Abogado del Estado. Ha sido Ponente la Magistrada doña Adela Asua Batarrita,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Mediante providencia de 1 de marzo de 2011, el Pleno de este Tribunal admitió la presente cuestión interna de inconstitucionalidad elevada por la Sala Segunda del mismo respecto del art. 35, apartado 7.2, de la Ley 53/2002, de medidas fiscales, administrativas y de orden social, por posible vulneración del art. 24.1 CE. Asimismo, de conformidad con lo dispuesto en el art. 10.1 c) de la Ley Orgánica del Tribunal Constitucional (LOTC) en su </w:t>
      </w:r>
      <w:r>
        <w:lastRenderedPageBreak/>
        <w:t>redacción vigente dada por la Ley Orgánica 6/2007, de 24 de mayo, acordó reservar para sí el conocimiento de la presente cuestión.</w:t>
      </w:r>
    </w:p>
    <w:p w:rsidR="00D06117" w:rsidRDefault="00D06117" w:rsidP="00D06117">
      <w:pPr>
        <w:pStyle w:val="TextoNormal"/>
      </w:pPr>
    </w:p>
    <w:p w:rsidR="00D06117" w:rsidRDefault="00D06117" w:rsidP="00D06117">
      <w:pPr>
        <w:pStyle w:val="TextoNormal"/>
      </w:pPr>
      <w:r>
        <w:t>En la misma providencia se acordó, conforme a lo establecido en el art. 37.3 LOTC, dar traslado de las actuaciones al Congreso de los Diputados, al Senado, al Gobierno y al Fiscal General del Estado, para que en el plazo de quince días se personaran y presentaran las oportunas alegaciones. Por último, se comunicó a la Sala Segunda de este Tribunal la citada providencia para que, de conformidad con el art. 35.3 LOTC, permanezca suspendido el recurso de amparo núm. 5583-2005 hasta que ésta sea resuelta por el Tribunal y se ordenó la publicación de la cuestión en el “Boletín Oficial del Estado” (lo que se llevó a cabo en el “BOE” núm. 62, de 14 de marzo de 2011).</w:t>
      </w:r>
    </w:p>
    <w:p w:rsidR="00D06117" w:rsidRDefault="00D06117" w:rsidP="00D06117">
      <w:pPr>
        <w:pStyle w:val="TextoNormal"/>
      </w:pPr>
    </w:p>
    <w:p w:rsidR="00D06117" w:rsidRDefault="00D06117" w:rsidP="00D06117">
      <w:pPr>
        <w:pStyle w:val="TextoNormal"/>
      </w:pPr>
      <w:r>
        <w:t>Los antecedentes de la presente cuestión de inconstitucionalidad son los siguientes:</w:t>
      </w:r>
    </w:p>
    <w:p w:rsidR="00D06117" w:rsidRDefault="00D06117" w:rsidP="00D06117">
      <w:pPr>
        <w:pStyle w:val="TextoNormal"/>
      </w:pPr>
    </w:p>
    <w:p w:rsidR="00D06117" w:rsidRDefault="00D06117" w:rsidP="00D06117">
      <w:pPr>
        <w:pStyle w:val="TextoNormal"/>
      </w:pPr>
      <w:r>
        <w:t>a) Mediante escrito presentado en el Registro General de este Tribunal el día 21 de julio de 2005 el Procurador de los Tribunales don Julián Caballero Aguado, en representación de Viajes Mapfre Agencia de Viajes, S.A., dedujo demanda de amparo contra los Autos de 5 de mayo y 6 de junio de 2005 dictados por la Sección Décima de la Audiencia Provincial de Madrid en el rollo de apelación núm. 128-2005 (procedente del procedimiento ordinario núm. 156-2004 del Juzgado de Primera Instancia e Instrucción núm. 6 de Getafe).</w:t>
      </w:r>
    </w:p>
    <w:p w:rsidR="00D06117" w:rsidRDefault="00D06117" w:rsidP="00D06117">
      <w:pPr>
        <w:pStyle w:val="TextoNormal"/>
      </w:pPr>
    </w:p>
    <w:p w:rsidR="00D06117" w:rsidRDefault="00D06117" w:rsidP="00D06117">
      <w:pPr>
        <w:pStyle w:val="TextoNormal"/>
      </w:pPr>
      <w:r>
        <w:t>En el primero de los Autos se rechazaba el recurso de reforma interpuesto contra anterior providencia de la Sección en la que se requería al apelante para que aportase el resguardo acreditativo de haber autoliquidado en tiempo oportuno la tasa por el ejercicio de la potestad jurisdiccional devengada a consecuencia de la interposición de un recurso de apelación. En el segundo se acordó declarar indebidamente admitido el recurso de apelación interpuesto y la firmeza de la Sentencia impugnada. El órgano judicial razona que el art. 35, apartado 7.2, de la Ley 53/2002, de medidas fiscales, administrativas y de orden social, autoriza sólo la subsanación del requisito de acreditar el pago de la tasa, pero no el requisito del pago mismo, de suerte que, al no haberse cumplido con la totalidad de los requisitos exigibles para la admisión de la apelación, resultaba procedente declararla mal admitida y archivar las actuaciones.</w:t>
      </w:r>
    </w:p>
    <w:p w:rsidR="00D06117" w:rsidRDefault="00D06117" w:rsidP="00D06117">
      <w:pPr>
        <w:pStyle w:val="TextoNormal"/>
      </w:pPr>
    </w:p>
    <w:p w:rsidR="00D06117" w:rsidRDefault="00D06117" w:rsidP="00D06117">
      <w:pPr>
        <w:pStyle w:val="TextoNormal"/>
      </w:pPr>
      <w:r>
        <w:t>b) La entidad mercantil demandante de amparo considera que el órgano judicial lesionó su derecho a la tutela judicial efectiva al no permitir la subsanación del requisito del pago de la tasa por el ejercicio de la potestad jurisdiccional. A su juicio el carácter subsanable del requisito del propio pago de la tasa y no sólo de la justificación de tal pago se desprende del desarrollo reglamentario de la ley, efectuado por la Orden del Ministerio de Hacienda núm. 661-2003, de 24 de marzo, la cual exige que el Secretario Judicial requiera de pago al sujeto pasivo si junto con el escrito que realiza el hecho imponible (en este caso la interposición de la apelación) no se acredita el pago de la tasa en cuestión. Y en el mismo sentido militaría la resolución de la Secretaría de Estado de Justicia, de 8 de noviembre de 2003, por la que se dictan instrucciones a los Secretarios Judiciales en relación con la tasa por el ejercicio de la potestad jurisdiccional.</w:t>
      </w:r>
    </w:p>
    <w:p w:rsidR="00D06117" w:rsidRDefault="00D06117" w:rsidP="00D06117">
      <w:pPr>
        <w:pStyle w:val="TextoNormal"/>
      </w:pPr>
    </w:p>
    <w:p w:rsidR="00D06117" w:rsidRDefault="00D06117" w:rsidP="00D06117">
      <w:pPr>
        <w:pStyle w:val="TextoNormal"/>
      </w:pPr>
      <w:r>
        <w:t xml:space="preserve">En una segunda línea de razonamiento denuncia que el efecto de no dar curso al escrito en que se realice el hecho imponible, prevista en el art. 35.7.2 de la Ley 53/2002, resulta contrario al derecho a la tutela judicial efectiva reconocido en el art. 24.1 CE al suponer una </w:t>
      </w:r>
      <w:r>
        <w:lastRenderedPageBreak/>
        <w:t>consecuencia desproporcionada con el objetivo recaudatorio al que se ordena la tasa, máxime cuando las disposiciones de desarrollo prevén que la falta de ingreso del tributo tan sólo dé lugar a una comunicación a la Administración tributaria para que ésta liquide de oficio la tasa. En apoyo de esta tesis trae a colación la doctrina sentada en la STC 141/1988, de 12 de julio, que declaró inconstitucional el art. 57.1 de la Ley del impuesto sobre transmisiones patrimoniales y actos jurídicos documentados.</w:t>
      </w:r>
    </w:p>
    <w:p w:rsidR="00D06117" w:rsidRDefault="00D06117" w:rsidP="00D06117">
      <w:pPr>
        <w:pStyle w:val="TextoNormal"/>
      </w:pPr>
    </w:p>
    <w:p w:rsidR="00D06117" w:rsidRDefault="00D06117" w:rsidP="00D06117">
      <w:pPr>
        <w:pStyle w:val="TextoNormal"/>
      </w:pPr>
      <w:r>
        <w:t>c) Por providencia de 1 de julio de 2008, la Sala Segunda de este Tribunal acordó admitir a trámite el presente recurso de amparo y, por diligencia de ordenación de 24 de septiembre de 2008, de conformidad con lo dispuesto por el art. 52.1 LOTC, se concedió a las partes y al Ministerio público plazo de veinte días para formular las alegaciones que estimasen pertinentes.</w:t>
      </w:r>
    </w:p>
    <w:p w:rsidR="00D06117" w:rsidRDefault="00D06117" w:rsidP="00D06117">
      <w:pPr>
        <w:pStyle w:val="TextoNormal"/>
      </w:pPr>
    </w:p>
    <w:p w:rsidR="00D06117" w:rsidRDefault="00D06117" w:rsidP="00D06117">
      <w:pPr>
        <w:pStyle w:val="TextoNormal"/>
      </w:pPr>
      <w:r>
        <w:t>d) En las alegaciones presentadas el día 17 de octubre de 2008, tras realizar un análisis del régimen jurídico de la tasa por el ejercicio de la potestad jurisdiccional, sostiene el Fiscal que lo que en este proceso de amparo se debate no es si la exigencia del pago de la tasa judicial prevista en la Ley 53/2002 es o no contraria al derecho a la tutela judicial efectiva (art. 24.1 CE), sino si la interpretación y aplicación de la indicada normativa por el órgano judicial supuso o no una vulneración del indicado derecho fundamental. Considera que la regulación legal y reglamentaria de la tasa en cuestión exige que se requiera al sujeto pasivo para que pague la tasa si no aporta justificación de haberlo efectuado junto con el escrito correspondiente, dando así ocasión de subsanar, no sólo la acreditación del pago de la tasa, sino su mismo pago, posibilidad de la que se ha privado al demandante de amparo, el cual, ni fue requerido por el Secretario Judicial del Juzgado ante el que presentó el escrito que realizaba el hecho imponible para que acreditase el pago de la tasa o realizara el pago, ni tampoco pudo pagar la tasa cuando la Audiencia Provincial advirtió el defecto.</w:t>
      </w:r>
    </w:p>
    <w:p w:rsidR="00D06117" w:rsidRDefault="00D06117" w:rsidP="00D06117">
      <w:pPr>
        <w:pStyle w:val="TextoNormal"/>
      </w:pPr>
    </w:p>
    <w:p w:rsidR="00D06117" w:rsidRDefault="00D06117" w:rsidP="00D06117">
      <w:pPr>
        <w:pStyle w:val="TextoNormal"/>
      </w:pPr>
      <w:r>
        <w:t>El demandante de amparo formuló alegaciones mediante escrito presentado el 29 de octubre de 2008, insistiendo en que, al no habérsele dado ocasión de subsanar la omisión del pago de la tasa, se le ha privado del derecho a la segunda instancia, vulnerándose así su derecho a la tutela judicial efectiva (art. 24.1 CE).</w:t>
      </w:r>
    </w:p>
    <w:p w:rsidR="00D06117" w:rsidRDefault="00D06117" w:rsidP="00D06117">
      <w:pPr>
        <w:pStyle w:val="TextoNormal"/>
      </w:pPr>
    </w:p>
    <w:p w:rsidR="00D06117" w:rsidRDefault="00D06117" w:rsidP="00D06117">
      <w:pPr>
        <w:pStyle w:val="TextoNormal"/>
      </w:pPr>
      <w:r>
        <w:t>e) Mediante providencia de 4 de octubre de 2010 la Sala Segunda acordó, de conformidad con lo dispuesto en los arts. 55.2 y 35.2 LOTC, y con suspensión del plazo para dictar Sentencia, oír a la parte recurrente y al Ministerio público por término de diez días a fin de que pudieran alegar lo que estimasen oportuno sobre la pertinencia de plantear cuestión de inconstitucionalidad o sobre el fondo de ésta por si el art. 35, apartado 7.2, de la Ley 53/2002, de 30 de diciembre, de medidas fiscales y de orden social, vulnera el derecho fundamental a la tutela judicial efectiva (art. 24.1 CE) en cuanto condiciona el curso del proceso al pago del tributo.</w:t>
      </w:r>
    </w:p>
    <w:p w:rsidR="00D06117" w:rsidRDefault="00D06117" w:rsidP="00D06117">
      <w:pPr>
        <w:pStyle w:val="TextoNormal"/>
      </w:pPr>
    </w:p>
    <w:p w:rsidR="00D06117" w:rsidRDefault="00D06117" w:rsidP="00D06117">
      <w:pPr>
        <w:pStyle w:val="TextoNormal"/>
      </w:pPr>
      <w:r>
        <w:t>f) La demandante de amparo formuló alegaciones el 4 de noviembre de 2010 solicitando el planteamiento de la cuestión de inconstitucionalidad en aplicación de la doctrina sentada en la STC 141/1988, de 12 de julio.</w:t>
      </w:r>
    </w:p>
    <w:p w:rsidR="00D06117" w:rsidRDefault="00D06117" w:rsidP="00D06117">
      <w:pPr>
        <w:pStyle w:val="TextoNormal"/>
      </w:pPr>
    </w:p>
    <w:p w:rsidR="00D06117" w:rsidRDefault="00D06117" w:rsidP="00D06117">
      <w:pPr>
        <w:pStyle w:val="TextoNormal"/>
      </w:pPr>
      <w:r>
        <w:t xml:space="preserve">El Fiscal, mediante escrito de fecha 10 de noviembre de 2010, reiterando la argumentación vertida en las alegaciones formuladas en el presente recurso de amparo, defendió una interpretación del precepto legal acomodada a la Constitución, consistente en que dentro del </w:t>
      </w:r>
      <w:r>
        <w:lastRenderedPageBreak/>
        <w:t>plazo de subsanación que ha de conceder el Secretario Judicial cuando no se acompaña el resguardo del pago de la tasa correspondiente quepa, no sólo la aportación del resguardo de haberla satisfecho oportunamente, sino el mismo pago de la tasa. A tal conclusión conduce, en opinión del Fiscal, el hecho de que la normativa de desarrollo del precepto legal (Orden HAC/661/2004, de 24 de marzo, del Ministerio de Hacienda, y resolución de 8 de noviembre de 2003, de la Secretaría de Estado de Justicia) prevea que si, tras el requerimiento formulado por el Secretario, no se acredita el pago de la tasa, tal circunstancia haya de ser comunicada a la Administración tributaria para que proceda a su liquidación de oficio, previsión que no tendría sentido si la falta de pago de la tasa condujera indefectiblemente a la inadmisión del escrito cuya presentación produce el devengo de la tasa. Consecuentemente el Fiscal considera innecesario el planteamiento de la cuestión de inconstitucionalidad.</w:t>
      </w:r>
    </w:p>
    <w:p w:rsidR="00D06117" w:rsidRDefault="00D06117" w:rsidP="00D06117">
      <w:pPr>
        <w:pStyle w:val="TextoNormal"/>
      </w:pPr>
    </w:p>
    <w:p w:rsidR="00D06117" w:rsidRDefault="00D06117" w:rsidP="00D06117">
      <w:pPr>
        <w:pStyle w:val="TextoNormal"/>
      </w:pPr>
      <w:r>
        <w:t>g) La Sala Segunda, mediante Auto de 21 de diciembre de 2010, acordó elevar al Pleno cuestión interna de inconstitucionalidad, que fue aceptada por el Pleno de este Tribunal en la ya mencionada providencia de 1 de marzo de 2011. La Sala Segunda, en el Auto de planteamiento, razona conforme al siguiente tenor:</w:t>
      </w:r>
    </w:p>
    <w:p w:rsidR="00D06117" w:rsidRDefault="00D06117" w:rsidP="00D06117">
      <w:pPr>
        <w:pStyle w:val="TextoNormal"/>
      </w:pPr>
    </w:p>
    <w:p w:rsidR="00D06117" w:rsidRDefault="00D06117" w:rsidP="00D06117">
      <w:pPr>
        <w:pStyle w:val="TextoNormal"/>
      </w:pPr>
      <w:r>
        <w:t>“La demanda de amparo incorpora dos líneas de argumentación que, aun cuando se entrecruzan con frecuencia, poseen sustantividad propia. Una de ellas, a la que fundamentalmente se refiere el Ministerio Fiscal en sus alegaciones, se centra en si la lesión denunciada se produjo como consecuencia de no admitir la subsanación del requisito del pago de la tasa por considerar subsanable únicamente la acreditación del pago que tempestivamente se hubiera realizado. A este razonamiento se añade otro, que sitúa la lesión en la misma exigencia legal contenida en el art. 35, apartado 7.2, de la Ley 53/2002, de medidas fiscales, administrativas y de orden social, de condicionar el curso del proceso (en este caso, de la fase de apelación) al pago del tributo, consecuencia que la entidad demandante de amparo considera que impone un sacrificio del derecho a la tutela judicial efectiva que resulta desproporcionado con los fines recaudatorios a los que sirve el establecimiento del tributo.</w:t>
      </w:r>
    </w:p>
    <w:p w:rsidR="00D06117" w:rsidRDefault="00D06117" w:rsidP="00D06117">
      <w:pPr>
        <w:pStyle w:val="TextoNormal"/>
      </w:pPr>
    </w:p>
    <w:p w:rsidR="00D06117" w:rsidRDefault="00D06117" w:rsidP="00D06117">
      <w:pPr>
        <w:pStyle w:val="TextoNormal"/>
      </w:pPr>
      <w:r>
        <w:t>Esta segunda perspectiva de la cuestión, esto es, la que sitúa la lesión en la misma ley como consecuencia de la configuración del pago del tributo como un presupuesto necesario para la admisibilidad del acto procesal gravado con el mismo, es la que se contempla en las cuestiones de inconstitucionalidad núms. 647-2004, 1389-2005 y 1584-2005, todas ellas admitidas a trámite por este Tribunal por considerar que la duda de constitucionalidad planteada por los órganos judiciales correspondientes no resulta manifiestamente infundada. En consonancia con ello la Sala estima que procedería la estimación de la demanda de amparo por colisión del art. 35, apartado 7.2, de la Ley 53/2002, de medidas fiscales, administrativas y de orden social, con el art. 24.1 CE, en cuanto el pago del tributo configurado en ella se torna en un obstáculo insalvable y desproporcionado para la satisfacción del derecho a la tutela judicial efectiva. De ahí que resulte procedente elevar al Pleno del Tribunal cuestión de inconstitucionalidad sobre el indicado precepto legal.”</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El día 10 de marzo de 2011, el Presidente del Congreso de los Diputados comunicó el acuerdo de la Mesa de la Cámara, de 8 de marzo de 2011, personándose en el procedimiento y ofreciendo su colaboración a los efectos del art. 88.1 LOTC, con remisión a la Dirección de estudios y documentación de la Secretaría General. El 16 de marzo de 2011 se registró comunicación del Presidente del Senado dando cuenta de que la Mesa de la Cámara acordó </w:t>
      </w:r>
      <w:r>
        <w:lastRenderedPageBreak/>
        <w:t>dar por personada a la Cámara en el procedimiento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3</w:t>
      </w:r>
      <w:r>
        <w:t>. El Abogado del Estado presentó escrito en el Registro General de este Tribunal el 21 de marzo de 2011, personándose en esta cuestión interna de inconstitucionalidad y formulando alegaciones a favor de su desestimación.</w:t>
      </w:r>
    </w:p>
    <w:p w:rsidR="00D06117" w:rsidRDefault="00D06117" w:rsidP="00D06117">
      <w:pPr>
        <w:pStyle w:val="TextoNormal"/>
      </w:pPr>
    </w:p>
    <w:p w:rsidR="00D06117" w:rsidRDefault="00D06117" w:rsidP="00D06117">
      <w:pPr>
        <w:pStyle w:val="TextoNormal"/>
      </w:pPr>
      <w:r>
        <w:t>En ellas se refería a que pendían “ante el Tribunal tres cuestiones de inconstitucionalidad con el mismo objeto (647-2004, 1389-2005 y 1584-2005)” y “da[ba] por reproducidas las alegaciones consignadas” en las mismas, esto es, que el precepto cuestionado en la interpretación que justificaba el planteamiento de la cuestión no vulnera el derecho de acceso a la justicia por dos motivos: a) porque la doctrina sentada en la STC 141/1988 no es extensible a este supuesto, dado que las tasas judiciales cuyos efectos se enjuician aquí, a diferencia del impuesto de actos jurídicos documentados, sí se imponen en función de la propia realidad o finalidad del proceso; y b) porque la jurisprudencia sentada en la STEDH de 19 de junio de 2001 (caso Kreuz c. Polonia) admite que una restricción financiera al acceso de una persona a un Tribunal sólo viola el art. 6.1 del Convenio europeo para la protección de los derechos humanos y de las libertades fundamentales (CEDH) si es excesiva dadas las circunstancias del caso. Añade ahora que esa doctrina se ha consolidado en otras sentencias que cita (la más reciente, la STEDH de 26 de octubre de 2010, caso Marina c. Letonia).</w:t>
      </w:r>
    </w:p>
    <w:p w:rsidR="00D06117" w:rsidRDefault="00D06117" w:rsidP="00D06117">
      <w:pPr>
        <w:pStyle w:val="TextoNormal"/>
      </w:pPr>
    </w:p>
    <w:p w:rsidR="00D06117" w:rsidRDefault="00D06117" w:rsidP="00D06117">
      <w:pPr>
        <w:pStyle w:val="TextoNormal"/>
      </w:pPr>
      <w:r>
        <w:t>De otro, expone las divergencias en la aplicación del precepto por los distintos tribunales en el interim, concluyendo que “cuando han proliferado tan discordantes interpretaciones, al art. 35.siete.2 de la Ley 53/2002 podrá reprochársele imperfección o deficiencia técnica pero no inconstitucionalidad, pues su tenor literal permite interpretaciones perfectamente respetuosas con el derecho fundamental a la tutela judicial efectiva”. En esta línea, considera que algunos Tribunales han sostenido una interpretación del precepto que sería indudablemente respetuosa del derecho fundamental, según la cual el art. 35 de la Ley 53/2002, desarrollado por la Orden HAC/661/2003 y la resolución de la Secretaría de Estado de Justicia de 8 de noviembre de 2003, en lugar de suponer que la omisión del pago de la tasa determine el cierre del proceso, se limita a imponer a los órganos judiciales el deber de suministrar información a la Administración tributaria para que la Delegación de Hacienda pueda practicar la liquidación de oficio. Por tanto, la falta de pago sólo daría lugar a la paralización del procedimiento en el estado en que se encontrase, situación que sería reversible si posteriormente se justifica el pago de la tasa, aun tardío, hasta el momento en que se decreta la caducidad del proceso. No puede decirse, sigue el Abogado del Estado, que, así entendido y aplicado, el art. 35.7.2 de la Ley 53/2002 viole el derecho a la tutela judicial efectiva, pues la paralización del curso de los autos no genera por sí sola pérdida de derechos sustantivos o procesales. Crea simplemente un estado de inactividad procesal imputable a la parte que puede generar la caducidad de la instancia. Con arreglo a esta interpretación, concluye el Abogado del Estado, “la resolución judicial contra la que se interpuso el recurso de amparo violó claramente el derecho a la tutela judicial efectiva (derecho al recurso) puesto que limitó la posibilidad de subsanar a la falta de justificación del pago ya hecho, y no la omisión del pago mismo; y convirtió la falta de pago de la tasa en el momento de interponer la apelación en causa de pérdida del recurso, interpretación extremadamente desproporcionada y manifiestamente lesiva del derecho a la tutela judicial efectiva. Ahora bien, esta pérdida de la vía de recurso de ninguna manera está impuesta por el tenor del art. 35.siete.2 de la Ley 53/2002, que solo exigía paralizar el trámite de la apelación”.</w:t>
      </w:r>
    </w:p>
    <w:p w:rsidR="00D06117" w:rsidRDefault="00D06117" w:rsidP="00D06117">
      <w:pPr>
        <w:pStyle w:val="TextoNormal"/>
      </w:pPr>
    </w:p>
    <w:p w:rsidR="00D06117" w:rsidRDefault="00D06117" w:rsidP="00D06117">
      <w:pPr>
        <w:pStyle w:val="TextoNormal"/>
      </w:pPr>
      <w:r w:rsidRPr="00D06117">
        <w:rPr>
          <w:rStyle w:val="NumeroAFNegritaCaracter"/>
        </w:rPr>
        <w:t>4</w:t>
      </w:r>
      <w:r>
        <w:t>. El Fiscal General del Estado, mediante escrito de 25 de abril de 2011, interesó la desestimación de la presente cuestión de inconstitucionalidad.</w:t>
      </w:r>
    </w:p>
    <w:p w:rsidR="00D06117" w:rsidRDefault="00D06117" w:rsidP="00D06117">
      <w:pPr>
        <w:pStyle w:val="TextoNormal"/>
      </w:pPr>
    </w:p>
    <w:p w:rsidR="00D06117" w:rsidRDefault="00D06117" w:rsidP="00D06117">
      <w:pPr>
        <w:pStyle w:val="TextoNormal"/>
      </w:pPr>
      <w:r>
        <w:t>Tras sintetizar los hechos relevantes del recurso de amparo del que procede esta cuestión interna de inconstitucionalidad y exponer en su contexto la norma objeto de ésta, destaca en primer lugar que la jurisprudencia del Tribunal Europeo de Derechos Humanos (STEDH de 19 de junio de 2001, caso Kreuz c. Polonia, y otras que ratifican esta doctrina) no reputa contrario al derecho de acceso efectivo a un Tribunal previsto en el art. 6.1 CEDH la exigencia de tasas judiciales, salvo que su establecimiento resulte, atendidas las circunstancias de cada caso, desproporcionado en relación a la capacidad económica del recurrente. Una vez sentado esto, expone que, aunque la regulación legal entraña, de alguna manera, una limitación del derecho de acceso al proceso y a los recursos, esta limitación pretende la consecución de un fin constitucionalmente legítimo —el sostenimiento de los gastos públicos, en especial la financiación del servicio público en que consiste la administración de justicia— y parece razonable y proporcionada en relación con ese fin, pues, debido a las exenciones subjetiva y objetivas que regula la norma, la obligación de pago de la tasa judicial nace sólo cuando el hecho imponible es realizado por personas cuya capacidad económica para hacer frente a dicho pago resulta indiscutida y nunca surge cuando la actividad jurisdiccional instada versa ratione materiae sobre pretensiones que revisten un manifiesto interés público. Y termina apuntando que la previsión de estas tasas judiciales tampoco choca con la STC 141/1988, pues la doctrina fijada allí consideraba admisibles desde la perspectiva del art. 24.1 CE aquellos obstáculos procesales que estuviesen conectados con la propia realidad del proceso y/o con su finalidad, vínculo que aquí concurre de un modo indiscutible.</w:t>
      </w:r>
    </w:p>
    <w:p w:rsidR="00D06117" w:rsidRDefault="00D06117" w:rsidP="00D06117">
      <w:pPr>
        <w:pStyle w:val="TextoNormal"/>
      </w:pPr>
    </w:p>
    <w:p w:rsidR="00D06117" w:rsidRDefault="00D06117" w:rsidP="00D06117">
      <w:pPr>
        <w:pStyle w:val="TextoNormal"/>
      </w:pPr>
      <w:r>
        <w:t>Además, tal como queda acreditado por una jurisprudencia menor caracterizada por la divergencia aplicativa de la norma objeto del presente proceso, un modo de interpretarla es que la falta de pago de la tasa judicial no determina con carácter automático y necesario el archivo de las actuaciones y la firmeza de la Sentencia impugnada, sino solamente que no se dé curso al escrito de interposición del recurso, pudiendo el recurrente subsanar su falta, de modo que no es tanto la omisión del pago de la tasa como su inactividad pertinaz lo que puede conducir a la pérdida del derecho a recurrir y la consiguiente firmeza de la Sentencia. Concluyendo el Fiscal que “Sostener un criterio distinto, como el que mantuvo la Sección Décima de la Audiencia Provincial de Madrid en el proceso a quo, sí que podría generar una vulneración del derecho a la tutela judicial efectiva (art. 24.1 CE), pero, se insiste, dicho criterio interpretativo no resulta del tenor literal del precepto legal cuestionado”.</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8 de mayo de 2012 se señaló para deliberación y votación de la presente Sentencia el día 10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La presente cuestión de inconstitucionalidad núm. 644-2011 se suscita por la Sala Segunda del Tribunal Constitucional en relación con el art. 35, apartado 7.2, de la Ley 53/2002, de medidas fiscales, administrativas y de orden social, de cuya aplicación depende el fallo del recurso de amparo núm. 5583-2005, en el que se impugnan los Autos de 5 de </w:t>
      </w:r>
      <w:r>
        <w:lastRenderedPageBreak/>
        <w:t>mayo y 6 de junio de 2005 de la Sección Décima de la Audiencia Provincial de Madrid, el último de los cuales declaró indebidamente admitido por el Juzgado de Primera Instancia e Instrucción núm. 6 de Getafe el recurso de apelación deducido contra su Sentencia de 2 de noviembre de 2004 y, en su virtud, la firmeza de ésta.</w:t>
      </w:r>
    </w:p>
    <w:p w:rsidR="00D06117" w:rsidRDefault="00D06117" w:rsidP="00D06117">
      <w:pPr>
        <w:pStyle w:val="TextoNormal"/>
      </w:pPr>
    </w:p>
    <w:p w:rsidR="00D06117" w:rsidRDefault="00D06117" w:rsidP="00D06117">
      <w:pPr>
        <w:pStyle w:val="TextoNormal"/>
      </w:pPr>
      <w:r>
        <w:t>El art. 35 de la citada Ley 53/2002 creó la tasa por el ejercicio de la potestad jurisdiccional en los órdenes civil y contencioso-administrativo. Su apartado 7, párrafo 2, al que concretamente se refiere la presente cuestión de inconstitucionalidad, dispuso:</w:t>
      </w:r>
    </w:p>
    <w:p w:rsidR="00D06117" w:rsidRDefault="00D06117" w:rsidP="00D06117">
      <w:pPr>
        <w:pStyle w:val="TextoNormal"/>
      </w:pPr>
    </w:p>
    <w:p w:rsidR="00D06117" w:rsidRDefault="00D06117" w:rsidP="00D06117">
      <w:pPr>
        <w:pStyle w:val="TextoNormal"/>
      </w:pPr>
      <w:r>
        <w:t>“El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rsidRPr="00D06117">
        <w:rPr>
          <w:rStyle w:val="NumeroAFNegritaCaracter"/>
        </w:rPr>
        <w:t>2</w:t>
      </w:r>
      <w:r>
        <w:t>. Tal como se desprende del Auto de planteamiento de la presente cuestión, reproducido literalmente en su parte relevante en los Antecedentes, la duda de constitucionalidad que eleva la Sala Segunda de este Tribunal se proyecta únicamente sobre si el precepto cuestionado, al determinar que la falta de presentación del justificante de pago junto con el escrito procesal de que se trate, aquí el de interposición de un recurso de apelación civil, cierra el cauce procedimental correspondiente, podría vulnerar el derecho de acceso a los recursos legalmente previstos que forma parte de la tutela judicial efectiva que proclama el art. 24.1 CE.</w:t>
      </w:r>
    </w:p>
    <w:p w:rsidR="00D06117" w:rsidRDefault="00D06117" w:rsidP="00D06117">
      <w:pPr>
        <w:pStyle w:val="TextoNormal"/>
      </w:pPr>
    </w:p>
    <w:p w:rsidR="00D06117" w:rsidRDefault="00D06117" w:rsidP="00D06117">
      <w:pPr>
        <w:pStyle w:val="TextoNormal"/>
      </w:pPr>
      <w:r>
        <w:t>Según resulta de sus alegaciones, referidas con detalle en los Antecedentes de esta resolución, el Abogado del Estado y el Ministerio Fiscal solicitan la desestimación de la cuestión así planteada y alternativamente sostienen que el precepto objeto de este proceso constitucional es susceptible de otra interpretación que es plenamente constitucional.</w:t>
      </w:r>
    </w:p>
    <w:p w:rsidR="00D06117" w:rsidRDefault="00D06117" w:rsidP="00D06117">
      <w:pPr>
        <w:pStyle w:val="TextoNormal"/>
      </w:pPr>
    </w:p>
    <w:p w:rsidR="00D06117" w:rsidRDefault="00D06117" w:rsidP="00D06117">
      <w:pPr>
        <w:pStyle w:val="TextoNormal"/>
      </w:pPr>
      <w:r>
        <w:t>El demandante de amparo, por su parte, apoya su pretensión de inconstitucionalidad en la doctrina sentada en la STC 141/1988, de 12 de julio.</w:t>
      </w:r>
    </w:p>
    <w:p w:rsidR="00D06117" w:rsidRDefault="00D06117" w:rsidP="00D06117">
      <w:pPr>
        <w:pStyle w:val="TextoNormal"/>
      </w:pPr>
    </w:p>
    <w:p w:rsidR="00D06117" w:rsidRDefault="00D06117" w:rsidP="00D06117">
      <w:pPr>
        <w:pStyle w:val="TextoNormal"/>
      </w:pPr>
      <w:r>
        <w:t>En relación a la queja no incluida en la presente cuestión interna de inconstitucionalidad, la relativa a la inadmisión de la subsanación del requisito del pago de la tasa, debe hacerse constar que necesariamente queda fuera de nuestra consideración y pronunciamiento, sin perjuicio de que la propia Sala Segunda resuelva en su momento lo procedente al respecto.</w:t>
      </w:r>
    </w:p>
    <w:p w:rsidR="00D06117" w:rsidRDefault="00D06117" w:rsidP="00D06117">
      <w:pPr>
        <w:pStyle w:val="TextoNormal"/>
      </w:pPr>
    </w:p>
    <w:p w:rsidR="00D06117" w:rsidRDefault="00D06117" w:rsidP="00D06117">
      <w:pPr>
        <w:pStyle w:val="TextoNormal"/>
      </w:pPr>
      <w:r w:rsidRPr="00D06117">
        <w:rPr>
          <w:rStyle w:val="NumeroAFNegritaCaracter"/>
        </w:rPr>
        <w:t>3</w:t>
      </w:r>
      <w:r>
        <w:t>. Una cuestión de inconstitucionalidad idéntica, suscitada también por la Sala Segunda del Tribunal Constitucional en el curso de otro recurso de amparo que traía causa también de la inadmisión de un recurso de apelación civil, ha sido desestimada por la Sentencia de este Pleno 103/2012, de 9 de mayo, dictada en la cuestión interna de inconstitucionalidad núm. 605-2011 en la que, a su vez, se apelaba a la doctrina de este Tribunal sentada en la STC 20/2012, de 16 de febrero. En este proceso constitucional sólo queda alcanzar la misma conclusión sostenida entonces, apoyada en los mismos fundamentos, cuya reiteración resulta innecesaria dado que las sentencias de este Tribunal Constitucional son publicadas oficialmente en el “Boletín Oficial del Estado” (art. 164.1 CE y art. 86.2 LOTC; SSTC 164/1987, de 27 de octubre, FJ único; 132/1990, de 17 de julio, FJ único; o 387/1993, de 23 de diciembre, FJ único).</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la presente cuestión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diez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8" w:name="SENTENCIA_2012_105"/>
      <w:r>
        <w:lastRenderedPageBreak/>
        <w:t>SENTENCIA 105/2012, de 11 de mayo de 2012</w:t>
      </w:r>
    </w:p>
    <w:bookmarkEnd w:id="108"/>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134, de 5 de junio de 2012)</w:t>
      </w:r>
    </w:p>
    <w:p w:rsidR="00D06117" w:rsidRDefault="00D06117" w:rsidP="00D06117">
      <w:pPr>
        <w:pStyle w:val="TtuloBOE"/>
      </w:pPr>
    </w:p>
    <w:p w:rsidR="00D06117" w:rsidRDefault="00D06117" w:rsidP="00D06117">
      <w:pPr>
        <w:pStyle w:val="SntesisDescriptiva"/>
      </w:pPr>
      <w:r>
        <w:t>ECLI:ES:TC:2012:105</w:t>
      </w:r>
    </w:p>
    <w:p w:rsidR="00D06117" w:rsidRDefault="00D06117" w:rsidP="00D06117">
      <w:pPr>
        <w:pStyle w:val="SntesisDescriptiva"/>
      </w:pPr>
    </w:p>
    <w:p w:rsidR="00D06117" w:rsidRDefault="00D06117" w:rsidP="00D06117">
      <w:pPr>
        <w:pStyle w:val="SntesisDescriptiva"/>
      </w:pPr>
      <w:r>
        <w:t>Recurso de amparo electoral 2551-2012, 2562-2012, 2548-2012. Promovidos por la candidatura Izquierda Unida de Asturias, don Francisco González Méndez y el Partido Socialista Obrero Español frente a la Sentencia de la Sala de lo Contencioso-Administrativo del Tribunal Superior de Justicia de Asturias que anuló el recuento de la mesa electoral del censo de electores residentes ausentes correspondiente a la circunscripción de occidente en las elecciones a la Junta General del Principado de Asturias celebradas el 25 de marzo de 2012 y ordenó repetir las votaciones.</w:t>
      </w:r>
    </w:p>
    <w:p w:rsidR="00D06117" w:rsidRDefault="00D06117" w:rsidP="00D06117">
      <w:pPr>
        <w:pStyle w:val="SntesisDescriptiva"/>
      </w:pPr>
    </w:p>
    <w:p w:rsidR="00D06117" w:rsidRDefault="00D06117" w:rsidP="00D06117">
      <w:pPr>
        <w:pStyle w:val="SntesisAnaltica"/>
      </w:pPr>
      <w:r>
        <w:t>Vulneración de los derechos de sufragio activo y pasivo: improcedencia de una nueva convocatoria electoral al existir garantías estadísticas sólidas para concluir que el cómputo de los votos controvertidos no es determinante del resultado final de la elección. Voto particular.</w:t>
      </w:r>
    </w:p>
    <w:p w:rsidR="00D06117" w:rsidRDefault="00D06117" w:rsidP="00D06117">
      <w:pPr>
        <w:pStyle w:val="SntesisAnaltica"/>
      </w:pPr>
    </w:p>
    <w:p w:rsidR="00D06117" w:rsidRDefault="00D06117" w:rsidP="00D06117">
      <w:pPr>
        <w:pStyle w:val="Extracto"/>
      </w:pPr>
      <w:r>
        <w:t>1.</w:t>
      </w:r>
      <w:r>
        <w:tab/>
        <w:t>Ningún reproche merece la decisión del órgano judicial de no computar en el escrutinio los sufragios remitidos directamente a la junta electoral, sin mediación consular, por los electores inscritos en el censo de electores residentes ausentes, en cuanto incumplen lo exigido por el vigente art. 75.4 LOREG, ya que la novedad de la reforma ha de relativizarse dado que desde su aprobación, se han celebrado dos procesos electorales y que la indicación sobre a quien remitir su voto les fue especificada en la correspondiente documentación electoral [FFJJ 12 a 14].</w:t>
      </w:r>
    </w:p>
    <w:p w:rsidR="00D06117" w:rsidRDefault="00D06117" w:rsidP="00D06117">
      <w:pPr>
        <w:pStyle w:val="Extracto"/>
      </w:pPr>
    </w:p>
    <w:p w:rsidR="00D06117" w:rsidRDefault="00D06117" w:rsidP="00D06117">
      <w:pPr>
        <w:pStyle w:val="Extracto"/>
      </w:pPr>
      <w:r>
        <w:t>2.</w:t>
      </w:r>
      <w:r>
        <w:tab/>
        <w:t>Ningún reproche merece, desde la óptica de los derechos fundamentales en juego, la decisión del legislador de imponer que el voto por correo de los electores inscritos en el censo de electores residentes ausentes deba remitirse, en todo caso, a través de la oficina consular de carrera o sección consular de la misión diplomática a la que cada elector esté adscrito, y tampoco merece reproche alguno la consecuencia de nulidad o de invalidez del voto que el incumplimiento de esa imposición legal conlleva, por más que dicho efecto no quede explícitamente recogido en la propia LOREG [FJ 12].</w:t>
      </w:r>
    </w:p>
    <w:p w:rsidR="00D06117" w:rsidRDefault="00D06117" w:rsidP="00D06117">
      <w:pPr>
        <w:pStyle w:val="Extracto"/>
      </w:pPr>
    </w:p>
    <w:p w:rsidR="00D06117" w:rsidRDefault="00D06117" w:rsidP="00D06117">
      <w:pPr>
        <w:pStyle w:val="Extracto"/>
      </w:pPr>
      <w:r>
        <w:t>3.</w:t>
      </w:r>
      <w:r>
        <w:tab/>
        <w:t>El rechazo a acudir a criterios de ponderación y la renuncia del órgano judicial a realizar el necesario juicio de relevancia sobre la incidencia de los controvertidos votos anulados en el resultado final de la elección son determinantes para considerar que la Sentencia recurrida, desde la perspectiva de los derechos fundamentales en juego, elude la observancia de los criterios establecidos por la doctrina constitucional [FFJJ 17 a 19].</w:t>
      </w:r>
    </w:p>
    <w:p w:rsidR="00D06117" w:rsidRDefault="00D06117" w:rsidP="00D06117">
      <w:pPr>
        <w:pStyle w:val="Extracto"/>
      </w:pPr>
    </w:p>
    <w:p w:rsidR="00D06117" w:rsidRDefault="00D06117" w:rsidP="00D06117">
      <w:pPr>
        <w:pStyle w:val="Extracto"/>
      </w:pPr>
      <w:r>
        <w:t>4.</w:t>
      </w:r>
      <w:r>
        <w:tab/>
        <w:t>El juicio de relevancia de los votos anulados en el resultado electoral debe realizarse acudiendo a criterios de probabilidad o técnicas de ponderación estadística para comprobar que no puede excluirse que su cómputo hubiera alterado dicho resultado (SSTC 24/1990, 131/1990) [FFJJ 16 a 19].</w:t>
      </w:r>
    </w:p>
    <w:p w:rsidR="00D06117" w:rsidRDefault="00D06117" w:rsidP="00D06117">
      <w:pPr>
        <w:pStyle w:val="Extracto"/>
      </w:pPr>
    </w:p>
    <w:p w:rsidR="00D06117" w:rsidRDefault="00D06117" w:rsidP="00D06117">
      <w:pPr>
        <w:pStyle w:val="Extracto"/>
      </w:pPr>
      <w:r>
        <w:t>5.</w:t>
      </w:r>
      <w:r>
        <w:tab/>
        <w:t>No resultaba procedente una nueva convocatoria electoral ya que existían garantías estadísticas sólidas para concluir que el cómputo de los votos controvertidos no resultaba determinante del resultado final de la elección [FFJJ 17, 19].</w:t>
      </w:r>
    </w:p>
    <w:p w:rsidR="00D06117" w:rsidRDefault="00D06117" w:rsidP="00D06117">
      <w:pPr>
        <w:pStyle w:val="Extracto"/>
      </w:pPr>
    </w:p>
    <w:p w:rsidR="00D06117" w:rsidRDefault="00D06117" w:rsidP="00D06117">
      <w:pPr>
        <w:pStyle w:val="Extracto"/>
      </w:pPr>
      <w:r>
        <w:t>6.</w:t>
      </w:r>
      <w:r>
        <w:tab/>
        <w:t>El órgano judicial, tras declarar la concurrencia de una irregularidad invalidante, tiene la obligación de verificar su relevancia en la atribución de escaños, de modo tal que no procederá una nueva convocatoria electoral cuando el resultado no se altere [FJ 16].</w:t>
      </w:r>
    </w:p>
    <w:p w:rsidR="00D06117" w:rsidRDefault="00D06117" w:rsidP="00D06117">
      <w:pPr>
        <w:pStyle w:val="Extracto"/>
      </w:pPr>
    </w:p>
    <w:p w:rsidR="00D06117" w:rsidRDefault="00D06117" w:rsidP="00D06117">
      <w:pPr>
        <w:pStyle w:val="Extracto"/>
      </w:pPr>
      <w:r>
        <w:t>7.</w:t>
      </w:r>
      <w:r>
        <w:tab/>
        <w:t xml:space="preserve">El órgano judicial no se ha excedido de sus cometidos constitucionales pues se ha limitado a resolver un recurso legalmente previsto en la fase de proclamación de electos, </w:t>
      </w:r>
      <w:r w:rsidRPr="00D06117">
        <w:rPr>
          <w:i/>
        </w:rPr>
        <w:t>ex</w:t>
      </w:r>
      <w:r>
        <w:t xml:space="preserve"> art. 109 LOREG, mediante una interpretación razonada y motivada de la legislación electoral vigente, sin que quepa atisbar indicio alguno de una intromisión indebida y constitucionalmente proscrita en la autonomía parlamentaria de la Cámara autonómica [FJ 5].</w:t>
      </w:r>
    </w:p>
    <w:p w:rsidR="00D06117" w:rsidRDefault="00D06117" w:rsidP="00D06117">
      <w:pPr>
        <w:pStyle w:val="Extracto"/>
      </w:pPr>
    </w:p>
    <w:p w:rsidR="00D06117" w:rsidRDefault="00D06117" w:rsidP="00D06117">
      <w:pPr>
        <w:pStyle w:val="Extracto"/>
      </w:pPr>
      <w:r>
        <w:t>8.</w:t>
      </w:r>
      <w:r>
        <w:tab/>
        <w:t xml:space="preserve">Corresponde al Tribunal Constitucional en vía de amparo comprobar que la interpretación de la legalidad configuradora de los derechos fundamentales se ha llevado a cabo </w:t>
      </w:r>
      <w:r w:rsidRPr="00D06117">
        <w:rPr>
          <w:i/>
        </w:rPr>
        <w:t>secundum Constitutionem</w:t>
      </w:r>
      <w:r>
        <w:t xml:space="preserve"> y si, dados los hechos apreciados por el órgano judicial, la aplicación de la legalidad ha podido afectar a la integridad del derecho fundamental comprometido (SSTC 24/1990, 153/2003) [FJ 9].</w:t>
      </w:r>
    </w:p>
    <w:p w:rsidR="00D06117" w:rsidRDefault="00D06117" w:rsidP="00D06117">
      <w:pPr>
        <w:pStyle w:val="Extracto"/>
      </w:pPr>
    </w:p>
    <w:p w:rsidR="00D06117" w:rsidRDefault="00D06117" w:rsidP="00D06117">
      <w:pPr>
        <w:pStyle w:val="Extracto"/>
      </w:pPr>
      <w:r>
        <w:t>9.</w:t>
      </w:r>
      <w:r>
        <w:tab/>
        <w:t>Doctrina sobre el derecho a la participación de los ciudadanos en los asuntos públicos (SSTC 71/1989, 153/2003) [FFJJ 6, 7].</w:t>
      </w:r>
    </w:p>
    <w:p w:rsidR="00D06117" w:rsidRDefault="00D06117" w:rsidP="00D06117">
      <w:pPr>
        <w:pStyle w:val="Extracto"/>
      </w:pPr>
    </w:p>
    <w:p w:rsidR="00D06117" w:rsidRDefault="00D06117" w:rsidP="00D06117">
      <w:pPr>
        <w:pStyle w:val="Extracto"/>
      </w:pPr>
      <w:r>
        <w:t>10.</w:t>
      </w:r>
      <w:r>
        <w:tab/>
        <w:t>Doctrina sobre los derechos de sufragio activo y pasivo (SSTC 71/1989, 124/2011) [FFJJ 6, 7, 9, 12].</w:t>
      </w:r>
    </w:p>
    <w:p w:rsidR="00D06117" w:rsidRDefault="00D06117" w:rsidP="00D06117">
      <w:pPr>
        <w:pStyle w:val="Extracto"/>
      </w:pPr>
    </w:p>
    <w:p w:rsidR="00D06117" w:rsidRDefault="00D06117" w:rsidP="00D06117">
      <w:pPr>
        <w:pStyle w:val="Extracto"/>
      </w:pPr>
      <w:r>
        <w:t>11.</w:t>
      </w:r>
      <w:r>
        <w:tab/>
        <w:t>Doctrina sobre elecciones y proclamación de diputados electos (SSTC 24/1990, 19/2011) [FJ 16].</w:t>
      </w:r>
    </w:p>
    <w:p w:rsidR="00D06117" w:rsidRDefault="00D06117" w:rsidP="00D06117">
      <w:pPr>
        <w:pStyle w:val="Extracto"/>
      </w:pPr>
    </w:p>
    <w:p w:rsidR="00D06117" w:rsidRDefault="00D06117" w:rsidP="00D06117">
      <w:pPr>
        <w:pStyle w:val="Extracto"/>
      </w:pPr>
      <w:r>
        <w:t>12.</w:t>
      </w:r>
      <w:r>
        <w:tab/>
        <w:t>Doctrina sobre la anulación y repetición elecciones (SSTC 24/1990, 19/2011) [FJ 16].</w:t>
      </w:r>
    </w:p>
    <w:p w:rsidR="00D06117" w:rsidRDefault="00D06117" w:rsidP="00D06117">
      <w:pPr>
        <w:pStyle w:val="Extracto"/>
      </w:pPr>
    </w:p>
    <w:p w:rsidR="00D06117" w:rsidRDefault="00D06117" w:rsidP="00D06117">
      <w:pPr>
        <w:pStyle w:val="Extracto"/>
      </w:pPr>
      <w:r>
        <w:t>13.</w:t>
      </w:r>
      <w:r>
        <w:tab/>
        <w:t>Doctrina sobre el cómputo de votos en procesos electorales (SSTC 26/1991, 166/1991) [FFJJ 18, 20].</w:t>
      </w:r>
    </w:p>
    <w:p w:rsidR="00D06117" w:rsidRDefault="00D06117" w:rsidP="00D06117">
      <w:pPr>
        <w:pStyle w:val="Extracto"/>
      </w:pPr>
    </w:p>
    <w:p w:rsidR="00D06117" w:rsidRDefault="00D06117" w:rsidP="00D06117">
      <w:pPr>
        <w:pStyle w:val="Extracto"/>
      </w:pPr>
      <w:r>
        <w:t>14.</w:t>
      </w:r>
      <w:r>
        <w:tab/>
        <w:t>Doctrina sobre el principio de interpretación de la legalidad electoral en el sentido más favorable a los derechos fundamentales (SSTC 76/1987, 153/2003) [FFJJ 7, 9, 12, 16].</w:t>
      </w:r>
    </w:p>
    <w:p w:rsidR="00D06117" w:rsidRDefault="00D06117" w:rsidP="00D06117">
      <w:pPr>
        <w:pStyle w:val="Extracto"/>
      </w:pPr>
    </w:p>
    <w:p w:rsidR="00D06117" w:rsidRDefault="00D06117" w:rsidP="00D06117">
      <w:pPr>
        <w:pStyle w:val="Extracto"/>
      </w:pPr>
      <w:r>
        <w:t>15.</w:t>
      </w:r>
      <w:r>
        <w:tab/>
        <w:t>Doctrina sobre el principio de conservación de los actos electorales válidamente celebrados (SSTC 169/1987, 124/2011) [FFJJ 7, 16].</w:t>
      </w:r>
    </w:p>
    <w:p w:rsidR="00D06117" w:rsidRDefault="00D06117" w:rsidP="00D06117">
      <w:pPr>
        <w:pStyle w:val="Extracto"/>
      </w:pPr>
    </w:p>
    <w:p w:rsidR="00D06117" w:rsidRDefault="00D06117" w:rsidP="00D06117">
      <w:pPr>
        <w:pStyle w:val="Extracto"/>
      </w:pPr>
      <w:r>
        <w:t>16.</w:t>
      </w:r>
      <w:r>
        <w:tab/>
        <w:t>Doctrina sobre el principio de proporcionalidad en materia electoral (SSTC 24/1990, 26/1990) [FFJJ 2, 6, 7, 9, 16].</w:t>
      </w:r>
    </w:p>
    <w:p w:rsidR="00D06117" w:rsidRDefault="00D06117" w:rsidP="00D06117">
      <w:pPr>
        <w:pStyle w:val="Extracto"/>
      </w:pPr>
    </w:p>
    <w:p w:rsidR="00D06117" w:rsidRDefault="00D06117" w:rsidP="00D06117">
      <w:pPr>
        <w:pStyle w:val="Extracto"/>
      </w:pPr>
      <w:r>
        <w:lastRenderedPageBreak/>
        <w:t>17.</w:t>
      </w:r>
      <w:r>
        <w:tab/>
        <w:t>Doctrina sobre el principio de conocimiento de la verdad material manifestada por los electores en las urnas (SSTC 157/1991, 124/2011) [FJ 7].</w:t>
      </w:r>
    </w:p>
    <w:p w:rsidR="00D06117" w:rsidRDefault="00D06117" w:rsidP="00D06117">
      <w:pPr>
        <w:pStyle w:val="Extracto"/>
      </w:pPr>
    </w:p>
    <w:p w:rsidR="00D06117" w:rsidRDefault="00D06117" w:rsidP="00D06117">
      <w:pPr>
        <w:pStyle w:val="Extracto"/>
      </w:pPr>
      <w:r>
        <w:t>18.</w:t>
      </w:r>
      <w:r>
        <w:tab/>
        <w:t>Doctrina sobre el derecho a la tutela judicial efectiva en su vertiente de motivación de las resoluciones judiciales (SSTC 24/1990, 25/1990) [FJ 5].</w:t>
      </w:r>
    </w:p>
    <w:p w:rsidR="00D06117" w:rsidRDefault="00D06117" w:rsidP="00D06117">
      <w:pPr>
        <w:pStyle w:val="Extracto"/>
      </w:pPr>
    </w:p>
    <w:p w:rsidR="00D06117" w:rsidRDefault="00D06117" w:rsidP="00D06117">
      <w:pPr>
        <w:pStyle w:val="Extracto"/>
      </w:pPr>
      <w:r>
        <w:t>19.</w:t>
      </w:r>
      <w:r>
        <w:tab/>
        <w:t>Doctrina sobre la especial trascendencia constitucional del recurso de amparo (SSTC 188/2008, 17/2011) [FJ 3].</w:t>
      </w:r>
    </w:p>
    <w:p w:rsidR="00D06117" w:rsidRDefault="00D06117" w:rsidP="00D06117">
      <w:pPr>
        <w:pStyle w:val="Extracto"/>
      </w:pPr>
    </w:p>
    <w:p w:rsidR="00D06117" w:rsidRDefault="00D06117" w:rsidP="00D06117">
      <w:pPr>
        <w:pStyle w:val="Extracto"/>
      </w:pPr>
      <w:r>
        <w:t>20.</w:t>
      </w:r>
      <w:r>
        <w:tab/>
        <w:t>Doctrina sobre la justificación de la especial trascendencia constitucional del recurso de amparo (SSTC 155/2009, 17/2011) [FJ 3].</w:t>
      </w:r>
    </w:p>
    <w:p w:rsidR="00D06117" w:rsidRDefault="00D06117" w:rsidP="00D06117">
      <w:pPr>
        <w:pStyle w:val="Extracto"/>
      </w:pPr>
    </w:p>
    <w:p w:rsidR="00D06117" w:rsidRDefault="00D06117" w:rsidP="00D06117">
      <w:pPr>
        <w:pStyle w:val="Extracto"/>
      </w:pPr>
      <w:r>
        <w:t>21.</w:t>
      </w:r>
      <w:r>
        <w:tab/>
        <w:t xml:space="preserve">Doctrina sobre los efectos de la falta de planteamiento en la vía previa de la cuestión alegada </w:t>
      </w:r>
      <w:r w:rsidRPr="00D06117">
        <w:rPr>
          <w:i/>
        </w:rPr>
        <w:t>per saltum</w:t>
      </w:r>
      <w:r>
        <w:t xml:space="preserve"> en el recurso de amparo (SSTC 82/1987, 1/1988) [FJ 11].</w:t>
      </w:r>
    </w:p>
    <w:p w:rsidR="00D06117" w:rsidRDefault="00D06117" w:rsidP="00D06117">
      <w:pPr>
        <w:pStyle w:val="Extracto"/>
      </w:pPr>
    </w:p>
    <w:p w:rsidR="00D06117" w:rsidRDefault="00D06117" w:rsidP="00D06117">
      <w:pPr>
        <w:pStyle w:val="Extracto"/>
      </w:pPr>
      <w:r>
        <w:t>22.</w:t>
      </w:r>
      <w:r>
        <w:tab/>
        <w:t>Procede declarar la nulidad de la Sentencia impugnada en el extremo referido a la repetición de la votación con nueva convocatoria electoral y confirmar la proclamación efectuada por la Junta Electoral Provincial del Diputado electo al que se le había atribuido el sexto escaño en la circunscripción occidental, al estimarse que la misma ha lesionado el derecho de sufragio activo de los electores pertenecientes a aquella mesa electoral así como el derecho de sufragio pasivo de dicho Diputado (STC 26/1990) [FJ 20].</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los recursos de amparo electorales núm. 2548-2012, promovido por don Alfonso Suárez Hernández, en su condición de representante general de la candidatura Izquierda Unida de Asturias, representado por el Procurador de los Tribunales don Daniel Otones Puentes, y bajo su propia dirección letrada; núm. 2551-2012, promovido por don Francisco González Méndez, representado por la Procuradora de los Tribunales doña Concepción Hoyos Moliner y bajo la dirección del Letrado don Víctor Celemín Santos; y núm. 2562-2012, promovido por el Partido Socialista Obrero Español y don Octavio Vázquez Martínez, en su condición de representante electoral general de la candidatura de dicho partido, representados por el Procurador de los Tribunales don Roberto Granizo Palomeque y bajo la asistencia del Letrado don Javier Núñez Seoane, contra la Sentencia de la Sala de lo Contencioso-Administrativo del Tribunal Superior de Justicia de Asturias núm. 539/2012, de 27 de abril, por la que se estima el recurso contencioso-electoral núm. 343-2012 interpuesto contra el </w:t>
      </w:r>
      <w:r>
        <w:lastRenderedPageBreak/>
        <w:t>acuerdo de la Junta Electoral Provincial de Asturias de 10 de abril de 2012 sobre proclamación de electos. Ha comparecido Foro de Ciudadanos y doña Lourdes Fuencisla Álvarez Bravo, en su condición de representante electoral general de la candidatura de dicho partido, representados por el Procurador de los Tribuales don Isacio Calleja García y bajo la asistencia del Letrado don Ramón Entrena Cuesta. Ha intervenido el Ministerio Fiscal.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30 de abril de 2012, el Procurador de los Tribunales don Daniel Otones Puentes, en nombre y representación de don Alfonso Suárez Hernández, en su condición de representante electoral general de la candidatura Izquierda Unida de Asturias, y bajo su propia dirección letrada, interpuso demanda de amparo electoral contra la resolución judicial mencionada en el encabezamiento de esta Sentencia, dando lugar al recurso de amparo electoral núm. 2548-2012.</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escrito registrado en este Tribunal el 30 de abril de 2012, la Procuradora de los Tribunales doña Concepción Hoyos Moliner, en nombre y representación de don Francisco González Méndez, y bajo la dirección del Letrado don Víctor Celemín Santos, interpuso demanda de amparo electoral contra la resolución judicial mencionada en el encabezamiento de esta Sentencia, dando lugar al recurso de amparo electoral núm. 2551-2012.</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escrito registrado en este Tribunal el 30 de abril de 2012, el Procurador de los Tribunales don Roberto Granizo Palomeque, en nombre y representación del Partido Socialista Obrero Español (PSOE) y de don Octavio Vázquez Martínez, representante electoral general de la candidatura de dicho partido, interpuso demanda de amparo electoral contra la resolución judicial mencionada en el encabezamiento de esta Sentencia, dando lugar al recurso de amparo electoral núm. 2562-2012.</w:t>
      </w:r>
    </w:p>
    <w:p w:rsidR="00D06117" w:rsidRDefault="00D06117" w:rsidP="00D06117">
      <w:pPr>
        <w:pStyle w:val="TextoNormal"/>
      </w:pPr>
    </w:p>
    <w:p w:rsidR="00D06117" w:rsidRDefault="00D06117" w:rsidP="00D06117">
      <w:pPr>
        <w:pStyle w:val="TextoNormal"/>
      </w:pPr>
      <w:r w:rsidRPr="00D06117">
        <w:rPr>
          <w:rStyle w:val="NumeroAFNegritaCaracter"/>
        </w:rPr>
        <w:t>4</w:t>
      </w:r>
      <w:r>
        <w:t>. Estos recursos de amparo tienen su origen común en los siguientes antecedentes:</w:t>
      </w:r>
    </w:p>
    <w:p w:rsidR="00D06117" w:rsidRDefault="00D06117" w:rsidP="00D06117">
      <w:pPr>
        <w:pStyle w:val="TextoNormal"/>
      </w:pPr>
    </w:p>
    <w:p w:rsidR="00D06117" w:rsidRDefault="00D06117" w:rsidP="00D06117">
      <w:pPr>
        <w:pStyle w:val="TextoNormal"/>
      </w:pPr>
      <w:r>
        <w:t>a) Por Decreto 1/2012, de 30 de enero, del Presidente del Principado de Asturias, se acordó la disolución anticipada y convocatoria de elecciones a la Junta General del Principado de Asturias, a celebrar el 25 de marzo de 2012, en que debían elegirse por las circunscripciones central, occidental y oriental, treinta y cuatro, seis y cinco Diputados o diputadas, respectivamente.</w:t>
      </w:r>
    </w:p>
    <w:p w:rsidR="00D06117" w:rsidRDefault="00D06117" w:rsidP="00D06117">
      <w:pPr>
        <w:pStyle w:val="TextoNormal"/>
      </w:pPr>
    </w:p>
    <w:p w:rsidR="00D06117" w:rsidRDefault="00D06117" w:rsidP="00D06117">
      <w:pPr>
        <w:pStyle w:val="TextoNormal"/>
      </w:pPr>
      <w:r>
        <w:t xml:space="preserve">b) Celebradas las elecciones, la Junta Electoral Provincial de Asturias elevó consulta el día 27 de marzo de 2012 a la Junta Electoral Central en relación con el voto por correo de los inscritos en el censo de electores residentes ausentes. La Presidencia de la Junta Electoral Central, de conformidad con el art. 20 de la Ley Orgánica 5/1985, de 19 de junio, del régimen electoral general (LOREG), por la urgencia del caso, ya que la Junta Electoral Provincial debía escrutar el voto de los electores inscritos en el censo de electores residentes ausentes el día siguiente 28 de marzo de 2012, y por existir acuerdos anteriores concordantes de la propia Junta Electoral Central, dictó una resolución ese mismo día 27 de marzo de </w:t>
      </w:r>
      <w:r>
        <w:lastRenderedPageBreak/>
        <w:t>2012 —ratificada por la Junta Electoral Central el 9 de abril de 2012— con el siguiente contenido:</w:t>
      </w:r>
    </w:p>
    <w:p w:rsidR="00D06117" w:rsidRDefault="00D06117" w:rsidP="00D06117">
      <w:pPr>
        <w:pStyle w:val="TextoNormal"/>
      </w:pPr>
    </w:p>
    <w:p w:rsidR="00D06117" w:rsidRDefault="00D06117" w:rsidP="00D06117">
      <w:pPr>
        <w:pStyle w:val="TextoNormal"/>
      </w:pPr>
      <w:r>
        <w:t>“Reiterar los acuerdos de la Junta Electoral Central de 22 de mayo y de 20 de noviembre de 2011 en el sentido siguiente:</w:t>
      </w:r>
    </w:p>
    <w:p w:rsidR="00D06117" w:rsidRDefault="00D06117" w:rsidP="00D06117">
      <w:pPr>
        <w:pStyle w:val="TextoNormal"/>
      </w:pPr>
    </w:p>
    <w:p w:rsidR="00D06117" w:rsidRDefault="00D06117" w:rsidP="00D06117">
      <w:pPr>
        <w:pStyle w:val="TextoNormal"/>
      </w:pPr>
      <w:r>
        <w:t>Vista la relativa novedad del procedimiento de voto por correo de los electores CERA [censo de electores residentes ausentes] establecido en el artículo 75 de la LOREG, en su redacción dada por la Ley Orgánica 2/2011, de 28 de enero, que nunca ha sido aplicada con anterioridad en unas elecciones al Congreso de los Diputados y al Senado; en aras de una interpretación más favorable al ejercicio efectivo del derecho fundamental de participación política; y dado el retraso que se ha producido en la tramitación de los votos de los electores inscritos en el CERA, esta Junta entiende que en el presente proceso electoral las Juntas Electorales Provinciales deberán considerar como una irregularidad excepcionalmente no invalidante el supuesto en que el voto de los electores inscritos en el CERA sea remitido directamente a la Junta Electoral Provincial competente.</w:t>
      </w:r>
    </w:p>
    <w:p w:rsidR="00D06117" w:rsidRDefault="00D06117" w:rsidP="00D06117">
      <w:pPr>
        <w:pStyle w:val="TextoNormal"/>
      </w:pPr>
    </w:p>
    <w:p w:rsidR="00D06117" w:rsidRDefault="00D06117" w:rsidP="00D06117">
      <w:pPr>
        <w:pStyle w:val="TextoNormal"/>
      </w:pPr>
      <w:r>
        <w:t>En estos supuestos, las citadas Juntas procederán a su escrutinio, previa comprobación de la identidad del elector y de los demás requisitos establecidos en el artículo 75 de la LOREG. En particular, verificarán que conste en el sobre en el que se remite la documentación electoral un matasellos u otra inscripción oficial de una Oficina de Correos del Estado en el que resida el elector que certifique, de modo indubitable, que ha sido remitido no más tarde del día anterior al de la elección, de conformidad con lo acordado por esta Junta Electoral en su sesión de 4 de noviembre de 2011.</w:t>
      </w:r>
    </w:p>
    <w:p w:rsidR="00D06117" w:rsidRDefault="00D06117" w:rsidP="00D06117">
      <w:pPr>
        <w:pStyle w:val="TextoNormal"/>
      </w:pPr>
    </w:p>
    <w:p w:rsidR="00D06117" w:rsidRDefault="00D06117" w:rsidP="00D06117">
      <w:pPr>
        <w:pStyle w:val="TextoNormal"/>
      </w:pPr>
      <w:r>
        <w:t>De esta Resolución se dará traslado a la Junta Electoral Provincial y del Principado de Asturias, a la Junta Electoral de la Comunidad Autónoma de Andalucía y a las Juntas Electorales Provinciales de la citada Comunidad Autónoma, para su conocimiento y efectos, así como para su traslado a los representantes de las candidaturas acreditadas ante las mismas.”</w:t>
      </w:r>
    </w:p>
    <w:p w:rsidR="00D06117" w:rsidRDefault="00D06117" w:rsidP="00D06117">
      <w:pPr>
        <w:pStyle w:val="TextoNormal"/>
      </w:pPr>
    </w:p>
    <w:p w:rsidR="00D06117" w:rsidRDefault="00D06117" w:rsidP="00D06117">
      <w:pPr>
        <w:pStyle w:val="TextoNormal"/>
      </w:pPr>
      <w:r>
        <w:t>c) La Junta Electoral Provincial de Asturias, en aplicación de los arts. 25.10 y 11 LOREG, en la redacción dada por la Ley Orgánica 2/2011, de 28 de enero, el día del escrutinio general, 28 de abril de 2012, y antes de proceder al mismo, se constituyó a las ocho de la mañana en mesa electoral para proceder a introducir en las urnas los sobres de votación de los residentes ausentes recibidos hasta ese día y realizar su escrutinio e incorporar los resultados al escrutinio general. En dicho acto el representante de la candidatura Foro de Ciudadanos solicitó que se apartaran y no se computaran un total de 332 votos de electores del censo de electores residentes ausentes, argumentando que los sobres de votación se habían dirigido directamente a la Junta Electoral Provincial de Asturias, en lugar de haberse hecho al correspondiente consulado, tal como exige el art. 75.4 LOREG, en la redacción dada por la Ley Orgánica 2/2011, de 28 de enero. La junta electoral no accedió a su petición procediendo a incluir estos votos junto con el resto de sobres de votación en las urnas respectivas.</w:t>
      </w:r>
    </w:p>
    <w:p w:rsidR="00D06117" w:rsidRDefault="00D06117" w:rsidP="00D06117">
      <w:pPr>
        <w:pStyle w:val="TextoNormal"/>
      </w:pPr>
    </w:p>
    <w:p w:rsidR="00D06117" w:rsidRDefault="00D06117" w:rsidP="00D06117">
      <w:pPr>
        <w:pStyle w:val="TextoNormal"/>
      </w:pPr>
      <w:r>
        <w:t xml:space="preserve">d) La candidatura Foro de Ciudadanos presentó el 29 de marzo de 2012 ante la junta electoral provincial una reclamación contra el acto de escrutinio general respecto del cómputo de los votos de los residentes ausentes dirigidos directamente a la junta electoral provincial. Esta reclamación fue rechazada por acuerdo de 30 de marzo de 2012 con invocación de la citada resolución de la Presidencia de la Junta Electoral Central de 27 de marzo </w:t>
      </w:r>
      <w:r>
        <w:lastRenderedPageBreak/>
        <w:t>de 2012 sobre el carácter de “irregularidad excepcionalmente no invalidante el supuesto en que el voto de los electores inscritos en el censo de electores residentes ausentes sea remitido directamente a la Junta Electoral Provincial competente”.</w:t>
      </w:r>
    </w:p>
    <w:p w:rsidR="00D06117" w:rsidRDefault="00D06117" w:rsidP="00D06117">
      <w:pPr>
        <w:pStyle w:val="TextoNormal"/>
      </w:pPr>
    </w:p>
    <w:p w:rsidR="00D06117" w:rsidRDefault="00D06117" w:rsidP="00D06117">
      <w:pPr>
        <w:pStyle w:val="TextoNormal"/>
      </w:pPr>
      <w:r>
        <w:t>e) La candidatura Foro de Ciudadanos presentó recurso contra este acuerdo ante la Junta Electoral Central insistiendo en que se declarara la nulidad del voto de los electores del censo de electores residentes ausentes en las tres circunscripciones electorales por haberse computado votos remitidos por correo directamente a la Junta Electoral Provincial en contradicción con el art. 75.4 LOREG y que se procediera a la proclamación de electos con arreglo a la atribución de votos resultante de la referida exclusión.</w:t>
      </w:r>
    </w:p>
    <w:p w:rsidR="00D06117" w:rsidRDefault="00D06117" w:rsidP="00D06117">
      <w:pPr>
        <w:pStyle w:val="TextoNormal"/>
      </w:pPr>
    </w:p>
    <w:p w:rsidR="00D06117" w:rsidRDefault="00D06117" w:rsidP="00D06117">
      <w:pPr>
        <w:pStyle w:val="TextoNormal"/>
      </w:pPr>
      <w:r>
        <w:t>El recurso fue desestimado por acuerdo de 9 de abril de 2012, que ordenó realizar la proclamación de candidatos conforme al escrutinio general efectuado por la junta electoral provincial, argumentando que el acuerdo impugnado traía causa directamente de una interpretación de la propia Junta Electoral Central sobre la validez del cómputo de dichos votos, siempre que se hubiera comprobado la identidad del elector y demás circunstancias del art. 75 LOREG y, en particular, que conste en el sobre en el que se remite la documentación electoral un matasellos u otra inscripción oficial de una oficina de correos del Estado en el que resida el elector que certifique, de modo indubitado, que ha sido remitido no más tarde del día anterior al de la elección. Así, se señala que este criterio se ajusta a una interpretación acorde con el principio de proporcionalidad de los requisitos formales del procedimiento de votación siempre que se cumplan los requisitos que garanticen la identidad del elector y la autenticidad del voto, que es reiterada en la propia doctrina de la Junta Electoral Central que también considera irregularidades no invalidantes supuestos como el envío de votos con fecha a no más tardar del día anterior al de la votación, en lugar del tercer día previo previsto en la anterior regulación de la LOREG o del quinto día que se establece en la actual, o votos con otras irregularidades como que no conste o no sea legible el matasellos del país siempre que conste la recepción en las oficinas de correo españolas el mismo día de la votación.</w:t>
      </w:r>
    </w:p>
    <w:p w:rsidR="00D06117" w:rsidRDefault="00D06117" w:rsidP="00D06117">
      <w:pPr>
        <w:pStyle w:val="TextoNormal"/>
      </w:pPr>
    </w:p>
    <w:p w:rsidR="00D06117" w:rsidRDefault="00D06117" w:rsidP="00D06117">
      <w:pPr>
        <w:pStyle w:val="TextoNormal"/>
      </w:pPr>
      <w:r>
        <w:t>Igualmente se destaca que hay dos diferencias esenciales respecto de la regulación previa a la reforma operada por la Ley Orgánica 2/2011, de 28 de enero, que acentúan el carácter garantista como son el procedimiento de voto rogado, asegurándose de esa manera la autenticidad de su condición de elector, y la exigencia de identificación del elector, al tener que acompañar junto a la documentación electoral fotocopia del pasaporte o del DNI. De modo que el acuerdo concluye que, al no referirse la irregularidad denunciada a ninguno de estos aspectos, sino a una mera cuestión formal como es el envío a la junta electoral provincial en vez de al consulado, que era el sistema previo a la reforma de la Ley Orgánica 2/2011, se trata sólo de un error de envío que no plantea dudas sobre la identidad del elector o la autenticidad del voto.</w:t>
      </w:r>
    </w:p>
    <w:p w:rsidR="00D06117" w:rsidRDefault="00D06117" w:rsidP="00D06117">
      <w:pPr>
        <w:pStyle w:val="TextoNormal"/>
      </w:pPr>
    </w:p>
    <w:p w:rsidR="00D06117" w:rsidRDefault="00D06117" w:rsidP="00D06117">
      <w:pPr>
        <w:pStyle w:val="TextoNormal"/>
      </w:pPr>
      <w:r>
        <w:t xml:space="preserve">Por último, el acuerdo pone de manifiesto que de los datos que constan en el expediente resulta indubitado que el cómputo de todos los votos de los electores inscritos en el censo de electores residentes ausentes, tanto los remitidos a los consulados como a la Junta Electoral Central, ha tenido una incidencia en el resultado final de la votación, toda vez que en la circunscripción occidental ha supuesto la pérdida de un escaño para la formación recurrente a favor de la candidatura del PSOE. Sin embargo, señala que la incidencia se ha producido respecto del conjunto de la votación de los electores residentes en el exterior, pero no necesariamente de los 332 votos remitidos a la junta electoral provincial y computados </w:t>
      </w:r>
      <w:r>
        <w:lastRenderedPageBreak/>
        <w:t>por ésta, toda vez que “no consta el dato de cuántos de estos votos se referían a la circunscripción occidental, ya que este dato ni lo solicitaron los interventores del partido recurrente —ya que se limitaron a solicitar el número total de votos con esta irregularidad así como que todos ellos no se computasen— ni la Junta Electoral lo hizo constar”. A partir de ello argumenta que, al no poder saberse cuántos de esos 332 votos irregulares corresponden a la circunscripción occidental y, por tanto, si pudieron tener incidencia en el resultado electoral, resultaría desproporcionado no computar la totalidad de los 2863 votos de los electores inscritos en el censo de electores residentes ausentes “puesto que incluso dejaría sin computar votos que con toda certeza o han sido válidos (los 2.531 votos que han cumplido todos los requisitos legales) o no han tenido incidencia alguna en el resultado electoral (como sucede con los referidos a las circunscripciones central y oriental)”. Así, concluye que, conforme con la doctrina constitucional sobre la razonabilidad de la utilización de juicios de probabilidad o técnicas de ponderación estadística para este tipo de casos, la aplicación de este criterio “por el que se hiciese una atribución de los votos denunciados a la circunscripción afectada y de estos a cada una de las candidaturas que se disputan el escaño al presente caso nos conduciría a poder considerar que los votos discutidos pueden no haber tenido incidencia en el resultado de la votación en la circunscripción occidental”.</w:t>
      </w:r>
    </w:p>
    <w:p w:rsidR="00D06117" w:rsidRDefault="00D06117" w:rsidP="00D06117">
      <w:pPr>
        <w:pStyle w:val="TextoNormal"/>
      </w:pPr>
    </w:p>
    <w:p w:rsidR="00D06117" w:rsidRDefault="00D06117" w:rsidP="00D06117">
      <w:pPr>
        <w:pStyle w:val="TextoNormal"/>
      </w:pPr>
      <w:r>
        <w:t>f) En aplicación de este acuerdo, la Junta Electoral Provincial de Asturias, por acuerdo de 10 de abril de 2012, declaró la proclamación de electos incluyendo, por lo que interesa a este recurso de amparo, como Diputado número sexto elegido por la circunscripción occidental a don Francisco González Méndez, perteneciente a la candidatura presentada por el Partido Socialista Obrero Español.</w:t>
      </w:r>
    </w:p>
    <w:p w:rsidR="00D06117" w:rsidRDefault="00D06117" w:rsidP="00D06117">
      <w:pPr>
        <w:pStyle w:val="TextoNormal"/>
      </w:pPr>
    </w:p>
    <w:p w:rsidR="00D06117" w:rsidRDefault="00D06117" w:rsidP="00D06117">
      <w:pPr>
        <w:pStyle w:val="TextoNormal"/>
      </w:pPr>
      <w:r>
        <w:t>g) La candidatura del partido Foro de Ciudadanos interpuso contra el acuerdo de proclamación de electos, exclusivamente en lo referido a la circunscripción occidental, un recurso contencioso-electoral ante la Sala de lo Contencioso-Administrativo del Tribunal Superior de Justicia de Asturias, dando lugar al procedimiento núm. 343-2012, en el que se personaron el PSOE y don Octavio Vázquez Martínez, en su condición de representante electoral general de la candidatura de este partido, don Francisco González Méndez, como electo numero sexto de la circunscripción occidental, y don Alfonso Suárez Hernández, en su condición de representante electoral general de la candidatura de Izquierda Unida de Asturias. La candidatura recurrente alegó que no debían haberse computado los 332 votos de electores inscritos en el censo electoral de residentes ausentes que habían dirigido la documentación electoral directamente a la Junta Electoral Provincial de Asturias, en lugar de haberlo hecho por medio del correspondiente consulado, y que, en la medida en que la Junta Electoral Provincial de Asturias no accedido a su solicitud de que fuesen apartados y no computados esos votos y no era posible determinar cuántos corresponden a cada circunscripción, solicitó la anulación de la votación en la mesa electoral del censo de electores residentes ausentes y la proclamación de electos en lo referido a la circunscripción occidental, realizando la atribución de escaños en función de los votos emitidos por los electores presentes. Subsidiariamente, solicitó la repetición de la votación en la mesa del censo de electores residentes ausentes para esta circunscripción occidental, manteniendo como efectiva la proclamación de Diputados electos de los cinco a los que han sido asignados los cinco primeros escaños correspondientes a dicha circunscripción.</w:t>
      </w:r>
    </w:p>
    <w:p w:rsidR="00D06117" w:rsidRDefault="00D06117" w:rsidP="00D06117">
      <w:pPr>
        <w:pStyle w:val="TextoNormal"/>
      </w:pPr>
    </w:p>
    <w:p w:rsidR="00D06117" w:rsidRDefault="00D06117" w:rsidP="00D06117">
      <w:pPr>
        <w:pStyle w:val="TextoNormal"/>
      </w:pPr>
      <w:r>
        <w:lastRenderedPageBreak/>
        <w:t>h) El recurso fue estimado por Sentencia núm. 539/2012, de 27 de abril, acordando la nulidad del escrutinio de la mesa electoral del censo de electores residentes ausentes y ordenando repetir la votación de esa mesa que deberá convocarse en el plazo de tres meses, manteniendo como efectiva la proclamación de Diputados electos de los cinco a los que habían sido asignados los cinco primeros escaños correspondientes a la circunscripción occidental.</w:t>
      </w:r>
    </w:p>
    <w:p w:rsidR="00D06117" w:rsidRDefault="00D06117" w:rsidP="00D06117">
      <w:pPr>
        <w:pStyle w:val="TextoNormal"/>
      </w:pPr>
    </w:p>
    <w:p w:rsidR="00D06117" w:rsidRDefault="00D06117" w:rsidP="00D06117">
      <w:pPr>
        <w:pStyle w:val="TextoNormal"/>
      </w:pPr>
      <w:r>
        <w:t>Esta Sentencia, tras exponer el marco legal referido al ejercicio del voto por personas que viven en el extranjero, destaca que la cuestión litigiosa queda centrada en determinar el valor de los 332 votos de electores inscritos en el censo de electores residentes ausentes dirigidos directamente a la junta electoral provincial en lugar de hacerlo por medio del correspondiente consulado, “toda vez que en el Acta se hizo constar que el número de sobres de votación recibidos directamente ascendía a 351 de los cuales 332 fueron remitidos con sello de registro de entrada en plazo y 19 fuera de plazo y/o sin sello de registro de entrada de correos. Siendo así que tanto en el acto de constitución de la Junta Electoral Provincial en Mesa Electoral como en el acta de la sesión de escrutinio de dicha Mesa Electoral de residentes ausentes como igualmente en el acta de escrutinio general se formuló por los interventores de la formación política recurrente reclamación en el sentido de que no podrán considerarse, ni por ello computarse, los votos recibidos de forma directa por la Junta sin pasar por el Consulado o Embajada de país de residencia del votante, solicitando que, en caso de ser computados, se hiciese de forma separada a efectos de una posible impugnación; tal incidencia fue desestimada, considerando la Junta la validez de los votos así recibidos, procediendo a su mezcla con los recibidos por vía diplomática o consular antes de su apertura” (fundamento de Derecho segundo).</w:t>
      </w:r>
    </w:p>
    <w:p w:rsidR="00D06117" w:rsidRDefault="00D06117" w:rsidP="00D06117">
      <w:pPr>
        <w:pStyle w:val="TextoNormal"/>
      </w:pPr>
    </w:p>
    <w:p w:rsidR="00D06117" w:rsidRDefault="00D06117" w:rsidP="00D06117">
      <w:pPr>
        <w:pStyle w:val="TextoNormal"/>
      </w:pPr>
      <w:r>
        <w:t>El argumento en que se fundamenta esta decisión para concluir la nulidad del computo de los votos por correo del censo de electores residentes ausentes remitidos directamente a la junta electoral provincial es que, conforme a la doctrina constitucional expresada en la STC 153/2003, de 17 de julio, la interpretación de la normativa electoral ha de efectuarse de tal modo que los contenidos, requisitos y límites establecidos en la misma no se vean enervados o alterados por aquella interpretación, pues si así fuera quedaría en manos del intérprete y no del legislador la fijación de criterios del derecho del art. 23.2 CE de acceso a los cargos públicos en condiciones de igualdad. Del mismo modo, de destaca que este derecho es de configuración legal y que encuentra su regulación fundamental en la legislación electoral que articula el procedimiento de emanación de la voluntad mayoritaria del pueblo y, en tal sentido, desde la perspectiva del derecho de sufragio pasivo, es obligado integrar en este derecho la exigencia de que las normas electorales sean cumplidas en cuanto constituyen garantía del correcto desarrollo de la elección. En relación con ello, se pone de manifiesto que el art. 75.4 LOREG es inequívoco al establecer que el envío del sobre ha de dirigirse a la oficina consular de la misión diplomática a la que el elector está adscrito y que su incumplimiento supone una vulneración del procedimiento legalmente establecido, en los términos de los arts. 120 LOREG y 62.1 e) de la Ley 30/1992, máxime si se pone en relación con la exposición de motivos de la Ley Orgánica 2/2011, en la que se afirma establecer un procedimiento muy garantista para este tipo de votación de residentes en el extranjero, y destacando que los principios de conservación de actos válidamente celebrados, de interpretación más favorable a la plenitud del derecho de sufragio y de conocimiento de la verdad material manifestada en las urnas no puede hacerse a consta de los requisitos for</w:t>
      </w:r>
      <w:r>
        <w:lastRenderedPageBreak/>
        <w:t>males de la emisión de voto con el rigor y la intensidad en que ha sido configurado legalmente, cuyo respeto debe preceder, en orden lógico, al de aquellos principios materiales. Igualmente se señala que los electores, al remitir sus votos directamente a la junta electoral provincial sin pasar por la misión diplomática, se apartaron por causas sólo a ellos imputables de reglas precisas que regulan el procedimiento electoral que aparecen también señaladas en las instrucciones para realizar el voto por correo que recibieron los electores españoles residentes en el extranjero.</w:t>
      </w:r>
    </w:p>
    <w:p w:rsidR="00D06117" w:rsidRDefault="00D06117" w:rsidP="00D06117">
      <w:pPr>
        <w:pStyle w:val="TextoNormal"/>
      </w:pPr>
    </w:p>
    <w:p w:rsidR="00D06117" w:rsidRDefault="00D06117" w:rsidP="00D06117">
      <w:pPr>
        <w:pStyle w:val="TextoNormal"/>
      </w:pPr>
      <w:r>
        <w:t>La Sentencia, tras concluir la nulidad de los votos así efectuados, argumenta que el principio de conservación de los actos válidos, puesto en relación con lo previsto en el art. 113.3 LOREG, determina que la nulidad debe restringirse a la de la votación de las secciones o mesas en las que se produjeran la irregularidad invalidante y siempre que dichas irregularidades afecten al resultado electoral. A esos efectos, se rechaza la pretensión principal de la candidatura recurrente de anular la validez de los votos de residentes ausentes en todas las circunscripciones y se acoge la subsidiaria en el sentido de que se ordene repetir la votación sólo en la circunscripción occidental. Así, la Sentencia, tras rebatir los planteamientos de las diferentes partes personadas en el procedimiento y destacar que la previsión del art. 75.12 LOREG en relación con la posibilidad de desarrollar otros procedimientos para el voto de los residentes en el extranjero no se ha hecho efectiva para permitir remitir el voto directamente a la junta electoral, expone que el principio de proporcionalidad y el juicio de relevancia entre la medida adoptada y el resultado producido “debe conjugarse dentro de la racionalidad del resultado, de forma que conocido éste puede hacerse abstracción de lo pedido sino tiene transcendencia sobre el mismo, sin que pueda apoyarse en meros cálculos de probabilidades o estadísticos cuando se desconocen todos los datos de los votos emitidos de forma irregular, incluso cuántos de ellos correspondían a la circunscripción que se discute” (fundamento de Derecho séptimo), concluyendo que en el presente caso el número total de votos emitidos de forma irregular son suficientes para variar el resultado dado por válido en cuanto se desconoce cuántos de ellos afectan a la circunscripción impugnada.</w:t>
      </w:r>
    </w:p>
    <w:p w:rsidR="00D06117" w:rsidRDefault="00D06117" w:rsidP="00D06117">
      <w:pPr>
        <w:pStyle w:val="TextoNormal"/>
      </w:pPr>
    </w:p>
    <w:p w:rsidR="00D06117" w:rsidRDefault="00D06117" w:rsidP="00D06117">
      <w:pPr>
        <w:pStyle w:val="TextoNormal"/>
      </w:pPr>
      <w:r w:rsidRPr="00D06117">
        <w:rPr>
          <w:rStyle w:val="NumeroAFNegritaCaracter"/>
        </w:rPr>
        <w:t>5</w:t>
      </w:r>
      <w:r>
        <w:t>. El demandante de amparo en el recurso núm. 2548-2012 aduce que la resolución judicial impugnada vulnera el derecho fundamental de sufragio (art. 23.1 CE) y el principio de igualdad (art. 14 CE) apartándose y no llevando a efecto una interpretación pro Constitutione del contenido del art. 75.4 de la LOREG.</w:t>
      </w:r>
    </w:p>
    <w:p w:rsidR="00D06117" w:rsidRDefault="00D06117" w:rsidP="00D06117">
      <w:pPr>
        <w:pStyle w:val="TextoNormal"/>
      </w:pPr>
    </w:p>
    <w:p w:rsidR="00D06117" w:rsidRDefault="00D06117" w:rsidP="00D06117">
      <w:pPr>
        <w:pStyle w:val="TextoNormal"/>
      </w:pPr>
      <w:r>
        <w:t>Con carácter previo señala que en ningún momento el Foro de Ciudadanos solicitó que los votos controvertidos fueran computados de forma separada “a efectos de una posible impugnación”. Destaca, asimismo, que los votos cuestionados fueron emitidos dentro del plazo legal y cumpliendo los requisitos del art. 75 LOREG, salvo en lo relativo al cauce para su remisión, y que extrapolando a los controvertidos los resultados de participación, votos nulos, atribución por circunscripciones y porcentajes de voto de cada candidatura, la atribución de Diputados no hubiese variado.</w:t>
      </w:r>
    </w:p>
    <w:p w:rsidR="00D06117" w:rsidRDefault="00D06117" w:rsidP="00D06117">
      <w:pPr>
        <w:pStyle w:val="TextoNormal"/>
      </w:pPr>
    </w:p>
    <w:p w:rsidR="00D06117" w:rsidRDefault="00D06117" w:rsidP="00D06117">
      <w:pPr>
        <w:pStyle w:val="TextoNormal"/>
      </w:pPr>
      <w:r>
        <w:t xml:space="preserve">A partir de ello, el demandante considera que se ha producido una vulneración del art. 23.1 CE en relación con el conjunto de electores inscritos en el censo de electores residentes ausentes correspondientes a la circunscripción occidental de Asturias, al anular la votación efectuada por los mismos en su conjunto y ordenar su repetición. Incluso, añade, podría señalarse que lo vulnerado es el derecho de sufragio activo de la totalidad de electores de la </w:t>
      </w:r>
      <w:r>
        <w:lastRenderedPageBreak/>
        <w:t>circunscripción occidental, toda vez que la controvertida decisión judicial supone dejar aplazada la determinación del sexto Diputado electo de aquella circunscripción. La vulneración trae causa de la calificación de los requisitos para la remisión del voto por correo de los votantes del censo de electores residentes ausentes como “condición esencial de validez del ejercicio del derecho de sufragio”. Apreciación que no comparte el recurrente y que, a su criterio, supone un sacrificio del derecho fundamental invocado en beneficio de una regulación de carácter meramente organizativo-burocrático sobre la forma en que dichos votos deben llegar a su destinataria final. Frente a dicha solución, defiende que lo esencial es la autenticidad del voto y que, desde ese plano, no existe duda alguna sobre su validez, ni siquiera de modo indiciario, toda vez que todos los sufragios fueron remitidos con la correspondiente certificación censal y con los documentos acreditativos de la identidad del elector, así como dentro del plazo legal conferido al efecto. Esos requisitos esenciales se han cumplido, dando validez a los votos controvertidos, más aún si se tiene en cuenta que la LOREG no contempla la nulidad del voto por correo por el hecho de que se haya remitido por cauce distinto al legalmente establecido. En definitiva, el nuevo régimen jurídico es una norma meramente organizativa que no establece un requisito esencial para la validez del voto; trata únicamente, por el contrario, de asegurar el ejercicio del voto por correo dentro de los plazos legales, pero no conlleva ningún plus de certeza sobre la autenticidad, libertad y carácter secreto del mismo.</w:t>
      </w:r>
    </w:p>
    <w:p w:rsidR="00D06117" w:rsidRDefault="00D06117" w:rsidP="00D06117">
      <w:pPr>
        <w:pStyle w:val="TextoNormal"/>
      </w:pPr>
    </w:p>
    <w:p w:rsidR="00D06117" w:rsidRDefault="00D06117" w:rsidP="00D06117">
      <w:pPr>
        <w:pStyle w:val="TextoNormal"/>
      </w:pPr>
      <w:r>
        <w:t>El demandante alega, en segundo lugar, la vulneración del art. 14 CE, pues la decisión impugnada supone una evidente discriminación hacia los electores ausentes residentes en el extranjero, quienes —si se atiende a la interpretación de la Sentencia recurrida— ven limitada o condicionada más estrechamente la emisión del voto que los electores residentes en España. La exigencia —así interpretada—, lejos de ser garantista, se convierte en una traba burocrática añadida al ejercicio del voto para quienes ya de por sí se encuentran en circunstancias que objetivamente dificultan el ejercicio del derecho fundamental.</w:t>
      </w:r>
    </w:p>
    <w:p w:rsidR="00D06117" w:rsidRDefault="00D06117" w:rsidP="00D06117">
      <w:pPr>
        <w:pStyle w:val="TextoNormal"/>
      </w:pPr>
    </w:p>
    <w:p w:rsidR="00D06117" w:rsidRDefault="00D06117" w:rsidP="00D06117">
      <w:pPr>
        <w:pStyle w:val="TextoNormal"/>
      </w:pPr>
      <w:r>
        <w:t>Finalmente, en la demanda de amparo se justifica expresamente la especial trascendencia constitucional del recurso, en relación con la doctrina establecida en la STC 155/2009, de 25 de junio, en que la cuestión suscitada trae causa de una interpretación controvertida de una norma de rango legal, como es el art. 75 LOREG, y en su carácter novedoso, al derivarse de la reforma operada por la Ley Orgánica 2/2011, de 18 de enero, cuyo alcance nunca ha sido abordado por la jurisprudencia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El demandante de amparo en el recurso núm. 2551-2012 aduce que la resolución judicial impugnada, en primer lugar, “vulnera el derecho fundamental de sufragio (art. 23.1 y 23.2 CE) en relación con el principio de igualdad (art. 14 CE) apartándose y no llevando a efecto una interpretación pro Constitutione del contenido del art. 75.4 de la LOREG”. Así, plantea que la resolución judicial impugnada ha realizado una interpretación del art. 75.4 LOREG que no es incontrovertible desde la propia literalidad de dicho precepto, ya que, en atención a su confusa redacción y a sus incorrecciones ortográficas, no se puede excluir que mantenga la posibilidad de remisión directa de los votos por correo de los electores inscritos en el censo de electores residentes ausentes a las juntas electorales. Al margen de ello, también se considera que dicha interpretación resulta rigorista y contraria a la efectividad de los derechos fundamentales reconocidos en el art. 23 CE, toda vez que se trata de un mero defecto de remisión del voto que al no afectar a ningún elemento esencial de su autenticidad no puede conllevar un efecto de invalidación. Respecto de este particular, se expone que la </w:t>
      </w:r>
      <w:r>
        <w:lastRenderedPageBreak/>
        <w:t>reforma operada por la Ley Orgánica 2/2011, de 28 de enero, tenía como fin principal la inclusión del principio del voto rogado para los ciudadanos inscritos en el censo de electores residentes ausentes, incluyéndose también como relativa novedad que podría realizarse el voto en urna en la misión diplomática u oficina consular del país de residencia, por lo que en este contexto normativo la circunstancia de que el voto por correo se remitiría a la junta electoral, en vez de a la misión diplomática, no disminuye ninguna de las garantías de veracidad y autenticidad cuya finalidad inspiró la reforma, poniéndose de manifiesto que, además, la eventual novedad de esta remisión directa a la misión diplomática no aparece referida en la exposición de motivos de la reforma como uno de sus aspectos garantistas. Por último, también se argumenta que cabe excluir ese pretendido carácter esencial y nuclear que proyecta la resolución impugnada al destinatario del voto en atención a lo dispuesto en el art. 75.12 LOREG, que permite incluso dejar si efecto alguno de estos procedimientos del votos por correo, y al hecho de que así ha sido reconocido por la doctrina de la Junta Electoral Central, a la que la ley reconoce una capacidad colaboradora e innovadora en la aplicación normativa del régimen electoral.</w:t>
      </w:r>
    </w:p>
    <w:p w:rsidR="00D06117" w:rsidRDefault="00D06117" w:rsidP="00D06117">
      <w:pPr>
        <w:pStyle w:val="TextoNormal"/>
      </w:pPr>
    </w:p>
    <w:p w:rsidR="00D06117" w:rsidRDefault="00D06117" w:rsidP="00D06117">
      <w:pPr>
        <w:pStyle w:val="TextoNormal"/>
      </w:pPr>
      <w:r>
        <w:t>El recurrente, en segundo lugar, aduce que “la solución dada al conflicto planteado en el fallo de la Sentencia recurrida supone una infracción manifiesta del art. 23.1 CE en relación con el art. 68.5 de dicho texto legal”. En relación con ello, el recurrente pone de manifiesto que la anulación de los votos de residentes ausentes remitidos por correo directamente a la junta electoral provincial es contraria a la previsión del art. 68.5 CE de que se facilitará el ejercicio del voto a los españoles que se encuentren fuera del territorio nacional, ya que no pondera adecuadamente que con el computo de esos votos se estaba pretendiendo facilitar la realización material de un derecho fundamental frente a una interpretación rigorista que no está orientada al respeto a una garantía material de autenticidad del voto emitido y a la preferencia de la verdad material preconizada, por ejemplo, en la STC 153/2003, de 17 de julio. Así señala que si se llega a la conclusión insoslayable de que la aplicación del art. 75.4 LOREG pasa por aplicar la interpretación realizada en la resolución judicial impugnada “habría que concluir que la reforma de dicho precepto aboca a resultados claramente inconstitucionales y es una norma por es mismo contraria a la ley fundamental”.</w:t>
      </w:r>
    </w:p>
    <w:p w:rsidR="00D06117" w:rsidRDefault="00D06117" w:rsidP="00D06117">
      <w:pPr>
        <w:pStyle w:val="TextoNormal"/>
      </w:pPr>
    </w:p>
    <w:p w:rsidR="00D06117" w:rsidRDefault="00D06117" w:rsidP="00D06117">
      <w:pPr>
        <w:pStyle w:val="TextoNormal"/>
      </w:pPr>
      <w:r>
        <w:t>El recurrente, en tercer lugar, aduce que “la Sentencia vulnera el art. 24 CE en cuanto el fallo adolece de falta de motivación y sus efectos resultan contrarios al sistema de participación democrática que se consagra en los arts. 1, 7 y 23 CE”. En ese sentido, incide en que la anulación acordada en la resolución impugnada tiene una influencia real en la conformación de la voluntad popular, ya que, aun llegándose a la conclusión no compartida de que los resultados electorales en la circunscripción occidental son nulos por la inclusión de una serie de votos procedentes del censo de electores residentes ausentes, dicha anulación no podría limitarse a esa mesa, lo cual carece de cobertura legal, sino ampliarse a la totalidad de la proclamación de los seis escaños de la circunscripción, pues la asignación de escaños se deriva de una acto único de escrutinio que no puede ser parcelado. Igualmente se expone que la resolución impugnada, manteniendo la validez de la asignación de los cinco primeros escaños de la circunscripción occidental sin cobertura legal y de manera arbitraria, llega a una conclusión desproporcionada que supone “una mayor contravención o influencia en el equilibrio parlamentario salido de los comicios parcialmente anulados”, al conformar un Parlamento con 44 miembros “que impide las aspiraciones de la colación de los grupos de izquierdas a ocupar la presidencia del gobierno autonómico”.</w:t>
      </w:r>
    </w:p>
    <w:p w:rsidR="00D06117" w:rsidRDefault="00D06117" w:rsidP="00D06117">
      <w:pPr>
        <w:pStyle w:val="TextoNormal"/>
      </w:pPr>
    </w:p>
    <w:p w:rsidR="00D06117" w:rsidRDefault="00D06117" w:rsidP="00D06117">
      <w:pPr>
        <w:pStyle w:val="TextoNormal"/>
      </w:pPr>
      <w:r>
        <w:lastRenderedPageBreak/>
        <w:t>En cuarto lugar, el recurrente aduce que “el fallo de la Sentencia es contrario al art. 23.1 y 2 en relación con el art. 14 CE, preceptos que vulnera a partir de un error manifiesto al aplicar el ‘juicio de relevancia’ y anular arbitrariamente los votos controvertidos”. Sobre este particular, el recurrente expone que la premisa de la que parte la resolución impugnada de que el resultado electoral se vería afectado por los votos controvertidos y de que, además, dichos votos sólo afectarían al escaño sexto de la circunscripción occidental es “pura especulación”, ya que no se ha realizado el necesario “juicio de relevancia”. Así, se señala que en la resolución impugnada se convierte la incertidumbre sobre el resultado en certeza sobre su incidencia en el resultado electoral, cuando ésa no es la conclusión que se derivaría de la “técnica de la ponderación proporcional estadística” auspiciada por la doctrina constitucional, conforme a la cual, la asignación del sexto escaño no cambiaría. A esos efectos, el recurrente destaca que, a pesar de lo novedosa que resulta la cuestión suscitada, ya que no se conoce tampoco el número de votos anulados que afectan en concreto a la circunscripción occidental, si se realiza una ponderación proporcional estadística tanto en relación al eventual número de votos anulados que correspondería a esta circunscripción como a su distribución entre las tres candidaturas a las que se estaba asignando escaño, se obtendría como resultado que en la disputa del sexto escaño no habría ninguna variación debiendo adjudicarse a la lista de la candidatura del recurrente, por tener un cociente de 6.690,66, frente al de la candidatura de Foro de Ciudadanos, que sería de 6.682.</w:t>
      </w:r>
    </w:p>
    <w:p w:rsidR="00D06117" w:rsidRDefault="00D06117" w:rsidP="00D06117">
      <w:pPr>
        <w:pStyle w:val="TextoNormal"/>
      </w:pPr>
    </w:p>
    <w:p w:rsidR="00D06117" w:rsidRDefault="00D06117" w:rsidP="00D06117">
      <w:pPr>
        <w:pStyle w:val="TextoNormal"/>
      </w:pPr>
      <w:r>
        <w:t>Por último, el recurrente también aduce que “el fallo de la Sentencia cuestiona la autonomía parlamentaria de la Junta General del Principado y se aparta del sometimiento al imperio de la Ley a que estaba obligada de acuerdo con la Constitución y con las leyes”, argumentando que la Sala de lo Contencioso-Administrativo del Tribunal Superior de Justicia del Principado de Asturias no está “asistida de potestades constitucionales tales para configurar y condicionar de la manera que lo ha hecho el Parlamento regional alterando el equilibrio de fuerzas que salió de las urnas”, insistiendo en que la resolución impugnada no aparece con una motivación válida y suficiente que explícitamente sustente la anulación parcial de la asignación de un solo escaño de las circunscripción occidental y no de los cinco restantes, a pesar de que “esta decisión inmotivada supuso una verdadera transformación del equilibrio del correlato de fuerzas parlamentarias de la Junta General”.</w:t>
      </w:r>
    </w:p>
    <w:p w:rsidR="00D06117" w:rsidRDefault="00D06117" w:rsidP="00D06117">
      <w:pPr>
        <w:pStyle w:val="TextoNormal"/>
      </w:pPr>
    </w:p>
    <w:p w:rsidR="00D06117" w:rsidRDefault="00D06117" w:rsidP="00D06117">
      <w:pPr>
        <w:pStyle w:val="TextoNormal"/>
      </w:pPr>
      <w:r>
        <w:t>Finalmente, en la demanda de amparo se justifica expresamente la especial trascendencia constitucional del recurso, en relación con la doctrina establecida en la STC 155/2009, de 25 de junio, entre otros aspectos, en que la cuestión suscitada trae causa de una interpretación controvertida de una norma de rango legal, como es el art. 75 LOREG; que la cuestión planteada es novedosa en cuanto se trata de aspectos relativos a aspectos formales del voto por correo del censo de electores residentes ausentes cuyo alcance nunca ha sido abordado por la jurisprudencia constitucional; y que el recurso tiene relación con un conflicto relacional entre órganos del estado como es el Tribunal Superior de Justicia de Asturias, la Junta General del Principado y la Junta Electoral Central.</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Los demandantes de amparo en el recurso núm. 2562-2012 aducen, tras dedicar un extenso razonamiento a justificar la especial trascendencia constitucional del recurso [art. 49.1 in fine de la Ley Orgánica del Tribunal Constitucional ( LOTC)], a la luz de la doctrina sentada en la STC 155/2009, de 25 de junio, FJ 2, en primer lugar, la vulneración del derecho a acceder y a mantenerse en condiciones de igualdad en el cargo público (art. 23.2 CE), </w:t>
      </w:r>
      <w:r>
        <w:lastRenderedPageBreak/>
        <w:t>respecto del Diputado electo por la circunscripción occidental, perteneciente a la candidatura electoral recurrente en amparo. Se argumenta que la Sentencia impugnada anula el escrutinio de la mesa de electores del censo de electores residentes ausentes respecto de la circunscripción occidental partiendo de una interpretación del art. 75.4 LOREG, en la redacción dada por la Ley Orgánica 2/2011, que no es conforme con los derechos reconocidos en el art. 23.1 y 2 CE, a la vista de la doctrina del Tribunal Constitucional sobre mayor efectividad del ejercicio del derecho de sufragio activo —que incluso aparece constitucionalizado respecto de los españoles residentes en el extranjero por el art. 68.5, párrafo 2, CE— y sobre el principio de conservación de actos válidos. La Sentencia se funda en una interpretación rigorista del citado art. 75.4 LOREG, fundado exclusivamente en la voluntad del legislador, expresada en la exposición de motivos de la Ley Orgánica 2/2011, de “regular un procedimiento muy garantista” en cuanto al procedimiento de votación del censo de españoles residentes en el extranjero. Ahora bien, que se haya reforzado la garantía de este procedimiento para la remisión de los votos a las Juntas electorales, no significa que el anterior sistema (remisión por correo por los electores) estuviese falto de toda garantía y que, por ese sólo hecho, y sin mediar otra circunstancia, los votos deban considerarse inválidos. En el presente caso, los 332 votos cuya validez cuestionaba la candidatura recurrente en el proceso a quo (Foro de Ciudadanos), por haber sido remitidos directamente por los electores de la mesa del censo de electores residentes ausentes a la Junta electoral Provincial de Asturias, en lugar de remitirlos a través del consulado correspondiente, cumplieron con todas las garantías impuestas por el vigente art. 75 LOREG para garantizar su origen y autenticidad.</w:t>
      </w:r>
    </w:p>
    <w:p w:rsidR="00D06117" w:rsidRDefault="00D06117" w:rsidP="00D06117">
      <w:pPr>
        <w:pStyle w:val="TextoNormal"/>
      </w:pPr>
    </w:p>
    <w:p w:rsidR="00D06117" w:rsidRDefault="00D06117" w:rsidP="00D06117">
      <w:pPr>
        <w:pStyle w:val="TextoNormal"/>
      </w:pPr>
      <w:r>
        <w:t>Los demandantes de amparo también señalan que la resolución impugnada ordena repetir la votación de la indicada mesa imponiendo como condición añadida la de mantener como efectiva la proclamación de diputados electos de los cinco a los que han sido asignados los cinco primeros escaños correspondientes a la circunscripción occidental, condición inmotivada que da lugar a injustificadas desigualdades de trato entre candidatos y entre electores, con vulneración del art. 14 CE, sin perjuicio de que pueda entenderse subsumida esta vulneración añadida en la específica del art. 23 CE. Igualmente, ponen de manifiesto que también se ha producido una vulneración de los derechos fundamentales reconocidos en el art. 23 CE al decretar la nulidad del escrutinio de la mesa del censo de electores residentes ausentes sin efectuar el juicio de relevancia o de incidencia de las supuestas irregularidades formales sobre el resultado final de la elección, en contra de lo exigido por el art. 113 LOREG y la doctrina del Tribunal Constitucional que lo interpreta.</w:t>
      </w:r>
    </w:p>
    <w:p w:rsidR="00D06117" w:rsidRDefault="00D06117" w:rsidP="00D06117">
      <w:pPr>
        <w:pStyle w:val="TextoNormal"/>
      </w:pPr>
    </w:p>
    <w:p w:rsidR="00D06117" w:rsidRDefault="00D06117" w:rsidP="00D06117">
      <w:pPr>
        <w:pStyle w:val="TextoNormal"/>
      </w:pPr>
      <w:r>
        <w:t xml:space="preserve">Los demandantes de amparo, como segunda queja, alegan la vulneración del derecho a participar en los asuntos públicos, directamente o por medio de representantes, libremente elegidos en elecciones periódicas por sufragio universal (art. 23.1 CE), respecto de los electores de la mesa del censo de electores residentes ausentes de la circunscripción occidental cuyos votos han sido declarados nulos por la Sentencia impugnada en amparo. Al respecto, dan por reproducidos los argumentos de la queja precedente, añadiendo que, desde la perspectiva concreta del derecho al sufragio activo, ha de estimarse igualmente vulnerado este derecho porque la Sentencia, sin constatar que los 332 votos controvertidos no fueran auténticos, ni que se hubieran incumplido las garantías sobre su origen y autenticidad, procede, con desprecio del principio de proporcionalidad, a anular la totalidad de los sufragios (573) de los electores de la mesa del censo de electores residentes ausentes de la circunscripción </w:t>
      </w:r>
      <w:r>
        <w:lastRenderedPageBreak/>
        <w:t>occidental, sin estimar siquiera qué porcentaje de ese total de sufragios podría resultar afectado por los 332 votos controvertidos ni qué porcentaje afectaría a cada candidatura, para determinar la eventual incidencia en el resultado final de la elección.</w:t>
      </w:r>
    </w:p>
    <w:p w:rsidR="00D06117" w:rsidRDefault="00D06117" w:rsidP="00D06117">
      <w:pPr>
        <w:pStyle w:val="TextoNormal"/>
      </w:pPr>
    </w:p>
    <w:p w:rsidR="00D06117" w:rsidRDefault="00D06117" w:rsidP="00D06117">
      <w:pPr>
        <w:pStyle w:val="TextoNormal"/>
      </w:pPr>
      <w:r>
        <w:t>En tercer y último lugar se alega la vulneración del derecho a la tutela judicial efectiva (art. 24.1 CE), por falta de motivación de la Sentencia impugnada en amparo en cuanto a pronunciamientos esenciales que han determinado la estimación del recurso contencioso-electoral de Foro de Ciudadanos como son, concretamente, el relativo a la invalidez o nulidad de los 332 votos controvertidos de los electores de la mesa del censo de electores residentes ausentes; el relativo a la incidencia de los 332 votos controvertidos sobre el resultado final de la elección; el relativo al pronunciamiento, que sólo se contiene en el fallo, por el que se ordena repetir la votación de la indicada mesa imponiendo como condición añadida la de mantener como efectiva la proclamación de diputados electos de los cinco a los que han sido asignados los cinco primeros escaños correspondientes a la circunscripción occidental; y porque la Sentencia no ofrece respuesta alguna a la pretensión de inadmisibilidad ejercitada por los ahora demandantes de amparo respecto de la petición principal formulada en el recurso contencioso-electoral de Foro de Ciudadanos.</w:t>
      </w:r>
    </w:p>
    <w:p w:rsidR="00D06117" w:rsidRDefault="00D06117" w:rsidP="00D06117">
      <w:pPr>
        <w:pStyle w:val="TextoNormal"/>
      </w:pPr>
    </w:p>
    <w:p w:rsidR="00D06117" w:rsidRDefault="00D06117" w:rsidP="00D06117">
      <w:pPr>
        <w:pStyle w:val="TextoNormal"/>
      </w:pPr>
      <w:r>
        <w:t>Por todo ello, en la demanda se concluye interesando que se le otorgue el amparo solicitado, declarando vulnerados los derechos fundamentales reconocidos por los arts. 23.1 y 2 y 24.1 CE, anulando la Sentencia impugnada y declarando la conformidad a Derecho del acuerdo de proclamación de electos adoptado por la Junta Electoral Provincial de Asturias el 10 de abril de 2002, con la consecuencia de que el candidato del partido recurrente por la lista de la circunscripción occidental en las elecciones a la Junta General del Principado de Asturias de 25 de marzo de 2012, don Francisco González Méndez, sea proclamado Diputado electo.</w:t>
      </w:r>
    </w:p>
    <w:p w:rsidR="00D06117" w:rsidRDefault="00D06117" w:rsidP="00D06117">
      <w:pPr>
        <w:pStyle w:val="TextoNormal"/>
      </w:pPr>
    </w:p>
    <w:p w:rsidR="00D06117" w:rsidRDefault="00D06117" w:rsidP="00D06117">
      <w:pPr>
        <w:pStyle w:val="TextoNormal"/>
      </w:pPr>
      <w:r w:rsidRPr="00D06117">
        <w:rPr>
          <w:rStyle w:val="NumeroAFNegritaCaracter"/>
        </w:rPr>
        <w:t>8</w:t>
      </w:r>
      <w:r>
        <w:t>. La Sala Primera de este Tribunal, por sendas providencias de 30 de abril de 2012, de conformidad con lo dispuesto en el art. 11.2 LOTC acordó conocer de los presentes recursos de amparo núm. 2548-2012, 2551-2012 y 2562-2012 y admitir a trámite las demandas presentadas y, en aplicación del art. 51 LOTC, requerir al órgano judicial la remisión de las actuaciones correspondientes y el emplazamiento de quienes hubieran sido parte en el procedimiento, a excepción de los respectivos recurrentes, para que pudiesen comparecer en el plazo de tres días en los procesos de amparo, así como conceder un plazo de cinco días al Ministerio Fiscal para efectuar las alegaciones que estime pertinentes.</w:t>
      </w:r>
    </w:p>
    <w:p w:rsidR="00D06117" w:rsidRDefault="00D06117" w:rsidP="00D06117">
      <w:pPr>
        <w:pStyle w:val="TextoNormal"/>
      </w:pPr>
    </w:p>
    <w:p w:rsidR="00D06117" w:rsidRDefault="00D06117" w:rsidP="00D06117">
      <w:pPr>
        <w:pStyle w:val="TextoNormal"/>
      </w:pPr>
      <w:r w:rsidRPr="00D06117">
        <w:rPr>
          <w:rStyle w:val="NumeroAFNegritaCaracter"/>
        </w:rPr>
        <w:t>9</w:t>
      </w:r>
      <w:r>
        <w:t>. El demandante en el recurso de amparo núm. 2548-2012, mediante sendos escritos registrados el 4 de mayo de 2012, solicitó que se le tuviera por comparecido en los recursos de amparo núms. 2551-2012 y 2562-2012, y que se tuvieran por reproducidas las alegaciones que dedujo en su demanda de amparo.</w:t>
      </w:r>
    </w:p>
    <w:p w:rsidR="00D06117" w:rsidRDefault="00D06117" w:rsidP="00D06117">
      <w:pPr>
        <w:pStyle w:val="TextoNormal"/>
      </w:pPr>
    </w:p>
    <w:p w:rsidR="00D06117" w:rsidRDefault="00D06117" w:rsidP="00D06117">
      <w:pPr>
        <w:pStyle w:val="TextoNormal"/>
      </w:pPr>
      <w:r w:rsidRPr="00D06117">
        <w:rPr>
          <w:rStyle w:val="NumeroAFNegritaCaracter"/>
        </w:rPr>
        <w:t>10</w:t>
      </w:r>
      <w:r>
        <w:t>. El demandante en el recurso de amparo núm. 2551-2012, mediante sendos escritos registrados el 4 de mayo de 2012, solicitó que se le tuviera por comparecido en los recursos de amparo núms. 2548-2012 y 2562-2012, y que se tuvieran por reproducidas las alegaciones que dedujo en su demanda de amparo.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11</w:t>
      </w:r>
      <w:r>
        <w:t>. Los demandantes en el recurso de amparo núm. 2562-2012, mediante sendos escritos registrados el 5 de mayo de 2012, solicitaron que se les tuviera por comparecidos en los recursos de amparo núms. 2548-2012 y 2551-2012, procediendo a sintetizar las alegaciones que dedujeron en su demanda de amparo en relación con la vulneración de los arts.23.1 y 23.2 CE.</w:t>
      </w:r>
    </w:p>
    <w:p w:rsidR="00D06117" w:rsidRDefault="00D06117" w:rsidP="00D06117">
      <w:pPr>
        <w:pStyle w:val="TextoNormal"/>
      </w:pPr>
    </w:p>
    <w:p w:rsidR="00D06117" w:rsidRDefault="00D06117" w:rsidP="00D06117">
      <w:pPr>
        <w:pStyle w:val="TextoNormal"/>
      </w:pPr>
      <w:r w:rsidRPr="00D06117">
        <w:rPr>
          <w:rStyle w:val="NumeroAFNegritaCaracter"/>
        </w:rPr>
        <w:t>12</w:t>
      </w:r>
      <w:r>
        <w:t>. El partido político Foro de Ciudadanos (FAC) y doña Lourdes Fuencisla Álvarez Bravo, en su condición de representante electoral general de esta formación política, representados por el Procurador de los Tribuales don Isacio Calleja García, y bajo la asistencia del Letrado don Ramón Entrena Cuesta, mediante sendos escritos registrados el 5 de mayo de 2012, solicitaron que se le tuviera por comparecidos en los recursos de amparo núms. 2548-2012, 2551-2012 y 2562-2012, realizando las alegaciones que a continuación se exponen.</w:t>
      </w:r>
    </w:p>
    <w:p w:rsidR="00D06117" w:rsidRDefault="00D06117" w:rsidP="00D06117">
      <w:pPr>
        <w:pStyle w:val="TextoNormal"/>
      </w:pPr>
    </w:p>
    <w:p w:rsidR="00D06117" w:rsidRDefault="00D06117" w:rsidP="00D06117">
      <w:pPr>
        <w:pStyle w:val="TextoNormal"/>
      </w:pPr>
      <w:r>
        <w:t>a) En relación con el recurso de amparo núm. 2548-2012, se solicita su inadmisión al no contener la demanda “la más mínima justificación de la relevancia constitucional imprescindible para la admisión del recurso”, al margen de que, además, carecería de la necesaria especial trascendencia constitucional.</w:t>
      </w:r>
    </w:p>
    <w:p w:rsidR="00D06117" w:rsidRDefault="00D06117" w:rsidP="00D06117">
      <w:pPr>
        <w:pStyle w:val="TextoNormal"/>
      </w:pPr>
    </w:p>
    <w:p w:rsidR="00D06117" w:rsidRDefault="00D06117" w:rsidP="00D06117">
      <w:pPr>
        <w:pStyle w:val="TextoNormal"/>
      </w:pPr>
      <w:r>
        <w:t xml:space="preserve">Subsidiariamente, se solicita su desestimación, alegando que el derecho del art. 23.1 CE está sujeto a configuración legal y que, a esos efectos, el art. 75 LOREG regula de manera minuciosa el procedimiento del voto de los electores del censo de electores residentes ausentes estableciendo de manera imperativa que el voto por correo debe hacerse mediante su remisión a la oficina consular, siendo, por tanto, inexcusable para su validez que esos votos estén recogidos en el acta remitida por el funcionario consular correspondiente, que se constituye como documento público que acredita el cumplimiento de los requisitos de tiempo y forma establecidos legalmente, lo que supone una garantía añadida de carácter personal de la autenticidad del sufragio, que implica su carácter esencial para la validez del voto. En atención a ello, se alega que, tal como ya se hizo constar en el acta de la sesión de escrutinio de la junta electoral, no cabe considerar como votos válidos los remitidos por los electores inscritos en el censo de electores residentes ausentes directamente por correo a la junta electoral provincial, ya que esa forma de proceder, tal como se argumenta en la resolución judicial impugnada en el amparo, supone una irregularidad invalidante al afectar a una garantía esencial del voto. Igualmente se destaca que, a pesar de que el art. 75.12 LOREG permite establecer otros procedimientos para el voto de los electores inscritos en el censo de electores residentes ausentes donde no sea practicable lo dispuesto en el art. 75 LOREG, ese desarrollo normativo no se ha producido, sin que quepa entender a la Presidencia de la Junta Electoral Central como órgano legalmente habilitado para ese desarrollo ni una resolución de dicha presidencia como el instrumento normativo adecuado. Además, se hace especial incidencia en que si bien podía considerarse esta forma de remisión del voto por correo una irregularidad excepcionalmente no invalidante en los procesos electorales de mayo de 2011, al ser la primera ocasión en que se aplicaba el contenido de la reforma, esa novedad ya queda muy relativizada en estos comicios autonómicos por ser la tercera ocasión que se utiliza, siendo muy claras e inequívocas las instrucciones que reciben los electores del censo de electores residentes ausentes sobre el modo en que se debe ejercer el voto por correo, lo que enerva cualquier eventual reproche de complejidad que se pudiera hacer del sistema diseñado legalmente. De todo ello concluye que si la supuesta violación del principio de </w:t>
      </w:r>
      <w:r>
        <w:lastRenderedPageBreak/>
        <w:t>igualdad se refiere al distinto trato para los votos emitidos con sujeción a la Ley frente a los emitidos con violación de la misma el motivo carece de fundamento.</w:t>
      </w:r>
    </w:p>
    <w:p w:rsidR="00D06117" w:rsidRDefault="00D06117" w:rsidP="00D06117">
      <w:pPr>
        <w:pStyle w:val="TextoNormal"/>
      </w:pPr>
    </w:p>
    <w:p w:rsidR="00D06117" w:rsidRDefault="00D06117" w:rsidP="00D06117">
      <w:pPr>
        <w:pStyle w:val="TextoNormal"/>
      </w:pPr>
      <w:r>
        <w:t>b) En relación con el recurso de amparo núm. 2551-2012, se solicita su inadmisión al no contener la demanda, a pesar de la reproducción de los supuestos contemplados en la STC 155/2009, “argumento alguno que justifique la concurrencia de ninguno de estos supuestos ni ningún otro, que justifiquen la relevancia constitucional”, al margen de que, además, carecería de la necesaria especial trascendencia constitucional.</w:t>
      </w:r>
    </w:p>
    <w:p w:rsidR="00D06117" w:rsidRDefault="00D06117" w:rsidP="00D06117">
      <w:pPr>
        <w:pStyle w:val="TextoNormal"/>
      </w:pPr>
    </w:p>
    <w:p w:rsidR="00D06117" w:rsidRDefault="00D06117" w:rsidP="00D06117">
      <w:pPr>
        <w:pStyle w:val="TextoNormal"/>
      </w:pPr>
      <w:r>
        <w:t>Subsidiariamente, se solicita su desestimación, alegando que la invocación del art. 23.1 y 2 CE carece de fundamento, habida cuenta de que, reiterando los mismos argumentos expuestos en las alegaciones realizadas en el recurso de amparo núm. 2548-2012, son derechos de configuración legal y el art. 75 LOREG ha establecido una regulación minuciosa del procedimiento del voto de los electores del censo de electores residentes ausentes que, en los términos recogidos en la resolución impugnada, no ha sido respetada. Al margen de ello, además, y específicamente para este recurso de amparo, también se alega que, conforme a la necesaria utilización de juicios de probabilidad o técnicas de ponderación estadística a la que se refiere la doctrina constitucional, la afectación al resultado del cómputo de estos votos nulos es innegable. Así, se afirma que es indiscutido que los votos afectados por la irregularidad fueron 332 de un total de 2.863 votos emitidos por residentes ausentes, correspondiendo 1.707 a la circunscripción central, 583 a la oriental y 573 a la occidental, por lo que el porcentaje de voto del censo de electores residentes ausentes correspondiente a esta última circunscripción sería el 20,01 por 100, lo que determina un total de 66 votos, que si se restan del total de 20106 votos obtenidos por el PSOE en esa circunscripción, arroja como cocientes para asignar el sexto escaño un total de 6.680 para el PSOE y de 6.684,5 para FAC y, por tanto, una diferente asignación de escaños que demuestra la relevancia de la irregularidad del cómputo de los votos remitidos directamente por correo a la junta electoral y la procedencia de repetir esa votación en los términos señalado en la resolución judicial impugnada.</w:t>
      </w:r>
    </w:p>
    <w:p w:rsidR="00D06117" w:rsidRDefault="00D06117" w:rsidP="00D06117">
      <w:pPr>
        <w:pStyle w:val="TextoNormal"/>
      </w:pPr>
    </w:p>
    <w:p w:rsidR="00D06117" w:rsidRDefault="00D06117" w:rsidP="00D06117">
      <w:pPr>
        <w:pStyle w:val="TextoNormal"/>
      </w:pPr>
      <w:r>
        <w:t>En relación la invocación del art. 68.5 CE, se destaca que no es un derecho fundamental alegable en amparo y que se refiere sólo a las elecciones al Congreso de los Diputados, como lo demuestra el hecho de haberse suprimido en las elecciones locales. También se rechaza la invocación del art. 24.1 CE, destacando que la resolución impugnada permite conocer las razones de la decisión adoptada habiendo dado respuesta a todas las cuestiones planteadas por las partes. Del mismo modo, en relación con el cuarto motivo de amparo, se señala que no cabe considerar arbitraria la decisión de anulación de los votos controvertidos y de repetición de la votación al estar plenamente justificadas dichas decisiones en una recta aplicación del art. 75.4 LOREG. Por último, se rechaza el cuestionamiento que se hace por el recurrente de la autonomía parlamentaria al no poder apreciarse ningún derecho fundamental susceptible de amparo en el que basar dicha alegación.</w:t>
      </w:r>
    </w:p>
    <w:p w:rsidR="00D06117" w:rsidRDefault="00D06117" w:rsidP="00D06117">
      <w:pPr>
        <w:pStyle w:val="TextoNormal"/>
      </w:pPr>
    </w:p>
    <w:p w:rsidR="00D06117" w:rsidRDefault="00D06117" w:rsidP="00D06117">
      <w:pPr>
        <w:pStyle w:val="TextoNormal"/>
      </w:pPr>
      <w:r>
        <w:t>c) Por último, en relación con el recurso de amparo núm. 2562-2012, se solicita su inadmisión al no contener la demanda una justificación que aluda clara y específicamente a ninguno de los supuestos contemplados en la STC 155/2009 sobre la relevancia constitucional del recurso, al margen de que, además, carecería de la necesaria especial trascendencia constitucional.</w:t>
      </w:r>
    </w:p>
    <w:p w:rsidR="00D06117" w:rsidRDefault="00D06117" w:rsidP="00D06117">
      <w:pPr>
        <w:pStyle w:val="TextoNormal"/>
      </w:pPr>
    </w:p>
    <w:p w:rsidR="00D06117" w:rsidRDefault="00D06117" w:rsidP="00D06117">
      <w:pPr>
        <w:pStyle w:val="TextoNormal"/>
      </w:pPr>
      <w:r>
        <w:lastRenderedPageBreak/>
        <w:t>Subsidiariamente, se solicita su desestimación, alegando que la invocación del art. 23.2 CE carece de fundamento, habida cuenta de que ordenándose la repetición del voto de los electores inscritos en el censo de electores residentes ausentes en la circunscripción occidental no se priva de ningún derecho a dichos electores ni a los candidatos, como tampoco se produciría una lesión del derecho a la igualdad por la repetición de la votación en una concreta mesa conociéndose ya los resultados de las restantes, ya que ésta es una consecuencia ya asumida por la doctrina constitucional que se produce en cualquier supuesto de nulidad. Del mismo modo, se pone de manifiesto, reiterando los mismos argumentos expuestos en las alegaciones realizadas en los recursos de amparo núms. 2548-2012 y 2551-2012, que el art. 75 LOREG ha establecido una regulación minuciosa del procedimiento del voto de los electores del censo de electores residentes ausentes que, en los términos recogidos en la resolución impugnada, no ha sido respetada, y, con la misma exposición de ideas que en las alegaciones realizadas en el recurso de amparo núm. 2551-2012, que conforme a la necesaria utilización de juicios de probabilidad o técnicas de ponderación estadística a la que se refiere la doctrina constitucional, la afectación al resultado del cómputo de estos votos nulos es innegable. Respecto de la relevancia y esencialidad de la irregularidad, se expone, además, que conforme a la documentación aportada por la Oficina del Censo Electoral del censo de electores residentes ausentes hay “334 supuestos votantes que no podían votar porque ni habían formulado la correspondiente solicitud ni, por tanto, podían haber recibido legalmente la documentación necesaria para votar”, siendo “suficientemente sospechosa la práctica coincidencia entre el número de votantes sin documentación válidamente obtenida y sin haberla solicitado y el número de votos por correo de electores del CERA que no pasaron por la Oficina Consular correspondiente y que indebidamente fueron computados”, de lo que concluye que “es evidente que no nos encontramos ante meras irregularidades formales sino que el voto de esos 334 electores ha sido evidentemente suplantado”.</w:t>
      </w:r>
    </w:p>
    <w:p w:rsidR="00D06117" w:rsidRDefault="00D06117" w:rsidP="00D06117">
      <w:pPr>
        <w:pStyle w:val="TextoNormal"/>
      </w:pPr>
    </w:p>
    <w:p w:rsidR="00D06117" w:rsidRDefault="00D06117" w:rsidP="00D06117">
      <w:pPr>
        <w:pStyle w:val="TextoNormal"/>
      </w:pPr>
      <w:r>
        <w:t>En relación con la invocación del art. 23.1 CE, fundada en el derecho de los 332 votantes cuyo voto ha sido considerado nulo, se afirma que no cabría considerar lesionado su derecho, ya que este derecho ha de ejercerse en las condiciones legalmente establecidas, lo que no habría sido el caso, quedando además plenamente salvaguardado al posibilitarse su participación con la repetición de la votación acordada en la resolución impugnada. Por último, se rechaza la invocación del art. 24.1 CE destacando que la resolución impugnada permite conocer las razones de la decisión adoptada habiendo dado respuesta a todas las cuestiones planteadas por las partes.</w:t>
      </w:r>
    </w:p>
    <w:p w:rsidR="00D06117" w:rsidRDefault="00D06117" w:rsidP="00D06117">
      <w:pPr>
        <w:pStyle w:val="TextoNormal"/>
      </w:pPr>
    </w:p>
    <w:p w:rsidR="00D06117" w:rsidRDefault="00D06117" w:rsidP="00D06117">
      <w:pPr>
        <w:pStyle w:val="TextoNormal"/>
      </w:pPr>
      <w:r w:rsidRPr="00D06117">
        <w:rPr>
          <w:rStyle w:val="NumeroAFNegritaCaracter"/>
        </w:rPr>
        <w:t>13</w:t>
      </w:r>
      <w:r>
        <w:t>. El Ministerio Fiscal, mediante sendos escritos registrados el 5 de mayo de 2012, presentó sus alegaciones en los recursos de amparo núms. 2548-2012, 2551-2012 y 2562-2012, en las que, tras exponer detalladamente los antecedentes del asunto y analizar las quejas formuladas por los respectivos demandantes, concluye interesando que se les otorgue el amparo solicitado.</w:t>
      </w:r>
    </w:p>
    <w:p w:rsidR="00D06117" w:rsidRDefault="00D06117" w:rsidP="00D06117">
      <w:pPr>
        <w:pStyle w:val="TextoNormal"/>
      </w:pPr>
    </w:p>
    <w:p w:rsidR="00D06117" w:rsidRDefault="00D06117" w:rsidP="00D06117">
      <w:pPr>
        <w:pStyle w:val="TextoNormal"/>
      </w:pPr>
      <w:r>
        <w:t>a) Por lo que se refiere al recurso de amparo núm. 2548-2012, promovido por don Alfonso Suárez Hernández, en su condición de representante general de la candidatura Izquierda Unida de Asturias, comienza por advertir el Ministerio Fiscal que ninguna objeción es posible formular sobre la legitimación en amparo de esta formación política, en atención a la doctrina sentada por ese Tribunal Constitucional en la STC 298/2006, de 23 de octubre, FJ 4.</w:t>
      </w:r>
    </w:p>
    <w:p w:rsidR="00D06117" w:rsidRDefault="00D06117" w:rsidP="00D06117">
      <w:pPr>
        <w:pStyle w:val="TextoNormal"/>
      </w:pPr>
    </w:p>
    <w:p w:rsidR="00D06117" w:rsidRDefault="00D06117" w:rsidP="00D06117">
      <w:pPr>
        <w:pStyle w:val="TextoNormal"/>
      </w:pPr>
      <w:r>
        <w:t>Asimismo señala el Ministerio Fiscal que ha de rechazarse la alegación efectuada por el demandante de amparo relativa a la lesión del art. 14 CE, derivada de entender existente una discriminación carente de justificación hacia los electores ausentes residentes en el extranjero, que verían limitado su derecho de emisión de voto respecto de los electores residentes en territorio nacional, en cuanto a éstos les basta con comparecer ante los funcionarios del servicio público de correos y, llegado el momento, con remitir su voto por correo certificado a la correspondiente mesa electoral, mientras que a los primeros se les exige que esa remisión se verifique a través de las oficinas consulares o representaciones diplomáticas de España en el extranjero, pues la diferencia de trato que se invoca se halla justificada, precisamente, porque ambos grupos de electores no se encuentran en igual situación, ya que unos residen en territorio nacional y los otros residen fuera de éste.</w:t>
      </w:r>
    </w:p>
    <w:p w:rsidR="00D06117" w:rsidRDefault="00D06117" w:rsidP="00D06117">
      <w:pPr>
        <w:pStyle w:val="TextoNormal"/>
      </w:pPr>
    </w:p>
    <w:p w:rsidR="00D06117" w:rsidRDefault="00D06117" w:rsidP="00D06117">
      <w:pPr>
        <w:pStyle w:val="TextoNormal"/>
      </w:pPr>
      <w:r>
        <w:t>Por consiguiente, el análisis ha de centrarse en determinar si la Sentencia impugnada ha vulnerado los derechos garantizados por el art. 23 CE, teniendo en cuenta de que la declarada nulidad del escrutinio de la mesa de electores del censo de electores residentes ausentes, en cuanto a la circunscripción occidental, a que se refiere la demanda de amparo, constituye un elemento esencial para el resultado electoral, por cuanto incide directamente en la asignación del último diputado en disputa por dicha circunscripción.</w:t>
      </w:r>
    </w:p>
    <w:p w:rsidR="00D06117" w:rsidRDefault="00D06117" w:rsidP="00D06117">
      <w:pPr>
        <w:pStyle w:val="TextoNormal"/>
      </w:pPr>
    </w:p>
    <w:p w:rsidR="00D06117" w:rsidRDefault="00D06117" w:rsidP="00D06117">
      <w:pPr>
        <w:pStyle w:val="TextoNormal"/>
      </w:pPr>
      <w:r>
        <w:t>A juicio del Ministerio Fiscal, se está ante un supuesto en el que resulta aplicable la doctrina sentada en las SSTC 24/1990, 25/1990 y 26/1990, con arreglo a la cual resulta que en un recurso contencioso-electoral instado frente a la proclamación de candidatos electos el órgano judicial debe procurar, en primer término, averiguar con todos los medios probatorios a su alcance la realidad de lo ocurrido en la mesa o mesas en las que se hayan denunciado irregularidades, al objeto de poder determinar con un razonable margen de seguridad el sentido de los votos correspondientes a las mismas, de modo que sólo en el supuesto de que órgano judicial no lograse alcanzar una conclusión cierta sobre el sentido de los votos emitidos podría decretar la nulidad de la votación celebrada en la mesa o mesas impugnadas. Por ello, el art. 113.2 d) LOREG contempla como uno de los fallos posibles la nulidad de la elección celebrada y la necesidad de efectuar una nueva convocatoria. Con todo, la Ley electoral, en aplicación del principio de conservación de los actos, determina que la invalidez de la votación en una o varias secciones no comporta la nulidad de la elección cuando no se altere el resultado final (art. 113.3 LOREG).</w:t>
      </w:r>
    </w:p>
    <w:p w:rsidR="00D06117" w:rsidRDefault="00D06117" w:rsidP="00D06117">
      <w:pPr>
        <w:pStyle w:val="TextoNormal"/>
      </w:pPr>
    </w:p>
    <w:p w:rsidR="00D06117" w:rsidRDefault="00D06117" w:rsidP="00D06117">
      <w:pPr>
        <w:pStyle w:val="TextoNormal"/>
      </w:pPr>
      <w:r>
        <w:t xml:space="preserve">El problema en el presente caso consiste, según el Fiscal, en que la Sala de lo Contencioso-Administrativo del Tribunal Superior de Justicia de Asturias se ha limitado a declarar una nulidad que no resulta acorde con las previsiones de la LOREG, al no efectuar en su totalidad o por completo la operación inexcusablemente exigida por dicha ley. En efecto, la Sala no ha constatado si los votos que ha considerado inválidos eran o no relevantes para el resultado de la elección, a pesar de que ello resultaba imprescindible, con arreglo a lo que ya ha sido justificado. Por lo tanto, debía haber comprobado si la invalidez de dichos votos podía ser determinante del resultado de la elección, esto es, si era relevante para el resultado final. Y esta relevancia habría de basarse primeramente en criterios razonables, como la comparación entre el número de votos invalidados con la diferencia entre los candidatos afectados por la impugnación, pero también podía haberse efectuado acudiendo a juicios de probabilidad o técnicas de ponderación estadística. Es más, tal juicio de relevancia le había sido ofrecido a la Sala en la demanda del recurso contencioso-electoral entablado por la </w:t>
      </w:r>
      <w:r>
        <w:lastRenderedPageBreak/>
        <w:t>formación política Foro de Ciudadanos y por doña Lourdes Fuencisla Álvarez Bravo, en su calidad de representante general de esa formación política para las elecciones autonómicas del día 25 de marzo de 2012, si bien con un pequeño aunque decisivo defecto, favorable a dicha candidatura, en todo caso fácilmente detectable por la Sala, pues fue puesto de manifiesto en el informe del Fiscal Superior de Asturias, consistente en que los teóricos 66 votos nulos que corresponderían a la circunscripción occidental, conforme al cálculo de Foro de Ciudadanos, no deben restarse, como pretende esta formación política, del total de los votos obtenidos por el PSOE, sino que esa resta debe hacerse proporcionalmente a los votos obtenidos en dicha circunscripción por las candidaturas de los tres partidos —Partido Popular, Foro de Ciudadanos y PSOE—, pues no sabiendo a qué formación política correspondería cada uno de esos 66 votos lo que no cabe en ningún caso es restarlos del total obtenido por la candidatura del partido más votado. A juicio del Fiscal, de haber efectuado la Sala este juicio de relevancia tomando en consideración la observación puesta de relieve por el Fiscal Superior de Asturias, resultaría que el sexto escaño en disputa correspondería al PSOE (cociente de 6.690,6) en lugar de a Foro de Ciudadanos (cociente de 6.682).</w:t>
      </w:r>
    </w:p>
    <w:p w:rsidR="00D06117" w:rsidRDefault="00D06117" w:rsidP="00D06117">
      <w:pPr>
        <w:pStyle w:val="TextoNormal"/>
      </w:pPr>
    </w:p>
    <w:p w:rsidR="00D06117" w:rsidRDefault="00D06117" w:rsidP="00D06117">
      <w:pPr>
        <w:pStyle w:val="TextoNormal"/>
      </w:pPr>
      <w:r>
        <w:t>De lo expuesto se derivan dos conclusiones para el Ministerio Fiscal: en primer lugar, que, al no haber procedido la Sala a efectuar ese obligado juicio de relevancia, se ha producido la vulneración del derecho invocado por el recurrente en amparo; y que, a mayor abundamiento, de haber efectuado la Sala el juicio de relevancia con arreglo a juicios de probabilidad o técnicas de ponderación estadística (a falta de datos ciertos), como permite la doctrina constitucional, el resultado final de la votación no resultaba alterado.</w:t>
      </w:r>
    </w:p>
    <w:p w:rsidR="00D06117" w:rsidRDefault="00D06117" w:rsidP="00D06117">
      <w:pPr>
        <w:pStyle w:val="TextoNormal"/>
      </w:pPr>
    </w:p>
    <w:p w:rsidR="00D06117" w:rsidRDefault="00D06117" w:rsidP="00D06117">
      <w:pPr>
        <w:pStyle w:val="TextoNormal"/>
      </w:pPr>
      <w:r>
        <w:t>Por ello interesa el Fiscal que se otorgue el amparo solicitado por el representante general de la candidatura Izquierda Unida de Asturias, declarando la nulidad de la Sentencia impugnada, con la consecuencia necesaria de adquirir plena vigencia el acuerdo de la Junta Electoral Provincial de Asturias de 10 de abril de 2012 de proclamación de electos en las elecciones a la Junta General del Principado de Asturias celebradas el 25 de marzo de 2012, en cuanto a la circunscripción occidental.</w:t>
      </w:r>
    </w:p>
    <w:p w:rsidR="00D06117" w:rsidRDefault="00D06117" w:rsidP="00D06117">
      <w:pPr>
        <w:pStyle w:val="TextoNormal"/>
      </w:pPr>
    </w:p>
    <w:p w:rsidR="00D06117" w:rsidRDefault="00D06117" w:rsidP="00D06117">
      <w:pPr>
        <w:pStyle w:val="TextoNormal"/>
      </w:pPr>
      <w:r>
        <w:t>b) Por lo que se refiere al recurso de amparo núm. 2551-2012, comienza por advertir el Ministerio Fiscal que ha de rechazarse, sin necesidad de una más detenida argumentación, las alegaciones efectuadas por el demandante de amparo relativas a la lesión del art. 68 CE, en cuanto dicho precepto constitucional no contiene derechos fundamentales susceptibles de recurso de amparo, y asimismo la referida a la vulneración de la autonomía parlamentaria de la Junta General del Principado de Asturias, por carecer manifiestamente de fundamento esta alegación. Asimismo advierte el Fiscal que la invocación en la demanda de amparo del art. 14 CE ha de entenderse subsumida, conforme a reiterada doctrina constitucional, en el art. 23.2 CE.</w:t>
      </w:r>
    </w:p>
    <w:p w:rsidR="00D06117" w:rsidRDefault="00D06117" w:rsidP="00D06117">
      <w:pPr>
        <w:pStyle w:val="TextoNormal"/>
      </w:pPr>
    </w:p>
    <w:p w:rsidR="00D06117" w:rsidRDefault="00D06117" w:rsidP="00D06117">
      <w:pPr>
        <w:pStyle w:val="TextoNormal"/>
      </w:pPr>
      <w:r>
        <w:t xml:space="preserve">Por consiguiente, el análisis ha de centrarse, en definitiva, en determinar si la Sentencia impugnada ha vulnerado el derecho del recurrente garantizado por el art. 23.2 CE. Y llega el Fiscal a la conclusión de que, en efecto, la decisión de declarar la nulidad del escrutinio de la mesa de electores del censo de electores residentes ausentes en la circunscripción occidental ha vulnerado el derecho del recurrente a acceder a los cargos públicos en condiciones de igualdad, por las mismas razones ya expresadas en las alegaciones en el recurso de amparo electoral núm. 2548-2012, esto es, porque la Sala de lo Contencioso-Administrativo del Tribunal Superior de Justicia de Asturias no efectuó el indicado juicio de relevancia con </w:t>
      </w:r>
      <w:r>
        <w:lastRenderedPageBreak/>
        <w:t>arreglo a juicios de probabilidad o técnicas de ponderación estadística, tomando en consideración la observación puesta de relieve por el Fiscal Superior de Asturias en el recurso contencioso-electoral, y teniendo en cuenta que, de haberlo hecho el resultado final de la votación no habría sufrido alteración, quedando el sexto escaño de la circunscripción electoral para el candidato demandante de amparo.</w:t>
      </w:r>
    </w:p>
    <w:p w:rsidR="00D06117" w:rsidRDefault="00D06117" w:rsidP="00D06117">
      <w:pPr>
        <w:pStyle w:val="TextoNormal"/>
      </w:pPr>
    </w:p>
    <w:p w:rsidR="00D06117" w:rsidRDefault="00D06117" w:rsidP="00D06117">
      <w:pPr>
        <w:pStyle w:val="TextoNormal"/>
      </w:pPr>
      <w:r>
        <w:t>Por todo ello interesa el Fiscal que se otorgue el amparo solicitado por don Francisco González Méndez, declarando que se ha vulnerado su derecho a acceder a los cargos públicos en condiciones de igualdad (art. 23.2 CE) y anulando la Sentencia impugnada, con la consecuencia de adquirir plena vigencia el acuerdo de la Junta Electoral Provincial de Asturias de 10 de abril de 2012 de proclamación de electos en las elecciones a la Junta General del Principado de Asturias de 25 de marzo de 2012, en cuanto a la circunscripción occidental.</w:t>
      </w:r>
    </w:p>
    <w:p w:rsidR="00D06117" w:rsidRDefault="00D06117" w:rsidP="00D06117">
      <w:pPr>
        <w:pStyle w:val="TextoNormal"/>
      </w:pPr>
    </w:p>
    <w:p w:rsidR="00D06117" w:rsidRDefault="00D06117" w:rsidP="00D06117">
      <w:pPr>
        <w:pStyle w:val="TextoNormal"/>
      </w:pPr>
      <w:r>
        <w:t>c) Por último, en lo que se refiere al recurso de amparo núm. 2562-2012, señala el Ministerio Fiscal, como en las alegaciones a los anteriores recursos, que el análisis ha de centrarse en determinar si la Sentencia impugnada ha vulnerado el derecho de la candidatura del partido recurrente garantizado por el art. 23.2 CE, siendo redundante la invocación en la demanda de amparo del art. 14 CE.</w:t>
      </w:r>
    </w:p>
    <w:p w:rsidR="00D06117" w:rsidRDefault="00D06117" w:rsidP="00D06117">
      <w:pPr>
        <w:pStyle w:val="TextoNormal"/>
      </w:pPr>
    </w:p>
    <w:p w:rsidR="00D06117" w:rsidRDefault="00D06117" w:rsidP="00D06117">
      <w:pPr>
        <w:pStyle w:val="TextoNormal"/>
      </w:pPr>
      <w:r>
        <w:t>Por las mismas razones ya expresadas en las alegaciones formuladas en los anteriores recursos de amparo, el Ministerio Fiscal considera que la decisión de declarar la nulidad del escrutinio de la mesa de electores del censo de electores residentes ausentes en la circunscripción occidental ha vulnerado el derecho de la candidatura del partido del recurrente a acceder a los cargos públicos en condiciones de igualdad (art. 23.2 CE), por lo que interesa que se le otorgue el amparo solicitado, declarando la vulneración de este derecho y anulando la Sentencia impugnada, con la consecuencia de adquirir plena vigencia el acuerdo de la Junta Electoral Provincial de Asturias de 10 de abril de 2012 de proclamación de electos en las elecciones a la Junta General del Principado de Asturias de 25 de marzo de 2012, en la referida circunscripción.</w:t>
      </w:r>
    </w:p>
    <w:p w:rsidR="00D06117" w:rsidRDefault="00D06117" w:rsidP="00D06117">
      <w:pPr>
        <w:pStyle w:val="TextoNormal"/>
      </w:pPr>
    </w:p>
    <w:p w:rsidR="00D06117" w:rsidRDefault="00D06117" w:rsidP="00D06117">
      <w:pPr>
        <w:pStyle w:val="TextoNormal"/>
      </w:pPr>
      <w:r w:rsidRPr="00D06117">
        <w:rPr>
          <w:rStyle w:val="NumeroAFNegritaCaracter"/>
        </w:rPr>
        <w:t>14</w:t>
      </w:r>
      <w:r>
        <w:t>. Por Auto de 7 de mayo de 2012 la Sala acordó resolver en Sentencia única los tres recursos de amparo admitidos a trámite, núms. 2548-2012, 2551-2012 y 2562-2012, contra la Sentencia de la Sala de lo Contencioso-Administrativo del Tribunal Superior de Justicia de Asturias núm. 539/2012, de 27 de abril, recaída en el recurso contencioso-electoral núm. 343-2012.</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Los presentes recursos de amparo electorales, promovidos, respectivamente, por el representante electoral general de la candidatura presentada por el partido político Izquierda Unida de Asturias en la circunscripción de occidente a las elecciones a la Junta General del Principado de Asturias celebradas el pasado día 25 de marzo de 2012 (recurso de amparo núm. 2548-2012), por don Francisco González Méndez, candidato no proclamado electo por la indicada circunscripción electoral en las citadas elecciones (recurso de amparo núm. 2551-2012), y por el representante del Partido Socialista Obrero Español (PSOE) y repre</w:t>
      </w:r>
      <w:r>
        <w:lastRenderedPageBreak/>
        <w:t>sentante general de la candidatura presentada por este partido político en dicha circunscripción a las mismas elecciones (recurso de amparo núm. 2562-2012), tienen por objeto la impugnación de la Sentencia núm. 539/2012, de 27 de abril, de la Sala de lo Contencioso-Administrativo del Tribunal Superior de Justicia de Asturias, recaída en el recurso contencioso-electoral núm. 343-2012, promovido por la representante general de la formación política Foro de Ciudadanos (FAC) contra el Acuerdo de la Junta Electoral Provincial de Asturias, de 10 de abril de 2012, de proclamación de electos.</w:t>
      </w:r>
    </w:p>
    <w:p w:rsidR="00D06117" w:rsidRDefault="00D06117" w:rsidP="00D06117">
      <w:pPr>
        <w:pStyle w:val="TextoNormal"/>
      </w:pPr>
    </w:p>
    <w:p w:rsidR="00D06117" w:rsidRDefault="00D06117" w:rsidP="00D06117">
      <w:pPr>
        <w:pStyle w:val="TextoNormal"/>
      </w:pPr>
      <w:r>
        <w:t>La Sentencia recurrida, como en los antecedentes se ha dicho, estimó el recurso contencioso-electoral interpuesto por la representante general de la formación política Foro de Ciudadanos, declaró la nulidad del escrutinio de la mesa electoral del censo electoral de residentes ausentes en la circunscripción occidental y ordenó la repetición de la votación de la indicada mesa electoral en el plazo de tres meses, manteniendo la proclamación de los diputados electos de los cinco primeros escaños correspondientes a dicha circunscripción. La Sala fundó su decisión, en síntesis, en la consideración de que no debían de haber sido computados 332 votos por correo de electores inscritos en el censo de electores residentes ausentes al haber remitido la documentación electoral directamente a la junta electoral provincial, en vez de haberlo hecho a través de la correspondiente oficina consular de carrera o sección consular de la misión diplomática a la que cada elector estuviese adscrito, de conformidad con lo establecido en el art. 75.4 de la Ley Orgánica 5/1985, de 19 de junio, de régimen electoral general (LOREG), en la redacción dada al precepto por la Ley Orgánica 2/2011, de 28 de enero.</w:t>
      </w:r>
    </w:p>
    <w:p w:rsidR="00D06117" w:rsidRDefault="00D06117" w:rsidP="00D06117">
      <w:pPr>
        <w:pStyle w:val="TextoNormal"/>
      </w:pPr>
    </w:p>
    <w:p w:rsidR="00D06117" w:rsidRDefault="00D06117" w:rsidP="00D06117">
      <w:pPr>
        <w:pStyle w:val="TextoNormal"/>
      </w:pPr>
      <w:r w:rsidRPr="00D06117">
        <w:rPr>
          <w:rStyle w:val="NumeroAFNegritaCaracter"/>
        </w:rPr>
        <w:t>2</w:t>
      </w:r>
      <w:r>
        <w:t>. El representante electoral general de la candidatura del partido político Izquierda Unida de Asturias estima que la Sentencia impugnada vulnera el derecho de los ciudadanos a participar en los asuntos públicos directamente o por medio de representantes libremente elegidos en elecciones periódicas por sufragio universal (art. 23.1 CE), en relación con los votantes del censo de electores residentes ausentes de la circunscripción occidental de Asturias e, incluso, con todos los electores de la citada circunscripción, en cuanto el órgano judicial considera como condición esencial para la validez del ejercicio del derecho de sufragio por correo de los electores del censo de electores residentes ausentes la remisión del voto a través de la correspondiente oficina consular de carrera o sección consular de la misión diplomática (art. 75.4 LOREG), lo que supone el sacrificio de un derecho fundamental en beneficio de una regulación de carácter meramente organizativo-burocrática sobre la forma en que esos votos han de llegar a la junta electoral. Tal interpretación de la legalidad electoral, dado que ninguna duda existe sobre la autenticidad ni el plazo de presentación de los votos cuestionados, contraviene los principios de conservación de los actos válidamente celebrados, de proporcionalidad, de interpretación más favorable a la efectividad de los derechos fundamentales y del conocimiento de la verdad material expresada en las urnas por los electores (SSTC 169/1987, de 29 de octubre; 26/1990, de 19 de febrero; y 157/1991, de 15 de julio). Asimismo, la Sentencia recurrida lesiona, a su juicio, el principio de igualdad (art. 14 CE), al introducir una discriminación inadmisible y carente de justificación entre los electores ausentes residentes en el extranjero y los electores residentes en el territorio español en el ejercicio del voto por correo, por imponerse a aquéllos, como exigencia adicional, la remisión de los votos a través de la correspondiente oficina consular de carrera o sección consular de la misión diplomática.</w:t>
      </w:r>
    </w:p>
    <w:p w:rsidR="00D06117" w:rsidRDefault="00D06117" w:rsidP="00D06117">
      <w:pPr>
        <w:pStyle w:val="TextoNormal"/>
      </w:pPr>
    </w:p>
    <w:p w:rsidR="00D06117" w:rsidRDefault="00D06117" w:rsidP="00D06117">
      <w:pPr>
        <w:pStyle w:val="TextoNormal"/>
      </w:pPr>
      <w:r>
        <w:lastRenderedPageBreak/>
        <w:t>La representación de don Francisco González Méndez imputa a la Sentencia impugnada, en primer término, la lesión de los derechos de sufragio activo y pasivo (art. 23.1 y 2 CE), en relación con el principio de igualdad (art. 14 CE), por no haber efectuado el órgano judicial una interpretación pro costitutione del art. 75.4 LOREG y optar, por el contrario, por una interpretación desproporcionada y arbitraria del citado precepto en relación con los derechos fundamentales concernidos, quedándose —dice— en un legalismo enervante e hipertrófico, toda vez que se trata de un mero defecto de remisión del voto que no afecta a ningún elemento sustancial de su autenticidad. En segundo lugar, estima vulnerado el derecho de sufragio activo (art. 23.1 CE), en relación con el art. 68.5 CE, dado que la Sentencia deja sin contenido el derecho de sufragio de los ciudadanos inscritos en el censo de electores residentes ausentes de la circunscripción occidental de Asturias, no ponderando adecuadamente que con el cómputo de los votos cuestionados se estaba pretendiendo facilitar la realización material de un derecho fundamental, frente a un interpretación rigorista del art. 75.4 LOREG. En tercer lugar, le achaca a la resolución judicial recurrida la violación del derecho a la tutela judicial efectiva (art. 24.1 CE), en cuanto el fallo adolece de falta de motivación, resultando sus efectos contrarios al sistema de participación democrática recogidos en los arts. 1, 7 y 23 CE, debiendo haberse extendido, en su caso, la decisión de la anulación de la votación a los seis escaños atribuidos a la circunscripción occidental, no exclusivamente al sexto. En cuarto lugar, la Sentencia habría vulnerado también los derechos de sufragio activo y pasivo (art. 23.1 y 2 CE), en relación con el principio de igualdad (art. 14 CE), al partir de un error manifiesto al aplicar el juicio de relevancia de las irregularidades detectadas sobre el resultado electoral y anular arbitrariamente los votos controvertidos, cuando, de conformidad con la técnica de la ponderación proporcional estadística auspiciada por la doctrina constitucional, la asignación del sexto escaño de la circunscripción occidental no se vería alterada. Denuncia, por último, que el fallo de la Sentencia cuestiona la autonomía parlamentaria de la Junta General del Principado de Asturias y se aparta del sometimiento al imperio de la ley, al no estar asistido el órgano judicial de potestades constitucionales para configurar y condicionar de la manera en que lo ha hecho al Parlamento regional, alterando el equilibrio de fuerzas que salió de las urnas, habiéndose excedido, con ello, en sus funciones constitucionales.</w:t>
      </w:r>
    </w:p>
    <w:p w:rsidR="00D06117" w:rsidRDefault="00D06117" w:rsidP="00D06117">
      <w:pPr>
        <w:pStyle w:val="TextoNormal"/>
      </w:pPr>
    </w:p>
    <w:p w:rsidR="00D06117" w:rsidRDefault="00D06117" w:rsidP="00D06117">
      <w:pPr>
        <w:pStyle w:val="TextoNormal"/>
      </w:pPr>
      <w:r>
        <w:t xml:space="preserve">Por su parte, el representante del Partido Socialista Obrero Español y de la candidatura presentada por este partido político en la circunscripción de occidente a las elecciones a la Junta General del Principado de Asturias considera que la Sentencia recurrida vulnera el derecho a acceder al cargo público en condiciones de igualdad (art. 23.2 CE) del Diputado que formaba parte de dicha candidatura y cuya proclamación fue anulada por aquella Sentencia y el derecho de sufragio activo de los electores del censo de electores residentes ausentes de la circunscripción occidental cuyos votos han sido declarados nulos (art. 23.1 CE), ya que el órgano judicial ha llevado a cabo una interpretación literal, rigorista y formalista del art. 75.4 LOREG, que no es conforme con los citados derechos fundamentales ni con los principios de efectividad del derecho de sufragio, conservación de los actos válidamente celebrados y de búsqueda de la verdad material, confundiendo la validez de los votos emitidos con la adecuación del cauce elegido para su remisión por correo, lo que ha conducido a un resultado desproporcionado, ya que los votos controvertidos satisfacían todas las garantías previstas en la ley para garantizar su autenticidad, origen y su remisión y recepción en los plazos legalmente prescritos. Estima asimismo violado el principio de igualdad (art. 14 CE), dado que la repetición de la votación de la mesa electoral del censo de electores </w:t>
      </w:r>
      <w:r>
        <w:lastRenderedPageBreak/>
        <w:t>residentes ausentes en la circunscripción occidental limitada al sexto escaño supone discriminar, sin justificación alguna, al candidato cuya proclamación ha sido anulada en relación con los otros cincos candidatos cuya proclamación la Sentencia ordena conservar; también porque los electores del censo de electores residentes ausentes que hayan de votar en la nueva elección no tendrán la misma libertad de elección que los electores del censo de electores residentes ausentes de otras circunscripciones, puesto que se han excluido de la nueva elección a los cinco primeros escaños de la circunscripción; generándose asimismo una desigualdad de trato entre los electores del censo de electores residentes ausentes, ya que sitúa a los electores que pueden participar en la nueva votación en una posición de privilegio respecto del resto de los electores que ya han ejercido su voto el día 25 de marzo de 2012, porque aquéllos conocen de antemano el resultado electoral de las tres circunscripciones y la asignación de 44 escaños y saben que el sentido de su voto será determinante en la conformación de mayorías en el Parlamento autonómico. Se aduce, a continuación, la vulneración de los derechos de sufragio (art. 23 CE), ya que se decreta la nulidad de la mesa electoral del censo de electores residentes ausentes en la circunscripción occidental sin efectuar el llamado juicio de relevancia o de incidencia de las supuestas irregularidades sobre el resultado final de la elección, renunciando el órgano judicial a aplicar los métodos de cálculo de probabilidad estadística, cuya aplicación a este caso permite constatar, a juicio del recurrente, que no se habría alterado el resultado electoral. Finalmente, el representante del Partido Socialista Obrero Español y de la candidatura presentada por esta formación política sostiene que la Sentencia recurrida lesiona el derecho a la tutela judicial efectiva por falta de suficiente motivación de la Sentencia en cuanto a los pronunciamientos esenciales determinantes de la estimación del recurso contencioso-electoral, por lo que respecta, en concreto, a la invalidez o nulidad de los 332 votos controvertidos, a la incidencia de dichos votos en el resultado electoral, a la obligación de efectuar una nueva convocatoria electoral, manteniendo efectiva la proclamación de los diputados electos de los cinco primeros escaños atribuidos a la circunscripción occidental y, en fin, a la pretensión de inadmisibilidad del recurso contencioso-electoral aducida por dicha parte.</w:t>
      </w:r>
    </w:p>
    <w:p w:rsidR="00D06117" w:rsidRDefault="00D06117" w:rsidP="00D06117">
      <w:pPr>
        <w:pStyle w:val="TextoNormal"/>
      </w:pPr>
    </w:p>
    <w:p w:rsidR="00D06117" w:rsidRDefault="00D06117" w:rsidP="00D06117">
      <w:pPr>
        <w:pStyle w:val="TextoNormal"/>
      </w:pPr>
      <w:r>
        <w:t>La representante electoral general del partido político Foro de Ciudadanos se opone a la admisión y, subsidiariamente, a la estimación de las demandas de amparo. Aduce como óbice de admisibilidad de las demandas de amparo la falta de justificación de la especial trascendencia constitucional [art. 49.1 in fine de la Ley Orgánica del Tribunal Constitucional (LOTC)] y considera que, en cualquier caso, las cuestiones planteadas carecen de especial trascendencia constitucional. En cuanto a las vulneraciones constitucionales denunciadas sostiene, en síntesis, que de conformidad con el art. 75.4 LOREG, el voto por correo de los electores inscritos en el censo de electores residentes ausentes ha de ejercerse mediante su remisión a través de las oficinas consulares, lo que constituye una garantía añadida de carácter personal de la autenticidad del sufragio que afecta a su validez, de modo que no cabe considerar válidos los votos en este caso cuestionados, cuya afectación al resultado de la elección es, a su juicio, evidente por las razones que se detallan en sus escritos de alegaciones y que han quedado recogidas en los antecedentes de esta resolución. Y, en fin, descarta cualquier atisbo de vulneración del derecho a la tutela judicial efectiva (art. 24.1 CE), pues la Sentencia impugnada permite conocer las razones de la decisión adoptada, habiendo dado respuesta a todas las cuestiones planteadas por las partes.</w:t>
      </w:r>
    </w:p>
    <w:p w:rsidR="00D06117" w:rsidRDefault="00D06117" w:rsidP="00D06117">
      <w:pPr>
        <w:pStyle w:val="TextoNormal"/>
      </w:pPr>
    </w:p>
    <w:p w:rsidR="00D06117" w:rsidRDefault="00D06117" w:rsidP="00D06117">
      <w:pPr>
        <w:pStyle w:val="TextoNormal"/>
      </w:pPr>
      <w:r>
        <w:t xml:space="preserve">El Ministerio Fiscal se pronuncia a favor de la estimación de las demandas de amparo. En su opinión, la Sentencia impugnada ha vulnerado los derechos de sufragio reconocidos </w:t>
      </w:r>
      <w:r>
        <w:lastRenderedPageBreak/>
        <w:t>en el art. 23.1 y 2 CE, al haberse limitado el órgano judicial a anular los votos controvertidos sin haber efectuado un juicio de relevancia sobre su incidencia en el resultado electoral, juicio que, si se hubiera llegado a hacer con arreglo a las técnicas de probabilidad estadística, habría acreditado que dichos votos no habrían alterado el resultado final de la elección ni, por consiguiente, la asignación del sexto escaño de la circunscripción occidental.</w:t>
      </w:r>
    </w:p>
    <w:p w:rsidR="00D06117" w:rsidRDefault="00D06117" w:rsidP="00D06117">
      <w:pPr>
        <w:pStyle w:val="TextoNormal"/>
      </w:pPr>
    </w:p>
    <w:p w:rsidR="00D06117" w:rsidRDefault="00D06117" w:rsidP="00D06117">
      <w:pPr>
        <w:pStyle w:val="TextoNormal"/>
      </w:pPr>
      <w:r w:rsidRPr="00D06117">
        <w:rPr>
          <w:rStyle w:val="NumeroAFNegritaCaracter"/>
        </w:rPr>
        <w:t>3</w:t>
      </w:r>
      <w:r>
        <w:t>. Antes de examinar las diferentes vulneraciones constitucionales aducidas por los demandantes de amparo, hemos de abordar, como cuestión previa, la causa de inadmisión alegada frente a los tres recursos de amparo por la representante electoral general del partido político Foro de Ciudadanos, consistente en el incumplimiento, a su juicio, de la exigencia impuesta por el art. 49.1 in fine LOTC de justificar la especial trascendencia constitucional de los recursos y en que, en cualquier caso, las cuestiones planteadas carecen de esa especial trascendencia constitucional que exige el art. 50.1 b) LOTC para su admisión a trámite, a la vista de los criterios sentados por este Tribunal en la STC 155/2009, de 25 de junio (FJ 2), lo que debe conducir a la inadmisión de los recursos de amparo.</w:t>
      </w:r>
    </w:p>
    <w:p w:rsidR="00D06117" w:rsidRDefault="00D06117" w:rsidP="00D06117">
      <w:pPr>
        <w:pStyle w:val="TextoNormal"/>
      </w:pPr>
    </w:p>
    <w:p w:rsidR="00D06117" w:rsidRDefault="00D06117" w:rsidP="00D06117">
      <w:pPr>
        <w:pStyle w:val="TextoNormal"/>
      </w:pPr>
      <w:r>
        <w:t>Esta objeción ha de ser rechazada. En primer lugar, el examen de las tres demandas de amparo presentadas evidencia que todas ellas contienen una argumentación destinada expresamente a dar cumplimiento a la exigencia impuesta por el art. 49.1 in fine LOTC, coincidiendo en señalar que las cuestiones suscitadas traen causa de una interpretación y aplicación controvertidas de una norma legal, como es el art. 75 LOREG, en contraste con los derechos garantizados por el art. 23 CE, y en su carácter novedoso, al derivarse de la reforma de dicho precepto operada por la Ley Orgánica 2/2011, de 28 de enero, cuyo alcance nunca ha sido abordado por la doctrina constitucional, lo que supone que se justifica la especial trascendencia constitucional del recurso en los supuestos a) o b) de la citada STC 155/2009, de 25 de junio (FJ 2), sin perjuicio de que cabe entender que se apunta también al supuesto g) de la misma, en cuanto el asunto, planteado en amparo electoral, trasciende del caso concreto por suscitar una cuestión jurídica de relevante y general repercusión social o que tiene consecuencias políticas generales.</w:t>
      </w:r>
    </w:p>
    <w:p w:rsidR="00D06117" w:rsidRDefault="00D06117" w:rsidP="00D06117">
      <w:pPr>
        <w:pStyle w:val="TextoNormal"/>
      </w:pPr>
    </w:p>
    <w:p w:rsidR="00D06117" w:rsidRDefault="00D06117" w:rsidP="00D06117">
      <w:pPr>
        <w:pStyle w:val="TextoNormal"/>
      </w:pPr>
      <w:r>
        <w:t>En consecuencia, ha de entenderse satisfecha por los recurrentes en amparo la exigencia de justificar la especial trascendencia constitucional del recurso impuesta por el art. 49.1 in fine LOTC, en los términos en que dicha exigencia ha venido concretándose por este Tribunal en reiterados pronunciamientos (AATC 188/2008, de 21 de julio, FJ 2; 289/2008, de 22 de septiembre, FJ 2; 290/2008, de 22 de septiembre, FJ 2; y SSTC 155/2009, de 25 de junio, FJ 2, y 17/2011, de 28 de febrero, FJ 2, por todas).</w:t>
      </w:r>
    </w:p>
    <w:p w:rsidR="00D06117" w:rsidRDefault="00D06117" w:rsidP="00D06117">
      <w:pPr>
        <w:pStyle w:val="TextoNormal"/>
      </w:pPr>
    </w:p>
    <w:p w:rsidR="00D06117" w:rsidRDefault="00D06117" w:rsidP="00D06117">
      <w:pPr>
        <w:pStyle w:val="TextoNormal"/>
      </w:pPr>
      <w:r>
        <w:t>De igual modo debemos rechazar la objeción planteada por la representación procesal de Foro de Ciudadanos sobre la pretendida falta de especial trascendencia constitucional de los presentes recursos de amparo electoral.</w:t>
      </w:r>
    </w:p>
    <w:p w:rsidR="00D06117" w:rsidRDefault="00D06117" w:rsidP="00D06117">
      <w:pPr>
        <w:pStyle w:val="TextoNormal"/>
      </w:pPr>
    </w:p>
    <w:p w:rsidR="00D06117" w:rsidRDefault="00D06117" w:rsidP="00D06117">
      <w:pPr>
        <w:pStyle w:val="TextoNormal"/>
      </w:pPr>
      <w:r>
        <w:t>En la fase de admisión de los recursos de amparo este Tribunal constató, de acuerdo con lo exigido por el art. 50.1 LOTC, al tratarse de demandas de amparo interpuestas tras la entrada en vigor de la Ley Orgánica 6/2007, de 24 de mayo, que concurría la especial trascendencia constitucional exigida para la admisión a trámite de los presentes recursos, sin que encontremos razones para modificar esa inicial apreciación en el momento procesal en que ahora nos hallamos.</w:t>
      </w:r>
    </w:p>
    <w:p w:rsidR="00D06117" w:rsidRDefault="00D06117" w:rsidP="00D06117">
      <w:pPr>
        <w:pStyle w:val="TextoNormal"/>
      </w:pPr>
    </w:p>
    <w:p w:rsidR="00D06117" w:rsidRDefault="00D06117" w:rsidP="00D06117">
      <w:pPr>
        <w:pStyle w:val="TextoNormal"/>
      </w:pPr>
      <w:r>
        <w:lastRenderedPageBreak/>
        <w:t>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citada STC 155/2009, de 25 de junio (FJ 2), y entre los que se encuentra el supuesto reseñado en la letra a), esto es, cuando se trate de “un recurso que plantee un problema o una faceta de un derecho fundamental susceptible de amparo sobre el que no haya doctrina del Tribunal Constitucional”, y el enunciado en la letra b), es decir, que se trate de un recurso que dé ocasión al Tribunal Constitucional para perfilar su doctrina por el surgimiento “de cambios normativos relevantes para la configuración del contenido del derecho fundamental” Es notorio que los presentes recursos poseen especial trascendencia constitucional, pues permiten que este Tribunal pueda pronunciarse sobre las garantías del procedimiento de voto por correo de los residentes ausentes tras la reforma introducida al respecto en el art. 75 LOREG por la Ley Orgánica 2/2011, de 28 de enero.</w:t>
      </w:r>
    </w:p>
    <w:p w:rsidR="00D06117" w:rsidRDefault="00D06117" w:rsidP="00D06117">
      <w:pPr>
        <w:pStyle w:val="TextoNormal"/>
      </w:pPr>
    </w:p>
    <w:p w:rsidR="00D06117" w:rsidRDefault="00D06117" w:rsidP="00D06117">
      <w:pPr>
        <w:pStyle w:val="TextoNormal"/>
      </w:pPr>
      <w:r w:rsidRPr="00D06117">
        <w:rPr>
          <w:rStyle w:val="NumeroAFNegritaCaracter"/>
        </w:rPr>
        <w:t>4</w:t>
      </w:r>
      <w:r>
        <w:t>. La variedad y el diferente tenor de los motivos aducidos en las demandas de amparo imponen una agrupación y ordenación lógica de los mismos a los efectos de su sistematización y enjuiciamiento.</w:t>
      </w:r>
    </w:p>
    <w:p w:rsidR="00D06117" w:rsidRDefault="00D06117" w:rsidP="00D06117">
      <w:pPr>
        <w:pStyle w:val="TextoNormal"/>
      </w:pPr>
    </w:p>
    <w:p w:rsidR="00D06117" w:rsidRDefault="00D06117" w:rsidP="00D06117">
      <w:pPr>
        <w:pStyle w:val="TextoNormal"/>
      </w:pPr>
      <w:r>
        <w:t>Analizaremos, en primer lugar, la denunciada lesión del derecho a la tutela judicial efectiva (art. 24.1 CE), por carecer la Sentencia recurrida, según se aduce en dos de las demandas de amparo, de una suficiente motivación, considerando también, al hilo de esta queja, la relativa a una posible extralimitación del órgano judicial en sus funciones, con incidencia en la autonomía parlamentaria de la Cámara autonómica, por no tener atribuidas potestades constitucionales para condicionar el equilibrio de fuerzas políticas en el seno del órgano parlamentario.</w:t>
      </w:r>
    </w:p>
    <w:p w:rsidR="00D06117" w:rsidRDefault="00D06117" w:rsidP="00D06117">
      <w:pPr>
        <w:pStyle w:val="TextoNormal"/>
      </w:pPr>
    </w:p>
    <w:p w:rsidR="00D06117" w:rsidRDefault="00D06117" w:rsidP="00D06117">
      <w:pPr>
        <w:pStyle w:val="TextoNormal"/>
      </w:pPr>
      <w:r>
        <w:t>A continuación, enjuiciadas las referidas quejas, procede, en su caso, el examen de la posible vulneración de los derechos de sufragio activo y pasivo (art. 23.1 y 2 CE) por la resolución judicial impugnada, en cuanto declara inválidos los 332 votos controvertidos emitidos por correo por electores inscritos en el censo de electores residentes ausentes, al haber sido remitidos directamente a la junta electoral, en vez de a través de la oficina consular de carrera o sección consular de la misión diplomática a la que cada elector estuviese adscrito (art. 75.4 LOREG), circunstancia que ha determinado, por su incidencia, a criterio del órgano judicial, en la asignación del sexto escaño de la circunscripción occidental, la anulación del escrutinio de la mesa electoral del censo de electores residentes ausentes en dicha circunscripción y el mandato de repetir la votación de la indicada Mesa.</w:t>
      </w:r>
    </w:p>
    <w:p w:rsidR="00D06117" w:rsidRDefault="00D06117" w:rsidP="00D06117">
      <w:pPr>
        <w:pStyle w:val="TextoNormal"/>
      </w:pPr>
    </w:p>
    <w:p w:rsidR="00D06117" w:rsidRDefault="00D06117" w:rsidP="00D06117">
      <w:pPr>
        <w:pStyle w:val="TextoNormal"/>
      </w:pPr>
      <w:r>
        <w:t>En función de la respuesta que recibiera el anterior motivo, procedería entrar en el enjuiciamiento de las quejas relativas a la lesión de los derechos de sufragio (art. 23.1 y 2 CE), por haberse decretado no sólo la nulidad de los votos controvertidos de la mesa electoral del censo de electores residentes ausentes sino también la nulidad del escrutinio realizado en la mesa electoral, sin que el órgano judicial haya efectuado, según los recurrentes, el correspondiente juicio de relevancia o de incidencia de las supuestas irregularidades en el resultado final de la elección, excluyendo la aplicación de los métodos de cálculo de probabilidad estadística.</w:t>
      </w:r>
    </w:p>
    <w:p w:rsidR="00D06117" w:rsidRDefault="00D06117" w:rsidP="00D06117">
      <w:pPr>
        <w:pStyle w:val="TextoNormal"/>
      </w:pPr>
    </w:p>
    <w:p w:rsidR="00D06117" w:rsidRDefault="00D06117" w:rsidP="00D06117">
      <w:pPr>
        <w:pStyle w:val="TextoNormal"/>
      </w:pPr>
      <w:r>
        <w:lastRenderedPageBreak/>
        <w:t>Finalmente, habríamos de adentrarnos, en su caso, en el enjuiciamiento de las distintas vulneraciones aducidas del principio de igualdad (art. 14 CE), que no se pudieran subsumir en el derecho al sufragio pasivo reconocido en el art. 23.2 CE (por todas, STC 86/1987, de 1 de junio, FJ 4), tales como las relativas a las supuestas situaciones de desigualdad que se invocan en las demandas de amparo entre los electores inscritos en el censo de electores residentes ausentes de la circunscripción de occidente y los demás electores residentes en el territorio español o inscritos en el censo de electores residentes ausentes de las otras dos circunscripciones electorales en que se divide el territorio de la Comunidad Autónoma del Principado de Asturias en las elecciones a la Junta General.</w:t>
      </w:r>
    </w:p>
    <w:p w:rsidR="00D06117" w:rsidRDefault="00D06117" w:rsidP="00D06117">
      <w:pPr>
        <w:pStyle w:val="TextoNormal"/>
      </w:pPr>
    </w:p>
    <w:p w:rsidR="00D06117" w:rsidRDefault="00D06117" w:rsidP="00D06117">
      <w:pPr>
        <w:pStyle w:val="TextoNormal"/>
      </w:pPr>
      <w:r w:rsidRPr="00D06117">
        <w:rPr>
          <w:rStyle w:val="NumeroAFNegritaCaracter"/>
        </w:rPr>
        <w:t>5</w:t>
      </w:r>
      <w:r>
        <w:t>. La representación letrada de don Francisco González Méndez y la del Partido Socialista Obrero Español y de la candidatura presentada por esta formación política sostienen que la Sentencia recurrida vulnera el derecho a la tutela judicial efectiva (art. 24.1 CE) por no estar suficientemente motivada, a lo que añade, el primero, la denuncia de que el fallo judicial cuestiona la autonomía parlamentaria de la Cámara autonómica y se aparta del sometimiento al imperio de la ley, al no estar asistido el órgano judicial de potestades constitucionales para configurar y condicionar el equilibrio de las fuerzas políticas salido de las urnas.</w:t>
      </w:r>
    </w:p>
    <w:p w:rsidR="00D06117" w:rsidRDefault="00D06117" w:rsidP="00D06117">
      <w:pPr>
        <w:pStyle w:val="TextoNormal"/>
      </w:pPr>
    </w:p>
    <w:p w:rsidR="00D06117" w:rsidRDefault="00D06117" w:rsidP="00D06117">
      <w:pPr>
        <w:pStyle w:val="TextoNormal"/>
      </w:pPr>
      <w:r>
        <w:t>En relación con la alegada vulneración del art. 24.1 CE porque la Sentencia impugnada pudiera carecer de la motivación exigida por este precepto, puesto en conexión con el art. 120.3 CE, ha de traerse a colación la doctrina reiterada de este Tribunal, según la cual la exigencia de motivación de las resoluciones judiciales —que es inherente al derecho que todos tienen a obtener una tutela judicial efectiva, al principio del Estado democrático de Derecho y a una concepción de la legitimidad de la función jurisdiccional que se apoya en el carácter vinculante que para ésta tiene la ley— no supone que aquéllas hayan de ofrecer necesariamente una exhaustiva descripción del proceso intelectual que los jueces han llevado a cabo para decidir en un determinado sentido, ni tampoco requiere un determinado alcance o intensidad en el razonamiento empleado, ni consiente, finalmente, que pueda discutirse en este cauce de amparo la corrección jurídica interna de la fundamentación judicial, pues ello convertiría a este Tribunal en una especial forma de casación que controlara el ajuste de las Sentencias a la legalidad, lo que está notoriamente fuera de nuestra jurisdicción. A los efectos de su control constitucional, el requisito de la motivación debe entenderse cumplido si la Sentencia pone de manifiesto que la decisión adoptada responde a una concreta interpretación y aplicación del Derecho que hace posible su eventual revisión jurisdiccional a través de los recursos legalmente establecidos, todo ello independientemente de la parquedad o concentración del razonamiento empleado, siempre que éste permita conocer la argumentación que lleva a la decisión judicial, descartándose así el mero voluntarismo selectivo o la pura arbitrariedad (por todas, STC 25/1990, de 19 de febrero, FJ 5).</w:t>
      </w:r>
    </w:p>
    <w:p w:rsidR="00D06117" w:rsidRDefault="00D06117" w:rsidP="00D06117">
      <w:pPr>
        <w:pStyle w:val="TextoNormal"/>
      </w:pPr>
    </w:p>
    <w:p w:rsidR="00D06117" w:rsidRDefault="00D06117" w:rsidP="00D06117">
      <w:pPr>
        <w:pStyle w:val="TextoNormal"/>
      </w:pPr>
      <w:r>
        <w:t xml:space="preserve">A lo anterior ha de añadirse que nuestra jurisprudencia ha integrado el requisito del art. 120.3 CE, en sí mismo fuera del marco del amparo jurisdiccional del art. 53.2 CE, en el derecho a la tutela judicial efectiva, pero sin que ello comporte convertir a este Tribunal, vale reiterar, en una instancia casacional destinada a velar por la corrección interna de la interpretación judicial de la legalidad ordinaria, para lo cual este Tribunal Constitucional carece de jurisdicción. Ante nosotros no puede suscitarse la cuestión de si en este caso el Tribunal Superior de Justicia ha realizado o no una correcta interpretación de la Ley electoral suficientemente razonada y exenta de contradicciones internas o de saltos lógicos, a no </w:t>
      </w:r>
      <w:r>
        <w:lastRenderedPageBreak/>
        <w:t>ser que la interpretación efectuada haya redundado en una vulneración de otro derecho fundamental sustantivo, distinto al de la tutela judicial efectiva, en cuyo caso los errores interpretativos no constituirían violaciones del reconocido en el art. 24.1 CE, sino de otros derechos fundamentales, en este caso de los derechos reconocidos en el art. 23 CE. Cierto es que la jurisprudencia constitucional ha precisado que una aplicación de la legalidad que fuese arbitraria, manifiestamente irrazonada o irrazonable no podría considerarse fundada en Derecho y sería lesiva del derecho a la tutela judicial efectiva. Pero también lo es que la arbitrariedad, las contradicciones internas de una motivación o los errores lógicos de la misma deben distinguirse de la discrepancia, desde una instancia superior o desde la posición de parte de los recurrentes, con la forma de interpretar la legalidad puesta de manifiesto en una Sentencia explícita y razonada. Sólo si esa interpretación de la legalidad, en sí misma explícita, razonada y motivada en términos de Derecho, contuviera razonamientos y pronunciamientos lesivos de un derecho fundamental podría ser anulada en esta sede, pero por vulneradora de ese derecho sustantivo y no del derecho a la tutela judicial efectiva. De otro modo, todo error interpretativo judicial con trascendencia lesiva para cualquier derecho fundamental sería reconducible al marco del art. 24.1 CE, que, al mismo tiempo que se convertiría en un confuso cajón de sastre, perdería los perfiles que lo caracterizan, tal y como ha sido construido a través de la jurisprudencia de este Tribunal (STC 24/1990, de 15 de febrero, FJ 4; doctrina que reitera la STC 25/1990, de 19 de febrero, FJ 5).</w:t>
      </w:r>
    </w:p>
    <w:p w:rsidR="00D06117" w:rsidRDefault="00D06117" w:rsidP="00D06117">
      <w:pPr>
        <w:pStyle w:val="TextoNormal"/>
      </w:pPr>
    </w:p>
    <w:p w:rsidR="00D06117" w:rsidRDefault="00D06117" w:rsidP="00D06117">
      <w:pPr>
        <w:pStyle w:val="TextoNormal"/>
      </w:pPr>
      <w:r>
        <w:t>A la luz de la doctrina constitucional reseñada, no puede acogerse la denunciada lesión del derecho a la tutela judicial efectiva (art. 24.1 CE), pues la Sentencia recurrida, como permite apreciar su lectura, no carece de motivación suficiente, ni ésta es inadecuada para fundar el fallo. En ella el órgano judicial aprecia una irregularidad invalidante en la emisión de los controvertidos votos por correo de los electores del censo de electores residentes ausentes, con base en una interpretación razonada de la legislación electoral (at. 75.4 LOREG), expresando también las razones, a la luz asimismo de la normativa electoral y de los principios que la informan (art. 113 LOREG), por las que aquella irregularidad ha de determinar, a su criterio, la declaración de nulidad de la votación de la mesa electoral del censo de electores residentes ausentes en la circunscripción occidental y la repetición de la misma en orden a la adjudicación del sexto escaño de dicha circunscripción, así como los motivos por que los en este caso estima improcedente el recurso a cálculos de probabilidades estadísticos para determinar el sentido de los votos cuestionados. No cabe descartar que dicha fundamentación pueda ser considerada como contraria al derecho de sufragio —lo que se examinará seguidamente—, pero es indiscutible que la Sentencia impugnada recoge en su fundamentación unos razonamientos que, a partir de los hechos declarados probados y de la interpretación de la legislación electoral aplicable efectuada por el órgano judicial, conducen, sin manifiesta quiebra lógica, a la decisión judicial adoptada. Razonamientos y decisión de los que pueden obviamente discrepar los recurrentes, como hacen en sus demandas, pero sin que tal discrepancia alcance en modo alguno a configurar una tacha de inconstitucionalidad de la Sentencia por carencia de motivación, por lo que procede, en consecuencia, desestimar la denunciada lesión del derecho a la tutela judicial efectiva (art. 24.1 CE).</w:t>
      </w:r>
    </w:p>
    <w:p w:rsidR="00D06117" w:rsidRDefault="00D06117" w:rsidP="00D06117">
      <w:pPr>
        <w:pStyle w:val="TextoNormal"/>
      </w:pPr>
    </w:p>
    <w:p w:rsidR="00D06117" w:rsidRDefault="00D06117" w:rsidP="00D06117">
      <w:pPr>
        <w:pStyle w:val="TextoNormal"/>
      </w:pPr>
      <w:r>
        <w:t>De otra parte, sin necesidad de entrar en otro tipo de consideraciones, en modo alguno cabe apreciar que en este caso el órgano judicial se haya excedido de sus cometidos constitucionales, pues, en el ejercicio de la función constitucionalmente conferida ex art. 117.3 CE, se ha limitado a resolver un recurso legalmente previsto en el marco del proceso elec</w:t>
      </w:r>
      <w:r>
        <w:lastRenderedPageBreak/>
        <w:t>toral, en concreto, en la fase de proclamación de electos (art. 109 LOREG), cuyo conocimiento le ha sido conferido por el legislador (art. 112 LOREG), mediante una interpretación razonada y motivada de la legislación electoral vigente, sin que quepa atisbar indicio alguno de una intromisión indebida y constitucionalmente proscrita en la autonomía parlamentaria de la Cámara autonómica.</w:t>
      </w:r>
    </w:p>
    <w:p w:rsidR="00D06117" w:rsidRDefault="00D06117" w:rsidP="00D06117">
      <w:pPr>
        <w:pStyle w:val="TextoNormal"/>
      </w:pPr>
    </w:p>
    <w:p w:rsidR="00D06117" w:rsidRDefault="00D06117" w:rsidP="00D06117">
      <w:pPr>
        <w:pStyle w:val="TextoNormal"/>
      </w:pPr>
      <w:r w:rsidRPr="00D06117">
        <w:rPr>
          <w:rStyle w:val="NumeroAFNegritaCaracter"/>
        </w:rPr>
        <w:t>6</w:t>
      </w:r>
      <w:r>
        <w:t>. Las tres demandas de amparo coinciden en estimar vulnerados los derechos de sufragio activo y pasivo (art. 23.1 y 2 CE), de los electores inscritos en el censo de electores residentes ausentes de la circunscripción occidental y del candidato cuya proclamación como electo por dicha circunscripción fue anulada por la Sentencia recurrida, al declarar el órgano judicial que no debían ser computados los 332 votos controvertidos de los electores inscritos en el censo de electores residentes ausentes emitidos por correo, al haber dirigido la documentación electoral directamente a la junta electoral provincial, en vez de haberlo hecho a través de la correspondiente oficina consular de carrera o sección consular de la misión diplomática a la que cada elector estuviese adscrito, de conformidad con lo establecido en el art. 75.4 LOREG, en la redacción dada por la Ley Orgánica 2/2011, de 28 de enero. A juicio de los recurrentes, el órgano judicial ha efectuado una interpretación rigorista, literal y formalista del citado precepto legal, que no es conforme con los derechos fundamentales invocados ni con los principios de efectividad del derecho de sufragio, conservación de actos válidamente celebrados, proporcionalidad y búsqueda de la verdad material, al confundir la validez de los votos emitidos con la adecuación del cauce elegido para su remisión por correo, ya que los votos controvertidos satisfacían todas las garantías previstas en la ley para garantizar su autenticidad y origen, así como su remisión y recepción en los plazos legalmente establecidos.</w:t>
      </w:r>
    </w:p>
    <w:p w:rsidR="00D06117" w:rsidRDefault="00D06117" w:rsidP="00D06117">
      <w:pPr>
        <w:pStyle w:val="TextoNormal"/>
      </w:pPr>
    </w:p>
    <w:p w:rsidR="00D06117" w:rsidRDefault="00D06117" w:rsidP="00D06117">
      <w:pPr>
        <w:pStyle w:val="TextoNormal"/>
      </w:pPr>
      <w:r>
        <w:t>Como explícitamente se reconoce en la STC 24/1990, de 15 de febrero, existe una íntima conexión, en el caso de los cargos representativos, entre los derechos garantizados en los dos apartados del art. 23 CE, esto es, entre el derecho de sufragio activo y pasivo, la cual no puede desconocerse a la hora de interpretarlos, pues ambos derechos “son aspectos indisociables de una misma institución, nervio y sustento de la democracia: el sufragio universal, libre, igual, directo y secreto” (FJ 2), conforme al cual se realizan tanto las elecciones generales de las dos Cámaras que componen las Cortes Generales, como, en lo que aquí interesa, las de la Junta General del Principado de Asturias. Así lo viene entendiendo una constante y uniforme doctrina constitucional que, al realizar una interpretación conjunta del derecho de los ciudadanos a participar en los asuntos públicos por medio de representantes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(SSTC 71/1989, de 20 de abril, FJ 3; y 119/1995, de 17 de julio, FJ 2), lo que “permite concluir que tales derechos se circunscriben al ámbito de la legitimación democrática directa del Estado y de las distintas entidades territoriales que lo integran” (SSTC 119/1995, de 17 de julio FJ 3; y 153/2003, de 17 de julio, FJ 8).</w:t>
      </w:r>
    </w:p>
    <w:p w:rsidR="00D06117" w:rsidRDefault="00D06117" w:rsidP="00D06117">
      <w:pPr>
        <w:pStyle w:val="TextoNormal"/>
      </w:pPr>
    </w:p>
    <w:p w:rsidR="00D06117" w:rsidRDefault="00D06117" w:rsidP="00D06117">
      <w:pPr>
        <w:pStyle w:val="TextoNormal"/>
      </w:pPr>
      <w:r>
        <w:t xml:space="preserve">También hemos afirmado que el derecho de sufragio pasivo que consagra el art. 23.2 CE, en relación con el apartado 1 del mismo precepto, tiene como contenido esencial asegurar que accedan al cargo público aquellos candidatos que los electores hayan elegido como sus </w:t>
      </w:r>
      <w:r>
        <w:lastRenderedPageBreak/>
        <w:t>representantes, satisfaciéndose, por tanto, dicho derecho siempre que se mantenga la debida correlación entre la voluntad del cuerpo electoral y la proclamación de candidatos (STC 71/1989, de 20 de abril, FJ 4; doctrina que se reitera en la SSTC 153/2003, de 17 de julio, FJ 10; y 124/2011, de 14 de julio, FJ 2). De ello se sigue, como se declaró en la STC 26/1990, de 19 de febrero, que “la anulación o no cómputo de votos válidamente emitidos supone, sin duda, la negación del ejercicio y efectividad de ese derecho, no sólo a los votantes cuya voluntad queda suprimida e invalidada, sino también a los destinatarios o receptores de esos votos y, por ende, de la voluntad y preferencia de los electores”, de modo que “[e]l mantenimiento, por tanto, de esa voluntad expresada en votos válidos debe constituir criterio preferente a la hora de interpretar y aplicar las normas electorales” (FJ 6). En el mismo sentido, este Tribunal ha tenido ocasión de señalar que “decretar indebidamente la nulidad de una votación supone privar de voto a los electores afectados y, en su caso, privar a un candidato de acceder a un escaño al que pudiera tener derecho” (STC 131/1990, de 16 de julio, FJ 2).</w:t>
      </w:r>
    </w:p>
    <w:p w:rsidR="00D06117" w:rsidRDefault="00D06117" w:rsidP="00D06117">
      <w:pPr>
        <w:pStyle w:val="TextoNormal"/>
      </w:pPr>
    </w:p>
    <w:p w:rsidR="00D06117" w:rsidRDefault="00D06117" w:rsidP="00D06117">
      <w:pPr>
        <w:pStyle w:val="TextoNormal"/>
      </w:pPr>
      <w:r w:rsidRPr="00D06117">
        <w:rPr>
          <w:rStyle w:val="NumeroAFNegritaCaracter"/>
        </w:rPr>
        <w:t>7</w:t>
      </w:r>
      <w:r>
        <w:t>. Los derechos que integran el art. 23 CE son de configuración legal, lo que supone que han de ejercerse en el marco establecido por la LOREG, que los desarrolla y concreta, cuyas previsiones deben ser cumplidas en cuanto constituyen garantía del correcto desarrollo de la elección, de modo que culmine con la proclamación de los candidatos que hayan sido preferidos por el cuerpo electoral (SSTC 74/1995, de 12 de mayo, FJ único; 26/2004, de 26 de febrero, FJ 6; 125/2011, de 14 de julio, FJ 3). Pero, siendo esto así, en modo alguno resulta ocioso traer a colación una reiterada doctrina constitucional sobre los criterios o principios hermenéuticos que operan y resultan de aplicación en los procesos electorales, como son, a los efectos que ahora interesan, los principios de interpretación más favorable a la efectividad de los derechos fundamentales, (en este caso, a los derechos de sufragio), de conservación de los actos electorales válidamente celebrados, de proporcionalidad y, en fin, de conocimiento de la verdad material manifestada por los electores en las urnas.</w:t>
      </w:r>
    </w:p>
    <w:p w:rsidR="00D06117" w:rsidRDefault="00D06117" w:rsidP="00D06117">
      <w:pPr>
        <w:pStyle w:val="TextoNormal"/>
      </w:pPr>
    </w:p>
    <w:p w:rsidR="00D06117" w:rsidRDefault="00D06117" w:rsidP="00D06117">
      <w:pPr>
        <w:pStyle w:val="TextoNormal"/>
      </w:pPr>
      <w:r>
        <w:t>El principio de interpretación de la legalidad en el sentido más favorable a los derechos fundamentales ha sido reconocido reiteradamente por este Tribunal, tanto en términos generales, como a propósito de los derechos de sufragio activo y pasivo (SSTC 76/1987, de 25 de mayo, FJ 2; 24/1990, de 15 de febrero, FF JJ 2 y 6; 26/1990, de 19 de febrero, FF JJ 4 y 9; 87/1999, de 25 de mayo, FJ 3; 146/1999, de 27 de julio, FJ 6; y 153/2003, de 17 de julio, FJ 7). Respecto a estos derechos, hemos declarado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(STC 76/1987, de 25 de mayo, FJ 2; doctrina que reitera la STC 24/1990, de 15 de febrero, FJ 2).</w:t>
      </w:r>
    </w:p>
    <w:p w:rsidR="00D06117" w:rsidRDefault="00D06117" w:rsidP="00D06117">
      <w:pPr>
        <w:pStyle w:val="TextoNormal"/>
      </w:pPr>
    </w:p>
    <w:p w:rsidR="00D06117" w:rsidRDefault="00D06117" w:rsidP="00D06117">
      <w:pPr>
        <w:pStyle w:val="TextoNormal"/>
      </w:pPr>
      <w:r>
        <w:t xml:space="preserve">Asimismo, es menester recordar la especial relevancia que en el Derecho electoral tiene el principio de conservación de los actos válidamente celebrados, del que constituye una manifestación el preminente principio de conservación de los votos válidos (STC 26/1990, </w:t>
      </w:r>
      <w:r>
        <w:lastRenderedPageBreak/>
        <w:t>de 19 de febrero, FJ 6), lo que conduce a conservar el resultado del ejercicio de los derechos fundamentales de los electores (art. 23.1 CE) en todos aquellos casos en que no se vea afectado por las supuestas o reales irregularidades apreciadas, es decir, conservando todos aquellos actos jurídicos válidos que implican el ejercicio del derecho de sufragio activo de los electores respectivos [SSTC 169/1987, de 29 de octubre, FJ 4; 24/1990, de 15 de febrero, FJ 6; 25/1990, de 19 de febrero, FJ 6; y 26/1990, de 19 de febrero, FJ 11 a)]. Junto a este principio de conservación de actos jurídicos consistentes en el ejercicio de los derechos fundamentales, ha de tenerse presente, también, otro criterio hermenéutico aplicado con reiteración por este Tribunal en orden a los derechos fundamentales, como es el de la necesaria proporcionalidad entre unos actos y sus consecuencias cuando éstas afectan al ejercicio de derechos fundamentales [SSTC 24/1990, de 15 de febrero, FJ 6; y 26/1990, de 19 de febrero, FJ 11 a)]. Y, en fin, como también ha señalado este Tribunal, en los procesos electorales resulta prioritaria la exigencia del conocimiento de la verdad material manifestada en las urnas por los electores, puesto que a través de las elecciones se expresa la voluntad popular fundamento mismo del principio democrático que informa la Constitución (SSTC 157/1991, de 15 de julio, FJ 4; 146/1999, de 27 de julio, FJ 4; 153/2003, de 17 de julio, FJ 7; y 124/2011, de 14 de julio, FFJJ 4 y 5).</w:t>
      </w:r>
    </w:p>
    <w:p w:rsidR="00D06117" w:rsidRDefault="00D06117" w:rsidP="00D06117">
      <w:pPr>
        <w:pStyle w:val="TextoNormal"/>
      </w:pPr>
    </w:p>
    <w:p w:rsidR="00D06117" w:rsidRDefault="00D06117" w:rsidP="00D06117">
      <w:pPr>
        <w:pStyle w:val="TextoNormal"/>
      </w:pPr>
      <w:r w:rsidRPr="00D06117">
        <w:rPr>
          <w:rStyle w:val="NumeroAFNegritaCaracter"/>
        </w:rPr>
        <w:t>8</w:t>
      </w:r>
      <w:r>
        <w:t>. A la luz de la doctrina constitucional expuesta hemos de determinar, en primer lugar, si la Sentencia recurrida, al excluir del cómputo del escrutinio 332 emitidos por correo de electores inscritos en el censo de electores residentes ausentes, por haber dirigido la documentación electoral directamente a la Junta Electoral Provincial de Asturias, en vez de a través de la oficina consular de carrera o sección consular de la misión diplomática a la que cada elector estuviera adscrito, ha vulnerado, como sostienen los recurrentes y el Ministerio Fiscal, o no lo ha hecho, como sostiene la representación procesal del partido político Foro de Ciudadanos (FAC), los derechos de sufragio activo y pasivo reconocidos en el art. 23 CE.</w:t>
      </w:r>
    </w:p>
    <w:p w:rsidR="00D06117" w:rsidRDefault="00D06117" w:rsidP="00D06117">
      <w:pPr>
        <w:pStyle w:val="TextoNormal"/>
      </w:pPr>
    </w:p>
    <w:p w:rsidR="00D06117" w:rsidRDefault="00D06117" w:rsidP="00D06117">
      <w:pPr>
        <w:pStyle w:val="TextoNormal"/>
      </w:pPr>
      <w:r>
        <w:t>La Sala identifica como marco normativo para la resolución del recurso contencioso-electoral promovido por la representante general del partido político Foro de Ciudadanos el art. 75 LOREG, en la redacción dada por la ya citada Ley Orgánica 2/2011, de 28 de enero, precepto del que reproduce sus apartados 2, referido a la documentación que las oficinas de censo electoral tienen que remitir a los electores que hayan formulado solicitud de voto; 4, dedicado al voto por correo; 5, que tiene por objeto el voto en urna; y, en fin, 12, en el que se reconoce al Gobierno, previo informe de la Junta Electoral Central, la facultad de regular los criterios y limitar los supuestos de aplicación del citado precepto, así como para establecer otros procedimientos para el voto de los residentes ausentes cuando no sean practicables los previstos en el citado art. 75 LOREG. A continuación circunscribe la cuestión litigiosa a determinar la validez de 332 votos emitidos por correo de electores inscritos en el censo de electores residentes ausentes dirigidos directamente a la Junta Electoral Provincial de Asturias, toda vez que en el acta de la sesión de escrutinio “se hizo constar que el número de sobres de votación recibidos directamente ascendía a 351 de los cuales 332 fueron remitidos con sello de registro de entrada en plazo y 19 fuera de plazo y/o sin sello de registro de entrada de correos” (fundamento de Derecho segundo).</w:t>
      </w:r>
    </w:p>
    <w:p w:rsidR="00D06117" w:rsidRDefault="00D06117" w:rsidP="00D06117">
      <w:pPr>
        <w:pStyle w:val="TextoNormal"/>
      </w:pPr>
    </w:p>
    <w:p w:rsidR="00D06117" w:rsidRDefault="00D06117" w:rsidP="00D06117">
      <w:pPr>
        <w:pStyle w:val="TextoNormal"/>
      </w:pPr>
      <w:r>
        <w:t xml:space="preserve">Para la Sala, al haber mezclado la junta electoral provincial los votos recibidos directamente en la junta con los remitidos por vía diplomática o consular, “en cuanto puede alterar el resultado final de la elección, atenta a la exigencia garantista preconizada en la reforma </w:t>
      </w:r>
      <w:r>
        <w:lastRenderedPageBreak/>
        <w:t>de la LOREG por la Ley Orgánica 2/2011, al haber faltado al principio de verdad material, arrojando un grado de confusión, frente al mantenimiento de los principios de objetividad y pureza del proceso electoral que a la Junta corresponde hacer efectiva”. Se argumenta al respecto en la Sentencia impugnada que resulta claro el tenor del apartado 4 del art. 75 LOREG, que determina “taxativamente que el envío del sobre debe ser dirigido a la Oficina Consular de la Misión Diplomática a la que el elector esté adscrito” suponiendo “su incumplimiento … una vulneración del procedimiento legalmente establecido (artículo 120 de la LOREG y 62.1 de la Ley 30/1992, de Régimen Jurídico de las Administraciones Públicas y del Procedimiento Administrativo Común), máxime si lo ponemos en relación con la Exposición de Motivos de la citada reforma, en la que la referencia al procedimiento de votación del censo de españoles residentes en el exterior establece que se regula un procedimiento muy garantista, siendo por ello que el rigor ha de observarse, en los términos expuestos, en la exigencia del envío del sobre ‘dirigido a la Oficina Consular de Carrera o Sección Consular de la Misión Diplomática a la que el elector esté adscrito’”. La “necesidad de cohonestar —se afirma en la Sentencia— la obligación de emitir el voto en la forma legalmente establecida en el artículo 75.4 con los principios de conservación de actos válidamente celebrados, de interpretación más favorable a la plenitud del derecho de sufragio y de conocimiento de la verdad material manifestada en las urnas por los electores tampoco puede hacerse a costa de los requisitos formales de la emisión de voto con el rigor y la intensidad en el que ha sido configurado por el legislador en el artículo 75.4 LOREG, de modo que, en un orden lógico, a aquellos principios, debe preceder el respeto a los requisitos formales en la emisión de sufragio” (fundamento de Derecho tercero).</w:t>
      </w:r>
    </w:p>
    <w:p w:rsidR="00D06117" w:rsidRDefault="00D06117" w:rsidP="00D06117">
      <w:pPr>
        <w:pStyle w:val="TextoNormal"/>
      </w:pPr>
    </w:p>
    <w:p w:rsidR="00D06117" w:rsidRDefault="00D06117" w:rsidP="00D06117">
      <w:pPr>
        <w:pStyle w:val="TextoNormal"/>
      </w:pPr>
      <w:r>
        <w:t>Concluye la Sentencia, en el extremo que ahora nos ocupa, sosteniendo que “[e]s por ello que en la emisión de los votos discutidos dirigidos directamente a la Junta Electoral sin pasar por la Misión Diplomática o Consular, el elector al actuar como lo ha hecho, se ha apartado por razones únicamente a él imputables de las precisas reglas que en la legislación electoral regulan el ejercicio de votos de los residentes ausentes, meridianamente claras en la forma en que ha de ejercerse el voto, máxime teniendo en cuenta que en las instrucciones para realizar el voto por correo en las elecciones al Parlamento de Andalucía y Principado de Asturias (página 41 expediente administrativo) de los electores españoles residentes en el extranjero, señala cómo puede votar, o bien depositando personalmente su voto en la urna habilitada en el Consulado o Embajada en la que se encuentre inscrito del 21 al 23 de marzo ambos inclusive o remitiendo su voto por correo certificado al citado Consulado o Embajada, no más tarde del día 20 de marzo, siguiendo las instrucciones reguladas en cada caso, no posibilitando por ello la remisión directa del sobre a la competente Junta Electoral Provincial” (fundamento de Derecho cuarto).</w:t>
      </w:r>
    </w:p>
    <w:p w:rsidR="00D06117" w:rsidRDefault="00D06117" w:rsidP="00D06117">
      <w:pPr>
        <w:pStyle w:val="TextoNormal"/>
      </w:pPr>
    </w:p>
    <w:p w:rsidR="00D06117" w:rsidRDefault="00D06117" w:rsidP="00D06117">
      <w:pPr>
        <w:pStyle w:val="TextoNormal"/>
      </w:pPr>
      <w:r w:rsidRPr="00D06117">
        <w:rPr>
          <w:rStyle w:val="NumeroAFNegritaCaracter"/>
        </w:rPr>
        <w:t>9</w:t>
      </w:r>
      <w:r>
        <w:t>. Los demandantes de amparo entienden que el órgano judicial ha llevado a cabo, con el razonamiento anterior, una interpretación literal, rigorista y formalista del art. 75.4 LOREG que vulnera los derechos de sufragio del art. 23 CE y contraviene los principios de efectividad de estos derechos, de conservación de los actos válidamente celebrados, proporcionalidad y búsqueda de la verdad material, ya que los votos controvertidos satisfacían, dicen, todas las garantías previstas en la ley para preservar su autenticidad, origen y remisión y recepción en los plazos legalmente previstos, confundiéndose su validez con la adecuación del cauce seguido para su remisión a la junta electoral.</w:t>
      </w:r>
    </w:p>
    <w:p w:rsidR="00D06117" w:rsidRDefault="00D06117" w:rsidP="00D06117">
      <w:pPr>
        <w:pStyle w:val="TextoNormal"/>
      </w:pPr>
    </w:p>
    <w:p w:rsidR="00D06117" w:rsidRDefault="00D06117" w:rsidP="00D06117">
      <w:pPr>
        <w:pStyle w:val="TextoNormal"/>
      </w:pPr>
      <w:r>
        <w:lastRenderedPageBreak/>
        <w:t>El análisis y la solución de la queja sometida a nuestro enjuiciamiento exigen que este Tribunal, desde la perspectiva que le es propia, efectúe un examen del mencionado art. 75 de la LOREG y, en especial, de su apartado 4. Examen que, como dijimos en la STC 148/1999, de 4 de agosto (FJ 3), no puede ser eludido bajo la consideración de que se trate de cuestiones de legalidad ordinaria, pues, en la medida en que en este caso la interpretación de los preceptos legales es determinante de la suerte del derecho fundamental cuestionado, nos corresponde comprobar que la interpretación de la legalidad electoral realizada por el órgano judicial se ajusta a la Constitución (en el mismo sentido, SSTC 24/1990, de 15 de febrero, FJ 2; 26/1990, de 19 de febrero, FJ 4; 131/1990, de 16 de julio, FJ 2; y 153/2003, de 17 de julio, FJ 5). Como dijimos en la citada STC 24/1990, de 14 de febrero, “su carácter de derecho de configuración legal no nos puede hacer olvidar que los derechos del art. 23 CE y, en particular, el del 23.2, son derechos fundamentales”, no pudiendo “considerarse nunca ajeno a este Tribunal nada que concierna al ejercicio por los ciudadanos de los derechos que la Constitución les reconoce”, debiendo, en su condición de “intérprete supremo de la Constitución”,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(FJ 2).</w:t>
      </w:r>
    </w:p>
    <w:p w:rsidR="00D06117" w:rsidRDefault="00D06117" w:rsidP="00D06117">
      <w:pPr>
        <w:pStyle w:val="TextoNormal"/>
      </w:pPr>
    </w:p>
    <w:p w:rsidR="00D06117" w:rsidRDefault="00D06117" w:rsidP="00D06117">
      <w:pPr>
        <w:pStyle w:val="TextoNormal"/>
      </w:pPr>
      <w:r>
        <w:t>En esta misma línea de razonamiento, la STC 80/2002, de 8 de abril (FJ 4), recopilando anterior doctrina de este Tribunal, ha añadido la consideración de que el amparo solicitado en estos supuestos está ante todo al servicio de la preservación y protección de los derechos consagrados en el art. 23 CE y la determinación de si los mismos han sido o no respetados requiere también de una indagación de carácter sustantivo, que no se cumple, por tanto, con el simple reconocimiento de la razonable interpretación que hayan podido realizar las resoluciones judiciales impugnadas. De otro modo, toda interpretación de la legislación electoral que se tache de lesiva de un derecho fundamental de carácter sustantivo, como en este caso los derechos de sufragio activo y pasivo, sería indebidamente reconducida, como ya antes hemos señalado, al marco del derecho a la tutela judicial efectiva. En suma, en supuestos como el que ahora nos ocupa, “nos corresponde determinar, ‘incluso, si la valoración jurídica de los hechos llevada a cabo por los órganos judiciales’ ha ponderado adecuadamente los derechos fundamentales en juego” (STC 48/2000, de 24 de febrero, FJ 2; doctrina que reitera la STC 153/2003 de 17 de julio, FJ 5).</w:t>
      </w:r>
    </w:p>
    <w:p w:rsidR="00D06117" w:rsidRDefault="00D06117" w:rsidP="00D06117">
      <w:pPr>
        <w:pStyle w:val="TextoNormal"/>
      </w:pPr>
    </w:p>
    <w:p w:rsidR="00D06117" w:rsidRDefault="00D06117" w:rsidP="00D06117">
      <w:pPr>
        <w:pStyle w:val="TextoNormal"/>
      </w:pPr>
      <w:r>
        <w:t>Así pues, de acuerdo con lo hasta aquí expuesto, debemos analizar si la interpretación del art. 75 LOREG realizada en la Sentencia impugnada para excluir del cómputo del escrutinio los 332 votos por correo controvertidos de electores inscritos en el censo de electores residentes ausentes resulta conforme o no con los derechos reconocidos en el art. 23 CE, lo que requiere un examen, siquiera breve, de la regulación legal del voto de los electores inscritos en el repetido censo de electores residentes ausentes.</w:t>
      </w:r>
    </w:p>
    <w:p w:rsidR="00D06117" w:rsidRDefault="00D06117" w:rsidP="00D06117">
      <w:pPr>
        <w:pStyle w:val="TextoNormal"/>
      </w:pPr>
    </w:p>
    <w:p w:rsidR="00D06117" w:rsidRDefault="00D06117" w:rsidP="00D06117">
      <w:pPr>
        <w:pStyle w:val="TextoNormal"/>
      </w:pPr>
      <w:r w:rsidRPr="00D06117">
        <w:rPr>
          <w:rStyle w:val="NumeroAFNegritaCaracter"/>
        </w:rPr>
        <w:t>10</w:t>
      </w:r>
      <w:r>
        <w:t>. El art. 75 LOREG en su redacción anterior a la reforma introducida por la tanta veces citada Ley Orgánica 2/2011, de 28 de enero, contenía una regulación del ejercicio del voto de los electores inscritos en el censo de electores residentes ausentes a las elecciones a Diputados, Senadores, miembros de las Asambleas Legislativas de las Comunidades Autónomas y Diputados del Parlamento Europeo que difiere, en aspectos sustanciales, de la contenida en el reformado y vigente art. 75 LOREG.</w:t>
      </w:r>
    </w:p>
    <w:p w:rsidR="00D06117" w:rsidRDefault="00D06117" w:rsidP="00D06117">
      <w:pPr>
        <w:pStyle w:val="TextoNormal"/>
      </w:pPr>
    </w:p>
    <w:p w:rsidR="00D06117" w:rsidRDefault="00D06117" w:rsidP="00D06117">
      <w:pPr>
        <w:pStyle w:val="TextoNormal"/>
      </w:pPr>
      <w:r>
        <w:t>Eran entonces las delegaciones provinciales de la Oficina del Censo Electoral las que, de oficio, habían de enviar por correo certificado a los electores inscritos en el censo de electores residentes ausentes que viviesen en el extranjero un certificado de inscripción en el censo y las papeletas y sobres de la votación, así como un sobre en el que debía figurar la dirección de la junta electoral provincial, adjuntando a esta documentación una nota informativa (art. 75.1 LOREG). Los electores ejercían su derecho de voto de conformidad con el procedimiento previsto en la Ley Orgánica del régimen electoral general para el voto por correspondencia de los electores ausentes residentes en España, esto es, tenían que introducir la papeleta de voto en el sobre de votación y éste y el certificado de inscripción en el censo en el sobre dirigido a la junta electoral competente para el escrutinio. Este sobre podía ya remitirse a la junta electoral competente por correo certificado, no más tarde del día anterior al de la elección, ya ser entregado personalmente por el elector no más tarde del séptimo día anterior a la elección en la oficina consular de carrera o sección consular de la misión diplomática en que estuviera inscrito, para su remisión, mediante envío electoral, a la oficina que a estos efectos se constituía en el Ministerio de Asuntos Exteriores, el cual debía proceder al envío urgente de dichos sobres a las juntas electorales correspondientes. Concluía este apartado tercero del art. 75 LOREG disponiendo que “[e]n todos los supuestos regulados en el presente apartado será indispensable para la validez de estos votos que conste claramente en el sobre mencionado el matasellos u otra inscripción oficial de una Oficina de Correos del Estado en cuestión o, en su caso, de la Oficina Consular de Carrera o Sección Consular de la Misión Diplomática correspondiente, que certifique, de modo indubitable, el cumplimiento del requisito temporal que en cada caso se contempla”.</w:t>
      </w:r>
    </w:p>
    <w:p w:rsidR="00D06117" w:rsidRDefault="00D06117" w:rsidP="00D06117">
      <w:pPr>
        <w:pStyle w:val="TextoNormal"/>
      </w:pPr>
    </w:p>
    <w:p w:rsidR="00D06117" w:rsidRDefault="00D06117" w:rsidP="00D06117">
      <w:pPr>
        <w:pStyle w:val="TextoNormal"/>
      </w:pPr>
      <w:r>
        <w:t>La Ley 2/2011, de 28 de enero, modificó, como se ha dicho, diversos preceptos de la Ley Orgánica del régimen electoral general, entre ellos, en lo que a este amparo afecta, el mencionado art. 75, en el que introdujo novedades en cuanto al procedimiento de votación del censo de electores residentes ausentes, cuya vigente regulación, según se afirma en la exposición de motivos, obedece al seguimiento de “las instrucciones de la Junta Electoral Central”, destacándose, asimismo, el carácter “muy garantista” del procedimiento y como “importante novedad” el “permitir a los españoles que viven en el extranjero depositar el voto en urna en el consulado durante los tres últimos días de campaña, sin perjuicio de mantener el voto por correo para todos aquellos que no puedan desplazarse a votar en la dependencia habilitada al efecto”.</w:t>
      </w:r>
    </w:p>
    <w:p w:rsidR="00D06117" w:rsidRDefault="00D06117" w:rsidP="00D06117">
      <w:pPr>
        <w:pStyle w:val="TextoNormal"/>
      </w:pPr>
    </w:p>
    <w:p w:rsidR="00D06117" w:rsidRDefault="00D06117" w:rsidP="00D06117">
      <w:pPr>
        <w:pStyle w:val="TextoNormal"/>
      </w:pPr>
      <w:r>
        <w:t xml:space="preserve">Ha de destacarse asimismo que, frente a la anterior regulación, la vigente redacción del art. 75 LOREG exige a los españoles inscritos en el censo de electores residentes ausentes que vivan en el extranjero y que quieran ejercer su derecho de voto en las elecciones a Diputados, Senadores, miembros de las Asambleas Legislativas de las Comunidades Autónomas, miembros de las Asambleas de las Ciudades Autónoma de Ceuta y Melilla y Diputados al Parlamento Europeo que formulen “mediante impreso oficial la solicitud de voto dirigida a la correspondiente Delegación Provincial de la Oficina del Censo Electoral”, debiendo acompañar al impreso de solicitud “fotocopia del pasaporte o del Documento Nacional de Identidad, expedidos por las autoridades españolas o, en su defecto, certificación de nacionalidad o de inscripción en el Registro de Matrícula Consular expedidas por el Consulado de España en el país de residencia” (art. 75.1 LOREG). Recibida dicha solicitud, las delegaciones provinciales de la Oficina del Censo Electoral deberán remitir por correo certificado a la dirección de la inscripción del elector “las papeletas y el sobre o sobres de </w:t>
      </w:r>
      <w:r>
        <w:lastRenderedPageBreak/>
        <w:t>votación, dos certificados idénticos de estar inscrito en el Censo de Residentes Ausentes, así como un sobre en el que deben figurar la dirección de la Junta Electoral competente y otro con la dirección de la Oficina Consular de Carrera o Sección Consular de la Misión Diplomática en la que estén inscritos” (art. 75.2 LOREG).</w:t>
      </w:r>
    </w:p>
    <w:p w:rsidR="00D06117" w:rsidRDefault="00D06117" w:rsidP="00D06117">
      <w:pPr>
        <w:pStyle w:val="TextoNormal"/>
      </w:pPr>
    </w:p>
    <w:p w:rsidR="00D06117" w:rsidRDefault="00D06117" w:rsidP="00D06117">
      <w:pPr>
        <w:pStyle w:val="TextoNormal"/>
      </w:pPr>
      <w:r>
        <w:t>Los electores pueden optar entre ejercer su derecho de voto por correo o en las urnas habilitadas en las oficinas consulares o en los lugares que al efecto se dispongan. En el primer caso, el elector debe incluir en el sobre dirigido a la junta electoral correspondiente, junto al sobre o sobres de votación y el certificado de estar inscrito en el censo, fotocopia del pasaporte o del documento nacional de identidad expedidos por las autoridades españolas o, en su defecto, certificación de nacionalidad o certificación de inscripción en el registro de matrícula consular expedidas por el Consulado de España en el país de residencia “y enviar todo ello en el sobre dirigido a la Oficina Consular de Carrera o Sección Consular de la Misión Diplomática a la que el elector esté adscrito, por correo certificado no más tarde del quinto día anterior al de la elección” (art. 75.4 LOREG).</w:t>
      </w:r>
    </w:p>
    <w:p w:rsidR="00D06117" w:rsidRDefault="00D06117" w:rsidP="00D06117">
      <w:pPr>
        <w:pStyle w:val="TextoNormal"/>
      </w:pPr>
    </w:p>
    <w:p w:rsidR="00D06117" w:rsidRDefault="00D06117" w:rsidP="00D06117">
      <w:pPr>
        <w:pStyle w:val="TextoNormal"/>
      </w:pPr>
      <w:r>
        <w:t>Y, en fin, el apartado 9 del art. 75 LOREG, de tenor literal sustancialmente idéntico al inciso final del anterior art. 75.3 LOREG establece que “[e]n todos los supuestos regulados en el presente artículo será indispensable para la validez de estos votos que conste claramente en el sobre mencionado un matasellos u otra inscripción oficial de una Oficina de Correos del Estado en cuestión o, en su caso, de la Oficina Consular de Carrera o Sección Consular de la Misión Diplomática correspondiente, que certifique, de modo indubitable, el cumplimiento del requisito temporal que en cada caso se contempla”.</w:t>
      </w:r>
    </w:p>
    <w:p w:rsidR="00D06117" w:rsidRDefault="00D06117" w:rsidP="00D06117">
      <w:pPr>
        <w:pStyle w:val="TextoNormal"/>
      </w:pPr>
    </w:p>
    <w:p w:rsidR="00D06117" w:rsidRDefault="00D06117" w:rsidP="00D06117">
      <w:pPr>
        <w:pStyle w:val="TextoNormal"/>
      </w:pPr>
      <w:r w:rsidRPr="00D06117">
        <w:rPr>
          <w:rStyle w:val="NumeroAFNegritaCaracter"/>
        </w:rPr>
        <w:t>11</w:t>
      </w:r>
      <w:r>
        <w:t xml:space="preserve">. La descripción que antecede resulta necesaria para dar cuenta de la ordenación establecida en el art. 75 LOREG y de las innovaciones que la misma introduce respecto a la regulación anterior, todo ello a fin de enjuiciar, en su debido contexto constitucional y legal, la resolución judicial impugnada. En ella se ha decidido la exclusión de los votos controvertidos por la única consideración de que los mismos fueron remitidos directamente por los electores inscritos en el censo de electores residentes ausentes a la junta electoral provincial, en lugar de haberlo hecho a través de la oficina consular de carrera o sección consular de la misión diplomática a la que estuviera adscrito cada elector, de conformidad con lo establecido en el art 75.4 LOREG. En ningún momento se cuestiona por el órgano judicial, ni lo ha hecho ninguna de las partes en el proceso a quo, ni antes en la vía administrativa previa con ocasión de las reclamaciones formuladas ante la junta electoral provincial y ante la Junta Electoral Central, que dichos votos incumplieran otro u otros de los demás requisitos establecidos en el art. 75 LOREG para el ejercicio del derecho del voto por los electores residentes en el extranjero inscritos en el censo de electores residentes ausentes. De tal modo que ni se ha cuestionado la autenticidad de dichos votos, ni su origen, ni la identidad de los electores ni, en fin, el cumplimiento de los plazos legalmente previstos para la emisión del voto y su recepción en la junta electoral correspondiente mediante el sello de registro de las oficinas de correos en las que fueron presentados. Resulta acreditado, por lo tanto, que dichos votos se emitieron “por correo certificado no más tarde del quinto día anterior al día de la elección”, como dispone el art. 75.4 in fine LOREG, y que fueron recibidos en la junta electoral provincial antes del escrutinio general, como establece el art. 75.11 LOREG. En este sentido, en la propia Sentencia se deja constancia de que “los votos controvertidos fueron remitidos con sello de registro de entrada en plazo” y de que en el acto de escrutinio la junta electoral excluyó del cómputo 19 votos emitidos por correo certificado de electores </w:t>
      </w:r>
      <w:r>
        <w:lastRenderedPageBreak/>
        <w:t>inscritos en el censo de electores residentes ausentes dirigidos también directamente a la junta electoral al haber sido remitidos “fuera de plazo y/o sin sello de registro de entrada de correos” (fundamento de Derecho segundo).</w:t>
      </w:r>
    </w:p>
    <w:p w:rsidR="00D06117" w:rsidRDefault="00D06117" w:rsidP="00D06117">
      <w:pPr>
        <w:pStyle w:val="TextoNormal"/>
      </w:pPr>
    </w:p>
    <w:p w:rsidR="00D06117" w:rsidRDefault="00D06117" w:rsidP="00D06117">
      <w:pPr>
        <w:pStyle w:val="TextoNormal"/>
      </w:pPr>
      <w:r>
        <w:t>Las precedentes consideraciones sobre las cuestiones suscitadas en la vía administrativa electoral y en el proceso contencioso-electoral y, por tanto, sobre el alcance y los términos de la cuestión litigiosa planteada ante las juntas electorales y ante el órgano judicial, resultan pertinentes en orden a poner de manifiesto el carácter per saltum que en esta sede constitucional reviste la alegación que en su escrito efectúa la representante general del partido político Foro de Ciudadanos (FAC), en el que califica de “suficientemente sospechosa la práctica coincidencia entre el número de votos por correo de electores del CERA [censo de electores residentes ausentes] que no pasaron por la Oficina Consular correspondientes y que indebidamente fueron computados”, concluyendo que “es evidente que no nos encontramos ante meras irregularidades formales sino que el voto de esos 334 electores ha sido evidentemente suplantado”. Esta supuesta suplantación de voto que ahora denuncia la representante electoral general de aquella formación política no fue planteada en la vía administrativa ni en la judicial que han precedido al presente proceso de amparo electoral, de modo que este Tribunal nada debe ni puede decir respecto a la misma, al margen de otras consideraciones, al suscitarse ante él sin haberla deducido antes en la vía judicial precedente (por todas, SSTC 82/1987, de 27 de mayo, FJ 1; 59/1987, de 19 de mayo, FJ 1; y 1/1988, de 13 de enero, FF JJ 1 y 2).</w:t>
      </w:r>
    </w:p>
    <w:p w:rsidR="00D06117" w:rsidRDefault="00D06117" w:rsidP="00D06117">
      <w:pPr>
        <w:pStyle w:val="TextoNormal"/>
      </w:pPr>
    </w:p>
    <w:p w:rsidR="00D06117" w:rsidRDefault="00D06117" w:rsidP="00D06117">
      <w:pPr>
        <w:pStyle w:val="TextoNormal"/>
      </w:pPr>
      <w:r w:rsidRPr="00D06117">
        <w:rPr>
          <w:rStyle w:val="NumeroAFNegritaCaracter"/>
        </w:rPr>
        <w:t>12</w:t>
      </w:r>
      <w:r>
        <w:t>. Nuestro enjuiciamiento ha de contraerse en relación con la queja que ahora nos ocupa y desde el limitado ámbito del recurso de amparo electoral, a constatar si en el presente caso, atendiendo a las circunstancias que en él concurren, la decisión de excluir del escrutinio los controvertidos 332 votos emitidos por correo por electores residentes ausentes por haberlos dirigido directamente a la junta electoral, en vez de remitirlos, como dispone el art. 75.4 LOREG, a través de la oficina consular de carrera o sección consular de la misión diplomática, ha vulnerado o no los derechos de sufragio recogidos en los dos apartados del art. 23 CE.</w:t>
      </w:r>
    </w:p>
    <w:p w:rsidR="00D06117" w:rsidRDefault="00D06117" w:rsidP="00D06117">
      <w:pPr>
        <w:pStyle w:val="TextoNormal"/>
      </w:pPr>
    </w:p>
    <w:p w:rsidR="00D06117" w:rsidRDefault="00D06117" w:rsidP="00D06117">
      <w:pPr>
        <w:pStyle w:val="TextoNormal"/>
      </w:pPr>
      <w:r>
        <w:t>Es evidente que una lectura atenta y sistemática de las normas contenidas en el nuevo art. 75 LOREG lleva a la conclusión de que el voto por correo de los electores inscritos en el censo de electores residentes ausentes debe hacerse, en todo caso, a través de la oficina consular de carrera o sección consular de la misión diplomática a la que el elector estuviera adscrito, y no por remisión directa del elector a la junta electoral, de modo tal que puede y debe afirmarse que esa remisión directa de dicho voto por el elector a la junta electoral correspondiente constituye una clara irregularidad (art. 75.4 LOREG).</w:t>
      </w:r>
    </w:p>
    <w:p w:rsidR="00D06117" w:rsidRDefault="00D06117" w:rsidP="00D06117">
      <w:pPr>
        <w:pStyle w:val="TextoNormal"/>
      </w:pPr>
    </w:p>
    <w:p w:rsidR="00D06117" w:rsidRDefault="00D06117" w:rsidP="00D06117">
      <w:pPr>
        <w:pStyle w:val="TextoNormal"/>
      </w:pPr>
      <w:r>
        <w:t xml:space="preserve">Con la perspectiva de control que compete a este Tribunal en el proceso de amparo electoral ningún reproche merece, desde la óptica de los derechos fundamentales en juego, la decisión del legislador de imponer que el voto por correo de los electores inscritos en el censo de electores residentes ausentes deba remitirse, siempre y en todo caso, a través de la oficina consular de carrera o sección consular de la misión diplomática a la que cada elector esté adscrito; tampoco merece reproche alguno la consecuencia de nulidad o de invalidez del voto que el incumplimiento de esa imposición legal conlleva, por más que dicho efecto no quede explícitamente recogido en la propia LOREG (art. 96). Nada puede objetarse, por </w:t>
      </w:r>
      <w:r>
        <w:lastRenderedPageBreak/>
        <w:t>consiguiente, a la invalidación de los sufragios remitidos, sin mediación consular directamente a la junta electoral, en cuanto que incumplen lo exigido por el art. 75.4 LOREG.</w:t>
      </w:r>
    </w:p>
    <w:p w:rsidR="00D06117" w:rsidRDefault="00D06117" w:rsidP="00D06117">
      <w:pPr>
        <w:pStyle w:val="TextoNormal"/>
      </w:pPr>
    </w:p>
    <w:p w:rsidR="00D06117" w:rsidRDefault="00D06117" w:rsidP="00D06117">
      <w:pPr>
        <w:pStyle w:val="TextoNormal"/>
      </w:pPr>
      <w:r>
        <w:t>En coherencia con lo anterior, desde la función fiscalizadora que nos corresponde en este proceso, debe concluirse que la decisión del Tribunal Superior de Justicia de anular o invalidar del cómputo del escrutinio los 332 votos controvertidos, por no haber sido remitidos en la forma legalmente prevista, materializa el efecto invalidante o anulatorio del voto irregularmente emitido, por incumplimiento de la regulación aplicable, regulación que expresa una opción legislativa, según se ha dicho, conforme con los derechos fundamentales a considerar en esta materia. Tales consideraciones se sustentan en la configuración ya apuntada de los derechos fundamentales del art. 23 CE como derechos de mediación legal que encuentran su regulación fundamental en la Ley Orgánica del régimen electoral general, la cual articula, en palabras de su preámbulo, “el procedimiento de emanación de la voluntad mayoritaria del pueblo en las distintas instancias representativas en que se articula el Estado español” y en tal sentido es obligado integrar en aquellos derechos el cumplimiento de las normas electorales en cuanto constituye garantía del correcto desarrollo de la elección de modo que culmine con la proclamación de los candidatos que hayan sido preferidos por el cuerpo electoral (ibídem). El contenido de los derechos del art. 23 CE dependerá, por tanto, de la normativa que los regule y, por ello, los cambios que se produzcan en esta regulación pueden incidir, como ha acontecido en este caso, en el contenido del derecho o en las condiciones de su ejercicio (STC 124/2011, de 14 de julio, FJ 3).</w:t>
      </w:r>
    </w:p>
    <w:p w:rsidR="00D06117" w:rsidRDefault="00D06117" w:rsidP="00D06117">
      <w:pPr>
        <w:pStyle w:val="TextoNormal"/>
      </w:pPr>
    </w:p>
    <w:p w:rsidR="00D06117" w:rsidRDefault="00D06117" w:rsidP="00D06117">
      <w:pPr>
        <w:pStyle w:val="TextoNormal"/>
      </w:pPr>
      <w:r w:rsidRPr="00D06117">
        <w:rPr>
          <w:rStyle w:val="NumeroAFNegritaCaracter"/>
        </w:rPr>
        <w:t>13</w:t>
      </w:r>
      <w:r>
        <w:t>. La conclusión alcanzada en modo alguno resulta desvirtuada por la novedad que pudo haber supuesto la relativamente reciente reforma del art. 75 LOREG por la Ley Orgánica 2/2011, de 28 de febrero, o por las dudas interpretativas que pudiera suscitar el citado precepto legal.</w:t>
      </w:r>
    </w:p>
    <w:p w:rsidR="00D06117" w:rsidRDefault="00D06117" w:rsidP="00D06117">
      <w:pPr>
        <w:pStyle w:val="TextoNormal"/>
      </w:pPr>
    </w:p>
    <w:p w:rsidR="00D06117" w:rsidRDefault="00D06117" w:rsidP="00D06117">
      <w:pPr>
        <w:pStyle w:val="TextoNormal"/>
      </w:pPr>
      <w:r>
        <w:t>Es evidente que la vigente redacción del art. 75.4 LOREG, al imponer que el voto por correo de los electores residentes ausentes inscritos en el censo de electores residentes ausentes se dirija a la oficina consular de carrera o sección consular de la misión diplomática, viene a modificar una práctica asentada durante décadas en relación con el procedimiento para el ejercicio del derecho de voto por los electores inscritos en el censo de electores residentes ausentes y, en particular, con el voto por correo a la junta electoral, que era la única modalidad de voto por correo prevista, si bien se ofrecía al elector la opción entre remitir directamente el voto a la junta electoral correspondiente o entregarlo personalmente en las oficinas consulares en que estuvieran adscritos para que éstas, a través del Ministerio de Asuntos Exteriores, lo remitiesen a la junta electoral. Ahora bien, aunque relativamente novedosa, dado el lapso de tiempo transcurrido, apenas año y medio, desde la aprobación de la Ley Orgánica 2/2011 hasta la celebración del proceso electoral del que trae causa el recurso de amparo que nos ocupa, se han celebrado ya dos procesos electorales correspondientes a las elecciones autonómicas y municipales de mayo de 2011 y al Congreso de los Diputados y al Senado de noviembre de 2011, en los que ciertamente pudieron participar quienes ahora han visto anulados o invalidados sus votos por la resolución judicial recurrida en amparo. Dichos procesos electorales se desarrollaron ya bajo la vigencia de la reforma legislativa sobre el procedimiento de emisión del voto por correo de los electores inscritos en el censo de electores residentes ausentes, por lo que la novedad de la reforma necesariamente ha de relativizarse.</w:t>
      </w:r>
    </w:p>
    <w:p w:rsidR="00D06117" w:rsidRDefault="00D06117" w:rsidP="00D06117">
      <w:pPr>
        <w:pStyle w:val="TextoNormal"/>
      </w:pPr>
    </w:p>
    <w:p w:rsidR="00D06117" w:rsidRDefault="00D06117" w:rsidP="00D06117">
      <w:pPr>
        <w:pStyle w:val="TextoNormal"/>
      </w:pPr>
      <w:r>
        <w:lastRenderedPageBreak/>
        <w:t>En segundo lugar, no puede descartarse que el contenido normativo del nuevo art. 75 LOREG, mucho más extenso y denso respecto a su redacción anterior, pudiera conducir a ciertas confusiones a un elector medio, en particular, si se realizara una lectura aislada y asistemática de su apartado 9, toda vez que tal apartado se mantiene, en términos sustancialmente idénticos a la redacción anterior a las modificaciones introducidas por la Ley Orgánica 2/2011, de 28 de enero, en la que se contemplaba la posibilidad de que el elector remitiese el voto por correo ya a través de las oficinas consulares, ya directamente a través de las oficinas de correos.</w:t>
      </w:r>
    </w:p>
    <w:p w:rsidR="00D06117" w:rsidRDefault="00D06117" w:rsidP="00D06117">
      <w:pPr>
        <w:pStyle w:val="TextoNormal"/>
      </w:pPr>
    </w:p>
    <w:p w:rsidR="00D06117" w:rsidRDefault="00D06117" w:rsidP="00D06117">
      <w:pPr>
        <w:pStyle w:val="TextoNormal"/>
      </w:pPr>
      <w:r>
        <w:t>Ahora bien, frente a la reseñada modificación cuya novedad necesariamente ha de relativizarse y la supuesta duda interpretativa, ha de alzarse, en primer término, la consideración de que ha sido el legislador, en el ejercicio legítimo de la función constitucionalmente conferida ex arts. 66 y 81 CE, quien ha configurado en el extremo que ahora importa el procedimiento del ejercicio del derecho de voto por correo de los electores residentes ausentes y que dicha configuración, como ya hemos señalado, no merece reproche constitucional alguno desde la perspectiva de los derechos fundamentales en juego. Si alguna duda pudiera suscitar su regulación como pudiera poner de manifiesto una práctica contra legem como la aquí considerada, es al propio legislador a quien, ante todo, le corresponde despejar aquellas dudas o clarificar los preceptos cuya redacción pueda provocar alguna confusión, y, en última instancia, a los órganos judiciales en el ejercicio de la función jurisdiccional conferida (art. 117.5 CE).</w:t>
      </w:r>
    </w:p>
    <w:p w:rsidR="00D06117" w:rsidRDefault="00D06117" w:rsidP="00D06117">
      <w:pPr>
        <w:pStyle w:val="TextoNormal"/>
      </w:pPr>
    </w:p>
    <w:p w:rsidR="00D06117" w:rsidRDefault="00D06117" w:rsidP="00D06117">
      <w:pPr>
        <w:pStyle w:val="TextoNormal"/>
      </w:pPr>
      <w:r>
        <w:t>Junto a ello, tampoco puede dejar de resaltarse, en segundo término, que en el procedimiento electoral del que trae causa este proceso de amparo los electores inscritos en el censo de electores residentes ausentes conocían, ciertamente, que su voto por correo debía dirigirse a la oficina consular de carrera o sección consular de la misión diplomática a la que estuvieran adscritos, no sólo porque así lo prescribe y resulta de una interpretación sistemática de la Ley Orgánica del régimen electoral general (art. 75.4 LOREG), sino también porque tal fue la indicación que recibieron cuando se les remitió la correspondiente documentación electoral (art. 75.2 LOREG), según consta en las actuaciones y declara acreditado la Sentencia recurrida. En efecto, en la “Información para realizar el voto por correo en las elecciones al Parlamento de Andalucía y Principado de Asturias”, que figura en el expediente administrativo y al que hace expresa referencia la Sentencia impugnada (fundamento de Derecho cuarto), se informa a los electores inscritos en el censo de electores residentes ausentes de la opción de ejercer su derecho de voto, conforme a la vigente redacción del art. 75 LOREG, ya personalmente en la urna habilitada en el consulado o embajada en la que se encuentren inscritos, ya remitiendo su voto por correo certificado al citado consulado o embajada.</w:t>
      </w:r>
    </w:p>
    <w:p w:rsidR="00D06117" w:rsidRDefault="00D06117" w:rsidP="00D06117">
      <w:pPr>
        <w:pStyle w:val="TextoNormal"/>
      </w:pPr>
    </w:p>
    <w:p w:rsidR="00D06117" w:rsidRDefault="00D06117" w:rsidP="00D06117">
      <w:pPr>
        <w:pStyle w:val="TextoNormal"/>
      </w:pPr>
      <w:r>
        <w:t>Los electores inscritos en el censo de electores residentes ausentes habían sido correctamente informados, por tanto, por la Administración electoral del procedimiento para ejercer su voto por correo, de conformidad con las previsiones de la Ley Orgánica del régimen electoral general.</w:t>
      </w:r>
    </w:p>
    <w:p w:rsidR="00D06117" w:rsidRDefault="00D06117" w:rsidP="00D06117">
      <w:pPr>
        <w:pStyle w:val="TextoNormal"/>
      </w:pPr>
    </w:p>
    <w:p w:rsidR="00D06117" w:rsidRDefault="00D06117" w:rsidP="00D06117">
      <w:pPr>
        <w:pStyle w:val="TextoNormal"/>
      </w:pPr>
      <w:r w:rsidRPr="00D06117">
        <w:rPr>
          <w:rStyle w:val="NumeroAFNegritaCaracter"/>
        </w:rPr>
        <w:t>14</w:t>
      </w:r>
      <w:r>
        <w:t xml:space="preserve">. La apreciación por algunos electores de que la remisión directa por el propio elector del voto por correo no era una opción legalmente excluida o, cuando menos, no sancionable con la nulidad del sufragio, pudo nacer también de los precedentes acuerdos de la Junta Electoral Central, no discutidos judicialmente hasta el proceso electoral del que proviene el </w:t>
      </w:r>
      <w:r>
        <w:lastRenderedPageBreak/>
        <w:t>presente recurso de amparo (indirectamente, a través de la resolución de la Presidencia de la Junta Electoral Central de 27 de marzo de 2012, en los que hizo público su criterio de que la remisión directa del voto por el elector inscrito en el censo de electores residentes ausentes a la junta electoral competente debía ser considerada como “una irregularidad excepcionalmente no invalidante”).</w:t>
      </w:r>
    </w:p>
    <w:p w:rsidR="00D06117" w:rsidRDefault="00D06117" w:rsidP="00D06117">
      <w:pPr>
        <w:pStyle w:val="TextoNormal"/>
      </w:pPr>
    </w:p>
    <w:p w:rsidR="00D06117" w:rsidRDefault="00D06117" w:rsidP="00D06117">
      <w:pPr>
        <w:pStyle w:val="TextoNormal"/>
      </w:pPr>
      <w:r>
        <w:t>En efecto, la Junta Electoral Central, en el ejercicio de la funciones que le confiere el art. 19 LOREG, en sesiones celebradas los días 22 de mayo y 20 de noviembre de 2011, con ocasión de la convocatoria de elecciones municipales y a las Asambleas Legislativas de determinadas Comunidades Autónomas celebradas el 22 de mayo de 2011, entre ellas a la Junta General del Principado de Asturias, y de la convocatoria de elecciones al Congreso de los Diputados y Senado celebradas el 20 de noviembre de 2011, adoptó sendos acuerdos, publicados en su página web, conforme a los cuales, “en aras de una interpretación más favorable al ejercicio del derecho fundamental de participación política [entendió] que las Juntas Electorales Provinciales deberán considerar como una irregularidad excepcionalmente no invalidante el supuesto en el que el voto [por correo] de los electores inscritos en el CERA sea remitido directamente a la Junta Electoral competente”, en vez, como dispone el art. 75.4 LOREG, al correspondiente consulado. “En estos supuestos —continúan los citados acuerdos— las citadas Juntas procederán a su escrutinio previa comprobación de la identidad del elector y de los demás requisitos establecidos en el artículo 75 de la LOREG. En particular verificarán que conste en el sobre en el que se remite la documentación electoral un matasellos u otra inscripción oficial de una Oficina de Correos del Estado en el que resida el elector que certifique, de modo indubitable, que ha sido remitido no más tarde del quinto día anterior al día de la elección de conformidad con lo dispuesto en los apartados 4 y 9 del referido artículo 75 de la LOREG”. En tales precedentes acuerdos de la Junta Electoral Central bien pudieron fundar algunos electores inscritos en el censo de electores residentes ausentes la idea de validez o, cuando menos, no nulidad del voto por correo dirigido directamente a la junta electoral.</w:t>
      </w:r>
    </w:p>
    <w:p w:rsidR="00D06117" w:rsidRDefault="00D06117" w:rsidP="00D06117">
      <w:pPr>
        <w:pStyle w:val="TextoNormal"/>
      </w:pPr>
    </w:p>
    <w:p w:rsidR="00D06117" w:rsidRDefault="00D06117" w:rsidP="00D06117">
      <w:pPr>
        <w:pStyle w:val="TextoNormal"/>
      </w:pPr>
      <w:r>
        <w:t>Sin embargo, el tenor de tales acuerdos tampoco puede desvirtuar la conclusión alcanzada y ya expuesta: que la resolución judicial impugnada no ha resultado lesiva de los derechos del art. 23 CE, especialmente concernidos en este caso, al estimar nulos o inválidos los votos controvertidos por no haber sido remitidos por el procedimiento previsto por el legislador en el art. 75.4 LOREG.</w:t>
      </w:r>
    </w:p>
    <w:p w:rsidR="00D06117" w:rsidRDefault="00D06117" w:rsidP="00D06117">
      <w:pPr>
        <w:pStyle w:val="TextoNormal"/>
      </w:pPr>
    </w:p>
    <w:p w:rsidR="00D06117" w:rsidRDefault="00D06117" w:rsidP="00D06117">
      <w:pPr>
        <w:pStyle w:val="TextoNormal"/>
      </w:pPr>
      <w:r>
        <w:t xml:space="preserve">Se opone a ello, en primer término, la argumentación recogida en el fundamento jurídico 12 de la presente resolución. En todo caso, no puede desconocerse que los citados acuerdos, incluso en su propia literalidad, están referidos cada uno de ellos a sendos y específicos procesos electorales previos, distintos al concerniente a este recurso de amparo. En el presente recurso no se cuenta ya con una decisión de la Junta Electoral Central, sino con una resolución de su Presidente, que remite al contenido de aquellos acuerdos previos, reiterando lo decidido en ellos, pese a que se dicta en una fecha posterior al momento de la emisión del voto por los electores inscritos en el censo de electores residentes ausentes, resolución revocada por el órgano jurisdiccional en la Sentencia recurrida en amparo. Consta por otro lado en las actuaciones, que la Administración electoral, como se recoge en la Sentencia impugnada, informó a los electores, de acuerdo con lo dispuesto en el art. 75.2 LOREG y en los términos establecidos en su apartado 4, de la forma de ejercitar su derecho </w:t>
      </w:r>
      <w:r>
        <w:lastRenderedPageBreak/>
        <w:t>de voto si optaban por el sufragio por correo, esto es, mediante su envío a la oficina consular de carrera o sección consular de la misión diplomática.</w:t>
      </w:r>
    </w:p>
    <w:p w:rsidR="00D06117" w:rsidRDefault="00D06117" w:rsidP="00D06117">
      <w:pPr>
        <w:pStyle w:val="TextoNormal"/>
      </w:pPr>
    </w:p>
    <w:p w:rsidR="00D06117" w:rsidRDefault="00D06117" w:rsidP="00D06117">
      <w:pPr>
        <w:pStyle w:val="TextoNormal"/>
      </w:pPr>
      <w:r>
        <w:t>En definitiva, en el ejercicio de la función fiscalizadora que este Tribunal tiene encomendada en el proceso de amparo electoral ningún reproche puede merecer desde la perspectiva de los derechos fundamentales en juego, como pretenden los recurrentes, la decisión del órgano judicial de no computar en el escrutinio por ser nulos o inválidos los 332 votos controvertidos de los electores inscritos en el censo de electores residentes ausentes, al haber sido dirigidos directamente a la junta electoral provincial, en vez de haberse remitido, en aplicación de lo dispuesto en el art. 75.4 LOREG, a través de la oficina consular de carrera o sección consular de la misión diplomática a la que cada elector estuviera adscrito.</w:t>
      </w:r>
    </w:p>
    <w:p w:rsidR="00D06117" w:rsidRDefault="00D06117" w:rsidP="00D06117">
      <w:pPr>
        <w:pStyle w:val="TextoNormal"/>
      </w:pPr>
    </w:p>
    <w:p w:rsidR="00D06117" w:rsidRDefault="00D06117" w:rsidP="00D06117">
      <w:pPr>
        <w:pStyle w:val="TextoNormal"/>
      </w:pPr>
      <w:r w:rsidRPr="00D06117">
        <w:rPr>
          <w:rStyle w:val="NumeroAFNegritaCaracter"/>
        </w:rPr>
        <w:t>15</w:t>
      </w:r>
      <w:r>
        <w:t>. La representación procesal de don Francisco González Méndez y el representante del Partido Socialista Obrero Español (PSOE) y de la candidatura presentada por este partido político en la circunscripción de occidente aducen también que la resolución impugnada ha vulnerado los derechos de sufragio reconocidos en el art. 23 CE por declarar, junto con la nulidad del escrutinio de la Mesa electoral del censo de electores residentes ausentes en la circunscripción occidental, la repetición de la votación de la indicada mesa sin llevar a cabo un juicio de relevancia o de incidencia de las supuestas irregularidades sobre el resultado final de la elección, renunciando a aplicar, conforme es doctrina constitucional reiterada, las técnicas de probabilidad estadística, lo que hubiera permitido constatar que la nulidad de los votos controvertidos no habría alterado la atribución de escaños en dicha circunscripción. Este motivo de amparo es apoyado por el Ministerio Fiscal, quien recuerda que el art. 113.2 d) LOREG, establece que la invalidez de la votación de una o varias mesas o en una o varias secciones “no comportará nueva convocatoria electoral en las mismas cuando su resultado no altere la atribución de escaños en la circunscripción”. Por su parte, la representante general del partido político Foro de Ciudadanos (FAC) se opone, a este motivo, sosteniendo que los votos cuestionados sí afectan al resultado de la elección.</w:t>
      </w:r>
    </w:p>
    <w:p w:rsidR="00D06117" w:rsidRDefault="00D06117" w:rsidP="00D06117">
      <w:pPr>
        <w:pStyle w:val="TextoNormal"/>
      </w:pPr>
    </w:p>
    <w:p w:rsidR="00D06117" w:rsidRDefault="00D06117" w:rsidP="00D06117">
      <w:pPr>
        <w:pStyle w:val="TextoNormal"/>
      </w:pPr>
      <w:r w:rsidRPr="00D06117">
        <w:rPr>
          <w:rStyle w:val="NumeroAFNegritaCaracter"/>
        </w:rPr>
        <w:t>16</w:t>
      </w:r>
      <w:r>
        <w:t xml:space="preserve">. El examen de este motivo de amparo requiere traer a colación la doctrina de este Tribunal a favor de una interpretación sistemática, finalista y con dimensión constitucional del alcance de los posibles pronunciamientos recogidos en el art. 113 LOREG sobre la nulidad de la proclamación de electos o de la elección celebrada, que requiere su integración “en la voluntad manifiestamente conservadora de los actos electorales válidamente celebrados” y “en la necesidad de conservar el ejercicio de los derechos fundamentales de los electores (art. 23.1 CE), en todos aquellos casos en que no se vean afectados por las supuestas o reales irregularidades apreciadas, es decir, conservando aquellos actos jurídicos válidos que aquí implican el ejercicio de otros tantos derechos fundamentales de sufragio activo (art. 23.1 CE) de los electores respectivos, que no habrían variado con o sin infracción electoral”. Esta interpretación conservadora o restrictiva del art. 113 LOREG en su conjunto viene impuesta “por exigencias constitucionales derivadas no sólo del tan invocado principio de conservación de actos jurídicos consistentes en el ejercicio de derechos fundamentales, sino también por otros criterios hermenéuticos aplicados con reiteración por este Tribunal en orden a los derechos fundamentales, como es el de la necesaria proporcionalidad entre unos actos y sus consecuencias jurídicas cuando éstas afectan a derechos fundamentales”, así como el de la obligada “interpretación de la legalidad favorable a los derechos fundamentales” (STC 24/1990, de 15 de febrero, FJ 6). En el caso que nos ocupa, esta interpretación finalista e integradora viene exigida desde una recta intelección del art. 23 CE </w:t>
      </w:r>
      <w:r>
        <w:lastRenderedPageBreak/>
        <w:t>para que se conserve, en su caso, por una parte, la efectividad del derecho de sufragio activo y, en consecuencia, de los votos válidos del resto del electorado de la mesa electoral del censo de electores residentes ausentes en la circunscripción de occidente y, por otra parte, para la efectividad del derecho de acceso al cargo público (art. 23.2 CE) de quien se ha visto privado del escaño si los votos anulados y controvertidos carecieran de incidencia sobre el resultado electoral.</w:t>
      </w:r>
    </w:p>
    <w:p w:rsidR="00D06117" w:rsidRDefault="00D06117" w:rsidP="00D06117">
      <w:pPr>
        <w:pStyle w:val="TextoNormal"/>
      </w:pPr>
    </w:p>
    <w:p w:rsidR="00D06117" w:rsidRDefault="00D06117" w:rsidP="00D06117">
      <w:pPr>
        <w:pStyle w:val="TextoNormal"/>
      </w:pPr>
      <w:r>
        <w:t>Es también importante tener en cuenta la exigencia constitucional de que el sufragio sea igual para todos (STC 19/2011, de 3 de marzo, FJ 9), igualdad que no se agota en el principio cada hombre un voto, ni en las condiciones de elegibilidad, sino que se proyecta también durante el proceso electoral en la simultaneidad del mismo en todas sus fases y, en particular, en lo tocante a la votación. Este Tribunal ha declarado al respecto, que la anulación de unas elecciones “provoca inexorablemente su repetición en un momento ulterior a aquél en que se celebraron las anuladas, lo que sitúa de modo inevitable a candidatos y electores en una situación diferente a la inicial común. Ello implica por fuerza una alternancia en las condiciones de igualdad del ejercicio del derecho de sufragio activo y pasivo, y si bien es cierto que la regulación asincrónica es consecuencia ineludible de la anulación, es también innegable que en la medida en que toda repetición implica una alteración perturbadora de las condiciones de la elección anulada deberá procurarse que tal alteración sea la menor posible y que aquella repetición se interprete restrictivamente” (STC 24/1990, de 15 de febrero, FJ 6).</w:t>
      </w:r>
    </w:p>
    <w:p w:rsidR="00D06117" w:rsidRDefault="00D06117" w:rsidP="00D06117">
      <w:pPr>
        <w:pStyle w:val="TextoNormal"/>
      </w:pPr>
    </w:p>
    <w:p w:rsidR="00D06117" w:rsidRDefault="00D06117" w:rsidP="00D06117">
      <w:pPr>
        <w:pStyle w:val="TextoNormal"/>
      </w:pPr>
      <w:r>
        <w:t>En el contexto de la reseñada doctrina constitucional, este Tribunal ha puesto de manifiesto que la “Sala que en cada caso resuelva el correspondiente contencioso-electoral deberá, llegado el momento, realizar el juicio de relevancia de los vicios o irregularidades invalidantes en el resultado final, sin perjuicio de la ulterior revisión del mismo, en su caso, por este Tribunal. En su motivación, y según el supuesto de hecho que en cada recurso hay que resolver, la Sala deberá expresar el proceso lógico que le lleva a apreciar la alteración del resultado como consecuencia de los vicios o irregularidades apreciados. … Si se trata de irregularidades cuantificables, esto es, de un número cierto de votos de destino desconocido, como ocurre en este caso, sin excluir el posible recurso a juicios de probabilidad o técnicas de ponderación estadística, un criterio fecundo y razonable para apreciar si aquellos votos son determinantes para el resultado electoral consiste en comparar su cifra … con la diferencia numérica entre los cocientes de las candidaturas que se disputan el último escaño” (STC 24/1990, de 15 de febrero, FJ 8; doctrina que reiteran SSTC 25/1990, de 19 de febrero, FJ 7; 26/1990, de 19 de febrero, FJ 9; 131/1990, de 16 de julio, FJ 6; y 166/1991, de 16 de julio, FJ 2).</w:t>
      </w:r>
    </w:p>
    <w:p w:rsidR="00D06117" w:rsidRDefault="00D06117" w:rsidP="00D06117">
      <w:pPr>
        <w:pStyle w:val="TextoNormal"/>
      </w:pPr>
    </w:p>
    <w:p w:rsidR="00D06117" w:rsidRDefault="00D06117" w:rsidP="00D06117">
      <w:pPr>
        <w:pStyle w:val="TextoNormal"/>
      </w:pPr>
      <w:r>
        <w:t xml:space="preserve">En aplicación de esta doctrina, la STC 24/1990, de 15 de febrero, confirmó la procedencia de repetir las elecciones, al quedar acreditado en el caso concreto la importancia decisiva de los votos controvertidos en la adjudicación del escaño (FJ 8). A esa misma conclusión se llegó en la STC 131/1990, de 16 de julio, una vez constatado que la diferencia de votos entre los contendientes al escaño al Senado era de 7 y el número de votos invalidados de 217 (FJ 6). Por el contrario, la STC 26/1990, de 19 de febrero, acordó la improcedencia de la nueva convocatoria, al haber confirmado que “en ningún caso, y bajo ninguna hipótesis, la orientación de los votos de sentido desconocido podría alterar el resultado final” (FJ 9). Igualmente se concluyó la no relevancia del cómputo de los votos invalidados en la STC 166/1991, de 19 de julio. A esos efectos, se argumentó que se ajustaba a unas reglas del </w:t>
      </w:r>
      <w:r>
        <w:lastRenderedPageBreak/>
        <w:t>cálculo lógico imparciales para cada una de las partes la operación consistente en tomar en cuenta el número de votos controvertidos y la diferencia entre cocientes para, a la vista de ello, proceder a dilucidar si es razonablemente probable que los votos desconocidos pudieran haber alterado decisivamente esa diferencia, computando los votos probablemente obtenidos por las candidaturas a la luz del porcentaje obtenido en la circunscripción (FJ 2). En la citada STC 166/1991, se indicaba que “cabría también, por ejemplo, tomar como cifra porcentual la de los sufragios conseguidos en las papeletas válidas de las Mesas cuestionadas” (FJ 3).</w:t>
      </w:r>
    </w:p>
    <w:p w:rsidR="00D06117" w:rsidRDefault="00D06117" w:rsidP="00D06117">
      <w:pPr>
        <w:pStyle w:val="TextoNormal"/>
      </w:pPr>
    </w:p>
    <w:p w:rsidR="00D06117" w:rsidRDefault="00D06117" w:rsidP="00D06117">
      <w:pPr>
        <w:pStyle w:val="TextoNormal"/>
      </w:pPr>
      <w:r>
        <w:t>Ello determina que este Tribunal, en protección de los ya señalados principios de conservación de los actos electorales válidamente celebrados y de simultaneidad del proceso electoral en todas sus fases y, singularmente, en lo tocante a la votación, haya consagrado que en la valoración judicial a proyectar sobre la relevancia del cómputo de votos invalidados en el resultado electoral no baste con acreditar la existencia de alguna posibilidad en números absolutos de que se hubiera alterado el resultado, sino que será preciso acreditar, con la proyección de criterios lógicos de ponderación estadística, que esa alteración no puede descartarse.</w:t>
      </w:r>
    </w:p>
    <w:p w:rsidR="00D06117" w:rsidRDefault="00D06117" w:rsidP="00D06117">
      <w:pPr>
        <w:pStyle w:val="TextoNormal"/>
      </w:pPr>
    </w:p>
    <w:p w:rsidR="00D06117" w:rsidRDefault="00D06117" w:rsidP="00D06117">
      <w:pPr>
        <w:pStyle w:val="TextoNormal"/>
      </w:pPr>
      <w:r>
        <w:t>Por tanto, en aplicación de la doctrina constitucional expuesta, debe concluirse, conforme a una lectura constitucional ex art. 23 CE del art. 113.2 d) LOREG, que el órgano judicial, tras declarar la concurrencia de una irregularidad invalidante, tiene la obligación de verificar su relevancia en la atribución de escaños, de modo tal que no procederá una nueva convocatoria electoral cuando el resultado no se altere. Ese juicio de relevancia, además, para los casos en que se trate de irregularidades cuantificables consistentes en la existencia de un número cierto de votos de destino desconocido debe realizarse acudiendo a criterios de probabilidad o técnicas de ponderación estadística para comprobar que no puede excluirse que su cómputo hubiera alterado el resultado.</w:t>
      </w:r>
    </w:p>
    <w:p w:rsidR="00D06117" w:rsidRDefault="00D06117" w:rsidP="00D06117">
      <w:pPr>
        <w:pStyle w:val="TextoNormal"/>
      </w:pPr>
    </w:p>
    <w:p w:rsidR="00D06117" w:rsidRDefault="00D06117" w:rsidP="00D06117">
      <w:pPr>
        <w:pStyle w:val="TextoNormal"/>
      </w:pPr>
      <w:r w:rsidRPr="00D06117">
        <w:rPr>
          <w:rStyle w:val="NumeroAFNegritaCaracter"/>
        </w:rPr>
        <w:t>17</w:t>
      </w:r>
      <w:r>
        <w:t>. En este caso, la Sentencia impugnada, tras argumentar debidamente que la remisión directa de votos por correo de los electores del censo de electores residentes ausentes a la junta electoral es una irregularidad invalidante, por lo que no deberían haber sido computados, acuerda también la repetición de la votación en la mesa electoral del censo de electores residentes ausentes en la circunscripción de occidente al considerar relevante el número de los sufragios anulados en la atribución del sexto escaño correspondiente a dicha circunscripción. En esta valoración indica que el número de sufragios anulados es de 332, lo cual, ciertamente, responde al número de votos anulados en referencia a las tres circunscripciones, pero no se corresponde con el número, necesariamente inferior, de votos relativos a la circunscripción de occidente.</w:t>
      </w:r>
    </w:p>
    <w:p w:rsidR="00D06117" w:rsidRDefault="00D06117" w:rsidP="00D06117">
      <w:pPr>
        <w:pStyle w:val="TextoNormal"/>
      </w:pPr>
    </w:p>
    <w:p w:rsidR="00D06117" w:rsidRDefault="00D06117" w:rsidP="00D06117">
      <w:pPr>
        <w:pStyle w:val="TextoNormal"/>
      </w:pPr>
      <w:r>
        <w:t xml:space="preserve">A esos efectos, en la Sentencia se señala que la Junta Electoral Central, al examinar la incidencia que la eventual irregularidad tuvo en el resultado de la elección, y a pesar de que se desconocían cuántos de los votos afectaban a la circunscripción occidental, acudió a juicios de probabilidad o a técnicas de ponderación estadística para apreciar que los votos discutidos pueden no haber tenido incidencia alguna en el resultado. Frente a dicho argumento de la Junta Electoral Central, la Sentencia responde que “el principio de proporcionalidad y el juicio de relevancia entre la medida adoptada y el resultado producido debe de conjugarse dentro de la racionalidad del resultado, de forma que conocido éste puede hacerse abstracción de lo pedido si no tiene transcendencia sobre el mismo, sin que pueda apoyarse en </w:t>
      </w:r>
      <w:r>
        <w:lastRenderedPageBreak/>
        <w:t>meros cálculos de probabilidades o estadísticos cuando se desconocen todos los datos de los votos emitidos de forma irregular, incluso cuántos de ellos correspondían a la circunscripción que se discute”, concluyendo que se ha producido “un número de irregularidades suficientes como para alterar el resultado, como aquí sucede, con el número de votos emitidos de forma irregular, suficientes para variar el resultado dado por válido en cuanto se desconoce cuantos de ellos afectan a la circunscripción impugnada” (fundamento de Derecho séptimo).</w:t>
      </w:r>
    </w:p>
    <w:p w:rsidR="00D06117" w:rsidRDefault="00D06117" w:rsidP="00D06117">
      <w:pPr>
        <w:pStyle w:val="TextoNormal"/>
      </w:pPr>
    </w:p>
    <w:p w:rsidR="00D06117" w:rsidRDefault="00D06117" w:rsidP="00D06117">
      <w:pPr>
        <w:pStyle w:val="TextoNormal"/>
      </w:pPr>
      <w:r>
        <w:t>A la vista de este razonamiento, debe concluirse que el órgano judicial no ha efectuado el juicio de relevancia en los términos exigidos por la doctrina constitucional. En primer lugar, con el argumento de que no se conocía ni se podía conocer el número de votos invalidados que le hubieran correspondido a la circunscripción occidental, la resolución judicial ha rechazado recurrir a juicios de probabilidad o técnicas de ponderación estadística. Pues bien, al margen de que no se hacen expresas las razones de por qué el recurso a razonamientos hipotéticos, técnicas de ponderación estadística o de otra naturaleza no hubiera permitido también conocer en este caso la eventual incidencia de los votos controvertidos en cada una de las circunscripciones, lo cierto es que, conforme a la doctrina constitucional anteriormente citada, es precisamente la circunstancia de la existencia de un número cierto de votos de destino desconocido, como ocurre en este caso, la que debe servir como presupuesto habilitante para acudir a juicios de probabilidad o a técnicas de ponderación estadística para apreciar la afectación al resultado electoral. El hecho de que este Tribunal no haya tenido la oportunidad de pronunciarse con anterioridad sobre la aplicación de estas técnicas para casos tan singulares como el presente, en que no se conoce cuántos de los votos controvertidos corresponden a cada circunscripción ni, lógicamente, cómo se distribuirían entre las diversas candidaturas, no supone mayor obstáculo para que, en aras de los principios de conservación de los votos válidos y la simultaneidad del desarrollo de las votaciones, pueda acudirse a estas técnicas de ponderación en ambas operaciones, con el fin de agotar las posibilidades de dar cumplimiento estricto a la previsión del art. 113.2 d) LOREG de que el órgano judicial no puede proceder a una nueva convocatoria electoral cuando el resultado no quedara alterado por el cómputo de los votos invalidados.</w:t>
      </w:r>
    </w:p>
    <w:p w:rsidR="00D06117" w:rsidRDefault="00D06117" w:rsidP="00D06117">
      <w:pPr>
        <w:pStyle w:val="TextoNormal"/>
      </w:pPr>
    </w:p>
    <w:p w:rsidR="00D06117" w:rsidRDefault="00D06117" w:rsidP="00D06117">
      <w:pPr>
        <w:pStyle w:val="TextoNormal"/>
      </w:pPr>
      <w:r>
        <w:t>En segundo lugar, la resolución judicial, a pesar de rechazar acudir a las técnicas de ponderación estadística, acaba concluyendo que el número de irregularidades era suficiente para haber alterado el resultado. Esa conclusión también está ayuna de cualquier tipo de operación, cálculo o argumentación que permita verificar o controlar su veracidad, por lo que tampoco es posible conocer las razones por las que el órgano judicial ha considerado que los votos controvertidos inciden en el resultado final de la elección, en este caso, en la asignación del sexto escaño de la circunscripción de occidente.</w:t>
      </w:r>
    </w:p>
    <w:p w:rsidR="00D06117" w:rsidRDefault="00D06117" w:rsidP="00D06117">
      <w:pPr>
        <w:pStyle w:val="TextoNormal"/>
      </w:pPr>
    </w:p>
    <w:p w:rsidR="00D06117" w:rsidRDefault="00D06117" w:rsidP="00D06117">
      <w:pPr>
        <w:pStyle w:val="TextoNormal"/>
      </w:pPr>
      <w:r>
        <w:t>En definitiva, el rechazo a acudir a estos criterios de ponderación y la propia renuncia del órgano judicial a realizar, aunque hubiera sido con parámetros alternativos debidamente justificados, el necesario juicio de relevancia —elemento consustancial al pronunciamiento sobre la procedencia de ordenar la convocatoria de nuevas elecciones— son determinantes para considerar que la Sentencia recurrida, desde la perspectiva de los derechos fundamentales en juego, elude la observancia de los criterios establecidos por la doctrina constitucional.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18</w:t>
      </w:r>
      <w:r>
        <w:t>. En este caso el juicio de relevancia sobre la incidencia de los votos controvertidos en el resultado de la elección en la circunscripción occidental ha sido efectuado en sus escritos, tanto en el proceso contencioso-electoral como en este recurso de amparo, por los partidos políticos y el candidato que se disputan el sexto escaño de la circunscripción occidental y por el Ministerio Fiscal. Esos juicios de relevancia se han efectuado con base en la misma técnica de ponderación estadística de la que en este caso debe servirse este Tribunal al objeto de tener por acreditada o no la incidencia de los controvertidos votos anulados en el resultado de la elección.</w:t>
      </w:r>
    </w:p>
    <w:p w:rsidR="00D06117" w:rsidRDefault="00D06117" w:rsidP="00D06117">
      <w:pPr>
        <w:pStyle w:val="TextoNormal"/>
      </w:pPr>
    </w:p>
    <w:p w:rsidR="00D06117" w:rsidRDefault="00D06117" w:rsidP="00D06117">
      <w:pPr>
        <w:pStyle w:val="TextoNormal"/>
      </w:pPr>
      <w:r>
        <w:t>La representación procesal de las candidaturas y del elector que pugnan por la asignación del sexto escaño en la circunscripción occidental, así como el propio Ministerio Fiscal, han procedido de la siguiente manera, a fin de determinar aquella incidencia: en primer lugar, al desconocerse cuántos de los 332 votos podrían corresponder a la circunscripción occidental, lo han determinado a determinarlo estadísticamente. Para ello, han aplicado sobre los 332 votos nulos el porcentaje de votos del censo de electores residentes ausentes emitidos en cada circunscripción tomando en consideración el número total de votos del censo de electores residentes ausentes emitidos. En virtud de ello el resultado estadístico obtenido, en el que todas las partes y el Ministerio Fiscal están de acuerdo, es que serían 66 el número de votos nulos que se habrían computado en la circunscripción electoral de occidente. Toda vez que ésta es una operación en la que no hay ninguna controversia entre las diversas partes personadas en estos recursos de amparo y que, además, se ajusta a un criterio estadístico y unas reglas del cálculo lógico imparciales para cada una de las partes, no hay mayor objeción para asumirla en el juicio que se está realizando sobre la eventual relevancia del cómputo de los votos invalidados en el resultado final de asignación de escaños de la circunscripción occidental.</w:t>
      </w:r>
    </w:p>
    <w:p w:rsidR="00D06117" w:rsidRDefault="00D06117" w:rsidP="00D06117">
      <w:pPr>
        <w:pStyle w:val="TextoNormal"/>
      </w:pPr>
    </w:p>
    <w:p w:rsidR="00D06117" w:rsidRDefault="00D06117" w:rsidP="00D06117">
      <w:pPr>
        <w:pStyle w:val="TextoNormal"/>
      </w:pPr>
      <w:r>
        <w:t>En segundo lugar, al desconocerse a qué candidatura hubieran correspondido esos votos, es preciso determinar estadísticamente cuántos irían a cada candidatura. En el reparto de estos 66 votos nulos entre las distintas candidaturas difieren el planteamiento, por un lado, del partido político FAC y, por otro, del partido político PSOE y el Ministerio Fiscal. Aquél detrae esos 66 votos nulos exclusivamente de los votos obtenidos por el PSOE en la circunscripción, en tanto que el partido político PSOE y el Ministerio Fiscal detraen esos estadísticamente 66 votos nulos de cada candidatura en atención al porcentaje obtenido por cada de ellas de votos del censo de electores residentes ausentes en la circunscripción occidental.</w:t>
      </w:r>
    </w:p>
    <w:p w:rsidR="00D06117" w:rsidRDefault="00D06117" w:rsidP="00D06117">
      <w:pPr>
        <w:pStyle w:val="TextoNormal"/>
      </w:pPr>
    </w:p>
    <w:p w:rsidR="00D06117" w:rsidRDefault="00D06117" w:rsidP="00D06117">
      <w:pPr>
        <w:pStyle w:val="TextoNormal"/>
      </w:pPr>
      <w:r>
        <w:t xml:space="preserve">Es claro que la operación propuesta por FAC ni responde a criterios estadísticos, ya que es sumamente improbable que el 100 por 100 de los votos nulos emitidos en la circunscripción hubiera sido para la candidatura presentada por el PSOE, ni cuenta con la característica de aportar un cálculo lógico imparcial que intente hacer un reparto no interesado para la obtención de un cálculo ponderado. Por el contrario, resulta más razonable la solución aportada por el PSOE y por el Ministerio Fiscal en tanto que, al menos, se pretende un cómputo que valora ponderadamente el peso de cada candidatura en los votos del censo de electores residentes ausentes emitidos en esa circunscripción, lo que responde, además, a un forma de computar asumida por la doctrina constitucional en la citada STC 166/1991, FJ 2. Es más, la circunstancia de que el PSOE proponga que el porcentaje a aplicar sea el derivado exclusivamente del peso de los votos obtenidos en la mesa electoral de los electores residentes ausentes por la circunscripción occidental, en vez del obtenido a partir del total de </w:t>
      </w:r>
      <w:r>
        <w:lastRenderedPageBreak/>
        <w:t>votos en dicha circunscripción —que fue un criterio alternativo también considerado razonable por la STC 166/1991, FJ 3—, demuestra la pretensión de proponer un criterio presidido por la imparcialidad, toda vez que, si bien el porcentaje del voto del censo de electores residentes ausentes en dicha circunscripción para el PSOE es de casi el 51 por 100 (290 de los 573 votos emitidos), sin embargo, su porcentaje total entre presentes y ausentes se reduce ostensiblemente hasta el 35,4 por 100 (20.106 de los votos 56.811). Justo lo contrario de lo que ocurre con la candidatura de FAC en esta circunscripción en la que ha obtenido un porcentaje de voto del censo de electores residentes ausentes del 7,68 por 100 (44 de los 573 votos emitidos) frente a un 23,53 por 100 (13.369 de los 56.811 votos emitidos). Esto es, incluso habiendo consagrado este Tribunal la posibilidad de que en esta operación se acudiera como parámetro referencial a la totalidad de la circunscripción, lo que hubiera sido más beneficioso para el PSOE, sin embargo, ha optado incluso por proponer un criterio que podría resultarle menos favorable.</w:t>
      </w:r>
    </w:p>
    <w:p w:rsidR="00D06117" w:rsidRDefault="00D06117" w:rsidP="00D06117">
      <w:pPr>
        <w:pStyle w:val="TextoNormal"/>
      </w:pPr>
    </w:p>
    <w:p w:rsidR="00D06117" w:rsidRDefault="00D06117" w:rsidP="00D06117">
      <w:pPr>
        <w:pStyle w:val="TextoNormal"/>
      </w:pPr>
      <w:r>
        <w:t>Más allá de lo expuesto, lo cierto es que el voto de los electores del censo de electores residentes ausentes tiene la suficiente singularidad estadística en relación con la totalidad de votos como para que en este caso la operación a realizar se haga optando, en el sentido propuesto por el PSOE y el Ministerio Fiscal, por asumir el porcentaje obtenido sólo sobre los votantes del censo de electores residentes ausentes de esta circunscripción. En atención a esta operación, los votos a detraer al PSOE serían 33 y a FAC 5.</w:t>
      </w:r>
    </w:p>
    <w:p w:rsidR="00D06117" w:rsidRDefault="00D06117" w:rsidP="00D06117">
      <w:pPr>
        <w:pStyle w:val="TextoNormal"/>
      </w:pPr>
    </w:p>
    <w:p w:rsidR="00D06117" w:rsidRDefault="00D06117" w:rsidP="00D06117">
      <w:pPr>
        <w:pStyle w:val="TextoNormal"/>
      </w:pPr>
      <w:r>
        <w:t>Una vez determinado estadísticamente el número de votos nulos que corresponden a cada candidatura y restados éstos del número total de votos escrutados, la aplicación de la ley D’Hondt para determinar la atribución del sexto escaño de la circunscripción de occidente, según las cifras aportadas por el PSOE, su candidato, y el Ministerio Fiscal reflejadas en sus escritos de demanda y de alegaciones, respectivamente, determina un cociente de 6.690,6 votos del PSOE frente al cociente de 6.682 votos de FAC.</w:t>
      </w:r>
    </w:p>
    <w:p w:rsidR="00D06117" w:rsidRDefault="00D06117" w:rsidP="00D06117">
      <w:pPr>
        <w:pStyle w:val="TextoNormal"/>
      </w:pPr>
    </w:p>
    <w:p w:rsidR="00D06117" w:rsidRDefault="00D06117" w:rsidP="00D06117">
      <w:pPr>
        <w:pStyle w:val="TextoNormal"/>
      </w:pPr>
      <w:r w:rsidRPr="00D06117">
        <w:rPr>
          <w:rStyle w:val="NumeroAFNegritaCaracter"/>
        </w:rPr>
        <w:t>19</w:t>
      </w:r>
      <w:r>
        <w:t>. Las consideraciones estadísticas que anteceden, ofrecidas por el Ministerio Fiscal siguiendo el método empleado por los partidos políticos que se disputan el sexto escaño de la circunscripción occidental, ponen de manifiesto, de un lado, la posibilidad en este caso, no llevada a cabo por el órgano judicial en la Sentencia impugnada, de realizar el juicio de relevancia de los votos anulados en el resultado final de la elección, acudiendo a juicios de probabilidad o técnicas de ponderación estadística, admitidas por la jurisprudencia constitucional; y, de otro que, de conformidad con dichas técnicas, la atribución del sexto escaño de la circunscripción de occidente no se vería alterado, correspondiéndole, al igual que en el escrutinio efectuado por la junta electoral, al candidato del PSOE.</w:t>
      </w:r>
    </w:p>
    <w:p w:rsidR="00D06117" w:rsidRDefault="00D06117" w:rsidP="00D06117">
      <w:pPr>
        <w:pStyle w:val="TextoNormal"/>
      </w:pPr>
    </w:p>
    <w:p w:rsidR="00D06117" w:rsidRDefault="00D06117" w:rsidP="00D06117">
      <w:pPr>
        <w:pStyle w:val="TextoNormal"/>
      </w:pPr>
      <w:r>
        <w:t xml:space="preserve">Ciertamente, podría pretenderse sostener que la poca diferencia obtenida entre los cocientes de las candidaturas con aspiración a que se le asignara el sexto escaño —de apenas 8 puntos (6.690,6 frente a 6.682)— es lo suficientemente estrecha como para que, teniendo en cuenta desviaciones estadísticas asumibles, no pudiera descartarse, incluso con un criterio estadístico como el proyectado, que el cómputo de los votos invalidados hubiera podido determinar que el escaño se adjudicara al FAC en vez de al PSOE. Sin embargo, por un lado, hay que destacar que los votos controvertidos son solamente 66 y, por otro, debe repararse en que la diferencia señalada de 8 puntos entre las candidaturas no se refiere a votos, toda vez que lo comparado son cocientes resultado de la aplicación de la ley D’Hondt. Así, </w:t>
      </w:r>
      <w:r>
        <w:lastRenderedPageBreak/>
        <w:t>en este caso, teniendo en cuenta que la asignación del sexto escaño se disputa entre el segundo cociente del FAC (que ya tiene asignado el escaño tercero de la circunscripción con su primer cociente) y el tercer cociente del PSOE (que ya tiene asignados los escaños primero y cuarto de la circunscripción con su primer y segundo cociente, respectivamente), el número real de votos necesario para eliminar esta diferencia de 8 puntos es mucho mayor. De hecho, partiendo de la base de que FAC ha obtenido un total de 13.369 votos en la circunscripción occidental, incluso en el caso más beneficioso de que no se le adjudicara ningún voto nulo, hubiera sido necesario para que hubiera podido obtener el sexto escaño, eliminando esa diferencia de 8 puntos en los cocientes a comparar, que los votos nulos adjudicados al PSOE hubieran sido un total de 53 de los 66, esto es, 20 votos más que los que establece la proyección estadística, que son 33. O lo que es lo mismo, tendría que haberse producido una desviación estadística entre el porcentaje de voto del censo de electores residentes ausentes obtenido por el PSOE en la circunscripción occidental (51 por 100) y el necesario para que perdiera el escaño (80 por 100) de 29 puntos porcentuales.</w:t>
      </w:r>
    </w:p>
    <w:p w:rsidR="00D06117" w:rsidRDefault="00D06117" w:rsidP="00D06117">
      <w:pPr>
        <w:pStyle w:val="TextoNormal"/>
      </w:pPr>
    </w:p>
    <w:p w:rsidR="00D06117" w:rsidRDefault="00D06117" w:rsidP="00D06117">
      <w:pPr>
        <w:pStyle w:val="TextoNormal"/>
      </w:pPr>
      <w:r>
        <w:t>En conclusión, tomando en consideración todo lo expuesto, este Tribunal debe ratificarse en su apreciación de que hay garantías estadísticas sólidas para concluir que el cómputo de los votos controvertidos en la circunscripción occidental no ha resultado determinante del resultado final de la elección y, por tanto, que no resultaba procedente una nueva convocatoria electoral.</w:t>
      </w:r>
    </w:p>
    <w:p w:rsidR="00D06117" w:rsidRDefault="00D06117" w:rsidP="00D06117">
      <w:pPr>
        <w:pStyle w:val="TextoNormal"/>
      </w:pPr>
    </w:p>
    <w:p w:rsidR="00D06117" w:rsidRDefault="00D06117" w:rsidP="00D06117">
      <w:pPr>
        <w:pStyle w:val="TextoNormal"/>
      </w:pPr>
      <w:r w:rsidRPr="00D06117">
        <w:rPr>
          <w:rStyle w:val="NumeroAFNegritaCaracter"/>
        </w:rPr>
        <w:t>20</w:t>
      </w:r>
      <w:r>
        <w:t>. En consecuencia, con fundamento en las precedentes consideraciones hemos de concluir que la Sentencia impugnada, al ordenar la repetición de la votación de la Mesa electoral de electores del censo de electores residentes ausentes en la circunscripción occidental y anular la proclamación como Diputado electo por dicha circunscripción electoral de don Francisco González Méndez, ha lesionado el derecho de sufragio activo de los electores pertenecientes a aquella mesa electoral, así como el derecho de sufragio pasivo de don Francisco González Méndez, al que la Junta Electoral Provincial de Asturias le había adjudicado el sexto escaño de la circunscripción occidental y cuya proclamación ha sido anulada por la misma resolución judicial.</w:t>
      </w:r>
    </w:p>
    <w:p w:rsidR="00D06117" w:rsidRDefault="00D06117" w:rsidP="00D06117">
      <w:pPr>
        <w:pStyle w:val="TextoNormal"/>
      </w:pPr>
    </w:p>
    <w:p w:rsidR="00D06117" w:rsidRDefault="00D06117" w:rsidP="00D06117">
      <w:pPr>
        <w:pStyle w:val="TextoNormal"/>
      </w:pPr>
      <w:r>
        <w:t>La estimación de los recursos de amparo promovidos por el representante general de la candidatura del partido político Izquierda Unida de Asturias, por don Francisco González Méndez, en su condición de Diputado cuya proclamación como electo ha sido anulada por la Sentencia recurrida, y por el representante del Partido Socialista Obrero Español (PSOE) y de la candidatura de esta formación política deben conducir a la declaración de nulidad de la Sentencia impugnada en el extremo referido a la repetición de la votación con nueva convocatoria electoral y a la confirmación de la proclamación efectuada por la Junta Electoral Provincial del Diputado electo al que se le había atribuido el sexto escaño en la circunscripción occidental (STC 26/1990, de 19 de febrero, FJ 10).</w:t>
      </w:r>
    </w:p>
    <w:p w:rsidR="00D06117" w:rsidRDefault="00D06117" w:rsidP="00D06117">
      <w:pPr>
        <w:pStyle w:val="TextoNormal"/>
      </w:pPr>
    </w:p>
    <w:p w:rsidR="00D06117" w:rsidRDefault="00D06117" w:rsidP="00D06117">
      <w:pPr>
        <w:pStyle w:val="TextoNormal"/>
      </w:pPr>
      <w:r>
        <w:t>Llegados a este punto, el examen de si además concurrieron otras vulneraciones de derechos fundamentales invocadas en las demandas de amparo resulta ocioso e innecesario, al incidir sobre una cuestión ya resuelta.</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parcialmente las demandas de amparo promovidas por el representante general de la candidatura de Izquierda Unida de Asturias, por don Francisco González Méndez y por el representante electoral general del Partido Socialista Obrero Español (PSOE) y, en consecuencia:</w:t>
      </w:r>
    </w:p>
    <w:p w:rsidR="00D06117" w:rsidRDefault="00D06117" w:rsidP="00D06117">
      <w:pPr>
        <w:pStyle w:val="TextoNormal"/>
      </w:pPr>
    </w:p>
    <w:p w:rsidR="00D06117" w:rsidRDefault="00D06117" w:rsidP="00D06117">
      <w:pPr>
        <w:pStyle w:val="TextoNormal"/>
      </w:pPr>
      <w:r>
        <w:t>1º Declarar vulnerado el derecho de sufragio activo de los electores de la mesa electoral del censo de electores residentes ausentes en la circunscripción de occidente, cuyos votos fueron anulados por la Sentencia impugnada como consecuencia de la declaración de nulidad de la elección en la citada mesa, y el derecho de sufragio pasivo del candidato don Francisco González Méndez, cuya proclamación como Diputado electo al que se le atribuyó el sexto escaño por la circunscripción occidental fue anulada por la citada Sentencia.</w:t>
      </w:r>
    </w:p>
    <w:p w:rsidR="00D06117" w:rsidRDefault="00D06117" w:rsidP="00D06117">
      <w:pPr>
        <w:pStyle w:val="TextoNormal"/>
      </w:pPr>
    </w:p>
    <w:p w:rsidR="00D06117" w:rsidRDefault="00D06117" w:rsidP="00D06117">
      <w:pPr>
        <w:pStyle w:val="TextoNormal"/>
      </w:pPr>
      <w:r>
        <w:t>2º Restablecerles en su derecho y, a tal fin, declarar la nulidad de la Sentencia núm. 539/2012, de 27 de abril, de la Sala de lo Contencioso-Administrativo del Tribunal Superior de Justicia de Asturias, recaída en el recurso contencioso-electoral núm. 343/2012 contra el acuerdo de la Junta Electoral Provincial de Asturias, de 10 de abril de 2012, y confirmar la proclamación efectuada por dicha junta electoral de don Francisco González Méndez como Diputado electo al que se le atribuye el sexto escaño en la circunscripción occidental en las elecciones a la Junta General del Principado de Asturias celebradas el 25 de marzo de 2012.</w:t>
      </w:r>
    </w:p>
    <w:p w:rsidR="00D06117" w:rsidRDefault="00D06117" w:rsidP="00D06117">
      <w:pPr>
        <w:pStyle w:val="TextoNormal"/>
      </w:pPr>
    </w:p>
    <w:p w:rsidR="00D06117" w:rsidRDefault="00D06117" w:rsidP="00D06117">
      <w:pPr>
        <w:pStyle w:val="TextoNormal"/>
      </w:pPr>
      <w:r>
        <w:t>3º Desestimar las demandas interpuestas en todo lo demás</w:t>
      </w:r>
      <w:r>
        <w:tab/>
        <w:t>.</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once de mayo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Javier Delgado Barrio respecto de la Sentencia de 11 de mayo de 2012, dictada en los recursos de amparo electoral núms. 2548-2012, 2551-2012 y 2562-2012.</w:t>
      </w:r>
    </w:p>
    <w:p w:rsidR="00D06117" w:rsidRDefault="00D06117" w:rsidP="00D06117">
      <w:pPr>
        <w:pStyle w:val="TextoNormalNegritaCentrado"/>
        <w:keepNext/>
      </w:pPr>
    </w:p>
    <w:p w:rsidR="00D06117" w:rsidRDefault="00D06117" w:rsidP="00D06117">
      <w:pPr>
        <w:pStyle w:val="TextoNormal"/>
      </w:pPr>
      <w:r>
        <w:t>En términos de gran brevedad, para no retrasar su notificación, con el respeto que siempre me merecen las opiniones de mis compañeros, dejo constancia de mi discrepancia respecto de la indicada Sentencia.</w:t>
      </w:r>
    </w:p>
    <w:p w:rsidR="00D06117" w:rsidRDefault="00D06117" w:rsidP="00D06117">
      <w:pPr>
        <w:pStyle w:val="TextoNormal"/>
      </w:pPr>
    </w:p>
    <w:p w:rsidR="00D06117" w:rsidRDefault="00D06117" w:rsidP="00D06117">
      <w:pPr>
        <w:pStyle w:val="TextoNormal"/>
      </w:pPr>
      <w:r>
        <w:t>1. Ante todo, he de señalar que estoy de acuerdo con la primera de sus conclusiones, es decir, la nulidad de los 332 votos litigiosos que se emitieron sin ajustarse a la legislación actualmente vigente, que modificó —Ley Orgánica 2/2011, de 28 de enero— la normativa anterior para lograr “un procedimiento muy garantista”.</w:t>
      </w:r>
    </w:p>
    <w:p w:rsidR="00D06117" w:rsidRDefault="00D06117" w:rsidP="00D06117">
      <w:pPr>
        <w:pStyle w:val="TextoNormal"/>
      </w:pPr>
    </w:p>
    <w:p w:rsidR="00D06117" w:rsidRDefault="00D06117" w:rsidP="00D06117">
      <w:pPr>
        <w:pStyle w:val="TextoNormal"/>
      </w:pPr>
      <w:r>
        <w:t xml:space="preserve">En este terrero, únicamente tengo que añadir una matización. No creo que “el contenido normativo del nuevo art. 75 LOREG”, concretamente su apartado 9, “pudiera conducir a </w:t>
      </w:r>
      <w:r>
        <w:lastRenderedPageBreak/>
        <w:t>ciertas confusiones a un elector medio”, de modo que no es necesario que “el propio legislador” haya de “despejar aquellas dudas o clarificar los preceptos cuya redacción pueda provocar alguna confusión”.</w:t>
      </w:r>
    </w:p>
    <w:p w:rsidR="00D06117" w:rsidRDefault="00D06117" w:rsidP="00D06117">
      <w:pPr>
        <w:pStyle w:val="TextoNormal"/>
      </w:pPr>
    </w:p>
    <w:p w:rsidR="00D06117" w:rsidRDefault="00D06117" w:rsidP="00D06117">
      <w:pPr>
        <w:pStyle w:val="TextoNormal"/>
      </w:pPr>
      <w:r>
        <w:t>Ignoro cuántos electores desde el extranjero han podido sufrir confusiones derivadas de la lectura del art. 75 de la Ley Orgánica del régimen electoral general (LOREG). Y desde luego no veo qué dudas pueda suscitar su apartado 9. Este es su texto: “En todos los supuestos regulados en el presente artículo será indispensable para la validez de estos votos que conste claramente en el sobre mencionado un matasellos u otra inscripción oficial de una Oficina de Correos del Estado en cuestión o, en su caso, de la Oficina Consular de Carrera o Sección Consular de la Misión Diplomática correspondiente, que certifique, de modo indubitable, el cumplimiento del requisito temporal que en cada caso se contempla.”</w:t>
      </w:r>
    </w:p>
    <w:p w:rsidR="00D06117" w:rsidRDefault="00D06117" w:rsidP="00D06117">
      <w:pPr>
        <w:pStyle w:val="TextoNormal"/>
      </w:pPr>
    </w:p>
    <w:p w:rsidR="00D06117" w:rsidRDefault="00D06117" w:rsidP="00D06117">
      <w:pPr>
        <w:pStyle w:val="TextoNormal"/>
      </w:pPr>
      <w:r>
        <w:t>Está claro el sentido de la referencia al matasellos u otra inscripción oficial de una oficina de correos del Estado en cuestión “que tiene por objeto acreditar de modo indubitable el cumplimiento del requisito temporal que en cada caso se contempla”. Así, en el caso que prevé el art. 75.9 LOREG, el matasellos de la oficina de correos servirá para acreditar que la solicitud de voto dirigida a la delegación provincial de la Oficina del Censo Electoral, se ha formulado “no más tarde del vigésimo quinto día posterior a la convocatoria”. Y en el caso del art. 75.4, el matasellos prueba que el sobre se ha remitido a la oficina o sección consular “no más tarde del quinto día anterior al día de la elección”. Y, por último, es el cumplimiento de este mismo plazo el que se justifica con la inscripción consular cuando el sobre se entrega directamente en la oficia o sección consular.</w:t>
      </w:r>
    </w:p>
    <w:p w:rsidR="00D06117" w:rsidRDefault="00D06117" w:rsidP="00D06117">
      <w:pPr>
        <w:pStyle w:val="TextoNormal"/>
      </w:pPr>
    </w:p>
    <w:p w:rsidR="00D06117" w:rsidRDefault="00D06117" w:rsidP="00D06117">
      <w:pPr>
        <w:pStyle w:val="TextoNormal"/>
      </w:pPr>
      <w:r>
        <w:t>Dejando a un lado estas observaciones de tono menor, es claro el acierto de la Sentencia al terminar con una práctica contra legem, que, según su propia dicción, la Junta Electoral Central había admitido “excepcionalmente” en ocasiones anteriores.</w:t>
      </w:r>
    </w:p>
    <w:p w:rsidR="00D06117" w:rsidRDefault="00D06117" w:rsidP="00D06117">
      <w:pPr>
        <w:pStyle w:val="TextoNormal"/>
      </w:pPr>
    </w:p>
    <w:p w:rsidR="00D06117" w:rsidRDefault="00D06117" w:rsidP="00D06117">
      <w:pPr>
        <w:pStyle w:val="TextoNormal"/>
      </w:pPr>
      <w:r>
        <w:t>2. Mi discrepancia con la Sentencia se refiere a la valoración que hace de la relevancia del cómputo de los votos declarados nulos en el resultado electoral.</w:t>
      </w:r>
    </w:p>
    <w:p w:rsidR="00D06117" w:rsidRDefault="00D06117" w:rsidP="00D06117">
      <w:pPr>
        <w:pStyle w:val="TextoNormal"/>
      </w:pPr>
    </w:p>
    <w:p w:rsidR="00D06117" w:rsidRDefault="00D06117" w:rsidP="00D06117">
      <w:pPr>
        <w:pStyle w:val="TextoNormal"/>
      </w:pPr>
      <w:r>
        <w:t>Anticipo ya mi posición: cuando la ponderación estadística exige dos cálculos sucesivos —asignación de los votos nulos, primero, a una circunscripción y después a sus destinatarios—, de modo que el resultado del primero es el punto de partida del segundo, la posibilidad de error se multiplica, lo que dota de escasa fiabilidad a estas técnicas, pero si a ello se une que el número de votos nulos es superior en mucho a la diferencia entre los cocientes de las candidaturas que se disputan el escaño —sistema d’Hondt— y además que esta diferencia es muy pequeña, la posibilidad de llegar a un resultado “con un razonable margen de seguridad”, tal como exige nuestra doctrina, queda prácticamente eliminada. El respeto a la voluntad real de los votantes, “fundamento mismo del principio democrático”, no permite soluciones aventuradas.</w:t>
      </w:r>
    </w:p>
    <w:p w:rsidR="00D06117" w:rsidRDefault="00D06117" w:rsidP="00D06117">
      <w:pPr>
        <w:pStyle w:val="TextoNormal"/>
      </w:pPr>
    </w:p>
    <w:p w:rsidR="00D06117" w:rsidRDefault="00D06117" w:rsidP="00D06117">
      <w:pPr>
        <w:pStyle w:val="TextoNormal"/>
      </w:pPr>
      <w:r>
        <w:t xml:space="preserve">Ciertamente, la motivación de la resolución judicial impugnada, en cuanto a la señalada relevancia, es de una de gran parquedad, pero no inexistente: con cita de varias Sentencias del Tribunal Constitucional e incluso de otros Tribunales Superiores de Justicia y apoyándose en la STC 131/1990 —la resume así: “si la Sala no logra alcanzar una conclusión cierta sobre el sentido de los votos emitidos, podrá decretar la nulidad de la votación celebrada en </w:t>
      </w:r>
      <w:r>
        <w:lastRenderedPageBreak/>
        <w:t>las mesas impugnadas”—, excluye la posibilidad de acudir a “meros cálculos de probabilidades o estadísticas cuando se desconocen todos los datos de los votos emitidos de forma irregular, incluso cuantos de ellos corresponden a la circunscripción que se discute”. Con ello el órgano judicial a quo destaca que no sólo se desconoce el destinatario de los votos sino también la circunscripción a la que corresponden.</w:t>
      </w:r>
    </w:p>
    <w:p w:rsidR="00D06117" w:rsidRDefault="00D06117" w:rsidP="00D06117">
      <w:pPr>
        <w:pStyle w:val="TextoNormal"/>
      </w:pPr>
    </w:p>
    <w:p w:rsidR="00D06117" w:rsidRDefault="00D06117" w:rsidP="00D06117">
      <w:pPr>
        <w:pStyle w:val="TextoNormal"/>
      </w:pPr>
      <w:r>
        <w:t>Y ahí radica la singularidad de este caso, en el que los votos nulos provocan una doble incertidumbre —circunscripción a la que corresponden y dentro de ésta su destinatario—, de suerte que resulta necesaria una doble ponderación estadística, lo que obviamente multiplica el riesgo del error.</w:t>
      </w:r>
    </w:p>
    <w:p w:rsidR="00D06117" w:rsidRDefault="00D06117" w:rsidP="00D06117">
      <w:pPr>
        <w:pStyle w:val="TextoNormal"/>
      </w:pPr>
    </w:p>
    <w:p w:rsidR="00D06117" w:rsidRDefault="00D06117" w:rsidP="00D06117">
      <w:pPr>
        <w:pStyle w:val="TextoNormal"/>
      </w:pPr>
      <w:r>
        <w:t>Ya en este punto, es de señalar que “el principio de primacía de la verdad material en el proceso electoral” (SSTC 146/1999, de 27 de julio, FJ 7 y 124/2011, de 14 de julio, FJ 5) es compatible, sí, con los cálculos de ponderación estadística, pero sus resultados sólo podrán aceptarse cuando ofrezcan “un razonable margen de seguridad” (SSTC 131/1990 de 16 de julio, FJ 6 y 168/1991, de 19 de julio, FJ 2).</w:t>
      </w:r>
    </w:p>
    <w:p w:rsidR="00D06117" w:rsidRDefault="00D06117" w:rsidP="00D06117">
      <w:pPr>
        <w:pStyle w:val="TextoNormal"/>
      </w:pPr>
    </w:p>
    <w:p w:rsidR="00D06117" w:rsidRDefault="00D06117" w:rsidP="00D06117">
      <w:pPr>
        <w:pStyle w:val="TextoNormal"/>
      </w:pPr>
      <w:r>
        <w:t>La Sentencia de la que discrepo con sus razonamientos fija como cifras finales de los cocientes que aquí importan las de 6.690,6 votos para el PSOE y 6.682 para el FAC. Así pues, el cálculo estadístico llega una diferencia de ocho puntos, es decir, pequeñísima, tanto que la propia Sentencia la considera “lo suficientemente estrecha” como para que no pueda “descartarse … que el cómputo de los votos invalidados hubiera podido determinar que el escaño se adjudicase al FAC en vez de la PSOE”.</w:t>
      </w:r>
    </w:p>
    <w:p w:rsidR="00D06117" w:rsidRDefault="00D06117" w:rsidP="00D06117">
      <w:pPr>
        <w:pStyle w:val="TextoNormal"/>
      </w:pPr>
    </w:p>
    <w:p w:rsidR="00D06117" w:rsidRDefault="00D06117" w:rsidP="00D06117">
      <w:pPr>
        <w:pStyle w:val="TextoNormal"/>
      </w:pPr>
      <w:r>
        <w:t>Para mí esta observación tiene carácter definitivo, si se tiene en cuenta la gran distancia que separa el número de votos nulos y la diferencia entre cocientes (SSTC 24/1990, de 15 de febrero, FJ 8 y 166/1991, de 19 de julio, FJ 2), así como la escasa diferencia entre éstos, por un lado, y los riesgos de una doble ponderación, por otro.</w:t>
      </w:r>
    </w:p>
    <w:p w:rsidR="00D06117" w:rsidRDefault="00D06117" w:rsidP="00D06117">
      <w:pPr>
        <w:pStyle w:val="TextoNormal"/>
      </w:pPr>
    </w:p>
    <w:p w:rsidR="00D06117" w:rsidRDefault="00D06117" w:rsidP="00D06117">
      <w:pPr>
        <w:pStyle w:val="TextoNormal"/>
      </w:pPr>
      <w:r>
        <w:t>Para salvar este obstáculo, la Sentencia viene a entender que no existe tal doble ponderación, pues parte del dato de “que los votos controvertidos son solamente 66”. No es así: el hecho de que las partes y el Fiscal haciendo la primera ponderación coincidan en el resultado —66 votos para la circunscripción occidental—, no convierte éste en hecho cierto. Sigue siendo el resultado de una ponderación y por tanto con margen de error. No se trata de un hecho admitido, se trata de una ponderación con resultado coincidente, pero, en definitiva, ponderación con margen de error. El principio de la verdad material que inspira el amparo electoral (SSTC 87/1999, de 25 de mayo, FJ2, 153/2003, de 17 de febrero, FJ 9 y 124/2011, de 14 de julio, FJ 5), excluye de este proceso concepciones “esclavas del principio dispositivo” (STC 168/1991, de 19 de julio FJ 2) de modo que la coincidencia de las partes en el resultado de una ponderación no convierte éste en dato a aceptar por la Sala.</w:t>
      </w:r>
    </w:p>
    <w:p w:rsidR="00D06117" w:rsidRDefault="00D06117" w:rsidP="00D06117">
      <w:pPr>
        <w:pStyle w:val="TextoNormal"/>
      </w:pPr>
    </w:p>
    <w:p w:rsidR="00D06117" w:rsidRDefault="00D06117" w:rsidP="00D06117">
      <w:pPr>
        <w:pStyle w:val="TextoNormal"/>
      </w:pPr>
      <w:r>
        <w:t xml:space="preserve">En definitiva, en mi opinión, la conclusión de la Sentencia no puede sostenerse “con un razonable margen de seguridad”. Se opone a tal conclusión en primer término, la gran distancia que separa el número de votos nulos y la escasa diferencia entre cocientes. Y en segundo lugar hubiera debido tenerse en cuenta la incertidumbre que sobre los resultados proyecta la singularidad de este caso, nuevo en nuestra doctrina, en el que al ser necesarias dos ponderaciones estadísticas sucesivas se abre la posibilidad de error en cada una de ellas —una primera ponderación que puede ser errónea y sobre la que opera otra que a los errores </w:t>
      </w:r>
      <w:r>
        <w:lastRenderedPageBreak/>
        <w:t>de la base puede añadir otros— de modo que se multiplica la posibilidad de error en el resultado final. Lo que en este caso se potencia muy severamente por la muy escasa diferencia entre cocientes.</w:t>
      </w:r>
    </w:p>
    <w:p w:rsidR="00D06117" w:rsidRDefault="00D06117" w:rsidP="00D06117">
      <w:pPr>
        <w:pStyle w:val="TextoNormal"/>
      </w:pPr>
    </w:p>
    <w:p w:rsidR="00D06117" w:rsidRDefault="00D06117" w:rsidP="00D06117">
      <w:pPr>
        <w:pStyle w:val="TextoNormal"/>
      </w:pPr>
      <w:r>
        <w:t>Tengo muy en cuenta los inconvenientes que implica una repetición de la elección, pero no puedo descartar, “con un razonable margen de seguridad”, que el cómputo de los votos nulos haya podido alterar el resultado electoral. Las exigencias del principio de la verdad material, que aspira a conocer la voluntad real de los votantes, reclaman en este caso la repetición de la votación correspondiente al censo de electores residentes ausentes.</w:t>
      </w:r>
    </w:p>
    <w:p w:rsidR="00D06117" w:rsidRDefault="00D06117" w:rsidP="00D06117">
      <w:pPr>
        <w:pStyle w:val="TextoNormal"/>
      </w:pPr>
    </w:p>
    <w:p w:rsidR="00D06117" w:rsidRDefault="00D06117" w:rsidP="00D06117">
      <w:pPr>
        <w:pStyle w:val="TextoNormal"/>
      </w:pPr>
      <w:r>
        <w:t>Y este es mi parecer, que emito con pleno respeto a mis compañeros.</w:t>
      </w:r>
    </w:p>
    <w:p w:rsidR="00D06117" w:rsidRDefault="00D06117" w:rsidP="00D06117">
      <w:pPr>
        <w:pStyle w:val="TextoNormal"/>
      </w:pPr>
    </w:p>
    <w:p w:rsidR="00D06117" w:rsidRDefault="00D06117" w:rsidP="00D06117">
      <w:pPr>
        <w:pStyle w:val="TextoNormal"/>
      </w:pPr>
      <w:r>
        <w:t>Madrid, a once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09" w:name="SENTENCIA_2012_106"/>
      <w:r>
        <w:lastRenderedPageBreak/>
        <w:t>SENTENCIA 106/2012, de 21 de mayo de 2012</w:t>
      </w:r>
    </w:p>
    <w:bookmarkEnd w:id="109"/>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ECLI:ES:TC:2012:106</w:t>
      </w:r>
    </w:p>
    <w:p w:rsidR="00D06117" w:rsidRDefault="00D06117" w:rsidP="00D06117">
      <w:pPr>
        <w:pStyle w:val="SntesisDescriptiva"/>
      </w:pPr>
    </w:p>
    <w:p w:rsidR="00D06117" w:rsidRDefault="00D06117" w:rsidP="00D06117">
      <w:pPr>
        <w:pStyle w:val="SntesisDescriptiva"/>
      </w:pPr>
      <w:r>
        <w:t>Recurso de amparo 2689-2004. Promovido por don Jesús Nguere Mba en relación con los Autos de la Audiencia Provincial de Oviedo y del Juzgado de Vigilancia Penitenciaria Único del Principado de Asturias que desestimaron su queja sobre registro de la celda que ocupaba en el centro penitenciario de Asturias.</w:t>
      </w:r>
    </w:p>
    <w:p w:rsidR="00D06117" w:rsidRDefault="00D06117" w:rsidP="00D06117">
      <w:pPr>
        <w:pStyle w:val="SntesisDescriptiva"/>
      </w:pPr>
    </w:p>
    <w:p w:rsidR="00D06117" w:rsidRDefault="00D06117" w:rsidP="00D06117">
      <w:pPr>
        <w:pStyle w:val="SntesisAnaltica"/>
      </w:pPr>
      <w:r>
        <w:t>Supuesta vulneración de los derechos a la intimidad, inviolabilidad del domicilio y tutela judicial efectiva: registro de celda realizado de acuerdo con las previsiones establecidas por la normativa penitenciaria para los departamentos especiales y sin la presencia del recluso por razones de seguridad justificadas por el centro penitenciario.</w:t>
      </w:r>
    </w:p>
    <w:p w:rsidR="00D06117" w:rsidRDefault="00D06117" w:rsidP="00D06117">
      <w:pPr>
        <w:pStyle w:val="SntesisAnaltica"/>
      </w:pPr>
    </w:p>
    <w:p w:rsidR="00D06117" w:rsidRDefault="00D06117" w:rsidP="00D06117">
      <w:pPr>
        <w:pStyle w:val="Extracto"/>
      </w:pPr>
      <w:r>
        <w:t>1.</w:t>
      </w:r>
      <w:r>
        <w:tab/>
        <w:t>El registro de celda del interno, sin notificación previa y sin que se le informara tampoco de su resultado, no vulneró su derecho a la intimidad, toda vez que, habiéndose practicado el registro en su ausencia, dadas las evidentes razones de seguridad derivadas del cumplimiento de la condena en régimen cerrado, del hecho de que no se le diera cuenta inmediata posterior del contenido del registro y de su resultado significa necesariamente que éste fue negativo y que no hubo en él, por tanto, ninguna incidencia relevante [FJ 4].</w:t>
      </w:r>
    </w:p>
    <w:p w:rsidR="00D06117" w:rsidRDefault="00D06117" w:rsidP="00D06117">
      <w:pPr>
        <w:pStyle w:val="Extracto"/>
      </w:pPr>
    </w:p>
    <w:p w:rsidR="00D06117" w:rsidRDefault="00D06117" w:rsidP="00D06117">
      <w:pPr>
        <w:pStyle w:val="Extracto"/>
      </w:pPr>
      <w:r>
        <w:t>2.</w:t>
      </w:r>
      <w:r>
        <w:tab/>
        <w:t xml:space="preserve">Que el interno conozca de antemano la práctica diaria y rutinaria del registro de su celda no exime a la Administración penitenciaria de la obligación, </w:t>
      </w:r>
      <w:r w:rsidRPr="00D06117">
        <w:rPr>
          <w:i/>
        </w:rPr>
        <w:t>ex</w:t>
      </w:r>
      <w:r>
        <w:t xml:space="preserve"> art. 18.1 CE, de comunicarle, en un plazo razonable, las incidencias habidas en el mismo, toda vez que tales incidencias suponen una limitación del poder de disposición del interno sobre su ámbito personal de intimidad, autónoma e independiente al mero conocimiento del registro (STC 89/2006) [FJ 4].</w:t>
      </w:r>
    </w:p>
    <w:p w:rsidR="00D06117" w:rsidRDefault="00D06117" w:rsidP="00D06117">
      <w:pPr>
        <w:pStyle w:val="Extracto"/>
      </w:pPr>
    </w:p>
    <w:p w:rsidR="00D06117" w:rsidRDefault="00D06117" w:rsidP="00D06117">
      <w:pPr>
        <w:pStyle w:val="Extracto"/>
      </w:pPr>
      <w:r>
        <w:t>3.</w:t>
      </w:r>
      <w:r>
        <w:tab/>
        <w:t>Para que resulte constitucionalmente legítimo, y no suponga una restricción del derecho a la intimidad en el ámbito penitenciario, el registro de la celda y de las pertenencias personales del interno debe ser conocido por este, bien permitiendo su presencia durante la práctica del mismo, bien mediante una comunicación posterior que informe de su contenido y, en su caso, de la eventual incautación de objetos personales (STC 89/2006) [FJ 3]</w:t>
      </w:r>
    </w:p>
    <w:p w:rsidR="00D06117" w:rsidRDefault="00D06117" w:rsidP="00D06117">
      <w:pPr>
        <w:pStyle w:val="Extracto"/>
      </w:pPr>
    </w:p>
    <w:p w:rsidR="00D06117" w:rsidRDefault="00D06117" w:rsidP="00D06117">
      <w:pPr>
        <w:pStyle w:val="Extracto"/>
      </w:pPr>
      <w:r>
        <w:t>4.</w:t>
      </w:r>
      <w:r>
        <w:tab/>
        <w:t>La intimidad comprende, entre otras facultades, la reserva de conocimiento de un ámbito personal que es administrado por su titular, reserva y administración que se devalúan si el titular de dicho ámbito desconoce las dimensiones del mismo porque ignora la efectiva intromisión ajena (STC 89/2006) [FJ 3].</w:t>
      </w:r>
    </w:p>
    <w:p w:rsidR="00D06117" w:rsidRDefault="00D06117" w:rsidP="00D06117">
      <w:pPr>
        <w:pStyle w:val="Extracto"/>
      </w:pPr>
    </w:p>
    <w:p w:rsidR="00D06117" w:rsidRDefault="00D06117" w:rsidP="00D06117">
      <w:pPr>
        <w:pStyle w:val="Extracto"/>
      </w:pPr>
      <w:r>
        <w:t>5.</w:t>
      </w:r>
      <w:r>
        <w:tab/>
        <w:t>El recurso de amparo no es cauce para la depuración abstracta del ordenamiento ni, menos aún, para interesar el control constitucional de las disposiciones de carácter reglamentario, que corresponde por principio a los órganos de la jurisdic</w:t>
      </w:r>
      <w:r>
        <w:lastRenderedPageBreak/>
        <w:t>ción ordinaria, salvo en los supuestos ciertamente excepcionales de que la correspondiente lesión constitucional fuera imputable de modo directo a la norma reglamentaria (SSTC 141/1985, 121/1997)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8919-2009, promovido por don Jesús Nguere Mba, representado por la Procuradora de los Tribunales doña Olga Romojaro Casado y bajo la dirección de la Abogada doña Carmen Pujol Algans, contra el Auto de la Sección Tercera de la Audiencia Provincial de Oviedo, de 20 de abril de 2009, recaído en el rollo núm. 255-2009, que desestimando el recurso de apelación confirmó los Autos del Juzgado de Vigilancia Penitenciaria Único del Principado de Asturias, de 13 de junio y 29 de julio de 2008, que a su vez desestimaban la queja contra la medida de registro de la celda que ocupaba el demandante en el centro penitenciario de Asturias. Ha intervenido el Ministerio Fiscal y la Abogacía del Estado.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de 3 de julio de 2009, cursado desde el centro penitenciario del Puerto de Santa María I, y con fecha de entrada en el Registro General de este Tribunal el día 16 de julio de 2009, don Jesús Nguere Mba manifestó su voluntad de formalizar demanda de amparo contra la actuación de la Administración penitenciaria en el registro de su celda y, entre otras, contra las resoluciones judiciales del Juzgado de Vigilancia Penitenciaria Único de Oviedo y de la Sección Tercera de la Audiencia Provincial de Oviedo, que se mencionan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Por diligencia de ordenación de 28 de octubre de 2009, del Secretario de Justicia de la Sección Primera de este Tribunal, se libró despacho al Ilmo. Colegio de Abogados de Madrid para que designara Abogado y Procurador del turno de oficio al recurrente, y una vez recaídas las respectivas designaciones, tras la oportuna tramitación, se formalizó demanda de amparo, que tuvo entrada en el Registro General de este Tribunal el 2 de febrero de 2010.</w:t>
      </w:r>
    </w:p>
    <w:p w:rsidR="00D06117" w:rsidRDefault="00D06117" w:rsidP="00D06117">
      <w:pPr>
        <w:pStyle w:val="TextoNormal"/>
      </w:pPr>
    </w:p>
    <w:p w:rsidR="00D06117" w:rsidRDefault="00D06117" w:rsidP="00D06117">
      <w:pPr>
        <w:pStyle w:val="TextoNormal"/>
      </w:pPr>
      <w:r w:rsidRPr="00D06117">
        <w:rPr>
          <w:rStyle w:val="NumeroAFNegritaCaracter"/>
        </w:rPr>
        <w:t>3</w:t>
      </w:r>
      <w:r>
        <w:t>. Los hechos relevantes para la resolución del presente recurso son, sucintamente expuestos, los siguientes:</w:t>
      </w:r>
    </w:p>
    <w:p w:rsidR="00D06117" w:rsidRDefault="00D06117" w:rsidP="00D06117">
      <w:pPr>
        <w:pStyle w:val="TextoNormal"/>
      </w:pPr>
    </w:p>
    <w:p w:rsidR="00D06117" w:rsidRDefault="00D06117" w:rsidP="00D06117">
      <w:pPr>
        <w:pStyle w:val="TextoNormal"/>
      </w:pPr>
      <w:r>
        <w:t>a) El día 10 de marzo de 2008 el demandante, interno en el centro penitenciario de Villabona, elevó queja al Juzgado de Vigilancia Penitenciaria de Oviedo núm. 1 por no haber sido citado para estar presente en el registro de la celda que ocupaba, de cuya práctica tuvo conocimiento al subir del patio a las 13:00 horas y encontrarse sus pertenencias revueltas. Consideraba que dicho modo de practicarse atentaba contra su derecho a la intimidad y dignidad. Indicaba que la celda debe ser considerada domicilio habitual, y el registro de la celda debía estar sujeto a las mismas garantías exigibles al registro del domicilio. Afirmaba que si bien no es igual que el registro de las viviendas deben respetarse en su práctica las exigencias de presencia del preso y de entrega del acta del registro, para conocer los objetos que son retirados y las razones de dicha requisa, solicitando del Juez que declare la invalidez de dicho registro, así como realice una indicación genérica para que “en todos los cacheos de celda que se vienen realizando sin nuestra presencia, los presos seamos citados y estemos presentes en cada cacheo de celda”.</w:t>
      </w:r>
    </w:p>
    <w:p w:rsidR="00D06117" w:rsidRDefault="00D06117" w:rsidP="00D06117">
      <w:pPr>
        <w:pStyle w:val="TextoNormal"/>
      </w:pPr>
    </w:p>
    <w:p w:rsidR="00D06117" w:rsidRDefault="00D06117" w:rsidP="00D06117">
      <w:pPr>
        <w:pStyle w:val="TextoNormal"/>
      </w:pPr>
      <w:r>
        <w:t>b) Iniciado el correspondiente expediente, que se registró con el núm. 241-2008, el Subdirector de seguridad del centro penitenciario emitió informe, a requerimiento del Juzgado, en el que justificaba el registro indicando que “se realizan en todos los Departamentos de este Centro, se llevan a cabo exactamente en iguales condiciones y con los mismos requisitos, formales y materiales, respetando la intimidad y dignidad de los internos” y en relación al modo en que se practicó precisaba que “la entidad y ejecución de los registros y requisas no depende en ningún modo de la presencia o ausencia del interno durante el mismo, prevaleciendo en el hacer de los funcionarios el respeto a las pertenencias del interno en la medida que la finalidad del mismo permita. Por otra parte, la presencia de los internos en este acto de requisa de la celda y cacheo de los objetos existentes en la misma, merma la seguridad de los funcionarios y ocasiona conflictos en el ejercicio de estas medidas de seguridad interior, máxime como es el caso de internos del departamento de aislamiento, por lo que por evidentes razones de seguridad se realizan sin la presencia del interno.”</w:t>
      </w:r>
    </w:p>
    <w:p w:rsidR="00D06117" w:rsidRDefault="00D06117" w:rsidP="00D06117">
      <w:pPr>
        <w:pStyle w:val="TextoNormal"/>
      </w:pPr>
    </w:p>
    <w:p w:rsidR="00D06117" w:rsidRDefault="00D06117" w:rsidP="00D06117">
      <w:pPr>
        <w:pStyle w:val="TextoNormal"/>
      </w:pPr>
      <w:r>
        <w:t>c) Por Auto del Juzgado de Vigilancia Penitenciaria Único de Oviedo, de 13 de junio de 2008, se desestimó la queja. Dicho Auto argumentaba que “las celdas de los internos … no constituyen domicilio y son edificios públicos, y para entrar en los cuales no es preciso resolución judicial mediante auto motivado”, y tras citar los arts. 23 Ley Orgánica general penitenciaria (en adelante LOGP) en relación con los arts. 65 y 68 del Reglamento penitenciario (en adelante RP) expone que de los mismos no se deriva, “per se y obligatoriamente la presencia del interno en el registro de su celda (sin perjuicio de que dicha presencia pudiera resultar, en su caso, conveniente), ni tampoco prevé la extensión de acta alguna al modo de las actas de los registros judiciales, no pudiendo afirmarse que el registro practicado sin citación ni presencia del interno infrinja ningún precepto legal ni menoscabe su dignidad y sin poder obviar que la Administración penitenciaria tiene el inexcusable deber de mantener la seguridad y el buen orden regimental, lo que exige un control y vigilancia exhaustivas sobre todas las dependencias del Centro penitenciario, incluidas las celdas asignadas a los internos.” Dicho Auto fue confirmado por otro, de 29 de julio de 2008, que desestimó el recurso de reforma interpuesto.</w:t>
      </w:r>
    </w:p>
    <w:p w:rsidR="00D06117" w:rsidRDefault="00D06117" w:rsidP="00D06117">
      <w:pPr>
        <w:pStyle w:val="TextoNormal"/>
      </w:pPr>
    </w:p>
    <w:p w:rsidR="00D06117" w:rsidRDefault="00D06117" w:rsidP="00D06117">
      <w:pPr>
        <w:pStyle w:val="TextoNormal"/>
      </w:pPr>
      <w:r>
        <w:t xml:space="preserve">d) Por el Letrado designado de oficio al demandante se interpuso recurso de apelación exponiendo la necesidad de que el registro se realizara con la presencia del demandante, impugnando el registro desde la perspectiva del derecho a la intimidad (art. 18.1 CE) y no </w:t>
      </w:r>
      <w:r>
        <w:lastRenderedPageBreak/>
        <w:t>de la inviolabilidad domiciliaria (art. 18.2 CE). Tras exponer las exigencias del juicio de proporcionalidad, afirma que el registro no estuvo justificado ni era necesario sin que quepa justificar la finalidad del mismo con la invocación de un interés general, añadiendo que “básicamente, este recurso tiene su fundamento y origen en su modo de realización, y, en concreto, a que se hiciera en ausencia de mi defendido, ocupante de la celda, sin notificación previa al mismo” y sin que se le informara de su resultado. “Por ello, hemos de concluir que la indebida ausencia de información sobre la práctica del registro que se deriva de la conjunción de la ausencia del recurrente en el mismo ha supuesto una limitación del derecho a la intimidad del recurrente que no es conforme a las existencias de proporcionalidad que la Constitución impone a la limitación de los derechos fundamentales.”</w:t>
      </w:r>
    </w:p>
    <w:p w:rsidR="00D06117" w:rsidRDefault="00D06117" w:rsidP="00D06117">
      <w:pPr>
        <w:pStyle w:val="TextoNormal"/>
      </w:pPr>
    </w:p>
    <w:p w:rsidR="00D06117" w:rsidRDefault="00D06117" w:rsidP="00D06117">
      <w:pPr>
        <w:pStyle w:val="TextoNormal"/>
      </w:pPr>
      <w:r>
        <w:t>e) El recurso fue desestimado por Auto, de 20 de abril de 2009, dictado por la Sección Tercera de la Audiencia Provincial de Oviedo. Se motiva la decisión afirmando que el registro efectuado en la celda del recurrente sin contar con su presencia no supone vulneración de sus derechos, “si nos atenemos a la esencia de la relación creada entre los centros penitenciarios y los penados que por un lado impide considerar la celda en los mismos términos que a los del domicilio y por otro impone la adopción de medidas de seguridad y normas organizativas propias derivadas de la especial naturaleza de aquella relación, de ahí que las razones expuestas por el centro penitenciario, relativas a la necesidad de preservar la seguridad de los funcionarios en la práctica de los registros y evitar conflictos en su ejercicio permiten determinar la inexistencia de infracción alguna de los derechos del interno que permita hacer prosperar la viabilidad de la queja articulada, por lo que procede su íntegra desestimación”.</w:t>
      </w:r>
    </w:p>
    <w:p w:rsidR="00D06117" w:rsidRDefault="00D06117" w:rsidP="00D06117">
      <w:pPr>
        <w:pStyle w:val="TextoNormal"/>
      </w:pPr>
    </w:p>
    <w:p w:rsidR="00D06117" w:rsidRDefault="00D06117" w:rsidP="00D06117">
      <w:pPr>
        <w:pStyle w:val="TextoNormal"/>
      </w:pPr>
      <w:r w:rsidRPr="00D06117">
        <w:rPr>
          <w:rStyle w:val="NumeroAFNegritaCaracter"/>
        </w:rPr>
        <w:t>4</w:t>
      </w:r>
      <w:r>
        <w:t>. En la demanda de amparo se invoca la vulneración de los arts. 18 y 24 de la Constitución Española.</w:t>
      </w:r>
    </w:p>
    <w:p w:rsidR="00D06117" w:rsidRDefault="00D06117" w:rsidP="00D06117">
      <w:pPr>
        <w:pStyle w:val="TextoNormal"/>
      </w:pPr>
    </w:p>
    <w:p w:rsidR="00D06117" w:rsidRDefault="00D06117" w:rsidP="00D06117">
      <w:pPr>
        <w:pStyle w:val="TextoNormal"/>
      </w:pPr>
      <w:r>
        <w:t>Inicia su argumentación exponiendo el contenido del derecho a la intimidad (art. 18.1 CE), indicando que preserva la existencia de un ámbito propio y reservado frente a la acción y conocimiento de los demás. Añade que la inviolabilidad del domicilio (art. 18.2 CE), es una garantía instrumental del derecho a la intimidad, y con cita de la STC 197/1985, de 17 de octubre, define el domicilio como el espacio físico donde la persona desarrolla su esfera privada o libertad más íntimas, abarcando no sólo el lugar donde se pernocta habitualmente, sino también el ámbito erigido por una persona para desarrollar en él alguna actividad. Afirma que la celda y la morada deben ser consideradas como domicilio habitual del preso por lo que deberá tener toda protección que se dispensa al domicilio de las personas libres. Entiende que el registro de las celdas puede constituir un medio necesario para proteger la seguridad y el orden del establecimiento, pero no basta alegar una finalidad de protección de intereses públicos, sino que es preciso ponderar si la gravedad de la intromisión en la intimidad que comporta el registro es imprescindible para asegurar la defensa del interés público que se pretende proteger.</w:t>
      </w:r>
    </w:p>
    <w:p w:rsidR="00D06117" w:rsidRDefault="00D06117" w:rsidP="00D06117">
      <w:pPr>
        <w:pStyle w:val="TextoNormal"/>
      </w:pPr>
    </w:p>
    <w:p w:rsidR="00D06117" w:rsidRDefault="00D06117" w:rsidP="00D06117">
      <w:pPr>
        <w:pStyle w:val="TextoNormal"/>
      </w:pPr>
      <w:r>
        <w:t xml:space="preserve">Considera que la decisión de practicar un registro no puede adoptarse de forma sistemática, aunque lo prevea el art. 93 RP, sino que deben concurrir las garantías de justificación, necesidad, proporcionalidad, urgencia y certeza. Entiende que debe exigirse una justificación en el caso concreto, y si bien la seguridad del establecimiento penitenciario puede erigirse en límite valido del derecho, “lo que falla es la inmediatez en este caso concreto”. Afirma que el registro diario no es el medio menos restrictivo del derecho a la intimidad, </w:t>
      </w:r>
      <w:r>
        <w:lastRenderedPageBreak/>
        <w:t>toda vez que al realizarse de forma rutinaria queda sin fundamento, supone una limitación inútil.</w:t>
      </w:r>
    </w:p>
    <w:p w:rsidR="00D06117" w:rsidRDefault="00D06117" w:rsidP="00D06117">
      <w:pPr>
        <w:pStyle w:val="TextoNormal"/>
      </w:pPr>
    </w:p>
    <w:p w:rsidR="00D06117" w:rsidRDefault="00D06117" w:rsidP="00D06117">
      <w:pPr>
        <w:pStyle w:val="TextoNormal"/>
      </w:pPr>
      <w:r>
        <w:t>Añade que el registro que se practicó en la celda vulneró el principio de proporcionalidad en sentido estricto. Precisa que la clasificación en primer grado del demandante no puede servir para limitar su derecho fundamental. Con cita de la STC 57/1994, de 28 de febrero, expone que no basta la simple invocación del interés público, sino que es imprescindible la fundamentación de la medida por la Administración penitenciaria, pues sólo así podrá controlarse la razonabilidad de la misma por los órganos judiciales. No bastan meras sospechas para realizar el registro.</w:t>
      </w:r>
    </w:p>
    <w:p w:rsidR="00D06117" w:rsidRDefault="00D06117" w:rsidP="00D06117">
      <w:pPr>
        <w:pStyle w:val="TextoNormal"/>
      </w:pPr>
    </w:p>
    <w:p w:rsidR="00D06117" w:rsidRDefault="00D06117" w:rsidP="00D06117">
      <w:pPr>
        <w:pStyle w:val="TextoNormal"/>
      </w:pPr>
      <w:r>
        <w:t>Entiende que la presencia del interno durante el registro supone un reforzamiento de la garantía de que la diligencia se realizará en forma debida. Considera que el art. 93.1.2 RP no reúne los requisitos necesarios que permitan considerar que la lesión al derecho fundamental tiene una justificación objetiva y razonable, si bien la regulación satisface las exigencias del test de adecuación. Entiende que el régimen de los presos clasificados en primer grado conlleva menos posibilidades de poseer objetos o sustancias prohibidas. Afirma que la periodicidad diaria del registro de las celdas de todos los internos en régimen cerrado rompe el principio de necesidad, sin que sirva la invocación genérica de la mayor peligrosidad que suponen los presos en régimen cerrado. Es necesario, a su juicio, que existan sustancias u objetos peligrosos que puedan poner en peligro la salud de las personas.</w:t>
      </w:r>
    </w:p>
    <w:p w:rsidR="00D06117" w:rsidRDefault="00D06117" w:rsidP="00D06117">
      <w:pPr>
        <w:pStyle w:val="TextoNormal"/>
      </w:pPr>
    </w:p>
    <w:p w:rsidR="00D06117" w:rsidRDefault="00D06117" w:rsidP="00D06117">
      <w:pPr>
        <w:pStyle w:val="TextoNormal"/>
      </w:pPr>
      <w:r>
        <w:t>Alega que el condenado a pena de prisión que estuviera cumpliendo la misma, goza de los derechos fundamentales, a excepción de los que se vean expresamente limitados por el contenido del fallo condenatorio, el sentido de la pena y la ley penitenciaria. Afirma que el fin de la pena no pude servir para limitar el derecho del art. 18 CE, siendo cuestionable que la Ley Orgánica general penitenciaria remita al reglamento penitenciario las garantías y la periodicidad con que deben realizarse los registros. Entiende que la remisión al reglamento no puede realizarse de manera incondicional.</w:t>
      </w:r>
    </w:p>
    <w:p w:rsidR="00D06117" w:rsidRDefault="00D06117" w:rsidP="00D06117">
      <w:pPr>
        <w:pStyle w:val="TextoNormal"/>
      </w:pPr>
    </w:p>
    <w:p w:rsidR="00D06117" w:rsidRDefault="00D06117" w:rsidP="00D06117">
      <w:pPr>
        <w:pStyle w:val="TextoNormal"/>
      </w:pPr>
      <w:r>
        <w:t>Por todo lo expuesto, solicita que se otorgue el amparo y se restablezca al demandante en los derechos a la intimidad personal (art. 18.1 CE) y a la tutela judicial efectiva (art. 24 CE), y se declare la nulidad de los Autos impugnados y la inconstitucionalidad del art. 93.1.2 RP.</w:t>
      </w:r>
    </w:p>
    <w:p w:rsidR="00D06117" w:rsidRDefault="00D06117" w:rsidP="00D06117">
      <w:pPr>
        <w:pStyle w:val="TextoNormal"/>
      </w:pPr>
    </w:p>
    <w:p w:rsidR="00D06117" w:rsidRDefault="00D06117" w:rsidP="00D06117">
      <w:pPr>
        <w:pStyle w:val="TextoNormal"/>
      </w:pPr>
      <w:r w:rsidRPr="00D06117">
        <w:rPr>
          <w:rStyle w:val="NumeroAFNegritaCaracter"/>
        </w:rPr>
        <w:t>5</w:t>
      </w:r>
      <w:r>
        <w:t>. La Sala Primera de este Tribunal mediante providencia dictada el 28 de febrero de 2011, acordó admitir a trámite la demanda y por diligencia de ordenación de 23 de marzo de 2011, de conformidad con el art. 52 de la Ley Orgánica del Tribunal Constitucional (LOTC), se concedió al demandante de amparo y al Ministerio Fiscal, el plazo de veinte días, para que formularan alegaciones.</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Por escrito registrado en este Tribunal el 27 de abril de 2011, la representación del demandante de amparo, manifestó que la especial trascendencia constitucional se justificaba por la necesidad de que el Tribunal Constitucional se pronuncie sobre si el desarrollo del art. 23 LOGP efectuado por el art. 93.1.2 RP es compatible con el derecho a la intimidad del art. 18 CE, reiterando los argumentos expuestos en la demanda relativos a la falta de </w:t>
      </w:r>
      <w:r>
        <w:lastRenderedPageBreak/>
        <w:t>ponderación de los derechos en conflicto que resulta del informe emitido por el centro penitenciario sobre la práctica de los registros que se realizan sin la presencia de los internos. Cita en apoyo del recurso la STC 15/2011, de 28 de febrero.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evacuó el trámite de alegaciones mediante escrito registrado en este Tribunal con fecha de 25 de mayo de 2011, en el que concluía interesando la desestimación del recurso, al considerar que la realización del mismo no vulneró el derecho a la intimidad del art. 18.1 CE.</w:t>
      </w:r>
    </w:p>
    <w:p w:rsidR="00D06117" w:rsidRDefault="00D06117" w:rsidP="00D06117">
      <w:pPr>
        <w:pStyle w:val="TextoNormal"/>
      </w:pPr>
    </w:p>
    <w:p w:rsidR="00D06117" w:rsidRDefault="00D06117" w:rsidP="00D06117">
      <w:pPr>
        <w:pStyle w:val="TextoNormal"/>
      </w:pPr>
      <w:r>
        <w:t>Tras exponer los antecedentes procesales, considera el Ministerio Fiscal que se trata de un recurso de amparo de los contemplados en el artículo 43 LOTC, al dirigirse contra actos de la Administración penitenciaria, citando en tal sentido la STC 89/2006, de 27 de marzo.</w:t>
      </w:r>
    </w:p>
    <w:p w:rsidR="00D06117" w:rsidRDefault="00D06117" w:rsidP="00D06117">
      <w:pPr>
        <w:pStyle w:val="TextoNormal"/>
      </w:pPr>
    </w:p>
    <w:p w:rsidR="00D06117" w:rsidRDefault="00D06117" w:rsidP="00D06117">
      <w:pPr>
        <w:pStyle w:val="TextoNormal"/>
      </w:pPr>
      <w:r>
        <w:t>En relación al objeto del amparo afirma que lo constituye la posible lesión del derecho a la intimidad del demandante producida por la medida de registro de la celda realizada el 10 de marzo de 2008. Entiende que la alegación efectuada en algún apartado de la demanda de una posible vulneración del derecho a la inviolabilidad domiciliaria (art. 18.2 CE), además de no haber sido invocada en el recurso de apelación, en el que se excluyó expresamente que la celda fuera domicilio en el sentido constitucional del término, aparece formulada en forma tangencial y con subordinación en todo caso a la lesión del derecho a la intimidad personal.</w:t>
      </w:r>
    </w:p>
    <w:p w:rsidR="00D06117" w:rsidRDefault="00D06117" w:rsidP="00D06117">
      <w:pPr>
        <w:pStyle w:val="TextoNormal"/>
      </w:pPr>
    </w:p>
    <w:p w:rsidR="00D06117" w:rsidRDefault="00D06117" w:rsidP="00D06117">
      <w:pPr>
        <w:pStyle w:val="TextoNormal"/>
      </w:pPr>
      <w:r>
        <w:t>Centrada la cuestión en la vulneración del derecho a la intimidad personal, tras exponer la posición del demandante, afirma que las medidas de registro o requisas de las celdas están contempladas en la legislación penitenciaria como medidas de seguridad interior en el artículo 23 LOGP, desarrollado reglamentariamente en el artículo 68.1 RP. Afirma que el registro de la celda en el presente caso no parece responder a ninguna circunstancia específica sino que fue realizado de manera rutinaria en aplicación de lo establecido en el artículo 93.1.2 RP, dado que el demandante se encuentra en régimen cerrado (en el departamento de aislamiento), según lo manifestado por el centro penitenciario en su informe de 3 de junio de 2008.</w:t>
      </w:r>
    </w:p>
    <w:p w:rsidR="00D06117" w:rsidRDefault="00D06117" w:rsidP="00D06117">
      <w:pPr>
        <w:pStyle w:val="TextoNormal"/>
      </w:pPr>
    </w:p>
    <w:p w:rsidR="00D06117" w:rsidRDefault="00D06117" w:rsidP="00D06117">
      <w:pPr>
        <w:pStyle w:val="TextoNormal"/>
      </w:pPr>
      <w:r>
        <w:t>Indica que la previsión reglamentaria de que la medida de registro se realice diariamente para los internos que se encuentran en la modalidad de departamentos especiales dentro del régimen cerrado, trae causa del mayor riesgo que para el orden y la seguridad del Centro, y de quienes se encuentran en el mismo, se deriva de las circunstancias objetivas de especial peligrosidad que concurren en quienes se encuentran cumpliendo en los departamentos especiales de régimen cerrado, además de dar cumplimiento a lo previsto en la Ley general penitenciaria.</w:t>
      </w:r>
    </w:p>
    <w:p w:rsidR="00D06117" w:rsidRDefault="00D06117" w:rsidP="00D06117">
      <w:pPr>
        <w:pStyle w:val="TextoNormal"/>
      </w:pPr>
    </w:p>
    <w:p w:rsidR="00D06117" w:rsidRDefault="00D06117" w:rsidP="00D06117">
      <w:pPr>
        <w:pStyle w:val="TextoNormal"/>
      </w:pPr>
      <w:r>
        <w:t xml:space="preserve">Reproduce los arts. 10.1 y 3 LOGP y 90, 91 y 93.1.2 RP, precisando que son las especiales circunstancias de inadaptación al régimen ordinario y de peligrosidad extrema de los internos que se encuentran en régimen cerrado, apreciadas en resolución motivada, las que se toman en consideración por el legislador para extremar las medidas de control sobre los mismos en orden a garantizar la seguridad interna y el orden del centro así como para garantizar la propia seguridad de los internos sujetos a la Administración penitenciaria. Afirma que la periodicidad de registro se atribuye por el art. 23 LOGP a la norma reglamentaria, y el hecho de que el artículo 93.1.2 del reglamento establezca la periodicidad diaria no puede </w:t>
      </w:r>
      <w:r>
        <w:lastRenderedPageBreak/>
        <w:t>ser considerado algo arbitrario, sino que viene justificado por la previsión legal del artículo 10.3 LOGP por el que somete a mayor vigilancia y control a los internos en régimen cerrado en razón a las especiales circunstancias de peligrosidad que motivan su inclusión en dicho régimen penitenciario, y que deben ser apreciadas en resolución motivada en base a circunstancias objetivas.</w:t>
      </w:r>
    </w:p>
    <w:p w:rsidR="00D06117" w:rsidRDefault="00D06117" w:rsidP="00D06117">
      <w:pPr>
        <w:pStyle w:val="TextoNormal"/>
      </w:pPr>
    </w:p>
    <w:p w:rsidR="00D06117" w:rsidRDefault="00D06117" w:rsidP="00D06117">
      <w:pPr>
        <w:pStyle w:val="TextoNormal"/>
      </w:pPr>
      <w:r>
        <w:t>Tras citar los artículos 3 y 23 LOGP y 4.2 b) y 71.1 RP, examina si las garantías exigibles con carácter general respecto de las medidas de seguridad interior adoptadas por la Administración penitenciaria son igualmente aplicables a los supuestos internos que se encuentran en régimen cerrado. Afirma que la STC 89/2006, de 27 de marzo, establece las garantías que deben concurrir desde la perspectiva constitucional de los supuestos de restricción del derecho a la intimidad por la medida de registro de la celda de un interno. Afirma que dicha doctrina se estableció en un supuesto en el que el interno se encontraba en régimen ordinario siendo preciso realizar el juicio de proporcionalidad de la medida en relación con la situación de régimen cerrado en la modalidad de departamento especial de aislamiento en la que se encontraba el demandante. Afirma que la medida en relación con los fines del interés general asignados a la Administración penitenciaria como son el mantenimiento de la seguridad y buen orden de los centros penitenciarios debe ser considerada idónea para el cumplimiento de los mismos especialmente dadas las especiales circunstancias de peligrosidad o inadaptación que concurren en los internos en los centros de régimen cerrado. Afirma que la necesidad de la medida resulta de la propia asignación del interno a la modalidad de departamento especial dentro del régimen cerrado mediante resolución motivada y previa constatación objetiva de una extrema peligrosidad (art. 10 LOGP). Las especiales circunstancias que describe el artículo 91.3 del reglamento ponen de manifiesto la existencia de una especial situación del mismo que justifica la necesidad de la medida de registro diario de la celda, que se mantiene mientras no se modifique su asignación en la modalidad de vida de los departamentos especiales conforme al artículo 92 del reglamento.</w:t>
      </w:r>
    </w:p>
    <w:p w:rsidR="00D06117" w:rsidRDefault="00D06117" w:rsidP="00D06117">
      <w:pPr>
        <w:pStyle w:val="TextoNormal"/>
      </w:pPr>
    </w:p>
    <w:p w:rsidR="00D06117" w:rsidRDefault="00D06117" w:rsidP="00D06117">
      <w:pPr>
        <w:pStyle w:val="TextoNormal"/>
      </w:pPr>
      <w:r>
        <w:t>El Ministerio Fiscal se refiere asimismo a la proporcionalidad de la medida en lo concerniente al modo en que se realizó el registro, esto es, sin su presencia y sin ser informado del mismo y de su resultado. Tras reproducir parcialmente la STC 89/2006, afirma que la exigencia de información sobre el registro puede verse satisfecha mediante una comunicación simultánea —con la presencia del interno durante la realización del registro—, o con una comunicación posterior sobre su resultado. La no presencia del interno puede estar justificada en la necesidad de evitar que se frustre el buen fin de la medida por razones de seguridad. Precisamente el informe que envió el centro penitenciario señala que la presencia de los internos durante el registro merma la seguridad de los funcionarios y ocasiona conflictos en la ejecución de esta medida de seguridad especialmente en el caso de internos destinados en el departamento de aislamiento. Señala que el interno podía saber con carácter previo la posibilidad de que se le realizarán registros diarios de la celda al estar destinado en un departamento de aislamiento con las modalidades específicas de vida que se establecen en el artículo 93 RP. Afirma que pese a no ser informado con posterioridad a la realización del registro, del resultado del mismo, en ningún momento se queja de la falta de algún objeto o pertenencia que estuviera en su celda, ni se ha alegado que como consecuencia del registro se hubiere incoado algún expediente disciplinario en base a algún objeto incautado que descartan que la medida estuviera en curso en exceso en la restricción del derecho fundamental de intimidad interno.</w:t>
      </w:r>
    </w:p>
    <w:p w:rsidR="00D06117" w:rsidRDefault="00D06117" w:rsidP="00D06117">
      <w:pPr>
        <w:pStyle w:val="TextoNormal"/>
      </w:pPr>
    </w:p>
    <w:p w:rsidR="00D06117" w:rsidRDefault="00D06117" w:rsidP="00D06117">
      <w:pPr>
        <w:pStyle w:val="TextoNormal"/>
      </w:pPr>
      <w:r>
        <w:lastRenderedPageBreak/>
        <w:t>Por último considera que la vulneración del derecho a la tutela judicial invocado en la demanda no aparece formulada con carácter autónomo sino vinculada al no restablecimiento por las instancias judiciales del derecho de intimidad por lo que conforme a lo expuesto no puede considerarse que se haya lesionado el derecho a la tutela judicial efectiva.</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diligencia de ordenación de 4 de noviembre de 2011, de conformidad con el art. 52 LOTC, se emplazó al Abogado del Estado, para que en el plazo de veinte días, si lo estimaba oportuno se personara en el recurso y presentara las alegaciones que a su derecho convenga.</w:t>
      </w:r>
    </w:p>
    <w:p w:rsidR="00D06117" w:rsidRDefault="00D06117" w:rsidP="00D06117">
      <w:pPr>
        <w:pStyle w:val="TextoNormal"/>
      </w:pPr>
    </w:p>
    <w:p w:rsidR="00D06117" w:rsidRDefault="00D06117" w:rsidP="00D06117">
      <w:pPr>
        <w:pStyle w:val="TextoNormal"/>
      </w:pPr>
      <w:r w:rsidRPr="00D06117">
        <w:rPr>
          <w:rStyle w:val="NumeroAFNegritaCaracter"/>
        </w:rPr>
        <w:t>9</w:t>
      </w:r>
      <w:r>
        <w:t>. El 1 de diciembre de 2011, fue registrado el escrito de alegaciones del Abogado del Estado.</w:t>
      </w:r>
    </w:p>
    <w:p w:rsidR="00D06117" w:rsidRDefault="00D06117" w:rsidP="00D06117">
      <w:pPr>
        <w:pStyle w:val="TextoNormal"/>
      </w:pPr>
    </w:p>
    <w:p w:rsidR="00D06117" w:rsidRDefault="00D06117" w:rsidP="00D06117">
      <w:pPr>
        <w:pStyle w:val="TextoNormal"/>
      </w:pPr>
      <w:r>
        <w:t>El Abogado del Estado afirma que aparentemente se trata de un amparo mixto, al invocar la vulneración del derecho a la tutela judicial efectiva (art. 24.1 CE), si bien el demandante no razona ninguna vulneración autónoma atribuida a las resoluciones judiciales, sino que la queja se sustenta en que los órganos judiciales no apreciaron la violación del derecho a la intimidad (art. 18.1 CE), y del derecho a la inviolabilidad del domicilio (art. 18.2 CE), derivada del modo en que se practicó el registro en la celda, por lo que la demanda debe encuadrarse dentro del artículo 43.1 LOTC, sin que sea posible atribuir lesión autónoma a las resoluciones judiciales.</w:t>
      </w:r>
    </w:p>
    <w:p w:rsidR="00D06117" w:rsidRDefault="00D06117" w:rsidP="00D06117">
      <w:pPr>
        <w:pStyle w:val="TextoNormal"/>
      </w:pPr>
    </w:p>
    <w:p w:rsidR="00D06117" w:rsidRDefault="00D06117" w:rsidP="00D06117">
      <w:pPr>
        <w:pStyle w:val="TextoNormal"/>
      </w:pPr>
      <w:r>
        <w:t>Entiende inadmisible la pretensión relativa a que se declare “la inconstitucionalidad del art. 93.1.2 del Reglamento Penitenciario”, por haber sido planteada per saltum, sin agotar la vía judicial previa ni haber planteado su inconstitucionalidad pese a que el Juzgado de Vigilancia Penitenciaria y la Audiencia Provincial hubieran podido inaplicar ese precepto reglamentario.</w:t>
      </w:r>
    </w:p>
    <w:p w:rsidR="00D06117" w:rsidRDefault="00D06117" w:rsidP="00D06117">
      <w:pPr>
        <w:pStyle w:val="TextoNormal"/>
      </w:pPr>
    </w:p>
    <w:p w:rsidR="00D06117" w:rsidRDefault="00D06117" w:rsidP="00D06117">
      <w:pPr>
        <w:pStyle w:val="TextoNormal"/>
      </w:pPr>
      <w:r>
        <w:t>Con cita de la STC 89/2006, de 27 de marzo, FJ 2, afirma que la celda no es domicilio en sentido constitucional, si bien es un “espacio apto para desarrollar la vida privada” (STC 283/2000, de 27 de noviembre, FJ 2), por lo que entiende que no ha existido la violación del derecho a la inviolabilidad del domicilio. Añade que incluso en las alegaciones de apelación con firma de Letrado se niega tajantemente que la celda constituye domicilio en sentido constitucional, pese a lo alegado en el recurso de reforma y subsidiario de apelación firmado por el recluso, por lo que podría considerarse que no se ha satisfecho debidamente el requisito de la invocación tempestiva respecto de la lesión del derecho a la inviolabilidad domiciliaria [artículo 44.1 c) LOTC].</w:t>
      </w:r>
    </w:p>
    <w:p w:rsidR="00D06117" w:rsidRDefault="00D06117" w:rsidP="00D06117">
      <w:pPr>
        <w:pStyle w:val="TextoNormal"/>
      </w:pPr>
    </w:p>
    <w:p w:rsidR="00D06117" w:rsidRDefault="00D06117" w:rsidP="00D06117">
      <w:pPr>
        <w:pStyle w:val="TextoNormal"/>
      </w:pPr>
      <w:r>
        <w:t>En relación a la vulneración del derecho a la intimidad del demandante entiende que dicho derecho se encuentra entre los reconocidos a los internos en la legislación penitenciaria [artículos 3.1 LOGP y 4.2 b) RP], afirma que conforme al art. 25.2 CE los derechos fundamentales de los condenados a penas de prisión pueden ser limitados por la “ley penitenciaria”. Añade que el demandante se encontraba en el “departamento de aislamiento”, aunque no esté clara la razón por la que se encontraba ingresado en dicho departamento, si bien cabe presumir, que se tratara de un departamento de aislamiento “especial” a los efectos de los artículos 91.3 y 93 RP, al reconocer el propio demandante en su solicitud que “soy de peligrosidad extrema”.</w:t>
      </w:r>
    </w:p>
    <w:p w:rsidR="00D06117" w:rsidRDefault="00D06117" w:rsidP="00D06117">
      <w:pPr>
        <w:pStyle w:val="TextoNormal"/>
      </w:pPr>
    </w:p>
    <w:p w:rsidR="00D06117" w:rsidRDefault="00D06117" w:rsidP="00D06117">
      <w:pPr>
        <w:pStyle w:val="TextoNormal"/>
      </w:pPr>
      <w:r>
        <w:lastRenderedPageBreak/>
        <w:t>Considera que en la vía judicial previa no se planteó la frecuencia diaria de los registros y cacheos si no que el registro fuera realizado en ausencia del interno así como la falta de información posterior, sin que el modo de realizar el registro se encuentre previsto en la Ley general penitenciaria ni en el Reglamento penitenciario. Afirma que la STC 89/2006 no conlleva necesariamente la obligación constitucional de que los registros o requisas de celdas se lleven a cabo en presencia del recluso, al admitir en su fundamento jurídico 6 que “[e]sta afectación adicional [la ausencia de información simultánea o posterior] debe quedar también justificada —en atención a las finalidades perseguidas por el registro o en atención a su inevitabilidad para el mismo— para no incurrir en un exceso en la restricción, en principio justificada del derecho fundamental”.</w:t>
      </w:r>
    </w:p>
    <w:p w:rsidR="00D06117" w:rsidRDefault="00D06117" w:rsidP="00D06117">
      <w:pPr>
        <w:pStyle w:val="TextoNormal"/>
      </w:pPr>
    </w:p>
    <w:p w:rsidR="00D06117" w:rsidRDefault="00D06117" w:rsidP="00D06117">
      <w:pPr>
        <w:pStyle w:val="TextoNormal"/>
      </w:pPr>
      <w:r>
        <w:t>Argumenta que en el caso del demandante, al tratarse de un recluso de “peligrosidad extrema”, su presencia en el registro “merma la seguridad de los funcionarios y ocasiona conflictos en el ejercicio de estas medidas de seguridad interior”. Recuerda que el art. 10.1 LOGP establece que son destinados a los departamentos especiales los “penados clasificados de peligrosidad extrema” en los que se ingresa “por causas objetivas” apreciadas en “resolución motivada”, desarrollando el artículo 91.3 RP las razones por las que los penados clasificados en primer grado deban ser destinados a un departamento especial: ser “protagonistas o inductores de alteraciones regimentales muy graves, que hayan puesto en peligro la vida o integridad de los funcionarios, Autoridades, otros internos o personas ajenas a la institución, tanto dentro como fuera de los Establecimientos y en las que se evidencie una peligrosidad extrema”. El demandante no cuestiona la decisión de ser destinado un departamento especial, que conlleva según el artículo 10.3 LOGP “mayor control y vigilancia sobre los [internos] la forma que reglamentariamente se determine”. Continúa exponiendo que conforme al artículo 42.4 LOGP la sanción de aislamiento sólo es de aplicación en “los casos en que se manifieste una evidente agresividad o violencia por parte del interno o cuando éste reiterada y gravemente altere la normal convivencia en el centro”. Y concluye afirmando que en el caso del demandante concurren razones justificadas de seguridad para las personas de los funcionarios que llevan a prescindir de su presencia por presumirse fundadamente que pueda ser causa de perturbaciones y conflictos.</w:t>
      </w:r>
    </w:p>
    <w:p w:rsidR="00D06117" w:rsidRDefault="00D06117" w:rsidP="00D06117">
      <w:pPr>
        <w:pStyle w:val="TextoNormal"/>
      </w:pPr>
    </w:p>
    <w:p w:rsidR="00D06117" w:rsidRDefault="00D06117" w:rsidP="00D06117">
      <w:pPr>
        <w:pStyle w:val="TextoNormal"/>
      </w:pPr>
      <w:r>
        <w:t>Añade que la finalidad informativa que destacan la STC 89/2006, FFJJ 5 y 6 se ha alcanzado, en tanto que el recluso sabe de antemano que incumplimiento de la norma soportará a diario un registro, y que el día en que se llevó a cabo el mismo el recluso se percató de su concurrencia, hasta el punto de que se quejó por encontrarse “revueltas sus pertenencias”, lo que hacía superflua toda información posterior.</w:t>
      </w:r>
    </w:p>
    <w:p w:rsidR="00D06117" w:rsidRDefault="00D06117" w:rsidP="00D06117">
      <w:pPr>
        <w:pStyle w:val="TextoNormal"/>
      </w:pPr>
    </w:p>
    <w:p w:rsidR="00D06117" w:rsidRDefault="00D06117" w:rsidP="00D06117">
      <w:pPr>
        <w:pStyle w:val="TextoNormal"/>
      </w:pPr>
      <w:r>
        <w:t>Finalmente examina con carácter subsidiario la constitucionalidad del artículo 93.1.2 RP, indicando en primer lugar que el recurso de amparo no es un proceso de control abstracto de la constitucionalidad de los reglamentos, sino que es preciso demostrar que la violación del derecho fundamental alegada es atribuible en su raíz a la disposición reglamentaria cuya nulidad se pretende, sin que la demanda levante esa carga legal, ya que el único problema que plantea es el de la presencia del recluso en el registro y su información posterior, extremos que no están prescritos ni prohibidos en el mencionado precepto.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16 de mayo de 2012 se señaló para deliberación y votación de la presente Sentencia el día 21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demandante de amparo impugna los Autos del Juzgado de Vigilancia Penitenciaria Único de Oviedo, de 13 de junio y 29 de julio de 2008, y el Auto de la Sección Tercera de la Audiencia Provincial de Oviedo, de 20 de abril de 2009, que respectivamente desestimaron la queja, el recurso de reforma y el posterior recurso de apelación interpuestos contra el registro de la celda que ocupaba en el centro penitenciario de Asturias practicado por la Administración penitenciaria el 10 de marzo de 2008, por considerar que las citadas resoluciones judiciales vulneraron sus derechos a la intimidad (art. 18.1 CE), a la inviolabilidad del domicilio (art. 18.2 CE) y a la tutela judicial efectiva (24.1 CE). El recurrente razona también que el art. 93.1.2 del Reglamento penitenciario, aprobado por Real Decreto190/1996, de 9 de febrero, y que previene el registro diario de las celdas de los internos en departamentos especiales, incurre en inconstitucionalidad al incumplir la exigencia de respeto a la dignidad de la persona a que obliga el art. 23 de la Ley Orgánica 1/1979, de 26 de septiembre, general penitenciaria.</w:t>
      </w:r>
    </w:p>
    <w:p w:rsidR="00D06117" w:rsidRDefault="00D06117" w:rsidP="00D06117">
      <w:pPr>
        <w:pStyle w:val="TextoNormal"/>
      </w:pPr>
    </w:p>
    <w:p w:rsidR="00D06117" w:rsidRDefault="00D06117" w:rsidP="00D06117">
      <w:pPr>
        <w:pStyle w:val="TextoNormal"/>
      </w:pPr>
      <w:r>
        <w:t>Conforme con más detalle se ha resumido en los antecedentes, el Ministerio Fiscal interesa la íntegra desestimación de la demanda por considerar el registro cuestionado proporcionado y, por tanto, irreprochable constitucionalmente ex art. 18 CE. Por su parte, el Abogado del Estado solicita la inadmisión de la tacha de inconstitucionalidad del art. 93.1.2 del Reglamento penitenciario por incumplir el requisito del art. 44.1 c) de la Ley Orgánica del Tribunal Constitucional (LOTC) y, subsidiariamente, su desestimación y, en todo caso, la desestimación igualmente de la vulneración del derecho a la inviolabilidad del domicilio (art. 18.2 CE) y del derecho a la intimidad (art. 18.1 CE) denunciados.</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examinar el fondo del presente asunto alguna observación previa es sin embargo oportuna.</w:t>
      </w:r>
    </w:p>
    <w:p w:rsidR="00D06117" w:rsidRDefault="00D06117" w:rsidP="00D06117">
      <w:pPr>
        <w:pStyle w:val="TextoNormal"/>
      </w:pPr>
    </w:p>
    <w:p w:rsidR="00D06117" w:rsidRDefault="00D06117" w:rsidP="00D06117">
      <w:pPr>
        <w:pStyle w:val="TextoNormal"/>
      </w:pPr>
      <w:r>
        <w:t>En primer lugar para notar que aunque, como se ha señalado, el demandante impugna formalmente por la vía del art. 44 LOTC las resoluciones judiciales dictadas en el proceso a quo, el presente recurso debe entenderse no obstante formulado por el cauce del art. 43 LOTC, toda vez que, como certeramente han observado tanto el Ministerio Fiscal como el Abogado del Estado en sus respectivos escritos de alegaciones, y prueba por otra parte el contenido de la demanda presentada, el recurrente no reprocha efectivamente a las citadas resoluciones judiciales ninguna infracción constitucional autónoma, sino solo que no declararan ni repararan la vulneración de los derechos fundamentales a la intimidad y a la inviolabilidad del domicilio que directamente imputa al registro de su celda practicado por la Administración penitenciaria.</w:t>
      </w:r>
    </w:p>
    <w:p w:rsidR="00D06117" w:rsidRDefault="00D06117" w:rsidP="00D06117">
      <w:pPr>
        <w:pStyle w:val="TextoNormal"/>
      </w:pPr>
    </w:p>
    <w:p w:rsidR="00D06117" w:rsidRDefault="00D06117" w:rsidP="00D06117">
      <w:pPr>
        <w:pStyle w:val="TextoNormal"/>
      </w:pPr>
      <w:r>
        <w:t>Por consiguiente, como tempranamente advirtiera ya este Tribunal (STC 6/1981, de 16 de marzo, FJ 2), también debemos concluir ahora que la impugnación de las resoluciones judiciales que desestimaron los sucesivos recursos promovidos por el recurrente contra la desestimación de su queja inicial contra la actuación de la Administración penitenciaria cumple únicamente la función de agotar la vía judicial previa al recurso de amparo, de manera que la vulneración del art. 24.1 CE que el recurrente formalmente les reprocha ahora carece en rigor de contenido propio como objeto del presente recurso de amparo.</w:t>
      </w:r>
    </w:p>
    <w:p w:rsidR="00D06117" w:rsidRDefault="00D06117" w:rsidP="00D06117">
      <w:pPr>
        <w:pStyle w:val="TextoNormal"/>
      </w:pPr>
    </w:p>
    <w:p w:rsidR="00D06117" w:rsidRDefault="00D06117" w:rsidP="00D06117">
      <w:pPr>
        <w:pStyle w:val="TextoNormal"/>
      </w:pPr>
      <w:r>
        <w:lastRenderedPageBreak/>
        <w:t>También con carácter previo debemos pronunciarnos, en segundo lugar, sobre el óbice de admisibilidad formulado por el Abogado del Estado respecto de la pretendida inconstitucionalidad del art. 93.1.2 del Reglamento penitenciario, en cuanto establece, para el caso de los penados que cumplen condena en régimen cerrado que “diariamente deberá practicarse registro de las celdas y cacheo de los internos”. Como se ha recordado, en su opinión, dicha pretensión no puede ser abordada ni resuelta en el marco del presente proceso constitucional por no haber sido invocada previamente en el proceso judicial a quo, tan pronto como hubo lugar para hacerlo y, en consecuencia, incumplir la demanda el requisito a que obliga el art. 44.1 c) LOTC.</w:t>
      </w:r>
    </w:p>
    <w:p w:rsidR="00D06117" w:rsidRDefault="00D06117" w:rsidP="00D06117">
      <w:pPr>
        <w:pStyle w:val="TextoNormal"/>
      </w:pPr>
    </w:p>
    <w:p w:rsidR="00D06117" w:rsidRDefault="00D06117" w:rsidP="00D06117">
      <w:pPr>
        <w:pStyle w:val="TextoNormal"/>
      </w:pPr>
      <w:r>
        <w:t>El examen de las actuaciones judiciales remitidas a este Tribunal pone de manifiesto que efectivamente, como ha advertido el Abogado del Estado, en la vía judicial previa el recurrente en ningún momento invocó la supuesta inconstitucionalidad del citado precepto reglamentario que ahora denuncia ni, por lo mismo, proporcionó tampoco a los órganos judiciales la ocasión de pronunciarse sobre la misma y garantizar de este modo el carácter subsidiario de esta jurisdicción constitucional. El citado motivo del recurso incurre, en consecuencia, en la causa de inadmisión prevista en el art. 50.1 a), en relación con el art. 44.1 c) LOTC.</w:t>
      </w:r>
    </w:p>
    <w:p w:rsidR="00D06117" w:rsidRDefault="00D06117" w:rsidP="00D06117">
      <w:pPr>
        <w:pStyle w:val="TextoNormal"/>
      </w:pPr>
    </w:p>
    <w:p w:rsidR="00D06117" w:rsidRDefault="00D06117" w:rsidP="00D06117">
      <w:pPr>
        <w:pStyle w:val="TextoNormal"/>
      </w:pPr>
      <w:r>
        <w:t>Por añadidura importa advertir asimismo que, según es consolidada doctrina constitucional (por todas, SSTC 141/1985, de 22 de octubre, FJ 2; 192/1991, de 14 de octubre, FJ 2; y 121/1997, de 1 de julio, FJ 5), el recurso de amparo no es ningún cauce hábil para la depuración abstracta del ordenamiento ni, menos aún, para interesar el control constitucional de las disposiciones de carácter reglamentario, que corresponde por principio a los propios órganos de la jurisdicción ordinaria, salvo en los supuestos ciertamente excepcionales de que la correspondiente lesión constitucional fuera imputable de modo directo a la propia norma reglamentaria; hipótesis que, sin embargo, no concurre en el presente asunto, toda vez que el recurrente funda la lesión del derecho a la intimidad que denuncia, no en el carácter sistemático del registro de la celda que impone el citado precepto reglamentario, sino en el modo en que la Administración penitenciaria lo practicó en su caso, en su ausencia y sin comunicación posterior.</w:t>
      </w:r>
    </w:p>
    <w:p w:rsidR="00D06117" w:rsidRDefault="00D06117" w:rsidP="00D06117">
      <w:pPr>
        <w:pStyle w:val="TextoNormal"/>
      </w:pPr>
    </w:p>
    <w:p w:rsidR="00D06117" w:rsidRDefault="00D06117" w:rsidP="00D06117">
      <w:pPr>
        <w:pStyle w:val="TextoNormal"/>
      </w:pPr>
      <w:r>
        <w:t>Por último, conviene igualmente advertir que aunque, como se ha indicado, el recurrente invoca en su demanda de amparo la supuesta vulneración del derecho a la inviolabilidad del domicilio (art. 18.2 CE), se trata, no obstante, tal y como han observado el Ministerio Fiscal y el Abogado del Estado, de una tacha constitucional apenas argumentada, formulada además per saltum y en flagrante contradicción con los razonamientos expuestos por la representación del recurrente en la vía judicial previa, que en forma expresa negaban que la celda constituya domicilio en sentido constitucional, y, en cualquier caso, invocada al hilo de la lesión del derecho a la intimidad personal del art. 18.1 CE, que constituye el núcleo de la demanda de amparo promovida, por lo que esa supuesta lesión del art. 18.2 CE debe quedar ahora fuera de nuestro enjuiciamiento.</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De acuerdo con las anteriores precisiones el objeto de nuestro pronunciamiento se ciñe exclusivamente pues a comprobar si, como se denuncia en la demanda, el registro considerado por el modo en que se practicó, en ausencia del recurrente y sin darle cuenta posterior de su resultado, lesionó su derecho fundamental a la intimidad (art. 18.1 CE), o si por el contrario, como opinan por su parte el Ministerio Fiscal y el Abogado del Estado, el </w:t>
      </w:r>
      <w:r>
        <w:lastRenderedPageBreak/>
        <w:t>mismo es constitucionalmente irreprochable dadas las circunstancias del caso y, en particular, el hecho de que el recurrente estuviera cumpliendo condena en régimen cerrado a consecuencia de su clasificación como penado en primer grado, dada su peligrosidad extrema, que está reconocida incluso por el propio interesado, y su consecuente sujeción al registro diario de la celda que ordena el art. 93.1.2 del Reglamento penitenciario.</w:t>
      </w:r>
    </w:p>
    <w:p w:rsidR="00D06117" w:rsidRDefault="00D06117" w:rsidP="00D06117">
      <w:pPr>
        <w:pStyle w:val="TextoNormal"/>
      </w:pPr>
    </w:p>
    <w:p w:rsidR="00D06117" w:rsidRDefault="00D06117" w:rsidP="00D06117">
      <w:pPr>
        <w:pStyle w:val="TextoNormal"/>
      </w:pPr>
      <w:r>
        <w:t>Sobre el derecho a la intimidad en el ámbito penitenciario este Tribunal ha tenido oportunidad ya de pronunciarse en repetidas ocasiones y, singularmente, en un supuesto similar al presente, en la STC 89/2006, de 27 de marzo. En lo que ahora más nos interesa y conforme a esta doctrina constitucional, que parte de reconocer la reducción de la intimidad de quienes sufren privación de libertad, el registro de la celda que ocupa un interno y de sus pertenencias personales supone una restricción de su derecho a la intimidad que, para que resulte constitucionalmente legítimo, debe ser conocido por el propio interesado, bien permitiendo su presencia durante la práctica del mismo, bien mediante una comunicación posterior que informe de su contenido y, en su caso, de la eventual incautación de objetos personales.</w:t>
      </w:r>
    </w:p>
    <w:p w:rsidR="00D06117" w:rsidRDefault="00D06117" w:rsidP="00D06117">
      <w:pPr>
        <w:pStyle w:val="TextoNormal"/>
      </w:pPr>
    </w:p>
    <w:p w:rsidR="00D06117" w:rsidRDefault="00D06117" w:rsidP="00D06117">
      <w:pPr>
        <w:pStyle w:val="TextoNormal"/>
      </w:pPr>
      <w:r>
        <w:t>Esta exigencia de información sobre el hecho mismo del registro y de su contenido y resultado es, en efecto, necesaria dada la estrecha relación que existe entre el derecho a la intimidad y la capacidad de su titular para controlar la información relativa a su persona. Pues, como dijimos en la citada STC 89/2006 y debemos reiterar ahora, si la intimidad comprende, entre otras facultades, “la reserva de conocimiento de un ámbito personal, que por eso denominamos privado y que administra su titular, tal administración y tal reserva se devalúan si el titular del ámbito de intimidad desconoce las dimensiones del mismo porque desconoce la efectiva intromisión ajena” (FJ 6).</w:t>
      </w:r>
    </w:p>
    <w:p w:rsidR="00D06117" w:rsidRDefault="00D06117" w:rsidP="00D06117">
      <w:pPr>
        <w:pStyle w:val="TextoNormal"/>
      </w:pPr>
    </w:p>
    <w:p w:rsidR="00D06117" w:rsidRDefault="00D06117" w:rsidP="00D06117">
      <w:pPr>
        <w:pStyle w:val="TextoNormal"/>
      </w:pPr>
      <w:r w:rsidRPr="00D06117">
        <w:rPr>
          <w:rStyle w:val="NumeroAFNegritaCaracter"/>
        </w:rPr>
        <w:t>4</w:t>
      </w:r>
      <w:r>
        <w:t>. En el presente asunto, según se ha señalado, el registro cuestionado se practicó sin notificación previa al recurrente y sin que se le informara tampoco de su resultado. Importa no obstante recordar que, como también consta anotado en los antecedentes, el recurrente cumplía condena en régimen cerrado en un departamento de aislamiento y en celda individual, y que el controvertido registro se practicó en cumplimiento de lo dispuesto en el art. 93.1.2 del Reglamento penitenciario que establece para dicha modalidad regimental que “diariamente deberá practicarse registro de las celdas y cacheo de los internos”. Por último, consta asimismo en las actuaciones remitidas a este Tribunal el informe del Subdirector de seguridad del centro penitenciario que justifica la ausencia del recurrente durante el registro en “evidentes razones de seguridad”.</w:t>
      </w:r>
    </w:p>
    <w:p w:rsidR="00D06117" w:rsidRDefault="00D06117" w:rsidP="00D06117">
      <w:pPr>
        <w:pStyle w:val="TextoNormal"/>
      </w:pPr>
    </w:p>
    <w:p w:rsidR="00D06117" w:rsidRDefault="00D06117" w:rsidP="00D06117">
      <w:pPr>
        <w:pStyle w:val="TextoNormal"/>
      </w:pPr>
      <w:r>
        <w:t xml:space="preserve">Teniendo en cuenta estos antecedentes y con arreglo a la doctrina constitucional que más arriba hemos recordado debemos concluir que el registro cuestionado en el presente proceso constitucional no vulneró el derecho a la intimidad del demandante de amparo, toda vez que, habiéndose practicado el registro en su ausencia por las razones antes indicadas, del hecho mismo de no haber sido formalmente informado con posterioridad al registro pudo inferir sin dificultad la información que es constitucionalmente exigible. En efecto, esa conclusión se impone no sólo ya porque el recurrente conociera de antemano que el registro de su celda iba a producirse de forma diaria y rutinaria (en cumplimiento del mayor control y vigilancia sobre los internos que cumplen condena en régimen cerrado a que obligan los arts. 10.3 de la Ley Orgánica 1/1979, de 26 de septiembre, general penitenciaria, y 90.2 del Reglamento penitenciario), sino sobre todo porque el hecho de que no se le diera cuenta inmediata posterior del contenido del registro y de su resultado significa necesariamente </w:t>
      </w:r>
      <w:r>
        <w:lastRenderedPageBreak/>
        <w:t>que éste fue negativo en el caso analizado y que no hubo en él, por tanto, ninguna incidencia relevante.</w:t>
      </w:r>
    </w:p>
    <w:p w:rsidR="00D06117" w:rsidRDefault="00D06117" w:rsidP="00D06117">
      <w:pPr>
        <w:pStyle w:val="TextoNormal"/>
      </w:pPr>
    </w:p>
    <w:p w:rsidR="00D06117" w:rsidRDefault="00D06117" w:rsidP="00D06117">
      <w:pPr>
        <w:pStyle w:val="TextoNormal"/>
      </w:pPr>
      <w:r>
        <w:t>Ahora bien, el hecho de que el interno conozca de antemano que el registro de su celda va a producirse —y de que las normas citadas contemplen y habiliten el registro practicado— no permite concluir que pueda ser obviada la exigencia constitucional de comunicación a posteriori a dicho interno de las incidencias habidas en la práctica de la diligencia, tanto en su desarrollo como en su resultado, puesto que si se producen la Administración penitenciaria mantiene la obligación constitucional, ex art. 18.1 CE, de comunicárselas en un plazo razonable, toda vez que tales incidencias, en los términos de la citada STC 89/2006, FJ 5, suponen una limitación del poder de disposición del interno sobre su ámbito personal de intimidad, autónoma e independiente al mero conocimiento del registro, y no afectadas, por tanto, por la circunstancia de la previsión normativa de su práctica diaria y rutinaria.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Jesús Nguere Mba.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veintiuno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0" w:name="SENTENCIA_2012_107"/>
      <w:r>
        <w:lastRenderedPageBreak/>
        <w:t>SENTENCIA 107/2012, de 21 de mayo de 2012</w:t>
      </w:r>
    </w:p>
    <w:bookmarkEnd w:id="110"/>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ECLI:ES:TC:2012:107</w:t>
      </w:r>
    </w:p>
    <w:p w:rsidR="00D06117" w:rsidRDefault="00D06117" w:rsidP="00D06117">
      <w:pPr>
        <w:pStyle w:val="SntesisDescriptiva"/>
      </w:pPr>
    </w:p>
    <w:p w:rsidR="00D06117" w:rsidRDefault="00D06117" w:rsidP="00D06117">
      <w:pPr>
        <w:pStyle w:val="SntesisDescriptiva"/>
      </w:pPr>
      <w:r>
        <w:t>Recurso de amparo 10268-2009. Promovido por don Carlos Luis Trujillo Abreu con respecto a los Autos del Juzgado de Vigilancia Penitenciaria núm. 4 de Andalucía que desestimaron la impugnación de una resolución sancionadora adoptada por la comisión disciplinaria del centro penitenciario Puerto I.</w:t>
      </w:r>
    </w:p>
    <w:p w:rsidR="00D06117" w:rsidRDefault="00D06117" w:rsidP="00D06117">
      <w:pPr>
        <w:pStyle w:val="SntesisDescriptiva"/>
      </w:pPr>
    </w:p>
    <w:p w:rsidR="00D06117" w:rsidRDefault="00D06117" w:rsidP="00D06117">
      <w:pPr>
        <w:pStyle w:val="SntesisAnaltica"/>
      </w:pPr>
      <w:r>
        <w:t>Vulneración de los derechos al secreto de las comunicaciones, a un proceso con todas las garantías y a la presunción de inocencia: resolución sancionadora cuyo relato de hechos trae causa de la intervención administrativa de las comunicaciones dirigidas por un recluso al juez de vigilancia penitenciaria.</w:t>
      </w:r>
    </w:p>
    <w:p w:rsidR="00D06117" w:rsidRDefault="00D06117" w:rsidP="00D06117">
      <w:pPr>
        <w:pStyle w:val="SntesisAnaltica"/>
      </w:pPr>
    </w:p>
    <w:p w:rsidR="00D06117" w:rsidRDefault="00D06117" w:rsidP="00D06117">
      <w:pPr>
        <w:pStyle w:val="Extracto"/>
      </w:pPr>
      <w:r>
        <w:t>1.</w:t>
      </w:r>
      <w:r>
        <w:tab/>
        <w:t>Se ha vulnerado el derecho al secreto de las comunicaciones del interno dado que, ante una comunicación que el mismo trató de realizar con el Juzgado de Vigilancia Penitenciaria, cuya intervención administrativa se encuentra constitucionalmente proscrita con independencia de que el escrito se entregue en sobre abierto o cerrado o sin introducirlo en sobre alguno, pues la norma constitucional que garantiza el secreto de la comunicación se dirige inequívocamente a preservar su impenetrabilidad por terceros ajenos a la comunicación misma, los funcionarios del centro penitenciario accedieron a su contenido [FJ 5].</w:t>
      </w:r>
    </w:p>
    <w:p w:rsidR="00D06117" w:rsidRDefault="00D06117" w:rsidP="00D06117">
      <w:pPr>
        <w:pStyle w:val="Extracto"/>
      </w:pPr>
    </w:p>
    <w:p w:rsidR="00D06117" w:rsidRDefault="00D06117" w:rsidP="00D06117">
      <w:pPr>
        <w:pStyle w:val="Extracto"/>
      </w:pPr>
      <w:r>
        <w:t>2.</w:t>
      </w:r>
      <w:r>
        <w:tab/>
        <w:t>El contenido del derecho al secreto de las comunicaciones de las personas internas en centros penitenciarios no es, sin más, el constitucionalmente declarado en los términos del art. 18.3 CE, sino, en virtud de la interpretación sistemática de este precepto en relación con el art. 25.2 CE, el que resulte de su configuración por el legislador, en el supuesto de que por la ley penitenciaria se hayan dispuesto limitaciones específicas del mismo y sin perjuicio de que esos límites se encuentren, a su vez, sometidos a sus propios presupuestos de constitucionalidad (STC 15/2011) [FJ 4].</w:t>
      </w:r>
    </w:p>
    <w:p w:rsidR="00D06117" w:rsidRDefault="00D06117" w:rsidP="00D06117">
      <w:pPr>
        <w:pStyle w:val="Extracto"/>
      </w:pPr>
    </w:p>
    <w:p w:rsidR="00D06117" w:rsidRDefault="00D06117" w:rsidP="00D06117">
      <w:pPr>
        <w:pStyle w:val="Extracto"/>
      </w:pPr>
      <w:r>
        <w:t>3.</w:t>
      </w:r>
      <w:r>
        <w:tab/>
        <w:t>Reitera doctrina sobre contenido del derecho a las comunicaciones de las personas internas en centros penitenciarios de la STC 15/2011 [FJ 4].</w:t>
      </w:r>
    </w:p>
    <w:p w:rsidR="00D06117" w:rsidRDefault="00D06117" w:rsidP="00D06117">
      <w:pPr>
        <w:pStyle w:val="Extracto"/>
      </w:pPr>
    </w:p>
    <w:p w:rsidR="00D06117" w:rsidRDefault="00D06117" w:rsidP="00D06117">
      <w:pPr>
        <w:pStyle w:val="Extracto"/>
      </w:pPr>
      <w:r>
        <w:t>4.</w:t>
      </w:r>
      <w:r>
        <w:tab/>
        <w:t>Las garantías contenidas en el art. 24.2 CE son aplicables no sólo al proceso penal, sino también, con las matizaciones derivadas de su propia naturaleza, a los procedimientos administrativos sancionadores y, en concreto, al procedimiento disciplinario penitenciario, ámbito en el que estas garantías deben aplicarse con especial vigor, al considerar que la sanción supone una grave limitación de la ya restringida libertad inherente al cumplimiento de una pena (SSTC 18/1982, 59/2011) [FJ 6].</w:t>
      </w:r>
    </w:p>
    <w:p w:rsidR="00D06117" w:rsidRDefault="00D06117" w:rsidP="00D06117">
      <w:pPr>
        <w:pStyle w:val="Extracto"/>
      </w:pPr>
    </w:p>
    <w:p w:rsidR="00D06117" w:rsidRDefault="00D06117" w:rsidP="00D06117">
      <w:pPr>
        <w:pStyle w:val="Extracto"/>
      </w:pPr>
      <w:r>
        <w:t>5.</w:t>
      </w:r>
      <w:r>
        <w:tab/>
        <w:t xml:space="preserve">La Administración penitenciaria vulneró no sólo el derecho al secreto de las comunicaciones del recurrente, sino también su derecho a un proceso con todas las garantías y a la presunción de inocencia, </w:t>
      </w:r>
      <w:r w:rsidRPr="00D06117">
        <w:rPr>
          <w:i/>
        </w:rPr>
        <w:t>ex</w:t>
      </w:r>
      <w:r>
        <w:t xml:space="preserve"> art. 24.2 CE, en la medida en que la </w:t>
      </w:r>
      <w:r>
        <w:lastRenderedPageBreak/>
        <w:t>única prueba que sirvió de base al acuerdo sancionador fue la obtenida violando el derecho fundamental al secreto de las comunicaciones [FJ 6].</w:t>
      </w:r>
    </w:p>
    <w:p w:rsidR="00D06117" w:rsidRDefault="00D06117" w:rsidP="00D06117">
      <w:pPr>
        <w:pStyle w:val="Extracto"/>
      </w:pPr>
    </w:p>
    <w:p w:rsidR="00D06117" w:rsidRDefault="00D06117" w:rsidP="00D06117">
      <w:pPr>
        <w:pStyle w:val="Extracto"/>
      </w:pPr>
      <w:r>
        <w:t>6.</w:t>
      </w:r>
      <w:r>
        <w:tab/>
        <w:t xml:space="preserve">La valoración de una prueba obtenida con vulneración de un derecho fundamental sustantivo constituye una lesión del derecho a un proceso con todas las garantías, </w:t>
      </w:r>
      <w:r w:rsidRPr="00D06117">
        <w:rPr>
          <w:i/>
        </w:rPr>
        <w:t>ex</w:t>
      </w:r>
      <w:r>
        <w:t xml:space="preserve"> art. 24.2 CE, y conlleva también la vulneración del derecho a la presunción de inocencia si la sanción se sustenta exclusivamente en dicha prueba (SSTC 81/1998, 206/2007) [FJ 6].</w:t>
      </w:r>
    </w:p>
    <w:p w:rsidR="00D06117" w:rsidRDefault="00D06117" w:rsidP="00D06117">
      <w:pPr>
        <w:pStyle w:val="Extracto"/>
      </w:pPr>
    </w:p>
    <w:p w:rsidR="00D06117" w:rsidRDefault="00D06117" w:rsidP="00D06117">
      <w:pPr>
        <w:pStyle w:val="Extracto"/>
      </w:pPr>
      <w:r>
        <w:t>7.</w:t>
      </w:r>
      <w:r>
        <w:tab/>
        <w:t>Doctrina sobre el orden de análisis del recurso de amparo mixto ante vulneraciones atribuidas a la Administración penitenciaria y al juzgado de vigilancia penitenciaria (SSTC 175/2000, 59/2011) [FJ 3].</w:t>
      </w:r>
    </w:p>
    <w:p w:rsidR="00D06117" w:rsidRDefault="00D06117" w:rsidP="00D06117">
      <w:pPr>
        <w:pStyle w:val="Extracto"/>
      </w:pPr>
    </w:p>
    <w:p w:rsidR="00D06117" w:rsidRDefault="00D06117" w:rsidP="00D06117">
      <w:pPr>
        <w:pStyle w:val="Extracto"/>
      </w:pPr>
      <w:r>
        <w:t>8.</w:t>
      </w:r>
      <w:r>
        <w:tab/>
        <w:t>Hemos de entender satisfecha la carga procesal de justificar la especial trascendencia constitucional del recurso ya que el recurrente pone de relieve la necesidad de precisar el alcance de la doctrina constitucional sobre el derecho al secreto de las comunicaciones de los internos en un centro penitenciario cuando éstos dirigen escritos al Juez de vigilancia penitenciaria y sobre la imposición de sanciones disciplinarias como consecuencia de las manifestaciones vertidas en tales escritos, y proporciona elementos de juicio suficientes para apreciar que, en una Audiencia Provincial, se produce un incumplimiento general y reiterado de la doctrina constitucional (SSTC 155/2009, 170/2011) [FJ 2].</w:t>
      </w:r>
    </w:p>
    <w:p w:rsidR="00D06117" w:rsidRDefault="00D06117" w:rsidP="00D06117">
      <w:pPr>
        <w:pStyle w:val="Extracto"/>
      </w:pPr>
    </w:p>
    <w:p w:rsidR="00D06117" w:rsidRDefault="00D06117" w:rsidP="00D06117">
      <w:pPr>
        <w:pStyle w:val="Extracto"/>
      </w:pPr>
      <w:r>
        <w:t>9.</w:t>
      </w:r>
      <w:r>
        <w:tab/>
        <w:t>Procede otorgar el amparo y anular tanto el acuerdo sancionador del centro penitenciario como los Autos del Juzgado de Vigilancia Penitenciaria, en la medida en que no repararon las vulneraciones de derechos fundamentales, desconociendo la función que al Juzgado de Vigilancia Penitenciaria le corresponde a la hora de garantizar los derechos fundamentales de los internos (SSTC 97/1995, 59/2011) [FJ 7].</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10268-2009, promovido por don Carlos Luis Trujillo Abreu, representado por la Procuradora de los Tribunales doña Rocío Marsal Alonso y asistido por la Abogada doña María del Carmen Duro López, contra los Autos de 11 de noviembre de 2009 y 10 de septiembre de 2009, dictados por el Juzgado de Vigilancia Penitenciaria </w:t>
      </w:r>
      <w:r>
        <w:lastRenderedPageBreak/>
        <w:t>núm. 4 de Andalucía, por los que se desestiman los recursos de reforma y alzada, respectivamente, interpuestos por el recurrente contra el acuerdo sancionador de la comisión disciplinaria del centro penitenciario Puerto I, de 11 de agosto de 2009 (ED 453-2009-1101). Ha intervenido el Ministerio Fiscal. Ha sido parte el Abogado del Estado. Ha sido Ponente la Magistrada doña Elisa Pérez Vera,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día 9 de diciembre de 2009, don Carlos Luis Trujillo Abreu, interno en esa fecha en el centro penitenciario de Valdemoro (Madrid), solicita asistencia jurídica gratuita a fin de interponer recurso de amparo contra los Autos dictados por el Juzgado de Vigilancia Penitenciaria núm. 4 de Andalucía en el expediente 482-2009 y contra el expediente disciplinario núm. 453-2009. Efectuados los trámites oportunos, y una vez designados Procurador y Abogado del turno de oficio, el día 11 de marzo de 2010, la Procuradora de los Tribunales doña Rocío Marsal Alonso, en nombre y representación de don Carlos Luis Trujillo Abreu, interpuso demanda de amparo contra las resoluciones judiciales y administrativas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día 17 de julio de 2009, el recurrente, interno en el centro penitenciario del Puerto de Santamaría (Puerto I), empleando un impreso de los utilizados en la prisión para cursar instancias, formuló un escrito dirigido en su encabezamiento al Juzgado de Vigilancia Penitenciaria núm. 4 de los de Andalucía, haciendo constar en dicho encabezamiento lo siguiente: “Escrito de queja contra: el Director de Puerto I … y Subdirector médico, por darnos las natillas, yogures y los postres caducados desde hace dos años y la fruta podrida”. No existe constancia en las actuaciones acerca de si dicho escrito fue introducido en un sobre por el interno, ni de si el mismo, en su caso, estaba abierto o cerrado.</w:t>
      </w:r>
    </w:p>
    <w:p w:rsidR="00D06117" w:rsidRDefault="00D06117" w:rsidP="00D06117">
      <w:pPr>
        <w:pStyle w:val="TextoNormal"/>
      </w:pPr>
    </w:p>
    <w:p w:rsidR="00D06117" w:rsidRDefault="00D06117" w:rsidP="00D06117">
      <w:pPr>
        <w:pStyle w:val="TextoNormal"/>
      </w:pPr>
      <w:r>
        <w:t>El citado escrito fue examinado por un funcionario del centro penitenciario, que accedió a su contenido y estimando que contenía expresiones ofensivas, lo comunicó a la dirección del centro penitenciario. El día 20 de julio el Director por propia iniciativa ordenó la incoación de procedimiento disciplinario contra el interno.</w:t>
      </w:r>
    </w:p>
    <w:p w:rsidR="00D06117" w:rsidRDefault="00D06117" w:rsidP="00D06117">
      <w:pPr>
        <w:pStyle w:val="TextoNormal"/>
      </w:pPr>
    </w:p>
    <w:p w:rsidR="00D06117" w:rsidRDefault="00D06117" w:rsidP="00D06117">
      <w:pPr>
        <w:pStyle w:val="TextoNormal"/>
      </w:pPr>
      <w:r>
        <w:t>El día 11 de agosto de 2009, la comisión disciplinaria del centro penitenciario Puerto I, adoptó un acuerdo sancionador en el que se impone al interno la sanción de treinta días de privación de paseos y actos recreativos comunes [art. 11 E) del Reglamento penitenciario], por la comisión de una falta grave tipificada en el apartado H del art. 109 del citado reglamento. El acuerdo contiene la siguiente declaración de hechos probados:</w:t>
      </w:r>
    </w:p>
    <w:p w:rsidR="00D06117" w:rsidRDefault="00D06117" w:rsidP="00D06117">
      <w:pPr>
        <w:pStyle w:val="TextoNormal"/>
      </w:pPr>
    </w:p>
    <w:p w:rsidR="00D06117" w:rsidRDefault="00D06117" w:rsidP="00D06117">
      <w:pPr>
        <w:pStyle w:val="TextoNormal"/>
      </w:pPr>
      <w:r>
        <w:t xml:space="preserve">“El día 17/07/09 el interno CARLOS L. TRUJILLO ABREU cursó una instancia interponiendo una Queja ante el JVP nº 4 de Andalucía, donde se vierten una serie de insultos y calumnias dirigidas contra el Director de Puerto I, el Ministro del Interior, el Presidente de Gobierno y Casa Real, tales como: ‘El Director de aquí tiene una mafia y trapicheo con los presupuestos…’, ‘es un torturador, represor, verdugo y envenenador, dándonos fruta podrida y yogures caducados para intoxicarnos …’, ‘es un psicópata enfermo y acosador … y </w:t>
      </w:r>
      <w:r>
        <w:lastRenderedPageBreak/>
        <w:t>me hace sospechar que planea asesinarme…’, ‘es toda una mafia (GAL) de Rubalcaba y Zapatero financiado por la Casa Real’.”</w:t>
      </w:r>
    </w:p>
    <w:p w:rsidR="00D06117" w:rsidRDefault="00D06117" w:rsidP="00D06117">
      <w:pPr>
        <w:pStyle w:val="TextoNormal"/>
      </w:pPr>
    </w:p>
    <w:p w:rsidR="00D06117" w:rsidRDefault="00D06117" w:rsidP="00D06117">
      <w:pPr>
        <w:pStyle w:val="TextoNormal"/>
      </w:pPr>
      <w:r>
        <w:t>b) Contra el citado acuerdo sancionador el interno interpuso recurso de alzada ante el Juzgado de Vigilancia Penitenciaria, invocando la lesión de sus derechos a la asistencia letrada, a la defensa, a la presunción de inocencia, a la práctica de las pruebas propuestas por él y no practicadas en la tramitación del expediente, así como de su derecho al secreto de las comunicaciones. En concreto, y entre otros extremos, el interno pone de manifiesto en su recurso que el escrito dirigido al Juez de vigilancia era un escrito de queja, realizado de conformidad con lo previsto en la Ley y el Reglamento penitenciario, y que el centro penitenciario debió dar curso al escrito, no estando autorizado para acceder a su contenido, pues él no había dado su consentimiento, no habérsele comunicado que tenga intervenidas sus comunicaciones y no estar incluido en el fichero de internos de especial seguimiento.</w:t>
      </w:r>
    </w:p>
    <w:p w:rsidR="00D06117" w:rsidRDefault="00D06117" w:rsidP="00D06117">
      <w:pPr>
        <w:pStyle w:val="TextoNormal"/>
      </w:pPr>
    </w:p>
    <w:p w:rsidR="00D06117" w:rsidRDefault="00D06117" w:rsidP="00D06117">
      <w:pPr>
        <w:pStyle w:val="TextoNormal"/>
      </w:pPr>
      <w:r>
        <w:t>c) Por Auto de 20 de septiembre de 2009, el Juzgado de Vigilancia Penitenciaria núm. 4 de Andalucía desestima el recurso de alzada.</w:t>
      </w:r>
    </w:p>
    <w:p w:rsidR="00D06117" w:rsidRDefault="00D06117" w:rsidP="00D06117">
      <w:pPr>
        <w:pStyle w:val="TextoNormal"/>
      </w:pPr>
    </w:p>
    <w:p w:rsidR="00D06117" w:rsidRDefault="00D06117" w:rsidP="00D06117">
      <w:pPr>
        <w:pStyle w:val="TextoNormal"/>
      </w:pPr>
      <w:r>
        <w:t>Tras resolver otras quejas (rechazando la vulneración del derecho a la asistencia letrada y a la utilización de medios de prueba), y respecto de lo que considera “el fondo del asunto”, afirma el órgano judicial que “el interno no niega los hechos sino que manifiesta que sus expresiones no pueden ser objeto de sanción al no tener su correspondencia intervenida. Sin embargo, ya ha establecido nuestra Audiencia provincial que el secreto de las comunicaciones no ampara a escritos que van dirigidos a integrarse a un expediente judicial, y que la Administración penitenciaria no puede verse obligada a colaborar en hechos presuntamente delictivos. En concreto, en Auto de 11 de junio (rollo de apelación 180-2009) se recoge que no puede haber infracción del derecho a la intimidad porque la queja no tiene por objeto permanecer en el conocimiento exclusivo y privado del interesado y el destinatario, sino que se integra en un expediente, primero administrativo y luego judicial”.</w:t>
      </w:r>
    </w:p>
    <w:p w:rsidR="00D06117" w:rsidRDefault="00D06117" w:rsidP="00D06117">
      <w:pPr>
        <w:pStyle w:val="TextoNormal"/>
      </w:pPr>
    </w:p>
    <w:p w:rsidR="00D06117" w:rsidRDefault="00D06117" w:rsidP="00D06117">
      <w:pPr>
        <w:pStyle w:val="TextoNormal"/>
      </w:pPr>
      <w:r>
        <w:t>d) Contra la anterior resolución se interpuso recurso de reforma, igualmente desestimado por Auto del Juzgado de Vigilancia Penitenciaria núm. 4 de Andalucía de fecha 11 de noviembre de 2009.</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al derecho al secreto de las comunicaciones (art. 18.3 CE), del derecho a la libertad de expresión [art. 20.1 a) CE], así como de los derechos a la tutela judicial efectiva (art. 24.1 CE) y a la utilización de medios de prueba pertinentes para la defensa (art. 24.2 CE).</w:t>
      </w:r>
    </w:p>
    <w:p w:rsidR="00D06117" w:rsidRDefault="00D06117" w:rsidP="00D06117">
      <w:pPr>
        <w:pStyle w:val="TextoNormal"/>
      </w:pPr>
    </w:p>
    <w:p w:rsidR="00D06117" w:rsidRDefault="00D06117" w:rsidP="00D06117">
      <w:pPr>
        <w:pStyle w:val="TextoNormal"/>
      </w:pPr>
      <w:r>
        <w:t>En primer lugar, se denuncia la vulneración del derecho a la tutela judicial efectiva (art. 24.1 CE), que se imputa al órgano judicial, afirmando que la motivación de la resolución recurrida es arbitraria e irracional, porque no realiza pronunciamiento alguno acerca de las deficiencias del procedimiento sancionador denunciadas, ni sobre la denegación de la prueba propuesta en tiempo y forma ante el propio órgano judicial. Insiste el recurrente en que el órgano judicial debió explicitar razonadamente las razones por las que no procedía la admisión de las pruebas. También se denuncia la falta de motivación de la cuantía de la sanción, pese a que se opta por la sanción máxima.</w:t>
      </w:r>
    </w:p>
    <w:p w:rsidR="00D06117" w:rsidRDefault="00D06117" w:rsidP="00D06117">
      <w:pPr>
        <w:pStyle w:val="TextoNormal"/>
      </w:pPr>
    </w:p>
    <w:p w:rsidR="00D06117" w:rsidRDefault="00D06117" w:rsidP="00D06117">
      <w:pPr>
        <w:pStyle w:val="TextoNormal"/>
      </w:pPr>
      <w:r>
        <w:lastRenderedPageBreak/>
        <w:t>Como segundo motivo de amparo, se denuncia la vulneración del art. 18.3 CE y del derecho a la libertad de expresión (art. 20 CE). Tales vulneraciones se habrían producido, según el recurrente, al haber sido sancionado por unas manifestaciones contenidas en un escrito dirigido al Juez de vigilancia penitenciaria, no a los funcionarios del centro penitenciario, en el que se quejaba de lo que ocurría en dicho centro. Ese escrito fue entregado por el interno en un sobre cerrado y su contenido fue conocido por los funcionarios tras abrir la correspondencia del interno con el Juez de vigilancia, lo que vulneró el derecho fundamental del recurrente al secreto de las comunicaciones (art. 18.3 CE), vulneración sancionada con la nulidad de la prueba así obtenida.</w:t>
      </w:r>
    </w:p>
    <w:p w:rsidR="00D06117" w:rsidRDefault="00D06117" w:rsidP="00D06117">
      <w:pPr>
        <w:pStyle w:val="TextoNormal"/>
      </w:pPr>
    </w:p>
    <w:p w:rsidR="00D06117" w:rsidRDefault="00D06117" w:rsidP="00D06117">
      <w:pPr>
        <w:pStyle w:val="TextoNormal"/>
      </w:pPr>
      <w:r>
        <w:t>A ello se añade que las manifestaciones eran ejercicio de la libertad de expresión y no constitutivas de infracción alguna.</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12 de abril de 2010 la Sección Tercera de este Tribunal decidió inicialmente inadmitir el recurso de amparo, al no apreciar en el mismo la especial trascendencia constitucional que, como condición para la admisión de un recurso de amparo, requiere el art. 50.1 b) de la Ley Orgánica de este Tribunal (LOTC), en la redacción dada al mismo por la Ley Orgánica 6/2007, de 24 de mayo.</w:t>
      </w:r>
    </w:p>
    <w:p w:rsidR="00D06117" w:rsidRDefault="00D06117" w:rsidP="00D06117">
      <w:pPr>
        <w:pStyle w:val="TextoNormal"/>
      </w:pPr>
    </w:p>
    <w:p w:rsidR="00D06117" w:rsidRDefault="00D06117" w:rsidP="00D06117">
      <w:pPr>
        <w:pStyle w:val="TextoNormal"/>
      </w:pPr>
      <w:r>
        <w:t>Contra dicha inadmisión interpuso recurso de súplica el Ministerio Fiscal, solicitando la admisión a trámite del recurso. Argumenta el Fiscal que concurre la denunciada vulneración del derecho del interno al secreto de las comunicaciones (art. 18.3 CE) y que el caso tiene especial trascendencia constitucional, a la luz de la jurisprudencia sentada por la STC 155/2009, de 25 de junio, FJ 2.</w:t>
      </w:r>
    </w:p>
    <w:p w:rsidR="00D06117" w:rsidRDefault="00D06117" w:rsidP="00D06117">
      <w:pPr>
        <w:pStyle w:val="TextoNormal"/>
      </w:pPr>
    </w:p>
    <w:p w:rsidR="00D06117" w:rsidRDefault="00D06117" w:rsidP="00D06117">
      <w:pPr>
        <w:pStyle w:val="TextoNormal"/>
      </w:pPr>
      <w:r>
        <w:t>En concreto, y respecto de la trascendencia constitucional del caso, sostiene el Fiscal que concurre el supuesto contenido en el apartado e), referido a los casos en que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Tal y como refleja el fundamento de Derecho tercero del Auto de 10 de septiembre de 2009, dictado por el Juzgado de Vigilancia Penitenciaria, la razón de decidir del Auto es el seguimiento de la consolidada doctrina sentada por la Audiencia Provincial de Cádiz, que de modo reiterado ha establecido que “el secreto de las comunicaciones no ampara a escritos que van dirigidos a integrarse en un expediente judicial, y que la Administración penitenciaria no puede verse obligada a colaborar en hechos presuntamente delictivos”. Afirma el Fiscal que ello revela un incumplimiento de la doctrina del Tribunal Constitucional en relación con el derecho al secreto de las comunicaciones de los internos en centros penitenciarios, “que al parecer es general en la demarcación territorial de la Audiencia Provincial de Cádiz”. Y tal manera de proceder, en virtud del cual se resuelve habitualmente que “un sobre cerrado dirigido a un Juez puede interceptarse en prisión para examinar su —hasta ese momento— ignorado contenido, no parece que sea, al menos en principio, un fallo judicial en el que se haya ponderado mínimamente el ámbito de protección que dispensa el mentado derecho fundamental”.</w:t>
      </w:r>
    </w:p>
    <w:p w:rsidR="00D06117" w:rsidRDefault="00D06117" w:rsidP="00D06117">
      <w:pPr>
        <w:pStyle w:val="TextoNormal"/>
      </w:pPr>
    </w:p>
    <w:p w:rsidR="00D06117" w:rsidRDefault="00D06117" w:rsidP="00D06117">
      <w:pPr>
        <w:pStyle w:val="TextoNormal"/>
      </w:pPr>
      <w:r>
        <w:t xml:space="preserve">En segundo lugar, entiende el Fiscal que también es posible estimar concurrente el supuesto contemplado en el apartado a) del fundamento de Derecho segundo de la citada STC </w:t>
      </w:r>
      <w:r>
        <w:lastRenderedPageBreak/>
        <w:t>155/2009 (“recurso que plantee un problema o una faceta de un derecho fundamental susceptible de amparo sobre el que no haya doctrina del Tribunal Constitucional”), porque si bien existe jurisprudencia aplicable acerca del secreto de las comunicaciones en el ámbito penitenciario, la casuística es tan numerosa “que resulta deseable adentrarse en análisis separados sobre supuestos de hecho que presentan diferencias de matiz”, y en el presente caso se trata de la comunicación de un interno con la autoridad judicial de quien se reclama que pusiera fin a supuestos tratos vejatorios al propio interno que elevaba su queja. Un dato que, en opinión del Fiscal introduce un elemento novedoso que justificaría un pronunciamiento de este Tribunal “ponderando la correcta interpretación desde la perspectiva constitucional de lo establecido en el artículo 50.1 de la LOGP, cuando en él se prevé la comunicación por escrito, entregada en pliego cerrado y cedida mediante recibo”.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Auto de 12 de diciembre de 2011, la Sala Segunda acordó estimar el recurso de súplica del Ministerio Fiscal, anulando la providencia de 12 de abril de 2010, y admitir a trámite el recurso de amparo.</w:t>
      </w:r>
    </w:p>
    <w:p w:rsidR="00D06117" w:rsidRDefault="00D06117" w:rsidP="00D06117">
      <w:pPr>
        <w:pStyle w:val="TextoNormal"/>
      </w:pPr>
    </w:p>
    <w:p w:rsidR="00D06117" w:rsidRDefault="00D06117" w:rsidP="00D06117">
      <w:pPr>
        <w:pStyle w:val="TextoNormal"/>
      </w:pPr>
      <w:r>
        <w:t>En el citado Auto se establece que, a la vista de los argumentos expuestos en el recurso de súplica interpuesto por el Fiscal, el Tribunal ha reconsiderado su postura y entiende que la solicitud de éste debe ser atendida. “En efecto, de conformidad con nuestra jurisprudencia, la intervención administrativa de una comunicación escrita entre un interno en un centro penitenciario y un órgano judicial vulnera el derecho al secreto de las comunicaciones (art. 18.3 CE), al carecer de cobertura legal y hallarse expresamente prohibida por el Reglamento Penitenciario de 1996 (SSTC 175/2000, de 26 de junio, FJ 4; 15/2011, de 28 de febrero, FJ 6). Pese a lo cual, y como pone de relieve el Ministerio Fiscal, de la fundamentación jurídica de las resoluciones recurridas parece desprenderse un incumplimiento general y reiterado de dicha doctrina en una cierta demarcación territorial, lo que justificaría la admisión a trámite del recurso, a fin de que se produzca una decisión sobre el fondo en razón de su especial trascendencia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A través de una diligencia de ordenación de la Secretaría de Justicia de la Sala Segunda, de 19 de diciembre de 2011, y a tenor de lo dispuesto en el art. 51 LOTC, se requiere al centro penitenciario del Puerto de Santa María (Puerto I) y al Juzgado de Vigilancia Penitenciaria núm. 4 de Andalucía para que en plazo que no exceda de diez días remitieran certificación o fotocopia adverada del expediente disciplinario 453-2009 y del recurso contra la sanción disciplinaria 482-2009, interesándose al tiempo que se emplazara a quienes fueron parte en el procedimiento, a excepción del recurrente en amparo, para que en el plazo de diez días pudieran comparecer en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otra diligencia de ordenación de fecha 9 de febrero de 2012 se tuvo por personado y parte al Abogado del Estado y se dio vista de las actuaciones a las partes personadas y al Ministerio Fiscal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8</w:t>
      </w:r>
      <w:r>
        <w:t>. El día 9 de marzo de 2012 tuvo entrada en el Registro General de este Tribunal el escrito de alegaciones del Abogado del Estado, en el que solicita que se inadmita el presente recurso de amparo o subsidiariamente se desestime.</w:t>
      </w:r>
    </w:p>
    <w:p w:rsidR="00D06117" w:rsidRDefault="00D06117" w:rsidP="00D06117">
      <w:pPr>
        <w:pStyle w:val="TextoNormal"/>
      </w:pPr>
    </w:p>
    <w:p w:rsidR="00D06117" w:rsidRDefault="00D06117" w:rsidP="00D06117">
      <w:pPr>
        <w:pStyle w:val="TextoNormal"/>
      </w:pPr>
      <w:r>
        <w:t>Considera en primer lugar el Abogado del Estado que el recurso es inadmisible por no haber levantado el demandante la carga de justificar la especial trascendencia constitucional del asunto conforme a lo establecido en los arts. 50.1 a) LOTC en relación con el art. 49.1 LOTC. Entiende el Abogado del Estado que la demanda, en el otrosí relativo a la especial trascendencia constitucional se limita a reiterar las violaciones de derechos fundamentales denunciadas. Admite el Abogado del Estado que los argumentos recogidos en el ATC 165/2011, de 12 de diciembre —que estimó el recurso de súplica del Ministerio Fiscal y acordó la admisión a trámite de la demanda—, acerca del incumplimiento general y reiterado de la doctrina de este Tribunal en materia de intervención de comunicaciones escritas entre un interno y el órgano judicial en una cierta demarcación territorial, justifican la especial trascendencia constitucional del asunto. Pero dicha justificación “se ha construido a instancia del Ministerio Fiscal y ha sido definitivamente precisada por la propia Sala”, y ni el Fiscal puede suplir al recurrente, ni el Tribunal reconstruir de oficio las demandas, supliendo las razones que las partes no hayan expuesto, de conformidad con reiterada y constante doctrina constitucional. A la vista de lo cual solicita que se dicte una Sentencia de inadmisión, citando las SSTC 69/2011, de 16 de mayo, y 143/2011, de 26 de septiembre, dado que la inicial admisión no subsana lo insubsanable.</w:t>
      </w:r>
    </w:p>
    <w:p w:rsidR="00D06117" w:rsidRDefault="00D06117" w:rsidP="00D06117">
      <w:pPr>
        <w:pStyle w:val="TextoNormal"/>
      </w:pPr>
    </w:p>
    <w:p w:rsidR="00D06117" w:rsidRDefault="00D06117" w:rsidP="00D06117">
      <w:pPr>
        <w:pStyle w:val="TextoNormal"/>
      </w:pPr>
      <w:r>
        <w:t>Subsidiariamente, y respecto del fondo del asunto, comienza señalando el Abogado del Estado que, al margen de la denunciada vulneración del art. 18.3 CE, los demás extremos que plantea la demanda carecen de la menor consistencia. El derecho a la libertad de expresión no justifica las expresiones insultantes vertidas por el recurrente en su escrito de queja al Juez de vigilancia penitenciaria. La prueba propuesta en vía administrativa fue razonable y motivadamente rechazada por el instructor en el procedimiento administrativo en resolución interlocutoria de 27 de julio de 2007, al igual que la prueba propuesta en sede judicial, en el Auto de 10 de septiembre de 2009.</w:t>
      </w:r>
    </w:p>
    <w:p w:rsidR="00D06117" w:rsidRDefault="00D06117" w:rsidP="00D06117">
      <w:pPr>
        <w:pStyle w:val="TextoNormal"/>
      </w:pPr>
    </w:p>
    <w:p w:rsidR="00D06117" w:rsidRDefault="00D06117" w:rsidP="00D06117">
      <w:pPr>
        <w:pStyle w:val="TextoNormal"/>
      </w:pPr>
      <w:r>
        <w:t xml:space="preserve">Respecto de la cuestión del secreto de las comunicaciones entre el interno y el Juez de vigilancia penitenciaria, se destaca que siendo la prueba de cargo fundamental para la imposición de la sanción, si concurriera tal vulneración la prueba se habría obtenido con vulneración de un derecho fundamental. Reconoce el Abogado del Estado que la doctrina sentada por las SSTC 127/1996 y 175/2000 afirma inequívocamente que el art. 49.2 del reglamento penitenciario de 1996 prohíbe la suspensión, restricción o intervención administrativa de las comunicaciones del interno con la autoridad judicial, con independencia de que el escrito se entregue para su curso en sobre abierto o cerrado. Pero sostiene que dicha doctrina constitucional debería ser matizada, para que no reciba el mismo tratamiento la entrega de un escrito de queja en sobre cerrado, con lo que se manifiesta la clara voluntad de que el contenido de la queja no sea conocido por la Administración penitenciaria, que la presentación para sellado y registro del escrito, permitiendo el acceso a su contenido, pues en este caso el titular del derecho al secreto permite el acceso a la comunicación. Lo prohibido por el art. 49.2 del reglamento penitenciario es el acceso no consentido a la comunicación, pudiendo en otros casos la Administración penitenciaria acceder al texto del escrito de queja, como entiende que ocurriría en el presente caso, dado que el escrito obra con sello y no consta que el interno observara la prescripción del art. 46.2 del reglamento penitenciario. Ciertamente la doctrina de la Audiencia Provincial de Cádiz recogida en el fundamento tercero del Auto de 10 de septiembre de 2009 puede merecer las precisiones que el Tribunal </w:t>
      </w:r>
      <w:r>
        <w:lastRenderedPageBreak/>
        <w:t>estime conveniente, pero ello no implica que la Administración penitenciaria haya violado el secreto de las comunicaciones.</w:t>
      </w:r>
    </w:p>
    <w:p w:rsidR="00D06117" w:rsidRDefault="00D06117" w:rsidP="00D06117">
      <w:pPr>
        <w:pStyle w:val="TextoNormal"/>
      </w:pPr>
    </w:p>
    <w:p w:rsidR="00D06117" w:rsidRDefault="00D06117" w:rsidP="00D06117">
      <w:pPr>
        <w:pStyle w:val="TextoNormal"/>
      </w:pPr>
      <w:r>
        <w:t>El Abogado del Estado concluye afirmando que la matización de la doctrina constitucional sentada en las SSTC 127/1996 y 175/2000 que somete a la decisión del Tribunal supondría limitar la aplicación de la misma a los casos en que conste claramente la voluntad del interno que formula la queja de que ésta se mantenga secreta para la Administración penitenciaria.</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procesal del demandante de amparo formuló sus alegaciones mediante escrito que tuvo su entrada en el Registro General de este Tribunal el día 14 de marzo de 2012, en el que sustancialmente reproduce los argumentos ya expuestos en la demanda.</w:t>
      </w:r>
    </w:p>
    <w:p w:rsidR="00D06117" w:rsidRDefault="00D06117" w:rsidP="00D06117">
      <w:pPr>
        <w:pStyle w:val="TextoNormal"/>
      </w:pPr>
    </w:p>
    <w:p w:rsidR="00D06117" w:rsidRDefault="00D06117" w:rsidP="00D06117">
      <w:pPr>
        <w:pStyle w:val="TextoNormal"/>
      </w:pPr>
      <w:r w:rsidRPr="00D06117">
        <w:rPr>
          <w:rStyle w:val="NumeroAFNegritaCaracter"/>
        </w:rPr>
        <w:t>10</w:t>
      </w:r>
      <w:r>
        <w:t>. El día 16 de marzo de 2012 presentó sus alegaciones el Ministerio Fiscal, interesando que se otorgue el amparo solicitado, por vulneración del art. 18.3 CE, y que se anule tanto la resolución sancionadora como las resoluciones judiciales recurridas.</w:t>
      </w:r>
    </w:p>
    <w:p w:rsidR="00D06117" w:rsidRDefault="00D06117" w:rsidP="00D06117">
      <w:pPr>
        <w:pStyle w:val="TextoNormal"/>
      </w:pPr>
    </w:p>
    <w:p w:rsidR="00D06117" w:rsidRDefault="00D06117" w:rsidP="00D06117">
      <w:pPr>
        <w:pStyle w:val="TextoNormal"/>
      </w:pPr>
      <w:r>
        <w:t>Comienza recordando el Fiscal la consolidada doctrina del Tribunal conforme a la cual en los expedientes disciplinarios en el ámbito penitenciario las garantías derivadas del art. 24 CE han de aplicarse con especial rigor, pues la sanción supone una grave limitación a la ya restringida libertad inherente al cumplimiento de la pena (por todas, STC 236/2002). E igualmente destaca el relevante papel de los Jueces de Vigilancia Penitenciaria a quienes, a tenor del art. 76 de la Ley Orgánica general penitenciaria (LOGP), corresponde salvaguardar los derechos de los internos y corregir los abusos y desviaciones que puedan producirse. También destaca que en este ámbito la vulneración del derecho a la tutela judicial efectiva es tanto más relevante cuando se alega la vulneración de un derecho fundamental y en los casos de sanciones penitenciarias (STC 53/2001).</w:t>
      </w:r>
    </w:p>
    <w:p w:rsidR="00D06117" w:rsidRDefault="00D06117" w:rsidP="00D06117">
      <w:pPr>
        <w:pStyle w:val="TextoNormal"/>
      </w:pPr>
    </w:p>
    <w:p w:rsidR="00D06117" w:rsidRDefault="00D06117" w:rsidP="00D06117">
      <w:pPr>
        <w:pStyle w:val="TextoNormal"/>
      </w:pPr>
      <w:r>
        <w:t>Sostiene el Fiscal que no concurre ni la denunciada vulneración del derecho a la tutela judicial efectiva (art. 24.1 CE), pues existe una respuesta judicial —sea o no acertada— a las quejas del interno, ni vulneración del derecho a la prueba (art. 24.2 CE), porque la prueba testifical propuesta y denegada (declaración de todos los internos de un módulo y de todos los funcionarios que hubieran declarado contra él) era patentemente inútil e irrelevante, dado que el motivo de la sanción era el contenido de un escrito dirigido por el propio interno al Juez de vigilancia, en el que se vertían expresiones ofensivas contra el Director del centro penitenciario.</w:t>
      </w:r>
    </w:p>
    <w:p w:rsidR="00D06117" w:rsidRDefault="00D06117" w:rsidP="00D06117">
      <w:pPr>
        <w:pStyle w:val="TextoNormal"/>
      </w:pPr>
    </w:p>
    <w:p w:rsidR="00D06117" w:rsidRDefault="00D06117" w:rsidP="00D06117">
      <w:pPr>
        <w:pStyle w:val="TextoNormal"/>
      </w:pPr>
      <w:r>
        <w:t xml:space="preserve">Ahora bien, respecto de la denunciada vulneración del derecho al secreto de las comunicaciones (art. 18.3 CE), destaca el Fiscal que el art. 51.5 LOPG prevé la intervención de las comunicaciones de los internos por el Director del establecimiento penitenciario, comunicándolo al interno y dando cuenta de ello al Juez de vigilancia y siempre que se cumplan los requisitos del art. 46 del reglamento penitenciario. A continuación recuerda la jurisprudencia constitucional acerca del derecho al secreto de las comunicaciones de los internos en un centro penitenciario, en relación con las comunicaciones genéricas, destacando la importancia del control judicial de la medida, la necesidad de la notificación al interno y la limitación temporal de la misma. Por otra parte, señala el Fiscal que entre las funciones del Juez de vigilancia penitenciaria se encuentra la de adoptar los acuerdos que procedan respecto de las peticiones o quejas de los internos, de conformidad con el art. 76.2 f) LOGP. Y que el </w:t>
      </w:r>
      <w:r>
        <w:lastRenderedPageBreak/>
        <w:t>art. 54.1 del Reglamento penitenciario prevé que los internos puedan formular directamente peticiones o quejas al Juez de vigilancia penitenciaria.</w:t>
      </w:r>
    </w:p>
    <w:p w:rsidR="00D06117" w:rsidRDefault="00D06117" w:rsidP="00D06117">
      <w:pPr>
        <w:pStyle w:val="TextoNormal"/>
      </w:pPr>
    </w:p>
    <w:p w:rsidR="00D06117" w:rsidRDefault="00D06117" w:rsidP="00D06117">
      <w:pPr>
        <w:pStyle w:val="TextoNormal"/>
      </w:pPr>
      <w:r>
        <w:t>Esto es lo que sucede en el presente caso, en que el interno dirige una instancia al órgano judicial —que era su único destinatario— y que, no obstante, fue examinada por funcionarios de la prisión. El que la instancia se hallara o no en sobre cerrado carece de relevancia alguna según el Fiscal, pues se trataba inequívocamente de un escrito de queja dirigido al Juez (como consta en el encabezamiento del mismo), por un interno cuyas comunicaciones no estaban intervenidas con la preceptiva previa aprobación judicial, arrogándose los responsables del centro penitenciario “la facultad de establecer una suerte de control previo sobre aquello que ha de ser examinado en exclusiva por la autoridad judicial”. Y además, de “tan peculiar comportamiento” se deriva la incoación de un expediente disciplinario, en el que se sanciona por los propios afectados las expresiones que ellos mismos consideran injuriosas.</w:t>
      </w:r>
    </w:p>
    <w:p w:rsidR="00D06117" w:rsidRDefault="00D06117" w:rsidP="00D06117">
      <w:pPr>
        <w:pStyle w:val="TextoNormal"/>
      </w:pPr>
    </w:p>
    <w:p w:rsidR="00D06117" w:rsidRDefault="00D06117" w:rsidP="00D06117">
      <w:pPr>
        <w:pStyle w:val="TextoNormal"/>
      </w:pPr>
      <w:r>
        <w:t>Finalmente, con cita de las SSTC 15/1982 y 169/2003, concluye el Fiscal que en el presente caso se ha procedido a la interceptación de las comunicaciones privadas del interno, sin previa autorización judicial ni comunicación inmediata, por lo que la Administración penitenciaria vulneró su derecho al secreto de las comunicaciones (art. 18.3 CE), vulneración no subsanada por la autoridad judicial.</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17 de mayo de 2012, se señaló para deliberación y votación de la presente Sentencia el día 21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presente demanda de amparo tiene por objeto la impugnación de los Autos de 11 de noviembre de 2009 y 10 de septiembre de 2009, dictados por el Juzgado de Vigilancia Penitenciaria núm. 4 de Andalucía, por los que se desestiman los recursos de reforma y alzada, respectivamente, interpuestos por el recurrente contra el acuerdo sancionador de la comisión disciplinaria del centro penitenciario de Puerto I, de fecha 11 de agosto de 2009. La sanción impuesta al interno lo es como consecuencia de las manifestaciones vertidas en un escrito de queja dirigido al Juez de vigilancia penitenciaria, a cuyo contenido accedieron los funcionarios del centro penitenciario, procediendo a incoar un expediente disciplinario al interno a la vista de su contenido. No existe constancia en las actuaciones acerca de si dicho escrito fue introducido en un sobre por el interno, ni de si el mismo, en su caso, estaba abierto o cerrado.</w:t>
      </w:r>
    </w:p>
    <w:p w:rsidR="00D06117" w:rsidRDefault="00D06117" w:rsidP="00D06117">
      <w:pPr>
        <w:pStyle w:val="TextoNormal"/>
      </w:pPr>
    </w:p>
    <w:p w:rsidR="00D06117" w:rsidRDefault="00D06117" w:rsidP="00D06117">
      <w:pPr>
        <w:pStyle w:val="TextoNormal"/>
      </w:pPr>
      <w:r>
        <w:t>El demandante de amparo denuncia la vulneración de los derechos fundamentales al secreto de las comunicaciones (art. 18.3 CE), a la libertad de expresión [art. 20.1 a) CE], a la tutela judicial efectiva (art. 24.1 CE) y a la utilización de medios de prueba pertinentes para la defensa (art. 24.2 CE). El Abogado del Estado interesa que se acuerde la inadmisión de la demanda por incumplir el art. 49.1 in fine en relación con el art. 50.1 a) de la Ley Orgánica del Tribunal Constitucional (LOTC), y subsidiariamente, la desestimación. El Ministerio Fiscal, por el contrario, interesa que se otorgue el amparo por vulneración del art. 18.3 CE, y que se anulen tanto la resolución sancionadora como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Con carácter previo al examen de las quejas formuladas en la demanda, debemos analizar si, como pone de relieve el Abogado del Estado, procede la inadmisión del recurso de amparo por no haber satisfecho el recurrente la carga que le incumbía de justificar la especial trascendencia constitucional del recurso.</w:t>
      </w:r>
    </w:p>
    <w:p w:rsidR="00D06117" w:rsidRDefault="00D06117" w:rsidP="00D06117">
      <w:pPr>
        <w:pStyle w:val="TextoNormal"/>
      </w:pPr>
    </w:p>
    <w:p w:rsidR="00D06117" w:rsidRDefault="00D06117" w:rsidP="00D06117">
      <w:pPr>
        <w:pStyle w:val="TextoNormal"/>
      </w:pPr>
      <w:r>
        <w:t>Conforme a lo dispuesto en el art. 50.1 a) LOTC, el recurso de amparo no puede ser admitido a trámite si el recurrente no cumple —además de los restantes requisitos procesales previstos en los arts. 42 a 44 LOTC— la ineludible exigencia impuesta por el art. 49.1 in fine LOTC de justificar en la demanda de amparo la especial trascendencia constitucional del recurso (por todas, SSTC 155/2009, de 25 de junio, FJ 2; y 69/2011, y de 16 de mayo, FJ 2; AATC 188/2008, de 21 de julio, FJ 1; 289/2008 y 290/2008, ambos de 22 de septiembre, FJ 1).</w:t>
      </w:r>
    </w:p>
    <w:p w:rsidR="00D06117" w:rsidRDefault="00D06117" w:rsidP="00D06117">
      <w:pPr>
        <w:pStyle w:val="TextoNormal"/>
      </w:pPr>
    </w:p>
    <w:p w:rsidR="00D06117" w:rsidRDefault="00D06117" w:rsidP="00D06117">
      <w:pPr>
        <w:pStyle w:val="TextoNormal"/>
      </w:pPr>
      <w:r>
        <w:t>Este Tribunal —como destacábamos en la STC 69/2011, de 16 de mayo, FJ 3— ha ido realizando numerosas precisiones en cuanto al modo de dar cumplimiento a esta exigencia, destacando fundamentalmente que es algo distinto de razonar sobre la existencia de la vulneración de un derecho fundamental, de modo que en la demanda ha de disociarse adecuadamente la argumentación tendente a justificar la existencia de lesión de un derecho fundamental de aquella dirigida a justificar la especial trascendencia constitucional, exigiendo al recurrente un “esfuerzo argumental” que ponga en conexión las vulneraciones constitucionales que alega con los criterios establecidos en el art. 50.1 b) LOTC,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A lo que ha de añadirse que en la STC 155/2009, de 25 de junio, FJ 2, el Tribunal ha identificado, sin ánimo exhaustivo, determinados supuestos en los que concurriría esa especial trascendencia constitucional, avanzando en la interpretación del art. 50.1 b) LOTC y facilitando a los recurrentes el cumplimiento de la carga justificativa que impone el art. 49.1 LOTC.</w:t>
      </w:r>
    </w:p>
    <w:p w:rsidR="00D06117" w:rsidRDefault="00D06117" w:rsidP="00D06117">
      <w:pPr>
        <w:pStyle w:val="TextoNormal"/>
      </w:pPr>
    </w:p>
    <w:p w:rsidR="00D06117" w:rsidRDefault="00D06117" w:rsidP="00D06117">
      <w:pPr>
        <w:pStyle w:val="TextoNormal"/>
      </w:pPr>
      <w:r>
        <w:t>En el presente caso, de la lectura de la demanda de amparo se desprende que el recurrente realiza ese esfuerzo argumental, pues destina un apartado específico a justificar la especial trascendencia constitucional del recurso (páginas 10 y 11 de la demanda). Y aunque lo razonado en dicho apartado no constituya un modelo de claridad y precisión en el cumplimiento de la carga procesal que nos ocupa, sí puede afirmarse que —más allá de las vulneraciones denunciadas— pone de relieve los datos necesarios para justificar la proyección objetiva del amparo solicitado (SSTC 143/2011, de 26 de septiembre, FJ 2), la conexión material entre las vulneraciones denunciadas y los criterios establecidos en el art. 50.1 b) LOTC y en la STC 155/2009, de 25 de junio, FJ 2, necesaria para la trascendencia constitucional del recurso (STC 170/2011, de 3 de noviembre, FJ 3).</w:t>
      </w:r>
    </w:p>
    <w:p w:rsidR="00D06117" w:rsidRDefault="00D06117" w:rsidP="00D06117">
      <w:pPr>
        <w:pStyle w:val="TextoNormal"/>
      </w:pPr>
    </w:p>
    <w:p w:rsidR="00D06117" w:rsidRDefault="00D06117" w:rsidP="00D06117">
      <w:pPr>
        <w:pStyle w:val="TextoNormal"/>
      </w:pPr>
      <w:r>
        <w:t xml:space="preserve">En efecto, por una parte, al afirmar que el Tribunal debe determinar si las resoluciones recurridas vulneran la doctrina constitucional relativa a los arts. 18 y 20 CE [“deberá determinarse si la resolución recurrida vulnera la doctrina del Tribunal Constitucional relativa al secreto de las comunicaciones (art. 18 CE) y al derecho fundamental contenido en el art. 20 de la Constitución”], puede razonablemente entenderse que se está planteando la necesidad de que el Tribunal, además de reparar las vulneraciones denunciadas, se pronuncie sobre un problema o faceta de esos derechos fundamentales, precisando el alcance de la doctrina constitucional sobre el derecho al secreto de las comunicaciones de los internos en un centro </w:t>
      </w:r>
      <w:r>
        <w:lastRenderedPageBreak/>
        <w:t>penitenciario cuando éstos dirigen escritos al Juez de vigilancia penitenciaria denunciando lo que consideran un trato vejatorio, así como acerca de las posibilidades de imponer sanciones disciplinarias como consecuencia de las manifestaciones vertidas en tales escritos, despejando toda duda al respecto [supuesto a) de los enunciados en la STC 155/2009, de 25 de junio, FJ 2]. Una precisión o matización de nuestra doctrina que, por lo demás, también entienden necesaria tanto el Abogado del Estado como el Ministerio Fiscal.</w:t>
      </w:r>
    </w:p>
    <w:p w:rsidR="00D06117" w:rsidRDefault="00D06117" w:rsidP="00D06117">
      <w:pPr>
        <w:pStyle w:val="TextoNormal"/>
      </w:pPr>
    </w:p>
    <w:p w:rsidR="00D06117" w:rsidRDefault="00D06117" w:rsidP="00D06117">
      <w:pPr>
        <w:pStyle w:val="TextoNormal"/>
      </w:pPr>
      <w:r>
        <w:t>Por otra parte, al cuestionar la motivación de las resoluciones judiciales recurridas, afirmando que carecen de base legal y constitucional (“no derivan ni del tenor literal de la Ley ni de la finalidad que conforme a la Constitución la inspira”), se está remitiendo a éstas. Y de la mera lectura del Auto de 10 de septiembre de 2009 —como puso de relieve en su día el Ministerio Fiscal— se desprende que la razón de la desestimación del recurso del interno en lo relativo a la vulneración del art. 18.3 CE es una doctrina de la Audiencia Provincial de Cádiz conforme a la cual “el secreto de las comunicaciones no ampara a escritos que van dirigidos a integrarse a un expediente judicial”, afirmación de la que parece derivarse —como pusimos de relieve en el Auto de 12 de diciembre de 2011, que estimó el recurso de súplica del Ministerio Fiscal— un incumplimiento general y reiterado de la doctrina constitucional en una cierta demarcación territorial [supuesto e) de los enunciados en la STC 155/2009, de 25 de junio, FJ 2]. Ciertamente el recurrente no explicita en la demanda que concurra este supuesto de especial trascendencia constitucional, pero el conjunto de las razones aportadas en el recurso proporcionan a este Tribunal elementos de juicio suficientes para apreciarlo, como ya afirmamos en el Auto de 12 de diciembre de 2012.</w:t>
      </w:r>
    </w:p>
    <w:p w:rsidR="00D06117" w:rsidRDefault="00D06117" w:rsidP="00D06117">
      <w:pPr>
        <w:pStyle w:val="TextoNormal"/>
      </w:pPr>
    </w:p>
    <w:p w:rsidR="00D06117" w:rsidRDefault="00D06117" w:rsidP="00D06117">
      <w:pPr>
        <w:pStyle w:val="TextoNormal"/>
      </w:pPr>
      <w:r>
        <w:t>Hemos de recordar que “aunque la indicada previsión del art. 49.1 in fine LOTC se configura como una carga procesal de la parte, es también un instrumento de colaboración con la Justicia constitucional” (SSTC 17/2011, de 28 de febrero, FJ 2; y 69/2011, de 16 de mayo, FJ 3). Tanto el deber de redactar la demanda con claridad y precisión (art. 49.1 LOTC), como el de incorporar de modo suficiente alegaciones tendentes a justificar la especial trascendencia constitucional del recurso “tiene alcance instrumental, en cuanto se dirige a proporcionar al Tribunal elementos de juicio para decidir sobre la admisibilidad de la demanda” (STC 17/2011, de 28 de febrero, FJ 2). Y si en opinión del Tribunal —que es a quien corresponde apreciar si el contenido del recurso justifica una decisión sobre el fondo en razón de su especial trascendencia constitucional, como advierten la STC 155/2009, de 25 de junio, FJ 2, o el ATC 46/2011, de 28 de abril, FJ 2, gozando para ello de un amplio margen— la parte aporta suficientes elementos de juicio.</w:t>
      </w:r>
    </w:p>
    <w:p w:rsidR="00D06117" w:rsidRDefault="00D06117" w:rsidP="00D06117">
      <w:pPr>
        <w:pStyle w:val="TextoNormal"/>
      </w:pPr>
    </w:p>
    <w:p w:rsidR="00D06117" w:rsidRDefault="00D06117" w:rsidP="00D06117">
      <w:pPr>
        <w:pStyle w:val="TextoNormal"/>
      </w:pPr>
      <w:r>
        <w:t>En virtud de todo lo expuesto hemos de entender satisfecha la carga procesal de justificar la especial trascendencia constitucional y rechazar el óbice planteado por el Abogado del Estado.</w:t>
      </w:r>
    </w:p>
    <w:p w:rsidR="00D06117" w:rsidRDefault="00D06117" w:rsidP="00D06117">
      <w:pPr>
        <w:pStyle w:val="TextoNormal"/>
      </w:pPr>
    </w:p>
    <w:p w:rsidR="00D06117" w:rsidRDefault="00D06117" w:rsidP="00D06117">
      <w:pPr>
        <w:pStyle w:val="TextoNormal"/>
      </w:pPr>
      <w:r w:rsidRPr="00D06117">
        <w:rPr>
          <w:rStyle w:val="NumeroAFNegritaCaracter"/>
        </w:rPr>
        <w:t>3</w:t>
      </w:r>
      <w:r>
        <w:t>. Dados los términos en que se plantea la petición de amparo, nos encontramos ante uno de los denominados recursos mixtos (arts. 43 y 44 LOTC), en la medida en que algunas de las infracciones que se atribuyen al Juzgado de Vigilancia Penitenciaria son autónomas, es decir, van más allá de la mera falta de reparación de las que originariamente se imputan a la Administración penitenciaria sancionadora (por todas, SSTC 346/2006, de diciembre, FJ 2; y 59/2011, de 3 de mayo, FJ 1), lo que obliga a este Tribunal a pronunciarse sobre cuál es el orden de examen de las alegaciones que ha de seguirse.</w:t>
      </w:r>
    </w:p>
    <w:p w:rsidR="00D06117" w:rsidRDefault="00D06117" w:rsidP="00D06117">
      <w:pPr>
        <w:pStyle w:val="TextoNormal"/>
      </w:pPr>
    </w:p>
    <w:p w:rsidR="00D06117" w:rsidRDefault="00D06117" w:rsidP="00D06117">
      <w:pPr>
        <w:pStyle w:val="TextoNormal"/>
      </w:pPr>
      <w:r>
        <w:lastRenderedPageBreak/>
        <w:t>Si bien en múltiples ocasiones hemos afirmado que, con carácter previo al análisis de las vulneraciones atribuidas a la Administración penitenciaria, han de analizarse las quejas relativas a las resoluciones judiciales, y en concreto, la denunciada vulneración del derecho a la tutela judicial efectiva (art. 24.1 CE), en aras de la preservación del carácter subsidiario del recurso de amparo ante el Tribunal Constitucional (por todas, SSTC 128/2003, de 30 de junio, FJ 2; 2/2004, de 14 de enero, FJ 2; y 2/2006, de 16 de enero, FJ 3), tal criterio se establece en atención a las circunstancias del caso concreto y a las quejas formuladas por los demandantes, habiéndose afirmado en otras ocasiones, a la vista de las peticiones contenidas en la demanda, que un orden lógico impone analizar en primer término las alegadas vulneraciones de garantías procesales y derechos fundamentales que se atribuyen a la Administración penitenciaria durante la tramitación del expediente sancionador (entre otras, SSTC 175/2000, de 26 de junio, FJ 2; 9/2003, de 20 de enero, FJ 2; 169/2003, de 29 de septiembre, FFJJ 1 y 2; 91/2004, de 19 de mayo, FJ 2; 346/2006, de 11 de diciembre, FJ 2; 140/2009, de 15 de junio, FJ 1; y 59/2011, de 3 de mayo, FJ 1). Así sucede en el presente caso.</w:t>
      </w:r>
    </w:p>
    <w:p w:rsidR="00D06117" w:rsidRDefault="00D06117" w:rsidP="00D06117">
      <w:pPr>
        <w:pStyle w:val="TextoNormal"/>
      </w:pPr>
    </w:p>
    <w:p w:rsidR="00D06117" w:rsidRDefault="00D06117" w:rsidP="00D06117">
      <w:pPr>
        <w:pStyle w:val="TextoNormal"/>
      </w:pPr>
      <w:r>
        <w:t>En efecto, la queja principal de la demanda es la vulneración del derecho al secreto de las comunicaciones (art. 18.3 CE), de la que deriva la única prueba valorada en el expediente sancionador. Una vulneración imputable inicialmente a la autoridad administrativa y no subsanada por el órgano judicial. Por tanto, en el caso de que dicha vulneración se hubiera producido, este Tribunal debería proceder directamente a su reparación, anulando el acuerdo sancionador y los Autos del Juzgado de Vigilancia Penitenciaria que lo confirmaron, sin necesidad de entrar en un análisis de los mismos, que sólo tendría un efecto retardatorio para la tutela del derecho sustantivo en juego.</w:t>
      </w:r>
    </w:p>
    <w:p w:rsidR="00D06117" w:rsidRDefault="00D06117" w:rsidP="00D06117">
      <w:pPr>
        <w:pStyle w:val="TextoNormal"/>
      </w:pPr>
    </w:p>
    <w:p w:rsidR="00D06117" w:rsidRDefault="00D06117" w:rsidP="00D06117">
      <w:pPr>
        <w:pStyle w:val="TextoNormal"/>
      </w:pPr>
      <w:r w:rsidRPr="00D06117">
        <w:rPr>
          <w:rStyle w:val="NumeroAFNegritaCaracter"/>
        </w:rPr>
        <w:t>4</w:t>
      </w:r>
      <w:r>
        <w:t>. Nuestro análisis ha de partir de la consolidada doctrina conforme a la cual, si bien las personas recluidas en establecimientos penitenciarios gozan del derecho al secreto de sus comunicaciones, no obstante el marco normativo constitucional en estos casos viene determinado no sólo por lo dispuesto en el art. 18.3 CE —que garantiza el derecho al secreto de las comunicaciones, salvo resolución judicial—, sino también por lo dispuesto en el art. 25.2 CE, precepto que prevé la posibilidad de que los derechos fundamentales del condenado a pena de prisión se vean expresamente limitados por el contenido del fallo condenatorio, el sentido de la pena y la Ley penitenciaria (SSTC 170/1996, de 29 de octubre, FJ 4; 175/1997, de 27 de octubre, FJ 2; 200/1997, de 24 de noviembre, FJ 2; 175/2000, de 26 de junio, FJ 2 ; 106/2001, de 23 de abril, FJ 6; y 15/2011, de 29 de marzo, FJ 5).</w:t>
      </w:r>
    </w:p>
    <w:p w:rsidR="00D06117" w:rsidRDefault="00D06117" w:rsidP="00D06117">
      <w:pPr>
        <w:pStyle w:val="TextoNormal"/>
      </w:pPr>
    </w:p>
    <w:p w:rsidR="00D06117" w:rsidRDefault="00D06117" w:rsidP="00D06117">
      <w:pPr>
        <w:pStyle w:val="TextoNormal"/>
      </w:pPr>
      <w:r>
        <w:t>Por lo tanto, y en palabras de la STC 15/2011, de 29 de marzo, FJ 5, “el contenido del derecho al secreto de las comunicaciones de las personas internas en centros penitenciarios no es, sin más, el constitucionalmente declarado en los términos del art. 18.3 CE, sino, en virtud de la interpretación sistemática de este precepto en relación con el art. 25.2 CE, el que resulte de su configuración por el legislador, en el supuesto de que por la ley penitenciaria se hayan dispuesto limitaciones específicas del mismo y sin perjuicio de que esos límites se encuentren, a su vez, sometidos a sus propios presupuestos de constitucionalidad.”</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El art. 51 de la Ley Orgánica 1/1979, de 26 de septiembre, general penitenciaria (LOGP) establece una regulación específica (desarrollada reglamentariamente) del derecho a las comunicaciones de los internos, distinguiendo varias modalidades de comunicación, sometidas a distintos regímenes: las denominadas comunicaciones genéricas, esto es, “con </w:t>
      </w:r>
      <w:r>
        <w:lastRenderedPageBreak/>
        <w:t>familiares, amigos y representantes acreditados de Organismos e instituciones de cooperación penitenciaria” (art. 51.1 LOGP), “con el Abogado defensor o con el Abogado expresamente llamado en relación con asuntos penales o con los Procuradores que los representen” (art. 51.2 LOGP), y “con profesionales acreditados en lo relacionado con su actividad, con los Asistentes Sociales y con Sacerdotes o Ministros de su religión” (art. 51.3 LOGP).</w:t>
      </w:r>
    </w:p>
    <w:p w:rsidR="00D06117" w:rsidRDefault="00D06117" w:rsidP="00D06117">
      <w:pPr>
        <w:pStyle w:val="TextoNormal"/>
      </w:pPr>
    </w:p>
    <w:p w:rsidR="00D06117" w:rsidRDefault="00D06117" w:rsidP="00D06117">
      <w:pPr>
        <w:pStyle w:val="TextoNormal"/>
      </w:pPr>
      <w:r>
        <w:t>Dicho precepto no incluye en su regulación, sin embargo, las comunicaciones escritas dirigidas por los internos a la autoridad judicial y en su desarrollo reglamentario, el art. 49.2 del reglamento penitenciario prohíbe expresamente cualquier restricción de las comunicaciones de los internos con las autoridades judiciales al disponer que “[l]as comunicaciones orales y escritas de los internos con … Autoridades Judiciales y miembros del Ministerio Fiscal no podrán ser suspendidas, ni ser objeto de intervención o restricción administrativa de ningún tipo.”</w:t>
      </w:r>
    </w:p>
    <w:p w:rsidR="00D06117" w:rsidRDefault="00D06117" w:rsidP="00D06117">
      <w:pPr>
        <w:pStyle w:val="TextoNormal"/>
      </w:pPr>
    </w:p>
    <w:p w:rsidR="00D06117" w:rsidRDefault="00D06117" w:rsidP="00D06117">
      <w:pPr>
        <w:pStyle w:val="TextoNormal"/>
      </w:pPr>
      <w:r>
        <w:t>Por otra parte, y como destacan tanto el recurrente como el Ministerio Fiscal, la legislación penitenciaria contiene una regulación específica de las quejas y recursos que los internos tienen derecho a formular (arts. 50 LOGP y 54.1 del reglamento penitenciario). Y como afirmamos con rotundidad en la STC 15/2011, de 28 de febrero, FJ 6, de la legislación penitenciaria se desprende tanto la obligación del director del establecimiento penitenciario de dar curso a los recursos previstos en la ley que los internos dirijan a la autoridad judicial, sin facultarle a imponer restricción o limitación alguna (art. 50.2 LOGP), como que los escritos con peticiones o quejas que el interno dirija al Juez de vigilancia penitenciaria pueden presentarse en sobre cerrado o abierto y que, en cualquiera de los dos supuestos la Administración penitenciaria lo remitirá, “sin dilación y en todo caso en el plazo máximo de tres días, al Juez de Vigilancia Penitenciaria”.</w:t>
      </w:r>
    </w:p>
    <w:p w:rsidR="00D06117" w:rsidRDefault="00D06117" w:rsidP="00D06117">
      <w:pPr>
        <w:pStyle w:val="TextoNormal"/>
      </w:pPr>
    </w:p>
    <w:p w:rsidR="00D06117" w:rsidRDefault="00D06117" w:rsidP="00D06117">
      <w:pPr>
        <w:pStyle w:val="TextoNormal"/>
      </w:pPr>
      <w:r>
        <w:t>Dada la ausencia de habilitación legal y la prohibición reglamentaria expresa de la intervención administrativa de una comunicación dirigida a un órgano judicial por quien se encuentra recluido en un centro penitenciario, la jurisprudencia constitucional ha afirmado que tal intervención se encuentra constitucionalmente proscrita y vulnera el derecho al secreto de las comunicaciones del interno. Y ello con independencia de que el escrito se entregue para su curso en sobre abierto o cerrado o sin introducirlo en sobre alguno, pues en cualquier caso su destinatario es el Juez y la norma constitucional que garantiza el secreto de la comunicación se dirige inequívocamente a preservar su impenetrabilidad por terceros ajenos a la comunicación misma. Así lo hemos declarado expresa e inequívocamente en las SSTC 127/1996, de 9 de julio, FJ 4; y 175/2000, de 26 de junio, FJ 4, y lo reiteramos ahora, destacando la irrelevancia de que el escrito se introduzca o no en un sobre por parte del interno, pues lo constitucionalmente vedado es el acceso a la comunicación entre el Juez y el interno.</w:t>
      </w:r>
    </w:p>
    <w:p w:rsidR="00D06117" w:rsidRDefault="00D06117" w:rsidP="00D06117">
      <w:pPr>
        <w:pStyle w:val="TextoNormal"/>
      </w:pPr>
    </w:p>
    <w:p w:rsidR="00D06117" w:rsidRDefault="00D06117" w:rsidP="00D06117">
      <w:pPr>
        <w:pStyle w:val="TextoNormal"/>
      </w:pPr>
      <w:r>
        <w:t xml:space="preserve">En el presente caso, del examen de las actuaciones se desprende que el demandante de amparo trató de realizar una comunicación con el Juzgado de Vigilancia Penitenciaria, habiendo hecho constar expresamente en el encabezamiento de su escrito tanto que se trataba de un “Escrito de queja contra el Director de Puerto I … y el Subdirector médico”, como que el mismo se dirigía al Juez de Vigilancia Penitenciaria núm. 4 de los de Andalucía. Resulta por tanto una evidencia que nos encontramos ante una comunicación entre el interno y la autoridad judicial cuya intervención administrativa se encuentra constitucionalmente </w:t>
      </w:r>
      <w:r>
        <w:lastRenderedPageBreak/>
        <w:t>proscrita, de conformidad con la doctrina anteriormente expuesta. Pese a lo cual los funcionarios del centro penitenciario accedieron al contenido de la misma, vulnerando de este modo el derecho al secreto de las comunicaciones del recurrente (art. 18.3 y 25.2 CE).</w:t>
      </w:r>
    </w:p>
    <w:p w:rsidR="00D06117" w:rsidRDefault="00D06117" w:rsidP="00D06117">
      <w:pPr>
        <w:pStyle w:val="TextoNormal"/>
      </w:pPr>
    </w:p>
    <w:p w:rsidR="00D06117" w:rsidRDefault="00D06117" w:rsidP="00D06117">
      <w:pPr>
        <w:pStyle w:val="TextoNormal"/>
      </w:pPr>
      <w:r w:rsidRPr="00D06117">
        <w:rPr>
          <w:rStyle w:val="NumeroAFNegritaCaracter"/>
        </w:rPr>
        <w:t>6</w:t>
      </w:r>
      <w:r>
        <w:t>. Ahora bien, nuestro pronunciamiento no puede detenerse en este punto, pues a raíz de dicha intervención se incoó un procedimiento disciplinario contra el interno, al que se impuso una sanción disciplinaria sobre la base del contenido de su escrito de queja, alegando el recurrente que la vulneración del derecho al secreto de las comunicaciones determina la nulidad de la prueba así obtenida. Se trata, por tanto, de un supuesto sustancialmente igual al resuelto por las SSTC 127/1996, de 9 de julio, y 175/2000, de 28 de julio, en los que también la Administración penitenciaria intervino comunicaciones escritas de los internos con un órgano judicial y procedió a incoar contra ellos expedientes disciplinarios sobre la base de las manifestaciones efectuadas en tales escritos.</w:t>
      </w:r>
    </w:p>
    <w:p w:rsidR="00D06117" w:rsidRDefault="00D06117" w:rsidP="00D06117">
      <w:pPr>
        <w:pStyle w:val="TextoNormal"/>
      </w:pPr>
    </w:p>
    <w:p w:rsidR="00D06117" w:rsidRDefault="00D06117" w:rsidP="00D06117">
      <w:pPr>
        <w:pStyle w:val="TextoNormal"/>
      </w:pPr>
      <w:r>
        <w:t>Constituye reiterada doctrina de este Tribunal, desde la STC 18/1982, de 18 de junio, que las garantías contenidas en el art. 24.2 CE son aplicables no sólo al proceso penal, sino también, con las matizaciones derivadas de su propia naturaleza, a los procedimientos administrativos sancionadores y, en concreto, al procedimiento disciplinario penitenciario, ámbito en el que hemos afirmado que estas garantías deben aplicarse con especial vigor, al considerar que la sanción supone una grave limitación de la ya restringida libertad inherente al cumplimiento de una pena, sin que la condición de interno en un establecimiento penitenciario pueda implicar más limitación de sus derechos fundamentales que la expresada en el contenido del fallo condenatorio, la propia del sentido de la pena y la prevista por la ley penitenciaria conforme a lo establecido en el art. 25.2 CE (por todas, SSTC 346/2006, de 11 de diciembre, FJ 3; y 59/2011, de 3 de mayo, FJ 2). Y entre las garantías aplicables ex art. 24.2 CE a los procedimientos sancionadores en el ámbito penitenciario se encuentra la prohibición de utilizar y valorar pruebas obtenidas con vulneración de un derecho fundamental (por todas, STC 175/2000, de 26 de junio, FJ 5). La valoración de una prueba obtenida con vulneración de un derecho fundamental sustantivo constituye, en primer término, una lesión del derecho a un proceso con todas las garantías (art. 24.2 CE), porque implica una ignorancia de las reglas propias de un proceso justo, y conlleva también la vulneración del derecho a la presunción de inocencia si la sanción se sustenta exclusivamente en dicha prueba (por todas, STC 81/1998, de 2 de abril, FJ 3; en el mismo sentido, SSTC 49/1999, de 5 de abril, FJ 14; 94/1999, de 31 de mayo, FJ 9; 171/1999, de 27 de septiembre, FJ 15; 59/2005, de 15 de marzo, FJ 5; y 206/2007, de 24 de septiembre, FJ 9).</w:t>
      </w:r>
    </w:p>
    <w:p w:rsidR="00D06117" w:rsidRDefault="00D06117" w:rsidP="00D06117">
      <w:pPr>
        <w:pStyle w:val="TextoNormal"/>
      </w:pPr>
    </w:p>
    <w:p w:rsidR="00D06117" w:rsidRDefault="00D06117" w:rsidP="00D06117">
      <w:pPr>
        <w:pStyle w:val="TextoNormal"/>
      </w:pPr>
      <w:r>
        <w:t>En el presente caso, del examen del expediente sancionador se desprende inequívocamente que la sanción que se impone al demandante tiene como único hecho justificador ciertas expresiones vertidas en el escrito de queja dirigido al Juez de vigilancia penitenciaria. Igualmente resulta plenamente acreditado que la única prueba existente en el expediente administrativo sancionador y en virtud de la cual se han considerado probados los hechos que se imputan es el propio escrito del recurrente, cuyo contenido se recoge en el pliego de cargos, en la propuesta de resolución y en el propio acuerdo sancionador. En consecuencia, hemos de declarar con tal actuación la Administración penitenciaria vulneró no sólo el derecho al secreto de las comunicaciones del recurrente, sino también su derecho a un proceso con todas las garantías y a la presunción de inocencia (art. 24.2 CE), en la medida en que la única prueba que sirvió de base al acuerdo sancionador fue la obtenida violando el derecho fundamental al secreto de las comunicaciones.</w:t>
      </w:r>
    </w:p>
    <w:p w:rsidR="00D06117" w:rsidRDefault="00D06117" w:rsidP="00D06117">
      <w:pPr>
        <w:pStyle w:val="TextoNormal"/>
      </w:pPr>
    </w:p>
    <w:p w:rsidR="00D06117" w:rsidRDefault="00D06117" w:rsidP="00D06117">
      <w:pPr>
        <w:pStyle w:val="TextoNormal"/>
      </w:pPr>
      <w:r w:rsidRPr="00D06117">
        <w:rPr>
          <w:rStyle w:val="NumeroAFNegritaCaracter"/>
        </w:rPr>
        <w:t>7</w:t>
      </w:r>
      <w:r>
        <w:t>. La constatación de las anteriores vulneraciones por parte de la Administración penitenciaria conduce al otorgamiento del amparo, declarando la nulidad tanto del acuerdo sancionador de la comisión disciplinaria del centro penitenciario Puerto I, como de los Autos del Juzgado de Vigilancia Penitenciaria núm. 4 de Andalucía que lo confirman, en la medida en que las vulneraciones de derechos fundamentales no fueron reparadas en los mencionados Autos, desconociendo la función que al Juzgado de Vigilancia Penitenciaria le corresponde a la hora de garantizar los derechos fundamentales de los internos (SSTC 97/1995, de 20 de junio, FJ 5; 175/2000, de 26 de junio, FJ 6; 237/2002, de 9 de diciembre, FJ 6; 346/2006, de 11 de diciembre, FJ 6; y 59/2011, de 3 de mayo, FJ 7, entre otras muchas). Esta anulación hace innecesario que nos pronunciemos acerca de las restantes vulneraciones denunciadas en la demanda de amparo.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interpuesto por don Carlos Luis Trujillo Abreu y, en su virtud:</w:t>
      </w:r>
    </w:p>
    <w:p w:rsidR="00D06117" w:rsidRDefault="00D06117" w:rsidP="00D06117">
      <w:pPr>
        <w:pStyle w:val="TextoNormal"/>
      </w:pPr>
    </w:p>
    <w:p w:rsidR="00D06117" w:rsidRDefault="00D06117" w:rsidP="00D06117">
      <w:pPr>
        <w:pStyle w:val="TextoNormal"/>
      </w:pPr>
      <w:r>
        <w:t>1º Declarar que se han vulnerado los derechos del recurrente al secreto de las comunicaciones (art. 18.3 y 25.2 CE), al proceso con todas las garantías y a la presunción de inocencia (art. 24.2 CE).</w:t>
      </w:r>
    </w:p>
    <w:p w:rsidR="00D06117" w:rsidRDefault="00D06117" w:rsidP="00D06117">
      <w:pPr>
        <w:pStyle w:val="TextoNormal"/>
      </w:pPr>
    </w:p>
    <w:p w:rsidR="00D06117" w:rsidRDefault="00D06117" w:rsidP="00D06117">
      <w:pPr>
        <w:pStyle w:val="TextoNormal"/>
      </w:pPr>
      <w:r>
        <w:t>2º Restablecerlo en su derecho y, a tal fin, anular el acuerdo sancionador de la comisión disciplinaria del centro penitenciario Puerto I, de 11 de agosto de 2009 (ED 453-2009-1101), así como los Autos del Juzgado de Vigilancia Penitenciaria núm. 4 de Andalucía, de 10 de septiembre de 2009 y 11 de noviembre de 2009.</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veintiuno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1" w:name="SENTENCIA_2012_108"/>
      <w:r>
        <w:lastRenderedPageBreak/>
        <w:t>SENTENCIA 108/2012, de 21 de mayo de 2012</w:t>
      </w:r>
    </w:p>
    <w:bookmarkEnd w:id="111"/>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ECLI:ES:TC:2012:108</w:t>
      </w:r>
    </w:p>
    <w:p w:rsidR="00D06117" w:rsidRDefault="00D06117" w:rsidP="00D06117">
      <w:pPr>
        <w:pStyle w:val="SntesisDescriptiva"/>
      </w:pPr>
    </w:p>
    <w:p w:rsidR="00D06117" w:rsidRDefault="00D06117" w:rsidP="00D06117">
      <w:pPr>
        <w:pStyle w:val="SntesisDescriptiva"/>
      </w:pPr>
      <w:r>
        <w:t>Recurso de amparo 2281-2010. Promovido por don Ignacio Arakama Mendia con respecto al Auto de la Sala de lo Penal del Tribunal Supremo que desestimó el recurso de casación interpuesto frente al Auto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en amparo [FJ 3].</w:t>
      </w:r>
    </w:p>
    <w:p w:rsidR="00D06117" w:rsidRDefault="00D06117" w:rsidP="00D06117">
      <w:pPr>
        <w:pStyle w:val="Extracto"/>
      </w:pPr>
    </w:p>
    <w:p w:rsidR="00D06117" w:rsidRDefault="00D06117" w:rsidP="00D06117">
      <w:pPr>
        <w:pStyle w:val="Extracto"/>
      </w:pPr>
      <w:r>
        <w:t>3.</w:t>
      </w:r>
      <w:r>
        <w:tab/>
        <w:t>La aplicación de la nueva interpretación jurisprudencial sobre la forma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2, 3].</w:t>
      </w:r>
    </w:p>
    <w:p w:rsidR="00D06117" w:rsidRDefault="00D06117" w:rsidP="00D06117">
      <w:pPr>
        <w:pStyle w:val="Extracto"/>
      </w:pPr>
    </w:p>
    <w:p w:rsidR="00D06117" w:rsidRDefault="00D06117" w:rsidP="00D06117">
      <w:pPr>
        <w:pStyle w:val="Extracto"/>
      </w:pPr>
      <w:r>
        <w:t>4.</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2].</w:t>
      </w:r>
    </w:p>
    <w:p w:rsidR="00D06117" w:rsidRDefault="00D06117" w:rsidP="00D06117">
      <w:pPr>
        <w:pStyle w:val="Extracto"/>
      </w:pPr>
    </w:p>
    <w:p w:rsidR="00D06117" w:rsidRDefault="00D06117" w:rsidP="00D06117">
      <w:pPr>
        <w:pStyle w:val="Extracto"/>
      </w:pPr>
      <w:r>
        <w:t>5.</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2].</w:t>
      </w:r>
    </w:p>
    <w:p w:rsidR="00D06117" w:rsidRDefault="00D06117" w:rsidP="00D06117">
      <w:pPr>
        <w:pStyle w:val="Extracto"/>
      </w:pPr>
    </w:p>
    <w:p w:rsidR="00D06117" w:rsidRDefault="00D06117" w:rsidP="00D06117">
      <w:pPr>
        <w:pStyle w:val="Extracto"/>
      </w:pPr>
      <w:r>
        <w:t>6.</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2].</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o el modo de computar las redenciones, pues todas ellas son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2].</w:t>
      </w:r>
    </w:p>
    <w:p w:rsidR="00D06117" w:rsidRDefault="00D06117" w:rsidP="00D06117">
      <w:pPr>
        <w:pStyle w:val="Extracto"/>
      </w:pPr>
    </w:p>
    <w:p w:rsidR="00D06117" w:rsidRDefault="00D06117" w:rsidP="00D06117">
      <w:pPr>
        <w:pStyle w:val="Extracto"/>
      </w:pPr>
      <w:r>
        <w:t>8.</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w:t>
      </w:r>
      <w:r w:rsidRPr="00D06117">
        <w:rPr>
          <w:i/>
        </w:rPr>
        <w:t>casos Grava c. Italia</w:t>
      </w:r>
      <w:r>
        <w:t xml:space="preserve">, de 10 de julio de 2003 y </w:t>
      </w:r>
      <w:r w:rsidRPr="00D06117">
        <w:rPr>
          <w:i/>
        </w:rPr>
        <w:t>Gurguchiani c. España</w:t>
      </w:r>
      <w:r>
        <w:t>, de 15 de diciembre de 2009) [FJ 4].</w:t>
      </w:r>
    </w:p>
    <w:p w:rsidR="00D06117" w:rsidRDefault="00D06117" w:rsidP="00D06117">
      <w:pPr>
        <w:pStyle w:val="Extracto"/>
      </w:pPr>
    </w:p>
    <w:p w:rsidR="00D06117" w:rsidRDefault="00D06117" w:rsidP="00D06117">
      <w:pPr>
        <w:pStyle w:val="Extracto"/>
      </w:pPr>
      <w:r>
        <w:t>9.</w:t>
      </w:r>
      <w:r>
        <w:tab/>
        <w:t>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resoluciones recurridas, ni la doctrina del Tribunal Supremo invocada en ellas aplican retroactivamente dicho precepto, sino la normativa vigente en el momento de comisión de los hechos (SSTC 21/1993, 116/2007) [FJ 4].</w:t>
      </w:r>
    </w:p>
    <w:p w:rsidR="00D06117" w:rsidRDefault="00D06117" w:rsidP="00D06117">
      <w:pPr>
        <w:pStyle w:val="Extracto"/>
      </w:pPr>
    </w:p>
    <w:p w:rsidR="00D06117" w:rsidRDefault="00D06117" w:rsidP="00D06117">
      <w:pPr>
        <w:pStyle w:val="Extracto"/>
      </w:pPr>
      <w:r>
        <w:t>10.</w:t>
      </w:r>
      <w:r>
        <w:tab/>
        <w:t>La resolución impugnada se limita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4].</w:t>
      </w:r>
    </w:p>
    <w:p w:rsidR="00D06117" w:rsidRDefault="00D06117" w:rsidP="00D06117">
      <w:pPr>
        <w:pStyle w:val="Extracto"/>
      </w:pPr>
    </w:p>
    <w:p w:rsidR="00D06117" w:rsidRDefault="00D06117" w:rsidP="00D06117">
      <w:pPr>
        <w:pStyle w:val="Extracto"/>
      </w:pPr>
      <w:r>
        <w:t>11.</w:t>
      </w:r>
      <w:r>
        <w:tab/>
        <w:t>No concurre una situación material de indefensión efectiva constitucionalmente relevante, puesto que el recurrente pudo defenderse y someter a contradicción la aplicación de la nueva doctrina sobre el cómputo de la redención de pena en el recurso de casación que interpuso, como de hecho hizo [FJ 5].</w:t>
      </w:r>
    </w:p>
    <w:p w:rsidR="00D06117" w:rsidRDefault="00D06117" w:rsidP="00D06117">
      <w:pPr>
        <w:pStyle w:val="Extracto"/>
      </w:pPr>
    </w:p>
    <w:p w:rsidR="00D06117" w:rsidRDefault="00D06117" w:rsidP="00D06117">
      <w:pPr>
        <w:pStyle w:val="Extracto"/>
      </w:pPr>
      <w:r>
        <w:t>12.</w:t>
      </w:r>
      <w:r>
        <w:tab/>
        <w:t xml:space="preserve">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w:t>
      </w:r>
      <w:r>
        <w:lastRenderedPageBreak/>
        <w:t>los recursos que puedan interponerse frente a cualquier resolución judicial dictada en un proceso penal (SSTC 42/1982, 116/2006) [FJ 5].</w:t>
      </w:r>
    </w:p>
    <w:p w:rsidR="00D06117" w:rsidRDefault="00D06117" w:rsidP="00D06117">
      <w:pPr>
        <w:pStyle w:val="Extracto"/>
      </w:pPr>
    </w:p>
    <w:p w:rsidR="00D06117" w:rsidRDefault="00D06117" w:rsidP="00D06117">
      <w:pPr>
        <w:pStyle w:val="Extracto"/>
      </w:pPr>
      <w:r>
        <w:t>13.</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[FJ 6].</w:t>
      </w:r>
    </w:p>
    <w:p w:rsidR="00D06117" w:rsidRDefault="00D06117" w:rsidP="00D06117">
      <w:pPr>
        <w:pStyle w:val="Extracto"/>
      </w:pPr>
    </w:p>
    <w:p w:rsidR="00D06117" w:rsidRDefault="00D06117" w:rsidP="00D06117">
      <w:pPr>
        <w:pStyle w:val="Extracto"/>
      </w:pPr>
      <w:r>
        <w:t>14.</w:t>
      </w:r>
      <w:r>
        <w:tab/>
        <w:t>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y su evolución muestren que se hallan en condiciones de hacer vida honrada en libertad [FJ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2281-2010, promovido por don Ignacio Arakama Mendia, representado por el Procurador de los Tribunales don Javier Cuevas Rivas y asistido por el Letrado don Iker Urbina Fernández, contra el Auto dictado el 21 de enero de 2010 por la Sala de lo Penal del Tribunal Supremo que desestimó el recurso de casación formulado contra el Auto de la Sección Tercera de la Sala de lo Penal de la Audiencia Nacional, recaído el 10 de febrero de 2009 en la ejecutoria núm. 1-2004. Ha intervenido el Ministerio Fiscal. Ha sido Ponente el Magistrado don Francisco José Hernando Santiago,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17 de marzo de 2010 don Ignacio Arakama Mendia presentó en el Registro General de este Tribunal recurso de amparo contra el Auto de la Sala Segunda del Tribunal Supremo de 21 de enero de 2010, que declaró la inadmisión del recurso de casación formulado contra </w:t>
      </w:r>
      <w:r>
        <w:lastRenderedPageBreak/>
        <w:t>el Auto de la Sección Tercera de la Sala de lo Penal de la Audiencia Nacional, recaído el 10 de febrero de 2009 en la ejecutoria núm. 1-2004, por entender que las resoluciones mencionadas vulneran el derecho a la igualdad consagrado en el art. 14 CE, el derecho a la libertad y seguridad recogido en el art. 17 CE, el derecho a la tutela judicial efectiva sin que quepa indefensión reconocido en el art. 24.1 CE, el derecho a la defensa previsto en el art. 24.2 CE y el principio de legalidad y seguridad jurídica contenido en los apartados 1 y 2 del art. 25 CE.</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relevantes para su resolución, son los siguientes:</w:t>
      </w:r>
    </w:p>
    <w:p w:rsidR="00D06117" w:rsidRDefault="00D06117" w:rsidP="00D06117">
      <w:pPr>
        <w:pStyle w:val="TextoNormal"/>
      </w:pPr>
    </w:p>
    <w:p w:rsidR="00D06117" w:rsidRDefault="00D06117" w:rsidP="00D06117">
      <w:pPr>
        <w:pStyle w:val="TextoNormal"/>
      </w:pPr>
      <w:r>
        <w:t>a) La Sección Tercera de la Sala de lo Penal de la Audiencia Nacional, mediante Sentencia de 12 de noviembre de 2003, condenó al demandante de amparo en el sumario núm. 188-1981, como responsable en concepto de autor por un delito de atentado a la pena de veinte años de reclusión menor; por dos delitos de asesinato a dos penas de veinte años de reclusión menor; por un delito de utilización ilegítima de vehículo de motor, con intimidación, a la pena de seis meses de arresto mayor; y por un delito de falsedad de placas de matrícula a la pena de seis meses de arresto mayor.</w:t>
      </w:r>
    </w:p>
    <w:p w:rsidR="00D06117" w:rsidRDefault="00D06117" w:rsidP="00D06117">
      <w:pPr>
        <w:pStyle w:val="TextoNormal"/>
      </w:pPr>
    </w:p>
    <w:p w:rsidR="00D06117" w:rsidRDefault="00D06117" w:rsidP="00D06117">
      <w:pPr>
        <w:pStyle w:val="TextoNormal"/>
      </w:pPr>
      <w:r>
        <w:t>Atendida la conexión del citado sumario con otros abiertos contra el recurrente (sumario núm. 2-1987 del Juzgado Central de Instrucción núm. 1; sumario núm. 19-1993 del Juzgado Central de Instrucción núm. 1; sumario núm. 51-1980 del Juzgado Central de Instrucción núm. 2; sumario núm. 23-1985 del Juzgado Central de Instrucción núm. 2; sumario núm. 39-1993 del Juzgado Central de Instrucción núm. 2), por Auto de la Sección Tercera de la Sala de lo Penal de la Audiencia Nacional de 11 de noviembre de 2004 se acordó la acumulación de los mismos y se fijó en una duración de treinta años de privación de libertad el tiempo total de cumplimiento de todas las penas privativas de libertad impuestas en las causas expresadas.</w:t>
      </w:r>
    </w:p>
    <w:p w:rsidR="00D06117" w:rsidRDefault="00D06117" w:rsidP="00D06117">
      <w:pPr>
        <w:pStyle w:val="TextoNormal"/>
      </w:pPr>
    </w:p>
    <w:p w:rsidR="00D06117" w:rsidRDefault="00D06117" w:rsidP="00D06117">
      <w:pPr>
        <w:pStyle w:val="TextoNormal"/>
      </w:pPr>
      <w:r>
        <w:t>b) Posteriormente, por Auto de la Sección Tercera de la Sala de lo Penal de la Audiencia Nacional de 28 de julio de 2005 se acordó dejar sin efecto el Auto de la misma Sección de 11 de noviembre de 2004, por entender el tribunal que no se habían acumulado la totalidad de las sentencias condenatorias dictadas respecto del penado y que no se había reclamado con carácter previo a dictar el Auto la hoja histórico penal del Registro central de penados y rebeldes en relación al mismo, retrotrayendo las actuaciones al momento procesal en que se omitió el trámite preceptivo establecido en el art. 988 de la Ley de enjuiciamiento criminal (LECrim).</w:t>
      </w:r>
    </w:p>
    <w:p w:rsidR="00D06117" w:rsidRDefault="00D06117" w:rsidP="00D06117">
      <w:pPr>
        <w:pStyle w:val="TextoNormal"/>
      </w:pPr>
    </w:p>
    <w:p w:rsidR="00D06117" w:rsidRDefault="00D06117" w:rsidP="00D06117">
      <w:pPr>
        <w:pStyle w:val="TextoNormal"/>
      </w:pPr>
      <w:r>
        <w:t xml:space="preserve">c) Por Auto de 10 de febrero de 2009 se acordó acumular al Sumario 188-1981, las condenas impuestas al penado Ignacio Arakama Mendia en las causas: sumario núm. 19-1983 del Juzgado Central de Instrucción núm. 1; sumario núm. 2-1987 del Juzgado Central de Instrucción núm. 1; sumario núm. 39-1993 del Juzgado Central de Instrucción núm. 2; sumario núm. 23-1985 del Juzgado Central de Instrucción núm. 2; sumario núm. 51-1980 del Juzgado Central de Instrucción núm. 2; sumario núm. 58-1981 del Juzgado Central de Instrucción núm. 4; sumario núm. 42-1979 del Juzgado Central de Instrucción núm. 2; sumario núm. 42-1982 del Juzgado Central de Instrucción núm. 5; y sumario núm. 2-1987 del Juzgado Central de Instrucción núm. 1. Asimismo se fijó en una duración de treinta años de </w:t>
      </w:r>
      <w:r>
        <w:lastRenderedPageBreak/>
        <w:t>privación de libertad el tiempo total de cumplimiento de todas las penas privativas de libertad impuestas al mencionado penado en las causas expresadas en aplicación del Código penal (CP) de 1973, con indicación de que el cumplimiento de las penas será sucesivo, aplicándose los beneficios y redenciones que procedan respecto a cada una de las penas que esté cumpliendo.</w:t>
      </w:r>
    </w:p>
    <w:p w:rsidR="00D06117" w:rsidRDefault="00D06117" w:rsidP="00D06117">
      <w:pPr>
        <w:pStyle w:val="TextoNormal"/>
      </w:pPr>
    </w:p>
    <w:p w:rsidR="00D06117" w:rsidRDefault="00D06117" w:rsidP="00D06117">
      <w:pPr>
        <w:pStyle w:val="TextoNormal"/>
      </w:pPr>
      <w:r>
        <w:t>d) Contra el citado Auto el demandante de amparo interpuso recurso de casación ante la Sala de lo Penal de la Audiencia Nacional, que fue desestimado por Auto de 21 de enero de 2010, en el que se reafirma la doctrina sentada en la Sentencia 197/2006, de 28 de febrero.</w:t>
      </w:r>
    </w:p>
    <w:p w:rsidR="00D06117" w:rsidRDefault="00D06117" w:rsidP="00D06117">
      <w:pPr>
        <w:pStyle w:val="TextoNormal"/>
      </w:pPr>
    </w:p>
    <w:p w:rsidR="00D06117" w:rsidRDefault="00D06117" w:rsidP="00D06117">
      <w:pPr>
        <w:pStyle w:val="TextoNormal"/>
      </w:pPr>
      <w:r w:rsidRPr="00D06117">
        <w:rPr>
          <w:rStyle w:val="NumeroAFNegritaCaracter"/>
        </w:rPr>
        <w:t>3</w:t>
      </w:r>
      <w:r>
        <w:t>. El demandante solicita el amparo por los siguientes motivos:</w:t>
      </w:r>
    </w:p>
    <w:p w:rsidR="00D06117" w:rsidRDefault="00D06117" w:rsidP="00D06117">
      <w:pPr>
        <w:pStyle w:val="TextoNormal"/>
      </w:pPr>
    </w:p>
    <w:p w:rsidR="00D06117" w:rsidRDefault="00D06117" w:rsidP="00D06117">
      <w:pPr>
        <w:pStyle w:val="TextoNormal"/>
      </w:pPr>
      <w:r>
        <w:t>a) En primer lugar, por vulneración del derecho a la tutela judicial efectiva reconocido en el art. 24.1 CE, al no haberse respetado la intangibilidad de las resoluciones judiciales firmes, en relación con el derecho fundamental a la libertad (art. 17.1 CE).</w:t>
      </w:r>
    </w:p>
    <w:p w:rsidR="00D06117" w:rsidRDefault="00D06117" w:rsidP="00D06117">
      <w:pPr>
        <w:pStyle w:val="TextoNormal"/>
      </w:pPr>
    </w:p>
    <w:p w:rsidR="00D06117" w:rsidRDefault="00D06117" w:rsidP="00D06117">
      <w:pPr>
        <w:pStyle w:val="TextoNormal"/>
      </w:pPr>
      <w:r>
        <w:t>A juicio del demandante de amparo el Auto de la Sección Tercera de la Sala de lo Penal de la Audiencia Nacional de 11 de noviembre de 2004 había devenido firme y de obligado cumplimiento en sus propios términos al no haber sido recurrido por ninguna de las partes. Por ello, considera que pretender después modificarlo lesiona el derecho a la intangibilidad de las resoluciones judiciales firmes, ya que sobre él recae la autoridad de cosa juzgada. Cuestión distinta, continúa señalando, es que dicho Auto fuera objeto de un error material, en cuanto no se había procedido a acumular todas las sentencias condenatorias, error subsanable, como solicitó el Ministerio Fiscal, máxime teniendo en cuenta que es una cuestión que beneficia al reo. Señala que es cierto que la Ley de enjuiciamiento criminal y la Ley Orgánica del Poder Judicial permiten rectificar errores materiales o suplir omisiones, pero lo que no permiten es modificar en lo sustancial resoluciones firmes, que además supongan un perjuicio para el reo. Por tanto, a su juicio, el Auto de 11 de noviembre de 2004 se debe cumplir, supliendo las omisiones referidas, ya que el derecho a que el fallo judicial se cumpla forma parte del derecho a la tutela judicial efectiva. Señala que mantener la resolución recurrida en sus términos supone la vulneración del derecho fundamental a la tutela judicial efectiva en relación con el principio de intangibilidad de las resoluciones firmes ex art. 24.1 CE, derecho fundamental que además tiene engarce con el principio de legalidad (art. 25.1 CE) en relación con la prohibición de retroactividad de las normas penales perjudiciales para el reo (art. 9.3 CE) y que en este caso además afecta a la libertad personal, por cuanto el penado va a ver retrasada su fecha de licenciamiento definitivo.</w:t>
      </w:r>
    </w:p>
    <w:p w:rsidR="00D06117" w:rsidRDefault="00D06117" w:rsidP="00D06117">
      <w:pPr>
        <w:pStyle w:val="TextoNormal"/>
      </w:pPr>
    </w:p>
    <w:p w:rsidR="00D06117" w:rsidRDefault="00D06117" w:rsidP="00D06117">
      <w:pPr>
        <w:pStyle w:val="TextoNormal"/>
      </w:pPr>
      <w:r>
        <w:t>b) En segundo lugar, solicita el amparo constitucional por vulneración del principio de legalidad consagrado en el art. 25.1 y 2 CE en relación al art. 9.1 CE, por aplicación e interpretación manifiestamente errónea de los arts. 70.2 y 100 CP 1973 y arts. 66 del reglamento de servicios de prisiones de 1956 y 202 del reglamento penitenciario actual, en relación con el derecho fundamental a la libertad (art. 17 CE).</w:t>
      </w:r>
    </w:p>
    <w:p w:rsidR="00D06117" w:rsidRDefault="00D06117" w:rsidP="00D06117">
      <w:pPr>
        <w:pStyle w:val="TextoNormal"/>
      </w:pPr>
    </w:p>
    <w:p w:rsidR="00D06117" w:rsidRDefault="00D06117" w:rsidP="00D06117">
      <w:pPr>
        <w:pStyle w:val="TextoNormal"/>
      </w:pPr>
      <w:r>
        <w:t xml:space="preserve">Señala el demandante de amparo que la STS 197/2006 parte del supuesto de que el art. 70.2 CP 1973 dice que el máximo de treinta años de cumplimiento ha de ser efectivo, pero, realmente, dicho artículo no habla en ningún momento de cumplimiento efectivo. A su entender, el máximo de condena es de treinta años y éstos se alcanzan sumando los días pasados en prisión y los días redimidos. Por el contrario, añade el recurrente, en el Código penal </w:t>
      </w:r>
      <w:r>
        <w:lastRenderedPageBreak/>
        <w:t>de 1995, donde se suprimen las redenciones de penas por el trabajo, pero las condenas también se reducen, sí se plantea el cumplimiento efectivo de la condena. Por ello, señala que es evidente que si en el nuevo Código penal de 1995 se hace mención expresa al cumplimiento efectivo de la condena, es precisamente para marcar la diferencia de lo que sobre la misma cuestión dice el Código penal derogado de 1973.</w:t>
      </w:r>
    </w:p>
    <w:p w:rsidR="00D06117" w:rsidRDefault="00D06117" w:rsidP="00D06117">
      <w:pPr>
        <w:pStyle w:val="TextoNormal"/>
      </w:pPr>
    </w:p>
    <w:p w:rsidR="00D06117" w:rsidRDefault="00D06117" w:rsidP="00D06117">
      <w:pPr>
        <w:pStyle w:val="TextoNormal"/>
      </w:pPr>
      <w:r>
        <w:t>Asimismo considera que la resolución recurrida vulnera el art. 25 CE por ser disconforme con las Sentencias del Tribunal Constitucional 186/2003, de 27 de octubre; 76/2004, de 26 de abril; 31/1999, de 8 de marzo; y 174/1989, de 30 de octubre, entre otras, en relación con el derecho fundamental a la libertad.</w:t>
      </w:r>
    </w:p>
    <w:p w:rsidR="00D06117" w:rsidRDefault="00D06117" w:rsidP="00D06117">
      <w:pPr>
        <w:pStyle w:val="TextoNormal"/>
      </w:pPr>
    </w:p>
    <w:p w:rsidR="00D06117" w:rsidRDefault="00D06117" w:rsidP="00D06117">
      <w:pPr>
        <w:pStyle w:val="TextoNormal"/>
      </w:pPr>
      <w:r>
        <w:t>c) En tercer lugar, solicita el amparo constitucional en virtud de la vulneración del derecho fundamental a la igualdad ante la ley (art. 14 CE y art. 14 del Convenio europeo de los derechos humanos, en relación al derecho fundamental a la libertad ex art. 17 CE).</w:t>
      </w:r>
    </w:p>
    <w:p w:rsidR="00D06117" w:rsidRDefault="00D06117" w:rsidP="00D06117">
      <w:pPr>
        <w:pStyle w:val="TextoNormal"/>
      </w:pPr>
    </w:p>
    <w:p w:rsidR="00D06117" w:rsidRDefault="00D06117" w:rsidP="00D06117">
      <w:pPr>
        <w:pStyle w:val="TextoNormal"/>
      </w:pPr>
      <w:r>
        <w:t>Señala el recurrente en amparo que la aplicación que realiza el Tribunal de instancia de la Sentencia del Tribunal Supremo 197/2006, de 28 de febrero, no respeta el principio de igualdad en la aplicación de la ley, pues nos encontramos ante la modificación, después de largos años, de la aplicación de lo que ha sido doctrina pacífica de la Sala de lo Penal del Tribunal Supremo, con el agravante de que se hizo de oficio, sin que ninguna de las partes planteara la cuestión. A su juicio, no parece ajustado a los principios que rigen el Derecho, que una norma jurídica que durante años ha sido aplicada a cientos de presos de manera pacífica en un mismo sentido, justo en el momento en el que la aplicación de dicha norma se reduce a un número muy limitado de presos, se modifica “contra reo”. Además, indica, tampoco existen en el caso que nos ocupa circunstancias sustanciales que justifiquen un cambio de criterio. En este sentido, a su juicio, la argumentación utilizada por la Sección Tercera no puede ser suficiente, ni útil, para justificar una aplicación de la ley diferente a la que se venía haciendo hasta el momento sin que ello suponga vulnerar el principio de igualdad ante la ley.</w:t>
      </w:r>
    </w:p>
    <w:p w:rsidR="00D06117" w:rsidRDefault="00D06117" w:rsidP="00D06117">
      <w:pPr>
        <w:pStyle w:val="TextoNormal"/>
      </w:pPr>
    </w:p>
    <w:p w:rsidR="00D06117" w:rsidRDefault="00D06117" w:rsidP="00D06117">
      <w:pPr>
        <w:pStyle w:val="TextoNormal"/>
      </w:pPr>
      <w:r>
        <w:t>Afirma también que la vulneración del derecho fundamental a la igualdad cobra especial relevancia puesto que existen personas que encontrándose en la misma situación se encuentran ya en libertad con sus condenas licenciadas por la misma Sala de lo Penal de la Audiencia Nacional. Este es el caso, indica el demandante, del señor Carrasco, con responsabilidades penales superiores a los treinta años de condena, al que aplicándosele el art. 70.2 CP 1973 se le ha realizado una liquidación de condena en la que las redenciones deben descontarse de la pena de treinta años.</w:t>
      </w:r>
    </w:p>
    <w:p w:rsidR="00D06117" w:rsidRDefault="00D06117" w:rsidP="00D06117">
      <w:pPr>
        <w:pStyle w:val="TextoNormal"/>
      </w:pPr>
    </w:p>
    <w:p w:rsidR="00D06117" w:rsidRDefault="00D06117" w:rsidP="00D06117">
      <w:pPr>
        <w:pStyle w:val="TextoNormal"/>
      </w:pPr>
      <w:r>
        <w:t>d) En cuarto lugar, solicita el amparo constitucional en virtud de la vulneración del principio de legalidad consagrado en el art. 25.1 y 2 CE en relación al art. 9.1 CE, al art. 70.2 CP 1973, al art. 988 LECrim y al art. 17.1 CE.</w:t>
      </w:r>
    </w:p>
    <w:p w:rsidR="00D06117" w:rsidRDefault="00D06117" w:rsidP="00D06117">
      <w:pPr>
        <w:pStyle w:val="TextoNormal"/>
      </w:pPr>
    </w:p>
    <w:p w:rsidR="00D06117" w:rsidRDefault="00D06117" w:rsidP="00D06117">
      <w:pPr>
        <w:pStyle w:val="TextoNormal"/>
      </w:pPr>
      <w:r>
        <w:t xml:space="preserve">Considera el demandante de amparo que la vulneración del principio de legalidad deviene de la aplicación contrario sensu de una norma de carácter sustantivo, a través de una interpretación contraria a la interpretación doctrinal y jurisprudencial realizada hasta el momento y además en un tiempo en el que la efectividad de la norma aplicada tiende a desaparecer por la derogación del Código en el que se sustenta y por tanto, la desaparición de </w:t>
      </w:r>
      <w:r>
        <w:lastRenderedPageBreak/>
        <w:t>los supuestos fácticos en los que podría aplicarse. Señala que la variación del criterio jurisprudencial que se da en la STS 197/2006 no sólo choca con la anterior jurisprudencia, así como con la literalidad y espíritu de la norma aplicada o con la naturaleza de los beneficios penitenciarios, y con los derechos adquiridos y la intangibilidad de las resoluciones judiciales firmes, sino que se da en un momento histórico donde el número de presos bajo la aplicación del Código penal de 1973 tiende a desaparecer. Para el recurrente de amparo las resoluciones recurridas por las que se deniega su licenciamiento en base a la interpretación de la STS 197/2006, modifican de manera grave, contraria a Derecho y al reo, la aplicación de normas de carácter sustantivo, rompiendo con los criterios doctrinales y jurisprudenciales establecidos hasta el momento, y teniendo como consecuencia la no concesión de un derecho establecido por la ley y que no ha sido modificado.</w:t>
      </w:r>
    </w:p>
    <w:p w:rsidR="00D06117" w:rsidRDefault="00D06117" w:rsidP="00D06117">
      <w:pPr>
        <w:pStyle w:val="TextoNormal"/>
      </w:pPr>
    </w:p>
    <w:p w:rsidR="00D06117" w:rsidRDefault="00D06117" w:rsidP="00D06117">
      <w:pPr>
        <w:pStyle w:val="TextoNormal"/>
      </w:pPr>
      <w:r>
        <w:t>e) En quinto lugar, solicita el amparo constitucional en virtud de la vulneración del principio de legalidad consagrado en los arts. 25.1 y 2 CE en relación al art. 9.1 CE, a la jurisprudencia del Tribunal Supremo establecida en las SSTS 529/1994, de 8 de marzo, y 1223/2005, de 14 de octubre, referidas a la interpretación de los arts. 70.2 y 100 CP 1973, art. 988 LECrim y arts. 66 y siguientes del reglamento de servicios de prisiones de 1956, y todo ello en relación con el derecho fundamental a la libertad (art. 17.1 CE).</w:t>
      </w:r>
    </w:p>
    <w:p w:rsidR="00D06117" w:rsidRDefault="00D06117" w:rsidP="00D06117">
      <w:pPr>
        <w:pStyle w:val="TextoNormal"/>
      </w:pPr>
    </w:p>
    <w:p w:rsidR="00D06117" w:rsidRDefault="00D06117" w:rsidP="00D06117">
      <w:pPr>
        <w:pStyle w:val="TextoNormal"/>
      </w:pPr>
      <w:r>
        <w:t>Entiende el demandante de amparo que la vulneración del derecho a la legalidad penal también debe considerarse infringido por haberle sido aplicada unas normas, el art. 70.2 y 100 CP 1973, art. 988 LECrim, arts. 66 y siguientes del reglamento de servicios de prisiones de 1956, basadas en una interpretación desfavorable que fue adoptada con posterioridad a la comisión de los hechos que se le imputaron, ya que no era la mantenida en dicho momento por la Sala Segunda del Tribunal Supremo. Así, recuerda que durante más de treinta años el Tribunal Supremo se ha pronunciado al respecto de la cuestión planteada de manera pacífica, modificándose dicha interpretación de manera sorpresiva mediante la STS 197/2006. Dicha interpretación, por tanto, de ningún modo le pudo ser previsible y, añade que, si las normas sobre ejecución de condena son normas penales y, por tanto, están sujetas al principio de irretroactividad de la ley posterior desfavorable, este mismo principio sería aplicable a las interpretaciones jurisprudenciales de dichas normas.</w:t>
      </w:r>
    </w:p>
    <w:p w:rsidR="00D06117" w:rsidRDefault="00D06117" w:rsidP="00D06117">
      <w:pPr>
        <w:pStyle w:val="TextoNormal"/>
      </w:pPr>
    </w:p>
    <w:p w:rsidR="00D06117" w:rsidRDefault="00D06117" w:rsidP="00D06117">
      <w:pPr>
        <w:pStyle w:val="TextoNormal"/>
      </w:pPr>
      <w:r>
        <w:t>f) En sexto lugar, solicita el amparo constitucional en virtud de la vulneración del derecho fundamental a la tutela judicial efectiva, sin que quepa indefensión, por infracción del art. 24.1 CE, derechos a la defensa, a ser informado de la acusación, a un proceso público con todas las garantías, e infracción del art. 24.2 CE, en relación con los arts. 6 y 13 del Convenio europeo de los derechos humanos, que protege el derecho a un juicio justo, el derecho al recurso efectivo y el art. 14.1 y 5 del Pacto internacional de los derechos civiles y políticos, que establece el derecho a un recurso, y concretamente, que toda persona declarada culpable de un delito tiene derecho a ser oído públicamente y con las debidas garantías por un tribunal imparcial y a que el fallo condenatorio y la pena impuesta sean sometidos a un tribunal superior conforme a lo prescrito en la ley, todo ello en relación al derecho fundamental a la libertad (art. 17 CE).</w:t>
      </w:r>
    </w:p>
    <w:p w:rsidR="00D06117" w:rsidRDefault="00D06117" w:rsidP="00D06117">
      <w:pPr>
        <w:pStyle w:val="TextoNormal"/>
      </w:pPr>
    </w:p>
    <w:p w:rsidR="00D06117" w:rsidRDefault="00D06117" w:rsidP="00D06117">
      <w:pPr>
        <w:pStyle w:val="TextoNormal"/>
      </w:pPr>
      <w:r>
        <w:t xml:space="preserve">Entiende el demandante de amparo que la resolución recurrida contraviene todas las liquidaciones de condena que le habían sido realizadas, no habérsele dado traslado con carácter previo a dictarse resolución, de manera que se ha impedido cualquier pronunciamiento hasta dictarse la resolución sobre una cuestión de especial trascendencia que además </w:t>
      </w:r>
      <w:r>
        <w:lastRenderedPageBreak/>
        <w:t>suponía un cambio de criterio en lo que hasta el momento era una cuestión absolutamente pacífica. A su juicio, el hecho de que la Sección Tercera de la Sala de lo Penal de la Audiencia Nacional haya dictado un Auto denegando el licenciamiento propuesto y retrasando éste por tiempo de diez años, sin que haya dado traslado de antemano a su representación para pronunciarse sobre la misma, entiende que supone una vulneración del art. 24.2 CE que consagra el derecho a la defensa, derecho a un proceso público con todas las garantías y derecho a la contradicción así como a un Tribunal imparcial, pues la parte recurrente no ha tenido en ningún caso la oportunidad de discutir este criterio emergente en condiciones de igualdad.</w:t>
      </w:r>
    </w:p>
    <w:p w:rsidR="00D06117" w:rsidRDefault="00D06117" w:rsidP="00D06117">
      <w:pPr>
        <w:pStyle w:val="TextoNormal"/>
      </w:pPr>
    </w:p>
    <w:p w:rsidR="00D06117" w:rsidRDefault="00D06117" w:rsidP="00D06117">
      <w:pPr>
        <w:pStyle w:val="TextoNormal"/>
      </w:pPr>
      <w:r>
        <w:t>Asimismo señala que la Sección Tercera ha resuelto como si entendiera que nos hallamos ante la ejecución de una sentencia firme y por tanto ejecutable, cuando en realidad la STS 197/2006 es firme para el señor Parot que es a quien directamente afecta por ser la persona recurrente. A ello añade que como consecuencia de esta actuación del Tribunal de instancia, el único órgano al que puede acudir es al Tribunal Constitucional, lo que lo sitúa en posición grave de indefensión por la restricción de las vías de acceso al recurso que el amparo representa.</w:t>
      </w:r>
    </w:p>
    <w:p w:rsidR="00D06117" w:rsidRDefault="00D06117" w:rsidP="00D06117">
      <w:pPr>
        <w:pStyle w:val="TextoNormal"/>
      </w:pPr>
    </w:p>
    <w:p w:rsidR="00D06117" w:rsidRDefault="00D06117" w:rsidP="00D06117">
      <w:pPr>
        <w:pStyle w:val="TextoNormal"/>
      </w:pPr>
      <w:r>
        <w:t>g) En séptimo lugar, solicita el amparo constitucional en virtud de la vulneración del derecho a la libertad (art. 17.1 CE), en relación con los arts. 5 y 7.1 del Convenio europeo de los derechos humanos y 9.1 y 5, y 15.1 del Pacto internacional de los derechos civiles y políticos, en relación con el art. 25.2 CE.</w:t>
      </w:r>
    </w:p>
    <w:p w:rsidR="00D06117" w:rsidRDefault="00D06117" w:rsidP="00D06117">
      <w:pPr>
        <w:pStyle w:val="TextoNormal"/>
      </w:pPr>
    </w:p>
    <w:p w:rsidR="00D06117" w:rsidRDefault="00D06117" w:rsidP="00D06117">
      <w:pPr>
        <w:pStyle w:val="TextoNormal"/>
      </w:pPr>
      <w:r>
        <w:t>Señala el recurrente en amparo que el nuevo criterio fijado por la STS 197/2006 vacía absolutamente de contenido la figura de la redención de penas por el trabajo, haciéndola inoperante y crea una suerte de “cumplimiento virtual” de la condena, frente al cumplimiento efectivo de la misma, y es que, el tiempo acumulado por aplicación de las redenciones es tiempo efectivamente cumplido, no una suerte de tiempo “virtual”. Así, indica que en su caso va a cumplir más de treinta años de condena, ya que a los treinta años privado de libertad se le han de añadir el tiempo de cumplimiento por aplicación de las redenciones, período que va a exceder del tiempo suficiente para cumplir con el fin reinsertador, punitivo y de protección social de la pena, el cual no se puede dejar determinar en base a criterios no sujetos a los principios de seguridad, legalidad, proporcionalidad y equidad.</w:t>
      </w:r>
    </w:p>
    <w:p w:rsidR="00D06117" w:rsidRDefault="00D06117" w:rsidP="00D06117">
      <w:pPr>
        <w:pStyle w:val="TextoNormal"/>
      </w:pPr>
    </w:p>
    <w:p w:rsidR="00D06117" w:rsidRDefault="00D06117" w:rsidP="00D06117">
      <w:pPr>
        <w:pStyle w:val="TextoNormal"/>
      </w:pPr>
      <w:r>
        <w:t>h) En octavo lugar, solicita el amparo constitucional en virtud de la vulneración del art. 25.2 CE en relación con las reglas mínimas para el tratamiento de los reclusos y el Pacto internacional de derechos civiles y políticos.</w:t>
      </w:r>
    </w:p>
    <w:p w:rsidR="00D06117" w:rsidRDefault="00D06117" w:rsidP="00D06117">
      <w:pPr>
        <w:pStyle w:val="TextoNormal"/>
      </w:pPr>
    </w:p>
    <w:p w:rsidR="00D06117" w:rsidRDefault="00D06117" w:rsidP="00D06117">
      <w:pPr>
        <w:pStyle w:val="TextoNormal"/>
      </w:pPr>
      <w:r>
        <w:t xml:space="preserve">Considera el recurrente en amparo que el criterio de la STS 197/2006 no aplica las redenciones a los presos que tengan una condena superior a los cuarenta y cinco años, lo cual vulnera los principios inspiradores de las normas del Código penal y la Ley Orgánica general penitenciaria en relación con el art. 25.2 CE. Siendo incuestionable la existencia de una nueva orientación legislativa y jurisprudencial, considera que no podemos obviar que en su caso cumpliría con el cumplimiento efectivo y el cumplimiento de los días de redención ordinaria y extraordinaria el mismo fin reinsertador, punitivo y de protección social que establece la pena, el cual no se puede dejar determinar en base a criterios no sujetos a los principios de seguridad, legalidad, proporcionalidad y equidad. Lo contrario, a su juicio, </w:t>
      </w:r>
      <w:r>
        <w:lastRenderedPageBreak/>
        <w:t>sería entrar en presupuestos de ensañamiento y trato inhumano y cruel, así como, de desactivación de los criterios de incentivación para la reinserción y resocialización que suponía la concesión de las redenciones según el Código penal de 1973.</w:t>
      </w:r>
    </w:p>
    <w:p w:rsidR="00D06117" w:rsidRDefault="00D06117" w:rsidP="00D06117">
      <w:pPr>
        <w:pStyle w:val="TextoNormal"/>
      </w:pPr>
    </w:p>
    <w:p w:rsidR="00D06117" w:rsidRDefault="00D06117" w:rsidP="00D06117">
      <w:pPr>
        <w:pStyle w:val="TextoNormal"/>
      </w:pPr>
      <w:r>
        <w:t>Por todo lo expuesto solicita que se otorgue el amparo, se revoquen el Auto de la Sala Segunda del Tribunal Supremo de 21 de enero de 2010 y el Auto de la Sección Tercera de la Sala de lo Penal de la Audiencia Nacional de 10 de febrero de 2009, dictado en la ejecutoria núm. 1-2004 y se acuerde la aplicación de los arts. 100 CP 1973 y 202 del reglamento penitenciario a la pena resultante de la acumulación de condenas. Por medio de otrosí solicita [art. 56.1 de la Ley Orgánica del Tribunal Constitucional (LOTC)] la suspensión de la ejecución de las resoluciones recurridas en la parte correspondiente a la aplicación de los doce años de condena que se ha retrasado su licenciamiento definitivo, pues la ejecución de las resoluciones impugnadas implica el cumplimiento de la pena privativa de libertad cuestionada, de manera que, ocasionaría el lógico perjuicio en modo alguno compensable, que haría perder al amparo, caso de otorgarse, su finalidad.</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Constitucional, por providencia de 14 de abril de 2011, admitió a trámite la demanda y, de conformidad con lo dispuesto en el art. 51 LOTC, acordó dirigir atenta comunicación a la Sala de lo Penal del Tribunal Supremo y a la Sección Tercera de la Sala de lo Penal de la Audiencia Nacional, a fin de que, en plazo que no excediera de diez días, remitiesen certificación o fotocopia adverada de las actuaciones correspondientes, respectivamente, al recurso de casación núm. 10674-2009 y a la ejecutoria núm. 1-2004, debiendo la Audiencia emplazar previamente a quienes hubieran sido parte en el procedimiento, a excepción del demandante de amparo, para que pudieran comparecer en el plazo de diez días en este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La Sala Segunda de este Tribunal Constitucional por providencia de 14 de abril de 2011 acordó formar la oportuna pieza para la tramitación del incidente sobre suspensión y conforme determina el art. 56 LOTC, concedió un plazo común de tres días a la parte recurrente y al Ministerio Fiscal para que alegaran lo que estimasen pertinente en relación con la petición de suspensión formulada.</w:t>
      </w:r>
    </w:p>
    <w:p w:rsidR="00D06117" w:rsidRDefault="00D06117" w:rsidP="00D06117">
      <w:pPr>
        <w:pStyle w:val="TextoNormal"/>
      </w:pPr>
    </w:p>
    <w:p w:rsidR="00D06117" w:rsidRDefault="00D06117" w:rsidP="00D06117">
      <w:pPr>
        <w:pStyle w:val="TextoNormal"/>
      </w:pPr>
      <w:r>
        <w:t>El Fiscal, en su escrito de alegaciones presentado el 17 de mayo de 2011, pidió que se denegara la suspensión solicitada, en atención al criterio seguido por este Tribunal en el ATC 206/2010, de 30 de diciembre, que resolvió una petición dimanante de un recurso sustancialmente igual al presente. La Sala Segunda del Tribunal, por Auto de 6 de junio de 2011,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la Secretaría de la Sala Segunda de 2 de febrero de 2012, se acordó, de conformidad con lo dispuesto en el art. 52.1 LOTC, dar vista de las actuaciones, por plazo común de veinte días, al demandante y al Ministerio Fiscal, para que presentaran las alegaciones que tuvieran por conveniente.</w:t>
      </w:r>
    </w:p>
    <w:p w:rsidR="00D06117" w:rsidRDefault="00D06117" w:rsidP="00D06117">
      <w:pPr>
        <w:pStyle w:val="TextoNormal"/>
      </w:pPr>
    </w:p>
    <w:p w:rsidR="00D06117" w:rsidRDefault="00D06117" w:rsidP="00D06117">
      <w:pPr>
        <w:pStyle w:val="TextoNormal"/>
      </w:pPr>
      <w:r w:rsidRPr="00D06117">
        <w:rPr>
          <w:rStyle w:val="NumeroAFNegritaCaracter"/>
        </w:rPr>
        <w:t>7</w:t>
      </w:r>
      <w:r>
        <w:t>. Por escrito presentado en la Audiencia Nacional el 24 de enero de 2012 y remitido a este Tribunal el 21 de febrero de 2012, doña Manuela Orantos Alonso y doña María Gema López Quintanal, manifestaron su deseo de no personarse en el procedimiento.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El Ministerio Fiscal cumplimentó el trámite de alegaciones mediante escrito registrado el 13 de marzo de 2012, en el que solicita que se estime el recurso de amparo, por entender que se ha vulnerado el derecho a la ejecución de las resoluciones judiciales en sus propios términos y a la invariabilidad de las mismas (art. 24.1 CE), en relación con los principios de legalidad penal (arts. 25.1 CE) y el derecho a la libertad personal (art. 17.1 CE).</w:t>
      </w:r>
    </w:p>
    <w:p w:rsidR="00D06117" w:rsidRDefault="00D06117" w:rsidP="00D06117">
      <w:pPr>
        <w:pStyle w:val="TextoNormal"/>
      </w:pPr>
    </w:p>
    <w:p w:rsidR="00D06117" w:rsidRDefault="00D06117" w:rsidP="00D06117">
      <w:pPr>
        <w:pStyle w:val="TextoNormal"/>
      </w:pPr>
      <w:r>
        <w:t>Por razones sistemáticas el Ministerio Fiscal considera que deben ser abordados los motivos de amparo por otro orden distinto del que es propuesto en la demanda y, en consecuencia, comienza su análisis por el enunciado en octavo y último lugar centrado en la eventual vulneración del principio de legalidad penal recogido en el art. 25.2 CE. Para el Ministerio Fiscal este motivo debe ser rechazado a limine porque como reiteradamente ha destacado la doctrina constitucional, el art. 25.2 CE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y rehabilitación establecidos en la Constitución, sin que se deriven derechos subjetivos del mismo.</w:t>
      </w:r>
    </w:p>
    <w:p w:rsidR="00D06117" w:rsidRDefault="00D06117" w:rsidP="00D06117">
      <w:pPr>
        <w:pStyle w:val="TextoNormal"/>
      </w:pPr>
    </w:p>
    <w:p w:rsidR="00D06117" w:rsidRDefault="00D06117" w:rsidP="00D06117">
      <w:pPr>
        <w:pStyle w:val="TextoNormal"/>
      </w:pPr>
      <w:r>
        <w:t>Tampoco considera el Ministerio Fiscal que tenga suficiente fundamento ni el motivo segundo ni el quinto, centrados en la eventual vulneración del principio de legalidad penal conectado al de irretroactividad de las normas penales y restrictivas de derechos, puesto que, como ha señalado también de modo reiterado la doctrina constitucional, no es invocable en amparo, a no ser que a través del mismo haya sido vulnerado alguno de los derechos fundamentales susceptible de amparo. Añade que el principio de legalidad en cuanto a la irretroactividad de la ley penal desfavorable al reo, se establece respecto de las leyes y no de las líneas jurisprudenciales. En el caso de autos, señala el Ministerio Fiscal, el precepto legal examinado a los efectos de la refundición de condenas es siempre el mismo, el art. 70 regla 2 del Código penal de 1973. Las resoluciones judiciales recurridas en amparo lo que varían a la luz de la exégesis de la STS 197/2006, de 28 de febrero, es su interpretación. Es por todas estas razones por las que el Fiscal estima que tampoco concurre en estos dos supuestos la vulneración del principio de legalidad (art. 25.1 CE en relación con el art. 9.3 CE) en su proscripción de la retroactividad de las normas penales perjudiciales al reo. Se cita todo ello además en relación con el derecho fundamental a la libertad personal (art. 17.1 CE), pero tal cita entiende el Ministerio Fiscal que debe considerarse ínsita en la argumentación de denegación de la irretroactividad contra reo expuesta y que ello vale asimismo para con la expresión autónoma de vulneración del derecho a la libertad personal ex art. 17.1 CE que expresa en el motivo cuarto de la demanda de amparo.</w:t>
      </w:r>
    </w:p>
    <w:p w:rsidR="00D06117" w:rsidRDefault="00D06117" w:rsidP="00D06117">
      <w:pPr>
        <w:pStyle w:val="TextoNormal"/>
      </w:pPr>
    </w:p>
    <w:p w:rsidR="00D06117" w:rsidRDefault="00D06117" w:rsidP="00D06117">
      <w:pPr>
        <w:pStyle w:val="TextoNormal"/>
      </w:pPr>
      <w:r>
        <w:t>Por lo que se refiere al motivo tercero de la demanda de amparo relativo a la vulneración del derecho a la igualdad, señala el Ministerio Fiscal que no se produce una vulneración del derecho a la igualdad en la aplicación de la ley cuando se trata de instaurar un nuevo criterio interpretativo y ello va acompañado de un razonamiento suficiente sobre la nueva senda jurisprudencial. De otro lado, por lo que respecta a la vulneración acaecida por comparación entre el recurrente y un penado identificado en la demanda como señor Carrasco, de la documentación trasladada al Ministerio Fiscal no obra documento alguno que acredite que entre el caso aquí contemplado y el afectante al señor Carrasco mencionado exista una igualdad de circunstancias y una diversa solución jurídica, por lo que el Ministerio Fiscal considera que las afirmaciones hechas en la demanda de amparo son insuficientes para probar y verificar que ha existido desigualdad en la aplicación de la ley.</w:t>
      </w:r>
    </w:p>
    <w:p w:rsidR="00D06117" w:rsidRDefault="00D06117" w:rsidP="00D06117">
      <w:pPr>
        <w:pStyle w:val="TextoNormal"/>
      </w:pPr>
    </w:p>
    <w:p w:rsidR="00D06117" w:rsidRDefault="00D06117" w:rsidP="00D06117">
      <w:pPr>
        <w:pStyle w:val="TextoNormal"/>
      </w:pPr>
      <w:r>
        <w:t>A continuación analiza el Ministerio Fiscal el motivo primero de la demanda de amparo relativo a la vulneración del derecho a la intangibilidad de las resoluciones judiciales (art. 24.1 CE) en relación con el derecho a la libertad personal (art. 17.1 CE). En este sentido, el Ministerio Fiscal se plantea la duda de si la naturaleza de unas resoluciones judiciales como los Autos, liquidaciones y refundición de condena, poseen la naturaleza de firmes que implican su intangibilidad en términos del amparo propuesto ex art. 24.1 CE. A su entender, no parece que puedan ser clasificadas como resoluciones judiciales de naturaleza intangible las liquidaciones de condena, habida cuenta de la extremada fluidez de la vida de cumplimiento penitenciario cuando entre en juego la institución de la redención de penas, en sí mismas consideradas. Otra cosa acontece, continúa afirmando, con la refundición de penas ex art. 70, regla 2 CP 1973 o en el vigente art. 76.1 CP. El Auto en el que se fija la refundición, si no es recurrido, o si siéndolo, en cuanto a lo que acontezca en el resultado final del recurso, debe reputarse como firme y su consecuencia debe ser en principio la intangibilidad del mismo. Para el Ministerio Fiscal las resoluciones recurridas han vulnerado el derecho a la intangibilidad de las resoluciones judiciales ex art. 24.1 CE, pues no parece de recibo que, establecidos unos criterios de interpretación normativa para fijar la refundición de condena (Auto de 11 de noviembre de 2004) y establecidos ellos en resolución judicial, puedan variarse en virtud de una resolución judicial posterior por vía de remisión a la STS 197/2006 que interpreta de otra manera las normas pertinentes.</w:t>
      </w:r>
    </w:p>
    <w:p w:rsidR="00D06117" w:rsidRDefault="00D06117" w:rsidP="00D06117">
      <w:pPr>
        <w:pStyle w:val="TextoNormal"/>
      </w:pPr>
    </w:p>
    <w:p w:rsidR="00D06117" w:rsidRDefault="00D06117" w:rsidP="00D06117">
      <w:pPr>
        <w:pStyle w:val="TextoNormal"/>
      </w:pPr>
      <w:r>
        <w:t>Señala además que este derecho fundamental tiene engarce con el principio de legalidad (art. 25.1 CE) en relación con la prohibición de retroactividad de las normas penales perjudiciales para el reo ya que las garantías de legalidad y seguridad jurídica que exigen ambos preceptos constitucionales deben extenderse no sólo al enjuiciamiento del hecho como tipicidad cierta, taxativa y previsible, sino que lo es asimismo para con la ejecución de las penas, integrándose la irretroactividad de las normas, y su interpretación, desfavorable al reo, en el complejo de legalidad del art. 25.1 CE. A estas dos vulneraciones debe conectarse y adicionarse, a juicio del Ministerio Fiscal, la consecuencia inexcusable de ellas, la vulneración del derecho a la libertad personal (art. 17.1 CE).</w:t>
      </w:r>
    </w:p>
    <w:p w:rsidR="00D06117" w:rsidRDefault="00D06117" w:rsidP="00D06117">
      <w:pPr>
        <w:pStyle w:val="TextoNormal"/>
      </w:pPr>
    </w:p>
    <w:p w:rsidR="00D06117" w:rsidRDefault="00D06117" w:rsidP="00D06117">
      <w:pPr>
        <w:pStyle w:val="TextoNormal"/>
      </w:pPr>
      <w:r>
        <w:t>Por último, en relación con el sexto de los motivos de amparo considera el Ministerio Fiscal que carece de contenido y alcance constitucionales pues no concurre una situación de indefensión real al haber podido la parte expresar sus alegatos frente a la “doctrina Parot” en su escrito formulando el recurso de casación.</w:t>
      </w:r>
    </w:p>
    <w:p w:rsidR="00D06117" w:rsidRDefault="00D06117" w:rsidP="00D06117">
      <w:pPr>
        <w:pStyle w:val="TextoNormal"/>
      </w:pPr>
    </w:p>
    <w:p w:rsidR="00D06117" w:rsidRDefault="00D06117" w:rsidP="00D06117">
      <w:pPr>
        <w:pStyle w:val="TextoNormal"/>
      </w:pPr>
      <w:r w:rsidRPr="00D06117">
        <w:rPr>
          <w:rStyle w:val="NumeroAFNegritaCaracter"/>
        </w:rPr>
        <w:t>9</w:t>
      </w:r>
      <w:r>
        <w:t>. La representación del recurrente en amparo no evacuó el trámite de alegaciones en el plazo concedido.</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17 de mayo de 2012 se señaló para la deliberación y votación de la presente Sentencia el día 21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Pleno de este Tribunal, en la STC 49/2012, de 29 de marzo, se ha pronunciado ya sobre las cuestiones plateadas en el presente recurso de amparo, el cual se dirige contra el </w:t>
      </w:r>
      <w:r>
        <w:lastRenderedPageBreak/>
        <w:t>Auto de 21 de enero de 2010 de la Sala de lo Penal del Tribunal Supremo que desestimó el recurso de casación formulado contra el Auto de la Sección Tercera de la Sala de lo Penal de la Audiencia Nacional de 10 de febrero de 2009 que acordó acumular las condenas impuestas al demandante y fijó en una duración de treinta años de privación de libertad el tiempo total de cumplimiento de todas las penas privativas de libertad impuestas, con indicación de que el cumplimiento de las penas será sucesivo, aplicándose los beneficios y redenciones que procedan respecto a cada una de las penas que esté cumpliendo.</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00D06117" w:rsidRDefault="00D06117" w:rsidP="00D06117">
      <w:pPr>
        <w:pStyle w:val="TextoNormal"/>
      </w:pPr>
    </w:p>
    <w:p w:rsidR="00D06117" w:rsidRDefault="00D06117" w:rsidP="00D06117">
      <w:pPr>
        <w:pStyle w:val="TextoNormal"/>
      </w:pPr>
      <w:r>
        <w:t>El Ministerio Fiscal apoya la estimación del recurso presentado, por entender que la aplicación del nuevo criterio jurisprudencial fijado en la Sentencia 197/2006 del Tribunal Supremo supone la vulneración de los derechos fundamentales consagrados en los arts. 24.1, 25.1 y 17.1 CE, por afectar a situaciones ya reconocidas por resoluciones firmes.</w:t>
      </w:r>
    </w:p>
    <w:p w:rsidR="00D06117" w:rsidRDefault="00D06117" w:rsidP="00D06117">
      <w:pPr>
        <w:pStyle w:val="TextoNormal"/>
      </w:pPr>
    </w:p>
    <w:p w:rsidR="00D06117" w:rsidRDefault="00D06117" w:rsidP="00D06117">
      <w:pPr>
        <w:pStyle w:val="TextoNormal"/>
      </w:pPr>
      <w:r w:rsidRPr="00D06117">
        <w:rPr>
          <w:rStyle w:val="NumeroAFNegritaCaracter"/>
        </w:rPr>
        <w:t>2</w:t>
      </w:r>
      <w:r>
        <w:t>. Como queda reflejado en los antecedentes, el recurrente denuncia en el motivo primero de su demanda la vulneración del derecho a la tutela judicial efectiva sin indefensión consagrado en el art. 24.1 CE en relación con el art. 17 CE, por cuanto se modifica la interpretación y los derechos que se derivaban del Auto de la Sección Tercera de la Sala de lo Penal de la Audiencia Nacional de 11 de noviembre de 2004 que había devenido firme y de obligado cumplimiento en sus propios términos al no haber sido recurrido por ninguna de las partes, lo que a continuación se relaciona con la vulneración del derecho a la tutela judicial efectiva en su vertiente de intangibilidad de las resoluciones judiciales firmes.</w:t>
      </w:r>
    </w:p>
    <w:p w:rsidR="00D06117" w:rsidRDefault="00D06117" w:rsidP="00D06117">
      <w:pPr>
        <w:pStyle w:val="TextoNormal"/>
      </w:pPr>
    </w:p>
    <w:p w:rsidR="00D06117" w:rsidRDefault="00D06117" w:rsidP="00D06117">
      <w:pPr>
        <w:pStyle w:val="TextoNormal"/>
      </w:pPr>
      <w:r>
        <w:t>El Ministerio Fiscal comparte el razonamiento del recurrente por entender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 A estas dos vulneraciones, a juicio del Ministerio Fiscal,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00D06117" w:rsidRDefault="00D06117" w:rsidP="00D06117">
      <w:pPr>
        <w:pStyle w:val="TextoNormal"/>
      </w:pPr>
    </w:p>
    <w:p w:rsidR="00D06117" w:rsidRDefault="00D06117" w:rsidP="00D06117">
      <w:pPr>
        <w:pStyle w:val="TextoNormal"/>
      </w:pPr>
      <w: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del Código penal (CP) de 1973, ni sobre cuál ha de ser el límite máximo de cumplimiento de las penas impuestas o el modo de computar las redenciones concedidas, pues todas ellas son decisiones de ejecución de lo </w:t>
      </w:r>
      <w:r>
        <w:lastRenderedPageBreak/>
        <w:t>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00D06117" w:rsidRDefault="00D06117" w:rsidP="00D06117">
      <w:pPr>
        <w:pStyle w:val="TextoNormal"/>
      </w:pPr>
    </w:p>
    <w:p w:rsidR="00D06117" w:rsidRDefault="00D06117" w:rsidP="00D06117">
      <w:pPr>
        <w:pStyle w:val="TextoNormal"/>
      </w:pPr>
      <w:r>
        <w:t>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Tal efecto puede producirse no sólo en los supuestos en que concurran las identidades propias de la cosa juzgada, sino también cuando se desconoce lo resuelto por una sentencia firme en el marco de procesos que examinan cuestiones que guardan con aquélla una relación de estricta dependencia, aunque no sea posible apreciar simultáneamente el mencionado efecto de cosa juzgada. Así se afirma, entre otras, en las SSTC 219/2000, de 18 de septiembre, FJ 5; 151/2001, de 2 de julio, FJ 3; 163/2003, de 29 de septiembre, FJ 4; 200/2003, de 10 de noviembre, FJ 2; 15/2006, de 16 de enero, FJ 4; y 231/2006, de 17 de julio, FJ 2.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lastRenderedPageBreak/>
        <w:t>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00D06117" w:rsidRDefault="00D06117" w:rsidP="00D06117">
      <w:pPr>
        <w:pStyle w:val="TextoNormal"/>
      </w:pPr>
    </w:p>
    <w:p w:rsidR="00D06117" w:rsidRDefault="00D06117" w:rsidP="00D06117">
      <w:pPr>
        <w:pStyle w:val="TextoNormal"/>
      </w:pPr>
      <w:r w:rsidRPr="00D06117">
        <w:rPr>
          <w:rStyle w:val="NumeroAFNegritaCaracter"/>
        </w:rPr>
        <w:t>3</w:t>
      </w:r>
      <w:r>
        <w:t>.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En lo que nos interesa para analizar la queja, son datos relevantes los siguientes:</w:t>
      </w:r>
    </w:p>
    <w:p w:rsidR="00D06117" w:rsidRDefault="00D06117" w:rsidP="00D06117">
      <w:pPr>
        <w:pStyle w:val="TextoNormal"/>
      </w:pPr>
    </w:p>
    <w:p w:rsidR="00D06117" w:rsidRDefault="00D06117" w:rsidP="00D06117">
      <w:pPr>
        <w:pStyle w:val="TextoNormal"/>
      </w:pPr>
      <w:r>
        <w:t>a) El demandante fue condenado en virtud de seis Sentencias que se enumeran en los antecedentes de esta resolución a las penas que se detallan en sus respectivas partes dispositivas.</w:t>
      </w:r>
    </w:p>
    <w:p w:rsidR="00D06117" w:rsidRDefault="00D06117" w:rsidP="00D06117">
      <w:pPr>
        <w:pStyle w:val="TextoNormal"/>
      </w:pPr>
    </w:p>
    <w:p w:rsidR="00D06117" w:rsidRDefault="00D06117" w:rsidP="00D06117">
      <w:pPr>
        <w:pStyle w:val="TextoNormal"/>
      </w:pPr>
      <w:r>
        <w:t>b) Atendida la conexión de los distintos sumarios abiertos contra el recurrente, por Auto de la Sección Tercera de la Sala de lo Penal de la Audiencia Nacional de 11 de noviembre de 2004 se acordó la acumulación de los mismo y se fijó en una duración de treinta años de privación de libertad el tiempo total de cumplimiento de todas las penas privativas de libertad impuestas en las causas expresadas.</w:t>
      </w:r>
    </w:p>
    <w:p w:rsidR="00D06117" w:rsidRDefault="00D06117" w:rsidP="00D06117">
      <w:pPr>
        <w:pStyle w:val="TextoNormal"/>
      </w:pPr>
    </w:p>
    <w:p w:rsidR="00D06117" w:rsidRDefault="00D06117" w:rsidP="00D06117">
      <w:pPr>
        <w:pStyle w:val="TextoNormal"/>
      </w:pPr>
      <w:r>
        <w:t>c) Posteriormente, por Auto de la misma Sección Tercera de 28 de julio de 2005 se acordó dejar sin efecto el Auto de 11 de noviembre de 2004, por entender que no se habían acumulado la totalidad de las sentencias condenatorias dictadas respecto del penado y que no se había reclamado con carácter previo a dictar el Auto la hoja histórico penal del Registro central de penados y rebeldes en relación al mismo, retrotrayendo las actuaciones al momento procesal en que se omitió el trámite preceptivo establecido en el art. 988 de la Ley de enjuiciamiento criminal (LECrim).</w:t>
      </w:r>
    </w:p>
    <w:p w:rsidR="00D06117" w:rsidRDefault="00D06117" w:rsidP="00D06117">
      <w:pPr>
        <w:pStyle w:val="TextoNormal"/>
      </w:pPr>
    </w:p>
    <w:p w:rsidR="00D06117" w:rsidRDefault="00D06117" w:rsidP="00D06117">
      <w:pPr>
        <w:pStyle w:val="TextoNormal"/>
      </w:pPr>
      <w:r>
        <w:t>d) No hay ninguna otra resolución judicial relevante del Tribunal sentenciador en la ejecutoria hasta que, mediante Auto de 10 de febrero de 2009 se acordó acumular todas las Sentencias condenatorias dictadas respecto del recurrente y se fijó en una duración de treinta años de privación de libertad el tiempo total de cumplimiento de todas las penas privativas de libertad impuestas al demandante, con indicación de que el cumplimiento de las penas será sucesivo, aplicándose los beneficios y redenciones que procedan respecto a cada una de las penas que esté cumpliendo siguiendo el criterio de la STS 197/2006, de 28 de febrero.</w:t>
      </w:r>
    </w:p>
    <w:p w:rsidR="00D06117" w:rsidRDefault="00D06117" w:rsidP="00D06117">
      <w:pPr>
        <w:pStyle w:val="TextoNormal"/>
      </w:pPr>
    </w:p>
    <w:p w:rsidR="00D06117" w:rsidRDefault="00D06117" w:rsidP="00D06117">
      <w:pPr>
        <w:pStyle w:val="TextoNormal"/>
      </w:pPr>
      <w:r>
        <w:t xml:space="preserve">De ninguna de las resoluciones judiciales a las que aluden el recurrente y el Ministerio Fiscal puede derivarse, en el presente caso, el efecto de intangibilidad respecto al criterio de </w:t>
      </w:r>
      <w:r>
        <w:lastRenderedPageBreak/>
        <w:t>cómputo de las redenciones pretendido. Ninguna de ellas realiza pronunciamiento alguno sobre esta cuestión en el fallo, puesto que su objeto era otro, ni incorpora tal criterio como ratio decidendi o fundamento determinante del fallo. Así, por lo que respecta al Auto de 11 de noviembre de 2004 de acumulación de condenas y fijación del límite máximo de cumplimiento, que el demandante y el Ministerio Fiscal consideran intangible, debemos señalar que esta resolución se limita a hacer efectiva la previsión legal (art. 988 LECrim y art. 70.2 CP 1973). No existe en él referencia alguna a la redención de penas por el trabajo o al criterio de cómputo de la misma, ni puede concluirse que dicho criterio sea relevante en modo alguno en la decisión de acumulación en su día adoptada.</w:t>
      </w:r>
    </w:p>
    <w:p w:rsidR="00D06117" w:rsidRDefault="00D06117" w:rsidP="00D06117">
      <w:pPr>
        <w:pStyle w:val="TextoNormal"/>
      </w:pPr>
    </w:p>
    <w:p w:rsidR="00D06117" w:rsidRDefault="00D06117" w:rsidP="00D06117">
      <w:pPr>
        <w:pStyle w:val="TextoNormal"/>
      </w:pPr>
      <w:r>
        <w:t>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00D06117" w:rsidRDefault="00D06117" w:rsidP="00D06117">
      <w:pPr>
        <w:pStyle w:val="TextoNormal"/>
      </w:pPr>
    </w:p>
    <w:p w:rsidR="00D06117" w:rsidRDefault="00D06117" w:rsidP="00D06117">
      <w:pPr>
        <w:pStyle w:val="TextoNormal"/>
      </w:pPr>
      <w:r w:rsidRPr="00D06117">
        <w:rPr>
          <w:rStyle w:val="NumeroAFNegritaCaracter"/>
        </w:rPr>
        <w:t>4</w:t>
      </w:r>
      <w:r>
        <w:t>. El recurrente denuncia en los motivos segundo, cuarto y quinto de su demanda la supuesta vulneración del principio de legalidad penal, desde la doble perspectiva de la ilegitimidad del nuevo criterio interpretativo y la aplicación retroactiva de una ley desfavorable (art. 25.1 CE). En relación con esta petición,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europeo para la protección de los derechos humanos y de las libertades fundamentales,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00D06117" w:rsidRDefault="00D06117" w:rsidP="00D06117">
      <w:pPr>
        <w:pStyle w:val="TextoNormal"/>
      </w:pPr>
    </w:p>
    <w:p w:rsidR="00D06117" w:rsidRDefault="00D06117" w:rsidP="00D06117">
      <w:pPr>
        <w:pStyle w:val="TextoNormal"/>
      </w:pPr>
      <w:r>
        <w:t>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00D06117" w:rsidRDefault="00D06117" w:rsidP="00D06117">
      <w:pPr>
        <w:pStyle w:val="TextoNormal"/>
      </w:pPr>
    </w:p>
    <w:p w:rsidR="00D06117" w:rsidRDefault="00D06117" w:rsidP="00D06117">
      <w:pPr>
        <w:pStyle w:val="TextoNormal"/>
      </w:pPr>
      <w:r>
        <w:t>Los cambios de criterio jurisprudencial y su conformidad con la Constitución sí pueden ser cuestionados desde otras perspectivas. Una de ellas, alegada en el motivo tercero de la demanda de amparo, tiene que ver con el contenido del derecho a la igualdad en la aplicación de la ley (art. 14 CE). Sin embargo, tampoco desde esta perspectiva puede apreciarse en el presente caso la vulneración denunciada. Como señala el Ministerio Fiscal, la resolución dictada por la Sala de lo Penal de la Audiencia Nacional se limita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t>De todo lo expuesto se colige también, por razones atinentes al principio de legalidad, que el demandante no ha sido privado de su libertad personal en supuestos distintos de los establecidos en la ley penal, lo que descarta la alegada vulneración del art. 17 CE.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En el sexto motivo de amparo, bajo la invocación de los derechos a la tutela judicial efectiva (art. 24.1 CE) y a un proceso con todas las garantías (art. 24.2 CE), se denuncia en primer lugar la indefensión generada por la Audiencia Nacional en su Auto de 10 de febrero de 2009, al fijar una fecha en el cómputo para la liquidación definitiva de la condena sin dar traslado previamente a la defensa para que se pronunciara al respecto.</w:t>
      </w:r>
    </w:p>
    <w:p w:rsidR="00D06117" w:rsidRDefault="00D06117" w:rsidP="00D06117">
      <w:pPr>
        <w:pStyle w:val="TextoNormal"/>
      </w:pPr>
    </w:p>
    <w:p w:rsidR="00D06117" w:rsidRDefault="00D06117" w:rsidP="00D06117">
      <w:pPr>
        <w:pStyle w:val="TextoNormal"/>
      </w:pPr>
      <w:r>
        <w:t>Aunque hubiera sido deseable que se hubiera dado trámite de audiencia, su ausencia no determina la existencia de las vulneraciones alegadas. En relación con el derecho fundamental a no padecer indefensión, este Tribunal ha declarado que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14/2008, de 31 de enero, FJ 3; 62/2009, de 9 de marzo, FJ 4; y 12/2011, de 28 de febrero, FJ 3). Pues bien, en el presente caso no concurre una situación material de indefensión efectiva constitucionalmente relevante, puesto que el recurrente pudo defenderse y someter a contradicción la aplicación de la nueva doctrina sobre el cómputo de la redención de pena en el recurso de casación que interpuso, como de hecho hizo.</w:t>
      </w:r>
    </w:p>
    <w:p w:rsidR="00D06117" w:rsidRDefault="00D06117" w:rsidP="00D06117">
      <w:pPr>
        <w:pStyle w:val="TextoNormal"/>
      </w:pPr>
    </w:p>
    <w:p w:rsidR="00D06117" w:rsidRDefault="00D06117" w:rsidP="00D06117">
      <w:pPr>
        <w:pStyle w:val="TextoNormal"/>
      </w:pPr>
      <w:r>
        <w:t>A este hecho se anuda, dentro de este sexto motivo de amparo, una nueva vulneración del derecho defensa, así como del derecho al recurso y a una segunda instancia penal. Esta segunda vertiente de la queja tampoco puede ser asumida, puesto que el recurrente —en contra de lo que sostiene— sí tuvo acceso al recurso legalmente previsto (el recurso de casación), que no fue inadmitido sino resuelto y desestimado por Auto de 21 de enero de 2010. Por otro lado, carece de fundamento constitucional la aplicación a un supuesto como éste de la doctrina relativa al doble grado de jurisdicción en materia penal, puesto que no está en cuestión el derecho a la revisión del fallo condenatorio y la pena por un Tribunal superior. Éste es el derecho consagrado en el art. 14.5 del Pacto internacional de derechos civiles y políticos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 76/1982, de 14 de diciembre, FJ 5; 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6</w:t>
      </w:r>
      <w:r>
        <w:t>. La misma suerte desestimatoria debe seguir la queja plasmada en el motivo de amparo octavo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 xml:space="preserve">Como con acierto destaca el Ministerio Fiscal en este extremo, el art. 25.2 CE no expresa un derecho fundamental del ciudadano susceptible de ser invocado en amparo, sino más </w:t>
      </w:r>
      <w:r>
        <w:lastRenderedPageBreak/>
        <w:t>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120/2000, de 10 de mayo, FJ 4;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don Ignacio Arakama Mendía.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veintiuno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2" w:name="SENTENCIA_2012_109"/>
      <w:r>
        <w:lastRenderedPageBreak/>
        <w:t>SENTENCIA 109/2012, de 21 de mayo de 2012</w:t>
      </w:r>
    </w:p>
    <w:bookmarkEnd w:id="112"/>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ECLI:ES:TC:2012:109</w:t>
      </w:r>
    </w:p>
    <w:p w:rsidR="00D06117" w:rsidRDefault="00D06117" w:rsidP="00D06117">
      <w:pPr>
        <w:pStyle w:val="SntesisDescriptiva"/>
      </w:pPr>
    </w:p>
    <w:p w:rsidR="00D06117" w:rsidRDefault="00D06117" w:rsidP="00D06117">
      <w:pPr>
        <w:pStyle w:val="SntesisDescriptiva"/>
      </w:pPr>
      <w:r>
        <w:t>Recurso de amparo 3757-2010. Promovido por Bodegas Antaño, S.A., frente a la Sentencia de la Sala de lo Contencioso-Administrativo del Tribunal Superior de Justicia de Castilla y León, con sede en Valladolid, y la resolución del Consejero de Agricultura y Ganadería de la Junta de Castilla y León que le sancionó por utilización indebida de contraetiquetas.</w:t>
      </w:r>
    </w:p>
    <w:p w:rsidR="00D06117" w:rsidRDefault="00D06117" w:rsidP="00D06117">
      <w:pPr>
        <w:pStyle w:val="SntesisDescriptiva"/>
      </w:pPr>
    </w:p>
    <w:p w:rsidR="00D06117" w:rsidRDefault="00D06117" w:rsidP="00D06117">
      <w:pPr>
        <w:pStyle w:val="SntesisAnaltica"/>
      </w:pPr>
      <w:r>
        <w:t>Vulneración del derecho a la legalidad sancionadora: subsunción de los hechos en un ilícito administrativo tipificado por la Ley de la viña y del vino no aplicable en Castilla y León al no tener carácter básico (STC 90/2012).</w:t>
      </w:r>
    </w:p>
    <w:p w:rsidR="00D06117" w:rsidRDefault="00D06117" w:rsidP="00D06117">
      <w:pPr>
        <w:pStyle w:val="SntesisAnaltica"/>
      </w:pPr>
    </w:p>
    <w:p w:rsidR="00D06117" w:rsidRDefault="00D06117" w:rsidP="00D06117">
      <w:pPr>
        <w:pStyle w:val="Extracto"/>
      </w:pPr>
      <w:r>
        <w:t>1.</w:t>
      </w:r>
      <w:r>
        <w:tab/>
        <w:t>La cuestión planteada en el presente procedimiento en relación con una infracción tipificada en la Ley autonómica de la viña y del vino ya ha sido resuelta por la STC 90/2012 [FJ 3].</w:t>
      </w:r>
    </w:p>
    <w:p w:rsidR="00D06117" w:rsidRDefault="00D06117" w:rsidP="00D06117">
      <w:pPr>
        <w:pStyle w:val="Extracto"/>
      </w:pPr>
    </w:p>
    <w:p w:rsidR="00D06117" w:rsidRDefault="00D06117" w:rsidP="00D06117">
      <w:pPr>
        <w:pStyle w:val="Extracto"/>
      </w:pPr>
      <w:r>
        <w:t>2.</w:t>
      </w:r>
      <w:r>
        <w:tab/>
        <w:t>Convertir la expresión “legislación básica de la viña y del vino” empleada por la Ley autonómica, en sinónimo de “legislación estatal” en la materia, representa una interpretación que se extiende a la totalidad de normas dictadas por el Estado en la materia, con abstracción de que posean la condición formal de bases o carezcan de la misma, que no puede considerarse acorde con las exigencias de predeterminación normativa de los ilícitos consustanciales al mandato de taxatividad [FJ 3].</w:t>
      </w:r>
    </w:p>
    <w:p w:rsidR="00D06117" w:rsidRDefault="00D06117" w:rsidP="00D06117">
      <w:pPr>
        <w:pStyle w:val="Extracto"/>
      </w:pPr>
    </w:p>
    <w:p w:rsidR="00D06117" w:rsidRDefault="00D06117" w:rsidP="00D06117">
      <w:pPr>
        <w:pStyle w:val="Extracto"/>
      </w:pPr>
      <w:r>
        <w:t>3.</w:t>
      </w:r>
      <w:r>
        <w:tab/>
        <w:t>Debe descartarse la inadmisibilidad del recurso de amparo por extemporaneidad ya que este fue presentado antes de las 15 horas del siguiente día hábil al del vencimiento del plazo de interposición en el Juzgado Decano de Valladolid, aunque el acuerdo de remisión al Tribunal Constitucional esté fechado el día siguiente, pues es la fecha de presentación del recurso la que debe tenerse en cuenta a estos efectos [FJ 2].</w:t>
      </w:r>
    </w:p>
    <w:p w:rsidR="00D06117" w:rsidRDefault="00D06117" w:rsidP="00D06117">
      <w:pPr>
        <w:pStyle w:val="Extracto"/>
      </w:pPr>
    </w:p>
    <w:p w:rsidR="00D06117" w:rsidRDefault="00D06117" w:rsidP="00D06117">
      <w:pPr>
        <w:pStyle w:val="Extracto"/>
      </w:pPr>
      <w:r>
        <w:t>4.</w:t>
      </w:r>
      <w:r>
        <w:tab/>
        <w:t>Procede el otorgamiento del amparo dado que la subsunción de la conducta del recurrente en el ilícito administrativo tipificado por el art. 40.2 d) de la Ley 24/2003, de 10 de julio, de la viña y del vino, supuso una quiebra de la garantía material del derecho fundamental a la legalidad sancionadora proclamado por el art. 25.1 CE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3757-2010, interpuesto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17 de marzo de 2010 y la resolución sancionadora del Consejero de Agricultura y Ganadería de la Junta de Castilla y León de 19 de octubre de 2006. Han comparecido y formulado alegaciones el Letrado de la Comunidad Autónoma de Castilla y León y el Ministerio Fiscal. Ha sido Ponente el Magistrado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Juzgado Decano de Valladolid el 27 de abril de 2010, con registro de entrada en este Tribunal el 6 de mayo del mismo año, la Procuradora de los Tribunales doña Mercedes Caro Bonilla, actuando en nombre y representación de Bodegas Antaño, S.A., interpuso recurso de amparo frente a las resoluciones que se citan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procesales de los que trae causa el presente recurso de amparo, son en resumen los siguientes:</w:t>
      </w:r>
    </w:p>
    <w:p w:rsidR="00D06117" w:rsidRDefault="00D06117" w:rsidP="00D06117">
      <w:pPr>
        <w:pStyle w:val="TextoNormal"/>
      </w:pPr>
    </w:p>
    <w:p w:rsidR="00D06117" w:rsidRDefault="00D06117" w:rsidP="00D06117">
      <w:pPr>
        <w:pStyle w:val="TextoNormal"/>
      </w:pPr>
      <w:r>
        <w:t>a) El 14 de marzo de 2006 los servicios de inspección del Consejo regulador de la denominación de origen “Rueda” levantaron acta de infracción a la firma Bodegas Antaño, S.A., que dio origen a la incoación de un expediente sancionador a resultas del cual, mediante Orden del Consejero de Agricultura y Ganadería de la Junta de Castilla y León de 19 de octubre de 2006, se impuso a la recurrente una multa de sesenta mil un euros por la comisión de una infracción administrativa muy grave tipificada en el art.40.2 d) de la Ley 24/2003, de 10 de julio, de la viña y el vino.</w:t>
      </w:r>
    </w:p>
    <w:p w:rsidR="00D06117" w:rsidRDefault="00D06117" w:rsidP="00D06117">
      <w:pPr>
        <w:pStyle w:val="TextoNormal"/>
      </w:pPr>
    </w:p>
    <w:p w:rsidR="00D06117" w:rsidRDefault="00D06117" w:rsidP="00D06117">
      <w:pPr>
        <w:pStyle w:val="TextoNormal"/>
      </w:pPr>
      <w:r>
        <w:t>En las alegaciones realizadas en el curso del procedimiento sancionador la recurrente invocó la vulneración del art. 25.1 CE por infracción de los principios de legalidad y tipicidad por cuanto la conducta no era constitutiva de ninguna de las infracciones tipificadas en la Ley autonómica 8/2005, de 10 de junio, de la viña y del vino de Castilla y León, no resultando de aplicación el art. 40.2 d) Ley 24/2003, de 10 de julio, de la viña y el vino en el ámbito territorial de Castilla y León.</w:t>
      </w:r>
    </w:p>
    <w:p w:rsidR="00D06117" w:rsidRDefault="00D06117" w:rsidP="00D06117">
      <w:pPr>
        <w:pStyle w:val="TextoNormal"/>
      </w:pPr>
    </w:p>
    <w:p w:rsidR="00D06117" w:rsidRDefault="00D06117" w:rsidP="00D06117">
      <w:pPr>
        <w:pStyle w:val="TextoNormal"/>
      </w:pPr>
      <w:r>
        <w:t xml:space="preserve">La resolución sancionadora, en su fundamento de Derecho tercero, rechaza esta alegación por considerar, en esencia, que la expresión “legislación básica” que contiene el art. 42 de la Ley 8/2005, de 10 de junio, de la viña y el vino de Castilla y León es una expresión </w:t>
      </w:r>
      <w:r>
        <w:lastRenderedPageBreak/>
        <w:t>genérica que tiene como finalidad remitirse a la totalidad del régimen sancionador que contiene la Ley 24/2003, de 10 de julio, de la viña y el vino, sin distinguir entre preceptos básicos y no básicos, y que, en todo caso, el Derecho estatal tiene carácter supletorio de acuerdo con lo establecido en el art. 149.3 CE, precepto éste que si bien no habilita al Estado para dictar normas al amparo de dicha cláusula, hace entrar en juego a título supletorio esta disposición del Estado dictada en ejercicio de sus competencias, al no poderse dejar sin sanción una conducta tan grave como la cometida por la recurrente.</w:t>
      </w:r>
    </w:p>
    <w:p w:rsidR="00D06117" w:rsidRDefault="00D06117" w:rsidP="00D06117">
      <w:pPr>
        <w:pStyle w:val="TextoNormal"/>
      </w:pPr>
    </w:p>
    <w:p w:rsidR="00D06117" w:rsidRDefault="00D06117" w:rsidP="00D06117">
      <w:pPr>
        <w:pStyle w:val="TextoNormal"/>
      </w:pPr>
      <w:r>
        <w:t>b) La empresa sancionada interpuso recurso contencioso-administrativo que fue estimado por la Sentencia del Juzgado de lo Contencioso-Administrativo núm. 1 de Valladolid de fecha 17 de febrero de 2009. Entiende el Juzgado, en el fundamento jurídico tercero de la Sentencia, que debe ser estimada la alegación del demandante según la cual la conducta imputada no se encuentra tipificada como infracción en la legislación autonómica sin que resulte de aplicación el art. 40.2 d) de la Ley 24/2003, de 10 de julio, de la viña y el vino en Castilla y León al no ser el término legislación básica equivalente a legislación estatal y no poderse aplicar con carácter supletorio en la medida en que no existe una laguna de la legislación autonómica en la tipificación de determinadas infracciones remitiéndose en lo no previsto a la legislación básica estatal pero no a la que no tiene dicho carácter.</w:t>
      </w:r>
    </w:p>
    <w:p w:rsidR="00D06117" w:rsidRDefault="00D06117" w:rsidP="00D06117">
      <w:pPr>
        <w:pStyle w:val="TextoNormal"/>
      </w:pPr>
    </w:p>
    <w:p w:rsidR="00D06117" w:rsidRDefault="00D06117" w:rsidP="00D06117">
      <w:pPr>
        <w:pStyle w:val="TextoNormal"/>
      </w:pPr>
      <w:r>
        <w:t>c) La Sentencia de 17 de marzo de 2010 de la Sección Segunda de la Sala de lo Contencioso-Administrativo del Tribunal Superior de Justica, con sede en Valladolid, estimó el recurso de apelación interpuesto por la Junta de Castilla y León contra la Sentencia del Juzgado de 17 de febrero de 2009,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las desplacen con el simple ejercicio de sus competencias normativas (fundamento jurídico segundo). Y añade a renglón seguido:</w:t>
      </w:r>
    </w:p>
    <w:p w:rsidR="00D06117" w:rsidRDefault="00D06117" w:rsidP="00D06117">
      <w:pPr>
        <w:pStyle w:val="TextoNormal"/>
      </w:pPr>
    </w:p>
    <w:p w:rsidR="00D06117" w:rsidRDefault="00D06117" w:rsidP="00D06117">
      <w:pPr>
        <w:pStyle w:val="TextoNormal"/>
      </w:pPr>
      <w:r>
        <w:t xml:space="preserve">“Se entiende que es así y que la Comunidad de Castilla y León no ha desplazado, sino que ha asumido, las normas reguladoras de las infracciones administrativas que no tienen el carácter de básicas en la Ley 24/2003, en concreto el art. 40.2 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w:t>
      </w:r>
      <w:r>
        <w:lastRenderedPageBreak/>
        <w:t>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la Juzgadora el Juez a quo de la expresión tantas veces mencionada.”</w:t>
      </w:r>
    </w:p>
    <w:p w:rsidR="00D06117" w:rsidRDefault="00D06117" w:rsidP="00D06117">
      <w:pPr>
        <w:pStyle w:val="TextoNormal"/>
      </w:pPr>
    </w:p>
    <w:p w:rsidR="00D06117" w:rsidRDefault="00D06117" w:rsidP="00D06117">
      <w:pPr>
        <w:pStyle w:val="TextoNormal"/>
      </w:pPr>
      <w:r w:rsidRPr="00D06117">
        <w:rPr>
          <w:rStyle w:val="NumeroAFNegritaCaracter"/>
        </w:rPr>
        <w:t>3</w:t>
      </w:r>
      <w:r>
        <w:t>. La sociedad demandante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00D06117" w:rsidRDefault="00D06117" w:rsidP="00D06117">
      <w:pPr>
        <w:pStyle w:val="TextoNormal"/>
      </w:pPr>
    </w:p>
    <w:p w:rsidR="00D06117" w:rsidRDefault="00D06117" w:rsidP="00D06117">
      <w:pPr>
        <w:pStyle w:val="TextoNormal"/>
      </w:pPr>
      <w:r>
        <w:t>Sostiene la representación procesal de Bodegas Antaño, S.A.,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00D06117" w:rsidRDefault="00D06117" w:rsidP="00D06117">
      <w:pPr>
        <w:pStyle w:val="TextoNormal"/>
      </w:pPr>
    </w:p>
    <w:p w:rsidR="00D06117" w:rsidRDefault="00D06117" w:rsidP="00D06117">
      <w:pPr>
        <w:pStyle w:val="TextoNormal"/>
      </w:pPr>
      <w: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w:t>
      </w:r>
      <w:r>
        <w:lastRenderedPageBreak/>
        <w:t>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00D06117" w:rsidRDefault="00D06117" w:rsidP="00D06117">
      <w:pPr>
        <w:pStyle w:val="TextoNormal"/>
      </w:pPr>
    </w:p>
    <w:p w:rsidR="00D06117" w:rsidRDefault="00D06117" w:rsidP="00D06117">
      <w:pPr>
        <w:pStyle w:val="TextoNormal"/>
      </w:pPr>
      <w:r>
        <w:t>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Bodegas Antaño, S.A., “la conclusión no puede ser ésa, porque la realidad es que el art. 35 de la Ley estatal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00D06117" w:rsidRDefault="00D06117" w:rsidP="00D06117">
      <w:pPr>
        <w:pStyle w:val="TextoNormal"/>
      </w:pPr>
    </w:p>
    <w:p w:rsidR="00D06117" w:rsidRDefault="00D06117" w:rsidP="00D06117">
      <w:pPr>
        <w:pStyle w:val="TextoNormal"/>
      </w:pPr>
      <w:r>
        <w:t>Afirma la recurrente que la Ley autonómica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DF 2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00D06117" w:rsidRDefault="00D06117" w:rsidP="00D06117">
      <w:pPr>
        <w:pStyle w:val="TextoNormal"/>
      </w:pPr>
    </w:p>
    <w:p w:rsidR="00D06117" w:rsidRDefault="00D06117" w:rsidP="00D06117">
      <w:pPr>
        <w:pStyle w:val="TextoNormal"/>
      </w:pPr>
      <w:r>
        <w:lastRenderedPageBreak/>
        <w:t>Para la representación de Bodegas Antaño, S.A.,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00D06117" w:rsidRDefault="00D06117" w:rsidP="00D06117">
      <w:pPr>
        <w:pStyle w:val="TextoNormal"/>
      </w:pPr>
    </w:p>
    <w:p w:rsidR="00D06117" w:rsidRDefault="00D06117" w:rsidP="00D06117">
      <w:pPr>
        <w:pStyle w:val="TextoNormal"/>
      </w:pPr>
      <w:r>
        <w:t>Antes de cerrar su escrito de demanda, la actora reconoce que, en el momento de producirse los hechos, podía prever la aplicación de lo dispuesto en el art. 44.3 e) del Reglamento de la denominación de origen “Rueda”, aprobado por Orden MAPA 2059/2002, de 31 de julio, donde se tipifica como infracción grave la indebida tenencia, negociación o utilización de los documentos, precintas, etiquetas, sellos, etc., propios de la denominación, sancionando esta conducta con multa de 20.000 pesetas al doble del valor del producto afectado y decomiso. Para la demandante de amparo, el indicado reglamento se encontraba entonces vigente en virtud de lo previsto en la disposición transitoria de la Ley autonómica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w:t>
      </w:r>
    </w:p>
    <w:p w:rsidR="00D06117" w:rsidRDefault="00D06117" w:rsidP="00D06117">
      <w:pPr>
        <w:pStyle w:val="TextoNormal"/>
      </w:pPr>
    </w:p>
    <w:p w:rsidR="00D06117" w:rsidRDefault="00D06117" w:rsidP="00D06117">
      <w:pPr>
        <w:pStyle w:val="TextoNormal"/>
      </w:pPr>
      <w:r>
        <w:t>La demanda concluye con la solicitud de que se dicte Sentencia por la que se reconozca el derecho de la recurrente a la legalidad en materia sancionadora y, a fin de reparar la lesión padecida en éste, que se anulen la Sentencia de la Sección Segunda de la Sala de lo Contencioso-Administrativo del Tribunal Superior de Justicia de Castilla y León núm. 680, de 17 de marzo de 2010 y anule la Orden del Consejero de Agricultura y Ganadería de la Junta de Castilla y León de 19 de octubre de 2006, por la que se le impone una sanción de 60.000 € como autora de una infracción del art. 40.2 d) de la Ley estatal 24/2003, de la viña y del vino.</w:t>
      </w:r>
    </w:p>
    <w:p w:rsidR="00D06117" w:rsidRDefault="00D06117" w:rsidP="00D06117">
      <w:pPr>
        <w:pStyle w:val="TextoNormal"/>
      </w:pPr>
    </w:p>
    <w:p w:rsidR="00D06117" w:rsidRDefault="00D06117" w:rsidP="00D06117">
      <w:pPr>
        <w:pStyle w:val="TextoNormal"/>
      </w:pPr>
      <w:r w:rsidRPr="00D06117">
        <w:rPr>
          <w:rStyle w:val="NumeroAFNegritaCaracter"/>
        </w:rPr>
        <w:t>4</w:t>
      </w:r>
      <w:r>
        <w:t>. Por diligencia de ordenación de 12 de mayo de 2010 del Secretario de Justicia de la Sección Primera de este Tribunal se concedió, de acuerdo con lo previsto en el art. 49.4 de la Ley Orgánica del Tribunal Constitucional (LOTC), un plazo de diez días a la Procuradora doña Mercedes Caro Bonilla a fin de que aportase copia de todos los escritos y documentos presentados, presentase escritura de poder que acredite la representación que dice ostentar y suscribiera el escrito de demanda, advirtiéndole de que la falta de subsanación de los defectos en el plazo indicado determinaría la inadmisión del presente recurso.</w:t>
      </w:r>
    </w:p>
    <w:p w:rsidR="00D06117" w:rsidRDefault="00D06117" w:rsidP="00D06117">
      <w:pPr>
        <w:pStyle w:val="TextoNormal"/>
      </w:pPr>
    </w:p>
    <w:p w:rsidR="00D06117" w:rsidRDefault="00D06117" w:rsidP="00D06117">
      <w:pPr>
        <w:pStyle w:val="TextoNormal"/>
      </w:pPr>
      <w:r w:rsidRPr="00D06117">
        <w:rPr>
          <w:rStyle w:val="NumeroAFNegritaCaracter"/>
        </w:rPr>
        <w:t>5</w:t>
      </w:r>
      <w:r>
        <w:t>. Subsanado el defecto antes citado, por providencia de 4 de octubre de 2010 la Sala Primera de este Tribunal acordó, de conformidad con lo dispuesto en el art. 11.2 LOTC, admitir a trámite la demanda de amparo formulada por la Procuradora doña Mercedes Caro Bonilla en nombre y representación de Bodegas Antaño, S.A. En la misma providencia se acordó, en aplicación de lo dispuesto en el art. 51 LOTC, dirigir atenta comunicación a la Sección Segunda de la Sala de lo Contencioso-Administrativo del Tribunal Superior de Justicia de Castilla y León, con sede en Valladolid, y al Juzgado de lo Contencioso-Administrativo núm. 2 de Valladolid a fin de que, en plazo que no excediera de diez días, remitieran certificación o copia adverada de las actuaciones correspondientes al recurso de apelación núm. 680-2009 y al recurso contencioso-administrativo núm. 89-2007, respectivamente, debiendo previamente emplazar el Juzgado a quienes hubieran sido parte en ese proceso, excepto la recurrente en amparo, para que pudieran comparecer en el presente recurso, lo que así hizo el siguiente día 29 de octubre el Letrado de la Comunidad Autónoma de Castilla y León, solicitando que se le tuviera por personado y parte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del Secretario de Justicia de la Sección Primera de 3 de noviembre de 2010 se tuvieron por recibidos los testimonios de las actuaciones reclamadas,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00D06117" w:rsidRDefault="00D06117" w:rsidP="00D06117">
      <w:pPr>
        <w:pStyle w:val="TextoNormal"/>
      </w:pPr>
    </w:p>
    <w:p w:rsidR="00D06117" w:rsidRDefault="00D06117" w:rsidP="00D06117">
      <w:pPr>
        <w:pStyle w:val="TextoNormal"/>
      </w:pPr>
      <w:r w:rsidRPr="00D06117">
        <w:rPr>
          <w:rStyle w:val="NumeroAFNegritaCaracter"/>
        </w:rPr>
        <w:t>7</w:t>
      </w:r>
      <w:r>
        <w:t>. Por escrito que tuvo entrada en este Tribunal el 17 de diciembre de 2010 el Ministerio Fiscal presentó sus alegaciones. Tras una pormenorizada exposición de los antecedentes del recurso, desarrolla los motivos en virtud de los cuales interesa que se dicte Sentencia estimatoria del recurso de amparo promovido por Bodegas Antaño, S.A.</w:t>
      </w:r>
    </w:p>
    <w:p w:rsidR="00D06117" w:rsidRDefault="00D06117" w:rsidP="00D06117">
      <w:pPr>
        <w:pStyle w:val="TextoNormal"/>
      </w:pPr>
    </w:p>
    <w:p w:rsidR="00D06117" w:rsidRDefault="00D06117" w:rsidP="00D06117">
      <w:pPr>
        <w:pStyle w:val="TextoNormal"/>
      </w:pPr>
      <w:r>
        <w:t xml:space="preserve">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básicas de la Ley estatal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w:t>
      </w:r>
      <w:r>
        <w:lastRenderedPageBreak/>
        <w:t>denominaciones de origen y otras indicaciones de procedencia relativas a productos de la Comunidad, según lo dispuesto en el artículo 32.1.7 y 32 de su Estatuto de Autonomía de Castilla y León,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00D06117" w:rsidRDefault="00D06117" w:rsidP="00D06117">
      <w:pPr>
        <w:pStyle w:val="TextoNormal"/>
      </w:pPr>
    </w:p>
    <w:p w:rsidR="00D06117" w:rsidRDefault="00D06117" w:rsidP="00D06117">
      <w:pPr>
        <w:pStyle w:val="TextoNormal"/>
      </w:pPr>
      <w:r>
        <w:t>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agostó, regulador del procedimiento sancionador.</w:t>
      </w:r>
    </w:p>
    <w:p w:rsidR="00D06117" w:rsidRDefault="00D06117" w:rsidP="00D06117">
      <w:pPr>
        <w:pStyle w:val="TextoNormal"/>
      </w:pPr>
    </w:p>
    <w:p w:rsidR="00D06117" w:rsidRDefault="00D06117" w:rsidP="00D06117">
      <w:pPr>
        <w:pStyle w:val="TextoNormal"/>
      </w:pPr>
      <w:r>
        <w:t>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sociedad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00D06117" w:rsidRDefault="00D06117" w:rsidP="00D06117">
      <w:pPr>
        <w:pStyle w:val="TextoNormal"/>
      </w:pPr>
    </w:p>
    <w:p w:rsidR="00D06117" w:rsidRDefault="00D06117" w:rsidP="00D06117">
      <w:pPr>
        <w:pStyle w:val="TextoNormal"/>
      </w:pPr>
      <w:r>
        <w:t xml:space="preserve">b) Seguidamente refuta la afirmación de que el art. 40.2 d) de la Ley 24/2003 resulta aplicable como Derecho supletorio conforme al principio establecido en el art. 149.3 CE. La atribución de carácter supletorio, en todo caso, al Derecho estatal sirve al fin de evitar la </w:t>
      </w:r>
      <w:r>
        <w:lastRenderedPageBreak/>
        <w:t>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00D06117" w:rsidRDefault="00D06117" w:rsidP="00D06117">
      <w:pPr>
        <w:pStyle w:val="TextoNormal"/>
      </w:pPr>
    </w:p>
    <w:p w:rsidR="00D06117" w:rsidRDefault="00D06117" w:rsidP="00D06117">
      <w:pPr>
        <w:pStyle w:val="TextoNormal"/>
      </w:pPr>
      <w:r>
        <w:t>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00D06117" w:rsidRDefault="00D06117" w:rsidP="00D06117">
      <w:pPr>
        <w:pStyle w:val="TextoNormal"/>
      </w:pPr>
    </w:p>
    <w:p w:rsidR="00D06117" w:rsidRDefault="00D06117" w:rsidP="00D06117">
      <w:pPr>
        <w:pStyle w:val="TextoNormal"/>
      </w:pPr>
      <w:r>
        <w:t>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00D06117" w:rsidRDefault="00D06117" w:rsidP="00D06117">
      <w:pPr>
        <w:pStyle w:val="TextoNormal"/>
      </w:pPr>
    </w:p>
    <w:p w:rsidR="00D06117" w:rsidRDefault="00D06117" w:rsidP="00D06117">
      <w:pPr>
        <w:pStyle w:val="TextoNormal"/>
      </w:pPr>
      <w:r>
        <w:t>Por todo ello, el Ministerio Fiscal entiende que debe estimarse el recurso de amparo y declarar vulnerado el derecho fundamental de la actora a la legalidad sancionadora.</w:t>
      </w:r>
    </w:p>
    <w:p w:rsidR="00D06117" w:rsidRDefault="00D06117" w:rsidP="00D06117">
      <w:pPr>
        <w:pStyle w:val="TextoNormal"/>
      </w:pPr>
    </w:p>
    <w:p w:rsidR="00D06117" w:rsidRDefault="00D06117" w:rsidP="00D06117">
      <w:pPr>
        <w:pStyle w:val="TextoNormal"/>
      </w:pPr>
      <w:r w:rsidRPr="00D06117">
        <w:rPr>
          <w:rStyle w:val="NumeroAFNegritaCaracter"/>
        </w:rPr>
        <w:t>8</w:t>
      </w:r>
      <w:r>
        <w:t>. El 13 de diciembre de 2010 la recurrente en amparo presentó sus alegaciones en las que se ratificaba en su demanda reiterando que se dicte en su día resolución en los términos anteriormente interesados.</w:t>
      </w:r>
    </w:p>
    <w:p w:rsidR="00D06117" w:rsidRDefault="00D06117" w:rsidP="00D06117">
      <w:pPr>
        <w:pStyle w:val="TextoNormal"/>
      </w:pPr>
    </w:p>
    <w:p w:rsidR="00D06117" w:rsidRDefault="00D06117" w:rsidP="00D06117">
      <w:pPr>
        <w:pStyle w:val="TextoNormal"/>
      </w:pPr>
      <w:r w:rsidRPr="00D06117">
        <w:rPr>
          <w:rStyle w:val="NumeroAFNegritaCaracter"/>
        </w:rPr>
        <w:t>9</w:t>
      </w:r>
      <w:r>
        <w:t>. El 10 de diciembre de 2010 se presentó en el Registro General de este Tribunal el escrito de alegaciones del Letrado de la Comunidad Autónoma de Castilla y León.</w:t>
      </w:r>
    </w:p>
    <w:p w:rsidR="00D06117" w:rsidRDefault="00D06117" w:rsidP="00D06117">
      <w:pPr>
        <w:pStyle w:val="TextoNormal"/>
      </w:pPr>
    </w:p>
    <w:p w:rsidR="00D06117" w:rsidRDefault="00D06117" w:rsidP="00D06117">
      <w:pPr>
        <w:pStyle w:val="TextoNormal"/>
      </w:pPr>
      <w:r>
        <w:t>a) Inicia su escrito el Letrado autonómico aduciendo la extemporaneidad del recurso de amparo pues habían transcurrido veintidós días hábiles entre la notificación, el 25 de marzo de 2010, de la Sentencia del Tribunal Superior de Justicia y la presentación en el Decanato de Valladolid, el 28 de abril de 2010, del recurso de amparo. Señala, además, que no resulta de aplicación supletoria el contenido del art. 135 de la Ley de enjuiciamiento civil según resulta de lo afirmado en la STC 230/2006, de 17 de julio. No puede admitirse, tampoco, la aplicación del plazo de treinta días del art. 44.2 LOTC pues no nos hallamos ante un recurso de amparo mixto sino que lo que se pretende por la actora es obtener la nulidad de la resolución administrativa sancionadora, a la que se imputa la lesión del derecho fundamental invocado.</w:t>
      </w:r>
    </w:p>
    <w:p w:rsidR="00D06117" w:rsidRDefault="00D06117" w:rsidP="00D06117">
      <w:pPr>
        <w:pStyle w:val="TextoNormal"/>
      </w:pPr>
    </w:p>
    <w:p w:rsidR="00D06117" w:rsidRDefault="00D06117" w:rsidP="00D06117">
      <w:pPr>
        <w:pStyle w:val="TextoNormal"/>
      </w:pPr>
      <w:r>
        <w:t>b) Con carácter subsidiario el Letrado de la Comunidad Autónoma de Castilla y León postula la desestimación del presente recurso de amparo.</w:t>
      </w:r>
    </w:p>
    <w:p w:rsidR="00D06117" w:rsidRDefault="00D06117" w:rsidP="00D06117">
      <w:pPr>
        <w:pStyle w:val="TextoNormal"/>
      </w:pPr>
    </w:p>
    <w:p w:rsidR="00D06117" w:rsidRDefault="00D06117" w:rsidP="00D06117">
      <w:pPr>
        <w:pStyle w:val="TextoNormal"/>
      </w:pPr>
      <w:r>
        <w:t>Respecto del alcance de la remisión que la Ley autonómica de la viña y el vino hace a los preceptos de la norma estatal, el citado Letrado sostiene que “las remisiones expresas que contiene la Ley 8/2005, de 10 de junio, de la viña y el vino de Castilla y León, a la legislación básica del Estado, lo son en su conjunto a la Ley estatal 24/2003, que es la ley básica en la materia vinícola, sin distinción estricta, única y exclusiva a los preceptos directamente de carácter básico, excluyendo a los demás.” La propia ley y los reglamentos dictados por la Administración autonómica vendrían a demostrar que ésa es la voluntad del legislador. A la misma conclusión se llegaría, según el Letrado de la Comunidad Autónoma de Castilla y León, aplicando los criterios hermenéuticos del art. 3.1 del Código civil, en particular si se atiende a la teleología del precepto legal autonómico.</w:t>
      </w:r>
    </w:p>
    <w:p w:rsidR="00D06117" w:rsidRDefault="00D06117" w:rsidP="00D06117">
      <w:pPr>
        <w:pStyle w:val="TextoNormal"/>
      </w:pPr>
    </w:p>
    <w:p w:rsidR="00D06117" w:rsidRDefault="00D06117" w:rsidP="00D06117">
      <w:pPr>
        <w:pStyle w:val="TextoNormal"/>
      </w:pPr>
      <w:r>
        <w:t>Para reforzar su argumentación, el Letrado autonómico se detiene en el art. 45 de la Ley de las Cortes de Castilla y León 8/2005, que remite a la Ley básica de la viña y del vino en materia de medidas cautelares, siendo así que esta cuestión se regula en los arts. 35 y 43 de la Ley 24/2003, ninguno de los cuales tiene carácter básico. Esta remisión lo es a la regulación íntegra y global de las medidas cautelares en la vigente ley estatal, o la que en el futuro pueda sustituirla, con independencia de que los concretos preceptos legales sean o no bases.</w:t>
      </w:r>
    </w:p>
    <w:p w:rsidR="00D06117" w:rsidRDefault="00D06117" w:rsidP="00D06117">
      <w:pPr>
        <w:pStyle w:val="TextoNormal"/>
      </w:pPr>
    </w:p>
    <w:p w:rsidR="00D06117" w:rsidRDefault="00D06117" w:rsidP="00D06117">
      <w:pPr>
        <w:pStyle w:val="TextoNormal"/>
      </w:pPr>
      <w:r>
        <w:t>La sucesiva regulación reglamentaria de la Comunidad Autónoma de Castilla y León posterior a la ley básica estatal abonaría igualmente esta interpretación. Así, el Decreto 62/2004, de 27 de mayo, por el que se aprobó transitoriamente la gestión y control de los vinos con denominación de origen y el régimen sancionador de los vinos de calidad producidos en regiones determinadas, en cuanto a las infracciones administrativas, se refería en su articulado a “las infracciones administrativas tipificadas en la Ley 24/2003, de 10 de julio” y el vigente Decreto 51/2006 especifica determinadas infracciones administrativas de esta misma ley, algunas de las cuales no tienen carácter básico. Si el legislador autonómico no hubiese entendido que con la remisión al régimen sancionador de la ley básica estatal incorporaba el catálogo y relación de las infracciones administrativas contenidas en esta Ley, hubiera desarrollado por sí mismo la materia, procediendo a la tipificación de los ilícitos y estableciendo las medidas cautelares pertinentes.</w:t>
      </w:r>
    </w:p>
    <w:p w:rsidR="00D06117" w:rsidRDefault="00D06117" w:rsidP="00D06117">
      <w:pPr>
        <w:pStyle w:val="TextoNormal"/>
      </w:pPr>
    </w:p>
    <w:p w:rsidR="00D06117" w:rsidRDefault="00D06117" w:rsidP="00D06117">
      <w:pPr>
        <w:pStyle w:val="TextoNormal"/>
      </w:pPr>
      <w:r>
        <w:t xml:space="preserve">Por otra parte, que una disposición contenida en una norma estatal no tenga carácter básico, como sucede en el caso del art. 40.2 d) de la Ley 24/2003, no significa que no sea </w:t>
      </w:r>
      <w:r>
        <w:lastRenderedPageBreak/>
        <w:t>aplicable en las Comunidades Autónomas. Serán de aplicables bien porque las Comunidades Autónomas las asuman expresamente, o bien porque no las desplacen o sustituyan, en cuyo caso entra en juego la cláusula supletoria del art. 149.3 CE.</w:t>
      </w:r>
    </w:p>
    <w:p w:rsidR="00D06117" w:rsidRDefault="00D06117" w:rsidP="00D06117">
      <w:pPr>
        <w:pStyle w:val="TextoNormal"/>
      </w:pPr>
    </w:p>
    <w:p w:rsidR="00D06117" w:rsidRDefault="00D06117" w:rsidP="00D06117">
      <w:pPr>
        <w:pStyle w:val="TextoNormal"/>
      </w:pPr>
      <w:r>
        <w:t>Sostiene el Letrado autonómico que el régimen sancionador de la ley estatal es aplicable en Castilla y León “por la remisión expresa y general del artículo 42 de la Ley autonómica 8/2005, y porque esta Ley autonómica no contiene una regulación propia y distinta del catálogo y relación de las infracciones administrativas tipificadas en materia vinícola”. Tras reproducirse algunos pasajes de la Sentencia 680/2010, de 17 de marzo, de la Sección Segunda de la Sala de lo Contencioso-Administrativo del Tribunal Superior de Justicia de Castilla y León aquí impugnada, reconoce el Letrado autonómico que la expresión “legislación básica de la viña y el vino” utilizada por la ley territorial puede no ser la más correcta desde el punto de vista de la técnica legislativa, pero el espíritu y finalidad de la Ley 8/2005, de la viña y el vino de Castilla y León en este punto no puede ser más claro: asegurar la aplicabilidad todas las normas relativas a infracciones y sanciones contenidas en la ley estatal.</w:t>
      </w:r>
    </w:p>
    <w:p w:rsidR="00D06117" w:rsidRDefault="00D06117" w:rsidP="00D06117">
      <w:pPr>
        <w:pStyle w:val="TextoNormal"/>
      </w:pPr>
    </w:p>
    <w:p w:rsidR="00D06117" w:rsidRDefault="00D06117" w:rsidP="00D06117">
      <w:pPr>
        <w:pStyle w:val="TextoNormal"/>
      </w:pPr>
      <w:r>
        <w:t>Llama la atención el Letrado autonómico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16 de mayo de 2012 se señaló para deliberación y votación de la presente Sentencia el día 21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Como se ha expuesto en los antecedentes, Bodegas Antaño, S.A., solicita amparo respecto de la Orden del Consejero de Agricultura y Ganadería de la Junta de Castilla y León de 19 de octubre de 2006, imponiéndole una sanción pecuniaria de 60.001 euros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17 de marzo de 2010, que, con estimación del recurso de apelación formulado por la Administración autora del acto contra la Sentencia del Juzgado de lo Contencioso-Administrativo núm. 1 de Valladolid de 17 de febrero de 2009, confirmó la legalidad de dicha resolución administrativa.</w:t>
      </w:r>
    </w:p>
    <w:p w:rsidR="00D06117" w:rsidRDefault="00D06117" w:rsidP="00D06117">
      <w:pPr>
        <w:pStyle w:val="TextoNormal"/>
      </w:pPr>
    </w:p>
    <w:p w:rsidR="00D06117" w:rsidRDefault="00D06117" w:rsidP="00D06117">
      <w:pPr>
        <w:pStyle w:val="TextoNormal"/>
      </w:pPr>
      <w:r>
        <w:t xml:space="preserve">Sostiene la demandante que ambas resoluciones habrían vulnerado su derecho fundamental a la legalidad sancionadora, opinión que comparte el Ministerio Fiscal en las alegaciones formuladas en este proceso constitucional y de la que discrepa la representación de </w:t>
      </w:r>
      <w:r>
        <w:lastRenderedPageBreak/>
        <w:t>la Junta de Castilla y León, quien interesa la inadmisión del recurso de amparo por extemporáneo y subsidiariamente su desestimación.</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emprender el análisis del fondo de este proceso constitucional resulta imprescindible despejar el óbice procesal opuesto por el Letrado de la Comunidad Autónoma de Castilla y León, quien aduce extemporaneidad en la interposición por Bodegas Antaño, S.A., del recurso de amparo dado que éste tuvo entrada en el Juzgado Decano de los de Valladolid dos días después de que hubiera expirado el plazo de veinte días desde la notificación de la resolución recaída en el proceso previo establecido por el art. 43.2 de la Ley Orgánica de este Tribunal (LOTC). Parte el Letrado autonómico de la premisa de que el recurso de amparo se ha formulado por el cauce del art. 43 LOTC. Y añade que, habida cuenta de que la Sentencia dictada por la Sección Segunda de la Sala de lo Contencioso-Administrativo del Tribunal Superior de Justicia de Castilla y León, con sede en Valladolid, le fue notificada a la ahora demandante de amparo el 25 de marzo 2010 el plazo habría finalizado el 26 de abril siendo así que el recurso de amparo se presentó en el Decanato de Valladolid, como es de ver en la diligencia de ordenación, el 28 de abril de 2010.</w:t>
      </w:r>
    </w:p>
    <w:p w:rsidR="00D06117" w:rsidRDefault="00D06117" w:rsidP="00D06117">
      <w:pPr>
        <w:pStyle w:val="TextoNormal"/>
      </w:pPr>
    </w:p>
    <w:p w:rsidR="00D06117" w:rsidRDefault="00D06117" w:rsidP="00D06117">
      <w:pPr>
        <w:pStyle w:val="TextoNormal"/>
      </w:pPr>
      <w:r>
        <w:t>Con independencia de que, efectivamente, este no es un recurso de amparo mixto, sino un recurso del art. 43 LOTC, ya que la vulneración del art. 25.1 CE se imputa directamente a la Administración autonómica en ejercicio de su potestad sancionadora, la posibilidad de presentación del recurso hasta las 15 horas del siguiente día hábil al del vencimiento del plazo de interposición, esto es, el día 27 de abril de 2010, aparece ya expresamente prevista en el art. 85.2 LOTC, en la redacción dada al mismo por la Ley Orgánica 6/2007, de 24 de mayo.</w:t>
      </w:r>
    </w:p>
    <w:p w:rsidR="00D06117" w:rsidRDefault="00D06117" w:rsidP="00D06117">
      <w:pPr>
        <w:pStyle w:val="TextoNormal"/>
      </w:pPr>
    </w:p>
    <w:p w:rsidR="00D06117" w:rsidRDefault="00D06117" w:rsidP="00D06117">
      <w:pPr>
        <w:pStyle w:val="TextoNormal"/>
      </w:pPr>
      <w:r>
        <w:t>En contra de lo afirmado por el Letrado de la Comunidad Autónoma el recurso de amparo tuvo entrada en el Juzgado Decano de Valladolid el día 27 de abril de 2010 aunque el acuerdo de remisión al Tribunal Constitucional esté fechado el día 28 del mismo mes y año, pues es la fecha de presentación del recurso la que debe tenerse en cuenta a estos efectos. Ello permite descartar la concurrencia del motivo de inadmisibilidad del recurso de amparo opuesta por el Letrado de la Junta de Castilla y León (STC 90/2012, de 7 de mayo, FJ 2).</w:t>
      </w:r>
    </w:p>
    <w:p w:rsidR="00D06117" w:rsidRDefault="00D06117" w:rsidP="00D06117">
      <w:pPr>
        <w:pStyle w:val="TextoNormal"/>
      </w:pPr>
    </w:p>
    <w:p w:rsidR="00D06117" w:rsidRDefault="00D06117" w:rsidP="00D06117">
      <w:pPr>
        <w:pStyle w:val="TextoNormal"/>
      </w:pPr>
      <w:r w:rsidRPr="00D06117">
        <w:rPr>
          <w:rStyle w:val="NumeroAFNegritaCaracter"/>
        </w:rPr>
        <w:t>3</w:t>
      </w:r>
      <w:r>
        <w:t>. Entrando ya en el fondo del asunto es de señalar que la impugnación de la sanción litigiosa tiene su origen en el art. 42 de la Ley 8/2005, de 10 de junio, de la viña y del vino de Castilla y León, cuyo texto es el siguiente: “Con carácter general, el régimen sancionador en las materias objeto de la presente Ley será lo establecido en la legislación básica de la Viña y del Vino, sin perjuicio de lo que se dispone en los artículos siguientes.”</w:t>
      </w:r>
    </w:p>
    <w:p w:rsidR="00D06117" w:rsidRDefault="00D06117" w:rsidP="00D06117">
      <w:pPr>
        <w:pStyle w:val="TextoNormal"/>
      </w:pPr>
    </w:p>
    <w:p w:rsidR="00D06117" w:rsidRDefault="00D06117" w:rsidP="00D06117">
      <w:pPr>
        <w:pStyle w:val="TextoNormal"/>
      </w:pPr>
      <w:r>
        <w:t>Y puesto que la sanción se impone por la infracción administrativa prevista en el art. 40.2 d) de la Ley 24/2003, de 10 de julio, de la viña y del vino, que no tiene carácter básico, la cuestión que se plantea es la de si este precepto en conexión con el que se ha transcrito da cobertura legal suficiente a la sanción, habida cuenta de las exigencias del principio de legalidad en materia sancionadora que consagra el art. 25 CE.</w:t>
      </w:r>
    </w:p>
    <w:p w:rsidR="00D06117" w:rsidRDefault="00D06117" w:rsidP="00D06117">
      <w:pPr>
        <w:pStyle w:val="TextoNormal"/>
      </w:pPr>
    </w:p>
    <w:p w:rsidR="00D06117" w:rsidRDefault="00D06117" w:rsidP="00D06117">
      <w:pPr>
        <w:pStyle w:val="TextoNormal"/>
      </w:pPr>
      <w:r>
        <w:t>Tal cuestión ha sido ya resuelta en la STC 90/2012, de 7 de mayo, a cuyo contenido nos remitimos, destacando —FJ 5— que:</w:t>
      </w:r>
    </w:p>
    <w:p w:rsidR="00D06117" w:rsidRDefault="00D06117" w:rsidP="00D06117">
      <w:pPr>
        <w:pStyle w:val="TextoNormal"/>
      </w:pPr>
    </w:p>
    <w:p w:rsidR="00D06117" w:rsidRDefault="00D06117" w:rsidP="00D06117">
      <w:pPr>
        <w:pStyle w:val="TextoNormal"/>
      </w:pPr>
      <w:r>
        <w:lastRenderedPageBreak/>
        <w:t>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w:t>
      </w:r>
    </w:p>
    <w:p w:rsidR="00D06117" w:rsidRDefault="00D06117" w:rsidP="00D06117">
      <w:pPr>
        <w:pStyle w:val="TextoNormal"/>
      </w:pPr>
    </w:p>
    <w:p w:rsidR="00D06117" w:rsidRDefault="00D06117" w:rsidP="00D06117">
      <w:pPr>
        <w:pStyle w:val="TextoNormal"/>
      </w:pPr>
      <w:r>
        <w:t>b)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w:t>
      </w:r>
    </w:p>
    <w:p w:rsidR="00D06117" w:rsidRDefault="00D06117" w:rsidP="00D06117">
      <w:pPr>
        <w:pStyle w:val="TextoNormal"/>
      </w:pPr>
    </w:p>
    <w:p w:rsidR="00D06117" w:rsidRDefault="00D06117" w:rsidP="00D06117">
      <w:pPr>
        <w:pStyle w:val="TextoNormal"/>
      </w:pPr>
      <w:r>
        <w:t>Todo ello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Bodegas Antaño, S.A., y, en consecuencia:</w:t>
      </w:r>
    </w:p>
    <w:p w:rsidR="00D06117" w:rsidRDefault="00D06117" w:rsidP="00D06117">
      <w:pPr>
        <w:pStyle w:val="TextoNormal"/>
      </w:pPr>
    </w:p>
    <w:p w:rsidR="00D06117" w:rsidRDefault="00D06117" w:rsidP="00D06117">
      <w:pPr>
        <w:pStyle w:val="TextoNormal"/>
      </w:pPr>
      <w:r>
        <w:t>1º Declarar vulnerado su derecho fundamental a la legalidad sancionadora (art. 25.1 CE).</w:t>
      </w:r>
    </w:p>
    <w:p w:rsidR="00D06117" w:rsidRDefault="00D06117" w:rsidP="00D06117">
      <w:pPr>
        <w:pStyle w:val="TextoNormal"/>
      </w:pPr>
    </w:p>
    <w:p w:rsidR="00D06117" w:rsidRDefault="00D06117" w:rsidP="00D06117">
      <w:pPr>
        <w:pStyle w:val="TextoNormal"/>
      </w:pPr>
      <w:r>
        <w:t>2º Restablecerla en su derecho y, a tal fin, declarar la nulidad de la Orden del Consejero de Agricultura y Ganadería de la Junta de Castilla y León de 19 de octubre de 2006, por la que se le impone a Bodegas Antaño, S.A., una sanción de 60.001 euros como autora de una infracción del art. 40.2 d) de la ley 24/2003, de 10 de julio, de la viña y del vino, así como de la Sentencia de la Sección Segunda de la Sala de lo Contencioso-Administrativo del Tribunal Superior de Justicia de Castilla y León, con sede en Valladolid núm. 680-2010, de 17 de marzo.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veintiuno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3" w:name="SENTENCIA_2012_110"/>
      <w:r>
        <w:lastRenderedPageBreak/>
        <w:t>SENTENCIA 110/2012, de 23 de mayo de 2012</w:t>
      </w:r>
    </w:p>
    <w:bookmarkEnd w:id="11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ECLI:ES:TC:2012:110</w:t>
      </w:r>
    </w:p>
    <w:p w:rsidR="00D06117" w:rsidRDefault="00D06117" w:rsidP="00D06117">
      <w:pPr>
        <w:pStyle w:val="SntesisDescriptiva"/>
      </w:pPr>
    </w:p>
    <w:p w:rsidR="00D06117" w:rsidRDefault="00D06117" w:rsidP="00D06117">
      <w:pPr>
        <w:pStyle w:val="SntesisDescriptiva"/>
      </w:pPr>
      <w:r>
        <w:t>Recurso de inconstitucionalidad 4596-1999. Interpuesto por el Presidente del Gobierno de la Nación frente al artículo 19.2 de la Ley del Parlamento de Cataluña 8/1988, de 7 de abril, del deporte, en la redacción dada por la Ley del Parlamento de Cataluña 9/1999, de 30 de julio, de apoyo a las selecciones catalanas.</w:t>
      </w:r>
    </w:p>
    <w:p w:rsidR="00D06117" w:rsidRDefault="00D06117" w:rsidP="00D06117">
      <w:pPr>
        <w:pStyle w:val="SntesisDescriptiva"/>
      </w:pPr>
    </w:p>
    <w:p w:rsidR="00D06117" w:rsidRDefault="00D06117" w:rsidP="00D06117">
      <w:pPr>
        <w:pStyle w:val="SntesisAnaltica"/>
      </w:pPr>
      <w:r>
        <w:t>Competencias sobre cultura, deporte y relaciones exteriores: interpretación del precepto legal que atribuye a las federaciones deportivas catalanas la representación del deporte correspondiente en los ámbitos supraautonómicos (STC 80/2012).</w:t>
      </w:r>
    </w:p>
    <w:p w:rsidR="00D06117" w:rsidRDefault="00D06117" w:rsidP="00D06117">
      <w:pPr>
        <w:pStyle w:val="SntesisAnaltica"/>
      </w:pPr>
    </w:p>
    <w:p w:rsidR="00D06117" w:rsidRDefault="00D06117" w:rsidP="00D06117">
      <w:pPr>
        <w:pStyle w:val="Extracto"/>
      </w:pPr>
      <w:r>
        <w:t>1.</w:t>
      </w:r>
      <w:r>
        <w:tab/>
        <w:t>Reitera la doctrina sobre representación de las federaciones deportivas autonómicas en ámbito internacional de la STC 80/2012 [FFJJ 2 a 7].</w:t>
      </w:r>
    </w:p>
    <w:p w:rsidR="00D06117" w:rsidRDefault="00D06117" w:rsidP="00D06117">
      <w:pPr>
        <w:pStyle w:val="Extracto"/>
      </w:pPr>
    </w:p>
    <w:p w:rsidR="00D06117" w:rsidRDefault="00D06117" w:rsidP="00D06117">
      <w:pPr>
        <w:pStyle w:val="Extracto"/>
      </w:pPr>
      <w:r>
        <w:t>2.</w:t>
      </w:r>
      <w:r>
        <w:tab/>
        <w:t>El precepto impugnado según el cual las federaciones catalanas de cada modalidad deportiva serán las representantes del deporte federado catalán en ámbitos supraautonómicos es constitucional siempre que se trate de deportes en los que no existan federaciones españolas y que, en ningún caso, se impidan o perturben las competencias del Estado de coordinación y representación internacional del deporte español (STC 80/2012) [FJ 7].</w:t>
      </w:r>
    </w:p>
    <w:p w:rsidR="00D06117" w:rsidRDefault="00D06117" w:rsidP="00D06117">
      <w:pPr>
        <w:pStyle w:val="Extracto"/>
      </w:pPr>
    </w:p>
    <w:p w:rsidR="00D06117" w:rsidRDefault="00D06117" w:rsidP="00D06117">
      <w:pPr>
        <w:pStyle w:val="Extracto"/>
      </w:pPr>
      <w:r>
        <w:t>3.</w:t>
      </w:r>
      <w:r>
        <w:tab/>
        <w:t>El precepto impugnado debe leerse en el sentido de que la representación internacional del deporte federado catalán por las federaciones catalanas es constitucional siempre que no se produzca la confluencia de sus intereses con los intereses propios del deporte federado español en su conjunto, ya que en ese espacio no se produce una concurrencia con la competencia que ostenta el Estado en relación con la dimensión internacional del deporte, no se perturba la competencia estatal y no se quiebra la estructura piramidal del deporte (STC 80/2012) [FJ 6].</w:t>
      </w:r>
    </w:p>
    <w:p w:rsidR="00D06117" w:rsidRDefault="00D06117" w:rsidP="00D06117">
      <w:pPr>
        <w:pStyle w:val="Extracto"/>
      </w:pPr>
    </w:p>
    <w:p w:rsidR="00D06117" w:rsidRDefault="00D06117" w:rsidP="00D06117">
      <w:pPr>
        <w:pStyle w:val="Extracto"/>
      </w:pPr>
      <w:r>
        <w:t>4.</w:t>
      </w:r>
      <w:r>
        <w:tab/>
        <w:t>El encuadre competencial del precepto impugnado, atendiendo a su objeto y finalidad, ha de situarse en la materia específica de deporte, pues su contenido se inscribe en la regulación de la estructura asociativa del deporte en sus distintos segmentos organizativos y, en concreto de las federaciones deportivas (STC 80/2012) [FJ 3].</w:t>
      </w:r>
    </w:p>
    <w:p w:rsidR="00D06117" w:rsidRDefault="00D06117" w:rsidP="00D06117">
      <w:pPr>
        <w:pStyle w:val="Extracto"/>
      </w:pPr>
    </w:p>
    <w:p w:rsidR="00D06117" w:rsidRDefault="00D06117" w:rsidP="00D06117">
      <w:pPr>
        <w:pStyle w:val="Extracto"/>
      </w:pPr>
      <w:r>
        <w:t>5.</w:t>
      </w:r>
      <w:r>
        <w:tab/>
        <w:t>La configuración de la competencia autonómica en materia de deporte como exclusiva y la ausencia de un título competencial constitucional específico por parte del Estado no impide que éste pudiera intervenir, en concurrencia con las Comunidades Autónomas, en la regulación del deporte cuando sean necesarias actuaciones supraautonómicas, de coordinación o de entronque con otras materias atribuidas competencialmente al Estado (SSTC 194/1998, 80/2012) [FJ 5].</w:t>
      </w:r>
    </w:p>
    <w:p w:rsidR="00D06117" w:rsidRDefault="00D06117" w:rsidP="00D06117">
      <w:pPr>
        <w:pStyle w:val="Extracto"/>
      </w:pPr>
    </w:p>
    <w:p w:rsidR="00D06117" w:rsidRDefault="00D06117" w:rsidP="00D06117">
      <w:pPr>
        <w:pStyle w:val="Extracto"/>
      </w:pPr>
      <w:r>
        <w:lastRenderedPageBreak/>
        <w:t>6.</w:t>
      </w:r>
      <w:r>
        <w:tab/>
        <w:t>La proyección exterior de la competencia autonómica en materia de deporte tiene como límite la reserva al Estado prevista en el art. 149.1.3 CE, teniendo en cuenta que dentro de esa competencia exclusiva estatal se sitúa la posibilidad de establecer medidas que regulen y coordinen las actividades con proyección externa de las Comunidades Autónomas, para evitar eventuales perjuicios sobre la dirección y puesta en ejecución de la política exterior que, en exclusiva, corresponde a las autoridades estatales (STC 164/1995) [FJ 3].</w:t>
      </w:r>
    </w:p>
    <w:p w:rsidR="00D06117" w:rsidRDefault="00D06117" w:rsidP="00D06117">
      <w:pPr>
        <w:pStyle w:val="Extracto"/>
      </w:pPr>
    </w:p>
    <w:p w:rsidR="00D06117" w:rsidRDefault="00D06117" w:rsidP="00D06117">
      <w:pPr>
        <w:pStyle w:val="Extracto"/>
      </w:pPr>
      <w:r>
        <w:t>7.</w:t>
      </w:r>
      <w:r>
        <w:tab/>
        <w:t>La representación internacional del deporte federado español puede calificarse como una cuestión de interés general, relacionada directamente con la imagen exterior que se proyecta del Estado Español, que, si bien no se integra en el título competencial de ‘relaciones internacionales’ constituye fundamento suficiente de la intervención reguladora del Estado en materia deportiva y se proyecta, consecuentemente, sobre el alcance de las competencias autonómicas en esta materia (STC 80/2012; ATC 35/1999) [FJ 5].</w:t>
      </w:r>
    </w:p>
    <w:p w:rsidR="00D06117" w:rsidRDefault="00D06117" w:rsidP="00D06117">
      <w:pPr>
        <w:pStyle w:val="Extracto"/>
      </w:pPr>
    </w:p>
    <w:p w:rsidR="00D06117" w:rsidRDefault="00D06117" w:rsidP="00D06117">
      <w:pPr>
        <w:pStyle w:val="Extracto"/>
      </w:pPr>
      <w:r>
        <w:t>8.</w:t>
      </w:r>
      <w:r>
        <w:tab/>
        <w:t>La representación internacional de las diferentes modalidades deportivas, cuya constitucionalidad se aborda en este proceso, tiene un arduo encaje en el título competencial de cultura, ya que se refiere única y exclusivamente a una cuestión organizativa o estructural de la práctica del deporte y no a otras dimensiones culturales del mismo (STC 80/2012) [FJ 3].</w:t>
      </w:r>
    </w:p>
    <w:p w:rsidR="00D06117" w:rsidRDefault="00D06117" w:rsidP="00D06117">
      <w:pPr>
        <w:pStyle w:val="Extracto"/>
      </w:pPr>
    </w:p>
    <w:p w:rsidR="00D06117" w:rsidRDefault="00D06117" w:rsidP="00D06117">
      <w:pPr>
        <w:pStyle w:val="Extracto"/>
      </w:pPr>
      <w:r>
        <w:t>9.</w:t>
      </w:r>
      <w:r>
        <w:tab/>
        <w:t>Doctrina sobre el orden constitucional y estatutario de distribución de competencias en materia de deporte (SSTC 1/1986, 80/2012) [FJ 5].</w:t>
      </w:r>
    </w:p>
    <w:p w:rsidR="00D06117" w:rsidRDefault="00D06117" w:rsidP="00D06117">
      <w:pPr>
        <w:pStyle w:val="Extracto"/>
      </w:pPr>
    </w:p>
    <w:p w:rsidR="00D06117" w:rsidRDefault="00D06117" w:rsidP="00D06117">
      <w:pPr>
        <w:pStyle w:val="Extracto"/>
      </w:pPr>
      <w:r>
        <w:t>10.</w:t>
      </w:r>
      <w:r>
        <w:tab/>
        <w:t>Doctrina sobre la concurrencia de títulos competenciales que inciden sobre el deporte (SSTC 16/1996, 80/2012) [FFJJ 5, 6].</w:t>
      </w:r>
    </w:p>
    <w:p w:rsidR="00D06117" w:rsidRDefault="00D06117" w:rsidP="00D06117">
      <w:pPr>
        <w:pStyle w:val="Extracto"/>
      </w:pPr>
    </w:p>
    <w:p w:rsidR="00D06117" w:rsidRDefault="00D06117" w:rsidP="00D06117">
      <w:pPr>
        <w:pStyle w:val="Extracto"/>
      </w:pPr>
      <w:r>
        <w:t>11.</w:t>
      </w:r>
      <w:r>
        <w:tab/>
        <w:t>Doctrina sobre el principio de territorialidad de las normas y actos de las Comunidades Autónomas (SSTC 37/1981, 80/2012) [FJ 5].</w:t>
      </w:r>
    </w:p>
    <w:p w:rsidR="00D06117" w:rsidRDefault="00D06117" w:rsidP="00D06117">
      <w:pPr>
        <w:pStyle w:val="Extracto"/>
      </w:pPr>
    </w:p>
    <w:p w:rsidR="00D06117" w:rsidRDefault="00D06117" w:rsidP="00D06117">
      <w:pPr>
        <w:pStyle w:val="Extracto"/>
      </w:pPr>
      <w:r>
        <w:t>12.</w:t>
      </w:r>
      <w:r>
        <w:tab/>
        <w:t xml:space="preserve">Doctrina sobre el </w:t>
      </w:r>
      <w:r w:rsidRPr="00D06117">
        <w:rPr>
          <w:i/>
        </w:rPr>
        <w:t>ius superveniens</w:t>
      </w:r>
      <w:r>
        <w:t xml:space="preserve"> en el recurso de inconstitucionalidad (SSTC 1/2011, 35/2012)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inconstitucionalidad núm. 4596-1999, interpuesto por el Presidente del Gobierno de la Nación contra el artículo 2 de la Ley del Parlamento de Cataluña 9/1999, de 30 de julio, de apoyo a las selecciones catalanas, en la medida en que modifica el inciso primero del artículo 19.2 de la Ley del Parlamento de Cataluña 8/1988, de 7 de abril, del deporte. Han intervenido y formulado alegaciones el Letrado del Parlamento de Cataluña y el Abogado de la Generalitat de Cataluña. Ha sido Ponente el Magistrado don Javier Delgado Barrio,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Constitucional el día 8 de noviembre de 1999, el Abogado del Estado, actuando en el ejercicio de las funciones que legalmente le corresponden, interpuso recurso de inconstitucionalidad contra el artículo 2 de la Ley del Parlamento de Cataluña 9/1999, de 30 de julio, de apoyo a las selecciones catalanas, en cuanto modifica el inciso primero del artículo 19.2 de la Ley del Parlamento de Cataluña 8/1988, de 7 de abril, del deporte, que en su redacción actual dispone “las federaciones deportivas catalanas de cada modalidad deportiva son las representantes del respectivo deporte federado catalán en los ámbitos supraautonómicos”. Se invoca expresamente el art. 161.2 CE.</w:t>
      </w:r>
    </w:p>
    <w:p w:rsidR="00D06117" w:rsidRDefault="00D06117" w:rsidP="00D06117">
      <w:pPr>
        <w:pStyle w:val="TextoNormal"/>
      </w:pPr>
    </w:p>
    <w:p w:rsidR="00D06117" w:rsidRDefault="00D06117" w:rsidP="00D06117">
      <w:pPr>
        <w:pStyle w:val="TextoNormal"/>
      </w:pPr>
      <w:r>
        <w:t>El Abogado del Estado considera que el mencionado precepto, al atribuir a las federaciones catalanas en exclusiva la representación de cada modalidad deportiva en el ámbito estatal e internacional, resulta inconstitucional por vulnerar las competencias estatales en materia de cultura y relaciones internacionales. Se recuerda, en el escrito rector de este proceso constitucional, que el precepto legal vigente con anterioridad a la reforma ahora impugnada preveía que las federaciones deportivas catalanas, a efectos de su participación en la actividad deportiva de ámbito estatal, debían integrarse en las correspondientes federaciones españolas y no atribuía ninguna competencia de representación del deporte catalán en la esfera internacional.</w:t>
      </w:r>
    </w:p>
    <w:p w:rsidR="00D06117" w:rsidRDefault="00D06117" w:rsidP="00D06117">
      <w:pPr>
        <w:pStyle w:val="TextoNormal"/>
      </w:pPr>
    </w:p>
    <w:p w:rsidR="00D06117" w:rsidRDefault="00D06117" w:rsidP="00D06117">
      <w:pPr>
        <w:pStyle w:val="TextoNormal"/>
      </w:pPr>
      <w:r>
        <w:t>A continuación, el Abogado del Estado expone los argumentos de fondo que sostienen la pretensión anulatoria del precepto legal controvertido en este proceso constitucional.</w:t>
      </w:r>
    </w:p>
    <w:p w:rsidR="00D06117" w:rsidRDefault="00D06117" w:rsidP="00D06117">
      <w:pPr>
        <w:pStyle w:val="TextoNormal"/>
      </w:pPr>
    </w:p>
    <w:p w:rsidR="00D06117" w:rsidRDefault="00D06117" w:rsidP="00D06117">
      <w:pPr>
        <w:pStyle w:val="TextoNormal"/>
      </w:pPr>
      <w:r>
        <w:t xml:space="preserve">a) Examina en primer lugar el Abogado del Estado la distribución constitucional de competencias en relación con las distintas modalidades deportivas y las competiciones internacionales. Recuerda, a este respecto —como se subraya en la exposición de motivos de la Ley estatal 10/1990, de 15 de octubre del deporte— que sobre la materia deportiva “inciden varios títulos competenciales”; por ejemplo, y además del título específico relativo a la “promoción del deporte” (art. 148.1.19 CE), o del “deporte” como materia competencial propia de las Comunidades Autónomas según los distintos Estatutos de Autonomía, pueden entrar en juego los títulos competenciales referidos a “cultura” (art. 149.2 CE) , a “relaciones internacionales” (art. 149.1.3 CE), u otras materias como “educación”, “investigación”, “sanidad” o “legislación mercantil”. Teniendo en cuenta que el conflicto constitucional objeto del proceso se refiere a la configuración del deporte español en el ámbito internacional, suponiendo las competiciones internacionales una relevante manifestación cultural, la </w:t>
      </w:r>
      <w:r>
        <w:lastRenderedPageBreak/>
        <w:t>reivindicación competencial se asienta, en este caso, sobre los títulos competenciales relativos a “relaciones internacionales” y “cultura”.</w:t>
      </w:r>
    </w:p>
    <w:p w:rsidR="00D06117" w:rsidRDefault="00D06117" w:rsidP="00D06117">
      <w:pPr>
        <w:pStyle w:val="TextoNormal"/>
      </w:pPr>
    </w:p>
    <w:p w:rsidR="00D06117" w:rsidRDefault="00D06117" w:rsidP="00D06117">
      <w:pPr>
        <w:pStyle w:val="TextoNormal"/>
      </w:pPr>
      <w:r>
        <w:t>Según sostiene el Abogado del Estado, el hecho de que la Comunidad Autónoma de Cataluña ostente la competencia exclusiva en materia de “deporte” ex art. 9.29 del Estatuto de Autonomía de Cataluña (EAC) de 1979 no impide que el Estado pueda ejercer y desarrollar plenamente las competencias que, en virtud de otros títulos, corresponden al Estado y que inciden sobre la materia (cita, en este sentido las SSTC 118/1996, de 27 de junio y 61/1997, de 20 de marzo). Así, y en lo que interesa a este proceso, la competencia genérica que sobre cultura ostenta el Estado ex art. 149.2 CE tiene una evidente conexión con la actividad deportiva; conexión que se puso de manifiesto en la STC 16/1996, de 1 de febrero, en relación a la impugnación de determinadas partidas presupuestarias para financiar actividades deportivas. En esa Sentencias se advirtió que “no cabe desconocer que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 [FJ 2 C) t)]. El Abogado del Estado alude asimismo a la STC 109/1996, de 13 de junio, en la que se señalaba que “son muchas las materias competenciales específicamente contempladas en el bloque de constitucionalidad que tienen un contenido cultural, desde la enseñanza hasta los diversos medios de comunicación social, pasando por las bibliotecas, los espectáculos, el deporte o la artesanía”; estableciéndose como límite a la competencia genérica del Estado, la más específica que sobre la misma materia ostente la Comunidad Autónoma. En este caso, afirma el Abogado del Estado, “el límite se encontraría en la potestad legislativa, la potestad reglamentaria y la función ejecutiva del deporte en el territorio de Cataluña, en virtud de lo dispuesto en los arts. 9.2 y 25.1 y 2 del Estatuto de Cataluña. Por lo tanto, el ejercicio de la competencia sobre el deporte en el ámbito internacional por parte del Estado no se puede considerar una invasión o vulneración de la competencia autonómica”.</w:t>
      </w:r>
    </w:p>
    <w:p w:rsidR="00D06117" w:rsidRDefault="00D06117" w:rsidP="00D06117">
      <w:pPr>
        <w:pStyle w:val="TextoNormal"/>
      </w:pPr>
    </w:p>
    <w:p w:rsidR="00D06117" w:rsidRDefault="00D06117" w:rsidP="00D06117">
      <w:pPr>
        <w:pStyle w:val="TextoNormal"/>
      </w:pPr>
      <w:r>
        <w:t>Por lo que respecta al título competencial reservado al Estado en materia de relaciones internacionales (art. 149.1.3 CE), el Abogado del Estado resume la doctrina constitucional que impide interpretaciones expansivas de dicho precepto, por el mero hecho de que un asunto tenga una incidencia exterior, que podrían derivar en “una reordenación del propio orden constitucional de distribución de competencias entre el Estado y las Comunidades Autónomas” (STC 80/1993, de 8 de marzo, FJ 3). Y, en términos positivos, recuerda el Abogado del Estado, que el art.149.1.3 CE se refiere, según el Tribunal Constitucional, “a materias tan características del ordenamiento internacional como son las relativas a la celebración de tratados (ius contrahendi), y a la representación exterior del Estado (ius legationis), así como a la creación de obligaciones internacionales y a la responsabilidad internacional del Estado” (STC 165/1994, de 26 de mayo, FJ 5), incluyendo igualmente en este título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 (loc. cit., FJ 6).</w:t>
      </w:r>
    </w:p>
    <w:p w:rsidR="00D06117" w:rsidRDefault="00D06117" w:rsidP="00D06117">
      <w:pPr>
        <w:pStyle w:val="TextoNormal"/>
      </w:pPr>
    </w:p>
    <w:p w:rsidR="00D06117" w:rsidRDefault="00D06117" w:rsidP="00D06117">
      <w:pPr>
        <w:pStyle w:val="TextoNormal"/>
      </w:pPr>
      <w:r>
        <w:t xml:space="preserve">El Abogado del Estado invoca la STC 90/1992, de 11 de junio, FJ 5, que resuelve, en su opinión, un supuesto similar al que nos ocupa porque se reconoce la eficacia de un título </w:t>
      </w:r>
      <w:r>
        <w:lastRenderedPageBreak/>
        <w:t>competencial genérico, como es el previsto en el art. 149.1.15 CE, junto al relativo a las relaciones internacionales, para afirmar la constitucionalidad de la regulación estatal de la participación de sociedades científicas en determinadas uniones o comisiones científicas internacionales. Es decir, que no se trata de negar toda competencia a la Comunidad Autónoma de Cataluña en la materia, sino de reconocer que es al Estado a quien corresponde regular y coordinar las actividades con proyección externa de las Comunidades Autónomas “para evitar o remediar eventuales perjuicios sobre la dirección y la puesta en ejecución de la política exterior que, en exclusiva corresponde a las autoridades estatales” (STC 165/1994). En definitiva, argumenta el Abogado del Estado, “las federaciones deportivas catalanas podrán participar en el ámbito internacional representando al deporte catalán pero siempre cumpliendo los requisitos y a través de los cauces establecidos por el Estado”.</w:t>
      </w:r>
    </w:p>
    <w:p w:rsidR="00D06117" w:rsidRDefault="00D06117" w:rsidP="00D06117">
      <w:pPr>
        <w:pStyle w:val="TextoNormal"/>
      </w:pPr>
    </w:p>
    <w:p w:rsidR="00D06117" w:rsidRDefault="00D06117" w:rsidP="00D06117">
      <w:pPr>
        <w:pStyle w:val="TextoNormal"/>
      </w:pPr>
      <w:r>
        <w:t>Que la materia objeto del recurso tiene efectos en el ámbito de las relaciones internaciones es, según el Abogado del Estado, evidente pues “se trata de la representación del deporte estatal en las competiciones internacionales”. La autoatribución que la ley catalana hace con carácter exclusivo de la representación del deporte catalán a las federaciones autonómicas en las competiciones internacionales impide al Estado desempeñar su competencia de representación del deporte español que corresponde exclusivamente a las federaciones estatales o, en su caso, a las autonómicas en los términos y con las condiciones que el Estado establezca.</w:t>
      </w:r>
    </w:p>
    <w:p w:rsidR="00D06117" w:rsidRDefault="00D06117" w:rsidP="00D06117">
      <w:pPr>
        <w:pStyle w:val="TextoNormal"/>
      </w:pPr>
    </w:p>
    <w:p w:rsidR="00D06117" w:rsidRDefault="00D06117" w:rsidP="00D06117">
      <w:pPr>
        <w:pStyle w:val="TextoNormal"/>
      </w:pPr>
      <w:r>
        <w:t>Esto es así porque la participación del deporte español en las competiciones internacionales se lleva a cabo mediante federaciones u otros entes internacionales que regulan y organizan aquéllas, por lo que se asumen compromisos y responsabilidades con entes internacionales en materias como ordenación del deporte y sus competiciones, régimen disciplinario o resolución de conflictos por vía extrajurisdiccional. A mayor abundamiento, la participación del deporte de un Estado en competiciones internacionales forma parte de la política exterior en materia de cultura física o deporte. En este sentido se pronunció este Tribunal en su STC 1/1986, de 10 de enero, FJ 3, en la que, sin excluir la participación de federaciones autonómicas en competiciones internacionales, se subrayó la competencia del Estado para la regulación y administración de los intereses propios del deporte federado español en su conjunto.</w:t>
      </w:r>
    </w:p>
    <w:p w:rsidR="00D06117" w:rsidRDefault="00D06117" w:rsidP="00D06117">
      <w:pPr>
        <w:pStyle w:val="TextoNormal"/>
      </w:pPr>
    </w:p>
    <w:p w:rsidR="00D06117" w:rsidRDefault="00D06117" w:rsidP="00D06117">
      <w:pPr>
        <w:pStyle w:val="TextoNormal"/>
      </w:pPr>
      <w:r>
        <w:t>b) En segundo lugar, el Abogado del Estado, alude al desarrollo de la competencia estatal en materia de competiciones deportivas internacionales, tomando como punto de partida la Ley 10/1990, del deporte.</w:t>
      </w:r>
    </w:p>
    <w:p w:rsidR="00D06117" w:rsidRDefault="00D06117" w:rsidP="00D06117">
      <w:pPr>
        <w:pStyle w:val="TextoNormal"/>
      </w:pPr>
    </w:p>
    <w:p w:rsidR="00D06117" w:rsidRDefault="00D06117" w:rsidP="00D06117">
      <w:pPr>
        <w:pStyle w:val="TextoNormal"/>
      </w:pPr>
      <w:r>
        <w:t>Así, de acuerdo con lo establecido en el art. 8 i) de dicha ley, corresponde al Consejo Superior de Deportes “autorizar o denegar, previa conformidad del Ministerio de Asuntos Exteriores, la celebración en territorio español de competiciones deportivas oficiales de carácter internacional, así como la participación de las selecciones españolas en las competiciones internacionales”; precepto que constituye la ejecución de la competencia estatal para la dirección de la política exterior en materia deportiva, amparándose tanto en el art. 149.1.3 CE como en el art. 149.2 CE. A su vez el art. 8 p) confiere al citado consejo la competencia para “autorizar la inscripción de las Federaciones deportivas españolas en las correspondientes Federaciones deportivas de carácter internacional”. Se están ejercitando las mismas que en el caso anterior, adquiriendo mayor relevancia la competencia de relaciones interna</w:t>
      </w:r>
      <w:r>
        <w:lastRenderedPageBreak/>
        <w:t>cionales puesto que la integración en la federación internacional supone la asunción de determinadas obligaciones y compromisos, la participación en la elaboración de las normas técnicas que van a regir la actividad deportiva internacional, así como su régimen disciplinario. El Abogado del Estado trae a colación la STC 168/1993, en materia de telecomunicaciones, respecto de las facultades de determinados Ministerios de participar en las organizaciones internacionales de telecomunicaciones.</w:t>
      </w:r>
    </w:p>
    <w:p w:rsidR="00D06117" w:rsidRDefault="00D06117" w:rsidP="00D06117">
      <w:pPr>
        <w:pStyle w:val="TextoNormal"/>
      </w:pPr>
    </w:p>
    <w:p w:rsidR="00D06117" w:rsidRDefault="00D06117" w:rsidP="00D06117">
      <w:pPr>
        <w:pStyle w:val="TextoNormal"/>
      </w:pPr>
      <w:r>
        <w:t>Siguiendo con el análisis de la Ley 10/90, subraya el Abogado del Estado que el art. 32 exige que las federaciones deportivas de ámbito autonómico se integren en las federaciones deportivas españolas correspondientes “para la participación de sus miembros en actividades o competiciones deportivas oficiales de ámbito estatal o internacional”. Éste es, sin duda, el precepto que más claramente configura la relación entre las federaciones autonómicas y las estatales y los requisitos que debe cumplir un deportista para participar en competiciones internacionales. Este régimen no excluye, sin embargo, la posibilidad de que una federación autonómica —o un deportista— participen en una competición internacional pero para ello deberán contar con la autorización del Consejo Superior de Deportes o con la correspondiente licencia de la federación española correspondiente. Para el Abogado del Estado, en este precepto se materializan las competencias en materia de coordinación con la actuación deportiva de las Comunidades Autónomas que corresponde al Estado en los términos de la STC 165/1994, de 26 de mayo, a través del mecanismo de la integración en las federaciones españolas.</w:t>
      </w:r>
    </w:p>
    <w:p w:rsidR="00D06117" w:rsidRDefault="00D06117" w:rsidP="00D06117">
      <w:pPr>
        <w:pStyle w:val="TextoNormal"/>
      </w:pPr>
    </w:p>
    <w:p w:rsidR="00D06117" w:rsidRDefault="00D06117" w:rsidP="00D06117">
      <w:pPr>
        <w:pStyle w:val="TextoNormal"/>
      </w:pPr>
      <w:r>
        <w:t>El régimen de representación del deporte español en las competiciones internacionales se cierra con los arts. 33.2 y 47 de la Ley 10/1990, en tanto que prevén, respectivamente, que las federaciones deportivas españolas ostentarán la representación de España en las actividades y competiciones deportivas de carácter internacional —correspondiendo a cada federación la elección de los deportistas que han de integrar las selecciones nacionales— y que los deportistas federados están obligados a asistir a las convocatorias de las selecciones deportivas nacionales para la participación en competiciones internacionales. Se configura, así, la exclusividad de la representación del deporte español, que debe ser única, puesto que no podría hablarse de la participación del deporte español en su conjunto si en una misma competición internacional compitiesen en el mismo plano la supuesta representación estatal y la de una parte del territorio.</w:t>
      </w:r>
    </w:p>
    <w:p w:rsidR="00D06117" w:rsidRDefault="00D06117" w:rsidP="00D06117">
      <w:pPr>
        <w:pStyle w:val="TextoNormal"/>
      </w:pPr>
    </w:p>
    <w:p w:rsidR="00D06117" w:rsidRDefault="00D06117" w:rsidP="00D06117">
      <w:pPr>
        <w:pStyle w:val="TextoNormal"/>
      </w:pPr>
      <w:r>
        <w:t>Finalmente, invoca el Abogado del Estado el Real Decreto 2075/1982, de 9 de julio, vigente en aquello que no se oponga a la Ley 10/1990 y que fue objeto de la ya citada STC 1/1986. También este reglamento incide sobre la necesidad de que las federaciones autonómicas cuenten con autorización estatal para la participación en una competición internacional de carácter no oficial.</w:t>
      </w:r>
    </w:p>
    <w:p w:rsidR="00D06117" w:rsidRDefault="00D06117" w:rsidP="00D06117">
      <w:pPr>
        <w:pStyle w:val="TextoNormal"/>
      </w:pPr>
    </w:p>
    <w:p w:rsidR="00D06117" w:rsidRDefault="00D06117" w:rsidP="00D06117">
      <w:pPr>
        <w:pStyle w:val="TextoNormal"/>
      </w:pPr>
      <w:r>
        <w:t xml:space="preserve">El Abogado del Estado concluye este apartado remarcando tres consideraciones: a) que la regulación examinada se refiere a actividades o competiciones oficiales de carácter internacional, de modo que cabe la posibilidad de que el deporte federado a nivel autonómico actúe en el deporte internacional no oficial; b) que, a tenor de lo dispuesto en el art. 8 i) de la Ley 10/1990, cabe la posibilidad de que las selecciones autonómicas intervengan en competiciones internacionales, siempre que cuenten con la autorización del Consejo Superior de Deportes o, excepcionalmente, cuando no exista federación deportiva española en una determinada modalidad deportiva, pues en los términos de “selecciones españolas” también </w:t>
      </w:r>
      <w:r>
        <w:lastRenderedPageBreak/>
        <w:t>se incluyen las selecciones autonómicas, y c) que el sistema de representación del deporte se organiza escalonadamente, de modo que la federación autonómica representa el deporte de este ámbito en la española y ésta, al integrarse en la internacional, cumple idéntica función. Y concluye que “esta forma de regulación es plenamente constitucional por responder al legítimo ejercicio de la competencia estatal establecido en el bloque de la constitucionalidad antes descrito”.</w:t>
      </w:r>
    </w:p>
    <w:p w:rsidR="00D06117" w:rsidRDefault="00D06117" w:rsidP="00D06117">
      <w:pPr>
        <w:pStyle w:val="TextoNormal"/>
      </w:pPr>
    </w:p>
    <w:p w:rsidR="00D06117" w:rsidRDefault="00D06117" w:rsidP="00D06117">
      <w:pPr>
        <w:pStyle w:val="TextoNormal"/>
      </w:pPr>
      <w:r>
        <w:t>c) Entrando ya en el análisis del precepto legal impugnado, señala el Abogado del Estado, que su regulación resulta incompatible con el régimen regulador de la representación del deporte estatal o español en el ámbito internacional y por ello es inconstitucional al invadir las competencias estatales reflejadas en esa regulación y al extralimitarse territorialmente en el ejercicio de su competencia exclusiva en materia de deporte.</w:t>
      </w:r>
    </w:p>
    <w:p w:rsidR="00D06117" w:rsidRDefault="00D06117" w:rsidP="00D06117">
      <w:pPr>
        <w:pStyle w:val="TextoNormal"/>
      </w:pPr>
    </w:p>
    <w:p w:rsidR="00D06117" w:rsidRDefault="00D06117" w:rsidP="00D06117">
      <w:pPr>
        <w:pStyle w:val="TextoNormal"/>
      </w:pPr>
      <w:r>
        <w:t>Al entender del Abogado del Estado la única interpretación posible del art. 19.2. primer párrafo de la Ley 8/1988 catalana del deporte es que “las federaciones catalanas ostentan en exclusiva la representación del deporte catalán en el ámbito estatal e internacional”; interpretación que se ve corroborada pro la propia exposición de motivos y por la redacción anterior del precepto antes de su modificación por la Ley 9/1999, que preveía y regulaba la integración de las federaciones catalanas en las españolas y la posibilidad de que aquéllas interviniesen en competiciones internacionales. Esa atribución de la exclusividad en la representación internacional hace imposible que las federaciones españolas cumplan con la más importante de las funciones que tienen asignadas en la esfera internacional: la representación del deporte español en su conjunto.</w:t>
      </w:r>
    </w:p>
    <w:p w:rsidR="00D06117" w:rsidRDefault="00D06117" w:rsidP="00D06117">
      <w:pPr>
        <w:pStyle w:val="TextoNormal"/>
      </w:pPr>
    </w:p>
    <w:p w:rsidR="00D06117" w:rsidRDefault="00D06117" w:rsidP="00D06117">
      <w:pPr>
        <w:pStyle w:val="TextoNormal"/>
      </w:pPr>
      <w:r>
        <w:t>Afirma el Abogado del Estado que la atribución de esa representatividad con olvido del régimen de representación del deporte español en su conjunto, vulnera la organización territorial del Estado prevista en el bloque de la constitucionalidad, que parte del principio de que las competencias autonómicas se entienden referidas al ámbito territorial de la Comunidad Autónoma correspondiente (art. 25.1 EAC), y supone que en las competiciones y actividades deportivas internacionales puedan enfrentarse el deporte español y el deporte catalán. Por lo tanto, a su juicio, el precepto legal impugnado es inconstitucional por dos motivos complementarios: porque extiende una competencia autonómica al ámbito internacional, desconociendo el límite territorial implícito en la misma y, además, porque vulnera e impide el ejercicio de la competencia, necesariamente estatal, de representación del deporte federado español en su conjunto en el ámbito internacional.</w:t>
      </w:r>
    </w:p>
    <w:p w:rsidR="00D06117" w:rsidRDefault="00D06117" w:rsidP="00D06117">
      <w:pPr>
        <w:pStyle w:val="TextoNormal"/>
      </w:pPr>
    </w:p>
    <w:p w:rsidR="00D06117" w:rsidRDefault="00D06117" w:rsidP="00D06117">
      <w:pPr>
        <w:pStyle w:val="TextoNormal"/>
      </w:pPr>
      <w:r>
        <w:t>Con respecto al primer motivo, considera el Abogado del Estado que debe tenerse en cuenta que la competencia del art. 9.29 EAC se refiere a la regulación legal, desarrollo y ejecución del deporte en Cataluña, pero no legitima a la Comunidad Autónoma para regular materias que puedan incidir en el deporte estatal en su conjunto o en el deporte internacional. La atribución a sus federaciones de esa representación en exclusiva del deporte autonómico en el ámbito internacional supone trasvasar este límite territorial y convertir a la entidad federativa en un sujeto deportivo internacional cuyas decisiones habrá de producir efectos fuera del territorio de la Comunidad, e incluso del Estado.</w:t>
      </w:r>
    </w:p>
    <w:p w:rsidR="00D06117" w:rsidRDefault="00D06117" w:rsidP="00D06117">
      <w:pPr>
        <w:pStyle w:val="TextoNormal"/>
      </w:pPr>
    </w:p>
    <w:p w:rsidR="00D06117" w:rsidRDefault="00D06117" w:rsidP="00D06117">
      <w:pPr>
        <w:pStyle w:val="TextoNormal"/>
      </w:pPr>
      <w:r>
        <w:t xml:space="preserve">Por lo que se refiere a la segunda reflexión, aduce que el sistema de representación “en cascada”, único posible y previsto por el Estado para el ejercicio de sus competencias, queda </w:t>
      </w:r>
      <w:r>
        <w:lastRenderedPageBreak/>
        <w:t>privado de sentido al pasar de la representación autonómica directamente a la esfera internacional. La previsión normativa impugnada impide que el Estado pueda ejercer su evidente y manifiesta competencia de representar internacionalmente el deporte español en su conjunto —sin perjuicio de las excepciones, ya mencionadas, que puedan suscitarse, bien porque se trate de un deporte en el que no exista federación española, bien porque la competición no tenga carácter oficial o bien porque el Consejo Superior de Deportes, en otros casos, permita la intervención directa de las federaciones autonómicas en el ámbito internacional—.</w:t>
      </w:r>
    </w:p>
    <w:p w:rsidR="00D06117" w:rsidRDefault="00D06117" w:rsidP="00D06117">
      <w:pPr>
        <w:pStyle w:val="TextoNormal"/>
      </w:pPr>
    </w:p>
    <w:p w:rsidR="00D06117" w:rsidRDefault="00D06117" w:rsidP="00D06117">
      <w:pPr>
        <w:pStyle w:val="TextoNormal"/>
      </w:pPr>
      <w:r>
        <w:t>La conclusión de todo lo afirmado es que el precepto resulta inconstitucional porque en el ámbito internacional las federaciones deportivas catalanas nunca pueden tener la representación en exclusiva del deporte catalán sin la intervención del Consejo Superior de Deportes, con independencia de que se integre o no en la federación española. Si la federación deportiva catalana se integra en la española, los deportistas catalanes que participen serán, al mismo tiempo, miembros de ambas federaciones y el deporte catalán que representen será también español en cuanto que forma parte de éste. Si la federación deportiva de Cataluña decide no integrarse en la española, tampoco podrá ostentar la representación en el ámbito internacional porque no podría participar en él y si lo hiciera vulneraría la competencia exclusiva del Estado para representar al deporte español en su conjunto.</w:t>
      </w:r>
    </w:p>
    <w:p w:rsidR="00D06117" w:rsidRDefault="00D06117" w:rsidP="00D06117">
      <w:pPr>
        <w:pStyle w:val="TextoNormal"/>
      </w:pPr>
    </w:p>
    <w:p w:rsidR="00D06117" w:rsidRDefault="00D06117" w:rsidP="00D06117">
      <w:pPr>
        <w:pStyle w:val="TextoNormal"/>
      </w:pPr>
      <w:r>
        <w:t>Mediante otrosí interesa el Abogado del Estado la acumulación del presente recurso de inconstitucionalidad al tramitado con el núm. 4033-1998, referido a la representación internacional del deporte vasco a través de sus federaciones deportivas, dada la conexión objetiva existente entre ambos.</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30 de noviembre de 1999 la Sección Cuarta de este Tribunal acordó admitir a trámite el presente recurso de inconstitucionalidad, así como dar traslado de la demanda y documentos presentados, de conformidad con el art. 34 de la Ley Orgánica del Tribunal Constitucional (LOTC), al Congreso de los Diputados y al Senado, así como al Parlamento y al Gobierno de la Generalitat de Cataluña, por conducto de sus Presidentes, al objeto de que en el plazo de quince días pudiesen personarse en el proceso y formular las alegaciones que estimaran convenientes; tener por invocado por el Presidente del Gobierno el artículo 161.2 de la Constitución, lo que produce la suspensión de la vigencia y aplicación del precepto impugnado, desde la fecha de interposición del recurso para las partes y desde la publicación oficial para terceros. Por otro lado, se acordó oír a las partes antes indicadas, así como a los representantes procesales del Gobierno y del Parlamento catalanes, acerca de la procedencia de la acumulación solicitada por el Abogado del Estado. Finalmente, se acordó publicar la incoación del recurso en los “Boletines Oficiales del Estado” y en el “Diario Oficial de la Generalidad de Cataluña”.</w:t>
      </w:r>
    </w:p>
    <w:p w:rsidR="00D06117" w:rsidRDefault="00D06117" w:rsidP="00D06117">
      <w:pPr>
        <w:pStyle w:val="TextoNormal"/>
      </w:pPr>
    </w:p>
    <w:p w:rsidR="00D06117" w:rsidRDefault="00D06117" w:rsidP="00D06117">
      <w:pPr>
        <w:pStyle w:val="TextoNormal"/>
      </w:pPr>
      <w:r>
        <w:t>Esta providencia se publicó en el “Boletín Oficial del Estado” núm. 302, de 18 de diciembre de 1999, y en el “Diario Oficial de la Generalidad de Cataluña” núm. 3040, de 22 de diciembre de 1999.</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registrado en este Tribunal Constitucional el 17 de diciembre de 1999, el Presidente del Congreso de los Diputados comunicó que la Mesa de la Cámara había acordado no personarse ni formular alegaciones en el presente proceso constitucional.</w:t>
      </w:r>
    </w:p>
    <w:p w:rsidR="00D06117" w:rsidRDefault="00D06117" w:rsidP="00D06117">
      <w:pPr>
        <w:pStyle w:val="TextoNormal"/>
      </w:pPr>
    </w:p>
    <w:p w:rsidR="00D06117" w:rsidRDefault="00D06117" w:rsidP="00D06117">
      <w:pPr>
        <w:pStyle w:val="TextoNormal"/>
      </w:pPr>
      <w:r>
        <w:lastRenderedPageBreak/>
        <w:t>A su vez, la Presidenta del Senado interesó el día 21 de diciembre de 1999 que se tuviera por personada a dicha Cámara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4</w:t>
      </w:r>
      <w:r>
        <w:t>. El Letrado del Parlamento Vasco, por escrito de 22 de diciembre de 1999, comunicó que no se oponía a la acumulación del presente recurso de inconstitucionalidad al núm. 4033-1998.</w:t>
      </w:r>
    </w:p>
    <w:p w:rsidR="00D06117" w:rsidRDefault="00D06117" w:rsidP="00D06117">
      <w:pPr>
        <w:pStyle w:val="TextoNormal"/>
      </w:pPr>
    </w:p>
    <w:p w:rsidR="00D06117" w:rsidRDefault="00D06117" w:rsidP="00D06117">
      <w:pPr>
        <w:pStyle w:val="TextoNormal"/>
      </w:pPr>
      <w:r>
        <w:t>Por su parte, el Letrado de la Comunidad Autónoma del País Vasco presentó su escrito de alegaciones el 24 de diciembre de 1999, oponiéndose a dicha acumulación puesto que, aun apreciando prima facie una conexión entre los objetos de ambos procesos constitucionales, existen diferencias en los textos de las normas impugnadas que podrían conducir a planteamientos jurídicos distintos y, por ello, a debates diversos. Si así fuera, la apariencia inicial de conexión podría desvanecerse.</w:t>
      </w:r>
    </w:p>
    <w:p w:rsidR="00D06117" w:rsidRDefault="00D06117" w:rsidP="00D06117">
      <w:pPr>
        <w:pStyle w:val="TextoNormal"/>
      </w:pPr>
    </w:p>
    <w:p w:rsidR="00D06117" w:rsidRDefault="00D06117" w:rsidP="00D06117">
      <w:pPr>
        <w:pStyle w:val="TextoNormal"/>
      </w:pPr>
      <w:r w:rsidRPr="00D06117">
        <w:rPr>
          <w:rStyle w:val="NumeroAFNegritaCaracter"/>
        </w:rPr>
        <w:t>5</w:t>
      </w:r>
      <w:r>
        <w:t>. Con fecha 29 de diciembre de 1999 ingresó en el Registro General de este Tribunal Constitucional el escrito de alegaciones del Letrado del Parlamento de Cataluña, quien solicita la desestimación del presente recurso de inconstitucionalidad.</w:t>
      </w:r>
    </w:p>
    <w:p w:rsidR="00D06117" w:rsidRDefault="00D06117" w:rsidP="00D06117">
      <w:pPr>
        <w:pStyle w:val="TextoNormal"/>
      </w:pPr>
    </w:p>
    <w:p w:rsidR="00D06117" w:rsidRDefault="00D06117" w:rsidP="00D06117">
      <w:pPr>
        <w:pStyle w:val="TextoNormal"/>
      </w:pPr>
      <w:r>
        <w:t>Antes de exponer las razones en las que se funda esta pretensión, apunta el Letrado parlamentario que resulta paradójico que el recurso se apoye principalmente en la Ley 10/1990, del deporte, cuando esa ley estatal no es ni ley orgánica ni ley de bases y, por lo tanto, no puede ser considerada parámetro de constitucionalidad. A ello se añade que el precepto legal impugnado en ningún caso pretende excluir la competencia estatal para configurar la representación del deporte del conjunto del Estado, pues precisamente el hecho de no otorgar en exclusiva a las federaciones deportivas catalanas la representación exterior del deporte federado catalán la hace compatible con la dimensión exterior del deporte estatal en su conjunto.</w:t>
      </w:r>
    </w:p>
    <w:p w:rsidR="00D06117" w:rsidRDefault="00D06117" w:rsidP="00D06117">
      <w:pPr>
        <w:pStyle w:val="TextoNormal"/>
      </w:pPr>
    </w:p>
    <w:p w:rsidR="00D06117" w:rsidRDefault="00D06117" w:rsidP="00D06117">
      <w:pPr>
        <w:pStyle w:val="TextoNormal"/>
      </w:pPr>
      <w:r>
        <w:t xml:space="preserve">a) El Letrado parlamentario examina, a continuación, el alcance de la competencia estatal sobre relaciones exteriores (art. 149.1.3 CE) subrayando que “de acuerdo con la significativa jurisprudencia constitucional ... una comunidad autónoma está, en primer lugar, facultada para llevar a cabo más allá de las fronteras del Estado cualquier actividad sobre materias que son de su competencia, siempre y cuando no pretenda deducir de ello un estatuto jurídico internacional, ni entrar en pactos internacionalmente exigibles, esto es, compromisos de cuyo incumplimiento se derive una responsabilidad regida por el Derecho internacional público”. Así se deduce de las SSTC 153/1989, de 5 de octubre, FJ 8 —que niega que pueda admitirse que “cualquier relación, por lejana que sea, con temas en los que estén involucrados otros países o ciudadanos extranjeros, implique por sí sólo o necesariamente que la competencia resulte atribuida a la regla ‘relaciones internacionales’”—; 17/1991, de 31 de enero, FJ 6 —que niega la posibilidad de “extender un título esencialmente político y propio de las relaciones entre Estados a un aspecto tan singular” como la difusión o intercambio cultural del patrimonio histórico artístico de las Comunidades Autónomas—; y, finalmente, STC 165/1994, de 26 de mayo, que reconoce que la proyección exterior de las Comunidades Autónomas comporta la posibilidad de que realicen actividades de relevancia internacional (FJ 3). En esta última Sentencia citada también se acota de forma concreta y </w:t>
      </w:r>
      <w:r>
        <w:lastRenderedPageBreak/>
        <w:t>exhaustiva el alcance de la competencia estatal ex art. 149.1.3 CE —tomando como parámetro fundamental el Derecho internacional (FJ 5) e incluyendo la competencia estatal para coordinar las actividades autonómicas en el exterior (FJ 8)—.</w:t>
      </w:r>
    </w:p>
    <w:p w:rsidR="00D06117" w:rsidRDefault="00D06117" w:rsidP="00D06117">
      <w:pPr>
        <w:pStyle w:val="TextoNormal"/>
      </w:pPr>
    </w:p>
    <w:p w:rsidR="00D06117" w:rsidRDefault="00D06117" w:rsidP="00D06117">
      <w:pPr>
        <w:pStyle w:val="TextoNormal"/>
      </w:pPr>
      <w:r>
        <w:t>Según sostiene el Letrado del Parlamento de Cataluña, conforme a esa doctrina, la competencia estatal ofrece un doble contenido. Por un lado, se vincula con la facultad estatal para celebrar tratados internacionales (ius contrahendi), con la representación exterior del Estado (ius legationis) y con la constitución de obligaciones y asunción de responsabilidad en la esfera internacional del Estado. Por otro, el Tribunal Constitucional establece que en el caso de que la proyección exterior de las competencias autonómicas pudiera perturbar o comprometer la política exterior de España, el Estado podrá establecer medidas que regulen o coordinen las actividades con proyección externa de aquéllas.</w:t>
      </w:r>
    </w:p>
    <w:p w:rsidR="00D06117" w:rsidRDefault="00D06117" w:rsidP="00D06117">
      <w:pPr>
        <w:pStyle w:val="TextoNormal"/>
      </w:pPr>
    </w:p>
    <w:p w:rsidR="00D06117" w:rsidRDefault="00D06117" w:rsidP="00D06117">
      <w:pPr>
        <w:pStyle w:val="TextoNormal"/>
      </w:pPr>
      <w:r>
        <w:t>Por ello considera que la proyección exterior del deporte federado catalán a través de las federaciones deportivas no invade este ámbito competencial estatal si se atiende a la naturaleza jurídica de las federaciones y al hecho de que las facultades estatales de ordenación y coordinación han de ser ejercidas de forma puntual y justificadamente, ya que en ningún caso sería admisible una presunción genérica y a priori del incumplimiento de la política exterior española por una federación deportiva catalana.</w:t>
      </w:r>
    </w:p>
    <w:p w:rsidR="00D06117" w:rsidRDefault="00D06117" w:rsidP="00D06117">
      <w:pPr>
        <w:pStyle w:val="TextoNormal"/>
      </w:pPr>
    </w:p>
    <w:p w:rsidR="00D06117" w:rsidRDefault="00D06117" w:rsidP="00D06117">
      <w:pPr>
        <w:pStyle w:val="TextoNormal"/>
      </w:pPr>
      <w:r>
        <w:t>El Letrado del Parlamento de Cataluña destaca que las federaciones deportivas son asociaciones de segundo grado, de configuración legal y de naturaleza privada —tal como se reconoció en la STC 67/1985, de 24 de mayo (FJ 4)— que, en ocasiones, pueden ejercer funciones públicas. La Constitución, alega, no impone ningún modelo determinado de organización deportiva, y sería totalmente legítimo y constitucional un sistema organizativo en el cual la intervención de los poderes públicos fuera inexistente o mínima. Subraya, en este sentido, que las federaciones deportivas, por su naturaleza privada, no pueden ser sujetos de Derecho internacional, como tampoco pueden serlo las federaciones internacionales, que jurídicamente han de ser consideradas organizaciones no gubernamentales que se rigen por el Derecho del país en el que se hallan domiciliadas y por sus propios estatutos internos. Por ello mismo, en las competiciones internacionales no se enfrentan los Estados ni los gobiernos autonómicos sino las federaciones deportivas, que no ostentan ninguna representación oficial del Estado o de la Comunidad Autónoma. Para el Letrado parlamentario “repugna pensar que la actividad deportiva internacional sea un ejercicio de la soberanía nacional, a no ser que concibamos el deporte como una guerra entre países, a modo de ius belli”.</w:t>
      </w:r>
    </w:p>
    <w:p w:rsidR="00D06117" w:rsidRDefault="00D06117" w:rsidP="00D06117">
      <w:pPr>
        <w:pStyle w:val="TextoNormal"/>
      </w:pPr>
    </w:p>
    <w:p w:rsidR="00D06117" w:rsidRDefault="00D06117" w:rsidP="00D06117">
      <w:pPr>
        <w:pStyle w:val="TextoNormal"/>
      </w:pPr>
      <w:r>
        <w:t>Atendidos estos extremos, rechaza la invocación que el Abogado del Estado hace de las SSTC 90/1992 y 168/1992. Con respecto a la primera porque, de acuerdo con la trascendencia que tiene para el caso la naturaleza jurídica de las federaciones, sorprende que se quiera traer a colación un supuesto en el que se contempla la participación de determinadas sociedades científicas en “Organizaciones e Instituciones internacionales resultantes de Tratados o Convenios de los que sea parte el Estado español”; es decir, regidas, por tanto, por el derecho internacional general, además del dimanante de su Tratado constitutivo. Por lo que hace a la segunda, porque, además de que se trataba, asimismo, de organizaciones internacionales de telecomunicaciones, entraban en juego dos títulos específicos, como son los de relaciones internacionales (art. 149.1.3 CE) y telecomunicaciones (art. 149.1.21 CE).</w:t>
      </w:r>
    </w:p>
    <w:p w:rsidR="00D06117" w:rsidRDefault="00D06117" w:rsidP="00D06117">
      <w:pPr>
        <w:pStyle w:val="TextoNormal"/>
      </w:pPr>
    </w:p>
    <w:p w:rsidR="00D06117" w:rsidRDefault="00D06117" w:rsidP="00D06117">
      <w:pPr>
        <w:pStyle w:val="TextoNormal"/>
      </w:pPr>
      <w:r>
        <w:lastRenderedPageBreak/>
        <w:t>Sobre el contenido de la facultad estatal para regular y coordinar las actividades con proyección exterior de las Comunidades Autónomas, señala el Letrado parlamentario que estamos ante una garantía preventiva con la que se pretende evitar que las Comunidades Autónomas, en el ejercicio de la proyección internacional de sus competencias, puedan perturbar o comprometer la dirección de la política exterior de España. Esta posibilidad de intervención estatal presupone la existencia de un riesgo de perturbación real de su competencia en materia de relaciones internacionales, por lo que no será aceptable una presunción genérica de afección a dicha política por las actividades autonómicas con proyección internacional.</w:t>
      </w:r>
    </w:p>
    <w:p w:rsidR="00D06117" w:rsidRDefault="00D06117" w:rsidP="00D06117">
      <w:pPr>
        <w:pStyle w:val="TextoNormal"/>
      </w:pPr>
    </w:p>
    <w:p w:rsidR="00D06117" w:rsidRDefault="00D06117" w:rsidP="00D06117">
      <w:pPr>
        <w:pStyle w:val="TextoNormal"/>
      </w:pPr>
      <w:r>
        <w:t>Por lo tanto, toda actuación estatal debe estar justificada en la existencia de un riesgo real y sobrevenido y debe ser proporcional al mismo y a la finalidad de conjurarlo. Ciertamente, señala el Letrado parlamentario, la incidencia de la política exterior del Estado en el deporte es algo que se puede dar puntualmente y en casos determinados, como por ejemplo, la necesaria actuación, en su día, del Ministerio de Asuntos Exteriores para asegurar la aplicación de la Declaración internacional contra el apartheid en los deportes. Pero considerar que cualquier participación de deportistas españoles en una competición internacional forma parte del ejercicio de la política exterior del Estado supondría entender el deporte como una actividad rigurosamente afecta al poder político, al que serviría como medio de propaganda internacional, para mostrar el desarrollo de su población; concepción propia, según el Letrado del Parlamento de Cataluña, de los Estados sometidos a un régimen totalitario.</w:t>
      </w:r>
    </w:p>
    <w:p w:rsidR="00D06117" w:rsidRDefault="00D06117" w:rsidP="00D06117">
      <w:pPr>
        <w:pStyle w:val="TextoNormal"/>
      </w:pPr>
    </w:p>
    <w:p w:rsidR="00D06117" w:rsidRDefault="00D06117" w:rsidP="00D06117">
      <w:pPr>
        <w:pStyle w:val="TextoNormal"/>
      </w:pPr>
      <w:r>
        <w:t>En relación con el argumento complementario del Abogado del Estado relativo a la extralimitación territorial del ejercicio de la competencia autonómica, subraya que el deporte es una competencia autonómica cuya efectividad precisa de una proyección exterior; dimensión exterior que ha sido avalada por la doctrina de este Tribunal.</w:t>
      </w:r>
    </w:p>
    <w:p w:rsidR="00D06117" w:rsidRDefault="00D06117" w:rsidP="00D06117">
      <w:pPr>
        <w:pStyle w:val="TextoNormal"/>
      </w:pPr>
    </w:p>
    <w:p w:rsidR="00D06117" w:rsidRDefault="00D06117" w:rsidP="00D06117">
      <w:pPr>
        <w:pStyle w:val="TextoNormal"/>
      </w:pPr>
      <w:r>
        <w:t>b) A continuación el Letrado del Parlamento de Cataluña centra sus alegaciones en el alcance de la competencia estatal sobre cultura ex art. 149.2 CE, subrayando el carácter concurrente de esta competencia ya que el constituyente sólo reservó al Estado la competencia exclusiva para la protección del patrimonio cultural contra la exportación y la expoliación (art. 149.1.28 CE). Esta concurrencia ilustra claramente la pluralidad cultural del país.</w:t>
      </w:r>
    </w:p>
    <w:p w:rsidR="00D06117" w:rsidRDefault="00D06117" w:rsidP="00D06117">
      <w:pPr>
        <w:pStyle w:val="TextoNormal"/>
      </w:pPr>
    </w:p>
    <w:p w:rsidR="00D06117" w:rsidRDefault="00D06117" w:rsidP="00D06117">
      <w:pPr>
        <w:pStyle w:val="TextoNormal"/>
      </w:pPr>
      <w:r>
        <w:t>Abundando en esta línea se reproduce parcialmente la STC 49/1984, de 5 de abril, FJ 6, de la que se extrae que la intervención principal, la ordenación de la propia cultura, la debe tener la propia Comunidad Autónoma, como algo inherente a la misma, desempeñando el Estado un papel secundario y “complementador”. Se destaca asimismo que el Tribunal Constitucional ha mantenido una doctrina unánime tendente a la limitación de la potencialidad expansiva del título estatal genérico con la consiguiente protección de los títulos autonómicos específicos, tal como se desprende, por ejemplo, de la STC 106/1996 de 13 de junio, FJ 4. Así, según la mencionada Sentencia, “la competencia sobre cultura no es, pues, un título que le permita al Estado realizar indistintamente las mismas actividades normativas y de ejecución que tienen atribuidas las Comunidades Autónomas en las muy variadas competencias que tienen ese contenido cultural.”</w:t>
      </w:r>
    </w:p>
    <w:p w:rsidR="00D06117" w:rsidRDefault="00D06117" w:rsidP="00D06117">
      <w:pPr>
        <w:pStyle w:val="TextoNormal"/>
      </w:pPr>
    </w:p>
    <w:p w:rsidR="00D06117" w:rsidRDefault="00D06117" w:rsidP="00D06117">
      <w:pPr>
        <w:pStyle w:val="TextoNormal"/>
      </w:pPr>
      <w:r>
        <w:lastRenderedPageBreak/>
        <w:t>c) Por último, el Letrado parlamentario defiende la compatibilidad del precepto impugnado con la representación en el ámbito internacional que Ley 10/1990, del deporte, reconoce a las federaciones de ámbito estatal. Sostiene, así, que de la literalidad del precepto impugnado no se deduce el monopolio representativo argüido por el representante del Estado, pues no se incluye ningún adjetivo que pueda llevar a esa conclusión. La regulación jurídica introducida no hace sino atender y reflejar en sí misma la heterogeneidad con la que el deporte federado catalán se encontrará para canalizar su proyección exterior. Así, mientras determinados organismos deportivos de ámbito internacional preceptúan que sus miembros han de ser representantes del deporte estatal en su conjunto, otros acogen en sus estatutos la posibilidad de admitir entre sus miembros a representantes del deporte federado de una nación, una colonia, un protectorado, etc. Como ejemplo de esto se citan los estatutos de la FIFA, integrada por federaciones deportivas nacionales, entre las que figuran las cuatro asociaciones británicas. Si se atribuyese en exclusiva al Estado la representación del deporte federado catalán sería tanto como negar a éste la posibilidad de una legítima y constitucional proyección exterior, acogida por un buen número de federaciones deportivas internacionales. A mayor abundamiento, la compatibilidad de ambas representaciones viene avalada por su distinto alcance, pues la regulada por la Ley 9/1999 sólo se refiere al deporte federado catalán y la recogida en la Ley 10/1990 atiende al deporte estatal en su conjunto.</w:t>
      </w:r>
    </w:p>
    <w:p w:rsidR="00D06117" w:rsidRDefault="00D06117" w:rsidP="00D06117">
      <w:pPr>
        <w:pStyle w:val="TextoNormal"/>
      </w:pPr>
    </w:p>
    <w:p w:rsidR="00D06117" w:rsidRDefault="00D06117" w:rsidP="00D06117">
      <w:pPr>
        <w:pStyle w:val="TextoNormal"/>
      </w:pPr>
      <w:r>
        <w:t>d) Finalmente, con respecto a la petición de acumulación deducida por el Abogado del Estado, el Letrado del Parlamento de Cataluña se opone porque no se da una identidad normativa entre las dos disposiciones impugnadas, habida cuenta, en especial, que la Ley del Parlamento de Cataluña no atribuye a las federaciones catalanas la representatividad exclusiva del deporte catalán en el ámbito internacional.</w:t>
      </w:r>
    </w:p>
    <w:p w:rsidR="00D06117" w:rsidRDefault="00D06117" w:rsidP="00D06117">
      <w:pPr>
        <w:pStyle w:val="TextoNormal"/>
      </w:pPr>
    </w:p>
    <w:p w:rsidR="00D06117" w:rsidRDefault="00D06117" w:rsidP="00D06117">
      <w:pPr>
        <w:pStyle w:val="TextoNormal"/>
      </w:pPr>
      <w:r w:rsidRPr="00D06117">
        <w:rPr>
          <w:rStyle w:val="NumeroAFNegritaCaracter"/>
        </w:rPr>
        <w:t>6</w:t>
      </w:r>
      <w:r>
        <w:t>. El escrito de alegaciones del Abogado de la Generalitat de Cataluña tuvo entrada en el Registro General de este Tribunal Constitucional el 3 de enero de 2000. En él se postula la desestimación del recurso de inconstitucionalidad por las razones que seguidamente se exponen de manera resumida.</w:t>
      </w:r>
    </w:p>
    <w:p w:rsidR="00D06117" w:rsidRDefault="00D06117" w:rsidP="00D06117">
      <w:pPr>
        <w:pStyle w:val="TextoNormal"/>
      </w:pPr>
    </w:p>
    <w:p w:rsidR="00D06117" w:rsidRDefault="00D06117" w:rsidP="00D06117">
      <w:pPr>
        <w:pStyle w:val="TextoNormal"/>
      </w:pPr>
      <w:r>
        <w:t>a) El Abogado de la Generalidad de Cataluña realiza unas primeras consideraciones iniciales acerca de la solicitada acumulación de este recurso al núm. 4033-1998; entendiendo que, a pesar de la notable similitud de las demandas contra la ley catalana y la ley vasca, ésta no se corresponde con una pretendida identidad de los preceptos legales impugnados. Así, mientras en la ley vasca se prevé que la federación vasca de cada modalidad deportiva será “la única representante del deporte federado vasco en el ámbito estatal e internacional”, la ley catalana afirma que las federaciones catalanas de cada modalidad deportiva “son las representantes del respectivo deporte federado catalán en los ámbitos supraautonómicos”. Y aunque pueda admitirse que la expresión “ámbitos supraautonómicos” venga a coincidir en cuanto a su significado con la expresión “ámbito estatal e internacional” del art. 16.6 de la Ley del deporte del País Vasco, no sucede lo mismo con el término “única” que figura en la ley del Parlamento Vasco, pero no en el precepto impugnado en este proceso constitucional; por lo que el legislador catalán no necesariamente excluye, por tanto, otros niveles de representación a través de federaciones españolas y europeas.</w:t>
      </w:r>
    </w:p>
    <w:p w:rsidR="00D06117" w:rsidRDefault="00D06117" w:rsidP="00D06117">
      <w:pPr>
        <w:pStyle w:val="TextoNormal"/>
      </w:pPr>
    </w:p>
    <w:p w:rsidR="00D06117" w:rsidRDefault="00D06117" w:rsidP="00D06117">
      <w:pPr>
        <w:pStyle w:val="TextoNormal"/>
      </w:pPr>
      <w:r>
        <w:t>El propio representante del Estado, continúa argumentando el Abogado de la Generalidad, reconoce —con cita de la STC 165/1994— que corresponde a las federaciones depor</w:t>
      </w:r>
      <w:r>
        <w:lastRenderedPageBreak/>
        <w:t>tivas catalanas la representación del deporte catalán en el ámbito internacional, si bien respetando los requisitos que establezca el Estado. Por consiguiente, la cuestión disputada no es tanto la posibilidad de la representación deportiva autonómica en ámbitos supraautonómicos, aunque sean internacionales, sino las condiciones bajo las que puede llevarse a cabo. Pues bien, como se deduce de sus propios términos, el art. 19.2 de la ley catalana no atribuye a las federaciones catalanas la representación del deporte “a nivel del Estado en su conjunto sino sólo la concreta representación del deporte federado catalán” por lo que habrá de concluirse que “no existe oposición entre la representación que la ley catalana atribuye a las federaciones catalanas y la que, por su parte, ostenta la federación española en las competiciones oficiales internacionales”.</w:t>
      </w:r>
    </w:p>
    <w:p w:rsidR="00D06117" w:rsidRDefault="00D06117" w:rsidP="00D06117">
      <w:pPr>
        <w:pStyle w:val="TextoNormal"/>
      </w:pPr>
    </w:p>
    <w:p w:rsidR="00D06117" w:rsidRDefault="00D06117" w:rsidP="00D06117">
      <w:pPr>
        <w:pStyle w:val="TextoNormal"/>
      </w:pPr>
      <w:r>
        <w:t>Para el Abogado de la Generalidad el planteamiento del presente recurso tiene, entonces, una dimensión prospectiva o preventiva, pues nada se alega en concreto acerca de que el precepto impugnado autorice a las federaciones catalanas a ejercer en ámbitos supraautonómicos la representación que les atribuye sin respeto a la normativa procedente en cada caso, sea estatal o autonómica.</w:t>
      </w:r>
    </w:p>
    <w:p w:rsidR="00D06117" w:rsidRDefault="00D06117" w:rsidP="00D06117">
      <w:pPr>
        <w:pStyle w:val="TextoNormal"/>
      </w:pPr>
    </w:p>
    <w:p w:rsidR="00D06117" w:rsidRDefault="00D06117" w:rsidP="00D06117">
      <w:pPr>
        <w:pStyle w:val="TextoNormal"/>
      </w:pPr>
      <w:r>
        <w:t>Por otra parte, aduce que el legislador estatal no ha abordado en la Ley 10/1990, del deporte, la posible actuación en el ámbito internacional de las federaciones deportivas autonómicas representando al deporte autonómico como tal, de manera que en el presente no existe ninguna limitación legal al respecto. Esta circunstancia es tanto más destacable cuanto que la Ley 13/1980, general de la cultura física y del deporte sí contenía una regulación específica sobre esta cuestión (art. 14), abriendo la posibilidad a las federaciones autonómicas de participar en competiciones internacionales amistosas, siempre que no lo hiciera la federación española de la misma especialidad deportiva. La derogación de esta ley ha supuesto que no existan condiciones legalmente previstas para la proyección internacional de las federaciones deportivas autonómicas mediante su participación en competiciones, oficiales o amistosas, por lo que mal puede achacarse al art. 19.2 de la Ley catalana del deporte que no respete los requisitos fijados en este punto por el Estado.</w:t>
      </w:r>
    </w:p>
    <w:p w:rsidR="00D06117" w:rsidRDefault="00D06117" w:rsidP="00D06117">
      <w:pPr>
        <w:pStyle w:val="TextoNormal"/>
      </w:pPr>
    </w:p>
    <w:p w:rsidR="00D06117" w:rsidRDefault="00D06117" w:rsidP="00D06117">
      <w:pPr>
        <w:pStyle w:val="TextoNormal"/>
      </w:pPr>
      <w:r>
        <w:t>b) A continuación, el Abogado de la Generalitat subraya el carácter privado de las federaciones deportivas que, en su caso, participarán en competiciones organizadas siempre por entes privados; naturaleza que ha sido confirmada en la STC 67/1985. A su juicio, la tendencia a la “publificación” de las actividades deportivas como consecuencia de su incidencia social no debe llevar a entender que las federaciones sean entidades públicas, ni que les resulte consustancial el ejercicio de funciones públicas por delegación. En su opinión, una cosa es el mandato de fomentar la cultura física y el deporte del art. 43.3 CE dirigido a todos los poderes públicos y otra, bien distinta, es que dicha labor deba realizarse a través de la delegación de facultades administrativas en las federaciones deportivas.</w:t>
      </w:r>
    </w:p>
    <w:p w:rsidR="00D06117" w:rsidRDefault="00D06117" w:rsidP="00D06117">
      <w:pPr>
        <w:pStyle w:val="TextoNormal"/>
      </w:pPr>
    </w:p>
    <w:p w:rsidR="00D06117" w:rsidRDefault="00D06117" w:rsidP="00D06117">
      <w:pPr>
        <w:pStyle w:val="TextoNormal"/>
      </w:pPr>
      <w:r>
        <w:t xml:space="preserve">El Abogado de la Generalidad considera que la delegación de funciones públicas es, así, una posibilidad, pero no una obligación. Una posibilidad de la que hace uso la Ley 10/1990 (en especial, art. 30.2), pero que es ajena a la Ley catalana, donde se destaca el carácter esencialmente privado de las federaciones catalanas sin que figure ninguna referencia al ejercicio de funciones públicas por delegación. “Queda claro, así pues, que las federaciones deportivas catalanas —a diferencia de las federaciones españolas y también de las vascas— son entidades estrictamente privadas que carecen de competencias administrativas delegadas”. En su condición de entes privados, las federaciones catalanas podrán afiliarse libre y </w:t>
      </w:r>
      <w:r>
        <w:lastRenderedPageBreak/>
        <w:t>simultáneamente a otras entidades como las federaciones españolas, las internacionales, los comités deportivos, etc., cuyos estatutos lo permitan. Buena prueba de esta libertad inherente a su carácter privado es que la propia normativa española prevé, para el caso de que una federación catalana decida no integrarse en la española, la creación en Cataluña de una delegación de la federación estatal.</w:t>
      </w:r>
    </w:p>
    <w:p w:rsidR="00D06117" w:rsidRDefault="00D06117" w:rsidP="00D06117">
      <w:pPr>
        <w:pStyle w:val="TextoNormal"/>
      </w:pPr>
    </w:p>
    <w:p w:rsidR="00D06117" w:rsidRDefault="00D06117" w:rsidP="00D06117">
      <w:pPr>
        <w:pStyle w:val="TextoNormal"/>
      </w:pPr>
      <w:r>
        <w:t>Esta misma concepción se refleja, a su juicio, en el tema de la representación. Mientras que, según el art. 33.2 de la Ley estatal del deporte, las federaciones deportivas españolas “ostentarán la representación de España en las actividades y competiciones deportivas de carácter internacional”, las federaciones catalanas mencionadas en el art. 19.2 de la ley autonómica no son instituciones públicas que representen a Cataluña sino entidades privadas que representan al deporte federado catalán. Esta última representación no cuestiona la más general reconocida en la Ley 10/1990 a las federaciones de ámbito estatal.</w:t>
      </w:r>
    </w:p>
    <w:p w:rsidR="00D06117" w:rsidRDefault="00D06117" w:rsidP="00D06117">
      <w:pPr>
        <w:pStyle w:val="TextoNormal"/>
      </w:pPr>
    </w:p>
    <w:p w:rsidR="00D06117" w:rsidRDefault="00D06117" w:rsidP="00D06117">
      <w:pPr>
        <w:pStyle w:val="TextoNormal"/>
      </w:pPr>
      <w:r>
        <w:t>c) En cuanto al marco competencial, comienza el Letrado autonómico subrayando la competencia sobre materia deportiva que, con carácter exclusivo, atribuye a la Generalitat de Cataluña el art. 9.29 EAC y la correlativa inexistencia de una reserva competencial a favor del Estado en el art. 149.1 CE. Aduce que esta competencia ha sido asumida con carácter exclusivo por todas las Comunidades Autónomas, y de la que es emanación legítima su proyección exterior, pues, tal como reconoce la doctrina constitucional, “negar toda proyección territorial al ejercicio de dichas competencias equivale a negar su propia existencia “(y cita, entre otras, las SSTC 48/1988 y 165/1994). A su juicio, de lo que se trata aquí, en realidad, no es de extender el ámbito de aplicación de las propias normas o de su ejecución más allá del propio territorio sino de facilitar la promoción del propio deporte federado en los niveles estatal e internacional.</w:t>
      </w:r>
    </w:p>
    <w:p w:rsidR="00D06117" w:rsidRDefault="00D06117" w:rsidP="00D06117">
      <w:pPr>
        <w:pStyle w:val="TextoNormal"/>
      </w:pPr>
    </w:p>
    <w:p w:rsidR="00D06117" w:rsidRDefault="00D06117" w:rsidP="00D06117">
      <w:pPr>
        <w:pStyle w:val="TextoNormal"/>
      </w:pPr>
      <w:r>
        <w:t>Observa el Abogado de la Generalitat de Cataluña que, a pesar de la inexistencia de un título competencial a favor del Estado, éste ha dictado dos leyes posconstitucionales en materia de deporte —las Leyes 13/1980 y 10/1990, que sustituye a la anterior— invocando el art. 43 CE y los títulos competenciales sobre cultura, educación, sanidad y legislación mercantil. La fundamentación de la acción estatal en materia deportiva debe buscarse, según el Abogado de la Generalidad, en la necesidad de no renunciar a una política del deporte en su conjunto a nivel estatal, nivel que al ser de imposible asunción por parte de las Comunidades Autónomas, en razón a la delimitación territorial de sus competencias, viene a corresponder al Estado en virtud de lo dispuesto en el art. 149.3 CE. En consecuencia, “creemos que es posible la existencia de una organización del deporte propia de las Comunidades Autónomas sin que ello impida ni sustituya a la estructura deportiva establecida a nivel estatal. La intervención estatal estará, por tanto, justificada cuando se trate específicamente de regular, coordinar u organizar la participación de asociaciones o clubes deportivos en competiciones de ámbito estatal”.</w:t>
      </w:r>
    </w:p>
    <w:p w:rsidR="00D06117" w:rsidRDefault="00D06117" w:rsidP="00D06117">
      <w:pPr>
        <w:pStyle w:val="TextoNormal"/>
      </w:pPr>
    </w:p>
    <w:p w:rsidR="00D06117" w:rsidRDefault="00D06117" w:rsidP="00D06117">
      <w:pPr>
        <w:pStyle w:val="TextoNormal"/>
      </w:pPr>
      <w:r>
        <w:t xml:space="preserve">El Abogado de la Generalitat entiende, por otra parte, que aunque la competencia estatal puede también apoyarse en el título “cultura” del art. 149.2 CE, debe tenerse presente que, ostentando la Generalitat competencia en materia de cultura ex art. 9.4 EAC, la promoción exterior del deporte que representan las federaciones catalanas responde a la promoción de un hecho cultural propio, lo que no se opone a la proyección exterior de otros hechos culturales del Estado ni a la de todos ellos en su conjunto. Por ello, considera que no cabe aceptar que desde la competencia estatal sobre cultura se pueda negar o condicionar más allá de lo </w:t>
      </w:r>
      <w:r>
        <w:lastRenderedPageBreak/>
        <w:t>estrictamente indispensable la promoción autónoma del deporte autonómico en cuanto tal, como manifestación hacia el exterior de la propia identidad cultural.</w:t>
      </w:r>
    </w:p>
    <w:p w:rsidR="00D06117" w:rsidRDefault="00D06117" w:rsidP="00D06117">
      <w:pPr>
        <w:pStyle w:val="TextoNormal"/>
      </w:pPr>
    </w:p>
    <w:p w:rsidR="00D06117" w:rsidRDefault="00D06117" w:rsidP="00D06117">
      <w:pPr>
        <w:pStyle w:val="TextoNormal"/>
      </w:pPr>
      <w:r>
        <w:t>Más peligrosa resulta, al entender del Abogado del Estado, la apelación al título competencial referido a la relaciones internacionales ex art. 149.1.3 CE porque, de aceptarse, vendría a suponer que cualquier actuación en el exterior, incluso si es realizada por entidades privadas, debería discurrir por los cauces previamente establecidos por el poder central y ejercerse bajo la tutela y control de éste. La nítida separación entre deporte y relaciones internacionales se pone de relieve si se presta atención, de un lado, al elemento subjetivo, pues la gestión de los intereses de esta naturaleza está encomendada a instancias distintas de las reguladas por la legislación deportiva; y, de otro lado, al elemento objetivo, pues la materia de “relaciones exteriores” se refiere a esos asuntos en los que puede quedar afectada o comprometida la soberanía estatal, como son la celebración de tratados (ius contrahendi), representación exterior (ius legationis), asunción de obligaciones internacionales y responsabilidad internacional del Estado.</w:t>
      </w:r>
    </w:p>
    <w:p w:rsidR="00D06117" w:rsidRDefault="00D06117" w:rsidP="00D06117">
      <w:pPr>
        <w:pStyle w:val="TextoNormal"/>
      </w:pPr>
    </w:p>
    <w:p w:rsidR="00D06117" w:rsidRDefault="00D06117" w:rsidP="00D06117">
      <w:pPr>
        <w:pStyle w:val="TextoNormal"/>
      </w:pPr>
      <w:r>
        <w:t>Pues bien, a su juicio, ninguno de esos elementos confluye en las actividades deportivas de unas entidades privadas que ni directa ni indirectamente comprometen la soberanía estatal. Según señala el Abogado de la Generalitat, en la doctrina sentada en las SSTC 125/1984, 17/1991 y, especialmente, 165/1994, se pone el acento en la conexión de la competencia del art. 149.1.3 CE con los elementos nucleares del Derecho internacional. Sin embargo, tales elementos no concurren, a su juicio, en este caso porque: “a) la Generalidad tiene competencia exclusiva en materia de deporte, lo que incluye su proyección exterior; b) las federaciones deportivas catalanas son entidades jurídicas privadas y no sujetos internacionales; c) las competiciones deportivas internacionales se organizan generalmente desde entes privados y se rigen por el Derecho privado y no por el Derecho internacional; d) las relaciones que surgen de las actividades deportivas no crean obligaciones de carácter internacional; y e) la actividad en el exterior de las federaciones deportivas catalanas, en principio, no tiene por qué afectar la política exterior que corresponde dirigir al Estado”.</w:t>
      </w:r>
    </w:p>
    <w:p w:rsidR="00D06117" w:rsidRDefault="00D06117" w:rsidP="00D06117">
      <w:pPr>
        <w:pStyle w:val="TextoNormal"/>
      </w:pPr>
    </w:p>
    <w:p w:rsidR="00D06117" w:rsidRDefault="00D06117" w:rsidP="00D06117">
      <w:pPr>
        <w:pStyle w:val="TextoNormal"/>
      </w:pPr>
      <w:r>
        <w:t>Según alega el Abogado de la Generalitat, la articulación competencial en materia deportiva ha de inspirarse en el principio de colaboración, de tal suerte que los hipotéticos conflictos entre las normas estatales y catalanas han de resolverse conforme a criterios de competencia y no de jerarquía. Además, las normas estatales sobre deporte, con excepción de la disposición adicional segunda a) de la Ley 10/1990, referida a educación, no tienen carácter básico, por lo que no pueden servir como parámetro de constitucionalidad.</w:t>
      </w:r>
    </w:p>
    <w:p w:rsidR="00D06117" w:rsidRDefault="00D06117" w:rsidP="00D06117">
      <w:pPr>
        <w:pStyle w:val="TextoNormal"/>
      </w:pPr>
    </w:p>
    <w:p w:rsidR="00D06117" w:rsidRDefault="00D06117" w:rsidP="00D06117">
      <w:pPr>
        <w:pStyle w:val="TextoNormal"/>
      </w:pPr>
      <w:r>
        <w:t xml:space="preserve">Una especial referencia se hace a la posibilidad, señalada en la STC 165/1994, de que el Estado adopte medidas que regulen o coordinen las actividades de proyección exterior de las Comunidades Autónomas, pues las eventuales medidas coordinadoras de la política exterior no pueden convertirse en el cauce o camino por el que debe discurrir la actividad deportiva. Como no cabe admitir una presunción genérica y a priori de incumplimiento de la política exterior de España por la proyección exterior del deporte catalán, las medidas que regulen o coordinen tal actuación han de tener, en su caso, un carácter preventivo y siempre proporcionado, puntual y justificado en relación con la concreta actuación a realizar. Desde el punto de vista orgánico, esas funciones corresponderían al Ministerio de Asuntos Exteriores y no al Consejo Superior de Deportes, cuya autorización previa no es una medida de </w:t>
      </w:r>
      <w:r>
        <w:lastRenderedPageBreak/>
        <w:t>coordinación (como la comunicación de las salidas al exterior de los Presidentes autonómicos) sino de sustitución.</w:t>
      </w:r>
    </w:p>
    <w:p w:rsidR="00D06117" w:rsidRDefault="00D06117" w:rsidP="00D06117">
      <w:pPr>
        <w:pStyle w:val="TextoNormal"/>
      </w:pPr>
    </w:p>
    <w:p w:rsidR="00D06117" w:rsidRDefault="00D06117" w:rsidP="00D06117">
      <w:pPr>
        <w:pStyle w:val="TextoNormal"/>
      </w:pPr>
      <w:r>
        <w:t>d) Finalmente, defiende el Abogado de la Generalitat de Cataluña la compatibilidad de la representación otorgada en las leyes española y catalana del deporte a sus respectivas federaciones, pues la pretendida contradicción es más aparente que real. La representación que reconoce la Ley catalana se refiere al deporte federado catalán, lo que es distinto y no se opone a otra representación diferente, la del deporte español en su conjunto, que las federaciones catalanas no pueden asumir si no es por encargo —como ha sucedido en ocasiones— de la correspondiente federación española.</w:t>
      </w:r>
    </w:p>
    <w:p w:rsidR="00D06117" w:rsidRDefault="00D06117" w:rsidP="00D06117">
      <w:pPr>
        <w:pStyle w:val="TextoNormal"/>
      </w:pPr>
    </w:p>
    <w:p w:rsidR="00D06117" w:rsidRDefault="00D06117" w:rsidP="00D06117">
      <w:pPr>
        <w:pStyle w:val="TextoNormal"/>
      </w:pPr>
      <w:r>
        <w:t>Por otra parte, aduce el Abogado de la Generalidad que cuando el art. 32.1 de la Ley 10/1990 establece como condición para la participación en competiciones deportivas oficiales de ámbito estatal e internacional la necesaria integración de las federaciones autonómicas en las correspondientes federaciones españolas, se ejerce una competencia estatal puesto que, en el caso de las competiciones de ámbito estatal su ámbito territorial determina la necesaria intervención del Estado; y en el caso de las competiciones internacionales, porque dicha norma se refiere —interpretada conjuntamente con el art. 33.2 de la Ley 10/90— a la representación de España, “de manera que para representar a España en las competiciones oficiales de ámbito internacional es preciso integrarse en la federación deportiva española correspondiente, pero no es así cuando la actuación en el exterior no comporta tal nivel de representación o se trata de una competición amistosa”.</w:t>
      </w:r>
    </w:p>
    <w:p w:rsidR="00D06117" w:rsidRDefault="00D06117" w:rsidP="00D06117">
      <w:pPr>
        <w:pStyle w:val="TextoNormal"/>
      </w:pPr>
    </w:p>
    <w:p w:rsidR="00D06117" w:rsidRDefault="00D06117" w:rsidP="00D06117">
      <w:pPr>
        <w:pStyle w:val="TextoNormal"/>
      </w:pPr>
      <w:r>
        <w:t>Por todo ello considera que la representación estatal incluye al deporte de las Comunidades Autónomas en su conjunto, pero no tiene por qué excluir otros posibles niveles de representación deportiva. La ley catalana responde a una opción legítima ya que no se impone a las federaciones deportivas catalanas la integración en la federación española correspondiente, respetando así la libertad consecuente al carácter privado de tales entidades. Consecuentemente, las federaciones catalanas que no se integren en la federación española correspondiente no podrán participar en torneos estatales ni representar a España en competiciones oficiales internacionales. En este mismo sentido deben interpretarse los arts. 8 i) y p) de la Ley 10/1990.</w:t>
      </w:r>
    </w:p>
    <w:p w:rsidR="00D06117" w:rsidRDefault="00D06117" w:rsidP="00D06117">
      <w:pPr>
        <w:pStyle w:val="TextoNormal"/>
      </w:pPr>
    </w:p>
    <w:p w:rsidR="00D06117" w:rsidRDefault="00D06117" w:rsidP="00D06117">
      <w:pPr>
        <w:pStyle w:val="TextoNormal"/>
      </w:pPr>
      <w:r>
        <w:t>Finaliza el Abogado de la Generalitat de Cataluña señalando que “la riqueza cultural que presenta la pluralidad del Estado español bien puede encontrar un campo de adecuado, pacífico y constitucional reflejo en el terreno deportivo y salir al exterior, como tal, a través de la participación del deporte federado de las Comunidades Autónomas en los supuestos en que los reglamentos federativos así lo prevean. Ejemplos hay en nuestros días de situaciones semejantes —como la de la participación de Escocia, el País de Gales, Eire o las Islas Feroe, en competiciones internacionales— sin que se resienta por ello la unidad del Estado al que pertenecen”.</w:t>
      </w:r>
    </w:p>
    <w:p w:rsidR="00D06117" w:rsidRDefault="00D06117" w:rsidP="00D06117">
      <w:pPr>
        <w:pStyle w:val="TextoNormal"/>
      </w:pPr>
    </w:p>
    <w:p w:rsidR="00D06117" w:rsidRDefault="00D06117" w:rsidP="00D06117">
      <w:pPr>
        <w:pStyle w:val="TextoNormal"/>
      </w:pPr>
      <w:r>
        <w:t>Por todo ello, el Abogado de la Generalitat solicita la desestimación del recurso de inconstitucionalidad que nos ocupa y manifiesta, por otrosí, su oposición a la acumulación interesada por el Abogado del Estado en el escrito rector de este proceso.</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Por providencia de 7 de marzo de 2000, la Sección Cuarta acordó que, próximo a finalizar el plazo de los cinco meses que señala el art. 161.2 CE desde que se produjo la </w:t>
      </w:r>
      <w:r>
        <w:lastRenderedPageBreak/>
        <w:t>suspensión de los preceptos impugnados, se oyese a las partes personadas para que en el plazo de cinco días expusieran lo que considerasen conveniente acerca del mantenimiento o levantamiento de dicha suspensión.</w:t>
      </w:r>
    </w:p>
    <w:p w:rsidR="00D06117" w:rsidRDefault="00D06117" w:rsidP="00D06117">
      <w:pPr>
        <w:pStyle w:val="TextoNormal"/>
      </w:pPr>
    </w:p>
    <w:p w:rsidR="00D06117" w:rsidRDefault="00D06117" w:rsidP="00D06117">
      <w:pPr>
        <w:pStyle w:val="TextoNormal"/>
      </w:pPr>
      <w:r>
        <w:t>Evacuado el trámite conferido por las partes, este Tribunal acordó, en el Auto 108/2000, de 11 de abril, el mantenimiento de la suspensión del precepto legal impugnado. Dicha decisión fue publicada en el “Boletín Oficial del Estado” núm. 103, de 29 de abril de 2000 y en el “Diario Oficial de la Generalidad de Cataluña” núm. 3147, de 25 de mayo de 2000.</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22 de mayo de 2012 se señaló para la deliberación y votación de la presente Sentencia el 23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Es objeto del presente recurso de inconstitucionalidad el inciso primero del art. 19.2 de la Ley del Parlamento de Cataluña 8/1988, de 7 de abril, del deporte, en la redacción dada al mismo por el art. 2 de la Ley del Parlamento de Cataluña 9/1999, de 30 de julio, de apoyo a las selecciones catalanas. Según lo establecido en ese inciso del precepto legal, “las federaciones deportivas catalanas de cada modalidad deportiva son las representantes del respectivo deporte federado catalán en los ámbitos supraautonómicos”.</w:t>
      </w:r>
    </w:p>
    <w:p w:rsidR="00D06117" w:rsidRDefault="00D06117" w:rsidP="00D06117">
      <w:pPr>
        <w:pStyle w:val="TextoNormal"/>
      </w:pPr>
    </w:p>
    <w:p w:rsidR="00D06117" w:rsidRDefault="00D06117" w:rsidP="00D06117">
      <w:pPr>
        <w:pStyle w:val="TextoNormal"/>
      </w:pPr>
      <w:r>
        <w:t>El recurso se plantea por motivos estrictamente competenciales pues el Abogado del Estado considera que este precepto legal autonómico invade las competencias estatales en materia de relaciones internacionales (art. 149.1.3 CE) y de cultura (art. 149.2 CE). El representante del Presidente del Gobierno señala, además, que el art. 9.29 (competencia exclusiva en materia de deporte) del Estatuto de Autonomía de Cataluña (EAC) de 1979 no legitima el ejercicio de competencias autonómicas a nivel internacional y que la exclusividad de la representación del deporte federado catalán en el exterior, que el precepto impugnado atribuye en exclusiva a las federaciones deportivas catalanas, es inconstitucional porque desconoce el límite territorial implícito a las competencias autonómicas impidiendo, a su vez, el ejercicio de la competencia necesariamente estatal de representación del deporte federado español en su conjunto en el ámbito internacional, y menoscabando el sistema de representación en cascada previsto por el legislador estatal.</w:t>
      </w:r>
    </w:p>
    <w:p w:rsidR="00D06117" w:rsidRDefault="00D06117" w:rsidP="00D06117">
      <w:pPr>
        <w:pStyle w:val="TextoNormal"/>
      </w:pPr>
    </w:p>
    <w:p w:rsidR="00D06117" w:rsidRDefault="00D06117" w:rsidP="00D06117">
      <w:pPr>
        <w:pStyle w:val="TextoNormal"/>
      </w:pPr>
      <w:r>
        <w:t xml:space="preserve">Por su parte, tanto el Letrado del Parlamento de Cataluña como el Abogado de la Generalitat defienden la constitucionalidad del precepto impugnado y la compatibilidad de la representación que se otorga a las federaciones catalanas —en tanto en cuanto no puede configurase como exclusiva, pues tal interpretación no se deriva del tenor literal del precepto— con la representación a nivel nacional e internacional que se reconoce a las federaciones españolas en la Ley 10/1990, del deporte; ley que, por otra parte, insisten ambos, no puede erigirse en parámetro de constitucionalidad del precepto legal autonómico impugnado. Ambos rechazan, asimismo, que el precepto legal cuestionado invada la competencia estatal en materia de relaciones internacionales (art. 149.1.3 CE) haciendo hincapié en la naturaleza jurídica privada de las federaciones deportivas; naturaleza que impide encuadrar la regulación de las federaciones dentro de ese título competencial de acuerdo con la propia delimitación que de este título ha efectuado el Tribunal Constitucional. El Letrado del Parlamento autonómico descarta también que se invada o menoscabe la competencia estatal en </w:t>
      </w:r>
      <w:r>
        <w:lastRenderedPageBreak/>
        <w:t>materia de cultura (art. 149.2 CE) —competencia concurrente con la de las Comunidades Autónomas— subrayando que no puede convertirse en un título universal que ignore los títulos competenciales específicos que correspondan a la Comunidad Autónoma, en este caso, el deporte según el 9.29 EAC.</w:t>
      </w:r>
    </w:p>
    <w:p w:rsidR="00D06117" w:rsidRDefault="00D06117" w:rsidP="00D06117">
      <w:pPr>
        <w:pStyle w:val="TextoNormal"/>
      </w:pPr>
    </w:p>
    <w:p w:rsidR="00D06117" w:rsidRDefault="00D06117" w:rsidP="00D06117">
      <w:pPr>
        <w:pStyle w:val="TextoNormal"/>
      </w:pPr>
      <w:r>
        <w:t>El Abogado de la Generalidad, además de los argumentos precedentes señala que en esta materia el Estado carece de título competencial específico; que la regulación de la vigente Ley estatal 10/1990, del deporte, no se pronuncia sobre la actuación de las federaciones autonómicas en el ámbito internacional; que el legislador autonómico no ha pretendido extender el ámbito territorial de aplicación de sus propias normas sino sólo facilitar la promoción del deporte federado fuera de la Comunidad Autónoma y que, en definitiva, todo ello es plenamente compatible con el establecimiento de una política deportiva para el conjunto del Estado, habida cuenta de los límites territoriales de las competencias autonómicas y en virtud del art. 149.3 CE. Reconoce, en último término, que para representar a España en competiciones oficiales de ámbito internacional se precisa la integración en la federación deportiva española correspondiente, pero ello no es así cuando la actuación en el exterior no comporta tal nivel de representación o se trata de una competición amistosa.</w:t>
      </w:r>
    </w:p>
    <w:p w:rsidR="00D06117" w:rsidRDefault="00D06117" w:rsidP="00D06117">
      <w:pPr>
        <w:pStyle w:val="TextoNormal"/>
      </w:pPr>
    </w:p>
    <w:p w:rsidR="00D06117" w:rsidRDefault="00D06117" w:rsidP="00D06117">
      <w:pPr>
        <w:pStyle w:val="TextoNormal"/>
      </w:pPr>
      <w:r w:rsidRPr="00D06117">
        <w:rPr>
          <w:rStyle w:val="NumeroAFNegritaCaracter"/>
        </w:rPr>
        <w:t>2</w:t>
      </w:r>
      <w:r>
        <w:t>. Establecidas en estos términos las posiciones de las partes, y con carácter previo al análisis del fondo del asunto, conviene precisar algunas cuestiones de orden diverso.</w:t>
      </w:r>
    </w:p>
    <w:p w:rsidR="00D06117" w:rsidRDefault="00D06117" w:rsidP="00D06117">
      <w:pPr>
        <w:pStyle w:val="TextoNormal"/>
      </w:pPr>
    </w:p>
    <w:p w:rsidR="00D06117" w:rsidRDefault="00D06117" w:rsidP="00D06117">
      <w:pPr>
        <w:pStyle w:val="TextoNormal"/>
      </w:pPr>
      <w:r>
        <w:t>Así, en primer lugar, hay que tener en cuenta que la Ley 8/1988, de 7 de abril, del deporte catalán y la Ley 9/1999, de 30 de julio, de apoyo a las selecciones catalanas por la que se modifican diversos preceptos de aquélla, entre ellos, el controvertido en este proceso constitucional, han sido objeto de refundición en un texto único de la Ley del deporte, aprobado por Decreto Legislativo 1/2000, de 31 de julio. Este decreto legislativo ha sido, a su vez, modificado por la Ley 3/2008, de 23 de abril, de ejercicio de las profesiones del deporte y la Ley 10/2011, de 29 de diciembre, de simplificación y mejora de la regulación normativa. A pesar de estas modificaciones legislativas sobrevenidas, no puede verificarse la pérdida de objeto del presente proceso constitucional y no sólo por su naturaleza competencial, ya señalada, sino porque el art. 19.2 del actual texto único de la Ley del deporte mantiene la misma redacción por lo que la controversia competencial continúa viva ya que, en realidad, como sucediera en el caso resuelto por la STC 194/2000, de 19 de julio, la norma recurrida no ha sido expulsada del ordenamiento jurídico por obra de derogación, sino que ha sido objeto de una refundición de textos normativos que se ha limitado a incorporar dicha norma al art. 19.2 del texto único ya indicado [STC 35/2012, de 15 de marzo, 2 b), con cita de la STC 1/2012, de 13 de enero, FJ 3]. Por lo tanto, queda todavía pendiente la comprobación de si se ha producido o no la extralimitación competencial denunciada y su definición constitucional o estatutaria. [STC 204/2011, de 15 de diciembre, FJ 2 a)].</w:t>
      </w:r>
    </w:p>
    <w:p w:rsidR="00D06117" w:rsidRDefault="00D06117" w:rsidP="00D06117">
      <w:pPr>
        <w:pStyle w:val="TextoNormal"/>
      </w:pPr>
    </w:p>
    <w:p w:rsidR="00D06117" w:rsidRDefault="00D06117" w:rsidP="00D06117">
      <w:pPr>
        <w:pStyle w:val="TextoNormal"/>
      </w:pPr>
      <w:r>
        <w:t xml:space="preserve">En segundo lugar, debemos señalar que, con la perspectiva del parámetro de control del presente recurso, resulta de aplicación nuestra doctrina sobre el ius superveniens según la cual “el control de las normas que incurren en un posible exceso competencial debe hacerse de acuerdo con las normas del bloque de la constitucionalidad vigentes en el momento de dictar sentencia (STC 1/2011, de 14 de febrero, FJ 2 y doctrina allí citada)” [STC 35/2012, de 15 de marzo, FJ 2 c)]. Ello determina que nuestro pronunciamiento deba dictarse a la luz de la delimitación de competencias que se deriva de la reforma del Estatuto de Cataluña llevada a cabo por la Ley Orgánica 6/2006, de 19 de julio. El actual art. 134 EAC de 2006 </w:t>
      </w:r>
      <w:r>
        <w:lastRenderedPageBreak/>
        <w:t>establece que “corresponde a la Generalitat la competencia exclusiva en materia de deporte, que incluye en todo caso” —a los efectos que aquí interesa— “el establecimiento del régimen jurídico de las federaciones”, previendo asimismo la participación de la Generalitat en “las entidades y organismos de ámbito estatal, europeo e internacional que tengan por objeto el desarrollo del deporte”.</w:t>
      </w:r>
    </w:p>
    <w:p w:rsidR="00D06117" w:rsidRDefault="00D06117" w:rsidP="00D06117">
      <w:pPr>
        <w:pStyle w:val="TextoNormal"/>
      </w:pPr>
    </w:p>
    <w:p w:rsidR="00D06117" w:rsidRDefault="00D06117" w:rsidP="00D06117">
      <w:pPr>
        <w:pStyle w:val="TextoNormal"/>
      </w:pPr>
      <w:r>
        <w:t>En tercer lugar, es de señalar que el presente recurso de inconstitucionalidad presenta una fundamental coincidencia con el tramitado bajo el núm. 4033-1998 —que tiene por objeto el art. 16.6 de la Ley del Parlamento Vasco 14/1998, de junio, del deporte, en cuanto declara que “la federación vasca de cada modalidad deportiva será la única representante del deporte federado vasco en el ámbito estatal e internacional”—, que ha dado lugar a la reciente STC 80/2012, de 18 de abril. Esas similitudes, sin embargo, no llegan al grado de poder predicar la identidad entre ambos enunciados normativos, aunque sí es aplicable en este supuesto la doctrina sentada en dicha Sentencia.</w:t>
      </w:r>
    </w:p>
    <w:p w:rsidR="00D06117" w:rsidRDefault="00D06117" w:rsidP="00D06117">
      <w:pPr>
        <w:pStyle w:val="TextoNormal"/>
      </w:pPr>
    </w:p>
    <w:p w:rsidR="00D06117" w:rsidRDefault="00D06117" w:rsidP="00D06117">
      <w:pPr>
        <w:pStyle w:val="TextoNormal"/>
      </w:pPr>
      <w:r>
        <w:t>Por último, debemos señalar que, aunque se impugna la totalidad del primer inciso o frase del art. 19.2 de la Ley del deporte catalán en cuanto se alude a la representación por las federaciones catalanas del deporte federado catalán en “ámbitos supraautonómicos” —tanto el estatal como el internacional—, las dudas de constitucionalidad que se plantean en este proceso se circunscriben a la representación que ostentan las federaciones catalanas en el ámbito internacional en tanto en cuanto pueden significar una exclusión de la representación que, en dicho ámbito, ostentan las federaciones españolas, según la interpretación que realiza el Abogado del precepto controvertido.</w:t>
      </w:r>
    </w:p>
    <w:p w:rsidR="00D06117" w:rsidRDefault="00D06117" w:rsidP="00D06117">
      <w:pPr>
        <w:pStyle w:val="TextoNormal"/>
      </w:pPr>
    </w:p>
    <w:p w:rsidR="00D06117" w:rsidRDefault="00D06117" w:rsidP="00D06117">
      <w:pPr>
        <w:pStyle w:val="TextoNormal"/>
      </w:pPr>
      <w:r w:rsidRPr="00D06117">
        <w:rPr>
          <w:rStyle w:val="NumeroAFNegritaCaracter"/>
        </w:rPr>
        <w:t>3</w:t>
      </w:r>
      <w:r>
        <w:t>. Delimitado de esta forma el objeto de nuestro enjuiciamiento debemos abordar ahora el encuadramiento competencial del precepto cuestionado, teniendo en cuenta que el Estado considera de aplicación para la resolución del presente proceso constitucional el título competencial relativo a las “relaciones internacionales” del art. 149.1.3 CE, así como el art. 149.2 CE que configura el servicio a la cultura “como deber y atribución esencial” del Estado; mientras que, por su parte, la Comunidad Autónoma de Cataluña invoca su competencia exclusiva en materia de deporte (art. 9.29 EAC de 1979 y actual art. 134 EAC de 2006) aludiendo, si bien de una forma más tangencial, a su competencia, también exclusiva, en materia de cultura.</w:t>
      </w:r>
    </w:p>
    <w:p w:rsidR="00D06117" w:rsidRDefault="00D06117" w:rsidP="00D06117">
      <w:pPr>
        <w:pStyle w:val="TextoNormal"/>
      </w:pPr>
    </w:p>
    <w:p w:rsidR="00D06117" w:rsidRDefault="00D06117" w:rsidP="00D06117">
      <w:pPr>
        <w:pStyle w:val="TextoNormal"/>
      </w:pPr>
      <w:r>
        <w:t>Pues bien, esta cuestión ya ha sido resuelta en la reciente STC 80/2012, de 18 de abril en la que, como ya se ha apuntado, tuvimos ocasión de pronunciarnos sobre un caso similar en el que, además, las alegaciones de las diferentes partes presentes en el proceso, especialmente las del Abogado del Estado, eran sustancialmente idénticas. Entonces, tras analizar los diversos títulos competenciales invocados llegamos a la conclusión de que el encuadre competencial del precepto impugnado, atendiendo a su objeto y finalidad, había de situarse en la materia específica de deporte “pues su contenido se inscribe en la regulación de la estructura asociativa del deporte vasco en sus distintos segmentos organizativos … y, en concreto de las federaciones deportivas” (STC 80/2012, FJ 6).</w:t>
      </w:r>
    </w:p>
    <w:p w:rsidR="00D06117" w:rsidRDefault="00D06117" w:rsidP="00D06117">
      <w:pPr>
        <w:pStyle w:val="TextoNormal"/>
      </w:pPr>
    </w:p>
    <w:p w:rsidR="00D06117" w:rsidRDefault="00D06117" w:rsidP="00D06117">
      <w:pPr>
        <w:pStyle w:val="TextoNormal"/>
      </w:pPr>
      <w:r>
        <w:t xml:space="preserve">Rechazábamos, así, tal como argumentamos en los fundamentos jurídicos 4 y 5 de aquella Sentencia, a los que nos remitimos, que la controversia pudiera reconducirse a la aplicación del título competencial de “relaciones internacionales” (art. 149.1.3 CE) o al título de </w:t>
      </w:r>
      <w:r>
        <w:lastRenderedPageBreak/>
        <w:t>“cultura” (art. 149.2 CE). En efecto, llegamos a la conclusión de que la llamada “representación internacional” en el ámbito deportivo tiene un difícil encaje en la materia de “relaciones internaciones” prevista en el art. 149.1 3 CE, tal y como esta materia ha sido definida en nuestra doctrina —sintetizada en la STC 165/1994, de 26 de mayo, FJ 5— puesto que “ni nos encontramos ante relaciones entre Estados u otro tipo de organismos públicos —ya que las estructuras deportivas internacionales tienen un carácter absolutamente privado— ni la participación en competiciones oficiales supone la asunción de compromisos u obligaciones internacionales de ningún tipo” (STC 80/2012, FJ 4). En esta línea, precisamente en relación con el art. 134 EAC de 2006 aquí concernido, nos habíamos pronunciado ya en la STC 31/2010, de 28 de junio, subrayando que “la participación de la Generalitat en entidades y organismos europeos o, en general, internacionales ‘que tengan por objeto el desarrollo del deporte’, no supone … el ejercicio de potestades que están reservadas al Estado ex art. 149.1.3 CE, ni puede condicionar el libre y pleno ejercicio estatal de dicha competencia correspondiendo al Estado regular su alcance y modalidades” (FJ 80). Por lo tanto, la proyección exterior de la competencia autonómica en materia de deporte tendrá como límite la reserva al Estado prevista en el art. 149.1.3 CE, teniendo en cuenta que “dentro de esa competencia exclusiva estatal se sitúa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 (STC 164/1995, de 26 de mayo, FJ 6). Esta conclusión no descarta, sin embargo, como también indicamos en la citada STC 80/2012, que la dimensión internacional del deporte tenga una incidencia en la acción exterior del Estado que, aun sin implicar el ejercicio de las actividades propias de la materia de relaciones internacionales, justifique la intervención estatal en esta materia.</w:t>
      </w:r>
    </w:p>
    <w:p w:rsidR="00D06117" w:rsidRDefault="00D06117" w:rsidP="00D06117">
      <w:pPr>
        <w:pStyle w:val="TextoNormal"/>
      </w:pPr>
    </w:p>
    <w:p w:rsidR="00D06117" w:rsidRDefault="00D06117" w:rsidP="00D06117">
      <w:pPr>
        <w:pStyle w:val="TextoNormal"/>
      </w:pPr>
      <w:r>
        <w:t>Por lo que concierne al título competencial de “cultura” —materia sobre la que se proyectan competencias concurrentes del Estado y las Comunidades Autónomas (SSTC 49/1984, de 5 de abril, FJ 6 y en la STC 106/1987, de 25 de junio, FJ 2)— señalamos entonces que, si bien es cierto que no puede negarse la dimensión cultural del deporte “dada su relación con el desarrollo de la personalidad, con la educación y con el intercambio de valores y culturas que fomenta la práctica deportiva”, también lo es que la regulación afectada en aquel proceso, y en éste, tenía difícil encaje en ese título competencial al referirse “única y exclusivamente a una cuestión organizativa o estructural de la práctica del deporte (en relación a la representación internacional de una modalidad deportiva) y no a otras dimensiones del mismo” (STC 80/2012, de 18 de abril, FJ 5).</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Encuadrado el precepto controvertido en materia de “deporte” hay que señalar que la Constitución no contiene reserva competencial alguna a favor del Estado en el art. 149 CE, habiendo sido asumidas dichas competencias por la Comunidad Autónoma de Cataluña a través de su Estatuto de Autonomía cuyo actual art. 134 (antes art. 9.29 EAC) define como competencia exclusiva de la Comunidad Autónoma de Cataluña la materia de deporte, listando una serie de submaterias que “en todo caso” deberán considerarse incluidas en la noción de “deporte” a efectos competenciales. En ejercicio de dicha competencia exclusiva el Parlamento de Cataluña aprobó la Ley 8/1988, de 7 de abril, del deporte, desarrollando así el mandato que el art. 43.3 CE dirige a los poderes públicos en orden a fomentar la educación física y el deporte, tal como expresamente se afirmaba en el preámbulo de la Ley 9/1999, </w:t>
      </w:r>
      <w:r>
        <w:lastRenderedPageBreak/>
        <w:t>de 30 de julio, de apoyo a las selecciones catalanas, que modifica la primera y en el preámbulo del vigente texto único de la Ley del deporte, aprobado por el Decreto Legislativo 1/2000, de 31 de julio.</w:t>
      </w:r>
    </w:p>
    <w:p w:rsidR="00D06117" w:rsidRDefault="00D06117" w:rsidP="00D06117">
      <w:pPr>
        <w:pStyle w:val="TextoNormal"/>
      </w:pPr>
    </w:p>
    <w:p w:rsidR="00D06117" w:rsidRDefault="00D06117" w:rsidP="00D06117">
      <w:pPr>
        <w:pStyle w:val="TextoNormal"/>
      </w:pPr>
      <w:r w:rsidRPr="00D06117">
        <w:rPr>
          <w:rStyle w:val="NumeroAFNegritaCaracter"/>
        </w:rPr>
        <w:t>5</w:t>
      </w:r>
      <w:r>
        <w:t>. Partiendo de la exclusividad de la competencia de la Comunidad Autónoma de Cataluña en materia de deporte, conviene recordar ahora el canon de enjuiciamiento que establecimos en la meritada STC 80/2012, de 18 de abril (FFJJ 7 y 8) en relación al problema similar que planteaba la Ley de deporte vasca al prever que las federaciones deportivas vascas son las únicas representantes del deporte federado vasco en el ámbito nacional e internacional. Señalamos entonces que la configuración de la competencia autonómica como exclusiva y la ausencia de un título competencial constitucional específico por parte del Estado no impedía que éste pudiera intervenir, en concurrencia con las Comunidades Autónomas, en la regulación del deporte pues, en algunos casos —y como consecuencia, precisamente, de las diferentes facetas sobre las que se proyecta la actividad deportiva— es necesaria “una actuación supraautonómica, por requerir de un enfoque global y no fragmentado, o de la coordinación de diversas actuaciones, o por tratarse de actuaciones en las que la materia de deporte se entronca con otra materia atribuida competencialmente al Estado (por ejemplo, la especial vinculación del deporte con la salud (STC 194/1998, de 1 de octubre, FJ 7)” [STC 80/2012, de 18 de abril, FJ 7 a)]. Tarea de coordinación que constituye uno de los fundamentos de la Ley estatal 10/1990, del deporte, que se aprobó con la finalidad, entre otras, de proceder a la coordinación “con las Comunidades Autónomas y, en su caso, con las Corporaciones Locales, [de] aquellas [otras competencias] que puedan afectar, directa y manifiestamente, a los intereses generales del deporte en el ámbito nacional”; ley que no fue objeto de reproche competencial alguno por parte de ninguna Comunidad Autónoma, como tampoco lo fue su predecesora (Ley 13/1980, de 31 de marzo).” [STC 80/2012, de 18 de abril, FJ 7 a), con cita de la STC 16/1996, de 1 de febrero, FJ 2 C t)].</w:t>
      </w:r>
    </w:p>
    <w:p w:rsidR="00D06117" w:rsidRDefault="00D06117" w:rsidP="00D06117">
      <w:pPr>
        <w:pStyle w:val="TextoNormal"/>
      </w:pPr>
    </w:p>
    <w:p w:rsidR="00D06117" w:rsidRDefault="00D06117" w:rsidP="00D06117">
      <w:pPr>
        <w:pStyle w:val="TextoNormal"/>
      </w:pPr>
      <w:r>
        <w:t xml:space="preserve">Subrayamos asimismo en la citada Sentencia 80/2012 que “la representación internacional del deporte federado español puede calificarse como una cuestión de interés general, relacionada directamente con la imagen exterior que se proyecta del Estado Español, que, si bien no se integra —como ya hemos señalado— en el título competencial de ‘relaciones internacionales’ constituye fundamento suficiente de la intervención reguladora del Estado en materia deportiva y se proyecta, consecuentemente, sobre el alcance de las competencias autonómicas en esta materia, en el sentido de que determinadas decisiones —como la decisión de participación de las selecciones españolas en competiciones internacionales, la autorización de la inscripción de las federaciones españolas en las federaciones internacionales correspondientes, o la autorización de la celebración de competiciones internacionales de carácter oficial en territorio español (art. 8 Ley 10/1990)— han de ubicarse necesariamente en el ámbito de decisión del Estado, constituyendo un límite externo al ejercicio de las competencias autonómicas” (STC 80/2012, de 18 de abril, FJ 7). Criterio éste que, en cierta manera, habíamos adelantado ya en el ATC 108/2000, de 11 de abril, en el que, con motivo de nuestro pronunciamiento sobre el mantenimiento de la suspensión de la aplicación del precepto aquí controvertido, señalamos que “la vigencia y aplicabilidad de la norma aquí impugnada habría de perjudicar gravemente aquel interés [general], pues la imagen internacional de España se vería inevitablemente alterada en un foro de tanta y tan eficaz difusión como es el de las competiciones deportivas, con el riesgo de que, caso de prosperar el recurso de inconstitucionalidad, sería necesario rectificar de nuevo aquella pluralidad y volver al modelo de representación internacional hasta ahora existente” (FJ 2, con cita del el ATC </w:t>
      </w:r>
      <w:r>
        <w:lastRenderedPageBreak/>
        <w:t>35/1999, relativo a la suspensión del precepto controvertido de la Ley del deporte del País Vasco), lo que indudablemente, establece una conexión entre interés general y representación unitaria del deporte español en el ámbito internacional [STC 80/2012, FJ 7 a)].</w:t>
      </w:r>
    </w:p>
    <w:p w:rsidR="00D06117" w:rsidRDefault="00D06117" w:rsidP="00D06117">
      <w:pPr>
        <w:pStyle w:val="TextoNormal"/>
      </w:pPr>
    </w:p>
    <w:p w:rsidR="00D06117" w:rsidRDefault="00D06117" w:rsidP="00D06117">
      <w:pPr>
        <w:pStyle w:val="TextoNormal"/>
      </w:pPr>
      <w:r>
        <w:t>La afirmación anterior se complementaba recordando que la vigencia del principio de territorialidad de las normas y actos de las Comunidades Autónomas, recogido expresamente en el art. 115 EAC de 2006, no excluye su excepcional eficacia extraterritorial ni su proyección, incluso más allá del territorio español, siempre y cuando no se afecte a materias propias del ordenamiento internacional, ni se enerve o condicione el ejercicio de otras competencias que correspondan al Estado [SSTC 37/1981, de 16 de noviembre, FJ 1; 150/1990, de 4 de octubre, FJ 5; 165/1994, de 26 de mayo, FJJ 5 y 6; 126/2002, de 23 de mayo, FJ 9 a), 168/2004, de 6 de octubre, FJ 5; 3172010, de 28 de junio, FJ 63 y STC 80/2012, de 18 de abril, FJ 7 a)].</w:t>
      </w:r>
    </w:p>
    <w:p w:rsidR="00D06117" w:rsidRDefault="00D06117" w:rsidP="00D06117">
      <w:pPr>
        <w:pStyle w:val="TextoNormal"/>
      </w:pPr>
    </w:p>
    <w:p w:rsidR="00D06117" w:rsidRDefault="00D06117" w:rsidP="00D06117">
      <w:pPr>
        <w:pStyle w:val="TextoNormal"/>
      </w:pPr>
      <w:r>
        <w:t>La aplicación conjunta de ambos criterios —a los que ya habíamos aludido en nuestra STC 1/1986, de 10 de enero— nos llevó a la conclusión de que “la Comunidad Autónoma del País Vasco, en el ejercicio de su competencia exclusiva sobre deporte, no pued(e) prever que las federaciones vascas serán las ‘únicas representantes del deporte federado vasco’ con carácter general, pues ello implicaría que el legislador vasco está configurando el régimen o la regulación de determinadas facetas de la materia de deporte que afectan a la imagen exterior del Estado y que inciden en la esfera de intereses del deporte federado español en su conjunto; cuando, en realidad, se trata de decisiones que quedan al margen del poder de actuación de las Comunidades Autónomas y pertenecen forzosamente al del Estado, constituyendo, así, un límite externo al ejercicio de esa competencia exclusiva autonómica” (STC 80/2012, de 18 de abril, FJ 10).</w:t>
      </w:r>
    </w:p>
    <w:p w:rsidR="00D06117" w:rsidRDefault="00D06117" w:rsidP="00D06117">
      <w:pPr>
        <w:pStyle w:val="TextoNormal"/>
      </w:pPr>
    </w:p>
    <w:p w:rsidR="00D06117" w:rsidRDefault="00D06117" w:rsidP="00D06117">
      <w:pPr>
        <w:pStyle w:val="TextoNormal"/>
      </w:pPr>
      <w:r>
        <w:t>Ello no obstante, consideramos que cabía una interpretación conforme del art. 16 de la Ley del deporte del País Vasco siempre que esa configuración de las federaciones vascas como únicas representantes del deporte federado vasco en el ámbito internacional, reflejada en el art. 16.6 primer inciso de la Ley del deporte del País Vasco, se circunscribiese a aquellos espacios en los que no se produce una confluencia o concurrencia con la competencia que ostenta el Estado, siempre, dijimos entonces, “que se trate de deportes en los que no existan federaciones españolas, y que, en ningún caso, se impidan o perturben las competencias del Estado de coordinación y representación internacional del deporte español” (STC 80/2012, de 18 de abril, FFJJ 10 y 11).</w:t>
      </w:r>
    </w:p>
    <w:p w:rsidR="00D06117" w:rsidRDefault="00D06117" w:rsidP="00D06117">
      <w:pPr>
        <w:pStyle w:val="TextoNormal"/>
      </w:pPr>
    </w:p>
    <w:p w:rsidR="00D06117" w:rsidRDefault="00D06117" w:rsidP="00D06117">
      <w:pPr>
        <w:pStyle w:val="TextoNormal"/>
      </w:pPr>
      <w:r w:rsidRPr="00D06117">
        <w:rPr>
          <w:rStyle w:val="NumeroAFNegritaCaracter"/>
        </w:rPr>
        <w:t>6</w:t>
      </w:r>
      <w:r>
        <w:t>. La aplicación del canon de enjuiciamiento establecido en la STC 80/2012 —y sintetizado en el anterior fundamento jurídico— al art.19.2, primer inciso, de la Ley catalana del deporte ha de conducirnos, necesariamente, a la desestimación de este recurso de inconstitucionalidad, con la interpretación conforme que seguidamente se indica.</w:t>
      </w:r>
    </w:p>
    <w:p w:rsidR="00D06117" w:rsidRDefault="00D06117" w:rsidP="00D06117">
      <w:pPr>
        <w:pStyle w:val="TextoNormal"/>
      </w:pPr>
    </w:p>
    <w:p w:rsidR="00D06117" w:rsidRDefault="00D06117" w:rsidP="00D06117">
      <w:pPr>
        <w:pStyle w:val="TextoNormal"/>
      </w:pPr>
      <w:r>
        <w:t xml:space="preserve">Conviene reiterar, en este punto, que la discrepancia entre las partes se refiere a la configuración de las federaciones catalanas de cada modalidad deportiva como representantes del deporte federado catalán en ámbitos supraautonómicos, en su concreta proyección en el ámbito internacional y en la medida en que el Abogado del Estado interpreta dicha previsión en términos de exclusividad. No se cuestiona, así, la representación que el art. 19.2, primer inciso, de la Ley del deporte de Cataluña atribuye a las federaciones catalanas en el ámbito </w:t>
      </w:r>
      <w:r>
        <w:lastRenderedPageBreak/>
        <w:t>estatal; como tampoco la representación que puedan ostentar dichas federaciones en el ámbito internacional —posibilidad que ya ha sido admitida por este Tribunal en la STC 1/1986, de 10 de enero (FJ 3)—. Lo controvertido es, por tanto, el carácter exclusivo de esa representación del deporte catalán en el ámbito internacional que el Abogado del Estado lee en el precepto impugnado y considera la única interpretación posible del mismo —trayendo a colación diversas afirmaciones contenidas en el preámbulo de la Ley 9/1999, de 30 de julio, que hacen referencia al “deseo del deporte catalán de disfrutar de representación internacional” como un objetivo “muy arraigado en el tiempo”—.</w:t>
      </w:r>
    </w:p>
    <w:p w:rsidR="00D06117" w:rsidRDefault="00D06117" w:rsidP="00D06117">
      <w:pPr>
        <w:pStyle w:val="TextoNormal"/>
      </w:pPr>
    </w:p>
    <w:p w:rsidR="00D06117" w:rsidRDefault="00D06117" w:rsidP="00D06117">
      <w:pPr>
        <w:pStyle w:val="TextoNormal"/>
      </w:pPr>
      <w:r>
        <w:t>Pero no puede aceptarse este planteamiento, pues la norma impugnada, al contrario que la vasca correspondiente, no contiene referencia alguna al carácter exclusivo o excluyente de la representación que se atribuye a las federaciones catalanas en ámbitos supraautonómicos —en particular, en el internacional—. Ciertamente, como apunta el Abogado del Estado, el preámbulo de la Ley 9/1999, de 30 de julio, de selecciones catalanas que dio nueva redacción al precepto controvertido subraya “el deseo del deporte catalán de disfrutar de representación internacional” como un objetivo “muy arraigado en el tiempo”, apuntando ejemplos históricos de dicha participación del deporte catalán en competiciones deportivas internacionales. Sin embargo, esta concepción “universal del deporte” —como se dice en el preámbulo— no necesariamente implica una invasión de la competencia estatal en la defensa de los intereses generales del deporte federado español en su conjunto, ni necesariamente la enerva o la condiciona.</w:t>
      </w:r>
    </w:p>
    <w:p w:rsidR="00D06117" w:rsidRDefault="00D06117" w:rsidP="00D06117">
      <w:pPr>
        <w:pStyle w:val="TextoNormal"/>
      </w:pPr>
    </w:p>
    <w:p w:rsidR="00D06117" w:rsidRDefault="00D06117" w:rsidP="00D06117">
      <w:pPr>
        <w:pStyle w:val="TextoNormal"/>
      </w:pPr>
      <w:r>
        <w:t>Y es que, como hemos subrayado en el fundamento jurídico anterior, el precepto impugnado debe leerse en el sentido de que la representación internacional del deporte federado catalán por las federaciones catalanas es constitucional siempre que no se produzca la confluencia de sus intereses con los intereses propios del deporte federado español en su conjunto. Así, como dijimos en la STC 80/2012, “es en ese espacio en el que no se produce una confluencia o concurrencia con la competencia que ostenta el Estado en relación con la dimensión internacional del deporte, donde la previsión del art. 16.6, primer inciso, adquiere todo su sentido, sin perturbar la competencia estatal ni quebrar la estructura piramidal del deporte. Se trata de supuestos que no corresponde deslindar a este Tribunal pero a los que se refiere expresamente el Abogado del Estado en sus alegaciones: participación del deporte federado vasco en competiciones internacionales no oficiales; en competiciones internacionales oficiales de modalidades deportivas para las que no se haya creado una federación española; o en eventos deportivos en los que no participen selecciones nacionales de otros Estados o países y/o cuenten con la preceptiva autorización del Consejo Superior de Deportes” (FJ 10). En definitiva, las federaciones catalanas podrán participar directamente en eventos deportivos internacionales siempre que no se produzca una confluencia entre el interés nacional del que es portador el deporte federado español y el interés propio de la Comunidad Autónoma en la proyección exterior de su actividad deportiva, con respeto, a lo establecido en la normativa estatal y a los estatutos de la federación internacional de que se trate.</w:t>
      </w:r>
    </w:p>
    <w:p w:rsidR="00D06117" w:rsidRDefault="00D06117" w:rsidP="00D06117">
      <w:pPr>
        <w:pStyle w:val="TextoNormal"/>
      </w:pPr>
    </w:p>
    <w:p w:rsidR="00D06117" w:rsidRDefault="00D06117" w:rsidP="00D06117">
      <w:pPr>
        <w:pStyle w:val="TextoNormal"/>
      </w:pPr>
      <w:r>
        <w:t>Que esta interpretación es la que subyace a la normativa catalana se desprende, además, de la lectura integrada del art. 19.2 primer inciso con el art. 19.1 de la Ley del deporte de Cataluña en cuanto prevé que “las federaciones deportivas catalanas pueden solicitar la integración como miembros de las correspondientes federaciones de ámbitos supraautonómi</w:t>
      </w:r>
      <w:r>
        <w:lastRenderedPageBreak/>
        <w:t>cos y en otras entidades a los efectos de participar, desarrollar y organizar actividades deportivas en estos ámbitos, en los términos que establezcan las respectivas normas estatutarias y su aplicación”.</w:t>
      </w:r>
    </w:p>
    <w:p w:rsidR="00D06117" w:rsidRDefault="00D06117" w:rsidP="00D06117">
      <w:pPr>
        <w:pStyle w:val="TextoNormal"/>
      </w:pPr>
    </w:p>
    <w:p w:rsidR="00D06117" w:rsidRDefault="00D06117" w:rsidP="00D06117">
      <w:pPr>
        <w:pStyle w:val="TextoNormal"/>
      </w:pPr>
      <w:r w:rsidRPr="00D06117">
        <w:rPr>
          <w:rStyle w:val="NumeroAFNegritaCaracter"/>
        </w:rPr>
        <w:t>7</w:t>
      </w:r>
      <w:r>
        <w:t>. En conclusión, el primer inciso del art. 19.2 de la Ley del deporte de Cataluña según el cual las federaciones catalanas de cada modalidad deportiva serán las representantes del deporte federado catalán en ámbitos supraautonómicos “es constitucional siempre que se trate de deportes en los que no existan federaciones españolas y que, en ningún caso, se impidan o perturben las competencias del Estado de coordinación y representación internacional del deporte español.” (STC 80/2012, FJ 11).</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recurso de inconstitucionalidad núm. 4596-1999 interpuesto por el Presidente del Gobierno de la Nación y declarar que el inciso primero del art. 19.2 de la Ley del Parlamento de Cataluña 8/1988, de 7 de abril, del deporte, en la redacción dada al mismo por el art. 2 de la Ley 9/1999, de 30 de julio, de apoyo a las selecciones catalanas, es constitucional en los términos establecidos en el fundamento jurídico 7.</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veintitrés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4" w:name="SENTENCIA_2012_111"/>
      <w:r>
        <w:lastRenderedPageBreak/>
        <w:t>SENTENCIA 111/2012, de 24 de mayo de 2012</w:t>
      </w:r>
    </w:p>
    <w:bookmarkEnd w:id="11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ECLI:ES:TC:2012:111</w:t>
      </w:r>
    </w:p>
    <w:p w:rsidR="00D06117" w:rsidRDefault="00D06117" w:rsidP="00D06117">
      <w:pPr>
        <w:pStyle w:val="SntesisDescriptiva"/>
      </w:pPr>
    </w:p>
    <w:p w:rsidR="00D06117" w:rsidRDefault="00D06117" w:rsidP="00D06117">
      <w:pPr>
        <w:pStyle w:val="SntesisDescriptiva"/>
      </w:pPr>
      <w:r>
        <w:t>Recurso de inconstitucionalidad 4937-2002, 5305-2002. Promovidos por el Gobierno de la Generalitat de Cataluña y el Parlamento de Cataluña en relación con diversos preceptos de la Ley Orgánica 5/2002, de las cualificaciones y de la formación profesional.</w:t>
      </w:r>
    </w:p>
    <w:p w:rsidR="00D06117" w:rsidRDefault="00D06117" w:rsidP="00D06117">
      <w:pPr>
        <w:pStyle w:val="SntesisDescriptiva"/>
      </w:pPr>
    </w:p>
    <w:p w:rsidR="00D06117" w:rsidRDefault="00D06117" w:rsidP="00D06117">
      <w:pPr>
        <w:pStyle w:val="SntesisAnaltica"/>
      </w:pPr>
      <w:r>
        <w:t>Competencias sobre condiciones básicas de igualdad, trabajo y relaciones laborales y educación: nulidad de la reserva al Estado del desarrollo exclusivo de diversas previsiones legales.</w:t>
      </w:r>
    </w:p>
    <w:p w:rsidR="00D06117" w:rsidRDefault="00D06117" w:rsidP="00D06117">
      <w:pPr>
        <w:pStyle w:val="SntesisAnaltica"/>
      </w:pPr>
    </w:p>
    <w:p w:rsidR="00D06117" w:rsidRDefault="00D06117" w:rsidP="00D06117">
      <w:pPr>
        <w:pStyle w:val="Extracto"/>
      </w:pPr>
      <w:r>
        <w:t>1.</w:t>
      </w:r>
      <w:r>
        <w:tab/>
        <w:t>La formación profesional reglada se incluye en el sistema educativo, en el que los saberes o cualificación con base en aptitudes específicas se imparten y están dirigidos, previa estratificación en niveles y grados, a la obtención de títulos académicos o profesionales que habilitan para el ejercicio de determinadas profesiones u oficios, encuadrándose en el ámbito de las competencias relativas a la educación (STC 95/2002) [FFJJ 3, 4].</w:t>
      </w:r>
    </w:p>
    <w:p w:rsidR="00D06117" w:rsidRDefault="00D06117" w:rsidP="00D06117">
      <w:pPr>
        <w:pStyle w:val="Extracto"/>
      </w:pPr>
    </w:p>
    <w:p w:rsidR="00D06117" w:rsidRDefault="00D06117" w:rsidP="00D06117">
      <w:pPr>
        <w:pStyle w:val="Extracto"/>
      </w:pPr>
      <w:r>
        <w:t>2.</w:t>
      </w:r>
      <w:r>
        <w:tab/>
        <w:t>La formación profesional continua busca el mantenimiento, a lo largo de la vida laboral, de las aptitudes y cualificaciones profesionales en su día alcanzadas y que capacitaron para acceder al puesto de trabajo, con el fin de dotar a los trabajadores asalariados de los adecuados instrumentos formativos para para garantizar la formación y readaptación profesionales de los trabajadores ante los nuevos y acelerados cambios tecnológicos, ex art. 40.2 CE, encuadrándose en las competencias relacionadas con la materia laboral (STC 95/2002) [FFJJ 3, 4].</w:t>
      </w:r>
    </w:p>
    <w:p w:rsidR="00D06117" w:rsidRDefault="00D06117" w:rsidP="00D06117">
      <w:pPr>
        <w:pStyle w:val="Extracto"/>
      </w:pPr>
    </w:p>
    <w:p w:rsidR="00D06117" w:rsidRDefault="00D06117" w:rsidP="00D06117">
      <w:pPr>
        <w:pStyle w:val="Extracto"/>
      </w:pPr>
      <w:r>
        <w:t>3.</w:t>
      </w:r>
      <w:r>
        <w:tab/>
        <w:t>Las competencias del Estado en materia educativa derivan, sobre todo, de lo dispuesto en las cláusulas 1 y 30 del art. 149.1 CE, arraigando dichas competencias en el derecho fundamental a la educación, ex art. 27 CE, cuyo ejercicio igualitario debe garantizar el Estado, lo que hace pasar a un segundo plano el alcance de la cláusula general del art. 149.1.1 CE, que se proyecta de un modo genérico sobre todos los derechos fundamentales (SSTC 6/1982, 77/1985, 188/2001) [FJ 5].</w:t>
      </w:r>
    </w:p>
    <w:p w:rsidR="00D06117" w:rsidRDefault="00D06117" w:rsidP="00D06117">
      <w:pPr>
        <w:pStyle w:val="Extracto"/>
      </w:pPr>
    </w:p>
    <w:p w:rsidR="00D06117" w:rsidRDefault="00D06117" w:rsidP="00D06117">
      <w:pPr>
        <w:pStyle w:val="Extracto"/>
      </w:pPr>
      <w:r>
        <w:t>4.</w:t>
      </w:r>
      <w:r>
        <w:tab/>
        <w:t>La competencia exclusiva del Estado, ex art. 149.1.30 CE, para la regulación de las condiciones de obtención, expedición y homologación de títulos académicos y profesionales comprende la de establecer los títulos correspondientes a cada nivel y ciclo educativo, en sus distintas modalidades, con valor habilitante tanto desde el punto de vista académico como para el ejercicio de las profesiones tituladas, así como comprende también la competencia para expedir los títulos correspondientes y para homologar los que no sean expedidos por el Estado (STC 42/19891) [FJ 5].</w:t>
      </w:r>
    </w:p>
    <w:p w:rsidR="00D06117" w:rsidRDefault="00D06117" w:rsidP="00D06117">
      <w:pPr>
        <w:pStyle w:val="Extracto"/>
      </w:pPr>
    </w:p>
    <w:p w:rsidR="00D06117" w:rsidRDefault="00D06117" w:rsidP="00D06117">
      <w:pPr>
        <w:pStyle w:val="Extracto"/>
      </w:pPr>
      <w:r>
        <w:t>5.</w:t>
      </w:r>
      <w:r>
        <w:tab/>
        <w:t>Doctrina sobre la distribución de competencias entre el Estado y la Generalitat de Cataluña en materia educativa [FJ 5].</w:t>
      </w:r>
    </w:p>
    <w:p w:rsidR="00D06117" w:rsidRDefault="00D06117" w:rsidP="00D06117">
      <w:pPr>
        <w:pStyle w:val="Extracto"/>
      </w:pPr>
    </w:p>
    <w:p w:rsidR="00D06117" w:rsidRDefault="00D06117" w:rsidP="00D06117">
      <w:pPr>
        <w:pStyle w:val="Extracto"/>
      </w:pPr>
      <w:r>
        <w:t>6.</w:t>
      </w:r>
      <w:r>
        <w:tab/>
        <w:t xml:space="preserve">La competencia estatal, </w:t>
      </w:r>
      <w:r w:rsidRPr="00D06117">
        <w:rPr>
          <w:i/>
        </w:rPr>
        <w:t>ex</w:t>
      </w:r>
      <w:r>
        <w:t xml:space="preserve"> art. 149.1.1 CE, permite al Estado una regulación de la materia educativa limitada al establecimiento de las condiciones básicas que garanticen la igualdad, pero no al diseño completo y acabado de su régimen jurídico, pues no cabe identificar el contenido normativo de los derechos constitucionales y las condiciones básicas con arreglo a las cuales dichos derechos han de ser ejercidos (SSTC 154/1988, 61/1977, 247/2007) [FJ 6].</w:t>
      </w:r>
    </w:p>
    <w:p w:rsidR="00D06117" w:rsidRDefault="00D06117" w:rsidP="00D06117">
      <w:pPr>
        <w:pStyle w:val="Extracto"/>
      </w:pPr>
    </w:p>
    <w:p w:rsidR="00D06117" w:rsidRDefault="00D06117" w:rsidP="00D06117">
      <w:pPr>
        <w:pStyle w:val="Extracto"/>
      </w:pPr>
      <w:r>
        <w:t>7.</w:t>
      </w:r>
      <w:r>
        <w:tab/>
        <w:t>Para la delimitación competencial de la formación profesional continua, sin perjuicio de la regla general que la enmarca en la esfera laboral, habrá que estarse, en último término, al ámbito en el que se desenvuelven las actividades formativas de los trabajadores ocupados en cada caso para determinar el encuadre material que resulte procedente y la distribución competencial que al mismo corresponda [FJ 7].</w:t>
      </w:r>
    </w:p>
    <w:p w:rsidR="00D06117" w:rsidRDefault="00D06117" w:rsidP="00D06117">
      <w:pPr>
        <w:pStyle w:val="Extracto"/>
      </w:pPr>
    </w:p>
    <w:p w:rsidR="00D06117" w:rsidRDefault="00D06117" w:rsidP="00D06117">
      <w:pPr>
        <w:pStyle w:val="Extracto"/>
      </w:pPr>
      <w:r>
        <w:t>8.</w:t>
      </w:r>
      <w:r>
        <w:tab/>
        <w:t>Doctrina sobre el orden constitucional de competencias en materia de formación profesional continua y ocupacional (SSTC 35/1982, 195/1996, 190/2002, 51/2006) [FJ 7].</w:t>
      </w:r>
    </w:p>
    <w:p w:rsidR="00D06117" w:rsidRDefault="00D06117" w:rsidP="00D06117">
      <w:pPr>
        <w:pStyle w:val="Extracto"/>
      </w:pPr>
    </w:p>
    <w:p w:rsidR="00D06117" w:rsidRDefault="00D06117" w:rsidP="00D06117">
      <w:pPr>
        <w:pStyle w:val="Extracto"/>
      </w:pPr>
      <w:r>
        <w:t>9.</w:t>
      </w:r>
      <w:r>
        <w:tab/>
        <w:t xml:space="preserve">La atribución al Estado de la regulación y coordinación del sistema nacional de cualificaciones y formación profesional no supone la asunción total del contenido formativo referido a la formación profesional reglada, ni el correlativo desconocimiento de las competencias que corresponden a la Generalitat de Cataluña en materia educativa, sino que es una lógica consecuencia de las competencias normativas que el Estado ostenta </w:t>
      </w:r>
      <w:r w:rsidRPr="00D06117">
        <w:rPr>
          <w:i/>
        </w:rPr>
        <w:t>ex</w:t>
      </w:r>
      <w:r>
        <w:t xml:space="preserve"> arts. 149.1.7 y 30 CE y de las competencias que corresponden a las Comunidades Autónomas en la materia, sin cuya existencia no tendría sentido la competencia de coordinación [FFJJ 8, 12 b) y c)].</w:t>
      </w:r>
    </w:p>
    <w:p w:rsidR="00D06117" w:rsidRDefault="00D06117" w:rsidP="00D06117">
      <w:pPr>
        <w:pStyle w:val="Extracto"/>
      </w:pPr>
    </w:p>
    <w:p w:rsidR="00D06117" w:rsidRDefault="00D06117" w:rsidP="00D06117">
      <w:pPr>
        <w:pStyle w:val="Extracto"/>
      </w:pPr>
      <w:r>
        <w:t>10.</w:t>
      </w:r>
      <w:r>
        <w:tab/>
        <w:t xml:space="preserve">El catálogo nacional de cualificaciones profesionales es un elemento clave del sistema nacional, puesto que permite adecuar permanentemente la formación a las necesidades de cada persona y del mercado laboral, y, en este sentido, resultan justificadas, </w:t>
      </w:r>
      <w:r w:rsidRPr="00D06117">
        <w:rPr>
          <w:i/>
        </w:rPr>
        <w:t>ex</w:t>
      </w:r>
      <w:r>
        <w:t xml:space="preserve"> art. 149.1.30 CE, las facultades que el artículo impugnado reserva al Gobierno en orden a determinar su estructura y contenido, a aprobar las cualificaciones que proceda incluir en el mismo, y a garantizar su actualización permanente [FJ 9, 12 d)].</w:t>
      </w:r>
    </w:p>
    <w:p w:rsidR="00D06117" w:rsidRDefault="00D06117" w:rsidP="00D06117">
      <w:pPr>
        <w:pStyle w:val="Extracto"/>
      </w:pPr>
    </w:p>
    <w:p w:rsidR="00D06117" w:rsidRDefault="00D06117" w:rsidP="00D06117">
      <w:pPr>
        <w:pStyle w:val="Extracto"/>
      </w:pPr>
      <w:r>
        <w:t>11.</w:t>
      </w:r>
      <w:r>
        <w:tab/>
        <w:t xml:space="preserve">Mientras el ámbito laboral es competencia exclusiva del Estado la íntegra regulación de la materia </w:t>
      </w:r>
      <w:r w:rsidRPr="00D06117">
        <w:rPr>
          <w:i/>
        </w:rPr>
        <w:t>ex</w:t>
      </w:r>
      <w:r>
        <w:t xml:space="preserve"> art. 149.1.7 CE, en la esfera educativa el Estado no tiene ese monopolio legislativo en virtud del art. 149.1.30 CE, debiendo quedar margen para que las Comunidades Autónomas ejerzan sus competencias normativas [FJ 10].</w:t>
      </w:r>
    </w:p>
    <w:p w:rsidR="00D06117" w:rsidRDefault="00D06117" w:rsidP="00D06117">
      <w:pPr>
        <w:pStyle w:val="Extracto"/>
      </w:pPr>
    </w:p>
    <w:p w:rsidR="00D06117" w:rsidRDefault="00D06117" w:rsidP="00D06117">
      <w:pPr>
        <w:pStyle w:val="Extracto"/>
      </w:pPr>
      <w:r>
        <w:t>12.</w:t>
      </w:r>
      <w:r>
        <w:tab/>
        <w:t xml:space="preserve">El precepto impugnado, que se enmarca en el campo del sistema educativo, no vulnera el orden constitucional de competencias ya que no reserva al Gobierno la íntegra regulación de los aspectos referidos a la evaluación y acreditación de las competencias profesionales, sino sólo de aquellos contenidos y criterios básicos que </w:t>
      </w:r>
      <w:r>
        <w:lastRenderedPageBreak/>
        <w:t>forman parte de las enseñanzas mínimas, por lo que queda un margen a las Comunidades Autónomas para desarrollar sus facultades normativas inherentes a las competencias que ostentan en la materia [FFJJ 10, 12 apartados a) y e)].</w:t>
      </w:r>
    </w:p>
    <w:p w:rsidR="00D06117" w:rsidRDefault="00D06117" w:rsidP="00D06117">
      <w:pPr>
        <w:pStyle w:val="Extracto"/>
      </w:pPr>
    </w:p>
    <w:p w:rsidR="00D06117" w:rsidRDefault="00D06117" w:rsidP="00D06117">
      <w:pPr>
        <w:pStyle w:val="Extracto"/>
      </w:pPr>
      <w:r>
        <w:t>13.</w:t>
      </w:r>
      <w:r>
        <w:tab/>
        <w:t>El precepto que regula la realización de actividades innovadoras y experimentales que lleve a cabo el Estado en materia de formación profesional, en el ámbito educativo, no impide el ejercicio de sus competencias por parte de las Comunidades Autónomas pues deja a salvo expresamente las competencias de las distintas Administraciones para establecer los requisitos específicos que deban reunir los centros de formación profesional, así como para crearlos, autorizarlos, homologarlos y gestionarlos (STC 38/1992) [FJ 11].</w:t>
      </w:r>
    </w:p>
    <w:p w:rsidR="00D06117" w:rsidRDefault="00D06117" w:rsidP="00D06117">
      <w:pPr>
        <w:pStyle w:val="Extracto"/>
      </w:pPr>
    </w:p>
    <w:p w:rsidR="00D06117" w:rsidRDefault="00D06117" w:rsidP="00D06117">
      <w:pPr>
        <w:pStyle w:val="Extracto"/>
      </w:pPr>
      <w:r>
        <w:t>14.</w:t>
      </w:r>
      <w:r>
        <w:tab/>
        <w:t>Dado que el traspaso de la titularidad de dos centros nacionales de formación profesional, sitos en el territorio de la Comunidad Autónoma de Cataluña, fue acompañada de la previsión de que continuaran ejecutando las funciones que tenían atribuidas, existen funciones ejecutivas relacionadas con la realización de actividades de carácter innovador y experimental que podrán desarrollarse a instancia de la Administración del Estado en dichos centros siempre y cuando el Estado se atenga a los límites marcados por los reales decretos de transferencias y mediando el correspondiente convenio de colaboración con las Comunidades Autónomas [FJ 11].</w:t>
      </w:r>
    </w:p>
    <w:p w:rsidR="00D06117" w:rsidRDefault="00D06117" w:rsidP="00D06117">
      <w:pPr>
        <w:pStyle w:val="Extracto"/>
      </w:pPr>
    </w:p>
    <w:p w:rsidR="00D06117" w:rsidRDefault="00D06117" w:rsidP="00D06117">
      <w:pPr>
        <w:pStyle w:val="Extracto"/>
      </w:pPr>
      <w:r>
        <w:t>15.</w:t>
      </w:r>
      <w:r>
        <w:tab/>
        <w:t>El título del primer inciso del art. 149.1.30 CE otorga plena competencia al Estado en el establecimiento de los títulos correspondientes a cada nivel y ciclo educativo, con valor habilitante tanto académicamente como para el ejercicio de las profesiones tituladas, así como para expedir los títulos correspondientes y homologar aquéllos que el Estado no haya expedido [FJ 12].</w:t>
      </w:r>
    </w:p>
    <w:p w:rsidR="00D06117" w:rsidRDefault="00D06117" w:rsidP="00D06117">
      <w:pPr>
        <w:pStyle w:val="Extracto"/>
      </w:pPr>
    </w:p>
    <w:p w:rsidR="00D06117" w:rsidRDefault="00D06117" w:rsidP="00D06117">
      <w:pPr>
        <w:pStyle w:val="Extracto"/>
      </w:pPr>
      <w:r>
        <w:t>16.</w:t>
      </w:r>
      <w:r>
        <w:tab/>
        <w:t>El título del art. 149.1.1 CE habilita al Estado para establecer las condiciones básicas que tienden a garantizar la igualdad en el ejercicio de los derechos constitucionales, fijando su contenido primario referido a las posiciones jurídicas fundamentales, pero no para establecer una normación completa y acabada del derecho de que se trate (STC 188/2001) [FJ 12].</w:t>
      </w:r>
    </w:p>
    <w:p w:rsidR="00D06117" w:rsidRDefault="00D06117" w:rsidP="00D06117">
      <w:pPr>
        <w:pStyle w:val="Extracto"/>
      </w:pPr>
    </w:p>
    <w:p w:rsidR="00D06117" w:rsidRDefault="00D06117" w:rsidP="00D06117">
      <w:pPr>
        <w:pStyle w:val="Extracto"/>
      </w:pPr>
      <w:r>
        <w:t>17.</w:t>
      </w:r>
      <w:r>
        <w:tab/>
        <w:t>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quién corresponde la ejecución del Derecho comunitario en el plano normativo o aplicativo, se ha de dilucidar teniendo en cuenta los criterios constitucionales y estatutarios de reparto de competencias en las materias afectadas (SSTC 236/1991, 33/2005) [FJ 12 b)].</w:t>
      </w:r>
    </w:p>
    <w:p w:rsidR="00D06117" w:rsidRDefault="00D06117" w:rsidP="00D06117">
      <w:pPr>
        <w:pStyle w:val="Extracto"/>
      </w:pPr>
    </w:p>
    <w:p w:rsidR="00D06117" w:rsidRDefault="00D06117" w:rsidP="00D06117">
      <w:pPr>
        <w:pStyle w:val="Extracto"/>
      </w:pPr>
      <w:r>
        <w:t>18.</w:t>
      </w:r>
      <w:r>
        <w:tab/>
        <w:t xml:space="preserve">La formación profesional inicial o reglada, que se desarrolla en el ámbito del sistema educativo y que conduce a la obtención de un título, no autoriza, sin más, a incardinar toda la materia en la competencia estatal </w:t>
      </w:r>
      <w:r w:rsidRPr="00D06117">
        <w:rPr>
          <w:i/>
        </w:rPr>
        <w:t>ex</w:t>
      </w:r>
      <w:r>
        <w:t xml:space="preserve"> art. 149.1.30 CE, ya que en su regulación deben participar necesariamente los niveles de gobierno estatal y </w:t>
      </w:r>
      <w:r>
        <w:lastRenderedPageBreak/>
        <w:t>autonómico, en cuanto se trata de una materia compartida entre el Estado y las Comunidades Autónomas (SSTC 6/1982, 134/1997) [FJ 12 f)].</w:t>
      </w:r>
    </w:p>
    <w:p w:rsidR="00D06117" w:rsidRDefault="00D06117" w:rsidP="00D06117">
      <w:pPr>
        <w:pStyle w:val="Extracto"/>
      </w:pPr>
    </w:p>
    <w:p w:rsidR="00D06117" w:rsidRDefault="00D06117" w:rsidP="00D06117">
      <w:pPr>
        <w:pStyle w:val="Extracto"/>
      </w:pPr>
      <w:r>
        <w:t>19.</w:t>
      </w:r>
      <w:r>
        <w:tab/>
        <w:t>La disposición impugnada violenta el orden constitucional y estatutario de distribución de competencias cuando reserva al Estado el desarrollo exclusivo del establecimiento de las áreas prioritarias que habrán de incorporarse a las ofertas formativas financiadas con cargo a recursos públicos, pues al Estado no le corresponde fijar íntegramente el contenido de las enseñanzas propias de la formación profesional, pudiendo las Comunidades Autónomas, en el ámbito de sus competencias, ampliar dichos contenidos [FJ 12 h)].</w:t>
      </w:r>
    </w:p>
    <w:p w:rsidR="00D06117" w:rsidRDefault="00D06117" w:rsidP="00D06117">
      <w:pPr>
        <w:pStyle w:val="Extracto"/>
      </w:pPr>
    </w:p>
    <w:p w:rsidR="00D06117" w:rsidRDefault="00D06117" w:rsidP="00D06117">
      <w:pPr>
        <w:pStyle w:val="Extracto"/>
      </w:pPr>
      <w:r>
        <w:t>20.</w:t>
      </w:r>
      <w:r>
        <w:tab/>
        <w:t>El posterior cambio normativo que se ha producido en la ley impugnada, dada la incidencia menor que esas modificaciones tienen sobre los preceptos impugnados, no ha originado la desaparición del objeto del presente recurso, en la medida en que persiste el interés en la determinación de la titularidad de las competencias controvertidas [FJ 2].</w:t>
      </w:r>
    </w:p>
    <w:p w:rsidR="00D06117" w:rsidRDefault="00D06117" w:rsidP="00D06117">
      <w:pPr>
        <w:pStyle w:val="Extracto"/>
      </w:pPr>
    </w:p>
    <w:p w:rsidR="00D06117" w:rsidRDefault="00D06117" w:rsidP="00D06117">
      <w:pPr>
        <w:pStyle w:val="Extracto"/>
      </w:pPr>
      <w:r>
        <w:t>21.</w:t>
      </w:r>
      <w:r>
        <w:tab/>
        <w:t xml:space="preserve">Aplica la doctrina sobre el </w:t>
      </w:r>
      <w:r w:rsidRPr="00D06117">
        <w:rPr>
          <w:i/>
        </w:rPr>
        <w:t>ius superveniens</w:t>
      </w:r>
      <w:r>
        <w:t>, según la cual el control de las normas que incurren en un posible exceso competencial debe hacerse de acuerdo con las normas del bloque de la constitucionalidad vigentes en el momento de dictar Sentencia (SSTC 135/2006, 5/2012)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los recursos de inconstitucionalidad acumulados núms. 4937-2002 y 5305-2002, promovido el primero por el Gobierno de la Generalitat de Cataluña, representado por la Abogada de la Generalitat de Cataluña, frente a los arts. 5.1, 7, 8.4 y 11.7, así como la disposición final primera, apartado 2, párrafos primero y segundo, de la Ley Orgánica 5/2002, de 19 de junio, de las cualificaciones y de la formación profesional, e interpuesto el segundo por el Parlamento de Cataluña, representado por su Letrada, contra los arts. 5.1, 8.4 y 11.7, así como la disposición final primera, apartado 2, párrafos primero y segundo, de la misma ley. Han comparecido y formulado alegaciones el Abogado del Estado, en la representación que ostenta, y el Letrado de las Cortes Generales-jefe de la asesoría jurídica del Senado en representación de dicha Cámara.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29 de agosto de 2002, la Abogada de la Generalitat de Cataluña, en la representación que ostenta, interpuso recurso de inconstitucionalidad contra los arts. 5.1, 7, 8.4 y 11.7, así como la disposición final primera, apartado 2, párrafos primero y segundo, de la Ley Orgánica 5/2002, de 19 de junio, de las cualificaciones y de la formación profesional. El recurso quedó registrado con el núm. 4937-2002.</w:t>
      </w:r>
    </w:p>
    <w:p w:rsidR="00D06117" w:rsidRDefault="00D06117" w:rsidP="00D06117">
      <w:pPr>
        <w:pStyle w:val="TextoNormal"/>
      </w:pPr>
    </w:p>
    <w:p w:rsidR="00D06117" w:rsidRDefault="00D06117" w:rsidP="00D06117">
      <w:pPr>
        <w:pStyle w:val="TextoNormal"/>
      </w:pPr>
      <w:r>
        <w:t>El recurso se fundamenta, en síntesis, en las siguientes alegaciones:</w:t>
      </w:r>
    </w:p>
    <w:p w:rsidR="00D06117" w:rsidRDefault="00D06117" w:rsidP="00D06117">
      <w:pPr>
        <w:pStyle w:val="TextoNormal"/>
      </w:pPr>
    </w:p>
    <w:p w:rsidR="00D06117" w:rsidRDefault="00D06117" w:rsidP="00D06117">
      <w:pPr>
        <w:pStyle w:val="TextoNormal"/>
      </w:pPr>
      <w:r>
        <w:t>a) En primer lugar, se realiza un examen general de su objeto, señalando que la norma impugnada pretende establecer un nuevo sistema de formación profesional y un nuevo diseño de las calificaciones referidas a ese ámbito, sin reconocer a las Comunidades Autónomas la intervención sustantiva que les corresponde en dicho sistema, de acuerdo con las competencias asumidas. Aclara el recurso que no se dirigen las alegaciones contra el objetivo expresado por el legislador de aunar y unificar la regulación de las diversas ofertas o modalidades de formación profesional —reglada, ocupacional y continua— sino contra su concreta articulación, que excluye o minimiza la intervención autonómica, vaciando la competencia plena de la Generalitat en materia de enseñanza [art. 15 del Estatuto de Autonomía de Cataluña (EAC) de 1979], así como sus competencias en materia de ejecución laboral y de planificación de la actividad económica de Cataluña (arts. 11.2 y 12.1.1 EAC).</w:t>
      </w:r>
    </w:p>
    <w:p w:rsidR="00D06117" w:rsidRDefault="00D06117" w:rsidP="00D06117">
      <w:pPr>
        <w:pStyle w:val="TextoNormal"/>
      </w:pPr>
    </w:p>
    <w:p w:rsidR="00D06117" w:rsidRDefault="00D06117" w:rsidP="00D06117">
      <w:pPr>
        <w:pStyle w:val="TextoNormal"/>
      </w:pPr>
      <w:r>
        <w:t>b) A continuación, procede la Letrada autonómica a determinar el ámbito material y el marco competencial relativos a la norma objeto del recurso de inconstitucionalidad, señalando que el art. 9.1 de la Ley Orgánica 5/2002 incluye una definición de la formación profesional que supone una nueva concepción de la misma; se trata de una concepción integrada, a partir de la creación de un sistema nacional de cualificaciones profesionales. Dicho sistema viene a sustituir al hasta ahora regulado a partir del art. 30 de la Ley Orgánica de ordenación general del sistema educativo (LOGSE), que distinguía entre la formación profesional reglada o inicial, integrada en el sistema educativo, y la formación profesional continua y ocupacional, reguladas al margen del sistema educativo por una normativa específica (laboral), si bien debía garantizarse la coordinación de ambas ofertas de formación profesional (cita en su apoyo la STC 95/2002, FJ 6).</w:t>
      </w:r>
    </w:p>
    <w:p w:rsidR="00D06117" w:rsidRDefault="00D06117" w:rsidP="00D06117">
      <w:pPr>
        <w:pStyle w:val="TextoNormal"/>
      </w:pPr>
    </w:p>
    <w:p w:rsidR="00D06117" w:rsidRDefault="00D06117" w:rsidP="00D06117">
      <w:pPr>
        <w:pStyle w:val="TextoNormal"/>
      </w:pPr>
      <w:r>
        <w:t>Realizando una breve descripción de los títulos competenciales en los que se fundamenta la Ley Orgánica 5/2002, se resalta la previsión del art. 149.1.30 CE que, a juicio de la Letrada autonómica, se ha de poner en relación con las contenidas en los respectivos Estatutos de Autonomía, y, concretamente para Cataluña, en el art. 15 EAC, en el que se establece la competencia plena de la Generalitat en la regulación y administración de la enseñanza en toda su extensión, niveles y grados, modalidades y especialidades, sin perjuicio del art. 27 CE y las leyes orgánicas que lo desarrollen, así como las facultades atribuidas al Estado por el art. 149.1.30 CE.</w:t>
      </w:r>
    </w:p>
    <w:p w:rsidR="00D06117" w:rsidRDefault="00D06117" w:rsidP="00D06117">
      <w:pPr>
        <w:pStyle w:val="TextoNormal"/>
      </w:pPr>
    </w:p>
    <w:p w:rsidR="00D06117" w:rsidRDefault="00D06117" w:rsidP="00D06117">
      <w:pPr>
        <w:pStyle w:val="TextoNormal"/>
      </w:pPr>
      <w:r>
        <w:lastRenderedPageBreak/>
        <w:t>Asimismo, se afirma que la invocación del art. 149.1.1 CE realizada en la Ley Orgánica 5/2002 se aleja de la realidad material sobre la que incide la regulación aprobada, sin comentario, explicación y justificación de su alcance, apareciendo citado a modo de refuerzo preventivo o adicional, siendo así que el Tribunal Constitucional ya ha observado que las normas de desarrollo del derecho fundamental a la educación se articulan competencialmente a través del art. 149.1.30 CE (STC 188/2001, FJ 12), aunque esa regla competencial no puede cobijar la exhaustiva reserva de competencias al Estado expresada en la Ley Orgánica 5/2002.</w:t>
      </w:r>
    </w:p>
    <w:p w:rsidR="00D06117" w:rsidRDefault="00D06117" w:rsidP="00D06117">
      <w:pPr>
        <w:pStyle w:val="TextoNormal"/>
      </w:pPr>
    </w:p>
    <w:p w:rsidR="00D06117" w:rsidRDefault="00D06117" w:rsidP="00D06117">
      <w:pPr>
        <w:pStyle w:val="TextoNormal"/>
      </w:pPr>
      <w:r>
        <w:t>Respecto a los títulos competenciales presentes en la formación profesional ocupacional y la continua, se invoca nuevamente la STC 95/2002 sobre su encuadramiento en la materia laboral y remisión al reparto competencial resultante del art. 149.1.7 CE en relación con el art. 11.2 EAC, conforme al cual a la Generalitat le ha sido atribuida la función ejecutiva de la legislación laboral, asumiendo todas las facultades, competencias y servicios que ostentaba antes el Estado. Así pues, el nuevo diseño de la formación profesional no puede olvidar que la ejecución en relación con esa formación profesional corresponde a las Comunidades Autónomas, habiendo sido traspasados ya a la Generalitat las funciones y los servicios en cuanto a la gestión de la formación profesional ocupacional en virtud de los Reales Decretos 1577/1991, de 18 de octubre, 47/1993, de 15 de enero, y 1050/1997, de 27 de junio, en mérito a los cuales asumió en Cataluña el ejercicio de las funciones que realizaba anteriormente el Instituto Nacional de Empleo, la ejecución del plan nacional de formación e inserción profesional, con los correspondientes centros, salvo dos centros nacionales cuya titularidad se reservó en aquel momento el Estado, pero que fueron transferidos posteriormente.</w:t>
      </w:r>
    </w:p>
    <w:p w:rsidR="00D06117" w:rsidRDefault="00D06117" w:rsidP="00D06117">
      <w:pPr>
        <w:pStyle w:val="TextoNormal"/>
      </w:pPr>
    </w:p>
    <w:p w:rsidR="00D06117" w:rsidRDefault="00D06117" w:rsidP="00D06117">
      <w:pPr>
        <w:pStyle w:val="TextoNormal"/>
      </w:pPr>
      <w:r>
        <w:t>La ubicación de la formación profesional ocupacional continua en la relación de trabajo se convierte ahora en una característica peculiar dentro de la regulación general de una formación profesional que pretende cubrir las necesidades del mercado de trabajo, según figura en la exposición de motivos de la ley impugnada, aproximándose las que antes eran formación profesional reglada o inicial y la ocupacional en el sentido de dar respuesta a las necesidades económicas del momento demandadas por el sector productivo. Sobre este extremo, es evidente —concluye— que han de tener también encaje en el ámbito material de la planificación económica en Cataluña funciones con una trascendencia económica tan destacada y que constituyen un elemento de dinamización económica de primer orden, como son las de dotar a los demandantes de empleo de los conocimientos y habilidades para incorporarse al mercado de trabajo y conservarlo, adaptándose a la evolución de las nuevas tecnologías, procesos productivos y servicios.</w:t>
      </w:r>
    </w:p>
    <w:p w:rsidR="00D06117" w:rsidRDefault="00D06117" w:rsidP="00D06117">
      <w:pPr>
        <w:pStyle w:val="TextoNormal"/>
      </w:pPr>
    </w:p>
    <w:p w:rsidR="00D06117" w:rsidRDefault="00D06117" w:rsidP="00D06117">
      <w:pPr>
        <w:pStyle w:val="TextoNormal"/>
      </w:pPr>
      <w:r>
        <w:t xml:space="preserve">c) El siguiente apartado del recurso de inconstitucionalidad se dedica a exponer las causas de inconstitucionalidad en que incurrirían los arts. 5.1, 7 y 8.4 de la Ley Orgánica 5/2002, que se sintetizan en la afectación de las competencias de la Generalitat como consecuencia de reservar a la Administración del Estado la íntegra regulación del nuevo sistema nacional de cualificaciones y formación profesional. En efecto, el Estado pretende asumir toda la regulación sustantiva del contenido formativo de la formación profesional a través del catálogo nacional de cualificaciones profesionales, con tal grado de detalle que evidencia la total asunción de la formación profesional, con perjuicio de las normas autonómicas y no “sin perjuicio” como reza el art. 5.1 de la Ley Orgánica 5/2002, lo cual no tiene encaje competencial en el art. 149.1.30 CE ni en el 149.1.1 CE, puesto que en el bloque de la </w:t>
      </w:r>
      <w:r>
        <w:lastRenderedPageBreak/>
        <w:t>constitucionalidad existe otro precepto, el art. 15 EAC que determina a quién corresponde la regulación debatida.</w:t>
      </w:r>
    </w:p>
    <w:p w:rsidR="00D06117" w:rsidRDefault="00D06117" w:rsidP="00D06117">
      <w:pPr>
        <w:pStyle w:val="TextoNormal"/>
      </w:pPr>
    </w:p>
    <w:p w:rsidR="00D06117" w:rsidRDefault="00D06117" w:rsidP="00D06117">
      <w:pPr>
        <w:pStyle w:val="TextoNormal"/>
      </w:pPr>
      <w:r>
        <w:t>El alcance del art. 5.1 de la Ley Orgánica 5/2002 es más profundo aún si se tiene en cuenta que a través de él, y en relación con los arts. 4.1 a) y 7, el Estado y su Administración pretenden reasumir la totalidad de la regulación de la formación profesional, con lo que también se reserva la íntegra regulación del catálogo nacional de cualificaciones profesionales definido en el art. 7, lo cual no es inconstitucional por resultar contrario a la LOGSE sino al art. 15 EAC. No deben llevar a engaño las referencias que realiza el art. 7 al mercado laboral y el sistema productivo, pues la disposición final primera.2 precisa que se dicta al amparo del art. 149.1.30 CE, y bajo esta habilitación pretende que también lo sea todo el desarrollo normativo que precise.</w:t>
      </w:r>
    </w:p>
    <w:p w:rsidR="00D06117" w:rsidRDefault="00D06117" w:rsidP="00D06117">
      <w:pPr>
        <w:pStyle w:val="TextoNormal"/>
      </w:pPr>
    </w:p>
    <w:p w:rsidR="00D06117" w:rsidRDefault="00D06117" w:rsidP="00D06117">
      <w:pPr>
        <w:pStyle w:val="TextoNormal"/>
      </w:pPr>
      <w:r>
        <w:t>Por otra parte, se señala que la intervención de la Generalitat en la formación profesional se había realizado pensando muy directamente en atender las necesidades y peculiaridades del sistema productivo en Cataluña, de acuerdo con las competencias recogidas en el art. 12.1.1 EAC, habiéndose creado órganos de consulta y asesoramiento del Gobierno de la Generalitat, con participación de los distintos sectores implicados. Pues bien, las previsiones contenidas en el art. 7 de la Ley Orgánica 5/2002 truncan esta actividad autonómica de iniciativa e intervención en la formación profesional como un todo, acaparando para el Estado un espacio normativo vital para poder ejercer esa relación entre educación y formación adaptada a las necesidades económicas del momento.</w:t>
      </w:r>
    </w:p>
    <w:p w:rsidR="00D06117" w:rsidRDefault="00D06117" w:rsidP="00D06117">
      <w:pPr>
        <w:pStyle w:val="TextoNormal"/>
      </w:pPr>
    </w:p>
    <w:p w:rsidR="00D06117" w:rsidRDefault="00D06117" w:rsidP="00D06117">
      <w:pPr>
        <w:pStyle w:val="TextoNormal"/>
      </w:pPr>
      <w:r>
        <w:t>d) Continúa el recurso defendiendo la inconstitucionalidad del art. 11.7 de la Ley Orgánica 5/2002 porque supone la reasunción por parte del Estado de los centros de formación profesional que ya habían sido traspasados tanto en materia de formación profesional educacional como ocupacional o laboral. Se significa especialmente que, de acuerdo con el último párrafo del art. 11, una función típicamente ejecutiva como es la programación y ejecución de acciones innovadoras o experimentales, que corresponde a la Generalitat de forma exclusiva, tanto desde el punto de vista de la enseñanza como desde la formación profesional ocupacional, se convierte en compartida, contraviniendo así el Estatuto de Autonomía de Cataluña y los reales decretos de traspasos, que no pueden ser derogados ni modificados por ley posterior, ni por acuerdo del Estado con otra entidad o con los interlocutores sociales (STC 95/2002, FJ 14). Es cierto que la STC 38/1992, de 23 de marzo, consideró acorde con la Constitución el art. 6 del Real Decreto 942/1986, de 9 de marzo, que contemplaba que el Ministerio de Educación y Ciencia podía llevar a término, en todo el territorio del Estado, experimentaciones educativas sobre materias de su competencia, pero el precepto analizado no se limita a esos aspectos ni establece distinción alguna en lo que respecta a las funciones innovadoras o experimentales, ya que, en su dicción literal, las comprende todas.</w:t>
      </w:r>
    </w:p>
    <w:p w:rsidR="00D06117" w:rsidRDefault="00D06117" w:rsidP="00D06117">
      <w:pPr>
        <w:pStyle w:val="TextoNormal"/>
      </w:pPr>
    </w:p>
    <w:p w:rsidR="00D06117" w:rsidRDefault="00D06117" w:rsidP="00D06117">
      <w:pPr>
        <w:pStyle w:val="TextoNormal"/>
      </w:pPr>
      <w:r>
        <w:t>e) Finalmente, se aduce en la demanda la inconstitucionalidad de la disposición final primera, apartado 2, párrafos primero y segundo, que reserva en exclusiva al Estado el desarrollo normativo de los demás preceptos objeto del recurso, en el ámbito del sistema educativo, siendo el resumen y la evidencia del vaciamiento de las competencias autonómicas, al excluir radicalmente toda posible regulación normativa de la Generalitat en ejercicio de los títulos competenciales enunciados en los arts. 11.2, 12.1.1 y 15 EAC.</w:t>
      </w:r>
    </w:p>
    <w:p w:rsidR="00D06117" w:rsidRDefault="00D06117" w:rsidP="00D06117">
      <w:pPr>
        <w:pStyle w:val="TextoNormal"/>
      </w:pPr>
    </w:p>
    <w:p w:rsidR="00D06117" w:rsidRDefault="00D06117" w:rsidP="00D06117">
      <w:pPr>
        <w:pStyle w:val="TextoNormal"/>
      </w:pPr>
      <w:r>
        <w:lastRenderedPageBreak/>
        <w:t>La Abogada de la Generalitat termina su escrito de alegaciones solicitando que se dicte Sentencia por la que se declare la inconstitucionalidad de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17 de septiembre de 2002, la Sección Cuarta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w:t>
      </w:r>
    </w:p>
    <w:p w:rsidR="00D06117" w:rsidRDefault="00D06117" w:rsidP="00D06117">
      <w:pPr>
        <w:pStyle w:val="TextoNormal"/>
      </w:pPr>
    </w:p>
    <w:p w:rsidR="00D06117" w:rsidRDefault="00D06117" w:rsidP="00D06117">
      <w:pPr>
        <w:pStyle w:val="TextoNormal"/>
      </w:pPr>
      <w:r w:rsidRPr="00D06117">
        <w:rPr>
          <w:rStyle w:val="NumeroAFNegritaCaracter"/>
        </w:rPr>
        <w:t>3</w:t>
      </w:r>
      <w:r>
        <w:t>. A través de escrito registrado en este Tribunal el 27 de septiembre de 2002, el Letrado de las Cortes Generales-jefe de la asesoría jurídica del Senado, compareció ante este Tribunal y solicitó ampliación del plazo para la personación y formulación de alegaciones en el presente proceso constitucional, ante la previsión de que se presentasen nuevos recursos contra la ley impugnada.</w:t>
      </w:r>
    </w:p>
    <w:p w:rsidR="00D06117" w:rsidRDefault="00D06117" w:rsidP="00D06117">
      <w:pPr>
        <w:pStyle w:val="TextoNormal"/>
      </w:pPr>
    </w:p>
    <w:p w:rsidR="00D06117" w:rsidRDefault="00D06117" w:rsidP="00D06117">
      <w:pPr>
        <w:pStyle w:val="TextoNormal"/>
      </w:pPr>
      <w:r>
        <w:t>Por providencia de 1 de octubre de 2002, la Sección Cuarta de este Tribunal acordó tener por personado al Letrado de las Cortes Generales-jefe de la asesoría jurídica del Senado en nombre de dicha Cámara, así como prorrogar en ocho días el plazo concedido para formular alegaciones.</w:t>
      </w:r>
    </w:p>
    <w:p w:rsidR="00D06117" w:rsidRDefault="00D06117" w:rsidP="00D06117">
      <w:pPr>
        <w:pStyle w:val="TextoNormal"/>
      </w:pPr>
    </w:p>
    <w:p w:rsidR="00D06117" w:rsidRDefault="00D06117" w:rsidP="00D06117">
      <w:pPr>
        <w:pStyle w:val="TextoNormal"/>
      </w:pPr>
      <w:r w:rsidRPr="00D06117">
        <w:rPr>
          <w:rStyle w:val="NumeroAFNegritaCaracter"/>
        </w:rPr>
        <w:t>4</w:t>
      </w:r>
      <w:r>
        <w:t>. En escrito recibido el 4 de octubre de 2002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5</w:t>
      </w:r>
      <w:r>
        <w:t>. El 10 de octubre de 2002 tuvo entrada en el Registro de este Tribunal el escrito de alegaciones del Abogado del Estado, que se resume en los siguientes términos:</w:t>
      </w:r>
    </w:p>
    <w:p w:rsidR="00D06117" w:rsidRDefault="00D06117" w:rsidP="00D06117">
      <w:pPr>
        <w:pStyle w:val="TextoNormal"/>
      </w:pPr>
    </w:p>
    <w:p w:rsidR="00D06117" w:rsidRDefault="00D06117" w:rsidP="00D06117">
      <w:pPr>
        <w:pStyle w:val="TextoNormal"/>
      </w:pPr>
      <w:r>
        <w:t>a) En primer lugar, en cuanto a la delimitación del objeto del recurso de inconstitucionalidad, se señala la imprecisión en que incurre la demanda en cuanto a la identificación de la parte de la disposición final primera.2 que se impugna, que no puede deducirse ni siquiera de las argumentaciones vertidas en el cuerpo del escrito de interposición. Asimismo, se observa que el recurso no impugna la calificación de “ley orgánica” que la disposición final segunda atribuye, entre otros, a los arts. 7, 8.4 y 11.7, estimándose especialmente significativo que no se impugne el apartado 3 de la disposición final primera, en la que se declara de competencia exclusiva del Estado el desarrollo de la ley en todo aquello que no se refiera a la regulación de la formación profesional en el ámbito del sistema educativo, sin perjuicio de su ejecución por los órganos de las Comunidades Autónomas.</w:t>
      </w:r>
    </w:p>
    <w:p w:rsidR="00D06117" w:rsidRDefault="00D06117" w:rsidP="00D06117">
      <w:pPr>
        <w:pStyle w:val="TextoNormal"/>
      </w:pPr>
    </w:p>
    <w:p w:rsidR="00D06117" w:rsidRDefault="00D06117" w:rsidP="00D06117">
      <w:pPr>
        <w:pStyle w:val="TextoNormal"/>
      </w:pPr>
      <w:r>
        <w:t xml:space="preserve">b) A continuación, realiza el Abogado del Estado unas consideraciones generales en torno a los argumentos contenidos en la demanda, resaltando el enfoque —que califica de confuso y completamente inexacto— con que el escrito de interposición del recurso plantea la finalidad general y los objetivos de la Ley Orgánica 5/2002. Señala que se alega constantemente la invasión de las competencias ejecutivas de la Comunidad Autónoma, siendo así </w:t>
      </w:r>
      <w:r>
        <w:lastRenderedPageBreak/>
        <w:t>que la ley recurrida no atribuye al Estado competencias de naturaleza ejecutiva, impugnándose bajo este genérico argumento atribuciones eminentemente normativas, de manera que el contenido de la ley orgánica es absolutamente congruente con la doctrina del Tribunal Constitucional acerca del carácter preponderantemente normativo de la competencia estatal en el ámbito de la educación (entre otras, STC 6/1982). Advierte el Abogado del Estado que en el recurso se incide en la idea de que la regulación anterior constituye un modelo prácticamente inamovible, teoría no admitida por el Tribunal Constitucional en numerosas ocasiones, entre otras, en la STC 135/1992, FJ 2. Por otro lado, el recurso no se dirige tanto contra el contenido sustantivo de la ley como contra su futuro desarrollo reglamentario (SSTC 5/1981, FJ 6, y 86/1982, FJ 1), siendo así que la Comunidad Autónoma dispone de instrumentos idóneos para reivindicar sus competencias con ocasión de tal desarrollo.</w:t>
      </w:r>
    </w:p>
    <w:p w:rsidR="00D06117" w:rsidRDefault="00D06117" w:rsidP="00D06117">
      <w:pPr>
        <w:pStyle w:val="TextoNormal"/>
      </w:pPr>
    </w:p>
    <w:p w:rsidR="00D06117" w:rsidRDefault="00D06117" w:rsidP="00D06117">
      <w:pPr>
        <w:pStyle w:val="TextoNormal"/>
      </w:pPr>
      <w:r>
        <w:t>Se refiere también el Abogado del Estado a la invocación del contenido de los reales decretos de traspasos a la Generalitat, señalando que, sin negarles el valor interpretativo que les otorga el Tribunal Constitucional, no puede extraerse de ahí un efecto como el pretendido en el recurso, que resta todo valor a las competencias legislativas reservadas al Estado antes y después de efectuarse los traspasos en los ámbitos educacional y laboral (STC 220/1992, FJ 16). De igual modo, en cuanto a la denuncia de la utilización del término “Administración General del Estado” en lugar de “Estado” o “Gobierno”, aduce que, aunque se pueda establecer cierta distinción entre unos y otros términos, no son realidades completamente separadas, pues el Gobierno es la cabeza de la Administración y, como tal, su parte más importante. Es el poder ejecutivo mismo del Estado lo que se identifica con la Administración General del Estado, y ese poder lo constituye a nivel superior y propiamente político el Gobierno pero lo forma también con él toda la Administración que depende directamente de él.</w:t>
      </w:r>
    </w:p>
    <w:p w:rsidR="00D06117" w:rsidRDefault="00D06117" w:rsidP="00D06117">
      <w:pPr>
        <w:pStyle w:val="TextoNormal"/>
      </w:pPr>
    </w:p>
    <w:p w:rsidR="00D06117" w:rsidRDefault="00D06117" w:rsidP="00D06117">
      <w:pPr>
        <w:pStyle w:val="TextoNormal"/>
      </w:pPr>
      <w:r>
        <w:t>c) El siguiente apartado del escrito de alegaciones se refiere a la vigencia de la legislación educativa anterior, señalando la necesidad de describir el verdadero alcance y propósito de la nueva ley orgánica y su conjunción, no contradicción, con las leyes educativas y con los reglamentos estatales aprobados por el Gobierno, trayendo a colación lo dispuesto al final de la exposición de motivos de la ley impugnada, que “no deroga el actual marco legal de la formación profesional establecido por la Ley Orgánica 1/1990, de 3 de octubre, de ordenación general del sistema educativo”. Así, la redacción del art. 9 de la Ley Orgánica 5/2002, recoge y completa la esencia del art. 30 LOGSE, por lo que de ahí no puede inferirse la creación de un nuevo sistema de formación profesional que derogue todo lo anterior, ya que su objeto es la integración de los sistemas existentes. De los demás preceptos de la LOGSE sólo se vería afectado el art. 35.1, únicamente en relación con aspectos del procedimiento de elaboración de los títulos de formación profesional, ya que en la Ley Orgánica 5/2002 se prevé su establecimiento a partir del catálogo nacional de cualificaciones, en cuya elaboración participan las Comunidades Autónomas. Añade el representante del Estado que éstas siguen manteniendo su espacio competencial para elaborar los currículos correspondientes a partir de los títulos, para su ámbito territorial, adaptándolos a las características socioeconómicas, amparados en los arts. 4.2 y 35.1 LOGSE. Por su parte, la ley recurrida, en su art. 10.2 establece que las Administraciones educativas, en el ámbito de sus competencias, podrán ampliar los contenidos de los correspondientes títulos de formación profesional.</w:t>
      </w:r>
    </w:p>
    <w:p w:rsidR="00D06117" w:rsidRDefault="00D06117" w:rsidP="00D06117">
      <w:pPr>
        <w:pStyle w:val="TextoNormal"/>
      </w:pPr>
    </w:p>
    <w:p w:rsidR="00D06117" w:rsidRDefault="00D06117" w:rsidP="00D06117">
      <w:pPr>
        <w:pStyle w:val="TextoNormal"/>
      </w:pPr>
      <w:r>
        <w:lastRenderedPageBreak/>
        <w:t>d) Realiza también el escrito del Abogado del Estado una reflexión con respecto a los planteamientos generales sobre la formación profesional contenidos en la Ley Orgánica 5/2002 que, a su juicio, son necesarios para el adecuado encuadramiento competencial de la materia, dada la relevancia que tiene la distinción entre la formación profesional reglada, ocupacional y continua, comprensiva de un conjunto de acciones formativas que capacitan para el desempeño de las distintas profesiones. Indica que la formación profesional se configura, a partir de la LOGSE, como un solo sistema con los tres niveles indicados, justificándose dicha regulación especialmente en las exigencias del Derecho comunitario. Actualmente, la formación se adquiere fundamentalmente a través de tres vías: la formación profesional reglada, que se imparte a través del sistema educativo, regulada por la LOGSE, y cuya dirección y gestión es competencia de las Administraciones educativas, general o autonómicas, en función de las transferencias efectuadas, teniendo como finalidad la preparación de los alumnos para la actividad en un campo profesional. La formación profesional ocupacional se encuentra excluida del sistema educativo español y se ha desarrollado a través de los dos planes nacionales de formación de inserción profesional (1985 y 1993), y está regulada por la Ley 51/1980, básica de empleo. Su dirección y gestión corresponde a las administraciones laborales, y ha sido reglamentariamente desarrollada por el Real Decreto 631/1993, de 3 de mayo, conduciendo a la obtención de certificados de profesionalidad. Su objetivo general se dirige prioritariamente a potenciar la inserción y reinserción profesionales de la población demandante de empleo. La formación profesional continua está sancionada también por la Ley básica de empleo, tiene como finalidad la mejora de las competencias y cualificaciones de los trabajadores ocupados y se desarrolla fundamentalmente a través de las empresas y de los trabajadores y sus organizaciones. No conduce a titulación o certificación con validez oficial, estando recogidas sus bases en el III Acuerdo nacional de formación continua, de 13 de diciembre de 2000.</w:t>
      </w:r>
    </w:p>
    <w:p w:rsidR="00D06117" w:rsidRDefault="00D06117" w:rsidP="00D06117">
      <w:pPr>
        <w:pStyle w:val="TextoNormal"/>
      </w:pPr>
    </w:p>
    <w:p w:rsidR="00D06117" w:rsidRDefault="00D06117" w:rsidP="00D06117">
      <w:pPr>
        <w:pStyle w:val="TextoNormal"/>
      </w:pPr>
      <w:r>
        <w:t xml:space="preserve">La Ley Orgánica de ordenación general del sistema educativo estableció como responsabilidad de las Administraciones públicas el garantizar la coordinación de las ofertas de formación profesional, pero esta previsión no pudo cumplimentarse por no disponer de un referente único de las cualificaciones profesionales requeridas por el sistema productivo. En este contexto se dicta la ley recurrida, que estableció el sistema nacional de cualificaciones y formación profesional que, coordinado con las políticas de empleo, supone la integración de las diversas ofertas formativas a través de las cualificaciones profesionales requeridas por el sistema productivo. En definitiva, las tres vías de formación descritas persiguen unos mismos objetivos pero no existían los convenientes mecanismos de relación y conexión entre ellas, siendo, precisamente, objetivo esencial de la Ley Orgánica 5/2002 la definición de los procedimientos e instrumentos que permitan la integración de esas vías. Se trata de una norma de rango superior que viene a ordenar un sistema integral de formación profesional coordinado con las políticas de empleo, creándose al servicio de esta finalidad fundamental el reiterado Sistema nacional de cualificaciones y formación profesional (arts. 2 a 6 de la Ley Orgánica 5/2002). A tal fin, tal sistema se concibe formado por un catálogo nacional de cualificaciones profesionales, que será el elemento principal en torno al que se establezcan el catálogo modular de formación asociada, el sistema de información y orientación en materia de formación y empleo, el proceso de evaluación, acreditación y registro de las cualificaciones, así como la evaluación y mejora de calidad del propio sistema. Evidentemente el sistema necesita de unos responsables de dirección y gestión, a cuyo efecto la ley establece los niveles de decisión, participación y gestión, de manera que la regulación y coordinación le corresponde a la Administración General del Estado, sin perjuicio de las </w:t>
      </w:r>
      <w:r>
        <w:lastRenderedPageBreak/>
        <w:t>competencias de las Comunidades Autónomas y de la participación de los agentes sociales. La participación de todos los factores implicados se realizará a través del Consejo General de la Formación Profesional, órgano consultivo y de participación institucional de las Administraciones públicas y de asesoramiento del Gobierno en materia de formación profesional. Asimismo, la gestión de carácter técnico le corresponde al órgano técnico de apoyo al referido consejo, que es el Instituto Nacional de las Cualificaciones Profesionales (art. 5.3).</w:t>
      </w:r>
    </w:p>
    <w:p w:rsidR="00D06117" w:rsidRDefault="00D06117" w:rsidP="00D06117">
      <w:pPr>
        <w:pStyle w:val="TextoNormal"/>
      </w:pPr>
    </w:p>
    <w:p w:rsidR="00D06117" w:rsidRDefault="00D06117" w:rsidP="00D06117">
      <w:pPr>
        <w:pStyle w:val="TextoNormal"/>
      </w:pPr>
      <w:r>
        <w:t>e) Aborda el Abogado del Estado, acto seguido, el examen de los títulos competenciales aplicables, afirmando que, de acuerdo con la estructura actual de la formación profesional, son correctos los títulos competenciales invocados en la disposición final primera de la Ley, sin que se afecten las transferencias realizadas a las Comunidades Autónomas de conformidad con la Constitución y los respectivos Estatutos de autonomía. La ley impugnada ha sido dictada en ejercicio de las competencias exclusivas que la Constitución reserva al Estado en el art. 149.1.1, 7 y 30. Por otra parte, hace referencia a la competencia plena que el Estatuto de Autonomía de Cataluña de 1979 atribuye a la Comunidad Autónoma en materia de enseñanza (art. 15 EAC), la relativa a la ejecución de la legislación del Estado en materia laboral (art. 11.2 EAC), y, finalmente, la competencia exclusiva en materia planificación de la actividad económica en Cataluña, de acuerdo con las bases y la ordenación de la actividad económica general y la política monetaria del Estado (art. 12.1.1 EAC).</w:t>
      </w:r>
    </w:p>
    <w:p w:rsidR="00D06117" w:rsidRDefault="00D06117" w:rsidP="00D06117">
      <w:pPr>
        <w:pStyle w:val="TextoNormal"/>
      </w:pPr>
    </w:p>
    <w:p w:rsidR="00D06117" w:rsidRDefault="00D06117" w:rsidP="00D06117">
      <w:pPr>
        <w:pStyle w:val="TextoNormal"/>
      </w:pPr>
      <w:r>
        <w:t>Sobre la base de la doctrina constitucional respecto al art. 149.1.1 CE, concluye el Abogado del Estado que esta habilitación no proporciona cobertura autónoma al contenido material de la ley, sino que sólo refuerza el campo acotado de las normas básicas para el desarrollo del art. 27 CE, añadiendo que la doctrina constitucional ha admitido, en conexión con dicho precepto, la legítima exigencia de una cierta homogeneidad social, lo que será aún más necesario cuando se trate de derechos fundamentales (SSTC 146/1986 y 154/1988). De esta forma, el art. 149.1.1 CE cumple una función habilitante de competencias estatales conexas con derechos constitucionales y se constituye en el fundamental instrumento del Estado para garantizar la uniformidad de las condiciones de vida en el territorio nacional.</w:t>
      </w:r>
    </w:p>
    <w:p w:rsidR="00D06117" w:rsidRDefault="00D06117" w:rsidP="00D06117">
      <w:pPr>
        <w:pStyle w:val="TextoNormal"/>
      </w:pPr>
    </w:p>
    <w:p w:rsidR="00D06117" w:rsidRDefault="00D06117" w:rsidP="00D06117">
      <w:pPr>
        <w:pStyle w:val="TextoNormal"/>
      </w:pPr>
      <w:r>
        <w:t>Por lo que se refiere al silencio legal respecto a la concurrencia de la competencia estatal ex art. 149.1.13 CE, sobre la ordenación general de la economía, se considera suficiente con reproducir lo señalado en la STC 95/2002, FJ 7, de donde resulta la innecesaria invocación competencial de dicho título, pues la finalidad perseguida por la ley no es tanto incidir en el mercado laboral desde criterios de política económica cuanto la de atender a un sector o subsistema de la formación profesional ocupacional. En conclusión, la regulación que introduce la Ley Orgánica 5/2002 no encuentra cobertura en dicha materia, sirviendo iguales razones para negar cualquier virtualidad en orden a atribuir a la Generalitat de Cataluña la competencia normativa y de ejecución reivindicada, con base en el art. 12.1.1 EAC, sobre “la planificación de la actividad económica de Cataluña”.</w:t>
      </w:r>
    </w:p>
    <w:p w:rsidR="00D06117" w:rsidRDefault="00D06117" w:rsidP="00D06117">
      <w:pPr>
        <w:pStyle w:val="TextoNormal"/>
      </w:pPr>
    </w:p>
    <w:p w:rsidR="00D06117" w:rsidRDefault="00D06117" w:rsidP="00D06117">
      <w:pPr>
        <w:pStyle w:val="TextoNormal"/>
      </w:pPr>
      <w:r>
        <w:t xml:space="preserve">A partir de los títulos expuestos, aborda el Abogado del Estado el encuadre del contenido de la Ley Orgánica 5/2002, mencionando, en primer lugar, la integración de la formación reglada en el sistema nacional, que considera conectada indudablemente con el art. 149.1.30, primer inciso, CE, aclarando que ello no sólo se aplica a la ley en la medida en que afecta a la formación profesional reglada, pues ha de tenerse en cuenta que el citado precepto constitucional también reserva al Estado la competencia exclusiva para regular las condiciones de homologación de títulos académicos y profesionales, dimensión clave para determinar el </w:t>
      </w:r>
      <w:r>
        <w:lastRenderedPageBreak/>
        <w:t>encaje competencial de la Ley Orgánica 5/2002, ya que el sistema nacional se apoya, en definitiva, en la integración de las distintas modalidades de formación profesional. A su juicio, la ley se encuadra en el ámbito de las normas básicas de desarrollo del art. 27 CE, al igual que la Ley Orgánica del derecho a la educación o la Ley Orgánica de ordenación general del sistema educativo, y es susceptible de desarrollo autonómico en todo lo que afecte al ámbito de las enseñanzas regladas que forman parte del sistema educativo, siendo la mención al art. 149.1.1 CE complementaria a la del art. 149.1.30 en relación con los derechos recogidos en el art. 27 CE, que es el marco constitucional correcto, y supone una acción constitucional reforzada del principio de igualdad en este punto (SSTC 64/1989, 189/1989, y 190/1989).</w:t>
      </w:r>
    </w:p>
    <w:p w:rsidR="00D06117" w:rsidRDefault="00D06117" w:rsidP="00D06117">
      <w:pPr>
        <w:pStyle w:val="TextoNormal"/>
      </w:pPr>
    </w:p>
    <w:p w:rsidR="00D06117" w:rsidRDefault="00D06117" w:rsidP="00D06117">
      <w:pPr>
        <w:pStyle w:val="TextoNormal"/>
      </w:pPr>
      <w:r>
        <w:t>Por lo que respecta a la concreta integración de la formación continua en el sistema nacional, la clara inserción de esta formación profesional en el seno de la relación laboral determina como encuadramiento material adecuado el de “legislación laboral” cuya distribución competencial se contienen en los arts. 149.1.7 CE y 11.2 EAC, si bien, con arreglo a este último el Estado se reserva todas las competencias cuando se trata de “fondos de ámbito nacional y de empleo, sin perjuicio de lo que establezcan las normas del Estado sobre estas materias”.</w:t>
      </w:r>
    </w:p>
    <w:p w:rsidR="00D06117" w:rsidRDefault="00D06117" w:rsidP="00D06117">
      <w:pPr>
        <w:pStyle w:val="TextoNormal"/>
      </w:pPr>
    </w:p>
    <w:p w:rsidR="00D06117" w:rsidRDefault="00D06117" w:rsidP="00D06117">
      <w:pPr>
        <w:pStyle w:val="TextoNormal"/>
      </w:pPr>
      <w:r>
        <w:t>f) El último apartado de su escrito de alegaciones lo dedica el Abogado del Estado al examen de los preceptos recurridos, comenzando por el art. 5.1, sobre el que afirma que poco hay que añadir a lo ya dicho con relación al sistema nacional que, según la exposición de motivos de la ley, toma como punto de partida los ámbitos competenciales del Estado y de las Comunidades Autónomas. Niega que el precepto reserve el íntegro desarrollo normativo al Estado, pues salvaguarda expresamente las competencias autonómicas, y los eventuales excesos que pudieran producirse en el futuro desarrollo reglamentario estatal deberían ser corregidos en su momento pero no pueden prejuzgarse ahora a través de una impugnación basada en una hipotética vulneración futura de las competencias autonómicas. Pone de relieve que el recurso silencia toda mención de la competencia estatal de coordinación contenida en el mismo precepto y, sin embargo, pretende la anulación de la totalidad del mismo. En definitiva, afirma que la declaración contenida en el art. 5.1 de la ley no es sino una consecuencia lógica de la competencia exclusiva del Estado ex art. 149.1.1 CE, que resulta compatible con la competencia plena de la Comunidad Autónoma en el plano no sólo legislativo, sino también ejecutivo.</w:t>
      </w:r>
    </w:p>
    <w:p w:rsidR="00D06117" w:rsidRDefault="00D06117" w:rsidP="00D06117">
      <w:pPr>
        <w:pStyle w:val="TextoNormal"/>
      </w:pPr>
    </w:p>
    <w:p w:rsidR="00D06117" w:rsidRDefault="00D06117" w:rsidP="00D06117">
      <w:pPr>
        <w:pStyle w:val="TextoNormal"/>
      </w:pPr>
      <w:r>
        <w:t>En cuanto a los arts. 7 y 8.4, comienza el Abogado del Estado por realizar una descripción de la regulación del catálogo nacional de las cualificaciones profesionales, concebido como pieza clave del sistema nacional de cualificaciones y formación profesional, ya que permite adecuar permanentemente la formación a las necesidades del mercado laboral y de cada persona, con el establecimiento de un sistema integrado de formación profesional, lo que, sin duda, redundará en beneficio de las personas y en el uso eficiente de los recursos. Alega que, realmente, lo que se impugna no es tanto el contenido del art. 7 como su relación con el art. 5.1 y la disposición final primera.2, de modo que los denunciados vicios de inconstitucionalidad por invasión de las competencias autonómicas no residirían en el art. 7, que en sí mismo no resulta cuestionable. Se trata pues de una auténtica impugnación preventiva (STC 147/1992), sin que pueda pretenderse que la legislación estatal quede petrificada con el contenido que tenga en un determinado momento.</w:t>
      </w:r>
    </w:p>
    <w:p w:rsidR="00D06117" w:rsidRDefault="00D06117" w:rsidP="00D06117">
      <w:pPr>
        <w:pStyle w:val="TextoNormal"/>
      </w:pPr>
    </w:p>
    <w:p w:rsidR="00D06117" w:rsidRDefault="00D06117" w:rsidP="00D06117">
      <w:pPr>
        <w:pStyle w:val="TextoNormal"/>
      </w:pPr>
      <w:r>
        <w:lastRenderedPageBreak/>
        <w:t>Con respecto al art. 8.4, se reitera lo dicho sobre la petrificación del ordenamiento y las impugnaciones preventivas, añadiendo su perfecto encaje en la competencia reservada al Estado ex art. 149.1.30 CE en materia de títulos académicos y profesionales, por cuanto los procedimientos para la evaluación y acreditación de las competencias profesionales conducen a la obtención de los correspondientes títulos. En todo caso, el precepto salvaguarda en cierto modo la participación autonómica al establecer la necesidad de consultar al Consejo General de la Formación Profesional con carácter previo, sin que, por lo demás, se aprecie una argumentación pormenorizada de la impugnación del art. 8.4, como demanda el Tribunal Constitucional.</w:t>
      </w:r>
    </w:p>
    <w:p w:rsidR="00D06117" w:rsidRDefault="00D06117" w:rsidP="00D06117">
      <w:pPr>
        <w:pStyle w:val="TextoNormal"/>
      </w:pPr>
    </w:p>
    <w:p w:rsidR="00D06117" w:rsidRDefault="00D06117" w:rsidP="00D06117">
      <w:pPr>
        <w:pStyle w:val="TextoNormal"/>
      </w:pPr>
      <w:r>
        <w:t>Por lo que se refiere al art. 11.7, señala el Abogado del Estado que regula dos aspectos que modifican la situación anterior: los centros integrados de formación profesional y la innovación-experimentación en materia de formación profesional. Sobre los primeros, indica el Abogado del Estado que son los que las Administraciones competentes creen o autoricen para impartir formación profesional en sus tres modalidades, por lo que tienen unas características singulares que los diferencian de los centros docentes ordinarios. Asimismo, el precepto analizado contiene un mandato a la Administración General de Estado para que desarrolle actividades de innovación y experimentación dentro del marco de competencias que al Estado corresponde en esta materia, que es el aspecto que se discute en la demanda. Obviamente, dichas actividades deberán estar directamente vinculadas a las materias sobre las que el Estado tenga atribuidas competencias y podrán llevarse a cabo en el ámbito de la propia Administración del Estado o requerir de la colaboración de las Comunidades Autónomas cuando incidan en el ámbito material sobre el que éstas tengan asumidas competencias, razón por la que se prevé que su desarrollo en centros específicos implantados en las Comunidades Autónomas requiera la previa conformidad de éstas, que se articulará a través de convenios de colaboración. Aduce el Abogado del Estado que la innovación y experimentación a las que se refiere el precepto es una materia de competencia del Ministerio de Educación, Cultura y Deporte, tal como se establece en el Real Decreto 942/1986, de 9 de mayo, habiéndolo declarado así la STC 38/1992, de 23 de marzo. Por último, se hace referencia a las competencias transferidas sobre formación profesional ocupacional a la Generalitat de Cataluña, mencionando detalladamente el proceso y las facultades y servicios transferidos en cada caso e indicando que en la transferencia de los últimos centros nacionales llevada a cabo por Real Decreto 1050/1997, de 27 de junio, se especificaba que continuarían ejecutando las funciones atribuidas por los arts. 17 y siguientes del Real Decreto 631/1993, de 3 de mayo, regulador del plan nacional de formación e inserción profesional, previendo la futura articulación de los mecanismos precisos para garantizar una adecuada colaboración entre las dos Administraciones. De esta forma, la redacción del art. 11.7 de la Ley Orgánica 5/2002 se muestra absolutamente respetuosa con las transferencias efectuadas en esta materia a favor de la recurrente, por cuanto además de dejar expresamente a salvo las correspondientes competencias autonómicas, asegura la deseada garantía de colaboración previendo la celebración de convenios entre las distintas Administraciones.</w:t>
      </w:r>
    </w:p>
    <w:p w:rsidR="00D06117" w:rsidRDefault="00D06117" w:rsidP="00D06117">
      <w:pPr>
        <w:pStyle w:val="TextoNormal"/>
      </w:pPr>
    </w:p>
    <w:p w:rsidR="00D06117" w:rsidRDefault="00D06117" w:rsidP="00D06117">
      <w:pPr>
        <w:pStyle w:val="TextoNormal"/>
      </w:pPr>
      <w:r>
        <w:t>Por último, en cuanto a la disposición final primera.2, párrafos primero y segundo, el Abogado del Estado se remite a las consideraciones ya realizadas, ante los sucintos argumentos del recurso, que se limita a remitirse a las alegaciones precedentes.</w:t>
      </w:r>
    </w:p>
    <w:p w:rsidR="00D06117" w:rsidRDefault="00D06117" w:rsidP="00D06117">
      <w:pPr>
        <w:pStyle w:val="TextoNormal"/>
      </w:pPr>
    </w:p>
    <w:p w:rsidR="00D06117" w:rsidRDefault="00D06117" w:rsidP="00D06117">
      <w:pPr>
        <w:pStyle w:val="TextoNormal"/>
      </w:pPr>
      <w:r>
        <w:t>Concluye el Abogado del Estado solicitando que se dicte Sentencia desestimando el recurso y declarando conformes a la Constitución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presentado el 18 de octubre de 2002, el Letrado de las Cortes Generales-jefe de la asesoría jurídica del Senado solicitó una nueva ampliación del plazo para formular alegaciones. Por providencia de la Sección Cuarta de 21 de octubre de 2002, se le prorrogó, excepcionalmente, dicho plazo en ocho días más.</w:t>
      </w:r>
    </w:p>
    <w:p w:rsidR="00D06117" w:rsidRDefault="00D06117" w:rsidP="00D06117">
      <w:pPr>
        <w:pStyle w:val="TextoNormal"/>
      </w:pPr>
    </w:p>
    <w:p w:rsidR="00D06117" w:rsidRDefault="00D06117" w:rsidP="00D06117">
      <w:pPr>
        <w:pStyle w:val="TextoNormal"/>
      </w:pPr>
      <w:r w:rsidRPr="00D06117">
        <w:rPr>
          <w:rStyle w:val="NumeroAFNegritaCaracter"/>
        </w:rPr>
        <w:t>7</w:t>
      </w:r>
      <w:r>
        <w:t>. El mismo Letrado presentó otro escrito el 30 de octubre de 2002, solicitando un nuevo aplazamiento para la formulación de alegaciones. La Sección Cuarta, en providencia de 12 de noviembre de 2002, acordó denegar lo solicitado, al no invocarse causa de fuerza mayor que pudiera justificar la solicitud.</w:t>
      </w:r>
    </w:p>
    <w:p w:rsidR="00D06117" w:rsidRDefault="00D06117" w:rsidP="00D06117">
      <w:pPr>
        <w:pStyle w:val="TextoNormal"/>
      </w:pPr>
    </w:p>
    <w:p w:rsidR="00D06117" w:rsidRDefault="00D06117" w:rsidP="00D06117">
      <w:pPr>
        <w:pStyle w:val="TextoNormal"/>
      </w:pPr>
      <w:r>
        <w:t>La representación del Senado no ha presentado escrito formulando alegaciones.</w:t>
      </w:r>
    </w:p>
    <w:p w:rsidR="00D06117" w:rsidRDefault="00D06117" w:rsidP="00D06117">
      <w:pPr>
        <w:pStyle w:val="TextoNormal"/>
      </w:pPr>
    </w:p>
    <w:p w:rsidR="00D06117" w:rsidRDefault="00D06117" w:rsidP="00D06117">
      <w:pPr>
        <w:pStyle w:val="TextoNormal"/>
      </w:pPr>
      <w:r w:rsidRPr="00D06117">
        <w:rPr>
          <w:rStyle w:val="NumeroAFNegritaCaracter"/>
        </w:rPr>
        <w:t>8</w:t>
      </w:r>
      <w:r>
        <w:t>. El 20 de septiembre de 2002 tuvo entrada en el Registro de este Tribunal escrito de la Letrada del Parlamento de Cataluña interponiendo recurso de inconstitucionalidad contra los arts. 5.1, 8.4 y 11.7, así como contra la disposición final primera, apartado 2, párrafos primero y segundo, en la medida en que considera competencia exclusiva del Estado el desarrollo de los arts. 4.1, letras b) y c), 6, apartados 3 y 4, 9, 11.6 y de la disposición adicional tercera, de la Ley Orgánica 5/2002, de 19 de junio, de cualificaciones y de formación profesional. El recurso quedó registrado con el núm. 5305-2002.</w:t>
      </w:r>
    </w:p>
    <w:p w:rsidR="00D06117" w:rsidRDefault="00D06117" w:rsidP="00D06117">
      <w:pPr>
        <w:pStyle w:val="TextoNormal"/>
      </w:pPr>
    </w:p>
    <w:p w:rsidR="00D06117" w:rsidRDefault="00D06117" w:rsidP="00D06117">
      <w:pPr>
        <w:pStyle w:val="TextoNormal"/>
      </w:pPr>
      <w:r>
        <w:t>Las alegaciones en las que se fundamenta el recurso se resumen en las siguientes:</w:t>
      </w:r>
    </w:p>
    <w:p w:rsidR="00D06117" w:rsidRDefault="00D06117" w:rsidP="00D06117">
      <w:pPr>
        <w:pStyle w:val="TextoNormal"/>
      </w:pPr>
    </w:p>
    <w:p w:rsidR="00D06117" w:rsidRDefault="00D06117" w:rsidP="00D06117">
      <w:pPr>
        <w:pStyle w:val="TextoNormal"/>
      </w:pPr>
      <w:r>
        <w:t>a) El recurso comienza refiriéndose al encuadramiento material de la formación profesional, señalando que ésta se ha desdoblado tradicionalmente, al menos, en dos grandes grupos: la formación profesional reglada o inicial, y la formación ocupacional (art. 30 LOGSE), distinción que ha tenido también traducción en el terreno de la gestión o ejecución, que en un caso corresponde a la administración educativa, y, en el otro, a la laboral, presentando también su correlativo reflejo en el bloque de la constitucionalidad (SSTC 45/1985 y 95/2002). Así, mientras la formación profesional reglada es susceptible de encuadramiento en los títulos competenciales relativos a la enseñanza (arts. 149.1.1 y 30 CE y 15 EAC), no ocurre lo mismo con la formación profesional ocupacional, que no se integra ni forma parte del sistema educativo, sino que se organiza a través de un conjunto de actividades, funciones e institutos jurídicos susceptibles de integrarse en una pluralidad de títulos competenciales, entre los que cabe reseñar los relativos a la materia laboral (arts. 149.1.7 CE y 11.2 EAC) y los referidos a la planificación económica (arts. 149.1.13 CE y 12.1.1 EAC), al ser una de las principales herramientas de las políticas activas de empleo (art. 40 CE), habiendo entendido el propio Tribunal Constitucional (SSTC 195/1996 y 95/2002) que el encuadramiento adecuado de la formación profesional continua es el de la “legislación laboral”.</w:t>
      </w:r>
    </w:p>
    <w:p w:rsidR="00D06117" w:rsidRDefault="00D06117" w:rsidP="00D06117">
      <w:pPr>
        <w:pStyle w:val="TextoNormal"/>
      </w:pPr>
    </w:p>
    <w:p w:rsidR="00D06117" w:rsidRDefault="00D06117" w:rsidP="00D06117">
      <w:pPr>
        <w:pStyle w:val="TextoNormal"/>
      </w:pPr>
      <w:r>
        <w:t xml:space="preserve">Siendo ello así, y dado que la Ley Orgánica 5/2002 tiene por objeto la creación de un sistema nacional de cualificaciones y formación profesional, que integre las diferentes modalidades de ésta, es obvio que la regulación contenida en dicha ley será fruto del ejercicio simultáneo de competencias estatales en los diferentes ámbitos materiales reseñados. Sin embargo ha de tenerse en cuenta que, desde el momento en que la ley crea un sistema integrado de enseñanza para los tres tipos de formación profesional, parece reconducir esta cuestión al ámbito competencial propio de la enseñanza. Así, la ley debe su carácter de </w:t>
      </w:r>
      <w:r>
        <w:lastRenderedPageBreak/>
        <w:t>orgánica precisamente al hecho de contener un desarrollo del derecho consagrado en el art. 27 CE, y, además, de su regulación se infiere que abunda en los aspectos comunes a las antes tres formaciones profesionales decantándose claramente por la regulación de los aspectos educativos, como queda reflejado en la disposición final primera. En definitiva, sin desconocer la trascendencia económica o la dimensión laboral de la nueva regulación, es lo cierto que la misma se encuadra preferentemente en el ámbito material de la enseñanza, en el que las Comunidades Autónomas, y concretamente la Generalitat de Cataluña, ostentan competencias legislativas de desarrollo y competencias ejecutivas (art. 15 EAC).</w:t>
      </w:r>
    </w:p>
    <w:p w:rsidR="00D06117" w:rsidRDefault="00D06117" w:rsidP="00D06117">
      <w:pPr>
        <w:pStyle w:val="TextoNormal"/>
      </w:pPr>
    </w:p>
    <w:p w:rsidR="00D06117" w:rsidRDefault="00D06117" w:rsidP="00D06117">
      <w:pPr>
        <w:pStyle w:val="TextoNormal"/>
      </w:pPr>
      <w:r>
        <w:t>b) El siguiente aspecto que se analiza en el recurso es el referido a la distribución competencial en materia de formación profesional, a partir de su encuadre preferente en la materia de enseñanza, invocándose los arts. 27 y 149.1.30 CE y 15 EAC, conforme a los cuales puede afirmarse que corresponde al Estado la elaboración de la normativa básica y a Cataluña la función legislativa de desarrollo y la de ejecución, insistiendo en el carácter esencialmente normativo de las competencias estatales (SSTC 6/1982 y 77/1985) y en la necesaria participación de los dos niveles de gobierno, estatal y autonómico, en la configuración del sistema educativo (SSTC 337/1994 y 134/1997). Tras citar la doctrina constitucional sobre la competencia exclusiva del Estado en la materia, se concluye que el legislador estatal dispone de un título competencial que le habilita para modificar la regulación de la formación profesional en el sistema educativo y para aunar y unificar, si lo cree oportuno, la regulación de las diversas modalidades de formación profesional, lo cual, sin embargo, no le permite excluir o minimizar la intervención autonómica en su desarrollo normativo y ejecutivo, porque ello supondría una vulneración de las competencias asumidas por la Generalitat en materia de enseñanza.</w:t>
      </w:r>
    </w:p>
    <w:p w:rsidR="00D06117" w:rsidRDefault="00D06117" w:rsidP="00D06117">
      <w:pPr>
        <w:pStyle w:val="TextoNormal"/>
      </w:pPr>
    </w:p>
    <w:p w:rsidR="00D06117" w:rsidRDefault="00D06117" w:rsidP="00D06117">
      <w:pPr>
        <w:pStyle w:val="TextoNormal"/>
      </w:pPr>
      <w:r>
        <w:t>De otro lado, y teniendo en cuenta que parte de los preceptos impugnados tienen carácter de ley orgánica, se refiere la Letrada del Parlamento de Cataluña a la remisión que el art. 15 EAC hace a las leyes orgánicas de desarrollo del art. 27 CE como límite a las competencias autonómicas, señalando, en primer lugar, que dicha reserva no supone ningún tipo de habilitación competencial en favor del Estado y que su alcance ha de ser objeto de interpretación restrictiva; y, en segundo lugar, que la reserva de ley orgánica no es coextensa al ámbito de las competencias constitucionales atribuidas al Estado (STC 137/1986, FJ 3). Por tanto, en la delimitación de los derechos de la enseñanza, el legislador estatal debe armonizar la reserva de ley orgánica con la competencia estatal del art. 149.1.30 CE, respetando en todo caso las competencias autonómicas en la materia.</w:t>
      </w:r>
    </w:p>
    <w:p w:rsidR="00D06117" w:rsidRDefault="00D06117" w:rsidP="00D06117">
      <w:pPr>
        <w:pStyle w:val="TextoNormal"/>
      </w:pPr>
    </w:p>
    <w:p w:rsidR="00D06117" w:rsidRDefault="00D06117" w:rsidP="00D06117">
      <w:pPr>
        <w:pStyle w:val="TextoNormal"/>
      </w:pPr>
      <w:r>
        <w:t>A continuación, analiza el título del art. 149.1.1 CE, a partir de la evolución de la jurisprudencia constitucional sobre el mismo, conforme a la cual dicha cláusula general pasa a un segundo término puesto que el Estado dispone de la normativa básica sobre enseñanza (STC 137/1986, FJ 3), pese a que se haya continuado invocando junto al art. 149.1.30 CE. A la vista de la doctrina constitucional, concluye la Letrada del Parlamento de Cataluña afirmando que tampoco el art. 149.1.1 CE puede amparar la exhaustiva reserva de competencias al Estado que efectúa la Ley Orgánica 5/2002, ni puede ser considerado contenido primario del derecho a la educación el total desarrollo normativo de todos los aspectos que se refieren a la formación profesional, ni puede encontrar cobertura en ese título competencial la reserva de funciones ejecutivas al Estado.</w:t>
      </w:r>
    </w:p>
    <w:p w:rsidR="00D06117" w:rsidRDefault="00D06117" w:rsidP="00D06117">
      <w:pPr>
        <w:pStyle w:val="TextoNormal"/>
      </w:pPr>
    </w:p>
    <w:p w:rsidR="00D06117" w:rsidRDefault="00D06117" w:rsidP="00D06117">
      <w:pPr>
        <w:pStyle w:val="TextoNormal"/>
      </w:pPr>
      <w:r>
        <w:lastRenderedPageBreak/>
        <w:t>Tras realizar un análisis sucinto del concepto de bases y sus límites materiales y formales, el recurso aborda las implicaciones que la Ley Orgánica 5/2002 puede tener en el ámbito laboral y el reparto competencial en la materia resultante de los arts. 149.1.7 CE y 11.2 EAC, conforme al cual corresponde al Estado la competencia exclusiva sobre la legislación laboral, comprensiva no sólo de las leyes formales sino también de los reglamentos ejecutivos, y a la Generalitat de Cataluña la función ejecutiva, incluyendo en ella la adopción de reglamentos internos de organización de los servicios, sin perjuicio de la alta inspección que corresponde al Estado y de la reserva a éste de todas las competencias en materia de migraciones interiores y exteriores y fondos de ámbito nacional y de empleo. Sobre este particular, se relacionan los traspasos del Estado a la Generalitat que se han producido en esta materia en virtud de los Reales Decretos 1577/1991, 1050/1997, y 2227/1998, aduciendo, con cita de la jurisprudencia constitucional, su carácter interpretativo de las competencias traspasadas y la imposibilidad de que el legislador estatal pueda alterar unilateralmente el contenido de los acuerdos de las comisiones mixtas a través de los cuales se realiza la transferencia de servicios.</w:t>
      </w:r>
    </w:p>
    <w:p w:rsidR="00D06117" w:rsidRDefault="00D06117" w:rsidP="00D06117">
      <w:pPr>
        <w:pStyle w:val="TextoNormal"/>
      </w:pPr>
    </w:p>
    <w:p w:rsidR="00D06117" w:rsidRDefault="00D06117" w:rsidP="00D06117">
      <w:pPr>
        <w:pStyle w:val="TextoNormal"/>
      </w:pPr>
      <w:r>
        <w:t>c) Al art. 5.1 se le opone en el recurso que reserva genéricamente toda la regulación de la coordinación del sistema nacional de cualificaciones y formación profesional no ya al Estado o a su Gobierno, sino a su Administración General. Del contenido de dicho sistema, determinado en el art. 4.1 de la Ley Orgánica 5/2002, infiere la Letrada del Parlamento de Cataluña que el Estado pretende asumir toda la regulación sustantiva del contenido formativo a través del catálogo nacional de cualificaciones profesionales, estableciendo, además, los procedimientos de reconocimiento, evaluación, acreditación y registro de las cualificaciones profesionales, e, incluso, la información y orientación al ciudadano, así como la evaluación o mejora de la calidad del sistema, lo cual choca frontalmente con el reparto constitucional de competencias ya descrito. Y es que encuadrado en la materia enseñanza, corresponde al Estado la regulación general del sistema educativo y las normas básicas de desarrollo del art. 27, pero a la Generalitat le corresponden las competencias de desarrollo normativo en virtud de lo previsto en el art. 15 EAC, competencia desconocida por el precepto impugnado que debe reputarse inconstitucional, a pesar de que en el mismo se haga constar “sin perjuicio de las competencias de las Comunidades Autónomas”, pues sus categóricos términos no dejan margen para una legislación autonómica de desarrollo. Todo ello viene confirmado por la disposición final primera, apartado 2, lo que, en suma, convierte a la cláusula de salvaguardia en una pura fórmula carente de contenido e incapaz de salvar la constitucionalidad del precepto.</w:t>
      </w:r>
    </w:p>
    <w:p w:rsidR="00D06117" w:rsidRDefault="00D06117" w:rsidP="00D06117">
      <w:pPr>
        <w:pStyle w:val="TextoNormal"/>
      </w:pPr>
    </w:p>
    <w:p w:rsidR="00D06117" w:rsidRDefault="00D06117" w:rsidP="00D06117">
      <w:pPr>
        <w:pStyle w:val="TextoNormal"/>
      </w:pPr>
      <w:r>
        <w:t xml:space="preserve">Por otra parte, si se cotejan la nueva regulación y la contenida en la Ley Orgánica de ordenación general del sistema educativo, es evidente que resultan contradictorias, pudiendo, en algunos casos, resultar incompatibles, al menos en orden al reparto competencial en la materia, tal y como se deduce de los arts. 4 y 35.1 LOGSE, conforme a los cuales el Estado no monopoliza la entera regulación de los aspectos educativos de la formación profesional, mientras que, de acuerdo con lo dispuesto en el art. 5.1 de la Ley Orgánica 5/2002, el Estado pretende reasumir la totalidad de la regulación de la formación profesional. Y aunque es cierto que el legislador básico y orgánico estatal puede cambiar el contenido de una norma dictando otra posterior, también lo es que no puede al hacerlo asumir competencias que no le correspondan de acuerdo con el bloque de la constitucionalidad. Aparte de todo ello, la contradicción entre la nueva regulación y el vigente marco legal plantea serios problemas, puesto que o bien supone la pervivencia de dos regulaciones contradictorias, o </w:t>
      </w:r>
      <w:r>
        <w:lastRenderedPageBreak/>
        <w:t>bien se ha procedido a derogar la normativa anterior de manera encubierta, vulnerando en cualquiera de los casos el principio de seguridad jurídica recogido en el art. 9.3 CE.</w:t>
      </w:r>
    </w:p>
    <w:p w:rsidR="00D06117" w:rsidRDefault="00D06117" w:rsidP="00D06117">
      <w:pPr>
        <w:pStyle w:val="TextoNormal"/>
      </w:pPr>
    </w:p>
    <w:p w:rsidR="00D06117" w:rsidRDefault="00D06117" w:rsidP="00D06117">
      <w:pPr>
        <w:pStyle w:val="TextoNormal"/>
      </w:pPr>
      <w:r>
        <w:t>Todavía, se imputa otra causa de inconstitucionalidad al art. 5.1 al atribuir a la Administración General del Estado una competencia genérica de coordinación del sistema nacional de cualificaciones y formación profesional, pues la Constitución no reconoce al Estado una competencia de coordinación específica en materia de enseñanza, recordando al respecto lo establecido en la STC 104/1988, FJ 2. En cualquier caso, la coordinación general en las relaciones entre Estado y Comunidades Autónomas debe instrumentarse con un respeto absoluto a las competencias autonómicas, evitando que aquél las vacíe de todo contenido (SSTC 70/1997 y 102/1995).</w:t>
      </w:r>
    </w:p>
    <w:p w:rsidR="00D06117" w:rsidRDefault="00D06117" w:rsidP="00D06117">
      <w:pPr>
        <w:pStyle w:val="TextoNormal"/>
      </w:pPr>
    </w:p>
    <w:p w:rsidR="00D06117" w:rsidRDefault="00D06117" w:rsidP="00D06117">
      <w:pPr>
        <w:pStyle w:val="TextoNormal"/>
      </w:pPr>
      <w:r>
        <w:t>d) Según la Letrada del Parlamento de Cataluña, el art. 8.4 de la Ley Orgánica 5/2002 pretende nuevamente atribuir al Estado la regulación completa y exhaustiva de los procedimientos de evaluación y acreditación, sin permitir ningún tipo de desarrollo normativo autonómico, vulnerando las competencias de la Generalitat en materia de enseñanza (art. 15 EAC), y en clara contradicción con el anterior marco orgánico en materia de formación profesional (arts. 1 de la Ley Orgánica 9/1995, de 20 de noviembre, y 4, apartados 2 y 3, y 62.2 LOGSE), conforme al cual las Comunidades Autónomas son competentes para establecer procedimientos de evaluación sobre los diferentes aspectos del sistema educativo y, en consecuencia, también sobre las enseñanzas que se imparten en este sistema, incluyendo las competencias profesionales.</w:t>
      </w:r>
    </w:p>
    <w:p w:rsidR="00D06117" w:rsidRDefault="00D06117" w:rsidP="00D06117">
      <w:pPr>
        <w:pStyle w:val="TextoNormal"/>
      </w:pPr>
    </w:p>
    <w:p w:rsidR="00D06117" w:rsidRDefault="00D06117" w:rsidP="00D06117">
      <w:pPr>
        <w:pStyle w:val="TextoNormal"/>
      </w:pPr>
      <w:r>
        <w:t>e) Al art. 11.7, que tiene naturaleza de norma básica dictada al amparo de las reglas 1 y 30 del art. 149.1 CE, se le imputa un exceso competencial vulnerador de la competencia plena de la Generalitat en materia de enseñanza, conforme al art. 15 EAC, con invocación de la doctrina constitucional sentada en las SSTC 5/1981 y 38/1992. Por otra parte, se hace referencia en el recurso a los reales decretos de traspasos en la materia, en virtud de los cuales la Generalitat ha asumido la titularidad de todos los centros de formación profesional ocupacional, incluyendo los experimentales, de su ámbito territorial, incluso los dos últimos centros de formación profesional que aún eran “centros nacionales” (Real Decreto 1050/1997). Así pues, en mérito a los traspasos y a la normativa orgánica contenida en la Ley Orgánica del derecho a la educación y en la Ley Orgánica de ordenación general del sistema educativo, la Generalitat de Cataluña tiene, entre otras, competencia para la creación, gestión, transformación, ampliación, clasificación y supresión de centros de formación profesional de cualquier clase, así como la competencia para la realización de experiencias e innovaciones formativas, prácticamente de cualquier modalidad. Y aunque es cierto que la STC 38/1992, de 23 de marzo, consideró acorde con la Constitución el art. 6 del Real Decreto 942/1986, de 9 de marzo, que contemplaba que el Ministerio de Educación y Ciencia podía llevar a término, en todo el territorio del Estado, experimentaciones educativas sobre materias de su competencia, también lo es que el resto corresponden a las Comunidades Autónomas y que el precepto analizado no se limita a esos aspectos ni establece distinción alguna en lo que respecta a las funciones innovadoras o experimentales, ya que, en su dicción literal, las comprende todas, vulnerando las competencias autonómicas.</w:t>
      </w:r>
    </w:p>
    <w:p w:rsidR="00D06117" w:rsidRDefault="00D06117" w:rsidP="00D06117">
      <w:pPr>
        <w:pStyle w:val="TextoNormal"/>
      </w:pPr>
    </w:p>
    <w:p w:rsidR="00D06117" w:rsidRDefault="00D06117" w:rsidP="00D06117">
      <w:pPr>
        <w:pStyle w:val="TextoNormal"/>
      </w:pPr>
      <w:r>
        <w:t xml:space="preserve">En otro orden de cosas, se censura que, de acuerdo con el último párrafo del art. 11.7, una función típicamente ejecutiva como es la programación y ejecución de acciones innovadoras o experimentales, que corresponde a la Generalitat de forma exclusiva, tanto desde </w:t>
      </w:r>
      <w:r>
        <w:lastRenderedPageBreak/>
        <w:t>el punto de vista de la enseñanza como desde la formación profesional ocupacional, se convierte en compartida, pues ha de ejercerse mediante un instrumento que requiere la aquiescencia de las dos partes, contraviniendo el Estatuto de Autonomía de Cataluña y los decretos de traspasos.</w:t>
      </w:r>
    </w:p>
    <w:p w:rsidR="00D06117" w:rsidRDefault="00D06117" w:rsidP="00D06117">
      <w:pPr>
        <w:pStyle w:val="TextoNormal"/>
      </w:pPr>
    </w:p>
    <w:p w:rsidR="00D06117" w:rsidRDefault="00D06117" w:rsidP="00D06117">
      <w:pPr>
        <w:pStyle w:val="TextoNormal"/>
      </w:pPr>
      <w:r>
        <w:t>f) La disposición final primera.2, párrafos primero y segundo, se considera inconstitucional porque pretende amparar el desarrollo exclusivo por parte del Estado de diversos preceptos de la Ley Orgánica 5/2002, con base en los títulos del art. 149.1.1 y 30 CE, remitiéndose a las consideraciones anteriores en relación con los arts. 5.1 y 8.4, y añadiendo otros preceptos que, en sí mismos, no son inconstitucionales, aunque sí lo es la reserva exclusiva al Estado de su desarrollo normativo. Así ocurre con los arts. 4.1 b) y c); 6.3 y 4; 9; 11.6; y la disposición adicional tercera. Tras analizar sucintamente los preceptos señalados, añade la Letrada del Parlamento de Cataluña que la disposición adicional tercera debería ser considerada únicamente como norma básica que las Comunidades Autónomas con competencia en la materia pudiesen desarrollar.</w:t>
      </w:r>
    </w:p>
    <w:p w:rsidR="00D06117" w:rsidRDefault="00D06117" w:rsidP="00D06117">
      <w:pPr>
        <w:pStyle w:val="TextoNormal"/>
      </w:pPr>
    </w:p>
    <w:p w:rsidR="00D06117" w:rsidRDefault="00D06117" w:rsidP="00D06117">
      <w:pPr>
        <w:pStyle w:val="TextoNormal"/>
      </w:pPr>
      <w:r>
        <w:t>Concluye el escrito solicitando que se dicte Sentencia por la que se declare la inconstitucionalidad y nulidad de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15 de octubre de 2002, la Sección Tercera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w:t>
      </w:r>
    </w:p>
    <w:p w:rsidR="00D06117" w:rsidRDefault="00D06117" w:rsidP="00D06117">
      <w:pPr>
        <w:pStyle w:val="TextoNormal"/>
      </w:pPr>
    </w:p>
    <w:p w:rsidR="00D06117" w:rsidRDefault="00D06117" w:rsidP="00D06117">
      <w:pPr>
        <w:pStyle w:val="TextoNormal"/>
      </w:pPr>
      <w:r w:rsidRPr="00D06117">
        <w:rPr>
          <w:rStyle w:val="NumeroAFNegritaCaracter"/>
        </w:rPr>
        <w:t>10</w:t>
      </w:r>
      <w:r>
        <w:t>. En escrito registrado el 4 de noviembre de 2002 la Presidenta del Congreso de los Diputados comunicó a este Tribunal que, aun cuando la citada Cámara no se personaría en el procedimiento ni formularía alegaciones, ponía a disposición del Tribunal las actuaciones de la Cámara que pudiera precisar, con remisión del recurso a la dirección de estudios y documentación de la Secretaría General.</w:t>
      </w:r>
    </w:p>
    <w:p w:rsidR="00D06117" w:rsidRDefault="00D06117" w:rsidP="00D06117">
      <w:pPr>
        <w:pStyle w:val="TextoNormal"/>
      </w:pPr>
    </w:p>
    <w:p w:rsidR="00D06117" w:rsidRDefault="00D06117" w:rsidP="00D06117">
      <w:pPr>
        <w:pStyle w:val="TextoNormal"/>
      </w:pPr>
      <w:r w:rsidRPr="00D06117">
        <w:rPr>
          <w:rStyle w:val="NumeroAFNegritaCaracter"/>
        </w:rPr>
        <w:t>11</w:t>
      </w:r>
      <w:r>
        <w:t xml:space="preserve">. El 7 de noviembre de 2002 se personó en el recurso de inconstitucionalidad el Abogado del Estado, formulando sus alegaciones, coincidentes sustancialmente con las realizadas en el recurso núm. 4937-2002, a las que añadía, de manera específica en relación con la impugnación de la disposición final primera.2, párrafos primero y segundo, la consideración de que el recurso parte de una interpretación restrictiva de los títulos competenciales que en la Ley se relacionan, entendiendo que el art. 149.1.30 CE otorga insuficiente amparo constitucional a la previsión de reserva estatal para el desarrollo de determinados preceptos. Frente a ello, el Abogado del Estado resalta los dos niveles distintos de competencias a favor del Estado que establece el art. 149.1.30 CE, y que junto a ambos niveles se invoca en el apartado 2 de la disposición final primera el art. 149.1.1 CE, título complementario que sirve para reforzar aquella competencia estatal en el campo acotado de las normas básicas para el desarrollo del art. 27 CE. En este sentido, a su juicio, la integración de las distintas ofertas formativas y la instrumentación del reconocimiento y la acreditación de las cualificaciones profesionales a nivel nacional constituyen una condición básica para la igualdad </w:t>
      </w:r>
      <w:r>
        <w:lastRenderedPageBreak/>
        <w:t>en el efectivo ejercicio del derecho a la educación, al ser un mecanismo favorecedor de la homogeneización, a nivel europeo, de los niveles de formación y acreditación profesional de cara al libre movimiento de los trabajadores y de los profesionales en el ámbito de la Comunidad Europea. Pues bien, desde la perspectiva del reparto competencial, la interpretación de cada uno de los artículos de la ley pasa por el tratamiento que reciben en la disposición final primera, de manera que su lectura será distinta según la habilitación competencial del Estado bajo la que se incluya. En realidad, lo que se impugna es la mera previsión de que el desarrollo reglamentario de determinados preceptos pueda tener carácter básico, sin perjuicio de que su adecuado encaje competencial se encuentra en el primero y no en el segundo inciso del art. 149.1.30 CE. Ciertamente, el carácter básico se enuncia en la ley, pero serán los reglamentos los que habrán de tener un contenido básico para que pueda predicarse de ellos tal carácter, recordándose, además, que las normas legales básicas pueden complementarse con otras reglamentarias cuando sea necesario para lograr la plena eficacia de las primeras.</w:t>
      </w:r>
    </w:p>
    <w:p w:rsidR="00D06117" w:rsidRDefault="00D06117" w:rsidP="00D06117">
      <w:pPr>
        <w:pStyle w:val="TextoNormal"/>
      </w:pPr>
    </w:p>
    <w:p w:rsidR="00D06117" w:rsidRDefault="00D06117" w:rsidP="00D06117">
      <w:pPr>
        <w:pStyle w:val="TextoNormal"/>
      </w:pPr>
      <w:r>
        <w:t>En cuanto a los arts. 5.1 y 8.4, se reiteran los argumentos señalados en relación con dichos preceptos, recordando que han sido dictados al amparo del primer inciso del art. 149.1.30 CE. La misma habilitación se asigna al art. 4, en el que se recogen, entre otros instrumentos y acciones, el catálogo nacional de cualificaciones profesionales y el procedimiento de evaluación, acreditación y registro de las cualificaciones profesionales, lo que es suficiente para fundamentar la constitucionalidad de la exclusiva reserva estatal para su desarrollo.</w:t>
      </w:r>
    </w:p>
    <w:p w:rsidR="00D06117" w:rsidRDefault="00D06117" w:rsidP="00D06117">
      <w:pPr>
        <w:pStyle w:val="TextoNormal"/>
      </w:pPr>
    </w:p>
    <w:p w:rsidR="00D06117" w:rsidRDefault="00D06117" w:rsidP="00D06117">
      <w:pPr>
        <w:pStyle w:val="TextoNormal"/>
      </w:pPr>
      <w:r>
        <w:t>Por lo que se refiere al art. 6, se pone de relieve en el escrito que la elaboración y el desarrollo de las acciones propias de un sistema de la naturaleza del sistema nacional de cualificaciones y formación profesional necesitan de colaboradores, por lo cual, la ley presta especial atención a la colaboración de las empresas, de los sindicatos y de otras entidades, entendiendo que el desarrollo normativo de los apartados 3 y 4 ha de reservarse a la exclusiva competencia estatal porque debe garantizarse que en virtud de tal desarrollo se obtenga un marco normativo unitario en todo el Estado sin divergencias irrazonables ni desproporcionadas en cuanto a los procedimientos de colaboración y consulta con los diferentes sectores productivos y con los interlocutores sociales. Razones que también hacen absolutamente razonable la reserva estatal para el desarrollo del art. 9, que precisa qué ha de entenderse por formación profesional, así como el del art. 11.6 sobre la composición y las funciones de los centros integrados de formación profesional.</w:t>
      </w:r>
    </w:p>
    <w:p w:rsidR="00D06117" w:rsidRDefault="00D06117" w:rsidP="00D06117">
      <w:pPr>
        <w:pStyle w:val="TextoNormal"/>
      </w:pPr>
    </w:p>
    <w:p w:rsidR="00D06117" w:rsidRDefault="00D06117" w:rsidP="00D06117">
      <w:pPr>
        <w:pStyle w:val="TextoNormal"/>
      </w:pPr>
      <w:r>
        <w:t>Finalmente, sostiene el Abogado del Estado que la definición de las áreas prioritarias en las ofertas formativas a que alude la disposición adicional tercera ha de ser necesariamente objeto de desarrollo por el Estado como elemento definidor esencial de dichas ofertas que encuentran su encaje competencial en el primer inciso del art. 149.1.30 CE.</w:t>
      </w:r>
    </w:p>
    <w:p w:rsidR="00D06117" w:rsidRDefault="00D06117" w:rsidP="00D06117">
      <w:pPr>
        <w:pStyle w:val="TextoNormal"/>
      </w:pPr>
    </w:p>
    <w:p w:rsidR="00D06117" w:rsidRDefault="00D06117" w:rsidP="00D06117">
      <w:pPr>
        <w:pStyle w:val="TextoNormal"/>
      </w:pPr>
      <w:r>
        <w:t>Concluye el escrito de alegaciones solicitando que se dicte Sentencia por la que se desestime el recurso, declarando conformes a la Constitución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12</w:t>
      </w:r>
      <w:r>
        <w:t>. Mediante escrito registrado en este Tribunal el 8 de noviembre de 2002, el Letrado de las Cortes Generales-jefe de la asesoría jurídica del Senado compareció ante este Tribunal en representación de dicha Cámara y formuló las alegaciones que se recogen de manera sucinta a continuación, en súplica de que se dicte Sentencia desestimatoria del recurso.</w:t>
      </w:r>
    </w:p>
    <w:p w:rsidR="00D06117" w:rsidRDefault="00D06117" w:rsidP="00D06117">
      <w:pPr>
        <w:pStyle w:val="TextoNormal"/>
      </w:pPr>
    </w:p>
    <w:p w:rsidR="00D06117" w:rsidRDefault="00D06117" w:rsidP="00D06117">
      <w:pPr>
        <w:pStyle w:val="TextoNormal"/>
      </w:pPr>
      <w:r>
        <w:lastRenderedPageBreak/>
        <w:t>Respecto a las consideraciones generales realizadas en los apartados I y II del recurso, señala, en primer lugar, que el sistema introducido por la Ley Orgánica 5/2002 no es totalmente nuevo, tal y como se desprende del propio párrafo cuarto de su exposición de motivos, al señalar la finalidad de la ley. Por otra parte, la recurrente reivindica las competencias asumidas por la Generalitat en la materia en virtud del art. 15 EAC, que presuntamente habrían sido invadidas, más el tenor literal del precepto estatutario hace caer por su base tal afirmación, pues a la Comunidad Autónoma le corresponden determinadas competencias educativas sin perjuicio de lo que disponen el art. 27 CE y las leyes orgánicas que lo desarrollen, de las facultades que atribuye al Estado el art. 149.1.30 CE y de la alta inspección necesaria para su cumplimiento y garantía.</w:t>
      </w:r>
    </w:p>
    <w:p w:rsidR="00D06117" w:rsidRDefault="00D06117" w:rsidP="00D06117">
      <w:pPr>
        <w:pStyle w:val="TextoNormal"/>
      </w:pPr>
    </w:p>
    <w:p w:rsidR="00D06117" w:rsidRDefault="00D06117" w:rsidP="00D06117">
      <w:pPr>
        <w:pStyle w:val="TextoNormal"/>
      </w:pPr>
      <w:r>
        <w:t>La recurrente pretende obviar que el art. 149.1.30 CE tiene dos partes que conviene deslindar. Por un lado, la regulación de las condiciones de obtención, expedición y homologación de títulos académicos y profesionales, es a título exclusivo. Cuestión distinta es la relativa a la segunda parte del art. 149.1.30 CE en cuanto a la legislación relativa a las condiciones básicas del derecho a la educación consagrado en el art. 27 CE, pues en este caso nos hallamos ante una competencia compartida (STC 61/1997), siendo el elemento teleológico de este título competencial la igualdad de todos los españoles consagrada por la Constitución (STC 188/2001).</w:t>
      </w:r>
    </w:p>
    <w:p w:rsidR="00D06117" w:rsidRDefault="00D06117" w:rsidP="00D06117">
      <w:pPr>
        <w:pStyle w:val="TextoNormal"/>
      </w:pPr>
    </w:p>
    <w:p w:rsidR="00D06117" w:rsidRDefault="00D06117" w:rsidP="00D06117">
      <w:pPr>
        <w:pStyle w:val="TextoNormal"/>
      </w:pPr>
      <w:r>
        <w:t>El Letrado representante del Senado se pregunta si una ley de 17 artículos puede ser entendida como un diseño completo y acabado del régimen jurídico la formación profesional y si pueden los tres apartados recurridos impedir las posibilidades de divergencia autonómica. Asimismo, destaca que el Estado puede variar lo considerado por él básico en cada momento histórico, sin que ningún precepto constitucional predique la inmutabilidad de lo básico, por lo que debe admitirse que, incluso lo que en un determinado momento no se consideró básico, puede llegar a serlo siempre que esté justificado y se utilice el rango normativo adecuado. En el caso que nos ocupa la ley alude al panorama de globalización de los mercados y a las políticas de similar signo emprendidas en otros países de la Unión Europea, por lo que se cumplen las condiciones de ser una norma materialmente básica en el sentido consagrado por el Tribunal Constitucional. Por otra parte, la Ley Orgánica 5/2002 respeta las competencias autonómicas, y, como señala su exposición de motivos, no deroga el actual marco legal de la formación profesional establecido por la Ley Orgánica de ordenación general del sistema educativo, marco en el que se asientan los traspasos a la Generalitat de Cataluña.</w:t>
      </w:r>
    </w:p>
    <w:p w:rsidR="00D06117" w:rsidRDefault="00D06117" w:rsidP="00D06117">
      <w:pPr>
        <w:pStyle w:val="TextoNormal"/>
      </w:pPr>
    </w:p>
    <w:p w:rsidR="00D06117" w:rsidRDefault="00D06117" w:rsidP="00D06117">
      <w:pPr>
        <w:pStyle w:val="TextoNormal"/>
      </w:pPr>
      <w:r>
        <w:t>En cuanto al art. 5.1, su mera lectura indica que el Estado expresamente reconoce que la regulación del sistema será sin perjuicio de las competencias autonómicas, pudiendo suponerse que, aun cuando el nuevo catálogo de títulos de formación profesional sea aprobado por el Estado, ello no comportará el agotamiento de la regulación, cuyos criterios podrán ser desarrollados por las Comunidades Autónomas. De otro lado, las competencias de coordinación asumidas por el Estado han sido avaladas por la jurisprudencia constitucional (STC 104/1988, FJ 2).</w:t>
      </w:r>
    </w:p>
    <w:p w:rsidR="00D06117" w:rsidRDefault="00D06117" w:rsidP="00D06117">
      <w:pPr>
        <w:pStyle w:val="TextoNormal"/>
      </w:pPr>
    </w:p>
    <w:p w:rsidR="00D06117" w:rsidRDefault="00D06117" w:rsidP="00D06117">
      <w:pPr>
        <w:pStyle w:val="TextoNormal"/>
      </w:pPr>
      <w:r>
        <w:t xml:space="preserve">Por lo que se refiere al art. 8.4 insiste el Letrado de las Cortes Generales en que el Estado tiene competencia exclusiva para la regulación de las condiciones de obtención, expedición y homologación de títulos académicos y profesionales. Del mismo modo, el apartado 7 del </w:t>
      </w:r>
      <w:r>
        <w:lastRenderedPageBreak/>
        <w:t>art. 11 es escrupulosamente respetuoso con las competencias autonómicas, pues pueden coexistir los centros de referencia nacional con la pervivencia de los que consideren oportunos las Comunidades Autónomas, sin que la existencia de traspasos anteriores pueda impedir al Estado crear una red propia si lo estima básico.</w:t>
      </w:r>
    </w:p>
    <w:p w:rsidR="00D06117" w:rsidRDefault="00D06117" w:rsidP="00D06117">
      <w:pPr>
        <w:pStyle w:val="TextoNormal"/>
      </w:pPr>
    </w:p>
    <w:p w:rsidR="00D06117" w:rsidRDefault="00D06117" w:rsidP="00D06117">
      <w:pPr>
        <w:pStyle w:val="TextoNormal"/>
      </w:pPr>
      <w:r>
        <w:t>Por último, se refiere el escrito de alegaciones a la disposición final primera, apartado 2, párrafos primero y segundo, apuntando que la parte recurrente reconoce que la competencia para la regulación de títulos académicos y profesionales no es compartida, por lo que caen por su base la mayor parte de los fundamentos que se alegan para la inconstitucionalidad de los preceptos aludidos en el recurso. En efecto, los apartados b) y c) del art. 4.1 se refieren al catálogo de cualificaciones profesionales y su procedimiento de reconocimiento, lo que es competencia exclusiva del Estado ex art. 149.1.30 CE. Por su parte, los apartados 3 y 4 del art. 6 tienen relación directa con la legislación laboral, que es competencia exclusiva del Estado al amparo del art. 149.1.7 CE. También ha sido defendida ya la constitucionalidad del art. 8.4, y el art. 9 contiene el concepto de formación profesional que, evidentemente, corresponde definir al Estado al amparo del art. 149.1.1 y 30 CE. El art. 11.6, por su propio tenor, difícilmente puede ser desarrollado exclusivamente por el Estado, lo que constituye un reconocimiento expreso de las competencias de una y otra Administración. Finalmente, la disposición adicional tercera, integrada con la disposición final primera, apartado 2, ha de entenderse que sólo se refiere a lo que sea competencia exclusiva del Estado.</w:t>
      </w:r>
    </w:p>
    <w:p w:rsidR="00D06117" w:rsidRDefault="00D06117" w:rsidP="00D06117">
      <w:pPr>
        <w:pStyle w:val="TextoNormal"/>
      </w:pPr>
    </w:p>
    <w:p w:rsidR="00D06117" w:rsidRDefault="00D06117" w:rsidP="00D06117">
      <w:pPr>
        <w:pStyle w:val="TextoNormal"/>
      </w:pPr>
      <w:r>
        <w:t>Por medio de otrosí se solicita la acumulación de este recurso al núm. 4937-2002.</w:t>
      </w:r>
    </w:p>
    <w:p w:rsidR="00D06117" w:rsidRDefault="00D06117" w:rsidP="00D06117">
      <w:pPr>
        <w:pStyle w:val="TextoNormal"/>
      </w:pPr>
    </w:p>
    <w:p w:rsidR="00D06117" w:rsidRDefault="00D06117" w:rsidP="00D06117">
      <w:pPr>
        <w:pStyle w:val="TextoNormal"/>
      </w:pPr>
      <w:r w:rsidRPr="00D06117">
        <w:rPr>
          <w:rStyle w:val="NumeroAFNegritaCaracter"/>
        </w:rPr>
        <w:t>13</w:t>
      </w:r>
      <w:r>
        <w:t>. Mediante providencia de 15 de febrero de 2011 se acordó en el recurso de inconstitucionalidad núm. 4937-2002 conceder un plazo de diez días al recurrente, a las partes personadas y a la representación procesal del Parlamento de Cataluña, a fin de que alegaran lo que estimasen oportuno sobre la acumulación a dicho recurso del recurso de inconstitucionalidad núm. 5305-2002.</w:t>
      </w:r>
    </w:p>
    <w:p w:rsidR="00D06117" w:rsidRDefault="00D06117" w:rsidP="00D06117">
      <w:pPr>
        <w:pStyle w:val="TextoNormal"/>
      </w:pPr>
    </w:p>
    <w:p w:rsidR="00D06117" w:rsidRDefault="00D06117" w:rsidP="00D06117">
      <w:pPr>
        <w:pStyle w:val="TextoNormal"/>
      </w:pPr>
      <w:r>
        <w:t>En escritos presentados en distintas fechas de marzo de 2011, la Letrada del Parlamento de Cataluña, el Abogado del Estado y la Abogada de la Generalitat de Cataluña mostraron su conformidad con la acumulación. Constatada la existencia de una indudable conexión entre ambos recursos, relevante para su tramitación y decisión unitaria, por Auto de 22 de mayo de 2012, el Pleno de este Tribunal acordó acumular el recurso de inconstitucionalidad núm. 5305-2002 al recurso de inconstitucionalidad núm. 4937-2002.</w:t>
      </w:r>
    </w:p>
    <w:p w:rsidR="00D06117" w:rsidRDefault="00D06117" w:rsidP="00D06117">
      <w:pPr>
        <w:pStyle w:val="TextoNormal"/>
      </w:pPr>
    </w:p>
    <w:p w:rsidR="00D06117" w:rsidRDefault="00D06117" w:rsidP="00D06117">
      <w:pPr>
        <w:pStyle w:val="TextoNormal"/>
      </w:pPr>
      <w:r w:rsidRPr="00D06117">
        <w:rPr>
          <w:rStyle w:val="NumeroAFNegritaCaracter"/>
        </w:rPr>
        <w:t>14</w:t>
      </w:r>
      <w:r>
        <w:t>. Por providencia de 22 de mayo de 2012, se señaló para deliberación y votación del presente recurso de inconstitucionalidad el día 24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Según ha quedado expuesto en los antecedentes de la presente resolución, en los recursos acumulados 4937-2002 y 5305-2002 la Generalitat de Cataluña impugna los arts. 5.1, 7, 8.4 y 11.7, así como la disposición final primera, apartado 2, párrafos primero y segundo, de la Ley Orgánica 5/2002, de 19 de junio, de las cualificaciones y de la formación profesional, mientras que el Parlamento de Cataluña, por su parte, dirige sus quejas contra los mismos preceptos, a excepción del art. 7. Coinciden ambas representaciones en centrar </w:t>
      </w:r>
      <w:r>
        <w:lastRenderedPageBreak/>
        <w:t>básicamente sus quejas en el ámbito de la formación profesional inicial o reglada y en entender, en síntesis, que los preceptos discutidos atribuyen al Estado unas competencias que exceden de las habilitaciones constitucionales, desconociendo las competencias que constitucional y estatutariamente corresponden a la Comunidad Autónoma de Cataluña.</w:t>
      </w:r>
    </w:p>
    <w:p w:rsidR="00D06117" w:rsidRDefault="00D06117" w:rsidP="00D06117">
      <w:pPr>
        <w:pStyle w:val="TextoNormal"/>
      </w:pPr>
    </w:p>
    <w:p w:rsidR="00D06117" w:rsidRDefault="00D06117" w:rsidP="00D06117">
      <w:pPr>
        <w:pStyle w:val="TextoNormal"/>
      </w:pPr>
      <w:r>
        <w:t>El Abogado del Estado, en cambio, después de denunciar el carácter, en buena medida, preventivo del recurso, sostiene que la regulación impugnada se encuentra plenamente respaldada por los títulos competenciales del Estado en la materia, señaladamente, los establecidos en el art. 149.1, cláusulas 1, 7 y 30 CE, y que, en todo caso, se respeta el espacio competencial de las Comunidades Autónomas. Solicita, en definitiva, la íntegra desestimación de los recursos, petición a la que se une la representación del Senado en su escrito de alegaciones en el recurso núm. 5305-2002, único en el que ha formulado alegaciones, defendiendo, igualmente, que los preceptos cuestionados responden a las competencias constitucionales del Estado y que dejan a salvo las competencias autonómicas.</w:t>
      </w:r>
    </w:p>
    <w:p w:rsidR="00D06117" w:rsidRDefault="00D06117" w:rsidP="00D06117">
      <w:pPr>
        <w:pStyle w:val="TextoNormal"/>
      </w:pPr>
    </w:p>
    <w:p w:rsidR="00D06117" w:rsidRDefault="00D06117" w:rsidP="00D06117">
      <w:pPr>
        <w:pStyle w:val="TextoNormal"/>
      </w:pPr>
      <w:r w:rsidRPr="00D06117">
        <w:rPr>
          <w:rStyle w:val="NumeroAFNegritaCaracter"/>
        </w:rPr>
        <w:t>2</w:t>
      </w:r>
      <w:r>
        <w:t>. Antes de proceder al examen de la cuestión de fondo que se plantea en los recursos que nos ocupan, hemos de atender a dos aspectos previos.</w:t>
      </w:r>
    </w:p>
    <w:p w:rsidR="00D06117" w:rsidRDefault="00D06117" w:rsidP="00D06117">
      <w:pPr>
        <w:pStyle w:val="TextoNormal"/>
      </w:pPr>
    </w:p>
    <w:p w:rsidR="00D06117" w:rsidRDefault="00D06117" w:rsidP="00D06117">
      <w:pPr>
        <w:pStyle w:val="TextoNormal"/>
      </w:pPr>
      <w:r>
        <w:t>a) Un primer punto a considerar es el de la eventual pérdida de objeto de los recursos, ya que la Ley Orgánica 5/2002, sobre la que versan, ha sido modificada por la Ley 2/2011, de 4 de marzo, de economía sostenible, y por la Ley Orgánica 4/2011, de 11 de marzo, complementaria de la Ley de economía sostenible, por la que se modifican las Leyes Orgánicas 5/2002, de 19 de junio, de las cualificaciones y de la formación profesional, 2/2006, de 3 de mayo, de educación, y 6/1985, de 1 de julio, del Poder Judicial.</w:t>
      </w:r>
    </w:p>
    <w:p w:rsidR="00D06117" w:rsidRDefault="00D06117" w:rsidP="00D06117">
      <w:pPr>
        <w:pStyle w:val="TextoNormal"/>
      </w:pPr>
    </w:p>
    <w:p w:rsidR="00D06117" w:rsidRDefault="00D06117" w:rsidP="00D06117">
      <w:pPr>
        <w:pStyle w:val="TextoNormal"/>
      </w:pPr>
      <w:r>
        <w:t>Según nuestra reiterada doctrina,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(por todas, SSTC 16/2003, de 30 de enero, FJ 2; 134/2004, de 22 de julio, FJ 3; y 1/2012, de 13 de enero, FJ 3). Pero lo cierto es que, como regla general, al ser el recurso de inconstitucionalidad un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19/2012, de 15 de febrero, FJ 2). De manera que, “si bien carece de sentido, en el seno de un recurso de inconstitucionalidad, ‘pronunciarse sobre normas que el mismo legislador ha expulsado ya de dicho ordenamiento ... de modo total, sin ultraactividad’ (SSTC 160/1987, de 27 de octubre, FJ 6; 150/1990, de 4 de octubre, FJ 8; y 385/1993, de 23 de diciembre, FJ 2), puede resultar útil y conveniente su enjuiciamiento, aun cuando hayan sido derogadas, para excluir ‘toda aplicación posterior de la disposición legal controvertida, privándola así del vestigio de vigencia que pudiera conservar’ (SSTC 160/1987, FJ 6; y 385/1993, FJ 2).” (STC 1/2012, de 13 de febrero, FJ 3).</w:t>
      </w:r>
    </w:p>
    <w:p w:rsidR="00D06117" w:rsidRDefault="00D06117" w:rsidP="00D06117">
      <w:pPr>
        <w:pStyle w:val="TextoNormal"/>
      </w:pPr>
    </w:p>
    <w:p w:rsidR="00D06117" w:rsidRDefault="00D06117" w:rsidP="00D06117">
      <w:pPr>
        <w:pStyle w:val="TextoNormal"/>
      </w:pPr>
      <w:r>
        <w:t>Así pues, aunque la derogación o modificación de las normas tienen, como regla general, un efecto extintivo del recurso de inconstitucionalidad, esta regla presenta alguna excepción, como la que se produce cuando el fundamento del recurso, esto es, las tachas de inconstitucionalidad que se imputan a los preceptos impugnados, son de índole competencial, como ocurre en el supuesto que nos ocupa. En este sentido, recordábamos en la STC 195/1996, de 28 de noviembre, FJ 1, que “‘la función de preservar los ámbitos respectivos de competencia ... no puede quedar automáticamente enervada por la modificación de las disposiciones cuya adopción dio lugar al litigio cuando aquéllas exigen aún, porque así lo demandan las partes ..., una decisión jurisdiccional’ que constate ‘si se verificó o no la extralimitación competencial denunciada’ y precise ‘su definición constitucional y estatutaria’ (SSTC 182/1988, fundamento jurídico 1, y 194/1994, fundamento jurídico 2). Es decir, que partiendo de la base del carácter concreto de la reclamación competencial, el objeto procesal permanece pese a los cambios legislativos cuando se trate de una competencia controvertida (STC 248/1988, fundamento jurídico 2). Criterios que también tienen aplicación cuando, como aquí es el caso, se trata de un recurso de inconstitucionalidad con fundamento en incompetencia, porque también en él habrá de tenerse en cuenta si se produjo alguna extralimitación competencial (STC 43/1996, fundamento jurídico 3).” En definitiva, el posterior cambio normativo que se ha producido en la ley impugnada, dada la incidencia menor que esas modificaciones tienen sobre los preceptos impugnados, no ha originado la desaparición del objeto del presente recurso, en la medida en que persiste el interés en la determinación de la titularidad de las competencias controvertidas.</w:t>
      </w:r>
    </w:p>
    <w:p w:rsidR="00D06117" w:rsidRDefault="00D06117" w:rsidP="00D06117">
      <w:pPr>
        <w:pStyle w:val="TextoNormal"/>
      </w:pPr>
    </w:p>
    <w:p w:rsidR="00D06117" w:rsidRDefault="00D06117" w:rsidP="00D06117">
      <w:pPr>
        <w:pStyle w:val="TextoNormal"/>
      </w:pPr>
      <w:r>
        <w:t>b) Un segundo aspecto que se suscita en los presentes recursos de inconstitucionalidad viene dado por el dato de que fueron interpuestos durante la vigencia del Estatuto de Autonomía de Cataluña de 1979, aprobado por Ley Orgánica 4/1979, de 18 de diciembre y, sin embargo, en el momento de resolverlos, se ha producido la reforma de dicho Estatuto de Autonomía, llevada a cabo por la Ley Orgánica 6/2006, de 19 de julio, por lo que se ha de determinar la incidencia que deba tener en el presente proceso constitucional en relación con el canon de control a utilizar en el mismo.</w:t>
      </w:r>
    </w:p>
    <w:p w:rsidR="00D06117" w:rsidRDefault="00D06117" w:rsidP="00D06117">
      <w:pPr>
        <w:pStyle w:val="TextoNormal"/>
      </w:pPr>
    </w:p>
    <w:p w:rsidR="00D06117" w:rsidRDefault="00D06117" w:rsidP="00D06117">
      <w:pPr>
        <w:pStyle w:val="TextoNormal"/>
      </w:pPr>
      <w:r>
        <w:t>Sobre este extremo resulta aplicable nuestra doctrina sobre el ius superveniens, según la cual el control de las normas que incurren en un posible exceso competencial debe hacerse de acuerdo con las normas del bloque de la constitucionalidad vigentes en el momento de dictar Sentencia [por todas SSTC 135/2006, de 27 de abril, FJ 3 a); 1/2011, de 14 de febrero, FJ 2; y 5/2012, de 17 de enero, FJ 3, y doctrina en ellas citada], lo cual debe llevarnos a analizar la constitucionalidad de los preceptos impugnados a la luz de la delimitación de competencias que se deriva de la mencionada reforma del Estatuto de Cataluña.</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La cuestión de fondo sometida a nuestra decisión se refiere a la formación profesional que como concepto unitario trata de la capacitación para el desempeño de una profesión y el acceso al mercado laboral. Ahora bien, este concepto cubre una multiplicidad de figuras con perfiles propios y diferenciados. En concreto, dentro del concepto genérico de “formación profesional” encontramos tres vertientes diferenciadas: la formación profesional reglada, la formación profesional ocupacional y la continua (si bien las actuaciones relativas a estas dos últimas se suelen agrupar bajo la denominación de formación profesional ocupacional, como ocurre en el art. 30.1 de la Ley de Ordenación General del Sistema Educativo: LOGSE). La primera de ellas se incluye en el sistema educativo, “en el que los saberes </w:t>
      </w:r>
      <w:r>
        <w:lastRenderedPageBreak/>
        <w:t>o cualificación con base en aptitudes específicas se imparten y están dirigidos, previa estratificación en niveles y grados, a la obtención de títulos académicos o profesionales que habilitan para el ejercicio de determinadas profesiones u oficios” (STC 95/2002, de 25 de abril, FJ 6). Las otras dos, en cambio, no se integran en el sistema educativo, teniendo por objeto la formación ocupacional, específicamente, el desarrollo de actuaciones formativas dirigidas a la inserción y reinserción laboral de los trabajadores, mientras que la continua busca “el mantenimiento, a lo largo de la vida laboral, de las aptitudes y cualificaciones profesionales en su día alcanzadas y que capacitaron para acceder al puesto de trabajo, con el fin de dotar a los trabajadores asalariados de los adecuados instrumentos formativos para hacer operante la directriz constitucional contenida en el art. 40.2 CE, es decir, para garantizar la formación y readaptación profesionales de los trabajadores ante los nuevos y acelerados cambios tecnológicos” (STC 95/2002, de 25 de abril, FJ 6).</w:t>
      </w:r>
    </w:p>
    <w:p w:rsidR="00D06117" w:rsidRDefault="00D06117" w:rsidP="00D06117">
      <w:pPr>
        <w:pStyle w:val="TextoNormal"/>
      </w:pPr>
    </w:p>
    <w:p w:rsidR="00D06117" w:rsidRDefault="00D06117" w:rsidP="00D06117">
      <w:pPr>
        <w:pStyle w:val="TextoNormal"/>
      </w:pPr>
      <w:r>
        <w:t>En nuestro ordenamiento encontramos incluso en el primer tercio del siglo pasado manifestaciones de esa diversidad de vertientes, como es el caso del Estatuto de formación profesional, aprobado por Decreto de 21 de diciembre de 1928, que se refería tanto a la faceta de la formación inicial como a la de la formación complementaria o de perfeccionamiento posterior de los trabajadores, dualidad que también se encuentra en la Ley 14/1970, de 4 de agosto, general de educación y financiación de la reforma educativa, si bien el aspecto relativo al perfeccionamiento, promoción, actualización y readaptación profesionales se regulaba dentro de la educación permanente de adultos.</w:t>
      </w:r>
    </w:p>
    <w:p w:rsidR="00D06117" w:rsidRDefault="00D06117" w:rsidP="00D06117">
      <w:pPr>
        <w:pStyle w:val="TextoNormal"/>
      </w:pPr>
    </w:p>
    <w:p w:rsidR="00D06117" w:rsidRDefault="00D06117" w:rsidP="00D06117">
      <w:pPr>
        <w:pStyle w:val="TextoNormal"/>
      </w:pPr>
      <w:r>
        <w:t>En la normativa postconstitucional se acentúa la separación entre las tres modalidades de formación profesional, que se rigen por normas distintas. Así, la formación profesional reglada, integrada en el sistema educativo, encontró regulación en la Ley Orgánica 1/1990, de 3 de octubre, de Ordenación General del Sistema Educativo, en el capítulo IV del título primero (“De las Enseñanzas de Régimen General”), comprendiendo los arts. 30 a 35, en el primero de los cuales se remitían a su regulación específica las acciones dirigidas a la formación continua y a la inserción y reinserción laboral de los trabajadores. Esta regulación ha sido posteriormente sustituida por la Ley Orgánica 2/2006, de 3 de mayo, de educación, que dedica a la formación profesional los arts. 39 a 44 (capítulo V del título primero), si bien no se introduce una variación sustancial respecto a la regulación contenida anteriormente en la LOGSE, y que en el art. 39.1 define en conjunto y con una fórmula amplia la formación profesional, al decir que “comprende el conjunto de acciones formativas que capacitan para el desempeño cualificado de las diversas profesiones, el acceso al empleo y la participación activa en la vida social, cultural y económica. Incluye las enseñanzas propias de la formación profesional inicial, las acciones de inserción y reinserción laboral de los trabajadores así como las orientadas a la formación continua en las empresas, que permitan la adquisición y actualización permanente de las competencias profesionales”. Ahora bien, se añade la precisión de que la regulación contenida en la Ley Orgánica 2/2006 sólo “se refiere a la formación profesional inicial que forma parte del sistema educativo”.</w:t>
      </w:r>
    </w:p>
    <w:p w:rsidR="00D06117" w:rsidRDefault="00D06117" w:rsidP="00D06117">
      <w:pPr>
        <w:pStyle w:val="TextoNormal"/>
      </w:pPr>
    </w:p>
    <w:p w:rsidR="00D06117" w:rsidRDefault="00D06117" w:rsidP="00D06117">
      <w:pPr>
        <w:pStyle w:val="TextoNormal"/>
      </w:pPr>
      <w:r>
        <w:t xml:space="preserve">La formación profesional ocupacional estaba recogida, en primer lugar, en el art. 14 de la Ley 51/1980, de 8 de octubre, básica de empleo, aunque, en la actualidad, encuentra su normativa específica en la Ley 56/2003, de 16 de diciembre, de empleo, que disciplina esta cuestión dentro del capítulo relativo a “Las políticas activas de empleo” que engloba tanto actuaciones de formación ocupacional como continua. Su artículo 26 dedica una amplia </w:t>
      </w:r>
      <w:r>
        <w:lastRenderedPageBreak/>
        <w:t>regulación a la que denomina “formación profesional para el empleo”, definida en su apartado 1 como un subsistema de formación profesional “constituido por un conjunto de iniciativas, medidas e instrumentos que pretenden, a través de la formación de los trabajadores y de la acreditación de su cualificación, dar respuesta a sus necesidades personales y profesionales de inserción y reinserción en el sistema productivo y contribuir a la mejora de la competitividad de las empresas”. Las acciones formativas que se desarrollen dentro de este subsistema se encuentran orientadas “a la adquisición, mejora y actualización permanente de las competencias y cualificaciones profesionales, favoreciendo la formación a lo largo de toda la vida de la población activa, y conjugando las necesidades de las personas, de las empresas, de los territorios y de los sectores productivos” (art. 26.2).</w:t>
      </w:r>
    </w:p>
    <w:p w:rsidR="00D06117" w:rsidRDefault="00D06117" w:rsidP="00D06117">
      <w:pPr>
        <w:pStyle w:val="TextoNormal"/>
      </w:pPr>
    </w:p>
    <w:p w:rsidR="00D06117" w:rsidRDefault="00D06117" w:rsidP="00D06117">
      <w:pPr>
        <w:pStyle w:val="TextoNormal"/>
      </w:pPr>
      <w:r>
        <w:t>Por otra parte, la formación continua de los trabajadores se encuentra plasmada normativamente de forma específica en los arts. 4.2 b) y 23 del Estatuto de los trabajadores (texto refundido aprobado por Real Decreto Legislativo 1/1995, de 24 de marzo, en la redacción que les ha dado el Real Decreto-ley 3/2012, de 10 de febrero, de medidas urgentes para la reforma laboral). El primero de ellos recoge, el derecho de los trabajadores, en la relación de trabajo, “[a] la promoción y formación profesional en el trabajo”. El art. 23, dedicado a la “promoción y formación profesional en el trabajo”, incluye, a su vez, entre los derechos del trabajador no sólo los que se refieren al disfrute de permisos y a la adaptación de jornada para concurrir a exámenes, asistir a cursos de formación profesional y para formación y perfeccionamiento, sino, especialmente, el que se refiere a “la formación necesaria para su adaptación a las modificaciones operadas en el puesto de trabajo”, que “correrá a cargo de la empresa, sin perjuicio de la posibilidad de obtener a tal efecto los créditos destinados a la formación”, pactándose los términos del ejercicio de tales derechos en la negociación colectiva (art. 23.1 y 2).</w:t>
      </w:r>
    </w:p>
    <w:p w:rsidR="00D06117" w:rsidRDefault="00D06117" w:rsidP="00D06117">
      <w:pPr>
        <w:pStyle w:val="TextoNormal"/>
      </w:pPr>
    </w:p>
    <w:p w:rsidR="00D06117" w:rsidRDefault="00D06117" w:rsidP="00D06117">
      <w:pPr>
        <w:pStyle w:val="TextoNormal"/>
      </w:pPr>
      <w:r>
        <w:t>Estas dos últimas modalidades han sido normalmente objeto de consideración conjunta a la hora de desarrollar planes y programar actuaciones en la materia, a partir del acuerdo del Consejo de Ministros de 30 de abril de 1985, por el que se establecieron las bases del Plan nacional de formación e inserción profesional para adecuar la formación profesional a las necesidades de empresas y trabajadores (modificado sucesivamente por acuerdos de 10 de enero de 1986, 6 de febrero de 1987, 21 de enero de 1988, y 22 de marzo de 1989). El Plan fue desarrollado anualmente por sucesivas órdenes del Ministerio de Trabajo y Seguridad Social, en las que se establecían los correspondientes programas de actuación dirigidos tanto a demandantes de empleo como a trabajadores. Fue objeto de nueva regulación por el Real Decreto 1618/1990, de 14 de diciembre, sustituido por el Real Decreto 631/1993, de 3 de mayo, que cambia su enfoque, para dirigirlo exclusivamente a los trabajadores desempleados, y, finalmente, hay que mencionar el acuerdo sobre la formación para el empleo de 7 de febrero de 2006 que sería recogido posteriormente en el Real Decreto 395/2007, de 23 de marzo, que regula el subsistema de formación profesional para el empleo, integrando los subsistemas de formación ocupacional y continua.</w:t>
      </w:r>
    </w:p>
    <w:p w:rsidR="00D06117" w:rsidRDefault="00D06117" w:rsidP="00D06117">
      <w:pPr>
        <w:pStyle w:val="TextoNormal"/>
      </w:pPr>
    </w:p>
    <w:p w:rsidR="00D06117" w:rsidRDefault="00D06117" w:rsidP="00D06117">
      <w:pPr>
        <w:pStyle w:val="TextoNormal"/>
      </w:pPr>
      <w:r>
        <w:t>Ante este panorama de dispersión normativa de los distintos subsistemas de formación profesional, la Ley Orgánica 5/2002, de 19 de junio, de las cualificaciones y de la formación profesional, sin derogar el marco legal de la formación profesional establecido por la LOGSE, tiene por objeto ordenar un sistema que integre las distintas modalidades de formación profesional, “que responda con eficacia y transparencia a las demandas sociales y económicas a través de las diversas modalidades formativas” (art. 1.1).</w:t>
      </w:r>
    </w:p>
    <w:p w:rsidR="00D06117" w:rsidRDefault="00D06117" w:rsidP="00D06117">
      <w:pPr>
        <w:pStyle w:val="TextoNormal"/>
      </w:pPr>
    </w:p>
    <w:p w:rsidR="00D06117" w:rsidRDefault="00D06117" w:rsidP="00D06117">
      <w:pPr>
        <w:pStyle w:val="TextoNormal"/>
      </w:pPr>
      <w:r>
        <w:t>En su exposición de motivos se señala que las estrategias coordinadas para el empleo que postula la Unión Europea se orientan hacia la obtención de una población activa cualificada y apta para la movilidad y libre circulación, cuya importancia se resalta expresamente en el Tratado de la Unión Europea. En este contexto, se considera necesaria la renovación del marco normativo de la formación profesional, de forma que “se garantice en todo momento la deseable correspondencia entre las cualificaciones profesionales y las necesidades del mercado de trabajo”. Con esta finalidad, la ley crea el sistema nacional de cualificaciones y formación profesional que, con la cooperación de las Comunidades Autónomas, “dote de unidad, coherencia y eficacia a la planificación, ordenación y administración de esta realidad, con el fin de facilitar la integración de las distintas formas de certificación y acreditación de las competencias y de las cualificaciones profesionales”, fomentando la formación a lo largo de la vida, integrando las distintas ofertas formativas e instrumentando el reconocimiento y la acreditación de las cualificaciones profesionales a nivel nacional, como mecanismo favorecedor de la homogeneización a nivel europeo.</w:t>
      </w:r>
    </w:p>
    <w:p w:rsidR="00D06117" w:rsidRDefault="00D06117" w:rsidP="00D06117">
      <w:pPr>
        <w:pStyle w:val="TextoNormal"/>
      </w:pPr>
    </w:p>
    <w:p w:rsidR="00D06117" w:rsidRDefault="00D06117" w:rsidP="00D06117">
      <w:pPr>
        <w:pStyle w:val="TextoNormal"/>
      </w:pPr>
      <w:r>
        <w:t>El eje institucional del sistema lo constituye el catálogo nacional de cualificaciones profesionales, cuyo objeto es la ordenación de las mismas en función de las competencias que resulten apropiadas para el ejercicio profesional susceptibles de reconocimiento y acreditación [art. 4.1 a)], partiendo, como noción básica, del concepto técnico de cualificación profesional que, según la exposición de motivos de la ley, es “el conjunto de competencias con significación para el empleo, adquiridas a través de un proceso formativo formal e incluso no formal que son objeto de los correspondientes procedimientos de evaluación y acreditación”, desarrollándose las ofertas públicas de formación profesional “en función de las necesidades del mercado de trabajo y de las cualificaciones que éste requiere”, y garantizando, en todo caso, el acceso de los ciudadanos en condiciones de igualdad a las diferentes modalidades de la formación profesional [art. 2.3 b)], a cuyo efecto, la ley cuenta con los centros ya existentes, aparte de trazar las líneas ordenadoras básicas de los nuevos centros integrados de formación profesional, en los que se impartirán todas las ofertas formativas referidas al catálogo nacional de cualificaciones profesionales (arts. 11.4 y 10.1). Y todo ello, tomando como punto de partida “los ámbitos competenciales propios de la Administración General del Estado y de las Comunidades Autónomas, así como el espacio que corresponde a la participación de los agentes sociales”.</w:t>
      </w:r>
    </w:p>
    <w:p w:rsidR="00D06117" w:rsidRDefault="00D06117" w:rsidP="00D06117">
      <w:pPr>
        <w:pStyle w:val="TextoNormal"/>
      </w:pPr>
    </w:p>
    <w:p w:rsidR="00D06117" w:rsidRDefault="00D06117" w:rsidP="00D06117">
      <w:pPr>
        <w:pStyle w:val="TextoNormal"/>
      </w:pPr>
      <w:r w:rsidRPr="00D06117">
        <w:rPr>
          <w:rStyle w:val="NumeroAFNegritaCaracter"/>
        </w:rPr>
        <w:t>4</w:t>
      </w:r>
      <w:r>
        <w:t>. Una vez expuesto el panorama normativo de la formación profesional, debemos proceder al encuadre competencial de la materia que nos ocupa. En este punto, las partes coinciden en ubicar la formación profesional reglada o inicial en el ámbito de las competencias relativas a la educación, mientras que la ocupacional y la continua se incardinarían en la materia laboral y en las competencias relacionadas con la misma, criterio que coincide con lo expuesto en el fundamento jurídico anterior a la hora de deslindar las distintas modalidades de formación profesional.</w:t>
      </w:r>
    </w:p>
    <w:p w:rsidR="00D06117" w:rsidRDefault="00D06117" w:rsidP="00D06117">
      <w:pPr>
        <w:pStyle w:val="TextoNormal"/>
      </w:pPr>
    </w:p>
    <w:p w:rsidR="00D06117" w:rsidRDefault="00D06117" w:rsidP="00D06117">
      <w:pPr>
        <w:pStyle w:val="TextoNormal"/>
      </w:pPr>
      <w:r>
        <w:t xml:space="preserve">La disposición final primera de la Ley Orgánica 5/2002 establece en su apartado 1 que la ley se dicta al amparo del art. 149.1.1, 7 y 30 CE, especificando en sus apartados 2 y 3 que la regulación de la formación profesional en el ámbito del sistema educativo se ampara en el art. 149.1.1 y 30 CE, mientras que lo que no se refiera a ella quedaría cubierto por el art. 149.1.7 CE. Las partes se muestran sólo parcialmente de acuerdo con esta atribución competencial, pues, en lo que se refiere a la regulación perteneciente al sistema educativo, </w:t>
      </w:r>
      <w:r>
        <w:lastRenderedPageBreak/>
        <w:t>aunque admiten que entra en juego la competencia del Estado ex art. 149.1.30 en materia de educación y que el título del art. 149.1.1 pasa a un segundo plano, actuando como refuerzo de aquélla, discrepan de la extensión de la competencia estatal y del alcance que le otorga la disposición final primera, apartado 2. Así, mientras la Generalitat y el Parlamento de Cataluña sostienen que el Estado sólo estaría habilitado para dictar las normas básicas de desarrollo del derecho a la educación consagrado en el art. 27 CE, el Abogado del Estado y el Letrado del Senado defienden que una parte de la regulación referida a la formación profesional reglada se encontraría respaldada por el inciso primero del art. 149.1.30 CE (condiciones de obtención, expedición y homologación de títulos académicos y profesionales), y otra por el inciso segundo (normas básicas para el desarrollo del art. 27 CE). Sin embargo, tanto los recurrentes como los otros contendientes están de acuerdo en que lo referido a la formación profesional continua y a la ocupacional encontraría cobertura en el art. 149.1.7 CE, si bien discuten sobre el alcance de las competencias de ejecución en la materia.</w:t>
      </w:r>
    </w:p>
    <w:p w:rsidR="00D06117" w:rsidRDefault="00D06117" w:rsidP="00D06117">
      <w:pPr>
        <w:pStyle w:val="TextoNormal"/>
      </w:pPr>
    </w:p>
    <w:p w:rsidR="00D06117" w:rsidRDefault="00D06117" w:rsidP="00D06117">
      <w:pPr>
        <w:pStyle w:val="TextoNormal"/>
      </w:pPr>
      <w:r w:rsidRPr="00D06117">
        <w:rPr>
          <w:rStyle w:val="NumeroAFNegritaCaracter"/>
        </w:rPr>
        <w:t>5</w:t>
      </w:r>
      <w:r>
        <w:t>. En relación con la educación hay que recordar que se trata de una materia compartida entre el Estado y las Comunidades Autónomas (por todas, STC 6/1982, de 22 de febrero, FJ 3), y que las competencias del Estado en materia educativa derivan, sobre todo, de lo dispuesto en las cláusulas 1 y 30 del art. 149.1 CE (STC 77/1985, de 27 de junio, FJ 15), arraigando dichas competencias en el derecho fundamental a la educación (art. 27 CE), cuyo ejercicio igualitario debe garantizar el Estado (STC 6/1982, FJ 3). El título específico que ostenta el Estado hace pasar a un segundo plano, como han reconocido las partes, el alcance de la cláusula general del art. 149.1.1 CE (STC 137/1986, de 6 de noviembre, FJ 3), que se proyecta de un modo genérico sobre todos los derechos fundamentales (STC 188/2001, de 20 de septiembre, FJ 6). Pues bien, el art. 149.1.30 CE atribuye al Estado dos competencias diferenciadas que, de acuerdo con nuestra doctrina, presentan un distinto alcance. En primer lugar, le reconoce competencia exclusiva para la “[r]egulación de las condiciones de obtención, expedición y homologación de títulos académicos y profesionales”, mientras que, en su segundo inciso, le asigna competencia sobre las “normas básicas para el desarrollo del artículo 27 de la Constitución, a fin de garantizar el cumplimiento de las obligaciones de los poderes públicos en esta materia”.</w:t>
      </w:r>
    </w:p>
    <w:p w:rsidR="00D06117" w:rsidRDefault="00D06117" w:rsidP="00D06117">
      <w:pPr>
        <w:pStyle w:val="TextoNormal"/>
      </w:pPr>
    </w:p>
    <w:p w:rsidR="00D06117" w:rsidRDefault="00D06117" w:rsidP="00D06117">
      <w:pPr>
        <w:pStyle w:val="TextoNormal"/>
      </w:pPr>
      <w:r>
        <w:t xml:space="preserve">La primera de esas competencias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(ad ex: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(STC 42/1981, de 22 de diciembre, FJ 3). Esta competencia, que se halla estrechamente ligada al principio de igualdad de los españoles en derechos y obligaciones en todo el territorio del Estado, consagrado en el art. 139.1 CE (STC 82/1986, de 26 de junio, FJ 12), “se vincula directamente a la existencia de las llamadas profesiones tituladas, concepto éste que la propia Constitución utiliza en el art. 36, y que implícitamente admite, como parece obvio, que no todas las actividades laborales, los oficios o las profesiones en sentido lato son o constituyen profesiones tituladas. Como ha declarado este Tribunal en la STC 83/1984, tales profesiones tituladas existen cuando se condicionan determinadas actividades ‘a la posesión de concretos títulos académicos’, y en un sentido todavía más preciso, la STC 42/1986 define las profesiones tituladas como aquellas ‘para cuyo ejercicio se requieren </w:t>
      </w:r>
      <w:r>
        <w:lastRenderedPageBreak/>
        <w:t>títulos, entendiendo por tales la posesión de estudios superiores y la ratificación de dichos estudios mediante la consecución del oportuno certificado o licencia’. Según señalábamos en esta última Sentencia, corresponde al legislador, atendiendo a las exigencias del interés público y a los datos producidos por la vida social, determinar cuándo una profesión debe pasar a ser profesión titulada, y no es dudoso que, con arreglo al texto del art. 149.1.30 de la Constitución, es el legislador estatal quien ostenta esta competencia exclusiva” (STC 122/1989, de 6 de julio, FJ 3).</w:t>
      </w:r>
    </w:p>
    <w:p w:rsidR="00D06117" w:rsidRDefault="00D06117" w:rsidP="00D06117">
      <w:pPr>
        <w:pStyle w:val="TextoNormal"/>
      </w:pPr>
    </w:p>
    <w:p w:rsidR="00D06117" w:rsidRDefault="00D06117" w:rsidP="00D06117">
      <w:pPr>
        <w:pStyle w:val="TextoNormal"/>
      </w:pPr>
      <w:r>
        <w:t>Resulta de especial importancia esta última precisión sobre la vinculación de la competencia del primer inciso del art. 149.1.30 CE con las profesiones tituladas, incardinadas dentro del sistema educativo (en este caso se trataría de los títulos relativos a la formación profesional de grado medio y a la formación profesional de grado superior, que son las titulaciones contempladas actualmente por la Ley Orgánica de educación dentro del sistema educativo), que no se pueden equiparar a otras figuras acreditativas de capacitaciones profesionales adquiridas en otros ámbitos. En este sentido, la propia Ley Orgánica 5/2002 distingue en su art. 8 entre los títulos de formación profesional y los certificados de profesionalidad, que presentan diferentes efectos y alcances. Sobre esta cuestión hemos dicho ya que “la sujeción a determinadas condiciones o el cumplimiento de ciertos requisitos para poder ejercer una determinada actividad laboral o profesional es cosa bien distinta y alejada de la creación de una profesión titulada en el sentido antes indicado. Es así posible que, dentro del respeto debido al derecho al trabajo y a la libre elección de profesión u oficio (art. 35 de la Constitución), y como medio necesario para la protección de intereses generales, los poderes públicos intervengan el ejercicio de ciertas actividades profesionales, sometiéndolas a la previa obtención de una autorización o licencia administrativa o a la superación de ciertas pruebas de aptitud. Pero, como se acaba de señalar, la exigencia de tales requisitos, autorizaciones, habilitaciones o pruebas no es en modo alguno, equiparable a la creación o regulación de los títulos profesionales, a que se refiere el art. 149.1.30 de la Constitución, ni guarda relación con la competencia que este precepto constitucional reserva al Estado” (STC 122/1989, de 6 de julio, FJ 3).</w:t>
      </w:r>
    </w:p>
    <w:p w:rsidR="00D06117" w:rsidRDefault="00D06117" w:rsidP="00D06117">
      <w:pPr>
        <w:pStyle w:val="TextoNormal"/>
      </w:pPr>
    </w:p>
    <w:p w:rsidR="00D06117" w:rsidRDefault="00D06117" w:rsidP="00D06117">
      <w:pPr>
        <w:pStyle w:val="TextoNormal"/>
      </w:pPr>
      <w:r>
        <w:t>A partir de esta doctrina, señalamos en la STC 111/1993, de 25 de marzo, FJ 9, que “no solo resulta avalada la distinción entre ‘título académico oficial’ y ‘capacitación oficial’ y la identificación de las profesiones tituladas con aquellas para cuyo ejercicio se requiere poseer estudios universitarios acreditados por la obtención del correspondiente ‘título’ oficial, sino que dado el reconocimiento constitucional a la libre elección de profesión u oficio (art. 35 CE), se perfila la posibilidad de diversos grados de control estatal de las actividades profesionales según sea la mayor o menor importancia constitucional de los intereses que con su ejercicio se ponen en juego. De manera que cuanto más relevancia social tuvieran dichos intereses, mayor sería el nivel de conocimientos requeridos para el desempeño de la actividad”. Así, en la STC 154/2005, de 9 de junio, FJ 8 b), negamos que las actividades formativas referidas al personal de seguridad privada pudieran incardinarse en la materia “educación” y que pudiera invocarse el título estatal del art. 149.1.30 CE, debiendo quedar encuadrada la cuestión en la materia de “seguridad pública”.</w:t>
      </w:r>
    </w:p>
    <w:p w:rsidR="00D06117" w:rsidRDefault="00D06117" w:rsidP="00D06117">
      <w:pPr>
        <w:pStyle w:val="TextoNormal"/>
      </w:pPr>
    </w:p>
    <w:p w:rsidR="00D06117" w:rsidRDefault="00D06117" w:rsidP="00D06117">
      <w:pPr>
        <w:pStyle w:val="TextoNormal"/>
      </w:pPr>
      <w:r>
        <w:t>Cosa distinta es que el contenido propio de esas actividades formativas pueda ser objeto de homologación por parte del Estado en relación con la acreditación de las enseñanzas correspondientes a las titulaciones de la formación profesional reglada, aspecto en el que sí entraría en juego la competencia del primer inciso del art. 149.1.30 CE.</w:t>
      </w:r>
    </w:p>
    <w:p w:rsidR="00D06117" w:rsidRDefault="00D06117" w:rsidP="00D06117">
      <w:pPr>
        <w:pStyle w:val="TextoNormal"/>
      </w:pPr>
    </w:p>
    <w:p w:rsidR="00D06117" w:rsidRDefault="00D06117" w:rsidP="00D06117">
      <w:pPr>
        <w:pStyle w:val="TextoNormal"/>
      </w:pPr>
      <w:r>
        <w:t>En todo caso, la extensión de esta competencia estatal exclusiva, que supone la reserva al Estado de toda la función normativa en relación con dicho sector (STC 77/1985, de 27 de junio, FJ 15), determina que las Comunidades Autónomas sólo puedan asumir competencias ejecutivas en relación con esta materia, y, en este sentido, el art. 131.4 del Estatuto de Autonomía de Cataluña (EAC) establece que “[c]orresponde a la Generalitat, en materia de enseñanza no universitaria, la competencia ejecutiva sobre la expedición y homologación de los títulos académicos y profesionales estatales”.</w:t>
      </w:r>
    </w:p>
    <w:p w:rsidR="00D06117" w:rsidRDefault="00D06117" w:rsidP="00D06117">
      <w:pPr>
        <w:pStyle w:val="TextoNormal"/>
      </w:pPr>
    </w:p>
    <w:p w:rsidR="00D06117" w:rsidRDefault="00D06117" w:rsidP="00D06117">
      <w:pPr>
        <w:pStyle w:val="TextoNormal"/>
      </w:pPr>
      <w:r>
        <w:t>Por otra parte,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de la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w:t>
      </w:r>
    </w:p>
    <w:p w:rsidR="00D06117" w:rsidRDefault="00D06117" w:rsidP="00D06117">
      <w:pPr>
        <w:pStyle w:val="TextoNormal"/>
      </w:pPr>
    </w:p>
    <w:p w:rsidR="00D06117" w:rsidRDefault="00D06117" w:rsidP="00D06117">
      <w:pPr>
        <w:pStyle w:val="TextoNormal"/>
      </w:pPr>
      <w:r>
        <w:t xml:space="preserve">En el caso de la Generalitat de Cataluña, su vigente Estatuto de Autonomía le ha atribuido en su art. 131, en materia de enseñanza no universitaria, “la competencia exclusiva sobre las enseñanzas postobligatorias que no conduzcan a la obtención de título o certificación académica o profesional con validez en todo el Estado y sobre los centros docentes en que se impartan estas enseñanzas” (apartado 1), así como la competencia exclusiva respecto de “las enseñanzas obligatorias y no obligatorias que conducen a la obtención de un título académico o profesional con validez en todo el Estado y a las enseñanzas de educación infantil”, competencia exclusiva que incluye una serie de potestades especificadas en ocho subapartados (apartado 2). En este caso,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(STC 31/2010, de 28 de junio, FJ 77).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Esta competencia compartida tiene el alcance determinado por el art. 111 EAC, según el pronunciamiento contenido en el fundamento jurídico 60 de la STC 31/2010, en el que se describen las facultades comprendidas en la competencia de desarrollo de las bases estatales, precepto que, una vez suprimido el inciso declarado inconstitucional en dicha Sentencia por introducir una definición de las </w:t>
      </w:r>
      <w:r>
        <w:lastRenderedPageBreak/>
        <w:t>bases que incidía sobre el ámbito competencial del Estado, “se limita a describir correctamente las facultades comprendidas en la competencia de desarrollo de unas bases estatales cuyo contenido y alcance serán siempre, y sólo, las que se desprenden de la Constitución interpretada por este Tribunal”.</w:t>
      </w:r>
    </w:p>
    <w:p w:rsidR="00D06117" w:rsidRDefault="00D06117" w:rsidP="00D06117">
      <w:pPr>
        <w:pStyle w:val="TextoNormal"/>
      </w:pPr>
    </w:p>
    <w:p w:rsidR="00D06117" w:rsidRDefault="00D06117" w:rsidP="00D06117">
      <w:pPr>
        <w:pStyle w:val="TextoNormal"/>
      </w:pPr>
      <w:r w:rsidRPr="00D06117">
        <w:rPr>
          <w:rStyle w:val="NumeroAFNegritaCaracter"/>
        </w:rPr>
        <w:t>6</w:t>
      </w:r>
      <w:r>
        <w:t>. La norma cuestionada basa la competencia estatal también en el art. 149.1.1 CE, que reconoce competencia exclusiva al Estado para regular “las condiciones básicas que garanticen la igualdad de todos los españoles en el ejercicio de los derechos y en el cumplimiento de los deberes constitucionales”, Ciertamente, el art. 149.1.1 CE, en puridad, no habilita al Estado para regular el contenido normativo sustantivo de los derechos constitucionales, sino “las condiciones básicas que garanticen la igualdad en el ejercicio de los derechos y en el cumplimiento de los deberes constitucionales”. Por tanto, no cabe identificar el contenido normativo de los derechos constitucionales y las condiciones básicas con arreglo a las cuales dichos derechos han de ser ejercidos, de manera que las señaladas condiciones básicas sólo permiten al Estado establecer una cierta homogeneidad en el ejercicio de tales derechos cuando ello fuere aconsejable para evitar una excesiva diversidad que pudiera menoscabar la entidad sustancial del derecho de que se trate (STC 247/2007, de 12 de diciembre, FJ 17).</w:t>
      </w:r>
    </w:p>
    <w:p w:rsidR="00D06117" w:rsidRDefault="00D06117" w:rsidP="00D06117">
      <w:pPr>
        <w:pStyle w:val="TextoNormal"/>
      </w:pPr>
    </w:p>
    <w:p w:rsidR="00D06117" w:rsidRDefault="00D06117" w:rsidP="00D06117">
      <w:pPr>
        <w:pStyle w:val="TextoNormal"/>
      </w:pPr>
      <w:r>
        <w:t>Delimitado negativamente, puede decirse que la competencia estatal ex art. 149.1.1 CE no puede ser equiparada a la competencia que ostenta el Estado en materias concretas para dictar la correspondiente normativa básica, ni, por consiguiente, las condiciones básicas se identifican con “legislación básica”, “bases” o “normas básicas”; en este sentido, hemos dicho que “el art. 149.1.1 CE, en efecto,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 no lo es menos, sin embargo, que la competencia ex art. 149.1.1 CE no se mueve en la lógica de las bases estatales-legislación autonómica de desarrollo” [STC 61/1997, de 20 de marzo, FJ 7 a)].</w:t>
      </w:r>
    </w:p>
    <w:p w:rsidR="00D06117" w:rsidRDefault="00D06117" w:rsidP="00D06117">
      <w:pPr>
        <w:pStyle w:val="TextoNormal"/>
      </w:pPr>
    </w:p>
    <w:p w:rsidR="00D06117" w:rsidRDefault="00D06117" w:rsidP="00D06117">
      <w:pPr>
        <w:pStyle w:val="TextoNormal"/>
      </w:pPr>
      <w:r>
        <w:t>En cuanto a su delimitación positiva, dijimos en la misma STC 61/1997, FJ 8,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w:t>
      </w:r>
    </w:p>
    <w:p w:rsidR="00D06117" w:rsidRDefault="00D06117" w:rsidP="00D06117">
      <w:pPr>
        <w:pStyle w:val="TextoNormal"/>
      </w:pPr>
    </w:p>
    <w:p w:rsidR="00D06117" w:rsidRDefault="00D06117" w:rsidP="00D06117">
      <w:pPr>
        <w:pStyle w:val="TextoNormal"/>
      </w:pPr>
      <w:r>
        <w:t>En definitiva, podemos concluir que, de acuerdo con nuestra doctrina, este título estatal queda restringido al ámbito normativo, “lo que permite al Estado una regulación, aunque limitada a las condiciones básicas que garanticen la igualdad, que no al diseño completo y acabado de su régimen jurídico” [STC 188/2001, de 20 de septiembre, FJ 12, con cita de la STC 61/1997, FJ 7 b)].</w:t>
      </w:r>
    </w:p>
    <w:p w:rsidR="00D06117" w:rsidRDefault="00D06117" w:rsidP="00D06117">
      <w:pPr>
        <w:pStyle w:val="TextoNormal"/>
      </w:pPr>
    </w:p>
    <w:p w:rsidR="00D06117" w:rsidRDefault="00D06117" w:rsidP="00D06117">
      <w:pPr>
        <w:pStyle w:val="TextoNormal"/>
      </w:pPr>
      <w:r w:rsidRPr="00D06117">
        <w:rPr>
          <w:rStyle w:val="NumeroAFNegritaCaracter"/>
        </w:rPr>
        <w:t>7</w:t>
      </w:r>
      <w:r>
        <w:t>. En cuanto a la delimitación competencial en la otra parcela en la que se ubican materialmente la formación profesional continua y la ocupacional, en la STC 195/1996, de 28 de noviembre, FJ 5, ya afirmamos que la formación profesional ocupacional ha de ubicarse en la materia “legislación laboral” (art. 149.1.7 CE), y a igual conclusión llegamos en cuanto a la modalidad de formación continua de los trabajadores asalariados o en activo en las SSTC 95/2002, de 25 de abril, y 190/2002, de 17 de octubre. En la primera de ellas, afirmamos —como ya hemos adelantado en el fundamento jurídico 3— que esta última modalidad no pertenece al ámbito de la “educación”, ya que no se integra en el sistema educativo, en el que sólo se incluye la “formación profesional reglada” que, al ser cursada, conlleva la posibilidad de obtención de un determinado título académico (STC 95/2002, FJ 6). El propio art. 30.1 LOGSE remitía a su regulación específica y propia todo lo concerniente a la formación profesional ocupacional, mientras que el art. 39.1 de la Ley Orgánica de educación previene que la regulación contenida en la misma se refiere exclusivamente “a la formación profesional inicial que forma parte del sistema educativo”. Las acciones formativas para la formación continua de los trabajadores ocupados no forman parte del sistema educativo, sino que, como afirmamos en la reseñadas Sentencias, se identifican como pertenecientes a un estadio ulterior, centrado en el mantenimiento, a lo largo de la vida laboral, de las aptitudes y cualificaciones profesionales alcanzadas en su día (SSTC 95/2002, FJ 6; 190/2002, FJ 5).</w:t>
      </w:r>
    </w:p>
    <w:p w:rsidR="00D06117" w:rsidRDefault="00D06117" w:rsidP="00D06117">
      <w:pPr>
        <w:pStyle w:val="TextoNormal"/>
      </w:pPr>
    </w:p>
    <w:p w:rsidR="00D06117" w:rsidRDefault="00D06117" w:rsidP="00D06117">
      <w:pPr>
        <w:pStyle w:val="TextoNormal"/>
      </w:pPr>
      <w:r>
        <w:t>Sin perjuicio de que haya aspectos de la formación profesional vinculados al fomento del empleo que podrían encontrar cobertura en el art. 149.1.13 CE (STC 95/2002, FJ 11), hemos descartado, en términos generales, la inclusión de esta materia en el citado título estatal, pues sólo tangencialmente puede verificarse su repercusión económica y, por otra parte, “si bien la política de empleo, dada su relevancia para los diversos sectores económicos, puede, e incluso debe, en alguna de sus manifestaciones, ser objeto de coordinación y planificación, esta previsión no puede entenderse con un significado tan amplio o expansivo que determine su proyección sobre un aspecto tangencial o secundario a dicha política de empleo como es la formación profesional ocupacional, en modo alguno equiparable a otras decisiones básicas en dicho ámbito, como pudieran ser las subvenciones o subsidios a las prejubilaciones en sectores productivos objeto de reconversión industrial, o las medidas dirigidas a la ‘recolocación’ de determinados colectivos de trabajadores en razón de situaciones de crisis afectantes a ciertas empresas o sectores, entre otras” (STC 95/2002, FJ 7).</w:t>
      </w:r>
    </w:p>
    <w:p w:rsidR="00D06117" w:rsidRDefault="00D06117" w:rsidP="00D06117">
      <w:pPr>
        <w:pStyle w:val="TextoNormal"/>
      </w:pPr>
    </w:p>
    <w:p w:rsidR="00D06117" w:rsidRDefault="00D06117" w:rsidP="00D06117">
      <w:pPr>
        <w:pStyle w:val="TextoNormal"/>
      </w:pPr>
      <w:r>
        <w:t xml:space="preserve">Por lo que se refiere a la incardinación de la formación de los trabajadores ocupados en la materia “legislación laboral” se dijo en las SSTC 95/2002, FJ 8, y 190/2002, FJ 6, que “la STC 35/1982, de 14 de junio, asigna al adjetivo laboral ‘un sentido concreto y restringido, coincidente por lo demás con el uso habitual, como referido solo al trabajo por cuenta ajena’. A ello añadimos que las acciones de estímulo de la contratación laboral, en sus distintas modalidades se insertan sin dificultad en el título del art. 149.1.7 CE, el cual ha de tenerse asimismo por prevalente en lo que atañe a los incentivos a la formación profesional ocupacional, para concluir que ésta “concierne a la regulación de un concreto derecho de los trabajadores en el seno de la relación laboral, como el reconocido en el art. 4.2 del estatuto de los trabajadores … y desarrollado en el art. 23 del mismo texto legal …. Esta clara inserción de la formación profesional continua en el seno de la relación laboral, con la consiguiente atribución de derechos al trabajador y correlativos deberes al empresario, determina como </w:t>
      </w:r>
      <w:r>
        <w:lastRenderedPageBreak/>
        <w:t>encuadramiento adecuado de la materia el de ‘legislación laboral’.” (SSTC 95/2002, FJ 8; y 190/2002, FJ 6).</w:t>
      </w:r>
    </w:p>
    <w:p w:rsidR="00D06117" w:rsidRDefault="00D06117" w:rsidP="00D06117">
      <w:pPr>
        <w:pStyle w:val="TextoNormal"/>
      </w:pPr>
    </w:p>
    <w:p w:rsidR="00D06117" w:rsidRDefault="00D06117" w:rsidP="00D06117">
      <w:pPr>
        <w:pStyle w:val="TextoNormal"/>
      </w:pPr>
      <w:r>
        <w:t>El reparto competencial en esta materia viene dado por el ya citado art. 149.1.7 CE y por el art. 170.1 EAC. El primero de ellos atribuye al Estado competencia exclusiva sobre legislación laboral, “sin perjuicio de su ejecución por los órganos de las Comunidades Autónomas”, y el segundo reconoce a la Generalitat “la competencia ejecutiva en materia de trabajo y relaciones laborales”, incluyendo a continuación un listado de potestades concretas, entre las que figuran en los párrafos b) y c) “[l]as políticas activas de ocupación, que incluyen la formación de los demandantes de ocupación y de los trabajadores en activo, así como la gestión de las subvenciones correspondientes”, con participación en “los planes o actividades de formación que superen el ámbito territorial de Cataluña”, y “[l]as cualificaciones profesionales en Cataluña”.</w:t>
      </w:r>
    </w:p>
    <w:p w:rsidR="00D06117" w:rsidRDefault="00D06117" w:rsidP="00D06117">
      <w:pPr>
        <w:pStyle w:val="TextoNormal"/>
      </w:pPr>
    </w:p>
    <w:p w:rsidR="00D06117" w:rsidRDefault="00D06117" w:rsidP="00D06117">
      <w:pPr>
        <w:pStyle w:val="TextoNormal"/>
      </w:pPr>
      <w:r>
        <w:t>La premisa de partida de este encuadramiento es que “[l]a Constitución Española atribuye al Estado la ordenación general en materia laboral, pues las Cortes Generales y no las Asambleas Legislativas de las Comunidades Autónomas, son las que ostentan la potestad legislativa en el ámbito de lo laboral” (STC 33/1981, de 5 de noviembre, FJ 2). Además, hemos señalado reiteradamente que “la expresión ‘legislación’ que define la competencia exclusiva del Estado en materia laboral ha de ser entendida ‘en sentido material, sea cual fuere el rango formal de las normas’ (STC 35/1982, de 14 de junio, FJ 2), y comprendiendo, por tanto, no sólo las leyes, sino también los reglamentos. … La exigencia de uniformidad que informa el título competencial del Estado sobre ‘legislación laboral’ ex art. 149.1.7 CE (STC 227/1998, de 26 de noviembre, FJ 9) determina, en definitiva, que ‘ningún espacio de regulación externa les resta a las Comunidades Autónomas, las cuales únicamente pueden disponer de una competencia de mera ejecución de la normación estatal’ (STC 195/1996, de 28 de noviembre, FJ 11).” (STC 51/2006, de 16 de febrero, FJ 4).</w:t>
      </w:r>
    </w:p>
    <w:p w:rsidR="00D06117" w:rsidRDefault="00D06117" w:rsidP="00D06117">
      <w:pPr>
        <w:pStyle w:val="TextoNormal"/>
      </w:pPr>
    </w:p>
    <w:p w:rsidR="00D06117" w:rsidRDefault="00D06117" w:rsidP="00D06117">
      <w:pPr>
        <w:pStyle w:val="TextoNormal"/>
      </w:pPr>
      <w:r>
        <w:t>La competencia autonómica en esta materia que es, como ya se ha expuesto, de ejecución de la legislación laboral, incluye la emanación de reglamentos internos de organización de los servicios necesarios (SSTC 249/1988, de 20 de diciembre, FJ 2; y 158/2004, de 21 de septiembre, FJ 5) y de regulación de la propia competencia funcional de ejecución (STC 51/2006, de 16 de febrero, FJ 4), y, en general, “el desarrollo del conjunto de actuaciones preciso para la puesta en práctica de la normativa reguladora del conjunto del sistema de relaciones laborales” (STC 194/1994, de 23 de junio, FJ 3), así como la potestad sancionadora en la materia (SSTC 87/1985, de 16 de julio, FFJJ 1 y 2; 195/1996, de 28 de noviembre, FFJJ 8 y 9; y 81/2005, de 6 de abril, FJ 11). En esta línea se enmarca el art. 112 EAC, según el cual, corresponde a la Generalitat en el ámbito de sus competencias ejecutivas, además de la función ejecutiva, comprensiva de la potestad de organización de su propia administración, la potestad reglamentaria, previsión ésta que, de acuerdo con la STC 31/2010, de 28 de junio, FJ 61, ha de entenderse “limitada a la emanación de reglamentos de organización interna y de ordenación funcional de la competencia ejecutiva autonómica”.</w:t>
      </w:r>
    </w:p>
    <w:p w:rsidR="00D06117" w:rsidRDefault="00D06117" w:rsidP="00D06117">
      <w:pPr>
        <w:pStyle w:val="TextoNormal"/>
      </w:pPr>
    </w:p>
    <w:p w:rsidR="00D06117" w:rsidRDefault="00D06117" w:rsidP="00D06117">
      <w:pPr>
        <w:pStyle w:val="TextoNormal"/>
      </w:pPr>
      <w:r>
        <w:t xml:space="preserve">Siendo ésta la regla general, hay que advertir, empero, que existen excepciones al encuadramiento de la formación profesional, en su modalidad continua, en la materia “legislación laboral”. Como señalamos en la STC 190/2002, FJ 8, las acciones formativas que se realicen en el ámbito de las Administraciones públicas “deberán encuadrarse, desde la perspectiva del orden constitucional de competencias, en las materias ‘bases … del régimen estatutario </w:t>
      </w:r>
      <w:r>
        <w:lastRenderedPageBreak/>
        <w:t>de sus funcionarios’ o ‘legislación laboral’, según que la relación de los empleados públicos con la Administración sea de carácter funcionarial, estatutario o laboral. Pues bien, en la primera de estas materias al Estado le corresponde dictar la normativa básica (art. 149.1.18 CE)”, y, en nuestro caso, a la Generalitat la competencia exclusiva sobre el régimen estatutario del personal al servicio de las Administraciones públicas catalanas y sobre la ordenación y la organización de la función pública, y la competencia compartida para el desarrollo de los principios ordenadores del empleo público, sobre la adquisición y pérdida de la condición de funcionario, las situaciones administrativas y los derechos, deberes e incompatibilidades del personal al servicio de las Administraciones públicas [art. 136 a) y b)].</w:t>
      </w:r>
    </w:p>
    <w:p w:rsidR="00D06117" w:rsidRDefault="00D06117" w:rsidP="00D06117">
      <w:pPr>
        <w:pStyle w:val="TextoNormal"/>
      </w:pPr>
    </w:p>
    <w:p w:rsidR="00D06117" w:rsidRDefault="00D06117" w:rsidP="00D06117">
      <w:pPr>
        <w:pStyle w:val="TextoNormal"/>
      </w:pPr>
      <w:r>
        <w:t>De la misma manera, hemos entendido que las actuaciones dirigidas a la formación continua de determinadas profesiones sanitarias, que tampoco se incardinan en la materia “educación”, pues “no se ha establecido un sistema de retitulación dentro del sistema educativo general para la formación continua de estos profesionales”, por su obvia repercusión en el ámbito de la salud humana “se incardinan en la materia ‘sanidad’, en la que el Estado tiene atribuida la competencia para el establecimiento de las normas básicas y coordinación (art. 149.1.16 CE)” (STC 1/2011, de 14 de febrero, FJ 5), y a la Generalitat corresponde, entre otras, competencia compartida sobre la formación sanitaria especializada y sobre el régimen estatutario y la formación del personal que presta servicios en el sistema sanitario público [art. 162.3 d) y e) EAC], con el alcance que determina el art. 111 EAC, al que ya nos hemos referido anteriormente.</w:t>
      </w:r>
    </w:p>
    <w:p w:rsidR="00D06117" w:rsidRDefault="00D06117" w:rsidP="00D06117">
      <w:pPr>
        <w:pStyle w:val="TextoNormal"/>
      </w:pPr>
    </w:p>
    <w:p w:rsidR="00D06117" w:rsidRDefault="00D06117" w:rsidP="00D06117">
      <w:pPr>
        <w:pStyle w:val="TextoNormal"/>
      </w:pPr>
      <w:r>
        <w:t>En definitiva, sin perjuicio de la regla general que enmarca la formación profesional en su modalidad continua en la esfera laboral, habrá que estar, en último término, al ámbito en el que se desenvuelven las actividades formativas de los trabajadores ocupados en cada caso para determinar el encuadre material que resulte procedente y la distribución competencial que al mismo corresponda.</w:t>
      </w:r>
    </w:p>
    <w:p w:rsidR="00D06117" w:rsidRDefault="00D06117" w:rsidP="00D06117">
      <w:pPr>
        <w:pStyle w:val="TextoNormal"/>
      </w:pPr>
    </w:p>
    <w:p w:rsidR="00D06117" w:rsidRDefault="00D06117" w:rsidP="00D06117">
      <w:pPr>
        <w:pStyle w:val="TextoNormal"/>
      </w:pPr>
      <w:r w:rsidRPr="00D06117">
        <w:rPr>
          <w:rStyle w:val="NumeroAFNegritaCaracter"/>
        </w:rPr>
        <w:t>8</w:t>
      </w:r>
      <w:r>
        <w:t>. Dada la pluralidad y distinto alcance de los títulos competenciales en esta materia, tanto del Estado como de las Comunidades Autónomas, procede realizar una observación preliminar que cabe referir potencialmente a todos los preceptos impugnados, en el sentido de que no es posible realizar una lectura unívoca de su contenido, ya que ésta puede variar según se proyecte sobre cada una de las distintas modalidades de formación profesional.</w:t>
      </w:r>
    </w:p>
    <w:p w:rsidR="00D06117" w:rsidRDefault="00D06117" w:rsidP="00D06117">
      <w:pPr>
        <w:pStyle w:val="TextoNormal"/>
      </w:pPr>
    </w:p>
    <w:p w:rsidR="00D06117" w:rsidRDefault="00D06117" w:rsidP="00D06117">
      <w:pPr>
        <w:pStyle w:val="TextoNormal"/>
      </w:pPr>
      <w:r>
        <w:t>El primer precepto contra el que dirigen su impugnación el Gobierno de la Generalitat y el Parlamento de Cataluña es el art. 5.1 de la Ley Orgánica 5/2002, a cuyo tenor</w:t>
      </w:r>
    </w:p>
    <w:p w:rsidR="00D06117" w:rsidRDefault="00D06117" w:rsidP="00D06117">
      <w:pPr>
        <w:pStyle w:val="TextoNormal"/>
      </w:pPr>
    </w:p>
    <w:p w:rsidR="00D06117" w:rsidRDefault="00D06117" w:rsidP="00D06117">
      <w:pPr>
        <w:pStyle w:val="TextoNormal"/>
      </w:pPr>
      <w:r>
        <w:t>“Corresponde a la Administración General del Estado la regulación y la coordinación del Sistema Nacional de Cualificaciones y Formación Profesional, sin perjuicio de las competencias que corresponden a las Comunidades Autónomas y de la participación de los agentes sociales.”</w:t>
      </w:r>
    </w:p>
    <w:p w:rsidR="00D06117" w:rsidRDefault="00D06117" w:rsidP="00D06117">
      <w:pPr>
        <w:pStyle w:val="TextoNormal"/>
      </w:pPr>
    </w:p>
    <w:p w:rsidR="00D06117" w:rsidRDefault="00D06117" w:rsidP="00D06117">
      <w:pPr>
        <w:pStyle w:val="TextoNormal"/>
      </w:pPr>
      <w:r>
        <w:t xml:space="preserve">Afirman los recurrentes que el Estado pretende asumir toda la regulación concerniente a la formación profesional reglada, de acuerdo con el sistema nacional de cualificaciones y formación profesional definido en el art. 4.1, atribuyendo una competencial general a la Administración estatal cuando sólo la tiene para la regulación general del sistema educativo y para dictar normas básicas ex art. 149.1.30 CE (que sólo excepcionalmente pueden tener lugar por vía reglamentaria), con lo que choca con el reparto constitucional de competencias </w:t>
      </w:r>
      <w:r>
        <w:lastRenderedPageBreak/>
        <w:t>en materia de enseñanza. Esta asunción de toda la regulación quedaría confirmada por la disposición final primera.2 de la misma ley orgánica. Consideran, además, que esta regulación resulta contradictoria con la que se contenía en la LOGSE —a la sazón en vigor—, conforme a la cual el Estado debería fijar sólo los criterios de evaluación y no el procedimiento concreto para llevarla a cabo, y que se atribuye a la Administración General del Estado una competencia genérica de coordinación del sistema sin acotar su alcance.</w:t>
      </w:r>
    </w:p>
    <w:p w:rsidR="00D06117" w:rsidRDefault="00D06117" w:rsidP="00D06117">
      <w:pPr>
        <w:pStyle w:val="TextoNormal"/>
      </w:pPr>
    </w:p>
    <w:p w:rsidR="00D06117" w:rsidRDefault="00D06117" w:rsidP="00D06117">
      <w:pPr>
        <w:pStyle w:val="TextoNormal"/>
      </w:pPr>
      <w:r>
        <w:t>El Abogado del Estado, por su parte, sostiene que la competencia estatal no se limita a las normas básicas de desarrollo ex art. 149.1.30 CE, y que el establecimiento de las bases por vía reglamentaria se justifica por el contenido técnico y especializado de la materia así como por la variabilidad consustancial a las necesidades del mercado de trabajo. En cualquier caso, se salvaguardan expresamente las competencias autonómicas. Señala que la impugnación se basa en una hipotética vulneración futura, obviándose la mención de la competencia estatal de coordinación. Afirma que los apartados 2 y 3 del precepto, que no han sido impugnados, son reveladores de la participación que la ley impugnada atribuye a las Comunidades Autónomas, y, asimismo, que la declaración contenida en el art. 5.1 es consecuencia lógica de la competencia estatal ex art. 149.1.1 CE, que resulta compatible con la competencia plena de la Comunidad Autónoma en el plano normativo y ejecutivo.</w:t>
      </w:r>
    </w:p>
    <w:p w:rsidR="00D06117" w:rsidRDefault="00D06117" w:rsidP="00D06117">
      <w:pPr>
        <w:pStyle w:val="TextoNormal"/>
      </w:pPr>
    </w:p>
    <w:p w:rsidR="00D06117" w:rsidRDefault="00D06117" w:rsidP="00D06117">
      <w:pPr>
        <w:pStyle w:val="TextoNormal"/>
      </w:pPr>
      <w:r>
        <w:t>El Letrado representante del Senado también opone que en el precepto discutido se reconoce que la regulación del sistema será sin perjuicio de las competencias autonómicas, por lo que los criterios establecidos por el Estado podrán ser desarrollados por las Comunidades Autónomas, añadiendo que la competencia de coordinación del Estado encuentra respaldo en la doctrina constitucional.</w:t>
      </w:r>
    </w:p>
    <w:p w:rsidR="00D06117" w:rsidRDefault="00D06117" w:rsidP="00D06117">
      <w:pPr>
        <w:pStyle w:val="TextoNormal"/>
      </w:pPr>
    </w:p>
    <w:p w:rsidR="00D06117" w:rsidRDefault="00D06117" w:rsidP="00D06117">
      <w:pPr>
        <w:pStyle w:val="TextoNormal"/>
      </w:pPr>
      <w:r>
        <w:t>Para dar respuesta a esta primera impugnación, hay que partir del sistema nacional de cualificaciones y formación profesional cuya regulación y coordinación reserva a la Administración General del Estado el art. 5.1 y que, según el art. 2.1 de la Ley Orgánica 5/2002, es “el conjunto de instrumentos y acciones necesarios para promover y desarrollar la integración de las ofertas de la formación profesional, a través del Catálogo Nacional de Cualificaciones Profesionales, así como la evaluación y acreditación de las correspondientes competencias profesionales, de forma que se favorezca el desarrollo profesional y social de las personas y se cubran las necesidades del sistema productivo”.</w:t>
      </w:r>
    </w:p>
    <w:p w:rsidR="00D06117" w:rsidRDefault="00D06117" w:rsidP="00D06117">
      <w:pPr>
        <w:pStyle w:val="TextoNormal"/>
      </w:pPr>
    </w:p>
    <w:p w:rsidR="00D06117" w:rsidRDefault="00D06117" w:rsidP="00D06117">
      <w:pPr>
        <w:pStyle w:val="TextoNormal"/>
      </w:pPr>
      <w:r>
        <w:t xml:space="preserve">Los instrumentos y acciones de referencia son (art. 4): a) El catálogo nacional de cualificaciones profesionales, que cuenta con una estructura modular y ordena las cualificaciones identificadas en el sistema productivo en función de las competencias apropiadas para el ejercicio profesional que sean susceptibles de reconocimiento y acreditación, incluyendo el contenido de la formación asociada a cada cualificación. Por cualificación se entiende “el conjunto de competencias profesionales con significación para el empleo que puedan ser adquiridas mediante formación modular u otros tipos de formación y a través de la experiencia laboral”, mientras que las competencias son “el conjunto de conocimientos y capacidades que permitan el ejercicio de la actividad profesional conforme a las exigencias de la producción y el empleo” [art. 7.3 a) y b) de la Ley Orgánica 5/2002; actualmente art. 7.4 a) y b)]. b) Un procedimiento de reconocimiento, evaluación, acreditación y registro de las cualificaciones profesionales. c) La información y orientación en materia de formación profesional y empleo. d) La evaluación y mejora de la calidad del sistema, que proporcione </w:t>
      </w:r>
      <w:r>
        <w:lastRenderedPageBreak/>
        <w:t>información sobre su funcionamiento y su adecuación a las necesidades formativas individuales y a las del sistema productivo.</w:t>
      </w:r>
    </w:p>
    <w:p w:rsidR="00D06117" w:rsidRDefault="00D06117" w:rsidP="00D06117">
      <w:pPr>
        <w:pStyle w:val="TextoNormal"/>
      </w:pPr>
    </w:p>
    <w:p w:rsidR="00D06117" w:rsidRDefault="00D06117" w:rsidP="00D06117">
      <w:pPr>
        <w:pStyle w:val="TextoNormal"/>
      </w:pPr>
      <w:r>
        <w:t>Pues bien, la regulación y la coordinación de todo ello, incluidas, por tanto, las cualificaciones profesionales a las que se refieren los arts. 7 y 8 de la ley, es lo que reserva a la Administración General del Estado el art. 5.1, aunque “sin perjuicio de las competencias que corresponden a las Comunidades Autónomas”.</w:t>
      </w:r>
    </w:p>
    <w:p w:rsidR="00D06117" w:rsidRDefault="00D06117" w:rsidP="00D06117">
      <w:pPr>
        <w:pStyle w:val="TextoNormal"/>
      </w:pPr>
    </w:p>
    <w:p w:rsidR="00D06117" w:rsidRDefault="00D06117" w:rsidP="00D06117">
      <w:pPr>
        <w:pStyle w:val="TextoNormal"/>
      </w:pPr>
      <w:r>
        <w:t>a) La previsión de este precepto se impugna tanto en sí misma considerada como en su conexión con la disposición final primera, apartado 2. Ahora bien, dado que ésta ha sido objeto de una impugnación autónoma, aquí nos limitaremos a analizar si el art. 5.1, aisladamente considerado, produce o no el efecto denunciado en los recursos. Para realizar ese examen hemos de tener en cuenta no sólo el resto de contenidos de la propia ley, sino también la regulación de la formación profesional reglada, de la que no se puede prescindir, pues la Ley Orgánica 5/2002 pretende integrar en dicho sistema las diversas modalidades de formación profesional, pero sin sustituir las regulaciones propias de cada una de ellas.</w:t>
      </w:r>
    </w:p>
    <w:p w:rsidR="00D06117" w:rsidRDefault="00D06117" w:rsidP="00D06117">
      <w:pPr>
        <w:pStyle w:val="TextoNormal"/>
      </w:pPr>
    </w:p>
    <w:p w:rsidR="00D06117" w:rsidRDefault="00D06117" w:rsidP="00D06117">
      <w:pPr>
        <w:pStyle w:val="TextoNormal"/>
      </w:pPr>
      <w:r>
        <w:t>Así, por una parte, el art. 10.2 de la Ley Orgánica 5/2002 dispone que “[l]as Administraciones educativas, en el ámbito de sus competencias, podrán ampliar los contenidos de los correspondientes títulos de formación profesional”, de donde se extrae la consecuencia de que el Estado fijará las enseñanzas mínimas, pero que las Comunidades Autónomas podrán complementar los contenidos de los distintos títulos de formación profesional. Por otra, en su exposición de motivos de la propia ley orgánica se afirma expresamente que “no deroga el actual marco legal de la formación profesional establecido por la Ley Orgánica 1/1990, de 3 de octubre, de Ordenación General del Sistema Educativo”, y, aunque este extremo sea puesto en duda por las recurrentes, lo cierto es que, si acudimos a la Ley Orgánica 2/2006, de 3 de mayo, de educación, que ha sustituido con posterioridad a la LOGSE —y que es también posterior a la Ley Orgánica 5/2002, con las consecuencias que ello implicaría en la relación entre ambas leyes—, podemos comprobar que las competencias de las Comunidades Autónomas en el ámbito del sistema educativo han quedado incólumes. Así, en su art. 6, al regular de manera general el currículo de las enseñanzas, determina que “el Gobierno fijará, en relación con los objetivos, competencias básicas, contenidos y criterios de evaluación, los aspectos básicos del currículo que constituyen las enseñanzas mínimas a las que se refiere la disposición adicional primera, apartado 2, letra c) de la Ley Orgánica 8/1985, de 3 de julio, Reguladora del Derecho a la Educación” (apartado 2), debiendo requerir esos aspectos básicos el 55 por 100 de los horarios escolares para las Comunidades Autónomas que tengan lengua cooficial y el 65 por 100 para las que no la tengan (apartado 3), al tiempo que han de formar parte del currículo de las distintas enseñanzas, que deben establecer las Administraciones educativas (apartado 4).</w:t>
      </w:r>
    </w:p>
    <w:p w:rsidR="00D06117" w:rsidRDefault="00D06117" w:rsidP="00D06117">
      <w:pPr>
        <w:pStyle w:val="TextoNormal"/>
      </w:pPr>
    </w:p>
    <w:p w:rsidR="00D06117" w:rsidRDefault="00D06117" w:rsidP="00D06117">
      <w:pPr>
        <w:pStyle w:val="TextoNormal"/>
      </w:pPr>
      <w:r>
        <w:t xml:space="preserve">Específicamente, en las normas referidas a la formación profesional, el art. 39.6 (al igual que antes el art. 35.1 LOGSE) dispone que el Gobierno “previa consulta a las Comunidades Autónomas, establecerá las titulaciones correspondientes a los estudios de formación profesional, así como los aspectos básicos del currículo de cada una de ellas”. De todo ello se sigue que el resto del contenido del currículo será establecido por las Administraciones educativas, denominación general en la que están incluidas las Comunidades Autónomas, dentro de su ámbito de competencias. Por lo demás, hay en la Ley Orgánica de educación muchas otras potestades que se reconocen a esas Administraciones educativas y que ponen de </w:t>
      </w:r>
      <w:r>
        <w:lastRenderedPageBreak/>
        <w:t>manifiesto hasta qué punto quedan salvaguardadas las competencias autonómicas en la materia dentro del sistema educativo.</w:t>
      </w:r>
    </w:p>
    <w:p w:rsidR="00D06117" w:rsidRDefault="00D06117" w:rsidP="00D06117">
      <w:pPr>
        <w:pStyle w:val="TextoNormal"/>
      </w:pPr>
    </w:p>
    <w:p w:rsidR="00D06117" w:rsidRDefault="00D06117" w:rsidP="00D06117">
      <w:pPr>
        <w:pStyle w:val="TextoNormal"/>
      </w:pPr>
      <w:r>
        <w:t>En definitiva, la reserva a la Administración General del Estado en el art. 5.1 de la Ley Orgánica 5/2002 de la regulación del sistema nacional de cualificaciones y formación profesional no supone, en sí misma considerada, la asunción total del contenido formativo referido a la formación profesional reglada, ni el correlativo desconocimiento de las competencias que corresponden a la Generalitat de Cataluña en materia educativa, ni siquiera en aquellos concretos aspectos que se mencionan en los recursos, como el relativo a la evaluación, en el que el Estado establece los criterios básicos.</w:t>
      </w:r>
    </w:p>
    <w:p w:rsidR="00D06117" w:rsidRDefault="00D06117" w:rsidP="00D06117">
      <w:pPr>
        <w:pStyle w:val="TextoNormal"/>
      </w:pPr>
    </w:p>
    <w:p w:rsidR="00D06117" w:rsidRDefault="00D06117" w:rsidP="00D06117">
      <w:pPr>
        <w:pStyle w:val="TextoNormal"/>
      </w:pPr>
      <w:r>
        <w:t>b) El otro aspecto de este precepto que es discutido por el Parlamento de Cataluña (no así por el Gobierno de la Generalitat) es el referido a la atribución a la Administración General del Estado de una competencia genérica de coordinación del sistema, cuyo alcance no se acota. Ciertamente, el art. 149.1.30 CE, no reconoce una específica competencia de coordinación al Estado, pero ya en nuestra STC 32/1983, de 28 de abril, FJ 2, nos referimos a la competencia estatal de coordinación general, señalando que la coordinación “persigue la integración de la diversidad de las partes o subsistemas en el conjunto o sistema, evitando contradicciones y reduciendo disfunciones que, de subsistir, impedirían o dificultarían respectivamente la realidad misma del sistema”. Sobre esta competencia general, realizamos en la misma Sentencia y fundamento jurídico una serie de precisiones: “a) Aunque constituye un reforzamiento o complemento de la noción de bases, es una competencia distinta a la de fijación de las bases, como se desprende del hecho de que en el art. 149.1 no siempre que se habla de bases se habla también de coordinación general, si bien ésta, cuando se incluye, aparece salvo en una ocasión (art. 149.1.15) unida a la competencia sobre las bases (art. 149.1.13 y 149.1.16); b) la competencia de coordinación general presupone lógicamente que hay algo que debe ser coordinado, esto es, presupone la existencia de competencias de las Comunidades …, competencias que el Estado, al coordinarlas, debe obviamente respetar, pues nunca ni la fijación de bases ni la coordinación general deben llegar a tal grado de desarrollo que dejen vacías de contenido las correspondientes competencias de las Comunidades; c) la competencia estatal de coordinación general significa no sólo que hay que coordinar las partes o subsistemas (esto es, las competencias comunitarias) …, sino que esa coordinación le corresponde hacerla al Estado; d) en consecuencia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w:t>
      </w:r>
    </w:p>
    <w:p w:rsidR="00D06117" w:rsidRDefault="00D06117" w:rsidP="00D06117">
      <w:pPr>
        <w:pStyle w:val="TextoNormal"/>
      </w:pPr>
    </w:p>
    <w:p w:rsidR="00D06117" w:rsidRDefault="00D06117" w:rsidP="00D06117">
      <w:pPr>
        <w:pStyle w:val="TextoNormal"/>
      </w:pPr>
      <w:r>
        <w:t xml:space="preserve">De lo expuesto podemos destacar, en primer lugar, la idea de que la coordinación es una facultad que guarda estrecha conexión con las competencias normativas, de modo que el titular de estas últimas ostenta aquella facultad como complemento inherente (STC 194/2004, de 4 de noviembre, FJ 8), encontrándose ínsita no sólo en toda competencia básica (STC 81/2005, de 6 de abril, FJ 10), sino que la facultad de coordinación se conecta con las competencias normativas en general. Así, hemos precisado que no se pueden reducir ni confundir las manifestaciones específicas de coordinación que aparecen en nuestra Constitución (art. 149.1, apartados 13, 15 y 16 CE, entre otros) como competencia adicional a </w:t>
      </w:r>
      <w:r>
        <w:lastRenderedPageBreak/>
        <w:t>una competencia normativa limitada, “con las funciones generales de coordinación que corresponden al Estado cuando sus competencias normativas son plenas, dado que aquél no puede desentenderse en absoluto de la ejecución autonómica de la legislación estatal. Resultan así posibles formas de intervención normativa que establezcan reglas que cumplan una función coordinadora de las Administraciones Autonómicas entre sí y con el Estado” (STC 104/1988, de 8 de junio, FJ 2).</w:t>
      </w:r>
    </w:p>
    <w:p w:rsidR="00D06117" w:rsidRDefault="00D06117" w:rsidP="00D06117">
      <w:pPr>
        <w:pStyle w:val="TextoNormal"/>
      </w:pPr>
    </w:p>
    <w:p w:rsidR="00D06117" w:rsidRDefault="00D06117" w:rsidP="00D06117">
      <w:pPr>
        <w:pStyle w:val="TextoNormal"/>
      </w:pPr>
      <w:r>
        <w:t>En segundo lugar, la coordinación conlleva un cierto poder de dirección, consecuencia de la posición de superioridad en que se encuentra el que coordina respecto del coordinado [SSTC 214/1989, de 21 de diciembre, FJ 20 f); y 118/1996, de 27 de junio, FJ 66], y es claro que “el que ostenta atribuciones de aquella índole está legitimado, en línea de principio, para establecer unilateralmente medidas armonizadoras destinadas a la más eficaz concertación de la actuación de todos los entes involucrados” (STC 109/1998, de 21 de mayo, FJ 13), evitando interferencias y, en su caso, dispersión de esfuerzos e iniciativas perjudiciales para la finalidad prioritaria (STC 102/1995, de 26 de junio, FJ 31).</w:t>
      </w:r>
    </w:p>
    <w:p w:rsidR="00D06117" w:rsidRDefault="00D06117" w:rsidP="00D06117">
      <w:pPr>
        <w:pStyle w:val="TextoNormal"/>
      </w:pPr>
    </w:p>
    <w:p w:rsidR="00D06117" w:rsidRDefault="00D06117" w:rsidP="00D06117">
      <w:pPr>
        <w:pStyle w:val="TextoNormal"/>
      </w:pPr>
      <w:r>
        <w:t>La última idea que se ha de resaltar de nuestra doctrina sobre la facultad de coordinación es que no otorga a su titular competencias que no ostente, especialmente facultades de gestión complementarias (STC 194/2004, FJ 8), de suerte que, implicando lógicamente su ejercicio la existencia de competencias autonómicas que deben ser coordinadas, en ningún caso puede aquél suponer la invasión y el vaciamiento de las mismas. En definitiva, la competencia en materia de coordinación no autoriza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 [STC 227/1988, de 29 de noviembre, FJ 20 e)].</w:t>
      </w:r>
    </w:p>
    <w:p w:rsidR="00D06117" w:rsidRDefault="00D06117" w:rsidP="00D06117">
      <w:pPr>
        <w:pStyle w:val="TextoNormal"/>
      </w:pPr>
    </w:p>
    <w:p w:rsidR="00D06117" w:rsidRDefault="00D06117" w:rsidP="00D06117">
      <w:pPr>
        <w:pStyle w:val="TextoNormal"/>
      </w:pPr>
      <w:r>
        <w:t>Pues bien, de cuanto aquí hemos expuesto podemos concluir que la atribución a la Administración General del Estado de la coordinación del sistema nacional de cualificaciones y formación profesional no supone un exceso en las competencias estatales, sino que es una lógica consecuencia de las competencias normativas que el Estado ostenta ex art. 149.1.7 y 30 CE y de las competencias que corresponden a las Comunidades Autónomas en la materia, sin cuya existencia no tendría sentido esa competencia de coordinación. De hecho, el art. 4.2 —no impugnado— ya establece que a través de los distintos instrumentos y acciones que comprende el sistema nacional “se promoverá la gestión coordinada de las distintas Administraciones públicas con competencia en la materia”, coordinación que se manifiesta de manera evidente como una necesidad esencial para el adecuado funcionamiento del sistema. En cualquier caso, no se puede dejar de reseñar que el Estado habría contado con esa competencia de coordinación del sistema nacional aunque la Ley Orgánica 5/2002 no hubiese dispuesto nada al respecto de manera expresa. Por lo demás, nada podemos decir aquí sobre la extensión de esa facultad de coordinación, que dependerá de las concretas medidas que puedan arbitrarse por el Estado que, en su caso, podrán ser impugnadas por las Comunidades Autónomas si consideran que sobrepasan los límites que nuestra doctrina impone al ejercicio de dicha facultad afectando a las competencias autonómicas.</w:t>
      </w:r>
    </w:p>
    <w:p w:rsidR="00D06117" w:rsidRDefault="00D06117" w:rsidP="00D06117">
      <w:pPr>
        <w:pStyle w:val="TextoNormal"/>
      </w:pPr>
    </w:p>
    <w:p w:rsidR="00D06117" w:rsidRDefault="00D06117" w:rsidP="00D06117">
      <w:pPr>
        <w:pStyle w:val="TextoNormal"/>
      </w:pPr>
      <w:r w:rsidRPr="00D06117">
        <w:rPr>
          <w:rStyle w:val="NumeroAFNegritaCaracter"/>
        </w:rPr>
        <w:t>9</w:t>
      </w:r>
      <w:r>
        <w:t>. El siguiente precepto impugnado es el art. 7, al que el Gobierno de la Generalitat achaca los mismos vicios que al art. 5.1, en cuanto reserva al Estado la regulación íntegra del catálogo nacional de cualificaciones profesionales, con lo que la regulación entera de la formación profesional pasaría a manos de la Administración del Estado, con vaciamiento de las facultades normativas autonómicas en materia de educación. El Abogado del Estado opone a tales argumentos que la impugnación se apoya en una motivación difusa, y que los vicios que se denuncian no residen en el mismo precepto, sino en el art. 5.1 y en la disposición final primera.2, estando supeditadas las competencias autonómicas, en todo caso, a la normativa que dicte el Estado, sin que pueda pretenderse que ésta quede petrificada.</w:t>
      </w:r>
    </w:p>
    <w:p w:rsidR="00D06117" w:rsidRDefault="00D06117" w:rsidP="00D06117">
      <w:pPr>
        <w:pStyle w:val="TextoNormal"/>
      </w:pPr>
    </w:p>
    <w:p w:rsidR="00D06117" w:rsidRDefault="00D06117" w:rsidP="00D06117">
      <w:pPr>
        <w:pStyle w:val="TextoNormal"/>
      </w:pPr>
      <w:r>
        <w:t>El referido art. 7, en su versión original (antes de la modificación introducida por la Ley Orgánica 4/2011, que añadió un nuevo apartado 3, renumerándose el anterior apartado 3 como apartado 4), establecía:</w:t>
      </w:r>
    </w:p>
    <w:p w:rsidR="00D06117" w:rsidRDefault="00D06117" w:rsidP="00D06117">
      <w:pPr>
        <w:pStyle w:val="TextoNormal"/>
      </w:pPr>
    </w:p>
    <w:p w:rsidR="00D06117" w:rsidRDefault="00D06117" w:rsidP="00D06117">
      <w:pPr>
        <w:pStyle w:val="TextoNormal"/>
      </w:pPr>
      <w:r>
        <w:t>“1. Con la finalidad de facilitar el carácter integrado y la adecuación entre la formación profesional y el mercado laboral, así como la formación a lo largo de la vida, la movilidad de los trabajadores y la unidad de mercado laboral, se crea el Catálogo Nacional de Cualificaciones Profesionales, aplicable a todo el territorio nacional, que estará constituido por las cualificaciones identificadas en el sistema productivo y por la formación asociada a las mismas, que se organizará en módulos formativos, articulados en un Catálogo Modular de Formación Profesional.</w:t>
      </w:r>
    </w:p>
    <w:p w:rsidR="00D06117" w:rsidRDefault="00D06117" w:rsidP="00D06117">
      <w:pPr>
        <w:pStyle w:val="TextoNormal"/>
      </w:pPr>
    </w:p>
    <w:p w:rsidR="00D06117" w:rsidRDefault="00D06117" w:rsidP="00D06117">
      <w:pPr>
        <w:pStyle w:val="TextoNormal"/>
      </w:pPr>
      <w:r>
        <w:t>2. El Gobierno, previa consulta al Consejo General de la Formación Profesional, de acuerdo con lo establecido en el art. 5.2 de esta Ley, determinará la estructura y el contenido del Catálogo Nacional de Cualificaciones Profesionales y aprobará las que procedan incluir en el mismo, ordenadas por niveles de cualificación, teniendo en cuenta en todo caso los criterios de la Unión Europea. Igualmente se garantizará la actualización permanente del catálogo, previa consulta al Consejo General de la Formación Profesional, de forma que atienda en todo momento los requerimientos del sistema productivo.</w:t>
      </w:r>
    </w:p>
    <w:p w:rsidR="00D06117" w:rsidRDefault="00D06117" w:rsidP="00D06117">
      <w:pPr>
        <w:pStyle w:val="TextoNormal"/>
      </w:pPr>
    </w:p>
    <w:p w:rsidR="00D06117" w:rsidRDefault="00D06117" w:rsidP="00D06117">
      <w:pPr>
        <w:pStyle w:val="TextoNormal"/>
      </w:pPr>
      <w:r>
        <w:t>3. A los efectos de la presente Ley, se entenderá por:</w:t>
      </w:r>
    </w:p>
    <w:p w:rsidR="00D06117" w:rsidRDefault="00D06117" w:rsidP="00D06117">
      <w:pPr>
        <w:pStyle w:val="TextoNormal"/>
      </w:pPr>
    </w:p>
    <w:p w:rsidR="00D06117" w:rsidRDefault="00D06117" w:rsidP="00D06117">
      <w:pPr>
        <w:pStyle w:val="TextoNormal"/>
      </w:pPr>
      <w:r>
        <w:t>a) Cualificación profesional: el conjunto de competencias profesionales con significación para el empleo que pueden ser adquiridas mediante formación modular u otros tipos de formación y a través de la experiencia laboral.</w:t>
      </w:r>
    </w:p>
    <w:p w:rsidR="00D06117" w:rsidRDefault="00D06117" w:rsidP="00D06117">
      <w:pPr>
        <w:pStyle w:val="TextoNormal"/>
      </w:pPr>
    </w:p>
    <w:p w:rsidR="00D06117" w:rsidRDefault="00D06117" w:rsidP="00D06117">
      <w:pPr>
        <w:pStyle w:val="TextoNormal"/>
      </w:pPr>
      <w:r>
        <w:t>b) Competencia profesional: el conjunto de conocimientos y capacidades que permitan el ejercicio de la actividad profesional conforme a las exigencias de la producción y el empleo.”</w:t>
      </w:r>
    </w:p>
    <w:p w:rsidR="00D06117" w:rsidRDefault="00D06117" w:rsidP="00D06117">
      <w:pPr>
        <w:pStyle w:val="TextoNormal"/>
      </w:pPr>
    </w:p>
    <w:p w:rsidR="00D06117" w:rsidRDefault="00D06117" w:rsidP="00D06117">
      <w:pPr>
        <w:pStyle w:val="TextoNormal"/>
      </w:pPr>
      <w:r>
        <w:t xml:space="preserve">No le falta razón al Abogado del Estado en sus argumentos, pues lo cierto es que el recurso del Gobierno de la Generalitat no dedica una específica argumentación impugnatoria al concreto contenido del art. 7, de donde se sigue que el precepto se impugna en la medida en que se refiere al catálogo nacional de cualificaciones profesionales, que forma parte del sistema nacional de cualificaciones y formación profesional, de acuerdo con el art. 4.1 a) de la ley, y cuya regulación reserva a la Administración General del Estado el art. 5.1. Por tanto, el art. 7 se impugna de manera vinculada al art. 5.1, cuya suerte ha de seguir, de </w:t>
      </w:r>
      <w:r>
        <w:lastRenderedPageBreak/>
        <w:t>modo que, aparte de lo que establece la disposición final primera.2, párrafos primero y segundo, a la que nos referiremos posteriormente, rechazada la inconstitucionalidad del art. 5.1, también hemos de desestimar la impugnación del art. 7.</w:t>
      </w:r>
    </w:p>
    <w:p w:rsidR="00D06117" w:rsidRDefault="00D06117" w:rsidP="00D06117">
      <w:pPr>
        <w:pStyle w:val="TextoNormal"/>
      </w:pPr>
    </w:p>
    <w:p w:rsidR="00D06117" w:rsidRDefault="00D06117" w:rsidP="00D06117">
      <w:pPr>
        <w:pStyle w:val="TextoNormal"/>
      </w:pPr>
      <w:r>
        <w:t>En cualquier caso, como señala el Abogado del Estado, el catálogo nacional de cualificaciones profesionales es un elemento clave del sistema nacional, puesto que permite adecuar permanentemente la formación a las necesidades de cada persona y del mercado laboral, y, en este sentido, resultan justificadas, de acuerdo con las competencias estatales del art. 149.1.30 CE, las facultades que el art. 7.2 reserva al Gobierno en orden a determinar la estructura y contenido del catálogo, a aprobar las cualificaciones que proceda incluir en el mismo, y a garantizar su actualización permanente.</w:t>
      </w:r>
    </w:p>
    <w:p w:rsidR="00D06117" w:rsidRDefault="00D06117" w:rsidP="00D06117">
      <w:pPr>
        <w:pStyle w:val="TextoNormal"/>
      </w:pPr>
    </w:p>
    <w:p w:rsidR="00D06117" w:rsidRDefault="00D06117" w:rsidP="00D06117">
      <w:pPr>
        <w:pStyle w:val="TextoNormal"/>
      </w:pPr>
      <w:r w:rsidRPr="00D06117">
        <w:rPr>
          <w:rStyle w:val="NumeroAFNegritaCaracter"/>
        </w:rPr>
        <w:t>10</w:t>
      </w:r>
      <w:r>
        <w:t>. Al art. 8.4 se le imputa que atribuya al Estado la regulación completa y exhaustiva de los procedimientos de evaluación y acreditación, sin permitir ningún tipo de desarrollo normativo autonómico, cuando debía limitarse a los aspectos básicos, por lo que vulnera las competencias de la Generalitat en materia de enseñanza al vaciar las facultades normativas autonómicas. Frente a ello, aduce el Abogado del Estado que se trata de una impugnación preventiva y que esa reserva tiene perfecto encaje en la competencia estatal sobre títulos académicos y profesionales ex art. 149.1.30 CE, quedando salvaguardada en cierto modo la participación autonómica a través de la consulta al Consejo General de la Formación Profesional, argumentos con los que coincide el Letrado del Senado.</w:t>
      </w:r>
    </w:p>
    <w:p w:rsidR="00D06117" w:rsidRDefault="00D06117" w:rsidP="00D06117">
      <w:pPr>
        <w:pStyle w:val="TextoNormal"/>
      </w:pPr>
    </w:p>
    <w:p w:rsidR="00D06117" w:rsidRDefault="00D06117" w:rsidP="00D06117">
      <w:pPr>
        <w:pStyle w:val="TextoNormal"/>
      </w:pPr>
      <w:r>
        <w:t>De acuerdo con el precepto reseñado,</w:t>
      </w:r>
    </w:p>
    <w:p w:rsidR="00D06117" w:rsidRDefault="00D06117" w:rsidP="00D06117">
      <w:pPr>
        <w:pStyle w:val="TextoNormal"/>
      </w:pPr>
    </w:p>
    <w:p w:rsidR="00D06117" w:rsidRDefault="00D06117" w:rsidP="00D06117">
      <w:pPr>
        <w:pStyle w:val="TextoNormal"/>
      </w:pPr>
      <w:r>
        <w:t>“El Gobierno, previa consulta al Consejo General de la Formación Profesional, fijará los requisitos y procedimientos para la evaluación y acreditación de las competencias, así como los efectos de las mismas.”</w:t>
      </w:r>
    </w:p>
    <w:p w:rsidR="00D06117" w:rsidRDefault="00D06117" w:rsidP="00D06117">
      <w:pPr>
        <w:pStyle w:val="TextoNormal"/>
      </w:pPr>
    </w:p>
    <w:p w:rsidR="00D06117" w:rsidRDefault="00D06117" w:rsidP="00D06117">
      <w:pPr>
        <w:pStyle w:val="TextoNormal"/>
      </w:pPr>
      <w:r>
        <w:t>Ante todo, debemos rechazar el argumento de que la participación autonómica se salvaguarde por medio de la consulta al Consejo General de la Formación Profesional, en el que participan las Comunidades Autónomas, a la que se refiere el Abogado del Estado. Dicho consejo es un órgano “consultivo y de participación institucional de las Administraciones públicas y de asesoramiento del Gobierno en materia de formación profesional” (art. 1 de la Ley 1/1986, de 7 de enero, modificada por la Ley 19/1997, de 9 de junio, y por la Ley 14/2000, de 29 de diciembre), teniendo cada Comunidad Autónoma y las Ciudades Autónomas de Ceuta y Melilla un representante y, el conjunto de ellas, una representación minoritaria que sólo llega a la cuarta parte del conjunto del órgano, lo que, en definitiva, no permite a la Generalitat el ejercicio de las competencias que, en materia de educación, le atribuye el art. 131 EAC. La creación de un órgano de deliberación y consulta, con funciones de propuesta, como el referido consejo, responde adecuadamente a la finalidad del principio de cooperación, pero no permite sustituir el ejercicio de competencias que son indisponibles e irrenunciables y que han de ejercerse precisamente por las Comunidades Autónomas.</w:t>
      </w:r>
    </w:p>
    <w:p w:rsidR="00D06117" w:rsidRDefault="00D06117" w:rsidP="00D06117">
      <w:pPr>
        <w:pStyle w:val="TextoNormal"/>
      </w:pPr>
    </w:p>
    <w:p w:rsidR="00D06117" w:rsidRDefault="00D06117" w:rsidP="00D06117">
      <w:pPr>
        <w:pStyle w:val="TextoNormal"/>
      </w:pPr>
      <w:r>
        <w:t xml:space="preserve">Dicho esto, podemos avanzar que, de la misma manera que en los preceptos anteriormente examinados, el conflicto se encuentra no tanto en el art. 8.4 aisladamente considerado, como en la lectura que del mismo se hace en relación con la disposición final primera, apartado 2, párrafos primero y segundo, que reserva al Estado el desarrollo exclusivo de, entre otros, este precepto. Comoquiera que, según ya se ha expuesto, la citada disposición </w:t>
      </w:r>
      <w:r>
        <w:lastRenderedPageBreak/>
        <w:t>ha sido objeto de impugnación autónoma, nos limitaremos aquí al examen del art. 8.4 para determinar si, en sí mismo considerado, y al margen de esa posterior norma sobre su desarrollo, produce el vaciamiento de las competencias autonómicas denunciado por los recurrentes.</w:t>
      </w:r>
    </w:p>
    <w:p w:rsidR="00D06117" w:rsidRDefault="00D06117" w:rsidP="00D06117">
      <w:pPr>
        <w:pStyle w:val="TextoNormal"/>
      </w:pPr>
    </w:p>
    <w:p w:rsidR="00D06117" w:rsidRDefault="00D06117" w:rsidP="00D06117">
      <w:pPr>
        <w:pStyle w:val="TextoNormal"/>
      </w:pPr>
      <w:r>
        <w:t>La comprensión del precepto ha de partir de la premisa, ya señalada, de que la intervención del Estado tiene una distinta intensidad en función de la modalidad de formación profesional sobre la que se esté actuando, lo que impide realizar una lectura unívoca del mismo. Por ello, es preciso tener en cuenta las dos vertientes competenciales presentes en la regulación examinada y considerar que, mientras el ámbito laboral es competencia exclusiva del Estado la íntegra regulación de la materia merced al título del art. 149.1.7 CE (lo que le permite regular completamente los requisitos y procedimientos para la evaluación y acreditación de las competencias, así como sus efectos), en la esfera educativa el Estado no tiene ese monopolio legislativo en virtud del art. 149.1.30 CE y debe quedar un margen para que las Comunidades Autónomas ejerzan sus competencias normativas. Por tanto, es en el campo del sistema educativo en el que se enmarca la impugnación del art. 8.4 y en él el entendimiento de dicho precepto habrá de realizarse de acuerdo con las competencias que tanto el Estado como las Comunidades Autónomas ostentan en la materia.</w:t>
      </w:r>
    </w:p>
    <w:p w:rsidR="00D06117" w:rsidRDefault="00D06117" w:rsidP="00D06117">
      <w:pPr>
        <w:pStyle w:val="TextoNormal"/>
      </w:pPr>
    </w:p>
    <w:p w:rsidR="00D06117" w:rsidRDefault="00D06117" w:rsidP="00D06117">
      <w:pPr>
        <w:pStyle w:val="TextoNormal"/>
      </w:pPr>
      <w:r>
        <w:t>Pues bien, en dicho ámbito material el Estado tiene, como hemos declarado reiteradamente, competencia exclusiva para regular las condiciones de obtención, expedición y homologación de los títulos académicos y profesionales, extremo que se encuentra íntimamente vinculado a la evaluación de los conocimientos, en cuanto ésta se dirige a la acreditación de dichos conocimientos y a la consiguiente obtención de una titulación. Ahora bien, ello no se traduce en una potestad normativa que se extienda sobre la totalidad de los aspectos relacionados con la evaluación de los conocimientos y capacidades, porque tal conclusión implicaría realizar una interpretación excesivamente amplia del término “condiciones” del art. 149.1.30 CE, extendiéndolo a cuanto tenga conexión mediata o inmediata con el proceso de obtención, expedición y homologación de títulos académicos y profesionales, dando lugar a un desplazamiento de las competencias de las Comunidades Autónomas en la materia.</w:t>
      </w:r>
    </w:p>
    <w:p w:rsidR="00D06117" w:rsidRDefault="00D06117" w:rsidP="00D06117">
      <w:pPr>
        <w:pStyle w:val="TextoNormal"/>
      </w:pPr>
    </w:p>
    <w:p w:rsidR="00D06117" w:rsidRDefault="00D06117" w:rsidP="00D06117">
      <w:pPr>
        <w:pStyle w:val="TextoNormal"/>
      </w:pPr>
      <w:r>
        <w:t xml:space="preserve">Obviamente, la competencia estatal incluye el establecimiento de los títulos correspondientes a cada nivel y ciclo educativo, en sus distintas modalidades, títulos que han de tener el mismo valor en toda España (STC 42/1981, de 22 de diciembre, FFJJ 3 y 4), por lo cual, corresponde al Estado asegurar una formación mínima común, estableciendo su contenido y la forma de acreditar los conocimientos inherentes a la misma. Ahora bien, ello no ha de traducirse necesariamente en la regulación completa de los requisitos y procedimientos de evaluación, y éste es el entendimiento que ha de realizarse del precepto discutido, como pone de relieve la específica normativa educativa con la que debe conectarse la regulación de la ley orgánica en cuanto a la formación profesional perteneciente al sistema educativo. En efecto, ya la disposición adicional primera, apartado 2 c), de la Ley Orgánica 8/1985, de 3 de julio, reservaba al Estado “[l]a fijación de las enseñanzas mínimas y la regulación de las demás condiciones para la obtención, expedición y homologación de títulos académicos y profesionales, válidos en todo el territorio español”. Y el artículo 6 de la Ley Orgánica de educación, al referirse al currículo de las enseñanzas, que incluye los criterios de evaluación de cada una de las enseñanzas reguladas en la propia ley —también, por tanto, de la formación profesional—, dispone que el Gobierno fijará en relación, entre otros aspectos, con los </w:t>
      </w:r>
      <w:r>
        <w:lastRenderedPageBreak/>
        <w:t>criterios de evaluación, los aspectos básicos del currículo que constituyen las enseñanzas mínimas a que se refiere la mencionada disposición adicional. Esta regla tiene su reflejo en la regulación relativa a la formación profesional, donde el art. 43 de la misma ley orgánica se limita a establecer que la evaluación se realizará por módulos profesionales y que la superación de un ciclo formativo requerirá la evaluación positiva en todos los módulos que lo componen. Estas previsiones tienen carácter básico (disposición final quinta), pudiendo ser desarrolladas por las Comunidades Autónomas, salvo en aquellas materias cuya regulación se encomienda por la propia ley al Gobierno o que corresponden al Estado conforme a lo establecido en la disposición adicional primera, número 2, de la Ley Orgánica 8/1985, reguladora del derecho a la educación (disposición final sexta).</w:t>
      </w:r>
    </w:p>
    <w:p w:rsidR="00D06117" w:rsidRDefault="00D06117" w:rsidP="00D06117">
      <w:pPr>
        <w:pStyle w:val="TextoNormal"/>
      </w:pPr>
    </w:p>
    <w:p w:rsidR="00D06117" w:rsidRDefault="00D06117" w:rsidP="00D06117">
      <w:pPr>
        <w:pStyle w:val="TextoNormal"/>
      </w:pPr>
      <w:r>
        <w:t>Todo lo anterior demuestra que, en relación con el sistema educativo, el art. 8.4 de la Ley Orgánica 5/2002 no reserva al Gobierno la íntegra regulación de todos los aspectos referidos a la evaluación y acreditación de las competencias, sino sólo de aquellos contenidos y criterios básicos que forman parte de las enseñanzas mínimas, por lo que queda un margen a las Comunidades Autónomas para desarrollar sus facultades normativas inherentes a las competencias que ostentan en la materia, de donde se extrae la consecuencia de que el precepto impugnado no vulnera el orden constitucional de competencias. Cosa distinta es que, en ejercicio de la habilitación que el precepto le otorga, pueda el Gobierno excederse en la fijación de los requisitos y procedimientos para la evaluación y acreditación de las competencias, y de los efectos de las mismas, hipótesis que no puede valorarse en este momento, pues, como hemos señalado, entre otras, en las SSTC 77/1985, de 27 de junio, FJ 4; y 147/1992, de 16 de octubre, FJ 4, no resulta procedente la adopción de pronunciamientos preventivos referidos a posibles, y aún no producidas, aplicaciones de preceptos legales que no resultan necesariamente derivados de éstos, sin perjuicio de que, de producirse, puedan ser combatidas en su caso, ante este Tribunal a través del correspondiente conflicto de competencias o, incluso, ante los órganos de la jurisdicción ordinaria.</w:t>
      </w:r>
    </w:p>
    <w:p w:rsidR="00D06117" w:rsidRDefault="00D06117" w:rsidP="00D06117">
      <w:pPr>
        <w:pStyle w:val="TextoNormal"/>
      </w:pPr>
    </w:p>
    <w:p w:rsidR="00D06117" w:rsidRDefault="00D06117" w:rsidP="00D06117">
      <w:pPr>
        <w:pStyle w:val="TextoNormal"/>
      </w:pPr>
      <w:r w:rsidRPr="00D06117">
        <w:rPr>
          <w:rStyle w:val="NumeroAFNegritaCaracter"/>
        </w:rPr>
        <w:t>11</w:t>
      </w:r>
      <w:r>
        <w:t>. Coinciden el Gobierno de la Generalitat y el Parlamento de Cataluña en la impugnación del art. 11.7. Afirman que incurre en un exceso competencial ya que supone la reasunción por parte del Estado de los centros de formación profesional que ya habían sido traspasados, y que se pretende que la innovación y la experimentación se desarrollen mediante una red de centros de “referencia nacional” estatales, con implantación en todas las Comunidades Autónomas, especializados en los diferentes sectores productivos, siendo así que la Generalitat tienen competencia para la creación, gestión, transformación, ampliación, clasificación y supresión de centros, así como para la realización de experiencias e innovaciones formativas. Añaden que, además, se convierte una función típicamente ejecutiva, que corresponde en exclusiva a la Generalitat, en una competencia compartida con el Estado, imponiendo a la Comunidad Autónoma la firma de un convenio como requisito necesario para su ejercicio, lo que contraviene los términos del Estatuto de Autonomía de Cataluña.</w:t>
      </w:r>
    </w:p>
    <w:p w:rsidR="00D06117" w:rsidRDefault="00D06117" w:rsidP="00D06117">
      <w:pPr>
        <w:pStyle w:val="TextoNormal"/>
      </w:pPr>
    </w:p>
    <w:p w:rsidR="00D06117" w:rsidRDefault="00D06117" w:rsidP="00D06117">
      <w:pPr>
        <w:pStyle w:val="TextoNormal"/>
      </w:pPr>
      <w:r>
        <w:t xml:space="preserve">Se opone a estos razonamientos el Abogado del Estado, defendiendo que el precepto es absolutamente respetuoso con las transferencias efectuadas a favor de la Generalitat, pues las actividades de innovación y experimentación se encuentran obviamente vinculadas a materias sobre las que el Estado tenga atribuidas competencias, pudiendo requerir la colaboración de las Comunidades Autónomas, lo que exigirá la previa conformidad de éstas, articulada a través de convenios de colaboración para centros específicos implantados en aquéllas. En esta misma línea, el Letrado del Senado afirma que el art. 11.7 respeta las </w:t>
      </w:r>
      <w:r>
        <w:lastRenderedPageBreak/>
        <w:t>competencias autonómicas, ya que pueden coexistir los centros de referencia nacional con aquellos otros que consideren oportuno las Comunidades Autónomas.</w:t>
      </w:r>
    </w:p>
    <w:p w:rsidR="00D06117" w:rsidRDefault="00D06117" w:rsidP="00D06117">
      <w:pPr>
        <w:pStyle w:val="TextoNormal"/>
      </w:pPr>
    </w:p>
    <w:p w:rsidR="00D06117" w:rsidRDefault="00D06117" w:rsidP="00D06117">
      <w:pPr>
        <w:pStyle w:val="TextoNormal"/>
      </w:pPr>
      <w:r>
        <w:t>Dispone el art. 11.7 de la Ley Orgánica 5/2002 lo siguiente:</w:t>
      </w:r>
    </w:p>
    <w:p w:rsidR="00D06117" w:rsidRDefault="00D06117" w:rsidP="00D06117">
      <w:pPr>
        <w:pStyle w:val="TextoNormal"/>
      </w:pPr>
    </w:p>
    <w:p w:rsidR="00D06117" w:rsidRDefault="00D06117" w:rsidP="00D06117">
      <w:pPr>
        <w:pStyle w:val="TextoNormal"/>
      </w:pPr>
      <w:r>
        <w:t>“La innovación y experimentación en materia de formación profesional se desarrollará a través de una red de centros de referencia nacional, con implantación en todas las Comunidades Autónomas, especializados en los distintos sectores productivos. A tales efectos, dichos centros podrán incluir acciones formativas dirigidas a estudiantes, trabajadores ocupados y desempleados, así como a empresarios y formadores.</w:t>
      </w:r>
    </w:p>
    <w:p w:rsidR="00D06117" w:rsidRDefault="00D06117" w:rsidP="00D06117">
      <w:pPr>
        <w:pStyle w:val="TextoNormal"/>
      </w:pPr>
    </w:p>
    <w:p w:rsidR="00D06117" w:rsidRDefault="00D06117" w:rsidP="00D06117">
      <w:pPr>
        <w:pStyle w:val="TextoNormal"/>
      </w:pPr>
      <w:r>
        <w:t>La programación y ejecución de las correspondientes actuaciones de carácter innovador, experimental y formativo se llevará a cabo, en el marco de lo establecido en esta Ley, mediante convenios de colaboración entre la Administración del Estado y las Comunidades Autónomas, ateniéndose en todo caso al ámbito de sus respectivas competencias.”</w:t>
      </w:r>
    </w:p>
    <w:p w:rsidR="00D06117" w:rsidRDefault="00D06117" w:rsidP="00D06117">
      <w:pPr>
        <w:pStyle w:val="TextoNormal"/>
      </w:pPr>
    </w:p>
    <w:p w:rsidR="00D06117" w:rsidRDefault="00D06117" w:rsidP="00D06117">
      <w:pPr>
        <w:pStyle w:val="TextoNormal"/>
      </w:pPr>
      <w:r>
        <w:t>El adecuado entendimiento de este precepto exige que lo consideremos no de manera aislada, sino en el conjunto del art. 11, del cual resulta, en principio, una lectura distinta a la que efectúan los recurrentes, pues deja a salvo expresamente las competencias de las distintas Administraciones para establecer los requisitos específicos que deban reunir los centros de formación profesional y para crearlos, autorizarlos, homologarlos y gestionarlos (apartados 1 y 2), e, incluso, para crear centros integrados de formación profesional, en los que se impartan todas las ofertas formativas a que se refiere el art. 10 (apartado 3). Es más, la exposición de motivos de la Ley señala que ésta cuenta con los centros ya existentes, trazando las líneas ordenadoras básicas de los nuevos centros integrados de formación profesional. No se manifiesta, por tanto, esa intención de reasumir centros de formación profesional que ya habían sido traspasados, máxime cuando, en el ámbito educativo, el art. 17 de la Ley Orgánica del derecho a la educación (a la cual se remite la Ley Orgánica de educación) previene que “[la] creación y supresión de centros públicos se efectuará por el Gobierno o por el Consejo de Gobierno de la Comunidad Autónoma correspondiente, en el ámbito de sus respectivas competencias”, añadiendo el art. 39.5 de la Ley Orgánica de educación que los estudios de formación profesional regulados en la misma “podrán realizarse tanto en los centros educativos que en ella se regulan como en los centros integrados y de referencia nacional a los que se refiere el art. 11 de la Ley Orgánica 5/2002”.</w:t>
      </w:r>
    </w:p>
    <w:p w:rsidR="00D06117" w:rsidRDefault="00D06117" w:rsidP="00D06117">
      <w:pPr>
        <w:pStyle w:val="TextoNormal"/>
      </w:pPr>
    </w:p>
    <w:p w:rsidR="00D06117" w:rsidRDefault="00D06117" w:rsidP="00D06117">
      <w:pPr>
        <w:pStyle w:val="TextoNormal"/>
      </w:pPr>
      <w:r>
        <w:t>Por tanto, del análisis del art. 11.7 se desprende que lo que el precepto regula es la realización de actividades innovadoras y experimentales en materia de formación profesional, tanto en el ámbito educativo como en el laboral, y no sólo dirigidas a estudiantes y trabajadores ocupados y desempleados, sino también a empresarios y formadores, que se habrán de desarrollar a través de una red de centros de referencia nacional especializados en razón de los distintos sectores productivos, que se implantarán en las distintas Comunidades Autónomas. La primera conclusión que se ha de extraer del precepto es que las actividades innovadoras y experimentales a las que se refiere son las que lleve a cabo el Estado que, obviamente, habrá de celebrar convenios de colaboración con las Comunidades Autónomas para desarrollar esas actividades en los centros de titularidad de las mismas, dentro del ámbito de las respectivas competencias, según reza el párrafo segundo.</w:t>
      </w:r>
    </w:p>
    <w:p w:rsidR="00D06117" w:rsidRDefault="00D06117" w:rsidP="00D06117">
      <w:pPr>
        <w:pStyle w:val="TextoNormal"/>
      </w:pPr>
    </w:p>
    <w:p w:rsidR="00D06117" w:rsidRDefault="00D06117" w:rsidP="00D06117">
      <w:pPr>
        <w:pStyle w:val="TextoNormal"/>
      </w:pPr>
      <w:r>
        <w:lastRenderedPageBreak/>
        <w:t>Pues bien, en lo que se refiere al ámbito educativo, ya dijimos en la STC 38/1992, de 23 de marzo, FJ 7, al resolver el conflicto planteado en relación con el Real Decreto 942/1986, de 9 de mayo (por el que se establecen normas generales para la realización de experimentaciones educativas en centros docentes), que el Estado puede llevar a cabo experimentaciones educativas en todo el territorio nacional sobre materias de su competencia, esto es, las que le atribuye el art. 149.1.30 CE, que en aquella norma se concretaban en los aspectos referidos a la ordenación general del sistema educativo, la fijación de las enseñanzas mínimas o la afección a las condiciones exigibles para obtención de títulos académicos y profesionales. Del mismo modo, reconocimos en dicha Sentencia que las Comunidades Autónomas pueden realizar libremente experimentaciones educativas, pero que, en cuanto éstas afecten a las competencias estatales reseñadas, resulta conforme con el orden constitucional de competencias no sólo que el Estado establezca la correspondiente regulación normativa, sino también que se imponga su previa autorización, a los efectos de la homologación de los estudios y títulos correspondientes (STC 38/1992, FFJJ 4 y 5).</w:t>
      </w:r>
    </w:p>
    <w:p w:rsidR="00D06117" w:rsidRDefault="00D06117" w:rsidP="00D06117">
      <w:pPr>
        <w:pStyle w:val="TextoNormal"/>
      </w:pPr>
    </w:p>
    <w:p w:rsidR="00D06117" w:rsidRDefault="00D06117" w:rsidP="00D06117">
      <w:pPr>
        <w:pStyle w:val="TextoNormal"/>
      </w:pPr>
      <w:r>
        <w:t>Por consiguiente, las previsiones del art. 11.7 no impiden el ejercicio de sus competencias en materia educativa por parte de las Comunidades Autónomas, que podrán llevar a cabo las actuaciones de innovación y experimentación que tengan por conveniente dentro de los límites de su competencia, sin que el desarrollo de las mismas deban realizarlo necesariamente en los centros de referencia nacional [STC 5/1981, de 13 de febrero, FJ 24 a)], por lo que en ellos se desarrollarán las innovaciones y experimentaciones realizadas por el Estado, que han de quedar acotadas dentro del ámbito de competencias que marca el art. 149.1.30 CE.</w:t>
      </w:r>
    </w:p>
    <w:p w:rsidR="00D06117" w:rsidRDefault="00D06117" w:rsidP="00D06117">
      <w:pPr>
        <w:pStyle w:val="TextoNormal"/>
      </w:pPr>
    </w:p>
    <w:p w:rsidR="00D06117" w:rsidRDefault="00D06117" w:rsidP="00D06117">
      <w:pPr>
        <w:pStyle w:val="TextoNormal"/>
      </w:pPr>
      <w:r>
        <w:t>En la esfera laboral, es preciso recordar que corresponde al Estado toda la legislación en la materia, mientras que la Generalitat ha asumido la competencia ejecutiva en materia de trabajo y relaciones laborales, incluyendo las políticas activas de ocupación, tanto de los desempleados como de los trabajadores en activo, así como la gestión de las subvenciones correspondientes, y las cualificaciones profesionales en Cataluña [art. 170.1 b) y c) EAC], por lo que se plantea la duda de si el Estado se puede reservar en esta materia el desarrollo de una función típicamente ejecutiva, como es la realización de actividades de carácter innovador y experimental. Precisamente el dato de que la competencia normativa del Estado en esta materia sea completa, sin que quede ningún espacio de regulación externa a las Comunidades Autónomas, que sólo disponen de una competencia de ejecución, quedando por ello garantizada en tan alto grado la unidad de acción, determina que deba apreciarse de forma mucho más restrictiva la excepcionalidad justificadora de la permanencia en el acervo estatal de facultades ejecutivas, que este Tribunal admite sólo para supuestos tasados (STC 195/1996, de 28 de noviembre, FJ 11).</w:t>
      </w:r>
    </w:p>
    <w:p w:rsidR="00D06117" w:rsidRDefault="00D06117" w:rsidP="00D06117">
      <w:pPr>
        <w:pStyle w:val="TextoNormal"/>
      </w:pPr>
    </w:p>
    <w:p w:rsidR="00D06117" w:rsidRDefault="00D06117" w:rsidP="00D06117">
      <w:pPr>
        <w:pStyle w:val="TextoNormal"/>
      </w:pPr>
      <w:r>
        <w:t>En efecto, hemos señalado que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w:t>
      </w:r>
      <w:r>
        <w:lastRenderedPageBreak/>
        <w:t>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FJ 6)” (SSTC 175/1999, de 30 de septiembre, FJ 6; 223/2000, de 21 de septiembre, FJ 11; y 1/2011, de 14 de febrero, FJ 6).</w:t>
      </w:r>
    </w:p>
    <w:p w:rsidR="00D06117" w:rsidRDefault="00D06117" w:rsidP="00D06117">
      <w:pPr>
        <w:pStyle w:val="TextoNormal"/>
      </w:pPr>
    </w:p>
    <w:p w:rsidR="00D06117" w:rsidRDefault="00D06117" w:rsidP="00D06117">
      <w:pPr>
        <w:pStyle w:val="TextoNormal"/>
      </w:pPr>
      <w:r>
        <w:t>Los recurrentes niegan que el Estado pueda llevar a cabo esas actividades típicamente ejecutivas, aduciendo que a la Generalitat le fueron transferidas las funciones en materia de gestión de la formación profesional ocupacional por el Real Decreto 1577/1991, de 18 de octubre, y los centros nacionales de formación profesional que, sitos en su territorio, aún eran de titularidad del Estado en virtud del Real Decreto 1050/1997, de 27 de junio, transferencias que resultarían afectadas por el precepto aquí discutido.</w:t>
      </w:r>
    </w:p>
    <w:p w:rsidR="00D06117" w:rsidRDefault="00D06117" w:rsidP="00D06117">
      <w:pPr>
        <w:pStyle w:val="TextoNormal"/>
      </w:pPr>
    </w:p>
    <w:p w:rsidR="00D06117" w:rsidRDefault="00D06117" w:rsidP="00D06117">
      <w:pPr>
        <w:pStyle w:val="TextoNormal"/>
      </w:pPr>
      <w:r>
        <w:t>En la STC 95/2002, de 25 de abril, FJ 14, referida, precisamente, a un recurso de inconstitucionalidad y un conflicto de competencias en materia de formación profesional ocupacional, recordamos nuestra doctrina acerca del alcance de las competencias asumidas por las Comunidades Autónomas en virtud de los traspasos de servicios operados por las comisiones mixtas y plasmados posteriormente en los correspondientes reales decretos de traspasos, señalando que “la transferencia de servicios ha de hacerse necesariamente a través de los acuerdos de las Comisiones Mixtas, puesto que tal es el procedimiento previsto en los Estatutos de Autonomía en aplicación de lo dispuesto en el art. 147.2 d) de la Constitución, que requiere que los Estatutos contengan ‘las bases para el traspaso de los servicios correspondientes a las mismas’. Tales acuerdos se plasman en los correspondientes Decretos y, en consecuencia, no puede alterarse su contenido mediante una intervención unilateral del legislador estatal. Hay, por así decirlo, una reserva procedimental para el traspaso de servicios que no puede ser desconocida (STC 86/1989, de 11 de mayo, FJ 10, con cita de la STC 76/1983, de 5 de agosto).”</w:t>
      </w:r>
    </w:p>
    <w:p w:rsidR="00D06117" w:rsidRDefault="00D06117" w:rsidP="00D06117">
      <w:pPr>
        <w:pStyle w:val="TextoNormal"/>
      </w:pPr>
    </w:p>
    <w:p w:rsidR="00D06117" w:rsidRDefault="00D06117" w:rsidP="00D06117">
      <w:pPr>
        <w:pStyle w:val="TextoNormal"/>
      </w:pPr>
      <w:r>
        <w:t xml:space="preserve">En el supuesto que nos ocupa, es cierto que la referida competencia ejecutiva fue traspasada a la Generalitat mediante acuerdo de la comisión mixta de transferencias de 23 de septiembre de 1991, formalizado a través del citado Real Decreto 1577/1991 (ampliada y modificada por posterior acuerdo de la comisión mixta de 17 de diciembre de 1992 y Real Decreto 47/1993, de 15 de enero). En el epígrafe b) del anexo del primer real decreto (“funciones y servicios de la Administración del Estado que asume la Generalidad de Cataluña”), se traspasan a dicha Comunidad Autónoma, entre otras funciones, “[l]a organización y ejecución de proyectos experimentales o innovadores de Formación Profesional Ocupacional, aun no contemplados en el Plan Nacional de Formación e Inserción Profesional, cuyos resultados puedan servir para la implantación en otros ámbitos territoriales o en la programación nacional. A tal efecto, se seguirá lo establecido en el Convenio de colaboración que se firme entre la Administración del Estado y la Generalidad de Cataluña” (apartado 5). Parece evidente, pues, que la función ejecutiva que aquí se discute corresponde a la Comunidad Autónoma y no al Estado, máxime cuando en el epígrafe c) del anexo (“funciones que se reserva la Administración del Estado”) no figura ninguna facultad de gestión en cuanto a la innovación y la experimentación en materia de formación profesional ocupacional, más allá de la gestión de dos centros nacionales de formación profesional sitos en el territorio de la Comunidad Autónoma de Cataluña, cuya titularidad, sin embargo, fue transferida posteriormente a la Generalitat por acuerdo de la comisión mixta de 3 de junio de 1997, plasmado </w:t>
      </w:r>
      <w:r>
        <w:lastRenderedPageBreak/>
        <w:t>en el Real Decreto 1050/1997, de 27 de junio, sobre traspaso a la Generalitat de la gestión realizada por el Instituto Nacional de Empleo, en el ámbito del trabajo, el empleo y la formación.</w:t>
      </w:r>
    </w:p>
    <w:p w:rsidR="00D06117" w:rsidRDefault="00D06117" w:rsidP="00D06117">
      <w:pPr>
        <w:pStyle w:val="TextoNormal"/>
      </w:pPr>
    </w:p>
    <w:p w:rsidR="00D06117" w:rsidRDefault="00D06117" w:rsidP="00D06117">
      <w:pPr>
        <w:pStyle w:val="TextoNormal"/>
      </w:pPr>
      <w:r>
        <w:t>Ahora bien, como señala el Abogado del Estado acertadamente, el traspaso de la titularidad de tales centros fue acompañada de la previsión de que “continuarán ejecutando, a través de la financiación correspondiente por parte del INEM, las funciones que tienen atribuidos los mismos por el artículo 17 y siguientes del Real Decreto 631/1993, de 3 de mayo, regulador del Plan Nacional de Formación e Inserción Profesional. A este efecto, la Comisión de Coordinación y Seguimiento que se crea en el apartado C). 5, de este Acuerdo, articulará los mecanismos precisos para garantizar una adecuada colaboración entre las dos Administraciones”. Y el referido art. 17, entre otros cometidos de los centros nacionales de formación profesional ocupacional, incluye la elaboración, seguimiento y evaluación de los medios didácticos, el desarrollo de los planes anuales de formación y perfeccionamiento de los profesores y expertos docentes, y, especialmente, el desarrollo de los estudios y propuestas técnicas necesarias para determinar las enseñanzas mínimas e itinerarios formativos.</w:t>
      </w:r>
    </w:p>
    <w:p w:rsidR="00D06117" w:rsidRDefault="00D06117" w:rsidP="00D06117">
      <w:pPr>
        <w:pStyle w:val="TextoNormal"/>
      </w:pPr>
    </w:p>
    <w:p w:rsidR="00D06117" w:rsidRDefault="00D06117" w:rsidP="00D06117">
      <w:pPr>
        <w:pStyle w:val="TextoNormal"/>
      </w:pPr>
      <w:r>
        <w:t>Por consiguiente, existen actividades de las referidas en el precepto aquí discutido que podrán desarrollarse a instancia de la Administración del Estado exclusivamente en los dos centros nacionales cuya titularidad se transfirió a la Generalitat, y para el desarrollo exclusivo de las funciones contempladas en el citado art. 17 del Real Decreto 631/1993. Cierto es que este último Real Decreto ha sido derogado por el Real Decreto 395/2007, de 23 de marzo, por el que se regula el subsistema de formación profesional para el empleo (que ha sido objeto de los conflictos positivos de competencia núms. 6735-2007, 6767-2007, 6869-2007, 6870-2007 y 6876-2007), pero, a los efectos que aquí nos interesan, basta con constatar que hay una base competencial para el desarrollo por parte del Estado de las actuaciones a que se refiere el art. 11.7 de la Ley Orgánica 5/2002, siempre y cuando se atenga a los límites marcados por los reales decretos de transferencias, y mediando el correspondiente convenio de colaboración con las Comunidades Autónomas en cuyos centros vayan a desarrollarse.</w:t>
      </w:r>
    </w:p>
    <w:p w:rsidR="00D06117" w:rsidRDefault="00D06117" w:rsidP="00D06117">
      <w:pPr>
        <w:pStyle w:val="TextoNormal"/>
      </w:pPr>
    </w:p>
    <w:p w:rsidR="00D06117" w:rsidRDefault="00D06117" w:rsidP="00D06117">
      <w:pPr>
        <w:pStyle w:val="TextoNormal"/>
      </w:pPr>
      <w:r w:rsidRPr="00D06117">
        <w:rPr>
          <w:rStyle w:val="NumeroAFNegritaCaracter"/>
        </w:rPr>
        <w:t>12</w:t>
      </w:r>
      <w:r>
        <w:t>. Por último, las representaciones del Gobierno de la Generalitat y del Parlamento de Cataluña cuestionan la constitucionalidad de la disposición final primera, apartado 2, párrafos primero y segundo, en cuanto que ampara el desarrollo exclusivo por parte del Estado de los arts. 4.1 b) y c), 5.1, 6.3 y 4, 7, 8.4, 9 y 11.6, y la disposición adicional tercera, en el ámbito del sistema educativo, con apoyo en el art. 149.1.1 y 30 CE, produciendo un vaciamiento de las competencias autonómicas, al excluir toda posible regulación normativa de la Generalitat en ejercicio de sus competencias.</w:t>
      </w:r>
    </w:p>
    <w:p w:rsidR="00D06117" w:rsidRDefault="00D06117" w:rsidP="00D06117">
      <w:pPr>
        <w:pStyle w:val="TextoNormal"/>
      </w:pPr>
    </w:p>
    <w:p w:rsidR="00D06117" w:rsidRDefault="00D06117" w:rsidP="00D06117">
      <w:pPr>
        <w:pStyle w:val="TextoNormal"/>
      </w:pPr>
      <w:r>
        <w:t>El Abogado del Estado entiende que los recursos realizan una interpretación restrictiva de los títulos competenciales invocados en la ley, resaltando los dos niveles distintos de competencias estatales que establece el art. 149.1.30 CE, que resultan reforzadas por el título complementario del art. 149.1.1 CE, ya que, a su juicio, la integración de las distintas ofertas formativas y la instrumentación del reconocimiento y la acreditación de las cualificaciones profesionales a nivel nacional constituyen condiciones básicas para la igualdad en el efectivo ejercicio del derecho a la educación. Añade que la lectura de cada precepto de la ley será distinta según la habilitación competencial del Estado bajo la que se incluya, refi</w:t>
      </w:r>
      <w:r>
        <w:lastRenderedPageBreak/>
        <w:t>riéndose a la íntegra competencia del Estado en materia de títulos académicos y profesionales. Esta competencia es la que aduce también el Letrado del Senado, que subraya que no se trata de una competencia compartida, por lo que da adecuada cobertura a los distintos preceptos que se enuncian en la disposición final primera, apartado 2.</w:t>
      </w:r>
    </w:p>
    <w:p w:rsidR="00D06117" w:rsidRDefault="00D06117" w:rsidP="00D06117">
      <w:pPr>
        <w:pStyle w:val="TextoNormal"/>
      </w:pPr>
    </w:p>
    <w:p w:rsidR="00D06117" w:rsidRDefault="00D06117" w:rsidP="00D06117">
      <w:pPr>
        <w:pStyle w:val="TextoNormal"/>
      </w:pPr>
      <w:r>
        <w:t>El tenor de los párrafos del apartado 2 de la disposición final primera que aquí se discuten es el siguiente:</w:t>
      </w:r>
    </w:p>
    <w:p w:rsidR="00D06117" w:rsidRDefault="00D06117" w:rsidP="00D06117">
      <w:pPr>
        <w:pStyle w:val="TextoNormal"/>
      </w:pPr>
    </w:p>
    <w:p w:rsidR="00D06117" w:rsidRDefault="00D06117" w:rsidP="00D06117">
      <w:pPr>
        <w:pStyle w:val="TextoNormal"/>
      </w:pPr>
      <w:r>
        <w:t>“Al amparo de lo establecido en el art. 149.1.1 y 30 de la Constitución, en lo que se refiere a la regulación de la formación profesional en el ámbito del Sistema Educativo, es competencia exclusiva del Estado el desarrollo de los siguientes preceptos:</w:t>
      </w:r>
    </w:p>
    <w:p w:rsidR="00D06117" w:rsidRDefault="00D06117" w:rsidP="00D06117">
      <w:pPr>
        <w:pStyle w:val="TextoNormal"/>
      </w:pPr>
    </w:p>
    <w:p w:rsidR="00D06117" w:rsidRDefault="00D06117" w:rsidP="00D06117">
      <w:pPr>
        <w:pStyle w:val="TextoNormal"/>
      </w:pPr>
      <w:r>
        <w:t>El apartado 1 del art. 1, los arts. 2 a 5, los apartados 3 y 4 del art. 6, los arts. 7 a 9, el apartado 1 del art. 10 y el apartado 6 del art. 11.</w:t>
      </w:r>
    </w:p>
    <w:p w:rsidR="00D06117" w:rsidRDefault="00D06117" w:rsidP="00D06117">
      <w:pPr>
        <w:pStyle w:val="TextoNormal"/>
      </w:pPr>
    </w:p>
    <w:p w:rsidR="00D06117" w:rsidRDefault="00D06117" w:rsidP="00D06117">
      <w:pPr>
        <w:pStyle w:val="TextoNormal"/>
      </w:pPr>
      <w:r>
        <w:t>La disposición adicional tercera.”</w:t>
      </w:r>
    </w:p>
    <w:p w:rsidR="00D06117" w:rsidRDefault="00D06117" w:rsidP="00D06117">
      <w:pPr>
        <w:pStyle w:val="TextoNormal"/>
      </w:pPr>
    </w:p>
    <w:p w:rsidR="00D06117" w:rsidRDefault="00D06117" w:rsidP="00D06117">
      <w:pPr>
        <w:pStyle w:val="TextoNormal"/>
      </w:pPr>
      <w:r>
        <w:t>Resulta evidente, y en eso están de acuerdo las partes, que el título en el que se apoya la reserva exclusiva al Estado del desarrollo de los preceptos indicados es el del primer inciso del art. 149.1.30 CE, referido a la regulación de las condiciones de obtención, expedición y homologación de títulos académicos y profesionales, en la medida en que, a continuación, la propia disposición final, en el mismo apartado 2, en los párrafos siguientes especifica qué otros preceptos de la ley orgánica tienen la condición de normas básicas dictadas al amparo del art. 149.1.1 y 30 CE. Pues bien, para dar respuesta a la impugnación planteada, habrá que examinar el contenido de cada uno de los distintos preceptos que, a juicio de los recurrentes, no se corresponden con la reserva exclusiva de su desarrollo a favor del Estado establecida por la disposición final primera.2, teniendo en cuenta las alegaciones realizadas específicamente por las partes en relación con cada uno de ellos, para determinar, en cada caso, si dicha reserva se corresponde o no con el orden constitucional de competencias.</w:t>
      </w:r>
    </w:p>
    <w:p w:rsidR="00D06117" w:rsidRDefault="00D06117" w:rsidP="00D06117">
      <w:pPr>
        <w:pStyle w:val="TextoNormal"/>
      </w:pPr>
    </w:p>
    <w:p w:rsidR="00D06117" w:rsidRDefault="00D06117" w:rsidP="00D06117">
      <w:pPr>
        <w:pStyle w:val="TextoNormal"/>
      </w:pPr>
      <w:r>
        <w:t>A tal efecto, a modo de resumen, recordar, en primer lugar, como ya hemos argumentado anteriormente in extenso, el título del primer inciso del art. 149.1.30 CE comprende el establecimiento de los títulos correspondientes a cada nivel y ciclo educativo, con valor habilitante tanto académicamente como para el ejercicio de las profesiones tituladas, así como la competencia para expedir los títulos correspondientes y homologar aquéllos que el Estado no haya expedido. Y, en cuanto la competencia estatal sobre este aspecto es plena, también hemos advertido que debe ser objeto de interpretación estricta, ciñendo su campo de aplicación sólo a lo tenga una relación directa con la obtención, expedición y homologación de títulos. En segundo lugar, ha de tenerse en cuenta que el título del art. 149.1.1 CE habilita al Estado para establecer las condiciones básicas que tienden a garantizar la igualdad en el ejercicio de los derechos constitucionales, fijando su contenido primario referido a las posiciones jurídicas fundamentales, pero no para establecer una normación completa y acabada del derecho de que se trate. (STC 188/2001, de 20 de septiembre, FJ 12).</w:t>
      </w:r>
    </w:p>
    <w:p w:rsidR="00D06117" w:rsidRDefault="00D06117" w:rsidP="00D06117">
      <w:pPr>
        <w:pStyle w:val="TextoNormal"/>
      </w:pPr>
    </w:p>
    <w:p w:rsidR="00D06117" w:rsidRDefault="00D06117" w:rsidP="00D06117">
      <w:pPr>
        <w:pStyle w:val="TextoNormal"/>
      </w:pPr>
      <w:r>
        <w:t xml:space="preserve">a) El primer precepto en relación con el cual se concreta la impugnación de aquella disposición es el art. 4.1, párrafos b) y c). El art. 4 de la Ley Orgánica 5/2002 se dedica, como ya hemos dicho, a la regulación de los instrumentos y acciones que forman parte del sistema nacional de cualificaciones y formación profesional. En concreto, en los dos párrafos objeto </w:t>
      </w:r>
      <w:r>
        <w:lastRenderedPageBreak/>
        <w:t>de discusión por el Parlamento de Cataluña, se incluyen un procedimiento de reconocimiento, evaluación, acreditación y registro de las cualificaciones profesionales [párrafo b)], así como la información y orientación en materia de formación profesional y empleo [párrafo c)]. El Abogado del Estado y el Letrado del Senado sostienen que el contenido del art. 4 es de por sí suficiente para fundamentar la constitucionalidad de la exclusiva reserva al Estado de su desarrollo. Sin embargo, basta con remitirse a las consideraciones efectuadas en relación con el art. 8.4 para concluir que el contenido del primero de dichos párrafos no puede quedar incluido en la competencia del inciso primero del art. 149.1.30 CE, por lo que la reserva de su desarrollo exclusivo al Estado al amparo de ese título vulnera el orden constitucional y estatutario de distribución de competencias. Y lo mismo cabe decir en cuanto al párrafo c), cuyo contenido no presenta relación alguna con las condiciones de obtención, expedición y homologación de títulos académicos y profesionales.</w:t>
      </w:r>
    </w:p>
    <w:p w:rsidR="00D06117" w:rsidRDefault="00D06117" w:rsidP="00D06117">
      <w:pPr>
        <w:pStyle w:val="TextoNormal"/>
      </w:pPr>
    </w:p>
    <w:p w:rsidR="00D06117" w:rsidRDefault="00D06117" w:rsidP="00D06117">
      <w:pPr>
        <w:pStyle w:val="TextoNormal"/>
      </w:pPr>
      <w:r>
        <w:t>b) El art. 5.1, en relación con la disposición final primera, apartado 2, párrafo primero, reserva a la Administración General de Estado el desarrollo de todo lo relativo al sistema nacional de cualificaciones profesionales. Es decir, prima facie, se reserva al Estado la regulación íntegra de todo cuanto se refiere a las cualificaciones profesionales, de modo que a las Comunidades Autónomas sólo les quedarían funciones de ejecución en relación con las mismas. Esta conclusión supone una contradictio in terminis con el contenido del propio art. 5.1, que deja a salvo expresamente las competencias de las Comunidades Autónomas.</w:t>
      </w:r>
    </w:p>
    <w:p w:rsidR="00D06117" w:rsidRDefault="00D06117" w:rsidP="00D06117">
      <w:pPr>
        <w:pStyle w:val="TextoNormal"/>
      </w:pPr>
    </w:p>
    <w:p w:rsidR="00D06117" w:rsidRDefault="00D06117" w:rsidP="00D06117">
      <w:pPr>
        <w:pStyle w:val="TextoNormal"/>
      </w:pPr>
      <w:r>
        <w:t>No sirve como argumento para justificar que el Estado asuma la íntegra regulación del sistema nacional de cualificaciones y formación profesional la finalidad presente en la norma de adecuar el sistema de formación profesional a los criterios y estrategias de la Unión Europea. En efecto, como hemos señalado,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(STC 236/1991, de 12 de diciembre, FJ 9)” (STC 33/2005, de 17 de febrero, FJ 3). Y es que, como ha reiterado este Tribunal, “el desarrollo normativo del Derecho de la Unión Europea en el ordenamiento interno debe realizarse desde el pleno respeto de la estructura territorial del Estado … La traslación al ordenamiento interno de este Derecho supranacional no afecta a los criterios constitucionales de reparto competencial, que no resultan alterados ni por el ingreso de España en la Comunidad Europea ni por la promulgación de normas comunitarias” (STC 1/2012, de 13 de enero, FJ 9).</w:t>
      </w:r>
    </w:p>
    <w:p w:rsidR="00D06117" w:rsidRDefault="00D06117" w:rsidP="00D06117">
      <w:pPr>
        <w:pStyle w:val="TextoNormal"/>
      </w:pPr>
    </w:p>
    <w:p w:rsidR="00D06117" w:rsidRDefault="00D06117" w:rsidP="00D06117">
      <w:pPr>
        <w:pStyle w:val="TextoNormal"/>
      </w:pPr>
      <w:r>
        <w:t>Por consiguiente, debe ser el orden constitucional interno de distribución de competencias el que determine si el Estado podría asumir toda esa regulación o si ha de ser una labor compartida con las Comunidades Autónomas. En este punto, como ya se ha señalado al examinar la reserva para el desarrollo del art. 4, hemos de advertir que la competencia relativa a la regulación de las condiciones de obtención, expedición y homologación de títulos profesionales no habilita por sí sola una regulación completa de todos los aspectos relacionados con las cualificaciones profesionales.</w:t>
      </w:r>
    </w:p>
    <w:p w:rsidR="00D06117" w:rsidRDefault="00D06117" w:rsidP="00D06117">
      <w:pPr>
        <w:pStyle w:val="TextoNormal"/>
      </w:pPr>
    </w:p>
    <w:p w:rsidR="00D06117" w:rsidRDefault="00D06117" w:rsidP="00D06117">
      <w:pPr>
        <w:pStyle w:val="TextoNormal"/>
      </w:pPr>
      <w:r>
        <w:lastRenderedPageBreak/>
        <w:t>Así, en lo tocante a las competencias estatales ex art. 149.1.30 CE, ha señalado este Tribunal que el sistema educativo del país debe estar homologado (art. 27.8 CE) en todo el territorio del Estado, por lo cual, y por la igualdad de derechos que el art. 139 CE reconoce a todos los españoles, es lógica la competencia estatal del art. 149.1.30 CE para el establecimiento de las normas básicas de desarrollo del art. 27 CE, y, asimismo, que por su propia naturaleza, corresponda al Estado la ordenación general del sistema educativo (STC 5/1981, de 13 de febrero, FJ 28). También hemos reconocido que la competencia del Estado para dictar normas básicas para el desarrollo del art. 27 CE se extiende a la programación general de la enseñanza a que se refiere el art. 27.5 CE (STC 47/2005, de 3 de marzo, FJ 11), y que es de competencia estatal el establecimiento de las enseñanzas mínimas, que lleva aparejada la concreción de su contenido, que comprende la fijación de objetivos por bloques temáticos en relación con cada disciplina o materia, y la fijación de los horarios mínimos que se consideren necesarios para su enseñanza efectiva y completa (STC 88/1983, de 27 de octubre, FJ 3).</w:t>
      </w:r>
    </w:p>
    <w:p w:rsidR="00D06117" w:rsidRDefault="00D06117" w:rsidP="00D06117">
      <w:pPr>
        <w:pStyle w:val="TextoNormal"/>
      </w:pPr>
    </w:p>
    <w:p w:rsidR="00D06117" w:rsidRDefault="00D06117" w:rsidP="00D06117">
      <w:pPr>
        <w:pStyle w:val="TextoNormal"/>
      </w:pPr>
      <w:r>
        <w:t>Pues bien, todo ese conjunto de competencias estatales, que son los medios arbitrados por la Constitución para obtener un imprescindible nivel de homogeneidad en la formación de los escolares, con unas garantías mínimas de calidad de la enseñanza que sean iguales para todos los españoles [STC 5/1981, FJ 27 b)], así como con la igualdad de los títulos correspondientes a cada nivel educativo o ciclo, y a cada especialidad, que han de tener el mismo valor en toda España (STC 42/1981, de 22 de diciembre, FJ 4), constituyen unas exigencias que son compatibles con la competencia plena de las Comunidades Autónomas en los planos legislativo y ejecutivo en los términos enunciados en los respectivos Estatutos de Autonomía (STC 6/1982, de 22 de febrero, FJ 4), y deben ejercerse “de forma suficientemente amplia y flexible como para permitir que las Comunidades Autónomas con competencias normativas en la materia puedan adoptar sus propias alternativas políticas en función de sus circunstancias específicas” (STC 131/1996, de 11 de julio, FJ 3).</w:t>
      </w:r>
    </w:p>
    <w:p w:rsidR="00D06117" w:rsidRDefault="00D06117" w:rsidP="00D06117">
      <w:pPr>
        <w:pStyle w:val="TextoNormal"/>
      </w:pPr>
    </w:p>
    <w:p w:rsidR="00D06117" w:rsidRDefault="00D06117" w:rsidP="00D06117">
      <w:pPr>
        <w:pStyle w:val="TextoNormal"/>
      </w:pPr>
      <w:r>
        <w:t>En suma, es innegable la amplitud de las competencias del Estado en materia educativa, pero también lo es que su ejercicio debe dejar siempre un margen para que las Comunidades Autónomas puedan desarrollar las facultades que les reconocen sus Estatutos. Y, en este caso, la reserva exclusiva a favor del Estado por parte de la disposición final primera.2 del desarrollo del art. 5.1, asumiendo la íntegra regulación del sistema nacional de cualificaciones y formación profesional, deja en una fórmula meramente retórica y vacía de contenido la salvaguarda de las competencias autonómicas que el mismo art. 5.1 incluye. Por tanto, al reservar al Estado la totalidad del desarrollo normativo, no deja margen de actuación a las Comunidades Autónomas, por lo que ha de entenderse que la disposición final en examen incurre en inconstitucionalidad, en relación con el art. 5.1.</w:t>
      </w:r>
    </w:p>
    <w:p w:rsidR="00D06117" w:rsidRDefault="00D06117" w:rsidP="00D06117">
      <w:pPr>
        <w:pStyle w:val="TextoNormal"/>
      </w:pPr>
    </w:p>
    <w:p w:rsidR="00D06117" w:rsidRDefault="00D06117" w:rsidP="00D06117">
      <w:pPr>
        <w:pStyle w:val="TextoNormal"/>
      </w:pPr>
      <w:r>
        <w:t xml:space="preserve">c) En cuanto al art. 6, la representación del Parlamento de Cataluña sostiene que los apartados 3 y 4 se refieren a aspectos cuyo desarrollo no debe reservarse exclusivamente al Estado, sino que sus previsiones habrían de considerarse de naturaleza básica, de modo que su desarrollo y posterior ejecución deberían corresponder a las Comunidades Autónomas. Frente a ello, el Abogado del Estado defiende la reserva exclusiva al Estado de su desarrollo, para garantizar un marco normativo unitario en todo el territorio nacional en cuanto a los procedimientos de colaboración y consulta con los diferentes sectores productivos y con los interlocutores sociales. Por su parte, el Letrado del Senado sostiene que ese desarrollo compete en exclusiva al Estado ex art. 149.1.7 CE, por su directa relación con la legislación </w:t>
      </w:r>
      <w:r>
        <w:lastRenderedPageBreak/>
        <w:t>laboral, argumento éste que no resulta asumible, porque nos encontramos en el ámbito de la formación profesional inicial o reglada, perteneciente al sistema educativo, de suerte que la reserva al Estado de ese desarrollo de manera exclusiva sólo podría fundamentarse, en su caso, en el título del art. 149.1.30 CE, primer inciso.</w:t>
      </w:r>
    </w:p>
    <w:p w:rsidR="00D06117" w:rsidRDefault="00D06117" w:rsidP="00D06117">
      <w:pPr>
        <w:pStyle w:val="TextoNormal"/>
      </w:pPr>
    </w:p>
    <w:p w:rsidR="00D06117" w:rsidRDefault="00D06117" w:rsidP="00D06117">
      <w:pPr>
        <w:pStyle w:val="TextoNormal"/>
      </w:pPr>
      <w:r>
        <w:t>El apartado 3 del art. 6 se refiere al establecimiento de procedimientos de colaboración y consulta con los diferentes sectores productivos y con los interlocutores sociales para identificar y actualizar las necesidades de cualificación, así como para su definición y la de la formación requerida, y el apartado 4 dispone que la formación ha de favorecer la realización de prácticas profesionales de los alumnos en empresas y otras entidades, prácticas que no tendrán carácter laboral. A la vista del contenido de ambos apartados, no se puede aceptar la atribución al Estado de su desarrollo en exclusiva con fundamento en la competencia relativa a los títulos académicos y profesionales, puesto que ambos aspectos no tienen una relación directa con las condiciones de obtención, expedición y homologación de títulos, sin que la garantía a la que se refiere el Abogado del Estado exija una regulación única y completa adoptada por el Estado, bastando a tal efecto, como señala la Letrada del Parlamento de Cataluña, con que se dotara a las previsiones reseñadas del carácter de norma básica. Por otra parte, aunque cupiera la posibilidad de plantearse alguna duda en relación con el apartado 4, por la conexión que pudiera tener con el contenido de la formación, lo cierto es que la propia normativa estatal desmiente la necesidad de que deba ser objeto de desarrollo exclusivo por el Estado, ya que el art. 42.2 de la Ley Orgánica de educación se limita a señalar que “[e]l currículo de las enseñanzas de formación profesional incluirá una fase de formación práctica en los centros de trabajo”, correspondiendo su regulación a las Administraciones educativas y no de manera exclusiva al Gobierno. En consecuencia, también en relación con el art. 6.3 y 4 incurre la disposición final primera, apartado 2, párrafo primero, en infracción del orden constitucional y estatutario de distribución de competencias.</w:t>
      </w:r>
    </w:p>
    <w:p w:rsidR="00D06117" w:rsidRDefault="00D06117" w:rsidP="00D06117">
      <w:pPr>
        <w:pStyle w:val="TextoNormal"/>
      </w:pPr>
    </w:p>
    <w:p w:rsidR="00D06117" w:rsidRDefault="00D06117" w:rsidP="00D06117">
      <w:pPr>
        <w:pStyle w:val="TextoNormal"/>
      </w:pPr>
      <w:r>
        <w:t>d) Sobre la conexión de la disposición final en examen con el art. 7 no efectúa el recurso del Gobierno de la Generalitat de Cataluña (único de los dos recurrentes que incluye este precepto en su impugnación) labor alguna de crítica, incumpliendo la carga de ofrecer los argumentos en los que sustente su pretensión de declaración de inconstitucionalidad de la citada disposición. La demanda se limita a remitirse a las consideraciones efectuadas en relación con cada uno de los preceptos, y, según ya se advirtió al examinar la impugnación del art. 7, también había una remisión en los argumentos a los que fundamentaron la del art. 5.1. Resulta significativo, por otro lado, que no se haya discutido la reserva al Estado del exclusivo desarrollo del art. 4.1 a), referido al catálogo nacional de cualificaciones profesionales, y sí la relativa al art. 7, dedicado específicamente a regular dicho catálogo, que es un trasunto del anterior. En cualquier caso, como ya hemos expuesto en el análisis de este último precepto, el catálogo nacional de cualificaciones profesionales es un elemento clave del sistema nacional, en el que se recogen, esencialmente, las cualificaciones profesionales y la formación asociada a las mismas, o, lo que es lo mismo, los títulos de formación profesional en el terreno del sistema educativo, por lo que ha de entenderse que este precepto responde a la competencia estatal del primer inciso del art. 149.1.30 CE, quedando por ello justificada la reserva al Estado de la competencia exclusiva para su desarrollo, todo ello sin perjuicio de la competencia que el art. 10.2 de la propia Ley Orgánica 5/2002 reconoce a las Administraciones educativas (entre ellas, las Comunidades Autónomas), en el ámbito de sus competencias, para ampliar los contenidos de los títulos de formación profesional.</w:t>
      </w:r>
    </w:p>
    <w:p w:rsidR="00D06117" w:rsidRDefault="00D06117" w:rsidP="00D06117">
      <w:pPr>
        <w:pStyle w:val="TextoNormal"/>
      </w:pPr>
    </w:p>
    <w:p w:rsidR="00D06117" w:rsidRDefault="00D06117" w:rsidP="00D06117">
      <w:pPr>
        <w:pStyle w:val="TextoNormal"/>
      </w:pPr>
      <w:r>
        <w:t>e) Los argumentos expuestos en el fundamento jurídico 10 de esta resolución, al examinar la impugnación del art. 8.4 en relación con la extensión de las competencias del Estado sobre la evaluación, que nos conducen a afirmar que tales competencias no abarcan todo lo relativo a dicho aspecto, determinan que no pueda admitirse la reserva que para su desarrollo exclusivo se efectúa a favor del Estado en la disposición adicional primera.2, por lo que ésta debe ser declarada inconstitucional.</w:t>
      </w:r>
    </w:p>
    <w:p w:rsidR="00D06117" w:rsidRDefault="00D06117" w:rsidP="00D06117">
      <w:pPr>
        <w:pStyle w:val="TextoNormal"/>
      </w:pPr>
    </w:p>
    <w:p w:rsidR="00D06117" w:rsidRDefault="00D06117" w:rsidP="00D06117">
      <w:pPr>
        <w:pStyle w:val="TextoNormal"/>
      </w:pPr>
      <w:r>
        <w:t>f) En relación con el art. 9, señala la Letrada del Parlamento de Cataluña que, atendiendo a su contenido, no es conforme con el orden constitucional y estatutario de competencias que se cierre el paso a su desarrollo normativo por las Comunidades Autónomas, sin perjuicio de las definiciones iniciales que deba fijar el legislador estatal. Defienden la competencia estatal exclusiva con apoyo en el art. 149.1.1 y 30 CE tanto el Abogado del Estado como el Letrado del Senado, afirmando el primero de ellos que la reserva al Estado resulta razonable, pues al recoger lo que ha de entenderse por formación profesional, debe corresponder al Estado la regulación de su desarrollo, enmarcado en la habilitación relativa a títulos académicos y profesionales.</w:t>
      </w:r>
    </w:p>
    <w:p w:rsidR="00D06117" w:rsidRDefault="00D06117" w:rsidP="00D06117">
      <w:pPr>
        <w:pStyle w:val="TextoNormal"/>
      </w:pPr>
    </w:p>
    <w:p w:rsidR="00D06117" w:rsidRDefault="00D06117" w:rsidP="00D06117">
      <w:pPr>
        <w:pStyle w:val="TextoNormal"/>
      </w:pPr>
      <w:r>
        <w:t>El art. 9 es uno de los preceptos demostrativos de la complejidad, desde el punto de vista competencial, que presenta la regulación contenida en la Ley Orgánica 5/2002 cuando acomete la empresa de establecer un sistema integral de formación profesional, ya que, tras definir ésta de modo genérico, refuerza esa definición de manera descriptiva, indicando que incluye las enseñanzas propias de la formación profesional inicial, las acciones de inserción y reinserción de los trabajadores, así como las orientadas a la formación continua en las empresas. En el presente contexto, nos interesa exclusivamente la formación profesional inicial o reglada, que se desarrolla en el ámbito del sistema educativo y que conduce a la obtención de un título, dato este último que no autoriza, sin más, a incardinar toda la materia en la competencia estatal sobre condiciones de obtención, expedición y homologación de títulos profesionales.</w:t>
      </w:r>
    </w:p>
    <w:p w:rsidR="00D06117" w:rsidRDefault="00D06117" w:rsidP="00D06117">
      <w:pPr>
        <w:pStyle w:val="TextoNormal"/>
      </w:pPr>
    </w:p>
    <w:p w:rsidR="00D06117" w:rsidRDefault="00D06117" w:rsidP="00D06117">
      <w:pPr>
        <w:pStyle w:val="TextoNormal"/>
      </w:pPr>
      <w:r>
        <w:t>Y es que, como venimos diciendo, la educación presenta diversos aspectos en cuya regulación deben participar necesariamente los niveles de gobierno estatal y autonómico (STC 134/1997, de 17 de julio, FJ 4), en cuanto se trata de una materia compartida entre el Estado y las Comunidades Autónomas (STC 6/1982, de 22 de febrero, FJ 3). Por esa razón, el Estado no se puede reservar, bajo la invocación de los títulos del art. 149.1.1 y 30 CE (este último en su primer inciso) toda la función normativa en relación con la formación profesional definida en el art. 9 de la Ley Orgánica 5/2002, en su modalidad inicial, que sería tanto como reservarse la íntegra regulación de la formación profesional reglada. El Estado podrá reservarse el establecimiento de las condiciones básicas que garanticen la igualdad de los españoles en el ejercicio de los derechos y el cumplimiento de los deberes constitucionales, que no le permite, sin embargo, establecer una regulación completa de la materia. También podrá reservarse la específica regulación que concierne a las condiciones de obtención, expedición y homologación de títulos académicos y profesionales y, finalmente, el establecimiento de la legislación básica de desarrollo del derecho a la educación consagrado en el art. 27 CE. Pero lo que no puede es acaparar todo el desarrollo de una materia al socaire de un título competencial específico, cercenando las posibilidades de intervención normativa de las Comunidades Autónomas, en ejercicio de sus legítimas competencias.</w:t>
      </w:r>
    </w:p>
    <w:p w:rsidR="00D06117" w:rsidRDefault="00D06117" w:rsidP="00D06117">
      <w:pPr>
        <w:pStyle w:val="TextoNormal"/>
      </w:pPr>
    </w:p>
    <w:p w:rsidR="00D06117" w:rsidRDefault="00D06117" w:rsidP="00D06117">
      <w:pPr>
        <w:pStyle w:val="TextoNormal"/>
      </w:pPr>
      <w:r>
        <w:lastRenderedPageBreak/>
        <w:t>Por consiguiente, también en cuanto al art. 9 hemos de concluir que la disposición final primera.2 de la ley incurre en vicio de inconstitucionalidad por desatención al orden constitucional y estatutario de distribución de competencias, al reservar al Estado el desarrollo exclusivo de aquel precepto.</w:t>
      </w:r>
    </w:p>
    <w:p w:rsidR="00D06117" w:rsidRDefault="00D06117" w:rsidP="00D06117">
      <w:pPr>
        <w:pStyle w:val="TextoNormal"/>
      </w:pPr>
    </w:p>
    <w:p w:rsidR="00D06117" w:rsidRDefault="00D06117" w:rsidP="00D06117">
      <w:pPr>
        <w:pStyle w:val="TextoNormal"/>
      </w:pPr>
      <w:r>
        <w:t>g) Respecto a la reserva para el desarrollo del art. 11.6, se pone de relieve en el recurso del Parlamento de Cataluña la contradicción existente entre el contenido de dicho precepto, que reconoce competencia a las Comunidades Autónomas, en su respectivo ámbito competencial, para adaptar reglamentariamente la composición y funciones de los centros integrados de formación profesional a sus características específicas, y la reserva en exclusiva al Estado de su desarrollo. El Letrado del Senado reconoce que, por su propio tenor, el precepto difícilmente puede ser desarrollado sólo por el Estado, ya que reconoce expresamente las competencias autonómicas. El Abogado del Estado defiende la reserva alegando que se limita a salvar el carácter básico del desarrollo normativo que el Estado pueda hacer sobre la composición y las funciones de los centros integrados de formación profesional, al objeto de garantizar la uniformidad de tales aspectos a nivel nacional.</w:t>
      </w:r>
    </w:p>
    <w:p w:rsidR="00D06117" w:rsidRDefault="00D06117" w:rsidP="00D06117">
      <w:pPr>
        <w:pStyle w:val="TextoNormal"/>
      </w:pPr>
    </w:p>
    <w:p w:rsidR="00D06117" w:rsidRDefault="00D06117" w:rsidP="00D06117">
      <w:pPr>
        <w:pStyle w:val="TextoNormal"/>
      </w:pPr>
      <w:r>
        <w:t>Tiene razón en su planteamiento la Letrada del Parlamento de Cataluña, pues la reserva al Estado del exclusivo desarrollo del art. 11.6 es contradictoria con el tenor de este precepto, según el cual, “[r]eglamentariamente, el Gobierno y los Consejos de Gobierno de las Comunidades Autónomas, en el ámbito de sus respectivas competencias, adaptarán la composición y funciones de los Centros Integrados de Formación Profesional a sus características específicas”. Resulta anómalo que un precepto dentro de la ley reconozca una competencia autonómica (competencia que se extiende a la creación, autorización, homologación y gestión de los centros) y que, posteriormente, al regular el desarrollo de la ley, una disposición final la niegue como consecuencia de la reserva exclusiva de su desarrollo al Estado, pero es indudablemente ésta la consecuencia a la que nos conduce la regla controvertida, sin que quepa encontrar otra explicación que resulte plausible desde el punto de vista constitucional. Así, no puede aceptarse el argumento articulado por el Abogado del Estado en defensa de esa reserva, porque la función que le asigna ya la cumple el apartado 1 del mismo art. 11 (que sí tiene la consideración de norma básica de desarrollo del art. 27 CE), al atribuir al Gobierno el establecimiento de los requisitos básicos que deberán reunir los centros (en general, incluidos, por tanto, los centros integrados) que impartan ofertas de formación profesional conducentes a la obtención de títulos de formación profesional y certificados de profesionalidad. Tampoco cabe entender que lo que se reserva al Estado es el exclusivo desarrollo de aquella parte del art. 11.6 que se refiere a los centros integrados de formación profesional que pertenezcan al ámbito de competencias estatal, puesto que ésta es una materia que no tiene cabida directamente en la competencia estatal del art. 149.1.30 CE referida a los títulos académicos y profesionales. Por consiguiente, no podemos sino concluir que la reserva que efectúa la disposición final primera, apartado 2, a favor del Estado incurre en vicio de inconstitucionalidad por cercenar las competencias autonómicas en la materia.</w:t>
      </w:r>
    </w:p>
    <w:p w:rsidR="00D06117" w:rsidRDefault="00D06117" w:rsidP="00D06117">
      <w:pPr>
        <w:pStyle w:val="TextoNormal"/>
      </w:pPr>
    </w:p>
    <w:p w:rsidR="00D06117" w:rsidRDefault="00D06117" w:rsidP="00D06117">
      <w:pPr>
        <w:pStyle w:val="TextoNormal"/>
      </w:pPr>
      <w:r>
        <w:t xml:space="preserve">h) La disposición adicional tercera es el último precepto cuya reserva al desarrollo exclusivo del Estado por la disposición final primera.2 se impugna por el Parlamento de Cataluña, arguyendo que no parece que el íntegro desarrollo normativo de las áreas prioritarias sea un elemento esencial para alcanzar la finalidad a que responden los títulos estatales, por lo que sólo debería ser norma básica; posición de la que discrepa el Abogado del Estado, para quien la definición de las áreas prioritarias en las ofertas formativas ha de ser objeto de </w:t>
      </w:r>
      <w:r>
        <w:lastRenderedPageBreak/>
        <w:t>desarrollo necesariamente por el Estado, como elemento definidor esencial de dichas ofertas, con el consiguiente encaje en el primer inciso del art. 149.1.30 CE. Mantiene una postura intermedia el Letrado del Senado, afirmando que la disposición sólo se refiere a lo que sea competencia exclusiva del Estado.</w:t>
      </w:r>
    </w:p>
    <w:p w:rsidR="00D06117" w:rsidRDefault="00D06117" w:rsidP="00D06117">
      <w:pPr>
        <w:pStyle w:val="TextoNormal"/>
      </w:pPr>
    </w:p>
    <w:p w:rsidR="00D06117" w:rsidRDefault="00D06117" w:rsidP="00D06117">
      <w:pPr>
        <w:pStyle w:val="TextoNormal"/>
      </w:pPr>
      <w:r>
        <w:t>Efectivamente, la disposición adicional tercera establece cuáles son las áreas prioritarias que habrán de incorporarse a las ofertas formativas financiadas con cargo a recursos públicos. Es decir, se refiere a áreas de conocimiento que, de manera prioritaria, han de incluirse en el contenido formativo de los títulos y los certificados de profesionalidad, ya que éstos son los que, según el art. 10.1 de la propia Ley Orgánica 5/2002, constituyen las ofertas de formación profesional referidas al catálogo nacional de cualificaciones profesionales. Siendo ello así, cabe pensar que es lógico que el desarrollo de esta previsión se reserve al Estado de manera exclusiva en virtud de su competencia para la regulación de las condiciones de obtención, expedición y homologación de títulos académicos y profesionales. Sin embargo, hemos de tener presente por un lado que, como ya hemos expuesto anteriormente, al Estado no le corresponde fijar íntegramente el contenido de las enseñanzas propias de la formación profesional, sino sólo los aspectos básicos del currículo que constituyen las enseñanzas mínimas, y, por otro, que las Comunidades Autónomas, en el ámbito de sus competencias, pueden ampliar los contenidos de los títulos de formación profesional, como la propia ley reconoce en su art. 10.2, y, en último término, que son las que han de incluir esos títulos en las correspondientes ofertas formativas que programen y desarrollen. Por esta razón, el claro mandato de la disposición adicional tercera está dirigido, ciertamente, al Estado, para que lo tenga en consideración a la hora de establecer, en ejercicio de su competencia ex art. 149.1.30, los diferentes títulos y certificados de profesionalidad y los aspectos básicos de su contenido, pero también lo está a las Comunidades Autónomas, para que se ajusten a esas premisas cuando establezcan el currículo de las enseñanzas, complementando los contenidos básicos de las enseñanzas mínimas, y programen y desarrollen las concretas acciones formativas en ejercicio de las competencias que les atribuyen los respectivos Estatutos de Autonomía en materia de educación. Así lo demuestra el hecho de que la norma extienda la regla a todas “las ofertas formativas financiadas con cargo a recursos públicos”, incluidas, por consiguiente, las financiadas por las Comunidades Autónomas.</w:t>
      </w:r>
    </w:p>
    <w:p w:rsidR="00D06117" w:rsidRDefault="00D06117" w:rsidP="00D06117">
      <w:pPr>
        <w:pStyle w:val="TextoNormal"/>
      </w:pPr>
    </w:p>
    <w:p w:rsidR="00D06117" w:rsidRDefault="00D06117" w:rsidP="00D06117">
      <w:pPr>
        <w:pStyle w:val="TextoNormal"/>
      </w:pPr>
      <w:r>
        <w:t>En atención a lo expuesto, debemos concluir que la disposición final primera, apartado 2, violenta el orden constitucional y estatutario de distribución de competencias, cuando reserva al Estado el desarrollo exclusivo de la disposición adicional tercera.</w:t>
      </w:r>
    </w:p>
    <w:p w:rsidR="00D06117" w:rsidRDefault="00D06117" w:rsidP="00D06117">
      <w:pPr>
        <w:pStyle w:val="TextoNormal"/>
      </w:pPr>
    </w:p>
    <w:p w:rsidR="00D06117" w:rsidRDefault="00D06117" w:rsidP="00D06117">
      <w:pPr>
        <w:pStyle w:val="TextoNormal"/>
      </w:pPr>
      <w:r w:rsidRPr="00D06117">
        <w:rPr>
          <w:rStyle w:val="NumeroAFNegritaCaracter"/>
        </w:rPr>
        <w:t>13</w:t>
      </w:r>
      <w:r>
        <w:t>. Finalmente, hemos de precisar que la declaración de inconstitucionalidad de la disposición final primera, apartado 2, párrafos primero y segundo, de la ley recurrida lo es por reservar en exclusiva al Estado la totalidad del desarrollo normativo de los preceptos analizados en el anterior fundamento jurídico, toda vez que al Estado sólo le corresponden aquellas actuaciones para las que esté constitucionalmente habilitado.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Estimar parcialmente los recursos de inconstitucionalidad acumulados núm. 4937-2002, promovido por el Gobierno de la Generalitat de Cataluña, y 5305-2002, interpuesto por el Parlamento de Cataluña, y, en su virtud:</w:t>
      </w:r>
    </w:p>
    <w:p w:rsidR="00D06117" w:rsidRDefault="00D06117" w:rsidP="00D06117">
      <w:pPr>
        <w:pStyle w:val="TextoNormal"/>
      </w:pPr>
    </w:p>
    <w:p w:rsidR="00D06117" w:rsidRDefault="00D06117" w:rsidP="00D06117">
      <w:pPr>
        <w:pStyle w:val="TextoNormal"/>
      </w:pPr>
      <w:r>
        <w:t>1º Declarar que es inconstitucional y nula la disposición final primera, apartado 2, párrafos primero y segundo, de la Ley Orgánica 5/2002, de 19 de junio, de las cualificaciones y de la formación profesional, en cuanto reserva al Estado el desarrollo exclusivo de los arts. 4.1 b) y c); 5.1; 6.3 y 4; 8.4; 9; y 11.6; y de la disposición adicional tercera.</w:t>
      </w:r>
    </w:p>
    <w:p w:rsidR="00D06117" w:rsidRDefault="00D06117" w:rsidP="00D06117">
      <w:pPr>
        <w:pStyle w:val="TextoNormal"/>
      </w:pPr>
    </w:p>
    <w:p w:rsidR="00D06117" w:rsidRDefault="00D06117" w:rsidP="00D06117">
      <w:pPr>
        <w:pStyle w:val="TextoNormal"/>
      </w:pPr>
      <w:r>
        <w:t>2º Desestimar los recursos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veinticuatro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5" w:name="SENTENCIA_2012_112"/>
      <w:r>
        <w:lastRenderedPageBreak/>
        <w:t>SENTENCIA 112/2012, de 24 de mayo de 2012</w:t>
      </w:r>
    </w:p>
    <w:bookmarkEnd w:id="11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ECLI:ES:TC:2012:112</w:t>
      </w:r>
    </w:p>
    <w:p w:rsidR="00D06117" w:rsidRDefault="00D06117" w:rsidP="00D06117">
      <w:pPr>
        <w:pStyle w:val="SntesisDescriptiva"/>
      </w:pPr>
    </w:p>
    <w:p w:rsidR="00D06117" w:rsidRDefault="00D06117" w:rsidP="00D06117">
      <w:pPr>
        <w:pStyle w:val="SntesisDescriptiva"/>
      </w:pPr>
      <w:r>
        <w:t>Conflicto positivo de competencia 3280-2006. Planteado por el Gobierno de la Nación respecto de sendas resoluciones de la Secretaría General Técnica de la Consejería de Transportes e Infraestructuras de la Comunidad de Madrid convocando concurso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w:t>
      </w:r>
    </w:p>
    <w:p w:rsidR="00D06117" w:rsidRDefault="00D06117" w:rsidP="00D06117">
      <w:pPr>
        <w:pStyle w:val="SntesisDescriptiva"/>
      </w:pPr>
    </w:p>
    <w:p w:rsidR="00D06117" w:rsidRDefault="00D06117" w:rsidP="00D06117">
      <w:pPr>
        <w:pStyle w:val="SntesisAnaltica"/>
      </w:pPr>
      <w:r>
        <w:t>Competencias sobre carreteras: actuaciones autonómicas que vulneran las competencias estatales al versar sobre vías integradas en la red de carreteras del Estado.</w:t>
      </w:r>
    </w:p>
    <w:p w:rsidR="00D06117" w:rsidRDefault="00D06117" w:rsidP="00D06117">
      <w:pPr>
        <w:pStyle w:val="SntesisAnaltica"/>
      </w:pPr>
    </w:p>
    <w:p w:rsidR="00D06117" w:rsidRDefault="00D06117" w:rsidP="00D06117">
      <w:pPr>
        <w:pStyle w:val="Extracto"/>
      </w:pPr>
      <w:r>
        <w:t>1.</w:t>
      </w:r>
      <w:r>
        <w:tab/>
        <w:t>Vulneran las competencias del Estado la convocatoria de la Comunidad de Madrid para la adjudicación de contratos de consultoría y asistencia para la construcción y explotación de carreteras que, pese a discurrir en su totalidad dentro del territorio de la Comunidad de Madrid, están integradas en la red de carreteras del Estado [FJ 5].</w:t>
      </w:r>
    </w:p>
    <w:p w:rsidR="00D06117" w:rsidRDefault="00D06117" w:rsidP="00D06117">
      <w:pPr>
        <w:pStyle w:val="Extracto"/>
      </w:pPr>
    </w:p>
    <w:p w:rsidR="00D06117" w:rsidRDefault="00D06117" w:rsidP="00D06117">
      <w:pPr>
        <w:pStyle w:val="Extracto"/>
      </w:pPr>
      <w:r>
        <w:t>2.</w:t>
      </w:r>
      <w:r>
        <w:tab/>
        <w:t>La competencia del Estado para legislar en materia de carreteras deriva del título “obras públicas de interés general o cuya realización afecte a más de una Comunidad Autónoma” contemplado en el art. 149.1.24 CE, al constituir las carreteras una de las modalidades de obra pública más características (STC 65/1998) [FJ 2].</w:t>
      </w:r>
    </w:p>
    <w:p w:rsidR="00D06117" w:rsidRDefault="00D06117" w:rsidP="00D06117">
      <w:pPr>
        <w:pStyle w:val="Extracto"/>
      </w:pPr>
    </w:p>
    <w:p w:rsidR="00D06117" w:rsidRDefault="00D06117" w:rsidP="00D06117">
      <w:pPr>
        <w:pStyle w:val="Extracto"/>
      </w:pPr>
      <w:r>
        <w:t>3.</w:t>
      </w:r>
      <w:r>
        <w:tab/>
        <w:t>La distribución de competencias en materia de carreteras no aparece exclusivamente presidida por el criterio territorial, sino que éste se conjuga con el criterio del interés general, correspondiendo al Estado determinar en qué supuestos concurren las circunstancias que permiten calificar a una carretera como de interés general e integrarla en la Red de Carreteras del Estado (STC 65/1998) [FJ 2].</w:t>
      </w:r>
    </w:p>
    <w:p w:rsidR="00D06117" w:rsidRDefault="00D06117" w:rsidP="00D06117">
      <w:pPr>
        <w:pStyle w:val="Extracto"/>
      </w:pPr>
    </w:p>
    <w:p w:rsidR="00D06117" w:rsidRDefault="00D06117" w:rsidP="00D06117">
      <w:pPr>
        <w:pStyle w:val="Extracto"/>
      </w:pPr>
      <w:r>
        <w:t>4.</w:t>
      </w:r>
      <w:r>
        <w:tab/>
        <w:t>Resulta conforme con el orden constitucional y estatutarios de competencias en materia de carreteras una distribución que venga a reconocer la competencia exclusiva de las Comunidades Autónomas sobre todas aquellas carreteras que pasen o discurran por su territorio, superando el criterio rígido de la integridad del itinerario, a excepción de las integradas en la Red de Carreteras del Estado por razones de interés general (STC 65/1998) [FJ 2].</w:t>
      </w:r>
    </w:p>
    <w:p w:rsidR="00D06117" w:rsidRDefault="00D06117" w:rsidP="00D06117">
      <w:pPr>
        <w:pStyle w:val="Extracto"/>
      </w:pPr>
    </w:p>
    <w:p w:rsidR="00D06117" w:rsidRDefault="00D06117" w:rsidP="00D06117">
      <w:pPr>
        <w:pStyle w:val="Extracto"/>
      </w:pPr>
      <w:r>
        <w:t>5.</w:t>
      </w:r>
      <w:r>
        <w:tab/>
        <w:t>Doctrina sobre sistema de distribución de competencias en materia de carreteras (SSTC 65/1998, 132/1998) [FJ 2].</w:t>
      </w:r>
    </w:p>
    <w:p w:rsidR="00D06117" w:rsidRDefault="00D06117" w:rsidP="00D06117">
      <w:pPr>
        <w:pStyle w:val="Extracto"/>
      </w:pPr>
    </w:p>
    <w:p w:rsidR="00D06117" w:rsidRDefault="00D06117" w:rsidP="00D06117">
      <w:pPr>
        <w:pStyle w:val="Extracto"/>
      </w:pPr>
      <w:r>
        <w:t>6.</w:t>
      </w:r>
      <w:r>
        <w:tab/>
        <w:t xml:space="preserve">Se irán añadiendo a la red de carreteras estatal, sobre las que el Estado ostenta plena competencia, aquellas nuevas que construya el Estado, siempre que estén </w:t>
      </w:r>
      <w:r>
        <w:lastRenderedPageBreak/>
        <w:t>integradas en un itinerario de interés general o cuya función en el sistema de transporte afecten a más de una Comunidad Autónoma, y aquellas que cambien de titularidad por acuerdo con las Administraciones públicas interesadas [FFJJ 3, 4].</w:t>
      </w:r>
    </w:p>
    <w:p w:rsidR="00D06117" w:rsidRDefault="00D06117" w:rsidP="00D06117">
      <w:pPr>
        <w:pStyle w:val="Extracto"/>
      </w:pPr>
    </w:p>
    <w:p w:rsidR="00D06117" w:rsidRDefault="00D06117" w:rsidP="00D06117">
      <w:pPr>
        <w:pStyle w:val="Extracto"/>
      </w:pPr>
      <w:r>
        <w:t>7.</w:t>
      </w:r>
      <w:r>
        <w:tab/>
        <w:t>Infringe el ámbito de competencias del Estado el cierre por la Comunidad de Madrid de la M-50, ya que si el itinerario de dicha carretera se consideró de interés general al construirla, y ello permitió calificarla como de competencia estatal, debemos entender que ese mismo interés general existe cuando se trata de ampliar o de modificar su trazado [FJ 4].</w:t>
      </w:r>
    </w:p>
    <w:p w:rsidR="00D06117" w:rsidRDefault="00D06117" w:rsidP="00D06117">
      <w:pPr>
        <w:pStyle w:val="Extracto"/>
      </w:pPr>
    </w:p>
    <w:p w:rsidR="00D06117" w:rsidRDefault="00D06117" w:rsidP="00D06117">
      <w:pPr>
        <w:pStyle w:val="Extracto"/>
      </w:pPr>
      <w:r>
        <w:t>8.</w:t>
      </w:r>
      <w:r>
        <w:tab/>
        <w:t>Habiendo sido incluida la M-50 en la red de carreteras del Estado y en tanto no cambie su titularidad, ésta debe considerarse carretera estatal, sin que a ello afecte el que el cierre definitivo de esta autovía de circunvalación de Madrid no figure expresamente en el nuevo plan estratégico de infraestructuras y transportes, pues esto no puede llevarnos a la conclusión de que el mismo no forma parte de un itinerario de interés general, criterio que, unido al puramente territorial, permite calificar a una carretera como de competencia estatal [FJ 4].</w:t>
      </w:r>
    </w:p>
    <w:p w:rsidR="00D06117" w:rsidRDefault="00D06117" w:rsidP="00D06117">
      <w:pPr>
        <w:pStyle w:val="Extracto"/>
      </w:pPr>
    </w:p>
    <w:p w:rsidR="00D06117" w:rsidRDefault="00D06117" w:rsidP="00D06117">
      <w:pPr>
        <w:pStyle w:val="Extracto"/>
      </w:pPr>
      <w:r>
        <w:t>9.</w:t>
      </w:r>
      <w:r>
        <w:tab/>
        <w:t>El desinterés que el Estado pueda mostrar en la construcción a medio plazo del proyecto de cierre de la M-50 no puede ser invocado por la Comunidad Autónoma para arrogarse una competencia que no le pertenece, ya que las fórmulas de colaboración entre las Comunidades Autónomas y el Estado requiere el mutuo respeto de las respectivas competencias, que son irrenunciables, en el marco establecido por la Constitución y los Estatutos de Autonomía (STC 168/2009) [FJ 5].</w:t>
      </w:r>
    </w:p>
    <w:p w:rsidR="00D06117" w:rsidRDefault="00D06117" w:rsidP="00D06117">
      <w:pPr>
        <w:pStyle w:val="Extracto"/>
      </w:pPr>
    </w:p>
    <w:p w:rsidR="00D06117" w:rsidRDefault="00D06117" w:rsidP="00D06117">
      <w:pPr>
        <w:pStyle w:val="Extracto"/>
      </w:pPr>
      <w:r>
        <w:t>10.</w:t>
      </w:r>
      <w:r>
        <w:tab/>
        <w:t>La R-1 es una carretera de interés general al ser una variante de la Autovía del Norte A-1, que, a través de las Comunidades Autónomas de Madrid, Castilla y León y País Vasco, une Madrid con la frontera francesa, conectando los principales núcleos de población del territorio del Estado mediante una red continua que soporta regularmente un tráfico de largo recorrido, razón por la cual si la “nueva carretera R-1” coincide con una parte del itinerario de la carretera estatal R-1, es el Estado el competente para elaborar los estudios previos para la construcción de dicha autopista [FJ 5].</w:t>
      </w:r>
    </w:p>
    <w:p w:rsidR="00D06117" w:rsidRDefault="00D06117" w:rsidP="00D06117">
      <w:pPr>
        <w:pStyle w:val="Extracto"/>
      </w:pPr>
    </w:p>
    <w:p w:rsidR="00D06117" w:rsidRDefault="00D06117" w:rsidP="00D06117">
      <w:pPr>
        <w:pStyle w:val="Extracto"/>
      </w:pPr>
      <w:r>
        <w:t>11.</w:t>
      </w:r>
      <w:r>
        <w:tab/>
        <w:t>La titularidad de una Administración sobre una carretera determina su competencia no sólo para su construcción sino para su planificación, proyección, construcción, conservación, financiación, uso y explotación (STC 168/2009)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3280-2006, promovido por el Gobierno de la Nación, representado por el Abogado del Estado, respecto de sendas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Ha comparecido en la representación que legalmente ostenta, el Letrado de la Comunidad de Madrid.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23 de marzo de 2006 se registra en el Tribunal un escrito del Abogado del Estado mediante el cual, en la representación que legalmente ostenta, formaliza conflicto positivo de competencia contra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w:t>
      </w:r>
    </w:p>
    <w:p w:rsidR="00D06117" w:rsidRDefault="00D06117" w:rsidP="00D06117">
      <w:pPr>
        <w:pStyle w:val="TextoNormal"/>
      </w:pPr>
    </w:p>
    <w:p w:rsidR="00D06117" w:rsidRDefault="00D06117" w:rsidP="00D06117">
      <w:pPr>
        <w:pStyle w:val="TextoNormal"/>
      </w:pPr>
      <w:r>
        <w:t>En dicho escrito se sostiene lo que seguidamente, de modo resumido, se indica:</w:t>
      </w:r>
    </w:p>
    <w:p w:rsidR="00D06117" w:rsidRDefault="00D06117" w:rsidP="00D06117">
      <w:pPr>
        <w:pStyle w:val="TextoNormal"/>
      </w:pPr>
    </w:p>
    <w:p w:rsidR="00D06117" w:rsidRDefault="00D06117" w:rsidP="00D06117">
      <w:pPr>
        <w:pStyle w:val="TextoNormal"/>
      </w:pPr>
      <w:r>
        <w:t xml:space="preserve">a) Tras una breve referencia a las actuaciones que con carácter previo a la interposición del conflicto ha llevado a cabo el Gobierno, de acuerdo con lo dispuesto en los arts. 62 y 63 de la Ley Orgánica del Tribunal Constitucional (LOTC), en concreto, a la formulación del requerimiento de incompetencia, a la contestación del Gobierno de la Comunidad de Madrid y a la decisión de aquél de interponer el conflicto con expresa invocación del art. 161.2 CE, el Abogado del Estado se refiere al objeto del mismo, que se plantea respecto de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publicadas en el “Boletín Oficial de la Comunidad de Madrid” el 24 de noviembre de 2005. Además, señala que el día 23 de febrero de 2006 han sido publicadas en el </w:t>
      </w:r>
      <w:r>
        <w:lastRenderedPageBreak/>
        <w:t>“Boletín Oficial de la Comunidad de Madrid”, dos resoluciones de 9 de febrero de 2006, del Secretario General Técnico de la Consejería de Transportes e Infraestructuras de la Comunidad de Madrid, haciendo ya públicas las adjudicaciones de los contratos de “nueva carretera R-1. Tramo: El Molar M-12. Y cierre Norte de la M-50. Tramo: M-607-A-1” y de “Anteproyecto de construcción y explotación de la obra: Cierre Norte de la M-50. Tramo: A-6 a M-607”.</w:t>
      </w:r>
    </w:p>
    <w:p w:rsidR="00D06117" w:rsidRDefault="00D06117" w:rsidP="00D06117">
      <w:pPr>
        <w:pStyle w:val="TextoNormal"/>
      </w:pPr>
    </w:p>
    <w:p w:rsidR="00D06117" w:rsidRDefault="00D06117" w:rsidP="00D06117">
      <w:pPr>
        <w:pStyle w:val="TextoNormal"/>
      </w:pPr>
      <w:r>
        <w:t>b) Entrando ya en la fundamentación jurídica, el Abogado del Estado señala que la competencia del Estado para legislar en materia de carreteras deriva del título “obras públicas de interés general” contemplado en el art. 149.1.24 CE, al constituir las carreteras una variante específica de las obras públicas.</w:t>
      </w:r>
    </w:p>
    <w:p w:rsidR="00D06117" w:rsidRDefault="00D06117" w:rsidP="00D06117">
      <w:pPr>
        <w:pStyle w:val="TextoNormal"/>
      </w:pPr>
    </w:p>
    <w:p w:rsidR="00D06117" w:rsidRDefault="00D06117" w:rsidP="00D06117">
      <w:pPr>
        <w:pStyle w:val="TextoNormal"/>
      </w:pPr>
      <w:r>
        <w:t>Afirma el Abogado del Estado que la Ley 25/1988, de 29 de julio, de carreteras, considera las carreteras como una modalidad de obra pública concebida de forma integral, y transcribe una serie de preceptos de dicha ley (arts. 1, 4.1, 4.2, 4.3) de los que obtiene la conclusión de que el Estado puede acometer la construcción de una nueva carretera sin necesidad de que preceda una norma con rango formal de ley que previamente califique a la carretera de obra pública de interés general. Considera que el interés general de una obra pública es una calificación legal, entendiendo por tal la calificación que tiene base en una ley y la base legal para la calificación como obra pública de interés general de las nuevas carreteras estatales resulta de los apartados 2.2 y 3 del art. 4 de la Ley de carreteras.</w:t>
      </w:r>
    </w:p>
    <w:p w:rsidR="00D06117" w:rsidRDefault="00D06117" w:rsidP="00D06117">
      <w:pPr>
        <w:pStyle w:val="TextoNormal"/>
      </w:pPr>
    </w:p>
    <w:p w:rsidR="00D06117" w:rsidRDefault="00D06117" w:rsidP="00D06117">
      <w:pPr>
        <w:pStyle w:val="TextoNormal"/>
      </w:pPr>
      <w:r>
        <w:t>Recuerda el Abogado del Estado que las obras públicas como título que habilita al Estado en materia de carreteras ha sido enjuiciado por este Tribunal en la STC 65/1998, de 18 de marzo, en la que se concluyó que el título competencial que específicamente ampara la competencia del Estado para sostener una red propia de carreteras es el previsto en el art. 149.1.24 CE, que reserva al Estado la competencia exclusiva sobre las “obras públicas de interés general o cuya realización afecte a más de una Comunidad Autónoma”. El art. 149.1.24 CE constituye un título general de competencias que comprende todas las obras públicas salvo las especialmente singularizadas en la lista del art. 149.1 CE razón por la cual las carreteras quedan incluidas en el mismo y además desde una perspectiva integral no limitada a su construcción. Ello significa, a juicio del Abogado del Estado, que del art. 148.1.15 CE no cabe deducir que el art. 149.1.24 CE no es aplicable a las carreteras y, en general, que las materias reservadas al Estado por el art. 149.1 CE no han de ser interpretadas en función de las contenidas en el art. 148.1 CE. De esta manera, a su juicio, la distribución de competencias en materia de carreteras no está presidida, al menos de forma exclusiva, por el principio de territorialidad. Este principio ha de ser modulado por los criterios derivados del art. 149.1.24 CE, de modo que viene a complementarse con el criterio del interés general.</w:t>
      </w:r>
    </w:p>
    <w:p w:rsidR="00D06117" w:rsidRDefault="00D06117" w:rsidP="00D06117">
      <w:pPr>
        <w:pStyle w:val="TextoNormal"/>
      </w:pPr>
    </w:p>
    <w:p w:rsidR="00D06117" w:rsidRDefault="00D06117" w:rsidP="00D06117">
      <w:pPr>
        <w:pStyle w:val="TextoNormal"/>
      </w:pPr>
      <w:r>
        <w:t>Continúa el Abogado del Estado señalando la importancia de emplear el concepto de red para mostrar la interconexión y la reducción a la unidad de las infraestructuras estatales. Sobre este concepto recuerda que la STC 118/1996 en su fundamento jurídico 34 contiene una interesante doctrina sobre redes de transporte que revela la importancia que la noción de red puede tener sobre el estricto criterio territorial de reparto de competencias, tanto respecto a las infraestructuras como en relación con la actividad que sobre ella se desenvuelve.</w:t>
      </w:r>
    </w:p>
    <w:p w:rsidR="00D06117" w:rsidRDefault="00D06117" w:rsidP="00D06117">
      <w:pPr>
        <w:pStyle w:val="TextoNormal"/>
      </w:pPr>
    </w:p>
    <w:p w:rsidR="00D06117" w:rsidRDefault="00D06117" w:rsidP="00D06117">
      <w:pPr>
        <w:pStyle w:val="TextoNormal"/>
      </w:pPr>
      <w:r>
        <w:lastRenderedPageBreak/>
        <w:t>En consonancia con el tenor literal de los preceptos constitucionales y estatutarios y con la jurisprudencia constitucional en la materia, resulta obvio para el Abogado del Estado que la atribución competencial en el supuesto de las redes viarias de transporte viene delimitada por la concurrencia de dos criterios, el territorio y el interés, de manera que el hecho de que una carretera discurra exclusivamente por el territorio de una Comunidad Autónoma no determina, por sí solo, que la carretera sea autonómica, sino que será estatal si el Estado decide considerarla integrada en una red de interés general. Resulta con ello que la competencia para hacer los estudios y proyectos previos a la construcción de una carretera se halla ligada a la competencia para construirla, ostentando así competencia el Estado para estudiar, planear, proyectar y construir tanto las carreteras cuya función de transporte afecte a más de una Comunidad Autónoma como aquellas otras que, aun sin exceder del ámbito territorial de una Comunidad Autónoma, se considera que están integradas en un itinerario de interés general.</w:t>
      </w:r>
    </w:p>
    <w:p w:rsidR="00D06117" w:rsidRDefault="00D06117" w:rsidP="00D06117">
      <w:pPr>
        <w:pStyle w:val="TextoNormal"/>
      </w:pPr>
    </w:p>
    <w:p w:rsidR="00D06117" w:rsidRDefault="00D06117" w:rsidP="00D06117">
      <w:pPr>
        <w:pStyle w:val="TextoNormal"/>
      </w:pPr>
      <w:r>
        <w:t>Una vez expuesto el régimen competencial en materia de carreteras, el Abogado del Estado pasa a referirse de modo concreto a cada una de las resoluciones impugnadas.</w:t>
      </w:r>
    </w:p>
    <w:p w:rsidR="00D06117" w:rsidRDefault="00D06117" w:rsidP="00D06117">
      <w:pPr>
        <w:pStyle w:val="TextoNormal"/>
      </w:pPr>
    </w:p>
    <w:p w:rsidR="00D06117" w:rsidRDefault="00D06117" w:rsidP="00D06117">
      <w:pPr>
        <w:pStyle w:val="TextoNormal"/>
      </w:pPr>
      <w:r>
        <w:t>En primer lugar, por lo que se refiere a la resolución de 17 de noviembre de 2005 por la que se hace pública la convocatoria del concurso para la adjudicación del contrato de consultoría y asistencia del anteproyecto de construcción y explotación de la obra “cierre norte de la M-50. Tramo: A-6 a M-607”, así como en cuanto a la segunda de las resoluciones impugnadas, de igual fecha, exclusivamente en lo que se refiere a uno de los tramos de la misma vía de la llamada “nueva carretera R-1”, concretamente el también referido al cierre norte de la M-50 pero, en este caso, entre la M-607 y la A-1, señala que el convenio suscrito por el Ministerio de Obras Públicas, Transporte y Medio Ambiente y la Comunidad de Madrid el día 29 de junio de 1994 y cuyo objeto consiste en asegurar la colaboración, apoyo y coordinación entre ambas Administraciones para el desarrollo de la red viaria en el territorio de la Comunidad de Madrid, constituye un punto de partida realmente ilustrativo en esta disputa competencial.</w:t>
      </w:r>
    </w:p>
    <w:p w:rsidR="00D06117" w:rsidRDefault="00D06117" w:rsidP="00D06117">
      <w:pPr>
        <w:pStyle w:val="TextoNormal"/>
      </w:pPr>
    </w:p>
    <w:p w:rsidR="00D06117" w:rsidRDefault="00D06117" w:rsidP="00D06117">
      <w:pPr>
        <w:pStyle w:val="TextoNormal"/>
      </w:pPr>
      <w:r>
        <w:t>Así, señala que en el anexo I del citado convenio se enumeran una relación de obras a realizar en la red de carreteras en la Comunidad de Madrid, indicándose la Administración a la que corresponde su ejecución y financiación, figurando entre ellas, como “actuación de rango estratégico, financiación y ejecución a cargo del Ministerio de Obras Públicas, Transporte y Medio Ambiente” las obras de construcción de la M-50, tramo entre la N-II y la M-606. Indica que, con posterioridad, la Orden del Ministerio de Fomento de 26 de mayo de 1997, acordó excepcionalmente la ejecución de determinadas actuaciones en materia de carreteras por razones de reconocida urgencia e interés público debidamente fundadas. Fue en virtud de esta orden cuando se declaró urgente y de excepcional interés público la construcción del cierre de la autovía de circunvalación de Madrid M-50.</w:t>
      </w:r>
    </w:p>
    <w:p w:rsidR="00D06117" w:rsidRDefault="00D06117" w:rsidP="00D06117">
      <w:pPr>
        <w:pStyle w:val="TextoNormal"/>
      </w:pPr>
    </w:p>
    <w:p w:rsidR="00D06117" w:rsidRDefault="00D06117" w:rsidP="00D06117">
      <w:pPr>
        <w:pStyle w:val="TextoNormal"/>
      </w:pPr>
      <w:r>
        <w:t>Asimismo también se refiere al Real Decreto 1884/1999, de 3 de diciembre, por el que se aprueba el Acuerdo de 23 de septiembre de 1999 adoptado entre la Comunidad de Madrid y el Ministerio de Fomento sobre cambio de titularidad de dos tramos de la autovía de circunvalación M-50 construidos por la Comunidad de Madrid a favor de la Administración del Estado y, en concreto, a su exponendo cuarto.</w:t>
      </w:r>
    </w:p>
    <w:p w:rsidR="00D06117" w:rsidRDefault="00D06117" w:rsidP="00D06117">
      <w:pPr>
        <w:pStyle w:val="TextoNormal"/>
      </w:pPr>
    </w:p>
    <w:p w:rsidR="00D06117" w:rsidRDefault="00D06117" w:rsidP="00D06117">
      <w:pPr>
        <w:pStyle w:val="TextoNormal"/>
      </w:pPr>
      <w:r>
        <w:lastRenderedPageBreak/>
        <w:t>Por otra parte, recuerda que, en cumplimiento del trámite de información pública abierto por la Comunidad de Madrid sobre el estudio de viabilidad de la carretera “cierre norte de la M-50. Tramo: A-6 a M-607”, las Direcciones Generales de Carreteras y de Planificación y Coordinación Territorial del Ministerio de Fomento emitieron informe conjunto de fecha 21 de octubre de 2005, en el que se concluye que en su concepción general, el estudio de viabilidad es prematuro y falto de características que deberían ser esenciales en su contenido. Añade que sobre esta carretera también se pronunció el dictamen del Consejo de Estado de 15 de febrero de 2006.</w:t>
      </w:r>
    </w:p>
    <w:p w:rsidR="00D06117" w:rsidRDefault="00D06117" w:rsidP="00D06117">
      <w:pPr>
        <w:pStyle w:val="TextoNormal"/>
      </w:pPr>
    </w:p>
    <w:p w:rsidR="00D06117" w:rsidRDefault="00D06117" w:rsidP="00D06117">
      <w:pPr>
        <w:pStyle w:val="TextoNormal"/>
      </w:pPr>
      <w:r>
        <w:t>Aduce el Abogado del Estado que en tanto que el interés general de una carretera como obra pública viene a definirse por el interés general del itinerario a que sirve, resulta obligado precisar que la M-50 constituye una vía de circunvalación de Madrid que ha sido construida y puesta en servicio por el Ministerio de Fomento, hallándose la justificación básica de su interés general en su función de conexión de todas las carreteras de largo recorrido que confluyen en Madrid desde la periferia peninsular. Tal funcionalidad permite dar continuidad al tráfico de largo recorrido entre, por ejemplo, Cádiz y la frontera francesa, lo que conlleva ineludiblemente que la M-50 también forma parte de la red de largo recorrido, y se traduce necesariamente en la competencia del Estado para, no sólo su construcción, sino la elaboración de los correspondientes estudios y proyectos previos. Lo señalado, a juicio del Abogado del Estado, acredita la concurrencia en el itinerario de la M-50 de la circunstancia señalada en el apartado 3.4 del art. 4 de la Ley de carreteras.</w:t>
      </w:r>
    </w:p>
    <w:p w:rsidR="00D06117" w:rsidRDefault="00D06117" w:rsidP="00D06117">
      <w:pPr>
        <w:pStyle w:val="TextoNormal"/>
      </w:pPr>
    </w:p>
    <w:p w:rsidR="00D06117" w:rsidRDefault="00D06117" w:rsidP="00D06117">
      <w:pPr>
        <w:pStyle w:val="TextoNormal"/>
      </w:pPr>
      <w:r>
        <w:t>En segundo lugar, en cuanto a la “nueva carretera R-1”, concretamente, su tramo no integrado en la M-50, entre la M-12 y El Molar, cuyo anteproyecto de construcción y explotación ha sido igualmente objeto de licitación publicándose la correspondiente convocatoria en la segunda de las resoluciones impugnadas, no constituye, a su entender, ni por su naturaleza, itinerario o funcionalidad, algo distinto a la R-1.</w:t>
      </w:r>
    </w:p>
    <w:p w:rsidR="00D06117" w:rsidRDefault="00D06117" w:rsidP="00D06117">
      <w:pPr>
        <w:pStyle w:val="TextoNormal"/>
      </w:pPr>
    </w:p>
    <w:p w:rsidR="00D06117" w:rsidRDefault="00D06117" w:rsidP="00D06117">
      <w:pPr>
        <w:pStyle w:val="TextoNormal"/>
      </w:pPr>
      <w:r>
        <w:t>Respecto de la autopista R-1 destaca que con fecha 24 de octubre de 2005 las Direcciones Generales de Carreteras y de Planificación y Coordinación Territorial del Ministerio de Fomento informaron desfavorablemente el estudio de viabilidad de la “nueva carretera R-1. Tramo: El Molar-M-12 y cierre Norte de la M-50. Tramo: M-607 a A-1”. En este informe se deja constancia expresa de que la autopista variante de la carretera N-I Tramo: M-40-Santo Tomé del Puerto, es una carretera de interés general y que está integrada en la red de carreteras del Estado. Asimismo, indica que sobre esta carretera se pronunció también el Consejo de Estado en su dictamen de 15 de febrero de 2006 y que, posteriormente, la Dirección General de Carreteras por resolución de 7 de diciembre de 2005 vino a aprobar provisionalmente el tramo I de la autopista R-1 del estudio informativo “Variante de la carretera N-1: Madrid-Santo Tomé del Puerto” de fecha 7 de diciembre de 2005, recomendando como alternativa más favorable en esta primera fase, la denominada este 2, opción 2, autopista de peaje de nuevo trazado entre el enlace del eje aeropuerto con la M-110 y la R-2 y El Molar.</w:t>
      </w:r>
    </w:p>
    <w:p w:rsidR="00D06117" w:rsidRDefault="00D06117" w:rsidP="00D06117">
      <w:pPr>
        <w:pStyle w:val="TextoNormal"/>
      </w:pPr>
    </w:p>
    <w:p w:rsidR="00D06117" w:rsidRDefault="00D06117" w:rsidP="00D06117">
      <w:pPr>
        <w:pStyle w:val="TextoNormal"/>
      </w:pPr>
      <w:r>
        <w:t xml:space="preserve">Así pues, a su entender, la nueva carretera que pretende construir la Comunidad de Madrid coincide sustancialmente con el proyecto tramitado por el Estado que discurre por el territorio de las Comunidades Autónomas de Madrid y de Castilla y León y que ha sido debidamente valorado como la opción más favorable al interés general. Aduce que la consideración del itinerario de la R-1 como de interés general resulta de la concurrencia en el </w:t>
      </w:r>
      <w:r>
        <w:lastRenderedPageBreak/>
        <w:t>mismo de las circunstancias previstas en los apartados 3.1 y 3.4 de la Ley de carreteras y que la autopista R-1 reúne las mismas condiciones técnicas y funcionales que las autopistas R-2 (Madrid-Guadalajara), R-3 (Madrid-Arganda del Rey), R-4 (Madrid-Ocaña) y R-5 (Madrid-Navalcarnero), todas ellas puestas en servicio por el Ministerio de Fomento, no habiéndose nunca reclamado su titularidad por parte de la Comunidad de Madrid.</w:t>
      </w:r>
    </w:p>
    <w:p w:rsidR="00D06117" w:rsidRDefault="00D06117" w:rsidP="00D06117">
      <w:pPr>
        <w:pStyle w:val="TextoNormal"/>
      </w:pPr>
    </w:p>
    <w:p w:rsidR="00D06117" w:rsidRDefault="00D06117" w:rsidP="00D06117">
      <w:pPr>
        <w:pStyle w:val="TextoNormal"/>
      </w:pPr>
      <w:r>
        <w:t>A continuación el Abogado del Estado hace referencia al escrito del Consejo de Gobierno de la Comunidad de Madrid de contestación al requerimiento formulado por el Gobierno de la Nación, en el que se califica de prematuro dicho requerimiento de incompetencia. Frente a este reproche, el Abogado del Estado considera que basta atender a lo declarado por este Tribunal en el fundamento jurídico 5 de la STC 132/1996 en el que se afirma la virtualidad de un proyecto de construcción de una carretera como objeto de la vindicatio potestatis y niega carácter cautelar al planteamiento del conflicto que se pretende. Señala que en el presente conflicto competencial puede concluirse de igual modo que en la sentencia referida, afirmando que las resoluciones impugnadas, en tanto publican las convocatorias de los concursos para adjudicar los contratos de consultoría y asistencia de los anteproyectos de construcción y explotación de las carreteras en cuestión, constituyen verdadero puntum saliens del debate competencial y ostentan virtualidad bastante para erigirse en criterio de imputación del proceso conflictual, dada la inequívoca extralimitación competencial que ha rodeado su proceso de emanación.</w:t>
      </w:r>
    </w:p>
    <w:p w:rsidR="00D06117" w:rsidRDefault="00D06117" w:rsidP="00D06117">
      <w:pPr>
        <w:pStyle w:val="TextoNormal"/>
      </w:pPr>
    </w:p>
    <w:p w:rsidR="00D06117" w:rsidRDefault="00D06117" w:rsidP="00D06117">
      <w:pPr>
        <w:pStyle w:val="TextoNormal"/>
      </w:pPr>
      <w:r>
        <w:t>A su juicio, la idoneidad técnica, en el sentido del art. 62 LOTC, para iniciar este procedimiento conflictual de las resoluciones de la Secretaría General Técnica de la Consejería de Transportes e Infraestructuras de 17 de noviembre de 2005, viene a reforzarse tras haberse llevado a cabo las adjudicaciones de los contratos de “nueva carretera R-1. Tramo: El Molar-M-12. Y cierre Norte de la M-50 Tramo: M-607-A-1” y de “Anteproyecto de construcción y explotación de la obra: Cierre Norte de la M-50. Tramo: A-6 a M-607”, adjudicaciones hechas públicas por dos resoluciones de dicha secretaría general técnica de 9 de febrero de 2006.</w:t>
      </w:r>
    </w:p>
    <w:p w:rsidR="00D06117" w:rsidRDefault="00D06117" w:rsidP="00D06117">
      <w:pPr>
        <w:pStyle w:val="TextoNormal"/>
      </w:pPr>
    </w:p>
    <w:p w:rsidR="00D06117" w:rsidRDefault="00D06117" w:rsidP="00D06117">
      <w:pPr>
        <w:pStyle w:val="TextoNormal"/>
      </w:pPr>
      <w:r>
        <w:t>En cuanto a la alegación de la Comunidad de Madrid sobre inexistencia de motivación del interés general concurrente en las carreteras traídas a conflicto, así como sobre el desinterés que, a juicio de la Comunidad de Madrid, muestra el Estado por sacar a pronta licitación la ejecución de dichas carreteras, recuerda el Abogado del Estado que nunca un no ejercicio de la Administración estatal debe ser aprovechado por la autonómica para suplantar una intervención del Estado al amparo de su competencia sobre obras públicas de interés general.</w:t>
      </w:r>
    </w:p>
    <w:p w:rsidR="00D06117" w:rsidRDefault="00D06117" w:rsidP="00D06117">
      <w:pPr>
        <w:pStyle w:val="TextoNormal"/>
      </w:pPr>
    </w:p>
    <w:p w:rsidR="00D06117" w:rsidRDefault="00D06117" w:rsidP="00D06117">
      <w:pPr>
        <w:pStyle w:val="TextoNormal"/>
      </w:pPr>
      <w:r>
        <w:t>A su juicio, tampoco resulta admisible la calificación de inhábil que el escrito de contestación hace del Real Decreto 1231/2003 en orden a definir el interés general del Estado sobre determinadas carreteras. La propia literalidad tanto de la denominación, como de la exposición de motivos y del artículo único de dicho real decreto resulta, a su entender, suficiente para desmentir las afirmaciones vertidas al respecto por la parte demandada.</w:t>
      </w:r>
    </w:p>
    <w:p w:rsidR="00D06117" w:rsidRDefault="00D06117" w:rsidP="00D06117">
      <w:pPr>
        <w:pStyle w:val="TextoNormal"/>
      </w:pPr>
    </w:p>
    <w:p w:rsidR="00D06117" w:rsidRDefault="00D06117" w:rsidP="00D06117">
      <w:pPr>
        <w:pStyle w:val="TextoNormal"/>
      </w:pPr>
      <w:r>
        <w:t xml:space="preserve">Asimismo señala que si bien lo dispuesto en los reales decretos de transferencia de servicios no atribuyen ni reconocen competencias sino que traspasan servicios, funciones e instituciones, sí pueden tener cierto valor interpretativo, por lo que nada obsta para atender a lo dispuesto en el Real Decreto 946/1984, de 11 de abril, por el que se aprueba el traspaso </w:t>
      </w:r>
      <w:r>
        <w:lastRenderedPageBreak/>
        <w:t>de funciones y servicios del Estado a la Comunidad de Madrid en materia de carreteras, cuyas previsiones no se han visto en ningún momento alteradas.</w:t>
      </w:r>
    </w:p>
    <w:p w:rsidR="00D06117" w:rsidRDefault="00D06117" w:rsidP="00D06117">
      <w:pPr>
        <w:pStyle w:val="TextoNormal"/>
      </w:pPr>
    </w:p>
    <w:p w:rsidR="00D06117" w:rsidRDefault="00D06117" w:rsidP="00D06117">
      <w:pPr>
        <w:pStyle w:val="TextoNormal"/>
      </w:pPr>
      <w:r>
        <w:t>Finalmente pone de relieve que la vulneración del orden constitucional y estatutario de competencias que denuncia pudiera haberse evitado mediante la concertación de los oportunos convenios entre el Estado y la Comunidad Autónoma, o mediante la celebración de una nueva adenda al convenio ya suscrito, que hubieran vertebrado el necesario principio de cooperación que se halla presente en la sustancia del Estado autonómico, convenios que, en rigor, debieran haber precedido a cualquier actuación unilateral con incidencia en la esfera competencial del Estado, modulando las exigencias del principio de territorialidad y flexibilizando el rigor excluyente que es inmanente a éste.</w:t>
      </w:r>
    </w:p>
    <w:p w:rsidR="00D06117" w:rsidRDefault="00D06117" w:rsidP="00D06117">
      <w:pPr>
        <w:pStyle w:val="TextoNormal"/>
      </w:pPr>
    </w:p>
    <w:p w:rsidR="00D06117" w:rsidRDefault="00D06117" w:rsidP="00D06117">
      <w:pPr>
        <w:pStyle w:val="TextoNormal"/>
      </w:pPr>
      <w:r>
        <w:t>En el escrito se invoca el art. 161.2 CE, solicitándose que se suspenda la aplicación de las resoluciones recurridas.</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la Sección Cuarta de 4 de abril de 2006 se admitió a trámite el conflicto positivo de competencia y se acordó dar traslado de la demanda y documentos presentados al Gobierno de la Comunidad de Madrid, al objeto de que en el plazo de veinte días pueda realizar las alegaciones correspondientes. Se tuvo por invocado por el Gobierno de la Nación el art. 161.2 CE, lo que, conforme con el art. 64.2 LOTC, produce la suspensión de la vigencia y aplicación de las resoluciones impugnadas desde el día 23 de marzo de 2006, fecha de interposición del conflicto. También se acordó comunicar la incoación del conflicto a la Sala de lo Contencioso-Administrativo del Tribunal Superior de Justicia de Madrid, por si estuvieran impugnadas o se impugnaren las citadas resoluciones, en cuyo caso se suspenderá el curso del proceso hasta la decisión del conflicto, según dispone el art. 61.2 LOTC. Por último se acordó publicar la incoación del conflicto en el “Boletín Oficial del Estado” y en el “Boletín Oficial de la Comunidad de Madrid”.</w:t>
      </w:r>
    </w:p>
    <w:p w:rsidR="00D06117" w:rsidRDefault="00D06117" w:rsidP="00D06117">
      <w:pPr>
        <w:pStyle w:val="TextoNormal"/>
      </w:pPr>
    </w:p>
    <w:p w:rsidR="00D06117" w:rsidRDefault="00D06117" w:rsidP="00D06117">
      <w:pPr>
        <w:pStyle w:val="TextoNormal"/>
      </w:pPr>
      <w:r w:rsidRPr="00D06117">
        <w:rPr>
          <w:rStyle w:val="NumeroAFNegritaCaracter"/>
        </w:rPr>
        <w:t>3</w:t>
      </w:r>
      <w:r>
        <w:t>. El Letrado de la Comunidad de Madrid presentó sus alegaciones en el Registro General del Tribunal el día 16 de mayo de 2006. Comienza analizando el sistema de distribución de competencias en materia de carreteras y, en concreto, la jurisprudencia constitucional sobre la materia con especial alusión a la STC 65/1998. A continuación hace alusión a la delimitación del concepto de interés general. Recuerda que la doctrina constitucional establece que el interés general es un concepto relativo, que no tiene un sentido unívoco, y que viene a complementar el criterio puramente territorial del art. 148.1.5 CE, pero sin excluirlo esencialmente. A su juicio, esta doctrina constitucional así como la propia relatividad del concepto de interés general significan que el Estado está obligado a justificar de forma expresa y pormenorizada la existencia y límites de ese supuesto interés en que, como sucede en el presente supuesto, unos enlaces entre carreteras de titulares diferentes que han de discurrir íntegramente por el territorio de una sola Comunidad Autónoma deban tener una consideración general, es decir, supracomunitaria.</w:t>
      </w:r>
    </w:p>
    <w:p w:rsidR="00D06117" w:rsidRDefault="00D06117" w:rsidP="00D06117">
      <w:pPr>
        <w:pStyle w:val="TextoNormal"/>
      </w:pPr>
    </w:p>
    <w:p w:rsidR="00D06117" w:rsidRDefault="00D06117" w:rsidP="00D06117">
      <w:pPr>
        <w:pStyle w:val="TextoNormal"/>
      </w:pPr>
      <w:r>
        <w:t xml:space="preserve">Considera el Letrado de la Comunidad de Madrid que entender que la R-1 o el tramo de la M-50 son proyectos que enlazan Comunidades Autónomas o conectan los principales núcleos de población formando una red continua de tráfico de largo recorrido podría ser tanto como decir que cualquier carretera de nueva construcción y cierta entidad que conectase con alguna carretera estatal debería ser estatal, lo cual no corresponde ni a la finalidad de la ley, ni a la propia realidad. Es decir, que en numerosos casos existen trazados similares </w:t>
      </w:r>
      <w:r>
        <w:lastRenderedPageBreak/>
        <w:t>con distintas titularidades: en Madrid la M-40 y la actual M-50 son estatales mientras que la M-45 con un trazado paralelo es autonómica. Por ello, señala que los itinerarios previstos del “cierre de la M-50 y R-1” no bastan por sí solos para definir tales carreteras como de competencia estatal. Para el Letrado de la Comunidad de Madrid la continuidad y conexión de los distintos itinerarios de interés general del Estado que dan lugar a las finalidades de integración, continuidad y conexión de la red de carreteras, no excluyen la existencia de carreteras de las mismas características de competencia autonómica. Añade, además, que la Administración estatal parte de una errónea concepción de lo que debe entenderse por red continua de largo recorrido, al considerar que, dado que la M-50 y la N-1 son carreteras integrantes de la red de carreteras estatales, toda actuación que las afecte debe considerarse también integrante dentro de sus competencias sobre carreteras estatales.</w:t>
      </w:r>
    </w:p>
    <w:p w:rsidR="00D06117" w:rsidRDefault="00D06117" w:rsidP="00D06117">
      <w:pPr>
        <w:pStyle w:val="TextoNormal"/>
      </w:pPr>
    </w:p>
    <w:p w:rsidR="00D06117" w:rsidRDefault="00D06117" w:rsidP="00D06117">
      <w:pPr>
        <w:pStyle w:val="TextoNormal"/>
      </w:pPr>
      <w:r>
        <w:t>A continuación el Letrado de la Comunidad de Madrid hace alusión a la afirmación de la Administración estatal acerca de que tanto los anteproyectos de construcción y explotación de las carreteras R-1 y cierre norte de la M-50 se encuentran definidos como itinerarios de interés general a través del Real Decreto 1231/2003, de 26 de septiembre, y forman parte por tanto de la red de carreteras del Estado. Señala que los reales decretos de modificación de nomenclatura y catálogos de autopistas y autovías no alcanzarían a definir la red de carreteras del Estado “a futuro”, pues tal función corresponde a los planes de carreteras, siendo la función de aquéllos de actualización de la red de carreteras del Estado modificada por alguno de los criterios del art. 4.2 de la Ley de carreteras. Por ello, a su juicio, los sucesivos reales decretos incorporan a la red del Estado las autovías y autopistas “construidas”. Así, añade, el Real Decreto 1231/2003 es manifiestamente inhábil para definir el interés general del Estado sobre determinadas carreteras, ya que su finalidad no es modificar el catálogo de las carreteras del Estado (y, por lo mismo, fijar o definir el interés general del Estado a efectos competenciales), sino únicamente adaptar el nombre de dichas carreteras estatales ya existentes a las nuevas realidades de carreteras surgidas con posterioridad y, por tanto, no puede servir de título para definir las competencias del Estado frente a la Comunidad de Madrid.</w:t>
      </w:r>
    </w:p>
    <w:p w:rsidR="00D06117" w:rsidRDefault="00D06117" w:rsidP="00D06117">
      <w:pPr>
        <w:pStyle w:val="TextoNormal"/>
      </w:pPr>
    </w:p>
    <w:p w:rsidR="00D06117" w:rsidRDefault="00D06117" w:rsidP="00D06117">
      <w:pPr>
        <w:pStyle w:val="TextoNormal"/>
      </w:pPr>
      <w:r>
        <w:t>Seguidamente el Letrado de la Comunidad de Madrid trata de justificar que no existe invasión o menoscabo de la competencia estatal, pues, a su juicio, para que el conflicto promovido por el Gobierno de la Nación pudiera prosperar sería necesario acreditar que el ejercicio de las competencias propias de la Comunidad de Madrid (la construcción de dos carreteras intracomunitarias) produciría una efectiva invasión, menoscabo o condicionamiento del ámbito de competencias del Estado. Y, por el contrario, habrá de rechazarse la invasión competencial si se comprueba que la planificación, proyección y construcción de las carreteras autonómicas de referencia no impide ni condiciona que el Estado ejercite sus propias competencias en cuanto a la planificación, proyección y construcción de carreteras intercomunitarias o integradas en un itinerario de interés general.</w:t>
      </w:r>
    </w:p>
    <w:p w:rsidR="00D06117" w:rsidRDefault="00D06117" w:rsidP="00D06117">
      <w:pPr>
        <w:pStyle w:val="TextoNormal"/>
      </w:pPr>
    </w:p>
    <w:p w:rsidR="00D06117" w:rsidRDefault="00D06117" w:rsidP="00D06117">
      <w:pPr>
        <w:pStyle w:val="TextoNormal"/>
      </w:pPr>
      <w:r>
        <w:t xml:space="preserve">Para el Letrado de la Comunidad de Madrid los actos cuestionados por la Administración estatal no alteran, impiden o menoscaban actuación alguna del Estado en materia de carreteras y, por tanto, no existe lesión real del ámbito competencial estatal ante la falta de interés del Estado en la realización de los proyectos. Señala que, la interpretación de la Ley de carreteras que ha llevado a cabo el Tribunal Constitucional en la STC 65/1998 según la cual, solamente la transferencia o construcción de una carretera ampara su inclusión en la red estatal, ha sido asumida en los reales decretos referidos, que han ido definiéndola, y sólo el </w:t>
      </w:r>
      <w:r>
        <w:lastRenderedPageBreak/>
        <w:t>Real Decreto 1231/2003 incorpora como excepción las carreteras que se habían planificado en el plan de infraestructuras del transporte 2000-2007 y por tanto cuya ejecución estaba programada por el Estado. Añade que la inclusión de las carreteras sujetas a la nueva denominación en el real decreto lo son porque, o estaban construidas, o estaban previstas en el plan de infraestructuras del transporte 2000-2007, de ahí que, al haber decaído éste a partir del nuevo documento de planificación denominado plan estatal de infraestructuras del transporte 2005-2020, que no contempla ninguno de estos dos proyectos, carece de sustento jurídico su inclusión en el Real Decreto 1231/2003. Por tanto, a su entender, al no estar previstos ni el cierre de la M-50 ni la R-1 en los nuevos planes de infraestructuras reflejados en el plan estatal de infraestructuras del transporte, decae el interés del Estado en la ejecución de dichas actuaciones y la declaración de interés general de las mismas. Y en apoyo de esta conclusión cita las SSTC 132/1996, de 22 de julio; 108/1996, de 13 de junio; y 74/1992, de 14 de mayo. Afirma que en la medida en que el interés estatal en determinados proyectos ha decaído, no se produce una lesión efectiva de competencia alguna del Estado o acto autonómico que impida o dificulte su ejercicio, sencillamente porque tal ejercicio no existe. Por el contrario, señala, la Comunidad de Madrid, en el legítimo ejercicio de su competencia, trata de desarrollar un proyecto de interés general para los ciudadanos.</w:t>
      </w:r>
    </w:p>
    <w:p w:rsidR="00D06117" w:rsidRDefault="00D06117" w:rsidP="00D06117">
      <w:pPr>
        <w:pStyle w:val="TextoNormal"/>
      </w:pPr>
    </w:p>
    <w:p w:rsidR="00D06117" w:rsidRDefault="00D06117" w:rsidP="00D06117">
      <w:pPr>
        <w:pStyle w:val="TextoNormal"/>
      </w:pPr>
      <w:r>
        <w:t>Por lo que se refiere a la cuestión planteada en el escrito promotor del conflicto acerca de la titularidad de la actual M-50, considerando que siendo estatal la Comunidad Autónoma no puede proyectar y construir ningún tramo que la afecte, entiende el Letrado de la Comunidad de Madrid que el planteamiento es erróneo pues siendo cierto que los tramos de la carretera denominada M-50 actualmente existentes forman parte de un itinerario de interés general y pertenecen a la red de carreteras del Estado, ello no quiere decir en modo alguno que la Comunidad de Madrid no pueda construir carreteras que conecten la M-50 con otras carreteras autonómicas por terrenos sobre los que ninguna actuación pretende llevar a cabo el Estado.</w:t>
      </w:r>
    </w:p>
    <w:p w:rsidR="00D06117" w:rsidRDefault="00D06117" w:rsidP="00D06117">
      <w:pPr>
        <w:pStyle w:val="TextoNormal"/>
      </w:pPr>
    </w:p>
    <w:p w:rsidR="00D06117" w:rsidRDefault="00D06117" w:rsidP="00D06117">
      <w:pPr>
        <w:pStyle w:val="TextoNormal"/>
      </w:pPr>
      <w:r>
        <w:t>Continúa el Letrado de la Comunidad de Madrid recordando que el Estado ha reconocido la competencia de la Comunidad de Madrid en otras ocasiones y así, la atribución de competencias a la Comunidad de Madrid en materia de carreteras intracomunitarias ha sido reconocida expresamente por el Estado en varias ocasiones, ya desde el Real Decreto 946/1984, de 11 de abril, por el que se aprueba el traspaso de funciones y servicios del Estado a la Comunidad de Madrid en materia de carreteras. Señala que conforme a este real decreto, es evidente que mientras la carretera no forme parte de los itinerarios de interés general del Estado y discurra íntegramente dentro del territorio de la Comunidad de Madrid, ésta tiene la competencia exclusiva sobre ella y esta competencia exclusiva alcanza a los enlaces de las carreteras autonómicas con las estatales. Y a continuación indica dos supuestos concretos en los que se ha producido un traspaso de funciones: el primero, con el Real Decreto 1884/1999, de 3 de diciembre, que establece el cambio de titularidad de determinados tramos de la carretera o autovía de circunvalación M-50 y, el segundo, con el Real Decreto 419/2003, de 4 de abril, por el que se aprueba el cambio de titularidad de la carretera de la Comunidad de Madrid denominada M-110 a favor de la Administración del Estado.</w:t>
      </w:r>
    </w:p>
    <w:p w:rsidR="00D06117" w:rsidRDefault="00D06117" w:rsidP="00D06117">
      <w:pPr>
        <w:pStyle w:val="TextoNormal"/>
      </w:pPr>
    </w:p>
    <w:p w:rsidR="00D06117" w:rsidRDefault="00D06117" w:rsidP="00D06117">
      <w:pPr>
        <w:pStyle w:val="TextoNormal"/>
      </w:pPr>
      <w:r>
        <w:t xml:space="preserve">Por último, el Letrado de la Comunidad de Madrid recuerda que este Tribunal Constitucional tiene establecido que las relaciones entre el Estado y las Comunidades Autónomas deben regirse, entre otros, por los principios de lealtad y de colaboración, y conforme a estos </w:t>
      </w:r>
      <w:r>
        <w:lastRenderedPageBreak/>
        <w:t>dos principios constitucionales y legales, la Comunidad de Madrid se ha dirigido en múltiples ocasiones a la Administración del Estado a fin de solucionar el problema de los enlaces entre las actuales carreteras de titularidad estatal A-1, A-6 y M-12 y la carretera autonómica M-607. Ante la falta de respuesta expresa del Estado y ante el desinterés formal de éste por los tramos de carretera de enlace, la Comunidad de Madrid inició los actos preparatorios de estudio que pudieran ser útiles para las referidas carreteras, los cuales han sido objeto del requerimiento de incompetencia. Considera el Letrado de la Comunidad de Madrid que existiendo un interés general coincidente entre el Estado y la Comunidad Autónoma no resulta acorde con el principio de lealtad constitucional, ante la pasividad del Estado en el efectivo ejercicio de la competencia, impedir a la Administración autonómica la construcción de las obras previstas. Indica que, en virtud de este interés conjunto, ya en otras ocasiones la Comunidad de Madrid ha realizado la construcción de carreteras estatales con su posterior traspaso al Estado, sin que entonces se planteasen dudas sobre la posibilidad de tales actuaciones autonómicas, que se entendieron incardinadas dentro del marco de competencias establecido y habida cuenta del interés coincidente entre el general que encarna el Estado y el de la Comunidad Autónoma.</w:t>
      </w:r>
    </w:p>
    <w:p w:rsidR="00D06117" w:rsidRDefault="00D06117" w:rsidP="00D06117">
      <w:pPr>
        <w:pStyle w:val="TextoNormal"/>
      </w:pPr>
    </w:p>
    <w:p w:rsidR="00D06117" w:rsidRDefault="00D06117" w:rsidP="00D06117">
      <w:pPr>
        <w:pStyle w:val="TextoNormal"/>
      </w:pPr>
      <w:r>
        <w:t>Por todo lo expuesto concluye solicitando que se dicte sentencia que declare la constitucionalidad de los actos recurridos y por “otrosí” señala que en cumplimiento de los arts. 161.2 CE y 64.2 LOTC, se ha procedido a la suspensión de los actos recurridos, mediante sendas resoluciones de 8 de mayo de 2006 por las que se acuerda la suspensión temporal total de los contratos de consultoría y asistencia objeto del presente conflicto.</w:t>
      </w:r>
    </w:p>
    <w:p w:rsidR="00D06117" w:rsidRDefault="00D06117" w:rsidP="00D06117">
      <w:pPr>
        <w:pStyle w:val="TextoNormal"/>
      </w:pPr>
    </w:p>
    <w:p w:rsidR="00D06117" w:rsidRDefault="00D06117" w:rsidP="00D06117">
      <w:pPr>
        <w:pStyle w:val="TextoNormal"/>
      </w:pPr>
      <w:r w:rsidRPr="00D06117">
        <w:rPr>
          <w:rStyle w:val="NumeroAFNegritaCaracter"/>
        </w:rPr>
        <w:t>4</w:t>
      </w:r>
      <w:r>
        <w:t>. La Sección Cuarta de este Tribunal, por providencia de 16 de junio de 2006, acordó oír a las partes personadas en el proceso para que, estando próximo a finalizar el plazo de cinco meses previsto en el art. 65.2 LOTC desde que se produjo la suspensión de las normas impugnadas, aquéllas se manifiesten acerca de su mantenimiento o levantamiento.</w:t>
      </w:r>
    </w:p>
    <w:p w:rsidR="00D06117" w:rsidRDefault="00D06117" w:rsidP="00D06117">
      <w:pPr>
        <w:pStyle w:val="TextoNormal"/>
      </w:pPr>
    </w:p>
    <w:p w:rsidR="00D06117" w:rsidRDefault="00D06117" w:rsidP="00D06117">
      <w:pPr>
        <w:pStyle w:val="TextoNormal"/>
      </w:pPr>
      <w:r>
        <w:t>El Abogado del Estado, mediante escrito registrado el día 26 de junio de 2006, solicitó el mantenimiento de la suspensión. El Letrado de la Comunidad de Madrid se dirigió al Tribunal el día 26 de junio de 2006 y solicitó que se levantara la suspensión de los artículos impugnados. Finalmente, el Pleno del Tribunal acordó, mediante Auto de 18 de julio de 2006, levantar la medida cautelar sobre las resoluciones en su día suspendidas en su aplicación.</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22 de mayo de 2012, se señaló para la deliberación y votación de la presente Sentencia el día 24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Gobierno de la Nación frente 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w:t>
      </w:r>
      <w:r>
        <w:lastRenderedPageBreak/>
        <w:t>50. Tramo: A-6 a M-607” y del anteproyecto de construcción y explotación de la “nueva carretera R-1. Tramo: El Molar/M-12 y cierre Norte de la M-50. Tramo: 607/A-1”, publicadas en el “Boletín Oficial de la Comunidad de Madrid” núm. 280, de 24 de noviembre de 2005.</w:t>
      </w:r>
    </w:p>
    <w:p w:rsidR="00D06117" w:rsidRDefault="00D06117" w:rsidP="00D06117">
      <w:pPr>
        <w:pStyle w:val="TextoNormal"/>
      </w:pPr>
    </w:p>
    <w:p w:rsidR="00D06117" w:rsidRDefault="00D06117" w:rsidP="00D06117">
      <w:pPr>
        <w:pStyle w:val="TextoNormal"/>
      </w:pPr>
      <w:r>
        <w:t>El Gobierno de la Nación justifica su competencia en relación con todas las actuaciones relativas a las carreteras M-50 y R-1 en que dichas vías, no obstante discurrir en su totalidad dentro del territorio de la Comunidad de Madrid, están integradas en la red de carreteras del Estado por mor de lo dispuesto en el art. 4 de la Ley 25/1988, de 29 de julio de carreteras, y en el Real Decreto 1231/2003, de 26 de septiembre, por el que se modifica la nomenclatura y el catálogo de las autopistas y autovías de la red de carreteras del Estado, cuyo anexo II las incluye expresamente dentro de dicho catálogo.</w:t>
      </w:r>
    </w:p>
    <w:p w:rsidR="00D06117" w:rsidRDefault="00D06117" w:rsidP="00D06117">
      <w:pPr>
        <w:pStyle w:val="TextoNormal"/>
      </w:pPr>
    </w:p>
    <w:p w:rsidR="00D06117" w:rsidRDefault="00D06117" w:rsidP="00D06117">
      <w:pPr>
        <w:pStyle w:val="TextoNormal"/>
      </w:pPr>
      <w:r>
        <w:t>Por su parte, a juicio de la Comunidad de Madrid, las carreteras mencionadas son de su competencia exclusiva dado que su itinerario discurre íntegramente dentro de este territorio, siendo, también, la realización de dichas infraestructuras, de interés autonómico. Asimismo considera que el Real Decreto 1231/2003, de 26 de septiembre, por el que se modifica la nomenclatura y el catálogo de las autopistas y autovías de la red de carreteras del Estado no puede servir de título para definir las competencias del Estado frente a la Comunidad de Madrid, pues la mencionada norma no introduce cambios en la red de carreteras del Estado, sino en el nombre de ciertas carreteras prexistentes. Señala que los reales decretos de modificación de nomenclatura y catálogos de autopistas y autovías no alcanzan a definir la red de carreteras del Estado “a futuro”, pues tal función corresponde a los planes de carreteras, siendo la función de aquéllos de actualización de la red de carreteras del Estado modificada por alguno de los criterios del art. 4.2 de la Ley de carreteras.</w:t>
      </w:r>
    </w:p>
    <w:p w:rsidR="00D06117" w:rsidRDefault="00D06117" w:rsidP="00D06117">
      <w:pPr>
        <w:pStyle w:val="TextoNormal"/>
      </w:pPr>
    </w:p>
    <w:p w:rsidR="00D06117" w:rsidRDefault="00D06117" w:rsidP="00D06117">
      <w:pPr>
        <w:pStyle w:val="TextoNormal"/>
      </w:pPr>
      <w:r w:rsidRPr="00D06117">
        <w:rPr>
          <w:rStyle w:val="NumeroAFNegritaCaracter"/>
        </w:rPr>
        <w:t>2</w:t>
      </w:r>
      <w:r>
        <w:t>. El conflicto positivo de competencia planteado por el Gobierno de la Nación debe enmarcarse en el sistema constitucional y estatutario de distribución de competencias en materia de carreteras. En relación con este marco competencial, es preciso recordar, que el art. 148.1.5 CE establece que las Comunidades Autónomas podrán asumir competencias en materia de “ferrocarriles y carreteras cuyo itinerario se desarrolle íntegramente en el territorio de la Comunidad Autónoma y, en los mismos términos, el transporte desarrollados por estos medios o por cable”.</w:t>
      </w:r>
    </w:p>
    <w:p w:rsidR="00D06117" w:rsidRDefault="00D06117" w:rsidP="00D06117">
      <w:pPr>
        <w:pStyle w:val="TextoNormal"/>
      </w:pPr>
    </w:p>
    <w:p w:rsidR="00D06117" w:rsidRDefault="00D06117" w:rsidP="00D06117">
      <w:pPr>
        <w:pStyle w:val="TextoNormal"/>
      </w:pPr>
      <w:r>
        <w:t xml:space="preserve">De otro lado, como reconocimos en la STC 65/1998, de 18 de marzo (FJ 8), la competencia del Estado para legislar en materia de carreteras deriva del título “obras públicas de interés general o cuya realización afecte a más de una Comunidad Autónoma” contemplado en el art. 149.1.24 CE, al constituir las carreteras una de las modalidades de obra pública más características. La distribución de competencias en materia de carreteras no aparece, en consecuencia, exclusivamente presidida por el criterio territorial, sino que éste se conjuga con el criterio del interés general. Así, “la concreción de cuáles sean las carreteras de ‘interés general’ corresponde, en principio, al Estado, sin perjuicio del ulterior control de este Tribunal”; y “puesto que el constituyente no ha precisado qué deba entenderse por obras públicas de ‘interés general’, sin que pueda darse a la expresión un sentido unívoco, los órganos estatales (y muy singularmente el legislador) disponen de un margen de libertad para determinar en qué supuestos concurren las circunstancias que permiten calificar a una carretera como de interés general e integrarla en la Red de Carreteras del Estado” (FJ 10). De esta manera, “el criterio del ‘interés general’ viene a complementar al puramente territorial, </w:t>
      </w:r>
      <w:r>
        <w:lastRenderedPageBreak/>
        <w:t>sin excluirlo esencialmente, pero añadiendo al mismo una dimensión cualitativa que permite atender a la relevancia de las carreteras en su función de infraestructuras del transporte y las comunicaciones terrestres (esto es, a la trascendencia de los itinerarios del tráfico o transporte que se efectúa sobre las mismas), introduciendo, así, una mayor racionalidad en el reparto de competencias en esta materia …. No cabe duda, pues, de que resulta conforme con el orden constitucional y estatutarios de competencias en materia de carreteras, una distribución que venga a reconocer la competencia exclusiva de las Comunidades Autónomas sobre todas aquellas carreteras que pasen o discurran por su territorio (superando el criterio rígido de la integridad del itinerario), a excepción de las integradas en la Red de Carreteras del Estado por razones de interés general.” (FJ 11).</w:t>
      </w:r>
    </w:p>
    <w:p w:rsidR="00D06117" w:rsidRDefault="00D06117" w:rsidP="00D06117">
      <w:pPr>
        <w:pStyle w:val="TextoNormal"/>
      </w:pPr>
    </w:p>
    <w:p w:rsidR="00D06117" w:rsidRDefault="00D06117" w:rsidP="00D06117">
      <w:pPr>
        <w:pStyle w:val="TextoNormal"/>
      </w:pPr>
      <w:r>
        <w:t>Así, del mismo modo que es posible, de forma excepcional, que carreteras con un itinerario íntegramente autonómico sean declaradas de interés general y, en consecuencia se integren en la red de carreteras del Estado, la simple circunstancia de que el itinerario atraviese más de una Comunidad Autónoma no determina por sí sola la incorporación de dicha carretera a la red de carreteras del Estado (FJ 11).</w:t>
      </w:r>
    </w:p>
    <w:p w:rsidR="00D06117" w:rsidRDefault="00D06117" w:rsidP="00D06117">
      <w:pPr>
        <w:pStyle w:val="TextoNormal"/>
      </w:pPr>
    </w:p>
    <w:p w:rsidR="00D06117" w:rsidRDefault="00D06117" w:rsidP="00D06117">
      <w:pPr>
        <w:pStyle w:val="TextoNormal"/>
      </w:pPr>
      <w:r>
        <w:t>Las carreteras, “en cuanto vías de comunicación y transporte, no se proyectan ni construyen de espaldas a las ya existentes, sino asegurando la conexión y el enlace de unas con otras, que es lo que provoca la imagen de red o de redes. Nada obliga, pues, en el momento de planificar, proyectar y construir una nueva carretera a efectuar una consideración aislada de su itinerario o trazado, sin tener en cuenta su eventual integración en otro más amplio, que es lo que permite atender adecuadamente a los aspectos funcionales y cualitativos determinantes de su interés general (a los itinerarios del tráfico o transporte que se verifica a través de las mismas) y consiguiente incorporación a la Red de Carreteras del Estado” (STC 65/1998, FJ 12).</w:t>
      </w:r>
    </w:p>
    <w:p w:rsidR="00D06117" w:rsidRDefault="00D06117" w:rsidP="00D06117">
      <w:pPr>
        <w:pStyle w:val="TextoNormal"/>
      </w:pPr>
    </w:p>
    <w:p w:rsidR="00D06117" w:rsidRDefault="00D06117" w:rsidP="00D06117">
      <w:pPr>
        <w:pStyle w:val="TextoNormal"/>
      </w:pPr>
      <w:r>
        <w:t xml:space="preserve">A la cuestión de la red de carreteras del Estado nos hemos referido también en la STC 132/1998, de 18 de junio, en la que resolvimos el recurso de inconstitucionalidad interpuesto contra la Ley 2/1989, de 30 de mayo, reguladora del plan general de carreteras del País Vasco. Esta Sentencia precisa el concepto de red con referencia a las carreteras, afirmando que “no son, por lo tanto, realidades físicas aisladas sino que, por definición, forman un entramado continuo de redes interconectadas sin solución de continuidad que constituye un sistema viario, y que permite la comunicación por este medio físico entre las distintas partes del territorio nacional y más allá de las fronteras del mismo. Ello implica la necesaria existencia de un sistema de comunicaciones dotado de una racionalidad general que satisfaga las necesidades e intereses que integran el territorio nacional. En consecuencia, se establece una exigencia última en la planificación y construcción de esas vías de dominio y uso público, que se concreta en la materialización de una comunicación viaria, esto es, la posibilidad de intercomunicación física, al menos, a lo largo y ancho de toda España (STC 65/1998, FJ 11)” (FJ 3). Entre otros aspectos, en dicha Sentencia examinamos también las menciones, contenidas en el anexo de la citada Ley 2/1989, de las autopistas A-1, A-8 y A-68 y afirmamos en su fundamento jurídico 12, con cita de nuevo de la STC 65/1998, que, “todas las partes en el presente proceso reconocen que las autopistas A-1, A-8 y A-68 forman actualmente parte del catálogo de carreteras de la red de interés general del Estado, y que en la actualidad su titular es el Estado, que ostenta plena competencia sobre ellas. En consecuencia, según lo previsto en la Ley 25/1988, de 29 de julio, de carreteras, seguirán sujetas a la potestad de las instituciones del Estado mientras no se modifique la red estatal de carreteras </w:t>
      </w:r>
      <w:r>
        <w:lastRenderedPageBreak/>
        <w:t>por el procedimiento previsto en dicha Ley general, sin que a tal efecto sea relevante el hecho de su régimen concesional (STC 65/1998, FFJJ 4, 11 y 12)”.</w:t>
      </w:r>
    </w:p>
    <w:p w:rsidR="00D06117" w:rsidRDefault="00D06117" w:rsidP="00D06117">
      <w:pPr>
        <w:pStyle w:val="TextoNormal"/>
      </w:pPr>
    </w:p>
    <w:p w:rsidR="00D06117" w:rsidRDefault="00D06117" w:rsidP="00D06117">
      <w:pPr>
        <w:pStyle w:val="TextoNormal"/>
      </w:pPr>
      <w:r w:rsidRPr="00D06117">
        <w:rPr>
          <w:rStyle w:val="NumeroAFNegritaCaracter"/>
        </w:rPr>
        <w:t>3</w:t>
      </w:r>
      <w:r>
        <w:t>. Antes de entrar a conocer el fondo del asunto que se nos plantea procede que hagamos referencia a la normativa estatal y autonómica madrileña en materia de carreteras. Al respecto, debemos partir de la Ley 25/1988, de 29 de julio, de carreteras. Conforme a su art. 1, la ley tiene por objeto la regulación de la planificación, proyección, construcción, conservación, financiación, uso y explotación de las carreteras estatales. El art. 4.1 define a las carreteras estatales como “las integradas en un itinerario de interés general o cuya función en el sistema de transporte afecte a más de una Comunidad Autónoma”. El interés general de la carretera se concreta, así, por el interés general del itinerario a que sirve. Las carreteras señaladas constituyen, según el art. 4.2, la red de carreteras del Estado, que podrá modificarse mediante real decreto por cambio de titularidad de carreteras existentes en virtud de acuerdo mutuo con las Administraciones públicas interesadas o por la construcción por el Estado de nuevas carreteras integradas en un itinerario de interés general o cuya función en el sistema de transporte afecte a más de una Comunidad Autónoma. Cuando se trata de la construcción de nuevas carreteras, se considera que éstas quedan integradas en un itinerario de interés general, y son, por tanto, de competencia estatal, cuando concurran alguna de las siguientes circunstancias enumeradas en el art. 4.3: 1) Formar parte de los principales itinerarios de tráfico internacional, incluidos en los correspondientes convenios; 2) constituir el acceso a un puerto o aeropuerto de interés general; 3) servir de acceso a los principales pasos fronterizos; 4) enlazar las Comunidades Autónomas, conectando los principales núcleos de población del territorio del Estado de manera que formen una red continua que soporte regularmente un tráfico de largo recorrido.</w:t>
      </w:r>
    </w:p>
    <w:p w:rsidR="00D06117" w:rsidRDefault="00D06117" w:rsidP="00D06117">
      <w:pPr>
        <w:pStyle w:val="TextoNormal"/>
      </w:pPr>
    </w:p>
    <w:p w:rsidR="00D06117" w:rsidRDefault="00D06117" w:rsidP="00D06117">
      <w:pPr>
        <w:pStyle w:val="TextoNormal"/>
      </w:pPr>
      <w:r>
        <w:t>De conformidad con el art. 148.1.5 CE, que según hemos visto establece que las Comunidades Autónomas podrán asumir competencias en materia de “ferrocarriles y carreteras cuyo itinerario se desarrolle íntegramente en el territorio de la Comunidad Autónoma y, en los mismos términos, el transporte desarrollados por estos medios o por cable”, el Estatuto de Autonomía de la Comunidad de Madrid, aprobado por Ley Orgánica 3/1983, de 25 de febrero, prevé en el art. 26 la competencia exclusiva de la Comunidad sobre las obras públicas de interés de la Comunidad dentro de su propio territorio (apartado 1.5) y sobre los ferrocarriles, carreteras y caminos cuyo itinerario discurra íntegramente en el territorio de la Comunidad de Madrid (apartado 1.6).</w:t>
      </w:r>
    </w:p>
    <w:p w:rsidR="00D06117" w:rsidRDefault="00D06117" w:rsidP="00D06117">
      <w:pPr>
        <w:pStyle w:val="TextoNormal"/>
      </w:pPr>
    </w:p>
    <w:p w:rsidR="00D06117" w:rsidRDefault="00D06117" w:rsidP="00D06117">
      <w:pPr>
        <w:pStyle w:val="TextoNormal"/>
      </w:pPr>
      <w:r>
        <w:t xml:space="preserve">Por su parte, la Ley 3/1991, de 7 de marzo, de carreteras de la Comunidad de Madrid, tiene por objeto, según señala su art. 1, “la definición de la Red viaria de la Comunidad de Madrid, así como la regulación de la planificación, proyección, construcción, conservación, financiación, uso y explotación de la misma, en el marco de su relación con la ordenación territorial, el planeamiento urbanístico y el transporte”. Según el art. 2 de esta ley, se consideran integrantes de la red viaria de la Comunidad de Madrid: a) La red de la extinta Diputación provincial de Madrid; b) la transferida por la Administración central; c) aquellas carreteras que sean construidas por la Comunidad de Madrid en el ámbito de su competencia; y d) aquellas carreteras estatales que cambien de titularidad, en aplicación del artículo 4.2.1 de la Ley 25/1988, de 29 de julio, de carreteras. Asimismo, conforme al art. 4.1 las carreteras de la Comunidad de Madrid se clasifican en tres categorías: red principal, red secundaria y red local. La red principal, junto con la red estatal, atiende a las siguientes funciones (art. 4.2): a) Canalizar el tráfico de largo recorrido y el de tránsito a través de la Comunidad de </w:t>
      </w:r>
      <w:r>
        <w:lastRenderedPageBreak/>
        <w:t>Madrid y el área metropolitana; b) asegurar la conexión entre los principales puntos básicos del territorio; c) asegurar las conexiones de primer orden con los territorios limítrofes.</w:t>
      </w:r>
    </w:p>
    <w:p w:rsidR="00D06117" w:rsidRDefault="00D06117" w:rsidP="00D06117">
      <w:pPr>
        <w:pStyle w:val="TextoNormal"/>
      </w:pPr>
    </w:p>
    <w:p w:rsidR="00D06117" w:rsidRDefault="00D06117" w:rsidP="00D06117">
      <w:pPr>
        <w:pStyle w:val="TextoNormal"/>
      </w:pPr>
      <w:r w:rsidRPr="00D06117">
        <w:rPr>
          <w:rStyle w:val="NumeroAFNegritaCaracter"/>
        </w:rPr>
        <w:t>4</w:t>
      </w:r>
      <w:r>
        <w:t>. Una vez que hemos recordado la doctrina constitucional en relación con el sistema de distribución de competencias en materia de carreteras y la normativa aplicable, debemos comprobar si la Comunidad Autónoma de Madrid ha invadido las competencias del Estado al aprobar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publicadas en el “Boletín Oficial de la Comunidad de Madrid”, núm. 280, de 24 de noviembre de 2005.</w:t>
      </w:r>
    </w:p>
    <w:p w:rsidR="00D06117" w:rsidRDefault="00D06117" w:rsidP="00D06117">
      <w:pPr>
        <w:pStyle w:val="TextoNormal"/>
      </w:pPr>
    </w:p>
    <w:p w:rsidR="00D06117" w:rsidRDefault="00D06117" w:rsidP="00D06117">
      <w:pPr>
        <w:pStyle w:val="TextoNormal"/>
      </w:pPr>
      <w:r>
        <w:t>Por lo que se refiere a la primera de ellas, relativa al cierre norte de la M-50, tramo A-6 a M-607, así como a uno de los tramos referidos a la misma vía de la llamada “nueva carretera R-1”, esto es, el relativo —como el anterior— al cierre norte de la M-50, en este caso entre la M-607 y la A-1, hay que partir de que dicha carretera M-50, como señala el Abogado del Estado en su escrito de interposición del presente conflicto de competencia, está incluida expresa e íntegramente dentro del anexo II del Real Decreto 1231/2003, de 26 de septiembre, que modifica la nomenclatura y el catálogo de las autopistas y autovías de la red de carreteras del Estado. Por este motivo, a juicio del Gobierno de la Nación, la actuación pretendida por la Comunidad de Madrid excede los límites que enmarcan el lícito ejercicio de sus competencias, hallándose por ello afectadas las resoluciones de 17 de noviembre de 2005 de un vicio de incompetencia que se traduce en tal indebida invasión competencial.</w:t>
      </w:r>
    </w:p>
    <w:p w:rsidR="00D06117" w:rsidRDefault="00D06117" w:rsidP="00D06117">
      <w:pPr>
        <w:pStyle w:val="TextoNormal"/>
      </w:pPr>
    </w:p>
    <w:p w:rsidR="00D06117" w:rsidRDefault="00D06117" w:rsidP="00D06117">
      <w:pPr>
        <w:pStyle w:val="TextoNormal"/>
      </w:pPr>
      <w:r>
        <w:t>Para el Letrado de la Comunidad de Madrid, el Real Decreto 1231/2003 es manifiestamente inhábil para definir el interés general del Estado sobre determinadas carreteras, ya que su finalidad no es modificar el catálogo de las carreteras del Estado (y, por lo mismo, fijar o definir el interés general del Estado a efectos competenciales), sino únicamente adaptar el nombre de dichas carreteras estatales ya existentes a las nuevas realidades de carreteras surgidas con posterioridad. Para la Comunidad de Madrid la inclusión de las carreteras sujetas a la nueva denominación en el Real Decreto 1231/2003 lo es porque, o estaban construidas, o estaban previstas en el plan de infraestructuras y transportes 2000-2007, de ahí que, al haber decaído éste a partir del nuevo documento de planificación denominado plan estratégico de infraestructuras y transportes 2005-2020, que no contempla ninguno de estos dos proyectos, carece de sustento jurídico su inclusión en el Real Decreto 1231/2003. Este real decreto vincula los itinerarios no existentes en la actualidad con la ejecución del sustituido plan de infraestructuras y transportes 2000-2007; por tanto, al no estar previstos ni el cierre de la M-50 ni la R-1 en los nuevos planes de infraestructuras reflejados en el plan estratégico de infraestructuras y transportes, decae el interés del Estado en la ejecución de dichas actuaciones y la declaración de interés general de las mismas.</w:t>
      </w:r>
    </w:p>
    <w:p w:rsidR="00D06117" w:rsidRDefault="00D06117" w:rsidP="00D06117">
      <w:pPr>
        <w:pStyle w:val="TextoNormal"/>
      </w:pPr>
    </w:p>
    <w:p w:rsidR="00D06117" w:rsidRDefault="00D06117" w:rsidP="00D06117">
      <w:pPr>
        <w:pStyle w:val="TextoNormal"/>
      </w:pPr>
      <w:r>
        <w:t xml:space="preserve">En síntesis podemos afirmar que la Comunidad de Madrid no pone en cuestión que los tramos de la carretera M-50 construidos formen parte de un itinerario de interés general y que pertenecen a la red de carreteras del Estado, pero considera que ha desaparecido el </w:t>
      </w:r>
      <w:r>
        <w:lastRenderedPageBreak/>
        <w:t>interés estatal en el cierre de dicha carretera al no estar prevista dicha actuación en el nuevo plan de infraestructuras y transportes.</w:t>
      </w:r>
    </w:p>
    <w:p w:rsidR="00D06117" w:rsidRDefault="00D06117" w:rsidP="00D06117">
      <w:pPr>
        <w:pStyle w:val="TextoNormal"/>
      </w:pPr>
    </w:p>
    <w:p w:rsidR="00D06117" w:rsidRDefault="00D06117" w:rsidP="00D06117">
      <w:pPr>
        <w:pStyle w:val="TextoNormal"/>
      </w:pPr>
      <w:r>
        <w:t>Como hemos señalado, el art. 4.1 de la Ley 25/1988, de carreteras, considera carreteras estatales a aquellas que estén integradas en un itinerario de interés general o cuya función en el sistema de transporte afecte a más de una Comunidad Autónoma. Se consideran itinerarios de interés general aquellos en los que se den alguna de las circunstancias enumeradas en el art. 4.3. Las carreteras que reúnan alguna de dichas características integran la red de carreteras del Estado (art. 4.2) inventariándose en el anexo a la Ley de carreteras, sin perjuicio de que estando su determinación deslegalizada, puede abordarse su modificación por Real Decreto. Así, a la relación de carreteras de la red estatal se irán añadiendo aquellas nuevas que construya el Estado, siempre que estén integradas en un itinerario de interés general o tengan una función en el sistema de transporte que afecte a más de una Comunidad Autónoma, y aquellas que cambien de titularidad por acuerdo mutuo con las Administraciones públicas interesadas.</w:t>
      </w:r>
    </w:p>
    <w:p w:rsidR="00D06117" w:rsidRDefault="00D06117" w:rsidP="00D06117">
      <w:pPr>
        <w:pStyle w:val="TextoNormal"/>
      </w:pPr>
    </w:p>
    <w:p w:rsidR="00D06117" w:rsidRDefault="00D06117" w:rsidP="00D06117">
      <w:pPr>
        <w:pStyle w:val="TextoNormal"/>
      </w:pPr>
      <w:r>
        <w:t>Como recuerda el Abogado del Estado, la M-50 constituye una carretera que ha sido construida y puesta en servicio por el Ministerio de Fomento, y aunque es una carretera que discurre íntegramente dentro del territorio de la Comunidad de Madrid la justificación básica de su interés general se halla en su función de conexión de todas las carreteras de largo recorrido que confluyen en Madrid desde la periferia peninsular. Así, podemos afirmar que en el itinerario de la M-50 se da la circunstancia señalada en el art. 4.3.4 y que lleva a considerar el mismo como de interés general: “Enlazar las Comunidades Autónomas, conectando los principales núcleos de población del territorio del Estado de manera que formen una red continua que soporte regularmente un tráfico de largo recorrido”.</w:t>
      </w:r>
    </w:p>
    <w:p w:rsidR="00D06117" w:rsidRDefault="00D06117" w:rsidP="00D06117">
      <w:pPr>
        <w:pStyle w:val="TextoNormal"/>
      </w:pPr>
    </w:p>
    <w:p w:rsidR="00D06117" w:rsidRDefault="00D06117" w:rsidP="00D06117">
      <w:pPr>
        <w:pStyle w:val="TextoNormal"/>
      </w:pPr>
      <w:r>
        <w:t>El Real Decreto 1231/2003, por el que se modifica la nomenclatura y el catálogo de las autopistas y autovías de la red de carreteras del Estado, tal y como señala su art. 1, “modifica la nomenclatura y el catálogo de la Red de Carreteras del Estado, en lo referente a las autopistas o autovías existentes, así como las previstas en el Programa de vías de gran capacidad del capítulo de carreteras del Plan de infraestructuras de transporte 2000-2007, que quedan definidos en el anexo II y de acuerdo con los criterios establecidos en el anexo I”. En dicho anexo II aparece incluida expresamente la circunvalación de Madrid M-50. De este modo, la inclusión de la M-50 en la red de carreteras del Estado se ha realizado de conformidad con lo previsto en el art. 4.2 de la Ley 25/1988, de 29 de julio, de carreteras, en aplicación del supuesto 2 de dicho precepto, esto es, “por la construcción de nuevas carreteras integradas en un itinerario de interés general”.</w:t>
      </w:r>
    </w:p>
    <w:p w:rsidR="00D06117" w:rsidRDefault="00D06117" w:rsidP="00D06117">
      <w:pPr>
        <w:pStyle w:val="TextoNormal"/>
      </w:pPr>
    </w:p>
    <w:p w:rsidR="00D06117" w:rsidRDefault="00D06117" w:rsidP="00D06117">
      <w:pPr>
        <w:pStyle w:val="TextoNormal"/>
      </w:pPr>
      <w:r>
        <w:t>En consecuencia, si el itinerario de la M-50 se considera de interés general debemos entender que ese mismo interés general existe cuando se trata de ampliar o de modificar su trazado. Si el itinerario de la M-50, por las razones señaladas, se considera, sin discusión por ninguna de las partes de este conflicto, de interés general, y por ello estamos ante una carretera estatal, el cierre de la M-50 debe considerarse integrado igualmente en un itinerario de interés general. El mismo interés general que existe para construir la M-50 existe para cerrarla y, por tanto, la construcción de dicho cierre por la Comunidad de Madrid infringe el ámbito de competencias del Estado.</w:t>
      </w:r>
    </w:p>
    <w:p w:rsidR="00D06117" w:rsidRDefault="00D06117" w:rsidP="00D06117">
      <w:pPr>
        <w:pStyle w:val="TextoNormal"/>
      </w:pPr>
    </w:p>
    <w:p w:rsidR="00D06117" w:rsidRDefault="00D06117" w:rsidP="00D06117">
      <w:pPr>
        <w:pStyle w:val="TextoNormal"/>
      </w:pPr>
      <w:r>
        <w:lastRenderedPageBreak/>
        <w:t>A esta conclusión no se opone la modificación del plan de infraestructuras de transporte 2000-2007 que alega la Comunidad de Madrid. Como señala el art. 14.1 del Real Decreto 1812/1994, de 2 de septiembre, por el que se aprueba el reglamento general de carreteras, el plan de carreteras del Estado es el instrumento técnico y jurídico de la política sectorial de carreteras, y debe contener las previsiones y objetivos a cumplir y las prioridades en relación con carreteras estatales y sus elementos funcionales. Tiene, por tanto, una función de previsión o de planificación de los objetivos de la Administración en materia de carreteras a medio plazo. En consecuencia, la modificación del plan de carreteras no afecta a la inclusión de una determinada carretera en la red de carreteras del Estado. La M-50 ha sido incluida en la red de carreteras del Estado por el Real Decreto 1231/2003 y en tanto no se modifique la red de carreteras del Estado y la carretera M-50 cambie su titularidad siguiendo el procedimiento legalmente previsto, la M-50 debe considerarse carretera estatal. El que el cierre definitivo de esta autovía de circunvalación de Madrid no figure expresamente en el nuevo plan estratégico de infraestructuras y transportes 2005-2020 no puede llevarnos a la conclusión de que el mismo no forma parte de un itinerario de interés general que es, como venimos señalando, el criterio que, unido al puramente territorial, permite calificar a una carretera como de competencia estatal.</w:t>
      </w:r>
    </w:p>
    <w:p w:rsidR="00D06117" w:rsidRDefault="00D06117" w:rsidP="00D06117">
      <w:pPr>
        <w:pStyle w:val="TextoNormal"/>
      </w:pPr>
    </w:p>
    <w:p w:rsidR="00D06117" w:rsidRDefault="00D06117" w:rsidP="00D06117">
      <w:pPr>
        <w:pStyle w:val="TextoNormal"/>
      </w:pPr>
      <w:r w:rsidRPr="00D06117">
        <w:rPr>
          <w:rStyle w:val="NumeroAFNegritaCaracter"/>
        </w:rPr>
        <w:t>5</w:t>
      </w:r>
      <w:r>
        <w:t>. Por lo que se refiere a la resolución de la Comunidad de Madrid relativa al anteproyecto de construcción y explotación de la “nueva carretera R-1”, en concreto su tramo no integrado en la M-50, esto es, el tramo comprendido entre El Molar y la M-12, considera el Abogado del Estado, en su escrito de interposición del presente conflicto positivo de competencias, que no constituye realmente, ni por su naturaleza, itinerario o funcionalidad, algo distinto a la R-1. A su juicio, según el estudio elaborado por el Ministerio de Fomento, la nueva carretera que pretende construir la Comunidad de Madrid coincide sustancialmente con el proyecto tramitado por el Estado, que discurre por el territorio de la Comunidad de Madrid y de la Comunidad de Castilla y León. Por ello, aun cuando el anteproyecto de construcción y explotación que la Comunidad de Madrid saca a licitar se refiere a una carretera que transcurre sólo por territorio intracomunitario, al haber sido declarado de interés general por el Consejo de Ministros, en virtud del Real Decreto 1231/2003, el itinerario de la R-1 (Madrid-Santo Tomé del Puerto), la nueva carretera R-1 es una parte del itinerario del Estado, por lo que el Estado es el único competente para elaborar los estudios previos a su construcción.</w:t>
      </w:r>
    </w:p>
    <w:p w:rsidR="00D06117" w:rsidRDefault="00D06117" w:rsidP="00D06117">
      <w:pPr>
        <w:pStyle w:val="TextoNormal"/>
      </w:pPr>
    </w:p>
    <w:p w:rsidR="00D06117" w:rsidRDefault="00D06117" w:rsidP="00D06117">
      <w:pPr>
        <w:pStyle w:val="TextoNormal"/>
      </w:pPr>
      <w:r>
        <w:t>La Comunidad de Madrid se opone a estas afirmaciones y señala que aparte de la eventual coincidencia de itinerarios entre las carreteras objeto de requerimiento y los itinerarios concretos de la R-1 y M-50 relacionados en el Real Decreto 1231/2003, no se deduce una voluntad inmediata del Ministerio de licitar la ejecución de las obras, de manera que en la medida en que el interés estatal en determinados proyectos ha decaído, no se produce una lesión efectiva de competencia alguna del Estado.</w:t>
      </w:r>
    </w:p>
    <w:p w:rsidR="00D06117" w:rsidRDefault="00D06117" w:rsidP="00D06117">
      <w:pPr>
        <w:pStyle w:val="TextoNormal"/>
      </w:pPr>
    </w:p>
    <w:p w:rsidR="00D06117" w:rsidRDefault="00D06117" w:rsidP="00D06117">
      <w:pPr>
        <w:pStyle w:val="TextoNormal"/>
      </w:pPr>
      <w:r>
        <w:t>Para resolver esta cuestión debemos determinar, en primer lugar, si la “nueva carretera R-1”, por su naturaleza, itinerario y funcionalidad es algo distinto a la carretera denominada “R-1”. Ciertamente, desde un punto de vista formal, como tal “nueva carretera R-1” no aparece incluida en el catálogo de la red de carreteras del Estado. La mención contenida en el anexo II del Real Decreto 1231/2003 está referida estrictamente a la denominada “R-1”, cuya carretera estatal de referencia es la N-I y cuyo itinerario de referencia (origen/destino) se establece entre Madrid-Santo Tomé del Puerto.</w:t>
      </w:r>
    </w:p>
    <w:p w:rsidR="00D06117" w:rsidRDefault="00D06117" w:rsidP="00D06117">
      <w:pPr>
        <w:pStyle w:val="TextoNormal"/>
      </w:pPr>
    </w:p>
    <w:p w:rsidR="00D06117" w:rsidRDefault="00D06117" w:rsidP="00D06117">
      <w:pPr>
        <w:pStyle w:val="TextoNormal"/>
      </w:pPr>
      <w:r>
        <w:t>El Ministerio de Fomento, en su informe de 24 de octubre de 2005, en el que informó desfavorablemente el estudio de viabilidad de la “nueva carretera R-1. Tramo: El Molar-M-12 y cierre Norte de la M-50. Tramo M-607 a A-1”, señaló que, en realidad, se trata de vías sensibles o sustancialmente coincidentes con la particularidad de que la “nueva carretera R-1” se restringe al territorio intracomunitario.</w:t>
      </w:r>
    </w:p>
    <w:p w:rsidR="00D06117" w:rsidRDefault="00D06117" w:rsidP="00D06117">
      <w:pPr>
        <w:pStyle w:val="TextoNormal"/>
      </w:pPr>
    </w:p>
    <w:p w:rsidR="00D06117" w:rsidRDefault="00D06117" w:rsidP="00D06117">
      <w:pPr>
        <w:pStyle w:val="TextoNormal"/>
      </w:pPr>
      <w:r>
        <w:t>Sobre la base de los informes del Ministerio de Fomento, debemos afirmar que el trazado recomendado por el Estado para la proyección de la “R-1” discurre sobre el mismo corredor que la actuación a la que se refiere la Comunidad de Madrid (“nueva carretera R-1. Tramo El Molar/M-12”) por lo que resultarían incompatibles y redundantes las dos carreteras, no obstante su parcialmente distinta denominación. En este sentido, hay que tener presente que el art. 4.4 de la Ley de carreteras prescribe que “en ningún caso tendrán la consideración de nueva carretera las duplicaciones de calzada, los acondicionamientos de trazado, los ensanches de plataforma, las mejoras de firme, las variantes y, en general, todas aquellas actuaciones que no supongan una modificación de la funcionalidad de la carretera prexistente”. La R-1 es una carretera de interés general al concurrir en la misma las circunstancias previstas en los apartados 3.1 (“formar parte de los principales itinerarios de tráfico internacional, incluidos en los correspondientes convenios”) y 3.4 (“enlazar las Comunidades Autónomas, conectando los principales núcleos de población del territorio del Estado de manera que formen una red continua que soporte regularmente un tráfico de largo recorrido”) del art. 4 de la Ley de carreteras, en tanto que la razón principal que justifica su declaración como de interés general y su integración en la red de carreteras del Estado consiste, como señala el Abogado del Estado, en ser una variante de la Autovía del Norte, A-1, que a través de las Comunidades Autónomas de Madrid, Castilla y León y País Vasco, une Madrid con la frontera francesa, constituyendo una vía cuya función primordial es dar servicio al tráfico de largo recorrido. Por tanto, si el tramo de la denominada por la Comunidad de Madrid “nueva carretera R-1” comprendido entre El Molar y la M-12 coincide con una parte del itinerario de la carretera estatal R-1, el competente para elaborar los estudios previos para la construcción de la autopista es el Estado.</w:t>
      </w:r>
    </w:p>
    <w:p w:rsidR="00D06117" w:rsidRDefault="00D06117" w:rsidP="00D06117">
      <w:pPr>
        <w:pStyle w:val="TextoNormal"/>
      </w:pPr>
    </w:p>
    <w:p w:rsidR="00D06117" w:rsidRDefault="00D06117" w:rsidP="00D06117">
      <w:pPr>
        <w:pStyle w:val="TextoNormal"/>
      </w:pPr>
      <w:r>
        <w:t>En este sentido, en la STC 168/2009, de 9 de julio, afirmamos que “la inclusión de tramos integrados en la Red de carreteras del Estado entre las que pueden incluirse en la Red del Plan general de carreteras del País Vasco implica desconocer su actual incorporación a aquélla y, en consecuencia, la competencia estatal sobre ambos tramos” (FJ 4).</w:t>
      </w:r>
    </w:p>
    <w:p w:rsidR="00D06117" w:rsidRDefault="00D06117" w:rsidP="00D06117">
      <w:pPr>
        <w:pStyle w:val="TextoNormal"/>
      </w:pPr>
    </w:p>
    <w:p w:rsidR="00D06117" w:rsidRDefault="00D06117" w:rsidP="00D06117">
      <w:pPr>
        <w:pStyle w:val="TextoNormal"/>
      </w:pPr>
      <w:r>
        <w:t>La titularidad de una Administración sobre una carretera determina su competencia no sólo para su construcción sino para todos los aspectos conexos con ella. Como señalamos en la STC 65/1998, de 18 de marzo (FJ 8), “la Constitución no impone una interpretación que relegue el título relativo a las obras públicas a su mera construcción o financiación, y que no permita comprender todos los aspectos a los que se extiende la regulación contenida en la Ley 25/1988, esto es, la ‘planificación, proyección, construcción, conservación, financiación, uso y explotación de las carreteras estatales’, cuestiones todas ellas íntimamente vinculadas a la obra pública, a diferencia de otras de las que no se ocupa la Ley y sobre las que rigen otras reglas de reparto competencial, como la regulación del tráfico y circulación de vehículos a motor o la ordenación de los transportes por carretera”.</w:t>
      </w:r>
    </w:p>
    <w:p w:rsidR="00D06117" w:rsidRDefault="00D06117" w:rsidP="00D06117">
      <w:pPr>
        <w:pStyle w:val="TextoNormal"/>
      </w:pPr>
    </w:p>
    <w:p w:rsidR="00D06117" w:rsidRDefault="00D06117" w:rsidP="00D06117">
      <w:pPr>
        <w:pStyle w:val="TextoNormal"/>
      </w:pPr>
      <w:r>
        <w:lastRenderedPageBreak/>
        <w:t>El desinterés que el Estado pueda mostrar en la construcción a medio plazo del proyecto de cierre de la M-50 al no haber incluido el mismo en el plan estratégico de infraestructuras y transportes 2005-2020 no puede ser invocado por la Comunidad Autónoma para arrogarse una competencia que no le pertenece. Aunque es cierto que estamos ante una materia que resulta especialmente idónea para el establecimiento de fórmulas de colaboración (STC 65/1998, de 18 de marzo FJ 11), no hay que olvidar que “el establecimiento de fórmulas de colaboración entre las Comunidades Autónomas y el Estado requiere el mutuo respeto de las respectivas competencias, que son irrenunciables, en el marco establecido por la Constitución y los Estatutos de Autonomía” (STC 168/2009, de 9 de julio, FJ 4).</w:t>
      </w:r>
    </w:p>
    <w:p w:rsidR="00D06117" w:rsidRDefault="00D06117" w:rsidP="00D06117">
      <w:pPr>
        <w:pStyle w:val="TextoNormal"/>
      </w:pPr>
    </w:p>
    <w:p w:rsidR="00D06117" w:rsidRDefault="00D06117" w:rsidP="00D06117">
      <w:pPr>
        <w:pStyle w:val="TextoNormal"/>
      </w:pPr>
      <w:r>
        <w:t>Por cuanto antecede, procede declarar que las resoluciones de 17 de noviembre de 2005 de la Secretaría General Técnica de la Consejería de Transportes e Infraestructuras de la Comunidad de Madrid vulneran las competencias del Estado en materia de carreteras.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presente conflicto positivo de competencia y, en consecuencia, declarar que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vulneran las competencias del Estado.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veinticuatro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6" w:name="SENTENCIA_2012_113"/>
      <w:r>
        <w:lastRenderedPageBreak/>
        <w:t>SENTENCIA 113/2012, de 24 de mayo de 2012</w:t>
      </w:r>
    </w:p>
    <w:bookmarkEnd w:id="11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ECLI:ES:TC:2012:113</w:t>
      </w:r>
    </w:p>
    <w:p w:rsidR="00D06117" w:rsidRDefault="00D06117" w:rsidP="00D06117">
      <w:pPr>
        <w:pStyle w:val="SntesisDescriptiva"/>
      </w:pPr>
    </w:p>
    <w:p w:rsidR="00D06117" w:rsidRDefault="00D06117" w:rsidP="00D06117">
      <w:pPr>
        <w:pStyle w:val="SntesisDescriptiva"/>
      </w:pPr>
      <w:r>
        <w:t>Recurso de amparo 526-2007. Promovido por don Pello Josepe Etxeberría Lete con respecto a las resoluciones de la Sección Primera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Vulneración de los derechos a la tutela judicial efectiva (intangibilidad) y a la libertad personal: resoluciones judiciales que desconocen lo anteriormente decidido con carácter firme acerca del criterio de cómputo de redenciones de penas privativas de libertad. Votos particulares.</w:t>
      </w:r>
    </w:p>
    <w:p w:rsidR="00D06117" w:rsidRDefault="00D06117" w:rsidP="00D06117">
      <w:pPr>
        <w:pStyle w:val="SntesisAnaltica"/>
      </w:pPr>
    </w:p>
    <w:p w:rsidR="00D06117" w:rsidRDefault="00D06117" w:rsidP="00D06117">
      <w:pPr>
        <w:pStyle w:val="Extracto"/>
      </w:pPr>
      <w:r>
        <w:t>1.</w:t>
      </w:r>
      <w:r>
        <w:tab/>
        <w:t xml:space="preserve">Reitera la doctrina de la STC 39/2012. </w:t>
      </w:r>
    </w:p>
    <w:p w:rsidR="00D06117" w:rsidRDefault="00D06117" w:rsidP="00D06117">
      <w:pPr>
        <w:pStyle w:val="Extracto"/>
      </w:pPr>
    </w:p>
    <w:p w:rsidR="00D06117" w:rsidRDefault="00D06117" w:rsidP="00D06117">
      <w:pPr>
        <w:pStyle w:val="Extracto"/>
      </w:pPr>
      <w:r>
        <w:t>2.</w:t>
      </w:r>
      <w:r>
        <w:tab/>
        <w:t>Existe una estricta relación de dependencia entre lo resuelto por las Sentencias previas que resuelven cuál es la ley aplicable ante la sucesión de Códigos penales y las resoluciones recurridas en amparo, que impedía a éstas ignorar la realidad jurídica conformada por aquellas en cuanto al cómputo de las redenciones, lo que nos conduce a afirmar que desconocen la eficacia de lo resuelto con carácter firme e intangible por dichas Sentencias, vulnerando el derecho a la tutela judicial efectiva [FJ 11].</w:t>
      </w:r>
    </w:p>
    <w:p w:rsidR="00D06117" w:rsidRDefault="00D06117" w:rsidP="00D06117">
      <w:pPr>
        <w:pStyle w:val="Extracto"/>
      </w:pPr>
    </w:p>
    <w:p w:rsidR="00D06117" w:rsidRDefault="00D06117" w:rsidP="00D06117">
      <w:pPr>
        <w:pStyle w:val="Extracto"/>
      </w:pPr>
      <w:r>
        <w:t>3.</w:t>
      </w:r>
      <w:r>
        <w:tab/>
        <w:t>Los cambios de criterio jurisprudencial no pueden poner en cuestión la firmeza de una resolución anterior, ni justificar el desconocimiento de su eficacia y la vulneración del derecho a la intangibilidad de la realidad jurídica conformada por ella, lo que debió haber sido tenido en cuenta por el órgano judicial a la hora de determinar el alcance del citado cambio de criterio jurisprudencial (STC 219/2000) [FJ 11].</w:t>
      </w:r>
    </w:p>
    <w:p w:rsidR="00D06117" w:rsidRDefault="00D06117" w:rsidP="00D06117">
      <w:pPr>
        <w:pStyle w:val="Extracto"/>
      </w:pPr>
    </w:p>
    <w:p w:rsidR="00D06117" w:rsidRDefault="00D06117" w:rsidP="00D06117">
      <w:pPr>
        <w:pStyle w:val="Extracto"/>
      </w:pPr>
      <w:r>
        <w:t>4.</w:t>
      </w:r>
      <w:r>
        <w:tab/>
        <w:t xml:space="preserve">Una vez cumplida la pena, computando la redención de penas por el trabajo conforme al criterio firme e intangible establecido por el órgano judicial encargado de la ejecución, y extinguido con ello el título que legitimaba la privación de libertad, el exceso de tiempo pasado en prisión constituye una privación de libertad carente de base legal y lesiva del derecho fundamental a la libertad consagrado en el art. 17.1 CE (STC 322/2005; STEDH caso </w:t>
      </w:r>
      <w:r w:rsidRPr="00D06117">
        <w:rPr>
          <w:i/>
        </w:rPr>
        <w:t>Grava c. Italia</w:t>
      </w:r>
      <w:r>
        <w:t>, de 10 de julio de 2003) [FJ 12].</w:t>
      </w:r>
    </w:p>
    <w:p w:rsidR="00D06117" w:rsidRDefault="00D06117" w:rsidP="00D06117">
      <w:pPr>
        <w:pStyle w:val="Extracto"/>
      </w:pPr>
    </w:p>
    <w:p w:rsidR="00D06117" w:rsidRDefault="00D06117" w:rsidP="00D06117">
      <w:pPr>
        <w:pStyle w:val="Extracto"/>
      </w:pPr>
      <w:r>
        <w:t>5.</w:t>
      </w:r>
      <w:r>
        <w:tab/>
        <w:t>El art. 25.2 CE no contiene un derecho fundamental del ciudadano susceptible de ser invocado en amparo, sino más bien un mandato dirigido al legislador para orientar la política penal y penitenciaria con objeto de que configure las sanciones penales para que cumplan los fines de reinserción establecidos en la Constitución, sin que se deriven derechos subjetivos del mismo (STC 28/1988) [FJ 6].</w:t>
      </w:r>
    </w:p>
    <w:p w:rsidR="00D06117" w:rsidRDefault="00D06117" w:rsidP="00D06117">
      <w:pPr>
        <w:pStyle w:val="Extracto"/>
      </w:pPr>
    </w:p>
    <w:p w:rsidR="00D06117" w:rsidRDefault="00D06117" w:rsidP="00D06117">
      <w:pPr>
        <w:pStyle w:val="Extracto"/>
      </w:pPr>
      <w:r>
        <w:lastRenderedPageBreak/>
        <w:t>6.</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6].</w:t>
      </w:r>
    </w:p>
    <w:p w:rsidR="00D06117" w:rsidRDefault="00D06117" w:rsidP="00D06117">
      <w:pPr>
        <w:pStyle w:val="Extracto"/>
      </w:pPr>
    </w:p>
    <w:p w:rsidR="00D06117" w:rsidRDefault="00D06117" w:rsidP="00D06117">
      <w:pPr>
        <w:pStyle w:val="Extracto"/>
      </w:pPr>
      <w:r>
        <w:t>7.</w:t>
      </w:r>
      <w:r>
        <w:tab/>
        <w:t>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resoluciones recurridas, ni la doctrina del Tribunal Supremo invocada en ellas aplican retroactivamente dicho precepto, sino la normativa vigente en el momento de comisión de los hechos (SSTC 21/1993, 116/2007) [FJ 6].</w:t>
      </w:r>
    </w:p>
    <w:p w:rsidR="00D06117" w:rsidRDefault="00D06117" w:rsidP="00D06117">
      <w:pPr>
        <w:pStyle w:val="Extracto"/>
      </w:pPr>
    </w:p>
    <w:p w:rsidR="00D06117" w:rsidRDefault="00D06117" w:rsidP="00D06117">
      <w:pPr>
        <w:pStyle w:val="Extracto"/>
      </w:pPr>
      <w:r>
        <w:t>8.</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7].</w:t>
      </w:r>
    </w:p>
    <w:p w:rsidR="00D06117" w:rsidRDefault="00D06117" w:rsidP="00D06117">
      <w:pPr>
        <w:pStyle w:val="Extracto"/>
      </w:pPr>
    </w:p>
    <w:p w:rsidR="00D06117" w:rsidRDefault="00D06117" w:rsidP="00D06117">
      <w:pPr>
        <w:pStyle w:val="Extracto"/>
      </w:pPr>
      <w:r>
        <w:t>9.</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8].</w:t>
      </w:r>
    </w:p>
    <w:p w:rsidR="00D06117" w:rsidRDefault="00D06117" w:rsidP="00D06117">
      <w:pPr>
        <w:pStyle w:val="Extracto"/>
      </w:pPr>
    </w:p>
    <w:p w:rsidR="00D06117" w:rsidRDefault="00D06117" w:rsidP="00D06117">
      <w:pPr>
        <w:pStyle w:val="Extracto"/>
      </w:pPr>
      <w:r>
        <w:t>10.</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8].</w:t>
      </w:r>
    </w:p>
    <w:p w:rsidR="00D06117" w:rsidRDefault="00D06117" w:rsidP="00D06117">
      <w:pPr>
        <w:pStyle w:val="Extracto"/>
      </w:pPr>
    </w:p>
    <w:p w:rsidR="00D06117" w:rsidRDefault="00D06117" w:rsidP="00D06117">
      <w:pPr>
        <w:pStyle w:val="Extracto"/>
      </w:pPr>
      <w:r>
        <w:t>11.</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8].</w:t>
      </w:r>
    </w:p>
    <w:p w:rsidR="00D06117" w:rsidRDefault="00D06117" w:rsidP="00D06117">
      <w:pPr>
        <w:pStyle w:val="Extracto"/>
      </w:pPr>
    </w:p>
    <w:p w:rsidR="00D06117" w:rsidRDefault="00D06117" w:rsidP="00D06117">
      <w:pPr>
        <w:pStyle w:val="Extracto"/>
      </w:pPr>
      <w:r>
        <w:t>12.</w:t>
      </w:r>
      <w:r>
        <w:tab/>
        <w:t xml:space="preserve">El principio de seguridad jurídica consagrado en el art. 9.3 CE y el derecho a la tutela judicial efectiva –ex art. 24.1 CE– impiden a los Jueces y Tribunales, fuera de los casos expresamente previstos en la ley, revisar el juicio efectuado en un caso </w:t>
      </w:r>
      <w:r>
        <w:lastRenderedPageBreak/>
        <w:t>concreto, incluso si entendieran con posterioridad que la decisión no se ajusta a la legalidad (SSTC 219/2000, 62/2010) [FJ 9].</w:t>
      </w:r>
    </w:p>
    <w:p w:rsidR="00D06117" w:rsidRDefault="00D06117" w:rsidP="00D06117">
      <w:pPr>
        <w:pStyle w:val="Extracto"/>
      </w:pPr>
    </w:p>
    <w:p w:rsidR="00D06117" w:rsidRDefault="00D06117" w:rsidP="00D06117">
      <w:pPr>
        <w:pStyle w:val="Extracto"/>
      </w:pPr>
      <w:r>
        <w:t>13.</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9].</w:t>
      </w:r>
    </w:p>
    <w:p w:rsidR="00D06117" w:rsidRDefault="00D06117" w:rsidP="00D06117">
      <w:pPr>
        <w:pStyle w:val="Extracto"/>
      </w:pPr>
    </w:p>
    <w:p w:rsidR="00D06117" w:rsidRDefault="00D06117" w:rsidP="00D06117">
      <w:pPr>
        <w:pStyle w:val="Extracto"/>
      </w:pPr>
      <w:r>
        <w:t>14.</w:t>
      </w:r>
      <w:r>
        <w:tab/>
        <w:t>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que no puede ser ignorada o contradicha ni por el propio órgano judicial, ni por otros órganos judiciales en procesos conexos [FJ 9].</w:t>
      </w:r>
    </w:p>
    <w:p w:rsidR="00D06117" w:rsidRDefault="00D06117" w:rsidP="00D06117">
      <w:pPr>
        <w:pStyle w:val="Extracto"/>
      </w:pPr>
    </w:p>
    <w:p w:rsidR="00D06117" w:rsidRDefault="00D06117" w:rsidP="00D06117">
      <w:pPr>
        <w:pStyle w:val="Extracto"/>
      </w:pPr>
      <w:r>
        <w:t>15.</w:t>
      </w:r>
      <w:r>
        <w:tab/>
        <w:t xml:space="preserve">La intangibilidad de lo decidido en una resolución judicial firme no afecta sólo al contenido del fallo, sino que también se proyecta sobre aquellos pronunciamientos que constituyen </w:t>
      </w:r>
      <w:r w:rsidRPr="00D06117">
        <w:rPr>
          <w:i/>
        </w:rPr>
        <w:t>ratio decidendi</w:t>
      </w:r>
      <w:r>
        <w:t xml:space="preserve"> de la resolución, aunque no se trasladen al fallo o sobre los que, aun no constituyendo el objeto mismo del proceso, resultan relevantes para la decisión adoptada (SSTC 15/2006, 62/2010) [FJ 9].</w:t>
      </w:r>
    </w:p>
    <w:p w:rsidR="00D06117" w:rsidRDefault="00D06117" w:rsidP="00D06117">
      <w:pPr>
        <w:pStyle w:val="Extracto"/>
      </w:pPr>
    </w:p>
    <w:p w:rsidR="00D06117" w:rsidRDefault="00D06117" w:rsidP="00D06117">
      <w:pPr>
        <w:pStyle w:val="Extracto"/>
      </w:pPr>
      <w:r>
        <w:t>16.</w:t>
      </w:r>
      <w:r>
        <w:tab/>
        <w:t>Carece de fundamento constitucional la aplicación, a un supuesto como éste, de la doctrina relativa al doble grado de jurisdicción en materia penal, puesto que no está en cuestión el derecho a la revisión del fallo condenatorio y la pena por un Tribunal superior, no siendo posible extender el alcance de dicha doctrina a todos los recursos que puedan interponerse frente a cualquier resolución judicial dictada en un proceso penal (SSTC 42/1982, 116/2006) [FJ 4].</w:t>
      </w:r>
    </w:p>
    <w:p w:rsidR="00D06117" w:rsidRDefault="00D06117" w:rsidP="00D06117">
      <w:pPr>
        <w:pStyle w:val="Extracto"/>
      </w:pPr>
    </w:p>
    <w:p w:rsidR="00D06117" w:rsidRDefault="00D06117" w:rsidP="00D06117">
      <w:pPr>
        <w:pStyle w:val="Extracto"/>
      </w:pPr>
      <w:r>
        <w:t>17.</w:t>
      </w:r>
      <w:r>
        <w:tab/>
        <w:t>La exigencia de invocación tempestiva de la supuesta vulneración de derechos fundamentales reside en la necesidad de preservar el carácter subsidiario del recurso de amparo constitucional, dando a los órganos jurisdiccionales ordinarios la oportunidad de reparar la vulneración supuestamente cometida a través de la inserción en el proceso judicial del problema constitucional objeto del recurso de amparo (SSTC 132/2006, 7/2007) [FJ 4].</w:t>
      </w:r>
    </w:p>
    <w:p w:rsidR="00D06117" w:rsidRDefault="00D06117" w:rsidP="00D06117">
      <w:pPr>
        <w:pStyle w:val="Extracto"/>
      </w:pPr>
    </w:p>
    <w:p w:rsidR="00D06117" w:rsidRDefault="00D06117" w:rsidP="00D06117">
      <w:pPr>
        <w:pStyle w:val="Extracto"/>
      </w:pPr>
      <w:r>
        <w:t>18.</w:t>
      </w:r>
      <w:r>
        <w:tab/>
        <w:t>No corresponde a este Tribunal pronunciarse sobre la supuesta extemporaneidad del incidente de nulidad de actuaciones una vez que el órgano judicial competente para conocer del mismo lo ha admitido a trámite y se ha pronunciado sobre la pretensión de nulidad solicitada sin estimar aquella supuesta extemporaneidad (SSTC 185/2001, 37/2003)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 xml:space="preserve">El Pleno del Tribunal Constitucional, compuesto por don Pascual Sala Sánchez, Presidente, don Eugeni Gay Montalvo, don Javier Delgado Barrio, doña Elisa Pérez Vera, don </w:t>
      </w:r>
      <w:r>
        <w:lastRenderedPageBreak/>
        <w:t>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526-2007, promovido por don Pello Josepe Etxeberría Lete, representado por el Procurador de los Tribunales don José Javier Cuevas Rivas y asistido por la Letrada doña Ainoa Baglietto Gabilondo, contra el Auto de la Sala de lo Penal de la Audiencia Nacional de 21 de noviembre de 2006, que desestima el recurso de súplica interpuesto contra la providencia de la misma Sala de 30 de octubre de 2006 que denegó el licenciamiento solicitado por el actor. Ha sido Ponente el Magistrado don Eugeni Gay Montalvo,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16 de enero de 2007, don José Javier Cuevas Rivas, Procurador de los Tribunales y de don Pello Josepe Etxeberría Lete,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condenado por la Sala de lo Penal de la Audiencia Nacional, Sección Primera, mediante Sentencia de 22 de enero de 1997 (rollo de Sala 11-1991, sumario 11-1991 Juzgado Central de Instrucción núm. 1), en relación con unos hechos cometidos el día 27 de julio de 1987, como cooperador necesario de un delito de atentado contra miembro de cuerpo de seguridad del Estado en acción terrorista a la pena de 27 años de reclusión mayor. Con la agravante de relación con actividades terroristas fue condenado por los siguientes delitos: siete asesinatos frustrados, a la pena de veintitrés años cuatro meses y un día de reclusión menor por cada uno de los delitos; seis faltas de lesiones a la pena de veinticinco días de arresto menor por cada una de ellas; dos delitos de robo con toma de rehenes a la pena de diez años y un día de prisión mayor por cada uno de ellos y a las accesorias; un delito de estragos a la pena de diez años y un día de prisión mayor. A las accesorias de inhabilitación absoluta en cuanto a las penas de reclusión mayor y a las de suspensión de cargo público en cuanto a las otras penas.</w:t>
      </w:r>
    </w:p>
    <w:p w:rsidR="00D06117" w:rsidRDefault="00D06117" w:rsidP="00D06117">
      <w:pPr>
        <w:pStyle w:val="TextoNormal"/>
      </w:pPr>
    </w:p>
    <w:p w:rsidR="00D06117" w:rsidRDefault="00D06117" w:rsidP="00D06117">
      <w:pPr>
        <w:pStyle w:val="TextoNormal"/>
      </w:pPr>
      <w:r>
        <w:t xml:space="preserve">b) Mediante Sentencia de 28 de enero de 1997 (rollo de Sala 30-1989, sumario 20-1989 Juzgado Central de Instrucción núm. 4), fue condenado por la Sala de lo Penal de la Audiencia Nacional, Sección Primera, en relación con unos hechos cometidos los días 16 y 17 </w:t>
      </w:r>
      <w:r>
        <w:lastRenderedPageBreak/>
        <w:t>de octubre de 1988, como autor de un delito de terrorismo a la pena de 12 años de prisión mayor, con las accesorias de suspensión de cargo público y derecho de sufragio pasivo, de un delito de atentado a la pena de treinta años de reclusión mayor y accesoria de inhabilitación absoluta durante el tiempo de la condena y como autor de un delito de tenencia de explosivos a la pena de ocho años de prisión mayor y las accesorias de suspensión de cargo público y de derecho de sufragio pasivo.</w:t>
      </w:r>
    </w:p>
    <w:p w:rsidR="00D06117" w:rsidRDefault="00D06117" w:rsidP="00D06117">
      <w:pPr>
        <w:pStyle w:val="TextoNormal"/>
      </w:pPr>
    </w:p>
    <w:p w:rsidR="00D06117" w:rsidRDefault="00D06117" w:rsidP="00D06117">
      <w:pPr>
        <w:pStyle w:val="TextoNormal"/>
      </w:pPr>
      <w:r>
        <w:t>c) Por Auto de 22 de julio de 1998 se aprobó por la Sección Primera de la Sala de lo Penal de la Audiencia Nacional la acumulación de sus condenas, entre ellas las dos antes citadas, fijando en treinta años el tiempo total de cumplimiento de todas las penas privativas de libertad que fueron impuestas al penado, ex art. 70.2 del Código penal (CP) de 1973.</w:t>
      </w:r>
    </w:p>
    <w:p w:rsidR="00D06117" w:rsidRDefault="00D06117" w:rsidP="00D06117">
      <w:pPr>
        <w:pStyle w:val="TextoNormal"/>
      </w:pPr>
    </w:p>
    <w:p w:rsidR="00D06117" w:rsidRDefault="00D06117" w:rsidP="00D06117">
      <w:pPr>
        <w:pStyle w:val="TextoNormal"/>
      </w:pPr>
      <w:r>
        <w:t>d) Mediante providencia de 9 de febrero de 1999 dictada por la misma Sección Primera se acordó la liquidación provisional de condena practicada por el Secretario Judicial, que fijaba como fecha final de cumplimiento de la misma el 7 de abril de 2020, luego rectificada por providencia de 7 de abril de 1999, que fijó como fecha final de cumplimiento la de 8 de abril de 2019.</w:t>
      </w:r>
    </w:p>
    <w:p w:rsidR="00D06117" w:rsidRDefault="00D06117" w:rsidP="00D06117">
      <w:pPr>
        <w:pStyle w:val="TextoNormal"/>
      </w:pPr>
    </w:p>
    <w:p w:rsidR="00D06117" w:rsidRDefault="00D06117" w:rsidP="00D06117">
      <w:pPr>
        <w:pStyle w:val="TextoNormal"/>
      </w:pPr>
      <w:r>
        <w:t>e) Con fecha 10 de julio de 2006 el Director del centro penitenciario de Castellón, en el que el señor Etxeberría Lete cumple condena, dirigió escrito al Tribunal sentenciador elevando propuesta de licenciamiento definitivo para el día 10 de septiembre de 2006, una vez descontadas las redenciones que le habían sido aprobadas.</w:t>
      </w:r>
    </w:p>
    <w:p w:rsidR="00D06117" w:rsidRDefault="00D06117" w:rsidP="00D06117">
      <w:pPr>
        <w:pStyle w:val="TextoNormal"/>
      </w:pPr>
    </w:p>
    <w:p w:rsidR="00D06117" w:rsidRDefault="00D06117" w:rsidP="00D06117">
      <w:pPr>
        <w:pStyle w:val="TextoNormal"/>
      </w:pPr>
      <w:r>
        <w:t>f) Recibida notificación de las redenciones aprobadas, por providencia de 28 de julio de 2006, el Tribunal sentenciador solicitó al centro penitenciario de Castellón que elaborara nueva hoja de cálculo de condena conforme a los criterios establecidos por el Tribunal Supremo en su Sentencia 197/2006, de 28 de febrero. Dicha providencia fue recurrida en súplica por el penado mediante escrito de fecha 28 de agosto de 2006. El recurso fue desestimado por Auto de 13 de septiembre de 2006.</w:t>
      </w:r>
    </w:p>
    <w:p w:rsidR="00D06117" w:rsidRDefault="00D06117" w:rsidP="00D06117">
      <w:pPr>
        <w:pStyle w:val="TextoNormal"/>
      </w:pPr>
    </w:p>
    <w:p w:rsidR="00D06117" w:rsidRDefault="00D06117" w:rsidP="00D06117">
      <w:pPr>
        <w:pStyle w:val="TextoNormal"/>
      </w:pPr>
      <w:r>
        <w:t>g) Por providencia de 21 de septiembre de 2006, aprobada la propuesta del centro penitenciario y en aplicación de la nueva doctrina sobre el art. 70.2 CP 1973, se fijó la fecha de 8 de abril de 2019 como fecha de licenciamiento. Esta providencia, notificada el 25 de septiembre de 2006 no fue recurrida, por lo que devino definitiva.</w:t>
      </w:r>
    </w:p>
    <w:p w:rsidR="00D06117" w:rsidRDefault="00D06117" w:rsidP="00D06117">
      <w:pPr>
        <w:pStyle w:val="TextoNormal"/>
      </w:pPr>
    </w:p>
    <w:p w:rsidR="00D06117" w:rsidRDefault="00D06117" w:rsidP="00D06117">
      <w:pPr>
        <w:pStyle w:val="TextoNormal"/>
      </w:pPr>
      <w:r>
        <w:t>h) Veinticuatro días después, el 19 de octubre de 2006, el señor Etxeberría Lete presentó un escrito ante el Tribunal sentenciador en el que solicitó el licenciamiento definitivo por cumplimiento de la pena y la consiguiente puesta en libertad.</w:t>
      </w:r>
    </w:p>
    <w:p w:rsidR="00D06117" w:rsidRDefault="00D06117" w:rsidP="00D06117">
      <w:pPr>
        <w:pStyle w:val="TextoNormal"/>
      </w:pPr>
    </w:p>
    <w:p w:rsidR="00D06117" w:rsidRDefault="00D06117" w:rsidP="00D06117">
      <w:pPr>
        <w:pStyle w:val="TextoNormal"/>
      </w:pPr>
      <w:r>
        <w:t>i) El 30 de octubre de 2006 la Sección Primera de la Sala de lo Penal de la Audiencia Nacional señaló mediante providencia no haber lugar a la referida solicitud de licenciamiento, dado que la providencia de 21 de septiembre de 2006 acordó otra fecha y había de estarse a lo acordado en esa última resolución.</w:t>
      </w:r>
    </w:p>
    <w:p w:rsidR="00D06117" w:rsidRDefault="00D06117" w:rsidP="00D06117">
      <w:pPr>
        <w:pStyle w:val="TextoNormal"/>
      </w:pPr>
    </w:p>
    <w:p w:rsidR="00D06117" w:rsidRDefault="00D06117" w:rsidP="00D06117">
      <w:pPr>
        <w:pStyle w:val="TextoNormal"/>
      </w:pPr>
      <w:r>
        <w:t xml:space="preserve">j) Contra la anterior resolución se interpuso recurso de súplica, que fue desestimado por Auto de 21 de noviembre de 2006, en el que se reafirma la doctrina sentada en la STS 197/2006, de 28 de febrero, que considera aplicable al presente caso. El Auto fue notificado </w:t>
      </w:r>
      <w:r>
        <w:lastRenderedPageBreak/>
        <w:t>el día 15 de diciembre de 2006 a la representación procesal del señor Etxeberría Lete, quien interpuso recurso de amparo.</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 25.2 CE), a la libertad (art. 17.1 CE) y a la igualdad en la aplicación de la ley (art. 14 CE).</w:t>
      </w:r>
    </w:p>
    <w:p w:rsidR="00D06117" w:rsidRDefault="00D06117" w:rsidP="00D06117">
      <w:pPr>
        <w:pStyle w:val="TextoNormal"/>
      </w:pPr>
    </w:p>
    <w:p w:rsidR="00D06117" w:rsidRDefault="00D06117" w:rsidP="00D06117">
      <w:pPr>
        <w:pStyle w:val="TextoNormal"/>
      </w:pPr>
      <w:r>
        <w:t>a) Como primer motivo de amparo, se denuncia la vulneración de los derechos a la tutela judicial efectiva, sin que quepa indefensión (art. 24.1 CE), y a un proceso con todas las garantías (art. 24.2 CE), así como el derecho a un recurso efectivo [art. 14.5 del Pacto internacional de derechos civiles y políticos (PIDCP)], todo ello en relación con el art. 17 CE. Con cita de las SSTC 123/2005 y 11/1987, expone la demanda que la Audiencia Nacional, en su providencia de 21 de septiembre de 2006, acordó una nueva fecha de licenciamiento, retrasándola hasta 2019, sin dar traslado a la defensa del señor Etxeberría Lete,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w:t>
      </w:r>
    </w:p>
    <w:p w:rsidR="00D06117" w:rsidRDefault="00D06117" w:rsidP="00D06117">
      <w:pPr>
        <w:pStyle w:val="TextoNormal"/>
      </w:pPr>
    </w:p>
    <w:p w:rsidR="00D06117" w:rsidRDefault="00D06117" w:rsidP="00D06117">
      <w:pPr>
        <w:pStyle w:val="TextoNormal"/>
      </w:pPr>
      <w:r>
        <w:t>Del mismo modo, se alega la violación del derecho a la defensa (art. 24.1 CE), a un proceso con las debidas garantías (art. 24.2 CE) en relación con los arts. 13 del Convenio europeo para la protección de los derechos humanos y de las libertades fundamentales (CEDH) y 14.5 PDCIP, por cuanto el Auto de 21 de noviembre de 2006 establece que la providencia de 21 de septiembre de 2006, contra la que se recurría, es una mera ejecución de lo acordado por el Tribunal Supremo en su Sentencia de 28 de febrero de 2006. Con esta respuesta —se afirma— la Audiencia Nacional evita entrar en el debate procesal planteado por la parte, hurtándole una posibilidad de impugnar un acto que ha lesionado sus derechos.</w:t>
      </w:r>
    </w:p>
    <w:p w:rsidR="00D06117" w:rsidRDefault="00D06117" w:rsidP="00D06117">
      <w:pPr>
        <w:pStyle w:val="TextoNormal"/>
      </w:pPr>
    </w:p>
    <w:p w:rsidR="00D06117" w:rsidRDefault="00D06117" w:rsidP="00D06117">
      <w:pPr>
        <w:pStyle w:val="TextoNormal"/>
      </w:pPr>
      <w:r>
        <w:t>b) En un segundo motivo de amparo, se aduce la vulneración del principio de legalidad (art. 25.1 y 25.2 CE) en relación con el art. 9.1 CE, como consecuencia de la interpretación realizada por el órgano judicial de los arts. 70.2 y 100 CP 1973, así como de los arts. 66 del Reglamento de prisiones de 1956 y del art. 202 del Reglamento penitenciario actual.</w:t>
      </w:r>
    </w:p>
    <w:p w:rsidR="00D06117" w:rsidRDefault="00D06117" w:rsidP="00D06117">
      <w:pPr>
        <w:pStyle w:val="TextoNormal"/>
      </w:pPr>
    </w:p>
    <w:p w:rsidR="00D06117" w:rsidRDefault="00D06117" w:rsidP="00D06117">
      <w:pPr>
        <w:pStyle w:val="TextoNormal"/>
      </w:pPr>
      <w:r>
        <w:t>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00D06117" w:rsidRDefault="00D06117" w:rsidP="00D06117">
      <w:pPr>
        <w:pStyle w:val="TextoNormal"/>
      </w:pPr>
    </w:p>
    <w:p w:rsidR="00D06117" w:rsidRDefault="00D06117" w:rsidP="00D06117">
      <w:pPr>
        <w:pStyle w:val="TextoNormal"/>
      </w:pPr>
      <w:r>
        <w:t>El recurrente entiende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w:t>
      </w:r>
      <w:r>
        <w:lastRenderedPageBreak/>
        <w:t>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w:t>
      </w:r>
    </w:p>
    <w:p w:rsidR="00D06117" w:rsidRDefault="00D06117" w:rsidP="00D06117">
      <w:pPr>
        <w:pStyle w:val="TextoNormal"/>
      </w:pPr>
    </w:p>
    <w:p w:rsidR="00D06117" w:rsidRDefault="00D06117" w:rsidP="00D06117">
      <w:pPr>
        <w:pStyle w:val="TextoNormal"/>
      </w:pPr>
      <w:r>
        <w:t>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00D06117" w:rsidRDefault="00D06117" w:rsidP="00D06117">
      <w:pPr>
        <w:pStyle w:val="TextoNormal"/>
      </w:pPr>
    </w:p>
    <w:p w:rsidR="00D06117" w:rsidRDefault="00D06117" w:rsidP="00D06117">
      <w:pPr>
        <w:pStyle w:val="TextoNormal"/>
      </w:pPr>
      <w:r>
        <w:t>c) El tercer motivo de amparo denuncia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30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00D06117" w:rsidRDefault="00D06117" w:rsidP="00D06117">
      <w:pPr>
        <w:pStyle w:val="TextoNormal"/>
      </w:pPr>
    </w:p>
    <w:p w:rsidR="00D06117" w:rsidRDefault="00D06117" w:rsidP="00D06117">
      <w:pPr>
        <w:pStyle w:val="TextoNormal"/>
      </w:pPr>
      <w:r>
        <w:t>d) Como cuarto motivo de amparo, se considera vulnerado el principio de legalidad (arts.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w:t>
      </w:r>
      <w:r>
        <w:lastRenderedPageBreak/>
        <w:t>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e) En quinto lugar, invoca el derecho a la igualdad en la aplicación de la ley (art. 14 CE y art. 14 CEDH).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699/2003;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f) 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del señor Zabaleta ha cumplido un tiempo de estancia efectiva en prisión al que deberían sumarse las redenciones ordinarias y extraordinarias y licenciarlo cuando el cómputo de ambas llegue a 10.950 días, es decir al máximo de treinta años previsto en el art. 70.2 CP 1973. Sin embargo, las resoluciones recurridas retrasan la puesta en libertad del recurrente hasta el cumplimiento de los treinta años íntegros y, por tanto, violan el art. 17 CE y los arts. 5 y 15.1 CEDH, así como los arts. 9.1 y 5 y 15.1 PIDCP.</w:t>
      </w:r>
    </w:p>
    <w:p w:rsidR="00D06117" w:rsidRDefault="00D06117" w:rsidP="00D06117">
      <w:pPr>
        <w:pStyle w:val="TextoNormal"/>
      </w:pPr>
    </w:p>
    <w:p w:rsidR="00D06117" w:rsidRDefault="00D06117" w:rsidP="00D06117">
      <w:pPr>
        <w:pStyle w:val="TextoNormal"/>
      </w:pPr>
      <w:r>
        <w:t xml:space="preserve">g) Finalmente, se invoca el art. 25.2 CE, en relación con las reglas mínimas para tratamiento de los reclusos elaboradas por Naciones Unidas y el art. 10.3 PIDCP. Se destaca </w:t>
      </w:r>
      <w:r>
        <w:lastRenderedPageBreak/>
        <w:t>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30 de octubre de 2007, la Sala Segunda de este Tribunal acordó la admisión a trámite de la demanda así como, a tenor de lo establecido en el art. 51 de la Ley Orgánica del Tribunal Constitucional (LOTC), requerir atentamente a la Sección Primera de la Sala de lo Penal de la Audiencia Nacional para que remitiera testimonio de las actuaciones correspondientes a la ejecutoria 11-1991, interesando al tiempo que se emplazara a quienes fueron parte en el procedimiento, a excepción del demandante de amparo, para que pudiesen comparecer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A través de una diligencia de ordenación de 9 de enero de 2008 se acordó dar vista de las actuaciones a las partes personadas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t>El Ministerio Fiscal considera que procede ordenar de modo distinto al propuesto en la demanda los motivos de amparo. Es por ello que comienza por el examen del séptimo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00D06117" w:rsidRDefault="00D06117" w:rsidP="00D06117">
      <w:pPr>
        <w:pStyle w:val="TextoNormal"/>
      </w:pPr>
    </w:p>
    <w:p w:rsidR="00D06117" w:rsidRDefault="00D06117" w:rsidP="00D06117">
      <w:pPr>
        <w:pStyle w:val="TextoNormal"/>
      </w:pPr>
      <w:r>
        <w:t>A continuación, el Ministerio Fiscal analiza —para rechazarlo— el primero de los motivos de amparo recogidos en la demanda, en el que se denuncia la falta de audiencia de la defensa con carácter previo a la aplicación de la nueva doctrina establecida por la Sala Segunda del Tribunal Supremo en su Sentencia 197/2006.</w:t>
      </w:r>
    </w:p>
    <w:p w:rsidR="00D06117" w:rsidRDefault="00D06117" w:rsidP="00D06117">
      <w:pPr>
        <w:pStyle w:val="TextoNormal"/>
      </w:pPr>
    </w:p>
    <w:p w:rsidR="00D06117" w:rsidRDefault="00D06117" w:rsidP="00D06117">
      <w:pPr>
        <w:pStyle w:val="TextoNormal"/>
      </w:pPr>
      <w:r>
        <w:t>El Ministerio Fiscal sostiene la carencia manifiesta de fundamento de este motivo, desde el momento en que, por dos ocasiones, la representación del actor ha hecho uso efectivo de este derecho a ser oído, en concreto, cuando interpuso recurso de súplica contra la providencia de 28 de julio de 2006 y, posteriormente, cuando volvió a formular recurso de súplica contra la providencia de 30 de octubre de 2006, formulando en ambas ocasiones las alegaciones que tuvo por conveniente.</w:t>
      </w:r>
    </w:p>
    <w:p w:rsidR="00D06117" w:rsidRDefault="00D06117" w:rsidP="00D06117">
      <w:pPr>
        <w:pStyle w:val="TextoNormal"/>
      </w:pPr>
    </w:p>
    <w:p w:rsidR="00D06117" w:rsidRDefault="00D06117" w:rsidP="00D06117">
      <w:pPr>
        <w:pStyle w:val="TextoNormal"/>
      </w:pPr>
      <w:r>
        <w:t xml:space="preserve">Por lo que se refiere a la segunda queja que el recurrente articula en torno de este motivo —la eventual vulneración del derecho de acceso al recurso— el Ministerio Fiscal considera que tal queja no puede prosperar desde el momento en que el acceso a la casación está </w:t>
      </w:r>
      <w:r>
        <w:lastRenderedPageBreak/>
        <w:t>vedado por la norma procesal (art. 236 de la Ley de enjuiciamiento criminal) que impide interponer recurso de casación contra una providencia y no, como pretende el recurrente, por el órgano judicial.</w:t>
      </w:r>
    </w:p>
    <w:p w:rsidR="00D06117" w:rsidRDefault="00D06117" w:rsidP="00D06117">
      <w:pPr>
        <w:pStyle w:val="TextoNormal"/>
      </w:pPr>
    </w:p>
    <w:p w:rsidR="00D06117" w:rsidRDefault="00D06117" w:rsidP="00D06117">
      <w:pPr>
        <w:pStyle w:val="TextoNormal"/>
      </w:pPr>
      <w:r>
        <w:t>El Ministerio Fiscal afirma que la referencia al art. 15 PDCIP no está bien formulada, por cuanto este artículo se refiere al derecho al recurso frente a resoluciones judiciales definitivas que hayan enjuiciado un hecho, lo hayan calificado como delito y hayan impuesto al acusado una determinada pena, dándose la circunstancia de que en el presente caso nos hallamos en el ámbito de la ejecución de una condena ya establecida.</w:t>
      </w:r>
    </w:p>
    <w:p w:rsidR="00D06117" w:rsidRDefault="00D06117" w:rsidP="00D06117">
      <w:pPr>
        <w:pStyle w:val="TextoNormal"/>
      </w:pPr>
    </w:p>
    <w:p w:rsidR="00D06117" w:rsidRDefault="00D06117" w:rsidP="00D06117">
      <w:pPr>
        <w:pStyle w:val="TextoNormal"/>
      </w:pPr>
      <w:r>
        <w:t>Por lo que respecta al cuarto de los motivos de amparo, en el que se alega vulneración del art. 25.1 CE por aplicación retroactiva de normas desfavorables, sostiene el Ministerio Fiscal que —frente a lo afirmado en la demanda— no nos encontramos ante un supuesto de aplicación retroactiva del art. 78 CP 1995, sino ante un cambio de criterio jurisprudencial en la interpretación del art. 70.2 CP vigente al tiempo de comisión de los hechos, siendo este último precepto el que se ha aplicado en todo momento.</w:t>
      </w:r>
    </w:p>
    <w:p w:rsidR="00D06117" w:rsidRDefault="00D06117" w:rsidP="00D06117">
      <w:pPr>
        <w:pStyle w:val="TextoNormal"/>
      </w:pPr>
    </w:p>
    <w:p w:rsidR="00D06117" w:rsidRDefault="00D06117" w:rsidP="00D06117">
      <w:pPr>
        <w:pStyle w:val="TextoNormal"/>
      </w:pPr>
      <w:r>
        <w:t>Finalmente, el Ministerio Fiscal rechaza también la denunciada vulneración del derecho a la igualdad en la aplicación de la ley (art. 14 CE). En primer lugar, porque el órgano judicial que ha dictado las resoluciones impugnadas (la Audiencia Nacional) es distinto de aquel que sentó la doctrina supuestamente discriminatoria (el Tribunal Supremo). Y, en segundo lugar, porque en todo caso el cambio de criterio se fundamenta razonablemente en la Sentencia de la Sala Segunda del Tribunal Supremo y tiene vocación de generalidad y permanencia, por lo que satisface las exigencias de la jurisprudencia constitucional.</w:t>
      </w:r>
    </w:p>
    <w:p w:rsidR="00D06117" w:rsidRDefault="00D06117" w:rsidP="00D06117">
      <w:pPr>
        <w:pStyle w:val="TextoNormal"/>
      </w:pPr>
    </w:p>
    <w:p w:rsidR="00D06117" w:rsidRDefault="00D06117" w:rsidP="00D06117">
      <w:pPr>
        <w:pStyle w:val="TextoNormal"/>
      </w:pPr>
      <w:r>
        <w:t>A continuación, el Ministerio Fiscal considera conjuntamente los motivos enunciados en la demanda como motivos segundo (vulneración del principio de igualdad ex art. 25.1 y 2 en relación con el art. 9.1 CE), tercero (vulneración del derecho a la tutela judicial efectiva y a no padecer indefensión en relación con el derecho a la libertad personal, ex art. 17 CE) y sexto (vulneración del art. 17.1 CE en cuanto a la libertad personal del demandante de amparo).</w:t>
      </w:r>
    </w:p>
    <w:p w:rsidR="00D06117" w:rsidRDefault="00D06117" w:rsidP="00D06117">
      <w:pPr>
        <w:pStyle w:val="TextoNormal"/>
      </w:pPr>
    </w:p>
    <w:p w:rsidR="00D06117" w:rsidRDefault="00D06117" w:rsidP="00D06117">
      <w:pPr>
        <w:pStyle w:val="TextoNormal"/>
      </w:pPr>
      <w:r>
        <w:t>Para el Ministerio Fiscal el debate que sugiere la demanda de amparo parte de los siguientes hechos: a) El órgano judicial había dictado en ejecución de Sentencia una resolución judicial (Auto de acumulación de 23 de julio de 1988 y providencia de 9 de febrero de 1999, acordando fecha de licenciamiento definitivo) y en virtud de la cual había analizado la refundición de condenas y acordado una fecha de licenciamiento definitiva para el condenado, atendiendo además a criterios de redención de penas por el trabajo. b) Las resoluciones judiciales recurridas (providencia de 28 de julio de 2006, que fija una nueva fecha de licenciamiento definitivo, y Auto de 13 de septiembre de 2006, que desestima el recurso de súplica interpuesto contra la anterior providencia) modificaron el inicial criterio como consecuencia de la concurrencia de esa nueva interpretación sobre refundición de penas efectuada en la STS de 28 de febrero de 2006. Y debe plantearse en los términos siguientes: “si ese cambio de los elementos de criterio interpretativo que la Sala llevó a efecto y que implican drásticas consecuencias temporales en cuanto a la fecha de licenciamiento, casi cinco años de diferencia, suponen las vulneraciones de derechos fundamentales antedichas”.</w:t>
      </w:r>
    </w:p>
    <w:p w:rsidR="00D06117" w:rsidRDefault="00D06117" w:rsidP="00D06117">
      <w:pPr>
        <w:pStyle w:val="TextoNormal"/>
      </w:pPr>
    </w:p>
    <w:p w:rsidR="00D06117" w:rsidRDefault="00D06117" w:rsidP="00D06117">
      <w:pPr>
        <w:pStyle w:val="TextoNormal"/>
      </w:pPr>
      <w:r>
        <w:lastRenderedPageBreak/>
        <w:t>El criterio de legalidad de ejecución penal forma parte del contenido del principio de legalidad, de tal modo que resulta esencial determinar el tiempo de la resolución judicial que fijó la liquidación de condena y los criterios empleados para ello (Auto de 29 de julio de 1998), sin que a priori éstos puedan variarse en virtud de una resolución judicial posterior que interpreta las normas atinentes de otra manera (STS de 28 de febrero de 2006), pues la modificación de la primera resolución judicial, que se basa en una interpretación concreta de la normativa en juego, en atención a una nueva interpretación de dicha normativa comporta la vulneración del derecho a la intangibilidad de las resoluciones judiciales ex art. 24.1 CE. El Ministerio Fiscal reconoce que este derecho no ha sido expresamente alegado por la parte, a pesar de lo cual su denuncia se desprende cuando se argumenta el derecho a la tutela judicial efectiva.</w:t>
      </w:r>
    </w:p>
    <w:p w:rsidR="00D06117" w:rsidRDefault="00D06117" w:rsidP="00D06117">
      <w:pPr>
        <w:pStyle w:val="TextoNormal"/>
      </w:pPr>
    </w:p>
    <w:p w:rsidR="00D06117" w:rsidRDefault="00D06117" w:rsidP="00D06117">
      <w:pPr>
        <w:pStyle w:val="TextoNormal"/>
      </w:pPr>
      <w:r>
        <w:t>Por lo demás, el derecho fundamental a la intangibilidad de las resoluciones judiciales tiene engarce con el principio de legalidad (art. 25.1 CE) en relación con la prohibición de retroactividad de las normas penales perjudiciales para el reo (art. 9.3 CE), ya que las garantías de legalidad y seguridad jurídica que exigen ambos preceptos constitucionales deben extenderse no sólo al enjuiciamiento de los hechos como tipicidad cierta, taxativa y previsible, sino también a la ejecución de las penas, de modo que la irretroactividad de las normas y su interpretación desfavorable al reo debe integrarse en el complejo de legalidad del art. 25.1 CE (con cita de jurisprudencia del Tribunal Europeo de Derechos Humanos).</w:t>
      </w:r>
    </w:p>
    <w:p w:rsidR="00D06117" w:rsidRDefault="00D06117" w:rsidP="00D06117">
      <w:pPr>
        <w:pStyle w:val="TextoNormal"/>
      </w:pPr>
    </w:p>
    <w:p w:rsidR="00D06117" w:rsidRDefault="00D06117" w:rsidP="00D06117">
      <w:pPr>
        <w:pStyle w:val="TextoNormal"/>
      </w:pPr>
      <w:r>
        <w:t>En el asunto objeto del recurso de amparo las resoluciones judiciales no se han limitado a variar la fecha de licenciamiento (de conformidad con los extremos anejos al devenir del cumplimiento de la pena impuesta, por ejemplo, con datos relativos a la redención de penas por el trabajo) sino que la han alterado de manera desfavorable al reo, aportando una revisión interpretativa desfavorable que supone de facto —concluye– “la creación ex novo de un nuevo marco para-normativo que ha causado una extensión de la fecha de licenciamiento del interno”.</w:t>
      </w:r>
    </w:p>
    <w:p w:rsidR="00D06117" w:rsidRDefault="00D06117" w:rsidP="00D06117">
      <w:pPr>
        <w:pStyle w:val="TextoNormal"/>
      </w:pPr>
    </w:p>
    <w:p w:rsidR="00D06117" w:rsidRDefault="00D06117" w:rsidP="00D06117">
      <w:pPr>
        <w:pStyle w:val="TextoNormal"/>
      </w:pPr>
      <w:r>
        <w:t>Finalmente, la vulneración del derecho a la libertad personal (art. 17.1 CE) resulta ser consecuencia inexcusable de las dos vulneraciones anteriores [derecho a la intangibilidad de las resoluciones judiciales (art. 24.1 CE) y legalidad penal en relación con la irretroactividad de lo desfavorable para el reo (art. 25.1 en relación con el art. 9.3 CE)]. En efecto, a resultas de la nueva y desfavorable interpretación de la normativa en juego que las resoluciones judiciales han efectuado en contra del reo, éste obtiene el licenciamiento definitivo en fecha muy posterior a la prevista.</w:t>
      </w:r>
    </w:p>
    <w:p w:rsidR="00D06117" w:rsidRDefault="00D06117" w:rsidP="00D06117">
      <w:pPr>
        <w:pStyle w:val="TextoNormal"/>
      </w:pPr>
    </w:p>
    <w:p w:rsidR="00D06117" w:rsidRDefault="00D06117" w:rsidP="00D06117">
      <w:pPr>
        <w:pStyle w:val="TextoNormal"/>
      </w:pPr>
      <w:r w:rsidRPr="00D06117">
        <w:rPr>
          <w:rStyle w:val="NumeroAFNegritaCaracter"/>
        </w:rPr>
        <w:t>6</w:t>
      </w:r>
      <w:r>
        <w:t>. La representación procesal del demandante de amparo formuló sus alegaciones mediante escrito que tuvo su entrada en el Registro General de este Tribunal el día 13 de febrero de 2008, en el que sustancialmente reproduce los argumentos ya expuestos en la demanda. Añade, en relación con el quinto motivo de amparo, la referencia a dos casos de condenados en el mismo procedimiento y a los que no les fue aplicada la doctrina establecida en la STS 197/2006.</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El día 21 de febrero de 2008 presentó sus alegaciones el Ministerio Fiscal, interesando la estimación del amparo solicitado y la anulación de las resoluciones recurridas, por entender que éstas han vulnerado los derechos fundamentales de ejecución de las resoluciones </w:t>
      </w:r>
      <w:r>
        <w:lastRenderedPageBreak/>
        <w:t>judiciales en sus propios términos (art. 24.1 CE), legalidad penal (art. 25.1 CE), y de libertad personal (art. 17.1 CE), a los que hace referencia la demanda de amparo.</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21 de junio de 2011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9</w:t>
      </w:r>
      <w:r>
        <w:t>. Con fecha 5 de diciembre de 2011, la representación procesal de don Pello Etxeberría Lete solicita la suspensión de la aplicación de las resoluciones judiciales.</w:t>
      </w:r>
    </w:p>
    <w:p w:rsidR="00D06117" w:rsidRDefault="00D06117" w:rsidP="00D06117">
      <w:pPr>
        <w:pStyle w:val="TextoNormal"/>
      </w:pPr>
    </w:p>
    <w:p w:rsidR="00D06117" w:rsidRDefault="00D06117" w:rsidP="00D06117">
      <w:pPr>
        <w:pStyle w:val="TextoNormal"/>
      </w:pPr>
      <w:r>
        <w:t>El Pleno, por providencia de 20 de diciembre de 2011, acordó formar pieza separada para la tramitación del incidente sobre la suspensión solicitada en el escrito de 5 de diciembre de 2011 y conceder al recurrente y al Ministerio Fiscal el plazo común de tres días para que alegasen lo que estimasen pertinente sobre dicha suspensión.</w:t>
      </w:r>
    </w:p>
    <w:p w:rsidR="00D06117" w:rsidRDefault="00D06117" w:rsidP="00D06117">
      <w:pPr>
        <w:pStyle w:val="TextoNormal"/>
      </w:pPr>
    </w:p>
    <w:p w:rsidR="00D06117" w:rsidRDefault="00D06117" w:rsidP="00D06117">
      <w:pPr>
        <w:pStyle w:val="TextoNormal"/>
      </w:pPr>
      <w:r>
        <w:t>Evacuado dicho trámite, el Pleno, por Auto 23/2012, de 31 de enero,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22 de mayo de 2012 se señaló para deliberación y votación de la presente Sentencia el día 24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Primera de la Sala de lo Penal de la Audiencia Nacional, de 21 de noviembre de 2006, que desestima el recurso de súplica contra la providencia de la misma Sala de 30 de octubre de 2006, que denegó el licenciamiento solicitado por el actor.</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un proceso con todas las garantías (art. 24.2 CE), a la legalidad (art. 25.1 y 2 CE), a la libertad (art. 17.1 CE) y a la igualdad en la aplicación de la ley (art. 14 CE), con la argumentación que queda ampliamente expuesta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entender concurrente la vulneración del derecho a la intangibilidad de las resoluciones judiciales firmes (art. 24.1 CE), en relación con el derecho a la no retroactividad desfavorable para el reo (arts. 25.1 y 9.3 CE) y con el derecho a la libertad personal (art. 17.1 CE).</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Con carácter previo al examen de fondo de las pretensiones de la demanda de amparo debemos pronunciarnos sobre la concurrencia de los requisitos para su admisibilidad establecidos en la Ley Orgánica de este Tribunal (LOTC),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69/2003, de 9 de abril, FJ </w:t>
      </w:r>
      <w:r>
        <w:lastRenderedPageBreak/>
        <w:t>2; 249/2006, de 24 de julio, FJ 1; y 191/2009, de 28 de septiembre, FJ 2), pues el cumplimiento de los requisitos legales para la interposición de la demanda de amparo es una materia de orden público procesal, no disponible para las partes ni para el propio Tribunal (entre otras, SSTC 228/2007, de 5 de noviembre, FJ 2, y 20/2008, de 31 de enero, FJ 3). Así pues, la comprobación de los presupuestos procesales para la viabilidad de la acción puede volver a 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las recientes SSTC 10/2011, de 28 de febrero, FJ 2; 28/2011, de 14 de marzo, FJ 3; 29/2011, de 14 de marzo, FJ 3; 68/2011, de 16 de mayo, FJ 2; 89/2011, de 6 de junio, FJ 2; y 105/2011, de 20 de junio, FJ 2).</w:t>
      </w:r>
    </w:p>
    <w:p w:rsidR="00D06117" w:rsidRDefault="00D06117" w:rsidP="00D06117">
      <w:pPr>
        <w:pStyle w:val="TextoNormal"/>
      </w:pPr>
    </w:p>
    <w:p w:rsidR="00D06117" w:rsidRDefault="00D06117" w:rsidP="00D06117">
      <w:pPr>
        <w:pStyle w:val="TextoNormal"/>
      </w:pPr>
      <w:r>
        <w:t>En el presente caso, cabe plantearse si la demanda incurre en la causa de inadmisión establecida en el art. 50.1 a) LOTC, en relación con el art. 44.2 del mismo texto normativo, pues, como se ha puesto de manifiesto en los antecedentes y consta en las citadas actuaciones, la providencia que aprobó la propuesta de licenciamiento en aplicación de la doctrina sobre el art. 70.2 del Código penal (CP) de 1973 emanada a partir de la Sentencia 197/2006 del Tribunal Supremo —y contra la que debe dirigirse el recurso de amparo por ser ésta la que eventualmente conculca los derechos del recurrente— fue aprobada el día 21 de septiembre de 2006 y fue notificada al penado con fecha 25 de septiembre de 2006 quien interpuso el recurso de amparo el 16 de enero de 2007, esto es, transcurrido ya el plazo de caducidad establecido en el art. 44.2 LOTC para la iniciación de este proceso constitucional, plazo que a raíz de las modificaciones introducidas en la regulación del recurso de amparo por la Ley Orgánica 6/2007, de 24 de mayo, se ha ampliado a treinta días.</w:t>
      </w:r>
    </w:p>
    <w:p w:rsidR="00D06117" w:rsidRDefault="00D06117" w:rsidP="00D06117">
      <w:pPr>
        <w:pStyle w:val="TextoNormal"/>
      </w:pPr>
    </w:p>
    <w:p w:rsidR="00D06117" w:rsidRDefault="00D06117" w:rsidP="00D06117">
      <w:pPr>
        <w:pStyle w:val="TextoNormal"/>
      </w:pPr>
      <w:r>
        <w:t>Sin embargo, tal consideración resulta inadecuada pues, en el presente caso, el recurrente no dirige su queja contra la providencia de 21 de septiembre de 2006 que fijó para el 8 de abril de 2019 la nueva fecha de su licenciamiento (en aplicación de la doctrina establecida en la STS 197/2006), ya que, como ya se ha expuesto, el recurrente se aquieta a la referida providencia y no interpone contra la misma el correspondiente recurso.</w:t>
      </w:r>
    </w:p>
    <w:p w:rsidR="00D06117" w:rsidRDefault="00D06117" w:rsidP="00D06117">
      <w:pPr>
        <w:pStyle w:val="TextoNormal"/>
      </w:pPr>
    </w:p>
    <w:p w:rsidR="00D06117" w:rsidRDefault="00D06117" w:rsidP="00D06117">
      <w:pPr>
        <w:pStyle w:val="TextoNormal"/>
      </w:pPr>
      <w:r>
        <w:t>Por el contrario, la demanda de amparo se formaliza contra las resoluciones de la Sala de lo Penal de la Audiencia Nacional de acuerdo con lo dispuesto en la Sentencia de la Audiencia Nacional 3/1997, de 22 de enero, que respondieron a su escrito de solicitud de licenciamiento (a saber, providencia de 30 de octubre de 2006 y Auto de 21 de noviembre del mismo año); resoluciones, especialmente el Auto, que respondieron motivadamente a las posiciones del recurrente y, al hacerlo, retomaron un debate que, por lo tanto, no podemos considerar que quedara cerrado cuando la providencia de 21 de septiembre de 2006 devino definitiva. En este sentido ya dijimos en la STC 93/2009, de 20 de abril, FJ 2 “que ni corresponde a este Tribunal pronunciarse sobre la supuesta extemporaneidad del incidente de nulidad de actuaciones una vez que el órgano judicial competente para conocer del mismo lo ha admitido a trámite y se ha pronunciado sobre la pretensión de nulidad solicitada sin estimar aquella supuesta extemporaneidad”, de esta manera reiterábamos una doctrina contenida entre otras en las Sentencias 185/2001, de 17 de septiembre y 37/2003, de 25 de febrero.</w:t>
      </w:r>
    </w:p>
    <w:p w:rsidR="00D06117" w:rsidRDefault="00D06117" w:rsidP="00D06117">
      <w:pPr>
        <w:pStyle w:val="TextoNormal"/>
      </w:pPr>
    </w:p>
    <w:p w:rsidR="00D06117" w:rsidRDefault="00D06117" w:rsidP="00D06117">
      <w:pPr>
        <w:pStyle w:val="TextoNormal"/>
      </w:pPr>
      <w:r>
        <w:t xml:space="preserve">El recurso de amparo se interpone, en otras palabras, contra las resoluciones que han denegado la libertad al recurrente, sin que se pueda olvidar en este punto la actualidad de la </w:t>
      </w:r>
      <w:r>
        <w:lastRenderedPageBreak/>
        <w:t>eventual lesión del derecho a la libertad, quien sigue privado de la misma (STC 128/1995, de 22 de junio, FJ 2). Precisamente porque se dirige contra estas resoluciones, la demanda alega la vulneración de los derechos a la tutela judicial efectiva y a las garantías del proceso (art. 24.1 y 2 CE, en relación con el derecho a la libertad, art. 17.1 CE).</w:t>
      </w:r>
    </w:p>
    <w:p w:rsidR="00D06117" w:rsidRDefault="00D06117" w:rsidP="00D06117">
      <w:pPr>
        <w:pStyle w:val="TextoNormal"/>
      </w:pPr>
    </w:p>
    <w:p w:rsidR="00D06117" w:rsidRDefault="00D06117" w:rsidP="00D06117">
      <w:pPr>
        <w:pStyle w:val="TextoNormal"/>
      </w:pPr>
      <w:r w:rsidRPr="00D06117">
        <w:rPr>
          <w:rStyle w:val="NumeroAFNegritaCaracter"/>
        </w:rPr>
        <w:t>3</w:t>
      </w:r>
      <w:r>
        <w:t>. De igual modo que el Ministerio Fiscal, por razones sistemáticas y de claridad expositiva procederemos a abordar por otro orden distinto del propuesto en la demanda, los motivos de amparo alegados. Así, comenzaremos por el grupo de quejas de carácter procesal articuladas como primer motivo de amparo para, a continuación, adentrarnos en los motivos que denuncian la cuestión de fondo. Para ello analizaremos, en primer lugar, los motivos relativos a la eventual vulneración del principio de legalidad penal recogido en el art. 25.1 y 2 CE (que se enuncian en segundo, cuarto y séptimo por la demanda de amparo) y, a continuación, a la alegada violación del principio de igualdad en la aplicación de la ley (art. 14 CE), expuesto en el motivo quinto de la demanda. Procederemos, por último, al examen de las quejas que se refieren a la vulneración del derecho a la tutela judicial efectiva (art. 24.1 CE), en relación con el derecho a la libertad (art. 17.1 CE), en su vertiente de derecho a la intangibilidad de las resoluciones judiciales firmes; quejas que se exponen en como los motivos tercero y sexto de la demanda.</w:t>
      </w:r>
    </w:p>
    <w:p w:rsidR="00D06117" w:rsidRDefault="00D06117" w:rsidP="00D06117">
      <w:pPr>
        <w:pStyle w:val="TextoNormal"/>
      </w:pPr>
    </w:p>
    <w:p w:rsidR="00D06117" w:rsidRDefault="00D06117" w:rsidP="00D06117">
      <w:pPr>
        <w:pStyle w:val="TextoNormal"/>
      </w:pPr>
      <w:r w:rsidRPr="00D06117">
        <w:rPr>
          <w:rStyle w:val="NumeroAFNegritaCaracter"/>
        </w:rPr>
        <w:t>4</w:t>
      </w:r>
      <w:r>
        <w:t>. En la primera de las quejas articuladas en la demanda, bajo la invocación de los derechos a la tutela judicial efectiva (art. 24.1 CE) y a un proceso con todas las garantías (art. 24.2 CE), se denuncia la indefensión generada por el hecho de que la primera de las resoluciones recurridas se adoptó sin dar audiencia a las partes, pese a introducir una perspectiva jurídica novedosa en el cómputo de las redenciones de penas por el trabajo. Esta queja ha de ser inadmitida, al concurrir respecto de ella el óbice procesal de falta de invocación ante los órganos de la jurisdicción ordinaria [art. 44.1 c) LOTC].</w:t>
      </w:r>
    </w:p>
    <w:p w:rsidR="00D06117" w:rsidRDefault="00D06117" w:rsidP="00D06117">
      <w:pPr>
        <w:pStyle w:val="TextoNormal"/>
      </w:pPr>
    </w:p>
    <w:p w:rsidR="00D06117" w:rsidRDefault="00D06117" w:rsidP="00D06117">
      <w:pPr>
        <w:pStyle w:val="TextoNormal"/>
      </w:pPr>
      <w:r>
        <w:t>En efecto, de la mera lectura del recurso de súplica interpuesto contra la providencia de 28 de julio de 2006 por la que la Audiencia solicita del centro penitenciario de Castellón que elabore una nueva hoja de cálculo de condena conforme a la doctrina sentada por el Tribunal Supremo en su Sentencia de 28 de febrero de 2006, así como en el recurso de súplica interpuesto contra la providencia de 30 de octubre de 2006, por la que la Sala de lo Penal de la Audiencia Nacional afirma no haber lugar a la solicitud de licenciamiento solicitada por el señor Etxeberría Lete, dictadas sin darle audiencia, se desprende que el recurrente articuló una serie de motivos de recurso para oponerse a esa nueva perspectiva jurídica en el cómputo de las redenciones (lo que excluiría, como señala el Ministerio Fiscal, la indefensión denunciada), pero no denunció entonces indefensión alguna, trayéndose ahora per saltum en amparo.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 la inserción en el proceso judicial del problema constitucional objeto del recurso de amparo (por todas, entre las más recientes SSTC 132/2006, de 24 de abril, FJ 3; y 7/2007, de 15 de enero, FJ 3).</w:t>
      </w:r>
    </w:p>
    <w:p w:rsidR="00D06117" w:rsidRDefault="00D06117" w:rsidP="00D06117">
      <w:pPr>
        <w:pStyle w:val="TextoNormal"/>
      </w:pPr>
    </w:p>
    <w:p w:rsidR="00D06117" w:rsidRDefault="00D06117" w:rsidP="00D06117">
      <w:pPr>
        <w:pStyle w:val="TextoNormal"/>
      </w:pPr>
      <w:r>
        <w:lastRenderedPageBreak/>
        <w:t>Por otra parte, y dentro del primero de los motivos de amparo, se aduce la vulneración del derecho a un recurso efectivo. Tampoco esta queja puede prosperar, puesto que el recurrente —en contra de lo que sostiene— sí tuvo acceso al recurso legalmente previsto (el recurso de súplica), que, no obstante, no formuló, sino que, en su lugar, como se ha expuesto, dirigió escrito solicitando de la Audiencia su licenciamiento definitivo por cumplimiento de la pena. La Audiencia desestimó por providencia de 30 de octubre y Auto de 21 de noviembre, ambos de 2006, dicha solicitud considerando —con una fórmula poco acertada como la de “mera ejecución de lo acordado por la Sala Segunda del Tribunal Supremo” (en lugar de referirse a la aplicación de la doctrina allí sentada), pero que permite perfectamente conocer la ratio decidendi de la desestimación— que resultaba de aplicación al caso la nueva doctrina sentada por el Tribunal Supremo en relación con el cómputo de la redención de penas por el trabajo. Por lo demás, carece de fundamento constitucional la aplicación a un supuesto como éste de la doctrina relativa al doble grado de jurisdicción en materia penal, puesto que no está en cuestión el derecho a la revisión del fallo condenatorio y la pena por un Tribunal superior. Este es el derecho consagrado en el art. 14.5 del Pacto internacional de derechos civiles y políticos y en el art. 2 del Protocolo 7 del Convenio europeo para la protección de los derechos humanos y de las libertades fundamentales (ratificado por España el 28 de agosto de 2009, “BOE” de 15 de octubre de 2009) y que forma parte de las garantías del proceso justo consagradas en el art. 24.2 CE (por todas, SSTC 42/1982, de 5 de julio, FJ 3;76/1982, de 14 de diciembre, FJ 5;70/2002, de 3 de abril, FJ 7; y 116/2006, de 24 de abril, FJ 5), sin que sea posible extender el alcance de la citada garantía —como pretende el recurrente— a todos los recursos que puedan interponerse frente a cualquier resolución judicial dictada en un proceso penal.</w:t>
      </w:r>
    </w:p>
    <w:p w:rsidR="00D06117" w:rsidRDefault="00D06117" w:rsidP="00D06117">
      <w:pPr>
        <w:pStyle w:val="TextoNormal"/>
      </w:pPr>
    </w:p>
    <w:p w:rsidR="00D06117" w:rsidRDefault="00D06117" w:rsidP="00D06117">
      <w:pPr>
        <w:pStyle w:val="TextoNormal"/>
      </w:pPr>
      <w:r w:rsidRPr="00D06117">
        <w:rPr>
          <w:rStyle w:val="NumeroAFNegritaCaracter"/>
        </w:rPr>
        <w:t>5</w:t>
      </w:r>
      <w:r>
        <w:t>. Despejado este grupo de quejas de carácter procesal articuladas como primer motivo de amparo, en los restantes motivos se denuncia desde diversas perspectivas constitucionales la cuestión de fondo, esto es, la aplicación al presente caso de un nuevo criterio jurisprudencial en la interpretación de los arts. 70.2 y 100 CP 1973, y concordantes del reglamento penitenciario, en relación con el cómputo de la redención de penas por trabajo. 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cuarto). Un cambio de doctrina cuya aplicación al presente caso por la Audiencia Nacional implica que, si bien conforme al cómputo de las redenciones de penas por trabajo aplicado hasta ese momento, el recurrente habría extinguido ya su condena y debería haber obtenido la libertad el día 10 de septiembre de 2006 (según se desprende de la propuesta de licenciamiento definitivo enviada inicialmente por el centro penitenciario al órgano judicial el día 10 de julio de 2006), en aplicación del nuevo criterio la pena no se extinguiría hasta el día 8 de abril de 2019.</w:t>
      </w:r>
    </w:p>
    <w:p w:rsidR="00D06117" w:rsidRDefault="00D06117" w:rsidP="00D06117">
      <w:pPr>
        <w:pStyle w:val="TextoNormal"/>
      </w:pPr>
    </w:p>
    <w:p w:rsidR="00D06117" w:rsidRDefault="00D06117" w:rsidP="00D06117">
      <w:pPr>
        <w:pStyle w:val="TextoNormal"/>
      </w:pPr>
      <w:r>
        <w:t>El recurrente denuncia, como quedó reflejado en los antecedentes, la vulneración del principio de igualdad en la aplicación de la ley (art. 14); del principio de legalidad penal (art. 25.1 CE) —desde la doble perspectiva de la ilegitimidad del nuevo criterio interpretativo y la aplicación retroactiva de una ley desfavorable—; del derecho a la libertad (art. 17.1 CE); y del derecho a la tutela judicial efectiva (art. 24.1 CE), en relación con el derecho a la libertad. A la vista de lo cual, hemos de comenzar precisando cuáles son los derechos fundamentales en juego y cuál ha de ser nuestro parámetro de enjuiciamiento en esta materia.</w:t>
      </w:r>
    </w:p>
    <w:p w:rsidR="00D06117" w:rsidRDefault="00D06117" w:rsidP="00D06117">
      <w:pPr>
        <w:pStyle w:val="TextoNormal"/>
      </w:pPr>
    </w:p>
    <w:p w:rsidR="00D06117" w:rsidRDefault="00D06117" w:rsidP="00D06117">
      <w:pPr>
        <w:pStyle w:val="TextoNormal"/>
      </w:pPr>
      <w:r w:rsidRPr="00D06117">
        <w:rPr>
          <w:rStyle w:val="NumeroAFNegritaCaracter"/>
        </w:rPr>
        <w:t>6</w:t>
      </w:r>
      <w:r>
        <w:t>. La demanda de amparo contiene diversas quejas relativas a la eventual vulneración del principio de legalidad penal (art. 25.1 y 2 CE). Así, señala que las resoluciones judiciales recurridas han contrariado tal principio en el enunciado del mismo que alude al carácter rehabilitador y de reinserción social que deben de tener las penas señaladas a los diferentes tipos de delitos previstos en el Código penal.</w:t>
      </w:r>
    </w:p>
    <w:p w:rsidR="00D06117" w:rsidRDefault="00D06117" w:rsidP="00D06117">
      <w:pPr>
        <w:pStyle w:val="TextoNormal"/>
      </w:pPr>
    </w:p>
    <w:p w:rsidR="00D06117" w:rsidRDefault="00D06117" w:rsidP="00D06117">
      <w:pPr>
        <w:pStyle w:val="TextoNormal"/>
      </w:pPr>
      <w:r>
        <w:t>Esta queja ha de rechazarse a limine porque, como reiteradamente ha destacado nuestra doctrina (por todas, STC 28/1988), el artículo 25.2 CE no contiene un derecho fundamental del ciudadano susceptible de ser invocado en amparo, sino más bien un mandato dirigido al legislador para orientar la política penal y penitenciaria con objeto de que configure las sanciones penales para que cumplan los fines de reinserción y rehabilitación establecidos en la Constitución, sin que se deriven derechos subjetivos del mismo. Además, la queja del recurrente no se centra en el contenido de los preceptos legales o reglamentarios recogidos en el Código penal de 1973 y en los reglamentos penitenciarios que cita, sino en la interpretación que, a su juicio, es contra legem, de tales preceptos efectuada por la Sala de lo Penal de la Audiencia Nacional, que se hace eco de la doctrina recogida en una precedente Sentencia del Tribunal Supremo, por lo que, en todo caso, el motivo de amparo más bien carecería de autonomía propia y debería quedar vinculado por su conexión con las otras infracciones del derecho a la legalidad penal que denuncia.</w:t>
      </w:r>
    </w:p>
    <w:p w:rsidR="00D06117" w:rsidRDefault="00D06117" w:rsidP="00D06117">
      <w:pPr>
        <w:pStyle w:val="TextoNormal"/>
      </w:pPr>
    </w:p>
    <w:p w:rsidR="00D06117" w:rsidRDefault="00D06117" w:rsidP="00D06117">
      <w:pPr>
        <w:pStyle w:val="TextoNormal"/>
      </w:pPr>
      <w:r>
        <w:t>El recurrente se refiere asimismo a la vulneración del principio de legalidad penal en conexión con el principio de irretroactividad de las normas penales y restrictivas de derechos.</w:t>
      </w:r>
    </w:p>
    <w:p w:rsidR="00D06117" w:rsidRDefault="00D06117" w:rsidP="00D06117">
      <w:pPr>
        <w:pStyle w:val="TextoNormal"/>
      </w:pPr>
    </w:p>
    <w:p w:rsidR="00D06117" w:rsidRDefault="00D06117" w:rsidP="00D06117">
      <w:pPr>
        <w:pStyle w:val="TextoNormal"/>
      </w:pPr>
      <w:r>
        <w:t xml:space="preserve">Debemos en este sentido recordar que en el presente caso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europeo </w:t>
      </w:r>
      <w:r>
        <w:lastRenderedPageBreak/>
        <w:t>para la protección de los derechos humanos y de las libertades fundamentales, aunque sí pueden afectar al derecho a la libertad. En este sentido se pronuncia la STEDH de 10 de julio de 2003, Grava c. Italia, § 51, en un supuesto referido a la condonación de la pena citando, mutatis mutandis, Hogben contra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También debe rechazarse la denunciada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Código penal de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carecería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43/1997, de 10 de marzo, FJ 5; 20/2003, de 20 de febrero, FJ 4; y 116/2007, de 21 de mayo, FJ 9).</w:t>
      </w:r>
    </w:p>
    <w:p w:rsidR="00D06117" w:rsidRDefault="00D06117" w:rsidP="00D06117">
      <w:pPr>
        <w:pStyle w:val="TextoNormal"/>
      </w:pPr>
    </w:p>
    <w:p w:rsidR="00D06117" w:rsidRDefault="00D06117" w:rsidP="00D06117">
      <w:pPr>
        <w:pStyle w:val="TextoNormal"/>
      </w:pPr>
      <w:r w:rsidRPr="00D06117">
        <w:rPr>
          <w:rStyle w:val="NumeroAFNegritaCaracter"/>
        </w:rPr>
        <w:t>7</w:t>
      </w:r>
      <w:r>
        <w:t>. 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Como señala el Ministerio Fiscal, las resoluciones impugnadas, dictadas por la Audiencia Nacional, se limitan a aplicar la doctrina sentada por otro órgano judicial, el Tribunal Supremo, máximo intérprete de la ley, justificando el cambio de criterio en el cómputo de las redenciones de penas por el trabajo, frente a otros supuestos resueltos con anterioridad, precisamente en aplicación de esa doctrina del Tribunal Supremo. No puede apreciarse, por tanto, ni voluntarismo selectivo, ni apartamiento inmotivado del criterio aplicativo consoli</w:t>
      </w:r>
      <w:r>
        <w:lastRenderedPageBreak/>
        <w:t>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8</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del Código penal de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 CE, ya que el periodo de privación de la misma depende, entre otros factores, de su aplicación conforme a lo establecido en el art. 100 CP 1973 (SSTC 174/1989, de 30 de octubre, FJ 4; 31/1999, de 8 de marzo, FJ 3; 186/2003, de 27 de octubre, FJ 6; y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penitenciaria,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y ATC 279/2000, de 29 de noviembre, FJ 4).</w:t>
      </w:r>
    </w:p>
    <w:p w:rsidR="00D06117" w:rsidRDefault="00D06117" w:rsidP="00D06117">
      <w:pPr>
        <w:pStyle w:val="TextoNormal"/>
      </w:pPr>
    </w:p>
    <w:p w:rsidR="00D06117" w:rsidRDefault="00D06117" w:rsidP="00D06117">
      <w:pPr>
        <w:pStyle w:val="TextoNormal"/>
      </w:pPr>
      <w:r>
        <w:t xml:space="preserve">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w:t>
      </w:r>
      <w:r>
        <w:lastRenderedPageBreak/>
        <w:t>Convenio,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rsidRPr="00D06117">
        <w:rPr>
          <w:rStyle w:val="NumeroAFNegritaCaracter"/>
        </w:rPr>
        <w:t>9</w:t>
      </w:r>
      <w:r>
        <w:t>. Centrándonos ya en el caso concreto, nuestro examen se ha de limitar a la consideración de la respuesta judicial que se contiene en las resoluciones de la Audiencia Nacional recurridas, en las que se deniega la propuesta de licenciamiento definitivo del demandante de amparo, realizada por el centro penitenciario de Castellón. No es, pues, objeto del presente recurso de amparo la Sentencia 197/2006, de 28 de febrero, ni la interpretación de la legalidad ordinaria en ella sentada por el Tribunal Supremo, en uso legítimo de la función que le atribuye en exclusiva la Constitución. En consecuencia, procede que analicemos el tercero de los motivos de amparo, en el que el recurrente denuncia la vulneración del derecho a la tutela judicial efectiva (art. 24.1 CE), en relación con el derecho a la libertad (art. 17.1 CE), en su vertiente de derecho a la intangibilidad de las resoluciones judiciales firmes. El Ministerio Fiscal también entiende concurrente esta vulneración.</w:t>
      </w:r>
    </w:p>
    <w:p w:rsidR="00D06117" w:rsidRDefault="00D06117" w:rsidP="00D06117">
      <w:pPr>
        <w:pStyle w:val="TextoNormal"/>
      </w:pPr>
    </w:p>
    <w:p w:rsidR="00D06117" w:rsidRDefault="00D06117" w:rsidP="00D06117">
      <w:pPr>
        <w:pStyle w:val="TextoNormal"/>
      </w:pPr>
      <w:r>
        <w:t>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 xml:space="preserve">En definitiva, el derecho a la intangibilidad de las resoluciones judiciales firmes consagrado en el art. 24.1 CE como una de las vertientes del derecho a la tutela judicial efectiva no se circunscribe a los supuestos en que sea posible apreciar las identidades propias de la </w:t>
      </w:r>
      <w:r>
        <w:lastRenderedPageBreak/>
        <w:t>cosa juzgada formal, ni puede identificarse con este concepto jurídico procesal, sino que su alcance es mucho más amplio y se proyecta sobre todas aquellas cuestiones respecto de las que pueda afirmarse que una resolución judicial firme ha resuelto, conformado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(SSTC 15/2006, de 16 de enero, FJ 6; ) o sobre los que, aun no constituyendo el objeto mismo del proceso, resultan relevantes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10</w:t>
      </w:r>
      <w:r>
        <w:t>. La aplicación de la doctrina que acaba de exponerse al presente caso nos obliga a tomar en consideración —como ponen de relieve tanto el recurrente como el Ministerio Fiscal— una serie de datos, expuestos en la demanda de amparo, como antes ante la jurisdicción ordinaria, y que se constatan en el examen de las actuaciones recibidas.</w:t>
      </w:r>
    </w:p>
    <w:p w:rsidR="00D06117" w:rsidRDefault="00D06117" w:rsidP="00D06117">
      <w:pPr>
        <w:pStyle w:val="TextoNormal"/>
      </w:pPr>
    </w:p>
    <w:p w:rsidR="00D06117" w:rsidRDefault="00D06117" w:rsidP="00D06117">
      <w:pPr>
        <w:pStyle w:val="TextoNormal"/>
      </w:pPr>
      <w:r>
        <w:t>a) El demandante se encuentra cumpliendo condena por varias causas penales, de las que, a efectos de resolución de la presente solicitud de amparo, resultan relevantes las dos siguientes:</w:t>
      </w:r>
    </w:p>
    <w:p w:rsidR="00D06117" w:rsidRDefault="00D06117" w:rsidP="00D06117">
      <w:pPr>
        <w:pStyle w:val="TextoNormal"/>
      </w:pPr>
    </w:p>
    <w:p w:rsidR="00D06117" w:rsidRDefault="00D06117" w:rsidP="00D06117">
      <w:pPr>
        <w:pStyle w:val="TextoNormal"/>
      </w:pPr>
      <w:r>
        <w:t>- La Sentencia de 22 de enero de 1997 de la Sección Primera de la Sala de lo Penal de la Audiencia Nacional, en la que, en relación con unos hechos cometidos el día 27 de julio de 1987, se condena al recurrente como cooperador necesario de un delito de atentado contra miembro de cuerpo de seguridad del Estado en acción terrorista a la pena de veintisiete años de reclusión mayor. Con la agravante de relación con actividades terroristas fue condenado por los siguientes delitos: siete asesinatos frustrados, a la pena de veintitrés años cuatro meses y un día de reclusión menor por cada uno de los delitos; seis faltas de lesiones a la pena de veinticinco días de arresto menor por cada una de ellas; dos delitos de robo con toma de rehenes a la pena de diez años y un día de prisión mayor por cada uno de ellos; un delito de estragos a la pena de diez años y un día de prisión mayor. A las accesorias de inhabilitación absoluta en cuanto a las penas de reclusión mayor y a las de suspensión de cargo público en cuanto a las otras penas.</w:t>
      </w:r>
    </w:p>
    <w:p w:rsidR="00D06117" w:rsidRDefault="00D06117" w:rsidP="00D06117">
      <w:pPr>
        <w:pStyle w:val="TextoNormal"/>
      </w:pPr>
    </w:p>
    <w:p w:rsidR="00D06117" w:rsidRDefault="00D06117" w:rsidP="00D06117">
      <w:pPr>
        <w:pStyle w:val="TextoNormal"/>
      </w:pPr>
      <w:r>
        <w:t>El fallo de esta Sentencia, en la que se procede a la acumulación de las penas correspondientes a los cinco delitos y las seis faltas, incluye la siguiente afirmación: “Aplíquese la Regla 2ª del art. 70 del Código Penal para fijar el tiempo máximo de cumplimiento, excepto para el caso en que llegado el momento de la liquidación de condena, los acusados no hubieran dado lugar a redención de penas por el trabajo, supuesto en que podría resultar más beneficioso el límite establecido en el art. 76 de la LO 10/95 que procedería aplicar”.</w:t>
      </w:r>
    </w:p>
    <w:p w:rsidR="00D06117" w:rsidRDefault="00D06117" w:rsidP="00D06117">
      <w:pPr>
        <w:pStyle w:val="TextoNormal"/>
      </w:pPr>
    </w:p>
    <w:p w:rsidR="00D06117" w:rsidRDefault="00D06117" w:rsidP="00D06117">
      <w:pPr>
        <w:pStyle w:val="TextoNormal"/>
      </w:pPr>
      <w:r>
        <w:lastRenderedPageBreak/>
        <w:t>- La Sentencia de la Sección Tercera de la Sala de lo Penal de la Audiencia Nacional, de 28 de enero de 1997, en la que se condena al recurrente, en relación con unos hechos cometidos los días 16 y 17 de octubre de 1988, como autor de un delito de terrorismo a la pena de doce años de prisión mayor, con las accesorias de suspensión de cargo público y derecho de sufragio pasivo, de un delito de atentado a la pena de treinta años de reclusión mayor y accesoria de inhabilitación absoluta durante el tiempo de la condena y como autor de un delito de tenencia de explosivos a la pena de ocho años de prisión mayor y las accesorias de suspensión de cargo público y de derecho de sufragio pasivo. También en este caso la Sentencia, en su fundamento jurídico 1, se refiere expresamente al límite máximo de los treinta años de cumplimiento.</w:t>
      </w:r>
    </w:p>
    <w:p w:rsidR="00D06117" w:rsidRDefault="00D06117" w:rsidP="00D06117">
      <w:pPr>
        <w:pStyle w:val="TextoNormal"/>
      </w:pPr>
    </w:p>
    <w:p w:rsidR="00D06117" w:rsidRDefault="00D06117" w:rsidP="00D06117">
      <w:pPr>
        <w:pStyle w:val="TextoNormal"/>
      </w:pPr>
      <w:r>
        <w:t>El fundamento jurídico 1 de esta Sentencia incluye una consideración sobre la procedencia de la aplicación del Código penal vigente en el momento de dictar la Sentencia (1995) y el vigente en el momento de la comisión de los hechos, resolviendo a favor de la aplicación del anterior Código, “puesto que por las normas concursales, la pena a aplicar conforme a ambos textos legales se traduce en un máximo de treinta años y siempre será más favorable el que otorga la posibilidad de redimir las penas por el trabajo”. Por Auto de 22 de julio de 1998 las referidas penas fueron “acumuladas” en aplicación del art. 70.2 CP 1973, estableciéndose en dicha resolución como tiempo global de cumplimiento el de treinta años de privación de libertad.</w:t>
      </w:r>
    </w:p>
    <w:p w:rsidR="00D06117" w:rsidRDefault="00D06117" w:rsidP="00D06117">
      <w:pPr>
        <w:pStyle w:val="TextoNormal"/>
      </w:pPr>
    </w:p>
    <w:p w:rsidR="00D06117" w:rsidRDefault="00D06117" w:rsidP="00D06117">
      <w:pPr>
        <w:pStyle w:val="TextoNormal"/>
      </w:pPr>
      <w:r>
        <w:t>Sobre ese límite máximo de cumplimiento operaban con carácter general los beneficios otorgados por la ley y, en concreto, la libertad condicional y la redención de penas por el trabajo, de conformidad con la interpretación que al respecto venían haciendo los órganos de la jurisdicción ordinaria encargados de la ejecución. El día 7 de abril de 1999 se practicó la liquidación de condena de las causas refundidas, en la que se establece que, por aplicación de la regla segunda del art. 70 CP 1973 cumplirá por todas ellas un máximo de treinta años (10.950 días), y que la pena estará cumplida el 8 de abril de 2019, fecha en la que deberá ser puesto en libertad.</w:t>
      </w:r>
    </w:p>
    <w:p w:rsidR="00D06117" w:rsidRDefault="00D06117" w:rsidP="00D06117">
      <w:pPr>
        <w:pStyle w:val="TextoNormal"/>
      </w:pPr>
    </w:p>
    <w:p w:rsidR="00D06117" w:rsidRDefault="00D06117" w:rsidP="00D06117">
      <w:pPr>
        <w:pStyle w:val="TextoNormal"/>
      </w:pPr>
      <w:r>
        <w:t>b) Desde la fecha en que fueron dictadas las resoluciones anteriores, no existe constancia en las actuaciones de ninguna decisión de los órganos judiciales o de la administración penitenciaria de la que pueda desprenderse otro criterio en el ´computo de las redenciones por el trabajo.</w:t>
      </w:r>
    </w:p>
    <w:p w:rsidR="00D06117" w:rsidRDefault="00D06117" w:rsidP="00D06117">
      <w:pPr>
        <w:pStyle w:val="TextoNormal"/>
      </w:pPr>
    </w:p>
    <w:p w:rsidR="00D06117" w:rsidRDefault="00D06117" w:rsidP="00D06117">
      <w:pPr>
        <w:pStyle w:val="TextoNormal"/>
      </w:pPr>
      <w:r>
        <w:t>En esa lógica, con fecha 10 de julio de 2006, el Director del centro penitenciario de Castellón, en el que el señor Etxeberría Lete cumple condena, dirigió escrito al Tribunal sentenciador elevando propuesta de licenciamiento definitivo para el día 10 de septiembre de 2006, una vez descontadas las redenciones que le habían sido aprobadas.</w:t>
      </w:r>
    </w:p>
    <w:p w:rsidR="00D06117" w:rsidRDefault="00D06117" w:rsidP="00D06117">
      <w:pPr>
        <w:pStyle w:val="TextoNormal"/>
      </w:pPr>
    </w:p>
    <w:p w:rsidR="00D06117" w:rsidRDefault="00D06117" w:rsidP="00D06117">
      <w:pPr>
        <w:pStyle w:val="TextoNormal"/>
      </w:pPr>
      <w:r>
        <w:t>c) Sin embargo, por providencia de 28 de julio de 2006, la Sala de lo Penal de la Audiencia Nacional no aprobó dicho licenciamiento, sino que instó al centro penitenciario de Castellón para que procediese a elaborar nueva hoja de cálculo de condena conforme a la STS de 28 de febrero de 2006. Cumpliendo este requerimiento, el día 21 de agosto de 2006, el Director del centro penitenciario de Castellón interesó la aprobación del licenciamiento definitivo del recurrente para el día 8 de abril de 2019, lo que fue aprobado por providencia de 21 de septiembre de 2006.</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11</w:t>
      </w:r>
      <w:r>
        <w:t>. De la lectura de los datos que acaban de exponerse se desprende que, como sostiene el recurrente, a lo largo de toda la ejecutoria el cómputo de las redenciones de pena por trabajo se ha venido realizando sobre el límite máximo de cumplimiento de treinta años, del que se descontaban tanto los días de cumplimiento efectivo como los redimidos por trabajo, plasmándose dicho criterio en los cálculos periódicos elaborados por los centros penitenciarios, hasta llegar a la liquidación de condena sobre cuya base se realiza la propuesta de licenciamiento definitivo por el centro penitenciario de Castellón.</w:t>
      </w:r>
    </w:p>
    <w:p w:rsidR="00D06117" w:rsidRDefault="00D06117" w:rsidP="00D06117">
      <w:pPr>
        <w:pStyle w:val="TextoNormal"/>
      </w:pPr>
    </w:p>
    <w:p w:rsidR="00D06117" w:rsidRDefault="00D06117" w:rsidP="00D06117">
      <w:pPr>
        <w:pStyle w:val="TextoNormal"/>
      </w:pPr>
      <w:r>
        <w:t>En el presente caso, puede afirmarse que tanto la Sentencia de 22 de enero de 1997 de la Sección Primera, como la Sentencia de 28 de enero de 1997 de la Sección Tercera, ambas de la Sala de lo Penal de la Audiencia Nacional, no sólo resuelven acerca de cuál es la ley aplicable ante la sucesión normativa generada por la entrada en vigor del nuevo Código penal, sino que al adoptar su decisión lo hacen sobre la base de un determinado criterio de cómputo de las redenciones que resulta determinante para considerar más favorable lo hacen o no el Código anterior.</w:t>
      </w:r>
    </w:p>
    <w:p w:rsidR="00D06117" w:rsidRDefault="00D06117" w:rsidP="00D06117">
      <w:pPr>
        <w:pStyle w:val="TextoNormal"/>
      </w:pPr>
    </w:p>
    <w:p w:rsidR="00D06117" w:rsidRDefault="00D06117" w:rsidP="00D06117">
      <w:pPr>
        <w:pStyle w:val="TextoNormal"/>
      </w:pPr>
      <w:r>
        <w:t>La Sentencia de 28 de enero, por ejemplo, es clara cuando se expresa a este respecto: “La disyuntiva —sostiene en su FJ 1— entre la aplicación del Código Penal actual y el vigente en el momento de la comisión de los hechos se resuelve a favor de la aplicación del anterior Código, puesto que por las normas concursales, la pena a aplicar conforme a ambos textos legales se traduce en un máximo de treinta años y siempre será más favorable el que otorga la posibilidad de redimir las penas por el trabajo”.</w:t>
      </w:r>
    </w:p>
    <w:p w:rsidR="00D06117" w:rsidRDefault="00D06117" w:rsidP="00D06117">
      <w:pPr>
        <w:pStyle w:val="TextoNormal"/>
      </w:pPr>
    </w:p>
    <w:p w:rsidR="00D06117" w:rsidRDefault="00D06117" w:rsidP="00D06117">
      <w:pPr>
        <w:pStyle w:val="TextoNormal"/>
      </w:pPr>
      <w:r>
        <w:t>Al razonar de esta manera, la Sentencia está conformando la realidad jurídica relativa a la ejecución de la pena privativa de libertad y creando una situación jurídica consolidada no sólo respecto de la ley aplicable, sino también respecto del criterio de cómputo de las redenciones que sustenta su decisión. Este criterio, conforme al cual ha venido ejecutándose la pena, no puede ser ignorado por el propio órgano judicial en decisiones posteriores, como las recurridas en amparo, sin hacer desaparecer la eficacia de su anterior resolución.</w:t>
      </w:r>
    </w:p>
    <w:p w:rsidR="00D06117" w:rsidRDefault="00D06117" w:rsidP="00D06117">
      <w:pPr>
        <w:pStyle w:val="TextoNormal"/>
      </w:pPr>
    </w:p>
    <w:p w:rsidR="00D06117" w:rsidRDefault="00D06117" w:rsidP="00D06117">
      <w:pPr>
        <w:pStyle w:val="TextoNormal"/>
      </w:pPr>
      <w:r>
        <w:t>De la misma manera, la Sentencia de 22 de enero de 1997 sostiene en su fundamento jurídico 9: “Obligados por la Disposición Transitoria Segunda de la LO 10/95 a comprobar cuál sería la norma más favorable, si el Código Penal en vigor en el momento de la comisión de los hechos o el actualmente vigente, se estima que en el actual, las conductas enjuiciadas quedarían encuadradas en los arts. 163, 242, 244, 571, 572 y, pudiendo ser el resultado penológico únicamente más beneficioso, dado el concurso real en que se integran todos los delitos por los que condena, en orden al límite cuantitativo del tiempo de cumplimiento establecido en el art. 76 de la LO 10/95, para el caso en que los acusados no se acogieran al derecho a la redención de penas regulada en el art. 100 del CP anterior. Cómputo y valoración que sólo será posible realizar cuando liquidada definitivamente la presente condena con otras que pudieran estar pendientes por otras causas, se esté en disposición de fijar el límite más favorable que corresponda”. Y, posteriormente, incluir en su fallo la siguiente afirmación: “Aplíquese la Regla 2ª del art. 70 del Código Penal para fijar el tiempo máximo de cumplimiento, excepto para el caso en que llegado el momento de la liquidación de condena, los acusados no hubieran dado lugar a redención de penas por el trabajo, supuesto en que podría resultar más beneficioso el límite establecido en el art. 76 de la LO 10/95 que procedería aplicar”.</w:t>
      </w:r>
    </w:p>
    <w:p w:rsidR="00D06117" w:rsidRDefault="00D06117" w:rsidP="00D06117">
      <w:pPr>
        <w:pStyle w:val="TextoNormal"/>
      </w:pPr>
    </w:p>
    <w:p w:rsidR="00D06117" w:rsidRDefault="00D06117" w:rsidP="00D06117">
      <w:pPr>
        <w:pStyle w:val="TextoNormal"/>
      </w:pPr>
      <w:r>
        <w:lastRenderedPageBreak/>
        <w:t>En definitiva, aun siendo distinto su objeto, existe una estricta relación de dependencia entre lo resuelto por las citadas Sentencias y las resoluciones recurridas en amparo, que impedía a éstas ignorar la realidad jurídica conformada por aquél en cuanto al criterio de cómputo de las redenciones, lo que nos conduce a afirmar que estas resoluciones desconocen la eficacia de lo resuelto con carácter firme e intangible por ambas Sentencias, vulnerando el derecho a la tutela judicial efectiva (art. 24.1 CE).</w:t>
      </w:r>
    </w:p>
    <w:p w:rsidR="00D06117" w:rsidRDefault="00D06117" w:rsidP="00D06117">
      <w:pPr>
        <w:pStyle w:val="TextoNormal"/>
      </w:pPr>
    </w:p>
    <w:p w:rsidR="00D06117" w:rsidRDefault="00D06117" w:rsidP="00D06117">
      <w:pPr>
        <w:pStyle w:val="TextoNormal"/>
      </w:pPr>
      <w:r>
        <w:t>Nada obsta a lo anterior el hecho de que el cambio de criterio de la Audiencia Nacional en septiembre de 2006 frente a su anterior decisión firme adoptada en 1997, se funde en la aplicación de un nuevo criterio interpretativo sentado por el Tribunal Supremo pocas semanas antes, pues los cambios de criterio jurisprudencial no pueden poner en cuestión la firmeza de la resolución anterior, ni justificar el desconocimiento de su eficacia y la vulneración del derecho a la intangibilidad de la realidad jurídica conformada por ella (STC 219/2000, de 18 de septiembre, FFJJ 6 y 7), lo que debió haber sido tenido en cuenta por el órgano judicial a la hora de determinar el alcance, en el caso concreto, del citado cambio de criterio jurisprudencial.</w:t>
      </w:r>
    </w:p>
    <w:p w:rsidR="00D06117" w:rsidRDefault="00D06117" w:rsidP="00D06117">
      <w:pPr>
        <w:pStyle w:val="TextoNormal"/>
      </w:pPr>
    </w:p>
    <w:p w:rsidR="00D06117" w:rsidRDefault="00D06117" w:rsidP="00D06117">
      <w:pPr>
        <w:pStyle w:val="TextoNormal"/>
      </w:pPr>
      <w:r w:rsidRPr="00D06117">
        <w:rPr>
          <w:rStyle w:val="NumeroAFNegritaCaracter"/>
        </w:rPr>
        <w:t>12</w:t>
      </w:r>
      <w:r>
        <w:t>. Pero nuestro pronunciamiento no puede agotarse en la declaración de la anterior vulneración, sino que ha de tomar en consideración las consecuencias que la misma tiene desde la perspectiva del derecho a la libertad (art. 17.1 CE) en juego.</w:t>
      </w:r>
    </w:p>
    <w:p w:rsidR="00D06117" w:rsidRDefault="00D06117" w:rsidP="00D06117">
      <w:pPr>
        <w:pStyle w:val="TextoNormal"/>
      </w:pPr>
    </w:p>
    <w:p w:rsidR="00D06117" w:rsidRDefault="00D06117" w:rsidP="00D06117">
      <w:pPr>
        <w:pStyle w:val="TextoNormal"/>
      </w:pPr>
      <w:r>
        <w:t>En efecto, a partir de la firmeza de lo decidido en la Sentencia de 28 de enero de 1997 y el posterior Auto de 22 de julio de 1998 (dictados ambos por el órgano judicial encargado de la ejecutoria y a quien correspondía determinar cómo y cuándo se cumple y se extingue la pena) y de la situación jurídica consolidada por las citadas resoluciones en cuanto al modo de cómputo de la redención de penas por el trabajo, la pena se ha venido ejecutando durante años sobre las bases tomadas en consideración en el mismo: aplicación del antiguo Código penal y de la redención de penas por el trabajo, que determina el abono de un día por cada dos de trabajo, y cómputo de los días redimidos como tiempo de cumplimiento efectivo, a descontar del máximo legal de treinta años resultante de la acumulación de condenas. Lo que se ha plasmado en actos inequívocos de la administración penitenciaria: las hojas de cálculo en las que se van realizando las liquidaciones provisionales de condena teniendo en cuenta los abonos derivados de la redención de penas por trabajo practicados periódicamente por el Juez de vigilancia penitenciaria a propuesta del centro penitenciario; y señaladamente la de fecha 10 de julio de 2006, que sirve de base a la propuesta de licenciamiento definitivo del penado para el día 10 de septiembre de 2006 elevada al órgano judicial por el Director del centro penitenciario.</w:t>
      </w:r>
    </w:p>
    <w:p w:rsidR="00D06117" w:rsidRDefault="00D06117" w:rsidP="00D06117">
      <w:pPr>
        <w:pStyle w:val="TextoNormal"/>
      </w:pPr>
    </w:p>
    <w:p w:rsidR="00D06117" w:rsidRDefault="00D06117" w:rsidP="00D06117">
      <w:pPr>
        <w:pStyle w:val="TextoNormal"/>
      </w:pPr>
      <w:r>
        <w:t>En esa fecha, por tanto, en aplicación del marco legal existente en el momento de comisión del hecho delictivo y computando la redención de penas por el trabajo conforme al criterio firme e intangible establecido por el propio órgano judicial encargado de la ejecución, el recurrente había cumplido ya la pena que le fue impuesta. Por tanto, y aunque el recurrente fue privado legítimamente de libertad, una vez cumplida la pena en los términos anteriormente expuestos, nos encontramos ante una privación de libertad fuera de los casos previstos por la ley, pues el título que la legitimaba se ha extinguido. Por ello, el exceso de tiempo pasado en prisión constituye una privación de libertad carente de base legal y lesiva del derecho fundamental a la libertad consagrado en el art. 17.1 CE (STC 322/2005, de 12 de diciembre, FFJJ 2 y 3; STEDH de 10 de julio de 2003, Grava c. Italia §§ 44 y 45).</w:t>
      </w:r>
    </w:p>
    <w:p w:rsidR="00D06117" w:rsidRDefault="00D06117" w:rsidP="00D06117">
      <w:pPr>
        <w:pStyle w:val="TextoNormal"/>
      </w:pPr>
    </w:p>
    <w:p w:rsidR="00D06117" w:rsidRDefault="00D06117" w:rsidP="00D06117">
      <w:pPr>
        <w:pStyle w:val="TextoNormal"/>
      </w:pPr>
      <w:r>
        <w:t>En un Estado de Derecho no cabe prolongar la privación de libertad de una persona que ha cumplido ya la condena que se le impuso en su día, por lo que los órganos de la jurisdicción ordinaria han de adoptar, con la mayor celeridad posible, las resoluciones que procedan a fin de que cese la vulneración del derecho fundamental a la libertad y se proceda a la inmediata puesta en libertad del recurrente.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don Pello Josepe Etxeberría Lete, y en consecuencia:</w:t>
      </w:r>
    </w:p>
    <w:p w:rsidR="00D06117" w:rsidRDefault="00D06117" w:rsidP="00D06117">
      <w:pPr>
        <w:pStyle w:val="TextoNormal"/>
      </w:pPr>
    </w:p>
    <w:p w:rsidR="00D06117" w:rsidRDefault="00D06117" w:rsidP="00D06117">
      <w:pPr>
        <w:pStyle w:val="TextoNormal"/>
      </w:pPr>
      <w:r>
        <w:t>1º Declarar vulnerados los derechos del demandante de amparo a la tutela judicial efectiva (art. 24.1 CE) y a la libertad (art. 17.1 CE).</w:t>
      </w:r>
    </w:p>
    <w:p w:rsidR="00D06117" w:rsidRDefault="00D06117" w:rsidP="00D06117">
      <w:pPr>
        <w:pStyle w:val="TextoNormal"/>
      </w:pPr>
    </w:p>
    <w:p w:rsidR="00D06117" w:rsidRDefault="00D06117" w:rsidP="00D06117">
      <w:pPr>
        <w:pStyle w:val="TextoNormal"/>
      </w:pPr>
      <w:r>
        <w:t>2º Restablecerlo en su derecho y, a tal fin, anular la providencia de 30 de octubre de 2006 y el Auto de 21 de noviembre de 2006, dictados ambos por la Sección Primera de la Sala de lo Penal de la Audiencia Nacional, retrotrayendo las actuaciones al momento anterior al pronunciamiento de la primera de las resoluciones, para que se dicte la resolución que proceda en términos respetuosos con los citados derechos fundamentales, de conformidad con lo establecido en los FFJJ 10, 11 y 12.</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veinticuatro de mayo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Javier Delgado Barrio respecto de la Sentencia de 24 de mayo de 2012, dictada en el recurso de amparo núm. 526-2007</w:t>
      </w:r>
    </w:p>
    <w:p w:rsidR="00D06117" w:rsidRDefault="00D06117" w:rsidP="00D06117">
      <w:pPr>
        <w:pStyle w:val="TextoNormalNegritaCentrado"/>
        <w:keepNext/>
      </w:pPr>
    </w:p>
    <w:p w:rsidR="00D06117" w:rsidRDefault="00D06117" w:rsidP="00D06117">
      <w:pPr>
        <w:pStyle w:val="TextoNormal"/>
      </w:pPr>
      <w:r>
        <w:t>Con el respeto que siempre me merecen las opiniones de mis compañeros, he de dejar constancia de mi discrepancia respecto de la señalada Sentencia.</w:t>
      </w:r>
    </w:p>
    <w:p w:rsidR="00D06117" w:rsidRDefault="00D06117" w:rsidP="00D06117">
      <w:pPr>
        <w:pStyle w:val="TextoNormal"/>
      </w:pPr>
    </w:p>
    <w:p w:rsidR="00D06117" w:rsidRDefault="00D06117" w:rsidP="00D06117">
      <w:pPr>
        <w:pStyle w:val="TextoNormal"/>
      </w:pPr>
      <w:r>
        <w:t>1. Creo que el recurso de amparo debió ser inadmitido por ser extemporáneo. Como se expone en la Sentencia, “la providencia que aprobó la propuesta de licenciamiento en aplicación de la doctrina sobre el art. 70.2 CP emanada a partir de la Sentencia 197/206 del Tribunal Supremo —y contra la que debe dirigirse el recurso de amparo por ser ésta la que eventualmente conculca los derechos del recurrente— fue aprobada el día 21 de septiembre de 2006 y fue notificada al penado con fecha de 25 de septiembre de 2006 quien interpuso el recurso de amparo el 16 de enero de 2007, esto es, transcurrido ya el plazo de caducidad establecido en el art. 44.2 de la Ley Orgánica del Tribunal Constitucional (LOTC) para la iniciación de este proceso constitucional”. Tal consideración, sin embargo, no lleva al Pleno a declarar la inadmisibilidad del recurso por su extemporaneidad, pues la mayoría ha enten</w:t>
      </w:r>
      <w:r>
        <w:lastRenderedPageBreak/>
        <w:t>dido que el recurso de amparo no se interponía contra esta resolución, sino contra la providencia de 30 de octubre de 2006 y Auto de 21 de noviembre del mismo año, indicando que estas resoluciones “respondieron motivadamente a las posiciones del recurrente y, al hacerlo, retomaron un debate que, por lo tanto no podemos considerar que quedara cerrado cuando la providencia de 21 de septiembre de 2006 devino definitiva” (FJ 2).</w:t>
      </w:r>
    </w:p>
    <w:p w:rsidR="00D06117" w:rsidRDefault="00D06117" w:rsidP="00D06117">
      <w:pPr>
        <w:pStyle w:val="TextoNormal"/>
      </w:pPr>
    </w:p>
    <w:p w:rsidR="00D06117" w:rsidRDefault="00D06117" w:rsidP="00D06117">
      <w:pPr>
        <w:pStyle w:val="TextoNormal"/>
      </w:pPr>
      <w:r>
        <w:t>Pero es claro que las referidas resoluciones no reabrieron el debate. Se limitaron a rechazar la petición formulada por el recurrente de que se acordara su licenciamiento definitivo por el cumplimiento de la pena y su consiguiente puesta en libertad, al apreciar que esta cuestión ya había sido resuelta por la providencia de 21 de septiembre de 2006 y debía estarse a lo acordado en esta resolución. La providencia de 30 de octubre de 2006 afirma literalmente “que por providencia de fecha 21-9-2006, (notificada en fecha 25-9-2006) se acordó el licenciamiento del referido penado para el día 8-4-2019, por lo que ha de estarse a lo acordado en dicha resolución.” Y el Auto de 21 de noviembre de 2006 por el que se resuelve el recurso de suplica interpuesto contra esta resolución confirmó la decisión impugnada por entender que “se basa en la providencia de 21/9/06, que es una mera ejecución de lo acordado por la Sala Segunda del Tribunal Supremo en su Sentencia de 28 de febrero de 2006”.</w:t>
      </w:r>
    </w:p>
    <w:p w:rsidR="00D06117" w:rsidRDefault="00D06117" w:rsidP="00D06117">
      <w:pPr>
        <w:pStyle w:val="TextoNormal"/>
      </w:pPr>
    </w:p>
    <w:p w:rsidR="00D06117" w:rsidRDefault="00D06117" w:rsidP="00D06117">
      <w:pPr>
        <w:pStyle w:val="TextoNormal"/>
      </w:pPr>
      <w:r>
        <w:t>Estas últimas resoluciones no pueden considerarse, por tanto, actos nuevos, sino que son mera confirmación de una resolución anterior consentida y firme, por lo que, en consecuencia, no permiten retomar un debate que quedó definitivamente resuelto por lo acordado en una resolución que devino firme por aquietamiento del interesado. Como ha sostenido este Tribunal, (STC 182/2004, de 2 de noviembre, FJ 5), los actos confirmatorios “no son en realidad actos nuevos, sino que se limitan a reiterar lo ya declarado en otra resolución anterior que es firme, por lo que, si se permitiera la impugnación de este tipo de actos, se estarían recurriendo en realidad actos que no son susceptibles de recurso, lo que supondría defraudar las normas que establecen los plazos para recurrir” [en el mismo sentido, SSTC 126/1984, de 26 de diciembre, FJ 3 c); 48/1998, de 2 de marzo, FJ 4 y 24/2003, de 10 de febrero, FJ 4], y por esta razón la STC 182/2004 consideró que al ser los actos impugnados confirmatorios de una resolución firme, no se podía entrar a analizar la vulneración constitucional que se imputaba a esta resolución. En los mismos términos hubiera debido decidirse este amparo.</w:t>
      </w:r>
    </w:p>
    <w:p w:rsidR="00D06117" w:rsidRDefault="00D06117" w:rsidP="00D06117">
      <w:pPr>
        <w:pStyle w:val="TextoNormal"/>
      </w:pPr>
    </w:p>
    <w:p w:rsidR="00D06117" w:rsidRDefault="00D06117" w:rsidP="00D06117">
      <w:pPr>
        <w:pStyle w:val="TextoNormal"/>
      </w:pPr>
      <w:r>
        <w:t>Y es que “las mismas razones de seguridad jurídica que justifican la preclusividad de los plazos procesales son las que justifican que dichos plazos no puedan reabrirse forzando la producción de un acto cuyo contenido es el mismo que otro anterior que es firme por no haber sido recurrido en tiempo y forma” (STC 24/2003, de 10 de febrero, FJ 4); regla que no admite excepción por el hecho de que los efectos de la lesión denunciada puedan prolongarse en el tiempo, ni siquiera aunque tales efectos incidan en la libertad, pues tal excepción quebraría las exigencias de certeza de las situaciones jurídicas inherentes al referido principio de seguridad jurídica que “como una exigencia objetiva del ordenamiento, se impone al funcionamiento de todos los órganos del Estado en el art. 9.3 CE” (entre otras muchas, STC 60/2008, de 26 de mayo, FJ 8).</w:t>
      </w:r>
    </w:p>
    <w:p w:rsidR="00D06117" w:rsidRDefault="00D06117" w:rsidP="00D06117">
      <w:pPr>
        <w:pStyle w:val="TextoNormal"/>
      </w:pPr>
    </w:p>
    <w:p w:rsidR="00D06117" w:rsidRDefault="00D06117" w:rsidP="00D06117">
      <w:pPr>
        <w:pStyle w:val="TextoNormal"/>
      </w:pPr>
      <w:r>
        <w:t xml:space="preserve">Por todo ello considero que, al haberse interpuesto el recurso de amparo contra resoluciones que son confirmación de otra anterior definitiva y firme, el recurso de amparo es, </w:t>
      </w:r>
      <w:r>
        <w:lastRenderedPageBreak/>
        <w:t>como he señalado, extemporáneo y, en consecuencia hubiera debido inadmitirse en virtud de lo dispuesto en el art. 50.1 a) en relación con el art. 44.2 LOTC.</w:t>
      </w:r>
    </w:p>
    <w:p w:rsidR="00D06117" w:rsidRDefault="00D06117" w:rsidP="00D06117">
      <w:pPr>
        <w:pStyle w:val="TextoNormal"/>
      </w:pPr>
    </w:p>
    <w:p w:rsidR="00D06117" w:rsidRDefault="00D06117" w:rsidP="00D06117">
      <w:pPr>
        <w:pStyle w:val="TextoNormal"/>
      </w:pPr>
      <w:r>
        <w:t>2. Tengo que añadir a lo expuesto, en cuanto al fondo, que creo que no se ha producido lesión del derecho a la tutela judicial efectiva —art. 24.1 CE—, como ya dijimos para un caso análogo en la muy reciente STC 65/2012, de 29 de marzo, de cuyo criterio se aparta la Sentencia de la que discrepo.</w:t>
      </w:r>
    </w:p>
    <w:p w:rsidR="00D06117" w:rsidRDefault="00D06117" w:rsidP="00D06117">
      <w:pPr>
        <w:pStyle w:val="TextoNormal"/>
      </w:pPr>
    </w:p>
    <w:p w:rsidR="00D06117" w:rsidRDefault="00D06117" w:rsidP="00D06117">
      <w:pPr>
        <w:pStyle w:val="TextoNormal"/>
      </w:pPr>
      <w:r>
        <w:t>En este punto me remito al Voto particular que formula don Manuel Aragón Reyes, que comparto en todos sus términos.</w:t>
      </w:r>
    </w:p>
    <w:p w:rsidR="00D06117" w:rsidRDefault="00D06117" w:rsidP="00D06117">
      <w:pPr>
        <w:pStyle w:val="TextoNormal"/>
      </w:pPr>
    </w:p>
    <w:p w:rsidR="00D06117" w:rsidRDefault="00D06117" w:rsidP="00D06117">
      <w:pPr>
        <w:pStyle w:val="TextoNormal"/>
      </w:pPr>
      <w:r>
        <w:t>Y este es mi parecer del que dejo constancia siempre con respeto a la mayoría de la que discrepo.</w:t>
      </w:r>
    </w:p>
    <w:p w:rsidR="00D06117" w:rsidRDefault="00D06117" w:rsidP="00D06117">
      <w:pPr>
        <w:pStyle w:val="TextoNormal"/>
      </w:pPr>
    </w:p>
    <w:p w:rsidR="00D06117" w:rsidRDefault="00D06117" w:rsidP="00D06117">
      <w:pPr>
        <w:pStyle w:val="TextoNormal"/>
      </w:pPr>
      <w:r>
        <w:t>Madrid, a veinticuatro de mayo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Ramón Rodríguez Arribas, respecto a la Sentencia dictada, el 24 de junio de 2012, en el recurso de amparo avocado a Pleno núm. 526-2007.</w:t>
      </w:r>
    </w:p>
    <w:p w:rsidR="00D06117" w:rsidRDefault="00D06117" w:rsidP="00D06117">
      <w:pPr>
        <w:pStyle w:val="TextoNormalNegritaCentrado"/>
        <w:keepNext/>
      </w:pPr>
    </w:p>
    <w:p w:rsidR="00D06117" w:rsidRDefault="00D06117" w:rsidP="00D06117">
      <w:pPr>
        <w:pStyle w:val="TextoNormal"/>
      </w:pPr>
      <w:r>
        <w:t>En el ejercicio de la facultad que nos confiere el art. 90.2 de la Ley Orgánica del Tribunal Constitucional (LOTC) y con el pleno respeto a la opinión de la mayoría, expreso mi discrepancia con la Sentencia que fundo en las siguientes consideraciones:</w:t>
      </w:r>
    </w:p>
    <w:p w:rsidR="00D06117" w:rsidRDefault="00D06117" w:rsidP="00D06117">
      <w:pPr>
        <w:pStyle w:val="TextoNormal"/>
      </w:pPr>
    </w:p>
    <w:p w:rsidR="00D06117" w:rsidRDefault="00D06117" w:rsidP="00D06117">
      <w:pPr>
        <w:pStyle w:val="TextoNormal"/>
      </w:pPr>
      <w:r>
        <w:t>En el fundamento jurídico 2 de la Sentencia de la que discrepo, se reconoce que la providencia dictada por la Sala de lo Penal de la Audiencia Nacional, aprobando la propuesta de licenciamiento del preso Pello Josepe Etxeberría Lete para el año 2019, en aplicación de la doctrina sentada por la Sala Segunda del Tribunal Supremo, en la Sentencia 197/2006 (conocida por “doctrina Parot”) fue notificada el 25 de septiembre de 2006 y que el presente recurso de amparo lo fue el 16 de enero de 2007 “esto es, transcurrido ya el plazo de caducidad establecido en el art. 44.2 LOTC para la iniciación de este proceso constitucional”, dándose además la circunstancia de que la referida providencia dictada con fecha 21 de septiembre de 2006, no fue impugnada, cuando podía serlo con el correspondiente recurso de súplica, quedando, por consiguiente, consentida , firme e inatacable, puesto que al no haberse agotado los recursos ordinarios procesalmente procedentes, también por dicha causa era inadmisible.</w:t>
      </w:r>
    </w:p>
    <w:p w:rsidR="00D06117" w:rsidRDefault="00D06117" w:rsidP="00D06117">
      <w:pPr>
        <w:pStyle w:val="TextoNormal"/>
      </w:pPr>
    </w:p>
    <w:p w:rsidR="00D06117" w:rsidRDefault="00D06117" w:rsidP="00D06117">
      <w:pPr>
        <w:pStyle w:val="TextoNormal"/>
      </w:pPr>
      <w:r>
        <w:t>Para salvar las patentes extemporaneidad y falta de agotamiento que imponía la inadmisión del recurso de amparo, la Sentencia de la mayoría emplea el argumento de que el mismo en realidad se dirigía “contra las resoluciones de la Sala de lo Penal de la Audiencia Nacional, de acuerdo con lo dispuesto en la Sentencia de la Audiencia Nacional 3/1997, de 22 de enero, que respondieron a su escrito de solicitud de licenciamiento, (a saber, providencia de 30 de octubre de 2006 y auto de 21 de noviembre del mismo año); resoluciones, especialmente el Auto, que respondieron motivadamente a las posiciones del recurrente y, al hacerlo, retomaron un debate que, por lo tanto, no podemos considerar que quedara cerrado cuando la providencia de 21 de septiembre de 2006 devino definitiva”.</w:t>
      </w:r>
    </w:p>
    <w:p w:rsidR="00D06117" w:rsidRDefault="00D06117" w:rsidP="00D06117">
      <w:pPr>
        <w:pStyle w:val="TextoNormal"/>
      </w:pPr>
    </w:p>
    <w:p w:rsidR="00D06117" w:rsidRDefault="00D06117" w:rsidP="00D06117">
      <w:pPr>
        <w:pStyle w:val="TextoNormal"/>
      </w:pPr>
      <w:r>
        <w:lastRenderedPageBreak/>
        <w:t>De lo literalmente transcrito se deduce la clara contradicción en que se incurre, pues si la providencia fue “definitiva” (aunque se quisiera decir “firme”) nada podía reabrir el debate sobre su contenido y menos lo que realmente sucedió y aparece procesalmente constatado en las actuaciones y paladinamente reconocido en los Antecedentes de la Sentencia de la mayoría. En efecto, después de consentir la providencia de la Sala sentenciadora que fijaba la fecha de licenciamiento en el día 8 de abril de 2019, la defensa del penado, al acercarse la fecha en que le hubiera podido corresponder la excarcelación de no aplicarse la conocida por “doctrina Parot”, formuló una solicitud de libertad que fue inicialmente contestada con una providencia que lo rechazaba y remitiéndose a la providencia firme y consentida ordenaba que se estuviera a lo acordado. Fue contra esta segunda providencia, ratificadora del contenido de la anteriormente dictada, contra la que se interpuso recurso de súplica en el que, al resolver mediante Auto necesariamente motivado, la Sala de la Audiencia Nacional explica por qué se confirma la providencia impugnada y en esta explicación se funda la Sentencia de la que me aparto, para sostener que el asunto de la fecha de licenciamiento del penado se ha reabierto.</w:t>
      </w:r>
    </w:p>
    <w:p w:rsidR="00D06117" w:rsidRDefault="00D06117" w:rsidP="00D06117">
      <w:pPr>
        <w:pStyle w:val="TextoNormal"/>
      </w:pPr>
    </w:p>
    <w:p w:rsidR="00D06117" w:rsidRDefault="00D06117" w:rsidP="00D06117">
      <w:pPr>
        <w:pStyle w:val="TextoNormal"/>
      </w:pPr>
      <w:r>
        <w:t>Pues bien, con esta tesis, que es de esperar no se aplique con carácter general, los plazos para interponer los recursos contra las resoluciones judiciales quedarán a disposición de las partes interesadas, siempre que reproduzcan la petición con posterioridad y consigan del Juzgado o Tribunal que la fundamentación denegatoria de la reiterada pretensión sea lo suficientemente explicita para poder considerar reabierto un debate definitivamente cerrado.</w:t>
      </w:r>
    </w:p>
    <w:p w:rsidR="00D06117" w:rsidRDefault="00D06117" w:rsidP="00D06117">
      <w:pPr>
        <w:pStyle w:val="TextoNormal"/>
      </w:pPr>
    </w:p>
    <w:p w:rsidR="00D06117" w:rsidRDefault="00D06117" w:rsidP="00D06117">
      <w:pPr>
        <w:pStyle w:val="TextoNormal"/>
      </w:pPr>
      <w:r>
        <w:t>Por lo expuesto y, reiterando el respeto que me merece la opinión contraria, debió declararse en la Sentencia, de cuyos fundamentos y fallo discrepo, la inadmisión del recurso de amparo como hemos hecho en casos similares siguiendo una consolidada doctrina de la que ahora lamentablemente nos apartamos.</w:t>
      </w:r>
    </w:p>
    <w:p w:rsidR="00D06117" w:rsidRDefault="00D06117" w:rsidP="00D06117">
      <w:pPr>
        <w:pStyle w:val="TextoNormal"/>
      </w:pPr>
    </w:p>
    <w:p w:rsidR="00D06117" w:rsidRDefault="00D06117" w:rsidP="00D06117">
      <w:pPr>
        <w:pStyle w:val="TextoNormal"/>
      </w:pPr>
      <w:r>
        <w:t>2. Aunque con lo dicho bastaría para fundar este Voto particular discrepante, es que, además, cuando en el fundamento jurídico 11 de la Sentencia de la mayoría se entra en el fondo, respecto de la supuesta vulneración del art. 24 CE en su vertiente de intangibilidad de las resoluciones judiciales firmes, se incurre en una reconstrucción de la demanda de amparo que también nuestra doctrina, de manera reiterada y constante, tiene proscrita.</w:t>
      </w:r>
    </w:p>
    <w:p w:rsidR="00D06117" w:rsidRDefault="00D06117" w:rsidP="00D06117">
      <w:pPr>
        <w:pStyle w:val="TextoNormal"/>
      </w:pPr>
    </w:p>
    <w:p w:rsidR="00D06117" w:rsidRDefault="00D06117" w:rsidP="00D06117">
      <w:pPr>
        <w:pStyle w:val="TextoNormal"/>
      </w:pPr>
      <w:r>
        <w:t>En efecto, en dicho fundamento jurídico 11 se dice “en el presente caso, puede afirmarse que tanto la Sentencia de 22 de enero de 1997 de la Sección Primera , como la Sentencia de 28 de enero de 1997 de la Sección Tercera, ambas de la Sala de lo Penal de la Audiencia Nacional, no sólo resuelven acerca de cuál es la ley aplicable ante la sucesión normativa generada por la entrada en vigor del nuevo Código penal, sino que al adoptar su decisión lo hacen sobre la base de un determinado criterio de cómputo de las redenciones que resulta determinante para considerar mas favorable …[lo hacen o no] el Código anterior”; y mas adelante se dice también que “en definitiva, aun siendo distinto su objeto, existe una estricta relación de dependencia entre lo resuelto por las citadas Sentencias y las resoluciones recurridas en amparo, que impedía a éstas ignorar la realidad jurídica conformada por aquél en cuanto al criterio de cómputo de las redenciones, lo que nos conduce a afirmar que estas resoluciones desconocen la eficacia de lo resuelto con carácter firme e intangible por ambas Sentencias, vulnerando el derecho a la tutela judicial efectiva (24.1 CE)”.</w:t>
      </w:r>
    </w:p>
    <w:p w:rsidR="00D06117" w:rsidRDefault="00D06117" w:rsidP="00D06117">
      <w:pPr>
        <w:pStyle w:val="TextoNormal"/>
      </w:pPr>
    </w:p>
    <w:p w:rsidR="00D06117" w:rsidRDefault="00D06117" w:rsidP="00D06117">
      <w:pPr>
        <w:pStyle w:val="TextoNormal"/>
      </w:pPr>
      <w:r>
        <w:lastRenderedPageBreak/>
        <w:t>Pues bien, queda claro que la intangibilidad se predica de las Sentencias condenatorias dictadas por la Sala de lo Penal de la Audiencia Nacional, cuestión que para nada invoca el recurrente en su demanda para solicitar el amparo, ni el Fiscal argumenta en ningún momento cuando apoya tal pretensión; las alegaciones del recurso se refieren a las resoluciones dictadas para la liquidación de las condenas. Con esta modificación, efectuada por la Sentencia dictada en el recurso, se produce una desviación no solo procesal sino de fondo que tampoco puedo suscribir, aún en el caso de que los óbices procesales, a mi juicio incontestables, no fueran admitidos.</w:t>
      </w:r>
    </w:p>
    <w:p w:rsidR="00D06117" w:rsidRDefault="00D06117" w:rsidP="00D06117">
      <w:pPr>
        <w:pStyle w:val="TextoNormal"/>
      </w:pPr>
    </w:p>
    <w:p w:rsidR="00D06117" w:rsidRDefault="00D06117" w:rsidP="00D06117">
      <w:pPr>
        <w:pStyle w:val="TextoNormal"/>
      </w:pPr>
      <w:r>
        <w:t>Por las razones expuestas, entiendo que debió inadmitirse en Sentencia la pretensión de amparo y en último extremo debió desestimarse.</w:t>
      </w:r>
    </w:p>
    <w:p w:rsidR="00D06117" w:rsidRDefault="00D06117" w:rsidP="00D06117">
      <w:pPr>
        <w:pStyle w:val="TextoNormal"/>
      </w:pPr>
    </w:p>
    <w:p w:rsidR="00D06117" w:rsidRDefault="00D06117" w:rsidP="00D06117">
      <w:pPr>
        <w:pStyle w:val="TextoNormal"/>
      </w:pPr>
      <w:r>
        <w:t>Madrid, a veinticuatro de mayo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Manuel Aragón Reyes, respecto de la Sentencia, otorgando el amparo solicitado, dictada por el Pleno en el recurso de amparo avocado núm. 526-2007.</w:t>
      </w:r>
    </w:p>
    <w:p w:rsidR="00D06117" w:rsidRDefault="00D06117" w:rsidP="00D06117">
      <w:pPr>
        <w:pStyle w:val="TextoNormalNegritaCentrado"/>
        <w:keepNext/>
      </w:pPr>
    </w:p>
    <w:p w:rsidR="00D06117" w:rsidRDefault="00D06117" w:rsidP="00D06117">
      <w:pPr>
        <w:pStyle w:val="TextoNormal"/>
      </w:pPr>
      <w:r>
        <w:t>1. Con el mayor respeto a la opinión de los Magistrados que han apoyado la tesis mayoritaria reflejada en la Sentencia, debo, no obstante, haciendo uso de la facultad establecida en el art. 90.2 de la Ley Orgánica del Tribunal Constitucional (LOTC), expresar mi criterio discrepante del fallo estimatorio del recurso de amparo a que se ha llegado en esta Sentencia.</w:t>
      </w:r>
    </w:p>
    <w:p w:rsidR="00D06117" w:rsidRDefault="00D06117" w:rsidP="00D06117">
      <w:pPr>
        <w:pStyle w:val="TextoNormal"/>
      </w:pPr>
    </w:p>
    <w:p w:rsidR="00D06117" w:rsidRDefault="00D06117" w:rsidP="00D06117">
      <w:pPr>
        <w:pStyle w:val="TextoNormal"/>
      </w:pPr>
      <w:r>
        <w:t>A mi entender, en virtud de los argumentos que defendí en la deliberación del Pleno y que, resumidamente, expongo a continuación, debiera haberse dictado una Sentencia denegando el amparo solicitado por el recurrente.</w:t>
      </w:r>
    </w:p>
    <w:p w:rsidR="00D06117" w:rsidRDefault="00D06117" w:rsidP="00D06117">
      <w:pPr>
        <w:pStyle w:val="TextoNormal"/>
      </w:pPr>
    </w:p>
    <w:p w:rsidR="00D06117" w:rsidRDefault="00D06117" w:rsidP="00D06117">
      <w:pPr>
        <w:pStyle w:val="TextoNormal"/>
      </w:pPr>
      <w:r>
        <w:t>2. En primer lugar debo manifestar que el presente recurso de amparo debió ser inadmitido por extemporáneo, toda vez que la providencia que aprobó la propuesta del centro penitenciario de licenciamiento del recurrente para el 8 de abril de 2019 —resolución judicial que sería la que, en su caso, produciría la pretendida lesión de los derechos que alega el recurrente— en aplicación de la doctrina sobre el art. 70.2 CP 1973 emanada a partir de la Sentencia 197/2006, de 28 de febrero, de la Sala Segunda del Tribunal Supremo, fue dictada por la Sección Primera de la Sala de lo Penal de la Audiencia Nacional el 21 de septiembre de 2006 y notificada al recurrente con fecha 25 de septiembre de 2006, quien interpuso el recurso de amparo el 16 de enero de 2007, esto es, transcurrido con creces el plazo establecido en el art. 44.2 LOTC, plazo que, conforme a consolidada doctrina de este Tribunal, es de caducidad, improrrogable y no susceptible de suspensión y, por consiguiente, de inexorable cumplimiento, que no consiente prolongación artificial ni puede quedar al arbitrio del recurrente.</w:t>
      </w:r>
    </w:p>
    <w:p w:rsidR="00D06117" w:rsidRDefault="00D06117" w:rsidP="00D06117">
      <w:pPr>
        <w:pStyle w:val="TextoNormal"/>
      </w:pPr>
    </w:p>
    <w:p w:rsidR="00D06117" w:rsidRDefault="00D06117" w:rsidP="00D06117">
      <w:pPr>
        <w:pStyle w:val="TextoNormal"/>
      </w:pPr>
      <w:r>
        <w:t xml:space="preserve">Como no puede por menos que reconocerse en la Sentencia de la que discrepo, el recurrente se aquietó a la referida providencia de 21 de septiembre de 2006, al no interponer contra la misma el correspondiente recurso, por lo que la providencia devino firme y definitiva. Así las cosas, resulta inaceptable que se admita que el plazo de caducidad del art. 44.2 LOTC pueda ser reabierto en el presente caso por el hecho de que el recurrente, después </w:t>
      </w:r>
      <w:r>
        <w:lastRenderedPageBreak/>
        <w:t>de aquietarse a la providencia de 21 de septiembre de 2006 que fijó como fecha de su licenciamiento el día 8 de abril de 2019, solicitase el 19 de octubre de 2006 a la Sección Primera de la Sala de lo Penal de la Audiencia Nacional su licenciamiento por cumplimiento de la pena y la consiguiente puesta inmediata en libertad, solicitud que fue rechazada por el órgano judicial remitiéndose a lo acordado en la referida providencia. En efecto, por providencia de 30 de octubre de 2006 la Audiencia Nacional resolvió no haber lugar a la referida solicitud de licenciamiento, debiendo estarse a lo acordado en la providencia de 21 de septiembre de 2006; y el recurso de súplica interpuesto contra la providencia de 30 de octubre de 2006 fue desestimado por Auto de 21 de noviembre de 2006, “toda vez que la providencia que se recurre se basa en la providencia de 21 de septiembre de 2006, que es una mera ejecución de lo acordado por la Sala Segunda del Tribunal Supremo en su Sentencia de 28 de febrero de 2006”.</w:t>
      </w:r>
    </w:p>
    <w:p w:rsidR="00D06117" w:rsidRDefault="00D06117" w:rsidP="00D06117">
      <w:pPr>
        <w:pStyle w:val="TextoNormal"/>
      </w:pPr>
    </w:p>
    <w:p w:rsidR="00D06117" w:rsidRDefault="00D06117" w:rsidP="00D06117">
      <w:pPr>
        <w:pStyle w:val="TextoNormal"/>
      </w:pPr>
      <w:r>
        <w:t>Que el recurrente no dirija su recurso de amparo formalmente contra la providencia de 21 de septiembre de 2006 que fijó para el 8 de abril de 2019 la fecha de su licenciamiento (en aplicación de la doctrina establecida en la STS 197/2006), sino contra la providencia de 30 de octubre de 2006 y el Auto de 21 de noviembre de 2006, no empece a la conclusión de que el recurso de amparo es extemporáneo. Ni estas resoluciones reabrieron el debate que quedó cerrado cuando la providencia de 21 de septiembre de 2006 devino definitiva, pues lo único que hacen es rechazar precisamente la pretensión del recurrente de reabrir ese debate, remitiéndose a lo ya decidido con carácter firme y definitivo por la providencia de 21 de septiembre de 2006 (por lo que está fuera de lugar referirse, como se hace en la Sentencia de la que discrepo, a la doctrina sentada en las SSTC 185/2001, 37/2003 y 93/2009, que rechaza la extemporaneidad del incidente de nulidad de actuaciones cuando el órgano judicial competente para conocer del mismo lo ha admitido a trámite y se ha pronunciado sobre la pretensión de nulidad solicitada, sin estimar aquella supuesta extemporaneidad), ni este Tribunal puede tolerar una burda maniobra procesal destinada a reabrir el plazo de caducidad para interponer el recurso de amparo, plazo ya fenecido en este caso cuando el recurrente presentó su demanda de amparo. Y no se nos diga —como se hace en la Sentencia de la que discrepo— que ha de tenerse en cuenta “la actualidad de la eventual lesión del derecho a la libertad”, porque el recurrente sigue privado de la misma, pues tal argumento conduciría al absurdo de excluir la aplicación de lo dispuesto en el art. 44.2 LOTC siempre que el recurrente en amparo se hallase privado de libertad y alegase la lesión del art. 17.1 CE: bastaría así con “provocar” nuevas respuestas del Tribunal sentenciador mediante la presentación de nuevas solicitudes al mismo para reabrir ad aeternum el plazo de impugnación en amparo de resoluciones judiciales firmes y consentidas en su día, en las que se halla el origen de la supuesta lesión de derechos fundamentales que se pretende denunciar.</w:t>
      </w:r>
    </w:p>
    <w:p w:rsidR="00D06117" w:rsidRDefault="00D06117" w:rsidP="00D06117">
      <w:pPr>
        <w:pStyle w:val="TextoNormal"/>
      </w:pPr>
    </w:p>
    <w:p w:rsidR="00D06117" w:rsidRDefault="00D06117" w:rsidP="00D06117">
      <w:pPr>
        <w:pStyle w:val="TextoNormal"/>
      </w:pPr>
      <w:r>
        <w:t xml:space="preserve">3. Sin perjuicio de lo anteriormente expuesto debo seguidamente señalar que, en el caso de que se aceptara, como se hace en la Sentencia de la que discrepo, que el recurso de amparo está interpuesto dentro de plazo porque se formaliza contra la providencia de 30 de octubre de 2006 y Auto de 21 de noviembre del mismo año, que respondieron a su escrito de solicitud de licenciamiento (obviando la providencia de 21 de septiembre de 2006 y considerando que cabe reabrir el debate y con ello el plazo para interponer recurso de amparo), sucede que la demanda de amparo podría entenderse igualmente inadmisible por incumplimiento del requisito de invocación en la vía judicial previa del derecho que se estima vulnerado [art. 44.1 c) LOTC], requisito que atiende a garantizar la subsidiariedad del proceso de amparo constitucional, de modo que no puede plantearse en el recurso de amparo ante </w:t>
      </w:r>
      <w:r>
        <w:lastRenderedPageBreak/>
        <w:t>este Tribunal una pretendida lesión de un derecho fundamental si previamente no se ha dado ocasión a la jurisdicción ordinaria de remediar esa supuesta vulneración.</w:t>
      </w:r>
    </w:p>
    <w:p w:rsidR="00D06117" w:rsidRDefault="00D06117" w:rsidP="00D06117">
      <w:pPr>
        <w:pStyle w:val="TextoNormal"/>
      </w:pPr>
    </w:p>
    <w:p w:rsidR="00D06117" w:rsidRDefault="00D06117" w:rsidP="00D06117">
      <w:pPr>
        <w:pStyle w:val="TextoNormal"/>
      </w:pPr>
      <w:r>
        <w:t>En efecto, de las actuaciones resulta que en su escrito presentado el 19 de octubre de 2006 a la Audiencia Nacional solicitando su licenciamiento por cumplimiento de la pena y la consiguiente puesta inmediata en libertad, el recurrente en ningún momento alega la vulneración del derecho a la tutela judicial efectiva (art. 24.1 CE), en su vertiente de intangibilidad de las resoluciones judiciales firmes (derecho cuya supuesta vulneración es la que ha determinado a la postre el otorgamiento del amparo por la Sentencia de la que discrepo): la única lesión constitucional que alega es la vulneración del art. 25.1 CE, en relación con los principios de legalidad, seguridad jurídica, interdicción de la arbitrariedad de los poderes públicos e igualdad, porque, a su juicio, había cumplido ya a dicha fecha la pena impuesta con la aplicación de las redenciones por el trabajo conforme al Código penal de 1973, por lo que su mantenimiento en prisión supondría una “detención ilegal”.</w:t>
      </w:r>
    </w:p>
    <w:p w:rsidR="00D06117" w:rsidRDefault="00D06117" w:rsidP="00D06117">
      <w:pPr>
        <w:pStyle w:val="TextoNormal"/>
      </w:pPr>
    </w:p>
    <w:p w:rsidR="00D06117" w:rsidRDefault="00D06117" w:rsidP="00D06117">
      <w:pPr>
        <w:pStyle w:val="TextoNormal"/>
      </w:pPr>
      <w:r>
        <w:t>Es en el recurso de súplica interpuesto contra la providencia de 30 de octubre de 2006 que declara no haber lugar a la referida solicitud de licenciamiento (y estarse a lo acordado en la providencia de 21 de septiembre de 2006), donde por primera vez se introduce la queja referida a la pretendida lesión del derecho a la tutela judicial efectiva en su vertiente de intangibilidad de las resoluciones judiciales firmes, pero la supuesta infracción de este derecho se imputa por el recurrente a la providencia impugnada porque establece como fecha de licenciamiento definitivo el 8 de abril de 2019 realizando, a su juicio “una nueva interpretación de la aplicación de las redenciones y modificando así unas resoluciones intangibles del Juzgado de Vigilancia Penitenciaria de Valencia que aprobaban la hoja de cálculo de 18 de abril de 2004”. En estos mismos términos se plantea en la demanda de amparo la queja relativa a la lesión del derecho a la tutela judicial efectiva en su vertiente de intangibilidad de las resoluciones judiciales firmes, esto es, la vulneración se habría producido porque la providencia de 30 de octubre de 2006 (y el Auto de 21 de noviembre de 2006), al fijar como fecha de licenciamiento definitivo el 8 de abril de 2009, modifica las aludidas resoluciones firmes del Juzgado de Vigilancia Penitenciaria de Valencia que aprobaban las redenciones por el trabajo conforme al criterio que venía aplicándose antes de la Sentencia 197/2006, de 28 de febrero, de la Sala Segunda del Tribunal Supremo.</w:t>
      </w:r>
    </w:p>
    <w:p w:rsidR="00D06117" w:rsidRDefault="00D06117" w:rsidP="00D06117">
      <w:pPr>
        <w:pStyle w:val="TextoNormal"/>
      </w:pPr>
    </w:p>
    <w:p w:rsidR="00D06117" w:rsidRDefault="00D06117" w:rsidP="00D06117">
      <w:pPr>
        <w:pStyle w:val="TextoNormal"/>
      </w:pPr>
      <w:r>
        <w:t>Pues bien, en la Sentencia de la que se discrepo se obvian los términos en los que esta queja fue planteada en la vía judicial y en la demanda de amparo, para concluir que, en efecto, ha existido lesión del derecho a la tutela judicial efectiva (art. 24.1 CE) en su vertiente de intangibilidad de las resoluciones judiciales firmes (y, por consecuencia, vulneración del derecho a la libertad garantizado por el art. 17.1 CE), porque (fundamento jurídico 11) “el cambio de criterio de la Audiencia Nacional en septiembre de 2006” (sic; con lo que finalmente se viene a reconocer en la propia Sentencia que la pretendida vulneración por la que se otorga el amparo no se produce en la providencia de 30 de octubre de 2006 y el posterior Auto que la confirma de 21 de noviembre de 2006, sino que ya se había producido en la providencia de 21 de septiembre de 2006 … a la que el recurrente se aquietó) se produce “frente a su anterior decisión firme adoptada en 1997”, en referencia a las Sentencias de 22 y 28 de enero de 1997 por las que se condenó al recurrente a diversas penas.</w:t>
      </w:r>
    </w:p>
    <w:p w:rsidR="00D06117" w:rsidRDefault="00D06117" w:rsidP="00D06117">
      <w:pPr>
        <w:pStyle w:val="TextoNormal"/>
      </w:pPr>
    </w:p>
    <w:p w:rsidR="00D06117" w:rsidRDefault="00D06117" w:rsidP="00D06117">
      <w:pPr>
        <w:pStyle w:val="TextoNormal"/>
      </w:pPr>
      <w:r>
        <w:t xml:space="preserve">Al actuar de este modo, la Sentencia de la que discrepo no sólo estima, a mi juicio desacertadamente, existencia de lesión del derecho a la tutela judicial efectiva en su vertiente de </w:t>
      </w:r>
      <w:r>
        <w:lastRenderedPageBreak/>
        <w:t>intangibilidad de las resoluciones judiciales firmes (cuestión de fondo de la que seguidamente me ocuparé), sino que, además, lo hace con un razonamiento que se aparta de los términos en que la queja del recurrente fue planteada en la vía judicial previa (y en la propia demanda de amparo), obviando lo establecido en el art. 44.1 c) LOTC mediante el inaceptable expediente de reconstruir la demanda de amparo, pues debe recordarse que es doctrina reiterada de este Tribunal (y que por sobradamente conocida excuso su cita) que no le corresponde reconstruir de oficio las demandas, ni suplir las razones de las partes, ni suscitar la eventual existencia de motivos relevantes fuera de los supuestos contemplados por el art. 84 LOTC (trámite al que, por lo demás, no se ha acudido en el presente caso). En el supuesto presente, basta un somero examen de las actuaciones para llegar a la conclusión de que el recurrente no ha tenido intención en ningún momento de plantear ante este Tribunal (ni tampoco lo hizo en la vía judicial previa) la lesión del derecho a la tutela judicial efectiva en su vertiente de intangibilidad de las resoluciones judiciales firmes con fundamento en el supuesto cambio de criterio de la Audiencia Nacional en septiembre de 2006 respecto del criterio mantenido en las Sentencias condenatorias firmes de 22 y 28 de enero de 1997. Dicho de otro modo, el recurrente nunca —ni en la vía judicial ni en la demanda de amparo— ha predicado el efecto de intangibilidad respecto de ninguna de esas dos Sentencias, y tampoco lo ha hecho el Ministerio Fiscal en sus alegaciones —pues para el Fiscal el cambio de criterio de las resoluciones recurridas en amparo lo sería respecto del Auto de 22 de julio de 1998 que aprobó la acumulación de condenas— extremo indiscutible que la Sentencia de la que discrepo obvia por completo.</w:t>
      </w:r>
    </w:p>
    <w:p w:rsidR="00D06117" w:rsidRDefault="00D06117" w:rsidP="00D06117">
      <w:pPr>
        <w:pStyle w:val="TextoNormal"/>
      </w:pPr>
    </w:p>
    <w:p w:rsidR="00D06117" w:rsidRDefault="00D06117" w:rsidP="00D06117">
      <w:pPr>
        <w:pStyle w:val="TextoNormal"/>
      </w:pPr>
      <w:r>
        <w:t>4. Pero además de la concurrencia de los óbices procesales referidos, que conducirían a la inadmisibilidad del recurso de amparo, resulta que, en cuanto al fondo del asunto, lo que sucede es que, en contra de lo que se sostiene en la Sentencia de la que discrepo, no cabe apreciar la pretendida lesión del derecho a la tutela judicial efectiva (art. 24.1 CE) que determina el otorgamiento del amparo, pues ni la providencia definitiva de 21 de septiembre de 2006 (a la que se aquietó el recurrente), que fijó la fecha de licenciamiento para el 8 de abril de 2019, ni las posteriores resoluciones judiciales recurridas en amparo (providencia de 30 de octubre de 2006 y Auto de 21 de noviembre de 2006), que la confirman, han afectado a lo resuelto en las Sentencias condenatorias firmes de 22 y 28 de enero de 2007, por lo que en modo alguno existe fundamento para hacer derivar de esas Sentencias el efecto de intangibilidad respecto del criterio del cómputo de las redenciones pretendido por el recurrente, que habría sido desconocido en 2006 por la Audiencia Nacional al fijar para el 8 de abril de 2019 la fecha de licenciamiento definitivo del recurrente.</w:t>
      </w:r>
    </w:p>
    <w:p w:rsidR="00D06117" w:rsidRDefault="00D06117" w:rsidP="00D06117">
      <w:pPr>
        <w:pStyle w:val="TextoNormal"/>
      </w:pPr>
    </w:p>
    <w:p w:rsidR="00D06117" w:rsidRDefault="00D06117" w:rsidP="00D06117">
      <w:pPr>
        <w:pStyle w:val="TextoNormal"/>
      </w:pPr>
      <w:r>
        <w:t>En efecto, por lo que se refiere a la Sentencia de 22 de enero de 1997, por la que se condena a diversas penas al recurrente por los delitos cometidos el 27 de julio de 1987, su lectura evidencia que esta Sentencia se pronuncia sobre el Código aplicable, pero no sobre el modo de realizar, en su caso, el cómputo de las redenciones por el trabajo, a lo que ha de añadirse que ese pronunciamiento se realiza en un momento en el que, como es obvio, no se han acumulado las penas de esa primera Sentencia condenatoria, a las impuestas por la segunda condena, toda vez que esa segunda condena no ha recaído aún.</w:t>
      </w:r>
    </w:p>
    <w:p w:rsidR="00D06117" w:rsidRDefault="00D06117" w:rsidP="00D06117">
      <w:pPr>
        <w:pStyle w:val="TextoNormal"/>
      </w:pPr>
    </w:p>
    <w:p w:rsidR="00D06117" w:rsidRDefault="00D06117" w:rsidP="00D06117">
      <w:pPr>
        <w:pStyle w:val="TextoNormal"/>
      </w:pPr>
      <w:r>
        <w:t xml:space="preserve">Por lo que se refiere a la segunda condena, la impuesta al recurrente por Sentencia de 28 de enero de 1997 por los delitos cometidos los días 16 y 17 de octubre de 1988, el órgano judicial se decanta por la aplicación del Código penal de 1973 como más favorable, porque otorga la posibilidad de redimir penas por el trabajo, pero tampoco existe en esta Sentencia </w:t>
      </w:r>
      <w:r>
        <w:lastRenderedPageBreak/>
        <w:t>pronunciamiento sobre el criterio de cómputo de las redenciones por el trabajo, ni tampoco pronunciamiento sobre acumulación de condenas con las recaídas en la anterior Sentencia. Fue en el posterior Auto de 22 de julio de 1998 en el que se procede a la acumulación de las penas recaídas en ambas Sentencias, en aplicación del art. 70.2 CP 1973, estableciéndose en dicha resolución como tiempo máximo de cumplimiento el de treinta años de privación de libertad, pero sin establecer tampoco criterio sobre el cómputo de las redenciones por el trabajo.</w:t>
      </w:r>
    </w:p>
    <w:p w:rsidR="00D06117" w:rsidRDefault="00D06117" w:rsidP="00D06117">
      <w:pPr>
        <w:pStyle w:val="TextoNormal"/>
      </w:pPr>
    </w:p>
    <w:p w:rsidR="00D06117" w:rsidRDefault="00D06117" w:rsidP="00D06117">
      <w:pPr>
        <w:pStyle w:val="TextoNormal"/>
      </w:pPr>
      <w:r>
        <w:t>De este modo de ninguna de las dos Sentencias, ni del Auto de acumulación de condenas (ni tampoco, claro está, de las resoluciones judiciales a las que se refiere el recurrente) puede derivarse el efecto de intangibilidad respecto al criterio de cómputo de las redenciones pretendido. Al igual que ya apreciáramos en un supuesto semejante al presente en la STC 65/2012, de 29 de marzo, FJ 8 a), ninguna de ellas realiza pronunciamiento alguno sobre esta cuestión en el fallo, puesto que su objeto era otro, ni incorpora tal criterio como ratio decidendi o fundamento determinante del fallo, lo que debió conducir en este caso, como en el resuelto por la STC 65/2012, a la denegación del amparo.</w:t>
      </w:r>
    </w:p>
    <w:p w:rsidR="00D06117" w:rsidRDefault="00D06117" w:rsidP="00D06117">
      <w:pPr>
        <w:pStyle w:val="TextoNormal"/>
      </w:pPr>
    </w:p>
    <w:p w:rsidR="00D06117" w:rsidRDefault="00D06117" w:rsidP="00D06117">
      <w:pPr>
        <w:pStyle w:val="TextoNormal"/>
      </w:pPr>
      <w:r>
        <w:t>En definitiva, estimo, por las razones antes expuestas, que la Sentencia de la que discrepo la que se ha apartado sin fundamento de nuestra reiterada doctrina sobre la materia, particularmente de la citada STC 65/2012. A mi juicio, la aplicación de nuestra propia jurisprudencia debiera haber conducido a este Tribunal a denegar el amparo solicitado por el recurrente, toda vez que ni existe vulneración del derecho a la tutela judicial efectiva en su vertiente de intangibilidad de las resoluciones judiciales firmes (art. 24.1 CE) ni, tampoco por esta causa, vulneración del derecho a la libertad personal (art. 17.1 CE). En efecto, por las razones que quedan expresadas considero que no puede afirmarse en el presente caso la existencia de una resolución judicial firme e intangible de la que se derive la aplicación al caso de un criterio de cómputo de las redenciones de pena por trabajo distinto del aplicado por las resoluciones recurridas en amparo (desde luego tal efecto de intangibilidad no puede predicarse de las Sentencias condenatorias de 22 y 28 de enero de 2007), ni que el recurrente tuviera una legítima expectativa concreta, derivada de la actuación previa de los órganos judiciales en la ejecutoria, de alcanzar su libertad en un momento distinto al que resulta de las resoluciones judiciales recurridas en amparo que, como ya dije, se limitan a confirmar la providencia definitiva de 21 de septiembre de 2006 (a la que se aquietó el recurrente), que fijó la fecha de licenciamiento para el 8 de abril de 2019.</w:t>
      </w:r>
    </w:p>
    <w:p w:rsidR="00D06117" w:rsidRDefault="00D06117" w:rsidP="00D06117">
      <w:pPr>
        <w:pStyle w:val="TextoNormal"/>
      </w:pPr>
    </w:p>
    <w:p w:rsidR="00D06117" w:rsidRDefault="00D06117" w:rsidP="00D06117">
      <w:pPr>
        <w:pStyle w:val="TextoNormal"/>
      </w:pPr>
      <w:r>
        <w:t>En resumen, tanto por la existencia clara de los óbices de inadmisión que han quedado indicados, como por las razones de fondo que han quedado expuestas, considero que el amparo debió de haberse denegado, y en tal sentido emito mi Voto particular.</w:t>
      </w:r>
    </w:p>
    <w:p w:rsidR="00D06117" w:rsidRDefault="00D06117" w:rsidP="00D06117">
      <w:pPr>
        <w:pStyle w:val="TextoNormal"/>
      </w:pPr>
    </w:p>
    <w:p w:rsidR="00D06117" w:rsidRDefault="00D06117" w:rsidP="00D06117">
      <w:pPr>
        <w:pStyle w:val="TextoNormal"/>
      </w:pPr>
      <w:r>
        <w:t>Madrid, a veinticuatro de mayo de dos mil doce.</w:t>
      </w:r>
    </w:p>
    <w:p w:rsidR="00D06117" w:rsidRDefault="00D06117" w:rsidP="00D06117">
      <w:pPr>
        <w:pStyle w:val="TextoNormal"/>
      </w:pPr>
    </w:p>
    <w:p w:rsidR="00D06117" w:rsidRDefault="00D06117" w:rsidP="00D06117">
      <w:pPr>
        <w:pStyle w:val="TextoNormalNegritaCentrado"/>
        <w:keepNext/>
      </w:pPr>
      <w:r>
        <w:lastRenderedPageBreak/>
        <w:t>Voto particular que formula el Magistrado don Francisco Pérez de los Cobos Orihuel, respecto de la Sentencia dictada por el Pleno, el 24 de mayo de 2012, resolviendo el recurso de amparo avocado núm. 526-2007.</w:t>
      </w:r>
    </w:p>
    <w:p w:rsidR="00D06117" w:rsidRDefault="00D06117" w:rsidP="00D06117">
      <w:pPr>
        <w:pStyle w:val="TextoNormalNegritaCentrado"/>
        <w:keepNext/>
      </w:pPr>
    </w:p>
    <w:p w:rsidR="00D06117" w:rsidRDefault="00D06117" w:rsidP="00D06117">
      <w:pPr>
        <w:pStyle w:val="TextoNormal"/>
      </w:pPr>
      <w:r>
        <w:t>Con el debido respeto al parecer mayoritario del Pleno del Tribunal Constitucional, en uso de la facultad que me atribuye el art. 90.2 de la Ley Orgánica del Tribunal Constitucional (LOTC), me veo en la obligación de manifestar a través de este Voto particular mi discrepancia con el fallo y la fundamentación jurídica de la Sentencia que ha estimado el presente recurso de amparo.</w:t>
      </w:r>
    </w:p>
    <w:p w:rsidR="00D06117" w:rsidRDefault="00D06117" w:rsidP="00D06117">
      <w:pPr>
        <w:pStyle w:val="TextoNormal"/>
      </w:pPr>
    </w:p>
    <w:p w:rsidR="00D06117" w:rsidRDefault="00D06117" w:rsidP="00D06117">
      <w:pPr>
        <w:pStyle w:val="TextoNormal"/>
      </w:pPr>
      <w:r>
        <w:t>La principal razón de mi discrepancia radica en que, a mi juicio, el recurso de amparo debió ser inadmitido: en primer lugar, por ser extemporáneo (art. 44.2 LOTC) y, en segundo término, por haberse incumplido el requisito de denuncia en la vía judicial previa del derecho fundamental que se considera lesionado [art. 44.1 c) LOTC].</w:t>
      </w:r>
    </w:p>
    <w:p w:rsidR="00D06117" w:rsidRDefault="00D06117" w:rsidP="00D06117">
      <w:pPr>
        <w:pStyle w:val="TextoNormal"/>
      </w:pPr>
    </w:p>
    <w:p w:rsidR="00D06117" w:rsidRDefault="00D06117" w:rsidP="00D06117">
      <w:pPr>
        <w:pStyle w:val="TextoNormal"/>
      </w:pPr>
      <w:r>
        <w:t>El recurso es extemporáneo porque cuando se interpuso, el 16 de enero del 2007, había transcurrido con creces el plazo de treinta días legalmente previsto para interponerlo; un plazo que, conforme a nuestra doctrina reiterada, es “de caducidad, improrrogable, no susceptible de suspensión” y “en modo alguno puede quedar al arbitrio de las partes” (ATC 177/2010, de 24 de noviembre FJ 1, y las SSTC allí citadas).</w:t>
      </w:r>
    </w:p>
    <w:p w:rsidR="00D06117" w:rsidRDefault="00D06117" w:rsidP="00D06117">
      <w:pPr>
        <w:pStyle w:val="TextoNormal"/>
      </w:pPr>
    </w:p>
    <w:p w:rsidR="00D06117" w:rsidRDefault="00D06117" w:rsidP="00D06117">
      <w:pPr>
        <w:pStyle w:val="TextoNormal"/>
      </w:pPr>
      <w:r>
        <w:t>En efecto, tal y como la propia Sentencia de la que disiento pone de manifiesto, la providencia de la Sala de lo Penal de la Audiencia Nacional que aprobó el licenciamiento definitivo del recurrente para el año 2019 y a la que sería imputable la lesión de derechos alegada en amparo, es de fecha 21 de septiembre del 2006 y fue notificada al recurrente el día 25 de ese mismo año y mes. Se trata, además, de una providencia —como la propia Sentencia reconoce— que no fue recurrida aun pudiendo serlo y que devino, por tanto, firme e inatacable. La mera constatación de este hecho y del plazo legal citado evidencia la extemporaneidad del recurso.</w:t>
      </w:r>
    </w:p>
    <w:p w:rsidR="00D06117" w:rsidRDefault="00D06117" w:rsidP="00D06117">
      <w:pPr>
        <w:pStyle w:val="TextoNormal"/>
      </w:pPr>
    </w:p>
    <w:p w:rsidR="00D06117" w:rsidRDefault="00D06117" w:rsidP="00D06117">
      <w:pPr>
        <w:pStyle w:val="TextoNormal"/>
      </w:pPr>
      <w:r>
        <w:t>Para salvar esta patente extemporaneidad, la Sentencia de la mayoría entiende que la Sección Primera de la Sala de lo Penal de la Audiencia Nacional, al rechazar posteriormente una solicitud del recurrente de licenciamiento por cumplimiento de pena, en la que la Audiencia precisamente se remitió a lo acordado en la meritada providencia, “retomó un debate que, por lo tanto, no podemos considerar que quedara cerrado cuando la providencia de 21 de septiembre de 2006 devino definitiva”. Pero este planteamiento es, creo, inconsistente, pues deja al arbitrio de las partes un plazo que, de acuerdo con nuestra doctrina, es de caducidad a todos los efectos. De imponerse la tesis mayoritaria, para soslayar el carácter firme de una resolución judicial penal y reabrir el plazo para la interposición del recurso amparo, bastará con presentar ante el Tribunal sentenciador solicitudes varias, pues a poco que sus respuestas sean motivadas habrá que considerar reabierto el debate procesal.</w:t>
      </w:r>
    </w:p>
    <w:p w:rsidR="00D06117" w:rsidRDefault="00D06117" w:rsidP="00D06117">
      <w:pPr>
        <w:pStyle w:val="TextoNormal"/>
      </w:pPr>
    </w:p>
    <w:p w:rsidR="00D06117" w:rsidRDefault="00D06117" w:rsidP="00D06117">
      <w:pPr>
        <w:pStyle w:val="TextoNormal"/>
      </w:pPr>
      <w:r>
        <w:t xml:space="preserve">Pero es que, en segundo lugar, el recurso incurre, asimismo, en el óbice previsto en la letra c) del art. 44.1 de nuestra Ley reguladora, a saber: falta de invocación del derecho constitucional “tan pronto como, una vez conocida, hubiera lugar para ello”. Como he apuntado con anterioridad, la primera vez que eventualmente pudo producirse la vulneración del art. 24 CE en su vertiente de intangibilidad de las resoluciones judiciales firmes alegada en amparo, fue con la providencia de 21 de septiembre de 2006; era, por tanto, la ocasión de la </w:t>
      </w:r>
      <w:r>
        <w:lastRenderedPageBreak/>
        <w:t>invocación, pero ésta no se produjo porque el demandante se aquietó a la misma. Tampoco, sin embargo, cuando reabre la vía jurisdiccional e interpone el recurso de súplica, el requisito de la invocación previa se cumple, pues aunque el recurrente alude a la “intangibilidad”, nada razona sobre que la misma pudiera predicarse de la Sentencia de 28 de enero de 1997, atribuyéndola exclusivamente a los Autos de los Juzgados de Vigilancia Penitenciaria, por lo que difícilmente el órgano judicial pudo dar respuesta a otra cosa. La demanda de amparo, en fin, redunda en los mismos términos. En ningún momento el demandante de amparo plantea en la misma la intangibilidad de la Sentencia de 28 de enero de 1997 de la Sala de lo Penal de la Audiencia Nacional, propiedad que sigue atribuyendo a los Autos de vigilancia penitenciaria que aprobaban redenciones. Ni tan siquiera el Fiscal en sus alegaciones valora dicha Sentencia como fuente de intangibilidad, lo que no deja de ser altamente expresivo.</w:t>
      </w:r>
    </w:p>
    <w:p w:rsidR="00D06117" w:rsidRDefault="00D06117" w:rsidP="00D06117">
      <w:pPr>
        <w:pStyle w:val="TextoNormal"/>
      </w:pPr>
    </w:p>
    <w:p w:rsidR="00D06117" w:rsidRDefault="00D06117" w:rsidP="00D06117">
      <w:pPr>
        <w:pStyle w:val="TextoNormal"/>
      </w:pPr>
      <w:r>
        <w:t>En conclusión, a mi entender, la Sentencia de la que disiento reconstruye la demanda de amparo y modifica su propio objeto, ignorando reiterada doctrina del Tribunal Constitucional y los límites de su jurisdicción.</w:t>
      </w:r>
    </w:p>
    <w:p w:rsidR="00D06117" w:rsidRDefault="00D06117" w:rsidP="00D06117">
      <w:pPr>
        <w:pStyle w:val="TextoNormal"/>
      </w:pPr>
    </w:p>
    <w:p w:rsidR="00D06117" w:rsidRDefault="00D06117" w:rsidP="00D06117">
      <w:pPr>
        <w:pStyle w:val="TextoNormal"/>
      </w:pPr>
      <w:r>
        <w:t>Madrid, a veinticuatro de mayo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7" w:name="SENTENCIA_2012_114"/>
      <w:r>
        <w:lastRenderedPageBreak/>
        <w:t>SENTENCIA 114/2012, de 24 de mayo de 2012</w:t>
      </w:r>
    </w:p>
    <w:bookmarkEnd w:id="11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147, de 20 de junio de 2012)</w:t>
      </w:r>
    </w:p>
    <w:p w:rsidR="00D06117" w:rsidRDefault="00D06117" w:rsidP="00D06117">
      <w:pPr>
        <w:pStyle w:val="TtuloBOE"/>
      </w:pPr>
    </w:p>
    <w:p w:rsidR="00D06117" w:rsidRDefault="00D06117" w:rsidP="00D06117">
      <w:pPr>
        <w:pStyle w:val="SntesisDescriptiva"/>
      </w:pPr>
      <w:r>
        <w:t>ECLI:ES:TC:2012:114</w:t>
      </w:r>
    </w:p>
    <w:p w:rsidR="00D06117" w:rsidRDefault="00D06117" w:rsidP="00D06117">
      <w:pPr>
        <w:pStyle w:val="SntesisDescriptiva"/>
      </w:pPr>
    </w:p>
    <w:p w:rsidR="00D06117" w:rsidRDefault="00D06117" w:rsidP="00D06117">
      <w:pPr>
        <w:pStyle w:val="SntesisDescriptiva"/>
      </w:pPr>
      <w:r>
        <w:t>Recurso de amparo 7325-2010. Promovido por don Luis María Lizarralde Izaguirre con respecto al Auto de la Sala de lo Penal del Tribunal Supremo que desestimó el recurso de casación interpuesto frente al Auto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Supuesta vulneración de los derechos a la igualdad en la aplicación de la ley, libertad personal, tutela judicial efectiva (intangibilidad), proceso con todas las garantías y legalidad penal: resoluciones judiciales que, sin alterar otras anteriores que hubieran ganado firmeza, aplican el criterio de cómputo de redenciones de penas privativas de libertad establecido en la Sentencia del Tribunal Supremo 197/2006, de 28 de febrero. Voto particular.</w:t>
      </w:r>
    </w:p>
    <w:p w:rsidR="00D06117" w:rsidRDefault="00D06117" w:rsidP="00D06117">
      <w:pPr>
        <w:pStyle w:val="SntesisAnaltica"/>
      </w:pPr>
    </w:p>
    <w:p w:rsidR="00D06117" w:rsidRDefault="00D06117" w:rsidP="00D06117">
      <w:pPr>
        <w:pStyle w:val="Extracto"/>
      </w:pPr>
      <w:r>
        <w:t>1.</w:t>
      </w:r>
      <w:r>
        <w:tab/>
        <w:t xml:space="preserve">Reitera la doctrina de la STC 40/2012.   </w:t>
      </w:r>
    </w:p>
    <w:p w:rsidR="00D06117" w:rsidRDefault="00D06117" w:rsidP="00D06117">
      <w:pPr>
        <w:pStyle w:val="Extracto"/>
      </w:pPr>
    </w:p>
    <w:p w:rsidR="00D06117" w:rsidRDefault="00D06117" w:rsidP="00D06117">
      <w:pPr>
        <w:pStyle w:val="Extracto"/>
      </w:pPr>
      <w:r>
        <w:t>2.</w:t>
      </w:r>
      <w:r>
        <w:tab/>
        <w:t>No se ha vulnerado el derecho a la intangibilidad de las resoluciones judiciales firmes ni el derecho a la libertad personal, al no existir una resolución judicial firme e intangible de la que se derive un criterio de cómputo de las redenciones de pena por trabajo distinto del aplicado por las resoluciones recurridas, ni apreciarse que el recurrente tuviera una legítima expectativa, derivada de la actuación previa de los órganos judiciales, de alcanzar su libertad en un momento distinto al que resulta de las resoluciones judiciales recurridas FJ 6</w:t>
      </w:r>
    </w:p>
    <w:p w:rsidR="00D06117" w:rsidRDefault="00D06117" w:rsidP="00D06117">
      <w:pPr>
        <w:pStyle w:val="Extracto"/>
      </w:pPr>
    </w:p>
    <w:p w:rsidR="00D06117" w:rsidRDefault="00D06117" w:rsidP="00D06117">
      <w:pPr>
        <w:pStyle w:val="Extracto"/>
      </w:pPr>
      <w:r>
        <w:t>3.</w:t>
      </w:r>
      <w:r>
        <w:tab/>
        <w:t>La aplicación de un nuevo criterio de cómputo de la redención de penas por el trabajo, no vulnera la intangibilidad de las resoluciones judiciales firmes, pues el Tribunal sentenciador, antes de dictar las resoluciones cuestionadas en amparo, no había realizado ningún juicio que conllevase la fijación de un criterio distinto y más favorable sobre la forma de computar las redenciones en caso de penas acumuladas con límite máximo de cumplimiento FFJJ 4, 6</w:t>
      </w:r>
    </w:p>
    <w:p w:rsidR="00D06117" w:rsidRDefault="00D06117" w:rsidP="00D06117">
      <w:pPr>
        <w:pStyle w:val="Extracto"/>
      </w:pPr>
    </w:p>
    <w:p w:rsidR="00D06117" w:rsidRDefault="00D06117" w:rsidP="00D06117">
      <w:pPr>
        <w:pStyle w:val="Extracto"/>
      </w:pPr>
      <w:r>
        <w:t>4.</w:t>
      </w:r>
      <w:r>
        <w:tab/>
        <w:t xml:space="preserve">Las cuestiones relativas a la ejecución de la pena ya impuesta, en la medida en que no impliquen que la misma sea más grave que la prevista por la ley, no conciernen al derecho a la legalidad penal consagrado en el art. 7.1 CEDH, por más que sí pueden afectar al derecho a la libertad (SSTEDH casos </w:t>
      </w:r>
      <w:r w:rsidRPr="00D06117">
        <w:rPr>
          <w:i/>
        </w:rPr>
        <w:t>Grava c. Italia</w:t>
      </w:r>
      <w:r>
        <w:t xml:space="preserve">, de 10 de julio de 2003 y </w:t>
      </w:r>
      <w:r w:rsidRPr="00D06117">
        <w:rPr>
          <w:i/>
        </w:rPr>
        <w:t>Gurguchiani c. España</w:t>
      </w:r>
      <w:r>
        <w:t>, de 15 de diciembre de 2009) [FJ 3</w:t>
      </w:r>
    </w:p>
    <w:p w:rsidR="00D06117" w:rsidRDefault="00D06117" w:rsidP="00D06117">
      <w:pPr>
        <w:pStyle w:val="Extracto"/>
      </w:pPr>
    </w:p>
    <w:p w:rsidR="00D06117" w:rsidRDefault="00D06117" w:rsidP="00D06117">
      <w:pPr>
        <w:pStyle w:val="Extracto"/>
      </w:pPr>
      <w:r>
        <w:t>5.</w:t>
      </w:r>
      <w:r>
        <w:tab/>
        <w:t>No se ha vulnerado el derecho a la legalidad penal por aplicación retroactiva del art. 78 CP 1995, pues la prohibición de retroactividad de la ley penal desfavorable, tiene como presupuesto fáctico la aplicación retroactiva de una norma penal a hechos cometidos previamente a su entrada en vigor y, en el presente caso, ni las resoluciones recurridas, ni la doctrina del Tribunal Supremo invocada en ellas aplican retroactivamente dicho precepto, sino la normativa vigente en el momento de comisión de los hechos (SSTC 21/1993, 116/2007)  [FJ 3].</w:t>
      </w:r>
    </w:p>
    <w:p w:rsidR="00D06117" w:rsidRDefault="00D06117" w:rsidP="00D06117">
      <w:pPr>
        <w:pStyle w:val="Extracto"/>
      </w:pPr>
    </w:p>
    <w:p w:rsidR="00D06117" w:rsidRDefault="00D06117" w:rsidP="00D06117">
      <w:pPr>
        <w:pStyle w:val="Extracto"/>
      </w:pPr>
      <w:r>
        <w:t>6.</w:t>
      </w:r>
      <w:r>
        <w:tab/>
        <w:t>Las resoluciones impugnadas se limitan a aplicar la doctrina sentada por el Tribunal Supremo, justificando el cambio de criterio en el cómputo de las redenciones de penas por el trabajo frente a otros supuestos resueltos con anterioridad, precisamente en la aplicación de esa doctrina, no pudiendo apreciarse apartamiento inmotivado del criterio mantenido hasta entonces por el órgano jurisdiccional, lo que constituye la esencia de la desigualdad aplicativa según nuestra jurisprudencia (SSTC 74/2002, 2/2007) [FJ 3].</w:t>
      </w:r>
    </w:p>
    <w:p w:rsidR="00D06117" w:rsidRDefault="00D06117" w:rsidP="00D06117">
      <w:pPr>
        <w:pStyle w:val="Extracto"/>
      </w:pPr>
    </w:p>
    <w:p w:rsidR="00D06117" w:rsidRDefault="00D06117" w:rsidP="00D06117">
      <w:pPr>
        <w:pStyle w:val="Extracto"/>
      </w:pPr>
      <w:r>
        <w:t>7.</w:t>
      </w:r>
      <w:r>
        <w:tab/>
        <w:t>No nos corresponde pronunciarnos sobre cómo interpretar y aplicar el art. 70 en relación con el art. 100 CP de 1973, ni sobre cuál ha de ser el límite de cumplimiento de las penas y el modo de computar las redenciones, pues se trata de decisiones de ejecución de lo juzgado que, de acuerdo con el art. 117 CE corresponden en exclusiva a los órganos judiciales, limitándose nuestra función a examinar tales decisiones, desde la perspectiva de los derechos fundamentales en juego, cuyo contenido se constituye en límite a la actuación judicial (SSTC 147/1988, 31/1999)  [FJ 4].</w:t>
      </w:r>
    </w:p>
    <w:p w:rsidR="00D06117" w:rsidRDefault="00D06117" w:rsidP="00D06117">
      <w:pPr>
        <w:pStyle w:val="Extracto"/>
      </w:pPr>
    </w:p>
    <w:p w:rsidR="00D06117" w:rsidRDefault="00D06117" w:rsidP="00D06117">
      <w:pPr>
        <w:pStyle w:val="Extracto"/>
      </w:pPr>
      <w:r>
        <w:t>8.</w:t>
      </w:r>
      <w:r>
        <w:tab/>
        <w:t>La redención de penas por el trabajo afecta directamente al derecho fundamental a la libertad consagrado en el art. 17 CE, ya que el periodo de privación de la misma depende, entre otros factores, de su aplicación conforme a lo establecido en el art. 100 CP 1973, estando su reconocimiento inspirado en el art. 25.2 CE y conectado con la orientación reeducadora de la pena privativa de libertad   (SSTC 174/1989, 76/2004) [FJ 4].</w:t>
      </w:r>
    </w:p>
    <w:p w:rsidR="00D06117" w:rsidRDefault="00D06117" w:rsidP="00D06117">
      <w:pPr>
        <w:pStyle w:val="Extracto"/>
      </w:pPr>
    </w:p>
    <w:p w:rsidR="00D06117" w:rsidRDefault="00D06117" w:rsidP="00D06117">
      <w:pPr>
        <w:pStyle w:val="Extracto"/>
      </w:pPr>
      <w:r>
        <w:t>9.</w:t>
      </w:r>
      <w:r>
        <w:tab/>
        <w:t>Dado que el derecho reconocido en el art. 17.1 CE permite la privación de libertad sólo en los casos y en las formas previstos por la Ley, no puede excluirse que se vulnere este derecho por inobservancia de las disposiciones legales respecto al cumplimiento sucesivo o refundido de las distintas condenas que pudiera reducir el tiempo de permanencia en prisión, en cuanto que suponga un alargamiento ilegítimo de dicha permanencia (SSTC 147/1988, 130/1996)  [FJ 4].</w:t>
      </w:r>
    </w:p>
    <w:p w:rsidR="00D06117" w:rsidRDefault="00D06117" w:rsidP="00D06117">
      <w:pPr>
        <w:pStyle w:val="Extracto"/>
      </w:pPr>
    </w:p>
    <w:p w:rsidR="00D06117" w:rsidRDefault="00D06117" w:rsidP="00D06117">
      <w:pPr>
        <w:pStyle w:val="Extracto"/>
      </w:pPr>
      <w:r>
        <w:t>10.</w:t>
      </w:r>
      <w:r>
        <w:tab/>
        <w:t xml:space="preserve">El principio de seguridad jurídica consagrado en el art. 9.3 CE y el derecho a la tutela judicial efectiva –ex art. 24.1 CE– impiden a los Jueces y Tribunales, fuera de los casos expresamente previstos en la ley, revisar el juicio efectuado en un caso concreto, incluso si entendieran con posterioridad que la decisión no se ajusta a la legalidad (SSTC 219/2000, 62/2010)  [FJ 5]. </w:t>
      </w:r>
    </w:p>
    <w:p w:rsidR="00D06117" w:rsidRDefault="00D06117" w:rsidP="00D06117">
      <w:pPr>
        <w:pStyle w:val="Extracto"/>
      </w:pPr>
    </w:p>
    <w:p w:rsidR="00D06117" w:rsidRDefault="00D06117" w:rsidP="00D06117">
      <w:pPr>
        <w:pStyle w:val="Extracto"/>
      </w:pPr>
      <w:r>
        <w:t>11.</w:t>
      </w:r>
      <w:r>
        <w:tab/>
        <w:t>La intangibilidad de lo decidido en resolución judicial firme fuera de los casos legalmente establecidos es un efecto íntimamente conectado con la efectividad de la tutela judicial, de tal suerte que ésta es también desconocida cuando aquélla lo es, siempre y cuando el órgano jurisdiccional conociese la existencia de la resolución firme que tan profundamente afecta a lo que haya de ser resuelto (SSTC 58/2000, 62/2010) [FJ 5].</w:t>
      </w:r>
    </w:p>
    <w:p w:rsidR="00D06117" w:rsidRDefault="00D06117" w:rsidP="00D06117">
      <w:pPr>
        <w:pStyle w:val="Extracto"/>
      </w:pPr>
    </w:p>
    <w:p w:rsidR="00D06117" w:rsidRDefault="00D06117" w:rsidP="00D06117">
      <w:pPr>
        <w:pStyle w:val="Extracto"/>
      </w:pPr>
      <w:r>
        <w:t>12.</w:t>
      </w:r>
      <w:r>
        <w:tab/>
        <w:t xml:space="preserve">El derecho a la intangibilidad de las resoluciones judiciales firmes, consagrado en el art. 24.1 CE como una de las vertientes del derecho a la tutela judicial efectiva, se proyecta sobre todas aquellas cuestiones que una resolución judicial firme haya </w:t>
      </w:r>
      <w:r>
        <w:lastRenderedPageBreak/>
        <w:t>resuelto, conformando así la realidad jurídica en un cierto sentido, que no puede ser ignorada o contradicha ni por el propio órgano judicial, ni por otros órganos judiciales en procesos conexos [FJ 5</w:t>
      </w:r>
    </w:p>
    <w:p w:rsidR="00D06117" w:rsidRDefault="00D06117" w:rsidP="00D06117">
      <w:pPr>
        <w:pStyle w:val="Extracto"/>
      </w:pPr>
    </w:p>
    <w:p w:rsidR="00D06117" w:rsidRDefault="00D06117" w:rsidP="00D06117">
      <w:pPr>
        <w:pStyle w:val="Extracto"/>
      </w:pPr>
      <w:r>
        <w:t>13.</w:t>
      </w:r>
      <w:r>
        <w:tab/>
        <w:t>El art. 25.2 CE no expresa un derecho fundamental del ciudadano susceptible de ser invocado en amparo, sino más bien un mandato dirigido al legislador para orientar la política penal y penitenciaria, y un principio interpretativo de las normas relativas a la imposición y cumplimiento de las penas privativas de libertad, con objeto de que configure las sanciones penales para que cumplan los fines de reinserción establecidos en la Constitución, sin que se deriven derechos subjetivos del mismo (SSTC 88/1998, 120/2000; ATC 279/2000)  [FFJJ 4, 7].</w:t>
      </w:r>
    </w:p>
    <w:p w:rsidR="00D06117" w:rsidRDefault="00D06117" w:rsidP="00D06117">
      <w:pPr>
        <w:pStyle w:val="Extracto"/>
      </w:pPr>
    </w:p>
    <w:p w:rsidR="00D06117" w:rsidRDefault="00D06117" w:rsidP="00D06117">
      <w:pPr>
        <w:pStyle w:val="Extracto"/>
      </w:pPr>
      <w:r>
        <w:t>14.</w:t>
      </w:r>
      <w:r>
        <w:tab/>
        <w:t>El nuevo criterio de cómputo de las redenciones de pena por trabajo dificulta objetivamente la posibilidad de reducir el cumplimiento efectivo de la pena en determinados supuestos, pero no impide que los penados puedan cumplir su condena con arreglo al elenco de medidas de la legislación penitenciaria que favorecen y posibilitan la reeducación y reinserción social, cuando su conducta penitenciaria y su evolución muestren que se hallan en condiciones de hacer vida honrada en libertad  [FJ 7].</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7325-2010, promovido por don Luis María Lizarralde Izaguirre, representado por el Procurador de los Tribunales don Javier Cuevas Rivas, contra el Auto de 8 de julio de 2010 de la Sala de lo Penal del Tribunal Supremo, que inadmite el recurso de casación formalizado por el recurrente contra el Auto de 16 de diciembre de 2009 de la Sección Tercera de la Sala Penal de la Audiencia Nacional que , conforme a la doctrina de la Sentencia del Tribunal Supremo (Sala Segunda) núm. 197/2006, de 28 de febrero, desestima el recurso de súplica deducido por aquel frente a la providencia de 18 de noviembre de 2009 de la Sección Tercera de la Sala Penal de la Audiencia Nacional (expediente de refundición núm. 6-1998, dimanante de la ejecutoria núm. 60-1996, del sumario núm. 1-1981 del Juzgado Central de Instrucción núm. 5) que aprobaba el licenciamiento definitivo del actor para el día 9 de mayo de 2022. Ha intervenido el Ministerio Fiscal.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lastRenderedPageBreak/>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8 de octubre de 2010 don Luis María Lizarralde Izaguirre, representado por el Procurador de los Tribunales don Javier Cuevas Rivas, interpuso recurso de amparo contra las resoluciones a las que se ha hecho referencia en el encabezamiento de esta sentencia, por vulneración de sus derechos a la tutela judicial efectiva (art. 24.1 CE), en su vertiente de intangibilidad de las resoluciones judiciales firmes en conexión con la observancia de los principios de seguridad jurídica e irretroactividad (art. 9.3 CE); y a la libertad personal (art. 17.1 CE); así como por infracción de los principios de reeducación y reinserción social de las penas (art. 25 CE).</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procesales del presente recurso son los siguientes:</w:t>
      </w:r>
    </w:p>
    <w:p w:rsidR="00D06117" w:rsidRDefault="00D06117" w:rsidP="00D06117">
      <w:pPr>
        <w:pStyle w:val="TextoNormal"/>
      </w:pPr>
    </w:p>
    <w:p w:rsidR="00D06117" w:rsidRDefault="00D06117" w:rsidP="00D06117">
      <w:pPr>
        <w:pStyle w:val="TextoNormal"/>
      </w:pPr>
      <w:r>
        <w:t>a) El recurrente, integrante del comando “Donosti” (1981) de la organización terrorista ETA, resultó ejecutoriamente condenado por Sentencia de la Audiencia Nacional núm. 22/1996, de 24 de abril de 1996 (sumario 1-81 del Juzgado Central de Instrucción núm. 5), como autor de dos delitos de asesinato con alevosía, uno consumado y otro en grado de frustración concurriendo la circunstancia agravante de premeditación, a las penas de veintiséis años de reclusión mayor y dieciséis años de reclusión respectivamente. De igual manera, mediante Sentencia de la Audiencia Nacional núm. 37/1995, de 23 de junio de 1995 (sumario 184-81 del Juzgado Central de Instrucción núm. 4), fue condenado como autor de un delito de asesinato con alevosía y premeditación a la pena de veintiocho años de reclusión mayor, a la pena de cuatro años de prisión por un delito de utilización ilegítima de vehículo de motor ajeno con empleo de intimidación, y a la pena de tres meses de arresto mayor por un delito de coacciones.</w:t>
      </w:r>
    </w:p>
    <w:p w:rsidR="00D06117" w:rsidRDefault="00D06117" w:rsidP="00D06117">
      <w:pPr>
        <w:pStyle w:val="TextoNormal"/>
      </w:pPr>
    </w:p>
    <w:p w:rsidR="00D06117" w:rsidRDefault="00D06117" w:rsidP="00D06117">
      <w:pPr>
        <w:pStyle w:val="TextoNormal"/>
      </w:pPr>
      <w:r>
        <w:t>b) Mediante Auto de 28 de enero de 1998 de la Sección Tercera de la Sala de lo Penal de la Audiencia Nacional (expediente refundición núm. 6-1998) se acordó acumular las condenas impuestas al actor, “fijándose en una duración de treinta años de privación de libertad el tiempo total de cumplimiento de todas las penas privativas de libertad impuestas en las causas expresadas”, resolución que devino firme y definitiva.</w:t>
      </w:r>
    </w:p>
    <w:p w:rsidR="00D06117" w:rsidRDefault="00D06117" w:rsidP="00D06117">
      <w:pPr>
        <w:pStyle w:val="TextoNormal"/>
      </w:pPr>
    </w:p>
    <w:p w:rsidR="00D06117" w:rsidRDefault="00D06117" w:rsidP="00D06117">
      <w:pPr>
        <w:pStyle w:val="TextoNormal"/>
      </w:pPr>
      <w:r>
        <w:t>El 23 de septiembre de 2009, el Director del centro penitenciario de Burgos elevó propuesta de licenciamiento definitivo en la que, con mención de los días de prisión preventiva y de redenciones ordinaria y extraordinaria, concluía que la fecha de extinción con redención pudiera ser el 26 de noviembre de 2009, si bien señalaba como fecha de extinción sin redención el 9 de mayo de 2022, significando que “el citado penado pude (sic) estar incluido dentro de los criterios de la Sentencia del Tribunal Supremo de 28/02/2006 (doctrina Parot), dejando a su superior criterio si procede adoptar esta nueva doctrina”. Posteriormente, tras interesarlo la Audiencia Nacional en escrito de 22 de octubre de 2009, el Director del centro penitenciario de Burgos elevó, con fecha 26 de octubre de 2009, nueva propuesta de licenciamiento definitivo en la que se fija la extinción de condena sin redención para el día 9 de mayo de 2022. De esta manera, mediante providencia de 18 de noviembre de 2009, la Sección Tercera de la Sala de lo Penal de la Audiencia Nacional aprobó el licenciamiento definitivo del penado para el día 9 de mayo de 2022.</w:t>
      </w:r>
    </w:p>
    <w:p w:rsidR="00D06117" w:rsidRDefault="00D06117" w:rsidP="00D06117">
      <w:pPr>
        <w:pStyle w:val="TextoNormal"/>
      </w:pPr>
    </w:p>
    <w:p w:rsidR="00D06117" w:rsidRDefault="00D06117" w:rsidP="00D06117">
      <w:pPr>
        <w:pStyle w:val="TextoNormal"/>
      </w:pPr>
      <w:r>
        <w:lastRenderedPageBreak/>
        <w:t>El actor interpuso recurso de súplica contra la anterior providencia, al estimar que infringía su derecho a la tutela judicial efectiva en relación con los principios de seguridad jurídica, irretroactividad de las normas e intangibilidad de resoluciones judiciales firmes, así como de su derecho a la libertad. En Auto de 16 de diciembre de 2009 la Sección Tercera de la Sala de lo Penal de la Audiencia Nacional desestimó el recurso por cuanto “la interpretación de las normas efectuada por la parte no puede primar sobre la interpretación que de las mismas efectúa la jurisprudencia del Tribunal Supremo, y que es la que esta Sala ha aplicado”.</w:t>
      </w:r>
    </w:p>
    <w:p w:rsidR="00D06117" w:rsidRDefault="00D06117" w:rsidP="00D06117">
      <w:pPr>
        <w:pStyle w:val="TextoNormal"/>
      </w:pPr>
    </w:p>
    <w:p w:rsidR="00D06117" w:rsidRDefault="00D06117" w:rsidP="00D06117">
      <w:pPr>
        <w:pStyle w:val="TextoNormal"/>
      </w:pPr>
      <w:r>
        <w:t>Contra el referido Auto se anunció por la representación del recurrente recurso de casación (art. 988 de la Ley de enjuiciamiento criminal) por infracción de precepto constitucional (arts. 9.3, 17.1 24.1 y 25. 2 CE) y legal [arts. 70.2 y 100 del Código penal (CP) de 1973]. Mediante Auto de 23 de febrero de 2010 se tuvo por preparado el recurso de casación, si bien el Auto del Tribunal Supremo (Sala de lo Penal) de 8 de julio de 2010 acordó no haber lugar a la admisión del mismo.</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tras alegar el cumplimiento de los requisitos formales, justifica la trascendencia constitucional en la novedad y necesidad de un pronunciamiento sobre la doctrina de la STS (Sala Segunda) núm. 197/2006, de 28 febrero (“doctrina Parot”), la cual, contra un consolidado criterio jurisprudencial, computa la redención de penas por el trabajo, no sobre la pena acumulada, sino sobre cada una de las impuestas, haciendo desaparecer las redenciones y beneficios ya firmes, afectándose así la tutela judicial, el principio de legalidad, la seguridad jurídica y la libertad personal.</w:t>
      </w:r>
    </w:p>
    <w:p w:rsidR="00D06117" w:rsidRDefault="00D06117" w:rsidP="00D06117">
      <w:pPr>
        <w:pStyle w:val="TextoNormal"/>
      </w:pPr>
    </w:p>
    <w:p w:rsidR="00D06117" w:rsidRDefault="00D06117" w:rsidP="00D06117">
      <w:pPr>
        <w:pStyle w:val="TextoNormal"/>
      </w:pPr>
      <w:r>
        <w:t>En primer lugar considera vulnerado el derecho al proceso con las debidas garantías y a la tutela judicial efectiva (arts. 24.1 CE) en su vertiente de intangibilidad de las resoluciones judiciales firmes en conexión con la observancia de los principios de seguridad jurídica e irretroactividad (art. 9.3 CE). Considera que las resoluciones que se recurren conllevan una alteración del Auto de 28 de enero de 1998 de la Sección Tercera de la Sala de lo Penal de la Audiencia Nacional, resolución judicial firme por virtud de la cual se aprobó la refundición de condenas al recurrente, en aplicación de lo dispuesto en los arts. 70.2 y 100 CP 1973, y se fijó como límite en el cumplimiento las diversas penas en el de treinta años, pena resultante sobre la que habrían de operar los beneficios y redenciones penitenciarias.</w:t>
      </w:r>
    </w:p>
    <w:p w:rsidR="00D06117" w:rsidRDefault="00D06117" w:rsidP="00D06117">
      <w:pPr>
        <w:pStyle w:val="TextoNormal"/>
      </w:pPr>
    </w:p>
    <w:p w:rsidR="00D06117" w:rsidRDefault="00D06117" w:rsidP="00D06117">
      <w:pPr>
        <w:pStyle w:val="TextoNormal"/>
      </w:pPr>
      <w:r>
        <w:t>En segundo lugar considera vulnerado el derecho a la libertad personal (art. 17.1 CE) por cuanto las resoluciones que se recurren conllevan el vaciamiento absoluto de contenido de la figura de la redención de penas por el trabajo, haciéndola inoperante y acarreando un alargamiento legítimo de la permanencia en prisión.</w:t>
      </w:r>
    </w:p>
    <w:p w:rsidR="00D06117" w:rsidRDefault="00D06117" w:rsidP="00D06117">
      <w:pPr>
        <w:pStyle w:val="TextoNormal"/>
      </w:pPr>
    </w:p>
    <w:p w:rsidR="00D06117" w:rsidRDefault="00D06117" w:rsidP="00D06117">
      <w:pPr>
        <w:pStyle w:val="TextoNormal"/>
      </w:pPr>
      <w:r>
        <w:t>En tercer lugar, considera que se ha infringido el art. 25.2 CE por vulneración del principio de que las penas deben ir orientadas a la reeducación y reinserción social en conexión con la dignidad del ser humano (art. 10 CE) y el principio de humanidad de las penas.</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providencia de 14 de abril de 2011, la Sala Segunda del Tribunal Constitucional admitió a trámite el recurso de amparo recabando las actuaciones, con emplazamiento de las partes.</w:t>
      </w:r>
    </w:p>
    <w:p w:rsidR="00D06117" w:rsidRDefault="00D06117" w:rsidP="00D06117">
      <w:pPr>
        <w:pStyle w:val="TextoNormal"/>
      </w:pPr>
    </w:p>
    <w:p w:rsidR="00D06117" w:rsidRDefault="00D06117" w:rsidP="00D06117">
      <w:pPr>
        <w:pStyle w:val="TextoNormal"/>
      </w:pPr>
      <w:r>
        <w:lastRenderedPageBreak/>
        <w:t>En diligencia de ordenación de la Secretaría de Justicia de la Sala Segunda del Tribunal Constitucional de 13 de octubre de 2011, se acordó reiterar el testimonio de las actuaciones y de los emplazamientos a la Sección Tercera de la Sala de lo Penal de la Audiencia Nacional. En diligencia de ordenación de la Secretaría de Justicia de la Sala Segunda del Tribunal Constitucional de 24 de noviembre de 2011, se acordó remitir nuevamente la demanda de amparo a la Sección Tercera de la Sala de lo Penal de la Audiencia Nacional a fin de que procediese a realizar los emplazamientos interesados.</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el 14 de febrero de 2012 el Fiscal ante el Tribunal Constitucional interesa la estimación del amparo.</w:t>
      </w:r>
    </w:p>
    <w:p w:rsidR="00D06117" w:rsidRDefault="00D06117" w:rsidP="00D06117">
      <w:pPr>
        <w:pStyle w:val="TextoNormal"/>
      </w:pPr>
    </w:p>
    <w:p w:rsidR="00D06117" w:rsidRDefault="00D06117" w:rsidP="00D06117">
      <w:pPr>
        <w:pStyle w:val="TextoNormal"/>
      </w:pPr>
      <w:r>
        <w:t>Tras exponer los antecedentes fácticos y jurídicos del caso, considera que con el nuevo criterio interpretativo operado por las resoluciones judiciales recurridas se ha ocasionado un evidente perjuicio penológico al demandante de amparo. Si bien afirma que las liquidaciones de condena no parece que puedan ser clasificadas como resoluciones judiciales de naturaleza intangible, habida cuenta de la extremada fluidez de la vida de cumplimiento penitenciario cuando entra en juego la institución de retención de penas, sí que reputa como firme e intangible el Auto en el que se fija la refundición de penas. Señala que, establecidos unos criterios para fijar la refundición y ejecución de condena en el Auto de 28 de enero de 1998, éstos no pueden variarse en virtud de una posterior resolución por vía de remisión a una interpretación diferente de las normas atinentes, por lo que considera que se ha vulnerado el derecho a la intangibilidad de la resoluciones judiciales (art. 24.1 CE) engarzándolo con el principio de legalidad (art. 25.1 CE) en relación con la prohibición de retroactividad de las normas penales perjudiciales para el reo (art. 9.3 CE) y con la vulneración del derecho a la libertad personal (art. 17.1 CE), al haberse creado ex novo un nuevo marco paranormativo que ha causado una extensión de la fecha de licenciamiento del interno y una revisión en la aplicación de los beneficios de la redención de penas. Rechaza el Fiscal, sin embargo, la invocación del art. 25.2 CE, por cuanto este precepto no contiene un derecho fundamental invocable en amparo, sino un mandato dirigido al legislador para orientar la política penal y penitenciaria.</w:t>
      </w:r>
    </w:p>
    <w:p w:rsidR="00D06117" w:rsidRDefault="00D06117" w:rsidP="00D06117">
      <w:pPr>
        <w:pStyle w:val="TextoNormal"/>
      </w:pPr>
    </w:p>
    <w:p w:rsidR="00D06117" w:rsidRDefault="00D06117" w:rsidP="00D06117">
      <w:pPr>
        <w:pStyle w:val="TextoNormal"/>
      </w:pPr>
      <w:r w:rsidRPr="00D06117">
        <w:rPr>
          <w:rStyle w:val="NumeroAFNegritaCaracter"/>
        </w:rPr>
        <w:t>6</w:t>
      </w:r>
      <w:r>
        <w:t>. Por providencia de 26 de marzo de 2012, el Pleno, de conformidad con lo establecido en el art. 10.1 n) de la Ley Orgánica del Tribunal Constitucional y a propuesta de la Sala Segunda, acordó recabar para sí el conocimiento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Por providencia de fecha 22 de mayo de 2012 se señaló para la deliberación y votación de la presente Sentencia el día 24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presente recurso de amparo tiene por objeto decidir si el Auto de 8 de julio de 2010 de la Sala de lo Penal del Tribunal Supremo, que inadmite el recurso de casación formalizado por el recurrente contra el Auto de 16 de diciembre de 2009 de la Sección Tercera de la Sala Penal de la Audiencia Nacional que desestima el recurso de súplica deducido por aquél frente a la providencia de 18 de noviembre de 2009 de la Sección Tercera de la Sala Penal de la Audiencia Nacional (expediente de refundición núm. 6/1998, dimanante de la </w:t>
      </w:r>
      <w:r>
        <w:lastRenderedPageBreak/>
        <w:t>ejecutoria núm. 60-1996, del sumario núm. 1-81 del Juzgado Central de instrucción núm. 5) que aprobaba el licenciamiento definitivo del actor para el día 9 de mayo de 2022, al aplicar el criterio de la Sentencia del Tribunal Supremo (Sala Segunda) núm. 197/2006, de 28 de febrero (cómputo de los beneficios y redenciones penitenciarias sobre cada una de las penas y no sobre la resultante de la acumulación), ha lesionado los derechos fundamentales del recurrente a la tutela judicial efectiva (art. 24.1 CE), en su vertiente de intangibilidad de las resoluciones judiciales firmes en conexión con la observancia de los principios de seguridad jurídica e irretroactividad (art. 9.3 CE); a la libertad personal (art. 17.1 CE); y si ha infringido los principios de reeducación y reinserción social de las penas (art. 25.2 CE), con los argumentos que han sido expuestos en los antecedentes de esta resolución.</w:t>
      </w:r>
    </w:p>
    <w:p w:rsidR="00D06117" w:rsidRDefault="00D06117" w:rsidP="00D06117">
      <w:pPr>
        <w:pStyle w:val="TextoNormal"/>
      </w:pPr>
    </w:p>
    <w:p w:rsidR="00D06117" w:rsidRDefault="00D06117" w:rsidP="00D06117">
      <w:pPr>
        <w:pStyle w:val="TextoNormal"/>
      </w:pPr>
      <w:r>
        <w:t>El Ministerio Fiscal, por su parte, interesa la estimación del recurso por las razones reseñadas en los antecedentes.</w:t>
      </w:r>
    </w:p>
    <w:p w:rsidR="00D06117" w:rsidRDefault="00D06117" w:rsidP="00D06117">
      <w:pPr>
        <w:pStyle w:val="TextoNormal"/>
      </w:pPr>
    </w:p>
    <w:p w:rsidR="00D06117" w:rsidRDefault="00D06117" w:rsidP="00D06117">
      <w:pPr>
        <w:pStyle w:val="TextoNormal"/>
      </w:pPr>
      <w:r w:rsidRPr="00D06117">
        <w:rPr>
          <w:rStyle w:val="NumeroAFNegritaCaracter"/>
        </w:rPr>
        <w:t>2</w:t>
      </w:r>
      <w:r>
        <w:t>. En la primera de las quejas articuladas en la demanda, bajo la invocación del derecho a la tutela judicial efectiva (art. 24.1 CE) en su vertiente de intangibilidad de las resoluciones judiciales firmes se denuncia la cuestión de fondo, esto es, la aplicación al presente caso de un nuevo criterio jurisprudencial en la interpretación de los arts. 70.2 y 100 del Código penal (CP) de 1973 en relación con el cómputo de la redención de penas por trabajo.</w:t>
      </w:r>
    </w:p>
    <w:p w:rsidR="00D06117" w:rsidRDefault="00D06117" w:rsidP="00D06117">
      <w:pPr>
        <w:pStyle w:val="TextoNormal"/>
      </w:pPr>
    </w:p>
    <w:p w:rsidR="00D06117" w:rsidRDefault="00D06117" w:rsidP="00D06117">
      <w:pPr>
        <w:pStyle w:val="TextoNormal"/>
      </w:pPr>
      <w:r>
        <w:t>Frente al criterio anteriormente aplicado, conforme al cual los días redimidos por trabajo se descontaban del límite máximo de cumplimiento una vez operada la refundición o acumulación de condenas, el Tribunal Supremo, en la Sentencia 197/2006, de 28 de febrero, estableció que el beneficio de la redención de penas por el trabajo consagrado en el art. 100 CP 1973 ha de aplicarse no a ese máximo de cumplimiento, sino a cada una de las penas impuestas en las diversas condenas, de modo que la forma de cumplimiento de la condena total se producirá del siguiente modo: “se principiará por el orden de la respectiva gravedad de las penas impuestas, aplicándose los beneficios y redenciones que procedan con respecto a una de las penas que se encuentre cumpliendo. Una vez extinguida la primera, se dará comienzo a la siguiente, y así sucesivamente, hasta que se alcancen las limitaciones impuestas en la regla segunda del art. 70 del Código penal de 1973. Llegados a este estadio, se producirá la extinción de todas las penas comprendidas en la condena total resultante” (fundamento jurídico 4). Un cambio de doctrina cuya aplicación al presente caso por la Audiencia Nacional implica que, si bien conforme al cómputo de las redenciones de penas por trabajo usado hasta ese momento el recurrente vería que las reducciones correspondientes al trabajo se aplicarían al límite máximo de treinta años, en aplicación del nuevo criterio se restarían de la suma total de las penas impuestas.</w:t>
      </w:r>
    </w:p>
    <w:p w:rsidR="00D06117" w:rsidRDefault="00D06117" w:rsidP="00D06117">
      <w:pPr>
        <w:pStyle w:val="TextoNormal"/>
      </w:pPr>
    </w:p>
    <w:p w:rsidR="00D06117" w:rsidRDefault="00D06117" w:rsidP="00D06117">
      <w:pPr>
        <w:pStyle w:val="TextoNormal"/>
      </w:pPr>
      <w:r>
        <w:t>El recurrente entiende que de ello se deriva la vulneración del derecho a la libertad (art. 17.1 CE) y del derecho a la tutela judicial efectiva (art. 24.1 CE), en relación con los principios de seguridad jurídica e irretroactividad, a la vista de lo cual, hemos de comenzar precisando cuáles son los derechos fundamentales en juego y cuál ha de ser nuestro parámetro de enjuiciamiento en esta materia. No obstante, con carácter previo, conviene aclarar que no es objeto del presente recurso de amparo la Sentencia 197/2006, de 28 de febrero, dictada por la Sala Segunda del Tribunal Supremo, sino que nuestro examen se ha de limitar a la consideración de la respuesta judicial que para el caso concreto se contiene en las resoluciones recurridas, en las que se acuerda la aplicación del criterio de cómputo de las redenciones establecido con carácter previo por la citada STS 197/1996.</w:t>
      </w:r>
    </w:p>
    <w:p w:rsidR="00D06117" w:rsidRDefault="00D06117" w:rsidP="00D06117">
      <w:pPr>
        <w:pStyle w:val="TextoNormal"/>
      </w:pPr>
    </w:p>
    <w:p w:rsidR="00D06117" w:rsidRDefault="00D06117" w:rsidP="00D06117">
      <w:pPr>
        <w:pStyle w:val="TextoNormal"/>
      </w:pPr>
      <w:r w:rsidRPr="00D06117">
        <w:rPr>
          <w:rStyle w:val="NumeroAFNegritaCaracter"/>
        </w:rPr>
        <w:t>3</w:t>
      </w:r>
      <w:r>
        <w:t>. En primer lugar, ha de tenerse en cuenta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cuestionándose el cómputo de la redención de penas por el trabajo, sin que de la interpretación sometida a nuestro enjuiciamiento se derive ni el cumplimiento de una pena mayor que la prevista en los tipos penales aplicados, ni la superación del máximo de cumplimiento legalmente previsto. En esa misma línea el Tribunal Europeo de Derechos Humanos también viene afirmando que las cuestiones relativas a la ejecución de la pena y no a la propia pena, en la medida en que no impliquen que la pena impuesta sea más grave que la prevista por la ley, no conciernen al derecho a la legalidad penal consagrado en el art. 7.1 del Convenio, aunque sí pueden afectar al derecho a la libertad. En este sentido se pronuncia la STEDH de 10 de julio de 2003, Grava c. Italia, § 51, en un supuesto referido a la condonación de la pena citando, mutatis mutandis, Hogben c. Reino Unido, núm. 11653/1985, decisión de la Comisión de 3 marzo 1986, decisiones e informes [DR] 46, págs. 231, 242, en materia de libertad condicional. Y más recientemente la STEDH de 15 de diciembre de 2009,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00D06117" w:rsidRDefault="00D06117" w:rsidP="00D06117">
      <w:pPr>
        <w:pStyle w:val="TextoNormal"/>
      </w:pPr>
    </w:p>
    <w:p w:rsidR="00D06117" w:rsidRDefault="00D06117" w:rsidP="00D06117">
      <w:pPr>
        <w:pStyle w:val="TextoNormal"/>
      </w:pPr>
      <w:r>
        <w:t xml:space="preserve">También debe rechazarse la vulneración del derecho a la legalidad penal (art. 25.1 CE) por aplicación retroactiva del art. 78 CP 1995, tanto en su redacción inicial como en la dada al mismo por la Ley Orgánica 7/2003, precepto en el que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Y, en relación a supuestos de acumulación de varias penas especialmente graves se establece la obligatoriedad de realizar ese cómputo referido a la totalidad de las penas impuestas; preceptividad que, sin embargo, admite algunas excepciones (art. 78.2 y 3 del Código penal actual). Ni las resoluciones recurridas, ni la doctrina del Tribunal Supremo invocada en ellas aplican retroactivamente dicho precepto (que, por otra parte, no hace referencia a la redención de penas por trabajo, puesto que dicha redención desaparece en el CP 1995), sino la normativa vigente en el momento de comisión de los hechos por los que el recurrente fue condenado (arts. 70.2 y 100 CP 1973), si bien con una nueva interpretación de la misma que, ciertamente, acoge el criterio de cómputo consagrado expresamente en el art. 78 CP 1995, pero argumentando que tal interpretación era posible a la vista del tenor literal de los arts. 70.2 y 100 CP 1973. Por tanto, teniendo en cuenta el razonamiento de los órganos judiciales y los preceptos que se aplican, la queja carece de base fáctica, pues la prohibición de retroactividad de la ley penal desfavorable consagrada en el art. 25.1 CE tiene como presupuesto fáctico la aplicación retroactiva de una norma penal a hechos cometidos previamente a su entrada en vigor (por todas, SSTC 21/1993, de 18 de enero, FJ 4; </w:t>
      </w:r>
      <w:r>
        <w:lastRenderedPageBreak/>
        <w:t>43/1997, de 10 de marzo, FJ 5; 20/2003, de 20 de febrero, FJ 4; y 116/2007, de 21 de mayo, FJ 9).</w:t>
      </w:r>
    </w:p>
    <w:p w:rsidR="00D06117" w:rsidRDefault="00D06117" w:rsidP="00D06117">
      <w:pPr>
        <w:pStyle w:val="TextoNormal"/>
      </w:pPr>
    </w:p>
    <w:p w:rsidR="00D06117" w:rsidRDefault="00D06117" w:rsidP="00D06117">
      <w:pPr>
        <w:pStyle w:val="TextoNormal"/>
      </w:pPr>
      <w:r>
        <w:t>Los cambios de criterio jurisprudencial y su conformidad con la Constitución han de ser analizados desde otras perspectivas, una de las cuales es, sin duda, la del principio de igualdad en la aplicación de la ley (art. 14 CE). Sin embargo, tampoco en el presente caso puede apreciarse una vulneración del derecho fundamental consagrado en el art. 14 CE. Dado que en el presente procedimiento no se impugna la Sentencia del Tribunal Supremo de 28 de febrero de 2006 ni cabe entrar a examinar si ésta se ha apartado o no de sus precedentes vulnerando el art. 14 CE. Y por lo que respecta a las resoluciones impugnadas, se limitan a aplicar la doctrina sentada en aquella Sentencia del Tribunal Supremo, máximo intérprete de la ley, justificando el cambio de criterio en el cómputo de las redenciones de penas por el trabajo, frente a otros supuestos resueltos con anterioridad, precisamente en la aplicación de esa doctrina del Tribunal Supremo.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00D06117" w:rsidRDefault="00D06117" w:rsidP="00D06117">
      <w:pPr>
        <w:pStyle w:val="TextoNormal"/>
      </w:pPr>
    </w:p>
    <w:p w:rsidR="00D06117" w:rsidRDefault="00D06117" w:rsidP="00D06117">
      <w:pPr>
        <w:pStyle w:val="TextoNormal"/>
      </w:pPr>
      <w:r w:rsidRPr="00D06117">
        <w:rPr>
          <w:rStyle w:val="NumeroAFNegritaCaracter"/>
        </w:rPr>
        <w:t>4</w:t>
      </w:r>
      <w:r>
        <w:t>. Llegados a este punto, hemos de recordar que no es función de este Tribunal la interpretación de la legalidad ordinaria y, en lo que aquí interesa, que no nos corresponde pronunciarnos directamente sobre cómo interpretar y aplicar al caso el art. 70 en relación con el art. 100 CP 1973, y sobre cuál ha de ser el límite de cumplimiento y el modo de computar las redenciones, pues se trata de decisiones de ejecución de lo juzgado que, de acuerdo con el art. 117 CE corresponden en exclusiva a los órganos judiciales (STC 147/1988, de 14 de julio, FJ 2; en el mismo sentido, 237/1998, de 14 de diciembre, FJ 3; y 31/1999, de 8 de marzo, FJ 3). Nuestra función se limita a examinar tales decisiones, desde la perspectiva de los derechos fundamentales en juego, cuyo contenido se constituye en límite a la actuación judicial.</w:t>
      </w:r>
    </w:p>
    <w:p w:rsidR="00D06117" w:rsidRDefault="00D06117" w:rsidP="00D06117">
      <w:pPr>
        <w:pStyle w:val="TextoNormal"/>
      </w:pPr>
    </w:p>
    <w:p w:rsidR="00D06117" w:rsidRDefault="00D06117" w:rsidP="00D06117">
      <w:pPr>
        <w:pStyle w:val="TextoNormal"/>
      </w:pPr>
      <w:r>
        <w:t>En dicho examen nuestra jurisprudencia ha puesto de relieve que la redención de penas por el trabajo afecta directamente al derecho fundamental a la libertad consagrado en el art. 17.1 CE, ya que el periodo de privación de la misma depende, entre otros factores, de su aplicación conforme a lo establecido en el art. 100 CP 1973 (SSTC 174/1989, de 30 de octubre, FJ 4; 31/1999, de 8 de marzo, FJ 3; 186/2003, de 27 de octubre, FJ 6; 76/2004, de 26 de abril, FJ 5). Un precepto según el cual “se abonará, para el cumplimiento de la pena impuesta, previa aprobación del Juez de vigilancia, un día por cada dos de trabajo”, practicándose el abono periódicamente, a propuesta de los centros penitenciarios, por los Jueces de vigilancia, y siendo tenido en cuenta posteriormente por el Tribunal sentenciador a los efectos de la liquidación de condena (STC 174/1989, de 30 de octubre, FJ 2).</w:t>
      </w:r>
    </w:p>
    <w:p w:rsidR="00D06117" w:rsidRDefault="00D06117" w:rsidP="00D06117">
      <w:pPr>
        <w:pStyle w:val="TextoNormal"/>
      </w:pPr>
    </w:p>
    <w:p w:rsidR="00D06117" w:rsidRDefault="00D06117" w:rsidP="00D06117">
      <w:pPr>
        <w:pStyle w:val="TextoNormal"/>
      </w:pPr>
      <w:r>
        <w:t xml:space="preserve">Igualmente hemos afirmado que su reconocimiento está inspirado en el art. 25.2 CE y se conecta con la orientación reeducadora de la pena privativa de libertad (STC 72/1994, de 3 de marzo, FJ 4). Y si bien es cierto que el art. 25.2 CE no consagra ningún derecho fundamental susceptible de amparo, sí contiene un mandato dirigido al legislador para orientar la </w:t>
      </w:r>
      <w:r>
        <w:lastRenderedPageBreak/>
        <w:t>política penal y penitenciaria y un principio interpretativo de las normas relativas a la imposición y cumplimiento de las penas privativas de libertad, constitucionalmente consagrados (por todas, SSTC 88/1998, de 21 de abril, FJ 3; 204/1999, de 8 de noviembre, FJ 3; y 120/2000, de 10 de mayo, FJ 4; ATC 279/2000, de 29 de noviembre, FJ 4).</w:t>
      </w:r>
    </w:p>
    <w:p w:rsidR="00D06117" w:rsidRDefault="00D06117" w:rsidP="00D06117">
      <w:pPr>
        <w:pStyle w:val="TextoNormal"/>
      </w:pPr>
    </w:p>
    <w:p w:rsidR="00D06117" w:rsidRDefault="00D06117" w:rsidP="00D06117">
      <w:pPr>
        <w:pStyle w:val="TextoNormal"/>
      </w:pPr>
      <w:r>
        <w:t>Por otra parte, y dado que el derecho reconocido en el art. 17.1 CE permite la privación de libertad sólo “en los casos y en las formas previstos por la Ley”, también hemos afirmado que no puede excluirse que se vulnere este derecho como consecuencia de la forma de ejecución de la condena en relación con el cómputo del tiempo de estancia en prisión, por inobservancia de las disposiciones legales respecto al cumplimiento sucesivo o en su caso refundido de las distintas condenas que pudiera reducir el tiempo de permanencia en prisión del condenado, en cuanto que suponga un alargamiento ilegítimo de dicha permanencia y, por ende, de la pérdida de libertad (SSTC 147/1988, de 14 de julio, FJ 2; y 130/1996, de 9 de julio, FJ 2). En esta línea, el Tribunal Europeo de Derechos Humanos ha afirmado también que se produjo la vulneración del derecho a la libertad, consagrado en el art. 5 del Convenio europeo para la protección de los derechos humanos y de las libertades fundamentales, en un supuesto en el que se constató el cumplimiento de una pena de prisión más larga de la “que debería haberle sido impuesta de acuerdo con el sistema jurídico nacional y teniendo en cuenta los beneficios a los que tenía derecho. El exceso del tiempo pasado en prisión no podría, por tanto, considerarse como una privación legal de acuerdo con el Convenio” (STEDH de 10 de julio de 2003, Grava c. Italia, § 45).</w:t>
      </w:r>
    </w:p>
    <w:p w:rsidR="00D06117" w:rsidRDefault="00D06117" w:rsidP="00D06117">
      <w:pPr>
        <w:pStyle w:val="TextoNormal"/>
      </w:pPr>
    </w:p>
    <w:p w:rsidR="00D06117" w:rsidRDefault="00D06117" w:rsidP="00D06117">
      <w:pPr>
        <w:pStyle w:val="TextoNormal"/>
      </w:pPr>
      <w:r>
        <w:t>Por tanto, nuestro examen se limitará a analizar si la respuesta judicial obtenida por el recurrente en las resoluciones judiciales que se impugnan en el presente procedimiento de amparo vulneró su derecho a la tutela judicial efectiva (art. 24.1 CE) y como consecuencia de ello su derecho a la libertad (art. 17.1 CE), lo que —según se argumenta en los motivos de amparo primero y segundo— habría sucedido al aplicar un nuevo criterio de cómputo de la redención de penas por el trabajo que ignora la existencia de una legítima expectativa, fundada en el criterio que se venía siguiendo de forma unánime por los Tribunales y en una resolución judicial firme e intangible, de que las reducciones correspondientes al trabajo se aplicarían al límite máximo de treinta años y no a la suma total de las penas impuestas.</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Constituye reiterada doctrina de este Tribunal que el principio de seguridad jurídica consagrado en el art. 9.3 CE y el derecho a la tutela judicial efectiva (art. 24.1 CE) impiden a los Jueces y Tribunales, fuera de los casos expresamente previstos en la ley, revisar el juicio efectuado en un caso concreto, incluso si entendieran con posterioridad que la decisión no se ajusta a la legalidad, pues la protección judicial carecería de efectividad si se permitiera reabrir el debate sobre lo ya resuelto por una resolución judicial firme en cualquier circunstancia. Un efecto que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el efecto mencionado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que “[n]o se trata sólo de una cuestión que afecte a la libertad interpretativa de los órganos jurisdiccionales, sino de salvaguardar la eficacia de una resolución judicial que, habiendo </w:t>
      </w:r>
      <w:r>
        <w:lastRenderedPageBreak/>
        <w:t>adquirido firmeza, ha conformado la realidad jurídica de una forma determinada que no puede desconocerse por otros órganos judiciales (y menos aún si se trata del mismo órgano judicial)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00D06117" w:rsidRDefault="00D06117" w:rsidP="00D06117">
      <w:pPr>
        <w:pStyle w:val="TextoNormal"/>
      </w:pPr>
    </w:p>
    <w:p w:rsidR="00D06117" w:rsidRDefault="00D06117" w:rsidP="00D06117">
      <w:pPr>
        <w:pStyle w:val="TextoNormal"/>
      </w:pPr>
      <w:r>
        <w:t>En definitiva, el derecho a la intangibilidad de las resoluciones judiciales firmes consagrado en el art. 24.1 CE como una de las vertientes del derecho a la tutela judicial efectiva no se circunscribe a los supuestos en que sea posible apreciar las identidades propias de la cosa juzgada formal, ni puede identificarse con este concepto jurídico procesal, sino que su alcance es mucho más amplio y se proyecta sobre todas aquellas cuestiones respecto de las que pueda afirmarse que una resolución judicial firme ha resuelto, conformando la realidad jurídica en un cierto sentido, realidad que no puede ser ignorada o contradicha ni por el propio órgano judicial, ni por otros órganos judiciales en procesos conexos.</w:t>
      </w:r>
    </w:p>
    <w:p w:rsidR="00D06117" w:rsidRDefault="00D06117" w:rsidP="00D06117">
      <w:pPr>
        <w:pStyle w:val="TextoNormal"/>
      </w:pPr>
    </w:p>
    <w:p w:rsidR="00D06117" w:rsidRDefault="00D06117" w:rsidP="00D06117">
      <w:pPr>
        <w:pStyle w:val="TextoNormal"/>
      </w:pPr>
      <w:r>
        <w:t>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(SSTC 15/2006, de 16 de enero, FJ 6; ) o sobre los que, aun no constituyendo el objeto mismo del proceso, resultan determinantes para la decisión adoptada (STC 62/2010, de 18 de octubre, FJ 5).</w:t>
      </w:r>
    </w:p>
    <w:p w:rsidR="00D06117" w:rsidRDefault="00D06117" w:rsidP="00D06117">
      <w:pPr>
        <w:pStyle w:val="TextoNormal"/>
      </w:pPr>
    </w:p>
    <w:p w:rsidR="00D06117" w:rsidRDefault="00D06117" w:rsidP="00D06117">
      <w:pPr>
        <w:pStyle w:val="TextoNormal"/>
      </w:pPr>
      <w:r w:rsidRPr="00D06117">
        <w:rPr>
          <w:rStyle w:val="NumeroAFNegritaCaracter"/>
        </w:rPr>
        <w:t>6</w:t>
      </w:r>
      <w:r>
        <w:t>. En el presente caso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00D06117" w:rsidRDefault="00D06117" w:rsidP="00D06117">
      <w:pPr>
        <w:pStyle w:val="TextoNormal"/>
      </w:pPr>
    </w:p>
    <w:p w:rsidR="00D06117" w:rsidRDefault="00D06117" w:rsidP="00D06117">
      <w:pPr>
        <w:pStyle w:val="TextoNormal"/>
      </w:pPr>
      <w:r>
        <w:t xml:space="preserve">En lo que nos interesa para analizar la queja, son datos relevantes los siguientes. El recurrente, integrante del comando “Donosti” (1981) de la organización terrorista ETA, resultó ejecutoriamente condenado por Sentencia de la Audiencia Nacional núm. 22/1996, de 24 de abril (sumario 1-81 del Juzgado Central de Instrucción núm. 5), como autor de dos </w:t>
      </w:r>
      <w:r>
        <w:lastRenderedPageBreak/>
        <w:t>delitos de asesinato con alevosía, uno consumado y otro en grado de frustración concurriendo la circunstancia agravante de premeditación, a las penas de veintiséis años de reclusión mayor y dieciséis años de reclusión respectivamente. De igual manera, mediante Sentencia de la Audiencia Nacional núm. 37/1995, de 23 de junio (sumario 184-81 del Juzgado Central de Instrucción núm. 4), fue condenado como autor de un delito de asesinato con alevosía y premeditación a la pena de veintiocho años de reclusión mayor, a la pena de cuatro años de prisión por un delito de utilización ilegítima de vehículo de motor ajeno con empleo de intimidación, y a la pena de tres meses de arresto mayor por un delito de coacciones.</w:t>
      </w:r>
    </w:p>
    <w:p w:rsidR="00D06117" w:rsidRDefault="00D06117" w:rsidP="00D06117">
      <w:pPr>
        <w:pStyle w:val="TextoNormal"/>
      </w:pPr>
    </w:p>
    <w:p w:rsidR="00D06117" w:rsidRDefault="00D06117" w:rsidP="00D06117">
      <w:pPr>
        <w:pStyle w:val="TextoNormal"/>
      </w:pPr>
      <w:r>
        <w:t>Mediante Auto de 28 de enero de 1998 de la Sección Tercera de la Sala de lo Penal de la Audiencia Nacional (expediente refundición núm. 6-1998) se acordó acumular las condenas impuestas al actor, “fijándose en una duración de treinta años de privación de libertad el tiempo total de cumplimiento de todas las penas privativas de libertad impuestas en las causas expresadas”, resolución que devino firme y definitiva.</w:t>
      </w:r>
    </w:p>
    <w:p w:rsidR="00D06117" w:rsidRDefault="00D06117" w:rsidP="00D06117">
      <w:pPr>
        <w:pStyle w:val="TextoNormal"/>
      </w:pPr>
    </w:p>
    <w:p w:rsidR="00D06117" w:rsidRDefault="00D06117" w:rsidP="00D06117">
      <w:pPr>
        <w:pStyle w:val="TextoNormal"/>
      </w:pPr>
      <w:r>
        <w:t>El 23 de septiembre de 2009 el Director del centro penitenciario de Burgos, elevó propuesta de licenciamiento definitivo en la que, con mención de los días de prisión preventiva y de redenciones ordinaria y extraordinaria, concluía que la fecha de extinción con redención pudiera ser el 26 de noviembre de 2009, si bien señalaba como fecha de extinción sin redención el 9 de mayo de 2022, significando que “el citado penado puede (sic) estar incluido dentro de los criterios de la Sentencia del Tribunal Supremo de 28/02/2006 (doctrina Parot), dejando a su superior criterio si procede adoptar esta nueva doctrina”. Posteriormente, tras interesarlo la Audiencia Nacional en escrito de 22 de octubre de 2009, el Director del centro penitenciario de Burgos elevó nueva propuesta de licenciamiento definitivo con fecha 26 de octubre de 2009 en la que se fija la extinción de condena sin redención para el día 9 de mayo de 2022. De esta manera, mediante providencia de 18 de noviembre de 2009, la Sección Tercera de la Sala de lo Penal de la Audiencia Nacional se aprobó el licenciamiento definitivo del penado para el día 9 de mayo de 2022.</w:t>
      </w:r>
    </w:p>
    <w:p w:rsidR="00D06117" w:rsidRDefault="00D06117" w:rsidP="00D06117">
      <w:pPr>
        <w:pStyle w:val="TextoNormal"/>
      </w:pPr>
    </w:p>
    <w:p w:rsidR="00D06117" w:rsidRDefault="00D06117" w:rsidP="00D06117">
      <w:pPr>
        <w:pStyle w:val="TextoNormal"/>
      </w:pPr>
      <w:r>
        <w:t>El actor interpuso recurso de súplica contra la anterior providencia, al estimar que infringía su derecho a la tutela judicial efectiva en relación con los principios de seguridad jurídica, irretroactividad de las normas e intangibilidad de las resoluciones judiciales firmes, así como de su derecho a la libertad. En Auto de 16 de diciembre de 2009 la Sección Tercera de la Sala de lo Penal de la Audiencia Nacional desestimó el recurso por cuanto “la interpretación de las normas efectuada por la parte no puede primar sobre la interpretación que de las mismas efectúa la jurisprudencia del Tribunal Supremo, y que es la que esta Sala ha aplicado”. Contra el referido Auto se anunció por la representación de la recurrente recurso de casación (art. 988 de la Ley de enjuiciamiento criminal), por infracción de precepto constitucional (arts. 9.3, 17.1, 24.1 y 25. 2 CE) y legal (arts. 70.2 y 100 CP 1973). Mediante Auto de 23 de febrero de 2010 se tuvo por preparado el recurso de casación, si bien el Auto del Tribunal Supremo (Sala de lo Penal) de 8 de julio de 2010 acordó no haber lugar a la admisión del mismo.</w:t>
      </w:r>
    </w:p>
    <w:p w:rsidR="00D06117" w:rsidRDefault="00D06117" w:rsidP="00D06117">
      <w:pPr>
        <w:pStyle w:val="TextoNormal"/>
      </w:pPr>
    </w:p>
    <w:p w:rsidR="00D06117" w:rsidRDefault="00D06117" w:rsidP="00D06117">
      <w:pPr>
        <w:pStyle w:val="TextoNormal"/>
      </w:pPr>
      <w:r>
        <w:t xml:space="preserve">De ninguna de las resoluciones judiciales a las que se refiere el recurrente puede derivarse, en el presente caso, el efecto de intangibilidad respecto al criterio de cómputo de las redenciones pretendido. En concreto, el Auto de 28 de enero de 1998 que acordó la acumulación de las penas impuestas por ambas Sentencias “fijándose en una duración de treinta </w:t>
      </w:r>
      <w:r>
        <w:lastRenderedPageBreak/>
        <w:t>años de privación de libertad el tiempo total de cumplimiento de todas las penas privativas de libertad impuestas en las causas expresadas”, no dejó sin efecto las redenciones, ni realiza pronunciamiento alguno sobre esta cuestión en el fallo, puesto que su objeto era otro, ni incorpora tal criterio como ratio decidendi o fundamento determinante del fallo.</w:t>
      </w:r>
    </w:p>
    <w:p w:rsidR="00D06117" w:rsidRDefault="00D06117" w:rsidP="00D06117">
      <w:pPr>
        <w:pStyle w:val="TextoNormal"/>
      </w:pPr>
    </w:p>
    <w:p w:rsidR="00D06117" w:rsidRDefault="00D06117" w:rsidP="00D06117">
      <w:pPr>
        <w:pStyle w:val="TextoNormal"/>
      </w:pPr>
      <w:r>
        <w:t>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00D06117" w:rsidRDefault="00D06117" w:rsidP="00D06117">
      <w:pPr>
        <w:pStyle w:val="TextoNormal"/>
      </w:pPr>
    </w:p>
    <w:p w:rsidR="00D06117" w:rsidRDefault="00D06117" w:rsidP="00D06117">
      <w:pPr>
        <w:pStyle w:val="TextoNormal"/>
      </w:pPr>
      <w:r w:rsidRPr="00D06117">
        <w:rPr>
          <w:rStyle w:val="NumeroAFNegritaCaracter"/>
        </w:rPr>
        <w:t>7</w:t>
      </w:r>
      <w:r>
        <w:t>.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00D06117" w:rsidRDefault="00D06117" w:rsidP="00D06117">
      <w:pPr>
        <w:pStyle w:val="TextoNormal"/>
      </w:pPr>
    </w:p>
    <w:p w:rsidR="00D06117" w:rsidRDefault="00D06117" w:rsidP="00D06117">
      <w:pPr>
        <w:pStyle w:val="TextoNormal"/>
      </w:pPr>
      <w:r>
        <w:t>Como con acierto destaca el Ministerio Fiscal en este extremo, el art. 25.2 CE no expresa un derecho fundamental del ciudadano susceptible de ser invocado en amparo, sino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amparo solicitado por don Luis María Lizarralde Izaguirre.</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veinticuatro de mayo de dos mil doce.</w:t>
      </w:r>
    </w:p>
    <w:p w:rsidR="00D06117" w:rsidRDefault="00D06117" w:rsidP="00D06117">
      <w:pPr>
        <w:pStyle w:val="ParrafoNormal"/>
      </w:pPr>
    </w:p>
    <w:p w:rsidR="00D06117" w:rsidRDefault="00D06117" w:rsidP="00D06117">
      <w:pPr>
        <w:pStyle w:val="TextoNormalNegritaCentrado"/>
        <w:keepNext/>
      </w:pPr>
      <w:r>
        <w:t>Voto particular que formula la Magistrada doña Adela Asua Batarrita a la Sentencia dictada en el recurso de amparo núm. 7325-2010.</w:t>
      </w:r>
    </w:p>
    <w:p w:rsidR="00D06117" w:rsidRDefault="00D06117" w:rsidP="00D06117">
      <w:pPr>
        <w:pStyle w:val="TextoNormalNegritaCentrado"/>
        <w:keepNext/>
      </w:pPr>
    </w:p>
    <w:p w:rsidR="00D06117" w:rsidRDefault="00D06117" w:rsidP="00D06117">
      <w:pPr>
        <w:pStyle w:val="TextoNormal"/>
      </w:pPr>
      <w:r>
        <w:t>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STC 40/2012, de 29 de marzo, dictada en el recurso de amparo núm. 5560-2006.</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8" w:name="SENTENCIA_2012_115"/>
      <w:r>
        <w:lastRenderedPageBreak/>
        <w:t>SENTENCIA 115/2012, de 4 de junio de 2012</w:t>
      </w:r>
    </w:p>
    <w:bookmarkEnd w:id="118"/>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ECLI:ES:TC:2012:115</w:t>
      </w:r>
    </w:p>
    <w:p w:rsidR="00D06117" w:rsidRDefault="00D06117" w:rsidP="00D06117">
      <w:pPr>
        <w:pStyle w:val="SntesisDescriptiva"/>
      </w:pPr>
    </w:p>
    <w:p w:rsidR="00D06117" w:rsidRDefault="00D06117" w:rsidP="00D06117">
      <w:pPr>
        <w:pStyle w:val="SntesisDescriptiva"/>
      </w:pPr>
      <w:r>
        <w:t>Recurso de amparo 2223-2004. Promovido por Gestión y Construcción de Obras, S.A., en relación con los Autos de la Audiencia Provincial de Albacete y de un Juzgado de Primera Instancia de Villarrobledo declarando desierto un recurso de apelación.</w:t>
      </w:r>
    </w:p>
    <w:p w:rsidR="00D06117" w:rsidRDefault="00D06117" w:rsidP="00D06117">
      <w:pPr>
        <w:pStyle w:val="SntesisDescriptiva"/>
      </w:pPr>
    </w:p>
    <w:p w:rsidR="00D06117" w:rsidRDefault="00D06117" w:rsidP="00D06117">
      <w:pPr>
        <w:pStyle w:val="SntesisAnaltica"/>
      </w:pPr>
      <w:r>
        <w:t>Supuesta vulneración del derecho a la tutela judicial efectiva (acceso al recurso): resoluciones judiciales que declaran desierto el recurso de apelación por impago de la tasa por el ejercicio de la potestad jurisdiccional en el orden civil tras haber dado la oportunidad de subsanar el defecto padecido (STC 20/2012).</w:t>
      </w:r>
    </w:p>
    <w:p w:rsidR="00D06117" w:rsidRDefault="00D06117" w:rsidP="00D06117">
      <w:pPr>
        <w:pStyle w:val="SntesisAnaltica"/>
      </w:pPr>
    </w:p>
    <w:p w:rsidR="00D06117" w:rsidRDefault="00D06117" w:rsidP="00D06117">
      <w:pPr>
        <w:pStyle w:val="Extracto"/>
      </w:pPr>
      <w:r>
        <w:t>1.</w:t>
      </w:r>
      <w:r>
        <w:tab/>
        <w:t>Si no limita el derecho de acceso a la justicia requerir a las entidades mercantiles con un elevado volumen de facturación que contribuyan a financiar la actividad jurisdiccional que conlleva juzgar las demandas en las que reclaman derechos de contenido económico, mucho menos puede apreciarse esa exigencia respecto al derecho de acceso a los recursos, donde el juicio de proporcionalidad al que puede someterse la decisión del legislador por este Tribunal es menos intenso (SSTC 20/2012, 103/2012) [FJ 3].</w:t>
      </w:r>
    </w:p>
    <w:p w:rsidR="00D06117" w:rsidRDefault="00D06117" w:rsidP="00D06117">
      <w:pPr>
        <w:pStyle w:val="Extracto"/>
      </w:pPr>
    </w:p>
    <w:p w:rsidR="00D06117" w:rsidRDefault="00D06117" w:rsidP="00D06117">
      <w:pPr>
        <w:pStyle w:val="Extracto"/>
      </w:pPr>
      <w:r>
        <w:t>2.</w:t>
      </w:r>
      <w:r>
        <w:tab/>
        <w:t>Reitera la doctrina sobre la constitucionalidad de la tasa por el ejercicio de la potestad jurisdiccional en el orden civil en relación con el derecho a los recursos legalmente previstos de las SSTC 20/2012 y 103/2012 [FJ 3].</w:t>
      </w:r>
    </w:p>
    <w:p w:rsidR="00D06117" w:rsidRDefault="00D06117" w:rsidP="00D06117">
      <w:pPr>
        <w:pStyle w:val="Extracto"/>
      </w:pPr>
    </w:p>
    <w:p w:rsidR="00D06117" w:rsidRDefault="00D06117" w:rsidP="00D06117">
      <w:pPr>
        <w:pStyle w:val="Extracto"/>
      </w:pPr>
      <w:r>
        <w:t>3.</w:t>
      </w:r>
      <w:r>
        <w:tab/>
        <w:t>Está excluida del ámbito protector del art. 24 CE la indefensión debida a la pasividad, desinterés, negligencia, error técnico o impericia de la parte o de los profesionales que la representen o defiendan (SSTC 109/2002, 160/2009)  [FJ 4].</w:t>
      </w:r>
    </w:p>
    <w:p w:rsidR="00D06117" w:rsidRDefault="00D06117" w:rsidP="00D06117">
      <w:pPr>
        <w:pStyle w:val="Extracto"/>
      </w:pPr>
    </w:p>
    <w:p w:rsidR="00D06117" w:rsidRDefault="00D06117" w:rsidP="00D06117">
      <w:pPr>
        <w:pStyle w:val="Extracto"/>
      </w:pPr>
      <w:r>
        <w:t>4.</w:t>
      </w:r>
      <w:r>
        <w:tab/>
        <w:t xml:space="preserve">La aplicación por los órganos jurisdiccionales de los presupuestos o requisitos de admisión de los recursos vulnera el derecho de acceso al recurso, como una manifestación del derecho fundamental a la tutela judicial efectiva </w:t>
      </w:r>
      <w:r w:rsidRPr="00D06117">
        <w:rPr>
          <w:i/>
        </w:rPr>
        <w:t>ex</w:t>
      </w:r>
      <w:r>
        <w:t xml:space="preserve"> art. 24.1 CE, tan sólo cuando las resoluciones judiciales de inadmisión incurran en irrazonabilidad, error patente o arbitrariedad (STC 46/2004)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2223-2004, promovido por Gestión y Construcción de Obras, S.A., representada por la Procuradora de los Tribunales doña María de los Ángeles Almansa Sanz y asistida por la Letrada doña María del Carmen Élez de los Ríos, contra los Autos del Juzgado de Primera Instancia núm. 1 de Villarrobledo (Albacete) de 12 de septiembre de 2003, que declaró desierto el recurso de apelación interpuesto contra Sentencia del mismo Juzgado, y de 9 de febrero de 2004, que desestimó el recurso de reposición promovido contra aquél, así como contra el Auto de la Sección Primera de la Audiencia Provincial de Albacete, de 4 de marzo de 2004, que desestimó el recurso de queja interpuesto contra los dos anteriores. Ha sido parte la entidad Poliéster y Aceros Villarrobledo, S.L., representada por la Procuradora de los Tribunales doña María Dolores Hernández Vergara y asistida por la Letrada doña Amparo Moreno Acacio, ha intervenido el Ministerio Fiscal. Ha sido Ponente la Magistrada doña Elisa Pérez Vera,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5 de abril de 2004, la actora interpuso recurso de amparo contra las resoluciones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se fundamenta la demanda son, sucintamente expuestos, los siguientes:</w:t>
      </w:r>
    </w:p>
    <w:p w:rsidR="00D06117" w:rsidRDefault="00D06117" w:rsidP="00D06117">
      <w:pPr>
        <w:pStyle w:val="TextoNormal"/>
      </w:pPr>
    </w:p>
    <w:p w:rsidR="00D06117" w:rsidRDefault="00D06117" w:rsidP="00D06117">
      <w:pPr>
        <w:pStyle w:val="TextoNormal"/>
      </w:pPr>
      <w:r>
        <w:t>a) La demandante de amparo preparó recurso de apelación contra la Sentencia del Juzgado de Primera Instancia núm. 1 de Villarrobledo (Albacete) de 28 de febrero de 2003. Una vez que se le dio traslado para la interposición del recurso, presentó el correspondiente escrito el 23 de abril de 2003, sin acompañar el justificante de pago de la tasa por el ejercicio de la potestad jurisdiccional, establecida por el art. 35 de la Ley 53/2002, de 30 de diciembre, cuya vigencia comenzó el 1 de abril de 2003. El Juzgado le concedió un plazo de diez días para subsanar el defecto y, al no ser atendido el requerimiento, declaró desierto el recurso mediante Auto de 12 de septiembre de 2003.</w:t>
      </w:r>
    </w:p>
    <w:p w:rsidR="00D06117" w:rsidRDefault="00D06117" w:rsidP="00D06117">
      <w:pPr>
        <w:pStyle w:val="TextoNormal"/>
      </w:pPr>
    </w:p>
    <w:p w:rsidR="00D06117" w:rsidRDefault="00D06117" w:rsidP="00D06117">
      <w:pPr>
        <w:pStyle w:val="TextoNormal"/>
      </w:pPr>
      <w:r>
        <w:t>b) Frente a dicho Auto, interpuso la actora recurso de reposición, que fue desestimado por Auto de 9 de febrero de 2004, por lo que acudió en queja ante la Audiencia Provincial de Albacete. La Sección Primera de ésta desestimó el recurso mediante Auto de 4 de marzo de 2004, razonando que la tasa era exigible conforme a la regulación legal y que, al no haberse justificado su abono por la recurrente, era correcta la resolución que negó curso a la apelación</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En su demanda, la recurrente denuncia la vulneración de su derecho a la tutela judicial efectiva, producida al habérsele cerrado la vía del recurso de apelación, entendiendo, por un lado, que no le era exigible la tasa en el momento de preparación del recurso, por no haber entrado en vigor la ley que la impone cuando recayó y se le notificó la Sentencia apelada (que le fue notificada el 5 de marzo de 2003, entrando en vigor la tasa el 1 de abril siguiente). Por otro, sostiene que se trata de una cuestión meramente fiscal, de modo que el impago de la tasa podrá dar lugar a la correspondiente actuación administrativa, mas nunca a impedir el acceso a un trámite procesal, pues ello resulta contrario al derecho fundamental invocado, </w:t>
      </w:r>
      <w:r>
        <w:lastRenderedPageBreak/>
        <w:t>al limitarse y condicionarse la efectividad del mismo en virtud de una previsión legal a todas luces injusta. En cualquier caso, entiende que la interpretación de la legalidad realizada por los órganos judiciales ha sido desproporcionada o excesivamente formalista en relación con los fines que se preservan y los intereses que se sacrifican.</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18 de abril de 2006, la Sala Segunda de este Tribunal, acordó admitir a trámite el presente recurso de amparo y, en aplicación de lo previsto en el art. 51 de la Ley Orgánica del Tribunal Constitucional (LOTC), dirigir atenta comunicación a la Sección Primera de la Audiencia Provincial de Albacete y al Juzgado de Primera Instancia núm. 1 de Villarrobledo a fin de que en el plazo de diez días remitieran certificación o fotocopia adverada de las actuaciones correspondientes, respectivamente, al recurso de queja núm. 237-2003 y a los autos de menor cuantía núm. 15-2001, interesándose al mismo tiempo que se emplazase a quienes hubieran sido parte en el procedimiento, excepto la parte recurrente en amparo, para que pudieran comparecer en este proceso constitucional, si lo estimasen pertinente.</w:t>
      </w:r>
    </w:p>
    <w:p w:rsidR="00D06117" w:rsidRDefault="00D06117" w:rsidP="00D06117">
      <w:pPr>
        <w:pStyle w:val="TextoNormal"/>
      </w:pPr>
    </w:p>
    <w:p w:rsidR="00D06117" w:rsidRDefault="00D06117" w:rsidP="00D06117">
      <w:pPr>
        <w:pStyle w:val="TextoNormal"/>
      </w:pPr>
      <w:r w:rsidRPr="00D06117">
        <w:rPr>
          <w:rStyle w:val="NumeroAFNegritaCaracter"/>
        </w:rPr>
        <w:t>5</w:t>
      </w:r>
      <w:r>
        <w:t>. A través de escrito registrado en este Tribunal el 10 de mayo de 2006, la recurrente solicitó la suspensión de los actos de ejecución de la Sentencia del Juzgado de Primera Instancia núm. 1 de Villarrobledo de 28 de febrero de 2003.</w:t>
      </w:r>
    </w:p>
    <w:p w:rsidR="00D06117" w:rsidRDefault="00D06117" w:rsidP="00D06117">
      <w:pPr>
        <w:pStyle w:val="TextoNormal"/>
      </w:pPr>
    </w:p>
    <w:p w:rsidR="00D06117" w:rsidRDefault="00D06117" w:rsidP="00D06117">
      <w:pPr>
        <w:pStyle w:val="TextoNormal"/>
      </w:pPr>
      <w:r>
        <w:t>Por providencia de 17 de mayo de 2006, la Sala Segunda de este Tribunal acordó formar la oportuna pieza para la tramitación del incidente de suspensión, y, tras oír a la actora y al Ministerio Fiscal por plazo común de tres días, denegó la suspensión solicitada en Auto de 3 de julio de 2006.</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presentado en este Tribunal el 2 de junio de 2006, se personó la Procuradora de los Tribunales doña María Dolores Hernández Vergara, en representación de Poliéster y Aceros Villarrobledo, S.L.</w:t>
      </w:r>
    </w:p>
    <w:p w:rsidR="00D06117" w:rsidRDefault="00D06117" w:rsidP="00D06117">
      <w:pPr>
        <w:pStyle w:val="TextoNormal"/>
      </w:pPr>
    </w:p>
    <w:p w:rsidR="00D06117" w:rsidRDefault="00D06117" w:rsidP="00D06117">
      <w:pPr>
        <w:pStyle w:val="TextoNormal"/>
      </w:pPr>
      <w:r>
        <w:t>Por diligencia de ordenación de 18 de julio de 2006 se tuvo por personada y parte a la referida Procuradora en la representación que ostenta, acordando entender con ella las sucesivas diligencias, y, conforme al art. 52.1 LOTC, se acordó dar vista de las actuaciones a las partes personadas y al Ministerio Fiscal, por plazo común de veinte días, para que formularan las alegaciones que estimaran pertinentes, conforme determina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 la demandante evacuó el trámite de alegaciones mediante escrito registrado en este Tribunal el 25 de julio de 2006 en el que se ratificaba en la demanda de amparo.</w:t>
      </w:r>
    </w:p>
    <w:p w:rsidR="00D06117" w:rsidRDefault="00D06117" w:rsidP="00D06117">
      <w:pPr>
        <w:pStyle w:val="TextoNormal"/>
      </w:pPr>
    </w:p>
    <w:p w:rsidR="00D06117" w:rsidRDefault="00D06117" w:rsidP="00D06117">
      <w:pPr>
        <w:pStyle w:val="TextoNormal"/>
      </w:pPr>
      <w:r w:rsidRPr="00D06117">
        <w:rPr>
          <w:rStyle w:val="NumeroAFNegritaCaracter"/>
        </w:rPr>
        <w:t>8</w:t>
      </w:r>
      <w:r>
        <w:t xml:space="preserve">. El 20 de septiembre de 2006 tuvo entrada en este Tribunal el escrito de alegaciones de Poliéster y Aceros Villarrobledo, S.L., en el que se solicitaba la desestimación del recurso de amparo. Alega, en síntesis, que la recurrente estaba obligada a presentar el justificante del pago de la tasa con arreglo al modelo oficial, lo que no hizo en su momento ni tampoco dentro del plazo de diez días que le concedió el Juzgado para subsanar tal omisión. Ha de considerarse, por tanto que se ha respetado al máximo la legalidad, y que no se ha vulnerado el art. 458.2 de la Ley de enjuiciamiento civil, pues no se puede tener por presentado el recurso si el mismo adolece de defectos que imposibilitan su tramitación, máxime cuando </w:t>
      </w:r>
      <w:r>
        <w:lastRenderedPageBreak/>
        <w:t>se dio a la actora tiempo más que suficiente para su subsanación, apercibiéndole de que, en caso de no acreditar el pago o la exención se tendría por no presentado el escrito y declarado desierto el recurso de apelación anunciado en su día.</w:t>
      </w:r>
    </w:p>
    <w:p w:rsidR="00D06117" w:rsidRDefault="00D06117" w:rsidP="00D06117">
      <w:pPr>
        <w:pStyle w:val="TextoNormal"/>
      </w:pPr>
    </w:p>
    <w:p w:rsidR="00D06117" w:rsidRDefault="00D06117" w:rsidP="00D06117">
      <w:pPr>
        <w:pStyle w:val="TextoNormal"/>
      </w:pPr>
      <w:r>
        <w:t>Niega que se haya vulnerado el derecho a la tutela judicial efectiva de la actora, por una parte, porque el juzgador ha actuado conforme a la ley en todo momento, y ha procurado y respetado dicha tutela, sin que se haya dado la indefensión alegada de contrario. En cambio, sí se vulneraría el derecho de la compareciente si se dejara al libre albedrío de la contraparte la atención o no de un requerimiento judicial para cumplimentarlo cuando le pareciera oportuno. Por otro lado, respecto a la alegación de la demandante de que lo que cabe es imponer una sanción administrativa, en su caso, por impago de la cuota que corresponda, se señala que se ha cumplido tajantemente con lo previsto en la ley, que no permite dar curso a escrito alguno si no se acompaña justificante de pago, salvo supuesto de exención o que dicha omisión se subsane en el plazo de diez días, siendo así que la contraparte dejó de atender el requerimiento que se le efectuó. Y no sólo no lo aportó, sino que no acreditó exención y tampoco alegó mediante recurso de reposición contra esa providencia que no tuviera obligación de presentarlo. Por lo que se refiere a la alegación de contrario de que no se ha aplicado correctamente dicha ley porque el acto que dio origen al nacimiento del recurso de apelación fue anterior a la entrada en vigor de la misma, se aduce que la ley establece claramente que el hecho imponible es la interposición del recurso de apelación, y que éste fue interpuesto el 25 de abril de 2003, es decir, después de la entrada en vigor de la Ley de tasas, por lo que se encontraba obligada por la misma.</w:t>
      </w:r>
    </w:p>
    <w:p w:rsidR="00D06117" w:rsidRDefault="00D06117" w:rsidP="00D06117">
      <w:pPr>
        <w:pStyle w:val="TextoNormal"/>
      </w:pPr>
    </w:p>
    <w:p w:rsidR="00D06117" w:rsidRDefault="00D06117" w:rsidP="00D06117">
      <w:pPr>
        <w:pStyle w:val="TextoNormal"/>
      </w:pPr>
      <w:r>
        <w:t>Por otro lado, y con invocación de la doctrina de este Tribunal sobre el acceso al recurso, se sostiene que el órgano judicial no ha hecho una interpretación de la norma arbitraria, irrazonable, desproporcionada o excesivamente formalista con los fines que preserva y los intereses que se sacrifican. Se podría hablar de interés sacrificado si no hubiera existido el requerimiento de aportar el documento y se hubiera tenido por desierto el recurso sin más, pero no es el caso, puesto que se requirió a la actora para la presentación del mismo con el apercibimiento de que, transcurrido el plazo otorgado, se tendría por no presentado el escrito y declarado desierto el recurso de apelación anunciado en su día, y aun así no sólo no lo presentó, sino que tampoco ha dado un motivo para su no presentación.</w:t>
      </w:r>
    </w:p>
    <w:p w:rsidR="00D06117" w:rsidRDefault="00D06117" w:rsidP="00D06117">
      <w:pPr>
        <w:pStyle w:val="TextoNormal"/>
      </w:pPr>
    </w:p>
    <w:p w:rsidR="00D06117" w:rsidRDefault="00D06117" w:rsidP="00D06117">
      <w:pPr>
        <w:pStyle w:val="TextoNormal"/>
      </w:pPr>
      <w:r w:rsidRPr="00D06117">
        <w:rPr>
          <w:rStyle w:val="NumeroAFNegritaCaracter"/>
        </w:rPr>
        <w:t>9</w:t>
      </w:r>
      <w:r>
        <w:t>. El Ministerio Fiscal en escrito que tuvo entrada en este Tribunal el 28 de septiembre de 2006 formuló las alegaciones correspondientes, solicitando la suspensión de la decisión del recurso hasta la resolución de la cuestión de inconstitucionalidad núm. 647-2004, o, en su caso, la desestimación del recurso de amparo.</w:t>
      </w:r>
    </w:p>
    <w:p w:rsidR="00D06117" w:rsidRDefault="00D06117" w:rsidP="00D06117">
      <w:pPr>
        <w:pStyle w:val="TextoNormal"/>
      </w:pPr>
    </w:p>
    <w:p w:rsidR="00D06117" w:rsidRDefault="00D06117" w:rsidP="00D06117">
      <w:pPr>
        <w:pStyle w:val="TextoNormal"/>
      </w:pPr>
      <w:r>
        <w:t xml:space="preserve">Tras exponer los antecedentes del caso y la doctrina de este Tribunal sobre el acceso al recurso, afirma el Fiscal que la tasa establecida por el art. 35.1 de la Ley 53/2002, de 30 de diciembre, aparece como razonable y proporcionada en relación con el fin que se propone obtener, como ya se alegó en la referida cuestión de inconstitucionalidad núm. 647-2004. En todo caso, sostiene que las resoluciones judiciales recurridas no han vulnerado el derecho al recurso tutelado en el art. 24.1 CE. Así, frente a la actuación judicial cabe referirse a una actuación negligente y difícilmente justificable para la representación legal de la actora, ya que se le requirió para justificar el pago de la tasa y ante dicho requerimiento la callada fue la respuesta, no sólo en el plazo legal concedido, sino aún más allá. Siendo ello así, y desconociendo además por tal circunstancia negligente de la parte que ésta no venía obligada </w:t>
      </w:r>
      <w:r>
        <w:lastRenderedPageBreak/>
        <w:t>al pago de la tasa, las decisiones judiciales no parece que hayan infringido el derecho de acceso al recurso que ostentaba a la luz de lo previsto en el art. 24.1 CE. Podría argumentarse que esa vulneración sí se produjo respecto del Auto de la Sección Primera de la Audiencia Provincial de Albacete, ante la posterior constatación documental de que la recurrente no venía obligada al pago de la tasa que le había sido exigida, extremo argumental que en modo alguno expresa la presente demanda de amparo, lo que plantea el problema de la imposibilidad de reconstruir las demandas en esta sede. En cualquier caso, habría sido necesario que la exigencia normativa de la tasa o su excepción fueran obstaculizadoras del derecho de acceso al recurso, y ya se ha visto anteriormente que ello no es así. Por otro lado, el conocimiento tardío de ese dato se produce como consecuencia de la pasividad negligente de la representación procesal de la actora, por lo que cabe concluir que las resoluciones judiciales recurridas no han vulnerado el derecho de acceso al proceso de conformidad con lo prevenido en el art. 24.1 CE.</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Auto de 21 de diciembre de 2010, la Sala Segunda de este Tribunal acordó elevar al Pleno cuestión interna de inconstitucionalidad, con suspensión del plazo para dictar sentencia, en relación con el art. 35.7.2, de la Ley 53/2002, de 30 de diciembre, de medidas fiscales, administrativas y de orden social, por la posible vulneración del art. 24.1 CE.</w:t>
      </w:r>
    </w:p>
    <w:p w:rsidR="00D06117" w:rsidRDefault="00D06117" w:rsidP="00D06117">
      <w:pPr>
        <w:pStyle w:val="TextoNormal"/>
      </w:pPr>
    </w:p>
    <w:p w:rsidR="00D06117" w:rsidRDefault="00D06117" w:rsidP="00D06117">
      <w:pPr>
        <w:pStyle w:val="TextoNormal"/>
      </w:pPr>
      <w:r>
        <w:t>Por providencia de 1 de marzo de 2011, el Pleno de este Tribunal tuvo por planteada la cuestión interna de inconstitucionalidad (núm. 605-2011), acordando reservar para sí el conocimiento de la misma.</w:t>
      </w:r>
    </w:p>
    <w:p w:rsidR="00D06117" w:rsidRDefault="00D06117" w:rsidP="00D06117">
      <w:pPr>
        <w:pStyle w:val="TextoNormal"/>
      </w:pPr>
    </w:p>
    <w:p w:rsidR="00D06117" w:rsidRDefault="00D06117" w:rsidP="00D06117">
      <w:pPr>
        <w:pStyle w:val="TextoNormal"/>
      </w:pPr>
      <w:r>
        <w:t>El Pleno dictó Sentencia en dicha cuestión con fecha 9 de mayo de 2012, desestimándola.</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31 de mayo de 2012 se señaló para deliberación y votación de la presente Sentencia el día 4 de junio del mismo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La recurrente impugna en el presente recurso de amparo el Auto del Juzgado de Primera Instancia núm. 1 de Villarrobledo (Albacete) de 12 de septiembre de 2003, que declaró desierto el recurso de apelación interpuesto contra Sentencia del mismo Juzgado, por no haber aportado dentro del plazo de subsanación concedido al efecto, el justificante de pago de la tasa por el ejercicio de la potestad jurisdiccional, establecida por el art. 35 de la Ley 53/2002, de 30 de diciembre. Asimismo, se dirige contra el Auto del mismo Juzgado de 9 de febrero de 2004, que desestimó el recurso de reposición promovido contra el anterior, y contra el Auto de la Sección Primera de la Audiencia Provincial de Albacete, de 4 de marzo de 2004, que desestimó el recurso de queja interpuesto contra los anteriores.</w:t>
      </w:r>
    </w:p>
    <w:p w:rsidR="00D06117" w:rsidRDefault="00D06117" w:rsidP="00D06117">
      <w:pPr>
        <w:pStyle w:val="TextoNormal"/>
      </w:pPr>
    </w:p>
    <w:p w:rsidR="00D06117" w:rsidRDefault="00D06117" w:rsidP="00D06117">
      <w:pPr>
        <w:pStyle w:val="TextoNormal"/>
      </w:pPr>
      <w:r>
        <w:t>Como se ha expuesto con más detalle en los antecedentes, la demandante alega la vulneración de su derecho a la tutela judicial efectiva como consecuencia de habérsele cerrado la vía del recurso de apelación, entendiendo, por un lado, que no le era exigible la tasa al no haber entrado en vigor la ley que la impone cuando recayó la Sentencia de primera instancia y anunció el recurso de apelación, y, por otro, que se trata de una cuestión meramente fiscal, de modo que el impago de la tasa podrá dar lugar a la correspondiente actuación adminis</w:t>
      </w:r>
      <w:r>
        <w:lastRenderedPageBreak/>
        <w:t>trativa, mas nunca a impedir el acceso a un trámite procesal, pues ello condiciona la efectividad del derecho fundamental, resultando por ello injusta la previsión legal. En cualquier caso, entiende que la interpretación de la legalidad realizada por los órganos judiciales ha sido arbitraria e irrazonable, y desproporcionada o excesivamente formalista en relación con los fines que se preservan y los intereses que se sacrifican.</w:t>
      </w:r>
    </w:p>
    <w:p w:rsidR="00D06117" w:rsidRDefault="00D06117" w:rsidP="00D06117">
      <w:pPr>
        <w:pStyle w:val="TextoNormal"/>
      </w:pPr>
    </w:p>
    <w:p w:rsidR="00D06117" w:rsidRDefault="00D06117" w:rsidP="00D06117">
      <w:pPr>
        <w:pStyle w:val="TextoNormal"/>
      </w:pPr>
      <w:r>
        <w:t>Por su parte, tanto el Fiscal como la contraparte solicitan la desestimación del recurso, aduciendo que no se ha producido la lesión del derecho fundamental invocado por la actora, porque los órganos jurisdiccionales se han limitado a aplicar una previsión legal que aparece como razonable y proporcionada en relación con el fin que se propone obtener, habiéndolo hecho de manera respetuosa con dicho derecho, y que la consecuencia producida de cierre del recurso obedece exclusivamente a la negligencia de la propia actora, que adoptó una actitud absolutamente pasiva ante el requerimiento que le hizo el Juzgado para que subsanara la falta de aportación del justificante de pago de la tasa por el ejercicio de la potestad jurisdiccional.</w:t>
      </w:r>
    </w:p>
    <w:p w:rsidR="00D06117" w:rsidRDefault="00D06117" w:rsidP="00D06117">
      <w:pPr>
        <w:pStyle w:val="TextoNormal"/>
      </w:pPr>
    </w:p>
    <w:p w:rsidR="00D06117" w:rsidRDefault="00D06117" w:rsidP="00D06117">
      <w:pPr>
        <w:pStyle w:val="TextoNormal"/>
      </w:pPr>
      <w:r w:rsidRPr="00D06117">
        <w:rPr>
          <w:rStyle w:val="NumeroAFNegritaCaracter"/>
        </w:rPr>
        <w:t>2</w:t>
      </w:r>
      <w:r>
        <w:t>. Las quejas de la actora se centran básicamente, como ha quedado expuesto, en la vulneración de su derecho a la tutela judicial efectiva, por habérsele privado de un recurso legalmente previsto, como consecuencia de no haber justificado el pago de la tasa por el ejercicio de la potestad jurisdiccional.</w:t>
      </w:r>
    </w:p>
    <w:p w:rsidR="00D06117" w:rsidRDefault="00D06117" w:rsidP="00D06117">
      <w:pPr>
        <w:pStyle w:val="TextoNormal"/>
      </w:pPr>
    </w:p>
    <w:p w:rsidR="00D06117" w:rsidRDefault="00D06117" w:rsidP="00D06117">
      <w:pPr>
        <w:pStyle w:val="TextoNormal"/>
      </w:pPr>
      <w:r>
        <w:t>Este Tribunal ha manifestado reiteradamente que el acceso a los recursos tiene una relevancia constitucional distinta a la del acceso a la jurisdicción, pues, dejando a salvo la materia penal, se trata de un derecho de configuración legal al que no resulta aplicable el principio pro actione (entre otras, STC 181/2001, de 17 de septiembre, FJ 2). Asimismo, hemos afirmado que la valoración de la concurrencia de los requisitos y la consiguiente interpretación de las normas que establecen causas de inadmisión de los recursos pertenece al exclusivo ámbito de competencia de los Jueces y Tribunales ordinarios, sin que sea exigible la interpretación legal más favorable para hacer efectivo el acceso al recurso (SSTC 10/1999, de 8 de febrero, FJ 2, y 181/2001, FJ 3). En efecto, como hemos señalado en la STC 46/2004, de 23 de marzo, FJ 4, con apoyo en una consolidada doctrina jurisprudencial, la aplicación por los órganos jurisdiccionales de los presupuestos o requisitos de admisión de los recursos vulnera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Por tanto, salvo que concurra en una resolución judicial alguna de dichas circunstancias de modo manifiesto, este Tribunal no puede intervenir para optar entre dos soluciones igualmente razonables sin interferir en el núcleo de la potestad de juzgar, debiendo evitar toda ponderación acerca de la corrección jurídica de las mismas (SSTC 258/2000, de 30 de octubre, y 6/2001, de 15 de enero), ya que, como se dice en la STC 94/2000, de 10 de abril, FJ 6, el amparo no está configurado como una última instancia ni tiene una función casacional.</w:t>
      </w:r>
    </w:p>
    <w:p w:rsidR="00D06117" w:rsidRDefault="00D06117" w:rsidP="00D06117">
      <w:pPr>
        <w:pStyle w:val="TextoNormal"/>
      </w:pPr>
    </w:p>
    <w:p w:rsidR="00D06117" w:rsidRDefault="00D06117" w:rsidP="00D06117">
      <w:pPr>
        <w:pStyle w:val="TextoNormal"/>
      </w:pPr>
      <w:r w:rsidRPr="00D06117">
        <w:rPr>
          <w:rStyle w:val="NumeroAFNegritaCaracter"/>
        </w:rPr>
        <w:t>3</w:t>
      </w:r>
      <w:r>
        <w:t>. Partiendo de este marco doctrinal, el primer aspecto de la queja articulada por la recurrente que se ha de examinar es el relativo al condicionamiento por la previsión legal de la efectividad del derecho a la tutela judicial efectiva en la vertiente del acceso al recurso, por entender que aquélla no podría impedir el acceso a un trámite judicial, sino, a lo sumo, dar lugar a una actuación administrativa para hacer efectiva la exacción.</w:t>
      </w:r>
    </w:p>
    <w:p w:rsidR="00D06117" w:rsidRDefault="00D06117" w:rsidP="00D06117">
      <w:pPr>
        <w:pStyle w:val="TextoNormal"/>
      </w:pPr>
    </w:p>
    <w:p w:rsidR="00D06117" w:rsidRDefault="00D06117" w:rsidP="00D06117">
      <w:pPr>
        <w:pStyle w:val="TextoNormal"/>
      </w:pPr>
      <w:r>
        <w:t>El art. 35 de la Ley 53/2002, de 30 de diciembre, de medidas fiscales, administrativas y del orden social, estableció la tasa por el ejercicio de la potestad jurisdiccional, constituyendo su hecho imponible, entre otros, la interposición de recursos de apelación en el orden civil [art. 35.1.1 b)]. La consecuencia del incumplimiento de la obligación de abonar la tasa viene establecida en el apartado 7.2 del propio precepto, al disponer: “El justificante del pago de la tasa con arreglo al modelo oficial, debidamente validado, acompañará a todo escrito procesal mediante el que se realice el hecho imponible de este tributo, sin el cual el secretario judicial no dará curso al mismo, salvo que la omisión fuere subsanada en un plazo de diez días”.</w:t>
      </w:r>
    </w:p>
    <w:p w:rsidR="00D06117" w:rsidRDefault="00D06117" w:rsidP="00D06117">
      <w:pPr>
        <w:pStyle w:val="TextoNormal"/>
      </w:pPr>
    </w:p>
    <w:p w:rsidR="00D06117" w:rsidRDefault="00D06117" w:rsidP="00D06117">
      <w:pPr>
        <w:pStyle w:val="TextoNormal"/>
      </w:pPr>
      <w:r>
        <w:t>Pues bien, sobre la conformidad o no de dicho precepto con el art. 24.1 CE se ha pronunciado ya este Tribunal en las SSTC 20/2012, de 16 de febrero, y 103/2012, de 9 de mayo, la última dictada con ocasión de la cuestión de inconstitucionalidad planteada por esta Sala antes de la resolución del presente recurso de amparo. Tras exponer en la misma el canon de enjuiciamiento (FFJJ 3 y 4), poniendo de relieve la diferente relevancia constitucional del derecho de acceso a la jurisdicción y del derecho de acceso a los recursos legalmente establecidos, concluimos en el fundamento jurídico 5 que “si el art. 35 de la Ley 53/2002, en la medida que requiere a entidades mercantiles con un elevado volumen de facturación que contribuyan a financiar la actividad jurisdiccional que conlleva juzgar las demandas en las que reclaman derechos de contenido económico so pena de no darles curso, no limita de un modo desproporcionado el derecho de acceso a la justicia, como hemos declarado en la STC 20/2012, mucho menos puede apreciarse desproporción en ese precepto cuando proyecta esa misma exigencia sobre idénticos sujetos y con iguales consecuencias pero referida a la promoción de recursos contra un previo pronunciamiento judicial, ámbito éste en el que, como ya hemos apuntado, el juicio de proporcionalidad al que puede someterse la decisión del legislador por este Tribunal es menos intenso, todo lo cual implica que la limitación de acceso a los recursos previstos en las leyes procesales civiles que dispone el precepto objeto de este proceso no desconozca la dimensión de la tutela judicial efectiva (art. 24.1 CE) que garantiza el acceso a los recursos establecidos en la ley y que, en su virtud, proceda desestimar esta cuestión de inconstitucionalidad”.</w:t>
      </w:r>
    </w:p>
    <w:p w:rsidR="00D06117" w:rsidRDefault="00D06117" w:rsidP="00D06117">
      <w:pPr>
        <w:pStyle w:val="TextoNormal"/>
      </w:pPr>
    </w:p>
    <w:p w:rsidR="00D06117" w:rsidRDefault="00D06117" w:rsidP="00D06117">
      <w:pPr>
        <w:pStyle w:val="TextoNormal"/>
      </w:pPr>
      <w:r>
        <w:t>Así pues, la regla legal que ha determinado el cierre a la actora del recurso de apelación que interpuso en su día no supone en sí misma una desatención al derecho a la tutela judicial efectiva consagrado en el art. 24.1 CE.</w:t>
      </w:r>
    </w:p>
    <w:p w:rsidR="00D06117" w:rsidRDefault="00D06117" w:rsidP="00D06117">
      <w:pPr>
        <w:pStyle w:val="TextoNormal"/>
      </w:pPr>
    </w:p>
    <w:p w:rsidR="00D06117" w:rsidRDefault="00D06117" w:rsidP="00D06117">
      <w:pPr>
        <w:pStyle w:val="TextoNormal"/>
      </w:pPr>
      <w:r w:rsidRPr="00D06117">
        <w:rPr>
          <w:rStyle w:val="NumeroAFNegritaCaracter"/>
        </w:rPr>
        <w:t>4</w:t>
      </w:r>
      <w:r>
        <w:t>. La actora también critica la interpretación de la norma legal que han realizado los órganos jurisdiccionales, entendiendo que no le era exigible la tasa porque aún no había entrado en vigor la ley cuando se le notificó la Sentencia de primera instancia y anunció el recurso de apelación, y que, en todo caso, dicha interpretación es irrazonable o arbitraria y que resulta desproporcionada o excesivamente formalista.</w:t>
      </w:r>
    </w:p>
    <w:p w:rsidR="00D06117" w:rsidRDefault="00D06117" w:rsidP="00D06117">
      <w:pPr>
        <w:pStyle w:val="TextoNormal"/>
      </w:pPr>
    </w:p>
    <w:p w:rsidR="00D06117" w:rsidRDefault="00D06117" w:rsidP="00D06117">
      <w:pPr>
        <w:pStyle w:val="TextoNormal"/>
      </w:pPr>
      <w:r>
        <w:t xml:space="preserve">Ya hemos expuesto anteriormente el canon aplicable en el acceso al recurso en cuanto a la interpretación y aplicación que de los requisitos legales para su interposición realicen los órganos jurisdiccionales. En el presente caso, tanto el Juzgado de Primera Instancia núm. 1 de Villarrobledo como la Sección Primera de la Audiencia Provincial de Albacete consideraron que, de acuerdo con el art. 35.1 de la Ley 53/2002, el hecho imponible se genera al realizar el acto procesal de interposición del recurso de apelación, por lo que, habiéndose </w:t>
      </w:r>
      <w:r>
        <w:lastRenderedPageBreak/>
        <w:t>producido dicha interposición por la actora el 24 de abril de 2003, y entrando la norma controvertida en vigor el día 1 del mismo mes y año, le era aplicable la referida ley y estaba obligada a presentar el justificante del abono de la tasa. Sometida esta decisión a los criterios de control reseñados, se llega a la conclusión de que no existe vulneración del art. 24.1 CE, pues ni incurre en error patente, ni resulta arbitraria o irrazonable. En definitiva, la densidad del control que puede ejercerse sobre las decisiones judiciales de inadmisión de recursos por la vía del recurso de amparo constitucional en el que se invoque el art. 24.1 CE no habilita a este Tribunal a revisar resoluciones como la aquí impugnada, ni a sustituir interpretaciones de legalidad ordinaria como la realizada por otras; en este caso, por la defendida por la actora.</w:t>
      </w:r>
    </w:p>
    <w:p w:rsidR="00D06117" w:rsidRDefault="00D06117" w:rsidP="00D06117">
      <w:pPr>
        <w:pStyle w:val="TextoNormal"/>
      </w:pPr>
    </w:p>
    <w:p w:rsidR="00D06117" w:rsidRDefault="00D06117" w:rsidP="00D06117">
      <w:pPr>
        <w:pStyle w:val="TextoNormal"/>
      </w:pPr>
      <w:r>
        <w:t>Por otra parte, no se puede ignorar que el Juzgado de Primera Instancia advirtió a la demandante de amparo de la omisión padecida, mediante providencia notificada el 19 de mayo de 2003, concediéndole un plazo de diez días para que pudiera subsanarla, con apercibimiento de declarar desierto el recurso de apelación. La actora, sin embargo, mantuvo una actitud absolutamente pasiva frente a dicho requerimiento, sin realizar actuación alguna tendente a aportar el justificante del abono de la tasa o a acreditar la exención de la misma, no reaccionando hasta que se dicta el Auto de 12 de septiembre de 2003, por el que se declaró desierto el recurso. En este sentido, es doctrina reiterada de este Tribunal que está excluida del ámbito protector del art. 24 CE la indefensión debida a la pasividad, desinterés, negligencia, error técnico o impericia de la parte o de los profesionales que la representen o defiendan (por todas, SSTC 109/2002, de 6 de mayo, FJ 2; 141/2005, de 6 de junio, FJ 2; o 160/2009, de 29 de junio).</w:t>
      </w:r>
    </w:p>
    <w:p w:rsidR="00D06117" w:rsidRDefault="00D06117" w:rsidP="00D06117">
      <w:pPr>
        <w:pStyle w:val="TextoNormal"/>
      </w:pPr>
    </w:p>
    <w:p w:rsidR="00D06117" w:rsidRDefault="00D06117" w:rsidP="00D06117">
      <w:pPr>
        <w:pStyle w:val="TextoNormal"/>
      </w:pPr>
      <w:r>
        <w:t>De acuerdo con lo hasta aquí expuesto, hemos de concluir que no existió indefensión con relevancia constitucional, y que, de haber existido, sería achacable exclusivamente a la negligencia de la parte (o de su representación procesal), por lo que no existió lesión del derecho a la tutela judicial efectiva sin indefensión alegado en el recurso de amparo.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recurso de amparo interpuesto por Gestión y Construcción de Obras, S.A.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cuatro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19" w:name="SENTENCIA_2012_116"/>
      <w:r>
        <w:lastRenderedPageBreak/>
        <w:t>SENTENCIA 116/2012, de 4 de junio de 2012</w:t>
      </w:r>
    </w:p>
    <w:bookmarkEnd w:id="119"/>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ECLI:ES:TC:2012:116</w:t>
      </w:r>
    </w:p>
    <w:p w:rsidR="00D06117" w:rsidRDefault="00D06117" w:rsidP="00D06117">
      <w:pPr>
        <w:pStyle w:val="SntesisDescriptiva"/>
      </w:pPr>
    </w:p>
    <w:p w:rsidR="00D06117" w:rsidRDefault="00D06117" w:rsidP="00D06117">
      <w:pPr>
        <w:pStyle w:val="SntesisDescriptiva"/>
      </w:pPr>
      <w:r>
        <w:t>Recurso de amparo 2689-2004. Promovido por Plataforma Frigorífica, S.L., con respecto a las resoluciones del Tribunal Superior de Justicia y de un Juzgado de lo Contencioso-Administrativo de Madrid que archivaron el recurso interpuesto contra la Comunidad de Madrid sobre sanción en materia de transportes.</w:t>
      </w:r>
    </w:p>
    <w:p w:rsidR="00D06117" w:rsidRDefault="00D06117" w:rsidP="00D06117">
      <w:pPr>
        <w:pStyle w:val="SntesisDescriptiva"/>
      </w:pPr>
    </w:p>
    <w:p w:rsidR="00D06117" w:rsidRDefault="00D06117" w:rsidP="00D06117">
      <w:pPr>
        <w:pStyle w:val="SntesisAnaltica"/>
      </w:pPr>
      <w:r>
        <w:t>Supuesta vulneración del derecho a la tutela judicial efectiva: archivo del recurso contencioso-administrativo por impago de la tasa por el ejercicio de la potestad jurisdiccional en el orden contencioso-administrativo tras haber dado la oportunidad de subsanar el defecto padecido (STC 20/2012); inadmisión del recurso de apelación fundada en una causa legalmente prevista (STC 59/2003).</w:t>
      </w:r>
    </w:p>
    <w:p w:rsidR="00D06117" w:rsidRDefault="00D06117" w:rsidP="00D06117">
      <w:pPr>
        <w:pStyle w:val="SntesisAnaltica"/>
      </w:pPr>
    </w:p>
    <w:p w:rsidR="00D06117" w:rsidRDefault="00D06117" w:rsidP="00D06117">
      <w:pPr>
        <w:pStyle w:val="Extracto"/>
      </w:pPr>
      <w:r>
        <w:t>1.</w:t>
      </w:r>
      <w:r>
        <w:tab/>
        <w:t>Reitera la doctrina sobre la validez del condicionamiento de la tramitación de la demanda al pago de la tasa por el ejercicio de la potestad jurisdiccional fijada por el art. 35 de la Ley 53/2002, de la STC 20/2012 [FFJJ 4 a 7].</w:t>
      </w:r>
    </w:p>
    <w:p w:rsidR="00D06117" w:rsidRDefault="00D06117" w:rsidP="00D06117">
      <w:pPr>
        <w:pStyle w:val="Extracto"/>
      </w:pPr>
    </w:p>
    <w:p w:rsidR="00D06117" w:rsidRDefault="00D06117" w:rsidP="00D06117">
      <w:pPr>
        <w:pStyle w:val="Extracto"/>
      </w:pPr>
      <w:r>
        <w:t>2.</w:t>
      </w:r>
      <w:r>
        <w:tab/>
        <w:t>No es inconstitucional someter a las entidades mercantiles, con un elevado volumen de facturación, al pago de unas tasas que sirven para financiar los costes generados por la actividad jurisdiccional que conlleva juzgar las demandas que libremente deciden presentar ante los Tribunales, siempre que su cuantía no sea tan elevada que impida en la práctica el acceso a la jurisdicción o lo obstaculice en términos irrazonables (STC 20/2012)  [FJ 5].</w:t>
      </w:r>
    </w:p>
    <w:p w:rsidR="00D06117" w:rsidRDefault="00D06117" w:rsidP="00D06117">
      <w:pPr>
        <w:pStyle w:val="Extracto"/>
      </w:pPr>
    </w:p>
    <w:p w:rsidR="00D06117" w:rsidRDefault="00D06117" w:rsidP="00D06117">
      <w:pPr>
        <w:pStyle w:val="Extracto"/>
      </w:pPr>
      <w:r>
        <w:t>3.</w:t>
      </w:r>
      <w:r>
        <w:tab/>
        <w:t>La tasa por el ejercicio de la potestad jurisdiccional persigue el legítimo interés de contribuir a financiar el servicio público de la Administración de justicia con cargo a los justiciables que más se benefician de la actividad jurisdiccional, disminuyendo correlativamente la financiación procedente de los impuestos a cargo de todos los ciudadanos, en términos respetuosos con las previsiones constitucionales sobre la gratuidad de la justicia (STC 20/2012)  [FJ 5].</w:t>
      </w:r>
    </w:p>
    <w:p w:rsidR="00D06117" w:rsidRDefault="00D06117" w:rsidP="00D06117">
      <w:pPr>
        <w:pStyle w:val="Extracto"/>
      </w:pPr>
    </w:p>
    <w:p w:rsidR="00D06117" w:rsidRDefault="00D06117" w:rsidP="00D06117">
      <w:pPr>
        <w:pStyle w:val="Extracto"/>
      </w:pPr>
      <w:r>
        <w:t>4.</w:t>
      </w:r>
      <w:r>
        <w:tab/>
        <w:t>La tasa por el ejercicio de la potestad jurisdiccional es un tributo que, a diferencia de los impuestos, debe ser satisfecho, total o parcialmente, como requisito imprescindible para iniciar la prestación de la actividad jurisdiccional (STC 20/2012) [FJ 6].</w:t>
      </w:r>
    </w:p>
    <w:p w:rsidR="00D06117" w:rsidRDefault="00D06117" w:rsidP="00D06117">
      <w:pPr>
        <w:pStyle w:val="Extracto"/>
      </w:pPr>
    </w:p>
    <w:p w:rsidR="00D06117" w:rsidRDefault="00D06117" w:rsidP="00D06117">
      <w:pPr>
        <w:pStyle w:val="Extracto"/>
      </w:pPr>
      <w:r>
        <w:t>5.</w:t>
      </w:r>
      <w:r>
        <w:tab/>
        <w:t>El cierre del acceso a la justicia mediante el archivo de una demanda que no viene acompañada del justificante de la autoliquidación de la tasa judicial, no subsanada en los plazos legales, no puede considerarse rigorista ni desproporcionado, y es imputable a la propia conducta de la parte por falta de la suficiente diligencia procesal (STC 153/2002) [FJ 7].</w:t>
      </w:r>
    </w:p>
    <w:p w:rsidR="00D06117" w:rsidRDefault="00D06117" w:rsidP="00D06117">
      <w:pPr>
        <w:pStyle w:val="Extracto"/>
      </w:pPr>
    </w:p>
    <w:p w:rsidR="00D06117" w:rsidRDefault="00D06117" w:rsidP="00D06117">
      <w:pPr>
        <w:pStyle w:val="Extracto"/>
      </w:pPr>
      <w:r>
        <w:lastRenderedPageBreak/>
        <w:t>6.</w:t>
      </w:r>
      <w:r>
        <w:tab/>
        <w:t>Doctrina sobre la carga de invocación del derecho vulnerado (SSTC 1/1981, 212/2009) [FJ 2].</w:t>
      </w:r>
    </w:p>
    <w:p w:rsidR="00D06117" w:rsidRDefault="00D06117" w:rsidP="00D06117">
      <w:pPr>
        <w:pStyle w:val="Extracto"/>
      </w:pPr>
    </w:p>
    <w:p w:rsidR="00D06117" w:rsidRDefault="00D06117" w:rsidP="00D06117">
      <w:pPr>
        <w:pStyle w:val="Extracto"/>
      </w:pPr>
      <w:r>
        <w:t>7.</w:t>
      </w:r>
      <w:r>
        <w:tab/>
        <w:t>La cuestión suscitada, en relación con la Sentencia del Tribunal Superior de Justicia que declaró mal admitido el recurso de apelación contra el Auto de archivo del Juzgado de lo Contencioso-Administrativo, al ser el acto administrativo impugnado una sanción de multa de una cuantía notoriamente inferior al umbral marcado por la ley para el recurso de apelación contra Sentencias, ex art. 81.1 a) LJCA, ya ha sido resuelta en la STC 59/2003 [FJ 3].</w:t>
      </w:r>
    </w:p>
    <w:p w:rsidR="00D06117" w:rsidRDefault="00D06117" w:rsidP="00D06117">
      <w:pPr>
        <w:pStyle w:val="Extracto"/>
      </w:pPr>
    </w:p>
    <w:p w:rsidR="00D06117" w:rsidRDefault="00D06117" w:rsidP="00D06117">
      <w:pPr>
        <w:pStyle w:val="Extracto"/>
      </w:pPr>
      <w:r>
        <w:t>8.</w:t>
      </w:r>
      <w:r>
        <w:tab/>
        <w:t>Para ponderar la entidad real de los defectos procesales de las partes en relación con el cierre del proceso y el acceso a la jurisdicción, debe atenderse a la importancia del defecto, a su incidencia en la consecución de la finalidad perseguida por la norma infringida, a su trascendencia para las garantías procesales de las demás partes del proceso y a la voluntad y grado de diligencia procesal apreciada en la parte (SSTC 87/1986, 79/2012)  [FJ 7].</w:t>
      </w:r>
    </w:p>
    <w:p w:rsidR="00D06117" w:rsidRDefault="00D06117" w:rsidP="00D06117">
      <w:pPr>
        <w:pStyle w:val="Extracto"/>
      </w:pPr>
    </w:p>
    <w:p w:rsidR="00D06117" w:rsidRDefault="00D06117" w:rsidP="00D06117">
      <w:pPr>
        <w:pStyle w:val="Extracto"/>
      </w:pPr>
      <w:r>
        <w:t>9.</w:t>
      </w:r>
      <w:r>
        <w:tab/>
        <w:t>Con independencia de que también fuesen razonables otras posibles interpretaciones de la legalidad procesal contencioso-administrativa sobre la cuestión, debe recordarse que no es función de este Tribunal la de, entre dos interpretaciones razonables de una norma, elegir cuál de ellas le parece más razonable (SSTC 13/2002, 138/1995)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2689-2004, promovido por Plataforma Frigorífica, S.L., representada por el Procurador de los Tribunales don Carlos Castro Muñoz y asistida por el Abogado don Javier Gaspar Puig, contra la Sentencia de la Sala de lo Contencioso-Administrativo del Tribunal Superior de Justicia de Madrid de 17 de marzo de 2004, que inadmitió el recurso de apelación formulado frente al Auto del Juzgado de lo Contencioso-Administrativo núm. 11 de Madrid, de 14 de julio de 2003, que acordó el archivo del procedimiento abreviado incoado respecto a una resolución de la Consejería de Obras Públicas y Transportes de la Comunidad de Madrid que le había impuesto una multa de 601,01 euros por realizar un transporte con exceso de peso, al no haber subsanado el defecto de no aportar el justificante de abono de la tasa judicial. Ha intervenido el Ministerio Fiscal y ha comparecido la Comunidad de Madrid, representada y defendida por su Letrada doña Yolanda </w:t>
      </w:r>
      <w:r>
        <w:lastRenderedPageBreak/>
        <w:t>Hernández Villalón.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día 27 de abril de 2004, la entidad mercantil Plataforma Frigorífica, S.L., representada por el Procurador de los Tribunales don Carlos Castro Muñoz y asistida por el Abogado don Javier Gaspar Puig, formuló demanda de amparo contra la resolución a la que se ha hecho mención en el encabezamiento de la presente Sentencia, solicitando la anulación de las resoluciones judiciales impugnadas en su demanda.</w:t>
      </w:r>
    </w:p>
    <w:p w:rsidR="00D06117" w:rsidRDefault="00D06117" w:rsidP="00D06117">
      <w:pPr>
        <w:pStyle w:val="TextoNormal"/>
      </w:pPr>
    </w:p>
    <w:p w:rsidR="00D06117" w:rsidRDefault="00D06117" w:rsidP="00D06117">
      <w:pPr>
        <w:pStyle w:val="TextoNormal"/>
      </w:pPr>
      <w:r w:rsidRPr="00D06117">
        <w:rPr>
          <w:rStyle w:val="NumeroAFNegritaCaracter"/>
        </w:rPr>
        <w:t>2</w:t>
      </w:r>
      <w:r>
        <w:t>. La demanda narra los siguientes hechos:</w:t>
      </w:r>
    </w:p>
    <w:p w:rsidR="00D06117" w:rsidRDefault="00D06117" w:rsidP="00D06117">
      <w:pPr>
        <w:pStyle w:val="TextoNormal"/>
      </w:pPr>
    </w:p>
    <w:p w:rsidR="00D06117" w:rsidRDefault="00D06117" w:rsidP="00D06117">
      <w:pPr>
        <w:pStyle w:val="TextoNormal"/>
      </w:pPr>
      <w:r>
        <w:t>a) La entidad mercantil Plataforma Frigorífica, S.L., interpuso el 20 de junio de 2003 recurso contencioso-administrativo ante los Juzgados de Madrid, pidiendo la nulidad de la multa de 601,01 euros que la había impuesto la Conserjería de Obras Públicas y Transportes de la Comunidad de Madrid, por haber realizado un transporte de 37.300 kilos, excediendo el peso máximo autorizado en un 39,51 por 100. En esencia, alegaba que el expediente administrativo sancionador había caducado; que la báscula de Ugaldebieta, con la que la policía del País Vasco había llevado a cabo la medición del peso del camión el día 24 de mayo de 1993, no estaba homologada ni verificada; que en el procedimiento no se había formulado propuesta de resolución; y que la sanción había sido graduada sin atender al principio de proporcionalidad.</w:t>
      </w:r>
    </w:p>
    <w:p w:rsidR="00D06117" w:rsidRDefault="00D06117" w:rsidP="00D06117">
      <w:pPr>
        <w:pStyle w:val="TextoNormal"/>
      </w:pPr>
    </w:p>
    <w:p w:rsidR="00D06117" w:rsidRDefault="00D06117" w:rsidP="00D06117">
      <w:pPr>
        <w:pStyle w:val="TextoNormal"/>
      </w:pPr>
      <w:r>
        <w:t>b) El 23 de junio de 2003, la Secretaría del Juzgado de lo Contencioso-Administrativo núm. 11 de Madrid dictó diligencia de ordenación en el procedimiento abreviado núm. 91-2003, ordenando registrar el recurso en los libros de su clase y requerir a la parte para que, de conformidad con el artículo 35, apartado 7.2, de la Ley 53/2002, de medidas fiscales, administrativas y del orden social, y con la Orden Ministerial de Hacienda 661-2003, de 24 de marzo, presentase el modelo 696 debidamente validado, en el plazo de diez días, sin el cual no se daría curso al escrito. Se le advirtió que contra esa resolución, la demandante podía solicitar su revisión ante el Juez en el plazo de cinco días [art. 79.3 de la Ley reguladora de la jurisdicción contencioso-administrativa (LJCA)]. La diligencia fue notificada mediante cédula el siguiente día 26 de junio.</w:t>
      </w:r>
    </w:p>
    <w:p w:rsidR="00D06117" w:rsidRDefault="00D06117" w:rsidP="00D06117">
      <w:pPr>
        <w:pStyle w:val="TextoNormal"/>
      </w:pPr>
    </w:p>
    <w:p w:rsidR="00D06117" w:rsidRDefault="00D06117" w:rsidP="00D06117">
      <w:pPr>
        <w:pStyle w:val="TextoNormal"/>
      </w:pPr>
      <w:r>
        <w:t>c) El Juzgado dictó Auto, de fecha 14 de julio de 2003, acordando el archivo de las actuaciones, al no haber subsanado la actora el defecto advertido. En el Auto se hizo expresa advertencia de que, en aplicación del art. 128 LJCA, en la fecha de notificación de la resolución se le admitiría la autoliquidación y el modelo 696 objeto de requerimiento.</w:t>
      </w:r>
    </w:p>
    <w:p w:rsidR="00D06117" w:rsidRDefault="00D06117" w:rsidP="00D06117">
      <w:pPr>
        <w:pStyle w:val="TextoNormal"/>
      </w:pPr>
    </w:p>
    <w:p w:rsidR="00D06117" w:rsidRDefault="00D06117" w:rsidP="00D06117">
      <w:pPr>
        <w:pStyle w:val="TextoNormal"/>
      </w:pPr>
      <w:r>
        <w:t xml:space="preserve">En los fundamentos, tras transcribir el art. 35.7.2 de la Ley 53/2002 y la disposición 6.3 de la Orden HAC 661/2003, se hizo constar que la entidad recurrente había sido requerida para que aportara el justificante del pago de la tasa por el ejercicio de la potestad jurisdiccional en los órdenes civil y contencioso-administrativo. Transcurrido el plazo legal de diez días, no lo había presentado, por lo que procedía, en aplicación del art. 45.3 LJCA, el archivo de las actuaciones. Con el objeto de evitar indefensión y de no limitar el derecho de acceso </w:t>
      </w:r>
      <w:r>
        <w:lastRenderedPageBreak/>
        <w:t>a este orden jurisdiccional, el Auto indicaba que la actora debía ser advertida expresamente de que el mismo día en que recibiera la notificación del Auto se le admitiría el impreso oportuno, y produciría los efectos legales con la inmediata admisión de la demanda, en aplicación del art. 128 LJCA.</w:t>
      </w:r>
    </w:p>
    <w:p w:rsidR="00D06117" w:rsidRDefault="00D06117" w:rsidP="00D06117">
      <w:pPr>
        <w:pStyle w:val="TextoNormal"/>
      </w:pPr>
    </w:p>
    <w:p w:rsidR="00D06117" w:rsidRDefault="00D06117" w:rsidP="00D06117">
      <w:pPr>
        <w:pStyle w:val="TextoNormal"/>
      </w:pPr>
      <w:r>
        <w:t>d) Siguiendo la indicación de recursos ofrecida en el Auto de archivo de 14 de julio de 2003, el Abogado don Javier Gaspar Puig, en representación de la sociedad recurrente, formuló recurso de apelación en un solo efecto mediante escrito de 28 de agosto de 2003, presentado en el Registro del Decanato el 1 de septiembre siguiente.</w:t>
      </w:r>
    </w:p>
    <w:p w:rsidR="00D06117" w:rsidRDefault="00D06117" w:rsidP="00D06117">
      <w:pPr>
        <w:pStyle w:val="TextoNormal"/>
      </w:pPr>
    </w:p>
    <w:p w:rsidR="00D06117" w:rsidRDefault="00D06117" w:rsidP="00D06117">
      <w:pPr>
        <w:pStyle w:val="TextoNormal"/>
      </w:pPr>
      <w:r>
        <w:t>El recurso sostenía, en general, que el hecho de no aportar la tasa judicial no podía ser impedimento de admisión a trámite de la demanda, con independencia del curso que se debiera dar a las actuaciones con relación a la Agencia Tributaria. Más en detalle, alegaba que la empresa no atendió el requerimiento al entender que se encuentra exenta de la tasa, por quedar comprendida en el articulado de la orden ministerial cuando se refiere a las entidades total o parcialmente exentas del impuesto de sociedades y las de reducida dimensión, tal y como las define la Ley 43/1995, de 27 de diciembre, de dicho impuesto. Terminaba suplicando que se revocara el Auto de archivo para salvaguardar al máximo el derecho a la tutela judicial efectiva del art. 24 CE.</w:t>
      </w:r>
    </w:p>
    <w:p w:rsidR="00D06117" w:rsidRDefault="00D06117" w:rsidP="00D06117">
      <w:pPr>
        <w:pStyle w:val="TextoNormal"/>
      </w:pPr>
      <w:r>
        <w:tab/>
      </w:r>
    </w:p>
    <w:p w:rsidR="00D06117" w:rsidRDefault="00D06117" w:rsidP="00D06117">
      <w:pPr>
        <w:pStyle w:val="TextoNormal"/>
      </w:pPr>
      <w:r>
        <w:t>e) Previas alegaciones acerca de la admisibilidad del recurso, abiertas mediante providencia de 2 de marzo de 2004 en virtud del art. 33.2 LJCA, la Sección Octava de la Sala de lo Contencioso-Administrativo del Tribunal Superior de Justicia de Madrid dictó Sentencia de 17 de marzo de 2004 (recurso de apelación núm. 118-2003), que desestima el recurso interpuesto por Plataforma Frigorífica, S.L. La Sala afirma que si bien son apelables los Autos dictados por los Juzgados “en procesos de los que conozcan en primera instancia” cuando declaren la inadmisión del recurso [art. 80.1 c) LJCA], como el acto administrativo impugnado es una multa de una cuantía inferior a 18.000 euros, de la pretensión conoce el Juzgado en única instancia [art. 81.1 a) LJCA], por lo que el Auto dictado no es susceptible de apelación. La indebida admisión del recurso de apelación opera, entonces, como causa automática de desestimación, sin costas procesales.</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demandante de amparo alega dos vulneraciones del derecho fundamental a la tutela judicial efectiva (art. 24.1 CE):</w:t>
      </w:r>
    </w:p>
    <w:p w:rsidR="00D06117" w:rsidRDefault="00D06117" w:rsidP="00D06117">
      <w:pPr>
        <w:pStyle w:val="TextoNormal"/>
      </w:pPr>
    </w:p>
    <w:p w:rsidR="00D06117" w:rsidRDefault="00D06117" w:rsidP="00D06117">
      <w:pPr>
        <w:pStyle w:val="TextoNormal"/>
      </w:pPr>
      <w:r>
        <w:t>a) En primer lugar, critica la Sentencia de apelación por su interpretación del art. 80 LJCA, según la cual el Auto de archivo no era apelable por razón de la cuantía de la pretensión. Entiende que la interpretación del art. 80 LJCA sostenida por la Sala está fuera de la previsión del precepto legal, que hace alusión a los Autos en clara diferenciación de las Sentencias, de las que se ocupa el art. 81 de la misma ley, y es indebidamente restrictiva ya que por meras motivaciones formales se impide entrar a conocer a través del único medio para discutir el archivo decretado por no pagar las tasas.</w:t>
      </w:r>
    </w:p>
    <w:p w:rsidR="00D06117" w:rsidRDefault="00D06117" w:rsidP="00D06117">
      <w:pPr>
        <w:pStyle w:val="TextoNormal"/>
      </w:pPr>
    </w:p>
    <w:p w:rsidR="00D06117" w:rsidRDefault="00D06117" w:rsidP="00D06117">
      <w:pPr>
        <w:pStyle w:val="TextoNormal"/>
      </w:pPr>
      <w:r>
        <w:t>b) En segundo lugar, la demandante de amparo impugna el Auto de archivo dictado por el Juzgado, que también vulneraría el derecho a la tutela judicial efectiva. Ni el art. 53.2 de la Ley 53/2002, de 30 de diciembre, de medidas fiscales, administrativas y del orden social, ni la Orden HAC 661/2003, de 24 de marzo, —por la que se aprueba el modelo de autoli</w:t>
      </w:r>
      <w:r>
        <w:lastRenderedPageBreak/>
        <w:t>quidación de la tasa por el ejercicio de la potestad jurisdiccional en los órdenes civil y contencioso-administrativo y asimismo se determinan el lugar, la forma y los plazos para su presentación—, han establecido nuevos requisitos de admisibilidad ni han dejado en manos de los titulares del Poder Judicial la decisión acerca del efecto del impago de la tasa, que no puede ser otro que la comunicación a la Administración tributaria a los efectos pertinentes (liquidación de oficio, etc.), pero en ningún caso denegar al deudor tributario el acceso a la justicia.</w:t>
      </w:r>
    </w:p>
    <w:p w:rsidR="00D06117" w:rsidRDefault="00D06117" w:rsidP="00D06117">
      <w:pPr>
        <w:pStyle w:val="TextoNormal"/>
      </w:pPr>
    </w:p>
    <w:p w:rsidR="00D06117" w:rsidRDefault="00D06117" w:rsidP="00D06117">
      <w:pPr>
        <w:pStyle w:val="TextoNormal"/>
      </w:pPr>
      <w:r>
        <w:t>Tras exponer el cumplimiento de los requisitos procesales del recurso de amparo, termina suplicando que se otorgue el amparo solicitado, declarando la nulidad del “Auto” (sic) dictado en el recurso de apelación y del Auto del Juzgado que declaró el archivo de las actuaciones por no aportar la liquidación de la tasa judicial.</w:t>
      </w:r>
    </w:p>
    <w:p w:rsidR="00D06117" w:rsidRDefault="00D06117" w:rsidP="00D06117">
      <w:pPr>
        <w:pStyle w:val="TextoNormal"/>
      </w:pPr>
    </w:p>
    <w:p w:rsidR="00D06117" w:rsidRDefault="00D06117" w:rsidP="00D06117">
      <w:pPr>
        <w:pStyle w:val="TextoNormal"/>
      </w:pPr>
      <w:r w:rsidRPr="00D06117">
        <w:rPr>
          <w:rStyle w:val="NumeroAFNegritaCaracter"/>
        </w:rPr>
        <w:t>4</w:t>
      </w:r>
      <w:r>
        <w:t>. La Sección Segunda de este Tribunal, mediante providencia de 13 de mayo de 2005, acordó admitir a trámite la demanda de amparo, sin perjuicio de lo que resultara de los antecedentes. Tuvo por personado al Procurador señor Castro, y acordó reclamar las actuaciones, conforme al art. 51 de la Ley Orgánica del Tribunal Constitucional (LOTC).</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27 de julio de 2005, el Secretario de Justicia de la Sala Primera de este Tribunal tuvo por recibidas las actuaciones judiciales de la Sala y del Juzgado y por personada y parte a la Comunidad de Madrid, a través de su Letrada. A tenor del art. 52 LOTC, dio vista de las actuaciones a las partes y al Fiscal para que, en el plazo de veinte días, presentasen las alegaciones que a su derecho conviniesen.</w:t>
      </w:r>
    </w:p>
    <w:p w:rsidR="00D06117" w:rsidRDefault="00D06117" w:rsidP="00D06117">
      <w:pPr>
        <w:pStyle w:val="TextoNormal"/>
      </w:pPr>
    </w:p>
    <w:p w:rsidR="00D06117" w:rsidRDefault="00D06117" w:rsidP="00D06117">
      <w:pPr>
        <w:pStyle w:val="TextoNormal"/>
      </w:pPr>
      <w:r w:rsidRPr="00D06117">
        <w:rPr>
          <w:rStyle w:val="NumeroAFNegritaCaracter"/>
        </w:rPr>
        <w:t>6</w:t>
      </w:r>
      <w:r>
        <w:t>. La Letrada de la Comunidad de Madrid formuló alegaciones mediante escrito registrado en este Tribunal el 5 de septiembre de 2005. Solicita que el recurso de amparo sea inadmitido o, subsidiariamente, desestimado por falta de vulneración del derecho fundamental.</w:t>
      </w:r>
    </w:p>
    <w:p w:rsidR="00D06117" w:rsidRDefault="00D06117" w:rsidP="00D06117">
      <w:pPr>
        <w:pStyle w:val="TextoNormal"/>
      </w:pPr>
    </w:p>
    <w:p w:rsidR="00D06117" w:rsidRDefault="00D06117" w:rsidP="00D06117">
      <w:pPr>
        <w:pStyle w:val="TextoNormal"/>
      </w:pPr>
      <w:r>
        <w:t>En cuanto a la procedencia del recurso de amparo, afirma que cumple los requisitos procesales salvo el de invocación del derecho: la demandante no adujo, ni en primera instancia ni en apelación, la vulneración que ahora se alega. Alega que tampoco se vulneró el derecho constitucional, y tras trascribir el art. 35 de la Ley 53/2002 y resumir los hechos, la Letrada concluye que fue la falta de diligencia de la demandante lo que ocasionó el archivo de las actuaciones, aduciendo que ya el Auto de la Sala manifestó que el archivo no era susceptible de apelación.</w:t>
      </w:r>
    </w:p>
    <w:p w:rsidR="00D06117" w:rsidRDefault="00D06117" w:rsidP="00D06117">
      <w:pPr>
        <w:pStyle w:val="TextoNormal"/>
      </w:pPr>
    </w:p>
    <w:p w:rsidR="00D06117" w:rsidRDefault="00D06117" w:rsidP="00D06117">
      <w:pPr>
        <w:pStyle w:val="TextoNormal"/>
      </w:pPr>
      <w:r w:rsidRPr="00D06117">
        <w:rPr>
          <w:rStyle w:val="NumeroAFNegritaCaracter"/>
        </w:rPr>
        <w:t>7</w:t>
      </w:r>
      <w:r>
        <w:t>. La parte recurrente formuló alegaciones mediante escrito registrado en este Tribunal el 28 de septiembre de 2005, en el que se reafirma que las resoluciones judiciales impugnadas han vulnerado su derecho a la tutela judicial efectiva con fundamento en los siguientes motivos:</w:t>
      </w:r>
    </w:p>
    <w:p w:rsidR="00D06117" w:rsidRDefault="00D06117" w:rsidP="00D06117">
      <w:pPr>
        <w:pStyle w:val="TextoNormal"/>
      </w:pPr>
    </w:p>
    <w:p w:rsidR="00D06117" w:rsidRDefault="00D06117" w:rsidP="00D06117">
      <w:pPr>
        <w:pStyle w:val="TextoNormal"/>
      </w:pPr>
      <w:r>
        <w:t xml:space="preserve">a) El Juzgado, al decretar el archivo definitivo del procedimiento por la omisión de la liquidación de la tasa judicial, cometió la primera vulneración. Esta omisión hubiera debido conducir a comunicar tal circunstancia a la delegación tributaria y, a lo sumo, la suspensión del procedimiento judicial hasta que dicha cuestión quedara resuelta, pero en ningún modo una medida tan desproporcionada como el archivo. No es aceptable la interpretación del art. </w:t>
      </w:r>
      <w:r>
        <w:lastRenderedPageBreak/>
        <w:t>45 LJCA efectuada por el órgano judicial pues, al igual que el art. 51, no menciona la tasa judicial como requisito indispensable, lo cual es coherente con la regulación de la tasa, en que se preceptúa que la no subsanación de la omisión del modelo de autoliquidación debe dar lugar a que el Secretario judicial lo comunique a la Administración tributaria para que practique la correspondiente liquidación: el art. 35 de la Ley 53/2002 no ha establecido un requisito de procedibilidad sino un “modo de operar”.</w:t>
      </w:r>
    </w:p>
    <w:p w:rsidR="00D06117" w:rsidRDefault="00D06117" w:rsidP="00D06117">
      <w:pPr>
        <w:pStyle w:val="TextoNormal"/>
      </w:pPr>
    </w:p>
    <w:p w:rsidR="00D06117" w:rsidRDefault="00D06117" w:rsidP="00D06117">
      <w:pPr>
        <w:pStyle w:val="TextoNormal"/>
      </w:pPr>
      <w:r>
        <w:t>Subraya la improcedencia de interpretar los requisitos de la Ley de la jurisdicción contencioso-administrativa de manera arbitraria (SSTC 231/2002 y 59/2003). La idea de no considerar la liquidación de la tasa judicial como requisito imprescindible para impulsar el procedimiento judicial ha sido admitida por distintos pronunciamientos judiciales de la Audiencia Provincial de Lleida (Auto de la Sección Segunda de 19 de enero de 2004), la de León (Auto de la Sección Segunda de 16 de enero de 2004), la de Jaén (Auto de la Sección Tercera de 10 de enero de 2004, que cita la STC 141/1988), la Audiencia de Madrid (Auto de la Sección Vigesimoprimera de 5 de mayo de 2004) o la de La Rioja (Sentencia de la Sección Primera de 2 de julio de 2004), de los que cita distintos párrafos. En este sentido se ha pronunciado también la Sala de lo Contencioso-Administrativo del Tribunal Supremo, en Auto de la Sección Primera de 26 de febrero de 2004, que confirma una diligencia de ordenación del Secretario de justicia, y en Sentencia de 26 de marzo de 1994, con expresa cita del art. 11.3 de la Ley Orgánica del Poder Judicial.</w:t>
      </w:r>
    </w:p>
    <w:p w:rsidR="00D06117" w:rsidRDefault="00D06117" w:rsidP="00D06117">
      <w:pPr>
        <w:pStyle w:val="TextoNormal"/>
      </w:pPr>
    </w:p>
    <w:p w:rsidR="00D06117" w:rsidRDefault="00D06117" w:rsidP="00D06117">
      <w:pPr>
        <w:pStyle w:val="TextoNormal"/>
      </w:pPr>
      <w:r>
        <w:t>b) La inadmisión del recurso de apelación contra el archivo, por parte del Tribunal Superior de Justicia de Madrid, se apoya en una interpretación de los arts. 80.1 c) y 81.1 a) LJCA que no se ajusta al espíritu de estos preceptos. Es más correcta la sostenida por la Sentencia de la Sala de lo Contencioso-Administrativo del Tribunal Superior de Justicia de Cataluña de 22 de diciembre de 1999, que admitió una apelación en un litigio con una cuantía de 250.000 pesetas, apoyándose en el art. 81.2 LJCA, que permite recurso “siempre” cuando se declara la inadmisibilidad por Sentencia.</w:t>
      </w:r>
    </w:p>
    <w:p w:rsidR="00D06117" w:rsidRDefault="00D06117" w:rsidP="00D06117">
      <w:pPr>
        <w:pStyle w:val="TextoNormal"/>
      </w:pPr>
    </w:p>
    <w:p w:rsidR="00D06117" w:rsidRDefault="00D06117" w:rsidP="00D06117">
      <w:pPr>
        <w:pStyle w:val="TextoNormal"/>
      </w:pPr>
      <w:r w:rsidRPr="00D06117">
        <w:rPr>
          <w:rStyle w:val="NumeroAFNegritaCaracter"/>
        </w:rPr>
        <w:t>8</w:t>
      </w:r>
      <w:r>
        <w:t>. El Ministerio Fiscal formuló sus alegaciones mediante escrito registrado en este Tribunal el día 3 de octubre de 2005, informando a favor de la estimación parcial del recurso de amparo con los siguientes argumentos:</w:t>
      </w:r>
    </w:p>
    <w:p w:rsidR="00D06117" w:rsidRDefault="00D06117" w:rsidP="00D06117">
      <w:pPr>
        <w:pStyle w:val="TextoNormal"/>
      </w:pPr>
    </w:p>
    <w:p w:rsidR="00D06117" w:rsidRDefault="00D06117" w:rsidP="00D06117">
      <w:pPr>
        <w:pStyle w:val="TextoNormal"/>
      </w:pPr>
      <w:r>
        <w:t>a) En lo tocante a la inadmisión del recurso de apelación, que afecta al derecho de acceso a los recursos legales (art. 24.1 CE), sostiene que el amparo carece de eficacia decisoria: la STC 59/2003, entre otras, ha admitido la constitucionalidad de la interpretación de la Ley de la jurisdicción contencioso-administrativa que fundamenta la decisión judicial impugnada.</w:t>
      </w:r>
    </w:p>
    <w:p w:rsidR="00D06117" w:rsidRDefault="00D06117" w:rsidP="00D06117">
      <w:pPr>
        <w:pStyle w:val="TextoNormal"/>
      </w:pPr>
    </w:p>
    <w:p w:rsidR="00D06117" w:rsidRDefault="00D06117" w:rsidP="00D06117">
      <w:pPr>
        <w:pStyle w:val="TextoNormal"/>
      </w:pPr>
      <w:r>
        <w:t xml:space="preserve">b) Su opinión es distinta en lo que se refiere a la inadmisión de la demanda por el Juzgado, confirmada en apelación por la Sala. Este punto afecta al derecho de acceso a la jurisdicción, en que opera un canon de control constitucional más intenso (SSTC 252/2000, 231/2002). La decisión judicial de archivo se produjo como consecuencia de una determinada interpretación del art. 35, apartado 7.2, de la Ley 53/2002, que literalmente dispone que sin el justificante de haber abonado la tasa judicial “el Secretario Judicial no dará curso” al escrito, salvo que la omisión fuere subsanada en el plazo de diez días. Esta interpretación es rigorista y desproporcionada, por lo que no es conforme con la doctrina constitucional. </w:t>
      </w:r>
      <w:r>
        <w:lastRenderedPageBreak/>
        <w:t>En primer lugar, el legislador atribuye al Secretario judicial la actuación que indica el precepto, cuyo alcance no puede llevar a decretar un archivo, decisión que queda fuera de su competencia. En segundo lugar, lo que la ley dispone es una suspensión o paralización temporal del curso del escrito de interposición del recurso, no su archivo, por lo que la suspensión debe prolongarse hasta que se abonen las tasas o hasta que quede acreditado el supuesto de exención tributaria.</w:t>
      </w:r>
    </w:p>
    <w:p w:rsidR="00D06117" w:rsidRDefault="00D06117" w:rsidP="00D06117">
      <w:pPr>
        <w:pStyle w:val="TextoNormal"/>
      </w:pPr>
    </w:p>
    <w:p w:rsidR="00D06117" w:rsidRDefault="00D06117" w:rsidP="00D06117">
      <w:pPr>
        <w:pStyle w:val="TextoNormal"/>
      </w:pPr>
      <w:r>
        <w:t>Además, el impago de la tasa, en este caso, no fue debido a la indiligencia de la parte, sino que obedeció a su creencia de que estaba exenta del pago del tributo, aportando diversas razones para que fueran enjuiciadas por el Tribunal de apelación.</w:t>
      </w:r>
    </w:p>
    <w:p w:rsidR="00D06117" w:rsidRDefault="00D06117" w:rsidP="00D06117">
      <w:pPr>
        <w:pStyle w:val="TextoNormal"/>
      </w:pPr>
    </w:p>
    <w:p w:rsidR="00D06117" w:rsidRDefault="00D06117" w:rsidP="00D06117">
      <w:pPr>
        <w:pStyle w:val="TextoNormal"/>
      </w:pPr>
      <w:r>
        <w:t>El Fiscal concluye interesando el otorgamiento parcial del amparo, acordando la nulidad del Auto de 14 de julio de 2003 del Juzgado y todas las actuaciones judiciales posteriores, retrotrayéndolas al momento inmediato anterior para que el órgano judicial continúe la tramitación del procedimiento con respeto al derecho fundamental.</w:t>
      </w:r>
    </w:p>
    <w:p w:rsidR="00D06117" w:rsidRDefault="00D06117" w:rsidP="00D06117">
      <w:pPr>
        <w:pStyle w:val="TextoNormal"/>
      </w:pPr>
    </w:p>
    <w:p w:rsidR="00D06117" w:rsidRDefault="00D06117" w:rsidP="00D06117">
      <w:pPr>
        <w:pStyle w:val="TextoNormal"/>
      </w:pPr>
      <w:r w:rsidRPr="00D06117">
        <w:rPr>
          <w:rStyle w:val="NumeroAFNegritaCaracter"/>
        </w:rPr>
        <w:t>9</w:t>
      </w:r>
      <w:r>
        <w:t>. La Sala Primera de este Tribunal, mediante providencia de 1 de junio de 2009, acordó dejar pendiente de resolución el presente recurso de amparo en tanto no se resolvieran los procesos de inconstitucionalidad admitidos a trámite acerca de la compatibilidad del art. 24.1 CE con el art. 35.7.2 de la Ley 53/2002, de 30 de diciembre.</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30 de mayo de 2012, se acordó señalar para la deliberación y votación de la presente Sentencia el día 4 de junio del mismo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problema constitucional planteado en este proceso constitucional de amparo consiste en dilucidar si un Tribunal del orden jurisdiccional contencioso-administrativo puede lícitamente, a la luz de la Constitución, acordar el archivo de una demanda por no presentar el justificante del pago de la tasa por el ejercicio de la potestad jurisdiccional en dicho orden jurisdiccional, establecida por el art. 35 de la Ley 53/2002, de 30 de diciembre, de medidas fiscales, administrativas y del orden social. Como es lógico, esa cuestión debe ser resuelta siguiendo la doctrina sentada por el Pleno de este Tribunal en la STC 20/2012, de 16 de febrero, que enjuició la constitucionalidad de ese mismo precepto legal en lo que atañe a la tasa por el ejercicio de la potestad jurisdiccional en el orden civil.</w:t>
      </w:r>
    </w:p>
    <w:p w:rsidR="00D06117" w:rsidRDefault="00D06117" w:rsidP="00D06117">
      <w:pPr>
        <w:pStyle w:val="TextoNormal"/>
      </w:pPr>
    </w:p>
    <w:p w:rsidR="00D06117" w:rsidRDefault="00D06117" w:rsidP="00D06117">
      <w:pPr>
        <w:pStyle w:val="TextoNormal"/>
      </w:pPr>
      <w:r>
        <w:t>Con carácter previo, es preciso despejar otras cuestiones suscitadas en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2</w:t>
      </w:r>
      <w:r>
        <w:t>. El óbice procesal de falta de invocación del derecho que opone la Letrada de la Comunidad de Madrid carece de base fáctica. Una lectura de las actuaciones judiciales, puestas de manifiesto a las partes para que pudiesen formular con conocimiento de causa sus alegaciones [art. 52.1 de la Ley Orgánica del Tribunal Constitucional (LOTC)], muestra que el Abogado que representaba a la empresa demandante pidió que se revocara el archivo de su demanda “al objeto de salvaguardar al máximo el derecho a la tutela judicial efectiva del art. 24 CE”.</w:t>
      </w:r>
    </w:p>
    <w:p w:rsidR="00D06117" w:rsidRDefault="00D06117" w:rsidP="00D06117">
      <w:pPr>
        <w:pStyle w:val="TextoNormal"/>
      </w:pPr>
    </w:p>
    <w:p w:rsidR="00D06117" w:rsidRDefault="00D06117" w:rsidP="00D06117">
      <w:pPr>
        <w:pStyle w:val="TextoNormal"/>
      </w:pPr>
      <w:r>
        <w:t>Desde la primera Sentencia pronunciada por este Tribunal (STC 1/1981, de 26 de enero) hemos afirmado que quien pide la tutela judicial de sus derechos o libertades fundamentales debe levantar la carga de mencionar expresamente el concreto derecho o libertad que invoca, con el fin de que el órgano judicial “pueda satisfacer tal derecho o libertad haciendo innecesario el acceso a sede constitucional” (fundamento jurídico 4), en los términos que precisa el art. 44.1 c) LOTC. Cumplir esta carga en el proceso judicial previo es un requisito de admisión del recurso constitucional de amparo que, como afirma una reiterada jurisprudencia, no constituye un mero formalismo retórico o inútil, sino que tiene como doble finalidad que los órganos judiciales tengan oportunidad para pronunciarse sobre la violación constitucional, haciendo posible el respeto y restablecimiento del derecho constitucional en la sede judicial y, simultáneamente, preservar el carácter subsidiario del recurso de amparo, que resultaría desvirtuado si en él se suscitaran cuestiones sobre las que previamente, a través de las vías procesales oportunas, no se hubiera dado ocasión de pronunciarse a los tribunales de justicia (entre otras muchas, SSTC 182/1990, de 15 de noviembre, FJ 4; 134/1998, de 29 de junio, FJ 1; 36/2000, de 14 de febrero, FJ 3; 132/2006, de 27 de abril, FJ 3; y 212/2009, de 26 de noviembre, FJ 3). Lo cual ha sido cumplido en el caso presente, contra lo que afirma la Comunidad de Madrid.</w:t>
      </w:r>
    </w:p>
    <w:p w:rsidR="00D06117" w:rsidRDefault="00D06117" w:rsidP="00D06117">
      <w:pPr>
        <w:pStyle w:val="TextoNormal"/>
      </w:pPr>
    </w:p>
    <w:p w:rsidR="00D06117" w:rsidRDefault="00D06117" w:rsidP="00D06117">
      <w:pPr>
        <w:pStyle w:val="TextoNormal"/>
      </w:pPr>
      <w:r w:rsidRPr="00D06117">
        <w:rPr>
          <w:rStyle w:val="NumeroAFNegritaCaracter"/>
        </w:rPr>
        <w:t>3</w:t>
      </w:r>
      <w:r>
        <w:t>. Carece de fundamento el reproche que la demanda de amparo dirige contra la Sentencia del Tribunal Superior de Justicia que declaró mal admitido el recurso de apelación presentado por la empresa frente al Auto de archivo del Juzgado. La resolución del Tribunal se fundó en entender que sólo cabe alzarse en apelación contra Autos dictados por los Juzgados en procesos de los que conocen “en primera instancia” [art. 80.1 c) de la Ley 29/1998, de 13 de julio, reguladora de la jurisdicción contencioso-administrativa, en adelante LJCA]; y que, al ser el acto administrativo impugnado una sanción de multa de 601,01 euros, de importe notoriamente inferior al umbral marcado por la ley para el recurso de apelación contra Sentencias [art. 81.1 a) LJCA], el Juzgado conocía del asunto en única instancia. La demanda de amparo sostiene que la interpretación adecuada consiste en admitir la apelación contra cualquier resolución de inadmisión, aunque el art. 81.2 a) LJCA sólo se refiera expresamente a “Sentencias” que declaren la inadmisibilidad del recurso, citando en su apoyo una resolución de otro Tribunal Superior de Justicia que mantiene ese criterio.</w:t>
      </w:r>
    </w:p>
    <w:p w:rsidR="00D06117" w:rsidRDefault="00D06117" w:rsidP="00D06117">
      <w:pPr>
        <w:pStyle w:val="TextoNormal"/>
      </w:pPr>
    </w:p>
    <w:p w:rsidR="00D06117" w:rsidRDefault="00D06117" w:rsidP="00D06117">
      <w:pPr>
        <w:pStyle w:val="TextoNormal"/>
      </w:pPr>
      <w:r>
        <w:t>La cuestión suscitada fue resuelta en la STC 59/2003, de 24 de marzo, FJ 3, como indica el Fiscal certeramente. Tras constatar entonces que una Sala de lo Contencioso-Administrativo, al declarar mal admitido un recurso de apelación contra un Auto de inadmisión de un Juzgado con idéntico fundamento que ahora, se había basado en una causa de inadmisión legalmente prevista, de forma motivada, sin incurrir en error patente y sin asomo de arbitrariedad o manifiesta irrazonabilidad, la STC 59/2003 concluyó que la inadmisión del recurso respetaba el art. 24.1 CE, “y todo ello con independencia de que también fuesen razonables otras posibles interpretaciones de la legalidad procesal contencioso-administrativa sobre la cuestión, debiendo recordarse, a este respecto, que no es función de este Tribunal ‘la de, entre dos interpretaciones razonables de una norma, elegir cuál de ellas le parece más razonable’ (SSTC 13/2002, de 28 de enero, FJ 6; 138/1995, de 25 de septiembre, FJ 2)”.</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Llegamos así a lo que constituye el núcleo de la presente demanda: la empresa demandante pide amparo frente al archivo del recurso contencioso-administrativo que había interpuesto para obtener la nulidad de una sanción administrativa, debido a que no aportó el </w:t>
      </w:r>
      <w:r>
        <w:lastRenderedPageBreak/>
        <w:t>justificante de la liquidación y pago de la tasa por el ejercicio de la potestad jurisdiccional, establecida por el art. 35 de la Ley 53/2002, de 30 de diciembre, de medidas fiscales, administrativas y del orden social. Impugna el Auto dictado en su día por el Juzgado, que acordó el archivo, así como la posterior Sentencia de la Sala de lo Contencioso-Administrativo de Madrid que lo confirmó. Afirma que estas resoluciones judiciales han vulnerado el derecho fundamental a la tutela judicial efectiva (art. 24.1 CE), pues, a su juicio, el archivo de la demanda aplicó de forma rigorista y desproporcionada las previsiones legales acerca de la autoliquidación y pago de la tasa judicial.</w:t>
      </w:r>
    </w:p>
    <w:p w:rsidR="00D06117" w:rsidRDefault="00D06117" w:rsidP="00D06117">
      <w:pPr>
        <w:pStyle w:val="TextoNormal"/>
      </w:pPr>
    </w:p>
    <w:p w:rsidR="00D06117" w:rsidRDefault="00D06117" w:rsidP="00D06117">
      <w:pPr>
        <w:pStyle w:val="TextoNormal"/>
      </w:pPr>
      <w:r>
        <w:t>La Comunidad de Madrid, demandada en el proceso judicial previo, se opone a la demanda pidiendo su desestimación en este punto. Por el contrario, el Ministerio Fiscal apoya la demanda en este extremo y pide su estimación parcial, en los términos que han sido resumidos en los antecedentes.</w:t>
      </w:r>
    </w:p>
    <w:p w:rsidR="00D06117" w:rsidRDefault="00D06117" w:rsidP="00D06117">
      <w:pPr>
        <w:pStyle w:val="TextoNormal"/>
      </w:pPr>
    </w:p>
    <w:p w:rsidR="00D06117" w:rsidRDefault="00D06117" w:rsidP="00D06117">
      <w:pPr>
        <w:pStyle w:val="TextoNormal"/>
      </w:pPr>
      <w:r w:rsidRPr="00D06117">
        <w:rPr>
          <w:rStyle w:val="NumeroAFNegritaCaracter"/>
        </w:rPr>
        <w:t>5</w:t>
      </w:r>
      <w:r>
        <w:t>. En la STC 20/2012, de 16 de febrero, el Pleno de este Tribunal ha analizado detenidamente las tasas por el ejercicio de la potestad jurisdiccional establecidas por el art. 35 de la Ley 53/2002, de 30 de diciembre, de medidas fiscales, administrativas y del orden social. Aunque su doctrina se ha centrado en las tasas que gravan el orden civil de la jurisdicción, sus principios fundamentales son aplicables al orden contencioso-administrativo, con las adaptaciones requeridas por su distinto ámbito material (como advirtió expresamente en su fundamento jurídico 4).</w:t>
      </w:r>
    </w:p>
    <w:p w:rsidR="00D06117" w:rsidRDefault="00D06117" w:rsidP="00D06117">
      <w:pPr>
        <w:pStyle w:val="TextoNormal"/>
      </w:pPr>
    </w:p>
    <w:p w:rsidR="00D06117" w:rsidRDefault="00D06117" w:rsidP="00D06117">
      <w:pPr>
        <w:pStyle w:val="TextoNormal"/>
      </w:pPr>
      <w:r>
        <w:t>Tras analizar las tasas judiciales creadas por la Ley 53/2002, así como las hondas diferencias que separan las tasas vigentes de los aranceles o tasas judiciales que existían cuando la Constitución fue aprobada en 1978, y que estuvieron vigentes hasta su supresión por la Ley 25/1986, de 24 de diciembre (STC 20/2012, FFJJ 2 y 3), la STC 20/2012 declaró: 1) que la tasa por el ejercicio de la potestad jurisdiccional persigue fines legítimos, “en cuanto se dirige a financiar el servicio público de la Administración de Justicia con cargo a los justiciables que más se benefician de la actividad jurisdiccional, disminuyendo correlativamente la financiación procedente de los impuestos, a cargo de todos los ciudadanos” (FJ 8); 2) que “el régimen vigente de las tasas judiciales que gravan la presentación de demandas civiles … es plenamente respetuoso con las previsiones constitucionales sobre la gratuidad de la justicia” que enuncia el art. 119 CE, pues “en principio no vulnera la Constitución que una norma de rango legal someta a entidades mercantiles, con un elevado volumen de facturación, al pago de unas tasas que sirven para financiar los costes generados por la actividad jurisdiccional que conlleva juzgar las demandas que libremente deciden presentar ante los Tribunales del orden civil para defender sus derechos e intereses legítimos” (FJ 9); y 3) que esta conclusión general, respecto a las tasas en el orden civil, “sólo podría verse modificada si se mostrase que la cuantía de las tasas establecidas por la Ley 53/2002, de 30 de diciembre, son tan elevadas que impiden en la práctica el acceso a la jurisdicción o lo obstaculizan en un caso concreto en términos irrazonables” (FJ 10).</w:t>
      </w:r>
    </w:p>
    <w:p w:rsidR="00D06117" w:rsidRDefault="00D06117" w:rsidP="00D06117">
      <w:pPr>
        <w:pStyle w:val="TextoNormal"/>
      </w:pPr>
    </w:p>
    <w:p w:rsidR="00D06117" w:rsidRDefault="00D06117" w:rsidP="00D06117">
      <w:pPr>
        <w:pStyle w:val="TextoNormal"/>
      </w:pPr>
      <w:r>
        <w:t xml:space="preserve">Estas ideas básicas son las que nos deben guiar ahora, aunque no debemos perder de vista que se trata de examinar tasas que gravan el ejercicio de la jurisdicción contencioso-administrativa, cuyo acceso “ofrece peculiaridades desde el punto de vista constitucional, consecuencia del mandato contenido en el art. 106.1 CE que ordena y garantiza el control jurisdiccional de la Administración por parte de los Tribunales (SSTC 294/1994, de 7 de noviembre, FJ 3, y 177/2011, de 8 de noviembre, FJ 3; en el mismo sentido, STEDH Gran </w:t>
      </w:r>
      <w:r>
        <w:lastRenderedPageBreak/>
        <w:t>Sala Perdigâo c. Portugal, de 16 de noviembre de 2010, as. 24768/06, § 72)” (STC 20/2012, de 16 de febrero, FJ 4).</w:t>
      </w:r>
    </w:p>
    <w:p w:rsidR="00D06117" w:rsidRDefault="00D06117" w:rsidP="00D06117">
      <w:pPr>
        <w:pStyle w:val="TextoNormal"/>
      </w:pPr>
    </w:p>
    <w:p w:rsidR="00D06117" w:rsidRDefault="00D06117" w:rsidP="00D06117">
      <w:pPr>
        <w:pStyle w:val="TextoNormal"/>
      </w:pPr>
      <w:r w:rsidRPr="00D06117">
        <w:rPr>
          <w:rStyle w:val="NumeroAFNegritaCaracter"/>
        </w:rPr>
        <w:t>6</w:t>
      </w:r>
      <w:r>
        <w:t>. En el caso que ahora examinamos, en el momento en que se recibió la demanda en el Juzgado su Secretaría de Justicia advirtió el defecto del documento justificativo de la autoliquidación y requirió su aportación a la empresa recurrente, otorgándole el plazo de diez días que marca el art. 35.7 de la Ley 53/2002 para subsanar la omisión. La empresa dejó sin contestar el requerimiento: ni aportó el justificante requerido ni impugnó la diligencia que había acordado requerirlo. Y tampoco aportó el documento tributario de la tasa cuando el Juzgado le notificó el Auto de archivo, a pesar de que en él se le había hecho advertencia expresa de que hubiese podido subsanar la omisión el mismo día en que le fue notificada la resolución judicial (en virtud del art. 128.1 LJCA).</w:t>
      </w:r>
    </w:p>
    <w:p w:rsidR="00D06117" w:rsidRDefault="00D06117" w:rsidP="00D06117">
      <w:pPr>
        <w:pStyle w:val="TextoNormal"/>
      </w:pPr>
    </w:p>
    <w:p w:rsidR="00D06117" w:rsidRDefault="00D06117" w:rsidP="00D06117">
      <w:pPr>
        <w:pStyle w:val="TextoNormal"/>
      </w:pPr>
      <w:r>
        <w:t>La aportación, junto con la demanda, del documento de autoliquidación de la tasa validado por Hacienda es la única cuestión relevante para que el Secretario judicial pueda dar curso al proceso. La legitimidad de que la ley supedite la continuación del proceso a la justificación de que se ha presentado la autoliquidación quedó despejada en la Sentencia 20/2012, de 16 de febrero: “El legislador ha establecido una tasa, que es un tributo que, a diferencia de los impuestos, debe ser satisfecho, total o parcialmente, como requisito imprescindible para iniciar la prestación del servicio o la realización de la actividad que benefician de modo particular al sujeto pasivo”; una vez obtenida la conclusión de que es constitucional subordinar la prestación de la actividad jurisdiccional al abono de unas tasas judiciales por la interposición de la demanda, tal y como establece el art. 35 de la Ley 53/2002, de 30 de diciembre, “carece de lógica reprochar que el legislador haya decidido que la contribución de los justiciables a la financiación de la justicia se produzca mediante tasas, cuyo previo pago es requerido como regla general para obtener el beneficio ínsito en la prestación pública” (FJ 11).</w:t>
      </w:r>
    </w:p>
    <w:p w:rsidR="00D06117" w:rsidRDefault="00D06117" w:rsidP="00D06117">
      <w:pPr>
        <w:pStyle w:val="TextoNormal"/>
      </w:pPr>
    </w:p>
    <w:p w:rsidR="00D06117" w:rsidRDefault="00D06117" w:rsidP="00D06117">
      <w:pPr>
        <w:pStyle w:val="TextoNormal"/>
      </w:pPr>
      <w:r>
        <w:t>Por consiguiente, carece de todo fundamento la petición de la demandante de amparo de que el proceso judicial prosiga su tramitación, aun cuando no haya incorporado el documento que acredita que ha presentado ante Hacienda la liquidación de las tasas judiciales. Al no haber aportado el justificante de la autoliquidación de la tasa, el Secretario judicial tiene el deber legal de “no dar curso” al escrito de demanda (art. 35.7.2 de la Ley 53/2002) y, por ello, lo que pide la demanda de amparo es, lisa y llanamente, que se declare que la referida ley es inconstitucional. Por lo que, al no ser inconstitucional el art. 35.7 de la Ley 53/2002, la negativa a proseguir la tramitación del recurso contencioso-administrativo estaba fundada en causa legal, aplicada razonablemente y, por ende, respetó el derecho a la tutela judicial efectiva de la entidad demandante.</w:t>
      </w:r>
    </w:p>
    <w:p w:rsidR="00D06117" w:rsidRDefault="00D06117" w:rsidP="00D06117">
      <w:pPr>
        <w:pStyle w:val="TextoNormal"/>
      </w:pPr>
    </w:p>
    <w:p w:rsidR="00D06117" w:rsidRDefault="00D06117" w:rsidP="00D06117">
      <w:pPr>
        <w:pStyle w:val="TextoNormal"/>
      </w:pPr>
      <w:r w:rsidRPr="00D06117">
        <w:rPr>
          <w:rStyle w:val="NumeroAFNegritaCaracter"/>
        </w:rPr>
        <w:t>7</w:t>
      </w:r>
      <w:r>
        <w:t>. Subsidiariamente, la empresa demandante sostiene que aun si el Secretario judicial obró correctamente al no dar curso a su demanda contencioso-administrativa, lo que no procedía era que el Juzgado archivase seguidamente las actuaciones. Alega que el archivo fue una medida desproporcionada, y que lo procedente hubiera sido suspender la sustanciación del proceso judicial hasta que la cuestión tributaria hubiera quedado resuelta o caducase la instancia. En este punto, la demanda de amparo es apoyada por el informe del Fiscal, mientras que la Comunidad de Madrid se opone.</w:t>
      </w:r>
    </w:p>
    <w:p w:rsidR="00D06117" w:rsidRDefault="00D06117" w:rsidP="00D06117">
      <w:pPr>
        <w:pStyle w:val="TextoNormal"/>
      </w:pPr>
    </w:p>
    <w:p w:rsidR="00D06117" w:rsidRDefault="00D06117" w:rsidP="00D06117">
      <w:pPr>
        <w:pStyle w:val="TextoNormal"/>
      </w:pPr>
      <w:r>
        <w:lastRenderedPageBreak/>
        <w:t>La resolución judicial impugnada fundó el archivo en el art. 45.3 LJCA que, en la redacción entonces vigente, disponía efectivamente que el “Juzgado o Sala examinará de oficio la validez de la comparecencia tan pronto se haya presentado el escrito de interposición”; si no se hubieran aportado los documentos exigidos por la ley, o los presentados fueran incompletos y, en general, siempre que el órgano judicial “estime que no concurren los requisitos exigidos por esta Ley para la validez de la comparecencia”, debía requerir inmediatamente para la subsanación otorgando un plazo de diez días, y si el recurrente “no lo hace, se ordenará el archivo de las actuaciones” (art. 45.3 LJCA, versión original; SSTC 59/2003, de 24 de marzo, FJ 7, y 182/2008, de 22 de diciembre, FJ 4).</w:t>
      </w:r>
    </w:p>
    <w:p w:rsidR="00D06117" w:rsidRDefault="00D06117" w:rsidP="00D06117">
      <w:pPr>
        <w:pStyle w:val="TextoNormal"/>
      </w:pPr>
    </w:p>
    <w:p w:rsidR="00D06117" w:rsidRDefault="00D06117" w:rsidP="00D06117">
      <w:pPr>
        <w:pStyle w:val="TextoNormal"/>
      </w:pPr>
      <w:r>
        <w:t>Como acabamos de ver en el fundamento jurídico anterior, el art. 35.7 de la Ley 53/2002 impone a las personas jurídicas que insten el ejercicio de la potestad jurisdiccional en el orden contencioso-administrativo un doble deber, un deber tributario, consistente en liquidar la tasa judicial ante Hacienda (párrafo 1 del art. 35.7), y una carga procesal, consistente en justificar ante el órgano judicial que se ha cumplido con el deber tributario (párrafo 2 del art. 35.7). La cuestión que suscita la demanda de amparo es si la omisión del justiciable que no levanta esta carga de justificación documental puede justificar el cierre del proceso o, por el contrario, debería dar lugar a una suspensión indefinida de los autos, en espera de que se regularizara la situación con Hacienda o, en su caso, se produjera la caducidad de la instancia transcurridos los dos años previstos por la legislación procesal vigente (disposición final primera LJCA y art. 237 de la Ley de enjuiciamiento civil). Como dijimos en la STC 76/1996, de 30 de abril (FJ 2), al abordar una cuestión similar a la actual, es preciso concretar y valorar los fines que la ley persigue alcanzar con la justificación de que se ha liquidado la tasa judicial ante la Administración tributaria, para después apreciar si la regulación de esta figura y, más concretamente, la consecuencia que se atribuye a su omisión, resulta desproporcionada.</w:t>
      </w:r>
    </w:p>
    <w:p w:rsidR="00D06117" w:rsidRDefault="00D06117" w:rsidP="00D06117">
      <w:pPr>
        <w:pStyle w:val="TextoNormal"/>
      </w:pPr>
    </w:p>
    <w:p w:rsidR="00D06117" w:rsidRDefault="00D06117" w:rsidP="00D06117">
      <w:pPr>
        <w:pStyle w:val="TextoNormal"/>
      </w:pPr>
      <w:r>
        <w:t xml:space="preserve">En el presente caso, a diferencia del examinado en la STC 76/1996, el tribunal contencioso-administrativo ha ofrecido amplias oportunidades para subsanar la omisión del documento que acredita la autoliquidación de la tasa judicial, no sólo el plazo de diez días expresamente previsto por el art. 35 de la Ley 53/2002 sino también la posibilidad de subsanación el mismo día de notificación del Auto de archivo, en virtud del art. 128 LJCA y, sin embargo, la empresa demandante dejó pasar todas esas ocasiones sin cumplimentar lo solicitado. Conforme a una reiterada doctrina, “los órganos judiciales deben ponderar la entidad real de los defectos que advierten en los actos procesales de las partes en relación con el cierre del proceso y el acceso a la jurisdicción, guardando la debida proporcionalidad entre el defecto apreciado y la sanción que debe acarrear, y procurar, siempre que sea posible, su subsanación, al objeto de favorecer la conservación de la eficacia de los actos procesales y del proceso, como un instrumento para alcanzar la efectividad de la tutela judicial. En dicha ponderación debe atenderse a la entidad del defecto y a su incidencia en la consecución de la finalidad perseguida por la norma infringida y a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195/1999, de 25 de octubre, FJ 2; 193/2000, de 18 de julio, FJ 3; y 285/2000, de 27 de noviembre, FJ 4)” (STC 153/2002, de 15 de julio, FJ </w:t>
      </w:r>
      <w:r>
        <w:lastRenderedPageBreak/>
        <w:t>3; en el mismo sentido, SSTC 182/2004, de 2 de noviembre, FJ 3; 176/2005, de 4 de julio, FJ 3; 6/2009, de 12 de enero, FJ 3; o 79/2012, de 17 de abril, FJ 7).</w:t>
      </w:r>
    </w:p>
    <w:p w:rsidR="00D06117" w:rsidRDefault="00D06117" w:rsidP="00D06117">
      <w:pPr>
        <w:pStyle w:val="TextoNormal"/>
      </w:pPr>
    </w:p>
    <w:p w:rsidR="00D06117" w:rsidRDefault="00D06117" w:rsidP="00D06117">
      <w:pPr>
        <w:pStyle w:val="TextoNormal"/>
      </w:pPr>
      <w:r>
        <w:t>Es indudable que el órgano judicial archivó la demanda con apoyo en una causa legal, aplicada razonadamente y sólo después de haber facilitado la subsanación del defecto procesal advertido. Por otra parte, la interpretación que sostiene el demandante con apoyo del Fiscal dañaría la integridad del proceso judicial (SSTC 213/1990, de 20 de diciembre, FJ 2; 195/1999, de 25 de octubre, FJ 2; 125/2010, de 29 de noviembre, FJ 2; y 79/2012, de 17 de abril, FJ 8), dado que generaría un número indeterminado de procesos suspendidos sine die por factores completamente ajenos a la mejor administración de justicia, que se acumularían en la Secretaría de los Tribunales con grave riesgo para el derecho a un proceso sin dilaciones indebidas y sin beneficio aparente para ningún derecho o interés legítimo discernible. Por consiguiente, el cierre del acceso a la justicia mediante el archivo de una demanda que no viene acompañada del justificante de la autoliquidación de la tasa judicial, no subsanada en los plazos legales, no puede considerarse rigorista ni desproporcionado, y es imputable a la propia conducta de la parte por falta de la suficiente diligencia procesal, como concluimos en un supuesto análogo en la STC 153/2002, de 15 de julio (FJ 4). Por consiguiente, su recurso de amparo debe ser desestimado en su totalidad.</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Plataforma Frigorífica, S.L.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cuatro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0" w:name="SENTENCIA_2012_117"/>
      <w:r>
        <w:lastRenderedPageBreak/>
        <w:t>SENTENCIA 117/2012, de 4 de junio de 2012</w:t>
      </w:r>
    </w:p>
    <w:bookmarkEnd w:id="120"/>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ECLI:ES:TC:2012:117</w:t>
      </w:r>
    </w:p>
    <w:p w:rsidR="00D06117" w:rsidRDefault="00D06117" w:rsidP="00D06117">
      <w:pPr>
        <w:pStyle w:val="SntesisDescriptiva"/>
      </w:pPr>
    </w:p>
    <w:p w:rsidR="00D06117" w:rsidRDefault="00D06117" w:rsidP="00D06117">
      <w:pPr>
        <w:pStyle w:val="SntesisDescriptiva"/>
      </w:pPr>
      <w:r>
        <w:t>Recurso de amparo 325-2007. Promovido por don José Luis Peña Domingo y don Juan José Moreno Alonso en relación con las Sentencias del Tribunal Superior de Justicia y de un Juzgado de lo Contencioso-Administrativo de Madrid que desestimaron su demanda contra el Ayuntamiento de Majadahonda sobre concejales declarados miembros no adscritos a ningún grupo municipal.</w:t>
      </w:r>
    </w:p>
    <w:p w:rsidR="00D06117" w:rsidRDefault="00D06117" w:rsidP="00D06117">
      <w:pPr>
        <w:pStyle w:val="SntesisDescriptiva"/>
      </w:pPr>
    </w:p>
    <w:p w:rsidR="00D06117" w:rsidRDefault="00D06117" w:rsidP="00D06117">
      <w:pPr>
        <w:pStyle w:val="SntesisAnaltica"/>
      </w:pPr>
      <w:r>
        <w:t>Supuesta vulneración del derecho a participar en los asuntos públicos: negativa municipal a tener por constituido el grupo mixto que no influye en los derechos de ejercicio individual de los concejales (STC 20/2011).</w:t>
      </w:r>
    </w:p>
    <w:p w:rsidR="00D06117" w:rsidRDefault="00D06117" w:rsidP="00D06117">
      <w:pPr>
        <w:pStyle w:val="SntesisAnaltica"/>
      </w:pPr>
    </w:p>
    <w:p w:rsidR="00D06117" w:rsidRDefault="00D06117" w:rsidP="00D06117">
      <w:pPr>
        <w:pStyle w:val="Extracto"/>
      </w:pPr>
      <w:r>
        <w:t>1.</w:t>
      </w:r>
      <w:r>
        <w:tab/>
        <w:t>La no pertenencia a un grupo político no debe influir en la participación de los concejales no adscritos en las comisiones informativas municipales con todas las facultades, incluida la de votar, pues este es uno de los derechos de ejercicio individual que les corresponden en virtud de su condición de representantes políticos (SSTC 169/2009, 20/2011)  [FJ 4].</w:t>
      </w:r>
    </w:p>
    <w:p w:rsidR="00D06117" w:rsidRDefault="00D06117" w:rsidP="00D06117">
      <w:pPr>
        <w:pStyle w:val="Extracto"/>
      </w:pPr>
    </w:p>
    <w:p w:rsidR="00D06117" w:rsidRDefault="00D06117" w:rsidP="00D06117">
      <w:pPr>
        <w:pStyle w:val="Extracto"/>
      </w:pPr>
      <w:r>
        <w:t>2.</w:t>
      </w:r>
      <w:r>
        <w:tab/>
        <w:t>El derecho a votar en el Pleno y en las divisiones de éste que en su caso se constituyan es uno de los derechos de ejercicio individual de los concejales, que les corresponde en virtud de su condición de representantes políticos, de modo que la negativa a convocar a los concejales recurrentes a las comisiones informativas con voz y voto no es consecuencia inexorable de que éstos, por tener la citada condición de concejales no adscritos, no formen parte de un grupo municipal (STC 20/2011)  [FJ 4].</w:t>
      </w:r>
    </w:p>
    <w:p w:rsidR="00D06117" w:rsidRDefault="00D06117" w:rsidP="00D06117">
      <w:pPr>
        <w:pStyle w:val="Extracto"/>
      </w:pPr>
    </w:p>
    <w:p w:rsidR="00D06117" w:rsidRDefault="00D06117" w:rsidP="00D06117">
      <w:pPr>
        <w:pStyle w:val="Extracto"/>
      </w:pPr>
      <w:r>
        <w:t>3.</w:t>
      </w:r>
      <w:r>
        <w:tab/>
        <w:t xml:space="preserve">La vulneración del derecho a la participación política, </w:t>
      </w:r>
      <w:r w:rsidRPr="00D06117">
        <w:rPr>
          <w:i/>
        </w:rPr>
        <w:t>ex</w:t>
      </w:r>
      <w:r>
        <w:t xml:space="preserve"> art. 23 CE, no se produce con cualquier acto que infrinja el </w:t>
      </w:r>
      <w:r w:rsidRPr="00D06117">
        <w:rPr>
          <w:i/>
        </w:rPr>
        <w:t>status</w:t>
      </w:r>
      <w:r>
        <w:t xml:space="preserve"> jurídico aplicable al representante, pues a estos efectos sólo poseen relevancia constitucional los derechos o facultades que pertenezcan al núcleo de su función representativa (STC 20/2011) [FJ 3].</w:t>
      </w:r>
    </w:p>
    <w:p w:rsidR="00D06117" w:rsidRDefault="00D06117" w:rsidP="00D06117">
      <w:pPr>
        <w:pStyle w:val="Extracto"/>
      </w:pPr>
    </w:p>
    <w:p w:rsidR="00D06117" w:rsidRDefault="00D06117" w:rsidP="00D06117">
      <w:pPr>
        <w:pStyle w:val="Extracto"/>
      </w:pPr>
      <w:r>
        <w:t>4.</w:t>
      </w:r>
      <w:r>
        <w:tab/>
        <w:t>Que el Ayuntamiento no acoja la pretensión de los recurrentes de tener por constituido por los dos concejales demandantes el grupo municipal mixto y, correlativamente, deje de reconocerles los derechos asociados a la pertenencia a un grupo político municipal, no implica vulneración del derecho a la participación política de los concejales, ex art. 23 CE (SSTC 169/2009, 20/2011)  [FFJJ 2, 3].</w:t>
      </w:r>
    </w:p>
    <w:p w:rsidR="00D06117" w:rsidRDefault="00D06117" w:rsidP="00D06117">
      <w:pPr>
        <w:pStyle w:val="Extracto"/>
      </w:pPr>
    </w:p>
    <w:p w:rsidR="00D06117" w:rsidRDefault="00D06117" w:rsidP="00D06117">
      <w:pPr>
        <w:pStyle w:val="Extracto"/>
      </w:pPr>
      <w:r>
        <w:t>5.</w:t>
      </w:r>
      <w:r>
        <w:tab/>
        <w:t>Doctrina sobre del derecho a participar en los asuntos públicos de concejales no adscritos (STC 20/2011) [FJ 3].</w:t>
      </w:r>
    </w:p>
    <w:p w:rsidR="00D06117" w:rsidRDefault="00D06117" w:rsidP="00D06117">
      <w:pPr>
        <w:pStyle w:val="Extracto"/>
      </w:pPr>
    </w:p>
    <w:p w:rsidR="00D06117" w:rsidRDefault="00D06117" w:rsidP="00D06117">
      <w:pPr>
        <w:pStyle w:val="Extracto"/>
      </w:pPr>
      <w:r>
        <w:t>6.</w:t>
      </w:r>
      <w:r>
        <w:tab/>
        <w:t xml:space="preserve">La alegada lesión del derecho a la tutela judicial efectiva carece de sustantividad propia, porque con esta invocación los recurrentes se limitan a denunciar que las </w:t>
      </w:r>
      <w:r>
        <w:lastRenderedPageBreak/>
        <w:t>Sentencias recurridas, al validar la actuación municipal a la que se vincula directamente la vulneración de los derechos de participación política, no les han otorgado la tutela judicial efectiva pretendida, lo que, en definitiva, reconduce la cuestión al análisis de la lesión de los derechos fundamentales sustantivos del art. 23 CE  [FJ 1].</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doña Elisa Pérez Vera, don Ramón Rodríguez Arribas, don Francisco José Hernando Santiago,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325-2007, promovido por don José Luis Peña Domingo y don Juan José Moreno Alonso, representados por el Procurador de los Tribunales don Luis José García Barrenechea y asistidos por el Abogado don Ángel Galindo Álvarez, contra la Sentencia de 27 de junio de 2006 del Juzgado de lo Contencioso-Administrativo núm. 19 de Madrid recaída en el procedimiento de protección de derechos fundamentales núm. 4-2005, y contra la Sentencia de 2 de noviembre de 2006 de la Sección Octava de la Sala de lo Contencioso-Administrativo del Tribunal Superior de Justicia de Madrid por la que se desestima el recurso de apelación núm. 430-2006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Pérez de los Cobos Orihuel,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12 de enero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que resultan relevantes para su resolución son, sucintamente expuestos, los siguientes:</w:t>
      </w:r>
    </w:p>
    <w:p w:rsidR="00D06117" w:rsidRDefault="00D06117" w:rsidP="00D06117">
      <w:pPr>
        <w:pStyle w:val="TextoNormal"/>
      </w:pPr>
      <w:r>
        <w:tab/>
      </w:r>
    </w:p>
    <w:p w:rsidR="00D06117" w:rsidRDefault="00D06117" w:rsidP="00D0611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w:t>
      </w:r>
      <w:r>
        <w:lastRenderedPageBreak/>
        <w:t>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w:t>
      </w:r>
    </w:p>
    <w:p w:rsidR="00D06117" w:rsidRDefault="00D06117" w:rsidP="00D06117">
      <w:pPr>
        <w:pStyle w:val="TextoNormal"/>
      </w:pPr>
    </w:p>
    <w:p w:rsidR="00D06117" w:rsidRDefault="00D06117" w:rsidP="00D06117">
      <w:pPr>
        <w:pStyle w:val="TextoNormal"/>
      </w:pPr>
      <w:r>
        <w:t>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w:t>
      </w:r>
    </w:p>
    <w:p w:rsidR="00D06117" w:rsidRDefault="00D06117" w:rsidP="00D06117">
      <w:pPr>
        <w:pStyle w:val="TextoNormal"/>
      </w:pPr>
    </w:p>
    <w:p w:rsidR="00D06117" w:rsidRDefault="00D06117" w:rsidP="00D06117">
      <w:pPr>
        <w:pStyle w:val="TextoNormal"/>
      </w:pPr>
      <w:r>
        <w:t>b) El Ayuntamiento de Majadahonda, por el contrario, no consideró que el grupo municipal mixto hubiese quedado constituido porque, por mandato del art. 73.3 de la Ley 7/1985, de 2 de abril, reguladora de las bases de régimen local, en la redacción dada por la Ley 57/2003, de 16 de diciembre (en adelante LBRL), los dos concejales que pretendían integrarlo, al haber sido expulsados de otro grupo político municipal, adquirían necesariamente la condición de “concejales no adscritos”, de modo que no podían constituir ni formar parte de grupo político municipal alguno ni, en consecuencia, disfrutar de los derechos que le son inherentes. Así se puso de manifiesto cuando el Secretario General del Ayuntamiento de Majadahonda dirigió a los secretarios de las comisiones informativas una circular núm. 1-2005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Y consecuentemente con esa circular núm. 1/2005 los Presidentes de las distintas comisiones informativas municipales convocaron a los concejales señores Peña y Moreno a sus sesiones ordinarias con voz pero sin voto, convocatorias que recurrieron individualmente en vía contencioso-administrativa, siendo desestimadas sus pretensiones por los órganos judiciales ordinario, si bien les fue otorgado el amparo en sendas Sentencias del Tribunal Constitucional por lo que hace a la privación del derecho de voto en dicha comisiones.</w:t>
      </w:r>
    </w:p>
    <w:p w:rsidR="00D06117" w:rsidRDefault="00D06117" w:rsidP="00D06117">
      <w:pPr>
        <w:pStyle w:val="TextoNormal"/>
      </w:pPr>
    </w:p>
    <w:p w:rsidR="00D06117" w:rsidRDefault="00D06117" w:rsidP="00D06117">
      <w:pPr>
        <w:pStyle w:val="TextoNormal"/>
      </w:pPr>
      <w:r>
        <w:t xml:space="preserve">c) Por otro lado, los demandantes en amparo, considerando que el grupo municipal mixto había quedado constituido desde la dación de cuenta al Pleno (27 de septiembre de 2005), sin necesidad de ningún acto de reconocimiento de parte del Ayuntamiento, y que, en consecuencia, desde ese momento la ley imponía al Ayuntamiento el cumplimiento de una serie de obligaciones a su favor, el día 30 de octubre de 2005 dedujeron por el procedimiento especial de protección de derechos fundamentales recurso contencioso-administrativo contra la inactividad del Ayuntamiento de Majadahonda, pretendiendo que, previa declaración judicial de que el grupo municipal mixto había quedado constituido, se condenase al Ayuntamiento a cumplir con las obligaciones a su favor asociadas a formar parte de un grupo municipal, concretamente la de ser convocados con plenitud de facultades a las comisiones </w:t>
      </w:r>
      <w:r>
        <w:lastRenderedPageBreak/>
        <w:t>informativas y al resto de órganos complementarios, la de asignarles la dotación económica legalmente prevista para cada grupo municipal y la de permitir al señor Moreno ejercer las facultades propias de portavoz del grupo municipal.</w:t>
      </w:r>
    </w:p>
    <w:p w:rsidR="00D06117" w:rsidRDefault="00D06117" w:rsidP="00D06117">
      <w:pPr>
        <w:pStyle w:val="TextoNormal"/>
      </w:pPr>
    </w:p>
    <w:p w:rsidR="00D06117" w:rsidRDefault="00D06117" w:rsidP="00D06117">
      <w:pPr>
        <w:pStyle w:val="TextoNormal"/>
      </w:pPr>
      <w:r>
        <w:t>Fundaban su impugnación en su derecho a acceder en condiciones de igualdad a los cargos públicos (23.2 CE) en relación con el derecho de todo ciudadano a la participación en los asuntos públicos por medio de representantes (art. 23.1 CE), pues mantenían que, siendo aquel derecho fundamental de configuración legal, el art. 73.3 LBRL, en la redacción dada por la Ley 57/2003, establecía que, “a efectos de su actuación corporativa, los miembros de las corporaciones locales se constituirán en grupos políticos”, no comprendiéndose la expulsión de un concejal del grupo municipal en el que estaba integrado en ninguno de los dos supuestos de excepción previstos que, como dejamos transcrito ut supra, preveía ese mismo artículo.</w:t>
      </w:r>
    </w:p>
    <w:p w:rsidR="00D06117" w:rsidRDefault="00D06117" w:rsidP="00D06117">
      <w:pPr>
        <w:pStyle w:val="TextoNormal"/>
      </w:pPr>
    </w:p>
    <w:p w:rsidR="00D06117" w:rsidRDefault="00D06117" w:rsidP="00D06117">
      <w:pPr>
        <w:pStyle w:val="TextoNormal"/>
      </w:pPr>
      <w:r>
        <w:t>d) El recurso contencioso-administrativo de los demandantes fue desestimado por Sentencia de 27 de junio de 2006 del Juzgado de lo Contencioso-Administrativo núm. 19 de Madrid (procedimiento de protección de derechos fundamentales núm. 4-2005). Se razona en la Sentencia que, de conformidad con lo dispuesto en el art. 73.3 de la Ley 7/1985, de bases de régimen local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el Ayuntamiento de Majadahonda no incurrió en inactividad alguna sino que aplicó estrictamente la ley.</w:t>
      </w:r>
    </w:p>
    <w:p w:rsidR="00D06117" w:rsidRDefault="00D06117" w:rsidP="00D06117">
      <w:pPr>
        <w:pStyle w:val="TextoNormal"/>
      </w:pPr>
    </w:p>
    <w:p w:rsidR="00D06117" w:rsidRDefault="00D06117" w:rsidP="00D06117">
      <w:pPr>
        <w:pStyle w:val="TextoNormal"/>
      </w:pPr>
      <w:r>
        <w:t>e) Contra esta Sentencia interpusieron los demandantes recurso de apelación, que fue desestimado por Sentencia de 2 de noviembre de 2006 de la Sección Octava de la Sala de lo Contencioso-Administrativo del Tribunal Superior de Justicia de Madrid, por la que se desestima el recurso de apelación núm. 430-2006, que reitera los razonamientos de la Sentencia de instancia.</w:t>
      </w:r>
    </w:p>
    <w:p w:rsidR="00D06117" w:rsidRDefault="00D06117" w:rsidP="00D06117">
      <w:pPr>
        <w:pStyle w:val="TextoNormal"/>
      </w:pPr>
    </w:p>
    <w:p w:rsidR="00D06117" w:rsidRDefault="00D06117" w:rsidP="00D06117">
      <w:pPr>
        <w:pStyle w:val="TextoNormal"/>
      </w:pPr>
      <w:r w:rsidRPr="00D06117">
        <w:rPr>
          <w:rStyle w:val="NumeroAFNegritaCaracter"/>
        </w:rPr>
        <w:t>3</w:t>
      </w:r>
      <w:r>
        <w:t>.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LBRL conduce a la conclusión de que los concejales expulsados de un grupo político no pasan a tener la condición de concejales no adscritos, sino que conservan la facultad de constituir o integrarse en otro grupo político, con todos los derechos inherentes, por lo que el Ayuntamiento de Majadahonda vulneró los derechos de los recurrentes a acceder en condiciones de igualdad a los cargos públicos y a participar en los asuntos públicos en condiciones de igualdad, al no tener por constituido por los dos concejales demandantes el grupo municipal mixto y no reconocerles los derechos asociados a la pertenencia a un grupo político municipal.</w:t>
      </w:r>
    </w:p>
    <w:p w:rsidR="00D06117" w:rsidRDefault="00D06117" w:rsidP="00D06117">
      <w:pPr>
        <w:pStyle w:val="TextoNormal"/>
      </w:pPr>
    </w:p>
    <w:p w:rsidR="00D06117" w:rsidRDefault="00D06117" w:rsidP="00D0611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D06117" w:rsidRDefault="00D06117" w:rsidP="00D06117">
      <w:pPr>
        <w:pStyle w:val="TextoNormal"/>
      </w:pPr>
    </w:p>
    <w:p w:rsidR="00D06117" w:rsidRDefault="00D06117" w:rsidP="00D06117">
      <w:pPr>
        <w:pStyle w:val="TextoNormal"/>
      </w:pPr>
      <w:r>
        <w:lastRenderedPageBreak/>
        <w:t>Por todo ello, suplican que se otorgue el amparo y, en su virtud, se anulen la Sentencias impugnadas, se declare que el grupo municipal mixto quedó constituido el 27 de septiembre de 2005, integrado por el señor Moreno y el señor Peña y del que es portavoz el primero de ellos, y se condene al Ayuntamiento de Majadahonda a cumplir con las obligaciones a su favor asociadas a formar parte de un grupo municipal, concretamente la de ser convocados con plenitud de facultades a las comisiones informativas y al resto de órganos complementarios, la de asignarles la dotación económica y de personal legalmente prevista para cada grupo municipal y la de reconocer al concejal portavoz su derecho a ejercer las facultades que le son propias y a hacerlo en régimen de dedicación exclusiva.</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Contencioso-Administrativo del Tribunal Superior de Justicia de Madrid y al Juzgado de lo Contencioso-Administrativo núm. 5 de Madrid a fin de que en el plazo de diez días remitieran certificación o copia adverada de las actuaciones respectivas, correspondientes al recurso de apelación núm. 430-2006 y al procedimiento de protección de derechos fundamentales núm. 4-2005, con emplazamiento a quienes hubieran sido parte en ese procedimiento para comparecer en el plazo de diez días, si así lo estiman oportuno, en el presente proceso constitucional.</w:t>
      </w:r>
    </w:p>
    <w:p w:rsidR="00D06117" w:rsidRDefault="00D06117" w:rsidP="00D06117">
      <w:pPr>
        <w:pStyle w:val="TextoNormal"/>
      </w:pPr>
    </w:p>
    <w:p w:rsidR="00D06117" w:rsidRDefault="00D06117" w:rsidP="00D06117">
      <w:pPr>
        <w:pStyle w:val="TextoNormal"/>
      </w:pPr>
      <w:r>
        <w:t>Advertido el error material obrante en la parte dispositiva de la Sentencia de apelación en cuanto a la identificación de la Sentencia de primera instancia, mediante diligencia de ordenación, de 25 de enero de 2011 el Secretario de Justicia de la Sala Segunda de este Tribunal acordó dirigir atenta comunicación al Juzgado de lo Contencioso-Administrativo núm. 19 de Madrid a fin de que en el plazo de diez días remitieran certificación o copia adverada de las actuaciones correspondientes al procedimiento de protección de derechos fundamentales núm. 4-2005, con emplazamiento a quienes hubieran sido parte en ese procedimiento para comparecer en el plazo de diez días, si así lo estiman oportuno,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en este Tribunal el día 24 de febrero de 2010 se personó en el presente recurso de amparo el Procurador de los Tribunales don David García Riquelme, en nombre y representación del Ayuntamiento de Majadahonda.</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diligencia de ordenación de 1 de marzo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xml:space="preserve">. El Procurador don David García Riquelme, en nombre y representación del Ayuntamiento de Majadahonda, formuló alegaciones mediante escrito registrado en este Tribunal el 1 de abril de 2011. Tras resumir los antecedentes del asunto y con cita de doctrina constitucional sobre los derechos fundamentales garantizados por el art. 23 CE, particularmente la STC 169/2009, de 9 de julio, sostiene esta parte que las disposiciones legales vigentes </w:t>
      </w:r>
      <w:r>
        <w:lastRenderedPageBreak/>
        <w:t>(art.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Aun así, según la citada STC 169/2009, la consideración de los recurrentes como concejales no adscritos, con las indicadas consecuencias jurídicas, no vulnera sus derechos fundamentales a acceder en condiciones de igualdad a los cargos públicos y a participar en los asuntos públicos en condiciones de igualdad (art. 23 CE), pues deja intactas las facultades derivadas de su condición individual de concejales, lo que les permite desempeñar el núcleo esencial de su función representativa. Por todo ello, los recurrentes no pueden esgrimir con apoyo en el art. 23 CE un derecho a pertenecer a un grupo político municipal, ni por tanto a disponer de los derechos inherentes a tal pertenencia, de modo que el Ayuntamiento, en la medida que no les ha reconocido tales derechos, no ha incurrido en inactividad alguna lesiva de los derechos fundamentales alegados. Finalmente, advierte que la Sentencia del Tribunal Constitucional de 14 de marzo de 2011 resuelve un asunto muy similar al aquí planteado siguiendo la apuntada doctrina de la STC 169/2009.</w:t>
      </w:r>
    </w:p>
    <w:p w:rsidR="00D06117" w:rsidRDefault="00D06117" w:rsidP="00D06117">
      <w:pPr>
        <w:pStyle w:val="TextoNormal"/>
      </w:pPr>
    </w:p>
    <w:p w:rsidR="00D06117" w:rsidRDefault="00D06117" w:rsidP="00D0611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 los recurrentes en amparo presentó su escrito de alegaciones en este Tribunal el 23 de marzo de 2011. Resume las contenidas en la demanda y, adicionalmente, manifiesta su discrepancia con la doctrina sentada en la STC 169/2009, de 9 de julio, en cuanto a que el derecho de los concejales a quedar integrados en un grupo político municipal no pertenece al núcleo de la función representativa garantizado por el art. 23.2 CE. En opinión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w:t>
      </w:r>
    </w:p>
    <w:p w:rsidR="00D06117" w:rsidRDefault="00D06117" w:rsidP="00D06117">
      <w:pPr>
        <w:pStyle w:val="TextoNormal"/>
      </w:pPr>
    </w:p>
    <w:p w:rsidR="00D06117" w:rsidRDefault="00D06117" w:rsidP="00D06117">
      <w:pPr>
        <w:pStyle w:val="TextoNormal"/>
      </w:pPr>
      <w:r>
        <w:t>Asimismo afirman los demandantes que la reforma introducida por la Ley 57/2003 en el art. 73.3 LBRL se hizo para sancionar los casos de “transfuguismo”, de forma que quedan en situación de concejales no adscritos y no tienen, por tanto, derecho a quedar integrados en un grupo político municipal (por lo que no tienen los derechos asociados a la pertenencia a un grupo político municipal), aquellos concejales que decidan no integrarse en ningún grupo al constituirse la corporación y aquellos concejales que abandonen el grupo al que pertenecían. Precisamente por ello, 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w:t>
      </w:r>
      <w:r>
        <w:lastRenderedPageBreak/>
        <w:t>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w:t>
      </w:r>
    </w:p>
    <w:p w:rsidR="00D06117" w:rsidRDefault="00D06117" w:rsidP="00D06117">
      <w:pPr>
        <w:pStyle w:val="TextoNormal"/>
      </w:pPr>
    </w:p>
    <w:p w:rsidR="00D06117" w:rsidRDefault="00D06117" w:rsidP="00D06117">
      <w:pPr>
        <w:pStyle w:val="TextoNormal"/>
      </w:pPr>
      <w:r>
        <w:t>No obstante, advierten los recurrentes, aun si se entendiera correcta la calificación de concejales no adscritos y, por ende, también correcto que el Ayuntamiento de Majadahonda no tuviese por constituido el grupo municipal mixto, en todo caso, conforme al criterio sentado por la citada STC 169/2009, el referido Ayuntamiento habría vulnerado sus derechos fundamentales garantizados por el art. 23 CE al convocarles a todas las comisiones informativas sin derecho de voto.</w:t>
      </w:r>
    </w:p>
    <w:p w:rsidR="00D06117" w:rsidRDefault="00D06117" w:rsidP="00D06117">
      <w:pPr>
        <w:pStyle w:val="TextoNormal"/>
      </w:pPr>
    </w:p>
    <w:p w:rsidR="00D06117" w:rsidRDefault="00D06117" w:rsidP="00D06117">
      <w:pPr>
        <w:pStyle w:val="TextoNormal"/>
      </w:pPr>
      <w:r w:rsidRPr="00D06117">
        <w:rPr>
          <w:rStyle w:val="NumeroAFNegritaCaracter"/>
        </w:rPr>
        <w:t>9</w:t>
      </w:r>
      <w:r>
        <w:t>. El Ministerio Fiscal presentó su escrito de alegaciones el 13 de mayo de 2011. Tras resumir los antecedentes del caso, el Fiscal advierte que “este Tribunal Constitucional ha dictado la Sentencia 20/2011, de 14 de marzo, en el recurso de amparo núm. 10045-2006 (reiterada en SSTC de 11 de abril de 2011, en recurso de amparo núm. 10971 y de 13 de abril de 2011, en recursos de amparos núm. 725-2007 y núm. 1791-2007, entre otras), promovido por los mismos recurrentes y en el que, igualmente, se planteaba la misma cuestión de fondo, con la salvedad a que más adelante nos referiremos, que en el presente recurso de amparo … Por ello, con independencia a las consideraciones que efectuábamos en aquel recurso, a las que nos remitimos, lo cierto y definitivo es que el fallo en la citada sentencia (al igual que en las otras citadas SSTC) se acuerda otorgar el amparo a los recurrentes … en lo que respecta a la privación a los recurrentes del derecho a votar en las comisiones informativas, sin apreciar vulneración alguna en cuanto a la imposibilidad de constitución de Grupo político municipal por los recurrentes una vez expulsados del Grupo político en el que habían concurrido a las elecciones”.</w:t>
      </w:r>
    </w:p>
    <w:p w:rsidR="00D06117" w:rsidRDefault="00D06117" w:rsidP="00D06117">
      <w:pPr>
        <w:pStyle w:val="TextoNormal"/>
      </w:pPr>
    </w:p>
    <w:p w:rsidR="00D06117" w:rsidRDefault="00D06117" w:rsidP="00D06117">
      <w:pPr>
        <w:pStyle w:val="TextoNormal"/>
      </w:pPr>
      <w:r>
        <w:t xml:space="preserve">Y acto seguido dice que “existe una singularidad en el presente recurso, toda vez que, a diferencia de los resueltos anteriormente, no se impugna aquí la Convocatoria, Celebración y Acuerdos de ninguna Comisión informativa en particular a la que se convocaba a los recurrentes con voz pero sin voto, pues el recurso queda ceñido a un objeto más reducido, como es la posibilidad de constitución de un Grupo Político municipal —Grupo Mixto— por los concejales recurrentes, una vez expulsados del Grupo Municipal Popular … y, correlativamente, la necesidad de que la convocatoria para las Comisiones de Información se hiciera en la persona de su Portavoz y la posibilidad de acceder a diversos beneficios derivados de su integración en un Grupo Político …. Queda fuera, por tanto, la lesión derivada de una eventual convocatoria a una comisión informativa … no solo por no impugnada, sino porque estaremos en presencia de una lesión meramente eventual o potencial, excluida del recurso de amparo”, como señala la STC 177/2005, de 4 de julio. Según el Fiscal, “sentado lo anterior, y con relación a la posibilidad de formar grupos políticos, es de recordar que, partiendo de la STC 169/2009 (a la que se remite el FJ 3), establece la STC 20/2011, de 14 de marzo que (FJ 4): ‘Aplicando esta doctrina al problema concreto que aquí se plantea, debemos afirmar, como ya lo hiciéramos en la STC 169/2009, FFJJ 3 y 4, que la decisión de la corporación municipal —confirmada en vía judicial— de considerar a los recurrentes como concejales no adscritos, con rechazo de su pretensión de constituirse en grupo mixto, no vulneró su derecho de participación política, pues no afecta al núcleo de la función representativa’.” Y concluye que todo ello “conduce a la íntegra desestimación de la presente </w:t>
      </w:r>
      <w:r>
        <w:lastRenderedPageBreak/>
        <w:t>demanda, en cuanto que la imposibilidad de constituir un Grupo político municipal no implica una vulneración del art. 23 CE y, en consecuencia, tampoco la pérdida de aquellos beneficios políticos y económicos derivados de la misma”.</w:t>
      </w:r>
    </w:p>
    <w:p w:rsidR="00D06117" w:rsidRDefault="00D06117" w:rsidP="00D06117">
      <w:pPr>
        <w:pStyle w:val="TextoNormal"/>
      </w:pPr>
    </w:p>
    <w:p w:rsidR="00D06117" w:rsidRDefault="00D06117" w:rsidP="00D06117">
      <w:pPr>
        <w:pStyle w:val="TextoNormal"/>
      </w:pPr>
      <w:r>
        <w:t>No obstante lo anterior, “en el hipotético caso de que se apreciara que se plantea en este recurso de amparo la posible impugnación y vulneración del derecho a participar en las comisiones informativas por resultar convocados con voz pero sin voto, sí que aparecería vulnerado su derecho del art. 23 CE en aplicación de la doctrina expuesta [que condujo al otorgamiento del amparo en la STC 20/2011], al admitir su participación en las comisiones informativas con voz, pero negándoles el derecho a votar, lo que implica una lesión del derecho al ejercicio del cargo público representativo contenido en el art. 23 CE, limitándose en tal caso el alcance de la sentencia en los términos del FJ 8 de la STC 20/2011 ‘de suerte que la pretensión de los recurrentes ha de quedar satisfecha mediante la declaración de la lesión de su derecho recogido en el art. 23 CE y la nulidad del acto de la corporación municipal que impidió su ejercicio y de las Sentencias recaídas en vía contencioso- administrativa que lo confirman’.”</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6 de junio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D06117" w:rsidRDefault="00D06117" w:rsidP="00D06117">
      <w:pPr>
        <w:pStyle w:val="TextoNormal"/>
      </w:pPr>
    </w:p>
    <w:p w:rsidR="00D06117" w:rsidRDefault="00D06117" w:rsidP="00D06117">
      <w:pPr>
        <w:pStyle w:val="TextoNormal"/>
      </w:pPr>
      <w:r w:rsidRPr="00D06117">
        <w:rPr>
          <w:rStyle w:val="NumeroAFNegritaCaracter"/>
        </w:rPr>
        <w:t>11</w:t>
      </w:r>
      <w:r>
        <w:t>. La Sala, conforme establece el art. 11.2 LOTC, en la redacción dada por la Ley Orgánica 6/2007, de 24 de mayo, dictó providencia de fecha 31 de mayo de 2012 por la que acordó recabar para sí el conocimiento del presente recurso de amparo que fue deferido a la Sección Tercera.</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31 de mayo de 2012 se señaló para deliberación y votación de la presente Sentencia el día 4 de junio de dicho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objeto del presente recurso de amparo consiste en determinar si el Ayuntamiento de Majadahonda incurrió en inactividad lesiva de los derechos de participación política de los concejales recurrentes reconocidos en el art. 23 CE, al no tener por constituido el grupo municipal mixto a pesar de que ellos manifestaron su voluntad en tal sentido, dándose cuenta de ello en el Pleno de 27 de septiembre de 2005, ni, en consecuencia, reconocerles el disfrute de los derechos que son inherentes a la pertenencia a un grupo político municipal, en particular el de ser convocados con plenitud de facultades a las comisiones informativas y al resto de órganos complementarios, el de recibir la dotación económica legalmente prevista para cada grupo municipal y el de que el concejal designado portavoz del grupo municipal —señor Moreno— pudiera ejercer las facultades que le son propias.</w:t>
      </w:r>
    </w:p>
    <w:p w:rsidR="00D06117" w:rsidRDefault="00D06117" w:rsidP="00D06117">
      <w:pPr>
        <w:pStyle w:val="TextoNormal"/>
      </w:pPr>
      <w:r>
        <w:tab/>
      </w:r>
    </w:p>
    <w:p w:rsidR="00D06117" w:rsidRDefault="00D06117" w:rsidP="00D06117">
      <w:pPr>
        <w:pStyle w:val="TextoNormal"/>
      </w:pPr>
      <w: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w:t>
      </w:r>
      <w:r>
        <w:lastRenderedPageBreak/>
        <w:t>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D06117" w:rsidRDefault="00D06117" w:rsidP="00D06117">
      <w:pPr>
        <w:pStyle w:val="TextoNormal"/>
      </w:pPr>
    </w:p>
    <w:p w:rsidR="00D06117" w:rsidRDefault="00D06117" w:rsidP="00D06117">
      <w:pPr>
        <w:pStyle w:val="TextoNormal"/>
      </w:pPr>
      <w:r w:rsidRPr="00D06117">
        <w:rPr>
          <w:rStyle w:val="NumeroAFNegritaCaracter"/>
        </w:rPr>
        <w:t>2</w:t>
      </w:r>
      <w:r>
        <w:t>. Las vulneraciones de los derechos fundamentales de participación política reconocidos en el art. 23 CE denunciadas en la presente demanda de amparo han sido ya analizadas por este Tribunal en su STC 20/2011, de 14 de marzo, resolviendo una demanda de amparo formulada por los mismos recurrentes, con idéntica fundamentación y sobre una cuestión similar pero no igual. Como pone de manifiesto el Fiscal, este recurso de amparo no se dirige, como ocurría con aquél, frente a la convocatoria de los concejales recurrentes a una concreta comisión informativa municipal en calidad de concejales no adscritos, con voz pero sin voto, sino frente a la omisión del Ayuntamiento de Majadahonda consistente en no tener por constituido por los dos concejales demandantes el grupo municipal mixto y, correlativamente, dejar de reconocerles los derechos asociados a la pertenencia a un grupo político municipal.</w:t>
      </w:r>
    </w:p>
    <w:p w:rsidR="00D06117" w:rsidRDefault="00D06117" w:rsidP="00D06117">
      <w:pPr>
        <w:pStyle w:val="TextoNormal"/>
      </w:pPr>
    </w:p>
    <w:p w:rsidR="00D06117" w:rsidRDefault="00D06117" w:rsidP="00D06117">
      <w:pPr>
        <w:pStyle w:val="TextoNormal"/>
      </w:pPr>
      <w:r w:rsidRPr="00D06117">
        <w:rPr>
          <w:rStyle w:val="NumeroAFNegritaCaracter"/>
        </w:rPr>
        <w:t>3</w:t>
      </w:r>
      <w:r>
        <w:t>. Delimitado así el objeto de examen, hemos de tener en cuenta que, según dijimos en la citada STC 20/2011 (FJ 4), “la vulneración del derecho fundamental [contenido en el art. 23 CE] no se produce con cualquier acto que infrinja el status jurídico aplicable al representante, ‘pues a estos efectos sólo poseen relevancia constitucional los derechos o facultades atribuidos al representante que pertenezcan al núcleo de su función representativa’ (SSTC 38/1999, de 22 de marzo, FJ 2; 107/2001, de 23 de abril, FJ 3; 141/2007, de 18 de junio, FJ 3; y 169/2009, de 9 de julio, FJ 2)”. Y más adelante “que entre las funciones que pertenecen al núcleo inherente a la función representativa que constitucionalmente corresponde a los miembros de una corporación municipal se encuentran la de participar en la actividad de control del gobierno municipal, la de participar en las deliberaciones del Pleno de la corporación y la de votar en los asuntos sometidos a votación en este órgano, así como el derecho a obtener la información necesaria para poder ejercer las anteriores funciones. Ninguna de estas facultades se ve necesariamente comprometida como consecuencia de la imposibilidad de constituirse en grupo mixto o de integrarse en algún otro grupo político (STC 169/2009, FJ 3)”. Y en particular que, “como hemos advertido en la STC 169/2009, FJ 4, la pérdida de los beneficios económicos y de la infraestructura asociada al grupo político como la imposibilidad de tener portavoz y consecuentemente, de formar parte, en su caso, de la junta de portavoces, son limitaciones que, con carácter general, no pueden considerarse lesivas de los derechos que consagra el art. 23 CE”. Todo ello nos condujo a concluir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w:t>
      </w:r>
    </w:p>
    <w:p w:rsidR="00D06117" w:rsidRDefault="00D06117" w:rsidP="00D06117">
      <w:pPr>
        <w:pStyle w:val="TextoNormal"/>
      </w:pPr>
    </w:p>
    <w:p w:rsidR="00D06117" w:rsidRDefault="00D06117" w:rsidP="00D06117">
      <w:pPr>
        <w:pStyle w:val="TextoNormal"/>
      </w:pPr>
      <w:r>
        <w:t>La doctrina constitucional reseñada determina la completa desestimación de la presente demanda de amparo, pues que el Ayuntamiento de Majadahonda no acoja la pretensión de los recurrentes de constituirse en grupo político municipal no implica vulneración de los derechos fundamentales ex art. 23 CE y, en consecuencia, tampoco la causa la denegación de los derechos asociados a la pertenencia a un grupo político municipal.</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Es cierto que en la citada STC 20/2011 (FJ 5) afirmamos que “a la vista de la relevancia de los dictámenes o informes adoptados en su seno en orden al ejercicio de la función de control así como para la formación de la voluntad de la corporación a través del Pleno, ha de concluirse,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D06117" w:rsidRDefault="00D06117" w:rsidP="00D06117">
      <w:pPr>
        <w:pStyle w:val="TextoNormal"/>
      </w:pPr>
    </w:p>
    <w:p w:rsidR="00D06117" w:rsidRDefault="00D06117" w:rsidP="00D06117">
      <w:pPr>
        <w:pStyle w:val="TextoNormal"/>
      </w:pPr>
      <w:r>
        <w:t>Pero también lo es, como acertadamente expuso el Fiscal en sus alegaciones, que, a diferencia del caso resuelto en aquella Sentencia, el presente recurso de amparo no tiene por objeto la convocatoria de los concejales recurrentes a una concreta comisión informativa municipal en calidad de concejales no adscritos con voz pero sin voto. Los recurrentes, por el contrario, dirigen el recurso de amparo frente a la dejación general del Ayuntamiento de Majadahonda a convocarles a dichas comisiones con plenitud de facultades derivada de que, al considerarles concejales no adscritos ex art. 73.3 de la Ley reguladora de las bases de régimen local (LBRL), no les reconoce los derechos asociados a la pertenencia a un grupo político municipal.</w:t>
      </w:r>
    </w:p>
    <w:p w:rsidR="00D06117" w:rsidRDefault="00D06117" w:rsidP="00D06117">
      <w:pPr>
        <w:pStyle w:val="TextoNormal"/>
      </w:pPr>
    </w:p>
    <w:p w:rsidR="00D06117" w:rsidRDefault="00D06117" w:rsidP="00D06117">
      <w:pPr>
        <w:pStyle w:val="TextoNormal"/>
      </w:pPr>
      <w:r>
        <w:t>Planteada en estos términos la cuestión, procede desestimarla porque hemos dicho que el derecho a votar en el Pleno y en las divisiones de éste que en su caso se constituyan es uno de los derechos de ejercicio individual de los concejales, que les corresponde en virtud de su condición de representantes políticos, de modo que la negativa a convocar a los concejales recurrentes a las comisiones informativas con voz y voto no es consecuencia inexorable de que éstos, por tener la citada condición de concejales no adscritos, no formen parte de un grupo municipal. Esto es lo que puso de relieve la STC 20/2011 (FJ 7) al razonar que “la decisión de privar a los recurrentes de su derecho a votar en las comisiones informativas no se deriva necesariamente de la aplicación al caso de lo dispuesto por el art. 73.3 LBRL … Quiere ello decir que el precepto no habilita a la corporación municipal para privar a los concejales a los que se considere como no adscritos de los derechos de ejercicio individual que les correspondan en virtud de su condición de representantes políticos, tal y como ocurre con derecho a votar en el Pleno y en las divisiones de éste que en su caso se constituyan”.</w:t>
      </w:r>
    </w:p>
    <w:p w:rsidR="00D06117" w:rsidRDefault="00D06117" w:rsidP="00D06117">
      <w:pPr>
        <w:pStyle w:val="TextoNormal"/>
      </w:pPr>
    </w:p>
    <w:p w:rsidR="00D06117" w:rsidRDefault="00D06117" w:rsidP="00D06117">
      <w:pPr>
        <w:pStyle w:val="TextoNormal"/>
      </w:pPr>
      <w:r>
        <w:t>Por todo ello, ha de desestimarse esta precisa alegación porque, mientras los recurrentes mantienen que el convocarles a las comisiones informativas municipales con voz pero sin voto es una consecuencia de su no pertenencia a un grupo político, nuestra doctrina es que tal circunstancia no debe influir en su participación en dichas comisiones con todas las facultades, incluida la de votar, que es uno de los derechos de ejercicio individual que les corresponden en virtud de su condición de representantes políticos.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Desestimar el amparo solicitado por don José Luis Peña Domingo y don Juan José Moreno Alonso.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cuatro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1" w:name="SENTENCIA_2012_118"/>
      <w:r>
        <w:lastRenderedPageBreak/>
        <w:t>SENTENCIA 118/2012, de 4 de junio de 2012</w:t>
      </w:r>
    </w:p>
    <w:bookmarkEnd w:id="121"/>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ECLI:ES:TC:2012:118</w:t>
      </w:r>
    </w:p>
    <w:p w:rsidR="00D06117" w:rsidRDefault="00D06117" w:rsidP="00D06117">
      <w:pPr>
        <w:pStyle w:val="SntesisDescriptiva"/>
      </w:pPr>
    </w:p>
    <w:p w:rsidR="00D06117" w:rsidRDefault="00D06117" w:rsidP="00D06117">
      <w:pPr>
        <w:pStyle w:val="SntesisDescriptiva"/>
      </w:pPr>
      <w:r>
        <w:t>Recurso de amparo 3045-2008. Promovido por la convergencia estatal de médicos y ayudantes técnicos sanitarios con respecto a las resoluciones del Tribunal Superior de Justicia de Andalucía y de un Juzgado de lo Contencioso-Administrativo de Sevilla que inadmitieron su impugnación sobre actividad de las mesas de seguimiento del acuerdo sectorial de sanidad y liberaciones institucionales en el Servicio Andaluz de Salud.</w:t>
      </w:r>
    </w:p>
    <w:p w:rsidR="00D06117" w:rsidRDefault="00D06117" w:rsidP="00D06117">
      <w:pPr>
        <w:pStyle w:val="SntesisDescriptiva"/>
      </w:pPr>
    </w:p>
    <w:p w:rsidR="00D06117" w:rsidRDefault="00D06117" w:rsidP="00D06117">
      <w:pPr>
        <w:pStyle w:val="SntesisAnaltica"/>
      </w:pPr>
      <w:r>
        <w:t>Supuesta vulneración de los derechos a la igualdad, la tutela judicial efectiva y la libertad sindical: acuerdos en materia de negociación colectiva y crédito horario respetuosos, respectivamente, con la competencia negociadora de todos los legitimados y con la existencia de una carga adicional de trabajo.</w:t>
      </w:r>
    </w:p>
    <w:p w:rsidR="00D06117" w:rsidRDefault="00D06117" w:rsidP="00D06117">
      <w:pPr>
        <w:pStyle w:val="SntesisAnaltica"/>
      </w:pPr>
    </w:p>
    <w:p w:rsidR="00D06117" w:rsidRDefault="00D06117" w:rsidP="00D06117">
      <w:pPr>
        <w:pStyle w:val="Extracto"/>
      </w:pPr>
      <w:r>
        <w:t>1.</w:t>
      </w:r>
      <w:r>
        <w:tab/>
        <w:t>El derecho a la negociación colectiva en el ámbito funcionarial, en la medida en que una ley ha establecido el derecho de los sindicatos a la negociación colectiva en ese ámbito, se integra como contenido adicional de la libertad sindical con la configuración que le dé la ley reguladora del derecho de negociación colectiva, siendo en ese plano de la legalidad donde pueden establecerse diferencias entre la negociación colectiva en el ámbito laboral y funcionarial (SSTC 57/1982, 80/2000) [FJ 4].</w:t>
      </w:r>
    </w:p>
    <w:p w:rsidR="00D06117" w:rsidRDefault="00D06117" w:rsidP="00D06117">
      <w:pPr>
        <w:pStyle w:val="Extracto"/>
      </w:pPr>
    </w:p>
    <w:p w:rsidR="00D06117" w:rsidRDefault="00D06117" w:rsidP="00D06117">
      <w:pPr>
        <w:pStyle w:val="Extracto"/>
      </w:pPr>
      <w:r>
        <w:t>2.</w:t>
      </w:r>
      <w:r>
        <w:tab/>
        <w:t>El derecho de negociación colectiva de los sindicatos se integra en la libertad sindical como una de sus facultades de acción sindical y como contenido de dicha libertad, en los términos en que tal facultad de negociación les sea otorgada por la normativa vigente (STC 80/2000) [FJ 4].</w:t>
      </w:r>
    </w:p>
    <w:p w:rsidR="00D06117" w:rsidRDefault="00D06117" w:rsidP="00D06117">
      <w:pPr>
        <w:pStyle w:val="Extracto"/>
      </w:pPr>
    </w:p>
    <w:p w:rsidR="00D06117" w:rsidRDefault="00D06117" w:rsidP="00D06117">
      <w:pPr>
        <w:pStyle w:val="Extracto"/>
      </w:pPr>
      <w:r>
        <w:t>3.</w:t>
      </w:r>
      <w:r>
        <w:tab/>
        <w:t>Los derechos de los representantes sindicales a disponer de un determinado número de horas retribuidas para el ejercicio de las funciones sindicales, así como a la acumulación de los créditos horarios con la posibilidad de poder dejar a algunos representantes exentos de la prestación de trabajo, sin perjuicio de su remuneración, enlazan con la dimensión colectiva de la libertad sindical, cuya vulneración puede manifestarse en su regulación legal o convencional (STC 336/2005) [FJ 4].</w:t>
      </w:r>
    </w:p>
    <w:p w:rsidR="00D06117" w:rsidRDefault="00D06117" w:rsidP="00D06117">
      <w:pPr>
        <w:pStyle w:val="Extracto"/>
      </w:pPr>
    </w:p>
    <w:p w:rsidR="00D06117" w:rsidRDefault="00D06117" w:rsidP="00D06117">
      <w:pPr>
        <w:pStyle w:val="Extracto"/>
      </w:pPr>
      <w:r>
        <w:t>4.</w:t>
      </w:r>
      <w:r>
        <w:tab/>
        <w:t>El principio de igualdad entre organizaciones sindicales, que se acoge en la Constitución, ha llevado a este Tribunal a considerar aconsejable la interpretación conjunta de los arts. 14 y 28.1 CE cuando la desigualdad de trato incida sobre el ejercicio del derecho fundamental de libertad sindical (SSTC 53/1982, 20/1985)  [FJ 4].</w:t>
      </w:r>
    </w:p>
    <w:p w:rsidR="00D06117" w:rsidRDefault="00D06117" w:rsidP="00D06117">
      <w:pPr>
        <w:pStyle w:val="Extracto"/>
      </w:pPr>
    </w:p>
    <w:p w:rsidR="00D06117" w:rsidRDefault="00D06117" w:rsidP="00D06117">
      <w:pPr>
        <w:pStyle w:val="Extracto"/>
      </w:pPr>
      <w:r>
        <w:t>5.</w:t>
      </w:r>
      <w:r>
        <w:tab/>
        <w:t xml:space="preserve">Las Administraciones públicas no pueden adoptar medidas que alteren la igualdad en el ejercicio de la actividad sindical o discriminen a algún sindicato, estando proscrita dicha discriminación cuando la desigualdad esté desprovista de una justificación objetiva y razonable, que debe apreciarse en relación a la finalidad y </w:t>
      </w:r>
      <w:r>
        <w:lastRenderedPageBreak/>
        <w:t>efectos de la medida considerada, debiendo darse una relación razonable de proporcionalidad entre los medios empleados y la finalidad perseguida (STC 20/1985) [FJ 4].</w:t>
      </w:r>
    </w:p>
    <w:p w:rsidR="00D06117" w:rsidRDefault="00D06117" w:rsidP="00D06117">
      <w:pPr>
        <w:pStyle w:val="Extracto"/>
      </w:pPr>
    </w:p>
    <w:p w:rsidR="00D06117" w:rsidRDefault="00D06117" w:rsidP="00D06117">
      <w:pPr>
        <w:pStyle w:val="Extracto"/>
      </w:pPr>
      <w:r>
        <w:t>6.</w:t>
      </w:r>
      <w:r>
        <w:tab/>
        <w:t>El derecho de negociación colectiva no constituye por sí, y aisladamente considerado, un derecho fundamental tutelable en amparo, dada su sede sistemática en la Constitución, al no estar incluido en la sección primera del capítulo segundo del título I (SSTC 98/1985, 222/2005) [FJ 4].</w:t>
      </w:r>
    </w:p>
    <w:p w:rsidR="00D06117" w:rsidRDefault="00D06117" w:rsidP="00D06117">
      <w:pPr>
        <w:pStyle w:val="Extracto"/>
      </w:pPr>
    </w:p>
    <w:p w:rsidR="00D06117" w:rsidRDefault="00D06117" w:rsidP="00D06117">
      <w:pPr>
        <w:pStyle w:val="Extracto"/>
      </w:pPr>
      <w:r>
        <w:t>7.</w:t>
      </w:r>
      <w:r>
        <w:tab/>
        <w:t>En supuestos de exclusión de organizaciones sindicales integrantes de la mesa de las comisiones de desarrollo o seguimiento de los acuerdos alcanzados en su seno, por no haber sido parte signataria de los mismos al disentir de sus contenidos, será la naturaleza negocial o de mera administración y seguimiento del acuerdo de lo que dependa la vulneración o no del derecho de libertad sindical [FJ 6].</w:t>
      </w:r>
    </w:p>
    <w:p w:rsidR="00D06117" w:rsidRDefault="00D06117" w:rsidP="00D06117">
      <w:pPr>
        <w:pStyle w:val="Extracto"/>
      </w:pPr>
    </w:p>
    <w:p w:rsidR="00D06117" w:rsidRDefault="00D06117" w:rsidP="00D06117">
      <w:pPr>
        <w:pStyle w:val="Extracto"/>
      </w:pPr>
      <w:r>
        <w:t>8.</w:t>
      </w:r>
      <w:r>
        <w:tab/>
        <w:t xml:space="preserve">Los firmantes de un acuerdo no pueden establecer comisiones con funciones de modificación o regulación de condiciones de trabajo no abiertas a las organizaciones sindicales no signatarias del mismo, pero sí pueden crear, en uso de la autonomía colectiva, una organización común de encuentros, o comisiones </w:t>
      </w:r>
      <w:r w:rsidRPr="00D06117">
        <w:rPr>
          <w:i/>
        </w:rPr>
        <w:t>ad hoc</w:t>
      </w:r>
      <w:r>
        <w:t>, en tanto que no tengan funciones reguladoras en sentido propio (STC 222/2005)  [FJ 6].</w:t>
      </w:r>
    </w:p>
    <w:p w:rsidR="00D06117" w:rsidRDefault="00D06117" w:rsidP="00D06117">
      <w:pPr>
        <w:pStyle w:val="Extracto"/>
      </w:pPr>
    </w:p>
    <w:p w:rsidR="00D06117" w:rsidRDefault="00D06117" w:rsidP="00D06117">
      <w:pPr>
        <w:pStyle w:val="Extracto"/>
      </w:pPr>
      <w:r>
        <w:t>9.</w:t>
      </w:r>
      <w:r>
        <w:tab/>
        <w:t>Lo trascendente en términos de libertad sindical es que sean los legitimados en el órgano competente, y en su seno,  los que lleven a efecto la negociación y la adopción de acuerdos, no siendo relevante la existencia de dinámicas de acercamiento de posturas que son consustanciales a toda dinámica de concierto y búsqueda de compromisos de naturaleza normativa como los que se derivan de la negociación colectiva [FJ 6].</w:t>
      </w:r>
    </w:p>
    <w:p w:rsidR="00D06117" w:rsidRDefault="00D06117" w:rsidP="00D06117">
      <w:pPr>
        <w:pStyle w:val="Extracto"/>
      </w:pPr>
    </w:p>
    <w:p w:rsidR="00D06117" w:rsidRDefault="00D06117" w:rsidP="00D06117">
      <w:pPr>
        <w:pStyle w:val="Extracto"/>
      </w:pPr>
      <w:r>
        <w:t>10.</w:t>
      </w:r>
      <w:r>
        <w:tab/>
        <w:t>Que los liberados institucionales pactados con la Administración hayan sido adjudicados atendiendo a las cargas derivadas para los firmantes del acuerdo, no puede calificarse como contrario a la libertad sindical, y ello porque tales criterios han sido adoptados concertadamente en el seno de la Mesa Sectorial y porque responden a la existencia de cargas adicionales de trabajo, lo que descarta que la decisión revele un acto discriminatorio antisindical [FJ 7].</w:t>
      </w:r>
    </w:p>
    <w:p w:rsidR="00D06117" w:rsidRDefault="00D06117" w:rsidP="00D06117">
      <w:pPr>
        <w:pStyle w:val="Extracto"/>
      </w:pPr>
    </w:p>
    <w:p w:rsidR="00D06117" w:rsidRDefault="00D06117" w:rsidP="00D06117">
      <w:pPr>
        <w:pStyle w:val="Extracto"/>
      </w:pPr>
      <w:r>
        <w:t>11.</w:t>
      </w:r>
      <w:r>
        <w:tab/>
        <w:t>El principio de igualdad de trato entre organizaciones sindicales no impide que, para determinadas funciones, deba admitirse un trato desigual a los sindicatos vinculado a las tareas y cargas adicionales que se comprometen a asumir como consecuencia de un acuerdo que pretende favorecer pactos futuros de naturaleza normativa, trato desigual que encuentra su límite en la prohibición de discriminación sindical (SSTC 98/1985, 147/2001) [FJ 7].</w:t>
      </w:r>
    </w:p>
    <w:p w:rsidR="00D06117" w:rsidRDefault="00D06117" w:rsidP="00D06117">
      <w:pPr>
        <w:pStyle w:val="Extracto"/>
      </w:pPr>
    </w:p>
    <w:p w:rsidR="00D06117" w:rsidRDefault="00D06117" w:rsidP="00D06117">
      <w:pPr>
        <w:pStyle w:val="Extracto"/>
      </w:pPr>
      <w:r>
        <w:t>12.</w:t>
      </w:r>
      <w:r>
        <w:tab/>
        <w:t xml:space="preserve">En los recursos de amparo mixtos la comisión de una lesión constitucional en el transcurso del proceso </w:t>
      </w:r>
      <w:r w:rsidRPr="00D06117">
        <w:rPr>
          <w:i/>
        </w:rPr>
        <w:t>a quo</w:t>
      </w:r>
      <w:r>
        <w:t xml:space="preserve"> no impide que el acto administrativo siga siendo el verdadero objeto del recurso de amparo, teniendo un carácter autónomo y preferente la pretensión deducida por el cauce del art. 43 LOTC (SSTC 5/2008, 44/2011) [FJ 3].</w:t>
      </w:r>
    </w:p>
    <w:p w:rsidR="00D06117" w:rsidRDefault="00D06117" w:rsidP="00D06117">
      <w:pPr>
        <w:pStyle w:val="Extracto"/>
      </w:pPr>
    </w:p>
    <w:p w:rsidR="00D06117" w:rsidRDefault="00D06117" w:rsidP="00D06117">
      <w:pPr>
        <w:pStyle w:val="Extracto"/>
      </w:pPr>
      <w:r>
        <w:t>13.</w:t>
      </w:r>
      <w:r>
        <w:tab/>
        <w:t>Más allá del resultado dilatorio que se aduce en el recurso no se han especificado las irregularidades procesales que lo habrían ocasionado, de modo que la queja no puede prosperar pues no nos corresponde reconstruir de oficio las demandas, ni suplir las razones de las partes, ni suscitar la eventual existencia de motivos relevantes fuera de los supuestos contemplados por el art. 84 LOTC (SSTC 32/1999, 80/2011)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 xml:space="preserve">En el recurso de amparo núm. 3045-2008, promovido por la convergencia estatal de médicos y ayudantes técnicos sanitarios (CEMSATSE), representada por el Procurador de los Tribunales don Isacio Calleja García y asistida por el Letrado don Julián Corredor Jiménez, contra la decisión del Director General de personal y servicios del Servicio Andaluz de Salud que se recoge en el preámbulo del acta de la reunión de la mesa sectorial de sanidad de la Comunidad Autónoma de Andalucía, de 5 de junio de 2003, sobre calendario de reuniones, temas a tratar y funciones de las mesas de seguimiento previstas en el acuerdo de la mesa sectorial de negociación de 21 de noviembre de 2002; el pacto alcanzado en la referida reunión de 5 de junio de 2003 entre la citada dirección general y las centrales sindicales CC OO, FSP-UGT y CSI-CSIF, sobre reparto de liberaciones institucionales concedidas por el Servicio Andaluz de Salud en virtud de pacto de 12 de septiembre de 2002; la comunicación de la misma dirección general dirigida a CEMSATSE el día 13 de junio de 2003, que plasmaba el nuevo reparto de liberaciones institucionales derivado del reseñado acuerdo de la mesa sectorial de 5 de junio de 2003; y, asimismo, contra las resoluciones judiciales recaídas en el proceso judicial previo a este procedimiento de amparo: el Auto de 5 de julio de 2005 del Juzgado de lo Contencioso-Administrativo núm. 2 de Sevilla, dictado en el procedimiento núm. 334-2003, que apreció la inadecuación del procedimiento especial de protección de derechos fundamentales instado, y la Sentencia de la Sala de lo Contencioso-Administrativo del Tribunal Superior de Justicia de Andalucía con sede en Sevilla, de 18 de febrero de 2008, que desestimó el sucesivo recurso de apelación contra el Auto citado. Han comparecido la confederación sindical de Comisiones Obreras de Andalucía, representada por la Procuradora de los Tribunales doña Teresa de Jesús Castro Rodríguez y asistida del Letrado don Aurelio Garnica Díez; la federación de servicios públicos de Andalucía de la Unión General de Trabajadores, representada por el Procurador don Pablo José Trujillo Castellano y asistida del Letrado don Alfredo Meneses Herrán; y la Letrada doña Esperanza </w:t>
      </w:r>
      <w:r>
        <w:lastRenderedPageBreak/>
        <w:t>Gallego Calvente, en nombre y representación del Servicio Andaluz de Salud. Ha intervenido el Ministerio Fiscal. Ha sido Ponente la Magistrada doña Adela Asua Batarrita,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Por escrito registrado en este Tribunal el día 23 de abril de 2008, la representación procesal de la convergencia estatal de médicos y ayudantes técnicos sanitarios (CEMSATSE) interpuso recurso de amparo frente a las resoluciones administrativas y judiciales citadas en el encabezamiento de esta Sentencia, por posible vulneración de los arts. 14, 24.1, y 28.1 CE.</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relevantes para examinar la pretensión de amparo son, en síntesis, los siguientes:</w:t>
      </w:r>
    </w:p>
    <w:p w:rsidR="00D06117" w:rsidRDefault="00D06117" w:rsidP="00D06117">
      <w:pPr>
        <w:pStyle w:val="TextoNormal"/>
      </w:pPr>
    </w:p>
    <w:p w:rsidR="00D06117" w:rsidRDefault="00D06117" w:rsidP="00D06117">
      <w:pPr>
        <w:pStyle w:val="TextoNormal"/>
      </w:pPr>
      <w:r>
        <w:t>a) El día 12 de septiembre de 2002 el Servicio Andaluz de Salud y las centrales sindicales suscribieron en el marco de la mesa sectorial de sanidad de Andalucía un pacto sobre unidades electorales y créditos horarios para el proceso electoral 2002, que contemplaba la concesión a los sindicatos firmantes de un número total de ciento noventa y ocho “liberados institucionales” a distribuir conforme se determinara en la propia mesa sectorial de sanidad (apartado IV).</w:t>
      </w:r>
    </w:p>
    <w:p w:rsidR="00D06117" w:rsidRDefault="00D06117" w:rsidP="00D06117">
      <w:pPr>
        <w:pStyle w:val="TextoNormal"/>
      </w:pPr>
    </w:p>
    <w:p w:rsidR="00D06117" w:rsidRDefault="00D06117" w:rsidP="00D06117">
      <w:pPr>
        <w:pStyle w:val="TextoNormal"/>
      </w:pPr>
      <w:r>
        <w:t>El 21 de noviembre de 2002 se concertó en el seno de la mesa sectorial de referencia el acuerdo sobre política de personal, que afecta al personal de las instituciones sanitarias dependientes del Servicio Andaluz de Salud, para el período 2003-2005, que fue aprobado por acuerdo de 11 de marzo de 2003 del Consejo de Gobierno de la Junta de Andalucía, a tenor de lo dispuesto en el art. 35 de la Ley 9/1987, de 12 de junio, de órganos de representación, determinación de las condiciones de trabajo y participación del personal al servicio de las Administraciones públicas, y el art. 4.2 b) de la Ley 6/1985, de 28 de noviembre, de ordenación de la función pública de la Junta de Andalucía. Dicho acuerdo fue suscrito por el Director General del Servicio Andaluz de Salud y tres de las organizaciones sindicales presentes en la mesa sectorial de sanidad, CC OO, UGT y CSI-CSIF, no así, al disentir, por la organización sindical demandante de amparo.</w:t>
      </w:r>
    </w:p>
    <w:p w:rsidR="00D06117" w:rsidRDefault="00D06117" w:rsidP="00D06117">
      <w:pPr>
        <w:pStyle w:val="TextoNormal"/>
      </w:pPr>
    </w:p>
    <w:p w:rsidR="00D06117" w:rsidRDefault="00D06117" w:rsidP="00D06117">
      <w:pPr>
        <w:pStyle w:val="TextoNormal"/>
      </w:pPr>
      <w:r>
        <w:t>b) El día 5 de junio de 2003, en reunión de la mesa sectorial de sanidad de Andalucía, el Director General de personal y servicios del Servicio Andaluz de Salud presentó un calendario de trabajo de las mesas de seguimiento derivadas del punto undécimo del acuerdo de 21 de noviembre de 2002, a fin de dar un nuevo impulso al desarrollo de los distintos apartados recogidos en el mismo y de cara a facilitar la programación de las cargas de trabajo necesarias y la planificación de agendas por parte de las “organizaciones sindicales firmantes” y los servicios técnicos de la Administración, pues eran ellos quienes participarían en las reuniones y en los posibles acuerdos referidos a las materias contenidas en aquel pacto, reservándose la mesa sectorial de negociación “para los temas que sea necesario abrir negociación o para la negociación de las propuestas que la Administración presente para el desarrollo de los Acuerdos”.</w:t>
      </w:r>
    </w:p>
    <w:p w:rsidR="00D06117" w:rsidRDefault="00D06117" w:rsidP="00D06117">
      <w:pPr>
        <w:pStyle w:val="TextoNormal"/>
      </w:pPr>
    </w:p>
    <w:p w:rsidR="00D06117" w:rsidRDefault="00D06117" w:rsidP="00D06117">
      <w:pPr>
        <w:pStyle w:val="TextoNormal"/>
      </w:pPr>
      <w:r>
        <w:lastRenderedPageBreak/>
        <w:t>Por otro lado, con la expresa oposición de CEMSATSE, en la misma reunión se adoptó un acuerdo sobre el reparto de los liberados institucionales del pacto de 12 de septiembre de 2002. Se fijó un criterio de asignación que tenía en cuenta la carga de trabajo derivada de la participación en las “mesas de seguimiento” del acuerdo de noviembre de 2002, razón por la que se atribuía un 75 por 100 de los ciento noventa y ocho liberados institucionales a las organizaciones sindicales firmantes de aquél, proporcionalmente a los resultados electorales obtenidos, quedando el 25 por 100 restante para su reparto entre todos los integrantes de la mesa sectorial en función de su representatividad.</w:t>
      </w:r>
    </w:p>
    <w:p w:rsidR="00D06117" w:rsidRDefault="00D06117" w:rsidP="00D06117">
      <w:pPr>
        <w:pStyle w:val="TextoNormal"/>
      </w:pPr>
    </w:p>
    <w:p w:rsidR="00D06117" w:rsidRDefault="00D06117" w:rsidP="00D06117">
      <w:pPr>
        <w:pStyle w:val="TextoNormal"/>
      </w:pPr>
      <w:r>
        <w:t>c) Con fecha 13 de junio de 2013, la Dirección General de personal y servicios del Servicio Andaluz de Salud comunicó a CEMSATSE la atribución de dieciocho liberados institucionales, con efectos de 1 de julio de 2003, como consecuencia del reparto proporcional del 25 por 100 de los liberados pactados el 12 de septiembre de 2012 y una vez asignado en exclusiva el 75 por 100 restante a los firmantes del acuerdo de política de personal de noviembre de 2002, de conformidad con lo acordado en la mesa sectorial el 5 de junio de 2003.</w:t>
      </w:r>
    </w:p>
    <w:p w:rsidR="00D06117" w:rsidRDefault="00D06117" w:rsidP="00D06117">
      <w:pPr>
        <w:pStyle w:val="TextoNormal"/>
      </w:pPr>
    </w:p>
    <w:p w:rsidR="00D06117" w:rsidRDefault="00D06117" w:rsidP="00D06117">
      <w:pPr>
        <w:pStyle w:val="TextoNormal"/>
      </w:pPr>
      <w:r>
        <w:t>d) El 17 de junio de 2003 CEMSATSE interpuso recurso contencioso-administrativo por el procedimiento especial de protección de derechos fundamentales. Dirigía su recurso contra las medidas adoptadas en la reunión de la mesa sectorial de 5 de junio de 2003, a saber: el calendario de trabajo de las “mesas de seguimiento” del acuerdo de política de personal de 21 de noviembre de 2002, en las que venían llamadas a intervenir únicamente las organizaciones sindicales firmantes del mismo, y el acuerdo alcanzado sobre la distribución de los liberados institucionales del pacto de 12 de septiembre de 2002, sobre unidades electorales y créditos horarios para el proceso electoral de 2002. A su juicio, esas decisiones vulneraban los derechos consagrados en los arts. 14 y 28 CE.</w:t>
      </w:r>
    </w:p>
    <w:p w:rsidR="00D06117" w:rsidRDefault="00D06117" w:rsidP="00D06117">
      <w:pPr>
        <w:pStyle w:val="TextoNormal"/>
      </w:pPr>
    </w:p>
    <w:p w:rsidR="00D06117" w:rsidRDefault="00D06117" w:rsidP="00D06117">
      <w:pPr>
        <w:pStyle w:val="TextoNormal"/>
      </w:pPr>
      <w:r>
        <w:t>En un momento posterior amplió el recurso contra la comunicación de fecha 13 de junio de 2003 del Director General de personal y servicios del Servicio Andaluz de Salud, anteriormente reseñada.</w:t>
      </w:r>
    </w:p>
    <w:p w:rsidR="00D06117" w:rsidRDefault="00D06117" w:rsidP="00D06117">
      <w:pPr>
        <w:pStyle w:val="TextoNormal"/>
      </w:pPr>
    </w:p>
    <w:p w:rsidR="00D06117" w:rsidRDefault="00D06117" w:rsidP="00D06117">
      <w:pPr>
        <w:pStyle w:val="TextoNormal"/>
      </w:pPr>
      <w:r>
        <w:t>El Juzgado de lo Contencioso-Administrativo núm. 2 de Sevilla dictó Auto de 5 de julio de 2005, que inadmitía el recurso por inadecuación del procedimiento especial de protección de derechos fundamentales al objeto empleado. Acogía de ese modo la cuestión previa de inadmisibilidad planteada por el Servicio Andaluz de Salud, y defendida, igualmente, por el Ministerio Fiscal, en cuya opinión las decisiones recurridas no afectaban al contenido del derecho fundamental a la libertad sindical (art. 28.1 CE), al no incidir en ninguno de los derechos que a los representantes de los trabajadores o a las propias organizaciones sindicales atribuye la Constitución Española. A juicio de dichas partes procesales, los denominados “liberados institucionales” del pacto de 12 de septiembre de 2002, cuya asignación porcentual fue decidida en la reunión de 5 de junio de 2003 de la mesa sectorial de sanidad de Andalucía, constituyen una figura de origen convencional, no contemplada en la Ley Orgánica de libertad sindical; su atribución o reconocimiento no guarda relación con las elecciones sindicales ni con los derechos derivados de la representatividad obtenida en esos procesos electorales; sin que, finalmente, nada objete que sus funciones y los criterios de asignación se vinculen a las actividades desarrolladas en el seno del acuerdo de política de personal de noviembre de 2002, al que la convergencia sindical recurrente no se adhirió.</w:t>
      </w:r>
    </w:p>
    <w:p w:rsidR="00D06117" w:rsidRDefault="00D06117" w:rsidP="00D06117">
      <w:pPr>
        <w:pStyle w:val="TextoNormal"/>
      </w:pPr>
    </w:p>
    <w:p w:rsidR="00D06117" w:rsidRDefault="00D06117" w:rsidP="00D06117">
      <w:pPr>
        <w:pStyle w:val="TextoNormal"/>
      </w:pPr>
      <w:r>
        <w:lastRenderedPageBreak/>
        <w:t>A la vista del contenido de la demanda y de las alegaciones expuestas, el juzgador declaró la inadmisión del recurso. A su criterio, la cuestión debatida no afectaría a derechos fundamentales ni podría canalizarse, en consecuencia, por el procedimiento especial instado, ya que resultaba, por el contrario, una cuestión de legalidad ordinaria sobre la legalidad y vigencia de aquel acuerdo.</w:t>
      </w:r>
    </w:p>
    <w:p w:rsidR="00D06117" w:rsidRDefault="00D06117" w:rsidP="00D06117">
      <w:pPr>
        <w:pStyle w:val="TextoNormal"/>
      </w:pPr>
    </w:p>
    <w:p w:rsidR="00D06117" w:rsidRDefault="00D06117" w:rsidP="00D06117">
      <w:pPr>
        <w:pStyle w:val="TextoNormal"/>
      </w:pPr>
      <w:r>
        <w:t>e) CEMSATSE formalizó recurso de apelación contra el citado Auto de inadmisión, que fue desestimado por Sentencia de 18 de febrero de 2008 de la Sección Primera de la Sala de lo Contencioso-Administrativo del Tribunal Superior de Justicia de Andalucía con sede en Sevilla.</w:t>
      </w:r>
    </w:p>
    <w:p w:rsidR="00D06117" w:rsidRDefault="00D06117" w:rsidP="00D06117">
      <w:pPr>
        <w:pStyle w:val="TextoNormal"/>
      </w:pPr>
    </w:p>
    <w:p w:rsidR="00D06117" w:rsidRDefault="00D06117" w:rsidP="00D06117">
      <w:pPr>
        <w:pStyle w:val="TextoNormal"/>
      </w:pPr>
      <w:r>
        <w:t>La Sala rechaza la primera queja del recurso, articulada al amparo del derecho de acceso a la jurisdicción (art. 24.1 CE) y con fundamento en el principio pro actione. Argumenta que la selección del proceso especial no es una elección a disposición de la parte sino que depende del contenido constitucional de la pretensión. Y en relación con ello, en respuesta a las denuncias de naturaleza sustantiva (arts. 14 y 28.1 CE), afirma que el apelante no logró acreditar dicha relevancia constitucional.</w:t>
      </w:r>
    </w:p>
    <w:p w:rsidR="00D06117" w:rsidRDefault="00D06117" w:rsidP="00D06117">
      <w:pPr>
        <w:pStyle w:val="TextoNormal"/>
      </w:pPr>
    </w:p>
    <w:p w:rsidR="00D06117" w:rsidRDefault="00D06117" w:rsidP="00D06117">
      <w:pPr>
        <w:pStyle w:val="TextoNormal"/>
      </w:pPr>
      <w:r>
        <w:t>f) En Auto de 14 de marzo de 2008, dictado en aclaración de Sentencia, la Sala declaró que no cabía recurrir en casación el pronunciamiento de apelación.</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se dirige contra las medidas adoptadas en el seno de la mesa sectorial de sanidad de Andalucía con fecha de 5 de junio de 2003, tanto el calendario de trabajo de las mesas de seguimiento del acuerdo de política de personal de noviembre de 2002, como el reparto de las liberaciones institucionales del pacto de 12 de septiembre de 2002, que se concretó en la comunicación de la Dirección General de personal del Servicio Andaluz de Salud dirigida a CEMSATSE el día 13 de junio de 2003. Asimismo se impugnan las resoluciones judiciales dictadas por el Juzgado de lo Contencioso-Administrativo núm. 2 de Sevilla, Auto de 5 de julio de 2005, y la Sentencia de 18 de febrero de 2008 de la Sección Primera de la Sala de lo Contencioso-Administrativo del Tribunal Superior de Justicia de Andalucía con sede en Sevilla, en el procedimiento núm. 334-2003, sobre protección de derechos fundamentales.</w:t>
      </w:r>
    </w:p>
    <w:p w:rsidR="00D06117" w:rsidRDefault="00D06117" w:rsidP="00D06117">
      <w:pPr>
        <w:pStyle w:val="TextoNormal"/>
      </w:pPr>
    </w:p>
    <w:p w:rsidR="00D06117" w:rsidRDefault="00D06117" w:rsidP="00D06117">
      <w:pPr>
        <w:pStyle w:val="TextoNormal"/>
      </w:pPr>
      <w:r>
        <w:t>CEMSATSE se opone a las decisiones de la mesa sectorial de sanidad de Andalucía y de la Dirección General de personal del Servicio Andaluz de Salud que impugnó en la vía judicial por vulneración de los derechos de libertad sindical e igualdad de los arts. 14 y 28.1 CE, ya que, según expone, la funciones que se otorgan a las “mesas de seguimiento” del acuerdo de política de personal de 21 de noviembre de 2002 suponen una invasión de las competencias negociadoras que corresponden a la mesa sectorial, de la que forma parte CEMSATSE, que no interviene en cambio, al no haber firmado aquel acuerdo, en los órganos nacidos del mismo.</w:t>
      </w:r>
    </w:p>
    <w:p w:rsidR="00D06117" w:rsidRDefault="00D06117" w:rsidP="00D06117">
      <w:pPr>
        <w:pStyle w:val="TextoNormal"/>
      </w:pPr>
    </w:p>
    <w:p w:rsidR="00D06117" w:rsidRDefault="00D06117" w:rsidP="00D06117">
      <w:pPr>
        <w:pStyle w:val="TextoNormal"/>
      </w:pPr>
      <w:r>
        <w:t xml:space="preserve">Rechaza que tenga relevancia que las citadas “mesas de seguimiento” dejen formalmente a salvo la competencia negociadora atribuida a la mesa sectorial, consagrada en la Ley 9/1987, de 12 de junio, y reconocida en el propio acuerdo de 21 de noviembre de 2002, toda vez que, si bien los asuntos se someterán a la consideración de dicho órgano de representación, tal negociación, única en la que a CEMSATSE le es permitido participar, será ulterior a la llevada a cabo con carácter previo entre el Servicio Andaluz de Salud y las otras tres </w:t>
      </w:r>
      <w:r>
        <w:lastRenderedPageBreak/>
        <w:t>organizaciones sindicales en el seno de las mesas de seguimiento el acuerdo de noviembre de 2002, y en la mayoría de los supuestos no pasará de ser un mero trámite al que habrá de asistir como mero espectador de la ratificación formal. La negociación colectiva, dice, es algo más que el acuerdo final; consiste antes que en éste en la propia actuación negociadora y en las deliberaciones por medio de las que se va realizando, sin que quepa delegar una fase de la negociación a un órgano distinto de la mesa imponiendo para la participación en él condiciones no establecidas en la ley. En suma, no cabe excluir de las labores propiamente negociadoras a los sindicatos legitimados, pues su legitimación configura un presupuesto de la negociación colectiva que escapa del poder de disposición de las partes negociadoras.</w:t>
      </w:r>
    </w:p>
    <w:p w:rsidR="00D06117" w:rsidRDefault="00D06117" w:rsidP="00D06117">
      <w:pPr>
        <w:pStyle w:val="TextoNormal"/>
      </w:pPr>
    </w:p>
    <w:p w:rsidR="00D06117" w:rsidRDefault="00D06117" w:rsidP="00D06117">
      <w:pPr>
        <w:pStyle w:val="TextoNormal"/>
      </w:pPr>
      <w:r>
        <w:t>Las mesas de seguimiento del acuerdo de 21 de noviembre de 2002, tal como se regulan en el acta de 5 de junio de 2003, prosigue la demanda de amparo, despliegan una función auténticamente negociadora en materias encuadrables en el art. 32 de la Ley 9/1987, de 12 de junio, reservadas a la negociación en mesa sectorial. Asumen, en realidad, el papel que el reglamento interno de la mesa sectorial de sanidad atribuye a las denominadas mesas técnicas, en tanto que órganos preparatorios de las materias a acordar en la mesa sectorial, y en las que, según el propio reglamento, tienen derecho a estar presentes todas las organizaciones sindicales integrantes de ésta.</w:t>
      </w:r>
    </w:p>
    <w:p w:rsidR="00D06117" w:rsidRDefault="00D06117" w:rsidP="00D06117">
      <w:pPr>
        <w:pStyle w:val="TextoNormal"/>
      </w:pPr>
    </w:p>
    <w:p w:rsidR="00D06117" w:rsidRDefault="00D06117" w:rsidP="00D06117">
      <w:pPr>
        <w:pStyle w:val="TextoNormal"/>
      </w:pPr>
      <w:r>
        <w:t>Esa exclusión del derecho a la negociación colectiva se vincula en la demanda a otra queja, articulada al amparo de idénticos derechos fundamentales (arts. 14 y 28.1 CE). Resalta la recurrente que la distribución de los liberados institucionales del pacto de 12 de septiembre de 2002, acordada en la reunión de la mesa sectorial de sanidad de Andalucía el día 5 de junio de 2003 (que asigna el 75 por 100 de los ciento noventa y ocho liberados comprometido en aquel pacto de manera proporcional a los resultados electorales, pero únicamente entre las organizaciones sindicales firmantes del acuerdo de política de personal de 21 de noviembre de 2002), supuso la reducción en un número de treinta y ocho de los que le correspondían conforme al criterio previo aplicado, pactado por las cuatro organizaciones sindicales de la mesa sectorial de sanidad de Andalucía.</w:t>
      </w:r>
    </w:p>
    <w:p w:rsidR="00D06117" w:rsidRDefault="00D06117" w:rsidP="00D06117">
      <w:pPr>
        <w:pStyle w:val="TextoNormal"/>
      </w:pPr>
    </w:p>
    <w:p w:rsidR="00D06117" w:rsidRDefault="00D06117" w:rsidP="00D06117">
      <w:pPr>
        <w:pStyle w:val="TextoNormal"/>
      </w:pPr>
      <w:r>
        <w:t>A su criterio, el denominado “liberado institucional” (pacto de 12 de septiembre de 2002 sobre unidades electorales y créditos horarios), pese a su naturaleza convencional, resulta plenamente subsumible en la figura del liberado sindical, y por ende en el contenido adicional de la libertad sindical (art. 28.1 CE). En consecuencia, resultaría de aplicación la doctrina constitucional que establece que cuando un acto administrativo ataca u obstaculiza objetivamente la efectividad del derecho fundamental del sujeto representativo (vertiente individual de la libertad sindical), se proyecta sobre la organización sindical, alcanzando a la vertiente colectiva del art. 28.1 CE, al incidir de modo reflejo en las tareas de defensa y promoción de los intereses de los trabajadores que la Constitución encomienda a los sindicatos (art. 7 CE).</w:t>
      </w:r>
    </w:p>
    <w:p w:rsidR="00D06117" w:rsidRDefault="00D06117" w:rsidP="00D06117">
      <w:pPr>
        <w:pStyle w:val="TextoNormal"/>
      </w:pPr>
    </w:p>
    <w:p w:rsidR="00D06117" w:rsidRDefault="00D06117" w:rsidP="00D06117">
      <w:pPr>
        <w:pStyle w:val="TextoNormal"/>
      </w:pPr>
      <w:r>
        <w:t xml:space="preserve">Y como en esta ocasión la redistribución del número de liberaciones institucionales responde a la previa y lesiva atribución de funciones negociadoras a las “mesas de seguimiento” del acuerdo de política de personal de 21 de noviembre de 2002, la anulación de esa competencia negociadora ha de conllevar también la del efecto derivado en el reparto de las liberaciones, que debe regirse por los criterios de proporcionalidad —en función del grado de representatividad electoral— que se venían aplicando antes de su alteración en la reunión de la mesa sectorial de sanidad de 5 de junio de 2003. Alternativamente, afirma, si </w:t>
      </w:r>
      <w:r>
        <w:lastRenderedPageBreak/>
        <w:t>se concluyera que aquellas mesas carecen de una función negociadora y limitan su función a la interpretación y vigilancia de lo pactado en noviembre de 2002, no existiría una carga adicional de trabajo que justificase la redistribución convenida en la reseñada reunión de 5 de junio de 2003.</w:t>
      </w:r>
    </w:p>
    <w:p w:rsidR="00D06117" w:rsidRDefault="00D06117" w:rsidP="00D06117">
      <w:pPr>
        <w:pStyle w:val="TextoNormal"/>
      </w:pPr>
    </w:p>
    <w:p w:rsidR="00D06117" w:rsidRDefault="00D06117" w:rsidP="00D06117">
      <w:pPr>
        <w:pStyle w:val="TextoNormal"/>
      </w:pPr>
      <w:r>
        <w:t>Subsidiariamente, la convergencia sindical recurrente en amparo denuncia que las resoluciones judiciales dictadas en el proceso judicial han vulnerado el derecho a la tutela judicial efectiva (art. 24.1 CE). En su opinión, han interpretado de manera rigorista las normas legales de acceso a la jurisdicción a través del proceso especial de protección de los derechos fundamentales. Por lo demás, existe inseguridad jurídica sobre la virtualidad de esa vía especial, puesto que, dependiendo de la competencia territorial para resolver el asunto, cabe anticipar si ese cauce tendrá éxito o no en la superación del trámite de admisión (los Juzgados y la Sala del Tribunal Superior de Justicia de Andalucía con sede en Sevilla, dice, difícilmente aceptan que opere esa vía especial, pese a la modificación en 1998 de la Ley de la jurisdicción, mientras que ocurre lo contrario en las Salas de Granada o Málaga del mismo Tribunal Superior de Justicia).</w:t>
      </w:r>
    </w:p>
    <w:p w:rsidR="00D06117" w:rsidRDefault="00D06117" w:rsidP="00D06117">
      <w:pPr>
        <w:pStyle w:val="TextoNormal"/>
      </w:pPr>
    </w:p>
    <w:p w:rsidR="00D06117" w:rsidRDefault="00D06117" w:rsidP="00D06117">
      <w:pPr>
        <w:pStyle w:val="TextoNormal"/>
      </w:pPr>
      <w:r>
        <w:t>Todavía en relación con el art. 24.1 CE, denuncia que las resoluciones recurridas incurrieron en dilaciones indebidas, ya que las actuaciones por el proceso especial de protección de derechos fundamentales se iniciaron en el año 2003 y han agotado la vía jurisdiccional el 17 de abril de 2008, con la notificación del Auto que cerró el proceso, esto es, un total de cinco años pese a tratarse de una materia vinculada a la libertad sindical, canalizada por un procedimiento de tramitación especial, preferente y sumario. Agrega a lo anterior la cita del art. 14 CE, en su vertiente de igualdad en la aplicación del Derecho, al existir pronunciamientos del Tribunal Supremo en idéntica materia sustanciados por aquel proceso especial, declarado esta vez, sin embargo, inadecuado. Solicita, finalmente, una indemnización de los perjuicios irrogados.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15 de noviembre de 2010, la Sala Primera de este Tribunal acordó la admisión a trámite de la demanda de amparo, así como, a tenor de lo establecido en el art. 51 de la Ley Orgánica del Tribunal Constitucional (LOTC), requerir a la Sección Primera de la Sala de lo Contencioso-Administrativo del Tribunal Superior de Justicia de Andalucía con sede en Sevilla, a fin de que remitiera certificación o fotocopia adverada de las actuaciones del recurso de apelación núm. 72-2006, así como al Juzgado de lo Contencioso-Administrativo núm. 2 de Sevilla las del recurso núm. 334-03-4, solicitándole que procediera a los emplazamientos correspondientes.</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Secretaría de Justicia de la Sala Primera de este Tribunal, de 4 de marzo de 2011, se tuvieron por recibidos los testimonios de las actuaciones y por personados en este proceso constitucional, de conformidad con lo solicitado en escritos presentados en plazo, a los Procuradores doña Teresa de Jesús Castro Rodríguez, don Pablo José Trujillo Castellano y a la Letrada doña Esperanza Gallego Calvente, en nombre y representación de la confederación sindical de Comisiones Obreras de Andalucía, federación de servicios públicos de Andalucía de la Unión General de Trabajadores (FSP-A-UGT) y Servicio Andaluz de la Salud, respectivamente. Asimismo, a tenor de lo dispuesto en el art. 52 LOTC, se dio vista de todas las actuaciones del presente recurso de amparo al Ministerio Fiscal y a las partes personadas, para que pudieran presentar en el plazo establecido las alegaciones que a su derecho convinieran.</w:t>
      </w:r>
    </w:p>
    <w:p w:rsidR="00D06117" w:rsidRDefault="00D06117" w:rsidP="00D06117">
      <w:pPr>
        <w:pStyle w:val="TextoNormal"/>
      </w:pPr>
    </w:p>
    <w:p w:rsidR="00D06117" w:rsidRDefault="00D06117" w:rsidP="00D06117">
      <w:pPr>
        <w:pStyle w:val="TextoNormal"/>
      </w:pPr>
      <w:r w:rsidRPr="00D06117">
        <w:rPr>
          <w:rStyle w:val="NumeroAFNegritaCaracter"/>
        </w:rPr>
        <w:t>6</w:t>
      </w:r>
      <w:r>
        <w:t>. La organización sindical recurrente presentó su escrito de alegaciones, registrado en este Tribunal el 5 de abril de 2011, y se ratificó, en esencia, en los contenidos de su recurso de amparo.</w:t>
      </w:r>
    </w:p>
    <w:p w:rsidR="00D06117" w:rsidRDefault="00D06117" w:rsidP="00D06117">
      <w:pPr>
        <w:pStyle w:val="TextoNormal"/>
      </w:pPr>
    </w:p>
    <w:p w:rsidR="00D06117" w:rsidRDefault="00D06117" w:rsidP="00D06117">
      <w:pPr>
        <w:pStyle w:val="TextoNormal"/>
      </w:pPr>
      <w:r w:rsidRPr="00D06117">
        <w:rPr>
          <w:rStyle w:val="NumeroAFNegritaCaracter"/>
        </w:rPr>
        <w:t>7</w:t>
      </w:r>
      <w:r>
        <w:t>. La confederación sindical de Comisiones Obreras de Andalucía evacuó el trámite conferido mediante escrito registrado en este Tribunal el 5 de abril de 2011. En primer lugar, opone la falta sobrevenida de legitimación activa de la recurrente. Dice que CEMSATSE es una organización sindical integrada por la Confederación Estatal de Sindicatos Médicos (CESM) y el Sindicato de Ayudantes Técnicos Sanitarios de España (SATSE) que ha concurrido sucesivamente a las elecciones sindicales celebradas en el Servicio Andaluz de Salud en los años 1987, 1991, 1994, 1998 y 2002. Sin embargo, afirma el sindicato en su escrito de alegaciones, en las últimas elecciones sindicales celebradas en diciembre de 2006 concurrieron por separado el sindicato CESM y el sindicato SATSE, por lo que la organización recurrente no continúa existiendo como sindicato, al haber puesto fin a la citada integración, de lo que se deduce aquella falta de legitimación sobrevenida.</w:t>
      </w:r>
    </w:p>
    <w:p w:rsidR="00D06117" w:rsidRDefault="00D06117" w:rsidP="00D06117">
      <w:pPr>
        <w:pStyle w:val="TextoNormal"/>
      </w:pPr>
    </w:p>
    <w:p w:rsidR="00D06117" w:rsidRDefault="00D06117" w:rsidP="00D06117">
      <w:pPr>
        <w:pStyle w:val="TextoNormal"/>
      </w:pPr>
      <w:r>
        <w:t>En defecto de lo anterior, considera que debe abordarse el debate de fondo, puesto que la resolución que acordó la inadmisión del recurso contencioso-administrativo representaría únicamente el pronunciamiento necesario para tener por agotada la vía judicial previa.</w:t>
      </w:r>
    </w:p>
    <w:p w:rsidR="00D06117" w:rsidRDefault="00D06117" w:rsidP="00D06117">
      <w:pPr>
        <w:pStyle w:val="TextoNormal"/>
      </w:pPr>
    </w:p>
    <w:p w:rsidR="00D06117" w:rsidRDefault="00D06117" w:rsidP="00D06117">
      <w:pPr>
        <w:pStyle w:val="TextoNormal"/>
      </w:pPr>
      <w:r>
        <w:t>A su juicio, la mera lectura del acuerdo de 21 de noviembre de 2002 desvela que no existe voluntad alguna de invasión de las competencias de negociación que corresponden a la mesa sectorial, ya que, incluso, se proclaman de manera expresa. Lo mismo sucede con el acta de la mesa sectorial de 5 de junio de 2003, que establece un calendario de reuniones de ese último órgano con una periodicidad mensual, proceso de negociación que le corresponde y ha continuado en todo momento.</w:t>
      </w:r>
    </w:p>
    <w:p w:rsidR="00D06117" w:rsidRDefault="00D06117" w:rsidP="00D06117">
      <w:pPr>
        <w:pStyle w:val="TextoNormal"/>
      </w:pPr>
    </w:p>
    <w:p w:rsidR="00D06117" w:rsidRDefault="00D06117" w:rsidP="00D06117">
      <w:pPr>
        <w:pStyle w:val="TextoNormal"/>
      </w:pPr>
      <w:r>
        <w:t>No hay, pues, lesión alguna. El acuerdo de 21 de noviembre de 2002, sobre política de personal para el periodo 2003-2005, asegura el desarrollo de todos y cada uno de los aspectos y temas en él recogidos. Que los firmantes del acuerdo realicen reuniones previas para avanzar en la concreción y aplicación de los extremos reflejados, no obsta el respeto a la mesa sectorial como instancia en la que se debaten las cuestiones y se alcanzan los acuerdos. Para ilustrarlo, el escrito de alegaciones pone ejemplos de procesos dinamizados con base en aquel acuerdo y que finalizaron en pactos concertados en la mesa sectorial, firmados algunos por CEMSATSE y en ningún caso impugnados por ésta, lo que sería muestra concreta y elocuente, cree, de que se han garantizado sus derechos de negociación colectiva. Los hechos, en suma, desmentirían las suposiciones que subyacen en la queja de la recurrente.</w:t>
      </w:r>
    </w:p>
    <w:p w:rsidR="00D06117" w:rsidRDefault="00D06117" w:rsidP="00D06117">
      <w:pPr>
        <w:pStyle w:val="TextoNormal"/>
      </w:pPr>
    </w:p>
    <w:p w:rsidR="00D06117" w:rsidRDefault="00D06117" w:rsidP="00D06117">
      <w:pPr>
        <w:pStyle w:val="TextoNormal"/>
      </w:pPr>
      <w:r>
        <w:t xml:space="preserve">En lo relativo al reparto de liberados institucionales recalca que a CEMSATSE se le asegura, al igual que al resto de los sindicatos, el crédito horario que le corresponde en función del número de candidatos elegidos en las distintas juntas de personal y comités de empresa, como, igualmente, el crédito horario a que tiene derecho a través de los delegados sindicales de la Ley Orgánica de libertad sindical. Los liberados institucionales del acuerdo de 12 de septiembre de 2002, por tanto, representan un “plus de crédito horario” que la Administración ha venido reconociendo aun cuando no estaba obligada a ello. Y, por lo demás, los criterios de reparto ahora aplicados no son discriminatorios, ya que el acuerdo </w:t>
      </w:r>
      <w:r>
        <w:lastRenderedPageBreak/>
        <w:t>de 21 de noviembre de 2002 establece para las partes firmantes una serie de obligaciones adicionales que justifican la atribución controvertida, de manera que tampoco desde este prisma se ha vulnerado el art. 28.1 CE.</w:t>
      </w:r>
    </w:p>
    <w:p w:rsidR="00D06117" w:rsidRDefault="00D06117" w:rsidP="00D06117">
      <w:pPr>
        <w:pStyle w:val="TextoNormal"/>
      </w:pPr>
    </w:p>
    <w:p w:rsidR="00D06117" w:rsidRDefault="00D06117" w:rsidP="00D06117">
      <w:pPr>
        <w:pStyle w:val="TextoNormal"/>
      </w:pPr>
      <w:r w:rsidRPr="00D06117">
        <w:rPr>
          <w:rStyle w:val="NumeroAFNegritaCaracter"/>
        </w:rPr>
        <w:t>8</w:t>
      </w:r>
      <w:r>
        <w:t>. El Servicio Andaluz de Salud, por escrito registrado en este Tribunal el día 8 de abril de 2011, se opuso al otorgamiento del amparo. Como hiciera anteriormente la representación de Comisiones Obreras de Andalucía, objeta la legitimación activa de la convergencia sindical recurrente al haberse extinguido su personalidad jurídica y no haberse acreditado ningún tipo de sucesión procesal. Añade que CEMSATSE fue parte en las actuaciones judiciales pero no consta que haya acordado la interposición del presente recurso de amparo, recurso que en modo alguno puede considerarse una instancia más del proceso iniciado ante el Juzgado de lo Contencioso-Administrativo núm. 1 de Sevilla, por lo que falta la manifestación de voluntad del órgano competente de la recurrente para interponer el presente recurso.</w:t>
      </w:r>
    </w:p>
    <w:p w:rsidR="00D06117" w:rsidRDefault="00D06117" w:rsidP="00D06117">
      <w:pPr>
        <w:pStyle w:val="TextoNormal"/>
      </w:pPr>
    </w:p>
    <w:p w:rsidR="00D06117" w:rsidRDefault="00D06117" w:rsidP="00D06117">
      <w:pPr>
        <w:pStyle w:val="TextoNormal"/>
      </w:pPr>
      <w:r>
        <w:t>En segundo lugar, aduce que no puede hablarse de vulneración del derecho a la tutela judicial efectiva (art. 24.1 CE) porque se ha dictado una resolución fundada en Derecho. Por su parte, respecto a la demora en la resolución del recurso formulado en la vía judicial, resalta que la demanda de amparo no especifica en qué momento se produjo la misma y dice que durante la tramitación procesal en ningún momento se hizo la más mínima referencia a las pretendidas dilaciones.</w:t>
      </w:r>
    </w:p>
    <w:p w:rsidR="00D06117" w:rsidRDefault="00D06117" w:rsidP="00D06117">
      <w:pPr>
        <w:pStyle w:val="TextoNormal"/>
      </w:pPr>
    </w:p>
    <w:p w:rsidR="00D06117" w:rsidRDefault="00D06117" w:rsidP="00D06117">
      <w:pPr>
        <w:pStyle w:val="TextoNormal"/>
      </w:pPr>
      <w:r>
        <w:t>Rechaza a renglón seguido la lesión de la libertad sindical por razón de la redistribución de liberados institucionales acordada en la reunión de la mesa sectorial de sanidad de Andalucía de 5 de junio de 2003. A su criterio, la figura no guarda relación alguna con el crédito horario de los representantes sindicales electos, ni con las liberaciones sindicales procedentes de ello, de manera que no es el mismo régimen jurídico, aunque puedan existir paralelismos. Se trata, en definitiva, de una figura de origen convencional que se rige por sus propios términos y queda fuera del ámbito del derecho a la libertad sindical (art. 28.1 CE). Por lo demás, concluye, los criterios de asignación aplicados pueden considerarse más o menos afortunados, pero en ningún caso son discriminatorios ya que tratan a todos los sindicatos por igual conforme a unos parámetros objetivos.</w:t>
      </w:r>
    </w:p>
    <w:p w:rsidR="00D06117" w:rsidRDefault="00D06117" w:rsidP="00D06117">
      <w:pPr>
        <w:pStyle w:val="TextoNormal"/>
      </w:pPr>
    </w:p>
    <w:p w:rsidR="00D06117" w:rsidRDefault="00D06117" w:rsidP="00D06117">
      <w:pPr>
        <w:pStyle w:val="TextoNormal"/>
      </w:pPr>
      <w:r>
        <w:t>Señala el escrito, finalmente, que no se ha probado que las mesas de seguimiento del acuerdo de 21 de noviembre de 2011 desplieguen funciones negociadoras y que tampoco consta que CEMSATSE haya impugnado acuerdo alguno.</w:t>
      </w:r>
    </w:p>
    <w:p w:rsidR="00D06117" w:rsidRDefault="00D06117" w:rsidP="00D06117">
      <w:pPr>
        <w:pStyle w:val="TextoNormal"/>
      </w:pPr>
    </w:p>
    <w:p w:rsidR="00D06117" w:rsidRDefault="00D06117" w:rsidP="00D06117">
      <w:pPr>
        <w:pStyle w:val="TextoNormal"/>
      </w:pPr>
      <w:r w:rsidRPr="00D06117">
        <w:rPr>
          <w:rStyle w:val="NumeroAFNegritaCaracter"/>
        </w:rPr>
        <w:t>9</w:t>
      </w:r>
      <w:r>
        <w:t>. Formuló sus alegaciones el Ministerio Fiscal a través de escrito registrado en este Tribunal el día 4 de abril de 2011. En el tema sustantivo señala que si se examinan los distintos apartados del acuerdo sobre política de personal 2003-2005 se advierten propuestas y compromisos por parte del Servicio Andaluz de Salud que deberían ser sometidos a negociación en la mesa sectorial. Las denominadas “mesas de seguimiento” de ese acuerdo de 21 de noviembre de 2002, así, vienen a desplazar a la mesa sectorial en las competencias de negociación que le corresponden (arts. 30 y siguientes de la Ley 9/1987, de 12 de junio), ya que, aunque sus acuerdos se sometan más tarde y formalmente a la negociación en la mesa sectorial en la que está presente CEMSATSE, este proceso viene ya condicionado por los pactos previos alcanzados.</w:t>
      </w:r>
    </w:p>
    <w:p w:rsidR="00D06117" w:rsidRDefault="00D06117" w:rsidP="00D06117">
      <w:pPr>
        <w:pStyle w:val="TextoNormal"/>
      </w:pPr>
    </w:p>
    <w:p w:rsidR="00D06117" w:rsidRDefault="00D06117" w:rsidP="00D06117">
      <w:pPr>
        <w:pStyle w:val="TextoNormal"/>
      </w:pPr>
      <w:r>
        <w:lastRenderedPageBreak/>
        <w:t>Aprecia también la vulneración del art. 28.1 CE en lo relativo al acuerdo adoptado en la reunión de 5 de junio de 2003 de la mesa sectorial de sanidad de Andalucía entre el Servicio Andaluz de Salud y las organizaciones sindicales CC OO, FSP-UGT y CSI-CSIF, en cuanto a la distribución de los ciento noventa y ocho liberados institucionales del pacto de 12 de septiembre de 2002. A tenor de la naturaleza de las “mesas de seguimiento” del acuerdo sobre política de personal de noviembre de 2002, no podía excluirse de las mismas a CEMSATSE, ni de forma derivada, por el hecho de no intervenir en ellas, privarle de sus derechos respecto del 75 por 100 del total de los liberados institucionales pactados, pues ese reparto resulta discriminatorio y contrario al derecho de libertad sindical.</w:t>
      </w:r>
    </w:p>
    <w:p w:rsidR="00D06117" w:rsidRDefault="00D06117" w:rsidP="00D06117">
      <w:pPr>
        <w:pStyle w:val="TextoNormal"/>
      </w:pPr>
    </w:p>
    <w:p w:rsidR="00D06117" w:rsidRDefault="00D06117" w:rsidP="00D06117">
      <w:pPr>
        <w:pStyle w:val="TextoNormal"/>
      </w:pPr>
      <w:r>
        <w:t>En cambio, el Ministerio Fiscal rechaza la existencia de las lesiones denunciadas al amparo del art. 44 LOTC.</w:t>
      </w:r>
    </w:p>
    <w:p w:rsidR="00D06117" w:rsidRDefault="00D06117" w:rsidP="00D06117">
      <w:pPr>
        <w:pStyle w:val="TextoNormal"/>
      </w:pPr>
    </w:p>
    <w:p w:rsidR="00D06117" w:rsidRDefault="00D06117" w:rsidP="00D06117">
      <w:pPr>
        <w:pStyle w:val="TextoNormal"/>
      </w:pPr>
      <w:r w:rsidRPr="00D06117">
        <w:rPr>
          <w:rStyle w:val="NumeroAFNegritaCaracter"/>
        </w:rPr>
        <w:t>10</w:t>
      </w:r>
      <w:r>
        <w:t>. En diligencia de 20 de mayo de 2011 se hizo constar que no presentó escrito de alegaciones el Procurador don Pablo José Trujillo Castellano.</w:t>
      </w:r>
    </w:p>
    <w:p w:rsidR="00D06117" w:rsidRDefault="00D06117" w:rsidP="00D06117">
      <w:pPr>
        <w:pStyle w:val="TextoNormal"/>
      </w:pPr>
    </w:p>
    <w:p w:rsidR="00D06117" w:rsidRDefault="00D06117" w:rsidP="00D06117">
      <w:pPr>
        <w:pStyle w:val="TextoNormal"/>
      </w:pPr>
      <w:r w:rsidRPr="00D06117">
        <w:rPr>
          <w:rStyle w:val="NumeroAFNegritaCaracter"/>
        </w:rPr>
        <w:t>11</w:t>
      </w:r>
      <w:r>
        <w:t>. Por providencia de 30 de mayo de 2012 se señaló para deliberación y votación de la presente Sentencia el día 4 de junio del mismo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recurso de amparo formalizado por la convergencia estatal de médicos y ayudantes técnicos sanitarios (CEMSATSE) se dirige contra las resoluciones administrativas y judiciales citadas en el encabezamiento de esta Sentencia. En la demanda de amparo se denuncia la vulneración de los derechos fundamentales a la tutela judicial efectiva (art. 24.1 CE), a la igualdad (art. 14) y de libertad sindical (art. 28.1 CE), con la argumentación que queda ampliamente expuesta en los antecedentes de esta resolución. El Ministerio Fiscal ha interesado la estimación del recurso, por vulneración del derecho fundamental consagrado en el art. 28.1 CE. La confederación sindical de Comisiones Obreras de Andalucía y el Servicio Andaluz de la Salud, por el contrario, además de oponer objeciones a la legitimación activa y personalidad jurídica de la convergencia sindical recurrente, descartan las lesiones aducidas.</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Antes de entrar en el examen del fondo del asunto, resulta preciso despejar la duda que suscitan la representación de Comisiones Obreras de Andalucía y el Servicio Andaluz de Salud sobre si el cese en la actividad sindical de CEMSATSE arroja alguna consecuencia en orden a la procedencia de continuar la tramitación y resolución del presente recurso. Se señala que CEMSATSE es una organización sindical integrada por la Confederación Estatal de Sindicatos Médicos y el Sindicato de Ayudantes Técnicos Sanitarios de España que concurrió sucesivamente a las elecciones sindicales celebradas en el Servicio Andaluz de Salud en los años 1987, 1991, 1994, 1998 y 2002, sin que sin embargo, como reconoce la propia demanda de amparo, volviera a hacerlo en las últimas elecciones sindicales, celebradas en diciembre de 2006, en las que las dos formaciones que la integraban se presentaron por separado. De ello deducen ambas representaciones que CEMSATSE se ha disuelto y no sigue existiendo como organización sindical. El Servicio Andaluz de Salud añade que no se ha acreditado tampoco ningún tipo de sucesión procesal y que, si bien CEMSATSE fue </w:t>
      </w:r>
      <w:r>
        <w:lastRenderedPageBreak/>
        <w:t>parte en las actuaciones referenciadas, no consta que dicha organización haya acordado la interposición del presente recurso de amparo, por lo que faltaría la necesaria voluntad del órgano competente de la recurrente al objeto de interponer el presente recurso.</w:t>
      </w:r>
    </w:p>
    <w:p w:rsidR="00D06117" w:rsidRDefault="00D06117" w:rsidP="00D06117">
      <w:pPr>
        <w:pStyle w:val="TextoNormal"/>
      </w:pPr>
    </w:p>
    <w:p w:rsidR="00D06117" w:rsidRDefault="00D06117" w:rsidP="00D06117">
      <w:pPr>
        <w:pStyle w:val="TextoNormal"/>
      </w:pPr>
      <w:r>
        <w:t>La resolución de este extremo pasa por determinar si la única circunstancia acreditada —la no continuidad de la actividad electoral de la organización sindical recurrente en el Servicio Andaluz de Salud, en concreto en la convocatoria electoral de 2006— posee efectos tan radicales como los alegados, que llegan a calificar de inexistente a dicha entidad y, de forma derivada, como carente de personalidad y de legitimación para emprender cualesquiera acciones.</w:t>
      </w:r>
    </w:p>
    <w:p w:rsidR="00D06117" w:rsidRDefault="00D06117" w:rsidP="00D06117">
      <w:pPr>
        <w:pStyle w:val="TextoNormal"/>
      </w:pPr>
    </w:p>
    <w:p w:rsidR="00D06117" w:rsidRDefault="00D06117" w:rsidP="00D06117">
      <w:pPr>
        <w:pStyle w:val="TextoNormal"/>
      </w:pPr>
      <w:r>
        <w:t>Respecto a la hipotética disolución de la personalidad jurídica que excluiría la posibilidad de denunciar la lesión de derechos fundamentales potencialmente padecida en un caso como el ahora enjuiciado, debe destacarse, a fin de despejar la duda de procedibilidad planteada, que únicamente se ha verificado la no participación de CEMSATSE en el proceso electoral de 2006 desarrollado en el Servicio Andaluz de Salud, pero no así, en cambio, la disolución de pleno derecho de la personalidad jurídica de dicha organización. Por tanto, a falta de certificación o prueba de otro tipo que acredite lo contrario, concluimos que no cabe tener por probada una disolución que haya privado a tal organización de su personalidad, y con ella de la capacidad para ser parte en cualquier tipo de procesos, incluido, eventualmente, el constitucional de amparo. Al margen del dato anterior, nadie manifiesta dudas sobre la personalidad y continuidad de las organizaciones integrantes de CEMSATSE, ni se discute que la recurrente fuera portadora, y lo sea en este proceso, de los derechos de aquéllas respecto del momento temporal y el conflicto al que se refiere el presente recurso de amparo, como tampoco se cuestionan sus propios intereses jurídicos, pues una convergencia sindical como la que formula la demanda de amparo no actúa en defensa de un mero interés legítimo por sustitución, sino como titular de un derecho propio, en tanto que es el resultado del ejercicio de la libertad federativa de los distintos entes de base que la componen (art. 28.1 CE), que a través de esa estructura sindical compleja se coordinan y aúnan para conseguir la tutela y satisfacción de los intereses profesionales que resultan comunes a todo el colectivo agrupado (STC 96/2009, de 20 de abril, FJ 3).</w:t>
      </w:r>
    </w:p>
    <w:p w:rsidR="00D06117" w:rsidRDefault="00D06117" w:rsidP="00D06117">
      <w:pPr>
        <w:pStyle w:val="TextoNormal"/>
      </w:pPr>
    </w:p>
    <w:p w:rsidR="00D06117" w:rsidRDefault="00D06117" w:rsidP="00D06117">
      <w:pPr>
        <w:pStyle w:val="TextoNormal"/>
      </w:pPr>
      <w:r>
        <w:t>La legitimación de CEMSATSE para accionar en vía de amparo nace, por tanto, de un interés legítimo en el restablecimiento del derecho subjetivo supuestamente vulnerado, requisito insoslayable y fuente de la legitimación al que se refiere el art. 162.1 b) CE (por todas, STC 191/2011, de 12 de diciembre, FJ 4). Será procedente entonces examinar las denuncias formuladas, sin que sea óbice para ello, al haberse acreditado la representación de la solicitante de amparo en los términos prescritos en el art. 49.2 a) de nuestra Ley Orgánica, que la recurrente haya comparecido ante este Tribunal sin aportar un acuerdo expreso de sus órganos, en el que se declare la voluntad de formalizar este concreto recurso de amparo, pues, como es sabido, tal condición no se contempla en la Ley Orgánica del Tribunal Constitucional (LOTC).</w:t>
      </w:r>
    </w:p>
    <w:p w:rsidR="00D06117" w:rsidRDefault="00D06117" w:rsidP="00D06117">
      <w:pPr>
        <w:pStyle w:val="TextoNormal"/>
      </w:pPr>
    </w:p>
    <w:p w:rsidR="00D06117" w:rsidRDefault="00D06117" w:rsidP="00D06117">
      <w:pPr>
        <w:pStyle w:val="TextoNormal"/>
      </w:pPr>
      <w:r w:rsidRPr="00D06117">
        <w:rPr>
          <w:rStyle w:val="NumeroAFNegritaCaracter"/>
        </w:rPr>
        <w:t>3</w:t>
      </w:r>
      <w:r>
        <w:t>. Es claro que el recurso interpuesto es de naturaleza mixta (arts. 43 y 44 LOTC) al impugnarse expresamente tanto resoluciones administrativas como resoluciones judiciales, a las que se atribuyen vulneraciones autónomas de derechos fundamentales.</w:t>
      </w:r>
    </w:p>
    <w:p w:rsidR="00D06117" w:rsidRDefault="00D06117" w:rsidP="00D06117">
      <w:pPr>
        <w:pStyle w:val="TextoNormal"/>
      </w:pPr>
    </w:p>
    <w:p w:rsidR="00D06117" w:rsidRDefault="00D06117" w:rsidP="00D06117">
      <w:pPr>
        <w:pStyle w:val="TextoNormal"/>
      </w:pPr>
      <w:r>
        <w:lastRenderedPageBreak/>
        <w:t>Debemos comenzar nuestro enjuiciamiento con el examen de las quejas referidas a la actuación administrativa, dado que, como hemos declarado reiteradamente, en los recursos de amparo mixtos la comisión de una lesión constitucional en el transcurso del proceso a quo no impide que el acto administrativo siga siendo el verdadero objeto del recurso de amparo, teniendo un carácter autónomo y preferente la pretensión deducida por el cauce del art. 43 LOTC (por todas, SSTC 5/2008, de 21 de enero, FJ 3; y 44/2011, de 11 de abril, FJ 3). En esta ocasión, además, es la propia parte recurrente la que formula con carácter subsidiario las denuncias procesales contra las resoluciones judiciales impugnadas, articuladas al amparo del art. 24.1 CE. Y podría añadirse, en fin, como dijéramos en la STC 143/2003, de 14 de julio, FJ 2, que según doctrina de este Tribunal construida en torno a procedimientos de tutela de derechos fundamentales como el instado por la parte recurrente en la vía judicial, cuando junto a la pretensión relativa al derecho fundamental sustantivo se invoca el art. 24 CE y se solicita la nulidad de la resolución judicial de inadmisión del recurso interpuesto, pierde sentido la invocación del art. 24.1 CE y se abre el camino para considerar la pretensión de fondo, más si, como será el caso esta vez, cuenta el Tribunal con todos los datos necesarios para resolver materialmente la cuestión sustantiva. En consecuencia, planteada la cuestión principal, puede y debe resolverse sin más dilación.</w:t>
      </w:r>
    </w:p>
    <w:p w:rsidR="00D06117" w:rsidRDefault="00D06117" w:rsidP="00D06117">
      <w:pPr>
        <w:pStyle w:val="TextoNormal"/>
      </w:pPr>
    </w:p>
    <w:p w:rsidR="00D06117" w:rsidRDefault="00D06117" w:rsidP="00D06117">
      <w:pPr>
        <w:pStyle w:val="TextoNormal"/>
      </w:pPr>
      <w:r>
        <w:t>De cualquier modo, por la singularidad de esa queja, convendrá poner de manifiesto que la lesión de la tutela judicial efectiva (art. 24.1 CE) por dilaciones indebidas, se perfila en la demanda con alegaciones retóricas y sin concreción de los perjuicios irrogados, como también ocurrió en el proceso del que este recurso trae su origen (señaladamente en el escrito que formalizaba el recurso de apelación contra el Auto de 5 de julio de 2005 del Juzgado de lo Contencioso-Administrativo núm.2 de Sevilla, en el que ni siquiera se configuró como una pretensión autónoma). Más allá del resultado dilatorio que se aduce, no se han especificado las irregularidades procesales que lo habrían ocasionado, de modo que la queja no podría prosperar pues no nos corresponde reconstruir de oficio las demandas, ni suplir las razones de las partes, ni suscitar la eventual existencia de motivos relevantes fuera de los supuestos contemplados por el art. 84 LOTC (por todas, SSTC 32/1999, de 8 de marzo, FJ 5; y 80/2011, de 6 de junio, FJ 3).</w:t>
      </w:r>
    </w:p>
    <w:p w:rsidR="00D06117" w:rsidRDefault="00D06117" w:rsidP="00D06117">
      <w:pPr>
        <w:pStyle w:val="TextoNormal"/>
      </w:pPr>
    </w:p>
    <w:p w:rsidR="00D06117" w:rsidRDefault="00D06117" w:rsidP="00D06117">
      <w:pPr>
        <w:pStyle w:val="TextoNormal"/>
      </w:pPr>
      <w:r w:rsidRPr="00D06117">
        <w:rPr>
          <w:rStyle w:val="NumeroAFNegritaCaracter"/>
        </w:rPr>
        <w:t>4</w:t>
      </w:r>
      <w:r>
        <w:t>. Centrados en el debate sustantivo resulta necesario sentar algunas premisas doctrinales. La primera hace referencia a la íntima vinculación entre la negociación colectiva y la libertad sindical (arts. 28.1 y. 37.1 CE) cuando existe un elemento de sindicalidad, esto es, cuando la negociación colectiva es expresión de la acción sindical. Este Tribunal ha declarado en reiteradas ocasiones que el derecho de negociación colectiva no constituye de por sí y aisladamente considerado un derecho fundamental tutelable en amparo, dada su sede sistemática en la Constitución, al no estar incluido en la sección primera del capítulo segundo del título I (SSTC 98/1985, de 29 de julio, FJ 3; 208/1993, de 28 de junio, FJ 2, o 222/2005, de 12 de septiembre, FJ 3). Sin embargo, el derecho de negociación colectiva de los sindicatos sí se integra en el de libertad sindical, como una de sus facultades de acción sindical, y como contenido de dicha libertad, en los términos en que tal facultad de negociación les sea otorgada por la normativa vigente, pues así resulta de lo dispuesto en los arts. 7 y 28.1 CE y en los arts. 2.1 d) y 2 d) y 6.3 b) y c) de La Ley Orgánica de libertad sindical (STC 80/2000, de 27 de marzo, FJ 5, y las en ella citadas).</w:t>
      </w:r>
    </w:p>
    <w:p w:rsidR="00D06117" w:rsidRDefault="00D06117" w:rsidP="00D06117">
      <w:pPr>
        <w:pStyle w:val="TextoNormal"/>
      </w:pPr>
    </w:p>
    <w:p w:rsidR="00D06117" w:rsidRDefault="00D06117" w:rsidP="00D06117">
      <w:pPr>
        <w:pStyle w:val="TextoNormal"/>
      </w:pPr>
      <w:r>
        <w:t xml:space="preserve">En segundo lugar, en relación con el ámbito de ubicación del conflicto, es preciso resaltar que en esa misma STC 80/2000, de 27 de marzo, FJ 6, establecimos que “aunque en el </w:t>
      </w:r>
      <w:r>
        <w:lastRenderedPageBreak/>
        <w:t>ámbito funcionarial tengamos dicho (STC 57/1982, de 27 de julio, FJ 9) que, por las peculiaridades del derecho de sindicación de los funcionarios públicos (art. 28.1 CE), no deriva del mismo, como consecuencia necesaria, la negociación colectiva, en la medida en que una ley (en este caso de la Ley 9/1987, modificada por la Ley 7/1990) establece el derecho de los sindicatos a la negociación colectiva en ese ámbito, tal derecho se integra como contenido adicional del de libertad sindical, por el mismo mecanismo general de integración de aquel derecho en el contenido de éste, bien que con la configuración que le dé la ley reguladora del derecho de negociación colectiva [art. 6.3 b) y c) de la Ley Orgánica de libertad sindical], siendo en ese plano de la legalidad donde pueden establecerse las diferencias entre la negociación colectiva en el ámbito laboral y funcionarial y el derecho a ella de los sindicatos, no así en el de la genérica integración del referido derecho en el contenido del de libertad sindical”.</w:t>
      </w:r>
    </w:p>
    <w:p w:rsidR="00D06117" w:rsidRDefault="00D06117" w:rsidP="00D06117">
      <w:pPr>
        <w:pStyle w:val="TextoNormal"/>
      </w:pPr>
    </w:p>
    <w:p w:rsidR="00D06117" w:rsidRDefault="00D06117" w:rsidP="00D06117">
      <w:pPr>
        <w:pStyle w:val="TextoNormal"/>
      </w:pPr>
      <w:r>
        <w:t>En tercer lugar, el protagonismo del derecho fundamental invocado (art. 28.1 CE) se revela también, cuando menos en una primera aproximación, en el otro núcleo de la controversia: la distribución de los llamados “liberados institucionales” (del pacto de 12 de septiembre de 2002), dada la conexión que realiza la demandante entre esa figura y la de los liberados sindicales. En efecto, este Tribunal ha reconocido y amparado el llamado crédito de horas sindicales, esto es, el derecho de los representantes a disponer de un determinado número de horas retribuidas para el ejercicio de las funciones sindicales, así como la hipótesis de la acumulación de los créditos horarios con la posibilidad de poder dejar a alguno o algunos representantes relevados o exentos de la prestación de trabajo, sin perjuicio de su remuneración. Esos derechos, por otra parte, enlazan con la dimensión colectiva de la libertad sindical y su vulneración puede manifestarse ya se encuentren regulados legal o convencionalmente (STC 336/2005, de 20 de diciembre, FJ 4), aspecto este último que resulta aquí de relevancia, vista la fundamentación que realiza la recurrente de amparo.</w:t>
      </w:r>
    </w:p>
    <w:p w:rsidR="00D06117" w:rsidRDefault="00D06117" w:rsidP="00D06117">
      <w:pPr>
        <w:pStyle w:val="TextoNormal"/>
      </w:pPr>
    </w:p>
    <w:p w:rsidR="00D06117" w:rsidRDefault="00D06117" w:rsidP="00D06117">
      <w:pPr>
        <w:pStyle w:val="TextoNormal"/>
      </w:pPr>
      <w:r>
        <w:t>La última precisión atañe a la relación entre los arts. 14 y 28.1 CE, ambos alegados por CEMSATSE. La Constitución reconoce la libertad de creación de sindicatos y la libertad de éstos en el ejercicio de su actividad, sin que las Administraciones públicas puedan interferir en la actividad de las organizaciones sindicales, alterar con su intervención la libertad e igualdad en el ejercicio de la actividad sindical o discriminar a algún sindicato de modo arbitrario o irrazonable. La discriminación proscrita se da cuando “la desigualdad está desprovista de una justificación objetiva y razonable, que debe apreciarse en relación a la finalidad y efectos de la medida considerada, debiendo darse una relación razonable de proporcionalidad entre los medios empleados y la finalidad perseguida” (STC 20/1985, de 14 de febrero, FJ 2). Este principio de igualdad entre organizaciones sindicales, que se acoge en la Constitución Española, ha llevado a este Tribunal, desde la STC 53/1982, de 22 de julio, a considerar aconsejable la interpretación conjunta de los arts. 14 y 28.1 CE cuando la desigualdad de trato incide sobre el ejercicio del derecho fundamental de libertad sindical.</w:t>
      </w:r>
    </w:p>
    <w:p w:rsidR="00D06117" w:rsidRDefault="00D06117" w:rsidP="00D06117">
      <w:pPr>
        <w:pStyle w:val="TextoNormal"/>
      </w:pPr>
    </w:p>
    <w:p w:rsidR="00D06117" w:rsidRDefault="00D06117" w:rsidP="00D06117">
      <w:pPr>
        <w:pStyle w:val="TextoNormal"/>
      </w:pPr>
      <w:r>
        <w:t>De todo lo dicho, en síntesis, se desprende que no cabe excluir la vulneración del art. 28.1 CE por los actos recurridos, pues tanto la negociación colectiva como los derechos de crédito horario concernidos, también en el ámbito aquí enjuiciado, son expresión de tal derecho.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Llegados a este punto, es preciso situarse en los hechos y en los contenidos de los pactos y acuerdos que están en la base de la controversia. Como expusimos en los antecedentes, el día 12 de septiembre de 2002 el Servicio Andaluz de Salud y las centrales sindicales presentes en la mesa sectorial de sanidad de Andalucía suscribieron un pacto sobre unidades electorales y créditos horarios para el proceso electoral 2002, que contemplaba la concesión a los sindicatos firmantes miembros de la mesa sectorial de ciento noventa y ocho liberados institucionales, cuya distribución se determinaría en la mesa sectorial de sanidad. El 21 de noviembre de 2002 se suscribió un acuerdo sobre política de personal para el período 2003 a 2005, concertado por el Director General del Servicio Andaluz de Salud y tres de las organizaciones sindicales presentes en la mesa sectorial de sanidad, no haciéndolo esta vez la organización sindical demandante de amparo.</w:t>
      </w:r>
    </w:p>
    <w:p w:rsidR="00D06117" w:rsidRDefault="00D06117" w:rsidP="00D06117">
      <w:pPr>
        <w:pStyle w:val="TextoNormal"/>
      </w:pPr>
    </w:p>
    <w:p w:rsidR="00D06117" w:rsidRDefault="00D06117" w:rsidP="00D06117">
      <w:pPr>
        <w:pStyle w:val="TextoNormal"/>
      </w:pPr>
      <w:r>
        <w:t>CEMSATSE estima que las “mesas de seguimiento” del punto undécimo de este último acuerdo de noviembre de 2002 asumen funciones que suponen una invasión de las competencias negociadoras que corresponden a la mesa sectorial de sanidad y, en segundo lugar, que también es lesivo el acuerdo adoptado en la reunión de la mesa citada, el 5 de junio de 2003, en relación con la distribución de liberados institucionales, y que atribuye a las organizaciones sindicales firmantes del acuerdo de 21 de noviembre de 2002, a fin de atender los trabajos de las comisiones de seguimiento necesarias para el impulso y desarrollo del mismo, el 75 por 100 de los liberados previstos en el pacto de 12 de septiembre de 2002.</w:t>
      </w:r>
    </w:p>
    <w:p w:rsidR="00D06117" w:rsidRDefault="00D06117" w:rsidP="00D06117">
      <w:pPr>
        <w:pStyle w:val="TextoNormal"/>
      </w:pPr>
    </w:p>
    <w:p w:rsidR="00D06117" w:rsidRDefault="00D06117" w:rsidP="00D06117">
      <w:pPr>
        <w:pStyle w:val="TextoNormal"/>
      </w:pPr>
      <w:r>
        <w:t xml:space="preserve">Pues bien, la lectura del acuerdo de 21 de noviembre de 2002 revela abiertamente su carácter programático, esto es, su vocación de fijar compromisos de negociación futura. En ningún momento pone en cuestión, sino que por el contrario proclama, la intervención y competencia de la mesa sectorial de sanidad en la toma de las decisiones que ex lege le corresponden. Así queda patente en los siguientes puntos: el compromiso de “negociación en mesa sectorial de los programas y pruebas de cada categoría”, con vistas a la convocatoria de procesos de selección ordinarios por el Servicio Andaluz de Salud (apartado segundo, A); el compromiso de “negociación en el seno de la mesa sectorial” del proyecto de decreto de selección de cargos de personal sanitario no facultativo y personal no sanitario (apartado segundo, B); el compromiso del Servicio Andaluz de Salud de negociar “en mesa sectorial la propuesta de regulación homogénea y de procedimiento único en la selección de personal temporal en el SAS” (apartado segundo, C); el compromiso de “negociación igualmente en mesa sectorial (de) los procedimientos de movilidad interna y la promoción a puestos de trabajo o cargos” (apartado segundo ,D); el compromiso de negociación “en el seno de la mesa sectorial” de diversos aspectos relativos al tiempo y jornada de trabajo (apartado tercero, A); el compromiso de “negociación en el seno de la mesa sectorial” de un nuevo modelo retributivo (apartado cuarto); el compromiso de “negociación en mesa sectorial (de) la propuesta de incremento de plantilla y el horizonte temporal para su concreción” (apartado quinto, A); el compromiso del Servicio Andaluz de Salud “previa negociación en mesa sectorial” de posibilitar la integración de todos los colectivos de funcionarios y laborales en el régimen estatutario (apartado quinto ,C); la propuesta “para negociación en mesa sectorial” de la nueva regulación del régimen funcional de plantillas, de la ordenación de la asistencia sanitaria especializada y órganos de dirección de los hospitales y normas de desarrollo sobre puestos de dirección; el compromiso de “negociación en mesa sectorial” de diversas propuestas en materia de reorganización de servicios (apartado sexto); el compromiso de negociación en “mesa sectorial” de un modelo de desarrollo profesional (apartado séptimo); o el </w:t>
      </w:r>
      <w:r>
        <w:lastRenderedPageBreak/>
        <w:t>compromiso de “presentar en mesa sectorial una propuesta de sistema de prevención” de riesgos laborales, para su negociación (apartado octavo).</w:t>
      </w:r>
    </w:p>
    <w:p w:rsidR="00D06117" w:rsidRDefault="00D06117" w:rsidP="00D06117">
      <w:pPr>
        <w:pStyle w:val="TextoNormal"/>
      </w:pPr>
    </w:p>
    <w:p w:rsidR="00D06117" w:rsidRDefault="00D06117" w:rsidP="00D06117">
      <w:pPr>
        <w:pStyle w:val="TextoNormal"/>
      </w:pPr>
      <w:r>
        <w:t>Es cierto que el punto undécimo del acuerdo contempla la constitución, exclusivamente con los sindicatos firmantes, de una “comisión de seguimiento”, cuya naturaleza y funciones no se regulan, pero se dispone, y es decisivo, que su actuación habrá de realizarse “con independencia de la negociación que corresponda en el foro de la mesa sectorial de sanidad”, como por lo demás se infiere ya de los compromisos antes reseñados. En definitiva, la citada comisión de seguimiento reconoce la reserva a efectos del respeto estricto de la competencia de negociación colectiva y de adopción de acuerdos a quien la posee ex lege.</w:t>
      </w:r>
    </w:p>
    <w:p w:rsidR="00D06117" w:rsidRDefault="00D06117" w:rsidP="00D06117">
      <w:pPr>
        <w:pStyle w:val="TextoNormal"/>
      </w:pPr>
    </w:p>
    <w:p w:rsidR="00D06117" w:rsidRDefault="00D06117" w:rsidP="00D06117">
      <w:pPr>
        <w:pStyle w:val="TextoNormal"/>
      </w:pPr>
      <w:r w:rsidRPr="00D06117">
        <w:rPr>
          <w:rStyle w:val="NumeroAFNegritaCaracter"/>
        </w:rPr>
        <w:t>6</w:t>
      </w:r>
      <w:r>
        <w:t>. En efecto, la Ley 9/1987, de 12 de junio, de órganos de representación, determinación de las condiciones de trabajo y participación del personal al servicio de las Administraciones públicas, modificada por la Ley 7/1990, de 19 de julio, sobre negociación colectiva y participación en la determinación de las condiciones de trabajo de los empleados públicos, en vigor cuando se producen las decisiones impugnadas, regulaba la negociación colectiva en ese ámbito (artículos 30 y siguientes). La doctrina de este Tribunal en supuestos de exclusión de las organizaciones sindicales integrantes de la mesa de las comisiones de desarrollo o seguimiento de los acuerdos alcanzados en su seno, por no haber sido parte signataria de los mismos al disentir de sus contenidos, ha atendido al carácter de la propia comisión creada, esto es, a su naturaleza negocial o de mera administración y seguimiento del acuerdo, de lo que depende la vulneración o no del derecho de libertad sindical. Como recogimos en la STC 222/2005, de 12 de septiembre, FJ 8, los firmantes no pueden establecer comisiones con funciones de modificación o regulación de condiciones de trabajo no abiertas al sindicato disidente. Más allá de este límite, las partes sí pueden crear, en uso de la autonomía colectiva, una organización común de encuentros, o la previsión de comisiones ad hoc, en tanto que no tengan funciones reguladoras en sentido propio.</w:t>
      </w:r>
    </w:p>
    <w:p w:rsidR="00D06117" w:rsidRDefault="00D06117" w:rsidP="00D06117">
      <w:pPr>
        <w:pStyle w:val="TextoNormal"/>
      </w:pPr>
    </w:p>
    <w:p w:rsidR="00D06117" w:rsidRDefault="00D06117" w:rsidP="00D06117">
      <w:pPr>
        <w:pStyle w:val="TextoNormal"/>
      </w:pPr>
      <w:r>
        <w:t>Y en este caso, como se apuntaba, nos encontramos ante un acuerdo programático, dirigido a comprometer la negociación futura, asegurando el tratamiento de diversas materias; un pacto que no altera, sin embargo, la competencia en la toma de decisiones ni atribuye funciones negociadoras a la “comisión de seguimiento” del punto undécimo. Según expusimos, tanto las materias comprometidas a la actividad negocial, como la propia definición de ese órgano, no ponen en duda, sino que afirman por el contrario, “la negociación que corresponda en el foro de la mesa sectorial de sanidad”.</w:t>
      </w:r>
    </w:p>
    <w:p w:rsidR="00D06117" w:rsidRDefault="00D06117" w:rsidP="00D06117">
      <w:pPr>
        <w:pStyle w:val="TextoNormal"/>
      </w:pPr>
    </w:p>
    <w:p w:rsidR="00D06117" w:rsidRDefault="00D06117" w:rsidP="00D06117">
      <w:pPr>
        <w:pStyle w:val="TextoNormal"/>
      </w:pPr>
      <w:r>
        <w:t xml:space="preserve">En un sistema de relaciones laborales como el nuestro ese tipo de prácticas es algo extendido y admitido comúnmente como mecanismo que puede favorecer el logro de los resultados perseguidos (la consecución de pactos). Lo trascendente en términos de libertad sindical no es que existan o no estadios previos, incluso paralelos, formales o informales, o dinámicas de pre-negociación o acercamiento de posturas, consustanciales a toda dinámica de concierto y búsqueda de compromisos de naturaleza normativa como los que se derivan de la negociación colectiva. Lo relevante, antes bien, es que sean los legitimados en el órgano competente y en su seno (aquí la mesa sectorial afectada) los que lleven a efecto la negociación y la adopción de acuerdos. Y, desde ese punto de vista, al margen de la intrahistoria de los acuerdos finalmente alcanzados en el seno de la mesa sectorial de sanidad de Andalucía sobre las materias citadas en el acuerdo sobre política de personal para el período 2003-2005, no hay dato alguno que pueda poner en duda el pleno y pacífico desarrollo de </w:t>
      </w:r>
      <w:r>
        <w:lastRenderedPageBreak/>
        <w:t>su derecho a la negociación colectiva por parte de la recurrente de amparo, pues ningún indicio de ello se infiere del contenido del acuerdo controvertido, de noviembre de 2002, de la intervención de la comisión en él creada, ni tampoco de los hechos sucesivos a la negociación que se haya podido desplegar en la mesa sectorial, al punto que no consta actuación impugnatoria de la ahora recurrente en amparo frente a los acuerdos concretos adoptados. El acuerdo de 21 de noviembre de 2002, en definitiva, observa estrictamente la competencia negociadora de todos los legitimados y el ámbito o unidad en el que deben adoptarse los acuerdos sobre las distintas materias. No ha habido, en consecuencia, lesión del art. 28.1 CE, en relación con el art. 37.1 CE, desde esa perspectiva.</w:t>
      </w:r>
    </w:p>
    <w:p w:rsidR="00D06117" w:rsidRDefault="00D06117" w:rsidP="00D06117">
      <w:pPr>
        <w:pStyle w:val="TextoNormal"/>
      </w:pPr>
    </w:p>
    <w:p w:rsidR="00D06117" w:rsidRDefault="00D06117" w:rsidP="00D06117">
      <w:pPr>
        <w:pStyle w:val="TextoNormal"/>
      </w:pPr>
      <w:r w:rsidRPr="00D06117">
        <w:rPr>
          <w:rStyle w:val="NumeroAFNegritaCaracter"/>
        </w:rPr>
        <w:t>7</w:t>
      </w:r>
      <w:r>
        <w:t>. La misma suerte desestimatoria debe seguir la queja plasmada en el restante motivo, formulada desde la otra vertiente del derecho a la libertad sindical que se aduce en el recurso (distribución de los denominados liberados institucionales del pacto de 12 de septiembre de 2002 en la reunión de la mesa sectorial de sanidad de Andalucía de 5 de junio de 2003).</w:t>
      </w:r>
    </w:p>
    <w:p w:rsidR="00D06117" w:rsidRDefault="00D06117" w:rsidP="00D06117">
      <w:pPr>
        <w:pStyle w:val="TextoNormal"/>
      </w:pPr>
    </w:p>
    <w:p w:rsidR="00D06117" w:rsidRDefault="00D06117" w:rsidP="00D06117">
      <w:pPr>
        <w:pStyle w:val="TextoNormal"/>
      </w:pPr>
      <w:r>
        <w:t>Lo primero que deberá destacarse es el planteamiento accesorio o subordinado de esta queja respecto de la que acabamos de resolver. En efecto, la demanda conecta su oposición a los criterios de distribución de los liberados sindicales a la atribución de un papel (pretendidamente) negociador a la comisión de seguimiento del punto undécimo del acuerdo de noviembre de 2002, cosa que ya hemos dicho que no se produce. Esa conclusión, siguiendo la lógica estricta de la demanda de amparo, sería suficiente para rechazar la pretensión tal y como está formulada.</w:t>
      </w:r>
    </w:p>
    <w:p w:rsidR="00D06117" w:rsidRDefault="00D06117" w:rsidP="00D06117">
      <w:pPr>
        <w:pStyle w:val="TextoNormal"/>
      </w:pPr>
    </w:p>
    <w:p w:rsidR="00D06117" w:rsidRDefault="00D06117" w:rsidP="00D06117">
      <w:pPr>
        <w:pStyle w:val="TextoNormal"/>
      </w:pPr>
      <w:r>
        <w:t>Hay no obstante una razón adicional que descarta asimismo la lesión. Nadie discute que los liberados institucionales controvertidos no cubren ni responden a créditos horarios derivados del régimen legal. Los liberados institucionales, como expone correctamente la representación de Comisiones Obreras, se configuran como un “plus de crédito horario” que la Administración ha pactado aun cuando, en principio, no estaba obligada a ello. Esto así, que hayan sido adjudicados atendiendo a las cargas derivadas para sus firmantes del acuerdo de 21 de noviembre de 2002, no puede calificarse como contrario a la libertad sindical, y ello por dos motivos esenciales: porque, como el pacto de 12 de septiembre de 2002 disponía, tales criterios han sido adoptados concertadamente en el seno de la mesa sectorial (reunión de 5 de junio de 2003) y, además, porque responden a la existencia de cargas adiciones de trabajo, según se infiere del acta de dicha reunión y del calendario de trabajo aprobado, lo que descarta que la decisión, objetiva o intencionalmente, revele un acto discriminatorio antisindical.</w:t>
      </w:r>
    </w:p>
    <w:p w:rsidR="00D06117" w:rsidRDefault="00D06117" w:rsidP="00D06117">
      <w:pPr>
        <w:pStyle w:val="TextoNormal"/>
      </w:pPr>
    </w:p>
    <w:p w:rsidR="00D06117" w:rsidRDefault="00D06117" w:rsidP="00D06117">
      <w:pPr>
        <w:pStyle w:val="TextoNormal"/>
      </w:pPr>
      <w:r>
        <w:t xml:space="preserve">El principio de igualdad de trato, connatural a un sistema de libertad y pluralidad sindical, no impide que, en determinadas ocasiones y para determinadas funciones, deba admitirse un trato desigual a los sindicatos. El ejemplo más destacable es la desigualdad derivada del criterio de la mayor representatividad, que este Tribunal ha acogido en otras ocasiones (en general, STC 98/1985, de 29 de julio, y un caso concreto, entre tantos otros, STC 147/2001, de 27 de junio, FJ 3). Pero también pueden operar factores de otro carácter, como el aquí tratado, vinculado esta vez a las tareas y cargas adicionales que determinados sindicatos se comprometieron a asumir, como consecuencia de un acuerdo que pretende favorecer pactos futuros de naturaleza normativa. Ese tipo de prácticas encuentran sus límites en la prohibición de la discriminación sindical, ya por la generación injustificada de ventajas sindicales, ya porque, desde cualquier otro prisma, objetiva o intencionalmente produzcan resultados </w:t>
      </w:r>
      <w:r>
        <w:lastRenderedPageBreak/>
        <w:t>antisindicales, contrarios al hecho y la acción sindical o a alguno de sus agentes. Y en esta ocasión, por lo expuesto, no merece ese reproche el acuerdo de la mesa sectorial de sanidad de Andalucía de 5 de junio de 2003.</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Denegar el amparo solicitado por la convergencia estatal de médicos y ayudantes técnicos sanitarios (CEMSATSE).</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cuatro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2" w:name="SENTENCIA_2012_119"/>
      <w:r>
        <w:lastRenderedPageBreak/>
        <w:t>SENTENCIA 119/2012, de 4 de junio de 2012</w:t>
      </w:r>
    </w:p>
    <w:bookmarkEnd w:id="122"/>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ECLI:ES:TC:2012:119</w:t>
      </w:r>
    </w:p>
    <w:p w:rsidR="00D06117" w:rsidRDefault="00D06117" w:rsidP="00D06117">
      <w:pPr>
        <w:pStyle w:val="SntesisDescriptiva"/>
      </w:pPr>
    </w:p>
    <w:p w:rsidR="00D06117" w:rsidRDefault="00D06117" w:rsidP="00D06117">
      <w:pPr>
        <w:pStyle w:val="SntesisDescriptiva"/>
      </w:pPr>
      <w:r>
        <w:t>Recurso de amparo 6215-2008. Promovido por doña Margarita Jesús Jaráiz Mero y otras dos personas más en relación con las Sentencias de la Audiencia Provincial de Madrid y de un Juzgado de Primera Instancia de Móstoles dictadas en juicio de reclamación de cantidad.</w:t>
      </w:r>
    </w:p>
    <w:p w:rsidR="00D06117" w:rsidRDefault="00D06117" w:rsidP="00D06117">
      <w:pPr>
        <w:pStyle w:val="SntesisDescriptiva"/>
      </w:pPr>
    </w:p>
    <w:p w:rsidR="00D06117" w:rsidRDefault="00D06117" w:rsidP="00D06117">
      <w:pPr>
        <w:pStyle w:val="SntesisAnaltica"/>
      </w:pPr>
      <w:r>
        <w:t>Vulneración del derecho a la tutela judicial efectiva (resolución fundada en Derecho): mantenimiento de la subrogación forzosa declarada inconstitucional por la STC 128/1994.</w:t>
      </w:r>
    </w:p>
    <w:p w:rsidR="00D06117" w:rsidRDefault="00D06117" w:rsidP="00D06117">
      <w:pPr>
        <w:pStyle w:val="SntesisAnaltica"/>
      </w:pPr>
    </w:p>
    <w:p w:rsidR="00D06117" w:rsidRDefault="00D06117" w:rsidP="00D06117">
      <w:pPr>
        <w:pStyle w:val="Extracto"/>
      </w:pPr>
      <w:r>
        <w:t>1.</w:t>
      </w:r>
      <w:r>
        <w:tab/>
        <w:t>La aplicación por los órganos jurisdiccionales de normas declaradas inconstitucionales, desconociendo la autoridad de cosa juzgada de las Sentencias del Tribunal Constitucional, ex arts. 164 CE y 40 LOTC, implica la vulneración del derecho a la tutela judicial efectiva, ex art. 24.1 CE, en su vertiente de derecho a obtener una resolución jurídicamente fundada [FJ 9].</w:t>
      </w:r>
    </w:p>
    <w:p w:rsidR="00D06117" w:rsidRDefault="00D06117" w:rsidP="00D06117">
      <w:pPr>
        <w:pStyle w:val="Extracto"/>
      </w:pPr>
    </w:p>
    <w:p w:rsidR="00D06117" w:rsidRDefault="00D06117" w:rsidP="00D06117">
      <w:pPr>
        <w:pStyle w:val="Extracto"/>
      </w:pPr>
      <w:r>
        <w:t>2.</w:t>
      </w:r>
      <w:r>
        <w:tab/>
        <w:t>Este Tribunal, en lo que respecta al art. 36 de la Ley de 2 de diciembre de 1872, que obligaba a la subrogación de los terceros adquirentes de la finca hipotecada en todas las obligaciones que por razón de ella hubiera contraído su causante con el banco, al que se remite el contrato de préstamo hipotecario, ha declarado su inconstitucionalidad, entendiendo que los privilegios que otorgaban al banco son contrarios al derecho fundamental de igualdad ante la ley, en la STC 128/1994 [FJ 6].</w:t>
      </w:r>
    </w:p>
    <w:p w:rsidR="00D06117" w:rsidRDefault="00D06117" w:rsidP="00D06117">
      <w:pPr>
        <w:pStyle w:val="Extracto"/>
      </w:pPr>
    </w:p>
    <w:p w:rsidR="00D06117" w:rsidRDefault="00D06117" w:rsidP="00D06117">
      <w:pPr>
        <w:pStyle w:val="Extracto"/>
      </w:pPr>
      <w:r>
        <w:t>3.</w:t>
      </w:r>
      <w:r>
        <w:tab/>
        <w:t>La voluntad de los contratantes, cuando un contrato contiene una referencia a una ley, es la de someterse al régimen vigente en cada momento histórico, si cambia la regulación, lo que lleva a concluir que la norma a la que se remite el contrato no puede formar parte del mismo, por ser nula al haberse declarado inconstitucional por la STC 128/1994 [FJ 8].</w:t>
      </w:r>
    </w:p>
    <w:p w:rsidR="00D06117" w:rsidRDefault="00D06117" w:rsidP="00D06117">
      <w:pPr>
        <w:pStyle w:val="Extracto"/>
      </w:pPr>
    </w:p>
    <w:p w:rsidR="00D06117" w:rsidRDefault="00D06117" w:rsidP="00D06117">
      <w:pPr>
        <w:pStyle w:val="Extracto"/>
      </w:pPr>
      <w:r>
        <w:t>4.</w:t>
      </w:r>
      <w:r>
        <w:tab/>
        <w:t>Los contratos, como el que aquí se examina, son contratos predispuestos, en los que la entidad bancaria utiliza un clausulado previa y unilateralmente redactado para sus clientes, lo que impone un mayor control respecto al mismo, de forma que se impidan las situaciones de abuso en la contratación respecto de la parte contractual económicamente más débil [FJ 8].</w:t>
      </w:r>
    </w:p>
    <w:p w:rsidR="00D06117" w:rsidRDefault="00D06117" w:rsidP="00D06117">
      <w:pPr>
        <w:pStyle w:val="Extracto"/>
      </w:pPr>
    </w:p>
    <w:p w:rsidR="00D06117" w:rsidRDefault="00D06117" w:rsidP="00D06117">
      <w:pPr>
        <w:pStyle w:val="Extracto"/>
      </w:pPr>
      <w:r>
        <w:t>5.</w:t>
      </w:r>
      <w:r>
        <w:tab/>
        <w:t xml:space="preserve">No es posible sostener la razonabilidad de una decisión judicial que se funde en la aplicación de un precepto que ya ha sido declarado contrario a la Constitución, toda vez que a partir de ese instante la norma en cuestión queda despojada de validez y sin posibilidad de ser revivida, debiendo estarse a la autoridad de cosa juzgada </w:t>
      </w:r>
      <w:r w:rsidRPr="00D06117">
        <w:rPr>
          <w:i/>
        </w:rPr>
        <w:t>erga omnes</w:t>
      </w:r>
      <w:r>
        <w:t xml:space="preserve"> que tales Sentencias recaídas en procesos de constitucionalidad tienen atribuida por el art. 164.1 CE, en relación con el art. 40.2 LOTC [FJ 5].</w:t>
      </w:r>
    </w:p>
    <w:p w:rsidR="00D06117" w:rsidRDefault="00D06117" w:rsidP="00D06117">
      <w:pPr>
        <w:pStyle w:val="Extracto"/>
      </w:pPr>
    </w:p>
    <w:p w:rsidR="00D06117" w:rsidRDefault="00D06117" w:rsidP="00D06117">
      <w:pPr>
        <w:pStyle w:val="Extracto"/>
      </w:pPr>
      <w:r>
        <w:lastRenderedPageBreak/>
        <w:t>6.</w:t>
      </w:r>
      <w:r>
        <w:tab/>
        <w:t>Procede acordar la nulidad de las Sentencias recurridas, con retroacción de actuaciones al momento inmediatamente anterior al de dictarse la Sentencia del Juzgado de Primera Instancia, a fin de que éste dicte una decisión que resulte respetuosa con el derecho fundamental lesionado, lo que supone la resolución del objeto controvertido en el pleito sin hacer aplicación alguna de los preceptos de la Ley de 2 de diciembre de 1872 y concordante Real Decreto-ley 1404/1928, de 4 de agosto, declarados inconstitucionales por la STC 128/1994 [FJ 9].</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6215-2008 promovido por doña Margarita Jesús Jaráiz Mero, don Eduardo Gómez Gamero y doña Concepción Jaráiz Mero, representados por el Procurador de los Tribunales don Roberto de Hoyos Mencía y asistidos por el Abogado don Mariano Avilés Muñoz, contra las Sentencias del Juzgado de Primera Instancia núm. 4 de Móstoles de 30 de noviembre de 2007, y de la Audiencia Provincial de Madrid, Sección 18, de fecha 9 de junio de 2008, que resolvió el recurso de apelación interpuesto contra la anterior. Ha intervenido el Ministerio Fiscal. Se ha personado en las actuaciones la entidad Banco Bilbao Vizcaya Argentaria, S.A., representada por la Procuradora de los Tribunales doña María Soledad Paloma Muelas García y asistida por el Abogado don José Luis González Crespo. Ha sido Ponente el Magistrado don Javier Delgado Barrio,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el 29 de julio de 2008, el Procurador de los Tribunales don Roberto de Hoyos Mencía, en nombre y representación de doña Margarita Jesús Jaráiz Mero, don Eduardo Gómez Gamero y doña Concepción Jaráiz Mero, interpuso demanda de amparo contra las resoluciones a las que se ha hecho referencia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con relevancia para la resolución del presente recurso de amparo y a los que se refiere la demanda presentada, son los siguientes:</w:t>
      </w:r>
    </w:p>
    <w:p w:rsidR="00D06117" w:rsidRDefault="00D06117" w:rsidP="00D06117">
      <w:pPr>
        <w:pStyle w:val="TextoNormal"/>
      </w:pPr>
    </w:p>
    <w:p w:rsidR="00D06117" w:rsidRDefault="00D06117" w:rsidP="00D06117">
      <w:pPr>
        <w:pStyle w:val="TextoNormal"/>
      </w:pPr>
      <w:r>
        <w:t xml:space="preserve">a) Con fecha 1 de octubre de 2007, la entidad Banco Bilbao Vizcaya Argentaria, S.A., dedujo demanda de juicio ordinario en reclamación de cantidad contra los recurrentes en amparo, del capital e intereses de demora impagados, en la suma total de ciento cuarenta y siete mil doscientos dieciocho euros con once céntimos (147.218,11 euros). La pretensión </w:t>
      </w:r>
      <w:r>
        <w:lastRenderedPageBreak/>
        <w:t>se fundaba en el incumplimiento del contrato de préstamo hipotecario suscrito el 3 de marzo de 1989 entre la entidad Banco Hipotecario de España y la entidad mercantil Horpavisa, cuya escritura pública preveía en su cláusula decimocuarta la sumisión expresa de las partes “a las disposiciones reguladoras de las operaciones del Banco Hipotecario de España contenidas en la Ley de 2 de diciembre de 1872, Real Decreto de 3 de noviembre de 1928 y disposiciones concordantes, y conforme a lo establecido en las mismas los adquirentes de los bienes hipotecados quedarán subrogados en todas las obligaciones asumidas por la parte prestataria en los términos que aquellas prescriben, sin perjuicio de lo establecido en la estipulación anterior”.</w:t>
      </w:r>
    </w:p>
    <w:p w:rsidR="00D06117" w:rsidRDefault="00D06117" w:rsidP="00D06117">
      <w:pPr>
        <w:pStyle w:val="TextoNormal"/>
      </w:pPr>
    </w:p>
    <w:p w:rsidR="00D06117" w:rsidRDefault="00D06117" w:rsidP="00D06117">
      <w:pPr>
        <w:pStyle w:val="TextoNormal"/>
      </w:pPr>
      <w:r>
        <w:t>Las fincas con que se garantizó el préstamo suscrito fueron transmitidas por Horpavisa a la entidad Promociones Alfaro, S.A., subrogándose ésta en la posición de deudora mediante escritura de compraventa otorgada ante Notario el 25 de julio de 1989. Posteriormente, con fecha de 14 de noviembre de 1990, Promociones Alfaro, S.A., enajenó a los recurrentes en amparo una de las fincas. En la escritura pública de compraventa se hizo constar como carga la hipoteca constituida a favor del Banco Hipotecario de España en garantía del préstamo original, así como que la parte compradora retenía la cantidad de siete millones y medio de pesetas (7.500.000 de pesetas) para atender “a la solvencia y cancelación de la hipoteca que grava a la finca objeto de esta escritura en los derechos y obligaciones dimanantes de la cual queda subrogada solidariamente la parte compradora” por aquel mismo importe.</w:t>
      </w:r>
    </w:p>
    <w:p w:rsidR="00D06117" w:rsidRDefault="00D06117" w:rsidP="00D06117">
      <w:pPr>
        <w:pStyle w:val="TextoNormal"/>
      </w:pPr>
    </w:p>
    <w:p w:rsidR="00D06117" w:rsidRDefault="00D06117" w:rsidP="00D06117">
      <w:pPr>
        <w:pStyle w:val="TextoNormal"/>
      </w:pPr>
      <w:r>
        <w:t>El 17 de febrero de 1994, el Banco Hipotecario de España entabló juicio ejecutivo hipotecario contra los recurrentes, despachándose ejecución y teniendo lugar el acto de subasta del bien inmueble mencionado el 20 de noviembre de 1995, del que resultó adjudicatario el propio banco por importe de 4.690.000 pesetas, dictándose el 15 de abril de 1996 auto aprobatorio del remate por el Juzgado de Primera Instancia núm. 32 de Madrid (autos núm. 190-1994). Según BBVA, S.A., todavía quedaron pendientes de pago parte del capital (42.022 euros) e intereses de demora (105.195,73 euros), haciendo el total de la deuda exigible el de ciento cuarenta y siete mil doscientos dieciocho euros con once céntimos (147.218,11 euros). En cuanto a su legitimación activa, ésta derivaba del hecho de que el Banco Hipotecario de España resultó absorbido por la Corporación Bancaria de España mediante escritura de 30 de septiembre de 1998, cambiando después su denominación social por la de Argentaria, Caja Postal y Banco Hipotecario, S.A., entidad que a su vez resultó absorbida por la actora Banco Bilbao Vizcaya Argentaria, S.A., según escritura pública de 25 de enero de 2000, pasando a ser acreedor por subrogación del préstamo de 1989 al que se ha aludido.</w:t>
      </w:r>
    </w:p>
    <w:p w:rsidR="00D06117" w:rsidRDefault="00D06117" w:rsidP="00D06117">
      <w:pPr>
        <w:pStyle w:val="TextoNormal"/>
      </w:pPr>
    </w:p>
    <w:p w:rsidR="00D06117" w:rsidRDefault="00D06117" w:rsidP="00D06117">
      <w:pPr>
        <w:pStyle w:val="TextoNormal"/>
      </w:pPr>
      <w:r>
        <w:t>b) Admitida la demanda en reclamación de cantidad y tras la sustanciación del juicio ordinario correspondiente (autos núm. 1036-2007), el Juzgado de Primera Instancia núm. 4 de Móstoles dictó Sentencia el 30 de noviembre de 2007, estimatoria de la pretensión.</w:t>
      </w:r>
    </w:p>
    <w:p w:rsidR="00D06117" w:rsidRDefault="00D06117" w:rsidP="00D06117">
      <w:pPr>
        <w:pStyle w:val="TextoNormal"/>
      </w:pPr>
    </w:p>
    <w:p w:rsidR="00D06117" w:rsidRDefault="00D06117" w:rsidP="00D06117">
      <w:pPr>
        <w:pStyle w:val="TextoNormal"/>
      </w:pPr>
      <w:r>
        <w:t xml:space="preserve">En lo que aquí importa, parte el Juzgado en sus consideraciones del carácter vinculante de las cláusulas pactadas en la escritura de compraventa de la finca hipotecada, en cuanto los demandados se subrogaron en las obligaciones derivadas del contrato de préstamo hipotecario, siendo en este punto necesario, según señala la Sentencia en su fundamento jurídico tercero, atender a la “cláusula decimocuarta, en su apartado primero, de la escritura de préstamo con hipoteca, a cuyo tenor las partes se someten expresamente a las disposiciones reguladoras de las operaciones activas del Banco Hipotecario de España, contenidas en la Ley de 2 de diciembre de 1872, Real Decreto de 3 de noviembre de 1928 y concordantes y, </w:t>
      </w:r>
      <w:r>
        <w:lastRenderedPageBreak/>
        <w:t>conforme a lo establecido en las mismas, los adquirentes de los bienes hipotecados quedarán subrogados en todas las obligaciones que haya contraído su causante con el Banco, en los términos que ellas prescriben. En conclusión, y de conformidad con lo dispuesto en el artículo 118.2 LH se ha producido la subrogación de los demandados en la deuda personal de promociones Alfaro SA, desde que se produjo la venta del inmueble, subrogación que fue admitida por el Banco Hipotecario de España, con la consecuencia de que la sociedad transmitente quedó liberada de toda responsabilidad frente al Banco Hipotecario de España”.</w:t>
      </w:r>
    </w:p>
    <w:p w:rsidR="00D06117" w:rsidRDefault="00D06117" w:rsidP="00D06117">
      <w:pPr>
        <w:pStyle w:val="TextoNormal"/>
      </w:pPr>
    </w:p>
    <w:p w:rsidR="00D06117" w:rsidRDefault="00D06117" w:rsidP="00D06117">
      <w:pPr>
        <w:pStyle w:val="TextoNormal"/>
      </w:pPr>
      <w:r>
        <w:t>En definitiva, la Sentencia razona que los demandados —como terceros adquirentes del bien hipotecado— al prestar su consentimiento en la escritura de compraventa a las cláusulas 13 y 14 del contrato de préstamo con hipoteca no se subrogaron sólo en la posición de deudores hipotecarios (es decir hasta donde alcanza el valor de realización del inmueble), sino también en la de deudores personales y, por consiguiente de toda la parte de la deuda que la ejecución del inmueble no cubriera, en aplicación de los dispuesto en los arts. 118 de la Ley hipotecaria y 1911 del Código civil. Y, con este argumento concluye que “la acción que ha de entenderse agotada en la subasta es la real que nace de la hipoteca … pero permanece incólume —con la lógica salvedad de la reducción del importe de la deuda— la acción personal derivada del crédito” (fundamento de Derecho cuarto).</w:t>
      </w:r>
    </w:p>
    <w:p w:rsidR="00D06117" w:rsidRDefault="00D06117" w:rsidP="00D06117">
      <w:pPr>
        <w:pStyle w:val="TextoNormal"/>
      </w:pPr>
    </w:p>
    <w:p w:rsidR="00D06117" w:rsidRDefault="00D06117" w:rsidP="00D06117">
      <w:pPr>
        <w:pStyle w:val="TextoNormal"/>
      </w:pPr>
      <w:r>
        <w:t>c) Interpuesto recurso de apelación por la parte demandada, la Sección Decimoctava de la Audiencia Provincial de Madrid dictó Sentencia el 9 de junio de 2008 (rollo núm. 382-2008) estimando en parte el recurso pero sólo por lo que se refiere a la reducción de los intereses de demora (por apreciar abuso de derecho de la entidad actora al haber esperado tanto tiempo para reclamarlos), no así en lo concerniente a la sujeción de la cláusula 14 al régimen jurídico de la Ley de 2 de diciembre de 1872 y Real Decreto-ley 1404/1928. De este modo y frente al motivo de apelación que advertía que ya a la fecha del procedimiento hipotecario de 1994 había sido dictada la STC 128/1994, de 5 de mayo que declaró la inconstitucionalidad, entre otros del art. 36 de la Ley de 1872 sobre la subrogación, la Audiencia lo rechaza afirmando lo siguiente: “en modo alguno puede estimarse que la subrogación de los demandados en la hipoteca constituida sobre la finca que adquirieron lo fuera exclusivamente en la obligación real, a tenor de la prueba documental, y básicamente el testimonio del procedimiento hipotecario seguido con anterioridad. Por lo que dicho motivo de impugnación no podría prosperar. Del mismo modo, habría que decaer la alegación de haberse seguido el procedimiento hipotecario con arreglo a la ley declarada inconstitucional, dado que la Sentencia dictada a este respecto por el Tribunal Constitucional, lo fue con posterioridad al inicio de dicho procedimiento, razón por la cual no se halla afectado por la misma”.</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alega como infringidos los derechos fundamentales a la a la tutela judicial efectiva (art. 24.1 CE) y a la igualdad ante la ley (art. 14 CE). Tras hacer referencia al proceso ejecutivo hipotecario sustanciado en 1994 a instancia del Banco Hipotecario de España, donde ya se hizo aplicación indebida de la Ley de 2 de diciembre de 1872, señala que en el proceso declarativo ordinario instado en 2007 por el BBVA, S.A., la Sentencia del Juzgado a quo ha supeditado en su fundamento jurídico tercero el alcance y cuantía de la deuda reclamada a la aplicación del régimen de subrogación de la misma ley de 1872, en concreto los artículos 34 y 36, ambos declarados inconstitucionales por la STC 128/1994, de 5 de mayo, por vulnerar el art. 14 CE.</w:t>
      </w:r>
    </w:p>
    <w:p w:rsidR="00D06117" w:rsidRDefault="00D06117" w:rsidP="00D06117">
      <w:pPr>
        <w:pStyle w:val="TextoNormal"/>
      </w:pPr>
    </w:p>
    <w:p w:rsidR="00D06117" w:rsidRDefault="00D06117" w:rsidP="00D06117">
      <w:pPr>
        <w:pStyle w:val="TextoNormal"/>
      </w:pPr>
      <w:r>
        <w:lastRenderedPageBreak/>
        <w:t>En cuanto a la Sentencia de apelación, se aduce que a pesar de basarse uno de los motivos del recurso en la inaplicabilidad de tales preceptos, “no se ha recibido la tutela de la Audiencia Provincial de Madrid … porque ni tan siquiera se resuelve la cuestión antijurídica planteada por la aplicación inconstitucional”. Añaden los recurrentes que son nulos de pleno derecho los actos contrarios a normas imperativas y prohibitivas, y que “se vulnera, igualmente, el art. 39 de la LOTC relativo a los efectos de la sentencia en procedimientos de inconstitucionalidad y los arts. 238 a 243 de la LOPJ sobre nulidad de actos judiciales”. Advierten que como resultado de todo ello, además de perder el inmueble hipotecado en virtud de su adjudicación al Banco Hipotecario de España en el proceso de ejecución hipotecaria del año 1994, ahora se les condena al pago de una suma tres veces superior al importe de la deuda original. Se solicita finalmente en el suplico de la demanda de amparo, el otorgamiento del amparo y la nulidad de la Sentencia de la Audiencia Provincial.</w:t>
      </w:r>
    </w:p>
    <w:p w:rsidR="00D06117" w:rsidRDefault="00D06117" w:rsidP="00D06117">
      <w:pPr>
        <w:pStyle w:val="TextoNormal"/>
      </w:pPr>
    </w:p>
    <w:p w:rsidR="00D06117" w:rsidRDefault="00D06117" w:rsidP="00D06117">
      <w:pPr>
        <w:pStyle w:val="TextoNormal"/>
      </w:pPr>
      <w:r w:rsidRPr="00D06117">
        <w:rPr>
          <w:rStyle w:val="NumeroAFNegritaCaracter"/>
        </w:rPr>
        <w:t>4</w:t>
      </w:r>
      <w:r>
        <w:t>. La demanda de amparo alega como infringidos los derechos fundamentales a la a la tutela judicial efectiva (art. 24.1 CE) y a la igualdad ante la ley (art. 14 CE). Tras hacer referencia al proceso ejecutivo hipotecario sustanciado en 1994 a instancia del Banco Hipotecario de España, donde ya se hizo aplicación indebida de la Ley de 2 de diciembre de 1872, señala que en el proceso declarativo ordinario instado en 2007 por el BBVA, S.A., la Sentencia del Juzgado a quo ha supeditado en su fundamento jurídico tercero el alcance y cuantía de la deuda reclamada a la aplicación del régimen de subrogación de la misma ley de 1872, en concreto los artículos 34 y 36, ambos declarados inconstitucionales por la STC 128/1994, de 5 de mayo, por vulnerar el art. 14 CE.</w:t>
      </w:r>
    </w:p>
    <w:p w:rsidR="00D06117" w:rsidRDefault="00D06117" w:rsidP="00D06117">
      <w:pPr>
        <w:pStyle w:val="TextoNormal"/>
      </w:pPr>
    </w:p>
    <w:p w:rsidR="00D06117" w:rsidRDefault="00D06117" w:rsidP="00D06117">
      <w:pPr>
        <w:pStyle w:val="TextoNormal"/>
      </w:pPr>
      <w:r>
        <w:t>En cuanto a la Sentencia de apelación, se aduce que a pesar de basarse uno de los motivos del recurso en la inaplicabilidad de tales preceptos, “no se ha recibido la tutela de la Audiencia Provincial de Madrid … porque ni tan siquiera se resuelve la cuestión antijurídica planteada por la aplicación inconstitucional”. Añaden los recurrentes que son nulos de pleno derecho los actos contrarios a normas imperativas y prohibitivas, y que “se vulnera, igualmente, el art. 39 de la LOTC relativo a los efectos de la sentencia en procedimientos de inconstitucionalidad y los arts. 238 a 243 de la LOPJ sobre nulidad de actos judiciales”. Advierten que como resultado de todo ello, además de perder el inmueble hipotecado en virtud de su adjudicación al Banco Hipotecario de España en el proceso de ejecución hipotecaria del año 1994, ahora se les condena al pago de una suma tres veces superior al importe de la deuda original. Se solicita finalmente en el suplico de la demanda de amparo, el otorgamiento del amparo y la nulidad de la Sentencia de la Audiencia Provincial.</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escrito registrado el 9 de diciembre de 2009, el Banco Bilbao Vizcaya Argentaria, S.A., representado por la Procuradora doña María Soledad Paloma Muelas García y defendido por el Abogado don José Luis González Crespo, presentó escrito solicitando se le tuviera por personado “en concepto de recurrido”.</w:t>
      </w:r>
    </w:p>
    <w:p w:rsidR="00D06117" w:rsidRDefault="00D06117" w:rsidP="00D06117">
      <w:pPr>
        <w:pStyle w:val="TextoNormal"/>
      </w:pPr>
    </w:p>
    <w:p w:rsidR="00D06117" w:rsidRDefault="00D06117" w:rsidP="00D06117">
      <w:pPr>
        <w:pStyle w:val="TextoNormal"/>
      </w:pPr>
      <w:r w:rsidRPr="00D06117">
        <w:rPr>
          <w:rStyle w:val="NumeroAFNegritaCaracter"/>
        </w:rPr>
        <w:t>6</w:t>
      </w:r>
      <w:r>
        <w:t>. Recibidas todas las actuaciones, la Sección Primera de este Tribunal dictó diligencia de ordenación con fecha 18 de diciembre de 2009 teniendo por personado al BBVA, S.A., y disponiendo la apertura de un plazo común de veinte días a las partes personadas y al Ministerio Fiscal para la presentación de alegaciones.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Mediante escrito registrado el 28 de enero de 2010, la representación procesal del Banco Bilbao Vizcaya Argentaria, S.A., formuló sus alegaciones.</w:t>
      </w:r>
    </w:p>
    <w:p w:rsidR="00D06117" w:rsidRDefault="00D06117" w:rsidP="00D06117">
      <w:pPr>
        <w:pStyle w:val="TextoNormal"/>
      </w:pPr>
    </w:p>
    <w:p w:rsidR="00D06117" w:rsidRDefault="00D06117" w:rsidP="00D06117">
      <w:pPr>
        <w:pStyle w:val="TextoNormal"/>
      </w:pPr>
      <w:r>
        <w:t>Ante todo y bajo la rúbrica “Improcedencia del amparo solicitado”, interesa la inadmisión del recurso por virtud de lo dispuesto en el art. 44.1 a) LOTC, pues los recurrentes “no han intentado un recurso de nulidad de actuaciones”. Asimismo, añade, en el escrito de contestación a la demanda del juicio ordinario “no se contiene ni la más mínima cita de precepto constitucional alguno incumplido” y sólo en el escrito de recurso de apelación aparece el art. 14 CE.</w:t>
      </w:r>
    </w:p>
    <w:p w:rsidR="00D06117" w:rsidRDefault="00D06117" w:rsidP="00D06117">
      <w:pPr>
        <w:pStyle w:val="TextoNormal"/>
      </w:pPr>
    </w:p>
    <w:p w:rsidR="00D06117" w:rsidRDefault="00D06117" w:rsidP="00D06117">
      <w:pPr>
        <w:pStyle w:val="TextoNormal"/>
      </w:pPr>
      <w:r>
        <w:t>Después señala, que, a su entender, “en la tramitación del procedimiento sumario hipotecario que precedió al procedimiento ordinario” no se produjo la indefensión que es “causa fundamental” del recurso de amparo puesto que se inició conforme a las prescripciones entonces vigentes de la ley de 1872, y, una vez publicada la Sentencia del Tribunal Constitucional, aquellos actos procesales que no estaban ya iniciados fueron llevados a cabo conforme a las disposiciones del artículo 131 de la Ley hipotecaria, según es de ver por el acta de subasta de la finca.</w:t>
      </w:r>
    </w:p>
    <w:p w:rsidR="00D06117" w:rsidRDefault="00D06117" w:rsidP="00D06117">
      <w:pPr>
        <w:pStyle w:val="TextoNormal"/>
      </w:pPr>
    </w:p>
    <w:p w:rsidR="00D06117" w:rsidRDefault="00D06117" w:rsidP="00D06117">
      <w:pPr>
        <w:pStyle w:val="TextoNormal"/>
      </w:pPr>
      <w:r>
        <w:t>Y en cuanto a la inconstitucionalidad de la subrogación en la hipoteca ex lege, por prescripción de la citada Ley de 1.872, añade que, “tal pretensión se ve igualmente abocada al fracaso, ya que en la cláusula 14, 1, de la escritura de constitución de hipoteca se convino esa subrogación” y “en la escritura de compraventa (documento núm. 4 de la demanda de juicio ordinario) los compradores declaran conocer el contenido de la cláusulas del préstamo, retienen la cantidad de 7.500.000 pesetas para atender al pago de la deuda garantizada y se subrogan solidariamente en los derechos y obligaciones dimanantes de aquélla. Por tanto, si entendemos que la subrogación por ministerio de la ley especial de 1872 es inconstitucional, no es menos cierto que aquí existe pactada una subrogación convenida entre las partes, libremente asumida por los compradores al instrumentar su escritura de compraventa.”</w:t>
      </w:r>
    </w:p>
    <w:p w:rsidR="00D06117" w:rsidRDefault="00D06117" w:rsidP="00D06117">
      <w:pPr>
        <w:pStyle w:val="TextoNormal"/>
      </w:pPr>
    </w:p>
    <w:p w:rsidR="00D06117" w:rsidRDefault="00D06117" w:rsidP="00D06117">
      <w:pPr>
        <w:pStyle w:val="TextoNormal"/>
      </w:pPr>
      <w:r>
        <w:t>Por todo ello concluye solicitando la desestimación del recurso de amparo.</w:t>
      </w:r>
    </w:p>
    <w:p w:rsidR="00D06117" w:rsidRDefault="00D06117" w:rsidP="00D06117">
      <w:pPr>
        <w:pStyle w:val="TextoNormal"/>
      </w:pPr>
    </w:p>
    <w:p w:rsidR="00D06117" w:rsidRDefault="00D06117" w:rsidP="00D06117">
      <w:pPr>
        <w:pStyle w:val="TextoNormal"/>
      </w:pPr>
      <w:r w:rsidRPr="00D06117">
        <w:rPr>
          <w:rStyle w:val="NumeroAFNegritaCaracter"/>
        </w:rPr>
        <w:t>8</w:t>
      </w:r>
      <w:r>
        <w:t>. A su vez, la representación procesal de los recurrentes dedujo escrito el 29 de enero de 2010, ratificándose en la demanda de amparo presentada.</w:t>
      </w:r>
    </w:p>
    <w:p w:rsidR="00D06117" w:rsidRDefault="00D06117" w:rsidP="00D06117">
      <w:pPr>
        <w:pStyle w:val="TextoNormal"/>
      </w:pPr>
    </w:p>
    <w:p w:rsidR="00D06117" w:rsidRDefault="00D06117" w:rsidP="00D06117">
      <w:pPr>
        <w:pStyle w:val="TextoNormal"/>
      </w:pPr>
      <w:r w:rsidRPr="00D06117">
        <w:rPr>
          <w:rStyle w:val="NumeroAFNegritaCaracter"/>
        </w:rPr>
        <w:t>9</w:t>
      </w:r>
      <w:r>
        <w:t>. Por su parte, el Ministerio Fiscal presentó escrito el 2 de febrero de 2010, a los solos efectos de interesar que se acordase la aportación al presente proceso constitucional, de las actuaciones practicadas en el procedimiento 190-1994 seguido ante el Juzgado de Primera Instancia núm. 32 de Madrid. A esta petición se accedió por diligencia de ordenación de la Sección Primera, de 5 de febrero de 2010.</w:t>
      </w:r>
    </w:p>
    <w:p w:rsidR="00D06117" w:rsidRDefault="00D06117" w:rsidP="00D06117">
      <w:pPr>
        <w:pStyle w:val="TextoNormal"/>
      </w:pPr>
    </w:p>
    <w:p w:rsidR="00D06117" w:rsidRDefault="00D06117" w:rsidP="00D06117">
      <w:pPr>
        <w:pStyle w:val="TextoNormal"/>
      </w:pPr>
      <w:r w:rsidRPr="00D06117">
        <w:rPr>
          <w:rStyle w:val="NumeroAFNegritaCaracter"/>
        </w:rPr>
        <w:t>10</w:t>
      </w:r>
      <w:r>
        <w:t>. Una vez remitido el testimonio por el Juzgado de Primera Instancia núm. 32 de Madrid, se dictó diligencia de ordenación con fecha de 1 de marzo de 2010 concediendo nueva vista de todas las actuaciones por plazo común de veinte días al Ministerio Fiscal y partes personadas, al objeto de la formulación de alegaciones.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11</w:t>
      </w:r>
      <w:r>
        <w:t>. El Ministerio público evacuó el escrito correspondiente con fecha 23 de marzo de 2010, interesando la desestimación del amparo. Como primera cuestión plantea la “posible” extemporaneidad de la demanda, en cuanto entiende que ésta va dirigida a atacar la validez del proceso de ejecución hipotecaria sustanciado bajo los autos 190-1994 del Juzgado de Primera Instancia núm. 32 de Madrid donde, “a decir del recurrente, se aplicaron artículos derogados de la Ley de 2/12/1872”, en concreto los arts. 32 a 36 declarados inconstitucionales —prosigue diciendo— por la STC 128/1994. De esta manera y a juicio de la Fiscalía, “los recurrentes debieron haber venido al Tribunal Constitucional tan pronto concluyó el procedimiento hipotecario (al margen de los autos de ejecución posteriores)” y no habiéndolo hecho así, se habría superado “sobradamente el plazo, entonces de 20 días, previsto en el art. 44.2 de la LOTC”.</w:t>
      </w:r>
    </w:p>
    <w:p w:rsidR="00D06117" w:rsidRDefault="00D06117" w:rsidP="00D06117">
      <w:pPr>
        <w:pStyle w:val="TextoNormal"/>
      </w:pPr>
    </w:p>
    <w:p w:rsidR="00D06117" w:rsidRDefault="00D06117" w:rsidP="00D06117">
      <w:pPr>
        <w:pStyle w:val="TextoNormal"/>
      </w:pPr>
      <w:r>
        <w:t>En cuanto al fondo y para el caso de que la Sala no aprecie la concurrencia del óbice antes dicho, el Ministerio Fiscal estima que no ha existido lesión del derecho fundamental a la tutela judicial efectiva (art. 24.1 CE) por aplicación de normativa declarada inconstitucional, tomando en consideración las fechas de los dos actos procesales del juicio hipotecario de 1994 que, según entiende, centran la impugnación de la demanda de amparo. Así, el acto de requerimiento de pago al deudor en fecha 23 de noviembre de 1994, y el acta de subasta del bien hipotecado, fechada a su vez el 20 de noviembre de 1995, respecto de los cuales el Fiscal duda que le fueran aplicadas las normas declaradas inconstitucionales, pues estima que más bien se aplicaron las reglas contenidas en el art. 131.12 de la Ley hipotecaria. En este sentido, concluye que, de conformidad, con lo que dispuso la STC 128/1994, FJ 6, “por lo que respecta al acto de la subasta de realización necesaria tanto en el proceso derogado como en el que viene a sustituirlo, el juez no hace adaptar, como le permite el Tribunal Constitucional, el proceso a la nueva realidad legislativa, sin que se pueda pretender, por ello, la anulación total del proceso”. Y, por lo que respecta, al acto de requerimiento de pago efectuado al deudor, si bien el Ministerio Fiscal afirma que se llevó a cabo en cumplimiento del artículo 33 de la Ley de 2 diciembre 1872 que se había declarado inconstitucional, no concurre causa alguna para apreciar la indefensión denunciada, porque —a su juicio— el simple acortamiento de un plazo para requerir de pago no ha mermado en absoluto los derechos de defensa al no haberse acreditado que hubieran pagado la deuda de haberse gozado de un plazo más amplio.</w:t>
      </w:r>
    </w:p>
    <w:p w:rsidR="00D06117" w:rsidRDefault="00D06117" w:rsidP="00D06117">
      <w:pPr>
        <w:pStyle w:val="TextoNormal"/>
      </w:pPr>
    </w:p>
    <w:p w:rsidR="00D06117" w:rsidRDefault="00D06117" w:rsidP="00D06117">
      <w:pPr>
        <w:pStyle w:val="TextoNormal"/>
      </w:pPr>
      <w:r>
        <w:t>Finalmente, se añade que “por lo demás no parece que se hiciera aplicación alguna de la Ley del Banco Hipotecario de España en el proceso ulterior tendente al cobro del resto de la deuda una vez descontado el precio del inmueble”, sino que la “acción complementaria a la de hipoteca” que se ejercitó fue la prevista en el art. 1911 del Código civil de responsabilidad patrimonial universal de los deudores y no guarda relación con la inconstitucionalidad de los artículos que regulaban el procedimiento en la ley de 1872.</w:t>
      </w:r>
    </w:p>
    <w:p w:rsidR="00D06117" w:rsidRDefault="00D06117" w:rsidP="00D06117">
      <w:pPr>
        <w:pStyle w:val="TextoNormal"/>
      </w:pPr>
    </w:p>
    <w:p w:rsidR="00D06117" w:rsidRDefault="00D06117" w:rsidP="00D06117">
      <w:pPr>
        <w:pStyle w:val="TextoNormal"/>
      </w:pPr>
      <w:r w:rsidRPr="00D06117">
        <w:rPr>
          <w:rStyle w:val="NumeroAFNegritaCaracter"/>
        </w:rPr>
        <w:t>12</w:t>
      </w:r>
      <w:r>
        <w:t>. El 5 de abril de 2010, la representación del Banco Bilbao Vizcaya Argentaria, S.A., consignó nuevo escrito de alegaciones, reiterando la ya formuladas y añadiendo que “el pormenorizado examen de las actuaciones habidas en el procedimiento sumario hipotecario revele inequívocamente que éste se inició conforme a la legislación vigente en el momento de la presentación de la demanda, la Ley de 2 de diciembre de 1872, y, una vez conocida la Sentencia del Tribunal Constitucional, publicada en el ‘BOE’ del 31.05.1994, y para aquellas actuaciones que se acuerdan posteriormente, se siguen escrupulosamente los trámites del artículo 131 de la Ley Hipotecaria”.</w:t>
      </w:r>
    </w:p>
    <w:p w:rsidR="00D06117" w:rsidRDefault="00D06117" w:rsidP="00D06117">
      <w:pPr>
        <w:pStyle w:val="TextoNormal"/>
      </w:pPr>
    </w:p>
    <w:p w:rsidR="00D06117" w:rsidRDefault="00D06117" w:rsidP="00D06117">
      <w:pPr>
        <w:pStyle w:val="TextoNormal"/>
      </w:pPr>
      <w:r w:rsidRPr="00D06117">
        <w:rPr>
          <w:rStyle w:val="NumeroAFNegritaCaracter"/>
        </w:rPr>
        <w:t>13</w:t>
      </w:r>
      <w:r>
        <w:t>. Por providencia de fecha 30 de mayo de 2012, se señaló para deliberación y votación de la presente Sentencia el día 4 de junio del mismo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promueve frente a las Sentencias dictadas el 30 de noviembre de 2007 y el 9 de junio de 2008, respectivamente, por el Juzgado de Primera Instancia núm. 4 de Móstoles y la Sección Decimoctava de la Audiencia Provincial de Madrid, en juicio de reclamación de cantidad instado en el año 2007 por la entidad Banco Bilbao Vizcaya Argentaria, S.A., contra los aquí recurrentes, para el cobro del capital e intereses que todavía restaban impagados por la deudora original en virtud de un contrato de préstamo hipotecario, en cuya posición se subrogaron en 1990 aquéllos como terceros adquirentes de uno de los inmuebles.</w:t>
      </w:r>
    </w:p>
    <w:p w:rsidR="00D06117" w:rsidRDefault="00D06117" w:rsidP="00D06117">
      <w:pPr>
        <w:pStyle w:val="TextoNormal"/>
      </w:pPr>
    </w:p>
    <w:p w:rsidR="00D06117" w:rsidRDefault="00D06117" w:rsidP="00D06117">
      <w:pPr>
        <w:pStyle w:val="TextoNormal"/>
      </w:pPr>
      <w:r>
        <w:t>La demanda de amparo alega en primer término la vulneración del derecho a la tutela judicial efectiva (art. 24.1 CE), en su vertiente de derecho a obtener una resolución fundada en Derecho, pues ambas Sentencias aplican el art. 36 de la Ley de 2 de diciembre de 1872 que obligaba a la subrogación de los terceros adquirentes de la finca hipotecada en todas las obligaciones que por razón de ella hubiera contraído su causante con el banco, pese a que ese precepto, junto a los artículos 33 a 35 de la ley fueron declarados inconstitucionales por la STC 128/1994, de 5 de mayo, y por tanto devinieron desde entonces inaplicables, al igual que los concordantes artículos 10 a 13 del Real Decreto-ley 1404/1928 de 4 de agosto. Dado además que la causa de la declaración de inconstitucionalidad de esos preceptos de la ley de 1872 fue la desigualdad injustificada de trato que comportaban los privilegios concedidos por aquélla al Banco Hipotecario de España, los aquí recurrentes imputan asimismo a las Sentencias recurridas la lesión de su derecho a la igualdad ante la ley (art. 14 CE).</w:t>
      </w:r>
    </w:p>
    <w:p w:rsidR="00D06117" w:rsidRDefault="00D06117" w:rsidP="00D06117">
      <w:pPr>
        <w:pStyle w:val="TextoNormal"/>
      </w:pPr>
    </w:p>
    <w:p w:rsidR="00D06117" w:rsidRDefault="00D06117" w:rsidP="00D06117">
      <w:pPr>
        <w:pStyle w:val="TextoNormal"/>
      </w:pPr>
      <w:r>
        <w:t>Si bien el suplico de la demanda limita la solicitud de nulidad a la Sentencia de apelación, el recurso ha de entenderse dirigido también contra la Sentencia del Juzgado a quo de 30 de noviembre de 2007, tanto porque en lo sustancial esta última resultó confirmada por aquella otra de apelación, como porque no cabe duda de la voluntad de los recurrentes de cuestionar también la validez de la dictada en primera instancia, siendo que en definitiva atribuyen a ambas resoluciones judiciales el mismo defecto de juicio, como es la aplicación indebida de una norma declarada inconstitucional, habiéndolo denunciado sin éxito en el escrito de apelación, lo que permite traer a colación la consolidada doctrina de este Tribunal a cuyo tenor “cuando se impugna en el recurso de amparo una resolución judicial confirmatoria de otras que han sido lógica y cronológicamente presupuesto de aquélla, han de entenderse también recurridas esas precedentes resoluciones judiciales confirmadas” (SSTC 97/1999, de 31 de mayo, FJ 2; 178/2003, de 13 de octubre, FJ 2; 139/2007, de 4 de junio, FJ 1; 58/2008, de 28 de abril, FJ 1, y 40/2009, de 9 de febrero, FJ 2).</w:t>
      </w:r>
    </w:p>
    <w:p w:rsidR="00D06117" w:rsidRDefault="00D06117" w:rsidP="00D06117">
      <w:pPr>
        <w:pStyle w:val="TextoNormal"/>
      </w:pPr>
    </w:p>
    <w:p w:rsidR="00D06117" w:rsidRDefault="00D06117" w:rsidP="00D06117">
      <w:pPr>
        <w:pStyle w:val="TextoNormal"/>
      </w:pPr>
      <w:r>
        <w:t xml:space="preserve">El Ministerio Fiscal, que alega ante todo la extemporaneidad del recurso, insta subsidiariamente la desestimación por entender que no se ha producido la vulneración denunciada. Por su parte el banco que ha comparecido en estos autos solicita la inadmisión del amparo, alegando que los recurrentes “no han intentado un recurso de nulidad de actuaciones” y la </w:t>
      </w:r>
      <w:r>
        <w:lastRenderedPageBreak/>
        <w:t>falta de invocación en la vía judicial previa del precepto constitucional que se considera infringido, y subsidiariamente la desestimación.</w:t>
      </w:r>
    </w:p>
    <w:p w:rsidR="00D06117" w:rsidRDefault="00D06117" w:rsidP="00D06117">
      <w:pPr>
        <w:pStyle w:val="TextoNormal"/>
      </w:pPr>
    </w:p>
    <w:p w:rsidR="00D06117" w:rsidRDefault="00D06117" w:rsidP="00D06117">
      <w:pPr>
        <w:pStyle w:val="TextoNormal"/>
      </w:pPr>
      <w:r w:rsidRPr="00D06117">
        <w:rPr>
          <w:rStyle w:val="NumeroAFNegritaCaracter"/>
        </w:rPr>
        <w:t>2</w:t>
      </w:r>
      <w:r>
        <w:t>. Ante todo ha de darse respuesta a la extemporaneidad de la demanda de amparo [arts. 44.2 y 50.1 a) de la Ley Orgánica del Tribunal Constitucional: LOTC] alegada por el Ministerio Fiscal, que ha de ser desestimatoria, pues contrariamente a lo pretendido en su escrito de alegaciones no nos corresponde conocer en el marco del presente recurso de amparo, de las presuntas vulneraciones constitucionales que hubieran podido ser cometidas en el juicio de ejecución hipotecaria núm. 190-1994 del Juzgado de Primera Instancia núm. 32 de Madrid. Cierto que todas las partes en sus escritos del juicio ordinario núm. 1036-2007 y rollo de apelación núm. 382-2008 e incluso las Sentencias recaídas en ambas instancias, hacen alusión a dicho proceso pues en él los aquí recurrentes ya fueron demandados para la satisfacción del crédito que contrajeron en virtud de la subrogación operada en noviembre de 1990; mismo crédito por el que se les demanda posteriormente en 2007, viniéndose a discutir precisamente la pervivencia o no de la obligación tras la ejecución de la hipoteca en 1995 con la subasta de la finca hipotecada. Pero se trata sin embargo de procesos absolutamente independientes, dado que el declarativo núm. 1036-2007 no se interpone con la finalidad de retrotraer ni reproducir lo ya debatido en el juicio hipotecario núm. 190-1994, ni de éste tampoco los recurrentes piden en amparo la nulidad de las resoluciones firmes dictadas.</w:t>
      </w:r>
    </w:p>
    <w:p w:rsidR="00D06117" w:rsidRDefault="00D06117" w:rsidP="00D06117">
      <w:pPr>
        <w:pStyle w:val="TextoNormal"/>
      </w:pPr>
    </w:p>
    <w:p w:rsidR="00D06117" w:rsidRDefault="00D06117" w:rsidP="00D06117">
      <w:pPr>
        <w:pStyle w:val="TextoNormal"/>
      </w:pPr>
      <w:r>
        <w:t>Por ello decae la tesis de la posible extemporaneidad de la demanda presentada a este Tribunal, ya que el plazo de treinta días del art. 44.2 LOTC —que es el aplicable a este recurso, en su reforma por la Ley Orgánica 6/2007, de 24 de mayo—, contado como debe serlo desde el 26 de junio de 2008 en que se produjo la notificación a los recurrentes de la Sentencia recaída en el rollo de apelación núm. 382-2008, no se ha visto rebasado toda vez que la demanda se consignó en nuestro Registro General el 29 de julio de 2008.</w:t>
      </w:r>
    </w:p>
    <w:p w:rsidR="00D06117" w:rsidRDefault="00D06117" w:rsidP="00D06117">
      <w:pPr>
        <w:pStyle w:val="TextoNormal"/>
      </w:pPr>
    </w:p>
    <w:p w:rsidR="00D06117" w:rsidRDefault="00D06117" w:rsidP="00D06117">
      <w:pPr>
        <w:pStyle w:val="TextoNormal"/>
      </w:pPr>
      <w:r w:rsidRPr="00D06117">
        <w:rPr>
          <w:rStyle w:val="NumeroAFNegritaCaracter"/>
        </w:rPr>
        <w:t>3</w:t>
      </w:r>
      <w:r>
        <w:t>. En cuanto a las causas de inadmisibilidad alegadas por el banco que ha comparecido en estos autos, ha de señalarse:</w:t>
      </w:r>
    </w:p>
    <w:p w:rsidR="00D06117" w:rsidRDefault="00D06117" w:rsidP="00D06117">
      <w:pPr>
        <w:pStyle w:val="TextoNormal"/>
      </w:pPr>
    </w:p>
    <w:p w:rsidR="00D06117" w:rsidRDefault="00D06117" w:rsidP="00D06117">
      <w:pPr>
        <w:pStyle w:val="TextoNormal"/>
      </w:pPr>
      <w:r>
        <w:t>a) Que la vulneración del derecho ha de denunciarse en la vía judicial previa “tan pronto” como sea conocida, es decir, después de que se haya producido, no en un momento anterior, y en este caso, atribuida tal vulneración a la Sentencia de instancia, no podía alegarse en el escrito de contestación a la demanda, siendo el momento adecuado el de formular el recurso de apelación.</w:t>
      </w:r>
    </w:p>
    <w:p w:rsidR="00D06117" w:rsidRDefault="00D06117" w:rsidP="00D06117">
      <w:pPr>
        <w:pStyle w:val="TextoNormal"/>
      </w:pPr>
    </w:p>
    <w:p w:rsidR="00D06117" w:rsidRDefault="00D06117" w:rsidP="00D06117">
      <w:pPr>
        <w:pStyle w:val="TextoNormal"/>
      </w:pPr>
      <w:r>
        <w:t>Y por otra parte, es de recordar que reiteradamente hemos declarado “que no es exigible para satisfacer la condición de la invocación previa que se mencione concreta y numéricamente 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(por todas STC 133/2010, de 2 de diciembre, FJ 2)” (STC 45/2011, de 11 de abril. FJ 2).</w:t>
      </w:r>
    </w:p>
    <w:p w:rsidR="00D06117" w:rsidRDefault="00D06117" w:rsidP="00D06117">
      <w:pPr>
        <w:pStyle w:val="TextoNormal"/>
      </w:pPr>
    </w:p>
    <w:p w:rsidR="00D06117" w:rsidRDefault="00D06117" w:rsidP="00D06117">
      <w:pPr>
        <w:pStyle w:val="TextoNormal"/>
      </w:pPr>
      <w:r>
        <w:t xml:space="preserve">Y en este caso ese “hecho fundamentador de la vulneración” está incluido en el escrito de recurso de apelación, dado que se indica que ha sido la aplicación de normas declaradas </w:t>
      </w:r>
      <w:r>
        <w:lastRenderedPageBreak/>
        <w:t>inconstitucionales por la STC 128/1994, de 5 de mayo, lo que había dado lugar a la Sentencia apelada, que es precisamente lo que puede motivar la vulneración del art. 24 CE. La propia parte comparecida viene a reconocer que la demanda de amparo reproduce “en muchos casos milimétricamente lo ya argüido en el escrito de formalización del recurso de apelación”.</w:t>
      </w:r>
    </w:p>
    <w:p w:rsidR="00D06117" w:rsidRDefault="00D06117" w:rsidP="00D06117">
      <w:pPr>
        <w:pStyle w:val="TextoNormal"/>
      </w:pPr>
    </w:p>
    <w:p w:rsidR="00D06117" w:rsidRDefault="00D06117" w:rsidP="00D06117">
      <w:pPr>
        <w:pStyle w:val="TextoNormal"/>
      </w:pPr>
      <w:r>
        <w:t>b) Por lo que se refiere a la no formulación del incidente de nulidad de actuaciones, bastará indicar que la alegada vulneración del derecho fundamental se produce en la Sentencia de instancia, de suerte que en la de apelación se reitera al no corregirla, de modo que no sólo no era necesario el incidente sino que resultaba “manifiestamente improcedente” (STC 17/2012, de 13 de febrero, FJ 4).</w:t>
      </w:r>
    </w:p>
    <w:p w:rsidR="00D06117" w:rsidRDefault="00D06117" w:rsidP="00D06117">
      <w:pPr>
        <w:pStyle w:val="TextoNormal"/>
      </w:pPr>
    </w:p>
    <w:p w:rsidR="00D06117" w:rsidRDefault="00D06117" w:rsidP="00D06117">
      <w:pPr>
        <w:pStyle w:val="TextoNormal"/>
      </w:pPr>
      <w:r w:rsidRPr="00D06117">
        <w:rPr>
          <w:rStyle w:val="NumeroAFNegritaCaracter"/>
        </w:rPr>
        <w:t>4</w:t>
      </w:r>
      <w:r>
        <w:t>. Establecida por la Ley de 2 diciembre 1872, creadora del Banco Hipotecario de España, y recogida por la propia escritura de préstamo hipotecario que da origen a esta demanda de amparo la subrogación obligatoria del tercer adquirente de finca hipotecada en la totalidad de la deuda, la entidad financiera BBVA, S.A. (sucesora en la posición crediticia del Banco Hipotecario de España), que en el año 1994 procedió a la ejecución hipotecaria adjudicándose el inmueble, pretende, con posterioridad, en el año 2007 tener derecho a cobrar el remanente del capital y de los intereses no cubiertos por la realización del bien inmueble.</w:t>
      </w:r>
    </w:p>
    <w:p w:rsidR="00D06117" w:rsidRDefault="00D06117" w:rsidP="00D06117">
      <w:pPr>
        <w:pStyle w:val="TextoNormal"/>
      </w:pPr>
    </w:p>
    <w:p w:rsidR="00D06117" w:rsidRDefault="00D06117" w:rsidP="00D06117">
      <w:pPr>
        <w:pStyle w:val="TextoNormal"/>
      </w:pPr>
      <w:r>
        <w:t>En el caso ahora examinado, la base de la condena judicial de los demandantes en amparo, radica en considerar que los terceros adquirentes de bienes hipotecados en favor del Banco Hipotecario de España, son también deudores personales frente a la entidad por el capital y los intereses del préstamo. Y ello en virtud de la cláusula 14 del inicial contrato de préstamo hipotecario suscrito entre Banco Hipotecario de España, S.A., y la entidad Horpavisa en 1989 que establecía: “las partes se someten expresamente a las disposiciones reguladoras de las operaciones activas del Banco Hipotecario de España, contenidas en la Ley de 2 diciembre 1872, Real Decreto del 3 noviembre 1928 y concordantes, y conforme a lo establecido en las mismas, los adquirentes de los bienes hipotecados quedarán subrogados en todas las obligaciones que haya contraído su causante con el Banco, en los términos que ellas prescriben”. Por consiguiente, en lo que ahora importa, se remitía al art. 36 de la ley de 1872 que literalmente rezaba: “Cuando la finca hipotecada cambie de dueño, quedará de derecho subrogado el adquirente en todas las obligaciones que por razón de ella hubiera contraído su causante con el Banco. El adquirente dará conocimiento al Banco de su adquisición dentro de los quince días al en que se consume; y si no lo hiciere, le perjudicarán los procedimientos que aquél dirija contra su causante para el cobro de sus créditos.”</w:t>
      </w:r>
    </w:p>
    <w:p w:rsidR="00D06117" w:rsidRDefault="00D06117" w:rsidP="00D06117">
      <w:pPr>
        <w:pStyle w:val="TextoNormal"/>
      </w:pPr>
    </w:p>
    <w:p w:rsidR="00D06117" w:rsidRDefault="00D06117" w:rsidP="00D06117">
      <w:pPr>
        <w:pStyle w:val="TextoNormal"/>
      </w:pPr>
      <w:r>
        <w:t xml:space="preserve">En ese contrato de préstamo hipotecario, si bien modificándolo en algunos aspectos que no vienen al caso, quedó unos meses más tarde subrogada la entidad Promociones Alfaro, S.A. (12 de julio de 1990) quien por remisión al inicial contrato se sometió igualmente a lo dispuesto en el art. 36 de la Ley de 1872 (cláusula 3). Por último, los demandantes en amparo adquieren la finca litigiosa de Promociones Alfaro, S.A., en virtud de escritura de compraventa de 14 de noviembre de 1990 en la que su parte expositiva se limita a dejar constancia de las “cargas: Según afirman los vendedores representantes, la finca descrita se halla afecta únicamente por una hipoteca constituida a favor del Banco Hipotecario de España, en garantía de un préstamo, concedido por plazo de once años, por virtud del cual responde la finca descrita además de sus intereses correspondientes, ya sean ordinarios o de demora, </w:t>
      </w:r>
      <w:r>
        <w:lastRenderedPageBreak/>
        <w:t>y de las costas, gastos y perjuicios en caso de incumplimiento, así como de la indemnización correspondiente para el supuesto de rescisión, de un principal de siete millones quinientas mil pesetas. Todo ello a tenor del contenido de la escritura de modificación de préstamo otorgada el 12 de julio de 1990 … que declara conocer la parte adquirente y acepta en cuanto a dicha finca descrita afecta”. En consecuencia, en este último negocio contractual la remisión a la normativa de la ley de 1872 se hace a su vez por remisión a lo establecido en el contrato de modificación del préstamo.</w:t>
      </w:r>
    </w:p>
    <w:p w:rsidR="00D06117" w:rsidRDefault="00D06117" w:rsidP="00D06117">
      <w:pPr>
        <w:pStyle w:val="TextoNormal"/>
      </w:pPr>
    </w:p>
    <w:p w:rsidR="00D06117" w:rsidRDefault="00D06117" w:rsidP="00D06117">
      <w:pPr>
        <w:pStyle w:val="TextoNormal"/>
      </w:pPr>
      <w:r>
        <w:t>Pues bien, en el proceso a quo, siguiendo la tesis del BBVA, S.A., se ha entendido que en virtud de la cláusula 14 del inicial contrato de préstamo hipotecario —que aplicaba la norma sobre subrogación contenida en el artículo 36 de la ley de 1872 declarado inconstitucional— el tercer adquirente responde de las obligaciones del deudor hipotecante, sin limitación, no solamente con el bien hipotecado que ha adquirido, sino también con su patrimonio personal, en virtud de la reglas contenidas en los arts. 118 de la Ley hipotecaria y 1911 del Código civil.</w:t>
      </w:r>
    </w:p>
    <w:p w:rsidR="00D06117" w:rsidRDefault="00D06117" w:rsidP="00D06117">
      <w:pPr>
        <w:pStyle w:val="TextoNormal"/>
      </w:pPr>
    </w:p>
    <w:p w:rsidR="00D06117" w:rsidRDefault="00D06117" w:rsidP="00D06117">
      <w:pPr>
        <w:pStyle w:val="TextoNormal"/>
      </w:pPr>
      <w:r w:rsidRPr="00D06117">
        <w:rPr>
          <w:rStyle w:val="NumeroAFNegritaCaracter"/>
        </w:rPr>
        <w:t>5</w:t>
      </w:r>
      <w:r>
        <w:t>. La queja de fondo alegada por los recurrentes se centra en la lesión de su derecho a la tutela judicial efectiva (art. 24.1 CE), en su vertiente de derecho a obtener una resolución jurídicamente fundada sobre las pretensiones deducidas, toda vez que las resoluciones judiciales impugnadas han aplicado una norma declarada inconstitucional por este Tribunal.</w:t>
      </w:r>
    </w:p>
    <w:p w:rsidR="00D06117" w:rsidRDefault="00D06117" w:rsidP="00D06117">
      <w:pPr>
        <w:pStyle w:val="TextoNormal"/>
      </w:pPr>
    </w:p>
    <w:p w:rsidR="00D06117" w:rsidRDefault="00D06117" w:rsidP="00D06117">
      <w:pPr>
        <w:pStyle w:val="TextoNormal"/>
      </w:pPr>
      <w:r>
        <w:t>Con carácter general, “este Tribunal ha declarado que la selección de las normas aplicables, así como el análisis de su vigencia y derogación, corresponde en exclusiva a la 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Tal acontece cuando se aplica una norma derogada que resulta decisiva para el fallo, lo que convierte en irrazonable la elección de la norma aplicable, de tal manera que no 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Doctrina que se reitera en la STC 144/2003, de 14 de julio, FJ 2, así como en la STC 308/2006, de 23 de octubre, FJ 7.” (STC 82/2009, de 23 de marzo, FJ6).</w:t>
      </w:r>
    </w:p>
    <w:p w:rsidR="00D06117" w:rsidRDefault="00D06117" w:rsidP="00D06117">
      <w:pPr>
        <w:pStyle w:val="TextoNormal"/>
      </w:pPr>
    </w:p>
    <w:p w:rsidR="00D06117" w:rsidRDefault="00D06117" w:rsidP="00D06117">
      <w:pPr>
        <w:pStyle w:val="TextoNormal"/>
      </w:pPr>
      <w:r>
        <w:t>Así las cosas, no es posible sostener la razonabilidad de una decisión judicial que se funde en la aplicación de un precepto que ya ha sido declarado contrario a la Constitución, toda vez que a partir de ese instante la norma en cuestión queda despojada de validez y sin posibilidad de ser revivida, debiendo estarse a la autoridad de cosa juzgada erga omnes que tales Sentencias recaídas en procesos de constitucionalidad tienen atribuida por el art. 164.1 CE, en relación con el art. 40.2 LOTC.</w:t>
      </w:r>
    </w:p>
    <w:p w:rsidR="00D06117" w:rsidRDefault="00D06117" w:rsidP="00D06117">
      <w:pPr>
        <w:pStyle w:val="TextoNormal"/>
      </w:pPr>
    </w:p>
    <w:p w:rsidR="00D06117" w:rsidRDefault="00D06117" w:rsidP="00D06117">
      <w:pPr>
        <w:pStyle w:val="TextoNormal"/>
      </w:pPr>
      <w:r>
        <w:t xml:space="preserve">Además, hemos precisado que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w:t>
      </w:r>
      <w:r>
        <w:lastRenderedPageBreak/>
        <w:t>resuelva cualquiera que sea el procedimiento en que lo haya sido” (STC 230/2003, de 18 de diciembre, FJ 6; en el mismo sentido, STC 158/2004, de 21 de septiembre, FJ 4).</w:t>
      </w:r>
    </w:p>
    <w:p w:rsidR="00D06117" w:rsidRDefault="00D06117" w:rsidP="00D06117">
      <w:pPr>
        <w:pStyle w:val="TextoNormal"/>
      </w:pPr>
    </w:p>
    <w:p w:rsidR="00D06117" w:rsidRDefault="00D06117" w:rsidP="00D06117">
      <w:pPr>
        <w:pStyle w:val="TextoNormal"/>
      </w:pPr>
      <w:r w:rsidRPr="00D06117">
        <w:rPr>
          <w:rStyle w:val="NumeroAFNegritaCaracter"/>
        </w:rPr>
        <w:t>6</w:t>
      </w:r>
      <w:r>
        <w:t>. Sobre esta base, hemos de precisar que este Tribunal, en la STC 128/1994, de 5 de mayo, resolvió varias cuestiones de inconstitucionalidad acumuladas contra los arts. 33 a 36 de la Ley de 2 de diciembre de 1872, de creación del Banco Hipotecario de España y arts. 10 a 13 del estatuto orgánico del Banco Hipotecario y de la Caja para el Fomento de la Pequeña Propiedad, aprobado por Real Decreto-ley núm. 1404/1928, de 4 de agosto, y, particularmente en lo que aquí importa, el art. 36 de la mencionada ley de 1872 sobre la subrogación legal de los terceros adquirentes de la finca hipotecada en todas las obligaciones que por razón de ella hubiere contraído su causante con el banco. Idéntica previsión aparecía en el art. 13 del Real Decreto-ley 1404, de 4 de agosto de 1928.</w:t>
      </w:r>
    </w:p>
    <w:p w:rsidR="00D06117" w:rsidRDefault="00D06117" w:rsidP="00D06117">
      <w:pPr>
        <w:pStyle w:val="TextoNormal"/>
      </w:pPr>
    </w:p>
    <w:p w:rsidR="00D06117" w:rsidRDefault="00D06117" w:rsidP="00D06117">
      <w:pPr>
        <w:pStyle w:val="TextoNormal"/>
      </w:pPr>
      <w:r>
        <w:t>Pues bien, aquella Sentencia 128/1994, estimó las cuestiones declarando la inconstitucionalidad de todos los preceptos implicados sin excepción, entendiendo que los privilegios que otorgaban al Banco Hipotecario de España son contrarios al derecho fundamental de igualdad ante la ley (art. 14 CE), al haber desaparecido las razones históricas que las habían motivado (FJ 7). En orden a fijar los efectos de su pronunciamiento ex art. 40 LOTC, el fundamento jurídico 8 de la misma STC 128/1994, de 5 de mayo, tan sólo hacía una precisión en cuanto a los procesos pendientes a esa fecha, para decir que tales efectos “sólo se extenderán a los actos procesales que hayan de dictarse a partir de la fecha de publicación de la presente Sentencia, correspondiendo a los órganos judiciales competentes llevar a cabo las adaptaciones procesales que estimen necesarias”. Sobre esta base, la STC 166/1994, de 26 de mayo, resolutoria de otras cuestiones de inconstitucionalidad planteadas respecto de los mismos preceptos, con remisión a la STC 128/1994, de 5 de mayo, declara que es “efecto inmediato de la anulación de cualquier norma su expulsión del ordenamiento jurídico de una vez por todas y para siempre” (FJ 2).</w:t>
      </w:r>
    </w:p>
    <w:p w:rsidR="00D06117" w:rsidRDefault="00D06117" w:rsidP="00D06117">
      <w:pPr>
        <w:pStyle w:val="TextoNormal"/>
      </w:pPr>
    </w:p>
    <w:p w:rsidR="00D06117" w:rsidRDefault="00D06117" w:rsidP="00D06117">
      <w:pPr>
        <w:pStyle w:val="TextoNormal"/>
      </w:pPr>
      <w:r>
        <w:t>Y la cuestión se plantea en el presente recurso de amparo respecto de aquellos contratos de préstamo hipotecario que tras la publicación de la STC 128/1994, que declara inconstitucionales los artículos 33 a 36 de la Ley 2 de diciembre de 1872 de creación del Banco Hipotecario de España y los arts. 10 a 13 del estatuto orgánico del Banco Hipotecario y de la Caja para el Fomento de la Pequeña Propiedad, siguen remitiéndose a dichas normas que han sido expulsadas del ordenamiento jurídico, lo que obliga a preguntarse si la remisión que actualmente se hace en la cláusulas contractuales al art. 36 declarado inconstitucional convierte a ese régimen de subrogación en una cláusula contractual fruto de la autonomía de la voluntad y el régimen legal declarado inconstitucional pervive ahora como cláusula contractual.</w:t>
      </w:r>
    </w:p>
    <w:p w:rsidR="00D06117" w:rsidRDefault="00D06117" w:rsidP="00D06117">
      <w:pPr>
        <w:pStyle w:val="TextoNormal"/>
      </w:pPr>
    </w:p>
    <w:p w:rsidR="00D06117" w:rsidRDefault="00D06117" w:rsidP="00D06117">
      <w:pPr>
        <w:pStyle w:val="TextoNormal"/>
      </w:pPr>
      <w:r w:rsidRPr="00D06117">
        <w:rPr>
          <w:rStyle w:val="NumeroAFNegritaCaracter"/>
        </w:rPr>
        <w:t>7</w:t>
      </w:r>
      <w:r>
        <w:t>. Las Sentencias aquí recurridas ofrecen distintos cauces argumentales:</w:t>
      </w:r>
    </w:p>
    <w:p w:rsidR="00D06117" w:rsidRDefault="00D06117" w:rsidP="00D06117">
      <w:pPr>
        <w:pStyle w:val="TextoNormal"/>
      </w:pPr>
    </w:p>
    <w:p w:rsidR="00D06117" w:rsidRDefault="00D06117" w:rsidP="00D06117">
      <w:pPr>
        <w:pStyle w:val="TextoNormal"/>
      </w:pPr>
      <w:r>
        <w:t xml:space="preserve">A) La Sentencia de instancia se funda, ante todo, en el contenido de “la cláusula decimocuarta, en su apartado primero, de la escritura de préstamo con hipoteca, a cuyo tenor las partes se someten expresamente a las disposiciones reguladoras de las operaciones activas del Banco Hipotecario de España, contenidas en la Ley de 2 de diciembre de 1872, Real Decreto de 3 de noviembre de 1928 y concordantes y, conforme a lo establecido en las </w:t>
      </w:r>
      <w:r>
        <w:lastRenderedPageBreak/>
        <w:t>mismas, los adquirentes de los bienes hipotecados quedarán subrogados en todas las obligaciones que haya contraído su causante con el Banco, en los términos que ellas prescriben”. Hasta aquí podría parecer que se entiende que se trata de una subrogación ex lege.</w:t>
      </w:r>
    </w:p>
    <w:p w:rsidR="00D06117" w:rsidRDefault="00D06117" w:rsidP="00D06117">
      <w:pPr>
        <w:pStyle w:val="TextoNormal"/>
      </w:pPr>
    </w:p>
    <w:p w:rsidR="00D06117" w:rsidRDefault="00D06117" w:rsidP="00D06117">
      <w:pPr>
        <w:pStyle w:val="TextoNormal"/>
      </w:pPr>
      <w:r>
        <w:t>Pero a continuación, con cita del art. 118 de la Ley hipotecaria, señala que “se ha producido en el supuesto enjuiciado la subrogación de los demandados en la deuda personal de Promociones Alfaro S.A., desde que se produjo la venta del inmueble”, lo que por razón de la cita, conduce a la conclusión de que considera que se trata de una subrogación convencional.</w:t>
      </w:r>
    </w:p>
    <w:p w:rsidR="00D06117" w:rsidRDefault="00D06117" w:rsidP="00D06117">
      <w:pPr>
        <w:pStyle w:val="TextoNormal"/>
      </w:pPr>
    </w:p>
    <w:p w:rsidR="00D06117" w:rsidRDefault="00D06117" w:rsidP="00D06117">
      <w:pPr>
        <w:pStyle w:val="TextoNormal"/>
      </w:pPr>
      <w:r>
        <w:t>B) La Sentencia de apelación rechaza los fundamentos jurídicos de la de instancia y añade:</w:t>
      </w:r>
    </w:p>
    <w:p w:rsidR="00D06117" w:rsidRDefault="00D06117" w:rsidP="00D06117">
      <w:pPr>
        <w:pStyle w:val="TextoNormal"/>
      </w:pPr>
    </w:p>
    <w:p w:rsidR="00D06117" w:rsidRDefault="00D06117" w:rsidP="00D06117">
      <w:pPr>
        <w:pStyle w:val="TextoNormal"/>
      </w:pPr>
      <w:r>
        <w:t>“En modo alguno puede estimarse que la subrogación de los demandados en la hipoteca constituida sobre la finca que adquirieron lo fuera exclusivamente en la obligación real, excluyéndose la obligación personal, a tenor de la prueba documental, y básicamente el testimonio del procedimiento hipotecario seguido con anterioridad.”</w:t>
      </w:r>
    </w:p>
    <w:p w:rsidR="00D06117" w:rsidRDefault="00D06117" w:rsidP="00D06117">
      <w:pPr>
        <w:pStyle w:val="TextoNormal"/>
      </w:pPr>
    </w:p>
    <w:p w:rsidR="00D06117" w:rsidRDefault="00D06117" w:rsidP="00D06117">
      <w:pPr>
        <w:pStyle w:val="TextoNormal"/>
      </w:pPr>
      <w:r>
        <w:t xml:space="preserve">Y hace un razonamiento complementario: </w:t>
      </w:r>
    </w:p>
    <w:p w:rsidR="00D06117" w:rsidRDefault="00D06117" w:rsidP="00D06117">
      <w:pPr>
        <w:pStyle w:val="TextoNormal"/>
      </w:pPr>
    </w:p>
    <w:p w:rsidR="00D06117" w:rsidRDefault="00D06117" w:rsidP="00D06117">
      <w:pPr>
        <w:pStyle w:val="TextoNormal"/>
      </w:pPr>
      <w:r>
        <w:t>“del mismo modo, habría de decaer la alegación de haberse seguido el procedimiento hipotecario con arreglo a la ley declarada inconstitucional, dado que la Sentencia dictada a este respecto por el Tribunal Constitucional, lo fue con posterioridad al inicio de dicho procedimiento, razón por la cual no se halla afectado por la misma.”</w:t>
      </w:r>
    </w:p>
    <w:p w:rsidR="00D06117" w:rsidRDefault="00D06117" w:rsidP="00D06117">
      <w:pPr>
        <w:pStyle w:val="TextoNormal"/>
      </w:pPr>
    </w:p>
    <w:p w:rsidR="00D06117" w:rsidRDefault="00D06117" w:rsidP="00D06117">
      <w:pPr>
        <w:pStyle w:val="TextoNormal"/>
      </w:pPr>
      <w:r>
        <w:t>Y puesto que ambos razonamientos, incluso “básicamente”, parten del procedimiento de ejecución hipotecaria seguido anteriormente, destacando que se inicia antes de que se dictase la Sentencia del Tribunal Constitucional que declaró la inconstitucionalidad del art. 36 de la Ley del Banco Hipotecario de 1872, parece que, dentro de su laconismo, la Sentencia de apelación está aplicando la subrogación ex lege establecida en dicha ley.</w:t>
      </w:r>
    </w:p>
    <w:p w:rsidR="00D06117" w:rsidRDefault="00D06117" w:rsidP="00D06117">
      <w:pPr>
        <w:pStyle w:val="TextoNormal"/>
      </w:pPr>
    </w:p>
    <w:p w:rsidR="00D06117" w:rsidRDefault="00D06117" w:rsidP="00D06117">
      <w:pPr>
        <w:pStyle w:val="TextoNormal"/>
      </w:pPr>
      <w:r w:rsidRPr="00D06117">
        <w:rPr>
          <w:rStyle w:val="NumeroAFNegritaCaracter"/>
        </w:rPr>
        <w:t>8</w:t>
      </w:r>
      <w:r>
        <w:t>. Así las cosas, es de señalar que no se discute en estos autos la corrección del proceso de ejecución hipotecaria 190-1994 —que por cierto sí resultó afectado por la STC 128/1994 en sus trámites posteriores a ésta—, sino la procedencia de aplicar en el juicio ordinario 1036-2007 la subrogación de los recurrentes en la totalidad de la deuda derivada del préstamo hipotecario de 3 de marzo de 1989.</w:t>
      </w:r>
    </w:p>
    <w:p w:rsidR="00D06117" w:rsidRDefault="00D06117" w:rsidP="00D06117">
      <w:pPr>
        <w:pStyle w:val="TextoNormal"/>
      </w:pPr>
    </w:p>
    <w:p w:rsidR="00D06117" w:rsidRDefault="00D06117" w:rsidP="00D06117">
      <w:pPr>
        <w:pStyle w:val="TextoNormal"/>
      </w:pPr>
      <w:r>
        <w:t>Y planteada así la cuestión en ese terreno, es de recordar, ante todo, que los contratos, como el que aquí se examina, suscritos con el Banco Hipotecario de España, son contratos predispuestos, en los que la entidad bancaria utiliza un clausulado previamente redactado para sus clientes. Y el hecho de que el contenido contractual haya sido unilateralmente predispuesto impone un mayor control respecto al mismo, de forma que se impidan las situaciones de abuso en la contratación respecto de la parte contractual económicamente más débil.</w:t>
      </w:r>
    </w:p>
    <w:p w:rsidR="00D06117" w:rsidRDefault="00D06117" w:rsidP="00D06117">
      <w:pPr>
        <w:pStyle w:val="TextoNormal"/>
      </w:pPr>
    </w:p>
    <w:p w:rsidR="00D06117" w:rsidRDefault="00D06117" w:rsidP="00D06117">
      <w:pPr>
        <w:pStyle w:val="TextoNormal"/>
      </w:pPr>
      <w:r>
        <w:t xml:space="preserve">Por otra parte, ha de subrayarse que cuando un contrato u otro negocio jurídico, contiene una referencia a una ley o a una norma, inmediatamente se plantea la cuestión de dilucidar si esa remisión normativa lo es a la norma en su redacción vigente en ese concreto momento </w:t>
      </w:r>
      <w:r>
        <w:lastRenderedPageBreak/>
        <w:t>inicial, que quedaría así, a estos efectos, “congelada” o si, por el contrario, esa remisión lo es a la norma en la redacción vigente en el momento posterior de que se trate. Pues bien, todos los contratos por supuesto los anteriores, pero también los posteriores a la STC 128/1994 que previeron con una u otra fórmula la subrogación obligatoria de los terceros adquirentes de la finca hipotecada, en realidad se estaban remitiendo al régimen jurídico de la subrogación forzosa establecida en el artículo 36 de la ley de 1872. No estaban simplemente, como afirma la Sentencia de instancia y parece entender la de apelación, pactando una subrogación convencional, en virtud del art. 118 de la Ley hipotecaria, sino sometiéndose a un régimen legal de subrogación obligatoria regulado en la Ley del Banco Hipotecario de España. La remisión a ese régimen difícilmente puede considerarse como una remisión estática, es decir, como una remisión a la regulación vigente en el momento de contratar —en nuestro caso 1990— que se incorporaría al contrato y quedaría congelada como cualquier otra estipulación contractual, sino que ha de interpretarse como una remisión dinámica, es decir, como una remisión a un régimen legal —y régimen legal era el de la subrogación forzosa—, con todas sus eventuales vicisitudes constitucionales posteriores. De manera que la voluntad de los contratantes al remitirse o someterse a ese régimen legal, es la voluntad de someterse al régimen vigente en cada momento histórico, si cambia la regulación. En nuestro caso, se produjo un acontecimiento de gran relevancia que fue la publicación de la STC 128/1994 que declaró inconstitucional la subrogación forzosa, lo que lleva a concluir que la norma inconstitucional a la que se remite (o incorpora como tal) el contrato no puede formar parte del mismo, por ser nula.</w:t>
      </w:r>
    </w:p>
    <w:p w:rsidR="00D06117" w:rsidRDefault="00D06117" w:rsidP="00D06117">
      <w:pPr>
        <w:pStyle w:val="TextoNormal"/>
      </w:pPr>
    </w:p>
    <w:p w:rsidR="00D06117" w:rsidRDefault="00D06117" w:rsidP="00D06117">
      <w:pPr>
        <w:pStyle w:val="TextoNormal"/>
      </w:pPr>
      <w:r>
        <w:t>En conclusión no puede considerarse razonable mantener en los contratos la subrogación forzosa ex art. 36 de la ley de 1872, tras una Sentencia del Tribunal Constitucional que declara su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La consecuencia que deriva de todo lo expuesto es que la labor de selección de la normativa aplicable hecha por ambos órganos jurisdiccionales adolece de falta de razonabilidad por aplicación de normas declaradas inconstitucionales, desconociendo con ello la autoridad de cosa juzgada de las Sentencias de este Tribunal (arts. 164 CE y 40 LOTC), lo que implica la vulneración del derecho a la tutela judicial efectiva (art. 24.1 CE) de los recurrentes en amparo, en su vertiente de derecho a obtener una resolución jurídicamente fundada.</w:t>
      </w:r>
    </w:p>
    <w:p w:rsidR="00D06117" w:rsidRDefault="00D06117" w:rsidP="00D06117">
      <w:pPr>
        <w:pStyle w:val="TextoNormal"/>
      </w:pPr>
    </w:p>
    <w:p w:rsidR="00D06117" w:rsidRDefault="00D06117" w:rsidP="00D06117">
      <w:pPr>
        <w:pStyle w:val="TextoNormal"/>
      </w:pPr>
      <w:r>
        <w:t>La estimación de este primer motivo del recurso hace innecesario el análisis de la segunda queja relativa a la lesión del derecho a la igualdad ante la ley (art. 14 CE) deducida por lo demás en la demanda de amparo no tanto como queja autónoma, sino como una consecuencia añadida de haberse aplicado aquel marco legal.</w:t>
      </w:r>
    </w:p>
    <w:p w:rsidR="00D06117" w:rsidRDefault="00D06117" w:rsidP="00D06117">
      <w:pPr>
        <w:pStyle w:val="TextoNormal"/>
      </w:pPr>
    </w:p>
    <w:p w:rsidR="00D06117" w:rsidRDefault="00D06117" w:rsidP="00D06117">
      <w:pPr>
        <w:pStyle w:val="TextoNormal"/>
      </w:pPr>
      <w:r>
        <w:t>Procede acordar en consecuencia la nulidad de las dos Sentencias recurridas, con retroacción de las actuaciones al momento inmediatamente anterior al de dictarse Sentencia por el Juzgado de Primera Instancia, a fin de que se dicte por éste una decisión que resulte respetuosa con el derecho fundamental lesionado, lo que supone la resolución del objeto controvertido en el pleito sin hacer aplicación alguna de los preceptos de la Ley de 2 de diciembre de 1872 y concordante Real Decreto-ley 1404 de 4 de agosto de 1928, declarados inconstitucionales por la STC 128/1994, de 5 de mayo.</w:t>
      </w:r>
    </w:p>
    <w:p w:rsidR="00D06117" w:rsidRDefault="00D06117" w:rsidP="00D06117">
      <w:pPr>
        <w:pStyle w:val="TextoNormal"/>
      </w:pPr>
    </w:p>
    <w:p w:rsidR="00D06117" w:rsidRDefault="00D06117" w:rsidP="00D06117">
      <w:pPr>
        <w:pStyle w:val="TextoNormal"/>
      </w:pPr>
      <w:r>
        <w:t>Procede, en consecuencia,</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doña Margarita Jesús Jaráiz Mero, don Eduardo Gómez Gamero y doña Concepción Jaráiz Mero y, en consecuencia:</w:t>
      </w:r>
    </w:p>
    <w:p w:rsidR="00D06117" w:rsidRDefault="00D06117" w:rsidP="00D06117">
      <w:pPr>
        <w:pStyle w:val="TextoNormal"/>
      </w:pPr>
    </w:p>
    <w:p w:rsidR="00D06117" w:rsidRDefault="00D06117" w:rsidP="00D06117">
      <w:pPr>
        <w:pStyle w:val="TextoNormal"/>
      </w:pPr>
      <w:r>
        <w:t>1º Reconocer el derecho fundamental a la tutela judicial efectiva (art. 24.1 CE) de los recurrentes en amparo.</w:t>
      </w:r>
    </w:p>
    <w:p w:rsidR="00D06117" w:rsidRDefault="00D06117" w:rsidP="00D06117">
      <w:pPr>
        <w:pStyle w:val="TextoNormal"/>
      </w:pPr>
    </w:p>
    <w:p w:rsidR="00D06117" w:rsidRDefault="00D06117" w:rsidP="00D06117">
      <w:pPr>
        <w:pStyle w:val="TextoNormal"/>
      </w:pPr>
      <w:r>
        <w:t>2º Declarar la nulidad de las Sentencias dictadas por el Juzgado núm. 4 de Móstoles el 30 de noviembre de 2007 (juicio ordinario núm. 1036-2007), y por la Sección decimoctava de la Audiencia Provincial de Madrid el 9 de junio de 2008 (rollo de apelación núm. 382-2008).</w:t>
      </w:r>
    </w:p>
    <w:p w:rsidR="00D06117" w:rsidRDefault="00D06117" w:rsidP="00D06117">
      <w:pPr>
        <w:pStyle w:val="TextoNormal"/>
      </w:pPr>
    </w:p>
    <w:p w:rsidR="00D06117" w:rsidRDefault="00D06117" w:rsidP="00D06117">
      <w:pPr>
        <w:pStyle w:val="TextoNormal"/>
      </w:pPr>
      <w:r>
        <w:t>3º Retrotraer las actuaciones al momento inmediatamente anterior al de dictarse la Sentencia de primera instancia, para que en su lugar se pronuncie otra resolución sobre el fondo en términos respetuosos con el derecho fundamental reconocido.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cuatro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3" w:name="SENTENCIA_2012_120"/>
      <w:r>
        <w:lastRenderedPageBreak/>
        <w:t>SENTENCIA 120/2012, de 4 de junio de 2012</w:t>
      </w:r>
    </w:p>
    <w:bookmarkEnd w:id="123"/>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ECLI:ES:TC:2012:120</w:t>
      </w:r>
    </w:p>
    <w:p w:rsidR="00D06117" w:rsidRDefault="00D06117" w:rsidP="00D06117">
      <w:pPr>
        <w:pStyle w:val="SntesisDescriptiva"/>
      </w:pPr>
    </w:p>
    <w:p w:rsidR="00D06117" w:rsidRDefault="00D06117" w:rsidP="00D06117">
      <w:pPr>
        <w:pStyle w:val="SntesisDescriptiva"/>
      </w:pPr>
      <w:r>
        <w:t>Recurso de inconstitucionalidad 1291-1999. Interpuesto por el Gobierno de la Generalitat de Cataluña con respecto al artículo 54 de la Ley 39/1988, de 28 de diciembre, reguladora de las haciendas locales, en la redacción dada al mismo por la Ley 50/1998, de 30 de diciembre, de medidas fiscales, administrativas y del orden social.</w:t>
      </w:r>
    </w:p>
    <w:p w:rsidR="00D06117" w:rsidRDefault="00D06117" w:rsidP="00D06117">
      <w:pPr>
        <w:pStyle w:val="SntesisDescriptiva"/>
      </w:pPr>
    </w:p>
    <w:p w:rsidR="00D06117" w:rsidRDefault="00D06117" w:rsidP="00D06117">
      <w:pPr>
        <w:pStyle w:val="SntesisAnaltica"/>
      </w:pPr>
      <w:r>
        <w:t>Competencias sobre régimen local, tutela financiera de las entidades locales, bases de ordenación del crédito y general de la economía y hacienda general: validez de las previsiones legales que atribuyen al Estado la potestad para autorizar tanto las operaciones de crédito a largo plazo que concierten los entes locales con entidades financieras no residentes en España, o que se realicen en moneda distinta de la nacional, como determinados escenarios de consolidación presupuestaria.</w:t>
      </w:r>
    </w:p>
    <w:p w:rsidR="00D06117" w:rsidRDefault="00D06117" w:rsidP="00D06117">
      <w:pPr>
        <w:pStyle w:val="SntesisAnaltica"/>
      </w:pPr>
    </w:p>
    <w:p w:rsidR="00D06117" w:rsidRDefault="00D06117" w:rsidP="00D06117">
      <w:pPr>
        <w:pStyle w:val="Extracto"/>
      </w:pPr>
      <w:r>
        <w:t>1.</w:t>
      </w:r>
      <w:r>
        <w:tab/>
        <w:t>Los apartados 1 y 4 del art. 54 LHL, en su nueva redacción dada por la Ley 50/1998, que atribuyen al Estado la competencia para autorizar tanto las operaciones de crédito a largo plazo de los entes locales que éstos concierten con entidades financieras residentes fuera de España o en moneda distinta de la nacional, como los denominados “escenarios de consolidación presupuestaria” que contengan operaciones de crédito a formalizar con el exterior, o instrumentadas mediante cualquier forma de apelación al crédito público, poseen naturaleza materialmente básica y por tanto, deben ser considerados conformes con el orden constitucional de competencia [FFJJ 1, 7].</w:t>
      </w:r>
    </w:p>
    <w:p w:rsidR="00D06117" w:rsidRDefault="00D06117" w:rsidP="00D06117">
      <w:pPr>
        <w:pStyle w:val="Extracto"/>
      </w:pPr>
    </w:p>
    <w:p w:rsidR="00D06117" w:rsidRDefault="00D06117" w:rsidP="00D06117">
      <w:pPr>
        <w:pStyle w:val="Extracto"/>
      </w:pPr>
      <w:r>
        <w:t>2.</w:t>
      </w:r>
      <w:r>
        <w:tab/>
        <w:t xml:space="preserve">Es conforme con el orden constitucional de competencias que el Estado, </w:t>
      </w:r>
      <w:r w:rsidRPr="00D06117">
        <w:rPr>
          <w:i/>
        </w:rPr>
        <w:t>ex</w:t>
      </w:r>
      <w:r>
        <w:t xml:space="preserve"> apartados 11, 13 y 14 del art. 149 CE, pueda optar por establecer de manera general la autorización del Ministerio de Hacienda para las operaciones de crédito local concertadas en el exterior o con entidades financieras residentes fuera de España pues, ciertamente, las mismas trascienden al ámbito local, con independencia, por tanto, del estado financiero de las entidades locales, los organismos autónomos o las sociedades mercantiles de capital íntegramente local sujetas a la Generalitat de Cataluña (STC 57/1983) [FFJJ 4, 7].</w:t>
      </w:r>
    </w:p>
    <w:p w:rsidR="00D06117" w:rsidRDefault="00D06117" w:rsidP="00D06117">
      <w:pPr>
        <w:pStyle w:val="Extracto"/>
      </w:pPr>
    </w:p>
    <w:p w:rsidR="00D06117" w:rsidRDefault="00D06117" w:rsidP="00D06117">
      <w:pPr>
        <w:pStyle w:val="Extracto"/>
      </w:pPr>
      <w:r>
        <w:t>3.</w:t>
      </w:r>
      <w:r>
        <w:tab/>
        <w:t xml:space="preserve">Resulta legítimo que el Estado, en el marco de sus competencias, </w:t>
      </w:r>
      <w:r w:rsidRPr="00D06117">
        <w:rPr>
          <w:i/>
        </w:rPr>
        <w:t>ex</w:t>
      </w:r>
      <w:r>
        <w:t xml:space="preserve"> apartados 11 y 13 del art. 149.1 CE, pueda optar por establecer de manera general la autorización del Ministerio de Hacienda para las operaciones de crédito local concertadas en moneda distinta de la nacional al ser susceptibles de afectar no sólo a la propia solvencia de la entidad local, sino también, al conjunto de la política crediticia o al equilibrio económico general cuya determinación y salvaguarda corresponde al Estado (SSTC 56/1983, 57/1983) [FJ 7].</w:t>
      </w:r>
    </w:p>
    <w:p w:rsidR="00D06117" w:rsidRDefault="00D06117" w:rsidP="00D06117">
      <w:pPr>
        <w:pStyle w:val="Extracto"/>
      </w:pPr>
    </w:p>
    <w:p w:rsidR="00D06117" w:rsidRDefault="00D06117" w:rsidP="00D06117">
      <w:pPr>
        <w:pStyle w:val="Extracto"/>
      </w:pPr>
      <w:r>
        <w:t>4.</w:t>
      </w:r>
      <w:r>
        <w:tab/>
        <w:t xml:space="preserve">Cabe apreciar el carácter materialmente básico de la nueva redacción del art. 54.4 LHL dada por la Ley 50/1998, que se limita a atribuir al Ministerio de Economía </w:t>
      </w:r>
      <w:r>
        <w:lastRenderedPageBreak/>
        <w:t>y Hacienda la autorización de los escenarios de consolidación presupuestaria que contengan alguna de las operaciones de crédito local previstas en el art. 54.5 LHL –reservadas al Estado desde la redacción inicial de dicha Ley– ya que las especificaciones introducidas por la Ley 50/1998 en nada desvirtúan el objeto original de la autorización estatal [FJ 7].</w:t>
      </w:r>
    </w:p>
    <w:p w:rsidR="00D06117" w:rsidRDefault="00D06117" w:rsidP="00D06117">
      <w:pPr>
        <w:pStyle w:val="Extracto"/>
      </w:pPr>
    </w:p>
    <w:p w:rsidR="00D06117" w:rsidRDefault="00D06117" w:rsidP="00D06117">
      <w:pPr>
        <w:pStyle w:val="Extracto"/>
      </w:pPr>
      <w:r>
        <w:t>5.</w:t>
      </w:r>
      <w:r>
        <w:tab/>
        <w:t xml:space="preserve">El entendimiento extensivo de la competencia básica del Estado en materia de ordenación del crédito, hasta el punto de incluir actos de pura ejecución, pone de manifiesto, la conexión en el ámbito local, de los títulos competenciales del Estado sobre ordenación del crédito y coordinación de planificación general de la actividad económica, </w:t>
      </w:r>
      <w:r w:rsidRPr="00D06117">
        <w:rPr>
          <w:i/>
        </w:rPr>
        <w:t>ex</w:t>
      </w:r>
      <w:r>
        <w:t xml:space="preserve"> apartados 11 y 13 del art. 149.1 CE, con el más genérico de hacienda general, </w:t>
      </w:r>
      <w:r w:rsidRPr="00D06117">
        <w:rPr>
          <w:i/>
        </w:rPr>
        <w:t>ex</w:t>
      </w:r>
      <w:r>
        <w:t xml:space="preserve"> art. 149.1.14 CE (SSTC 135/1992, 235/1999)  [FJ 5].</w:t>
      </w:r>
    </w:p>
    <w:p w:rsidR="00D06117" w:rsidRDefault="00D06117" w:rsidP="00D06117">
      <w:pPr>
        <w:pStyle w:val="Extracto"/>
      </w:pPr>
    </w:p>
    <w:p w:rsidR="00D06117" w:rsidRDefault="00D06117" w:rsidP="00D06117">
      <w:pPr>
        <w:pStyle w:val="Extracto"/>
      </w:pPr>
      <w:r>
        <w:t>6.</w:t>
      </w:r>
      <w:r>
        <w:tab/>
        <w:t>No ha de resultar dudosa la inclusión de la autorización del Estado sobre aquellas operaciones de endeudamiento de los entes locales que puedan incidir en la política crediticia o comprometer el equilibrio económico dentro de las medidas de coordinación entre las respectivas haciendas —estatal y local— y, por tanto, dentro de la competencia estatal sobre “hacienda general”  [FJ 5].</w:t>
      </w:r>
    </w:p>
    <w:p w:rsidR="00D06117" w:rsidRDefault="00D06117" w:rsidP="00D06117">
      <w:pPr>
        <w:pStyle w:val="Extracto"/>
      </w:pPr>
    </w:p>
    <w:p w:rsidR="00D06117" w:rsidRDefault="00D06117" w:rsidP="00D06117">
      <w:pPr>
        <w:pStyle w:val="Extracto"/>
      </w:pPr>
      <w:r>
        <w:t>7.</w:t>
      </w:r>
      <w:r>
        <w:tab/>
        <w:t>Doctrina sobre la tutela financiera sobre los entes locales y de la delimitación del reparto de competencias entre el Estado y las Comunidades Autónomas en el ejercicio de la misma (SSTC 4/1981, 56/1983, 57/1983, 134/2011) [FJ 5].</w:t>
      </w:r>
    </w:p>
    <w:p w:rsidR="00D06117" w:rsidRDefault="00D06117" w:rsidP="00D06117">
      <w:pPr>
        <w:pStyle w:val="Extracto"/>
      </w:pPr>
    </w:p>
    <w:p w:rsidR="00D06117" w:rsidRDefault="00D06117" w:rsidP="00D06117">
      <w:pPr>
        <w:pStyle w:val="Extracto"/>
      </w:pPr>
      <w:r>
        <w:t>8.</w:t>
      </w:r>
      <w:r>
        <w:tab/>
        <w:t>La reforma constitucional de 27 de septiembre de 2011, que ha modificado el art. 135 CE, llevando a cabo la consagración constitucional del principio de estabilidad presupuestaria y la Ley Orgánica 2/2012 de estabilidad presupuestaria y sostenibilidad financiera, corroboran la competencia del Estado para autorizar operaciones de crédito establecidas en la nueva redacción de los apartados 1 y 4 del art. 54 LHL [FJ 2].</w:t>
      </w:r>
    </w:p>
    <w:p w:rsidR="00D06117" w:rsidRDefault="00D06117" w:rsidP="00D06117">
      <w:pPr>
        <w:pStyle w:val="Extracto"/>
      </w:pPr>
    </w:p>
    <w:p w:rsidR="00D06117" w:rsidRDefault="00D06117" w:rsidP="00D06117">
      <w:pPr>
        <w:pStyle w:val="Extracto"/>
      </w:pPr>
      <w:r>
        <w:t>9.</w:t>
      </w:r>
      <w:r>
        <w:tab/>
        <w:t>Doctrina sobre la pervivencia del objeto en los recursos de inconstitucionalidad en los que se entabla una controversia competencial, cuando la esfera respectiva de competencias no resulte pacífica aunque la disposición sobre la que se trabó el conflicto haya resultado derogada (SSTC 196/1997, 204/2011)  [FJ 2].</w:t>
      </w:r>
    </w:p>
    <w:p w:rsidR="00D06117" w:rsidRDefault="00D06117" w:rsidP="00D06117">
      <w:pPr>
        <w:pStyle w:val="Extracto"/>
      </w:pPr>
    </w:p>
    <w:p w:rsidR="00D06117" w:rsidRDefault="00D06117" w:rsidP="00D06117">
      <w:pPr>
        <w:pStyle w:val="Extracto"/>
      </w:pPr>
      <w:r>
        <w:t>10.</w:t>
      </w:r>
      <w:r>
        <w:tab/>
        <w:t>Doctrina sobre la aplicación de leyes vigentes y las bases materiales establecidas en el momento de formularse el juicio y dictarse Sentencia cuando la duda de constitucionalidad se basa en un problema de delimitación competencial y el juicio de constitucionalidad ha de producirse por el contraste no sólo con la Constitución sino con el llamado bloque de la constitucionalidad (SSTC 87/1985, 134/2011) [FJ 2].</w:t>
      </w:r>
    </w:p>
    <w:p w:rsidR="00D06117" w:rsidRDefault="00D06117" w:rsidP="00D06117">
      <w:pPr>
        <w:pStyle w:val="Extracto"/>
      </w:pPr>
    </w:p>
    <w:p w:rsidR="00D06117" w:rsidRDefault="00D06117" w:rsidP="00D06117">
      <w:pPr>
        <w:pStyle w:val="Extracto"/>
      </w:pPr>
      <w:r>
        <w:t>11.</w:t>
      </w:r>
      <w:r>
        <w:tab/>
        <w:t>Doctrina sobre los requisitos de las normas básicas (SSTC 109/1987, 136/2011) [FJ 3].</w:t>
      </w:r>
    </w:p>
    <w:p w:rsidR="00D06117" w:rsidRDefault="00D06117" w:rsidP="00D06117">
      <w:pPr>
        <w:pStyle w:val="Extracto"/>
      </w:pPr>
    </w:p>
    <w:p w:rsidR="00D06117" w:rsidRDefault="00D06117" w:rsidP="00D06117">
      <w:pPr>
        <w:pStyle w:val="Extracto"/>
      </w:pPr>
      <w:r>
        <w:t>12.</w:t>
      </w:r>
      <w:r>
        <w:tab/>
        <w:t>Doctrina sobre el principio de seguridad jurídica (SSTC 15/1986, 104/2000) [FJ 3].</w:t>
      </w:r>
    </w:p>
    <w:p w:rsidR="00D06117" w:rsidRDefault="00D06117" w:rsidP="00D06117">
      <w:pPr>
        <w:pStyle w:val="Extracto"/>
      </w:pPr>
    </w:p>
    <w:p w:rsidR="00D06117" w:rsidRDefault="00D06117" w:rsidP="00D06117">
      <w:pPr>
        <w:pStyle w:val="Extracto"/>
      </w:pPr>
      <w:r>
        <w:lastRenderedPageBreak/>
        <w:t>13.</w:t>
      </w:r>
      <w:r>
        <w:tab/>
        <w:t xml:space="preserve">Doctrina sobre el establecimiento de límites al posible endeudamiento de los entes locales en relación con el principio constitucional de autonomía local, </w:t>
      </w:r>
      <w:r w:rsidRPr="00D06117">
        <w:rPr>
          <w:i/>
        </w:rPr>
        <w:t>ex</w:t>
      </w:r>
      <w:r>
        <w:t xml:space="preserve"> arts. 137 y 140 CE (SSTC 4/1981, 233/1999) [FFJJ 5, 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1291-1999, interpuesto por el Gobierno de la Generalitat de Cataluña, contra el art. 59.1 de la Ley 50/1998, de 30 de diciembre, de medidas fiscales, administrativas y del orden social, respecto a la nueva redacción que da al primer párrafo del apartado 1 y al párrafo final del apartado 4 del art. 54 de la Ley 39/1988, de 28 de diciembre, reguladora de las haciendas locales. Ha sido parte, formulando alegaciones, el Gobierno de la Nación, representado por el Abogado del Estado.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la sede de este Tribunal el 25 de marzo de 1999, el Abogado de la Generalitat de Cataluña, actuando en representación y defensa de su Gobierno, interpuso recurso de inconstitucionalidad contra el art. 59.1 de la Ley 50/1998, de 30 de diciembre, de medidas fiscales, administrativas y del orden social, respecto a la nueva redacción que da al primer párrafo del apartado 1 y al párrafo final del apartado 4 del art. 54 de la Ley 39/1988, de 28 de diciembre, reguladora de las haciendas locales (“Boletín Oficial del Estado” núm. 313 de 1998, publicado el 31 de diciembre de ese año).</w:t>
      </w:r>
    </w:p>
    <w:p w:rsidR="00D06117" w:rsidRDefault="00D06117" w:rsidP="00D06117">
      <w:pPr>
        <w:pStyle w:val="TextoNormal"/>
      </w:pPr>
    </w:p>
    <w:p w:rsidR="00D06117" w:rsidRDefault="00D06117" w:rsidP="00D06117">
      <w:pPr>
        <w:pStyle w:val="TextoNormal"/>
      </w:pPr>
      <w:r>
        <w:t>El Abogado de la Generalitat razona que la causa del recurso es de índole competencial, debido a la exclusión que en los citados preceptos se hace de las Comunidades Autónomas competentes en la materia de tutela financiera de los entes locales para otorgar la necesaria autorización de determinadas operaciones de endeudamiento, atribuyendo su ejercicio al Ministerio de Economía y Hacienda.</w:t>
      </w:r>
    </w:p>
    <w:p w:rsidR="00D06117" w:rsidRDefault="00D06117" w:rsidP="00D06117">
      <w:pPr>
        <w:pStyle w:val="TextoNormal"/>
      </w:pPr>
    </w:p>
    <w:p w:rsidR="00D06117" w:rsidRDefault="00D06117" w:rsidP="00D06117">
      <w:pPr>
        <w:pStyle w:val="TextoNormal"/>
      </w:pPr>
      <w:r>
        <w:t xml:space="preserve">A fin de perfilar claramente el sentido de la presente impugnación y dejar claro que la Generalitat de Cataluña no pretende, en modo alguno, asumir el ejercicio de otras competencias ejecutivas que puedan corresponder al Estado, se indica que no es objeto de recurso el apartado 5 del art. 54, al entender la parte recurrente que la autorización que en él se </w:t>
      </w:r>
      <w:r>
        <w:lastRenderedPageBreak/>
        <w:t>atribuye “en todo caso” al Ministerio de Economía y Hacienda en dos supuestos concretos (las operaciones que se formalicen en el exterior y las que se instrumenten mediante emisiones de deuda) constituye una autorización distinta y concurrente con la autorización regulada en el apartado 1 y, alternativamente, en el apartado 4. Se pretende —según se destaca en el escrito de recurso— que, como hasta ahora, ambas autorizaciones sigan resultando perfectamente compatibles, ya que la del apartado 5 responde al control que el Estado puede realizar por razones de política económica general, mientras que la del apartado 1 responde a la tutela financiera sobre los entes locales en orden a garantizar la solvencia de cada uno de ellos en concreto. Es sólo esta última la que se reclama, ya que debe corresponder siempre a los órganos de las Comunidades Autónomas que hayan asumido competencias en la materia de tutela financiera sobre los entes locales.</w:t>
      </w:r>
    </w:p>
    <w:p w:rsidR="00D06117" w:rsidRDefault="00D06117" w:rsidP="00D06117">
      <w:pPr>
        <w:pStyle w:val="TextoNormal"/>
      </w:pPr>
    </w:p>
    <w:p w:rsidR="00D06117" w:rsidRDefault="00D06117" w:rsidP="00D06117">
      <w:pPr>
        <w:pStyle w:val="TextoNormal"/>
      </w:pPr>
      <w:r>
        <w:t>No obstante, y antes de entrar en el estudio del problema competencial que plantea la nueva redacción del art. 54.1 y 4 de la Ley reguladora de las haciendas locales (LHL), considera procedente el Abogado de la Generalitat efectuar dos consideraciones previas: la primera, relativa a la utilización de la Ley 50/1998, comúnmente denominada “ley de acompañamiento”, para modificar la normativa básica y atribuir carácter básico a actos de ejecución; y, la segunda, referente al hecho de que el art. 54 LHL, en su versión original, ya fue en su momento objeto del recurso de inconstitucionalidad núm. 572-1989, acumulado a otros.</w:t>
      </w:r>
    </w:p>
    <w:p w:rsidR="00D06117" w:rsidRDefault="00D06117" w:rsidP="00D06117">
      <w:pPr>
        <w:pStyle w:val="TextoNormal"/>
      </w:pPr>
    </w:p>
    <w:p w:rsidR="00D06117" w:rsidRDefault="00D06117" w:rsidP="00D06117">
      <w:pPr>
        <w:pStyle w:val="TextoNormal"/>
      </w:pPr>
      <w:r>
        <w:t>a) Por lo que a la primera de tales consideraciones se refiere, indica el Abogado de la Generalitat que la “ley de acompañamiento” constituye un tipo de norma peculiar pues, aunque tiene entidad propia, carece de objeto único y singular. Su identidad propia consiste, precisamente, en constituir un cuerpo heterogéneo de disposiciones, unidas formalmente por su tramitación y aprobación conjuntas y, materialmente, por su conexión instrumental con unos presupuestos también heterogéneos por definición.</w:t>
      </w:r>
    </w:p>
    <w:p w:rsidR="00D06117" w:rsidRDefault="00D06117" w:rsidP="00D06117">
      <w:pPr>
        <w:pStyle w:val="TextoNormal"/>
      </w:pPr>
    </w:p>
    <w:p w:rsidR="00D06117" w:rsidRDefault="00D06117" w:rsidP="00D06117">
      <w:pPr>
        <w:pStyle w:val="TextoNormal"/>
      </w:pPr>
      <w:r>
        <w:t xml:space="preserve">El origen de este tipo de norma, que se remonta al año 1993 en el caso del legislador estatal, parece encontrarse en las limitaciones que la STC 76/1992, de 14 de mayo, entendió que la Constitución imponía al posible contenido de las leyes de presupuestos generales del Estado para cada año, en atención al especial procedimiento para su aprobación parlamentaria y a la función constitucional específica que cumplen (art. 134 CE), la cual no podía quedar desvirtuada por la inclusión de normas referentes a materias ajenas. Como consecuencia de esa interpretación jurisprudencial apareció una nueva realidad legal que, en principio, tenía como objetivo central e inicial trasladar a un texto legal diferente, de tramitación simultánea, los complementos jurídicos de los presupuestos anuales y de las directrices de política económica. La “ley de acompañamiento” es, pues, una ley ordinaria sin las limitaciones constitucionales de la Ley de presupuestos y sobre la que el legislador goza de una amplia libertad de configuración, aunque sometida a los mismos límites que el resto de las leyes ordinarias. Precisamente, esa gran libertad del legislador para configurar su contenido, unida a la tendencia creciente de los Gobiernos —que aprueban el correspondiente proyecto— por acumular en un único texto disposiciones variopintas bajo el amparo de una remota relación con los criterios de política económica, en ocasiones difícil de encontrar, ha comportado la paradoja de que, habiendo surgido para evitar la inseguridad jurídica de unas leyes de presupuestos con un contenido demasiado alejado del que constitucionalmente les es propio, las “leyes de acompañamiento” hayan devenido, a su vez, en un creciente peligro </w:t>
      </w:r>
      <w:r>
        <w:lastRenderedPageBreak/>
        <w:t>para la seguridad jurídica (art. 9.3 CE), redundando, cuando menos, en claro perjuicio de la conveniente sistematización normativa.</w:t>
      </w:r>
    </w:p>
    <w:p w:rsidR="00D06117" w:rsidRDefault="00D06117" w:rsidP="00D06117">
      <w:pPr>
        <w:pStyle w:val="TextoNormal"/>
      </w:pPr>
    </w:p>
    <w:p w:rsidR="00D06117" w:rsidRDefault="00D06117" w:rsidP="00D06117">
      <w:pPr>
        <w:pStyle w:val="TextoNormal"/>
      </w:pPr>
      <w:r>
        <w:t>Así ocurre también, añade, cuando la citada técnica legislativa se utiliza reiteradamente para dictar y modificar normativa básica. En tal supuesto, la correcta articulación entre las bases y las normas para su desarrollo y aplicación vigentes en cada momento resulta seriamente comprometida, al tiempo que se dificultan las relaciones institucionales. Si, como tiene declarado este Tribunal en reiteradas ocasiones desde la STC 69/1988, la exigencia de la forma legal para establecer las bases estatales en una materia responde a la necesidad de dotar a lo básico de las características de estabilidad y permanencia necesarias para que los legisladores autonómicos puedan ejercer sus competencias de desarrollo con las debidas garantías de certidumbre jurídica, se convendrá que tales leyes no son el vehículo idóneo para establecer la legislación básica y menos aún para modificarla repetidamente, ya que su uso mantiene el cierre del sistema en la ambigüedad permanente y, con palabras de la citada Sentencia, suponen “reconocer al Estado facultad para oponer sorpresivamente a las Comunidades Autónomas como norma básica, cualquier clase de precepto legal o reglamentario al margen de cuál sea su rango y estructura” (FJ 5).</w:t>
      </w:r>
    </w:p>
    <w:p w:rsidR="00D06117" w:rsidRDefault="00D06117" w:rsidP="00D06117">
      <w:pPr>
        <w:pStyle w:val="TextoNormal"/>
      </w:pPr>
    </w:p>
    <w:p w:rsidR="00D06117" w:rsidRDefault="00D06117" w:rsidP="00D06117">
      <w:pPr>
        <w:pStyle w:val="TextoNormal"/>
      </w:pPr>
      <w:r>
        <w:t>Por tal motivo, concluye el Abogado de la Generalitat considerando que el uso de la “ley de acompañamiento” para modificar la normativa básica, con la consecuencia de excluir a las Comunidades Autónomas del ejercicio de unas competencias ejecutivas de autorización que estatutariamente le corresponden y que venían realizando, debe entenderse contrario a las debidas garantías inherentes al sistema de distribución de competencias entre el Estado y las Comunidades Autónomas.</w:t>
      </w:r>
    </w:p>
    <w:p w:rsidR="00D06117" w:rsidRDefault="00D06117" w:rsidP="00D06117">
      <w:pPr>
        <w:pStyle w:val="TextoNormal"/>
      </w:pPr>
    </w:p>
    <w:p w:rsidR="00D06117" w:rsidRDefault="00D06117" w:rsidP="00D06117">
      <w:pPr>
        <w:pStyle w:val="TextoNormal"/>
      </w:pPr>
      <w:r>
        <w:t>b) Ya por lo que se refiere a la impugnación del art. 54.2 y 3 LHL en el anterior recurso de inconstitucionalidad núm. 572-1989, tramitado de forma acumulada con otros dos recursos y diversas cuestiones de inconstitucionalidad, observa el Abogado de la Generalitat que la causa que motivó su inclusión entre otros preceptos impugnados de dicha ley fue la de que, en su tenor literal omnicomprensivo no dejaba lugar al ejercicio de las competencias autonómicas para el desarrollo normativo de la propia norma, vaciando así el eventual contenido de las competencias autonómicas de normación. En cambio, la formulación del presente recurso obedece a que, en la reciente modificación del precepto, se invaden las competencias de nivel ejecutivo relativas a la tutela financiera de los entes locales, pues el Estado se reserva en determinados supuestos la concesión de unas autorizaciones que en la anterior regulación quedaban bajo la competencia autonómica en aquellas Comunidades Autónomas que habían asumido tales competencias en la materia.</w:t>
      </w:r>
    </w:p>
    <w:p w:rsidR="00D06117" w:rsidRDefault="00D06117" w:rsidP="00D06117">
      <w:pPr>
        <w:pStyle w:val="TextoNormal"/>
      </w:pPr>
    </w:p>
    <w:p w:rsidR="00D06117" w:rsidRDefault="00D06117" w:rsidP="00D06117">
      <w:pPr>
        <w:pStyle w:val="TextoNormal"/>
      </w:pPr>
      <w:r>
        <w:t>Sentado lo anterior, el Abogado de la Generalitat pasa a estudiar la nueva redacción del art. 54.1 LHL, destacando la estrecha relación que guardan los dos apartados del mismo que han sido impugnados. El párrafo primero del actual art. 54.1 establece:</w:t>
      </w:r>
    </w:p>
    <w:p w:rsidR="00D06117" w:rsidRDefault="00D06117" w:rsidP="00D06117">
      <w:pPr>
        <w:pStyle w:val="TextoNormal"/>
      </w:pPr>
    </w:p>
    <w:p w:rsidR="00D06117" w:rsidRDefault="00D06117" w:rsidP="00D06117">
      <w:pPr>
        <w:pStyle w:val="TextoNormal"/>
      </w:pPr>
      <w:r>
        <w:t xml:space="preserve">“No se podrán concertar nuevas operaciones de crédito a largo plazo, incluyendo las operaciones que modifiquen las condiciones contractuales o añadan garantías adicionales con o sin intermediación de terceros, ni conceder avales, ni sustituir operaciones de crédito concertadas con anterioridad por parte de las Entidades Locales, sus Organismos autónomos y sociedades mercantiles de capital íntegramente local sin previa autorización de los órganos competentes del Ministerio de Economía y Hacienda o, en el caso de operaciones realizadas </w:t>
      </w:r>
      <w:r>
        <w:lastRenderedPageBreak/>
        <w:t>con entidades financieras residentes en España en moneda nacional o equivalente, de la Comunidad Autónoma a que la Entidad local pertenezca que tenga atribuida en su Estatuto competencia en la materia, cuando de los estados financieros que reflejen la liquidación de los Presupuestos, los resultados corrientes y los resultados de la actividad ordinaria del último ejercicio, se deduzca un ahorro neto negativo.”</w:t>
      </w:r>
    </w:p>
    <w:p w:rsidR="00D06117" w:rsidRDefault="00D06117" w:rsidP="00D06117">
      <w:pPr>
        <w:pStyle w:val="TextoNormal"/>
      </w:pPr>
    </w:p>
    <w:p w:rsidR="00D06117" w:rsidRDefault="00D06117" w:rsidP="00D06117">
      <w:pPr>
        <w:pStyle w:val="TextoNormal"/>
      </w:pPr>
      <w:r>
        <w:t>Indica el Abogado de la Generalitat, como primera consideración global que, a través del inciso concreto de dicho párrafo que es objeto de impugnación por vulnerar el orden competencial, el legislador estatal establece la necesidad de una autorización previa para que las entidades locales puedan concertar nuevas operaciones de crédito a largo plazo, conceder avales y sustituir operaciones de crédito anteriores, cuando el resultado financiero del último ejercicio refleje un ahorro neto negativo. Los seis párrafos restantes del art. 54.1 se destinan a precisar el cálculo de ahorro neto de las entidades locales y a exigir la presentación de un plan de saneamiento financiero a realizar en tres años como máximo, junto con la solicitud de autorización.</w:t>
      </w:r>
    </w:p>
    <w:p w:rsidR="00D06117" w:rsidRDefault="00D06117" w:rsidP="00D06117">
      <w:pPr>
        <w:pStyle w:val="TextoNormal"/>
      </w:pPr>
    </w:p>
    <w:p w:rsidR="00D06117" w:rsidRDefault="00D06117" w:rsidP="00D06117">
      <w:pPr>
        <w:pStyle w:val="TextoNormal"/>
      </w:pPr>
      <w:r>
        <w:t>Nada objeta el Abogado de la Generalitat a la regulación material que dispone la exigencia de previa autorización y del plan de saneamiento que debe acompañarla, para que los entes locales puedan endeudarse cuando su situación financiera sea deficitaria, en ejercicio de la competencia estatal sobre las bases del régimen local (art. 149.1.18 y 11 CE). Añade que desde la temprana STC 4/1981, este Tribunal consideró compatible con la autonomía municipal la fijación de unos límites al endeudamiento de los entes locales y el que las operaciones, cuando se superen esos límites, se sometan a autorización [FJ 15 f)]. Por el contrario, no se muestra de acuerdo con los nuevos criterios que, a manera de puntos de conexión, se usan para determinar a quién corresponde otorgar la citada autorización. Así, se asigna en principio la competencia para autorizar las correspondientes operaciones al Ministerio de Economía y Hacienda o a la Comunidad Autónoma a la que la entidad local pertenezca si tiene atribuida competencia en la materia —lo mismo que ocurría en el anterior art. 54.2— pero se viene a añadir la importante precisión de que la autorización autonómica sólo puede producirse en el caso de operaciones realizadas con entidades financieras residentes en España y en moneda nacional o equivalente. De este modo, las autorizaciones que hasta ahora debían obtenerse “en general” y correspondía conceder al Estado o a las Comunidades Autónomas con competencias en la materia, pasan a ser concedidas sólo por el Estado cuando se refieren a operaciones realizadas con entidades de crédito no residentes en España —aunque sean nacionales de la Unión Europea y se instrumenten en euros— y cuando se utilice una moneda que no sea el euro (o en su momento la peseta), aunque se realicen con entidades residentes en España. En estos dos supuestos, por razón de la localización de la entidad y de la moneda usada, se excluye la intervención ejecutiva de las Comunidades Autónomas competentes.</w:t>
      </w:r>
    </w:p>
    <w:p w:rsidR="00D06117" w:rsidRDefault="00D06117" w:rsidP="00D06117">
      <w:pPr>
        <w:pStyle w:val="TextoNormal"/>
      </w:pPr>
    </w:p>
    <w:p w:rsidR="00D06117" w:rsidRDefault="00D06117" w:rsidP="00D06117">
      <w:pPr>
        <w:pStyle w:val="TextoNormal"/>
      </w:pPr>
      <w:r>
        <w:t xml:space="preserve">Señala a continuación el Abogado de la Generalitat que los dos supuestos indicados vienen a coincidir, sustancialmente, con las operaciones que, según se dispone en el apartado 5 a) del mismo art. 54, requieren “en todo caso” la autorización del Ministerio de Economía y Hacienda: “Las que se formalicen en el exterior o con entidades financieras no residentes en España, cualquiera que sea la divisa que sirva de determinación del capital de la operación proyectada...”. Recuerda que el apartado 5 no es objeto de impugnación, pues —a semejanza del art. 54.1 de la ley en su redacción original— se refiere a una autorización, </w:t>
      </w:r>
      <w:r>
        <w:lastRenderedPageBreak/>
        <w:t>estatal en todo caso, de operaciones exteriores, lo que en sí mismo no excluye la concurrencia de la otra autorización —la establecida con carácter general en el anterior art. 54.2 y que ha pasado al art. 54.1— a otorgar por las Comunidades Autónomas en el caso de ostentar competencias sobre tutela financiera local. No obstante, el legislador traslada los criterios del art. 54.5 a) que justifican la exigencia de autorización ministerial de determinadas operaciones de crédito, al art. 54.1 para utilizarlos como criterios dirimentes del reparto competencial en cuanto a la titularidad de la autorización prevista en este punto, otorgando así a los órganos de la Administración estatal una función ejecutiva que no les corresponde realizar en el caso de que las Comunidades Autónomas hayan asumido las competencias en la materia. Reitera el Abogado de la Generalitat que las autorizaciones del art. 54.1 y 5 son concurrentes pero distintas, al responder a diferentes objetivos de control a los a los que se hará referencia a continuación. Si no fuera así, se pregunta, ¿qué sentido puede tener que el legislador disponga en el mismo artículo de la Ley de haciendas locales la necesidad de obtener dos autorizaciones del Ministerio de Economía y Hacienda?</w:t>
      </w:r>
    </w:p>
    <w:p w:rsidR="00D06117" w:rsidRDefault="00D06117" w:rsidP="00D06117">
      <w:pPr>
        <w:pStyle w:val="TextoNormal"/>
      </w:pPr>
    </w:p>
    <w:p w:rsidR="00D06117" w:rsidRDefault="00D06117" w:rsidP="00D06117">
      <w:pPr>
        <w:pStyle w:val="TextoNormal"/>
      </w:pPr>
      <w:r>
        <w:t>Procede a continuación el escrito de recurso a analizar el tema del control financiero de los entes locales, comenzando por la competencia de tutela financiera. A este respecto, se indica que la Generalitat de Cataluña, en virtud de lo dispuesto en el art. 48.1 de su Estatuto de Autonomía (EAC) de 1979, ha asumido la competencia de tutela financiera de los entes locales radicados en Cataluña, respetando la autonomía que les reconocen los arts. 140 y 142 CE y de acuerdo con el art. 9.8 EAC 1979 en relación con el art. 149.1.18 CE. La Ley 8/1987, de 15 de abril, municipal y de régimen local de Cataluña, prescribe que la Generalitat ha de regular las finanzas de los entes locales de Cataluña en el marco que establece la legislación básica del Estado (art. 178) y que le corresponde, de acuerdo con el art. 48.1 EAC 1979, ejercer las funciones de tutela financiera sobre aquéllos según lo que determina la legislación reguladora de las finanzas locales (art. 179). A su vez, el art. 181 d) dispone que la legislación sobre finanzas locales de Cataluña ha de regular “el crédito local, la coordinación de éste con las operaciones de la Generalitat y, a través de ésta, con la política de endeudamiento general del Estado”. La razón de establecer una tutela administrativa es la necesidad de conseguir una cierta adecuación de los actos del ente tutelado a un determinado sector de interés público más general, que es precisamente el que el sujeto tutelador tiene encomendado. Como la noción de tutela es sinónima a la de control, y éste implica un juicio de conformidad con ciertas reglas, ha de concluirse que las autorizaciones, como técnica de control tutelar, suponen la preexistencia de unas pautas que enmarquen la discrecionalidad de dicho juicio y que sometan el acto de ejecución del control a una razón que excluye la arbitrariedad. Será, pues, el concreto interés más general, a cuya defensa se orientan las medidas de control, el que permitirá, en cada caso, justificar la intervención de un determinado sujeto tutelante en el ámbito de su respectiva competencia.</w:t>
      </w:r>
    </w:p>
    <w:p w:rsidR="00D06117" w:rsidRDefault="00D06117" w:rsidP="00D06117">
      <w:pPr>
        <w:pStyle w:val="TextoNormal"/>
      </w:pPr>
    </w:p>
    <w:p w:rsidR="00D06117" w:rsidRDefault="00D06117" w:rsidP="00D06117">
      <w:pPr>
        <w:pStyle w:val="TextoNormal"/>
      </w:pPr>
      <w:r>
        <w:t xml:space="preserve">Pasa a continuación el Abogado de la Generalitat a analizar la constitucionalidad de la duplicidad de autorizaciones. Refiere a este respecto los precedentes de la normativa ahora analizada que se encontraban ya en la normativa preconstitucional. Así, la base 34.2 de la Ley 41/1975, de 19 de noviembre, había previsto que los avales y, en general, las operaciones de crédito de los entes locales estuvieran sometidos a un régimen de limitación y autorización. En el Real Decreto 3250/1976, dictado para el desarrollo de aquélla, se dispuso que las entidades locales no precisaban autorización para concertar préstamos en determinados supuestos, siempre que las operaciones no excedieran del porcentaje que periódicamente fijara el Gobierno (art. 163.1). En cuanto al resto, sí que necesitaban autorización </w:t>
      </w:r>
      <w:r>
        <w:lastRenderedPageBreak/>
        <w:t>previa del Ministerio, la cual sería discrecional (art. 163.3 y 4; y art. 169). Habiéndose suscitado dos controversias entre el Estado y la Generalitat de Cataluña sobre a quién correspondía, de acuerdo con el nuevo orden de reparto competencial, otorgar las autorizaciones previstas en el Real Decreto 3250/1976, este Tribunal se pronunció en las SSTC 56/1983 y 57/1983, ambas de 28 de junio; citando también las posteriores SSTC 179/1985, 187/1988 y 96/1990, entre otras. Del examen de esta jurisprudencia concluye el Abogado de la Generalitat que en materia de control del endeudamiento local es perfectamente posible la concurrencia de funciones ejecutivas realizadas por los órganos estatales, cuando resulten indispensables, junto a otras realizadas por las instancias autonómicas competentes, ya que responden a objetivos distintos. La actuación estatal debe orientarse al control del crédito y de la deuda en su conjunto, mientras que el control de las Comunidades Autónomas competentes en tutela financiera de las entidades locales se dirige a asegurar la solvencia de cada entidad en los supuestos y bajo los parámetros establecidos por la normativa básica estatal.</w:t>
      </w:r>
    </w:p>
    <w:p w:rsidR="00D06117" w:rsidRDefault="00D06117" w:rsidP="00D06117">
      <w:pPr>
        <w:pStyle w:val="TextoNormal"/>
      </w:pPr>
    </w:p>
    <w:p w:rsidR="00D06117" w:rsidRDefault="00D06117" w:rsidP="00D06117">
      <w:pPr>
        <w:pStyle w:val="TextoNormal"/>
      </w:pPr>
      <w:r>
        <w:t>Ya respecto al control financiero en la normativa básica anterior, indica el Abogado de la Generalitat que, en adecuada aplicación del correcto entendimiento del orden competencial, el art. 424 del texto refundido en materia de régimen local, aprobado por el Real Decreto Legislativo 781/1996, de 18 de abril, recogió la norma que permitía al Gobierno estatal fijar periódicamente un porcentaje de la carga financiera anual de los entes locales a partir del cual, para las operaciones que lo excedían, debía solicitarse autorización. En dicho art. 424.4 se indicaba que la autorización correspondía al Ministerio, si bien se añadía: “salvo que la Comunidad Autónoma respectiva tenga atribuida en su Estatuto la tutela financiera de las entidades locales, en cuyo caso corresponderá a la misma”. Por tanto, la legislación básica estatal respetaba la citada competencia autonómica a nivel ejecutivo. La Ley de haciendas locales, norma básica que sustituyó los artículos correspondientes del texto refundido anterior, siguió el mismo criterio. Según el art. 50, las entidades locales podían acudir al crédito público y privado, a medio y largo plazo, en cualquiera de sus formas. El art. 54.1 establecía que las operaciones de crédito a formalizar en el exterior y las que se instrumentasen mediante emisiones de deuda o cualquier otra clase de apelación al crédito público precisarán, en todo caso, de la autorización del Ministerio de Economía y Hacienda. Y el mismo art. 54, en su apartado 2, sometía la concertación de créditos y avales, en general, a la autorización del citado Ministerio, salvo que la Comunidad Autónoma a la que la entidad local perteneciese tuviese atribuida en su Estatuto competencia sobre la materia, en cuyo caso correspondería a la misma.</w:t>
      </w:r>
    </w:p>
    <w:p w:rsidR="00D06117" w:rsidRDefault="00D06117" w:rsidP="00D06117">
      <w:pPr>
        <w:pStyle w:val="TextoNormal"/>
      </w:pPr>
    </w:p>
    <w:p w:rsidR="00D06117" w:rsidRDefault="00D06117" w:rsidP="00D06117">
      <w:pPr>
        <w:pStyle w:val="TextoNormal"/>
      </w:pPr>
      <w:r>
        <w:t>La duplicidad de autorizaciones sólo se explica por su distinta finalidad. En un caso se trata de una medida de política económica general referida al control del endeudamiento en el exterior o de las emisiones de deuda en su conjunto, mientras que en el otro se trata de una medida para garantizar la solvencia de la entidad local concretamente afectada.</w:t>
      </w:r>
    </w:p>
    <w:p w:rsidR="00D06117" w:rsidRDefault="00D06117" w:rsidP="00D06117">
      <w:pPr>
        <w:pStyle w:val="TextoNormal"/>
      </w:pPr>
    </w:p>
    <w:p w:rsidR="00D06117" w:rsidRDefault="00D06117" w:rsidP="00D06117">
      <w:pPr>
        <w:pStyle w:val="TextoNormal"/>
      </w:pPr>
      <w:r>
        <w:t xml:space="preserve">La introducción, en el párrafo primero del art. 54.1, del inciso que limita la actuación de las instancias autonómicas competentes para tutelar la solvencia de las entidades locales al caso de operaciones realizadas con entidades financieras residentes en España en moneda nacional o equivalente, ha venido a alterar, injustificadamente, una pacífica situación en detrimento del orden competencial. En efecto, no cabe aceptar la traslación de los elementos que pueden justificar el control estatal previsto en el apartado 5 a las autorizaciones reguladas en los apartados 1 y 4, de manera que se cree confusión entre ambas autorizaciones y el </w:t>
      </w:r>
      <w:r>
        <w:lastRenderedPageBreak/>
        <w:t>Estado asuma el otorgamiento de todas ellas. Por lo mismo, la asignación de las autorizaciones que suponen ejercicio de la tutela financiera sobre los entes locales no puede repartirse entre el Estado y las Comunidades Autónomas competentes en razón de la presencia de unos elementos circunstanciales —como son el que la entidad de crédito que interviene tenga residencia en España o la moneda utilizada en la transacción—, sino que debe hacerse respetando el orden competencial establecido en el bloque de la constitucionalidad. Sin duda, aquellos elementos podrán ser tenidos en cuenta por el Estado al dictar la normativa básica que regirá el control en los distintos supuestos, pero su existencia no puede servir para excluir en esos casos la actuación autonómica tutelar. Hace notar, además, el Abogado de la Generalitat, que nada se dice sobre la cuantía de la operación, que es un elemento de obvia importancia para poder determinar la eventual incidencia de la operación en la política crediticia, monetaria y económica general del Estado.</w:t>
      </w:r>
    </w:p>
    <w:p w:rsidR="00D06117" w:rsidRDefault="00D06117" w:rsidP="00D06117">
      <w:pPr>
        <w:pStyle w:val="TextoNormal"/>
      </w:pPr>
    </w:p>
    <w:p w:rsidR="00D06117" w:rsidRDefault="00D06117" w:rsidP="00D06117">
      <w:pPr>
        <w:pStyle w:val="TextoNormal"/>
      </w:pPr>
      <w:r>
        <w:t>Pasa a continuación el Abogado de la Generalitat a efectuar una última consideración en cuanto a la improcedencia de la fórmula usada por el legislador para referirse a los casos en que las Comunidades Autónomas competentes pueden otorgar las autorizaciones previstas en el art. 54.1 en razón de la residencia “en España” de las entidades de crédito. Así, de acuerdo con las Directivas comunitarias núms. 73/183/CEE, 77/780/CEE y 89/46/CEE, y con la Ley 3/1994, de 14 de abril, de adaptación de la legislación española a la segunda directiva de coordinación bancaria, cabe entender que las sucursales y las filiales de las entidades de crédito nacionales de un país miembro de la Unión Europea tienen, en el ámbito territorial de los otros países miembros, la consideración de residentes. Afirma que no es éste el lugar para tratar la cuestión de hasta qué punto la diferencia de trato a las entidades de crédito en razón de si tienen residencia “en España”, contenida en el párrafo primero del art. 54.1, resulta compatible con la normativa europea sobre libre prestación de servicios. Ahora bien, lo que se quiere poner de manifiesto es la disparidad de criterios seguidos por el legislador de la Ley 50/1998, en relación con otra ley de carácter orgánico y aprobada sólo trece días antes. Se trata de la Ley Orgánica 10/1998, de 17 de diciembre, complementaria de la Ley sobre introducción del euro, en cuyo art. 1 se añade un nuevo párrafo al apartado tres del art. 14 de la Ley Orgánica 8/1980, de 22 de septiembre, de financiación de las Comunidades Autónomas, con la siguiente redacción:</w:t>
      </w:r>
    </w:p>
    <w:p w:rsidR="00D06117" w:rsidRDefault="00D06117" w:rsidP="00D06117">
      <w:pPr>
        <w:pStyle w:val="TextoNormal"/>
      </w:pPr>
    </w:p>
    <w:p w:rsidR="00D06117" w:rsidRDefault="00D06117" w:rsidP="00D06117">
      <w:pPr>
        <w:pStyle w:val="TextoNormal"/>
      </w:pPr>
      <w:r>
        <w:t>“Con relación a lo que se prevé en el párrafo anterior, no se considerarán financiación, a los efectos de su preceptiva autorización, las operaciones de concertación o emisión denominadas en euros que se realicen dentro del espacio territorial de los países pertenecientes a la Unión Monetaria Europea.”</w:t>
      </w:r>
    </w:p>
    <w:p w:rsidR="00D06117" w:rsidRDefault="00D06117" w:rsidP="00D06117">
      <w:pPr>
        <w:pStyle w:val="TextoNormal"/>
      </w:pPr>
    </w:p>
    <w:p w:rsidR="00D06117" w:rsidRDefault="00D06117" w:rsidP="00D06117">
      <w:pPr>
        <w:pStyle w:val="TextoNormal"/>
      </w:pPr>
      <w:r>
        <w:t>En opinión del Abogado de la Generalitat, la semejanza entre ambos casos es evidente, ya que en los dos se viene a definir, a efectos de la preceptiva autorización, el carácter interior o exterior de determinadas operaciones financieras. Pues bien, mientras que en la Ley 50/1998 el factor de la residencia se refiere a España —y se considera como exteriores a las entidades no residentes en España, aunque sean nacionales de un país de la Unión Europea—, en la Ley Orgánica 10/1998 se otorga un mismo trato a todas las operaciones que se concierten en el espacio territorial de la Unión Monetaria Europea.</w:t>
      </w:r>
    </w:p>
    <w:p w:rsidR="00D06117" w:rsidRDefault="00D06117" w:rsidP="00D06117">
      <w:pPr>
        <w:pStyle w:val="TextoNormal"/>
      </w:pPr>
    </w:p>
    <w:p w:rsidR="00D06117" w:rsidRDefault="00D06117" w:rsidP="00D06117">
      <w:pPr>
        <w:pStyle w:val="TextoNormal"/>
      </w:pPr>
      <w:r>
        <w:t xml:space="preserve">Concluye el Abogado de la Generalitat su argumentación sobre la inconstitucionalidad del inciso recurrido del art. 54.1 LHL afirmando que el mismo introduce un parámetro sobre la residencia de las entidades que, además de resultar desconcertante, no es tampoco válido </w:t>
      </w:r>
      <w:r>
        <w:lastRenderedPageBreak/>
        <w:t>para excluir la competencia autonómica de tutela financiera de los entes locales y atribuirla al Estado. La solvencia de las entidades locales no depende de la residencia de la entidad con la que pretenden concertar un crédito. Por todo ello, dicho inciso debe ser declarado inconstitucional sin perjuicio de que, a través de la autorización ministerial prevista en el art. 54.5 a), se controlen las operaciones que se formalicen en el exterior o con entidades financieras no residentes en España, en cualquier divisa.</w:t>
      </w:r>
    </w:p>
    <w:p w:rsidR="00D06117" w:rsidRDefault="00D06117" w:rsidP="00D06117">
      <w:pPr>
        <w:pStyle w:val="TextoNormal"/>
      </w:pPr>
    </w:p>
    <w:p w:rsidR="00D06117" w:rsidRDefault="00D06117" w:rsidP="00D06117">
      <w:pPr>
        <w:pStyle w:val="TextoNormal"/>
      </w:pPr>
      <w:r>
        <w:t>Dedica a continuación el Abogado de la Generalitat de Cataluña el último apartado de su escrito de recurso al nuevo art. 54.4 LHL, cuyo tenor íntegro es el siguiente:</w:t>
      </w:r>
    </w:p>
    <w:p w:rsidR="00D06117" w:rsidRDefault="00D06117" w:rsidP="00D06117">
      <w:pPr>
        <w:pStyle w:val="TextoNormal"/>
      </w:pPr>
    </w:p>
    <w:p w:rsidR="00D06117" w:rsidRDefault="00D06117" w:rsidP="00D06117">
      <w:pPr>
        <w:pStyle w:val="TextoNormal"/>
      </w:pPr>
      <w:r>
        <w:t>“No obstante lo previsto en los apartados 1 y 2 anteriores, las Entidades Locales de más de 200.000 habitantes podrán optar por sustituir las autorizaciones en ellos preceptuadas por la presentación de un Escenario de Consolidación Presupuestaria, para su aprobación por el órgano competente.</w:t>
      </w:r>
    </w:p>
    <w:p w:rsidR="00D06117" w:rsidRDefault="00D06117" w:rsidP="00D06117">
      <w:pPr>
        <w:pStyle w:val="TextoNormal"/>
      </w:pPr>
    </w:p>
    <w:p w:rsidR="00D06117" w:rsidRDefault="00D06117" w:rsidP="00D06117">
      <w:pPr>
        <w:pStyle w:val="TextoNormal"/>
      </w:pPr>
      <w:r>
        <w:t>El escenario de consolidación presupuestaria contendrá el compromiso por parte de la Entidad local, aprobado por su Pleno, del límite máximo del déficit no financiero, e importe máximo del endeudamiento para cada uno de los tres ejercicios siguientes.</w:t>
      </w:r>
    </w:p>
    <w:p w:rsidR="00D06117" w:rsidRDefault="00D06117" w:rsidP="00D06117">
      <w:pPr>
        <w:pStyle w:val="TextoNormal"/>
      </w:pPr>
    </w:p>
    <w:p w:rsidR="00D06117" w:rsidRDefault="00D06117" w:rsidP="00D06117">
      <w:pPr>
        <w:pStyle w:val="TextoNormal"/>
      </w:pPr>
      <w:r>
        <w:t>El órgano competente para aprobar el escenario de consolidación presupuestaria, será aquél a quien corresponde la autorización de las operaciones de endeudamiento, previo informe del Ministerio de Economía y Hacienda en el caso de que la competencia sea de la Comunidad Autónoma. En el caso de que el Escenario de Consolidación Presupuestaria contenga alguna operación de las enumeradas en el apartado 5 de este artículo, la autorización corresponderá al Ministerio de Economía y Hacienda, previo informe, en su caso, de la Comunidad Autónoma con competencia en la materia.”</w:t>
      </w:r>
    </w:p>
    <w:p w:rsidR="00D06117" w:rsidRDefault="00D06117" w:rsidP="00D06117">
      <w:pPr>
        <w:pStyle w:val="TextoNormal"/>
      </w:pPr>
    </w:p>
    <w:p w:rsidR="00D06117" w:rsidRDefault="00D06117" w:rsidP="00D06117">
      <w:pPr>
        <w:pStyle w:val="TextoNormal"/>
      </w:pPr>
      <w:r>
        <w:t>El inciso del precepto concretamente impugnado, que se destaca en cursiva, contiene una referencia al apartado quinto del art. 54 que hace conveniente reproducir su contenido, aunque no sea objeto de impugnación:</w:t>
      </w:r>
    </w:p>
    <w:p w:rsidR="00D06117" w:rsidRDefault="00D06117" w:rsidP="00D06117">
      <w:pPr>
        <w:pStyle w:val="TextoNormal"/>
      </w:pPr>
    </w:p>
    <w:p w:rsidR="00D06117" w:rsidRDefault="00D06117" w:rsidP="00D06117">
      <w:pPr>
        <w:pStyle w:val="TextoNormal"/>
      </w:pPr>
      <w:r>
        <w:t>“En todo caso precisarán de la autorización del Ministerio de Economía y Hacienda las operaciones de crédito a corto y largo plazo, la concesión de avales, y las demás operaciones que modifiquen las condiciones contractuales o añadan garantías adicionales, con o sin intermediación de terceros, en los siguientes casos:</w:t>
      </w:r>
    </w:p>
    <w:p w:rsidR="00D06117" w:rsidRDefault="00D06117" w:rsidP="00D06117">
      <w:pPr>
        <w:pStyle w:val="TextoNormal"/>
      </w:pPr>
    </w:p>
    <w:p w:rsidR="00D06117" w:rsidRDefault="00D06117" w:rsidP="00D06117">
      <w:pPr>
        <w:pStyle w:val="TextoNormal"/>
      </w:pPr>
      <w:r>
        <w:t>a) Las que se formalicen en el exterior o con entidades financieras no residentes en España, cualquiera que sea la divisa que sirva de determinación del capital de la operación proyectada, incluidas las cesiones a entidades financieras no residentes de las participaciones, que ostenten entidades residentes, en créditos otorgados a las Entidades Locales, organismos autónomos y sociedades mercantiles de capital íntegramente local.</w:t>
      </w:r>
    </w:p>
    <w:p w:rsidR="00D06117" w:rsidRDefault="00D06117" w:rsidP="00D06117">
      <w:pPr>
        <w:pStyle w:val="TextoNormal"/>
      </w:pPr>
    </w:p>
    <w:p w:rsidR="00D06117" w:rsidRDefault="00D06117" w:rsidP="00D06117">
      <w:pPr>
        <w:pStyle w:val="TextoNormal"/>
      </w:pPr>
      <w:r>
        <w:t>b) Las que se instrumenten mediante emisiones de deuda o cualquier otra forma de apelación al crédito público, sin perjuicio de lo previsto en la Ley 24/1988, de 28 de julio, del mercado de valores.”</w:t>
      </w:r>
    </w:p>
    <w:p w:rsidR="00D06117" w:rsidRDefault="00D06117" w:rsidP="00D06117">
      <w:pPr>
        <w:pStyle w:val="TextoNormal"/>
      </w:pPr>
    </w:p>
    <w:p w:rsidR="00D06117" w:rsidRDefault="00D06117" w:rsidP="00D06117">
      <w:pPr>
        <w:pStyle w:val="TextoNormal"/>
      </w:pPr>
      <w:r>
        <w:t xml:space="preserve">Del análisis del apartado 4 deduce el Abogado de la Generalitat la regulación de un sistema de control financiero sobre el endeudamiento de las entidades locales alternativo al </w:t>
      </w:r>
      <w:r>
        <w:lastRenderedPageBreak/>
        <w:t>establecido en el apartado 1, aceptándose, de este modo, la posibilidad de que las entidades obligadas a solicitar la autorización prevista en el art. 54.1 opten, en su lugar, por presentar un escenario de consolidación presupuestaria que deberá ser aprobado por el órgano competente. En consecuencia, la controversia sobre cuál es el órgano competente para otorgar la autorización del art. 54.1, párrafo primero, queda trasladada en el párrafo final del art. 54.4 a determinar cuál es el órgano competente para aprobar el escenario de consolidación presupuestaria que, a elección de la entidad local afectada, puede sustituir aquella autorización. En ambos casos, los términos en que está efectuada la asignación competencial en la ley resultan muy semejantes. Por lo mismo, el Abogado de la Generalitat se remite a lo ya indicado anteriormente en relación con dicha cuestión competencial al resultar de total aplicación también respecto de este art. 54.4.</w:t>
      </w:r>
    </w:p>
    <w:p w:rsidR="00D06117" w:rsidRDefault="00D06117" w:rsidP="00D06117">
      <w:pPr>
        <w:pStyle w:val="TextoNormal"/>
      </w:pPr>
    </w:p>
    <w:p w:rsidR="00D06117" w:rsidRDefault="00D06117" w:rsidP="00D06117">
      <w:pPr>
        <w:pStyle w:val="TextoNormal"/>
      </w:pPr>
      <w:r>
        <w:t>Destaca seguidamente éste que las operaciones enumeradas en el nuevo art. 54.5 son prácticamente las mismas que en el art. 54.1 en su redacción anterior, correspondiendo su autorización “en todo caso” al entonces Ministerio de Economía y Hacienda. Nada objeta en este punto, si bien precisa que estas autorizaciones ministeriales no pueden ser actos directos de tutela o control sobre los entes locales —al menos en las Comunidades Autónomas que han asumido competencias en la materia— sino medidas ejecutivas de ordenación económica, crediticia, monetaria o, incluso, hacendística, establecidas para hacer posible la conexión de los intereses locales con los generales del Estado, de modo que el control ejecutivo estatal debe limitarse a los ámbitos de su competencia exclusiva y a la medida de lo indispensable. Por otra parte, el que las operaciones de crédito se formalicen con el exterior o mediante emisiones de deuda pública puede justificar un control del Estado por razones de política económica general. En cambio, la presencia de ambos elementos en los proyectos de endeudamiento local en nada influye sobre la tutela financiera que debe ejercerse en general sobre cualquier operación crediticia, pues en este caso lo que se trata de controlar es la solvencia de la entidad y no las fuentes de financiación, tratándose de controles distintos.</w:t>
      </w:r>
    </w:p>
    <w:p w:rsidR="00D06117" w:rsidRDefault="00D06117" w:rsidP="00D06117">
      <w:pPr>
        <w:pStyle w:val="TextoNormal"/>
      </w:pPr>
    </w:p>
    <w:p w:rsidR="00D06117" w:rsidRDefault="00D06117" w:rsidP="00D06117">
      <w:pPr>
        <w:pStyle w:val="TextoNormal"/>
      </w:pPr>
      <w:r>
        <w:t>La aprobación del escenario de consolidación presupuestaria a que se refiere el art. 54.4 responde —según prosigue el Abogado de la Generalitat— a la competencia de tutela financiera sobre los entes locales. El legislador sustrae esta competencia ejecutiva a las Comunidades Autónomas competentes cuando se incluya una operación crediticia formalizada en el exterior o con entidades financieras no residentes en España —cualquiera que sea la moneda utilizada— o una operación de deuda o cualquier otra forma de apelación al crédito público. En estos supuestos a que se refiere el inciso señalado, las Comunidades Autónomas ven limitada su competencia ejecutiva a la presentación de un informe previo al órgano estatal. Aun aceptando que informar previamente a quien ha de aprobar el escenario de consolidación presupuestaria puede ser una forma indirecta de tutela, cuya trascendencia es muy menor si se trata de un informe no vinculante, el caso es que la competencia concreta que está en juego y que aquí se reclama es la de dictar el acto de aprobación y no el informe previo. Así, para ser acorde con el orden competencial el sistema debería operar a la inversa, esto es, atribuirse la aprobación a las Comunidades Autónomas competentes previo informe del Ministerio de Economía, que podría ser vinculante en el caso de contener alguna operación de las enumeradas en el apartado 5 por lo que a ellas se refiere.</w:t>
      </w:r>
    </w:p>
    <w:p w:rsidR="00D06117" w:rsidRDefault="00D06117" w:rsidP="00D06117">
      <w:pPr>
        <w:pStyle w:val="TextoNormal"/>
      </w:pPr>
    </w:p>
    <w:p w:rsidR="00D06117" w:rsidRDefault="00D06117" w:rsidP="00D06117">
      <w:pPr>
        <w:pStyle w:val="TextoNormal"/>
      </w:pPr>
      <w:r>
        <w:t xml:space="preserve">Conforme a lo expuesto, concluye el recurso de inconstitucionalidad interpuesto por la Generalitat de Cataluña solicitando la declaración de inconstitucionalidad, y consecuente </w:t>
      </w:r>
      <w:r>
        <w:lastRenderedPageBreak/>
        <w:t>nulidad, de los incisos reseñados de los arts. 54.1 y 4 LHL, en la redacción por el art. 59.1 de la Ley 50/1998, por vulnerar el orden competencial constitucional y estatutariamente establecido.</w:t>
      </w:r>
    </w:p>
    <w:p w:rsidR="00D06117" w:rsidRDefault="00D06117" w:rsidP="00D06117">
      <w:pPr>
        <w:pStyle w:val="TextoNormal"/>
      </w:pPr>
    </w:p>
    <w:p w:rsidR="00D06117" w:rsidRDefault="00D06117" w:rsidP="00D06117">
      <w:pPr>
        <w:pStyle w:val="TextoNormal"/>
      </w:pPr>
      <w:r w:rsidRPr="00D06117">
        <w:rPr>
          <w:rStyle w:val="NumeroAFNegritaCaracter"/>
        </w:rPr>
        <w:t>2</w:t>
      </w:r>
      <w:r>
        <w:t>. Por providencia de 13 de abril de 1999, la Sección Tercera acordó admitir a trámite el recurso de inconstitucionalidad y dar traslado de la demanda y de los documentos presentados, de conformidad con lo dispuesto en el art. 34 de la Ley Orgánica del Tribunal Constitucional (LOTC), al Congreso de los Diputados y al Senado, por conducto de sus Presidentes, y al Gobierno, por conducto del Ministerio de Justicia, al objeto de que, en el plazo de quince días, pudieran personarse en el procedimiento y formular las alegaciones que estimasen convenientes. Igualmente, la Sección acordó publicar la incoación del recurso en el “Boletín Oficial del Estado”, lo que tuvo lugar en su ejemplar de 21 de abril de 1999 (núm. 95 de ese año).</w:t>
      </w:r>
    </w:p>
    <w:p w:rsidR="00D06117" w:rsidRDefault="00D06117" w:rsidP="00D06117">
      <w:pPr>
        <w:pStyle w:val="TextoNormal"/>
      </w:pPr>
    </w:p>
    <w:p w:rsidR="00D06117" w:rsidRDefault="00D06117" w:rsidP="00D06117">
      <w:pPr>
        <w:pStyle w:val="TextoNormal"/>
      </w:pPr>
      <w:r w:rsidRPr="00D06117">
        <w:rPr>
          <w:rStyle w:val="NumeroAFNegritaCaracter"/>
        </w:rPr>
        <w:t>3</w:t>
      </w:r>
      <w:r>
        <w:t>. Por escrito registrado el 29 de abril de 1999, el Presidente en funciones del Congreso de los Diputados comunicó el acuerdo de la Mesa de la Cámara de no personarse en el procedimiento ni formular alegaciones. Por su parte, la Presidencia del Senado, mediante escrito presentado el 5 de mayo siguiente, comunicó igualmente el acuerdo de la Mesa de dicha Cámara sobre su personación en el procedimiento y ofreciendo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4</w:t>
      </w:r>
      <w:r>
        <w:t>. El 7 de mayo de 1999 presentó su escrito de alegaciones el Abogado del Estado. Comienza formulando una serie de consideraciones sobre el régimen constitucional de reparto de competencias en materia de endeudamiento de las entidades locales. En este sentido, indica que la descripción que se hace en la demanda del reparto de competencias en la materia no supone un fiel reflejo de lo previsto en el bloque de constitucionalidad y en la doctrina de este Tribunal. Así, la materia objeto de recurso es compleja desde el punto de vista competencial, por estar compartida entre el Estado y las Comunidades Autónomas, pero debe tenerse en cuenta desde el primer momento que su configuración no se limita a lo previsto para el régimen local en los arts. 148.1.2 y 149.1.18 CE, y en los Estatutos de Autonomía. El que se trate del endeudamiento de las entidades locales hace que las decisiones sobre ese ámbito se proyecten sobre otros títulos, no menos importantes, que están atribuidos al Estado, como son los previstos en el art. 149.1.11, 13 y 14 CE. En efecto, en contra de lo afirmado en el recurso, el Estado no sólo ostenta competencias básicas en la materia, sino que también, por la atribución de los títulos antes citados, goza de competencias normativas completas y competencias ejecutivas en relación con el endeudamiento de las entidades locales. Ya en la redacción originaria de la Ley de haciendas locales se puso de manifiesto que la misma se dictaba al amparo del art. 149.1.18 CE, “sin perjuicio de las competencias exclusivas que le corresponden al Estado en virtud de lo dispuesto en el art. 149.1.14 de la Constitución” (art. 1). Posteriormente, este Tribunal reconoció como títulos habilitadores de la competencia estatal en materia de endeudamiento local los previstos en el art. 149.1.11 y 13 CE, entre otras, en la STC 57/1983.</w:t>
      </w:r>
    </w:p>
    <w:p w:rsidR="00D06117" w:rsidRDefault="00D06117" w:rsidP="00D06117">
      <w:pPr>
        <w:pStyle w:val="TextoNormal"/>
      </w:pPr>
    </w:p>
    <w:p w:rsidR="00D06117" w:rsidRDefault="00D06117" w:rsidP="00D06117">
      <w:pPr>
        <w:pStyle w:val="TextoNormal"/>
      </w:pPr>
      <w:r>
        <w:t xml:space="preserve">Resume el Abogado del Estado esta primera parte de sus alegaciones afirmando que la doctrina que realmente se contiene en la STC 57/1983 es la de que cuando se trata de autorizar determinadas operaciones de crédito de las entidades locales, caracterizadas por tener un peso específico en el equilibrio económico general o en la política crediticia, prevalecen </w:t>
      </w:r>
      <w:r>
        <w:lastRenderedPageBreak/>
        <w:t>los títulos estatales sobre las bases del crédito y la política económica general sobre el título autonómico de tutela financiera de las entidades locales. De modo que estos títulos estatales prevalentes se extienden a los actos ejecutivos de autorización porque requieren un tratamiento unitario que dependerá de la política económica general y de la política crediticia.</w:t>
      </w:r>
    </w:p>
    <w:p w:rsidR="00D06117" w:rsidRDefault="00D06117" w:rsidP="00D06117">
      <w:pPr>
        <w:pStyle w:val="TextoNormal"/>
      </w:pPr>
    </w:p>
    <w:p w:rsidR="00D06117" w:rsidRDefault="00D06117" w:rsidP="00D06117">
      <w:pPr>
        <w:pStyle w:val="TextoNormal"/>
      </w:pPr>
      <w:r>
        <w:t>En segundo lugar, el escrito de alegaciones aborda la imputación de inconstitucionalidad que se hace a los preceptos impugnados. A este respecto, comienza afirmando el Abogado del Estado que, al igual que en el caso enjuiciado en la STC 57/1983, la parte recurrente funda la inconstitucionalidad de los preceptos impugnados en que suponen la atribución al Estado de una competencia ejecutiva que no puede ampararse en el título del art. 149.1.18 CE y que le corresponde a la Generalitat, en virtud de lo previsto en el art. 48.1 EAC 1979. Sin embargo, a juicio de aquél, esta impugnación competencial se enmarca en un régimen en el que no se puede afirmar que la totalidad de la competencia ejecutiva se ha adjudicado al Estado, distinguiendo en realidad la nueva redacción del art. 54 LHL los supuestos de no autorización, de autorización autonómica y de autorización estatal, y reservando concretamente a la autorización del Ministerio de Economía y Hacienda los siguientes casos:</w:t>
      </w:r>
    </w:p>
    <w:p w:rsidR="00D06117" w:rsidRDefault="00D06117" w:rsidP="00D06117">
      <w:pPr>
        <w:pStyle w:val="TextoNormal"/>
      </w:pPr>
    </w:p>
    <w:p w:rsidR="00D06117" w:rsidRDefault="00D06117" w:rsidP="00D06117">
      <w:pPr>
        <w:pStyle w:val="TextoNormal"/>
      </w:pPr>
      <w:r>
        <w:t>(i) Operaciones de crédito con entidades financieras no residentes en España cuando de los estados financieros que reflejen la liquidación de los presupuestos, los resultados corrientes y los resultados de la actividad ordinaria del último ejercicio, se deduzca un ahorro negativo neto (art. 54.1).</w:t>
      </w:r>
    </w:p>
    <w:p w:rsidR="00D06117" w:rsidRDefault="00D06117" w:rsidP="00D06117">
      <w:pPr>
        <w:pStyle w:val="TextoNormal"/>
      </w:pPr>
    </w:p>
    <w:p w:rsidR="00D06117" w:rsidRDefault="00D06117" w:rsidP="00D06117">
      <w:pPr>
        <w:pStyle w:val="TextoNormal"/>
      </w:pPr>
      <w:r>
        <w:t>(ii) Operaciones con entidades financieras no residentes en España cuando el volumen total del capital vivo de las operaciones de crédito vigentes a corto y largo plazo exceda del 110 por 100 de los ingresos corrientes liquidados o devengados en el ejercicio inmediatamente anterior o, en su defecto, en el precedente a este último cuando el cómputo haya de realzarse en el primer semestre del año y no se haya liquidado el presupuesto correspondiente a aquél, según las cifras deducidas de los estados contables consolidados que integran los presupuestos generales de la corporación.</w:t>
      </w:r>
    </w:p>
    <w:p w:rsidR="00D06117" w:rsidRDefault="00D06117" w:rsidP="00D06117">
      <w:pPr>
        <w:pStyle w:val="TextoNormal"/>
      </w:pPr>
    </w:p>
    <w:p w:rsidR="00D06117" w:rsidRDefault="00D06117" w:rsidP="00D06117">
      <w:pPr>
        <w:pStyle w:val="TextoNormal"/>
      </w:pPr>
      <w:r>
        <w:t>(iii) Operaciones de crédito que se formalicen en el exterior o con entidades financieras no residentes en España (art. 54.5).</w:t>
      </w:r>
    </w:p>
    <w:p w:rsidR="00D06117" w:rsidRDefault="00D06117" w:rsidP="00D06117">
      <w:pPr>
        <w:pStyle w:val="TextoNormal"/>
      </w:pPr>
    </w:p>
    <w:p w:rsidR="00D06117" w:rsidRDefault="00D06117" w:rsidP="00D06117">
      <w:pPr>
        <w:pStyle w:val="TextoNormal"/>
      </w:pPr>
      <w:r>
        <w:t>(iv) Operaciones de crédito que se instrumenten mediante emisiones de deuda o cualquier otra forma de apelación al crédito público (art. 54.5).</w:t>
      </w:r>
    </w:p>
    <w:p w:rsidR="00D06117" w:rsidRDefault="00D06117" w:rsidP="00D06117">
      <w:pPr>
        <w:pStyle w:val="TextoNormal"/>
      </w:pPr>
    </w:p>
    <w:p w:rsidR="00D06117" w:rsidRDefault="00D06117" w:rsidP="00D06117">
      <w:pPr>
        <w:pStyle w:val="TextoNormal"/>
      </w:pPr>
      <w:r>
        <w:t>(v) Escenarios de consolidación presupuestaria que contengan alguna de las dos anteriores operaciones (art. 54.4).</w:t>
      </w:r>
    </w:p>
    <w:p w:rsidR="00D06117" w:rsidRDefault="00D06117" w:rsidP="00D06117">
      <w:pPr>
        <w:pStyle w:val="TextoNormal"/>
      </w:pPr>
    </w:p>
    <w:p w:rsidR="00D06117" w:rsidRDefault="00D06117" w:rsidP="00D06117">
      <w:pPr>
        <w:pStyle w:val="TextoNormal"/>
      </w:pPr>
      <w:r>
        <w:t xml:space="preserve">Sorprendentemente, indica el Abogado del Estado, la parte recurrente sólo impugna la competencia estatal en relación con los supuestos descritos en primer y último lugar, sin incluir los supuestos del art. 54.5 que normalmente incluirán las operaciones referidas en el art. 54.1 y 4. Sin embargo, todos estos supuestos sometidos a autorización estatal tienen componentes que hacen a las operaciones de crédito a las que se refieren de especial trascendencia para la política crediticia o para el equilibrio económico general, haciendo que prevalezca esa incidencia sobre la que tienen en relación con el funcionamiento financiero de la propia entidad local. Se trata de un supuesto similar al enjuiciado en la tantas veces citada STC 57/1983, aunque en este caso los elementos calificadores consisten en que se </w:t>
      </w:r>
      <w:r>
        <w:lastRenderedPageBreak/>
        <w:t>produce un ahorro neto negativo o el capital excede del 110 por 100 de los ingresos o se firman en el extranjero o con entidades de crédito no residentes en España, o se formalizan con deuda pública u otro tipo de crédito público.</w:t>
      </w:r>
    </w:p>
    <w:p w:rsidR="00D06117" w:rsidRDefault="00D06117" w:rsidP="00D06117">
      <w:pPr>
        <w:pStyle w:val="TextoNormal"/>
      </w:pPr>
    </w:p>
    <w:p w:rsidR="00D06117" w:rsidRDefault="00D06117" w:rsidP="00D06117">
      <w:pPr>
        <w:pStyle w:val="TextoNormal"/>
      </w:pPr>
      <w:r>
        <w:t>En este punto destaca el Abogado del Estado que en ningún momento del recurso la parte recurrente justifica por qué en los casos que impugna se vulnera su competencia y por qué en los demás no. No es aceptable —prosigue— la diferenciación que se hace entre el apartado 1 y 5 del art. 54, pues en el primer supuesto se hace referencia a que el ahorro neto sea negativo, lo que incide claramente en la política crediticia y en la política de disminución del déficit público, cuyo control corresponde al Estado y, a mayor abundamiento, incluye también el requisito de que la entidad de crédito no tenga residencia en España de manera totalmente coherente y sistemática con el núm. 5, que se refiere a ello en su primer apartado. Por lo tanto, en todos los casos la concesión de la autorización estatal no dependerá del grado de endeudamiento y solvencia de la entidad local, sino de la incidencia que tiene la operación en la actividad económica general y en la política crediticia. La parte recurrente lo acepta en relación con las operaciones con entidades no residentes en España o mediante deuda pública (por lo que no recurre el núm. 5 del art. 54), así como cuando se excede de un 110 por 100 de los ingresos corrientes (tampoco recurre el núm. 2 del art. 54), pero debe admitirse también cuando la operación produce un ahorro negativo neto y es con una entidad no residente en España o cuando las operaciones admitidas del art. 54.5 se dan en los escenarios de consolidación presupuestaria, porque el motivo es el mismo. Tampoco le parece acertado decir que la nueva redacción del art. 54 priva a la Generalitat de competencias que tenía antes, porque en su redacción anterior se reservaba al Estado la autorización en los casos de operaciones de crédito a formalizar con el exterior y las que se instrumentasen mediante emisiones de deuda o cualquier otra apelación al crédito público. En el primer caso, se encuentra el supuesto del actual art. 54.1, pues la competencia estatal sólo se reserva cuando la entidad no tiene residencia en España y se formaliza en moneda extranjera. En cuanto a los escenarios de consolidación presupuestaria, al referirse exclusivamente a los supuestos que incluyan las operaciones del art. 54.5, hay que entender que también antes estaban sujetas a autorización estatal por la previsión del anterior apartado 1, que no hacía ninguna especificación. Precisamente, lo que hace la nueva redacción es especificar más los casos en que el endeudamiento local afecta a las políticas de crédito y a la economía general.</w:t>
      </w:r>
    </w:p>
    <w:p w:rsidR="00D06117" w:rsidRDefault="00D06117" w:rsidP="00D06117">
      <w:pPr>
        <w:pStyle w:val="TextoNormal"/>
      </w:pPr>
    </w:p>
    <w:p w:rsidR="00D06117" w:rsidRDefault="00D06117" w:rsidP="00D06117">
      <w:pPr>
        <w:pStyle w:val="TextoNormal"/>
      </w:pPr>
      <w:r>
        <w:t xml:space="preserve">En cuanto a la pretendida compatibilidad de la autorización autonómica y estatal, el Abogado del Estado manifiesta serias dudas de que pueda deducirse de la doctrina de la STC 57/1983, pues en ella se afirma y reitera que la ordenación del crédito y la economía en su conjunto es “otro aspecto más capital” y sobre todo, por la conclusión a la que se llega en el fundamento jurídico 6 cuando se afirma: “Los títulos prevalentes serían entonces el competencial en materia de crédito y de actividad económica”. Todo ello le lleva a afirmar que en esta Sentencia se está declarando la prevalencia de la competencia estatal y, por lo tanto, la imposibilidad de que la Comunidad Autónoma actúe simultáneamente sobre el mismo objeto. La referencia a la STC 187/1988 resulta improcedente, pues se refiere a la actuación fiscalizadora del Tribunal de Cuentas y su compatibilidad con la de la Sindicatura de Cuentas, en cuanto que órganos de naturaleza especial por no depender de las Administraciones correspondientes, estatal o autonómica, sino de los órganos legislativos. En cualquier caso, es imposible en este procedimiento hacer un pronunciamiento sobre la constitucionalidad de la pretendida compatibilidad, porque ello requeriría el enjuiciamiento constitucional de la norma autonómica que regule ese régimen de autorización, supuesto que no se da en este </w:t>
      </w:r>
      <w:r>
        <w:lastRenderedPageBreak/>
        <w:t>caso, ya que el objeto del recurso es otro y ni siquiera la parte recurrente ha invocado sus normas para justificar la improcedencia de la pretendida compatibilidad impedida por la norma estatal.</w:t>
      </w:r>
    </w:p>
    <w:p w:rsidR="00D06117" w:rsidRDefault="00D06117" w:rsidP="00D06117">
      <w:pPr>
        <w:pStyle w:val="TextoNormal"/>
      </w:pPr>
    </w:p>
    <w:p w:rsidR="00D06117" w:rsidRDefault="00D06117" w:rsidP="00D06117">
      <w:pPr>
        <w:pStyle w:val="TextoNormal"/>
      </w:pPr>
      <w:r>
        <w:t>Concluye el Abogado del Estado esta segunda parte de su escrito afirmando que si se valoran constitucionalmente de manera adecuada, es decir, teniendo en cuenta la doctrina de este Tribunal los títulos competenciales atribuidos al Estado en esta materia, especialmente los contenidos en el art. 149.1.11, 13 y 14 CE, resulta claro que el legislador estatal tiene competencia para determinar los supuestos de endeudamiento local que puedan incidir en la actividad económica general y en la ordenación del crédito, y proyectar esta competencia a los actos ejecutivos que consisten en otorgar, la autorización correspondiente, por requerir tal actuación ejecutiva un tratamiento uniforme basado precisamente en la determinación y ejecución de las políticas sobre el crédito y la economía general.</w:t>
      </w:r>
    </w:p>
    <w:p w:rsidR="00D06117" w:rsidRDefault="00D06117" w:rsidP="00D06117">
      <w:pPr>
        <w:pStyle w:val="TextoNormal"/>
      </w:pPr>
    </w:p>
    <w:p w:rsidR="00D06117" w:rsidRDefault="00D06117" w:rsidP="00D06117">
      <w:pPr>
        <w:pStyle w:val="TextoNormal"/>
      </w:pPr>
      <w:r>
        <w:t>La última parte del escrito de alegaciones del Abogado del Estado se dedica a examinar la cuestión relativa a la utilización de la Ley 50/1998 para dar nueva redacción al art. 54 LHL. A este respecto, comienza indicando que la alegación que hace la parte recurrente no parece que pueda ser entendida como uno de los motivos de la inconstitucionalidad de los preceptos impugnados, sino como una simple crítica doctrinal al legislador estatal, porque no se cita precepto constitucional alguno que se considere vulnerado y porque tal alegación, si se entendiese dirigida a la declaración de inconstitucionalidad, se proyectaría sobre la totalidad del precepto que contiene la ley de medidas y no sólo sobre los párrafos a que se refiere el suplico de escrito de demanda.</w:t>
      </w:r>
    </w:p>
    <w:p w:rsidR="00D06117" w:rsidRDefault="00D06117" w:rsidP="00D06117">
      <w:pPr>
        <w:pStyle w:val="TextoNormal"/>
      </w:pPr>
    </w:p>
    <w:p w:rsidR="00D06117" w:rsidRDefault="00D06117" w:rsidP="00D06117">
      <w:pPr>
        <w:pStyle w:val="TextoNormal"/>
      </w:pPr>
      <w:r>
        <w:t>En cualquier caso, según aquél, la alegación no podría prosperar por distintas razones. La primera, ya anticipada, es que no existe ningún precepto constitucional que impida o limite la libertad del legislador estatal para regular la normativa básica mediante el instrumento normativo que considere oportuno. La segunda, porque la materia regulada no sólo supone el ejercicio de una competencia normativa básica, pues, como ya se ha dicho, también supone desarrollar otros títulos que no amparan competencias básicas, como son los previstos en el art. 149.1.13 y 14 CE, en cuanto se refieren a la coordinación de la planificación general de la actividad económica y a la hacienda general y deuda del Estado. La tercera, porque, lejos de suponer la nueva redacción un perjuicio en el ejercicio de una competencia para la Comunidad Autónoma recurrente, el cambio, que consiste en una especificación técnica de los supuestos en que el endeudamiento local debe ser autorizado por el Estado, está basado en los mismos criterios fundamentales que inspiran la redacción anterior, lo que supone que la incidencia real es mínima. En realidad, el tema se enmarca en la forma en que el legislador puede modificar sus propias normas, es decir, en un problema de técnica legislativa, habiendo afirmado este Tribunal al respecto que su alegación no puede llevar a un juicio de inconstitucionalidad, al no ser materia de revisión en esta sede (STC 341/1993, de 18 de noviembre, FJ 2).</w:t>
      </w:r>
    </w:p>
    <w:p w:rsidR="00D06117" w:rsidRDefault="00D06117" w:rsidP="00D06117">
      <w:pPr>
        <w:pStyle w:val="TextoNormal"/>
      </w:pPr>
    </w:p>
    <w:p w:rsidR="00D06117" w:rsidRDefault="00D06117" w:rsidP="00D06117">
      <w:pPr>
        <w:pStyle w:val="TextoNormal"/>
      </w:pPr>
      <w:r>
        <w:t>Por todo ello, concluye su escrito de alegaciones el Abogado del Estado solicitando de este Tribunal que en su día dicte Sentencia por la que se declare la constitucionalidad de los preceptos impugnados.</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Habiendo aducido la Generalitat de Cataluña que en el entonces Presidente de este Tribunal —Excmo. Sr. don Manuel Jiménez de Parga— concurrían las causas de recusación </w:t>
      </w:r>
      <w:r>
        <w:lastRenderedPageBreak/>
        <w:t>séptima y novena del art. 219 de la Ley Orgánica del Poder Judicial, el Pleno acordó declarar extinguido el incidente correspondiente a la primera causa (ATC 193/2003, de 12 de junio) y no admitir a trámite el de la segunda (ATC 194/2003, de 12 de junio).</w:t>
      </w:r>
    </w:p>
    <w:p w:rsidR="00D06117" w:rsidRDefault="00D06117" w:rsidP="00D06117">
      <w:pPr>
        <w:pStyle w:val="TextoNormal"/>
      </w:pPr>
    </w:p>
    <w:p w:rsidR="00D06117" w:rsidRDefault="00D06117" w:rsidP="00D06117">
      <w:pPr>
        <w:pStyle w:val="TextoNormal"/>
      </w:pPr>
      <w:r w:rsidRPr="00D06117">
        <w:rPr>
          <w:rStyle w:val="NumeroAFNegritaCaracter"/>
        </w:rPr>
        <w:t>6</w:t>
      </w:r>
      <w:r>
        <w:t>. Por providencia de 5 de junio de 2012, se señaló para la deliberación y fallo de la presente Sentencia el mismo día.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Interpone el Gobierno de la Generalitat de Cataluña el presente recurso de inconstitucionalidad contra el art. 59.1 de la Ley 50/1998, de 30 de diciembre, de medidas fiscales, administrativas y del orden social, que dio nueva redacción al primer párrafo del apartado 1 y al párrafo final del apartado 4 del art. 54 de la Ley 39/1988, de 28 de diciembre, reguladora de las haciendas locales (en adelante, LHL).</w:t>
      </w:r>
    </w:p>
    <w:p w:rsidR="00D06117" w:rsidRDefault="00D06117" w:rsidP="00D06117">
      <w:pPr>
        <w:pStyle w:val="TextoNormal"/>
      </w:pPr>
    </w:p>
    <w:p w:rsidR="00D06117" w:rsidRDefault="00D06117" w:rsidP="00D06117">
      <w:pPr>
        <w:pStyle w:val="TextoNormal"/>
      </w:pPr>
      <w:r>
        <w:t>La nueva redacción de tales párrafos atribuye al Estado la competencia para autorizar operaciones de crédito a largo plazo de los entes locales que se concierten con entidades financieras residentes fuera de España o si, aun residiendo en España, se realizan en moneda distinta de la nacional o equivalente; así como para autorizar los denominados “escenarios de consolidación presupuestaria” que contengan alguna de las operaciones de crédito contempladas en el entonces apartado 5 del mismo art. 54 LHL.</w:t>
      </w:r>
    </w:p>
    <w:p w:rsidR="00D06117" w:rsidRDefault="00D06117" w:rsidP="00D06117">
      <w:pPr>
        <w:pStyle w:val="TextoNormal"/>
      </w:pPr>
    </w:p>
    <w:p w:rsidR="00D06117" w:rsidRDefault="00D06117" w:rsidP="00D06117">
      <w:pPr>
        <w:pStyle w:val="TextoNormal"/>
      </w:pPr>
      <w:r>
        <w:t>El Gobierno de la Generalitat de Cataluña comparte la necesidad de que tales operaciones precisen de autorización, pero reclama para sí la competencia para otorgarlas, en atención a que el art. 48.1 de su Estatuto de Autonomía de 1979 (y actualmente el art. 218.5 del Estatuto de Autonomía de Cataluña: EAC 2006) le atribuyó la tutela financiera sobre los entes locales, en el marco de respeto a la autonomía que a los mismos reconoce la Constitución.</w:t>
      </w:r>
    </w:p>
    <w:p w:rsidR="00D06117" w:rsidRDefault="00D06117" w:rsidP="00D06117">
      <w:pPr>
        <w:pStyle w:val="TextoNormal"/>
      </w:pPr>
    </w:p>
    <w:p w:rsidR="00D06117" w:rsidRDefault="00D06117" w:rsidP="00D06117">
      <w:pPr>
        <w:pStyle w:val="TextoNormal"/>
      </w:pPr>
      <w:r>
        <w:t>Por el contrario, el Abogado del Estado considera que el endeudamiento de las entidades locales atañe no sólo a la competencia autonómica sobre régimen local ex art. 148.1.2 CE y, consecuentemente, a la competencia básica estatal del art. 149.1.18 CE, sino también a otros títulos competenciales, no menos importantes, atribuidos al Estado, como son los del art. 149.1.11 (bases de la ordenación del crédito), 13 (bases y coordinación de la planificación general de la actividad económica) y 14 (hacienda general) CE; títulos éstos que suponen la atribución al Estado de competencias normativas y ejecutivas en relación con el endeudamiento de las entidades locales.</w:t>
      </w:r>
    </w:p>
    <w:p w:rsidR="00D06117" w:rsidRDefault="00D06117" w:rsidP="00D06117">
      <w:pPr>
        <w:pStyle w:val="TextoNormal"/>
      </w:pPr>
    </w:p>
    <w:p w:rsidR="00D06117" w:rsidRDefault="00D06117" w:rsidP="00D06117">
      <w:pPr>
        <w:pStyle w:val="TextoNormal"/>
      </w:pPr>
      <w:r w:rsidRPr="00D06117">
        <w:rPr>
          <w:rStyle w:val="NumeroAFNegritaCaracter"/>
        </w:rPr>
        <w:t>2</w:t>
      </w:r>
      <w:r>
        <w:t>. Una vez señalada la posición de las partes, antes de abordar el examen de la pretensión de inconstitucionalidad es preciso comprobar la subsistencia de su objeto y delimitar el parámetro al que habremos de acomodar nuestro pronunciamiento.</w:t>
      </w:r>
    </w:p>
    <w:p w:rsidR="00D06117" w:rsidRDefault="00D06117" w:rsidP="00D06117">
      <w:pPr>
        <w:pStyle w:val="TextoNormal"/>
      </w:pPr>
    </w:p>
    <w:p w:rsidR="00D06117" w:rsidRDefault="00D06117" w:rsidP="00D06117">
      <w:pPr>
        <w:pStyle w:val="TextoNormal"/>
      </w:pPr>
      <w:r>
        <w:t>a) En efecto, en primer lugar, es necesario disipar cualquier duda acerca de la pervivencia del proceso, como consecuencia de que la Ley 39/1988, de 28 de diciembre, ha sido derogada por el Real Decreto Legislativo 2/2004, de 5 de marzo, que aprueba el texto refundido de la Ley reguladora de las haciendas locales, el cual incorpora la reforma introducida por la Ley 62/2003, de 30 de diciembre, cuyo art. 64.3 dio nueva redacción al apartado 1 del art. 54 LHL.</w:t>
      </w:r>
    </w:p>
    <w:p w:rsidR="00D06117" w:rsidRDefault="00D06117" w:rsidP="00D06117">
      <w:pPr>
        <w:pStyle w:val="TextoNormal"/>
      </w:pPr>
    </w:p>
    <w:p w:rsidR="00D06117" w:rsidRDefault="00D06117" w:rsidP="00D06117">
      <w:pPr>
        <w:pStyle w:val="TextoNormal"/>
      </w:pPr>
      <w:r>
        <w:t>A tal fin hemos de tener presente nuestra reiterada doctrina según la cual en el ámbito del recurso de inconstitucionalidad, recurso abstracto y orientado a la depuración objetiva del ordenamiento, la pérdida sobrevenida de la vigencia del precepto legal impugnado habrá de ser tomada en consideración para apreciar si la misma conlleva la exclusión de toda aplicabilidad de la ley pues, si así fuera, no habría sino que reconocer que desapareció, al acabar su vigencia, el objeto del proceso constitucional. Sin embargo constituyen una excepción a esta regla general aquellos supuestos en los que a través de un recurso de inconstitucionalidad lo que se entabla, en realidad, es una controversia en el ámbito de las competencias del Estado y de las Comunidades Autónomas, si la esfera respectiva de competencias no resulta pacífica aunque la disposición sobre la que se trabó el conflicto resulte luego derogada o modificada [por todas, SSTC 196/1997, de 13 de noviembre, FJ 2; 194/2004, de 4 de noviembre, FJ 4; y 204/2011, de 15 de diciembre, FJ 2 a)].</w:t>
      </w:r>
    </w:p>
    <w:p w:rsidR="00D06117" w:rsidRDefault="00D06117" w:rsidP="00D06117">
      <w:pPr>
        <w:pStyle w:val="TextoNormal"/>
      </w:pPr>
    </w:p>
    <w:p w:rsidR="00D06117" w:rsidRDefault="00D06117" w:rsidP="00D06117">
      <w:pPr>
        <w:pStyle w:val="TextoNormal"/>
      </w:pPr>
      <w:r>
        <w:t>Para apreciar el alcance que el mencionado cambio legislativo haya podido producir en el presente proceso constitucional, conviene recordar que los preceptos impugnados disponían lo siguiente:</w:t>
      </w:r>
    </w:p>
    <w:p w:rsidR="00D06117" w:rsidRDefault="00D06117" w:rsidP="00D06117">
      <w:pPr>
        <w:pStyle w:val="TextoNormal"/>
      </w:pPr>
    </w:p>
    <w:p w:rsidR="00D06117" w:rsidRDefault="00D06117" w:rsidP="00D06117">
      <w:pPr>
        <w:pStyle w:val="TextoNormal"/>
      </w:pPr>
      <w:r>
        <w:t>“1. No se podrán concertar nuevas operaciones de crédito a largo plazo, incluyendo las operaciones que modifiquen las condiciones contractuales o añadan garantías adicionales con o sin intermediación de terceros, ni conceder avales, ni sustituir operaciones de crédito concertadas con anterioridad por parte de las entidades locales, sus Organismos autónomos y sociedades mercantiles de capital íntegramente local sin previa autorización de los órganos competentes del Ministerio de Economía y Hacienda o, en el caso de operaciones realizadas con entidades financieras residentes en España en moneda nacional o equivalente, de la Comunidad Autónoma a que la entidad local pertenezca que tenga atribuida en su Estatuto competencia en la materia, cuando de los estados financieros que reflejen la liquidación de los presupuestos, los resultados corrientes y los resultados de la actividad ordinaria del último ejercicio, se deduzca un ahorro neto negativo.”</w:t>
      </w:r>
    </w:p>
    <w:p w:rsidR="00D06117" w:rsidRDefault="00D06117" w:rsidP="00D06117">
      <w:pPr>
        <w:pStyle w:val="TextoNormal"/>
      </w:pPr>
    </w:p>
    <w:p w:rsidR="00D06117" w:rsidRDefault="00D06117" w:rsidP="00D06117">
      <w:pPr>
        <w:pStyle w:val="TextoNormal"/>
      </w:pPr>
      <w:r>
        <w:t>“4. ... [/] El órgano competente para aprobar el escenario de consolidación presupuestaria será aquél a quien corresponde la autorización de las operaciones de endeudamiento, previo informe del Ministerio de Economía y Hacienda en el caso de que la competencia sea de la Comunidad Autónoma. En el caso de que el escenario de consolidación presupuestaria contenga alguna operación de las enumeradas en el apartado 5 de este artículo, la autorización corresponderá al Ministerio de Economía y Hacienda, previo informe, en su caso, de la Comunidad Autónoma con competencia en la materia.”</w:t>
      </w:r>
    </w:p>
    <w:p w:rsidR="00D06117" w:rsidRDefault="00D06117" w:rsidP="00D06117">
      <w:pPr>
        <w:pStyle w:val="TextoNormal"/>
      </w:pPr>
    </w:p>
    <w:p w:rsidR="00D06117" w:rsidRDefault="00D06117" w:rsidP="00D06117">
      <w:pPr>
        <w:pStyle w:val="TextoNormal"/>
      </w:pPr>
      <w:r>
        <w:t>En el posterior texto refundido de la Ley reguladora de las haciendas locales, el art. 53.1, párrafo primero; y apartado 4, párrafo final, dispone:</w:t>
      </w:r>
    </w:p>
    <w:p w:rsidR="00D06117" w:rsidRDefault="00D06117" w:rsidP="00D06117">
      <w:pPr>
        <w:pStyle w:val="TextoNormal"/>
      </w:pPr>
    </w:p>
    <w:p w:rsidR="00D06117" w:rsidRDefault="00D06117" w:rsidP="00D06117">
      <w:pPr>
        <w:pStyle w:val="TextoNormal"/>
      </w:pPr>
      <w:r>
        <w:t xml:space="preserve">“1. No se podrán concertar nuevas operaciones de crédito a largo plazo, incluyendo las operaciones que modifiquen las condiciones contractuales o añadan garantías adicionales con o sin intermediación de terceros, ni conceder avales, ni sustituir operaciones de crédito concertadas con anterioridad por parte de las entidades locales, sus organismos autónomos y los entes y sociedades mercantiles dependientes, que presten servicios o produzcan bienes que no se financien mayoritariamente con ingresos de mercado sin previa autorización de </w:t>
      </w:r>
      <w:r>
        <w:lastRenderedPageBreak/>
        <w:t>los órganos competentes del Ministerio de Hacienda o, en el caso de operaciones denominadas en euros que se realicen dentro del espacio territorial de los países pertenecientes a la Unión Europea y con entidades financieras residentes en alguno de dichos países, de la comunidad autónoma a que la entidad local pertenezca que tenga atribuida en su Estatuto competencia en la materia, cuando de los estados financieros que reflejen la liquidación de los presupuestos, los resultados corrientes y los resultados de la actividad ordinaria del último ejercicio, se deduzca un ahorro neto negativo.”</w:t>
      </w:r>
    </w:p>
    <w:p w:rsidR="00D06117" w:rsidRDefault="00D06117" w:rsidP="00D06117">
      <w:pPr>
        <w:pStyle w:val="TextoNormal"/>
      </w:pPr>
    </w:p>
    <w:p w:rsidR="00D06117" w:rsidRDefault="00D06117" w:rsidP="00D06117">
      <w:pPr>
        <w:pStyle w:val="TextoNormal"/>
      </w:pPr>
      <w:r>
        <w:t>“4. … [/] El órgano competente para aprobar el escenario de consolidación presupuestaria, será aquél a quien corresponde la autorización de las operaciones de endeudamiento, previo informe del Ministerio de Hacienda en el caso de que la competencia sea de la Comunidad Autónoma. En el caso de que el escenario de consolidación presupuestaria contenga alguna operación de las enumeradas en el apartado 5 de este artículo, la autorización corresponderá al Ministerio de Hacienda, previo informe, en su caso, de la Comunidad Autónoma con competencia en la materia.”</w:t>
      </w:r>
    </w:p>
    <w:p w:rsidR="00D06117" w:rsidRDefault="00D06117" w:rsidP="00D06117">
      <w:pPr>
        <w:pStyle w:val="TextoNormal"/>
      </w:pPr>
    </w:p>
    <w:p w:rsidR="00D06117" w:rsidRDefault="00D06117" w:rsidP="00D06117">
      <w:pPr>
        <w:pStyle w:val="TextoNormal"/>
      </w:pPr>
      <w:r>
        <w:t>El examen del Real Decreto Legislativo 2/2004, de 5 de marzo, que aprueba el mencionado texto refundido de la Ley reguladora de las haciendas locales (el cual, como hemos dicho, incorpora la reforma introducida por la Ley 62/2003, de 30 de diciembre, cuyo art. 64.3 dio nueva redacción al apartado 1 del art. 54 LHL) pone de relieve que la derogación que realiza de la Ley 39/1988 supone su sustitución por otra normativa que, en lo que aquí importa, reproduce, aun con una redacción parcialmente diferente, las mismas cuestiones objeto de controversia. Pues bien, en este tipo de procesos promovidos por causa de una posible vulneración del orden constitucional de competencias, hemos insistido en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[por todas, STC 134/2011, de 20 de julio, FJ 2 b)]. Por tanto, ha de alcanzarse la conclusión de que el recurso de inconstitucionalidad promovido mantiene vivo su objeto.</w:t>
      </w:r>
    </w:p>
    <w:p w:rsidR="00D06117" w:rsidRDefault="00D06117" w:rsidP="00D06117">
      <w:pPr>
        <w:pStyle w:val="TextoNormal"/>
      </w:pPr>
    </w:p>
    <w:p w:rsidR="00D06117" w:rsidRDefault="00D06117" w:rsidP="00D06117">
      <w:pPr>
        <w:pStyle w:val="TextoNormal"/>
      </w:pPr>
      <w:r>
        <w:t>b) En segundo lugar, debemos dejar constancia de la reforma constitucional de 27 de septiembre de 2011, que ha modificado el art. 135 CE, llevando a cabo la consagración constitucional del principio de estabilidad presupuestaria, al tiempo que encomienda a una ley orgánica el desarrollo de los principios a que se refiere el apartado 3 del precepto constitucional, lo que —como dijimos en la STC 157/2011, de 18 de octubre, FJ 3— corrobora la competencia del Estado en esta materia.</w:t>
      </w:r>
    </w:p>
    <w:p w:rsidR="00D06117" w:rsidRDefault="00D06117" w:rsidP="00D06117">
      <w:pPr>
        <w:pStyle w:val="TextoNormal"/>
      </w:pPr>
    </w:p>
    <w:p w:rsidR="00D06117" w:rsidRDefault="00D06117" w:rsidP="00D06117">
      <w:pPr>
        <w:pStyle w:val="TextoNormal"/>
      </w:pPr>
      <w:r>
        <w:t>Pues bien, este mandato constitucional ha dado lugar a la Ley Orgánica 2/2012, de 27 de abril, de estabilidad presupuestaria y sostenibilidad financiera, la cual dispone en su art. 13.5 que “[l]a autorización del Estado, o en su caso de las Comunidades Autónomas, a las Corporaciones Locales para realizar operaciones de crédito y emisiones de deuda, en cumplimiento de lo establecido en el artículo 53 del Texto Refundido de la Ley Reguladora de las Haciendas Locales, aprobada por Real Decreto Legislativo 2/2004, de 5 de marzo, tendrá en cuenta el cumplimiento de los objetivos de estabilidad presupuestaria y de deuda pública, así como al cumplimiento de los principios y las obligaciones que se derivan de la aplicación de esta Ley”.</w:t>
      </w:r>
    </w:p>
    <w:p w:rsidR="00D06117" w:rsidRDefault="00D06117" w:rsidP="00D06117">
      <w:pPr>
        <w:pStyle w:val="TextoNormal"/>
      </w:pPr>
    </w:p>
    <w:p w:rsidR="00D06117" w:rsidRDefault="00D06117" w:rsidP="00D06117">
      <w:pPr>
        <w:pStyle w:val="TextoNormal"/>
      </w:pPr>
      <w:r>
        <w:lastRenderedPageBreak/>
        <w:t>c) También debemos tener en consideración que, con posterioridad a la admisión a trámite de este recurso de inconstitucionalidad, se ha producido la entrada en vigor de la Ley Orgánica 6/2006, de 19 de julio, de reforma del Estatuto de Autonomía de Cataluña, por lo que, de acuerdo con nuestra doctrina, las cuestiones que se controvierten se decidirán teniendo en cuenta las prescripciones del nuevo Estatuto de Autonomía de Cataluña que puedan ser de aplicación, pues cuando la duda de constitucionalidad se basa en un problema de delimitación competencial y el juicio de constitucionalidad ha de producirse por el contraste no sólo con la Constitución, sino con el llamado bloque de la constitucionalidad (art. 28.1 LOTC), el Tribunal habrá de considerar las leyes vigentes y las bases materiales establecidas en el momento de formularse el juicio y dictarse la Sentencia [SSTC 87/1985, de 16 de julio, FJ 8; 179/1998, de 16 de septiembre, FJ 2; y 134/2011, de 20 de julio, FJ 2.d)].</w:t>
      </w:r>
    </w:p>
    <w:p w:rsidR="00D06117" w:rsidRDefault="00D06117" w:rsidP="00D06117">
      <w:pPr>
        <w:pStyle w:val="TextoNormal"/>
      </w:pPr>
    </w:p>
    <w:p w:rsidR="00D06117" w:rsidRDefault="00D06117" w:rsidP="00D06117">
      <w:pPr>
        <w:pStyle w:val="TextoNormal"/>
      </w:pPr>
      <w:r>
        <w:t>d) Con carácter preliminar también, es de destacar que el apartado 3 del art. 54 LHL, en su redacción original, también fue objeto de recurso de inconstitucionalidad interpuesto por el Consejo Ejecutivo de la Generalitat de Cataluña (no así el apartado 2 como, erróneamente, se indica en el escrito del Abogado de la Generalitat correspondiente al presente recurso), si bien el órgano recurrente hace hincapié en que la razón de la impugnación efectuada entonces estaba relacionada con la invasión por parte del Estado de las competencias autonómicas de desarrollo normativo sobre la materia. Por el contrario, en el presente recurso se discute exclusivamente la invasión de las competencias ejecutivas que la Generalitat ostenta en relación con la tutela financiera de las entidades locales, al haberse reservado ahora el Estado, tras la modificación de los preceptos impugnados por la Ley 50/1998, la concesión de algunas autorizaciones en materia de crédito local que anteriormente quedaban bajo la competencia de aquellas Comunidades Autónomas que, como la catalana, habían asumido competencias al respecto. En cualquier caso, es preciso reseñar que el citado recurso de inconstitucionalidad núm. 572-1989 fue ya resuelto, junto con otros recursos y cuestiones acumuladas, por la STC 233/1999, de 16 de diciembre, que declaró la constitucionalidad del citado art. 54.3 LHL, en su redacción original.</w:t>
      </w:r>
    </w:p>
    <w:p w:rsidR="00D06117" w:rsidRDefault="00D06117" w:rsidP="00D06117">
      <w:pPr>
        <w:pStyle w:val="TextoNormal"/>
      </w:pPr>
    </w:p>
    <w:p w:rsidR="00D06117" w:rsidRDefault="00D06117" w:rsidP="00D06117">
      <w:pPr>
        <w:pStyle w:val="TextoNormal"/>
      </w:pPr>
      <w:r>
        <w:t>e) Por último, en relación con la alegación de la Generalitat catalana acerca de la falta de adecuación a las directivas comunitarias núms. 73/183/CEE, 77/780/CEE y 89/46/CEE del punto de conexión utilizado por el legislador para fijar los casos en que las Comunidades Autónomas pueden otorgar las autorizaciones previstas en el art. 54.1 LHL en razón de la residencia en España de las entidades de crédito, debemos precisar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dicho de otro modo, la tarea de garantizar la recta aplicación del Derecho comunitario europeo por los poderes públicos nacionales es una cuestión de carácter infraconstitucional (así, STC 41/2002, de 25 de febrero, FJ 2).</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Todavía antes de adentramos en el análisis de los preceptos recurridos, debemos efectuar algunas consideraciones en relación con la alegación del Gobierno de la Generalitat de Cataluña acerca de la imposibilidad de que la comúnmente denominada “ley de acompañamiento” de la correspondiente ley de presupuestos generales del Estado —categoría aquélla en la que ha de incluirse a la Ley 50/1998, de medidas fiscales, administrativas y de orden social, a través de la cual se operó la modificación del art. 54 LHL— pueda introducir o modificar, como a su juicio ocurre en este caso, normas básicas. En términos generales, </w:t>
      </w:r>
      <w:r>
        <w:lastRenderedPageBreak/>
        <w:t>considera el órgano recurrente que la práctica de las “leyes de acompañamiento” supone un creciente peligro para la seguridad jurídica garantizada por el art. 9.3 CE, pues la extensión de dicho cuerpo normativo y la heterogeneidad de sus contenidos redunda en un claro perjuicio de la sistematización normativa.</w:t>
      </w:r>
    </w:p>
    <w:p w:rsidR="00D06117" w:rsidRDefault="00D06117" w:rsidP="00D06117">
      <w:pPr>
        <w:pStyle w:val="TextoNormal"/>
      </w:pPr>
    </w:p>
    <w:p w:rsidR="00D06117" w:rsidRDefault="00D06117" w:rsidP="00D06117">
      <w:pPr>
        <w:pStyle w:val="TextoNormal"/>
      </w:pPr>
      <w:r>
        <w:t>En este sentido hay que comenzar indicando que, como apunta el Abogado del Estado, los términos en que aparece planteada dicha alegación en el escrito de recurso podrían suscitar la duda de si a través de ella se ha pretendido formular un motivo autónomo de inconstitucionalidad de los preceptos recurridos o, simplemente, una mera crítica de la inadecuada técnica legislativa empleada para llevar a cabo dicha regulación. En cualquier caso, y desde el momento en que por medio de dicho alegato el Gobierno de la Generalitat de Cataluña viene a cuestionar de manera general, pero inequívoca, la posibilidad de que las citadas leyes de acompañamiento puedan establecer o modificar normas básicas, por afectar al principio de seguridad jurídica reconocido en el art. 9.3 CE y dado que los apartados 1 y 4 del art. 54 LHL objeto del presente recurso pretenden haber sido dictados con tal carácter, no puede excusarse por nuestra parte un pronunciamiento sobre la cuestión suscitada por el órgano recurrente.</w:t>
      </w:r>
    </w:p>
    <w:p w:rsidR="00D06117" w:rsidRDefault="00D06117" w:rsidP="00D06117">
      <w:pPr>
        <w:pStyle w:val="TextoNormal"/>
      </w:pPr>
    </w:p>
    <w:p w:rsidR="00D06117" w:rsidRDefault="00D06117" w:rsidP="00D06117">
      <w:pPr>
        <w:pStyle w:val="TextoNormal"/>
      </w:pPr>
      <w:r>
        <w:t>Para ello hemos de reiterar, en primer lugar, lo ya afirmado en la STC 233/1999, en el sentido de que “no hay ningún precepto en la Constitución del que directa o indirectamente se pueda derivar la existencia de una categoría legislativa particular donde deban contenerse las ‘bases’, ‘legislación básica’ o ‘normas básicas’ del Estado a las que en diversas ocasiones y bajo todas estas denominaciones se refiere el art. 149.1 CE”, pues “la única exigencia derivada de la Constitución en relación con la categoría jurídico-formal en que han de encontrarse contenidas las normas básicas es que éstas se hallen, como regla general, en una ley votada en Cortes” (FJ 40); naturaleza ésta que, sin lugar a dudas, posee la Ley 50/1998 de medidas fiscales, administrativas y del orden social. Por lo demás, la anterior afirmación no supone pronunciamiento alguno por nuestra parte en relación con la mayor menor corrección de dicho proceder legislativo desde un punto de vista estrictamente técnico, pues, según reiterada doctrina de este Tribunal, “el juicio de constitucionalidad no lo es de técnica legislativa” [SSTC 109/1987, de 29 de junio, FJ 3 c); 226/1993, de 8 de julio, FJ 4; y 188/2005, de 4 de julio, FJ 4].</w:t>
      </w:r>
    </w:p>
    <w:p w:rsidR="00D06117" w:rsidRDefault="00D06117" w:rsidP="00D06117">
      <w:pPr>
        <w:pStyle w:val="TextoNormal"/>
      </w:pPr>
    </w:p>
    <w:p w:rsidR="00D06117" w:rsidRDefault="00D06117" w:rsidP="00D06117">
      <w:pPr>
        <w:pStyle w:val="TextoNormal"/>
      </w:pPr>
      <w:r>
        <w:t xml:space="preserve">En todo caso, partiendo de que no existe prohibición alguna en el texto constitucional a la existencia de las leyes complejas, multisectoriales o de contenido heterogéneo, en la STC 136/2011, de 13 de septiembre, hemos juzgado precisamente la constitucionalidad de la propia Ley 50/1998, de 30 de diciembre, concluyendo que la misma “es una ley ordinaria que no está necesitada de ninguna previsión constitucional para ser dictada ni se ve constreñida tampoco por ningún mandato constitucional” y que como tal ley ordinaria que emana de las Cortes Generales “puede entrar a regular cualquier materia no expresamente asignada a otro tipo legislativo, y es que, del bloque de la constitucionalidad no se deriva ni impedimento alguno para que se puedan aprobar lo que califica como ‘leyes transversales’, ni exigencia de ninguna clase que imponga que cada materia deba ser objeto de un proyecto independiente, dado que las formas de manifestarse la voluntad de las Cámaras sólo tendrán un carácter limitado cuando así se derive del propio texto constitucional. En consecuencia, ningún óbice existe desde el punto de vista constitucional que impida o limite la incorporación a un solo texto legislativo, para su tramitación conjunta en un solo procedimiento, de </w:t>
      </w:r>
      <w:r>
        <w:lastRenderedPageBreak/>
        <w:t>multitud de medidas normativas de carácter heterogéneo” (FJ 3). En definitiva, “el contenido heterogéneo de la Ley 50/1998, de 30 de diciembre, no modifica su naturaleza de ley ordinaria, ni, por ende, altera su relación con las demás normas que integran el Ordenamiento jurídico” (FJ 4).</w:t>
      </w:r>
    </w:p>
    <w:p w:rsidR="00D06117" w:rsidRDefault="00D06117" w:rsidP="00D06117">
      <w:pPr>
        <w:pStyle w:val="TextoNormal"/>
      </w:pPr>
    </w:p>
    <w:p w:rsidR="00D06117" w:rsidRDefault="00D06117" w:rsidP="00D06117">
      <w:pPr>
        <w:pStyle w:val="TextoNormal"/>
      </w:pPr>
      <w:r>
        <w:t>En segundo lugar, en relación con la afectación que para el principio de seguridad jurídica puede suponer la previsión de normas básicas a través de las leyes de acompañamiento, en la STC 104/2000, de 13 de abril (FJ 7), recordamos que la seguridad jurídica “viene a ser la suma de certeza y legalidad, jerarquía y publicidad normativa, irretroactividad de lo no favorable, interdicción de la arbitrariedad, equilibrada de tal suerte que permita promover, en el orden jurídico, la justicia y la igualdad, en libertad … Es decir, la seguridad jurídica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En suma,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y 212/1996, de 19 de diciembre, FJ 15).”</w:t>
      </w:r>
    </w:p>
    <w:p w:rsidR="00D06117" w:rsidRDefault="00D06117" w:rsidP="00D06117">
      <w:pPr>
        <w:pStyle w:val="TextoNormal"/>
      </w:pPr>
    </w:p>
    <w:p w:rsidR="00D06117" w:rsidRDefault="00D06117" w:rsidP="00D06117">
      <w:pPr>
        <w:pStyle w:val="TextoNormal"/>
      </w:pPr>
      <w:r>
        <w:t>Tampoco puede obviarse que el principio de seguridad jurídica “no puede erigirse en un valor absoluto por cuanto daría lugar a la congelación del ordenamiento jurídico existente” [SSTC 126/1987, de 16 de julio, FJ 11; y 182/1997, de 28 de octubre, FJ 11 c)]. Y si bien es cierto que las normas básicas deben estar caracterizadas, como regla general y dada su propia naturaleza, por una cierta vocación de permanencia en el ordenamiento jurídico, no lo es menos que ello no puede ser predicable de toda norma por igual. Tal circunstancia dependerá de los sectores concretos de la realidad sobre los que tales normas básicas se proyecten, siendo precisamente aquéllos más dados a cambios de índole coyuntural —por ejemplo, por su estrecha conexión con aspectos tales como la marcha de la economía o la política económica general— los más tendentes a naturales cambios normativos, constituyendo sin duda las operaciones que suponen el endeudamiento de las Administraciones públicas y, por lo que al caso atañe, las relativas al crédito local, un buen ejemplo de ello.</w:t>
      </w:r>
    </w:p>
    <w:p w:rsidR="00D06117" w:rsidRDefault="00D06117" w:rsidP="00D06117">
      <w:pPr>
        <w:pStyle w:val="TextoNormal"/>
      </w:pPr>
    </w:p>
    <w:p w:rsidR="00D06117" w:rsidRDefault="00D06117" w:rsidP="00D06117">
      <w:pPr>
        <w:pStyle w:val="TextoNormal"/>
      </w:pPr>
      <w:r>
        <w:t>En definitiva, al igual que concluimos en la ya antes citada STC 136/2011, de 13 de septiembre, hemos de reiterar ahora que no cabe apreciar que los preceptos objeto del presente recurso incurran en ningún vicio susceptible de afectar a la seguridad jurídica conforme al contenido constitucionalmente garantizado de dicho principio, pues la Ley 50/1998, de 30 de diciembre, tiene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 (FJ 9).</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Una vez resuelta la cuestión precedente, para llevar a cabo el enjuiciamiento de fondo de los preceptos impugnados hemos de proceder, como resulta pertinente en estos casos, a la determinación de los títulos competenciales concernientes a los preceptos impugnados.</w:t>
      </w:r>
    </w:p>
    <w:p w:rsidR="00D06117" w:rsidRDefault="00D06117" w:rsidP="00D06117">
      <w:pPr>
        <w:pStyle w:val="TextoNormal"/>
      </w:pPr>
    </w:p>
    <w:p w:rsidR="00D06117" w:rsidRDefault="00D06117" w:rsidP="00D06117">
      <w:pPr>
        <w:pStyle w:val="TextoNormal"/>
      </w:pPr>
      <w:r>
        <w:t>El Gobierno de la Generalitat de Cataluña sustenta su competencia en un único título, concretamente el reconocido por el anterior art. 48.1 del Estatuto de Autonomía de Cataluña (EAC 1979), en el que se decía “corresponde a la Generalidad la tutela financiera sobre los entes locales, respetando la autonomía que a los mismos reconocen los arts. 140 y 142 de la Constitución y de acuerdo con el art. 9.8 de este Estatuto”. Importa señalar que tras la Ley Orgánica 6/2006, de 19 de julio, de reforma del Estatuto de Autonomía de Cataluña, es el art. 218.5 el que dispone que “corresponde a la Generalitat el ejercicio de la tutela financiera sobre los gobiernos locales, respetando la autonomía que les reconoce la Constitución”.</w:t>
      </w:r>
    </w:p>
    <w:p w:rsidR="00D06117" w:rsidRDefault="00D06117" w:rsidP="00D06117">
      <w:pPr>
        <w:pStyle w:val="TextoNormal"/>
      </w:pPr>
    </w:p>
    <w:p w:rsidR="00D06117" w:rsidRDefault="00D06117" w:rsidP="00D06117">
      <w:pPr>
        <w:pStyle w:val="TextoNormal"/>
      </w:pPr>
      <w:r>
        <w:t>El órgano recurrente únicamente reconoce al Estado, de manera general, el ejercicio de una competencia básica de carácter normativo sobre la materia, que considera superada en los preceptos impugnados, al atribuirse a aquél, a través del Ministerio de Economía y Hacienda (actualmente, el de Hacienda), competencias ejecutivas que no le corresponden, si bien se admite que en otros supuestos, como los regulados en alguno de los apartados no impugnados, cabe atribuir al Estado competencias de naturaleza ejecutiva que van más allá de lo meramente normativo, en virtud de títulos competenciales como el de las bases de la ordenación del crédito (art. 149.1.11 CE) y el de hacienda general (art. 149.1.14 CE).</w:t>
      </w:r>
    </w:p>
    <w:p w:rsidR="00D06117" w:rsidRDefault="00D06117" w:rsidP="00D06117">
      <w:pPr>
        <w:pStyle w:val="TextoNormal"/>
      </w:pPr>
    </w:p>
    <w:p w:rsidR="00D06117" w:rsidRDefault="00D06117" w:rsidP="00D06117">
      <w:pPr>
        <w:pStyle w:val="TextoNormal"/>
      </w:pPr>
      <w:r>
        <w:t>Por su parte, el Abogado del Estado disiente de la descripción del sistema de reparto competencial en la materia que efectúa el órgano recurrente, considerando que el endeudamiento de las entidades locales constituye un ámbito de la realidad que atañe no sólo a la competencia autonómica sobre régimen local del art. 148.1.2 CE y, consecuentemente, a la básica estatal del art. 149.1.18 CE. Por contra, afecta igualmente a títulos competenciales no menos importantes atribuidos al Estado, como son los del art. 149.1.11 (bases de la ordenación del crédito) y 14 (hacienda general), así como el de las bases y coordinación de la planificación general de la actividad económica al que hace referencia el art. 149.1.13 CE, títulos éstos que suponen la atribución al Estado no sólo de competencias básicas sobre la materia, sino también de competencias normativas completas y competencias ejecutivas en relación con el endeudamiento de las entidades locales.</w:t>
      </w:r>
    </w:p>
    <w:p w:rsidR="00D06117" w:rsidRDefault="00D06117" w:rsidP="00D06117">
      <w:pPr>
        <w:pStyle w:val="TextoNormal"/>
      </w:pPr>
    </w:p>
    <w:p w:rsidR="00D06117" w:rsidRDefault="00D06117" w:rsidP="00D06117">
      <w:pPr>
        <w:pStyle w:val="TextoNormal"/>
      </w:pPr>
      <w:r w:rsidRPr="00D06117">
        <w:rPr>
          <w:rStyle w:val="NumeroAFNegritaCaracter"/>
        </w:rPr>
        <w:t>5</w:t>
      </w:r>
      <w:r>
        <w:t>. Una vez expuestos los títulos competenciales invocados por la Generalitat de Cataluña y por la Abogacía del Estado, debemos recordar que este Tribunal descartó ya en la STC 4/1981, de 2 de febrero, que el establecimiento de “determinados límites al posible endeudamiento de los entes locales” vulnerase el principio constitucional de autonomía local ex arts. 137 y 140 CE [FJ 16 F)].</w:t>
      </w:r>
    </w:p>
    <w:p w:rsidR="00D06117" w:rsidRDefault="00D06117" w:rsidP="00D06117">
      <w:pPr>
        <w:pStyle w:val="TextoNormal"/>
      </w:pPr>
    </w:p>
    <w:p w:rsidR="00D06117" w:rsidRDefault="00D06117" w:rsidP="00D06117">
      <w:pPr>
        <w:pStyle w:val="TextoNormal"/>
      </w:pPr>
      <w:r>
        <w:t xml:space="preserve">En lo que aquí importa, la Ley 39/1988, de 28 de diciembre, reguladora de las haciendas locales, contempló el recurso al crédito como instrumento de financiación de los entes locales (arts. 49 y ss.), si bien sometiendo en determinadas ocasiones las operaciones de crédito a la autorización del Estado o de las Comunidades Autónomas. La regulación de esta materia en dicha ley experimentó diversas modificaciones, como las llevadas a cabo por la Ley 13/1996, de 30 de diciembre, que estableció nuevas restricciones al endeudamiento local, a través de un régimen de autorizaciones previas, vinculadas al comportamiento del ahorro neto; la Ley 66/1997, que incorporó medidas relativas al control e información por </w:t>
      </w:r>
      <w:r>
        <w:lastRenderedPageBreak/>
        <w:t>parte del Ministerio de Hacienda; la Ley 50/1998, de 30 de diciembre (a la que se refiere el presente recurso de inconstitucionalidad); la Ley 55/1999, que modificó nuevamente el art. 54 ampliando los supuestos necesitados de autorización; la Ley 18/2001, de 12 de diciembre, general de estabilidad presupuestaria (derogada por el Real Decreto Legislativo 2/2007, de 28 de diciembre, que aprueba el texto refundido de la misma), que obligó a que el otorgamiento de las autorizaciones de crédito se haga teniendo en cuenta de forma preferente el cumplimiento del principio de estabilidad presupuestaria; o la ya mencionada Ley 62/2003, de 30 de diciembre, que dio nueva redacción al apartado 1 del art. 54 LHL.</w:t>
      </w:r>
    </w:p>
    <w:p w:rsidR="00D06117" w:rsidRDefault="00D06117" w:rsidP="00D06117">
      <w:pPr>
        <w:pStyle w:val="TextoNormal"/>
      </w:pPr>
    </w:p>
    <w:p w:rsidR="00D06117" w:rsidRDefault="00D06117" w:rsidP="00D06117">
      <w:pPr>
        <w:pStyle w:val="TextoNormal"/>
      </w:pPr>
      <w:r>
        <w:t>Posteriormente, el Real Decreto Legislativo 2/2004, de 5 de marzo, aprobó el vigente texto refundido de la Ley reguladora de las haciendas locales; y, finalmente, como ya anticipamos, en desarrollo del art. 135 de la Constitución, reformado el 27 de septiembre de 2011, la Ley Orgánica 2/2012, de 27 de abril, de estabilidad presupuestaria y sostenibilidad financiera, ha dispuesto en su art. 13.5 que “[l]a autorización del Estado, o en su caso de las Comunidades Autónomas, a las Corporaciones Locales para realizar operaciones de crédito y emisiones de deuda, en cumplimiento de lo establecido en el artículo 53 del Texto Refundido de la Ley Reguladora de las Haciendas Locales, aprobada por Real Decreto Legislativo 2/2004, de 5 de marzo, tendrá en cuenta el cumplimiento de los objetivos de estabilidad presupuestaria y de deuda pública, así como al cumplimiento de los principios y las obligaciones que se derivan de la aplicación de esta Ley”.</w:t>
      </w:r>
    </w:p>
    <w:p w:rsidR="00D06117" w:rsidRDefault="00D06117" w:rsidP="00D06117">
      <w:pPr>
        <w:pStyle w:val="TextoNormal"/>
      </w:pPr>
    </w:p>
    <w:p w:rsidR="00D06117" w:rsidRDefault="00D06117" w:rsidP="00D06117">
      <w:pPr>
        <w:pStyle w:val="TextoNormal"/>
      </w:pPr>
      <w:r>
        <w:t>Asentada la constitucionalidad del establecimiento por el legislador de límites al posible endeudamiento de los entes locales, la delimitación del reparto de competencias entre el Estado y las Comunidades Autónomas en el ejercicio de esta modalidad de tutela financiera ya fue objeto de análisis en las tempranas SSTC 56/1983 y 57/1983, de 28 de junio, a propósito de sendos conflictos de competencias promovidos por la Generalitat de Cataluña frente al Gobierno de la Nación: en el primer caso, en relación con la competencia para la autorización a las entidades locales de la concesión de avales a contratistas y concesionarios de obras y servicios; y, en el segundo, en relación con la competencia para autorizar operaciones de crédito concertadas por tales entidades.</w:t>
      </w:r>
    </w:p>
    <w:p w:rsidR="00D06117" w:rsidRDefault="00D06117" w:rsidP="00D06117">
      <w:pPr>
        <w:pStyle w:val="TextoNormal"/>
      </w:pPr>
    </w:p>
    <w:p w:rsidR="00D06117" w:rsidRDefault="00D06117" w:rsidP="00D06117">
      <w:pPr>
        <w:pStyle w:val="TextoNormal"/>
      </w:pPr>
      <w:r>
        <w:t>Ambas Sentencias son particularmente citadas, en sus respectivos escritos, tanto por el Abogado de la Generalitat como por el Abogado del Estado, siendo conveniente recordar algunos pasajes relevantes de las mismas, ya que, en realidad, y como veremos, es respecto de la aplicación de dicha doctrina a los preceptos de la Ley de haciendas locales ahora recurridos donde surge la discrepancia que origina la presente controversia competencial.</w:t>
      </w:r>
    </w:p>
    <w:p w:rsidR="00D06117" w:rsidRDefault="00D06117" w:rsidP="00D06117">
      <w:pPr>
        <w:pStyle w:val="TextoNormal"/>
      </w:pPr>
    </w:p>
    <w:p w:rsidR="00D06117" w:rsidRDefault="00D06117" w:rsidP="00D06117">
      <w:pPr>
        <w:pStyle w:val="TextoNormal"/>
      </w:pPr>
      <w:r>
        <w:t xml:space="preserve">Así, en la STC 56/1983 afirmábamos ya, de manera general, como anticipo de lo que habría de decirse en la siguiente, que, lejos de tratarse de una materia incardinable en exclusiva en un título competencial estatal o autonómico, la intervención en el endeudamiento de las entidades locales “podrá tener su justificación y finalidad, en una acción de conjunto en la apelación al crédito y en la evitación de alteraciones en el equilibrio económico —caso en que es obligada una competencia estatal ...— o limitarse sin incidencia notable en estas áreas, a la tutela de otros intereses —caso en que prevalecerá el título competencial de la tutela financiera” (FJ l). Abundando más en esta misma idea, la STC 57/1983 indicó que el recurso al endeudamiento local “presenta unas implicaciones competenciales, que van más allá del limitado aspecto de la tutela sobre los entes locales, para incidir en el área de la política crediticia y del equilibrio económico, mientras que, en otros, lo que se destaca </w:t>
      </w:r>
      <w:r>
        <w:lastRenderedPageBreak/>
        <w:t>es, sobre todo, el aspecto local, en orden a la necesidad de la operación, la solvencia, y, en definitiva, algo inmediato al interés local, sin repercusión —o, al menos, sin incidencia directa— en aquellas áreas del crédito y de la economía” (FJ 2).</w:t>
      </w:r>
    </w:p>
    <w:p w:rsidR="00D06117" w:rsidRDefault="00D06117" w:rsidP="00D06117">
      <w:pPr>
        <w:pStyle w:val="TextoNormal"/>
      </w:pPr>
    </w:p>
    <w:p w:rsidR="00D06117" w:rsidRDefault="00D06117" w:rsidP="00D06117">
      <w:pPr>
        <w:pStyle w:val="TextoNormal"/>
      </w:pPr>
      <w:r>
        <w:t>Ciertamente, la controversia suscitada en ambos supuestos se circunscribió de modo específico a si la operación de crédito local que debía ser autorizada superaba o no el techo de endeudamiento fijado periódicamente por el Gobierno. Ello llevó a este Tribunal, en la STC 56/1983, donde la misma no traspasaba dicho techo, a dar preferencia al título competencial autonómico previsto en el art. 48.1 EAC 1979 (correlativo del art. 218.5 EAC 2006); mientras que, en la STC 57/1983, donde sucedía lo contrario, los títulos considerados prevalentes fueron los estatales de carácter básico en materia de crédito y de actividad económica. En este último caso, y aun tratándose inequívocamente de facultades estrictamente ejecutivas, justificábamos la competencia estatal de la manera siguiente:</w:t>
      </w:r>
    </w:p>
    <w:p w:rsidR="00D06117" w:rsidRDefault="00D06117" w:rsidP="00D06117">
      <w:pPr>
        <w:pStyle w:val="TextoNormal"/>
      </w:pPr>
    </w:p>
    <w:p w:rsidR="00D06117" w:rsidRDefault="00D06117" w:rsidP="00D06117">
      <w:pPr>
        <w:pStyle w:val="TextoNormal"/>
      </w:pPr>
      <w:r>
        <w:t>“[C]uando la Constitución utiliza el término bases (así, en el art.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Éste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(FJ 7)</w:t>
      </w:r>
    </w:p>
    <w:p w:rsidR="00D06117" w:rsidRDefault="00D06117" w:rsidP="00D06117">
      <w:pPr>
        <w:pStyle w:val="TextoNormal"/>
      </w:pPr>
    </w:p>
    <w:p w:rsidR="00D06117" w:rsidRDefault="00D06117" w:rsidP="00D06117">
      <w:pPr>
        <w:pStyle w:val="TextoNormal"/>
      </w:pPr>
      <w:r>
        <w:t>Más recientemente, en relación con el alcance de la competencia de la Comunidad Autónoma catalana para ejercer la tutela financiera de los entes locales, prevista en el art. 218.5 de su Estatuto (correlativo del art. 48.1 EAC 1979), dijimos en la STC 31/2010, de 28 de junio (FJ 140), que es “innegable” “que Cataluña ha asumido la competencia de tutela financiera sobre los entes locales, con el límite de la autonomía local y el respeto a las bases que dice el art. 149.1.18 CE [SSTC 57/1983, de 28 de junio, FJ 5; y 233/1999, de 16 de diciembre, FJ 4 c), entre otras muchas]”. Pero también añadimos que “la omisión de la referencia a la ley estatal en el art. 218.5 EAC no puede entenderse como un desconocimiento de las competencias del Estado del art. 149.1.18 CE, dada la previsión del apartado 2 del propio artículo que … atribuye a la Generalitat competencia en materia de financiación local en el marco establecido por la Constitución y la normativa del Estado, previsión a la que queda también sometida, como es obvio, la tutela financiera sobre los gobiernos locales a que se refiere este apartado 5”.</w:t>
      </w:r>
    </w:p>
    <w:p w:rsidR="00D06117" w:rsidRDefault="00D06117" w:rsidP="00D06117">
      <w:pPr>
        <w:pStyle w:val="TextoNormal"/>
      </w:pPr>
    </w:p>
    <w:p w:rsidR="00D06117" w:rsidRDefault="00D06117" w:rsidP="00D06117">
      <w:pPr>
        <w:pStyle w:val="TextoNormal"/>
      </w:pPr>
      <w:r>
        <w:t xml:space="preserve">Posteriormente, en la STC 134/2011, de 20 de julio, tras reiterar la doctrina fijada en las SSTC 56/1983 y 57/1983, de 28 de junio, hemos concluido, en relación con el art. 23.2 de la Ley 18/2001 (que condicionó, en caso de desequilibrio presupuestario, la autorización de las operaciones de crédito y emisiones de deuda ex art. 54 de la Ley 39/1988, reguladora de </w:t>
      </w:r>
      <w:r>
        <w:lastRenderedPageBreak/>
        <w:t>las haciendas locales), que estábamos ante una prescripción de ordenación financiera de las operaciones de crédito y emisión de deuda de los entes locales que encuentra legítima cobertura en las reglas del art. 149.1.11 y 13 CE y que no comporta vulneración de la autonomía de dichos entes ni de su suficiencia financiera, ya que ambas están sometidas a los límites que conllevan las señaladas competencias del Estado [FJ 14 b)].</w:t>
      </w:r>
    </w:p>
    <w:p w:rsidR="00D06117" w:rsidRDefault="00D06117" w:rsidP="00D06117">
      <w:pPr>
        <w:pStyle w:val="TextoNormal"/>
      </w:pPr>
    </w:p>
    <w:p w:rsidR="00D06117" w:rsidRDefault="00D06117" w:rsidP="00D06117">
      <w:pPr>
        <w:pStyle w:val="TextoNormal"/>
      </w:pPr>
      <w:r>
        <w:t>Este entendimiento extensivo de la competencia básica del Estado en materia de ordenación del control del crédito, hasta el punto de incluir actos de pura ejecución [en el mismo sentido, SSTC 135/1992, de 5 de octubre, FJ 3; 178/1992, de 13 de noviembre, FJ 2; 87/1993, de 11 de marzo, FJ 5; 155/1993, de 6 de mayo, FJ 6; 204/1993, de 17 de junio, FJ 5; 96/1996, de 30 de mayo, FJ 7; 155/1996, de 9 de octubre, FJ 4; 37/1997, de 27 de febrero, FJ 5; 133/1997, de 16 de julio, FFJJ 4 B) y 9 A b); y 235/1999, de 20 de diciembre, FJ 3], pone de manifiesto la conexión, en el ámbito local, de los títulos competenciales del Estado establecidos en el art. 149.1.11 y 13 CE, y muy especialmente del primero de ellos, con el más genérico de “hacienda general”, contemplado en el art. 149.1.14 CE. Precisamente, en la STC 233/1999, donde ya se apuntó que la eventual concurrencia de una competencia básica y de una competencia exclusiva del Estado en materia local no podía “ser descartada de antemano” (FJ 5), tuvimos la oportunidad de precisar —a partir de lo afirmado en su momento por la STC 179/1985 (FJ 1)— que dicho título competencial, de naturaleza exclusiva, habrá de prevalecer sobre otros y, señaladamente, sobre el establecido en el art. 149.1.18 CE,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de 16 de diciembre, FJ 4 b)]. Y es que, en efecto, no parece que haya de resultar dudosa la inclusión de la autorización del Estado sobre aquellas operaciones de endeudamiento de los entes locales que puedan incidir en la política crediticia o comprometer el equilibrio económico dentro de las medidas de coordinación entre las respectivas haciendas —estatal y local— y, por tanto, dentro de la competencia estatal sobre “hacienda general” reconocida en el art. 149.1.14 CE.</w:t>
      </w:r>
    </w:p>
    <w:p w:rsidR="00D06117" w:rsidRDefault="00D06117" w:rsidP="00D06117">
      <w:pPr>
        <w:pStyle w:val="TextoNormal"/>
      </w:pPr>
    </w:p>
    <w:p w:rsidR="00D06117" w:rsidRDefault="00D06117" w:rsidP="00D06117">
      <w:pPr>
        <w:pStyle w:val="TextoNormal"/>
      </w:pPr>
      <w:r>
        <w:t xml:space="preserve">Una vez sentado lo anterior, debemos continuar señalando que, desde un principio, venimos manteniendo que en materia de delimitación de competencias la “regla de más amplio alcance debe ceder ante la regla más especial” [SSTC 71/1982, de 30 de noviembre, FJ 6; 87/1985, de 16 de julio, FJ 8; 87/1989, de 11 de mayo, FJ 3 a); y 193/1998, de 1 de octubre, FJ 1]. O, lo que es lo mismo, que el título específico ha de prevalecer sobre el genérico (SSTC 48/1988, de 22 de marzo, FJ 2; 49/1988, de 22 de marzo, FJ 11; y 80/1988, de 28 de abril, FJ 3), sin perjuicio de que igualmente hayamos afirmado que “a este criterio no se puede atribuir un valor absoluto” (STC 213/1988, de 11 de noviembre, FJ 3). En lo que ahora interesa, la competencia básica sobre ordenación del crédito ha de considerarse de mayor especificidad que la exclusiva sobre la hacienda general, por lo que sería aquélla la que habría de prevalecer. De cualquier modo, el particular alcance que, como hemos visto, despliega la primera de las citadas, hasta el punto de incluir actos de naturaleza ejecutiva, que también se comprenden de manera natural en la segunda, permite apreciar en el presente caso el solapamiento de ambas competencias estatales, con los mismos efectos, sobre el </w:t>
      </w:r>
      <w:r>
        <w:lastRenderedPageBreak/>
        <w:t>ámbito material objeto de intervención jurídica: las operaciones de crédito local. En consecuencia, ambas pueden considerarse indistinta o simultáneamente invocables por parte del Estado en sustento de las concretas facultades cuyo expreso reconocimiento pretende ahora éste, en respuesta a la reivindicación competencial formulada por la Generalitat de Cataluña a través del presente recurso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6</w:t>
      </w:r>
      <w:r>
        <w:t>. Delimitados así los términos en los que aparece trabada la presente controversia competencial, debemos determinar seguidamente, y con carácter previo al concreto examen de los preceptos impugnados, si los mismos han sido aprobados con el carácter básico que se presupone en el recurso interpuesto por la Generalitat de Cataluña. Y es que, en efecto, como indicábamos en la STC 233/1999, de 16 de diciembre (FJ 5), lejos de indicarse de manera clara y precisa en el propio texto de la Ley de haciendas locales qué disposiciones de la misma poseen este carácter, su art. 1.1 se limita a efectuar una declaración general del carácter básico de todos los preceptos a excepción de los que regulan el “sistema tributario local” y los que desarrollan las “participaciones en los tributos del Estado”, todo ello sin perjuicio de la competencia establecida en el art. 149.1.14 CE. Pues bien, a partir de esta “delimitación residual de lo básico” efectuamos entonces una primera aproximación en la labor de identificación de los preceptos de la Ley de haciendas locales aprobados con tal naturaleza, incluyendo entre ellos los encargados de regular el régimen jurídico de los recursos de las haciendas locales distintos a los tributos locales o participaciones en tributos del Estado; régimen jurídico éste en el que quedaba incluido el relativo a las operaciones de crédito de los entes locales, reguladas en el capítulo VII del título I LHL, donde el art. 54 se integraba.</w:t>
      </w:r>
    </w:p>
    <w:p w:rsidR="00D06117" w:rsidRDefault="00D06117" w:rsidP="00D06117">
      <w:pPr>
        <w:pStyle w:val="TextoNormal"/>
      </w:pPr>
    </w:p>
    <w:p w:rsidR="00D06117" w:rsidRDefault="00D06117" w:rsidP="00D06117">
      <w:pPr>
        <w:pStyle w:val="TextoNormal"/>
      </w:pPr>
      <w:r>
        <w:t xml:space="preserve">Pasando al examen de las exigencias materiales, debemos destacar que el art. 54 LHL, en su redacción inicial, contemplaba tres niveles de endeudamiento de las Corporaciones locales, tal y como apreciamos en la ya citada STC 233/1999, de 16 de diciembre (FJ 21). Así, su apartado primero sometía “las operaciones de crédito a formalizar con el exterior y las que se instrumenten mediante deuda o cualquier otra apelación al crédito público a la autorización de los órganos competentes del Ministerio de Economía y Hacienda, conforme a la competencia estatal garantizada por los arts. 149.1.11 y 13 CE en cuanto pueden incidir en el área de la política crediticia y del equilibrio económico (STC 57/1983)”. Por su parte, el apartado segundo confería “dicha autorización a los órganos de la Comunidad Autónoma que tengan atribuida competencia en la materia cuando de la concertación de créditos y concesión de avales en general se trate, garantizando así, en el caso de la Comunidad Autónoma de Cataluña, su competencia en materia de tutela financiera reconocida por el art. 48.1 EAC, que se proyecta sobre aquellas operaciones de endeudamiento que no trascienden el interés local (STC 56/1983)”. Finalmente, el apartado tercero, configuraba “el necesario margen autónomo de endeudamiento que también ha de ser reconocido a las Corporaciones Locales por imperativo del principio constitucional de autonomía local en el marco de la competencia básica estatal del art. 149.1.18 CE”. Por el contrario, como ya advertíamos entonces, tras la redacción dada por la Ley 50/1998 el art. 54 LHL “ha experimentado un profunda modificación en relación con su tenor original, de modo que si inicialmente enumeraba de manera expresa en su párrafo 3, objeto de impugnación, los supuestos en los que las entidades locales no precisaban autorización para concertar operaciones de crédito, ahora opera a la inversa, estableciendo las operaciones de crédito que necesitan autorización de los órganos competentes del Ministerio de Economía y Hacienda o, en su caso, de la Comunidad Autónoma con competencia sobre la materia, entendiéndose delimitadas de manera </w:t>
      </w:r>
      <w:r>
        <w:lastRenderedPageBreak/>
        <w:t>residual las que no precisan de dicha autorización” (STC 233/1999, de 16 de diciembre, FJ 21).</w:t>
      </w:r>
    </w:p>
    <w:p w:rsidR="00D06117" w:rsidRDefault="00D06117" w:rsidP="00D06117">
      <w:pPr>
        <w:pStyle w:val="TextoNormal"/>
      </w:pPr>
    </w:p>
    <w:p w:rsidR="00D06117" w:rsidRDefault="00D06117" w:rsidP="00D06117">
      <w:pPr>
        <w:pStyle w:val="TextoNormal"/>
      </w:pPr>
      <w:r>
        <w:t>En lo que ahora nos interesa, y por lo que se refiere a las operaciones de endeudamiento local sometidas a autorización, cabe apreciar, en línea con lo sostenido por la Generalitat de Cataluña, que los apartados 1 y 4 del art. 54 LHL, junto con el apartado 2, vinieron a ocupar el lugar del original art. 54.2 LHL, en cuanto que tales apartados contemplan los supuestos en los que dicha autorización recae sobre las Comunidades Autónomas con competencia en la materia, mientras que el art. 54.5 LHL ha hecho lo propio respecto del inicial art. 54.1 LHL en lo que atañe a las autorizaciones que corresponden al Estado. Ahora bien, esa triple clasificación de las operaciones de crédito local en orden a su eventual autorización que expresamente establecía el art. 54 LHL y que, con la nueva configuración a la que hicimos referencia en la STC 233/1999, se mantiene viva tras la reforma, no ha de conllevar necesariamente las consecuencias que pretende el órgano recurrente y, más en concreto, la imposibilidad de que el apartado 1 del art. 54, en su nueva redacción, pueda limitar la intervención autonómica respecto de determinado tipo de operaciones de endeudamiento de las entidades locales. Todo ello, claro está, siempre y cuando la nueva regulación resulte conforme con el reparto competencial sobre la materia, que es lo que debemos examinar a continuación, sin que —por las mismas razones ya expresadas— nos corresponda emitir juicios sobre la mayor o menor corrección del precepto desde estrictos parámetros de técnica legislativa.</w:t>
      </w:r>
    </w:p>
    <w:p w:rsidR="00D06117" w:rsidRDefault="00D06117" w:rsidP="00D06117">
      <w:pPr>
        <w:pStyle w:val="TextoNormal"/>
      </w:pPr>
    </w:p>
    <w:p w:rsidR="00D06117" w:rsidRDefault="00D06117" w:rsidP="00D06117">
      <w:pPr>
        <w:pStyle w:val="TextoNormal"/>
      </w:pPr>
      <w:r w:rsidRPr="00D06117">
        <w:rPr>
          <w:rStyle w:val="NumeroAFNegritaCaracter"/>
        </w:rPr>
        <w:t>7</w:t>
      </w:r>
      <w:r>
        <w:t>. Como hemos visto ya, el apartado 1 del art. 54 LHL circunscribe la autorización autonómica sobre las nuevas operaciones de crédito a largo plazo, la concesión de avales y la sustitución de operaciones de crédito concertadas con anterioridad por parte de las entidades locales, sus organismos autónomos y sociedades mercantiles de capital íntegramente local, cuando de los estados financieros que reflejen la liquidación de los presupuestos, los resultados corrientes y los resultados de la actividad ordinaria del último ejercicio, se deduzca un ahorro neto negativo, al caso en que tales operaciones sean realizadas con entidades financieras residentes en España en moneda nacional o equivalente, correspondiendo en todos los demás dicha autorización al Ministerio de Hacienda.</w:t>
      </w:r>
    </w:p>
    <w:p w:rsidR="00D06117" w:rsidRDefault="00D06117" w:rsidP="00D06117">
      <w:pPr>
        <w:pStyle w:val="TextoNormal"/>
      </w:pPr>
    </w:p>
    <w:p w:rsidR="00D06117" w:rsidRDefault="00D06117" w:rsidP="00D06117">
      <w:pPr>
        <w:pStyle w:val="TextoNormal"/>
      </w:pPr>
      <w:r>
        <w:t xml:space="preserve">Es de reseñar que dicha acotación de la competencia autonómica se produce igualmente, de modo implícito, respecto de las operaciones de crédito a largo plazo de cualquier naturaleza, incluido el riesgo deducido de los avales, cuando el volumen total de capital vivo de las operaciones de crédito vigentes a corto y largo plazo exceda del 110 por 100 de los ingresos corrientes liquidados o devengados en el ejercicio inmediatamente anterior o, en su defecto, en el precedente a este último cuando el cómputo haya de realizarse en el primer semestre del año y no se haya liquidado el presupuesto correspondiente a aquél, según las cifras deducidas de los estados contables consolidados que integran los presupuestos generales de la corporación. En efecto, el apartado 2 del art. 54 LHL, que recoge este otro tipo de operaciones de crédito local, establece que las mismas precisarán “de autorización de los órganos citados en el apartado 1 anterior”, lo que conduce cabalmente a suponer que dicha autorización se produce en los mismos términos previstos en dicho apartado 1. Precisamente, esta remisión expresa del apartado 2 al apartado 1 del art. 54 explicaría que la Generalitat de Cataluña haya limitado su impugnación exclusivamente a este último, pues una eventual declaración por nuestra parte de la inconstitucionalidad del inciso concretamente </w:t>
      </w:r>
      <w:r>
        <w:lastRenderedPageBreak/>
        <w:t>impugnado de dicho art. 54.1 LHL afectaría asimismo al alcance de la remisión que efectúa el art. 54.2 LHL.</w:t>
      </w:r>
    </w:p>
    <w:p w:rsidR="00D06117" w:rsidRDefault="00D06117" w:rsidP="00D06117">
      <w:pPr>
        <w:pStyle w:val="TextoNormal"/>
      </w:pPr>
    </w:p>
    <w:p w:rsidR="00D06117" w:rsidRDefault="00D06117" w:rsidP="00D06117">
      <w:pPr>
        <w:pStyle w:val="TextoNormal"/>
      </w:pPr>
      <w:r>
        <w:t>Sin embargo, de acuerdo con lo expuesto en el fundamento jurídico 5, podemos adelantar ya que los concretos incisos del art. 54.1 y 4 LHL que han sido objeto de impugnación poseen naturaleza materialmente básica, debiendo por consiguiente ser considerados conformes con el orden constitucional de competencias.</w:t>
      </w:r>
    </w:p>
    <w:p w:rsidR="00D06117" w:rsidRDefault="00D06117" w:rsidP="00D06117">
      <w:pPr>
        <w:pStyle w:val="TextoNormal"/>
      </w:pPr>
    </w:p>
    <w:p w:rsidR="00D06117" w:rsidRDefault="00D06117" w:rsidP="00D06117">
      <w:pPr>
        <w:pStyle w:val="TextoNormal"/>
      </w:pPr>
      <w:r>
        <w:t>En efecto, ha de entenderse que la referencia que a través del art. 54.1 LHL se hace a las “operaciones realizadas con entidades financieras residentes en España en moneda nacional o equivalente”, como las únicas que pueden ser autorizadas por las Comunidades Autónomas con competencia sobre la materia, guarda directa correspondencia, en lo que a su primer extremo se refiere (operaciones realizadas con entidades financieras residentes en España), a contrario sensu, con aquellas “que se formalicen en el exterior o con entidades financieras no residentes en España” a las que se refiere el art. 54.5 a) LHL y que deben ser autorizadas por el Ministerio de Hacienda. Así pues, lejos de tratarse, como apunta el Gobierno de la Generalitat, de una superflua doble autorización estatal sobre el mismo objeto, la mención introducida por el inciso impugnado ha de ser entendida sin dificultad como una reiteración del tipo de operaciones de endeudamiento local ya contempladas en el mencionado art. 54.5 a) LHL, reservadas a la autorización de dicho Ministerio y cuya adecuación al orden competencial no discute la Generalitat de Cataluña. Pues, ciertamente, las mismas trascienden al ámbito local en el sentido de lo ya afirmado en la STC 57/1983, con independencia, por tanto, del estado financiero de las entidades locales, los organismos autónomos o las sociedades mercantiles de capital íntegramente local sujetas a aquélla.</w:t>
      </w:r>
    </w:p>
    <w:p w:rsidR="00D06117" w:rsidRDefault="00D06117" w:rsidP="00D06117">
      <w:pPr>
        <w:pStyle w:val="TextoNormal"/>
      </w:pPr>
    </w:p>
    <w:p w:rsidR="00D06117" w:rsidRDefault="00D06117" w:rsidP="00D06117">
      <w:pPr>
        <w:pStyle w:val="TextoNormal"/>
      </w:pPr>
      <w:r>
        <w:t>Otro tanto hay que afirmar también en relación con la referencia que hace el art. 54.1 LHL a la autorización, por parte de las Comunidades Autónomas, únicamente de aquellas operaciones de crédito local concertadas “en moneda nacional o equivalente” y que supone la exclusión de la competencia autonómica sobre cualesquiera otras concertadas en moneda distinta al euro (o, en su momento, a la peseta), sea cual sea la residencia de la entidad de crédito concernida. Pues bien, aunque esta otra acotación de la competencia autonómica ha de entenderse introducida ex novo tras la reforma introducida en el art. 54 LHL por la Ley 50/1998, la misma ha de considerarse coherente con el reparto de competencias que se deriva de los arts. 149.1.11 y 13 CE, y 218.5 EAC 2006, en el sentido indicado por las SSTC 56/1983 y 57/1983. En efecto, la elección de una divisa distinta al euro en el concierto de operaciones de crédito local, en cuanto que aquélla se encuentra sujeta a las fluctuaciones del mercado de control de cambios, puede alterar considerablemente el importe final del capital de las operaciones proyectadas, siendo por tanto susceptible de afectar no sólo a la propia solvencia de la entidad local de que se trate, sino también, en aquellos supuestos en los que operaciones de esta naturaleza puedan revestir un carácter generalizado por razones de coyuntura financiera, al conjunto de la política crediticia o al equilibrio económico general cuya determinación y salvaguarda corresponde al Estado. En consecuencia, resulta legítimo que éste, en el marco de sus competencias sobre la materia, pueda optar por establecer de manera general, como se desprende del referido inciso del art. 54.1 LHL, la autorización del Ministerio de Hacienda para este concreto tipo de operaciones.</w:t>
      </w:r>
    </w:p>
    <w:p w:rsidR="00D06117" w:rsidRDefault="00D06117" w:rsidP="00D06117">
      <w:pPr>
        <w:pStyle w:val="TextoNormal"/>
      </w:pPr>
    </w:p>
    <w:p w:rsidR="00D06117" w:rsidRDefault="00D06117" w:rsidP="00D06117">
      <w:pPr>
        <w:pStyle w:val="TextoNormal"/>
      </w:pPr>
      <w:r>
        <w:t xml:space="preserve">Igualmente cabe apreciar el carácter materialmente básico del inciso impugnado del art. 54.4 LHL, que se limita a atribuir al Ministerio de Economía y Hacienda (actualmente al de </w:t>
      </w:r>
      <w:r>
        <w:lastRenderedPageBreak/>
        <w:t>Hacienda) la autorización —previo informe, en su caso, de la Comunidad Autónoma— de los escenarios de consolidación presupuestaria que contengan alguna de las operaciones de crédito local previstas en el art. 54.5 LHL. En efecto, estas operaciones —a formalizar con el exterior, o instrumentadas mediante emisiones de deuda o cualquier otra forma de apelación al crédito público— se encontraban ya reservadas de manera general al Estado por el art. 54 LHL desde su redacción inicial (apartado 1), habiéndose introducido algunas especificaciones tras la nueva redacción del precepto por la Ley 50/1998 (como la intrascendencia de la divisa que sirva de determinación del capital de la operaciones formalizadas en el exterior y la inclusión dentro de tales operaciones de las cesiones a entidades financieras no residentes de las participaciones que ostenten entidades residentes en créditos otorgados a las entidades locales, organismos autónomos y sociedades mercantiles de capital íntegramente local) que en nada desvirtúan el objeto original de la autorización estatal. Además, la incardinación de esta autorización en el área de la política crediticia y en el equilibrio económico que sirve de fundamento a los títulos competenciales del Estado sobre la materia tampoco es discutida por la Generalitat de Cataluña, como se reconoce en el escrito de recurso y lo demuestra el hecho de que el art. 54.5 LHL no haya sido objeto de impugnación.</w:t>
      </w:r>
    </w:p>
    <w:p w:rsidR="00D06117" w:rsidRDefault="00D06117" w:rsidP="00D06117">
      <w:pPr>
        <w:pStyle w:val="TextoNormal"/>
      </w:pPr>
    </w:p>
    <w:p w:rsidR="00D06117" w:rsidRDefault="00D06117" w:rsidP="00D06117">
      <w:pPr>
        <w:pStyle w:val="TextoNormal"/>
      </w:pPr>
      <w:r w:rsidRPr="00D06117">
        <w:rPr>
          <w:rStyle w:val="NumeroAFNegritaCaracter"/>
        </w:rPr>
        <w:t>8</w:t>
      </w:r>
      <w:r>
        <w:t>. Llegados a este punto, nuestra decisión ha de quedar circunscrita de manera exclusiva a declarar, de acuerdo con lo expuesto, la sujeción al orden constitucional y estatutario de competencias existente entre el Estado y la Comunidad Autónoma de Cataluña de los preceptos concretamente impugnados, sin que nos corresponda dilucidar en el marco del presente recurso de inconstitucionalidad, más allá de lo afirmado en el fundamento jurídico anterior, si el apartado 5 del art. 54 LHL, que no ha sido objeto de impugnación, impide un sistema de doble autorización estatal y autonómica de las operaciones de endeudamiento concertadas por las entidades locales en aquellos casos en los que se produzca una concurrencia de los diferentes objetivos a los que cada una de estas autorizaciones se orienta. En efecto, y como ya tuvimos ocasión de recordar en la STC 233/1999, en respuesta a una alegación semejante a cargo del Abogado de la Generalitat respecto del art. 50.3 LHL (posterior art. 50.4), no es misión de este Tribunal Constitucional, a la hora de resolver controversias de naturaleza competencial, “llevar a cabo declaraciones interpretativas sobre la existencia y significado de supuestos implícitos en las normas y sobre sus presuntas consecuencias” (SSTC 67/1983, de 22 de julio, FJ 3; 95/1984, de 18 de octubre, FJ 2; 76/1991, de 11 de abril, FJ 2; 118/1998, de 4 de junio, FJ 7; y 233/1999, de 16 de diciembre, FJ 21). Por el contrario, hemos exigido “la existencia de un efectivo y real despojo de la competencia por el ente territorial invasor que genere una correlativa vindicatio potestatis por el ente invadido que se ve despojado de su competencia, sin admitir planteamientos meramente preventivos, cautelares, virtuales o hipotéticos” (SSTC 166/1987, de 28 de octubre, FJ 2; y, en semejantes términos, 101/1995, de 22 de junio, FJ 6). Así pues, hemos de concluir a ese respecto, al igual que hacíamos entonces, que “sólo cuando la Comunidad Autónoma haya instrumentado normativamente su régimen de autorización sobre tales operaciones, podrá establecerse, atendiendo a la regulación concreta de la materia y a su finalidad, la conformidad de la misma con el sistema de reparto competencial constitucionalmente establecido” (STC 233/1999, de 16 de diciembre, FJ 21).</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recurso de inconstitucionalidad núm. 1291-1999, interpuesto por el Gobierno de la Generalitat de Cataluña.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cuatro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4" w:name="SENTENCIA_2012_121"/>
      <w:r>
        <w:lastRenderedPageBreak/>
        <w:t>SENTENCIA 121/2012, de 5 de junio de 2012</w:t>
      </w:r>
    </w:p>
    <w:bookmarkEnd w:id="124"/>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ECLI:ES:TC:2012:121</w:t>
      </w:r>
    </w:p>
    <w:p w:rsidR="00D06117" w:rsidRDefault="00D06117" w:rsidP="00D06117">
      <w:pPr>
        <w:pStyle w:val="SntesisDescriptiva"/>
      </w:pPr>
    </w:p>
    <w:p w:rsidR="00D06117" w:rsidRDefault="00D06117" w:rsidP="00D06117">
      <w:pPr>
        <w:pStyle w:val="SntesisDescriptiva"/>
      </w:pPr>
      <w:r>
        <w:t>Conflicto en defensa de la autonomía local 460-2001. Promovido por el Ayuntamiento de Gijón y otros diecinueve municipios en relación con diversos preceptos de la Ley del Principado de Asturias 2/2000, de 23 de junio, de cajas de ahorro.</w:t>
      </w:r>
    </w:p>
    <w:p w:rsidR="00D06117" w:rsidRDefault="00D06117" w:rsidP="00D06117">
      <w:pPr>
        <w:pStyle w:val="SntesisDescriptiva"/>
      </w:pPr>
    </w:p>
    <w:p w:rsidR="00D06117" w:rsidRDefault="00D06117" w:rsidP="00D06117">
      <w:pPr>
        <w:pStyle w:val="SntesisAnaltica"/>
      </w:pPr>
      <w:r>
        <w:t>Representantes de los entes locales en los órganos rectores de las cajas de ahorro: preceptos legales que no vulneran la autonomía local constitucionalmente garantizada al introducir el principio de proporcionalidad para la designación de los representantes locales y de las entidades locales fundadoras de cajas de ahorro, y modificar el porcentaje de representación del Ayuntamiento de Gijón en la Caja de Ahorros de Asturias.</w:t>
      </w:r>
    </w:p>
    <w:p w:rsidR="00D06117" w:rsidRDefault="00D06117" w:rsidP="00D06117">
      <w:pPr>
        <w:pStyle w:val="SntesisAnaltica"/>
      </w:pPr>
    </w:p>
    <w:p w:rsidR="00D06117" w:rsidRDefault="00D06117" w:rsidP="00D06117">
      <w:pPr>
        <w:pStyle w:val="Extracto"/>
      </w:pPr>
      <w:r>
        <w:t>1.</w:t>
      </w:r>
      <w:r>
        <w:tab/>
        <w:t>La distribución de los representantes de la corporación local adoptada por el artículo impugnado respeta el principio democratizador que inspira la LORCA sin vulnerar la autonomía local constitucionalmente garantizada, que queda satisfecha con la participación de los Ayuntamientos en los órganos rectores de las cajas de ahorro en calidad de entes públicos depositarios de los intereses colectivos de los vecinos, por lo que nada ha de reprocharse a la introducción del principio de proporcionalidad para la designación de dichos representantes [FJ 7].</w:t>
      </w:r>
    </w:p>
    <w:p w:rsidR="00D06117" w:rsidRDefault="00D06117" w:rsidP="00D06117">
      <w:pPr>
        <w:pStyle w:val="Extracto"/>
      </w:pPr>
    </w:p>
    <w:p w:rsidR="00D06117" w:rsidRDefault="00D06117" w:rsidP="00D06117">
      <w:pPr>
        <w:pStyle w:val="Extracto"/>
      </w:pPr>
      <w:r>
        <w:t>2.</w:t>
      </w:r>
      <w:r>
        <w:tab/>
        <w:t>La distribución de los consejeros generales designados por las corporaciones locales en nada altera las normas básicas relativas a las mayorías necesarias para la adopción válida de acuerdos por el pleno de la corporación, puesto que la obligatoriedad de guardar la necesaria proporcionalidad en la designación de los representantes de la corporación local es algo distinto al sistema de adopción de acuerdos y de mayorías exigibles al respecto  [FFJJ 7, 8].</w:t>
      </w:r>
    </w:p>
    <w:p w:rsidR="00D06117" w:rsidRDefault="00D06117" w:rsidP="00D06117">
      <w:pPr>
        <w:pStyle w:val="Extracto"/>
      </w:pPr>
    </w:p>
    <w:p w:rsidR="00D06117" w:rsidRDefault="00D06117" w:rsidP="00D06117">
      <w:pPr>
        <w:pStyle w:val="Extracto"/>
      </w:pPr>
      <w:r>
        <w:t>3.</w:t>
      </w:r>
      <w:r>
        <w:tab/>
        <w:t>El artículo impugnado –que impone una forma proporcional de elección de los Consejeros Generales representantes de las entidades fundadoras– cumple con el principio democratizador que inspira la legislación en materia de cajas de ahorro, sin que ello suponga imposición de la forma de proceder al nombramiento contrario al art. 5 LORCA, -que determina el nombramiento directo de los Consejeros Generales representantes de las entidades fundadoras– ni condicionamiento a la autonomía local [FJ 8].</w:t>
      </w:r>
    </w:p>
    <w:p w:rsidR="00D06117" w:rsidRDefault="00D06117" w:rsidP="00D06117">
      <w:pPr>
        <w:pStyle w:val="Extracto"/>
      </w:pPr>
    </w:p>
    <w:p w:rsidR="00D06117" w:rsidRDefault="00D06117" w:rsidP="00D06117">
      <w:pPr>
        <w:pStyle w:val="Extracto"/>
      </w:pPr>
      <w:r>
        <w:t>4.</w:t>
      </w:r>
      <w:r>
        <w:tab/>
        <w:t>Nada pueda oponerse a la participación de los grupos municipales en la designación de los representantes de la corporación en la caja de ahorros, ya que aquéllos son expresión de la voluntad popular en los órganos de gobierno de los municipios [FJ 8].</w:t>
      </w:r>
    </w:p>
    <w:p w:rsidR="00D06117" w:rsidRDefault="00D06117" w:rsidP="00D06117">
      <w:pPr>
        <w:pStyle w:val="Extracto"/>
      </w:pPr>
    </w:p>
    <w:p w:rsidR="00D06117" w:rsidRDefault="00D06117" w:rsidP="00D06117">
      <w:pPr>
        <w:pStyle w:val="Extracto"/>
      </w:pPr>
      <w:r>
        <w:t>5.</w:t>
      </w:r>
      <w:r>
        <w:tab/>
        <w:t xml:space="preserve">Forma parte del ámbito de autonomía del Ayuntamiento de Gijón, en cuanto entidad local fundadora de la Caja de Ahorros de Asturias, el derecho a gozar de una representación efectiva en los órganos rectores de la caja de ahorros, pero la </w:t>
      </w:r>
      <w:r>
        <w:lastRenderedPageBreak/>
        <w:t>determinación de cuál sea el concreto porcentaje de representación que le corresponda y la forma concreta de articularla ha de corresponder al legislador competente por razón de la materia  [FJ 9].</w:t>
      </w:r>
    </w:p>
    <w:p w:rsidR="00D06117" w:rsidRDefault="00D06117" w:rsidP="00D06117">
      <w:pPr>
        <w:pStyle w:val="Extracto"/>
      </w:pPr>
    </w:p>
    <w:p w:rsidR="00D06117" w:rsidRDefault="00D06117" w:rsidP="00D06117">
      <w:pPr>
        <w:pStyle w:val="Extracto"/>
      </w:pPr>
      <w:r>
        <w:t>6.</w:t>
      </w:r>
      <w:r>
        <w:tab/>
        <w:t>Debe desestimarse el conflicto en defensa de la autonomía local planteado en relación con la disposición adicional impugnada ya que no puede considerarse que la limitación de la representación de las corporaciones fundadoras de la Caja de Ahorros de Asturias afecte a la autonomía local constitucionalmente garantizada, dado que no ha excluido una participación significativa del Ayuntamiento de Gijón en los órganos de gobierno de dicha caja de ahorros [FJ 9].</w:t>
      </w:r>
    </w:p>
    <w:p w:rsidR="00D06117" w:rsidRDefault="00D06117" w:rsidP="00D06117">
      <w:pPr>
        <w:pStyle w:val="Extracto"/>
      </w:pPr>
    </w:p>
    <w:p w:rsidR="00D06117" w:rsidRDefault="00D06117" w:rsidP="00D06117">
      <w:pPr>
        <w:pStyle w:val="Extracto"/>
      </w:pPr>
      <w:r>
        <w:t>7.</w:t>
      </w:r>
      <w:r>
        <w:tab/>
        <w:t>Doctrina sobre la autonomía local (SSTC 252/2005, 240/2006)   [FJ 5].</w:t>
      </w:r>
    </w:p>
    <w:p w:rsidR="00D06117" w:rsidRDefault="00D06117" w:rsidP="00D06117">
      <w:pPr>
        <w:pStyle w:val="Extracto"/>
      </w:pPr>
    </w:p>
    <w:p w:rsidR="00D06117" w:rsidRDefault="00D06117" w:rsidP="00D06117">
      <w:pPr>
        <w:pStyle w:val="Extracto"/>
      </w:pPr>
      <w:r>
        <w:t>8.</w:t>
      </w:r>
      <w:r>
        <w:tab/>
        <w:t xml:space="preserve">No consta en autos que cuatro de los veinte municipios impugnantes hayan solicitado el dictamen del Consejo de Estado, </w:t>
      </w:r>
      <w:r w:rsidRPr="00D06117">
        <w:rPr>
          <w:i/>
        </w:rPr>
        <w:t>ex</w:t>
      </w:r>
      <w:r>
        <w:t xml:space="preserve"> art. 75 ter.3 LOTC, requisito de admisibilidad que no puede ser soslayado, de modo que, por ello, no pueden ser considerados promotores del presente conflicto en defensa de la autonomía local [FJ 2]. </w:t>
      </w:r>
    </w:p>
    <w:p w:rsidR="00D06117" w:rsidRDefault="00D06117" w:rsidP="00D06117">
      <w:pPr>
        <w:pStyle w:val="Extracto"/>
      </w:pPr>
    </w:p>
    <w:p w:rsidR="00D06117" w:rsidRDefault="00D06117" w:rsidP="00D06117">
      <w:pPr>
        <w:pStyle w:val="Extracto"/>
      </w:pPr>
      <w:r>
        <w:t>9.</w:t>
      </w:r>
      <w:r>
        <w:tab/>
        <w:t>El art. 22.2 de la Ley 2/2000, no es un precepto que pueda ser calificado como de destinatario único y, de hecho, el examen de los acuerdos plenarios muestra que ha sido efectivamente recurrido por dieciséis municipios asturianos al amparo de lo dispuesto en el art. 75 ter.1 b) LOTC, concurriendo de esta forma las exigencias de legitimación establecidas en nuestra Ley Orgánica  [FJ 3].</w:t>
      </w:r>
    </w:p>
    <w:p w:rsidR="00D06117" w:rsidRDefault="00D06117" w:rsidP="00D06117">
      <w:pPr>
        <w:pStyle w:val="Extracto"/>
      </w:pPr>
    </w:p>
    <w:p w:rsidR="00D06117" w:rsidRDefault="00D06117" w:rsidP="00D06117">
      <w:pPr>
        <w:pStyle w:val="Extracto"/>
      </w:pPr>
      <w:r>
        <w:t>10.</w:t>
      </w:r>
      <w:r>
        <w:tab/>
        <w:t>Al referirse el art. 24.2 y la disposición adicional primera de la Ley 2/2000, a aspectos relativos a la representación del Ayuntamiento de Gijón –en tanto que destinatario único del precepto– en los órganos de gobierno de la caja de ahorros en su calidad de entidad fundadora de la misma, ese Ayuntamiento satisface la exigencia regulada en art. 75 ter.1 a) LOTC, estando por ello legitimado para plantear su impugnación  [FJ 3].</w:t>
      </w:r>
    </w:p>
    <w:p w:rsidR="00D06117" w:rsidRDefault="00D06117" w:rsidP="00D06117">
      <w:pPr>
        <w:pStyle w:val="Extracto"/>
      </w:pPr>
    </w:p>
    <w:p w:rsidR="00D06117" w:rsidRDefault="00D06117" w:rsidP="00D06117">
      <w:pPr>
        <w:pStyle w:val="Extracto"/>
      </w:pPr>
      <w:r>
        <w:t>11.</w:t>
      </w:r>
      <w:r>
        <w:tab/>
        <w:t xml:space="preserve">El art. 46.1 de la Ley 2/2000, que contiene una previsión genérica relativa al nombramiento del presidente y vicepresidentes, no puede interpretarse como un precepto con un único potencial destinatario, y que además éste fuera precisamente el Ayuntamiento de Gijón, por lo que debemos inadmitir el conflicto en defensa de la autonomía local planteado por ese Ayuntamiento, en relación con dicho artículo, por no concurrir en el mismo la legitimación </w:t>
      </w:r>
      <w:r w:rsidRPr="00D06117">
        <w:rPr>
          <w:i/>
        </w:rPr>
        <w:t>ad causam</w:t>
      </w:r>
      <w:r>
        <w:t xml:space="preserve"> prevista en el art. 75 ter.1 a) LOTC [FFJJ 3, 4].</w:t>
      </w:r>
    </w:p>
    <w:p w:rsidR="00D06117" w:rsidRDefault="00D06117" w:rsidP="00D06117">
      <w:pPr>
        <w:pStyle w:val="Extracto"/>
      </w:pPr>
    </w:p>
    <w:p w:rsidR="00D06117" w:rsidRDefault="00D06117" w:rsidP="00D06117">
      <w:pPr>
        <w:pStyle w:val="Extracto"/>
      </w:pPr>
      <w:r>
        <w:t>12.</w:t>
      </w:r>
      <w:r>
        <w:tab/>
        <w:t>Hemos de inadmitir el conflicto que se plantea contra el art. 24.2 de la Ley 2/2000 por la totalidad de los dieciséis municipios promotores, pues el citado artículo tiene, tan solo, un único destinatario, el Ayuntamiento de Gijón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 xml:space="preserve">El Pleno del Tribunal Constitucional, compuesto por don Pascual Sala Sánchez, Presidente, don Javier Delgado Barrio, doña Elisa Pérez Vera, don Ramón Rodríguez Arribas, </w:t>
      </w:r>
      <w:r>
        <w:lastRenderedPageBreak/>
        <w:t>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en defensa de la autonomía local núm. 460-2001, promovido por los municipios de Gijón, Belmonte de Miranda, Candamo, Cangas de Narcea, Cangas de Onís, Caravia, Illano, Las Regueras-Santullano, Llanes, Muros del Nalón, Peñamellera Alta, Pesoz, Quirós, Rivadeva, Ribera de Arriba, Santa Eulalia de Oscos, Somiedo, Soto del Barco, Teverga y Vegadeo, representados por la Procuradora de los Tribunales doña Isabel Juliá Corujo y asistidos por el Abogado don Juan Alfonso Santamaría Pastor, en relación con los arts. 22.2, 24.2, 46.1 y disposición adicional primera de la Ley del Principado de Asturias 2/2000, de 23 de junio, de cajas de ahorro. Ha formulado alegaciones la Junta General del Principado de Asturias. Ha sido Ponente el Magistrado don Luis Ignacio Ortega Álvarez,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26 de enero de 2001, doña Isabel Juliá Corujo, Procuradora de los Tribunales, en nombre y representación de los municipios de Gijón, Belmonte de Miranda, Candamo, Cangas de Narcea, Cangas de Onís, Caravia, Illano, Las Regueras-Santullano, Llanes, Muros del Nalón, Peñamellera Alta, Pesoz, Quirós, Rivadeva, Ribera de Arriba, Santa Eulalia de Oscos, Somiedo, Soto del Barco, Teverga y Vegadeo plantean conflicto en defensa de la autonomía local en relación con los arts. 22.2, 24.2, 46.1 y disposición adicional primera de la Ley del Principado de Asturias 2/2000, de 23 de junio, de cajas de ahorro.</w:t>
      </w:r>
    </w:p>
    <w:p w:rsidR="00D06117" w:rsidRDefault="00D06117" w:rsidP="00D06117">
      <w:pPr>
        <w:pStyle w:val="TextoNormal"/>
      </w:pPr>
    </w:p>
    <w:p w:rsidR="00D06117" w:rsidRDefault="00D06117" w:rsidP="00D06117">
      <w:pPr>
        <w:pStyle w:val="TextoNormal"/>
      </w:pPr>
      <w:r w:rsidRPr="00D06117">
        <w:rPr>
          <w:rStyle w:val="NumeroAFNegritaCaracter"/>
        </w:rPr>
        <w:t>2</w:t>
      </w:r>
      <w:r>
        <w:t>. El escrito de planteamiento del conflicto en defensa de la autonomía local expone las alegaciones que, sintéticamente, se recogen a continuación:</w:t>
      </w:r>
    </w:p>
    <w:p w:rsidR="00D06117" w:rsidRDefault="00D06117" w:rsidP="00D06117">
      <w:pPr>
        <w:pStyle w:val="TextoNormal"/>
      </w:pPr>
      <w:r>
        <w:tab/>
      </w:r>
    </w:p>
    <w:p w:rsidR="00D06117" w:rsidRDefault="00D06117" w:rsidP="00D06117">
      <w:pPr>
        <w:pStyle w:val="TextoNormal"/>
      </w:pPr>
      <w:r>
        <w:t>a) Los preceptos que constituyen el objeto del presente conflicto en defensa de la autonomía local disponen lo siguiente.</w:t>
      </w:r>
    </w:p>
    <w:p w:rsidR="00D06117" w:rsidRDefault="00D06117" w:rsidP="00D06117">
      <w:pPr>
        <w:pStyle w:val="TextoNormal"/>
      </w:pPr>
    </w:p>
    <w:p w:rsidR="00D06117" w:rsidRDefault="00D06117" w:rsidP="00D06117">
      <w:pPr>
        <w:pStyle w:val="TextoNormal"/>
      </w:pPr>
      <w:r>
        <w:t xml:space="preserve">Art. 22.2: </w:t>
      </w:r>
    </w:p>
    <w:p w:rsidR="00D06117" w:rsidRDefault="00D06117" w:rsidP="00D06117">
      <w:pPr>
        <w:pStyle w:val="TextoNormal"/>
      </w:pPr>
    </w:p>
    <w:p w:rsidR="00D06117" w:rsidRDefault="00D06117" w:rsidP="00D06117">
      <w:pPr>
        <w:pStyle w:val="TextoNormal"/>
      </w:pPr>
      <w:r>
        <w:t xml:space="preserve">“Los Consejeros Generales que representen a las Corporaciones Municipales serán elegidos directamente por los Plenos de las mismas. Cada Grupo municipal podrá presentar una propuesta de candidatos con un número de éstos igual al número de Consejeros a elegir. Los candidatos a Consejeros Generales, por el orden en que figuren en la propuesta, serán </w:t>
      </w:r>
      <w:r>
        <w:lastRenderedPageBreak/>
        <w:t>elegidos de forma proporcional al número de votos obtenidos por cada candidatura. Cada miembro del Pleno podrá dar su voto a una única candidatura.”</w:t>
      </w:r>
    </w:p>
    <w:p w:rsidR="00D06117" w:rsidRDefault="00D06117" w:rsidP="00D06117">
      <w:pPr>
        <w:pStyle w:val="TextoNormal"/>
      </w:pPr>
    </w:p>
    <w:p w:rsidR="00D06117" w:rsidRDefault="00D06117" w:rsidP="00D06117">
      <w:pPr>
        <w:pStyle w:val="TextoNormal"/>
      </w:pPr>
      <w:r>
        <w:t xml:space="preserve">Art. 24.2: </w:t>
      </w:r>
    </w:p>
    <w:p w:rsidR="00D06117" w:rsidRDefault="00D06117" w:rsidP="00D06117">
      <w:pPr>
        <w:pStyle w:val="TextoNormal"/>
      </w:pPr>
    </w:p>
    <w:p w:rsidR="00D06117" w:rsidRDefault="00D06117" w:rsidP="00D06117">
      <w:pPr>
        <w:pStyle w:val="TextoNormal"/>
      </w:pPr>
      <w:r>
        <w:t>“Cuando alguna de las entidades fundadoras sea un Ayuntamiento, elegirá a sus correspondientes representantes en los órganos de gobierno aplicando el procedimiento establecido en el art. 22.2 de la presente Ley.”</w:t>
      </w:r>
    </w:p>
    <w:p w:rsidR="00D06117" w:rsidRDefault="00D06117" w:rsidP="00D06117">
      <w:pPr>
        <w:pStyle w:val="TextoNormal"/>
      </w:pPr>
    </w:p>
    <w:p w:rsidR="00D06117" w:rsidRDefault="00D06117" w:rsidP="00D06117">
      <w:pPr>
        <w:pStyle w:val="TextoNormal"/>
      </w:pPr>
      <w:r>
        <w:t xml:space="preserve">Art. 46.1: </w:t>
      </w:r>
    </w:p>
    <w:p w:rsidR="00D06117" w:rsidRDefault="00D06117" w:rsidP="00D06117">
      <w:pPr>
        <w:pStyle w:val="TextoNormal"/>
      </w:pPr>
    </w:p>
    <w:p w:rsidR="00D06117" w:rsidRDefault="00D06117" w:rsidP="00D06117">
      <w:pPr>
        <w:pStyle w:val="TextoNormal"/>
      </w:pPr>
      <w:r>
        <w:t>“El Consejo de Administración nombrará de entre sus miembros al Presidente del mismo que, a su vez, lo será de la entidad y de la Asamblea General, y podrá elegir uno o varios Vicepresidentes, que sustituirán por su orden al Presidente. El Consejo de Administración nombrará también un Secretario del Consejo.”</w:t>
      </w:r>
    </w:p>
    <w:p w:rsidR="00D06117" w:rsidRDefault="00D06117" w:rsidP="00D06117">
      <w:pPr>
        <w:pStyle w:val="TextoNormal"/>
      </w:pPr>
    </w:p>
    <w:p w:rsidR="00D06117" w:rsidRDefault="00D06117" w:rsidP="00D06117">
      <w:pPr>
        <w:pStyle w:val="TextoNormal"/>
      </w:pPr>
      <w:r>
        <w:t xml:space="preserve">Disposición adicional primera: </w:t>
      </w:r>
    </w:p>
    <w:p w:rsidR="00D06117" w:rsidRDefault="00D06117" w:rsidP="00D06117">
      <w:pPr>
        <w:pStyle w:val="TextoNormal"/>
      </w:pPr>
    </w:p>
    <w:p w:rsidR="00D06117" w:rsidRDefault="00D06117" w:rsidP="00D06117">
      <w:pPr>
        <w:pStyle w:val="TextoNormal"/>
      </w:pPr>
      <w:r>
        <w:t>“Cuando una entidad u organismo público tuviera derecho, conforme a lo previsto en la presente Ley, a nombrar miembros de los órganos de gobierno por más de un grupo de representación, el total de los mismos no podrá exceder el veinte por ciento del número de miembros. Los excedentes se deducirán del grupo de representación en el que mayor número de representante ostente y se asignarán, en primer lugar, al resto de entidades con derecho a representación de ese mismo grupo y, en su defecto, al grupo de impositores.”</w:t>
      </w:r>
    </w:p>
    <w:p w:rsidR="00D06117" w:rsidRDefault="00D06117" w:rsidP="00D06117">
      <w:pPr>
        <w:pStyle w:val="TextoNormal"/>
      </w:pPr>
    </w:p>
    <w:p w:rsidR="00D06117" w:rsidRDefault="00D06117" w:rsidP="00D06117">
      <w:pPr>
        <w:pStyle w:val="TextoNormal"/>
      </w:pPr>
      <w:r>
        <w:t>b) En cuanto al contenido del conflicto planteado, el escrito de promoción distingue una doble motivación, por entender que afecta de manera diversa a los Ayuntamientos que plantean el conflicto diferenciando entre, por un lado, los arts. 22.2 y 24.2 de la Ley 2/2000 y, por otro, el art. 46.1 y la disposición adicional primera de la Ley 2/2000. Así se señala literalmente en primer lugar que “[l]a totalidad de los Ayuntamientos que aquí comparecen suscitan conflicto frente a los artículos 22.2 y 24.2 de la Ley 2/2000 que, por su alcance general, vulneran la autonomía de todos ellos, al establecer un procedimiento atípico y constitucionalmente incorrecto de designación de los Consejeros Generales de la Caja, como luego se acreditará”; a continuación se indica que “el conflicto frente al art. 46.1 y disposición adicional primera de la Ley 2/2000 es planteado exclusivamente por el Ayuntamiento de Gijón, por ser él mismo el destinatario único y exclusivo de dichos preceptos”.</w:t>
      </w:r>
    </w:p>
    <w:p w:rsidR="00D06117" w:rsidRDefault="00D06117" w:rsidP="00D06117">
      <w:pPr>
        <w:pStyle w:val="TextoNormal"/>
      </w:pPr>
    </w:p>
    <w:p w:rsidR="00D06117" w:rsidRDefault="00D06117" w:rsidP="00D06117">
      <w:pPr>
        <w:pStyle w:val="TextoNormal"/>
      </w:pPr>
      <w:r>
        <w:t>c) Seguidamente, y tras hacer referencia al cumplimiento de los trámites y requisitos exigidos por los arts. 75 ter y quater de la Ley Orgánica del Tribunal Constitucional (LOTC), el escrito de promoción justifica la vulneración de la autonomía local de todos los municipios impugnantes producida por los arts. 22.2 y 24.2 de la Ley 2/2000 del modo que a continuación se resume.</w:t>
      </w:r>
    </w:p>
    <w:p w:rsidR="00D06117" w:rsidRDefault="00D06117" w:rsidP="00D06117">
      <w:pPr>
        <w:pStyle w:val="TextoNormal"/>
      </w:pPr>
    </w:p>
    <w:p w:rsidR="00D06117" w:rsidRDefault="00D06117" w:rsidP="00D06117">
      <w:pPr>
        <w:pStyle w:val="TextoNormal"/>
      </w:pPr>
      <w:r>
        <w:t xml:space="preserve">El art. 24.2, como se ha visto, establece la elección por el sistema proporcional de los consejeros generales que hayan de representar a las corporaciones municipales que en su día fueron fundadoras de cajas de ahorro. Esta previsión normativa resultaría contraria, según los promotores del conflicto, tanto a lo regulado en la Ley 31/1985, de 2 de agosto, de órganos rectores de las cajas de ahorro (en adelante, LORCA), como a lo previsto en la Ley </w:t>
      </w:r>
      <w:r>
        <w:lastRenderedPageBreak/>
        <w:t>7/1985, de 2 de abril, reguladora de las bases de régimen local (en adelante, LBRL). El art. 5 LORCA determina que “los Consejeros Generales representantes de las personas o Entidades fundadoras de Cajas, sean instituciones públicas o privadas, serán nombrados directamente por la persona o entidad fundadora”. Este precepto ha sido interpretado por la STC 33/1993, de 1 de febrero, con un doble alcance: el nombramiento se ha de llevar a cabo por los fundadores “sin que pueda mediar una normativa estatal o comunitaria que imponga o condicione la forma de proceder a ese nombramiento”; asimismo, esta primera prescripción “no impide que la entidad fundadora se someta a su vez, en cuanto al régimen de adopción de acuerdos, a la normativa que en razón de su naturaleza y carácter le sea aplicable. Por ello, si la entidad fundadora es una entidad local habrá de someterse a la normativa que sobre la adopción de acuerdos establece la legislación de régimen local”; esta normativa, añade la Sentencia, podrá ser establecida tanto por el Estado como por las Comunidades Autónomas.</w:t>
      </w:r>
    </w:p>
    <w:p w:rsidR="00D06117" w:rsidRDefault="00D06117" w:rsidP="00D06117">
      <w:pPr>
        <w:pStyle w:val="TextoNormal"/>
      </w:pPr>
    </w:p>
    <w:p w:rsidR="00D06117" w:rsidRDefault="00D06117" w:rsidP="00D06117">
      <w:pPr>
        <w:pStyle w:val="TextoNormal"/>
      </w:pPr>
      <w:r>
        <w:t>Consideran los recurrentes que el art. 24.2 no constituye legislación de régimen local, sino legislación financiera, puesto que no pretende innovar la normativa local con carácter general, sino establecer un mecanismo específico para la designación de miembros de una entidad financiera, por lo que no resulta aplicable la doctrina de la STC 33/1993, de 1 de febrero. En todo caso afirman que, si se pretendiera que constituyera normativa propia de régimen local, entonces se vulneraría el art. 47 LBRL, que establece un sistema de mayoría simple o absoluta, según las materias de que se trate, cuya legitimidad constitucional ha sido corroborada por la citada STC 33/1993, que considera a dicho sistema como elemento integrante de la organización democrática de las entidades locales y, por tanto, de la autonomía local.</w:t>
      </w:r>
    </w:p>
    <w:p w:rsidR="00D06117" w:rsidRDefault="00D06117" w:rsidP="00D06117">
      <w:pPr>
        <w:pStyle w:val="TextoNormal"/>
      </w:pPr>
    </w:p>
    <w:p w:rsidR="00D06117" w:rsidRDefault="00D06117" w:rsidP="00D06117">
      <w:pPr>
        <w:pStyle w:val="TextoNormal"/>
      </w:pPr>
      <w:r>
        <w:t>Por su parte, el art. 22.2 establece el sistema de elección proporcional de los consejeros generales que representan a las corporaciones municipales en cuyo término la entidad crediticia tenga abiertas oficinas. El art. 3.1 LORCA dispone que en estos casos las corporaciones municipales designarán directamente a los consejeros generales “de acuerdo con el procedimiento que se determine en las normas que desarrollen la presente ley”. La STC 49/1988, de 22 de marzo, se limitó a señalar al respecto que la remisión reglamentaria “no debe entenderse hecha a la potestad reglamentaria del Gobierno y puede considerarse referida a la potestad de desarrollo de las Comunidades”. El escrito de promoción del conflicto considera que el art. 3.1 LORCA no habilita a las Comunidades Autónomas para establecer un sistema de elección proporcional y, por tanto, distinto del régimen general de acuerdos previsto por la normativa estatal básica de régimen local y al cual ya se ha hecho referencia al analizar el art. 24.2, por lo cual el art. 22.2 de la Ley 2/2000 también conculca el art. 47 LBRL y, por tanto, la autonomía local constitucionalmente garantizada de los municipios promotores del conflicto.</w:t>
      </w:r>
    </w:p>
    <w:p w:rsidR="00D06117" w:rsidRDefault="00D06117" w:rsidP="00D06117">
      <w:pPr>
        <w:pStyle w:val="TextoNormal"/>
      </w:pPr>
    </w:p>
    <w:p w:rsidR="00D06117" w:rsidRDefault="00D06117" w:rsidP="00D06117">
      <w:pPr>
        <w:pStyle w:val="TextoNormal"/>
      </w:pPr>
      <w:r>
        <w:t>d) En relación al art. 46.1 y la disposición adicional primera de la Ley 2/2000, la vulneración de la autonomía local del Ayuntamiento de Gijón se justifica del modo siguiente:</w:t>
      </w:r>
    </w:p>
    <w:p w:rsidR="00D06117" w:rsidRDefault="00D06117" w:rsidP="00D06117">
      <w:pPr>
        <w:pStyle w:val="TextoNormal"/>
      </w:pPr>
    </w:p>
    <w:p w:rsidR="00D06117" w:rsidRDefault="00D06117" w:rsidP="00D06117">
      <w:pPr>
        <w:pStyle w:val="TextoNormal"/>
      </w:pPr>
      <w:r>
        <w:t>El art. 46.1 se refiere a la posibilidad de que el consejo de administración nombre, de entre sus miembros, al presidente del mismo, que lo será de la entidad de crédito y de la asamblea general, pudiendo asimismo elegir uno o varios vicepresidentes.</w:t>
      </w:r>
    </w:p>
    <w:p w:rsidR="00D06117" w:rsidRDefault="00D06117" w:rsidP="00D06117">
      <w:pPr>
        <w:pStyle w:val="TextoNormal"/>
      </w:pPr>
    </w:p>
    <w:p w:rsidR="00D06117" w:rsidRDefault="00D06117" w:rsidP="00D06117">
      <w:pPr>
        <w:pStyle w:val="TextoNormal"/>
      </w:pPr>
      <w:r>
        <w:lastRenderedPageBreak/>
        <w:t>La representación procesal del Ayuntamiento de Gijón parte de la consideración de que la Ley 2/2000, aunque regule de modo abstracto el régimen jurídico de las cajas de ahorro, se refiere en realidad a una única institución, la Caja de Ahorros de Asturias. Esta caja de ahorros se constituyó en 1946 mediante fusión del Monte de Piedad y Caja de Ahorros de Oviedo (fundada y sostenida por la Diputación de Oviedo) con la Caja de Ahorros y Monte de Piedad Municipal de Gijón, fundada por el Ayuntamiento de esa ciudad. Desde ese momento el régimen de gobierno de la entidad se concibió bajo el principio de la más estricta paridad de las dos entidades fundadoras y así se confirma en los sucesivos estatutos de 1945, 1946, 1989 y 1996.</w:t>
      </w:r>
    </w:p>
    <w:p w:rsidR="00D06117" w:rsidRDefault="00D06117" w:rsidP="00D06117">
      <w:pPr>
        <w:pStyle w:val="TextoNormal"/>
      </w:pPr>
    </w:p>
    <w:p w:rsidR="00D06117" w:rsidRDefault="00D06117" w:rsidP="00D06117">
      <w:pPr>
        <w:pStyle w:val="TextoNormal"/>
      </w:pPr>
      <w:r>
        <w:t>Los estatutos de 1989 determinaron que las corporaciones fundadoras designarán 56 consejeros, 28 por parte de la Comunidad Autónoma del Principado de Asturias, (que se subrogó en todas las relaciones jurídicas de la Diputación Provincial) y 28 por el Ayuntamiento de Gijón. Asimismo, se preveía que los cargos de presidente y vicepresidente habrían de recaer necesariamente en representantes de la Comunidad Autónoma y del Ayuntamiento de Gijón, respectivamente. Estos criterios se han conservado sin modificación en los estatutos de 1996. Sin embargo, la Ley 2/2000 no tiene en consideración estos pactos estatutarios, de modo que no solamente silencia la adscripción de los cargos de presidente y vicepresidente a los representantes de la Comunidad Autónoma y del Ayuntamiento de Gijón, sino que la figura del vicepresidente se convierte en meramente facultativa. Se trata, a juicio de los demandantes, de una medida irrazonable y arbitraria que constituye una grave lesión de la posición de autonomía que el Ayuntamiento de Gijón tiene como entidad local.</w:t>
      </w:r>
    </w:p>
    <w:p w:rsidR="00D06117" w:rsidRDefault="00D06117" w:rsidP="00D06117">
      <w:pPr>
        <w:pStyle w:val="TextoNormal"/>
      </w:pPr>
    </w:p>
    <w:p w:rsidR="00D06117" w:rsidRDefault="00D06117" w:rsidP="00D06117">
      <w:pPr>
        <w:pStyle w:val="TextoNormal"/>
      </w:pPr>
      <w:r>
        <w:t>Por último, en cuanto a la disposición adicional primera, la cual tiene por objeto establecer límites máximos de representación de las entidades locales que ostentan representación por más de un grupo en la asamblea general, el escrito de promoción considera que no se trata de una mera limitación, sino de una privación con un beneficiario determinado, puesto que la aplicación de este precepto determina una ruptura del equilibrio tradicional a favor de la Comunidad Autónoma, ya que mientras ésta podrá superar notablemente el 20 por 100 de los Consejeros, el Ayuntamiento de Gijón no superará este último porcentaje. Ello determina la misma vulneración de la autonomía local del Ayuntamiento de Gijón que la expuesta respecto del art. 46.2, puesto que restringe las posibilidades de acción que la propia Ley 2/2000 confiere a todos los restantes Ayuntamientos, rompiendo el principio de paridad sobre el que se había basado el funcionamiento de la caja de forma arbitraria e irrazonable.</w:t>
      </w:r>
    </w:p>
    <w:p w:rsidR="00D06117" w:rsidRDefault="00D06117" w:rsidP="00D06117">
      <w:pPr>
        <w:pStyle w:val="TextoNormal"/>
      </w:pPr>
    </w:p>
    <w:p w:rsidR="00D06117" w:rsidRDefault="00D06117" w:rsidP="00D06117">
      <w:pPr>
        <w:pStyle w:val="TextoNormal"/>
      </w:pPr>
      <w:r w:rsidRPr="00D06117">
        <w:rPr>
          <w:rStyle w:val="NumeroAFNegritaCaracter"/>
        </w:rPr>
        <w:t>3</w:t>
      </w:r>
      <w:r>
        <w:t>. La Sección Segunda del Tribunal Constitucional, mediante providencia de 19 de junio de 2001, acordó tener por interpuesto el expresado conflicto en defensa de la autonomía local; requerir a la representante legal de los entes locales promotores del conflicto para que acreditara que los municipios de Belmonte de Miranda, Las Regueras-Santullano, Llanes y Teverga habían solicitado el preceptivo dictamen del Consejo de Estado, exigido por el art. 75 ter 3 LOTC, y aportara certificación de la adopción por el órgano plenario del Ayuntamiento de Santa Eulalia de Oscos del acuerdo para la iniciación de la tramitación del conflicto “con el voto favorable de la mayoría absoluta del número legal de miembros de dicho órgano plenario, así como la fecha de la admisión del referido acuerdo”.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La Procuradora de los Tribunales doña Isabel Juliá Corujo cumplimenta lo solicitado mediante la providencia antes referenciada el día 27 de julio de 2001, manifestando, en relación con la solicitud del dictamen del Consejo de Estado por los municipios aludidos, </w:t>
      </w:r>
      <w:r>
        <w:lastRenderedPageBreak/>
        <w:t>que los mismos no se incluyeron entre los que solicitaron dicho dictamen porque en la fecha de la solicitud no se disponía de las certificaciones de los acuerdos de los órganos plenarios correspondientes, que tardaron en emitirse. Sin embargo, los acuerdos se adoptaron en plazo e incluían la decisión de realizar dicha solicitud, por lo que “esta aparente anomalía formal es tan explicable como irrelevante”. En relación con el segundo requerimiento del Tribunal, esto es, la acreditación de que el acuerdo de interponer el conflicto por parte del municipio de Santa Eulalia de Oscos se adoptó por la mayoría legal exigida, acompaña dicho acuerdo.</w:t>
      </w:r>
    </w:p>
    <w:p w:rsidR="00D06117" w:rsidRDefault="00D06117" w:rsidP="00D06117">
      <w:pPr>
        <w:pStyle w:val="TextoNormal"/>
      </w:pPr>
    </w:p>
    <w:p w:rsidR="00D06117" w:rsidRDefault="00D06117" w:rsidP="00D06117">
      <w:pPr>
        <w:pStyle w:val="TextoNormal"/>
      </w:pPr>
      <w:r w:rsidRPr="00D06117">
        <w:rPr>
          <w:rStyle w:val="NumeroAFNegritaCaracter"/>
        </w:rPr>
        <w:t>5</w:t>
      </w:r>
      <w:r>
        <w:t>. La Sección Segunda del Tribunal Constitucional, por providencia de 10 de diciembre de 2002, acordó incorporar a los autos la documentación aportada por la representación procesal de los demandantes; admitir a trámite el conflicto en defensa de la autonomía local planteado por los municipios de Gijón, Belmonte de Miranda, Candamo, Cangas de Narcea, Cangas de Onís, Caravia, Illano, Las Regueras-Santullano, Llanes, Muros del Nalón, Peñamellera Alta, Pesoz, Quirós, Rivadeva, Ribera de Arriba, Santa Eulalia de Oscos, Somiedo, Soto del Barco, Teverga y Vegadeo en relación con los arts. 22.2, 24.2, 46.1 y disposición adicional primera de la Ley del Principado de Asturias 2/2000, de 23 de junio, de cajas de ahorro; dar traslado de la demanda y de la documentación presentada a la Junta General y al Consejo de Gobierno del Principado de Asturias, así como al Senado y al Congreso de los Diputados, por conducto de sus Presidentes y al Gobierno de la Nación, por conducto del Ministro de Justicia, para que en el plazo de veinte días pudieran personarse en el proceso y formular las alegaciones que estimen pertinentes y publicar la incoación del conflicto en el “Boletín Oficial del Estado” y en el “Boletín Oficial del Principado de Asturias”.</w:t>
      </w:r>
    </w:p>
    <w:p w:rsidR="00D06117" w:rsidRDefault="00D06117" w:rsidP="00D06117">
      <w:pPr>
        <w:pStyle w:val="TextoNormal"/>
      </w:pPr>
    </w:p>
    <w:p w:rsidR="00D06117" w:rsidRDefault="00D06117" w:rsidP="00D06117">
      <w:pPr>
        <w:pStyle w:val="TextoNormal"/>
      </w:pPr>
      <w:r w:rsidRPr="00D06117">
        <w:rPr>
          <w:rStyle w:val="NumeroAFNegritaCaracter"/>
        </w:rPr>
        <w:t>6</w:t>
      </w:r>
      <w:r>
        <w:t>. El día 20 de diciembre de 2002 se presentó en el Tribunal Constitucional un escrito del Abogado del Estado por el que se persona en el conflicto en nombre del Gobierno, manifiesta su intención de no formular alegaciones y ruega se le notifique la Sentencia que ponga fin a este proceso.</w:t>
      </w:r>
    </w:p>
    <w:p w:rsidR="00D06117" w:rsidRDefault="00D06117" w:rsidP="00D06117">
      <w:pPr>
        <w:pStyle w:val="TextoNormal"/>
      </w:pPr>
    </w:p>
    <w:p w:rsidR="00D06117" w:rsidRDefault="00D06117" w:rsidP="00D06117">
      <w:pPr>
        <w:pStyle w:val="TextoNormal"/>
      </w:pPr>
      <w:r w:rsidRPr="00D06117">
        <w:rPr>
          <w:rStyle w:val="NumeroAFNegritaCaracter"/>
        </w:rPr>
        <w:t>7</w:t>
      </w:r>
      <w:r>
        <w:t>. Por escrito registrado en este Tribunal Constitucional el 27 de diciembre de 2002, la Presidenta del Congreso de los Diputados comunicó que dicha Cámara no se personaría en el proceso ni formularía alegaciones.</w:t>
      </w:r>
    </w:p>
    <w:p w:rsidR="00D06117" w:rsidRDefault="00D06117" w:rsidP="00D06117">
      <w:pPr>
        <w:pStyle w:val="TextoNormal"/>
      </w:pPr>
    </w:p>
    <w:p w:rsidR="00D06117" w:rsidRDefault="00D06117" w:rsidP="00D06117">
      <w:pPr>
        <w:pStyle w:val="TextoNormal"/>
      </w:pPr>
      <w:r w:rsidRPr="00D06117">
        <w:rPr>
          <w:rStyle w:val="NumeroAFNegritaCaracter"/>
        </w:rPr>
        <w:t>8</w:t>
      </w:r>
      <w:r>
        <w:t>. El Letrado de la Junta General del Principado de Asturias presentó sus alegaciones el día 9 de enero de 2003 señalando, resumidamente, lo siguiente:</w:t>
      </w:r>
    </w:p>
    <w:p w:rsidR="00D06117" w:rsidRDefault="00D06117" w:rsidP="00D06117">
      <w:pPr>
        <w:pStyle w:val="TextoNormal"/>
      </w:pPr>
    </w:p>
    <w:p w:rsidR="00D06117" w:rsidRDefault="00D06117" w:rsidP="00D06117">
      <w:pPr>
        <w:pStyle w:val="TextoNormal"/>
      </w:pPr>
      <w:r>
        <w:t>a) Indica, en primer lugar, la existencia de dos defectos procesales determinantes de la inadmisión o, en su caso, desestimación del conflicto. El primero de ellos se refiere a la falta de solicitud de dictamen del Consejo de Estado de cuatro de los veinte municipios impugnantes, en concreto los de Belmonte de Miranda, Las Regueras-Santullano, Llanes y Teverga, circunstancia que no ha sido, a su juicio, subsanada por la representación procesal de los recurrentes, al cumplimentar lo solicitado en la providencia de la Sección Segunda del Tribunal Constitucional de 19 de junio de 2001. Esta anomalía se evidencia de forma mucho más clara en el caso de los municipios de Las Regueras-Santullano y Llanes, cuyos Ayuntamientos adoptaron los acuerdos para promover el conflicto en fecha posterior a la solicitud de dictamen del Consejo de Estado realizada por el Ayuntamiento de Gijón.</w:t>
      </w:r>
    </w:p>
    <w:p w:rsidR="00D06117" w:rsidRDefault="00D06117" w:rsidP="00D06117">
      <w:pPr>
        <w:pStyle w:val="TextoNormal"/>
      </w:pPr>
    </w:p>
    <w:p w:rsidR="00D06117" w:rsidRDefault="00D06117" w:rsidP="00D06117">
      <w:pPr>
        <w:pStyle w:val="TextoNormal"/>
      </w:pPr>
      <w:r>
        <w:lastRenderedPageBreak/>
        <w:t>La segunda cuestión de índole procesal se refiere a la promoción en un mismo escrito de dos conflictos en defensa de la autonomía local distintos, puesto que, según se afirma en el escrito de promoción, el Ayuntamiento de Gijón y otros diecinueve más promueven un conflicto en defensa de la autonomía local en relación con los arts. 22.2 y 24.2 de la Ley 2/2000 y, por otra parte, en el mismo escrito se encuentra el promovido en solitario por el Ayuntamiento de Gijón contra el art. 46.1 y la disposición adicional primera de la misma ley. A juicio de la representación procesal de la Junta General del Principado de Asturias tal forma de proceder no es correcta puesto que da por resuelto el trámite de acumulación que correspondería decidir únicamente al Tribunal Constitucional y, por otro lado, en cuanto a la pretensión en relación con el art. 46.1 y la disposición adicional primera, la misma no se argumenta desde la perspectiva de los veinte ayuntamientos que promueven el conflicto, sino únicamente desde la del Ayuntamiento de Gijón.</w:t>
      </w:r>
    </w:p>
    <w:p w:rsidR="00D06117" w:rsidRDefault="00D06117" w:rsidP="00D06117">
      <w:pPr>
        <w:pStyle w:val="TextoNormal"/>
      </w:pPr>
    </w:p>
    <w:p w:rsidR="00D06117" w:rsidRDefault="00D06117" w:rsidP="00D06117">
      <w:pPr>
        <w:pStyle w:val="TextoNormal"/>
      </w:pPr>
      <w:r>
        <w:t>b) A continuación expone sus alegaciones en relación con el fondo del asunto, comenzando por el art. 22.2 de la Ley 2/2000. En relación con este precepto señala que no es cuestión propia de un conflicto en defensa de la autonomía local dilucidar la compatibilidad de la legislación autonómica en materia de cajas de ahorro con la LORCA pues el objeto de este proceso constitucional se circunscribe a las vulneraciones de la autonomía local constitucionalmente garantizada. A continuación señala que la finalidad del art. 3.1 LORCA, precepto que los recurrentes entienden vulnerado, es el de ordenar que la designación de los consejeros generales que representen a las corporaciones locales sea llevada a cabo sin interferencias de otros sujetos, siendo una medida susceptible de ser desarrollada por la ley asturiana, de modo similar a lo regulado en otras leyes autonómicas que cita. La finalidad del precepto autonómico es determinar el procedimiento a seguir en la designación de los miembros de los órganos de gobierno de las cajas de ahorro para garantizar una verdadera representatividad y libertad del mecanismo de selección. Asimismo, señala que las competencias de las corporaciones locales han de ejercerse, de acuerdo con el art. 25.2 LBRL, en los términos de la legislación del Estado y de las Comunidades Autónomas, lo que significa, en este caso y a la vista de la competencia autonómica en materia de cajas de ahorro, que resulta posible que el art. 22.2 establezca unos criterios que vienen a objetivar el procedimiento a seguir para proveer unos cargos que han de ejercerse con absoluta independencia respecto a las corporaciones locales, procedimiento que, además, es el mismo que el aplicado por el propio Parlamento autonómico para designar a los representantes de la Comunidad Autónoma en los órganos de gobierno de la caja de ahorros.</w:t>
      </w:r>
    </w:p>
    <w:p w:rsidR="00D06117" w:rsidRDefault="00D06117" w:rsidP="00D06117">
      <w:pPr>
        <w:pStyle w:val="TextoNormal"/>
      </w:pPr>
    </w:p>
    <w:p w:rsidR="00D06117" w:rsidRDefault="00D06117" w:rsidP="00D06117">
      <w:pPr>
        <w:pStyle w:val="TextoNormal"/>
      </w:pPr>
      <w:r>
        <w:t>c) En relación con el art. 24.2, destaca que la eventual vulneración del art. 5 LORCA, denunciada por los recurrentes, tampoco es cuestión propia de este tipo de proceso constitucional, limitado a la preservación de la autonomía local constitucionalmente garantizada. Cita la doctrina de la STC 33/1993, de 1 de febrero, que considera que la aplicación de la normativa, estatal o autonómica, sobre régimen local a los casos en que la fundadora de la caja de ahorros sea una entidad local no vulnera la normativa básica puesto que no supone imposición o condicionamiento de la forma de proceder al nombramiento de los representantes. En cuanto a la alegada vulneración del art. 47 LBRL, que prescribe el régimen de adopción de acuerdos de las corporaciones locales, señala que el art. 24.2 cuestionado no amplía el elenco tasado de supuestos en los que se precisa la mayoría cualificada para la adopción de acuerdos, sino que se limita, ante el silencio de la LORCA al respecto, a optar por un sistema concreto de designación de representantes en las cajas de ahorro en el caso de que la fundadora sea una entidad local.</w:t>
      </w:r>
    </w:p>
    <w:p w:rsidR="00D06117" w:rsidRDefault="00D06117" w:rsidP="00D06117">
      <w:pPr>
        <w:pStyle w:val="TextoNormal"/>
      </w:pPr>
    </w:p>
    <w:p w:rsidR="00D06117" w:rsidRDefault="00D06117" w:rsidP="00D06117">
      <w:pPr>
        <w:pStyle w:val="TextoNormal"/>
      </w:pPr>
      <w:r>
        <w:t>d) Con respecto al art. 46.1 y la disposición adicional primera niega que el Ayuntamiento de Gijón tenga legitimación para impugnarlas alegando su condición de único municipio destinatario de la regulación de ambos preceptos. Tal apreciación se basa en la consideración de que ambos preceptos no pueden entenderse incluidos en el supuesto de municipio destinatario único de la ley al que hace referencia el art. 75 ter.1 a) LOTC, puesto que éstos no establecen un régimen municipal especial, ni la Ley 2/2000 es una ley singular o autoaplicativa, ni los concretos preceptos tienen un ámbito territorial de aplicación circunscrito a un municipio concreto ni, por último, regulan un supuesto aislado en la ley singular y no comunicable a ningún otro. Además entiende que el hecho de que la Ley 2/2000 se aplique inicialmente a un único sujeto tampoco la convierte en una ley de destinatario único, puesto que la misma regulación es susceptible de aplicación a otros sujetos en cuanto éstos existan. Seguidamente indica que ninguno de los dos preceptos hace referencia alguna al Ayuntamiento de Gijón ni tampoco a ninguna concreta caja de ahorros, sino que, por el contrario, están redactados en términos de generalidad que hacen posible su aplicación a otros ayuntamientos que tengan la condición de fundadores de cajas de ahorro con domicilio social en el Principado de Asturias.</w:t>
      </w:r>
    </w:p>
    <w:p w:rsidR="00D06117" w:rsidRDefault="00D06117" w:rsidP="00D06117">
      <w:pPr>
        <w:pStyle w:val="TextoNormal"/>
      </w:pPr>
    </w:p>
    <w:p w:rsidR="00D06117" w:rsidRDefault="00D06117" w:rsidP="00D06117">
      <w:pPr>
        <w:pStyle w:val="TextoNormal"/>
      </w:pPr>
      <w:r>
        <w:t>No obstante, y para el caso de que se entendiese que el art. 46.1 y la disposición adicional primera son preceptos de destinatario único en el sentido del art. 75. ter.1 a) LOTC, argumenta que los mismos no lesionan la autonomía constitucionalmente garantizada del Ayuntamiento de Gijón, tal y como el concepto de autonomía local ha sido entendido por la doctrina del Tribunal Constitucional, puesto que no alteran los contenidos estables y comunes que conforman la imagen maestra de la institución municipal. Por el contrario, la representación procesal de la Junta General del Principado de Asturias entiende que la demanda pretende preservar un determinado estatuto de entidad fundadora en una concreta caja de ahorros manteniendo la denominada paridad entre las entidades fundadoras, entre las que se encuentra el Ayuntamiento de Gijón, y señala que el impugnado art. 46.1 no supone una innovación sustancial respecto a la regulación anterior. Por otro lado, la fijación de topes máximos de representación que pretende la disposición adicional primera ya ha sido declarada legítima por la STC 239/1992, de 17 de diciembre, sin que tampoco pueda entenderse que tal limitación resulta arbitraria, dado que busca evitar que la pertenencia a más de un grupo con derecho a designar representantes en los órganos de gobierno de las cajas de ahorro otorgue una posición desequilibradora.</w:t>
      </w:r>
    </w:p>
    <w:p w:rsidR="00D06117" w:rsidRDefault="00D06117" w:rsidP="00D06117">
      <w:pPr>
        <w:pStyle w:val="TextoNormal"/>
      </w:pPr>
    </w:p>
    <w:p w:rsidR="00D06117" w:rsidRDefault="00D06117" w:rsidP="00D06117">
      <w:pPr>
        <w:pStyle w:val="TextoNormal"/>
      </w:pPr>
      <w:r>
        <w:t>e) Por último señala que el art. 24.2, aun cuando no ha sido objeto de impugnación como precepto de destinatario único, tampoco podría tener esa consideración puesto que establece un régimen de alcance general, sin que pueda desvirtuar esa apreciación el hecho de que haya venido a sustituir a una regulación, el Decreto 102/1988, de 10 de noviembre, por el que se desarrollan las normas básicas sobre órganos rectores de las cajas de ahorro, que se aplicó a un solo sujeto durante toda su vigencia, puesto que lo determinante para apreciar la existencia de una ley con destinatario único es el sentido de ésta, no la realidad fáctica sobre la que opera.</w:t>
      </w:r>
    </w:p>
    <w:p w:rsidR="00D06117" w:rsidRDefault="00D06117" w:rsidP="00D06117">
      <w:pPr>
        <w:pStyle w:val="TextoNormal"/>
      </w:pPr>
    </w:p>
    <w:p w:rsidR="00D06117" w:rsidRDefault="00D06117" w:rsidP="00D06117">
      <w:pPr>
        <w:pStyle w:val="TextoNormal"/>
      </w:pPr>
      <w:r>
        <w:t xml:space="preserve">El Letrado de la Junta General del Principado de Asturias concluye sus alegaciones señalando que los artículos impugnados no lesionan la autonomía local constitucionalmente </w:t>
      </w:r>
      <w:r>
        <w:lastRenderedPageBreak/>
        <w:t>garantizada así como que la pretensión que frente a ellos se deduce no es propia de un conflicto en defensa de la autonomía local, por lo que solicita que este Tribunal Constitucional desestime el conflicto planteado.</w:t>
      </w:r>
    </w:p>
    <w:p w:rsidR="00D06117" w:rsidRDefault="00D06117" w:rsidP="00D06117">
      <w:pPr>
        <w:pStyle w:val="TextoNormal"/>
      </w:pPr>
    </w:p>
    <w:p w:rsidR="00D06117" w:rsidRDefault="00D06117" w:rsidP="00D06117">
      <w:pPr>
        <w:pStyle w:val="TextoNormal"/>
      </w:pPr>
      <w:r w:rsidRPr="00D06117">
        <w:rPr>
          <w:rStyle w:val="NumeroAFNegritaCaracter"/>
        </w:rPr>
        <w:t>9</w:t>
      </w:r>
      <w:r>
        <w:t>. El día 24 de enero de 2003, el Presidente del Senado interesó que se tuviera por personada a dicha Cámara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5 de junio de 2012 se señaló para deliberación y votación de la presente Sentencia el mismo día.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debe resolver el conflicto en defensa de la autonomía local promovido por los municipios de Gijón, Belmonte de Miranda, Candamo, Cangas de Narcea, Cangas de Onís, Caravia, Illano, Las Regueras-Santullano, Llanes, Muros del Nalón, Peñamellera Alta, Pesoz, Quirós, Rivadeva, Ribera de Arriba, Santa Eulalia de Oscos, Somiedo, Soto del Barco, Teverga y Vegadeo en relación con los arts. 22.2, 24.2, 46.1 y disposición adicional primera de la Ley del Principado de Asturias 2/2000, de 23 de junio, de cajas de ahorro.</w:t>
      </w:r>
    </w:p>
    <w:p w:rsidR="00D06117" w:rsidRDefault="00D06117" w:rsidP="00D06117">
      <w:pPr>
        <w:pStyle w:val="TextoNormal"/>
      </w:pPr>
    </w:p>
    <w:p w:rsidR="00D06117" w:rsidRDefault="00D06117" w:rsidP="00D06117">
      <w:pPr>
        <w:pStyle w:val="TextoNormal"/>
      </w:pPr>
      <w:r>
        <w:t>A juicio de los impugnantes, los artículos 22.2 y 24.2 establecen un régimen atípico para la adopción de acuerdos por parte de las entidades locales a efectos de la designación por las mismas de sus representantes en los órganos de gobierno de las cajas de ahorro, régimen que vulneraría el artículo 5 de la Ley 31/1985, de 2 de agosto, reguladora de los órganos rectores de las cajas de ahorro (en adelante, LORCA), declarado básico por la STC 49/1988, de 22 de marzo (FJ 20), así como las normas contenidas en los artículos 46 y siguientes de la Ley 7/1985, de 2 de abril, reguladora de las bases de régimen local (en adelante, LBRL). Por otra parte se alega que el artículo 46.1 de la Ley 2/2000 priva al Ayuntamiento de Gijón, en tanto que destinatario único del precepto, del derecho a designar al vicepresidente de la Caja de Ahorros de Asturias, derecho que ostentaba desde el momento mismo de la fundación de la citada caja. Por último, el escrito de promoción del conflicto entiende que la disposición adicional primera de la ley afecta directa y exclusivamente al Ayuntamiento de Gijón, entidad cofundadora de la única caja de ahorros a la que la ley autonómica es aplicable, cuyo porcentaje de representación queda, por aplicación de lo dispuesto en la citada disposición adicional primera, arbitrariamente limitado a un porcentaje del 20 por 100 de los miembros de los órganos de gobierno de la citada caja y ello sin fundamento jurídico alguno, como no sea el de reducir la representación del Ayuntamiento de Gijón en los referidos órganos de gobierno.</w:t>
      </w:r>
    </w:p>
    <w:p w:rsidR="00D06117" w:rsidRDefault="00D06117" w:rsidP="00D06117">
      <w:pPr>
        <w:pStyle w:val="TextoNormal"/>
      </w:pPr>
    </w:p>
    <w:p w:rsidR="00D06117" w:rsidRDefault="00D06117" w:rsidP="00D06117">
      <w:pPr>
        <w:pStyle w:val="TextoNormal"/>
      </w:pPr>
      <w:r>
        <w:t>A todas estas consideraciones se opone la representación procesal de la Junta General del Principado de Asturias, única que ha presentado alegaciones, por entender, por un lado, que los recurrentes están planteando cuestiones relacionadas con la eventual vulneración de la normativa básica estatal que no deben tener cabida en un proceso constitucional de este tipo y que, en cualquier caso, los preceptos impugnados en ninguna forma vulneran la autonomía local constitucionalmente garantizada de los municipios promotores del conflicto.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2</w:t>
      </w:r>
      <w:r>
        <w:t>. No obstante, antes de comenzar el enjuiciamiento de la controversia planteada por los municipios recurrentes han de analizarse previamente dos óbices de índole procesal puestos de relieve por el Letrado de la Junta General del Principado de Asturias y que deben ser sucesivamente despejados a fin de permitir el estudio del fondo del asunto. El primero de ellos hace referencia a la falta de acreditación, por parte de cuatro de los veinte municipios impugnantes, en concreto los de Belmonte de Miranda, Las Regueras-Santullano, Llanes y Teverga, de la efectiva solicitud del preceptivo dictamen del Consejo de Estado —dado que en ese momento no existía órgano equivalente autonómico— al que se refiere el art. 75 ter.3 de la Ley Orgánica del Tribunal Constitucional (LOTC). Pues bien, a la vista de la documentación que obra en autos, podemos concluir que no consta que los citados municipios hayan efectivamente solicitado el dictamen al que se refiere el art. 75 ter.3 LOTC, requisito de admisibilidad que no puede ser soslayado, de modo que, por ello, no pueden ser considerados promotores del presente conflicto en defensa de la autonomía local. En todo caso, a la vista de la documentación que acompaña el escrito de promoción y sin perjuicio de lo que más adelante se dirá con respecto a la más precisa delimitación del objeto del conflicto planteado, los dieciséis municipios restantes cumplen los criterios de número y población exigidos por el art. 75 ter.1 b) LOTC para entablar el presente conflicto en defensa de la autonomía local.</w:t>
      </w:r>
    </w:p>
    <w:p w:rsidR="00D06117" w:rsidRDefault="00D06117" w:rsidP="00D06117">
      <w:pPr>
        <w:pStyle w:val="TextoNormal"/>
      </w:pPr>
    </w:p>
    <w:p w:rsidR="00D06117" w:rsidRDefault="00D06117" w:rsidP="00D06117">
      <w:pPr>
        <w:pStyle w:val="TextoNormal"/>
      </w:pPr>
      <w:r w:rsidRPr="00D06117">
        <w:rPr>
          <w:rStyle w:val="NumeroAFNegritaCaracter"/>
        </w:rPr>
        <w:t>3</w:t>
      </w:r>
      <w:r>
        <w:t>. El segundo óbice procesal planteado por la Junta General del Principado de Asturias es el relativo a que, en puridad, el escrito de promoción no formaliza un solo conflicto en defensa de la autonomía local, sino dos distintos. El primero de ellos, planteado por los dieciséis municipios promotores ya citados en el fundamento jurídico anterior, tendría como objeto, de acuerdo con el propio escrito de promoción, los arts. 22.2 y 24.2 de la Ley 2/2000. Junto a este primer conflicto se plantearía, siempre de acuerdo con el escrito de promoción, un segundo, éste promovido únicamente por el Ayuntamiento de Gijón, contra el art. 46.1 y la disposición adicional primera de la Ley 2/2000. Esta forma de proceder ha sido cuestionada por el Letrado de la Junta General del Principado de Asturias en el entendimiento de que, por un lado, sortea la regulación del art. 83 LOTC, relativa a la acumulación de procesos y por otro, cuestionando que la argumentación con respecto al art. 46.1 y la disposición adicional primera se refiera exclusivamente al Ayuntamiento de Gijón y no a los restantes municipios promotores del conflicto.</w:t>
      </w:r>
    </w:p>
    <w:p w:rsidR="00D06117" w:rsidRDefault="00D06117" w:rsidP="00D06117">
      <w:pPr>
        <w:pStyle w:val="TextoNormal"/>
      </w:pPr>
    </w:p>
    <w:p w:rsidR="00D06117" w:rsidRDefault="00D06117" w:rsidP="00D06117">
      <w:pPr>
        <w:pStyle w:val="TextoNormal"/>
      </w:pPr>
      <w:r>
        <w:t>Para abordar este segundo óbice procesal debemos comenzar por examinar los requisitos de legitimación exigidos por los arts. 75 bis y siguientes LOTC para la impugnación de los preceptos objeto del presente proceso constitucional, toda vez, que a la vista de los acuerdos plenarios adoptados y del propio escrito de planteamiento, respecto de alguno de ellos, son varios los municipios que ejercen la acción, mientras que en otros únicamente la ejercita el Ayuntamiento de Gijón en calidad de destinatario único de los preceptos que impugna, lo que determina que, a la vista de la diferente legitimación derivada del art. 75 ter.1, letras a) y b), debamos necesariamente examinar el ámbito de aplicación de los preceptos cuestionados.</w:t>
      </w:r>
    </w:p>
    <w:p w:rsidR="00D06117" w:rsidRDefault="00D06117" w:rsidP="00D06117">
      <w:pPr>
        <w:pStyle w:val="TextoNormal"/>
      </w:pPr>
    </w:p>
    <w:p w:rsidR="00D06117" w:rsidRDefault="00D06117" w:rsidP="00D06117">
      <w:pPr>
        <w:pStyle w:val="TextoNormal"/>
      </w:pPr>
      <w:r>
        <w:t xml:space="preserve">Así pues, comenzando nuestro análisis por el art. 22.2, de su propio tenor literal transcrito en los antecedentes se infiere que el mismo no es un precepto que pueda ser calificado como de destinatario único y, de hecho, el examen de los acuerdos plenarios muestra que ha sido efectivamente recurrido por dieciséis municipios asturianos al amparo de lo dispuesto en el </w:t>
      </w:r>
      <w:r>
        <w:lastRenderedPageBreak/>
        <w:t>art. 75 ter.1 b) LOTC, concurriendo de esta forma las exigencias de legitimación establecidas en nuestra Ley Orgánica.</w:t>
      </w:r>
    </w:p>
    <w:p w:rsidR="00D06117" w:rsidRDefault="00D06117" w:rsidP="00D06117">
      <w:pPr>
        <w:pStyle w:val="TextoNormal"/>
      </w:pPr>
    </w:p>
    <w:p w:rsidR="00D06117" w:rsidRDefault="00D06117" w:rsidP="00D06117">
      <w:pPr>
        <w:pStyle w:val="TextoNormal"/>
      </w:pPr>
      <w:r>
        <w:t>Por lo que respecta al art. 24.2 es claro que, no obstante lo pretendido por la representación procesal de los promotores del presente conflicto en el escrito presentado ante este Tribunal, no ha sido impugnado por quince de los dieciséis municipios promotores, cuyos acuerdos, con la única excepción del adoptado por el Pleno del Ayuntamiento de Gijón, se refieren únicamente a la impugnación del art. 22.2, de tal forma que respecto al art. 24.2 no concurrirían las condiciones de legitimación exigidas por el art. 75 ter.1 b) LOTC.</w:t>
      </w:r>
    </w:p>
    <w:p w:rsidR="00D06117" w:rsidRDefault="00D06117" w:rsidP="00D06117">
      <w:pPr>
        <w:pStyle w:val="TextoNormal"/>
      </w:pPr>
    </w:p>
    <w:p w:rsidR="00D06117" w:rsidRDefault="00D06117" w:rsidP="00D06117">
      <w:pPr>
        <w:pStyle w:val="TextoNormal"/>
      </w:pPr>
      <w:r>
        <w:t>Sin embargo, debemos determinar también, por exigencia de lo dispuesto en el art. 75 ter.1 a) LOTC, si el art. 24.2 puede ser considerado un precepto de destinatario único, pues, de ser así, resultará que el Ayuntamiento de Gijón estaría legitimado, como él mismo afirma, para promover el conflicto en defensa de la autonomía local. De igual modo se habrá de proceder respecto del art. 46.2 y disposición adicional primera de la Ley 2/2000, ya que respecto de ellos también alega el Ayuntamiento de Gijón ser destinatario único de los mismos por cuanto entiende el referido Ayuntamiento que tal circunstancia deriva de que fue una de las entidades fundadoras de la Caja de Ahorros de Asturias. Por ello, debemos aclarar este extremo, puesto que si finalmente resultase que el Ayuntamiento de Gijón no fuese el destinatario único de estos tres preceptos la consecuencia sería la inadmisión del conflicto por falta de legitimación del recurrente al no cumplirse lo dispuesto en el ya citado art. 75 ter.1 a) LOTC.</w:t>
      </w:r>
    </w:p>
    <w:p w:rsidR="00D06117" w:rsidRDefault="00D06117" w:rsidP="00D06117">
      <w:pPr>
        <w:pStyle w:val="TextoNormal"/>
      </w:pPr>
    </w:p>
    <w:p w:rsidR="00D06117" w:rsidRDefault="00D06117" w:rsidP="00D06117">
      <w:pPr>
        <w:pStyle w:val="TextoNormal"/>
      </w:pPr>
      <w:r>
        <w:t>El supuesto contemplado en este precepto de nuestra Ley Orgánica se refiere al municipio o provincia que sea destinatario único de la ley, expresión que no puede considerarse equivalente o exactamente coincidente con las denominadas leyes singulares o leyes de caso único. Ya hemos definido este último tipo de normas como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ATC 291/1997, de 22 de julio). Por el contrario, el caso contemplado en el art. 75 ter.1 a) LOTC no puede ser definido en tan estrictos términos, sino que bastará, a efectos de entender satisfecho lo previsto en el mismo, con que la norma resulte aplicable exclusivamente a ese concreto municipio o provincia, hallándonos en el supuesto contemplado por nuestra Ley Orgánica cuando de la norma en cuestión resulte claro que, desde el punto de vista material, se encuentra dirigida a regular la situación de un solo sujeto, que resulta ser el único al que, en realidad, resultaría aplicable la ley o el precepto cuestionado.</w:t>
      </w:r>
    </w:p>
    <w:p w:rsidR="00D06117" w:rsidRDefault="00D06117" w:rsidP="00D06117">
      <w:pPr>
        <w:pStyle w:val="TextoNormal"/>
      </w:pPr>
    </w:p>
    <w:p w:rsidR="00D06117" w:rsidRDefault="00D06117" w:rsidP="00D06117">
      <w:pPr>
        <w:pStyle w:val="TextoNormal"/>
      </w:pPr>
      <w:r>
        <w:t>Teniendo en cuenta este criterio, debemos recordar ahora el contenido de los preceptos cuestionados, los cuales disponen lo siguiente.</w:t>
      </w:r>
    </w:p>
    <w:p w:rsidR="00D06117" w:rsidRDefault="00D06117" w:rsidP="00D06117">
      <w:pPr>
        <w:pStyle w:val="TextoNormal"/>
      </w:pPr>
    </w:p>
    <w:p w:rsidR="00D06117" w:rsidRDefault="00D06117" w:rsidP="00D06117">
      <w:pPr>
        <w:pStyle w:val="TextoNormal"/>
      </w:pPr>
      <w:r>
        <w:t xml:space="preserve">Art. 24.2: </w:t>
      </w:r>
    </w:p>
    <w:p w:rsidR="00D06117" w:rsidRDefault="00D06117" w:rsidP="00D06117">
      <w:pPr>
        <w:pStyle w:val="TextoNormal"/>
      </w:pPr>
    </w:p>
    <w:p w:rsidR="00D06117" w:rsidRDefault="00D06117" w:rsidP="00D06117">
      <w:pPr>
        <w:pStyle w:val="TextoNormal"/>
      </w:pPr>
      <w:r>
        <w:t>“Cuando alguna de las entidades fundadoras sea un Ayuntamiento, elegirá a sus correspondientes representantes en los órganos de gobierno aplicando el procedimiento establecido en el artículo 22.2 de la presente Ley.”</w:t>
      </w:r>
    </w:p>
    <w:p w:rsidR="00D06117" w:rsidRDefault="00D06117" w:rsidP="00D06117">
      <w:pPr>
        <w:pStyle w:val="TextoNormal"/>
      </w:pPr>
    </w:p>
    <w:p w:rsidR="00D06117" w:rsidRDefault="00D06117" w:rsidP="00D06117">
      <w:pPr>
        <w:pStyle w:val="TextoNormal"/>
      </w:pPr>
      <w:r>
        <w:lastRenderedPageBreak/>
        <w:t xml:space="preserve">Art. 46.1: </w:t>
      </w:r>
    </w:p>
    <w:p w:rsidR="00D06117" w:rsidRDefault="00D06117" w:rsidP="00D06117">
      <w:pPr>
        <w:pStyle w:val="TextoNormal"/>
      </w:pPr>
    </w:p>
    <w:p w:rsidR="00D06117" w:rsidRDefault="00D06117" w:rsidP="00D06117">
      <w:pPr>
        <w:pStyle w:val="TextoNormal"/>
      </w:pPr>
      <w:r>
        <w:t>“El Consejo de Administración nombrará de entre sus miembros al Presidente del mismo que, a su vez, lo será de la entidad y de la Asamblea General, y podrá elegir uno o varios Vicepresidentes, que sustituirán por su orden al Presidente. El Consejo de Administración nombrará también un Secretario del Consejo.”</w:t>
      </w:r>
    </w:p>
    <w:p w:rsidR="00D06117" w:rsidRDefault="00D06117" w:rsidP="00D06117">
      <w:pPr>
        <w:pStyle w:val="TextoNormal"/>
      </w:pPr>
    </w:p>
    <w:p w:rsidR="00D06117" w:rsidRDefault="00D06117" w:rsidP="00D06117">
      <w:pPr>
        <w:pStyle w:val="TextoNormal"/>
      </w:pPr>
      <w:r>
        <w:t xml:space="preserve">Disposición adicional primera: </w:t>
      </w:r>
    </w:p>
    <w:p w:rsidR="00D06117" w:rsidRDefault="00D06117" w:rsidP="00D06117">
      <w:pPr>
        <w:pStyle w:val="TextoNormal"/>
      </w:pPr>
    </w:p>
    <w:p w:rsidR="00D06117" w:rsidRDefault="00D06117" w:rsidP="00D06117">
      <w:pPr>
        <w:pStyle w:val="TextoNormal"/>
      </w:pPr>
      <w:r>
        <w:t>“Cuando una entidad u organismo público tuviera derecho, conforme a lo previsto en la presente Ley, a nombrar miembros de los órganos de gobierno por más de un grupo de representación, el total de los mismos no podrá exceder el veinte por ciento del número de miembros. Los excedentes se deducirán del grupo de representación en el que mayor número de representante ostente y se asignarán, en primer lugar, al resto de entidades con derecho a representación de ese mismo grupo y, en su defecto, al grupo de impositores.”</w:t>
      </w:r>
    </w:p>
    <w:p w:rsidR="00D06117" w:rsidRDefault="00D06117" w:rsidP="00D06117">
      <w:pPr>
        <w:pStyle w:val="TextoNormal"/>
      </w:pPr>
    </w:p>
    <w:p w:rsidR="00D06117" w:rsidRDefault="00D06117" w:rsidP="00D06117">
      <w:pPr>
        <w:pStyle w:val="TextoNormal"/>
      </w:pPr>
      <w:r>
        <w:t>Comenzaremos examinando conjuntamente la cuestión relativa a si el Ayuntamiento de Gijón resulta ser el destinatario único del art. 24.2 y de la disposición adicional primera de la Ley 2/2000, dado que los dos preceptos se refieren a aspectos relativos a la representación del citado Ayuntamiento en los órganos de gobierno de la caja de ahorros en su calidad de entidad fundadora de la misma, condición que atribuye derecho a representación en la asamblea general de la caja de ahorros. De ello resulta que, en atención a su contenido, tanto el art. 24.2 como la disposición adicional impugnada tienen un único destinatario, las entidades fundadoras de una caja de ahorros que reúnan a la vez la condición de Ayuntamiento, situación o doble requisito que sólo cumple el Ayuntamiento de Gijón, por lo que el contenido de ambos preceptos le concierne directa y exclusivamente. De este modo, nos encontramos ante una regulación del legislador asturiano que afecta realmente a una única entidad local, el Ayuntamiento de Gijón, el cual ha de ser considerado destinatario único de ambos preceptos, por lo que satisface la exigencia regulada en el apartado a) del art. 75 ter.1 LOTC, que prevé la legitimación del “municipio o provincia que sea destinatario único de la Ley”.</w:t>
      </w:r>
    </w:p>
    <w:p w:rsidR="00D06117" w:rsidRDefault="00D06117" w:rsidP="00D06117">
      <w:pPr>
        <w:pStyle w:val="TextoNormal"/>
      </w:pPr>
    </w:p>
    <w:p w:rsidR="00D06117" w:rsidRDefault="00D06117" w:rsidP="00D06117">
      <w:pPr>
        <w:pStyle w:val="TextoNormal"/>
      </w:pPr>
      <w:r>
        <w:t>Distinta ha de ser nuestra conclusión respecto al art. 46.1 de la Ley 2/2000 por cuanto puede apreciarse que el mismo contiene una previsión genérica relativa al nombramiento del presidente y, en su caso, vicepresidentes, por lo que, tanto su tenor literal como la generalidad con la que aparece formulado descartan la posibilidad de que pudiera interpretarse como un precepto con un único potencial destinatario y que además éste fuera precisamente el Ayuntamiento de Gijón. Por ello, debemos inadmitir el conflicto en defensa de la autonomía local en relación con el art. 46.1 de la Ley 2/2000 por no concurrir en el Ayuntamiento de Gijón la legitimación ad causam prevista en el art. 75 ter.1 a) LOTC.</w:t>
      </w:r>
    </w:p>
    <w:p w:rsidR="00D06117" w:rsidRDefault="00D06117" w:rsidP="00D06117">
      <w:pPr>
        <w:pStyle w:val="TextoNormal"/>
      </w:pPr>
    </w:p>
    <w:p w:rsidR="00D06117" w:rsidRDefault="00D06117" w:rsidP="00D06117">
      <w:pPr>
        <w:pStyle w:val="TextoNormal"/>
      </w:pPr>
      <w:r>
        <w:t>Así pues, tras el examen de la concurrencia de los requisitos de legitimación exigidos por nuestra Ley Orgánica, podemos considerar cumplidos los mismos respecto al art. 22.2, por cuanto el mismo no es un precepto de destinatario único y se recurre por dieciséis municipios del Principado de Asturias al amparo de lo previsto en el art. 75.ter.1 b) LOTC, así como también respecto al art. 24.2 y disposición adicional primera de la Ley 2/2000, cuestionados ambos por el Ayuntamiento de Gijón en calidad de destinatario único de ambos preceptos, de acuerdo con lo que al respecto dispone el art. 75 ter.1 a) LOTC.</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Lo anteriormente expuesto nos conduce ahora a examinar otro aspecto relacionado con el óbice procesal planteado, habida cuenta de que se formalizan efectivamente dos conflictos en defensa de la autonomía local: uno, por el Ayuntamiento de Gijón, contra el art. 24.2 y disposición adicional primera de la Ley 2/2000; y el otro, por dieciséis Ayuntamientos, incluido el de Gijón, contra el art. 22.2 de la misma ley.</w:t>
      </w:r>
    </w:p>
    <w:p w:rsidR="00D06117" w:rsidRDefault="00D06117" w:rsidP="00D06117">
      <w:pPr>
        <w:pStyle w:val="TextoNormal"/>
      </w:pPr>
    </w:p>
    <w:p w:rsidR="00D06117" w:rsidRDefault="00D06117" w:rsidP="00D06117">
      <w:pPr>
        <w:pStyle w:val="TextoNormal"/>
      </w:pPr>
      <w:r>
        <w:t>La cuestión que se nos plantea se refiere a la posibilidad misma de formalización de ambos conflictos en un solo escrito de planteamiento, respecto a la cual, partiendo de que el capítulo IV (de los conflictos en defensa de la autonomía local) del título IV LOTC nada dice al respecto, y de que el art. 80 de la propia LOTC prevé la aplicación supletoria de la Ley de enjuiciamiento civil en materia, entre otras, de comparecencia en juicio, hemos de entender que resulta admisible tal promoción en razón a lo regulado en la vigente Ley 1/2000, de 7 de enero, de enjuiciamiento civil (LEC), sobre la acumulación de acciones (arts. 71 y 73 LEC).</w:t>
      </w:r>
    </w:p>
    <w:p w:rsidR="00D06117" w:rsidRDefault="00D06117" w:rsidP="00D06117">
      <w:pPr>
        <w:pStyle w:val="TextoNormal"/>
      </w:pPr>
    </w:p>
    <w:p w:rsidR="00D06117" w:rsidRDefault="00D06117" w:rsidP="00D06117">
      <w:pPr>
        <w:pStyle w:val="TextoNormal"/>
      </w:pPr>
      <w:r>
        <w:t>En conclusión, una vez examinados los óbices procesales, hemos de inadmitir el planteamiento del conflicto en defensa de la autonomía local por los Ayuntamientos de Belmonte de Miranda, Las Regueras-Santullano, Llanes y Teverga. Lo mismo sucede con el conflicto que, de acuerdo con el escrito de formalización, se plantea contra el art. 24.2 de la Ley 2/2000 por la totalidad de los dieciséis municipios promotores, pues ya hemos comprobado que tiene un único destinatario, que resulta ser el Ayuntamiento de Gijón, cuyo acuerdo plenario persigue la impugnación del art. 24.2 en calidad de tal. Por último también hemos de inadmitir, el conflicto en defensa de la autonomía local planteado en relación con el art. 46.1 de la Ley 2/2000, por no satisfacer el Ayuntamiento de Gijón el requisito de ser destinatario único del precepto, tal como establece el art. 75 ter.1 a) LOTC.</w:t>
      </w:r>
    </w:p>
    <w:p w:rsidR="00D06117" w:rsidRDefault="00D06117" w:rsidP="00D06117">
      <w:pPr>
        <w:pStyle w:val="TextoNormal"/>
      </w:pPr>
    </w:p>
    <w:p w:rsidR="00D06117" w:rsidRDefault="00D06117" w:rsidP="00D06117">
      <w:pPr>
        <w:pStyle w:val="TextoNormal"/>
      </w:pPr>
      <w:r>
        <w:t>Por tanto, en la presente Sentencia nos corresponde resolver, por un lado, el conflicto en defensa de la autonomía local planteado por dieciséis municipios en relación con el art. 22.2 de la Ley 2/2000, así como el planteado en solitario por el Ayuntamiento de Gijón y relativo al art. 24.2 y disposición adicional primera de esta misma Ley 2/2000.</w:t>
      </w:r>
    </w:p>
    <w:p w:rsidR="00D06117" w:rsidRDefault="00D06117" w:rsidP="00D06117">
      <w:pPr>
        <w:pStyle w:val="TextoNormal"/>
      </w:pPr>
    </w:p>
    <w:p w:rsidR="00D06117" w:rsidRDefault="00D06117" w:rsidP="00D06117">
      <w:pPr>
        <w:pStyle w:val="TextoNormal"/>
      </w:pPr>
      <w:r w:rsidRPr="00D06117">
        <w:rPr>
          <w:rStyle w:val="NumeroAFNegritaCaracter"/>
        </w:rPr>
        <w:t>5</w:t>
      </w:r>
      <w:r>
        <w:t>. Concretados de este modo los preceptos que van a ser objeto de enjuiciamiento en la presente Sentencia y en atención a la específica naturaleza del conflicto en defensa de la autonomía local (STC 240/2006, de 20 de julio, FFJJ 1 a 3), tendremos que determinar si los arts. 22.2, 24.2 y la disposición adicional primera de la Ley 2/2000 vulneran la autonomía local constitucionalmente garantizada de los municipios promotores, autonomía local que constituye, de acuerdo con los arts. 75 bis 1 y 75 quinquies.5 LOTC, el canon de enjuiciamiento de las normas impugnadas. Dicho canon, ante el silencio de la LOTC al respecto, ha de ser deducido de la Constitución a la vista de las resoluciones adoptadas por este Tribunal Constitucional en relación con la citada autonomía local, de acuerdo con lo señalado por la STC 240/2006, de 20 de julio, cuyo fundamento jurídico sexto afirma que:</w:t>
      </w:r>
    </w:p>
    <w:p w:rsidR="00D06117" w:rsidRDefault="00D06117" w:rsidP="00D06117">
      <w:pPr>
        <w:pStyle w:val="TextoNormal"/>
      </w:pPr>
    </w:p>
    <w:p w:rsidR="00D06117" w:rsidRDefault="00D06117" w:rsidP="00D06117">
      <w:pPr>
        <w:pStyle w:val="TextoNormal"/>
      </w:pPr>
      <w:r>
        <w:t>“[E]l canon que este Tribunal deberá aplicar para resolver los conflictos en defensa de la autonomía local promovidos frente a Leyes estatales se ciñe a los preceptos constitucionales (arts. 137, 140 y 141 CE) que establecen ese ‘contenido mínimo’ que protege la garantía institucional y que hemos considerado definitorios de ‘los elementos esenciales’ o del ‘núcleo primario’ del autogobierno de los entes locales territoriales.”</w:t>
      </w:r>
    </w:p>
    <w:p w:rsidR="00D06117" w:rsidRDefault="00D06117" w:rsidP="00D06117">
      <w:pPr>
        <w:pStyle w:val="TextoNormal"/>
      </w:pPr>
    </w:p>
    <w:p w:rsidR="00D06117" w:rsidRDefault="00D06117" w:rsidP="00D06117">
      <w:pPr>
        <w:pStyle w:val="TextoNormal"/>
      </w:pPr>
      <w:r>
        <w:lastRenderedPageBreak/>
        <w:t>En relación con ese contenido mínimo derivado de la garantía institucional de la autonomía local, el fundamento jurídico 4 de la STC 252/2005, de 11 de octubre, sistematiza nuestra doctrina al respecto señalando lo siguiente:</w:t>
      </w:r>
    </w:p>
    <w:p w:rsidR="00D06117" w:rsidRDefault="00D06117" w:rsidP="00D06117">
      <w:pPr>
        <w:pStyle w:val="TextoNormal"/>
      </w:pPr>
    </w:p>
    <w:p w:rsidR="00D06117" w:rsidRDefault="00D06117" w:rsidP="00D06117">
      <w:pPr>
        <w:pStyle w:val="TextoNormal"/>
      </w:pPr>
      <w:r>
        <w:t>“Es doctrina reiterada que la autonomía local reconocida en los arts. 137 y 140 de la Constitución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de 28 de julio, FJ 4).”</w:t>
      </w:r>
    </w:p>
    <w:p w:rsidR="00D06117" w:rsidRDefault="00D06117" w:rsidP="00D06117">
      <w:pPr>
        <w:pStyle w:val="TextoNormal"/>
      </w:pPr>
    </w:p>
    <w:p w:rsidR="00D06117" w:rsidRDefault="00D06117" w:rsidP="00D06117">
      <w:pPr>
        <w:pStyle w:val="TextoNormal"/>
      </w:pPr>
      <w:r>
        <w:t>En esa misma Sentencia y fundamento jurídico también afirmamos:</w:t>
      </w:r>
    </w:p>
    <w:p w:rsidR="00D06117" w:rsidRDefault="00D06117" w:rsidP="00D06117">
      <w:pPr>
        <w:pStyle w:val="TextoNormal"/>
      </w:pPr>
    </w:p>
    <w:p w:rsidR="00D06117" w:rsidRDefault="00D06117" w:rsidP="00D06117">
      <w:pPr>
        <w:pStyle w:val="TextoNormal"/>
      </w:pPr>
      <w:r>
        <w:t>“En definitiva, y como recordamos en la STC 51/2004, de 13 de abril, FJ 9, volviendo sobre la doctrina establecida en la STC 159/2001, de 5 de julio,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w:t>
      </w:r>
    </w:p>
    <w:p w:rsidR="00D06117" w:rsidRDefault="00D06117" w:rsidP="00D06117">
      <w:pPr>
        <w:pStyle w:val="TextoNormal"/>
      </w:pPr>
    </w:p>
    <w:p w:rsidR="00D06117" w:rsidRDefault="00D06117" w:rsidP="00D06117">
      <w:pPr>
        <w:pStyle w:val="TextoNormal"/>
      </w:pPr>
      <w:r w:rsidRPr="00D06117">
        <w:rPr>
          <w:rStyle w:val="NumeroAFNegritaCaracter"/>
        </w:rPr>
        <w:t>6</w:t>
      </w:r>
      <w:r>
        <w:t>. Establecido de este modo el canon de enjuiciamiento que, en razón de la naturaleza del presente proceso constitucional, deberemos aplicar a los preceptos de la Ley 2/2000 cuestionados, comenzaremos nuestro examen por el conflicto planteado en relación con el artículo 22.2 de la Ley 2/2000, recordando, en primer lugar, que este precepto disponía, en su redacción original, lo siguiente:</w:t>
      </w:r>
    </w:p>
    <w:p w:rsidR="00D06117" w:rsidRDefault="00D06117" w:rsidP="00D06117">
      <w:pPr>
        <w:pStyle w:val="TextoNormal"/>
      </w:pPr>
    </w:p>
    <w:p w:rsidR="00D06117" w:rsidRDefault="00D06117" w:rsidP="00D06117">
      <w:pPr>
        <w:pStyle w:val="TextoNormal"/>
      </w:pPr>
      <w:r>
        <w:t>“Los Consejeros Generales que representen a las Corporaciones Municipales serán elegidos directamente por los Plenos de las mismas. Cada Grupo municipal podrá presentar una propuesta de candidatos con un número de éstos igual al número de Consejeros a elegir. Los candidatos a Consejeros Generales, por el orden en que figuren en la propuesta, serán elegidos de forma proporcional al número de votos obtenidos por cada candidatura. Cada miembro del Pleno podrá dar su voto a una única candidatura.”</w:t>
      </w:r>
    </w:p>
    <w:p w:rsidR="00D06117" w:rsidRDefault="00D06117" w:rsidP="00D06117">
      <w:pPr>
        <w:pStyle w:val="TextoNormal"/>
      </w:pPr>
    </w:p>
    <w:p w:rsidR="00D06117" w:rsidRDefault="00D06117" w:rsidP="00D06117">
      <w:pPr>
        <w:pStyle w:val="TextoNormal"/>
      </w:pPr>
      <w:r>
        <w:lastRenderedPageBreak/>
        <w:t>Respecto a este precepto ha de resaltarse, en primer lugar, que, durante la pendencia del presente proceso constitucional, el mismo ha sido modificado por el art. único.4 de la Ley del Principado de Asturias 1/2005, de 9 de mayo, si bien por lo que se refiere al concreto apartado 2 impugnado las modificaciones introducidas han supuesto únicamente el cambio de su ubicación sistemática dentro del art. 22, de tal modo que el inicial art. 22.2 ha pasado a ser el actual art. 22.1 d), sin que dicha variación en su numeración haya afectado al contenido del precepto controvertido, el cual ha mantenido inmodificada su redacción original. Por ello, hemos de entender, huyendo de excesivos rigorismos formales, que la controversia planteada subsiste en los mismos términos en que se formuló en su momento y así debe ser enjuiciada por este Tribunal Constitucional.</w:t>
      </w:r>
    </w:p>
    <w:p w:rsidR="00D06117" w:rsidRDefault="00D06117" w:rsidP="00D06117">
      <w:pPr>
        <w:pStyle w:val="TextoNormal"/>
      </w:pPr>
    </w:p>
    <w:p w:rsidR="00D06117" w:rsidRDefault="00D06117" w:rsidP="00D06117">
      <w:pPr>
        <w:pStyle w:val="TextoNormal"/>
      </w:pPr>
      <w:r>
        <w:t>La representación procesal de los dieciséis municipios promotores del presente conflicto argumenta que el precepto impugnado vulnera el art. 3.1 LORCA, precepto que, a su entender, impediría el establecimiento, mediante ley autonómica, de una forma proporcional de elección por el pleno de la corporación local de los consejeros generales representantes de la misma. Dicho nombramiento sólo sería posible efectuarlo a través de los procedimientos de adopción de acuerdos previstos en los arts. 46 y siguientes LBRL, que imponen, con carácter básico y como pieza fundamental de la autonomía local, un régimen de mayorías. En conclusión, los recurrentes entienden que la decisión acerca de quién haya de representar al Ayuntamiento en los órganos de gobierno de una caja de ahorros debe residenciarse en el pleno municipal, aplicando a tal efecto los procedimientos de adopción de acuerdos que la LBRL establece. A tales consideraciones se opone el Letrado de la Junta General del Principado de Asturias señalando que en la competencia autonómica en materia de cajas de ahorro se incluye la potestad de la Comunidad Autónoma para determinar el procedimiento a seguir en la designación de los miembros de los órganos de gobierno de las mismas. Con ello se asegura la representatividad y libertad del mecanismo de selección de los representantes, objetivando, de modo similar a lo regulado en otras leyes autonómicas de cajas de ahorro, el procedimiento a seguir en las diferentes corporaciones locales para proveer unos cargos que han de mantener una absoluta independencia respecto a las corporaciones locales que les nombraron.</w:t>
      </w:r>
    </w:p>
    <w:p w:rsidR="00D06117" w:rsidRDefault="00D06117" w:rsidP="00D06117">
      <w:pPr>
        <w:pStyle w:val="TextoNormal"/>
      </w:pPr>
    </w:p>
    <w:p w:rsidR="00D06117" w:rsidRDefault="00D06117" w:rsidP="00D06117">
      <w:pPr>
        <w:pStyle w:val="TextoNormal"/>
      </w:pPr>
      <w:r w:rsidRPr="00D06117">
        <w:rPr>
          <w:rStyle w:val="NumeroAFNegritaCaracter"/>
        </w:rPr>
        <w:t>7</w:t>
      </w:r>
      <w:r>
        <w:t>. Así expuestas las posiciones de las partes, podemos comenzar ya el enjuiciamiento del precepto impugnado teniendo presente que, como indica el fundamento jurídico 3 de la STC 240/2006, de 20 de julio:</w:t>
      </w:r>
    </w:p>
    <w:p w:rsidR="00D06117" w:rsidRDefault="00D06117" w:rsidP="00D06117">
      <w:pPr>
        <w:pStyle w:val="TextoNormal"/>
      </w:pPr>
    </w:p>
    <w:p w:rsidR="00D06117" w:rsidRDefault="00D06117" w:rsidP="00D06117">
      <w:pPr>
        <w:pStyle w:val="TextoNormal"/>
      </w:pPr>
      <w:r>
        <w:t>“El conflicto en defensa de la autonomía local constituye una ‘vía para la defensa específica de la autonomía local ante el Tribunal Constitucional’, tal como reza la citada exposición de motivos de la Ley Orgánica 7/1999. Dicha especificidad se manifiesta en que el conflicto sólo puede ser promovido frente a normas legales con base en un único motivo de inconstitucionalidad, la lesión de ‘la autonomía local constitucionalmente garantizada’; en consecuencia no podrán alegarse en él otros motivos fundados en la infracción de preceptos constitucionales que no guarden una relación directa con la autonomía que la Constitución garantiza a los entes locales.”</w:t>
      </w:r>
    </w:p>
    <w:p w:rsidR="00D06117" w:rsidRDefault="00D06117" w:rsidP="00D06117">
      <w:pPr>
        <w:pStyle w:val="TextoNormal"/>
      </w:pPr>
    </w:p>
    <w:p w:rsidR="00D06117" w:rsidRDefault="00D06117" w:rsidP="00D06117">
      <w:pPr>
        <w:pStyle w:val="TextoNormal"/>
      </w:pPr>
      <w:r>
        <w:t xml:space="preserve">En particular, en relación con ello y aun cuando la normativa básica estatal en materia de cajas de ahorro deba ser traída a colación en el examen del precepto impugnado, no puede formar parte del objeto de este proceso la discusión en torno a la supuesta vulneración de la misma, ya que ésta es una cuestión que afecta al sistema de distribución de competencias </w:t>
      </w:r>
      <w:r>
        <w:lastRenderedPageBreak/>
        <w:t>entre el Estado y las Comunidades Autónomas que, por imperativo de lo dispuesto en el art. 75 bis 1 LOTC, no puede ser suscitada en el presente proceso constitucional, sin perjuicio de que la supuesta vulneración de la normativa básica pudiera, en su caso, integrar también materialmente una lesión de la autonomía local para la que el conflicto ofrece un cauce procesal viable.</w:t>
      </w:r>
    </w:p>
    <w:p w:rsidR="00D06117" w:rsidRDefault="00D06117" w:rsidP="00D06117">
      <w:pPr>
        <w:pStyle w:val="TextoNormal"/>
      </w:pPr>
    </w:p>
    <w:p w:rsidR="00D06117" w:rsidRDefault="00D06117" w:rsidP="00D06117">
      <w:pPr>
        <w:pStyle w:val="TextoNormal"/>
      </w:pPr>
      <w:r>
        <w:t>Por consiguiente, fijado dicho criterio, debemos determinar si el ejercicio de las competencias autonómicas a cuyo amparo se dictó la Ley 2/2000 ha afectado al ámbito de autonomía de los dieciséis municipios promotores del presente conflicto, lesionando o menoscabando de algún modo la autonomía local constitucionalmente garantizada. Para ello, comenzaremos examinando la regulación relativa a la participación de las corporaciones locales en los órganos de gobierno de las cajas de ahorro a fin de ponerla en relación con la autonomía local constitucionalmente garantizada, cuya garantía constituye el objeto del presente proceso.</w:t>
      </w:r>
    </w:p>
    <w:p w:rsidR="00D06117" w:rsidRDefault="00D06117" w:rsidP="00D06117">
      <w:pPr>
        <w:pStyle w:val="TextoNormal"/>
      </w:pPr>
    </w:p>
    <w:p w:rsidR="00D06117" w:rsidRDefault="00D06117" w:rsidP="00D06117">
      <w:pPr>
        <w:pStyle w:val="TextoNormal"/>
      </w:pPr>
      <w:r>
        <w:t>Así, señalaremos, en primer lugar, que, de conformidad con lo dispuesto en su Estatuto de Autonomía, el Principado de Asturias dispone de competencia exclusiva en materia de “cajas de ahorro e instituciones de crédito corporativo público y territorial, en el marco de la ordenación general de la economía y de acuerdo con las disposiciones que, en uso de sus facultades dicte el Estado” (art.10.1.36). El art. 49 de dicho Estatuto añade en su apartado 1 que “el Principado de Asturias, de acuerdo con las disposiciones del Estado, impulsará el establecimiento de instituciones públicas de crédito y ahorro territoriales y podrá adoptar las medidas que considere necesarias para garantizar su funcionalidad y posibilitar la captación y afirmación del ahorro regional”. Finalmente, el art. 11.10 de dicho Estatuto le atribuye, en el marco de la legislación básica del Estado y, en su caso, en los términos que la misma establezca, el desarrollo legislativo y la ejecución en materia de “régimen local”. Por su parte, la LORCA, norma básica en esta materia, explica en su exposición de motivos que el carácter social de estas entidades exige una plena democratización de sus órganos rectores y que la aplicación de los principios de democratización se lleva a cabo mediante la representación de aquellos estamentos sociales más íntimamente vinculados a su actividad, entre los que se encuentran las corporaciones municipales. Dicha idea está presente también en el art. 2 LORCA cuando, con respecto a la asamblea general, afirma que tiene como finalidad la representación de diversos intereses sociales y colectivos.</w:t>
      </w:r>
    </w:p>
    <w:p w:rsidR="00D06117" w:rsidRDefault="00D06117" w:rsidP="00D06117">
      <w:pPr>
        <w:pStyle w:val="TextoNormal"/>
      </w:pPr>
    </w:p>
    <w:p w:rsidR="00D06117" w:rsidRDefault="00D06117" w:rsidP="00D06117">
      <w:pPr>
        <w:pStyle w:val="TextoNormal"/>
      </w:pPr>
      <w:r>
        <w:t>En relación con ello, las SSTC 48/1988 y 49/1988, de 22 de marzo, se pronunciaron sobre la cuestión de los distintos grupos sociales o intereses colectivos que debían estar representados en los órganos de gobierno de las cajas de ahorro estableciendo, como cita el fundamento jurídico 3 de la STC 239/1992, de 17 de diciembre:"</w:t>
      </w:r>
    </w:p>
    <w:p w:rsidR="00D06117" w:rsidRDefault="00D06117" w:rsidP="00D06117">
      <w:pPr>
        <w:pStyle w:val="TextoNormal"/>
      </w:pPr>
    </w:p>
    <w:p w:rsidR="00D06117" w:rsidRDefault="00D06117" w:rsidP="00D06117">
      <w:pPr>
        <w:pStyle w:val="TextoNormal"/>
      </w:pPr>
      <w:r>
        <w:t xml:space="preserve">“[E]s lícita la finalidad democratizadora de las Cajas de Ahorro que aquella Ley estatal persigue y que esa finalidad primordial faculta al legislador estatal a prever la participación en las Cajas de determinados sectores sociales afectados por su actividad y, desde el punto de vista competencial, a regular los aspectos básicos de esa participación, pero no de una manera tan uniforme y exhaustiva que restrinja indebidamente la competencia de las Comunidades Autónomas para establecer al respecto una legislación de desarrollo propia, conforme a sus Estatutos de Autonomía, adaptada a sus peculiaridades. En este sentido, las referidas Sentencias consideran que constituye una norma básica la determinación de los grupos, categorías o sectores que han de estar representados en la Asamblea General de las </w:t>
      </w:r>
      <w:r>
        <w:lastRenderedPageBreak/>
        <w:t>Cajas y que son también normas básicas las que garanticen un ‘equilibrio razonable entre ellos’, sin perjuicio de que las Comunidades Autónomas puedan prever la participación de otros grupos que representen ‘intereses sociales y colectivos del ámbito de actuación de las Cajas de Ahorro’.”</w:t>
      </w:r>
    </w:p>
    <w:p w:rsidR="00D06117" w:rsidRDefault="00D06117" w:rsidP="00D06117">
      <w:pPr>
        <w:pStyle w:val="TextoNormal"/>
      </w:pPr>
    </w:p>
    <w:p w:rsidR="00D06117" w:rsidRDefault="00D06117" w:rsidP="00D06117">
      <w:pPr>
        <w:pStyle w:val="TextoNormal"/>
      </w:pPr>
      <w:r>
        <w:t>Por otro lado, y en relación específicamente con la participación de las corporaciones locales en los órganos de gobierno de las cajas de ahorro hemos declarado:</w:t>
      </w:r>
    </w:p>
    <w:p w:rsidR="00D06117" w:rsidRDefault="00D06117" w:rsidP="00D06117">
      <w:pPr>
        <w:pStyle w:val="TextoNormal"/>
      </w:pPr>
    </w:p>
    <w:p w:rsidR="00D06117" w:rsidRDefault="00D06117" w:rsidP="00D06117">
      <w:pPr>
        <w:pStyle w:val="TextoNormal"/>
      </w:pPr>
      <w:r>
        <w:t>“Esta conexión entre Municipios como representantes de los intereses locales y el gobierno de las Cajas no resulta, contra lo que pretenden los recurrentes, arbitraria o absurda. Se refiere a los Municipios en que actúan, y en los que presumiblemente llevarán a cabo su obra social. No sólo, pues, como impositores, sino también como vecinos, tienen un interés en el funcionamiento de las Cajas los que lo sean de esos Municipios.” (STC 49/1988, de 22 de marzo, FJ 13)</w:t>
      </w:r>
    </w:p>
    <w:p w:rsidR="00D06117" w:rsidRDefault="00D06117" w:rsidP="00D06117">
      <w:pPr>
        <w:pStyle w:val="TextoNormal"/>
      </w:pPr>
    </w:p>
    <w:p w:rsidR="00D06117" w:rsidRDefault="00D06117" w:rsidP="00D06117">
      <w:pPr>
        <w:pStyle w:val="TextoNormal"/>
      </w:pPr>
      <w:r>
        <w:t>A tales efectos, el art. 3.1 LORCA disponía, en su redacción inicial, que estos consejeros generales, representantes de las corporaciones locales, son designados directamente por éstas, de acuerdo con el procedimiento que se determine en las normas que desarrollen la misma. Tras la modificación introducida por el art. 3.3 del Real Decreto-ley 11/2010, de 9 de julio, este precepto establece que “[l]os Consejeros generales representantes de Corporaciones Municipales en cuyo término tenga abierta oficina la entidad serán designados directamente por las propias Corporaciones, de acuerdo con lo previsto en su normativa reguladora”. En conexión con esta previsión relativa a la designación de consejeros generales el apartado uno a) de la disposición final cuarta LORCA reconoce que las Comunidades Autónomas pueden “desarrollar el procedimiento para elegir y designar a los miembros de la Asamblea General y el Consejo de Administración, en particular, el procedimiento de selección de las Corporaciones Municipales, y proceso electoral de representantes de los impositores”. Finalmente la STC 49/1988, de 22 de marzo, en su fundamento jurídico 19, al examinar la redacción inicial del art. 3 de la LORCA, declaró:</w:t>
      </w:r>
    </w:p>
    <w:p w:rsidR="00D06117" w:rsidRDefault="00D06117" w:rsidP="00D06117">
      <w:pPr>
        <w:pStyle w:val="TextoNormal"/>
      </w:pPr>
    </w:p>
    <w:p w:rsidR="00D06117" w:rsidRDefault="00D06117" w:rsidP="00D06117">
      <w:pPr>
        <w:pStyle w:val="TextoNormal"/>
      </w:pPr>
      <w:r>
        <w:t>“[E]l precepto se limita a decir que los representantes en cuestión serán designados directamente por las propias Corporaciones, lo que parece obligado, y en cuanto a la remisión que contiene el inciso final, es de advertir, como señala el Abogado del Estado, que la disposición final 4.1 muestra que la remisión no debe entenderse hecha a la potestad reglamentaria del Gobierno y puede considerarse referida a la potestad de desarrollo de las Comunidades.”</w:t>
      </w:r>
    </w:p>
    <w:p w:rsidR="00D06117" w:rsidRDefault="00D06117" w:rsidP="00D06117">
      <w:pPr>
        <w:pStyle w:val="TextoNormal"/>
      </w:pPr>
    </w:p>
    <w:p w:rsidR="00D06117" w:rsidRDefault="00D06117" w:rsidP="00D06117">
      <w:pPr>
        <w:pStyle w:val="TextoNormal"/>
      </w:pPr>
      <w:r>
        <w:t>Criterio este último que, establecido respecto a la redacción inicial del art. 3 LORCA puede también ser aplicado a la nueva redacción del precepto estatal en cuanto que el ámbito de la normativa reguladora de las corporaciones locales al que se remite es, asimismo, un ámbito de competencia compartida entre el Estado y el Principado de Asturias en los términos que ya hemos dejado expuestos. Así pues, la LORCA exige que la selección y articulación de los órganos de gobierno de las cajas de ahorro haya de inspirarse en principios democráticos, garantizando, cualquiera que sea el procedimiento de selección, el carácter representativo de los correspondientes órganos, cabiendo, a tal efecto, diversas opciones con arreglo al orden constitucional de distribución de competencias y con pleno respeto al principio de autonomía local constitucionalmente garantizado.</w:t>
      </w:r>
    </w:p>
    <w:p w:rsidR="00D06117" w:rsidRDefault="00D06117" w:rsidP="00D06117">
      <w:pPr>
        <w:pStyle w:val="TextoNormal"/>
      </w:pPr>
    </w:p>
    <w:p w:rsidR="00D06117" w:rsidRDefault="00D06117" w:rsidP="00D06117">
      <w:pPr>
        <w:pStyle w:val="TextoNormal"/>
      </w:pPr>
      <w:r>
        <w:lastRenderedPageBreak/>
        <w:t>Por ello, conforme a la propia normativa estatal y a la doctrina de este Tribunal Constitucional, las Comunidades Autónomas pueden regular la selección de los consejeros generales representantes de las corporaciones locales estableciendo un procedimiento basado en el principio de democratización de los órganos rectores. También debe tenerse en cuenta, respecto a la participación de las corporaciones locales en los órganos de gobierno de las cajas de ahorro, que, como señala la exposición de motivos de la LORCA, esa representación la ostentan “en su calidad de representantes electos de los intereses de las colectividades locales”. De acuerdo con ello, se trata de una representación de los intereses colectivos de los vecinos tanto en cuanto potenciales usuarios de los servicios ofertados por la entidad como en su calidad de beneficiarios de la actividad social de la misma, sin perjuicio de que, en última instancia, tales intereses sean expresados por la corporación municipal, a través de la designación de los correspondientes representantes. Por ello, la presencia que corresponde a los Ayuntamientos en los órganos de gobierno de las cajas de ahorro encuentra su justificación última en la representación de los intereses colectivos de los vecinos, lo que constituye una expresión del deber de los poderes públicos de facilitar la participación de todos los ciudadanos en la vida política, económica, social y cultural recogido en el art. 9.2 CE.</w:t>
      </w:r>
    </w:p>
    <w:p w:rsidR="00D06117" w:rsidRDefault="00D06117" w:rsidP="00D06117">
      <w:pPr>
        <w:pStyle w:val="TextoNormal"/>
      </w:pPr>
    </w:p>
    <w:p w:rsidR="00D06117" w:rsidRDefault="00D06117" w:rsidP="00D06117">
      <w:pPr>
        <w:pStyle w:val="TextoNormal"/>
      </w:pPr>
      <w:r>
        <w:t>Además ha de tenerse en cuenta que, según dispone el art. 1.2 LORCA, “[l]os componentes de los órganos de gobierno ejercerán sus funciones en beneficio exclusivo de los intereses de la caja a que pertenezcan y del cumplimiento de su función social, debiendo reunir, sin perjuicio de lo dispuesto en el artículo 8, los requisitos de honorabilidad comercial y profesional que determinen las normas de desarrollo de esta Ley” y en este mismo sentido se pronuncia el art. 11.2 de la Ley 2/2000. De este modo los consejeros generales no representan los intereses del grupo por el que son nombrados, sino que, una vez que ocupan el cargo, según se desprende del tenor literal de la norma, son cargos de la entidad que no actúan por cuenta y beneficio de quienes les han elegido, sino con absoluta independencia en función de los intereses de la caja de ahorros y del cumplimiento de su función económico-social. A este respecto no debe olvidarse que la asamblea general de la caja de ahorros es el órgano encargado de expresar la voluntad de la entidad en las materias más relevantes para su funcionamiento, como ponen de manifiesto las funciones enunciadas en el art. 11 LORCA.</w:t>
      </w:r>
    </w:p>
    <w:p w:rsidR="00D06117" w:rsidRDefault="00D06117" w:rsidP="00D06117">
      <w:pPr>
        <w:pStyle w:val="TextoNormal"/>
      </w:pPr>
    </w:p>
    <w:p w:rsidR="00D06117" w:rsidRDefault="00D06117" w:rsidP="00D06117">
      <w:pPr>
        <w:pStyle w:val="TextoNormal"/>
      </w:pPr>
      <w:r>
        <w:t>Por otro lado, forma parte de la garantía institucional de la autonomía local constitucionalmente garantizada el derecho de la corporación local a intervenir en aquellos asuntos que afecten a sus intereses de naturaleza local cualquiera que sea la materia en la que éstos aparecen. En tal sentido ha de interpretarse el art. 2.1 LBRL cuando conmina al legislador competente a asegurar a las corporaciones locales “su derecho a intervenir en cuantos asuntos afecten directamente al círculo de sus intereses, atribuyéndoles las competencias que proceda en atención a las características de la actividad pública de que se trate y a la capacidad de la gestión de la entidad local, de conformidad con los principios de descentralización y de máxima proximidad de la gestión administrativa a los ciudadanos”. En consecuencia, la Constitución garantiza el derecho de las corporaciones locales a ostentar las competencias necesarias para la gestión de sus intereses, si bien, más allá de ello, la determinación concreta de cuáles sean las competencias locales queda diferida a la decisión del legislador estatal o autonómico competente por razón de la materia, tal y como recordamos en el fundamento jurídico 3 de la STC 214/1989, de 21 de diciembre, en los siguientes términos:</w:t>
      </w:r>
    </w:p>
    <w:p w:rsidR="00D06117" w:rsidRDefault="00D06117" w:rsidP="00D06117">
      <w:pPr>
        <w:pStyle w:val="TextoNormal"/>
      </w:pPr>
    </w:p>
    <w:p w:rsidR="00D06117" w:rsidRDefault="00D06117" w:rsidP="00D06117">
      <w:pPr>
        <w:pStyle w:val="TextoNormal"/>
      </w:pPr>
      <w:r>
        <w:lastRenderedPageBreak/>
        <w:t>“Ahora bien, delimitada así la existencia de orden competencial vinculada a la garantía constitucional de la autonomía de las Entidades locales,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w:t>
      </w:r>
    </w:p>
    <w:p w:rsidR="00D06117" w:rsidRDefault="00D06117" w:rsidP="00D06117">
      <w:pPr>
        <w:pStyle w:val="TextoNormal"/>
      </w:pPr>
    </w:p>
    <w:p w:rsidR="00D06117" w:rsidRDefault="00D06117" w:rsidP="00D06117">
      <w:pPr>
        <w:pStyle w:val="TextoNormal"/>
      </w:pPr>
      <w:r>
        <w:t>De esta forma, las Comunidades Autónomas competentes por razón de la materia pueden desarrollar la previsión contenida en la norma básica para la designación de representantes de las corporaciones locales en los órganos de gobierno de las cajas de ahorro, siempre que aseguren el derecho de la corporación local a su designación y establezcan un sistema que reúna las condiciones necesarias para asegurar una verdadera representatividad y libertad del mecanismo de selección. En este sentido, el criterio material de distribución de los representantes de la corporación local adoptado por el art. 22.2 de la Ley 2/2000 satisface ambos criterios, pues respeta el principio democratizador que inspira la LORCA y no vulnera la autonomía local constitucionalmente garantizada. Esta última queda satisfecha con la participación de los Ayuntamientos en los órganos rectores de las cajas de ahorro en calidad de entes públicos depositarios de los intereses colectivos de los vecinos, por lo que, desde esa perspectiva, nada ha de reprocharse a la introducción, como uno de los criterios posibles inspiradores de la elección, del principio de proporcionalidad para la designación de los representantes en el órgano de gobierno de la caja de ahorros, de tal forma que la misma se adecue en la mayor medida posible a la composición del pleno de la corporación.</w:t>
      </w:r>
    </w:p>
    <w:p w:rsidR="00D06117" w:rsidRDefault="00D06117" w:rsidP="00D06117">
      <w:pPr>
        <w:pStyle w:val="TextoNormal"/>
      </w:pPr>
    </w:p>
    <w:p w:rsidR="00D06117" w:rsidRDefault="00D06117" w:rsidP="00D06117">
      <w:pPr>
        <w:pStyle w:val="TextoNormal"/>
      </w:pPr>
      <w:r>
        <w:t>Asimismo, desde otra perspectiva, la aplicación de este criterio material para la distribución de los consejeros generales designados por las corporaciones locales en nada altera las normas básicas relativas a las mayorías necesarias para la adopción válida de acuerdos por el pleno de la corporación, puesto que la obligatoriedad de guardar la necesaria proporcionalidad en la designación de los representantes de la corporación local es algo distinto al sistema de adopción de acuerdos y de mayorías exigibles al respecto. Así, lo primero se vincula al modo de determinar o integrar la candidatura de aquellos propuestos para ser designados mientras que lo segundo hace referencia a la mayoría necesaria para la adopción de tal acuerdo. Este principio de proporcionalidad en nada coarta el derecho de la corporación local a la designación de los consejeros generales, sino que tiene como objetivo asegurar la necesaria representatividad y libertad del mecanismo de selección, expresión del principio democratizador que inspira la regulación de los órganos de gobierno de las cajas de ahorro, lo cual no afecta a la autonomía de la propia corporación local en la adopción de los acuerdos de su competencia, sin perjuicio de que tales acuerdos deban tener presente, en el caso que nos ocupa, la necesaria proporcionalidad en la designación de los representantes en los órganos de gobierno de la caja de ahorros.</w:t>
      </w:r>
    </w:p>
    <w:p w:rsidR="00D06117" w:rsidRDefault="00D06117" w:rsidP="00D06117">
      <w:pPr>
        <w:pStyle w:val="TextoNormal"/>
      </w:pPr>
    </w:p>
    <w:p w:rsidR="00D06117" w:rsidRDefault="00D06117" w:rsidP="00D06117">
      <w:pPr>
        <w:pStyle w:val="TextoNormal"/>
      </w:pPr>
      <w:r>
        <w:t>Por todo lo expuesto, el art. 22.2 de la Ley 2/2000 no vulnera la autonomía local constitucionalmente garantizada de los municipios recurrentes, debiendo desestimarse el conflicto promovido en relación con este precepto.</w:t>
      </w:r>
    </w:p>
    <w:p w:rsidR="00D06117" w:rsidRDefault="00D06117" w:rsidP="00D06117">
      <w:pPr>
        <w:pStyle w:val="TextoNormal"/>
      </w:pPr>
    </w:p>
    <w:p w:rsidR="00D06117" w:rsidRDefault="00D06117" w:rsidP="00D06117">
      <w:pPr>
        <w:pStyle w:val="TextoNormal"/>
      </w:pPr>
      <w:r w:rsidRPr="00D06117">
        <w:rPr>
          <w:rStyle w:val="NumeroAFNegritaCaracter"/>
        </w:rPr>
        <w:t>8</w:t>
      </w:r>
      <w:r>
        <w:t>. Abordaremos ahora el enjuiciamiento de los preceptos cuestionados por el Ayuntamiento de Gijón por resultar ser el destinatario único de los mismos. El primero es el art. 24.2 de la Ley 2/2000 que ya hemos reproducido con anterioridad.</w:t>
      </w:r>
    </w:p>
    <w:p w:rsidR="00D06117" w:rsidRDefault="00D06117" w:rsidP="00D06117">
      <w:pPr>
        <w:pStyle w:val="TextoNormal"/>
      </w:pPr>
    </w:p>
    <w:p w:rsidR="00D06117" w:rsidRDefault="00D06117" w:rsidP="00D06117">
      <w:pPr>
        <w:pStyle w:val="TextoNormal"/>
      </w:pPr>
      <w:r>
        <w:lastRenderedPageBreak/>
        <w:t>De su propio tenor literal se aprecia que el precepto remite a lo dispuesto por la Ley 2/2000 para la designación de representantes en los órganos de gobierno de la caja de ahorros en representación de las corporaciones locales y es objeto de impugnación por motivos similares a los alegados en relación con el art. 22.2. La diferencia entre ambos preceptos cuestionados estriba en que la exigencia de una forma proporcional de elección por el pleno de la corporación local se refiere ahora a los consejeros generales representantes de la entidad fundadora, condición que en este caso recae en el Ayuntamiento de Gijón.</w:t>
      </w:r>
    </w:p>
    <w:p w:rsidR="00D06117" w:rsidRDefault="00D06117" w:rsidP="00D06117">
      <w:pPr>
        <w:pStyle w:val="TextoNormal"/>
      </w:pPr>
    </w:p>
    <w:p w:rsidR="00D06117" w:rsidRDefault="00D06117" w:rsidP="00D06117">
      <w:pPr>
        <w:pStyle w:val="TextoNormal"/>
      </w:pPr>
      <w:r>
        <w:t>Con respecto al nombramiento directo de los consejeros generales de las cajas de ahorro en representación de las entidades fundadoras, previsto en el art. 5 LORCA, ya establecimos en la STC 49/1988, de 22 de marzo, que el mismo debía considerarse básico en cuanto se considere como nombramiento directo el que se lleva a cabo por los fundadores. Asimismo, para el caso de que tal condición de fundadora recayera en una entidad local, en la STC 33/1993, de 1 de febrero, FJ 2, afirmamos que la adopción de los acuerdos relativos a la designación de estos representantes habría de someterse a la normativa que al respecto establece la legislación de régimen local y, de acuerdo con ello consideramos inconstitucional, por vulnerar la norma básica contenida en su momento en el art. 47.2 LBRL, que se refería a los supuestos tasados en que resultaba exigible la mayoría de dos tercios del pleno de la corporación —hoy mayoría absoluta—, una regulación autonómica que exigía dicho régimen de mayorías para la designación de los representantes de una corporación local fundadora de una caja de ahorros, al tratarse de un supuesto no establecido en aquélla y en el entendimiento de que los supuestos que en ese momento se contemplaban en el art. 47.2 LBRL constituían un elenco cerrado y exhaustivo de carácter excepcional y, como tal, vedado a la intervención normativa autonómica.</w:t>
      </w:r>
    </w:p>
    <w:p w:rsidR="00D06117" w:rsidRDefault="00D06117" w:rsidP="00D06117">
      <w:pPr>
        <w:pStyle w:val="TextoNormal"/>
      </w:pPr>
    </w:p>
    <w:p w:rsidR="00D06117" w:rsidRDefault="00D06117" w:rsidP="00D06117">
      <w:pPr>
        <w:pStyle w:val="TextoNormal"/>
      </w:pPr>
      <w:r>
        <w:t>Ahora bien, tal como ya hemos expuesto, el modelo organizativo derivado de la LORCA no requiere en estos casos más exigencia que la consistente en que la designación de los representantes se haga por procedimientos que garanticen la expresión de la voluntad del fundador de modo directo, esto es, sin intermediarios ni compromisarios, pero ello no impide que las normas de desarrollo de las Comunidades Autónomas puedan concretar el procedimiento de designación introduciendo criterios materiales para la designación de los consejeros, siempre que se respete ese límite establecido en la norma básica estatal.</w:t>
      </w:r>
    </w:p>
    <w:p w:rsidR="00D06117" w:rsidRDefault="00D06117" w:rsidP="00D06117">
      <w:pPr>
        <w:pStyle w:val="TextoNormal"/>
      </w:pPr>
    </w:p>
    <w:p w:rsidR="00D06117" w:rsidRDefault="00D06117" w:rsidP="00D06117">
      <w:pPr>
        <w:pStyle w:val="TextoNormal"/>
      </w:pPr>
      <w:r>
        <w:t xml:space="preserve">Por ello, el caso que ahora examinamos resulta ser distinto del resuelto en la STC 33/1993 citada, pues, además de que lo allí planteado era un recurso de inconstitucionalidad de contenido competencial, a diferencia de aquél no se afecta ahora al régimen de quorum y mayorías necesarias para la adopción de los acuerdos de los órganos colegiados superiores, ya que no se trata aquí del límite negativo que supone la exigencia de determinadas mayorías especiales en supuestos singularizados, sin que se comprometa, por tanto, el modelo legal de funcionamiento democrático de las corporaciones locales. Así, como, ya hemos expuesto, el hecho de que la ley autonómica introduzca un criterio material de proporcionalidad para la distribución de los consejeros de las cajas de ahorro designados por las corporaciones locales no altera las normas formales sobre las mayorías precisas para la adopción de acuerdos en éstas. En la medida en que, como antes hemos dicho, la necesaria proporcionalidad en la designación de los representantes es diferente del sistema de adopción de acuerdos y de las mayorías exigibles al respecto en el pleno de una corporación local, debemos concluir que la regulación legal asturiana cumple con el principio democratizador que </w:t>
      </w:r>
      <w:r>
        <w:lastRenderedPageBreak/>
        <w:t>inspira la legislación en materia de cajas de ahorro sin que nada pueda oponerse a la participación de los grupos municipales en la designación de los representantes de la corporación en la caja de ahorros, ya que aquéllos son expresión de la voluntad popular en los órganos de gobierno de los municipios, sin que ello suponga imposición o condicionamiento de la forma de proceder al nombramiento contrario al art. 5 LORCA, y menos imposición o condicionamiento a la autonomía local constitucionalmente garantizada.</w:t>
      </w:r>
    </w:p>
    <w:p w:rsidR="00D06117" w:rsidRDefault="00D06117" w:rsidP="00D06117">
      <w:pPr>
        <w:pStyle w:val="TextoNormal"/>
      </w:pPr>
    </w:p>
    <w:p w:rsidR="00D06117" w:rsidRDefault="00D06117" w:rsidP="00D06117">
      <w:pPr>
        <w:pStyle w:val="TextoNormal"/>
      </w:pPr>
      <w:r>
        <w:t>Por todo lo expuesto, debemos concluir que el precepto cuestionado no vulnera la autonomía local del Ayuntamiento de Gijón.</w:t>
      </w:r>
    </w:p>
    <w:p w:rsidR="00D06117" w:rsidRDefault="00D06117" w:rsidP="00D06117">
      <w:pPr>
        <w:pStyle w:val="TextoNormal"/>
      </w:pPr>
    </w:p>
    <w:p w:rsidR="00D06117" w:rsidRDefault="00D06117" w:rsidP="00D06117">
      <w:pPr>
        <w:pStyle w:val="TextoNormal"/>
      </w:pPr>
      <w:r w:rsidRPr="00D06117">
        <w:rPr>
          <w:rStyle w:val="NumeroAFNegritaCaracter"/>
        </w:rPr>
        <w:t>9</w:t>
      </w:r>
      <w:r>
        <w:t>. Examinando ahora la disposición adicional primera de la Ley 2/2000, impugnada en solitario por el Ayuntamiento de Gijón, consideraremos en primer lugar el hecho de que, antes de dictarse la presente Sentencia, la referida disposición adicional primera haya sido modificada por el artículo único 16 de la Ley 16/2002, de 30 de diciembre, si bien la modificación ha consistido únicamente en la alteración del límite del porcentaje de representación al que tiene derecho una entidad u organismo público en los órganos de gobierno de la caja de ahorro con derecho a nombrar miembros en los mismos por más de un grupo de representación, porcentaje inicialmente establecido en el 20 por 100 del número de miembros y que la redacción actualmente vigente ha reducido hasta el 13,4 por 100. A la vista de tal modificación, y teniendo en cuenta, por un lado, que la parte actora en el presente conflicto no ha desistido del conflicto y, por otro, que la impugnación de esta disposición adicional primera se fundamenta en la eventual vulneración de la autonomía local que supondría la introducción de límites en el porcentaje de representación que correspondería al Ayuntamiento de Gijón, independientemente de cuál sea el porcentaje en el que cuantitativamente se fije ese límite, debemos entender que la modificación sufrida por el precepto cuestionado no ha hecho desaparecer los motivos que originaron el planteamiento de la controversia a la que ha de dar respuesta este Tribunal Constitucional.</w:t>
      </w:r>
    </w:p>
    <w:p w:rsidR="00D06117" w:rsidRDefault="00D06117" w:rsidP="00D06117">
      <w:pPr>
        <w:pStyle w:val="TextoNormal"/>
      </w:pPr>
    </w:p>
    <w:p w:rsidR="00D06117" w:rsidRDefault="00D06117" w:rsidP="00D06117">
      <w:pPr>
        <w:pStyle w:val="TextoNormal"/>
      </w:pPr>
      <w:r>
        <w:t>La representación procesal del Ayuntamiento de Gijón entiende que esta disposición adicional limita el porcentaje de representación que le corresponde en los órganos de gobierno de la Caja de Ahorros de Asturias, reduciendo con ello su representación en los citados órganos de gobierno. Dicha limitación tiene como consecuencia la ruptura, en favor del Principado de Asturias, del principio de paridad entre entidades fundadoras sobre el que se había articulado la organización y el funcionamiento de la citada caja de ahorro desde su constitución. Por ello, dicha regulación, además de reputarse arbitraria e irrazonable, se considera lesiva para la autonomía local del Ayuntamiento de Gijón por entender que menoscaba la posición que corresponde al citado Ayuntamiento en relación con la citada entidad financiera. Por su parte, el Letrado de la Junta General del Principado de Asturias considera que el Ayuntamiento de Gijón no está defendiendo su autonomía local constitucionalmente garantizada, sino que, en realidad, pretende preservar un determinado estatuto de entidad fundadora en una caja de ahorro trayendo a un proceso constitucional lo que no es sino una discrepancia política desde la que busca cuestionar las decisiones que el legislador autonómico ha adoptado en el ejercicio de sus competencias. Asimismo indica que la preservación del equilibrio de representaciones en el interior de los órganos de gobierno de las cajas de ahorro ya ha sido declarada legítima por el Tribunal Constitucional en la STC 239/1992.</w:t>
      </w:r>
    </w:p>
    <w:p w:rsidR="00D06117" w:rsidRDefault="00D06117" w:rsidP="00D06117">
      <w:pPr>
        <w:pStyle w:val="TextoNormal"/>
      </w:pPr>
    </w:p>
    <w:p w:rsidR="00D06117" w:rsidRDefault="00D06117" w:rsidP="00D06117">
      <w:pPr>
        <w:pStyle w:val="TextoNormal"/>
      </w:pPr>
      <w:r>
        <w:lastRenderedPageBreak/>
        <w:t>Como ya ha quedado expuesto, a juicio del recurrente, la finalidad del precepto impugnado es evitar una excesiva representación del Ayuntamiento de Gijón en beneficio de la Junta General del Principado de Asturias, la cual asume (art. 21.3 de la Ley 2/2000) los derechos que, como entidad fundadora, corresponderían a la extinta Diputación Provincial de Oviedo, puesto que a ésta se acumula el excedente de representación que correspondería al Ayuntamiento de Gijón caso de no existir la regulación cuestionada, quebrándose de esta forma los pactos fundacionales adoptados en el momento de creación de la Caja de Ahorros de Asturias.</w:t>
      </w:r>
    </w:p>
    <w:p w:rsidR="00D06117" w:rsidRDefault="00D06117" w:rsidP="00D06117">
      <w:pPr>
        <w:pStyle w:val="TextoNormal"/>
      </w:pPr>
    </w:p>
    <w:p w:rsidR="00D06117" w:rsidRDefault="00D06117" w:rsidP="00D06117">
      <w:pPr>
        <w:pStyle w:val="TextoNormal"/>
      </w:pPr>
      <w:r>
        <w:t>En relación con ello, ha de tenerse presente que no pueden ser objeto de consideración en este proceso constitucional las apreciaciones del recurrente relativas a la necesaria conservación de lo que denomina principio tradicional de paridad, al que vincula la necesidad de evitar la posición de hegemonía de la Comunidad Autónoma en la Caja de Ahorros de Asturias y ello, porque la finalidad de este proceso constitucional ex art. 75 bis 1 LOTC ha de ser exclusivamente el contraste de la disposición autonómica impugnada con el principio constitucional de autonomía local a fin de determinar si el precepto legal ha vulnerado la autonomía constitucionalmente garantizada del Ayuntamiento de Gijón.</w:t>
      </w:r>
    </w:p>
    <w:p w:rsidR="00D06117" w:rsidRDefault="00D06117" w:rsidP="00D06117">
      <w:pPr>
        <w:pStyle w:val="TextoNormal"/>
      </w:pPr>
    </w:p>
    <w:p w:rsidR="00D06117" w:rsidRDefault="00D06117" w:rsidP="00D06117">
      <w:pPr>
        <w:pStyle w:val="TextoNormal"/>
      </w:pPr>
      <w:r>
        <w:t>En lo relativo a esta cuestión conviene recordar que, como declaró la STC 239/1992, de 17 de diciembre, no existe el derecho a una determinada y concreta participación de los ciudadanos o de los grupos sociales afectados en los órganos de las cajas de ahorro, puesto que esta participación es de configuración legal. Por otra parte, en la STC 18/1984, de 7 de febrero, relativa a un recurso de amparo contra un acto dictado por el consejo de administración de la Caja de Ahorros de Asturias, ya establecimos el criterio, que debe ser recordado aquí, según el cual la organización de las cajas y el propio ejercicio de su actividad se desliga de la voluntad del fundador debiendo ajustarse al modelo establecido por el competente para ello. Lo contrario significaría admitir que las competencias autonómicas en materia de cajas de ahorro están sometidas a una suerte de límite implícito, no derivado de la Constitución ni de los Estatutos de Autonomía, límite que debería deducirse del obligado respeto por parte del legislador autonómico a los pactos fundacionales que condujeron a la creación de una determinada entidad de crédito, en este caso la Caja de Ahorros de Asturias.</w:t>
      </w:r>
    </w:p>
    <w:p w:rsidR="00D06117" w:rsidRDefault="00D06117" w:rsidP="00D06117">
      <w:pPr>
        <w:pStyle w:val="TextoNormal"/>
      </w:pPr>
    </w:p>
    <w:p w:rsidR="00D06117" w:rsidRDefault="00D06117" w:rsidP="00D06117">
      <w:pPr>
        <w:pStyle w:val="TextoNormal"/>
      </w:pPr>
      <w:r>
        <w:t xml:space="preserve">Por otro lado, a la vista de nuestra doctrina en materia de cajas de ahorro (en especial las ya citadas SSTC 48/1988 y 49/1988, de 22 de marzo) ha de convenirse en que el legislador autonómico puede, dentro del modelo establecido por la normativa básica estatal, determinar la configuración de los órganos rectores de las cajas de ahorro, configuración que se verá limitada en lo que ahora interesa por la necesaria interdicción de la arbitrariedad de los poderes públicos ex art. 9.3 CE y la obligada democratización de las cajas. Desde la primera de estas perspectivas, ya hemos establecido (por todas, STC 73/2000, de 14 de marzo, FJ 4) que el principio de interdicción de la arbitrariedad de los poderes públicos no juega con la misma intensidad cuando se trata de aplicarlo al legislador, sin que resulte suficiente, en materias o sectores cuyo régimen resulta ser de configuración legal, la mera discrepancia para tachar de arbitraria la regulación cuestionada. En ese sentido, la norma se justifica por la autonomía del legislador regional, sin que se afecte a la configuración democrática y participativa que ha de inspirar la regulación de los órganos de gobierno de las cajas de ahorro. Desde esta última perspectiva, la disposición adicional primera de la Ley 2/2000 no distorsiona indebidamente el modelo organizativo de las cajas de ahorro asentado en la participación democrática de los diversos grupos, los cuales carecen del derecho a obtener una </w:t>
      </w:r>
      <w:r>
        <w:lastRenderedPageBreak/>
        <w:t>determinada representación, ni contradice el principio básico de garantizar el equilibrio razonable en esa participación, sin que corresponda a este Tribunal Constitucional determinar si el porcentaje de participación es el más acertado, pues ello supondría entrar a discutir la concreta opción tomada por el legislador autonómico. Respecto a ella únicamente cabe apreciar que se ajusta a las limitaciones antes mencionadas, pues no contradice la necesaria democratización de las cajas de ahorro en la medida en que los grupos a los que se atribuye el exceso de representación que se deriva de la aplicación de la disposición adicional primera de la Ley 2/2000 representan otros intereses sociales plenamente susceptibles de tener reflejo en la configuración democrática de los órganos rectores de las cajas de ahorro. Además debe tenerse en cuenta que, en el caso presente, el Ayuntamiento de Gijón no queda privado de una participación significativa, sin que en este concreto proceso deba este Tribunal Constitucional entrar a enjuiciar si el concreto límite porcentual asignado al citado Ayuntamiento resulta ser el más adecuado.</w:t>
      </w:r>
    </w:p>
    <w:p w:rsidR="00D06117" w:rsidRDefault="00D06117" w:rsidP="00D06117">
      <w:pPr>
        <w:pStyle w:val="TextoNormal"/>
      </w:pPr>
    </w:p>
    <w:p w:rsidR="00D06117" w:rsidRDefault="00D06117" w:rsidP="00D06117">
      <w:pPr>
        <w:pStyle w:val="TextoNormal"/>
      </w:pPr>
      <w:r>
        <w:t>Por ello, la alteración de los pactos fundacionales que, según el recurrente, produce el precepto cuestionado no puede considerarse una lesión del principio constitucional de autonomía local por el mero hecho de que una de las entidades fundadoras fuera una corporación local. En este sentido, forma parte del ámbito de autonomía del Ayuntamiento de Gijón en cuanto entidad local fundadora el derecho a gozar de una representación efectiva en los órganos rectores de la caja de ahorro, pues la vinculación de los Ayuntamientos con las cajas de ahorro requiere de la representación de éstos en tales órganos rectores y aún con mayor motivo en el caso de que la corporación municipal tenga el carácter de entidad fundadora, pero la determinación de cuál sea el concreto porcentaje de representación que corresponda al Ayuntamiento de Gijón en virtud de esa doble condición que ostenta y la forma concreta de articularla ha de corresponder, respetando los principios anteriormente citados, al legislador competente por razón de la materia.</w:t>
      </w:r>
    </w:p>
    <w:p w:rsidR="00D06117" w:rsidRDefault="00D06117" w:rsidP="00D06117">
      <w:pPr>
        <w:pStyle w:val="TextoNormal"/>
      </w:pPr>
    </w:p>
    <w:p w:rsidR="00D06117" w:rsidRDefault="00D06117" w:rsidP="00D06117">
      <w:pPr>
        <w:pStyle w:val="TextoNormal"/>
      </w:pPr>
      <w:r>
        <w:t>En conclusión, en el caso que examinamos no puede considerarse que la limitación de la representación de las corporaciones fundadoras afecte a la autonomía local constitucionalmente garantizada dado que la misma no ha excluido una participación significativa del Ayuntamiento de Gijón en los órganos de gobierno de la Caja de Ahorros de Asturias, por lo que debe desestimarse el conflicto en defensa de la autonomía local planteado en relación con la disposición adicional primera de la Ley 2/2000.</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Inadmitir el conflicto en defensa de la autonomía local respecto de los Ayuntamientos de Belmonte de Miranda, Las Regueras-Santullano, Llanes y Teverga.</w:t>
      </w:r>
    </w:p>
    <w:p w:rsidR="00D06117" w:rsidRDefault="00D06117" w:rsidP="00D06117">
      <w:pPr>
        <w:pStyle w:val="TextoNormal"/>
      </w:pPr>
    </w:p>
    <w:p w:rsidR="00D06117" w:rsidRDefault="00D06117" w:rsidP="00D06117">
      <w:pPr>
        <w:pStyle w:val="TextoNormal"/>
      </w:pPr>
      <w:r>
        <w:t xml:space="preserve">2º Inadmitir el conflicto en defensa de la autonomía local promovido por los Ayuntamientos de Candamo, Cangas de Narcea, Cangas de Onís, Caravia, Illano, Muros del Nalón, </w:t>
      </w:r>
      <w:r>
        <w:lastRenderedPageBreak/>
        <w:t>Peñamellera Alta, Pesoz, Quirós, Rivadeva, Ribera de Arriba, Santa Eulalia de Oscos, Somiedo, Soto del Barco y Vegadeo en relación con el art. 24.2 de la Ley del Principado de Asturias 2/2000, de 23 de junio, de cajas de ahorro.</w:t>
      </w:r>
    </w:p>
    <w:p w:rsidR="00D06117" w:rsidRDefault="00D06117" w:rsidP="00D06117">
      <w:pPr>
        <w:pStyle w:val="TextoNormal"/>
      </w:pPr>
    </w:p>
    <w:p w:rsidR="00D06117" w:rsidRDefault="00D06117" w:rsidP="00D06117">
      <w:pPr>
        <w:pStyle w:val="TextoNormal"/>
      </w:pPr>
      <w:r>
        <w:t>3º Inadmitir el conflicto en defensa de la autonomía local promovido por el Ayuntamiento de Gijón en relación con el art. 46.1 de la Ley del Principado de Asturias 2/2000, de 23 de junio, de cajas de ahorro.</w:t>
      </w:r>
    </w:p>
    <w:p w:rsidR="00D06117" w:rsidRDefault="00D06117" w:rsidP="00D06117">
      <w:pPr>
        <w:pStyle w:val="TextoNormal"/>
      </w:pPr>
    </w:p>
    <w:p w:rsidR="00D06117" w:rsidRDefault="00D06117" w:rsidP="00D06117">
      <w:pPr>
        <w:pStyle w:val="TextoNormal"/>
      </w:pPr>
      <w:r>
        <w:t>4º Desestimar el conflicto en defensa de la autonomía local promovido por los Ayuntamientos de Gijón, Candamo, Cangas de Narcea, Cangas de Onis, Caravia, Illano, Muros del Nalón, Peñamera Alta, Pesoz, Quirós, Rivadeva, Ribera de Arriba, Santa Eulalia de Oscos, Somiedo, Soto del Barco y Vegadeo en relación con el art. 22.2 de la Ley del Principado de Asturias 2/2000, de 23 de junio, de cajas de ahorro.</w:t>
      </w:r>
    </w:p>
    <w:p w:rsidR="00D06117" w:rsidRDefault="00D06117" w:rsidP="00D06117">
      <w:pPr>
        <w:pStyle w:val="TextoNormal"/>
      </w:pPr>
    </w:p>
    <w:p w:rsidR="00D06117" w:rsidRDefault="00D06117" w:rsidP="00D06117">
      <w:pPr>
        <w:pStyle w:val="TextoNormal"/>
      </w:pPr>
      <w:r>
        <w:t>5º Desestimar el conflicto en defensa de la autonomía local promovido por el Ayuntamiento de Gijón en relación con el art. 24.2 y la disposición adicional primera de la Ley del Principado de Asturias 2/2000, de 23 de junio, de cajas de ahorro.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cinco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5" w:name="SENTENCIA_2012_122"/>
      <w:r>
        <w:lastRenderedPageBreak/>
        <w:t>SENTENCIA 122/2012, de 5 de junio de 2012</w:t>
      </w:r>
    </w:p>
    <w:bookmarkEnd w:id="12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ECLI:ES:TC:2012:122</w:t>
      </w:r>
    </w:p>
    <w:p w:rsidR="00D06117" w:rsidRDefault="00D06117" w:rsidP="00D06117">
      <w:pPr>
        <w:pStyle w:val="SntesisDescriptiva"/>
      </w:pPr>
    </w:p>
    <w:p w:rsidR="00D06117" w:rsidRDefault="00D06117" w:rsidP="00D06117">
      <w:pPr>
        <w:pStyle w:val="SntesisDescriptiva"/>
      </w:pPr>
      <w:r>
        <w:t>Recurso de inconstitucionalidad 1772-2001. Interpuesto por el Presidente del Gobierno en relación con la Ley del Parlamento de Cataluña 16/2000, de 29 de diciembre, del impuesto sobre grandes establecimientos comerciales.</w:t>
      </w:r>
    </w:p>
    <w:p w:rsidR="00D06117" w:rsidRDefault="00D06117" w:rsidP="00D06117">
      <w:pPr>
        <w:pStyle w:val="SntesisDescriptiva"/>
      </w:pPr>
    </w:p>
    <w:p w:rsidR="00D06117" w:rsidRDefault="00D06117" w:rsidP="00D06117">
      <w:pPr>
        <w:pStyle w:val="SntesisAnaltica"/>
      </w:pPr>
      <w:r>
        <w:t>Límites de la potestad tributaria de las Comunidades Autónomas: impuesto autonómico con finalidad extrafiscal y cuyo hecho imponible no coincide con el gravado por el impuesto sobre actividades económicas (STC 289/2000).</w:t>
      </w:r>
    </w:p>
    <w:p w:rsidR="00D06117" w:rsidRDefault="00D06117" w:rsidP="00D06117">
      <w:pPr>
        <w:pStyle w:val="SntesisAnaltica"/>
      </w:pPr>
    </w:p>
    <w:p w:rsidR="00D06117" w:rsidRDefault="00D06117" w:rsidP="00D06117">
      <w:pPr>
        <w:pStyle w:val="Extracto"/>
      </w:pPr>
      <w:r>
        <w:t>1.</w:t>
      </w:r>
      <w:r>
        <w:tab/>
        <w:t>La comparación de las bases imponibles del impuesto autonómico sobre grandes establecimientos comerciales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lo cual conduce a desestimar el presente recurso de inconstitucionalidad  [FJ 7].</w:t>
      </w:r>
    </w:p>
    <w:p w:rsidR="00D06117" w:rsidRDefault="00D06117" w:rsidP="00D06117">
      <w:pPr>
        <w:pStyle w:val="Extracto"/>
      </w:pPr>
    </w:p>
    <w:p w:rsidR="00D06117" w:rsidRDefault="00D06117" w:rsidP="00D06117">
      <w:pPr>
        <w:pStyle w:val="Extracto"/>
      </w:pPr>
      <w:r>
        <w:t>2.</w:t>
      </w:r>
      <w:r>
        <w:tab/>
        <w:t>Las diferencias entre los hechos imponibles del impuesto local sobre actividades económicas que grava la riqueza potencial que se pone de manifiesto por el mero ejercicio de cualquier actividad económica, se ejerza o no en un local determinado, y del impuesto autonómico sobre grandes establecimientos comerciales que grava únicamente la actividad de venta de productos al por menor utilizando grandes superficies, por su repercusión sobre el consumo, la ordenación del territorio y el medio ambiente, no son suficientes para entender superada la prohibición establecida en el art. 6.3 LOFCA [FFJJ 5, 6].</w:t>
      </w:r>
    </w:p>
    <w:p w:rsidR="00D06117" w:rsidRDefault="00D06117" w:rsidP="00D06117">
      <w:pPr>
        <w:pStyle w:val="Extracto"/>
      </w:pPr>
    </w:p>
    <w:p w:rsidR="00D06117" w:rsidRDefault="00D06117" w:rsidP="00D06117">
      <w:pPr>
        <w:pStyle w:val="Extracto"/>
      </w:pPr>
      <w:r>
        <w:t>3.</w:t>
      </w:r>
      <w:r>
        <w:tab/>
        <w:t>Doctrina sobre la regulación del hecho imponible del tributo y, en particular, sobre el análisis de la posible coincidencia de hechos imponibles (SSTC 37/1987, 73/2011)  [FJ 4].</w:t>
      </w:r>
    </w:p>
    <w:p w:rsidR="00D06117" w:rsidRDefault="00D06117" w:rsidP="00D06117">
      <w:pPr>
        <w:pStyle w:val="Extracto"/>
      </w:pPr>
    </w:p>
    <w:p w:rsidR="00D06117" w:rsidRDefault="00D06117" w:rsidP="00D06117">
      <w:pPr>
        <w:pStyle w:val="Extracto"/>
      </w:pPr>
      <w:r>
        <w:t>4.</w:t>
      </w:r>
      <w:r>
        <w:tab/>
        <w:t>Doctrina sobre los conceptos de “hecho imponible” y “materia imponible” (SSTC 37/1987, 176/2006) [FJ 3].</w:t>
      </w:r>
    </w:p>
    <w:p w:rsidR="00D06117" w:rsidRDefault="00D06117" w:rsidP="00D06117">
      <w:pPr>
        <w:pStyle w:val="Extracto"/>
      </w:pPr>
    </w:p>
    <w:p w:rsidR="00D06117" w:rsidRDefault="00D06117" w:rsidP="00D06117">
      <w:pPr>
        <w:pStyle w:val="Extracto"/>
      </w:pPr>
      <w:r>
        <w:t>5.</w:t>
      </w:r>
      <w:r>
        <w:tab/>
        <w:t>La superficie constituye, tanto en el impuesto sobre grandes establecimientos comerciales como en el impuesto sobre actividades económicas, la base imponible que sirve para cuantificar la capacidad económica sometida a gravamen, pero en el primero no es un mero índice de riqueza utilizado para cuantificar el tributo, sino el parámetro que permite evaluar el impacto negativo de la actividad sobre el medio ambiente, el territorio y el comercio tradicional que se pretende desincentivar, mientras que en el segundo constituye el elemento que ha elegido el legislador como índice de riqueza en relación con este concreto sector económico [FJ 7].</w:t>
      </w:r>
    </w:p>
    <w:p w:rsidR="00D06117" w:rsidRDefault="00D06117" w:rsidP="00D06117">
      <w:pPr>
        <w:pStyle w:val="Extracto"/>
      </w:pPr>
    </w:p>
    <w:p w:rsidR="00D06117" w:rsidRDefault="00D06117" w:rsidP="00D06117">
      <w:pPr>
        <w:pStyle w:val="Extracto"/>
      </w:pPr>
      <w:r>
        <w:lastRenderedPageBreak/>
        <w:t>6.</w:t>
      </w:r>
      <w:r>
        <w:tab/>
        <w:t>Doctrina sobre la finalidad extrafiscal del tributo (SSTC 37/1987, 276/2000)  [FJ 4].</w:t>
      </w:r>
    </w:p>
    <w:p w:rsidR="00D06117" w:rsidRDefault="00D06117" w:rsidP="00D06117">
      <w:pPr>
        <w:pStyle w:val="Extracto"/>
      </w:pPr>
    </w:p>
    <w:p w:rsidR="00D06117" w:rsidRDefault="00D06117" w:rsidP="00D06117">
      <w:pPr>
        <w:pStyle w:val="Extracto"/>
      </w:pPr>
      <w:r>
        <w:t>7.</w:t>
      </w:r>
      <w:r>
        <w:tab/>
        <w:t>Quien realiza el hecho imponible del impuesto autonómico sobre grandes establecimientos comerciales es el titular del gran establecimiento comercial individual y no del inmueble, lo que lo distingue del impuesto sobre bienes inmuebles  [FFJJ 5, 7].</w:t>
      </w:r>
    </w:p>
    <w:p w:rsidR="00D06117" w:rsidRDefault="00D06117" w:rsidP="00D06117">
      <w:pPr>
        <w:pStyle w:val="Extracto"/>
      </w:pPr>
    </w:p>
    <w:p w:rsidR="00D06117" w:rsidRDefault="00D06117" w:rsidP="00D06117">
      <w:pPr>
        <w:pStyle w:val="Extracto"/>
      </w:pPr>
      <w:r>
        <w:t>8.</w:t>
      </w:r>
      <w:r>
        <w:tab/>
        <w:t>El análisis constitucional de una norma no puede hacerse depender de los términos que el legislador, a su discreción, haya utilizado, ya que las categorías tributarias, más allá de las denominaciones legales, tienen la naturaleza propia y específica que les corresponde de acuerdo con la configuración y estructura que reciban en el régimen jurídico a que vengan sometidas (SSTC 269/1994, 73/2011) [FJ 4].</w:t>
      </w:r>
    </w:p>
    <w:p w:rsidR="00D06117" w:rsidRDefault="00D06117" w:rsidP="00D06117">
      <w:pPr>
        <w:pStyle w:val="Extracto"/>
      </w:pPr>
    </w:p>
    <w:p w:rsidR="00D06117" w:rsidRDefault="00D06117" w:rsidP="00D06117">
      <w:pPr>
        <w:pStyle w:val="Extracto"/>
      </w:pPr>
      <w:r>
        <w:t>9.</w:t>
      </w:r>
      <w:r>
        <w:tab/>
        <w:t>El bloque de la constitucionalidad que ha de servir de canon para el enjuiciamiento de la ley, en materia de recursos de inconstitucionalidad es el efectivamente existente en el momento de procederse a la resolución del proceso constitucional que se hubiese entablado (STC 14/1998) [FJ 1].</w:t>
      </w:r>
    </w:p>
    <w:p w:rsidR="00D06117" w:rsidRDefault="00D06117" w:rsidP="00D06117">
      <w:pPr>
        <w:pStyle w:val="Extracto"/>
      </w:pPr>
    </w:p>
    <w:p w:rsidR="00D06117" w:rsidRDefault="00D06117" w:rsidP="00D06117">
      <w:pPr>
        <w:pStyle w:val="Extracto"/>
      </w:pPr>
      <w:r>
        <w:t>10.</w:t>
      </w:r>
      <w:r>
        <w:tab/>
        <w:t>El vigente art. 6.3 LOFCA no tiene por objeto impedir que las Comunidades Autónomas establezcan tributos propios sobre objetos materiales o fuentes impositivas ya gravadas por los tributos locales, sino prohibir la duplicidad de hechos imponibles (STC 289/2000)  [FJ 3].</w:t>
      </w:r>
    </w:p>
    <w:p w:rsidR="00D06117" w:rsidRDefault="00D06117" w:rsidP="00D06117">
      <w:pPr>
        <w:pStyle w:val="Extracto"/>
      </w:pPr>
    </w:p>
    <w:p w:rsidR="00D06117" w:rsidRDefault="00D06117" w:rsidP="00D06117">
      <w:pPr>
        <w:pStyle w:val="Extracto"/>
      </w:pPr>
      <w:r>
        <w:t>11.</w:t>
      </w:r>
      <w:r>
        <w:tab/>
        <w:t>La desaparición sobrevenida del objeto del proceso, aunque no contemplada expresamente en el art. 86.1 LOTC, ha sido admitida por este Tribunal como forma de terminación de los distintos procesos constitucionales, si bien no cabe dar una respuesta unívoca y general a la cuestión relativa a los efectos que la modificación de una disposición legal pueda tener sobre una eventual desaparición del objeto del proceso (STC 134/2004)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inconstitucionalidad núm. 1772-2001, interpuesto por el Presidente del Gobierno, representado por el Abogado del Estado, contra la Ley del Parlamento de Cataluña 16/2000, de 29 de diciembre, del impuesto sobre grandes establecimientos comerciales. Han comparecido la Generalitat de Cataluña y el Parlamento de Cataluña representados por sus respectivos Letrados. Ha sido Ponente el Magistrado don Ramón Rodríguez Arribas,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Abogado del Estado, en representación del Presidente del Gobierno, mediante escrito registrado en este Tribunal el 28 de marzo de 2001, interpuso recurso de inconstitucionalidad contra la Ley del Parlamento de Cataluña 16/2000, de 29 de diciembre, del impuesto sobre grandes establecimientos comerciales.</w:t>
      </w:r>
    </w:p>
    <w:p w:rsidR="00D06117" w:rsidRDefault="00D06117" w:rsidP="00D06117">
      <w:pPr>
        <w:pStyle w:val="TextoNormal"/>
      </w:pPr>
    </w:p>
    <w:p w:rsidR="00D06117" w:rsidRDefault="00D06117" w:rsidP="00D06117">
      <w:pPr>
        <w:pStyle w:val="TextoNormal"/>
      </w:pPr>
      <w:r>
        <w:t>En dicho escrito, tras invocar el art. 161.2 CE y solicitar la suspensión de la ley recurrida, sostiene que el objeto de este recurso consiste en dilucidar si la Comunidad Autónoma de Cataluña tiene competencia para establecer el impuesto regulado por la Ley 16/2000, de 29 de diciembre, un tributo propio creado en ejercicio de la potestad tributaria de la Comunidad Autónoma de Cataluña, que resulta inconstitucional por vulnerar el bloque de constitucionalidad, concretamente el art. 6.3 de la Ley Orgánica de financiación de las Comunidades Autónomas —en adelante LOFCA— que, en la redacción vigente en el momento de formular el recurso, decía lo siguiente:</w:t>
      </w:r>
    </w:p>
    <w:p w:rsidR="00D06117" w:rsidRDefault="00D06117" w:rsidP="00D06117">
      <w:pPr>
        <w:pStyle w:val="TextoNormal"/>
      </w:pPr>
    </w:p>
    <w:p w:rsidR="00D06117" w:rsidRDefault="00D06117" w:rsidP="00D06117">
      <w:pPr>
        <w:pStyle w:val="TextoNormal"/>
      </w:pPr>
      <w:r>
        <w:t>“Las Comunidades Autónomas podrán establecer y gestionar tributos sobre las materias que la legislación de Régimen Local reserve a las Corporaciones Locales, en los supuestos en que dicha legislación lo prevea y en los términos que la misma lo contemple. En todo caso, deberán establecerse las medidas de compensación o coordinación adecuadas en favor de aquellas Corporaciones Locales, de modo que los ingresos de tales Corporaciones locales no se vean mermados ni reducidos tampoco en sus posibilidades de crecimiento futuro.”</w:t>
      </w:r>
    </w:p>
    <w:p w:rsidR="00D06117" w:rsidRDefault="00D06117" w:rsidP="00D06117">
      <w:pPr>
        <w:pStyle w:val="TextoNormal"/>
      </w:pPr>
    </w:p>
    <w:p w:rsidR="00D06117" w:rsidRDefault="00D06117" w:rsidP="00D06117">
      <w:pPr>
        <w:pStyle w:val="TextoNormal"/>
      </w:pPr>
      <w:r>
        <w:t xml:space="preserve">La argumentación del recurso se basa en la doctrina establecida por la STC 289/2000, de 30 de noviembre, porque considera que enjuició un impuesto similar, el impuesto balear sobre instalaciones que inciden en el medio ambiente. En ésta se partió del concepto de materia imponible “toda fuente de riqueza, renta o cualquier otro elemento de la actividad económica que el legislador decida someter a imposición, realidad que pertenece al plano de lo fáctico”, que es más amplio que el de hecho imponible porque “al hecho imponible —creación normativa— le preexiste como realidad fáctica la materia imponible u objeto del tributo, que es la manifestación de riqueza efectivamente generada, esto es, el elemento de la realidad que reportará la carga tributaria configurada a través del hecho imponible exponente de la verdadera riqueza sometida a tributación como expresión de la capacidad económica de un sujeto”. Pero si bien la creación de un impuesto autonómico que grave la materia tributaria propia de un impuesto local es inconstitucional, la STC 289/2000, de 30 de noviembre, dijo que, en cada caso, era necesario examinar el verdadero objeto del impuesto autonómico, atendiendo a su estructura impositiva y con independencia de los objetivos que pretenda alcanzar, según su exposición de motivos y articulado y, por ello, el </w:t>
      </w:r>
      <w:r>
        <w:lastRenderedPageBreak/>
        <w:t>Abogado del Estado analiza cada uno de los elementos del impuesto sobre grandes establecimientos comerciales impugnado.</w:t>
      </w:r>
    </w:p>
    <w:p w:rsidR="00D06117" w:rsidRDefault="00D06117" w:rsidP="00D06117">
      <w:pPr>
        <w:pStyle w:val="TextoNormal"/>
      </w:pPr>
    </w:p>
    <w:p w:rsidR="00D06117" w:rsidRDefault="00D06117" w:rsidP="00D06117">
      <w:pPr>
        <w:pStyle w:val="TextoNormal"/>
      </w:pPr>
      <w:r>
        <w:t>El objeto del impuesto, según el artículo 2 de la ley recurrida, es “la singular capacidad económica que concurre en determinados establecimientos comerciales como consecuencia de estar implantados como grandes superficies, dado que esta circunstancia contribuye de una manera decisiva a tener una posición dominante en el sector y puede generar externalidades negativas en el territorio y el medio ambiente, cuyo coste no asumen” y, según el artículo 3, el impuesto queda afectado al fomento de medidas para la modernización del comercio urbano de Cataluña y a desarrollar planes de actuación en áreas afectadas por los emplazamientos de grandes establecimientos comerciales, siendo éstos los objetivos últimos o indirectos del impuesto autonómico.</w:t>
      </w:r>
    </w:p>
    <w:p w:rsidR="00D06117" w:rsidRDefault="00D06117" w:rsidP="00D06117">
      <w:pPr>
        <w:pStyle w:val="TextoNormal"/>
      </w:pPr>
    </w:p>
    <w:p w:rsidR="00D06117" w:rsidRDefault="00D06117" w:rsidP="00D06117">
      <w:pPr>
        <w:pStyle w:val="TextoNormal"/>
      </w:pPr>
      <w:r>
        <w:t>El hecho imponible, aunque hace referencia al impacto que puede ocasionar al territorio, al medio ambiente y a la forma del comercio urbano de Cataluña, recae realmente sobre la utilización de grandes superficies con finalidades comerciales, entendiéndose por tales los grandes establecimientos comerciales individuales dedicados a la venta al detalle, que tengan una superficie igual o superior a los 2.500 metros cuadrados. Por tanto, el hecho imponible está constituido por la explotación de grandes establecimientos comerciales que tengan una determinada superficie de venta mínima y la referencia al impacto que puedan ocasionar sobre el territorio, el medio ambiente o el comercio urbano no tiene ninguna eficacia sobre este elemento del impuesto, pues no se hace ninguna discriminación o regulación que permita considerar producido el hecho imponible en relación con tales circunstancias y tampoco grava otras instalaciones comerciales que puedan producir ese impacto.</w:t>
      </w:r>
    </w:p>
    <w:p w:rsidR="00D06117" w:rsidRDefault="00D06117" w:rsidP="00D06117">
      <w:pPr>
        <w:pStyle w:val="TextoNormal"/>
      </w:pPr>
    </w:p>
    <w:p w:rsidR="00D06117" w:rsidRDefault="00D06117" w:rsidP="00D06117">
      <w:pPr>
        <w:pStyle w:val="TextoNormal"/>
      </w:pPr>
      <w:r>
        <w:t>El sujeto pasivo es la persona física o jurídica titular del gran establecimiento comercial individual, de modo que el obligado al pago es el titular del negocio comercial ubicado en una gran superficie, debido a que el hecho imponible se configura como la utilización de grandes superficies con fines comerciales. Y, finalmente, la base imponible se constituye por la superficie total del gran establecimiento comercial individual, expresada en metros cuadrados, dentro de la cual se incluye la dedicada a venta, almacén y aparcamiento.</w:t>
      </w:r>
    </w:p>
    <w:p w:rsidR="00D06117" w:rsidRDefault="00D06117" w:rsidP="00D06117">
      <w:pPr>
        <w:pStyle w:val="TextoNormal"/>
      </w:pPr>
    </w:p>
    <w:p w:rsidR="00D06117" w:rsidRDefault="00D06117" w:rsidP="00D06117">
      <w:pPr>
        <w:pStyle w:val="TextoNormal"/>
      </w:pPr>
      <w:r>
        <w:t>El impuesto impugnado tiene como materia imponible la fuente de riqueza que se pone de manifiesto con la explotación de grandes establecimientos comerciales, en proporción a la superficie que ocupan, en definitiva la misma que se encuentra ya gravada por un impuesto local, que es el impuesto sobre actividades económicas, regulado en la Ley 39/88, de 28 de diciembre, reguladora de las haciendas locales —en adelante LHL— en cuyo art. 79 se dice que su hecho imponible “está constituido por el mero ejercicio en territorio nacional, de actividades empresariales, profesionales o artísticas, se ejerzan o no en local determinado y se hallen o no especificadas en las Tarifas del impuesto”, por tanto, el ejercicio del comercio en general estaría sometido a esta modalidad tributaria. Tras realizar un análisis más profundo de este tributo, estudiando las tarifas del mismo, reguladas en el Real Decreto Legislativo 1175/1990 y sus ulteriores modificaciones, observa que en el grupo 661 incluye al “comercio mixto o integrado en grandes superficies”, lo cual pondría de manifiesto la evidente y notoria coincidencia entre la materia imponible sujeta al impuesto sobre actividades económicas y la de la modalidad tributaria autonómica impugnada.</w:t>
      </w:r>
    </w:p>
    <w:p w:rsidR="00D06117" w:rsidRDefault="00D06117" w:rsidP="00D06117">
      <w:pPr>
        <w:pStyle w:val="TextoNormal"/>
      </w:pPr>
    </w:p>
    <w:p w:rsidR="00D06117" w:rsidRDefault="00D06117" w:rsidP="00D06117">
      <w:pPr>
        <w:pStyle w:val="TextoNormal"/>
      </w:pPr>
      <w:r>
        <w:lastRenderedPageBreak/>
        <w:t>Además encuentra una coincidencia en otros elementos de los dos tributos. El primero de ellos es su hecho imponible, que es la explotación o utilización de grandes superficies comerciales. Si bien la definición gramatical en las dos normas no es idéntica, sin embargo, considera que el significado de ambas definiciones coincide, pues en un caso se habla de “utilización de grandes superficies con finalidades comerciales” y, en el otro, “comercio mixto o integrado en grandes superficies”. El otro elemento coincidente es el sujeto pasivo, que es la persona que ejerce la actividad comercial, pues aunque la norma impugnada utiliza una expresión confusa, como es “el titular del gran establecimiento comercial individual”, se está refiriendo a quién explota el centro o establecimiento comercial, que es quien realiza la actividad sujeta al impuesto sobre actividades económicas (IAE). En este sentido, debe tenerse en cuenta que la referencia del art. 8.3 de la ley recurrida a los “sujetos pasivos dedicados esencialmente a la venta de mobiliario, de artículos de saneamiento y de puertas y ventanas”, hace pensar que el legislador autonómico quiso designar como sujeto pasivo del impuesto al que realiza la actividad comercial. Observa una coincidencia en las bases imponibles, que es la superficie total dedicada a la actividad comercial y, para determinar su extensión, ambos impuestos incluyen la superficie dedicada a venta, almacenes y aparcamiento. La superficie total es el índice esencial para la determinación de la cuota y la forma de determinar la cuota también resulta coincidente, pues consiste en una cantidad por metro cuadrado de superficie, siendo más elevado el tipo de la norma autonómica que el del impuesto local, pues en aquélla se establece en general 2.900 pesetas por metro cuadrado y en el impuesto sobre actividades económicas el más alto asciende a 270 pesetas.</w:t>
      </w:r>
    </w:p>
    <w:p w:rsidR="00D06117" w:rsidRDefault="00D06117" w:rsidP="00D06117">
      <w:pPr>
        <w:pStyle w:val="TextoNormal"/>
      </w:pPr>
    </w:p>
    <w:p w:rsidR="00D06117" w:rsidRDefault="00D06117" w:rsidP="00D06117">
      <w:pPr>
        <w:pStyle w:val="TextoNormal"/>
      </w:pPr>
      <w:r>
        <w:t>Por todo ello, a la vista de los datos expuestos, el impuesto sobre grandes establecimientos comerciales catalán incide o se superpone en la misma materia imponible que la del impuesto sobre actividades económicas, incurriendo en la prohibición prevista en art. 6.3 LOFCA.</w:t>
      </w:r>
    </w:p>
    <w:p w:rsidR="00D06117" w:rsidRDefault="00D06117" w:rsidP="00D06117">
      <w:pPr>
        <w:pStyle w:val="TextoNormal"/>
      </w:pPr>
    </w:p>
    <w:p w:rsidR="00D06117" w:rsidRDefault="00D06117" w:rsidP="00D06117">
      <w:pPr>
        <w:pStyle w:val="TextoNormal"/>
      </w:pPr>
      <w:r>
        <w:t>Termina su escrito formulando una alegación subsidiaria para el caso de que este Tribunal Constitucional considere que el titular del gran establecimiento comercial sea el propietario de la instalación en lugar de quien lleva a cabo la actividad comercial, pues en este caso considera que la materia imponible gravada por el impuesto autonómico coincidiría con la del impuesto sobre bienes inmuebles —IBI—, que recae sobre los inmuebles de naturaleza rústica y urbana sitos en el respectivo término municipal, categoría en la cual se incluyen también los grandes establecimientos comerciales. En ambos casos los impuestos se aplican sobre el valor de los bienes, si bien en el impuesto autonómico el índice que se utiliza para la valoración es la superficie total ocupada y en el IBI se utiliza el valor catastral, aunque ello no impediría considerar que coincide la materia impositiva, de modo que igualmente sería inconstitucional por incidir en la misma materia impositiva del impuesto sobre bienes inmuebles.</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La Sección Primera de este Tribunal acordó admitir a trámite el recurso de inconstitucionalidad, mediante providencia de 24 de abril de 2001, dando traslado de la demanda y documentos presentados, conforme establece el art. 34 de la Ley Orgánica del Tribunal Constitucional, al Congreso de los Diputados y al Senado, así como al Parlamento y al Gobierno de la Generalitat de Cataluña, por conducto de sus Presidentes, al objeto de que, en el plazo de quince días, pudieran personarse en el proceso y formular las alegaciones que estimasen convenientes. Asimismo acordó tener por invocado el art. 161.2 CE que, a su tenor, y según dispone el art. 30 de la Ley Orgánica del Tribunal Constitucional (LOTC), </w:t>
      </w:r>
      <w:r>
        <w:lastRenderedPageBreak/>
        <w:t>produce la suspensión de la vigencia y aplicación de la disposición impugnada. Todo ello con publicación en el “Boletín Oficial del Estado” (lo que se cumplimentó en el “BOE” núm.110, de 8 de mayo de 2001, con anuncio, además, de suspensión de la vigencia y aplicación de la referida Ley desde la fecha de presentación de la demanda para las partes legitimadas en el proceso y desde la publicación en el “Boletín Oficial del Estado” para terceros) y en el “Diario Oficial de la Generalidad de Cataluña”.</w:t>
      </w:r>
    </w:p>
    <w:p w:rsidR="00D06117" w:rsidRDefault="00D06117" w:rsidP="00D06117">
      <w:pPr>
        <w:pStyle w:val="TextoNormal"/>
      </w:pPr>
    </w:p>
    <w:p w:rsidR="00D06117" w:rsidRDefault="00D06117" w:rsidP="00D06117">
      <w:pPr>
        <w:pStyle w:val="TextoNormal"/>
      </w:pPr>
      <w:r w:rsidRPr="00D06117">
        <w:rPr>
          <w:rStyle w:val="NumeroAFNegritaCaracter"/>
        </w:rPr>
        <w:t>3</w:t>
      </w:r>
      <w:r>
        <w:t>. La Letrada de la Generalitat de Cataluña, mediante escrito presentado en el registro de este Tribunal el día 4 de mayo de 2001, se personó en el procedimiento y solicitó una prórroga de ocho días en el plazo concedido para formular alegaciones. La Sección Primera, por providencia de 8 de mayor de 2001, acordó tenerla por personada en el procedimiento y concederle la prórroga solicitada.</w:t>
      </w:r>
    </w:p>
    <w:p w:rsidR="00D06117" w:rsidRDefault="00D06117" w:rsidP="00D06117">
      <w:pPr>
        <w:pStyle w:val="TextoNormal"/>
      </w:pPr>
    </w:p>
    <w:p w:rsidR="00D06117" w:rsidRDefault="00D06117" w:rsidP="00D06117">
      <w:pPr>
        <w:pStyle w:val="TextoNormal"/>
      </w:pPr>
      <w:r w:rsidRPr="00D06117">
        <w:rPr>
          <w:rStyle w:val="NumeroAFNegritaCaracter"/>
        </w:rPr>
        <w:t>4</w:t>
      </w:r>
      <w:r>
        <w:t>. Por escrito, registrado el día 14 de mayo de 2001, la Presidenta del Congreso de los Diputados comunicó a este Tribunal que la citada Cámara no se personaría en el procedimiento ni formularía alegaciones, con remisión del recurso a la Dirección de estudios y documentación de la Secretaría General. Con fecha de 18 de mayo de 2001, la Presidenta del Senado comunicó a este Tribunal el acuerdo de la Mesa de la Cámara de personarse en el procedimiento, sin formular alegaciones, dando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5</w:t>
      </w:r>
      <w:r>
        <w:t>. El día 18 de mayo de 2001, presentó en el Registro General de este Tribunal su escrito de alegaciones el letrado del Parlamento de Cataluña. En el mismo, después de realizar una serie de consideraciones generales sobre la potestad tributaria de las Comunidades Autónomas, garantizada por el art. 133.2 CE, así como de sus límites, con particular referencia al contenido del art. 6.3 LOFCA, aborda el análisis del impuesto sobre grandes establecimientos comerciales, argumentando sobre la inexistencia de una identidad entre su ámbito material y el de otros impuestos locales.</w:t>
      </w:r>
    </w:p>
    <w:p w:rsidR="00D06117" w:rsidRDefault="00D06117" w:rsidP="00D06117">
      <w:pPr>
        <w:pStyle w:val="TextoNormal"/>
      </w:pPr>
    </w:p>
    <w:p w:rsidR="00D06117" w:rsidRDefault="00D06117" w:rsidP="00D06117">
      <w:pPr>
        <w:pStyle w:val="TextoNormal"/>
      </w:pPr>
      <w:r>
        <w:t>Comienza destacando el carácter no meramente fiscal de este impuesto, no sólo porque así se exprese en el preámbulo de la ley que lo regula, sino porque constituye un elemento estructural del impuesto. Así lo demostraría que se afecten los recursos obtenidos al fomento de las medidas de modernización del comercio urbano en Cataluña y al desarrollo de planes de actuación en las áreas afectadas por los emplazamientos de los grandes establecimientos comerciales, y que la presión fiscal que genera se modula en función de las distintas variables que configuran las potenciales externalidades negativas que la implantación de grandes establecimientos comerciales produce, tanto en el sector de la distribución comercial como en la ordenación territorial y en el medio ambiente. Además el impuesto grava a sujetos en los cuales se pone de manifiesto una singular capacidad económica, directamente vinculada a la circunstancia de la utilización de grandes superficies, no sólo porque la ocupación de grandes extensiones denota por ella misma una capacidad económica, sino también porque facilita a los titulares un aumento notorio del volumen de operaciones y, por lo tanto, la adquisición de una posición dominante en el sector.</w:t>
      </w:r>
    </w:p>
    <w:p w:rsidR="00D06117" w:rsidRDefault="00D06117" w:rsidP="00D06117">
      <w:pPr>
        <w:pStyle w:val="TextoNormal"/>
      </w:pPr>
    </w:p>
    <w:p w:rsidR="00D06117" w:rsidRDefault="00D06117" w:rsidP="00D06117">
      <w:pPr>
        <w:pStyle w:val="TextoNormal"/>
      </w:pPr>
      <w:r>
        <w:t xml:space="preserve">Una vez constatado el carácter extrafiscal del impuesto y que la finalidad del mismo se corresponde con materias sobre las que tiene competencia la Generalitat de Cataluña, concretamente en materias de ordenación de territorio (artículo 9.9), comercio interior (artículo </w:t>
      </w:r>
      <w:r>
        <w:lastRenderedPageBreak/>
        <w:t>12.1.5) y protección del medio ambiente (artículo 10.1.6), todos ellos del Estatuto de Autonomía de Cataluña de 1979, se analizan los elementos del impuesto para compararlos con los del Impuesto sobre actividades económicas y poder afirmar su falta de coincidencia.</w:t>
      </w:r>
    </w:p>
    <w:p w:rsidR="00D06117" w:rsidRDefault="00D06117" w:rsidP="00D06117">
      <w:pPr>
        <w:pStyle w:val="TextoNormal"/>
      </w:pPr>
    </w:p>
    <w:p w:rsidR="00D06117" w:rsidRDefault="00D06117" w:rsidP="00D06117">
      <w:pPr>
        <w:pStyle w:val="TextoNormal"/>
      </w:pPr>
      <w:r>
        <w:t>Comienza por el hecho imponible, que sería distinto al del impuesto sobre actividades económicas, que aparece definido en el artículo 79 LHL como un impuesto sobre la actividad pero no sobre los medios utilizados en esta actividad, ya que la inexistencia de local no altera su hecho imponible del impuesto sobre actividades económicas, mientras que en el impuesto sobre grandes establecimientos comerciales se requieren ambos componentes, que exista una actividad comercial y que se desarrolle en una gran superficie. Pero no considera admisible que bien la materia imponible coincida con la del impuesto sobre actividades económicas o bien con la del impuesto sobre bienes inmuebles, dependiendo de quién sea el sujeto pasivo del impuesto, ya que ello conllevaría olvidar el conjunto de elementos que configuran la estructura del impuesto.</w:t>
      </w:r>
    </w:p>
    <w:p w:rsidR="00D06117" w:rsidRDefault="00D06117" w:rsidP="00D06117">
      <w:pPr>
        <w:pStyle w:val="TextoNormal"/>
      </w:pPr>
    </w:p>
    <w:p w:rsidR="00D06117" w:rsidRDefault="00D06117" w:rsidP="00D06117">
      <w:pPr>
        <w:pStyle w:val="TextoNormal"/>
      </w:pPr>
      <w:r>
        <w:t xml:space="preserve">En relación con la alegada coincidencia con el grupo 661 de la tarifa del impuesto sobre actividades económicas (Real Decreto Legislativo 1175/1990) aclara que sería únicamente un grupo el que plantea una cierta coincidencia limitada en la materia imponible, pero no resultaría evidente y notoria. Tampoco coincidirían los hechos imponibles porque la tarifa del impuesto sobre actividades económicas no determina el hecho imponible, sino la cuota. La definición del hecho imponible del art. 79 LHL engloba múltiples actividades, algunas de las cuales ya se hallan gravadas por tributos cedidos a la Generalitat de Cataluña como es la venta de terrenos o de edificaciones, comprendida de los epígrafes 833.1 y 833.2 y coincidente con el objeto del impuesto sobre transmisiones patrimoniales, sin que por ello coincidan sus hecho imponible. El “comercio mixto o integrado en grandes superficies” constituye el elemento determinante de la tarifa, y de la cuota del impuesto sobre actividades económicas, pero no su hecho imponible. Incluso si considerásemos que el hecho imponible del impuesto sobre actividades económicas se determina por lo establecido en la tarifa —aspecto que entraría en contradicción abierta con la precisión del art. 79.1 LHL, que establece el hecho imponible para todas las actividades económicas “se hallen o no especificadas en las tarifas del impuesto”—, la coincidencia entre impuesto sobre actividades económicas y impuesto sobre grandes establecimientos comerciales sería limitada. A título de ejemplo, de acuerdo con las notas que acompañan la tarifa del impuesto sobre actividades económicas, ésta cubre tanto el comercio al por mayor como al por menor, mientras que la primera modalidad no está contemplada en el hecho imponible del impuesto sobre grandes establecimientos comerciales. En un mismo sentido, a los efectos del impuesto sobre actividades económicas, las zonas ocupadas por terceros en virtud de cesión de uso o de cualquier otro título computan al efecto de la aplicación de la tarifa, mientras que el artículo 6 de la ley impugnada establece que “es sujeto pasivo, en cualidad de contribuyente, la persona física o jurídica titular del gran establecimiento comercial individual definido por el artículo 4, con independencia de que esté situado o no en un gran establecimiento comercial colectivo. Se entiende por gran establecimiento comercial colectivo el definido por la normativa específica sobre equipamientos comerciales”. De acuerdo con el art. 2 de la Ley del Parlamento de Cataluña 17/2000, de 29 de diciembre, de equipamientos comerciales, los establecimientos de carácter colectivo se hallan integrados por un conjunto de establecimientos individuales situados en uno o diversos edificios, en los cuáles, con independencia que las actividades respectivas puedan ejercerse de una manera empresarial independiente, concurren todos o alguno de los elementos siguientes: acceso común desde la vía pública, </w:t>
      </w:r>
      <w:r>
        <w:lastRenderedPageBreak/>
        <w:t>de uso exclusivo o preferente de los establecimientos o de sus clientes, aparcamientos privados compartidos o servicios comunes para los clientes. En otro orden, en la tarifa del impuesto sobre actividades económicas, se excluyen los aparcamientos descubiertos, exclusión que no se produce en el impuesto objeto del presente proceso de inconstitucionalidad.</w:t>
      </w:r>
    </w:p>
    <w:p w:rsidR="00D06117" w:rsidRDefault="00D06117" w:rsidP="00D06117">
      <w:pPr>
        <w:pStyle w:val="TextoNormal"/>
      </w:pPr>
    </w:p>
    <w:p w:rsidR="00D06117" w:rsidRDefault="00D06117" w:rsidP="00D06117">
      <w:pPr>
        <w:pStyle w:val="TextoNormal"/>
      </w:pPr>
      <w:r>
        <w:t>Tampoco existe identidad en el sujeto pasivo, el titular del gran establecimiento comercial, que no es el titular dominical del suelo o de las instalaciones. En el impuesto sobre grandes establecimientos comerciales el hecho imponible no se corresponde con la mera actividad, sino que ésta debe desarrollarse en un establecimiento con características determinadas, una gran superficie que es el elemento generador de las externalidades negativas. Por ello algunos establecimientos están exentos del impuesto cuando utilizan una gran superficie debido al tipo de producto que comercializan, como es el caso de los dedicados a la jardinería y a la venta de vehículos, materiales para la construcción, maquinaria y suministros industriales, lo cual pone de manifiesto que no es la actividad, por sí misma, el objeto gravado, sino el cómo se desarrolla la actividad en el caso de que existan alternativas menos gravosas socialmente.</w:t>
      </w:r>
    </w:p>
    <w:p w:rsidR="00D06117" w:rsidRDefault="00D06117" w:rsidP="00D06117">
      <w:pPr>
        <w:pStyle w:val="TextoNormal"/>
      </w:pPr>
    </w:p>
    <w:p w:rsidR="00D06117" w:rsidRDefault="00D06117" w:rsidP="00D06117">
      <w:pPr>
        <w:pStyle w:val="TextoNormal"/>
      </w:pPr>
      <w:r>
        <w:t>En relación con la cuota establecida por la tarifa del impuesto sobre actividades económicas es fija en función de la superficie y con un límite del 15 por 100 del beneficio medio presunto de la actividad gravada, la base imponible del impuesto sobre grandes establecimientos comerciales se modula a través del establecimiento de la base liquidable, poniendo de manifiesto con contundencia la relación entre la estructura del tributo y su finalidad extrafiscal, ya que, como supuesto general, la base sobre la que deberá aplicarse el tipo de gravamen oscila hasta en un 40 por 100 en función de la ocupación de suelo, es decir, en función del impacto más directamente medioambiental de la forma como se ejerce la actividad. Y por otro lado, cuando se trata de establecimientos con una cierta especialización, cuyo impacto en relación con el comercio de trama urbana es menor, se produce una reducción del 60 por 100 de la base, lo que permite que, en función de ambos parámetros, la oscilación de la base se halle entre el 24 por 100 y el 100 por 100 de las superficies que determinan la base imponible.</w:t>
      </w:r>
    </w:p>
    <w:p w:rsidR="00D06117" w:rsidRDefault="00D06117" w:rsidP="00D06117">
      <w:pPr>
        <w:pStyle w:val="TextoNormal"/>
      </w:pPr>
    </w:p>
    <w:p w:rsidR="00D06117" w:rsidRDefault="00D06117" w:rsidP="00D06117">
      <w:pPr>
        <w:pStyle w:val="TextoNormal"/>
      </w:pPr>
      <w:r>
        <w:t>La extrafiscalidad del tributo también se observa en la determinación de bonificaciones. El artículo 11.1 de la ley prevé una bonificación del 40 por 100 destinada a garantizar un trato más favorable a aquellos grandes establecimientos comerciales que, se hallen emplazados en zonas urbanas o periurbanas, que no se les pueda imputar directamente el mayor coste de mantenimiento de la red viaria pública o los costes sociales y medioambientales que el uso de vehículos privados comporta.</w:t>
      </w:r>
    </w:p>
    <w:p w:rsidR="00D06117" w:rsidRDefault="00D06117" w:rsidP="00D06117">
      <w:pPr>
        <w:pStyle w:val="TextoNormal"/>
      </w:pPr>
    </w:p>
    <w:p w:rsidR="00D06117" w:rsidRDefault="00D06117" w:rsidP="00D06117">
      <w:pPr>
        <w:pStyle w:val="TextoNormal"/>
      </w:pPr>
      <w:r>
        <w:t>Por todo lo anterior, se concluye que el recurso de inconstitucionalidad habrá de ser desestimado.</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escrito, presentado en el Registro General de este Tribunal el día 28 de mayo de 2001, la Letrada de la Generalitat de Cataluña, compareció en este Tribunal a los efectos de tener por personado al Gobierno de la Generalitat en el presente proceso constitucional y efectuar alegaciones, suplicando se dictase Sentencia por la que se desestimase el recurso interpuesto.</w:t>
      </w:r>
    </w:p>
    <w:p w:rsidR="00D06117" w:rsidRDefault="00D06117" w:rsidP="00D06117">
      <w:pPr>
        <w:pStyle w:val="TextoNormal"/>
      </w:pPr>
    </w:p>
    <w:p w:rsidR="00D06117" w:rsidRDefault="00D06117" w:rsidP="00D06117">
      <w:pPr>
        <w:pStyle w:val="TextoNormal"/>
      </w:pPr>
      <w:r>
        <w:lastRenderedPageBreak/>
        <w:t>Alega, en primer lugar, que ninguno de los límites constitucionales que condicionan el poder tributario propio de las Comunidades Autónomas puede ser interpretado de tal manera que haga inviable su ejercicio y que, para valorar la tachas de inconstitucionalidad imputadas, es necesario analizar la jurisprudencia constitucional en relación con el art. 6.3 LOFCA, especialmente la contenida en las SSTC 37/1987 y 289/2000, en las que se distinguen los conceptos de hecho imponible y materia imponible, permitiendo la posibilidad de crear tributos con finalidades extrafiscales.</w:t>
      </w:r>
    </w:p>
    <w:p w:rsidR="00D06117" w:rsidRDefault="00D06117" w:rsidP="00D06117">
      <w:pPr>
        <w:pStyle w:val="TextoNormal"/>
      </w:pPr>
    </w:p>
    <w:p w:rsidR="00D06117" w:rsidRDefault="00D06117" w:rsidP="00D06117">
      <w:pPr>
        <w:pStyle w:val="TextoNormal"/>
      </w:pPr>
      <w:r>
        <w:t>A continuación aborda la naturaleza extrafiscal del impuesto sobre grandes establecimientos comerciales. Afirma que puede ser establecido por la Comunidad Autónoma en el marco de sus competencias, ya que se incardinaría dentro de las competencias en materia de comercio interior, ordenación del territorio y urbanismo, y protección del medio ambiente. Destaca que la Ley del Parlamento de Cataluña 16/2000, de 29 de diciembre, del impuesto sobre grandes establecimientos comerciales, fue acompañada de la aprobación de la Ley del Parlamento de Cataluña 17/2000, de 29 de diciembre, de equipamientos comerciales que dio nueva regulación a los equipamientos comerciales, y que en su preámbulo justifica el impuesto por “las potenciales externalidades negativas que la implantación de grandes establecimientos comerciales produce tanto en el sector de la distribución comercial como en la ordenación territorial y en el medio ambiente”, siendo su finalidad “la corrección y la compensación del impacto territorial que puede ocasionar el fenómeno de concentración de grandes superficies comerciales” así como la atención a las necesidades de modernización y fomento del comercio integrado en trama urbana.</w:t>
      </w:r>
    </w:p>
    <w:p w:rsidR="00D06117" w:rsidRDefault="00D06117" w:rsidP="00D06117">
      <w:pPr>
        <w:pStyle w:val="TextoNormal"/>
      </w:pPr>
    </w:p>
    <w:p w:rsidR="00D06117" w:rsidRDefault="00D06117" w:rsidP="00D06117">
      <w:pPr>
        <w:pStyle w:val="TextoNormal"/>
      </w:pPr>
      <w:r>
        <w:t>Enlazando con la finalidad extrafiscal, analiza el objeto o materia gravada por el impuesto sobre grandes establecimientos comerciales, que es el beneficio impropio del que gozan los grandes establecimientos comerciales por la existencia de costes no internalizados generados por su incidencia en el medio ambiente y el urbanismo, y por los costes sociales que provoca la desestructuración del pequeño comercio urbano. Considera que por su objeto, estructura y afectación de los ingresos, el impuesto sobre grandes establecimientos comerciales se trata de un tributo extrafiscal, que lo diferencia del impuesto sobre actividades económicas, un impuesto con finalidad fiscal, que grava una manifestación de riqueza, objeto o materia tributaria completamente distinta, el beneficio medio presunto anual de cualquier actividad económica hasta un máximo del 15 por 100, dejando totalmente al margen de las mencionadas deseconomías que grava el impuesto sobre grandes establecimientos comerciales. Otros aspectos que distinguen ambos impuestos son la progresividad inversa de sus cuotas, la distinta valoración del elemento superficie, la especial atención del impuesto sobre grandes establecimientos comerciales a las repercusiones medioambientales y urbanísticas, y en definitiva, por la distinta finalidad de ambos impuestos reflejado en cada elemento del tributo. Tras realizar una amplia cita de los preceptos que regulan ambos impuestos, en términos análogos a los expuestos por el letrado del Parlamento de Cataluña, señala la falta de coincidencia de materia imponible, hecho imponible y sujeto pasivo de los impuestos sobre grandes establecimientos comerciales y sobre actividades económicas.</w:t>
      </w:r>
    </w:p>
    <w:p w:rsidR="00D06117" w:rsidRDefault="00D06117" w:rsidP="00D06117">
      <w:pPr>
        <w:pStyle w:val="TextoNormal"/>
      </w:pPr>
    </w:p>
    <w:p w:rsidR="00D06117" w:rsidRDefault="00D06117" w:rsidP="00D06117">
      <w:pPr>
        <w:pStyle w:val="TextoNormal"/>
      </w:pPr>
      <w:r>
        <w:t xml:space="preserve">A la misma conclusión llega respecto del impuesto sobre bienes inmuebles, debido a que el hecho imponible se define en la Ley del Parlamento de Cataluña 16/2000, de 29 de diciembre, del impuesto sobre grandes establecimientos comerciales no por la titularidad del inmueble, sino por la peculiar actividad que en él se realiza, tomando relevancia la dimensión del espacio de ventas por su relación con el objeto del tributo autonómico, directamente </w:t>
      </w:r>
      <w:r>
        <w:lastRenderedPageBreak/>
        <w:t>vinculado con las muy particulares características de la explotación y las deseconomías que provoca. En coherencia con lo anterior, el contribuyente será el titular de la explotación de la gran superficie comercial, pues ése es el sujeto que la utiliza para la finalidad de venta minorista y el que percibe el beneficio impropio de las externalidades no asumidas, independiente del título jurídico que permita la utilización del suelo y las instalaciones.</w:t>
      </w:r>
    </w:p>
    <w:p w:rsidR="00D06117" w:rsidRDefault="00D06117" w:rsidP="00D06117">
      <w:pPr>
        <w:pStyle w:val="TextoNormal"/>
      </w:pPr>
    </w:p>
    <w:p w:rsidR="00D06117" w:rsidRDefault="00D06117" w:rsidP="00D06117">
      <w:pPr>
        <w:pStyle w:val="TextoNormal"/>
      </w:pPr>
      <w:r>
        <w:t>Termina su escrito refiriéndose a los preceptos que regulan las exenciones, la base imponible, el tipo y la cuota del impuesto sobre grandes establecimientos comerciales, que también vendrían a configurar la distinta estructura del impuesto sobre grandes establecimientos comerciales y del impuesto sobre actividades económicas, tras cuyo análisis concluye que resulta manifiesto que la Ley del Parlamento de Cataluña 16/2000, de 29 de diciembre, del impuesto sobre grandes establecimientos comerciales, contiene en cada apartado de su estructura impositiva elementos que vinculan su finalidad extrafiscal con la realidad tributaria que regula, de forma que grava sólo la venta minorista en grandes establecimientos [arts. 4.3 y 7.2 a)], porque sólo en ellos concurre el afectar a la trama comercial urbana, al urbanismo y al medio ambiente. Con dicha finalidad, se incentiva el uso de transporte público (artículo 11), la verticalidad de la gran superficie y el ahorro de suelo (artículo 8.2), y se afectan los ingresos del tributo a las inversiones sociales que lo justifican (art. 3). Tal y como contemplaba la propia STC 289/2000, la afectación del impuesto a las finalidades extrafiscales que lo justifican es, a la vez, una prueba y un efecto de la verdadera existencia de dichos fines extrafiscales que configuran la materia u objeto del impuesto, y que pretenden reintegrar a la sociedad, vía impuesto, una parte que compense los gastos públicos que produce el fenómeno de las grandes superficies. El objeto del tributo, que tiene fiel reflejo en su estructura, cierra el ciclo con la afectación de los ingresos en coherencia con su fundamento, distanciándose así, de manera irremediable, de otros tributos locales con finalidad fiscal, y no instrumental de las competencias que los entes públicos tienen encomendadas, respetando en todo caso el límite a los tributos propios autonómicos previsto en el art. 6.3 LOFCA.</w:t>
      </w:r>
    </w:p>
    <w:p w:rsidR="00D06117" w:rsidRDefault="00D06117" w:rsidP="00D06117">
      <w:pPr>
        <w:pStyle w:val="TextoNormal"/>
      </w:pPr>
    </w:p>
    <w:p w:rsidR="00D06117" w:rsidRDefault="00D06117" w:rsidP="00D06117">
      <w:pPr>
        <w:pStyle w:val="TextoNormal"/>
      </w:pPr>
      <w:r w:rsidRPr="00D06117">
        <w:rPr>
          <w:rStyle w:val="NumeroAFNegritaCaracter"/>
        </w:rPr>
        <w:t>7</w:t>
      </w:r>
      <w:r>
        <w:t>. Solicitado por las representaciones procesales del Parlamento y del Gobierno de Cataluña en su escrito de alegaciones el levantamiento de la suspensión de la vigencia y aplicación de la ley impugnada, mediante providencia de la Sección Primera de este Tribunal de 5 de junio de 2001 se acordó oír al abogado del Estado en el plazo de cinco días para que expusiese lo que estimase procedente acerca de dicha pretensión. Evacuado el trámite conferido, el Abogado del Estado mediante escrito registrado en este Tribunal con fecha de 12 de junio de 2001, suplicó que se acordase el mantenimiento de la misma. Por Auto de 3 de julio de 2001, se llevó a efecto el levantamiento de la suspensión de la ley autonómica impugnada.</w:t>
      </w:r>
    </w:p>
    <w:p w:rsidR="00D06117" w:rsidRDefault="00D06117" w:rsidP="00D06117">
      <w:pPr>
        <w:pStyle w:val="TextoNormal"/>
      </w:pPr>
    </w:p>
    <w:p w:rsidR="00D06117" w:rsidRDefault="00D06117" w:rsidP="00D06117">
      <w:pPr>
        <w:pStyle w:val="TextoNormal"/>
      </w:pPr>
      <w:r w:rsidRPr="00D06117">
        <w:rPr>
          <w:rStyle w:val="NumeroAFNegritaCaracter"/>
        </w:rPr>
        <w:t>8</w:t>
      </w:r>
      <w:r>
        <w:t>. El 15 de marzo de 2011 el Pleno acordó, de conformidad con lo dispuesto en el art. 84 LOTC, oír a las partes personadas, por el término de diez días, para que alegasen sobre la incidencia que, en la pervivencia del presente recurso, pudiera tener la modificación del art. 6.3 LOFCA en virtud de la Ley Orgánica 3/2009, de 18 de diciembre.</w:t>
      </w:r>
    </w:p>
    <w:p w:rsidR="00D06117" w:rsidRDefault="00D06117" w:rsidP="00D06117">
      <w:pPr>
        <w:pStyle w:val="TextoNormal"/>
      </w:pPr>
    </w:p>
    <w:p w:rsidR="00D06117" w:rsidRDefault="00D06117" w:rsidP="00D06117">
      <w:pPr>
        <w:pStyle w:val="TextoNormal"/>
      </w:pPr>
      <w:r w:rsidRPr="00D06117">
        <w:rPr>
          <w:rStyle w:val="NumeroAFNegritaCaracter"/>
        </w:rPr>
        <w:t>9</w:t>
      </w:r>
      <w:r>
        <w:t xml:space="preserve">. El 31 de marzo de 2011 presentó su escrito de alegaciones el Abogado del Estado considerando que deberá declararse la pérdida de objeto del recurso, dado que la Ley Orgánica 3/2009, de 18 diciembre, modificó el art. 6.3 LOFCA en el sentido de pasar a referir </w:t>
      </w:r>
      <w:r>
        <w:lastRenderedPageBreak/>
        <w:t>las reglas de incompatibilidad que contiene al hecho imponible, en lugar de a la materia imponible, y fijando respecto de los tributos locales, una delimitación similar a la prevista para los tributos estatales. En definitiva, la reforma de la Ley Orgánica de financiación de las Comunidades Autónomas vendría a suponer una minoración de la limitación de la potestad de las Comunidades Autónomas para la creación de tributos propios en relación con el espacio fiscal de los tributos locales, tal como se señala en la exposición de motivos de la Ley Orgánica 3/2009, de 18 de diciembre; en la memoria justificativa del proyecto normativo previo a la mencionada ley; en el acuerdo 6/2009, de 15 de julio, del Consejo de Política Fiscal y Financiera, apartado 4.4.9; y, finalmente, en el dictamen del Consejo de Estado número 2099-2010, referido al impuesto andaluz sobre depósitos de clientes en entidades de crédito. Y todo ello le lleva a concluir que la regulación del impuesto contenida en la Ley del Parlamento de Cataluña 16/2000, de 29 de diciembre, del impuesto sobre grandes establecimientos comerciales no vulnera lo dispuesto en el art. 6.3 LOFCA en la redacción dada por la Ley Orgánica 3/2009, lo que conduce a afirmar la pérdida de objeto del presente recurso, sin que pueda entenderse que persista su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10</w:t>
      </w:r>
      <w:r>
        <w:t>. En sentido contrario se han manifestado tanto el Letrado del Parlamento de Cataluña como el Abogado de la Generalitat de Cataluña, en sus escritos registrados respectivamente los días 29 y 30 de marzo de 2011. Ambos coinciden en afirmar que la modificación legal no ha supuesto la pérdida de objeto del presente recurso y que, tanto antes como después de la reforma del art. 6.3 LOFCA, el impuesto impugnado resultaba plenamente constitucional.</w:t>
      </w:r>
    </w:p>
    <w:p w:rsidR="00D06117" w:rsidRDefault="00D06117" w:rsidP="00D06117">
      <w:pPr>
        <w:pStyle w:val="TextoNormal"/>
      </w:pPr>
    </w:p>
    <w:p w:rsidR="00D06117" w:rsidRDefault="00D06117" w:rsidP="00D06117">
      <w:pPr>
        <w:pStyle w:val="TextoNormal"/>
      </w:pPr>
      <w:r>
        <w:t>El letrado del Parlamento de Cataluña considera que la nueva redacción del art. 6.3 LOFCA viene a reafirmar los argumentos aportados en su día, pero añade que el Abogado del Estado en su escrito de interposición también había manifestado que el hecho imponible del impuesto sobre grandes establecimientos comerciales coincidía con el del impuesto sobre actividades económicas, lo que conllevaría que la modificación del art. 6.3 LOFCA no desvanecería las dudas sobre la inconstitucionalidad entonces alegada. A ello añade que el Real Decreto 342/2001, de 24 de diciembre, por el que se aprobó el reglamento del impuesto sobre grandes establecimientos comerciales, fue recurrido ante el Tribunal Superior de Justicia de Cataluña, así como numerosos actos de aplicación de la ley impugnada, hallándose dichos procedimientos judiciales en suspenso. Por todo ello concluye que la modificación del art. 6.3 LOFCA operada por Ley Orgánica 3/2009, de 18 de diciembre, no afecta a la pervivencia del presente recurso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11</w:t>
      </w:r>
      <w:r>
        <w:t>. Por su parte el Abogado de la Generalitat sostiene que, al tratarse de un proceso constitucional con contenido competencial, para poder apreciar una eventual pérdida de objeto no basta con la extinción o modificación de la norma, ya sea de aquella impugnada o bien de aquella otra que se configura como un marco legal de necesaria observancia, sino que dependerá de la incidencia real que sobre el mismo tenga la modificación de la norma, pues lo relevante es si con esa modificación cesa o pervive la controversia. A ello se añade que deben considerarse vivas las controversias cuando dejen subsistentes o irresueltas las cuestiones debatidas y las partes mantengan interés en encontrar respuesta a sus pretensiones. En definitiva resulta oportuno y necesario un pronunciamiento del este Tribunal Constitucional para poner fin no sólo a esta controversia sino a los litigios promovidos en la jurisdicción ordinaria con motivo del desarrollo reglamentario y aplicación de la ley impugnada.</w:t>
      </w:r>
    </w:p>
    <w:p w:rsidR="00D06117" w:rsidRDefault="00D06117" w:rsidP="00D06117">
      <w:pPr>
        <w:pStyle w:val="TextoNormal"/>
      </w:pPr>
    </w:p>
    <w:p w:rsidR="00D06117" w:rsidRDefault="00D06117" w:rsidP="00D06117">
      <w:pPr>
        <w:pStyle w:val="TextoNormal"/>
      </w:pPr>
      <w:r>
        <w:lastRenderedPageBreak/>
        <w:t>Por lo que respecta al nuevo contenido del art. 6.3 LOFCA considera que no afecta a la validez del impuesto sobre grandes establecimientos comerciales ni a la corrección de la ley que lo creó, ya que siempre respetó las prescripciones de la Ley Orgánica de financiación de las Comunidades Autónomas. Termina advirtiendo que resulta oportuno un pronunciamiento expreso de este Tribunal sobre la controversia en los términos en que fue planteada en su momento pues cualquier respuesta que se base en un marco normativo posterior dejaría sin resolver las dudas sobre el objeto principal de los recursos contenciosos y llevaría a plantear futuras cuestiones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5 de junio de 2012 se señaló el día 5 del mismo mes y año para deliberación y votación de la presente Sentencia.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inconstitucionalidad fue promovido por el Presidente del Gobierno contra la Ley del Parlamento de Cataluña 16/2000, de 29 de diciembre, del impuesto sobre grandes establecimientos comerciales, al considerar que el impuesto autonómico vulneraba el art. 6.3 de la Ley Orgánica de financiación de las Comunidades Autónomas (LOFCA), por someter a gravamen la misma materia imponible que el impuesto local sobre actividades económicas y, como pretensión subsidiaria, que el impuesto sobre bienes inmuebles, sin que en la legislación sobre régimen local existiese una habilitación para ello.</w:t>
      </w:r>
    </w:p>
    <w:p w:rsidR="00D06117" w:rsidRDefault="00D06117" w:rsidP="00D06117">
      <w:pPr>
        <w:pStyle w:val="TextoNormal"/>
      </w:pPr>
    </w:p>
    <w:p w:rsidR="00D06117" w:rsidRDefault="00D06117" w:rsidP="00D06117">
      <w:pPr>
        <w:pStyle w:val="TextoNormal"/>
      </w:pPr>
      <w:r>
        <w:t>La Ley del Parlamento de Cataluña 16/2000, de 29 de diciembre, del impuesto sobre grandes establecimientos comerciales, objeto en su totalidad del presente recurso de inconstitucionalidad, ha creado un impuesto propio de Cataluña que grava, según expresa su art. 2, “la singular capacidad económica que concurre en determinados establecimientos comerciales como consecuencia de estar implantados como grandes superficies, dado que esta circunstancia contribuye de una manera decisiva a tener una posición dominante en el sector y puede generar externalidades negativas en el territorio y el medio ambiente, cuyo coste no asumen”. Este tributo propio se dictó al amparo de los arts. 44.1 y 50 del Estatuto de Autonomía de Cataluña de 1979 y representa el ejercicio de las competencias de la Comunidad Autónoma de Cataluña recogidas en los arts. 203.5, 202.3 a) y 203.1 del Estatuto de Autonomía de Cataluña aprobado por la Ley Orgánica 6/2006, de 19 de julio.</w:t>
      </w:r>
    </w:p>
    <w:p w:rsidR="00D06117" w:rsidRDefault="00D06117" w:rsidP="00D06117">
      <w:pPr>
        <w:pStyle w:val="TextoNormal"/>
      </w:pPr>
    </w:p>
    <w:p w:rsidR="00D06117" w:rsidRDefault="00D06117" w:rsidP="00D06117">
      <w:pPr>
        <w:pStyle w:val="TextoNormal"/>
      </w:pPr>
      <w:r>
        <w:t>Con posterioridad a la interposición del presente recurso, el legislador orgánico ha modificado el art. 6.3 LOFCA, mediante la Ley Orgánica 3/2009, de 18 de diciembre y este cambio legislativo, nos sitúa en un escenario jurídico diferente al existente en el momento en que se interpuso el recurso de inconstitucionalidad, debido a que el legislador estatal ha realizado una modificación de la prohibición que venía limitando la potestad tributaria de las Comunidades Autónomas para el establecimiento de tributos propios, en el ejercicio de la competencia que deriva del art. 157.3 en relación con los arts. 133.1 y 149.1.14, todos de la Constitución Española, pues antes de la reforma, no podía recaer “sobre materias que la legislación de régimen local reserve a las Corporaciones Locales”, mientras que con la redacción vigente estos tributos “no podrán recaer sobre hechos imponibles gravados por los tributos locales”.</w:t>
      </w:r>
    </w:p>
    <w:p w:rsidR="00D06117" w:rsidRDefault="00D06117" w:rsidP="00D06117">
      <w:pPr>
        <w:pStyle w:val="TextoNormal"/>
      </w:pPr>
    </w:p>
    <w:p w:rsidR="00D06117" w:rsidRDefault="00D06117" w:rsidP="00D06117">
      <w:pPr>
        <w:pStyle w:val="TextoNormal"/>
      </w:pPr>
      <w:r>
        <w:lastRenderedPageBreak/>
        <w:t>Al ser doctrina reiterada de este Tribunal que el bloque de la constitucionalidad que ha de servir de canon para el enjuiciamiento de la ley, en esta clase de recursos es el efectivamente existente en el momento de procederse a la resolución del proceso constitucional que se hubiese entablado (por todas STC 14/1998, de 22 de enero, FJ 2) resulta necesario determinar el alcance que, sobre el objeto del presente proceso constitucional, haya podido tener que la Ley Orgánica 3/2009 de 18 de diciembre haya dado una nueva redacción a la prohibición regulada en el art. 6.3 LOFCA.</w:t>
      </w:r>
    </w:p>
    <w:p w:rsidR="00D06117" w:rsidRDefault="00D06117" w:rsidP="00D06117">
      <w:pPr>
        <w:pStyle w:val="TextoNormal"/>
      </w:pPr>
    </w:p>
    <w:p w:rsidR="00D06117" w:rsidRDefault="00D06117" w:rsidP="00D06117">
      <w:pPr>
        <w:pStyle w:val="TextoNormal"/>
      </w:pPr>
      <w:r w:rsidRPr="00D06117">
        <w:rPr>
          <w:rStyle w:val="NumeroAFNegritaCaracter"/>
        </w:rPr>
        <w:t>2</w:t>
      </w:r>
      <w:r>
        <w:t>. El artículo 84 de la Ley Orgánica del Tribunal Constitucional (LOTC) faculta a éste para que, en cualquier tiempo anterior a su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 Este mismo precepto establece un plazo para que las partes personadas se pronuncien sobre la cuestión suscitada. La apertura del trámite del art. 84 LOTC ha determinado que el Abogado del Estado haya considerado procedente declarar la desaparición de su objeto, si bien las otras partes personadas, la Generalitat de Cataluña y el Parlamento de Cataluña, coinciden en afirmar la pervivencia del mismo.</w:t>
      </w:r>
    </w:p>
    <w:p w:rsidR="00D06117" w:rsidRDefault="00D06117" w:rsidP="00D06117">
      <w:pPr>
        <w:pStyle w:val="TextoNormal"/>
      </w:pPr>
    </w:p>
    <w:p w:rsidR="00D06117" w:rsidRDefault="00D06117" w:rsidP="00D06117">
      <w:pPr>
        <w:pStyle w:val="TextoNormal"/>
      </w:pPr>
      <w:r>
        <w:t>La desaparición sobrevenida del objeto del proceso, aunque no contemplada expresamente en el art. 86.1 LOTC, ha sido admitida por este Tribunal como forma de terminación de los distintos procesos constitucionales, si bien, según reiterada doctrina constitucional, no cabe dar una respuesta unívoca y general a la cuestión relativa a los efectos que una derogación, pérdida de vigencia o modificación de una disposición legal pueda tener sobre una eventual desaparición del objeto del proceso, debiendo distinguirse entre la cuestión de inconstitucionalidad, el recurso de inconstitucionalidad y los procesos constitucionales de naturaleza competencial, y no pudiendo resolverse apriorísticamente en función de criterios abstractos o genéricos (STC 134/2004, de 22 de julio, FJ 3).</w:t>
      </w:r>
    </w:p>
    <w:p w:rsidR="00D06117" w:rsidRDefault="00D06117" w:rsidP="00D06117">
      <w:pPr>
        <w:pStyle w:val="TextoNormal"/>
      </w:pPr>
    </w:p>
    <w:p w:rsidR="00D06117" w:rsidRDefault="00D06117" w:rsidP="00D06117">
      <w:pPr>
        <w:pStyle w:val="TextoNormal"/>
      </w:pPr>
      <w:r>
        <w:t>En el presente proceso, como ya hemos dicho, se impugna la Ley del Parlamento de Cataluña 16/2000, de 29 de diciembre, del impuesto sobre grandes establecimientos comerciales, que estableció el impuesto sobre grandes superficies comerciales, un tributo propio de la Comunidad Autónoma, creado al amparo de los arts. 133.2 y 157.1 b) CE, por incumplir, según se alega, lo establecido en el art. 6.3 LOFCA.</w:t>
      </w:r>
    </w:p>
    <w:p w:rsidR="00D06117" w:rsidRDefault="00D06117" w:rsidP="00D06117">
      <w:pPr>
        <w:pStyle w:val="TextoNormal"/>
      </w:pPr>
    </w:p>
    <w:p w:rsidR="00D06117" w:rsidRDefault="00D06117" w:rsidP="00D06117">
      <w:pPr>
        <w:pStyle w:val="TextoNormal"/>
      </w:pPr>
      <w:r>
        <w:t>La representación procesal del Parlamento y de la Generalitat de Cataluña, consideran que la modificación del contenido de la prohibición establecida en el art. 6.3 LOFCA no afecta a la pervivencia del recurso de inconstitucionalidad, porque no desvanece las dudas sobre la constitucionalidad de la Ley 16/2000, de 29 de diciembre debido a que, en su escrito de interposición del recurso de inconstitucionalidad, el Abogado del Estado también manifestó que el hecho imponible del impuesto sobre grandes establecimientos comerciales coincidía con el del impuesto sobre actividades económicas. Procede entonces analizar principalmente si el tributo autonómico impugnado traspasa el límite a la potestad tributaria de las Comunidades Autónomas fijado en el vigente art. 6.3 LOFCA por “recaer sobre hechos imponibles gravados por los tributos locales”.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Resulta conveniente comenzar delimitando el canon de interpretación del nuevo artículo 6.3 LOFCA tomando como punto de partida la doctrina sobre otro precepto perteneciente al mismo bloque de la constitucionalidad, el art. 6.2 LOFCA, debido a que, tras la modificación operada por la Ley Orgánica 3/2009 de 18 de diciembre, ambos preceptos emplean inicialmente la misma literalidad, expresando que “[l]os tributos que establezcan las Comunidades Autónomas no podrán recaer sobre hechos imponibles gravados por … el Estado” (art. 6.2 LOFCA) y “los tributos locales” (art. 6.3 LOFCA). Y habíamos dicho que “la LOFCA, en su art. 6, condiciona el ejercicio de los tributos propios a dos límites ineludibles, los cuales, cabe adelantar, inciden de forma importante en la capacidad de las Comunidades Autónomas para establecer un sistema de tributos propios como consecuencia de la ocupación de la riqueza gravable tanto por los tributos estatales como por los locales” (STC 289/2000, de 30 de noviembre, FJ 4).</w:t>
      </w:r>
    </w:p>
    <w:p w:rsidR="00D06117" w:rsidRDefault="00D06117" w:rsidP="00D06117">
      <w:pPr>
        <w:pStyle w:val="TextoNormal"/>
      </w:pPr>
    </w:p>
    <w:p w:rsidR="00D06117" w:rsidRDefault="00D06117" w:rsidP="00D06117">
      <w:pPr>
        <w:pStyle w:val="TextoNormal"/>
      </w:pPr>
      <w:r>
        <w:t>Precisamente la intención del legislador orgánico cuando ha dado nueva redacción al art. 6.3 LOFCA ha sido, como se colige del apartado V del preámbulo de la Ley Orgánica 3/2009, de 18 de diciembre, asimilar los límites establecidos en estos dos preceptos, pues dice que la reforma ha pretendido “clarificar también los límites para la creación de tributos propios por las Comunidades Autónomas” y “[p]ara ello y con el fin de reducir la conflictividad, se modifica el artículo sexto de la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 Este precepto fue aprobado sin debate ni enmiendas, dado que el proyecto de la Ley Orgánica respetó los términos en los que se había pronunciado el Consejo de Política Fiscal y Financiera, en cuyo seno se adoptó el punto 4.4.9. del acuerdo 6/2009, de 15 de julio, para la reforma del sistema de financiación de las Comunidades Autónomas de régimen común y ciudades con estatuto de autonomía, cuyo contenido fue el siguiente: “Aunque los tributos propios no forman parte del Sistema de Financiación, para mayor seguridad jurídica sobre las reglas de incompatibilidad con los tributos del Estado y de las EE.LL, se propone revisar los límites actualmente existentes en la LOFCA para la creación de los tributos propios por las CC.AA. lo que también podría ampliar el espacio fiscal de las CC.AA”. “Para ello y para evitar los habituales conflictos constitucionales actuales, se acuerda revisar el art. 6.3 LOFCA para que las reglas de incompatibilidad se refieran al ‘hecho imponible’ y no a la ‘materia imponible’, con lo que habría un espacio fiscal autonómico más claro en relación con los tributos locales, con una delimitación similar a la que existe en relación con los tributos estatales”. “En cualquier caso, es necesario mantener algún parámetro de coordinación general, como limitar los tributos que afecten a la unidad de mercado”.</w:t>
      </w:r>
    </w:p>
    <w:p w:rsidR="00D06117" w:rsidRDefault="00D06117" w:rsidP="00D06117">
      <w:pPr>
        <w:pStyle w:val="TextoNormal"/>
      </w:pPr>
    </w:p>
    <w:p w:rsidR="00D06117" w:rsidRDefault="00D06117" w:rsidP="00D06117">
      <w:pPr>
        <w:pStyle w:val="TextoNormal"/>
      </w:pPr>
      <w:r>
        <w:t xml:space="preserve">Ya desde la STC 37/1987, de 26 de marzo, abordamos el contenido del art. 6.2 LOFCA, y entonces comenzábamos diciendo que no procedía identificar los conceptos de materia imponible y hecho imponible, porque ello conduciría a “una interpretación extensiva del art. 6.2 LOFCA, notoriamente alejada del verdadero alcance de la prohibición que en dicha norma se contiene”. A este respecto, señalamos también que “el hecho imponible es un concepto estrictamente jurídico que, en atención a determinadas circunstancias, la Ley fija en cada caso ‘para configurar cada tributo y cuya realización origina el nacimiento de la obligación tributaria’ (SSTC 37/1987, de 26 de marzo, FJ 14; y 186/1993, de 7 de junio, FJ 4), es decir, es el acto o presupuesto previsto por la Ley cuya realización, por exteriorizar </w:t>
      </w:r>
      <w:r>
        <w:lastRenderedPageBreak/>
        <w:t>una manifestación de capacidad económica, provoca el nacimiento de una obligación tributaria. Por el contrario, ‘por materia imponible u objeto del tributo debe entenderse toda fuente de riqueza, renta o cualquier otro elemento de la actividad económica que el legislador decida someter a imposición, realidad que pertenece al plano de lo fáctico’. De ahí que, en relación con una misma materia impositiva, el legislador pueda seleccionar distintas circunstancias que den lugar a otros tantos hechos imponibles, determinantes a su vez de figuras tributarias diferentes. En suma, al ‘hecho imponible’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168/2004, de 5 de octubre, FJ 6; 179/2006, de 13 de junio, FJ 4; y ATC 456/2007, de 12 de diciembre, FJ 6).</w:t>
      </w:r>
    </w:p>
    <w:p w:rsidR="00D06117" w:rsidRDefault="00D06117" w:rsidP="00D06117">
      <w:pPr>
        <w:pStyle w:val="TextoNormal"/>
      </w:pPr>
    </w:p>
    <w:p w:rsidR="00D06117" w:rsidRDefault="00D06117" w:rsidP="00D06117">
      <w:pPr>
        <w:pStyle w:val="TextoNormal"/>
      </w:pPr>
      <w:r>
        <w:t>Aplicando esta doctrina al vigente art. 6.3 LOFCA es posible afirmar, como hacíamos entonces, que este precepto no tiene por objeto impedir que las Comunidades Autónomas establezcan tributos propios sobre objetos materiales o fuentes impositivas ya gravadas por los tributos locales, sino que prohíbe, en sus propios términos, la duplicidad de hechos imponibles, estrictamente, es decir, que “la prohibición de doble imposición en él contenida atiende al presupuesto adoptado como hecho imponible y no a la realidad o materia imponible que le sirve de base” (STC 289/2000, de 30 de noviembre, FJ 4), lo cual provoca la necesidad de analizar el modo en que el legislador articula, en cada caso, el hecho imponible. En definitiva, para determinar si se ha producido esa duplicidad de hechos imponibles prohibida en el art. 6.3 LOFCA, al ser éste un concepto estrictamente jurídico, será necesario partir de la redacción que los legisladores autonómico y estatal ha dado al hecho imponible de los impuestos sobre grandes establecimientos comerciales y sobre actividades económicas, por ser los impuestos que ahora ocupan nuestra atención.</w:t>
      </w:r>
    </w:p>
    <w:p w:rsidR="00D06117" w:rsidRDefault="00D06117" w:rsidP="00D06117">
      <w:pPr>
        <w:pStyle w:val="TextoNormal"/>
      </w:pPr>
    </w:p>
    <w:p w:rsidR="00D06117" w:rsidRDefault="00D06117" w:rsidP="00D06117">
      <w:pPr>
        <w:pStyle w:val="TextoNormal"/>
      </w:pPr>
      <w:r w:rsidRPr="00D06117">
        <w:rPr>
          <w:rStyle w:val="NumeroAFNegritaCaracter"/>
        </w:rPr>
        <w:t>4</w:t>
      </w:r>
      <w:r>
        <w:t>. Conviene recordar que las partes en sus escritos lo que suscitan es, en síntesis, que la definición gramatical de los hechos imponibles en las dos normas reguladoras es similar, pero no idéntica; que la coincidencia de hechos imponibles, de llegar a afirmarse, no es total sino que se limita a un grupo de actividades económicas; que la superposición no se sitúa en el hecho imponible sino, en su caso, en la regulación de las tarifas; y que el impuesto tiene una triple finalidad extrafiscal.</w:t>
      </w:r>
    </w:p>
    <w:p w:rsidR="00D06117" w:rsidRDefault="00D06117" w:rsidP="00D06117">
      <w:pPr>
        <w:pStyle w:val="TextoNormal"/>
      </w:pPr>
    </w:p>
    <w:p w:rsidR="00D06117" w:rsidRDefault="00D06117" w:rsidP="00D06117">
      <w:pPr>
        <w:pStyle w:val="TextoNormal"/>
      </w:pPr>
      <w:r>
        <w:t xml:space="preserve">Responder estas cuestiones requiere, en primer lugar, tener en cuenta que este Tribunal Constitucional en otras ocasiones ha afirmado que el argumento decisivo para llevar a cabo el análisis constitucional de una norma no puede hacerse depender de los términos que el legislador, a su discreción, haya utilizado, ya que “las categorías tributarias, más allá de las denominaciones legales, tienen cada una de ellas la naturaleza propia y específica que les corresponde de acuerdo con la configuración y estructura que reciban en el régimen jurídico a que vengan sometidas” [SSTC 269/1994, de 10 de noviembre, FJ 4; 164/1995, de 13 de noviembre, FJ 4; 185/1995, de 5 de diciembre, FJ 6 b); 134/1996, de 22 de julio, FJ 6; 276/2000, de 16 de noviembre, FJ 5; 242/2004, de 16 de diciembre, FJ 5; 121/2005, de 10 de mayo, FJ 6; y 73/2011 de 19 de mayo, FJ 4]. Por ello no es posible afirmar si existe una coincidencia de hechos imponibles de dos impuestos tan sólo porque su definición sea o no gramaticalmente idéntica, ya que será preciso atender a las circunstancias que ha seleccionado el legislador para dar lugar a los hechos imponibles de ambos impuestos [SSTC </w:t>
      </w:r>
      <w:r>
        <w:lastRenderedPageBreak/>
        <w:t>37/1987, de 26 de marzo, FJ 14; y 149/1991, de 4 de julio, FJ 5 A)]. Asimismo, para analizar la regulación del hecho imponible, hemos de tomar en consideración no sólo el precepto que el legislador ha dedicado nominalmente a regular este elemento, sino abarcar también los restantes elementos del tributo que se encuentran conectados con el hecho imponible, es decir, los sujetos pasivos, que constituyen el aspecto subjetivo del tributo, la base imponible, que representa la cuantificación del hecho imponible, la capacidad económica gravada, dado que “el hecho imponible tiene que constituir una manifestación de riqueza” (por todas, SSTC 194/2000, de 19 de julio, FJ 8; y 276/2000, de 16 de noviembre, FJ 4; y ATC 71/2008, de 26 de febrero, FJ 5) o los supuestos de no sujeción y exención. Así lo hemos hecho en otras ocasiones con motivo del examen del cumplimiento del principio de reserva de ley en materia tributaria, ya que cuando la regulación del hecho imponible resulta escasa o poco clarificadora sólo es posible controlar si una ley regula suficientemente el hecho imponible atendiendo a la regulación de otros elementos del tributo que encuentren una conexión con el mismo [SSTC 233/1999, de 16 de diciembre, FJ 10 d); y 73/2011 de 19 de mayo, FJ 5]. En definitiva, nuestro análisis sobre la coincidencia de hechos imponibles podrá no ceñirse estrictamente a la definición del hecho imponible que realiza el legislador sino ampliarse a otros preceptos legales cuando sea necesario para controlar el cumplimiento del art. 6.3 LOFCA.</w:t>
      </w:r>
    </w:p>
    <w:p w:rsidR="00D06117" w:rsidRDefault="00D06117" w:rsidP="00D06117">
      <w:pPr>
        <w:pStyle w:val="TextoNormal"/>
      </w:pPr>
    </w:p>
    <w:p w:rsidR="00D06117" w:rsidRDefault="00D06117" w:rsidP="00D06117">
      <w:pPr>
        <w:pStyle w:val="TextoNormal"/>
      </w:pPr>
      <w:r>
        <w:t>Finalmente, en lo que se refiere a la alegada finalidad extrafiscal del tributo, desde la STC 37/1987, de 26 de marzo, dijimos que “constitucionalmente nada cabe objetar a que, en general, a los tributos pueda asignárseles una finalidad extrafiscal y a que, ya más en particular, las Comunidades Autónomas puedan establecer impuestos con ese carácter” [STC 186/1993, de 7 de junio, FJ 4 a)]. El tributo puede no ser sólo una fuente de ingresos sino que también puede responder a políticas sectoriales distintas de la puramente recaudatoria, de modo que el legislador puede “configurar el presupuesto de hecho del tributo teniendo en cuenta consideraciones básicamente extrafiscales” (SSTC 37/1987, de 26 de marzo, FJ 13; 197/1992, de 19 de noviembre, FJ 6; 194/2000, de 19 de julio, FJ 7; y 276/2000, de 16 de noviembre, FJ 4). Partiendo de esta doctrina, otro de los criterios que podría ser útil para distinguir los hechos imponibles de dos impuestos es si su finalidad es básicamente fiscal o extrafiscal, pues a diferencia del tributo con finalidad fiscal o recaudatoria, en el tributo primordialmente extrafiscal “la intentio legis del tributo no es crear una nueva fuente de ingresos públicos con fines estrictamente fiscales o redistributivos” (STC 37/1987, de 26 de marzo, FJ 13), no es el mero gravamen de una manifestación de riqueza, de capacidad económica exteriorizada, sino coadyuvar a disuadir a los sujetos pasivos de la realización de una determinada conducta, del incumplimiento de ciertas obligaciones o, dicho en términos positivos, su intención es estimular o incentivar una determinada actuación. Ahora bien, ni la mera declaración de intenciones sobre la finalidad de un tributo es suficiente para salvar el obstáculo del art. 6.3 LOFCA, ni tampoco basta, a los efectos de distinguir sus hechos imponibles, con incorporar a un impuesto primordialmente fiscal una finalidad extrafiscal adicional. La finalidad extrafiscal tendrá que aparecer reflejada en la estructura del impuesto y plasmarse en su hecho imponible, y no será suficiente para considerar que un tributo es primordialmente extrafiscal, y diferenciarlo de otro básicamente fiscal, con introducir en sus elementos coyunturales o accesorios, como son, por ejemplo, los beneficios fiscales, ciertas finalidades de estímulo o incentivo a determinadas conductas [STC 134/1996, de 22 de julio, FJ 6 B)].</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Como hemos anticipado, suscitan las partes personadas en sus escritos que la definición de los hechos imponibles utilizada por las dos normas reguladoras, en un caso, se refiere a la “utilización de grandes superficies con finalidades comerciales” y, en otro, al “comercio mixto o integrado en grandes superficies”. Acabamos de expresar que la falta de identidad producida en la literalidad de las normas sometidas a examen no es criterio suficiente para entender que dos impuestos sean intrínsecamente diferentes sino que, por el contario, la distinción surgirá una vez se tomen en consideración las circunstancias seleccionadas por el legislador para dar lugar a los hechos imponibles de ambos impuestos [SSTC 37/1987, de 26 de marzo, FJ 14; y 149/1991, de 4 de julio, FJ 5 A)].</w:t>
      </w:r>
    </w:p>
    <w:p w:rsidR="00D06117" w:rsidRDefault="00D06117" w:rsidP="00D06117">
      <w:pPr>
        <w:pStyle w:val="TextoNormal"/>
      </w:pPr>
    </w:p>
    <w:p w:rsidR="00D06117" w:rsidRDefault="00D06117" w:rsidP="00D06117">
      <w:pPr>
        <w:pStyle w:val="TextoNormal"/>
      </w:pPr>
      <w:r>
        <w:t>El hecho imponible del impuesto sobre grandes establecimientos comerciales aparece regulado por el art. 4 de la Ley del Parlamento de Cataluña 16/2000, de 29 de diciembre, del impuesto sobre grandes establecimientos comerciales, como la utilización de grandes superficies con finalidades comerciales por razón del impacto que puede ocasionar al territorio, al medio ambiente y a la trama del comercio urbano de Cataluña (art. 4.1). Se entiende por utilización de grandes superficies con finalidades comerciales la que llevan a cabo los grandes establecimientos comerciales individuales dedicados a la venta al detalle (art. 4.2), y son grandes establecimientos comerciales individuales los que disponen de una superficie de venta igual o superior a los 2.500 metros cuadrados (art. 4.3).</w:t>
      </w:r>
    </w:p>
    <w:p w:rsidR="00D06117" w:rsidRDefault="00D06117" w:rsidP="00D06117">
      <w:pPr>
        <w:pStyle w:val="TextoNormal"/>
      </w:pPr>
      <w:r>
        <w:tab/>
      </w:r>
    </w:p>
    <w:p w:rsidR="00D06117" w:rsidRDefault="00D06117" w:rsidP="00D06117">
      <w:pPr>
        <w:pStyle w:val="TextoNormal"/>
      </w:pPr>
      <w:r>
        <w:t>Si atendemos a la literalidad de este precepto, el presupuesto previsto por el legislador autonómico, cuya realización provoca el nacimiento de la obligación tributaria, es la utilización de una superficie de venta igual o superior a 2.500 metros, con finalidad comercial, que llevan a cabo los establecimientos comerciales individuales, dedicados a la venta al detalle. Pero la redacción dada por el art. 4 del elemento objetivo del hecho imponible, hace dudar de si lo realmente gravado es la titularidad de un inmueble, con unas determinadas dimensiones y destinado a la realización de una actividad comercial, o si, por el contrario, lo es la realización de la propia actividad comercial de venta de productos al por menor en sí misma, cuando ésta se lleve a cabo de forma individual y utilizando grandes superficies de venta.</w:t>
      </w:r>
    </w:p>
    <w:p w:rsidR="00D06117" w:rsidRDefault="00D06117" w:rsidP="00D06117">
      <w:pPr>
        <w:pStyle w:val="TextoNormal"/>
      </w:pPr>
    </w:p>
    <w:p w:rsidR="00D06117" w:rsidRDefault="00D06117" w:rsidP="00D06117">
      <w:pPr>
        <w:pStyle w:val="TextoNormal"/>
      </w:pPr>
      <w:r>
        <w:t>Las dudas se despejan atendiendo a otros preceptos que vienen a complementar la regulación del hecho imponible, como son la referente al elemento subjetivo del hecho imponible, contenida en el art. 6 de la Ley del Parlamento de Cataluña 16/2000, de 29 de diciembre, del impuesto sobre grandes establecimientos comerciales, el cual establece que contribuyente es “la persona física o jurídica titular del gran establecimiento comercial individual definido en el art. 4”; al art. 2 de la misma ley, donde se expresa que el impuesto grava “la singular capacidad económica que concurre en determinados establecimientos comerciales como consecuencia de estar implantados como grandes superficies, dado que esta circunstancia contribuye de una manera decisiva a tener una posición dominante en el sector y puede generar externalidades negativas en el territorio y el medio ambiente, cuyo coste no asumen”; y la contenida en el art. 5, que se refiere a la relación de aquellos grandes establecimientos comerciales individuales cuya actividad está exenta del impuesto, que son los dedicados a la jardinería, venta de vehículos, materiales para la construcción, maquinaria y suministros industriales.</w:t>
      </w:r>
    </w:p>
    <w:p w:rsidR="00D06117" w:rsidRDefault="00D06117" w:rsidP="00D06117">
      <w:pPr>
        <w:pStyle w:val="TextoNormal"/>
      </w:pPr>
    </w:p>
    <w:p w:rsidR="00D06117" w:rsidRDefault="00D06117" w:rsidP="00D06117">
      <w:pPr>
        <w:pStyle w:val="TextoNormal"/>
      </w:pPr>
      <w:r>
        <w:lastRenderedPageBreak/>
        <w:t>Por consiguiente si, como decíamos en la STC 289/2000, de 30 de noviembre, FJ 4, el hecho imponible “es el acto o presupuesto previsto por la ley cuya realización, por exteriorizar una manifestación de capacidad económica, provoca el nacimiento de una obligación tributaria” y quien realiza el hecho imponible es el titular del gran establecimiento comercial individual y no del inmueble —lo cual asimismo lo distingue del impuesto sobre bienes inmuebles—, la manifestación de capacidad económica gravada es la que concurre en determinados grandes establecimientos comerciales individuales y las exenciones se establecen en función del tipo de productos vendidos, es posible concluir que lo gravado por el impuesto autonómico es la realización de un tipo específico de actividad comercial individual, de venta de productos al por menor o al detalle, mediante grandes superficies de venta, y no la mera titularidad o el uso de los inmuebles en los cuales se desarrolla dicha forma de comercio.</w:t>
      </w:r>
    </w:p>
    <w:p w:rsidR="00D06117" w:rsidRDefault="00D06117" w:rsidP="00D06117">
      <w:pPr>
        <w:pStyle w:val="TextoNormal"/>
      </w:pPr>
    </w:p>
    <w:p w:rsidR="00D06117" w:rsidRDefault="00D06117" w:rsidP="00D06117">
      <w:pPr>
        <w:pStyle w:val="TextoNormal"/>
      </w:pPr>
      <w:r>
        <w:t>Por su parte el art. 78.1 del Real Decreto Legislativo 2/2004, de 5 de marzo, por el que se aprueba el texto refundido de la Ley reguladora de las haciendas locales, establece que el hecho imponible del impuesto sobre actividades económicas “está constituido por el mero ejercicio, en territorio nacional, de actividades empresariales, profesionales o artísticas, se ejerzan o no en local determinado y se hallen o no especificadas en las tarifas del impuesto”. Los sujetos pasivos son las personas naturales o jurídicas y las entidades a que se refiere el art. 35.4 de la Ley 58/2003, de 17 de diciembre, general tributaria, siempre que realicen en territorio nacional cualquiera de las actividades que originan el hecho imponible, fijándose en el art. 84 la cuota tributaria que vienen obligados a abonar. De acuerdo con el art. 85 de la misma norma, las tarifas del impuesto, en las que se fijan las cuotas mínimas, así como la instrucción para su aplicación, se aprueban por real decreto legislativo del Gobierno, pero las cuotas tributarias se determinan en función del beneficio medio presunto de la actividad gravada (base cuarta del art. 85.1) (STC 193/2004, de 4 de noviembre, FJ 4; y ATC 456/2007, de 12 de diciembre, FJ 7).</w:t>
      </w:r>
    </w:p>
    <w:p w:rsidR="00D06117" w:rsidRDefault="00D06117" w:rsidP="00D06117">
      <w:pPr>
        <w:pStyle w:val="TextoNormal"/>
      </w:pPr>
    </w:p>
    <w:p w:rsidR="00D06117" w:rsidRDefault="00D06117" w:rsidP="00D06117">
      <w:pPr>
        <w:pStyle w:val="TextoNormal"/>
      </w:pPr>
      <w:r w:rsidRPr="00D06117">
        <w:rPr>
          <w:rStyle w:val="NumeroAFNegritaCaracter"/>
        </w:rPr>
        <w:t>6</w:t>
      </w:r>
      <w:r>
        <w:t>. De la configuración legal de ambos impuestos se desprende que el impuesto local sobre actividades económicas es un tributo directo, real, objetivo, periódico y “con una finalidad fiscal, como es la de allegar medios económicos a las haciendas locales para financiar su gasto público, gravando el ejercicio de actividades potencialmente generadoras de ingresos económicos para quienes las realizan, ingresos que se miden en función del beneficio medio presunto” (ATC 456/2007, de 12 de diciembre, FJ 7). Como concluíamos en la STC 193/2004, de 4 de noviembre, FJ 4, el impuesto pretende gravar la capacidad económica que se concreta en la riqueza potencial puesta de manifiesto por el ejercicio de una actividad económica, de manera que las cuotas tributarias derivadas de aplicar las tarifas del impuesto se exigen en función de esa riqueza potencial que el legislador atribuye al ejercicio de una actividad económica durante un año natural.</w:t>
      </w:r>
    </w:p>
    <w:p w:rsidR="00D06117" w:rsidRDefault="00D06117" w:rsidP="00D06117">
      <w:pPr>
        <w:pStyle w:val="TextoNormal"/>
      </w:pPr>
    </w:p>
    <w:p w:rsidR="00D06117" w:rsidRDefault="00D06117" w:rsidP="00D06117">
      <w:pPr>
        <w:pStyle w:val="TextoNormal"/>
      </w:pPr>
      <w:r>
        <w:t xml:space="preserve">Por su parte el impuesto autonómico de Cataluña sobre grandes establecimientos comerciales también es un tributo directo, real, objetivo y periódico, que grava únicamente un concreto tipo de actividad empresarial, la realizada por grandes establecimientos comerciales individuales de venta al detalle, siempre que se lleve a cabo utilizando grandes superficies, esto es, superficies de venta iguales o superiores a los 2.500 metros cuadrados. Ello supone que la actividad de comercio al por menor, realizada por los grandes establecimientos comerciales individuales, resulta gravada simultáneamente por ambos impuestos, y así </w:t>
      </w:r>
      <w:r>
        <w:lastRenderedPageBreak/>
        <w:t>se desprende no sólo del citado art. 78.1 de la Ley reguladora de las haciendas locales, precepto que se limita a regular un hecho imponible genérico, comprensivo de todo tipo de actividades económicas, sino del análisis de la clasificación de esas actividades económicas, detallada en el Real Decreto Legislativo 1175/1990, de 28 de septiembre, que aprueba las tarifas y la instrucción del impuesto sobre actividades económicas, que contiene un tipo de actividad económica, concretamente dentro del grupo 661 correspondiente al “comercio mixto o integrado en grandes superficies”, en el cual aparecen dos epígrafes, el 661.1, referido al “comercio en grandes almacenes, entendiendo por tales aquellos establecimientos que ofrecen un surtido amplio y, en general, profundo de varias gamas de productos (principalmente artículos para el equipamiento del hogar, confección, calzado, perfumería, alimentación, etc.), presentados en departamentos múltiples, en general con la asistencia de un personal de venta, y que ponen además diversos servicios a disposición de los clientes”; y el 661.2, relativo al “comercio en hipermercados, entendiendo por tales aquellos establecimientos que ofrecen principalmente en autoservicio un amplio surtido de productos alimenticios y no alimenticios de gran venta, que disponen, normalmente, de estacionamientos y ponen además diversos servicios a disposición de los clientes”.</w:t>
      </w:r>
    </w:p>
    <w:p w:rsidR="00D06117" w:rsidRDefault="00D06117" w:rsidP="00D06117">
      <w:pPr>
        <w:pStyle w:val="TextoNormal"/>
      </w:pPr>
    </w:p>
    <w:p w:rsidR="00D06117" w:rsidRDefault="00D06117" w:rsidP="00D06117">
      <w:pPr>
        <w:pStyle w:val="TextoNormal"/>
      </w:pPr>
      <w:r>
        <w:t>Una primera comparación de la regulación del hecho imponible de ambos impuestos permite concluir que nos encontramos ante dos impuestos, uno general, que afecta a todo tipo de actividades económicas, por su mero ejercicio, y que grava la riqueza potencial que se pone de manifiesto con el ejercicio de una actividad económica, de cualquier tipo y en cualquier circunstancia, y otro impuesto específico, que grava únicamente a determinadas actividades comerciales, las ejercidas por las grandes superficies comerciales individuales, que venden determinados productos, al por menor o al detalle, si bien configurando su actividad de un modo tal que se distinguen del resto de actividades comerciales, no por cuestiones de mera organización interna, sino por su repercusión sobre el consumo, la ordenación del territorio y el medio ambiente. Sin embargo estas diferencias entre los hechos imponibles de los impuestos examinados no son suficientes para entender superada la prohibición establecida en el art. 6.3 LOFCA.</w:t>
      </w:r>
    </w:p>
    <w:p w:rsidR="00D06117" w:rsidRDefault="00D06117" w:rsidP="00D06117">
      <w:pPr>
        <w:pStyle w:val="TextoNormal"/>
      </w:pPr>
    </w:p>
    <w:p w:rsidR="00D06117" w:rsidRDefault="00D06117" w:rsidP="00D06117">
      <w:pPr>
        <w:pStyle w:val="TextoNormal"/>
      </w:pPr>
      <w:r w:rsidRPr="00D06117">
        <w:rPr>
          <w:rStyle w:val="NumeroAFNegritaCaracter"/>
        </w:rPr>
        <w:t>7</w:t>
      </w:r>
      <w:r>
        <w:t>. Hemos dicho que la comparación de los preceptos dedicados a regular los elementos cuantitativos de estos dos impuestos también es un criterio susceptible de ser utilizado para distinguir sus hechos imponibles. Ambos impuestos recurren a la técnica de calcular su cuota fijando una cantidad por metro cuadrado de superficie del establecimiento comercial pero no computan la superficie de una forma idéntica. Es cierto que la superficie constituye, tanto en la ley autonómica como en la estatal, el parámetro que sirve para cuantificar la capacidad económica sometida a gravamen, pero los elementos tomados en consideración por ambos legisladores para realizar el cómputo no son los mismos.</w:t>
      </w:r>
    </w:p>
    <w:p w:rsidR="00D06117" w:rsidRDefault="00D06117" w:rsidP="00D06117">
      <w:pPr>
        <w:pStyle w:val="TextoNormal"/>
      </w:pPr>
    </w:p>
    <w:p w:rsidR="00D06117" w:rsidRDefault="00D06117" w:rsidP="00D06117">
      <w:pPr>
        <w:pStyle w:val="TextoNormal"/>
      </w:pPr>
      <w:r>
        <w:t xml:space="preserve">En el impuesto sobre grandes establecimientos comerciales la base imponible está constituida por “la superficie total del gran establecimiento comercial individual expresada en metros cuadrados” (art. 7) entendiendo por superficie total la suma de la superficie de venta; la destinada a almacenes, talleres, obradores y espacios de producción; y la superficie de aparcamiento, sobre la cual se aplican diversos coeficientes reductores, así como un mínimo exento de 2.499 metros. Después se calcula la base liquidable, aplicando un coeficiente reductor sólo a los establecimientos que ocupen una superficie de terreno en horizontal inferior a 10.000 metros cuadrados, que es de 0,6 si la superficie es menor a 5.000 metros cuadrados y de 0,8 si está entre 5.000 y 10.000 metros cuadrados (art. 8), cuyo objeto es reducir </w:t>
      </w:r>
      <w:r>
        <w:lastRenderedPageBreak/>
        <w:t>la base imponible de aquéllos grandes establecimientos que se dispongan en varias plantas, ocupando menos terreno. Finalmente la cuota se obtendrá multiplicando los metros cuadrados resultantes por de 17,429 €.</w:t>
      </w:r>
    </w:p>
    <w:p w:rsidR="00D06117" w:rsidRDefault="00D06117" w:rsidP="00D06117">
      <w:pPr>
        <w:pStyle w:val="TextoNormal"/>
      </w:pPr>
    </w:p>
    <w:p w:rsidR="00D06117" w:rsidRDefault="00D06117" w:rsidP="00D06117">
      <w:pPr>
        <w:pStyle w:val="TextoNormal"/>
      </w:pPr>
      <w:r>
        <w:t>En el impuesto sobre actividades económicas la superficie constituye un elemento fijo que elige el legislador como índice de riqueza en relación con este concreto sector económico. Esta elección tiene su origen en que la superficie comercial aparecía previamente gravada por el impuesto local de radicación, que fue derogado con la entrada en vigor del impuesto sobre actividades económicas. En realidad el impuesto sobre actividades económicas es un tributo que, al igual que otros impuestos “grava rentas presuntas que se ponen de manifiesto en el ejercicio de actividades económicas”, y en el cual se prevé su cuantificación en función de la intensidad en la realización del hecho imponible, del tiempo efectivo de ejercicio de la actividad económica (STC 193/2004, de 4 de noviembre, FJ 4), de modo que se presume, como regla general, que cuando una empresa de venta al por menor tiene una mayor superficie de venta el rendimiento económico de la misma también lo será, sin perjuicio de que puedan existir otras actividades también objeto de gravamen en que la superficie no constituya un índice de riqueza.</w:t>
      </w:r>
    </w:p>
    <w:p w:rsidR="00D06117" w:rsidRDefault="00D06117" w:rsidP="00D06117">
      <w:pPr>
        <w:pStyle w:val="TextoNormal"/>
      </w:pPr>
    </w:p>
    <w:p w:rsidR="00D06117" w:rsidRDefault="00D06117" w:rsidP="00D06117">
      <w:pPr>
        <w:pStyle w:val="TextoNormal"/>
      </w:pPr>
      <w:r>
        <w:t>En el impuesto sobre grandes establecimientos comerciales la superficie no es un mero índice de riqueza, utilizado para cuantificar el tributo, sino que sirve también para calificar el tipo de actividad gravada, y así identificar los sujetos pasivos que, a los efectos del impuesto, son grandes establecimientos comerciales. El elemento superficie es un presupuesto que ha de concurrir para que se realice el hecho imponible, pues sólo el ejercicio de éste determinado tipo de actividad es lo que ha querido gravar el legislador, porque considera que produce un impacto negativo sobre el medio ambiente, el territorio y el comercio tradicional. En definitiva, es dicho impacto negativo derivado de la mera existencia de estos grandes establecimientos comerciales individuales lo que pretende desincentivar el legislador autonómico con el pago de un impuesto, independientemente de la cuantía de los beneficios que pueda obtener, es decir, prescindiendo en la cuantificación del tributo del beneficio que obtenga por la realización de esta concreta actividad empresarial, sirviendo la recaudación del propio tributo para compensar “el impacto territorial y medioambiental que pueda ocasionar este fenómeno de concentración de grandes superficies comerciales” y atender a “las necesidades de modernización y fomento de comercio integrado en trama urbana”, según consta en la exposición de motivos de la ley, razón por la cual el art. 3 de la misma afecta el producto de dicha recaudación al “fomento de medidas para la modernización del comercio urbano” y al “desarrollo de planes de actuación en áreas afectadas por los emplazamientos de grandes establecimientos comerciales”.</w:t>
      </w:r>
    </w:p>
    <w:p w:rsidR="00D06117" w:rsidRDefault="00D06117" w:rsidP="00D06117">
      <w:pPr>
        <w:pStyle w:val="TextoNormal"/>
      </w:pPr>
    </w:p>
    <w:p w:rsidR="00D06117" w:rsidRDefault="00D06117" w:rsidP="00D06117">
      <w:pPr>
        <w:pStyle w:val="TextoNormal"/>
      </w:pPr>
      <w:r>
        <w:t>De cuanto acabamos de señalar se desprende, además y finalmente, que el tributo tiene, aunque sea parcialmente, una finalidad extrafiscal, lo que no puede dejar de tenerse en cuenta a la hora de establecer sus diferencias, tanto con el impuesto de actividades económicas como con el impuesto sobre bienes inmuebles.</w:t>
      </w:r>
    </w:p>
    <w:p w:rsidR="00D06117" w:rsidRDefault="00D06117" w:rsidP="00D06117">
      <w:pPr>
        <w:pStyle w:val="TextoNormal"/>
      </w:pPr>
    </w:p>
    <w:p w:rsidR="00D06117" w:rsidRDefault="00D06117" w:rsidP="00D06117">
      <w:pPr>
        <w:pStyle w:val="TextoNormal"/>
      </w:pPr>
      <w:r>
        <w:t xml:space="preserve">En conclusión,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lo cual conduce a desestimar el presente </w:t>
      </w:r>
      <w:r>
        <w:lastRenderedPageBreak/>
        <w:t>recurso de inconstitucionalidad, sin que sea preciso un pormenorizado análisis de las diferencias, por otro lado evidentes, entre el impuesto sobre grandes establecimientos comerciales y el impuesto sobre bienes inmuebles, habida cuenta de que, como se anticipó en su momento, el Abogado del Estado sólo lo formula de manera subsidiaria, para el caso de que se considere que el titular del gran establecimiento comercial sea el propietario del inmueble, circunstancia que, como hemos visto anteriormente, no se produce.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recurso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cinco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6" w:name="SENTENCIA_2012_123"/>
      <w:r>
        <w:lastRenderedPageBreak/>
        <w:t>SENTENCIA 123/2012, de 5 de junio de 2012</w:t>
      </w:r>
    </w:p>
    <w:bookmarkEnd w:id="12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ECLI:ES:TC:2012:123</w:t>
      </w:r>
    </w:p>
    <w:p w:rsidR="00D06117" w:rsidRDefault="00D06117" w:rsidP="00D06117">
      <w:pPr>
        <w:pStyle w:val="SntesisDescriptiva"/>
      </w:pPr>
    </w:p>
    <w:p w:rsidR="00D06117" w:rsidRDefault="00D06117" w:rsidP="00D06117">
      <w:pPr>
        <w:pStyle w:val="SntesisDescriptiva"/>
      </w:pPr>
      <w:r>
        <w:t>Conflicto positivo de competencia 7315-2005 . Planteado por el Consejo de Gobierno de la Junta de Andalucía en relación con diversos preceptos del Real Decreto 716/2005, de 20 de junio, por el que se restablece el funcionamiento de las apuestas hípicas externas de ámbito nacional y se autoriza su explotación a la entidad pública empresarial Loterías y Apuestas del Estado.</w:t>
      </w:r>
    </w:p>
    <w:p w:rsidR="00D06117" w:rsidRDefault="00D06117" w:rsidP="00D06117">
      <w:pPr>
        <w:pStyle w:val="SntesisDescriptiva"/>
      </w:pPr>
    </w:p>
    <w:p w:rsidR="00D06117" w:rsidRDefault="00D06117" w:rsidP="00D06117">
      <w:pPr>
        <w:pStyle w:val="SntesisAnaltica"/>
      </w:pPr>
      <w:r>
        <w:t>Competencias en materia de juego: validez de las disposiciones reglamentarias estatales (STC 32/2012).</w:t>
      </w:r>
    </w:p>
    <w:p w:rsidR="00D06117" w:rsidRDefault="00D06117" w:rsidP="00D06117">
      <w:pPr>
        <w:pStyle w:val="SntesisAnaltica"/>
      </w:pPr>
    </w:p>
    <w:p w:rsidR="00D06117" w:rsidRDefault="00D06117" w:rsidP="00D06117">
      <w:pPr>
        <w:pStyle w:val="Extracto"/>
      </w:pPr>
      <w:r>
        <w:t>1.</w:t>
      </w:r>
      <w:r>
        <w:tab/>
        <w:t>Reitera la doctrina sobre la delimitación competencial en materia de juegos y apuestas de las SSTC 32/2012 y 35/2012 [FJ 4].</w:t>
      </w:r>
    </w:p>
    <w:p w:rsidR="00D06117" w:rsidRDefault="00D06117" w:rsidP="00D06117">
      <w:pPr>
        <w:pStyle w:val="Extracto"/>
      </w:pPr>
    </w:p>
    <w:p w:rsidR="00D06117" w:rsidRDefault="00D06117" w:rsidP="00D06117">
      <w:pPr>
        <w:pStyle w:val="Extracto"/>
      </w:pPr>
      <w:r>
        <w:t>2.</w:t>
      </w:r>
      <w:r>
        <w:tab/>
        <w:t xml:space="preserve">Doctrina sobre la competencia del Estado, </w:t>
      </w:r>
      <w:r w:rsidRPr="00D06117">
        <w:rPr>
          <w:i/>
        </w:rPr>
        <w:t>ex</w:t>
      </w:r>
      <w:r>
        <w:t xml:space="preserve"> art. 149.1.14 CE, en la gestión del monopolio de la lotería nacional, la facultad para organizar loterías de ámbito nacional y el otorgamiento de las concesiones o autorizaciones administrativas para la celebración de sorteos, loterías, rifas, apuestas y combinaciones aleatorias en dicho ámbito (SSTC 163/1994, 171/1998) [FJ 4]. </w:t>
      </w:r>
    </w:p>
    <w:p w:rsidR="00D06117" w:rsidRDefault="00D06117" w:rsidP="00D06117">
      <w:pPr>
        <w:pStyle w:val="Extracto"/>
      </w:pPr>
    </w:p>
    <w:p w:rsidR="00D06117" w:rsidRDefault="00D06117" w:rsidP="00D06117">
      <w:pPr>
        <w:pStyle w:val="Extracto"/>
      </w:pPr>
      <w:r>
        <w:t>3.</w:t>
      </w:r>
      <w:r>
        <w:tab/>
        <w:t>Dado que la competencia de la Comunidad Autónoma en materia de juegos, apuestas y casinos se restringe a aquellos que se desarrollen con carácter exclusivo en el territorio autonómico, y que el real decreto deja claro que la regulación recae sobre las apuestas hípicas externas de ámbito nacional, debemos descartar la vulneración de las competencias autonómicas denunciadas y afirmar, por contra, que dichas competencias corresponden al Estado [FJ 5].</w:t>
      </w:r>
    </w:p>
    <w:p w:rsidR="00D06117" w:rsidRDefault="00D06117" w:rsidP="00D06117">
      <w:pPr>
        <w:pStyle w:val="Extracto"/>
      </w:pPr>
    </w:p>
    <w:p w:rsidR="00D06117" w:rsidRDefault="00D06117" w:rsidP="00D06117">
      <w:pPr>
        <w:pStyle w:val="Extracto"/>
      </w:pPr>
      <w:r>
        <w:t>4.</w:t>
      </w:r>
      <w:r>
        <w:tab/>
        <w:t>Al amparo del título competencial en materia de “hacienda general” el Estado está habilitado para establecer y gestionar apuestas y juegos de ámbito nacional, que se configuren como recurso ordinario de su hacienda, aunque no coincidan con la tradicional configuración de la Lotería nacional (STC 49/1995) [FJ 6].</w:t>
      </w:r>
    </w:p>
    <w:p w:rsidR="00D06117" w:rsidRDefault="00D06117" w:rsidP="00D06117">
      <w:pPr>
        <w:pStyle w:val="Extracto"/>
      </w:pPr>
    </w:p>
    <w:p w:rsidR="00D06117" w:rsidRDefault="00D06117" w:rsidP="00D06117">
      <w:pPr>
        <w:pStyle w:val="Extracto"/>
      </w:pPr>
      <w:r>
        <w:t>5.</w:t>
      </w:r>
      <w:r>
        <w:tab/>
        <w:t>Doctrina sobre gestión del monopolio de la lotería nacional (SSTC 163/1994, 171/1998) [FJ 6].</w:t>
      </w:r>
    </w:p>
    <w:p w:rsidR="00D06117" w:rsidRDefault="00D06117" w:rsidP="00D06117">
      <w:pPr>
        <w:pStyle w:val="Extracto"/>
      </w:pPr>
    </w:p>
    <w:p w:rsidR="00D06117" w:rsidRDefault="00D06117" w:rsidP="00D06117">
      <w:pPr>
        <w:pStyle w:val="Extracto"/>
      </w:pPr>
      <w:r>
        <w:t>6.</w:t>
      </w:r>
      <w:r>
        <w:tab/>
        <w:t>El Estado es competente para regular no sólo sus propios tributos, sino también el marco general de todo el sistema tributario y la delimitación de las competencias financieras de las Comunidades Autónomas respecto de las del propio Estado (STC 72/2003, 32/2012) [FJ 7].</w:t>
      </w:r>
    </w:p>
    <w:p w:rsidR="00D06117" w:rsidRDefault="00D06117" w:rsidP="00D06117">
      <w:pPr>
        <w:pStyle w:val="Extracto"/>
      </w:pPr>
    </w:p>
    <w:p w:rsidR="00D06117" w:rsidRDefault="00D06117" w:rsidP="00D06117">
      <w:pPr>
        <w:pStyle w:val="Extracto"/>
      </w:pPr>
      <w:r>
        <w:t>7.</w:t>
      </w:r>
      <w:r>
        <w:tab/>
        <w:t xml:space="preserve">Dada la competencia del Estado para la creación y autorización de las apuestas hípicas, el hecho de que dicha autorización pueda eventualmente reducir los ingresos autonómicos que derivan de la explotación en el territorio andaluz de un </w:t>
      </w:r>
      <w:r>
        <w:lastRenderedPageBreak/>
        <w:t>juego de similares características no es criterio adecuado para expresar las necesidades de financiación autonómica, y, por tanto, capaz de lesionar el principio de suficiencia financiera que se denuncia (STC 32/2012)  [FJ 7].</w:t>
      </w:r>
    </w:p>
    <w:p w:rsidR="00D06117" w:rsidRDefault="00D06117" w:rsidP="00D06117">
      <w:pPr>
        <w:pStyle w:val="Extracto"/>
      </w:pPr>
    </w:p>
    <w:p w:rsidR="00D06117" w:rsidRDefault="00D06117" w:rsidP="00D06117">
      <w:pPr>
        <w:pStyle w:val="Extracto"/>
      </w:pPr>
      <w:r>
        <w:t>8.</w:t>
      </w:r>
      <w:r>
        <w:tab/>
        <w:t>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32/2012) [FJ 7].</w:t>
      </w:r>
    </w:p>
    <w:p w:rsidR="00D06117" w:rsidRDefault="00D06117" w:rsidP="00D06117">
      <w:pPr>
        <w:pStyle w:val="Extracto"/>
      </w:pPr>
    </w:p>
    <w:p w:rsidR="00D06117" w:rsidRDefault="00D06117" w:rsidP="00D06117">
      <w:pPr>
        <w:pStyle w:val="Extracto"/>
      </w:pPr>
      <w:r>
        <w:t>9.</w:t>
      </w:r>
      <w:r>
        <w:tab/>
        <w:t>Aplica la doctrina sobre los principios de autonomía y suficiencia financiera de las Comunidades autónomas de las SSTC 32/2012 y 35/2012  [FJ 7].</w:t>
      </w:r>
    </w:p>
    <w:p w:rsidR="00D06117" w:rsidRDefault="00D06117" w:rsidP="00D06117">
      <w:pPr>
        <w:pStyle w:val="Extracto"/>
      </w:pPr>
    </w:p>
    <w:p w:rsidR="00D06117" w:rsidRDefault="00D06117" w:rsidP="00D06117">
      <w:pPr>
        <w:pStyle w:val="Extracto"/>
      </w:pPr>
      <w:r>
        <w:t>10.</w:t>
      </w:r>
      <w:r>
        <w:tab/>
        <w:t>Doctrina sobre el principio de lealtad constitucional en las relaciones financieras (SSTC 209/1990, 204/2011)  [FJ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7315-2005 planteado por el Consejo de Gobierno de la Junta de Andalucía en relación con los artículos 1, 2, 3, 4 y disposición final primera del Real Decreto 716/2005, de 20 de junio, por el que se restablece el funcionamiento de las apuestas hípicas externas de ámbito nacional y se autoriza su explotación a la entidad pública empresarial Loterías y Apuestas del Estado. Ha formulado alegaciones el Abogado del Estado.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El 19 de octubre de 2005 tuvo entrada en el Registro General de este Tribunal Constitucional, escrito del Letrado de la Junta de Andalucía por el que, en la representación que ostenta, interpone conflicto positivo de competencia, tramitado con el número 7315-2005, en relación con los artículos 1, 2, 3, 4 y disposición final primera del Real Decreto 716/2005, de 20 de junio, por el que se restablece el funcionamiento de las apuestas hípicas externas </w:t>
      </w:r>
      <w:r>
        <w:lastRenderedPageBreak/>
        <w:t>de ámbito nacional y se autoriza su explotación a la entidad pública empresarial Loterías y Apuestas del Estado.</w:t>
      </w:r>
    </w:p>
    <w:p w:rsidR="00D06117" w:rsidRDefault="00D06117" w:rsidP="00D06117">
      <w:pPr>
        <w:pStyle w:val="TextoNormal"/>
      </w:pPr>
    </w:p>
    <w:p w:rsidR="00D06117" w:rsidRDefault="00D06117" w:rsidP="00D06117">
      <w:pPr>
        <w:pStyle w:val="TextoNormal"/>
      </w:pPr>
      <w:r>
        <w:t>Tras dar cuenta de los términos en que se dio cumplimiento al trámite del requerimiento previo de incompetencia, se señala por el Letrado que el conflicto se sustenta en la vulneración de la competencia exclusiva que la Comunidad Autónoma ostenta en materia de “casinos, juegos y apuestas, con exclusión de las apuestas mutuas deportivo-benéficas” en virtud de lo dispuesto en el artículo 13.33 de su Estatuto de Autonomía. Y dado que en el art. 149.1 CE no se reserva al Estado competencia alguna en esta materia, entiende que corresponde a la Comunidad la competencia exclusiva para establecer la política de juego y para regular y gestionar esta materia.</w:t>
      </w:r>
    </w:p>
    <w:p w:rsidR="00D06117" w:rsidRDefault="00D06117" w:rsidP="00D06117">
      <w:pPr>
        <w:pStyle w:val="TextoNormal"/>
      </w:pPr>
    </w:p>
    <w:p w:rsidR="00D06117" w:rsidRDefault="00D06117" w:rsidP="00D06117">
      <w:pPr>
        <w:pStyle w:val="TextoNormal"/>
      </w:pPr>
      <w:r>
        <w:t>Señala el representante de la Junta de Andalucía que siendo pacífico en la doctrina constitucional que la competencia sobre juego corresponde, en su territorio, a la Comunidad Autónoma, no resulta aceptable un trasvase al Estado de la mencionada competencia, con un argumento puramente histórico, de “restablecimiento” de un juego que “ya ha existido a nivel nacional”, pues las razones históricas no sirven para fundar un supuesto derecho para la atribución de competencias en una materia. El Real Decreto 716/2005, tal y como resulta de su exposición de motivos, restablece las “apuestas hípicas externas de ámbito nacional”, creadas por Decreto de 27 de junio de 1957, y entroncando con su objetivo inicial, que era exclusivamente contribuir a la financiación del hipódromo de la Zarzuela, la normativa actual lo amplia a la posible “financiación de los hipódromos” con carácter general, y al resurgimiento “de la industria de las carreras de caballos en España”. Ello implica que se vulneran las competencias autonómicas en materia de juego, a los solos efectos de lograr una parcial financiación de un hipódromo estatal, perjudicando así los intereses públicos autonómicos, sin que sea tampoco de recibo la motivación dirigida a evitar un deterioro de la industria de las carreras en España, pues el gran número de carreras de caballos celebradas en Andalucía hace que no pueda mantenerse este argumento.</w:t>
      </w:r>
    </w:p>
    <w:p w:rsidR="00D06117" w:rsidRDefault="00D06117" w:rsidP="00D06117">
      <w:pPr>
        <w:pStyle w:val="TextoNormal"/>
      </w:pPr>
    </w:p>
    <w:p w:rsidR="00D06117" w:rsidRDefault="00D06117" w:rsidP="00D06117">
      <w:pPr>
        <w:pStyle w:val="TextoNormal"/>
      </w:pPr>
      <w:r>
        <w:t>En segundo lugar, considera la Comunidad Autónoma, con expresa referencia a la doctrina constitucional recaída en esta materia, que la norma objeto de conflicto tiene por objeto la instauración de un juego que no resulta asimilable a los que han sido objeto de la jurisprudencia constitucional, pues no puede predicarse del mismo la afectación al ámbito del monopolio del Estado sobre la lotería, justificador de la competencia del art. 149.1.14 CE, ni el interés supracomunitario de la materia. El concepto de hacienda general a que alude el citado precepto constitucional no puede identificarse ya, como hacían las SSTC 163/1994 y 171/1998, con el de hacienda pública estatal, sino que, conforme a la STC 233/1999, es un concepto interconectado con los principios de coordinación (art. 156 CE), autonomía financiera (art. 157 CE) y suficiencia financiera de las entidades locales (art. 142 CE), lo que implica que para que el Estado pueda invocar la competencia general que deriva del art. 149.1.14 CE es preciso que “se trate de poner en marcha el principio de coordinación que prevé el art. 156 CE, llevando al Consejo de Política Fiscal y Financiera la intención de la adopción de dicha regulación o que se trate de proveer lo necesario en orden a garantizar la autonomía financiera de las Comunidades Autónomas para el ejercicio de sus competencias (art. 157 CE)”, y ninguna de estas condiciones legitimadoras se cumple en el supuesto examinado.</w:t>
      </w:r>
    </w:p>
    <w:p w:rsidR="00D06117" w:rsidRDefault="00D06117" w:rsidP="00D06117">
      <w:pPr>
        <w:pStyle w:val="TextoNormal"/>
      </w:pPr>
    </w:p>
    <w:p w:rsidR="00D06117" w:rsidRDefault="00D06117" w:rsidP="00D06117">
      <w:pPr>
        <w:pStyle w:val="TextoNormal"/>
      </w:pPr>
      <w:r>
        <w:lastRenderedPageBreak/>
        <w:t>Respecto a la “supraterritorialidad del fenómeno” se advierte que el interés supracomunitario se relaciona con la necesidad de evitar vacíos normativos, y en materia de juego tal vacío no existe, tras la asunción generalizada por las Comunidades Autónomas de competencias en materia de juegos y apuestas, sin que el interés general o suprautonómico pueda identificarse con los ingresos que la explotación de una actividad de juego pueda suponer para la hacienda estatal. No se dan los supuestos en que el Tribunal excepciona su tesis general sobre la inidoneidad de esta circunstancia como criterio atributivo de competencia a favor del Estado (SSTC 329/1993 y 102/1995), dado que el fenómeno del juego es susceptible de ser compartimentado, sin que la atribución de competencias exclusivas a las Comunidades Autónomas plantee situaciones que no puedan solucionarse mediante la utilización de los correspondientes mecanismos de coordinación, ni de ella deriven supuestos estados de necesidad que hagan irremediable la intervención del Estado como única forma de salvaguardar valores superiores en peligro inminente, ni existe siquiera un interés general que justifique esta nueva autoatribución.</w:t>
      </w:r>
    </w:p>
    <w:p w:rsidR="00D06117" w:rsidRDefault="00D06117" w:rsidP="00D06117">
      <w:pPr>
        <w:pStyle w:val="TextoNormal"/>
      </w:pPr>
    </w:p>
    <w:p w:rsidR="00D06117" w:rsidRDefault="00D06117" w:rsidP="00D06117">
      <w:pPr>
        <w:pStyle w:val="TextoNormal"/>
      </w:pPr>
      <w:r>
        <w:t>En cuanto a los concretos artículos impugnados, considera el representante de la Junta de Andalucía que la declaración de inconstitucionalidad debe extenderse a todo el articulado. En el caso de los artículos 1 y 2, con la regulación de la nueva modalidad de juego se merman de manera evidente los ingresos de la Comunidad Autónoma, en cuanto se incide en el mercado del juego, provocando un retraimiento del jugador del sector privado a favor de los juegos públicos, con consecuencia directa en los ingresos de la Comunidad Autónoma en cuanto a las tasas fiscales sobre juego que dejaría de percibir. La posibilidad de celebrar convenios con otras entidades gestoras o titulares de hipódromos no salva el vicio de inconstitucionalidad, pues no constituye una referencia al bloque de constitucionalidad, único punto de referencia del conflicto de competencia. En cuanto al art. 3, se alega que las apuestas hípicas no son deportivas, dado que las carreras de caballos no constituyen modalidad deportiva federada, ni tienen el carácter de benéficas, pues el producto de las mismas va destinado a sufragar el mantenimiento de un hipódromo en Madrid. El art. 4 y la disposición final primera se cuestionan por entender que contienen aspectos instrumentales y organizativos que menoscaban la competencia autonómica, al atribuir al organismo nacional Loterías y Apuestas del Estado la competencia para la organización y explotación de este juego, así como la competencia para regular los procedimientos y la gestión.</w:t>
      </w:r>
    </w:p>
    <w:p w:rsidR="00D06117" w:rsidRDefault="00D06117" w:rsidP="00D06117">
      <w:pPr>
        <w:pStyle w:val="TextoNormal"/>
      </w:pPr>
    </w:p>
    <w:p w:rsidR="00D06117" w:rsidRDefault="00D06117" w:rsidP="00D06117">
      <w:pPr>
        <w:pStyle w:val="TextoNormal"/>
      </w:pPr>
      <w:r>
        <w:t>El escrito concluye con una mención específica a la conculcación del principio de lealtad institucional, que deriva del hecho de que se ha obviado el parecer de las Comunidades Autónomas en la redacción del real decreto. Se explicita que el proyecto fue remitido a informe de la Junta de Andalucía, siendo aprobado por el Consejo de Ministros ocho días más tarde, sin contar con el parecer de la Junta. A su juicio el mencionado principio no se respeta con el simple acto formal de puesta en conocimiento, sino que es necesario que se dé oportunidad a las Comunidades Autónomas para la defensa de sus posiciones, lo que en el presente supuesto no ha acaecido, e implica la infracción de la doctrina constitucional sobre el respeto a los principios de cooperación, colaboración y mutuo auxilio, así como la lealtad, que resulta consustancial al modelo de organización territorial del Estado (cfr. SSTC 15/1982, 18/1982, 76/1983 y 67/1984).</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Este Tribunal, mediante providencia de la Sección Cuarta, de 22 de noviembre de 2005, admitió a trámite el conflicto positivo de competencia planteado por la Junta de Andalucía, acordando dar traslado de las actuaciones al Gobierno de la Nación, por conducto </w:t>
      </w:r>
      <w:r>
        <w:lastRenderedPageBreak/>
        <w:t>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“Boletín Oficial de la Junta de Andalucía”.</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escrito que tuvo entrada en este Tribunal el 7 de diciembre de 2005, el Abogado del Estado solicitó, dada la acumulación de asuntos pendientes ante ese servicio jurídico, una prórroga hasta el máximo legal, del plazo concedido para alegaciones. La Sección Cuarta, mediante providencia de 12 de diciembre de 2005, acordó incorporar a las actuaciones el escrito del Abogado del Estado y atender su solicitud, ampliando en diez días el plazo originalmente concedido.</w:t>
      </w:r>
    </w:p>
    <w:p w:rsidR="00D06117" w:rsidRDefault="00D06117" w:rsidP="00D06117">
      <w:pPr>
        <w:pStyle w:val="TextoNormal"/>
      </w:pPr>
    </w:p>
    <w:p w:rsidR="00D06117" w:rsidRDefault="00D06117" w:rsidP="00D06117">
      <w:pPr>
        <w:pStyle w:val="TextoNormal"/>
      </w:pPr>
      <w:r w:rsidRPr="00D06117">
        <w:rPr>
          <w:rStyle w:val="NumeroAFNegritaCaracter"/>
        </w:rPr>
        <w:t>4</w:t>
      </w:r>
      <w:r>
        <w:t>. El 12 de enero de 2006 tuvo entrada en este Tribunal escrito de alegaciones del Abogado del Estado en el que solicita que se tenga por evacuado el trámite conferido y que, en su día, se dicte sentencia desestimatoria de la demanda, declarando que la competencia controvertida corresponde al Estado.</w:t>
      </w:r>
    </w:p>
    <w:p w:rsidR="00D06117" w:rsidRDefault="00D06117" w:rsidP="00D06117">
      <w:pPr>
        <w:pStyle w:val="TextoNormal"/>
      </w:pPr>
    </w:p>
    <w:p w:rsidR="00D06117" w:rsidRDefault="00D06117" w:rsidP="00D06117">
      <w:pPr>
        <w:pStyle w:val="TextoNormal"/>
      </w:pPr>
      <w:r>
        <w:t>El Abogado del Estado formula sus alegaciones sustantivas partiendo de un recordatorio detallado de la doctrina constitucional decantada en relación con el reparto competencial en materia de “juegos y apuestas”, con especial referencia a la recogida en la STC 171/1998, que transcribe en varios de sus fundamentos. Esta doctrina, en su criterio, habría puesto de manifiesto que la competencia exclusiva que determinadas Comunidades Autónomas han asumido en materia de casinos, juegos y apuestas, comprende la de organizar y autorizar la celebración de juegos en el territorio de la Comunidad Autónoma, precisamente en dicho territorio, pero no la de cualquier juego en todo el territorio nacional puesto que el Estatuto de Autonomía limita al territorio de la Comunidad Autónoma el ámbito en el que han de desenvolverse sus competencias. Por otra parte,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A juicio del Abogado del Estado, de la doctrina constitucional en la materia cabe extraer tres conclusiones: que la competencia exclusiva de las Comunidades Autónomas queda circunscrita a la organización de juegos y apuestas regionales; que en virtud del título competencial sobre hacienda general, el Estado, en ejercicio de su poder financiero, puede establecer juegos y apuestas de ámbito nacional que constituyan recurso ordinario de su hacienda y que conecten con el antiguo monopolio fiscal, y que el Estado tiene competencia exclusiva sobre apuestas mutuas deportivo-benéficas, que incluye la llamada quiniela de fútbol, pero no solo ésta, sino cualquier otra apuesta deportiva que reúna análogos caracteres.</w:t>
      </w:r>
    </w:p>
    <w:p w:rsidR="00D06117" w:rsidRDefault="00D06117" w:rsidP="00D06117">
      <w:pPr>
        <w:pStyle w:val="TextoNormal"/>
      </w:pPr>
    </w:p>
    <w:p w:rsidR="00D06117" w:rsidRDefault="00D06117" w:rsidP="00D06117">
      <w:pPr>
        <w:pStyle w:val="TextoNormal"/>
      </w:pPr>
      <w:r>
        <w:lastRenderedPageBreak/>
        <w:t>Se rebate a continuación el argumento expuesto por la representación autonómica de que el real decreto afecte a la competencia de la Junta de Andalucía en materia de juegos y apuestas, pues de acuerdo con el art. 2.2 del mismo, en la apuesta hípica que se restablece, principalmente se incluirán las carreras que se celebren en un hipódromo estatal, como el de la Zarzuela, y en su caso, las que tengan lugar en otros hipódromos con los que se haya celebrado el oportuno contrato o convenio, por lo que no se incluye ninguna carrera que se haya de celebrar en Andalucía, salvo que previamente se convenga con la Junta. En definitiva, la apuesta se configura sobre carreras que se desarrollan fuera de Andalucía, o en Andalucía con el acuerdo de la Junta y los ingresos se destinarán a financiar un hipódromo estatal situado fuera de aquella Comunidad Autónoma, por lo que no parece que exista un punto de conexión con la competencia autonómica.</w:t>
      </w:r>
    </w:p>
    <w:p w:rsidR="00D06117" w:rsidRDefault="00D06117" w:rsidP="00D06117">
      <w:pPr>
        <w:pStyle w:val="TextoNormal"/>
      </w:pPr>
    </w:p>
    <w:p w:rsidR="00D06117" w:rsidRDefault="00D06117" w:rsidP="00D06117">
      <w:pPr>
        <w:pStyle w:val="TextoNormal"/>
      </w:pPr>
      <w:r>
        <w:t>El Abogado del Estado sustenta como argumento principal que las apuestas hípicas se insertan en el ámbito de las competencias estatales en relación con las denominadas “apuestas mutas deportivo-benéficas”, que resultan expresamente excluidas de la competencia atribuida a la Comunidad Autónoma en el art. 13.33 de su Estatuto de Autonomía. Frente a lo señalado al respecto en la demanda, considera que las apuestas hípicas son apuestas deportivas, siendo a estos efectos irrelevante, que las carreras de caballos constituyan o no una modalidad deportiva federada; recuerda que la propia normativa andaluza las considera como actividad deportiva (arts. 1.1.12 y 10 del reglamento de hipódromos y apuestas hípicas 295/1995, de 19 de diciembre) y el título competencial no hablan de modalidad federada sino únicamente deportivo-benéfica. El carácter deportivo de esta actividad se considera indubitado, aludiendo a la definición que del deporte se hace en el diccionario de la Real Academia Española, y su inclusión en el concepto que se examina ha sido reconocido por este Alto Tribunal, cuando declaró que la competencia estatal no se circunscribe a las “llamadas quinielas de fútbol sino que se extiende a cualesquiera otros concursos de pronósticos que se realicen sobre resultados deportivos que reúnan el doble carácter de mutuos y benéficos” (STC 163/1994, FJ 9), ámbito en el que se incluiría la quiniela hípica, como expresamente ha declarado la propia jurisprudencia del Tribunal Supremo. A juicio de la Abogacía del Estado, el carácter benéfico resulta del destino previsto para la recaudación que, como señala la exposición de motivos de la norma, es el de garantizar la “financiación de los hipódromos” y, en general, coadyuvar el resurgimiento del sector económico de las carreras de caballos y de la cría caballar, a lo que se añade la finalidad de dotar de recursos a todos los hipódromos que decidan incorporarse al sistema de apuestas mediante los convenios o contratos previstos en el art. 2; y es precisamente la pretensión de financiar la actividad sobre la que se configura la apuesta, el común denominador de todas las apuestas mutuas deportivo-benéficas, incluida la quiniela de fútbol.</w:t>
      </w:r>
    </w:p>
    <w:p w:rsidR="00D06117" w:rsidRDefault="00D06117" w:rsidP="00D06117">
      <w:pPr>
        <w:pStyle w:val="TextoNormal"/>
      </w:pPr>
    </w:p>
    <w:p w:rsidR="00D06117" w:rsidRDefault="00D06117" w:rsidP="00D06117">
      <w:pPr>
        <w:pStyle w:val="TextoNormal"/>
      </w:pPr>
      <w:r>
        <w:t xml:space="preserve">Con carácter secundario, y para el supuesto de que no se admita lo anterior, se afirma que el título competencial del art. 149.1.14 CE ampara la norma dictada. El título de hacienda general comprende el de la propia hacienda estatal, donde la soberanía financiera hace que sea amplio el poder de intervención del Estado, y el de coordinación con las restantes haciendas, para que efectivamente pueda hablarse de una hacienda general. La soberanía financiera del Estado incluye, no sólo la potestad tributaria, sino también la capacidad de gestionar juegos y apuestas de ámbito nacional derivadas o complementarias del antiguo monopolio fiscal, que generen recursos ordinarios de su presupuesto, aunque no coincidan con la tradicional configuración de la Lotería nacional; y la apuesta hípica, tal y como aparece configurada en la normativa de desarrollo del real decreto, tiene un carácter mixto entre </w:t>
      </w:r>
      <w:r>
        <w:lastRenderedPageBreak/>
        <w:t>lotería y apuesta deportiva, que permite ampararla en el concepto amplio de lotería y, por tanto, recurso ordinario de la hacienda estatal. El art. 3 del real decreto configura parcialmente esta apuesta como recurso ordinario de la hacienda y como tal ha de enjuiciarse, independientemente de su rendimiento, como pretende la Comunidad Autónoma.</w:t>
      </w:r>
    </w:p>
    <w:p w:rsidR="00D06117" w:rsidRDefault="00D06117" w:rsidP="00D06117">
      <w:pPr>
        <w:pStyle w:val="TextoNormal"/>
      </w:pPr>
    </w:p>
    <w:p w:rsidR="00D06117" w:rsidRDefault="00D06117" w:rsidP="00D06117">
      <w:pPr>
        <w:pStyle w:val="TextoNormal"/>
      </w:pPr>
      <w:r>
        <w:t>Por último, y respecto a la alegada supraterritorialidad, considera el escrito que el Estado tiene poder financiero sólo limitado por las competencias autonómicas y éstas, en el ámbito que nos ocupa, se circunscriben a la organización y gestión de juegos y apuestas autonómicos, lo que no impide, por tanto que el Estado organice y gestione, en ejercicio de su poder financiero, juegos y apuestas de ámbito nacional. No cabe, como pretende la Comunidad Autónoma, la opción de territorialización, pues se trata de integrar en un solo boletín carreras de hipódromos sitos en diversas partes del territorio, que se adhieran al juego, y la territorialización reclamada resulta de la distribución del rendimiento a la región que organiza la carrera a través del convenio con el hipódromo en cuestión.</w:t>
      </w:r>
    </w:p>
    <w:p w:rsidR="00D06117" w:rsidRDefault="00D06117" w:rsidP="00D06117">
      <w:pPr>
        <w:pStyle w:val="TextoNormal"/>
      </w:pPr>
    </w:p>
    <w:p w:rsidR="00D06117" w:rsidRDefault="00D06117" w:rsidP="00D06117">
      <w:pPr>
        <w:pStyle w:val="TextoNormal"/>
      </w:pPr>
      <w:r w:rsidRPr="00D06117">
        <w:rPr>
          <w:rStyle w:val="NumeroAFNegritaCaracter"/>
        </w:rPr>
        <w:t>5</w:t>
      </w:r>
      <w:r>
        <w:t>. El 17 de enero de 2006 se recibe escrito de la Sala Tercera del Tribunal Supremo en el que se comunica que, habiéndose acordado la suspensión del trámite del recurso seguido en esa Sala a instancia de Procurador actuante en nombre y representación del Gobierno Vasco contra el Real Decreto 716/2005, de 20 de junio, se solicita que se comunique a esa Sala la resolución que en su día recaiga sobre el presente conflicto positivo de competencia.</w:t>
      </w:r>
    </w:p>
    <w:p w:rsidR="00D06117" w:rsidRDefault="00D06117" w:rsidP="00D06117">
      <w:pPr>
        <w:pStyle w:val="TextoNormal"/>
      </w:pPr>
    </w:p>
    <w:p w:rsidR="00D06117" w:rsidRDefault="00D06117" w:rsidP="00D06117">
      <w:pPr>
        <w:pStyle w:val="TextoNormal"/>
      </w:pPr>
      <w:r w:rsidRPr="00D06117">
        <w:rPr>
          <w:rStyle w:val="NumeroAFNegritaCaracter"/>
        </w:rPr>
        <w:t>6</w:t>
      </w:r>
      <w:r>
        <w:t>. Por providencia de 5 de junio de 2012 se acordó señalar para deliberación y votación de la presente Sentencia el mismo día.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la Junta de Andalucía en relación con los artículos 1, 2, 3, 4 y disposición final primera del Real Decreto 716/2005, de 20 de junio, por el que se restablece el funcionamiento de las apuestas hípicas externas de ámbito nacional y se autoriza su explotación a la entidad pública empresarial Loterías y Apuestas del Estado.</w:t>
      </w:r>
    </w:p>
    <w:p w:rsidR="00D06117" w:rsidRDefault="00D06117" w:rsidP="00D06117">
      <w:pPr>
        <w:pStyle w:val="TextoNormal"/>
      </w:pPr>
    </w:p>
    <w:p w:rsidR="00D06117" w:rsidRDefault="00D06117" w:rsidP="00D06117">
      <w:pPr>
        <w:pStyle w:val="TextoNormal"/>
      </w:pPr>
      <w:r>
        <w:t>La Junta de Andalucía denuncia que el real decreto impugnado vulnera la competencia exclusiva que, en materia de juegos y apuestas le reconoce el art. 13.33 de su Estatuto de Autonomía; tiene por objeto la instauración de un juego que no encuentra amparo en el art. 149.1.14 CE pues no afecta al ámbito del monopolio estatal de la lotería, justificador de la mencionada competencia, e infringe lo dispuesto en los arts. 156 y 157 CE por ausencia de la necesaria observancia del principio de coordinación y autonomía financiera de las Comunidades Autónomas.</w:t>
      </w:r>
    </w:p>
    <w:p w:rsidR="00D06117" w:rsidRDefault="00D06117" w:rsidP="00D06117">
      <w:pPr>
        <w:pStyle w:val="TextoNormal"/>
      </w:pPr>
    </w:p>
    <w:p w:rsidR="00D06117" w:rsidRDefault="00D06117" w:rsidP="00D06117">
      <w:pPr>
        <w:pStyle w:val="TextoNormal"/>
      </w:pPr>
      <w:r>
        <w:t xml:space="preserve">El Abogado del Estado considera por el contrario, que las apuestas hípicas se insertan en el ámbito de las competencias estatales sobre apuestas mutuas deportivo-benéficas, expresamente excluidas de la competencia atribuida a la Comunidad Autónoma en materia de juego, y resultan, además, amparadas por el título competencial previsto en el art. 149.1.14 CE, en cuanto la soberanía financiera del Estado incluye la capacidad de gestionar juegos y apuestas de ámbito nacional, derivadas o complementarias del antiguo monopolio fiscal, </w:t>
      </w:r>
      <w:r>
        <w:lastRenderedPageBreak/>
        <w:t>que generen recursos ordinarios de su presupuesto y niega que el legítimo ejercicio de esa competencia condicione los mecanismos de coordinación o autonomía financiera.</w:t>
      </w:r>
    </w:p>
    <w:p w:rsidR="00D06117" w:rsidRDefault="00D06117" w:rsidP="00D06117">
      <w:pPr>
        <w:pStyle w:val="TextoNormal"/>
      </w:pPr>
    </w:p>
    <w:p w:rsidR="00D06117" w:rsidRDefault="00D06117" w:rsidP="00D06117">
      <w:pPr>
        <w:pStyle w:val="TextoNormal"/>
      </w:pPr>
      <w:r w:rsidRPr="00D06117">
        <w:rPr>
          <w:rStyle w:val="NumeroAFNegritaCaracter"/>
        </w:rPr>
        <w:t>2</w:t>
      </w:r>
      <w:r>
        <w:t>. El Real Decreto 716/2005, sobre el que versa el presente conflicto, tiene por objeto restablecer el funcionamiento de las apuestas hípicas externas de ámbito nacional que, según se detalla en su preámbulo, fueron autorizadas por Decreto de 27 de junio de 1957, sobrevivieron hasta el cierre del hipódromo de Madrid en 1996, siendo suprimida la autorización para su explotación en virtud de la derogación expresa de los arts. 3 y 4 del decreto anterior, por la Ley 24/2001, de 27 de diciembre, de medidas fiscales, administrativas y del orden social. Las razones que motivan la presente regulación se concretan en el texto del preámbulo del real decreto cuestionado en “que un elemento fundamental de financiación de los hipódromos es la apuesta hípica externa”, así como en el hecho de que la industria de las carreras de caballos en España se ha ido deteriorando en beneficio de países limítrofes desde el cierre del hipódromo de la Zarzuela, “por lo que su apertura debe conllevar el resurgimiento de este importante sector económico”.</w:t>
      </w:r>
    </w:p>
    <w:p w:rsidR="00D06117" w:rsidRDefault="00D06117" w:rsidP="00D06117">
      <w:pPr>
        <w:pStyle w:val="TextoNormal"/>
      </w:pPr>
    </w:p>
    <w:p w:rsidR="00D06117" w:rsidRDefault="00D06117" w:rsidP="00D06117">
      <w:pPr>
        <w:pStyle w:val="TextoNormal"/>
      </w:pPr>
      <w:r>
        <w:t>El artículo 1 define las apuestas hípicas como “un concurso de pronósticos de carácter mutuo” que se desarrolla en el territorio del Estado y se formula, de forma total o parcial, respecto del resultado oficial de una o varias carreras de caballos; en el artículo 2 se autoriza a la entidad pública empresarial Loterías y Apuestas del Estado para desarrollar y explotar estas apuestas, que tienen como soporte las carreras de caballos que se seleccionen de las que se desarrollen en el hipódromo de la Zarzuela o en otros hipódromos, a cuyo efecto se autoriza a dicha entidad a celebrar los contratos y convenios que sean necesarios; el artículo 3 contempla la distribución de la recaudación; el artículo 4 atribuye a Loterías y Apuestas del Estado la dirección y organización de la apuesta; y la disposición final primera autoriza a dicha entidad para dictar las resoluciones de desarrollo para la gestión de la misma o la regulación de los procedimientos de funcionamiento.</w:t>
      </w:r>
    </w:p>
    <w:p w:rsidR="00D06117" w:rsidRDefault="00D06117" w:rsidP="00D06117">
      <w:pPr>
        <w:pStyle w:val="TextoNormal"/>
      </w:pPr>
    </w:p>
    <w:p w:rsidR="00D06117" w:rsidRDefault="00D06117" w:rsidP="00D06117">
      <w:pPr>
        <w:pStyle w:val="TextoNormal"/>
      </w:pPr>
      <w:r w:rsidRPr="00D06117">
        <w:rPr>
          <w:rStyle w:val="NumeroAFNegritaCaracter"/>
        </w:rPr>
        <w:t>3</w:t>
      </w:r>
      <w:r>
        <w:t>. Así expuestos los términos de la controversia trabada entre las partes, para su resolución debemos tener en cuenta dos aspectos. Por una parte, y en cuanto al objeto del conflicto, hemos de estar a lo solicitado en el suplico de la demanda que “es la parte decisiva para reconocer y concretar el objeto de todo recurso” (STC 195/1998, de 1 de octubre), en el cual se solicita que “se anulen los arts. 1, 2, 3 y 4 así como la disposición final primera del Real Decreto 716/2005”. Pese a esta específica acotación de los preceptos que son objeto del conflicto, éste se dirige de facto contra la totalidad del real decreto, habida cuenta de que únicamente resulta excluida del mismo la disposición final segunda, que se limita a establecer la fecha de entrada en vigor de la disposición recurrida; y así parece entenderlo también el representante de la Junta de Andalucía en el texto de la demanda, en donde expresamente se alude al alcance de la pretensión, “extendiéndose la declaración de inconstitucionalidad a todo su articulado”.</w:t>
      </w:r>
    </w:p>
    <w:p w:rsidR="00D06117" w:rsidRDefault="00D06117" w:rsidP="00D06117">
      <w:pPr>
        <w:pStyle w:val="TextoNormal"/>
      </w:pPr>
    </w:p>
    <w:p w:rsidR="00D06117" w:rsidRDefault="00D06117" w:rsidP="00D06117">
      <w:pPr>
        <w:pStyle w:val="TextoNormal"/>
      </w:pPr>
      <w:r>
        <w:t xml:space="preserve">En segundo término, el argumento principal que sustenta el conflicto es la consideración de que la competencia controvertida corresponde en exclusiva a la Comunidad Autónoma, careciendo el Estado de toda competencia para la aprobación de la norma. Ello implica que nuestro pronunciamiento sólo sea posible a partir del encuadramiento competencial de la disposición que nos ocupa, del examen de los títulos competenciales que puedan tener incidencia en la materia regulada, y del análisis de la reiterada jurisprudencia de este Tribunal Constitucional en relación con el alcance de las respectivas competencias. En dicho análisis </w:t>
      </w:r>
      <w:r>
        <w:lastRenderedPageBreak/>
        <w:t>hemos de tener en cuenta, en lo que respecta a la competencia de la Comunidad Autónoma en esta materia, habrá de estarse a lo dispuesto en el actual Estatuto de Autonomía, tras la reforma operada por la Ley Orgánica 2/2007, de 19 de marzo, dado que, como hemos subrayado repetidamente, “el control de las normas que incurren en un posible exceso competencial debe hacerse de acuerdo a las normas del bloque de la constitucionalidad vigentes al momento de dictar Sentencia” [entre otras, SSTC 137/1986, de 6 de noviembre, FJ 4; 170/1989, de 19 de octubre, FJ 3; 1/2003, de 16 de enero, FJ 9; 109/2003, de 5 de junio, FJ 6; 14/2004, de 13 de febrero, FJ 8; 47/2004, de 25 de marzo, FJ 7; y 135/ 2006, de 27 de abril, FJ 3 a)]. Lo que significa que “el canon de constitucionalidad aplicable para medir la validez de la Ley es el efectivamente existente al tiempo de procederse a la resolución del proceso constitucional que se hubiese entablado” (STC 110/1998, de 21 de mayo, FJ 2 y doctrina allí citada).</w:t>
      </w:r>
    </w:p>
    <w:p w:rsidR="00D06117" w:rsidRDefault="00D06117" w:rsidP="00D06117">
      <w:pPr>
        <w:pStyle w:val="TextoNormal"/>
      </w:pPr>
    </w:p>
    <w:p w:rsidR="00D06117" w:rsidRDefault="00D06117" w:rsidP="00D06117">
      <w:pPr>
        <w:pStyle w:val="TextoNormal"/>
      </w:pPr>
      <w:r w:rsidRPr="00D06117">
        <w:rPr>
          <w:rStyle w:val="NumeroAFNegritaCaracter"/>
        </w:rPr>
        <w:t>4</w:t>
      </w:r>
      <w:r>
        <w:t>. Entrando en el enjuiciamiento de la cuestión controvertida, debe ponerse de manifiesto que las partes coinciden en el encuadramiento material de la disposición controvertida, que se inserta en el ámbito relativo a juegos y apuestas.</w:t>
      </w:r>
    </w:p>
    <w:p w:rsidR="00D06117" w:rsidRDefault="00D06117" w:rsidP="00D06117">
      <w:pPr>
        <w:pStyle w:val="TextoNormal"/>
      </w:pPr>
    </w:p>
    <w:p w:rsidR="00D06117" w:rsidRDefault="00D06117" w:rsidP="00D06117">
      <w:pPr>
        <w:pStyle w:val="TextoNormal"/>
      </w:pPr>
      <w:r>
        <w:t>La Junta de Andalucía ha alegado la vulneración de su competencia exclusiva en materia de juegos y apuestas, en los términos contemplados en su Estatuto de Autonomía. La competencia autonómica en esta materia, al tiempo de plantearse el conflicto, se configuraba como competencia exclusiva en materia de “casinos, juegos y apuestas, con exclusión de las apuestas mutuas deportivo-benéficas” (art. 13.33 de la Ley Orgánica 6/1981). Tras la reforma del Estatuto de Autonomía, operada por la citada Ley Orgánica 2/2007, el artículo 81 del vigente Estatuto de Autonomía, en su apartado 1, atribuye a la Comunidad Autónoma “la competencia exclusiva en materia de juegos, apuestas y casinos, incluidas las modalidades por medios informáticos y telemáticos, cuando la actividad se desarrolle exclusivamente en Andalucía”, y en su apartado 2 dispone que “la autorización de nuevas modalidades de juego y apuestas de ámbito estatal, o bien la modificación de las existentes, requiere la deliberación de la Comisión Bilateral Junta de Andalucía-Estado prevista en el título IX y el informe previo de la Junta de Andalucía”.</w:t>
      </w:r>
    </w:p>
    <w:p w:rsidR="00D06117" w:rsidRDefault="00D06117" w:rsidP="00D06117">
      <w:pPr>
        <w:pStyle w:val="TextoNormal"/>
      </w:pPr>
    </w:p>
    <w:p w:rsidR="00D06117" w:rsidRDefault="00D06117" w:rsidP="00D06117">
      <w:pPr>
        <w:pStyle w:val="TextoNormal"/>
      </w:pPr>
      <w:r>
        <w:t>El nuevo texto estatutario incorpora un cambio conceptual destacable que, siguiendo la línea de la propia jurisprudencia constitucional en la materia, parte de una delimitación competencial sustentada sobre un criterio territorial, en la que el ámbito espacial de desenvolvimiento del correspondiente juego es el criterio delimitador del ejercicio de las respectivas competencias, estatales o autonómicas. Ello implica que, por un lado, se elimina la exclusión de la competencia de la Comunidad Autónoma respecto de determinadas modalidades de juego (apuestas mutuas deportivo-benéficas) y, por otro, como ya hemos tenido ocasión de señalar en la reciente STC 83/2012, de 18 de abril, FJ 3, se reconoce implícitamente al Estado una competencia de carácter general para la autorización de nuevas modalidades de juego o la modificación de las existentes, cuando tengan un ámbito que alcance la totalidad del territorio nacional, únicamente condicionada al cumplimiento de los trámites de colaboración que allí se detallan. Respecto de estos últimos, interesa hacer notar, que ya advertimos en nuestra STC 31/2010, de 28 de junio, FJ 86, respecto de un precepto análogo del Estatuto de Autonomía de Cataluña (art. 141.2), que estas previsiones no supeditan ni condicionan la actuación estatal en esta materia, de modo que el Estado podrá, si lo estima conveniente, autorizar nuevos juegos o modificar los existentes de su competencia, sin estar vinculado por el informe emitido por la Comunidad Autónoma, o por su no emisión.</w:t>
      </w:r>
    </w:p>
    <w:p w:rsidR="00D06117" w:rsidRDefault="00D06117" w:rsidP="00D06117">
      <w:pPr>
        <w:pStyle w:val="TextoNormal"/>
      </w:pPr>
    </w:p>
    <w:p w:rsidR="00D06117" w:rsidRDefault="00D06117" w:rsidP="00D06117">
      <w:pPr>
        <w:pStyle w:val="TextoNormal"/>
      </w:pPr>
      <w:r>
        <w:t>En materia de juego, existe asimismo una reiterada y consolidada doctrina constitucional, que se sintetiza en la STC 32/2012, de 15 de marzo, FJ 3, en la que se señala:</w:t>
      </w:r>
    </w:p>
    <w:p w:rsidR="00D06117" w:rsidRDefault="00D06117" w:rsidP="00D06117">
      <w:pPr>
        <w:pStyle w:val="TextoNormal"/>
      </w:pPr>
    </w:p>
    <w:p w:rsidR="00D06117" w:rsidRDefault="00D06117" w:rsidP="00D06117">
      <w:pPr>
        <w:pStyle w:val="TextoNormal"/>
      </w:pPr>
      <w:r>
        <w:t>“[L]a materia de juego, a pesar de no ser mencionada en los arts. 148.1 y 149.1 CE y en los Estatutos de Autonomía, ha sido atribuida a las Comunidades Autónomas bajo el uniforme título de ‘casinos, juegos y apuestas con exclusión de las Apuestas Mutuas Deportivo-Benéficas’ en sus respectivos Estatutos. [En consecuencia],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w:t>
      </w:r>
    </w:p>
    <w:p w:rsidR="00D06117" w:rsidRDefault="00D06117" w:rsidP="00D06117">
      <w:pPr>
        <w:pStyle w:val="TextoNormal"/>
      </w:pPr>
    </w:p>
    <w:p w:rsidR="00D06117" w:rsidRDefault="00D06117" w:rsidP="00D06117">
      <w:pPr>
        <w:pStyle w:val="TextoNormal"/>
      </w:pPr>
      <w:r>
        <w:t>En esa misma doctrina está sin embargo igualmente dicho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w:t>
      </w:r>
    </w:p>
    <w:p w:rsidR="00D06117" w:rsidRDefault="00D06117" w:rsidP="00D06117">
      <w:pPr>
        <w:pStyle w:val="TextoNormal"/>
      </w:pPr>
    </w:p>
    <w:p w:rsidR="00D06117" w:rsidRDefault="00D06117" w:rsidP="00D06117">
      <w:pPr>
        <w:pStyle w:val="TextoNormal"/>
      </w:pPr>
      <w:r>
        <w:t>En particular, y en lo que se refiere a las apuestas, como modalidad de juego, recuerda la STC 35/2012, FJ 4 que “hemos afirmado reiteradamente que ex art. 149.1.14 CE, corresponde al Estado ‘en razón de su naturaleza de fuente de la Hacienda estatal, la gestión del monopolio de la Lotería nacional y con él la facultad de organizar loterías de ámbito nacional’, así como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(por todas, STC 171/1998, de 23 de julio, FJ 7)”.</w:t>
      </w:r>
    </w:p>
    <w:p w:rsidR="00D06117" w:rsidRDefault="00D06117" w:rsidP="00D06117">
      <w:pPr>
        <w:pStyle w:val="TextoNormal"/>
      </w:pPr>
    </w:p>
    <w:p w:rsidR="00D06117" w:rsidRDefault="00D06117" w:rsidP="00D06117">
      <w:pPr>
        <w:pStyle w:val="TextoNormal"/>
      </w:pPr>
      <w:r w:rsidRPr="00D06117">
        <w:rPr>
          <w:rStyle w:val="NumeroAFNegritaCaracter"/>
        </w:rPr>
        <w:t>5</w:t>
      </w:r>
      <w:r>
        <w:t>. Lo hasta aquí expuesto, resulta suficiente para afirmar la competencia del Estado para dictar el Real Decreto 716/2005, y para descartar la vulneración de las competencias autonómicas en materia de juego que la Junta de Andalucía ha denunciado con carácter principal.</w:t>
      </w:r>
    </w:p>
    <w:p w:rsidR="00D06117" w:rsidRDefault="00D06117" w:rsidP="00D06117">
      <w:pPr>
        <w:pStyle w:val="TextoNormal"/>
      </w:pPr>
    </w:p>
    <w:p w:rsidR="00D06117" w:rsidRDefault="00D06117" w:rsidP="00D06117">
      <w:pPr>
        <w:pStyle w:val="TextoNormal"/>
      </w:pPr>
      <w:r>
        <w:t xml:space="preserve">La competencia de la Comunidad Autónoma en materia de juegos, apuestas y casinos se restringe a aquellos que se desarrollen con carácter exclusivo en el territorio autonómico, y el real decreto que se examina, ya desde su propia denominación, deja claro de forma concluyente que la regulación recae sobre un juego de ámbito estatal, las “apuestas hípicas </w:t>
      </w:r>
      <w:r>
        <w:lastRenderedPageBreak/>
        <w:t>externas de ámbito nacional”, y a dicho ámbito se refiere reiteradamente a lo largo de su articulado, y destacadamente en el artículo 1.2 en donde éstas se definen como “el concurso de pronósticos de carácter mutuo que se desarrolle en el marco del territorio del Estado”. En el preámbulo de la norma se determina el interés público concurrente para la regulación y autorización de las apuestas hípicas de ámbito nacional, determinación que se hace por referencia a dos elementos, por un lado “la financiación de los hipódromos” y por otro “el fomento de la industria de las carreras de caballos”, perspectivas ambas que tienen un alcance general o suprautonómico.</w:t>
      </w:r>
    </w:p>
    <w:p w:rsidR="00D06117" w:rsidRDefault="00D06117" w:rsidP="00D06117">
      <w:pPr>
        <w:pStyle w:val="TextoNormal"/>
      </w:pPr>
    </w:p>
    <w:p w:rsidR="00D06117" w:rsidRDefault="00D06117" w:rsidP="00D06117">
      <w:pPr>
        <w:pStyle w:val="TextoNormal"/>
      </w:pPr>
      <w:r>
        <w:t>En la misma línea, el art. 2.2 del Real Decreto dispone que las carreras de caballos que son objeto de las apuestas estatales son las que se celebren en el hipódromo de la Zarzuela o en otros hipódromos, precisando el precepto que “a dicho efecto, se autoriza a Loterías y Apuestas del Estado a celebrar los contratos y convenios que sean necesarios”. Ello implica que la apuesta hípica se realiza sobre los resultados de las carreras que se celebren en un hipódromo estatal (la Zarzuela) o en su caso, y únicamente previo acuerdo convencional con la propia Junta de Andalucía, las que pudieran celebrarse en los hipódromos situados en su territorio; interpretación del precepto que se corrobora en la contestación al requerimiento de incompetencia efectuada por el Gobierno de la Nación, en donde se señala que en aplicación del citado precepto “se suscribirán, de acuerdo con la Junta de Andalucía, los oportunos convenios con los hipódromos situados en esa Comunidad”. No se produce pues una vulneración de la competencia autonómica sobre juego, en la medida en que la regulación contenida en el real decreto se refiere con carácter exclusivo a un juego de ámbito nacional, no altera ni perturba la competencia ya ejercida por la Comunidad Autónoma en relación con las apuestas hípicas que se celebren exclusivamente en su territorio, y no existe previsión constitucional alguna que impida o prohíba la convivencia de una misma modalidad de juego en el ámbito estatal y autonómico.</w:t>
      </w:r>
    </w:p>
    <w:p w:rsidR="00D06117" w:rsidRDefault="00D06117" w:rsidP="00D06117">
      <w:pPr>
        <w:pStyle w:val="TextoNormal"/>
      </w:pPr>
    </w:p>
    <w:p w:rsidR="00D06117" w:rsidRDefault="00D06117" w:rsidP="00D06117">
      <w:pPr>
        <w:pStyle w:val="TextoNormal"/>
      </w:pPr>
      <w:r>
        <w:t>Así planteados los términos de la cuestión controvertida, carecen de relevancia a efectos del presente conflicto, los argumentos de la parte promotora acerca de si el real decreto “restablece” o “crea ex novo” esta modalidad de apuesta; si la actividad sobre la que recae el pronóstico constituye una modalidad deportiva, si tiene el carácter de deporte federado, o si puede reputarse o no como actividad “deportivo-benéfica”, cuestiones todas ellas que, en ningún caso, sirven como premisa para enjuiciar la competencia del Estado.</w:t>
      </w:r>
    </w:p>
    <w:p w:rsidR="00D06117" w:rsidRDefault="00D06117" w:rsidP="00D06117">
      <w:pPr>
        <w:pStyle w:val="TextoNormal"/>
      </w:pPr>
    </w:p>
    <w:p w:rsidR="00D06117" w:rsidRDefault="00D06117" w:rsidP="00D06117">
      <w:pPr>
        <w:pStyle w:val="TextoNormal"/>
      </w:pPr>
      <w:r w:rsidRPr="00D06117">
        <w:rPr>
          <w:rStyle w:val="NumeroAFNegritaCaracter"/>
        </w:rPr>
        <w:t>6</w:t>
      </w:r>
      <w:r>
        <w:t>. Con carácter subsidiario, se alega por la Comunidad Autónoma que la regulación que se efectúa no resulta amparada por el título competencial del Estado en materia de “hacienda general” (art. 149.1.14 CE), pues dicho título sería distinto al de “hacienda estatal”; y considera, además, que el real decreto vulnera el principio de suficiencia financiera de las haciendas autonómicas, previsto en el art. 156.1 CE e infringe la autonomía financiera contemplada en el art. 157 CE, por cuanto la actuación estatal se ha desarrollado prescindiendo de los mecanismos de coordinación con las haciendas autonómicas.</w:t>
      </w:r>
    </w:p>
    <w:p w:rsidR="00D06117" w:rsidRDefault="00D06117" w:rsidP="00D06117">
      <w:pPr>
        <w:pStyle w:val="TextoNormal"/>
      </w:pPr>
    </w:p>
    <w:p w:rsidR="00D06117" w:rsidRDefault="00D06117" w:rsidP="00D06117">
      <w:pPr>
        <w:pStyle w:val="TextoNormal"/>
      </w:pPr>
      <w:r>
        <w:t xml:space="preserve">Por lo que se refiere a la primera de las cuestiones, la relativa al alcance de la competencia estatal en materia de hacienda general, este Tribunal ha declarado reiteradamente que corresponde al Estado ex art. 149.1.14 CE “la gestión del monopolio de la lotería nacional y con él la facultad para organizar loterías de ámbito nacional; y además, en cuanto suponen una derogación de la prohibición monopolística establecida a favor del Estado, el otorgamiento de las concesiones o autorizaciones administrativas para la celebración de sorteos, </w:t>
      </w:r>
      <w:r>
        <w:lastRenderedPageBreak/>
        <w:t>rifas, apuestas y combinaciones aleatorias solamente cuando su ámbito se extiende a todo el territorio nacional” (STC 163/1994, de 26 de mayo, FJ 8), decisión que reiteramos en las SSTC 216/1994, de 14 de julio, FJ 2 y 171/1998, de 23 de julio, FJ 7, añadiendo que “como monopolio fiscal, pues, cuyo establecimiento constituye una manifestación del poder financiero del Estado, reservando el ejercicio exclusivo de un juego de suerte para producir unos ingresos públicos, corresponde a la Administración del Estado la gestión y explotación del juego de la Lotería en todo el territorio nacional” (STC 163/1994, FJ 5).</w:t>
      </w:r>
    </w:p>
    <w:p w:rsidR="00D06117" w:rsidRDefault="00D06117" w:rsidP="00D06117">
      <w:pPr>
        <w:pStyle w:val="TextoNormal"/>
      </w:pPr>
    </w:p>
    <w:p w:rsidR="00D06117" w:rsidRDefault="00D06117" w:rsidP="00D06117">
      <w:pPr>
        <w:pStyle w:val="TextoNormal"/>
      </w:pPr>
      <w:r>
        <w:t>En la misma línea, señala la STC 49/1995, de 16 de febrero, FJ 3 que “el título de Hacienda General del art. 149.1.14 CE … no puede entenderse circunscrito a los ingresos tributarios, pues comprende también estos otros que organiza, genera y gestiona el Estado mediante el monopolio fiscal. Por su naturaleza pues, de ingresos no tributarios directamente explotados por la Hacienda estatal, corresponde con carácter exclusivo al Estado la gestión y explotación del monopolio de la Lotería nacional (SSTC 103/1994, fundamentos jurídicos 5 y 6; 164/1994, fundamento jurídico 4; 216/1994, fundamento jurídico 2). Señalamos también allí que el concepto de juego de la lotería y su explotación como recurso de la Hacienda del Estado, incluido en el art. 149.1.14 de la CE, no puede quedar referido únicamente a la específica modalidad con la que aquél aparece configurado en la instrucción general de loterías de 23 de marzo de 1956, pues la lotería desde su introducción y en las diversas modalidades en que a través de la historia ha sido organizada por la Administración ha constituido una renta de la Hacienda pública, sin perjuicio de que funcionasen simultáneamente en ocasiones diversas modalidades. La aceptación de un concepto reduccionista de la misma supondría confundir lo que jurídica e institucionalmente se configura como una fuente de ingresos no tributarios directamente explotada por la Hacienda estatal con una mera modalidad de dicho juego, excluyéndose así la competencia del Estado ex art. 149.1.14 CE, para gestionar o explotar lo que es, como siempre ha sido, un recurso o fuente de su Hacienda”.</w:t>
      </w:r>
    </w:p>
    <w:p w:rsidR="00D06117" w:rsidRDefault="00D06117" w:rsidP="00D06117">
      <w:pPr>
        <w:pStyle w:val="TextoNormal"/>
      </w:pPr>
    </w:p>
    <w:p w:rsidR="00D06117" w:rsidRDefault="00D06117" w:rsidP="00D06117">
      <w:pPr>
        <w:pStyle w:val="TextoNormal"/>
      </w:pPr>
      <w:r>
        <w:t>Nuestra jurisprudencia ha venido reconociendo pues que, al amparo del título competencial en materia de “hacienda general” el Estado está habilitado para establecer y gestionar apuestas y juegos de ámbito nacional, que se configuren como recurso ordinario de su hacienda, aunque no coincidan con la tradicional configuración de la Lotería nacional.</w:t>
      </w:r>
    </w:p>
    <w:p w:rsidR="00D06117" w:rsidRDefault="00D06117" w:rsidP="00D06117">
      <w:pPr>
        <w:pStyle w:val="TextoNormal"/>
      </w:pPr>
    </w:p>
    <w:p w:rsidR="00D06117" w:rsidRDefault="00D06117" w:rsidP="00D06117">
      <w:pPr>
        <w:pStyle w:val="TextoNormal"/>
      </w:pPr>
      <w:r w:rsidRPr="00D06117">
        <w:rPr>
          <w:rStyle w:val="NumeroAFNegritaCaracter"/>
        </w:rPr>
        <w:t>7</w:t>
      </w:r>
      <w:r>
        <w:t>. Por otro lado, y en lo que respecta a la alegada vulneración de los principios de autonomía y suficiencia financiera de las Comunidades Autónomas, la STC 32/2012, FJ 6, ya puso de manifiesto que, conforme a lo señalado en la STC 31/2010, FJ 130, el Estado tiene atribuida la competencia exclusiva en materia de hacienda general, así como la potestad originaria para establecer tributos mediante ley (art. 133.1 CE), lo que, unido a que también corresponde al legislador orgánico la regulación del ejercicio de las competencias financieras de las Comunidades Autónomas (art. 157.3 CE), determina que aquél “sea competente para regular, no solo sus propios tributos, sino también el marco general de todo el sistema tributario y la delimitación de las competencias financieras de las Comunidades Autónomas respecto de las del propio Estado (STC 72/2003, de 10 de abril, FJ 5)”.</w:t>
      </w:r>
    </w:p>
    <w:p w:rsidR="00D06117" w:rsidRDefault="00D06117" w:rsidP="00D06117">
      <w:pPr>
        <w:pStyle w:val="TextoNormal"/>
      </w:pPr>
    </w:p>
    <w:p w:rsidR="00D06117" w:rsidRDefault="00D06117" w:rsidP="00D06117">
      <w:pPr>
        <w:pStyle w:val="TextoNormal"/>
      </w:pPr>
      <w:r>
        <w:t xml:space="preserve">En estas precisas coordenadas se sitúa cabalmente el principio de autonomía financiera de las Comunidades Autónomas que sanciona el art. 156.1 CE, en relación con el art. 137 CE y que desarrolla luego la Ley Orgánica 8/1980, de 22 de septiembre, de financiación de las Comunidades Autónomas (LOFCA), cuyo art. 1.1 reconoce la autonomía financiera de </w:t>
      </w:r>
      <w:r>
        <w:lastRenderedPageBreak/>
        <w:t>éstas para el desarrollo y ejecución de sus competencias, disponiendo en su art. 2.1 f) que la actividad financiera de las Comunidades Autónomas se ejercerá en coordinación con la hacienda del Estado con arreglo al principio de suficiencia de los recursos para el ejercicio de sus competencias propias.</w:t>
      </w:r>
    </w:p>
    <w:p w:rsidR="00D06117" w:rsidRDefault="00D06117" w:rsidP="00D06117">
      <w:pPr>
        <w:pStyle w:val="TextoNormal"/>
      </w:pPr>
    </w:p>
    <w:p w:rsidR="00D06117" w:rsidRDefault="00D06117" w:rsidP="00D06117">
      <w:pPr>
        <w:pStyle w:val="TextoNormal"/>
      </w:pPr>
      <w:r>
        <w:t>Ha sido reiterada nuestra doctrina según la cual, la competencia del Estado para regular la financiación del propio Estado y de las Comunidades Autónomas ha de desenvolverse, con la coordinación del propio Estado, en un marco de cooperación entre éste y las Comunidades Autónomas. Así, tenemos declarado que la coordinación de la autonomía financiera de las Comunidades Autónomas con la hacienda estatal, exigida por el art. 156.1 CE, habrá de desarrollarse dentro del orden competencial, es decir, compatibilizando “el ejercicio coordinado de las competencias financieras y las competencias materiales de los entes públicos que integran la organización territorial del Estado, de modo que no se produzca el vaciamiento del ámbito —material y financiero— correspondiente a las esferas respectivas de soberanía y de autonomía de los entes territoriales” (STC 13/2007, de 18 de enero, FJ 3, y doctrina allí citada).</w:t>
      </w:r>
    </w:p>
    <w:p w:rsidR="00D06117" w:rsidRDefault="00D06117" w:rsidP="00D06117">
      <w:pPr>
        <w:pStyle w:val="TextoNormal"/>
      </w:pPr>
    </w:p>
    <w:p w:rsidR="00D06117" w:rsidRDefault="00D06117" w:rsidP="00D06117">
      <w:pPr>
        <w:pStyle w:val="TextoNormal"/>
      </w:pPr>
      <w:r>
        <w:t>La autonomía financiera de las Comunidades Autónomas, además de desenvolverse en un marco de cooperación y colaboración, “exige ciertamente la disposición de los medios financieros precisos para poder ejercer, sin condicionamientos indebidos y en toda su extensión, sus competencias propias, y al cabo, permitir el ejercicio de la autonomía política constitucionalmente reconocida en los arts. 137 y 156 CE” (STC 32/2012, de 15 de marzo, FJ 7). El principio de suficiencia financiera garantiza el ya mencionado nivel mínimo de recursos que permita el ejercicio de las competencias autonómicas, pero no constituye un valor absoluto, sino que “dicha suficiencia debe quedar enmarcada, como concepto relativo que es, en el marco de las posibilidades reales de sistema financiero del Estado en su conjunto” (STC 13/2007, de 18 de enero, FJ 5) y no resulta, por tanto “determinable en función de una singular fuente de ingresos individualmente considerada, y su eventual reducción” (STC 32/2012, FJ 7).</w:t>
      </w:r>
    </w:p>
    <w:p w:rsidR="00D06117" w:rsidRDefault="00D06117" w:rsidP="00D06117">
      <w:pPr>
        <w:pStyle w:val="TextoNormal"/>
      </w:pPr>
    </w:p>
    <w:p w:rsidR="00D06117" w:rsidRDefault="00D06117" w:rsidP="00D06117">
      <w:pPr>
        <w:pStyle w:val="TextoNormal"/>
      </w:pPr>
      <w:r>
        <w:t>Las anteriores precisiones resultan suficientes para desestimar la queja que analizamos, pues los preceptos del bloque de constitucionalidad citados por la Junta de Andalucía no son susceptibles de la interpretación que ésta pretende. Una vez afirmada la competencia del Estado para la creación y autorización de las apuestas hípicas que son objeto del Real Decreto 716/2005, el hecho de que dicha autorización pueda eventualmente reducir los ingresos autonómicos que derivan de la explotación en el territorio andaluz de un juego de similares características, en palabras de la STC 32/2012, FJ 7, “no es ningún criterio o factor adecuado para expresar las necesidades de financiación autonómica, y, por tanto, capaz de arriesgar la lesión del principio de suficiencia financiera que se denuncia. De un lado porque [la Generalitat de Cataluña] no ha demostrado en ningún momento que la nueva modalidad de lotería de ámbito estatal ponga en peligro la suficiencia de los recursos financieros precisos para ejercer sus competencias en materia de juego. Una demostración que resulta en rigor necesaria por cuanto, como también hemos advertido en otras ocasiones,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w:t>
      </w:r>
    </w:p>
    <w:p w:rsidR="00D06117" w:rsidRDefault="00D06117" w:rsidP="00D06117">
      <w:pPr>
        <w:pStyle w:val="TextoNormal"/>
      </w:pPr>
    </w:p>
    <w:p w:rsidR="00D06117" w:rsidRDefault="00D06117" w:rsidP="00D06117">
      <w:pPr>
        <w:pStyle w:val="TextoNormal"/>
      </w:pPr>
      <w:r>
        <w:lastRenderedPageBreak/>
        <w:t>De los citados preceptos constitucionales no se deriva pues la exigencia de acudir al mecanismo de coordinación y consulta en el seno del Consejo de Política Fiscal y Financiera, pues la eventual merma de los ingresos autonómicos “no permite cuestionar la legitimidad del ejercicio por el Estado de sus competencias ex art. 149.1.14 CE por el simple hecho de que, al hacerlo no haya previsto ningún mecanismo de compensación financiera, so pena naturalmente de admitir un indebido condicionamiento en el ejercicio de las competencias propias del Estado y, por tanto, con evidente riesgo de desfigurar el propio concepto de suficiencia financiera diseñado en el bloque de constitucionalidad que no reclama, como se ha señalado, el cumplimiento de semejante exigencia de compensación” (STC 35/2012, FJ 7).</w:t>
      </w:r>
    </w:p>
    <w:p w:rsidR="00D06117" w:rsidRDefault="00D06117" w:rsidP="00D06117">
      <w:pPr>
        <w:pStyle w:val="TextoNormal"/>
      </w:pPr>
    </w:p>
    <w:p w:rsidR="00D06117" w:rsidRDefault="00D06117" w:rsidP="00D06117">
      <w:pPr>
        <w:pStyle w:val="TextoNormal"/>
      </w:pPr>
      <w:r>
        <w:t>Por las razones expuestas, este motivo de inconstitucionalidad debe ser desestimado.</w:t>
      </w:r>
    </w:p>
    <w:p w:rsidR="00D06117" w:rsidRDefault="00D06117" w:rsidP="00D06117">
      <w:pPr>
        <w:pStyle w:val="TextoNormal"/>
      </w:pPr>
    </w:p>
    <w:p w:rsidR="00D06117" w:rsidRDefault="00D06117" w:rsidP="00D06117">
      <w:pPr>
        <w:pStyle w:val="TextoNormal"/>
      </w:pPr>
      <w:r w:rsidRPr="00D06117">
        <w:rPr>
          <w:rStyle w:val="NumeroAFNegritaCaracter"/>
        </w:rPr>
        <w:t>8</w:t>
      </w:r>
      <w:r>
        <w:t>. Se alega finalmente por la Comunidad Autónoma, la infracción del principio de lealtad institucional, en su perspectiva administrativa, que derivaría de una supuesta insuficiencia del trámite de consulta evacuado en la tramitación del real decreto, al no haberse dado una efectiva oportunidad a la Junta de Andalucía, de manifestar su posición respecto al mismo.</w:t>
      </w:r>
    </w:p>
    <w:p w:rsidR="00D06117" w:rsidRDefault="00D06117" w:rsidP="00D06117">
      <w:pPr>
        <w:pStyle w:val="TextoNormal"/>
      </w:pPr>
    </w:p>
    <w:p w:rsidR="00D06117" w:rsidRDefault="00D06117" w:rsidP="00D06117">
      <w:pPr>
        <w:pStyle w:val="TextoNormal"/>
      </w:pPr>
      <w:r>
        <w:t>En relación con el principio de lealtad constitucional y su aplicación a las relaciones financieras entre el Estado y las Comunidades Autónomas, nos hemos pronunciado en reiteradas ocasiones, afirmando que éste resulta “esencial en las relaciones entre las diversas instancias del poder territorial”, de manera que “constituye un soporte esencial del funcionamiento del Estado autonómico cuya observancia resulta obligada” (STC 239/2002, de 11 de diciembre, FJ 11), tratándose de un principio que “tiene una específica proyección en la materia financiera, tal como se recoge en las normas vigentes que integran el bloque de constitucionalidad en esta materia” (STC 109/2011, de 22 de junio, FJ 5). También hemos recalcado la conexión entre este principio y el establecimiento de un sistema adecuado de colaboración entre Administraciones, de manera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(por todas, STC 109/2011, de 22 de junio, FJ 5). Finalmente, hemos destacado que lo que el principio de lealtad constitucional exige es que el Gobierno extreme el celo por llegar a acuerdos con las Comunidades Autónomas, pero no que dichos acuerdos deban ser vinculantes (SSTC 209/1990, de 20 de diciembre, FJ 4; 13/2007, de 18 de enero, FJ 11, 31/2010, de 28 de junio, FJ 138, y 204/2011, de 15 de diciembre FJ 8).</w:t>
      </w:r>
    </w:p>
    <w:p w:rsidR="00D06117" w:rsidRDefault="00D06117" w:rsidP="00D06117">
      <w:pPr>
        <w:pStyle w:val="TextoNormal"/>
      </w:pPr>
    </w:p>
    <w:p w:rsidR="00D06117" w:rsidRDefault="00D06117" w:rsidP="00D06117">
      <w:pPr>
        <w:pStyle w:val="TextoNormal"/>
      </w:pPr>
      <w:r>
        <w:t xml:space="preserve">A partir de esta doctrina, debe rechazarse también en este punto, la pretensión de la parte recurrente, pues como expresamente reconoce el Letrado de la Junta de Andalucía en el escrito de demanda, el texto del proyecto de real decreto fue remitido a informe de la misma con carácter previo a su aprobación por el Consejo de Ministros. Ello implica que la norma fue previamente conocida y susceptible de examen por la Comunidad Autónoma, lo que hace que no resulte posible afirmar que se hayan ignorado los mecanismos de cooperación y coordinación y que por tanto se haya infringido el principio de lealtad constitucional. Ciertamente, el tiempo transcurrido entre la comunicación de la medida proyectada y la adopción del real decreto en cuestión fue breve; ahora bien, también hemos señalado que los mecanismos de cooperación y coordinación no supeditan ni condicionan la actuación </w:t>
      </w:r>
      <w:r>
        <w:lastRenderedPageBreak/>
        <w:t>estatal en esta materia, de modo que el Estado puede, ejercer su competencia para la autorización de nuevos juegos de ámbito nacional, sin estar vinculado por el informe emitido por la Comunidad Autónoma, o por su no emisión.</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conflicto positivo de competencia.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cinco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7" w:name="SENTENCIA_2012_124"/>
      <w:r>
        <w:lastRenderedPageBreak/>
        <w:t>SENTENCIA 124/2012, de 5 de junio de 2012</w:t>
      </w:r>
    </w:p>
    <w:bookmarkEnd w:id="12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159, de 4 de julio de 2012)</w:t>
      </w:r>
    </w:p>
    <w:p w:rsidR="00D06117" w:rsidRDefault="00D06117" w:rsidP="00D06117">
      <w:pPr>
        <w:pStyle w:val="TtuloBOE"/>
      </w:pPr>
    </w:p>
    <w:p w:rsidR="00D06117" w:rsidRDefault="00D06117" w:rsidP="00D06117">
      <w:pPr>
        <w:pStyle w:val="SntesisDescriptiva"/>
      </w:pPr>
      <w:r>
        <w:t>ECLI:ES:TC:2012:124</w:t>
      </w:r>
    </w:p>
    <w:p w:rsidR="00D06117" w:rsidRDefault="00D06117" w:rsidP="00D06117">
      <w:pPr>
        <w:pStyle w:val="SntesisDescriptiva"/>
      </w:pPr>
    </w:p>
    <w:p w:rsidR="00D06117" w:rsidRDefault="00D06117" w:rsidP="00D06117">
      <w:pPr>
        <w:pStyle w:val="SntesisDescriptiva"/>
      </w:pPr>
      <w:r>
        <w:t>Conflicto positivo de competencia 4572-2006. Promovido por el Gobierno de la Nación respecto de las resoluciones de la Secretaría General Técnica de la Consejería de Transportes e Infraestructuras de la Comunidad de Madrid, por las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w:t>
      </w:r>
    </w:p>
    <w:p w:rsidR="00D06117" w:rsidRDefault="00D06117" w:rsidP="00D06117">
      <w:pPr>
        <w:pStyle w:val="SntesisDescriptiva"/>
      </w:pPr>
    </w:p>
    <w:p w:rsidR="00D06117" w:rsidRDefault="00D06117" w:rsidP="00D06117">
      <w:pPr>
        <w:pStyle w:val="SntesisAnaltica"/>
      </w:pPr>
      <w:r>
        <w:t>Competencias sobre carreteras: actuaciones autonómicas que vulneran las competencias estatales al versar sobre vías integradas en la red de carreteras del Estado (STC 112/2012).</w:t>
      </w:r>
    </w:p>
    <w:p w:rsidR="00D06117" w:rsidRDefault="00D06117" w:rsidP="00D06117">
      <w:pPr>
        <w:pStyle w:val="SntesisAnaltica"/>
      </w:pPr>
    </w:p>
    <w:p w:rsidR="00D06117" w:rsidRDefault="00D06117" w:rsidP="00D06117">
      <w:pPr>
        <w:pStyle w:val="Extracto"/>
      </w:pPr>
      <w:r>
        <w:t>1.</w:t>
      </w:r>
      <w:r>
        <w:tab/>
        <w:t>Reitera la doctrina sobre distribución de competencias en materia de carreteras integradas en la red de carreteras del Estado de la STC 112/2012 [FFJJ 1 a 4].</w:t>
      </w:r>
    </w:p>
    <w:p w:rsidR="00D06117" w:rsidRDefault="00D06117" w:rsidP="00D06117">
      <w:pPr>
        <w:pStyle w:val="Extracto"/>
      </w:pPr>
    </w:p>
    <w:p w:rsidR="00D06117" w:rsidRDefault="00D06117" w:rsidP="00D06117">
      <w:pPr>
        <w:pStyle w:val="Extracto"/>
      </w:pPr>
      <w:r>
        <w:t>2.</w:t>
      </w:r>
      <w:r>
        <w:tab/>
        <w:t>Vulneran las competencias del Estado en materia de carreteras la adjudicación por la Comunidad de Madrid de contratos de consultoría y asistencia del anteproyecto de construcción y explotación de carreteras que, pese a discurrir en su totalidad dentro del territorio de la Comunidad de Madrid, están integradas en la red de carreteras del Estado  [FFJJ 3, 4].</w:t>
      </w:r>
    </w:p>
    <w:p w:rsidR="00D06117" w:rsidRDefault="00D06117" w:rsidP="00D06117">
      <w:pPr>
        <w:pStyle w:val="Extracto"/>
      </w:pPr>
    </w:p>
    <w:p w:rsidR="00D06117" w:rsidRDefault="00D06117" w:rsidP="00D06117">
      <w:pPr>
        <w:pStyle w:val="Extracto"/>
      </w:pPr>
      <w:r>
        <w:t>3.</w:t>
      </w:r>
      <w:r>
        <w:tab/>
        <w:t>A pesar de ser intracomunitaria, la carretera denominada “cierre norte de la M-50” es de interés general, razón por la cual la competencia estatal tiene cobertura en las previsiones del art. 149.1.24 CE y, por tanto, la resolución impugnada, que hace pública la adjudicación de los contratos de consultoría y asistencia relativos al anteproyecto de construcción y explotación de la obra, invade dicha competencia estatal (STC 112/2012) [FJ 3].</w:t>
      </w:r>
    </w:p>
    <w:p w:rsidR="00D06117" w:rsidRDefault="00D06117" w:rsidP="00D06117">
      <w:pPr>
        <w:pStyle w:val="Extracto"/>
      </w:pPr>
    </w:p>
    <w:p w:rsidR="00D06117" w:rsidRDefault="00D06117" w:rsidP="00D06117">
      <w:pPr>
        <w:pStyle w:val="Extracto"/>
      </w:pPr>
      <w:r>
        <w:t>4.</w:t>
      </w:r>
      <w:r>
        <w:tab/>
        <w:t>Infringe el ámbito de competencias del Estado el cierre por la Comunidad de Madrid de la M-50, ya que si el itinerario de dicha carretera se consideró de interés general al construirla, y ello permitió calificarla como de competencia estatal, debemos entender que ese mismo interés general existe cuando se trata de ampliar o de modificar su trazado (STC 112/2012) [FJ 3].</w:t>
      </w:r>
    </w:p>
    <w:p w:rsidR="00D06117" w:rsidRDefault="00D06117" w:rsidP="00D06117">
      <w:pPr>
        <w:pStyle w:val="Extracto"/>
      </w:pPr>
    </w:p>
    <w:p w:rsidR="00D06117" w:rsidRDefault="00D06117" w:rsidP="00D06117">
      <w:pPr>
        <w:pStyle w:val="Extracto"/>
      </w:pPr>
      <w:r>
        <w:t>5.</w:t>
      </w:r>
      <w:r>
        <w:tab/>
        <w:t>Si la R1, siendo una carretera que discurre íntegramente por el territorio de la Comunidad Autónoma de Madrid, es una carretera de interés general cuyo itinerario coincide parcialmente con la “nueva carretera R-1”, el competente para elaborar los estudios previos para la construcción de esta última autopista es el Estado, porque la titularidad de una Administración sobre una carretera determina su competencia no sólo para su construcción sino para todos los aspectos conexos con ella (STC 112/2012) [FJ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4572-2006, promovido por el Gobierno de la Nación representado por el Abogado del Estado, respecto de las resoluciones de 9 de febrero de 2006 de la Secretaría General Técnica de la Consejería de Transportes e Infraestructuras de la Comunidad de Madrid, por las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 Ha comparecido en la representación que legalmente ostenta, el Letrado de la Comunidad de Madrid.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día 21 de abril de 2006 se registra en el Tribunal escrito del Abogado del Estado quien, en ejercicio de la representación que legalmente ostenta, formaliza conflicto positivo de competencia contra las resoluciones de 9 de febrero de 2006 de la Secretaría General Técnica de la Consejería de Transportes e infraestructuras de la Comunidad de Madrid, por las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w:t>
      </w:r>
    </w:p>
    <w:p w:rsidR="00D06117" w:rsidRDefault="00D06117" w:rsidP="00D06117">
      <w:pPr>
        <w:pStyle w:val="TextoNormal"/>
      </w:pPr>
    </w:p>
    <w:p w:rsidR="00D06117" w:rsidRDefault="00D06117" w:rsidP="00D06117">
      <w:pPr>
        <w:pStyle w:val="TextoNormal"/>
      </w:pPr>
      <w:r>
        <w:t xml:space="preserve">Para el Abogado del Estado, que reproduce el acuerdo de Consejo de Ministros de 21 de abril de 2006 mediante el que se decide plantear el conflicto, la Comunidad Autónoma carece de competencia para realizar las actuaciones a que se refieren las resoluciones recurridas, habiendo vulnerado, por tanto, la reserva competencial atribuida en exclusiva al Estado por el art. 149.1.24 CE respecto de las “obras públicas de interés general o cuya realización afecte a más de una Comunidad Autónoma”. En apoyo de esta afirmación, el Abogado del Estado, tras hacer referencia al procedimiento previo a la interposición del conflicto, y recordar que las disposiciones recurridas constituyen actos conexos y posteriores a los realizados por la Comunidad de Madrid con objeto de preparar y convocar los concursos que las </w:t>
      </w:r>
      <w:r>
        <w:lastRenderedPageBreak/>
        <w:t>resoluciones impugnadas resuelven y que fueron objeto de impugnación en el conflicto positivo de competencia núm. 3280-2006, despliega los siguientes argumentos, que son mera reproducción de los contenidos en la demanda que dio lugar al citado conflicto:</w:t>
      </w:r>
    </w:p>
    <w:p w:rsidR="00D06117" w:rsidRDefault="00D06117" w:rsidP="00D06117">
      <w:pPr>
        <w:pStyle w:val="TextoNormal"/>
      </w:pPr>
    </w:p>
    <w:p w:rsidR="00D06117" w:rsidRDefault="00D06117" w:rsidP="00D06117">
      <w:pPr>
        <w:pStyle w:val="TextoNormal"/>
      </w:pPr>
      <w:r>
        <w:t>a) La competencia del Estado para legislar en materia de carreteras deriva del título “obras públicas de interés general” contemplado en el art. 149.1.24 CE, al constituir las carreteras una variante específica de las obras públicas tal y como se deduce de lo dispuesto en la Ley 25/1988, de 29 de julio, de carreteras. Para el Abogado del Estado una carretera integrada en un itinerario de interés general es una obra pública de interés general y, siguiendo las previsiones de la Ley de carreteras (arts. 1, 4.1, 2 y 3) afirma que el Estado puede acometer la construcción de una nueva carretera sin necesidad de que preceda una norma con rango formal de ley que previamente califique a la carretera de obra pública de interés general, bastando con que se cumplan las previsiones generales de la Ley de carreteras para la definición de una carretera como estatal, particularmente las previsiones relativas a la definición de la concurrencia del ya citado interés general.</w:t>
      </w:r>
    </w:p>
    <w:p w:rsidR="00D06117" w:rsidRDefault="00D06117" w:rsidP="00D06117">
      <w:pPr>
        <w:pStyle w:val="TextoNormal"/>
      </w:pPr>
    </w:p>
    <w:p w:rsidR="00D06117" w:rsidRDefault="00D06117" w:rsidP="00D06117">
      <w:pPr>
        <w:pStyle w:val="TextoNormal"/>
      </w:pPr>
      <w:r>
        <w:t>Recuerda el Abogado del Estado que este Tribunal se ha referido al de obras públicas como título que habilita al Estado en materia de carreteras en la STC 65/1988, de 18 de marzo. En esta Sentencia se concluyó que el título que específicamente ampara la competencia del Estado para sostener una red propia de carreteras es el previsto en el art. 149.1.24 CE, que reserva al Estado la competencia exclusiva sobre las “obras públicas de interés general o cuya realización afecte a más de una comunidad autónoma”, lo que se proclama sin perjuicio de lo previsto en el art. 148.1.5 CE respecto de las competencias autonómicas en la materia de carreteras. Así, la concreción de cuáles sean las carreteras de interés general compete al legislador estatal, para lo cual goza de un alto margen de libertad, debiendo tener presente en esa concreción el criterio del territorio y el criterio del interés general, de modo que puede haber carreteras con un itinerario íntegramente autonómico que sean declaradas de interés general y, en consecuencia, se integren en la red del Estado y carreteras cuyo itinerario atraviese más de una comunidad autónoma sin que por ello deban integrarse a la red de carreteras del Estado. Continúa la demanda señalando la importancia de emplear el concepto de red para mostrar la interconexión y la reducción a la unidad de las infraestructuras estatales (evocando las SSTC 118/1996, FJ 34 y 132/1998, FJ 3) y para matizar el estricto criterio territorial de reparto de competencias.</w:t>
      </w:r>
    </w:p>
    <w:p w:rsidR="00D06117" w:rsidRDefault="00D06117" w:rsidP="00D06117">
      <w:pPr>
        <w:pStyle w:val="TextoNormal"/>
      </w:pPr>
    </w:p>
    <w:p w:rsidR="00D06117" w:rsidRDefault="00D06117" w:rsidP="00D06117">
      <w:pPr>
        <w:pStyle w:val="TextoNormal"/>
      </w:pPr>
      <w:r>
        <w:t xml:space="preserve">Respecto de los títulos competenciales autonómicos relacionados con las carreteras, el Abogado del Estado se refiere a los de obras públicas [art. 26.1.5 Estatuto de Autonomía de la Comunidad de Madrid (EACM)], carreteras (art. 26.1.6 EACM) y ordenación del transporte (art. 28.1.13 EACM). El primero incluye todas las obras públicas no singularizadas en otro precepto estatutario, y el segundo singulariza a las carreteras como obra pública particular, fundamentando en este caso la competencia autonómica exclusivamente sobre el criterio de la territorialidad. Para el Abogado del Estado esto no es obstáculo para que el título general de competencia estatal concurra con otro autonómico más específico, de modo que la competencia exclusiva madrileña ex art. 26.1.6 EACM no priva al Estado de la competencia exclusiva que le reserva el art. 149.1.24 CE. Por último respecto del art. 28.1.13 EACM se afirma que el mismo confiere una competencia de ejecución de la legislación del Estado. El Abogado del Estado concluye esta línea argumental afirmando que la atribución de competencias en el supuesto de las carreteras viene delineada por la concurrencia de los criterios del territorio y del interés, de modo que el Estado debe definir una carretera cuyo </w:t>
      </w:r>
      <w:r>
        <w:lastRenderedPageBreak/>
        <w:t>trazado discurre exclusivamente en el territorio de una comunidad autónoma, como integrada en una red de interés general para sacarla de la competencia autonómica, siendo esta caracterización revisable por el Tribunal Constitucional. Asimismo, el Abogado del Estado entiende que la clasificación apuntada supone que el Estado tendrá competencia para estudiar, planear, proyectar y construir las carreteras integradas en una red de interés general.</w:t>
      </w:r>
    </w:p>
    <w:p w:rsidR="00D06117" w:rsidRDefault="00D06117" w:rsidP="00D06117">
      <w:pPr>
        <w:pStyle w:val="TextoNormal"/>
      </w:pPr>
    </w:p>
    <w:p w:rsidR="00D06117" w:rsidRDefault="00D06117" w:rsidP="00D06117">
      <w:pPr>
        <w:pStyle w:val="TextoNormal"/>
      </w:pPr>
      <w:r>
        <w:t>b) Una vez expuesto el régimen competencial en materia de carreteras, el Abogado del Estado pasa a referirse de modo concreto a cada una de las resoluciones impugnadas. Para ello parte de lo dispuesto en el convenio suscrito por el Ministerio de Obras Públicas, Transporte y Medio Ambiente, y la Comunidad de Madrid el día 29 de junio de 1994, cuyo objeto era asegurar la colaboración, apoyo y coordinación entre ambas Administraciones para el desarrollo de la red viaria en el territorio de la Comunidad de Madrid, y que atribuía al Estado la explotación y titularidad de los tramos de la M-50 construidos y en ejecución. Indica que, con posterioridad, la Orden del Ministerio de Fomento de 26 de mayo de 1997, declaró urgente y de excepcional interés público la construcción del cierre de la autovía de circunvalación de Madrid M-50, y que el Real Decreto 1884/1999, de 3 de diciembre, por el que se aprueba el acuerdo de 23 de septiembre de 1999 adoptado entre la Comunidad de Madrid y el Ministerio de Fomento sobre cambio de titularidad de dos tramos de la autovía de circunvalación M-50 construidos por la Comunidad de Madrid a favor de la Administración del Estado, declara incluidos en el “catálogo de la red de carreteras del Estado” varios tramos de la M-50, al entender que la misma constituye una vía de competencia estatal en la medida en que establece la conexión entre todas las carreteras nacionales radiales que enlazan la Comunidad de Madrid con el resto de comunidades autónomas.</w:t>
      </w:r>
    </w:p>
    <w:p w:rsidR="00D06117" w:rsidRDefault="00D06117" w:rsidP="00D06117">
      <w:pPr>
        <w:pStyle w:val="TextoNormal"/>
      </w:pPr>
    </w:p>
    <w:p w:rsidR="00D06117" w:rsidRDefault="00D06117" w:rsidP="00D06117">
      <w:pPr>
        <w:pStyle w:val="TextoNormal"/>
      </w:pPr>
      <w:r>
        <w:t>Dicho lo anterior, y tras invocar algunas otras disposiciones normativas y un dictamen del Consejo de Estado de 15 de febrero de 2006 respecto de la catalogación de la M-50 como carretera estatal, el Abogado del Estado recuerda que, pese a que los tramos de carretera a que se refieren las resoluciones impugnadas se circunscriben al territorio de la Comunidad Autónoma de Madrid y, en atención a esta circunstancia, podría entenderse que constituyen una carretera autonómica, lo cierto es que la M-50 es una carretera de competencia estatal cuyo itinerario ha sido declarado de interés general, incluyéndose como tal en el anexo II del Real Decreto 1231/2003, por serlo el itinerario a que sirve, vía de circunvalación de Madrid que conecta todas las carreteras de largo recorrido confluyentes en Madrid desde la periferia peninsular dando continuidad al tráfico de largo recorrido.</w:t>
      </w:r>
    </w:p>
    <w:p w:rsidR="00D06117" w:rsidRDefault="00D06117" w:rsidP="00D06117">
      <w:pPr>
        <w:pStyle w:val="TextoNormal"/>
      </w:pPr>
    </w:p>
    <w:p w:rsidR="00D06117" w:rsidRDefault="00D06117" w:rsidP="00D06117">
      <w:pPr>
        <w:pStyle w:val="TextoNormal"/>
      </w:pPr>
      <w:r>
        <w:t>Por su parte, respecto del tramo de la autopista “nueva carretera R-1” no integrado en la M-50, a la que se refiere la segunda de las disposiciones impugnadas el Abogado del Estado afirma que no constituye, ni por su naturaleza, ni por su itinerario o funcionalidad nada distinto de la R-1, también considerada como de interés general por la concurrencia de las circunstancias previstas en los apartados 3.1 y 3.4 de la Ley de carreteras. En conclusión el Abogado del Estado entiende que las resoluciones objeto del conflicto se extralimitan y exceden de las competencias estatutarias del art. 26.1.6 EACM, violando clara y frontalmente el título constitucional que ampara la competencia estatal de obras públicas de interés general (art. 149.1.24 CE).</w:t>
      </w:r>
    </w:p>
    <w:p w:rsidR="00D06117" w:rsidRDefault="00D06117" w:rsidP="00D06117">
      <w:pPr>
        <w:pStyle w:val="TextoNormal"/>
      </w:pPr>
    </w:p>
    <w:p w:rsidR="00D06117" w:rsidRDefault="00D06117" w:rsidP="00D06117">
      <w:pPr>
        <w:pStyle w:val="TextoNormal"/>
      </w:pPr>
      <w:r>
        <w:t>Mediante primer otrosí, se invoca el art. 161.2 CE al objeto de que se acuerde la suspensión de las disposiciones objeto de conflicto y mediante segundo otrosí se solicita la acumulación de este procedimiento con el tramitado con el núm. 3280-2006.</w:t>
      </w:r>
    </w:p>
    <w:p w:rsidR="00D06117" w:rsidRDefault="00D06117" w:rsidP="00D06117">
      <w:pPr>
        <w:pStyle w:val="TextoNormal"/>
      </w:pPr>
    </w:p>
    <w:p w:rsidR="00D06117" w:rsidRDefault="00D06117" w:rsidP="00D06117">
      <w:pPr>
        <w:pStyle w:val="TextoNormal"/>
      </w:pPr>
      <w:r w:rsidRPr="00D06117">
        <w:rPr>
          <w:rStyle w:val="NumeroAFNegritaCaracter"/>
        </w:rPr>
        <w:t>2</w:t>
      </w:r>
      <w:r>
        <w:t>. Mediante providencia de la Sección Segunda de 23 de mayo de 2006 se admitió a trámite el conflicto positivo de competencia y se acordó dar traslado de la demanda y documentos presentados al Gobierno de la Comunidad de Madrid, al objeto de que en el plazo de veinte días pudiera realizar las alegaciones correspondientes relativas al conflicto y a la posible acumulación de éste con el seguido con el núm. 3280-2006, promovido por el Gobierno de la Nación y admitido a trámite del 4 de abril de 2012. Se tuvo por invocado por el Gobierno de la Nación el art. 161.2 CE, lo que, conforme con el art. 64.2 de la Ley Orgánica del Tribunal Constitucional (LOTC), produce la suspensión de la vigencia y aplicación de las resoluciones impugnadas desde el día 21 de abril de 2006, fecha de interposición del conflicto. También se acordó comunicar la incoación del conflicto a la Sala de lo Contencioso-Administrativo del Tribunal Superior de Justicia de Madrid, por si estuvieran impugnadas o se impugnaren las citadas resoluciones, en cuyo caso cabría suspender el curso del proceso hasta la decisión del conflicto, según dispone el art. 61.2 LOTC. Por último se acordó publicar la incoación del conflicto en los boletines oficiales del Estado y de la Comunidad de Madrid.</w:t>
      </w:r>
    </w:p>
    <w:p w:rsidR="00D06117" w:rsidRDefault="00D06117" w:rsidP="00D06117">
      <w:pPr>
        <w:pStyle w:val="TextoNormal"/>
      </w:pPr>
    </w:p>
    <w:p w:rsidR="00D06117" w:rsidRDefault="00D06117" w:rsidP="00D06117">
      <w:pPr>
        <w:pStyle w:val="TextoNormal"/>
      </w:pPr>
      <w:r w:rsidRPr="00D06117">
        <w:rPr>
          <w:rStyle w:val="NumeroAFNegritaCaracter"/>
        </w:rPr>
        <w:t>3</w:t>
      </w:r>
      <w:r>
        <w:t>. El Letrado de la Comunidad de Madrid presentó sus alegaciones en el Registro General del Tribunal el día 22 de junio de 2006, reproduciendo los motivos de oposición al conflicto que en su día presentara respecto del conflicto núm. 3280-2006, y no oponiéndose a la acumulación solicitada en otrosí por el Abogado del Estado, al entender que se cumplen los requisitos del art. 83 LOTC.</w:t>
      </w:r>
    </w:p>
    <w:p w:rsidR="00D06117" w:rsidRDefault="00D06117" w:rsidP="00D06117">
      <w:pPr>
        <w:pStyle w:val="TextoNormal"/>
      </w:pPr>
    </w:p>
    <w:p w:rsidR="00D06117" w:rsidRDefault="00D06117" w:rsidP="00D06117">
      <w:pPr>
        <w:pStyle w:val="TextoNormal"/>
      </w:pPr>
      <w:r>
        <w:t xml:space="preserve">El Letrado de la Comunidad de Madrid entiende que los actos objeto del conflicto de competencia se han ejercitado dentro del orden de competencias constitucionalmente establecido, no pudiendo considerarse los proyectos cuestionados como carreteras estatales al no estar integradas en un itinerario de interés general o no afectar a más de una comunidad autónoma. Entiende el Letrado autonómico que la jurisprudencia constitucional establece como regla general que las Comunidades Autónomas tienen competencia exclusiva sobre aquellas carreteras que pasen o discurran exclusivamente por su territorio, y que la excepción a esa regla viene dada por la consideración del interés general de la carretera como atributivo de la competencia al Estado (STC 65/1998). Recuerda, además, que el interés general es un concepto relativo que no tiene un sentido unívoco y que viene a complementar el criterio puramente territorial del art. 148.1.5 CE pero sin excluirlo esencialmente. A partir del anterior razonamiento el Letrado de la Comunidad Autónoma cuestiona que concurra el criterio del interés general en relación con las carreteras en torno a las cuales gira el conflicto de competencias, y afirma que los actos dictados por la Comunidad de Madrid no afectan a la red de carreteras del Estado al no constituir un itinerario de interés general, no obstando a esta afirmación lo contenido en el Real Decreto 1231/2003 de 26 de septiembre por el que se modifica la nomenclatura y el catálogo de las autopistas y autovías de la red de carreteras del Estado. Así, considera el Letrado de la Comunidad de Madrid que entender que la R-1 o el tramo de la M-50 que nos ocupa son proyectos que enlazan Comunidades Autónomas, o conectan los principales núcleos de población formando una red continua de tráfico de largo recorrido, podría ser tanto como decir que cualquier carretera de nueva construcción y cierta entidad que conectase con alguna carretera estatal debería ser estatal, lo cual no corresponde ni a la finalidad de la ley, ni a la propia realidad. Junto a lo anterior, el Letrado autonómico señala que el Real Decreto 1231/2003 es manifiestamente inhábil para definir </w:t>
      </w:r>
      <w:r>
        <w:lastRenderedPageBreak/>
        <w:t>el interés general del Estado sobre determinadas carreteras, ya que su finalidad no es modificar el catálogo de las carreteras del Estado (y, por lo mismo, fijar o definir el interés general del Estado a efectos competenciales), sino únicamente adaptar el nombre de dichas carreteras estatales —ya existentes— a las nuevas realidades de carreteras surgidas con posterioridad y, por tanto, no puede servir de título para definir las competencias del Estado frente a las de la Comunidad de Madrid.</w:t>
      </w:r>
    </w:p>
    <w:p w:rsidR="00D06117" w:rsidRDefault="00D06117" w:rsidP="00D06117">
      <w:pPr>
        <w:pStyle w:val="TextoNormal"/>
      </w:pPr>
    </w:p>
    <w:p w:rsidR="00D06117" w:rsidRDefault="00D06117" w:rsidP="00D06117">
      <w:pPr>
        <w:pStyle w:val="TextoNormal"/>
      </w:pPr>
      <w:r>
        <w:t>Seguidamente el Letrado afirma que el ejercicio de las competencias propias de la Comunidad de Madrid (la construcción de dos carreteras intracomunitarias) no ha producido una efectiva invasión, menoscabo o condicionamiento del ámbito de competencias del Estado, porque los actos cuestionados por la administración estatal ni alteran, ni impiden, ni menoscaban actuación alguna del Estado en materia de carreteras, habida cuenta de la falta de interés del Estado en la realización de los proyectos controvertidos. Al no estar previstos ni el cierre de la M-50, ni la nueva R-1 en los planes de infraestructuras reflejados en el plan estratégico de infraestructuras y transportes, decae el interés del Estado en la ejecución de dichas actuaciones y la declaración de interés general de las mismas. Y en apoyo de esta conclusión el Letrado autonómico cita las SSTC 132/1996, de 22 de julio, 108/1996, de 13 de junio y 74/1992, de 14 de mayo.</w:t>
      </w:r>
    </w:p>
    <w:p w:rsidR="00D06117" w:rsidRDefault="00D06117" w:rsidP="00D06117">
      <w:pPr>
        <w:pStyle w:val="TextoNormal"/>
      </w:pPr>
    </w:p>
    <w:p w:rsidR="00D06117" w:rsidRDefault="00D06117" w:rsidP="00D06117">
      <w:pPr>
        <w:pStyle w:val="TextoNormal"/>
      </w:pPr>
      <w:r>
        <w:t>Continúa el escrito de alegaciones recordando que el Estado ha reconocido la competencia de la Comunidad de Madrid respecto de las carreteras intracomunitarias, alegando como prueba de este reconocimiento el Real Decreto 1884/1999, de 3 de diciembre, que establece el cambio de titularidad de determinados tramos de la carretera o autovía de circunvalación M-50 y el Real Decreto 419/2003, de 4 de abril, por el que se aprueba el cambio de titularidad de la carretera de la Comunidad de Madrid denominada M-110 a favor de la Administración del Estado.</w:t>
      </w:r>
    </w:p>
    <w:p w:rsidR="00D06117" w:rsidRDefault="00D06117" w:rsidP="00D06117">
      <w:pPr>
        <w:pStyle w:val="TextoNormal"/>
      </w:pPr>
    </w:p>
    <w:p w:rsidR="00D06117" w:rsidRDefault="00D06117" w:rsidP="00D06117">
      <w:pPr>
        <w:pStyle w:val="TextoNormal"/>
      </w:pPr>
      <w:r>
        <w:t>Por último, se recuerda que el Tribunal Constitucional tiene establecido que las relaciones entre el Estado y las Comunidades Autónomas deben regirse, entre otros, por los principios de lealtad y de colaboración, y conforme a estos dos principios constitucionales y legales, la Comunidad de Madrid se ha dirigido en múltiples ocasiones a la Administración del Estado a fin de solucionar el problema de los enlaces entre las actuales carreteras de titularidad estatal A-1, A-6 y M-12 y la carretera autonómica M-607. Ante la falta de respuesta expresa del Estado y ante el desinterés formal de éste por los tramos de carretera de enlace, la Comunidad de Madrid inició los actos preparatorios de estudio que pudieran ser útiles para las referidas carreteras, los cuales han sido objeto del requerimiento de incompetencia. Considera el Letrado de la Comunidad de Madrid que, existiendo un interés general coincidente entre el Estado y la Comunidad Autónoma, no resulta acorde con el principio de lealtad constitucional impedir a la Administración autonómica la construcción de las obras previstas teniendo presente la pasividad del Estado en el efectivo ejercicio de la competencia. Por todo lo expuesto concluye solicitando que se dicte sentencia que declare la constitucionalidad de los actos recurridos y por otrosí señala que en cumplimiento de los arts. 161.2 CE y 64.2 LOTC se ha procedido a la suspensión de los actos recurridos.</w:t>
      </w:r>
    </w:p>
    <w:p w:rsidR="00D06117" w:rsidRDefault="00D06117" w:rsidP="00D06117">
      <w:pPr>
        <w:pStyle w:val="TextoNormal"/>
      </w:pPr>
    </w:p>
    <w:p w:rsidR="00D06117" w:rsidRDefault="00D06117" w:rsidP="00D06117">
      <w:pPr>
        <w:pStyle w:val="TextoNormal"/>
      </w:pPr>
      <w:r w:rsidRPr="00D06117">
        <w:rPr>
          <w:rStyle w:val="NumeroAFNegritaCaracter"/>
        </w:rPr>
        <w:t>4</w:t>
      </w:r>
      <w:r>
        <w:t>. La Sección Segunda de este Tribunal, por providencia de 16 de junio de 2006, acordó oír a las partes personadas en el proceso para que, estando próximo a finalizar el plazo de cinco meses previsto en el art. 65.2 LOTC desde que se produjo la suspensión de las normas impugnadas, aquéllas se manifestaran acerca de su mantenimiento o levantamiento.</w:t>
      </w:r>
    </w:p>
    <w:p w:rsidR="00D06117" w:rsidRDefault="00D06117" w:rsidP="00D06117">
      <w:pPr>
        <w:pStyle w:val="TextoNormal"/>
      </w:pPr>
    </w:p>
    <w:p w:rsidR="00D06117" w:rsidRDefault="00D06117" w:rsidP="00D06117">
      <w:pPr>
        <w:pStyle w:val="TextoNormal"/>
      </w:pPr>
      <w:r>
        <w:t>El Letrado de la Comunidad de Madrid se dirigió al Tribunal el día 7 de julio de 2006 y solicitó que se levantara la suspensión de las resoluciones impugnadas. El Abogado del Estado, por escrito registrado el día 11 de julio de 2006, solicitó el mantenimiento de la suspensión. Finalmente, el Pleno del Tribunal acordó, mediante el ATC 303/2006, de 12 de septiembre “levantar la suspensión de las resoluciones de 9 de febrero de 2006 de la Secretaría General Técnica de la Consejería de Transportes e Infraestructuras de la Comunidad de Madrid, por las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fecha 5 de junio de 2012, se señaló para la deliberación y votación de la presente Sentencia el día 5 de junio de 2012.</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proceso constitucional tiene por objeto resolver el conflicto positivo de competencia planteado por el Gobierno de la Nación frente a las resoluciones de 9 de febrero de 2006 de la Secretaría General Técnica de la Consejería de Transportes e Infraestructuras de la Comunidad de Madrid, por la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w:t>
      </w:r>
    </w:p>
    <w:p w:rsidR="00D06117" w:rsidRDefault="00D06117" w:rsidP="00D06117">
      <w:pPr>
        <w:pStyle w:val="TextoNormal"/>
      </w:pPr>
    </w:p>
    <w:p w:rsidR="00D06117" w:rsidRDefault="00D06117" w:rsidP="00D06117">
      <w:pPr>
        <w:pStyle w:val="TextoNormal"/>
      </w:pPr>
      <w:r>
        <w:t>Este conflicto se plantea en términos casi idénticos a los que indujeran el conflicto positivo de competencias núm. 3280-2006, planteado también por el Gobierno de la Nación frente 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Aquel conflicto ha sido resuelto en la STC 112/2012, de 24 de mayo, a cuyos razonamientos remitimos para resolver el asunto que ahora nos ocupa.</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Del mismo modo que sucedía en el conflicto núm. 3280-2006, el actual debe enmarcarse en el sistema constitucional y estatutario de distribución de competencias en materia de carreteras, materia en la que confluyen competencias autonómicas, en virtud de lo establecido en el art. 26.1.6 del Estatuto de Autonomía de la Comunidad de Madrid (EACM) que dispone que la Comunidad de Madrid tiene competencia exclusiva en materia de “carreteras y caminos cuyo itinerario discurra íntegramente en el territorio de la Comunidad de Madrid”, y competencias estatales derivadas del título “obras públicas de interés general o cuya realización afecte a más de una Comunidad Autónoma”, contemplado en el art. 149.1.24 CE (en este sentido STC 65/1998, de 18 de marzo, FJ 8). Así pues, la solución del </w:t>
      </w:r>
      <w:r>
        <w:lastRenderedPageBreak/>
        <w:t>conflicto pasa por determinar si la competencia autonómica sobre las carreteras que discurren íntegramente por el territorio de la Comunidad Autónoma de Madrid queda condicionada por la estatal sobre las carreteras (obras públicas) de interés general, razón por la cual es preciso definir si las carreteras a que se refieren las resoluciones impugnadas discurren exclusivamente por el territorio de la Comunidad de Madrid y, en ese caso, si son carreteras de interés general.</w:t>
      </w:r>
    </w:p>
    <w:p w:rsidR="00D06117" w:rsidRDefault="00D06117" w:rsidP="00D06117">
      <w:pPr>
        <w:pStyle w:val="TextoNormal"/>
      </w:pPr>
    </w:p>
    <w:p w:rsidR="00D06117" w:rsidRDefault="00D06117" w:rsidP="00D06117">
      <w:pPr>
        <w:pStyle w:val="TextoNormal"/>
      </w:pPr>
      <w:r w:rsidRPr="00D06117">
        <w:rPr>
          <w:rStyle w:val="NumeroAFNegritaCaracter"/>
        </w:rPr>
        <w:t>3</w:t>
      </w:r>
      <w:r>
        <w:t>. Respecto de la carretera denominada “cierre norte de la M-50, tramo A-6 a M-607”, no cabe duda de que el itinerario de la misma discurre íntegramente por el territorio de la Comunidad Autónoma de Madrid. Al mismo tiempo, tal y como se dijo en el fundamento jurídico 4 de la STC 112/2012, “la Comunidad de Madrid no pone en cuestión que los tramos de la carretera M-50 construidos forman parte de un itinerario de interés general y que pertenecen a la red de carreteras del Estado”. Así pues, por lo que hace a los tramos de la carretera M-50 ya construidos se puede afirmar que, a pesar de ser intracomunitaria, se trata de una carretera de interés general, razón por la cual la competencia estatal tiene cobertura en las previsiones del art. 149.1.24 CE. Respecto de los no construidos la conclusión no puede ser distinta. Decíamos en la ya citada STC 112/2012 “si el itinerario de la M-50 se considera de interés general debemos entender que ese mismo interés general existe cuando se trata de ampliar o de modificar su trazado. Si el itinerario de la M-50, por las razones señaladas, se considera, sin discusión por ninguna de las partes de este conflicto, de interés general, y por ello estamos ante una carretera estatal, el cierre de la M-50 debe considerarse integrado igualmente en un itinerario de interés general. El mismo interés general que existe para construir la M-50 existe para cerrarla y, por tanto, la construcción de dicho cierre por la Comunidad de Madrid infringe el ámbito de competencias del Estado” (FJ 4). Y continúa la Sentencia, en idéntico fundamento, diciendo que el hecho de que “el cierre definitivo de esta autovía de circunvalación de Madrid no figure expresamente en el nuevo plan estratégico de infraestructuras y transportes 2005-2020 no puede llevarnos a la conclusión de que el mismo no forma parte de un itinerario de interés general que es, como venimos señalando, el criterio que, unido al puramente territorial, permite calificar a una carretera como de competencia estatal”.</w:t>
      </w:r>
    </w:p>
    <w:p w:rsidR="00D06117" w:rsidRDefault="00D06117" w:rsidP="00D06117">
      <w:pPr>
        <w:pStyle w:val="TextoNormal"/>
      </w:pPr>
    </w:p>
    <w:p w:rsidR="00D06117" w:rsidRDefault="00D06117" w:rsidP="00D06117">
      <w:pPr>
        <w:pStyle w:val="TextoNormal"/>
      </w:pPr>
      <w:r>
        <w:t>Así pues, y del mismo modo que en la STC 112/2012 se declaró que invadía la competencia estatal en materia de carreteras ex art. 149.1.24 CE la resolución de 17 de noviembre de 2005 de la Secretaría General Técnica de la Consejería de Transportes e Infraestructuras de la Comunidad de Madrid, por la que se hace pública la convocatoria de concursos para la adjudicación de los contratos de consultoría y asistencia del anteproyecto de construcción y explotación de la obra “cierre norte de la M-50. Tramo: A-6 a M-607”, aquí debemos afirmar que la resolución de 9 de febrero de 2006 de la misma Secretaría General Técnica, por la que se hace pública la adjudicación de los contratos de consultoría y asistencia del mismo anteproyecto también invade la competencia estatal contemplada en el art. 149.1.24 CE.</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Por su parte respecto de la llamada “nueva carretera R-1”, dijimos en la STC 112/2012 que “el trazado recomendado por el Estado para la proyección de la ‘R-1’ discurre sobre el mismo corredor que la actuación a la que se refiere la Comunidad de Madrid (‘nueva carretera R-1. Tramo El Molar/M-12’) por lo que resultarían incompatibles y redundantes las dos carreteras, no obstante su parcialmente distinta denominación” (FJ 5). Esta conclusión permite afirmar que si la R-1, siendo una carretera que discurre íntegramente por el territorio </w:t>
      </w:r>
      <w:r>
        <w:lastRenderedPageBreak/>
        <w:t>de la Comunidad Autónoma de Madrid, es una carretera de interés general al concurrir en la misma las circunstancias previstas en los apartados 3.1 y 3.4, del art. 4 de la Ley de carreteras, y el itinerario de la “nueva carretera R-1” comprendido entre El Molar y la M-12 coincide con una parte del itinerario de la carretera estatal R-1, el competente para elaborar los estudios previos para la construcción de la autopista es el Estado, porque “la titularidad de una Administración sobre una carretera determina su competencia no sólo para su construcción sino para todos los aspectos conexos con ella”.</w:t>
      </w:r>
    </w:p>
    <w:p w:rsidR="00D06117" w:rsidRDefault="00D06117" w:rsidP="00D06117">
      <w:pPr>
        <w:pStyle w:val="TextoNormal"/>
      </w:pPr>
      <w:r>
        <w:tab/>
      </w:r>
    </w:p>
    <w:p w:rsidR="00D06117" w:rsidRDefault="00D06117" w:rsidP="00D06117">
      <w:pPr>
        <w:pStyle w:val="TextoNormal"/>
      </w:pPr>
      <w:r>
        <w:t>Del mismo modo que se declara en la STC 112/2012 que vulnera las competencias del Estado en materia de carreteras la resolución de 17 de noviembre de 2005, por las que se hacen públicas las convocatorias de concursos para la adjudicación de los contratos de consultoría y asistencia del anteproyecto de construcción y explotación de la “nueva carretera R-1. Tramo: El Molar/M-12 y cierre norte de la M-50. Tramo: 607/A-1”, idéntica declaración corresponde hacer respecto de la resolución de 9 de febrero de 2006 de la Secretaría General Técnica de la Consejería de Transportes e infraestructuras de la Comunidad de Madrid, por la que se hacen públicas las adjudicaciones de los contratos de consultoría y asistencia relativos al citado anteproyecto.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presente conflicto positivo de competencia y, en consecuencia:</w:t>
      </w:r>
    </w:p>
    <w:p w:rsidR="00D06117" w:rsidRDefault="00D06117" w:rsidP="00D06117">
      <w:pPr>
        <w:pStyle w:val="TextoNormal"/>
      </w:pPr>
    </w:p>
    <w:p w:rsidR="00D06117" w:rsidRDefault="00D06117" w:rsidP="00D06117">
      <w:pPr>
        <w:pStyle w:val="TextoNormal"/>
      </w:pPr>
      <w:r>
        <w:t>1º. Declarar que corresponde al Estado la competencia controvertida.</w:t>
      </w:r>
    </w:p>
    <w:p w:rsidR="00D06117" w:rsidRDefault="00D06117" w:rsidP="00D06117">
      <w:pPr>
        <w:pStyle w:val="TextoNormal"/>
      </w:pPr>
    </w:p>
    <w:p w:rsidR="00D06117" w:rsidRDefault="00D06117" w:rsidP="00D06117">
      <w:pPr>
        <w:pStyle w:val="TextoNormal"/>
      </w:pPr>
      <w:r>
        <w:t>2º. Declarar la nulidad de las resoluciones de 9 de febrero de 2006 de la Secretaría General Técnica de la Consejería de Transportes e Infraestructuras de la Comunidad de Madrid, por la que se hacen públicas las adjudicaciones, por concurso abierto y urgente, de los contratos de consultoría y asistencia relativos al anteproyecto de construcción y explotación de la obra “cierre norte de la M-50- Tramo: A-6 a M-607” y al anteproyecto de construcción y explotación de la “nueva carretera R-1. Tramo: El Molar/M-12 y cierre norte de la M-50. Tramo: 607/A-1”.</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cinco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8" w:name="SENTENCIA_2012_125"/>
      <w:r>
        <w:lastRenderedPageBreak/>
        <w:t>SENTENCIA 125/2012, de 18 de junio de 2012</w:t>
      </w:r>
    </w:p>
    <w:bookmarkEnd w:id="128"/>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ECLI:ES:TC:2012:125</w:t>
      </w:r>
    </w:p>
    <w:p w:rsidR="00D06117" w:rsidRDefault="00D06117" w:rsidP="00D06117">
      <w:pPr>
        <w:pStyle w:val="SntesisDescriptiva"/>
      </w:pPr>
    </w:p>
    <w:p w:rsidR="00D06117" w:rsidRDefault="00D06117" w:rsidP="00D06117">
      <w:pPr>
        <w:pStyle w:val="SntesisDescriptiva"/>
      </w:pPr>
      <w:r>
        <w:t>Recurso de amparo 5583-2005. Promovido por Viajes Mapfre, Agencia de Viajes, S.A., en relación con los Autos de la Audiencia Provincial de Madrid declarando desierto un recurso de apelación al no haberse acreditado la liquidación de la tasa por ejercicio de la potestad jurisdiccional.</w:t>
      </w:r>
    </w:p>
    <w:p w:rsidR="00D06117" w:rsidRDefault="00D06117" w:rsidP="00D06117">
      <w:pPr>
        <w:pStyle w:val="SntesisDescriptiva"/>
      </w:pPr>
    </w:p>
    <w:p w:rsidR="00D06117" w:rsidRDefault="00D06117" w:rsidP="00D06117">
      <w:pPr>
        <w:pStyle w:val="SntesisAnaltica"/>
      </w:pPr>
      <w:r>
        <w:t>Vulneración del derecho a la tutela judicial efectiva (acceso al recurso): archivo del recurso de apelación civil por impago de la tasa por ejercicio de la potestad jurisdiccional sin brindar la oportunidad de subsanar el defecto padecido (SSTC 20/2012 y 79/2012).</w:t>
      </w:r>
    </w:p>
    <w:p w:rsidR="00D06117" w:rsidRDefault="00D06117" w:rsidP="00D06117">
      <w:pPr>
        <w:pStyle w:val="SntesisAnaltica"/>
      </w:pPr>
    </w:p>
    <w:p w:rsidR="00D06117" w:rsidRDefault="00D06117" w:rsidP="00D06117">
      <w:pPr>
        <w:pStyle w:val="Extracto"/>
      </w:pPr>
      <w:r>
        <w:t>1.</w:t>
      </w:r>
      <w:r>
        <w:tab/>
        <w:t>Aplica la doctrina sobre la constitucionalidad de la tasa por el ejercicio de la potestad jurisdiccional en el orden civil en relación con el derecho a los recursos legalmente previstos, de las SSTC 20/2012, 79/2012 y 103/2012 [FFJJ 3 a 5].</w:t>
      </w:r>
    </w:p>
    <w:p w:rsidR="00D06117" w:rsidRDefault="00D06117" w:rsidP="00D06117">
      <w:pPr>
        <w:pStyle w:val="Extracto"/>
      </w:pPr>
    </w:p>
    <w:p w:rsidR="00D06117" w:rsidRDefault="00D06117" w:rsidP="00D06117">
      <w:pPr>
        <w:pStyle w:val="Extracto"/>
      </w:pPr>
      <w:r>
        <w:t>2.</w:t>
      </w:r>
      <w:r>
        <w:tab/>
        <w:t>Las tasas judiciales establecidas por la Ley 53/2002, como condición para que los Tribunales del orden jurisdiccional civil den curso a las demandas presentadas por las personas jurídicas con ánimo de lucro son tributos cuyo hecho imponible no es ajeno a la función jurisdiccional y, por consiguiente, es constitucionalmente válido condicionar la sustanciación del proceso a que acrediten que las han satisfecho (STC 141/1988) [FJ 4].</w:t>
      </w:r>
    </w:p>
    <w:p w:rsidR="00D06117" w:rsidRDefault="00D06117" w:rsidP="00D06117">
      <w:pPr>
        <w:pStyle w:val="Extracto"/>
      </w:pPr>
    </w:p>
    <w:p w:rsidR="00D06117" w:rsidRDefault="00D06117" w:rsidP="00D06117">
      <w:pPr>
        <w:pStyle w:val="Extracto"/>
      </w:pPr>
      <w:r>
        <w:t>3.</w:t>
      </w:r>
      <w:r>
        <w:tab/>
        <w:t>Si no limita el derecho de acceso a la justicia requerir a las entidades mercantiles que contribuyan a financiar la actividad jurisdiccional que conlleva juzgar las demandas en las que reclaman derechos de contenido económico, muchos menos puede apreciarse esa exigencia respecto al derecho de acceso a los recursos, donde el juicio de proporcionalidad al que puede someterse la decisión del legislador por este Tribunal es menos intenso (SSTC 20/2012, 103/2012) [FJ 4].</w:t>
      </w:r>
    </w:p>
    <w:p w:rsidR="00D06117" w:rsidRDefault="00D06117" w:rsidP="00D06117">
      <w:pPr>
        <w:pStyle w:val="Extracto"/>
      </w:pPr>
    </w:p>
    <w:p w:rsidR="00D06117" w:rsidRDefault="00D06117" w:rsidP="00D06117">
      <w:pPr>
        <w:pStyle w:val="Extracto"/>
      </w:pPr>
      <w:r>
        <w:t>4.</w:t>
      </w:r>
      <w:r>
        <w:tab/>
        <w:t>Nada hay en el art. 35.7.2 de la Ley 53/2002, que impida entender que el justiciable puede presentar dentro del plazo de subsanación el justificante de haber abonado la tasa, antes de presentar el escrito del recurso o en cualquier momento posterior, siempre que sea antes de que hayan transcurrido los diez días de plazo que otorga expresamente el citado precepto [FJ 5].</w:t>
      </w:r>
    </w:p>
    <w:p w:rsidR="00D06117" w:rsidRDefault="00D06117" w:rsidP="00D06117">
      <w:pPr>
        <w:pStyle w:val="Extracto"/>
      </w:pPr>
    </w:p>
    <w:p w:rsidR="00D06117" w:rsidRDefault="00D06117" w:rsidP="00D06117">
      <w:pPr>
        <w:pStyle w:val="Extracto"/>
      </w:pPr>
      <w:r>
        <w:t>5.</w:t>
      </w:r>
      <w:r>
        <w:tab/>
        <w:t xml:space="preserve">Vulnera el derecho a la tutela judicial efectiva, </w:t>
      </w:r>
      <w:r w:rsidRPr="00D06117">
        <w:rPr>
          <w:i/>
        </w:rPr>
        <w:t>ex</w:t>
      </w:r>
      <w:r>
        <w:t xml:space="preserve"> art. 24 CE, en su vertiente de acceso a los recursos legalmente previstos, la privación por el órgano judicial de primera instancia del plazo de subsanación del pago de la tasa y el posterior requerimiento de la Audiencia Provincial para acreditar el pago de la misma, no admitiendo su ingreso con posterioridad a la expiración del término de emplazamiento para la interposición del recurso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5583-2005, promovido por la Mercantil Viajes Mapfre, Agencia de Viajes, S.A., representada por el Procurador de los Tribunales don Julián Caballero Ahumado, y asistida por el Letrado don José Luis Carasa Rodríguez, contra los Autos de la Sección Décima de la Audiencia Provincial de Madrid de 5 de mayo y 6 de junio de 2005, por los que se archiva el recurso de apelación intentado por la recurrente. Ha intervenido el Ministerio Fiscal. Ha sido Ponente el Magistrado don Luis Ignacio Ortega Álvarez,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el 21 de julio de 2005 la demandante interpuso recurso de amparo contra las resoluciones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se fundamenta la demanda son, sucintamente expuestos, los siguientes:</w:t>
      </w:r>
    </w:p>
    <w:p w:rsidR="00D06117" w:rsidRDefault="00D06117" w:rsidP="00D06117">
      <w:pPr>
        <w:pStyle w:val="TextoNormal"/>
      </w:pPr>
    </w:p>
    <w:p w:rsidR="00D06117" w:rsidRDefault="00D06117" w:rsidP="00D06117">
      <w:pPr>
        <w:pStyle w:val="TextoNormal"/>
      </w:pPr>
      <w:r>
        <w:t>La parte recurrente dedujo demanda de amparo contra los Autos de 5 de mayo y 6 de junio de 2005, dictados por la Sección Décima de la Audiencia Provincial de Madrid en el rollo de apelación núm. 128-2005 (procedente del procedimiento ordinario núm. 156-2004 del Juzgado de Primera Instancia e Instrucción núm. 6 de Getafe). En el primero de los Autos se rechazaba el recurso de reforma interpuesto contra anterior providencia de la Sección en la que se requería al apelante para que aportase el resguardo acreditativo de haber autoliquidado en tiempo oportuno la tasa por el ejercicio de la potestad jurisdiccional devengada a consecuencia de la interposición de un recurso de apelación. En el segundo, se acordó declarar indebidamente admitido el recurso de apelación interpuesto y la firmeza de la Sentencia impugnada. El órgano judicial razonaba que el art. 35, apartado 7.2, de la Ley 53/2002, de medidas fiscales, administrativas y de orden social, autoriza sólo la subsanación del requisito de acreditar el pago de la tasa, pero no el requisito del pago mismo, de suerte que, al no haberse cumplido con la totalidad de los requisitos exigibles para la admisión de la apelación, resultaba procedente declararla mal admitida y archivar las actuaciones.</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La entidad mercantil demandante de amparo considera que el órgano judicial lesionó su derecho a la tutela judicial efectiva, art. 24 CE, al no permitir la subsanación del requisito del pago de la tasa por el ejercicio de la potestad jurisdiccional. A su juicio, el carácter subsanable del requisito del propio pago de la tasa y no sólo de la justificación de tal pago </w:t>
      </w:r>
      <w:r>
        <w:lastRenderedPageBreak/>
        <w:t>se desprende del desarrollo reglamentario de la ley, efectuado por la Orden del Ministerio de Hacienda núm. 661-2003, de 24 de marzo, que exige que el Secretario Judicial requiera de pago al sujeto pasivo si junto con el escrito que realiza el hecho imponible (en este caso la interposición de la apelación) no se acredita el pago de la tasa en cuestión. Y en el mismo sentido, la resolución de la Secretaría de Estado de Justicia, de 8 de noviembre de 2003, por la que se dicta instrucciones a los Secretarios Judiciales en relación con la tasa por el ejercicio de la potestad jurisdiccional.</w:t>
      </w:r>
    </w:p>
    <w:p w:rsidR="00D06117" w:rsidRDefault="00D06117" w:rsidP="00D06117">
      <w:pPr>
        <w:pStyle w:val="TextoNormal"/>
      </w:pPr>
    </w:p>
    <w:p w:rsidR="00D06117" w:rsidRDefault="00D06117" w:rsidP="00D06117">
      <w:pPr>
        <w:pStyle w:val="TextoNormal"/>
      </w:pPr>
      <w:r>
        <w:t>En una segunda línea de razonamiento denuncia que el efecto de no dar curso al escrito en que se realice el hecho imponible, prevista en el art. 35, apartado 7.2, de la Ley 53/2002, resulta contrario al derecho a la tutela judicial efectiva reconocido en el art. 24.1 CE al suponer una consecuencia desproporcionada con el objetivo recaudatorio al que se ordena la tasa, máxime cuando las disposiciones de desarrollo prevén que la falta de ingreso del tributo tan sólo de lugar a una comunicación a la Administración tributaria para que ésta liquide de oficio la tasa. En apoyo de esta tesis trae a colación la doctrina sentada en la STC 141/1988, de 12 de julio, que declaró inconstitucional el art. 57.1 de la Ley del impuesto sobre transmisiones patrimoniales y actos jurídicos documentados.</w:t>
      </w:r>
    </w:p>
    <w:p w:rsidR="00D06117" w:rsidRDefault="00D06117" w:rsidP="00D06117">
      <w:pPr>
        <w:pStyle w:val="TextoNormal"/>
      </w:pPr>
    </w:p>
    <w:p w:rsidR="00D06117" w:rsidRDefault="00D06117" w:rsidP="00D06117">
      <w:pPr>
        <w:pStyle w:val="TextoNormal"/>
      </w:pPr>
      <w:r w:rsidRPr="00D06117">
        <w:rPr>
          <w:rStyle w:val="NumeroAFNegritaCaracter"/>
        </w:rPr>
        <w:t>4</w:t>
      </w:r>
      <w:r>
        <w:t>. Después de oír a las partes en el trámite del art. 50.3 LOTC (en su redacción anterior a la reforma operada por la Ley Orgánica 6/2007, de 24 de mayo), mediante providencia de 1 de julio de 2008, la Sala Segunda de este Tribunal, conforme al art. 11.2 LOTC, acordó admitir a trámite el presente recurso de amparo y requerir, en base al art.51 LOTC, a la Sección Décima de la Audiencia Provincial de Madrid para que remitiera testimonio de las actuaciones del rollo de apelación núm. 128-2005. Por diligencia de ordenación de 24 de septiembre de 2008, de conformidad con lo dispuesto por el art. 52.1 LOTC, se concedió a las partes y al Ministerio público plazo de veinte días para formular las alegaciones que estimasen pertinentes.</w:t>
      </w:r>
    </w:p>
    <w:p w:rsidR="00D06117" w:rsidRDefault="00D06117" w:rsidP="00D06117">
      <w:pPr>
        <w:pStyle w:val="TextoNormal"/>
      </w:pPr>
    </w:p>
    <w:p w:rsidR="00D06117" w:rsidRDefault="00D06117" w:rsidP="00D06117">
      <w:pPr>
        <w:pStyle w:val="TextoNormal"/>
      </w:pPr>
      <w:r w:rsidRPr="00D06117">
        <w:rPr>
          <w:rStyle w:val="NumeroAFNegritaCaracter"/>
        </w:rPr>
        <w:t>5</w:t>
      </w:r>
      <w:r>
        <w:t>. En las alegaciones presentadas el día 17 de octubre de 2008, tras realizar un análisis del régimen jurídico de la tasa por el ejercicio de la potestad jurisdiccional, sostiene el Ministerio Fiscal que lo que en este proceso de amparo se debate no es si la exigencia del pago de la tasa judicial prevista en la Ley 53/2002 es o no contraria al derecho a la tutela judicial efectiva (art. 24.1 CE), sino si la interpretación y aplicación de la indicada normativa por el órgano judicial supuso o no una vulneración del indicado derecho fundamental. Considera que la regulación legal y reglamentaria de la tasa en cuestión exige que se requiera al sujeto pasivo para que pague la tasa si no aporta justificación de haberlo efectuado junto con el escrito correspondiente, dando así ocasión de subsanar, no sólo la acreditación del pago de la tasa, sino su mismo pago, posibilidad de la que se ha privado al demandante de amparo, el cual, ni fue requerido por el Secretario Judicial del Juzgado ante el que presentó el escrito que realizaba el hecho imponible para que acreditase el pago de la tasa o realizara el pago, ni tampoco pudo pagar la tasa cuando la Audiencia Provincial advirtió el defecto.</w:t>
      </w:r>
    </w:p>
    <w:p w:rsidR="00D06117" w:rsidRDefault="00D06117" w:rsidP="00D06117">
      <w:pPr>
        <w:pStyle w:val="TextoNormal"/>
      </w:pPr>
    </w:p>
    <w:p w:rsidR="00D06117" w:rsidRDefault="00D06117" w:rsidP="00D06117">
      <w:pPr>
        <w:pStyle w:val="TextoNormal"/>
      </w:pPr>
      <w:r w:rsidRPr="00D06117">
        <w:rPr>
          <w:rStyle w:val="NumeroAFNegritaCaracter"/>
        </w:rPr>
        <w:t>6</w:t>
      </w:r>
      <w:r>
        <w:t>. El demandante de amparo formuló alegaciones mediante escrito presentado el 29 de octubre de 2008, insistiendo en que, al no habérsele dado ocasión de subsanar la omisión del pago de la tasa, se le ha privado del derecho a la segunda instancia, vulnerándose así su derecho a la tutela judicial efectiva (art. 24.1 CE).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7</w:t>
      </w:r>
      <w:r>
        <w:t>. Mediante providencia de 4 de octubre de 2010 la Sala Segunda acordó, de conformidad con lo dispuesto en los arts. 55.2 y 35.2 LOTC, y con suspensión del plazo para dictar Sentencia, oír a la parte recurrente y al Ministerio Fiscal por término de diez días a fin de que pudieran alegar lo que estimasen oportuno sobre la pertinencia de plantear cuestión de inconstitucionalidad por si el art. 35, apartado 7.2, de la Ley 53/2002, de 30 de diciembre, de medidas fiscales, administrativas y de orden social, vulnera el derecho fundamental a la tutela judicial efectiva (art. 24.1 CE) en cuanto condiciona el curso del proceso al pago del tributo.</w:t>
      </w:r>
    </w:p>
    <w:p w:rsidR="00D06117" w:rsidRDefault="00D06117" w:rsidP="00D06117">
      <w:pPr>
        <w:pStyle w:val="TextoNormal"/>
      </w:pPr>
    </w:p>
    <w:p w:rsidR="00D06117" w:rsidRDefault="00D06117" w:rsidP="00D06117">
      <w:pPr>
        <w:pStyle w:val="TextoNormal"/>
      </w:pPr>
      <w:r>
        <w:t>La parte recurrente, mediante escrito de 4 de noviembre de 2010 manifestó su acuerdo al planteamiento de la cuestión interna de inconstitucional. Por su parte, el Ministerio Fiscal, formuló alegaciones el 10 de noviembre de 2010; a su juicio no sería necesario tal planteamiento, puesto que cabría otorgar el amparo sin necesidad de analizar la constitucionalidad de la norma.</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Auto de 21 de diciembre de 2010, la Sala Segunda acordó elevar al Pleno cuestión interna de inconstitucionalidad, que fue aceptada por el Pleno de este Tribunal en providencia de 1 de marzo de 2011.</w:t>
      </w:r>
    </w:p>
    <w:p w:rsidR="00D06117" w:rsidRDefault="00D06117" w:rsidP="00D06117">
      <w:pPr>
        <w:pStyle w:val="TextoNormal"/>
      </w:pPr>
    </w:p>
    <w:p w:rsidR="00D06117" w:rsidRDefault="00D06117" w:rsidP="00D06117">
      <w:pPr>
        <w:pStyle w:val="TextoNormal"/>
      </w:pPr>
      <w:r>
        <w:t>El Pleno dictó la Sentencia 104/2012, de 10 de mayo, en la que desestimó la cuestión interna planteada precisando en el fundamento jurídico segundo que la queja relativa a la inadmisión de la subsanación del requisito del pago de la tasa, no fue objeto de la citada cuestión interna de inconstitucionalidad.</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14 de junio de 2012 se señaló para deliberación y votación de la presente Sentencia del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tiene por objeto los Autos de 5 de mayo y 6 de junio de 2005 dictados por la Sección Décima de la Audiencia Provincial de Madrid en el rollo de apelación núm. 128-2005 (procedente del procedimiento ordinario núm. 156-2004 del Juzgado de Primera Instancia e Instrucción núm. 6 de Getafe).</w:t>
      </w:r>
    </w:p>
    <w:p w:rsidR="00D06117" w:rsidRDefault="00D06117" w:rsidP="00D06117">
      <w:pPr>
        <w:pStyle w:val="TextoNormal"/>
      </w:pPr>
    </w:p>
    <w:p w:rsidR="00D06117" w:rsidRDefault="00D06117" w:rsidP="00D06117">
      <w:pPr>
        <w:pStyle w:val="TextoNormal"/>
      </w:pPr>
      <w:r>
        <w:t xml:space="preserve">Como ha quedado expuesto con más detalle en los antecedentes, la parte recurrente en amparo interpuso recurso de apelación frente a la Sentencia dictada en instancia, sin que se le pusiera de manifiesto la ausencia de ningún requisito para la tramitación de tal recurso. En concreto, nada se advirtió por el Secretario Judicial en relación al pago de la tasa por ejercicio de potestad jurisdiccional recogida en el art. 35, apartado 7.2, de la Ley 53/2002 de medidas fiscales, administrativas y de orden social. La Audiencia Provincial mediante providencia de 2 de marzo de 2005, requirió a la recurrente para que el plazo de cinco días acreditara el pago de la citada tasa mediante la presentación del modelo correspondiente de autoliquidación, advirtiendo que no se admite el ingreso de la misma con posterioridad a la expiración del término de emplazamiento para la interposición del recurso. La parte recurrente interpuso recurso de súplica en el que, a pesar de reconocer que no había realizado el ingreso de la tasa, explicaba que el Secretario Judicial del Juzgado de Primera Instancia, a </w:t>
      </w:r>
      <w:r>
        <w:lastRenderedPageBreak/>
        <w:t>pesar de tal omisión y sin otorgar un plazo de subsanación como prevé la ley, dio trámite a su escrito de interposición del recurso de apelación. Considera que tal actuación habría impedido la subsanación de una omisión legalmente subsanable. La Audiencia Provincial, mediante Auto de 5 de mayo de 2005, desestimó la súplica.</w:t>
      </w:r>
    </w:p>
    <w:p w:rsidR="00D06117" w:rsidRDefault="00D06117" w:rsidP="00D06117">
      <w:pPr>
        <w:pStyle w:val="TextoNormal"/>
      </w:pPr>
    </w:p>
    <w:p w:rsidR="00D06117" w:rsidRDefault="00D06117" w:rsidP="00D06117">
      <w:pPr>
        <w:pStyle w:val="TextoNormal"/>
      </w:pPr>
      <w:r w:rsidRPr="00D06117">
        <w:rPr>
          <w:rStyle w:val="NumeroAFNegritaCaracter"/>
        </w:rPr>
        <w:t>2</w:t>
      </w:r>
      <w:r>
        <w:t>. La Sala Segunda elevó al Pleno del Tribunal cuestión interna de inconstitucionalidad sobre el art. art. 35, apartado 7.2, de la Ley 53/2002 de medidas fiscales, administrativas y de orden social, por si vulnerara el derecho fundamental a la tutela judicial efectiva (art. 24.1 CE) en cuanto condiciona el curso del proceso al pago del tributo. Mediante Sentencia 104/2012, de 10 de mayo, el Pleno desestimó la cuestión planteada, por lo que procede ahora la resolución del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3</w:t>
      </w:r>
      <w:r>
        <w:t>. Se plantean en la demanda dos cuestiones distintas aunque relacionadas ambas con la posible vulneración del derecho a la tutela judicial efectiva del recurrente. Para un examen más coherente de la demanda, es oportuno alterar el orden de las alegaciones planteadas, debiendo comenzar el presente análisis por la queja que pone en duda la propia constitucionalidad de la tasa exigida en el art. art. 35, apartado 7.2, de la Ley 53/2002 de medidas fiscales, administrativas y de orden social, que la recurrente consideraba contrario al art. 24 CE. En segundo término, si se llega a apreciar la constitucionalidad de la misma habrá que plantearse si la interpretación realizada por la Audiencia Provincial sobre la no subsanabilidad de la falta del pago de la tasa, podría haber vulnerado el citado art. 24 CE.</w:t>
      </w:r>
    </w:p>
    <w:p w:rsidR="00D06117" w:rsidRDefault="00D06117" w:rsidP="00D06117">
      <w:pPr>
        <w:pStyle w:val="TextoNormal"/>
      </w:pPr>
    </w:p>
    <w:p w:rsidR="00D06117" w:rsidRDefault="00D06117" w:rsidP="00D06117">
      <w:pPr>
        <w:pStyle w:val="TextoNormal"/>
      </w:pPr>
      <w:r>
        <w:t>La primera cuestión suscitada por la demandante ha sido recientemente resuelta por este Tribunal. Como antes se ha puesto de manifiesto, durante la tramitación del presente recurso de amparo la Sala Segunda elevó cuestión interna de constitucionalidad sobre la adecuación de la tasa del art. 35, apartado 7.2, de la Ley 53/2002 de medidas fiscales, administrativas y de orden social, al art. 24 CE. El Pleno, mediante Sentencia 104/2012, de 10 de mayo, resolvió la cuestión remitiéndose a la previa STC 20/2012, de 16 de febrero, y a la STC 103/2012, de 9 de mayo, que, en sendas cuestiones internas de inconstitucionalidad, analizaron, respectivamente, la constitucionalidad del precepto en relación con el derecho de acceso a la justicia y en relación con el derecho a los recursos legalmente previstos. También la interpretación del citado precepto en cuanto a la subsanabilidad del pago de la tasa ha sido abordada por el Tribunal en la STC 79/2012, de 17 de abril.</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Sobre el primer problema, resolviendo una cuestión de inconstitucionalidad sobre el precepto controvertido en el presente recurso de amparo, en la STC 20/2012, de 16 de febrero, FJ 12, consideramos que “es evidente que las tasas judiciales establecidas por la Ley 53/2002 como condición para que los Tribunales del orden jurisdiccional civil den curso a las demandas presentadas por los justiciables, en los términos que han sido examinados por esta Sentencia, son tributos cuyo hecho imponible no es ajeno a la función jurisdiccional y que imponen una carga económica que persigue un fin vinculado al proceso mismo. Por consiguiente, la doctrina de la Sentencia 141/1988 nos lleva a concluir que es constitucionalmente válida la limitación impuesta por la norma legal enjuiciada, que consiste en condicionar la sustanciación del proceso instado en la demanda civil que presentan las personas jurídicas con ánimo de lucro, sujetas al impuesto de sociedades y con una facturación anual elevada, a que acrediten que han satisfecho el deber de contribuir al sostenimiento del gasto público que conlleva el ejercicio de la potestad jurisdiccional, que les beneficia de modo </w:t>
      </w:r>
      <w:r>
        <w:lastRenderedPageBreak/>
        <w:t>particular en la medida en que juzga las pretensiones deducidas en defensa de sus derechos e interés legítimos en el orden civil”.</w:t>
      </w:r>
    </w:p>
    <w:p w:rsidR="00D06117" w:rsidRDefault="00D06117" w:rsidP="00D06117">
      <w:pPr>
        <w:pStyle w:val="TextoNormal"/>
      </w:pPr>
    </w:p>
    <w:p w:rsidR="00D06117" w:rsidRDefault="00D06117" w:rsidP="00D06117">
      <w:pPr>
        <w:pStyle w:val="TextoNormal"/>
      </w:pPr>
      <w:r>
        <w:t>Mas concretamente, al hilo de otra cuestión interna de constitucionalidad, afirmamos en la STC 103/2012, de 9 de mayo, FJ 5, que “si el art. 35 de la Ley 53/2002, en la medida que requiere a entidades mercantiles con un elevado volumen de facturación que contribuyan a financiar la actividad jurisdiccional que conlleva juzgar las demandas en las que reclaman derechos de contenido económico so pena de no darles curso, no limita de un modo desproporcionado el derecho de acceso a la justicia, como hemos declarado en la STC 20/2012, mucho menos puede apreciarse desproporción en ese precepto cuando proyecta esa misma exigencia sobre idénticos sujetos y con iguales consecuencias pero referida a la promoción de recursos contra un previo pronunciamiento judicial, ámbito éste en el que, como ya hemos apuntado, el juicio de proporcionalidad al que puede someterse la decisión del legislador por este Tribunal es menos intenso, todo lo cual implica que la limitación de acceso a los recursos previstos en las leyes procesales civiles que dispone el precepto objeto de este proceso no desconozca la dimensión de la tutela judicial efectiva (art. 24.1 CE) que garantiza el acceso a los recursos establecidos en la ley y que, en su virtud, proceda desestimar esta cuestión de inconstitucionalidad”.</w:t>
      </w:r>
    </w:p>
    <w:p w:rsidR="00D06117" w:rsidRDefault="00D06117" w:rsidP="00D06117">
      <w:pPr>
        <w:pStyle w:val="TextoNormal"/>
      </w:pPr>
    </w:p>
    <w:p w:rsidR="00D06117" w:rsidRDefault="00D06117" w:rsidP="00D06117">
      <w:pPr>
        <w:pStyle w:val="TextoNormal"/>
      </w:pPr>
      <w:r>
        <w:t>De la aplicación de la citada doctrina a la queja planteada en el presente recurso de amparo, en la que se argumentaba que la exigencia de la tasa para la tramitación del recurso de apelación intentado era contraria al art. 24 CE, sólo cabe concluir con su desestimación al carecer de contenido constitucional.</w:t>
      </w:r>
    </w:p>
    <w:p w:rsidR="00D06117" w:rsidRDefault="00D06117" w:rsidP="00D06117">
      <w:pPr>
        <w:pStyle w:val="TextoNormal"/>
      </w:pPr>
    </w:p>
    <w:p w:rsidR="00D06117" w:rsidRDefault="00D06117" w:rsidP="00D06117">
      <w:pPr>
        <w:pStyle w:val="TextoNormal"/>
      </w:pPr>
      <w:r w:rsidRPr="00D06117">
        <w:rPr>
          <w:rStyle w:val="NumeroAFNegritaCaracter"/>
        </w:rPr>
        <w:t>5</w:t>
      </w:r>
      <w:r>
        <w:t>. En cuanto a la segunda lesión aducida, relativa a la vulneración del derecho a la tutela judicial efectiva por no haber podido subsanar la omisión del pago de la tasa, este Tribunal, al hilo de otra cuestión de inconstitucionalidad sobre el artículo aplicado, en la STC 79/2012, de 17 de abril, FJ 6, consideró que “cuando el art. 35.7.2 afirma que sin el justificante del pago de la tasa, el Secretario judicial no dará curso al escrito procesal mediante el que se realice el hecho imponible del tributo, ‘salvo que la omisión fuere subsanada en un plazo de diez días’, nada hay en el precepto legal que impida entender que el justiciable puede presentar dentro del plazo el justificante de haber abonado la tasa, antes de presentar el escrito del recurso o en cualquier momento posterior, siempre que sea antes de que hayan transcurrido los diez días de plazo que otorga expresamente el precepto”.</w:t>
      </w:r>
    </w:p>
    <w:p w:rsidR="00D06117" w:rsidRDefault="00D06117" w:rsidP="00D06117">
      <w:pPr>
        <w:pStyle w:val="TextoNormal"/>
      </w:pPr>
    </w:p>
    <w:p w:rsidR="00D06117" w:rsidRDefault="00D06117" w:rsidP="00D06117">
      <w:pPr>
        <w:pStyle w:val="TextoNormal"/>
      </w:pPr>
      <w:r>
        <w:t xml:space="preserve">En el presente caso, según se desprende de las actuaciones remitidas, la parte recurrente fue privada del plazo de subsanación establecido en el citado precepto, ya que en el momento de presentar el recurso de apelación ante el órgano judicial de primera instancia, a pesar de no adjuntar el justificante del pago de la correspondiente tasa, el Secretario Judicial dio trámite a su escrito sin advertencia alguna en relación al pago del tributo. Ante esta situación, la Audiencia Provincial, sin censurar la actuación del órgano judicial de instancia, requirió a la recurrente para que el plazo de cinco días acreditara el pago de la citada tasa mediante la presentación del modelo correspondiente de autoliquidación, advirtiendo que no se admite el ingreso de la misma con posterioridad a la expiración del término de emplazamiento para la interposición del recurso. Esta interpretación llevada a cabo por la Audiencia Provincial, junto con la actuación del órgano judicial de primera instancia que no advirtió —ni por tanto otorgó— al recurrente del plazo de subsanación que prevé el precepto, debe considerarse, a la luz de la jurisprudencia constitucional señalada, lesiva del derecho </w:t>
      </w:r>
      <w:r>
        <w:lastRenderedPageBreak/>
        <w:t>a la tutela judicial efectiva, art. 24 CE, en su vertiente de acceso a los recursos legalmente previstos.</w:t>
      </w:r>
    </w:p>
    <w:p w:rsidR="00D06117" w:rsidRDefault="00D06117" w:rsidP="00D06117">
      <w:pPr>
        <w:pStyle w:val="TextoNormal"/>
      </w:pPr>
    </w:p>
    <w:p w:rsidR="00D06117" w:rsidRDefault="00D06117" w:rsidP="00D06117">
      <w:pPr>
        <w:pStyle w:val="TextoNormal"/>
      </w:pPr>
      <w:r>
        <w:t>Procede, por tanto, otorgar el amparo en relación a la queja relativa a la lesión del derecho a la tutela judicial efectiva, en su vertiente de acceso a los recursos legalmente previstos, al haber sido declarado desierto el recurso de apelación intentado por la recurrente, al considerar la Audiencia Provincial insubsanable el pago de la tasa establecida en el art. 35, apartado 7.2, de la Ley 53/2002 de medidas fiscales, administrativas y de orden social.</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la Mercantil Viajes Mapfre, Agencia de Viajes, S.A., y, en su virtud:</w:t>
      </w:r>
    </w:p>
    <w:p w:rsidR="00D06117" w:rsidRDefault="00D06117" w:rsidP="00D06117">
      <w:pPr>
        <w:pStyle w:val="TextoNormal"/>
      </w:pPr>
    </w:p>
    <w:p w:rsidR="00D06117" w:rsidRDefault="00D06117" w:rsidP="00D06117">
      <w:pPr>
        <w:pStyle w:val="TextoNormal"/>
      </w:pPr>
      <w:r>
        <w:t>1º Declarar vulnerado el derecho a la tutela judicial efectiva, art. 24 CE, en su vertiente de acceso a los recursos legalmente previstos, de la Mercantil Viajes Mapfre, Agencia de Viajes, S.A.</w:t>
      </w:r>
    </w:p>
    <w:p w:rsidR="00D06117" w:rsidRDefault="00D06117" w:rsidP="00D06117">
      <w:pPr>
        <w:pStyle w:val="TextoNormal"/>
      </w:pPr>
    </w:p>
    <w:p w:rsidR="00D06117" w:rsidRDefault="00D06117" w:rsidP="00D06117">
      <w:pPr>
        <w:pStyle w:val="TextoNormal"/>
      </w:pPr>
      <w:r>
        <w:t>2º Restablecerla en su derecho y, a tal fin, anular los Autos de 5 de mayo y 6 de junio de 2005 dictados por la Sección Décima de la Audiencia Provincial de Madrid en el rollo de apelación núm. 128-2005 (procedente del procedimiento ordinario núm. 156-2004 del Juzgado de Primera Instancia e Instrucción núm. 6 de Getafe), ordenándose la retroacción de las actuaciones judiciales al momento anterior al que se produjo la lesión señalada para que se dicte una resolución judicial respetuosa con el derecho fundamental lesionado.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29" w:name="SENTENCIA_2012_126"/>
      <w:r>
        <w:lastRenderedPageBreak/>
        <w:t>SENTENCIA 126/2012, de 18 de junio de 2012</w:t>
      </w:r>
    </w:p>
    <w:bookmarkEnd w:id="129"/>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ECLI:ES:TC:2012:126</w:t>
      </w:r>
    </w:p>
    <w:p w:rsidR="00D06117" w:rsidRDefault="00D06117" w:rsidP="00D06117">
      <w:pPr>
        <w:pStyle w:val="SntesisDescriptiva"/>
      </w:pPr>
    </w:p>
    <w:p w:rsidR="00D06117" w:rsidRDefault="00D06117" w:rsidP="00D06117">
      <w:pPr>
        <w:pStyle w:val="SntesisDescriptiva"/>
      </w:pPr>
      <w:r>
        <w:t>Recurso de amparo 1714-2009. Promovido por don Francisco Real Granado con respecto a la Sentencia de la Audiencia Provincial de Cádiz que, en apelación, le condenó por sendos delitos de malos tratos y coacciones.</w:t>
      </w:r>
    </w:p>
    <w:p w:rsidR="00D06117" w:rsidRDefault="00D06117" w:rsidP="00D06117">
      <w:pPr>
        <w:pStyle w:val="SntesisDescriptiva"/>
      </w:pPr>
    </w:p>
    <w:p w:rsidR="00D06117" w:rsidRDefault="00D06117" w:rsidP="00D06117">
      <w:pPr>
        <w:pStyle w:val="SntesisAnaltica"/>
      </w:pPr>
      <w:r>
        <w:t>Vulneración de los derechos a un proceso con todas las garantías, a la defensa y a la presunción de inocencia: condena pronunciada en apelación sin haber celebrado vista pública (STC 167/2002); elemento subjetivo del injusto apreciado valorando las declaraciones de testigos.</w:t>
      </w:r>
    </w:p>
    <w:p w:rsidR="00D06117" w:rsidRDefault="00D06117" w:rsidP="00D06117">
      <w:pPr>
        <w:pStyle w:val="SntesisAnaltica"/>
      </w:pPr>
    </w:p>
    <w:p w:rsidR="00D06117" w:rsidRDefault="00D06117" w:rsidP="00D06117">
      <w:pPr>
        <w:pStyle w:val="Extracto"/>
      </w:pPr>
      <w:r>
        <w:t>1.</w:t>
      </w:r>
      <w:r>
        <w:tab/>
        <w:t xml:space="preserve">Vulnera el derecho a la defensa, </w:t>
      </w:r>
      <w:r w:rsidRPr="00D06117">
        <w:rPr>
          <w:i/>
        </w:rPr>
        <w:t>ex</w:t>
      </w:r>
      <w:r>
        <w:t xml:space="preserve"> art. 24.2 CE, el distinto enjuiciamiento sobre los hechos subjetivos sin haber dado audiencia al acusado, por cuanto la condena no sólo se sostiene sobre una nueva valoración de las pruebas personales sin la debida inmediación, sino que ha sido consecuencia de la modificación de los hechos probados sin dar oportunidad al acusado para ejercitar su defensa ante el órgano </w:t>
      </w:r>
      <w:r w:rsidRPr="00D06117">
        <w:rPr>
          <w:i/>
        </w:rPr>
        <w:t>ad quem</w:t>
      </w:r>
      <w:r>
        <w:t xml:space="preserve"> [FJ 4].</w:t>
      </w:r>
    </w:p>
    <w:p w:rsidR="00D06117" w:rsidRDefault="00D06117" w:rsidP="00D06117">
      <w:pPr>
        <w:pStyle w:val="Extracto"/>
      </w:pPr>
    </w:p>
    <w:p w:rsidR="00D06117" w:rsidRDefault="00D06117" w:rsidP="00D06117">
      <w:pPr>
        <w:pStyle w:val="Extracto"/>
      </w:pPr>
      <w:r>
        <w:t>2.</w:t>
      </w:r>
      <w:r>
        <w:tab/>
        <w:t xml:space="preserve">Si bien la revisión de la razonabilidad de las inferencias a partir de la cual el órgano </w:t>
      </w:r>
      <w:r w:rsidRPr="00D06117">
        <w:rPr>
          <w:i/>
        </w:rPr>
        <w:t>a quo</w:t>
      </w:r>
      <w:r>
        <w:t xml:space="preserve"> llega a su conclusión sobre la inexistencia de dolo no precisará de la garantía de inmediación si tal enjuiciamiento no se produce a partir de la valoración de declaraciones testificales, sí deberá venir presidido por la previa audiencia al acusado cuando la inferencia haya tenido relación con elementos subjetivos (SSTEDH </w:t>
      </w:r>
      <w:r w:rsidRPr="00D06117">
        <w:rPr>
          <w:i/>
        </w:rPr>
        <w:t>casos Valbuena Redondo c. España</w:t>
      </w:r>
      <w:r>
        <w:t xml:space="preserve">, de 13 de diciembre de 2011,  </w:t>
      </w:r>
      <w:r w:rsidRPr="00D06117">
        <w:rPr>
          <w:i/>
        </w:rPr>
        <w:t>Lacadena Calero c. España</w:t>
      </w:r>
      <w:r>
        <w:t>, de 22 de noviembre de 2011) [FJ 4].</w:t>
      </w:r>
    </w:p>
    <w:p w:rsidR="00D06117" w:rsidRDefault="00D06117" w:rsidP="00D06117">
      <w:pPr>
        <w:pStyle w:val="Extracto"/>
      </w:pPr>
    </w:p>
    <w:p w:rsidR="00D06117" w:rsidRDefault="00D06117" w:rsidP="00D06117">
      <w:pPr>
        <w:pStyle w:val="Extracto"/>
      </w:pPr>
      <w:r>
        <w:t>3.</w:t>
      </w:r>
      <w:r>
        <w:tab/>
        <w:t xml:space="preserve">Se vulnera el derecho a un proceso con todas las garantías, </w:t>
      </w:r>
      <w:r w:rsidRPr="00D06117">
        <w:rPr>
          <w:i/>
        </w:rPr>
        <w:t>ex</w:t>
      </w:r>
      <w:r>
        <w:t xml:space="preserve"> art. 24.2 CE, cuando la revocación de la absolución se haya fundado en una diferente valoración de pruebas personales sin la debida inmediación (SSTC 317/2006, 54/2009) [FJ 3].</w:t>
      </w:r>
    </w:p>
    <w:p w:rsidR="00D06117" w:rsidRDefault="00D06117" w:rsidP="00D06117">
      <w:pPr>
        <w:pStyle w:val="Extracto"/>
      </w:pPr>
    </w:p>
    <w:p w:rsidR="00D06117" w:rsidRDefault="00D06117" w:rsidP="00D06117">
      <w:pPr>
        <w:pStyle w:val="Extracto"/>
      </w:pPr>
      <w:r>
        <w:t>4.</w:t>
      </w:r>
      <w:r>
        <w:tab/>
        <w:t>La vulneración del derecho a un proceso con todas las garantías determinará también la del derecho a la presunción de inocencia en la medida en que la eliminación de las pruebas valoradas sin la debida inmediación deje sin sustento el relato de hechos probados que soporta la declaración de culpabilidad del acusado (SSTC 126/2007, 30/2010) [FJ 5].</w:t>
      </w:r>
    </w:p>
    <w:p w:rsidR="00D06117" w:rsidRDefault="00D06117" w:rsidP="00D06117">
      <w:pPr>
        <w:pStyle w:val="Extracto"/>
      </w:pPr>
    </w:p>
    <w:p w:rsidR="00D06117" w:rsidRDefault="00D06117" w:rsidP="00D06117">
      <w:pPr>
        <w:pStyle w:val="Extracto"/>
      </w:pPr>
      <w:r>
        <w:t>5.</w:t>
      </w:r>
      <w:r>
        <w:tab/>
        <w:t xml:space="preserve">Doctrina sobre la exigencia de audiencia personal del acusado en fase de recurso (SSTC 184/2009, 45/2011; SSTEDH </w:t>
      </w:r>
      <w:r w:rsidRPr="00D06117">
        <w:rPr>
          <w:i/>
        </w:rPr>
        <w:t>casos Constantinescu c. Rumanía</w:t>
      </w:r>
      <w:r>
        <w:t xml:space="preserve">, de 27 de junio de 2000, </w:t>
      </w:r>
      <w:r w:rsidRPr="00D06117">
        <w:rPr>
          <w:i/>
        </w:rPr>
        <w:t>Valbuena Redondo c. España</w:t>
      </w:r>
      <w:r>
        <w:t xml:space="preserve">, de 13 de diciembre de 2011 y </w:t>
      </w:r>
      <w:r w:rsidRPr="00D06117">
        <w:rPr>
          <w:i/>
        </w:rPr>
        <w:t>Serrano Contreras c. España</w:t>
      </w:r>
      <w:r>
        <w:t>, de 20 de marzo de 2012) [FJ 2].</w:t>
      </w:r>
    </w:p>
    <w:p w:rsidR="00D06117" w:rsidRDefault="00D06117" w:rsidP="00D06117">
      <w:pPr>
        <w:pStyle w:val="Extracto"/>
      </w:pPr>
    </w:p>
    <w:p w:rsidR="00D06117" w:rsidRDefault="00D06117" w:rsidP="00D06117">
      <w:pPr>
        <w:pStyle w:val="Extracto"/>
      </w:pPr>
      <w:r>
        <w:t>6.</w:t>
      </w:r>
      <w:r>
        <w:tab/>
        <w:t>Reitera la doctrina sobre las garantías de la segunda instancia penal de la STC 153/2011, que aplica la doctrina iniciada por la 167/2002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1714-2009, promovido por don Francisco Real Granado, representado por la Procuradora de los Tribunales doña Pilar Marta Bermejillo de Hevia y asistido por la Abogada doña Carmen Barca Durán, contra la Sentencia de la Audiencia Provincial de Cádiz (Sección Tercera) de 24 de noviembre de 2008, dictada en rollo de apelación 170-2008, por la que se revoca la absolución acordada por la Sentencia de 29 de octubre de 2007 dictada por el Juzgado de lo Penal núm. 4 de Cádiz en juicio rápido núm. 274-2007, y condena el recurrente como autor de los delitos de malos tratos y coacciones; y contra la providencia de la Audiencia Provincial de 12 de enero de 2009, que inadmite a trámite el incidente de nulidad de actuaciones interpuesto contra la Sentencia citada. Ha intervenido el Ministerio Fiscal. Ha sido Ponente el Magistrado don Eugeni Gay Montalvo,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de 24 de febrero de 2009, la Procuradora de los Tribunales doña Pilar Marta Bermejillo de Hevia, en representación de don Francisco Real Granado y asistido por la Abogada doña Carmen Barca Durán, interpuso recurso de amparo contra las resoluciones reseñadas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de los que trae causa la demanda de amparo, relevantes para la resolución del caso son, en síntesis, los siguientes:</w:t>
      </w:r>
    </w:p>
    <w:p w:rsidR="00D06117" w:rsidRDefault="00D06117" w:rsidP="00D06117">
      <w:pPr>
        <w:pStyle w:val="TextoNormal"/>
      </w:pPr>
    </w:p>
    <w:p w:rsidR="00D06117" w:rsidRDefault="00D06117" w:rsidP="00D06117">
      <w:pPr>
        <w:pStyle w:val="TextoNormal"/>
      </w:pPr>
      <w:r>
        <w:t>a) La Sentencia del Juzgado de lo Penal núm. 4 de Cádiz de 29 de octubre de 2007 absolvió al recurrente de los delitos de malos tratos en el ámbito familiar y coacciones. Los hechos declarados probados son del siguiente tenor:</w:t>
      </w:r>
    </w:p>
    <w:p w:rsidR="00D06117" w:rsidRDefault="00D06117" w:rsidP="00D06117">
      <w:pPr>
        <w:pStyle w:val="TextoNormal"/>
      </w:pPr>
    </w:p>
    <w:p w:rsidR="00D06117" w:rsidRDefault="00D06117" w:rsidP="00D06117">
      <w:pPr>
        <w:pStyle w:val="TextoNormal"/>
      </w:pPr>
      <w:r>
        <w:t xml:space="preserve">“Unas dos semanas antes del 12 de junio de 2007, Francisco encargó a un tercero cambiar la cerradura de un garaje-trastero del que era usuario ubicado en la calle Veracruz de Rota, junto al domicilio que habitaba XXX. Francisco le hizo llegar a XXX copia de las llaves. Se desconoce si XXX, que no conducía vehículos en aquellas fechas, daba al garaje-trastero algún uso a dicho garaje. En un periodo en el que ambos se hallaban muy enfrentados acerca de las medidas que debían tomarse a propósito de los gastos de los hijos, concretamente el 12 de junio de 2007, coincidiendo que ambos se encontraron en el garaje sito en el edificio </w:t>
      </w:r>
      <w:r>
        <w:lastRenderedPageBreak/>
        <w:t>donde vivía XXX en la Calle Veracruz, en Rota, se entabló fuerte discusión entre ellos en la que XXX le reprochó a Francisco que se negara a acceder al pago de las cantidades que ella le exigía. Ante la negativa de Francisco, XXX soltó los cinturones de seguridad que sujetaban a su hija a fin de impedir que Francisco estuviera con la menor. Al final de ese día XXX presentaba en el brazo unos hematomas que a simple vista coincidían con los que podrían haber causado con la presión de las yemas de los dedos de una mano.”</w:t>
      </w:r>
    </w:p>
    <w:p w:rsidR="00D06117" w:rsidRDefault="00D06117" w:rsidP="00D06117">
      <w:pPr>
        <w:pStyle w:val="TextoNormal"/>
      </w:pPr>
    </w:p>
    <w:p w:rsidR="00D06117" w:rsidRDefault="00D06117" w:rsidP="00D06117">
      <w:pPr>
        <w:pStyle w:val="TextoNormal"/>
      </w:pPr>
      <w:r>
        <w:t>La absolución se fundó en los siguientes argumentos:</w:t>
      </w:r>
    </w:p>
    <w:p w:rsidR="00D06117" w:rsidRDefault="00D06117" w:rsidP="00D06117">
      <w:pPr>
        <w:pStyle w:val="TextoNormal"/>
      </w:pPr>
    </w:p>
    <w:p w:rsidR="00D06117" w:rsidRDefault="00D06117" w:rsidP="00D06117">
      <w:pPr>
        <w:pStyle w:val="TextoNormal"/>
      </w:pPr>
      <w:r>
        <w:t>“En relación a la supuesta coacción, los hechos expuestos en la relación de hechos probados son admitidos por ambas partes, de modo que la cuestión que se plantea es la de determinar si el cambio de aquella cerradura constituyó un acto de coacción por haberse realizado con la intención de impedir el ejercicio de la libertad a la denunciante. La respuesta que se impone es la negativa por las siguientes razones:</w:t>
      </w:r>
    </w:p>
    <w:p w:rsidR="00D06117" w:rsidRDefault="00D06117" w:rsidP="00D06117">
      <w:pPr>
        <w:pStyle w:val="TextoNormal"/>
      </w:pPr>
    </w:p>
    <w:p w:rsidR="00D06117" w:rsidRDefault="00D06117" w:rsidP="00D06117">
      <w:pPr>
        <w:pStyle w:val="TextoNormal"/>
      </w:pPr>
      <w:r>
        <w:t>- La denunciada admite que en aquellas fechas, ni conducía, ni tenía vehículo, lo cual limita mucho sus posibilidades de uso del garaje-trastero; se ha alegado mucho en juicio que allí tenía patatas, sacos de dormir, leña y juguetes de los niños; no resulta razonable pensar que el no poder disponerse de tales objetos equivalga a limitación de la libertad de movimiento con trascendencia penal, pues a) unas patatas constituyen un alimento al alcance de cualquier ciudadano sin necesidad de gran desembolso económico; b) acerca de los sacos de dormir, no se alega una salida de acampada al aire libre; c) respecto de la leña, no parece probable que en la primavera-verano en la que ocurren los hechos se fuera a hacer uso de ella; d) en cuanto a los juguetes de los niños, los mismos no se concretan, lo cual impide valorar el grado de limitación de la libertad; y e) es más, la propia denunciante reconoce en juicio que desde junio —que como luego veremos ya se le entregó la nueva llave a través de la asistenta— no ha vuelto a abrir la puerta;</w:t>
      </w:r>
    </w:p>
    <w:p w:rsidR="00D06117" w:rsidRDefault="00D06117" w:rsidP="00D06117">
      <w:pPr>
        <w:pStyle w:val="TextoNormal"/>
      </w:pPr>
    </w:p>
    <w:p w:rsidR="00D06117" w:rsidRDefault="00D06117" w:rsidP="00D06117">
      <w:pPr>
        <w:pStyle w:val="TextoNormal"/>
      </w:pPr>
      <w:r>
        <w:t>- El testigo aportado por el acusado, aunque no muy fiable, refiere que la cerradura estaba averiada, lo cual apunta a que la intención era la de repararla;</w:t>
      </w:r>
    </w:p>
    <w:p w:rsidR="00D06117" w:rsidRDefault="00D06117" w:rsidP="00D06117">
      <w:pPr>
        <w:pStyle w:val="TextoNormal"/>
      </w:pPr>
    </w:p>
    <w:p w:rsidR="00D06117" w:rsidRDefault="00D06117" w:rsidP="00D06117">
      <w:pPr>
        <w:pStyle w:val="TextoNormal"/>
      </w:pPr>
      <w:r>
        <w:t>- La denunciada no ha dejado constancia alguna de su oposición al cambio de la cerradura; adviértase que ni siquiera denunció los hechos cuando ocurrieron, lo cual apunta a que pudo aprobar el cambio;</w:t>
      </w:r>
    </w:p>
    <w:p w:rsidR="00D06117" w:rsidRDefault="00D06117" w:rsidP="00D06117">
      <w:pPr>
        <w:pStyle w:val="TextoNormal"/>
      </w:pPr>
    </w:p>
    <w:p w:rsidR="00D06117" w:rsidRDefault="00D06117" w:rsidP="00D06117">
      <w:pPr>
        <w:pStyle w:val="TextoNormal"/>
      </w:pPr>
      <w:r>
        <w:t>- La denunciada admite que al cabo de unos días el acusado le entregó voluntariamente la llave;</w:t>
      </w:r>
    </w:p>
    <w:p w:rsidR="00D06117" w:rsidRDefault="00D06117" w:rsidP="00D06117">
      <w:pPr>
        <w:pStyle w:val="TextoNormal"/>
      </w:pPr>
    </w:p>
    <w:p w:rsidR="00D06117" w:rsidRDefault="00D06117" w:rsidP="00D06117">
      <w:pPr>
        <w:pStyle w:val="TextoNormal"/>
      </w:pPr>
      <w:r>
        <w:t>- Todos admiten que el cambio de la cerradura afectó a una puerta auxiliar del garaje pues se podía entrar en él por la puerta principal al no estar bloqueada;</w:t>
      </w:r>
    </w:p>
    <w:p w:rsidR="00D06117" w:rsidRDefault="00D06117" w:rsidP="00D06117">
      <w:pPr>
        <w:pStyle w:val="TextoNormal"/>
      </w:pPr>
    </w:p>
    <w:p w:rsidR="00D06117" w:rsidRDefault="00D06117" w:rsidP="00D06117">
      <w:pPr>
        <w:pStyle w:val="TextoNormal"/>
      </w:pPr>
      <w:r>
        <w:t>- Finalmente, aunque se ha referido mucho en juicio que fue el hijo común quien insistió al padre que permitiera la entrada en el garaje para coger juguetes; no se comprende el motivo de hacer esa afirmación de referencia a la vez que se priva a este Juzgador de toda posibilidad de corroborarlo.</w:t>
      </w:r>
    </w:p>
    <w:p w:rsidR="00D06117" w:rsidRDefault="00D06117" w:rsidP="00D06117">
      <w:pPr>
        <w:pStyle w:val="TextoNormal"/>
      </w:pPr>
    </w:p>
    <w:p w:rsidR="00D06117" w:rsidRDefault="00D06117" w:rsidP="00D06117">
      <w:pPr>
        <w:pStyle w:val="TextoNormal"/>
      </w:pPr>
      <w:r>
        <w:lastRenderedPageBreak/>
        <w:t>Vemos por tanto que nos hallamos ante un cambio de cerradura encargado por el propietario-conductor en el que no se aprecia debidamente intencionalidad de impedir a la víctima la realización de actos.</w:t>
      </w:r>
    </w:p>
    <w:p w:rsidR="00D06117" w:rsidRDefault="00D06117" w:rsidP="00D06117">
      <w:pPr>
        <w:pStyle w:val="TextoNormal"/>
      </w:pPr>
    </w:p>
    <w:p w:rsidR="00D06117" w:rsidRDefault="00D06117" w:rsidP="00D06117">
      <w:pPr>
        <w:pStyle w:val="TextoNormal"/>
      </w:pPr>
      <w:r>
        <w:t>En cuanto a la supuesta agresión, veamos cual es la prueba practicada, no sin antes indicar que el acusado niega la existencia de la agresión. Procede examinar la prueba fundamental que es la testifical de la propia denunciante. De dicha testifical han de analizarse las tres circunstancias jurisprudencialmente exigidas.</w:t>
      </w:r>
    </w:p>
    <w:p w:rsidR="00D06117" w:rsidRDefault="00D06117" w:rsidP="00D06117">
      <w:pPr>
        <w:pStyle w:val="TextoNormal"/>
      </w:pPr>
    </w:p>
    <w:p w:rsidR="00D06117" w:rsidRDefault="00D06117" w:rsidP="00D06117">
      <w:pPr>
        <w:pStyle w:val="TextoNormal"/>
      </w:pPr>
      <w:r>
        <w:t>En su declaración concurren circunstancias que exigen extremar la prudencia, en concreto: 1) la testigo, perjudicada por los hechos, se halla personada en las actuaciones solicitando indemnización civil por daños morales; tal circunstancia hace que tenga gran interés en la condena del acusado; 2) aquella reconoce haber mantenido pleito civil con solicitud de medidas matrimoniales de modo casi simultáneo a la interposición de la denuncia, luego puede estar utilizando la causa penal como instrumento de presión; 3) asimismo reconoce su resentimiento hacia su ex cónyuge criticando con insistencia el aprovechamiento patrimonial que ha ejercido sobre ella (refiere como ‘él dominaba todo’, ‘todo a su nombre como privativo, ella no tiene nada a su nombre y por eso él le coacciona’) o su comportamiento personal (refiere que ha sido ‘amenazada, coaccionada e intimidada”, que “él todo lo hacía para fastidiarla a ella’); 4) aquella siendo Letrada debe ser gran conocedora de las circunstancias importantes a efectos probatorios, y lo demostró en juicio respondiendo numerosas veces sin espontaneidad, ya porque se pensara mucho la respuesta (cuando se le preguntó si sus familiares vieron la agresión) ya porque respondiera sobre extremos ajenos a aquellos a los que se refería la pregunta (teniendo que advertirle numerosas veces este Juzgador que o bien se le había preguntado sobre otro particular o que se limitara a manifestar si era cierto o no lo que se le preguntaba); 5) e incluso, en el acto de juicio, la denunciante ha llegado a manipular circunstancias incurriendo en alguna contradicción, así cuando refiere el motivo por el que se opuso a que el denunciado se marchara con la hija dijo en un primer momento que fue para evitar algún mal a la hija o accidente dado el estado de nerviosismo del padre (dijo ‘dio miedo que se llevara a la hija porque podía darle un porrazo’), si bien luego da una versión diferente consistente en que se opuso a que se llevara a la hija como medida frente a la negativa del denunciado a satisfacer los gastos de los hijos (dijo ‘como tu no das nada entonces no te llevas a la niña’).</w:t>
      </w:r>
    </w:p>
    <w:p w:rsidR="00D06117" w:rsidRDefault="00D06117" w:rsidP="00D06117">
      <w:pPr>
        <w:pStyle w:val="TextoNormal"/>
      </w:pPr>
    </w:p>
    <w:p w:rsidR="00D06117" w:rsidRDefault="00D06117" w:rsidP="00D06117">
      <w:pPr>
        <w:pStyle w:val="TextoNormal"/>
      </w:pPr>
      <w:r>
        <w:t>Su declaración, aunque persistente, inculpa sobre un episodio tan puntual (una presión instantánea sobre un brazo) que hace que a efectos judiciales resulte de difícil valoración.</w:t>
      </w:r>
    </w:p>
    <w:p w:rsidR="00D06117" w:rsidRDefault="00D06117" w:rsidP="00D06117">
      <w:pPr>
        <w:pStyle w:val="TextoNormal"/>
      </w:pPr>
    </w:p>
    <w:p w:rsidR="00D06117" w:rsidRDefault="00D06117" w:rsidP="00D06117">
      <w:pPr>
        <w:pStyle w:val="TextoNormal"/>
      </w:pPr>
      <w:r>
        <w:t>Finalmente la autoría de la lesión no se corrobora con elementos periféricos, pues a falta de la exploración de la menor que supuestamente presenció ese hecho supuestamente ocurrido en la privacidad que permite una dependencia cerrada, lo cierto es que no se puede descartar que la lesión se la hubiera podido causar otra persona en el intervalo que medió entre la discusión y la llegada al centro médico horas más tarde. No se puede considerar elemento periférico de prueba (por la desconfianza que genera su emisión) la versión de la testigo […], que, a pesar de admitir que le falla mucho la memoria (para evitar contestar a alguna pregunta de la defensa) recuerda con extraña facilidad que oyó al denunciado decir ‘ahora me denuncias’.”</w:t>
      </w:r>
    </w:p>
    <w:p w:rsidR="00D06117" w:rsidRDefault="00D06117" w:rsidP="00D06117">
      <w:pPr>
        <w:pStyle w:val="TextoNormal"/>
      </w:pPr>
    </w:p>
    <w:p w:rsidR="00D06117" w:rsidRDefault="00D06117" w:rsidP="00D06117">
      <w:pPr>
        <w:pStyle w:val="TextoNormal"/>
      </w:pPr>
      <w:r>
        <w:lastRenderedPageBreak/>
        <w:t>b) Por la acusación particular se interpuso recurso de apelación, que fue estimado por la Audiencia Provincial de Cádiz, condenando al recurrente como autor de una falta de coacciones y un delito de malos tratos en el ámbito familiar a las penas, por cada delito, de nueve meses de prisión con privación del derecho a la tenencia, porte de armas por tiempo de un año y un día y prohibición de aproximación a menos de 200 metros de la víctima o su domicilio así como a comunicar con ella por tiempo de un año y nueve meses. La Sentencia del órgano de apelación modificó los hechos probados en los siguientes términos:</w:t>
      </w:r>
    </w:p>
    <w:p w:rsidR="00D06117" w:rsidRDefault="00D06117" w:rsidP="00D06117">
      <w:pPr>
        <w:pStyle w:val="TextoNormal"/>
      </w:pPr>
    </w:p>
    <w:p w:rsidR="00D06117" w:rsidRDefault="00D06117" w:rsidP="00D06117">
      <w:pPr>
        <w:pStyle w:val="TextoNormal"/>
      </w:pPr>
      <w:r>
        <w:t>“Unas dos semanas antes del 12 de junio de 2007, Francisco que era usuario del garaje contiguo a la vivienda de la calle Veracruz de Rota, vivienda usada provisionalmente por su ex esposa y sobre cuya titularidad existía controversia entre ambos, con la finalidad de incomodarla e impedirle usar la puerta de comunicación interior con el garaje y trastero, mandó cambiar la cerradura de la puerta de comunicación interior de la vivienda con el garaje, puerta que era exclusivamente utilizada por ésta y sus hijos para acceder tanto al trastero como al propio garaje donde se materializaba en ocasiones, la entrega de los hijos menores cuando se ejercía por el padre el régimen de visitas, no entregándole la llave que le permitía el acceso desde la vivienda al interior de la zona de garaje y trastero a su ex esposa hasta varios días más tarde.</w:t>
      </w:r>
    </w:p>
    <w:p w:rsidR="00D06117" w:rsidRDefault="00D06117" w:rsidP="00D06117">
      <w:pPr>
        <w:pStyle w:val="TextoNormal"/>
      </w:pPr>
    </w:p>
    <w:p w:rsidR="00D06117" w:rsidRDefault="00D06117" w:rsidP="00D06117">
      <w:pPr>
        <w:pStyle w:val="TextoNormal"/>
      </w:pPr>
      <w:r>
        <w:t>El doce de junio de 2007, sobre las 17 horas, con motivo de acudir el acusado al garaje indicado a recoger a su hija de 6 años de edad, para gozar de su compañía, se produjo una discusión con su ex esposa motivada por las discrepancias entre ambos respecto de la contribución a los gastos de los hijos, y como quiera que la situación se puso tensa, XXX optó por llevarse a la niña para lo cual introdujo su cuerpo en el vehículo del acusado con intención de soltarle el cinturón de seguridad, instante en que el acusado, para hacerla desistir de su propósito, la agarró por el brazo con violencia y se lo retorció diciéndole a continuación ‘ahora si quieres me denuncias’.</w:t>
      </w:r>
    </w:p>
    <w:p w:rsidR="00D06117" w:rsidRDefault="00D06117" w:rsidP="00D06117">
      <w:pPr>
        <w:pStyle w:val="TextoNormal"/>
      </w:pPr>
    </w:p>
    <w:p w:rsidR="00D06117" w:rsidRDefault="00D06117" w:rsidP="00D06117">
      <w:pPr>
        <w:pStyle w:val="TextoNormal"/>
      </w:pPr>
      <w:r>
        <w:t>Como consecuencia de la agresión XXX fue atendida en el servicio de salud a las 20,50 horas presentando ansiedad y 4 hematomas de aproximadamente 5x2 cms. en su totalidad, en cara interna del brazo izquierdo ocasionados por la presión de los dedos, erosiones superficiales en antebrazos y dolor a la movilización del hombro izquierdo, lesiones que tardaron en curar 15 días con dos de impedimento para sus ocupaciones habituales.”</w:t>
      </w:r>
    </w:p>
    <w:p w:rsidR="00D06117" w:rsidRDefault="00D06117" w:rsidP="00D06117">
      <w:pPr>
        <w:pStyle w:val="TextoNormal"/>
      </w:pPr>
    </w:p>
    <w:p w:rsidR="00D06117" w:rsidRDefault="00D06117" w:rsidP="00D06117">
      <w:pPr>
        <w:pStyle w:val="TextoNormal"/>
      </w:pPr>
      <w:r>
        <w:t>La condena se fundó en los siguientes fundamentos jurídicos:</w:t>
      </w:r>
    </w:p>
    <w:p w:rsidR="00D06117" w:rsidRDefault="00D06117" w:rsidP="00D06117">
      <w:pPr>
        <w:pStyle w:val="TextoNormal"/>
      </w:pPr>
    </w:p>
    <w:p w:rsidR="00D06117" w:rsidRDefault="00D06117" w:rsidP="00D06117">
      <w:pPr>
        <w:pStyle w:val="TextoNormal"/>
      </w:pPr>
      <w:r>
        <w:t>“Pues bien trasladados tales criterios al caso de autos estimamos que procede la revocación de la sentencia en cuanto se absuelve al acusado de los delitos de coacciones leves y maltrato de obra en el ámbito de la violencia de género por el que era acusado y ello por cuanto en lo que atañe al delito de coacciones el razonamiento resulta ilógico y absurdo pues de una parte se está desconfiando de la credibilidad del testigo de la defensa en orden a la justificación de la necesidad de cambiar la cerradura para en contradicción con ello admitir que estaba averiada, y de otra, se pasa por alto que incluso en el caso de estar ésta efectivamente averiada, el cambio de la misma, unido al retardo en la entrega de una copia de la llave, dado que tal puerta era de comunicación interior y exclusivamente utilizada por los moradores de la vivienda, no podía tener otra finalidad que la de impedir a éstos el acceso por la misma hacia el trastero.</w:t>
      </w:r>
    </w:p>
    <w:p w:rsidR="00D06117" w:rsidRDefault="00D06117" w:rsidP="00D06117">
      <w:pPr>
        <w:pStyle w:val="TextoNormal"/>
      </w:pPr>
    </w:p>
    <w:p w:rsidR="00D06117" w:rsidRDefault="00D06117" w:rsidP="00D06117">
      <w:pPr>
        <w:pStyle w:val="TextoNormal"/>
      </w:pPr>
      <w:r>
        <w:lastRenderedPageBreak/>
        <w:t>Concurren pues todos los elementos de la falta de coacciones, impedir mediante la vis in rebus representada por el cambio de la cerradura, el acceso desde el interior de la vivienda al trastero, coacción que pese a merecer la condición de leve, por efecto del artículo 172.2 del Código Penal, al dirigirse contra la esposa alcanza la categoría de delito y a la que es de aplicación el subtipo agravado por cometerse en el domicilio de la víctima. Resulta indiferente que los objetos depositados en el trastero fueran o no fácilmente sustituibles en el mercado, lo esencial es que se privó a la víctima de la facultad de ejercer libremente la posesión sobre el trastero.</w:t>
      </w:r>
    </w:p>
    <w:p w:rsidR="00D06117" w:rsidRDefault="00D06117" w:rsidP="00D06117">
      <w:pPr>
        <w:pStyle w:val="TextoNormal"/>
      </w:pPr>
    </w:p>
    <w:p w:rsidR="00D06117" w:rsidRDefault="00D06117" w:rsidP="00D06117">
      <w:pPr>
        <w:pStyle w:val="TextoNormal"/>
      </w:pPr>
      <w:r>
        <w:t>En relación con el delito de maltrato familiar del artículo 153 del Código Penal discrepamos igualmente de la conclusión obtenida por el Juez a quo, las valoraciones que a éste le hacen dudar de la credibilidad de la principal testigo de cargo, o bien son de todo punto inadmisibles por el prejuicio y discriminación que conllevan, como el hecho de su condición de letrada, o resultan erróneas como lo es el dato apuntado del posible móvil espurio representado por un supuesto afán indemnizatorio, por ello, si la versión dada está avalada además con el dato objetivo de las lesiones constadas, las cuales objetivamente se corresponden o son perfectamente compatibles con el mecanismo causante descrito por la víctima y además contamos con el testimonio de la tía de la víctima que aun cuando no pudo presenciar directamente la agresión si relata lo que oyó y la reacción inmediata posterior tanto de la menor como del propio acusado, la relación causal entre las lesiones padecidas y el mecanismo causante descrito se obtiene sin dificultad debiendo encajarse los hechos en el marco del delito del artículo 153.1 del Código Penal con la aplicación del tipo cualificado de cometerse en presencia de la hija menor y en el domicilio de la víctima, al ser el garaje donde se perpetró una dependencia aneja y en comunicación interior con la vivienda.”</w:t>
      </w:r>
    </w:p>
    <w:p w:rsidR="00D06117" w:rsidRDefault="00D06117" w:rsidP="00D06117">
      <w:pPr>
        <w:pStyle w:val="TextoNormal"/>
      </w:pPr>
    </w:p>
    <w:p w:rsidR="00D06117" w:rsidRDefault="00D06117" w:rsidP="00D06117">
      <w:pPr>
        <w:pStyle w:val="TextoNormal"/>
      </w:pPr>
      <w:r>
        <w:t>c) Contra dicha Sentencia interpuso el actor incidente de nulidad de actuaciones, que fue inadmitido por providencia de 12 de enero de 2009.</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invoca los derechos a un proceso con todas las garantías (art. 24.2 CE), a la presunción de inocencia (art. 24.2 CE) y a la tutela judicial efectiva sin indefensión (art. 24.1 CE). Apelando a la doctrina constitucional introducida por la STC 167/2002, de 18 de septiembre, centra su queja en que la condena dictada por el órgano judicial de apelación se ha basado en la revisión de la credibilidad de los testimonios prestados en el juicio oral celebrado en primera instancia, sin haberlos oído personalmente, lo que resulta contrario a las exigencias de dicha doctrina.</w:t>
      </w:r>
    </w:p>
    <w:p w:rsidR="00D06117" w:rsidRDefault="00D06117" w:rsidP="00D06117">
      <w:pPr>
        <w:pStyle w:val="TextoNormal"/>
      </w:pPr>
    </w:p>
    <w:p w:rsidR="00D06117" w:rsidRDefault="00D06117" w:rsidP="00D06117">
      <w:pPr>
        <w:pStyle w:val="TextoNormal"/>
      </w:pPr>
      <w:r>
        <w:t>Así, respecto al delito de coacciones, alega que la Sentencia de la Audiencia Provincial entra a valorar la declaración testifical de la persona que realizó el cambio de la cerradura a pesar de no haber sido oída en segunda instancia. Añade que aunque el juzgador a quo hubiera hecho constar en su Sentencia que dicho testimonio no era “muy fiable”, ello no legitima al órgano de segunda instancia a revisar su valoración sin la garantía de inmediación. Además, la Sala descarta, sin justificación alguna, la afirmación realizada por varios testigos —acusado, denunciante y hermano de la denunciante— de que al garaje se podía acceder por la puerta principal del mismo, por lo que en ningún momento se impidió a la denunciante el acceso al garaje y con ello al trastero. Por lo que respecta al delito de malos tratos en el ámbito familiar, la Sala entra a valorar de nuevo la declaración de la principal testigo de la acusación —la denunciante— así como la de la tía de ésta, sin que ni una ni otra hayan sido oídas y, por ello, sin la necesaria inmediación.</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por providencia de 12 de diciembre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30 de enero de 2012, la Sala Segunda acordó otorgar la suspensión interesada en lo que se refiere a las dos penas privativas de libertad, denegando la suspensión de los restantes pronunciamientos.</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 7 de marzo de 2012, se acordó dar vista de las actuaciones recibidas al Ministerio Fiscal y al recurrente por plazo común de veinte días para presentar las alegaciones que estimase pertinentes, de conformidad con el art. 52.1 LOTC.</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escrito registrado el 9 de abril de 2012, evacuando el trámite previsto en el citado art. 52.1 LOTC, el demandante de amparo presentó escrito de alegaciones, en el que se remitió íntegramente a las pretensiones formuladas en su demanda.</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escrito registrado el 13 de abril de 2012, evacuando idéntico trámite, el Ministerio Fiscal solicitó el otorgamiento del amparo, por vulneración de los derechos a un proceso con todas las garantías (art. 24.2 CE) y a la presunción de inocencia (art. 24.2 CE).</w:t>
      </w:r>
    </w:p>
    <w:p w:rsidR="00D06117" w:rsidRDefault="00D06117" w:rsidP="00D06117">
      <w:pPr>
        <w:pStyle w:val="TextoNormal"/>
      </w:pPr>
    </w:p>
    <w:p w:rsidR="00D06117" w:rsidRDefault="00D06117" w:rsidP="00D06117">
      <w:pPr>
        <w:pStyle w:val="TextoNormal"/>
      </w:pPr>
      <w:r>
        <w:t xml:space="preserve">Después de citar la STC 135/2011, en la que se resume la doctrina constitucional sobre las garantías de la segunda instancia penal, comienza por referirse a la condena por el delito de coacciones, argumentando que el Juzgado de lo Penal, tras el examen de numerosos testigos, descartó la existencia del delito al tener por acreditado que la denunciante en ningún momento se vio impedida para acceder al garaje-trastero. Frente a ello, la Audiencia Provincial, sin haber escuchado tales testimonios ni haber oído al acusado, concluyó que éste realizó el cambio de cerradura con la sola intención de impedir el acceso al garaje, modificando así el relato fáctico, y a tal conclusión llegó el órgano judicial ateniéndose únicamente a una revisión de las pruebas personales no practicadas en su presencia. En relación con el delito de malos tratos, también fueron modificados los hechos probados, incluyendo que las lesiones habían sido causadas por el actor para impedir que se llevase a la hija común de ambos, y esa modificación partió del rechazo a la valoración que la credibilidad del testimonio de la denunciante ofrecía al Juzgado de lo Penal, otorgando la Audiencia plena credibilidad al mismo sin explicación alguna. Concluye el Ministerio Fiscal que, en consecuencia, en ambos casos se vulneró el derecho a un proceso con todas las garantías y el derecho de defensa del actor. Además, dado que los medios de prueba indebidamente valorados en </w:t>
      </w:r>
      <w:r>
        <w:lastRenderedPageBreak/>
        <w:t>la segunda instancia resultan imprescindibles para fundamentar la condena por ambos ilícitos, también debe entenderse vulnerado el derecho a la presunción de inocencia, debiendo en consecuencia anularse las resoluciones impugnadas.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14 de junio de 2012, se señaló para deliberación y fallo de la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la Sentencia dictada el 24 de noviembre de 2008 por la Audiencia Provincial de Cádiz por la que se revoca la absolución acordada en primera instancia; y contra la providencia de la citada Audiencia Provincial de 12 de enero de 2009, que inadmite a trámite el incidente de nulidad de actuaciones interpuesto. La demanda se funda en la vulneración de los derechos a un proceso con todas las garantías (art. 24.2 CE) y a la presunción de inocencia (art. 24.2 CE), citándose igualmente el derecho a la tutela judicial efectiva sin indefensión (art. 24.1 CE), por haberse dictado una Sentencia condenatoria en segunda instancia sin haber oído al acusado y sin la debida inmediación. El Ministerio Fiscal apoya la pretensión impugnatoria y solicita el otorgamiento del amparo.</w:t>
      </w:r>
    </w:p>
    <w:p w:rsidR="00D06117" w:rsidRDefault="00D06117" w:rsidP="00D06117">
      <w:pPr>
        <w:pStyle w:val="TextoNormal"/>
      </w:pPr>
    </w:p>
    <w:p w:rsidR="00D06117" w:rsidRDefault="00D06117" w:rsidP="00D06117">
      <w:pPr>
        <w:pStyle w:val="TextoNormal"/>
      </w:pPr>
      <w:r w:rsidRPr="00D06117">
        <w:rPr>
          <w:rStyle w:val="NumeroAFNegritaCaracter"/>
        </w:rPr>
        <w:t>2</w:t>
      </w:r>
      <w:r>
        <w:t>. El núcleo de la controversia suscitada en la presente demanda de amparo radica en si la revocación del pronunciamiento absolutorio acordada por la Audiencia Provincial, sin oír a los testigos que declararon ante el órgano judicial a quo y sin audiencia al acusado, se ha llevado a cabo con el debido respeto a las garantías exigibles en la segunda instancia penal. Para dar respuesta a la demanda de amparo resulta necesario exponer la doctrina constitucional desarrollada al respecto.</w:t>
      </w:r>
    </w:p>
    <w:p w:rsidR="00D06117" w:rsidRDefault="00D06117" w:rsidP="00D06117">
      <w:pPr>
        <w:pStyle w:val="TextoNormal"/>
      </w:pPr>
    </w:p>
    <w:p w:rsidR="00D06117" w:rsidRDefault="00D06117" w:rsidP="00D06117">
      <w:pPr>
        <w:pStyle w:val="TextoNormal"/>
      </w:pPr>
      <w:r>
        <w:t>a) Como recuerda la reciente STC 153/2011, de 17 de octubre, FJ 3, según la consolidada doctrina de este Tribunal sobre las garantías de la segunda instancia penal, desarrollada a partir de la citada STC 167/2002, de 18 de septiembre,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00D06117" w:rsidRDefault="00D06117" w:rsidP="00D06117">
      <w:pPr>
        <w:pStyle w:val="TextoNormal"/>
      </w:pPr>
    </w:p>
    <w:p w:rsidR="00D06117" w:rsidRDefault="00D06117" w:rsidP="00D06117">
      <w:pPr>
        <w:pStyle w:val="TextoNormal"/>
      </w:pPr>
      <w:r>
        <w:lastRenderedPageBreak/>
        <w:t>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esta no resulta del análisis de medios probatorios que exijan presenciar la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 (STC 153/2011, FJ 3; en igual sentido, entre otras muchas, SSTC 170/2002, de 30 de septiembre, FJ 15; 198/2002, de 26 de octubre, FJ 5; 230/2002, de 9 de diciembre, FJ 8; 170/2005, de 20 de junio, FJ 3; 272/2005, de 24 de octubre, FJ 2; 36/2008, de 25 de febrero, FJ 5; y 24/2009, de 26 de enero, FJ 2).</w:t>
      </w:r>
    </w:p>
    <w:p w:rsidR="00D06117" w:rsidRDefault="00D06117" w:rsidP="00D06117">
      <w:pPr>
        <w:pStyle w:val="TextoNormal"/>
      </w:pPr>
    </w:p>
    <w:p w:rsidR="00D06117" w:rsidRDefault="00D06117" w:rsidP="00D06117">
      <w:pPr>
        <w:pStyle w:val="TextoNormal"/>
      </w:pPr>
      <w:r>
        <w:t xml:space="preserve">b) Junto al respeto a la garantía de inmediación en la valoración de las pruebas personales por el órgano ad quem, hemos introducido también, a partir de las recientes SSTC 184/2009, de 7 de septiembre, FJ 3 y 45/2011, de 11 de abril, FJ 3, la exigencia de audiencia personal del acusado como garantía específica vinculada al derecho de defensa (art. 24.2 CE). Tal como hemos afirmado en dichos pronunciamientos, la exigencia de tal garantía de audiencia del acusado en fase de recurso dependerá de las características del proceso en su conjunto. En el mismo sentido,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Así, el Tribunal Europeo de Derechos Humanos ha declarado también que cuando el Tribunal de apelación ha de conocer de cuestiones de hecho y de Derecho, estudiando en general la cuestión de la culpabilidad o la inocencia, no puede, por motivos de equidad en el proceso, resolver </w:t>
      </w:r>
      <w:r>
        <w:lastRenderedPageBreak/>
        <w:t>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21 de septiembre de 2010, caso Marcos Barrios c. España, § 32; 16 de noviembre de 2010, caso García Hernández c. España, § 25; 25 de octubre de 2011, caso Almenara Álvarez c. España, § 39; 22 de noviembre de 2011, caso Lacadena Calero c. España, § 38; 13 de diciembre de 2011, caso Valbuena Redondo c. España, § 29; 20 de marzo de 2012, caso Serrano Contreras c. España, § 31)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este es el primero en condenarle en el marco de un proceso en el que se decide sobre una acusación en materia penal dirigida contra él (STEDH de 27 de junio de 2000, caso Constantinescu c. Rumanía, §§ 58 y 59).</w:t>
      </w:r>
    </w:p>
    <w:p w:rsidR="00D06117" w:rsidRDefault="00D06117" w:rsidP="00D06117">
      <w:pPr>
        <w:pStyle w:val="TextoNormal"/>
      </w:pPr>
    </w:p>
    <w:p w:rsidR="00D06117" w:rsidRDefault="00D06117" w:rsidP="00D06117">
      <w:pPr>
        <w:pStyle w:val="TextoNormal"/>
      </w:pPr>
      <w:r>
        <w:t>Ahora bien, el Tribunal Europeo de Derechos Humanos indica también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SSTEDH de 16 noviembre 2010, caso García Hernández c. España, § 24; y de 16 diciembre 2008, caso Bazo González c. España, § 30). De acuerdo con la doctrina del Tribunal Europeo de Derechos Humanos, será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 en igual sentido, STEDH de 13 de diciembre de 2011, caso Valbuena Redondo c. España, § 32). De donde, contrario sensu,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CEDH, en la medida en que “los aspectos analizados por la Audiencia Provincial poseían un aspecto puramente jurídico, sin que los hechos declarados probados en primera instancia hubieran sido modificados” (§ 36).</w:t>
      </w:r>
    </w:p>
    <w:p w:rsidR="00D06117" w:rsidRDefault="00D06117" w:rsidP="00D06117">
      <w:pPr>
        <w:pStyle w:val="TextoNormal"/>
      </w:pPr>
    </w:p>
    <w:p w:rsidR="00D06117" w:rsidRDefault="00D06117" w:rsidP="00D06117">
      <w:pPr>
        <w:pStyle w:val="TextoNormal"/>
      </w:pPr>
      <w:r>
        <w:t xml:space="preserve">En definitiva, “la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w:t>
      </w:r>
      <w:r>
        <w:lastRenderedPageBreak/>
        <w:t>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153/2011, de 17 de octubre, FJ 6).</w:t>
      </w:r>
    </w:p>
    <w:p w:rsidR="00D06117" w:rsidRDefault="00D06117" w:rsidP="00D06117">
      <w:pPr>
        <w:pStyle w:val="TextoNormal"/>
      </w:pPr>
    </w:p>
    <w:p w:rsidR="00D06117" w:rsidRDefault="00D06117" w:rsidP="00D06117">
      <w:pPr>
        <w:pStyle w:val="TextoNormal"/>
      </w:pPr>
      <w:r w:rsidRPr="00D06117">
        <w:rPr>
          <w:rStyle w:val="NumeroAFNegritaCaracter"/>
        </w:rPr>
        <w:t>3</w:t>
      </w:r>
      <w:r>
        <w:t>. La aplicación de la citada doctrina constitucional ha de llevarnos al otorgamiento del amparo solicitado. Tal como ha sido expuesto con mayor detalle en los antecedentes, la Audiencia Provincial revocó el pronunciamiento absolutorio dictado por el Juzgado de lo Penal y condenó al recurrente como autor de un delito de coacciones y un delito de malos tratos en el ámbito familiar. El Juzgado de lo Penal consideró que procedía la absolución por el delito de coacciones por no concurrir la intención del acusado de impedir el ejercicio de la libertad de la denunciante, concluyendo, a partir de sus propias declaraciones y de las del recurrente, que los enseres guardados en el garaje cuya cerradura cambió el actor no eran de uso habitual por parte de la denunciante, que la nueva llave le fue entregada al cabo de unos días y que no denunció ni mostró disconformidad con el cambio de cerradura. Además, el órgano de primera instancia tomó en consideración el testimonio del testigo aportado por la defensa, pese a no considerarlo muy fiable, acerca de que la cerradura se hallaba averiada, concluyendo que tal dato apuntaba a que la finalidad que movía al recurrente era la de su reparación. Por lo que respecta al delito de malos tratos, se fundó la absolución en la falta de fiabilidad que el órgano judicial a quo atribuyó a la declaración de la denunciante, considerando que circunstancias como su interés en la incriminación —dada la indemnización civil solicitada—, la iniciación casi simultánea de un pleito civil a instancias de la denunciante, el expreso reconocimiento de un resentimiento hacia su ex cónyuge o, entre otras, las contradicciones en que incurrió en su declaración, impiden atribuir veracidad a su testimonio y erigirlo en prueba de cargo. Además, entendió el Juzgado de lo Penal que tampoco el testimonio de otra testigo merecía credibilidad ni podía, en consecuencia, constituirse como elemento periférico de corroboración probatoria.</w:t>
      </w:r>
    </w:p>
    <w:p w:rsidR="00D06117" w:rsidRDefault="00D06117" w:rsidP="00D06117">
      <w:pPr>
        <w:pStyle w:val="TextoNormal"/>
      </w:pPr>
    </w:p>
    <w:p w:rsidR="00D06117" w:rsidRDefault="00D06117" w:rsidP="00D06117">
      <w:pPr>
        <w:pStyle w:val="TextoNormal"/>
      </w:pPr>
      <w:r>
        <w:t xml:space="preserve">La Audiencia Provincial rechaza la valoración de la prueba testifical efectuada por el Juez penal y la sustituye por un distinto enjuiciamiento, considerando, en relación con el delito de malos tratos, que las razones aducidas por el órgano judicial para dudar de la fiabilidad de los testimonios son inadmisibles y erróneas y concluyendo, en consecuencia, que la versión incriminatoria formulada por la denunciante y la otra persona que declaró como testigo, junto con el dato objetivo de las lesiones constatadas, permiten enervar la presunción de inocencia. En relación con el delito de coacciones, la Sala entiende que “el razonamiento resulta absurdo pues de una parte se está desconfiando de la credibilidad del testigo de la defensa y en orden a la justificación de la necesidad de cambiar la cerradura para en contradicción con ello admitir que estaba averiada, y de otra, se pasa por alto que incluso en el caso de estar efectivamente averiada, el cambio de la misma, unido al retardo en la </w:t>
      </w:r>
      <w:r>
        <w:lastRenderedPageBreak/>
        <w:t>entrega de una copia de la llave, dado que la puerta era de comunicación interior y exclusivamente utilizada por los moradores de la vivienda, no podía tener otra finalidad que la de impedir a estos el acceso por la misma hacia el trastero”.</w:t>
      </w:r>
    </w:p>
    <w:p w:rsidR="00D06117" w:rsidRDefault="00D06117" w:rsidP="00D06117">
      <w:pPr>
        <w:pStyle w:val="TextoNormal"/>
      </w:pPr>
    </w:p>
    <w:p w:rsidR="00D06117" w:rsidRDefault="00D06117" w:rsidP="00D06117">
      <w:pPr>
        <w:pStyle w:val="TextoNormal"/>
      </w:pPr>
      <w:r>
        <w:t>La Sala justifica la posibilidad de revocar la absolución sin celebrar vista oral argumentando que el objeto de su valoración son las inducciones y deducciones seguidas por el órgano a quo, que por tanto no depende de la inmediación y la percepción directa de los testimonios, sino de la aplicación de las reglas de la lógica a las inferencias valorativas. Considerando tales inferencias arbitrarias, incongruentes e irrazonables, estima necesario modificarlas.</w:t>
      </w:r>
    </w:p>
    <w:p w:rsidR="00D06117" w:rsidRDefault="00D06117" w:rsidP="00D06117">
      <w:pPr>
        <w:pStyle w:val="TextoNormal"/>
      </w:pPr>
    </w:p>
    <w:p w:rsidR="00D06117" w:rsidRDefault="00D06117" w:rsidP="00D06117">
      <w:pPr>
        <w:pStyle w:val="TextoNormal"/>
      </w:pPr>
      <w:r>
        <w:t>Desde las pautas hermenéuticas que informan la doctrina constitucional expuesta, no podemos compartir la argumentación de la Audiencia Provincial. Ciertamente, para analizar la razonabilidad y coherencia lógica de las inferencias empleadas por el órgano de primera instancia no es precisa la garantía de inmediación; pero lo cierto es que la Audiencia Provincial no se limita a dicha evaluación, sino que, después de haber rechazado la valoración efectuada por el Juez penal por considerarla arbitraria, la sustituye por una distinta, atribuyendo así credibilidad a los testimonios que sólo el órgano a quo pudo oír. E indudablemente, para esta segunda operación valorativa sí es precisa la inmediación, por cuanto comprende un juicio sobre la fiabilidad de las declaraciones testificales. En los términos empleados por la STC 317/2006, de 15 de noviembre, ante un supuesto similar al que ahora nos ocupa, “de la censura sobre la razonabilidad de los argumentos utilizados por el órgano a quo para fundar su convicción sobre la credibilidad de un testimonio no se infiere, eo ipso, un juicio positivo sobre la veracidad del mismo, sino que es preciso realizar una segunda valoración dirigida a ponderar dicha credibilidad, y esta segunda fase del enjuiciamiento habrá de verse necesariamente apoyada sobre elementos de juicio necesitados de la inmediación; máxime en supuestos, como en el que ahora nos ocupa, en los que la asunción de la verosimilitud del testimonio de la parte acusadora conlleva per se la negación de la credibilidad de lo manifestado, no sólo por el acusado, sino por otros testigos presentados por la defensa, con una versión de los hechos lógicamente opuesta a los de la acusación. Expresado en otros términos: que las razones por las que un Juez considera que la declaración de un testigo no es veraz sean ilógicas o irrazonables no implica que tal declaración sea veraz, de igual modo que considerar como irrazonables o ilógicas las razones que avalan un veredicto de inocencia no puede dar lugar a una atribución de culpabilidad. En suma, para la valoración sobre de la credibilidad de un testimonio será precisa siempre la concurrencia de la inmediación, so pena de vulnerar el derecho a un proceso con todas las garantías recogido en el art. 24.2 CE” (FJ 3; en igual sentido, SSTC 15/2007, de 12 de febrero, FJ 3; y 54/2009, de 23 de febrero, FJ 2).</w:t>
      </w:r>
    </w:p>
    <w:p w:rsidR="00D06117" w:rsidRDefault="00D06117" w:rsidP="00D06117">
      <w:pPr>
        <w:pStyle w:val="TextoNormal"/>
      </w:pPr>
    </w:p>
    <w:p w:rsidR="00D06117" w:rsidRDefault="00D06117" w:rsidP="00D06117">
      <w:pPr>
        <w:pStyle w:val="TextoNormal"/>
      </w:pPr>
      <w:r>
        <w:t>Lo afirmado lleva cabalmente a declarar vulnerado el derecho a un proceso con todas las garantías (art. 24.2 CE) respecto de la condena por el delito de malos tratos, puesto que, como acabamos de poner de manifiesto, la revocación de la absolución se ha fundado en una diferente valoración de pruebas personales sin la debida inmediación.</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En lo atinente a la condena por el delito de coacciones, ha sido ya expuesto que las garantías de la segunda instancia penal poseen un ámbito más amplio, abarcando asimismo la necesidad de oír al acusado, en aras a garantizar su derecho de defensa (art. 24.2 CE), en todos aquellos supuestos en los que por el órgano ad quem se procede a una alteración de </w:t>
      </w:r>
      <w:r>
        <w:lastRenderedPageBreak/>
        <w:t>los hechos probados para modificar in peius el pronunciamiento dictado en primera instancia (SSTC 184/2009, de 7 de septiembre, FJ 3, y 45/2011, de 11 de abril, FJ 3). De igual modo a como procedimos en la STC 153/2011, de 17 de octubre, “(l)a íntima conexión con las garantías cuya pretendida vulneración sustenta este recurso de amparo constitucional exige que este Tribunal aborde la cuestión de si se vulneró el derecho a la defensa del demandante de amparo como consecuencia de haber sido condenado por la Audiencia Provincial sin darle ocasión de hacerse oír personalmente ante ella, aun cuando esta dimensión constitucional no ha sido formulada con precisión en la demanda de amparo” (FJ 6).</w:t>
      </w:r>
    </w:p>
    <w:p w:rsidR="00D06117" w:rsidRDefault="00D06117" w:rsidP="00D06117">
      <w:pPr>
        <w:pStyle w:val="TextoNormal"/>
      </w:pPr>
    </w:p>
    <w:p w:rsidR="00D06117" w:rsidRDefault="00D06117" w:rsidP="00D06117">
      <w:pPr>
        <w:pStyle w:val="TextoNormal"/>
      </w:pPr>
      <w:r>
        <w:t>A este respecto, es importante poner de manifiesto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w:t>
      </w:r>
    </w:p>
    <w:p w:rsidR="00D06117" w:rsidRDefault="00D06117" w:rsidP="00D06117">
      <w:pPr>
        <w:pStyle w:val="TextoNormal"/>
      </w:pPr>
    </w:p>
    <w:p w:rsidR="00D06117" w:rsidRDefault="00D06117" w:rsidP="00D06117">
      <w:pPr>
        <w:pStyle w:val="TextoNormal"/>
      </w:pPr>
      <w:r>
        <w:t>Así lo ha venido entendiendo el Tribunal Europeo de Derechos Humanos. En la antes citada STEDH de 13 de diciembre de 2011, caso Valbuena Redondo c. España, la absolución por delito contra la hacienda pública acordada en primera instancia se fundó en la ausencia de voluntad fraudulenta del acusado, conclusión que después fue modificada por el órgano de apelación. Ante ello, el Tribunal europeo afirmó que “a diferencia del asunto Bazo González ya citado, la Audiencia Provincial no se limitó a una nueva valoración de elementos de naturaleza puramente jurídica, sino que se pronunció sobre una cuestión de hecho, en concreto, la existencia de una voluntad de defraudar a la Hacienda Pública … modificando así los hechos declarados probados por el Juez de la primera instancia. En opinión del Tribunal, tal examen implica, por sus características, una toma de posición sobre hechos decisivos para la determinación de la culpabilidad del demandante” (§ 37). Por tal razón, concluyó que “(s)iendo las cuestiones tratadas esencialmente de naturaleza fáctica, … la condena del demandante en apelación por la Audiencia Provincial tras un cambio en la valoración de elementos tales como la existencia de un verdadero perjuicio económico para la Hacienda pública o la intención fraudulenta del demandante, sin que este hubiese tenido la oportunidad de ser oído personalmente y de discutirlos mediante un examen contradictorio en el curso de una vista oral, no es conforme con las exigencias de un proceso equitativo” (§ 39).</w:t>
      </w:r>
    </w:p>
    <w:p w:rsidR="00D06117" w:rsidRDefault="00D06117" w:rsidP="00D06117">
      <w:pPr>
        <w:pStyle w:val="TextoNormal"/>
      </w:pPr>
    </w:p>
    <w:p w:rsidR="00D06117" w:rsidRDefault="00D06117" w:rsidP="00D06117">
      <w:pPr>
        <w:pStyle w:val="TextoNormal"/>
      </w:pPr>
      <w:r>
        <w:t xml:space="preserve">En idéntico sentido se manifestó el Tribunal de Estrasburgo en la STEDH 22 de noviembre de 2011, caso Lacadena Calero c. España. Ante un supuesto en el que el Tribunal Supremo había revocado una absolución por delito de estafa, afirmando que el acusado era conocedor de los documentos que, como notario, había autorizado y que actuó con un dolo eventual de defraudar, manifiesta el Tribunal Europeo de Derechos Humanos que “el Tribunal Supremo se apartó de la sentencia de instancia después de haberse pronunciado sobre elementos de hecho y de derecho que le permitieron determinar la culpabilidad del acusado. A este respecto, es obligado constatar que, cuando la inferencia de un tribunal ha tenido relación con elementos subjetivos (como en este caso la existencia de dolo eventual), no es </w:t>
      </w:r>
      <w:r>
        <w:lastRenderedPageBreak/>
        <w:t>posible proceder a la valoración jurídica de la actuación del acusado sin haber tratado previamente de probar la realidad de esta actuación, lo que implica necesariamente la verificación de la intención del acusado en relación a los hechos que se le imputan. Ciertamente, el Tribunal Supremo llegó a su valoración de la intención del acusado sobre la base de una inferencia a partir de los hechos acreditados por la instancia inferior (los documentos del expediente). Sin embargo, para llegar a esta inferencia, el Tribunal Supremo no ha oído al acusado, que no ha tenido la oportunidad (inexistente en el recurso de casación) de hacer valer ante el Tribunal las razones por las que negaba haber sido consciente de la ilegalidad de su actuación y tener una voluntad fraudulenta. Como consecuencia, el Tribunal considera que las cuestiones que debía examinar el Tribunal Supremo, requerían la valoración directa del testimonio del acusado, o incluso del de otros testigos” (§§ 47 a 49).</w:t>
      </w:r>
    </w:p>
    <w:p w:rsidR="00D06117" w:rsidRDefault="00D06117" w:rsidP="00D06117">
      <w:pPr>
        <w:pStyle w:val="TextoNormal"/>
      </w:pPr>
    </w:p>
    <w:p w:rsidR="00D06117" w:rsidRDefault="00D06117" w:rsidP="00D06117">
      <w:pPr>
        <w:pStyle w:val="TextoNormal"/>
      </w:pPr>
      <w:r>
        <w:t>Trasladando tales presupuestos al caso que ahora nos concierne, es preciso hacer notar que a la hora de fundamentar la condena por el delito de coacciones, la Sentencia de la Audiencia Provincial impugnada incurre en el mismo proceder que las resoluciones que dieron lugar a las citadas decisiones del Tribunal Europeo de Derechos Humanos. Como ha sido expuesto con antelación, la absolución acordada por el Juzgado de lo Penal partió de entender que “la cuestión que se plantea es la de determinar si el cambio de aquella cerradura constituyó un acto de coacción por haberse realizado con la intención de impedir el ejercicio de la libertad a la denunciante”, y concluyó, a partir de la evaluación de diferentes indicios, que no era esa la finalidad que movió al actor a cambiar las cerraduras. Frente a dicha valoración, la revocación de la absolución por el delito de coacciones vino presidida por una distinta inferencia sobre la concurrencia del dolo típico, concluyendo la Sala que la conducta de cambiar las cerraduras de la puerta que daba acceso al trastero no tenía otra finalidad que impedir el acceso al mismo y, con ello, coartar la libertad de los moradores de la vivienda.</w:t>
      </w:r>
    </w:p>
    <w:p w:rsidR="00D06117" w:rsidRDefault="00D06117" w:rsidP="00D06117">
      <w:pPr>
        <w:pStyle w:val="TextoNormal"/>
      </w:pPr>
    </w:p>
    <w:p w:rsidR="00D06117" w:rsidRDefault="00D06117" w:rsidP="00D06117">
      <w:pPr>
        <w:pStyle w:val="TextoNormal"/>
      </w:pPr>
      <w:r>
        <w:t>Tal distinto enjuiciamiento sobre los hechos subjetivos sin haber dado audiencia al acusado supone, en atención a la doctrina constitucional expuesta, la vulneración del derecho a la defensa (art. 24.2 CE), por cuanto, en definitiva, la condena dictada por la Audiencia Provincial no sólo se sostiene sobre una nueva valoración de la credibilidad de pruebas personales sin la debida inmediación, sino que ha sido consecuencia de la modificación de los hechos probados sin dar oportunidad al acusado para ejercitar su defensa ante el órgano ad quem.</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Como recuerda la STC 30/2010, de 17 de mayo, FJ 5, según reiterada doctrina de este Tribunal Constitucional la constatación de la vulneración del derecho a un proceso con todas las garantías (art. 24.2 CE) determinará también la del derecho a la presunción de inocencia (art. 24.2 CE) en la medida en que la eliminación de las pruebas valoradas sin la debida inmediación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126/2007, de 21 de mayo, FJ 4; 207/2007, de 24 de septiembre, FJ 2; 36/2008, de 25 de febrero, FJ 5 y 214/2009, de 30 de noviembre, FJ 5, entre otras). En atención a dicha doctrina, y de modo acorde a lo solicitado por el Ministerio Fiscal, debemos declarar también vulnerado el derecho a la presunción de inocencia, por cuanto las pruebas decisivas </w:t>
      </w:r>
      <w:r>
        <w:lastRenderedPageBreak/>
        <w:t>sobre las que se ha sustentado la condena impuesta por los delitos de coacciones y malos tratos son las declaraciones testificales de denunciante y denunciado, así como las de otros testigos llamados a declarar ante el órgano judicial de primera instancia.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interpuesto por don Francisco Real Granado y, en consecuencia:</w:t>
      </w:r>
    </w:p>
    <w:p w:rsidR="00D06117" w:rsidRDefault="00D06117" w:rsidP="00D06117">
      <w:pPr>
        <w:pStyle w:val="TextoNormal"/>
      </w:pPr>
    </w:p>
    <w:p w:rsidR="00D06117" w:rsidRDefault="00D06117" w:rsidP="00D06117">
      <w:pPr>
        <w:pStyle w:val="TextoNormal"/>
      </w:pPr>
      <w:r>
        <w:t>1º Declarar que han sido vulnerados los derechos a un proceso con todas las garantías (art. 24.2 CE), a la defensa (art. 24.2 CE) y a la presunción de inocencia (art. 24.2 CE) del recurrente.</w:t>
      </w:r>
    </w:p>
    <w:p w:rsidR="00D06117" w:rsidRDefault="00D06117" w:rsidP="00D06117">
      <w:pPr>
        <w:pStyle w:val="TextoNormal"/>
      </w:pPr>
    </w:p>
    <w:p w:rsidR="00D06117" w:rsidRDefault="00D06117" w:rsidP="00D06117">
      <w:pPr>
        <w:pStyle w:val="TextoNormal"/>
      </w:pPr>
      <w:r>
        <w:t>2º Restablecerlo en su derecho y, a tal fin, declarar la nulidad de la Sentencia dictada por la Sección Primera de la Audiencia Provincial de Cádiz el día 24 de noviembre de 2008, en recurso de apelación núm. 170-2008, y de la providencia de 12 de enero de 2009 dictada por el mismo órgano judicial.</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0" w:name="SENTENCIA_2012_127"/>
      <w:r>
        <w:lastRenderedPageBreak/>
        <w:t>SENTENCIA 127/2012, de 18 de junio de 2012</w:t>
      </w:r>
    </w:p>
    <w:bookmarkEnd w:id="130"/>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ECLI:ES:TC:2012:127</w:t>
      </w:r>
    </w:p>
    <w:p w:rsidR="00D06117" w:rsidRDefault="00D06117" w:rsidP="00D06117">
      <w:pPr>
        <w:pStyle w:val="SntesisDescriptiva"/>
      </w:pPr>
    </w:p>
    <w:p w:rsidR="00D06117" w:rsidRDefault="00D06117" w:rsidP="00D06117">
      <w:pPr>
        <w:pStyle w:val="SntesisDescriptiva"/>
      </w:pPr>
      <w:r>
        <w:t>Recurso de amparo 7210-2009. Interpuesto por Bodegas Antaño, S.A., frente a la Sentencia de la Sala de lo Contencioso-Administrativo del Tribunal Superior de Justicia de Castilla y León, con sede en Valladolid, y la resolución del Consejero de Agricultura y Ganadería de la Junta de Castilla y León que le sancionó por utilización indebida de contraetiquetas.</w:t>
      </w:r>
    </w:p>
    <w:p w:rsidR="00D06117" w:rsidRDefault="00D06117" w:rsidP="00D06117">
      <w:pPr>
        <w:pStyle w:val="SntesisDescriptiva"/>
      </w:pPr>
    </w:p>
    <w:p w:rsidR="00D06117" w:rsidRDefault="00D06117" w:rsidP="00D06117">
      <w:pPr>
        <w:pStyle w:val="SntesisAnaltica"/>
      </w:pPr>
      <w:r>
        <w:t>Vulneración del derecho a la legalidad sancionadora: subsunción de los hechos en un ilícito administrativo tipificado por la Ley de la viña y del vino no aplicable en Castilla y León al no tener carácter básico (STC 90/2012).</w:t>
      </w:r>
    </w:p>
    <w:p w:rsidR="00D06117" w:rsidRDefault="00D06117" w:rsidP="00D06117">
      <w:pPr>
        <w:pStyle w:val="SntesisAnaltica"/>
      </w:pPr>
    </w:p>
    <w:p w:rsidR="00D06117" w:rsidRDefault="00D06117" w:rsidP="00D06117">
      <w:pPr>
        <w:pStyle w:val="Extracto"/>
      </w:pPr>
      <w:r>
        <w:t>1.</w:t>
      </w:r>
      <w:r>
        <w:tab/>
        <w:t>La cuestión planteada en el presente procedimiento en relación con una infracción tipificada en la Ley autonómica de la viña y del vino ya ha sido resuelta por la STC 90/2012 [FJ 3].</w:t>
      </w:r>
    </w:p>
    <w:p w:rsidR="00D06117" w:rsidRDefault="00D06117" w:rsidP="00D06117">
      <w:pPr>
        <w:pStyle w:val="Extracto"/>
      </w:pPr>
    </w:p>
    <w:p w:rsidR="00D06117" w:rsidRDefault="00D06117" w:rsidP="00D06117">
      <w:pPr>
        <w:pStyle w:val="Extracto"/>
      </w:pPr>
      <w:r>
        <w:t>2.</w:t>
      </w:r>
      <w:r>
        <w:tab/>
        <w:t>Convertir la expresión “legislación básica de la viña y del vino” empleada por la Ley autonómica, en sinónimo de “legislación estatal” en la materia representa una interpretación que se extiende a la totalidad de normas dictadas por el Estado en la materia, con abstracción de que posean la condición formal de bases o carezcan de la misma, que difícilmente podrá considerarse acorde con las exigencias de predeterminación normativa de los ilícitos consustanciales al mandato de taxatividad [FJ 3].</w:t>
      </w:r>
    </w:p>
    <w:p w:rsidR="00D06117" w:rsidRDefault="00D06117" w:rsidP="00D06117">
      <w:pPr>
        <w:pStyle w:val="Extracto"/>
      </w:pPr>
    </w:p>
    <w:p w:rsidR="00D06117" w:rsidRDefault="00D06117" w:rsidP="00D06117">
      <w:pPr>
        <w:pStyle w:val="Extracto"/>
      </w:pPr>
      <w:r>
        <w:t>3.</w:t>
      </w:r>
      <w:r>
        <w:tab/>
        <w:t>Procede el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 [FJ 3].</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7210-2009, interpuesto por Bodegas Antaño, S.A., representada por la Procuradora doña Mercedes Caro Bonilla y asistida por el Letrado don José Antonio Garrote Mestre, contra la Sentencia de la Sección Segunda de la Sala de lo Contencioso-Administrativo del Tribunal Superior de Justicia de Castilla y León, con sede en Valladolid, de 10 de junio de 2009 y la resolución sancionadora del Consejero de Agricultura y Ganadería de la Junta de Castilla y León de 19 de octubre de 2006. Han comparecido y formulado alegaciones el Letrado de la Comunidad Autónoma de Castilla y León y el Ministerio Fiscal.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Juzgado Decano de Valladolid el 24 de julio de 2009 y registrado en este Tribunal el siguiente día 3 de agosto, la Procuradora de los Tribunales doña Mercedes Caro Bonilla, actuando en nombre y representación de Bodegas Antaño, S.A., interpuso recurso de amparo frente a las resoluciones citadas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antecedentes procesales de los que trae causa el presente recurso de amparo, son en resumen los siguientes:</w:t>
      </w:r>
    </w:p>
    <w:p w:rsidR="00D06117" w:rsidRDefault="00D06117" w:rsidP="00D06117">
      <w:pPr>
        <w:pStyle w:val="TextoNormal"/>
      </w:pPr>
    </w:p>
    <w:p w:rsidR="00D06117" w:rsidRDefault="00D06117" w:rsidP="00D06117">
      <w:pPr>
        <w:pStyle w:val="TextoNormal"/>
      </w:pPr>
      <w:r>
        <w:t>a) El 15 de marzo de 2006 los servicios de inspección del Consejo regulador de la denominación de origen “Rueda” levantaron acta de infracción a la firma Bodegas Antaño, S.A., que dio origen a la incoación de un expediente sancionador a resultas del cual, mediante Orden del Consejero de Agricultura y Ganadería de la Junta de Castilla y León de 19 de octubre de 2006, se impuso a la recurrente una multa de sesenta mil un euros por la comisión de una infracción administrativa muy grave tipificada en el art. 40.2 d) de la Ley 24/2003, de 10 de julio, de la viña y el vino.</w:t>
      </w:r>
    </w:p>
    <w:p w:rsidR="00D06117" w:rsidRDefault="00D06117" w:rsidP="00D06117">
      <w:pPr>
        <w:pStyle w:val="TextoNormal"/>
      </w:pPr>
    </w:p>
    <w:p w:rsidR="00D06117" w:rsidRDefault="00D06117" w:rsidP="00D06117">
      <w:pPr>
        <w:pStyle w:val="TextoNormal"/>
      </w:pPr>
      <w:r>
        <w:t>En las alegaciones realizadas en el curso del procedimiento sancionador la recurrente invocó la vulneración del art. 25.1 CE por infracción de los principios de legalidad y tipicidad por cuanto la conducta no era constitutiva de ninguna de las infracciones tipificadas en la Ley autonómica 8/2005, de 10 de junio, de la viña y del vino de Castilla y León, no resultando de aplicación el art. 40.2 d) de la Ley estatal 24/2003, de 10 de julio, de la viña y el vino en el ámbito territorial de Castilla y León.</w:t>
      </w:r>
    </w:p>
    <w:p w:rsidR="00D06117" w:rsidRDefault="00D06117" w:rsidP="00D06117">
      <w:pPr>
        <w:pStyle w:val="TextoNormal"/>
      </w:pPr>
    </w:p>
    <w:p w:rsidR="00D06117" w:rsidRDefault="00D06117" w:rsidP="00D06117">
      <w:pPr>
        <w:pStyle w:val="TextoNormal"/>
      </w:pPr>
      <w:r>
        <w:t xml:space="preserve">La resolución sancionadora, en su fundamento de Derecho tercero, rechaza esta alegación por considerar, en esencia, que la expresión “legislación básica” que contiene el art. 42 de la Ley 8/2005, de 10 de junio, de la viña y el vino de Castilla y León tiene carácter genérico y remite a la totalidad del régimen sancionador de la Ley 24/2003, de 10 de julio, de la viña y el vino, sin distinguir entre preceptos básicos y no básicos, y que, en todo caso, el Derecho estatal tiene carácter supletorio de acuerdo con lo establecido en el art. 149.3 CE, precepto que si bien no habilita al Estado para dictar normas al amparo de dicha cláusula, hace entrar en juego a título supletorio esta disposición del Estado dictada en ejercicio </w:t>
      </w:r>
      <w:r>
        <w:lastRenderedPageBreak/>
        <w:t>de sus competencias, al no poderse dejar sin sanción una conducta tan grave como la cometida por la recurrente.</w:t>
      </w:r>
    </w:p>
    <w:p w:rsidR="00D06117" w:rsidRDefault="00D06117" w:rsidP="00D06117">
      <w:pPr>
        <w:pStyle w:val="TextoNormal"/>
      </w:pPr>
    </w:p>
    <w:p w:rsidR="00D06117" w:rsidRDefault="00D06117" w:rsidP="00D06117">
      <w:pPr>
        <w:pStyle w:val="TextoNormal"/>
      </w:pPr>
      <w:r>
        <w:t>b) La empresa sancionada interpuso recurso contencioso-administrativo que fue estimado por la Sentencia del Juzgado de lo Contencioso-Administrativo núm. 2 de Valladolid de fecha 4 de septiembre de 2008. Entiende el Juzgado, en el fundamento jurídico cuarto de la Sentencia, que debe ser estimada la alegación del demandante según la cual la conducta imputada no se encuentra tipificada como infracción en la legislación autonómica sin que resulte de aplicación el art. 40.2 d) de la Ley 24/2003, de 10 de julio, de la viña y el vino en Castilla y León al no ser el término legislación básica equivalente a legislación estatal y no poderse aplicar con carácter supletorio en la medida en que no existe una laguna de la legislación autonómica en la tipificación de determinadas infracciones remitiéndose en lo no previsto a la legislación básica estatal pero no a la que no tiene dicho carácter.</w:t>
      </w:r>
    </w:p>
    <w:p w:rsidR="00D06117" w:rsidRDefault="00D06117" w:rsidP="00D06117">
      <w:pPr>
        <w:pStyle w:val="TextoNormal"/>
      </w:pPr>
    </w:p>
    <w:p w:rsidR="00D06117" w:rsidRDefault="00D06117" w:rsidP="00D06117">
      <w:pPr>
        <w:pStyle w:val="TextoNormal"/>
      </w:pPr>
      <w:r>
        <w:t>c) La Sentencia 1445/2009, de 10 de junio, de la Sección Segunda de la Sala de lo Contencioso-Administrativo del Tribunal Superior de Justica, con sede en Valladolid, estimó el recurso de apelación interpuesto por la Junta de Castilla y León, por considerar que cuando la ley autonómica utiliza la expresión “legislación básica de la Viña y el Vino” se está refiriendo a la Ley 24/2003, en su conjunto sin excluir las normas contenidas en ella que no son calificadas por la propia ley como básicas pero que son aplicables en las Comunidades Autónomas en tanto no las desplacen con el simple ejercicio de sus competencias normativas (fundamento jurídico segundo). Y añade a renglón seguido:</w:t>
      </w:r>
    </w:p>
    <w:p w:rsidR="00D06117" w:rsidRDefault="00D06117" w:rsidP="00D06117">
      <w:pPr>
        <w:pStyle w:val="TextoNormal"/>
      </w:pPr>
    </w:p>
    <w:p w:rsidR="00D06117" w:rsidRDefault="00D06117" w:rsidP="00D06117">
      <w:pPr>
        <w:pStyle w:val="TextoNormal"/>
      </w:pPr>
      <w:r>
        <w:t xml:space="preserve">“Se entiende que es así y que la Comunidad de Castilla y León no ha desplazado, sino que ha asumido, las normas reguladoras de las infracciones administrativas que no tienen el carácter de básicas en la Ley 24/2003, en concreto el art. 40.2 d), al dictar la Ley 8/2005 en el ejercicio de su competencia exclusiva en materia de agricultura, así como en materia de denominaciones de origen y otras indicaciones de procedencia relativas a productos de la Comunidad, según lo dispuesto en el artículo 32.1.7 y 32 de su Estatuto de Autonomía, puesto que, uno, no lo dice de forma expresa; dos, por razones de orden lógico, pues en otros preceptos en que utiliza la Ley esa expresión, como en el art. 45, párrafo segundo, que está dentro del mismo Título VI ‘Régimen sancionador’, que dice ‘En cuanto a las medidas cautelares que puedan adoptarse antes o durante la tramitación del procedimiento sancionador, se estará a lo dispuesto en la legislación básica de la Viña y del Vino’, se está remitiendo a una norma de la Ley 24/2003 —el art. 35— que no tiene carácter básico por lo que carecería de sentido entender que cuando el art. 42 de la Ley 8/2005 se remite con carácter general al régimen sancionador en las materias objeto de esa Ley establecido en la legislación básica de la Viña y del Vino se está remitiendo exclusivamente a aquellos aspectos del mismo que tienen el carácter de normas básicas y que cuando se utiliza esa misma expresión en el art. 45 se está refiriendo a toda la Ley 24/2003, so pena de que se sostenga que realmente no pueden adoptarse medidas cautelares en los procedimientos sancionadores que se tramiten en esta Comunidad porque el precepto de la Ley estatal al que se remite la Ley autonómica no tiene aquel carácter, lo que choca claramente con el tenor del citado precepto en el que se prevé la posibilidad de adoptarse medidas cautelares antes o durante la tramitación del procedimiento sancionador. Tres, porque el espíritu y finalidad de la Ley 8/2005 es continuar con el desarrollo de una política de calidad en el sector agrícola, y especialmente en el sector vitivinícola, regulando los niveles diferenciados del origen y la calidad de los vinos, así como el sistema de protección de las denominaciones y menciones que </w:t>
      </w:r>
      <w:r>
        <w:lastRenderedPageBreak/>
        <w:t>legalmente les están reservados, en defensa de los productores y consumidores frente a su uso indebido (exposición de motivos y art. 1 de la Ley 8/2005). Y desde esta perspectiva —teniendo en cuenta que las contraetiquetas se entregan por el Consejo Regulador para identificar las partidas concretas de vino que han superado los controles de calidad que se establecen en su normativa y que son merecedoras de la calificación como Denominación de Origen ‘Rueda’, lo que las convierte en documentos de certificación intransferibles— difícilmente puede sostenerse que el Legislador autonómico no quisiera tipificar como infracción la utilización indebida de contraetiquetas, que es a la conclusión a que se llega con la interpretación que hace la Juzgadora el Juez a quo de la expresión tantas veces mencionada.”</w:t>
      </w:r>
    </w:p>
    <w:p w:rsidR="00D06117" w:rsidRDefault="00D06117" w:rsidP="00D06117">
      <w:pPr>
        <w:pStyle w:val="TextoNormal"/>
      </w:pPr>
    </w:p>
    <w:p w:rsidR="00D06117" w:rsidRDefault="00D06117" w:rsidP="00D06117">
      <w:pPr>
        <w:pStyle w:val="TextoNormal"/>
      </w:pPr>
      <w:r w:rsidRPr="00D06117">
        <w:rPr>
          <w:rStyle w:val="NumeroAFNegritaCaracter"/>
        </w:rPr>
        <w:t>3</w:t>
      </w:r>
      <w:r>
        <w:t>. La actora asienta la especial trascendencia constitucional de su recurso de amparo sobre dos pilares: por un lado, la violación manifiesta del derecho fundamental a la legalidad sancionadora y, por otro, la ausencia de pronunciamientos de este Tribunal acerca del problema de si, en materia sancionadora, los preceptos no básicos de una ley básica estatal son aplicables —con carácter supletorio ex art. 149.3 CE— en una Comunidad Autónoma que haya asumido y ejercido sus competencias exclusivas en la materia. Cita, a este respecto, autorizadas opiniones doctrinales que sostienen que, si con carácter general la ordenación incompleta de una materia por una Comunidad Autónoma puede permitir, en virtud del principio de supletoriedad, la aplicación del Derecho estatal, en el ámbito sancionador esta posibilidad es francamente objetable por cuanto se produciría un flagrante vaciamiento del ámbito competencial autonómico.</w:t>
      </w:r>
    </w:p>
    <w:p w:rsidR="00D06117" w:rsidRDefault="00D06117" w:rsidP="00D06117">
      <w:pPr>
        <w:pStyle w:val="TextoNormal"/>
      </w:pPr>
    </w:p>
    <w:p w:rsidR="00D06117" w:rsidRDefault="00D06117" w:rsidP="00D06117">
      <w:pPr>
        <w:pStyle w:val="TextoNormal"/>
      </w:pPr>
      <w:r>
        <w:t>Sostiene la representación procesal de Bodegas Antaño, S.A., que, contrariamente a lo afirmado en la resolución administrativa sancionadora y en la Sentencia de la Sección Segunda de la Sala de lo Contencioso-Administrativo del Tribunal Superior de Justicia de Castilla y León, con sede en Valladolid, que impugna, los preceptos no básicos de una ley básica no son aplicables de forma supletoria conforme al art. 149.3 CE porque aunque ello es así cuando la Comunidad Autónoma no regula la materia, la situación varía radicalmente cuando existe, como aquí sucede, una ley autonómica que establece un régimen sancionador compuesto, además de por los tipos básicos definidos por el legislador estatal —entre los que no se encuentra el aplicado en el caso—, aquellos específicos creados por la propia norma territorial. Además, la Ley de las Cortes de Castilla y León 8/2005 no declara en ningún momento de aplicación supletoria la Ley de la viña y del vino, acaso porque, de haberlo hecho habría incurrido en una causa de inconstitucionalidad de acuerdo con la doctrina recogida en la STC 157/2004.</w:t>
      </w:r>
    </w:p>
    <w:p w:rsidR="00D06117" w:rsidRDefault="00D06117" w:rsidP="00D06117">
      <w:pPr>
        <w:pStyle w:val="TextoNormal"/>
      </w:pPr>
    </w:p>
    <w:p w:rsidR="00D06117" w:rsidRDefault="00D06117" w:rsidP="00D06117">
      <w:pPr>
        <w:pStyle w:val="TextoNormal"/>
      </w:pPr>
      <w:r>
        <w:t xml:space="preserve">Apunta, asimismo, que la aplicación del precepto legal estatal contradice abiertamente el propósito perseguido por el legislador autonómico, según resulta de lo afirmado en la exposición de motivos de la Ley de las Cortes de Castilla y León 8/2005. En ella se deja constancia de que “partiendo del respeto a lo que la disposición final segunda de la Ley 24/2003 determina como básico al amparo del artículo 149.1.13 CE, la Comunidad Autónoma de Castilla y León en el ejercicio de su competencia exclusiva en materia de agricultura así como en materia de denominaciones de origen y otras indicaciones de procedencia … aprueba esta Ley en la que se recoge todo lo que se considera merece ser incluido en una norma con rango de Ley.” Siempre a juicio de la actora, el reglamento de la Ley de la viña y del vino de Castilla y León, aprobado por Decreto 51/2006, de 20 de julio suministraría otro dato acreditativo de la incorrección en que habrían incurrido la orden del Consejero de Agricultura y Ganadería de la Junta de Castilla y León y la Sentencia que aquí se impugna, </w:t>
      </w:r>
      <w:r>
        <w:lastRenderedPageBreak/>
        <w:t>al incluir expresamente en su art. 68.2 b) el tipo del ilícito administrativo que se dice aplicable por mor de la supletoriedad del Derecho estatal. La actora hace hincapié en que este reglamento autonómico no copió todas las infracciones de la ley estatal, limitándose a reproducir exclusivamente aquellas que no tenían carácter básico.</w:t>
      </w:r>
    </w:p>
    <w:p w:rsidR="00D06117" w:rsidRDefault="00D06117" w:rsidP="00D06117">
      <w:pPr>
        <w:pStyle w:val="TextoNormal"/>
      </w:pPr>
    </w:p>
    <w:p w:rsidR="00D06117" w:rsidRDefault="00D06117" w:rsidP="00D06117">
      <w:pPr>
        <w:pStyle w:val="TextoNormal"/>
      </w:pPr>
      <w:r>
        <w:t>Rechaza la recurrente la afirmación, contenida en la resolución judicial impugnada, de que cuando el art. 42 de la Ley autonómica se remite al régimen sancionador de la legislación básica estatal esa remisión debe entenderse hecha a la totalidad del régimen sancionador incluido en la Ley 24/2003 porque, en otro caso, quedaría vacía de contenido la referencia que el art. 45 de la Ley territorial hace a las medidas cautelares de la legislación básica estatal, habida cuenta de que el art. 35 de la Ley 24/2003, que las regula, no tiene carácter básico. Para Bodegas Antaño, S.A., “la conclusión no puede ser ésa, porque la realidad es que el art. 35 de la Ley estatal 24/2003 no es aplicable, igual que no lo es el art. 40.2 d) en Castilla y León, porque no tienen carácter básico y, la Ley 8/2005 no se remite a ellos”, de modo que las medidas cautelares que pueden adoptarse en la tramitación de un expediente sancionador en esta materia en Castilla y León son aquellas previstas en la legislación básica estatal reguladora del procedimiento administrativo común, y más concretamente las recogidas en el art. 136 de la Ley 30/1992, de 26 de noviembre, de régimen jurídico de las Administraciones públicas y del procedimiento administrativo común, y en el art. 8.1 del Decreto autonómico 189/1994, de 25 de agosto, que regula el procedimiento sancionador. Otro tanto sucede con las potestades de los veedores o inspectores, reguladas en el art. 34 de la Ley 24/2003, que tampoco tiene naturaleza básica y, por ello, no es aplicable en Castilla y León.</w:t>
      </w:r>
    </w:p>
    <w:p w:rsidR="00D06117" w:rsidRDefault="00D06117" w:rsidP="00D06117">
      <w:pPr>
        <w:pStyle w:val="TextoNormal"/>
      </w:pPr>
    </w:p>
    <w:p w:rsidR="00D06117" w:rsidRDefault="00D06117" w:rsidP="00D06117">
      <w:pPr>
        <w:pStyle w:val="TextoNormal"/>
      </w:pPr>
      <w:r>
        <w:t>Afirma la actora que la Ley autonómica 8/2005 es “extremadamente precisa” y que “en contra de lo que se sostiene en la Sentencia de la Sala de Valladolid, cuando se quiere remitir a los preceptos básicos de la Ley estatal 24/2003, no hace una remisión ‘general’ a toda la ley sino que, por ejemplo —y es sólo uno de los muchos existentes—, el art. 11. de la Ley 8/2005, cuando se remite a los ‘requisitos establecidos para cada nivel en la legislación básica de la Viña y el Vino’, no quiere que se aplique todo el capítulo I del título II de la Ley 24/2003, sino lo que es básico, es decir, todo excepto el artículo 16, los apartados 4 y 8 del artículo 25 y los párrafos b), e) y g) del apartado 2 del artículo 26, que es lo no básico conforme a la disposición final segunda de la Ley 24/2003, porque, por ejemplo, el contenido del art. 16 Ley 24/2003 —que no es básico— se sustituye por el art. 12 Ley 8/2005; o, en el otro extremo, pese a ser básica la regulación de los vinos de pago del art. 24 Ley 24/2003, el art. 18 de la Ley 8/2005 lo regula de forma sutil y sustancialmente diferente.” Sólo tras la entrada en vigor del Decreto 51/2006, esto es, con posterioridad a los hechos objeto de la sanción administrativa origen de este proceso de amparo, la conducta es típica en Castilla y León.</w:t>
      </w:r>
    </w:p>
    <w:p w:rsidR="00D06117" w:rsidRDefault="00D06117" w:rsidP="00D06117">
      <w:pPr>
        <w:pStyle w:val="TextoNormal"/>
      </w:pPr>
    </w:p>
    <w:p w:rsidR="00D06117" w:rsidRDefault="00D06117" w:rsidP="00D06117">
      <w:pPr>
        <w:pStyle w:val="TextoNormal"/>
      </w:pPr>
      <w:r>
        <w:t xml:space="preserve">Para la representación de Bodegas Antaño, S.A., entender, como hace la resolución judicial impugnada, que la Comunidad de Castilla y León no ha desplazado sino que ha asumido las normas de la Ley 24/2003 reguladoras de las infracciones administrativas que no tienen carácter básico choca frontalmente con la doctrina recogida en la STC 157/2004, donde, con cita de la STC 132/1989, se pone de manifiesto que “cuando el legislador autonómico regula materias de su competencia sobre las que existe normativa estatal viene a desplazar tal normativa, aplicándose con preferencia en cada Comunidad Autónoma las disposiciones propias” (FJ 13). No niega que el legislador autonómico pueda remitirse a las </w:t>
      </w:r>
      <w:r>
        <w:lastRenderedPageBreak/>
        <w:t>disposiciones básicas estatales para regular una materia, incluso sancionadora, pero esto no es lo mismo que considerar aplicable en virtud del principio de supletoriedad del Derecho estatal (art. 149.3 CE) aquello a lo que no hay remisión expresa. Sólo reinterpretando de manera muy forzada la remisión de la Ley territorial a la Ley 24/2003 se alcanza como resultado que la conducta enjuiciada es típica, pero ello equivale a una interpretación analógica prohibida por infringir claramente el derecho a la legalidad proclamado en el art. 25.1 CE. Así lo confirmarían, siempre en opinión de la recurrente, las SSTC 133/1999 y 111/2004, de las que reproduce extensos pasajes de sus fundamentos jurídicos 2 y 3, respectivamente.</w:t>
      </w:r>
    </w:p>
    <w:p w:rsidR="00D06117" w:rsidRDefault="00D06117" w:rsidP="00D06117">
      <w:pPr>
        <w:pStyle w:val="TextoNormal"/>
      </w:pPr>
    </w:p>
    <w:p w:rsidR="00D06117" w:rsidRDefault="00D06117" w:rsidP="00D06117">
      <w:pPr>
        <w:pStyle w:val="TextoNormal"/>
      </w:pPr>
      <w:r>
        <w:t>Antes de cerrar su escrito de demanda, la actora reconoce que, en el momento de producirse los hechos, podía prever la aplicación de lo dispuesto en el art. 44.3 e) del Reglamento de la denominación de origen “Rueda”, aprobado por Orden del Ministerio de Agricultura, Pesca y Alimentación 2059/2002, de 21 de julio, donde se tipifica como infracción grave la indebida tenencia, negociación o utilización de los documentos, precintas, etiquetas, sellos, etc., propios de la denominación, sancionando esta conducta con multa de veinte mil pesetas al doble del valor del producto afectado y decomiso. Para la demandante de amparo, el indicado reglamento se encontraba entonces vigente en virtud de lo previsto en la disposición transitoria de la Ley autonómica 8/2005 y del Decreto autonómico 62/2004, de 27 de mayo, por el que se aprueba transitoriamente la gestión y control de los vinos con denominación de origen y el régimen sancionador de los vinos de calidad producidos en regiones determinadas. Este decreto fue derogado por el ya citado Decreto autonómico 51/2006, cuyo art. 68.2 b) reproduce literalmente el art. 40.2 d) de la Ley 24/2003.</w:t>
      </w:r>
    </w:p>
    <w:p w:rsidR="00D06117" w:rsidRDefault="00D06117" w:rsidP="00D06117">
      <w:pPr>
        <w:pStyle w:val="TextoNormal"/>
      </w:pPr>
    </w:p>
    <w:p w:rsidR="00D06117" w:rsidRDefault="00D06117" w:rsidP="00D06117">
      <w:pPr>
        <w:pStyle w:val="TextoNormal"/>
      </w:pPr>
      <w:r>
        <w:t>La demanda concluye con la solicitud de que se dicte Sentencia por la que se reconozca el derecho de la recurrente a la legalidad en materia sancionadora y, a fin de reparar la lesión padecida en éste, se anulen la Sentencia de la Sección Segunda de la Sala de lo Contencioso-Administrativo del Tribunal Superior de Justicia de Castilla y León núm. 1445, de 10 de junio de 2009, y la orden del Consejero de Agricultura y Ganadería de la Junta de Castilla y León de 19 de octubre de 2006, por la que se le impone una sanción de sesenta mil euros como autora de una infracción del art. 40.2 d) de la Ley estatal 24/2003, de la viña y del vino.</w:t>
      </w:r>
    </w:p>
    <w:p w:rsidR="00D06117" w:rsidRDefault="00D06117" w:rsidP="00D06117">
      <w:pPr>
        <w:pStyle w:val="TextoNormal"/>
      </w:pPr>
    </w:p>
    <w:p w:rsidR="00D06117" w:rsidRDefault="00D06117" w:rsidP="00D06117">
      <w:pPr>
        <w:pStyle w:val="TextoNormal"/>
      </w:pPr>
      <w:r w:rsidRPr="00D06117">
        <w:rPr>
          <w:rStyle w:val="NumeroAFNegritaCaracter"/>
        </w:rPr>
        <w:t>4</w:t>
      </w:r>
      <w:r>
        <w:t>. Por diligencia de ordenación de la Secretaria de Justicia de la Sección Cuarta de este Tribunal se concedió, de acuerdo con lo previsto en el art. 49.4 de la Ley Orgánica del Tribunal Constitucional (LOTC), un plazo de diez días a la Procuradora doña Mercedes Caro Bonilla a fin de que suscribiera el escrito de demanda, advirtiéndole de que la falta de subsanación del defecto advertido en el plazo indicado determinaría la inadmisión del presente recurso.</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Subsanado el defecto antes citado, por providencia de 17 de marzo de 2011 la Sala Segunda de este Tribunal acordó, de conformidad con lo dispuesto en el art. 11.2 LOTC, conocer del presente recurso de amparo y admitir a trámite la demanda de amparo formulada por la Procuradora doña Mercedes Caro Bonilla en nombre y representación de Bodegas Antaño, S.A. En la misma providencia se acordó, en aplicación de lo dispuesto en el art. 51 LOTC, dirigir atenta comunicación a la Sección Segunda de la Sala de lo Contencioso-Administrativo del Tribunal Superior de Justicia de Castilla y León, con sede en Valladolid, a fin de que, en plazo que no excediera de diez días, remitiera certificación o copia adverada </w:t>
      </w:r>
      <w:r>
        <w:lastRenderedPageBreak/>
        <w:t>de las actuaciones correspondientes al recurso de apelación núm. 777-2008 y al Juzgado de lo Contencioso-Administrativo núm. 2 de Valladolid para que, en plazo no superior a diez días, remitiera certificación o fotocopia adverada de las actuaciones correspondientes al procedimiento ordinario núm. 78-2008, debiendo previamente emplazar a quienes hubieran sido parte en ese proceso, excepto la recurrente en amparo, para que pudieran comparecer en el presente recurso; lo que así hizo el siguiente día 18 de abril el Letrado de la Comunidad Autónoma de Castilla y León, solicitando que se le tuviera por personado y parte en el presente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6</w:t>
      </w:r>
      <w:r>
        <w:t>. Por diligencia de ordenación del Secretario de Justicia de la Sala Segunda de 6 de mayo de 2011 se tuvo por personada y parte a la Comunidad Autónoma de Castilla y León y, con arreglo a lo dispuesto en el art. 52.1 LOTC, se concedió al Ministerio Fiscal y a las partes personadas un plazo común de veinte días para que, con vista de las actuaciones recibidas, formulasen alegaciones.</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evacuó el trámite conferido mediante escrito presentado el 7 de junio de 2011. En dicho escrito pone de manifiesto que, habida cuenta de que el presente recurso de amparo presenta una identidad sustancial con el recurso núm. 586-2010, tramitado ante esta misma Sala en virtud de demanda de la entidad Bodega de Sarriá, S.A., y con los recursos núm. 7209-2009 y 3757-2010, tramitados por la Sala Primera, reitera las alegaciones efectuadas en aquéllos, interesando que se dicte Sentencia estimatoria del recurso de amparo promovido por Bodegas Antaño, S.A.</w:t>
      </w:r>
    </w:p>
    <w:p w:rsidR="00D06117" w:rsidRDefault="00D06117" w:rsidP="00D06117">
      <w:pPr>
        <w:pStyle w:val="TextoNormal"/>
      </w:pPr>
    </w:p>
    <w:p w:rsidR="00D06117" w:rsidRDefault="00D06117" w:rsidP="00D06117">
      <w:pPr>
        <w:pStyle w:val="TextoNormal"/>
      </w:pPr>
      <w:r>
        <w:t xml:space="preserve">a) Aborda en primer lugar el Ministerio Fiscal la cuestión relativa al alcance de la referencia que en el art. 42 de la Ley de las Cortes de Castilla y León 8/2005 se hace a la “legislación básica de la viña y del vino”. La resolución del Consejero de Agricultura y Ganadería de la Junta de Castilla y León y la Sentencia dictada por la Sección Segunda de la Sala de lo Contencioso-Administrativo del Tribunal Superior de Justicia de Castilla y León, con sede en Valladolid, coinciden en apreciar que la ley autonómica está utilizando la expresión “legislación básica” con carácter genérico a fin de remitirse a la totalidad del régimen sancionador que contiene la Ley 24/2003, sin distinción entre preceptos básicos y no básicos. Especial atención dedica a la afirmación, plasmada en la resolución judicial citada, de que los preceptos no básicos de la ley estatal resultan aplicables en tanto la Comunidad Autónoma no los desplace expresamente, señalando al respecto que cuando la Comunidad Autónoma de Castilla y León, en ejercicio de sus competencias sobre agricultura y denominaciones de origen, dictó la Ley 8/2005, ya “ejercitó su facultad de desplazar del ámbito de aplicación de la misma las disposiciones no básicas de la Ley estatal 24/2003”, como así se viene a reconocer en la exposición de motivos de la propia ley autonómica, donde se señala que “partiendo del respeto a lo que la disposición final de la Ley 24/2003 determina como básico al amparo del artículo 149.1.13 CE, la Comunidad Autónoma de Castilla y León en el ejercicio de su competencia exclusiva en materia de agricultura así como en materia de denominaciones de origen y otras indicaciones de procedencia relativas a productos de la Comunidad, según lo dispuesto en el artículo 32.1.7 y 32 de su Estatuto de Autonomía, aprueba esta Ley en la que se recoge todo lo que se considera merece ser incluido en una norma con rango de Ley de ordenación del sector vitivinícola de Castilla y León.” Pues bien, toda vez que la disposición final segunda de la Ley 24/2003 no atribuye carácter básico al art. 40.2 d) y toda vez que la Ley de las Cortes de Castilla y León, que recoge todo aquello que debe estar comprendido en una norma con rango de ley, no ha tipificado como ilícito </w:t>
      </w:r>
      <w:r>
        <w:lastRenderedPageBreak/>
        <w:t>administrativo la conducta sancionada por la ley estatal, a juicio del Ministerio Fiscal sólo puede concluirse “que el legislador autonómico, al ejercitar sus competencias exclusivas, dictando la Ley 8/2005, no contempló el sancionar la conducta que se tipifica en el art. 40.2 d) de la Ley 24/2003.”</w:t>
      </w:r>
    </w:p>
    <w:p w:rsidR="00D06117" w:rsidRDefault="00D06117" w:rsidP="00D06117">
      <w:pPr>
        <w:pStyle w:val="TextoNormal"/>
      </w:pPr>
    </w:p>
    <w:p w:rsidR="00D06117" w:rsidRDefault="00D06117" w:rsidP="00D06117">
      <w:pPr>
        <w:pStyle w:val="TextoNormal"/>
      </w:pPr>
      <w:r>
        <w:t>La Sentencia de la Sección Segunda de la Sala de lo Contencioso-Administrativo del Tribunal Superior de Justicia de Castilla y León, con sede en Valladolid, utiliza además una argumentación, que califica de “carácter lógico”. De acuerdo con esta resolución judicial, la remisión a la legislación básica de la viña y el vino contenida en el art. 42 de la Ley autonómica comprende la totalidad de preceptos definitorios del régimen sancionador de la Ley 24/2003 por la misma razón que la remisión a la ley estatal que en relación con las medidas cautelares se efectúa en el art. 45 de la Ley territorial, lo es a un precepto, el art. 35 de la Ley 24/2003, que no tiene carácter básico. Sin embargo, recuerda el Fiscal que la posibilidad de adoptar medidas cautelares en el procedimiento administrativo sancionador tramitado por la Comunidad Autónoma resulta de lo dispuesto por los arts. 136 de la Ley 30/1992, de 26 de noviembre, de régimen de las Administraciones públicas y procedimiento administrativo común, y 8 del Decreto autonómico 189/1994, de 25 de agostó, regulador del procedimiento sancionador.</w:t>
      </w:r>
    </w:p>
    <w:p w:rsidR="00D06117" w:rsidRDefault="00D06117" w:rsidP="00D06117">
      <w:pPr>
        <w:pStyle w:val="TextoNormal"/>
      </w:pPr>
    </w:p>
    <w:p w:rsidR="00D06117" w:rsidRDefault="00D06117" w:rsidP="00D06117">
      <w:pPr>
        <w:pStyle w:val="TextoNormal"/>
      </w:pPr>
      <w:r>
        <w:t>La limitación de la remisión exclusivamente a los preceptos que ostentan carácter básico de acuerdo con la disposición final segunda de la Ley 24/2003 quedaría reforzada, además, por el hecho de que el reglamento autonómico de la Ley de la viña y el vino, aprobado por Decreto 51/2006, de 20 de julio, incorporó expresamente en su art. 68.2 b), como infracción muy grave, la conducta de indebida tenencia o utilización de las contraetiquetas por la que fuera sancionada la mercantil ahora demandante de amparo. Con independencia de las consideraciones que en torno a la suficiencia de rango de la norma quepa hacer, entiende el Ministerio Fiscal que esta forma de proceder viene a reconocer que la conducta no era típica en virtud del art. 42 de la Ley autonómica. A este respecto observa que los preceptos del reglamento aprobado por el Decreto 51/2006 en los que se regula el régimen sancionador presentan un doble contenido pues en tanto que algunos de ellos especifican y concretan las conductas tipificadas en las disposiciones básicas sancionadoras de la Ley 24/2003 a las que se remitía la ley territorial, otros incorporan ex novo una serie de infracciones que se encuentran tipificadas en preceptos no básicos de esa misma ley estatal. Se vino así a cubrir un vacío, pero en ningún caso el olvido o error del legislador en que hubiera podido incurrir el legislador autonómico al no tipificar determinadas conductas luego incluidas en el reglamento porque se entendiera conveniente reprimirlas autoriza a forzar una interpretación extensiva del régimen sancionador de la Ley de las Cortes de Castilla y León 8/2005.</w:t>
      </w:r>
    </w:p>
    <w:p w:rsidR="00D06117" w:rsidRDefault="00D06117" w:rsidP="00D06117">
      <w:pPr>
        <w:pStyle w:val="TextoNormal"/>
      </w:pPr>
    </w:p>
    <w:p w:rsidR="00D06117" w:rsidRDefault="00D06117" w:rsidP="00D06117">
      <w:pPr>
        <w:pStyle w:val="TextoNormal"/>
      </w:pPr>
      <w:r>
        <w:t>b) Seguidamente refuta la afirmación de que el art. 40.2 d) de la Ley 24/2003 resulta aplicable como Derecho supletorio conforme al principio establecido en el art. 149.3 CE. La atribución de carácter supletorio, en todo caso, al Derecho estatal sirve al fin de evitar la existencia de lagunas, como claramente pusiera de relieve la STC 157/2004, de 21 de septiembre, FJ 13. En este caso, la aprobación por las Cortes de Castilla y León se hizo en ejercicio de las competencias autonómicas exclusivas sobre agricultura y denominaciones de origen y una de las consecuencias de ese ejercicio fue, justamente, el desplazamiento en el ámbito territorial de la Comunidad Autónoma de la normativa estatal no básica en la materia. No puede sostenerse que exista una laguna cuando el legislador autonómico, ac</w:t>
      </w:r>
      <w:r>
        <w:lastRenderedPageBreak/>
        <w:t>tuando en el ejercicio de sus competencias, ha establecido un régimen sancionador con tipificación de determinadas infracciones y exclusión de otras, al extremo de que la aplicación supletoria del Derecho estatal en este caso no sólo no sería procedente sino que, además, entrañaría el riesgo de desnaturalizar las competencias de titularidad autonómica. A ello añade que los principios de legalidad y tipicidad rechazan esa pretendida aplicación supletoria de la normativa estatal porque compromete la garantía material de lex certa que se integra en el art. 25.1 CE.</w:t>
      </w:r>
    </w:p>
    <w:p w:rsidR="00D06117" w:rsidRDefault="00D06117" w:rsidP="00D06117">
      <w:pPr>
        <w:pStyle w:val="TextoNormal"/>
      </w:pPr>
    </w:p>
    <w:p w:rsidR="00D06117" w:rsidRDefault="00D06117" w:rsidP="00D06117">
      <w:pPr>
        <w:pStyle w:val="TextoNormal"/>
      </w:pPr>
      <w:r>
        <w:t>c) Los razonamientos anteriormente sintetizados permiten concluir, siempre en opinión del Ministerio Fiscal, que la sanción impuesta a la demandante de amparo vulneró el principio de legalidad y tipicidad reconocido en el art. 25.1 CE. El principio de legalidad en materia sancionadora comprende, según doctrina de este Tribunal Constitucional, tanto una garantía formal, relativa al rango legal de la norma sancionadora, como otra material, que supone la necesaria preexistencia normativa de las conductas ilícitas y de las sanciones que lleven aparejadas; a ello se refiere expresamente la STC 133/1999, FJ 1. Esta garantía material impide que se incluyan entre las conductas sancionables aquellas que no resulten razonablemente previsibles de la literalidad de la ley existente. Para el Ministerio público, “la garantía material de legalidad impide en el ámbito sancionador subsumir mediante interpretaciones extensivas o analógicas las conductas enjuiciadas en las normas que definen las conductas infractoras”. En apoyo de esta afirmación invoca la doctrina recogida en las SSTC 111/2004, FJ 3, y 54/2008, FJ 4.</w:t>
      </w:r>
    </w:p>
    <w:p w:rsidR="00D06117" w:rsidRDefault="00D06117" w:rsidP="00D06117">
      <w:pPr>
        <w:pStyle w:val="TextoNormal"/>
      </w:pPr>
    </w:p>
    <w:p w:rsidR="00D06117" w:rsidRDefault="00D06117" w:rsidP="00D06117">
      <w:pPr>
        <w:pStyle w:val="TextoNormal"/>
      </w:pPr>
      <w:r>
        <w:t>En este caso, la interpretación extensiva de la remisión que la ley territorial hace a la legislación básica contradice las garantías que integran el derecho fundamental al principio de legalidad sancionadora. La demandante de amparo no pudo racionalmente prever su responsabilidad por infracción de lo previsto en el art. 40.2 d) de la ley estatal y acomodar a dicha norma su conducta, habida cuenta de que en el territorio de la Comunidad Autónoma la norma aplicable en materia de vinos de calidad con denominación de origen era la Ley de las Cortes de Castilla y León 8/2005, que en materia sancionadora hacía referencia específica a la “legislación básica” de la viña y del vino. Una interpretación precisa y adecuada de este término sólo puede hacerse entendiendo hecha la remisión a los preceptos básicos de la Ley 24/2003, entre los que no figura el ya mencionado art. 40.2 d).</w:t>
      </w:r>
    </w:p>
    <w:p w:rsidR="00D06117" w:rsidRDefault="00D06117" w:rsidP="00D06117">
      <w:pPr>
        <w:pStyle w:val="TextoNormal"/>
      </w:pPr>
    </w:p>
    <w:p w:rsidR="00D06117" w:rsidRDefault="00D06117" w:rsidP="00D06117">
      <w:pPr>
        <w:pStyle w:val="TextoNormal"/>
      </w:pPr>
      <w:r w:rsidRPr="00D06117">
        <w:rPr>
          <w:rStyle w:val="NumeroAFNegritaCaracter"/>
        </w:rPr>
        <w:t>8</w:t>
      </w:r>
      <w:r>
        <w:t>. El 13 de junio de 2011 se presentó en el Registro General de este Tribunal el escrito de alegaciones del Letrado de la Comunidad Autónoma de Castilla y León.</w:t>
      </w:r>
    </w:p>
    <w:p w:rsidR="00D06117" w:rsidRDefault="00D06117" w:rsidP="00D06117">
      <w:pPr>
        <w:pStyle w:val="TextoNormal"/>
      </w:pPr>
    </w:p>
    <w:p w:rsidR="00D06117" w:rsidRDefault="00D06117" w:rsidP="00D06117">
      <w:pPr>
        <w:pStyle w:val="TextoNormal"/>
      </w:pPr>
      <w:r>
        <w:t>a) Inicia su escrito el Letrado autonómico aduciendo la extemporaneidad del recurso de amparo, pues se interpuso al día siguiente de que hubiera transcurrido el plazo de veinte días desde la notificación de la resolución recaída en el proceso judicial previo (art. 43.2 LOTC), en este caso la Sentencia de la Sección Segunda de la Sala de lo Contencioso-Administrativo del Tribunal Superior de Justicia de Castilla y León, con sede en Valladolid, sin que sea de aplicación supletoria lo dispuesto en el art. 135 de la Ley de enjuiciamiento civil, según resulta de lo afirmado en la STC 230/2006, de 17 de julio. No puede admitirse, tampoco, la aplicación del plazo de treinta días del art. 44.2 LOTC pues no nos hallamos ante un recurso de amparo mixto sino que lo que se pretende por la actora es obtener la nulidad de la resolución administrativa sancionadora, a la que se imputa la lesión del derecho fundamental invocado.</w:t>
      </w:r>
    </w:p>
    <w:p w:rsidR="00D06117" w:rsidRDefault="00D06117" w:rsidP="00D06117">
      <w:pPr>
        <w:pStyle w:val="TextoNormal"/>
      </w:pPr>
    </w:p>
    <w:p w:rsidR="00D06117" w:rsidRDefault="00D06117" w:rsidP="00D06117">
      <w:pPr>
        <w:pStyle w:val="TextoNormal"/>
      </w:pPr>
      <w:r>
        <w:lastRenderedPageBreak/>
        <w:t>b) Con carácter subsidiario el Letrado de la Comunidad Autónoma de Castilla y León postula la desestimación del presente recurso de amparo.</w:t>
      </w:r>
    </w:p>
    <w:p w:rsidR="00D06117" w:rsidRDefault="00D06117" w:rsidP="00D06117">
      <w:pPr>
        <w:pStyle w:val="TextoNormal"/>
      </w:pPr>
    </w:p>
    <w:p w:rsidR="00D06117" w:rsidRDefault="00D06117" w:rsidP="00D06117">
      <w:pPr>
        <w:pStyle w:val="TextoNormal"/>
      </w:pPr>
      <w:r>
        <w:t>En punto al alcance de la remisión que la Ley autonómica de la viña y el vino hace a los preceptos de la norma estatal, el citado Letrado sostiene que “las remisiones expresas que contiene la Ley 8/2005, de 10 de junio, de la viña y el vino de Castilla y León, a la legislación básica del Estado, lo son en su conjunto a la Ley estatal 24/2003, que es la ley básica en la materia vinícola, sin distinción estricta, única y exclusiva a los preceptos directamente de carácter básico, excluyendo a los demás.” La propia ley y los reglamentos dictados por la Administración autonómica vendrían a demostrar que ésa es la voluntad del legislador. A la misma conclusión se llegaría, según el Letrado de la Comunidad Autónoma de Castilla y León, aplicando los criterios hermenéuticos del art. 3.1 del Código civil, en particular si se atiende a la teleología del precepto legal autonómico.</w:t>
      </w:r>
    </w:p>
    <w:p w:rsidR="00D06117" w:rsidRDefault="00D06117" w:rsidP="00D06117">
      <w:pPr>
        <w:pStyle w:val="TextoNormal"/>
      </w:pPr>
    </w:p>
    <w:p w:rsidR="00D06117" w:rsidRDefault="00D06117" w:rsidP="00D06117">
      <w:pPr>
        <w:pStyle w:val="TextoNormal"/>
      </w:pPr>
      <w:r>
        <w:t>Para reforzar su argumentación, el Letrado autonómico se detiene en el art. 45 de la Ley de las Cortes de Castilla y León 8/2005, que remite a la ley básica de la viña y del vino en materia de medidas cautelares, siendo así que esta cuestión se regula en los arts. 35 y 43 de la Ley 24/2003, ninguno de los cuales tiene carácter básico. Esta remisión lo es a la regulación íntegra y global de las medidas cautelares en la vigente ley estatal, o la que en el futuro pueda sustituirla, con independencia de que los concretos preceptos legales sean o no bases.</w:t>
      </w:r>
    </w:p>
    <w:p w:rsidR="00D06117" w:rsidRDefault="00D06117" w:rsidP="00D06117">
      <w:pPr>
        <w:pStyle w:val="TextoNormal"/>
      </w:pPr>
    </w:p>
    <w:p w:rsidR="00D06117" w:rsidRDefault="00D06117" w:rsidP="00D06117">
      <w:pPr>
        <w:pStyle w:val="TextoNormal"/>
      </w:pPr>
      <w:r>
        <w:t>La sucesiva regulación reglamentaria de la Comunidad Autónoma de Castilla y León posterior a la ley básica estatal abonaría igualmente esta interpretación. Así, el Decreto 62/2004, de 27 de mayo, por el que se aprobó transitoriamente la gestión y control de los vinos con denominación de origen y el régimen sancionador de los vinos de calidad producidos en regiones determinadas, en cuanto a las infracciones administrativas, se refería en su articulado a “las infracciones administrativas tipificadas en la Ley 24/2003, de 10 de julio” y el vigente Decreto 51/2006 especifica determinadas infracciones administrativas de esta misma ley, algunas de las cuales no tienen carácter básico. Si el legislador autonómico no hubiese entendido que con la remisión al régimen sancionador de la ley básica estatal incorporaba el catálogo y relación de las infracciones administrativas contenidas en esta ley, hubiera desarrollado por sí mismo la materia, procediendo a la tipificación de los ilícitos y estableciendo las medidas cautelares pertinentes.</w:t>
      </w:r>
    </w:p>
    <w:p w:rsidR="00D06117" w:rsidRDefault="00D06117" w:rsidP="00D06117">
      <w:pPr>
        <w:pStyle w:val="TextoNormal"/>
      </w:pPr>
    </w:p>
    <w:p w:rsidR="00D06117" w:rsidRDefault="00D06117" w:rsidP="00D06117">
      <w:pPr>
        <w:pStyle w:val="TextoNormal"/>
      </w:pPr>
      <w:r>
        <w:t>Por otra parte, que una disposición contenida en una norma estatal no tenga carácter básico, como sucede en el caso del art. 40.2 d) de la Ley 24/2003, no significa que no sea aplicable en las Comunidades Autónomas. Serán aplicables bien porque las Comunidades Autónomas las asuman expresamente, o bien porque no las desplacen o sustituyan, en cuyo caso entra en juego la cláusula supletoria del art. 149.3 CE.</w:t>
      </w:r>
    </w:p>
    <w:p w:rsidR="00D06117" w:rsidRDefault="00D06117" w:rsidP="00D06117">
      <w:pPr>
        <w:pStyle w:val="TextoNormal"/>
      </w:pPr>
    </w:p>
    <w:p w:rsidR="00D06117" w:rsidRDefault="00D06117" w:rsidP="00D06117">
      <w:pPr>
        <w:pStyle w:val="TextoNormal"/>
      </w:pPr>
      <w:r>
        <w:t xml:space="preserve">Sostiene el Letrado autonómico que el régimen sancionador de la ley estatal es aplicable en Castilla y León “por la remisión expresa y general del artículo 42 de la Ley autonómica 8/2005, y porque esta Ley autonómica no contiene una regulación propia y distinta del catálogo y relación de las infracciones administrativas tipificadas en materia vinícola”. Tras reproducirse algunos pasajes de la Sentencia de la Sección Segunda de la Sala de lo Contencioso-Administrativo del Tribunal Superior de Justicia de Castilla y León aquí impugnada, reconoce el Letrado autonómico que la expresión “legislación básica de la viña y el vino” utilizada por la ley territorial puede no ser la más correcta desde el punto de vista de </w:t>
      </w:r>
      <w:r>
        <w:lastRenderedPageBreak/>
        <w:t>la técnica legislativa, pero el espíritu y finalidad de la Ley 8/2005, de la viña y el vino de Castilla y León en este punto no puede ser más claro: asegurar la aplicabilidad todas las normas relativas a infracciones y sanciones contenidas en la ley estatal.</w:t>
      </w:r>
    </w:p>
    <w:p w:rsidR="00D06117" w:rsidRDefault="00D06117" w:rsidP="00D06117">
      <w:pPr>
        <w:pStyle w:val="TextoNormal"/>
      </w:pPr>
    </w:p>
    <w:p w:rsidR="00D06117" w:rsidRDefault="00D06117" w:rsidP="00D06117">
      <w:pPr>
        <w:pStyle w:val="TextoNormal"/>
      </w:pPr>
      <w:r>
        <w:t>Llama la atención el Letrado autonómico acerca del hecho de que la conducta de la demandante, a saber, la indebida tenencia, negociación o utilización de los documentos, etiquetas, contraetiquetas, precintas y otros elementos de identificación propios del vino de calidad producido en una región determinada, así como su falsificación “siempre ha sido una infracción prevista en la normativa reguladora del sector vitícola”. Por ello, en su opinión no cabe ninguna duda de que en el momento de producirse los hechos la entidad demandante, que elabora vinos desde 1988, era plenamente consciente de la gravedad de su conducta “por lo que la alegada vulneración de los principios de legalidad y tipicidad en el caso que nos ocupa, amén de no encontrar respaldo desde el punto de vista jurídico, no encuentra soporte desde el propio sentido común”.</w:t>
      </w:r>
    </w:p>
    <w:p w:rsidR="00D06117" w:rsidRDefault="00D06117" w:rsidP="00D06117">
      <w:pPr>
        <w:pStyle w:val="TextoNormal"/>
      </w:pPr>
    </w:p>
    <w:p w:rsidR="00D06117" w:rsidRDefault="00D06117" w:rsidP="00D06117">
      <w:pPr>
        <w:pStyle w:val="TextoNormal"/>
      </w:pPr>
      <w:r w:rsidRPr="00D06117">
        <w:rPr>
          <w:rStyle w:val="NumeroAFNegritaCaracter"/>
        </w:rPr>
        <w:t>9</w:t>
      </w:r>
      <w:r>
        <w:t>. El 15 de junio de 2001 la representación procesal de la mercantil demandante de amparo se ratificó en los argumentos ya expuestos en el escrito rector de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10</w:t>
      </w:r>
      <w:r>
        <w:t>. Mediante providencia de 14 de junio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Como se ha expuesto en los antecedentes, Bodegas Antaño, S.A., solicita amparo respecto de la Orden del Consejero de Agricultura y Ganadería de la Junta de Castilla y León de 19 de octubre de 2006, imponiéndole una sanción pecuniaria de sesenta mil un euros por la comisión de una infracción tipificada en el art. 40.2 d) de la Ley 24/2003, de 10 de julio, de la viña y del vino, y de la Sentencia de la Sección Segunda de la Sala de lo Contencioso-Administrativo del Tribunal Superior de Justicia de Castilla y León, con sede en Valladolid, de 10 de junio de 2009, que, con estimación del recurso de apelación formulado por la Administración autora del acto contra la Sentencia del Juzgado de lo Contencioso-Administrativo núm. 2 de Valladolid de 4 de septiembre de 2008, confirmó la legalidad de dicha resolución administrativa.</w:t>
      </w:r>
    </w:p>
    <w:p w:rsidR="00D06117" w:rsidRDefault="00D06117" w:rsidP="00D06117">
      <w:pPr>
        <w:pStyle w:val="TextoNormal"/>
      </w:pPr>
    </w:p>
    <w:p w:rsidR="00D06117" w:rsidRDefault="00D06117" w:rsidP="00D06117">
      <w:pPr>
        <w:pStyle w:val="TextoNormal"/>
      </w:pPr>
      <w:r>
        <w:t>Sostiene la demandante que ambas resoluciones habrían vulnerado su derecho fundamental a la legalidad sancionadora, opinión que comparte el Ministerio Fiscal en las alegaciones formuladas en este proceso constitucional y de la que discrepa la representación de la Junta de Castilla y León, quien interesa la inadmisión del recurso de amparo por extemporáneo y subsidiariamente su desestimación.</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Antes de emprender el análisis del fondo de este proceso constitucional es preciso despejar el óbice procesal opuesto por el Letrado de la Comunidad Autónoma de Castilla y León, quien aduce extemporaneidad en la interposición por Bodegas Antaño, S.A., del recurso de amparo dado que éste tuvo entrada en el Juzgado Decano de los de Valladolid </w:t>
      </w:r>
      <w:r>
        <w:lastRenderedPageBreak/>
        <w:t>después de que hubiera expirado el plazo de veinte días desde la notificación de la resolución recaída en el proceso previo establecido por el art. 43.2 de la Ley Orgánica de este Tribunal (LOTC). Parte el Letrado autonómico de la premisa de que el recurso de amparo se ha formulado por el cauce del art. 43 LOTC. Y añade que, habida cuenta de que la Sentencia dictada por la Sección Segunda de la Sala de lo Contencioso-Administrativo del Tribunal Superior de Justicia de Castilla y León, con sede en Valladolid, le fue notificada a la ahora demandante de amparo el 25 de junio de 2009, el plazo concluía el 23 de julio siguiente, pese a lo cual el recurso de amparo se presentó en el Decanato de Valladolid, como es de ver en la diligencia de ordenación, el 24 de julio de 2009, esto es, una vez expirado el plazo de caducidad del art. 43 LOTC.</w:t>
      </w:r>
    </w:p>
    <w:p w:rsidR="00D06117" w:rsidRDefault="00D06117" w:rsidP="00D06117">
      <w:pPr>
        <w:pStyle w:val="TextoNormal"/>
      </w:pPr>
    </w:p>
    <w:p w:rsidR="00D06117" w:rsidRDefault="00D06117" w:rsidP="00D06117">
      <w:pPr>
        <w:pStyle w:val="TextoNormal"/>
      </w:pPr>
      <w:r>
        <w:t>Con independencia de que, efectivamente, este no es un recurso de amparo mixto, sino un recurso del art. 43 LOTC, ya que la vulneración del art. 25.1 CE se imputa directamente a la Administración autonómica en ejercicio de su potestad sancionadora, la posibilidad de presentación del recurso hasta las 15 horas del siguiente día hábil al del vencimiento del plazo de interposición, en esta ocasión, el día 24 de julio de 2009, aparece ya expresamente prevista en el art. 85.2 LOTC, en la redacción dada al mismo por la Ley Orgánica 6/2007, de 24 de mayo, (STC 28/2011 de 14 de marzo, FJ 3).</w:t>
      </w:r>
    </w:p>
    <w:p w:rsidR="00D06117" w:rsidRDefault="00D06117" w:rsidP="00D06117">
      <w:pPr>
        <w:pStyle w:val="TextoNormal"/>
      </w:pPr>
    </w:p>
    <w:p w:rsidR="00D06117" w:rsidRDefault="00D06117" w:rsidP="00D06117">
      <w:pPr>
        <w:pStyle w:val="TextoNormal"/>
      </w:pPr>
      <w:r w:rsidRPr="00D06117">
        <w:rPr>
          <w:rStyle w:val="NumeroAFNegritaCaracter"/>
        </w:rPr>
        <w:t>3</w:t>
      </w:r>
      <w:r>
        <w:t>. Entrando ya en el fondo del asunto es de señalar que la impugnación de la sanción litigiosa tiene su origen en el art. 42 de la Ley 8/2005, de 10 de junio, de la viña y del vino de Castilla y León, cuyo texto es el siguiente: “Con carácter general, el régimen sancionador en las materias objeto de la presente Ley será lo establecido en la legislación básica de la Viña y del Vino, sin perjuicio de lo que se dispone en los artículos siguientes.”</w:t>
      </w:r>
    </w:p>
    <w:p w:rsidR="00D06117" w:rsidRDefault="00D06117" w:rsidP="00D06117">
      <w:pPr>
        <w:pStyle w:val="TextoNormal"/>
      </w:pPr>
    </w:p>
    <w:p w:rsidR="00D06117" w:rsidRDefault="00D06117" w:rsidP="00D06117">
      <w:pPr>
        <w:pStyle w:val="TextoNormal"/>
      </w:pPr>
      <w:r>
        <w:t>Y puesto que la sanción se impone por la infracción administrativa prevista en el art. 40.2 d) de la Ley 24/2003, de 10 de julio, de la viña y del vino, que no tiene carácter básico, la cuestión que se plantea es la de si este precepto en conexión con el que se ha transcrito da cobertura legal suficiente a la sanción, habida cuenta de las exigencias del principio de legalidad en materia sancionadora que consagra el art. 25 CE.</w:t>
      </w:r>
    </w:p>
    <w:p w:rsidR="00D06117" w:rsidRDefault="00D06117" w:rsidP="00D06117">
      <w:pPr>
        <w:pStyle w:val="TextoNormal"/>
      </w:pPr>
    </w:p>
    <w:p w:rsidR="00D06117" w:rsidRDefault="00D06117" w:rsidP="00D06117">
      <w:pPr>
        <w:pStyle w:val="TextoNormal"/>
      </w:pPr>
      <w:r>
        <w:t>Esta misma cuestión ha sido ya resuelta en las SSTC 90/2012, de 7 de mayo, y 109/2012, de 21 de mayo. Al igual que se hace en esta última Sentencia, procede que nos remitamos ahora al contenido de la STC 90/2012, reiterando nuevamente que, como expresamente se deja dicho en el fundamento jurídico 5 de esta Sentencia, “convertir la expresión ‘legislación básica de la viña y del vino’ empleada por el art. 42 de la Ley 8/2005, de 10 de junio, de la viña y del vino de Castilla y León, en sinónimo de ‘legislación estatal’ en la materia representa una interpretación extensiva de lo dispuesto por el legislador autonómico” pues “la precisa remisión a las normas dictadas por el Estado en ejercicio de una concreta competencia, en este caso la relativa a las bases de ordenación general de la economía (art. 149.1.13 CE), que es la invocada en la disposición final primera de la Ley 24/2003, de la viña y del vino, se expande hasta comprender a la totalidad de normas dictadas por el Estado en la materia, con abstracción de que posean la condición formal de bases o carezcan de la misma” y que “habremos de convenir en que una interpretación del precepto legal autonómico como la examinada, que prescinde del sentido que en el orden constitucional y estatutario de distribución de competencias encierra lo básico, difícilmente podrá considerarse acorde con las exigencias de predeterminación normativa de los ilícitos consustanciales al ya reseñado mandato de taxatividad.”</w:t>
      </w:r>
    </w:p>
    <w:p w:rsidR="00D06117" w:rsidRDefault="00D06117" w:rsidP="00D06117">
      <w:pPr>
        <w:pStyle w:val="TextoNormal"/>
      </w:pPr>
    </w:p>
    <w:p w:rsidR="00D06117" w:rsidRDefault="00D06117" w:rsidP="00D06117">
      <w:pPr>
        <w:pStyle w:val="TextoNormal"/>
      </w:pPr>
      <w:r>
        <w:t>Todo ello “conduce al otorgamiento del amparo solicitado por la sociedad recurrente pues la subsunción de su conducta en el ilícito administrativo tipificado por el art. 40.2 d) de la Ley 24/2003, de 10 de julio, de la viña y del vino, supuso una quiebra de la garantía material del derecho fundamental a la legalidad sancionadora proclamado por el art. 25.1 CE”.</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Otorgar el amparo solicitado por Bodegas Antaño, S.A., y, en su virtud:</w:t>
      </w:r>
    </w:p>
    <w:p w:rsidR="00D06117" w:rsidRDefault="00D06117" w:rsidP="00D06117">
      <w:pPr>
        <w:pStyle w:val="TextoNormal"/>
      </w:pPr>
    </w:p>
    <w:p w:rsidR="00D06117" w:rsidRDefault="00D06117" w:rsidP="00D06117">
      <w:pPr>
        <w:pStyle w:val="TextoNormal"/>
      </w:pPr>
      <w:r>
        <w:t>1º Declarar vulnerado el derecho fundamental a la legalidad sancionadora (art. 25.1 CE) de la recurrente.</w:t>
      </w:r>
    </w:p>
    <w:p w:rsidR="00D06117" w:rsidRDefault="00D06117" w:rsidP="00D06117">
      <w:pPr>
        <w:pStyle w:val="TextoNormal"/>
      </w:pPr>
    </w:p>
    <w:p w:rsidR="00D06117" w:rsidRDefault="00D06117" w:rsidP="00D06117">
      <w:pPr>
        <w:pStyle w:val="TextoNormal"/>
      </w:pPr>
      <w:r>
        <w:t>2º Restablecerla en su derecho y, a tal fin, declarar la nulidad de la Orden del Consejero de Agricultura y Ganadería de la Junta de Castilla y León de 19 de octubre de 2006, por la que se le impone a Bodegas Antaño, S.A., una sanción de sesenta mil un euros como autora de una infracción del art. 40.2 d) de la Ley 24/2003, de 10 de julio, de la viña y del vino, así como de la Sentencia de la Sección Segunda de la Sala de lo Contencioso-Administrativo del Tribunal Superior de Justicia de Castilla y León, con sede en Valladolid, 1445/2009, de 10 de junio.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1" w:name="SENTENCIA_2012_128"/>
      <w:r>
        <w:lastRenderedPageBreak/>
        <w:t>SENTENCIA 128/2012, de 18 de junio de 2012</w:t>
      </w:r>
    </w:p>
    <w:bookmarkEnd w:id="131"/>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ECLI:ES:TC:2012:128</w:t>
      </w:r>
    </w:p>
    <w:p w:rsidR="00D06117" w:rsidRDefault="00D06117" w:rsidP="00D06117">
      <w:pPr>
        <w:pStyle w:val="SntesisDescriptiva"/>
      </w:pPr>
    </w:p>
    <w:p w:rsidR="00D06117" w:rsidRDefault="00D06117" w:rsidP="00D06117">
      <w:pPr>
        <w:pStyle w:val="SntesisDescriptiva"/>
      </w:pPr>
      <w:r>
        <w:t>Recurso de amparo 438-2010. Promovido por don Joseba Iñaki Uridain Ziriza con respecto a las resoluciones de la Sección Tercera de la Sala de lo Penal de la Audiencia Nacional sobre licenciamiento definitivo.</w:t>
      </w:r>
    </w:p>
    <w:p w:rsidR="00D06117" w:rsidRDefault="00D06117" w:rsidP="00D06117">
      <w:pPr>
        <w:pStyle w:val="SntesisDescriptiva"/>
      </w:pPr>
    </w:p>
    <w:p w:rsidR="00D06117" w:rsidRDefault="00D06117" w:rsidP="00D06117">
      <w:pPr>
        <w:pStyle w:val="SntesisAnaltica"/>
      </w:pPr>
      <w:r>
        <w:t>Alegada vulneración de los derechos a la igualdad en la aplicación de la ley, libertad personal, tutela judicial efectiva (intangibilidad), proceso con todas las garantías y legalidad penal: falta de agotamiento de la vía judicial previa al no haberse interpuesto recurso de casación por infracción de ley (STC 58/2012).</w:t>
      </w:r>
    </w:p>
    <w:p w:rsidR="00D06117" w:rsidRDefault="00D06117" w:rsidP="00D06117">
      <w:pPr>
        <w:pStyle w:val="SntesisAnaltica"/>
      </w:pPr>
    </w:p>
    <w:p w:rsidR="00D06117" w:rsidRDefault="00D06117" w:rsidP="00D06117">
      <w:pPr>
        <w:pStyle w:val="Extracto"/>
      </w:pPr>
      <w:r>
        <w:t>1.</w:t>
      </w:r>
      <w:r>
        <w:tab/>
        <w:t>Procede inadmitir el recurso de amparo por falta agotamiento de la vía judicial previa al acudir el recurrente directamente ante este Tribunal sin hacer uso del recurso de casación por infracción de ley que cabe interponer, ante el Tribunal Supremo, contra los Autos que aprueban el licenciamiento definitivo en cuanto concretan y fijan definitivamente el máximo de cumplimiento respecto de las penas que se acumulan (SSTC 58/2012, 60/2012, 63/2012) [FJ 3].</w:t>
      </w:r>
    </w:p>
    <w:p w:rsidR="00D06117" w:rsidRDefault="00D06117" w:rsidP="00D06117">
      <w:pPr>
        <w:pStyle w:val="Extracto"/>
      </w:pPr>
    </w:p>
    <w:p w:rsidR="00D06117" w:rsidRDefault="00D06117" w:rsidP="00D06117">
      <w:pPr>
        <w:pStyle w:val="Extracto"/>
      </w:pPr>
      <w:r>
        <w:t>2.</w:t>
      </w:r>
      <w:r>
        <w:tab/>
        <w:t xml:space="preserve">La exigencia de agotamiento de la vía judicial previa tiene por objeto preservar el carácter subsidiario del recurso de amparo, evitando que el acceso a esta jurisdicción constitucional se produzca </w:t>
      </w:r>
      <w:r w:rsidRPr="00D06117">
        <w:rPr>
          <w:i/>
        </w:rPr>
        <w:t>per saltum</w:t>
      </w:r>
      <w:r>
        <w:t>, esto es, sin dar oportunidad a los órganos judiciales de pronunciarse y, en definitiva, remediar la lesión que luego se invoca como fundamento del recurso de amparo (SSTC 8/1993, 174/2011) [FJ 2].</w:t>
      </w:r>
    </w:p>
    <w:p w:rsidR="00D06117" w:rsidRDefault="00D06117" w:rsidP="00D06117">
      <w:pPr>
        <w:pStyle w:val="Extracto"/>
      </w:pPr>
    </w:p>
    <w:p w:rsidR="00D06117" w:rsidRDefault="00D06117" w:rsidP="00D06117">
      <w:pPr>
        <w:pStyle w:val="Extracto"/>
      </w:pPr>
      <w:r>
        <w:t>3.</w:t>
      </w:r>
      <w:r>
        <w:tab/>
        <w:t>Los defectos insubsanables de que pudiera estar afectado el recurso de amparo no resultan subsanados porque haya sido inicialmente admitido a trámite, de forma que la comprobación de los presupuestos procesales para la viabilidad de la acción pueden volverse a abordar o reconsiderar en la Sentencia dando lugar a un pronunciamiento de inadmisión por la falta de tales presupuestos (SSTC 18/2002, 89/2011)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amparo núm. 438-2010, promovido por don Joseba Iñaki Uridain Ziriza, representada por el Procurador de los Tribunales don José Javier Cuevas Rivas y asistido por la Letrada doña Amaia Izko Aramendia, contra el Auto de la Sección Tercera de la Sala de lo Penal de la Audiencia Nacional, de 1 de diciembre de 2009, que desestima el recurso de súplica interpuesto contra la providencia de 3 de noviembre de 2009, que establece el licenciamiento definitivo de la condena para el día 4 de abril de 2019. Ha intervenido el Ministerio Fiscal. Ha sido Ponente el Magistrado don Ramón Rodríguez Arribas,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este Tribunal con fecha de 19 de enero de 2010, don José Javier Cuevas Rivas, Procurador de los Tribunales, y de don Joseba Iñaki Uridain Ziriza,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de los que trae causa la demanda de amparo, relevantes para la resolución del caso son, en síntesis, los siguientes:</w:t>
      </w:r>
    </w:p>
    <w:p w:rsidR="00D06117" w:rsidRDefault="00D06117" w:rsidP="00D06117">
      <w:pPr>
        <w:pStyle w:val="TextoNormal"/>
      </w:pPr>
    </w:p>
    <w:p w:rsidR="00D06117" w:rsidRDefault="00D06117" w:rsidP="00D06117">
      <w:pPr>
        <w:pStyle w:val="TextoNormal"/>
      </w:pPr>
      <w:r>
        <w:t>a) El recurrente resultó ejecutoriamente condenado en Sentencia de la Audiencia Nacional núm. 14/1993, de 20 de abril (sumario 11-1988 del Juzgado Central de Instrucción núm. 1), a la pena de catorce años de reclusión menor por el delito de detención ilegal cualificado; en Sentencia de la Audiencia Nacional núm. 7/1993, de 9 de marzo (sumario 33-1988 del Juzgado Central de Instrucción núm. 1), a la pena de veinticinco años de reclusión mayor por el delito de atentado contra miembro de un cuerpo de seguridad del Estado, a la pena dieciocho años de reclusión menor por el delito de asesinato frustrado, y a la pena de once años de prisión mayor por el delito de estragos agravado; en Sentencia de la Audiencia Nacional núm. 38/1993, de 19 de octubre (sumario 66-1986 del Juzgado Central de Instrucción núm. 5), a la pena de treinta años de reclusión mayor por un delito de atentado, de veinte años de reclusión menor por un delito de asesinato frustrado; en Sentencia de la Audiencia Nacional núm. 37/1993, de 19 de octubre (sumario 24-1987 del Juzgado Central de Instrucción núm. 5), a la pena de veintinueve años de reclusión mayor por delito de atentado con resultado de muerte; y a la pena de veinticuatro años de reclusión mayor por cada uno de los 7 delitos de asesinato a que fue condenado; en Sentencia de la Audiencia Nacional núm. 45/1994, de 13 de junio (sumario 50-1984 del Juzgado Central de Instrucción núm. 5), a la pena de veintisiete años de reclusión mayor por delito de utilización ilegítima de vehículo de motor ajeno con la causación dolosa de la muerte de la víctima; y en Sentencia de la Audiencia Nacional núm. 1/1996, de 11 de enero (sumario 1-1985 del Juzgado Central de Instrucción núm. 5), a la pena de veintidós años de prisión por delito de atentado, de doce años de prisión mayor y privación del permiso de conducir por cinco años por cada uno de los cuatro delitos de utilización ilegítima de vehículo de motor ajeno, agravados por la toma de rehenes y el uso de armas, de doce años de prisión mayor por cada uno de los tres delitos de robo con intimidación, y a la pena de veintidós años de reclusión mayor por cada uno de los dos delitos de asesinato frustrado.</w:t>
      </w:r>
    </w:p>
    <w:p w:rsidR="00D06117" w:rsidRDefault="00D06117" w:rsidP="00D06117">
      <w:pPr>
        <w:pStyle w:val="TextoNormal"/>
      </w:pPr>
    </w:p>
    <w:p w:rsidR="00D06117" w:rsidRDefault="00D06117" w:rsidP="00D06117">
      <w:pPr>
        <w:pStyle w:val="TextoNormal"/>
      </w:pPr>
      <w:r>
        <w:lastRenderedPageBreak/>
        <w:t>b) Mediante Auto de 10 de febrero de 1998, la Sección Tercera de la Sala de lo Penal de la Audiencia Nacional acordó acumular las condenas impuestas en las causas 11-1988 y 33-1988, del Juzgado Central núm. 1, y las causas 50-1984 y 1-1985 del Juzgado Central núm. 5, fijándose el límite de treinta años de cumplimiento.</w:t>
      </w:r>
    </w:p>
    <w:p w:rsidR="00D06117" w:rsidRDefault="00D06117" w:rsidP="00D06117">
      <w:pPr>
        <w:pStyle w:val="TextoNormal"/>
      </w:pPr>
    </w:p>
    <w:p w:rsidR="00D06117" w:rsidRDefault="00D06117" w:rsidP="00D06117">
      <w:pPr>
        <w:pStyle w:val="TextoNormal"/>
      </w:pPr>
      <w:r>
        <w:t>Mediante Auto de 12 de mayo de 1998, el citado órgano judicial acordó acumular a las anteriores las causas 66-1986 y 24-1987 del Juzgado Central núm. 5 y fijar el límite total de cumplimiento en treinta años.</w:t>
      </w:r>
    </w:p>
    <w:p w:rsidR="00D06117" w:rsidRDefault="00D06117" w:rsidP="00D06117">
      <w:pPr>
        <w:pStyle w:val="TextoNormal"/>
      </w:pPr>
    </w:p>
    <w:p w:rsidR="00D06117" w:rsidRDefault="00D06117" w:rsidP="00D06117">
      <w:pPr>
        <w:pStyle w:val="TextoNormal"/>
      </w:pPr>
      <w:r>
        <w:t>c) Por escrito de 6 de junio de 2008, recibido en la Sección Tercera de la Sala de lo Penal de la Audiencia Nacional, el centro penitenciario de Valencia efectuó propuesta de licenciamiento definitivo del penado para el día 9 de octubre de 2009. A la vista de la propuesta, la Sala dio traslado al Ministerio Fiscal para que se pronunciara sobre la aplicación al caso de los criterios introducidos por la Sentencia del Tribunal Supremo 197/2006, de 28 de febrero, mostrándose el Fiscal a favor de su aplicación.</w:t>
      </w:r>
    </w:p>
    <w:p w:rsidR="00D06117" w:rsidRDefault="00D06117" w:rsidP="00D06117">
      <w:pPr>
        <w:pStyle w:val="TextoNormal"/>
      </w:pPr>
    </w:p>
    <w:p w:rsidR="00D06117" w:rsidRDefault="00D06117" w:rsidP="00D06117">
      <w:pPr>
        <w:pStyle w:val="TextoNormal"/>
      </w:pPr>
      <w:r>
        <w:t>d) La Sección Tercera de la Sala de lo Penal de la Audiencia Nacional mediante providencia de fecha 7 de octubre de 2009 requirió al centro penitenciario a fin de que presentara nueva propuesta de licenciamiento definitivo conforme a la doctrina de la Sala Segunda del Tribunal Supremo en Sentencia 197/2006, de 28 de febrero. Realizada dicha propuesta, en la que se estableció la fecha de licenciamiento definitivo para el día 4 de abril de 2019, siendo aprobada por providencia de 3 de noviembre de 2009.</w:t>
      </w:r>
    </w:p>
    <w:p w:rsidR="00D06117" w:rsidRDefault="00D06117" w:rsidP="00D06117">
      <w:pPr>
        <w:pStyle w:val="TextoNormal"/>
      </w:pPr>
    </w:p>
    <w:p w:rsidR="00D06117" w:rsidRDefault="00D06117" w:rsidP="00D06117">
      <w:pPr>
        <w:pStyle w:val="TextoNormal"/>
      </w:pPr>
      <w:r>
        <w:t>e) Contra dicha providencia interpuso el actor recurso de súplica. La Audiencia Nacional acordó desestimar la súplica mediante Auto de 1 de diciembre de 2009. Dicho Auto señala en sus fundamentos jurídicos que la aprobación de la nueva fecha de licenciamiento es el resultado de la aplicación de los criterios sentados por el Tribunal Supremo.</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tutela judicial efectiva (art. 24.1 CE), a un proceso con todas las garantías (art. 24.2 CE), a la legalidad (art. 25.1 y 2 CE), a la libertad (art. 17 CE) y a la igualdad en la aplicación de la ley (art. 14 CE).</w:t>
      </w:r>
    </w:p>
    <w:p w:rsidR="00D06117" w:rsidRDefault="00D06117" w:rsidP="00D06117">
      <w:pPr>
        <w:pStyle w:val="TextoNormal"/>
      </w:pPr>
    </w:p>
    <w:p w:rsidR="00D06117" w:rsidRDefault="00D06117" w:rsidP="00D06117">
      <w:pPr>
        <w:pStyle w:val="TextoNormal"/>
      </w:pPr>
      <w:r>
        <w:t xml:space="preserve">En primer término se refiere al principio de legalidad (art. 25.1 y 2 CE), en relación con la interpretación de los arts. 70.2 y 100 del Código penal (CP) de 1973, así como del art. 66 del reglamento de prisiones de 1956 y del art. 202 del reglamento penitenciario actual. 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1973,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w:t>
      </w:r>
      <w:r>
        <w:lastRenderedPageBreak/>
        <w:t>redimido ha de considerarse tiempo efectivo de cumplimiento, por lo que en los treinta años han de incluirse tanto los años de internamiento efectivo, como las redenciones computables como tiempo de cumplimiento.</w:t>
      </w:r>
    </w:p>
    <w:p w:rsidR="00D06117" w:rsidRDefault="00D06117" w:rsidP="00D06117">
      <w:pPr>
        <w:pStyle w:val="TextoNormal"/>
      </w:pPr>
    </w:p>
    <w:p w:rsidR="00D06117" w:rsidRDefault="00D06117" w:rsidP="00D06117">
      <w:pPr>
        <w:pStyle w:val="TextoNormal"/>
      </w:pPr>
      <w:r>
        <w:t>Como segundo motivo de amparo, se denuncia la vulneración del derecho a la tutela judicial efectiva (art. 24.1 CE), en relación con el derecho a la libertad (art. 17.1 CE). Estima el recurrente que, a raíz de la nueva interpretación de la aplicación de las redenciones de penas por el trabajo sobre la totalidad de las condenas y no sobre la pena resultante de la aplicación de la reducción de condenas (art. 70.2 CP 1973), han creado las resoluciones impugnadas una situación de indefensión e inseguridad jurídica, por cuanto la aprobación de redenciones por parte de los diferentes Juzgados de Vigilancia Penitenciaria, firmes e intangibles, suponían con la interpretación hasta la STS 197/2006, reducciones de condena respecto de los treinta años. Y es que así se interpretaba y aplicaba por todos los órganos judiciales y administrativo-penitenciarios, sin excepción. Las redenciones de pena reconocidas por resoluciones judiciales firmes son abono de condena y por tanto, afectan al derecho a la libertad consagrado en el art. 17 de la Constitución, lo cual implica la existencia de un deber reforzado de motivación, derivado del art. 24.1 CE, que no se cumple en las resoluciones dictadas por el Tribunal de instancia y contra las que ahora se recurre. Ambas resoluciones deberían explicar las razones por las que limitan la libertad demandante y cambian el criterio hasta el momento mantenido, no bastando, en modo alguno, la remisión que realizan a la Sentencia 197/2006 del Tribunal Supremo.</w:t>
      </w:r>
    </w:p>
    <w:p w:rsidR="00D06117" w:rsidRDefault="00D06117" w:rsidP="00D06117">
      <w:pPr>
        <w:pStyle w:val="TextoNormal"/>
      </w:pPr>
    </w:p>
    <w:p w:rsidR="00D06117" w:rsidRDefault="00D06117" w:rsidP="00D06117">
      <w:pPr>
        <w:pStyle w:val="TextoNormal"/>
      </w:pPr>
      <w:r>
        <w:t>En tercer lugar, aduce la vulneración del derecho fundamental a la tutela judicial efectiva, establecido en el artículo 24.1 de la Constitución Española, resultante de la vulneración del derecho a la intangibilidad de las resoluciones judiciales firmes, en relación igualmente a los principios de legalidad y seguridad jurídica. Recuerda que en su procedimiento se acordó acumular las condenas impuestas al penado fijándose treinta años de privación de libertad el tiempo total de cumplimiento de la condena. Consecuencia de ello se solicitó por el centro penitenciario la aprobación del licenciamiento definitivo para el día 9 de octubre de 2009, fecha resultante de la redención de penas por el trabajo a la pena única de treinta años de prisión. En este sentido, argumenta, no sólo existe una expectativa de reducción de la condena y consecuentemente de libertad, sino que nos encontramos con una resolución firme, nunca cuestionada y nunca modificada, por la que se acumulan todas las condenas impuestas en una única, de donde se deriva la correspondiente liquidación de condena y cuya consecuencia es la aplicación a la misma de la institución de la redención de penas por el trabajo. Las resoluciones judiciales ahora impugnadas atrasan gravemente la fecha de licenciamiento definitivo del recurrente y modifican el criterio uniforme que fijaba los criterios para la ejecución de la condena.</w:t>
      </w:r>
    </w:p>
    <w:p w:rsidR="00D06117" w:rsidRDefault="00D06117" w:rsidP="00D06117">
      <w:pPr>
        <w:pStyle w:val="TextoNormal"/>
      </w:pPr>
    </w:p>
    <w:p w:rsidR="00D06117" w:rsidRDefault="00D06117" w:rsidP="00D06117">
      <w:pPr>
        <w:pStyle w:val="TextoNormal"/>
      </w:pPr>
      <w:r>
        <w:t xml:space="preserve">En cuarto lugar, se queja el demandante en amparo de la lesión del principio de legalidad (art. 25.1 y 9.3 CE), por aplicación retroactiva de ley desfavorable; se denuncia que, con esta pretendida nueva interpretación, de facto se está aplicando retroactivamente el art. 78 CP 1995 (que establece que los beneficios penitenciarios y la libertad condicional se apliquen a la totalidad de las penas impuestas en las Sentencias), a un penado bajo el Código penal de 1973.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lo que hace evidente que el Código penal de 1973 no contempla la </w:t>
      </w:r>
      <w:r>
        <w:lastRenderedPageBreak/>
        <w:t>aplicación de las redenciones a la totalidad de las condenas, una previsión que sí realiza el art. 78 CP 1995 y que es desfavorable. También se destaca que las modificaciones legales en esta materia se realizaron, como se pone de relieve en sus exposiciones de motivos,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00D06117" w:rsidRDefault="00D06117" w:rsidP="00D06117">
      <w:pPr>
        <w:pStyle w:val="TextoNormal"/>
      </w:pPr>
    </w:p>
    <w:p w:rsidR="00D06117" w:rsidRDefault="00D06117" w:rsidP="00D06117">
      <w:pPr>
        <w:pStyle w:val="TextoNormal"/>
      </w:pPr>
      <w:r>
        <w:t>A continuación se refiere al derecho a la igualdad en la aplicación de la ley (art. 14 CE). Con cita de la STC 144/1988, de 12 de julio,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y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criterio aplicado a cientos de presos, en un momento en que la norma (Código penal de 1973) ya está derogada y cuando la nueva interpretación resulta aplicable a un número muy limitado de presos y sin que existan razones fundadas que justifiquen el cambio.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00D06117" w:rsidRDefault="00D06117" w:rsidP="00D06117">
      <w:pPr>
        <w:pStyle w:val="TextoNormal"/>
      </w:pPr>
    </w:p>
    <w:p w:rsidR="00D06117" w:rsidRDefault="00D06117" w:rsidP="00D06117">
      <w:pPr>
        <w:pStyle w:val="TextoNormal"/>
      </w:pPr>
      <w:r>
        <w:t>En cuanto al derecho a la libertad (art. 17.1 CE), tras poner de relieve que, conforme a la jurisprudencia de este Tribunal, la redención de penas por el trabajo afecta al derecho a la libertad (SSTC 31/1999, de 8 de marzo, y 76/2004, de 26 de abril), se denuncia que el mencionado cambio de criterio jurisprudencial contra el reo modifica su expectativa de libertad, implicando un alargamiento de su estancia en prisión, sin base legal ni reglamentaria (se cita de nuevo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Esto queda patente en la inicial liquidación de condena y propuesta de licenciamiento definitivo efectuada por el centro penitenciario, por lo que la denegación del licenciamiento definitivo viola el art. 17 CE, el art. 7.1 del Convenio europeo y el art. 15.1 del Pacto internacional de derechos civiles y políticos (PIDCP).</w:t>
      </w:r>
    </w:p>
    <w:p w:rsidR="00D06117" w:rsidRDefault="00D06117" w:rsidP="00D06117">
      <w:pPr>
        <w:pStyle w:val="TextoNormal"/>
      </w:pPr>
    </w:p>
    <w:p w:rsidR="00D06117" w:rsidRDefault="00D06117" w:rsidP="00D06117">
      <w:pPr>
        <w:pStyle w:val="TextoNormal"/>
      </w:pPr>
      <w:r>
        <w:t xml:space="preserve">Por último, considera vulnerado el art. 25.2 CE, en relación con el art. 10.3 PIDCP; se destaca que, de conformidad con el art. 25.2 CE, las penas privativas de libertad han de estar orientadas a la reinserción social, fin al que se orienta la redención de penas por el trabajo como instrumento de tratamiento penitenciario, y que la nueva interpretación del Tribunal Supremo, al dejar sin efecto útil alguno la redención de penas y la libertad condicional en </w:t>
      </w:r>
      <w:r>
        <w:lastRenderedPageBreak/>
        <w:t>presos con condenas superiores a cuarenta y cinco años (conforme a los cálculos realizados por el propio Tribunal Supremo), vulnera los principios inspiradores de las normas que consagran estas instituciones y el art. 25.2 CE.</w:t>
      </w:r>
    </w:p>
    <w:p w:rsidR="00D06117" w:rsidRDefault="00D06117" w:rsidP="00D06117">
      <w:pPr>
        <w:pStyle w:val="TextoNormal"/>
      </w:pPr>
    </w:p>
    <w:p w:rsidR="00D06117" w:rsidRDefault="00D06117" w:rsidP="00D06117">
      <w:pPr>
        <w:pStyle w:val="TextoNormal"/>
      </w:pPr>
      <w:r w:rsidRPr="00D06117">
        <w:rPr>
          <w:rStyle w:val="NumeroAFNegritaCaracter"/>
        </w:rPr>
        <w:t>4</w:t>
      </w:r>
      <w:r>
        <w:t>. La Sala Segunda de este Tribunal, por providencia de 14 de abril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D06117" w:rsidRDefault="00D06117" w:rsidP="00D06117">
      <w:pPr>
        <w:pStyle w:val="TextoNormal"/>
      </w:pPr>
    </w:p>
    <w:p w:rsidR="00D06117" w:rsidRDefault="00D06117" w:rsidP="00D06117">
      <w:pPr>
        <w:pStyle w:val="TextoNormal"/>
      </w:pPr>
      <w:r>
        <w:t>Igualmente se acordó formar la correspondiente pieza separada de suspensión, en la que, tras los trámites oportunos, se dictó por la Sala Segunda de este Tribunal el Auto de 30 de enero de 2012, acordando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diligencia de ordenación de 12 de abril de 2012, una vez recibido testimonio de las actuaciones judiciales requeridas, se otorgó, conforme al art. 52.1 LOTC, un plazo común de veinte días a las partes para que alegaran lo que estimaran oportuno.</w:t>
      </w:r>
    </w:p>
    <w:p w:rsidR="00D06117" w:rsidRDefault="00D06117" w:rsidP="00D06117">
      <w:pPr>
        <w:pStyle w:val="TextoNormal"/>
      </w:pPr>
    </w:p>
    <w:p w:rsidR="00D06117" w:rsidRDefault="00D06117" w:rsidP="00D06117">
      <w:pPr>
        <w:pStyle w:val="TextoNormal"/>
      </w:pPr>
      <w:r w:rsidRPr="00D06117">
        <w:rPr>
          <w:rStyle w:val="NumeroAFNegritaCaracter"/>
        </w:rPr>
        <w:t>6</w:t>
      </w:r>
      <w:r>
        <w:t>. El Ministerio Fiscal, en escrito registrado el 22 de mayo de 2012, interesó la inadmisión del recurso de amparo. Citando las SSTC 58/2012, 60/2012, y 63/2012, todas de 29 de marzo, considera que no satisface el requisito del agotamiento de la vía judicial previa [art. 50.1 a) en relación con art. 44.1 a) LOTC], al no haber interpuesto recurso de casación contra el Auto que desestimó el recurso de súplica.</w:t>
      </w:r>
    </w:p>
    <w:p w:rsidR="00D06117" w:rsidRDefault="00D06117" w:rsidP="00D06117">
      <w:pPr>
        <w:pStyle w:val="TextoNormal"/>
      </w:pPr>
    </w:p>
    <w:p w:rsidR="00D06117" w:rsidRDefault="00D06117" w:rsidP="00D06117">
      <w:pPr>
        <w:pStyle w:val="TextoNormal"/>
      </w:pPr>
      <w:r>
        <w:t>Subsidiariamente, solicitó la desestimación de la demanda, en aplicación de diversas Sentencias dictadas recientemente por el Pleno del Tribunal Constitucional que han resuelto supuestos y quejas idénticas a la que motiva el presente recurso. Cita a tal efecto las SSTC 39/2012, 50/2012, y 69/2012, a partir de cuyos fundamentos pueden rechazarse las quejas planteadas en el presente recurso.</w:t>
      </w:r>
    </w:p>
    <w:p w:rsidR="00D06117" w:rsidRDefault="00D06117" w:rsidP="00D06117">
      <w:pPr>
        <w:pStyle w:val="TextoNormal"/>
      </w:pPr>
    </w:p>
    <w:p w:rsidR="00D06117" w:rsidRDefault="00D06117" w:rsidP="00D06117">
      <w:pPr>
        <w:pStyle w:val="TextoNormal"/>
      </w:pPr>
      <w:r>
        <w:t>Afirma, en todo caso, que merece análisis particularizado el motivo basado en la intangibilidad de las resoluciones judiciales, concluyendo que en el presente caso no existe una resolución firme relativa al licenciamiento definitivo toda vez que todas las que constan en ejecutoria y mencionadas por el demandante o bien no se refieren al objeto que aquí se debate (ampliación del tiempo de privación de libertad) o bien carecen de firmeza. Las alusiones al licenciamiento definitivo provienen de una propuesta del centro penitenciario que no fue confirmada por el Tribunal, por lo que no puede afirmarse, en suma, la existencia de una resolución firme e intangible sobre el cómputo de redenciones por el trabajo.</w:t>
      </w:r>
    </w:p>
    <w:p w:rsidR="00D06117" w:rsidRDefault="00D06117" w:rsidP="00D06117">
      <w:pPr>
        <w:pStyle w:val="TextoNormal"/>
      </w:pPr>
    </w:p>
    <w:p w:rsidR="00D06117" w:rsidRDefault="00D06117" w:rsidP="00D06117">
      <w:pPr>
        <w:pStyle w:val="TextoNormal"/>
      </w:pPr>
      <w:r w:rsidRPr="00D06117">
        <w:rPr>
          <w:rStyle w:val="NumeroAFNegritaCaracter"/>
        </w:rPr>
        <w:t>7</w:t>
      </w:r>
      <w:r>
        <w:t>. La representación procesal del demandante de amparo no formuló alegaciones en este trámite.</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fecha 14 de junio de 2012, se señaló para deliberación y fallo de la Sentencia el día 18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dirige contra el Auto de la Sección Tercera de la Sala de lo Penal de la Audiencia Nacional, de 1 de diciembre de 2009, desestimatorio del recurso de súplica interpuesto contra la providencia de 3 de noviembre de 2009 que, en aplicación de lo establecido en la Sentencia del Tribunal Supremo 197/2006, de 28 de febrero, fija la fecha de licenciamiento definitivo el día 4 de abril de 2019.</w:t>
      </w:r>
    </w:p>
    <w:p w:rsidR="00D06117" w:rsidRDefault="00D06117" w:rsidP="00D06117">
      <w:pPr>
        <w:pStyle w:val="TextoNormal"/>
      </w:pPr>
    </w:p>
    <w:p w:rsidR="00D06117" w:rsidRDefault="00D06117" w:rsidP="00D06117">
      <w:pPr>
        <w:pStyle w:val="TextoNormal"/>
      </w:pPr>
      <w:r>
        <w:t>En la demanda de amparo se denuncia la vulneración de los derechos fundamentales a la tutela judicial efectiva (art. 24.1 CE), a la legalidad (art. 25.1 y 2 CE), a la libertad (art. 17.1 CE) y a la igualdad en la aplicación de la ley (art. 14 CE), con la argumentación que queda ampliamente expuesta en los antecedentes de esta resolución. El Ministerio Fiscal, por su parte, interesa la inadmisión del recurso ex art. 44.1 a) de la Ley Orgánica del Tribunal Constitucional (LOTC), por falta de agotamiento de la vía judicial previa; subsidiariamente, interesa su desestimación.</w:t>
      </w:r>
    </w:p>
    <w:p w:rsidR="00D06117" w:rsidRDefault="00D06117" w:rsidP="00D06117">
      <w:pPr>
        <w:pStyle w:val="TextoNormal"/>
      </w:pPr>
    </w:p>
    <w:p w:rsidR="00D06117" w:rsidRDefault="00D06117" w:rsidP="00D06117">
      <w:pPr>
        <w:pStyle w:val="TextoNormal"/>
      </w:pPr>
      <w:r w:rsidRPr="00D06117">
        <w:rPr>
          <w:rStyle w:val="NumeroAFNegritaCaracter"/>
        </w:rPr>
        <w:t>2</w:t>
      </w:r>
      <w:r>
        <w:t>.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00D06117" w:rsidRDefault="00D06117" w:rsidP="00D06117">
      <w:pPr>
        <w:pStyle w:val="TextoNormal"/>
      </w:pPr>
    </w:p>
    <w:p w:rsidR="00D06117" w:rsidRDefault="00D06117" w:rsidP="00D06117">
      <w:pPr>
        <w:pStyle w:val="TextoNormal"/>
      </w:pPr>
      <w:r>
        <w:t xml:space="preserve">En relación con el citado requisito de admisibilidad, hemos afirmado en la STC 174/2011, de 7 de noviembre, que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w:t>
      </w:r>
      <w:r>
        <w:lastRenderedPageBreak/>
        <w:t>función jurisdiccional propia de este Tribunal como su intérprete supremo (art. 1 LOTC; SSTC 211/1999, de 29 de noviembre, FJ 2; 128/2002, de 3 de junio, FJ 2; y 214/2002, de 11 de noviembre, FJ 3).”</w:t>
      </w:r>
    </w:p>
    <w:p w:rsidR="00D06117" w:rsidRDefault="00D06117" w:rsidP="00D06117">
      <w:pPr>
        <w:pStyle w:val="TextoNormal"/>
      </w:pPr>
    </w:p>
    <w:p w:rsidR="00D06117" w:rsidRDefault="00D06117" w:rsidP="00D06117">
      <w:pPr>
        <w:pStyle w:val="TextoNormal"/>
      </w:pPr>
      <w:r w:rsidRPr="00D06117">
        <w:rPr>
          <w:rStyle w:val="NumeroAFNegritaCaracter"/>
        </w:rPr>
        <w:t>3</w:t>
      </w:r>
      <w:r>
        <w:t>. En aplicación de la citada doctrina, y de igual modo a como hemos acordado en las SSTC 58/2012, 60/2012, y 63/2012, todas de 29 de marzo, ante supuestos idénticos al presente, procede dictar Sentencia inadmitiendo el recurso de amparo por falta de agotamiento de la vía judicial previa [art. 44.1 a) LOTC], al acudir directamente a este Tribunal sin haber hecho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como hemos afirmado en los citados pronunciamientos, “tal previsión resulta aplicable a los Autos que aprueban el licenciamiento definitivo en cuanto lo en ellos resuelto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definitivamente despejada al menos un año antes de dictarse las resoluciones impugnadas mediante el Auto del Tribunal Supremo de 7 de abril de 2008, dictado precisamente resolviendo un recurso de queja contra la denegación de la preparación de un recurso de casación contra el Auto desestimatorio del recurso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 (SSTC 58/2012, FJ 3; 60/2012, FJ 3; 63/2012, FJ 3).</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Inadmitir el recurso de amparo formulado por don Joseba Iñaki Uridain Ziriza contra la providencia de la Sección Tercera Sala de lo Penal de la Audiencia Nacional de 3 de noviembre de 2009 y contra el Auto de 1 de diciembre de 2009 por el que se desestima el recurso de súplica interpuesto contra la providencia citada.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2" w:name="SENTENCIA_2012_129"/>
      <w:r>
        <w:lastRenderedPageBreak/>
        <w:t>SENTENCIA 129/2012, de 18 de junio de 2012</w:t>
      </w:r>
    </w:p>
    <w:bookmarkEnd w:id="132"/>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ECLI:ES:TC:2012:129</w:t>
      </w:r>
    </w:p>
    <w:p w:rsidR="00D06117" w:rsidRDefault="00D06117" w:rsidP="00D06117">
      <w:pPr>
        <w:pStyle w:val="SntesisDescriptiva"/>
      </w:pPr>
    </w:p>
    <w:p w:rsidR="00D06117" w:rsidRDefault="00D06117" w:rsidP="00D06117">
      <w:pPr>
        <w:pStyle w:val="SntesisDescriptiva"/>
      </w:pPr>
      <w:r>
        <w:t>Recurso de amparo 5510-2010. Promovido por Construcciones Conde, S.A., en relación con la Sentencia de la Audiencia Provincial de Pontevedra que desestimó su recurso de apelación al apreciar extemporaneidad en la consignación del depósito para recurrir.</w:t>
      </w:r>
    </w:p>
    <w:p w:rsidR="00D06117" w:rsidRDefault="00D06117" w:rsidP="00D06117">
      <w:pPr>
        <w:pStyle w:val="SntesisDescriptiva"/>
      </w:pPr>
    </w:p>
    <w:p w:rsidR="00D06117" w:rsidRDefault="00D06117" w:rsidP="00D06117">
      <w:pPr>
        <w:pStyle w:val="SntesisAnaltica"/>
      </w:pPr>
      <w:r>
        <w:t>Vulneración del derecho a la tutela judicial efectiva (acceso al recurso legal): consignación del depósito para recurrir llevada a cabo en el trámite expresamente ofrecido al efecto por el órgano judicial, que posteriormente le niega validez.</w:t>
      </w:r>
    </w:p>
    <w:p w:rsidR="00D06117" w:rsidRDefault="00D06117" w:rsidP="00D06117">
      <w:pPr>
        <w:pStyle w:val="SntesisAnaltica"/>
      </w:pPr>
    </w:p>
    <w:p w:rsidR="00D06117" w:rsidRDefault="00D06117" w:rsidP="00D06117">
      <w:pPr>
        <w:pStyle w:val="Extracto"/>
      </w:pPr>
      <w:r>
        <w:t>1.</w:t>
      </w:r>
      <w:r>
        <w:tab/>
        <w:t xml:space="preserve">Es irrazonable y vulneradora del derecho al recurso, </w:t>
      </w:r>
      <w:r w:rsidRPr="00D06117">
        <w:rPr>
          <w:i/>
        </w:rPr>
        <w:t>ex</w:t>
      </w:r>
      <w:r>
        <w:t xml:space="preserve"> art. 24.1 CE, la decisión de la Audiencia negando validez al trámite de subsanación e inadmitiendo el recurso, toda vez que el Juzgado otorgó plazo de subsanación para constituir el depósito y la parte consignó la cantidad fijada y presentó su acreditación documental al órgano </w:t>
      </w:r>
      <w:r w:rsidRPr="00D06117">
        <w:rPr>
          <w:i/>
        </w:rPr>
        <w:t>a quo</w:t>
      </w:r>
      <w:r>
        <w:t xml:space="preserve"> [FJ 4].</w:t>
      </w:r>
    </w:p>
    <w:p w:rsidR="00D06117" w:rsidRDefault="00D06117" w:rsidP="00D06117">
      <w:pPr>
        <w:pStyle w:val="Extracto"/>
      </w:pPr>
    </w:p>
    <w:p w:rsidR="00D06117" w:rsidRDefault="00D06117" w:rsidP="00D06117">
      <w:pPr>
        <w:pStyle w:val="Extracto"/>
      </w:pPr>
      <w:r>
        <w:t>2.</w:t>
      </w:r>
      <w:r>
        <w:tab/>
        <w:t>La inadmisión de un recurso en el orden civil por la falta de constitución de depósito se considerará irrazonable y contraria al art. 24.1 CE si la norma aplicable prevé la posibilidad de un trámite de subsanación del que no quede excluido el supuesto de la falta de constitución y siempre que la parte recurrente cumpla el requisito dentro del plazo otorgado por el órgano judicial (SSTC 217/2002, 197/2005)  [FJ 2].</w:t>
      </w:r>
    </w:p>
    <w:p w:rsidR="00D06117" w:rsidRDefault="00D06117" w:rsidP="00D06117">
      <w:pPr>
        <w:pStyle w:val="Extracto"/>
      </w:pPr>
    </w:p>
    <w:p w:rsidR="00D06117" w:rsidRDefault="00D06117" w:rsidP="00D06117">
      <w:pPr>
        <w:pStyle w:val="Extracto"/>
      </w:pPr>
      <w:r>
        <w:t>3.</w:t>
      </w:r>
      <w:r>
        <w:tab/>
        <w:t xml:space="preserve">El derecho de acceso a los recursos es un derecho de configuración legal correspondiendo a los jueces y tribunales la interpretación de los requisitos de admisión, </w:t>
      </w:r>
      <w:r w:rsidRPr="00D06117">
        <w:rPr>
          <w:i/>
        </w:rPr>
        <w:t>ex</w:t>
      </w:r>
      <w:r>
        <w:t xml:space="preserve"> art. 117.3 CE, por lo que el Tribunal Constitucional únicamente podrá revisar la inadmisión cuando se declare en base a causa legalmente inexistente o mediante un juicio arbitrario, irrazonable o fundado en error fáctico patente (SSTC 55/2008, 42/2009)  [FJ 2].</w:t>
      </w:r>
    </w:p>
    <w:p w:rsidR="00D06117" w:rsidRDefault="00D06117" w:rsidP="00D06117">
      <w:pPr>
        <w:pStyle w:val="Extracto"/>
      </w:pPr>
    </w:p>
    <w:p w:rsidR="00D06117" w:rsidRDefault="00D06117" w:rsidP="00D06117">
      <w:pPr>
        <w:pStyle w:val="Extracto"/>
      </w:pPr>
      <w:r>
        <w:t>4.</w:t>
      </w:r>
      <w:r>
        <w:tab/>
        <w:t>Para que el precepto que regula el depósito para recurrir tenga sentido en su conjunto y su interpretación no sea irrazonable, arbitraria o desfavorecedora del derecho al recurso, ha de entenderse que la palabra “defecto”, referido al objeto de la subsanación, se emplea con alcance general y se refiere a las tres posibles manifestaciones de incumplimiento del acto de depósito –defecto, omisión o error–, para las que cabe subsanación de acuerdo con lo establecido en la propia norma [FJ 3].</w:t>
      </w:r>
    </w:p>
    <w:p w:rsidR="00D06117" w:rsidRDefault="00D06117" w:rsidP="00D06117">
      <w:pPr>
        <w:pStyle w:val="Extracto"/>
      </w:pPr>
    </w:p>
    <w:p w:rsidR="00D06117" w:rsidRDefault="00D06117" w:rsidP="00D06117">
      <w:pPr>
        <w:pStyle w:val="Extracto"/>
      </w:pPr>
      <w:r>
        <w:t>5.</w:t>
      </w:r>
      <w:r>
        <w:tab/>
        <w:t>No procede el amparo cuando el defecto de falta de constitución —total o parcial— del depósito para recurrir desborda el marco de subsanación permitido por la norma especial, teniendo en cuenta que en el ámbito del derecho al recurso no opera el criterio de la proporcionalidad –</w:t>
      </w:r>
      <w:r w:rsidRPr="00D06117">
        <w:rPr>
          <w:i/>
        </w:rPr>
        <w:t>pro actione</w:t>
      </w:r>
      <w:r>
        <w:t>– como lo hace respecto del derecho de acceso a la jurisdicción (STC 33/2008)  [FJ 2].</w:t>
      </w:r>
    </w:p>
    <w:p w:rsidR="00D06117" w:rsidRDefault="00D06117" w:rsidP="00D06117">
      <w:pPr>
        <w:pStyle w:val="Extracto"/>
      </w:pPr>
    </w:p>
    <w:p w:rsidR="00D06117" w:rsidRDefault="00D06117" w:rsidP="00D06117">
      <w:pPr>
        <w:pStyle w:val="Extracto"/>
      </w:pPr>
      <w:r>
        <w:t>6.</w:t>
      </w:r>
      <w:r>
        <w:tab/>
        <w:t>Doctrina sobre la constitucionalidad del depósito para recurrir en el ámbito civil desde la perspectiva del derecho de acceso a los recursos (SSTC 119/1994, 226/1999)  [FFJJ 1,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5510-2010, promovido por la entidad Construcciones Conde, S.A., representada por la Procuradora de los Tribunales doña Reyes Pinzás de Miguel y asistida por la Abogada doña María Teresa Fernández Merino, contra la Sentencia de la Sección Sexta de la Audiencia Provincial de Pontevedra, de 26 de abril de 2010, que desestimó recurso de apelación por la falta de constitución en plazo del depósito para recurrir previsto en la disposición adicional decimoquinta de la Ley Orgánica del Poder Judicial, así como contra el Auto de la misma Sección, de 4 de junio de 2010, que desestimó el incidente de nulidad promovido contra la anterior. Ha intervenido el Ministerio Fiscal.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el Decanato de los Juzgados de Madrid el 5 de julio de 2010 y en el Registro General de este Tribunal el 7 de julio de 2010, la Procuradora de los Tribunales doña Reyes Pinzás de Miguel, en nombre y representación de la mercantil Construcciones Conde, S.A., interpuso demanda de amparo contra las resoluciones de la Sección Sexta de la Audiencia Provincial de Pontevedra mencionadas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con relevancia para la resolución del presente recurso de amparo y a los que se refiere la demanda, son los siguientes:</w:t>
      </w:r>
    </w:p>
    <w:p w:rsidR="00D06117" w:rsidRDefault="00D06117" w:rsidP="00D06117">
      <w:pPr>
        <w:pStyle w:val="TextoNormal"/>
      </w:pPr>
    </w:p>
    <w:p w:rsidR="00D06117" w:rsidRDefault="00D06117" w:rsidP="00D06117">
      <w:pPr>
        <w:pStyle w:val="TextoNormal"/>
      </w:pPr>
      <w:r>
        <w:t>a) El Juzgado de Primera Instancia con competencia en el Registro Civil exclusivo de Vigo, dictó Sentencia el 16 de noviembre de 2009 en el juicio ordinario núm. 6-2008, estimando íntegramente la demanda presentada contra la recurrente en amparo y desestimando, a su vez, la demanda reconvencional promovida por ésta, a la que condenaba al pago de 41.565,7 euros en concepto de facturas impagadas y los intereses legales según las bases que acompañaban al fallo. Asimismo se condenaba en costas a la demandada.</w:t>
      </w:r>
    </w:p>
    <w:p w:rsidR="00D06117" w:rsidRDefault="00D06117" w:rsidP="00D06117">
      <w:pPr>
        <w:pStyle w:val="TextoNormal"/>
      </w:pPr>
    </w:p>
    <w:p w:rsidR="00D06117" w:rsidRDefault="00D06117" w:rsidP="00D06117">
      <w:pPr>
        <w:pStyle w:val="TextoNormal"/>
      </w:pPr>
      <w:r>
        <w:lastRenderedPageBreak/>
        <w:t>Consta por la Secretaría del Juzgado diligencia de notificación de 23 de noviembre de 2009 por la que se notificó al Procurador de la entidad demandada la Sentencia dictada, así como una “nota informativa del Secretario Judicial” en la que se indica que “por exigirlo así la disposición adicional decimoquinta de la Ley Orgánica 6/1985, de 1 de julio, del Poder Judicial, la interposición de recurso contra la anterior resolución exige la constitución del depósito de 50 Euros mediante ingreso en efectivo … en la cuenta de Depósitos y Consignaciones de este órgano judicial … El depósito de la expresada suma deberá acreditarse al preparar el recurso de apelación, a cuyo escrito se adjuntará copia del resguardo o de la orden de ingreso, sin cuyo requisito no será admitido a trámite. Están exceptuados de la obligación de constituir el depósito quienes tengan reconocido el derecho a asistencia jurídica gratuita.”</w:t>
      </w:r>
    </w:p>
    <w:p w:rsidR="00D06117" w:rsidRDefault="00D06117" w:rsidP="00D06117">
      <w:pPr>
        <w:pStyle w:val="TextoNormal"/>
      </w:pPr>
    </w:p>
    <w:p w:rsidR="00D06117" w:rsidRDefault="00D06117" w:rsidP="00D06117">
      <w:pPr>
        <w:pStyle w:val="TextoNormal"/>
      </w:pPr>
      <w:r>
        <w:t>b) La representación procesal de la aquí recurrente presentó escrito de preparación de recurso de apelación contra la citada Sentencia, con fecha 27 de noviembre de 2009, sin acompañar el resguardo de consignación del depósito de cincuenta euros.</w:t>
      </w:r>
    </w:p>
    <w:p w:rsidR="00D06117" w:rsidRDefault="00D06117" w:rsidP="00D06117">
      <w:pPr>
        <w:pStyle w:val="TextoNormal"/>
      </w:pPr>
    </w:p>
    <w:p w:rsidR="00D06117" w:rsidRDefault="00D06117" w:rsidP="00D06117">
      <w:pPr>
        <w:pStyle w:val="TextoNormal"/>
      </w:pPr>
      <w:r>
        <w:t>c) El 1 de diciembre de 2009 el Juzgado dictó providencia, notificada a la parte recurrente el 10 de diciembre de 2009, requiriendo a ésta “al objeto de que en el término de dos días subsane la omisión en la constitución del depósito, necesario para recurrir en cuantía de 50 Euros, mediante ingreso en efectivo … en la cuenta de Depósitos y Consignaciones de este órgano judicial … debiendo presentar documentación acreditativa de haberlo efectuado, bajo apercibimiento de que en caso de no constituir dicho depósito no se admitirá a trámite dicho recurso.” Igual requerimiento se le hizo para que en el mismo plazo consignara el modelo 696 de pago de la tasa judicial.</w:t>
      </w:r>
    </w:p>
    <w:p w:rsidR="00D06117" w:rsidRDefault="00D06117" w:rsidP="00D06117">
      <w:pPr>
        <w:pStyle w:val="TextoNormal"/>
      </w:pPr>
    </w:p>
    <w:p w:rsidR="00D06117" w:rsidRDefault="00D06117" w:rsidP="00D06117">
      <w:pPr>
        <w:pStyle w:val="TextoNormal"/>
      </w:pPr>
      <w:r>
        <w:t>d) El 11 de diciembre de 2009 la parte constituyó el depósito de cincuenta euros en la cuenta de depósitos y consignaciones del Juzgado, aportando justificante acreditativo de ello así como del impreso de autoliquidación de tasas judiciales (modelo 696), en cumplimiento de lo mandado.</w:t>
      </w:r>
    </w:p>
    <w:p w:rsidR="00D06117" w:rsidRDefault="00D06117" w:rsidP="00D06117">
      <w:pPr>
        <w:pStyle w:val="TextoNormal"/>
      </w:pPr>
    </w:p>
    <w:p w:rsidR="00D06117" w:rsidRDefault="00D06117" w:rsidP="00D06117">
      <w:pPr>
        <w:pStyle w:val="TextoNormal"/>
      </w:pPr>
      <w:r>
        <w:t>e) El 16 de diciembre de 2009 la Secretaría dictó diligencia de ordenación, “para hacer constar que la parte recurrente ha consignado en la cuenta de consignaciones la cantidad de 50 euros en concepto de depósito necesario para recurrir … [y] se ha presentado modelo 696 debidamente cumplimentado”.</w:t>
      </w:r>
    </w:p>
    <w:p w:rsidR="00D06117" w:rsidRDefault="00D06117" w:rsidP="00D06117">
      <w:pPr>
        <w:pStyle w:val="TextoNormal"/>
      </w:pPr>
    </w:p>
    <w:p w:rsidR="00D06117" w:rsidRDefault="00D06117" w:rsidP="00D06117">
      <w:pPr>
        <w:pStyle w:val="TextoNormal"/>
      </w:pPr>
      <w:r>
        <w:t>A continuación se dictó providencia por la que se tuvo por preparado el recurso de apelación, otorgando a la parte recurrente los veinte días legales para su interposición, trámite que tuvo lugar el 3 de febrero de 2010, dictándose providencia por el Juzgado el 4 de febrero de 2010, teniendo el recurso por interpuesto y ordenando continuar su tramitación. Mediante escrito de 24 de febrero de 2010, la entidad recurrida presentó escrito de oposición al recurso de apelación, contestando los motivos de fondo del recurso, sin hacer ninguna referencia al tema del depósito para recurrir.</w:t>
      </w:r>
    </w:p>
    <w:p w:rsidR="00D06117" w:rsidRDefault="00D06117" w:rsidP="00D06117">
      <w:pPr>
        <w:pStyle w:val="TextoNormal"/>
      </w:pPr>
    </w:p>
    <w:p w:rsidR="00D06117" w:rsidRDefault="00D06117" w:rsidP="00D06117">
      <w:pPr>
        <w:pStyle w:val="TextoNormal"/>
      </w:pPr>
      <w:r>
        <w:t>f) Elevadas las actuaciones a la Sección Sexta de la Audiencia Provincial de Pontevedra, competente para conocer del recurso, se tuvieron por recibidas las mismas continuándose con el procedimiento (rollo de apelación núm. 3101-2010).</w:t>
      </w:r>
    </w:p>
    <w:p w:rsidR="00D06117" w:rsidRDefault="00D06117" w:rsidP="00D06117">
      <w:pPr>
        <w:pStyle w:val="TextoNormal"/>
      </w:pPr>
    </w:p>
    <w:p w:rsidR="00D06117" w:rsidRDefault="00D06117" w:rsidP="00D06117">
      <w:pPr>
        <w:pStyle w:val="TextoNormal"/>
      </w:pPr>
      <w:r>
        <w:lastRenderedPageBreak/>
        <w:t>g) Con fecha 26 de abril de 2010, la Sección juzgadora dictó Sentencia desestimando el recurso de apelación al apreciarse una causa para su inadmisión, traducida en ese estado del procedimiento en causa de desestimación, en concreto por no haberse efectuado la consignación del depósito previsto en la mencionada disposición adicional decimoquinta de la Ley Orgánica del Poder Judicial (LOPJ) a la fecha en que se presentó el escrito de preparación del recurso. La Sentencia se limita a estudiar y declarar dicho óbice (nada dice del pago de la tasa para el ejercicio de la potestad jurisdiccional, en el mismo trámite de subsanación), sin entrar a analizar tampoco los motivos de fondo que había planteado la entidad apelante.</w:t>
      </w:r>
    </w:p>
    <w:p w:rsidR="00D06117" w:rsidRDefault="00D06117" w:rsidP="00D06117">
      <w:pPr>
        <w:pStyle w:val="TextoNormal"/>
      </w:pPr>
    </w:p>
    <w:p w:rsidR="00D06117" w:rsidRDefault="00D06117" w:rsidP="00D06117">
      <w:pPr>
        <w:pStyle w:val="TextoNormal"/>
      </w:pPr>
      <w:r>
        <w:t>En el fundamento de Derecho primero, la Sentencia declara que la exigencia del depósito está vinculada a la fase de preparación del recurso y que, según el apartado 7 de la disposición adicional decimoquinta, si no se formaliza entonces, el recurso debe inadmitirse dado que lo único que puede subsanarse después es la justificación documental de que se ha realizado el depósito, pero no su propia constitución. Argumenta la Sentencia que el párrafo segundo del apartado 7 no se puede desconectar del primero, que establece que no se admitirá a trámite ningún recurso cuyo depósito no esté constituido, ni del apartado 6, que indica que se admitirá el recurso cuando “al anunciarse o prepararse, se haya consignado en la cuenta correspondiente la cantidad objeto de depósito”. El supuesto de subsanación de la “omisión” del depósito —segundo párrafo del apartado 7— se refiere, según la Sentencia, a “defectos en el acto de la constitución que pueden consistir bien en defecto en la cantidad depositada o error en el tribunal o cuenta donde se haya llevado a efecto, o, en fin, cuando se ha omitido con el escrito de preparación la presentación del documento acreditativo de la constitución, supuestos todos ellos que admiten subsanación en el plazo de los dos días concedidos al efecto”. Esta interpretación se ve reforzada —sigue diciendo— si se tiene en cuenta que de conformidad con el apartado 6 de la norma, el Secretario judicial ha de advertir de la necesidad de constitución del depósito, y “es difícil entender que el legislador haya querido disculpar una omisión de constitución, dando una segunda oportunidad para llevar a cabo lo que, pese a ser advertida su obligatoriedad, dejó de hacerse”.</w:t>
      </w:r>
    </w:p>
    <w:p w:rsidR="00D06117" w:rsidRDefault="00D06117" w:rsidP="00D06117">
      <w:pPr>
        <w:pStyle w:val="TextoNormal"/>
      </w:pPr>
    </w:p>
    <w:p w:rsidR="00D06117" w:rsidRDefault="00D06117" w:rsidP="00D06117">
      <w:pPr>
        <w:pStyle w:val="TextoNormal"/>
      </w:pPr>
      <w:r>
        <w:t>En el caso concreto, considera la Sección juzgadora en el fundamento de Derecho segundo, que la entidad apelante incumplió la exigencia legal, por lo que el recurso “no debió ser admitido a trámite, como tampoco debió requerirse al procurador para consignar la cantidad a que asciende legalmente el depósito, sino, en su caso, para ‘acreditar la constitución del mismo’, ya que el mero hecho de no estar ya constituido al tiempo del acto de parte en que la preparación consiste, impedía una constitución posterior, pues solo era subsanable la acreditación documental, no la constitución misma del depósito que no puede hacerse después de la preparación o anuncio del recurso”.</w:t>
      </w:r>
    </w:p>
    <w:p w:rsidR="00D06117" w:rsidRDefault="00D06117" w:rsidP="00D06117">
      <w:pPr>
        <w:pStyle w:val="TextoNormal"/>
      </w:pPr>
    </w:p>
    <w:p w:rsidR="00D06117" w:rsidRDefault="00D06117" w:rsidP="00D06117">
      <w:pPr>
        <w:pStyle w:val="TextoNormal"/>
      </w:pPr>
      <w:r>
        <w:t>h) Promovido por la parte apelante incidente de nulidad de actuaciones contra la Sentencia desestimatoria, aduciendo lesión de su derecho a la tutela judicial efectiva en la vertiente acceso al recurso (art. 24.1 CE), la solicitud fue desestimada por Auto de la Sección de 4 de junio de 2010 argumentando, en cuanto al fondo de la queja, que no se había producido la lesión denunciada y reiterando lo ya afirmado en la Sentencia respecto de la imposibilidad de subsanar la falta de constitución del depósito.</w:t>
      </w:r>
    </w:p>
    <w:p w:rsidR="00D06117" w:rsidRDefault="00D06117" w:rsidP="00D06117">
      <w:pPr>
        <w:pStyle w:val="TextoNormal"/>
      </w:pPr>
    </w:p>
    <w:p w:rsidR="00D06117" w:rsidRDefault="00D06117" w:rsidP="00D06117">
      <w:pPr>
        <w:pStyle w:val="TextoNormal"/>
      </w:pPr>
      <w:r>
        <w:t>i) Tras serle notificada esta última resolución judicial, el ahora recurrente presentó la demanda de amparo.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El escrito de la demanda de amparo denuncia la vulneración del derecho a la tutela judicial efectiva (art. 24.1 CE), en su vertiente de acceso al recurso legalmente establecido, toda vez que la Sentencia de segunda instancia dejó imprejuzgada la cuestión de fondo, al apreciar indebidamente la imposibilidad de subsanación del requisito de constitución del depósito previsto en la disposición adicional decimoquinta LOPJ. La recurrente —que reconoce que no cumplió con el requisito en el primer momento— procedió sin embargo a la constitución del depósito dentro del plazo concedido por el Juzgado de Primera Instancia.</w:t>
      </w:r>
    </w:p>
    <w:p w:rsidR="00D06117" w:rsidRDefault="00D06117" w:rsidP="00D06117">
      <w:pPr>
        <w:pStyle w:val="TextoNormal"/>
      </w:pPr>
    </w:p>
    <w:p w:rsidR="00D06117" w:rsidRDefault="00D06117" w:rsidP="00D06117">
      <w:pPr>
        <w:pStyle w:val="TextoNormal"/>
      </w:pPr>
      <w:r>
        <w:t>En opinión de la demandante de amparo, de la lectura del párrafo segundo apartado 7 de la citada disposición adicional decimoquinta LOPJ se desprende que la no constitución del depósito (“omisión”) es un defecto subsanable. Sostiene por ello que no permitir tal subsanación resulta una interpretación rigorista de los requisitos legales para el acceso al recurso, que pugna con la doctrina de este Tribunal Constitucional acerca de la necesidad de interpretar la norma de manera más favorable para la efectividad del derecho a la tutela judicial efectiva. Cita en su apoyo la STC 72/1992, de 13 de mayo, añadiendo que este Tribunal, de manera análoga, ha declarado la posibilidad de subsanación del depósito para recurrir en el ámbito de la jurisdicción social, en la STC 29/1993, de 25 de enero y el ATC 224/2000, de 2 de octubre.</w:t>
      </w:r>
    </w:p>
    <w:p w:rsidR="00D06117" w:rsidRDefault="00D06117" w:rsidP="00D06117">
      <w:pPr>
        <w:pStyle w:val="TextoNormal"/>
      </w:pPr>
    </w:p>
    <w:p w:rsidR="00D06117" w:rsidRDefault="00D06117" w:rsidP="00D06117">
      <w:pPr>
        <w:pStyle w:val="TextoNormal"/>
      </w:pPr>
      <w:r>
        <w:t>En definitiva, sostiene que la exigencia de consignación de depósito es un requisito formal subsanable que se acomoda también a lo dispuesto en los arts. 231 de la Ley de enjuiciamiento civil (LEC) y 11.3 LOPJ, por lo que no se puede interpretar con tanto rigor que deje a la parte indefensa, como aquí ha sucedido, sin poder obtener un pronunciamiento de fondo sobre sus pretensiones.</w:t>
      </w:r>
    </w:p>
    <w:p w:rsidR="00D06117" w:rsidRDefault="00D06117" w:rsidP="00D06117">
      <w:pPr>
        <w:pStyle w:val="TextoNormal"/>
      </w:pPr>
    </w:p>
    <w:p w:rsidR="00D06117" w:rsidRDefault="00D06117" w:rsidP="00D06117">
      <w:pPr>
        <w:pStyle w:val="TextoNormal"/>
      </w:pPr>
      <w:r w:rsidRPr="00D06117">
        <w:rPr>
          <w:rStyle w:val="NumeroAFNegritaCaracter"/>
        </w:rPr>
        <w:t>4</w:t>
      </w:r>
      <w:r>
        <w:t>. Por diligencia de ordenación de la Secretaría de Justicia de la Sección Primera de este Tribunal, de 12 de julio de 2010, se tuvo por presentado el escrito de demanda y documentos que la acompañaban, concediendo un plazo de diez días a la entidad recurrente para que aportase dos copias de la Sentencia del Juzgado de Primera Instancia núm. 4 de Vigo recurrida en apelación, lo que se realizó mediante escrito de su Procuradora presentado el 21 de julio de 2010.</w:t>
      </w:r>
    </w:p>
    <w:p w:rsidR="00D06117" w:rsidRDefault="00D06117" w:rsidP="00D06117">
      <w:pPr>
        <w:pStyle w:val="TextoNormal"/>
      </w:pPr>
    </w:p>
    <w:p w:rsidR="00D06117" w:rsidRDefault="00D06117" w:rsidP="00D06117">
      <w:pPr>
        <w:pStyle w:val="TextoNormal"/>
      </w:pPr>
      <w:r w:rsidRPr="00D06117">
        <w:rPr>
          <w:rStyle w:val="NumeroAFNegritaCaracter"/>
        </w:rPr>
        <w:t>5</w:t>
      </w:r>
      <w:r>
        <w:t>. Por providencia de la Sala Primera de este Tribunal de 27 de febrero de 2012, se acordó la admisión a trámite de la demanda de amparo, ordenando dirigir atenta comunicación a la Audiencia Provincial de Pontevedra y al Juzgado de Primera Instancia núm. 4 de Vigo para que, en plazo no superior a diez días, remitieran certificación o fotocopia adverada de las actuaciones correspondientes al rollo de apelación núm. 3101-2010 y procedimiento ordinario núm. 6-2008, respectivamente, debiendo proveer el Juzgado al emplazamiento de quienes hubieren sido partes en el proceso, para su personación si lo desearen ante este Tribunal en el plazo de diez días.</w:t>
      </w:r>
    </w:p>
    <w:p w:rsidR="00D06117" w:rsidRDefault="00D06117" w:rsidP="00D06117">
      <w:pPr>
        <w:pStyle w:val="TextoNormal"/>
      </w:pPr>
    </w:p>
    <w:p w:rsidR="00D06117" w:rsidRDefault="00D06117" w:rsidP="00D06117">
      <w:pPr>
        <w:pStyle w:val="TextoNormal"/>
      </w:pPr>
      <w:r w:rsidRPr="00D06117">
        <w:rPr>
          <w:rStyle w:val="NumeroAFNegritaCaracter"/>
        </w:rPr>
        <w:t>6</w:t>
      </w:r>
      <w:r>
        <w:t>. Mediante diligencia de ordenación de la Secretaría de Justicia de la Sección Primera de este Tribunal, de 2 de abril de 2012, se tuvieron por recibidos los testimonios de las actuaciones procedentes de la Audiencia Provincial de Pontevedra y del Juzgado de Primera Instancia núm. 4 de Vigo, abriendo plazo común de veinte días al Ministerio Fiscal y a las partes personadas, para que dentro del mismo pudieran presentar alegaciones.</w:t>
      </w:r>
    </w:p>
    <w:p w:rsidR="00D06117" w:rsidRDefault="00D06117" w:rsidP="00D06117">
      <w:pPr>
        <w:pStyle w:val="TextoNormal"/>
      </w:pPr>
    </w:p>
    <w:p w:rsidR="00D06117" w:rsidRDefault="00D06117" w:rsidP="00D06117">
      <w:pPr>
        <w:pStyle w:val="TextoNormal"/>
      </w:pPr>
      <w:r>
        <w:lastRenderedPageBreak/>
        <w:t>No habiéndose personado ninguna otra parte del proceso de origen, la representación procesal de la entidad demandante en amparo presentó escrito de alegaciones registrado el 8 de mayo de 2012, por el que se ratificó en la pretensión deducida en su demanda, citando como novedad en su apoyo una Sentencia de la Sala Primera del Tribunal Supremo de 27 de junio de 2011 favorable a la interpretación de que la falta de constitución del depósito es subsanable.</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presentó escrito de alegaciones el 16 de mayo de 2012, interesando la estimación de la demanda de amparo. Tras resumir los antecedentes procesales del caso y el contenido de la demanda, señala la Fiscalía que el objeto del debate consiste en determinar si la interpretación restrictiva realizada por la Sentencia de instancia, contraria a permitir la subsanación de la falta de constitución del depósito previsto en la disposición adicional decimoquinta LOPJ, resulta contraria al derecho a la tutela judicial efectiva (art. 24.1 CE) en su vertiente de acceso al recurso. Sostiene al respecto que dicha subsanación sí es posible, haciendo suyos los argumentos expuestos por la Sala Primera del Tribunal Supremo, entre otros en el Auto del Pleno de la Sala de 2 de noviembre de 2010 y en la ya citada Sentencia de 27 de junio de 2011. A su modo de ver ha de tenerse en cuenta la amplitud de los términos empleados en la disposición adicional en cuanto al régimen de subsanación (la norma se refiere a “defecto, omisión o error”). Por otra parte, el supuesto fin disuasorio de este depósito se antoja genérico y concurre con otro de carácter específico, que es el de contribuir a recaudar y obtener ingresos destinados a sufragar el proceso de modernización de la justicia. En cuanto a su naturaleza, este depósito “debe considerarse como un mero requisito formal, sin que cumpla una función tuitiva y/o aseguradora de los intereses de la parte contraria”, naturaleza que considera así alejada de la de los depósitos “especiales” del art. 449 LEC.</w:t>
      </w:r>
    </w:p>
    <w:p w:rsidR="00D06117" w:rsidRDefault="00D06117" w:rsidP="00D06117">
      <w:pPr>
        <w:pStyle w:val="TextoNormal"/>
      </w:pPr>
    </w:p>
    <w:p w:rsidR="00D06117" w:rsidRDefault="00D06117" w:rsidP="00D06117">
      <w:pPr>
        <w:pStyle w:val="TextoNormal"/>
      </w:pPr>
      <w:r>
        <w:t>Afirma el Ministerio Fiscal que la Sentencia impugnada rompe el equilibrio establecido en la regulación legal de este depósito al negar la subsanación de la falta de constitución, por lo que no supera el estándar de razonabilidad que le es constitucionalmente exigible, produciendo la vulneración del derecho al recurso (art. 24.1 CE). La falta inicial de constitución del depósito, razona, no se debió a una actitud de “resistencia, oposición o de obstrucción por parte del recurrente”. De hecho, la subsanación se produjo dentro del plazo de dos días que se le concedió y no se alteraron ni modificaron los plazos legales del recurso ni se dilató su tramitación y tampoco se causaron perjuicios a terceros. Por todo ello, la Fiscalía solicita el otorgamiento del amparo, con declaración de nulidad de las dos resoluciones impugnadas y la retroacción de las actuaciones judiciales al momento inmediatamente anterior al pronunciamiento de la Sentencia de apelación, para que la Audiencia dicte nueva resolución respetuosa con el derecho fundamental reconocido.</w:t>
      </w:r>
    </w:p>
    <w:p w:rsidR="00D06117" w:rsidRDefault="00D06117" w:rsidP="00D06117">
      <w:pPr>
        <w:pStyle w:val="TextoNormal"/>
      </w:pPr>
    </w:p>
    <w:p w:rsidR="00D06117" w:rsidRDefault="00D06117" w:rsidP="00D06117">
      <w:pPr>
        <w:pStyle w:val="TextoNormal"/>
      </w:pPr>
      <w:r w:rsidRPr="00D06117">
        <w:rPr>
          <w:rStyle w:val="NumeroAFNegritaCaracter"/>
        </w:rPr>
        <w:t>8</w:t>
      </w:r>
      <w:r>
        <w:t>. Mediante otrosí formulado al final de su escrito de demanda, la entidad recurrente solicitó la suspensión parcial de los efectos de la Sentencia recurrida en cuanto a las costas impuestas en la primera instancia, confirmadas en apelación.</w:t>
      </w:r>
    </w:p>
    <w:p w:rsidR="00D06117" w:rsidRDefault="00D06117" w:rsidP="00D06117">
      <w:pPr>
        <w:pStyle w:val="TextoNormal"/>
      </w:pPr>
    </w:p>
    <w:p w:rsidR="00D06117" w:rsidRDefault="00D06117" w:rsidP="00D06117">
      <w:pPr>
        <w:pStyle w:val="TextoNormal"/>
      </w:pPr>
      <w:r>
        <w:t>Por providencia de 27 de febrero de 2012, la Sala Primera de este Tribunal acordó la apertura de la pieza separada de suspensión, concediendo plazo común de tres días al Ministerio Fiscal y a la entidad solicitante en amparo para alegaciones. La representación procesal de la recurrente presentó un escrito el 6 de marzo de 2012, manteniendo su pretensión. El Ministerio Fiscal interesó la denegación de la suspensión.</w:t>
      </w:r>
    </w:p>
    <w:p w:rsidR="00D06117" w:rsidRDefault="00D06117" w:rsidP="00D06117">
      <w:pPr>
        <w:pStyle w:val="TextoNormal"/>
      </w:pPr>
    </w:p>
    <w:p w:rsidR="00D06117" w:rsidRDefault="00D06117" w:rsidP="00D06117">
      <w:pPr>
        <w:pStyle w:val="TextoNormal"/>
      </w:pPr>
      <w:r>
        <w:t>Por Auto de 16 de abril de 2012 la Sala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14 de junio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interpone contra la Sentencia de la Sección Sexta de la Audiencia Provincial de Pontevedra que apreció, como óbice procesal, extemporaneidad en la consignación del depósito exigido para recurrir previsto en la disposición adicional decimoquinta de la Ley Orgánica del Poder Judicial (LOPJ) y procedió, basándose en este motivo, a la desestimación del recurso. Según la Sentencia impugnada, la interpretación conjunta de los apartados 6 y 7 de la citada disposición adicional lleva a concluir que la consignación debe haberse formalizado al momento de anunciarse o prepararse el recurso, sin que pueda admitirse a trámite ninguno cuyo depósito no esté constituido para entonces. La posibilidad abierta por el apartado 7 de conceder al recurrente un plazo de subsanación de dos días, quedaría para los casos de defecto en el importe de la cantidad depositada, error en la identificación del órgano judicial en cuya cuenta bancaria hubiere de hacerse el ingreso o, incluso, falta de aportación del resguardo acreditativo del depósito realizado a tiempo, pero en ningún caso para el supuesto de ausencia de constitución del depósito. La Sentencia precisa que la recurrente presentó su escrito de preparación del recurso sin haber realizado el depósito, que constituyó sólo después del requerimiento efectuado por el Juzgado, sin que por lo expuesto pueda darse validez a ese trámite de subsanación (que, por otra parte, considera que no se debió conceder). Su conclusión es que hubo incumplimiento de un requisito legal “que no puede hacerse después de la preparación o anuncio del recurso”.</w:t>
      </w:r>
    </w:p>
    <w:p w:rsidR="00D06117" w:rsidRDefault="00D06117" w:rsidP="00D06117">
      <w:pPr>
        <w:pStyle w:val="TextoNormal"/>
      </w:pPr>
    </w:p>
    <w:p w:rsidR="00D06117" w:rsidRDefault="00D06117" w:rsidP="00D06117">
      <w:pPr>
        <w:pStyle w:val="TextoNormal"/>
      </w:pPr>
      <w:r>
        <w:t>La demanda de amparo no cuestiona el hecho de la falta de constitución del depósito antes del trámite de subsanación otorgado por el Juzgado, si bien sostiene que la disposición adicional decimoquinta LOPJ permite la subsanación de la omisión de constitución. La interpretación rigorista adoptada en las resoluciones recurridas ha provocado, según la recurrente, la lesión de su derecho a la tutela judicial efectiva en su vertiente de acceso al recurso legalmente establecido (art. 24.1 CE) y por ello solicita el otorgamiento del amparo. El Ministerio Fiscal apoya igualmente la estimación, con argumentos similares.</w:t>
      </w:r>
    </w:p>
    <w:p w:rsidR="00D06117" w:rsidRDefault="00D06117" w:rsidP="00D06117">
      <w:pPr>
        <w:pStyle w:val="TextoNormal"/>
      </w:pPr>
    </w:p>
    <w:p w:rsidR="00D06117" w:rsidRDefault="00D06117" w:rsidP="00D06117">
      <w:pPr>
        <w:pStyle w:val="TextoNormal"/>
      </w:pPr>
      <w:r>
        <w:t>En el presente asunto, por tanto, el objeto de discusión gira en torno a un concreto aspecto de la regulación del depósito para recurrir: el del carácter subsanable o insubsanable de la omisión de constitución del depósito atendiendo a lo establecido en la disposición adicional decimoquinta LOPJ. No está en discusión la constitucionalidad de la exigencia misma del depósito, si bien al respecto puede recordarse que este Tribunal ya ha indicado, en relación con el depósito para recurrir en el ámbito civil, que se trata de un requisito “que no contradice el espíritu del art. 24.1 de la Constitución, pues su finalidad es, entre otras, la de evitar recursos meramente dilatorios, que no obedezcan a una voluntad real y fundada de recurrir” (SSTC 119/1994, de 25 de abril, FJ 3; y 226/1999, de 13 de diciembre, FJ 3).</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Una vez fijados los términos del debate constitucional planteado, toda vez que el derecho invocado por la recurrente —el derecho a la tutela judicial efectiva en su vertiente de </w:t>
      </w:r>
      <w:r>
        <w:lastRenderedPageBreak/>
        <w:t>derecho de acceso a los recursos— ha sido objeto de numerosos pronunciamientos de este Tribunal, será conveniente precisar los aspectos de la doctrina constitucional precedente que resultan de aplicación al caso y son relevantes para examinar la adecuación de las resoluciones impugnadas a las exigencias del art. 24.1 CE:</w:t>
      </w:r>
    </w:p>
    <w:p w:rsidR="00D06117" w:rsidRDefault="00D06117" w:rsidP="00D06117">
      <w:pPr>
        <w:pStyle w:val="TextoNormal"/>
      </w:pPr>
    </w:p>
    <w:p w:rsidR="00D06117" w:rsidRDefault="00D06117" w:rsidP="00D06117">
      <w:pPr>
        <w:pStyle w:val="TextoNormal"/>
      </w:pPr>
      <w:r>
        <w:t>a) Debe recordarse en primer término que, según hemos declarado repetidamente, el derecho de acceso a los recursos es un derecho de configuración legal —a salvo la especialidad del derecho a la doble instancia en el caso de las Sentencias de condena penales—, lo que implica que la tarea de interpretación de los requisitos exigidos por las normas para la admisión de los recursos, en tanto que materia de legalidad ordinaria, queda para los jueces y tribunales (art. 117.3 CE). En consecuencia, no corresponde a este Tribunal revisar la aplicación judicial de las normas sobre admisión de recursos, salvo en los casos de inadmisión cuando ésta se declara con base en una causa legalmente inexistente o mediante un “juicio arbitrario, irrazonable o fundado en error fáctico patente” (por todas, STC 55/2008, de 14 de abril, FJ 2 y las que en ella se citan; con posterioridad, SSTC 186/2008, de 26 de diciembre, FJ 2 y 42/2009, de 9 de febrero, FJ 2).</w:t>
      </w:r>
    </w:p>
    <w:p w:rsidR="00D06117" w:rsidRDefault="00D06117" w:rsidP="00D06117">
      <w:pPr>
        <w:pStyle w:val="TextoNormal"/>
      </w:pPr>
    </w:p>
    <w:p w:rsidR="00D06117" w:rsidRDefault="00D06117" w:rsidP="00D06117">
      <w:pPr>
        <w:pStyle w:val="TextoNormal"/>
      </w:pPr>
      <w:r>
        <w:t>b) En el ámbito de los recursos civiles, es doctrina de este Tribunal que siempre que el requisito incumplido o defectuosamente formalizado no se configure por ley como un presupuesto procesal “de indeclinable cumplimiento en tiempo y forma” (STC 46/2004, de 23 de marzo, FJ 5), deberá permitirse a la parte subsanar el defecto, favoreciendo el principio de conservación de los actos procesales —art. 243 LOPJ—, y garantizando la realización del derecho a la tutela judicial efectiva (así, SSTC 107/2005, de 9 de mayo, F 4; 79/2006, de 13 de marzo, FFJJ 2 y 3; 23/2009, de 26 de enero, FFJJ 2 y 4; 25/2009, de 26 de enero, FFJJ 3 y 5; y, últimamente, SSTC 79/2012, de 17 de abril, FJ 8 y 85/2012, de 18 de abril, FJ 3).</w:t>
      </w:r>
    </w:p>
    <w:p w:rsidR="00D06117" w:rsidRDefault="00D06117" w:rsidP="00D06117">
      <w:pPr>
        <w:pStyle w:val="TextoNormal"/>
      </w:pPr>
    </w:p>
    <w:p w:rsidR="00D06117" w:rsidRDefault="00D06117" w:rsidP="00D06117">
      <w:pPr>
        <w:pStyle w:val="TextoNormal"/>
      </w:pPr>
      <w:r>
        <w:t>c) En cuanto a la figura del depósito para recurrir en el orden civil, hemos afirmado que la inadmisión de un recurso por la falta de constitución de ese depósito, se considerará una decisión irrazonable y contraria al art. 24.1 CE, si la norma aplicable prevé la posibilidad de un trámite de subsanación del que no quede excluido, precisamente, el supuesto de la falta de constitución, y siempre que la parte recurrente cumpla el requisito dentro del plazo otorgado por el órgano judicial (así, SSTC 217/2002, de 25 de noviembre, FJ 4 y 197/2005, de 18 de julio, FJ 3, dictadas en relación con la posibilidad de subsanar la falta de consignación de las rentas —depósito— para recurrir, en los términos del apartado 1 del art. 1567 de la Ley de enjuiciamiento civil —LEC—, en la redacción dada por la disposición adicional quinta de la Ley 29/1994, de 24 de noviembre, de arrendamientos urbanos, según la cual, “se tendrá por firme la sentencia y se procederá a su ejecución, siempre que requerido por el Juez o Tribunal que conozca de los mismos no cumpliere su obligación de pago o consignación en el plazo de cinco días.”).</w:t>
      </w:r>
    </w:p>
    <w:p w:rsidR="00D06117" w:rsidRDefault="00D06117" w:rsidP="00D06117">
      <w:pPr>
        <w:pStyle w:val="TextoNormal"/>
      </w:pPr>
    </w:p>
    <w:p w:rsidR="00D06117" w:rsidRDefault="00D06117" w:rsidP="00D06117">
      <w:pPr>
        <w:pStyle w:val="TextoNormal"/>
      </w:pPr>
      <w:r>
        <w:t xml:space="preserve">En consonancia con lo anterior, hemos denegado el amparo cuando el defecto de falta de constitución —total o parcial— del depósito para recurrir desborda el marco de subsanación permitido por la norma especial, teniendo en cuenta además que en este ámbito del derecho al recurso no opera el criterio de la proporcionalidad (pro actione) como lo hace respecto del derecho de acceso a la jurisdicción (STC 33/2008, de 25 de febrero, FJ 4, respecto de la subsanación ex art. 449.6 LEC). También se ha desestimado el amparo cuando el recurrente no ha formalizado el depósito dentro del plazo fijado por el órgano judicial y la pérdida del </w:t>
      </w:r>
      <w:r>
        <w:lastRenderedPageBreak/>
        <w:t>correspondiente recurso es imputable a su negligencia (SSTC 197/2005, FJ 3, ya citada, y 253/2007, de 17 de diciembre, FJ 3, esta última, también sobre los depósitos para recurrir del art. 449 LEC).</w:t>
      </w:r>
    </w:p>
    <w:p w:rsidR="00D06117" w:rsidRDefault="00D06117" w:rsidP="00D06117">
      <w:pPr>
        <w:pStyle w:val="TextoNormal"/>
      </w:pPr>
    </w:p>
    <w:p w:rsidR="00D06117" w:rsidRDefault="00D06117" w:rsidP="00D06117">
      <w:pPr>
        <w:pStyle w:val="TextoNormal"/>
      </w:pPr>
      <w:r w:rsidRPr="00D06117">
        <w:rPr>
          <w:rStyle w:val="NumeroAFNegritaCaracter"/>
        </w:rPr>
        <w:t>3</w:t>
      </w:r>
      <w:r>
        <w:t>. La disposición adicional decimoquinta LOPJ, introducida por el art. 1, apartado diecinueve, de la Ley Orgánica 1/2009, de 3 de noviembre, complementaria de la Ley de reforma de la legislación procesal para la implantación de la nueva oficina judicial, y que modifica la Ley Orgánica 6/1985, de 1 de julio, del Poder Judicial,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el preámbulo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w:t>
      </w:r>
    </w:p>
    <w:p w:rsidR="00D06117" w:rsidRDefault="00D06117" w:rsidP="00D06117">
      <w:pPr>
        <w:pStyle w:val="TextoNormal"/>
      </w:pPr>
    </w:p>
    <w:p w:rsidR="00D06117" w:rsidRDefault="00D06117" w:rsidP="00D06117">
      <w:pPr>
        <w:pStyle w:val="TextoNormal"/>
      </w:pPr>
      <w:r>
        <w:t>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00D06117" w:rsidRDefault="00D06117" w:rsidP="00D06117">
      <w:pPr>
        <w:pStyle w:val="TextoNormal"/>
      </w:pPr>
    </w:p>
    <w:p w:rsidR="00D06117" w:rsidRDefault="00D06117" w:rsidP="00D06117">
      <w:pPr>
        <w:pStyle w:val="TextoNormal"/>
      </w:pPr>
      <w:r>
        <w:t xml:space="preserve">Podría suscitar alguna duda la interpretación del término “defecto”, que se emplea dos veces en el mismo párrafo (primero, como una de las tres modalidades de incumplimiento del acto de depósito y después, para referirse al objeto de la subsanación). Sin embargo,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Esto, no obstante, hubiera implicado dejar </w:t>
      </w:r>
      <w:r>
        <w:lastRenderedPageBreak/>
        <w:t>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w:t>
      </w:r>
    </w:p>
    <w:p w:rsidR="00D06117" w:rsidRDefault="00D06117" w:rsidP="00D06117">
      <w:pPr>
        <w:pStyle w:val="TextoNormal"/>
      </w:pPr>
    </w:p>
    <w:p w:rsidR="00D06117" w:rsidRDefault="00D06117" w:rsidP="00D06117">
      <w:pPr>
        <w:pStyle w:val="TextoNormal"/>
      </w:pPr>
      <w:r w:rsidRPr="00D06117">
        <w:rPr>
          <w:rStyle w:val="NumeroAFNegritaCaracter"/>
        </w:rPr>
        <w:t>4</w:t>
      </w:r>
      <w:r>
        <w:t>. Aplicados los razonamientos anteriores al caso sometido a nuestra consideración, la respuesta ha de ser favorable a la concesión del amparo solicitado. En efecto, en el caso se cumplió el deber inicial del Juzgado de advertir a las partes sobre la necesidad de constituir el depósito de 50 euros de la disposición adicional decimoquinta LOPJ para recurrir la Sentencia, cosa que la apelante no cumplió. Sin embargo, en correcta aplicación de lo estipulado en el apartado siete de la disposición adicional decimoquinta LOPJ, el Juzgado dictó providencia otorgando plazo de dos días a la parte para que constituyera el depósito, apercibiéndola con la inadmisión en caso contrario, actuando entonces esta última conforme a ese requerimiento, consignando la cantidad fijada y presentando su acreditación documental al órgano a quo.</w:t>
      </w:r>
    </w:p>
    <w:p w:rsidR="00D06117" w:rsidRDefault="00D06117" w:rsidP="00D06117">
      <w:pPr>
        <w:pStyle w:val="TextoNormal"/>
      </w:pPr>
    </w:p>
    <w:p w:rsidR="00D06117" w:rsidRDefault="00D06117" w:rsidP="00D06117">
      <w:pPr>
        <w:pStyle w:val="TextoNormal"/>
      </w:pPr>
      <w:r>
        <w:t>La ulterior decisión de la Audiencia negando validez al trámite de subsanación, acordando la desestimación del recurso sin proveer a una decisión de fondo, ha de considerarse irrazonable y por ello vulneradora del derecho al recurso legalmente previsto (art. 24.1 CE) de la entidad ahora demandante de amparo.</w:t>
      </w:r>
    </w:p>
    <w:p w:rsidR="00D06117" w:rsidRDefault="00D06117" w:rsidP="00D06117">
      <w:pPr>
        <w:pStyle w:val="TextoNormal"/>
      </w:pPr>
    </w:p>
    <w:p w:rsidR="00D06117" w:rsidRDefault="00D06117" w:rsidP="00D06117">
      <w:pPr>
        <w:pStyle w:val="TextoNormal"/>
      </w:pPr>
      <w:r>
        <w:t>Procede, en consecuencia, estimar la demanda de amparo, declarando la nulidad de las dos resoluciones judiciales impugnadas, y ordenar la retroacción de las actuaciones al momento inmediatamente anterior a la Sentencia de apelación, para que la Sección Juzgadora dicte nueva resolución respetuosa con el derecho fundamental reconocido.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interpuesto por la entidad Construcciones Conde, S.A., y, en su virtud:</w:t>
      </w:r>
    </w:p>
    <w:p w:rsidR="00D06117" w:rsidRDefault="00D06117" w:rsidP="00D06117">
      <w:pPr>
        <w:pStyle w:val="TextoNormal"/>
      </w:pPr>
    </w:p>
    <w:p w:rsidR="00D06117" w:rsidRDefault="00D06117" w:rsidP="00D06117">
      <w:pPr>
        <w:pStyle w:val="TextoNormal"/>
      </w:pPr>
      <w:r>
        <w:t>1º Reconocer su derecho fundamental a la tutela judicial efectiva (art. 24.1 CE).</w:t>
      </w:r>
    </w:p>
    <w:p w:rsidR="00D06117" w:rsidRDefault="00D06117" w:rsidP="00D06117">
      <w:pPr>
        <w:pStyle w:val="TextoNormal"/>
      </w:pPr>
    </w:p>
    <w:p w:rsidR="00D06117" w:rsidRDefault="00D06117" w:rsidP="00D06117">
      <w:pPr>
        <w:pStyle w:val="TextoNormal"/>
      </w:pPr>
      <w:r>
        <w:t>2º Declarar la nulidad de la Sentencia dictada por la Sección Sexta de la Audiencia Provincial de Pontevedra el 26 de abril de 2010 (rollo de apelación núm. 3101-2010), así como el posterior Auto de 4 de junio de 2010 de desestimación del incidente de nulidad promovido contra aquélla.</w:t>
      </w:r>
    </w:p>
    <w:p w:rsidR="00D06117" w:rsidRDefault="00D06117" w:rsidP="00D06117">
      <w:pPr>
        <w:pStyle w:val="TextoNormal"/>
      </w:pPr>
    </w:p>
    <w:p w:rsidR="00D06117" w:rsidRDefault="00D06117" w:rsidP="00D06117">
      <w:pPr>
        <w:pStyle w:val="TextoNormal"/>
      </w:pPr>
      <w:r>
        <w:t>3º Retrotraer las actuaciones al momento inmediatamente anterior al de recaer la Sentencia de apelación, para que por la Sección juzgadora se dicte nueva resolución respetuosa con el derecho fundamental reconocido.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3" w:name="SENTENCIA_2012_130"/>
      <w:r>
        <w:lastRenderedPageBreak/>
        <w:t>SENTENCIA 130/2012, de 18 de junio de 2012</w:t>
      </w:r>
    </w:p>
    <w:bookmarkEnd w:id="133"/>
    <w:p w:rsidR="00D06117" w:rsidRDefault="00D06117" w:rsidP="00D06117">
      <w:pPr>
        <w:pStyle w:val="TtuloResolucin"/>
      </w:pPr>
      <w:r>
        <w:t>Sala Primera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ECLI:ES:TC:2012:130</w:t>
      </w:r>
    </w:p>
    <w:p w:rsidR="00D06117" w:rsidRDefault="00D06117" w:rsidP="00D06117">
      <w:pPr>
        <w:pStyle w:val="SntesisDescriptiva"/>
      </w:pPr>
    </w:p>
    <w:p w:rsidR="00D06117" w:rsidRDefault="00D06117" w:rsidP="00D06117">
      <w:pPr>
        <w:pStyle w:val="SntesisDescriptiva"/>
      </w:pPr>
      <w:r>
        <w:t>Recurso de amparo 5682-2010. Promovido por don Tomás Chiscano Andújar con respecto a la Sentencia de la Audiencia Provincial de Badajoz que desestimó recurso de apelación al apreciar extemporaneidad en la consignación del depósito para recurrir.</w:t>
      </w:r>
    </w:p>
    <w:p w:rsidR="00D06117" w:rsidRDefault="00D06117" w:rsidP="00D06117">
      <w:pPr>
        <w:pStyle w:val="SntesisDescriptiva"/>
      </w:pPr>
    </w:p>
    <w:p w:rsidR="00D06117" w:rsidRDefault="00D06117" w:rsidP="00D06117">
      <w:pPr>
        <w:pStyle w:val="SntesisAnaltica"/>
      </w:pPr>
      <w:r>
        <w:t>Vulneración del derecho a la tutela judicial efectiva (acceso al recurso): consignación del depósito para recurrir llevada a cabo al percatarse el propio recurrente del incumplimiento del requisito, tácitamente consentida por el Juzgado que dictó la resolución objeto de impugnación, a la que con posterioridad se niega validez.</w:t>
      </w:r>
    </w:p>
    <w:p w:rsidR="00D06117" w:rsidRDefault="00D06117" w:rsidP="00D06117">
      <w:pPr>
        <w:pStyle w:val="SntesisAnaltica"/>
      </w:pPr>
    </w:p>
    <w:p w:rsidR="00D06117" w:rsidRDefault="00D06117" w:rsidP="00D06117">
      <w:pPr>
        <w:pStyle w:val="Extracto"/>
      </w:pPr>
      <w:r>
        <w:t>1.</w:t>
      </w:r>
      <w:r>
        <w:tab/>
        <w:t xml:space="preserve">Reitera la STC 129/2012. </w:t>
      </w:r>
    </w:p>
    <w:p w:rsidR="00D06117" w:rsidRDefault="00D06117" w:rsidP="00D06117">
      <w:pPr>
        <w:pStyle w:val="Extracto"/>
      </w:pPr>
    </w:p>
    <w:p w:rsidR="00D06117" w:rsidRDefault="00D06117" w:rsidP="00D06117">
      <w:pPr>
        <w:pStyle w:val="Extracto"/>
      </w:pPr>
      <w:r>
        <w:t>2.</w:t>
      </w:r>
      <w:r>
        <w:tab/>
        <w:t xml:space="preserve">Es irrazonable y vulneradora del derecho al recurso, </w:t>
      </w:r>
      <w:r w:rsidRPr="00D06117">
        <w:rPr>
          <w:i/>
        </w:rPr>
        <w:t>ex</w:t>
      </w:r>
      <w:r>
        <w:t xml:space="preserve"> art. 24.1 CE, la decisión de la Audiencia negando validez a la decisión de subsanación resuelta por el Juzgado y acordando la desestimación del recurso, dado que el recurrente, percatado de su omisión de constitución del depósito, procedió a corregirla, lo que el Juzgado consintió, al menos tácitamente, al proveer de manera positiva a la interposición del recurso con pleno conocimiento de dicho hecho  [FJ 4].</w:t>
      </w:r>
    </w:p>
    <w:p w:rsidR="00D06117" w:rsidRDefault="00D06117" w:rsidP="00D06117">
      <w:pPr>
        <w:pStyle w:val="Extracto"/>
      </w:pPr>
    </w:p>
    <w:p w:rsidR="00D06117" w:rsidRDefault="00D06117" w:rsidP="00D06117">
      <w:pPr>
        <w:pStyle w:val="Extracto"/>
      </w:pPr>
      <w:r>
        <w:t>3.</w:t>
      </w:r>
      <w:r>
        <w:tab/>
        <w:t>La inadmisión de un recurso en el orden civil por la falta de constitución de depósito se considerará irrazonable y contraria al art. 24.1 CE si la norma aplicable prevé la posibilidad de un trámite de subsanación del que no quede excluido el supuesto de la falta de constitución y siempre que la parte recurrente cumpla el requisito dentro del plazo otorgado por el órgano judicial (SSTC 217/2002, 197/2005)  [FJ 2].</w:t>
      </w:r>
    </w:p>
    <w:p w:rsidR="00D06117" w:rsidRDefault="00D06117" w:rsidP="00D06117">
      <w:pPr>
        <w:pStyle w:val="Extracto"/>
      </w:pPr>
    </w:p>
    <w:p w:rsidR="00D06117" w:rsidRDefault="00D06117" w:rsidP="00D06117">
      <w:pPr>
        <w:pStyle w:val="Extracto"/>
      </w:pPr>
      <w:r>
        <w:t>4.</w:t>
      </w:r>
      <w:r>
        <w:tab/>
        <w:t xml:space="preserve">El derecho de acceso a los recursos es un derecho de configuración legal correspondiendo a los jueces y tribunales la interpretación de los requisitos de admisión, </w:t>
      </w:r>
      <w:r w:rsidRPr="00D06117">
        <w:rPr>
          <w:i/>
        </w:rPr>
        <w:t>ex</w:t>
      </w:r>
      <w:r>
        <w:t xml:space="preserve"> art. 117.3 CE, por lo que el Tribunal Constitucional únicamente podrá revisar la inadmisión cuando se declare en base a causa legalmente inexistente o mediante un juicio arbitrario, irrazonable o fundado en error fáctico patente (SSTC 55/2008, 42/2009)  [FJ 2].</w:t>
      </w:r>
    </w:p>
    <w:p w:rsidR="00D06117" w:rsidRDefault="00D06117" w:rsidP="00D06117">
      <w:pPr>
        <w:pStyle w:val="Extracto"/>
      </w:pPr>
    </w:p>
    <w:p w:rsidR="00D06117" w:rsidRDefault="00D06117" w:rsidP="00D06117">
      <w:pPr>
        <w:pStyle w:val="Extracto"/>
      </w:pPr>
      <w:r>
        <w:t>5.</w:t>
      </w:r>
      <w:r>
        <w:tab/>
        <w:t>Para que el precepto que regula el depósito para recurrir tenga sentido en su conjunto y su interpretación no sea irrazonable, arbitraria o desfavorecedora del derecho al recurso, ha de entenderse que la palabra “defecto”, referido al objeto de la subsanación, se emplea con alcance general y se refiere a las tres posibles manifestaciones de incumplimiento del acto de depósito –defecto, omisión o error–, para las que cabe subsanación de acuerdo con lo establecido en la propia norma [FJ 3].</w:t>
      </w:r>
    </w:p>
    <w:p w:rsidR="00D06117" w:rsidRDefault="00D06117" w:rsidP="00D06117">
      <w:pPr>
        <w:pStyle w:val="Extracto"/>
      </w:pPr>
    </w:p>
    <w:p w:rsidR="00D06117" w:rsidRDefault="00D06117" w:rsidP="00D06117">
      <w:pPr>
        <w:pStyle w:val="Extracto"/>
      </w:pPr>
      <w:r>
        <w:lastRenderedPageBreak/>
        <w:t>6.</w:t>
      </w:r>
      <w:r>
        <w:tab/>
        <w:t>No procede el amparo cuando el defecto de falta de constitución —total o parcial— del depósito para recurrir desborda el marco de subsanación permitido por la norma especial, teniendo en cuenta que en el ámbito del derecho al recurso no opera el criterio de la proporcionalidad –</w:t>
      </w:r>
      <w:r w:rsidRPr="00D06117">
        <w:rPr>
          <w:i/>
        </w:rPr>
        <w:t>pro actione</w:t>
      </w:r>
      <w:r>
        <w:t>– como lo hace respecto del derecho de acceso a la jurisdicción (STC 33/2008) [FJ 2].</w:t>
      </w:r>
    </w:p>
    <w:p w:rsidR="00D06117" w:rsidRDefault="00D06117" w:rsidP="00D06117">
      <w:pPr>
        <w:pStyle w:val="Extracto"/>
      </w:pPr>
    </w:p>
    <w:p w:rsidR="00D06117" w:rsidRDefault="00D06117" w:rsidP="00D06117">
      <w:pPr>
        <w:pStyle w:val="Extracto"/>
      </w:pPr>
      <w:r>
        <w:t>7.</w:t>
      </w:r>
      <w:r>
        <w:tab/>
        <w:t>Doctrina sobre la constitucionalidad del depósito para recurrir en el ámbito civil desde la perspectiva del derecho de acceso a los recursos (SSTC 119/1994, 226/1999) [FFJJ 1,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5682-2010, promovido por don Tomás Chiscano Andújar, representado por el Procurador de los Tribunales don Juan José Gómez Velasco y asistido por el Abogado don Manuel Tapia Peña, contra la Sentencia de la Sección Tercera de la Audiencia Provincial de Badajoz con sede en Mérida, de 14 de junio de 2010, que desestimó recurso de apelación por la falta de constitución en plazo del depósito para recurrir previsto en la disposición adicional decimoquinta de la Ley Orgánica del Poder Judicial; así como contra la providencia de la misma Sección, de 30 de junio de 2010, inadmitiendo incidente de nulidad promovido contra la anterior. Ha intervenido el Ministerio Fiscal. Ha sido Ponente el Presidente don Pascual Sala Sánchez,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registrado en el Registro General de este Tribunal el 13 de julio de 2010, el Procurador de los Tribunales don Juan José Gómez Velasco, en nombre y representación de don Tomás Chiscano Andújar, interpuso demanda de amparo contra las resoluciones de la Sección Tercera de la Audiencia Provincial de Badajoz mencionadas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con relevancia para la resolución del presente recurso de amparo y a los que se refiere la demanda presentada, son los siguientes:</w:t>
      </w:r>
    </w:p>
    <w:p w:rsidR="00D06117" w:rsidRDefault="00D06117" w:rsidP="00D06117">
      <w:pPr>
        <w:pStyle w:val="TextoNormal"/>
      </w:pPr>
    </w:p>
    <w:p w:rsidR="00D06117" w:rsidRDefault="00D06117" w:rsidP="00D06117">
      <w:pPr>
        <w:pStyle w:val="TextoNormal"/>
      </w:pPr>
      <w:r>
        <w:t>a) En litigio sobre deslinde y amojonamiento de tierras, el Juzgado de Primera Instancia núm. 3 de Don Benito dictó Sentencia el 14 de diciembre de 2009 (juicio verbal núm. 561-</w:t>
      </w:r>
      <w:r>
        <w:lastRenderedPageBreak/>
        <w:t>2009), en desestimación de la demanda presentada por el aquí recurrente, con condena en costas.</w:t>
      </w:r>
    </w:p>
    <w:p w:rsidR="00D06117" w:rsidRDefault="00D06117" w:rsidP="00D06117">
      <w:pPr>
        <w:pStyle w:val="TextoNormal"/>
      </w:pPr>
    </w:p>
    <w:p w:rsidR="00D06117" w:rsidRDefault="00D06117" w:rsidP="00D06117">
      <w:pPr>
        <w:pStyle w:val="TextoNormal"/>
      </w:pPr>
      <w:r>
        <w:t>No consta formulada ninguna advertencia, ni al pie de recurso de la resolución ni en el trámite de notificación de ésta, acerca de la necesidad de constituir el depósito de 50 euros previsto en la disposición adicional decimoquinta de la Ley Orgánica 6/1985, de 1 de julio, del Poder Judicial (LOPJ), en caso de querer recurrir la Sentencia.</w:t>
      </w:r>
    </w:p>
    <w:p w:rsidR="00D06117" w:rsidRDefault="00D06117" w:rsidP="00D06117">
      <w:pPr>
        <w:pStyle w:val="TextoNormal"/>
      </w:pPr>
    </w:p>
    <w:p w:rsidR="00D06117" w:rsidRDefault="00D06117" w:rsidP="00D06117">
      <w:pPr>
        <w:pStyle w:val="TextoNormal"/>
      </w:pPr>
      <w:r>
        <w:t>b) La representación procesal del aquí recurrente presentó escrito de preparación de recurso de apelación contra la citada Sentencia, con fecha 22 de diciembre de 2009, sin acompañar el resguardo de consignación del depósito de 50 euros ya mencionado.</w:t>
      </w:r>
    </w:p>
    <w:p w:rsidR="00D06117" w:rsidRDefault="00D06117" w:rsidP="00D06117">
      <w:pPr>
        <w:pStyle w:val="TextoNormal"/>
      </w:pPr>
    </w:p>
    <w:p w:rsidR="00D06117" w:rsidRDefault="00D06117" w:rsidP="00D06117">
      <w:pPr>
        <w:pStyle w:val="TextoNormal"/>
      </w:pPr>
      <w:r>
        <w:t>Como respuesta, el Juzgado dictó providencia el 15 de enero de 2010 teniendo por preparado el recurso, sin mención alguna al depósito, concediendo el plazo legal de veinte días al recurrente para presentar el escrito de interposición.</w:t>
      </w:r>
    </w:p>
    <w:p w:rsidR="00D06117" w:rsidRDefault="00D06117" w:rsidP="00D06117">
      <w:pPr>
        <w:pStyle w:val="TextoNormal"/>
      </w:pPr>
    </w:p>
    <w:p w:rsidR="00D06117" w:rsidRDefault="00D06117" w:rsidP="00D06117">
      <w:pPr>
        <w:pStyle w:val="TextoNormal"/>
      </w:pPr>
      <w:r>
        <w:t>c) El 5 de febrero de 2010, la parte constituyó el depósito de 50 euros en la cuenta de depósitos y consignaciones del Juzgado; aportando el correspondiente resguardo junto con el escrito de interposición del recurso de apelación, el 8 de febrero de 2010.</w:t>
      </w:r>
    </w:p>
    <w:p w:rsidR="00D06117" w:rsidRDefault="00D06117" w:rsidP="00D06117">
      <w:pPr>
        <w:pStyle w:val="TextoNormal"/>
      </w:pPr>
    </w:p>
    <w:p w:rsidR="00D06117" w:rsidRDefault="00D06117" w:rsidP="00D06117">
      <w:pPr>
        <w:pStyle w:val="TextoNormal"/>
      </w:pPr>
      <w:r>
        <w:t>En la misma fecha se extiende diligencia por el Secretario del Juzgado, dando cuenta de “que se ha producido una operación de ingreso en la Cuenta de Depósitos y Consignaciones de este órgano judicial, por la persona, cantidad, en la fecha y demás circunstancias y datos que constan en el extracto arriba reflejado, cuya información ha sido obtenida a través de la aplicación informática de gestión de la citada cuenta”; refiriéndose con ello al depósito de referencia.</w:t>
      </w:r>
    </w:p>
    <w:p w:rsidR="00D06117" w:rsidRDefault="00D06117" w:rsidP="00D06117">
      <w:pPr>
        <w:pStyle w:val="TextoNormal"/>
      </w:pPr>
    </w:p>
    <w:p w:rsidR="00D06117" w:rsidRDefault="00D06117" w:rsidP="00D06117">
      <w:pPr>
        <w:pStyle w:val="TextoNormal"/>
      </w:pPr>
      <w:r>
        <w:t>d) El 25 de febrero de 2010, el Juzgado dictó providencia teniendo el recurso por interpuesto y ordenando continuar su tramitación, sin hacer mención específica del depósito. De este modo y mediante escrito de 9 de marzo de 2010, la parte recurrida presentó escrito de oposición al recurso de apelación, contestando los motivos de fondo del recurso, sin hacer ninguna referencia al tema del depósito para recurrir.</w:t>
      </w:r>
    </w:p>
    <w:p w:rsidR="00D06117" w:rsidRDefault="00D06117" w:rsidP="00D06117">
      <w:pPr>
        <w:pStyle w:val="TextoNormal"/>
      </w:pPr>
    </w:p>
    <w:p w:rsidR="00D06117" w:rsidRDefault="00D06117" w:rsidP="00D06117">
      <w:pPr>
        <w:pStyle w:val="TextoNormal"/>
      </w:pPr>
      <w:r>
        <w:t>e) Elevadas las actuaciones a la Sección Tercera de la Audiencia Provincial de Badajoz, competente para conocer del recurso, se tuvieron por recibidas las mismas continuándose con el procedimiento (rollo de apelación núm. 184-2010).</w:t>
      </w:r>
    </w:p>
    <w:p w:rsidR="00D06117" w:rsidRDefault="00D06117" w:rsidP="00D06117">
      <w:pPr>
        <w:pStyle w:val="TextoNormal"/>
      </w:pPr>
    </w:p>
    <w:p w:rsidR="00D06117" w:rsidRDefault="00D06117" w:rsidP="00D06117">
      <w:pPr>
        <w:pStyle w:val="TextoNormal"/>
      </w:pPr>
      <w:r>
        <w:t>f) Con fecha 14 de junio de 2010, la Sección juzgadora dictó Sentencia desestimando el recurso de apelación al apreciarse una causa para su inadmisión, traducida en ese estado del procedimiento en causa de desestimación, en concreto por no haberse efectuado la consignación del depósito previsto en la mencionada disposición adicional decimoquinta de la Ley Orgánica del Poder Judicial a la fecha en que se presentó el escrito de preparación del recurso. La Sentencia se limita a estudiar y declarar dicho óbice, sin entrar a analizar los motivos de fondo que había planteado el apelante. Textualmente señaló:</w:t>
      </w:r>
    </w:p>
    <w:p w:rsidR="00D06117" w:rsidRDefault="00D06117" w:rsidP="00D06117">
      <w:pPr>
        <w:pStyle w:val="TextoNormal"/>
      </w:pPr>
    </w:p>
    <w:p w:rsidR="00D06117" w:rsidRDefault="00D06117" w:rsidP="00D06117">
      <w:pPr>
        <w:pStyle w:val="TextoNormal"/>
      </w:pPr>
      <w:r>
        <w:t xml:space="preserve">“ÚNICO.- Respecto a la cuestión procesal que en el presente procedimiento se suscita sobre la base de la falta de cumplimiento de lo ordenado en la disposición adicional 15ª de la LOPJ, en relación a la constitución del depósito a la hora de recurrir. Ciertamente es </w:t>
      </w:r>
      <w:r>
        <w:lastRenderedPageBreak/>
        <w:t>opinión jurisprudencial sentada (cf., por todas SAP Pontevedra 6ª de 18 de diciembre de 2009, SAP 3ª de 3 de Marzo de 2010) que si bien se admite, fundamentalmente en virtud de lo dispuesto en el art. 231 de la LEC, así como a tenor de su art. 449-6, en su caso, que se corrija o complemente la acreditación de la realidad de un depósito tempestivo y adecuado, no cabe, en cambio, admitir el recurso en apelación, cuando tal depósito, taxativamente emitido por la norma se haya verificado fuera del plazo respectivo, como ha acontecido en el presente supuesto.</w:t>
      </w:r>
    </w:p>
    <w:p w:rsidR="00D06117" w:rsidRDefault="00D06117" w:rsidP="00D06117">
      <w:pPr>
        <w:pStyle w:val="TextoNormal"/>
      </w:pPr>
    </w:p>
    <w:p w:rsidR="00D06117" w:rsidRDefault="00D06117" w:rsidP="00D06117">
      <w:pPr>
        <w:pStyle w:val="TextoNormal"/>
      </w:pPr>
      <w:r>
        <w:t>Vistos los términos de la antes mencionada adicional decimoquinta de la LOPJ, la falta de su consignación previa a la interposición del recurso hubo de acarrear necesariamente la denegación de su admisión a trámite (‘no se admitirá a trámite ningún recurso cuyo depósito no esté constituido’), puesto que la posibilidad de subsanación, en dos días, del defecto, omisión o error en que hubiese incurrido el recurrente ‘en la constitución del depósito’, tiene que entenderse circunscrita a la anomalía producida al constituirse efectivamente el depósito, no a la representada por su omisión misma, la cual, en cualquier caso, no cabe sea remediada fuera del tiempo en que debió haberse cumplido el requisito procesal con el escrito de anuncio de la interposición del recurso, no con el de la interposición en sí misma (Auto AP Castellón 3º de 8 de enero de 2010).”</w:t>
      </w:r>
    </w:p>
    <w:p w:rsidR="00D06117" w:rsidRDefault="00D06117" w:rsidP="00D06117">
      <w:pPr>
        <w:pStyle w:val="TextoNormal"/>
      </w:pPr>
    </w:p>
    <w:p w:rsidR="00D06117" w:rsidRDefault="00D06117" w:rsidP="00D06117">
      <w:pPr>
        <w:pStyle w:val="TextoNormal"/>
      </w:pPr>
      <w:r>
        <w:t>g) Promovido por la misma parte incidente de nulidad de actuaciones contra la Sentencia desestimatoria, aduciendo lesión de su derecho a la tutela judicial efectiva (art. 24.1 CE) en la vertiente acceso al recurso, la solicitud resultó inadmitida por providencia de la Sección de 30 de junio de 2010, argumentando que en el escrito presentado “no se denuncia ni se combate vicio alguno formal de dicha resolución, ni verdadera incongruencia de ningún género en su parte dispositiva, sino que antes bien, se limita la parte a disentir de la decisión y la fundamentación que intrínsecamente la forman y que le resultan desfavorables, lo cual entraña un uso indebido del excepcional incidente de nulidad de que se trata (excepcional y subsidiario)”.</w:t>
      </w:r>
    </w:p>
    <w:p w:rsidR="00D06117" w:rsidRDefault="00D06117" w:rsidP="00D06117">
      <w:pPr>
        <w:pStyle w:val="TextoNormal"/>
      </w:pPr>
    </w:p>
    <w:p w:rsidR="00D06117" w:rsidRDefault="00D06117" w:rsidP="00D06117">
      <w:pPr>
        <w:pStyle w:val="TextoNormal"/>
      </w:pPr>
      <w:r>
        <w:t>h) Notificada esta última resolución judicial, por la misma parte se promueve el presente recurso de amparo.</w:t>
      </w:r>
    </w:p>
    <w:p w:rsidR="00D06117" w:rsidRDefault="00D06117" w:rsidP="00D06117">
      <w:pPr>
        <w:pStyle w:val="TextoNormal"/>
      </w:pPr>
    </w:p>
    <w:p w:rsidR="00D06117" w:rsidRDefault="00D06117" w:rsidP="00D06117">
      <w:pPr>
        <w:pStyle w:val="TextoNormal"/>
      </w:pPr>
      <w:r w:rsidRPr="00D06117">
        <w:rPr>
          <w:rStyle w:val="NumeroAFNegritaCaracter"/>
        </w:rPr>
        <w:t>3</w:t>
      </w:r>
      <w:r>
        <w:t>. La demanda de amparo alega la vulneración del derecho a la tutela judicial efectiva (art. 24.1 CE) del recurrente, dirigiéndose contra la decisión de la Audiencia Provincial de dejar imprejuzgada la cuestión de fondo de su recurso de apelación, al apreciarse indebidamente como óbice procesal la falta de constitución en plazo del depósito previsto en la ya indicada disposición adicional decimoquinta LOPJ.</w:t>
      </w:r>
    </w:p>
    <w:p w:rsidR="00D06117" w:rsidRDefault="00D06117" w:rsidP="00D06117">
      <w:pPr>
        <w:pStyle w:val="TextoNormal"/>
      </w:pPr>
    </w:p>
    <w:p w:rsidR="00D06117" w:rsidRDefault="00D06117" w:rsidP="00D06117">
      <w:pPr>
        <w:pStyle w:val="TextoNormal"/>
      </w:pPr>
      <w:r>
        <w:t>A tal efecto y si bien reconoce no haber efectuado dicho depósito en la fase de preparación sino durante el plazo para la interposición del recurso, justo antes de presentar este último escrito, pone de manifiesto el recurrente que en ningún momento ni el Juzgado a quo ni la Audiencia le notificaron del deber que tenía de constituir el depósito, tal como exige el apartado 6 de la citada disposición adicional decimoquinta, ni por ello le otorgaron el plazo de dos días para subsanar a que alude el apartado 7 de la misma norma, con lo que se ha infringido doblemente lo establecido en la Ley.</w:t>
      </w:r>
    </w:p>
    <w:p w:rsidR="00D06117" w:rsidRDefault="00D06117" w:rsidP="00D06117">
      <w:pPr>
        <w:pStyle w:val="TextoNormal"/>
      </w:pPr>
    </w:p>
    <w:p w:rsidR="00D06117" w:rsidRDefault="00D06117" w:rsidP="00D06117">
      <w:pPr>
        <w:pStyle w:val="TextoNormal"/>
      </w:pPr>
      <w:r>
        <w:lastRenderedPageBreak/>
        <w:t>Considera asimismo que la Audiencia confunde este depósito de la disposición adicional decimoquinta LOPJ, con la consignación de rentas del “art. 449.6” de la Ley de enjuiciamiento civil (LEC), sin tener en cuenta la distinta finalidad de cada uno. Así, explica, mientras el regulado en la Ley de enjuiciamiento civil busca evitar la dilación del proceso a aquel quien ha obtenido una Sentencia favorable, en cambio el de la disposición adicional decimoquinta “no se trata de una consignación de cantidades que tienen relevancia en el fondo del asunto, sino de un mero depósito cuyo fin es financiar el mantenimiento de la red informática de la Administración de justicia”, conforme indica el apartado 10 de la misma disposición adicional y el preámbulo de la Ley Orgánica 1/2009. Añade que al darse por ineficaz el depósito efectuado, se han menoscabado las posibilidades de subsanación que brinda el art. 231 LEC, en relación con el art. 243.4 LOPJ; a la par que la Sentencia prescinde de la doctrina de este Tribunal Constitucional que propugna tal posibilidad de subsanación con base en el art. 11.3 LOPJ (cita las SSTC 213/1990, de 20 de diciembre; 101/1997, de 20 de mayo; 299/1999, de 13 de diciembre) y a que se interpreten los requisitos procesales para acceder a las acciones y recursos, de modo que se evite que éstos se conviertan en un mero obstáculo para su ejercicio —con cita de la STC 101/1997, de 20 de mayo—. Añade que el criterio positivo de la subsanación se sustenta también en un informe redactado por la Comisión Jurídica Asesora para la implantación de la nueva oficina judicial, creada en el Ministerio de Justicia para la evaluación de las dudas y problemas prácticos generados por las últimas reformas legales en dicho ámbito.</w:t>
      </w:r>
    </w:p>
    <w:p w:rsidR="00D06117" w:rsidRDefault="00D06117" w:rsidP="00D06117">
      <w:pPr>
        <w:pStyle w:val="TextoNormal"/>
      </w:pPr>
    </w:p>
    <w:p w:rsidR="00D06117" w:rsidRDefault="00D06117" w:rsidP="00D06117">
      <w:pPr>
        <w:pStyle w:val="TextoNormal"/>
      </w:pPr>
      <w:r w:rsidRPr="00D06117">
        <w:rPr>
          <w:rStyle w:val="NumeroAFNegritaCaracter"/>
        </w:rPr>
        <w:t>4</w:t>
      </w:r>
      <w:r>
        <w:t>. En virtud de providencia de la Sala Primera de este Tribunal de fecha 27 de febrero de 2012, se acordó la admisión a trámite de la demanda de amparo, ordenando dirigir atenta comunicación a la Sección Tercera de la Audiencia Provincial de Badajoz y al Juzgado de Primera Instancia núm. 3 de Don Benito para que, en plazo no superior a diez días, remitieran certificación o fotocopia adverada de las actuaciones correspondientes al rollo de apelación núm. 184-2010 y procedimiento núm. 561-2009, respectivamente; debiendo proveer el Juzgado al emplazamiento de quienes hubieren sido partes en el proceso excepto la parte recurrente en amparo, para su personación si lo desearen ante este Tribunal en el plazo de diez días.</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Secretaría de Justicia de la Sección Primera de este Tribunal, de 9 de abril de 2012, se tuvieron por recibidos los testimonios de las actuaciones procedentes de la Audiencia Provincial de Badajoz y del Juzgado de Primera Instancia núm. 3 de Don Benito, abriendo plazo común de veinte días al Ministerio Fiscal y a las partes personadas, para que dentro del mismo pudieran presentar las alegaciones que a su derecho conviniere.</w:t>
      </w:r>
    </w:p>
    <w:p w:rsidR="00D06117" w:rsidRDefault="00D06117" w:rsidP="00D06117">
      <w:pPr>
        <w:pStyle w:val="TextoNormal"/>
      </w:pPr>
    </w:p>
    <w:p w:rsidR="00D06117" w:rsidRDefault="00D06117" w:rsidP="00D06117">
      <w:pPr>
        <w:pStyle w:val="TextoNormal"/>
      </w:pPr>
      <w:r>
        <w:t>No habiéndose personado ninguna otra parte actuante en el proceso de origen, el Ministerio Fiscal presentó su escrito de alegaciones el 9 de mayo de 2012, interesando la estimación de la demanda de amparo. Tras resumir los antecedentes procesales del caso y el contenido de dicha demanda, señala la Fiscalía que el objeto del debate gira en torno a determinar si la interpretación restrictiva realizada por la Sentencia de instancia, contraria a permitir la subsanación de la falta de constitución del depósito previsto en la disposición adicional decimoquinta LOPJ, resulta contraria al derecho a la tutela judicial efectiva (art. 24.1 CE) en su vertiente de acceso al recurso. Sostiene al respecto que dicha subsanación sí es posible, haciendo suyos los argumentos expuestos por la Sala Primera del Tribunal Su</w:t>
      </w:r>
      <w:r>
        <w:lastRenderedPageBreak/>
        <w:t>premo, entre otros en el Auto del Pleno de la Sala de 2 de noviembre de 2010 y en la Sentencia de 27 de junio de 2011, debiendo tenerse en cuenta tanto la amplitud de los términos que recoge la disposición adicional en cuanto al régimen de subsanación (al hablar la norma de “defecto, omisión o error”); como porque el fin disuasorio por el que se implanta este depósito se antoja genérico y concurre con otro de carácter específico, que es el de contribuir a recaudar y obtener ingresos destinados a sufragar el proceso de modernización de la justicia. Añade que en cuanto a su naturaleza, este depósito “debe considerarse como un mero requisito formal, sin que cumpla una función tuitiva y/o aseguradora de los intereses de la parte contraria”, naturaleza que considera así alejada de la de los depósitos “especiales” del art. 449 LEC.</w:t>
      </w:r>
    </w:p>
    <w:p w:rsidR="00D06117" w:rsidRDefault="00D06117" w:rsidP="00D06117">
      <w:pPr>
        <w:pStyle w:val="TextoNormal"/>
      </w:pPr>
    </w:p>
    <w:p w:rsidR="00D06117" w:rsidRDefault="00D06117" w:rsidP="00D06117">
      <w:pPr>
        <w:pStyle w:val="TextoNormal"/>
      </w:pPr>
      <w:r>
        <w:t>Afirma el Ministerio Fiscal que la Sentencia impugnada rompe el equilibrio establecido en la regulación legal de este depósito al negar la subsanación de la falta de constitución, por lo que no supera el estándar de razonabilidad que le es constitucional exigible, produciendo la vulneración del derecho al recurso (art. 24.1 CE). La falta inicial de constitución del depósito, razona, no se debió a una actitud de “oposición o de obstrucción por parte del recurrente”, la subsanación tuvo lugar motu proprio y a falta de requerimiento previo del Juzgado durante el plazo de interposición del recurso y, con ello, no se alteraron ni modificaron los plazos legales del recurso ni se dilató su tramitación, como tampoco se causaron perjuicios a terceros. Por todo ello, la Fiscalía solicita el otorgamiento del amparo, con nulidad de las dos resoluciones impugnadas y la retroacción de las actuaciones judiciales al momento inmediatamente anterior al pronunciamiento de la Sentencia de apelación, para que la Audiencia dicte nueva resolución respetuosa con el derecho fundamental reconocido.</w:t>
      </w:r>
    </w:p>
    <w:p w:rsidR="00D06117" w:rsidRDefault="00D06117" w:rsidP="00D06117">
      <w:pPr>
        <w:pStyle w:val="TextoNormal"/>
      </w:pPr>
    </w:p>
    <w:p w:rsidR="00D06117" w:rsidRDefault="00D06117" w:rsidP="00D06117">
      <w:pPr>
        <w:pStyle w:val="TextoNormal"/>
      </w:pPr>
      <w:r w:rsidRPr="00D06117">
        <w:rPr>
          <w:rStyle w:val="NumeroAFNegritaCaracter"/>
        </w:rPr>
        <w:t>6</w:t>
      </w:r>
      <w:r>
        <w:t>. Por su lado, la representación procesal del demandante en amparo presentó escrito de alegaciones registrado el 14 de mayo de 2012, limitándose a ratificar en su demanda.</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otrosí formulado al final de su escrito de demanda de amparo, el recurrente solicitó la suspensión parcial de los efectos de la Sentencia recurrida, en concreto en cuanto al pronunciamiento de costas en apelación.</w:t>
      </w:r>
    </w:p>
    <w:p w:rsidR="00D06117" w:rsidRDefault="00D06117" w:rsidP="00D06117">
      <w:pPr>
        <w:pStyle w:val="TextoNormal"/>
      </w:pPr>
    </w:p>
    <w:p w:rsidR="00D06117" w:rsidRDefault="00D06117" w:rsidP="00D06117">
      <w:pPr>
        <w:pStyle w:val="TextoNormal"/>
      </w:pPr>
      <w:r>
        <w:t>La Sala Primera de este Tribunal, en virtud de providencia de 27 de febrero de 2012, acordó la apertura de la pieza separada de suspensión, concediendo plazo común de tres días al Ministerio Fiscal y al solicitante en amparo para que pudieran formular sus alegaciones en relación con aquella solicitud cautelar. Presentó así escrito la representación procesal de la recurrente, el 6 de marzo de 2012, manteniendo su pretensión; y el Ministerio Fiscal el 15 de marzo de 2012, interesando la denegación de la suspensión.</w:t>
      </w:r>
    </w:p>
    <w:p w:rsidR="00D06117" w:rsidRDefault="00D06117" w:rsidP="00D06117">
      <w:pPr>
        <w:pStyle w:val="TextoNormal"/>
      </w:pPr>
    </w:p>
    <w:p w:rsidR="00D06117" w:rsidRDefault="00D06117" w:rsidP="00D06117">
      <w:pPr>
        <w:pStyle w:val="TextoNormal"/>
      </w:pPr>
      <w:r>
        <w:t>Por Auto de 16 de abril de 2012, finalmente, la Sala acordó denegar la suspensión solicitada.</w:t>
      </w:r>
    </w:p>
    <w:p w:rsidR="00D06117" w:rsidRDefault="00D06117" w:rsidP="00D06117">
      <w:pPr>
        <w:pStyle w:val="TextoNormal"/>
      </w:pPr>
    </w:p>
    <w:p w:rsidR="00D06117" w:rsidRDefault="00D06117" w:rsidP="00D06117">
      <w:pPr>
        <w:pStyle w:val="TextoNormal"/>
      </w:pPr>
      <w:r w:rsidRPr="00D06117">
        <w:rPr>
          <w:rStyle w:val="NumeroAFNegritaCaracter"/>
        </w:rPr>
        <w:t>8</w:t>
      </w:r>
      <w:r>
        <w:t>. Por providencia de 14 de junio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amparo se interpone contra la Sentencia de la Sección Tercera de la Audiencia Provincial de Badajoz que apreció, como óbice procesal, extemporaneidad en la consignación del depósito exigido para recurrir previsto en la disposición adicional decimoquinta de la Ley Orgánica del Poder Judicial (LOPJ) y procedió, basándose en este motivo, a la desestimación del recurso. A criterio de la Sentencia impugnada, la posibilidad de subsanación por dos días que concede la citada disposición se aplica a “anomalías” detectadas en la constitución del depósito, pero no a la falta de constitución del mismo.</w:t>
      </w:r>
    </w:p>
    <w:p w:rsidR="00D06117" w:rsidRDefault="00D06117" w:rsidP="00D06117">
      <w:pPr>
        <w:pStyle w:val="TextoNormal"/>
      </w:pPr>
    </w:p>
    <w:p w:rsidR="00D06117" w:rsidRDefault="00D06117" w:rsidP="00D06117">
      <w:pPr>
        <w:pStyle w:val="TextoNormal"/>
      </w:pPr>
      <w:r>
        <w:t>La demanda de amparo no cuestiona el hecho de la falta de constitución del depósito antes del trámite de subsanación otorgado por el Juzgado, si bien sostiene que la disposición adicional decimoquinta LOPJ permite la subsanación de la omisión de constitución. La interpretación rigorista adoptada en las resoluciones recurridas ha provocado, según la demandante de amparo, la lesión de su derecho a la tutela judicial efectiva en su vertiente de acceso al recurso legalmente establecido (art. 24.1 CE) y por ello solicita el otorgamiento del amparo. El Ministerio Fiscal interesa igualmente la estimación, con argumentos similares.</w:t>
      </w:r>
    </w:p>
    <w:p w:rsidR="00D06117" w:rsidRDefault="00D06117" w:rsidP="00D06117">
      <w:pPr>
        <w:pStyle w:val="TextoNormal"/>
      </w:pPr>
    </w:p>
    <w:p w:rsidR="00D06117" w:rsidRDefault="00D06117" w:rsidP="00D06117">
      <w:pPr>
        <w:pStyle w:val="TextoNormal"/>
      </w:pPr>
      <w:r>
        <w:t>En el presente asunto, por tanto, el objeto de discusión gira en torno a un concreto aspecto de la regulación del depósito para recurrir: el del carácter subsanable o insubsanable de la omisión de constitución del depósito atendiendo a lo establecido en la disposición adicional decimoquinta LOPJ. No está en discusión la constitucionalidad de la exigencia misma del depósito, si bien al respecto puede recordarse que este Tribunal ya ha indicado, en relación con el depósito para recurrir en el ámbito civil, que se trata de un requisito “que no contradice el espíritu del art. 24.1 de la Constitución, pues su finalidad es, entre otras, la de evitar recursos meramente dilatorios, que no obedezcan a una voluntad real y fundada de recurrir” (SSTC 119/1994, de 25 de abril, FJ 3; y 226/1999, de 13 de diciembre, FJ 3).</w:t>
      </w:r>
    </w:p>
    <w:p w:rsidR="00D06117" w:rsidRDefault="00D06117" w:rsidP="00D06117">
      <w:pPr>
        <w:pStyle w:val="TextoNormal"/>
      </w:pPr>
    </w:p>
    <w:p w:rsidR="00D06117" w:rsidRDefault="00D06117" w:rsidP="00D06117">
      <w:pPr>
        <w:pStyle w:val="TextoNormal"/>
      </w:pPr>
      <w:r w:rsidRPr="00D06117">
        <w:rPr>
          <w:rStyle w:val="NumeroAFNegritaCaracter"/>
        </w:rPr>
        <w:t>2</w:t>
      </w:r>
      <w:r>
        <w:t>. Una vez fijados los términos del debate constitucional planteado, toda vez que el derecho invocado por la recurrente —el derecho a la tutela judicial efectiva en su vertiente de derecho de acceso a los recursos— ha sido objeto de numerosos pronunciamientos de este Tribunal, será conveniente precisar los aspectos de la doctrina constitucional precedente que resultan de aplicación al caso y son relevantes para examinar la adecuación de las resoluciones impugnadas a las exigencias del art. 24.1 CE:</w:t>
      </w:r>
    </w:p>
    <w:p w:rsidR="00D06117" w:rsidRDefault="00D06117" w:rsidP="00D06117">
      <w:pPr>
        <w:pStyle w:val="TextoNormal"/>
      </w:pPr>
    </w:p>
    <w:p w:rsidR="00D06117" w:rsidRDefault="00D06117" w:rsidP="00D06117">
      <w:pPr>
        <w:pStyle w:val="TextoNormal"/>
      </w:pPr>
      <w:r>
        <w:t>a) Debe recordarse en primer término que, según hemos declarado repetidamente, el derecho de acceso a los recursos es un derecho de configuración legal —a salvo la especialidad del derecho a la doble instancia en el caso de las Sentencias de condena penales—, lo que implica que la tarea de interpretación de los requisitos exigidos por las normas para la admisión de los recursos, en tanto que materia de legalidad ordinaria, queda para los jueces y tribunales (art. 117.3 CE). En consecuencia, no corresponde a este Tribunal revisar la aplicación judicial de las normas sobre admisión de recursos, salvo en los casos de inadmisión cuando ésta se declara con base en una causa legalmente inexistente o mediante un “juicio arbitrario, irrazonable o fundado en error fáctico patente” (por todas, STC 55/2008, de14 de abril, FJ 2 y las que en ella se citan; con posterioridad, SSTC 186/2008, de 26 de diciembre, FJ 2 y 42/2009, de 9 de febrero, FJ 2).</w:t>
      </w:r>
    </w:p>
    <w:p w:rsidR="00D06117" w:rsidRDefault="00D06117" w:rsidP="00D06117">
      <w:pPr>
        <w:pStyle w:val="TextoNormal"/>
      </w:pPr>
    </w:p>
    <w:p w:rsidR="00D06117" w:rsidRDefault="00D06117" w:rsidP="00D06117">
      <w:pPr>
        <w:pStyle w:val="TextoNormal"/>
      </w:pPr>
      <w:r>
        <w:t>b) En el ámbito de los recursos civiles, es doctrina de este Tribunal que siempre que el requisito incumplido o defectuosamente formalizado no se configure por ley como un presupuesto procesal “de indeclinable cumplimiento en tiempo y forma” (STC 46/2004, de 23 de marzo, FJ 5), deberá permitirse a la parte subsanar el defecto, favoreciendo el principio de conservación de los actos procesales —art. 243 LOPJ—, y garantizando la realización del derecho a la tutela judicial efectiva (así, SSTC 107/2005, de 9 de mayo, F 4; 79/2006, de 13 de marzo, FFJJ 2 y 3; 23/2009, de 26 de enero, FFJJ 2 y 4; 25/2009, de 26 de enero, FFJJ 3 y 5; y, últimamente SSTC 79/2012, de 17 de abril, FJ 8, y 85/2012, de 18 de abril, FJ 3).</w:t>
      </w:r>
    </w:p>
    <w:p w:rsidR="00D06117" w:rsidRDefault="00D06117" w:rsidP="00D06117">
      <w:pPr>
        <w:pStyle w:val="TextoNormal"/>
      </w:pPr>
    </w:p>
    <w:p w:rsidR="00D06117" w:rsidRDefault="00D06117" w:rsidP="00D06117">
      <w:pPr>
        <w:pStyle w:val="TextoNormal"/>
      </w:pPr>
      <w:r>
        <w:t>c) En cuanto a la figura del depósito para recurrir en el orden civil, hemos afirmado que la inadmisión de un recurso por la falta de constitución de ese depósito, se considerará una decisión irrazonable y contraria al art. 24.1 CE, si la norma aplicable prevé la posibilidad de un trámite de subsanación del que no quede excluido, precisamente, el supuesto de la falta de constitución, y siempre que la parte recurrente cumpla el requisito dentro del plazo otorgado por el órgano judicial (así, SSTC 217/2002, de 25 de noviembre, FJ 4 y 197/2005, de 18 de julio, FJ 3, dictadas en relación con la posibilidad de subsanar la falta de consignación de las rentas —depósito— para recurrir, en los términos del apartado 1 del art. 1567 de la Ley de enjuiciamiento civil —LEC—, en la redacción dada por la disposición adicional quinta de la Ley 29/1994, de 24 de noviembre, de arrendamientos urbanos, según la cual, “se tendrá por firme la sentencia y se procederá a su ejecución, siempre que requerido por el Juez o Tribunal que conozca de los mismos no cumpliere su obligación de pago o consignación en el plazo de cinco días.”).</w:t>
      </w:r>
    </w:p>
    <w:p w:rsidR="00D06117" w:rsidRDefault="00D06117" w:rsidP="00D06117">
      <w:pPr>
        <w:pStyle w:val="TextoNormal"/>
      </w:pPr>
    </w:p>
    <w:p w:rsidR="00D06117" w:rsidRDefault="00D06117" w:rsidP="00D06117">
      <w:pPr>
        <w:pStyle w:val="TextoNormal"/>
      </w:pPr>
      <w:r>
        <w:t>En consecuencia con lo anterior, hemos denegado el amparo cuando el defecto de falta de constitución —total o parcial— del depósito para recurrir desborda el marco de subsanación permitido por la norma especial, teniendo en cuenta además que en este ámbito del derecho al recurso no opera el criterio de la proporcionalidad (pro actione) como lo hace respecto del derecho de acceso a la jurisdicción (STC 33/2008, de 25 de febrero, FJ 4, respecto de la subsanación ex art. 449.6 LEC). También se ha desestimado el amparo cuando el recurrente no ha formalizado el depósito dentro del plazo fijado por el órgano judicial y la pérdida del correspondiente recurso es imputable a su negligencia (SSTC 197/2005, ya citada, FJ 3, y 253/2007, de 17 de diciembre, FJ 3, esta última, también sobre los depósitos para recurrir del art. 449 LEC).</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La disposición adicional decimoquinta LOPJ, introducida por el art. 1, apartado diecinueve, de la Ley Orgánica 1/2009, de 3 de noviembre, complementaria de la Ley de reforma de la legislación procesal para la implantación de la nueva oficina judicial, y que modifica la Ley Orgánica 6/1985, de 1 de julio, del Poder Judicial, configura un nuevo depósito para el ejercicio de acciones impugnatorias contra sentencias y autos (recursos ordinarios y extraordinarios “que deban tramitarse por escrito”, así como demandas de revisión de sentencia firme o de audiencia al condenado en rebeldía). La finalidad de este depósito, según se dice en el preámbulo de la ley, “es disuadir a quienes recurran sin fundamento jurídico alguno, para que no prolonguen indebidamente el tiempo de resolución del proceso en perjuicio del derecho a la tutela judicial efectiva de las otras partes personadas en el proceso”. Se trata sin duda de un requisito de inexcusable cumplimiento, sin el cual la parte no tendrá derecho a que el procedimiento impugnatorio se sustancie en todas sus fases y, en </w:t>
      </w:r>
      <w:r>
        <w:lastRenderedPageBreak/>
        <w:t>todo caso, a que se resuelva en el fondo. En la apelación civil, a tenor de lo establecido en el segundo inciso del apartado 6 de la disposición adicional decimoquinta, el requisito debe formalizarse antes de presentarse el escrito de preparación del recurso, de modo que la parte recurrente deberá aportar con éste, copia del resguardo del depósito ya efectuado en la cuenta de depósitos y consignaciones del órgano judicial correspondiente. La consecuencia de no constituir el depósito será la no admisión a trámite del recurso, según indica el párrafo primero del apartado 7 de dicha disposición adicional.</w:t>
      </w:r>
    </w:p>
    <w:p w:rsidR="00D06117" w:rsidRDefault="00D06117" w:rsidP="00D06117">
      <w:pPr>
        <w:pStyle w:val="TextoNormal"/>
      </w:pPr>
    </w:p>
    <w:p w:rsidR="00D06117" w:rsidRDefault="00D06117" w:rsidP="00D06117">
      <w:pPr>
        <w:pStyle w:val="TextoNormal"/>
      </w:pPr>
      <w:r>
        <w:t>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la apertura de un plazo de dos días, añade la norma, “para la subsanación del defecto, con aportación en su caso de documentación acreditativa” (apartado 7, párrafo segundo). Sólo en caso de que la parte incumpla ese requerimiento, precisa la norma, “se dictará auto que ponga fin al trámite del recurso” (apartado 7, último párrafo, de la disposición adicional decimoquinta LOPJ).</w:t>
      </w:r>
    </w:p>
    <w:p w:rsidR="00D06117" w:rsidRDefault="00D06117" w:rsidP="00D06117">
      <w:pPr>
        <w:pStyle w:val="TextoNormal"/>
      </w:pPr>
    </w:p>
    <w:p w:rsidR="00D06117" w:rsidRDefault="00D06117" w:rsidP="00D06117">
      <w:pPr>
        <w:pStyle w:val="TextoNormal"/>
      </w:pPr>
      <w:r>
        <w:t>Podría suscitar alguna duda la interpretación del término “defecto”, que se emplea dos veces en el mismo párrafo (primero, como una de las tres modalidades de incumplimiento del acto de depósito y después, para referirse al objeto de la subsanación). Sin embargo, para que el precepto en su conjunto tenga sentido y, consecuentemente, su interpretación no pueda ser tachada de irrazonable, arbitraria o no favorecedora de la efectividad del derecho fundamental —el derecho al recurso legalmente previsto (art. 24.1 CE)—, que son los parámetros a que ha de atenerse este Tribunal para examinar la viabilidad constitucional del fallo cuestionado, lo lógico es considerar que el “defecto” es corregible en los tres supuestos indicados, por tanto, también en el caso de falta de constitución total o parcial del depósito (“omisión”). Si hubiera pretendido otra cosa, al legislador le hubiera bastado con indicar el único supuesto subsanable, sin referirse a otros. Esto, no obstante, hubiera implicado dejar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w:t>
      </w:r>
    </w:p>
    <w:p w:rsidR="00D06117" w:rsidRDefault="00D06117" w:rsidP="00D06117">
      <w:pPr>
        <w:pStyle w:val="TextoNormal"/>
      </w:pPr>
    </w:p>
    <w:p w:rsidR="00D06117" w:rsidRDefault="00D06117" w:rsidP="00D06117">
      <w:pPr>
        <w:pStyle w:val="TextoNormal"/>
      </w:pPr>
      <w:r w:rsidRPr="00D06117">
        <w:rPr>
          <w:rStyle w:val="NumeroAFNegritaCaracter"/>
        </w:rPr>
        <w:t>4</w:t>
      </w:r>
      <w:r>
        <w:t>. Aplicados los razonamientos anteriores al caso sometido a nuestra consideración, la respuesta ha de ser favorable a la concesión del amparo solicitado. En efecto, si bien es cierto que el recurrente no cumplió con la obligatoria constitución del depósito al tiempo de deducir su escrito de preparación de su recurso, no lo es menos que el Juzgado faltó también al deber de advertirle de la necesidad de hacerlo cuando le notificó la Sentencia, y tampoco después ordenó de oficio la apertura del trámite de dos días a que alude el apartado 7 de la norma, para darle la ocasión de subsanar. El procedimiento continuó regularmente hasta la fase siguiente en la que, percatado el propio recurrente de su omisión, procedió a corregirla, lo que el Juzgado consintió, al menos tácitamente, al proveer de manera positiva a la interposición del recurso con pleno conocimiento del hecho del depósito.</w:t>
      </w:r>
    </w:p>
    <w:p w:rsidR="00D06117" w:rsidRDefault="00D06117" w:rsidP="00D06117">
      <w:pPr>
        <w:pStyle w:val="TextoNormal"/>
      </w:pPr>
    </w:p>
    <w:p w:rsidR="00D06117" w:rsidRDefault="00D06117" w:rsidP="00D06117">
      <w:pPr>
        <w:pStyle w:val="TextoNormal"/>
      </w:pPr>
      <w:r>
        <w:t>La ulterior decisión de la Audiencia negando validez a la decisión de subsanación resuelta por el Juzgado, acordando la desestimación del recurso sin proveer a una decisión de fondo sobre los motivos planteados, ha de considerarse irrazonable y por ello vulneradora del derecho a al recurso legalmente establecido (art. 24.1 CE) del demandante de amparo.</w:t>
      </w:r>
    </w:p>
    <w:p w:rsidR="00D06117" w:rsidRDefault="00D06117" w:rsidP="00D06117">
      <w:pPr>
        <w:pStyle w:val="TextoNormal"/>
      </w:pPr>
    </w:p>
    <w:p w:rsidR="00D06117" w:rsidRDefault="00D06117" w:rsidP="00D06117">
      <w:pPr>
        <w:pStyle w:val="TextoNormal"/>
      </w:pPr>
      <w:r>
        <w:t>En consecuencia, procede estimar la demanda de amparo, declarando la nulidad de las dos resoluciones judiciales impugnadas, y ordenar la retroacción de las actuaciones al momento inmediatamente anterior a la Sentencia de apelación, para que la Sección juzgadora dicte nueva resolución respetuosa con el derecho fundamental reconocido.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interpuesto por don Tomás Chiscano Andújar y, en su virtud:</w:t>
      </w:r>
    </w:p>
    <w:p w:rsidR="00D06117" w:rsidRDefault="00D06117" w:rsidP="00D06117">
      <w:pPr>
        <w:pStyle w:val="TextoNormal"/>
      </w:pPr>
    </w:p>
    <w:p w:rsidR="00D06117" w:rsidRDefault="00D06117" w:rsidP="00D06117">
      <w:pPr>
        <w:pStyle w:val="TextoNormal"/>
      </w:pPr>
      <w:r>
        <w:t>1º Reconocer su derecho fundamental a la tutela judicial efectiva (art. 24.1 CE).</w:t>
      </w:r>
    </w:p>
    <w:p w:rsidR="00D06117" w:rsidRDefault="00D06117" w:rsidP="00D06117">
      <w:pPr>
        <w:pStyle w:val="TextoNormal"/>
      </w:pPr>
    </w:p>
    <w:p w:rsidR="00D06117" w:rsidRDefault="00D06117" w:rsidP="00D06117">
      <w:pPr>
        <w:pStyle w:val="TextoNormal"/>
      </w:pPr>
      <w:r>
        <w:t>2º Declarar la nulidad de la Sentencia dictada por la Sección Tercera de la Audiencia Provincial de Badajoz con sede en Mérida, el 14 de junio de 2010 (rollo de apelación núm. 184-2010), así como la posterior providencia de 30 de junio de 2010, de inadmisión del incidente de nulidad promovido contra aquélla.</w:t>
      </w:r>
    </w:p>
    <w:p w:rsidR="00D06117" w:rsidRDefault="00D06117" w:rsidP="00D06117">
      <w:pPr>
        <w:pStyle w:val="TextoNormal"/>
      </w:pPr>
    </w:p>
    <w:p w:rsidR="00D06117" w:rsidRDefault="00D06117" w:rsidP="00D06117">
      <w:pPr>
        <w:pStyle w:val="TextoNormal"/>
      </w:pPr>
      <w:r>
        <w:t>3º Retrotraer las actuaciones al momento inmediatamente anterior al de recaer la Sentencia de apelación, para que por la Sección juzgadora se dicte nueva resolución respetuosa con el derecho fundamental reconocido.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4" w:name="SENTENCIA_2012_131"/>
      <w:r>
        <w:lastRenderedPageBreak/>
        <w:t>SENTENCIA 131/2012, de 18 de junio de 2012</w:t>
      </w:r>
    </w:p>
    <w:bookmarkEnd w:id="134"/>
    <w:p w:rsidR="00D06117" w:rsidRDefault="00D06117" w:rsidP="00D06117">
      <w:pPr>
        <w:pStyle w:val="TtuloResolucin"/>
      </w:pPr>
      <w:r>
        <w:t>Sala Segunda</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ECLI:ES:TC:2012:131</w:t>
      </w:r>
    </w:p>
    <w:p w:rsidR="00D06117" w:rsidRDefault="00D06117" w:rsidP="00D06117">
      <w:pPr>
        <w:pStyle w:val="SntesisDescriptiva"/>
      </w:pPr>
    </w:p>
    <w:p w:rsidR="00D06117" w:rsidRDefault="00D06117" w:rsidP="00D06117">
      <w:pPr>
        <w:pStyle w:val="SntesisDescriptiva"/>
      </w:pPr>
      <w:r>
        <w:t>Recurso de amparo 4865-2011. Promovido por don Rubén Villa Esnaola en relación con los Autos de la Audiencia Provincial de Vizcaya y de un Juzgado de Instrucción de Bilbao que archivaron las diligencias previas por un delito de torturas.</w:t>
      </w:r>
    </w:p>
    <w:p w:rsidR="00D06117" w:rsidRDefault="00D06117" w:rsidP="00D06117">
      <w:pPr>
        <w:pStyle w:val="SntesisDescriptiva"/>
      </w:pPr>
    </w:p>
    <w:p w:rsidR="00D06117" w:rsidRDefault="00D06117" w:rsidP="00D06117">
      <w:pPr>
        <w:pStyle w:val="SntesisAnaltica"/>
      </w:pPr>
      <w:r>
        <w:t>Vulneración del derecho a la tutela judicial efectiva en relación con el derecho a no ser sometido a torturas ni a tratos inhumanos o degradantes: investigación insuficiente de una denuncia de tortura o tratos inhumanos y degradantes que se dicen sufridos bajo custodia policial (STC 34/2008).</w:t>
      </w:r>
    </w:p>
    <w:p w:rsidR="00D06117" w:rsidRDefault="00D06117" w:rsidP="00D06117">
      <w:pPr>
        <w:pStyle w:val="SntesisAnaltica"/>
      </w:pPr>
    </w:p>
    <w:p w:rsidR="00D06117" w:rsidRDefault="00D06117" w:rsidP="00D06117">
      <w:pPr>
        <w:pStyle w:val="Extracto"/>
      </w:pPr>
      <w:r>
        <w:t>1.</w:t>
      </w:r>
      <w:r>
        <w:tab/>
        <w:t xml:space="preserve">Vulnera el derecho a la tutela judicial efectiva, </w:t>
      </w:r>
      <w:r w:rsidRPr="00D06117">
        <w:rPr>
          <w:i/>
        </w:rPr>
        <w:t>ex</w:t>
      </w:r>
      <w:r>
        <w:t xml:space="preserve"> art. 24.1 CE, en relación con el derecho a no ser sometido a tortura o tratos inhumanos o degradantes, </w:t>
      </w:r>
      <w:r w:rsidRPr="00D06117">
        <w:rPr>
          <w:i/>
        </w:rPr>
        <w:t>ex</w:t>
      </w:r>
      <w:r>
        <w:t xml:space="preserve"> art. 15 CE, la clausura de una investigación cuando persistiendo sospechas razonables de que el delito podía haberse cometido y existiendo la posibilidad de realizar diligencias, con medios disponibles e idóneos para despejar tales sospechas, no se acordase su práctica  [FFJJ 3, 5, 6].</w:t>
      </w:r>
    </w:p>
    <w:p w:rsidR="00D06117" w:rsidRDefault="00D06117" w:rsidP="00D06117">
      <w:pPr>
        <w:pStyle w:val="Extracto"/>
      </w:pPr>
    </w:p>
    <w:p w:rsidR="00D06117" w:rsidRDefault="00D06117" w:rsidP="00D06117">
      <w:pPr>
        <w:pStyle w:val="Extracto"/>
      </w:pPr>
      <w:r>
        <w:t>2.</w:t>
      </w:r>
      <w:r>
        <w:tab/>
        <w:t>Pese a la existencia de indicios, puede resultar razonable que no se prosiga con una investigación que no aclara la inexistencia de torturas pero que, sin embargo, ha agotado ya los medios razonables y eficaces de investigación, ya que el canon de la investigación suficiente se refiere tanto a la inexistencia de sospechas razonables, como a la utilidad de continuar con la instrucción (SSTC 34/2008, 107/2008) [FJ 5].</w:t>
      </w:r>
    </w:p>
    <w:p w:rsidR="00D06117" w:rsidRDefault="00D06117" w:rsidP="00D06117">
      <w:pPr>
        <w:pStyle w:val="Extracto"/>
      </w:pPr>
    </w:p>
    <w:p w:rsidR="00D06117" w:rsidRDefault="00D06117" w:rsidP="00D06117">
      <w:pPr>
        <w:pStyle w:val="Extracto"/>
      </w:pPr>
      <w:r>
        <w:t>3.</w:t>
      </w:r>
      <w:r>
        <w:tab/>
        <w:t>Doctrina sobre las exigencias, conforme al canon reforzado de motivación, de  las decisiones judiciales de sobreseimiento y archivo de instrucciones penales incoadas por denuncia de torturas o tratos inhumanos o degradantes (SSTC 34/2008, 69/2008, 63/2010; SSTEDH casos Kmetty c. Hungría, de 16 de diciembre de 2003 y Beristain Ukar c. España, de 16 de diciembre de 2003)  [FJ 2].</w:t>
      </w:r>
    </w:p>
    <w:p w:rsidR="00D06117" w:rsidRDefault="00D06117" w:rsidP="00D06117">
      <w:pPr>
        <w:pStyle w:val="Extracto"/>
      </w:pPr>
    </w:p>
    <w:p w:rsidR="00D06117" w:rsidRDefault="00D06117" w:rsidP="00D06117">
      <w:pPr>
        <w:pStyle w:val="Extracto"/>
      </w:pPr>
      <w:r>
        <w:t>4.</w:t>
      </w:r>
      <w:r>
        <w:tab/>
        <w:t>El testimonio inmediato del denunciante de torturas o de tratos inhumanos o degradantes ante el Juez instructor constituye un medio de indagación particularmente idóneo para corroborar o desmentir la credibilidad de la denuncia (SSTC 34/2008, 63/2010)  [FFJJ 2, 5].</w:t>
      </w:r>
    </w:p>
    <w:p w:rsidR="00D06117" w:rsidRDefault="00D06117" w:rsidP="00D06117">
      <w:pPr>
        <w:pStyle w:val="Extracto"/>
      </w:pPr>
    </w:p>
    <w:p w:rsidR="00D06117" w:rsidRDefault="00D06117" w:rsidP="00D06117">
      <w:pPr>
        <w:pStyle w:val="Extracto"/>
      </w:pPr>
      <w:r>
        <w:t>5.</w:t>
      </w:r>
      <w:r>
        <w:tab/>
        <w:t>La valoración del testimonio judicial del denunciante de torturas y de sus declaraciones previas ante los médicos, la policía o los órganos judiciales, debe reparar en que el efecto de la violencia ejercida sobre la libertad y las posibilidades de autodeterminación del individuo no deja de producirse en el momento en el que físicamente cesa aquélla y se le pone a disposición judicial, sino que su virtualidad coactiva normalmente pervivirá más allá de su práctica efectiva (SSTC 34/2008, 63/2010) [FFJJ 2, 4].</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La Sala Segunda del Tribunal Constitucional, compuesta por don Eugeni Gay Montalvo, Presidente, doña Elisa Pérez Vera, don Ramón Rodríguez Arribas,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4865-2011, promovido por don Rubén Villa Esnaola, representado por la Procuradora de los Tribunales doña Ana Isabel Lobera Argüelles y asistido por la Abogada doña Lorea Bilbao Gredilla, contra el Auto de la Sección Primera de la Audiencia Provincial de Vizcaya, de fecha 30 de mayo de 2011, que desestima el recurso de apelación interpuesto contra el Auto del Juzgado de Instrucción núm. 9 de Bilbao de 17 de marzo de 2011, confirmando el dictado el 19 de febrero de 2011, por el que acordaba el sobreseimiento provisional y archivo de las diligencias previas 3604-2010. Ha intervenido el Ministerio Fiscal. Ha sido Ponente la Magistrada doña Elisa Pérez Vera, quien expresa el parecer de la Sala.</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que tuvo entrada en el Registro General de este Tribunal el día 6 de septiembre de 2011, la Procuradora de los Tribunales doña Ana Isabel Lobera Argüelles, en nombre y representación de don Rubén Villa Esnaola, interpuso recurso de amparo contra las resoluciones judiciales que se citan en el encabezamiento.</w:t>
      </w:r>
    </w:p>
    <w:p w:rsidR="00D06117" w:rsidRDefault="00D06117" w:rsidP="00D06117">
      <w:pPr>
        <w:pStyle w:val="TextoNormal"/>
      </w:pPr>
    </w:p>
    <w:p w:rsidR="00D06117" w:rsidRDefault="00D06117" w:rsidP="00D06117">
      <w:pPr>
        <w:pStyle w:val="TextoNormal"/>
      </w:pPr>
      <w:r w:rsidRPr="00D06117">
        <w:rPr>
          <w:rStyle w:val="NumeroAFNegritaCaracter"/>
        </w:rPr>
        <w:t>2</w:t>
      </w:r>
      <w:r>
        <w:t>. Los hechos en los que tiene su origen el presente recurso y relevantes para su resolución son, sucintamente expuestos, los siguientes:</w:t>
      </w:r>
    </w:p>
    <w:p w:rsidR="00D06117" w:rsidRDefault="00D06117" w:rsidP="00D06117">
      <w:pPr>
        <w:pStyle w:val="TextoNormal"/>
      </w:pPr>
    </w:p>
    <w:p w:rsidR="00D06117" w:rsidRDefault="00D06117" w:rsidP="00D06117">
      <w:pPr>
        <w:pStyle w:val="TextoNormal"/>
      </w:pPr>
      <w:r>
        <w:t>a) El recurrente fue detenido por agentes del Cuerpo Nacional de Policía en Sestao sobre las 3,30 horas del día 22 de octubre de 2010. Tras su detención fue trasladado inicialmente a la comisaría de Indautxu, en Bilbao, y posteriormente a dependencias de la comisaría general de información del Cuerpo Nacional de Policía de Canillas (Madrid), donde permaneció en régimen de incomunicación hasta que fue puesto a disposición del Juzgado Central de Instrucción núm. 2, el día 25 de octubre de 2010, acordando el Juzgado su ingreso en prisión.</w:t>
      </w:r>
    </w:p>
    <w:p w:rsidR="00D06117" w:rsidRDefault="00D06117" w:rsidP="00D06117">
      <w:pPr>
        <w:pStyle w:val="TextoNormal"/>
      </w:pPr>
    </w:p>
    <w:p w:rsidR="00D06117" w:rsidRDefault="00D06117" w:rsidP="00D06117">
      <w:pPr>
        <w:pStyle w:val="TextoNormal"/>
      </w:pPr>
      <w:r>
        <w:t>b) El día 6 de noviembre de 2010, el recurrente interpuso ante el Juzgado de Guardia de Bilbao una denuncia por presunto delito de torturas del art. 173 y siguientes del Código penal, así como por vulneración del art. 15 CE y del art. 3 del Convenio europeo para la protección de los derechos humanos y de las libertades fundamentales.</w:t>
      </w:r>
    </w:p>
    <w:p w:rsidR="00D06117" w:rsidRDefault="00D06117" w:rsidP="00D06117">
      <w:pPr>
        <w:pStyle w:val="TextoNormal"/>
      </w:pPr>
    </w:p>
    <w:p w:rsidR="00D06117" w:rsidRDefault="00D06117" w:rsidP="00D06117">
      <w:pPr>
        <w:pStyle w:val="TextoNormal"/>
      </w:pPr>
      <w:r>
        <w:lastRenderedPageBreak/>
        <w:t>Los hechos denunciados son, en síntesis, haberle apretado las esposas excesivamente desde el principio, levantándole la piel de las muñecas; haberle desencajado el hombro derecho por la postura en la que estuvo esposado durante horas; haber recibido golpes en el brazo desencajado; haber recibido golpes en la cabeza, así como insultos y amenazas y haber sufrido interrogatorios constantes, con la finalidad de que prestara declaración y colaborase. Relata también que todo ello le provocó un gran dolor en el hombro y repetidos ataques de ansiedad.</w:t>
      </w:r>
    </w:p>
    <w:p w:rsidR="00D06117" w:rsidRDefault="00D06117" w:rsidP="00D06117">
      <w:pPr>
        <w:pStyle w:val="TextoNormal"/>
      </w:pPr>
    </w:p>
    <w:p w:rsidR="00D06117" w:rsidRDefault="00D06117" w:rsidP="00D06117">
      <w:pPr>
        <w:pStyle w:val="TextoNormal"/>
      </w:pPr>
      <w:r>
        <w:t>En el escrito de denuncia se solicita la práctica de los siguientes medios de investigación: declaración del denunciante ante el Juez instructor; que se aporten a la causa los informes practicados por el médico forense durante la detención, así como el informe médico de ingreso en prisión y que se tome declaración a los médicos forenses; que se identifique a los policías que participaron en la detención y custodia; que se aporten a la causa las declaraciones efectuadas tanto ante la policía como ante el Juez instructor; que se tome declaración al Abogado de oficio; que se aporten a la causa las grabaciones de videocámara efectuadas durante todo el periodo de la detención; reconocimiento físico y psicológico por un médico forense para esclarecer las posibles secuelas físicas y psíquicas; así como una exploración psicológica por un psicólogo de su confianza.</w:t>
      </w:r>
    </w:p>
    <w:p w:rsidR="00D06117" w:rsidRDefault="00D06117" w:rsidP="00D06117">
      <w:pPr>
        <w:pStyle w:val="TextoNormal"/>
      </w:pPr>
    </w:p>
    <w:p w:rsidR="00D06117" w:rsidRDefault="00D06117" w:rsidP="00D06117">
      <w:pPr>
        <w:pStyle w:val="TextoNormal"/>
      </w:pPr>
      <w:r>
        <w:t>c) La denuncia fue turnada al Juzgado de Instrucción núm. 9 de Bilbao que, por Auto de fecha 31 de diciembre de 2010, incoó las diligencias previas núm. 3604-2010. En dicha resolución se acordó, como única diligencia, requerir a la representación legal del denunciante para que facilitase la referencia del procedimiento y Juzgado que tramitaba la causa en relación con la cual fue detenido a fin de practicar gestiones encaminadas al esclarecimiento de los hechos investigados.</w:t>
      </w:r>
    </w:p>
    <w:p w:rsidR="00D06117" w:rsidRDefault="00D06117" w:rsidP="00D06117">
      <w:pPr>
        <w:pStyle w:val="TextoNormal"/>
      </w:pPr>
    </w:p>
    <w:p w:rsidR="00D06117" w:rsidRDefault="00D06117" w:rsidP="00D06117">
      <w:pPr>
        <w:pStyle w:val="TextoNormal"/>
      </w:pPr>
      <w:r>
        <w:t>Cumplida dicha diligencia, por providencia de fecha 21 de enero de 2011 se acordó requerir al Juzgado Central de Instrucción núm. 3 para que remitiera testimonio de los informes médico-forenses obrantes en las diligencias previas núm. 371-2009 relativos al demandante, así como testimonio del informe médico emitido en el momento de su ingreso en prisión.</w:t>
      </w:r>
    </w:p>
    <w:p w:rsidR="00D06117" w:rsidRDefault="00D06117" w:rsidP="00D06117">
      <w:pPr>
        <w:pStyle w:val="TextoNormal"/>
      </w:pPr>
    </w:p>
    <w:p w:rsidR="00D06117" w:rsidRDefault="00D06117" w:rsidP="00D06117">
      <w:pPr>
        <w:pStyle w:val="TextoNormal"/>
      </w:pPr>
      <w:r>
        <w:t>d) Una vez recibidos los informes médicos emitidos durante el periodo de detención incomunicada y sin practicar ninguna otra diligencia, el Juzgado de Instrucción dictó Auto de fecha 19 de febrero de 2011, por el que acuerda el sobreseimiento y archivo provisional de las actuaciones.</w:t>
      </w:r>
    </w:p>
    <w:p w:rsidR="00D06117" w:rsidRDefault="00D06117" w:rsidP="00D06117">
      <w:pPr>
        <w:pStyle w:val="TextoNormal"/>
      </w:pPr>
    </w:p>
    <w:p w:rsidR="00D06117" w:rsidRDefault="00D06117" w:rsidP="00D06117">
      <w:pPr>
        <w:pStyle w:val="TextoNormal"/>
      </w:pPr>
      <w:r>
        <w:t>En el apartado de hechos de dicha resolución se hacía constar que resulta de lo actuado que “pese a lo denunciado, no se han acreditado las torturas ni el trato degradante, puesto que todos los informes forenses, pruebas médicas objetivas, no relatan violencia física o psíquica, reseñando en los mismos un trato policial correcto. Incluso se desnuda para practicar reconocimiento, no apreciándose lesión ni señales de violencia, lucha o defensa. En el reconocimiento del 23 de octubre relata que no ha tenido ningún incidente desde los reconocimientos previos y que mejora del dolor del hombro derecho, volviendo a ser reconocido tras desnudarse sin observar ningún signo violento alguno. Los días 24 y 25 de octubre se repite el reconocimiento médico, con idéntico resultado.”</w:t>
      </w:r>
    </w:p>
    <w:p w:rsidR="00D06117" w:rsidRDefault="00D06117" w:rsidP="00D06117">
      <w:pPr>
        <w:pStyle w:val="TextoNormal"/>
      </w:pPr>
    </w:p>
    <w:p w:rsidR="00D06117" w:rsidRDefault="00D06117" w:rsidP="00D06117">
      <w:pPr>
        <w:pStyle w:val="TextoNormal"/>
      </w:pPr>
      <w:r>
        <w:lastRenderedPageBreak/>
        <w:t>En el fundamento jurídico 2 se declaraba: “En el presente caso, de las diligencias practicadas y como se ha expuesto en los antecedentes de esta resolución, no aparece suficientemente justificada la perpetración de una infracción penal, por lo que, de acuerdo con lo establecido en el art. 641.1 de la LECr., procede acordar el sobreseimiento provisional de las presentes diligencias.”</w:t>
      </w:r>
    </w:p>
    <w:p w:rsidR="00D06117" w:rsidRDefault="00D06117" w:rsidP="00D06117">
      <w:pPr>
        <w:pStyle w:val="TextoNormal"/>
      </w:pPr>
    </w:p>
    <w:p w:rsidR="00D06117" w:rsidRDefault="00D06117" w:rsidP="00D06117">
      <w:pPr>
        <w:pStyle w:val="TextoNormal"/>
      </w:pPr>
      <w:r>
        <w:t>e) Contra la anterior resolución de sobreseimiento la representación procesal del demandante de amparo interpuso recurso de reforma, desestimado por Auto de 17 de marzo de 2011, cuyo fundamento jurídico único argumenta que “la prueba más objetiva existente son los informes médico forenses”, que son “claros y contundentes en la evidencia de la ausencia de torturas al denunciante”.</w:t>
      </w:r>
    </w:p>
    <w:p w:rsidR="00D06117" w:rsidRDefault="00D06117" w:rsidP="00D06117">
      <w:pPr>
        <w:pStyle w:val="TextoNormal"/>
      </w:pPr>
    </w:p>
    <w:p w:rsidR="00D06117" w:rsidRDefault="00D06117" w:rsidP="00D06117">
      <w:pPr>
        <w:pStyle w:val="TextoNormal"/>
      </w:pPr>
      <w:r>
        <w:t>f) Contra dicha resolución se interpuso recurso de apelación, igualmente desestimado por Auto de la Sección Primera de la Audiencia Provincial de Bizkaia, de fecha 30 de mayo de 2011.</w:t>
      </w:r>
    </w:p>
    <w:p w:rsidR="00D06117" w:rsidRDefault="00D06117" w:rsidP="00D06117">
      <w:pPr>
        <w:pStyle w:val="TextoNormal"/>
      </w:pPr>
    </w:p>
    <w:p w:rsidR="00D06117" w:rsidRDefault="00D06117" w:rsidP="00D06117">
      <w:pPr>
        <w:pStyle w:val="TextoNormal"/>
      </w:pPr>
      <w:r>
        <w:t>En dicho Auto se argumenta que “no hay dato alguno en toda la causa que permita afirmar que exista indicio alguno de la comisión de un delito de tortura. No ofrece tampoco explicación plausible alguna sobre por qué a los médicos forenses les dice que el trato ha sido correcto y luego interpone una denuncia judicial. Los partes médicos son claros sobre la no existencia de maltrato alguno”.</w:t>
      </w:r>
    </w:p>
    <w:p w:rsidR="00D06117" w:rsidRDefault="00D06117" w:rsidP="00D06117">
      <w:pPr>
        <w:pStyle w:val="TextoNormal"/>
      </w:pPr>
    </w:p>
    <w:p w:rsidR="00D06117" w:rsidRDefault="00D06117" w:rsidP="00D06117">
      <w:pPr>
        <w:pStyle w:val="TextoNormal"/>
      </w:pPr>
      <w:r w:rsidRPr="00D06117">
        <w:rPr>
          <w:rStyle w:val="NumeroAFNegritaCaracter"/>
        </w:rPr>
        <w:t>3</w:t>
      </w:r>
      <w:r>
        <w:t>. El recurrente fundamenta su demanda de amparo en la vulneración de los derechos fundamentales a la integridad física y moral (art. 15 CE) y a la tutela judicial efectiva (art. 24.1 CE), en relación con el derecho a un proceso con todas las garantías y el derecho a la prueba (art. 24.2 CE).</w:t>
      </w:r>
    </w:p>
    <w:p w:rsidR="00D06117" w:rsidRDefault="00D06117" w:rsidP="00D06117">
      <w:pPr>
        <w:pStyle w:val="TextoNormal"/>
      </w:pPr>
    </w:p>
    <w:p w:rsidR="00D06117" w:rsidRDefault="00D06117" w:rsidP="00D06117">
      <w:pPr>
        <w:pStyle w:val="TextoNormal"/>
      </w:pPr>
      <w:r>
        <w:t>Como primer motivo de amparo, y bajo la invocación del art. 15 CE, se argumenta que el escrito de denuncia presentado ante el Juzgado de Instrucción de Bilbao no deja lugar a dudas en cuanto a que el denunciante afirma que fue víctima de agresiones físicas y verbales de diversa intensidad por parte de la policía nacional, pesa a lo cual los órganos judiciales no articularon un procedimiento judicial que permitiera una reparación jurídica suficiente del derecho fundamental a la integridad física y moral.</w:t>
      </w:r>
    </w:p>
    <w:p w:rsidR="00D06117" w:rsidRDefault="00D06117" w:rsidP="00D06117">
      <w:pPr>
        <w:pStyle w:val="TextoNormal"/>
      </w:pPr>
    </w:p>
    <w:p w:rsidR="00D06117" w:rsidRDefault="00D06117" w:rsidP="00D06117">
      <w:pPr>
        <w:pStyle w:val="TextoNormal"/>
      </w:pPr>
      <w:r>
        <w:t>Como segundo motivo de amparo, se denuncia que las resoluciones dictadas en el presente procedimiento constituyen un supuesto de ineficaz recurso a los jueces y Tribunales, vulnerador de los art. 24.1 y 24.2 CE, puesto que se acordó el sobreseimiento provisional y archivo de las diligencias penales incoadas por torturas sin razones bastantes y sin haber practicado antes todas las diligencias de investigación disponibles para esclarecer los hechos denunciados.</w:t>
      </w:r>
    </w:p>
    <w:p w:rsidR="00D06117" w:rsidRDefault="00D06117" w:rsidP="00D06117">
      <w:pPr>
        <w:pStyle w:val="TextoNormal"/>
      </w:pPr>
    </w:p>
    <w:p w:rsidR="00D06117" w:rsidRDefault="00D06117" w:rsidP="00D06117">
      <w:pPr>
        <w:pStyle w:val="TextoNormal"/>
      </w:pPr>
      <w:r>
        <w:t xml:space="preserve">Con cita de abundante doctrina del Tribunal Constitucional (SSTC 224/2007, de 22 de octubre; 34/2008, de 25 de febrero; 52/2008, de 14 de abril; 69/2008 de 23 de junio; 107/2008, de 22 de septiembre y 63/2010, de 18 de octubre), siguiendo la doctrina del Tribunal Europeo de Derechos Humanos se recuerda en la demanda que en estos casos el derecho a la tutela judicial efectiva sólo se satisface si se produce una investigación suficiente y efectiva de lo denunciado. Se trata de una tutela judicial doblemente reforzada, pues se pide frente a un derecho absoluto cuya indemnidad depende esencialmente de dicha tutela </w:t>
      </w:r>
      <w:r>
        <w:lastRenderedPageBreak/>
        <w:t>judicial. Y en el presente caso, la limitación de lo investigado resulta evidente, porque de todas las diligencias propuestas el instructor sólo llevó a cabo una de ellas (la incorporación de los informes médico forenses), sin tomar declaración a los forenses como se solicitaba, y sin practicar ninguna de las restantes diligencias propuestas (reconocimiento físico y psicológico del denunciante; identificación y declaración de los agentes policiales que participaron en la detención y custodia; aportación a la causa de las grabaciones realizadas durante los días de detención incomunicada; declaración de los abogados de oficio), que eran imprescindibles para aclarar lo sucedido. Se destaca especialmente que ni siquiera se recibió declaración al denunciante a efectos de ratificación de su denuncia, sin que el Juzgado dé razón alguna para ello, que no sea otra que la inexistencia de una acreditación objetiva de la existencia de lesiones. Destaca la demanda que, ante las dificultades probatorias de este tipo de delitos, la declaración del denunciante resultaba esencial, para poder apreciar la credibilidad y verosimilitud de lo denunciado, cosa que difícilmente puede hacerse sin ni siquiera escuchar su versión de los hechos. Pese a lo cual los órganos judiciales niegan credibilidad a la denuncia ignorando los principios de inmediación, contradicción y oralidad. En relación con la importancia de dicha declaración cita y reproduce parcialmente la STC 63/2010, de 18 de octubre.</w:t>
      </w:r>
    </w:p>
    <w:p w:rsidR="00D06117" w:rsidRDefault="00D06117" w:rsidP="00D06117">
      <w:pPr>
        <w:pStyle w:val="TextoNormal"/>
      </w:pPr>
    </w:p>
    <w:p w:rsidR="00D06117" w:rsidRDefault="00D06117" w:rsidP="00D06117">
      <w:pPr>
        <w:pStyle w:val="TextoNormal"/>
      </w:pPr>
      <w:r>
        <w:t>Por otra parte, se cuestiona la motivación de las resoluciones judiciales impugnadas, destacando que el Auto de 19 de febrero de 2011 sobresee la causa sobre la base de que los hechos no quedan acreditados por los informes médicos y de que en los mismos se reseña un trato policial correcto, cuando la jurisprudencia del Tribunal Constitucional ha establecido que la ausencia de signos de agresiones físicas carece de fuerza suficiente para despejar toda sospecha de la existencia de malos tratos y que tampoco el hecho de que el denunciante no mencionara al forense los malos tratos puede ser suficiente para el archivo de las actuaciones. El Auto de 17 de marzo de 2011, que desestimó el recurso de reforma, se limita a entender correcto el sobreseimiento, sin aportar ninguna otra razón. Y el Auto de 30 de mayo de 2011, ratifica los anteriores también con los mismos argumentos.</w:t>
      </w:r>
    </w:p>
    <w:p w:rsidR="00D06117" w:rsidRDefault="00D06117" w:rsidP="00D06117">
      <w:pPr>
        <w:pStyle w:val="TextoNormal"/>
      </w:pPr>
    </w:p>
    <w:p w:rsidR="00D06117" w:rsidRDefault="00D06117" w:rsidP="00D06117">
      <w:pPr>
        <w:pStyle w:val="TextoNormal"/>
      </w:pPr>
      <w:r w:rsidRPr="00D06117">
        <w:rPr>
          <w:rStyle w:val="NumeroAFNegritaCaracter"/>
        </w:rPr>
        <w:t>4</w:t>
      </w:r>
      <w:r>
        <w:t>. Por providencia de 16 de febrero de 2011, la Sala Segunda acordó la admisión a trámite de la demanda y, a tenor de lo dispuesto en el art. 51 de la Ley Orgánica del Tribunal Constitucional (LOTC), requerir al Juzgado de Instrucción núm. 9 de Bilbao y a la Sección Primera de la Audiencia Provincial de Vizcaya, para que en el plazo de diez días remitieran testimonio de las diligencias previas 3604-2010 y del rollo de apelación 183-2011-1, interesándose al tiempo que se emplazara a quienes fueron parte en el procedimiento, a excepción del recurrente en amparo, para que en el plazo de diez días pudieran comparecer en este proceso constitucional.</w:t>
      </w:r>
    </w:p>
    <w:p w:rsidR="00D06117" w:rsidRDefault="00D06117" w:rsidP="00D06117">
      <w:pPr>
        <w:pStyle w:val="TextoNormal"/>
      </w:pPr>
    </w:p>
    <w:p w:rsidR="00D06117" w:rsidRDefault="00D06117" w:rsidP="00D06117">
      <w:pPr>
        <w:pStyle w:val="TextoNormal"/>
      </w:pPr>
      <w:r w:rsidRPr="00D06117">
        <w:rPr>
          <w:rStyle w:val="NumeroAFNegritaCaracter"/>
        </w:rPr>
        <w:t>5</w:t>
      </w:r>
      <w:r>
        <w:t>. Una vez recibidas las actuaciones, a través de una diligencia de ordenación de la Secretaría de Justicia de la Sala Segunda se acordó dar vista de las mismas a la parte recurrente y al Ministerio público por término de veinte días, dentro de los cuales podrían presentar las alegaciones que estimasen pertinentes, conforme a lo establecido en el art. 52.1 LOTC.</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El día 25 de abril de 2012 presentó sus alegaciones el Ministerio Fiscal, interesando el otorgamiento del amparo por vulneración del derecho del recurrente a la tutela judicial efectiva (art. 24.1 CE), en relación con el derecho a no ser sometido a torturas ni a tratos </w:t>
      </w:r>
      <w:r>
        <w:lastRenderedPageBreak/>
        <w:t>inhumanos o degradantes (art. 15 CE). Solicita el Fiscal que se declare la nulidad de las resoluciones recurridas y se acuerde la retroacción de las actuaciones.</w:t>
      </w:r>
    </w:p>
    <w:p w:rsidR="00D06117" w:rsidRDefault="00D06117" w:rsidP="00D06117">
      <w:pPr>
        <w:pStyle w:val="TextoNormal"/>
      </w:pPr>
    </w:p>
    <w:p w:rsidR="00D06117" w:rsidRDefault="00D06117" w:rsidP="00D06117">
      <w:pPr>
        <w:pStyle w:val="TextoNormal"/>
      </w:pPr>
      <w:r>
        <w:t>Tras exponer los antecedentes procesales del caso, sintetiza el Fiscal la doctrina de este Tribunal acerca de las exigencias constitucionales, derivadas tanto del art. 15 CE como del art. 24 CE, en relación con decisiones judiciales de archivo y sobreseimiento de investigaciones penales por denuncia de torturas, tratos inhumanos o degradantes, citando las SSTC 224/2007, 34/2008, 52/2008, 63/2008, 69/2008, 107/2008. 123/2008, 40/2010 y 63/2010. Dicha doctrina, que sigue la jurisprudencia del Tribunal Europeo de Derechos Humanos en tres Sentencias fundamentales (SSTEDH caso Martínez Salas y otros c. España, 2 de noviembre de 2004, § 156 y ss.; caso San Argimiro Isasa c. España, 28 septiembre 2010, § 34 y ss.; y caso Beristain Ukar c. España, 8 marzo 2011, § 28 y ss.), tiene cuatro líneas básicas según el Fiscal.</w:t>
      </w:r>
    </w:p>
    <w:p w:rsidR="00D06117" w:rsidRDefault="00D06117" w:rsidP="00D06117">
      <w:pPr>
        <w:pStyle w:val="TextoNormal"/>
      </w:pPr>
    </w:p>
    <w:p w:rsidR="00D06117" w:rsidRDefault="00D06117" w:rsidP="00D06117">
      <w:pPr>
        <w:pStyle w:val="TextoNormal"/>
      </w:pPr>
      <w:r>
        <w:t>En primer lugar, en estos casos el examen de la pretensión de amparo debe llevarse a cabo de forma conjunta, de tal modo que el objeto de enjuiciamiento constitucional debe consistir en determinar si las resoluciones judiciales impugnadas han vulnerado el derecho a la tutela judicial efectiva (art. 24.1 CE) en relación con el derecho a la integridad física y moral (art.15 CE).</w:t>
      </w:r>
    </w:p>
    <w:p w:rsidR="00D06117" w:rsidRDefault="00D06117" w:rsidP="00D06117">
      <w:pPr>
        <w:pStyle w:val="TextoNormal"/>
      </w:pPr>
    </w:p>
    <w:p w:rsidR="00D06117" w:rsidRDefault="00D06117" w:rsidP="00D06117">
      <w:pPr>
        <w:pStyle w:val="TextoNormal"/>
      </w:pPr>
      <w:r>
        <w:t>En segundo lugar, la efectividad y suficiencia de la tutela judicial coincide con la suficiencia de la investigación judicial y depende no sólo de que las resoluciones judiciales que acuerdan el sobreseimiento y archivo de las actuaciones penales estén motivadas y jurídicamente fundadas, sino también de que sean conformes con el derecho a no sufrir torturas, ni tratos inhumanos o degradantes. El respeto al derecho a la tutela judicial efectiva exige, por tanto, del cumplimiento de un canon reforzado.</w:t>
      </w:r>
    </w:p>
    <w:p w:rsidR="00D06117" w:rsidRDefault="00D06117" w:rsidP="00D06117">
      <w:pPr>
        <w:pStyle w:val="TextoNormal"/>
      </w:pPr>
    </w:p>
    <w:p w:rsidR="00D06117" w:rsidRDefault="00D06117" w:rsidP="00D06117">
      <w:pPr>
        <w:pStyle w:val="TextoNormal"/>
      </w:pPr>
      <w:r>
        <w:t>En consecuencia, se vulnera el derecho fundamental cuando no se abre o se clausura una instrucción existiendo sospechas razonables de que se ha podido cometer el delito de torturas o de tratos inhumanos o degradantes denunciado, y cuando tales sospechas se revelen como susceptibles de ser despejadas.</w:t>
      </w:r>
    </w:p>
    <w:p w:rsidR="00D06117" w:rsidRDefault="00D06117" w:rsidP="00D06117">
      <w:pPr>
        <w:pStyle w:val="TextoNormal"/>
      </w:pPr>
    </w:p>
    <w:p w:rsidR="00D06117" w:rsidRDefault="00D06117" w:rsidP="00D06117">
      <w:pPr>
        <w:pStyle w:val="TextoNormal"/>
      </w:pPr>
      <w:r>
        <w:t>Y, por último, el Tribunal destaca que debe prestarse una atención especial a las concretas circunstancias concurrentes en cada caso para evaluar si existe una sospecha razonable de tortura y si tal sospecha es disipable, lo que convertiría en inconstitucional ex art. 24.1 CE el cierre de la investigación.</w:t>
      </w:r>
    </w:p>
    <w:p w:rsidR="00D06117" w:rsidRDefault="00D06117" w:rsidP="00D06117">
      <w:pPr>
        <w:pStyle w:val="TextoNormal"/>
      </w:pPr>
    </w:p>
    <w:p w:rsidR="00D06117" w:rsidRDefault="00D06117" w:rsidP="00D06117">
      <w:pPr>
        <w:pStyle w:val="TextoNormal"/>
      </w:pPr>
      <w:r>
        <w:t>La aplicación de dicha jurisprudencia al presente caso exige, en opinión del Fiscal, comprobar, en primer término, si en el momento de acordarse el archivo de la investigación penal existían o no sospechas razonables acerca de la posible comisión de los hechos denunciados. Y, en segundo lugar, si existían todavía medios de investigación disponibles para despejar convenientemente las dudas.</w:t>
      </w:r>
    </w:p>
    <w:p w:rsidR="00D06117" w:rsidRDefault="00D06117" w:rsidP="00D06117">
      <w:pPr>
        <w:pStyle w:val="TextoNormal"/>
      </w:pPr>
    </w:p>
    <w:p w:rsidR="00D06117" w:rsidRDefault="00D06117" w:rsidP="00D06117">
      <w:pPr>
        <w:pStyle w:val="TextoNormal"/>
      </w:pPr>
      <w:r>
        <w:t xml:space="preserve">Los órganos judiciales fundamentan su decisión de archivo en la inexistencia de lesiones objetivas de conformidad con el contenido de los diferentes informes médicos forenses obrantes en la causa. Sin embargo, de conformidad con la jurisprudencia constitucional, la ausencia de constatación en los informes forenses de la existencia de lesiones o de violencia física objetivable no es un dato absolutamente relevante para descartar la verosimilitud de </w:t>
      </w:r>
      <w:r>
        <w:lastRenderedPageBreak/>
        <w:t>los hechos denunciados. El relato del denunciante es compatible con la ausencia de signos visibles de violencia física y como declara la STC 107/2008, FJ 3, “la ausencia de signos de agresiones físicas carece de la fuerza suficiente para despejar toda sospecha, habida cuenta de que parte de los malos tratos denunciados, por sus propias características, pueden no dejar marcas o señales de su comisión” [en la misma línea, STC 63/2010, FJ 3 a)]. Conclusión que es perfectamente aplicable al presente caso a la vista de los concretos hechos denunciados por el demandante.</w:t>
      </w:r>
    </w:p>
    <w:p w:rsidR="00D06117" w:rsidRDefault="00D06117" w:rsidP="00D06117">
      <w:pPr>
        <w:pStyle w:val="TextoNormal"/>
      </w:pPr>
    </w:p>
    <w:p w:rsidR="00D06117" w:rsidRDefault="00D06117" w:rsidP="00D06117">
      <w:pPr>
        <w:pStyle w:val="TextoNormal"/>
      </w:pPr>
      <w:r>
        <w:t>Tampoco considera el Fiscal concluyente para excluir toda sospecha de malos tratos que el recurrente manifestara a los médicos forenses que el trato policial había sido correcto, sin incidentes de violencia física y/o verbal. Lo cierto es que el propio recurrente narró en su denuncia que cuando se quedaba solo con la médico forense “tenía miedo de que los policías estuvieran escuchando lo que le contaba aunque estábamos los dos solos en la habitación se quedaban fuera en la puerta y en silencio, así que le dije que el trato policial había sido correcto”. Ofreció, por tanto, una razón que justificaba su silencio ante el médico forense. Razón que no resulta inverosímil, pues el demandante continuaba en situación de detención incomunicada. Por otro lado, resulta altamente cuestionable que se censure la falta de verosimilitud del relato del denunciante cuando no se le dio ni siquiera la oportunidad de prestar declaración judicial, ratificando, matizando o ampliando su denuncia.</w:t>
      </w:r>
    </w:p>
    <w:p w:rsidR="00D06117" w:rsidRDefault="00D06117" w:rsidP="00D06117">
      <w:pPr>
        <w:pStyle w:val="TextoNormal"/>
      </w:pPr>
    </w:p>
    <w:p w:rsidR="00D06117" w:rsidRDefault="00D06117" w:rsidP="00D06117">
      <w:pPr>
        <w:pStyle w:val="TextoNormal"/>
      </w:pPr>
      <w:r>
        <w:t>Se añade que determinados datos objetivos de la denuncia aparecen corroborados por los informes médico forenses, “por lo que no es posible descartar, prima facie, plenamente la verosimilitud de los hechos denunciados. Los informes forenses acreditaron la existencia de dolor en el hombro derecho y en la espalda, eritemas en ambas muñecas, marcada ansiedad y labilidad emocional con tendencia al llanto; manifestó estar muy nervioso y preocupado por su familia. Datos que coinciden con aspectos de su posterior relato, en donde manifestó que le retorcieron tan fuerte las esposas que le llegaron a levantar la piel de las muñecas, que debido a la postura en que iba esposado tuvo un dolor intenso en el hombro derecho que persistió. Relata, también varios episodios de ansiedad y llanto durante su detención, así como su preocupación por la familia. Datos todo ellos compatibles con la administración por el médico forense de Ibuprofeno y Lexatin”. Por ello, estima el Fiscal que —en paralelo a lo que se decidió en la STC 69/2008, FJ 3— aunque las sospechas no sean “contundentes”, desde la perspectiva constitucional sí pueden calificarse de “suficientes” para continuar la investigación judicial, estimando que el razonamiento esgrimido por los órganos judiciales para entender que no existían sospechas razonables no cumple con el estándar constitucional reforzado derivado del derecho a la tutela judicial efectiva (art. 24.1 CE), en relación con el derecho a la integridad física y moral (art. 25 CE). “La no constatación de lesiones físicas en los reconocimientos médico-forenses es un argumento insuficiente para fundamentar la decisión judicial de archivo de la investigación, en línea con lo afirmado por el TEDH, más en un supuesto en que ni siquiera se escuchó al demandante (vid. STEDH caso Beristain Ukar c. España, de 8 marzo 2011, § 33)”.</w:t>
      </w:r>
    </w:p>
    <w:p w:rsidR="00D06117" w:rsidRDefault="00D06117" w:rsidP="00D06117">
      <w:pPr>
        <w:pStyle w:val="TextoNormal"/>
      </w:pPr>
    </w:p>
    <w:p w:rsidR="00D06117" w:rsidRDefault="00D06117" w:rsidP="00D06117">
      <w:pPr>
        <w:pStyle w:val="TextoNormal"/>
      </w:pPr>
      <w:r>
        <w:t xml:space="preserve">A la vista de lo cual, considera el Fiscal que en el presente caso los órganos judiciales no agotaron los medios razonables y eficaces que tenían a su disposición para llevar a cabo una investigación suficiente de las torturas y malos tratos denunciados por el demandante al objeto de confirmar o desmentir la credibilidad de la denuncia presentada. El Juez de Instrucción se limitó a aportar a la causa los informes de reconocimiento médico-forenses practicados durante la situación de detención incomunicada del demandante, sin acordar ninguna </w:t>
      </w:r>
      <w:r>
        <w:lastRenderedPageBreak/>
        <w:t>otra diligencia encaminada al esclarecimiento de los hechos, lo que a la vista de las circunstancias concurrentes resulta notoriamente insuficiente. Cita en este sentido la STEDH caso Martínez Sala y otros contra España, 2 noviembre 2004, § 158. Ni siquiera se aportó a la causa el testimonio del informe médico elaborado en el momento del ingreso en prisión del demandante, tal como había sido acordado por el Juzgado mediante providencia de fecha 21 de enero de 2011. Nada se acordó sobre la toma de declaración judicial del propio demandante, solicitada por éste en su escrito de denuncia y reiterada en sus posteriores escritos de reforma y apelación, una diligencia especialmente relevante para valorar la verosimilitud del contenido de la denuncia, como ha puesto de relieve el Tribunal. Tampoco se aportaron a la causa las previas declaraciones que el demandante había prestado tanto en dependencias policiales como ante el Juzgado Central de Instrucción. No se interrogó al médico forense al efecto de averiguar las razones que le llevaron a prescribir al detenido Lexatin en varias ocasiones mientras duró la situación de detención. Y tampoco se acordó la declaración judicial del Abogado de oficio que asistió al denunciante durante su situación de detención, declaración que la doctrina constitucional ha calificado, en determinados casos, de útil y relevante (vid. STC 52/2008, FJ 5, in fine).</w:t>
      </w:r>
    </w:p>
    <w:p w:rsidR="00D06117" w:rsidRDefault="00D06117" w:rsidP="00D06117">
      <w:pPr>
        <w:pStyle w:val="TextoNormal"/>
      </w:pPr>
    </w:p>
    <w:p w:rsidR="00D06117" w:rsidRDefault="00D06117" w:rsidP="00D06117">
      <w:pPr>
        <w:pStyle w:val="TextoNormal"/>
      </w:pPr>
      <w:r>
        <w:t>En definitiva, entiende el Fiscal que en el presente caso no se dio cumplimiento al mandato especial, derivado del art. 15 CE, de agotar cuantas posibilidades razonables de indagación resultaban útiles para el adecuado esclarecimiento de los hechos denunciados.</w:t>
      </w:r>
    </w:p>
    <w:p w:rsidR="00D06117" w:rsidRDefault="00D06117" w:rsidP="00D06117">
      <w:pPr>
        <w:pStyle w:val="TextoNormal"/>
      </w:pPr>
    </w:p>
    <w:p w:rsidR="00D06117" w:rsidRDefault="00D06117" w:rsidP="00D06117">
      <w:pPr>
        <w:pStyle w:val="TextoNormal"/>
      </w:pPr>
      <w:r w:rsidRPr="00D06117">
        <w:rPr>
          <w:rStyle w:val="NumeroAFNegritaCaracter"/>
        </w:rPr>
        <w:t>7</w:t>
      </w:r>
      <w:r>
        <w:t>. Por providencia de 14 de junio de 2012 se señaló para deliberación y votación de la presente Sentencia el día 18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En la presente demanda de amparo el recurrente imputa a las resoluciones judiciales impugnadas la vulneración de sus derechos a la integridad física y moral (art. 15 CE), a la tutela judicial efectiva (art. 24.1 CE) y a un proceso con todas las garantías (art. 24.2 CE) al haber acordado los órganos judiciales el sobreseimiento provisional y el archivo de unas diligencias penales incoadas por una denuncia de torturas sin razones bastantes y sin haber practicado antes todas las diligencias de investigación disponibles para esclarecer los hechos denunciados.</w:t>
      </w:r>
    </w:p>
    <w:p w:rsidR="00D06117" w:rsidRDefault="00D06117" w:rsidP="00D06117">
      <w:pPr>
        <w:pStyle w:val="TextoNormal"/>
      </w:pPr>
    </w:p>
    <w:p w:rsidR="00D06117" w:rsidRDefault="00D06117" w:rsidP="00D06117">
      <w:pPr>
        <w:pStyle w:val="TextoNormal"/>
      </w:pPr>
      <w:r>
        <w:t>El Ministerio Fiscal también considera concurrentes las vulneraciones denunciadas y solicita el otorgamiento del amparo, en los términos expuestos en los Antecedentes de esta resolución.</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Conforme a nuestra doctrina sobre las exigencias constitucionales, derivadas tanto del art. 15 CE como del art. 24 CE, en relación con decisiones judiciales de sobreseimiento y archivo de instrucciones penales incoadas por denuncia de torturas o tratos inhumanos o degradantes —como destacábamos en las SSTC 69/2008, de 23 de junio, FJ 2, y 63/2010, de 18 de octubre, FJ 2—, el correcto encuadramiento de las quejas del recurrente en amparo requiere su conjunta consideración, debiendo consistir nuestro enjuiciamiento en determinar si las resoluciones judiciales impugnadas han vulnerado su derecho a la tutela judicial efectiva (art. 24.1 CE) en relación con el derecho a la integridad física y moral (art. 15 CE). Efectividad y suficiencia de la tutela judicial que, en estos casos, coincide con la suficiencia </w:t>
      </w:r>
      <w:r>
        <w:lastRenderedPageBreak/>
        <w:t>de la indagación judicial y dependerá, no sólo de que las decisiones de sobreseimiento libre y archivo de las diligencias penales estén motivadas y jurídicamente fundadas, sino también de que sean conformes con el derecho fundamental a no sufrir torturas, ni tratos inhumanos o degradantes.</w:t>
      </w:r>
    </w:p>
    <w:p w:rsidR="00D06117" w:rsidRDefault="00D06117" w:rsidP="00D06117">
      <w:pPr>
        <w:pStyle w:val="TextoNormal"/>
      </w:pPr>
    </w:p>
    <w:p w:rsidR="00D06117" w:rsidRDefault="00D06117" w:rsidP="00D06117">
      <w:pPr>
        <w:pStyle w:val="TextoNormal"/>
      </w:pPr>
      <w:r>
        <w:t>En consecuencia, y siguiendo la jurisprudencia del Tribunal Europeo de Derechos Humanos sobre este particular (por todas, SSTEDH de 16 de diciembre de 2003, caso Kmetty c. Hungría, § 37; de 2 de noviembre de 2004, caso Martínez Sala y otros c. España, § 156; 28 de septiembre de 2010, caso San Argimiro Isasa c. España, § 41; y de 8 de marzo de 2011, caso Beristain Ukar c. España, § 28 y ss.), nuestra doctrina establece que el derecho a la tutela judicial efectiva de quien denuncia haber sido víctima de torturas o de tratos inhumanos o degradantes exige, según el canon reforzado de motivación, una resolución cuya motivación sea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Por ello, “la tutela judicial será así suficiente y efectiva ex art. 24.1 CE si se ha producido una investigación oficial eficaz allí donde se revelaba necesaria” (STC 34/2008, de 25 de febrero, FJ 6, y, citándola entre otras muchas, STC 63/2010, de 18 de octubre, FJ 2).</w:t>
      </w:r>
    </w:p>
    <w:p w:rsidR="00D06117" w:rsidRDefault="00D06117" w:rsidP="00D06117">
      <w:pPr>
        <w:pStyle w:val="TextoNormal"/>
      </w:pPr>
    </w:p>
    <w:p w:rsidR="00D06117" w:rsidRDefault="00D06117" w:rsidP="00D06117">
      <w:pPr>
        <w:pStyle w:val="TextoNormal"/>
      </w:pPr>
      <w:r>
        <w:t>Esta exigencia no comporta la apertura de la instrucción en todo caso, ni impone la realización de todas las diligencias de investigación posibles. Pero sí se vulnerará el derecho a la tutela judicial efectiva en este ámbito siempre que no se abra o que se clausure la instrucción “cuando existan sospechas razonables de que se ha podido cometer el delito de torturas o de tratos inhumanos o degradantes denunciado, y cuando tales sospechas se revelen como susceptibles de ser despejadas”, ya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34/2008, de 25 de febrero, FJ 6; 52/2008, de 14 de abril, FJ 2; 107/2008, de 22 de septiembre, FJ 2; y 63/2010, de 18 de octubre, FJ 2).</w:t>
      </w:r>
    </w:p>
    <w:p w:rsidR="00D06117" w:rsidRDefault="00D06117" w:rsidP="00D06117">
      <w:pPr>
        <w:pStyle w:val="TextoNormal"/>
      </w:pPr>
    </w:p>
    <w:p w:rsidR="00D06117" w:rsidRDefault="00D06117" w:rsidP="00D06117">
      <w:pPr>
        <w:pStyle w:val="TextoNormal"/>
      </w:pPr>
      <w:r>
        <w:t xml:space="preserve">Este Tribunal ha subrayado asimismo que para valorar si la decisión judicial de archivar las diligencias abiertas vulnera o no las exigencias del art. 24.1 CE, por existir aún sospechas razonables de tortura, susceptibles además de ser disipadas mediante el agotamiento de los oportunos medios de investigación disponibles, hay que atender a las circunstancias concretas de cada caso y hacerlo siempre teniendo presente la escasez de pruebas que de ordinario existen en este tipo de delitos. Precisamente este déficit probatorio “debe alentar, por un </w:t>
      </w:r>
      <w:r>
        <w:lastRenderedPageBreak/>
        <w:t>lado, la diligencia del instructor para la práctica efectiva de las medidas posibles de investigación y, por otro, ante la dificultad de la víctima de aportar medios de prueba sobre su comisión, hacer aplicable el principio de prueba como razón suficiente para que se inicie la actividad judicial de instrucción”. También se destaca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 y con la presunción a efectos indagatorios de que las lesiones que eventualmente presente el detenido tras su detención y que eran inexistentes antes de la misma son atribuibles a las personas encargadas de su custodia”. Además, se pone énfasis en que “constituye una exigencia de racionalidad que la valoración del testimonio judicial del denunciante, que es un medio de indagación particularmente idóneo de las denuncias por tortura o por tratos inhumanos o degradantes, y de sus declaraciones previas ante los médicos, la policía o los órganos judiciales repare en que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(SSTC 34/2008, de 25 de febrero, FJ 7; 52/2008, de 14 de abril, FJ 2; 69/2008, de 23 de junio, FJ 2; 107/2008, de 22 de septiembre, FJ 2; y 63/2010, de 18 de octubre, FJ 2).</w:t>
      </w:r>
    </w:p>
    <w:p w:rsidR="00D06117" w:rsidRDefault="00D06117" w:rsidP="00D06117">
      <w:pPr>
        <w:pStyle w:val="TextoNormal"/>
      </w:pPr>
    </w:p>
    <w:p w:rsidR="00D06117" w:rsidRDefault="00D06117" w:rsidP="00D06117">
      <w:pPr>
        <w:pStyle w:val="TextoNormal"/>
      </w:pPr>
      <w:r w:rsidRPr="00D06117">
        <w:rPr>
          <w:rStyle w:val="NumeroAFNegritaCaracter"/>
        </w:rPr>
        <w:t>3</w:t>
      </w:r>
      <w:r>
        <w:t>. En el presente caso, y como se expuso con detalle en los antecedentes, el recurrente interpuso una denuncia por torturas durante la detención. Los hechos denunciados eran, en síntesis, haberle apretado excesivamente las esposas; haberle desencajado el hombro derecho por la postura en la que estuvo esposado durante horas y haber recibido golpes en el brazo desencajado, todo lo cual le produjo un gran dolor; haber recibido golpes en la cabeza, así como insultos y amenazas y haber sufrido interrogatorios constantes, con la finalidad de que prestara declaración y colaborase, lo que le provocó repetidos ataques de ansiedad. A la vista de la denuncia, el Juzgado de Instrucción núm. 9 de Bilbao acordó la incoación de diligencias previas, que fueron archivadas tras practicarse una única diligencia probatoria: la aportación a la causa de los informes médicos emitidos durante el periodo de detención incomunicada y sobre la base de que en los mismos no existía evidencia de la existencia de violencia alguna y de que el detenido había manifestado a los forenses que el trato policial había sido correcto.</w:t>
      </w:r>
    </w:p>
    <w:p w:rsidR="00D06117" w:rsidRDefault="00D06117" w:rsidP="00D06117">
      <w:pPr>
        <w:pStyle w:val="TextoNormal"/>
      </w:pPr>
    </w:p>
    <w:p w:rsidR="00D06117" w:rsidRDefault="00D06117" w:rsidP="00D06117">
      <w:pPr>
        <w:pStyle w:val="TextoNormal"/>
      </w:pPr>
      <w:r>
        <w:t>La aplicación del canon descrito a la concreta investigación judicial realizada exige comprobar, en primer lugar, si puede afirmarse la existencia de “sospechas razonables” de la existencia de torturas o trato inhumano o degradante, que pervivieran en el momento del cierre de la instrucción. Y, en segundo lugar, si en tal caso esas sospechas eran susceptibles de ser despejadas, al existir todavía medios de investigación a disposición de los órganos judiciales, que hubieran podido ser adecuados a tal fin.</w:t>
      </w:r>
    </w:p>
    <w:p w:rsidR="00D06117" w:rsidRDefault="00D06117" w:rsidP="00D06117">
      <w:pPr>
        <w:pStyle w:val="TextoNormal"/>
      </w:pPr>
    </w:p>
    <w:p w:rsidR="00D06117" w:rsidRDefault="00D06117" w:rsidP="00D06117">
      <w:pPr>
        <w:pStyle w:val="TextoNormal"/>
      </w:pPr>
      <w:r w:rsidRPr="00D06117">
        <w:rPr>
          <w:rStyle w:val="NumeroAFNegritaCaracter"/>
        </w:rPr>
        <w:t>4</w:t>
      </w:r>
      <w:r>
        <w:t>. Respecto de la primera cuestión, y como se puso de manifiesto en los antecedentes, el Juzgado de Instrucción núm. 9 de Bilbao acordó la apertura de las diligencias previas 3604-2010, procediendo conforme a Derecho, afirmó en el Auto de incoación de las mismas la existencia de un posible delito de torturas, sin perjuicio de la calificación definitiva de los hechos. Por otra parte, del examen de las actuaciones y, en concreto, de los informes mé</w:t>
      </w:r>
      <w:r>
        <w:lastRenderedPageBreak/>
        <w:t>dico-forenses aportados a la causa —única diligencia probatoria practicada y en cuyo contenido sustentan toda su argumentación los órganos judiciales— se desprenden una serie de datos que han de ser destacados.</w:t>
      </w:r>
    </w:p>
    <w:p w:rsidR="00D06117" w:rsidRDefault="00D06117" w:rsidP="00D06117">
      <w:pPr>
        <w:pStyle w:val="TextoNormal"/>
      </w:pPr>
    </w:p>
    <w:p w:rsidR="00D06117" w:rsidRDefault="00D06117" w:rsidP="00D06117">
      <w:pPr>
        <w:pStyle w:val="TextoNormal"/>
      </w:pPr>
      <w:r>
        <w:t>El recurrente fue reconocido en varias ocasiones durante su situación de detención incomunicada. El día 22 de octubre de 2010, fecha de la detención del demandante, constan en la causa dos reconocimientos médico forenses. En el primero de ellos, practicado a las 8:50 horas en las dependencias de la comisaría de la policía nacional de Bilbao, se hace constar que: “Refiere no haber sufrido violencia física o psíquica alguna desde la detención hasta este reconocimiento … A la exploración presenta eritemas en ambas muñecas. No se evidencian lesiones físicas en el resto de la superficie corporal … A nivel psicopatológico se muestra orientado, correcto y adecuado”. En el segundo, practicado a las 20 horas en las dependencias del complejo policial de Canillas, se hizo constar que “manifiesta un trato policial correcto en todo momento, sin ningún género de violencia física o verbal … Dice encontrarse bien. Refiere dolor mecánico en hombro derecho por la posición esposado detrás ‘mucho tiempo. Se desnuda para practicar reconocimiento, no objetivándose en el esquema corporal ninguna lesión ni señales de violencia, lucha o defensa... Psíquicamente se encuentra consciente y bien orientado en tiempo y espacio, colaborador y sintónico, sin evidencia de alteración de las funciones psíquicas’”. Como antecedente médico incluye: “Hombro doloroso ‘de siempre, por jugador de frontón’.”</w:t>
      </w:r>
    </w:p>
    <w:p w:rsidR="00D06117" w:rsidRDefault="00D06117" w:rsidP="00D06117">
      <w:pPr>
        <w:pStyle w:val="TextoNormal"/>
      </w:pPr>
    </w:p>
    <w:p w:rsidR="00D06117" w:rsidRDefault="00D06117" w:rsidP="00D06117">
      <w:pPr>
        <w:pStyle w:val="TextoNormal"/>
      </w:pPr>
      <w:r>
        <w:t>El día 23 de octubre constan dos nuevos reconocimientos médicos. El primero practicado a las 8:00 horas, en donde se hizo constar: “Anoche le dieron la medicación (Ibuprofeno). Refiere que no ha tenido ningún incidente desde el último reconocimiento porque no ha salido de la celda. Físicamente dice encontrarse bien, con mejoría significativa del dolor en hombro derecho. Refiere molestias en ‘la espalda por la postura’. Se desnuda para ser reconocido no evidenciándose ninguna lesión, ni señal de violencia ... psíquicamente se encuentra lúcido, consciente y bien orientado en tiempo y espacio, colaborador y adecuado. No se evidencia alteración de las funciones psíquicas. Se aprecia marcada ansiedad y labilidad emocional con tendencia al llanto. Dice que está ‘muy nervioso y preocupado por su familia’. Tratamiento: Lexatin 1,5 mg.”. En el segundo reconocimiento, practicado a las 20 horas del mismo día, consta: “Refiere un trato policial correcto, sin ningún tipo de violencia física y/o verbal. Físicamente dice encontrarse bien, con mejoría del dolor de hombro y espalda, pero ‘como no modificó la postura’ persisten las molestias. Con la cena ha tomado 1 cp de Ibuprofeno. No considera necesario desnudarse para ser reconocido. Desde el punto de vista psíquico está consciente y bien orientado en tiempo y espacio, colaborador, sintónico y comunicativo. No se evidencia alteración de las funciones psíquicas. Persiste ansiedad. Tratamiento: Lexatin, 1,5 mg.”.</w:t>
      </w:r>
    </w:p>
    <w:p w:rsidR="00D06117" w:rsidRDefault="00D06117" w:rsidP="00D06117">
      <w:pPr>
        <w:pStyle w:val="TextoNormal"/>
      </w:pPr>
    </w:p>
    <w:p w:rsidR="00D06117" w:rsidRDefault="00D06117" w:rsidP="00D06117">
      <w:pPr>
        <w:pStyle w:val="TextoNormal"/>
      </w:pPr>
      <w:r>
        <w:t>El 24 de octubre consta un reconocimiento médico practicado a las 9 horas con el siguiente resultado: “Refiere un trato policial ‘normal’, sin ningún tipo de incidentes ni violencia física y/o verbal. Físicamente dice que se encuentra ‘bien’, persistiendo molestias en hombro derecho y espalda por las condiciones posturales. Se desnuda para ser reconocido y no se objetiva a la exploración física ninguna lesión ni señal de violencia... Se encuentra consciente y bien orientado en tiempo y espacio, colaborador, sintónico y comunicativo, sin alteración de las funciones psíquicas. Tratamiento: Ibuprofeno y Lexatin 1,5 mg.”.</w:t>
      </w:r>
    </w:p>
    <w:p w:rsidR="00D06117" w:rsidRDefault="00D06117" w:rsidP="00D06117">
      <w:pPr>
        <w:pStyle w:val="TextoNormal"/>
      </w:pPr>
    </w:p>
    <w:p w:rsidR="00D06117" w:rsidRDefault="00D06117" w:rsidP="00D06117">
      <w:pPr>
        <w:pStyle w:val="TextoNormal"/>
      </w:pPr>
      <w:r>
        <w:lastRenderedPageBreak/>
        <w:t>Por último, el día 25 de octubre consta un reconocimiento médico, llevado a cabo a las 21 horas, con el siguiente resultado: “Refiere un trato policial correcto, sin ningún tipo de incidentes ni violencia física y/o verbal. Físicamente dice que se encuentra ‘cansado’, y persisten las molestias en hombro y espalda, pero ‘que tampoco han ido a más’. No considera necesario desnudarse para practicar reconocimiento. Se encuentra consciente y bien orientado en tiempo y espacio, colaborador, sintónico y comunicativo, sin alteración de las funciones psíquicas. Tratamiento: Lexatin 1,5 mg. e Ibuprofeno”.</w:t>
      </w:r>
    </w:p>
    <w:p w:rsidR="00D06117" w:rsidRDefault="00D06117" w:rsidP="00D06117">
      <w:pPr>
        <w:pStyle w:val="TextoNormal"/>
      </w:pPr>
    </w:p>
    <w:p w:rsidR="00D06117" w:rsidRDefault="00D06117" w:rsidP="00D06117">
      <w:pPr>
        <w:pStyle w:val="TextoNormal"/>
      </w:pPr>
      <w:r>
        <w:t>Como pone de relieve el Ministerio Fiscal, la inexistencia de signos visibles de violencia no implica necesariamente la inexistencia de los hechos denunciados. Por otra parte, los datos aportados con la denuncia no permiten descartar prima facie su verosimilitud. A lo que se añade, según los informes forenses que el recurrente refiere dolor en el hombro derecho por haber sido mantenido esposado “durante mucho tiempo” y molestias en la espalda por la postura. Además el forense aprecia “marcada ansiedad y labilidad emocional con tendencia al llanto” y prescribe dos medicamentos: Ibuprofeno y Lexatin.</w:t>
      </w:r>
    </w:p>
    <w:p w:rsidR="00D06117" w:rsidRDefault="00D06117" w:rsidP="00D06117">
      <w:pPr>
        <w:pStyle w:val="TextoNormal"/>
      </w:pPr>
    </w:p>
    <w:p w:rsidR="00D06117" w:rsidRDefault="00D06117" w:rsidP="00D06117">
      <w:pPr>
        <w:pStyle w:val="TextoNormal"/>
      </w:pPr>
      <w:r>
        <w:t>Todos estos datos son suficientemente indiciarios como para afirmar la existencia de una “sospecha razonable”, que desencadena la obligación judicial de perseverar en la investigación, con independencia de que, según se ha dicho, como antecedente médico en un informe se hiciera constar que el recurrente manifiesta tener dolor en un hombro por ser jugador de frontón. Hemos de recordar que, aunque de los informes médicos no se pueda concluir de manera inequívoca que hayan existido los malos tratos que se denuncian, ello no es suficiente razón para dar por concluida la investigación. En efecto, “las sospechas de veracidad de los hechos denunciados pueden no ser contundentes, pero sí, en lo que importa al juicio constitucional, suficientes para que deba perseverarse en la indagación —apenas iniciada— si caben medios para ello” (SSTC 34/2008, de 25 de febrero, FJ 8, y 52/2008, de 14 de abril, FJ 3). Doctrina que resulta de aplicación al presente caso.</w:t>
      </w:r>
    </w:p>
    <w:p w:rsidR="00D06117" w:rsidRDefault="00D06117" w:rsidP="00D06117">
      <w:pPr>
        <w:pStyle w:val="TextoNormal"/>
      </w:pPr>
    </w:p>
    <w:p w:rsidR="00D06117" w:rsidRDefault="00D06117" w:rsidP="00D06117">
      <w:pPr>
        <w:pStyle w:val="TextoNormal"/>
      </w:pPr>
      <w:r>
        <w:t>Frente a tales indicios, las razones esgrimidas por los órganos judiciales para justificar el sobreseimiento provisional y archivo de la causa no son suficientes, pues no satisfacen el deber de motivación reforzada que es constitucionalmente exigible en este tipo de casos. En primer lugar, hemos afirmado que la ausencia de signos visibles de agresiones físicas carece de la fuerza suficiente para despejar toda sospecha, habida cuenta de que en el presente caso los malos tratos denunciados, pueden no dejar marcas o señales de su comisión (SSTC 107/2008, de 22 de septiembre, FJ 3, y 63/2010, de 18 de octubre, FJ 3). Y tampoco es un argumento suficientemente concluyente el que el recurrente haya manifestado al médico forense no haber sufrido violencia física o psíquica, o que el trato policial ha sido correcto. Como destaca el Ministerio Fiscal, el recurrente justificó su actuación ante el forense argumentando que tenía miedo a los policías, bajo cuya custodia seguiría en régimen de incomunicación cuando se fuera el médico, y constituye una exigencia de racionalidad que la valoración las declaraciones previas del denunciante ante los médicos, la policía o los órganos judiciales repare en que “el efecto de la violencia ejercida sobre la libertad y las posibilidades de autodeterminación del individuo no deja de producirse en el momento en el que físicamente cesa aquélla, sino que su virtualidad coactiva puede pervivir, y normalmente lo hará, más allá de su práctica efectiva” (entre las más recientes, SSTC 34/2008, de 25 de febrero, FJ 7; 52/2008, de 14 de abril, FJ 2; 69/2008, de 23 de junio, FJ 2; y 63/2010, de 18 de octubre, FJ 3).</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No obstante todo lo cual, pese a la existencia de indicios, puede resultar razonable que no se prosiga con una investigación que no aclara la inexistencia de los hechos denunciados pero que, sin embargo, ha agotado ya los medios razonables y eficaces de investigación. El canon de la investigación suficiente se refiere tanto a la inexistencia de sospechas razonables, como a la utilidad de continuar con la instrucción [por todas, SSTC 34/2008, de 25 de febrero, FJ 8 c); 52/2008, de 14 de abril, FJ 5; y 107/2008, de 22 de septiembre, FJ 4].</w:t>
      </w:r>
    </w:p>
    <w:p w:rsidR="00D06117" w:rsidRDefault="00D06117" w:rsidP="00D06117">
      <w:pPr>
        <w:pStyle w:val="TextoNormal"/>
      </w:pPr>
    </w:p>
    <w:p w:rsidR="00D06117" w:rsidRDefault="00D06117" w:rsidP="00D06117">
      <w:pPr>
        <w:pStyle w:val="TextoNormal"/>
      </w:pPr>
      <w:r>
        <w:t>Tampoco desde esta perspectiva se puede afirmar que la tutela prestada haya sido suficiente, pues la limitada instrucción llevada a cabo por el órgano judicial (incorporación a la causa de los informes médico-forenses practicados durante la detención) no agota en modo alguno las posibilidades razonables y eficaces de investigación, sino que existían diligencias disponibles e idóneas para el esclarecimiento de los hechos, cuya práctica no se acordó.</w:t>
      </w:r>
    </w:p>
    <w:p w:rsidR="00D06117" w:rsidRDefault="00D06117" w:rsidP="00D06117">
      <w:pPr>
        <w:pStyle w:val="TextoNormal"/>
      </w:pPr>
    </w:p>
    <w:p w:rsidR="00D06117" w:rsidRDefault="00D06117" w:rsidP="00D06117">
      <w:pPr>
        <w:pStyle w:val="TextoNormal"/>
      </w:pPr>
      <w:r>
        <w:t>Como señalamos en los antecedentes de esta resolución, en el escrito de denuncia se solicitaba la práctica de los siguientes medios de investigación: declaración del denunciante ante el Juez instructor; que se aporten a la causa los informes practicados por el médico forense durante la detención, así como el informe médico de ingreso en prisión y que se tome declaración a los médicos forenses; que se identifique a los policías que participaron en la detención y custodia; que se aporten a la causa las declaraciones efectuadas tanto ante la policía como ante el Juez instructor; que se tome declaración al Abogado de oficio; que se aporten a la causa las grabaciones de videocámara efectuadas durante todo el periodo de la detención; reconocimiento físico y psicológico por un médico forense para esclarecer las posibles secuelas físicas y psíquicas; así como una exploración psicológica por un psicólogo de su confianza. El denunciante, por tanto, proponía al órgano judicial un amplio elenco de diligencias probatorias, cuya práctica hubiera podido contribuir eficazmente al esclarecimiento de lo sucedido.</w:t>
      </w:r>
    </w:p>
    <w:p w:rsidR="00D06117" w:rsidRDefault="00D06117" w:rsidP="00D06117">
      <w:pPr>
        <w:pStyle w:val="TextoNormal"/>
      </w:pPr>
    </w:p>
    <w:p w:rsidR="00D06117" w:rsidRDefault="00D06117" w:rsidP="00D06117">
      <w:pPr>
        <w:pStyle w:val="TextoNormal"/>
      </w:pPr>
      <w:r>
        <w:t>Especialmente ha de destacarse que la falta de credibilidad de la denuncia, que los órganos judiciales afirman a partir de la mera lectura de los informes médicos y del dato de que el recurrente no denunciara ante el forense maltrato alguno, podría haber sido desmentida o corroborada por el testimonio inmediato del denunciante ante el Juez instructor, diligencia que constituye, como antes se ha señalado, un medio de indagación particularmente idóneo al respecto (en el mismo sentido, SSTC 34/2008, de 25 de febrero, FJ 8; 52/2008, de 14 de abril, FJ 5; 107/2008, de 22 de septiembre, FJ 4; y 63/2010, de 18 de octubre, FJ 3). Por lo demás, entre las diligencias propuestas por el denunciante, y conforme señala también el Ministerio Fiscal, podría haber otras que resultaran idóneas para despejar cualquier duda sobre la realidad de los hechos denunciados.</w:t>
      </w:r>
    </w:p>
    <w:p w:rsidR="00D06117" w:rsidRDefault="00D06117" w:rsidP="00D06117">
      <w:pPr>
        <w:pStyle w:val="TextoNormal"/>
      </w:pPr>
    </w:p>
    <w:p w:rsidR="00D06117" w:rsidRDefault="00D06117" w:rsidP="00D06117">
      <w:pPr>
        <w:pStyle w:val="TextoNormal"/>
      </w:pPr>
      <w:r w:rsidRPr="00D06117">
        <w:rPr>
          <w:rStyle w:val="NumeroAFNegritaCaracter"/>
        </w:rPr>
        <w:t>6</w:t>
      </w:r>
      <w:r>
        <w:t>. En conclusión, frente a la denuncia de torturas formulada por el recurrente no se produjo una investigación judicial eficaz, ya que la misma se clausuró cuando persistían las sospechas razonables de que el delito podía haberse cometido y existían medios disponibles para despejar tales sospechas. Procede por ello otorgar el amparo por vulneración del derecho a la tutela judicial efectiva (art. 24.1 CE), en relación con el derecho a no ser sometido a tortura o tratos inhumanos o degradantes (art. 15 CE).</w:t>
      </w:r>
    </w:p>
    <w:p w:rsidR="00D06117" w:rsidRDefault="00D06117" w:rsidP="00D06117">
      <w:pPr>
        <w:pStyle w:val="TextoNormal"/>
      </w:pPr>
    </w:p>
    <w:p w:rsidR="00D06117" w:rsidRDefault="00D06117" w:rsidP="00D06117">
      <w:pPr>
        <w:pStyle w:val="TextoNormal"/>
      </w:pPr>
      <w:r>
        <w:t xml:space="preserve">El restablecimiento del recurrente en la integridad de su derecho exige, tal como se argumentó en la STC 34/2008, de 25 de febrero, FJ 9, la anulación de los Autos impugnados </w:t>
      </w:r>
      <w:r>
        <w:lastRenderedPageBreak/>
        <w:t>y la retroacción de actuaciones para que se dispense al recurrente la tutela judicial demandada (en el mismo sentido, por todas, SSTC 52/2008, de 14 de abril, FJ 6; 69/2008, de 23 de junio, FJ 6; 107/2008, de 22 de septiembre, FJ 4; y 63/2010, de 18 de octubre, FJ 4).</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recurso de amparo solicitado por don Rubén Villa Esnaola y, en su virtud:</w:t>
      </w:r>
    </w:p>
    <w:p w:rsidR="00D06117" w:rsidRDefault="00D06117" w:rsidP="00D06117">
      <w:pPr>
        <w:pStyle w:val="TextoNormal"/>
      </w:pPr>
    </w:p>
    <w:p w:rsidR="00D06117" w:rsidRDefault="00D06117" w:rsidP="00D06117">
      <w:pPr>
        <w:pStyle w:val="TextoNormal"/>
      </w:pPr>
      <w:r>
        <w:t>1º Reconocer que ha sido vulnerado su derecho a la tutela judicial efectiva sin indefensión (art. 24.1 CE), en relación con su derecho a no ser sometido a torturas ni a tratos inhumanos o degradantes (art. 15 CE).</w:t>
      </w:r>
    </w:p>
    <w:p w:rsidR="00D06117" w:rsidRDefault="00D06117" w:rsidP="00D06117">
      <w:pPr>
        <w:pStyle w:val="TextoNormal"/>
      </w:pPr>
    </w:p>
    <w:p w:rsidR="00D06117" w:rsidRDefault="00D06117" w:rsidP="00D06117">
      <w:pPr>
        <w:pStyle w:val="TextoNormal"/>
      </w:pPr>
      <w:r>
        <w:t>2º Restablecerlo en la integridad de su derecho y, a tal fin, declarar la nulidad de los Autos del Juzgado de Instrucción núm. 9 de Bilbao de 19 de febrero y 17 de marzo de 2011, dictados en las diligencias previas núm. 3604-2010, y del Auto de la Sección Primera de la Audiencia Provincial de Vizcaya de 30 de mayo de 2011, dictado en el rollo de apelación núm. 183-2011-1, retrotrayendo las actuaciones al momento anterior al dictado del primero de los Autos anulados para que el Juzgado de Instrucción núm. 9 de Bilbao proceda en términos respetuosos con el derecho fundamental vulnerado.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dieciocho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5" w:name="SENTENCIA_2012_132"/>
      <w:r>
        <w:lastRenderedPageBreak/>
        <w:t>SENTENCIA 132/2012, de 19 de junio de 2012</w:t>
      </w:r>
    </w:p>
    <w:bookmarkEnd w:id="135"/>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ECLI:ES:TC:2012:132</w:t>
      </w:r>
    </w:p>
    <w:p w:rsidR="00D06117" w:rsidRDefault="00D06117" w:rsidP="00D06117">
      <w:pPr>
        <w:pStyle w:val="SntesisDescriptiva"/>
      </w:pPr>
    </w:p>
    <w:p w:rsidR="00D06117" w:rsidRDefault="00D06117" w:rsidP="00D06117">
      <w:pPr>
        <w:pStyle w:val="SntesisDescriptiva"/>
      </w:pPr>
      <w:r>
        <w:t>Recurso de inconstitucionalidad 6433-2000. Interpuesto por el Presidente del Gobierno en relación con diversos preceptos de la Ley del Parlamento de las Illes Balears 8/2000, de 27 de octubre, de consejos insulares.</w:t>
      </w:r>
    </w:p>
    <w:p w:rsidR="00D06117" w:rsidRDefault="00D06117" w:rsidP="00D06117">
      <w:pPr>
        <w:pStyle w:val="SntesisDescriptiva"/>
      </w:pPr>
    </w:p>
    <w:p w:rsidR="00D06117" w:rsidRDefault="00D06117" w:rsidP="00D06117">
      <w:pPr>
        <w:pStyle w:val="SntesisAnaltica"/>
      </w:pPr>
      <w:r>
        <w:t>Competencias sobre régimen local; gobierno y administración de las islas: inconstitucionalidad del precepto legal autonómico que permite delegar en el presidente o en la comisión de gobierno el ejercicio de competencias reservadas por la legislación básica al pleno de las corporaciones locales; nulidad de la atribución a un consejero del cargo de secretario del consejo ejecutivo. Voto particular.</w:t>
      </w:r>
    </w:p>
    <w:p w:rsidR="00D06117" w:rsidRDefault="00D06117" w:rsidP="00D06117">
      <w:pPr>
        <w:pStyle w:val="SntesisAnaltica"/>
      </w:pPr>
    </w:p>
    <w:p w:rsidR="00D06117" w:rsidRDefault="00D06117" w:rsidP="00D06117">
      <w:pPr>
        <w:pStyle w:val="Extracto"/>
      </w:pPr>
      <w:r>
        <w:t>1.</w:t>
      </w:r>
      <w:r>
        <w:tab/>
        <w:t xml:space="preserve">La ley controvertida no reserva a los miembros del consejo insular –órgano de carácter representativo integrado por miembros electos– la condición de miembros del consejo ejecutivo ni la titularidad de las direcciones insulares y las secretarías técnicas, lo que no vulnera la autonomía local concretada en el autogobierno de la isla a través de corporaciones de carácter representativo, puesto que estos órganos ejecutivos responden de su gestión ante el Pleno del consejo insular, que conserva todas las potestades decisorias y de control político (SSTC 4/1981, 30/2012)  [FFJJ 4, 5]. </w:t>
      </w:r>
    </w:p>
    <w:p w:rsidR="00D06117" w:rsidRDefault="00D06117" w:rsidP="00D06117">
      <w:pPr>
        <w:pStyle w:val="Extracto"/>
      </w:pPr>
    </w:p>
    <w:p w:rsidR="00D06117" w:rsidRDefault="00D06117" w:rsidP="00D06117">
      <w:pPr>
        <w:pStyle w:val="Extracto"/>
      </w:pPr>
      <w:r>
        <w:t>2.</w:t>
      </w:r>
      <w:r>
        <w:tab/>
        <w:t>El consejo ejecutivo se configura como un órgano estrictamente ejecutivo que responde de su gestión ante el Pleno del consejo insular correspondiente, órgano representativo por excelencia del consejo insular, al que concierne ejercer la fiscalización de la acción del consejo ejecutivo, quedando así garantizado el núcleo inherente a la función representativa, lo que excluye la vulneración de los arts. 23 y 141 CE [FJ 5].</w:t>
      </w:r>
    </w:p>
    <w:p w:rsidR="00D06117" w:rsidRDefault="00D06117" w:rsidP="00D06117">
      <w:pPr>
        <w:pStyle w:val="Extracto"/>
      </w:pPr>
    </w:p>
    <w:p w:rsidR="00D06117" w:rsidRDefault="00D06117" w:rsidP="00D06117">
      <w:pPr>
        <w:pStyle w:val="Extracto"/>
      </w:pPr>
      <w:r>
        <w:t>3.</w:t>
      </w:r>
      <w:r>
        <w:tab/>
        <w:t>La creación de las direcciones insulares y secretarías técnicas no merece reproche alguno ya que se trata de órganos de eminente perfil ejecutivo a los que se atribuye el ejercicio de funciones propias de la actividad administrativa de los consejos insulares y cuyas decisiones son objeto de control y fiscalización por los órganos de carácter electivo del consejo insular  [FJ 5].</w:t>
      </w:r>
    </w:p>
    <w:p w:rsidR="00D06117" w:rsidRDefault="00D06117" w:rsidP="00D06117">
      <w:pPr>
        <w:pStyle w:val="Extracto"/>
      </w:pPr>
    </w:p>
    <w:p w:rsidR="00D06117" w:rsidRDefault="00D06117" w:rsidP="00D06117">
      <w:pPr>
        <w:pStyle w:val="Extracto"/>
      </w:pPr>
      <w:r>
        <w:t>4.</w:t>
      </w:r>
      <w:r>
        <w:tab/>
        <w:t xml:space="preserve">No merece reproche constitucional alguno la competencia para resolver los recursos de alzada atribuida al Pleno del consejo insular, o en su caso a la Comisión de gobierno, respecto a los actos del consejo ejecutivo, y al Presidente del consejo insular respecto a los actos de los consejeros ejecutivos, secretarios técnicos y directores insulares, al hallarnos ante el ejercicio de la competencia autonómica en materia de procedimiento administrativo derivado de las especialidades de la organización propia, </w:t>
      </w:r>
      <w:r w:rsidRPr="00D06117">
        <w:rPr>
          <w:i/>
        </w:rPr>
        <w:t>ex</w:t>
      </w:r>
      <w:r>
        <w:t xml:space="preserve"> art. 30.36 EAIB [FFJJ 5, 6].</w:t>
      </w:r>
    </w:p>
    <w:p w:rsidR="00D06117" w:rsidRDefault="00D06117" w:rsidP="00D06117">
      <w:pPr>
        <w:pStyle w:val="Extracto"/>
      </w:pPr>
    </w:p>
    <w:p w:rsidR="00D06117" w:rsidRDefault="00D06117" w:rsidP="00D06117">
      <w:pPr>
        <w:pStyle w:val="Extracto"/>
      </w:pPr>
      <w:r>
        <w:lastRenderedPageBreak/>
        <w:t>5.</w:t>
      </w:r>
      <w:r>
        <w:tab/>
        <w:t xml:space="preserve">La comisión de gobierno representa una especialidad en la organización propia de las instituciones autonómicas de las Illes Balears cuya regulación no contradice lo establecido sobre la composición de la junta de gobierno en el art. 35.1 LBRL, ya que no reúne el perfil ejecutivo propio de dicha junta de gobierno sino que representa un instrumento para garantizar el control y fiscalización de la acción ejecutiva de los consejos insulares por sus órganos de carácter representativo, debiendo tenerse en cuenta que, </w:t>
      </w:r>
      <w:r w:rsidRPr="00D06117">
        <w:rPr>
          <w:i/>
        </w:rPr>
        <w:t>ex</w:t>
      </w:r>
      <w:r>
        <w:t xml:space="preserve"> art. 41.3 LBRL, la aplicación a los consejos insulares de las previsiones de dicha ley lo es sin perjuicio de lo establecido en el EAIB [FJ 6].</w:t>
      </w:r>
    </w:p>
    <w:p w:rsidR="00D06117" w:rsidRDefault="00D06117" w:rsidP="00D06117">
      <w:pPr>
        <w:pStyle w:val="Extracto"/>
      </w:pPr>
    </w:p>
    <w:p w:rsidR="00D06117" w:rsidRDefault="00D06117" w:rsidP="00D06117">
      <w:pPr>
        <w:pStyle w:val="Extracto"/>
      </w:pPr>
      <w:r>
        <w:t>6.</w:t>
      </w:r>
      <w:r>
        <w:tab/>
        <w:t>No puede apreciarse motivo de inconstitucionalidad en la atribución a la comisión de gobierno, cuando su composición sea representativa del Pleno, de la función de estudio, informe y propuesta en los asuntos que deban ser sometidos al Pleno del consejo insular, tanto menos cuanto que la existencia de este tipo de órganos está prevista igualmente para las Diputaciones provinciales en el art. 32.2 LBRL [FJ 6].</w:t>
      </w:r>
    </w:p>
    <w:p w:rsidR="00D06117" w:rsidRDefault="00D06117" w:rsidP="00D06117">
      <w:pPr>
        <w:pStyle w:val="Extracto"/>
      </w:pPr>
    </w:p>
    <w:p w:rsidR="00D06117" w:rsidRDefault="00D06117" w:rsidP="00D06117">
      <w:pPr>
        <w:pStyle w:val="Extracto"/>
      </w:pPr>
      <w:r>
        <w:t>7.</w:t>
      </w:r>
      <w:r>
        <w:tab/>
        <w:t>Debemos declarar la inconstitucionalidad del artículo que permite delegar en el presidente y en la comisión de gobierno el ejercicio de las atribuciones encomendadas al Pleno del consejo insular, ya que desconoce la garantía nuclear del autogobierno de la comunidad local, como es la reserva al Pleno de la corporación —en su calidad de órgano de carácter representativo de la ciudadanía— de la competencia para adoptar decisiones especialmente relevantes  para la satisfacción del interés de la comunidad local  [FJ 7].</w:t>
      </w:r>
    </w:p>
    <w:p w:rsidR="00D06117" w:rsidRDefault="00D06117" w:rsidP="00D06117">
      <w:pPr>
        <w:pStyle w:val="Extracto"/>
      </w:pPr>
    </w:p>
    <w:p w:rsidR="00D06117" w:rsidRDefault="00D06117" w:rsidP="00D06117">
      <w:pPr>
        <w:pStyle w:val="Extracto"/>
      </w:pPr>
      <w:r>
        <w:t>8.</w:t>
      </w:r>
      <w:r>
        <w:tab/>
        <w:t>Debemos declarar inconstitucional y nulo el artículo que permite que, en relación con la actividad de un órgano ejecutivo, ejerzan funciones de secretaría y fe pública quienes no se hallan vinculados con los consejos insulares por una relación estatutaria y tampoco ostentan la condición de funcionarios con habilitación estatal, al apartase el legislador autonómico de lo establecido con carácter básico, en materia de régimen estatutario de los funcionarios, por el legislador estatal [FJ 7].</w:t>
      </w:r>
    </w:p>
    <w:p w:rsidR="00D06117" w:rsidRDefault="00D06117" w:rsidP="00D06117">
      <w:pPr>
        <w:pStyle w:val="Extracto"/>
      </w:pPr>
    </w:p>
    <w:p w:rsidR="00D06117" w:rsidRDefault="00D06117" w:rsidP="00D06117">
      <w:pPr>
        <w:pStyle w:val="Extracto"/>
      </w:pPr>
      <w:r>
        <w:t>9.</w:t>
      </w:r>
      <w:r>
        <w:tab/>
        <w:t>No existe contradicción entre el artículo que permite que el presidente del consejo insular plantee cuestión de confianza sobre su programa en conjunto, sobre una declaración de política general o sobre la aprobación de cualquier asunto o actuación de relevancia política y la legislación estatal, toda vez que la eventual discrepancia que pudiera existir debe entenderse salvada por el actual art. 66.3 EAIB que permite plantear dicha cuestión de confianza, la cual se regirá  por lo dispuesto en la legislación electoral general con la particularidad, en cuanto a su objeto, que permite el art. 41.3 LBRL [FJ 7].</w:t>
      </w:r>
    </w:p>
    <w:p w:rsidR="00D06117" w:rsidRDefault="00D06117" w:rsidP="00D06117">
      <w:pPr>
        <w:pStyle w:val="Extracto"/>
      </w:pPr>
    </w:p>
    <w:p w:rsidR="00D06117" w:rsidRDefault="00D06117" w:rsidP="00D06117">
      <w:pPr>
        <w:pStyle w:val="Extracto"/>
      </w:pPr>
      <w:r>
        <w:t>10.</w:t>
      </w:r>
      <w:r>
        <w:tab/>
        <w:t>El artículo controvertido, relativo a la convocatoria extraordinaria del Pleno del consejo ejecutivo, se encuadra en las competencias autonómicas y no adolece de vicio alguno de inconstitucionalidad, ya que introduce una regla que, respetando el mínimo normativo contenido en la norma básica, se dirige a facilitar el control y fiscalización de la acción administrativa del consejo ejecutivo, por el órgano representativo por excelencia del consejo insular –el Pleno–, contribuyendo con ello al fortalecimiento del control democrático de los consejos insulares [FJ 7].</w:t>
      </w:r>
    </w:p>
    <w:p w:rsidR="00D06117" w:rsidRDefault="00D06117" w:rsidP="00D06117">
      <w:pPr>
        <w:pStyle w:val="Extracto"/>
      </w:pPr>
    </w:p>
    <w:p w:rsidR="00D06117" w:rsidRDefault="00D06117" w:rsidP="00D06117">
      <w:pPr>
        <w:pStyle w:val="Extracto"/>
      </w:pPr>
      <w:r>
        <w:lastRenderedPageBreak/>
        <w:t>11.</w:t>
      </w:r>
      <w:r>
        <w:tab/>
        <w:t>Doctrina sobre la proyección de la garantía constitucional del autogobierno local al denominado ‘hecho insular’ (SSTC 32/1981, 252/2005, 240/2006)  [FJ 3].</w:t>
      </w:r>
    </w:p>
    <w:p w:rsidR="00D06117" w:rsidRDefault="00D06117" w:rsidP="00D06117">
      <w:pPr>
        <w:pStyle w:val="Extracto"/>
      </w:pPr>
    </w:p>
    <w:p w:rsidR="00D06117" w:rsidRDefault="00D06117" w:rsidP="00D06117">
      <w:pPr>
        <w:pStyle w:val="Extracto"/>
      </w:pPr>
      <w:r>
        <w:t>12.</w:t>
      </w:r>
      <w:r>
        <w:tab/>
        <w:t xml:space="preserve">Doctrina del </w:t>
      </w:r>
      <w:r w:rsidRPr="00D06117">
        <w:rPr>
          <w:i/>
        </w:rPr>
        <w:t>ius superveniens</w:t>
      </w:r>
      <w:r>
        <w:t>, en virtud de la cual el control de las disposiciones que puedan incurrir en extralimitación competencial ha de hacerse de acuerdo con las normas del bloque de la constitucionalidad vigentes en el momento de dictar Sentencia (STC 203/2011)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6433-2000, interpuesto por el Presidente del Gobierno, representado por el Abogado del Estado, frente a los arts. 7.1, 3 y 5; 8.1 h) y v), 2 y 3; 9.1 u) y 3; 10.2; 12; 13; 14; 15.1 a) y 2, párrafo segundo; 16.1 y 3; 17.2; 18.1; 20.4, 5 y 6; 22.2 y 3 de la Ley del Parlamento de las Illes Balears 8/2000, de 27 de octubre, de consejos insulares. Han comparecido y formulado alegaciones el Abogado de la Comunidad Autónoma de las Illes Balears y el Presidente del Parlamento de las Illes Balears. Ha sido Ponente el Magistrado don Manuel Aragón Reyes,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5 de diciembre de 2000, el Abogado del Estado, actuando en la representación que legalmente ostenta, formuló recurso de inconstitucionalidad respecto de los preceptos de la Ley del Parlamento de las Illes Balears 8/2000, de 27 de octubre, de consejos insulares, mencionados en el encabezamiento de esta Sentencia. Tras dejar constancia de la invocación expresa del art. 161.2 CE y reproducir la literalidad de los preceptos legales impugnados, expone las razones en las que se fundamenta el recurso y que seguidamente se sintetizan.</w:t>
      </w:r>
    </w:p>
    <w:p w:rsidR="00D06117" w:rsidRDefault="00D06117" w:rsidP="00D06117">
      <w:pPr>
        <w:pStyle w:val="TextoNormal"/>
      </w:pPr>
    </w:p>
    <w:p w:rsidR="00D06117" w:rsidRDefault="00D06117" w:rsidP="00D06117">
      <w:pPr>
        <w:pStyle w:val="TextoNormal"/>
      </w:pPr>
      <w:r>
        <w:t xml:space="preserve">a) Con carácter general, se indica que los preceptos legales controvertidos establecen una nueva regulación de los consejos insulares que, en opinión del Abogado del Estado, entra en contradicción con el bloque de constitucionalidad de la Administración local “como una de las Administraciones integrantes de la organización territorial del Estado, constituido por la Constitución (arts. 137, 140 y 141) y el Estatuto de Autonomía (artículos reguladores de los consejos insulares)”. Asimismo, vulnerarían el art. 23 CE y la normativa básica sobre </w:t>
      </w:r>
      <w:r>
        <w:lastRenderedPageBreak/>
        <w:t>régimen local dictada por el Estado “al amparo de los artículos 81.1, 23 y 149.1.18, todos ellos de la Constitución”.</w:t>
      </w:r>
    </w:p>
    <w:p w:rsidR="00D06117" w:rsidRDefault="00D06117" w:rsidP="00D06117">
      <w:pPr>
        <w:pStyle w:val="TextoNormal"/>
      </w:pPr>
    </w:p>
    <w:p w:rsidR="00D06117" w:rsidRDefault="00D06117" w:rsidP="00D06117">
      <w:pPr>
        <w:pStyle w:val="TextoNormal"/>
      </w:pPr>
      <w:r>
        <w:t>Recuerda el Abogado del Estado que los apartados 2 y 4 del art. 141 CE establecen que los consejos son los órganos de administración y gobierno de las islas, teniendo, por su equiparación con las Diputaciones provinciales, carácter representativo. El Estatuto de Autonomía de las Illes Balears, en su art. 18.2 dispone que “a los Consejos Insulares les corresponde el gobierno y la administración de las islas de Mallorca, Menorca e Ibiza-Formentera y sus islas adyacentes. Estos tres Consejos se constituirán en los términos y con las competencias que resulten de la Constitución y del presente Estatuto.” A su vez, en el art. 36, se dispone que los consejos “gozarán de autonomía en la gestión de sus intereses, de acuerdo con la Constitución, el presente Estatuto y lo que establezcan las leyes del Parlamento” y en el art. 37.1 que “cada uno de los Consejos Insulares estará integrado por los Diputados elegidos para el Parlamento en las islas de Mallorca, Menorca, Eivissa y Formentera.” Todas estas disposiciones permitirían concluir, a juicio del recurrente, que según el bloque de constitucionalidad los consejos insulares son órganos a los que, como integrantes de la Administración local, les corresponde el gobierno y administración de las islas, actuando bajo los principios de autonomía y representación. Por otro lado, el art. 23 CE prevé la participación de los ciudadanos en los asuntos públicos mediante la elección de sus representantes y, conforme a la doctrina sentada por este Tribunal Constitucional, ese carácter representativo alcanza a todos los entes públicos de base territorial, esto es, los mencionados en el art. 137 CE, entre los que figuran los consejos insulares en su calidad de órganos locales “del gobierno y representación de las islas”. Finalmente, y tras recordar que, en ejercicio de la competencia atribuida por el art. 149.1.18 CE, el Estado ha dictado la Ley reguladora de las bases de régimen local, que establece las normas básicas de organización y funcionamiento de los entes locales, el Abogado del Estado señala que, con respecto a las vulneraciones de la Ley Orgánica del régimen electoral general, basta recordar que la expresión “régimen electoral general” comprende el régimen electoral local de acuerdo con la doctrina sentada en la STC 38/1983.</w:t>
      </w:r>
    </w:p>
    <w:p w:rsidR="00D06117" w:rsidRDefault="00D06117" w:rsidP="00D06117">
      <w:pPr>
        <w:pStyle w:val="TextoNormal"/>
      </w:pPr>
    </w:p>
    <w:p w:rsidR="00D06117" w:rsidRDefault="00D06117" w:rsidP="00D06117">
      <w:pPr>
        <w:pStyle w:val="TextoNormal"/>
      </w:pPr>
      <w:r>
        <w:t>Dicho lo cual, pone de relieve el recurrente que el reproche que esencialmente se dirige es la creación de un nuevo órgano en el seno de los consejos insulares: el consejo ejecutivo, que, pese a ser “el elemento motor del gobierno y de la administración ejecutiva de los consejos”, según la definición dada por la exposición de motivos de la Ley balear 8/2000, no necesariamente ha de estar integrado por miembros electos. De modo que determinadas competencias propias de la Administración local no se ejercen bajo los principios de autonomía y representación puesto que quienes tienen la capacidad decisoria serán nombrados libremente por los Presidentes de los consejos, vulnerándose así el bloque de constitucionalidad antes descrito y el art. 23 CE. Además, los preceptos legales impugnados vulneran la normativa básica estatal en materia de organización y funcionamiento de la Administración local, así como la Ley Orgánica del régimen electoral general. Frente a ello, entiende el Abogado del Estado que sería inapropiado esgrimir la competencia autonómica exclusiva en materia de organización, régimen y funcionamiento de sus instituciones de autogobierno habida cuenta de que los consejos insulares, son, a un tiempo instituciones de la Comunidad Autónoma y corporaciones locales, de modo que las decisiones que se adopten acerca de su organización habrán de respetar las disposiciones constitucionales y estatutarias, así como la normativa básica estatal sobre régimen local.</w:t>
      </w:r>
    </w:p>
    <w:p w:rsidR="00D06117" w:rsidRDefault="00D06117" w:rsidP="00D06117">
      <w:pPr>
        <w:pStyle w:val="TextoNormal"/>
      </w:pPr>
    </w:p>
    <w:p w:rsidR="00D06117" w:rsidRDefault="00D06117" w:rsidP="00D06117">
      <w:pPr>
        <w:pStyle w:val="TextoNormal"/>
      </w:pPr>
      <w:r>
        <w:lastRenderedPageBreak/>
        <w:t>Hecha esta exposición general, el Abogado del Estado argumenta los motivos de inconstitucionalidad que aquejan a los diferentes preceptos legales impugnados, agrupándolos por materias conexas.</w:t>
      </w:r>
    </w:p>
    <w:p w:rsidR="00D06117" w:rsidRDefault="00D06117" w:rsidP="00D06117">
      <w:pPr>
        <w:pStyle w:val="TextoNormal"/>
      </w:pPr>
    </w:p>
    <w:p w:rsidR="00D06117" w:rsidRDefault="00D06117" w:rsidP="00D06117">
      <w:pPr>
        <w:pStyle w:val="TextoNormal"/>
      </w:pPr>
      <w:r>
        <w:t>b) De acuerdo con la ordenación avanzada, expone en primer término los argumentos que le llevan a sostener la inconstitucionalidad de los arts. 7.1, 3 y 5; 8.1 h) y v); 9.2 u) y 3; 12; 13; 14; 15.1 a); 16.1; 18.1; 20.4, 5 y 6 y 22.2 y 3 de la Ley balear 8/2000. Todos estos preceptos están dedicados a la regulación de los órganos de los consejos insulares, su composición, atribuciones, régimen de delegación de las mismas y al carácter e impugnabilidad de sus actos. La inconstitucionalidad se encontraría principalmente en la regulación del llamado Consejo ejecutivo y las direcciones insulares y secretarías técnicas, por ostentar estos cargos competencias en el gobierno y administración del consejo insulares sin que sus miembros o titulares deban ostentar la condición de miembros del Parlamento autonómico.</w:t>
      </w:r>
    </w:p>
    <w:p w:rsidR="00D06117" w:rsidRDefault="00D06117" w:rsidP="00D06117">
      <w:pPr>
        <w:pStyle w:val="TextoNormal"/>
      </w:pPr>
    </w:p>
    <w:p w:rsidR="00D06117" w:rsidRDefault="00D06117" w:rsidP="00D06117">
      <w:pPr>
        <w:pStyle w:val="TextoNormal"/>
      </w:pPr>
      <w:r>
        <w:t>Sostiene el Abogado del Estado que, por un lado, estos preceptos vulnerarían el bloque de constitucionalidad y el art. 23 CE, que configuran al consejo insular como el órgano de carácter representativo encargado del gobierno y administración de la isla en tanto que entidad integrante de la organización territorial del Estado. Por otro lado, infringirían la normativa básica estatal dictada al amparo del art. 149.1.18 CE y contenida en la Ley de bases de régimen local, que no contempla la existencia de estos tres órganos.</w:t>
      </w:r>
    </w:p>
    <w:p w:rsidR="00D06117" w:rsidRDefault="00D06117" w:rsidP="00D06117">
      <w:pPr>
        <w:pStyle w:val="TextoNormal"/>
      </w:pPr>
    </w:p>
    <w:p w:rsidR="00D06117" w:rsidRDefault="00D06117" w:rsidP="00D06117">
      <w:pPr>
        <w:pStyle w:val="TextoNormal"/>
      </w:pPr>
      <w:r>
        <w:t>La Constitución atribuye a las islas el carácter de entidad local equiparable a la provincia en virtud de lo dispuesto en su art. 141, de modo que su gobierno y administración han de ser autónomos y sujetos al principio de representación. Esta configuración se “confirma y desarrolla” en los arts. 36 y 37 del Estatuto de Autonomía de las Illes Balears, de cuyo contenido, en lo que aquí estrictamente interesa, ya se ha dejado constancia con anterioridad. Tras reproducir algunos pasajes de la STC 4/1981, el Abogado del Estado hace hincapié en que la posterior STC 214/1989 puso de relieve la consideración de las islas como entes necesarios de la Administración local y “precisamente por ello, participan en el ejercicio del poder público y han de tener un carácter representativo”. De modo que, indica el recurrente, la Constitución, el Estatuto de Autonomía de las Illes Balears y la doctrina elaborada por este Tribunal parten del principio de que el ente local encargado del gobierno y administración de las islas tiene que ser representativo o, “dicho en otras palabras, sus miembros, con facultades de gestión y dirección, tienen que estar elegidos por un sistema de sufragio universal”, de modo que toda disposición que ignore este principio y que suponga adjudicar a personas no electas la participación en el gobierno y administración de estos entes locales resultará inconstitucional.</w:t>
      </w:r>
    </w:p>
    <w:p w:rsidR="00D06117" w:rsidRDefault="00D06117" w:rsidP="00D06117">
      <w:pPr>
        <w:pStyle w:val="TextoNormal"/>
      </w:pPr>
    </w:p>
    <w:p w:rsidR="00D06117" w:rsidRDefault="00D06117" w:rsidP="00D06117">
      <w:pPr>
        <w:pStyle w:val="TextoNormal"/>
      </w:pPr>
      <w:r>
        <w:t>Por su parte, el art 23 CE proclama el derecho fundamental de los ciudadanos a participar en los asuntos públicos, directamente o por medio de sus representantes, libremente elegidos en elecciones periódicas y por sufragio universal. Este derecho fundamental tiene plena eficacia respecto de los entes territoriales que, por ejercer potestades públicas, han de revestir carácter representativo, no pudiendo privarse a los ciudadanos de la facultad de participar en ellos directamente o a través de sus representantes (STC 23/1984). Añade al respecto el Abogado del Estado que “el carácter exclusivo de esta participación en la gestión y dirección de estos órganos representativos deriva, evidentemente, de que la incorporación de no electos perturbaría de tal modo el ejercicio del derecho fundamental que quedaría desconfigu</w:t>
      </w:r>
      <w:r>
        <w:lastRenderedPageBreak/>
        <w:t>rado y parcialmente anulado”; por ello mismo en la STC 4/1981 se afirmó que resulta inconstitucional cualquier disposición que establezca la suspensión o sustitución de los miembros de las corporaciones, es decir, la eventualidad de que miembros no electos del órgano puedan participar en su gestión y dirección “debe, necesariamente, entenderse como una lesión de la función representativa de sus miembros electos”. Invoca a este respecto la STC 52/1994, referida a las funciones de los miembros del Parlamento de las Illes Balears.</w:t>
      </w:r>
    </w:p>
    <w:p w:rsidR="00D06117" w:rsidRDefault="00D06117" w:rsidP="00D06117">
      <w:pPr>
        <w:pStyle w:val="TextoNormal"/>
      </w:pPr>
    </w:p>
    <w:p w:rsidR="00D06117" w:rsidRDefault="00D06117" w:rsidP="00D06117">
      <w:pPr>
        <w:pStyle w:val="TextoNormal"/>
      </w:pPr>
      <w:r>
        <w:t>De modo que en tanto la gestión y dirección del consejo insular no corresponda en exclusiva a sus miembros electos, la regulación autonómica será nula por vulneración del art. 23 CE, tanto en relación con el derecho fundamental de los electos a no ser perturbados en el ejercicio de sus funciones, como respecto del derecho de los ciudadanos a participar en los asuntos públicos propios del ente local.</w:t>
      </w:r>
    </w:p>
    <w:p w:rsidR="00D06117" w:rsidRDefault="00D06117" w:rsidP="00D06117">
      <w:pPr>
        <w:pStyle w:val="TextoNormal"/>
      </w:pPr>
    </w:p>
    <w:p w:rsidR="00D06117" w:rsidRDefault="00D06117" w:rsidP="00D06117">
      <w:pPr>
        <w:pStyle w:val="TextoNormal"/>
      </w:pPr>
      <w:r>
        <w:t>En cuanto a la normativa básica estatal, menciona el Abogado del Estado las siguientes previsiones de la Ley 7/1985, de 2 de abril, reguladora de las bases de régimen local (LBRL): sustitución de la provincia por la isla en los archipiélagos (art. 1.2); configuración de la isla como entidad básica de la organización territorial del Estado y cauce inmediato de participación en los asuntos públicos, que institucionalizan y gestionan con autonomía los intereses propios de las correspondientes colectividades (art. 1.1 y 2); aplicabilidad a los consejos insulares de las normas sobre organización y funcionamiento de las Diputaciones provinciales (art. 41.3); identificación del Presidente, Vicepresidentes, Comisión de gobierno y Pleno como órganos de las Diputaciones (art. 22.1), sin perjuicio de la creación de órganos complementarios por las Comunidades Autónomas (art. 32.2); previsión de que el Pleno estará integrado por el Presidente y los Diputados provinciales (art. 35.1) y que la Comisión de gobierno la compondrán el Presidente y un número de Diputados no superior al tercio del número legal de Diputados, nombrados y separados libremente por aquél (art. 35.1). Al margen de lo anterior recuerda que en diferentes preceptos se establecen las competencias propias de las Diputaciones provinciales y de sus órganos, así como las posibles delegaciones, los arts. 46 y ss. se dedican al régimen de funcionamiento de estos entes locales, los arts. 63 y ss. el régimen de impugnación de sus actos y acuerdos y el ejercicio de acciones y, finalmente, que el art. 73 remite a la legislación electoral la regulación del procedimiento de elección de miembros de la entidad local, así como la definición de los supuestos de inelegibilidad e incompatibilidad.</w:t>
      </w:r>
    </w:p>
    <w:p w:rsidR="00D06117" w:rsidRDefault="00D06117" w:rsidP="00D06117">
      <w:pPr>
        <w:pStyle w:val="TextoNormal"/>
      </w:pPr>
    </w:p>
    <w:p w:rsidR="00D06117" w:rsidRDefault="00D06117" w:rsidP="00D06117">
      <w:pPr>
        <w:pStyle w:val="TextoNormal"/>
      </w:pPr>
      <w:r>
        <w:t>Después de subrayar que la doctrina constitucional acerca del alcance de la normativa básica estatal en la regulación del régimen de funcionamiento y organización de los entes locales y, como correlato, sobre los límites de la competencia legislativa autonómica de desarrollo queda recogida en la STC 214/1989 y que en la posterior STC 331/1993 se hace referencia a la composición y funcionamiento de los órganos de gobierno de las entidades locales, entre los que se encontraría el consejo insular, el Abogado del Estado examina la constitucionalidad de cada uno de los preceptos legales integrantes de este primer grupo.</w:t>
      </w:r>
    </w:p>
    <w:p w:rsidR="00D06117" w:rsidRDefault="00D06117" w:rsidP="00D06117">
      <w:pPr>
        <w:pStyle w:val="TextoNormal"/>
      </w:pPr>
    </w:p>
    <w:p w:rsidR="00D06117" w:rsidRDefault="00D06117" w:rsidP="00D06117">
      <w:pPr>
        <w:pStyle w:val="TextoNormal"/>
      </w:pPr>
      <w:r>
        <w:t xml:space="preserve">Los apartados 1, 3 y 5 del art. 7 de la ley controvertida incurren en inconstitucionalidad porque, al regular los órganos de gobierno de las islas incluyen uno, el Consejo Ejecutivo, cuyos miembros no son necesariamente electos, lo que representaría una vulneración de los arts. 23 y 141 CE y 18, 36 y 37 del Estatuto de Autonomía. También se vulneraría el art. 32 LBRL, pues al incluirse un nuevo órgano de gobierno se ignora que, de acuerdo con este precepto básico, son órganos necesarios el Presidente, los Vicepresidentes y la comisión de </w:t>
      </w:r>
      <w:r>
        <w:lastRenderedPageBreak/>
        <w:t>gobierno, sin que quepa aceptar su regulación por la Comunidad Autónoma en tanto que órgano complementario pues, sostiene el Abogado del Estado, un órgano de gobierno no puede ser complementario. Entiende el Abogado del Estado que también resulta inconstitucional hacer depender la composición de la comisión de gobierno del hecho de que el reglamento orgánico prevea la constitución del consejo ejecutivo pues el art. 35 LBRL establece que, en todo caso, aquélla se integrará “por un Presidente y un número de Diputados no superior al tercio del número legal de los mismos, nombrados y separados libremente por aquél, dando cuenta al Pleno”, previsión básica que queda desnaturalizada en la norma autonómica.</w:t>
      </w:r>
    </w:p>
    <w:p w:rsidR="00D06117" w:rsidRDefault="00D06117" w:rsidP="00D06117">
      <w:pPr>
        <w:pStyle w:val="TextoNormal"/>
      </w:pPr>
    </w:p>
    <w:p w:rsidR="00D06117" w:rsidRDefault="00D06117" w:rsidP="00D06117">
      <w:pPr>
        <w:pStyle w:val="TextoNormal"/>
      </w:pPr>
      <w:r>
        <w:t>Las letras h) y v) del art. 8.1, en las que se atribuyen competencias al Pleno del consejo insular, son inconstitucionales en cuanto que atribuyen al mismo la facultad de aprobar un reglamento orgánico que incluya la creación del consejo ejecutivo en contra de lo previsto por la legislación básica de régimen local, así como la competencia para resolver recursos de alzada interpuestos frente a los actos del consejo ejecutivo, siendo así que este órgano, por ser inconstitucional, no puede dictar actos administrativos válidos. Según indica el Abogado del Estado, “la inconstitucionalidad resulta de que estos preceptos desarrollan normativamente la configuración jurídico-administrativa de un órgano inconstitucional”.</w:t>
      </w:r>
    </w:p>
    <w:p w:rsidR="00D06117" w:rsidRDefault="00D06117" w:rsidP="00D06117">
      <w:pPr>
        <w:pStyle w:val="TextoNormal"/>
      </w:pPr>
    </w:p>
    <w:p w:rsidR="00D06117" w:rsidRDefault="00D06117" w:rsidP="00D06117">
      <w:pPr>
        <w:pStyle w:val="TextoNormal"/>
      </w:pPr>
      <w:r>
        <w:t>En relación con el art. 9.1 u) y 3), precisa el Abogado del Estado que “la referencia que se hace al punto 1” en el acuerdo del Consejo de Ministros que se acompaña al escrito de demanda, “es errónea pues tal apartado no tiene letra u). En realidad el apartado que se pretende recurrir es el núm. 2”. Rectificado este “error material evidente”, según lo califica el propio Abogado del Estado, éste indica que la letra u) del apartado 2 es inconstitucional porque atribuye al Presidente del consejo insular la competencia para resolver los recursos de alzada frente a los actos de los consejeros ejecutivos, los secretarios técnicos y los directores insulares. Esta precisión resultaría inconstitucional porque esos miembros del consejo no tienen la condición de electos y, por tanto, no pueden incluirse constitucionalmente en ese órgano de representación. Toda vez que los miembros no electos del consejo insular no pueden dictar actos administrativos, tampoco cabe diseñar un régimen de impugnación de éstos. El art. 9.3 sería inconstitucional porque el consejo ejecutivo no puede actuar por delegación del Presidente del consejo insular sin riesgo de quebrar el principio de representación que ha de informar a este ente local.</w:t>
      </w:r>
    </w:p>
    <w:p w:rsidR="00D06117" w:rsidRDefault="00D06117" w:rsidP="00D06117">
      <w:pPr>
        <w:pStyle w:val="TextoNormal"/>
      </w:pPr>
    </w:p>
    <w:p w:rsidR="00D06117" w:rsidRDefault="00D06117" w:rsidP="00D06117">
      <w:pPr>
        <w:pStyle w:val="TextoNormal"/>
      </w:pPr>
      <w:r>
        <w:t>Con respecto al art. 12, el Abogado del Estado estima que incurre en inconstitucionalidad al atribuir funciones de gobierno y administración a un órgano no representativo, en contra de lo previsto en el bloque de inconstitucionalidad y la Ley de bases de régimen local, que ni siquiera contempla la existencia de ese órgano. Las competencias encomendadas a éste “no son poco importantes o superfluas, pues incluyen la función ejecutiva en relación con el Consejo Insular y, en especial, las transferidas o delegadas por la Comunidad Autónoma, así como el resto de atribuciones que le sean asignadas en el Reglamento orgánico y las delegadas u objeto de encomienda por otros órganos”.</w:t>
      </w:r>
    </w:p>
    <w:p w:rsidR="00D06117" w:rsidRDefault="00D06117" w:rsidP="00D06117">
      <w:pPr>
        <w:pStyle w:val="TextoNormal"/>
      </w:pPr>
    </w:p>
    <w:p w:rsidR="00D06117" w:rsidRDefault="00D06117" w:rsidP="00D06117">
      <w:pPr>
        <w:pStyle w:val="TextoNormal"/>
      </w:pPr>
      <w:r>
        <w:t xml:space="preserve">El art. 13 regula otros órganos del consejo insular (consejeros ejecutivos, directores insulares y secretarios técnicos), que tampoco se reservan a miembros electos ni al personal vinculado al sector público por una relación funcionarial o de Derecho laboral. Su caracterización como “órganos directivos para la gestión” es contraria a los arts. 23 y 141 CE y a lo dispuesto en la Ley de bases de régimen local. De estos órganos dependen el resto de </w:t>
      </w:r>
      <w:r>
        <w:lastRenderedPageBreak/>
        <w:t>órganos y unidades departamentales. Se prevé, asimismo, que el Reglamento orgánico determine el criterio mínimo de organización de los departamentos, atribuyéndose al Presidente la potestad para su desarrollo por decreto [art. 9.2 f)]; desarrollo en el que deben precisarse las atribuciones de los distintos órganos incluidas, en su caso, las de “carácter resolutorio”. Finalmente, se dispone la aplicación a consejeros ejecutivos, directores insulares y secretarios técnicos del régimen de incompatibilidades de los miembros del Gobierno y altos cargos de la Comunidad Autónoma de las Illes Balears, lo que, a juicio del Abogado del Estado, puede interpretarse como una clara voluntad de equiparación.</w:t>
      </w:r>
    </w:p>
    <w:p w:rsidR="00D06117" w:rsidRDefault="00D06117" w:rsidP="00D06117">
      <w:pPr>
        <w:pStyle w:val="TextoNormal"/>
      </w:pPr>
    </w:p>
    <w:p w:rsidR="00D06117" w:rsidRDefault="00D06117" w:rsidP="00D06117">
      <w:pPr>
        <w:pStyle w:val="TextoNormal"/>
      </w:pPr>
      <w:r>
        <w:t>Los mismos reproches se dirigen al art. 14 de la Ley autonómica, dedicado a las direcciones insulares y las secretarías técnicas para el caso de que no exista consejo ejecutivo. El tratamiento es el mismo, si bien dependen de un miembro de la Comisión de Gobierno.</w:t>
      </w:r>
    </w:p>
    <w:p w:rsidR="00D06117" w:rsidRDefault="00D06117" w:rsidP="00D06117">
      <w:pPr>
        <w:pStyle w:val="TextoNormal"/>
      </w:pPr>
    </w:p>
    <w:p w:rsidR="00D06117" w:rsidRDefault="00D06117" w:rsidP="00D06117">
      <w:pPr>
        <w:pStyle w:val="TextoNormal"/>
      </w:pPr>
      <w:r>
        <w:t>El Abogado del Estado califica al art. 15.1 a) de “precepto clave en el presente recurso” porque en él se establece con claridad que los miembros del consejo ejecutivo no deben reunir inexorablemente la condición de electos y que, como miembros del Consejo Insular “podrán intervenir en las sesiones del Pleno, con voz y sin voto, en asuntos estrictamente relacionados con el respectivo departamento y a requerimiento del presidente”. Este precepto quebrantaría el carácter representativo del consejo insular, vulnerando el bloque de constitucionalidad en la materia y la legislación básica de régimen local.</w:t>
      </w:r>
    </w:p>
    <w:p w:rsidR="00D06117" w:rsidRDefault="00D06117" w:rsidP="00D06117">
      <w:pPr>
        <w:pStyle w:val="TextoNormal"/>
      </w:pPr>
    </w:p>
    <w:p w:rsidR="00D06117" w:rsidRDefault="00D06117" w:rsidP="00D06117">
      <w:pPr>
        <w:pStyle w:val="TextoNormal"/>
      </w:pPr>
      <w:r>
        <w:t>El art. 16.1 esta viciado de inconstitucionalidad, sostiene el Abogado del Estado, porque regula los medios de control del consejo ejecutivo por el Pleno. Comoquiera que aquél está incurso en los vicios de inconstitucionalidad ya referidos, el defecto alcanza a esta previsión. Idéntico motivo se dirige contra el art. 18.1, que incluye al consejo ejecutivo entre los órganos de gobierno de las islas, al objeto de que los grupos políticos del consejo insular puedan formularle preguntas.</w:t>
      </w:r>
    </w:p>
    <w:p w:rsidR="00D06117" w:rsidRDefault="00D06117" w:rsidP="00D06117">
      <w:pPr>
        <w:pStyle w:val="TextoNormal"/>
      </w:pPr>
    </w:p>
    <w:p w:rsidR="00D06117" w:rsidRDefault="00D06117" w:rsidP="00D06117">
      <w:pPr>
        <w:pStyle w:val="TextoNormal"/>
      </w:pPr>
      <w:r>
        <w:t>Por lo que se refiere a los apartados 4, 5 y 6 del art. 20 de la ley autonómica, entiende el Abogado del Estado que incurren en inconstitucionalidad al dar la denominación de “acuerdos del Consejo Ejecutivo”, “Resolución de consejero” y “actos de resolución o de trámite” (para los dictados por los directores insulares y secretarios técnicos). Para el recurrente, “si son inconstitucionales los órganos lo será también atribuir a sus actos la apariencia de resoluciones administrativas formales”.</w:t>
      </w:r>
    </w:p>
    <w:p w:rsidR="00D06117" w:rsidRDefault="00D06117" w:rsidP="00D06117">
      <w:pPr>
        <w:pStyle w:val="TextoNormal"/>
      </w:pPr>
    </w:p>
    <w:p w:rsidR="00D06117" w:rsidRDefault="00D06117" w:rsidP="00D06117">
      <w:pPr>
        <w:pStyle w:val="TextoNormal"/>
      </w:pPr>
      <w:r>
        <w:t>Se cierra este subapartado con una referencia al art. 22.2 y 3, cuyo motivo de inconstitucionalidad se encontraría en que contienen el régimen de recursos administrativos frente a los acuerdos de los órganos incursos en causa de nulidad. Nuevamente la inconstitucionalidad de la existencia de determinados órganos convierte en inconstitucionales las normas de desarrollo.</w:t>
      </w:r>
    </w:p>
    <w:p w:rsidR="00D06117" w:rsidRDefault="00D06117" w:rsidP="00D06117">
      <w:pPr>
        <w:pStyle w:val="TextoNormal"/>
      </w:pPr>
    </w:p>
    <w:p w:rsidR="00D06117" w:rsidRDefault="00D06117" w:rsidP="00D06117">
      <w:pPr>
        <w:pStyle w:val="TextoNormal"/>
      </w:pPr>
      <w:r>
        <w:t xml:space="preserve">c) Expone seguidamente los motivos por los que solicita la declaración de inconstitucionalidad del segundo párrafo del art. 7.3 y, por conexión, de los arts. 8.3 y 10.2. Al primero de ellos le achaca el recurrente haber regulado la comisión de gobierno de forma distinta a la contemplada, con carácter básico, en el art. 35.1 LBRL, aplicable a los consejos insulares en virtud de lo dispuesto en el art. 41 LBRL. La norma autonómica ha modificado la naturaleza y composición necesaria de la comisión de gobierno, lo que no puede considerarse </w:t>
      </w:r>
      <w:r>
        <w:lastRenderedPageBreak/>
        <w:t>desarrollo de la norma básica porque, lejos de complementarla, contraviene el mandato normativo que determina las características esenciales del órgano de gobierno de la entidad local, se suprime la facultad del presidente para nombrar y separar libremente a los vocales y no se tiene en cuenta el máximo de integrantes autorizados en la norma básica. En cuanto a los arts. 8.3 y 10.2, señala el Abogado del Estado que son incompatibles con la normativa básica porque, por un lado, permiten la desconcentración de las atribuciones del Pleno en la comisión de gobierno cuando ésta tenga una composición representativa de aquél y, por otro, le atribuye más competencias cuando se dé esa composición representativa del Pleno, lo que contraviene lo dispuesto en los apartados 1 y 2 del art. 35 LBRL.</w:t>
      </w:r>
    </w:p>
    <w:p w:rsidR="00D06117" w:rsidRDefault="00D06117" w:rsidP="00D06117">
      <w:pPr>
        <w:pStyle w:val="TextoNormal"/>
      </w:pPr>
    </w:p>
    <w:p w:rsidR="00D06117" w:rsidRDefault="00D06117" w:rsidP="00D06117">
      <w:pPr>
        <w:pStyle w:val="TextoNormal"/>
      </w:pPr>
      <w:r>
        <w:t>d) Finalmente, el Abogado del Estado da cuenta de las razones sobre las que sustenta la impugnación de los arts. 8.2, 15.2, 16.3 y 17.2, a los que dirige el reproche común de vulneración de la normativa básica estatal de régimen local o la regulación del régimen electoral general.</w:t>
      </w:r>
    </w:p>
    <w:p w:rsidR="00D06117" w:rsidRDefault="00D06117" w:rsidP="00D06117">
      <w:pPr>
        <w:pStyle w:val="TextoNormal"/>
      </w:pPr>
    </w:p>
    <w:p w:rsidR="00D06117" w:rsidRDefault="00D06117" w:rsidP="00D06117">
      <w:pPr>
        <w:pStyle w:val="TextoNormal"/>
      </w:pPr>
      <w:r>
        <w:t>El art. 8.2 hace referencia a las atribuciones delegables e indelegables del Pleno del consejo insular, desconociendo algunos extremos de la Ley de bases de régimen local, en la redacción dada a la misma por la Ley 11/1999, de 21 de abril. Así, la letra k) habla de las atribuciones del Pleno para el ejercicio de la iniciativa económica en régimen de libre concurrencia y en régimen de monopolio y la forma de gestión del servicio correspondiente como atribuciones delegables, pese a que los arts. 33.2 ñ), 33.4 y 47.3 f) LBRL coinciden en declarar que no es delegable la publicitación de actividades en régimen de monopolio y la aprobación de la forma concreta de gestión del servicio, por tratarse de una competencia cuyo ejercicio requiere acuerdo del Pleno con mayoría especial. Por su parte, la letra o) permite delegar la aprobación de transferencias de competencias, servicios y actividades del consejo insular, así como la delegación de competencias o la encomienda de gestión a otras Administraciones públicas, contrariamente a lo establecido en los arts. 33.2 ñ), 33.4 y 47.3 c) LBRL, que no permiten esa delegación. Por último, la letra q), en su inciso inicial, permite delegar la alteración de la calificación jurídica de los bienes de dominio público, vulnerando lo previsto en los arts. 33.2 ñ), 33.4 y 47.3 k), que no lo permiten. Indica el Abogado del Estado que las normas estatales son básicas porque tienen por objeto la configuración funcional del Pleno, órgano esencial del ente local.</w:t>
      </w:r>
    </w:p>
    <w:p w:rsidR="00D06117" w:rsidRDefault="00D06117" w:rsidP="00D06117">
      <w:pPr>
        <w:pStyle w:val="TextoNormal"/>
      </w:pPr>
    </w:p>
    <w:p w:rsidR="00D06117" w:rsidRDefault="00D06117" w:rsidP="00D06117">
      <w:pPr>
        <w:pStyle w:val="TextoNormal"/>
      </w:pPr>
      <w:r>
        <w:t>El art. 15.2 de la ley territorial se refiere a la designación del secretario del consejo ejecutivo, que se confiere al consejero que designe el Presidente; entre las funciones del secretario figuran las de extender acta de los acuerdos adoptados y expedir los certificados correspondientes. Sin embargo, los apartados 2 y 3 a) del art. 92 LBRL reservan la función pública de secretaría a personal funcionarial, concretamente a funcionarios con habilitación de carácter nacional. Son previsiones básicas porque contemplan una de las funciones esenciales de los órganos administrativos, como es el ejercicio de la fe pública. A mayor abundamiento, el cargo de secretario de un ente público incluye el ejercicio de potestades incompatible con su desempeño por persona que no tenga vínculo funcionarial con la Administración.</w:t>
      </w:r>
    </w:p>
    <w:p w:rsidR="00D06117" w:rsidRDefault="00D06117" w:rsidP="00D06117">
      <w:pPr>
        <w:pStyle w:val="TextoNormal"/>
      </w:pPr>
    </w:p>
    <w:p w:rsidR="00D06117" w:rsidRDefault="00D06117" w:rsidP="00D06117">
      <w:pPr>
        <w:pStyle w:val="TextoNormal"/>
      </w:pPr>
      <w:r>
        <w:t xml:space="preserve">El art. 16.3 prevé que el Presidente del consejo insular pueda plantear una cuestión de confianza sobre su programa en conjunto, una declaración de política general o la aprobación de cualquier asunto de relevancia política. En opinión del Abogado del Estado, este precepto colisionaría con el art. 33.3 LBRL, que al regular la moción de censura en las </w:t>
      </w:r>
      <w:r>
        <w:lastRenderedPageBreak/>
        <w:t>Diputaciones provinciales se remite a lo dispuesto en la legislación electoral general; remisión que debe entenderse hecha al art. 207.4 de la Ley Orgánica del régimen electoral general. En este precepto se vincula la cuestión de confianza a los siguientes asuntos: presupuestos anuales, reglamento orgánico y el plan provincial de cooperación a las obras y servicios de competencia municipal. No hay coincidencia, por tanto, en los supuestos en los que cabe plantear la cuestión de confianza. Esta falta de sintonía se da en un ámbito en el que la competencia estatal no deriva exclusivamente de las reglas 1 y 18 del art. 149.1 CE, sino también de lo establecido en los arts. 23 y 81 CE, en los términos en los que fueron interpretados por la STC 38/1983.</w:t>
      </w:r>
    </w:p>
    <w:p w:rsidR="00D06117" w:rsidRDefault="00D06117" w:rsidP="00D06117">
      <w:pPr>
        <w:pStyle w:val="TextoNormal"/>
      </w:pPr>
    </w:p>
    <w:p w:rsidR="00D06117" w:rsidRDefault="00D06117" w:rsidP="00D06117">
      <w:pPr>
        <w:pStyle w:val="TextoNormal"/>
      </w:pPr>
      <w:r>
        <w:t>Por último, el art. 17.2 establece la posibilidad de convocatoria extraordinaria del Pleno a solicitud de una quinta parte de los miembros del consejo insular o de dos grupos políticos. Este precepto vulneraría, sostiene el Abogado del Estado, el art. 46.2 a) LBRL, que habla de una cuarta parte de los miembros de la corporación y fija un límite de tres solicitudes anuales, límite que no figura en el precepto legal autonómico. La regulación controvertida desnaturalizaría, al decir del Abogado del Estado, la configuración básica de la convocatoria extraordinaria del Pleno al reducir el porcentaje de consejeros que pueden pedirla y al permitir que se lleve a cabo ilimitadamente, por lo que será más fácil bloquear la actividad ordinaria de los órganos de gobierno del consejo insular. Y ello pese a que el objeto de estos Plenos sea el de “someter a debate la gestión del Consejo ejecutivo en áreas concretas”, pues la finalidad de la convocatoria no tiene importancia en relación con el objeto de la norma básica, que no es otro que el de evitar el excesivo número de sesiones plenarias que pudiera llevar al bloqueo de la actividad de la entidad local.</w:t>
      </w:r>
    </w:p>
    <w:p w:rsidR="00D06117" w:rsidRDefault="00D06117" w:rsidP="00D06117">
      <w:pPr>
        <w:pStyle w:val="TextoNormal"/>
      </w:pPr>
    </w:p>
    <w:p w:rsidR="00D06117" w:rsidRDefault="00D06117" w:rsidP="00D06117">
      <w:pPr>
        <w:pStyle w:val="TextoNormal"/>
      </w:pPr>
      <w:r>
        <w:t>El escrito de demanda se cierra solicitando la declaración de inconstitucionalidad de los preceptos legales impugnados y la suspensión de los mismos de conformidad con lo previsto en el art. 161.2 CE, del que se hace invocación expresa.</w:t>
      </w:r>
    </w:p>
    <w:p w:rsidR="00D06117" w:rsidRDefault="00D06117" w:rsidP="00D06117">
      <w:pPr>
        <w:pStyle w:val="TextoNormal"/>
      </w:pPr>
    </w:p>
    <w:p w:rsidR="00D06117" w:rsidRDefault="00D06117" w:rsidP="00D06117">
      <w:pPr>
        <w:pStyle w:val="TextoNormal"/>
      </w:pPr>
      <w:r w:rsidRPr="00D06117">
        <w:rPr>
          <w:rStyle w:val="NumeroAFNegritaCaracter"/>
        </w:rPr>
        <w:t>2</w:t>
      </w:r>
      <w:r>
        <w:t>. Por providencia de 19 de diciembre de 2000, la Sección Segunda de este Tribunal acordó admitir a trámite el presente recurso de inconstitucionalidad; dar traslado de la demanda y documentos presentados, conforme establece el art. 34 de la Ley Orgánica del Tribunal Constitucional (LOTC), al Congreso de los Diputados y al Senado, así como al Parlamento y al Gobierno de las Illes Balears, por conducto de sus respectivos Presidentes, al objeto de que en el plazo de quince días pudieran personarse en el proceso y formular las alegaciones que estimaran convenientes; tener por incoado por el Presidente del Gobierno el art. 161.2 CE, lo que a su tenor y de conformidad con lo dispuesto en el art. 30 LOTC produce la suspensión de la vigencia y aplicación de los preceptos legales impugnados desde la fecha de interposición del recurso para las partes del proceso y desde el día en que aparece publicada en el “Boletín Oficial del Estado” para terceros, y publicar la incoación del recurso en el “Boletín Oficial del Estado”, que tuvo lugar en el núm. 311, de 28 de diciembre de 2000, y en el “Boletín Oficial de las Islas Baleares”.</w:t>
      </w:r>
    </w:p>
    <w:p w:rsidR="00D06117" w:rsidRDefault="00D06117" w:rsidP="00D06117">
      <w:pPr>
        <w:pStyle w:val="TextoNormal"/>
      </w:pPr>
    </w:p>
    <w:p w:rsidR="00D06117" w:rsidRDefault="00D06117" w:rsidP="00D06117">
      <w:pPr>
        <w:pStyle w:val="TextoNormal"/>
      </w:pPr>
      <w:r w:rsidRPr="00D06117">
        <w:rPr>
          <w:rStyle w:val="NumeroAFNegritaCaracter"/>
        </w:rPr>
        <w:t>3</w:t>
      </w:r>
      <w:r>
        <w:t>. El escrito de alegaciones del Abogado de la Comunidad Autónoma de las Illes Balears se presentó en el Registro General de este Tribunal el 17 de enero de 2001. En dicho escrito se exponen las siguientes razones en defensa de la constitucionalidad de los preceptos legales impugnados:</w:t>
      </w:r>
    </w:p>
    <w:p w:rsidR="00D06117" w:rsidRDefault="00D06117" w:rsidP="00D06117">
      <w:pPr>
        <w:pStyle w:val="TextoNormal"/>
      </w:pPr>
    </w:p>
    <w:p w:rsidR="00D06117" w:rsidRDefault="00D06117" w:rsidP="00D06117">
      <w:pPr>
        <w:pStyle w:val="TextoNormal"/>
      </w:pPr>
      <w:r>
        <w:lastRenderedPageBreak/>
        <w:t>a) La argumentación jurídica plasmada en el escrito de alegaciones se inicia con un apartado relativo a “la Constitución, las islas y los consejos insulares”, en el que el Abogado de la Comunidad Autónoma hace hincapié en la constitucionalización de las islas como entes locales (art. 141.4 CE). Partiendo de esta única referencia constitucional a la isla, se formulan las siguientes afirmaciones: que la isla es un ente local territorial cuyo gobierno o administración corresponde a los consejos insulares es una realidad pacíficamente asumida por la Comunidad Autónoma de las Illes Balears y que se refleja en la exposición de motivos de la ley controvertida; el art. 141.4 CE permite un distinto tratamiento normativo de las provincias —cuyo gobierno y administración “será encomendado a Diputaciones u otras Corporaciones de carácter representativo”— y las islas, que “tendrán además su administración ‘propia’ en forma de Cabildos o Consejos”, de modo que la regulación constitucional subraya la exigencia de una administración “propia” como rasgo distintivo; en sentido estricto, el art. 141.4 CE sólo se refiere a la administración propia en forma de consejos, pero no a su gobierno, silencio que contrasta con la atención prestada a este extremo en el caso de las provincias por el art. 141.2 CE; la existencia de una administración “propia” es un rasgo diferenciador del tratamiento constitucional de la isla; por último, destaca el silencio guardado respecto del gobierno de la isla por el art. 141.4 CE. Añade el Abogado de la Comunidad Autónoma que “ante tan escueto contenido constitucional”, el Estatuto de Autonomía “se vio prácticamente obligado … a regular y examinar con mayor detenimiento el peculiar ente local que constituía la isla”.</w:t>
      </w:r>
    </w:p>
    <w:p w:rsidR="00D06117" w:rsidRDefault="00D06117" w:rsidP="00D06117">
      <w:pPr>
        <w:pStyle w:val="TextoNormal"/>
      </w:pPr>
    </w:p>
    <w:p w:rsidR="00D06117" w:rsidRDefault="00D06117" w:rsidP="00D06117">
      <w:pPr>
        <w:pStyle w:val="TextoNormal"/>
      </w:pPr>
      <w:r>
        <w:t>b) A la exposición de ese tratamiento estatutario de la isla se dedica el siguiente apartado del escrito de alegaciones, situándose en el umbral de dicha exposición la afirmación de que ninguna de las diversas redacciones que ha tenido el Estatuto de Autonomía de las Illes Balears desde su inicial aprobación por la Ley Orgánica 2/1983, de 25 de febrero, ha dejado de respetar la consideración de los consejos insulares como entes locales, lo que no ha sido óbice para regular aspectos esenciales de su régimen jurídico “que permiten expresar, sin asomo de duda, que se está ante un muy peculiar ente local, fuertemente ‘interiorizado’ en el entramado institucional de la Comunidad Autónoma de las Illes Balears, de modo que constituye el auténtico eje vertebrador de su organización territorial”. Así, el Estatuto de Autonomía ubica sistemáticamente la regulación de los consejos insulares en el capítulo cuarto del título tercero, rubricado “De las instituciones de la Comunidad Autónoma”. Además, esa regulación es expresiva de la especialidad institucional de los consejos. Por otro lado, la composición misma de los consejos, integrados por los Diputados elegidos para el Parlamento autonómico en cada una de las islas, contrasta con la elección de segundo grado de los diputados provinciales, o de primer grado en el caso de los miembros de los Cabildos canarios, singularidad que ha de tener su trascendencia para el alcance del principio de representatividad. Distingue el art. 39 del Estatuto de Autonomía dos tipos de competencias propias de los consejos: las que les corresponden en tanto que entidades locales y aquellas otras cuyo ejercicio puede encomendarle la Comunidad Autónoma en muy diversas materias. Este mismo precepto estatutario incorpora un mandato de transferencia del ejercicio de las competencias en él mencionadas a los consejos, lo que configura un modelo de relaciones entre éstos y la Comunidad Autónoma muy alejado de las que existen con las Diputaciones provinciales, como se pone de manifiesto en la docena de leyes de transferencia de competencias aprobadas por el Parlamento de las Illes Balears entre 1990 y 1999. En opinión del Abogado de la Comunidad Autónoma este modelo de relaciones ha de tener adecuado reflejo en la organización propia del ente local, en aras de la satisfacción del principio constitucional de eficacia.</w:t>
      </w:r>
    </w:p>
    <w:p w:rsidR="00D06117" w:rsidRDefault="00D06117" w:rsidP="00D06117">
      <w:pPr>
        <w:pStyle w:val="TextoNormal"/>
      </w:pPr>
    </w:p>
    <w:p w:rsidR="00D06117" w:rsidRDefault="00D06117" w:rsidP="00D06117">
      <w:pPr>
        <w:pStyle w:val="TextoNormal"/>
      </w:pPr>
      <w:r>
        <w:t>De modo que, sin merma de su consideración como entes locales, la regulación de los consejos contenida en el Estatuto de Autonomía, y por tanto integrada en el bloque de constitucionalidad, viene a incorporarlos al entramado institucional de la Comunidad Autónoma, atribuyéndoles el ejercicio de competencias de ésta. Lo que no sólo justifica sino que incluso exige, por razones derivadas del principio constitucional de eficacia (art. 103.1 CE), una organización adecuada a la composición, características, funciones y competencias que se les asigna, aunque ello suponga una relativización del uniformismo de la normativa básica de régimen local. Y es que la inusual extensión de la regulación estatutaria de los consejos pone de manifiesto hasta qué punto la isla y su órgano de gobierno y administración, el consejo insular, se configuran como instituciones autonómicas propias de Baleares. Con ello, el Estatuto de Autonomía vendría a dar cumplimiento a la previsión del art. 147.2 c) CE, conforme a la cual esta norma ha de contener, entre otros extremos, la “organización … de las instituciones autónomas propias”.</w:t>
      </w:r>
    </w:p>
    <w:p w:rsidR="00D06117" w:rsidRDefault="00D06117" w:rsidP="00D06117">
      <w:pPr>
        <w:pStyle w:val="TextoNormal"/>
      </w:pPr>
    </w:p>
    <w:p w:rsidR="00D06117" w:rsidRDefault="00D06117" w:rsidP="00D06117">
      <w:pPr>
        <w:pStyle w:val="TextoNormal"/>
      </w:pPr>
      <w:r>
        <w:t>Recuerda el Letrado autonómico que la propia demanda reconoce que los consejos son instituciones de la Comunidad Autónoma, pese a que les niegue la condición de instituciones de autogobierno. Como también recuerda que el Estado no impugnó la Ley 5/1989, de 13 de abril, de consejos insulares, que les atribuyó esa configuración y permitió la creación de órganos específicos, de carácter eminentemente burocrático, para el ejercicio de competencias transferidas por la Comunidad Autónoma. Cita asimismo el ATC 250/1992, de 25 de agosto, en relación con las comisiones insulares de urbanismo, y la Sentencia del Tribunal Supremo de 26 de junio de 1998, relativa a los propios consejos insulares.</w:t>
      </w:r>
    </w:p>
    <w:p w:rsidR="00D06117" w:rsidRDefault="00D06117" w:rsidP="00D06117">
      <w:pPr>
        <w:pStyle w:val="TextoNormal"/>
      </w:pPr>
    </w:p>
    <w:p w:rsidR="00D06117" w:rsidRDefault="00D06117" w:rsidP="00D06117">
      <w:pPr>
        <w:pStyle w:val="TextoNormal"/>
      </w:pPr>
      <w:r>
        <w:t>Con independencia de la caracterización que pueda hacerse de los consejos, señala el Abogado de la Comunidad Autónoma que “resulta indudable la existencia de una competencia específica, expresión del principio de autoorganización, derivada de la expresa remisión a una ley del Parlamento de las Illes Balears contenida en los artículos 5.2 y 36 del Estatuto de Autonomía que se vincula directamente, como también deriva directamente del artículo 18.2 del propio texto, a la Constitución y al Estatuto de Autonomía, en cuanto regula una institución propia de la Comunidad Autónoma, sobre la que se proyecta la más intensa interiorización posible”. El propio Estatuto de Autonomía atenúa el sometimiento de la ley de consejos a la legislación básica estatal de régimen local al afirmar que aquélla ha de aprobarse “en el marco” de ésta.</w:t>
      </w:r>
    </w:p>
    <w:p w:rsidR="00D06117" w:rsidRDefault="00D06117" w:rsidP="00D06117">
      <w:pPr>
        <w:pStyle w:val="TextoNormal"/>
      </w:pPr>
    </w:p>
    <w:p w:rsidR="00D06117" w:rsidRDefault="00D06117" w:rsidP="00D06117">
      <w:pPr>
        <w:pStyle w:val="TextoNormal"/>
      </w:pPr>
      <w:r>
        <w:t>c) Las singularidades de los consejos insulares han hallado reflejo en la reforma de la Ley Orgánica del Tribunal Constitucional por la Ley Orgánica 7/1999, de 21 de abril, y de la Ley Orgánica del régimen electoral general por la Ley Orgánica 8/1999, de 21 abril (aquí, por omisión de toda referencia a estos órganos). Así, la nueva disposición adicional tercera LOTC, tras asimilar las islas a las provincias en el régimen general de legitimación para promover el conflicto en defensa de la autonomía local, establece una legitimación específica para los consejos insulares aunque no se alcance el porcentaje de población exigido, si bien únicamente para impugnar leyes autonómicas. Esta previsión obedecería, a juicio del representante autonómico, a la consideración de los consejos como instituciones propias y peculiares de la Comunidad Autónoma, con competencias ejecutivas garantizadas por el Estatuto de Autonomía (art. 39).</w:t>
      </w:r>
    </w:p>
    <w:p w:rsidR="00D06117" w:rsidRDefault="00D06117" w:rsidP="00D06117">
      <w:pPr>
        <w:pStyle w:val="TextoNormal"/>
      </w:pPr>
    </w:p>
    <w:p w:rsidR="00D06117" w:rsidRDefault="00D06117" w:rsidP="00D06117">
      <w:pPr>
        <w:pStyle w:val="TextoNormal"/>
      </w:pPr>
      <w:r>
        <w:lastRenderedPageBreak/>
        <w:t>Las singularidades en materia electoral arrancan del Real Decreto-ley 18/1978, de 13 de junio, que aprobó el régimen preautonómico del archipiélago balear e instituyó, junto al Consejo General Interinsular, los consejos insulares. En el momento de formular las alegaciones, la Ley Orgánica del régimen electoral general contiene reglas específicas para la elección de diputados provinciales (arts. 202 y ss.) y de miembros de los Cabildos insulares canarios (art. 201), pero no de los consejos insulares. Para el Letrado autonómico, la razón de esta omisión ha de buscarse en el especial tratamiento de los consejos insulares por el Estatuto de Autonomía de las Illes Balears, que ha dispuesto su integración por los Diputados autonómicos elegidos en cada una de las islas, quebrando con ello todo pretendido uniformismo en el régimen electoral local.</w:t>
      </w:r>
    </w:p>
    <w:p w:rsidR="00D06117" w:rsidRDefault="00D06117" w:rsidP="00D06117">
      <w:pPr>
        <w:pStyle w:val="TextoNormal"/>
      </w:pPr>
    </w:p>
    <w:p w:rsidR="00D06117" w:rsidRDefault="00D06117" w:rsidP="00D06117">
      <w:pPr>
        <w:pStyle w:val="TextoNormal"/>
      </w:pPr>
      <w:r>
        <w:t>d) Aborda a continuación el Letrado autonómico las relaciones existentes entre la Ley de bases de régimen local y los consejos insulares, a los que aquélla se refiere únicamente al abordar los regímenes especiales con respecto a la provincia (capítulo III del título III). La regulación es sumamente escueta pero ilustrativa del reconocimiento de la singularidad de las islas y los consejos, remitiéndose expresamente los arts. 40 y 41 al Estatuto de Autonomía. Pese a que esta remisión opere en materia competencial, entiende el Abogado de la Comunidad Autónoma que nada impide su consideración para la organización y funcionamiento de los consejos.</w:t>
      </w:r>
    </w:p>
    <w:p w:rsidR="00D06117" w:rsidRDefault="00D06117" w:rsidP="00D06117">
      <w:pPr>
        <w:pStyle w:val="TextoNormal"/>
      </w:pPr>
    </w:p>
    <w:p w:rsidR="00D06117" w:rsidRDefault="00D06117" w:rsidP="00D06117">
      <w:pPr>
        <w:pStyle w:val="TextoNormal"/>
      </w:pPr>
      <w:r>
        <w:t>En opinión del Letrado autonómico, la cuestión central consiste en determinar el alcance del art. 41.3 LBRL, de acuerdo con el cual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En el art. 41.1 LBRL se dice claramente que los órganos de gobierno y administración de las islas del archipiélago canario “se rigen por las normas de esta Ley que regulan la organización y funcionamiento de las Diputaciones Provinciales”, expresión muy distinta de la empleada para referirse a los órganos de gobierno y administración de las islas del archipiélago balear, a los cuales les “son de aplicación” las reglas organizativas establecidas para las Diputaciones provinciales. Entiende el Abogado de la Comunidad Autónoma que el art. 41.3 LBRL “contiene una cláusula de cierre destinada a asegurar la aplicación del régimen básico estatal a los Consejos Insulares, pero sin impedir que la normativa por la que debe ‘regirse’ principalmente la organización y el funcionamiento de éstos sea, fundamentalmente, la que establezca el Parlamento balear sobre la base de los artículos 5, 18 y 36 del Estatuto.”</w:t>
      </w:r>
    </w:p>
    <w:p w:rsidR="00D06117" w:rsidRDefault="00D06117" w:rsidP="00D06117">
      <w:pPr>
        <w:pStyle w:val="TextoNormal"/>
      </w:pPr>
    </w:p>
    <w:p w:rsidR="00D06117" w:rsidRDefault="00D06117" w:rsidP="00D06117">
      <w:pPr>
        <w:pStyle w:val="TextoNormal"/>
      </w:pPr>
      <w:r>
        <w:t>El art. 41.3 LBRL completa, en régimen de supletoriedad, el elemento más importante de la organización de los consejos insulares: la composición de sus órganos establecida por el Estatuto de Autonomía y la Ley electoral autonómica. De modo que la ley impugnada no contradice la disposición normativa estatal sino que la completa, en el mismo sentido que la Ley electoral autonómica.</w:t>
      </w:r>
    </w:p>
    <w:p w:rsidR="00D06117" w:rsidRDefault="00D06117" w:rsidP="00D06117">
      <w:pPr>
        <w:pStyle w:val="TextoNormal"/>
      </w:pPr>
    </w:p>
    <w:p w:rsidR="00D06117" w:rsidRDefault="00D06117" w:rsidP="00D06117">
      <w:pPr>
        <w:pStyle w:val="TextoNormal"/>
      </w:pPr>
      <w:r>
        <w:t xml:space="preserve">A la uniforme aplicación de lo básico postulada en la demanda opone el Letrado autonómico la singularidad de la regulación de los consejos insulares contenida en el Estatuto de Autonomía, marco de necesaria consideración en la regulación de la figura, así como la doctrina sentada en la STC 109/1998, de 21 de mayo, en cuyo fundamento jurídico quinto se destaca la posibilidad de excepciones, modulaciones y especialidades frente a un régimen </w:t>
      </w:r>
      <w:r>
        <w:lastRenderedPageBreak/>
        <w:t>básico común, siempre que cuenten con base constitucional o estatutaria. Opone igualmente el “principio de que es básico que haya tratamiento jurídico distinto para entes locales diferentes”, regla de diversidad que se recoge en el art. 2.1 LBRL y sobre la que se pronunció la STC 214/1989. Una buena muestra de ello lo constituiría la Ley 11/1999, de 21 de abril, que abre la puerta a especialidades organizativas para los municipios de Madrid y Barcelona.</w:t>
      </w:r>
    </w:p>
    <w:p w:rsidR="00D06117" w:rsidRDefault="00D06117" w:rsidP="00D06117">
      <w:pPr>
        <w:pStyle w:val="TextoNormal"/>
      </w:pPr>
    </w:p>
    <w:p w:rsidR="00D06117" w:rsidRDefault="00D06117" w:rsidP="00D06117">
      <w:pPr>
        <w:pStyle w:val="TextoNormal"/>
      </w:pPr>
      <w:r>
        <w:t>Discrepa igualmente de la consideración que el principio de representatividad recibe en la demanda. En respuesta al mismo parte de que, según se afirmó en la STC 32/1985, de 6 de marzo, cualquier referencia a órganos representativos debe entenderse hecha, desde el punto de vista técnico-jurídico, a órganos integrados por miembros con mandato representativo, siendo el derecho proclamado en el art. 23.2 CE un derecho de configuración legal. La Ley de bases de régimen local exige la participación de los miembros electos en los órganos necesarios que contempla el art. 32.1, e incluso en los órganos de estudio, informe o consulta de los asuntos que deban someterse al Pleno (art. 32.2), pero no en el resto de órganos complementarios de los anteriores, que las leyes autonómicas puedan establecer (art. 32.3). Ésta es la configuración legal del principio de representatividad establecida con carácter básico para los entes locales de ámbito provincial. Tras citar la doctrina sentada en la STC 185/1999, de 11 de octubre, reconoce el Letrado autonómico que “no puede negarse que la ley impugnada permite insertar en el esquema corporativo de los Consejos Insulares elementos de organización que pueden funcionar de acuerdo con el principio de gestión burocrática, si así lo decide el Pleno de cada Consejo Insular al aprobar el correspondiente Reglamento orgánico”, solución que se encuentra al alcance del legislador autonómico cuando actúa en desarrollo del art. 39 del Estatuto de Autonomía, sin que sufra el principio controvertido, pues la imagen constitucional de la representación política queda satisfecha si se respeta el núcleo básico organizativo (en particular, la representatividad y competencias del Pleno) y si los órganos formados por los miembros electos (Pleno, Presidente y Comisión de gobierno) retienen el control y la decisión última en los asuntos competencia del ente insular. Por otro lado, llama la atención el Abogado de la Comunidad Autónoma sobre el hecho de que nada de lo dispuesto en el bloque de constitucionalidad impide la introducción en los entes territoriales de carácter corporativo de elementos organizativos de estructura burocrática, en especial si responden únicamente a la iniciativa del órgano plenario, que retiene su control (así lo demuestra el panorama organizativo de los grandes municipios y las propias leyes de transferencia de competencias a los consejos insulares). A este respecto indica que la ley controvertida procede únicamente a dotar de una estructura racional a los órganos precisos para gestionar eficazmente las competencias transferidas por el Parlamento de las Illes Balears. El principio representativo garantiza la integridad de las competencias del Pleno, Presidente y Comisión de gobierno, pero no impide la creación de órganos burocráticos que los asistan, tanto menos en el caso de los consejos insulares, instituciones propias de la Comunidad Autónoma. Concluye este punto el Letrado autonómico haciendo énfasis en que la ley controvertida asegura la primacía de los órganos representativos desde el momento en que la creación de los órganos burocráticos requiere de una previsión expresa en el Reglamento orgánico, su presidencia corresponde al propio Presidente del consejo insular y revisa sus resoluciones en vía de recurso.</w:t>
      </w:r>
    </w:p>
    <w:p w:rsidR="00D06117" w:rsidRDefault="00D06117" w:rsidP="00D06117">
      <w:pPr>
        <w:pStyle w:val="TextoNormal"/>
      </w:pPr>
    </w:p>
    <w:p w:rsidR="00D06117" w:rsidRDefault="00D06117" w:rsidP="00D06117">
      <w:pPr>
        <w:pStyle w:val="TextoNormal"/>
      </w:pPr>
      <w:r>
        <w:t xml:space="preserve">El escrito de demanda defiende la necesidad de dar a los consejos insulares un tratamiento idéntico al de un ente local “común” y la misma organización que a la provincia, olvidando así lo dispuesto al respecto en la propia Ley de bases de régimen local e ignorando </w:t>
      </w:r>
      <w:r>
        <w:lastRenderedPageBreak/>
        <w:t>las singularidades que dimanan de la regulación estatutaria de los consejos y que exigen una organización propia, adaptada a su complejidad competencial.</w:t>
      </w:r>
    </w:p>
    <w:p w:rsidR="00D06117" w:rsidRDefault="00D06117" w:rsidP="00D06117">
      <w:pPr>
        <w:pStyle w:val="TextoNormal"/>
      </w:pPr>
    </w:p>
    <w:p w:rsidR="00D06117" w:rsidRDefault="00D06117" w:rsidP="00D06117">
      <w:pPr>
        <w:pStyle w:val="TextoNormal"/>
      </w:pPr>
      <w:r>
        <w:t>Llama la atención asimismo el Letrado autonómico sobre el alcance limitado que en la demanda se da a la organización complementaria prevista en el art. 32.3 LBRL. En este punto indica que la ley controvertida no pretende tanto desarrollar las posibilidades abiertas por el art. 32.3 LBRL sino ejercitar una competencia específicamente recogida en los arts. 5.2 y 36 del Estatuto de Autonomía. Añade que de lo dispuesto en la normativa básica de régimen local y en la Ley 30/1992, de 26 de noviembre, de régimen jurídico de las Administraciones públicas y del procedimiento administrativo común, puede inferirse un principio general de nuestro Derecho administrativo según el cual todo órgano administrativo de carácter activo, creado de acuerdo con la ley, puede ejercer funciones y competencias administrativas de carácter ejecutivo o resolutorio, salvo que estén atribuidas a otro órgano o que una regla expresa lo prohíba, de modo que no incurre en vicio alguno el legislador autonómico al permitir que los órganos burocráticos ejerzan facultades de tipo resolutorio.</w:t>
      </w:r>
    </w:p>
    <w:p w:rsidR="00D06117" w:rsidRDefault="00D06117" w:rsidP="00D06117">
      <w:pPr>
        <w:pStyle w:val="TextoNormal"/>
      </w:pPr>
    </w:p>
    <w:p w:rsidR="00D06117" w:rsidRDefault="00D06117" w:rsidP="00D06117">
      <w:pPr>
        <w:pStyle w:val="TextoNormal"/>
      </w:pPr>
      <w:r>
        <w:t>Sintetizando lo expuesto, el Letrado autonómico destaca que la remisión a las normas que regulan la organización y funcionamiento de las Diputaciones provinciales contenida en el art. 41.3 LBRL ha de interpretarse en clave estatutaria, de modo que ha de primarse su interpretación armónica con la consideración de los consejos insulares como instituciones propias de la Comunidad Autónoma “con un fuerte grado de interiorización” [STC 214/1989, de 21 de diciembre, FJ 4 b)], en particular tratándose de una cuestión, como la que ahora nos ocupa, estrictamente organizativa y que no tiene mayor incidencia sobre otros intereses generales de alcance supraautonómico. Por otro lado, la normativa básica admite que la propia normativa autonómica pueda establecer regulaciones provinciales complementarias (art. 32.3 LBRL).</w:t>
      </w:r>
    </w:p>
    <w:p w:rsidR="00D06117" w:rsidRDefault="00D06117" w:rsidP="00D06117">
      <w:pPr>
        <w:pStyle w:val="TextoNormal"/>
      </w:pPr>
    </w:p>
    <w:p w:rsidR="00D06117" w:rsidRDefault="00D06117" w:rsidP="00D06117">
      <w:pPr>
        <w:pStyle w:val="TextoNormal"/>
      </w:pPr>
      <w:r>
        <w:t>e) La ley controvertida parte de la premisa de que los consejos insulares son la forma de gobierno y administración de unos específicos y peculiares entes locales, las islas, que el Estatuto de Autonomía ha configurado como institución propia de la Comunidad Autónoma, como auténticos elementos básicos vertebradores de la misma, en lo que constituye un rasgo singular, un auténtico hecho diferencial. Se diferencian de las Diputaciones provinciales tanto por lo extenso de las materias en las que está estatutariamente prevista la transferencia de funciones a las islas, y que contrasta con el limitado acervo competencial de las Diputaciones, como por la composición de los consejos insulares.</w:t>
      </w:r>
    </w:p>
    <w:p w:rsidR="00D06117" w:rsidRDefault="00D06117" w:rsidP="00D06117">
      <w:pPr>
        <w:pStyle w:val="TextoNormal"/>
      </w:pPr>
    </w:p>
    <w:p w:rsidR="00D06117" w:rsidRDefault="00D06117" w:rsidP="00D06117">
      <w:pPr>
        <w:pStyle w:val="TextoNormal"/>
      </w:pPr>
      <w:r>
        <w:t xml:space="preserve">El legislador autonómico ha creído imprescindible abrir la posibilidad para que, mediante la aprobación plenaria de los reglamentos orgánicos, se cree una organización burocrática estrictamente supeditada a los órganos básicos y representativos del ente local, a los que en ningún caso desplazan ni sustituyen. De este modo, y a la vista de la complejidad competencial de los consejos insulares, se satisface mejor el principio de eficacia del art. 103.1 CE. Consecuentemente, la ley estructura un régimen organizativo “necesario” de los consejos insulares que se acomoda plenamente a lo previsto en la normativa básica de régimen local. Son elementos de ese régimen organizativo los siguientes: un Pleno, para el cual el art. 8.1 de la Ley autonómica reproduce el contenido competencial del art. 33.2 y 3 LBRL, añadiéndole otras competencias derivadas de su consideración como institución propia de la Comunidad Autónoma; un Presidente, a quien el art. 9.2 de la Ley 8/2000 le asigna, además de las competencias del art. 34.1 LBRL, otras específicas; una Comisión de gobierno </w:t>
      </w:r>
      <w:r>
        <w:lastRenderedPageBreak/>
        <w:t>de idéntica composición a la prevista en el art. 35.1 LBRL, que ostenta tanto las competencias del art. 35.2 LBRL como aquellas otras que, en régimen de desconcentración, le asigne el reglamento orgánico. La Ley 8/2000 permite que el reglamento orgánico cree direcciones insulares y secretarías técnicas “dependientes directamente de la Presidencia del Consejo o de los consejeros miembros de la Comisión de Gobierno” (art. 14.1), opción que encuentra acomodo en la competencia para la organización de las instituciones propias de la Comunidad Autónoma, pero que también sería acorde con lo previsto en el art. 32.3 LBRL.</w:t>
      </w:r>
    </w:p>
    <w:p w:rsidR="00D06117" w:rsidRDefault="00D06117" w:rsidP="00D06117">
      <w:pPr>
        <w:pStyle w:val="TextoNormal"/>
      </w:pPr>
    </w:p>
    <w:p w:rsidR="00D06117" w:rsidRDefault="00D06117" w:rsidP="00D06117">
      <w:pPr>
        <w:pStyle w:val="TextoNormal"/>
      </w:pPr>
      <w:r>
        <w:t>Junto con la organización “necesaria” la Ley 8/2000 hace posible la existencia de un consejo ejecutivo que se configura como órgano burocrático (art. 7.5) de gobierno. La fórmula utilizada respeta la capacidad de autoorganización de los entes locales y también el principio de representatividad, referido a un ente local profundamente interiorizado en la Comunidad Autónoma ya que todas sus decisiones son susceptibles de recurso de alzada ante el Pleno [art. 8.1 v)], el Presidente [art. 9.2 u)], o la Comisión de gobierno [art. 10.2 a)], que, de este modo, retienen el control que el carácter representativo del ente local exige. Es cierto que se atribuye a este órgano la función ejecutiva en relación con las competencias transferidas o delegadas por la Comunidad Autónoma, pero eso no supone que sustituya o suplante ninguna de las funciones atribuidas a los demás órganos de gobierno del ente local, pues existe una cautela específica a este respecto en el art. 12 de la ley controvertida.</w:t>
      </w:r>
    </w:p>
    <w:p w:rsidR="00D06117" w:rsidRDefault="00D06117" w:rsidP="00D06117">
      <w:pPr>
        <w:pStyle w:val="TextoNormal"/>
      </w:pPr>
    </w:p>
    <w:p w:rsidR="00D06117" w:rsidRDefault="00D06117" w:rsidP="00D06117">
      <w:pPr>
        <w:pStyle w:val="TextoNormal"/>
      </w:pPr>
      <w:r>
        <w:t>La creación del consejo ejecutivo incide sobre la composición y atribuciones de la comisión de gobierno, pero esa incidencia —plasmada en los arts. 7.3 y 10.2 de la Ley 8/2000— no es contraria a la Constitución por las siguientes razones. En primer lugar, la válida creación del consejo ejecutivo, derivada de la configuración de los consejos insulares como instituciones propias de la Comunidad Autónoma y del principio constitucional de eficacia permite el reajuste en los demás órganos [STC 214/1989, FJ 13 c)]. El distinto tratamiento de la autonomía municipal y provincial en la jurisprudencia constitucional (SSTC 4/1981, 32/1981 y 109/1998) permite sostener la necesidad de acotar la garantía institucional de la autonomía insular que debilite la intensidad de la legislación básica estatal frente a la extensa y pormenorizada regulación de los consejos insulares en el Estatuto de Autonomía de las Illes Balears. Las modificaciones introducidas en la comisión de gobierno no ponen en riesgo su núcleo esencial pues pretenden incrementar su representatividad y asegurar su posición de primacía jerárquica respecto del consejo ejecutivo, a cuyos efectos se le atribuye la resolución de los recursos de alzada contra las resoluciones dictadas por dicho consejo. A mayor abundamiento, el incremento de la representatividad de su composición encuentra respaldo en la propia normativa básica (art. 32.2 LBRL).</w:t>
      </w:r>
    </w:p>
    <w:p w:rsidR="00D06117" w:rsidRDefault="00D06117" w:rsidP="00D06117">
      <w:pPr>
        <w:pStyle w:val="TextoNormal"/>
      </w:pPr>
    </w:p>
    <w:p w:rsidR="00D06117" w:rsidRDefault="00D06117" w:rsidP="00D06117">
      <w:pPr>
        <w:pStyle w:val="TextoNormal"/>
      </w:pPr>
      <w:r>
        <w:t>El esquema organizativo ahora examinado se completa con la posibilidad de delegación del ejercicio de competencias del Pleno en el Presidente o en la comisión de gobierno, y las correspondientes al Presidente en el Vicepresidente, la comisión de gobierno o el consejo ejecutivo dado que el art. 34.2 LBRL abre la puerta a la delegación sin concretar ni limitar los órganos a favor de los cuales pueda llevarse a cabo. Por otro lado, la ley cubre el vacío que aqueja a la Ley de bases de régimen local en cuanto a la desconcentración en el ámbito provincial y, cumpliendo el mandato del art. 103.1 CE y del art. 5.2 del Estatuto de Autonomía, e incluso del art. 6 LBRL, la lleva hasta los entes insulares y la desarrolla en relación con el Pleno y el Presidente (arts. 8.3 y 9.3 de la Ley 8/2000, respectivamente), en función de lo que disponga el Reglamento orgánico.</w:t>
      </w:r>
    </w:p>
    <w:p w:rsidR="00D06117" w:rsidRDefault="00D06117" w:rsidP="00D06117">
      <w:pPr>
        <w:pStyle w:val="TextoNormal"/>
      </w:pPr>
    </w:p>
    <w:p w:rsidR="00D06117" w:rsidRDefault="00D06117" w:rsidP="00D06117">
      <w:pPr>
        <w:pStyle w:val="TextoNormal"/>
      </w:pPr>
      <w:r>
        <w:lastRenderedPageBreak/>
        <w:t>Se incrementan los medios democráticos de control y fiscalización de los órganos ejecutivos, regulando los debates sobre la actuación política general (art. 17), las preguntas (art. 18), la moción de censura y la cuestión de confianza (art. 16.3), los debates y las mociones [art. 16.1 b) y d), respectivamente], habilitando al Reglamento orgánico para que establezca otros instrumentos (art. 16.2 in fine). De estos preceptos se impugnan los arts. 16.1, 17.2 y 18.1, por referir el control al consejo ejecutivo, pero también el art. 16.3 por añadir la particular de que el Presidente puede plantear cuestión de confianza “sobre su programa en conjunto, sobre una declaración de política general o sobre la aprobación de cualquier asunto o actuación de relevancia política”. Para el Abogado de la Comunidad Autónoma la impugnación trae causa, también en este punto, de la falta de consideración de los consejos insulares como institución propia de la Comunidad Autónoma y prescinde del hecho de que la Ley Orgánica del régimen electoral general no contiene ninguna referencia a los consejos insulares, lo que contrasta con la regulación de las Diputaciones provinciales y los Cabildos insulares canarios. Es el Estatuto de Autonomía la norma que regula la elección de los miembros de los consejos insulares, sus causas de inelegibilidad, renuncia, etc., abriendo con ello la puerta para la regulación por el legislador autonómico de los supuestos en los que el Presidente del consejo puede plantear cuestión de confianza.</w:t>
      </w:r>
    </w:p>
    <w:p w:rsidR="00D06117" w:rsidRDefault="00D06117" w:rsidP="00D06117">
      <w:pPr>
        <w:pStyle w:val="TextoNormal"/>
      </w:pPr>
    </w:p>
    <w:p w:rsidR="00D06117" w:rsidRDefault="00D06117" w:rsidP="00D06117">
      <w:pPr>
        <w:pStyle w:val="TextoNormal"/>
      </w:pPr>
      <w:r>
        <w:t>f) Seguidamente el Abogado de la Comunidad Autónoma responde a la impugnación de los arts. 7.1, 3 y 5; 8.1 h) y v); 9.2 u) y 3; 12; 13; 14; 15.1 a); 16.1; 18.1; 20.4, 5 y 6 y 22.2 y 3 de la Ley del Parlamento de las Illes Balears 8/2000. En su opinión, la demanda desconoce la singularidad de la regulación de los consejos insulares en el Estatuto de Autonomía, la primacía del Estatuto de Autonomía y su más directa vinculación con la Constitución, en tanto que norma institucional básica (art. 147.1 CE), la existencia de una competencia específica para que el Parlamento autonómico apruebe una ley que regule esta institución, la relativización del concepto de lo básico y su consiguiente efecto sobre el alcance del art. 41.3 LBRL, que ha de ser interpretado en clave constitucional, el verdadero alcance del principio representativo como determinante de la participación de los miembros electos en los órganos del ente local y la posibilidad incuestionable de órganos complementarios burocráticos con competencias resolutorias, así como la naturaleza de la organización complementaria vinculada a su existencia contingente y no necesaria, sin relación alguna con su importancia o el ejercicio de funciones ejecutivas. “Y aún habría que añadir que no existe un solo artículo en la LBRL que prohíba crear órganos complementarios de carácter burocrático.”</w:t>
      </w:r>
    </w:p>
    <w:p w:rsidR="00D06117" w:rsidRDefault="00D06117" w:rsidP="00D06117">
      <w:pPr>
        <w:pStyle w:val="TextoNormal"/>
      </w:pPr>
    </w:p>
    <w:p w:rsidR="00D06117" w:rsidRDefault="00D06117" w:rsidP="00D06117">
      <w:pPr>
        <w:pStyle w:val="TextoNormal"/>
      </w:pPr>
      <w:r>
        <w:t xml:space="preserve">Con respecto al art. 7.1, 3 y 5 sostiene el Letrado autonómico que la solución arbitrada por el Parlamento de las Illes Balears se funda directamente en la competencia específica de los arts. 5.2 y 36 del Estatuto de Autonomía y es expresión de la potestad de organización de una institución propia de la Comunidad Autónoma que se justifica en aras del principio de constitucional de eficacia de la acción administrativa y atendiendo a la complejidad competencial derivada del art. 39 del Estatuto de Autonomía y de las numerosas leyes de transferencia aprobadas por el Parlamento de las Illes Balears. Dicho de otro modo, la creación del consejo ejecutivo no es tan solo desarrollo legislativo de la normativa básica de régimen local (que también podría darle amparo). La configuración burocrática del consejo ejecutivo no afecta en absoluto al contenido representativo de los miembros electos del Consejo Insular pues éstos integran todos los órganos básicos y necesarios del ente local, siendo así, además, que dichos órganos necesarios no sufren merma competencial alguna y se garantiza el control —incluso a través del recurso de alzada— de los actos administrativos dictados </w:t>
      </w:r>
      <w:r>
        <w:lastRenderedPageBreak/>
        <w:t>por los órganos burocráticos. Se apunta incluso la posibilidad de que cada Consejo Insular crease, en su propio Reglamento orgánico, un órgano de colaboración y asistencia al Presidente con la misma composición que la establecida en la Ley 8/2000 para el consejo ejecutivo. Si esto es así, no cabe formular más reproche al legislador autonómico que la vulneración de los preceptos básicos relativos a la posición organizativa o a las competencias de los órganos insulares necesarios. En relación con la composición de la comisión de gobierno cuando exista consejo ejecutivo se remite a lo ya expuesto en el apartado anterior.</w:t>
      </w:r>
    </w:p>
    <w:p w:rsidR="00D06117" w:rsidRDefault="00D06117" w:rsidP="00D06117">
      <w:pPr>
        <w:pStyle w:val="TextoNormal"/>
      </w:pPr>
    </w:p>
    <w:p w:rsidR="00D06117" w:rsidRDefault="00D06117" w:rsidP="00D06117">
      <w:pPr>
        <w:pStyle w:val="TextoNormal"/>
      </w:pPr>
      <w:r>
        <w:t>Las letras h) y v) del art. 8.1 se impugnan porque atribuyen al Pleno del Consejo Insular la facultad de creación del consejo ejecutivo y la potestad para resolver los recursos de alzada que se formulen contra los actos del nuevo órgano. Afirmada la validez del consejo ejecutivo, el Letrado autonómico entiende que la solución adoptada por el Parlamento de las Illes Balears es la más respetuosa con la autonomía organizativa del Consejo Insular (STC 214/1989, FJ 6); la atribución de la competencia para resolver los recursos de alzada permite mantener el control último en manos del órgano integrado por miembros electos.</w:t>
      </w:r>
    </w:p>
    <w:p w:rsidR="00D06117" w:rsidRDefault="00D06117" w:rsidP="00D06117">
      <w:pPr>
        <w:pStyle w:val="TextoNormal"/>
      </w:pPr>
    </w:p>
    <w:p w:rsidR="00D06117" w:rsidRDefault="00D06117" w:rsidP="00D06117">
      <w:pPr>
        <w:pStyle w:val="TextoNormal"/>
      </w:pPr>
      <w:r>
        <w:t>El art. 9.2 u) atribuye al Presidente la competencia para resolver los recursos de alzada contra los actos de los consejeros ejecutivos, los secretarios técnicos y los directores insulares y respecto del mismo se remite el Letrado autonómico a la defensa del art. 8.1 de la Ley 8/2000. Añade, en relación igualmente con el art. 9.3, la habilitación que resulta de los arts. 33.4 y 34.2 LBRL.</w:t>
      </w:r>
    </w:p>
    <w:p w:rsidR="00D06117" w:rsidRDefault="00D06117" w:rsidP="00D06117">
      <w:pPr>
        <w:pStyle w:val="TextoNormal"/>
      </w:pPr>
    </w:p>
    <w:p w:rsidR="00D06117" w:rsidRDefault="00D06117" w:rsidP="00D06117">
      <w:pPr>
        <w:pStyle w:val="TextoNormal"/>
      </w:pPr>
      <w:r>
        <w:t>El art. 12 se impugna por atribuir al consejo ejecutivo funciones de gobierno y administración, pese a no ser un órgano de naturaleza representativa. El Letrado autonómico subraya que ello no supone merma competencial alguna del Pleno, Presidente o Comisión de gobierno. Añade que, salvo las asignadas por el reglamento orgánico, delegadas o encomendadas, se le atribuye especialmente la función ejecutiva de las competencias transferidas o delegadas por la Comunidad Autónoma, en coherencia con la configuración del consejo insular como institución propia de la Comunidad Autónoma. Y señala, además, que el consejo ejecutivo actúa bajo la dirección del Presidente del consejo insular, no pudiendo recibir competencias del Pleno.</w:t>
      </w:r>
    </w:p>
    <w:p w:rsidR="00D06117" w:rsidRDefault="00D06117" w:rsidP="00D06117">
      <w:pPr>
        <w:pStyle w:val="TextoNormal"/>
      </w:pPr>
    </w:p>
    <w:p w:rsidR="00D06117" w:rsidRDefault="00D06117" w:rsidP="00D06117">
      <w:pPr>
        <w:pStyle w:val="TextoNormal"/>
      </w:pPr>
      <w:r>
        <w:t>Acerca de la figura de los consejeros ejecutivos, directores generales y secretarios técnicos (art. 13), afirma el Letrado autonómico que no existe obstáculo constitucional para la creación de órganos burocráticos con competencias resolutorias, menos, si cabe, en los entes locales de mayor importancia y complejidad. Así lo demuestran la disposición adicional sexta LBRL, la existencia de gerentes burocráticos en las comarcas catalanas, o los órganos resolutorios burocráticos de los grandes municipios españoles (Barcelona, Bilbao, Madrid, Valencia…). Los mismos motivos avalarían la constitucionalidad del art. 14, relativo a las direcciones insulares y los secretarios técnicos en ausencia de consejo ejecutivo.</w:t>
      </w:r>
    </w:p>
    <w:p w:rsidR="00D06117" w:rsidRDefault="00D06117" w:rsidP="00D06117">
      <w:pPr>
        <w:pStyle w:val="TextoNormal"/>
      </w:pPr>
    </w:p>
    <w:p w:rsidR="00D06117" w:rsidRDefault="00D06117" w:rsidP="00D06117">
      <w:pPr>
        <w:pStyle w:val="TextoNormal"/>
      </w:pPr>
      <w:r>
        <w:t xml:space="preserve">La previsión de que los miembros del consejo ejecutivo intervengan, con voz pero sin voto, en las reuniones plenarias del consejo insular [art. 15.1 a)] en nada perturba el carácter representativo de éste ni el ejercicio de sus funciones por los miembros electos. Se trata, además, de una fórmula ya prevista en la legislación estatal de régimen local pues en los arts. 113.3 y 228 del reglamento de organización, funcionamiento y régimen jurídico de las entidades locales, aprobado mediante Real Decreto 2568/1986, de 26 de noviembre, se </w:t>
      </w:r>
      <w:r>
        <w:lastRenderedPageBreak/>
        <w:t>prevé la intervención de personas ajenas a la Corporación en las sesiones de sus órganos colegiados.</w:t>
      </w:r>
    </w:p>
    <w:p w:rsidR="00D06117" w:rsidRDefault="00D06117" w:rsidP="00D06117">
      <w:pPr>
        <w:pStyle w:val="TextoNormal"/>
      </w:pPr>
    </w:p>
    <w:p w:rsidR="00D06117" w:rsidRDefault="00D06117" w:rsidP="00D06117">
      <w:pPr>
        <w:pStyle w:val="TextoNormal"/>
      </w:pPr>
      <w:r>
        <w:t>Entiende el Letrado autonómico que la impugnación de los arts. 16.1 y 18.1 queda respondida con los argumentos anteriormente expuestos acerca de la validez de la decisión de crear los consejos ejecutivos. Con respecto al art. 20.4, 5 y 6, sostiene que es difícilmente discutible la pertinencia de regular la forma de las resoluciones y acuerdos del consejo ejecutivo, los consejeros, los directores insulares y los secretarios técnicos. Y en cuanto al art. 22.2 y 3, se remite a lo ya expuesto al examinar los arts. 8.1 v) y 9.2 u).</w:t>
      </w:r>
    </w:p>
    <w:p w:rsidR="00D06117" w:rsidRDefault="00D06117" w:rsidP="00D06117">
      <w:pPr>
        <w:pStyle w:val="TextoNormal"/>
      </w:pPr>
    </w:p>
    <w:p w:rsidR="00D06117" w:rsidRDefault="00D06117" w:rsidP="00D06117">
      <w:pPr>
        <w:pStyle w:val="TextoNormal"/>
      </w:pPr>
      <w:r>
        <w:t>g) El Letrado autonómico defiende, a continuación, la constitucionalidad del art. 7.3, relativo a la composición de la comisión de gobierno, y, por conexión, de los arts. 8.3 y 10.2. La ley autonómica no pretende tanto el desarrollo legislativo de la normativa básica (arts. 35.1 y 2 LBRL), cuanto la adaptación de aspectos no esenciales de la ordenación de la comisión de gobierno a la eventualidad consistente en la creación del consejo ejecutivo. Sostiene que tanto la composición prevista para la comisión de gobierno como la atribución a la misma de la función de estudio, informe y propuesta de los asuntos del Pleno encuentran cabida en el art. 32.2 LBRL, al tiempo que menciona la apertura a la legislación autonómica contenida en el art. 35.2 c) LBRL.</w:t>
      </w:r>
    </w:p>
    <w:p w:rsidR="00D06117" w:rsidRDefault="00D06117" w:rsidP="00D06117">
      <w:pPr>
        <w:pStyle w:val="TextoNormal"/>
      </w:pPr>
    </w:p>
    <w:p w:rsidR="00D06117" w:rsidRDefault="00D06117" w:rsidP="00D06117">
      <w:pPr>
        <w:pStyle w:val="TextoNormal"/>
      </w:pPr>
      <w:r>
        <w:t>Si se admite que la creación del consejo ejecutivo entra dentro de la esfera competencial del legislador autonómico, es coherente que las demás piezas de la organización de los Consejos insulares se vean afectadas en aras de la racionalidad del modelo establecido. Concretamente, es conveniente que los recursos interpuestos contra los actos del consejo ejecutivo los resuelva un órgano colegiado —de funcionamiento previsiblemente más ágil que el del Pleno— en el que estén representadas todas las fuerzas políticas. El sacrificio parcial de la libertad de designación de los miembros de la Comisión de gobierno por el Presidente queda compensado por el reforzamiento del funcionamiento democrático de las instituciones insulares. En consecuencia, “no contradice la Constitución, ni la legislación básica, la existencia de órganos ejecutivos, de carácter no necesario, que estén integrados por titulares libremente designados por el Presidente del Consejo Insular.” La solución puede tildarse de imaginativa, pero en nada atenta a la esencia de la autonomía local ya que no altera “la imagen prototípica que del Pleno y de los demás órganos corporativos se establece en la legislación estatal de carácter básico”.</w:t>
      </w:r>
    </w:p>
    <w:p w:rsidR="00D06117" w:rsidRDefault="00D06117" w:rsidP="00D06117">
      <w:pPr>
        <w:pStyle w:val="TextoNormal"/>
      </w:pPr>
    </w:p>
    <w:p w:rsidR="00D06117" w:rsidRDefault="00D06117" w:rsidP="00D06117">
      <w:pPr>
        <w:pStyle w:val="TextoNormal"/>
      </w:pPr>
      <w:r>
        <w:t>h) Para concluir, se defiende la constitucionalidad de los arts. 8.2, 15.2, 16.3 y 17.3 de la Ley del Parlamento de las Illes Balears 8/2000.</w:t>
      </w:r>
    </w:p>
    <w:p w:rsidR="00D06117" w:rsidRDefault="00D06117" w:rsidP="00D06117">
      <w:pPr>
        <w:pStyle w:val="TextoNormal"/>
      </w:pPr>
    </w:p>
    <w:p w:rsidR="00D06117" w:rsidRDefault="00D06117" w:rsidP="00D06117">
      <w:pPr>
        <w:pStyle w:val="TextoNormal"/>
      </w:pPr>
      <w:r>
        <w:t>El art. 8.2 establece las competencias que el Pleno puede delegar, y lo hace de conformidad con lo dispuesto en el art. 33.4 LBRL. Todos los supuestos en los que no cabe la delegación coinciden con este precepto básico, excepto el mencionado en la letra ñ), que alude a aquellos que corresponden al Pleno “por exigir su aprobación una mayoría especial”. La demanda entiende que esta condición concurre en las letras k), o) y q) del art. 8.1 de la Ley autonómica por versar sobre supuestos asimilables a las letras f), c) y k), respectivamente, del art. 47.3 LBRL. A ello replica el Letrado autonómico que la omisión “encuentra justificación en que no se trata de ‘materias’ indelegables, por lo que no integran el núcleo esencial que no admite modulación por las especialidades derivadas de la configuración de los Consejos Insulares contenida en el Estatuto de Autonomía.”</w:t>
      </w:r>
    </w:p>
    <w:p w:rsidR="00D06117" w:rsidRDefault="00D06117" w:rsidP="00D06117">
      <w:pPr>
        <w:pStyle w:val="TextoNormal"/>
      </w:pPr>
    </w:p>
    <w:p w:rsidR="00D06117" w:rsidRDefault="00D06117" w:rsidP="00D06117">
      <w:pPr>
        <w:pStyle w:val="TextoNormal"/>
      </w:pPr>
      <w:r>
        <w:t>Defiende asimismo la constitucionalidad de la atribución del cargo de Secretario del consejo ejecutivo a un miembro de este órgano colegiado porque del art. 92.2 y 3 a) LBRL no se desprende que el cargo de secretario de todos los órganos locales deba recaer en un funcionario con habilitación de carácter nacional. Además, la reserva no se extiende a los órganos burocráticos y así lo entendió el Tribunal Supremo en su Sentencia de 26 de junio de 1998, entonces en relación con el secretario de la Comisión insular de urbanismo.</w:t>
      </w:r>
    </w:p>
    <w:p w:rsidR="00D06117" w:rsidRDefault="00D06117" w:rsidP="00D06117">
      <w:pPr>
        <w:pStyle w:val="TextoNormal"/>
      </w:pPr>
    </w:p>
    <w:p w:rsidR="00D06117" w:rsidRDefault="00D06117" w:rsidP="00D06117">
      <w:pPr>
        <w:pStyle w:val="TextoNormal"/>
      </w:pPr>
      <w:r>
        <w:t>La regulación de la cuestión de confianza contenida en el art. 16.3 tampoco merecería reproche alguno pues su impugnación parte del desconocimiento de que los Consejos insulares están integrados por los Diputados del Parlamento autonómico elegidos en las correspondientes islas. Se trata de una institución propia de la Comunidad Autónoma sobre la que guarda respetuoso silencio la Ley Orgánica del régimen electoral general, silencio que no puede interpretarse como aplicación errónea de las disposiciones contempladas para otras entidades.</w:t>
      </w:r>
    </w:p>
    <w:p w:rsidR="00D06117" w:rsidRDefault="00D06117" w:rsidP="00D06117">
      <w:pPr>
        <w:pStyle w:val="TextoNormal"/>
      </w:pPr>
    </w:p>
    <w:p w:rsidR="00D06117" w:rsidRDefault="00D06117" w:rsidP="00D06117">
      <w:pPr>
        <w:pStyle w:val="TextoNormal"/>
      </w:pPr>
      <w:r>
        <w:t>El art. 17.2 prevé la convocatoria extraordinaria del Pleno del Consejo insular para debatir la gestión del consejo ejecutivo en áreas concretas, a solicitud de dos grupos políticos o una quinta parte de los miembros del Pleno. Esta previsión incrementa la representatividad del Pleno y su control sobre el consejo ejecutivo sin desnaturalizar la institución. A ello se añade, subraya el Letrado autonómico, que el objeto de la sesión extraordinaria prevista en este precepto venga tan estrechamente vinculado a la condición de los Consejos insulares como institución propia de la Comunidad Autónoma.</w:t>
      </w:r>
    </w:p>
    <w:p w:rsidR="00D06117" w:rsidRDefault="00D06117" w:rsidP="00D06117">
      <w:pPr>
        <w:pStyle w:val="TextoNormal"/>
      </w:pPr>
    </w:p>
    <w:p w:rsidR="00D06117" w:rsidRDefault="00D06117" w:rsidP="00D06117">
      <w:pPr>
        <w:pStyle w:val="TextoNormal"/>
      </w:pPr>
      <w:r>
        <w:t>El escrito de alegaciones se cierra con la solicitud de que se dicte Sentencia declarando la plena constitucionalidad de todos los preceptos legales impugnados. Por otrosí se interesa que, antes de expirar el plazo de cinco meses establecido en el art. 161.2 CE, se dé traslado a la representación de la Comunidad Autónoma para formular las alegaciones oportunas a fin de obtener el alzamiento de la suspensión acordada.</w:t>
      </w:r>
    </w:p>
    <w:p w:rsidR="00D06117" w:rsidRDefault="00D06117" w:rsidP="00D06117">
      <w:pPr>
        <w:pStyle w:val="TextoNormal"/>
      </w:pPr>
    </w:p>
    <w:p w:rsidR="00D06117" w:rsidRDefault="00D06117" w:rsidP="00D06117">
      <w:pPr>
        <w:pStyle w:val="TextoNormal"/>
      </w:pPr>
      <w:r w:rsidRPr="00D06117">
        <w:rPr>
          <w:rStyle w:val="NumeroAFNegritaCaracter"/>
        </w:rPr>
        <w:t>4</w:t>
      </w:r>
      <w:r>
        <w:t>. Con fecha 22 de enero de 2001 se registró en este Tribunal el escrito de alegaciones del Presidente del Parlamento de las Illes Balears.</w:t>
      </w:r>
    </w:p>
    <w:p w:rsidR="00D06117" w:rsidRDefault="00D06117" w:rsidP="00D06117">
      <w:pPr>
        <w:pStyle w:val="TextoNormal"/>
      </w:pPr>
    </w:p>
    <w:p w:rsidR="00D06117" w:rsidRDefault="00D06117" w:rsidP="00D06117">
      <w:pPr>
        <w:pStyle w:val="TextoNormal"/>
      </w:pPr>
      <w:r>
        <w:t>a) Rechaza el Parlamento autonómico la equiparación mimética de los Consejos insulares y las Diputaciones provinciales que trasluce el escrito de demanda. Sin desconocer que aquéllos son entes locales, hace hincapié en su especificidad resultante de la atención que les dispensa el Estatuto de Autonomía. En este sentido, afirma el Parlamento de las Illes Balears qué preceptos legales impugnados en este proceso constitucional “pretenden, en realidad, simplemente, modular, adaptar y adecuar, sin perjuicio de los principios derivados de la Constitución y de la Ley 7/1985, de 2 de abril, la letra de dicha Ley Reguladora de Bases de Régimen Local a lo dispuesto en el Estatuto de Autonomía de las Illes Balears para los Consejos Insulares.”</w:t>
      </w:r>
    </w:p>
    <w:p w:rsidR="00D06117" w:rsidRDefault="00D06117" w:rsidP="00D06117">
      <w:pPr>
        <w:pStyle w:val="TextoNormal"/>
      </w:pPr>
    </w:p>
    <w:p w:rsidR="00D06117" w:rsidRDefault="00D06117" w:rsidP="00D06117">
      <w:pPr>
        <w:pStyle w:val="TextoNormal"/>
      </w:pPr>
      <w:r>
        <w:t xml:space="preserve">Los consejos insulares no son sólo entidades locales sino, también, instituciones de la propia Comunidad Autónoma, identificadas como tales en el art. 18 del Estatuto de Autonomía, incardinado sistemáticamente al inicio del título III, dedicado justamente a las instituciones de la Comunidad Autónoma de las Illes Balears. Precisamente porque son instituciones propias de la Comunidad Autónoma, en el capítulo IV de ese mismo título III se </w:t>
      </w:r>
      <w:r>
        <w:lastRenderedPageBreak/>
        <w:t>establecen las notas diferenciadoras de los consejos insulares: su composición (art. 37) y competencias (art. 39), remitiendo la regulación específica a una ley del Parlamento autonómico (art. 36).</w:t>
      </w:r>
    </w:p>
    <w:p w:rsidR="00D06117" w:rsidRDefault="00D06117" w:rsidP="00D06117">
      <w:pPr>
        <w:pStyle w:val="TextoNormal"/>
      </w:pPr>
    </w:p>
    <w:p w:rsidR="00D06117" w:rsidRDefault="00D06117" w:rsidP="00D06117">
      <w:pPr>
        <w:pStyle w:val="TextoNormal"/>
      </w:pPr>
      <w:r>
        <w:t>Aunque es cierto que, por aplicación del art. 152.1 CE, normalmente las instituciones de las Comunidades Autónomas se limitan a la Asamblea legislativa, Gobierno y Presidente, nada impide que los Estatutos las doten de una organización institucional diferente, como sucede con la figura del Justicia de Aragón, incluido entre las instituciones autonómicas por mandato estatutario respaldado por la STC 142/1988, de 12 de julio. Al tratarse de instituciones propias, la Comunidad Autónoma ostenta competencia exclusiva sobre la organización, régimen y funcionamiento de los Consejos insulares, sin olvidar que éstos son, además, entes integrantes de la Administración local, dualidad ya contemplada en el art. 5 del Estatuto de Autonomía.</w:t>
      </w:r>
    </w:p>
    <w:p w:rsidR="00D06117" w:rsidRDefault="00D06117" w:rsidP="00D06117">
      <w:pPr>
        <w:pStyle w:val="TextoNormal"/>
      </w:pPr>
    </w:p>
    <w:p w:rsidR="00D06117" w:rsidRDefault="00D06117" w:rsidP="00D06117">
      <w:pPr>
        <w:pStyle w:val="TextoNormal"/>
      </w:pPr>
      <w:r>
        <w:t>b) La referencia al diseño estatutario de los Consejos insulares se completa con la advertencia de que el mismo no es irrelevante pues de él derivan importantes consecuencias de orden jurídico que alcanzan a la definición del régimen jurídico aplicable a estas instituciones propias de la Comunidad Autónoma de las Illes Balears. Las disposiciones de la Ley de bases de régimen local deben ser interpretadas y aplicadas teniendo siempre muy presente que el Estatuto de Autonomía ha establecido una composición y previsto unas competencias de los Consejos insulares en absoluto equivalentes a las de las Diputaciones provinciales. La modulación propugnada hallaría respaldo en la STC 109/1998, de 21 de mayo, FJ 5, de donde puede concluirse que las previsiones de los arts. 5.2 y 36 del Estatuto de Autonomía de las Illes Balears hacen posible la aprobación por el Parlamento autonómico de una ley en materia de Consejos insulares que conjugue lo dispuesto en la Ley reguladora de las bases de régimen local y las disposiciones estatuarias así como, obviamente, los preceptos constitucionales aplicables a esta figura. Éste y no otro es el fin al que responde la Ley 8/2000 de la que forman parte los preceptos controvertidos.</w:t>
      </w:r>
    </w:p>
    <w:p w:rsidR="00D06117" w:rsidRDefault="00D06117" w:rsidP="00D06117">
      <w:pPr>
        <w:pStyle w:val="TextoNormal"/>
      </w:pPr>
    </w:p>
    <w:p w:rsidR="00D06117" w:rsidRDefault="00D06117" w:rsidP="00D06117">
      <w:pPr>
        <w:pStyle w:val="TextoNormal"/>
      </w:pPr>
      <w:r>
        <w:t>La representación del Parlamento autonómico ilustra las diferencias competenciales que separan a los Consejos insulares de las Diputaciones provinciales con la reproducción de los arts. 36 LBRL, atinente a estas últimas, y 39 del Estatuto de Autonomía de las Illes Balears, relativo a aquéllos y cuyas previsiones en punto a transferencias y delegaciones por la Comunidad Autónoma se han materializado en una docena de leyes que igualmente se reseñan.</w:t>
      </w:r>
    </w:p>
    <w:p w:rsidR="00D06117" w:rsidRDefault="00D06117" w:rsidP="00D06117">
      <w:pPr>
        <w:pStyle w:val="TextoNormal"/>
      </w:pPr>
    </w:p>
    <w:p w:rsidR="00D06117" w:rsidRDefault="00D06117" w:rsidP="00D06117">
      <w:pPr>
        <w:pStyle w:val="TextoNormal"/>
      </w:pPr>
      <w:r>
        <w:t xml:space="preserve">De ese conjunto legislativo resulta que a los Consejos insulares les corresponde el ejercicio de numerosas funciones que anteriormente tenía atribuida la Administración autonómica en las siguientes materias: urbanismo y habitabilidad, donde la Comisión insular de urbanismo ejerce muchas de las competencias anteriormente residenciadas en la Consejería de Obras Públicas y Ordenación del Territorio; régimen local, en particular demarcación territorial, comisiones gestoras de nuevos municipios, disposición de bienes patrimoniales, aprobación de expedientes de municipalización de servicios y tutela financiera de las entidades locales; ordenación turística e información turística; servicios sociales y asistencia social, en especial concesión y renovación del título de familia numerosa y concesión y gestión de subvenciones y ayudas en esta materia; inspección técnica de vehículos; patrimonio histórico, promoción sociocultural, de animación sociocultural y de depósito legal de libros y deportes; actividades clasificadas; tutela, acogimiento y adopción de menores; </w:t>
      </w:r>
      <w:r>
        <w:lastRenderedPageBreak/>
        <w:t>transporte por carretera, entre otras servicios de transporte público regular de viajeros, autorizaciones especiales de circulación y estaciones de mercancías y centros de información y distribución de carga; espectáculos públicos y actividades recreativas y, finalmente, agricultura, ganadería, pesca y artesanía. La gestión de todo este haz de competencias resulta inimaginable únicamente con los medios y organización previstos para las Diputaciones provinciales en la Ley de bases de régimen local. Consciente de estas limitaciones, el legislador autonómico se ha permitido crear órganos diferentes para la gestión de algunas de esas competencias, como ha sucedido con las Comisiones insulares de urbanismo y en las materias de patrimonio histórico, actividades clasificadas y tutela, acogimiento y adopción de menores.</w:t>
      </w:r>
    </w:p>
    <w:p w:rsidR="00D06117" w:rsidRDefault="00D06117" w:rsidP="00D06117">
      <w:pPr>
        <w:pStyle w:val="TextoNormal"/>
      </w:pPr>
    </w:p>
    <w:p w:rsidR="00D06117" w:rsidRDefault="00D06117" w:rsidP="00D06117">
      <w:pPr>
        <w:pStyle w:val="TextoNormal"/>
      </w:pPr>
      <w:r>
        <w:t>Para gestionar este voluminoso cuerpo de competencias los Consejos insulares deben dotarse de una organización y adoptar un funcionamiento que difícilmente puede ser idéntico al previsto para las Diputaciones en la Ley de bases de régimen local. Antes bien, deben gozar de la posibilidad de configurar su organización y funcionamiento de modo similar al que correspondía, en la gestión de las mismas, al Estado y a la Comunidad Autónoma, sin someterse rígidamente a un tipo de organización y funcionamiento previsto con carácter genérico por la Ley de bases de régimen local para la gestión de las escasas competencias que corresponden a las Diputaciones provinciales.</w:t>
      </w:r>
    </w:p>
    <w:p w:rsidR="00D06117" w:rsidRDefault="00D06117" w:rsidP="00D06117">
      <w:pPr>
        <w:pStyle w:val="TextoNormal"/>
      </w:pPr>
    </w:p>
    <w:p w:rsidR="00D06117" w:rsidRDefault="00D06117" w:rsidP="00D06117">
      <w:pPr>
        <w:pStyle w:val="TextoNormal"/>
      </w:pPr>
      <w:r>
        <w:t>Dado el número de miembros que, conforme al Estatuto de Autonomía, integran cada uno de los Consejos insulares (33 miembros el de Mallorca y 13 los de Menorca e Ibiza-Formentera) y teniendo en cuenta las mayorías políticas que deben permitir la integración de los diferentes órganos de gobierno, si se siguiera la tesis defendida por el recurrente llegaríamos a una situación en la que el Presidente únicamente dispondría de algo más de la mitad de los miembros de cada institución para nombrar a los gestores políticos que han de integrarse en los diversos órganos de gobierno. Para evitar las disfunciones que podrían resultar de ello la Ley 8/2000 establece una estructura organizativa para la gestión de las competencias transferidas, sin merma del carácter democrático y representativo de los consejos insulares, como bien se aprecia en el régimen de recursos, que garantiza que será siempre un órgano integrado por electos el que, en última instancia y para mayor garantía del ciudadano, resolverá definitivamente en vía administrativa. Solución que contrasta con el hecho de que las competencias hoy atribuidas a los Consejos insulares fueron anteriormente ejercidas por órganos burocráticos, no dotados de ningún carácter democrático, del Estado o de la Comunidad Autónoma.</w:t>
      </w:r>
    </w:p>
    <w:p w:rsidR="00D06117" w:rsidRDefault="00D06117" w:rsidP="00D06117">
      <w:pPr>
        <w:pStyle w:val="TextoNormal"/>
      </w:pPr>
    </w:p>
    <w:p w:rsidR="00D06117" w:rsidRDefault="00D06117" w:rsidP="00D06117">
      <w:pPr>
        <w:pStyle w:val="TextoNormal"/>
      </w:pPr>
      <w:r>
        <w:t>El Parlamento autonómico alude asimismo a la diversidad organizativa que permite la propia Ley reguladora de las bases de régimen local pues la comisión de gobierno no es necesaria en los municipios de menos de 5.000 habitantes, de suerte que si la propia norma básica admite una corrección o modulación de su régimen uniforme, atendidas determinadas circunstancias relativas al número de población de derecho de cada municipio, por la misma razón ha de ser posible, dado el volumen de competencias de cuya gestión se encargan los consejos insulares, la adaptación de su comisión de gobierno cuando exista consejo ejecutivo. Además, fórmulas similares de organización y funcionamiento en el régimen local se han adaptado, sin tacha de constitucionalidad, para las comarcas catalanas a través de la figura del gerente, y para los Ayuntamientos de Barcelona y Madrid.</w:t>
      </w:r>
    </w:p>
    <w:p w:rsidR="00D06117" w:rsidRDefault="00D06117" w:rsidP="00D06117">
      <w:pPr>
        <w:pStyle w:val="TextoNormal"/>
      </w:pPr>
    </w:p>
    <w:p w:rsidR="00D06117" w:rsidRDefault="00D06117" w:rsidP="00D06117">
      <w:pPr>
        <w:pStyle w:val="TextoNormal"/>
      </w:pPr>
      <w:r>
        <w:lastRenderedPageBreak/>
        <w:t>En definitiva, la organización y funcionamiento previstos para los consejos insulares en la ley controvertida no merece ser calificada de inconstitucional pues no pone en entredicho la existencia y contenido de los órganos de los consejos insulares que, conforme con lo previsto en la Ley 7/1985, de 2 de abril, han de considerarse necesarios. La Ley 8/2000, con el fin de dar plena aplicación al principio de eficacia, que debe inspirar la actuación de todas las Administraciones públicas, crea, junto a los órganos necesarios, una serie de órganos complementarios —consejo ejecutivo, direcciones insulares y secretarías técnicas— que contribuyen a facilitar y hacer posible la gestión de los intereses respectivos de cada Consejo insular. La actuación de estos órganos no supone merma del principio representativo porque sus miembros son designados por el Presidente del consejo insular (entidad de indudable carácter presidencialista), sus actuaciones pueden ser revisadas por los órganos integrados por miembros electos, los miembros electos podrán integrarse en los órganos necesarios de acuerdo con la normativa básica, que seguirán existiendo en todo caso y ejerciendo las competencias que les atribuye esa misma normativa básica.</w:t>
      </w:r>
    </w:p>
    <w:p w:rsidR="00D06117" w:rsidRDefault="00D06117" w:rsidP="00D06117">
      <w:pPr>
        <w:pStyle w:val="TextoNormal"/>
      </w:pPr>
    </w:p>
    <w:p w:rsidR="00D06117" w:rsidRDefault="00D06117" w:rsidP="00D06117">
      <w:pPr>
        <w:pStyle w:val="TextoNormal"/>
      </w:pPr>
      <w:r>
        <w:t>c) La propia composición de los consejos insulares prevista por el Estatuto de Autonomía pone de manifiesto que son algo diferente y distinto de las Diputaciones provinciales, lo que aconseja atemperar el régimen uniforme establecido para estas últimas en la Ley de bases de régimen local a fin de adaptarlo a la realidad social y administrativa en la que debe ser aplicado. Esta misma singularidad de los consejos se manifiesta en el art. 38 del Estatuto de Autonomía, donde se establece que los consejeros seguirán ejerciendo sus funciones en el caso de disolución del Parlamento autonómico, lo que tiene especial relevancia en la hipótesis de una disolución anticipada.</w:t>
      </w:r>
    </w:p>
    <w:p w:rsidR="00D06117" w:rsidRDefault="00D06117" w:rsidP="00D06117">
      <w:pPr>
        <w:pStyle w:val="TextoNormal"/>
      </w:pPr>
    </w:p>
    <w:p w:rsidR="00D06117" w:rsidRDefault="00D06117" w:rsidP="00D06117">
      <w:pPr>
        <w:pStyle w:val="TextoNormal"/>
      </w:pPr>
      <w:r>
        <w:t>En conclusión, si bien los consejos insulares forman parte de la Administración local, son también instituciones de la Comunidad Autónoma de las Illes Balears, con unas singularidades o particularidades que las hacen diferentes y distintas de cualquier otra entidad local, que implica que el régimen uniforme de la Ley de bases de régimen local y de la Ley Orgánica del régimen electoral general debe entenderse adecuadamente modulado para la vigencia no sólo de esas normas sino también del Estatuto de Autonomía, correspondiendo esa labor integradora, en el presente caso, a la Ley 8/2000, de 27 de octubre.</w:t>
      </w:r>
    </w:p>
    <w:p w:rsidR="00D06117" w:rsidRDefault="00D06117" w:rsidP="00D06117">
      <w:pPr>
        <w:pStyle w:val="TextoNormal"/>
      </w:pPr>
    </w:p>
    <w:p w:rsidR="00D06117" w:rsidRDefault="00D06117" w:rsidP="00D06117">
      <w:pPr>
        <w:pStyle w:val="TextoNormal"/>
      </w:pPr>
      <w:r>
        <w:t>El Parlamento autonómico concluye su escrito de alegaciones solicitando que se dicte Sentencia declarando la plena constitucionalidad de la ley impugnada y, mediante otrosí, interesa que, antes de la expiración del plazo de cinco meses establecido en el art. 161.2 CE, se le dé traslado para efectuar las alegaciones oportunas a fin de obtener el alzamiento de la suspensión de los preceptos legales impugnados.</w:t>
      </w:r>
    </w:p>
    <w:p w:rsidR="00D06117" w:rsidRDefault="00D06117" w:rsidP="00D06117">
      <w:pPr>
        <w:pStyle w:val="TextoNormal"/>
      </w:pPr>
    </w:p>
    <w:p w:rsidR="00D06117" w:rsidRDefault="00D06117" w:rsidP="00D06117">
      <w:pPr>
        <w:pStyle w:val="TextoNormal"/>
      </w:pPr>
      <w:r w:rsidRPr="00D06117">
        <w:rPr>
          <w:rStyle w:val="NumeroAFNegritaCaracter"/>
        </w:rPr>
        <w:t>5</w:t>
      </w:r>
      <w:r>
        <w:t>. El 23 de enero de 2001 se recibió escrito del Presidente en funciones del Congreso de los Diputados en el que se comunicaba que la Mesa de dicha Cámara había acordado no personarse en el procedimiento ni formular alegaciones. Al día siguiente tuvo entrada en el Registro General de este Tribunal un escrito de la Presidenta del Senado en el que comunicaba que la Mesa había adoptado el acuerdo de personarse en el procedimiento y ofrecer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Mediante providencia de 3 de abril de 2001, la Sección Segunda concedió un plazo de cinco días a las partes personadas en este proceso constitucional a fin de que alegaran lo que considerasen conveniente acerca del mantenimiento o levantamiento de la suspensión </w:t>
      </w:r>
      <w:r>
        <w:lastRenderedPageBreak/>
        <w:t>de los preceptos legales impugnados. Previa cumplimentación del trámite conferido, se dictó el ATC 132/2001, de 23 de mayo, acordando el levantamiento de la suspensión.</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providencia de 19 de junio de 2012 se señaló para deliberación y votación de la presente Sentencia el día 19 de ese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Según se ha expuesto con mayor detalle en los antecedentes, en el presente proceso constitucional el Presidente del Gobierno impugna diversos preceptos de la Ley del Parlamento de las Illes Balears 8/2000, de 27 de octubre, de consejos insulares, a los que achaca la concurrencia de diferentes motivos de nulidad por inconstitucionalidad mediata o inmediata.</w:t>
      </w:r>
    </w:p>
    <w:p w:rsidR="00D06117" w:rsidRDefault="00D06117" w:rsidP="00D06117">
      <w:pPr>
        <w:pStyle w:val="TextoNormal"/>
      </w:pPr>
    </w:p>
    <w:p w:rsidR="00D06117" w:rsidRDefault="00D06117" w:rsidP="00D06117">
      <w:pPr>
        <w:pStyle w:val="TextoNormal"/>
      </w:pPr>
      <w:r>
        <w:t>En el propio escrito de demanda los preceptos legales controvertidos se agrupan, en razón del motivo impugnatorio, en tres grandes grupos. El primero de ellos está formado por los arts. 7.1, 3 y 5; 8.1 h) y v); 9.2 u) y 3; 12; 13; 14; 15.1 a); 16.1; 18.1; 20.4, 5 y 6 y 22.2 y 3 de la Ley autonómica, dedicados al régimen jurídico de los órganos de carácter no necesario de los consejos insulares: consejo ejecutivo, direcciones insulares y secretarías técnicas, y a los que se reprocha la vulneración de los arts. 23 y 141 CE, pues el carácter burocrático de estos órganos de libre creación por los consejos insulares sería contrario a la reserva constitucional del gobierno y administración a favor de órganos de carácter representativo, así como del art. 149.1.18 CE, por infracción de la Ley 7/1985, de 2 de abril, reguladora de las bases de régimen local (LBRL), que no contempla la posibilidad de que existan estos órganos. El segundo de ellos lo integran el segundo párrafo del art. 7.3 y, por conexión con el mismo, los arts. 8.3 y 10.2, siempre de la Ley de consejos insulares, que habrían ignorado la regulación básica de la comisión de gobierno contenida en el art. 35 LBRL. Se impugnan, finalmente, algunos incisos de los arts. 8.2 (atribuciones del Pleno susceptibles de delegación a la comisión de gobierno), 15.2 (atribución a un consejero ejecutivo del cargo de secretario del consejo ejecutivo), 16.3 (relación de supuestos en los que puede plantearse cuestión de confianza) y 17.2 (convocatoria extraordinaria del Pleno para debatir la gestión del consejo ejecutivo en áreas concretas), a los que se reprocha infracción de la Ley reguladora de las bases de régimen local y de la Ley Orgánica 5/1985, de 19 de junio, del régimen electoral general.</w:t>
      </w:r>
    </w:p>
    <w:p w:rsidR="00D06117" w:rsidRDefault="00D06117" w:rsidP="00D06117">
      <w:pPr>
        <w:pStyle w:val="TextoNormal"/>
      </w:pPr>
    </w:p>
    <w:p w:rsidR="00D06117" w:rsidRDefault="00D06117" w:rsidP="00D06117">
      <w:pPr>
        <w:pStyle w:val="TextoNormal"/>
      </w:pPr>
      <w:r>
        <w:t>Rechazan la impugnación de los preceptos legales reseñados tanto el Abogado de la Comunidad Autónoma de las Illes Balears como el Presidente del Parlamento de las Illes Balears, quien ha comparecido y formulado alegaciones en este proceso constitucional en representación de la Cámara legislativa autonómica. Ambos solicitan la íntegra desestimación del recurso de inconstitucionalidad interpuesto por el Presidente del Gobierno.</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Toda vez que en el presente recurso de inconstitucionalidad se plantea principalmente una controversia de carácter competencial hemos de precisar cuál deba ser nuestro canon de enjuiciamiento, habida cuenta de que resulta de aplicación nuestra doctrina acerca del ius superveniens, en virtud de la cual el control de las disposiciones que puedan incurrir en extralimitación competencial ha de hacerse de acuerdo con las normas del bloque de la constitucionalidad vigentes en el momento de dictar Sentencia (STC 203/2011, de 14 de </w:t>
      </w:r>
      <w:r>
        <w:lastRenderedPageBreak/>
        <w:t>diciembre, FJ 4, y las numerosas resoluciones allí citadas), lo que determina que debamos pronunciar nuestra Sentencia teniendo muy presente la regulación que de los consejos insulares se contiene en el Estatuto de Autonomía reformado de las Illes Balears (aprobado por la Ley Orgánica 1/2007, de 28 de febrero), así como aquellas disposiciones de la Ley 7/1985, de 2 de abril, reguladora de las bases de régimen local, que puedan resultar aplicables a esos mismos consejos insulares, en la redacción actualmente vigente. Por consiguiente, resulta oportuno reseñar las modificaciones habidas en ambos cuerpos legales durante la tramitación de este proceso constitucional y que sean relevantes para su resolución.</w:t>
      </w:r>
    </w:p>
    <w:p w:rsidR="00D06117" w:rsidRDefault="00D06117" w:rsidP="00D06117">
      <w:pPr>
        <w:pStyle w:val="TextoNormal"/>
      </w:pPr>
    </w:p>
    <w:p w:rsidR="00D06117" w:rsidRDefault="00D06117" w:rsidP="00D06117">
      <w:pPr>
        <w:pStyle w:val="TextoNormal"/>
      </w:pPr>
      <w:r>
        <w:t>a) Al momento de aprobarse la Ley 8/2000, de 27 de octubre, de consejos insulares, de la que forman parte los preceptos aquí controvertidos, se hallaba vigente el Estatuto de Autonomía de las Illes Balears aprobado por la Ley Orgánica 2/1983, de 25 de febrero, en la redacción dada al mismo por la Ley Orgánica 3/1999, de 8 de enero. El título tercero de este texto estatutario, que llevaba por rúbrica “de las instituciones de la Comunidad Autónoma de las Islas Baleares”, se abría con la indicación de que la organización institucional autonómica la integraban “el Parlamento, el Gobierno y el Presidente de la Comunidad Autónoma” (art. 18.1), añadiendo inmediatamente después que correspondía a los consejos insulares “el Gobierno y la administración de las islas de Mallorca, Menorca e Ibiza-Formentera y sus islas adyacentes. Estos tres Consejos se constituirán en los términos y con las competencias que resulten de la Constitución y del presente Estatuto” (art. 18.2). El capítulo cuarto de ese mismo título tercero se dedicaba a los consejos insulares. En lo que ahora estrictamente interesa, la regulación estatutaria comprendía una garantía de la autonomía de los consejos en la gestión de los intereses insulares (art. 36), disponía que los Diputados autonómicos eran, además y de no mediar causas de incompatibilidad por el desempeño de determinados cargos en la Comunidad Autónoma, miembros del consejo insular correspondiente a la circunscripción por la que hubieran sido electos (art. 37) y, en fin, se reconocía a los consejos insulares la titularidad “de las competencias que les correspondan como corporaciones locales”, así como “la facultad de asumir en su ámbito territorial la función ejecutiva y la gestión en la medida en que la Comunidad Autónoma asuma competencias” sobre las veintinueve materias que se mencionaban en el art. 39.</w:t>
      </w:r>
    </w:p>
    <w:p w:rsidR="00D06117" w:rsidRDefault="00D06117" w:rsidP="00D06117">
      <w:pPr>
        <w:pStyle w:val="TextoNormal"/>
      </w:pPr>
    </w:p>
    <w:p w:rsidR="00D06117" w:rsidRDefault="00D06117" w:rsidP="00D06117">
      <w:pPr>
        <w:pStyle w:val="TextoNormal"/>
      </w:pPr>
      <w:r>
        <w:t>En la actualidad se halla vigente el Estatuto de Autonomía de las Illes Balears reformado por la Ley Orgánica 1/2007, de 28 de febrero, cuyo título cuarto, dedicado a las instituciones de la Comunidad Autónoma, se abre con la declaración de que el “sistema institucional autonómico” está integrado tanto por el Parlamento, el Gobierno y el Presidente de la Comunidad Autónoma, como por “los Consejos Insulares de Mallorca, Menorca, Ibiza y Formentera sin perjuicio de su autonomía constitucionalmente garantizada.” (art. 39). Los consejos se regulan en el capítulo cuarto de ese mismo título tercero, donde, tras establecer que “son las instituciones de gobierno de cada una de las islas y ostentan el gobierno, la administración y la representación de las islas de Mallorca, Menorca, Ibiza y Formentera, así como de las islas adyacentes a éstas” y garantizar que “gozarán de autonomía en la gestión de sus intereses de acuerdo con la Constitución, este Estatuto y lo establecido en las leyes del Parlamento”, se reitera que “los Consejos Insulares también son instituciones de la Comunidad Autónoma de las Illes Balears.” (art. 61).</w:t>
      </w:r>
    </w:p>
    <w:p w:rsidR="00D06117" w:rsidRDefault="00D06117" w:rsidP="00D06117">
      <w:pPr>
        <w:pStyle w:val="TextoNormal"/>
      </w:pPr>
    </w:p>
    <w:p w:rsidR="00D06117" w:rsidRDefault="00D06117" w:rsidP="00D06117">
      <w:pPr>
        <w:pStyle w:val="TextoNormal"/>
      </w:pPr>
      <w:r>
        <w:t xml:space="preserve">En cuanto a su composición, el nuevo Estatuto de Autonomía abandona la tradicional identificación personal de los miembros del Parlamento y de los consejos, estableciendo que </w:t>
      </w:r>
      <w:r>
        <w:lastRenderedPageBreak/>
        <w:t>cada uno de éstos “estará integrado por los consejeros elegidos en las respectivas circunscripciones, por sufragio universal, igual, libre, directo y secreto mediante un sistema de representación proporcional respetando el régimen electoral general.” (art. 64.1). Por lo que hace a las competencias, el Estatuto de Autonomía reformado de las Illes Balears distingue entre competencias propias, es decir aquellas “que les vengan atribuidas por la legislación estatal” y las expresamente mencionadas en el art. 70 del Estatuto, y competencias en relación con las cuales la Comunidad Autónoma pueda transferirles o delegarles el ejercicio de la función ejecutiva (art. 71, con el límite fijado en el art. 69). Con respecto a las competencias propias, los consejos ejercen la potestad reglamentaria (art. 72) y pueden realizar actividades de fomento, así como fijar políticas propias (art. 73).</w:t>
      </w:r>
    </w:p>
    <w:p w:rsidR="00D06117" w:rsidRDefault="00D06117" w:rsidP="00D06117">
      <w:pPr>
        <w:pStyle w:val="TextoNormal"/>
      </w:pPr>
    </w:p>
    <w:p w:rsidR="00D06117" w:rsidRDefault="00D06117" w:rsidP="00D06117">
      <w:pPr>
        <w:pStyle w:val="TextoNormal"/>
      </w:pPr>
      <w:r>
        <w:t>El nuevo texto estatutario, tras establecer que una Ley del Parlamento regulará la organización de los Consejos Insulares (art. 62), identifica como “órganos necesarios de los Consejos Insulares de Mallorca, Menorca e Ibiza” a los siguientes: “el Pleno, el Presidente y el Consejo Ejecutivo” (art. 63.1), precisando que, por el contrario, “en el caso del Consejo Insular de Formentera, que será integrado por los regidores del Ayuntamiento de Formentera, no será preceptiva la existencia de consejo ejecutivo” (art. 63.2). Respetando esta organización necesaria cada uno de los tres consejos insulares mencionados en el art. 63.1 puede proceder a la creación de órganos complementarios en los términos fijados por el legislador autonómico, que ostenta asimismo la facultad de establecer, en su caso, singularidades de régimen jurídico y de organización propias para el consejo insular de Formentera (art. 63.2 in fine). Los arts. 65 a 67 del Estatuto de Autonomía reformado están dedicados a los órganos necesarios mencionados en el art. 63.1; a saber, Pleno, Presidente y Consejo Ejecutivo, respectivamente. En cuanto a éste último, el art. 67 establece lo siguiente:</w:t>
      </w:r>
    </w:p>
    <w:p w:rsidR="00D06117" w:rsidRDefault="00D06117" w:rsidP="00D06117">
      <w:pPr>
        <w:pStyle w:val="TextoNormal"/>
      </w:pPr>
    </w:p>
    <w:p w:rsidR="00D06117" w:rsidRDefault="00D06117" w:rsidP="00D06117">
      <w:pPr>
        <w:pStyle w:val="TextoNormal"/>
      </w:pPr>
      <w:r>
        <w:t>“1. El Consejo Ejecutivo será integrado por el Presidente del Consejo Insular, los Vicepresidentes, en su caso, y los consejeros ejecutivos.</w:t>
      </w:r>
    </w:p>
    <w:p w:rsidR="00D06117" w:rsidRDefault="00D06117" w:rsidP="00D06117">
      <w:pPr>
        <w:pStyle w:val="TextoNormal"/>
      </w:pPr>
    </w:p>
    <w:p w:rsidR="00D06117" w:rsidRDefault="00D06117" w:rsidP="00D06117">
      <w:pPr>
        <w:pStyle w:val="TextoNormal"/>
      </w:pPr>
      <w:r>
        <w:t>2. Los consejeros ejecutivos dirigen, bajo la superior dirección del Presidente del Consejo Insular, los sectores de actividad administrativa correspondientes al departamento que encabezan. La Ley de Consejos Insulares y el Reglamento Orgánico determinarán la estructura interna básica de los departamentos y las atribuciones de sus órganos.</w:t>
      </w:r>
    </w:p>
    <w:p w:rsidR="00D06117" w:rsidRDefault="00D06117" w:rsidP="00D06117">
      <w:pPr>
        <w:pStyle w:val="TextoNormal"/>
      </w:pPr>
    </w:p>
    <w:p w:rsidR="00D06117" w:rsidRDefault="00D06117" w:rsidP="00D06117">
      <w:pPr>
        <w:pStyle w:val="TextoNormal"/>
      </w:pPr>
      <w:r>
        <w:t>3. Sin perjuicio de las atribuciones conferidas a otros órganos de gobierno, corresponde al Consejo Ejecutivo el ejercicio de la función ejecutiva en relación con las competencias del Consejo Insular.</w:t>
      </w:r>
    </w:p>
    <w:p w:rsidR="00D06117" w:rsidRDefault="00D06117" w:rsidP="00D06117">
      <w:pPr>
        <w:pStyle w:val="TextoNormal"/>
      </w:pPr>
    </w:p>
    <w:p w:rsidR="00D06117" w:rsidRDefault="00D06117" w:rsidP="00D06117">
      <w:pPr>
        <w:pStyle w:val="TextoNormal"/>
      </w:pPr>
      <w:r>
        <w:t>4. La Ley de Consejos Insulares establecerá el Estatuto personal y las incompatibilidades de los miembros del Consejo Ejecutivo.”</w:t>
      </w:r>
    </w:p>
    <w:p w:rsidR="00D06117" w:rsidRDefault="00D06117" w:rsidP="00D06117">
      <w:pPr>
        <w:pStyle w:val="TextoNormal"/>
      </w:pPr>
    </w:p>
    <w:p w:rsidR="00D06117" w:rsidRDefault="00D06117" w:rsidP="00D06117">
      <w:pPr>
        <w:pStyle w:val="TextoNormal"/>
      </w:pPr>
      <w:r>
        <w:t>El tratamiento estatutario de los consejos insulares se cierra con la previsión de que “la Ley de los Consejos Insulares, aprobada con el voto favorable de dos tercios de los Diputados del Parlamento de las Illes Balears, y para el Consejo Insular de Formentera una ley específica, en su caso, determinarán las reglas de funcionamiento y el régimen jurídico de la actuación de los Consejos Insulares y de sus órganos, así como el régimen de sus funciones y competencias respetando la legislación básica del Estado.” (art. 68).</w:t>
      </w:r>
    </w:p>
    <w:p w:rsidR="00D06117" w:rsidRDefault="00D06117" w:rsidP="00D06117">
      <w:pPr>
        <w:pStyle w:val="TextoNormal"/>
      </w:pPr>
    </w:p>
    <w:p w:rsidR="00D06117" w:rsidRDefault="00D06117" w:rsidP="00D06117">
      <w:pPr>
        <w:pStyle w:val="TextoNormal"/>
      </w:pPr>
      <w:r>
        <w:lastRenderedPageBreak/>
        <w:t>b) Por el contrario, el contenido de las disposiciones de la Ley reguladora de las bases de régimen local que se dicen vulneradas por los preceptos de la Ley de consejos insulares controvertidos en este proceso constitucional no ha sufrido ninguna modificación sustancial. No obstante lo cual, resulta pertinente dejar constancia de que, tras la aprobación de la Ley 57/2003, de 16 de diciembre, de medidas para la modernización del gobierno local, la comisión de gobierno ha pasado a denominarse junta de gobierno (art. 32.1 LBRL). Igualmente, como consecuencia de la supresión de la exigencia de mayoría cualificada de dos tercios para la adopción de determinados acuerdos, antes recogida en el art. 47.2 LBRL, la misma Ley 57/2003 reordenó la relación de acuerdos para los que se requiere el voto favorable de la mayoría absoluta del número legal de miembros de la corporación que anteriormente se contenía en el art. 47.3 LBRL (actual art. 47.2).</w:t>
      </w:r>
    </w:p>
    <w:p w:rsidR="00D06117" w:rsidRDefault="00D06117" w:rsidP="00D06117">
      <w:pPr>
        <w:pStyle w:val="TextoNormal"/>
      </w:pPr>
    </w:p>
    <w:p w:rsidR="00D06117" w:rsidRDefault="00D06117" w:rsidP="00D06117">
      <w:pPr>
        <w:pStyle w:val="TextoNormal"/>
      </w:pPr>
      <w:r>
        <w:t>Por lo demás, procede advertir que sobre la Ley 57/2003 penden tres recursos de inconstitucionalidad cuya resolución no afecta al presente asunto. En efecto, es cierto que sólo en uno de ellos, el núm. 1523-2004, se impugna la previsión (contenida en el art. 126.2, párrafo segundo, LBRL, en la redacción dada al mismo por la Ley 57/2003) conforme a la cual el Alcalde puede nombrar como miembros de la Junta de gobierno local a personas que no tengan la condición de concejales, previsión que parecería guardar una cierta relación con la impugnación de diversos preceptos de la Ley de consejos insulares que atribuyen funciones propias del gobierno y administración de los consejos insulares a unos órganos —los consejos ejecutivos, la direcciones insulares y las secretarías técnicas— cuyos miembros o titulares no es preciso que tengan la condición de electos; ahora bien, además de que no cabe equiparar automáticamente los consejos insulares a los ayuntamientos, debe señalarse que, como más adelante se expondrá con mayor detalle, esta regulación de los consejos insulares constituye una singularidad propia de su régimen jurídico que, como más adelante se razonará, no atenta contra la autonomía local, concretada en el autogobierno de la isla como entidad local a través de corporaciones de carácter representativo. En tal sentido, y como ya se adelantó, la respuesta que ahora debamos dar a la cuestión de si la regulación contenida en la Ley de consejos insulares que permite designar como miembros o titulares de los órganos referidos a quienes no tienen la condición de electos contraviene la normativa básica sobre régimen local, no prejuzga la que este Tribunal haya de pronunciar en su momento al resolver el recurso de inconstitucionalidad núm. 1523-2004.</w:t>
      </w:r>
    </w:p>
    <w:p w:rsidR="00D06117" w:rsidRDefault="00D06117" w:rsidP="00D06117">
      <w:pPr>
        <w:pStyle w:val="TextoNormal"/>
      </w:pPr>
    </w:p>
    <w:p w:rsidR="00D06117" w:rsidRDefault="00D06117" w:rsidP="00D06117">
      <w:pPr>
        <w:pStyle w:val="TextoNormal"/>
      </w:pPr>
      <w:r w:rsidRPr="00D06117">
        <w:rPr>
          <w:rStyle w:val="NumeroAFNegritaCaracter"/>
        </w:rPr>
        <w:t>3</w:t>
      </w:r>
      <w:r>
        <w:t>. Acotado en estos términos el canon al que habremos de atenernos en nuestro enjuiciamiento, hemos de recordar seguidamente que la Constitución incluye una mención expresa a las islas en el precepto específicamente dedicado a los entes locales supramunicipales, el art. 141 CE, cuyo apartado cuarto dispone que “en los archipiélagos, las islas tendrán además su administración propia en forma de Cabildos o Consejos”. Consecuentemente, la garantía constitucional de la autonomía local alcanza a las islas, en los archipiélagos balear y canario, lo que se corresponde con la caracterización de las mismas como entidades locales territoriales que figura en el art. 3.1 c) LBRL.</w:t>
      </w:r>
    </w:p>
    <w:p w:rsidR="00D06117" w:rsidRDefault="00D06117" w:rsidP="00D06117">
      <w:pPr>
        <w:pStyle w:val="TextoNormal"/>
      </w:pPr>
    </w:p>
    <w:p w:rsidR="00D06117" w:rsidRDefault="00D06117" w:rsidP="00D06117">
      <w:pPr>
        <w:pStyle w:val="TextoNormal"/>
      </w:pPr>
      <w:r>
        <w:t xml:space="preserve">En su calidad de entidades locales territoriales, las islas del archipiélago balear son titulares de la autonomía local reconocida por los arts. 137 y 140 CE que, según reiterada doctrina de este Tribunal, se configura como una garantía institucional con un contenido mínimo que todos los legisladores deben respetar y que se concreta básicamente, en lo que ahora estrictamente interesa, en el “derecho de la comunidad local a participar a través de órganos propios en el gobierno y administración de cuantos asuntos le atañen, graduándose </w:t>
      </w:r>
      <w:r>
        <w:lastRenderedPageBreak/>
        <w:t>la intensidad de esta participación en función de la relación existente entre los intereses locales y supralocales dentro de tales asuntos o materias” (SSTC 32/1981, de 28 de julio, FJ 4; 40/1998, de 19 de febrero, FJ 39, y 252/2005, de 11 de octubre, FJ 4). En esta misma línea hemos señalado que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(SSTC 159/2001, de 5 de julio, FJ 4; 51/2004, de 13 de abril, FJ 9; la ya citada 252/2005, FJ 4, y 240/2006, de 20 de julio, FJ 8).</w:t>
      </w:r>
    </w:p>
    <w:p w:rsidR="00D06117" w:rsidRDefault="00D06117" w:rsidP="00D06117">
      <w:pPr>
        <w:pStyle w:val="TextoNormal"/>
      </w:pPr>
    </w:p>
    <w:p w:rsidR="00D06117" w:rsidRDefault="00D06117" w:rsidP="00D06117">
      <w:pPr>
        <w:pStyle w:val="TextoNormal"/>
      </w:pPr>
      <w:r>
        <w:t>Por otro lado, la proyección que esta garantía constitucional del autogobierno local tiene en el orden de distribución de competencias entre el Estado y las Comunidades Autónomas fue objeto de uno de los primeros pronunciamientos de este Tribunal. Así, en la antes mencionada STC 32/1981 indicamos que aquella garantía “es de carácter general y configuradora de un modelo de Estado y ello conduce, como consecuencia obligada, a entender que corresponde al mismo la fijación de principios o criterios básicos en materia de organización y competencia de general aplicación en todo el Estado.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(FJ 5; en relación con la organización local, STC 214/1989, de 21 de diciembre, FJ 6).</w:t>
      </w:r>
    </w:p>
    <w:p w:rsidR="00D06117" w:rsidRDefault="00D06117" w:rsidP="00D06117">
      <w:pPr>
        <w:pStyle w:val="TextoNormal"/>
      </w:pPr>
    </w:p>
    <w:p w:rsidR="00D06117" w:rsidRDefault="00D06117" w:rsidP="00D06117">
      <w:pPr>
        <w:pStyle w:val="TextoNormal"/>
      </w:pPr>
      <w:r>
        <w:t>Además, la regulación de esas condiciones básicas tampoco exige al Estado la fijación de estándares jurídicos uniformes allí donde la propia Constitución ha reconocido la existencia de circunstancias diferenciales, como acontece precisamente con el mandato de atención en particular “a las circunstancias del hecho insular” contenido en el art. 138.1 CE, dentro del capítulo de principios generales de la organización territorial del Estado, que no supone consagrar un privilegio sino una llamada de atención sobre la singularidad objetiva que el fenómeno de la insularidad representa, y que ha de ponerse a su vez en relación con lo dispuesto en los arts. 141.4 y 143.1 CE, por lo que se refiere a la administración local propia de las islas.</w:t>
      </w:r>
    </w:p>
    <w:p w:rsidR="00D06117" w:rsidRDefault="00D06117" w:rsidP="00D06117">
      <w:pPr>
        <w:pStyle w:val="TextoNormal"/>
      </w:pPr>
    </w:p>
    <w:p w:rsidR="00D06117" w:rsidRDefault="00D06117" w:rsidP="00D06117">
      <w:pPr>
        <w:pStyle w:val="TextoNormal"/>
      </w:pPr>
      <w:r>
        <w:t xml:space="preserve">La singularidad del hecho o fenómeno insular explica el especial tratamiento que a las islas se dispensa en los correspondientes textos estatutarios de los archipiélagos canario y balear (art. 143.1 CE), constituidos en Comunidades Autónomas. Al propio tiempo interesa advertir que, de igual modo que la isla no sustituye a la provincia en dichos archipiélagos, tampoco las instituciones a las que corresponde la administración de las islas —los consejos insulares en el caso balear— pueden ser caracterizadas como trasunto de las Diputaciones provinciales, sino como entes específicos por expresa voluntad del poder constituyente plasmada en el art. 141.4 CE. Dicho de otro modo, si bien la consideración constitucional de la isla en los archipiélagos canario y balear como ente local con administración propia en forma de cabildos o consejos resulta indisponible para el legislador estatutario, la Constitución no se opone en modo alguno a que los consejos insulares (o, en el caso canario, los cabildos) se configuren como instituciones autonómicas en el Estatuto de Autonomía, “norma institucional básica” de la Comunidad Autónoma (art. 147.1 CE), siempre y cuando </w:t>
      </w:r>
      <w:r>
        <w:lastRenderedPageBreak/>
        <w:t>esa configuración estatutaria de los consejos insulares no suponga detrimento de su naturaleza de administración local de cada isla (o agrupaciones de islas), ni merma de su autonomía para la gestión de los intereses propios de la isla. Dentro de estos límites, el art. 141.4 CE otorga un amplio margen de decisión al legislador estatutario para regular el régimen jurídico de los consejos insulares como administración propia de la isla y a su vez (y en su caso) como institución básica autonómica, atendiendo a la singularidad del fenómeno insular.</w:t>
      </w:r>
    </w:p>
    <w:p w:rsidR="00D06117" w:rsidRDefault="00D06117" w:rsidP="00D06117">
      <w:pPr>
        <w:pStyle w:val="TextoNormal"/>
      </w:pPr>
    </w:p>
    <w:p w:rsidR="00D06117" w:rsidRDefault="00D06117" w:rsidP="00D06117">
      <w:pPr>
        <w:pStyle w:val="TextoNormal"/>
      </w:pPr>
      <w:r>
        <w:t>Ésta es, por otro lado, la concepción que de las islas y de sus instancias de gobierno se recoge en la normativa básica de régimen local. Concretamente, el art. 41.3 LBRL dispone que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El distinto tratamiento que este precepto legal básico dispensa a los aspectos organizativos y competenciales de los consejos insulares responde al hecho de que, al momento de promulgarse esta norma se hallaba vigente el Estatuto de Autonomía originario de las Illes Balears, aprobado por la Ley Orgánica 2/1983, de 25 de febrero, que, como ya hemos reseñado en el fundamento jurídico anterior, no incluía ninguna previsión relativa a la organización y funcionamiento de los consejos insulares. La situación ha cambiado notablemente tras la aprobación del nuevo Estatuto de Autonomía por la Ley Orgánica 1/2007, de 28 de febrero, que menciona a los consejos insulares entre los órganos que integran el “sistema institucional autonómico” (art. 39) y les atribuye expresamente la condición de “instituciones de la Comunidad Autónoma de las Illes Balears” (art. 61.3). En coherencia con esa caracterización y al amparo de lo dispuesto en el art. 147.2 c) CE, el Estatuto de Autonomía reformado de las Illes Balears contiene la regulación esencial de la organización de dichos consejos insulares, sin merma de su condición de administración propia de las islas del archipiélago balear en cuanto entidades locales (art. 61.1).</w:t>
      </w:r>
    </w:p>
    <w:p w:rsidR="00D06117" w:rsidRDefault="00D06117" w:rsidP="00D06117">
      <w:pPr>
        <w:pStyle w:val="TextoNormal"/>
      </w:pPr>
    </w:p>
    <w:p w:rsidR="00D06117" w:rsidRDefault="00D06117" w:rsidP="00D06117">
      <w:pPr>
        <w:pStyle w:val="TextoNormal"/>
      </w:pPr>
      <w:r>
        <w:t>En definitiva, resulta incuestionable que el vigente Estatuto de Autonomía de las Illes Balears, al configurar el régimen esencial de la organización de los consejos insulares, ha atendido al mandato constitucional conforme al cual “en los archipiélagos, las islas tendrán su administración propia en forma de Cabildos o Consejos” (art. 141.1 CE), al tiempo que, en el ejercicio de la potestad de organización de las Comunidades Autónomas, ha configurado dichos consejos insulares como “instituciones autonómicas propias” [art. 147.2 c) CE], “opción legislativa que resulta constitucionalmente lícita en la medida en que la misma encuentra apoyo en el denominado ‘hecho insular’, circunstancia geográfica específica, propia de las Comunidades Autónomas que son territorialmente un archipiélago, y cuya singularidad es tenida en cuenta por la propia Constitución (arts. 69.3 y 141.4)”, como hemos tenido ocasión de recordar en relación con la regulación de los sistemas electorales insulares (STC 225/1998, de 25 de noviembre, FJ 7, sobre el régimen electoral canario, que cita a su vez la STC 45/1992, de 2 de abril, FJ 5, sobre el régimen electoral balear).</w:t>
      </w:r>
    </w:p>
    <w:p w:rsidR="00D06117" w:rsidRDefault="00D06117" w:rsidP="00D06117">
      <w:pPr>
        <w:pStyle w:val="TextoNormal"/>
      </w:pPr>
    </w:p>
    <w:p w:rsidR="00D06117" w:rsidRDefault="00D06117" w:rsidP="00D06117">
      <w:pPr>
        <w:pStyle w:val="TextoNormal"/>
      </w:pPr>
      <w:r>
        <w:t>Sentadas las precisiones que anteceden, debemos seguidamente entrar a examinar las objeciones de inconstitucionalidad que se dirigen en el presente recurso contra los preceptos impugnados de la Ley balear de consejos insulares, a la que remiten expresamente los arts. 62, 63.1, 67.4 y 68 del vigente Estatuto de Autonomía de las Illes Balears.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El primer bloque de preceptos de la Ley de consejos insulares controvertidos en el presente recurso de inconstitucionalidad está integrado por los arts. 7 1, 3 y 5; 8.1 h) y v); 9.2 u) y 3; 12; 13; 14; 15.1 a); 16.1; 18.1; 20.4, 5 y 6 y 22.2 y 3. De acuerdo con lo expuesto por el Abogado del Estado en el escrito rector de este proceso, estos preceptos legales se impugnan esencialmente porque atribuyen funciones propias del gobierno y administración de los consejos insulares a unos órganos —los consejos ejecutivos, la direcciones insulares y las secretarías técnicas— cuyos miembros o titulares no es preciso que tengan la condición de electos, lo que, en su opinión, contravendría el bloque de constitucionalidad en la materia, integrado por las disposiciones constitucionales relativas a la Administración local, en relación con el art. 23 CE, y los artículos del Estatuto de Autonomía concretamente dedicados a los consejos insulares.</w:t>
      </w:r>
    </w:p>
    <w:p w:rsidR="00D06117" w:rsidRDefault="00D06117" w:rsidP="00D06117">
      <w:pPr>
        <w:pStyle w:val="TextoNormal"/>
      </w:pPr>
    </w:p>
    <w:p w:rsidR="00D06117" w:rsidRDefault="00D06117" w:rsidP="00D06117">
      <w:pPr>
        <w:pStyle w:val="TextoNormal"/>
      </w:pPr>
      <w:r>
        <w:t>A fin de dar adecuada respuesta al problema suscitado en este proceso constitucional debemos reiterar que, como hemos recordado en el fundamento jurídico anterior, la proclamación constitucional de la autonomía sirve, principalmente, al propósito de garantizar el autogobierno de la comunidad local en los asuntos que le afecten. Es por ello que puede hablarse —como ya hiciéramos en las SSTC 159/2001, de 5 de julio, FJ 5; y 240/2006, de 20 de julio, FJ 4— de la similitud de la noción de autonomía local elaborada por este Tribunal desde la temprana STC 32/1981, de 28 de julio, con la acogida en la Carta europea de autonomía local, hecha en Estrasburgo el 15 de octubre de 1985, y ratificada por España mediante Instrumento de 20 de enero de 1988, cuyo apartado primero define aquélla como “el derecho y la capacidad efectiva de las Entidades locales de ordenar y gestionar una parte importante de los asuntos públicos, en el marco de la Ley, bajo su propia responsabilidad y en beneficio de sus habitantes”.</w:t>
      </w:r>
    </w:p>
    <w:p w:rsidR="00D06117" w:rsidRDefault="00D06117" w:rsidP="00D06117">
      <w:pPr>
        <w:pStyle w:val="TextoNormal"/>
      </w:pPr>
    </w:p>
    <w:p w:rsidR="00D06117" w:rsidRDefault="00D06117" w:rsidP="00D06117">
      <w:pPr>
        <w:pStyle w:val="TextoNormal"/>
      </w:pPr>
      <w:r>
        <w:t>El carácter representativo de los órganos a los que corresponde la dirección política de los entes locales constituye una exigencia inherente a este concepto de autonomía local. Una exigencia que, en el plano normativo, se traduce en la atribución constitucional del gobierno y administración municipal a alcaldes y concejales electos (art. 140 CE) y del gobierno de las provincias a corporaciones “de carácter representativo” (art. 141.2 CE). Por otro lado, esta misma exigencia es compatible con la existencia, en el seno de esos entes locales, de órganos cuya integración no se encuentre enteramente reservada a los miembros electos de la corporación, al primar en ellos el perfil ejecutivo. En el bien entendido que éstos deberán responder de su acción ante aquéllos, que, precisamente por reunir la condición de órganos representativos, son los únicos facultados para dirigir la acción de las Administraciones locales en ejercicio de ese núcleo de la autonomía local que, según dijimos en la STC 193/1987, de 9 de diciembre, FJ 4, “consiste, fundamentalmente en la capacidad de decidir libremente, entre varias opciones legalmente posibles, de acuerdo con un criterio de naturaleza esencialmente política (STC 4/1981, fundamento jurídico 3)”. Esta compatibilidad figura, igualmente, en la propia Carta europea de la autonomía local anteriormente mencionada, en cuyo art. 3.2 se señala que el derecho al autogobierno local “se ejerce por Asambleas o Consejos integrados por miembros elegidos por sufragio libre, secreto, igual, directo y universal y que pueden disponer de órganos ejecutivos responsables ante ellos mismos”.</w:t>
      </w:r>
    </w:p>
    <w:p w:rsidR="00D06117" w:rsidRDefault="00D06117" w:rsidP="00D06117">
      <w:pPr>
        <w:pStyle w:val="TextoNormal"/>
      </w:pPr>
    </w:p>
    <w:p w:rsidR="00D06117" w:rsidRDefault="00D06117" w:rsidP="00D06117">
      <w:pPr>
        <w:pStyle w:val="TextoNormal"/>
      </w:pPr>
      <w:r>
        <w:t xml:space="preserve">La preponderancia de ese perfil ejecutivo está claramente presente —y en consonancia con su propia denominación— en el consejo ejecutivo, órgano colegiado al que la Ley del Parlamento de las Illes Balears 8/2000, en su art. 12, y el nuevo Estatuto de Autonomía aprobado por la Ley Orgánica 1/2007, en su art. 67.3, atribuyen “el ejercicio de la función </w:t>
      </w:r>
      <w:r>
        <w:lastRenderedPageBreak/>
        <w:t>ejecutiva en relación con las competencias del Consejo Insular”. Otro tanto sucede con las direcciones insulares, definidas por la ley autonómica como “los órganos directivos para la gestión, bajo la autoridad del consejero respectivo, de áreas funcionalmente homogéneas” y las secretarías técnicas, “órganos directivos para la gestión, bajo la autoridad del consejero respectivo, de los servicios comunes del departamento de que se trate” (art. 13.3).</w:t>
      </w:r>
    </w:p>
    <w:p w:rsidR="00D06117" w:rsidRDefault="00D06117" w:rsidP="00D06117">
      <w:pPr>
        <w:pStyle w:val="TextoNormal"/>
      </w:pPr>
    </w:p>
    <w:p w:rsidR="00D06117" w:rsidRDefault="00D06117" w:rsidP="00D06117">
      <w:pPr>
        <w:pStyle w:val="TextoNormal"/>
      </w:pPr>
      <w:r>
        <w:t>Cierto es que la ley controvertida en este proceso constitucional no reserva la condición de miembros del órgano colegiado —consejo ejecutivo— ni la titularidad de los órganos unipersonales —direcciones insulares y secretarías técnicas— a los miembros electos del consejo insular [art. 15.1 a)]. Pero esta particularidad del régimen de los consejos insulares ni contradice la legislación básica sobre administración local, ni comporta, por las razones ya apuntadas, una vulneración de la autonomía local concretada en el autogobierno de la entidad local —aquí, la isla— a través de corporaciones de carácter representativo (arts. 137, 140 y 141.4 CE).</w:t>
      </w:r>
    </w:p>
    <w:p w:rsidR="00D06117" w:rsidRDefault="00D06117" w:rsidP="00D06117">
      <w:pPr>
        <w:pStyle w:val="TextoNormal"/>
      </w:pPr>
    </w:p>
    <w:p w:rsidR="00D06117" w:rsidRDefault="00D06117" w:rsidP="00D06117">
      <w:pPr>
        <w:pStyle w:val="TextoNormal"/>
      </w:pPr>
      <w:r>
        <w:t xml:space="preserve">En efecto, conviene ante todo advertir que la opción legislativa que resulta de diversos preceptos de la Ley 8/2000, según la cual no es preciso que los miembros o titulares de esos órganos ejecutivos de los consejos insulares a los que se refiere el Abogado del Estado —consejos ejecutivos, direcciones insulares y secretarías técnicas— tengan la condición de electos, no contraviene la legislación básica en materia de régimen local. De acuerdo con el mandato constitucional de asegurar que en los archipiélagos las islas tengan su administración propia “en forma de Cabildos o Consejos” (art. 141.4 CE), el art. 41.3 LBRL determina expresamente que los consejos insulares de las Islas Baleares (y en parecidos términos se pronuncia el art. 41.1 LBRL respecto de los cabildos insulares canarios)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Aunque en sus términos literales la remisión al Estatuto de Autonomía de las Illes Balears y las leyes que les correspondan que se contiene en el art. 41.3 LBRL para la regulación de los consejos insulares sólo haga referencia a las competencias, lo cierto es que esta llamada al texto estatutario resulta capital a los efectos que nos ocupan, toda vez que el art. 141.4 CE confiere al legislador estatutario un amplio margen de decisión para regular el régimen jurídico de los consejos insulares como administración propia de la isla y a su vez como “instituciones autonómicas propias” [art. 147.2 c) CE], en consideración a la singularidad del fenómeno insular, de la misma manera que hemos reconocido que la finalidad de “atender a la singularidad del sistema institucional” establecido por determinadas Comunidades Autónomas en sus Estatutos de Autonomía hay que vincularla a la “peculiaridad” de esas Comunidades (STC 31/2010, de 28 de junio, FJ 141, que a su vez cita la STC 109/1998, de 21 de mayo, FJ 7). En coherencia con ello, el vigente Estatuto de Autonomía de las Illes Balears, que atribuye a la Comunidad Autónoma competencia exclusiva en materia de “organización, régimen y funcionamiento de sus instituciones propias” (art. 30.1) y de “procedimiento administrativo derivado de las especialidades de la organización propia” (art. 30.36), así como competencias de desarrollo legislativo y ejecución en el marco de la legislación básica estatal en materia de “régimen local” (art. 31.13), contiene la regulación esencial de la organización y competencias de los consejos insulares, configurados como instituciones de la Comunidad Autónoma de las Illes Balears (art. 61.3) sin detrimento de su condición de Administración propia de las islas del archipiélago balear en cuanto entidades </w:t>
      </w:r>
      <w:r>
        <w:lastRenderedPageBreak/>
        <w:t>locales (art. 61.1), remitiendo a la Ley de consejos insulares el desarrollo de la organización y funcionamiento de los mismos (arts. 62, 63.1, 67.4 y 68).</w:t>
      </w:r>
    </w:p>
    <w:p w:rsidR="00D06117" w:rsidRDefault="00D06117" w:rsidP="00D06117">
      <w:pPr>
        <w:pStyle w:val="TextoNormal"/>
      </w:pPr>
    </w:p>
    <w:p w:rsidR="00D06117" w:rsidRDefault="00D06117" w:rsidP="00D06117">
      <w:pPr>
        <w:pStyle w:val="TextoNormal"/>
      </w:pPr>
      <w:r>
        <w:t>Además, de la indicada particularidad del régimen jurídico de los consejos insulares no se sigue una vulneración de la autonomía local concretada en el autogobierno de la isla como entidad local a través de corporaciones de carácter representativo, puesto que el Pleno del consejo insular, que conserva todas las potestades decisorias y el control político del ente, sólo está integrado por miembros electos.</w:t>
      </w:r>
    </w:p>
    <w:p w:rsidR="00D06117" w:rsidRDefault="00D06117" w:rsidP="00D06117">
      <w:pPr>
        <w:pStyle w:val="TextoNormal"/>
      </w:pPr>
    </w:p>
    <w:p w:rsidR="00D06117" w:rsidRDefault="00D06117" w:rsidP="00D06117">
      <w:pPr>
        <w:pStyle w:val="TextoNormal"/>
      </w:pPr>
      <w:r>
        <w:t>En efecto, ninguna de las funciones legamente atribuidas a esos órganos ejecutivos —consejos ejecutivos, direcciones insulares y secretarías técnicas— les permite adoptar decisiones basadas exclusivamente en criterios de naturaleza esencialmente política, que, como ya hemos apuntado con anterioridad, constituyen el núcleo esencial de la autonomía local, correspondiéndoles tan solo la ejecución de las normas y directrices aprobadas por el Pleno del consejo insular, dirigiendo o gestionando los correspondientes servicios administrativos (arts. 67.2 del Estatuto de Autonomía reformado, en relación con el consejo ejecutivo, y 13.3 de la Ley 8/2000, por lo que respecta a las direcciones insulares y las secretarias técnicas). A este respecto, interesa destacar que la potestad más expresiva de la autonomía reconocida a los consejos insulares, la normativa, se halla exclusivamente reservada al Pleno de la corporación por el art. 67.1 del nuevo Estatuto de Autonomía [en idéntico sentido, art. 8.1 i) de la Ley de consejos insulares]. Por otro lado, la mayor complejidad organizativa que presentan los consejos insulares cuando se contrastan, como se hace en el escrito rector de este proceso constitucional, con las Diputaciones provinciales, se corresponde con la mayor extensión de las competencias que el propio Estatuto de Autonomía reserva a aquéllos. Conviene recordar, en este sentido, que el citado art. 41.3 LBRL determina que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w:t>
      </w:r>
    </w:p>
    <w:p w:rsidR="00D06117" w:rsidRDefault="00D06117" w:rsidP="00D06117">
      <w:pPr>
        <w:pStyle w:val="TextoNormal"/>
      </w:pPr>
    </w:p>
    <w:p w:rsidR="00D06117" w:rsidRDefault="00D06117" w:rsidP="00D06117">
      <w:pPr>
        <w:pStyle w:val="TextoNormal"/>
      </w:pPr>
      <w:r>
        <w:t>A lo anterior se añade que todos estos órganos ejecutivos responden de su gestión ante los órganos de carácter representativo. El art. 65.1 del Estatuto de Autonomía establece que, entre otras funciones, el Pleno del consejo insular “controla la acción de gobierno del Consejo Ejecutivo, elige y cesa al Presidente”, reiterándose en el art. 65.5 del Estatuto de Autonomía que “el Pleno ejercerá el control y la fiscalización de la acción del Presidente y del Consejo Ejecutivo, mediante la moción de censura al Presidente, la votación sobre la cuestión de confianza que éste plantee y los debates, las preguntas, las interpelaciones y las mociones sobre su actuación y otras que se establezcan”; y, en términos similares, el art. 8.1 b) de la Ley 8/2000 le encomienda al Pleno la función de “ejercer el control y la fiscalización de los órganos de gobierno, a través de debates, preguntas y mociones sobre su actuación y otros que se establezcan”.</w:t>
      </w:r>
    </w:p>
    <w:p w:rsidR="00D06117" w:rsidRDefault="00D06117" w:rsidP="00D06117">
      <w:pPr>
        <w:pStyle w:val="TextoNormal"/>
      </w:pPr>
    </w:p>
    <w:p w:rsidR="00D06117" w:rsidRDefault="00D06117" w:rsidP="00D06117">
      <w:pPr>
        <w:pStyle w:val="TextoNormal"/>
      </w:pPr>
      <w:r>
        <w:t xml:space="preserve">Se trata de mecanismos con los cuales se pretende asegurar que el control último de las decisiones y la función directiva de la entidad corresponda al órgano representativo por excelencia, que no es otro que el Pleno del consejo insular correspondiente. Queda con ello salvaguardado el “núcleo inherente a la función representativa” que constitucionalmente corresponde a los miembros de una corporación local —aquí insular—, integrado por las facultades de participación en la actividad de control del gobierno local, de intervención en </w:t>
      </w:r>
      <w:r>
        <w:lastRenderedPageBreak/>
        <w:t>las deliberaciones del Pleno de la corporación y de votación en los asuntos sometidos a ese mismo órgano, así como por el derecho a obtener la información necesaria para poder ejercer las anteriores (SSTC 169/2009, de 9 de julio, FJ 3; 9/2012, de 18 de enero, FJ 4; y 30/2012, de 1 de marzo, FJ 4).</w:t>
      </w:r>
    </w:p>
    <w:p w:rsidR="00D06117" w:rsidRDefault="00D06117" w:rsidP="00D06117">
      <w:pPr>
        <w:pStyle w:val="TextoNormal"/>
      </w:pPr>
    </w:p>
    <w:p w:rsidR="00D06117" w:rsidRDefault="00D06117" w:rsidP="00D06117">
      <w:pPr>
        <w:pStyle w:val="TextoNormal"/>
      </w:pPr>
      <w:r w:rsidRPr="00D06117">
        <w:rPr>
          <w:rStyle w:val="NumeroAFNegritaCaracter"/>
        </w:rPr>
        <w:t>5</w:t>
      </w:r>
      <w:r>
        <w:t>. Las consideraciones expuestas en el fundamento jurídico anterior nos permiten dar respuesta a la impugnación de los distintos preceptos legales integrados en este primer bloque.</w:t>
      </w:r>
    </w:p>
    <w:p w:rsidR="00D06117" w:rsidRDefault="00D06117" w:rsidP="00D06117">
      <w:pPr>
        <w:pStyle w:val="TextoNormal"/>
      </w:pPr>
    </w:p>
    <w:p w:rsidR="00D06117" w:rsidRDefault="00D06117" w:rsidP="00D06117">
      <w:pPr>
        <w:pStyle w:val="TextoNormal"/>
      </w:pPr>
      <w:r>
        <w:t>a) El primero de dichos preceptos es el art. 7 de la Ley del Parlamento de las Illes Balears 8/2000, de 27 de octubre, de consejos insulares, del que se controvierten sus apartados 1, 3 y 5 porque incluyen entre los órganos de gobierno de las islas al consejo ejecutivo. Ello implica, en opinión del Abogado del Estado, atribuir “el gobierno o parte de él y la administración a un órgano no representativo”, vulnerando los arts. 23 y 141 CE, así como el Estatuto de Autonomía de las Illes Balears.</w:t>
      </w:r>
    </w:p>
    <w:p w:rsidR="00D06117" w:rsidRDefault="00D06117" w:rsidP="00D06117">
      <w:pPr>
        <w:pStyle w:val="TextoNormal"/>
      </w:pPr>
    </w:p>
    <w:p w:rsidR="00D06117" w:rsidRDefault="00D06117" w:rsidP="00D06117">
      <w:pPr>
        <w:pStyle w:val="TextoNormal"/>
      </w:pPr>
      <w:r>
        <w:t>Debe quedar ahora al margen de nuestro análisis el art. 7.3 de la Ley de consejos insulares, por ser objeto de impugnación específica en el segundo de los bloques de preceptos a los que se hace referencia en el escrito rector de este proceso constitucional.</w:t>
      </w:r>
    </w:p>
    <w:p w:rsidR="00D06117" w:rsidRDefault="00D06117" w:rsidP="00D06117">
      <w:pPr>
        <w:pStyle w:val="TextoNormal"/>
      </w:pPr>
    </w:p>
    <w:p w:rsidR="00D06117" w:rsidRDefault="00D06117" w:rsidP="00D06117">
      <w:pPr>
        <w:pStyle w:val="TextoNormal"/>
      </w:pPr>
      <w:r>
        <w:t>Hecha esta advertencia, hemos de señalar que la eventual contradicción de los apartados 1 y 5 del art. 7 de la Ley de consejos insulares con el Estatuto de Autonomía de las Illes Balears ha desaparecido tras la reforma del mismo llevada a cabo por la Ley Orgánica 1/2007, de 28 de febrero, que incluye expresamente al consejo ejecutivo entre los “órganos necesarios de los Consejos Insulares de Mallorca, Menorca e Ibiza” (art. 63.1), manteniendo su carácter potestativo únicamente en el caso del Consejo Insular de Formentera, habida cuenta de que éste “será integrado por los regidores del Ayuntamiento de Formentera” (art. 63.2). No puede apreciarse, por otro lado, que la reforma estatutaria ahora mencionada adolezca del vicio de inconstitucionalidad que se reprocha a las disposiciones de la ley, habida cuenta de que la introducción de órganos complementarios de carácter burocrático en la estructura institucional de la corporación no representa de suyo vulneración de la autonomía local, teniendo presente la doble condición de administraciones de entidades locales e instituciones de la Comunidad Autónoma que concurre en los consejos insulares y en atención, finalmente, al amplio elenco de competencias que el propio Estatuto de Autonomía de las Illes Balears reserva a los consejos insulares en sus arts. 70 y 71. Por lo demás, el consejo ejecutivo se configura como un órgano estrictamente ejecutivo que responde de su gestión ante el Pleno del consejo insular correspondiente, al que concierne ejercer la fiscalización de la acción del consejo ejecutivo a través de los distintos mecanismos previstos por el Estatuto de Autonomía y la Ley de consejos insulares a los que ya hemos hecho referencia, con los cuales se trata de asegurar que el control último de las decisiones y la función directiva de la entidad local —la isla— corresponda al Pleno, órgano representativo por excelencia del consejo insular, quedando así garantizado el núcleo inherente a la función representativa, conforme ya se indicó, lo que excluye la vulneración de los arts. 23 y 141 CE que aduce el Abogado del Estado.</w:t>
      </w:r>
    </w:p>
    <w:p w:rsidR="00D06117" w:rsidRDefault="00D06117" w:rsidP="00D06117">
      <w:pPr>
        <w:pStyle w:val="TextoNormal"/>
      </w:pPr>
    </w:p>
    <w:p w:rsidR="00D06117" w:rsidRDefault="00D06117" w:rsidP="00D06117">
      <w:pPr>
        <w:pStyle w:val="TextoNormal"/>
      </w:pPr>
      <w:r>
        <w:t xml:space="preserve">Idéntica suerte ha de correr el recurso en cuanto se dirige contra el art. 12 de la Ley de consejos insulares, que atribuye al consejo ejecutivo la función ejecutiva en relación con las competencias del consejo insular [art. 12 a)], así como las atribuciones que le asigne el </w:t>
      </w:r>
      <w:r>
        <w:lastRenderedPageBreak/>
        <w:t>reglamento orgánico y aquellas otras objeto de delegación o encomienda por otros órganos del consejo insular [art. 12 b)]. En la medida en que la controversia se centra esencialmente en la atribución a este órgano colegiado de la función ejecutiva y toda vez que esa misma atribución se ha incorporado, sin merma alguna de las garantías constitucionales de la autonomía local, al art. 67.3 del Estatuto de Autonomía de las Illes Balears, debemos descartar que el precepto impugnado incurra en la causa de invalidez esgrimida por el Abogado del Estado.</w:t>
      </w:r>
    </w:p>
    <w:p w:rsidR="00D06117" w:rsidRDefault="00D06117" w:rsidP="00D06117">
      <w:pPr>
        <w:pStyle w:val="TextoNormal"/>
      </w:pPr>
    </w:p>
    <w:p w:rsidR="00D06117" w:rsidRDefault="00D06117" w:rsidP="00D06117">
      <w:pPr>
        <w:pStyle w:val="TextoNormal"/>
      </w:pPr>
      <w:r>
        <w:t>b) Alterando el orden sistemático seguido por el Abogado del Estado en su escrito de demanda, debemos responder ahora a la impugnación de los arts. 13, 14 y 15.1 a) de la Ley de consejos insulares. El art.13 se controvierte porque atribuye la condición de “órganos directivos para la gestión” a los directores insulares y secretarios técnicos, puestos que no se reservan para los miembros electos de la corporación ni a personas ligadas al sector público por un vínculo funcionarial o laboral, en tanto que el art. 15.1 a) se discute porque contempla expresamente la existencia de miembros del consejo ejecutivo que no sean, al propio tiempo, miembros electos del consejo insular. El art. 14 se impugna porque adapta la dependencia orgánica de los directores insulares y secretarios técnicos al supuesto de inexistencia del consejo ejecutivo, en cuyo caso se vinculan a la comisión de gobierno del consejo insular.</w:t>
      </w:r>
    </w:p>
    <w:p w:rsidR="00D06117" w:rsidRDefault="00D06117" w:rsidP="00D06117">
      <w:pPr>
        <w:pStyle w:val="TextoNormal"/>
      </w:pPr>
    </w:p>
    <w:p w:rsidR="00D06117" w:rsidRDefault="00D06117" w:rsidP="00D06117">
      <w:pPr>
        <w:pStyle w:val="TextoNormal"/>
      </w:pPr>
      <w:r>
        <w:t>La creación de las direcciones insulares y secretarías técnicas no merece reproche alguno examinado desde la perspectiva propuesta por el Abogado del Estado. Se trata de órganos de eminente perfil ejecutivo a los que se atribuye el ejercicio de funciones propias de la actividad administrativa de los consejos insulares y cuyas decisiones son objeto de control y fiscalización por los órganos de carácter electivo del consejo insular. La decisión misma de crear estos órganos burocráticos en el seno de las corporaciones insulares se explica suficientemente por el amplio espectro competencial de éstas y en aras de la eficacia de la acción administrativa, según pone de manifiesto el Abogado de la Comunidad Autónoma en las alegaciones formuladas en el curso de este proceso constitucional. Por otro lado, el cambio de dependencia jerárquica de estos órganos, en el supuesto de inexistencia del consejo ejecutivo recogido en el art. 14 de la Ley autonómica, no reviste de suyo relevancia constitucional, por lo que no puede prosperar la impugnación de este precepto legal.</w:t>
      </w:r>
    </w:p>
    <w:p w:rsidR="00D06117" w:rsidRDefault="00D06117" w:rsidP="00D06117">
      <w:pPr>
        <w:pStyle w:val="TextoNormal"/>
      </w:pPr>
    </w:p>
    <w:p w:rsidR="00D06117" w:rsidRDefault="00D06117" w:rsidP="00D06117">
      <w:pPr>
        <w:pStyle w:val="TextoNormal"/>
      </w:pPr>
      <w:r>
        <w:t>Por esas mismas razones tampoco puede reputarse inconstitucional la posibilidad de que existan consejeros ejecutivos que no tengan la condición de miembros electos del consejo insular. El legislador autonómico ha optado por reforzar el perfil ejecutivo de la figura, contrapesándolo con el establecimiento de una serie de instrumentos de control y fiscalización de la acción de los consejeros ejecutivos y, en última instancia, del presidente, quien designa y separa libremente a los restantes miembros del consejo ejecutivo [art. 66.2 del Estatuto de Autonomía y arts. 7.3 y 9.2 g) de la Ley 8/2000]. Se trata de una opción que no contradice la legislación básica en materia de régimen local, como ya se ha indicado, y que resulta perfectamente legítima, habida cuenta de que se garantiza que la dirección y control de la acción de los consejos insulares corresponda al Pleno, en cuanto órgano de carácter representativo, y teniendo muy presente que los consejos insulares “también son instituciones de la Comunidad Autónoma de las Illes Balears”, según establece el art. 61.3 de su Estatuto de Autonomía.</w:t>
      </w:r>
    </w:p>
    <w:p w:rsidR="00D06117" w:rsidRDefault="00D06117" w:rsidP="00D06117">
      <w:pPr>
        <w:pStyle w:val="TextoNormal"/>
      </w:pPr>
    </w:p>
    <w:p w:rsidR="00D06117" w:rsidRDefault="00D06117" w:rsidP="00D06117">
      <w:pPr>
        <w:pStyle w:val="TextoNormal"/>
      </w:pPr>
      <w:r>
        <w:lastRenderedPageBreak/>
        <w:t>c) Las letras h) y v) del art. 8.1 se impugnan porque asignan al Pleno de los consejos insulares las competencias de aprobación del reglamento orgánico y de resolución de los recursos de alzada interpuestos contra los actos del consejo ejecutivo.</w:t>
      </w:r>
    </w:p>
    <w:p w:rsidR="00D06117" w:rsidRDefault="00D06117" w:rsidP="00D06117">
      <w:pPr>
        <w:pStyle w:val="TextoNormal"/>
      </w:pPr>
    </w:p>
    <w:p w:rsidR="00D06117" w:rsidRDefault="00D06117" w:rsidP="00D06117">
      <w:pPr>
        <w:pStyle w:val="TextoNormal"/>
      </w:pPr>
      <w:r>
        <w:t>No se alcanza a comprender muy bien el fundamento mismo de la impugnación del art. 8.1 h), de acuerdo con el cual, corresponde al Pleno del consejo insular “aprobar el Reglamento Orgánico del Consejo, que incluirá los criterios mínimos de estructuración de la administración ejecutiva insular”. Según indica el Abogado del Estado en el escrito de demanda, este precepto sería inconstitucional porque “atribuye al Pleno del Consejo Insular la facultad de aprobar un Reglamento orgánico del Consejo que incluya la constitución del Consejo Ejecutivo”, de modo que, al igual que sucede con el art. 8.1 v), “desarrolla normativamente la configuración jurídico-administrativa de un órgano inconstitucional”. Sin perjuicio de consignar que el art. 8.1 h) no contiene mención alguna a la creación del consejo ejecutivo como contenido posible del reglamento orgánico, pues la misma figura en el art. 7.1 de la Ley impugnada, debemos señalar que ni tan siquiera la ya descartada anulación de este concreto precepto hubiera llevado aparejada la estimación del recurso frente al art. 8.1 h) de la Ley de consejos insulares, pues en nada hubiera afectado a la competencia del Pleno del consejo insular para aprobar el reglamento orgánico de la corporación, que es sobre lo que cabalmente versa el tantas veces mencionado art. 8.1 h).</w:t>
      </w:r>
    </w:p>
    <w:p w:rsidR="00D06117" w:rsidRDefault="00D06117" w:rsidP="00D06117">
      <w:pPr>
        <w:pStyle w:val="TextoNormal"/>
      </w:pPr>
    </w:p>
    <w:p w:rsidR="00D06117" w:rsidRDefault="00D06117" w:rsidP="00D06117">
      <w:pPr>
        <w:pStyle w:val="TextoNormal"/>
      </w:pPr>
      <w:r>
        <w:t>Tampoco puede prosperar la impugnación del art. 8.1 v), que atribuye, igualmente al Pleno del consejo insular, la competencia para “resolver los recursos de alzada interpuestos contra los actos del Consejo Ejecutivo, exceptuando los casos en que la resolución corresponda a la Comisión de Gobierno.” Esta previsión se controvierte exclusivamente porque “desarrolla normativamente la configuración jurídico-administrativa de un órgano inconstitucional”. No obstante, rechazada la inconstitucionalidad del órgano mismo y toda vez que la competencia a la que específicamente se refiere la letra v) del art. 8.1 de la Ley de consejos insulares sirve como garantía de la primacía directiva y pone en manos del órgano de carácter representativo el control último de las decisiones administrativas del consejo insular, no se aprecia vulneración alguna de la autonomía local constitucionalmente garantizada, por lo que el recurso debe ser desestimado en este concreto extremo. Por otro lado, el establecimiento de este recurso se encuadra en la competencia autonómica en materia de “procedimiento administrativo derivado de las especialidades de la organización propia” (art. 30.36 del actual Estatuto de Autonomía de las Illes Balears, que se corresponde con el art. 10.32 del texto estatutario aprobado por la Ley Orgánica 2/1983).</w:t>
      </w:r>
    </w:p>
    <w:p w:rsidR="00D06117" w:rsidRDefault="00D06117" w:rsidP="00D06117">
      <w:pPr>
        <w:pStyle w:val="TextoNormal"/>
      </w:pPr>
    </w:p>
    <w:p w:rsidR="00D06117" w:rsidRDefault="00D06117" w:rsidP="00D06117">
      <w:pPr>
        <w:pStyle w:val="TextoNormal"/>
      </w:pPr>
      <w:r>
        <w:t>d) Por las mismas razones debe desestimarse la impugnación de los arts. 9.2 u) y 3 de la Ley del Parlamento de las Illes Balears 8/2000. El primero de ellos asigna al Presidente la función de “resolver los recursos de alzada interpuestos contra los actos de los consejeros ejecutivos, de los secretarios técnicos y de los directores insulares”, en tanto que el art. 9.3 permite al Presidente del consejo insular delegar el ejercicio de algunas de sus funciones tanto en la comisión de gobierno como en el consejo ejecutivo, o en los miembros de cualquiera de estos dos órganos colegiados.</w:t>
      </w:r>
    </w:p>
    <w:p w:rsidR="00D06117" w:rsidRDefault="00D06117" w:rsidP="00D06117">
      <w:pPr>
        <w:pStyle w:val="TextoNormal"/>
      </w:pPr>
    </w:p>
    <w:p w:rsidR="00D06117" w:rsidRDefault="00D06117" w:rsidP="00D06117">
      <w:pPr>
        <w:pStyle w:val="TextoNormal"/>
      </w:pPr>
      <w:r>
        <w:t xml:space="preserve">El art. 9.2 u) se impugna porque la condición de consejero ejecutivo, secretario técnico o director insular no está reservada a los miembros electos del consejo insular, por lo que no pueden dictar actos administrativos y, consecuentemente, tampoco cabe establecer un mecanismo de impugnación de tales actos. A la vista del motivo esgrimido para recurrir el </w:t>
      </w:r>
      <w:r>
        <w:lastRenderedPageBreak/>
        <w:t>art. 9.2 u) debemos poner de relieve la estrecha vinculación de este precepto con los apartados 4, 5 y 6 del art. 20 y el art. 22.2 y 3. Los primeros atribuyen la denominación de “Acuerdos del Consejo Ejecutivo” a los actos de este órgano colegiado y la de “Resolución del consejero” a los dictados por cada uno de sus miembros, en tanto que “los secretarios técnicos y los directores insulares dictarán los actos administrativos que corresponda, ya sean actos de resolución, ya sean actos de trámite”. El art. 22.2 dispone que los actos dictados por el consejo ejecutivo serán recurribles en alzada ante la comisión de gobierno y el art. 22.3 reproduce lo establecido en el art. 9.2 u).</w:t>
      </w:r>
    </w:p>
    <w:p w:rsidR="00D06117" w:rsidRDefault="00D06117" w:rsidP="00D06117">
      <w:pPr>
        <w:pStyle w:val="TextoNormal"/>
      </w:pPr>
    </w:p>
    <w:p w:rsidR="00D06117" w:rsidRDefault="00D06117" w:rsidP="00D06117">
      <w:pPr>
        <w:pStyle w:val="TextoNormal"/>
      </w:pPr>
      <w:r>
        <w:t>Todas estas disposiciones legales son objeto de recurso por referirse a unos órganos que, en opinión del recurrente, han sido creados contraviniendo las normas del bloque de constitucionalidad. Pues bien, como quiera que, por las razones ya expuestas con anterioridad, no podemos hacer nuestra dicha tesis, tampoco nos es dado participar de las consecuencias que de ella extrae el Abogado del Estado.</w:t>
      </w:r>
    </w:p>
    <w:p w:rsidR="00D06117" w:rsidRDefault="00D06117" w:rsidP="00D06117">
      <w:pPr>
        <w:pStyle w:val="TextoNormal"/>
      </w:pPr>
    </w:p>
    <w:p w:rsidR="00D06117" w:rsidRDefault="00D06117" w:rsidP="00D06117">
      <w:pPr>
        <w:pStyle w:val="TextoNormal"/>
      </w:pPr>
      <w:r>
        <w:t>Precisamente porque se trata de órganos que desempeñan exclusivamente funciones ejecutivas resulta lógico que el legislador autonómico haya establecido el régimen jurídico de las resoluciones en las que ha de plasmarse el ejercicio de las mismas, atribuyéndoles una denominación que de por sí no merece reproche alguno desde la estricta perspectiva constitucional a la que hemos de atenernos. Como tampoco puede merecerlo la previsión de que esas resoluciones puedan ser objeto de revisión por el Presidente del consejo insular, cargo reservado a un miembro electo de esta institución por el art. 66.1 del Estatuto de Autonomía de las Illes Balears, y antes por el art. 7.2 de la Ley 8/2000, de consejos insulares, garantizando con ello la dirección y control último de la decisión por el titular electivo de un órgano y, a su través, eventualmente del consejo insular en Pleno, al que corresponde controlar y fiscalizar la acción de gobierno en su conjunto. Nuevamente nos hallamos ante el ejercicio de la competencia autonómica en materia de “procedimiento administrativo derivado de las especialidades de la organización propia” (art. 30.36 del Estatuto de Autonomía de las Illes Balears), aquí por referencia a unos entes que tienen la condición de instituciones de la Comunidad Autónoma ex art. 61.3 de ese mismo texto estatutario.</w:t>
      </w:r>
    </w:p>
    <w:p w:rsidR="00D06117" w:rsidRDefault="00D06117" w:rsidP="00D06117">
      <w:pPr>
        <w:pStyle w:val="TextoNormal"/>
      </w:pPr>
    </w:p>
    <w:p w:rsidR="00D06117" w:rsidRDefault="00D06117" w:rsidP="00D06117">
      <w:pPr>
        <w:pStyle w:val="TextoNormal"/>
      </w:pPr>
      <w:r>
        <w:t>e) Los arts. 16.1 y 18.1 regulan distintos instrumentos de control y fiscalización de la acción del consejo ejecutivo por el Pleno del consejo insular. En coherencia con las conclusiones anteriormente alcanzadas al examinar la constitucionalidad del consejo ejecutivo, debemos rechazar la impugnación de unos preceptos que, en rigor, garantizan que este órgano ejecutivo rinda cuentas de su acción ante el Pleno, en tanto que máximo órgano de carácter representativo de los consejos insulares. Se pretende, con ello, asegurar que la dirección y control de la acción administrativa de los consejos insulares corresponda a sus miembros electos.</w:t>
      </w:r>
    </w:p>
    <w:p w:rsidR="00D06117" w:rsidRDefault="00D06117" w:rsidP="00D06117">
      <w:pPr>
        <w:pStyle w:val="TextoNormal"/>
      </w:pPr>
    </w:p>
    <w:p w:rsidR="00D06117" w:rsidRDefault="00D06117" w:rsidP="00D06117">
      <w:pPr>
        <w:pStyle w:val="TextoNormal"/>
      </w:pPr>
      <w:r w:rsidRPr="00D06117">
        <w:rPr>
          <w:rStyle w:val="NumeroAFNegritaCaracter"/>
        </w:rPr>
        <w:t>6</w:t>
      </w:r>
      <w:r>
        <w:t xml:space="preserve">. Se recurre asimismo el párrafo segundo del art. 7.3 de la Ley de consejos insulares, que, en consonancia con la caracterización del consejo ejecutivo como órgano de creación potestativa por el Pleno del consejo insular de la que parte la ley ahora controvertida, dispone que “cuando haya Consejo Ejecutivo, la composición de la Comisión de Gobierno será representativa de la del Pleno, y el Presidente nombrará a los representantes que designe cada grupo político para formar parte del mismo”. Sostiene el Abogado del Estado que esta previsión contradice lo establecido acerca de la comisión de gobierno en el art. 35.1 LBRL, </w:t>
      </w:r>
      <w:r>
        <w:lastRenderedPageBreak/>
        <w:t>precepto que tiene carácter básico y es aplicable a los consejos insulares conforme a lo dispuesto en el art. 41.3 LBRL. Por su conexión con este segundo párrafo del art. 7.3 se impugnan los arts. 8.3, que permite desconcentrar determinadas atribuciones del Pleno en la comisión de gobierno, cuando ésta tenga una composición representativa de aquél, es decir, cuando exista consejo ejecutivo, y 10.2, que en ese mismo supuesto atribuye las competencias de resolución de los recursos de alzada interpuestos contra actos del consejo ejecutivo y de estudio, informe y propuesta de los asuntos que hayan de ser sometidos al Pleno, salvo que el reglamento orgánico prevea otra cosa.</w:t>
      </w:r>
    </w:p>
    <w:p w:rsidR="00D06117" w:rsidRDefault="00D06117" w:rsidP="00D06117">
      <w:pPr>
        <w:pStyle w:val="TextoNormal"/>
      </w:pPr>
    </w:p>
    <w:p w:rsidR="00D06117" w:rsidRDefault="00D06117" w:rsidP="00D06117">
      <w:pPr>
        <w:pStyle w:val="TextoNormal"/>
      </w:pPr>
      <w:r>
        <w:t>En el transcurso de este proceso constitucional el art. 35.1 LBRL, cuya vulneración por el legislador estatal determinaría, al decir del Abogado del Estado, la inconstitucionalidad mediata del segundo párrafo del art. 7.3 y, por conexión, de los arts. 8.3 y 10.2, todos ellos de la Ley del Parlamento de las Illes Balears 8/2000, de 27 de octubre, fue modificado por la Ley 57/2003, de 16 de diciembre, de medidas para la modernización del gobierno local. Concretamente, la comisión de gobierno pasó a denominarse junta de gobierno, “expresión que”, según se indica en la exposición de motivos de dicha ley, “tiende a destacar la naturaleza ejecutiva de dicho órgano”. Además de este cambio en la norma básica que se dice infringida, el Estatuto de Autonomía reformado de las Illes Balears, aprobado por la Ley Orgánica 1/2007, de 28 de febrero, ha alterado sustancialmente la naturaleza de los consejos ejecutivos, que pasan a ostentar la condición de “órganos necesarios” —juntamente con el Pleno y el Presidente— en los consejos insulares de Mallorca, Menorca e Ibiza (art. 63.1), en tanto que respecto del Consejo Insular de Formentera se dispone que “no será preceptiva la existencia de consejo ejecutivo” (art. 63.2, que remite a una ley específica la regulación de las singularidades de régimen jurídico y organización del Consejo Insular de Formentera).</w:t>
      </w:r>
    </w:p>
    <w:p w:rsidR="00D06117" w:rsidRDefault="00D06117" w:rsidP="00D06117">
      <w:pPr>
        <w:pStyle w:val="TextoNormal"/>
      </w:pPr>
    </w:p>
    <w:p w:rsidR="00D06117" w:rsidRDefault="00D06117" w:rsidP="00D06117">
      <w:pPr>
        <w:pStyle w:val="TextoNormal"/>
      </w:pPr>
      <w:r>
        <w:t>Más allá de la conversión del consejo ejecutivo en órgano de existencia necesaria en los consejos insulares conforme a lo dispuesto en el art. 63.1 del Estatuto de Autonomía de las Illes Balears, interesa destacar que son éstos los órganos a los que el nuevo texto estatutario confiere el desempeño de la función ejecutiva que en las Diputaciones provinciales corresponde a las juntas de gobierno local. Asimismo, debemos señalar que la Ley de consejos insulares no ha sido reformada con el fin de adaptar su terminología a la novedad introducida en la materia por la Ley 57/2003, lo que ha dado como resultado el mantenimiento de órganos específicamente denominados “comisión de gobierno” en todos los consejos insulares, bien es cierto que con una composición distinta en función de la existencia o no de consejo ejecutivo. Así, las comisiones de gobierno de los consejos insulares de Mallorca (art. 25 de su Reglamento orgánico, publicado en el “Boletín Oficial de las Illes Balears” núm. 102, de 25 de agosto de 2001), Menorca (art. 63 de su Reglamento orgánico, “BOIB” núm. 65, de 10 de mayo de 2003) e Ibiza (art. 59 del Reglamento orgánico del Consejo Insular de Ibiza, “BOIB” núm. 136, de 18 de septiembre de 2010) son representativas del Pleno, lo que no sucede con la comisión de gobierno del Consejo Insular de Formentera (art. 143 de su Reglamento orgánico de funcionamiento, “BOIB” núm. 61, de 22 de abril de 2010).</w:t>
      </w:r>
    </w:p>
    <w:p w:rsidR="00D06117" w:rsidRDefault="00D06117" w:rsidP="00D06117">
      <w:pPr>
        <w:pStyle w:val="TextoNormal"/>
      </w:pPr>
    </w:p>
    <w:p w:rsidR="00D06117" w:rsidRDefault="00D06117" w:rsidP="00D06117">
      <w:pPr>
        <w:pStyle w:val="TextoNormal"/>
      </w:pPr>
      <w:r>
        <w:t xml:space="preserve">Estas singularidades organizativas resultan, en lo que ahora estrictamente interesa, del tratamiento que a los consejos insulares dispensa el propio Estatuto de Autonomía reformado de las Illes Balears y que parte de la premisa de que estas entidades “también son </w:t>
      </w:r>
      <w:r>
        <w:lastRenderedPageBreak/>
        <w:t>instituciones de la Comunidad Autónoma de las Illes Balears” (art. 61.3). El Estatuto establece la regulación de la organización esencial de los consejos insulares, identificando a tal fin los órganos necesarios (art. 63), entre los que no figura la junta de gobierno, pues las funciones ejecutivas se atribuyen, como hemos señalado reiteradamente, al consejo ejecutivo en los consejos insulares de Mallorca, Menorca e Ibiza, remitiéndose a una ley específica el desarrollo de la organización propia del Consejo Insular de Formentera.</w:t>
      </w:r>
    </w:p>
    <w:p w:rsidR="00D06117" w:rsidRDefault="00D06117" w:rsidP="00D06117">
      <w:pPr>
        <w:pStyle w:val="TextoNormal"/>
      </w:pPr>
    </w:p>
    <w:p w:rsidR="00D06117" w:rsidRDefault="00D06117" w:rsidP="00D06117">
      <w:pPr>
        <w:pStyle w:val="TextoNormal"/>
      </w:pPr>
      <w:r>
        <w:t>Resulta de todo ello que el legislador autonómico, y con él los propios consejos insulares, han conservado la denominación de comisión de gobierno para referirse a un órgano que no desempeña las funciones atribuidas por la legislación básica estatal a la junta de gobierno de las Diputaciones provinciales, no sólo porque los consejos insulares son una institución propia de la Comunidad Autónoma de las Illes Balears sino, en especial, porque esas funciones se reservan por el Estatuto de Autonomía a un órgano propio de los consejos insulares: el consejo ejecutivo. De modo que la comisión de gobierno no reúne el perfil ejecutivo propio de la junta de gobierno del art. 35 LBRL sino que representa un instrumento más para garantizar el control y fiscalización de la acción ejecutiva de los consejos insulares por sus órganos de carácter representativo. Justamente porque cumple esta función y no la ejecutiva reservada por el legislador estatal a la junta de gobierno, la Ley 8/2000 se decanta por una composición de la misma “representativa del Pleno” (art. 7.3), pues la libertad de nombramiento y cese de los miembros de un órgano colegiado por su Presidente es propia y específica de los órganos en los que prima el perfil ejecutivo —y así se aprecia en los preceptos del Estatuto de Autonomía y de la Ley 8/2000 dedicados a la composición del consejo ejecutivo—, pero inadecuada cuando se trata, como es el caso de las comisiones de gobierno existentes en los consejos insulares de Mallorca, Menorca e Ibiza, de órganos de control y fiscalización de la acción administrativa de ejecución de las directrices del Pleno.</w:t>
      </w:r>
    </w:p>
    <w:p w:rsidR="00D06117" w:rsidRDefault="00D06117" w:rsidP="00D06117">
      <w:pPr>
        <w:pStyle w:val="TextoNormal"/>
      </w:pPr>
    </w:p>
    <w:p w:rsidR="00D06117" w:rsidRDefault="00D06117" w:rsidP="00D06117">
      <w:pPr>
        <w:pStyle w:val="TextoNormal"/>
      </w:pPr>
      <w:r>
        <w:t>De acuerdo con lo expuesto, la comisión de gobierno representa una especialidad en la organización propia de las instituciones autonómicas de las Illes Balears, cuya regulación en el segundo párrafo del art. 7.3 de la Ley 8/2000 (en relación con los arts. 8.3 y 10.2 de la misma) no contradice lo establecido sobre la composición de la junta de gobierno en el art. 35.1 LBRL, debiendo tenerse en cuenta que conforme a lo dispuesto en el art. 41.3 LBRL, como ya dijimos, la aplicación a los consejos insulares de las previsiones de la propia LBRL lo es sin perjuicio de lo establecido en el Estatuto de Autonomía de las Illes Balears.</w:t>
      </w:r>
    </w:p>
    <w:p w:rsidR="00D06117" w:rsidRDefault="00D06117" w:rsidP="00D06117">
      <w:pPr>
        <w:pStyle w:val="TextoNormal"/>
      </w:pPr>
    </w:p>
    <w:p w:rsidR="00D06117" w:rsidRDefault="00D06117" w:rsidP="00D06117">
      <w:pPr>
        <w:pStyle w:val="TextoNormal"/>
      </w:pPr>
      <w:r>
        <w:t xml:space="preserve">En efecto, ese carácter especial de las comisiones de gobierno, plasmado en la propia composición de las comisiones de gobierno existentes en los consejos insulares que cuenten asimismo con consejos ejecutivos, explica la posibilidad misma de que el Pleno, a través del reglamento orgánico, desconcentre en ellas algunas de sus atribuciones (art. 8.3 de la Ley 8/2000) sin que ello suponga contravenir la regulación básica de un órgano diferente, cual es la junta de gobierno de las Diputaciones provinciales. La consideración de la comisión de gobierno como un órgano de control y fiscalización de la acción administrativa del consejo ejecutivo explica igualmente que la asignación a aquélla de la resolución de los recursos de alzada interpuestos frente a los actos de éste [art. 10.2 a) de la Ley 8/2000] represente una manifestación legítima de la competencia autonómica en materia de “procedimiento administrativo derivado de las especialidades de la organización propia” (art. 30.36 del Estatuto de Autonomía de las Illes Balears). Finalmente, tampoco se aprecia motivo de inconstitucionalidad en la atribución a la comisión de gobierno, cuando su composición sea representativa del Pleno, de la función de estudio, informe y propuesta en los </w:t>
      </w:r>
      <w:r>
        <w:lastRenderedPageBreak/>
        <w:t>asuntos que deban ser sometidos al Pleno del consejo insular [art. 10.2 b) de la Ley 8/2000]. Tanto menos cuanto que la existencia de este tipo de órganos está prevista igualmente para las Diputaciones provinciales en el art. 32.2 LBRL.</w:t>
      </w:r>
    </w:p>
    <w:p w:rsidR="00D06117" w:rsidRDefault="00D06117" w:rsidP="00D06117">
      <w:pPr>
        <w:pStyle w:val="TextoNormal"/>
      </w:pPr>
    </w:p>
    <w:p w:rsidR="00D06117" w:rsidRDefault="00D06117" w:rsidP="00D06117">
      <w:pPr>
        <w:pStyle w:val="TextoNormal"/>
      </w:pPr>
      <w:r w:rsidRPr="00D06117">
        <w:rPr>
          <w:rStyle w:val="NumeroAFNegritaCaracter"/>
        </w:rPr>
        <w:t>7</w:t>
      </w:r>
      <w:r>
        <w:t>. El último de los bloques de preceptos de la Ley del Parlamento de las Illes Balears 8/2000, de 27 de octubre, de consejos insulares, controvertidos en este proceso constitucional es el integrado por los arts. 8.2, 15.2, 16.3 y 17.2.</w:t>
      </w:r>
    </w:p>
    <w:p w:rsidR="00D06117" w:rsidRDefault="00D06117" w:rsidP="00D06117">
      <w:pPr>
        <w:pStyle w:val="TextoNormal"/>
      </w:pPr>
    </w:p>
    <w:p w:rsidR="00D06117" w:rsidRDefault="00D06117" w:rsidP="00D06117">
      <w:pPr>
        <w:pStyle w:val="TextoNormal"/>
      </w:pPr>
      <w:r>
        <w:t>a) El art. 8.2 permite que el Pleno del consejo insular delegue en el presidente y en la comisión de gobierno el ejercicio de algunas de las competencias que le atribuye el art. 8.1. El Abogado del Estado entiende que el precepto legal autonómico vulnera la normativa básica en materia de régimen local en cuanto que hace posible la delegación de las atribuciones consistentes en “aprobar el ejercicio de la iniciativa económica, la insularización de actividades en régimen de monopolio y la forma de gestión del servicio correspondiente, así como la creación de entes públicos de carácter institucional y de sociedades mercantiles” [art. 8.1 k)], “aprobar la transferencia de competencias, servicios y actividades a organizaciones en las que participe el Consejo Insular, así como la delegación de competencias o la encomienda de gestión de actividades materiales, técnicas y de servicios a otras administraciones públicas” [art. 8.1 o)] y “alterar la calificación jurídica de los bienes de dominio público. Adquirir bienes o derechos, o realizar su alienación, en los mismos supuestos del artículo 33.2 n) de la Ley 7/1985, de 2 de abril, reguladora de las bases de régimen local” [art. 8.1 q)]. A juicio del Abogado del Estado, estas previsiones serían contrarias a lo establecido en los apartados 3 ñ) y 4 del art. 33 LBRL, que excluyen la posibilidad de delegar “aquellas atribuciones que correspondan al Pleno por exigir su aprobación una mayoría especial”, como sucede con la “municipalización o provincialización de actividades en régimen de monopolio y aprobación de la forma concreta de gestión del servicio correspondiente” [art. 47.2 k) LBRL], la “transferencia de funciones o actividades a otras Administraciones públicas, así como la aceptación de las delegaciones o encomiendas de gestión realizadas por otras administraciones, salvo que por Ley se impongan obligatoriamente” [art. 47.2 h) LBRL] y la “alteración de la calificación jurídica de los bienes demaniales o comunales” [art. 47.2 n) LBRL].</w:t>
      </w:r>
    </w:p>
    <w:p w:rsidR="00D06117" w:rsidRDefault="00D06117" w:rsidP="00D06117">
      <w:pPr>
        <w:pStyle w:val="TextoNormal"/>
      </w:pPr>
    </w:p>
    <w:p w:rsidR="00D06117" w:rsidRDefault="00D06117" w:rsidP="00D06117">
      <w:pPr>
        <w:pStyle w:val="TextoNormal"/>
      </w:pPr>
      <w:r>
        <w:t>Como hemos recordado en el fundamento jurídico 3 de esta misma resolución, la garantía constitucional de la autonomía local tiene alcance general y configura nuestro modelo de Estado, lo que necesariamente lleva a concluir que corresponde al Estado “la fijación de principios o criterios básicos en materia de organización y competencia de general aplicación en todo el Estado” (STC 32/1981, FJ 5). No hay duda del carácter materialmente básico de los preceptos de la Ley reguladora de las bases de régimen local invocados por el Abogado del Estado, habida cuenta de que en ellos se plasma una garantía nuclear del autogobierno de la comunidad local, como es la reserva al Pleno de la corporación —en su calidad de órgano de carácter representativo de la ciudadanía— de la competencia para adoptar decisiones especialmente relevantes como son el ejercicio de la iniciativa económica pública, la alteración del régimen jurídico especial de los bienes de titularidad pública o la transferencia o asunción de nuevas funciones por el ente exponencial de esa misma comunidad local.</w:t>
      </w:r>
    </w:p>
    <w:p w:rsidR="00D06117" w:rsidRDefault="00D06117" w:rsidP="00D06117">
      <w:pPr>
        <w:pStyle w:val="TextoNormal"/>
      </w:pPr>
    </w:p>
    <w:p w:rsidR="00D06117" w:rsidRDefault="00D06117" w:rsidP="00D06117">
      <w:pPr>
        <w:pStyle w:val="TextoNormal"/>
      </w:pPr>
      <w:r>
        <w:t xml:space="preserve">Pues bien, esa garantía procedimental, de deliberación pública previa a la adopción de decisiones particularmente relevantes para la satisfacción del interés de la comunidad local, </w:t>
      </w:r>
      <w:r>
        <w:lastRenderedPageBreak/>
        <w:t>ha sido desconocida por el art. 8.2 de la Ley de consejos insulares en cuanto que permite eludir esa deliberación pública, sustituyéndola por la delegación del ejercicio de las competencias correspondientes bien en un órgano de carácter estrictamente unipersonal, como es el Presidente del consejo insular, bien en la comisión de gobierno, en la que únicamente están presentes algunos de los representantes de la ciudadanía.</w:t>
      </w:r>
    </w:p>
    <w:p w:rsidR="00D06117" w:rsidRDefault="00D06117" w:rsidP="00D06117">
      <w:pPr>
        <w:pStyle w:val="TextoNormal"/>
      </w:pPr>
    </w:p>
    <w:p w:rsidR="00D06117" w:rsidRDefault="00D06117" w:rsidP="00D06117">
      <w:pPr>
        <w:pStyle w:val="TextoNormal"/>
      </w:pPr>
      <w:r>
        <w:t>Consecuentemente, debemos estimar el recurso con respecto al art. 8.2 de la Ley de consejos insulares exclusivamente en cuanto permite delegar en los órganos antes mencionados el ejercicio de las atribuciones encomendadas al Pleno del consejo insular por las letras k), o) y q) del art. 8.1. No obstante, esta declaración de inconstitucionalidad no puede determinar la anulación del precepto legal, pues ello supondría la desaparición de la delegación en su integridad, consecuencia enteramente rechazable, toda vez que la delegación de las atribuciones que permite el art. 8.2 no es inconstitucional: la tacha de inconstitucionalidad apreciada, por las razones expuestas, consiste únicamente en que el precepto impugnado no incluye entre las atribuciones exceptuadas de la facultad de delegación las enunciadas en las letras k), o) y q) del art. 8.1. Por el contrario, ninguna tacha cabe oponer (y desde luego el Abogado del Estado no lo hace en su demanda) a que sean delegables las atribuciones del Pleno enunciadas en las letras e), m), n), s) , t), u) y v) del citado precepto, delegación que resultaría, sin embargo, vedada al Pleno del consejo insular si, yendo más lejos de lo solicitado por el propio Abogado del Estado, declarásemos la nulidad del art. 8.2 de la Ley de consejos insulares; declaración que, por el contrario, hubiera sido procedente en el caso de que el precepto hubiera sido redactado de manera positiva, esto es, enumerando las atribuciones delegables, pues en tal caso habríamos declarado inconstitucionales y nulos los incisos o letras que enunciasen como delegables atribuciones no susceptibles de delegación.</w:t>
      </w:r>
    </w:p>
    <w:p w:rsidR="00D06117" w:rsidRDefault="00D06117" w:rsidP="00D06117">
      <w:pPr>
        <w:pStyle w:val="TextoNormal"/>
      </w:pPr>
    </w:p>
    <w:p w:rsidR="00D06117" w:rsidRDefault="00D06117" w:rsidP="00D06117">
      <w:pPr>
        <w:pStyle w:val="TextoNormal"/>
      </w:pPr>
      <w:r>
        <w:t>b) Del art. 15.2 se recurre su segundo párrafo, donde se establece que “el cargo de secretario del Consejo Ejecutivo será ocupado por el consejero ejecutivo que designe el presidente”, previéndose que el mismo “extenderá acta de los acuerdos y se encargará de la expedición de los certificados correspondientes”. Para el Abogado del Estado, este precepto ignora que, de acuerdo con lo dispuesto en el art. 92.2 LBRL, entre las funciones públicas cuyo ejercicio está reservado al personal sujeto a estatuto funcionarial figura la de “fe pública”; más concretamente, el art. 92.3 a) LBRL reserva a funcionarios con habilitación de carácter nacional la función “de secretaría, comprensiva de la fe pública y el asesoramiento legal preceptivo”.</w:t>
      </w:r>
    </w:p>
    <w:p w:rsidR="00D06117" w:rsidRDefault="00D06117" w:rsidP="00D06117">
      <w:pPr>
        <w:pStyle w:val="TextoNormal"/>
      </w:pPr>
    </w:p>
    <w:p w:rsidR="00D06117" w:rsidRDefault="00D06117" w:rsidP="00D06117">
      <w:pPr>
        <w:pStyle w:val="TextoNormal"/>
      </w:pPr>
      <w:r>
        <w:t>Antes de abordar el fondo del problema planteado en este concreto motivo impugnatorio debemos señalar que si bien es cierto que el art. 92 LBRL ha sido derogado por la Ley 7/2007, de 12 de abril, del estatuto básico del empleado público, también lo es que la disposición adicional segunda de este mismo texto legal viene a coincidir sustancialmente con aquél en la enumeración de las funciones públicas de las entidades locales genéricamente reservadas a funcionarios (apartado 1.1) y específicamente a funcionarios con habilitación de carácter estatal (apartado 1.2). De acuerdo con la disposición final primera de la Ley 7/2007, esta reserva de funciones tiene la consideración de bases del régimen estatutario de los funcionarios ex art. 149.1.18 CE.</w:t>
      </w:r>
    </w:p>
    <w:p w:rsidR="00D06117" w:rsidRDefault="00D06117" w:rsidP="00D06117">
      <w:pPr>
        <w:pStyle w:val="TextoNormal"/>
      </w:pPr>
    </w:p>
    <w:p w:rsidR="00D06117" w:rsidRDefault="00D06117" w:rsidP="00D06117">
      <w:pPr>
        <w:pStyle w:val="TextoNormal"/>
      </w:pPr>
      <w:r>
        <w:t xml:space="preserve">La existencia de contradicción entre la norma básica estatal y el art. 15.2 de la Ley de consejos insulares no precisa de mayor esfuerzo argumental. Se contraponen en esta ocasión dos reservas: una reserva de funciones públicas —entre las que figuran las de secretaría y </w:t>
      </w:r>
      <w:r>
        <w:lastRenderedPageBreak/>
        <w:t>fe pública— establecida por el legislador estatal en favor de los funcionarios públicos de habilitación estatal y una reserva del cargo de secretario del consejo ejecutivo —a quien corresponde extender acta de los acuerdos adoptados por este órgano colegiado y expedir los correspondientes certificados— a favor de uno de los miembros de este mismo consejo, es decir, en favor de quien no integra el órgano por su condición de funcionario público sino en virtud de una estricta relación fiduciaria que lo une con el presidente del consejo insular, que lo es igualmente del consejo ejecutivo.</w:t>
      </w:r>
    </w:p>
    <w:p w:rsidR="00D06117" w:rsidRDefault="00D06117" w:rsidP="00D06117">
      <w:pPr>
        <w:pStyle w:val="TextoNormal"/>
      </w:pPr>
    </w:p>
    <w:p w:rsidR="00D06117" w:rsidRDefault="00D06117" w:rsidP="00D06117">
      <w:pPr>
        <w:pStyle w:val="TextoNormal"/>
      </w:pPr>
      <w:r>
        <w:t>En esta ocasión, el apartamiento por el legislador autonómico de lo establecido con carácter básico en materia de régimen estatutario de los funcionarios por el legislador estatal no puede justificarse en aras de la singularidad de los consejos insulares ni, menos aún del perfil ejecutivo del órgano colegiado de cuya secretaría se trata. Con respecto a lo primero, debemos reiterar nuevamente que la Constitución incorpora una garantía de la autonomía de los consejos insulares en tanto que Administraciones locales, condición ésta que en modo alguno puede verse afectada por la declaración estatutaria de que los consejos insulares “también son instituciones de la Comunidad Autónoma” (art. 61.3 del Estatuto de Autonomía de las Illes Balears). La autonomía constitucionalmente reconocida a los entes locales, que son ante todo Administraciones públicas, y a las Comunidades Autónomas, en las cuales la concurrencia de poderes legislativos y ejecutivos da como resultado la “diversificación del ordenamiento en una pluralidad de sistemas normativos autónomos” (STC 31/2010, de 28 de junio, FJ 42) es sustantivamente diferente y las diferencias que existen entre ambos no pueden “salvarse” mediante el expediente de recordar que los consejos insulares también son instituciones de la Comunidad Autónoma, pues ese carácter de los consejos insulares no transmuta su naturaleza jurídica de auténticas Administraciones públicas territoriales de tipo corporativo sino que, antes bien, la presupone.</w:t>
      </w:r>
    </w:p>
    <w:p w:rsidR="00D06117" w:rsidRDefault="00D06117" w:rsidP="00D06117">
      <w:pPr>
        <w:pStyle w:val="TextoNormal"/>
      </w:pPr>
    </w:p>
    <w:p w:rsidR="00D06117" w:rsidRDefault="00D06117" w:rsidP="00D06117">
      <w:pPr>
        <w:pStyle w:val="TextoNormal"/>
      </w:pPr>
      <w:r>
        <w:t>En cuanto a la naturaleza del consejo ejecutivo, interesa recordar que se trata de un órgano colegiado que dirige la actividad administrativa del ente local y lo hace sujeto al control y fiscalización del Pleno, órgano en el que prima el carácter representativo. Dicho lo cual, hemos de añadir ahora que la discrepancia se centra en el ejercicio de unas funciones administrativas —las de secretaría y fe pública— expresamente reservadas por el legislador básico estatal al personal vinculado con la Administración local por una relación estatutaria y más concretamente a los funcionarios con habilitación de carácter estatal. En esta reserva predomina el principio de objetividad de la acción administrativa (art. 103.1 CE), un principio que informa el régimen jurídico de los consejos insulares.</w:t>
      </w:r>
    </w:p>
    <w:p w:rsidR="00D06117" w:rsidRDefault="00D06117" w:rsidP="00D06117">
      <w:pPr>
        <w:pStyle w:val="TextoNormal"/>
      </w:pPr>
    </w:p>
    <w:p w:rsidR="00D06117" w:rsidRDefault="00D06117" w:rsidP="00D06117">
      <w:pPr>
        <w:pStyle w:val="TextoNormal"/>
      </w:pPr>
      <w:r>
        <w:t>Por lo expuesto, debemos estimar el presente recurso de inconstitucionalidad en cuanto que el art. 15.2 de la Ley de consejos insulares permite que, en relación con la actividad de un órgano ejecutivo, ejerzan funciones de secretaría y fe pública quienes no se hallan vinculados con los consejos insulares por una relación estatutaria y tampoco ostentan la condición de funcionarios con habilitación estatal. En consecuencia, el art. 15.2 es inconstitucional y nulo.</w:t>
      </w:r>
    </w:p>
    <w:p w:rsidR="00D06117" w:rsidRDefault="00D06117" w:rsidP="00D06117">
      <w:pPr>
        <w:pStyle w:val="TextoNormal"/>
      </w:pPr>
    </w:p>
    <w:p w:rsidR="00D06117" w:rsidRDefault="00D06117" w:rsidP="00D06117">
      <w:pPr>
        <w:pStyle w:val="TextoNormal"/>
      </w:pPr>
      <w:r>
        <w:t xml:space="preserve">c) El art. 16.3 de la Ley de consejos insulares es impugnado porque permite que el presidente del consejo insular plantee cuestión de confianza “sobre su programa en conjunto, sobre una declaración de política general o sobre la aprobación de cualquier asunto o actuación de relevancia política”, previsión que, según el Abogado del Estado, colisionaría con el art. 33.3 LBRL que, al regular la moción de censura en las Diputaciones provinciales, se </w:t>
      </w:r>
      <w:r>
        <w:lastRenderedPageBreak/>
        <w:t>remite a lo dispuesto en la legislación electoral general; remisión que debe entenderse hecha al art. 207.4 de la Ley Orgánica 5/1985, de 19 de junio, de régimen electoral general, en la redacción dada al mismo por la Ley Orgánica 8/1999, de 21 de abril, precepto que contempla la posibilidad de que el Presidente de la Diputación provincial plantee cuestión de confianza en relación con la aprobación o modificación de los presupuestos anuales, el reglamento orgánico o el plan provincial de cooperación a las obras y servicios de competencia municipal. Existiría, por ello, discordancia entre la legislación estatal y la autonómica en cuanto a los supuestos en los que cabe plantear cuestión de confianza.</w:t>
      </w:r>
    </w:p>
    <w:p w:rsidR="00D06117" w:rsidRDefault="00D06117" w:rsidP="00D06117">
      <w:pPr>
        <w:pStyle w:val="TextoNormal"/>
      </w:pPr>
    </w:p>
    <w:p w:rsidR="00D06117" w:rsidRDefault="00D06117" w:rsidP="00D06117">
      <w:pPr>
        <w:pStyle w:val="TextoNormal"/>
      </w:pPr>
      <w:r>
        <w:t>La eventual discrepancia que pudiera existir entre ambas previsiones legales debe entenderse actualmente salvada por el art. 66.3 del Estatuto de Autonomía reformado de las Illes Balears, que, en coincidencia con el precepto legal controvertido en este proceso constitucional, dispone que “la aprobación de una moción de censura al Presidente del Consejo Insular o la denegación de una cuestión de confianza que éste plantee se regirán por lo que dispone la legislación electoral general, con la particularidad de que el Presidente puede plantear la cuestión de confianza sobre su programa en conjunto, sobre una declaración de política general o sobre la aprobación de cualquier asunto o actuación de relevancia política.” No existe, pues, contradicción entre el art. 16.3 de la Ley de consejos insulares y la legislación estatal, toda vez que el presidente del consejo insular podrá plantear cuestión de confianza que se regirá por lo dispuesto en la legislación electoral general (art. 33.3 LBRL, en relación con los arts. 197 bis y 207.4 de la Ley Orgánica 5/1985, de 19 de junio, de régimen electoral general), con la particularidad señalada en cuanto a su objeto por el Estatuto de Autonomía reformado de las Illes Balears, particularidad que permite la propia legislación básica de régimen local (art. 41.3 LBRL).</w:t>
      </w:r>
    </w:p>
    <w:p w:rsidR="00D06117" w:rsidRDefault="00D06117" w:rsidP="00D06117">
      <w:pPr>
        <w:pStyle w:val="TextoNormal"/>
      </w:pPr>
    </w:p>
    <w:p w:rsidR="00D06117" w:rsidRDefault="00D06117" w:rsidP="00D06117">
      <w:pPr>
        <w:pStyle w:val="TextoNormal"/>
      </w:pPr>
      <w:r>
        <w:t>Por lo expuesto, procede desestimar el recurso en este concreto extremo.</w:t>
      </w:r>
    </w:p>
    <w:p w:rsidR="00D06117" w:rsidRDefault="00D06117" w:rsidP="00D06117">
      <w:pPr>
        <w:pStyle w:val="TextoNormal"/>
      </w:pPr>
    </w:p>
    <w:p w:rsidR="00D06117" w:rsidRDefault="00D06117" w:rsidP="00D06117">
      <w:pPr>
        <w:pStyle w:val="TextoNormal"/>
      </w:pPr>
      <w:r>
        <w:t>d) Se impugna, por último, el art. 17.2 de la Ley autonómica, relativo a la convocatoria extraordinaria del Pleno del consejo cuando así lo soliciten al menos una quinta parte de sus miembros o dos grupos políticos. Para el Abogado del Estado, esta previsión es contraria al art. 46.2 a) LBRL, que establece un mínimo de la cuarta parte de los miembros del órgano colegiado y añade la limitación de que ninguno de ellos puede formular más de tres solicitudes al año, límite que no figura en el precepto autonómico impugnado.</w:t>
      </w:r>
    </w:p>
    <w:p w:rsidR="00D06117" w:rsidRDefault="00D06117" w:rsidP="00D06117">
      <w:pPr>
        <w:pStyle w:val="TextoNormal"/>
      </w:pPr>
    </w:p>
    <w:p w:rsidR="00D06117" w:rsidRDefault="00D06117" w:rsidP="00D06117">
      <w:pPr>
        <w:pStyle w:val="TextoNormal"/>
      </w:pPr>
      <w:r>
        <w:t>Pero tampoco puede compartirse la opinión del Abogado del Estado, pues su alegato se funda en un entendimiento de la normativa básica en materia organizativa que no se compadece con la interpretación sentada al respecto por este Tribunal.</w:t>
      </w:r>
    </w:p>
    <w:p w:rsidR="00D06117" w:rsidRDefault="00D06117" w:rsidP="00D06117">
      <w:pPr>
        <w:pStyle w:val="TextoNormal"/>
      </w:pPr>
    </w:p>
    <w:p w:rsidR="00D06117" w:rsidRDefault="00D06117" w:rsidP="00D06117">
      <w:pPr>
        <w:pStyle w:val="TextoNormal"/>
      </w:pPr>
      <w:r>
        <w:t>En efecto, conforme a reiterada jurisprudencia constitucional, el ámbito de lo básico incluye, desde la perspectiva material, las determinaciones que garantizan la existencia en todo el Estado de una normativa homogeneizadora destinada a asegurar los intereses generales en el sector material de que se trate, y con ello una orientación unitaria y dotada de cierta estabilidad y certeza en todo aquello que el legislador estatal considera en cada momento como aspectos esenciales de dicho sector material (por todas, SSTC 223/2000, de 21 de septiembre, FJ 6; 14/2004, de 12 de febrero, FJ 11; y 31/2010, de 28 de junio, FJ 60).</w:t>
      </w:r>
    </w:p>
    <w:p w:rsidR="00D06117" w:rsidRDefault="00D06117" w:rsidP="00D06117">
      <w:pPr>
        <w:pStyle w:val="TextoNormal"/>
      </w:pPr>
    </w:p>
    <w:p w:rsidR="00D06117" w:rsidRDefault="00D06117" w:rsidP="00D06117">
      <w:pPr>
        <w:pStyle w:val="TextoNormal"/>
      </w:pPr>
      <w:r>
        <w:t xml:space="preserve">Ciertamente, el Estado no puede, en el ejercicio de una competencia básica, agotar la regulación de la materia, vaciando de contenido la competencia autonómica de desarrollo </w:t>
      </w:r>
      <w:r>
        <w:lastRenderedPageBreak/>
        <w:t>legislativo, sino que debe dejar un margen normativo propio a las Comunidades Autónomas que permita a éstas opciones diversas dentro del respeto a legislación básica (SSTC 32/1981, de 28 de julio, FJ 5; 48/1988, de 22 de marzo, FJ 14; y 98/2004, de 25 de mayo, FJ 6, entre otras muchas). Pero es más, en determinadas materias, especialmente la organizativa, nuestra doctrina ha establecido que las determinaciones contenidas en la norma básica garantizan un mínimo común normativo a partir del cual cada Comunidad Autónoma puede introducir las particularidades adicionales que estime convenientes, dentro del marco competencial que en la materia correspondiente le asigne su Estatuto, y siempre que no den lugar a una “conformación radicalmente distinta” del modelo organizativo establecido en la legislación estatal básica (STC 49/1988, de 22 de marzo, FJ 16, por todas).</w:t>
      </w:r>
    </w:p>
    <w:p w:rsidR="00D06117" w:rsidRDefault="00D06117" w:rsidP="00D06117">
      <w:pPr>
        <w:pStyle w:val="TextoNormal"/>
      </w:pPr>
    </w:p>
    <w:p w:rsidR="00D06117" w:rsidRDefault="00D06117" w:rsidP="00D06117">
      <w:pPr>
        <w:pStyle w:val="TextoNormal"/>
      </w:pPr>
      <w:r>
        <w:t>Atendiendo a esta consolidada doctrina el recurso debe ser desestimado también en este punto, puesto que el precepto legal controvertido, que encuentra cobertura en la propia singularidad organizativa de los consejos insulares, expresamente prevista en el Estatuto de Autonomía de las Illes Balears, no modifica con carácter general el régimen de quorum exigido para la convocatoria extraordinaria del Pleno del consejo insular, sino que únicamente modaliza ese requisito con un objeto concreto: “someter a debate la gestión del Consejo Ejecutivo en áreas concretas”; y lo hace, además, exigiendo un porcentaje inferior al requerido por la norma básica en materia de régimen local [art. 46.2 a) LBRL] como mínimo común normativo y sin sujeción a un número tasado de solicitudes de convocatoria por año, todo ello con una finalidad constitucionalmente legítima, como es la de democratizar el funcionamiento de los consejos insulares. Por otra parte, la regulación contenida el art. 17.2 de la Ley autonómica no desvirtuaría un hipotético objetivo de estabilidad política del órgano de gobierno del consejo insular al que pudiera atender la norma básica, pues, como es obvio, que existan más facilidades para instar la convocatoria extraordinaria del Pleno del consejo a fin de controlar la gestión del consejo ejecutivo, al exigir un quorum más reducido, y que esa solicitud pueda reiterarse cuantas veces se alcance ese quorum (en vez del máximo de tres veces al año previsto en la norma básica), no significa necesariamente el éxito de la iniciativa de censura de la actividad del órgano de gobierno, cuya aprobación o rechazo queda sujeta, claro está, al régimen de mayorías para la adopción de acuerdos por el Pleno del consejo insular establecido con carácter general (arts. 15.1 y 17.3 de la Ley de consejos insulares, en relación con el art. 47 LBRL).</w:t>
      </w:r>
    </w:p>
    <w:p w:rsidR="00D06117" w:rsidRDefault="00D06117" w:rsidP="00D06117">
      <w:pPr>
        <w:pStyle w:val="TextoNormal"/>
      </w:pPr>
    </w:p>
    <w:p w:rsidR="00D06117" w:rsidRDefault="00D06117" w:rsidP="00D06117">
      <w:pPr>
        <w:pStyle w:val="TextoNormal"/>
      </w:pPr>
      <w:r>
        <w:t>El controvertido art. 17.2 de la Ley autonómica, introduce, en definitiva, una regla que, respetando el mínimo normativo contenido en la norma básica, se dirige a facilitar el control y fiscalización de la acción administrativa del consejo ejecutivo —órgano exclusivo de algunos consejos insulares— por el órgano representativo por excelencia del consejo insular: el Pleno, contribuyendo con ello al fortalecimiento del control democrático de los consejos insulares. Esta especificación del objeto de la convocatoria, que remite a la depuración de responsabilidades por la acción de un órgano únicamente existente en los consejos insulares de la Comunidad Autónoma de las Illes Balears, y responde a la singularidad del régimen institucional y de administración local de las islas (art. 141.4 CE, arts. 30.1, 30.36, 31.13 y 65.5 del Estatuto de Autonomía de las Illes Balears y art. 41.3 LBRL), permite concluir que la previsión normativa ahora controvertida se encuadra en las competencias autonómicas y no adolece de vicio alguno de inconstitucionalidad, por las razones expuestas.</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1º Estimar parcialmente el presente recurso de inconstitucionalidad y, en consecuencia:</w:t>
      </w:r>
    </w:p>
    <w:p w:rsidR="00D06117" w:rsidRDefault="00D06117" w:rsidP="00D06117">
      <w:pPr>
        <w:pStyle w:val="TextoNormal"/>
      </w:pPr>
    </w:p>
    <w:p w:rsidR="00D06117" w:rsidRDefault="00D06117" w:rsidP="00D06117">
      <w:pPr>
        <w:pStyle w:val="TextoNormal"/>
      </w:pPr>
      <w:r>
        <w:t>a) Declarar inconstitucional el art. 8.2 de la Ley del Parlamento de las Illes Balears 8/2000, de 27 de octubre, de consejos insulares, en cuanto permite la delegación de las atribuciones asignadas al Pleno por las letras k), o) y q) del art. 8.1.</w:t>
      </w:r>
    </w:p>
    <w:p w:rsidR="00D06117" w:rsidRDefault="00D06117" w:rsidP="00D06117">
      <w:pPr>
        <w:pStyle w:val="TextoNormal"/>
      </w:pPr>
    </w:p>
    <w:p w:rsidR="00D06117" w:rsidRDefault="00D06117" w:rsidP="00D06117">
      <w:pPr>
        <w:pStyle w:val="TextoNormal"/>
      </w:pPr>
      <w:r>
        <w:t>b) Declarar inconstitucional y nulo el segundo párrafo del art. 15.2 de ese mismo texto legal.</w:t>
      </w:r>
    </w:p>
    <w:p w:rsidR="00D06117" w:rsidRDefault="00D06117" w:rsidP="00D06117">
      <w:pPr>
        <w:pStyle w:val="TextoNormal"/>
      </w:pPr>
    </w:p>
    <w:p w:rsidR="00D06117" w:rsidRDefault="00D06117" w:rsidP="00D06117">
      <w:pPr>
        <w:pStyle w:val="TextoNormal"/>
      </w:pPr>
      <w:r>
        <w:t>2º Desestimar el recurso en todo lo demás.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diecinueve de junio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Luis Ignacio Ortega Álvarez y al que se adhiere la Magistrada doña Adela Asua Batarrita respecto de la Sentencia del Pleno de fecha 19 de junio de 2012 dictada en el recurso de inconstitucionalidad núm. 6433-2000.</w:t>
      </w:r>
    </w:p>
    <w:p w:rsidR="00D06117" w:rsidRDefault="00D06117" w:rsidP="00D06117">
      <w:pPr>
        <w:pStyle w:val="TextoNormalNegritaCentrado"/>
        <w:keepNext/>
      </w:pPr>
    </w:p>
    <w:p w:rsidR="00D06117" w:rsidRDefault="00D06117" w:rsidP="00D06117">
      <w:pPr>
        <w:pStyle w:val="TextoNormal"/>
      </w:pPr>
      <w:r>
        <w:t>En el ejercicio de la facultad que me confiere el art. 90.2 de la Ley Orgánica del Tribunal Constitucional y con el pleno respeto a la opinión de la mayoría del Tribunal, expreso mi discrepancia con la Sentencia por las razones que expongo a continuación.</w:t>
      </w:r>
    </w:p>
    <w:p w:rsidR="00D06117" w:rsidRDefault="00D06117" w:rsidP="00D06117">
      <w:pPr>
        <w:pStyle w:val="TextoNormal"/>
      </w:pPr>
    </w:p>
    <w:p w:rsidR="00D06117" w:rsidRDefault="00D06117" w:rsidP="00D06117">
      <w:pPr>
        <w:pStyle w:val="TextoNormal"/>
      </w:pPr>
      <w:r>
        <w:t>Desde un punto de vista doctrinal no puedo sino manifestar mi disconformidad con la manera en la que la Sentencia de la mayoría ha resuelto la, a mi entender, principal objeción formulada a la Ley del Parlamento de las Illes Balears 8/2000, de 27 de octubre, esto es la asignación de funciones propias del gobierno y administración de la isla a no electos que se integran en determinados órganos de los consejos insulares como el consejo ejecutivo, y las denominadas direcciones insulares y secretarías técnicas. Manera de resolver el problema que también se ha proyectado en el art. 17.2 de la ley autonómica, relativo a la convocatoria extraordinaria del pleno del consejo cuando así lo soliciten al menos una quinta parte de sus miembros o dos grupos políticos.</w:t>
      </w:r>
    </w:p>
    <w:p w:rsidR="00D06117" w:rsidRDefault="00D06117" w:rsidP="00D06117">
      <w:pPr>
        <w:pStyle w:val="TextoNormal"/>
      </w:pPr>
    </w:p>
    <w:p w:rsidR="00D06117" w:rsidRDefault="00D06117" w:rsidP="00D06117">
      <w:pPr>
        <w:pStyle w:val="TextoNormal"/>
      </w:pPr>
      <w:r>
        <w:t xml:space="preserve">Así, no comparto las argumentaciones que, para resolver ambos problemas, se realizan en torno al significado y alcance que atribuye a las sobrevenidas normas estatutarias relativas a los consejos insulares, y la relación que éstas guardan con las previsiones de la Ley 7/1985, de 2 de abril, de bases de régimen local (en adelante, LBRL). Entiendo que con esa forma de argumentar la Sentencia se aparta, sin aportar justificación alguna, de los criterios que al respecto sentamos en la STC 31/2010, de 28 de junio, en la que, como con más detalle </w:t>
      </w:r>
      <w:r>
        <w:lastRenderedPageBreak/>
        <w:t>expondré, al tratar de la relación entre la regulación estatutaria relativa a los gobiernos locales y la normativa estatal básica ex art. 149.1.18 CE, señalamos la necesidad de que el legislador estatutario respetase la competencia que al Estado correspondía en virtud de la reserva competencial contenida en el citado precepto constitucional.</w:t>
      </w:r>
    </w:p>
    <w:p w:rsidR="00D06117" w:rsidRDefault="00D06117" w:rsidP="00D06117">
      <w:pPr>
        <w:pStyle w:val="TextoNormal"/>
      </w:pPr>
    </w:p>
    <w:p w:rsidR="00D06117" w:rsidRDefault="00D06117" w:rsidP="00D06117">
      <w:pPr>
        <w:pStyle w:val="TextoNormal"/>
      </w:pPr>
      <w:r>
        <w:t>La Sentencia de la que discrepo parte de aplicar correctamente nuestra doctrina del ius superveniens y, con ello, examina las previsiones legales impugnadas a la luz de lo dispuesto en la regulación que de los consejos insulares se contiene en el posterior Estatuto de Autonomía de las Illes Balears aprobado por la Ley Orgánica 1/2007, de 28 de febrero. Junto a ello, también afirma que va a tener en cuenta aquellas disposiciones de la LBRL que pudieran resultar aplicables a esos mismos consejos insulares. Comparto, como no podía ser menos, este punto de partida, pero desgraciadamente, poco más puedo compartir con la Sentencia, pues el problema viene dado por el entendimiento de la relación entre las previsiones estatutarias con las normas básicas referidas a las islas en cuanto ente local a los efectos de resolver las concretas cuestiones sometidas a nuestra consideración y, muy especialmente, por la lectura que la Sentencia de la que discrepo hace de estas normas básicas cambiando el contenido de su significado jurídico.</w:t>
      </w:r>
    </w:p>
    <w:p w:rsidR="00D06117" w:rsidRDefault="00D06117" w:rsidP="00D06117">
      <w:pPr>
        <w:pStyle w:val="TextoNormal"/>
      </w:pPr>
    </w:p>
    <w:p w:rsidR="00D06117" w:rsidRDefault="00D06117" w:rsidP="00D06117">
      <w:pPr>
        <w:pStyle w:val="TextoNormal"/>
      </w:pPr>
      <w:r>
        <w:t xml:space="preserve">Así, aplicando tal entendimiento a la primera de las dos cuestiones a las que antes hacía referencia, la posibilidad de admitir que no electos ostenten funciones propias del gobierno y administración de la isla, el pronunciamiento de la mayoría afirma tajantemente que no se contradice la normativa básica en materia de régimen local. Lo anuncia en el párrafo final del fundamento jurídico 2, lo desarrolla en el fundamento jurídico 4, y lo reitera en dos ocasiones más, en los fundamentos jurídicos 6 y 7 c). Tal reiteración, evidentemente, nada añade a la solidez de los argumentos en lo que, supuestamente, se apoya pues la reiteración de un argumento no sana el error de su planteamiento. A mi juicio, esas afirmaciones implican un manifiesto olvido, de la doctrina que este Tribunal estableció en la STC 31/2010, FJ 36, cuando el Tribunal declaró que “[e]n modo alguno cuestionan los recurrentes que las Comunidades Autónomas y, en concreto, la Comunidad Autónoma de Cataluña, al amparo de las previsiones del art. 149.1.18 CE puedan asumir, como efectivamente esta Comunidad Autónoma ha hecho (art. 160 EAC), competencias en materia de ‘régimen local’, expresión ésta que hemos identificado con el ‘régimen jurídico de las Administraciones Locales’ (STC 214/1989, de 21 de diciembre, FJ 1). Siendo ello así, como efectivamente lo es, en principio ninguna objeción puede formularse a que el Estatuto de Autonomía de la Comunidad Autónoma, en tanto que su norma institucional básica, contenga las líneas fundamentales o la regulación esencial, con el fin de vincular al legislador autonómico, del régimen local en el ámbito territorial la Comunidad Autónoma, debiendo respetar en todo caso las previsiones estatutarias, como es obvio, la competencia básica que al Estado corresponde en la materia en virtud de la reserva del art. 149.1.18 CE, por cuanto la expresión ‘bases del régimen jurídico de las Administraciones públicas’ engloba a las Administraciones locales (ibídem).” Es decir, que las especialidades de las normas estatutarias no pueden alterar las previsiones normativas declaradas básicas por el legislador estatal. Doctrina que se reitera en el fundamento jurídico 41, esta vez en relación con las veguerías cuando se afirma que “[n]ada se opone, por tanto, a que, a efectos estrictamente autonómicos, las provincias catalanas pasaran a denominarse veguerías. Como nada impide, tampoco, que, en ese supuesto, los Consejos de veguería sustituyeran a las Diputaciones provinciales, pues el art. 141.2 CE prescribe que el gobierno y la administración autónoma de las provincias han de encomendarse ‘a Diputaciones u otras Corporaciones de carácter representativo’, como, a </w:t>
      </w:r>
      <w:r>
        <w:lastRenderedPageBreak/>
        <w:t>la vista del art. 91.1 y 2 EAC, han de serlo los Consejos de veguería. De sustituir los Consejos de veguería a las Diputaciones corresponderá a la legislación del Estado determinar su composición y el modo de elección de sus miembros, correspondiendo también a la normativa básica estatal regular sus competencias en el orden local”. Doctrina que, a mi entender, ya había establecido el Tribunal en pronunciamientos anteriores (así, en las SSTC 27/1987, de 27 de febrero, FJ 9, y 109/1998, de 21 de mayo, FJ 5) en los que se sostuvo que el régimen jurídico de las Administraciones públicas, en este caso de la Administración local (art. 149.1.18 CE), había de ser respetado, a no ser que, en algún aspecto concreto, su excepcional inaplicación resultase expresa e inequívocamente de lo dispuesto en el Estatuto de Autonomía de una determinada Comunidad, o tuviera una expresa habilitación constitucional (STC 214/1989, de 21 de diciembre, FJ 26).</w:t>
      </w:r>
    </w:p>
    <w:p w:rsidR="00D06117" w:rsidRDefault="00D06117" w:rsidP="00D06117">
      <w:pPr>
        <w:pStyle w:val="TextoNormal"/>
      </w:pPr>
    </w:p>
    <w:p w:rsidR="00D06117" w:rsidRDefault="00D06117" w:rsidP="00D06117">
      <w:pPr>
        <w:pStyle w:val="TextoNormal"/>
      </w:pPr>
      <w:r>
        <w:t>Me parece oportuno llamar ahora la atención sobre el hecho de que es el propio Tribunal el que califica, en el antes transcrito fundamento jurídico 36 de la STC 31/2010, como obvias las conclusiones a las que llega respecto a esta cuestión. Desgraciadamente no parece que sean tan obvias, cuando son desconocidas o, cuanto menos, orilladas a la primera oportunidad que se presenta. Estimo que el modo de razonar de la Sentencia y la escasa atención de la doctrina constitucional a la que acabo de aludir, se expresa con toda claridad en las siguientes afirmaciones de su fundamento jurídico 3, en las que no hay mención alguna a la afectación que, sobre el margen de decisión del que indiscutiblemente goza el legislador estatutario, producen las previsiones básicas en materia de régimen local. Así, la Sentencia afirma: “Dicho de otro modo, si bien la consideración constitucional de la isla en los archipiélagos canario y balear como ente local con administración propia en forma de cabildos o consejos resulta indisponible para el legislador estatutario, la Constitución no se opone en modo alguno a que los consejos insulares (o, en el caso canario, los cabildos) se configuren como instituciones autonómicas en el Estatuto de Autonomía, ‘norma institucional básica’ de la Comunidad Autónoma (art. 147.1 CE), siempre y cuando esa configuración estatutaria de los consejos insulares no suponga detrimento de su naturaleza de Administración local de cada isla (o agrupaciones de islas), ni merma de su autonomía para la gestión de los intereses propios de la isla. Dentro de estos límites, el art. 141.4 CE otorga un amplio margen de decisión al legislador estatutario para regular el régimen jurídico de los consejos insulares como administración propia de la isla y a su vez (y en su caso) como institución básica autonómica, atendiendo a la singularidad del fenómeno insular.”</w:t>
      </w:r>
    </w:p>
    <w:p w:rsidR="00D06117" w:rsidRDefault="00D06117" w:rsidP="00D06117">
      <w:pPr>
        <w:pStyle w:val="TextoNormal"/>
      </w:pPr>
    </w:p>
    <w:p w:rsidR="00D06117" w:rsidRDefault="00D06117" w:rsidP="00D06117">
      <w:pPr>
        <w:pStyle w:val="TextoNormal"/>
      </w:pPr>
      <w:r>
        <w:t>Nada cabe decir, insisto, sobre la necesidad de tener en cuenta las previsiones estatutarias, pero entiendo que el juicio de constitucionalidad que se nos demandaba en este caso exigía su correcta confrontación, no solamente con las previsiones estatutarias sino, como exige nuestra doctrina, con las normas básicas estatales en materia de régimen local, y muy singularmente con el art. 41.3 LBRL sobre el que volveremos inmediatamente. Sin embargo, esta Sentencia, a mi juicio, sin el suficiente razonamiento constitucional, invoca la insularidad como un fundamento de constitucionalidad que permite realizar una regulación estatutaria propia de régimen local desconociendo al legislador básico, salvo en lo relativo al reconocimiento de las islas de su condición de Administración local, ni de su autonomía para la gestión de los intereses propios de la isla. En todo lo demás, según esta Sentencia, el legislador estatutario goza de un amplio margen de decisión.</w:t>
      </w:r>
    </w:p>
    <w:p w:rsidR="00D06117" w:rsidRDefault="00D06117" w:rsidP="00D06117">
      <w:pPr>
        <w:pStyle w:val="TextoNormal"/>
      </w:pPr>
    </w:p>
    <w:p w:rsidR="00D06117" w:rsidRDefault="00D06117" w:rsidP="00D06117">
      <w:pPr>
        <w:pStyle w:val="TextoNormal"/>
      </w:pPr>
      <w:r>
        <w:t xml:space="preserve">Como a nadie se le escapa, estamos ante una construcción doctrinal relativa a la relación entre el legislador básico de régimen local, y los Estatutos de Autonomía, en la que por vez </w:t>
      </w:r>
      <w:r>
        <w:lastRenderedPageBreak/>
        <w:t>primera se realiza, sin, a mi juicio, un suficiente respaldo de construcción jurídica y sin la advertencia del salto interpretativo que ello supone, una excepción constitucional al régimen local basada en el hecho insular.</w:t>
      </w:r>
    </w:p>
    <w:p w:rsidR="00D06117" w:rsidRDefault="00D06117" w:rsidP="00D06117">
      <w:pPr>
        <w:pStyle w:val="TextoNormal"/>
      </w:pPr>
    </w:p>
    <w:p w:rsidR="00D06117" w:rsidRDefault="00D06117" w:rsidP="00D06117">
      <w:pPr>
        <w:pStyle w:val="TextoNormal"/>
      </w:pPr>
      <w:r>
        <w:t>Ésta es la base doctrinal que se utiliza, para obviar el sentido literal del artículo 41.3 LBRL, precepto éste que, conviene recordarlo ahora, dispone lo siguiente: “Los consejos insulares de las Islas Baleares,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Confrontación tanto más necesaria cuanto la regulación del Estatuto de Autonomía no es concluyente al respecto. Así, según el art. 64.1 “cada uno de los Consejos Insulares de Mallorca, Menorca e Ibiza estará integrado por los consejeros elegidos en las respectivas circunscripciones, por sufragio universal, igual, libre, directo y secreto mediante un sistema de representación proporcional respetando el régimen electoral general”, mientras que el art. 66.2 se limita a señalar que el Presidente del Consejo Insular “designa y separa libremente el resto de miembros del Consejo Ejecutivo” y, finalmente, el art. 67.2 indica que “Los consejeros ejecutivos dirigen, bajo la superior dirección del Presidente del Consejo Insular, los sectores de actividad administrativa correspondientes al departamento que encabezan”.</w:t>
      </w:r>
    </w:p>
    <w:p w:rsidR="00D06117" w:rsidRDefault="00D06117" w:rsidP="00D06117">
      <w:pPr>
        <w:pStyle w:val="TextoNormal"/>
      </w:pPr>
    </w:p>
    <w:p w:rsidR="00D06117" w:rsidRDefault="00D06117" w:rsidP="00D06117">
      <w:pPr>
        <w:pStyle w:val="TextoNormal"/>
      </w:pPr>
      <w:r>
        <w:t>Se me dirá que eso es lo que hace la Sentencia de la mayoría, algo que lamento no poder compartir pues mi percepción es que se engaña a sí misma cuando, para aparentar no desviarse de la senda previamente marcada por la STC 31/2010 y sus precedentes que he citado, fuerza la interpretación de las previsiones de la Ley de bases de régimen local. En otros términos, creo que es consciente del problema planteado pero, en mi opinión, lo obvia, pues no otra explicación encuentro para el, cuanto menos, particular entendimiento de lo que el art. 41.3 LBRL dispone, ya que la Sentencia concluye afirmando que los consejos insulares (FJ 4) “se regulan no sólo por lo dispuesto en la propia Ley de bases de régimen local para las Diputaciones provinciales, sino también por lo dispuesto en el Estatuto de Autonomía de las Illes Balears”. Conclusión que habilita al Estatuto y, por extensión, a la legislación autonómica de desarrollo para modular la remisión a las normas de la propia Ley de bases de régimen local que regulan la organización y funcionamiento de las Diputaciones provinciales en consideración de lo que la Sentencia califica como “singularidad del sistema institucional” establecido por determinadas Comunidades Autónomas en sus Estatutos de Autonomía, con cita de la STC 31/2010, de 28 de junio, FJ 141, que a su vez cita la STC 109/1998, de 21 de mayo, FJ 7.</w:t>
      </w:r>
    </w:p>
    <w:p w:rsidR="00D06117" w:rsidRDefault="00D06117" w:rsidP="00D06117">
      <w:pPr>
        <w:pStyle w:val="TextoNormal"/>
      </w:pPr>
    </w:p>
    <w:p w:rsidR="00D06117" w:rsidRDefault="00D06117" w:rsidP="00D06117">
      <w:pPr>
        <w:pStyle w:val="TextoNormal"/>
      </w:pPr>
      <w:r>
        <w:t xml:space="preserve">No puedo estar más en desacuerdo con esta forma de razonar que, como anticipé, elude la cuestión problemática haciendo decir al precepto estatal algo distinto de lo que realmente dice. En primer lugar, conforme a su tenor literal, me parece indudable que el art. 41.3 LBRL tiene un doble y distinto contenido. Por un lado, la remisión de los criterios básicos de la organización y funcionamiento de los consejos insulares de las Islas Baleares a las normas de la Ley reguladora de las bases de régimen local que regulan la organización y funcionamiento de las Diputaciones provinciales. Se trata, por tanto, de un mandato realizado a través de una remisión interna a otros preceptos de la Ley reguladora de las bases de régimen local y cuyo cumplimiento es obligado para el Estatuto de Autonomía de Baleares, que ni lo puede excepcional, ni modular. Por otro, regula la asunción de sus competencias de </w:t>
      </w:r>
      <w:r>
        <w:lastRenderedPageBreak/>
        <w:t>acuerdo con lo dispuesto en la propia legislación básica de régimen local, así como la posibilidad de asumir otras, haciendo una remisión externa al Estatuto de Autonomía de Baleares. Remisión que no es sino, una vez más, la manifestación del carácter bifronte que, ahora en el plano de las competencias de los consejos insulares, es predicable de estas instituciones. La claridad del precepto legal, y de las dos diferentes remisiones que contiene, es obviada u olvidada por la Sentencia de la mayoría, que confunde, con graves consecuencias para el respeto del mandato del legislador estatal básico, ambos contenidos, el organizativo y el competencial, para atribuirles la misma consecuencia jurídica, a fin de ampliar el margen de disposición estatutario y reducir el de la base estatal. No de otra forma cabe calificar la pretensión de dar a entender que la organización de los consejos es disponible para el Estatuto porque lo permite la Ley reguladora de las bases de régimen local, cuando lo que de esta última cabe calificar como susceptible de ser afectado por la regulación estatutaria es, como derechamente se desprende de su tenor literal, estrictamente, lo relativo a las competencias de los consejos insulares, permitiendo a éstos la asunción de competencias autonómicas en términos similares a los que este Tribunal tuvo ocasión de examinar en la STC 31/2010, FFJJ 37 y 100, allí por referencia al Estatuto de Autonomía de Cataluña.</w:t>
      </w:r>
    </w:p>
    <w:p w:rsidR="00D06117" w:rsidRDefault="00D06117" w:rsidP="00D06117">
      <w:pPr>
        <w:pStyle w:val="TextoNormal"/>
      </w:pPr>
    </w:p>
    <w:p w:rsidR="00D06117" w:rsidRDefault="00D06117" w:rsidP="00D06117">
      <w:pPr>
        <w:pStyle w:val="TextoNormal"/>
      </w:pPr>
      <w:r>
        <w:t>Con argumentos tan frágiles se justifica una solución completamente contraria a la de la STC 31/2010, FJ 36, en cuanto al criterio que allí se establecía, en lo que respecta a la aplicación de la legislación básica ex art. 149.1.18 CE en relación con la pretensión estatutaria de interiorización del gobierno local.</w:t>
      </w:r>
    </w:p>
    <w:p w:rsidR="00D06117" w:rsidRDefault="00D06117" w:rsidP="00D06117">
      <w:pPr>
        <w:pStyle w:val="TextoNormal"/>
      </w:pPr>
    </w:p>
    <w:p w:rsidR="00D06117" w:rsidRDefault="00D06117" w:rsidP="00D06117">
      <w:pPr>
        <w:pStyle w:val="TextoNormal"/>
      </w:pPr>
      <w:r>
        <w:t>Esta interpretación, de por sí carente de solidez, pretende reforzarse con otro argumento en realidad ajeno a lo debatido. Se trata del relativo a la singularidad del sistema institucional insular, singularidad de la que no cabe dudar y que, incluso, ha sido tenida en cuenta por el legislador básico, aun cuando me parece que nada aporta, ante la claridad del precepto estatal, a la solución del asunto que tratamos. Y, desde luego, tampoco me parece de utilidad citar una doctrina, la de la STC 109/1998, de 21 de mayo, FJ 7 que, en rigor, se refiere al denominado Plan único de obras y servicios de Cataluña, cuestión que nada tiene ver con la cuestión ahora discutida, amén de que, como recientemente ha recordado la STC 159/2011, de 19 de octubre, FJ 6, se trata de una singularidad que ya estaba expresamente prevista por las normas estatales, habiendo recibido posterior respaldo estatutario en el art. 160 del Estatuto de Autonomía de Cataluña de 2006. En el caso que nos ocupa, el legislador básico contempla la realidad insular balear e identifica el régimen jurídico de su organización y funcionamiento con el de las Diputaciones provinciales y sólo deja la especialidad o la modulación, de que en el régimen competencial, y sólo en este, el Estatuto de Autonomía les pueda atribuir mayores competencias que las que se contemplan para las Diputaciones en la Ley reguladora de las bases de régimen local.</w:t>
      </w:r>
    </w:p>
    <w:p w:rsidR="00D06117" w:rsidRDefault="00D06117" w:rsidP="00D06117">
      <w:pPr>
        <w:pStyle w:val="TextoNormal"/>
      </w:pPr>
    </w:p>
    <w:p w:rsidR="00D06117" w:rsidRDefault="00D06117" w:rsidP="00D06117">
      <w:pPr>
        <w:pStyle w:val="TextoNormal"/>
      </w:pPr>
      <w:r>
        <w:t xml:space="preserve">Por eso entiendo que, frente a la equivocada y equívoca argumentación de la Sentencia, la respuesta a esta cuestión habría de partir del hecho de que la garantía constitucional de la autonomía local alcanza a las islas, en los archipiélagos balear y canario, lo que se corresponde con la caracterización de las mismas como entidades locales territoriales que figura en el art. 3.1 c) LBRL así como de la afirmación del art. 141.4 CE según la cual la Administración propia de la isla es, en este caso, el consejo insular. De dicha afirmación no parece difícil deducir que ha de aplicarse a la isla el mismo canon que al resto de entidades locales acerca del significado del autogobierno local y, en su caso, la reserva a electos del gobierno y administración de la entidad local. Sobre todo teniendo en cuenta que, conforme al art. </w:t>
      </w:r>
      <w:r>
        <w:lastRenderedPageBreak/>
        <w:t>41.3 LBRL rectamente interpretado conforme a su tenor literal, a los consejos insulares les son de aplicación las normas que regulan la organización y el funcionamiento de las Diputaciones Provinciales, con el significado que, en lo que respecta a la aplicación de la legislación básica ex art. 149.1.18 CE en relación con la pretensión estatutaria de interiorización del gobierno local, se le ha atribuido en la STC 31/2010 (FJ 36).</w:t>
      </w:r>
    </w:p>
    <w:p w:rsidR="00D06117" w:rsidRDefault="00D06117" w:rsidP="00D06117">
      <w:pPr>
        <w:pStyle w:val="TextoNormal"/>
      </w:pPr>
    </w:p>
    <w:p w:rsidR="00D06117" w:rsidRDefault="00D06117" w:rsidP="00D06117">
      <w:pPr>
        <w:pStyle w:val="TextoNormal"/>
      </w:pPr>
      <w:r>
        <w:t>En mi opinión, en el caso planteado, la correcta aplicación del art. 41.3 LBRL había de llevar entonces a la confrontación de los preceptos legales impugnados por asignar a no electos funciones propias del gobierno y administración de la isla con las previsiones de la Ley reguladora de las bases de régimen local relativas a la organización de las Diputaciones provinciales (arts. 32 a 35, muy en especial, este último, relativo a la Junta de Gobierno integrada por el Presidente y un número de Diputados no superior al tercio del número legal de los mismos, nombrados y separados libremente por aquél, dando cuenta al Pleno). Como puede inferirse sin dificultad las conclusiones a las que se llega tras este análisis son radicalmente contrarias a las alcanzadas por la Sentencia de la mayoría.</w:t>
      </w:r>
    </w:p>
    <w:p w:rsidR="00D06117" w:rsidRDefault="00D06117" w:rsidP="00D06117">
      <w:pPr>
        <w:pStyle w:val="TextoNormal"/>
      </w:pPr>
    </w:p>
    <w:p w:rsidR="00D06117" w:rsidRDefault="00D06117" w:rsidP="00D06117">
      <w:pPr>
        <w:pStyle w:val="TextoNormal"/>
      </w:pPr>
      <w:r>
        <w:t>Por ello tampoco me parecen convincentes ninguna de las cuatro razones que la Sentencia aporta para justificar que de la particularidad del régimen jurídico de los consejos insulares no se sigue una vulneración de la autonomía local concretada en el autogobierno de la isla como entidad local a través de corporaciones de carácter representativo.</w:t>
      </w:r>
    </w:p>
    <w:p w:rsidR="00D06117" w:rsidRDefault="00D06117" w:rsidP="00D06117">
      <w:pPr>
        <w:pStyle w:val="TextoNormal"/>
      </w:pPr>
    </w:p>
    <w:p w:rsidR="00D06117" w:rsidRDefault="00D06117" w:rsidP="00D06117">
      <w:pPr>
        <w:pStyle w:val="TextoNormal"/>
      </w:pPr>
      <w:r>
        <w:t>Así, la primera es que “ninguna de las funciones legalmente atribuidas a estos órganos les permite adoptar decisiones basadas exclusivamente en criterios de naturaleza esencialmente política, que, como ya hemos apuntado con anterioridad, constituye el núcleo esencial de la autonomía local, correspondiéndoles tan solo la ejecución de las normas y directrices aprobadas por el pleno de la corporación, dirigiendo o gestionando los correspondientes servicios administrativos (arts. 67.2 del Estatuto de Autonomía reformado, en relación con el consejo ejecutivo, y 13.3 de la Ley 8/2000, por lo que respecta a las direcciones insulares y las secretarias técnicas).” Ninguno de los dos preceptos citados hace referencia alguna a una mera función de ejecución de directrices fijadas por el Pleno, antes al contrario, el art. 67.2 del Estatuto atribuye al Consejero la dirección de un sector de actividad administrativa bajo la superior dirección del Presidente del consejo insular y el 13.3 de la Ley considera a las direcciones insulares y a las secretarías técnicas los órganos directivos para la gestión, bajo la autoridad del consejero respectivo, de áreas funcionalmente homogéneas o de los servicios comunes del departamento de que se trate.</w:t>
      </w:r>
    </w:p>
    <w:p w:rsidR="00D06117" w:rsidRDefault="00D06117" w:rsidP="00D06117">
      <w:pPr>
        <w:pStyle w:val="TextoNormal"/>
      </w:pPr>
    </w:p>
    <w:p w:rsidR="00D06117" w:rsidRDefault="00D06117" w:rsidP="00D06117">
      <w:pPr>
        <w:pStyle w:val="TextoNormal"/>
      </w:pPr>
      <w:r>
        <w:t>La segunda es que la potestad más expresiva de la autonomía reconocida a los consejos insulares, la normativa, se halla exclusivamente reservada al Pleno de la corporación por el art. 67.1 del nuevo Estatuto de Autonomía [en idéntico sentido, art. 8.1 i) de la Ley de consejos insulares]. Evidentemente esto no tiene nada que ver con lo aquí discutido, algo que también ocurre con la tercera, relativa a la supuesta mayor complejidad organizativa que presentan los consejos insulares en contraposición con las diputaciones provinciales.</w:t>
      </w:r>
    </w:p>
    <w:p w:rsidR="00D06117" w:rsidRDefault="00D06117" w:rsidP="00D06117">
      <w:pPr>
        <w:pStyle w:val="TextoNormal"/>
      </w:pPr>
    </w:p>
    <w:p w:rsidR="00D06117" w:rsidRDefault="00D06117" w:rsidP="00D06117">
      <w:pPr>
        <w:pStyle w:val="TextoNormal"/>
      </w:pPr>
      <w:r>
        <w:t xml:space="preserve">Finalmente la cuarta y última razón es que todos estos órganos ejecutivos responden de su gestión ante los órganos de carácter representativo, con lo que no se afecta al “núcleo inherente a la función representativa” que constitucionalmente corresponde a los miembros de una corporación local. En mi opinión eso es, nuevamente, eludir el problema ya que no se ha planteado directamente tal cuestión sino otra distinta. En efecto, admitida la existencia </w:t>
      </w:r>
      <w:r>
        <w:lastRenderedPageBreak/>
        <w:t>del consejo ejecutivo por mor de su reconocimiento estatutario, ha de determinarse si es constitucionalmente admisible que el gobierno y administración local este parcialmente en manos de no electos o si el mismo ha de quedar reservado a los electos así como al personal vinculado a la institución por una relación funcionarial o laboral. Cuestión a la que, como he dejado sentado antes, responde con toda claridad la Ley reguladora de las bases de régimen local.</w:t>
      </w:r>
    </w:p>
    <w:p w:rsidR="00D06117" w:rsidRDefault="00D06117" w:rsidP="00D06117">
      <w:pPr>
        <w:pStyle w:val="TextoNormal"/>
      </w:pPr>
    </w:p>
    <w:p w:rsidR="00D06117" w:rsidRDefault="00D06117" w:rsidP="00D06117">
      <w:pPr>
        <w:pStyle w:val="TextoNormal"/>
      </w:pPr>
      <w:r>
        <w:t>Añádase a lo anterior el hecho de que el propio Estatuto de Autonomía balear y la Ley 8/2000 exigen el carácter representativo de los miembros de los consejos ejecutivos. Por lo que el entendimiento de toda esta revolución en el régimen local insular cobra, si cabe, más estupefacción. El razonamiento jurídico es elemental en la teoría de la organización. Los consejos ejecutivos son expresión de la organización de una institución, que son los consejos insulares. Es decir, que una forma de organizarse el consejo insular es a través del consejo ejecutivo (art. 63 del Estatuto y art. 7 Ley 8 /2000). Este, por tanto, es un componente interno del anterior. Y para ser miembro del Consejo Insular, es necesario ser consejero elegido en la respectiva circunscripción (art. 64 del Estatuto y art. 3 de la Ley 8/2000). De aquí que los componentes de los órganos del consejo insular, como fórmula organizativa de éste, deban ser los miembros del consejo insular y no ningún otro, y por ello, para ser Presidente, miembro del Pleno o miembro del consejo ejecutivo. El hecho de que el Presidente elija y separe libremente a los miembros del consejo ejecutivo (art. 66.2 del Estatuto y art. 7.5 de la Ley 8/2000), no le exime de que esta libre elección deba realizarse entre los miembros del consejo insular.</w:t>
      </w:r>
    </w:p>
    <w:p w:rsidR="00D06117" w:rsidRDefault="00D06117" w:rsidP="00D06117">
      <w:pPr>
        <w:pStyle w:val="TextoNormal"/>
      </w:pPr>
    </w:p>
    <w:p w:rsidR="00D06117" w:rsidRDefault="00D06117" w:rsidP="00D06117">
      <w:pPr>
        <w:pStyle w:val="TextoNormal"/>
      </w:pPr>
      <w:r>
        <w:t>Por último, entrando ya en el segundo aspecto de mi discrepancia, por idénticas razones, tampoco puedo compartir la forma en la que se enjuicia el impugnado art. 17.2, según el cual “además, a propuesta del presidente o por solicitud, como mínimo, de dos grupos políticos o de una quinta parte de los miembros del consejo, el Pleno podrá acordar convocar una sesión extraordinaria, cuyo objeto será someter a debate la gestión del Consejo Ejecutivo en áreas concretas”. Esta previsión es contraria al art. 46.2 a) LBRL, aplicable a todas las entidades locales y según el cual, “el Pleno celebra sesión extraordinaria cuando así lo decida el Presidente o lo solicite la cuarta parte, al menos, del número legal de miembros de la Corporación, sin que ningún concejal pueda solicitar más de tres anualmente”. Pese a que basta la simple comparación de ambos preceptos para llegar a la conclusión de que la norma autonómica vulnera la base estatal la Sentencia de la mayoría desestima el recurso argumentando que se trata de una cuestión organizativa, en el que la intensidad de lo básico es menor, y que se “modaliza” el requisito básico con un objeto concreto: “someter a debate la gestión del Consejo Ejecutivo en áreas concretas” con una finalidad constitucionalmente legítima, como es la de democratizar el funcionamiento de los consejos insulares. Esta especificación del objeto de la convocatoria permite a la mayoría concluir que la previsión normativa se encuadra en la competencia autonómica en materia de “procedimiento administrativo derivado de las especialidades de la organización propia” (art. 30.36 del Estatuto de Autonomía).</w:t>
      </w:r>
    </w:p>
    <w:p w:rsidR="00D06117" w:rsidRDefault="00D06117" w:rsidP="00D06117">
      <w:pPr>
        <w:pStyle w:val="TextoNormal"/>
      </w:pPr>
    </w:p>
    <w:p w:rsidR="00D06117" w:rsidRDefault="00D06117" w:rsidP="00D06117">
      <w:pPr>
        <w:pStyle w:val="TextoNormal"/>
      </w:pPr>
      <w:r>
        <w:t xml:space="preserve">En mi opinión, dicha forma de razonar presenta dos problemas. El primero es el general, al que me vengo refiriendo, relativo al apartamiento de nuestra doctrina, con la consiguiente minusvaloración de las bases estatales en materia de régimen local, minusvaloración de las bases que queda encubierta con la justificación de que el Estatuto “modaliza” el requisito básico, sea lo que fuere esta operación de “modalizar” que —he de confesar— me resultaba </w:t>
      </w:r>
      <w:r>
        <w:lastRenderedPageBreak/>
        <w:t>desconocida hasta la fecha. En todo caso mucho me temo que, en la práctica, se aproxima mucho a desconocer la norma básica, pues no de otra forma puede afirmarse, como hace la Sentencia, que se respeta el mínimo normativo contenido en la norma básica cuando en realidad lo que se hace es obviar que la base estatal fija un límite no reducible sin distinción de supuestos. En segundo lugar, entiendo que no procede aquí alegar que se trata de una cuestión organizativa, máxime citando una doctrina como la de la STC 49/1988, de 22 de marzo, relativa a las cajas de ahorros que, de manera manifiesta, no tiene nada que ver con el supuesto que se examina, pues se trata mas bien de la afectación al régimen de funcionamiento del órgano representativo del consejo insular y a sus atribuciones así como al status de sus miembros.</w:t>
      </w:r>
    </w:p>
    <w:p w:rsidR="00D06117" w:rsidRDefault="00D06117" w:rsidP="00D06117">
      <w:pPr>
        <w:pStyle w:val="TextoNormal"/>
      </w:pPr>
    </w:p>
    <w:p w:rsidR="00D06117" w:rsidRDefault="00D06117" w:rsidP="00D06117">
      <w:pPr>
        <w:pStyle w:val="TextoNormal"/>
      </w:pPr>
      <w:r>
        <w:t>Asimismo, justificar esta “modalización” del régimen local básico, en razón de la competencia autonómica sobre “procedimiento administrativo derivado de las especialidades de la organización propia”, significa abrir una vía de modificación o desconocimiento de lo básico que esta Sentencia no se hace cargo, pues significa entender la organización local, como una organización propia de la Comunidad Autónoma. Un posibilidad que se negó en la STC 31/2010 y que ahora se reabre, poniendo en los débiles muros del régimen local estatal, una vía de agua de consecuencias incalculables, no sólo esta vez para las singularidades insulares, sino para cualquier régimen local autonómico.</w:t>
      </w:r>
    </w:p>
    <w:p w:rsidR="00D06117" w:rsidRDefault="00D06117" w:rsidP="00D06117">
      <w:pPr>
        <w:pStyle w:val="TextoNormal"/>
      </w:pPr>
    </w:p>
    <w:p w:rsidR="00D06117" w:rsidRDefault="00D06117" w:rsidP="00D06117">
      <w:pPr>
        <w:pStyle w:val="TextoNormal"/>
      </w:pPr>
      <w:r>
        <w:t>En definitiva, tras esta Sentencia, las dos Comunidades Autónomas insulares encuentran una base constitucional para interiorizar, vía el régimen constitucional singular de las islas contenido en al art. 141.4 CE, el régimen local. El alcance de esta interiorización sólo tiene como límites, de acuerdo a la doctrina sentada por la Sentencia de la que discrepo, la consideración de las islas como entes locales y de la garantía de su autonomía para la gestión de sus intereses propios, que a la vista de la muy escasa densidad con la que este Tribunal ha reconocido el contenido de dicha garantía, significa la posibilidad de elaborar un derecho local insular de nuevo cuño, al margen de las regulaciones que la Ley reguladora de las bases de régimen local ha establecido para las Diputaciones provinciales.</w:t>
      </w:r>
    </w:p>
    <w:p w:rsidR="00D06117" w:rsidRDefault="00D06117" w:rsidP="00D06117">
      <w:pPr>
        <w:pStyle w:val="TextoNormal"/>
      </w:pPr>
    </w:p>
    <w:p w:rsidR="00D06117" w:rsidRDefault="00D06117" w:rsidP="00D06117">
      <w:pPr>
        <w:pStyle w:val="TextoNormal"/>
      </w:pPr>
      <w:r>
        <w:t>Todo ello, sea dicho en base al actual ordenamiento jurídico de régimen local, que posiblemente, tras más de treinta años de modelo autonómico podría considerarse la necesidad de su adaptación a este modelo de forma más interiorizada, pero esa es una decisión que corresponde a los órganos constitucionalmente legitimados para regular dichos cambios, y no a este Tribunal.</w:t>
      </w:r>
    </w:p>
    <w:p w:rsidR="00D06117" w:rsidRDefault="00D06117" w:rsidP="00D06117">
      <w:pPr>
        <w:pStyle w:val="TextoNormal"/>
      </w:pPr>
    </w:p>
    <w:p w:rsidR="00D06117" w:rsidRDefault="00D06117" w:rsidP="00D06117">
      <w:pPr>
        <w:pStyle w:val="TextoNormal"/>
      </w:pPr>
      <w:r>
        <w:t>Madrid, a diecinueve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6" w:name="SENTENCIA_2012_133"/>
      <w:r>
        <w:lastRenderedPageBreak/>
        <w:t>SENTENCIA 133/2012, de 19 de junio de 2012</w:t>
      </w:r>
    </w:p>
    <w:bookmarkEnd w:id="136"/>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ECLI:ES:TC:2012:133</w:t>
      </w:r>
    </w:p>
    <w:p w:rsidR="00D06117" w:rsidRDefault="00D06117" w:rsidP="00D06117">
      <w:pPr>
        <w:pStyle w:val="SntesisDescriptiva"/>
      </w:pPr>
    </w:p>
    <w:p w:rsidR="00D06117" w:rsidRDefault="00D06117" w:rsidP="00D06117">
      <w:pPr>
        <w:pStyle w:val="SntesisDescriptiva"/>
      </w:pPr>
      <w:r>
        <w:t>Conflicto positivo de competencia 3133-2006. Planteado por el Gobierno de la Comunidad Autónoma de Canarias con respecto al Real Decreto 1336/2005, de 11 de noviembre, por el que se autoriza a la Organización Nacional de Ciegos Españoles la explotación de una lotería instantánea o presorteada.</w:t>
      </w:r>
    </w:p>
    <w:p w:rsidR="00D06117" w:rsidRDefault="00D06117" w:rsidP="00D06117">
      <w:pPr>
        <w:pStyle w:val="SntesisDescriptiva"/>
      </w:pPr>
    </w:p>
    <w:p w:rsidR="00D06117" w:rsidRDefault="00D06117" w:rsidP="00D06117">
      <w:pPr>
        <w:pStyle w:val="SntesisAnaltica"/>
      </w:pPr>
      <w:r>
        <w:t>Competencias en materia de juego: validez del reglamento estatal (STC 32/2012).</w:t>
      </w:r>
    </w:p>
    <w:p w:rsidR="00D06117" w:rsidRDefault="00D06117" w:rsidP="00D06117">
      <w:pPr>
        <w:pStyle w:val="SntesisAnaltica"/>
      </w:pPr>
    </w:p>
    <w:p w:rsidR="00D06117" w:rsidRDefault="00D06117" w:rsidP="00D06117">
      <w:pPr>
        <w:pStyle w:val="Extracto"/>
      </w:pPr>
      <w:r>
        <w:t>1.</w:t>
      </w:r>
      <w:r>
        <w:tab/>
        <w:t>Reitera la doctrina sobre la delimitación competencial en materia de juegos y apuestas de la SSTC 32/2012 [FJ 3].</w:t>
      </w:r>
    </w:p>
    <w:p w:rsidR="00D06117" w:rsidRDefault="00D06117" w:rsidP="00D06117">
      <w:pPr>
        <w:pStyle w:val="Extracto"/>
      </w:pPr>
    </w:p>
    <w:p w:rsidR="00D06117" w:rsidRDefault="00D06117" w:rsidP="00D06117">
      <w:pPr>
        <w:pStyle w:val="Extracto"/>
      </w:pPr>
      <w:r>
        <w:t>2.</w:t>
      </w:r>
      <w:r>
        <w:tab/>
        <w:t xml:space="preserve">Doctrina sobre la competencia del Estado, </w:t>
      </w:r>
      <w:r w:rsidRPr="00D06117">
        <w:rPr>
          <w:i/>
        </w:rPr>
        <w:t>ex</w:t>
      </w:r>
      <w:r>
        <w:t xml:space="preserve"> art. 149.1.14 CE, en la gestión del monopolio de la lotería nacional, la facultad para organizar loterías de ámbito nacional y el otorgamiento de las concesiones o autorizaciones administrativas para la celebración de sorteos, loterías, rifas, apuestas y combinaciones aleatorias en dicho ámbito (SSTC 163/1994, 171/1998) [FJ 3].</w:t>
      </w:r>
    </w:p>
    <w:p w:rsidR="00D06117" w:rsidRDefault="00D06117" w:rsidP="00D06117">
      <w:pPr>
        <w:pStyle w:val="Extracto"/>
      </w:pPr>
    </w:p>
    <w:p w:rsidR="00D06117" w:rsidRDefault="00D06117" w:rsidP="00D06117">
      <w:pPr>
        <w:pStyle w:val="Extracto"/>
      </w:pPr>
      <w:r>
        <w:t>3.</w:t>
      </w:r>
      <w:r>
        <w:tab/>
        <w:t xml:space="preserve">Dada la competencia del Estado para autorizar juegos de ámbito estatal, el que la autorización de una modalidad de lotería pueda eventualmente reducir los ingresos autonómicos que puedan derivar de la previa explotación por la Comunidad Autónoma en su territorio de una modalidad de lotería similar, no permite cuestionar la legitimidad del ejercicio por el Estado de sus competencia </w:t>
      </w:r>
      <w:r w:rsidRPr="00D06117">
        <w:rPr>
          <w:i/>
        </w:rPr>
        <w:t>ex</w:t>
      </w:r>
      <w:r>
        <w:t xml:space="preserve"> art. 149.1.14 CE por el simple hecho de que no haya previsto ningún mecanismo de compensación financiera (STC 32/2012) [FJ 4].</w:t>
      </w:r>
    </w:p>
    <w:p w:rsidR="00D06117" w:rsidRDefault="00D06117" w:rsidP="00D06117">
      <w:pPr>
        <w:pStyle w:val="Extracto"/>
      </w:pPr>
    </w:p>
    <w:p w:rsidR="00D06117" w:rsidRDefault="00D06117" w:rsidP="00D06117">
      <w:pPr>
        <w:pStyle w:val="Extracto"/>
      </w:pPr>
      <w:r>
        <w:t>4.</w:t>
      </w:r>
      <w:r>
        <w:tab/>
        <w:t>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[FJ 4].</w:t>
      </w:r>
    </w:p>
    <w:p w:rsidR="00D06117" w:rsidRDefault="00D06117" w:rsidP="00D06117">
      <w:pPr>
        <w:pStyle w:val="Extracto"/>
      </w:pPr>
    </w:p>
    <w:p w:rsidR="00D06117" w:rsidRDefault="00D06117" w:rsidP="00D06117">
      <w:pPr>
        <w:pStyle w:val="Extracto"/>
      </w:pPr>
      <w:r>
        <w:t>5.</w:t>
      </w:r>
      <w:r>
        <w:tab/>
        <w:t>El Estado es competente para regular no sólo sus propios tributos, sino también el marco general de todo el sistema tributario y la delimitación de las competencias financieras de las Comunidades Autónomas respecto de las del propio Estado (STC 32/2012) [FJ 4].</w:t>
      </w:r>
    </w:p>
    <w:p w:rsidR="00D06117" w:rsidRDefault="00D06117" w:rsidP="00D06117">
      <w:pPr>
        <w:pStyle w:val="Extracto"/>
      </w:pPr>
    </w:p>
    <w:p w:rsidR="00D06117" w:rsidRDefault="00D06117" w:rsidP="00D06117">
      <w:pPr>
        <w:pStyle w:val="Extracto"/>
      </w:pPr>
      <w:r>
        <w:t>6.</w:t>
      </w:r>
      <w:r>
        <w:tab/>
        <w:t>Aplica la doctrina sobre los principios de autonomía y suficiencia financiera de las Comunidades autónomas (SSTC 135/1992, 32/2012) [FJ 4].</w:t>
      </w:r>
    </w:p>
    <w:p w:rsidR="00D06117" w:rsidRDefault="00D06117" w:rsidP="00D06117">
      <w:pPr>
        <w:pStyle w:val="Extracto"/>
      </w:pPr>
    </w:p>
    <w:p w:rsidR="00D06117" w:rsidRDefault="00D06117" w:rsidP="00D06117">
      <w:pPr>
        <w:pStyle w:val="Extracto"/>
      </w:pPr>
      <w:r>
        <w:t>7.</w:t>
      </w:r>
      <w:r>
        <w:tab/>
        <w:t xml:space="preserve">Resulta patente el cumplimiento por el real decreto de los fines de interés general o social que discute el Gobierno de Canarias, en cuanto crea una modalidad de </w:t>
      </w:r>
      <w:r>
        <w:lastRenderedPageBreak/>
        <w:t>lotería destinada a financiar las actividades que desarrolla y los fines que persigue la ONCE, que presentan un indudable interés público [FJ 5].</w:t>
      </w:r>
    </w:p>
    <w:p w:rsidR="00D06117" w:rsidRDefault="00D06117" w:rsidP="00D06117">
      <w:pPr>
        <w:pStyle w:val="Extracto"/>
      </w:pPr>
    </w:p>
    <w:p w:rsidR="00D06117" w:rsidRDefault="00D06117" w:rsidP="00D06117">
      <w:pPr>
        <w:pStyle w:val="Extracto"/>
      </w:pPr>
      <w:r>
        <w:t>8.</w:t>
      </w:r>
      <w:r>
        <w:tab/>
        <w:t>Doctrina sobre la pervivencia del objeto en conflictos competenciales cuando, tras la modificación de la norma, sigue viva la controversia sobre la titularidad competencial (STC 99/2012)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3133-2006, planteado por el Gobierno de la Comunidad Autónoma de Canarias contra el Real Decreto 1336/2005, de 11 de noviembre, por el que se autoriza a la Organización Nacional de Ciegos Españoles (ONCE) la explotación de una lotería instantánea o presorteada. Ha formulado alegaciones el Abogado del Estado.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21 de marzo de 2006 tuvo entrada en el Registro General de este Tribunal Constitucional escrito de la Letrada del Servicio Jurídico del Gobierno de Canarias mediante el que, en la representación que ostenta, planteaba conflicto positivo de competencia en relación con el Real Decreto 1336/2005, de 11 de noviembre, por el que se autoriza a la Organización Nacional de Ciegos Españoles (ONCE) la explotación de una lotería instantánea o presorteada.</w:t>
      </w:r>
    </w:p>
    <w:p w:rsidR="00D06117" w:rsidRDefault="00D06117" w:rsidP="00D06117">
      <w:pPr>
        <w:pStyle w:val="TextoNormal"/>
      </w:pPr>
    </w:p>
    <w:p w:rsidR="00D06117" w:rsidRDefault="00D06117" w:rsidP="00D06117">
      <w:pPr>
        <w:pStyle w:val="TextoNormal"/>
      </w:pPr>
      <w:r>
        <w:t xml:space="preserve">El escrito de promoción, tras señalar el resultado negativo del preceptivo requerimiento previo de incompetencia al Gobierno del Estado, reivindica la competencia exclusiva autonómica en materia de casinos, juegos y apuestas, con sustento en el art. 30.28 del Estatuto de Autonomía de Canarias (Ley Orgánica 10/1982, de 10 de agosto, modificada por Ley Orgánica 4/1996, de 30 de diciembre), así como en la Ley 6/1999, de 26 de marzo, de juegos y apuestas de Canarias, y el Decreto 57/1986, de 4 de abril; elenco al que se ha de añadir el Decreto 234/1997, que modifica aquel y contempla la lotería presorteada como uno de los juegos autorizados por la Comunidad Autónoma. Esa competencia exclusiva implica un </w:t>
      </w:r>
      <w:r>
        <w:lastRenderedPageBreak/>
        <w:t>correlativo desapoderamiento del Estado que carece de título competencial específico en la materia, por lo que debe abstenerse de actuar.</w:t>
      </w:r>
    </w:p>
    <w:p w:rsidR="00D06117" w:rsidRDefault="00D06117" w:rsidP="00D06117">
      <w:pPr>
        <w:pStyle w:val="TextoNormal"/>
      </w:pPr>
    </w:p>
    <w:p w:rsidR="00D06117" w:rsidRDefault="00D06117" w:rsidP="00D06117">
      <w:pPr>
        <w:pStyle w:val="TextoNormal"/>
      </w:pPr>
      <w:r>
        <w:t>A continuación, identifica la Letrada autonómica las razones esenciales que la Administración del Estado arguye en sustento de su competencia, que son el ámbito nacional, el monopolio fiscal y el interés general que implica la concreta actividad, y prosigue diferenciando una primera normativa global, aplicable a toda clase de juegos; una segunda, atinente al establecimiento de tributos sobre los mismos, y una tercera, dirigida a la creación y explotación de variedades concretas de juegos de azar, con fines esencialmente recaudatorios. Tras ello, niega la aplicabilidad de la clausula de subsidiariedad del art. 149.3 CE, y excluye toda incidencia en el ámbito del derecho autonómico de la competencia estatal sobre juegos y apuestas, como consecuencia de la inexistencia, en el Estatuto de Autonomía de Canarias, de previsión alguna que se refiera o reconozca la competencia del Estado sobre juegos y apuestas en el territorio canario; mención que, empero, sí existe en otros Estatutos de Autonomía. Tal silencio estatutario conlleva, para la Letrada autonómica, que la competencia de la Comunidad Autónoma abarque todo tipo de juegos y apuestas que se celebren en su territorio, independientemente del sujeto que los organice y del ámbito territorial sobre el que recaigan. Seguidamente, defiende la imposibilidad de concurrencia de las competencias estatal y autonómica con el mismo alcance y la misma materia y rechaza la potencialidad del criterio de supraterritorialidad para sustentar la competencia estatal, a cuyos efectos invoca el Voto particular a la STC 171/1998.</w:t>
      </w:r>
    </w:p>
    <w:p w:rsidR="00D06117" w:rsidRDefault="00D06117" w:rsidP="00D06117">
      <w:pPr>
        <w:pStyle w:val="TextoNormal"/>
      </w:pPr>
    </w:p>
    <w:p w:rsidR="00D06117" w:rsidRDefault="00D06117" w:rsidP="00D06117">
      <w:pPr>
        <w:pStyle w:val="TextoNormal"/>
      </w:pPr>
      <w:r>
        <w:t>Dedica seguidamente la representante del Gobierno autonómico un amplio razonamiento a intentar desvirtuar la incardinación que de la competencia sobre juegos y apuestas hace la Administración del Estado en el título competencial relativo a la hacienda general del Estado (art. 149.1.14 CE). Para ello, niega que la facultad de obtener ingresos pueda ser considerada un título competencial per se, y examina la evolución jurisprudencial de la caracterización jurídica de la Organización Nacional de Ciegos de España, que considera distinta a la del Organismo Nacional de Loterías y Apuestas del Estado, en tanto todas las gestionadas por éste último se integran en el monopolio fiscal estatal, mientras que, por el contrario, los juegos gestionados por la ONCE serían ajenos al mismo. En todo caso, prosigue el escrito de demanda, la promulgación del real decreto impugnado abundaría en tales razonamientos, pues confiere todas las facultades de organización y gestión de dicha lotería a la ONCE, prescindiendo de la intervención del Organismo Nacional de Loterías y Apuestas del Estado, que sí participaba jurídicamente en la anterior normativa, encabezada por el derogado Real Decreto 844/1999.</w:t>
      </w:r>
    </w:p>
    <w:p w:rsidR="00D06117" w:rsidRDefault="00D06117" w:rsidP="00D06117">
      <w:pPr>
        <w:pStyle w:val="TextoNormal"/>
      </w:pPr>
    </w:p>
    <w:p w:rsidR="00D06117" w:rsidRDefault="00D06117" w:rsidP="00D06117">
      <w:pPr>
        <w:pStyle w:val="TextoNormal"/>
      </w:pPr>
      <w:r>
        <w:t>A continuación, la Letrada de la Comunidad Autónoma de Canarias transcribe parcialmente el citado Voto particular a la STC 171/1998, para defender una interpretación favorable a la Comunidad Autónoma, considerando la inclusión de la lotería instantánea o presorteada en el título competencial de hacienda general como una actuación “sesgada”, máxime “en la medida que la financiación es una cuestión conexa con la actividad asistencial que la ONCE presta”; de esta manera, la norma impugnada vincula la titularidad de la competencia a la finalidad asistencial de la Organización Nacional de Ciegos de España.</w:t>
      </w:r>
    </w:p>
    <w:p w:rsidR="00D06117" w:rsidRDefault="00D06117" w:rsidP="00D06117">
      <w:pPr>
        <w:pStyle w:val="TextoNormal"/>
      </w:pPr>
    </w:p>
    <w:p w:rsidR="00D06117" w:rsidRDefault="00D06117" w:rsidP="00D06117">
      <w:pPr>
        <w:pStyle w:val="TextoNormal"/>
      </w:pPr>
      <w:r>
        <w:t xml:space="preserve">Prosigue la demanda negando el carácter de título competencial autónomo a la facultad de obtener ingresos públicos y trae a colación la autonomía financiera de las Comunidades Autónomas en relación con el rendimiento de los impuestos sobre el juego como uno de los </w:t>
      </w:r>
      <w:r>
        <w:lastRenderedPageBreak/>
        <w:t>elementos de financiación de Canarias. Finaliza sus razonamientos negando la existencia de un interés general nacional o el cumplimiento de fines de interés general y social en el decreto impugnado, máxime cuando la Comunidad Autónoma de Canarias tiene también competencias exclusivas en materias como la asistencia social y servicios sociales, asociaciones benéficas, lo que abundaría en la competencia autonómica en la materia controvertida.</w:t>
      </w:r>
    </w:p>
    <w:p w:rsidR="00D06117" w:rsidRDefault="00D06117" w:rsidP="00D06117">
      <w:pPr>
        <w:pStyle w:val="TextoNormal"/>
      </w:pPr>
    </w:p>
    <w:p w:rsidR="00D06117" w:rsidRDefault="00D06117" w:rsidP="00D06117">
      <w:pPr>
        <w:pStyle w:val="TextoNormal"/>
      </w:pPr>
      <w:r w:rsidRPr="00D06117">
        <w:rPr>
          <w:rStyle w:val="NumeroAFNegritaCaracter"/>
        </w:rPr>
        <w:t>2</w:t>
      </w:r>
      <w:r>
        <w:t>. Por providencia de la Sección Cuarta de 25 de abril de 2006, se admitió a trámite el conflicto positivo de competencia planteado por el Gobierno de Canarias, acordando dar traslado de la demanda y documentos presentados al Gobierno de la Nación, por conducto de su Presidente, al objeto de que, en el plazo de veinte días y bajo la representación procesal que señala el art. 82.2 de la Ley Orgánica del Tribunal Constitucional (LOTC), pudiera personarse en los autos y aportar cuantos documentos y alegaciones considerase convenientes. Se acordó asimismo comunicar la incoación del conflicto a la Sala Tercera del Tribunal Supremo, para que, de encontrarse impugnado o si se impugnare ante la misma el referido real decreto, se suspenda el curso del proceso hasta la decisión del conflicto. Igualmente, la citada providencia acordó la publicación de la incoación del conflicto en el “Boletín Oficial del Estado” y en el “Boletín Oficial de Canarias”.</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escrito que tuvo entrada en este Tribunal el 30 de mayo de 2006, el Abogado del Estado solicitó la desestimación de la demanda, con la consecuente declaración de la competencia a favor del Estado. En el mismo, y tras transcribir la exposición de motivos y la disposición derogatoria única del real decreto controvertido, detalla la doctrina en la materia recogida, entre otras, en la STC 171/1998, basada en la limitación territorial de las competencias autonómicas, la existencia de atribuciones estatales ligadas con el juego en general, el monopolio Fiscal como manifestación de poder financiero del Estado y la intelección amplia del título Hacienda General, más allá de los ingresos estrictamente tributarios. En suma la competencia estatal del art. 149.1.14 trasciende la específica denominación de lotería nacional a todo lo que ésta significa como monopolio e institución históricamente definida. Del examen jurisprudencial, concluye el Abogado del Estado afirmando la limitación de la competencia exclusiva autonómica a la organización de juegos y apuestas regionales, y la competencia estatal para establecer juegos y apuestas de ámbito nacional que constituyan recurso ordinario de su hacienda y conecten con el monopolio Fiscal, en virtud del título competencial sobre la hacienda general.</w:t>
      </w:r>
    </w:p>
    <w:p w:rsidR="00D06117" w:rsidRDefault="00D06117" w:rsidP="00D06117">
      <w:pPr>
        <w:pStyle w:val="TextoNormal"/>
      </w:pPr>
    </w:p>
    <w:p w:rsidR="00D06117" w:rsidRDefault="00D06117" w:rsidP="00D06117">
      <w:pPr>
        <w:pStyle w:val="TextoNormal"/>
      </w:pPr>
      <w:r>
        <w:t>Prosigue el Abogado del Estado refutando los argumentos de la demanda, señalando que la inexistencia de mención estatutaria a una reserva expresa de competencias estatales sobre loterías y apuestas ha de interpretarse dentro del sistema constitucional de distribución de competencias, especialmente a la luz de la doctrina constitucional sentada, entre otras, en la STC 171/1998. A su vez, en lo atinente a la remisión que efectúa la defensa autonómica a concretos votos particulares, pone de manifiesto la naturaleza intrínsecamente discrepante de los mismos. Refuta a continuación los tres argumentos que sustentan la demanda sobre la supraterritorialidad, la extensión de la doctrina de los poderes implícitos y la naturaleza de la potestad de ingreso.</w:t>
      </w:r>
    </w:p>
    <w:p w:rsidR="00D06117" w:rsidRDefault="00D06117" w:rsidP="00D06117">
      <w:pPr>
        <w:pStyle w:val="TextoNormal"/>
      </w:pPr>
    </w:p>
    <w:p w:rsidR="00D06117" w:rsidRDefault="00D06117" w:rsidP="00D06117">
      <w:pPr>
        <w:pStyle w:val="TextoNormal"/>
      </w:pPr>
      <w:r>
        <w:t>Continúa la Abogacía del Estado poniendo de manifiesto la conexión entre la lotería establecida por el real decreto impugnado y el monopolio fiscal, en relación con el ámbito nacional de aquél, considerando de plena aplicación la doctrina sentada en la STC 216/1994, referida a “El Gordo de la Primitiva”.</w:t>
      </w:r>
    </w:p>
    <w:p w:rsidR="00D06117" w:rsidRDefault="00D06117" w:rsidP="00D06117">
      <w:pPr>
        <w:pStyle w:val="TextoNormal"/>
      </w:pPr>
    </w:p>
    <w:p w:rsidR="00D06117" w:rsidRDefault="00D06117" w:rsidP="00D06117">
      <w:pPr>
        <w:pStyle w:val="TextoNormal"/>
      </w:pPr>
      <w:r>
        <w:t>Como conclusión última, la Abogacía del Estado, atendiendo a las características de la lotería presorteada establecida por el real decreto impugnado, considera que es evidente el vínculo de ésta con el antiguo monopolio fiscal que constituía recurso ordinario de la hacienda pública. Todo lo cual abona el dictado de Sentencia desestimatoria de la demanda y consecuentemente la declaración de que la competencia controvertida corresponde al Estado.</w:t>
      </w:r>
    </w:p>
    <w:p w:rsidR="00D06117" w:rsidRDefault="00D06117" w:rsidP="00D06117">
      <w:pPr>
        <w:pStyle w:val="TextoNormal"/>
      </w:pPr>
    </w:p>
    <w:p w:rsidR="00D06117" w:rsidRDefault="00D06117" w:rsidP="00D06117">
      <w:pPr>
        <w:pStyle w:val="TextoNormal"/>
      </w:pPr>
      <w:r w:rsidRPr="00D06117">
        <w:rPr>
          <w:rStyle w:val="NumeroAFNegritaCaracter"/>
        </w:rPr>
        <w:t>4</w:t>
      </w:r>
      <w:r>
        <w:t>. Por Auto de 20 junio 2006 se denegó la suspensión de la vigencia del Real Decreto 1336/2005, interesada cautelarmente por el Servicio Jurídico del Gobierno de Canarias como otrosí en su demanda.</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19 de junio de 2012 se señaló para deliberación y votación de la presente Sentencia el mismo día.</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conflicto positivo de competencia ha sido promovido por el Gobierno de la Comunidad Autónoma de Canarias en relación con el Real Decreto 1336/2005, de 11 de noviembre, por el que se autoriza a la Organización Nacional de Ciegos Españoles (ONCE) la comercialización de una lotería instantánea o presorteada. La Comunidad Autónoma alega su competencia exclusiva en materia de casinos, juegos y apuestas, de conformidad con el art. 30.28 del Estatuto de Autonomía de Canarias, invocando igualmente la normativa autonómica que contempla la lotería presorteada como uno de los juegos autorizados por la Comunidad Autónoma, así como la jurisprudencia sentada, entre otras, en la STC 163/1994, de 26 de mayo. Asimismo, discute que la norma controvertida pueda tener encaje en la competencia estatal ex art. 149.1.14 CE, sosteniendo, además, que se afecta a la autonomía financiera de la Comunidad Autónoma y que resulta discutible la invocación del interés general vinculado a fines sociales como fundamento de la disposición, siendo así que la Comunidad Autónoma ostenta competencias que le permitirían defender también fines de esa naturaleza.</w:t>
      </w:r>
    </w:p>
    <w:p w:rsidR="00D06117" w:rsidRDefault="00D06117" w:rsidP="00D06117">
      <w:pPr>
        <w:pStyle w:val="TextoNormal"/>
      </w:pPr>
    </w:p>
    <w:p w:rsidR="00D06117" w:rsidRDefault="00D06117" w:rsidP="00D06117">
      <w:pPr>
        <w:pStyle w:val="TextoNormal"/>
      </w:pPr>
      <w:r>
        <w:t>Por su parte, el Abogado del Estado solicita la desestimación del conflicto, señalando que el Real Decreto 1336/2005 tiene encaje en el título competencial del art. 149.1.14, al tratarse de una lotería de ámbito nacional, vinculada con el antiguo monopolio fiscal.</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Con carácter previo al enjuiciamiento de la norma cuestionada, hemos de analizar los efectos que pueda tener sobre la controversia el hecho de que algunos de los preceptos del Real Decreto 1336/2005, hayan sido modificados. En concreto, el Real Decreto 1706/2011, de 18 de noviembre, da nueva redacción al art. 2 y a los apartados 3, 4 y 6 del art. 3. Tal y como tenemos reiteradamente señalado [por todas en la STC 99/2012, de 8 de mayo, FJ 2 c)], en las controversias de alcance competencial es necesario apreciar los efectos que tiene sobre el conflicto la entrada en vigor de la nueva normativa reguladora de algunos de los aspectos en discusión. Dicha operación debe realizarse atendiendo en cada caso a las circunstancias concretas y, ante todo, a la pervivencia de la controversia competencial, esto es, a si la disputa sobre la titularidad competencial sigue o no viva entre las partes, de modo </w:t>
      </w:r>
      <w:r>
        <w:lastRenderedPageBreak/>
        <w:t>que si la normativa en torno a la cual se trabó el conflicto resulta parcialmente modificada por otra que viene a plantear los mismos problemas competenciales la consecuencia necesaria será la no desaparición del conflicto. Esto es, precisamente, lo que ocurre en el presente caso, en el que las modificaciones que ha sufrido la norma impugnada no afectan en modo alguno a la cuestión planteada, centrada en la denuncia de la extralimitación de las competencias estatales en la autorización de una lotería instantánea y en la consiguiente vulneración de las competencias autonómicas, por lo que debemos proceder a su enjuiciamiento.</w:t>
      </w:r>
    </w:p>
    <w:p w:rsidR="00D06117" w:rsidRDefault="00D06117" w:rsidP="00D06117">
      <w:pPr>
        <w:pStyle w:val="TextoNormal"/>
      </w:pPr>
    </w:p>
    <w:p w:rsidR="00D06117" w:rsidRDefault="00D06117" w:rsidP="00D06117">
      <w:pPr>
        <w:pStyle w:val="TextoNormal"/>
      </w:pPr>
      <w:r w:rsidRPr="00D06117">
        <w:rPr>
          <w:rStyle w:val="NumeroAFNegritaCaracter"/>
        </w:rPr>
        <w:t>3</w:t>
      </w:r>
      <w:r>
        <w:t>. El Real Decreto impugnado en el presente conflicto autoriza a la Organización Nacional de Ciegos Españoles (ONCE) la comercialización de una modalidad de lotería instantánea o presorteada cuya dirección, organización y explotación confía a la citada organización. Y dispone también que los ingresos obtenidos por su explotación, deducidos los gastos relativos a los premios abonados, la retribución de los agentes vendedores y los gastos generales propios de la gestión del juego, se destinarán a los mismos fines y estarán sujetos a las mismas obligaciones establecidas para los demás juegos autorizados a la ONCE (art. 2).</w:t>
      </w:r>
    </w:p>
    <w:p w:rsidR="00D06117" w:rsidRDefault="00D06117" w:rsidP="00D06117">
      <w:pPr>
        <w:pStyle w:val="TextoNormal"/>
      </w:pPr>
    </w:p>
    <w:p w:rsidR="00D06117" w:rsidRDefault="00D06117" w:rsidP="00D06117">
      <w:pPr>
        <w:pStyle w:val="TextoNormal"/>
      </w:pPr>
      <w:r>
        <w:t>Coinciden las partes en el encuadramiento competencial de la disposición sobre la que recae el conflicto, referido a la materia de juego y apuestas, si bien discrepan sobre el alcance que tienen las competencias estatales y autonómicas en dicha materia.</w:t>
      </w:r>
    </w:p>
    <w:p w:rsidR="00D06117" w:rsidRDefault="00D06117" w:rsidP="00D06117">
      <w:pPr>
        <w:pStyle w:val="TextoNormal"/>
      </w:pPr>
    </w:p>
    <w:p w:rsidR="00D06117" w:rsidRDefault="00D06117" w:rsidP="00D06117">
      <w:pPr>
        <w:pStyle w:val="TextoNormal"/>
      </w:pPr>
      <w:r>
        <w:t>Pues bien, el debate que en relación con dicha disposición se plantea ha sido ya resuelto por este Tribunal en la STC 32/2012, de 15 de marzo, al enjuiciar diversos conflictos positivos de competencia acumulados, promovidos contra el Real Decreto 1336/2005, y contra su precedente, el Real Decreto 844/1999, de 21 de mayo. En dicha Sentencia llegamos a la conclusión de que el Real Decreto 1336/2005 no menoscaba ni invade las competencias autonómicas en materia de juego.</w:t>
      </w:r>
    </w:p>
    <w:p w:rsidR="00D06117" w:rsidRDefault="00D06117" w:rsidP="00D06117">
      <w:pPr>
        <w:pStyle w:val="TextoNormal"/>
      </w:pPr>
    </w:p>
    <w:p w:rsidR="00D06117" w:rsidRDefault="00D06117" w:rsidP="00D06117">
      <w:pPr>
        <w:pStyle w:val="TextoNormal"/>
      </w:pPr>
      <w:r>
        <w:t>Para alcanzar tal conclusión, partimos tanto de la incontrovertida existencia de competencias autonómicas como de la negación de un desapoderamiento competencial del Estado en la materia, señalando en primer lugar, con cita de la STC 204/2002, de 31 de octubre, que “la materia de juego, a pesar de no ser mencionada en los arts. 148.1 y 149.1 CE y en los Estatutos de Autonomía, ha sido atribuida a las Comunidades Autónomas bajo el uniforme título de ‘casinos, juegos y apuestas con exclusión de las Apuestas Mutuas Deportivo-Benéficas’, en sus respectivos Estatutos. [En consecuencia],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 Esta doctrina es trasladable en sus propios términos a la Comunidad Autónoma de Canarias, en virtud de las competencias que ostenta en la materia de acuerdo con lo dispuesto en el art. 30.28 de su Estatuto de Autonomía.</w:t>
      </w:r>
    </w:p>
    <w:p w:rsidR="00D06117" w:rsidRDefault="00D06117" w:rsidP="00D06117">
      <w:pPr>
        <w:pStyle w:val="TextoNormal"/>
      </w:pPr>
    </w:p>
    <w:p w:rsidR="00D06117" w:rsidRDefault="00D06117" w:rsidP="00D06117">
      <w:pPr>
        <w:pStyle w:val="TextoNormal"/>
      </w:pPr>
      <w:r>
        <w:lastRenderedPageBreak/>
        <w:t>Sin embargo, precisando lo anterior, afirmamos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 (STC 32/2012, FJ 3).</w:t>
      </w:r>
    </w:p>
    <w:p w:rsidR="00D06117" w:rsidRDefault="00D06117" w:rsidP="00D06117">
      <w:pPr>
        <w:pStyle w:val="TextoNormal"/>
      </w:pPr>
    </w:p>
    <w:p w:rsidR="00D06117" w:rsidRDefault="00D06117" w:rsidP="00D06117">
      <w:pPr>
        <w:pStyle w:val="TextoNormal"/>
      </w:pPr>
      <w:r>
        <w:t>Como se puede comprobar, el elemento territorial resulta determinante para la atribución de competencias sobre juegos y apuestas a las Comunidades Autónomas y al Estado, aspecto en el que se profundizó en el fundamento jurídico 4 de la STC 32/2012, al indicar que la competencia exclusiva autonómica comprende los juegos que se desarrollen exclusivamente en su territorio, mientras que al Real Decreto impugnado precisa en su art. 1 que la modalidad de lotería que establece es de ámbito nacional, lo que, de acuerdo con lo expuesto, determina la competencia estatal sobre la misma, recordando que, como se dijo en la STC 163/1994, de 26 de mayo, FJ 8, “corresponde al Estado ex art. 149.1.14 CE ‘la gestión del monopolio de la lotería nacional, y con él la facultad para organizar loterías de ámbito nacional; y además,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y sin perjuicio de la competencia exclusiva [autonómica] para autorizar o celebrar aquellas actividades dentro de su ámbito territorial’, decisión que reiteramos en las SSTC 216/1994, de 14 de julio, FJ 2, y 171/1998, de 23 de julio, FJ 7”.</w:t>
      </w:r>
    </w:p>
    <w:p w:rsidR="00D06117" w:rsidRDefault="00D06117" w:rsidP="00D06117">
      <w:pPr>
        <w:pStyle w:val="TextoNormal"/>
      </w:pPr>
    </w:p>
    <w:p w:rsidR="00D06117" w:rsidRDefault="00D06117" w:rsidP="00D06117">
      <w:pPr>
        <w:pStyle w:val="TextoNormal"/>
      </w:pPr>
      <w:r w:rsidRPr="00D06117">
        <w:rPr>
          <w:rStyle w:val="NumeroAFNegritaCaracter"/>
        </w:rPr>
        <w:t>4</w:t>
      </w:r>
      <w:r>
        <w:t>. Mención especial merece la cuestión relativa a la afección de la autonomía financiera de la Comunidad Autónoma y de su suficiencia de recursos, aspecto del que se ocupó en profundidad la STC 32/2012, en sus fundamentos jurídicos 6 y 7, para descartar que se produzca vulneración alguna en el sentido denunciado. Así, en el fundamento jurídico 6 nos referimos en primer lugar al principio de autonomía financiera consagrado en el art. 156.1 CE, con exposición de las coordenadas constitucionales en las que se sitúa, señalando que el Estado es competente “para regular no sólo sus propios tributos, sino también el marco general de todo el sistema tributario y la delimitación de las competencias financieras de las Comunidades Autónomas respecto de las del propio Estado”. A ello añadimos la consideración de que la actividad financiera del Estado ha de desarrollarse dentro del orden competencial articulado en la Constitución, lo que implica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w:t>
      </w:r>
    </w:p>
    <w:p w:rsidR="00D06117" w:rsidRDefault="00D06117" w:rsidP="00D06117">
      <w:pPr>
        <w:pStyle w:val="TextoNormal"/>
      </w:pPr>
    </w:p>
    <w:p w:rsidR="00D06117" w:rsidRDefault="00D06117" w:rsidP="00D06117">
      <w:pPr>
        <w:pStyle w:val="TextoNormal"/>
      </w:pPr>
      <w:r>
        <w:t xml:space="preserve">A partir de estos presupuestos, llegamos a la conclusión de que la autonomía financiera reconocida a las Comunidades Autónomas exige también la disposición de los medios financieros precisos para ejercer sus competencias propias, sin condicionamientos indebidos y en toda su extensión. Ahora bien, ese principio de suficiencia financiera no es un valor </w:t>
      </w:r>
      <w:r>
        <w:lastRenderedPageBreak/>
        <w:t>absoluto, y así lo afirmamos en el fundamento jurídico 7 de la misma STC 32/2012, señalando que tiene sus propios límites, “de forma que ‘dicha suficiencia debe quedar enmarcada, como concepto relativo que es, en el marco de las posibilidades reales del sistema financiero del Estado en su conjunto’ (STC 13/2007, de 18 de enero, FJ 5). Por ninguna otra razón su eventual vulneración ha de valorarse siempre ‘en atención al conjunto de los recursos de que puedan disponer y de las competencias que les han sido atribuidas, así como de los servicios que gestionan, y dentro siempre de las reales disponibilidades económicas de un sistema globalmente presidido por el principio de solidaridad entre todos los españoles’ [STC 87/1993, de 11 de marzo, FJ 3 b)]. Lo que a la postre significa que la suficiencia financiera es efectivamente ‘algo muy concreto y dependiente de muchas variables’ (STC 135/1992, de 5 de octubre, FJ 8) y no, por tanto, determinable en función de una singular fuente de ingresos, individualmente considerada, y su eventual reducción”.</w:t>
      </w:r>
    </w:p>
    <w:p w:rsidR="00D06117" w:rsidRDefault="00D06117" w:rsidP="00D06117">
      <w:pPr>
        <w:pStyle w:val="TextoNormal"/>
      </w:pPr>
    </w:p>
    <w:p w:rsidR="00D06117" w:rsidRDefault="00D06117" w:rsidP="00D06117">
      <w:pPr>
        <w:pStyle w:val="TextoNormal"/>
      </w:pPr>
      <w:r>
        <w:t>Siendo suficientes las anteriores consideraciones para desestimar la posible vulneración del indicado principio, añadimos también el argumento de que la posible minoración de los ingresos autonómicos derivada de la competencia de la nueva modalidad de lotería no podía dar lugar a la lesión de ese principio. Por una parte, porque sería necesario demostrar que la nueva modalidad de lotería de ámbito estatal pone en peligro la suficiencia de los recursos financieros precisos para ejercer las competencias autonómicas en materia de juego; demostración necesaria, puesto que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(STC 13/2007, de 18 de febrero, FJ 5). Y, en el presente caso, el Gobierno de la Comunidad Autónoma de Canarias no ha acreditado dicho extremo. Por otra parte, porque, una vez confirmada la competencia del Estado para autorizar juegos de ámbito estatal, el hecho de que la autorización de una modalidad de lotería pueda eventualmente reducir los ingresos autonómicos que puedan derivar de la previa explotación por la Comunidad Autónoma en su territorio de una modalidad de lotería similar, “no permite cuestionar la legitimidad del ejercicio por el Estado de sus competencia ex art. 149.1.14 CE por el simple hecho de que, al hacerlo, no haya previsto ningún mecanismo de compensación financiera, so pena naturalmente de admitir un indebido condicionamiento en el ejercicio de las propias competencias del Estado” (STC 32/2012, FJ 7).</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Finalmente, sobre el argumento del Gobierno de Canarias negando la existencia de un interés general nacional o el cumplimiento de fines de interés general o social en el real decreto impugnado, y que en éste se enarbola dicho interés general como justificación de la medida y no la extensión territorial del juego, hay que comenzar por señalar que, de acuerdo con su art. 2, al que ya hemos hecho mención anteriormente, “[l]os ingresos que se obtengan por la explotación de la lotería instantánea que se autoriza, deducidos los gastos relativos a los premios abonados, la retribución de los agentes vendedores y los gastos generales propios de la gestión del juego, se destinarán a los mismos fines y estarán sujetos a las mismas obligaciones de utilización establecidas para los demás juegos autorizados a la ONCE”. Y, como dijimos en el fundamento jurídico 8 de la 32/2012, respecto a la naturaleza jurídica, adscripción territorial y funciones de dicha organización, ya hemos tenido ocasión de advertir (STC 171/1998, de 23 de julio, FFJJ 4 y 5) que se trata de una organización de ámbito estatal, de carácter social y sin fin de lucro, y así lo precisa el art. 1.1 del Real Decreto 358/1991, de 15 de marzo, modificado por el Real Decreto 1359/2005, de 18 de noviembre, </w:t>
      </w:r>
      <w:r>
        <w:lastRenderedPageBreak/>
        <w:t>que la define como “una Corporación de Derecho Público, de carácter social, con personalidad jurídica propia y plena capacidad de obrar, que desarrolla su actividad en todo el territorio español, bajo el Protectorado del Estado. Dicho carácter social integra los principios y valores de la solidaridad, la ausencia de ánimo de lucro y el interés general en la naturaleza y fines de la organización”. La relevancia de estos fines fue expresamente reconocida en la STC 171/1998, FJ 4, afirmando que presentan un “evidente interés público y que conectan directamente con el mandato del art. 49 de la C.E.”, justificándose la concesión, que históricamente se ha mantenido, de la explotación del “cupón pro-ciegos” como fuente de recursos financieros de la entidad, “en la necesidad de dotarle de los medios económicos suficientes para el cumplimiento de los relevantes fines de indudable interés público que ha asumido desde su creación y asume en la actualidad. Medios económicos que arbitró el Estado mediante la autorización de ese sorteo en lugar de asignar una consignación con cargo a su propio presupuesto, constituyendo así una fuente de ingresos de la O.N.C.E. que ha sido y sigue siendo el principal recurso financiero de la entidad, soporte, por lo tanto, imprescindible e indispensable para el desempeño de las actividades que realiza tendentes a la satisfacción de los fines de interés público que tiene encomendados y que son su razón de ser” (STC 171/1998, FJ 5).</w:t>
      </w:r>
    </w:p>
    <w:p w:rsidR="00D06117" w:rsidRDefault="00D06117" w:rsidP="00D06117">
      <w:pPr>
        <w:pStyle w:val="TextoNormal"/>
      </w:pPr>
    </w:p>
    <w:p w:rsidR="00D06117" w:rsidRDefault="00D06117" w:rsidP="00D06117">
      <w:pPr>
        <w:pStyle w:val="TextoNormal"/>
      </w:pPr>
      <w:r>
        <w:t>Así pues, resulta patente el cumplimiento por el Real Decreto 1336/2005 de los fines de interés general o social que discute el Gobierno de Canarias, en cuanto crea una modalidad de lotería destinada a financiar las actividades que desarrolla y los fines que persigue la ONCE, que presentan, como ya se ha dicho, un indudable interés público.</w:t>
      </w:r>
    </w:p>
    <w:p w:rsidR="00D06117" w:rsidRDefault="00D06117" w:rsidP="00D06117">
      <w:pPr>
        <w:pStyle w:val="TextoNormal"/>
      </w:pPr>
    </w:p>
    <w:p w:rsidR="00D06117" w:rsidRDefault="00D06117" w:rsidP="00D06117">
      <w:pPr>
        <w:pStyle w:val="TextoNormal"/>
      </w:pPr>
      <w:r>
        <w:t>Ahora bien, dicho esto, hay que añadir a continuación que no se encuentra en el real decreto impugnado o en la contestación del Gobierno al requerimiento de incompetencia de la Comunidad Autónoma de Canarias mención alguna que pretenda justificar la aprobación de la lotería presorteada de que se trata exclusivamente en razones de interés general, sino que, antes al contrario, se autoriza una lotería “de ámbito nacional” (art. 1 del Real Decreto 1336/2005), que se justifica por el Gobierno de la Nación, como no podía ser de otra forma, en atención a la existencia de las competencias estatales, que se extienden, según se ha expuesto anteriormente, a los juegos y apuestas de carácter nacional, con independencia de los fines de interés general y social a que responde la autorización de la comercialización de la lotería a la ONCE, que son evidentemente tenidos en cuenta a la hora de adoptar esa medida.</w:t>
      </w:r>
    </w:p>
    <w:p w:rsidR="00D06117" w:rsidRDefault="00D06117" w:rsidP="00D06117">
      <w:pPr>
        <w:pStyle w:val="TextoNormal"/>
      </w:pPr>
    </w:p>
    <w:p w:rsidR="00D06117" w:rsidRDefault="00D06117" w:rsidP="00D06117">
      <w:pPr>
        <w:pStyle w:val="TextoNormal"/>
      </w:pPr>
      <w:r>
        <w:t>Por lo demás, como ha señalado el Abogado del Estado, el Gobierno de la Comunidad Autónoma de Canarias no ha desarrollado argumentación alguna dirigida a demostrar que la autorización de la lotería presorteada por el real decreto en cuestión impida o menoscabe el ejercicio de las competencias que cita en materia de asistencia social, servicios sociales y asociaciones benéficas. Todo lo cual conduce a rechazar esta queja.</w:t>
      </w:r>
    </w:p>
    <w:p w:rsidR="00D06117" w:rsidRDefault="00D06117" w:rsidP="00D06117">
      <w:pPr>
        <w:pStyle w:val="TextoNormal"/>
      </w:pPr>
    </w:p>
    <w:p w:rsidR="00D06117" w:rsidRDefault="00D06117" w:rsidP="00D06117">
      <w:pPr>
        <w:pStyle w:val="TextoNormal"/>
      </w:pPr>
      <w:r>
        <w:t>En conclusión, de acuerdo con lo que hasta aquí se ha expuesto, hemos de desestimar el presente conflicto de competencias.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lastRenderedPageBreak/>
        <w:t>Ha decidido</w:t>
      </w:r>
    </w:p>
    <w:p w:rsidR="00D06117" w:rsidRDefault="00D06117" w:rsidP="00D06117">
      <w:pPr>
        <w:pStyle w:val="TextoNormalCentrado"/>
        <w:keepNext/>
      </w:pPr>
    </w:p>
    <w:p w:rsidR="00D06117" w:rsidRDefault="00D06117" w:rsidP="00D06117">
      <w:pPr>
        <w:pStyle w:val="TextoNormal"/>
      </w:pPr>
      <w:r>
        <w:t>Desestimar el presente conflicto positivo de competencias.</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diecinueve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7" w:name="SENTENCIA_2012_134"/>
      <w:r>
        <w:lastRenderedPageBreak/>
        <w:t>SENTENCIA 134/2012, de 19 de junio de 2012</w:t>
      </w:r>
    </w:p>
    <w:bookmarkEnd w:id="137"/>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ECLI:ES:TC:2012:134</w:t>
      </w:r>
    </w:p>
    <w:p w:rsidR="00D06117" w:rsidRDefault="00D06117" w:rsidP="00D06117">
      <w:pPr>
        <w:pStyle w:val="SntesisDescriptiva"/>
      </w:pPr>
    </w:p>
    <w:p w:rsidR="00D06117" w:rsidRDefault="00D06117" w:rsidP="00D06117">
      <w:pPr>
        <w:pStyle w:val="SntesisDescriptiva"/>
      </w:pPr>
      <w:r>
        <w:t>Conflicto positivo de competencia 3134-2006. Planteado por el Consejo de Gobierno de la Junta de Andalucía en relación con diversos preceptos del Real Decreto 1336/2005, por el que se autoriza a la Organización Nacional de Ciegos Españoles una lotería instantánea o presorteada.</w:t>
      </w:r>
    </w:p>
    <w:p w:rsidR="00D06117" w:rsidRDefault="00D06117" w:rsidP="00D06117">
      <w:pPr>
        <w:pStyle w:val="SntesisDescriptiva"/>
      </w:pPr>
    </w:p>
    <w:p w:rsidR="00D06117" w:rsidRDefault="00D06117" w:rsidP="00D06117">
      <w:pPr>
        <w:pStyle w:val="SntesisAnaltica"/>
      </w:pPr>
      <w:r>
        <w:t>Competencias sobre juego: validez de los preceptos reglamentarios estatales (STC 32/2012).</w:t>
      </w:r>
    </w:p>
    <w:p w:rsidR="00D06117" w:rsidRDefault="00D06117" w:rsidP="00D06117">
      <w:pPr>
        <w:pStyle w:val="SntesisAnaltica"/>
      </w:pPr>
    </w:p>
    <w:p w:rsidR="00D06117" w:rsidRDefault="00D06117" w:rsidP="00D06117">
      <w:pPr>
        <w:pStyle w:val="Extracto"/>
      </w:pPr>
      <w:r>
        <w:t>1.</w:t>
      </w:r>
      <w:r>
        <w:tab/>
        <w:t xml:space="preserve">Reitera la doctrina sobre la delimitación competencial en materia de juegos y apuestas de la SSTC 32/2012  [FFJJ 4, 5]. </w:t>
      </w:r>
    </w:p>
    <w:p w:rsidR="00D06117" w:rsidRDefault="00D06117" w:rsidP="00D06117">
      <w:pPr>
        <w:pStyle w:val="Extracto"/>
      </w:pPr>
    </w:p>
    <w:p w:rsidR="00D06117" w:rsidRDefault="00D06117" w:rsidP="00D06117">
      <w:pPr>
        <w:pStyle w:val="Extracto"/>
      </w:pPr>
      <w:r>
        <w:t>2.</w:t>
      </w:r>
      <w:r>
        <w:tab/>
        <w:t>Dado que en el art. 149.1 no se reserva expresamente al Estado la materia juego y apuestas, corresponde a las Comunidades Autónomas, de acuerdo con su Estatuto de Autonomía, la competencia exclusiva sobre los casinos, juegos y apuestas, excepto las apuestas mutuas deportivo-benéficas, comprendiendo la misma la de organizar y autorizar la celebración de juegos en el territorio de la Comunidad Autónoma (SSTC 52/1988, 32/2012) [FJ 4].</w:t>
      </w:r>
    </w:p>
    <w:p w:rsidR="00D06117" w:rsidRDefault="00D06117" w:rsidP="00D06117">
      <w:pPr>
        <w:pStyle w:val="Extracto"/>
      </w:pPr>
    </w:p>
    <w:p w:rsidR="00D06117" w:rsidRDefault="00D06117" w:rsidP="00D06117">
      <w:pPr>
        <w:pStyle w:val="Extracto"/>
      </w:pPr>
      <w:r>
        <w:t>3.</w:t>
      </w:r>
      <w:r>
        <w:tab/>
        <w:t>Ni el silencio del art. 149.1 CE respecto al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CE (SSTC 163/1994, 32/2012) [FJ 4].</w:t>
      </w:r>
    </w:p>
    <w:p w:rsidR="00D06117" w:rsidRDefault="00D06117" w:rsidP="00D06117">
      <w:pPr>
        <w:pStyle w:val="Extracto"/>
      </w:pPr>
    </w:p>
    <w:p w:rsidR="00D06117" w:rsidRDefault="00D06117" w:rsidP="00D06117">
      <w:pPr>
        <w:pStyle w:val="Extracto"/>
      </w:pPr>
      <w:r>
        <w:t>4.</w:t>
      </w:r>
      <w:r>
        <w:tab/>
        <w:t xml:space="preserve">Doctrina sobre el </w:t>
      </w:r>
      <w:r w:rsidRPr="00D06117">
        <w:rPr>
          <w:i/>
        </w:rPr>
        <w:t>ius superveniens</w:t>
      </w:r>
      <w:r>
        <w:t>, según la cual el control de las normas que incurren en un posible exceso competencial debe hacerse de acuerdo con las normas del bloque de la constitucionalidad vigentes en el momento de dictar Sentencia  (STC 83/2012) [FJ 3].</w:t>
      </w:r>
    </w:p>
    <w:p w:rsidR="00D06117" w:rsidRDefault="00D06117" w:rsidP="00D06117">
      <w:pPr>
        <w:pStyle w:val="Extracto"/>
      </w:pPr>
    </w:p>
    <w:p w:rsidR="00D06117" w:rsidRDefault="00D06117" w:rsidP="00D06117">
      <w:pPr>
        <w:pStyle w:val="Extracto"/>
      </w:pPr>
      <w:r>
        <w:t>5.</w:t>
      </w:r>
      <w:r>
        <w:tab/>
        <w:t>Doctrina sobre la pervivencia del objeto en conflictos competenciales cuando, tras la modificación de la norma, sigue viva la controversia sobre la titularidad competencial (STC 99/2012)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conflicto positivo de competencia núm. 3134-2006, planteado por el Consejo de Gobierno de la Junta de Andalucía contra el Real Decreto 1336/2005, de 11 de noviembre, por el que se autoriza a la Organización Nacional de Ciegos Españoles (ONCE) una lotería instantánea o presorteada. Ha formulado alegaciones el Abogado del Estado. Ha sido Ponente el Magistrado don Javier Delgado Barrio,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21 de marzo de 2006 tuvo entrada en el Registro General de este Tribunal Constitucional escrito de la Letrada de la Junta de Andalucía por el que, en la representación que ostenta, interpone conflicto positivo de competencia, en relación con los artículos 1, 2, 3 y 4 del Real Decreto 1336/2005, de 11 de noviembre, por el que se autoriza a la Organización Nacional de Ciegos Españoles (ONCE) una lotería instantánea o presorteada.</w:t>
      </w:r>
    </w:p>
    <w:p w:rsidR="00D06117" w:rsidRDefault="00D06117" w:rsidP="00D06117">
      <w:pPr>
        <w:pStyle w:val="TextoNormal"/>
      </w:pPr>
    </w:p>
    <w:p w:rsidR="00D06117" w:rsidRDefault="00D06117" w:rsidP="00D06117">
      <w:pPr>
        <w:pStyle w:val="TextoNormal"/>
      </w:pPr>
      <w:r>
        <w:t>El escrito de promoción, tras señalar que el requerimiento formulado fue rechazado por Acuerdo del Consejo de Ministros de 17 de febrero de 2006, invoca la competencia exclusiva que, conforme a lo establecido en el art. 13.33 del Estatuto de Autonomía aprobado por Ley Orgánica 6/1981, de 30 de diciembre, corresponde a la Comunidad Autónoma en materia de “casinos, juegos y apuestas, con exclusión de las apuestas mutuas deportivo-benéficas”, competencia que, según lo señalado en la STC 163/1994, de 26 de mayo, incluiría la organización y autorización de juegos en el territorio de la Comunidad Autónoma, rechazando que pueda producirse un trasvase competencial en materia de juego y apuestas al Estado a partir del art. 149.1.14 CE y so pretexto de la existencia de un beneficio de interés general y de ámbito nacional.</w:t>
      </w:r>
    </w:p>
    <w:p w:rsidR="00D06117" w:rsidRDefault="00D06117" w:rsidP="00D06117">
      <w:pPr>
        <w:pStyle w:val="TextoNormal"/>
      </w:pPr>
    </w:p>
    <w:p w:rsidR="00D06117" w:rsidRDefault="00D06117" w:rsidP="00D06117">
      <w:pPr>
        <w:pStyle w:val="TextoNormal"/>
      </w:pPr>
      <w:r>
        <w:t>Entiende la Letrada de la Junta de Andalucía que la lotería instantánea o presorteada que regula el decreto impugnado plantea un caso distinto de los abordados y resueltos por las SSTC 163/1994, de 26 de mayo, y 171/1998, de 23 de julio, pues se trata de una nueva lotería que nada tiene que ver ni con la Lotería Nacional, ni con el “cupón pro-ciegos”. A diferencia de las anteriores, la nueva lotería no tiene cabida en el título competencial del art. 149.1.14 CE pues no existe ese pretendido beneficio del interés general y de ámbito nacional que invoca el acuerdo del Consejo de Ministros según el cual “el título estatutario y el previsto en el art. 149.1.14 CE habilitan tanto a la Comunidad Autónoma de Andalucía como al Estado para organizar juegos o loterías, en el primer caso, dentro de su ámbito territorial y, en el segundo, en beneficio del interés general y de ámbito nacional”.</w:t>
      </w:r>
    </w:p>
    <w:p w:rsidR="00D06117" w:rsidRDefault="00D06117" w:rsidP="00D06117">
      <w:pPr>
        <w:pStyle w:val="TextoNormal"/>
      </w:pPr>
    </w:p>
    <w:p w:rsidR="00D06117" w:rsidRDefault="00D06117" w:rsidP="00D06117">
      <w:pPr>
        <w:pStyle w:val="TextoNormal"/>
      </w:pPr>
      <w:r>
        <w:t xml:space="preserve">Discute, en primer lugar, que el ingreso o resultado económico de la explotación del juego sea competencia del Estado bien porque se integra como ingreso público y parte del </w:t>
      </w:r>
      <w:r>
        <w:lastRenderedPageBreak/>
        <w:t>monopolio fiscal, bien porque afecta al ámbito del monopolio, razones en las que se sustentan las SSTC 163/1994, de 26 de mayo y 171/1998, de 23 de julio, respectivamente. Considera, haciendo suyos los argumentos de los Votos particulares de dichas Sentencias, que la atribución constitucional de competencias no debe atender al resultado del ejercicio material sino a la actividad en si misma considerada y que ni la potestad de gasto, ni la potestad de ingresos pueden convertirse en títulos competenciales.</w:t>
      </w:r>
    </w:p>
    <w:p w:rsidR="00D06117" w:rsidRDefault="00D06117" w:rsidP="00D06117">
      <w:pPr>
        <w:pStyle w:val="TextoNormal"/>
      </w:pPr>
    </w:p>
    <w:p w:rsidR="00D06117" w:rsidRDefault="00D06117" w:rsidP="00D06117">
      <w:pPr>
        <w:pStyle w:val="TextoNormal"/>
      </w:pPr>
      <w:r>
        <w:t>Aduce la Junta de Andalucía que el concepto de “hacienda general” del que parten las citadas Sentencias ha sido superado en la doctrina constitucional lo que conduce a un concepto nuevo identificado con el de la “hacienda pública estatal” interconectado con los principios de coordinación (art. 156 CE), autonomía financiera de las Comunidades Autónomas (art. 157 CE) y suficiencia financiera de las Entidades locales (art. 142 CE). Dicho concepto sería, en su opinión, el desarrollado por la STC 233/1999, de 16 de diciembre, de la cual derivaría que para que el Estado pueda invocar frente a los específicos títulos competenciales autonómicos la competencia general que deriva del art. 149.1.14 CE es precisa la existencia de títulos legitimadores de su ejercicio, esto es, el principio de coordinación, o el principio de autonomía financiera de las Comunidades Autónomas para el ejercicio de sus competencias. Y prueba de ello es que si la competencia de hacienda general amparara al Estado, la aprobación del real decreto impugnado hubiera requerido el pronunciamiento del Consejo de Política Fiscal y Financiera, o la modificación de la Ley Orgánica de financiación de las Comunidades Autónomas, lo que en este caso no ha ocurrido.</w:t>
      </w:r>
    </w:p>
    <w:p w:rsidR="00D06117" w:rsidRDefault="00D06117" w:rsidP="00D06117">
      <w:pPr>
        <w:pStyle w:val="TextoNormal"/>
      </w:pPr>
    </w:p>
    <w:p w:rsidR="00D06117" w:rsidRDefault="00D06117" w:rsidP="00D06117">
      <w:pPr>
        <w:pStyle w:val="TextoNormal"/>
      </w:pPr>
      <w:r>
        <w:t>A mayor abundamiento considera, con cita de los Votos particulares antes mencionados, que ni siquiera es posible aducir la titularidad de un ingreso pues los procedentes de la lotería instantánea o presorteada corresponderían a un ente ajeno al Estado, cual es la ONCE, sin que sea argumento suficiente el que una corporación de Derecho público con fines de interés público se mantenga a partir de ingresos procedentes del juego para que pueda excluirse la competencia autonómica en esta materia, lo que pone de manifiesto lo contradictorio del argumento pues si la competencia estatal se justifica en cuanto “ingreso” de la Hacienda, el “no ingreso” no puede ser al mismo tiempo legitimador de la competencia debatida.</w:t>
      </w:r>
    </w:p>
    <w:p w:rsidR="00D06117" w:rsidRDefault="00D06117" w:rsidP="00D06117">
      <w:pPr>
        <w:pStyle w:val="TextoNormal"/>
      </w:pPr>
    </w:p>
    <w:p w:rsidR="00D06117" w:rsidRDefault="00D06117" w:rsidP="00D06117">
      <w:pPr>
        <w:pStyle w:val="TextoNormal"/>
      </w:pPr>
      <w:r>
        <w:t>En lo atinente a la atribución competencial al Estado sobre la base de la supraterritorialidad del fenómeno, invoca la representante de la Junta de Andalucía la doctrina contenida en la STC 102/1995, de 26 de junio, según la cual dicha supraterritorialidad no constituye ni configura título competencial alguno per se, y aduce la existencia de mecanismos de coordinación y cooperación que permitan compartimentar el fenómeno del juego, máxime cuando a dicha característica debe yuxtaponerse el interés supracomunitario que determinadas materias comportan por sí mismas, interés que la letrada autonómica niega en el presente supuesto, sin que valga la mera invocación por el Estado del interés general para que ello constituya un criterio válido de delimitación competencial.</w:t>
      </w:r>
    </w:p>
    <w:p w:rsidR="00D06117" w:rsidRDefault="00D06117" w:rsidP="00D06117">
      <w:pPr>
        <w:pStyle w:val="TextoNormal"/>
      </w:pPr>
    </w:p>
    <w:p w:rsidR="00D06117" w:rsidRDefault="00D06117" w:rsidP="00D06117">
      <w:pPr>
        <w:pStyle w:val="TextoNormal"/>
      </w:pPr>
      <w:r>
        <w:t xml:space="preserve">Tras estas consideraciones generales, la Letrada de la Junta de Andalucía pasa a analizar los cuatro artículos controvertidos. En cuanto al art.1, como quiera que autoriza a la ONCE para la comercialización de este tipo de lotería y establece su contenido, estaría articulando una especie de “servicio público” que no sería el juego sino el fin social al que sirve la ONCE, lo que entraría de lleno en el campo de la asistencia social. Si el mecanismo de la “repercusión directa o indirecta” o “afectación al ámbito del monopolio” es válido en orden a establecer la competencia del Estado ex art. 149.1.14 CE, podrá convenirse que tal criterio </w:t>
      </w:r>
      <w:r>
        <w:lastRenderedPageBreak/>
        <w:t>de imputación competencial también ha de ser válido para reconocer dicha actuación como propia de la competencia autonómica en materia de asistencia social. Estos mismos reproches se extienden al art. 2 en cuanto prevé el destino de los ingresos obtenidos con la explotación de la lotería a favor de la ONCE, siendo así que la determinación de la forma por la que puede nutrirse de ingresos una corporación de base asociativa incide directamente en la política de asistencia social de Andalucía.</w:t>
      </w:r>
    </w:p>
    <w:p w:rsidR="00D06117" w:rsidRDefault="00D06117" w:rsidP="00D06117">
      <w:pPr>
        <w:pStyle w:val="TextoNormal"/>
      </w:pPr>
    </w:p>
    <w:p w:rsidR="00D06117" w:rsidRDefault="00D06117" w:rsidP="00D06117">
      <w:pPr>
        <w:pStyle w:val="TextoNormal"/>
      </w:pPr>
      <w:r>
        <w:t>Respecto al art. 3 que fija las condiciones básicas y de gestión de la lotería instantánea atribuyendo a la ONCE la organización, dirección y explotación e, incluso, a su consejo general la libertad para adoptar decisiones comerciales, sostiene que afirmar que la competencia es del Estado porque afecta a la hacienda general supone una interpretación tan extensiva que, aplicada a otros títulos competenciales, desdibujaría el sistema constitucional de distribución de competencia.</w:t>
      </w:r>
    </w:p>
    <w:p w:rsidR="00D06117" w:rsidRDefault="00D06117" w:rsidP="00D06117">
      <w:pPr>
        <w:pStyle w:val="TextoNormal"/>
      </w:pPr>
    </w:p>
    <w:p w:rsidR="00D06117" w:rsidRDefault="00D06117" w:rsidP="00D06117">
      <w:pPr>
        <w:pStyle w:val="TextoNormal"/>
      </w:pPr>
      <w:r>
        <w:t>Sobre el art. 4, precepto que encomienda el control de la gestión de la lotería instantánea al consejo de protectorado de la ONCE, considera que se trata de actividades privadas que cumplen fines sociales que se insertan por su finalidad en el ámbito autonómico y que desarrollan actividades de competencia autonómica, que sólo se relacionan de modo mediato con la hacienda del Estado en su sentido más estricto</w:t>
      </w:r>
    </w:p>
    <w:p w:rsidR="00D06117" w:rsidRDefault="00D06117" w:rsidP="00D06117">
      <w:pPr>
        <w:pStyle w:val="TextoNormal"/>
      </w:pPr>
    </w:p>
    <w:p w:rsidR="00D06117" w:rsidRDefault="00D06117" w:rsidP="00D06117">
      <w:pPr>
        <w:pStyle w:val="TextoNormal"/>
      </w:pPr>
      <w:r>
        <w:t>Finaliza el escrito denunciando la conculcación por parte del Estado del principio de lealtad institucional, al haber obviado el real decreto impugnado todo parecer de las Comunidades Autónomas al respecto, sin intervención alguna en el procedimiento de elaboración de la citada norma.</w:t>
      </w:r>
    </w:p>
    <w:p w:rsidR="00D06117" w:rsidRDefault="00D06117" w:rsidP="00D06117">
      <w:pPr>
        <w:pStyle w:val="TextoNormal"/>
      </w:pPr>
    </w:p>
    <w:p w:rsidR="00D06117" w:rsidRDefault="00D06117" w:rsidP="00D06117">
      <w:pPr>
        <w:pStyle w:val="TextoNormal"/>
      </w:pPr>
      <w:r w:rsidRPr="00D06117">
        <w:rPr>
          <w:rStyle w:val="NumeroAFNegritaCaracter"/>
        </w:rPr>
        <w:t>2</w:t>
      </w:r>
      <w:r>
        <w:t>. Este Tribunal, mediante providencia de la Sección Primera de 25 de abril de 2006, admitió a trámite el conflicto positivo de competencia planteado por la Junta de Andalucía, acordando dar traslado de las actuaciones al Gobierno de la Nación, por conducto de su Presidente, al objeto de que, en el plazo de veinte días y bajo la representación procesal que señala el art. 82.2 de la Ley Orgánica del Tribunal Constitucional (LOTC), pudiera personarse en los autos y aportar cuantos documentos y alegaciones considerase convenientes. Se acordó asimismo comunicar la incoación del conflicto a la Sala Tercera del Tribunal Supremo, para el caso de encontrarse impugnado o se impugnare el referido real decreto, en cuyo caso se suspendería el curso del proceso hasta la decisión del conflicto. Igualmente, la citada providencia acordó la publicación de la incoación del conflicto en el “Boletín Oficial del Estado” y en el “Boletín Oficial de la Junta de Andalucía”.</w:t>
      </w:r>
    </w:p>
    <w:p w:rsidR="00D06117" w:rsidRDefault="00D06117" w:rsidP="00D06117">
      <w:pPr>
        <w:pStyle w:val="TextoNormal"/>
      </w:pPr>
    </w:p>
    <w:p w:rsidR="00D06117" w:rsidRDefault="00D06117" w:rsidP="00D06117">
      <w:pPr>
        <w:pStyle w:val="TextoNormal"/>
      </w:pPr>
      <w:r w:rsidRPr="00D06117">
        <w:rPr>
          <w:rStyle w:val="NumeroAFNegritaCaracter"/>
        </w:rPr>
        <w:t>3</w:t>
      </w:r>
      <w:r>
        <w:t>. El 30 de mayo de 2006, fue registrado de entrada escrito del Abogado del Estado en el que solicita la desestimación de la demanda, con consecuente declaración de competencia favorable al Estado.</w:t>
      </w:r>
    </w:p>
    <w:p w:rsidR="00D06117" w:rsidRDefault="00D06117" w:rsidP="00D06117">
      <w:pPr>
        <w:pStyle w:val="TextoNormal"/>
      </w:pPr>
    </w:p>
    <w:p w:rsidR="00D06117" w:rsidRDefault="00D06117" w:rsidP="00D06117">
      <w:pPr>
        <w:pStyle w:val="TextoNormal"/>
      </w:pPr>
      <w:r>
        <w:t>En el mismo, y tras transcribir la exposición de motivos y disposición derogatoria única del real decreto controvertido detalla la doctrina constitucional recogida, por todas, en la STC 171/1998, de 23 de julio, basada en la limitación territorial de las competencias autonómicas, la existencia de atribuciones estatales ligadas con el juego en general, el monopolio fiscal como manifestación del poder financiero del Estado y la intelección amplia del título hacienda general, más allá de los ingresos estrictamente tributarios. En suma, la com</w:t>
      </w:r>
      <w:r>
        <w:lastRenderedPageBreak/>
        <w:t>petencia estatal del artículo 149.1.14 CE trasciende, para el Abogado del Estado, la específica denominación de Lotería Nacional, abarcando todo lo que ésta significa como monopolio e institución históricamente definida. Del examen jurisprudencial citado, concluye la defensa del Estado la limitación de la competencia exclusiva autonómica a la organización de juegos y apuestas regionales, y la competencia estatal para establecer apuestas de ámbito nacional que constituyan recurso ordinario de su hacienda y conecten con el monopolio fiscal en virtud del título competencial sobre la hacienda general.</w:t>
      </w:r>
    </w:p>
    <w:p w:rsidR="00D06117" w:rsidRDefault="00D06117" w:rsidP="00D06117">
      <w:pPr>
        <w:pStyle w:val="TextoNormal"/>
      </w:pPr>
    </w:p>
    <w:p w:rsidR="00D06117" w:rsidRDefault="00D06117" w:rsidP="00D06117">
      <w:pPr>
        <w:pStyle w:val="TextoNormal"/>
      </w:pPr>
      <w:r>
        <w:t>Prosigue el Abogado del Estado refutando los argumentos de la demanda. Alega que la STC 233/1999, de 16 diciembre, no sienta un concepto de “hacienda general” como pretende la Letrada autonómica, pues en ella solo se analiza este título desde la perspectiva de la submateria de haciendas locales. Si, como pretende la demanda, la “hacienda general” sólo comprende la coordinación de las haciendas territoriales pero no la materia “hacienda estatal” ésta última quedaría sin ubicación específica. Así pues rechaza que exista un concepto de “hacienda estatal” diferenciado del de hacienda general, y analiza las SSTC 163/1994, y 164/1994, ambas de 26 de mayo, para concluir que el poder financiero estatal le habilita para establecer y gestionar las apuestas y juegos estatales que se configuren como recurso ordinario de su hacienda, más allá de la lotería nacional en su sentido tradicional.</w:t>
      </w:r>
    </w:p>
    <w:p w:rsidR="00D06117" w:rsidRDefault="00D06117" w:rsidP="00D06117">
      <w:pPr>
        <w:pStyle w:val="TextoNormal"/>
      </w:pPr>
    </w:p>
    <w:p w:rsidR="00D06117" w:rsidRDefault="00D06117" w:rsidP="00D06117">
      <w:pPr>
        <w:pStyle w:val="TextoNormal"/>
      </w:pPr>
      <w:r>
        <w:t>En lo atinente a la remisión, por la demanda autonómica, a los votos particulares para sustentar la competencia de la Junta de Andalucía en la materia, pone de manifiesto el carácter disidente de todo Voto particular pues, en palabras de la Abogacía del Estado, “siendo absolutamente respetables, no lograron convencer a la mayoría del Tribunal”.</w:t>
      </w:r>
    </w:p>
    <w:p w:rsidR="00D06117" w:rsidRDefault="00D06117" w:rsidP="00D06117">
      <w:pPr>
        <w:pStyle w:val="TextoNormal"/>
      </w:pPr>
    </w:p>
    <w:p w:rsidR="00D06117" w:rsidRDefault="00D06117" w:rsidP="00D06117">
      <w:pPr>
        <w:pStyle w:val="TextoNormal"/>
      </w:pPr>
      <w:r>
        <w:t>Sale al paso del argumento según el cual no es posible aducir la titularidad del ingreso para justificar la competencia estatal por corresponder a un ente ajeno, la ONCE, recordando que esta entidad es una corporación pública que desarrolla su actividad en todo el territorio español y que los ingresos del juego siguen siendo el medio económico indispensable y esencial para el logro de sus fines y que esta entidad tiene una especial vinculación con el Estado que ha determinado que sea éste el que deba establecer su régimen jurídico. El sorteo regulado en el real decreto impugnado tiene ámbito nacional y vendría a superponerse al de la Lotería en todas sus modalidades debiéndose entender, en consecuencia, dentro de la competencia estatal pues afecta al monopolio como rendimiento ordinario de la hacienda estatal, del mismo modo que otros juegos (STC 216/1994, de 14 de julio). Recuerda que el Tribunal tiene declarado (STC 164/1994, de 26 de mayo, FJ 3) que el denominador común de la lotería lo constituye ser un juego de azar que admite diversas modalidades y de ámbito nacional, características que reúne la lotería presorteada que regula el real decreto impugnado, sin que las diferencias técnicas que puedan existir y los aspectos comunes que puedan presentar con los demás sorteos puedan erigirse en elementos determinantes a efectos competenciales.</w:t>
      </w:r>
    </w:p>
    <w:p w:rsidR="00D06117" w:rsidRDefault="00D06117" w:rsidP="00D06117">
      <w:pPr>
        <w:pStyle w:val="TextoNormal"/>
      </w:pPr>
    </w:p>
    <w:p w:rsidR="00D06117" w:rsidRDefault="00D06117" w:rsidP="00D06117">
      <w:pPr>
        <w:pStyle w:val="TextoNormal"/>
      </w:pPr>
      <w:r>
        <w:t>Rechaza finalmente que la supraterritorialidad en cuanto a extensión territorial del juego sea lo que determina la competencia estatal, pues ésta se justifica porque el Estado la ejerce en nombre del interés general, sin perjuicio de que la supraterritorialidad o el carácter nacional del juego se tome en consideración como criterio para apreciar la conexión con el antiguo monopolio, dado el carácter nacional de éste.</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4</w:t>
      </w:r>
      <w:r>
        <w:t>. Mediante providencia de 19 de junio de 2012 se señaló para deliberación y votación de la presente Sentencia el 19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conflicto positivo de competencia es promovido por el Consejo de Gobierno de la Junta de Andalucía en relación con los artículos 1, 2, 3 y 4 del Real Decreto 1336/2005, de 11 de noviembre, por el que se autoriza a la Organización Nacional de Ciegos Españoles (ONCE) la explotación de una lotería instantánea o presorteada, y se sustenta en la reivindicación por la citada Comunidad Autónoma de su competencia exclusiva en materia de casinos, juegos y apuestas, con apoyo jurisprudencial en la STC 163/1994, de 26 de mayo y legal, en el art. 13.33 del Estatuto de Autonomía para Andalucía, en relación con el art. 149.3 CE.</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previo, hemos de analizar los efectos que pueda tener sobre la controversia el hecho de que algunos de los preceptos del Real Decreto 1336/ 2005 hayan sido modificados. En concreto el Real Decreto 1706/2011, de 18 de noviembre, da nueva redacción al art. 2 y a los apartados 3, 4 y 6 del art. 3. Tal y como tenemos reiteradamente señalado, por todas la STC 99/2012, de 8 de mayo, FJ 2 c), en las controversias de alcance competencial es necesario apreciar los efectos que tiene sobre el conflicto la entrada en vigor de nueva normativa reguladora de algunos de los aspectos en discusión, operación que debe realizarse atendiendo en cada caso a las circunstancias concretas y, ante todo, a la pervivencia de la controversia competencial, esto es,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Esto es, precisamente, lo que ocurre en este caso en que las modificaciones que ha sufrido la norma impugnada afectan únicamente a los conceptos a deducir de los ingresos que deberán ser afectados al cumplimiento de sus fines y a las condiciones en que deben adoptarse las decisiones comerciales por el consejo general de la ONCE, de modo que no tienen trascendencia alguna sobre la cuestión competencial planteada.</w:t>
      </w:r>
    </w:p>
    <w:p w:rsidR="00D06117" w:rsidRDefault="00D06117" w:rsidP="00D06117">
      <w:pPr>
        <w:pStyle w:val="TextoNormal"/>
      </w:pPr>
    </w:p>
    <w:p w:rsidR="00D06117" w:rsidRDefault="00D06117" w:rsidP="00D06117">
      <w:pPr>
        <w:pStyle w:val="TextoNormal"/>
      </w:pPr>
      <w:r w:rsidRPr="00D06117">
        <w:rPr>
          <w:rStyle w:val="NumeroAFNegritaCaracter"/>
        </w:rPr>
        <w:t>3</w:t>
      </w:r>
      <w:r>
        <w:t>. Asimismo, debemos precisar cuál debe ser el parámetro de control del presente recurso, pues resulta de aplicación nuestra doctrina sobre el ius superveniens, según la cual el control de las normas que incurren en un posible exceso competencial debe hacerse de acuerdo con las normas del bloque de la constitucionalidad vigentes en el momento de dictar Sentencia (STC 83/2012, de 18 de abril, FJ 2). Ello determina que nuestro pronunciamiento deba dictarse a la luz de la delimitación de competencias que deriva de la reforma del Estatuto de autonomía de Andalucía llevada a cabo por la Ley Orgánica 2/2007, de 19 de marzo.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El real decreto impugnado, como hemos sostenido recientemente en la STC 32/2012, de 15 de marzo, que resolvió un conflicto positivo de competencia en el que se impugnaba esta misma norma, debe encuadrarse en la materia juego y apuestas. En la Sentencia citada, que a su vez aplica la doctrina establecida en la STC 204/2002, de 31 de octubre, afirmamos que “la materia de juego, a pesar de no ser mencionada en los arts. 148.1 y 149.1 CE y en </w:t>
      </w:r>
      <w:r>
        <w:lastRenderedPageBreak/>
        <w:t>los Estatutos de Autonomía, ha sido atribuida a las Comunidades Autónomas bajo el uniforme título de ‘casinos, juegos y apuestas con exclusión de las Apuestas Mutuas Deportivo-Benéficas’, en sus respectivos Estatutos. [En consecuencia], de acuerdo con el art. 149.3 CE, y dado que en el art. 149.1 no se reserva expresamente al Estado dicha materia, cabe afirmar que corresponde a las Comunidades Autónomas, de acuerdo con su Estatuto de Autonomía, la competencia exclusiva sobre los casinos, juegos y apuestas, excepto las apuestas mutuas deportivo-benéficas (STC 52/1988, FJ 4), y que la misma comprende la de organizar y autorizar la celebración de juegos en el territorio de la Comunidad Autónoma (SSTC 163/1994, FJ 3; 164/1994, FJ 4), precisamente en dicho territorio; pero no, evidentemente, la de cualquier juego en todo el territorio nacional, puesto que los Estatutos de Autonomía limitan al territorio de la Comunidad el ámbito en el que ha de desenvolver sus competencias”.</w:t>
      </w:r>
    </w:p>
    <w:p w:rsidR="00D06117" w:rsidRDefault="00D06117" w:rsidP="00D06117">
      <w:pPr>
        <w:pStyle w:val="TextoNormal"/>
      </w:pPr>
    </w:p>
    <w:p w:rsidR="00D06117" w:rsidRDefault="00D06117" w:rsidP="00D06117">
      <w:pPr>
        <w:pStyle w:val="TextoNormal"/>
      </w:pPr>
      <w:r>
        <w:t>De ahí que la STC 32/2012, de 15 de marzo, FJ 3, afirmara también que “ni el silencio del art. 149.1 CE respecto al género juego, ni el hecho de que los Estatutos de Autonomía califiquen de exclusiva la competencia autonómica en cuanto a juegos y apuestas, puede interpretarse como determinante de un total desapoderamiento del Estado en la materia, pues ciertas actividades que bajo otros enunciados el art. 149.1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de 26 de mayo, FJ 4; 164/1994, de 26 de mayo, FJ 5; 216/1994, de 20 de julio, FJ 2; y 49/1995, de 16 de febrero, FJ 3)”.</w:t>
      </w:r>
    </w:p>
    <w:p w:rsidR="00D06117" w:rsidRDefault="00D06117" w:rsidP="00D06117">
      <w:pPr>
        <w:pStyle w:val="TextoNormal"/>
      </w:pPr>
    </w:p>
    <w:p w:rsidR="00D06117" w:rsidRDefault="00D06117" w:rsidP="00D06117">
      <w:pPr>
        <w:pStyle w:val="TextoNormal"/>
      </w:pPr>
      <w:r>
        <w:t>El art 81.1 del Estatuto de Autonomía de Andalucía (Ley Orgánica 2/2007, de 19 de marzo) establece que “[c]orresponde a la Comunidad Autónoma la competencia exclusiva en materia de juegos, apuestas y casinos, incluidas las modalidades por medios informáticos y telemáticos, cuando la actividad se desarrolle exclusivamente en Andalucía”, y el apartado segundo de este precepto estatutario añade que “[l]a autorización de nuevas modalidades de juego y apuestas de ámbito estatal, o bien la modificación de las existentes, requiere la deliberación en la Comisión Bilateral Junta de Andalucía-Estado prevista en el Título IX y el informe previo de la Junta de Andalucía”, por lo que, como señalamos en la STC 32/2012, de 15 de marzo, FJ 3, está reconociendo la existencia de modalidades y apuestas de ámbito estatal.</w:t>
      </w:r>
    </w:p>
    <w:p w:rsidR="00D06117" w:rsidRDefault="00D06117" w:rsidP="00D06117">
      <w:pPr>
        <w:pStyle w:val="TextoNormal"/>
      </w:pPr>
    </w:p>
    <w:p w:rsidR="00D06117" w:rsidRDefault="00D06117" w:rsidP="00D06117">
      <w:pPr>
        <w:pStyle w:val="TextoNormal"/>
      </w:pPr>
      <w:r>
        <w:t>Por otra parte, debe indicarse que, en contra de lo que sostiene la Junta de Andalucía, la norma recurrida no puede encuadrarse en la materia de asistencia social, pues los preceptos impugnados “no pretenden ni ordenar ni disponer regla alguna sobre las actividades de asistencia o protección social encomendadas y dispensadas”, tal y como afirmamos en la STC 171/1998, de 23 de julio, FJ 3, en la que también resolvíamos un conflicto de competencia en materia de juego y apuestas, y en el que también una de las partes pretendía fundamentar su competencia en el título competencial relativo a la asistencia social.</w:t>
      </w:r>
    </w:p>
    <w:p w:rsidR="00D06117" w:rsidRDefault="00D06117" w:rsidP="00D06117">
      <w:pPr>
        <w:pStyle w:val="TextoNormal"/>
      </w:pPr>
    </w:p>
    <w:p w:rsidR="00D06117" w:rsidRDefault="00D06117" w:rsidP="00D06117">
      <w:pPr>
        <w:pStyle w:val="TextoNormal"/>
      </w:pPr>
      <w:r w:rsidRPr="00D06117">
        <w:rPr>
          <w:rStyle w:val="NumeroAFNegritaCaracter"/>
        </w:rPr>
        <w:t>5</w:t>
      </w:r>
      <w:r>
        <w:t xml:space="preserve">. Resulta, por tanto, que como declaramos en la STC 32/20012, de 15 de marzo, FJ 4, en un supuesto análogo, “la competencia exclusiva autonómica comprende los supuestos de juegos que se desarrollen exclusivamente en Andalucía. Y este no es desde luego el caso del citado real decreto que justo comienza por precisar (art. 1) que la modalidad de lotería que establece es de ámbito nacional, lo que determina la competencia estatal sobre la </w:t>
      </w:r>
      <w:r>
        <w:lastRenderedPageBreak/>
        <w:t>misma”. De ahí que la citada STC 32/2012, de 15 de marzo, FJ 8 declarase que “no hay duda de que el Real Decreto 1336/2005 impugnado no menoscaba ni invade la competencia autonómica en materia de juego”.</w:t>
      </w:r>
    </w:p>
    <w:p w:rsidR="00D06117" w:rsidRDefault="00D06117" w:rsidP="00D06117">
      <w:pPr>
        <w:pStyle w:val="TextoNormal"/>
      </w:pPr>
    </w:p>
    <w:p w:rsidR="00D06117" w:rsidRDefault="00D06117" w:rsidP="00D06117">
      <w:pPr>
        <w:pStyle w:val="TextoNormal"/>
      </w:pPr>
      <w:r>
        <w:t>Procedente será por consecuencia la desestimación del presente conflicto.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conflicto positivo de competencia.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diecinueve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8" w:name="SENTENCIA_2012_135"/>
      <w:r>
        <w:lastRenderedPageBreak/>
        <w:t>SENTENCIA 135/2012, de 19 de junio de 2012</w:t>
      </w:r>
    </w:p>
    <w:bookmarkEnd w:id="138"/>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ECLI:ES:TC:2012:135</w:t>
      </w:r>
    </w:p>
    <w:p w:rsidR="00D06117" w:rsidRDefault="00D06117" w:rsidP="00D06117">
      <w:pPr>
        <w:pStyle w:val="SntesisDescriptiva"/>
      </w:pPr>
    </w:p>
    <w:p w:rsidR="00D06117" w:rsidRDefault="00D06117" w:rsidP="00D06117">
      <w:pPr>
        <w:pStyle w:val="SntesisDescriptiva"/>
      </w:pPr>
      <w:r>
        <w:t>Recurso de inconstitucionalidad 7745-2007. Interpuesto por el Consejo de Gobierno de la Comunidad de Madrid en relación con diversos preceptos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w:t>
      </w:r>
    </w:p>
    <w:p w:rsidR="00D06117" w:rsidRDefault="00D06117" w:rsidP="00D06117">
      <w:pPr>
        <w:pStyle w:val="SntesisDescriptiva"/>
      </w:pPr>
    </w:p>
    <w:p w:rsidR="00D06117" w:rsidRDefault="00D06117" w:rsidP="00D06117">
      <w:pPr>
        <w:pStyle w:val="SntesisAnaltica"/>
      </w:pPr>
      <w:r>
        <w:t>Competencias sobre ordenación general de la economía y bases del régimen energético; libertad de empresa y principio de interdicción de la arbitrariedad: validez del precepto legal según el cual las autorizaciones de construcción y explotación de instalaciones de distribución de gas natural han de otorgarse preferentemente a la empresa distribuidora de la zona, debiendo atenderse, en ausencia de ésta, a los principios de monopolio natural del transporte y la distribución, red única y realización al menor coste para el sistema gasista.</w:t>
      </w:r>
    </w:p>
    <w:p w:rsidR="00D06117" w:rsidRDefault="00D06117" w:rsidP="00D06117">
      <w:pPr>
        <w:pStyle w:val="SntesisAnaltica"/>
      </w:pPr>
    </w:p>
    <w:p w:rsidR="00D06117" w:rsidRDefault="00D06117" w:rsidP="00D06117">
      <w:pPr>
        <w:pStyle w:val="Extracto"/>
      </w:pPr>
      <w:r>
        <w:t>1.</w:t>
      </w:r>
      <w:r>
        <w:tab/>
        <w:t xml:space="preserve">El diferente tratamiento que el precepto establece entre las posibles empresas distribuidoras en función de que dispongan o no de autorización administrativa previa para una zona determinada no resulta arbitrario ni carente de finalidad, al perseguir que las empresas tengan que realizar unas menores inversiones y con ello lograr una menor carga económica para el consumidor final  [FJ 6]. </w:t>
      </w:r>
    </w:p>
    <w:p w:rsidR="00D06117" w:rsidRDefault="00D06117" w:rsidP="00D06117">
      <w:pPr>
        <w:pStyle w:val="Extracto"/>
      </w:pPr>
    </w:p>
    <w:p w:rsidR="00D06117" w:rsidRDefault="00D06117" w:rsidP="00D06117">
      <w:pPr>
        <w:pStyle w:val="Extracto"/>
      </w:pPr>
      <w:r>
        <w:t>2.</w:t>
      </w:r>
      <w:r>
        <w:tab/>
        <w:t>Desde la perspectiva de la arbitrariedad ningún reproche se puede hacer al precepto impugnado ya que el principio de preferencia que se establece en el mismo trata de primar la eficiencia y evitar que la redundancia de redes genere un perjuicio para el consumidor, que habría de hacer frente a los mayores costes que supondrían las nuevas inversiones [FJ 6].</w:t>
      </w:r>
    </w:p>
    <w:p w:rsidR="00D06117" w:rsidRDefault="00D06117" w:rsidP="00D06117">
      <w:pPr>
        <w:pStyle w:val="Extracto"/>
      </w:pPr>
    </w:p>
    <w:p w:rsidR="00D06117" w:rsidRDefault="00D06117" w:rsidP="00D06117">
      <w:pPr>
        <w:pStyle w:val="Extracto"/>
      </w:pPr>
      <w:r>
        <w:t>3.</w:t>
      </w:r>
      <w:r>
        <w:tab/>
        <w:t>Doctrina sobre el principio de interdicción de la arbitrariedad (SSTC 27/1981, 47/2005)  [FJ 6].</w:t>
      </w:r>
    </w:p>
    <w:p w:rsidR="00D06117" w:rsidRDefault="00D06117" w:rsidP="00D06117">
      <w:pPr>
        <w:pStyle w:val="Extracto"/>
      </w:pPr>
    </w:p>
    <w:p w:rsidR="00D06117" w:rsidRDefault="00D06117" w:rsidP="00D06117">
      <w:pPr>
        <w:pStyle w:val="Extracto"/>
      </w:pPr>
      <w:r>
        <w:t>4.</w:t>
      </w:r>
      <w:r>
        <w:tab/>
        <w:t>Corresponde al Estado, con carácter general, la competencia para regular la ordenación del sector energético y, dentro de éste, el subsector gasístico, mediante la aprobación de la legislación básica y a las Comunidades Autónomas las competencias de desarrollo normativo y ejecutiva, respetando las bases establecidas por el Estado [FJ 2].</w:t>
      </w:r>
    </w:p>
    <w:p w:rsidR="00D06117" w:rsidRDefault="00D06117" w:rsidP="00D06117">
      <w:pPr>
        <w:pStyle w:val="Extracto"/>
      </w:pPr>
    </w:p>
    <w:p w:rsidR="00D06117" w:rsidRDefault="00D06117" w:rsidP="00D06117">
      <w:pPr>
        <w:pStyle w:val="Extracto"/>
      </w:pPr>
      <w:r>
        <w:t>5.</w:t>
      </w:r>
      <w:r>
        <w:tab/>
        <w:t>Doctrina sobre el marco competencial del sector gasístico articulado entre los títulos competenciales recogidos en los arts. 149.1.13 CE –planificación general de la actividad económica– y 149.1.25 CE –régimen minero y energético– (SSTC 95/1986, 223/2000) [FJ 2].</w:t>
      </w:r>
    </w:p>
    <w:p w:rsidR="00D06117" w:rsidRDefault="00D06117" w:rsidP="00D06117">
      <w:pPr>
        <w:pStyle w:val="Extracto"/>
      </w:pPr>
    </w:p>
    <w:p w:rsidR="00D06117" w:rsidRDefault="00D06117" w:rsidP="00D06117">
      <w:pPr>
        <w:pStyle w:val="Extracto"/>
      </w:pPr>
      <w:r>
        <w:lastRenderedPageBreak/>
        <w:t>6.</w:t>
      </w:r>
      <w:r>
        <w:tab/>
        <w:t>Los principios básicos, estén o no formulados como tales, deberán poder deducirse racionalmente de la legislación vigente, debiendo las Cortes establecer qué es lo que haya de entenderse por básico y, en caso necesario, este Tribunal en su calidad de intérprete supremo de la Constitución (SSTC 32/1981, 1/1982)  [FJ 4].</w:t>
      </w:r>
    </w:p>
    <w:p w:rsidR="00D06117" w:rsidRDefault="00D06117" w:rsidP="00D06117">
      <w:pPr>
        <w:pStyle w:val="Extracto"/>
      </w:pPr>
    </w:p>
    <w:p w:rsidR="00D06117" w:rsidRDefault="00D06117" w:rsidP="00D06117">
      <w:pPr>
        <w:pStyle w:val="Extracto"/>
      </w:pPr>
      <w:r>
        <w:t>7.</w:t>
      </w:r>
      <w:r>
        <w:tab/>
        <w:t>Ha de considerarse como bases, o legislación básica, el común denominador normativo necesario para asegurar la unidad fundamental prevista por las normas del bloque de la constitucionalidad que establecen la distribución de competencias (SSTC 48/1988, 147/1991)  [FJ 4].</w:t>
      </w:r>
    </w:p>
    <w:p w:rsidR="00D06117" w:rsidRDefault="00D06117" w:rsidP="00D06117">
      <w:pPr>
        <w:pStyle w:val="Extracto"/>
      </w:pPr>
    </w:p>
    <w:p w:rsidR="00D06117" w:rsidRDefault="00D06117" w:rsidP="00D06117">
      <w:pPr>
        <w:pStyle w:val="Extracto"/>
      </w:pPr>
      <w:r>
        <w:t>8.</w:t>
      </w:r>
      <w:r>
        <w:tab/>
        <w:t>La legislación básica constituye un marco normativo unitario, de aplicación a todo el territorio nacional, dirigido a asegurar los intereses generales y dotado de estabilidad, a partir del cual cada Comunidad, en defensa de su propio interés, puede introducir las peculiaridades que estime convenientes dentro del marco competencial que le asigne su Estatuto (SSTC 1/1982, 147/1991) [FJ 4].</w:t>
      </w:r>
    </w:p>
    <w:p w:rsidR="00D06117" w:rsidRDefault="00D06117" w:rsidP="00D06117">
      <w:pPr>
        <w:pStyle w:val="Extracto"/>
      </w:pPr>
    </w:p>
    <w:p w:rsidR="00D06117" w:rsidRDefault="00D06117" w:rsidP="00D06117">
      <w:pPr>
        <w:pStyle w:val="Extracto"/>
      </w:pPr>
      <w:r>
        <w:t>9.</w:t>
      </w:r>
      <w:r>
        <w:tab/>
        <w:t>Se reconoce la posibilidad de que una determinada actividad ejecutiva sea calificada como básica cuando afecte a intereses supracomunitarios y venga justificada por medidas indispensables para la preservación de lo básico o para garantizar la consecución de fines inherentes a la regulación básica (SSTC 49/1988, 135/1992) [FJ 4].</w:t>
      </w:r>
    </w:p>
    <w:p w:rsidR="00D06117" w:rsidRDefault="00D06117" w:rsidP="00D06117">
      <w:pPr>
        <w:pStyle w:val="Extracto"/>
      </w:pPr>
    </w:p>
    <w:p w:rsidR="00D06117" w:rsidRDefault="00D06117" w:rsidP="00D06117">
      <w:pPr>
        <w:pStyle w:val="Extracto"/>
      </w:pPr>
      <w:r>
        <w:t>10.</w:t>
      </w:r>
      <w:r>
        <w:tab/>
        <w:t xml:space="preserve">La fijación por el Estado de criterios uniformes, a observar en todo el territorio nacional, de adjudicación de autorizaciones de construcción y explotación de instalaciones de distribución de gas constituye una norma básica, </w:t>
      </w:r>
      <w:r w:rsidRPr="00D06117">
        <w:rPr>
          <w:i/>
        </w:rPr>
        <w:t>ex</w:t>
      </w:r>
      <w:r>
        <w:t xml:space="preserve"> apartados 13 y 25 del art. 149.1 CE, que trata de evitar los desequilibrios, en el conjunto del sistema, a los que podría conducir la fijación de criterios unilaterales por las Comunidades Autónomas [FJ 4].</w:t>
      </w:r>
    </w:p>
    <w:p w:rsidR="00D06117" w:rsidRDefault="00D06117" w:rsidP="00D06117">
      <w:pPr>
        <w:pStyle w:val="Extracto"/>
      </w:pPr>
    </w:p>
    <w:p w:rsidR="00D06117" w:rsidRDefault="00D06117" w:rsidP="00D06117">
      <w:pPr>
        <w:pStyle w:val="Extracto"/>
      </w:pPr>
      <w:r>
        <w:t>11.</w:t>
      </w:r>
      <w:r>
        <w:tab/>
        <w:t>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(STC 18/2011) [FJ 5].</w:t>
      </w:r>
    </w:p>
    <w:p w:rsidR="00D06117" w:rsidRDefault="00D06117" w:rsidP="00D06117">
      <w:pPr>
        <w:pStyle w:val="Extracto"/>
      </w:pPr>
    </w:p>
    <w:p w:rsidR="00D06117" w:rsidRDefault="00D06117" w:rsidP="00D06117">
      <w:pPr>
        <w:pStyle w:val="Extracto"/>
      </w:pPr>
      <w:r>
        <w:t>12.</w:t>
      </w:r>
      <w:r>
        <w:tab/>
        <w:t>Doctrina sobre el derecho a la libertad de empresa (SSTC 37/1981, 112/2006, 18/2011) [FJ 5].</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lastRenderedPageBreak/>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7745-2007, interpuesto por la Comunidad de Madrid contra el apartado 20 del artículo único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en cuya virtud se modifica el apartado 7 del art. 73 de dicha Ley; y, asimismo, contra la disposición final primera de la misma Ley 12/2007, de 2 de julio. Ha intervenido el Abogado del Estado. Ha sido Ponente el Magistrado don Francisco José Hernando Santiago,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Con fecha 3 de octubre de 2007 tuvo entrada en el Registro General de este Tribunal Constitucional escrito del Letrado del Consejo de Gobierno de la Comunidad Autónoma de Madrid, en nombre y representación de la misma, interponiendo recurso de inconstitucionalidad contra el apartado 20 del artículo único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en cuya virtud se modifica el apartado 7 del art. 73 de dicha Ley; y, asimismo, contra la disposición final primera de la misma Ley 12/2007, de 2 de julio.</w:t>
      </w:r>
    </w:p>
    <w:p w:rsidR="00D06117" w:rsidRDefault="00D06117" w:rsidP="00D06117">
      <w:pPr>
        <w:pStyle w:val="TextoNormal"/>
      </w:pPr>
    </w:p>
    <w:p w:rsidR="00D06117" w:rsidRDefault="00D06117" w:rsidP="00D06117">
      <w:pPr>
        <w:pStyle w:val="TextoNormal"/>
      </w:pPr>
      <w:r w:rsidRPr="00D06117">
        <w:rPr>
          <w:rStyle w:val="NumeroAFNegritaCaracter"/>
        </w:rPr>
        <w:t>2</w:t>
      </w:r>
      <w:r>
        <w:t xml:space="preserve">. Con carácter preliminar, el escrito de interposición del recurso justifica el cumplimiento de los requisitos procesales para su interposición, con especial detenimiento en el relativo a la legitimación de la Comunidad Autónoma para interponer el recurso. Tras reproducir parcialmente las SSTC 96/2002, de 25 de abril y 68/2007, de 28 de marzo, afirma la conexión entre las competencias de la Comunidad de Madrid y los preceptos impugnados que se aprueban por el Estado de acuerdo con lo establecido en el art. 149.1.13 y 25 de la Constitución. Señala que en relación con dichos ámbitos la Comunidad de Madrid, de acuerdo con su Estatuto de Autonomía, tiene competencia exclusiva en materia de “instalaciones de producción, distribución y transporte de cualesquiera energía, cuando el transporte no salga de su territorio y su aprovechamiento no afecte a otra Comunidad” (art. 16.1.11), “fomento del desarrollo económico de la Comunidad de Madrid, dentro de los objetivos marcados por la política económica general” (art. 26.1.17), “ordenación y planificación de la actividad económica general” (art. 26.3.1.1), “industria, sin perjuicio de lo que determinen las normas del Estado por razones de seguridad, sanitarias o de interés militar y las normas relacionadas con las industrias que estén sujetas a la legislación de minas, hidrocarburos y energía nuclear” (art. 26.3.1.3) y, por último, en el marco de la legislación básica </w:t>
      </w:r>
      <w:r>
        <w:lastRenderedPageBreak/>
        <w:t>del Estado y, en su caso, en los términos que la misma establezca, corresponde a la Comunidad de Madrid el desarrollo legislativo, la potestad reglamentaria y la ejecución en materia de “régimen minero y energético” (art. 27.8). Así, el Estado al atribuir carácter básico al apartado 7 del art. 73 de la Ley 34/1998, de 7 de octubre, impide a la Comunidad Autónoma ejercer sus competencias de desarrollo normativo y ejecución, y de planificación económica en su ámbito territorial, vaciando, por tanto, las competencias autonómicas en la materia, por lo que considera que la Comunidad de Madrid está legitimada para interponer este recurso.</w:t>
      </w:r>
    </w:p>
    <w:p w:rsidR="00D06117" w:rsidRDefault="00D06117" w:rsidP="00D06117">
      <w:pPr>
        <w:pStyle w:val="TextoNormal"/>
      </w:pPr>
    </w:p>
    <w:p w:rsidR="00D06117" w:rsidRDefault="00D06117" w:rsidP="00D06117">
      <w:pPr>
        <w:pStyle w:val="TextoNormal"/>
      </w:pPr>
      <w:r w:rsidRPr="00D06117">
        <w:rPr>
          <w:rStyle w:val="NumeroAFNegritaCaracter"/>
        </w:rPr>
        <w:t>3</w:t>
      </w:r>
      <w:r>
        <w:t>. En relación con el fondo de la cuestión, alega, en primer lugar, que el precepto legal impugnado infringe el art. 149.1, reglas 13 y 25, CE. Así, señala que, en relación con el régimen jurídico de las autorizaciones de instalaciones de distribución de gas natural, la modificación operada por el apartado veinte del art. único de la Ley 12/2007, de 2 de julio, que tiene carácter básico en virtud de la disposición final primera de la misma Ley, ha cambiado sustancialmente el panorama anterior. La obligación de conceder las autorizaciones de construcción y explotación de instalaciones de distribución de gas natural preferentemente a la empresa que ya cuente con autorización administrativa previa para la zona y, en su defecto, los criterios que se establecen (monopolio natural, red única, menor coste, etc.) conducen a una situación en la que, a partir de ahora, en la mayoría de los casos se deberán otorgar tales autorizaciones a los distribuidores que ya cuentan con autorización previa procedente de la extinción de las antiguas concesiones y su consiguiente transformación en autorizaciones ope legis, perpetuando de este modo el escenario de distribución gasística existente bajo el régimen anterior a la actual Ley del sector de hidrocarburos, hecho que se aprecia notoriamente en el caso del municipio de Madrid y la empresa Gas Natural.</w:t>
      </w:r>
    </w:p>
    <w:p w:rsidR="00D06117" w:rsidRDefault="00D06117" w:rsidP="00D06117">
      <w:pPr>
        <w:pStyle w:val="TextoNormal"/>
      </w:pPr>
    </w:p>
    <w:p w:rsidR="00D06117" w:rsidRDefault="00D06117" w:rsidP="00D06117">
      <w:pPr>
        <w:pStyle w:val="TextoNormal"/>
      </w:pPr>
      <w:r>
        <w:t>A mayor abundamiento recuerda el Letrado de la Comunidad de Madrid que en un ámbito igualmente regulado y, además, calificado como servicio esencial, como es el eléctrico, se concede a las Comunidades Autónomas un margen mayor de actuación en relación con los criterios de concesión de las autorizaciones.</w:t>
      </w:r>
    </w:p>
    <w:p w:rsidR="00D06117" w:rsidRDefault="00D06117" w:rsidP="00D06117">
      <w:pPr>
        <w:pStyle w:val="TextoNormal"/>
      </w:pPr>
    </w:p>
    <w:p w:rsidR="00D06117" w:rsidRDefault="00D06117" w:rsidP="00D06117">
      <w:pPr>
        <w:pStyle w:val="TextoNormal"/>
      </w:pPr>
      <w:r>
        <w:t xml:space="preserve">A continuación manifiesta que la nueva redacción del art. 73.7 de la Ley 34/1998, infringe el art. 149.1.13 y 25 CE por cuanto, dado su carácter básico, al establecer los criterios para otorgar autorizaciones de construcción y explotación excede del concepto material de bases estatales que viene acogiendo el Tribunal Constitucional, agotando las posibilidades que, con arreglo a sus propias competencias, ostentan las Comunidades Autónomas de desarrollo y complemento de la ley con arreglo a las peculiaridades del subsector en su ámbito territorial. En este sentido recuerda la doctrina constitucional sobre el concepto material de bases estatales y, aplicando esta doctrina a este caso, afirma que el nuevo contenido del art. 73.7 de la Ley del sector de hidrocarburos no es materialmente básico en los términos transcritos, sino que, traspasando los límites del interés general, entra a regular aspectos cuya concreción debería corresponder a las Comunidades Autónomas atendiendo a las particularidades concurrentes. A su juicio, el legislador estatal debió permitir a las Comunidades Autónomas definir los criterios objetivos con arreglo a los cuales se concederían las autorizaciones de construcción y explotación de instalaciones. Al establecer que tal autorización se conceda preferentemente al distribuidor autorizado en la zona y, sólo caso de no existir éste, sean de aplicación los restantes criterios, se está impidiendo indirectamente que las Comunidades Autónomas otorguen autorizaciones en concurrencia, al deberse otorgar tal autorización en la mayoría de los casos a los distribuidores cuyas autorizaciones para las </w:t>
      </w:r>
      <w:r>
        <w:lastRenderedPageBreak/>
        <w:t>zonas de distribución procedían de las antiguas concesiones, perpetuando, por tanto, en lo sustancial, el panorama de distribución que existía en el régimen anterior a la Ley general de hidrocarburos.</w:t>
      </w:r>
    </w:p>
    <w:p w:rsidR="00D06117" w:rsidRDefault="00D06117" w:rsidP="00D06117">
      <w:pPr>
        <w:pStyle w:val="TextoNormal"/>
      </w:pPr>
    </w:p>
    <w:p w:rsidR="00D06117" w:rsidRDefault="00D06117" w:rsidP="00D06117">
      <w:pPr>
        <w:pStyle w:val="TextoNormal"/>
      </w:pPr>
      <w:r>
        <w:t>Para el Letrado de la Comunidad de Madrid la norma impugnada también vulnera la legislación comunitaria que dice estar trasponiendo y recuerda la doctrina constitucional según la cual el ingreso de España en la Unión Europea y la consiguiente transposición de las normas de Derecho comunitario derivado no alteran las reglas constitucionales de distribución de competencias.</w:t>
      </w:r>
    </w:p>
    <w:p w:rsidR="00D06117" w:rsidRDefault="00D06117" w:rsidP="00D06117">
      <w:pPr>
        <w:pStyle w:val="TextoNormal"/>
      </w:pPr>
    </w:p>
    <w:p w:rsidR="00D06117" w:rsidRDefault="00D06117" w:rsidP="00D06117">
      <w:pPr>
        <w:pStyle w:val="TextoNormal"/>
      </w:pPr>
      <w:r w:rsidRPr="00D06117">
        <w:rPr>
          <w:rStyle w:val="NumeroAFNegritaCaracter"/>
        </w:rPr>
        <w:t>4</w:t>
      </w:r>
      <w:r>
        <w:t>. En segundo lugar, considera también el Letrado de la Comunidad de Madrid que la nueva redacción dada al apartado 7 del art. 73 de la Ley 34/1998, de 7 de octubre, conculca los arts. 38 y 9.3 CE. Tras recordar la doctrina constitucional sobre ambos artículos señala que el precepto impugnado, en la medida en que no permite concurrir en igualdad de condiciones a todas las empresas distribuidoras para obtener autorización de construcción o explotación, en detrimento de aquella que tuviese ya otorgada la autorización en la zona, impide sostener la actividad empresarial en libertad. Asimismo considera que dicha norma conculca también el principio de interdicción de la arbitrariedad, pues no se limita a plasmar una opción política del legislador, sino que contiene una auténtica discriminación que afecta a las empresas distribuidoras que no ostenten la condición de autorizadas en la zona, y ello sin justificación alguna de índole técnica que permita defender tal medida.</w:t>
      </w:r>
    </w:p>
    <w:p w:rsidR="00D06117" w:rsidRDefault="00D06117" w:rsidP="00D06117">
      <w:pPr>
        <w:pStyle w:val="TextoNormal"/>
      </w:pPr>
    </w:p>
    <w:p w:rsidR="00D06117" w:rsidRDefault="00D06117" w:rsidP="00D06117">
      <w:pPr>
        <w:pStyle w:val="TextoNormal"/>
      </w:pPr>
      <w:r>
        <w:t>Por todo ello solicita que se declare la inconstitucionalidad y, consiguientemente, la nulidad del apartado 7 del art. 73 de la Ley 34/1998, de 7 de octubre, del sector de hidrocarburos y de la disposición final primera de la misma Ley, en la medida en que confiere carácter básico al precepto anterior, en la redacción dada a los mismos por el apartado veinte del art. único de la Ley 12/2007, de 2 de julio.</w:t>
      </w:r>
    </w:p>
    <w:p w:rsidR="00D06117" w:rsidRDefault="00D06117" w:rsidP="00D06117">
      <w:pPr>
        <w:pStyle w:val="TextoNormal"/>
      </w:pPr>
    </w:p>
    <w:p w:rsidR="00D06117" w:rsidRDefault="00D06117" w:rsidP="00D06117">
      <w:pPr>
        <w:pStyle w:val="TextoNormal"/>
      </w:pPr>
      <w:r w:rsidRPr="00D06117">
        <w:rPr>
          <w:rStyle w:val="NumeroAFNegritaCaracter"/>
        </w:rPr>
        <w:t>5</w:t>
      </w:r>
      <w:r>
        <w:t>. Mediante providencia de la Sección Cuarta de este Tribunal de 23 de octubre de 2007 se admitió a trámite el recurso de inconstitucionalidad y se acordó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recurso en el “Boletín Oficial del Estado”.</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mediante escrito registrado el 31 de octubre de 2007, se personó en el procedimiento, solicitando prórroga, por el máximo legal, del plazo concedido para formular alegaciones. El Pleno, por providencia de fecha 5 de noviembre de 2007, acordó incorporar a las actuaciones el escrito presentado por el Abogado del Estado, teniéndole por personado en la representación que legalmente ostenta, prorrogando en ocho días más el plazo inicialmente concedido por providencia de 23 de octubre de 2007.</w:t>
      </w:r>
    </w:p>
    <w:p w:rsidR="00D06117" w:rsidRDefault="00D06117" w:rsidP="00D06117">
      <w:pPr>
        <w:pStyle w:val="TextoNormal"/>
      </w:pPr>
    </w:p>
    <w:p w:rsidR="00D06117" w:rsidRDefault="00D06117" w:rsidP="00D06117">
      <w:pPr>
        <w:pStyle w:val="TextoNormal"/>
      </w:pPr>
      <w:r>
        <w:t>El día 3 de diciembre de 2007 presentó su escrito de alegaciones en el que se opone a las pretensiones deducidas por las razones que, resumidamente, se recogen a continuación.</w:t>
      </w:r>
    </w:p>
    <w:p w:rsidR="00D06117" w:rsidRDefault="00D06117" w:rsidP="00D06117">
      <w:pPr>
        <w:pStyle w:val="TextoNormal"/>
      </w:pPr>
    </w:p>
    <w:p w:rsidR="00D06117" w:rsidRDefault="00D06117" w:rsidP="00D06117">
      <w:pPr>
        <w:pStyle w:val="TextoNormal"/>
      </w:pPr>
      <w:r>
        <w:lastRenderedPageBreak/>
        <w:t>a) El Abogado del Estado comienza su escrito exponiendo cuál es el objeto del recurso y, dado que el mismo se desenvuelve en el ámbito de una materia cuya competencia administrativa es compartida por la Administración autonómica y la estatal, examina los títulos competenciales en base a los cuales se ha de repartir. Tras dicho examen concluye afirmando que la contienda competencial gira, en realidad, más que respecto de la inclusión del precepto cuestionado en un determinado ámbito material, en torno a su posible calificación como bases del régimen de la materia de encuadramiento, resultando de las alegaciones de la Comunidad que las materias aludidas en cuanto a dicho encuadramiento consisten, en suma, en las de “instalación de producción, distribución y transporte de cualesquiera energía”, “ordenación y planificación de la actividad económica regional”, “industria” y “régimen energético”. En cualquier caso, a su juicio, las alegaciones de la Comunidad de Madrid alusivas al encuadramiento concreto del precepto en cada una de dichas materias se limitan a una invocación genérica de los títulos referidos, sin ninguna concreción específica sobre su proyección en el precepto objeto de recurso.</w:t>
      </w:r>
    </w:p>
    <w:p w:rsidR="00D06117" w:rsidRDefault="00D06117" w:rsidP="00D06117">
      <w:pPr>
        <w:pStyle w:val="TextoNormal"/>
      </w:pPr>
    </w:p>
    <w:p w:rsidR="00D06117" w:rsidRDefault="00D06117" w:rsidP="00D06117">
      <w:pPr>
        <w:pStyle w:val="TextoNormal"/>
      </w:pPr>
      <w:r>
        <w:t>Para el Abogado del Estado, en línea con lo declarado en la STC 223/2000, y al objeto de precisar dicha calificación material, resulta inapropiado su encuadramiento en la materia de “industria” (art. 26.3.1.3 Estatuto de Autonomía de Madrid: EAM) y en el título a ella referente, al resultar su conexión con la misma lejana y mediata. Por el contrario, considera adecuada la inclusión del precepto recurrido en la materia definida en el art. 26.1.11 EAM, siendo quizás la previsión más próxima a aquél la alusiva a distribución, no así a producción o transporte. Asimismo, el encuadramiento del precepto en la materia “régimen energético” (arts. 149.1.25 CE y 27.8 EAM), se considera posible por el Abogado del Estado, pues el gas natural constituye fuente energética.</w:t>
      </w:r>
    </w:p>
    <w:p w:rsidR="00D06117" w:rsidRDefault="00D06117" w:rsidP="00D06117">
      <w:pPr>
        <w:pStyle w:val="TextoNormal"/>
      </w:pPr>
    </w:p>
    <w:p w:rsidR="00D06117" w:rsidRDefault="00D06117" w:rsidP="00D06117">
      <w:pPr>
        <w:pStyle w:val="TextoNormal"/>
      </w:pPr>
      <w:r>
        <w:t>Señala a continuación que, conforme a la doctrina sentada por este Tribunal en la STC 197/1996, cuando corresponde al Estado la titularidad de la competencia para dictar la normativa básica en materia de planificación general de la economía, así como la de un sector económico determinado, como es el energético y dentro de éste el gasístico, es posible que el Estado defina un modelo general del sector económico correspondiente y regule las medidas o acciones singulares que sean necesarias para alcanzar los fines propuestos en el correspondiente sector.</w:t>
      </w:r>
    </w:p>
    <w:p w:rsidR="00D06117" w:rsidRDefault="00D06117" w:rsidP="00D06117">
      <w:pPr>
        <w:pStyle w:val="TextoNormal"/>
      </w:pPr>
    </w:p>
    <w:p w:rsidR="00D06117" w:rsidRDefault="00D06117" w:rsidP="00D06117">
      <w:pPr>
        <w:pStyle w:val="TextoNormal"/>
      </w:pPr>
      <w:r>
        <w:t>En consecuencia, a su entender, resulta que en el presente caso corresponde al Estado la competencia para regular la ordenación del sector energético, y dentro de éste el subsector gasístico, y todas aquellas actuaciones necesarias para alcanzar los fines propuestos en esa regulación; y a la Comunidad de Madrid corresponden las competencias de desarrollo normativo y ejecutiva, respetando las bases establecidas por el Estado.</w:t>
      </w:r>
    </w:p>
    <w:p w:rsidR="00D06117" w:rsidRDefault="00D06117" w:rsidP="00D06117">
      <w:pPr>
        <w:pStyle w:val="TextoNormal"/>
      </w:pPr>
    </w:p>
    <w:p w:rsidR="00D06117" w:rsidRDefault="00D06117" w:rsidP="00D06117">
      <w:pPr>
        <w:pStyle w:val="TextoNormal"/>
      </w:pPr>
      <w:r>
        <w:t>b) Una vez fijados los ámbitos materiales de encuadramiento y precisado el alcance de los títulos del Estado, el Abogado del Estado analiza la integración del precepto recurrido en el concepto de normativa básica y para ello analiza, en primer lugar, el sentido general de la modificación que contiene la Ley 12/2007, insertándola en el contexto normativo a que corresponde.</w:t>
      </w:r>
    </w:p>
    <w:p w:rsidR="00D06117" w:rsidRDefault="00D06117" w:rsidP="00D06117">
      <w:pPr>
        <w:pStyle w:val="TextoNormal"/>
      </w:pPr>
    </w:p>
    <w:p w:rsidR="00D06117" w:rsidRDefault="00D06117" w:rsidP="00D06117">
      <w:pPr>
        <w:pStyle w:val="TextoNormal"/>
      </w:pPr>
      <w:r>
        <w:t xml:space="preserve">Señala el Abogado del Estado que tanto el ordenamiento jurídico comunitario como el nacional establecen una regulación destinada a favorecer el monopolio natural en la construcción de la red-distribución y a fomentar la competencia en el acceso y utilización de la </w:t>
      </w:r>
      <w:r>
        <w:lastRenderedPageBreak/>
        <w:t>red-comercialización o suministro de gas al cliente final, utilizando las infraestructuras del distribuidor. Añade que el monopolio natural se traduce en que donde previamente existe una red o “tubo” no debiera construirse otro. De esta forma, si una compañía distribuidora ha construido una red para abastecer de gas a un municipio iría contra el monopolio natural que otra compañía construyera la suya propia, de manera que quien pretenda suministrar gas debiera aprovechar la red ya existente. Recuerda el Abogado del Estado que éste es un modelo aplicado a todos los sectores económicos en que existe una red única que han de poder utilizar varios operadores y que en la elaboración de este principio de monopolio natural aparecen como antecedentes la Ley 34/1998, del sector de hidrocarburos, la Directiva 2003/55/CE, del Parlamento Europeo y del Consejo de 26 de junio de 2003, sobre normas comunes para el mercado interior del gas natural y el Real Decreto-ley 5/2005, de 11 de marzo, de reformas urgentes para el impulso a la productividad y para la mejora de la contratación pública.</w:t>
      </w:r>
    </w:p>
    <w:p w:rsidR="00D06117" w:rsidRDefault="00D06117" w:rsidP="00D06117">
      <w:pPr>
        <w:pStyle w:val="TextoNormal"/>
      </w:pPr>
    </w:p>
    <w:p w:rsidR="00D06117" w:rsidRDefault="00D06117" w:rsidP="00D06117">
      <w:pPr>
        <w:pStyle w:val="TextoNormal"/>
      </w:pPr>
      <w:r>
        <w:t>En definitiva, afirma el Abogado del Estado que por razones de eficiencia y economía, ínsitas en la aplicación del monopolio natural, se trata de favorecer que el distribuidor que tiene instalaciones en una zona, la extienda al resto de la misma. Existe una competencia absoluta, objetiva y transparente para seleccionar el distribuidor que tiene derecho a gasificar una nueva zona; y una vez se designe el distribuidor que ha de gasificar una zona, la preferencia que al mismo se le otorga limita en cierto modo la entrada de nuevos distribuidores en dicha zona, sin perjuicio del derecho que toda empresa interesada tiene para utilizar en condiciones de igualdad las infraestructuras de los distribuidores.</w:t>
      </w:r>
    </w:p>
    <w:p w:rsidR="00D06117" w:rsidRDefault="00D06117" w:rsidP="00D06117">
      <w:pPr>
        <w:pStyle w:val="TextoNormal"/>
      </w:pPr>
    </w:p>
    <w:p w:rsidR="00D06117" w:rsidRDefault="00D06117" w:rsidP="00D06117">
      <w:pPr>
        <w:pStyle w:val="TextoNormal"/>
      </w:pPr>
      <w:r>
        <w:t>c) Tras analizar el monopolio natural en las instalaciones de distribución de gas natural el Abogado del Estado examina la configuración estatal del sistema económico integrado del sector de gas natural. Para el Abogado del Estado estamos ante un supuesto típico de ejercicio de competencias básicas para la ordenación de un sector económico que requiere de una gestión única. Así, señala que en el sector de gas natural las actividades de transporte y distribución son actividades reguladas, cuyo régimen económico está determinado por una retribución fijada por el Ministerio de Industria, Comercio y Turismo de acuerdo con los criterios establecidos en el Real Decreto 949/2001, de 3 de agosto, por el que se regula el acceso de terceros a las instalaciones gasistas y se establece un sistema económico integrado del sector de gas natural. El Ministerio de Industria, Comercio y Turismo, basándose en los criterios fijados en el art. 15 del Real Decreto 949/2001, será quien fije la retribución de las empresas que realicen las actividades reguladas de transporte o distribución. Una vez determinada la cantidad necesaria para la retribución de estas empresas, y con una estimación de la demanda prevista, la Administración establecerá las tarifas, peajes y cánones que deben pagar los usuarios de las instalaciones y los consumidores a tarifa, con el fin de recaudar lo suficiente para cubrir dichas retribuciones. Es decir, indica el Abogado del Estado, el sistema económico integrado supone que las inversiones realizadas por todas las empresas reguladas tienen una repercusión directa en las tarifas que pagan todos los usuarios del gas natural.</w:t>
      </w:r>
    </w:p>
    <w:p w:rsidR="00D06117" w:rsidRDefault="00D06117" w:rsidP="00D06117">
      <w:pPr>
        <w:pStyle w:val="TextoNormal"/>
      </w:pPr>
    </w:p>
    <w:p w:rsidR="00D06117" w:rsidRDefault="00D06117" w:rsidP="00D06117">
      <w:pPr>
        <w:pStyle w:val="TextoNormal"/>
      </w:pPr>
      <w:r>
        <w:t xml:space="preserve">d) Por lo que se refiere ya a los preceptos contra los que de dirige el recurso de inconstitucionalidad, señala el Abogado del Estado que del tenor literal del apartado 7 del art. 73 de la Ley del sector de hidrocarburos, se desprende que tan sólo trata de establecer una preferencia, no una obligación de otorgar la autorización al distribuidor de zona. El término “preferentemente” implica la posibilidad de que la adjudicación sea a favor de otra empresa, </w:t>
      </w:r>
      <w:r>
        <w:lastRenderedPageBreak/>
        <w:t>siempre que se haya tenido en cuenta la oferta del distribuidor de la zona y siempre que se haya ponderado, antes del otorgamiento, la ventaja objetiva indudable que para el sistema venga a suponer ser distribuidor de la zona. Para el Abogado del Estado la nueva redacción del art. 73.7 de la Ley del sector de hidrocarburos se limita a concretar el principio del monopolio natural, admitido pacíficamente por la legislación comunitaria y nacional, introduciendo, entre los criterios a tener en cuenta para la concesión de autorizaciones, la preferencia por el distribuidor de la zona. De esta forma, a su juicio, el Estado, al establecer un criterio de adjudicación de obligatoria ponderación en tanto afecta al conjunto del sistema retributivo, se limita a ejercitar su competencia para fijar las bases de la planificación general de la actividad económica en el ámbito del sector gasístico.</w:t>
      </w:r>
    </w:p>
    <w:p w:rsidR="00D06117" w:rsidRDefault="00D06117" w:rsidP="00D06117">
      <w:pPr>
        <w:pStyle w:val="TextoNormal"/>
      </w:pPr>
    </w:p>
    <w:p w:rsidR="00D06117" w:rsidRDefault="00D06117" w:rsidP="00D06117">
      <w:pPr>
        <w:pStyle w:val="TextoNormal"/>
      </w:pPr>
      <w:r>
        <w:t>Sobre la posibilidad de que determinada actividad ejecutiva sea calificada como “básica”, señala que las autorizaciones de construcción y explotación de instalaciones de distribución afectan, por sí mismas, a la ordenación de la economía nacional (art. 149.1.13 CE) y de ahí deriva, precisamente, su consideración como básicas. La existencia de un criterio uniforme y centralizado para su otorgamiento justifica que así sea. Indica que los criterios que se fijen para otorgar las autorizaciones es evidente que van a producir consecuencias en el régimen económico nacional de suministro de combustibles gaseosos. A su juicio, si la Ley ha optado por un sistema económico integrado en el que las inversiones que lleven a cabo las empresas encargadas de las actividades de transporte y distribución van a repercutirse directamente en las tarifas que satisfacen los usuarios del gas natural, la gestión que requiere este esquema debe extenderse no solo a su funcionamiento normal sino también a las medidas excepcionales que se adopten y tengan influencia en los costes de transporte y distribución del gas natural. Por ello, a su entender, si estas desviaciones en los costes se van a financiar con cargo al sistema “nacional”, será necesario que se produzca una unidad de gestión que evite desequilibrios o desigualdades impuestas unilateralmente por una de las zonas sobre el total del sistema. En consecuencia, señala que la competencia de las Comunidades Autónomas en materia de otorgamiento de autorizaciones de distribución no puede alcanzar a la definición de los criterios generales que se han de tener en cuenta en el momento de su otorgamiento y compete al Estado, en su función de ordenación general de la actividad económica, garantizar una serie de criterios uniformes a observar en dicho otorgamiento que sean de aplicación en todo el territorio nacional. Añade que si bien la Comunidad Autónoma de Madrid puede aprobar una orden que regule la concurrencia, lo que no puede hacer es aplicar el principio de concurrencia a unos supuestos en los que el Estado, al igual que la normativa comunitaria, considera más adecuado, por motivos de eficiencia, que haya un solo distribuidor (monopolio natural), al ser el propio Estado quien soporta los efectos económicos de esa decisión.</w:t>
      </w:r>
    </w:p>
    <w:p w:rsidR="00D06117" w:rsidRDefault="00D06117" w:rsidP="00D06117">
      <w:pPr>
        <w:pStyle w:val="TextoNormal"/>
      </w:pPr>
    </w:p>
    <w:p w:rsidR="00D06117" w:rsidRDefault="00D06117" w:rsidP="00D06117">
      <w:pPr>
        <w:pStyle w:val="TextoNormal"/>
      </w:pPr>
      <w:r>
        <w:t>e) Por lo que se refiere a la vulneración del Derecho comunitario, señala el Abogado del Estado que esta alegación carece de todo fundamento en este recurso cuyo ámbito debe quedar reducido al enjuiciamiento constitucional de la modificación producida por la Ley 12/2007 en la Ley del sector de hidrocarburos. No obstante lo señalado, se opone a dicha alegación recordando la doctrina de este Tribunal que afirma que la normativa comunitaria nunca puede formar parte del marco de constitucionalidad, de modo que no puede alterar el orden constitucional de competencias, ni por ello puede servir nunca para justificar el ejercicio o abandono de las mismas.</w:t>
      </w:r>
    </w:p>
    <w:p w:rsidR="00D06117" w:rsidRDefault="00D06117" w:rsidP="00D06117">
      <w:pPr>
        <w:pStyle w:val="TextoNormal"/>
      </w:pPr>
    </w:p>
    <w:p w:rsidR="00D06117" w:rsidRDefault="00D06117" w:rsidP="00D06117">
      <w:pPr>
        <w:pStyle w:val="TextoNormal"/>
      </w:pPr>
      <w:r>
        <w:lastRenderedPageBreak/>
        <w:t>f) Por último, en relación con la vulneración de los arts. 38 y 9.3 CE, señala el Abogado del Estado que con el art. 73.7 de la Ley del sector de hidrocarburos el legislador no pretende limitar o impedir la competencia sino evitar que la supresión absoluta del principio del monopolio natural produzca un aumento de costes que perjudique el funcionamiento del mercado incrementando el precio final a pagar por el consumidor. Enumera diversas Sentencias de este Tribunal sobre el derecho fundamental previsto en el art. 38 CE, de las que deduce que la libertad de empresa puede, y debe, estar regulada por reglas que disciplinen, proporcionada y razonablemente, el mercado y, para defender a terceros y a derechos constitucionalmente protegidos, puede estar sometida a control y autorización administrativa. Asimismo, considera que el art. 73.7 de la Ley del sector de hidrocarburos no vulnera el principio de la interdicción de la arbitrariedad de los poderes públicos (art. 9.3 CE) porque ni la medida adoptada establece una discriminación arbitraria, ni carece de una finalidad razonable. La fijación de los criterios a tener en cuenta en el otorgamiento de las autorizaciones de construcción y explotación de instalaciones de distribución es, a su juicio, una opción del legislador estatal y, si bien su decisión pudiera llegar a ser objeto de discusión técnica, ello no es suficiente para configurar un caso de arbitrariedad legislativa ni, en consecuencia, un supuesto de inconstitucionalidad.</w:t>
      </w:r>
    </w:p>
    <w:p w:rsidR="00D06117" w:rsidRDefault="00D06117" w:rsidP="00D06117">
      <w:pPr>
        <w:pStyle w:val="TextoNormal"/>
      </w:pPr>
    </w:p>
    <w:p w:rsidR="00D06117" w:rsidRDefault="00D06117" w:rsidP="00D06117">
      <w:pPr>
        <w:pStyle w:val="TextoNormal"/>
      </w:pPr>
      <w:r>
        <w:t>Por todo lo señalado, solicita que se dicte Sentencia declarando la plena constitucionalidad del apartado veinte del art. único y de la disposición final primera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w:t>
      </w:r>
    </w:p>
    <w:p w:rsidR="00D06117" w:rsidRDefault="00D06117" w:rsidP="00D06117">
      <w:pPr>
        <w:pStyle w:val="TextoNormal"/>
      </w:pPr>
    </w:p>
    <w:p w:rsidR="00D06117" w:rsidRDefault="00D06117" w:rsidP="00D06117">
      <w:pPr>
        <w:pStyle w:val="TextoNormal"/>
      </w:pPr>
      <w:r w:rsidRPr="00D06117">
        <w:rPr>
          <w:rStyle w:val="NumeroAFNegritaCaracter"/>
        </w:rPr>
        <w:t>7</w:t>
      </w:r>
      <w:r>
        <w:t>. Por providencia de 19 de junio de 2012 se señaló para deliberación y fallo de esta Sentencia el día 19 del mismo mes y año, trámite que ha finalizado en el día de hoy.</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presente recurso de inconstitucionalidad interpuesto por el Consejo de Gobierno de la Comunidad de Madrid se dirige contra la nueva redacción que el art. único. 20,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otorga al apartado 7 del art. 73 de la Ley 34/1998, de 7 de octubre, del sector de hidrocarburos y contra la disposición final primera de la misma Ley 12/2007, de 2 de julio, en cuanto atribuye a dicho apartado el carácter de básico al amparo de los títulos competenciales recogidos en los números 13 y 25 del art. 149.1 CE.</w:t>
      </w:r>
    </w:p>
    <w:p w:rsidR="00D06117" w:rsidRDefault="00D06117" w:rsidP="00D06117">
      <w:pPr>
        <w:pStyle w:val="TextoNormal"/>
      </w:pPr>
    </w:p>
    <w:p w:rsidR="00D06117" w:rsidRDefault="00D06117" w:rsidP="00D06117">
      <w:pPr>
        <w:pStyle w:val="TextoNormal"/>
      </w:pPr>
      <w:r>
        <w:t>El artículo único.20, de la Ley 12/2007, de 2 de julio, da nueva redacción al art. 73.7 de la Ley 34/1998, de 7 de octubre, del sector de hidrocarburos, en los siguientes términos:</w:t>
      </w:r>
    </w:p>
    <w:p w:rsidR="00D06117" w:rsidRDefault="00D06117" w:rsidP="00D06117">
      <w:pPr>
        <w:pStyle w:val="TextoNormal"/>
      </w:pPr>
    </w:p>
    <w:p w:rsidR="00D06117" w:rsidRDefault="00D06117" w:rsidP="00D06117">
      <w:pPr>
        <w:pStyle w:val="TextoNormal"/>
      </w:pPr>
      <w:r>
        <w:t>“Las autorizaciones de construcción y explotación de instalaciones de distribución deberán ser otorgadas preferentemente a la empresa distribuidora de la zona. En caso de no existir distribuidor en la zona, se atenderá a los principios de monopolio natural del transporte y la distribución, red única y de realización al menor coste para el sistema gasista.”</w:t>
      </w:r>
    </w:p>
    <w:p w:rsidR="00D06117" w:rsidRDefault="00D06117" w:rsidP="00D06117">
      <w:pPr>
        <w:pStyle w:val="TextoNormal"/>
      </w:pPr>
    </w:p>
    <w:p w:rsidR="00D06117" w:rsidRDefault="00D06117" w:rsidP="00D06117">
      <w:pPr>
        <w:pStyle w:val="TextoNormal"/>
      </w:pPr>
      <w:r>
        <w:t>Por su parte, la disposición final primera de la Ley 12/2007 establece:</w:t>
      </w:r>
    </w:p>
    <w:p w:rsidR="00D06117" w:rsidRDefault="00D06117" w:rsidP="00D06117">
      <w:pPr>
        <w:pStyle w:val="TextoNormal"/>
      </w:pPr>
    </w:p>
    <w:p w:rsidR="00D06117" w:rsidRDefault="00D06117" w:rsidP="00D06117">
      <w:pPr>
        <w:pStyle w:val="TextoNormal"/>
      </w:pPr>
      <w:r>
        <w:t>“La presente Ley tiene carácter básico, de acuerdo con lo establecido en el artículo 149.1.13 y 25 de la Constitución.”</w:t>
      </w:r>
    </w:p>
    <w:p w:rsidR="00D06117" w:rsidRDefault="00D06117" w:rsidP="00D06117">
      <w:pPr>
        <w:pStyle w:val="TextoNormal"/>
      </w:pPr>
    </w:p>
    <w:p w:rsidR="00D06117" w:rsidRDefault="00D06117" w:rsidP="00D06117">
      <w:pPr>
        <w:pStyle w:val="TextoNormal"/>
      </w:pPr>
      <w:r>
        <w:t>La Comunidad de Madrid considera que el establecimiento en el apartado 7 del art. 73 de los criterios para otorgar autorizaciones de construcción y explotación de instalaciones de distribución de gas natural excede del concepto material de bases estatales que viene acogiendo este Tribunal Constitucional y agota las posibilidades que, con arreglo a su propias competencias, ostentan las Comunidades Autónomas sobre desarrollo y complemento de la legislación básica, con arreglo a las peculiaridades del subsector gasístico en su ámbito territorial. Por otra parte, se afirma que el mencionado precepto conculca también los arts. 38 y 9.3 CE.</w:t>
      </w:r>
    </w:p>
    <w:p w:rsidR="00D06117" w:rsidRDefault="00D06117" w:rsidP="00D06117">
      <w:pPr>
        <w:pStyle w:val="TextoNormal"/>
      </w:pPr>
    </w:p>
    <w:p w:rsidR="00D06117" w:rsidRDefault="00D06117" w:rsidP="00D06117">
      <w:pPr>
        <w:pStyle w:val="TextoNormal"/>
      </w:pPr>
      <w:r>
        <w:t>El Abogado del Estado se opone al anterior planteamiento al entender que el Estado, al establecer un criterio de adjudicación de obligatoria ponderación en tanto afecta al conjunto del sistema de retribución, se limita a ejercitar su competencia para fijar las bases de la planificación general de la actividad económica en el ámbito del sector gasístico. Asimismo, considera que el precepto controvertido, al establecer una limitación proporcionada y razonable dirigida a garantizar el monopolio natural en la distribución del gas natural no puede ser tachado de inconstitucional, sin que el mismo contenga una medida arbitraria o carente de una finalidad razonable.</w:t>
      </w:r>
    </w:p>
    <w:p w:rsidR="00D06117" w:rsidRDefault="00D06117" w:rsidP="00D06117">
      <w:pPr>
        <w:pStyle w:val="TextoNormal"/>
      </w:pPr>
    </w:p>
    <w:p w:rsidR="00D06117" w:rsidRDefault="00D06117" w:rsidP="00D06117">
      <w:pPr>
        <w:pStyle w:val="TextoNormal"/>
      </w:pPr>
      <w:r w:rsidRPr="00D06117">
        <w:rPr>
          <w:rStyle w:val="NumeroAFNegritaCaracter"/>
        </w:rPr>
        <w:t>2</w:t>
      </w:r>
      <w:r>
        <w:t>. Con carácter previo, en respuesta a la alegación de la Comunidad de Madrid acerca de la falta de adecuación de los preceptos impugnados al Derecho comunitario, debemos precisar, como tantas veces hemos hecho,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(así, STC 41/2002, de 25 de febrero, FJ 2).</w:t>
      </w:r>
    </w:p>
    <w:p w:rsidR="00D06117" w:rsidRDefault="00D06117" w:rsidP="00D06117">
      <w:pPr>
        <w:pStyle w:val="TextoNormal"/>
      </w:pPr>
    </w:p>
    <w:p w:rsidR="00D06117" w:rsidRDefault="00D06117" w:rsidP="00D06117">
      <w:pPr>
        <w:pStyle w:val="TextoNormal"/>
      </w:pPr>
      <w:r>
        <w:t>Efectuada esta precisión debemos señalar que, como ambas partes coinciden, el objeto del presente recurso de inconstitucionalidad debe enmarcarse en el sistema constitucional y estatutario de distribución de competencias en materia de “régimen energético” (art. 149.1.25 CE) y “bases y coordinación de la planificación general de la actividad económica” (art. 149.1.13 CE).</w:t>
      </w:r>
    </w:p>
    <w:p w:rsidR="00D06117" w:rsidRDefault="00D06117" w:rsidP="00D06117">
      <w:pPr>
        <w:pStyle w:val="TextoNormal"/>
      </w:pPr>
    </w:p>
    <w:p w:rsidR="00D06117" w:rsidRDefault="00D06117" w:rsidP="00D06117">
      <w:pPr>
        <w:pStyle w:val="TextoNormal"/>
      </w:pPr>
      <w:r>
        <w:t>En relación con este marco competencial, es preciso recordar que la STC 197/1996, de 28 de noviembre, cuya doctrina ha sido reiterada por la STC 223/2000, de 21 de septiembre (FJ 5), ambas en relación con el sector petrolero, ha fijado las reglas de articulación en materia energética entre los títulos competenciales recogidos en los arts. 149.1.13 y 149.1.25 CE, en los siguientes términos:</w:t>
      </w:r>
    </w:p>
    <w:p w:rsidR="00D06117" w:rsidRDefault="00D06117" w:rsidP="00D06117">
      <w:pPr>
        <w:pStyle w:val="TextoNormal"/>
      </w:pPr>
    </w:p>
    <w:p w:rsidR="00D06117" w:rsidRDefault="00D06117" w:rsidP="00D06117">
      <w:pPr>
        <w:pStyle w:val="TextoNormal"/>
      </w:pPr>
      <w:r>
        <w:t xml:space="preserve">“[N]o podría afirmarse con carácter general, y menos aún absoluto, que en un sector tan importante para el desarrollo de la actividad económica en general como el del petróleo [y mutatis mutandis el gasístico] —de ahí sin duda la concurrencia de una pluralidad de títulos competenciales—, las competencias específicas, por ejemplo, en materia energética, hayan </w:t>
      </w:r>
      <w:r>
        <w:lastRenderedPageBreak/>
        <w:t>de prevalecer necesariamente y en todo 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[entiéndase también el del gas natural]— han de ejercerse conjunta y armónicamente, cada cual dentro de su respectivo ámbito material de actuación, que será preciso delimitar en cada caso. Convendrá recordar, en efecto, que este Tribunal ha declarado reiteradamente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fundamento jurídico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[o gasístico], no sólo las genéricas competencias relativas a las bases y coordinación de la planificación general de la actividad económica, sino también las más específicas de ordenación del sector energético, referentes a las bases del régimen del mismo. ... De otro lado, no obstante ser ello así será conveniente, en aras de una mayor clarificación del orden competencial constitucionalmente establecido, no tener por equivalentes o intercambiables el título genérico relativo a planificación económica y el específico referente a la ordenación de un sector aun en el supuesto en que ambos pertenezcan a un mismo titular, como aquí ocurre. Pues cuando se trata de reconocer o negar carácter básico a un concreto precepto legal, será preciso determinar en cada caso si este opera realmente, por ejemplo, en el ámbito de la planificación económica, o bien, también por ejemplo, en el del régimen energético. Sin olvidar, finalmente, que la competencia estatal en cuanto a planificación económica ex art. 149.1.13 CE —y en ello difiere de la relativa a régimen energético ex art. 149.1.25 CE— no se agota en las bases, sino que comprende además la ‘coordinación’ en tal materia.” (FJ 4)</w:t>
      </w:r>
    </w:p>
    <w:p w:rsidR="00D06117" w:rsidRDefault="00D06117" w:rsidP="00D06117">
      <w:pPr>
        <w:pStyle w:val="TextoNormal"/>
      </w:pPr>
    </w:p>
    <w:p w:rsidR="00D06117" w:rsidRDefault="00D06117" w:rsidP="00D06117">
      <w:pPr>
        <w:pStyle w:val="TextoNormal"/>
      </w:pPr>
      <w:r>
        <w:t>Por tanto, con carácter general es evidente que corresponde al Estado la competencia para regular la ordenación del sector energético, y dentro de éste el subsector gasístico, mediante la aprobación de la legislación básica; y a las Comunidades Autónomas corresponden las competencias de desarrollo normativo y ejecutiva, respetando las bases establecidas por el Estado.</w:t>
      </w:r>
    </w:p>
    <w:p w:rsidR="00D06117" w:rsidRDefault="00D06117" w:rsidP="00D06117">
      <w:pPr>
        <w:pStyle w:val="TextoNormal"/>
      </w:pPr>
    </w:p>
    <w:p w:rsidR="00D06117" w:rsidRDefault="00D06117" w:rsidP="00D06117">
      <w:pPr>
        <w:pStyle w:val="TextoNormal"/>
      </w:pPr>
      <w:r w:rsidRPr="00D06117">
        <w:rPr>
          <w:rStyle w:val="NumeroAFNegritaCaracter"/>
        </w:rPr>
        <w:t>3</w:t>
      </w:r>
      <w:r>
        <w:t xml:space="preserve">. Para poder dar respuesta a las cuestiones planteadas resulta conveniente analizar la evolución legislativa que ha sufrido la materia y su régimen jurídico actual. La Ley 34/1998, de 7 de octubre, del sector de hidrocarburos y sus disposiciones normativas de desarrollo, establecieron el régimen jurídico de las actividades de transporte, distribución, almacenamiento, regasificación y suministro de los sujetos que intervienen en el sistema gasista, de acuerdo con lo dispuesto en la Directiva 98/30/CE del Parlamento Europeo y del Consejo de 22 de junio de 1998, relativa a normas comunes para el mercado interior del gas natural; </w:t>
      </w:r>
      <w:r>
        <w:lastRenderedPageBreak/>
        <w:t>y definieron claramente las funciones y responsabilidades de todos los agentes que intervienen en el sistema gasista. La experiencia adquirida con dicha Directiva permitió identificar el acceso a la red, el acceso al almacenamiento, las cuestiones de tarificación, la interoperabilidad de sistemas y los distintos grados de apertura de los mercados entre Estados miembros como los principales obstáculos para la realización de un mercado interior plenamente operativo y competitivo. Por ello, como señala el preámbulo de la Ley 12/2007, de 2 de julio, por la que se modifica la Ley 34/1998, de 7 de octubre, del sector de hidrocarburos, la Directiva 2003/55/CE del Parlamento Europeo y del Consejo de 26 de junio de 2003 estableció nuevas normas comunes para completar el mercado interior del gas natural y derogó la Directiva 98/30/CE. Así, entre los principales aspectos que contempla la citada Directiva Europea 2003/55/CE destacan las obligaciones que los Estados podrán imponer a las empresas que operan en el sector del gas natural para proteger el interés económico general, las medidas de protección del consumidor que pueden referirse a la regularidad, a la calidad y al precio de los suministros, la supervisión de la seguridad de suministro, la obligatoriedad del establecimiento de normas técnicas, la designación y funciones de los gestores de redes de transporte o de distribución, y la posibilidad de explotación combinada de ambas redes, así como la organización del acceso a las redes.</w:t>
      </w:r>
    </w:p>
    <w:p w:rsidR="00D06117" w:rsidRDefault="00D06117" w:rsidP="00D06117">
      <w:pPr>
        <w:pStyle w:val="TextoNormal"/>
      </w:pPr>
    </w:p>
    <w:p w:rsidR="00D06117" w:rsidRDefault="00D06117" w:rsidP="00D06117">
      <w:pPr>
        <w:pStyle w:val="TextoNormal"/>
      </w:pPr>
      <w:r>
        <w:t>La Directiva 2003/55/CE obligó a adaptar la Ley 34/1998, de 7 de octubre, del sector de hidrocarburos, a su contenido y para ello se aprobó la Ley 12/2007, de 2 de julio, por la que se modifica la mencionada Ley 34/1998, de 7 de octubre. Como afirma el preámbulo de la norma, “las obligaciones de separación jurídica en el mercado liberalizado de las actividades de transporte, distribución, regasificación o almacenamiento por una parte, de las actividades de producción o suministro de gas natural, por otra, y la obligación de separación funcional que impone la Directiva 2003/55/CE, exige la adecuación a dicha Directiva del Título IV de la Ley 34/1998 sobre ordenación del suministro de gases combustibles por canalización”. Y precisamente con el fin de “adaptar el régimen económico del sector a la nueva situación en la que son los comercializadores los únicos agentes que realizan el suministro en condiciones de libre competencia, con las excepciones necesarias para el suministrador de último recurso” procede la Ley 12/2007 a realizar las modificaciones necesarias en el capítulo V de la Ley 34/1998, en el que se inserta el art. 73.7, objeto de impugnación.</w:t>
      </w:r>
    </w:p>
    <w:p w:rsidR="00D06117" w:rsidRDefault="00D06117" w:rsidP="00D06117">
      <w:pPr>
        <w:pStyle w:val="TextoNormal"/>
      </w:pPr>
    </w:p>
    <w:p w:rsidR="00D06117" w:rsidRDefault="00D06117" w:rsidP="00D06117">
      <w:pPr>
        <w:pStyle w:val="TextoNormal"/>
      </w:pPr>
      <w:r>
        <w:t>Por lo que se refiere específicamente a la autorización de instalaciones de distribución de gas a las que hace referencia el precepto impugnado, debemos destacar que con anterioridad a la Ley 34/1998, de 7 de octubre, del sector de hidrocarburos, la distribución de gas se organizaba por medio de concesiones administrativas que, como tales, otorgaban a su titular el derecho a aprovechar en exclusiva el servicio público objeto de concesión dentro del término municipal al que se refería la misma. Tras la Ley 34/1998, se pasó a un régimen de autorizaciones donde podían coexistir en una misma zona diversas distribuidoras. En este sentido, la redacción del apartado 7 del art. 73 de la Ley 34/1998 era la siguiente: “Las autorizaciones de construcción y explotación de instalaciones de distribución podrán ser otorgadas mediante un procedimiento que asegure la concurrencia, promovido y resuelto por la Administración competente.”</w:t>
      </w:r>
    </w:p>
    <w:p w:rsidR="00D06117" w:rsidRDefault="00D06117" w:rsidP="00D06117">
      <w:pPr>
        <w:pStyle w:val="TextoNormal"/>
      </w:pPr>
    </w:p>
    <w:p w:rsidR="00D06117" w:rsidRDefault="00D06117" w:rsidP="00D06117">
      <w:pPr>
        <w:pStyle w:val="TextoNormal"/>
      </w:pPr>
      <w:r>
        <w:t xml:space="preserve">Posteriormente, el Real Decreto-ley 5/2005, de 11 de marzo, de reformas urgentes para el impulso a la productividad y para la mejora de la contratación pública, introdujo una nueva disposición adicional vigésima tercera en la Ley 34/1998, que consagró el principio de distribuidor exclusivo de la zona. Según dicha disposición, cuya redacción se mantiene </w:t>
      </w:r>
      <w:r>
        <w:lastRenderedPageBreak/>
        <w:t>actualmente en los mismos términos: “Sobre la zona de distribución de gas natural de una autorización administrativa no podrán concederse nuevas autorizaciones para la construcción de instalaciones de distribución, debiendo cumplir las obligaciones de servicio de interés general y extensión de las redes, impuestas en la legislación y en la propia autorización administrativa. Todo ello sin perjuicio de lo dispuesto en el artículo 78.” La exposición de motivos del Real Decreto-ley 5/2005 justificó la decisión de sentar el principio de exclusividad en la voluntad de eliminar prácticas ineficientes en el ámbito de la distribución de gas, pues es evidente que la coexistencia de varios distribuidores en un mismo ámbito territorial puede comportar la existencia de instalaciones redundantes.</w:t>
      </w:r>
    </w:p>
    <w:p w:rsidR="00D06117" w:rsidRDefault="00D06117" w:rsidP="00D06117">
      <w:pPr>
        <w:pStyle w:val="TextoNormal"/>
      </w:pPr>
    </w:p>
    <w:p w:rsidR="00D06117" w:rsidRDefault="00D06117" w:rsidP="00D06117">
      <w:pPr>
        <w:pStyle w:val="TextoNormal"/>
      </w:pPr>
      <w:r>
        <w:t>La Ley 12/2007, de 2 de julio, mantuvo el principio de exclusividad consagrado en la disposición adicional vigésima tercera de la Ley 34/1998, pero dio nueva redacción al apartado 7 del art. 73 de la Ley 34/1998, sentando además el principio de preferencia a favor del distribuidor de la zona.</w:t>
      </w:r>
    </w:p>
    <w:p w:rsidR="00D06117" w:rsidRDefault="00D06117" w:rsidP="00D06117">
      <w:pPr>
        <w:pStyle w:val="TextoNormal"/>
      </w:pPr>
    </w:p>
    <w:p w:rsidR="00D06117" w:rsidRDefault="00D06117" w:rsidP="00D06117">
      <w:pPr>
        <w:pStyle w:val="TextoNormal"/>
      </w:pPr>
      <w:r>
        <w:t>Por último, debemos tener presente que con el apartado 7 del art. 73, al igual que con la disposición adicional vigésima tercera de la Ley 34/1998, la legislación española ha hecho suyo un criterio que ya viene recogido, en lo que se refiere al gas natural, en la Directiva 2003/55/CE, del Parlamento Europeo y del Consejo, de 26 de junio de 2003, sobre normas comunes para el mercado interior del gas natural. Así, su art. 4.4, bajo el título de “procedimiento de autorización”, viene a consagrar el principio de monopolio natural, al establecer que “[s]in perjuicio de lo dispuesto en el artículo 24, a los efectos del desarrollo de zonas en las que el suministro sea reciente y de la eficacia del funcionamiento general, los Estados miembros podrán denegar nuevas autorizaciones para la construcción y explotación de redes de gasoductos de distribución en una zona determinada, una vez que se hayan construido o se haya propuesto la construcción de dichas redes de gasoductos en la citada zona y cuando no esté saturada la capacidad existente o propuesta.”</w:t>
      </w:r>
    </w:p>
    <w:p w:rsidR="00D06117" w:rsidRDefault="00D06117" w:rsidP="00D06117">
      <w:pPr>
        <w:pStyle w:val="TextoNormal"/>
      </w:pPr>
    </w:p>
    <w:p w:rsidR="00D06117" w:rsidRDefault="00D06117" w:rsidP="00D06117">
      <w:pPr>
        <w:pStyle w:val="TextoNormal"/>
      </w:pPr>
      <w:r w:rsidRPr="00D06117">
        <w:rPr>
          <w:rStyle w:val="NumeroAFNegritaCaracter"/>
        </w:rPr>
        <w:t>4</w:t>
      </w:r>
      <w:r>
        <w:t>. Conforme a las consideraciones generales expuestas, procede a continuación examinar las concretas alegaciones de la Comunidad de Madrid. Así, en primer lugar, considera que los criterios del nuevo art. 73.7, establecidos con carácter básico de acuerdo con lo establecido en el art. 149.1.13 y 25 CE, y aplicables al otorgamiento de autorizaciones de construcción y explotación de instalaciones de distribución exceden del concepto material de bases derivado de la doctrina constitucional, puesto que agotan las posibilidades que, con arreglo a sus propias competencias, ostenta la Comunidad de Madrid para desarrollar y complementar la Ley teniendo en cuenta las peculiaridades del sector del gas natural en su ámbito territorial. Como consecuencia de ello, su impugnación se extiende también a la disposición final primera de la Ley 12/2007, en la medida en que atribuye el carácter de básico a dicho precepto.</w:t>
      </w:r>
    </w:p>
    <w:p w:rsidR="00D06117" w:rsidRDefault="00D06117" w:rsidP="00D06117">
      <w:pPr>
        <w:pStyle w:val="TextoNormal"/>
      </w:pPr>
    </w:p>
    <w:p w:rsidR="00D06117" w:rsidRDefault="00D06117" w:rsidP="00D06117">
      <w:pPr>
        <w:pStyle w:val="TextoNormal"/>
      </w:pPr>
      <w:r>
        <w:t>Por lo que se refiere a la noción de bases o de normas básicas hemos señalado que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de 28 de julio, FJ 6; y 1/1982, de 28 de enero, FJ 1).</w:t>
      </w:r>
    </w:p>
    <w:p w:rsidR="00D06117" w:rsidRDefault="00D06117" w:rsidP="00D06117">
      <w:pPr>
        <w:pStyle w:val="TextoNormal"/>
      </w:pPr>
    </w:p>
    <w:p w:rsidR="00D06117" w:rsidRDefault="00D06117" w:rsidP="00D06117">
      <w:pPr>
        <w:pStyle w:val="TextoNormal"/>
      </w:pPr>
      <w:r>
        <w:lastRenderedPageBreak/>
        <w:t>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(STC 80/1988, de 28 de abril, FJ 5), cabe agregar que lo que ha de considerarse como bases o legislación básica es “el común denominador normativo necesario para asegurar la unidad fundamental prevista por las normas del bloque de la constitucionalidad que establecen la distribución de competencias” (STC 48/1988, de 22 de marzo, FJ 3). Esto es, un marco normativo unitario, de aplicación a todo el territorio nacional (STC 147/1991, de 4 de julio, FJ 4), dirigido a asegurar los intereses generales y dotado de estabilidad —ya que con las bases se atiende a aspectos más estructurales que coyunturales (STC 1/1982, de 28 de enero, FJ 1)— a partir del cual “pueda cada Comunidad, en defensa de su propio interés, introducir las peculiaridades que estime convenientes dentro del marco competencial que en la materia correspondiente le asigne su Estatuto” (STC 49/1988, de 22 de marzo, FJ 16).</w:t>
      </w:r>
    </w:p>
    <w:p w:rsidR="00D06117" w:rsidRDefault="00D06117" w:rsidP="00D06117">
      <w:pPr>
        <w:pStyle w:val="TextoNormal"/>
      </w:pPr>
    </w:p>
    <w:p w:rsidR="00D06117" w:rsidRDefault="00D06117" w:rsidP="00D06117">
      <w:pPr>
        <w:pStyle w:val="TextoNormal"/>
      </w:pPr>
      <w:r>
        <w:t>Tampoco podemos olvidar que este Tribunal ha reconocido la posibilidad de que determinada actividad ejecutiva sea calificada como “básica”, cuando dicha actividad afecta a intereses supracomunitarios y viene justificada por medidas indispensables para la preservación de lo básico o para garantizar la consecución de fines inherentes a la regulación básica (SSTC 49/1988, de 22 de marzo, FJ 32; y 135/1992, de 5 de octubre, FJ 3).</w:t>
      </w:r>
    </w:p>
    <w:p w:rsidR="00D06117" w:rsidRDefault="00D06117" w:rsidP="00D06117">
      <w:pPr>
        <w:pStyle w:val="TextoNormal"/>
      </w:pPr>
    </w:p>
    <w:p w:rsidR="00D06117" w:rsidRDefault="00D06117" w:rsidP="00D06117">
      <w:pPr>
        <w:pStyle w:val="TextoNormal"/>
      </w:pPr>
      <w:r>
        <w:t>Como regla general, y de acuerdo con la doctrina expuesta, las bases deben garantizar la existencia en todo el Estado de un mínimo común denominador normativo dirigido a asegurar los intereses generales. En el caso concreto aquí examinado, los intereses generales que persigue la modificación de la normativa estatal por la Ley 12/2007 vienen señalados en el preámbulo de la ley y derivan de la necesidad de adaptarse a la Directiva 2003/55/CE con la finalidad de conseguir un mercado interior de gas natural plenamente liberalizado del que se pueda derivar una mayor competencia, reducción de precios y mejora en la calidad del servicio al consumidor final.</w:t>
      </w:r>
    </w:p>
    <w:p w:rsidR="00D06117" w:rsidRDefault="00D06117" w:rsidP="00D06117">
      <w:pPr>
        <w:pStyle w:val="TextoNormal"/>
      </w:pPr>
    </w:p>
    <w:p w:rsidR="00D06117" w:rsidRDefault="00D06117" w:rsidP="00D06117">
      <w:pPr>
        <w:pStyle w:val="TextoNormal"/>
      </w:pPr>
      <w:r>
        <w:t>El art. 73.7 se refiere a las autorizaciones de construcción y explotación de instalaciones de distribución de gas natural. Se consideran instalaciones de distribución de gas natural “los gasoductos con presión máxima de diseño igual o inferior a 16 bares y aquellos otros que, con independencia de su presión máxima de diseño, tengan por objeto conducir el gas a un único consumidor, partiendo de un gasoducto de la red básica de transporte secundario” (art. 73.1 Ley 34/1998). La construcción, modificación, explotación y cierre de las instalaciones de distribución de gas natural, con independencia de su destino o uso, estarán sujetas a autorización administrativa previa. Las autorizaciones serán otorgadas por la Administración competente. Así, de conformidad con lo previsto en el art. 3.2 de la Ley 34/1998, corresponde al Estado autorizar las instalaciones de distribución de gas cuando salgan del ámbito territorial de una Comunidad Autónoma; en caso contrario la competencia será autonómica. En todo caso, sea cual sea la autoridad competente para conceder la autorización, el art. 73.7 establece unos criterios de valoración aplicables con carácter general para la concesión de las correspondientes autorizaciones de construcción y explotación de instalaciones de distribución de gas. Según dichos criterios, las autorizaciones deberán ser otorgadas preferentemente a la empresa distribuidora de la zona y, en caso de no existir distribuidor en la zona, se atenderá a los principios de monopolio natural del transporte y la distribución, red única y realización al menor coste para el sistema gasista.</w:t>
      </w:r>
    </w:p>
    <w:p w:rsidR="00D06117" w:rsidRDefault="00D06117" w:rsidP="00D06117">
      <w:pPr>
        <w:pStyle w:val="TextoNormal"/>
      </w:pPr>
    </w:p>
    <w:p w:rsidR="00D06117" w:rsidRDefault="00D06117" w:rsidP="00D06117">
      <w:pPr>
        <w:pStyle w:val="TextoNormal"/>
      </w:pPr>
      <w:r>
        <w:t>El interés general o la finalidad perseguida por el apartado 7 del art. 73 de la Ley 34/1998 es reducir los precios en todo el territorio nacional. En este sentido, como señala el Abogado del Estado, es cierto que la abundancia de redes genera ineficacia que redunda en un perjuicio para el consumidor porque habría que hacer frente a los mayores costes que supondría retribuir unas inversiones no eficientes. Por este motivo, el legislador ha previsto que la empresa que ya tenga la autorización de una zona dispone de una ventaja sobre la zona de influencia aneja a su zona autorizada al gozar de preferencia para obtener una nueva autorización previa. Por tanto, no hay duda de que el principio de preferencia sobre las zonas adyacentes, así como el resto de criterios previstos en el art. 73.7, priman la eficiencia en beneficio del sistema gasista para lograr unas menores inversiones y, por extensión, una menor carga para los consumidores, en línea con los principios sentados por el art. 89.2 d) (obtener la mayor racionalidad y aprovechamiento económico de las instalaciones), 92.1 c) (determinar el sistema de retribución de los costes de explotación de forma que se incentive una gestión eficaz y una mejora de la productividad que deberá repercutirse en parte a los usuarios y consumidores) y 92.5 (tomar en consideración a la hora de fijar los peajes y cánones los costes incurridos por el uso de la red de manera que se optimicen el uso de las infraestructuras) de la ley.</w:t>
      </w:r>
    </w:p>
    <w:p w:rsidR="00D06117" w:rsidRDefault="00D06117" w:rsidP="00D06117">
      <w:pPr>
        <w:pStyle w:val="TextoNormal"/>
      </w:pPr>
    </w:p>
    <w:p w:rsidR="00D06117" w:rsidRDefault="00D06117" w:rsidP="00D06117">
      <w:pPr>
        <w:pStyle w:val="TextoNormal"/>
      </w:pPr>
      <w:r>
        <w:t>En efecto, las actividades gasistas reguladas, entre las que se encuentran la regasificación, el almacenamiento básico, el transporte y la distribución, se ejercen de acuerdo a un régimen retributivo fijado por el poder público. Los recursos para retribuir estas actividades provendrán de las tarifas de último recurso, peajes y cánones, que son la contraprestación que el consumidor, el usuario de la red o de las instalaciones de transporte, o el usuario de la instalación, abona en virtud del correspondiente contrato. El capítulo VII del título IV de la Ley 34/1998 se dedica al régimen económico de las actividades gasistas. Este capítulo ha sido desarrollado por el Real Decreto 949/2001, de 3 de agosto, por el que se regula el acceso de terceros a las instalaciones gasistas y se establece un sistema económico integrado del sector de gas natural. Este real decreto, como señala su exposición de motivos, pretende conjugar tres objetivos de la política energética y su aplicación al sector del gas natural, que se concretan en garantizar un desarrollo suficiente de las infraestructuras mediante un sistema de retribuciones que permita una adecuada rentabilidad de las inversiones; diseñar un sistema de tarifas, peajes y cánones basado en costes, con el fin de imputar a cada consumidor los costes en que incurra el sistema relativos a su consumo; y, por último, regular el acceso de terceros a la red, de forma que su aplicación sea objetiva, transparente y no discriminatoria. De acuerdo con su art. 15 la retribución de las actividades reguladas destinadas al suministro de gas natural se llevará a cabo con cargo a las tarifas, peajes y cánones y atenderá a los criterios generales siguientes: a) asegurar la recuperación de las inversiones realizadas por los titulares en el período de vida útil de las mismas; b) permitir una razonable rentabilidad de los recursos financieros invertidos; y c) determinar el sistema de retribución de los costes de explotación, de forma que se incentive una gestión eficaz y una mejora de la productividad que deberá repercutirse en parte a los usuarios y consumidores.</w:t>
      </w:r>
    </w:p>
    <w:p w:rsidR="00D06117" w:rsidRDefault="00D06117" w:rsidP="00D06117">
      <w:pPr>
        <w:pStyle w:val="TextoNormal"/>
      </w:pPr>
    </w:p>
    <w:p w:rsidR="00D06117" w:rsidRDefault="00D06117" w:rsidP="00D06117">
      <w:pPr>
        <w:pStyle w:val="TextoNormal"/>
      </w:pPr>
      <w:r>
        <w:t>En consecuencia, como claramente se deduce de lo señalado, el sistema económico integrado supone que las inversiones realizadas tienen una repercusión directa en las tarifas que pagan todos los usuarios del gas natural. Por tanto, debemos afirmar que la fijación del principio de preferencia en la adjudicación de las autorizaciones de construcción y explota</w:t>
      </w:r>
      <w:r>
        <w:lastRenderedPageBreak/>
        <w:t>ción previsto en el art. 73.7, al otorgar preferencia a la empresa que ya está en la zona geográfica y que, por tanto, ha realizado las correspondientes inversiones, contribuye a reducir los precios a pagar por el consumidor final. Lo mismo podemos decir del resto de criterios a los que se deberá atender de no existir distribuidor en la zona y que vienen a reforzar un principio consolidado y esencial para el funcionamiento del sistema del gas: el de monopolio natural en su distribución.</w:t>
      </w:r>
    </w:p>
    <w:p w:rsidR="00D06117" w:rsidRDefault="00D06117" w:rsidP="00D06117">
      <w:pPr>
        <w:pStyle w:val="TextoNormal"/>
      </w:pPr>
    </w:p>
    <w:p w:rsidR="00D06117" w:rsidRDefault="00D06117" w:rsidP="00D06117">
      <w:pPr>
        <w:pStyle w:val="TextoNormal"/>
      </w:pPr>
      <w:r>
        <w:t>No hay duda, por tanto, de que los criterios fijados en el art. 73.7 contribuyen a reducir el precio final a pagar por el consumidor. Ahora bien, la cuestión a dilucidar en el presente recurso de inconstitucionalidad es determinar si resulta necesario que el Estado imponga dichos criterios con carácter general para la concesión de autorizaciones de construcción y explotación de instalaciones de distribución de gas —pues en ese caso el precepto debe ser calificado de básico— o si el mismo fin podría conseguirse si cada Comunidad Autónoma pudiera establecer los criterios objetivos que considere oportunos para otorgar la concesión.</w:t>
      </w:r>
    </w:p>
    <w:p w:rsidR="00D06117" w:rsidRDefault="00D06117" w:rsidP="00D06117">
      <w:pPr>
        <w:pStyle w:val="TextoNormal"/>
      </w:pPr>
    </w:p>
    <w:p w:rsidR="00D06117" w:rsidRDefault="00D06117" w:rsidP="00D06117">
      <w:pPr>
        <w:pStyle w:val="TextoNormal"/>
      </w:pPr>
      <w:r>
        <w:t>La organización en red de gran parte de las infraestructuras de transporte y distribución de gas natural determina la formación de un mercado unitario en el que las decisiones empresariales y administrativas tendrán fácilmente repercusión global. En este sentido, la STC 24/1985, de 21 de febrero, reconoce que la elaboración de productos petrolíferos en una refinería, aunque esté localizada en un emplazamiento concreto, “está proyectada y regulada como una unidad, en relación con un mercado único, cuyas características y exigencias han determinado la fijación de la proporción de lo que de ella ha de destinarse al mercado nacional y a la exportación, así como la localización de los incrementos previstos de la capacidad de refino por empresas o zonas geográficas y otros factores” (FJ 6). Por ello afirmamos que, “en algunas materias ciertas decisiones y actuaciones de tipo aparentemente coyuntural, que tienen como objeto la regulación inmediata de situaciones concretas, pueden tener sin duda un carácter básico por la interdependencia de éstas en todo el territorio nacional” (FJ 8).</w:t>
      </w:r>
    </w:p>
    <w:p w:rsidR="00D06117" w:rsidRDefault="00D06117" w:rsidP="00D06117">
      <w:pPr>
        <w:pStyle w:val="TextoNormal"/>
      </w:pPr>
    </w:p>
    <w:p w:rsidR="00D06117" w:rsidRDefault="00D06117" w:rsidP="00D06117">
      <w:pPr>
        <w:pStyle w:val="TextoNormal"/>
      </w:pPr>
      <w:r>
        <w:t>Pues bien, la fijación por el Estado de unos criterios de adjudicación de las correspondientes autorizaciones de obligatoria ponderación por todas las Administraciones competentes debe considerarse una norma básica que trata de asegurar que en todo el Estado se tomen en consideración los mismos objetivos de eficiencia y economía del sistema. Si cada Comunidad Autónoma tuviera plena libertad para fijar los criterios de adjudicación de las autorizaciones, el sistema gasista podría verse obligado a retribuir instalaciones redundantes si una Comunidad Autónoma decidiese no ponderar la ventaja objetiva que supone ser distribuidor de la zona, lo que encarecería el coste del gas a todos los usuarios. Como hemos señalado, la Ley ha optado por un sistema económico integrado en el que las inversiones que se lleven a cabo por las empresas encargadas de las actividades de transporte y distribución van a repercutirse directamente en las tarifas que satisfacen los usuarios del gas natural, de manera que las decisiones que se tomen en relación con las autorizaciones de instalaciones de distribución van a tener una repercusión inmediata en las retribución de las actividades gasistas. Por ello debemos entender que la fijación de unos criterios uniformes a observar en todo el territorio nacional para el otorgamiento de las correspondientes autorizaciones constituye una norma básica, con arreglo al art. 149.1.13 y 25 CE, que trata de evitar los posibles desequilibrios o desigualdades en el conjunto del sistema a los que podría conducir la fijación de criterios unilaterales por las Comunidades Autónomas.</w:t>
      </w:r>
    </w:p>
    <w:p w:rsidR="00D06117" w:rsidRDefault="00D06117" w:rsidP="00D06117">
      <w:pPr>
        <w:pStyle w:val="TextoNormal"/>
      </w:pPr>
    </w:p>
    <w:p w:rsidR="00D06117" w:rsidRDefault="00D06117" w:rsidP="00D06117">
      <w:pPr>
        <w:pStyle w:val="TextoNormal"/>
      </w:pPr>
      <w:r>
        <w:lastRenderedPageBreak/>
        <w:t>Los argumentos expuestos, justificando que el art. 73.7 tiene la condición de norma básica al amparo de lo establecido en el art. 149.1.13 y 25 CE, deben ser, lógicamente, reiterados para rechazar la inconstitucionalidad que la Comunidad Autónoma de Madrid dirige también contra la disposición final primera de la Ley 12/2007, en la medida en que atribuye la condición de norma básica al art. 73.7.</w:t>
      </w:r>
    </w:p>
    <w:p w:rsidR="00D06117" w:rsidRDefault="00D06117" w:rsidP="00D06117">
      <w:pPr>
        <w:pStyle w:val="TextoNormal"/>
      </w:pPr>
    </w:p>
    <w:p w:rsidR="00D06117" w:rsidRDefault="00D06117" w:rsidP="00D06117">
      <w:pPr>
        <w:pStyle w:val="TextoNormal"/>
      </w:pPr>
      <w:r w:rsidRPr="00D06117">
        <w:rPr>
          <w:rStyle w:val="NumeroAFNegritaCaracter"/>
        </w:rPr>
        <w:t>5</w:t>
      </w:r>
      <w:r>
        <w:t>. Alega también la Comunidad de Madrid que la nueva redacción dada al apartado 7 del art. 73 de la Ley 34/1998, de 7 de octubre, por la Ley 12/2007, de 2 de julio, conculca el art. 38 CE. A su entender, el precepto impugnado, en la medida que no permite concurrir en igualdad de condiciones a todas las empresas distribuidoras para obtener autorización de construcción o explotación, en detrimento de aquella que tuviese ya otorgada la autorización en la zona, impide sostener la actividad empresarial en libertad. Por su parte, para el Abogado del Estado, el legislador no pretende con esta norma limitar o impedir la competencia sino evitar que la supresión absoluta del principio de monopolio natural produzca un aumento de costes que perjudique el funcionamiento del mercado aumentando el precio final a pagar por el consumidor.</w:t>
      </w:r>
    </w:p>
    <w:p w:rsidR="00D06117" w:rsidRDefault="00D06117" w:rsidP="00D06117">
      <w:pPr>
        <w:pStyle w:val="TextoNormal"/>
      </w:pPr>
    </w:p>
    <w:p w:rsidR="00D06117" w:rsidRDefault="00D06117" w:rsidP="00D06117">
      <w:pPr>
        <w:pStyle w:val="TextoNormal"/>
      </w:pPr>
      <w:r>
        <w:t>Con relación a la libertad de empresa “hay que recordar que el art. 38 del texto constitucional dispone que los poderes públicos garantizan el ejercicio de la libre empresa de acuerdo con las exigencias de la economía general. Dicho mandato debe ser interpretado poniéndolo en relación, primero, con los arts. 128 y 131 CE [SSTC 37/1981, de 16 de noviembre, FJ 2; 111/1983, de 2 de diciembre, FJ 10; y 225/1993, de 8 de julio, FJ 3.b)], viniendo a implicar, fundamentalmente,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(STC 96/2002, de 25 de abril, FJ 11). El derecho a la libertad de empresa, como hemos recogido en la STC 18/2011, de 3 de marzo, no es absoluto e incondicionado sino limitado por la regulación que, de las distintas actividades empresariales en concreto, puedan establecer los poderes públicos, limitaciones que han de venir establecidas por la ley, respetando, en todo caso, el contenido esencial del derecho. Este Tribunal ha resaltado en distintas ocasiones que las actividades empresariales han de ejercerse “con plena sujeción a la normativa sobre ordenación del mercado y de la actividad económica general” [SSTC 225/1993, de 8 de julio, FJ 3 b), y 112/2006, de 5 de abril, FJ 8], o que “la vigencia de la libertad de empresa no resulta constitucionalmente resquebrajada por el hecho de la existencia de limitaciones derivadas de las reglas que disciplinen, proporcionada y razonablemente, el mercado” [SSTC 127/1994, de 5 de mayo, FJ 6 b); y 112/2006, de 5 de abril, FJ 8].</w:t>
      </w:r>
    </w:p>
    <w:p w:rsidR="00D06117" w:rsidRDefault="00D06117" w:rsidP="00D06117">
      <w:pPr>
        <w:pStyle w:val="TextoNormal"/>
      </w:pPr>
    </w:p>
    <w:p w:rsidR="00D06117" w:rsidRDefault="00D06117" w:rsidP="00D06117">
      <w:pPr>
        <w:pStyle w:val="TextoNormal"/>
      </w:pPr>
      <w:r>
        <w:t>La libertad de empresa, “junto a su dimensión subjetiva, tiene otra objetiva e institucional, en cuanto elemento de un determinado sistema económico, y se ejerce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 [STC 227/1993, de 9 de julio, FJ 4 e)].</w:t>
      </w:r>
    </w:p>
    <w:p w:rsidR="00D06117" w:rsidRDefault="00D06117" w:rsidP="00D06117">
      <w:pPr>
        <w:pStyle w:val="TextoNormal"/>
      </w:pPr>
    </w:p>
    <w:p w:rsidR="00D06117" w:rsidRDefault="00D06117" w:rsidP="00D06117">
      <w:pPr>
        <w:pStyle w:val="TextoNormal"/>
      </w:pPr>
      <w:r>
        <w:lastRenderedPageBreak/>
        <w:t>Como dijimos en la STC 88/1986, de 1 de julio (FJ 4)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éste”.</w:t>
      </w:r>
    </w:p>
    <w:p w:rsidR="00D06117" w:rsidRDefault="00D06117" w:rsidP="00D06117">
      <w:pPr>
        <w:pStyle w:val="TextoNormal"/>
      </w:pPr>
    </w:p>
    <w:p w:rsidR="00D06117" w:rsidRDefault="00D06117" w:rsidP="00D06117">
      <w:pPr>
        <w:pStyle w:val="TextoNormal"/>
      </w:pPr>
      <w:r>
        <w:t>Una vez recordada, en síntesis, la doctrina constitucional sobre el derecho a la libertad de empresa, debemos valorar si resulta proporcionada la preferencia que el precepto controvertido otorga a las empresas que han acometido inversiones en la zona a los fines de disminución del precio final a pagar por el consumidor, para así determinar si la regla señalada resulta adecuada y justificada por su fin. Como ya hemos señalado, todas las empresas pueden concurrir en condiciones de igualdad en las nuevas zonas que se pretendan gasificar, ahora bien, en las zonas en las que ya existe un distribuidor el art. 73.7 de la Ley 34/1998 concede preferencia para otorgar la correspondiente autorización a la empresa que ha acometido las inversiones necesarias en dicha zona, pero sin que ello suponga la obligación de otorgarla necesariamente a su favor negando toda oportunidad a otra empresa. Aquella que ya tenga la autorización de una zona dispone de una ventaja no definitiva sobre la zona de influencia aneja a su zona autorizada, de manera que no gozará de exclusividad sino de preferencia para obtener la nueva autorización. Esta medida no es, por tanto, excluyente del acceso al mercado pues no impide que puedan otorgarse nuevas autorizaciones previas en libre concurrencia, respecto de las cuales, no obstante, tendrá preferencia la empresa que ya está en la zona geográfica o área de influencia adyacente a la nueva zona para la que se solicita autorización. En consecuencia, el precepto impugnado no vulnera el derecho a la libertad de empresa recogido en el art. 38 CE, ya que la medida resulta proporcionada y razonable al objetivo perseguido con la misma, al tratar de primar la eficiencia en beneficio del sistema gasista para lograr unas menores inversiones y conseguir así un menor precio para el consumidor final.</w:t>
      </w:r>
    </w:p>
    <w:p w:rsidR="00D06117" w:rsidRDefault="00D06117" w:rsidP="00D06117">
      <w:pPr>
        <w:pStyle w:val="TextoNormal"/>
      </w:pPr>
    </w:p>
    <w:p w:rsidR="00D06117" w:rsidRDefault="00D06117" w:rsidP="00D06117">
      <w:pPr>
        <w:pStyle w:val="TextoNormal"/>
      </w:pPr>
      <w:r w:rsidRPr="00D06117">
        <w:rPr>
          <w:rStyle w:val="NumeroAFNegritaCaracter"/>
        </w:rPr>
        <w:t>6</w:t>
      </w:r>
      <w:r>
        <w:t>. Por último, sostiene la Comunidad de Madrid que la nueva redacción dada al apartado 7 del art. 73 de la Ley 34/1998, de 7 de octubre, por la Ley 12/2007, de 2 de julio, conculca el principio de interdicción de la arbitrariedad de los poderes públicos recogido en el art. 9.3 CE, pues no se limita a plasmar una opción política del legislador sino que contiene una auténtica discriminación que afecta a las empresas distribuidoras que no ostenten la condición de autorizadas en la zona, y ello sin justificación alguna de índole técnica que permita defender tal medida. Por su parte, para el Abogado del Estado es claro que tal precepto no vulnera el principio de interdicción de la arbitrariedad de los poderes públicos porque ni la medida adoptada establece una discriminación arbitraria, ni carece de una finalidad razonable.</w:t>
      </w:r>
    </w:p>
    <w:p w:rsidR="00D06117" w:rsidRDefault="00D06117" w:rsidP="00D06117">
      <w:pPr>
        <w:pStyle w:val="TextoNormal"/>
      </w:pPr>
    </w:p>
    <w:p w:rsidR="00D06117" w:rsidRDefault="00D06117" w:rsidP="00D06117">
      <w:pPr>
        <w:pStyle w:val="TextoNormal"/>
      </w:pPr>
      <w:r>
        <w:t xml:space="preserve">En relación con el principio de interdicción de la arbitrariedad debemos recordar nuestra doctrina, según la cual “al examinar un precepto legal tachado de arbitrario, el análisis se centra en efectuar una doble verificación: en primer lugar, si la norma legal cuestionada establece una discriminación, pues la discriminación entraña siempre una arbitrariedad; y, </w:t>
      </w:r>
      <w:r>
        <w:lastRenderedPageBreak/>
        <w:t>en segundo lugar, si aun no estableciéndola, carece de toda explicación racional, pues en tal caso, supondría una arbitrariedad” (SSTC 27/1981, de 20 de julio, FJ 10; 66/1985, de 23 de mayo, FJ 1; 108/1986, de 29 de julio, FJ 18; 65/1990, de 5 de abril, FJ 6; 142/1993, de 22 de abril, FJ 9; 212/1996, de 19 de diciembre, FJ 16; 116/1999, de 17 de junio, FJ 14; 74/2000, de 14 de marzo, FJ 4; STC 131/2001, de 7 de junio, FJ 5; 96/2002, de 26 de abril, FJ 6; 242/2004, de 16 de diciembre, FJ 7; y 47/2005, de 3 de marzo, FJ 7). Basta, entonces, con que una determinada norma legal posea una finalidad legítima y racional, y que el medio adoptado no sea discriminatorio, para que quede ahí agotado el enjuiciamiento de su posible arbitrariedad (STC 142/1993, de 22 de abril, FJ 9). En otros términos, “si la norma de que tratamos no se muestra como desprovista de fundamento, aunque pueda legítimamente discreparse de la concreta solución, entrar en un enjuiciamiento de cual sería su medida justa supone discutir una opción tomada por el legislador que, aunque pueda ser discutible, no resulta arbitraria ni irracional (en sentido idéntico, STC 44/1988, de 22 de marzo, FJ 13)” (STC 104/2000, de 13 de abril, FJ 8).</w:t>
      </w:r>
    </w:p>
    <w:p w:rsidR="00D06117" w:rsidRDefault="00D06117" w:rsidP="00D06117">
      <w:pPr>
        <w:pStyle w:val="TextoNormal"/>
      </w:pPr>
    </w:p>
    <w:p w:rsidR="00D06117" w:rsidRDefault="00D06117" w:rsidP="00D06117">
      <w:pPr>
        <w:pStyle w:val="TextoNormal"/>
      </w:pPr>
      <w:r>
        <w:t>Conforme a la doctrina expuesta, es evidente que la medida adoptada por el legislador —establecer un principio de preferencia a favor de la empresa que ya opera en la zona geográfica—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En este sentido, el diferente tratamiento que el precepto establece entre las posibles empresas distribuidoras en función de que dispongan o no de autorización administrativa previa para una zona determinada no resulta arbitrario ni carente de finalidad, al perseguir que las empresas tengan que realizar unas menores inversiones y con ello lograr una menor carga económica para el consumidor final. Si el principio de preferencia que establece el art. 73.7 de la Ley 34/1998 trata de primar la eficiencia y evitar que la redundancia de redes genere un perjuicio para el consumidor porque habría de hacer frente a los mayores costes que supondrían nuevas inversiones, no cabe duda que desde la perspectiva de la arbitrariedad ningún reproche se puede hacer al precepto impugnado.</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Desestimar el presente recurso de inconstitucionalidad.</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diecinueve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39" w:name="SENTENCIA_2012_136"/>
      <w:r>
        <w:lastRenderedPageBreak/>
        <w:t>SENTENCIA 136/2012, de 19 de junio de 2012</w:t>
      </w:r>
    </w:p>
    <w:bookmarkEnd w:id="139"/>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ECLI:ES:TC:2012:136</w:t>
      </w:r>
    </w:p>
    <w:p w:rsidR="00D06117" w:rsidRDefault="00D06117" w:rsidP="00D06117">
      <w:pPr>
        <w:pStyle w:val="SntesisDescriptiva"/>
      </w:pPr>
    </w:p>
    <w:p w:rsidR="00D06117" w:rsidRDefault="00D06117" w:rsidP="00D06117">
      <w:pPr>
        <w:pStyle w:val="SntesisDescriptiva"/>
      </w:pPr>
      <w:r>
        <w:t>Recurso de inconstitucionalidad 2810-2009. Promovido por el Presidente del Gobierno con respecto a los artículos 14 y 15 de la Ley de la Comunidad Valenciana 16/2008, de 22 de diciembre, de medidas fiscales, de gestión administrativa y financiera, y de organización de la Generalitat.</w:t>
      </w:r>
    </w:p>
    <w:p w:rsidR="00D06117" w:rsidRDefault="00D06117" w:rsidP="00D06117">
      <w:pPr>
        <w:pStyle w:val="SntesisDescriptiva"/>
      </w:pPr>
    </w:p>
    <w:p w:rsidR="00D06117" w:rsidRDefault="00D06117" w:rsidP="00D06117">
      <w:pPr>
        <w:pStyle w:val="SntesisAnaltica"/>
      </w:pPr>
      <w:r>
        <w:t>Competencias sobre condiciones básicas de igualdad, bases y coordinación de la sanidad y Seguridad Social: nulidad de los preceptos legales que regulan la tasa autonómica por prestación de asistencia sanitaria y farmacéutica a los afiliados a diferentes mutualidades de funcionarios.</w:t>
      </w:r>
    </w:p>
    <w:p w:rsidR="00D06117" w:rsidRDefault="00D06117" w:rsidP="00D06117">
      <w:pPr>
        <w:pStyle w:val="SntesisAnaltica"/>
      </w:pPr>
    </w:p>
    <w:p w:rsidR="00D06117" w:rsidRDefault="00D06117" w:rsidP="00D06117">
      <w:pPr>
        <w:pStyle w:val="Extracto"/>
      </w:pPr>
      <w:r>
        <w:t>1.</w:t>
      </w:r>
      <w:r>
        <w:tab/>
        <w:t>La distribución de competencias en una materia determina la posibilidad de establecer tasas sobre la misma, razón por la cual, descartado que la Comunidad Autónoma ostente la competencia para establecer quiénes tienen acceso al sistema público de salud, y descartado también que pueda definir las prestaciones básicas del sistema nacional de salud o las condiciones en las que éstas se prestan, puede concluirse que la Comunidad Autónoma carece también de competencia para establecer una tasa sobre prestaciones del Sistema Nacional de Salud (STC 35/2012) [FJ 8].</w:t>
      </w:r>
    </w:p>
    <w:p w:rsidR="00D06117" w:rsidRDefault="00D06117" w:rsidP="00D06117">
      <w:pPr>
        <w:pStyle w:val="Extracto"/>
      </w:pPr>
    </w:p>
    <w:p w:rsidR="00D06117" w:rsidRDefault="00D06117" w:rsidP="00D06117">
      <w:pPr>
        <w:pStyle w:val="Extracto"/>
      </w:pPr>
      <w:r>
        <w:t>2.</w:t>
      </w:r>
      <w:r>
        <w:tab/>
        <w:t>Invade la competencia estatal del art. 149.1.16 CE, la tasa autonómica con la que se persigue sufragar el coste del servicio generado por la atención sanitaria a los mutualistas de MUFACE, MUGEJU e ISFAS que opten por la asistencia sanitaria pública, al recaer directamente sobre prestaciones sanitarias que, de acuerdo con el marco básico estatal, deberían estar cubiertas de forma completa y exclusiva por financiación pública  [FFJJ 7, 8].</w:t>
      </w:r>
    </w:p>
    <w:p w:rsidR="00D06117" w:rsidRDefault="00D06117" w:rsidP="00D06117">
      <w:pPr>
        <w:pStyle w:val="Extracto"/>
      </w:pPr>
    </w:p>
    <w:p w:rsidR="00D06117" w:rsidRDefault="00D06117" w:rsidP="00D06117">
      <w:pPr>
        <w:pStyle w:val="Extracto"/>
      </w:pPr>
      <w:r>
        <w:t>3.</w:t>
      </w:r>
      <w:r>
        <w:tab/>
        <w:t xml:space="preserve">Dada la función uniformadora que ha de cumplir la normativa básica ha de señalarse que la competencia estatal del art. 149.1.1 CE queda absorbida por la que le corresponde al Estado en la regulación de las bases de la sanidad, </w:t>
      </w:r>
      <w:r w:rsidRPr="00D06117">
        <w:rPr>
          <w:i/>
        </w:rPr>
        <w:t>ex</w:t>
      </w:r>
      <w:r>
        <w:t xml:space="preserve"> art. 149.1.16 CE, que es más específica y puede dotarse también de un mayor contenido (STC 109/2003)  [FJ 3].</w:t>
      </w:r>
    </w:p>
    <w:p w:rsidR="00D06117" w:rsidRDefault="00D06117" w:rsidP="00D06117">
      <w:pPr>
        <w:pStyle w:val="Extracto"/>
      </w:pPr>
    </w:p>
    <w:p w:rsidR="00D06117" w:rsidRDefault="00D06117" w:rsidP="00D06117">
      <w:pPr>
        <w:pStyle w:val="Extracto"/>
      </w:pPr>
      <w:r>
        <w:t>4.</w:t>
      </w:r>
      <w:r>
        <w:tab/>
        <w:t>Dado que el centro de la controversia no radica en el sistema de financiación del mutualismo administrativo, sino en la sujeción de la asistencia sanitaria recibida por los beneficiarios de las mutualidades MUFACE, MUGEJU e ISFAS que hayan optado por la asistencia sanitaria pública a la tasa autonómica, debemos concluir que el ámbito material más estrechamente relacionado con la controversia constitucional es la sanidad (SSTC 98/2004 y 36/2012) [FJ 3].</w:t>
      </w:r>
    </w:p>
    <w:p w:rsidR="00D06117" w:rsidRDefault="00D06117" w:rsidP="00D06117">
      <w:pPr>
        <w:pStyle w:val="Extracto"/>
      </w:pPr>
    </w:p>
    <w:p w:rsidR="00D06117" w:rsidRDefault="00D06117" w:rsidP="00D06117">
      <w:pPr>
        <w:pStyle w:val="Extracto"/>
      </w:pPr>
      <w:r>
        <w:lastRenderedPageBreak/>
        <w:t>5.</w:t>
      </w:r>
      <w:r>
        <w:tab/>
        <w:t>La decisión acerca de quiénes deban ser beneficiarios de las prestaciones sanitarias y cuáles sean dichas prestaciones, pertenece indudablemente al núcleo de lo básico, pues define los ámbitos subjetivo y objetivo de la propia materia  [FJ 5].</w:t>
      </w:r>
    </w:p>
    <w:p w:rsidR="00D06117" w:rsidRDefault="00D06117" w:rsidP="00D06117">
      <w:pPr>
        <w:pStyle w:val="Extracto"/>
      </w:pPr>
    </w:p>
    <w:p w:rsidR="00D06117" w:rsidRDefault="00D06117" w:rsidP="00D06117">
      <w:pPr>
        <w:pStyle w:val="Extracto"/>
      </w:pPr>
      <w:r>
        <w:t>6.</w:t>
      </w:r>
      <w:r>
        <w:tab/>
        <w:t>Las bases dictadas por el Estado en materia sanitaria habilitan un margen para el desarrollo por parte de las Comunidades Autónomas de su propia política sanitaria, pudiendo éstas, respetando el mínimo formado por las carteras de prestaciones sanitarias comunes, aprobar sus propias carteras de servicios y establecer servicios adicionales para sus residentes, mejorando el mínimo estatal pero en ningún caso empeorándolo  [FJ 5].</w:t>
      </w:r>
    </w:p>
    <w:p w:rsidR="00D06117" w:rsidRDefault="00D06117" w:rsidP="00D06117">
      <w:pPr>
        <w:pStyle w:val="Extracto"/>
      </w:pPr>
    </w:p>
    <w:p w:rsidR="00D06117" w:rsidRDefault="00D06117" w:rsidP="00D06117">
      <w:pPr>
        <w:pStyle w:val="Extracto"/>
      </w:pPr>
      <w:r>
        <w:t>7.</w:t>
      </w:r>
      <w:r>
        <w:tab/>
        <w:t>Doctrina sobre los requisitos de las normas básicas (SSTC 69/1988, 109/2003)  [FJ 5].</w:t>
      </w:r>
    </w:p>
    <w:p w:rsidR="00D06117" w:rsidRDefault="00D06117" w:rsidP="00D06117">
      <w:pPr>
        <w:pStyle w:val="Extracto"/>
      </w:pPr>
    </w:p>
    <w:p w:rsidR="00D06117" w:rsidRDefault="00D06117" w:rsidP="00D06117">
      <w:pPr>
        <w:pStyle w:val="Extracto"/>
      </w:pPr>
      <w:r>
        <w:t>8.</w:t>
      </w:r>
      <w:r>
        <w:tab/>
        <w:t>Doctrina sobre el alcance de las bases en materia de sanidad (STC 98/2004, 22/2012)  [FJ 5].</w:t>
      </w:r>
    </w:p>
    <w:p w:rsidR="00D06117" w:rsidRDefault="00D06117" w:rsidP="00D06117">
      <w:pPr>
        <w:pStyle w:val="Extracto"/>
      </w:pPr>
    </w:p>
    <w:p w:rsidR="00D06117" w:rsidRDefault="00D06117" w:rsidP="00D06117">
      <w:pPr>
        <w:pStyle w:val="Extracto"/>
      </w:pPr>
      <w:r>
        <w:t>9.</w:t>
      </w:r>
      <w:r>
        <w:tab/>
        <w:t>La impugnación de normas precisa de una fundamentación que contenga un análisis y argumentación suficientes,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[FJ 2].</w:t>
      </w:r>
    </w:p>
    <w:p w:rsidR="00D06117" w:rsidRDefault="00D06117" w:rsidP="00D06117">
      <w:pPr>
        <w:pStyle w:val="Extracto"/>
      </w:pPr>
    </w:p>
    <w:p w:rsidR="00D06117" w:rsidRDefault="00D06117" w:rsidP="00D06117">
      <w:pPr>
        <w:pStyle w:val="Extracto"/>
      </w:pPr>
      <w:r>
        <w:t>10.</w:t>
      </w:r>
      <w:r>
        <w:tab/>
        <w:t>Para la resolución de la controversia deberá de tomarse como parámetro de control la legislación básica estatal vigente en el momento de dictar la correspondiente Sentencia y no la vigente en el momento de interposición del recurso de inconstitucionalidad (SSTC 1/2003, 26/2012)  [FJ 2].</w:t>
      </w:r>
    </w:p>
    <w:p w:rsidR="00D06117" w:rsidRDefault="00D06117" w:rsidP="00D06117">
      <w:pPr>
        <w:pStyle w:val="Extracto"/>
      </w:pPr>
    </w:p>
    <w:p w:rsidR="00D06117" w:rsidRDefault="00D06117" w:rsidP="00D06117">
      <w:pPr>
        <w:pStyle w:val="Extracto"/>
      </w:pPr>
      <w:r>
        <w:t>11.</w:t>
      </w:r>
      <w:r>
        <w:tab/>
        <w:t>Procede declarar la inconstitucionalidad y nulidad de los artículos impugnados de la ley autonómica, que tienen como consecuencia la sujeción de los mutualistas de MUFACE, MUGEJU e ISFAS, cuando opten por recibir la prestación sanitaria de los servicios públicos de salud, a la tasa por prestación de asistencia sanitaria, por invadir la competencia estatal del art. 149.1.16 CE  [FJ 8].</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lastRenderedPageBreak/>
        <w:t>SENTENCIA</w:t>
      </w:r>
    </w:p>
    <w:p w:rsidR="00D06117" w:rsidRDefault="00D06117" w:rsidP="00D06117">
      <w:pPr>
        <w:pStyle w:val="TextoNormalCentrado"/>
        <w:keepNext/>
      </w:pPr>
    </w:p>
    <w:p w:rsidR="00D06117" w:rsidRDefault="00D06117" w:rsidP="00D06117">
      <w:pPr>
        <w:pStyle w:val="TextoNormal"/>
      </w:pPr>
      <w:r>
        <w:t>En el recurso de inconstitucionalidad núm. 2810-2009, promovido por el Presidente del Gobierno contra los artículos 14 y 15 de la Ley de las Cortes Valencianas 16/2008, de 22 de diciembre, de medidas fiscales, de gestión administrativa y financiera, y de organización de la Generalitat. Han comparecido y formulado alegaciones el Gobierno de la Nación y las Cortes Valencianas, debidamente representados.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día 25 de marzo de 2009, el Abogado del Estado, en representación del Presidente del Gobierno, interpuso recurso de inconstitucionalidad contra los artículos 14 y 15 de la Ley de las Cortes Valencianas 16/2008, de 22 de diciembre, de medidas fiscales, de gestión administrativa y financiera, y de organización de la Generalitat (“Diario Oficial de la Comunidad Valenciana” núm. 5922, de 29 de diciembre de 2008), por vulneración de las competencias que el artículo 149.1 CE, en sus apartados 1, 14, 16 y 17, atribuye al Estado, contraviniendo en particular la normativa básica estatal dichas materias y el actual régimen de financiación autonómica. Además, solicita la suspensión de la vigencia de dichos preceptos al amparo del art. 161.2 CE.</w:t>
      </w:r>
    </w:p>
    <w:p w:rsidR="00D06117" w:rsidRDefault="00D06117" w:rsidP="00D06117">
      <w:pPr>
        <w:pStyle w:val="TextoNormal"/>
      </w:pPr>
    </w:p>
    <w:p w:rsidR="00D06117" w:rsidRDefault="00D06117" w:rsidP="00D06117">
      <w:pPr>
        <w:pStyle w:val="TextoNormal"/>
      </w:pPr>
      <w:r w:rsidRPr="00D06117">
        <w:rPr>
          <w:rStyle w:val="NumeroAFNegritaCaracter"/>
        </w:rPr>
        <w:t>2</w:t>
      </w:r>
      <w:r>
        <w:t>. Comienza el Abogado del Estado describiendo la finalidad de los preceptos impugnados, que respectivamente modifican los artículos 171 y 172 del Decreto Legislativo 1/2005, de 25 de febrero, del Consell de la Generalitat, por el que se aprueba el texto refundido de la Ley de tasas de la Generalitat.</w:t>
      </w:r>
    </w:p>
    <w:p w:rsidR="00D06117" w:rsidRDefault="00D06117" w:rsidP="00D06117">
      <w:pPr>
        <w:pStyle w:val="TextoNormal"/>
      </w:pPr>
    </w:p>
    <w:p w:rsidR="00D06117" w:rsidRDefault="00D06117" w:rsidP="00D06117">
      <w:pPr>
        <w:pStyle w:val="TextoNormal"/>
      </w:pPr>
      <w:r>
        <w:t>Los arts. 171 a 174 del texto refundido de la Ley de tasas de la Generalitat regulan la “tasa por prestación de asistencia sanitaria”, cuyo hecho imponible lo constituye la prestación de los servicios recogidos en el art. 173 del texto refundido de la Ley de tasas de la Generalitat.</w:t>
      </w:r>
    </w:p>
    <w:p w:rsidR="00D06117" w:rsidRDefault="00D06117" w:rsidP="00D06117">
      <w:pPr>
        <w:pStyle w:val="TextoNormal"/>
      </w:pPr>
    </w:p>
    <w:p w:rsidR="00D06117" w:rsidRDefault="00D06117" w:rsidP="00D06117">
      <w:pPr>
        <w:pStyle w:val="TextoNormal"/>
      </w:pPr>
      <w:r>
        <w:t>El art. 14 de la Ley 16/2008 modificó el art. 171.1 del texto refundido de la Ley de tasas de la Generalitat, con la finalidad de que la citada “tasa por prestación de asistencia sanitaria”, sea exigible a los “asegurados y beneficiarios del Sistema de la Seguridad Social pertenecientes a la Mutualidad General de Funcionarios Civiles del Estado (MUFACE), a la Mutualidad General Judicial (MUGEJU) o al Instituto Social de las Fuerzas Armadas (ISFAS)”. Previamente a su modificación, el art. 171.1 del texto refundido de la Ley de tasas de la Generalitat finalizaba con el inciso “cuando no hayan sido adscritos, a través del procedimiento establecido, a recibir asistencia sanitaria de la red sanitaria del Sistema Nacional de Salud”. En consecuencia, tras su modificación por el citado art. 14 de la Ley 16/2008, la tasa será exigible a los asegurados de MUFACE, MUGEJU e ISFAS que hayan sido adscritos a recibir asistencia sanitaria de la red sanitaria del Sistema Nacional de Salud. El art. 15 de la Ley 16/2008 modificó a su vez el art. 172.2 del texto refundido de la Ley de tasas de la Generalitat, para establecer que las citadas mutualidades serán sustitutas del contribuyente.</w:t>
      </w:r>
    </w:p>
    <w:p w:rsidR="00D06117" w:rsidRDefault="00D06117" w:rsidP="00D06117">
      <w:pPr>
        <w:pStyle w:val="TextoNormal"/>
      </w:pPr>
    </w:p>
    <w:p w:rsidR="00D06117" w:rsidRDefault="00D06117" w:rsidP="00D06117">
      <w:pPr>
        <w:pStyle w:val="TextoNormal"/>
      </w:pPr>
      <w:r>
        <w:lastRenderedPageBreak/>
        <w:t>a) Expuestas las anteriores modificaciones, se describen a continuación el marco y los antecedentes de la controversia competencial. El Abogado del Estado comienza por recordar que, tras la entrada en vigor del modelo de financiación autonómica establecido en la Ley 21/2001, de 27 de diciembre, por la que se regulan las medidas fiscales y administrativas del nuevo sistema de financiación de las Comunidades Autónomas de régimen común y ciudades con Estatuto de Autonomía (Ley 21/2001, en adelante), las Comunidades Autónomas tienen la responsabilidad financiera de los servicios de salud que gestionan, para lo que dicha ley prevé los correspondientes recursos. Pues bien, afirma en su escrito el Abogado del Estado que, pese a haber sido aprobado por unanimidad, la Comunidad Valenciana ha venido discutiendo dicho modelo de financiación en lo que se refiere a los servicios prestados por el Servicio Valenciano de Salud a los funcionarios de MUFACE, MUGEJU e ISFAS que hubieran optado por recibir la prestación sanitaria recibir asistencia sanitaria de la red sanitaria del Sistema Nacional de Salud. Pretende así la Generalitat que el Estado le transfiera las cotizaciones que los mutualistas abonan a las mutualidades por la prestación del servicio sanitario. Sin embargo, se afirma en el escrito de demanda que las Comunidades Autónomas ya perciben esas cantidades, pues están incluidas en el modelo de financiación autonómica establecido tras la citada Ley 21/2001. Este contexto enmarca la controversia, pues la finalidad de la extensión de las tasas a las mutualidades administrativas citadas no es otra que intentar percibir una cantidad a la que sin embargo la Comunidad Autónoma no tiene derecho, pues el modelo de financiación aprobado en la Ley 21/2001 incluyó como población protegida a los funcionarios de MUFACE, MUGEJU e ISFAS que hubieran optado por recibir la prestación sanitaria del Sistema Nacional de Salud, a efectos de calcular las necesidades de financiación. Es decir, el sistema de financiación autonómica expresamente ha previsto fondos para sufragar el gasto generado por el mutualismo administrativo, por lo que la imposición de la tasa implicaría, de percibirse por la Comunidad Autónoma, cobrar dos veces por lo mismo.</w:t>
      </w:r>
    </w:p>
    <w:p w:rsidR="00D06117" w:rsidRDefault="00D06117" w:rsidP="00D06117">
      <w:pPr>
        <w:pStyle w:val="TextoNormal"/>
      </w:pPr>
    </w:p>
    <w:p w:rsidR="00D06117" w:rsidRDefault="00D06117" w:rsidP="00D06117">
      <w:pPr>
        <w:pStyle w:val="TextoNormal"/>
      </w:pPr>
      <w:r>
        <w:t>A partir de estas consideraciones generales, afirma el Abogado del Estado que los preceptos impugnados invaden la materia recogida en el art. 149.1.16 CE, “bases y coordinación general de la sanidad”, vulnerando también el art. 149.1.1 CE, en relación con el ámbito prestacional sanitario, en conexión con el derecho a la protección de la salud reconocido en el art. 43.1 CE, que exige al Estado garantizar un nivel mínimo de prestaciones suficientes para hacer efectivo dicho derecho a todos los ciudadanos. En concreto, considera que los preceptos autonómicos recurridos vulneran la legislación básica estatal en materia de sanidad y de seguridad social (art. 149.1, apartados 16 y 17 CE), así como el sistema de financiación autonómica, y por tanto, el art. 149.1.14 CE y la Ley Orgánica 8/1980, de 22 de septiembre, de financiación de las Comunidades Autónomas (LOFCA, en adelante) en relación con el artículo 157.3 CE.</w:t>
      </w:r>
    </w:p>
    <w:p w:rsidR="00D06117" w:rsidRDefault="00D06117" w:rsidP="00D06117">
      <w:pPr>
        <w:pStyle w:val="TextoNormal"/>
      </w:pPr>
    </w:p>
    <w:p w:rsidR="00D06117" w:rsidRDefault="00D06117" w:rsidP="00D06117">
      <w:pPr>
        <w:pStyle w:val="TextoNormal"/>
      </w:pPr>
      <w:r>
        <w:t>b) En relación con la vulneración de la legislación básica de la Seguridad Social y en materia de sanidad, comienza por destacar que, pese a la separación de títulos competenciales para sanidad (art. 149.1.16) y Seguridad Social (art. 149.1.17), confirmada por la STC 98/2004, de 25 de mayo (FJ 5), hay sin embargo una evidente conexión entre ambas competencias, por lo que los preceptos impugnados también vulneran la competencia estatal en materia de Seguridad Social. En fin, la disponibilidad de fondos públicos en materia de sanidad debe entenderse reservada al Estado en virtud del verdadero y eficaz alcance de ambos títulos competenciales.</w:t>
      </w:r>
    </w:p>
    <w:p w:rsidR="00D06117" w:rsidRDefault="00D06117" w:rsidP="00D06117">
      <w:pPr>
        <w:pStyle w:val="TextoNormal"/>
      </w:pPr>
    </w:p>
    <w:p w:rsidR="00D06117" w:rsidRDefault="00D06117" w:rsidP="00D06117">
      <w:pPr>
        <w:pStyle w:val="TextoNormal"/>
      </w:pPr>
      <w:r>
        <w:lastRenderedPageBreak/>
        <w:t>A partir de ahí, se centra el alegato en las consecuencias que sobre dicho sistema de financiación de la sanidad suponen los preceptos impugnados, que implican el establecimiento de un “sistema de copago” de la asistencia sanitaria exclusivamente para los funcionarios públicos adscritos a las mutualidades (MUFACE, ISFAS y MUGEJU). Esto supone la quiebra del modelo sanitario vigente en el resto del territorio nacional, “en el que se prevé una prestación sanitaria universal, igualitaria y financiada íntegramente con cargo a los presupuestos públicos”.</w:t>
      </w:r>
    </w:p>
    <w:p w:rsidR="00D06117" w:rsidRDefault="00D06117" w:rsidP="00D06117">
      <w:pPr>
        <w:pStyle w:val="TextoNormal"/>
      </w:pPr>
    </w:p>
    <w:p w:rsidR="00D06117" w:rsidRDefault="00D06117" w:rsidP="00D06117">
      <w:pPr>
        <w:pStyle w:val="TextoNormal"/>
      </w:pPr>
      <w:r>
        <w:t>En particular, lo anterior se deduce del art. 10 de la Ley 16/2003, de 28 de mayo, de cohesión y calidad del Sistema Nacional de Salud. De acuerdo con este artículo, las prestaciones sanitarias mínimas, esto es, la denominada “cartera básica” que establece el legislador estatal, son de responsabilidad financiera de las Comunidades Autónomas, disponiendo para ello de los recursos establecidos en el sistema de financiación acordado. En consecuencia, la suficiencia para financiar esas prestaciones viene garantizada por los recursos asignados a cada Comunidad de acuerdo con la Ley 21/2001 (párrafos 1 y 2 del artículo 10 de la Ley de cohesión y calidad del Sistema Nacional de Salud). El art. 10.1 de la Ley de cohesión y calidad del Sistema Nacional de Salud establece que las prestaciones establecidas en dicha ley “son responsabilidad financiera de las Comunidades Autónomas de conformidad con los acuerdos de transferencias y el actual sistema de financiación autonómica, sin perjuicio de la existencia de un tercero obligado al pago”. En su escrito, el Abogado del Estado precisa que la expresión “tercero obligado al pago” se refiere a los casos en los que los servicios públicos de salud reclaman el pago de las prestaciones sanitarias prestadas a aquellas personas que no están cubiertas por el Sistema Nacional de Salud. Cita como ejemplo el caso de un funcionario, perteneciente a MUFACE, MUGEJU o ISFAS, que, por decisión propia, haya quedado adscrito a recibir la prestación de entidades concertadas con la sanidad privada pero que reciba una prestación sanitaria del Sistema Nacional de Salud.</w:t>
      </w:r>
    </w:p>
    <w:p w:rsidR="00D06117" w:rsidRDefault="00D06117" w:rsidP="00D06117">
      <w:pPr>
        <w:pStyle w:val="TextoNormal"/>
      </w:pPr>
    </w:p>
    <w:p w:rsidR="00D06117" w:rsidRDefault="00D06117" w:rsidP="00D06117">
      <w:pPr>
        <w:pStyle w:val="TextoNormal"/>
      </w:pPr>
      <w:r>
        <w:t>Establecido de esta forma el sistema de prestaciones sanitarias, las Comunidades Autónomas podrían mejorar dichas prestaciones, pero no empeorarlas, pues el legislador básico estatal ha optado por un modelo asistencial y no asegurativo de la sanidad, lo que se corrobora por el art. 86.2 b) del Real Decreto Legislativo 1/1994, de 20 de junio, por el que se aprueba el Texto Refundido de la Ley General de la Seguridad Social.</w:t>
      </w:r>
    </w:p>
    <w:p w:rsidR="00D06117" w:rsidRDefault="00D06117" w:rsidP="00D06117">
      <w:pPr>
        <w:pStyle w:val="TextoNormal"/>
      </w:pPr>
    </w:p>
    <w:p w:rsidR="00D06117" w:rsidRDefault="00D06117" w:rsidP="00D06117">
      <w:pPr>
        <w:pStyle w:val="TextoNormal"/>
      </w:pPr>
      <w:r>
        <w:t>Lo anterior no impide que pudieran establecerse fórmulas de copago, como prevén los arts. 46 d) y 79.1 c) de la Ley 14/1986, de 25 de abril, general de sanidad (LGS, en adelante), pero ello sólo podría hacerlo el Estado, no un legislador autonómico, pues con ello se rompería, en perjuicio de los destinatarios del servicio público, “la mínima igualdad exigible en la prestación sanitaria a que tienen derecho todos los residentes en el territorio nacional”. Además, resulta en sí mismo contrario a la igualdad el gravamen, por la tasa autonómica impugnada, a los funcionarios pertenecientes a MUFACE, MUGEJU e ISFAS, que hayan optado por obtener la prestación sanitaria de la red del Sistema Nacional de Salud, con el resultado de que dichos funcionarios recibirían la prestación de forma más onerosa que el resto de usuarios.</w:t>
      </w:r>
    </w:p>
    <w:p w:rsidR="00D06117" w:rsidRDefault="00D06117" w:rsidP="00D06117">
      <w:pPr>
        <w:pStyle w:val="TextoNormal"/>
      </w:pPr>
    </w:p>
    <w:p w:rsidR="00D06117" w:rsidRDefault="00D06117" w:rsidP="00D06117">
      <w:pPr>
        <w:pStyle w:val="TextoNormal"/>
      </w:pPr>
      <w:r>
        <w:t xml:space="preserve">Dicho tratamiento más oneroso no está además justificado, pues los funcionarios adscritos a las citadas mutualidades se computaron entre la población protegida que sirvió para definir la financiación correspondiente a cada Comunidad Autónoma para sufragar el gasto </w:t>
      </w:r>
      <w:r>
        <w:lastRenderedPageBreak/>
        <w:t>sanitario. Y puesto que la norma designa a los destinatarios del servicio como contribuyentes y a las mutualidades como sustitutas del contribuyente, de acuerdo con el art. 36 de la Ley 58/2003, de 17 diciembre, general tributaria (LGT, en adelante), el sustituto (la mutualidad) podrá exigir el pago del mismo al contribuyente (el funcionario que recibe la prestación). Se rompe así con el modelo de financiación pública de los servicios sanitarios incluidos en el catálogo mínimo de prestaciones.</w:t>
      </w:r>
    </w:p>
    <w:p w:rsidR="00D06117" w:rsidRDefault="00D06117" w:rsidP="00D06117">
      <w:pPr>
        <w:pStyle w:val="TextoNormal"/>
      </w:pPr>
    </w:p>
    <w:p w:rsidR="00D06117" w:rsidRDefault="00D06117" w:rsidP="00D06117">
      <w:pPr>
        <w:pStyle w:val="TextoNormal"/>
      </w:pPr>
      <w:r>
        <w:t>En conexión con lo anterior, la quiebra del sistema sanitario que la aplicación de la tasa a los referidos supuestos implica, vulnera además el principio de igualdad, no sólo porque se grava a un determinado grupo de beneficiarios de la sanidad pública, sino porque, en general, se infringen las normas dictadas por el Estado en ejercicio de las bases de sanidad (art. 149.1.16) en conexión con el título derivado del art. 149.1.1 CE. En particular, los arts. 3.2 y 16 LGS garantizan que el acceso a la sanidad será igual para todos. Además, el art. 3.3 de la misma ley dispone que la política de salud se oriente a la superación de los desequilibrios financieros, mandando en fin los arts. 12 y 81 de la misma Ley general de sanidad a los poderes públicos que orienten sus políticas de gasto sanitario en orden a corregir desigualdades territoriales y garantizando la igualdad de acceso a los servicios sanitarios públicos en todo el territorio del Estado. Por su parte, la Ley de cohesión y calidad del Sistema Nacional de Salud recoge dicho principio de igualdad, en su dimensión territorial, en su exposición de motivos, encontrando el principio reflejo en los arts. 2.1 a) y 23 de la Ley de cohesión y calidad del Sistema Nacional de Salud, además de en los arts. 33.2 y 71.1 g) y en la disposición adicional sexta.</w:t>
      </w:r>
    </w:p>
    <w:p w:rsidR="00D06117" w:rsidRDefault="00D06117" w:rsidP="00D06117">
      <w:pPr>
        <w:pStyle w:val="TextoNormal"/>
      </w:pPr>
    </w:p>
    <w:p w:rsidR="00D06117" w:rsidRDefault="00D06117" w:rsidP="00D06117">
      <w:pPr>
        <w:pStyle w:val="TextoNormal"/>
      </w:pPr>
      <w:r>
        <w:t>En fin, se concluye, los preceptos impugnados invaden una materia que además de constituir una condición básica en garantía de la igualdad de todos los españoles en el acceso a las prestaciones del Sistema Nacional de Salud (art. 149.1.16 CE), es una condición básica en el ejercicio de un derecho constitucional (art. 149.1.1 en relación con el art. 43.1 CE).</w:t>
      </w:r>
    </w:p>
    <w:p w:rsidR="00D06117" w:rsidRDefault="00D06117" w:rsidP="00D06117">
      <w:pPr>
        <w:pStyle w:val="TextoNormal"/>
      </w:pPr>
    </w:p>
    <w:p w:rsidR="00D06117" w:rsidRDefault="00D06117" w:rsidP="00D06117">
      <w:pPr>
        <w:pStyle w:val="TextoNormal"/>
      </w:pPr>
      <w:r>
        <w:t>c) Finalmente, los preceptos impugnados se reputan también contrarios al sistema de financiación autonómica, vulnerando en consecuencia el art. 149.1.14 CE, además de la LOFCA, en relación con el art. 157.3 CE.</w:t>
      </w:r>
    </w:p>
    <w:p w:rsidR="00D06117" w:rsidRDefault="00D06117" w:rsidP="00D06117">
      <w:pPr>
        <w:pStyle w:val="TextoNormal"/>
      </w:pPr>
    </w:p>
    <w:p w:rsidR="00D06117" w:rsidRDefault="00D06117" w:rsidP="00D06117">
      <w:pPr>
        <w:pStyle w:val="TextoNormal"/>
      </w:pPr>
      <w:r>
        <w:t>Comienza el Abogado del Estado exponiendo los términos en que se negoció, entre el Estado y las Comunidades Autónomas, el sistema de financiación recogido en la supra citada Ley 21/2001, en la que por primera vez se contemplan de forma conjunta las competencias comunes y las sanitarias. Destaca que la financiación por los servicios sanitarios que prestan a los asegurados por las citadas mutualidades los servicios sanitarios autonómicos está ya incorporada al sistema de financiación. En consecuencia, la Comunidad Valenciana vulnera el modelo de financiación, ya que pretende establecer una tasa por la prestación de un servicio para el que ya están reservados fondos públicos en dicho modelo. Nada obsta a que una Comunidad Autónoma, que quiera ampliar su cobertura sanitaria, acuda a otras fuentes de financiación. Sin embargo, infringe el modelo de financiación, y por tanto el art. 149.1.14 CE en virtud del cual se establece, el que para la prestación de la cartera básica la Comunidad se aparte de las fuentes de financiación recogidas en la Ley 21/2001 y pretenda captar recursos directamente de determinados prestatarios del servicio.</w:t>
      </w:r>
    </w:p>
    <w:p w:rsidR="00D06117" w:rsidRDefault="00D06117" w:rsidP="00D06117">
      <w:pPr>
        <w:pStyle w:val="TextoNormal"/>
      </w:pPr>
    </w:p>
    <w:p w:rsidR="00D06117" w:rsidRDefault="00D06117" w:rsidP="00D06117">
      <w:pPr>
        <w:pStyle w:val="TextoNormal"/>
      </w:pPr>
      <w:r>
        <w:t xml:space="preserve">Además, la norma autonómica es contraria al art. 7.3 LOFCA, pues las tasas están vinculadas a un servicio (STC 296/2004, de 10 de noviembre, FJ 4), basándose en el “principio </w:t>
      </w:r>
      <w:r>
        <w:lastRenderedPageBreak/>
        <w:t>de equivalencia” entre el coste del mismo y el importe de la tasa. Se desnaturaliza la tasa si su hecho imponible lo constituye la prestación de un servicio público cuyo coste ya está cubierto por recursos públicos que se encuentran afectos al mismo.</w:t>
      </w:r>
    </w:p>
    <w:p w:rsidR="00D06117" w:rsidRDefault="00D06117" w:rsidP="00D06117">
      <w:pPr>
        <w:pStyle w:val="TextoNormal"/>
      </w:pPr>
    </w:p>
    <w:p w:rsidR="00D06117" w:rsidRDefault="00D06117" w:rsidP="00D06117">
      <w:pPr>
        <w:pStyle w:val="TextoNormal"/>
      </w:pPr>
      <w:r w:rsidRPr="00D06117">
        <w:rPr>
          <w:rStyle w:val="NumeroAFNegritaCaracter"/>
        </w:rPr>
        <w:t>3</w:t>
      </w:r>
      <w:r>
        <w:t>. El Pleno del Tribunal, por providencia de 21 de abril de 2009, acordó la admisión a trámite del recurso de inconstitucionalidad, así como dar traslado de la demanda y documentos presentados al Congreso de los Diputados y al Senado, y a las Cortes y al Gobierno Valenciano, por conducto de sus Presidentes, al objeto de que, en el plazo de quince días, pudieran personarse y formular alegaciones. Igualmente acordó tener por invocado por el Presidente del Gobierno el art. 161.2 CE, lo que, conforme al art. 30 de la Ley Orgánica del Tribunal Constitucional (LOTC), produce la suspensión de la vigencia y aplicación del precepto impugnado. Por último también decidió publicar la incoación del recurso en el “Boletín Oficial del Estado” y en el “Diari Oficial de la Generalitat Valenciana”, lo que se verificó en el “BOE” núm. 104, de 29 de abril de 2009, y en el “DOGV” núm. 6007, de 6 de mayo de 2009.</w:t>
      </w:r>
    </w:p>
    <w:p w:rsidR="00D06117" w:rsidRDefault="00D06117" w:rsidP="00D06117">
      <w:pPr>
        <w:pStyle w:val="TextoNormal"/>
      </w:pPr>
    </w:p>
    <w:p w:rsidR="00D06117" w:rsidRDefault="00D06117" w:rsidP="00D06117">
      <w:pPr>
        <w:pStyle w:val="TextoNormal"/>
      </w:pPr>
      <w:r w:rsidRPr="00D06117">
        <w:rPr>
          <w:rStyle w:val="NumeroAFNegritaCaracter"/>
        </w:rPr>
        <w:t>4</w:t>
      </w:r>
      <w:r>
        <w:t>. Mediante escrito registrado el 29 de abril de 2009, el Presidente del Senado, comunicó la decisión de la Mesa de la Cámara de solicitar que se tenga por personada a la Cámara en el proceso constitucional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5</w:t>
      </w:r>
      <w:r>
        <w:t>. Con fecha 5 de mayo de 2009 se registra el escrito del Presidente del Congreso de los Diputados comunicando la decisión de la Mesa de la Cámara de solicitar que se tenga por personada a la Cámara en el proceso constitucional y por ofrecida su colaboración a los efectos del art. 88.1 LOTC.</w:t>
      </w:r>
    </w:p>
    <w:p w:rsidR="00D06117" w:rsidRDefault="00D06117" w:rsidP="00D06117">
      <w:pPr>
        <w:pStyle w:val="TextoNormal"/>
      </w:pPr>
    </w:p>
    <w:p w:rsidR="00D06117" w:rsidRDefault="00D06117" w:rsidP="00D06117">
      <w:pPr>
        <w:pStyle w:val="TextoNormal"/>
      </w:pPr>
      <w:r w:rsidRPr="00D06117">
        <w:rPr>
          <w:rStyle w:val="NumeroAFNegritaCaracter"/>
        </w:rPr>
        <w:t>6</w:t>
      </w:r>
      <w:r>
        <w:t>. El 13 de mayo de 2009 tiene entrada en el Registro General del Tribunal el escrito de la Abogacía General de la Generalitat Valenciana, por el que se solicita la prórroga del plazo concedido mediante la anteriormente citada providencia de 21 de abril.</w:t>
      </w:r>
    </w:p>
    <w:p w:rsidR="00D06117" w:rsidRDefault="00D06117" w:rsidP="00D06117">
      <w:pPr>
        <w:pStyle w:val="TextoNormal"/>
      </w:pPr>
    </w:p>
    <w:p w:rsidR="00D06117" w:rsidRDefault="00D06117" w:rsidP="00D06117">
      <w:pPr>
        <w:pStyle w:val="TextoNormal"/>
      </w:pPr>
      <w:r w:rsidRPr="00D06117">
        <w:rPr>
          <w:rStyle w:val="NumeroAFNegritaCaracter"/>
        </w:rPr>
        <w:t>7</w:t>
      </w:r>
      <w:r>
        <w:t>. El Pleno del Tribunal, por providencia de 14 de mayo de 2009, accedió a la solicitud del Gobierno Valenciano de prórroga del plazo para personarse en el presente proceso constitucional, ampliando éste en ocho días.</w:t>
      </w:r>
    </w:p>
    <w:p w:rsidR="00D06117" w:rsidRDefault="00D06117" w:rsidP="00D06117">
      <w:pPr>
        <w:pStyle w:val="TextoNormal"/>
      </w:pPr>
    </w:p>
    <w:p w:rsidR="00D06117" w:rsidRDefault="00D06117" w:rsidP="00D06117">
      <w:pPr>
        <w:pStyle w:val="TextoNormal"/>
      </w:pPr>
      <w:r w:rsidRPr="00D06117">
        <w:rPr>
          <w:rStyle w:val="NumeroAFNegritaCaracter"/>
        </w:rPr>
        <w:t>8</w:t>
      </w:r>
      <w:r>
        <w:t>. Las Cortes Valencianas, por escrito registrado el 29 de mayo de 2009, presentaron sus alegaciones.</w:t>
      </w:r>
    </w:p>
    <w:p w:rsidR="00D06117" w:rsidRDefault="00D06117" w:rsidP="00D06117">
      <w:pPr>
        <w:pStyle w:val="TextoNormal"/>
      </w:pPr>
    </w:p>
    <w:p w:rsidR="00D06117" w:rsidRDefault="00D06117" w:rsidP="00D06117">
      <w:pPr>
        <w:pStyle w:val="TextoNormal"/>
      </w:pPr>
      <w:r w:rsidRPr="00D06117">
        <w:rPr>
          <w:rStyle w:val="NumeroAFNegritaCaracter"/>
        </w:rPr>
        <w:t>9</w:t>
      </w:r>
      <w:r>
        <w:t>. El 2 de junio de 2009, tuvo entrada en el Registro General del Tribunal el escrito presentado por la Generalitat Valenciana, debidamente representada, en el que se formularon las siguientes alegaciones:</w:t>
      </w:r>
    </w:p>
    <w:p w:rsidR="00D06117" w:rsidRDefault="00D06117" w:rsidP="00D06117">
      <w:pPr>
        <w:pStyle w:val="TextoNormal"/>
      </w:pPr>
    </w:p>
    <w:p w:rsidR="00D06117" w:rsidRDefault="00D06117" w:rsidP="00D06117">
      <w:pPr>
        <w:pStyle w:val="TextoNormal"/>
      </w:pPr>
      <w:r>
        <w:t>a) Se afirma, en primer lugar, que los preceptos impugnados encuentran apoyo legal en la facultad que tienen atribuida los servicios públicos de salud de reclamar el pago de los importes de las prestaciones sanitarias, farmacéuticas y de otra índole a los “terceros obligados al pago”, a que se refieren el art. 83 LGS, la disposición adicional vigesimosegunda del texto refundido de la Ley general de la Seguridad Social, o el art. 10.1 de la Ley de cohesión y calidad del Sistema Nacional de Salud, entre otras normas.</w:t>
      </w:r>
    </w:p>
    <w:p w:rsidR="00D06117" w:rsidRDefault="00D06117" w:rsidP="00D06117">
      <w:pPr>
        <w:pStyle w:val="TextoNormal"/>
      </w:pPr>
    </w:p>
    <w:p w:rsidR="00D06117" w:rsidRDefault="00D06117" w:rsidP="00D06117">
      <w:pPr>
        <w:pStyle w:val="TextoNormal"/>
      </w:pPr>
      <w:r>
        <w:t>De esta manera, las Comunidades Autónomas pueden solicitar el pago directo a determinadas entidades, tales como el Instituto Nacional de la Seguridad Social (INSS), las mutuas de accidentes de trabajo y enfermedades profesionales y empresas autoaseguradoras, en caso de asistencia sanitaria y farmacéutica derivada de accidentes de trabajo y enfermedades profesionales; a otras Administraciones autonómicas por las prestaciones a sus ciudadanos (asistencia a desplazados); a las entidades extranjeras gestoras de regímenes de seguridad social de países de la Unión Europea, Espacio Económico Europeo, Suiza o de países con los que España tenga suscrito convenios bilaterales en materia de asistencia sanitaria de la seguridad social (asistencia sanitaria internacional), o, finalmente, a las entidades aseguradoras privadas, en caso de asistencia sanitaria derivada de accidentes de tráfico, deportivos, escolares, festivos, etc.</w:t>
      </w:r>
    </w:p>
    <w:p w:rsidR="00D06117" w:rsidRDefault="00D06117" w:rsidP="00D06117">
      <w:pPr>
        <w:pStyle w:val="TextoNormal"/>
      </w:pPr>
    </w:p>
    <w:p w:rsidR="00D06117" w:rsidRDefault="00D06117" w:rsidP="00D06117">
      <w:pPr>
        <w:pStyle w:val="TextoNormal"/>
      </w:pPr>
      <w:r>
        <w:t>En este contexto procede enmarcar la tasa recurrida, se aduce en el escrito, pues esta facultad de establecerla radica en la base misma de los convenios que suscriben las propias mutualidades administrativas (MUFACE, ISFAS y MUGEJU) con las distintas Administraciones autonómicas para la provisión de asistencia sanitaria en determinados supuestos a sus propios mutualistas.</w:t>
      </w:r>
    </w:p>
    <w:p w:rsidR="00D06117" w:rsidRDefault="00D06117" w:rsidP="00D06117">
      <w:pPr>
        <w:pStyle w:val="TextoNormal"/>
      </w:pPr>
    </w:p>
    <w:p w:rsidR="00D06117" w:rsidRDefault="00D06117" w:rsidP="00D06117">
      <w:pPr>
        <w:pStyle w:val="TextoNormal"/>
      </w:pPr>
      <w:r>
        <w:t>b) Prosigue el alegato describiendo el funcionamiento del mutualismo administrativo y recalcando en particular el significativo incremento en la Comunitat Valenciana, en el periodo 1999-2008, del colectivo de mutualistas de MUFACE, ISFAS y MUGEJU que han optado por recibir la asistencia sanitaria del servicio sanitario público valenciano. Esta circunstancia habría tenido una gran repercusión en la sostenibilidad financiera del sistema sanitario de la Comunidad Autónoma, aserto que se acompaña con algunos datos económicos.</w:t>
      </w:r>
    </w:p>
    <w:p w:rsidR="00D06117" w:rsidRDefault="00D06117" w:rsidP="00D06117">
      <w:pPr>
        <w:pStyle w:val="TextoNormal"/>
      </w:pPr>
    </w:p>
    <w:p w:rsidR="00D06117" w:rsidRDefault="00D06117" w:rsidP="00D06117">
      <w:pPr>
        <w:pStyle w:val="TextoNormal"/>
      </w:pPr>
      <w:r>
        <w:t>En este contexto, se afirma, por aplicación del principio de enriquecimiento injusto por parte de las mutualidades administrativas, la controvertida tasa no tiene otra finalidad que recuperar el coste económico de aquellas prestaciones sanitarias y farmacéuticas que facilita la Administración sanitaria valenciana al citado colectivo de mutualistas.</w:t>
      </w:r>
    </w:p>
    <w:p w:rsidR="00D06117" w:rsidRDefault="00D06117" w:rsidP="00D06117">
      <w:pPr>
        <w:pStyle w:val="TextoNormal"/>
      </w:pPr>
    </w:p>
    <w:p w:rsidR="00D06117" w:rsidRDefault="00D06117" w:rsidP="00D06117">
      <w:pPr>
        <w:pStyle w:val="TextoNormal"/>
      </w:pPr>
      <w:r>
        <w:t>Según la Generalitat, estas prestaciones quedan fuera del sistema de financiación común de los servicios públicos de salud por concurrir determinadas circunstancias, de las que se citan dos: tratarse de prestaciones no concertadas entre el INSS y las mutualidades, como es el caso de la prestación farmacéutica a pacientes no ingresados en centros hospitalarios; y tratarse de prestaciones que, estando incluidas en el ámbito material de los convenios de asistencia sanitaria entre el INSS y las mutualidades, tienen establecida una financiación específica dentro del sistema de financiación actual de los servicios públicos de salud, como es el caso de las prestaciones sanitarias, farmacéuticas y de otra índole facilitadas con motivo u ocasión de accidente de trabajo, acto de servicio o enfermedad profesional. Es decir, la controvertida tasa no recaería sobre todas las prestaciones sanitarias, sino únicamente sobre las citadas.</w:t>
      </w:r>
    </w:p>
    <w:p w:rsidR="00D06117" w:rsidRDefault="00D06117" w:rsidP="00D06117">
      <w:pPr>
        <w:pStyle w:val="TextoNormal"/>
      </w:pPr>
    </w:p>
    <w:p w:rsidR="00D06117" w:rsidRDefault="00D06117" w:rsidP="00D06117">
      <w:pPr>
        <w:pStyle w:val="TextoNormal"/>
      </w:pPr>
      <w:r>
        <w:t xml:space="preserve">Se afirma, en fin, que puesto que las mutualidades administrativas perciben ingresos por cotizaciones de sus mutualistas y del Estado como empleador, para atender específicamente </w:t>
      </w:r>
      <w:r>
        <w:lastRenderedPageBreak/>
        <w:t>la cobertura de las prestaciones sanitarias, farmacéuticas y de otra índole de dichos mutualistas, entonces es lógico reclamarles a dichas mutualidades, que no a sus mutualistas, el pago de aquellas prestaciones.</w:t>
      </w:r>
    </w:p>
    <w:p w:rsidR="00D06117" w:rsidRDefault="00D06117" w:rsidP="00D06117">
      <w:pPr>
        <w:pStyle w:val="TextoNormal"/>
      </w:pPr>
    </w:p>
    <w:p w:rsidR="00D06117" w:rsidRDefault="00D06117" w:rsidP="00D06117">
      <w:pPr>
        <w:pStyle w:val="TextoNormal"/>
      </w:pPr>
      <w:r>
        <w:t>c) A continuación, se niega la infracción del principio de igualdad, pues la norma otorga a las mutualidades administrativas idéntico tratamiento que a otras entidades, como por ejemplo las gestoras de regímenes de seguridad social extranjeros u otras citadas en el anterior apartado a).</w:t>
      </w:r>
    </w:p>
    <w:p w:rsidR="00D06117" w:rsidRDefault="00D06117" w:rsidP="00D06117">
      <w:pPr>
        <w:pStyle w:val="TextoNormal"/>
      </w:pPr>
    </w:p>
    <w:p w:rsidR="00D06117" w:rsidRDefault="00D06117" w:rsidP="00D06117">
      <w:pPr>
        <w:pStyle w:val="TextoNormal"/>
      </w:pPr>
      <w:r>
        <w:t>d) Tampoco se vulnera el sistema de financiación autonómica pues el propio establecimiento de tasas por la prestación de servicios sanitarios está prevista en el art. 79 LGS. Además, tampoco se pretende gravar servicios ya financiados, pues en particular en los casos de accidente de trabajo o ante el coste económico de determinados fármacos, no hay tal financiación.</w:t>
      </w:r>
    </w:p>
    <w:p w:rsidR="00D06117" w:rsidRDefault="00D06117" w:rsidP="00D06117">
      <w:pPr>
        <w:pStyle w:val="TextoNormal"/>
      </w:pPr>
    </w:p>
    <w:p w:rsidR="00D06117" w:rsidRDefault="00D06117" w:rsidP="00D06117">
      <w:pPr>
        <w:pStyle w:val="TextoNormal"/>
      </w:pPr>
      <w:r>
        <w:t>El alegato concluye con la afirmación de que no se ha vulnerado tampoco el principio de seguridad jurídica. Se adjuntan al escrito cinco anexos con información estadística y relación de normas de otras Comunidades Autónomas que avalarían las tesis defendidas en el mismo.</w:t>
      </w:r>
    </w:p>
    <w:p w:rsidR="00D06117" w:rsidRDefault="00D06117" w:rsidP="00D06117">
      <w:pPr>
        <w:pStyle w:val="TextoNormal"/>
      </w:pPr>
    </w:p>
    <w:p w:rsidR="00D06117" w:rsidRDefault="00D06117" w:rsidP="00D06117">
      <w:pPr>
        <w:pStyle w:val="TextoNormal"/>
      </w:pPr>
      <w:r w:rsidRPr="00D06117">
        <w:rPr>
          <w:rStyle w:val="NumeroAFNegritaCaracter"/>
        </w:rPr>
        <w:t>10</w:t>
      </w:r>
      <w:r>
        <w:t>. El Pleno del Tribunal, por providencia de 23 de junio de 2009, acordó incorporar a los autos los escritos de las instituciones autonómicas y, en cuanto a la solicitud de levantamiento de la suspensión, oír al Abogado del Estado y a la representación procesal de la Generalitat Valenciana, no así a las Cortes Valencianas, que se personaron y formularon sus alegaciones fuera del plazo concedido en providencia de 21 de abril de 2009.</w:t>
      </w:r>
    </w:p>
    <w:p w:rsidR="00D06117" w:rsidRDefault="00D06117" w:rsidP="00D06117">
      <w:pPr>
        <w:pStyle w:val="TextoNormal"/>
      </w:pPr>
    </w:p>
    <w:p w:rsidR="00D06117" w:rsidRDefault="00D06117" w:rsidP="00D06117">
      <w:pPr>
        <w:pStyle w:val="TextoNormal"/>
      </w:pPr>
      <w:r w:rsidRPr="00D06117">
        <w:rPr>
          <w:rStyle w:val="NumeroAFNegritaCaracter"/>
        </w:rPr>
        <w:t>11</w:t>
      </w:r>
      <w:r>
        <w:t>. Por ATC 221/2009, de 21 de julio, se acordó mantener la suspensión, en primer lugar, del art. 14 de la Ley de las Cortes Valencianas 16/2008, de 22 de diciembre, de medidas fiscales, de gestión administrativa y financiera y de organización de la Generalitat, en cuanto modifica el art. 171.1 del texto refundido de la Ley de tasas de la Generalitat, para suprimir el inciso “cuando no hayan sido adscritos, a través del procedimiento establecido, a recibir asistencia sanitaria de la red sanitaria del Sistema Nacional de Salud”; en segundo lugar, del art. 15 de la misma ley, que introduce en el art. 172.2 del citado texto refundido el inciso “la Mutualidad a la que pertenece el asegurado o beneficiario, para aquellas prestaciones de servicios de asistencia sanitaria y farmacéutica no concertadas con entidades aseguradoras privadas y que aquélla venga obligada, legal o reglamentariamente, a prestar. Respecto a aquellas prestaciones sanitarias y farmacéuticas que deban ser facilitadas por la administración sanitaria valenciana en virtud de convenio o concierto suscrito entre la misma y la Mutualidad correspondiente, se estará a lo dispuesto en el concierto o convenio respectivo”, y levantar la suspensión en todo lo demás.</w:t>
      </w:r>
    </w:p>
    <w:p w:rsidR="00D06117" w:rsidRDefault="00D06117" w:rsidP="00D06117">
      <w:pPr>
        <w:pStyle w:val="TextoNormal"/>
      </w:pPr>
    </w:p>
    <w:p w:rsidR="00D06117" w:rsidRDefault="00D06117" w:rsidP="00D06117">
      <w:pPr>
        <w:pStyle w:val="TextoNormal"/>
      </w:pPr>
      <w:r w:rsidRPr="00D06117">
        <w:rPr>
          <w:rStyle w:val="NumeroAFNegritaCaracter"/>
        </w:rPr>
        <w:t>12</w:t>
      </w:r>
      <w:r>
        <w:t>. Por providencia de 19 de junio de 2012 se señaló para deliberación y votación de la presente Sentencia el día 19 del mismo mes y año.</w:t>
      </w:r>
    </w:p>
    <w:p w:rsidR="00D06117" w:rsidRDefault="00D06117" w:rsidP="00D06117">
      <w:pPr>
        <w:pStyle w:val="TextoNormal"/>
      </w:pPr>
    </w:p>
    <w:p w:rsidR="00D06117" w:rsidRDefault="00D06117" w:rsidP="00D06117">
      <w:pPr>
        <w:pStyle w:val="TextoNormalNegritaCentrado"/>
        <w:keepNext/>
      </w:pPr>
      <w:r>
        <w:lastRenderedPageBreak/>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El recurso de inconstitucionalidad se interpone por el Abogado del Estado, en representación del Presidente del Gobierno, contra los arts. 14 y 15 de la Ley de las Cortes Valencianas 16/2008, de 22 de diciembre, de medidas fiscales, de gestión administrativa y financiera, y de organización de la Generalitat, preceptos que, respectivamente, modifican los artículos 171 y 172.2 del Decreto Legislativo 1/2005, de 25 de febrero, del Consell de la Generalitat, por el que se aprueba el texto refundido de la Ley de tasas de la Generalitat.</w:t>
      </w:r>
    </w:p>
    <w:p w:rsidR="00D06117" w:rsidRDefault="00D06117" w:rsidP="00D06117">
      <w:pPr>
        <w:pStyle w:val="TextoNormal"/>
      </w:pPr>
    </w:p>
    <w:p w:rsidR="00D06117" w:rsidRDefault="00D06117" w:rsidP="00D06117">
      <w:pPr>
        <w:pStyle w:val="TextoNormal"/>
      </w:pPr>
      <w:r>
        <w:t>Según ha quedado expuesto en los antecedentes, a juicio del recurrente los citados preceptos serían inconstitucionales por invadir las competencias del Estado en materia de bases y coordinación de la sanidad (art. 149.1.16 CE) y de Seguridad Social (art. 149.1.17), además de la competencia para la regulación de las condiciones básicas que aseguran la igualdad de todos los españoles en el ejercicio de los derechos y el cumplimiento de los deberes constitucionales (art. 149.1.1 CE). Finalmente, los artículos impugnados se reputan también contrarios al sistema de financiación autonómica, vulnerando en consecuencia el artículo 149.1.14 CE, además de la Ley Orgánica 8/1980, de 22 de septiembre, de financiación de las Comunidades Autónomas (LOFCA, en adelante) en relación con el artículo 157.3 CE.</w:t>
      </w:r>
    </w:p>
    <w:p w:rsidR="00D06117" w:rsidRDefault="00D06117" w:rsidP="00D06117">
      <w:pPr>
        <w:pStyle w:val="TextoNormal"/>
      </w:pPr>
    </w:p>
    <w:p w:rsidR="00D06117" w:rsidRDefault="00D06117" w:rsidP="00D06117">
      <w:pPr>
        <w:pStyle w:val="TextoNormal"/>
      </w:pPr>
      <w:r>
        <w:t>Para la Generalitat Valenciana, los preceptos impugnados encuentran apoyo legal en la facultad que se atribuye a los servicios públicos de salud de reclamar el pago de los importes de las prestaciones sanitarias, farmacéuticas y de otra índole a los “terceros obligados al pago”, a que se refiere la Ley 16/2003, de 28 de mayo, de cohesión y calidad del Sistema Nacional de Salud, entre otras normas. Además, la “tasa por prestación de asistencia sanitaria”, que los preceptos controvertidos regulan, tiene como finalidad recuperar el coste económico de determinadas prestaciones sanitarias y farmacéuticas que facilita la Administración sanitaria valenciana al colectivo de afiliados a la Mutualidad General de Funcionarios Civiles del Estado (MUFACE), la Mutualidad General Judicial (MUGEJU) o el Instituto Social de las Fuerzas Armadas (ISFAS) y que quedan fuera del sistema de financiación común de los servicios públicos de salud.</w:t>
      </w:r>
    </w:p>
    <w:p w:rsidR="00D06117" w:rsidRDefault="00D06117" w:rsidP="00D06117">
      <w:pPr>
        <w:pStyle w:val="TextoNormal"/>
      </w:pPr>
    </w:p>
    <w:p w:rsidR="00D06117" w:rsidRDefault="00D06117" w:rsidP="00D06117">
      <w:pPr>
        <w:pStyle w:val="TextoNormal"/>
      </w:pPr>
      <w:r w:rsidRPr="00D06117">
        <w:rPr>
          <w:rStyle w:val="NumeroAFNegritaCaracter"/>
        </w:rPr>
        <w:t>2</w:t>
      </w:r>
      <w:r>
        <w:t>. Hemos de comenzar por precisar tres aspectos previos del presente proceso constitucional.</w:t>
      </w:r>
    </w:p>
    <w:p w:rsidR="00D06117" w:rsidRDefault="00D06117" w:rsidP="00D06117">
      <w:pPr>
        <w:pStyle w:val="TextoNormal"/>
      </w:pPr>
    </w:p>
    <w:p w:rsidR="00D06117" w:rsidRDefault="00D06117" w:rsidP="00D06117">
      <w:pPr>
        <w:pStyle w:val="TextoNormal"/>
      </w:pPr>
      <w:r>
        <w:t>a) Como ha quedado reflejado en los antecedentes, las Cortes Valencianas presentaron su escrito de alegaciones con fecha de 29 de mayo de 2009, superado el plazo de quince días que les había sido concedido en providencia de 21 de abril de 2009. Por ello, la providencia de 23 de junio de 2009, dictada por el Pleno del Tribunal, acordó por lo que respecta a dichas Cortes, no tenerlas por personadas ni por formuladas sus alegaciones, al resultar su escrito manifiestamente extemporáneo.</w:t>
      </w:r>
    </w:p>
    <w:p w:rsidR="00D06117" w:rsidRDefault="00D06117" w:rsidP="00D06117">
      <w:pPr>
        <w:pStyle w:val="TextoNormal"/>
      </w:pPr>
    </w:p>
    <w:p w:rsidR="00D06117" w:rsidRDefault="00D06117" w:rsidP="00D06117">
      <w:pPr>
        <w:pStyle w:val="TextoNormal"/>
      </w:pPr>
      <w:r>
        <w:t>b) En cuanto al escrito de demanda, hemos reiterado en anteriores ocasiones que la impugnación de normas precisa de una fundamentación que contenga un análisis y una argumentación suficientes, pues “cuando lo que se encuentra en juego es la depuración del ordenamiento jurídico resulta carga de los recurrentes, no sólo abrir la vía para que el Tribunal pueda pronunciarse, sino también colaborar con la justicia del Tribunal mediante un porme</w:t>
      </w:r>
      <w:r>
        <w:lastRenderedPageBreak/>
        <w:t>norizado análisis de las cuestiones que se suscitan, por lo cual, si no se atiende esta exigencia, se falta a la diligencia procesalmente requerida” (por todas, STC 13/2007, de 18 de enero, FJ 1), y ello porque hay una presunción de constitucionalidad de normas con rango de ley que no puede desvirtuarse sin más, prescindiendo de una razón suficientemente fundada [SSTC 204/2011, de 15 de diciembre, FJ 2 b); y 22/2012, de 16 de febrero, FJ 2 b)].</w:t>
      </w:r>
    </w:p>
    <w:p w:rsidR="00D06117" w:rsidRDefault="00D06117" w:rsidP="00D06117">
      <w:pPr>
        <w:pStyle w:val="TextoNormal"/>
      </w:pPr>
    </w:p>
    <w:p w:rsidR="00D06117" w:rsidRDefault="00D06117" w:rsidP="00D06117">
      <w:pPr>
        <w:pStyle w:val="TextoNormal"/>
      </w:pPr>
      <w:r>
        <w:t>A partir de lo que antecede, no se advierte contenido argumentativo suficiente dirigido a la impugnación, en su totalidad, de los arts. 14 y 15 de la Ley de las Cortes Valencianas 16/2008 que, respectivamente, otorgan nueva redacción a los arts. 171 y 172.2 del texto refundido de la Ley de tasas de la Generalitat. En efecto, la argumentación del recurso se ciñe exclusivamente a uno de los supuestos en los que procede el pago de la “tasa por prestación de asistencia sanitaria”, el que corresponde a los beneficiarios de las mutualidades administrativas (MUFACE, ISFAS y MUGEJU), que hayan optado por la red sanitaria pública. Es decir, aunque formalmente se impugnen ambos preceptos en su totalidad, lo que realmente se controvierte en el recurso es si la aplicación de la citada tasa a los mutualistas que opten por la sanidad pública invade las competencias del Estado en materia de sanidad y régimen económico de la Seguridad Social, y si es además contraria al sistema de financiación autonómica. No se cuestiona así el resto de supuestos a los que la tasa resulta de aplicación, ni tampoco otros aspectos de su régimen jurídico.</w:t>
      </w:r>
    </w:p>
    <w:p w:rsidR="00D06117" w:rsidRDefault="00D06117" w:rsidP="00D06117">
      <w:pPr>
        <w:pStyle w:val="TextoNormal"/>
      </w:pPr>
    </w:p>
    <w:p w:rsidR="00D06117" w:rsidRDefault="00D06117" w:rsidP="00D06117">
      <w:pPr>
        <w:pStyle w:val="TextoNormal"/>
      </w:pPr>
      <w:r>
        <w:t>Por tanto, el examen de constitucionalidad se ceñirá al concreto objeto de impugnación, respecto del cual se contiene en la demanda la argumentación imprescindible para hacer posible el pronunciamiento de este Tribunal, y no a la totalidad de los apartados de los arts. 171 y 172 del texto refundido de la Ley de tasas de la Generalitat, en la redacción otorgada por los artículos recurridos. El objeto del presente proceso constitucional se circunscribe así a la modificación operada por el art. 14 de la Ley de las Cortes Valencianas16/2008, de 22 de diciembre, en el apartado 1 del art. 171 del texto refundido de la Ley de tasas de la Generalitat, y por el art. 15 de esa misma norma legal en el inciso segundo del apartado 1 del art. 172.2 del texto refundido de la Ley de tasas de la Generalitat, cuyo tenor se recoge en el correspondiente fundamento jurídico.</w:t>
      </w:r>
    </w:p>
    <w:p w:rsidR="00D06117" w:rsidRDefault="00D06117" w:rsidP="00D06117">
      <w:pPr>
        <w:pStyle w:val="TextoNormal"/>
      </w:pPr>
    </w:p>
    <w:p w:rsidR="00D06117" w:rsidRDefault="00D06117" w:rsidP="00D06117">
      <w:pPr>
        <w:pStyle w:val="TextoNormal"/>
      </w:pPr>
      <w:r>
        <w:t>c) Según el planteamiento de la demanda, concurre en este proceso lo que hemos denominado “inconstitucionalidad de carácter mediato o indirecto” (por todas, STC 162/2009, de 29 de junio, FJ 2), pues la infracción del orden constitucional de distribución de competencias derivaría de su contradicción con la norma estatal básica. En consecuencia, para la resolución de la controversia será preciso que la norma estatal infringida tenga el carácter de norma básica, desde la doble perspectiva formal y material. Finalmente, deberá de tomarse como parámetro de control la legislación básica estatal vigente en el momento de dictar la correspondiente Sentencia, y no en el momento de interposición del recurso de inconstitucionalidad [por todas, SSTC 1/2003, de 16 de enero, FJ 2; y 26/2012, de 1 de marzo, FJ 2 c)]. Como se expondrá detalladamente en el correspondiente fundamento jurídico, la norma básica estatal pertinente al objeto de este proceso constitucional es la Ley 16/2003, de 28 de mayo, de cohesión y calidad del Sistema Nacional de Salud, reformada tras la interposición del presente recurso mediante el Real Decreto-ley 16/2012, de 20 de abril, de medidas urgentes para garantizar la sostenibilidad del Sistema Nacional de Salud y mejorar la calidad y seguridad de sus prestaciones.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3</w:t>
      </w:r>
      <w:r>
        <w:t>. Debemos comenzar por ubicar la controversia en el marco competencial que le corresponde, pues el escrito de demanda afirma la incidencia que la “tasa por prestación de asistencia sanitaria” tendría tanto en la competencia estatal que se deriva del art. 149.1, apartado 16 (“bases y coordinación general de la sanidad”), como del 17 (“régimen económico de la seguridad social”), ambos de la Constitución, además de invocar, por conexión, la vulneración de la competencia sobre condiciones básicas de igualdad contenida en el art. 149.1.1 CE.</w:t>
      </w:r>
    </w:p>
    <w:p w:rsidR="00D06117" w:rsidRDefault="00D06117" w:rsidP="00D06117">
      <w:pPr>
        <w:pStyle w:val="TextoNormal"/>
      </w:pPr>
    </w:p>
    <w:p w:rsidR="00D06117" w:rsidRDefault="00D06117" w:rsidP="00D06117">
      <w:pPr>
        <w:pStyle w:val="TextoNormal"/>
      </w:pPr>
      <w:r>
        <w:t>Según ha quedado expuesto, la tasa autonómica recae sobre la asistencia sanitaria, cuando se presta por los servicios sanitarios de la Comunidad Autónoma a un determinado grupo de contribuyentes; los asegurados y beneficiarios pertenecientes a MUFACE, MUGEJU e ISFAS, que hayan optado por recibir dicha prestación de la red sanitaria del Sistema Nacional de Salud.</w:t>
      </w:r>
    </w:p>
    <w:p w:rsidR="00D06117" w:rsidRDefault="00D06117" w:rsidP="00D06117">
      <w:pPr>
        <w:pStyle w:val="TextoNormal"/>
      </w:pPr>
    </w:p>
    <w:p w:rsidR="00D06117" w:rsidRDefault="00D06117" w:rsidP="00D06117">
      <w:pPr>
        <w:pStyle w:val="TextoNormal"/>
      </w:pPr>
      <w:r>
        <w:t>Pues bien, desde la perspectiva de su encuadramiento competencial, esta controversia guarda similitud con la decidida en la STC 98/2004, de 25 de mayo, que enjuiciaba la Ley del Parlamento de Canarias sobre los precios de referencia en especialidades farmacéuticas. Entonces sostuvimos que en tanto que el precepto se refería a la fijación del sistema de financiación pública de una de las prestaciones (los medicamentos) que proporcionaba el Sistema Nacional de Salud, el marco conceptual y competencial específico aplicable debía ser el de la “sanidad” (art. 149.1.16 CE) y no el de la “Seguridad Social” (art. 149.1.17 CE), de manera que, afirmamos entonces, “[a]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 En este sentido, se aprecia que la norma canaria no afecta al régimen económico de la Seguridad Social, ni a sus recursos financieros, ni a la vigencia del principio de ‘caja única’ por el que se rige. Y ello resulta avalado porque la descentralización de la gestión de los servicios sanitarios y el traspaso de servicios y funciones efectuada por la Administración del Estado en materia de sanidad a favor de las distintas Comunidades Autónomas se ha visto acompañada de una nueva forma de financiación de la asistencia sanitaria, que abandonando la específica partida presupuestaria de la Seguridad Social se ha integrado en el sistema general de financiación autonómica junto al resto de las partidas presupuestarias (proceso éste que ha culminado con la Ley 21/2001, de 27 de diciembre, por la que se regulan las medidas fiscales y administrativas del nuevo sistema de financiación de las Comunidades Autónomas de régimen común y Ciudades con estatuto de autonomía)” (FJ 5).</w:t>
      </w:r>
    </w:p>
    <w:p w:rsidR="00D06117" w:rsidRDefault="00D06117" w:rsidP="00D06117">
      <w:pPr>
        <w:pStyle w:val="TextoNormal"/>
      </w:pPr>
    </w:p>
    <w:p w:rsidR="00D06117" w:rsidRDefault="00D06117" w:rsidP="00D06117">
      <w:pPr>
        <w:pStyle w:val="TextoNormal"/>
      </w:pPr>
      <w:r>
        <w:t>Concluimos así que una medida que se refiere a la fijación del sistema de financiación pública de una de las prestaciones proporcionadas por el Sistema Nacional de Salud debía ubicarse en el título del art. 149.1.16 CE, bases y coordinación de la sanidad, descartando por tanto el contenido en el art. 149.1.17, sobre Seguridad Social.</w:t>
      </w:r>
    </w:p>
    <w:p w:rsidR="00D06117" w:rsidRDefault="00D06117" w:rsidP="00D06117">
      <w:pPr>
        <w:pStyle w:val="TextoNormal"/>
      </w:pPr>
    </w:p>
    <w:p w:rsidR="00D06117" w:rsidRDefault="00D06117" w:rsidP="00D06117">
      <w:pPr>
        <w:pStyle w:val="TextoNormal"/>
      </w:pPr>
      <w:r>
        <w:t xml:space="preserve">En el presente proceso constitucional, la tasa establecida por la Comunidad Valenciana incide sobre las prestaciones sanitarias, cuando éstas se dirigen a los beneficiarios de las citadas mutualidades administrativas (MUFACE, MUGEJU e ISFAS) que opten por la sanidad pública. El mutualismo administrativo es uno de los regímenes especiales a que se refiere en el artículo 10 del texto refundido de la Ley General de Seguridad Social, aprobado </w:t>
      </w:r>
      <w:r>
        <w:lastRenderedPageBreak/>
        <w:t>mediante Real Decreto Legislativo 1/1994, de 20 de junio, por lo que existe indudablemente una conexión de la controvertida tasa con el régimen económico de la Seguridad Social. Sin embargo, el centro de la controversia no radica en el sistema de financiación del mutualismo administrativo, sino en la sujeción a una tasa de la asistencia sanitaria recibida por los citados mutualistas, cuando opten por el sistema público.</w:t>
      </w:r>
    </w:p>
    <w:p w:rsidR="00D06117" w:rsidRDefault="00D06117" w:rsidP="00D06117">
      <w:pPr>
        <w:pStyle w:val="TextoNormal"/>
      </w:pPr>
    </w:p>
    <w:p w:rsidR="00D06117" w:rsidRDefault="00D06117" w:rsidP="00D06117">
      <w:pPr>
        <w:pStyle w:val="TextoNormal"/>
      </w:pPr>
      <w:r>
        <w:t>Por tanto, y puesto que no se afecta de forma directa al régimen económico de la Seguridad Social, por las mismas razones recogidas en el citado fundamento jurídico 5 de la STC 98/2004, también en este caso debemos concluir que el ámbito material más estrechamente relacionado con la controversia constitucional es la sanidad, y puesto que “ha de preponderar la regla competencial específica sobre la más genérica” (por todas, STC 36/2012, de 15 de marzo, FJ 3), el examen deberá partir de la misma.</w:t>
      </w:r>
    </w:p>
    <w:p w:rsidR="00D06117" w:rsidRDefault="00D06117" w:rsidP="00D06117">
      <w:pPr>
        <w:pStyle w:val="TextoNormal"/>
      </w:pPr>
    </w:p>
    <w:p w:rsidR="00D06117" w:rsidRDefault="00D06117" w:rsidP="00D06117">
      <w:pPr>
        <w:pStyle w:val="TextoNormal"/>
      </w:pPr>
      <w:r>
        <w:t>En cuanto a la competencia estatal del art. 149.1.1 CE también invocada en la demanda, ya establecimos, que “dada la función uniformadora que ha de cumplir la normativa básica, ha de señalarse que tal competencia [del art. 149.1.1 CE] queda absorbida por la que le corresponde al Estado en la regulación de las bases de la sanidad, que es más específica y puede dotarse también de un mayor contenido” (STC 109/2003, de 5 de junio, FJ 3). Razonamiento que también cabe aplicar al presente supuesto, por lo que el examen que sigue se ceñirá al ámbito competencial de sanidad.</w:t>
      </w:r>
    </w:p>
    <w:p w:rsidR="00D06117" w:rsidRDefault="00D06117" w:rsidP="00D06117">
      <w:pPr>
        <w:pStyle w:val="TextoNormal"/>
      </w:pPr>
    </w:p>
    <w:p w:rsidR="00D06117" w:rsidRDefault="00D06117" w:rsidP="00D06117">
      <w:pPr>
        <w:pStyle w:val="TextoNormal"/>
      </w:pPr>
      <w:r w:rsidRPr="00D06117">
        <w:rPr>
          <w:rStyle w:val="NumeroAFNegritaCaracter"/>
        </w:rPr>
        <w:t>4</w:t>
      </w:r>
      <w:r>
        <w:t>. Alcanzada la anterior conclusión sobre la materia en la que la norma impugnada se incardina dentro del orden competencial previsto en el bloque de la constitucionalidad, procede ahora examinar las competencias que sobre la misma ostentan tanto el Estado como la Comunidad Autónoma Valenciana.</w:t>
      </w:r>
    </w:p>
    <w:p w:rsidR="00D06117" w:rsidRDefault="00D06117" w:rsidP="00D06117">
      <w:pPr>
        <w:pStyle w:val="TextoNormal"/>
      </w:pPr>
    </w:p>
    <w:p w:rsidR="00D06117" w:rsidRDefault="00D06117" w:rsidP="00D06117">
      <w:pPr>
        <w:pStyle w:val="TextoNormal"/>
      </w:pPr>
      <w:r>
        <w:t>El Estado, de acuerdo con el art. 149.1.16 CE, tiene competencia exclusiva tanto sobre la “sanidad exterior”, como sobre las “bases y coordinación general de la sanidad”.</w:t>
      </w:r>
    </w:p>
    <w:p w:rsidR="00D06117" w:rsidRDefault="00D06117" w:rsidP="00D06117">
      <w:pPr>
        <w:pStyle w:val="TextoNormal"/>
      </w:pPr>
    </w:p>
    <w:p w:rsidR="00D06117" w:rsidRDefault="00D06117" w:rsidP="00D06117">
      <w:pPr>
        <w:pStyle w:val="TextoNormal"/>
      </w:pPr>
      <w:r>
        <w:t>Por su parte, el vigente Estatuto de Autonomía de la Comunidad Valenciana, reformado mediante la Ley Orgánica 1/2006, de 10 de abril, establece en su art. 54.1 la competencia exclusiva de la Generalitat para la “organización, administración y gestión de todas las instituciones sanitarias públicas dentro del territorio de la Comunitat Valenciana”, estableciendo el apartado 4 del mismo artículo que “[l]a Generalitat podrá organizar y administrar para aquellas finalidades, y dentro de su territorio, todos los servicios relacionados con las materias antes mencionadas, y ejercerá la tutela de las instituciones, entidades y funciones en materia de sanidad y seguridad social”.</w:t>
      </w:r>
    </w:p>
    <w:p w:rsidR="00D06117" w:rsidRDefault="00D06117" w:rsidP="00D06117">
      <w:pPr>
        <w:pStyle w:val="TextoNormal"/>
      </w:pPr>
    </w:p>
    <w:p w:rsidR="00D06117" w:rsidRDefault="00D06117" w:rsidP="00D06117">
      <w:pPr>
        <w:pStyle w:val="TextoNormal"/>
      </w:pPr>
      <w:r>
        <w:t>En desarrollo del título competencial contenido en el art. 149.1.16 CE, el Estado ha dictado, entre otras, la citada Ley de cohesión y calidad del Sistema Nacional de Salud, norma que establece las prestaciones básicas del Sistema Nacional de Salud. La Ley dispone, como uno de sus principios, el de la “financiación pública del Sistema Nacional de Salud, de acuerdo con el vigente sistema de financiación autonómica” [art. 2 e) de la Ley de cohesión y calidad del Sistema Nacional de Salud], garantizando a los asegurados “[l]a asistencia sanitaria en España, con cargo a fondos públicos, a través del Sistema Nacional de Salud” (art. 3.1 de la Ley de cohesión y calidad del Sistema Nacional de Salud).</w:t>
      </w:r>
    </w:p>
    <w:p w:rsidR="00D06117" w:rsidRDefault="00D06117" w:rsidP="00D06117">
      <w:pPr>
        <w:pStyle w:val="TextoNormal"/>
      </w:pPr>
    </w:p>
    <w:p w:rsidR="00D06117" w:rsidRDefault="00D06117" w:rsidP="00D06117">
      <w:pPr>
        <w:pStyle w:val="TextoNormal"/>
      </w:pPr>
      <w:r>
        <w:lastRenderedPageBreak/>
        <w:t>En cuanto a la condición de asegurado, el art. 3.6 incluye entre ellos a los mutualistas de MUFACE, MUGEJU e ISFAS, que mantendrán su régimen jurídico específico. La disposición adicional cuarta, apartado primero, de la misma ley, establece que las citadas mutualidades administrativas están obligadas a “garantizar el contenido de la cartera de servicios del Sistema Nacional de Salud, así como las garantías sobre accesibilidad, movilidad, calidad, seguridad, información y tiempo recogidas en esta Ley”. Esta disposición ha sido reformada por la Ley 33/2011, de 4 de octubre, general de salud pública, aunque sin que la modificación haya alterado su contenido esencial, limitándose a recoger la mención específica de las tres citadas mutualidades. De acuerdo con el marco jurídico estatal, el único supuesto para el que la Ley de cohesión y calidad del Sistema Nacional de Salud prevé un pago por parte de los mutualistas es el de aquéllos que, habiendo optado por recibir asistencia sanitaria mediante una “entidad de seguro” (es decir, privada), reciban sin embargo asistencia sanitaria en centros sanitarios públicos. En estos casos “el gasto correspondiente a la asistencia prestada será reclamado al tercero obligado, de acuerdo con la normativa vigente” (art. 3.6, segundo párrafo).</w:t>
      </w:r>
    </w:p>
    <w:p w:rsidR="00D06117" w:rsidRDefault="00D06117" w:rsidP="00D06117">
      <w:pPr>
        <w:pStyle w:val="TextoNormal"/>
      </w:pPr>
    </w:p>
    <w:p w:rsidR="00D06117" w:rsidRDefault="00D06117" w:rsidP="00D06117">
      <w:pPr>
        <w:pStyle w:val="TextoNormal"/>
      </w:pPr>
      <w:r>
        <w:t>La Ley de cohesión y calidad del Sistema Nacional de Salud, en su art. 7, establece el catálogo de prestaciones del Sistema Nacional de Salud, cuyo objeto es “garantizar las condiciones básicas y comunes para una atención integral, continuada y en el nivel adecuado de atención”. Entre estas prestaciones de atención sanitaria el precepto cita “los servicios o conjunto de servicios preventivos, diagnósticos, terapéuticos, rehabilitadores y de promoción y mantenimiento de la salud dirigidos a los ciudadanos”. A partir de dicho catálogo, se define en los arts. 8 a 8 quater la denominada “cartera común de servicios del Sistema Nacional de Salud”, y sus diferentes modalidades. El art. 8 define la citada cartera común como el conjunto de técnicas, tecnologías o procedimientos mediante los que se hacen efectivas las prestaciones sanitarias. Esta cartera tiene tres modalidades: “cartera común básica de servicios asistenciales del Sistema Nacional de Salud”, “cartera común suplementaria del Sistema Nacional de Salud” y “cartera común de servicios accesorios del Sistema Nacional de Salud” (arts. 8 bis, 8 ter y 8 quater de la Ley de cohesión y calidad del Sistema Nacional de Salud).</w:t>
      </w:r>
    </w:p>
    <w:p w:rsidR="00D06117" w:rsidRDefault="00D06117" w:rsidP="00D06117">
      <w:pPr>
        <w:pStyle w:val="TextoNormal"/>
      </w:pPr>
    </w:p>
    <w:p w:rsidR="00D06117" w:rsidRDefault="00D06117" w:rsidP="00D06117">
      <w:pPr>
        <w:pStyle w:val="TextoNormal"/>
      </w:pPr>
      <w:r>
        <w:t>Junto a la definición de las diferentes prestaciones que las integran, los citados preceptos regulan el sistema de financiación de dichas carteras. Así, se establece que el coste de la “cartera común básica”, integrada por “las actividades asistenciales de prevención, diagnóstico, tratamiento y rehabilitación que se realicen en centros sanitarios o sociosanitarios, así como el transporte sanitario urgente”, sea cubierto “por financiación pública” (art. 8 bis 1), esto es, mediante todos los recursos del Estado y por tanto sin la exigencia de aportaciones directas del destinatario de la prestación sanitaria. Mientras que las carteras común suplementaria y de servicios accesorios, sólo estarán cubiertas parcialmente por financiación pública, pudiendo en este caso las prestaciones sanitarias estar sujetas a “aportación del usuario” (el denominado “copago”), dentro de las condiciones y con los límites cuantitativos previstos en la propia Ley de cohesión y calidad del Sistema Nacional de Salud (arts. 8 ter y quater).</w:t>
      </w:r>
    </w:p>
    <w:p w:rsidR="00D06117" w:rsidRDefault="00D06117" w:rsidP="00D06117">
      <w:pPr>
        <w:pStyle w:val="TextoNormal"/>
      </w:pPr>
    </w:p>
    <w:p w:rsidR="00D06117" w:rsidRDefault="00D06117" w:rsidP="00D06117">
      <w:pPr>
        <w:pStyle w:val="TextoNormal"/>
      </w:pPr>
      <w:r>
        <w:t xml:space="preserve">La cartera común de servicios, en todas sus modalidades, se acordará por el Consejo Interterritorial del Sistema Nacional de Salud, aprobándose después por el Estado, mediante real decreto (art. 8.3 de la Ley de cohesión y calidad del Sistema Nacional de Salud). Las </w:t>
      </w:r>
      <w:r>
        <w:lastRenderedPageBreak/>
        <w:t>Comunidades Autónomas podrán aprobar sus respectivas carteras de servicios, aunque deberán incluir en todo caso la cartera común de servicios del Sistema Nacional de Salud en sus modalidades básica de servicios asistenciales, suplementaria y de servicios accesorios, cartera que además deberá garantizarse “a todos los usuarios” (art. 8 quinquies, apartado 1).</w:t>
      </w:r>
    </w:p>
    <w:p w:rsidR="00D06117" w:rsidRDefault="00D06117" w:rsidP="00D06117">
      <w:pPr>
        <w:pStyle w:val="TextoNormal"/>
      </w:pPr>
    </w:p>
    <w:p w:rsidR="00D06117" w:rsidRDefault="00D06117" w:rsidP="00D06117">
      <w:pPr>
        <w:pStyle w:val="TextoNormal"/>
      </w:pPr>
      <w:r>
        <w:t>De la anterior exposición de las normas básicas del Estado interesa resaltar, a efectos del presente proceso constitucional, que definen quiénes son los asegurados (art. 3, y para los mutualistas, art. 3.6 y disposición adicional cuarta, apartado primero, todos de la Ley de cohesión y calidad del Sistema Nacional de Salud), fijando así quiénes habrán de tener acceso al Sistema Nacional de Salud. Asimismo, la ley estatal concreta las prestaciones sanitarias a que dichos asegurados tendrán derecho, mediante la definición de “carteras” comunes a todo el territorio de la Nación (arts. 7, y 8 a 8 quater). Finalmente, la Ley de cohesión y calidad del Sistema Nacional de Salud establece, como regla general, la “financiación pública del Sistema Nacional de Salud” [art. 2 e)], así como la garantía de su prestación a los asegurados “con cargo a fondos públicos” (art. 3.1), previendo expresamente en qué supuestos específicos procederá sujetar algunas de estas prestaciones, no integrantes de la cartera “básica”, al pago de “aportaciones” del usuario en los términos definidos en la Ley (arts. 8 ter y 8 quater).</w:t>
      </w:r>
    </w:p>
    <w:p w:rsidR="00D06117" w:rsidRDefault="00D06117" w:rsidP="00D06117">
      <w:pPr>
        <w:pStyle w:val="TextoNormal"/>
      </w:pPr>
    </w:p>
    <w:p w:rsidR="00D06117" w:rsidRDefault="00D06117" w:rsidP="00D06117">
      <w:pPr>
        <w:pStyle w:val="TextoNormal"/>
      </w:pPr>
      <w:r w:rsidRPr="00D06117">
        <w:rPr>
          <w:rStyle w:val="NumeroAFNegritaCaracter"/>
        </w:rPr>
        <w:t>5</w:t>
      </w:r>
      <w:r>
        <w:t>. Expuestas así las bases dictadas por el Estado en esta materia, debemos comprobar si, en el ejercicio de su competencia, el Estado ha satisfecho los requisitos exigibles de las normas básicas, entre los que debe distinguirse entre las exigencias de orden formal y material.</w:t>
      </w:r>
    </w:p>
    <w:p w:rsidR="00D06117" w:rsidRDefault="00D06117" w:rsidP="00D06117">
      <w:pPr>
        <w:pStyle w:val="TextoNormal"/>
      </w:pPr>
    </w:p>
    <w:p w:rsidR="00D06117" w:rsidRDefault="00D06117" w:rsidP="00D06117">
      <w:pPr>
        <w:pStyle w:val="TextoNormal"/>
      </w:pPr>
      <w:r>
        <w:t>Para ello debemos partir de nuestra doctrina sobre las bases, que como hemos reiterado en numerosas ocasiones, deben ser en primer lugar expresamente identificadas como tales, de manera que “la propia Ley puede y debe declarar expresamente el carácter básico de la norma o, en su defecto, venir dotada de una estructura que permita inferir, directa o indirectamente, pero sin especial dificultad, su vocación o pretensión básica” (por todas, STC 109/2003, de 5 de junio, FJ 4). Desde una perspectiva formal, el art. 3, los arts. 8 a 8 quinquies y la disposición adicional cuarta de la Ley de cohesión y calidad del Sistema Nacional de Salud se dictan al amparo de la competencia del art. 149.1.16 CE, según se afirma en la disposición final primera de la misma ley.</w:t>
      </w:r>
    </w:p>
    <w:p w:rsidR="00D06117" w:rsidRDefault="00D06117" w:rsidP="00D06117">
      <w:pPr>
        <w:pStyle w:val="TextoNormal"/>
      </w:pPr>
    </w:p>
    <w:p w:rsidR="00D06117" w:rsidRDefault="00D06117" w:rsidP="00D06117">
      <w:pPr>
        <w:pStyle w:val="TextoNormal"/>
      </w:pPr>
      <w:r>
        <w:t>En segundo lugar, desde la perspectiva material, tempranamente establecimos que tendrán tal condición las normas dirigidas a “garantizar en todo el Estado un común denominador normativo dirigido a asegurar, de manera unitaria y en condiciones de igualdad, los intereses generales a partir [de los cuales] pueda cada Comunidad Autónoma, en defensa de sus propios intereses, introducir las peculiaridades que estime convenientes y oportunas, dentro del marco competencial que en la materia le asigne su Estatuto” (STC 69/1988, de 19 de abril, FJ 5, doctrina recogida en la citada STC 109/2003, de 5 de junio, FJ 4).</w:t>
      </w:r>
    </w:p>
    <w:p w:rsidR="00D06117" w:rsidRDefault="00D06117" w:rsidP="00D06117">
      <w:pPr>
        <w:pStyle w:val="TextoNormal"/>
      </w:pPr>
    </w:p>
    <w:p w:rsidR="00D06117" w:rsidRDefault="00D06117" w:rsidP="00D06117">
      <w:pPr>
        <w:pStyle w:val="TextoNormal"/>
      </w:pPr>
      <w:r>
        <w:t xml:space="preserve">Sobre el concreto alcance de las bases de la sanidad, nos pronunciamos en la citada STC 98/2004, de 25 de mayo, en la que afirmamos que la financiación pública del medicamento, constituye “un aspecto esencial o nuclear de la regulación de la prestación farmacéutica, al ser un presupuesto necesario para el acceso de los ciudadanos a los medicamentos en condiciones de igualdad, a precio razonable y con un precio público ajustado”, quedando garantizada “una uniformidad mínima en las condiciones de acceso a los medicamentos con </w:t>
      </w:r>
      <w:r>
        <w:lastRenderedPageBreak/>
        <w:t>independencia del lugar en el que dentro del territorio nacional se resida y se evita la introducción de factores de desigualdad en la protección básica de la salud” (FJ 7).</w:t>
      </w:r>
    </w:p>
    <w:p w:rsidR="00D06117" w:rsidRDefault="00D06117" w:rsidP="00D06117">
      <w:pPr>
        <w:pStyle w:val="TextoNormal"/>
      </w:pPr>
    </w:p>
    <w:p w:rsidR="00D06117" w:rsidRDefault="00D06117" w:rsidP="00D06117">
      <w:pPr>
        <w:pStyle w:val="TextoNormal"/>
      </w:pPr>
      <w:r>
        <w:t>Constatamos también entonces que, en materia de sanidad,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(mismo FJ 7), doctrina que ha sido reiterada recientemente, en la supra citada STC 22/2012, de 16 de febrero, FJ 3.</w:t>
      </w:r>
    </w:p>
    <w:p w:rsidR="00D06117" w:rsidRDefault="00D06117" w:rsidP="00D06117">
      <w:pPr>
        <w:pStyle w:val="TextoNormal"/>
      </w:pPr>
    </w:p>
    <w:p w:rsidR="00D06117" w:rsidRDefault="00D06117" w:rsidP="00D06117">
      <w:pPr>
        <w:pStyle w:val="TextoNormal"/>
      </w:pPr>
      <w:r>
        <w:t>A partir de esta doctrina debemos considerar el carácter básico de art 2 e) de la Ley de cohesión y calidad del Sistema Nacional de Salud, que establece la garantía de financiación pública del sistema, del art. 3 de la Ley de cohesión y calidad del Sistema Nacional de Salud, que define las personas aseguradas y que por tanto tienen derecho a las prestaciones sanitarias en los términos legalmente establecidos, de la disposición adicional cuarta, referida a los mutualistas, y de los citados arts. 7, y 8 a 8 quater, que recogen las diferentes modalidades de prestaciones sanitarias, comenzando por las que constituyen el núcleo esencial o epicentro de la propia materia de sanidad, la denominada “cartera común básica”, y finalizando por las prestaciones suplementarias y de servicios accesorios.</w:t>
      </w:r>
    </w:p>
    <w:p w:rsidR="00D06117" w:rsidRDefault="00D06117" w:rsidP="00D06117">
      <w:pPr>
        <w:pStyle w:val="TextoNormal"/>
      </w:pPr>
    </w:p>
    <w:p w:rsidR="00D06117" w:rsidRDefault="00D06117" w:rsidP="00D06117">
      <w:pPr>
        <w:pStyle w:val="TextoNormal"/>
      </w:pPr>
      <w:r>
        <w:t>Pues bien, en aplicación de la doctrina supra recogida, cabe concluir que la decisión acerca de quiénes deban ser beneficiarios de las prestaciones sanitarias y cuáles sean dichas prestaciones, pertenece indudablemente al núcleo de lo básico, pues define los ámbitos subjetivo y objetivo de la propia materia. En efecto, la definición de quiénes pueden considerarse asegurados y en consecuencia tener acceso al Sistema Nacional de Salud, así como las concretas prestaciones sanitarias que deben ser garantizadas a todos ellos, por integrarse en la “cartera común”, permite establecer un común denominador normativo dirigido a asegurar, de manera unitaria y en condiciones de igualdad, el acceso a la sanidad por parte de todos los ciudadanos incluidos en el ámbito subjetivo de la norma, con independencia de su lugar de residencia. Vinculado con ello, forma lógicamente también parte del ámbito de lo básico la concreta definición de las diferentes modalidades de prestaciones sanitarias comunes (básicas, suplementarias o de servicios accesorios).</w:t>
      </w:r>
    </w:p>
    <w:p w:rsidR="00D06117" w:rsidRDefault="00D06117" w:rsidP="00D06117">
      <w:pPr>
        <w:pStyle w:val="TextoNormal"/>
      </w:pPr>
    </w:p>
    <w:p w:rsidR="00D06117" w:rsidRDefault="00D06117" w:rsidP="00D06117">
      <w:pPr>
        <w:pStyle w:val="TextoNormal"/>
      </w:pPr>
      <w:r>
        <w:t xml:space="preserve">Además, también por aplicación de nuestra doctrina (SSTC 98/2004, de 25 de mayo; y 22/2012, de 16 de febrero, FJ 3) cabe considerar como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w:t>
      </w:r>
      <w:r>
        <w:lastRenderedPageBreak/>
        <w:t>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00D06117" w:rsidRDefault="00D06117" w:rsidP="00D06117">
      <w:pPr>
        <w:pStyle w:val="TextoNormal"/>
      </w:pPr>
    </w:p>
    <w:p w:rsidR="00D06117" w:rsidRDefault="00D06117" w:rsidP="00D06117">
      <w:pPr>
        <w:pStyle w:val="TextoNormal"/>
      </w:pPr>
      <w:r>
        <w:t>Finalmente, dichas bases habilitan un margen para el desarrollo, por parte de las Comunidades Autónomas, de su propia política sanitaria. Éstas podrán, respetando el mínimo formado por las carteras comunes, aprobar sus propias carteras de servicios (art. 8 quinquies), y establecer servicios adicionales para sus residentes. Es decir, las Comunidades Autónomas podrán mejorar el mínimo estatal, pero en ningún caso empeorarlo.</w:t>
      </w:r>
    </w:p>
    <w:p w:rsidR="00D06117" w:rsidRDefault="00D06117" w:rsidP="00D06117">
      <w:pPr>
        <w:pStyle w:val="TextoNormal"/>
      </w:pPr>
    </w:p>
    <w:p w:rsidR="00D06117" w:rsidRDefault="00D06117" w:rsidP="00D06117">
      <w:pPr>
        <w:pStyle w:val="TextoNormal"/>
      </w:pPr>
      <w:r w:rsidRPr="00D06117">
        <w:rPr>
          <w:rStyle w:val="NumeroAFNegritaCaracter"/>
        </w:rPr>
        <w:t>6</w:t>
      </w:r>
      <w:r>
        <w:t>. Sentado lo anterior, procede ahora examinar la “tasa por prestación de asistencia sanitaria”, para determinar si se ha producido una invasión de la competencia básica en materia de sanidad. Debemos recordar, como se expuso en el fundamento jurídico 1, que no se impugnan todos los aspectos del tributo, sino únicamente su extensión a los mutualistas de MUFACE, MUGEJU e ISFAS que opten por la sanidad pública, que de acuerdo con el actual orden de distribución de competencias, será prestada por los servicios sanitarios de las Comunidades Autónomas.</w:t>
      </w:r>
    </w:p>
    <w:p w:rsidR="00D06117" w:rsidRDefault="00D06117" w:rsidP="00D06117">
      <w:pPr>
        <w:pStyle w:val="TextoNormal"/>
      </w:pPr>
    </w:p>
    <w:p w:rsidR="00D06117" w:rsidRDefault="00D06117" w:rsidP="00D06117">
      <w:pPr>
        <w:pStyle w:val="TextoNormal"/>
      </w:pPr>
      <w:r>
        <w:t>Son así objeto de impugnación:</w:t>
      </w:r>
    </w:p>
    <w:p w:rsidR="00D06117" w:rsidRDefault="00D06117" w:rsidP="00D06117">
      <w:pPr>
        <w:pStyle w:val="TextoNormal"/>
      </w:pPr>
    </w:p>
    <w:p w:rsidR="00D06117" w:rsidRDefault="00D06117" w:rsidP="00D06117">
      <w:pPr>
        <w:pStyle w:val="TextoNormal"/>
      </w:pPr>
      <w:r>
        <w:t>a) La nueva redacción dada por el art. 14 de la citada Ley de las Cortes Valencianas 16/2008, al art. 171.1 del texto refundido de la Ley de tasas de la Generalitat, en tanto que elimina el inciso “cuando no hayan sido adscritos, a través del procedimiento establecido, a recibir asistencia sanitaria de la red sanitaria del Sistema Nacional de Salud”, lo que tiene como consecuencia la inclusión, como contribuyentes de la tasa, de “los asegurados y beneficiarios del Sistema de la Seguridad Social pertenecientes a la Mutualidad General de Funcionarios Civiles del Estado (MUFACE), a la Mutualidad General Judicial (MUGEJU) o al Instituto Social de las Fuerzas Armadas (ISFAS)”.</w:t>
      </w:r>
    </w:p>
    <w:p w:rsidR="00D06117" w:rsidRDefault="00D06117" w:rsidP="00D06117">
      <w:pPr>
        <w:pStyle w:val="TextoNormal"/>
      </w:pPr>
    </w:p>
    <w:p w:rsidR="00D06117" w:rsidRDefault="00D06117" w:rsidP="00D06117">
      <w:pPr>
        <w:pStyle w:val="TextoNormal"/>
      </w:pPr>
      <w:r>
        <w:t>b) La redacción dada por el art. 15 al art. 172.2 del texto refundido de la Ley de tasas de la Generalitat, en tanto que incluye, como “sujetos pasivos sustitutos del contribuyente” a “[l]a Mutualidad a la que pertenece el asegurado o beneficiario, para aquellas prestaciones de servicios de asistencia sanitaria y farmacéutica no concertadas con entidades aseguradoras privadas y que aquélla venga obligada, legal o reglamentariamente, a prestar. Respecto a aquellas prestaciones sanitarias y farmacéuticas que deban ser facilitadas por la administración sanitaria valenciana en virtud de convenio o concierto suscrito entre la misma y la Mutualidad correspondiente, se estará a lo dispuesto en el concierto o convenio respectivo”.</w:t>
      </w:r>
    </w:p>
    <w:p w:rsidR="00D06117" w:rsidRDefault="00D06117" w:rsidP="00D06117">
      <w:pPr>
        <w:pStyle w:val="TextoNormal"/>
      </w:pPr>
    </w:p>
    <w:p w:rsidR="00D06117" w:rsidRDefault="00D06117" w:rsidP="00D06117">
      <w:pPr>
        <w:pStyle w:val="TextoNormal"/>
      </w:pPr>
      <w:r>
        <w:t xml:space="preserve">Para el Abogado del Estado la norma autonómica ha establecido un “sistema de copago” de la asistencia sanitaria, aplicable exclusivamente al citado colectivo de mutualistas, lo que supone una quiebra del modelo sanitario vigente en el resto del territorio nacional. En particular, dicho sistema es contrario a la Ley de cohesión y calidad del Sistema Nacional de Salud, norma de la que se desprende que el legislador básico estatal ha optado por un modelo asistencial y no asegurativo de la sanidad, es decir, por una asistencia sanitaria de financiación pública, que por tanto ha de ser financiada indirectamente por medio de impuestos y no directamente por la contribución del usuario. Esto se deduce del art. 10.1 de la Ley de </w:t>
      </w:r>
      <w:r>
        <w:lastRenderedPageBreak/>
        <w:t>cohesión y calidad del Sistema Nacional de Salud, precepto que establece que las prestaciones establecidas en dicha ley “son responsabilidad financiera de las Comunidades Autónomas de conformidad con los acuerdos de transferencias y el actual sistema de financiación autonómica, sin perjuicio de la existencia de un tercero obligado al pago”. Se precisa además en el escrito que la expresión “tercero obligado al pago”, se refiere a los casos en los que los servicios públicos de salud reclaman prestaciones sanitarias, cuando éstas se prestan directamente a personas no directamente cubiertas por el sistema nacional de salud. Cita como ejemplo un funcionario perteneciente a MUFACE, MUGEJU o ISFAS que, por decisión propia, haya quedado adscrito a recibir la prestación de entidades concertadas de la sanidad privada pero que reciba una prestación sanitaria de la red sanitaria del Sistema Nacional de Salud. Además, se vulnera también el modelo de financiación autonómica, al establecerse una tasa para financiar la prestación de un servicio para el que ya están reservados fondos públicos en dicho modelo.</w:t>
      </w:r>
    </w:p>
    <w:p w:rsidR="00D06117" w:rsidRDefault="00D06117" w:rsidP="00D06117">
      <w:pPr>
        <w:pStyle w:val="TextoNormal"/>
      </w:pPr>
    </w:p>
    <w:p w:rsidR="00D06117" w:rsidRDefault="00D06117" w:rsidP="00D06117">
      <w:pPr>
        <w:pStyle w:val="TextoNormal"/>
      </w:pPr>
      <w:r>
        <w:t>Para la Generalitat Valenciana, los preceptos impugnados encuentran sin embargo apoyo legal en la facultad que tienen atribuida los servicios públicos de salud de reclamar el pago de los importes de las prestaciones sanitarias, farmacéuticas y de otra índole a los “terceros obligados al pago”, a que se refieren el citado art. 10.1 de la Ley de cohesión y calidad del Sistema Nacional de Salud, entre otras normas. Las Comunidades Autónomas pueden así solicitar el pago directo a determinadas entidades, tales como el Instituto Nacional de la Seguridad Social, las mutuas de accidentes de trabajo y enfermedades profesionales y otros. Además, la tasa es necesaria para financiar la sanidad, debido al significativo incremento del colectivo de mutualistas de MUFACE, ISFAS y MUGEJU que han optado por recibir la asistencia sanitaria del servicio sanitario público valenciano, lo que ha tenido una gran repercusión en la sostenibilidad financiera del sistema sanitario de la Comunidad Autónoma.</w:t>
      </w:r>
    </w:p>
    <w:p w:rsidR="00D06117" w:rsidRDefault="00D06117" w:rsidP="00D06117">
      <w:pPr>
        <w:pStyle w:val="TextoNormal"/>
      </w:pPr>
    </w:p>
    <w:p w:rsidR="00D06117" w:rsidRDefault="00D06117" w:rsidP="00D06117">
      <w:pPr>
        <w:pStyle w:val="TextoNormal"/>
      </w:pPr>
      <w:r w:rsidRPr="00D06117">
        <w:rPr>
          <w:rStyle w:val="NumeroAFNegritaCaracter"/>
        </w:rPr>
        <w:t>7</w:t>
      </w:r>
      <w:r>
        <w:t>. El hecho imponible de la tasa autonómica lo constituye la prestación de los “servicios de asistencia sanitaria y farmacéutica” que se detallan en el art. 173 del texto refundido de la Ley de tasas de la Generalitat. Se incluyen entre dichos servicios diversas modalidades de prestaciones sanitarias, entre ellas: las “tarifas por procesos hospitalarios”, las “tarifas por actividad”, que se desagregan en “tarifas por actividad de hospitalización” (apartado A), “atención ambulatoria” (apartado B), los “Procedimientos diagnósticos y terapéuticos” (apartado C), “trasplantes, explantes e implantes” (apartado D), y “otros conceptos” (apartado E), entre ellos “transporte en ambulancia”, “prótesis”, y otros.</w:t>
      </w:r>
    </w:p>
    <w:p w:rsidR="00D06117" w:rsidRDefault="00D06117" w:rsidP="00D06117">
      <w:pPr>
        <w:pStyle w:val="TextoNormal"/>
      </w:pPr>
    </w:p>
    <w:p w:rsidR="00D06117" w:rsidRDefault="00D06117" w:rsidP="00D06117">
      <w:pPr>
        <w:pStyle w:val="TextoNormal"/>
      </w:pPr>
      <w:r>
        <w:t xml:space="preserve">Según se expone en el art. 173 del texto refundido de la Ley de tasas de la Generalitat, el importe de dichas tarifas se configura teniendo en cuenta el coste del servicio, en función del tipo de proceso sanitario de que se trate. Así, los denominados “procesos hospitalarios”, que el art. 173.1, apartado 1 define como “las prestaciones sanitarias realizadas en un mismo centro hospitalario a un paciente en régimen de internamiento”, conllevan la imposición de específicas tarifas en función de su naturaleza; por ejemplo, los denominados “procedimientos sobre válvulas cardiacas y otro procedimientos cardiotorácicos mayores con cateterismo cardiaco”, designado con la clave GRD104, implican el pago de una tarifa de 22.281,33 euros; un “parto con complicaciones” (clave GRD372), asciende 2.022,40 euros, mientras que en ausencia de complicaciones asciende a 1.641,79 euros (clave GRD373) o, finalmente, el proceso denominado “neonato, peso al nacer 750-999 gramos, alta con vida”, asciende a 68.238,91 euros (clave GRD604). Idéntico proceso se sigue para la valoración del </w:t>
      </w:r>
      <w:r>
        <w:lastRenderedPageBreak/>
        <w:t>resto de prestaciones sanitarias contenidas en el art. 173 del texto refundido de la Ley de tasas de la Generalitat.</w:t>
      </w:r>
    </w:p>
    <w:p w:rsidR="00D06117" w:rsidRDefault="00D06117" w:rsidP="00D06117">
      <w:pPr>
        <w:pStyle w:val="TextoNormal"/>
      </w:pPr>
    </w:p>
    <w:p w:rsidR="00D06117" w:rsidRDefault="00D06117" w:rsidP="00D06117">
      <w:pPr>
        <w:pStyle w:val="TextoNormal"/>
      </w:pPr>
      <w:r>
        <w:t>A partir de lo anterior, se constata que la tasa controvertida no es estrictamente un supuesto de “aportación del usuario”, que en los términos establecidos en los arts. 8 ter y 8 quater de la Ley de cohesión y calidad del Sistema Nacional de Salud, implicaría que el prestatario del servicio sanitario aportase un porcentaje del coste (el denominado “copago”). Frente a ello, la tasa autonómica lo que persigue es sufragar el propio coste del servicio, finalidad que queda corroborada por las propias alegaciones de la Generalitat Valenciana, que defiende la necesidad de obtener financiación adicional para sufragar el gasto sanitario generado por la atención sanitaria a los mutualistas administrativos, asimilándolo a otros supuestos en los que también se solicita dicho pago, contemplados en el art. 171, apartados 2 a 7, del texto refundido de la Ley de tasas de la Generalitat.</w:t>
      </w:r>
    </w:p>
    <w:p w:rsidR="00D06117" w:rsidRDefault="00D06117" w:rsidP="00D06117">
      <w:pPr>
        <w:pStyle w:val="TextoNormal"/>
      </w:pPr>
    </w:p>
    <w:p w:rsidR="00D06117" w:rsidRDefault="00D06117" w:rsidP="00D06117">
      <w:pPr>
        <w:pStyle w:val="TextoNormal"/>
      </w:pPr>
      <w:r>
        <w:t>Además, según se desprende del análisis de su hecho imponible, la tasa recae tanto sobre las prestaciones básicas contempladas en la cartera común (arts. 7, 8 y 8 bis de la Ley de cohesión y calidad del Sistema Nacional de Salud), como sobre las suplementarias o accesorias (arts. 8 ter y 8 quater). En efecto, aunque los términos en que está redactado el art. 173 del texto refundido de la Ley de tasas de la Generalitat no son equivalentes a los de los arts. 8 bis a quater de la Ley de cohesión y calidad del Sistema Nacional de Salud, es evidente tras la comparación de su contenido, que los servicios de asistencia sanitaria detallados en el precepto autonómico están incluidos en las mencionadas carteras de servicios comunes. Por tanto, la tasa autonómica recae directamente sobre prestaciones sanitarias que, de acuerdo con el marco básico estatal que se ha expuesto, deben ser de financiación pública o estar, en su caso, sólo parcialmente sujetas a aportaciones adicionales del usuario, sin que pueda repercutirse su coste íntegro a los prestatarios del servicio.</w:t>
      </w:r>
    </w:p>
    <w:p w:rsidR="00D06117" w:rsidRDefault="00D06117" w:rsidP="00D06117">
      <w:pPr>
        <w:pStyle w:val="TextoNormal"/>
      </w:pPr>
    </w:p>
    <w:p w:rsidR="00D06117" w:rsidRDefault="00D06117" w:rsidP="00D06117">
      <w:pPr>
        <w:pStyle w:val="TextoNormal"/>
      </w:pPr>
      <w:r>
        <w:t>Esta conclusión no se ve desvirtuada por las alegaciones contenidas en el escrito de la Generalitat Valenciana que, tras justificar el establecimiento de la tasa en que el Estado no habría transferido el coste sanitario correspondiente a la prestación sanitaria pública a los mutualistas, afirma que la tasa no pretendería recuperar el coste económico de todas las prestaciones, sino únicamente de aquéllas que quedan fuera del sistema de financiación común de los servicios públicos de salud por concurrir determinadas circunstancias. De dichas circunstancias se citan dos: que se trate de prestaciones no concertadas entre el Instituto Nacional de la Seguridad Social (INSS) y las mutualidades, como es el caso de la prestación farmacéutica a pacientes no ingresados en centros hospitalarios; o que se trate de prestaciones que, estando incluidas en el ámbito material de los convenios de asistencia sanitaria entre el INSS y las mutualidades, tengan establecida una financiación específica dentro del sistema de financiación actual de los servicios públicos de salud, como es el caso de las prestaciones sanitarias, farmacéuticas y de otra índole facilitadas con motivo u ocasión de accidente de trabajo, acto de servicio o enfermedad profesional.</w:t>
      </w:r>
    </w:p>
    <w:p w:rsidR="00D06117" w:rsidRDefault="00D06117" w:rsidP="00D06117">
      <w:pPr>
        <w:pStyle w:val="TextoNormal"/>
      </w:pPr>
    </w:p>
    <w:p w:rsidR="00D06117" w:rsidRDefault="00D06117" w:rsidP="00D06117">
      <w:pPr>
        <w:pStyle w:val="TextoNormal"/>
      </w:pPr>
      <w:r>
        <w:t>Pues bien, el examen del hecho imponible de la tasa permite concluir que, frente al alegato de la Generalitat, la misma no se limita a sujetar a gravamen las citadas prestaciones específicas, sino que recae directamente sobre todas las prestaciones básicas establecidas por el Estado en los citados arts. 7 y 8 a 8 quater de la Ley de cohesión y calidad del Sistema Nacional de Salud.</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Constatado que el hecho imponible de la tasa lo constituyen las prestaciones sanitarias básicas, el examen de los sujetos pasivos del tributo permite también concluir que éstos coinciden con los asegurados del sistema de salud, de acuerdo con el art. 3 y la disposición adicional cuarta de la Ley de cohesión y calidad del Sistema Nacional de Salud.</w:t>
      </w:r>
    </w:p>
    <w:p w:rsidR="00D06117" w:rsidRDefault="00D06117" w:rsidP="00D06117">
      <w:pPr>
        <w:pStyle w:val="TextoNormal"/>
      </w:pPr>
    </w:p>
    <w:p w:rsidR="00D06117" w:rsidRDefault="00D06117" w:rsidP="00D06117">
      <w:pPr>
        <w:pStyle w:val="TextoNormal"/>
      </w:pPr>
      <w:r>
        <w:t>En efecto, son sujetos pasivos de la tasa, de acuerdo con el art. 172.1 del texto refundido de la Ley de tasas de la Generalitat, “a título de contribuyente, las personas a quienes se presten los servicios sanitarios a los que se refiere el artículo anterior”, lo que incluye a los asegurados y beneficiarios de las tres mutualidades citadas que opten por recibir asistencia sanitaria de la red sanitaria de la red sanitaria del Sistema Nacional de Salud. Según se ha expuesto, antes de su modificación, el art. 171.1 finalizaba con el inciso “cuando no hayan sido adscritos, a través del procedimiento establecido, a recibir asistencia sanitaria de la red sanitaria del Sistema Nacional de Salud”. La demanda considera que la eliminación de este inciso implica la sujeción de los mutualistas administrativos que opten por la sanidad pública, interpretación que confirma el escrito de la Generalitat Valenciana.</w:t>
      </w:r>
    </w:p>
    <w:p w:rsidR="00D06117" w:rsidRDefault="00D06117" w:rsidP="00D06117">
      <w:pPr>
        <w:pStyle w:val="TextoNormal"/>
      </w:pPr>
    </w:p>
    <w:p w:rsidR="00D06117" w:rsidRDefault="00D06117" w:rsidP="00D06117">
      <w:pPr>
        <w:pStyle w:val="TextoNormal"/>
      </w:pPr>
      <w:r>
        <w:t>Dichas mutualidades serían, por su parte, “sustitutas” del contribuyente, lo que significa que serán éstas las principales obligadas al pago de la tasa, si bien podrán repercutir su importe sobre los mutualistas (contribuyentes). En efecto, según el art. 36 de la Ley 58/2003, de 17 de diciembre, general tributaria (LGT), norma de aplicación a todas las Administraciones tributarias (art. 1.1 LGT), mientras el contribuyente es el sujeto pasivo que realiza el hecho imponible, el sustituto es el sujeto pasivo que “por imposición de la Ley y en lugar del contribuyente, está obligado a cumplir la obligación tributaria principal, así como las obligaciones formales inherentes a la misma”. Salvo precepto legal expreso en contrario, el sustituto podrá exigir del contribuyente el importe de las obligaciones tributarias satisfechas (art. 36.3 LGT). Es decir, la regla general es la posibilidad de repercusión, del sustituto al contribuyente, de las cuotas soportadas por aquél. En consecuencia, y puesto que el texto refundido de la Ley de tasas de la Generalitat nada dice en contra, hay que convenir con el Abogado del Estado cuando afirma que el pago de la tasa podrá corresponder a los mutualistas, por repercusión de las mutualidades.</w:t>
      </w:r>
    </w:p>
    <w:p w:rsidR="00D06117" w:rsidRDefault="00D06117" w:rsidP="00D06117">
      <w:pPr>
        <w:pStyle w:val="TextoNormal"/>
      </w:pPr>
    </w:p>
    <w:p w:rsidR="00D06117" w:rsidRDefault="00D06117" w:rsidP="00D06117">
      <w:pPr>
        <w:pStyle w:val="TextoNormal"/>
      </w:pPr>
      <w:r>
        <w:t>Por tanto, el examen de su régimen jurídico permite concluir que la tasa autonómica recae sobre prestaciones sanitarias que, de acuerdo con el marco legal estatal expuesto, deberían estar cubiertas de forma completa y exclusiva por financiación pública para sus beneficiarios, entre los que deben incluirse, como quedó expuesto, los mutualistas de MUFACE, MUGEJU e ISFAS que opten por la asistencia sanitaria pública.</w:t>
      </w:r>
    </w:p>
    <w:p w:rsidR="00D06117" w:rsidRDefault="00D06117" w:rsidP="00D06117">
      <w:pPr>
        <w:pStyle w:val="TextoNormal"/>
      </w:pPr>
    </w:p>
    <w:p w:rsidR="00D06117" w:rsidRDefault="00D06117" w:rsidP="00D06117">
      <w:pPr>
        <w:pStyle w:val="TextoNormal"/>
      </w:pPr>
      <w:r>
        <w:t xml:space="preserve">No desvirtúan la anterior conclusión el resto de alegaciones de la Generalitat Valenciana. En primer lugar, debe rechazarse la calificación que realizan de las mutualidades administrativas como “tercero obligado al pago”, a que se refieren el art. 83 LGS, la disposición adicional vigesimosegunda del texto refundido de la Ley general de la Seguridad Social, o el art. 10.1 de la Ley de cohesión y calidad del Sistema Nacional de Salud. En efecto, como correctamente explica en su escrito el Abogado del Estado, la referencia a dicho tercero obligado al pago se refiere a aquellos casos en los que los servicios públicos de salud reclaman el coste de la asistencia sanitaria que ha sido prestada directamente a personas no directamente cubiertas por el sistema nacional de salud. De acuerdo con el régimen jurídico expuesto, no es posible interpretar que los asegurados de MUFACE, MUGEJU e ISFAS </w:t>
      </w:r>
      <w:r>
        <w:lastRenderedPageBreak/>
        <w:t>sean ajenos al sistema de salud público en los términos pretendidos por el alegato de la Generalitat, ni en consecuencia puede calificarse dichas mutualidades como “terceros”.</w:t>
      </w:r>
    </w:p>
    <w:p w:rsidR="00D06117" w:rsidRDefault="00D06117" w:rsidP="00D06117">
      <w:pPr>
        <w:pStyle w:val="TextoNormal"/>
      </w:pPr>
    </w:p>
    <w:p w:rsidR="00D06117" w:rsidRDefault="00D06117" w:rsidP="00D06117">
      <w:pPr>
        <w:pStyle w:val="TextoNormal"/>
      </w:pPr>
      <w:r>
        <w:t>Finalmente, tampoco altera la conclusión acerca de la controvertida tasa la justificación que se contiene en el escrito de la Generalitat Valenciana, en el sentido de que su establecimiento obedece a la insuficiente financiación prevista en el sistema de financiación autonómica, en el concreto supuesto de prestaciones sanitarias a los citados mutualistas que opten por la sanidad pública. Con este argumento, y sin cuestionar la competencia del Estado en materia de sanidad, se limita el alegato a exponer las razones por las que, desde una perspectiva económica, la tasa es una manera de compensar los gastos sanitarios incurridos por la Comunidad Autónoma en la prestación de asistencia sanitaria a los mutualistas administrativos, gastos que a juicio de la Generalitat no habrían sido debidamente computados en el sistema de financiación autonómica.</w:t>
      </w:r>
    </w:p>
    <w:p w:rsidR="00D06117" w:rsidRDefault="00D06117" w:rsidP="00D06117">
      <w:pPr>
        <w:pStyle w:val="TextoNormal"/>
      </w:pPr>
    </w:p>
    <w:p w:rsidR="00D06117" w:rsidRDefault="00D06117" w:rsidP="00D06117">
      <w:pPr>
        <w:pStyle w:val="TextoNormal"/>
      </w:pPr>
      <w:r>
        <w:t>Pues bien, sin perjuicio de que, como aduce el Abogado del Estado, las Comunidades Autónomas sí obtienen dicha financiación para sufragar la atención sanitaria a los mutualistas, pues éstos fueron tenidos en cuenta como población protegida en el cómputo del coste sanitario integrado en el sistema de financiación autonómica, lo relevante es que este último argumento del alegato de la Generalitat no guarda conexión alguna con el problema constitucional que la tasa autonómica plantea. Que la finalidad de la tasa sea allegar recursos públicos no implica la competencia material para su establecimiento, sino que el razonamiento es justo el contrario. En efecto, como hemos reiterado, la competencia para la creación y regulación de las tasas se encuentra estrechamente ligada a la competencia material (por todas, STC 35/2012, de 15 de marzo, FJ 6), de manera que la tasa sigue al servicio. En consecuencia, la distribución de competencias en una materia determina la posibilidad de establecer tasas sobre la misma, así como su configuración. Descartado que la Comunidad Autónoma ostente la competencia para establecer quiénes tienen acceso al sistema público de salud, y descartado también que pueda definir las prestaciones básicas del sistema nacional de salud o las condiciones en las que éstas se prestan, puede concluirse que la Comunidad Autónoma carece también de competencia para establecer una tasa sobre esta materia.</w:t>
      </w:r>
    </w:p>
    <w:p w:rsidR="00D06117" w:rsidRDefault="00D06117" w:rsidP="00D06117">
      <w:pPr>
        <w:pStyle w:val="TextoNormal"/>
      </w:pPr>
    </w:p>
    <w:p w:rsidR="00D06117" w:rsidRDefault="00D06117" w:rsidP="00D06117">
      <w:pPr>
        <w:pStyle w:val="TextoNormal"/>
      </w:pPr>
      <w:r>
        <w:t>Por tanto, debemos concluir que la “tasa por prestación de servicios sanitarios”, en tanto que se extiende a los mutualistas de MUFACE, MUGEJU e ISFAS cuando opten por recibir la prestación sanitaria de los servicios públicos de salud, invade la competencia estatal del art. 149.1.16 CE.</w:t>
      </w:r>
    </w:p>
    <w:p w:rsidR="00D06117" w:rsidRDefault="00D06117" w:rsidP="00D06117">
      <w:pPr>
        <w:pStyle w:val="TextoNormal"/>
      </w:pPr>
    </w:p>
    <w:p w:rsidR="00D06117" w:rsidRDefault="00D06117" w:rsidP="00D06117">
      <w:pPr>
        <w:pStyle w:val="TextoNormal"/>
      </w:pPr>
      <w:r>
        <w:t>Procede en consecuencia declarar la inconstitucionalidad y nulidad del art. 14 de la Ley de las Cortes Valencianas 16/2008, de 22 de diciembre, de medidas fiscales, de gestión administrativa y financiera, y de organización de la Generalitat, en tanto que otorga nueva redacción al art. 171.1 texto refundido de la Ley de tasas de la Generalitat, eliminando la excepción que previamente se contenía en el inciso “cuando no hayan sido adscritos, a través del procedimiento establecido, a recibir asistencia sanitaria de la red sanitaria del Sistema Nacional de Salud”, lo que tiene como consecuencia la sujeción de dichos mutualistas a la tasa; y del art. 15 de la misma ley, en tanto que modifica el inciso segundo del art. 172.2 apartado 1, inciso 2 del texto refundido de la Ley de tasas de la Generalitat.</w:t>
      </w:r>
    </w:p>
    <w:p w:rsidR="00D06117" w:rsidRDefault="00D06117" w:rsidP="00D06117">
      <w:pPr>
        <w:pStyle w:val="TextoNormal"/>
      </w:pPr>
    </w:p>
    <w:p w:rsidR="00D06117" w:rsidRDefault="00D06117" w:rsidP="00D06117">
      <w:pPr>
        <w:pStyle w:val="TextoNormal"/>
      </w:pPr>
      <w:r>
        <w:t>Alcanzada esta conclusión, no procede examinar el resto de motivos de impugnación.</w:t>
      </w:r>
    </w:p>
    <w:p w:rsidR="00D06117" w:rsidRDefault="00D06117" w:rsidP="00D06117">
      <w:pPr>
        <w:pStyle w:val="TextoNormal"/>
      </w:pPr>
    </w:p>
    <w:p w:rsidR="00D06117" w:rsidRDefault="00D06117" w:rsidP="00D06117">
      <w:pPr>
        <w:pStyle w:val="TextoNormalCentrado"/>
        <w:keepNext/>
      </w:pPr>
      <w:r>
        <w:lastRenderedPageBreak/>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Declarar la inconstitucionalidad y la nulidad de:</w:t>
      </w:r>
    </w:p>
    <w:p w:rsidR="00D06117" w:rsidRDefault="00D06117" w:rsidP="00D06117">
      <w:pPr>
        <w:pStyle w:val="TextoNormal"/>
      </w:pPr>
    </w:p>
    <w:p w:rsidR="00D06117" w:rsidRDefault="00D06117" w:rsidP="00D06117">
      <w:pPr>
        <w:pStyle w:val="TextoNormal"/>
      </w:pPr>
      <w:r>
        <w:t>a) El art. 14 de la Ley de las Cortes Valencianas 16/2008, de 22 de diciembre, de medidas fiscales, de gestión administrativa y financiera, y de organización de la Generalitat, en cuanto modifica el art. 171.1 del Decreto Legislativo 1/2005, de 25 de febrero, del Consell de la Generalitat, por el que se aprueba el texto refundido de la Ley de tasas de la Generalitat, en cuanto que suprime el inciso “cuando no hayan sido adscritos, a través del procedimiento establecido, a recibir asistencia sanitaria de la red sanitaria del Sistema Nacional de Salud”.</w:t>
      </w:r>
    </w:p>
    <w:p w:rsidR="00D06117" w:rsidRDefault="00D06117" w:rsidP="00D06117">
      <w:pPr>
        <w:pStyle w:val="TextoNormal"/>
      </w:pPr>
    </w:p>
    <w:p w:rsidR="00D06117" w:rsidRDefault="00D06117" w:rsidP="00D06117">
      <w:pPr>
        <w:pStyle w:val="TextoNormal"/>
      </w:pPr>
      <w:r>
        <w:t>b) El art. 15 de la misma ley, en cuanto que introduce en el art. 172.2 apartado 1, el inciso 2 “la Mutualidad a la que pertenece el asegurado o beneficiario, para aquellas prestaciones de servicios de asistencia sanitaria y farmacéutica no concertadas con entidades aseguradoras privadas y que aquélla venga obligada, legal o reglamentariamente, a prestar. Respecto a aquellas prestaciones sanitarias y farmacéuticas que deban ser facilitadas por la administración sanitaria valenciana en virtud de convenio o concierto suscrito entre la misma y la Mutualidad correspondiente, se estará a lo dispuesto en el concierto o convenio respectivo”.</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diecinueve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40" w:name="SENTENCIA_2012_137"/>
      <w:r>
        <w:lastRenderedPageBreak/>
        <w:t>SENTENCIA 137/2012, de 19 de junio de 2012</w:t>
      </w:r>
    </w:p>
    <w:bookmarkEnd w:id="140"/>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ECLI:ES:TC:2012:137</w:t>
      </w:r>
    </w:p>
    <w:p w:rsidR="00D06117" w:rsidRDefault="00D06117" w:rsidP="00D06117">
      <w:pPr>
        <w:pStyle w:val="SntesisDescriptiva"/>
      </w:pPr>
    </w:p>
    <w:p w:rsidR="00D06117" w:rsidRDefault="00D06117" w:rsidP="00D06117">
      <w:pPr>
        <w:pStyle w:val="SntesisDescriptiva"/>
      </w:pPr>
      <w:r>
        <w:t>Recurso de inconstitucionalidad 3644-2009. Interpuesto por el Presidente del Gobierno, en relación con la disposición adicional tercera de la Ley del Parlamento de Galicia 9/2002, de 30 de diciembre, de ordenación urbanística y de protección del medio rural de Galicia, en la redacción dada a la misma por la Ley del Parlamento de Galicia 18/2008, de 29 de diciembre, de vivienda.</w:t>
      </w:r>
    </w:p>
    <w:p w:rsidR="00D06117" w:rsidRDefault="00D06117" w:rsidP="00D06117">
      <w:pPr>
        <w:pStyle w:val="SntesisDescriptiva"/>
      </w:pPr>
    </w:p>
    <w:p w:rsidR="00D06117" w:rsidRDefault="00D06117" w:rsidP="00D06117">
      <w:pPr>
        <w:pStyle w:val="SntesisAnaltica"/>
      </w:pPr>
      <w:r>
        <w:t>Competencias sobre condiciones básicas de igualdad, legislación civil, medio ambiente y ordenación del territorio: nulidad del precepto legal autonómico que determina limitaciones o servidumbres sobre los terrenos colindantes con el dominio público marítimo-terrestre (STC 87/2012).</w:t>
      </w:r>
    </w:p>
    <w:p w:rsidR="00D06117" w:rsidRDefault="00D06117" w:rsidP="00D06117">
      <w:pPr>
        <w:pStyle w:val="SntesisAnaltica"/>
      </w:pPr>
    </w:p>
    <w:p w:rsidR="00D06117" w:rsidRDefault="00D06117" w:rsidP="00D06117">
      <w:pPr>
        <w:pStyle w:val="Extracto"/>
      </w:pPr>
      <w:r>
        <w:t>1.</w:t>
      </w:r>
      <w:r>
        <w:tab/>
        <w:t>Reitera la doctrina sobre el establecimiento de la servidumbre de protección del dominio público marítimo terrestre, de la STC 87/2012  [FFJJ 2, 3].</w:t>
      </w:r>
    </w:p>
    <w:p w:rsidR="00D06117" w:rsidRDefault="00D06117" w:rsidP="00D06117">
      <w:pPr>
        <w:pStyle w:val="Extracto"/>
      </w:pPr>
    </w:p>
    <w:p w:rsidR="00D06117" w:rsidRDefault="00D06117" w:rsidP="00D06117">
      <w:pPr>
        <w:pStyle w:val="Extracto"/>
      </w:pPr>
      <w:r>
        <w:t>2.</w:t>
      </w:r>
      <w:r>
        <w:tab/>
        <w:t>Sólo al Estado compete el establecimiento de servidumbres y limitaciones en los terrenos colindantes con el dominio público marítimo-terrestre, en virtud de su competencia para establecer una legislación básica en materia de medio ambiente, ex art. 149.1.23 CE en conexión con el art. 149.1.1 CE, sin que las competencias autonómicas para la ordenación del territorio y el urbanismo puedan incidir en la fijación por el Estado de la servidumbre de protección de costas (SSTC 149/1991, 198/1991) [FJ 2].</w:t>
      </w:r>
    </w:p>
    <w:p w:rsidR="00D06117" w:rsidRDefault="00D06117" w:rsidP="00D06117">
      <w:pPr>
        <w:pStyle w:val="Extracto"/>
      </w:pPr>
    </w:p>
    <w:p w:rsidR="00D06117" w:rsidRDefault="00D06117" w:rsidP="00D06117">
      <w:pPr>
        <w:pStyle w:val="Extracto"/>
      </w:pPr>
      <w:r>
        <w:t>3.</w:t>
      </w:r>
      <w:r>
        <w:tab/>
        <w:t>El ejercicio de la competencia autonómica sobre ordenación del litoral no puede reducir el contenido de las facultades que corresponden al Estado, en cuanto titular del dominio público marítimo-terrestre, entre las que se encuentra la definición de los criterios para determinar los bienes integrantes de dicho dominio público y la delimitación concreta de tales bienes (STC 149/1991) [FJ 3].</w:t>
      </w:r>
    </w:p>
    <w:p w:rsidR="00D06117" w:rsidRDefault="00D06117" w:rsidP="00D06117">
      <w:pPr>
        <w:pStyle w:val="Extracto"/>
      </w:pPr>
    </w:p>
    <w:p w:rsidR="00D06117" w:rsidRDefault="00D06117" w:rsidP="00D06117">
      <w:pPr>
        <w:pStyle w:val="Extracto"/>
      </w:pPr>
      <w:r>
        <w:t>4.</w:t>
      </w:r>
      <w:r>
        <w:tab/>
        <w:t xml:space="preserve">Sólo el Estado es competente para fijar en condiciones de igualdad el ejercicio del derecho de propiedad en todo el territorio, sin que las Comunidades Autónomas puedan establecer disposición alguna al respecto, ni siquiera para reproducir con exactitud las previsiones estatales, operación que quedaría vedada por la doctrina sobre la </w:t>
      </w:r>
      <w:r w:rsidRPr="00D06117">
        <w:rPr>
          <w:i/>
        </w:rPr>
        <w:t>lex repetita</w:t>
      </w:r>
      <w:r>
        <w:t xml:space="preserve">  (SSTC 10/1982, 341/2005) [FJ 2].</w:t>
      </w:r>
    </w:p>
    <w:p w:rsidR="00D06117" w:rsidRDefault="00D06117" w:rsidP="00D06117">
      <w:pPr>
        <w:pStyle w:val="Extracto"/>
      </w:pPr>
    </w:p>
    <w:p w:rsidR="00D06117" w:rsidRDefault="00D06117" w:rsidP="00D06117">
      <w:pPr>
        <w:pStyle w:val="Extracto"/>
      </w:pPr>
      <w:r>
        <w:t>5.</w:t>
      </w:r>
      <w:r>
        <w:tab/>
        <w:t>La reproducción de normas estatales en normas autonómicas es inconstitucional cuando la Comunidad Autónoma carece de la correspondiente competencia, salvo que la reiteración de la norma estatal sea imprescindible para el entendimiento del precepto (SSTC 341/2005, 10/1982)  [FJ 2].</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lastRenderedPageBreak/>
        <w:t>El Pleno del Tribunal Constitucional, compuesto por don Pascual Sala Sánchez, Presidente, don Eugeni Gay Montalvo, don Javier Delgado Barrio, doña Elisa Pérez Vera, don Ramón Rodríguez Arribas, don Manuel Aragón Reyes, don Pablo Pérez Tremps, don Francisco Hernando Santiago, doña Adela Asua Batarrita, don Luis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inconstitucionalidad núm. 3644-2009, interpuesto por el Presidente del Gobierno, representado por el Abogado del Estado, en relación con la disposición adicional segunda de la Ley del Parlamento de Galicia 18/2008, de 29 de diciembre, de vivienda, que modifica la disposición adicional tercera de la Ley 9/2002, de 30 de diciembre, de ordenación urbanística y de protección del medio rural de Galicia. Han comparecido y formulado alegaciones el Abogado del Estado, la Xunta de Galicia y el Parlamento de Galicia. Ha sido Ponente el Magistrado don Pablo Pérez Tremps,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Mediante escrito presentado en el Registro General de este Tribunal el día 20 de abril de 2009, el Abogado del Estado, en nombre del Presidente del Gobierno, presentó recurso de inconstitucionalidad contra la disposición adicional segunda de la Ley del Parlamento de Galicia 18/2008, de 29 de diciembre, de vivienda, que modifica la disposición adicional tercera de la Ley 9/2002, de 30 de diciembre, de ordenación urbanística y de protección del medio rural de Galicia. En la demanda se hizo expresa invocación del art. 161.2 CE a los efectos de que se acordase la suspensión de la vigencia y aplicación del precepto legal impugnado.</w:t>
      </w:r>
    </w:p>
    <w:p w:rsidR="00D06117" w:rsidRDefault="00D06117" w:rsidP="00D06117">
      <w:pPr>
        <w:pStyle w:val="TextoNormal"/>
      </w:pPr>
    </w:p>
    <w:p w:rsidR="00D06117" w:rsidRDefault="00D06117" w:rsidP="00D06117">
      <w:pPr>
        <w:pStyle w:val="TextoNormal"/>
      </w:pPr>
      <w:r w:rsidRPr="00D06117">
        <w:rPr>
          <w:rStyle w:val="NumeroAFNegritaCaracter"/>
        </w:rPr>
        <w:t>2</w:t>
      </w:r>
      <w:r>
        <w:t>. Para el Abogado del Estado, el precepto que es objeto del recurso de inconstitucionalidad vulnera las competencias del Estado derivadas de los artículos 132 y 149.1 apartados 1, 8 y 23 CE, por resultar contrario a la legislación estatal dictada en ejercicio de tales competencias constitucionales.</w:t>
      </w:r>
    </w:p>
    <w:p w:rsidR="00D06117" w:rsidRDefault="00D06117" w:rsidP="00D06117">
      <w:pPr>
        <w:pStyle w:val="TextoNormal"/>
      </w:pPr>
    </w:p>
    <w:p w:rsidR="00D06117" w:rsidRDefault="00D06117" w:rsidP="00D06117">
      <w:pPr>
        <w:pStyle w:val="TextoNormal"/>
      </w:pPr>
      <w:r>
        <w:t>Su argumentación parte de la exposición literal del precepto impugnado, que modifica la disposición adicional tercera de la Ley 9/2002, de 30 de diciembre, de ordenación urbanística y de protección del medio rural de Galicia. El Abogado del Estado recuerda al respecto que la Sección Primera de la Sala de lo Contencioso-Administrativo de la Audiencia Nacional planteó en su día cuestión de inconstitucionalidad contra la citada disposición adicional tercera de ordenación urbanística y de protección del medio rural de Galicia, cuestión a la que se dio el núm. 5053-2006. Tras la reforma introducida por la disposición adicional se</w:t>
      </w:r>
      <w:r>
        <w:lastRenderedPageBreak/>
        <w:t>gunda de la Ley de vivienda de Galicia, la disposición adicional tercera de la Ley de ordenación urbanística y de protección del medio rural queda redactada en los siguientes términos:</w:t>
      </w:r>
    </w:p>
    <w:p w:rsidR="00D06117" w:rsidRDefault="00D06117" w:rsidP="00D06117">
      <w:pPr>
        <w:pStyle w:val="TextoNormal"/>
      </w:pPr>
    </w:p>
    <w:p w:rsidR="00D06117" w:rsidRDefault="00D06117" w:rsidP="00D06117">
      <w:pPr>
        <w:pStyle w:val="TextoNormal"/>
      </w:pPr>
      <w:r>
        <w:t>“Disposición adicional tercera. Núcleos rurales preexistentes de carácter tradicional afectados por la legislación de costas.</w:t>
      </w:r>
    </w:p>
    <w:p w:rsidR="00D06117" w:rsidRDefault="00D06117" w:rsidP="00D06117">
      <w:pPr>
        <w:pStyle w:val="TextoNormal"/>
      </w:pPr>
    </w:p>
    <w:p w:rsidR="00D06117" w:rsidRDefault="00D06117" w:rsidP="00D06117">
      <w:pPr>
        <w:pStyle w:val="TextoNormal"/>
      </w:pPr>
      <w:r>
        <w:t>1. A los núcleos rurales preexistentes de carácter tradicional contemplados en la Ley 11/1985, de 22 de agosto, de adaptación de la del suelo a Galicia, les será de aplicación el régimen previsto en el apartado 3 de la disposición transitoria tercera de la Ley 22/1988, de 28 de julio, de costas, así como lo establecido en el apartado 3 de la disposición transitoria séptima y en los apartados 1 y 3 de la disposición transitoria novena del reglamento general para el desarrollo y ejecución de dicha Ley de costas, cuando, a la entrada en vigor de esta última, concurriera en los mismos alguno de los siguientes supuestos:</w:t>
      </w:r>
    </w:p>
    <w:p w:rsidR="00D06117" w:rsidRDefault="00D06117" w:rsidP="00D06117">
      <w:pPr>
        <w:pStyle w:val="TextoNormal"/>
      </w:pPr>
    </w:p>
    <w:p w:rsidR="00D06117" w:rsidRDefault="00D06117" w:rsidP="00D06117">
      <w:pPr>
        <w:pStyle w:val="TextoNormal"/>
      </w:pPr>
      <w:r>
        <w:t>a) En municipios con planeamiento, los terrenos clasificados de suelo urbano de núcleo rural, así como aquellos que reunían alguno de los siguientes requisitos:</w:t>
      </w:r>
    </w:p>
    <w:p w:rsidR="00D06117" w:rsidRDefault="00D06117" w:rsidP="00D06117">
      <w:pPr>
        <w:pStyle w:val="TextoNormal"/>
      </w:pPr>
    </w:p>
    <w:p w:rsidR="00D06117" w:rsidRDefault="00D06117" w:rsidP="00D06117">
      <w:pPr>
        <w:pStyle w:val="TextoNormal"/>
      </w:pPr>
      <w:r>
        <w:t>- Que contaban con acceso rodado, abastecimiento de agua, evacuación de aguas residuales y suministro de energía eléctrica.</w:t>
      </w:r>
    </w:p>
    <w:p w:rsidR="00D06117" w:rsidRDefault="00D06117" w:rsidP="00D06117">
      <w:pPr>
        <w:pStyle w:val="TextoNormal"/>
      </w:pPr>
    </w:p>
    <w:p w:rsidR="00D06117" w:rsidRDefault="00D06117" w:rsidP="00D06117">
      <w:pPr>
        <w:pStyle w:val="TextoNormal"/>
      </w:pPr>
      <w:r>
        <w:t>- Que, aun careciendo de alguno de los servicios citados en el guión anterior, estaban comprendidos en áreas consolidadas por la edificación como mínimo en dos terceras partes de su superficie, de conformidad con la ordenación de aplicación.</w:t>
      </w:r>
    </w:p>
    <w:p w:rsidR="00D06117" w:rsidRDefault="00D06117" w:rsidP="00D06117">
      <w:pPr>
        <w:pStyle w:val="TextoNormal"/>
      </w:pPr>
    </w:p>
    <w:p w:rsidR="00D06117" w:rsidRDefault="00D06117" w:rsidP="00D06117">
      <w:pPr>
        <w:pStyle w:val="TextoNormal"/>
      </w:pPr>
      <w:r>
        <w:t>b) En municipios sin planeamiento, los terrenos que reunían alguno de los siguientes requisitos:</w:t>
      </w:r>
    </w:p>
    <w:p w:rsidR="00D06117" w:rsidRDefault="00D06117" w:rsidP="00D06117">
      <w:pPr>
        <w:pStyle w:val="TextoNormal"/>
      </w:pPr>
    </w:p>
    <w:p w:rsidR="00D06117" w:rsidRDefault="00D06117" w:rsidP="00D06117">
      <w:pPr>
        <w:pStyle w:val="TextoNormal"/>
      </w:pPr>
      <w:r>
        <w:t>- Que contaban con acceso rodado, abastecimiento de agua, evacuación de aguas residuales y suministro de energía eléctrica.</w:t>
      </w:r>
    </w:p>
    <w:p w:rsidR="00D06117" w:rsidRDefault="00D06117" w:rsidP="00D06117">
      <w:pPr>
        <w:pStyle w:val="TextoNormal"/>
      </w:pPr>
    </w:p>
    <w:p w:rsidR="00D06117" w:rsidRDefault="00D06117" w:rsidP="00D06117">
      <w:pPr>
        <w:pStyle w:val="TextoNormal"/>
      </w:pPr>
      <w:r>
        <w:t>- Que, aun careciendo de alguno de los servicios citados en el guion anterior, estaban comprendidos en áreas consolidadas por la edificación como mínimo en la mitad de su superficie.</w:t>
      </w:r>
    </w:p>
    <w:p w:rsidR="00D06117" w:rsidRDefault="00D06117" w:rsidP="00D06117">
      <w:pPr>
        <w:pStyle w:val="TextoNormal"/>
      </w:pPr>
    </w:p>
    <w:p w:rsidR="00D06117" w:rsidRDefault="00D06117" w:rsidP="00D06117">
      <w:pPr>
        <w:pStyle w:val="TextoNormal"/>
      </w:pPr>
      <w:r>
        <w:t>2. Reglamentariamente se establecerá la documentación y el procedimiento para determinar las áreas en que concurren los requisitos señalados en el apartado anterior.</w:t>
      </w:r>
    </w:p>
    <w:p w:rsidR="00D06117" w:rsidRDefault="00D06117" w:rsidP="00D06117">
      <w:pPr>
        <w:pStyle w:val="TextoNormal"/>
      </w:pPr>
    </w:p>
    <w:p w:rsidR="00D06117" w:rsidRDefault="00D06117" w:rsidP="00D06117">
      <w:pPr>
        <w:pStyle w:val="TextoNormal"/>
      </w:pPr>
      <w:r>
        <w:t>3. En los deslindes del dominio público marítimo-terrestre el límite interior de su zona de servidumbre de protección habrá de ajustarse a la realidad urbanística preexistente reconocida expresamente por la Administración urbanística autonómica.”</w:t>
      </w:r>
    </w:p>
    <w:p w:rsidR="00D06117" w:rsidRDefault="00D06117" w:rsidP="00D06117">
      <w:pPr>
        <w:pStyle w:val="TextoNormal"/>
      </w:pPr>
    </w:p>
    <w:p w:rsidR="00D06117" w:rsidRDefault="00D06117" w:rsidP="00D06117">
      <w:pPr>
        <w:pStyle w:val="TextoNormal"/>
      </w:pPr>
      <w:r>
        <w:t xml:space="preserve">Para el Abogado del Estado, los motivos de inconstitucionalidad alegados se centran en la vulneración de las competencias estatales que se recogen en el art. 149.1 apartados 1, 8 y 23 CE, tal como las mismas han sido ejercidas a través de la Ley 22/1988, de 28 de julio, de costas. El propio Abogado del Estado sienta que los razonamientos recogidos en el escrito de alegaciones presentado en el seno del procedimiento relativo a la cuestión de inconstitucionalidad núm. 5053-2006, por los que se entendió que la disposición adicional </w:t>
      </w:r>
      <w:r>
        <w:lastRenderedPageBreak/>
        <w:t>tercera de la Ley de ordenación urbanística y de protección del medio rural de Galicia, en su anterior redacción, era inconstitucional son parcialmente trasladables al número 1 del mismo precepto en la redacción dada por la disposición adicional segunda Ley de vivienda de Galicia. Tras esta afirmación general se recuerda que Galicia justifica su competencia para dictar la Ley de vivienda de Galicia en el art. 27.3 de su Estatuto de Autonomía, que reconoce a esta Comunidad Autónoma la competencia exclusiva en materia de “ordenación del territorio y del litoral, urbanismo y vivienda”, competencia que, no obstante, puede quedar sujeta a límites como el respeto a las competencias estatales derivadas del art. 132 CE en relación con los apartados 1, 8 y 23 del artículo 149.1 CE, tal y como reconoce la jurisprudencia del Tribunal Constitucional sintetizada en la STC 149/1998, de 2 de julio. Además, y para finalizar las alegaciones introductorias, el Abogado del Estado recuerda que este recurso plantea que la ley autonómica incurre en una inconstitucionalidad mediata o indirecta, por vulneración del orden de distribución de competencias legítimamente articulado por el Estado a través de una legislación básica, en este caso la Ley de costas, la mayor parte de cuyo articulado fue declarado expresamente constitucional en la STC 149/1991.</w:t>
      </w:r>
    </w:p>
    <w:p w:rsidR="00D06117" w:rsidRDefault="00D06117" w:rsidP="00D06117">
      <w:pPr>
        <w:pStyle w:val="TextoNormal"/>
      </w:pPr>
    </w:p>
    <w:p w:rsidR="00D06117" w:rsidRDefault="00D06117" w:rsidP="00D06117">
      <w:pPr>
        <w:pStyle w:val="TextoNormal"/>
      </w:pPr>
      <w:r>
        <w:t>A juicio del Abogado del Estado la normativa autonómica impugnada contradice abiertamente la legislación básica estatal contenida en la Ley 22/1988, ya que de la lectura conjunta del art 23 y de la disposición transitoria tercera se deduce que la servidumbre de protección e influencia prevista con carácter general es de 100 metros medida tierra adentro desde el límite interior de la ribera del mar, como medida de protección del medio ambiente y del dominio público marítimo-terrestre, permitiéndose excepcionalmente la aplicación de la servidumbre de 20 metros de forma transitoria, a los terrenos que estuvieran clasificados como urbanos a la entrada en vigor de la Ley de costas, esto es el 29 de julio de 1988. La contradicción radica en que los apartados 1 y 2 de la disposición adicional tercera de la Ley de ordenación urbanística y de protección del medio rural de Galicia pretenden incidir en el régimen de aplicación en el tiempo de un precepto estatal, el art. 23 de la Ley de costas, expresamente declarado básico por el Tribunal Constitucional en la STC 149/1991, de 4 de julio, para lo cual el legislador gallego carece de toda competencia, puesto que es el legislador competente, por razón de la materia, para aprobar una determinada regulación el único que puede establecer el régimen de derecho transitorio al amparo del cual la nueva normativa va sustituyendo a la anterior, en su aplicación a las situaciones jurídicas nacidas al amparo de ésta. Reconoce el Abogado del Estado que la Comunidad Autónoma de Galicia tiene competencia para incidir normativamente en la protección del dominio marítimo-terrestre a través de su facultad de desarrollo de la legislación básica estatal, sin embargo no la tendría para regular el régimen transitorio de entrada en vigor de esa legislación básica.</w:t>
      </w:r>
    </w:p>
    <w:p w:rsidR="00D06117" w:rsidRDefault="00D06117" w:rsidP="00D06117">
      <w:pPr>
        <w:pStyle w:val="TextoNormal"/>
      </w:pPr>
    </w:p>
    <w:p w:rsidR="00D06117" w:rsidRDefault="00D06117" w:rsidP="00D06117">
      <w:pPr>
        <w:pStyle w:val="TextoNormal"/>
      </w:pPr>
      <w:r>
        <w:t>Más allá de lo anterior, el Abogado del Estado entiende que los preceptos objeto de recurso no tienen un contenido totalmente coincidente con el régimen transitorio de la Ley de costas y su reglamento de desarrollo. Siendo cierto que el legislador gallego ha hecho un mayor esfuerzo por respetar el contenido del régimen transitorio estatal, tras la nueva redacción dada a la disposición adicional tercera de la Ley de ordenación urbanística y de protección del medio rural de Galicia por la disposición adicional segunda de la Ley de vivienda de Galicia al desaparecer la referencia al suelo del núcleo rural que, como categoría creada por la Ley gallega 1/1997, era imposible que existiera a la entrada en vigor de la Ley de costas, lo es también que la nueva redacción de la disposición adicional tercera de la Ley de ordenación urbanística y de protección del medio rural de Galicia sólo es parcialmente coin</w:t>
      </w:r>
      <w:r>
        <w:lastRenderedPageBreak/>
        <w:t>cidente con el régimen transitorio establecido en la Ley de costas y su reglamento de desarrollo, por lo que, al igual que ocurría con la anterior redacción de la disposición adicional tercera de la Ley de ordenación urbatística y de protección del medio rural de Galicia, en la vigente redacción, mediante la remisión que el apartado 1 de la disposición hace al punto tercero de la disposición transitoria tercera de la Ley de costas, se produce el efecto de extender la aplicación de la servidumbre de protección de 20 metros a casos no previstos en la legislación básica estatal, más en concreto a “los núcleos rurales prexistentes de carácter tradicional” contemplados en la Ley 11/1985, de 22 de agosto, de adaptación de la del suelo a Galicia, en los que a la entrada en vigor de la Ley de costas concurrieran los siguientes presupuestos:</w:t>
      </w:r>
    </w:p>
    <w:p w:rsidR="00D06117" w:rsidRDefault="00D06117" w:rsidP="00D06117">
      <w:pPr>
        <w:pStyle w:val="TextoNormal"/>
      </w:pPr>
    </w:p>
    <w:p w:rsidR="00D06117" w:rsidRDefault="00D06117" w:rsidP="00D06117">
      <w:pPr>
        <w:pStyle w:val="TextoNormal"/>
      </w:pPr>
      <w:r>
        <w:t>“a) En municipios con planeamiento, los terrenos clasificados de suelo urbano de núcleo rural, así como aquellos que reunían alguno de los siguientes requisitos:</w:t>
      </w:r>
    </w:p>
    <w:p w:rsidR="00D06117" w:rsidRDefault="00D06117" w:rsidP="00D06117">
      <w:pPr>
        <w:pStyle w:val="TextoNormal"/>
      </w:pPr>
    </w:p>
    <w:p w:rsidR="00D06117" w:rsidRDefault="00D06117" w:rsidP="00D06117">
      <w:pPr>
        <w:pStyle w:val="TextoNormal"/>
      </w:pPr>
      <w:r>
        <w:t>- Que contaban con acceso rodado, abastecimiento de agua, evacuación de aguas residuales y suministro de energía eléctrica.</w:t>
      </w:r>
    </w:p>
    <w:p w:rsidR="00D06117" w:rsidRDefault="00D06117" w:rsidP="00D06117">
      <w:pPr>
        <w:pStyle w:val="TextoNormal"/>
      </w:pPr>
    </w:p>
    <w:p w:rsidR="00D06117" w:rsidRDefault="00D06117" w:rsidP="00D06117">
      <w:pPr>
        <w:pStyle w:val="TextoNormal"/>
      </w:pPr>
      <w:r>
        <w:t>- Que, aun careciendo de alguno de los servicios citados en el guion anterior, estaban comprendidos en áreas consolidadas por la edificación como mínimo en dos terceras partes de su superficie, de conformidad con la ordenación de aplicación.</w:t>
      </w:r>
    </w:p>
    <w:p w:rsidR="00D06117" w:rsidRDefault="00D06117" w:rsidP="00D06117">
      <w:pPr>
        <w:pStyle w:val="TextoNormal"/>
      </w:pPr>
    </w:p>
    <w:p w:rsidR="00D06117" w:rsidRDefault="00D06117" w:rsidP="00D06117">
      <w:pPr>
        <w:pStyle w:val="TextoNormal"/>
      </w:pPr>
      <w:r>
        <w:t>b) En municipios sin planeamiento, los terrenos que reunían alguno de los siguientes requisitos:</w:t>
      </w:r>
    </w:p>
    <w:p w:rsidR="00D06117" w:rsidRDefault="00D06117" w:rsidP="00D06117">
      <w:pPr>
        <w:pStyle w:val="TextoNormal"/>
      </w:pPr>
    </w:p>
    <w:p w:rsidR="00D06117" w:rsidRDefault="00D06117" w:rsidP="00D06117">
      <w:pPr>
        <w:pStyle w:val="TextoNormal"/>
      </w:pPr>
      <w:r>
        <w:t>- Que contaban con acceso rodado, abastecimiento de agua, evacuación de aguas residuales y suministro de energía eléctrica.</w:t>
      </w:r>
    </w:p>
    <w:p w:rsidR="00D06117" w:rsidRDefault="00D06117" w:rsidP="00D06117">
      <w:pPr>
        <w:pStyle w:val="TextoNormal"/>
      </w:pPr>
    </w:p>
    <w:p w:rsidR="00D06117" w:rsidRDefault="00D06117" w:rsidP="00D06117">
      <w:pPr>
        <w:pStyle w:val="TextoNormal"/>
      </w:pPr>
      <w:r>
        <w:t>- Que, aun careciendo de alguno de los servicios citados en el guion anterior, estaban comprendidos en áreas consolidadas por la edificación como mínimo en la mitad de su superficie.”</w:t>
      </w:r>
    </w:p>
    <w:p w:rsidR="00D06117" w:rsidRDefault="00D06117" w:rsidP="00D06117">
      <w:pPr>
        <w:pStyle w:val="TextoNormal"/>
      </w:pPr>
    </w:p>
    <w:p w:rsidR="00D06117" w:rsidRDefault="00D06117" w:rsidP="00D06117">
      <w:pPr>
        <w:pStyle w:val="TextoNormal"/>
      </w:pPr>
      <w:r>
        <w:t>Entiende el Abogado del Estado que el núcleo rural de carácter tradicional no era en sí una clasificación urbanística distinta de las tres categorías básicas (suelo urbano, urbanizable o no urbanizable), sino que la correspondiente norma de planeamiento debe clasificarlo en una de esas tres categorías básicas. En resumen, a juicio del Abogado del Estado, para aplicar la transitoria y excepcional servidumbre de protección reducida prevista en la Ley de costas era preciso que, a la entrada en vigor de la misma, existiera un acto expreso de clasificación del suelo como urbano, bien a través del oportuno planeamiento, bien a través de un acto de reconocimiento de la Administración urbanística competente. Con lo cual vulneraría el régimen transitorio previsto en la Ley de costas, por mucho que reúna los requisitos que especifica el apartado 1 de la disposición adicional tercera de la Ley de ordenación urbanística y de protección del medio rural de Galicia, la extensión de la servidumbre de 20 metros al suelo que, en el momento de la entrada en vigor de la Ley de costas no estuviera expresamente clasificado como urbano o al que la Administración urbanística competente no hubiera reconocido expresamente ese carácter.</w:t>
      </w:r>
    </w:p>
    <w:p w:rsidR="00D06117" w:rsidRDefault="00D06117" w:rsidP="00D06117">
      <w:pPr>
        <w:pStyle w:val="TextoNormal"/>
      </w:pPr>
    </w:p>
    <w:p w:rsidR="00D06117" w:rsidRDefault="00D06117" w:rsidP="00D06117">
      <w:pPr>
        <w:pStyle w:val="TextoNormal"/>
      </w:pPr>
      <w:r>
        <w:t xml:space="preserve">Respecto del apartado 3 de la disposición adicional tercera de la Ley de ordenación urbanística y de protección del medio rural de Galicia en la redacción dada por la disposición </w:t>
      </w:r>
      <w:r>
        <w:lastRenderedPageBreak/>
        <w:t>adicional segunda Ley de vivienda de Galicia, que prevé que “en los deslindes del dominio público marítimo-terrestre el límite interior de su zona de servidumbre de protección habrá de ajustarse a la realidad urbanística preexistente reconocida expresamente por la Administración urbanística autonómica”, considera el Abogado del Estado que la legislación básica estatal configura el deslinde como competencia exclusiva plena del Estado, de lo que se deduce la contradicción entre la normativa autonómica y la básica estatal contenida en los arts. 11, 12, 13 y 110 c) de la Ley de costas. Respecto de la competencia estatal básica en esta materia, el Abogado del Estado reconoce que en los conflictos resueltos por las SSTC 149/1991 y 198/1991 no se suscitó controversia alguna de carácter competencial sobre los preceptos básicos que atribuían a la Administración del Estado la plena facultad de deslinde del dominio público, a pesar de lo cual entiende el Abogado del Estado que se puede acudir a otras Sentencias del Tribunal Constitucional, como la 227/1988, para concluir que es competencia propia del Estado según los arts. 132, 149.1, apartados 1, 8 y 23 CE, la determinación de aquellas categorías de bienes que integran el dominio público natural, porque la delimitación de ese dominio púbico es un prius para el concreto ejercicio de las competencias que sobre él se ostenten, de modo que sólo el Estado, como titular de ese dominio público, puede efectuar la operación de deslinde.</w:t>
      </w:r>
    </w:p>
    <w:p w:rsidR="00D06117" w:rsidRDefault="00D06117" w:rsidP="00D06117">
      <w:pPr>
        <w:pStyle w:val="TextoNormal"/>
      </w:pPr>
    </w:p>
    <w:p w:rsidR="00D06117" w:rsidRDefault="00D06117" w:rsidP="00D06117">
      <w:pPr>
        <w:pStyle w:val="TextoNormal"/>
      </w:pPr>
      <w:r>
        <w:t>Teniendo en cuenta lo anterior, el Abogado del Estado entiende que la Comunidad Autónoma no puede utilizar su competencia sobre ordenación del territorio para entrar a regular el deslinde del dominio público marítimo-terrestre, por lo que el apartado 3 de la disposición adicional tercera de la Ley de ordenación urbanística y de protección del medio rural de Galicia sería inconstitucional. La razón es que tal apartado condiciona doblemente la competencia exclusiva estatal de deslinde del dominio público marítimo-terrestre. Por un lado lo condiciona al supeditar el deslinde a la realidad urbanística prexistente, con grave quebranto de los preceptos básicos estatales, que obligan a tener en cuenta para el deslinde exclusivamente la concurrencia de las características de los bienes que lo integran conforme a lo dispuesto en los artículos 3, 4 y 5 de la Ley de costas. Por otro lado al condicionar el deslinde del demanio a un acto expreso y con carácter vinculante de reconocimiento de la realidad urbanística preexistente por parte de la Administración urbanística autonómica, previo al propio deslinde, e inserto en el procedimiento estatal que lo determina.</w:t>
      </w:r>
    </w:p>
    <w:p w:rsidR="00D06117" w:rsidRDefault="00D06117" w:rsidP="00D06117">
      <w:pPr>
        <w:pStyle w:val="TextoNormal"/>
      </w:pPr>
    </w:p>
    <w:p w:rsidR="00D06117" w:rsidRDefault="00D06117" w:rsidP="00D06117">
      <w:pPr>
        <w:pStyle w:val="TextoNormal"/>
      </w:pPr>
      <w:r>
        <w:t xml:space="preserve">Este doble condicionamiento, y particularmente el segundo, es contrario al ejercicio de la competencia estatal, siendo trasladable a este caso la doctrina sentada en los fundamentos jurídicos 5 a 10 de la STC 46/2007, de 1 de marzo, en los que se aprecia la inconstitucionalidad de un precepto autonómico que imponía un informe autonómico vinculante para el ejercicio de una competencia estatal. A juicio del Abogado del Estado la disposición impugnada remite a un acto de la propia Comunidad Autónoma la definición de qué bienes pueden integrarse en la ribera del mar a través de la resolución de reconocimiento de la “realidad urbanística preexistente”. Teniendo en cuenta que la determinación de la ribera del mar es fundamental para aplicar la servidumbre de protección, la disposición autonómica que influye en el deslinde del dominio público terrestre que realice el Estado, afecta la determinación de la zona de servidumbre de protección, lo que limita de forma inconstitucional las facultades que corresponden al Estado en cuanto titular del dominio público marítimo terrestre, entre las que se encuentra la definición de los criterios para determinar los bienes integrantes de dicho dominio público y la delimitación concreta de tales bienes. Concluye el Abogado del Estado diciendo que de la aplicación del precepto autonómico resulta </w:t>
      </w:r>
      <w:r>
        <w:lastRenderedPageBreak/>
        <w:t>que cuando el Estado ejerza su competencia exclusiva de deslinde de la ribera del mar “habrá de ajustarse” a lo que haya dispuesto unilateralmente la Comunidad Autónoma de Galicia, que se arroga así la competencia para definir, atendiendo exclusivamente a un criterio urbanístico —“la realidad urbanística prexistente”—, qué bienes pueden integrarse en el dominio público marítimo-terrestres, condicionando la competencia estatal de un modo que devienen inconstitucional.</w:t>
      </w:r>
    </w:p>
    <w:p w:rsidR="00D06117" w:rsidRDefault="00D06117" w:rsidP="00D06117">
      <w:pPr>
        <w:pStyle w:val="TextoNormal"/>
      </w:pPr>
    </w:p>
    <w:p w:rsidR="00D06117" w:rsidRDefault="00D06117" w:rsidP="00D06117">
      <w:pPr>
        <w:pStyle w:val="TextoNormal"/>
      </w:pPr>
      <w:r w:rsidRPr="00D06117">
        <w:rPr>
          <w:rStyle w:val="NumeroAFNegritaCaracter"/>
        </w:rPr>
        <w:t>3</w:t>
      </w:r>
      <w:r>
        <w:t>. Mediante providencia de 5 de mayo de 2009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al Senado, al Gobierno de la Xunta de Galicia y al Parlamento de Galicia al objeto de que, en el plazo de quince días, pudieran personarse en el proceso y formular las alegaciones que estimaren convenientes. Asimismo, se tuvo por invocado por el Presidente del Gobierno el art. 161.2 CE, lo que, a su tenor y conforme dispone el art. 30 LOTC, produjo la suspensión de la vigencia y aplicación de los preceptos impugnados desde la fecha de interposición del recurso —20 de abril de 2009— para las partes en el proceso y desde el día en que aparece publicada la suspensión en el “Boletín Oficial del Estado” para los terceros. Finalmente, se acordó publicar la incoación del recurso en el “Boletín Oficial del Estado” y en el “Diario Oficial de Galicia”.</w:t>
      </w:r>
    </w:p>
    <w:p w:rsidR="00D06117" w:rsidRDefault="00D06117" w:rsidP="00D06117">
      <w:pPr>
        <w:pStyle w:val="TextoNormal"/>
      </w:pPr>
    </w:p>
    <w:p w:rsidR="00D06117" w:rsidRDefault="00D06117" w:rsidP="00D06117">
      <w:pPr>
        <w:pStyle w:val="TextoNormal"/>
      </w:pPr>
      <w:r w:rsidRPr="00D06117">
        <w:rPr>
          <w:rStyle w:val="NumeroAFNegritaCaracter"/>
        </w:rPr>
        <w:t>4</w:t>
      </w:r>
      <w:r>
        <w:t>. El Presidente del Senado, mediante escrito registrado el día 20 de mayo de 2009, comunicó que la Mesa de la Cámara, en su reunión del día 19 de mayo, había acordado que la Cámara se personase en este procedimiento y dar por ofrecida su colaboración a los efectos del art. 88.1 LOTC. Lo mismo hizo el Presidente del Congreso de los Diputados por escrito registrado el 22 de mayo de 2009, en el que comunicaba el acuerdo de la Mesa de la Cámara de 19 de mayo de 2009.</w:t>
      </w:r>
    </w:p>
    <w:p w:rsidR="00D06117" w:rsidRDefault="00D06117" w:rsidP="00D06117">
      <w:pPr>
        <w:pStyle w:val="TextoNormal"/>
      </w:pPr>
    </w:p>
    <w:p w:rsidR="00D06117" w:rsidRDefault="00D06117" w:rsidP="00D06117">
      <w:pPr>
        <w:pStyle w:val="TextoNormal"/>
      </w:pPr>
      <w:r w:rsidRPr="00D06117">
        <w:rPr>
          <w:rStyle w:val="NumeroAFNegritaCaracter"/>
        </w:rPr>
        <w:t>5</w:t>
      </w:r>
      <w:r>
        <w:t>. El Letrado del Parlamento de Galicia evacuó el día 4 de junio de 2009 el trámite de alegaciones conferido, interesando la desestimación del recurso interpuesto por el Estado contra la Ley de la Comunidad Autónoma de Galicia 18/2008. Asimismo solicitó el levantamiento de la suspensión de la vigencia y aplicación de la norma impugnada.</w:t>
      </w:r>
    </w:p>
    <w:p w:rsidR="00D06117" w:rsidRDefault="00D06117" w:rsidP="00D06117">
      <w:pPr>
        <w:pStyle w:val="TextoNormal"/>
      </w:pPr>
    </w:p>
    <w:p w:rsidR="00D06117" w:rsidRDefault="00D06117" w:rsidP="00D06117">
      <w:pPr>
        <w:pStyle w:val="TextoNormal"/>
      </w:pPr>
      <w:r>
        <w:t>El escrito de alegaciones presentado por esta parte, se inicia con la afirmación de que la disposición autonómica impugnada se dicta al amparo de la competencia exclusiva de la Comunidad Autónoma en materia de ordenación del territorio y del litoral, urbanismo y vivienda [art. 27.3 del Estatuto de Autonomía de Galicia (EAG)], sin invadir la competencia exclusiva plena del estado de legislación básica sobre protección del medio ambiente (art. 149.1.23 CE). Para sostener este argumento principal el Letrado del Parlamento de Galicia reitera las alegaciones formuladas en su día a la cuestión de inconstitucionalidad número 5053-2006.</w:t>
      </w:r>
    </w:p>
    <w:p w:rsidR="00D06117" w:rsidRDefault="00D06117" w:rsidP="00D06117">
      <w:pPr>
        <w:pStyle w:val="TextoNormal"/>
      </w:pPr>
    </w:p>
    <w:p w:rsidR="00D06117" w:rsidRDefault="00D06117" w:rsidP="00D06117">
      <w:pPr>
        <w:pStyle w:val="TextoNormal"/>
      </w:pPr>
      <w:r>
        <w:t xml:space="preserve">El Letrado de la asamblea autonómica inicia su alegato evocando distintas Sentencias del Tribunal Constitucional sobre la distribución competencial entre Estado y comunidades autónomas en materia de medio ambiente que ponen de manifiesto tanto lo particularmente complejo de esta distribución debido al carácter intersectorial o transversal de la materia (entre otras STC 101/2005, de 20 de abril, FJ 3), como el hecho de que el artículo 149.1.23 </w:t>
      </w:r>
      <w:r>
        <w:lastRenderedPageBreak/>
        <w:t>CE atribuye al Estado en materia de protección del medio ambiente la competencia sobre legislación básica sin perjuicio de las facultades de las comunidades autónomas para establecer normas adicionales de protección, lo que supone que, si bien la competencia estatal no impide el desarrollo normativo de las bases estatales por el legislador autonómico, sí que condiciona la capacidad normativa autonómica (STC 102/1995, de 26 de junio, FJ 8). Partiendo de estas consideraciones el Letrado del Parlamento gallego afirma que la disposición adicional objeto de este recurso de inconstitucionalidad no invade la competencia exclusiva estatal previamente descrita, porque la misma es una norma incompleta, que remite a la legislación estatal. A su juicio en la medida en que la disposición adicional tercera de la Ley de ordenación urbanística y de protección del medio rural de Galicia (en la redacción que le da la disposición adicional segunda de la Ley de vivienda de Galicia) reconoce la competencia estatal en la zona de servidumbre del demanio marítimo-terrestre y el carácter básico de la disposición transitoria transitoria de la Ley de costas, así como de las disposiciones transitorias séptima, apartado 3 y novena apartados 1 y 3 del Real Decreto 1471/1989, de 1 de diciembre, por el que se aprueba el reglamento general para desarrollo y ejecución de la Ley de costas, la ley autonómica regula el régimen de los núcleos rurales preexistentes de carácter tradicional, remitiéndose a la normativa básica estatal, a la que no contradice.</w:t>
      </w:r>
    </w:p>
    <w:p w:rsidR="00D06117" w:rsidRDefault="00D06117" w:rsidP="00D06117">
      <w:pPr>
        <w:pStyle w:val="TextoNormal"/>
      </w:pPr>
    </w:p>
    <w:p w:rsidR="00D06117" w:rsidRDefault="00D06117" w:rsidP="00D06117">
      <w:pPr>
        <w:pStyle w:val="TextoNormal"/>
      </w:pPr>
      <w:r>
        <w:t>En defensa de la constitucionalidad del precepto impugnado el Letrado del Parlamento de Galicia entiende aplicable el principio de conservación de la norma y, por ende, el principio de interpretación de todo el ordenamiento conforme a la Constitución, invocando para ello las SSTC 4/1981, 5/1981, 122/1983, 176/1999, 233/1999 y 152/2003. A su juicio existe una interpretación de la norma autonómica impugnada alternativa a la que propone el Abogado del Estado y cuya aplicación permitiría la conservación de la norma autonómica en el seno del ordenamiento, por no resultar contraria al reparto constitucional de competencias. El Letrado recuerda que la disposición transitoria tercera de la Ley de costas establece con carácter básico el régimen general de 100 metros de servidumbre de protección, reduciendo la anchura de la servidumbre a 20 metros en los terrenos clasificados como suelo urbano o asimilados, esto es con situaciones urbanas consolidadas, en el momento de la entrada en vigor de la Ley de costas. A partir de aquí entiende que la regulación estatal no exige con carácter imprescindible, para la aplicación del régimen transitorio, que existiera un acto expreso de clasificación del suelo como urbano al tiempo de entrada en vigor de la Ley de costas. A su juicio, y sobre la base de lo dispuesto en la disposición transitoria novena, apartado 3 del reglamento de costas, se puede afirmar que la condición de suelo urbano a la que alude la legislación de costas no debe derivarse necesariamente de la clasificación expresa de los terrenos por el planeamiento urbanístico, sino que también cabe la concurrencia de otras circunstancias determinantes de tal condición, como la consolidación de la edificación o la existencia de los servicios urbanísticos necesarios para considerar los terrenos como suelo urbano. Dicho de otro modo, la condición de suelo urbano de un terreno es reglada en todo caso, por lo que no es preciso acreditar esa condición con una expresa clasificación en el planeamiento general, sino que la misma puede derivarse de una situación táctica acreditada mediante otras actuaciones administrativas.</w:t>
      </w:r>
    </w:p>
    <w:p w:rsidR="00D06117" w:rsidRDefault="00D06117" w:rsidP="00D06117">
      <w:pPr>
        <w:pStyle w:val="TextoNormal"/>
      </w:pPr>
    </w:p>
    <w:p w:rsidR="00D06117" w:rsidRDefault="00D06117" w:rsidP="00D06117">
      <w:pPr>
        <w:pStyle w:val="TextoNormal"/>
      </w:pPr>
      <w:r>
        <w:t xml:space="preserve">Partiendo de los argumentos expuestos, el Letrado del Parlamento de Galicia afirma que no existe contradicción entre la normativa estatal y la normativa autonómica, existiendo una remisión de la segunda a la primera, de la que se deriva la aplicación del régimen excepcional de servidumbre de protección de costas de 20 metros a los núcleos rurales preexistentes </w:t>
      </w:r>
      <w:r>
        <w:lastRenderedPageBreak/>
        <w:t>de carácter tradicional que estuviesen clasificados como urbanos o asimilados en el momento de entrar en vigor de la Ley de costas, o en los que concurriesen los requisitos que establece la disposición impugnada —y que contemplan las circunstancias fácticas que acreditan a los terrenos como urbanos— sin necesidad de que estuvieran expresamente clasificados como tales. Esta conclusión se basa en la constatación de que, en Galicia, antes de la entrada en vigor de la Ley de costas, existían asentamientos rurales costeros cuyo terreno tenía la condición de suelo urbano por concurrir determinadas circunstancias (consolidación de la edificación, existencia de servicios de acceso rodado, abastecimiento y evacuación de aguas, suministro de energía eléctrica, etc…) aunque no estuviera reconocido como tal. A juicio del Letrado del Parlamento, las Comunidades Autónomas tienen la potestad de delimitar la referencia genérica que hace la disposición transitoria tercera, apartado 3 de la Ley de costas acotando los terrenos que pueden ser clasificados como suelo urbano, de modo que, conforme a la legislación gallega vigente a la entrada en vigor de la Ley de costas, en los núcleos rurales también puede haber terrenos urbanos, urbanizables o no urbanizables, entendiendo, por tanto, que la categoría de suelo de núcleo rural es una categoría genérica y la manifestación jurídica de la realidad de los núcleos de población rural en Galicia, funcionando desde el punto de vista de la clasificación del suelo, como síntesis de situaciones particulares que pueden incluir cualquiera de las clasificaciones tradicionales (suelo urbano, urbanizable, y no urbanizable). Como colofón del razonamiento, la disposición transitoria tercera, apartado 3 de la Ley de costas se aplicaría al suelo urbano de los núcleos rurales, esté o no este suelo clasificado así expresamente por el planeamiento.</w:t>
      </w:r>
    </w:p>
    <w:p w:rsidR="00D06117" w:rsidRDefault="00D06117" w:rsidP="00D06117">
      <w:pPr>
        <w:pStyle w:val="TextoNormal"/>
      </w:pPr>
    </w:p>
    <w:p w:rsidR="00D06117" w:rsidRDefault="00D06117" w:rsidP="00D06117">
      <w:pPr>
        <w:pStyle w:val="TextoNormal"/>
      </w:pPr>
      <w:r>
        <w:t>Junto a todo lo anterior, la representación del Parlamento de Galicia tampoco está de acuerdo con el carácter retroactivo que el recurrente atribuye a la disposición autonómica. Reitera el Letrado que la disposición adicional tercera de la Ley de ordenación urbanística y de protección del medio rural de Galicia sólo se aplicará a los núcleos rurales tradicionales, que eran prexistentes a la propia Ley de costas del año 1988, al haber sido creados por la Ley autonómica 11/1985 de 22 de agosto, de adaptación de la del suelo a Galicia.</w:t>
      </w:r>
    </w:p>
    <w:p w:rsidR="00D06117" w:rsidRDefault="00D06117" w:rsidP="00D06117">
      <w:pPr>
        <w:pStyle w:val="TextoNormal"/>
      </w:pPr>
    </w:p>
    <w:p w:rsidR="00D06117" w:rsidRDefault="00D06117" w:rsidP="00D06117">
      <w:pPr>
        <w:pStyle w:val="TextoNormal"/>
      </w:pPr>
      <w:r>
        <w:t>Por último el Letrado no comparte la pretendida inconstitucionalidad del apartado tercero de la disposición adicional impugnada, en la medida en que entiende que la determinación de la extensión tierra adentro de la servidumbre, que debe ser fijada por el deslinde del dominio público marítimo terrestre, necesita indubitablemente ajustarse a la situación urbanística preexistente a la entrada en vigor de la Ley de costas, siendo evidente que el deslinde debe atender a lo que determina la administración urbanística competente.</w:t>
      </w:r>
    </w:p>
    <w:p w:rsidR="00D06117" w:rsidRDefault="00D06117" w:rsidP="00D06117">
      <w:pPr>
        <w:pStyle w:val="TextoNormal"/>
      </w:pPr>
    </w:p>
    <w:p w:rsidR="00D06117" w:rsidRDefault="00D06117" w:rsidP="00D06117">
      <w:pPr>
        <w:pStyle w:val="TextoNormal"/>
      </w:pPr>
      <w:r w:rsidRPr="00D06117">
        <w:rPr>
          <w:rStyle w:val="NumeroAFNegritaCaracter"/>
        </w:rPr>
        <w:t>6</w:t>
      </w:r>
      <w:r>
        <w:t>. El día 5 de junio de 2009 el Letrado de la Xunta de Galicia presentó ante el Tribunal Constitucional sus alegaciones en las que solicitaba la desestimación del recurso interpuesto. En el tercer otrosí de su escrito interesa el levantamiento anticipado de la suspensión de la vigencia y aplicación del precepto impugnado.</w:t>
      </w:r>
    </w:p>
    <w:p w:rsidR="00D06117" w:rsidRDefault="00D06117" w:rsidP="00D06117">
      <w:pPr>
        <w:pStyle w:val="TextoNormal"/>
      </w:pPr>
    </w:p>
    <w:p w:rsidR="00D06117" w:rsidRDefault="00D06117" w:rsidP="00D06117">
      <w:pPr>
        <w:pStyle w:val="TextoNormal"/>
      </w:pPr>
      <w:r>
        <w:t xml:space="preserve">Respecto de los apartados uno y dos de la disposición transitoria tercera de la Ley de ordenación urbanística y de protección del medio rural de Galicia, en la redacción dada por la disposición adicional segunda de la Ley de vivienda de Galicia el Letrado de la Xunta propugna su ajuste constitucional partiendo, para desarrollar su razonamiento, de la posición del Tribunal Constitucional (entre otras en la STC 61/ 1997, de 20 marzo) que ha considerado conforme a la Constitución el art. 3.2 c) del Texto refundido de la Ley sobre régimen del suelo y ordenación urbana de 1992 al establecer la división del territorio municipal en </w:t>
      </w:r>
      <w:r>
        <w:lastRenderedPageBreak/>
        <w:t>áreas de suelo urbano, urbanizable o apto para urbanizar y no urbanizable, facultando al Estado para desarrollar estas clasificaciones del suelo en la medida en que a las mismas se asocien efectos jurídicos con incidencia directa sobre títulos competenciales exclusivos del Estado. Ahora bien, esa idea no justificaría, a juicio del Letrado autonómico, que la legislación estatal asocie a la clasificación del suelo consecuencias jurídicas que incidan directamente sobre competencias exclusivas de las Comunidades Autónomas, tales como el urbanismo y la ordenación del territorio y del litoral. Lo anterior se manifestaría particularmente en la competencia autonómica para establecer tipologías propias de suelos, competencia ejercida por la Comunidad gallega, ex art. 27.3 de su Estatuto, al acuñar desde la Ley 11/1985 (es decir, con anterioridad a la aprobación de la Ley de costas) hasta la Ley 9/2002, pasando por la Ley 1/1997, el tipo de suelo de núcleo rural atendiendo a una peculiaridad propia del asentamiento de población en Galicia. Y ello en cumplimiento de un mandato del art. 2 del Estatuto de autonomía, norma de mayor rango que la Ley estatal de costas. Dicho de otro modo, el Letrado de la Xunta recuerda que las Comunidades Autónomas, únicas competentes en materia de ordenación del territorio y urbanismo en virtud de lo dispuesto en sus respectivos Estatutos de Autonomía, tienen capacidad para regular tipos de suelo distintos de los contemplados en la legislación estatal, basándose en sus peculiares modos de asentamiento poblacional. De esto se colige que la Comunidad Autónoma de Galicia, sobre la base de la competencia recogida en el art. 27. 3 EAG, podría establecer una tipología de suelo diferente, que, en este caso, se concreta en la regulación urbanística del núcleo rural, que responde a una realidad física de gran importancia para el territorio gallego, tal y como lo demuestra su reconocimiento y protección en diversas normas autonómicas y particularmente en el art. 2.2 EAG.</w:t>
      </w:r>
    </w:p>
    <w:p w:rsidR="00D06117" w:rsidRDefault="00D06117" w:rsidP="00D06117">
      <w:pPr>
        <w:pStyle w:val="TextoNormal"/>
      </w:pPr>
    </w:p>
    <w:p w:rsidR="00D06117" w:rsidRDefault="00D06117" w:rsidP="00D06117">
      <w:pPr>
        <w:pStyle w:val="TextoNormal"/>
      </w:pPr>
      <w:r>
        <w:t>A partir de las anteriores apreciaciones el Letrado de la Junta afirma que, en la medida en que la normativa estatal no recoge el tipo de suelo del núcleo rural, era imposible que la Ley de costas, al utilizar los conceptos urbanísticos estatales, pudiera haberlo mencionado para incluirlo en la disposición transitoria tercera, apartado 3, de lo que no cabe derivar que esté excluido necesariamente de las previsiones en esta disposición contenidas, máxime si la finalidad que persigue la norma estatal no se ve afectada y al tiempo la aplicación de la disposición transitoria estatal permite respetar las especialidades de la citada forma de asentamiento gallega.</w:t>
      </w:r>
    </w:p>
    <w:p w:rsidR="00D06117" w:rsidRDefault="00D06117" w:rsidP="00D06117">
      <w:pPr>
        <w:pStyle w:val="TextoNormal"/>
      </w:pPr>
    </w:p>
    <w:p w:rsidR="00D06117" w:rsidRDefault="00D06117" w:rsidP="00D06117">
      <w:pPr>
        <w:pStyle w:val="TextoNormal"/>
      </w:pPr>
      <w:r>
        <w:t xml:space="preserve">El Letrado insiste en que las disposiciones transitorias de la legislación estatal de costas establecen un régimen distinto para cada tipo de suelo, según la clasificación o las circunstancias concurrentes en el momento de su entrada en vigor, y en la medida en que ello sea necesario para proteger, desde una perspectiva ambiental, el dominio marítimo-terrestre. Ahora bien, insiste también en que las previsiones estatales no pueden limitar la facultad de las Comunidades Autónomas para recoger especialidades urbanísticas derivadas de su forma de asentamiento poblacional, siempre que guarden cierta equivalencia con las clasificaciones básicas que la legislación estatal sobre el suelo establece. Para determinar tal equivalencia, y a los efectos de la aplicación de las disposiciones transitorias de la Ley de costas, habrá que estar a lo que sea pertinente desde la perspectiva de la equivalencia de protección del dominio público marítimo-terrestre. A este respecto el Letrado manifiesta que la normativa estatal, que establece una zona de servidumbre de 100 metros para el suelo no urbanizable —esto es para que los terrenos que no se hubieran incorporado al momento de la entrada en vigor de la Ley de costas al proceso urbanizador—, pretende frenar un proceso de crecimiento lineal de las ciudades costeras para preservar los valores ambientales </w:t>
      </w:r>
      <w:r>
        <w:lastRenderedPageBreak/>
        <w:t>inherentes al dominio público marítimo-terrestre. Ahora bien, simultáneamente el Estado establece un régimen excepcional de 20 metros de servidumbre para el suelo urbano consolidado o el suelo urbanizable programado en el momento de entrada en vigor de la Ley de costas.</w:t>
      </w:r>
    </w:p>
    <w:p w:rsidR="00D06117" w:rsidRDefault="00D06117" w:rsidP="00D06117">
      <w:pPr>
        <w:pStyle w:val="TextoNormal"/>
      </w:pPr>
    </w:p>
    <w:p w:rsidR="00D06117" w:rsidRDefault="00D06117" w:rsidP="00D06117">
      <w:pPr>
        <w:pStyle w:val="TextoNormal"/>
      </w:pPr>
      <w:r>
        <w:t>A juicio del Letrado de la Xunta, la zona exclusivamente urbana –bien por estar declarados así formalmente, bien por reunir las características objetivas que la legislación estatal establece para considerar un suelo como urbano— de los núcleos rurales de carácter tradicional, se asimila al suelo urbano o al suelo urbanizable programado, esto es al suelo transformado urbanísticamente, puesto que el reconocimiento de los núcleos rurales tradicionales se produjo antes de la entrada en vigor de la Ley de costas, existiendo ya el núcleo rural cuando entró en vigor ésta, de modo que la agresión potencial de las zonas costeras, de haberse producido, ya habría tenido lugar, lo que justifica la aplicación del régimen excepcional. Dicho de otro modo, el Letrado entiende que la aplicación del régimen transitorio de la Ley de costas a los terrenos que se contemplan en la disposición autonómica impugnada no supondría la incorporación de nuevos terrenos al fenómeno urbanizador, siendo inocua desde la perspectiva de la protección ambiental de la costa y encajando sin dificultar en lo que constituye una genuina operación de ordenación del territorio para la cual es competente, exclusivamente, la Comunidad Autónoma. La inocuidad de la aplicación de la normativa autonómica se justifica, para la Xunta de Galicia, desde dos puntos de vista. Por un lado desde el punto de vista del origen del asentamiento, y por otro lado desde la perspectiva de las condiciones del asentamiento. Respecto de lo primero, según la normativa básica estatal de costas es necesario que el asiento poblacional haya nacido antes de la entrada en vigor de la Ley 22/1988, parámetro que está garantizado en la disposición gallega cuando se habla del límite temporal de la entrada en vigor de la Ley de costas, insistiendo el Letrado de la Xunta en que la protección otorgada por la ley autonómica es más intensa que la que otorga la normativa estatal, puesto que la reducción de la servidumbre sólo se produce en relación con los núcleos rurales de carácter tradicional que se definen en la Ley autonómica 11/1985. Respecto de la segunda perspectiva, la normativa estatal de costas recurre al concepto de suelo urbano para determinar la reducción de la servidumbre, y una interpretación de esa opción legislativa, acorde con la distribución de competencias que establece el bloque de la constitucionalidad, sólo permitiría entender el concepto de suelo urbano en referencia al suelo ya transformado urbanísticamente en el momento de la entrada en vigor de la Ley de costas, independientemente de la calificación del mismo. En síntesis, a juicio del Letrado autonómico, no puede contravenir la normativa estatal lo que no ataca condiciones básicas de igualdad, ni menoscaba el límite de protección elemental que establece la Ley de costas, que pretende la reducción de la servidumbre sobre suelos ya transformados urbanísticamente.</w:t>
      </w:r>
    </w:p>
    <w:p w:rsidR="00D06117" w:rsidRDefault="00D06117" w:rsidP="00D06117">
      <w:pPr>
        <w:pStyle w:val="TextoNormal"/>
      </w:pPr>
    </w:p>
    <w:p w:rsidR="00D06117" w:rsidRDefault="00D06117" w:rsidP="00D06117">
      <w:pPr>
        <w:pStyle w:val="TextoNormal"/>
      </w:pPr>
      <w:r>
        <w:t>En relación con la alegación de que la normativa autonómica pretende interferir el régimen transitorio de la Ley de costas, el Letrado de la Xunta alega que tal afirmación busca desenfocar en debate, puesto que no se está aquí ante un intento de modificar el régimen transitorio, al no interferir la disposición adicional segunda de la Ley de vivienda de Galicia en nada en las condiciones en que el suelo urbano puede o no ser objeto de una reducción de 20 metros en la servidumbre de protección.</w:t>
      </w:r>
    </w:p>
    <w:p w:rsidR="00D06117" w:rsidRDefault="00D06117" w:rsidP="00D06117">
      <w:pPr>
        <w:pStyle w:val="TextoNormal"/>
      </w:pPr>
    </w:p>
    <w:p w:rsidR="00D06117" w:rsidRDefault="00D06117" w:rsidP="00D06117">
      <w:pPr>
        <w:pStyle w:val="TextoNormal"/>
      </w:pPr>
      <w:r>
        <w:t xml:space="preserve">Por último, y en lo que hace a la impugnación del apartado tercero de la disposición adicional tercera de la Ley de ordenación urbanística y de protección del medio rural de </w:t>
      </w:r>
      <w:r>
        <w:lastRenderedPageBreak/>
        <w:t>Galicia, se afirma que la intervención autonómica a la que se refiere el precepto impugnado no supone que la administración autonómica actúe en la fijación del dominio público marítimo terrestre, sino en la fijación de la extensión cara adentro de la servidumbre, dado que tal determinación necesita de un análisis urbanístico respecto del que es competente la administración autonómica. Por otro lado, a juicio del Letrado, el precepto gallego impugnado no obliga a la realización del deslinde conforme a lo dispuesto por la administración gallega, sino que dado que, por un lado, la intervención autonómica existe el procedimiento de deslinde por imposición de la propia normativa estatal, y que también esa normativa obliga hacer un análisis urbanístico para determinar un aspecto del deslinde, que la administración estatal tenga en cuenta este análisis de la administración competente en urbanismo, no puede ser inconstitucional.</w:t>
      </w:r>
    </w:p>
    <w:p w:rsidR="00D06117" w:rsidRDefault="00D06117" w:rsidP="00D06117">
      <w:pPr>
        <w:pStyle w:val="TextoNormal"/>
      </w:pPr>
    </w:p>
    <w:p w:rsidR="00D06117" w:rsidRDefault="00D06117" w:rsidP="00D06117">
      <w:pPr>
        <w:pStyle w:val="TextoNormal"/>
      </w:pPr>
      <w:r w:rsidRPr="00D06117">
        <w:rPr>
          <w:rStyle w:val="NumeroAFNegritaCaracter"/>
        </w:rPr>
        <w:t>7</w:t>
      </w:r>
      <w:r>
        <w:t>. Mediante providencia de 9 de junio de 2009 el Pleno del Tribunal Constitucional acordó incorporar a los autos los escritos de alegaciones formulados por los Letrados del Parlamento de Galicia de la Xunta de Galicia, y en cuanto a la solicitud formulada sobre el levantamiento de la suspensión del precepto objeto del recurso se decidió oír al Abogado del Estado y a las indicadas representaciones procesales para que, en el plazo de cinco días, expusieran lo que consideran inconveniente al respecto, o se ratificaran en las alegaciones formuladas sobre dicho extremo.</w:t>
      </w:r>
    </w:p>
    <w:p w:rsidR="00D06117" w:rsidRDefault="00D06117" w:rsidP="00D06117">
      <w:pPr>
        <w:pStyle w:val="TextoNormal"/>
      </w:pPr>
    </w:p>
    <w:p w:rsidR="00D06117" w:rsidRDefault="00D06117" w:rsidP="00D06117">
      <w:pPr>
        <w:pStyle w:val="TextoNormal"/>
      </w:pPr>
      <w:r w:rsidRPr="00D06117">
        <w:rPr>
          <w:rStyle w:val="NumeroAFNegritaCaracter"/>
        </w:rPr>
        <w:t>8</w:t>
      </w:r>
      <w:r>
        <w:t>. El Abogado del Estado mediante escrito registrado el 23 junio 2009, evacuó el trámite conferido, interesando el mantenimiento de la suspensión. Por escrito registrado el día 24 de junio de 2009 el Letrado de la Xunta de Galicia se ratificó en las alegaciones formuladas en el escrito de demanda y lo mismo hizo la representación procesal del Parlamento de Galicia el día 26 de junio de 2009. El Pleno del Tribunal Constitucional, por ATC 225/2009, de 27 de julio, acordó mantener la suspensión de la disposición adicional segunda de la Ley de Galicia 18/2008, de 29 de diciembre, de vivienda.</w:t>
      </w:r>
    </w:p>
    <w:p w:rsidR="00D06117" w:rsidRDefault="00D06117" w:rsidP="00D06117">
      <w:pPr>
        <w:pStyle w:val="TextoNormal"/>
      </w:pPr>
    </w:p>
    <w:p w:rsidR="00D06117" w:rsidRDefault="00D06117" w:rsidP="00D06117">
      <w:pPr>
        <w:pStyle w:val="TextoNormal"/>
      </w:pPr>
      <w:r w:rsidRPr="00D06117">
        <w:rPr>
          <w:rStyle w:val="NumeroAFNegritaCaracter"/>
        </w:rPr>
        <w:t>9</w:t>
      </w:r>
      <w:r>
        <w:t>. Mediante providencia de 19 de junio de 2012 se señaló para deliberación y votación de la presente Sentencia el día 19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En el presente proceso constitucional debemos resolver el recurso de inconstitucionalidad interpuesto por el Abogado del Estado, en nombre y representación del Presidente del Gobierno contra la disposición adicional segunda de la Ley de Galicia 18/2008, de 29 de diciembre, de vivienda, precepto que modifica la disposición adicional tercera de la Ley 9/2002, de 30 de diciembre, de ordenación urbanística y de protección del medio rural de Galicia, dándole la siguiente redacción:</w:t>
      </w:r>
    </w:p>
    <w:p w:rsidR="00D06117" w:rsidRDefault="00D06117" w:rsidP="00D06117">
      <w:pPr>
        <w:pStyle w:val="TextoNormal"/>
      </w:pPr>
    </w:p>
    <w:p w:rsidR="00D06117" w:rsidRDefault="00D06117" w:rsidP="00D06117">
      <w:pPr>
        <w:pStyle w:val="TextoNormal"/>
      </w:pPr>
      <w:r>
        <w:t>“Disposición adicional tercera. Núcleos rurales preexistentes de carácter tradicional afectados por la legislación de costas.</w:t>
      </w:r>
    </w:p>
    <w:p w:rsidR="00D06117" w:rsidRDefault="00D06117" w:rsidP="00D06117">
      <w:pPr>
        <w:pStyle w:val="TextoNormal"/>
      </w:pPr>
    </w:p>
    <w:p w:rsidR="00D06117" w:rsidRDefault="00D06117" w:rsidP="00D06117">
      <w:pPr>
        <w:pStyle w:val="TextoNormal"/>
      </w:pPr>
      <w:r>
        <w:t xml:space="preserve">1. A los núcleos rurales preexistentes de carácter tradicional contemplados en la Ley 11/1985, de 22 de agosto, de adaptación de la del suelo a Galicia, les será de aplicación el régimen previsto en el apartado 3 de la disposición transitoria tercera de la Ley 22/1988, de </w:t>
      </w:r>
      <w:r>
        <w:lastRenderedPageBreak/>
        <w:t>28 de julio, de Costas, así como lo establecido en el apartado 3 de la disposición transitoria séptima y en los apartados 1 y 3 de la disposición transitoria novena del Reglamento General para el Desarrollo y Ejecución de dicha Ley de Costas, cuando, a la entrada en vigor de esta última, concurriera en los mismos alguno de los siguientes supuestos:</w:t>
      </w:r>
    </w:p>
    <w:p w:rsidR="00D06117" w:rsidRDefault="00D06117" w:rsidP="00D06117">
      <w:pPr>
        <w:pStyle w:val="TextoNormal"/>
      </w:pPr>
    </w:p>
    <w:p w:rsidR="00D06117" w:rsidRDefault="00D06117" w:rsidP="00D06117">
      <w:pPr>
        <w:pStyle w:val="TextoNormal"/>
      </w:pPr>
      <w:r>
        <w:t>a) En municipios con planeamiento, los terrenos clasificados de suelo urbano de núcleo rural, así como aquellos que reunían alguno de los siguientes requisitos:</w:t>
      </w:r>
    </w:p>
    <w:p w:rsidR="00D06117" w:rsidRDefault="00D06117" w:rsidP="00D06117">
      <w:pPr>
        <w:pStyle w:val="TextoNormal"/>
      </w:pPr>
    </w:p>
    <w:p w:rsidR="00D06117" w:rsidRDefault="00D06117" w:rsidP="00D06117">
      <w:pPr>
        <w:pStyle w:val="TextoNormal"/>
      </w:pPr>
      <w:r>
        <w:t>- Que contaban con acceso rodado, abastecimiento de agua, evacuación de aguas residuales y suministro de energía eléctrica.</w:t>
      </w:r>
    </w:p>
    <w:p w:rsidR="00D06117" w:rsidRDefault="00D06117" w:rsidP="00D06117">
      <w:pPr>
        <w:pStyle w:val="TextoNormal"/>
      </w:pPr>
    </w:p>
    <w:p w:rsidR="00D06117" w:rsidRDefault="00D06117" w:rsidP="00D06117">
      <w:pPr>
        <w:pStyle w:val="TextoNormal"/>
      </w:pPr>
      <w:r>
        <w:t>- Que, aun careciendo de alguno de los servicios citados en el guión anterior, estaban comprendidos en áreas consolidadas por la edificación como mínimo en dos terceras partes de su superficie, de conformidad con la ordenación de aplicación.</w:t>
      </w:r>
    </w:p>
    <w:p w:rsidR="00D06117" w:rsidRDefault="00D06117" w:rsidP="00D06117">
      <w:pPr>
        <w:pStyle w:val="TextoNormal"/>
      </w:pPr>
    </w:p>
    <w:p w:rsidR="00D06117" w:rsidRDefault="00D06117" w:rsidP="00D06117">
      <w:pPr>
        <w:pStyle w:val="TextoNormal"/>
      </w:pPr>
      <w:r>
        <w:t>b) En municipios sin planeamiento, los terrenos que reunían alguno de los siguientes requisitos:</w:t>
      </w:r>
    </w:p>
    <w:p w:rsidR="00D06117" w:rsidRDefault="00D06117" w:rsidP="00D06117">
      <w:pPr>
        <w:pStyle w:val="TextoNormal"/>
      </w:pPr>
    </w:p>
    <w:p w:rsidR="00D06117" w:rsidRDefault="00D06117" w:rsidP="00D06117">
      <w:pPr>
        <w:pStyle w:val="TextoNormal"/>
      </w:pPr>
      <w:r>
        <w:t>- Que contaban con acceso rodado, abastecimiento de agua, evacuación de aguas residuales y suministro de energía eléctrica.</w:t>
      </w:r>
    </w:p>
    <w:p w:rsidR="00D06117" w:rsidRDefault="00D06117" w:rsidP="00D06117">
      <w:pPr>
        <w:pStyle w:val="TextoNormal"/>
      </w:pPr>
    </w:p>
    <w:p w:rsidR="00D06117" w:rsidRDefault="00D06117" w:rsidP="00D06117">
      <w:pPr>
        <w:pStyle w:val="TextoNormal"/>
      </w:pPr>
      <w:r>
        <w:t>- Que, aun careciendo de alguno de los servicios citados en el guion anterior, estaban comprendidos en áreas consolidadas por la edificación como mínimo en la mitad de su superficie.</w:t>
      </w:r>
    </w:p>
    <w:p w:rsidR="00D06117" w:rsidRDefault="00D06117" w:rsidP="00D06117">
      <w:pPr>
        <w:pStyle w:val="TextoNormal"/>
      </w:pPr>
    </w:p>
    <w:p w:rsidR="00D06117" w:rsidRDefault="00D06117" w:rsidP="00D06117">
      <w:pPr>
        <w:pStyle w:val="TextoNormal"/>
      </w:pPr>
      <w:r>
        <w:t>2. Reglamentariamente se establecerá la documentación y el procedimiento para determinar las áreas en que concurren los requisitos señalados en el apartado anterior.</w:t>
      </w:r>
    </w:p>
    <w:p w:rsidR="00D06117" w:rsidRDefault="00D06117" w:rsidP="00D06117">
      <w:pPr>
        <w:pStyle w:val="TextoNormal"/>
      </w:pPr>
    </w:p>
    <w:p w:rsidR="00D06117" w:rsidRDefault="00D06117" w:rsidP="00D06117">
      <w:pPr>
        <w:pStyle w:val="TextoNormal"/>
      </w:pPr>
      <w:r>
        <w:t>3. En los deslindes del dominio público marítimo-terrestre el límite interior de su zona de servidumbre de protección habrá de ajustarse a la realidad urbanística preexistente reconocida expresamente por la Administración urbanística autonómica.”</w:t>
      </w:r>
    </w:p>
    <w:p w:rsidR="00D06117" w:rsidRDefault="00D06117" w:rsidP="00D06117">
      <w:pPr>
        <w:pStyle w:val="TextoNormal"/>
      </w:pPr>
    </w:p>
    <w:p w:rsidR="00D06117" w:rsidRDefault="00D06117" w:rsidP="00D06117">
      <w:pPr>
        <w:pStyle w:val="TextoNormal"/>
      </w:pPr>
      <w:r>
        <w:t xml:space="preserve">El recurso se plantea exclusivamente por motivos competenciales ya que, como se ha expuesto en los antecedentes, el Abogado del Estado reprocha a la disposición impugnada la vulneración de las competencias estatales ex art. 149.1.1, 8 y 23 CE, tal como las mismas han sido ejercidas a través de la Ley 22/1988, de 28 de julio, de costas. Así, respecto a los dos primeros apartados de la disposición cuestionada argumenta que los mismos resultarían ser inconstitucionales por determinar las condiciones de vigencia y aplicación de una norma estatal, la disposición transitoria tercera de la Ley de costas, que establece el régimen transitorio para la aplicación de la servidumbre de protección establecida en su art. 23. De ambos preceptos estatales se deduce que la aplicación de una servidumbre de protección de 20 metros, frente a la regla general de 100, se limita a aquellos terrenos que estuvieran clasificados como urbanos a la fecha de entrada en vigor de la Ley, esto es, el 29 de julio de 1988, decisiones consideradas básicas por la doctrina del Tribunal Constitucional [STC 149/1991, de 4 de julio, FFJJ 3 d) y 8 d) y STC 198/1991, de 17 de octubre, FJ 8 a)]. Por otra parte, en cuanto al apartado tercero, alega el Abogado del Estado que el mismo afecta a las competencias estatales respecto al deslinde del dominio público marítimo-terrestre tal como las mismas vienen reconocidas en las SSTC 149/1991 y 46/2007, de 1 de marzo, al imponerle </w:t>
      </w:r>
      <w:r>
        <w:lastRenderedPageBreak/>
        <w:t>que el deslinde deberá ajustarse a la realidad urbanística preexistente reconocida expresamente por la administración autonómica.</w:t>
      </w:r>
    </w:p>
    <w:p w:rsidR="00D06117" w:rsidRDefault="00D06117" w:rsidP="00D06117">
      <w:pPr>
        <w:pStyle w:val="TextoNormal"/>
      </w:pPr>
    </w:p>
    <w:p w:rsidR="00D06117" w:rsidRDefault="00D06117" w:rsidP="00D06117">
      <w:pPr>
        <w:pStyle w:val="TextoNormal"/>
      </w:pPr>
      <w:r>
        <w:t>Las anteriores vulneraciones son negadas por las representaciones procesales del Parlamento y de la Xunta de Galicia. Para la primera de ellas el precepto se ampara en la competencia exclusiva en materia de ordenación del territorio y del litoral, urbanismo y vivienda y es una norma incompleta que se limita a remitirse a lo previsto en las normas estatales, sin ampliar los supuestos previstos en las mismas. Por su parte, el Letrado de la Xunta de Galicia ha defendido que el precepto impugnado en nada afecta al régimen transitorio de la Ley de costas en la medida en que la misma supone la reducción de la servidumbre sobre suelos ya transformados urbanísticamente.</w:t>
      </w:r>
    </w:p>
    <w:p w:rsidR="00D06117" w:rsidRDefault="00D06117" w:rsidP="00D06117">
      <w:pPr>
        <w:pStyle w:val="TextoNormal"/>
      </w:pPr>
    </w:p>
    <w:p w:rsidR="00D06117" w:rsidRDefault="00D06117" w:rsidP="00D06117">
      <w:pPr>
        <w:pStyle w:val="TextoNormal"/>
      </w:pPr>
      <w:r w:rsidRPr="00D06117">
        <w:rPr>
          <w:rStyle w:val="NumeroAFNegritaCaracter"/>
        </w:rPr>
        <w:t>2</w:t>
      </w:r>
      <w:r>
        <w:t>. Para la resolución del presente recurso debemos necesariamente partir de la STC 87/2012, de 8 de abril, en la que este Tribunal ha establecido una doctrina que resulta de directa aplicación al supuesto que ahora se controvierte.</w:t>
      </w:r>
    </w:p>
    <w:p w:rsidR="00D06117" w:rsidRDefault="00D06117" w:rsidP="00D06117">
      <w:pPr>
        <w:pStyle w:val="TextoNormal"/>
      </w:pPr>
    </w:p>
    <w:p w:rsidR="00D06117" w:rsidRDefault="00D06117" w:rsidP="00D06117">
      <w:pPr>
        <w:pStyle w:val="TextoNormal"/>
      </w:pPr>
      <w:r>
        <w:t>En dicha Sentencia hemos examinado si la disposición adicional tercera de la Ley gallega 9/2002, en la redacción anterior a la ahora impugnada, resultaba vulneradora de la competencia estatal establecida en el art. 149.1.23 CE, en los términos en que ha sido interpretada por la STC 149/1991, de 4 de julio, por pretender extender a los supuestos en ella recogidos el régimen previsto en la legislación estatal de costas para la reducción excepcional de la servidumbre de protección en los suelos urbanos. La diferencia esencial entre la versión anterior y la que ahora se impugna de la disposición adicional tercera de la Ley del Parlamento de Galicia 9/2002, radica en que, la redacción que otorga al precepto la disposición adicional segunda de la Ley gallega de vivienda, añade a la preexistente, declarada inconstitucional por la STC 87/2012, los apartados a) y b) del párrafo 1, así como los párrafos 2 y 3, en los términos literales expuestos en el fundamento jurídico 1, que detalla aquella redacción originaria.</w:t>
      </w:r>
    </w:p>
    <w:p w:rsidR="00D06117" w:rsidRDefault="00D06117" w:rsidP="00D06117">
      <w:pPr>
        <w:pStyle w:val="TextoNormal"/>
      </w:pPr>
    </w:p>
    <w:p w:rsidR="00D06117" w:rsidRDefault="00D06117" w:rsidP="00D06117">
      <w:pPr>
        <w:pStyle w:val="TextoNormal"/>
      </w:pPr>
      <w:r>
        <w:t>Así, remitiéndonos a la doctrina de las SSTC 149/1991, de 4 de julio, y 198/1991, de 17 de octubre, afirmamos, en su fundamento jurídico 4, que el Estado había ejercido su competencia derivada de la regla 23 del art. 149.1 CE, que le permite dictar legislación básica en materia de medio ambiente, en conexión con la competencia estatal que se deriva del art. 149.1.1 CE con la finalidad de “establecer servidumbres y limitaciones en los terrenos colindantes con el dominio público marítimo-terrestre —y, entre ellas, la servidumbre de protección— a los efectos de garantizar la protección y defensa de sus condiciones medioambientales, y ello sin perjuicio alguno de las competencias autonómicas para la ordenación del territorio y el urbanismo, que no se ven desconocidas por aquella regulación. Lo que sirve tanto para el régimen establecido con vocación de futuro en la legislación de costas como para el régimen transitorio. En estos términos, sólo al Estado compete, en efecto, el establecimiento de tales servidumbres y limitaciones y, por ende, la precisión de su alcance y contenido”.</w:t>
      </w:r>
    </w:p>
    <w:p w:rsidR="00D06117" w:rsidRDefault="00D06117" w:rsidP="00D06117">
      <w:pPr>
        <w:pStyle w:val="TextoNormal"/>
      </w:pPr>
    </w:p>
    <w:p w:rsidR="00D06117" w:rsidRDefault="00D06117" w:rsidP="00D06117">
      <w:pPr>
        <w:pStyle w:val="TextoNormal"/>
      </w:pPr>
      <w:r>
        <w:t>Sentado en la forma expuesta que, a la luz de la doctrina constitucional fijada en las SSTC 149/1991 y 198/1991, sólo al Estado corresponde establecer limitaciones y servidumbres sobre los terrenos colindantes al demanio marítimo-terrestre y, entre ellas, la servidumbre de protección, concluimos, en el fundamento jurídico 5, que la norma autonómica en</w:t>
      </w:r>
      <w:r>
        <w:lastRenderedPageBreak/>
        <w:t>juiciada pretendía “establecer supuestos de aplicación de las referidas disposiciones transitorias de la ley de costas y del Reglamento general para el desarrollo y ejecución de dicha Ley de costas, a cuyo contenido nos hemos referido ya, lo que supone por sí mismo una vulneración de la competencia estatal con independencia del concreto alcance —ampliatorio o no de las reglas estatales— de tal operación”. Así señalamos que “[e]jerce, al efecto, el Estado su competencia para establecer una legislación básica en materia de medio ambiente, ex art. 149.1.23 CE, en conexión con su competencia ex art. 149.1.1 CE para fijar en condiciones de igualdad el ejercicio del derecho de propiedad en todo el territorio, de modo que las Comunidades Autónomas no pueden establecer disposición alguna al respecto, ni siquiera para reproducir con exactitud las previsiones estatales, operación que quedaría vedada por la doctrina sobre la lex repetita 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 Consecuencia de lo anterior es también que no resultase procedente “razonar si los supuestos específicos contemplados por la disposición cuestionada son o no subsumibles en los supuestos contemplados por la legislación estatal para determinar la reducción de la anchura de la servidumbre de protección, ya que la Comunidad Autónoma carece, simple y llanamente, de competencia para adoptar disposición alguna para determinar, ni siquiera por remisión mimética a la legislación estatal, limitaciones o servidumbres sobre los terrenos colindantes con el dominio público marítimo-terrestre dirigidas a su protección y conservación, lo que determina la inconstitucionalidad de la disposición sometida a cuestionamiento. No puede oponerse a esta conclusión, como pretenden la Xunta de Galicia y el Parlamento gallego, que el legislador gallego ha ejercido, al aprobar tal disposición, sus competencias en materia de ordenación del territorio y urbanismo, ya que, tal y como dejó sentado la reiteradamente citada STC 149/1991, estas competencias no pueden incidir en la fijación por el Estado de la servidumbre de protección de costas en ejercicio de competencias que sólo a él corresponden”.</w:t>
      </w:r>
    </w:p>
    <w:p w:rsidR="00D06117" w:rsidRDefault="00D06117" w:rsidP="00D06117">
      <w:pPr>
        <w:pStyle w:val="TextoNormal"/>
      </w:pPr>
    </w:p>
    <w:p w:rsidR="00D06117" w:rsidRDefault="00D06117" w:rsidP="00D06117">
      <w:pPr>
        <w:pStyle w:val="TextoNormal"/>
      </w:pPr>
      <w:r w:rsidRPr="00D06117">
        <w:rPr>
          <w:rStyle w:val="NumeroAFNegritaCaracter"/>
        </w:rPr>
        <w:t>3</w:t>
      </w:r>
      <w:r>
        <w:t>. La aplicación de la doctrina expuesta ha de llevarnos a estimar la presente impugnación.</w:t>
      </w:r>
    </w:p>
    <w:p w:rsidR="00D06117" w:rsidRDefault="00D06117" w:rsidP="00D06117">
      <w:pPr>
        <w:pStyle w:val="TextoNormal"/>
      </w:pPr>
    </w:p>
    <w:p w:rsidR="00D06117" w:rsidRDefault="00D06117" w:rsidP="00D06117">
      <w:pPr>
        <w:pStyle w:val="TextoNormal"/>
      </w:pPr>
      <w:r>
        <w:t xml:space="preserve">En efecto, al igual que en el supuesto enjuiciado en la citada STC 87/2012, el objeto de la norma, en sus dos primeros apartados, es aplicar a los núcleos rurales preexistentes de carácter tradicional contemplados en la Ley 11/1985, de 22 de agosto, de adaptación de la del suelo a Galicia, que cumplan los requisitos previstos en la disposición impugnada el régimen previsto en el apartado 3 de la disposición transitoria tercera de la Ley 22/1988, de 28 de julio, de costas, así como lo establecido en el apartado 3 de la disposición transitoria séptima y en los apartados 1 y 3 de la disposición transitoria novena del reglamento general para el desarrollo y ejecución de dicha Ley de costas. Con ello se vulneran las competencias estatales relativas al establecimiento de la servidumbre de protección y que, en lo que aquí importa, implican la determinación en exclusiva de los supuestos en los que, como excepción a la regla general de 100 metros, establecida por el art. 23.1 de la Ley de costas, la anchura de la servidumbre de protección del dominio público marítimo-terrestre será de 20 metros con el régimen específico que deriva del apartado tercero de la disposición transitoria tercera de la Ley de costas y su normativa de desarrollo. Por esta misma razón tampoco, como ya hemos dejado expuesto, resulta procedente analizar, dada la falta de competencia </w:t>
      </w:r>
      <w:r>
        <w:lastRenderedPageBreak/>
        <w:t>autonómica en la materia, la coincidencia o no de regulaciones que es alegada tanto por el Parlamento y como por la Xunta de Galicia.</w:t>
      </w:r>
    </w:p>
    <w:p w:rsidR="00D06117" w:rsidRDefault="00D06117" w:rsidP="00D06117">
      <w:pPr>
        <w:pStyle w:val="TextoNormal"/>
      </w:pPr>
    </w:p>
    <w:p w:rsidR="00D06117" w:rsidRDefault="00D06117" w:rsidP="00D06117">
      <w:pPr>
        <w:pStyle w:val="TextoNormal"/>
      </w:pPr>
      <w:r>
        <w:t>En este mismo vicio competencial incurre el tercer apartado de la disposición impugnada pues persigue incorporar un criterio de deslinde específicamente dirigido a determinar si la extensión de la servidumbre de protección ha de ser de 100 o 20 metros, incidiendo así en una materia en la que ya hemos apreciado que la Comunidad Autónoma carece de competencia. A lo anterior cabe añadir, específicamente en relación con el deslinde del dominio público marítimo terrestre, que ya tenemos declarado (STC 46/2007, de 1 de marzo, FJ 12) que “el ejercicio de la competencia autonómica sobre ordenación del litoral no puede a su vez reducir el contenido de las facultades que corresponden al Estado en cuanto titular del dominio público marítimo-terrestre, entre las que se encuentra la definición de los criterios para determinar los bienes integrantes de dicho dominio público y la delimitación concreta de tales bienes, con el alcance determinado en la STC 149/1991, de 4 de julio, FJ 2 A)”. A este respecto, de los arts. 11 y 12 de la Ley de costas, y 18 y ss. de su Reglamento se desprende que el procedimiento de deslinde para la determinación del dominio público marítimo terrestre será aprobado por la Administración del Estado, mediante un procedimiento en el que se garantiza la previa audiencia de la Comunidad Autónoma, y que habrá de atenerse únicamente a las características de los bienes que lo integran.</w:t>
      </w:r>
    </w:p>
    <w:p w:rsidR="00D06117" w:rsidRDefault="00D06117" w:rsidP="00D06117">
      <w:pPr>
        <w:pStyle w:val="TextoNormal"/>
      </w:pPr>
    </w:p>
    <w:p w:rsidR="00D06117" w:rsidRDefault="00D06117" w:rsidP="00D06117">
      <w:pPr>
        <w:pStyle w:val="TextoNormal"/>
      </w:pPr>
      <w:r>
        <w:t>En conclusión, por todo lo expuesto la disposición adicional segunda de la Ley de Galicia 18/2008, de 29 de diciembre, de vivienda, que modifica la disposición adicional tercera de la Ley 9/2002, de 30 de diciembre, de ordenación urbanística y de protección del medio rural de Galicia, incurre en infracción del orden constitucional de distribución de competencias, siendo, por tanto, inconstitucional y nula.</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el presente recurso de inconstitucionalidad y, en consecuencia, declarar inconstitucional y nula la disposición adicional segunda de la Ley de Galicia 18/2008, de 29 de diciembre, de vivienda.</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diecinueve de junio de dos mil doce.</w:t>
      </w:r>
    </w:p>
    <w:p w:rsidR="00D06117" w:rsidRDefault="00D06117">
      <w:pPr>
        <w:spacing w:after="160" w:line="259" w:lineRule="auto"/>
        <w:rPr>
          <w:rFonts w:ascii="Times New Roman" w:eastAsia="Times New Roman" w:hAnsi="Times New Roman" w:cs="Times New Roman"/>
          <w:sz w:val="24"/>
          <w:szCs w:val="24"/>
          <w:lang w:eastAsia="es-ES"/>
        </w:rPr>
      </w:pPr>
      <w:r>
        <w:br w:type="page"/>
      </w:r>
    </w:p>
    <w:p w:rsidR="00D06117" w:rsidRDefault="00D06117" w:rsidP="00D06117">
      <w:pPr>
        <w:pStyle w:val="TtuloResolucin"/>
      </w:pPr>
      <w:bookmarkStart w:id="141" w:name="SENTENCIA_2012_138"/>
      <w:r>
        <w:lastRenderedPageBreak/>
        <w:t>SENTENCIA 138/2012, de 20 de junio de 2012</w:t>
      </w:r>
    </w:p>
    <w:bookmarkEnd w:id="141"/>
    <w:p w:rsidR="00D06117" w:rsidRDefault="00D06117" w:rsidP="00D06117">
      <w:pPr>
        <w:pStyle w:val="TtuloResolucin"/>
      </w:pPr>
      <w:r>
        <w:t>Pleno</w:t>
      </w:r>
    </w:p>
    <w:p w:rsidR="00D06117" w:rsidRDefault="00D06117" w:rsidP="00D06117">
      <w:pPr>
        <w:pStyle w:val="TtuloResolucin"/>
      </w:pPr>
    </w:p>
    <w:p w:rsidR="00D06117" w:rsidRDefault="00D06117" w:rsidP="00D06117">
      <w:pPr>
        <w:pStyle w:val="TtuloBOE"/>
      </w:pPr>
      <w:r>
        <w:t>("BOE" núm. 163, de 9 de julio de 2012)</w:t>
      </w:r>
    </w:p>
    <w:p w:rsidR="00D06117" w:rsidRDefault="00D06117" w:rsidP="00D06117">
      <w:pPr>
        <w:pStyle w:val="TtuloBOE"/>
      </w:pPr>
    </w:p>
    <w:p w:rsidR="00D06117" w:rsidRDefault="00D06117" w:rsidP="00D06117">
      <w:pPr>
        <w:pStyle w:val="SntesisDescriptiva"/>
      </w:pPr>
      <w:r>
        <w:t>ECLI:ES:TC:2012:138</w:t>
      </w:r>
    </w:p>
    <w:p w:rsidR="00D06117" w:rsidRDefault="00D06117" w:rsidP="00D06117">
      <w:pPr>
        <w:pStyle w:val="SntesisDescriptiva"/>
      </w:pPr>
    </w:p>
    <w:p w:rsidR="00D06117" w:rsidRDefault="00D06117" w:rsidP="00D06117">
      <w:pPr>
        <w:pStyle w:val="SntesisDescriptiva"/>
      </w:pPr>
      <w:r>
        <w:t>Recurso de amparo 2891-2011. Promovido por doña Miren Karmele Agirregabiria Agirre, don José Javier Artola Zubillaga, doña Maider Etxebarria Akaiturri, doña Raquel Sáez de Cámara y el partido político Sortu con respecto al Auto de 30 de marzo de 2011 de la Sala Especial del Tribunal Supremo del artículo 61 de la Ley Orgánica del Poder Judicial, recaído en el procedimiento de ejecución de la Sentencia 1/2003, de 27 de marzo, por la que se ilegalizaron los partidos políticos Herri Batasuna, Euskal Herritarrok y Batasuna.</w:t>
      </w:r>
    </w:p>
    <w:p w:rsidR="00D06117" w:rsidRDefault="00D06117" w:rsidP="00D06117">
      <w:pPr>
        <w:pStyle w:val="SntesisDescriptiva"/>
      </w:pPr>
    </w:p>
    <w:p w:rsidR="00D06117" w:rsidRDefault="00D06117" w:rsidP="00D06117">
      <w:pPr>
        <w:pStyle w:val="SntesisAnaltica"/>
      </w:pPr>
      <w:r>
        <w:t>Vulneración del derecho de asociación, en su vertiente de creación de partidos políticos: ausencia de elementos probatorios sólidos y cualificados que acrediten que el partido político que se pretende constituir viene a continuar o suceder la actividad de las formaciones políticas ilegalizadas y disueltas; relevancia en el momento inicial de los estatutos del nuevo partido político. Votos particulares.</w:t>
      </w:r>
    </w:p>
    <w:p w:rsidR="00D06117" w:rsidRDefault="00D06117" w:rsidP="00D06117">
      <w:pPr>
        <w:pStyle w:val="SntesisAnaltica"/>
      </w:pPr>
    </w:p>
    <w:p w:rsidR="00D06117" w:rsidRDefault="00D06117" w:rsidP="00D06117">
      <w:pPr>
        <w:pStyle w:val="Extracto"/>
      </w:pPr>
      <w:r>
        <w:t>1.</w:t>
      </w:r>
      <w:r>
        <w:tab/>
        <w:t xml:space="preserve">El Auto recurrido, al declarar la improcedencia de la constitución del partido político Sortu por entender que es continuidad de Batasuna –partido político declarado ilegal y disuelto–, denegando, en consecuencia, su inscripción en el Registro de partidos políticos, ha vulnerado el derecho de asociación de los recurrentes en su vertiente de libertad de la creación de partidos políticos, </w:t>
      </w:r>
      <w:r w:rsidRPr="00D06117">
        <w:rPr>
          <w:i/>
        </w:rPr>
        <w:t>ex</w:t>
      </w:r>
      <w:r>
        <w:t xml:space="preserve"> arts. 6 y 22 CE  [FJ 16].</w:t>
      </w:r>
    </w:p>
    <w:p w:rsidR="00D06117" w:rsidRDefault="00D06117" w:rsidP="00D06117">
      <w:pPr>
        <w:pStyle w:val="Extracto"/>
      </w:pPr>
    </w:p>
    <w:p w:rsidR="00D06117" w:rsidRDefault="00D06117" w:rsidP="00D06117">
      <w:pPr>
        <w:pStyle w:val="Extracto"/>
      </w:pPr>
      <w:r>
        <w:t>2.</w:t>
      </w:r>
      <w:r>
        <w:tab/>
        <w:t>La mera sospecha de que un partido político pudiera pretender continuar la actividad de partidos judicialmente ilegalizados no puede condicionar el pleno ejercicio del derecho de asociación y, con ello, el valor del pluralismo político sobre el que se fundamenta el Estado democrático, ya que la pretensión de asegurar a ultranza, mediante controles preventivos, la seguridad del Estado constitucional pone en riesgo el propio Estado constitucional (STC 62/2011)  [FJ 12].</w:t>
      </w:r>
    </w:p>
    <w:p w:rsidR="00D06117" w:rsidRDefault="00D06117" w:rsidP="00D06117">
      <w:pPr>
        <w:pStyle w:val="Extracto"/>
      </w:pPr>
    </w:p>
    <w:p w:rsidR="00D06117" w:rsidRDefault="00D06117" w:rsidP="00D06117">
      <w:pPr>
        <w:pStyle w:val="Extracto"/>
      </w:pPr>
      <w:r>
        <w:t>3.</w:t>
      </w:r>
      <w:r>
        <w:tab/>
        <w:t xml:space="preserve">La limitación para el libre ejercicio del derecho de asociación que supone la denegación de la inscripción de Sortu en el Registro de Partidos Políticos resulta desproporcionada a la vista de los instrumentos de control </w:t>
      </w:r>
      <w:r w:rsidRPr="00D06117">
        <w:rPr>
          <w:i/>
        </w:rPr>
        <w:t>a posteriori</w:t>
      </w:r>
      <w:r>
        <w:t xml:space="preserve"> de que se ha dotado nuestro ordenamiento mediante las últimas reformas legales (STC 62/2011, STEDH </w:t>
      </w:r>
      <w:r w:rsidRPr="00D06117">
        <w:rPr>
          <w:i/>
        </w:rPr>
        <w:t>caso Tsonev c. Bulgaria</w:t>
      </w:r>
      <w:r>
        <w:t>, de 13 de abril de 2006) [FJ 14].</w:t>
      </w:r>
    </w:p>
    <w:p w:rsidR="00D06117" w:rsidRDefault="00D06117" w:rsidP="00D06117">
      <w:pPr>
        <w:pStyle w:val="Extracto"/>
      </w:pPr>
    </w:p>
    <w:p w:rsidR="00D06117" w:rsidRDefault="00D06117" w:rsidP="00D06117">
      <w:pPr>
        <w:pStyle w:val="Extracto"/>
      </w:pPr>
      <w:r>
        <w:t>4.</w:t>
      </w:r>
      <w:r>
        <w:tab/>
        <w:t>Doctrina sobre la condena del terrorismo como contraindicio suficiente para para entender, en principio, contrarrestada o diluida la eficacia probatoria de otros elementos de convicción de los que pudiera inferirse que un partido político pudiera perseguir continuar la actividad de partidos judicialmente ilegalizados [SSTC 5/2004, 31/2009, 62/2011)  [FFJJ 6 a 11].</w:t>
      </w:r>
    </w:p>
    <w:p w:rsidR="00D06117" w:rsidRDefault="00D06117" w:rsidP="00D06117">
      <w:pPr>
        <w:pStyle w:val="Extracto"/>
      </w:pPr>
    </w:p>
    <w:p w:rsidR="00D06117" w:rsidRDefault="00D06117" w:rsidP="00D06117">
      <w:pPr>
        <w:pStyle w:val="Extracto"/>
      </w:pPr>
      <w:r>
        <w:t>5.</w:t>
      </w:r>
      <w:r>
        <w:tab/>
        <w:t xml:space="preserve">Los estatutos del partido político Sortu, las manifestaciones de sus dirigentes a favor de vías pacíficas y democráticas y el rechazo a la violencia como instrumento </w:t>
      </w:r>
      <w:r>
        <w:lastRenderedPageBreak/>
        <w:t>de acción política constituyen un contraindicio suficiente para entender contrarrestada la eficacia probatoria de otros elementos de convicción de los que pudiera inferirse que el nuevo partido político pudiera perseguir continuar la actividad de un partido político ilegalizado [FFJJ 9 a 11].</w:t>
      </w:r>
    </w:p>
    <w:p w:rsidR="00D06117" w:rsidRDefault="00D06117" w:rsidP="00D06117">
      <w:pPr>
        <w:pStyle w:val="Extracto"/>
      </w:pPr>
    </w:p>
    <w:p w:rsidR="00D06117" w:rsidRDefault="00D06117" w:rsidP="00D06117">
      <w:pPr>
        <w:pStyle w:val="Extracto"/>
      </w:pPr>
      <w:r>
        <w:t>6.</w:t>
      </w:r>
      <w:r>
        <w:tab/>
        <w:t>El que se tenga por acreditado que ETA y Batasuna propugnaran una estrategia de convergencia con otras fuerzas de la izquierda abertzale que les permitiera articular una presencia electoral bajo la cobertura de partidos políticos legales no es suficiente para inferir que hayan instrumentalizado a SORTU para sus fines o que éste se haya dejado instrumentalizar al servicio de dicha estrategia del modo que constitucionalmente es exigible para limitar el derecho de asociación (SSTC 126/1991, 62/2011)  [FJ 13].</w:t>
      </w:r>
    </w:p>
    <w:p w:rsidR="00D06117" w:rsidRDefault="00D06117" w:rsidP="00D06117">
      <w:pPr>
        <w:pStyle w:val="Extracto"/>
      </w:pPr>
    </w:p>
    <w:p w:rsidR="00D06117" w:rsidRDefault="00D06117" w:rsidP="00D06117">
      <w:pPr>
        <w:pStyle w:val="Extracto"/>
      </w:pPr>
      <w:r>
        <w:t>7.</w:t>
      </w:r>
      <w:r>
        <w:tab/>
        <w:t xml:space="preserve">Este Tribunal Constitucional, a la vista de la experiencia acumulada frente a las tentativas de eludir la ilegalización de determinados partidos políticos, quiere llamar la atención sobre una serie de conductas que, por su manifiesto contraste con el principio democrático y el pluralismo político, </w:t>
      </w:r>
      <w:r w:rsidRPr="00D06117">
        <w:rPr>
          <w:i/>
        </w:rPr>
        <w:t>ex</w:t>
      </w:r>
      <w:r>
        <w:t xml:space="preserve"> art. 1 CE, pueden conducir a la ilegalización de una determinada formación política si existen elementos probatorios suficientemente sólidos y cualificados que permitan su acreditación (SSTC 48/2003, 5/2004)  [FJ 15].</w:t>
      </w:r>
    </w:p>
    <w:p w:rsidR="00D06117" w:rsidRDefault="00D06117" w:rsidP="00D06117">
      <w:pPr>
        <w:pStyle w:val="Extracto"/>
      </w:pPr>
    </w:p>
    <w:p w:rsidR="00D06117" w:rsidRDefault="00D06117" w:rsidP="00D06117">
      <w:pPr>
        <w:pStyle w:val="Extracto"/>
      </w:pPr>
      <w:r>
        <w:t>8.</w:t>
      </w:r>
      <w:r>
        <w:tab/>
        <w:t>Doctrina sobre ilegalización y disolución de partidos políticos (SSTC 1/2003, 5/2004, 31/2009) [FFJJ 6, 9, 11, 13].</w:t>
      </w:r>
    </w:p>
    <w:p w:rsidR="00D06117" w:rsidRDefault="00D06117" w:rsidP="00D06117">
      <w:pPr>
        <w:pStyle w:val="Extracto"/>
      </w:pPr>
    </w:p>
    <w:p w:rsidR="00D06117" w:rsidRDefault="00D06117" w:rsidP="00D06117">
      <w:pPr>
        <w:pStyle w:val="Extracto"/>
      </w:pPr>
      <w:r>
        <w:t>9.</w:t>
      </w:r>
      <w:r>
        <w:tab/>
        <w:t xml:space="preserve">Doctrina sobre el derecho de asociación en su vertiente de derecho a la creación de partidos políticos (SSTC 244/1991, 48/2003, 31/2009; SSTH, </w:t>
      </w:r>
      <w:r w:rsidRPr="00D06117">
        <w:rPr>
          <w:i/>
        </w:rPr>
        <w:t>casos Partido Comunista Unificado de Turquía c. Turquía</w:t>
      </w:r>
      <w:r>
        <w:t xml:space="preserve">, de 30 de enero de 1998 y </w:t>
      </w:r>
      <w:r w:rsidRPr="00D06117">
        <w:rPr>
          <w:i/>
        </w:rPr>
        <w:t>Linkov c. República Checa</w:t>
      </w:r>
      <w:r>
        <w:t>, de 7 de diciembre de 2006) [FFJJ 3 a 5, 14].</w:t>
      </w:r>
    </w:p>
    <w:p w:rsidR="00D06117" w:rsidRDefault="00D06117" w:rsidP="00D06117">
      <w:pPr>
        <w:pStyle w:val="Extracto"/>
      </w:pPr>
    </w:p>
    <w:p w:rsidR="00D06117" w:rsidRDefault="00D06117" w:rsidP="00D06117">
      <w:pPr>
        <w:pStyle w:val="Extracto"/>
      </w:pPr>
      <w:r>
        <w:t>10.</w:t>
      </w:r>
      <w:r>
        <w:tab/>
        <w:t>Doctrina sobre el control de constitucionalidad de las resoluciones judiciales relativas a la denegación de inscripción de partidos políticos (SSTC 5/2004, 31/2009)  [FJ 6].</w:t>
      </w:r>
    </w:p>
    <w:p w:rsidR="00D06117" w:rsidRDefault="00D06117" w:rsidP="00D06117">
      <w:pPr>
        <w:pStyle w:val="Extracto"/>
      </w:pPr>
    </w:p>
    <w:p w:rsidR="00D06117" w:rsidRDefault="00D06117" w:rsidP="00D06117">
      <w:pPr>
        <w:pStyle w:val="Extracto"/>
      </w:pPr>
      <w:r>
        <w:t>11.</w:t>
      </w:r>
      <w:r>
        <w:tab/>
        <w:t xml:space="preserve">No le corresponde al Tribunal Constitucional examinar en un recurso de amparo la observancia de textos internacionales que obliguen a España, sino comprobar el respeto de los preceptos que reconocen derechos fundamentales, sin perjuicio de que, </w:t>
      </w:r>
      <w:r w:rsidRPr="00D06117">
        <w:rPr>
          <w:i/>
        </w:rPr>
        <w:t>ex</w:t>
      </w:r>
      <w:r>
        <w:t xml:space="preserve"> art. 10.2 CE, deban ser interpretados de conformidad con la Declaración universal de derechos humanos y los tratados internacionales ratificados por España (SSTC 85/2003, 99/2004)  [FJ 3].</w:t>
      </w:r>
    </w:p>
    <w:p w:rsidR="00D06117" w:rsidRDefault="00D06117" w:rsidP="00D06117">
      <w:pPr>
        <w:pStyle w:val="Extracto"/>
      </w:pPr>
    </w:p>
    <w:p w:rsidR="00D06117" w:rsidRDefault="00D06117" w:rsidP="00D06117">
      <w:pPr>
        <w:pStyle w:val="Extracto"/>
      </w:pPr>
      <w:r>
        <w:t>12.</w:t>
      </w:r>
      <w:r>
        <w:tab/>
        <w:t>Doctrina sobre adquisición de personalidad jurídica, capacidad jurídica y legitimación de los partidos políticos para interponer recurso de amparo (STC 48/2003, ATC 520/2005)  [FJ 2].</w:t>
      </w:r>
    </w:p>
    <w:p w:rsidR="00D06117" w:rsidRDefault="00D06117" w:rsidP="00D06117">
      <w:pPr>
        <w:pStyle w:val="Extracto"/>
      </w:pPr>
    </w:p>
    <w:p w:rsidR="00D06117" w:rsidRDefault="00D06117" w:rsidP="00D06117">
      <w:pPr>
        <w:pStyle w:val="Extracto"/>
      </w:pPr>
      <w:r>
        <w:t>13.</w:t>
      </w:r>
      <w:r>
        <w:tab/>
        <w:t xml:space="preserve">Procede declarar la nulidad del Auto de la Sala Especial del Tribunal Supremo del artículo 61 LOPJ y el reconocimiento del derecho de los recurrentes a que se inscriba al partido político Sortu en el Registro de partidos políticos si se satisfacen </w:t>
      </w:r>
      <w:r>
        <w:lastRenderedPageBreak/>
        <w:t>los demás requisitos legales establecidos en la Ley Orgánica de partidos políticos para la inscripción de los partidos políticos  [FJ 16].</w:t>
      </w:r>
    </w:p>
    <w:p w:rsidR="00D06117" w:rsidRDefault="00D06117" w:rsidP="00D06117">
      <w:pPr>
        <w:pStyle w:val="Extracto"/>
      </w:pPr>
    </w:p>
    <w:p w:rsidR="00D06117" w:rsidRDefault="00D06117" w:rsidP="00D06117">
      <w:pPr>
        <w:pStyle w:val="Extracto"/>
      </w:pPr>
    </w:p>
    <w:p w:rsidR="00D06117" w:rsidRDefault="00D06117" w:rsidP="00D0611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D06117" w:rsidRDefault="00D06117" w:rsidP="00D06117">
      <w:pPr>
        <w:pStyle w:val="TextoNormal"/>
      </w:pPr>
    </w:p>
    <w:p w:rsidR="00D06117" w:rsidRDefault="00D06117" w:rsidP="00D06117">
      <w:pPr>
        <w:pStyle w:val="TextoNormalCentrado"/>
        <w:keepNext/>
      </w:pPr>
      <w:r>
        <w:t>EN NOMBRE DEL REY</w:t>
      </w:r>
    </w:p>
    <w:p w:rsidR="00D06117" w:rsidRDefault="00D06117" w:rsidP="00D06117">
      <w:pPr>
        <w:pStyle w:val="TextoNormalCentrado"/>
        <w:keepNext/>
      </w:pPr>
    </w:p>
    <w:p w:rsidR="00D06117" w:rsidRDefault="00D06117" w:rsidP="00D06117">
      <w:pPr>
        <w:pStyle w:val="TextoNormalCentrado"/>
        <w:keepNext/>
      </w:pPr>
    </w:p>
    <w:p w:rsidR="00D06117" w:rsidRDefault="00D06117" w:rsidP="00D06117">
      <w:pPr>
        <w:pStyle w:val="TextoNormal"/>
      </w:pPr>
      <w:r>
        <w:t>la siguiente</w:t>
      </w:r>
    </w:p>
    <w:p w:rsidR="00D06117" w:rsidRDefault="00D06117" w:rsidP="00D06117">
      <w:pPr>
        <w:pStyle w:val="TextoNormal"/>
      </w:pPr>
    </w:p>
    <w:p w:rsidR="00D06117" w:rsidRDefault="00D06117" w:rsidP="00D06117">
      <w:pPr>
        <w:pStyle w:val="TextoNormalCentrado"/>
        <w:keepNext/>
      </w:pPr>
      <w:r>
        <w:t>SENTENCIA</w:t>
      </w:r>
    </w:p>
    <w:p w:rsidR="00D06117" w:rsidRDefault="00D06117" w:rsidP="00D06117">
      <w:pPr>
        <w:pStyle w:val="TextoNormalCentrado"/>
        <w:keepNext/>
      </w:pPr>
    </w:p>
    <w:p w:rsidR="00D06117" w:rsidRDefault="00D06117" w:rsidP="00D06117">
      <w:pPr>
        <w:pStyle w:val="TextoNormal"/>
      </w:pPr>
      <w:r>
        <w:t>En el recurso de amparo núm. 2891-2011, promovido por doña Miren Karmele Agirregabiria Agirre, don José Javier Artola Zubillaga, doña Maider Etxebarria Akaiturri, doña Raquel Sáez de Cámara y el partido político Sortu, representados por la Procuradora de los Tribunales doña Esther Rodríguez Pérez y asistidos por los Letrados don Iñigo Iruin Sanz y don Adolfo Araiz Flamarique, contra el Auto de 30 de marzo de 2011 de la Sala Especial del Tribunal Supremo del artículo 61 de la Ley Orgánica del Poder Judicial, recaído en el procedimiento de ejecución de la Sentencia 1/2003, de 27 de marzo, dimanante de los autos acumulados núms. 6-2002 y 7-2002 de ilegalización de los partidos políticos Herri Batasuna, Euskal Herritarrok y Batasuna. Han comparecido y formulado alegaciones el Abogado del Estado y el Ministerio Fiscal. Ha sido Ponente la Magistrada doña Elisa Pérez Vera, quien expresa el parecer del Tribunal.</w:t>
      </w:r>
    </w:p>
    <w:p w:rsidR="00D06117" w:rsidRDefault="00D06117" w:rsidP="00D06117">
      <w:pPr>
        <w:pStyle w:val="TextoNormal"/>
      </w:pPr>
    </w:p>
    <w:p w:rsidR="00D06117" w:rsidRDefault="00D06117" w:rsidP="00D06117">
      <w:pPr>
        <w:pStyle w:val="TextoNormalNegritaCentrado"/>
        <w:keepNext/>
      </w:pPr>
      <w:r>
        <w:t>I. Antecedentes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 Mediante escrito presentado en el Registro General de este Tribunal el día 18 de mayo de 2011, doña Esther Rodríguez Pérez, Procuradora de los Tribunales, en nombre y representación de doña Miren Karmele Agirregabiria Agirre, don José Javier Artola Zubillaga, doña Maider Etxebarria Akaiturri, doña Raquel Sáez de Cámara y el partido político Sortu, interpuso recurso de amparo contra la resolución judicial a la que se ha hecho mención en el encabezamiento de esta Sentencia.</w:t>
      </w:r>
    </w:p>
    <w:p w:rsidR="00D06117" w:rsidRDefault="00D06117" w:rsidP="00D06117">
      <w:pPr>
        <w:pStyle w:val="TextoNormal"/>
      </w:pPr>
    </w:p>
    <w:p w:rsidR="00D06117" w:rsidRDefault="00D06117" w:rsidP="00D06117">
      <w:pPr>
        <w:pStyle w:val="TextoNormal"/>
      </w:pPr>
      <w:r w:rsidRPr="00D06117">
        <w:rPr>
          <w:rStyle w:val="NumeroAFNegritaCaracter"/>
        </w:rPr>
        <w:t>2</w:t>
      </w:r>
      <w:r>
        <w:t>. En la demanda de amparo se recoge la relación de antecedentes fácticos que, a continuación, sucintamente se extracta:</w:t>
      </w:r>
    </w:p>
    <w:p w:rsidR="00D06117" w:rsidRDefault="00D06117" w:rsidP="00D06117">
      <w:pPr>
        <w:pStyle w:val="TextoNormal"/>
      </w:pPr>
    </w:p>
    <w:p w:rsidR="00D06117" w:rsidRDefault="00D06117" w:rsidP="00D06117">
      <w:pPr>
        <w:pStyle w:val="TextoNormal"/>
      </w:pPr>
      <w:r>
        <w:t xml:space="preserve">a) Con fecha 31 de enero de 2011, doña Miren Karmele Agirregabiria Agirre, don José Javier Artola Zubillaga, doña Maider Etxebarria Akaiturri y doña Raquel Sáez de Cámara formalizaron en Donostia la constitución del partido político Sortu, aprobaron los estatutos que rigen su funcionamiento, se constituyeron en comisión permanente y designaron a doña Maider Etxebarria Akaiturri como secretaria general, quien, haciendo uso de las facultades </w:t>
      </w:r>
      <w:r>
        <w:lastRenderedPageBreak/>
        <w:t>otorgadas, procedió a la elevación a pública del acta de constitución y de los estatutos del partido político, protocolizándolos ante la notaria de Donostia doña Guadalupe María Inmaculada Adanez García el día 8 de febrero de 2011.</w:t>
      </w:r>
    </w:p>
    <w:p w:rsidR="00D06117" w:rsidRDefault="00D06117" w:rsidP="00D06117">
      <w:pPr>
        <w:pStyle w:val="TextoNormal"/>
      </w:pPr>
    </w:p>
    <w:p w:rsidR="00D06117" w:rsidRDefault="00D06117" w:rsidP="00D06117">
      <w:pPr>
        <w:pStyle w:val="TextoNormal"/>
      </w:pPr>
      <w:r>
        <w:t>b) Con fecha 9 de febrero de 2011, doña Miren Karmele Agirregabiria Agirre, don José Javier Artola Zubillaga, doña Maider Etxebarria Akaiturri y doña Raquel Sáez de Cámara presentaron en el Registro de partidos políticos del Ministerio del Interior solicitud de inscripción del partido político Sortu, acompañada de la documentación pertinente.</w:t>
      </w:r>
    </w:p>
    <w:p w:rsidR="00D06117" w:rsidRDefault="00D06117" w:rsidP="00D06117">
      <w:pPr>
        <w:pStyle w:val="TextoNormal"/>
      </w:pPr>
    </w:p>
    <w:p w:rsidR="00D06117" w:rsidRDefault="00D06117" w:rsidP="00D06117">
      <w:pPr>
        <w:pStyle w:val="TextoNormal"/>
      </w:pPr>
      <w:r>
        <w:t>La Dirección General de política interior del Ministerio del Interior en fecha 16 de febrero de 2011 remitió la solicitud y documentación presentadas al Ministerio Fiscal, de conformidad con lo dispuesto en el art. 5.2 de la Ley Orgánica 6/2002, de 27 de junio, de partidos políticos (LOPP), lo que determinó la suspensión del plazo previsto en el art. 3.2 LOPP para la adquisición de la personalidad jurídica del partido político.</w:t>
      </w:r>
    </w:p>
    <w:p w:rsidR="00D06117" w:rsidRDefault="00D06117" w:rsidP="00D06117">
      <w:pPr>
        <w:pStyle w:val="TextoNormal"/>
      </w:pPr>
    </w:p>
    <w:p w:rsidR="00D06117" w:rsidRDefault="00D06117" w:rsidP="00D06117">
      <w:pPr>
        <w:pStyle w:val="TextoNormal"/>
      </w:pPr>
      <w:r>
        <w:t>c) Mediante escrito de fecha 3 de marzo de 2011, el Abogado del Estado formuló demanda incidental en el proceso de ejecución núm. 1-2003, al amparo de los arts. 5.6, 12.1 b) y 12.3 LOPP, a fin de que fuera declarada fraudulenta y no procedente la constitución como partido político de la organización Sortu, por ser continuadora y sucesora de la formación política ilegalizada y disuelta Batasuna.</w:t>
      </w:r>
    </w:p>
    <w:p w:rsidR="00D06117" w:rsidRDefault="00D06117" w:rsidP="00D06117">
      <w:pPr>
        <w:pStyle w:val="TextoNormal"/>
      </w:pPr>
    </w:p>
    <w:p w:rsidR="00D06117" w:rsidRDefault="00D06117" w:rsidP="00D06117">
      <w:pPr>
        <w:pStyle w:val="TextoNormal"/>
      </w:pPr>
      <w:r>
        <w:t>Mediante escrito de fecha 7 de marzo de 2011, el Ministerio Fiscal formuló demanda incidental en el proceso de ejecución núm. 1/2003, al amparo de los arts. 5.6, 12.1 b) y 12.3 LOPP, a fin de que se declarase que la organización política Sortu no puede constituirse como partido político por ser continuadora y sucesora de las formaciones política ilegalizadas, declarando improcedente su creación formal por lo que procede denegar su inscripción en el Registro de partidos políticos.</w:t>
      </w:r>
    </w:p>
    <w:p w:rsidR="00D06117" w:rsidRDefault="00D06117" w:rsidP="00D06117">
      <w:pPr>
        <w:pStyle w:val="TextoNormal"/>
      </w:pPr>
    </w:p>
    <w:p w:rsidR="00D06117" w:rsidRDefault="00D06117" w:rsidP="00D06117">
      <w:pPr>
        <w:pStyle w:val="TextoNormal"/>
      </w:pPr>
      <w:r>
        <w:t>d) Por sendas providencias de 3 y 8 de marzo de 2011 de la Sala Especial del Tribunal Supremo del artículo 61 de la Ley Orgánica del Poder Judicial (LOPJ) se tuvieron por formuladas las demandas incidentales y se formaron piezas separadas para su tramitación en el proceso de ejecución núm. 1-2003, dimanante de los autos acumulados núms. 6-2002 y 7-2002, emplazándose a los promotores del partido político Sortu a fin de que se personaran en el procedimiento y efectuaran alegaciones en el plazo de siete días. Igualmente, se acordó poner en conocimiento del Ministerio del Interior la presentación y admisión a trámite de las referidas demandas incidentales, a los efectos previstos en los arts. 4.2 y 5.6, en relación con el art. 12 LOPP.</w:t>
      </w:r>
    </w:p>
    <w:p w:rsidR="00D06117" w:rsidRDefault="00D06117" w:rsidP="00D06117">
      <w:pPr>
        <w:pStyle w:val="TextoNormal"/>
      </w:pPr>
    </w:p>
    <w:p w:rsidR="00D06117" w:rsidRDefault="00D06117" w:rsidP="00D06117">
      <w:pPr>
        <w:pStyle w:val="TextoNormal"/>
      </w:pPr>
      <w:r>
        <w:t>Por providencia de 14 de marzo de 2011, la Sala acordó tener por personada a la representación de los demandantes de amparo, así como la acumulación de las demandas incidentales, por ser el objeto de ambos incidentes coincidentes y existir identidad de parte.</w:t>
      </w:r>
    </w:p>
    <w:p w:rsidR="00D06117" w:rsidRDefault="00D06117" w:rsidP="00D06117">
      <w:pPr>
        <w:pStyle w:val="TextoNormal"/>
      </w:pPr>
    </w:p>
    <w:p w:rsidR="00D06117" w:rsidRDefault="00D06117" w:rsidP="00D06117">
      <w:pPr>
        <w:pStyle w:val="TextoNormal"/>
      </w:pPr>
      <w:r>
        <w:t>e) La representación procesal de los demandantes de amparo en fecha 21 de marzo de 2011 presentó escrito de alegaciones a las demandas interpuestas por el Abogado del Estado y el Ministerio Fiscal, manifestando su oposición a las mismas y solicitando que se acordara declarar la inexistencia de sucesión o continuación respecto de los partidos ilegalizados del partido político Sortu y la procedencia de su inscripción en el Registro de partidos políticos.</w:t>
      </w:r>
    </w:p>
    <w:p w:rsidR="00D06117" w:rsidRDefault="00D06117" w:rsidP="00D06117">
      <w:pPr>
        <w:pStyle w:val="TextoNormal"/>
      </w:pPr>
    </w:p>
    <w:p w:rsidR="00D06117" w:rsidRDefault="00D06117" w:rsidP="00D06117">
      <w:pPr>
        <w:pStyle w:val="TextoNormal"/>
      </w:pPr>
      <w:r>
        <w:lastRenderedPageBreak/>
        <w:t>f) La Sala, mediante providencia de 16 de marzo de 2011, acordó, entre otros extremos, al amparo de lo establecido en el art. 393.3 de la Ley de enjuiciamiento civil, la celebración de una comparecencia para efectuar alegaciones y para la admisión y práctica de la prueba propuesta por las partes.</w:t>
      </w:r>
    </w:p>
    <w:p w:rsidR="00D06117" w:rsidRDefault="00D06117" w:rsidP="00D06117">
      <w:pPr>
        <w:pStyle w:val="TextoNormal"/>
      </w:pPr>
    </w:p>
    <w:p w:rsidR="00D06117" w:rsidRDefault="00D06117" w:rsidP="00D06117">
      <w:pPr>
        <w:pStyle w:val="TextoNormal"/>
      </w:pPr>
      <w:r>
        <w:t>Celebrada la vista los días 21 y 22 de marzo de 2011, la Sala por Auto de 30 de marzo de 2011 acordó declarar la improcedencia de la constitución del partido político Sortu por ser continuidad o sucesión del partido político declarado ilegal y disuelto Batasuna, así como que no procedía su inscripción en el Registro de partidos políticos.</w:t>
      </w:r>
    </w:p>
    <w:p w:rsidR="00D06117" w:rsidRDefault="00D06117" w:rsidP="00D06117">
      <w:pPr>
        <w:pStyle w:val="TextoNormal"/>
      </w:pPr>
    </w:p>
    <w:p w:rsidR="00D06117" w:rsidRDefault="00D06117" w:rsidP="00D06117">
      <w:pPr>
        <w:pStyle w:val="TextoNormal"/>
      </w:pPr>
      <w:r>
        <w:t>g) La representación procesal de doña Miren Karmele Agirregabiria Agirre, don José Javier Artola Zubillaga, doña Maider Etxebarria Akaiturri, doña Raquel Sáez de Cámara y el partido político Sortu formuló incidente de nulidad de actuaciones contra el referido Auto de 30 de marzo de 2011, que fue inadmitido por providencia de 15 de abril de 2011, al considerar la Sala que con dicho incidente se “pretende, en realidad, reabrir el mismo debate procesal, reflejado en el Auto resolutorio del incidente de ejecución … mediante la reproducción de las cuestiones y argumentos jurídicos ya debatidos por la Sala y abordados en el mencionado Auto”.</w:t>
      </w:r>
    </w:p>
    <w:p w:rsidR="00D06117" w:rsidRDefault="00D06117" w:rsidP="00D06117">
      <w:pPr>
        <w:pStyle w:val="TextoNormal"/>
      </w:pPr>
    </w:p>
    <w:p w:rsidR="00D06117" w:rsidRDefault="00D06117" w:rsidP="00D06117">
      <w:pPr>
        <w:pStyle w:val="TextoNormal"/>
      </w:pPr>
      <w:r w:rsidRPr="00D06117">
        <w:rPr>
          <w:rStyle w:val="NumeroAFNegritaCaracter"/>
        </w:rPr>
        <w:t>3</w:t>
      </w:r>
      <w:r>
        <w:t>. En la fundamentación jurídica de la demanda de amparo se invoca como único motivo la vulneración, por las razones que a continuación se exponen, del derecho de asociación (art. 22 CE), en su vertiente de derecho a la creación de partidos políticos (art. 6 CE), en relación con los derechos a la libertad ideológica (art. 16.1 CE), a la libertad de expresión [art. 20.1 a) CE] y a la participación política (art. 23.1 CE), en cuanto medios de articulación y expresión del pluralismo político (art. 1.1 CE), y en relación también con los art. 10 y 11 del Convenio europeo para la protección de los derechos humanos y de las libertades fundamentales (CEDH).</w:t>
      </w:r>
    </w:p>
    <w:p w:rsidR="00D06117" w:rsidRDefault="00D06117" w:rsidP="00D06117">
      <w:pPr>
        <w:pStyle w:val="TextoNormal"/>
      </w:pPr>
    </w:p>
    <w:p w:rsidR="00D06117" w:rsidRDefault="00D06117" w:rsidP="00D06117">
      <w:pPr>
        <w:pStyle w:val="TextoNormal"/>
      </w:pPr>
      <w:r>
        <w:t>a) La demanda comienza por referirse al alcance del enjuiciamiento constitucional de la resolución judicial impugnada, señalando al respecto, con invocación de la doctrina constitucional dictada en relación con la exclusión de candidaturas electorales en aplicación del art. 44.4 Ley Orgánica del régimen electoral general (SSTC 112/2007, de 10 de mayo, FJ 10; 43/2009, de 12 de febrero, FJ 11; y 126/2009, de 21 de mayo, FJ 7), que este Tribunal ha de verificar si la Sala Especial del Tribunal Supremo del artículo 61 LOPJ ha acreditado de manera motivada y suficiente la existencia de una actuación fraudulenta tendente a la creación de un nuevo partido político con la finalidad de suceder y dar continuidad a la actividad de los partidos políticos judicialmente declarados ilegales y disueltos. Ahora bien, dada la índole de la jurisdicción constitucional, no puede pretenderse una valoración individualizada de cada una de las pruebas consideradas por el Tribunal Supremo, imponiéndose, por el contrario, un enjuiciamiento global, sintético y de conjunto de la prueba.</w:t>
      </w:r>
    </w:p>
    <w:p w:rsidR="00D06117" w:rsidRDefault="00D06117" w:rsidP="00D06117">
      <w:pPr>
        <w:pStyle w:val="TextoNormal"/>
      </w:pPr>
    </w:p>
    <w:p w:rsidR="00D06117" w:rsidRDefault="00D06117" w:rsidP="00D06117">
      <w:pPr>
        <w:pStyle w:val="TextoNormal"/>
      </w:pPr>
      <w:r>
        <w:t>b) A continuación, tras una breve referencia al proceso europeo de incorporación de los partidos políticos en los textos constitucionales de la postguerra y resaltar su caracterización como “sujetos constitucionales”, se aborda la consideración de los partidos políticos en el CEDH y en la jurisprudencia del Tribunal Europeo de Derechos Humanos.</w:t>
      </w:r>
    </w:p>
    <w:p w:rsidR="00D06117" w:rsidRDefault="00D06117" w:rsidP="00D06117">
      <w:pPr>
        <w:pStyle w:val="TextoNormal"/>
      </w:pPr>
    </w:p>
    <w:p w:rsidR="00D06117" w:rsidRDefault="00D06117" w:rsidP="00D06117">
      <w:pPr>
        <w:pStyle w:val="TextoNormal"/>
      </w:pPr>
      <w:r>
        <w:lastRenderedPageBreak/>
        <w:t>A pesar de que el art. 11 CEDH, que tiene por objeto la libertad de asociación, no alude a los partidos políticos, la Comisión Europea de Derechos Humanos ha reconocido tempranamente, aunque de modo implícito, que también a los partidos políticos les afectaba el derecho de asociación (demanda núm. 250-1957, Partido Comunista de Alemania y otros contra Alemania; reiterado en STEDH de 30 de enero de 1998, caso Partido Comunista Unificado de Turquía c. Turquía, § 24).</w:t>
      </w:r>
    </w:p>
    <w:p w:rsidR="00D06117" w:rsidRDefault="00D06117" w:rsidP="00D06117">
      <w:pPr>
        <w:pStyle w:val="TextoNormal"/>
      </w:pPr>
    </w:p>
    <w:p w:rsidR="00D06117" w:rsidRDefault="00D06117" w:rsidP="00D06117">
      <w:pPr>
        <w:pStyle w:val="TextoNormal"/>
      </w:pPr>
      <w:r>
        <w:t>Para lograr el equilibrio necesario entre el respeto a los derechos individuales y los intereses generales, el Tribunal Europeo de Derechos Humanos ha desarrollado la doctrina del “margen de apreciación nacional de los Estados”, restrictivamente interpretado en relación con la libertad de asociación, ya que la democracia exige una defensa a ultranza del pluralismo, lo que se traduce en que “el margen de apreciación del Estado a la hora de disolver un partido político debe ser estrecho, dado que el pluralismo de ideas y de partidos resulta inherente a la democracia” (STEDH de 31 de julio de 2001, caso Partido de la Prosperidad y otros c. Turquía, § 80). Por el contrario, el control europeo es riguroso y revisa tanto la valoración de los hechos como la aplicación del derecho (SSTEDH de 30 de enero de 1998, caso Partido Comunista Unificado de Turquía c. Turquía, §§ 46 y 47; 25 de mayo de 1998, caso Partido Socialista y otros c. Turquía, § 50; y 8 de diciembre de 1999, caso Partido de la Libertad y de la Democracia c. Turquía, § 44). La misma esencialidad que para la democracia poseen los partidos políticos, como elementos fundamentales de ésta, obliga a esta rigurosa y exigente valoración de la prueba de los hechos que han de acarrear las posibles restricciones de la libertad de asociación política.</w:t>
      </w:r>
    </w:p>
    <w:p w:rsidR="00D06117" w:rsidRDefault="00D06117" w:rsidP="00D06117">
      <w:pPr>
        <w:pStyle w:val="TextoNormal"/>
      </w:pPr>
    </w:p>
    <w:p w:rsidR="00D06117" w:rsidRDefault="00D06117" w:rsidP="00D06117">
      <w:pPr>
        <w:pStyle w:val="TextoNormal"/>
      </w:pPr>
      <w:r>
        <w:t>La existencia de terrorismo en el Estado es especialmente considerada por el Tribunal Europeo de Derechos Humanos. al ponderar la proporcionalidad de la medida restrictiva (SSTEDH de 30 de enero de 1998, caso Partido Comunista Unificado c. Turquía, § 59; caso Partido Socialista c. Turquía, § 52). Aunque el Tribunal Europeo de Derechos Humanos admite tomar en cuenta, como finalidad legítima que atienda a la restricción de la libertad de asociación, las dificultades de un Estado en la lucha contra el terrorismo, esa razón no puede ser por sí misma una patente de corso que justifique la desaparición de las garantías y la adopción de una medida desproporcionada en ausencia de mayores razones y pruebas dentro de lo que debe ser un control jurídico estricto del asociacionismo político. Además, también ha declarado que un partido político no se contamina situándose fuera del Convenio por el solo hecho de compartir los postulados de una organización terrorista, pues de esta eventual coincidencia no cabe concluir el apoyo al terrorismo [STEDH de 9 de abril de 2002, caso Partido del Trabajo del Pueblo (HEP) c. Turquía, § 57].</w:t>
      </w:r>
    </w:p>
    <w:p w:rsidR="00D06117" w:rsidRDefault="00D06117" w:rsidP="00D06117">
      <w:pPr>
        <w:pStyle w:val="TextoNormal"/>
      </w:pPr>
    </w:p>
    <w:p w:rsidR="00D06117" w:rsidRDefault="00D06117" w:rsidP="00D06117">
      <w:pPr>
        <w:pStyle w:val="TextoNormal"/>
      </w:pPr>
      <w:r>
        <w:t>Ciertamente, se afirma en la demanda, no puede excluirse que el programa político de un partido esconda unos objetivos e intenciones diferentes de aquellos que anuncia públicamente, lo que hace necesario “comparar el contenido de dicho programa con los actos y tomas de postura de los miembros y dirigentes del partido en cuestión” (STEDH de 13 de febrero de 2003 caso Refah Partisi y otros c. Turquia, § 101; en el mismo sentido, SSTEDH de 7 de diciembre de 2009, caso Linkov c. República Checa, § 37; 15 de enero de 2009, y caso Radko y Paunkovwki c. ex-República yugoslava de Macedonia, § 71).</w:t>
      </w:r>
    </w:p>
    <w:p w:rsidR="00D06117" w:rsidRDefault="00D06117" w:rsidP="00D06117">
      <w:pPr>
        <w:pStyle w:val="TextoNormal"/>
      </w:pPr>
    </w:p>
    <w:p w:rsidR="00D06117" w:rsidRDefault="00D06117" w:rsidP="00D06117">
      <w:pPr>
        <w:pStyle w:val="TextoNormal"/>
      </w:pPr>
      <w:r>
        <w:t xml:space="preserve">Por su parte, el art. 11.2 CEDH prescribe que la restricción del derecho de asociación política mediante la disolución de un partido debe constituir una “medida necesaria en una sociedad democrática”. Este elemento, según la doctrina del Tribunal Europeo de Derechos </w:t>
      </w:r>
      <w:r>
        <w:lastRenderedPageBreak/>
        <w:t>Humanos, exige el cumplimiento de dos condiciones: i) que la injerencia en el derecho de asociación política haya de corresponderse con una “necesidad social imperiosa” y ii) que la restricción sea proporcionada a la finalidad legítima perseguida. Sobre la negativa de los Estados a la inscripción de partidos políticos atendiendo al riesgo que el nuevo partido puede suponer para el sistema democrático, en la STEDH de 7 de diciembre de 2006, caso Linkov c. la República Checa, se dice: “Para determinar si la negativa a inscribir un partido político responde a una necesidad social imperiosa el Tribunal deberá principalmente indagar: i) si existen indicios de que el riesgo de atentado contra la democracia es suficiente y razonablemente próximo” (apartado 37; en el mismo sentido, STEDH de 30 de junio de 2009, caso Herri Batasuna y Batasuna c. España, § 81).</w:t>
      </w:r>
    </w:p>
    <w:p w:rsidR="00D06117" w:rsidRDefault="00D06117" w:rsidP="00D06117">
      <w:pPr>
        <w:pStyle w:val="TextoNormal"/>
      </w:pPr>
    </w:p>
    <w:p w:rsidR="00D06117" w:rsidRDefault="00D06117" w:rsidP="00D06117">
      <w:pPr>
        <w:pStyle w:val="TextoNormal"/>
      </w:pPr>
      <w:r>
        <w:t>El Tribunal Europeo de Derechos Humanos también ha tenido en cuenta la posibilidad de respuesta de las autoridades para hacer frente a las actividades del partido una vez legalizado en las que se trata de emprender alguna acción violenta o antidemocrática (SSTEDH de 13 de abril de 2006, caso Tsonev c. Bulgaria, § 61; 10 de julio de 1998, caso Sidiropoulos y otros c. Grecia, apartado 46; y de 11 de octubre de 2007, caso Bozgan c. Rumania, § 26). Cuando tal posibilidad exista, el Tribunal Europeo de Derechos Humanos considera que una medida tan radical como el rechazo a la solicitud de inscripción de un partido político, tomada incluso antes del inicio de sus actividades, no parece proporcional al fin perseguido y, por tanto, necesaria en una sociedad democrática.</w:t>
      </w:r>
    </w:p>
    <w:p w:rsidR="00D06117" w:rsidRDefault="00D06117" w:rsidP="00D06117">
      <w:pPr>
        <w:pStyle w:val="TextoNormal"/>
      </w:pPr>
    </w:p>
    <w:p w:rsidR="00D06117" w:rsidRDefault="00D06117" w:rsidP="00D06117">
      <w:pPr>
        <w:pStyle w:val="TextoNormal"/>
      </w:pPr>
      <w:r>
        <w:t>c) El siguiente apartado de la demanda tiene por rúbrica “[L]os partidos políticos en el ordenamiento constitucional español a la luz de la doctrina del Tribunal Constitucional”.</w:t>
      </w:r>
    </w:p>
    <w:p w:rsidR="00D06117" w:rsidRDefault="00D06117" w:rsidP="00D06117">
      <w:pPr>
        <w:pStyle w:val="TextoNormal"/>
      </w:pPr>
    </w:p>
    <w:p w:rsidR="00D06117" w:rsidRDefault="00D06117" w:rsidP="00D06117">
      <w:pPr>
        <w:pStyle w:val="TextoNormal"/>
      </w:pPr>
      <w:r>
        <w:t>Comienza este apartado por referirse a la triple función que a los partidos políticos encomienda el art. 6 CE: expresar el pluralismo político, concurrir a la formación y manifestación de la voluntad popular y ser instrumento fundamental para la participación política. La Constitución Española sitúa, por lo tanto, a los partidos políticos en una posición vertebral en el funcionamiento del Estado democrático, posición que se ve refrendada por la propia ubicación del citado precepto en el título preliminar del texto constitucional.</w:t>
      </w:r>
    </w:p>
    <w:p w:rsidR="00D06117" w:rsidRDefault="00D06117" w:rsidP="00D06117">
      <w:pPr>
        <w:pStyle w:val="TextoNormal"/>
      </w:pPr>
    </w:p>
    <w:p w:rsidR="00D06117" w:rsidRDefault="00D06117" w:rsidP="00D06117">
      <w:pPr>
        <w:pStyle w:val="TextoNormal"/>
      </w:pPr>
      <w:r>
        <w:t>Pero el art. 6 CE establece un doble principio limitador básico de la libertad de creación de partidos políticos: i) que la creación y el ejercicio de la actividad de los partidos políticos sea libre “dentro del respeto a la Constitución y a la ley”; ii) que “su estructura interna y funcionamiento deberán ser democráticos”. Así pues, la constitucionalización de los partidos políticos, además de instaurar una garantía respecto a su existencia, abre el camino para la regulación normativa de cómo se va a cultivar ésta.</w:t>
      </w:r>
    </w:p>
    <w:p w:rsidR="00D06117" w:rsidRDefault="00D06117" w:rsidP="00D06117">
      <w:pPr>
        <w:pStyle w:val="TextoNormal"/>
      </w:pPr>
    </w:p>
    <w:p w:rsidR="00D06117" w:rsidRDefault="00D06117" w:rsidP="00D06117">
      <w:pPr>
        <w:pStyle w:val="TextoNormal"/>
      </w:pPr>
      <w:r>
        <w:t xml:space="preserve">Se reproducen de manera extensa diversas resoluciones de este Tribunal en materia de partidos políticos, destacándose en la demanda de dicha jurisprudencia, que se da por reproducida a fin de evitar reiteraciones, la definición de los partidos políticos como una forma particular de asociación bajo la protección del derecho de asociación del art. 22 CE, cualificada por la relevancia constitucional de sus funciones (SSTC 48/2003, de 12 de marzo, FF JJ 5 y 6; 3/1981, de 2 de febrero, FJ 1; 85/1986, de 25 de junio, FJ 2; y 56/1995, de 6 de marzo, FJ 3); su condición de expresión del pluralismo político e instrumento fundamental de la participación política mediante su concurso a la formación y manifestación de la voluntad popular (SSTC 48/2003, de 12 de marzo, FJ 5, y 6/2004, de 16 de enero, FJ 4); la libertad de creación y funcionamiento de los partidos políticos (STC 48/2003, de 12 de </w:t>
      </w:r>
      <w:r>
        <w:lastRenderedPageBreak/>
        <w:t>marzo, FJ 5); el control jurisdiccional a posteriori de la satisfacción de los requisitos constitucional y legamente exigibles para su constitución (SSTC 85/1986, de 25 de junio, FJ 2; 48/2003, de 12 de marzo, FJ 9; y 5/2004, de 16 de enero, FJ 9); la contemplación por la ley de conductas y no de ideas como causas de ilegalización (SSTC 48/2003, de 12 de marzo, FJ 7, y 126/2009, de 21 de mayo, FJ 9); la actividad como criterio para determinar la posible continuidad o sucesión de un partido político ilegalizado y disuelto por un nuevo partido (STC 48/2003, de 12 de marzo, FJ 22); y, en fin, la improcedencia de una ilegalización preventiva (STC 62/2011, de 5 de mayo, FJ 13).</w:t>
      </w:r>
    </w:p>
    <w:p w:rsidR="00D06117" w:rsidRDefault="00D06117" w:rsidP="00D06117">
      <w:pPr>
        <w:pStyle w:val="TextoNormal"/>
      </w:pPr>
    </w:p>
    <w:p w:rsidR="00D06117" w:rsidRDefault="00D06117" w:rsidP="00D06117">
      <w:pPr>
        <w:pStyle w:val="TextoNormal"/>
      </w:pPr>
      <w:r>
        <w:t>d) La demanda alude seguidamente a los “criterios jurisprudenciales sobre la aplicación de límites al ejercicio de derechos fundamentales”, reproduciendo parcialmente la doctrina recogida en diversas resoluciones de este Tribunal, de las que destaca el principio de “máxima efectividad de los derechos fundamentales” (SSTC 159/1986, de 12 de diciembre, FFJJ 6 y 7; 20/1990, de 15 de febrero, FJ 5; 154/2002, de 18 de julio, FJ 8; 195/2003, de 27 de octubre, FJ 4; 37/2009, de 9 de febrero, FJ 3; y 170/2008, de 15 de diciembre, FJ 4) y la regla de la proporcionalidad de los sacrificios, conforme a la cual todo acto o resolución que limite derechos fundamentales ha de asegurar que las medidas limitadoras sean necesarias para conseguir el fin perseguido, sean proporcionales entre el sacrificio del derecho y la situación en la que se halla aquel a quien se le imponen y, en todo caso, respeten su contenido esencial (SSTC 154/2002, de 18 de julio, FJ 8, y 25/2005, de 14 de febrero, FJ 6).</w:t>
      </w:r>
    </w:p>
    <w:p w:rsidR="00D06117" w:rsidRDefault="00D06117" w:rsidP="00D06117">
      <w:pPr>
        <w:pStyle w:val="TextoNormal"/>
      </w:pPr>
    </w:p>
    <w:p w:rsidR="00D06117" w:rsidRDefault="00D06117" w:rsidP="00D06117">
      <w:pPr>
        <w:pStyle w:val="TextoNormal"/>
      </w:pPr>
      <w:r>
        <w:t>Asimismo, al estar en juego la efectividad de un derecho fundamental, su eventual sacrificio exige que se extreme el rigor del enjuiciamiento, además de estar justificado y motivado y ser proporcionado. En estos casos, el Tribunal Constitucional ha establecido un canon de especial exigencia y rigor en la valoración de la prueba (SSTC 85/2003, de 8 de mayo, FJ 29; 5/2004, de 16 de enero, FJ 10; 44/2009, de 13 de febrero, FJ 14; 126/2009, de 21 de mayo, FJ 9; y 62/2011, de 5 de mayo, FJ 6), que tiene como consecuencia que no está permitido sustituir la certeza objetiva por la sospecha o la convicción subjetiva (SSTC 126/2009, de 21 de mayo, FJ 13; y 62/2011, de 5 de mayo, FJ 13).</w:t>
      </w:r>
    </w:p>
    <w:p w:rsidR="00D06117" w:rsidRDefault="00D06117" w:rsidP="00D06117">
      <w:pPr>
        <w:pStyle w:val="TextoNormal"/>
      </w:pPr>
    </w:p>
    <w:p w:rsidR="00D06117" w:rsidRDefault="00D06117" w:rsidP="00D06117">
      <w:pPr>
        <w:pStyle w:val="TextoNormal"/>
      </w:pPr>
      <w:r>
        <w:t xml:space="preserve">e) El apartado de la demanda intitulado “El supuesto legal para declarar la improcedencia de la creación de un nuevo partido político” comienza por indicar que el art. 12.1.b) LOPP prevé que “se presumirá fraudulenta y no procederá la creación de un nuevo partido político … que continúe o suceda la actividad de un partido declarado ilegal”. Por su parte, el art. 12.3 LOPP establece un elenco de parámetros para declarar esa continuidad o sucesión. La LOPP, según resulta de este precepto, anuda la presunción de fraude a una serie de indicios que de concurrir, tras ser adecuadamente valorados por el órgano judicial, pueden conducir a declarar la sucesión con respecto al partido disuelto. Indicios que se enumeran sin carácter exhaustivo y cerrado, por lo que el órgano judicial podrá añadir otros, incluso adaptar la apreciación de los indicios a las circunstancias concretas. Será de la valoración de ese conjunto de indicios de donde deberá colegirse la existencia de ánimo defraudatorio. El Tribunal Constitucional viene exigiendo que la continuidad fraudulenta se acredite utilizando de manera conjunta los criterios del art. 12.3 LOPP (SSTC 85/2003, de 8 de mayo, FJ 25; y 68/2005, de 31 de marzo, FJ 11), por lo que no pueden obviarse sin vulnerar el principio de legalidad (art. 9.3 CE). Probar el fraude requiere la utilización de diferentes criterios de similitud, “una pluralidad de magnitudes y referencias” (STC 85/2003, de 8 de mayo, FJ 29), o “varias similitudes consustanciales” (STC 126/2009, de 21 de mayo, FJ 8), aunque </w:t>
      </w:r>
      <w:r>
        <w:lastRenderedPageBreak/>
        <w:t>para desvirtuar la sospecha de sucesión fraudulenta, el Tribunal Constitucional admite como suficiente el rechazo expreso y claro de la violencia terrorista.</w:t>
      </w:r>
    </w:p>
    <w:p w:rsidR="00D06117" w:rsidRDefault="00D06117" w:rsidP="00D06117">
      <w:pPr>
        <w:pStyle w:val="TextoNormal"/>
      </w:pPr>
    </w:p>
    <w:p w:rsidR="00D06117" w:rsidRDefault="00D06117" w:rsidP="00D06117">
      <w:pPr>
        <w:pStyle w:val="TextoNormal"/>
      </w:pPr>
      <w:r>
        <w:t>La cláusula de apertura para la acreditación de la sucesión fraudulenta que se contiene en el último inciso del art. 12.3 LOPP permite la utilización de otros criterios, si bien exige que esas circunstancias no sean cualesquiera, sino sólo aquéllas que tengan un carácter significativo o relevante, es decir, del mismo alcance o sentido que las similitudes que se enumeran. Pero no cabe utilizar como circunstancia relevante la similitud sustancial de los “proyectos políticos” de los partidos disueltos y el partido de nueva creación, en coherencia con el planteamiento de que el modelo de democracia que instaura la Constitución no es militante y, por tanto, la prohibición de un partido se debe fundamentar en su actividad antidemocrática, no en su ideología política.</w:t>
      </w:r>
    </w:p>
    <w:p w:rsidR="00D06117" w:rsidRDefault="00D06117" w:rsidP="00D06117">
      <w:pPr>
        <w:pStyle w:val="TextoNormal"/>
      </w:pPr>
    </w:p>
    <w:p w:rsidR="00D06117" w:rsidRDefault="00D06117" w:rsidP="00D06117">
      <w:pPr>
        <w:pStyle w:val="TextoNormal"/>
      </w:pPr>
      <w:r>
        <w:t>Se refiere seguidamente la demanda al “valor de contraindicio consistente en el rechazo del terrorismo”, respecto al que el Tribunal Constitucional ha fijado cuál es la actitud y pronunciamiento exigibles a los partidos políticos frente a la violencia y el terrorismo al objeto de enervar la continuidad o sucesión de un partido político ilegalizado. Tras reproducir al doctrina sentada al respecto, entre otras, en las SSTC 99/2004, de 25 de mayo, FJ 19; 68/2005, de 31 de marzo, FJ 15, y 62/2011, de 5 de mayo, FJ 12, se afirma la exigencia de una expresión clara de rechazo a un determinada manifestación de la violencia y el terrorismo, la llevada a cabo por ETA.</w:t>
      </w:r>
    </w:p>
    <w:p w:rsidR="00D06117" w:rsidRDefault="00D06117" w:rsidP="00D06117">
      <w:pPr>
        <w:pStyle w:val="TextoNormal"/>
      </w:pPr>
    </w:p>
    <w:p w:rsidR="00D06117" w:rsidRDefault="00D06117" w:rsidP="00D06117">
      <w:pPr>
        <w:pStyle w:val="TextoNormal"/>
      </w:pPr>
      <w:r>
        <w:t>De otra parte, los demandantes sostienen que la prueba adecuada para la acreditación de la existencia de actos ejecutados en fraude de ley como los del art. 12.1 b) LOPP es, conforme a la naturaleza de lo que se trata de demostrar, la prueba de indicios, de cuya valoración habrá de obtenerse un juicio de inferencia que permita concluir en la existencia de continuidad o sucesión respecto del partido político ilegalizado.</w:t>
      </w:r>
    </w:p>
    <w:p w:rsidR="00D06117" w:rsidRDefault="00D06117" w:rsidP="00D06117">
      <w:pPr>
        <w:pStyle w:val="TextoNormal"/>
      </w:pPr>
    </w:p>
    <w:p w:rsidR="00D06117" w:rsidRDefault="00D06117" w:rsidP="00D06117">
      <w:pPr>
        <w:pStyle w:val="TextoNormal"/>
      </w:pPr>
      <w:r>
        <w:t>No basta con acreditar la voluntad defraudatoria de ETA y del partido ilegalizado Batasuna que les lleva a pretender la puesta en marcha de un partido político a su servicio, sino que es precisa la existencia de elementos objetivos y subjetivos que abonen, en términos constitucionalmente exigibles, la idea de que esa pretensión se ha materializado, precisamente a través de los promotores y de la formación política recurrente. Realidad cuya convicción ha de alcanzarse a partir de pruebas que, más allá de demostrar una simple coincidencia ideológica, por lo demás perfectamente libre en el marco del ordenamiento constitucional, pongan de manifiesto “un verdadero concierto material y de propósito entre organizaciones” y que, por encima de una personalidad jurídica aparentemente distinta, “buscan sólo alcanzar su integración vicaria en las instituciones al servicio de un grupo terrorista” (STC 43/2009, de 12 de febrero, FJ 11).</w:t>
      </w:r>
    </w:p>
    <w:p w:rsidR="00D06117" w:rsidRDefault="00D06117" w:rsidP="00D06117">
      <w:pPr>
        <w:pStyle w:val="TextoNormal"/>
      </w:pPr>
    </w:p>
    <w:p w:rsidR="00D06117" w:rsidRDefault="00D06117" w:rsidP="00D06117">
      <w:pPr>
        <w:pStyle w:val="TextoNormal"/>
      </w:pPr>
      <w:r>
        <w:t>f) La demanda procede a continuación a aplicar los criterios jurisprudenciales expuestos al caso concreto, destacando, en primer término, las relevantes omisiones que desde una perspectiva constitucional se aprecian, a juicio de los recurrentes, en el Auto de 30 de marzo de 2011, respecto a las normas legales y criterios jurisprudenciales que eran de preceptivo examen al estar en juego en el debate procesal del incidente de ejecución la privación a los demandantes del ejercicio de un derecho fundamental tan relevante en un sistema democrático como es derecho de creación de un partido político.</w:t>
      </w:r>
    </w:p>
    <w:p w:rsidR="00D06117" w:rsidRDefault="00D06117" w:rsidP="00D06117">
      <w:pPr>
        <w:pStyle w:val="TextoNormal"/>
      </w:pPr>
    </w:p>
    <w:p w:rsidR="00D06117" w:rsidRDefault="00D06117" w:rsidP="00D06117">
      <w:pPr>
        <w:pStyle w:val="TextoNormal"/>
      </w:pPr>
      <w:r>
        <w:lastRenderedPageBreak/>
        <w:t>Se omite cualquier referencia a la libertad de asociación (art. 22 CE) y a su ejercicio mediante la creación de un partido político (art. 6 CE), hasta el punto de que ni siquiera se mencionan en la resolución judicial estos preceptos constitucionales. Asimismo, frente a la indispensable interpretación restrictiva de los límites al ejercicio de las libertades fundamentales, el Auto se limita a constatar su existencia o presencia, con concreta referencia al derecho a la vida.</w:t>
      </w:r>
    </w:p>
    <w:p w:rsidR="00D06117" w:rsidRDefault="00D06117" w:rsidP="00D06117">
      <w:pPr>
        <w:pStyle w:val="TextoNormal"/>
      </w:pPr>
    </w:p>
    <w:p w:rsidR="00D06117" w:rsidRDefault="00D06117" w:rsidP="00D06117">
      <w:pPr>
        <w:pStyle w:val="TextoNormal"/>
      </w:pPr>
      <w:r>
        <w:t>De igual modo, dado que su objeto era determinar si existía continuidad o sucesión de los partidos políticos ilegalizados a través de Sortu, un elemento central del Auto debió ser el análisis de los parámetros fijados en el art. 12.3 LOPP como indicios que sirven para determinar la conexión entre el nuevo partido y los disueltos. Pues bien, con evidente vulneración del principio de legalidad (art. 9.3 CE), la Sala no hace referencia alguna ni examina ninguno de los indicios legalmente establecidos, que son, según la jurisprudencia analizada, los que han de observarse a la hora de establecer el vínculo necesario entre el partido disuelto y el de nueva creación. Para la Sala era suficiente identificar a Sortu con la izquierda abertzale y asimilar a ésta con Batasuna y ETA, así como la presencia de miembros destacados de la antigua Batasuna en los actos previos a la presentación oficial del partido el día 8 de febrero de 2011 en Bilbao.</w:t>
      </w:r>
    </w:p>
    <w:p w:rsidR="00D06117" w:rsidRDefault="00D06117" w:rsidP="00D06117">
      <w:pPr>
        <w:pStyle w:val="TextoNormal"/>
      </w:pPr>
    </w:p>
    <w:p w:rsidR="00D06117" w:rsidRDefault="00D06117" w:rsidP="00D06117">
      <w:pPr>
        <w:pStyle w:val="TextoNormal"/>
      </w:pPr>
      <w:r>
        <w:t>El Auto recurrido tampoco analiza el valor de contraindicio del rechazo de la violencia, siendo también flagrante, salvo una alusión en el fundamento de Derecho quinto, la falta de referencia a los contenidos estatutarios. Máxime cuando esos estatutos presentan un contenido tan concluyente como los aprobados por Sortu. Tampoco se valora ninguno de los actos llevados a cabo por los promotores de Sortu y que se circunscriben a la presentación del partido en Bilbao el día 8 de febrero de 2011 mediante comparecencia ante los medios de comunicación y las declaraciones efectuadas al día siguiente en Madrid, tras la presentación de los estatutos en el Registro de partidos políticos. E igual ha ocurrido con las dos notas de prensa publicadas los días 3 y 10 de marzo de 2011. A lo que los demandantes añaden ahora, y para este proceso de amparo, la nota de prensa emitida por Sortu en fecha 12 de abril de 2011, posterior al Auto recurrido, con ocasión de un tiroteo en Francia entre presuntos miembros de ETA y la policía francesa.</w:t>
      </w:r>
    </w:p>
    <w:p w:rsidR="00D06117" w:rsidRDefault="00D06117" w:rsidP="00D06117">
      <w:pPr>
        <w:pStyle w:val="TextoNormal"/>
      </w:pPr>
    </w:p>
    <w:p w:rsidR="00D06117" w:rsidRDefault="00D06117" w:rsidP="00D06117">
      <w:pPr>
        <w:pStyle w:val="TextoNormal"/>
      </w:pPr>
      <w:r>
        <w:t>Cierra la demanda este apartado dedicado a las omisiones del Auto impugnado con una referencia al análisis parcial y exiguo, a juicio de los recurrentes, que la Sala ha efectuado de los actos y declaraciones de los miembros de la izquierda abertzale. La Sala analiza diversas declaraciones de responsables de la izquierda abertzale realizadas tras la difusión del documento “Zutik Euskal Herria”, si bien desde una única perspectiva: la referida a la intención mostrada por ese movimiento político de estar presentes en las elecciones de 22 de mayo de 2011. Pero la Sala, en lugar de analizar el amplio conjunto de las declaraciones en relación con la nueva estrategia de la izquierda abertzale y su apuesta por medios pacíficos y no violentos, se fija especialmente en dos declaraciones realizadas por Rufino Etxebarria Aberlaiz —entrevista publicada en el periódico “El País” el día 30 de enero de 2011 y entrevista radiofónica en la Cadena Ser el día 8 de enero de 2011— para destacar, de forma parcial, lo que a su juicio es una ambigüedad del entrevistado sobre el “terrorismo de ETA”, concluyendo que “no se ha producido la ruptura radical e irreversible de ETA y sobre todo auténtica”.</w:t>
      </w:r>
    </w:p>
    <w:p w:rsidR="00D06117" w:rsidRDefault="00D06117" w:rsidP="00D06117">
      <w:pPr>
        <w:pStyle w:val="TextoNormal"/>
      </w:pPr>
    </w:p>
    <w:p w:rsidR="00D06117" w:rsidRDefault="00D06117" w:rsidP="00D06117">
      <w:pPr>
        <w:pStyle w:val="TextoNormal"/>
      </w:pPr>
      <w:r>
        <w:lastRenderedPageBreak/>
        <w:t>g) La Sala ha obtenido la conclusión de la sucesión fraudulenta de Batasuna por Sortu con base en: i) la simple lectura del contenido de los documentos aportados por los demandantes y ii) la participación de destacados miembros de Batasuna en actos públicos de presentación del nuevo partido, en los que asumieron un papel protagonista.</w:t>
      </w:r>
    </w:p>
    <w:p w:rsidR="00D06117" w:rsidRDefault="00D06117" w:rsidP="00D06117">
      <w:pPr>
        <w:pStyle w:val="TextoNormal"/>
      </w:pPr>
    </w:p>
    <w:p w:rsidR="00D06117" w:rsidRDefault="00D06117" w:rsidP="00D06117">
      <w:pPr>
        <w:pStyle w:val="TextoNormal"/>
      </w:pPr>
      <w:r>
        <w:t>La Sala examina los documentos atribuidos a ETA en los que se reflejaría su estrategia en el fundamento de Derecho sexto y los atribuidos a Batasuna en el fundamento de Derecho séptimo, estimando acreditada a partir de los mismos “la existencia de una voluntad compartida ETA/BATASUNA de poner en marcha lo que denominan el nuevo proyecto político y organizativo, que no es otra cosa que un nuevo partido político que venga a sustituir a la ilegalizada Batasuna para que pueda concurrir a las elecciones municipales de mayo de 2011”. Posteriormente, se analizan en el Auto los elementos que acreditarían la materialización de esa voluntad de la ilegalizada Batasuna a través de la creación de Sortu como partido político que le sucede.</w:t>
      </w:r>
    </w:p>
    <w:p w:rsidR="00D06117" w:rsidRDefault="00D06117" w:rsidP="00D06117">
      <w:pPr>
        <w:pStyle w:val="TextoNormal"/>
      </w:pPr>
    </w:p>
    <w:p w:rsidR="00D06117" w:rsidRDefault="00D06117" w:rsidP="00D06117">
      <w:pPr>
        <w:pStyle w:val="TextoNormal"/>
      </w:pPr>
      <w:r>
        <w:t>Para la Sala carecen de virtualidad las declaraciones contenidas en los estatutos de Sortu de rechazo a la violencia terrorista y, en particular, el rechazo a la violencia de ETA, así como las manifestaciones en igual sentido realizadas por sus promotores en rueda de prensa o a través de diferentes notas remitidas a los medios de comunicación con ocasión de determinados acontecimientos habidos tras su constitución. La Sala considera que esa denuncia “tiene un mero sentido instrumental y acomodaticio cuando se trata de alcanzar determinados objetivos políticos” y que las expresiones “no son sino la escenificación de un nuevo intento de ETA/BATASUNA destinado a eludir las consecuencias de la ilegalización decretada por esta Sala”.</w:t>
      </w:r>
    </w:p>
    <w:p w:rsidR="00D06117" w:rsidRDefault="00D06117" w:rsidP="00D06117">
      <w:pPr>
        <w:pStyle w:val="TextoNormal"/>
      </w:pPr>
    </w:p>
    <w:p w:rsidR="00D06117" w:rsidRDefault="00D06117" w:rsidP="00D06117">
      <w:pPr>
        <w:pStyle w:val="TextoNormal"/>
      </w:pPr>
      <w:r>
        <w:t>h) Frente a los razonamientos del Auto recurrido, sintéticamente expuestos, los demandantes de amparo sostienen que el descubrimiento y la certeza de la existencia de un supuesto fáctico de fraude ha de basarse necesariamente en una prueba de indicios, en la medida en que el engaño, elemento consustancial del fraude, en cuanto elemento subjetivo de la conducta humana, sólo cabe constatarlo a través de una prueba de esa naturaleza.</w:t>
      </w:r>
    </w:p>
    <w:p w:rsidR="00D06117" w:rsidRDefault="00D06117" w:rsidP="00D06117">
      <w:pPr>
        <w:pStyle w:val="TextoNormal"/>
      </w:pPr>
    </w:p>
    <w:p w:rsidR="00D06117" w:rsidRDefault="00D06117" w:rsidP="00D06117">
      <w:pPr>
        <w:pStyle w:val="TextoNormal"/>
      </w:pPr>
      <w:r>
        <w:t>En todo caso, en este caso no existe prueba directa, salvo que se establezca como punto de partida, como se hace en el Auto, que la expresión “izquierda abertzale” ha de entenderse como equivalente al conjunto de formaciones ilegalizadas en la Sentencia de 27 de marzo de 2003 y posteriores resoluciones del Tribunal Supremo, identificando así los documentos, declaraciones o alegaciones realizados por la izquierda abertzale como propias y pertenecientes a Batasuna (en este sentido, SSTC 126/2009, de 21 de mayo, FFJJ 10 y 13; y 62/2011, de 5 de mayo, FJ 9).</w:t>
      </w:r>
    </w:p>
    <w:p w:rsidR="00D06117" w:rsidRDefault="00D06117" w:rsidP="00D06117">
      <w:pPr>
        <w:pStyle w:val="TextoNormal"/>
      </w:pPr>
    </w:p>
    <w:p w:rsidR="00D06117" w:rsidRDefault="00D06117" w:rsidP="00D06117">
      <w:pPr>
        <w:pStyle w:val="TextoNormal"/>
      </w:pPr>
      <w:r>
        <w:t xml:space="preserve">En segundo lugar, debe subrayarse, asimismo, que el contenido de los arts. 5.6 y 12.1 b) LOPP, en cuanto se refieren a que el nuevo partido político “continúe o suceda la actividad de un partido declarado ilegal y disuelto”, ha de entenderse en el sentido de que no se trata de “la mera afinidad o conexión ideológica”, sino de “similitud sustancial en las conductas determinantes de la ilegalización de Batasuna”. Suceder la actividad, al igual que continuar, debe ser entendido como la pretensión de hacer lo mismo, no es meramente tratar de estar presente y participar en el juego político democrático y presentarse a las elecciones si ello se hace de manera ajustada a la Constitución y a la ley y rechazando de manera inequívoca toda connivencia con la banda terrorista ETA y con la utilización de la violencia. Ha de </w:t>
      </w:r>
      <w:r>
        <w:lastRenderedPageBreak/>
        <w:t>tenerse en cuenta también que la continuidad de las personas “debe referirse a sus promotores” (ATS de 22 de mayo de 2007), en la medida en que en tanto no adquiera personalidad jurídica y empiece a desarrollar su actividad, las únicas personas que “lo componen, rigen, representan o administran” son quienes lo han promovido. Por lo demás, nada impediría que las mismas personas que integraron un partido suspendido o disuelto constituyan una nueva formación política cuyos medios y fines se ajusten a la Constitución y a la ley, siendo obvio que tal proceso constituyente sólo sería posible mediante una acción organizada y conjunta de dichas personas, en ejercicio de sus derechos fundamentales, que no podría resultar impedida, sin evidente lesión de esos derechos, por la extensión de las consecuencias de la disolución de aquel partido a cualquier actuación en la que tomasen parte de una manera colectiva dichos ciudadanos. Pero es que, además, no puede omitirse el contenido de los estatutos en los que expresamente se manifiesta que “El nuevo proyecto político y organizativo de la izquierda abertzale supone la ruptura con los modelos organizativos y formas de funcionamiento de los que se ha dotado ese espacio social y político en el pasado y, por tanto, con los vínculos de dependencia a que aquéllos daban lugar. Se trata con ello de impedir su instrumentalización por organizaciones que practiquen la violencia, por partidos políticos que fueron ilegalizados y disueltos por razón de su connivencia con ella” (capítulo preliminar). Declaraciones de similar sentido y tenor se contienen en los arts. 3 a) y b) de los estatutos, que se reproducen en la demanda.</w:t>
      </w:r>
    </w:p>
    <w:p w:rsidR="00D06117" w:rsidRDefault="00D06117" w:rsidP="00D06117">
      <w:pPr>
        <w:pStyle w:val="TextoNormal"/>
      </w:pPr>
    </w:p>
    <w:p w:rsidR="00D06117" w:rsidRDefault="00D06117" w:rsidP="00D06117">
      <w:pPr>
        <w:pStyle w:val="TextoNormal"/>
      </w:pPr>
      <w:r>
        <w:t>En definitiva, esta declaración de ruptura organizativa y funcional con ETA y Batasuna evidencia una voluntad auténtica que no puede ser desatendida, como se pretende en el Auto recurrido, sin que pueda admitirse como prueba directa de continuación o sucesión del partido político ilegalizado las declaraciones públicas de personas anteriormente vinculadas a Batasuna o simplemente pertenecientes a la izquierda abertzale de las que sólo emerge una voluntad de estar presente en el inmediato proceso electoral a través de un nuevo partido político. De igual manera carece de valor alguno, y menos el propio de una prueba directa, el contenido de los dos primeros párrafos del capítulo preliminar de los estatutos de Sortu en lo referido a que la nueva formación nace tras “un proceso de debate interno” realizado en el seno de la izquierda abertzale o que se haga mención a la expresión “proceso democrático”, sin que de ello pueda inferirse de manera razonable, dado los derechos fundamentales en juego, que quede acreditado el supuesto de ilegalización a que se refiere el art. 12.1 b) LOPP.</w:t>
      </w:r>
    </w:p>
    <w:p w:rsidR="00D06117" w:rsidRDefault="00D06117" w:rsidP="00D06117">
      <w:pPr>
        <w:pStyle w:val="TextoNormal"/>
      </w:pPr>
    </w:p>
    <w:p w:rsidR="00D06117" w:rsidRDefault="00D06117" w:rsidP="00D06117">
      <w:pPr>
        <w:pStyle w:val="TextoNormal"/>
      </w:pPr>
      <w:r>
        <w:t>i) La demanda aborda después la insuficiencia de la prueba indiciaria documental. Se afirma en ella al respecto que la columna vertebral del Auto recurrido esta configurada por los fundamentos de Derecho sexto y séptimo dedicados, respectivamente, a “la estrategia de ETA en sus documentos. El inicio del proceso” y “la estrategia de Batasuna en sus documentos”, con base en los cuales la Sala ha sustituido, a juicio de los recurrentes, la valoración de la prueba por la construcción de un relato de identificación entre los miembros de la izquierda abertzale, la banda terrorista ETA y la creación de Sortu como producto de una instrucción directa de ETA.</w:t>
      </w:r>
    </w:p>
    <w:p w:rsidR="00D06117" w:rsidRDefault="00D06117" w:rsidP="00D06117">
      <w:pPr>
        <w:pStyle w:val="TextoNormal"/>
      </w:pPr>
    </w:p>
    <w:p w:rsidR="00D06117" w:rsidRDefault="00D06117" w:rsidP="00D06117">
      <w:pPr>
        <w:pStyle w:val="TextoNormal"/>
      </w:pPr>
      <w:r>
        <w:t xml:space="preserve">El punto de partida del relato es el documento “Proceso democrático. Reflexión sobre la alternativa para la solución democrática del conflicto político y para el renacimiento de Euskal Herria”, de agosto de 2009, atribuido a ETA, así como la interpretación del concepto “proceso democrático” como expresión de una combinación de la acción violenta con la actuación por medios políticos. Sin embargo, tal y como se pondrá de relieve más adelante, </w:t>
      </w:r>
      <w:r>
        <w:lastRenderedPageBreak/>
        <w:t>ese término no tiene una interpretación unívoca en todos los documentos aportados al proceso, existiendo textos elaborados en el seno de la izquierda abertzale en los que la expresión “proceso democrático” figura vinculada, directa e inmediatamente, con la utilización, con carácter único y exclusivo, de vías políticas y democráticas. Al igual que en los propios estatutos de Sortu.</w:t>
      </w:r>
    </w:p>
    <w:p w:rsidR="00D06117" w:rsidRDefault="00D06117" w:rsidP="00D06117">
      <w:pPr>
        <w:pStyle w:val="TextoNormal"/>
      </w:pPr>
    </w:p>
    <w:p w:rsidR="00D06117" w:rsidRDefault="00D06117" w:rsidP="00D06117">
      <w:pPr>
        <w:pStyle w:val="TextoNormal"/>
      </w:pPr>
      <w:r>
        <w:t>Igualmente carece de solidez la inferencia realizada en el Auto sobre la inexistencia de debate en el seno de la izquierda abertzale y de un claro enfrentamiento a los propósitos de ETA, desconociendo tanto la prueba documental como la testifical-pericial practicada, de la que resulta más plausible derivar un intenso debate sobre el abandono de la violencia en el seno de la izquierda abertzale en contra de las pretensiones de ETA. El resultado del debate (utilización exclusiva de medios legales y democráticos) y su plasmación en declaraciones, manifiestos y notas de prensa, en los que se reitera el rechazo a la violencia de ETA y la connivencia orgánica y funcional con quienes la practican, es igualmente desatendido por la Sala.</w:t>
      </w:r>
    </w:p>
    <w:p w:rsidR="00D06117" w:rsidRDefault="00D06117" w:rsidP="00D06117">
      <w:pPr>
        <w:pStyle w:val="TextoNormal"/>
      </w:pPr>
    </w:p>
    <w:p w:rsidR="00D06117" w:rsidRDefault="00D06117" w:rsidP="00D06117">
      <w:pPr>
        <w:pStyle w:val="TextoNormal"/>
      </w:pPr>
      <w:r>
        <w:t>Por otra parte, la Sala no ha dudado en destacar una serie de datos fácticos, todos ellos en un determinado sentido, pero obviando tener en cuenta los elementos de signo contrario, claramente contradictorios con el relato que se da como acreditado. También se han considerado como indicios elementos o circunstancias que no merecen valor de tal.</w:t>
      </w:r>
    </w:p>
    <w:p w:rsidR="00D06117" w:rsidRDefault="00D06117" w:rsidP="00D06117">
      <w:pPr>
        <w:pStyle w:val="TextoNormal"/>
      </w:pPr>
    </w:p>
    <w:p w:rsidR="00D06117" w:rsidRDefault="00D06117" w:rsidP="00D06117">
      <w:pPr>
        <w:pStyle w:val="TextoNormal"/>
      </w:pPr>
      <w:r>
        <w:t>En definitiva, el Auto no resulta conforme a la doctrina constitucional establecida sobre “la entidad, naturaleza y cualidad de los indicios que permiten legítimamente colegir, en términos constitucionalmente aceptables, el designio defraudatorio de la disolución judicial de un partido político” (STC 126/2009, de 21 de marzo, FJ 7), a través de la creación de una nueva formación política que asegure la continuidad de la actividad de aquél. Es decir, los elementos de prueba tomados en consideración por la Sala no tienen, en términos constitucionales, el valor indiciario que se les ha atribuido, careciendo de la entidad necesaria para sustentar una convicción de la que deriva tan grave perjuicio para el derecho a la creación de un nuevo partido político.</w:t>
      </w:r>
    </w:p>
    <w:p w:rsidR="00D06117" w:rsidRDefault="00D06117" w:rsidP="00D06117">
      <w:pPr>
        <w:pStyle w:val="TextoNormal"/>
      </w:pPr>
    </w:p>
    <w:p w:rsidR="00D06117" w:rsidRDefault="00D06117" w:rsidP="00D06117">
      <w:pPr>
        <w:pStyle w:val="TextoNormal"/>
      </w:pPr>
      <w:r>
        <w:t>j) Los demandantes proceden a continuación a reseñar tanto los documentos que fijan la posición de ETA sobre el “proceso democrático” como expresión de una combinación de la acción violenta con la actuación por medios políticos, esto es, que acreditan la vigencia de la estrategia político-militar de ETA, como los documentos y testimonios que evidencian el contraindicio de la existencia de debate sobre estrategia en el seno de la izquierda abertzale, con serios enfrentamientos y divergencias con los planteamientos de ETA, así como el resultado de dicho debate: la utilización por la izquierda abertzale de vías exclusivamente políticas y democráticas y el rechazo de la violencia.</w:t>
      </w:r>
    </w:p>
    <w:p w:rsidR="00D06117" w:rsidRDefault="00D06117" w:rsidP="00D06117">
      <w:pPr>
        <w:pStyle w:val="TextoNormal"/>
      </w:pPr>
    </w:p>
    <w:p w:rsidR="00D06117" w:rsidRDefault="00D06117" w:rsidP="00D06117">
      <w:pPr>
        <w:pStyle w:val="TextoNormal"/>
      </w:pPr>
      <w:r>
        <w:t>La demanda se detiene especialmente en la denominada ponencia “Mugarri”, octubre de 2009, respecto de la que afirma que la Sala ha realizado una valoración claramente errónea, ya que sin justificación alguna, ni inferencia lógica, desprecia el valor que tuvo esta ponencia como expresión de las serias divergencias existentes entre ETA y la izquierda abertzale en otoño de 2009 en torno al mantenimiento o no de una estrategia político-militar (liderada por ETA) para alcanzar los objetivos políticos diseñados dentro del denominado “proceso democrático”.</w:t>
      </w:r>
    </w:p>
    <w:p w:rsidR="00D06117" w:rsidRDefault="00D06117" w:rsidP="00D06117">
      <w:pPr>
        <w:pStyle w:val="TextoNormal"/>
      </w:pPr>
    </w:p>
    <w:p w:rsidR="00D06117" w:rsidRDefault="00D06117" w:rsidP="00D06117">
      <w:pPr>
        <w:pStyle w:val="TextoNormal"/>
      </w:pPr>
      <w:r>
        <w:lastRenderedPageBreak/>
        <w:t>Tras reproducir parte del contenido de la ponencia, en el que se refleja la estrategia político-militar de ETA, se afirma en la demanda que ETA elaboró esta ponencia como contrapunto a la que la izquierda abertzale había elaborado para el debate (“Clarificando la fase político y la estrategia”) y como culminación de una serie de documentos previos en los que se defendía el empleo de la violencia como instrumento para el logro de objetivos políticos y la necesidad de combinarla y complementarla con la acción política, así como que no se discutió en el seno de la izquierda abertzale porque los responsables de la misma se negaron a ello, no por voluntad de ETA. Esta última afirmación se deduce, según los demandantes, de la carta de la mesa nacional de Batasuna al colectivo de presos de febrero de 2010, de los Autos del Juzgado Central de Instrucción núm. 3, diligencias previas núm. 371-2009, reproduciéndose parte del contenido del Auto de 20 de diciembre de 2010, de la declaración del funcionario del Cuerpo Nacional de Policía núm. 19242 en la comparecencia celebrada, que también se reproduce parcialmente, y del informe 11-2011 de la Guardia Civil, del que se reproduce una nota a pie de página.k) La demanda se refiere a continuación a los documentos y testimonios que evidencian el contraindicio de la existencia de debate sobre la estrategia en el seno de la izquierda abertzale, con serios enfrentamientos y divergencias con los planteamientos del ETA.</w:t>
      </w:r>
    </w:p>
    <w:p w:rsidR="00D06117" w:rsidRDefault="00D06117" w:rsidP="00D06117">
      <w:pPr>
        <w:pStyle w:val="TextoNormal"/>
      </w:pPr>
    </w:p>
    <w:p w:rsidR="00D06117" w:rsidRDefault="00D06117" w:rsidP="00D06117">
      <w:pPr>
        <w:pStyle w:val="TextoNormal"/>
      </w:pPr>
      <w:r>
        <w:t>Los documentos de cuyo contenido se deja constancia en la demanda son los siguientes: i) “Evolución política del proceso de liberación y situación política”, antes de abril de 2009 (documento núm. 21.3 del informe 12-2001 del JIGC), que analiza, entre otros extremos, la situación política de la izquierda abertzale y deja clara cuál era el grado de discrepancia y enfrentamiento que ya existía —antes de abril de 2009— en el interior de ese movimiento político; ii) “Komunikazio orokorra/Comunicación general”, de junio de 2009, atribuido a ETA, en el que se contienen duras críticas a la izquierda abertzale por no actuar siguiendo las directrices de ETA, reflejando de forma nítida el enfrentamiento que existía en el seno de la izquierda abertzale entre ETA y quienes defendían otro modelo de “proceso democrático”, en el que ETA no tenía el papel que ella misma se atribuía y en el que la estrategia a emplear era incompatible con el empleo de métodos violentos; iii) “Emplazamiento de la reunión”, entre finales de octubre y el mes de diciembre de 2009 (documento núm. 21.7 del informe 12-2001 del JIGC), del que claramente se puede inferir que hubo un sector ligado a ETA que pretendió modificar el sentido y los términos del debate, cosa que no consiguió a la luz de los documentos posteriores; iv) “Ejes de la estrategia de cara al Proceso Democrático”, finales de 2009 e inicio de 2010 (documento núm. 21.8 del informe 12-2001 del JIGC), que es clarificador de la situación de “discrepancias” entre ETA y EKIN con otras organizaciones de la izquierda abertzale en relación con el modelo de dirección política; v) las cartas incautadas a Rafa Díez Usabiaga, responsable de la izquierda abertzale, en octubre de 2009, en las que se contienen expresiones que dejan clara la existencia de un fuerte debate y enfrentamiento entre ETA y la izquierda abertzale; y vi) la carta de la mesa nacional de Batasuna al colectivo de presos, de febrero de 2010, que refleja palmariamente la existencia de dicho enfrentamiento y las razones por las que no se debatió la ponencia “Mugarri”.</w:t>
      </w:r>
    </w:p>
    <w:p w:rsidR="00D06117" w:rsidRDefault="00D06117" w:rsidP="00D06117">
      <w:pPr>
        <w:pStyle w:val="TextoNormal"/>
      </w:pPr>
    </w:p>
    <w:p w:rsidR="00D06117" w:rsidRDefault="00D06117" w:rsidP="00D06117">
      <w:pPr>
        <w:pStyle w:val="TextoNormal"/>
      </w:pPr>
      <w:r>
        <w:t xml:space="preserve">A los precedentes documentos, se añade en la demanda una exhaustiva relación de informaciones periodísticas, incorporadas a los autos (documentos núms. 14 a 31 y 33 a 57 de los aportados con el escrito de alegaciones), que dejan constancia del debate y enfrentamiento habido entre ETA y la izquierda abertzale sobre la estrategia a seguir. Del conjunto de estas informaciones periodísticas se deduce que no existió un “tutelaje” por parte de ETA en el desarrollo del debate producido en la izquierda abertzale, sino enfrentamiento en las </w:t>
      </w:r>
      <w:r>
        <w:lastRenderedPageBreak/>
        <w:t>propuestas y contenidos, resultando aprobada la tesis que apostaba por una estrategia política defendida por vías exclusivamente políticas y democráticas, iniciándose una evolución en las posiciones políticas de la izquierda abertzale que culminaron en el proyecto de nuevo partido político.</w:t>
      </w:r>
    </w:p>
    <w:p w:rsidR="00D06117" w:rsidRDefault="00D06117" w:rsidP="00D06117">
      <w:pPr>
        <w:pStyle w:val="TextoNormal"/>
      </w:pPr>
    </w:p>
    <w:p w:rsidR="00D06117" w:rsidRDefault="00D06117" w:rsidP="00D06117">
      <w:pPr>
        <w:pStyle w:val="TextoNormal"/>
      </w:pPr>
      <w:r>
        <w:t>En definitiva, el debate interno y la disensión en el seno de la izquierda abertzale que se coligen de la prueba documental y testifical proporcionan un importante indicio sobre la veracidad y sinceridad del rechazo de la violencia de ETA que se plasma en los estatutos del nuevo partido. Este contraindicio no ha sido tomado en consideración por la Sala, sin que en el Auto recurrido se contengan argumentos que desvirtúen la conclusión de la realidad del debate y las fuertes divergencias habidas.</w:t>
      </w:r>
    </w:p>
    <w:p w:rsidR="00D06117" w:rsidRDefault="00D06117" w:rsidP="00D06117">
      <w:pPr>
        <w:pStyle w:val="TextoNormal"/>
      </w:pPr>
    </w:p>
    <w:p w:rsidR="00D06117" w:rsidRDefault="00D06117" w:rsidP="00D06117">
      <w:pPr>
        <w:pStyle w:val="TextoNormal"/>
      </w:pPr>
      <w:r>
        <w:t>l) La demanda se detiene a continuación en el análisis de los documentos de la izquierda abertzale relativos al debate habido en su seno y a la conclusión del mismo, que acreditan, a juicio de los recurrentes, el contraindicio del resultado de dicho debate, esto es, la opción por las vías exclusivamente políticas y democráticas y el rechazo a la violencia.</w:t>
      </w:r>
    </w:p>
    <w:p w:rsidR="00D06117" w:rsidRDefault="00D06117" w:rsidP="00D06117">
      <w:pPr>
        <w:pStyle w:val="TextoNormal"/>
      </w:pPr>
    </w:p>
    <w:p w:rsidR="00D06117" w:rsidRDefault="00D06117" w:rsidP="00D06117">
      <w:pPr>
        <w:pStyle w:val="TextoNormal"/>
      </w:pPr>
      <w:r>
        <w:t>Antecede al relato de dichos documentos la advertencia, frente a lo que se sostiene en el Auto recurrido, de que los documentos “Clarificando la línea política y la estrategia”, que es la ponencia oficial y la única distribuida para el debate, y “Zutik Euskal Herria”, en el que se recogen las conclusiones del debate, no son de Batasuna, sino que su autoría corresponde a la izquierda abertzale. Además, se añade, el conjunto documental existente en el procedimiento que recoge el resultado del debate y su plasmación en resoluciones y documentos es más amplio que el que ha sido tenido en cuenta por la Sala y cuya consideración era necesaria y lógica para un mejor conocimiento de lo acaecido y una mayor solidez y validez de la inferencia a realizar. Al no haber actuado de este modo, la Sala no ha cumplido con la exigencia que impone el canon de la suficiencia y que exige considerar todos los indicios relevantes cualquiera que sea su signo, pues se ha omitido los que contienen elementos contradictorios importantes con la conclusión recogida en el Auto.</w:t>
      </w:r>
    </w:p>
    <w:p w:rsidR="00D06117" w:rsidRDefault="00D06117" w:rsidP="00D06117">
      <w:pPr>
        <w:pStyle w:val="TextoNormal"/>
      </w:pPr>
    </w:p>
    <w:p w:rsidR="00D06117" w:rsidRDefault="00D06117" w:rsidP="00D06117">
      <w:pPr>
        <w:pStyle w:val="TextoNormal"/>
      </w:pPr>
      <w:r>
        <w:t xml:space="preserve">Los documentos a los que se hace expresa mención en la demanda, con trascripción de su contenido, son los siguientes: i) “Clarificando la fase política y la estrategia”, elaborado por la izquierda abertzale en octubre de 2009, que fue la única ponencia que se discutió entre sus militantes; ii) la declaración de Alsasua de 14 de noviembre de 2009 realizada por la izquierda abertzale (documento núm. 7 de los aportados con el escrito de alegaciones), titulada “Un primer paso para el proceso democrático: principios y voluntad de la Izquierda Abertzale”, que constituyó la primera referencia pública al cambio de estrategia que se estaba produciendo en la izquierda abertzale, así como la primera declaración de uso exclusivo de “vías pacíficas y democráticas”, evidenciando la ruptura entre ETA y la izquierda abertzale en aspectos “estratégicos”; iii) el documento “Zutik Euskal Herria”, publicado por la izquierda abertzale en febrero de 2010, en el que se fijan los medios de apertura del proceso y su desarrollo, reclamando “un proceso sin injerencias, ni violencias” y en el que se afirma que “iniciar el proceso democrático supone una decisión unilateral de la Izquierda Abertzale”, para terminar planteando que la formación política que debería tener la izquierda abertzale para la intervención política-institucional deberá ser la referencia de los independentistas y socialistas vascos “en la práctica política, de masas, ideológica e institucional, ya que esos serán los únicos instrumentos que debería emplear”; iv) la declaración de Pamplona realizada por la izquierda abertzale el 24 de abril de 2010 (documento núm. 8 de los </w:t>
      </w:r>
      <w:r>
        <w:lastRenderedPageBreak/>
        <w:t>aportados con las alegaciones), en la que ésta hizo una solemne declaración unilateral de apertura del proceso democrático; v) el manifiesto del Altsasu de 29 de octubre de 2010, también ignorado por la Sala, en el que por primera vez, tras el debate, se realizó una expresión pública de rechazo a la violencia; vi) las declaraciones públicas de responsables de la izquierda abertzale en relación con la estrategia adoptada, que expresan con rotundidad la posición de la izquierda abertzale, evidenciando una clara ruptura con discursos anteriores; vii) los acuerdos alcanzados por la izquierda abertzale con partidos políticos (Eusko Alkartasuna, Alternatiba, Aralar y Abertzaleen Batasuna) tras la aprobación de la nueva estrategia, que tienen en común, a los efectos que a este recurso interesan, que en ellos se reafirman las conclusiones del debate desarrollado por la izquierda abertzale, especialmente en lo relativo a su apuesta por las vías políticas y democráticas como medios de acción política, incompatible con cualquier estrategia político-militar. En concreto se refiere la demanda a los acuerdos “Iniciativa Lortu Arte” de 20 de junio de 2010 (documento núm. 9 de los aportados con el escrito de alegaciones), que recoge el acuerdo estratégico suscrito entre Eusko Alkartasuna y la izquierda abertzale; “Acuerdo para un escenario de paz y soluciones democráticas”, de 25 de septiembre de 2010, en el que más de 25 agentes políticos, entre los que se encontraban Eusko Alkartasuna, Aralar, Abertzaleen Batasuna y la propia izquierda abertzale, sindicales y sociales establecieron unos compromisos en torno a la resolución del conflicto político vasco, en el que se manifiesta, tras requerir a ETA la declaración de un alto el fuego permanente, unilateral y verificable por la comunidad internacional, que el diálogo y la negociación en todos los ámbitos se regirán por los compromisos establecidos en los llamados “principios Mitchell” (uso de medios exclusivamente democráticos y pacíficos para resolver las cuestiones políticas; oposición a cualquier intento de utilizar la fuerza o amenazar con utilizarla; compromiso de respetar los términos de cualquier acuerdo alcanzado en las negociaciones multipartitas, así como de recurrir sólo a métodos exclusivamente democráticos y pacíficos); y el acuerdo “Euskal Herria Ezkerretik” firmado en Vitoria-Gasteiz el 16 de enero de 2011 por la izquierda abertzale, Eusko Alkartasuna y Alternatiba Eraikitzen, también denominado “Acuerdo por el cambio político y social entre independentistas y soberanistas de izquierdas”; y, en fin, viii) el comunicado de la Izquierda Abertzale de 11 de abril de 2011 con ocasión del tiroteo acaecido en Francia entre presuntos miembros de ETA y agentes de la policía francesa, en el que resultó herido uno de los funcionarios policiales, que se presentó ante la Sala tras haberse dictado el Auto recurrido y antes de la providencia por la que se inadmitió el incidente de nulidad de actuaciones, intervalo en el que acaeció el hecho denunciado. En este comunicado su rotundidad y exigencia hacia ETA son manifiestas.</w:t>
      </w:r>
    </w:p>
    <w:p w:rsidR="00D06117" w:rsidRDefault="00D06117" w:rsidP="00D06117">
      <w:pPr>
        <w:pStyle w:val="TextoNormal"/>
      </w:pPr>
    </w:p>
    <w:p w:rsidR="00D06117" w:rsidRDefault="00D06117" w:rsidP="00D06117">
      <w:pPr>
        <w:pStyle w:val="TextoNormal"/>
      </w:pPr>
      <w:r>
        <w:t>m) El siguiente apartado de la demanda lleva por rúbrica “Conclusión: la prueba indiciaria carece de solidez y rigor exigibles siendo claramente insuficiente para, en base a ella, denegar la legalización de Sortu”.</w:t>
      </w:r>
    </w:p>
    <w:p w:rsidR="00D06117" w:rsidRDefault="00D06117" w:rsidP="00D06117">
      <w:pPr>
        <w:pStyle w:val="TextoNormal"/>
      </w:pPr>
    </w:p>
    <w:p w:rsidR="00D06117" w:rsidRDefault="00D06117" w:rsidP="00D06117">
      <w:pPr>
        <w:pStyle w:val="TextoNormal"/>
      </w:pPr>
      <w:r>
        <w:t xml:space="preserve">Se afirma en este apartado que, tras la anterior exposición y a la vista del conjunto documental y probatorio expuesto, la inferencia que realizó la Sala carece de la solidez exigible para limitar el derecho fundamental a la creación de un partido político. Aseveración que se sustenta en los siguientes elementos: i) La omisión deliberada de documentos, que de nuevo se relatan en la demanda, obrantes en el procedimiento que reflejan unos hechos de signo contrario a los tomados en consideración por la Sala; ii) la falta de lógica interna del Auto recurrido al analizar los documentos que la Sala atribuye a ETA; y iii) la existencia de elementos contradictorios entre lo que la Sala expresa como relato de hechos y el contenido </w:t>
      </w:r>
      <w:r>
        <w:lastRenderedPageBreak/>
        <w:t>literal de los documentos obrantes en el procedimiento, que nuevamente se relacionan, poniendo en evidencia la interpretación unidireccional realizada.</w:t>
      </w:r>
    </w:p>
    <w:p w:rsidR="00D06117" w:rsidRDefault="00D06117" w:rsidP="00D06117">
      <w:pPr>
        <w:pStyle w:val="TextoNormal"/>
      </w:pPr>
    </w:p>
    <w:p w:rsidR="00D06117" w:rsidRDefault="00D06117" w:rsidP="00D06117">
      <w:pPr>
        <w:pStyle w:val="TextoNormal"/>
      </w:pPr>
      <w:r>
        <w:t>En definitiva, la inferencia a la que llega la Sala no responde al doble canon establecido por la jurisprudencia constitucional. No responde al canon de la lógica, porque carece de ella afirmar que Sortu responde a los planteamientos de ETA, cuando en el debate del que nace se han rechazado los planteamientos estratégicos de ésta referidos a los medios, la estrategia político-militar y su actuación violenta, y en los documentos y declaraciones que plasman su resultado se opta por el uso de procedimientos democráticos. La lógica no puede soportar semejante contraposición de pareceres. Incluso es más lógico y razonable plantearse si no es precisamente la reflexión y las decisiones de la izquierda abertzale las que han llevado a ETA a declarar el alto el fuego en enero pasado y las que podrían llevar al cese definitivo de su actividad violenta.</w:t>
      </w:r>
    </w:p>
    <w:p w:rsidR="00D06117" w:rsidRDefault="00D06117" w:rsidP="00D06117">
      <w:pPr>
        <w:pStyle w:val="TextoNormal"/>
      </w:pPr>
    </w:p>
    <w:p w:rsidR="00D06117" w:rsidRDefault="00D06117" w:rsidP="00D06117">
      <w:pPr>
        <w:pStyle w:val="TextoNormal"/>
      </w:pPr>
      <w:r>
        <w:t>Tampoco responde al canon de la suficiencia, porque la inferencia es demasiado abierta o débil, existiendo hipótesis alternativas como la planteada en este recurso o permitiendo conclusiones contradictorias, máxime si se tienen en cuenta los contraindicios aportados y acreditados.</w:t>
      </w:r>
    </w:p>
    <w:p w:rsidR="00D06117" w:rsidRDefault="00D06117" w:rsidP="00D06117">
      <w:pPr>
        <w:pStyle w:val="TextoNormal"/>
      </w:pPr>
    </w:p>
    <w:p w:rsidR="00D06117" w:rsidRDefault="00D06117" w:rsidP="00D06117">
      <w:pPr>
        <w:pStyle w:val="TextoNormal"/>
      </w:pPr>
      <w:r>
        <w:t>n) A la insuficiencia probatoria de la prueba indiciaria para dejar establecida la existencia de elementos objetivos de continuidad, añaden los demandantes como elemento enervatorio de cualquier presunción de sucesión de los partidos ilegalizados el análisis del rechazo a la violencia de ETA contenido en los estatutos de Sortu, cuyo examen no se ha llevado a cabo en el Auto enjuiciado.</w:t>
      </w:r>
    </w:p>
    <w:p w:rsidR="00D06117" w:rsidRDefault="00D06117" w:rsidP="00D06117">
      <w:pPr>
        <w:pStyle w:val="TextoNormal"/>
      </w:pPr>
    </w:p>
    <w:p w:rsidR="00D06117" w:rsidRDefault="00D06117" w:rsidP="00D06117">
      <w:pPr>
        <w:pStyle w:val="TextoNormal"/>
      </w:pPr>
      <w:r>
        <w:t>El rechazo a la violencia de ETA figura de manera expresa en el art. 3 b) de los estatutos, debiendo subrayarse que se efectúa “sin ambigüedad ni ambages”, además de definirse a la organización ETA como “sujeto activo de conductas que vulneran derechos y libertades fundamentales de las personas”. Es decir, no hay figuras retóricas en tal declaración, ni es una declaración genérica en contra de la violencia y el terrorismo. Esta declaración tiene un desarrollo concreto que también tiene a ETA por destinataria mediante la exigencia a todos “los representantes, militantes y cargos orgánicos de Sortu” de una serie de conductas, la primera de las cuales es el “rechazo firme e inequívoco de todo acto de violencia y terrorismo y de sus autores”.</w:t>
      </w:r>
    </w:p>
    <w:p w:rsidR="00D06117" w:rsidRDefault="00D06117" w:rsidP="00D06117">
      <w:pPr>
        <w:pStyle w:val="TextoNormal"/>
      </w:pPr>
    </w:p>
    <w:p w:rsidR="00D06117" w:rsidRDefault="00D06117" w:rsidP="00D06117">
      <w:pPr>
        <w:pStyle w:val="TextoNormal"/>
      </w:pPr>
      <w:r>
        <w:t>Asimismo, existen varias menciones al rechazo de cualquier connivencia con ETA. En el capítulo preliminar de los estatutos se afirma que Sortu “supone la ruptura … con los vínculos de dependencia” a los que modelos organizativos anteriores pudieron dar lugar. “Se trata con ello de impedir su instrumentalización por organizaciones que practiquen la violencia, o por partidos políticos que fueron ilegalizados y disueltos por razón de su connivencia con ella”. En el art. 3 a) se afirma que “Sortu se opondrá a cualquier subordinación, condicionamiento, o tutela externas que pretendan convertirla en una organización vicarial de quienes practiquen la violencia”. En definitiva, no cabe ninguna actuación acordada o en colaboración con el terrorismo y la violencia y se ponen límites infranqueables a cualquier intento de control y subordinación proveniente de organizaciones que practican la violencia o el terrorismo, así como a la posibilidad de actuar coordinadamente o de forma complementaria a cualquier manifestación del fenómeno terrorista.</w:t>
      </w:r>
    </w:p>
    <w:p w:rsidR="00D06117" w:rsidRDefault="00D06117" w:rsidP="00D06117">
      <w:pPr>
        <w:pStyle w:val="TextoNormal"/>
      </w:pPr>
    </w:p>
    <w:p w:rsidR="00D06117" w:rsidRDefault="00D06117" w:rsidP="00D06117">
      <w:pPr>
        <w:pStyle w:val="TextoNormal"/>
      </w:pPr>
      <w:r>
        <w:lastRenderedPageBreak/>
        <w:t>En esta línea, en el art. 3 b) de los estatutos, dentro de los criterios a los que han de adecuar su actuación los representantes, militantes y cargos orgánicos e institucionales de Sortu, existe una específica mención al art. 9 LOPP, precepto regulador de las conductas que, realizadas de forma reiterada y grave, pueden conllevar que un partido político sea declarado ilegal, las cuales se enumeran de manera general en su apartado 2 y de manera más específica, con un listado de comportamientos, en su apartado 3. Pues bien, en los estatutos se efectúa un rechazo expreso a “las diferentes formas de manifestación de la violencia y el terrorismo, tal y como legislativamente han sido definidas en los diferentes apartados del artículo 9 de la Ley Orgánica 6/2002, de partidos políticos —cuyos contenidos literales se dan por reproducidos e integrados en esta declaración—”. Junto a ello, aunque tiene un carácter reiterativo, se ha querido incluir un rechazo también expreso a “quienes fomenten, amparen o legitimen los actos de terrorismo, oponiéndose, de manera clara y expresa, a cualquier justificación conceptual y cobertura ideológica de los mismos”. Estos contenidos y esta mención al art. 9 LOPP han sido omitidos totalmente en el Auto recurrido, lo que es inaceptable desde un punto de vista de análisis constitucional, dada la indudable trascendencia objetiva que tiene la incorporación del citado precepto a los estatutos del partido desde una triple perspectiva: i) es la concreción de la alteridad respecto de Batasuna, pues todas las conductas por las que fue ilegalizada y disuelta y las restantes contenidas en el art. 9 LOPP forman parte de los estatutos de Sortu con un mandato expreso de rechazo para sus representantes, militantes y cargos orgánicos e institucionales; ii) es la materialización de la ruptura con la estrategia de ETA y el rechazo al uso de la violencia como método para el logro de objetivos políticos; y iii) es la expresión del rechazo a la violencia del pasado.</w:t>
      </w:r>
    </w:p>
    <w:p w:rsidR="00D06117" w:rsidRDefault="00D06117" w:rsidP="00D06117">
      <w:pPr>
        <w:pStyle w:val="TextoNormal"/>
      </w:pPr>
    </w:p>
    <w:p w:rsidR="00D06117" w:rsidRDefault="00D06117" w:rsidP="00D06117">
      <w:pPr>
        <w:pStyle w:val="TextoNormal"/>
      </w:pPr>
      <w:r>
        <w:t>A fin de conseguir que los compromisos asumidos en los estatutos sean reales y efectivos, se regulan también una serie de mecanismos de garantía mediante el establecimiento de medidas preventivas y sancionadoras. Como medida preventiva y que va a condicionar la posterior actuación de todos los cargos institucionales (alcaldes, concejales, junteros, parlamentarios, diputados, senadores y eurodiputados, en su caso), el art. 16 de los estatutos en su último párrafo establece que “para poder ser candidata/o en cualquiera de las listas electorales que presente Sortu se deberán de asumir previamente a la presentación de aquéllas, las bases ideológicas y los compromisos de actuación contemplados en el Capítulo Preliminar y en el artículo 3 de los presentes estatutos”. Es evidente que quienes lleguen a las instituciones en las listas de Sortu no van a poder dar legitimación o apoyo político a ETA, sino muy al contrario, obligados por los estatutos y los compromisos y principios que asumen con esa declaración, van a desarrollar una actividad de deslegitimación de cualquier conducta vulneradora de los derechos y libertades fundamentales de las personas. Como medida sancionadora el artículo 11.4 de los estatutos dispone: “Las faltas se clasificarán en muy graves, graves y leves, según la tipificación de conductas que se apruebe en el Código disciplinario. En todo caso, se considerará como falta muy grave y será sancionada con la expulsión del partido la realización de alguna de las conductas previstas en el artículo 9 de la Ley Orgánica 6/2002, de partidos políticos”. Esta norma supone la eliminación del riesgo de atentado al sistema democrático en la actividad política ordinaria de todos los militantes de Sortu. Con ambas normas se está materializando la imposibilidad de la complementariedad entre la acción política y la acción violenta. En definitiva, que la sujeción de Sortu al canon de legalidad lo es no sólo formalmente, sino materialmente.</w:t>
      </w:r>
    </w:p>
    <w:p w:rsidR="00D06117" w:rsidRDefault="00D06117" w:rsidP="00D06117">
      <w:pPr>
        <w:pStyle w:val="TextoNormal"/>
      </w:pPr>
    </w:p>
    <w:p w:rsidR="00D06117" w:rsidRDefault="00D06117" w:rsidP="00D06117">
      <w:pPr>
        <w:pStyle w:val="TextoNormal"/>
      </w:pPr>
      <w:r>
        <w:lastRenderedPageBreak/>
        <w:t>De otra parte, en el capítulo preliminar de los estatutos hay tres referencias concretas a los medios de los que se va a servir el partido para la defensa de sus ideas y proyectos: i) “Impulso de un proceso democrático, adoptando una posición clara e inequívoca de actuación por vías exclusivamente políticas y democráticas”; ii) “en definitiva, el compromiso del partido político con las vías exclusivamente políticas y democráticas es firme e inequívoco, no sujeto a variables tácticas o factores coyunturales, por lo que articulará la defensa de su ideología sobre la base del respeto a los procedimientos democráticos y mediante el empleo de medios legales de intervención en la vía pública”; y iii) “ello comporta que serán la adhesión popular, la movilización democrática, la lucha ideológica y la participación político-institucional sus únicos instrumentos de acción política”.</w:t>
      </w:r>
    </w:p>
    <w:p w:rsidR="00D06117" w:rsidRDefault="00D06117" w:rsidP="00D06117">
      <w:pPr>
        <w:pStyle w:val="TextoNormal"/>
      </w:pPr>
    </w:p>
    <w:p w:rsidR="00D06117" w:rsidRDefault="00D06117" w:rsidP="00D06117">
      <w:pPr>
        <w:pStyle w:val="TextoNormal"/>
      </w:pPr>
      <w:r>
        <w:t>También hay en los estatutos una específica mención al modelo de sociedad que defiende Sortu en los siguientes términos: “Además, la nueva organización promoverá y defenderá como parte de su programa político un modelo de sociedad acorde y coherente con el concepto de ‘sociedad democrática’ definido en el Convenio Europeo de Derechos Humanos, y sustentado en un pleno y real ejercicio de la democracia, del pluralismo y de las libertades públicas”. Esta declaración debe valorarse teniendo en cuenta que la STEDH de 30 de junio de 2009 (caso Herri Batasuna-Batasuna-Euskal Herritarrok c. España) declaró que los proyectos de los partidos ilegalizados “están en contradicción con el concepto de sociedad democrática” (§§ 91 y 93).</w:t>
      </w:r>
    </w:p>
    <w:p w:rsidR="00D06117" w:rsidRDefault="00D06117" w:rsidP="00D06117">
      <w:pPr>
        <w:pStyle w:val="TextoNormal"/>
      </w:pPr>
    </w:p>
    <w:p w:rsidR="00D06117" w:rsidRDefault="00D06117" w:rsidP="00D06117">
      <w:pPr>
        <w:pStyle w:val="TextoNormal"/>
      </w:pPr>
      <w:r>
        <w:t>Concluyen los recurrentes este apartado de la demanda manifestando que la intensidad del rechazo a toda violencia y sus instrumentos que se recoge en los estatutos, exteriorizado, sin figuras retóricas, ni equívocos, respecto de ETA, es contrapeso suficiente para desvanecer cualquier presunción de connivencia con ella o con organizaciones ilegalizadas, que pudiera reprocharse al nuevo partido político. Si a la hora de definir su fórmula de rechazo a la violencia el nuevo partido político cumple los mandatos legales y jurisprudenciales, sus estatutos están protegidos por una presunción de constitucionalidad que debe conducir a su legalización.</w:t>
      </w:r>
    </w:p>
    <w:p w:rsidR="00D06117" w:rsidRDefault="00D06117" w:rsidP="00D06117">
      <w:pPr>
        <w:pStyle w:val="TextoNormal"/>
      </w:pPr>
    </w:p>
    <w:p w:rsidR="00D06117" w:rsidRDefault="00D06117" w:rsidP="00D06117">
      <w:pPr>
        <w:pStyle w:val="TextoNormal"/>
      </w:pPr>
      <w:r>
        <w:t>ñ) Se refiere después la demanda a “los actos y tomas de postura de los promotores de Sortu”, señalando al respecto que, de conformidad con la doctrina del Tribunal Europeo de Derechos Humanos, una vez analizados los estatutos es preciso valorar como elemento los “actos y tomas de postura” de los promotores del partido, al objeto de comprobar si aquéllos esconden objetivos o intenciones diferentes a los que figuran redactados.</w:t>
      </w:r>
    </w:p>
    <w:p w:rsidR="00D06117" w:rsidRDefault="00D06117" w:rsidP="00D06117">
      <w:pPr>
        <w:pStyle w:val="TextoNormal"/>
      </w:pPr>
    </w:p>
    <w:p w:rsidR="00D06117" w:rsidRDefault="00D06117" w:rsidP="00D06117">
      <w:pPr>
        <w:pStyle w:val="TextoNormal"/>
      </w:pPr>
      <w:r>
        <w:t>Pues bien, consta acreditado en las actuaciones que, tanto en el acto de presentación del partido en Bilbao el día 8 de febrero de 2011, como al día siguiente en Madrid, tras la solicitud de la inscripción de los estatutos del partido en el Registro de partidos políticos, los promotores de Sortu reiteraron y enfatizaron todos y cada uno de los contenidos de los estatutos y muy especialmente el referido rechazado a toda violencia, incluida la de ETA, lo que se expresó de manera nítida y sin circunloquios.</w:t>
      </w:r>
    </w:p>
    <w:p w:rsidR="00D06117" w:rsidRDefault="00D06117" w:rsidP="00D06117">
      <w:pPr>
        <w:pStyle w:val="TextoNormal"/>
      </w:pPr>
    </w:p>
    <w:p w:rsidR="00D06117" w:rsidRDefault="00D06117" w:rsidP="00D06117">
      <w:pPr>
        <w:pStyle w:val="TextoNormal"/>
      </w:pPr>
      <w:r>
        <w:t xml:space="preserve">Además el partido, una vez constituido, hizo públicas dos notas de prensa los días 3 y 10 de marzo de 2011, que se omiten en el Auto recurrido, y cuyo contenido se reproduce parcialmente en la demanda, que refuerzan los apartados de los estatutos antes analizados, fundamentalmente las declaraciones y compromisos contenidos en el capítulo preliminar y en el artículo 3. Una prueba más de ello lo constituyó, a juicio de los demandantes, la nota de </w:t>
      </w:r>
      <w:r>
        <w:lastRenderedPageBreak/>
        <w:t>prensa de los promotores de Sortu de 12 de abril de 2011, a que antes se ha hecho referencia. El contenido de estas notas de prensa configura una “imagen clara” y “un todo revelador” del fin y de las intenciones de los promotores del nuevo partido político Sortu.</w:t>
      </w:r>
    </w:p>
    <w:p w:rsidR="00D06117" w:rsidRDefault="00D06117" w:rsidP="00D06117">
      <w:pPr>
        <w:pStyle w:val="TextoNormal"/>
      </w:pPr>
    </w:p>
    <w:p w:rsidR="00D06117" w:rsidRDefault="00D06117" w:rsidP="00D06117">
      <w:pPr>
        <w:pStyle w:val="TextoNormal"/>
      </w:pPr>
      <w:r>
        <w:t>o) Los instrumentos existentes en la legislación vigente y la posibilidad de respuesta del Estado español ante una actividad de un partido político que, tras ser legalizado, desmienta sus declaraciones estatutarias, en particular las referidas al rechazo de la violencia de ETA, se han visto consolidadas tras las modificaciones introducidas por la Ley Orgánica 3/2011, de 28 de enero, en la LOREG (STC 62/2011, de 5 de mayo, FJ 5). Estos nuevos mecanismos dotan al Estado de Derecho de una capacidad de respuesta de tal intensidad e inmediatez que el riesgo para el sistema democrático español se ve sensiblemente reducido respecto de la situación anterior, cuando no totalmente desaparecido.</w:t>
      </w:r>
    </w:p>
    <w:p w:rsidR="00D06117" w:rsidRDefault="00D06117" w:rsidP="00D06117">
      <w:pPr>
        <w:pStyle w:val="TextoNormal"/>
      </w:pPr>
    </w:p>
    <w:p w:rsidR="00D06117" w:rsidRDefault="00D06117" w:rsidP="00D06117">
      <w:pPr>
        <w:pStyle w:val="TextoNormal"/>
      </w:pPr>
      <w:r>
        <w:t>Frente a ello no puede alegarse, como se hace en el Auto recurrido, que “la simple existencia de la banda terrorista ETA y de sus ilegalizados brazos políticos constituye una seria y objetiva amenaza para la democracia española”, pues la valoración del riesgo ha de efectuarse no en relación con el terrorismo en general, sino en relación con el riesgo concreto que supone la creación de Sortu. Pues bien, en su opinión, no existe el riesgo potencial para el sistema democrático al que se refiere la jurisprudencia del Tribunal Europeo de Derechos Humanos, por lo que la injerencia en el derecho de asociación de los promotores no obedecería a una necesidad social imperiosa, ni respondería a criterios de proporcionalidad.</w:t>
      </w:r>
    </w:p>
    <w:p w:rsidR="00D06117" w:rsidRDefault="00D06117" w:rsidP="00D06117">
      <w:pPr>
        <w:pStyle w:val="TextoNormal"/>
      </w:pPr>
    </w:p>
    <w:p w:rsidR="00D06117" w:rsidRDefault="00D06117" w:rsidP="00D06117">
      <w:pPr>
        <w:pStyle w:val="TextoNormal"/>
      </w:pPr>
      <w:r>
        <w:t>p) En definitiva, el Auto recurrido adopta una decisión indebidamente restrictiva del derecho fundamental y expansiva de su límite legal, de modo que aquél resulta inequívocamente lesionado. La valoración probatoria y la aplicación normativa y jurisprudencial realizada por la Sala no salvaguardan suficientemente el contenido del derecho a la libre creación de partidos políticos (arts. 6 y 22 CE).</w:t>
      </w:r>
    </w:p>
    <w:p w:rsidR="00D06117" w:rsidRDefault="00D06117" w:rsidP="00D06117">
      <w:pPr>
        <w:pStyle w:val="TextoNormal"/>
      </w:pPr>
    </w:p>
    <w:p w:rsidR="00D06117" w:rsidRDefault="00D06117" w:rsidP="00D06117">
      <w:pPr>
        <w:pStyle w:val="TextoNormal"/>
      </w:pPr>
      <w:r>
        <w:t>Atendiendo a lo expuesto y a la ausencia de conductas o actividades por parte del partido político Sortu, la decisión adoptada en el Auto recurrido de impedir su inscripción en el Registro de partidos políticos del Ministerio del Interior supone una “ilegalización preventiva” que pone en riesgo el propio Estado constitucional.</w:t>
      </w:r>
    </w:p>
    <w:p w:rsidR="00D06117" w:rsidRDefault="00D06117" w:rsidP="00D06117">
      <w:pPr>
        <w:pStyle w:val="TextoNormal"/>
      </w:pPr>
    </w:p>
    <w:p w:rsidR="00D06117" w:rsidRDefault="00D06117" w:rsidP="00D06117">
      <w:pPr>
        <w:pStyle w:val="TextoNormal"/>
      </w:pPr>
      <w:r>
        <w:t>Concluye la demanda suplicando del Tribunal Constitucional que, tras los trámites pertinentes, dicte Sentencia en la que se otorgue el amparo solicitado, se restablezca a los recurrentes en su derecho de asociación (art. 22 CE), en relación con el derecho a la libre creación de partidos políticos (art. 6 CE), se declare la nulidad del Auto de la Sala Especial del Tribunal Supremo del artículo 61 de la Ley Orgánica del poder judicial, de 30 de marzo de 2011, y se declare la procedencia de la inscripción del partido político Sortu en el Registro de partidos políticos, ordenando al Ministerio del Interior que la lleve a efecto.</w:t>
      </w:r>
    </w:p>
    <w:p w:rsidR="00D06117" w:rsidRDefault="00D06117" w:rsidP="00D06117">
      <w:pPr>
        <w:pStyle w:val="TextoNormal"/>
      </w:pPr>
    </w:p>
    <w:p w:rsidR="00D06117" w:rsidRDefault="00D06117" w:rsidP="00D06117">
      <w:pPr>
        <w:pStyle w:val="TextoNormal"/>
      </w:pPr>
      <w:r w:rsidRPr="00D06117">
        <w:rPr>
          <w:rStyle w:val="NumeroAFNegritaCaracter"/>
        </w:rPr>
        <w:t>4</w:t>
      </w:r>
      <w:r>
        <w:t xml:space="preserve">. Por providencia de la Sala Segunda del Tribunal Constitucional, de 22 de junio de 2011, se admitió a trámite el recurso de amparo y, en aplicación de lo dispuesto en el art. 51 de la Ley Orgánica del Tribunal Constitucional (LOTC), se acordó dirigir atenta comunicación al Tribunal Supremo, a fin de que, en plazo que no excediera de diez días, remitiese certificación o fotocopia adverada de las actuaciones correspondientes al procedimiento de ejecución 1-2003, dimanante de los autos acumulados 6-2002 y 7-2002, seguido ante la Sala Especial del Tribunal Supremo del artículo 61 LOPJ, debiendo previamente emplazar a </w:t>
      </w:r>
      <w:r>
        <w:lastRenderedPageBreak/>
        <w:t>quienes hubieran sido parte en el procedimiento, excepto la parte recurrente, para que en el plazo de diez días pudieran comparecer, si lo deseasen, en el recurso de amparo.</w:t>
      </w:r>
    </w:p>
    <w:p w:rsidR="00D06117" w:rsidRDefault="00D06117" w:rsidP="00D06117">
      <w:pPr>
        <w:pStyle w:val="TextoNormal"/>
      </w:pPr>
    </w:p>
    <w:p w:rsidR="00D06117" w:rsidRDefault="00D06117" w:rsidP="00D06117">
      <w:pPr>
        <w:pStyle w:val="TextoNormal"/>
      </w:pPr>
      <w:r w:rsidRPr="00D06117">
        <w:rPr>
          <w:rStyle w:val="NumeroAFNegritaCaracter"/>
        </w:rPr>
        <w:t>5</w:t>
      </w:r>
      <w:r>
        <w:t>. Por diligencia de ordenación de la Secretaría de Justicia de la Sala Segunda del Tribunal Constitucional, de 5 de julio de 2011, se tuvo por personado y parte en el procedimiento al Abogado del Estado, en la representación que ostenta, y se acordó dar vista de las actuaciones recibidas a las partes personadas y al Ministerio Fiscal, por plazo común de veinte días, para que pudieran presentar las alegaciones que estimasen oportunas, de conformidad con lo dispuesto en el art. 52.1 LOTC.</w:t>
      </w:r>
    </w:p>
    <w:p w:rsidR="00D06117" w:rsidRDefault="00D06117" w:rsidP="00D06117">
      <w:pPr>
        <w:pStyle w:val="TextoNormal"/>
      </w:pPr>
    </w:p>
    <w:p w:rsidR="00D06117" w:rsidRDefault="00D06117" w:rsidP="00D06117">
      <w:pPr>
        <w:pStyle w:val="TextoNormal"/>
      </w:pPr>
      <w:r>
        <w:t>La Sala Segunda del Tribunal Constitucional, por providencia de 26 de julio de 2011, de conformidad con lo solicitado por el Abogado del Estado en escrito de 21 de julio de 2011, acordó prorrogar el plazo común conferido en la anterior resolución para presentar las alegaciones previstas en el art. 52.1 LOTC por diez días hábiles más.</w:t>
      </w:r>
    </w:p>
    <w:p w:rsidR="00D06117" w:rsidRDefault="00D06117" w:rsidP="00D06117">
      <w:pPr>
        <w:pStyle w:val="TextoNormal"/>
      </w:pPr>
    </w:p>
    <w:p w:rsidR="00D06117" w:rsidRDefault="00D06117" w:rsidP="00D06117">
      <w:pPr>
        <w:pStyle w:val="TextoNormal"/>
      </w:pPr>
      <w:r w:rsidRPr="00D06117">
        <w:rPr>
          <w:rStyle w:val="NumeroAFNegritaCaracter"/>
        </w:rPr>
        <w:t>6</w:t>
      </w:r>
      <w:r>
        <w:t>. El Abogado del Estado evacuó el trámite de alegaciones conferido mediante escrito registrado en fecha 19 de septiembre de 2011, que, en lo sustancial, a continuación se resume.</w:t>
      </w:r>
    </w:p>
    <w:p w:rsidR="00D06117" w:rsidRDefault="00D06117" w:rsidP="00D06117">
      <w:pPr>
        <w:pStyle w:val="TextoNormal"/>
      </w:pPr>
    </w:p>
    <w:p w:rsidR="00D06117" w:rsidRDefault="00D06117" w:rsidP="00D06117">
      <w:pPr>
        <w:pStyle w:val="TextoNormal"/>
      </w:pPr>
      <w:r>
        <w:t>a) Comienza por precisar que el contenido de las libertades ideológica y de expresión [arts. 16.1 y 20.1 a) CE] que se invocan en la demanda hay que integrarlas en este caso, ya que su ejercicio no es estrictamente individual, sino organizado en partidos políticos, en el “más amplio de la libertad de asociación que les sirve de contexto y ámbito de ejercicio cualificado” (SSTC 5/2004, de 16 de enero, FJ 16; y 31/2009, de 29 de enero, FJ 2). Asimismo considera que no puede examinarse la pretendida lesión del art. 6 CE, al no reconocer este precepto un derecho fundamental amparable, sin perjuicio de que su contenido puede ser tenido en cuenta para examinar la infracción del art. 22 CE (SSTC 56/1995, de 6 de marzo, FJ 3; y 6/2004, de 16 de enero, FJ 2).</w:t>
      </w:r>
    </w:p>
    <w:p w:rsidR="00D06117" w:rsidRDefault="00D06117" w:rsidP="00D06117">
      <w:pPr>
        <w:pStyle w:val="TextoNormal"/>
      </w:pPr>
    </w:p>
    <w:p w:rsidR="00D06117" w:rsidRDefault="00D06117" w:rsidP="00D06117">
      <w:pPr>
        <w:pStyle w:val="TextoNormal"/>
      </w:pPr>
      <w:r>
        <w:t>Al Abogado del Estado no le suscita duda la legitimación de las cuatro personas físicas recurrentes titulares del derecho de asociación que pretenden ejercitarlo constituyendo un partido político [arts. 162.1 b) CE y 46.1 b) LOTC]. Sin embargo respecto a Sortu el Auto recurrido en amparo impide justamente la adquisición de personalidad jurídica y los demás importantes efectos que anuda a la inscripción en el Registro de partidos políticos el art. 4.3 de la Ley Orgánica 6/2002, de 27 de junio, de partidos políticos (LOPP). Si el partido no se inscribe, son solamente sus promotores quienes responden personal y solidariamente en el tráfico jurídico (art. 4.1 LOPP).</w:t>
      </w:r>
    </w:p>
    <w:p w:rsidR="00D06117" w:rsidRDefault="00D06117" w:rsidP="00D06117">
      <w:pPr>
        <w:pStyle w:val="TextoNormal"/>
      </w:pPr>
    </w:p>
    <w:p w:rsidR="00D06117" w:rsidRDefault="00D06117" w:rsidP="00D06117">
      <w:pPr>
        <w:pStyle w:val="TextoNormal"/>
      </w:pPr>
      <w:r>
        <w:t xml:space="preserve">b) En el apartado de su escrito de alegaciones que lleva por rúbrica “Precisiones preliminares”, el Abogado del Estado señala, en primer lugar, que a la hora de examinar si un partido ha transgredido los límites constitucionales de la libertad asociativa, el dato capital ha de estar en sus actuaciones (es decir, en las actuaciones de las personas individuales) más que en su programa y sus estatutos, que suelen redactarse con el normal propósito de amoldarse a cuanto exigen la Constitución Española  y la Ley Orgánica de partidos políticos. Leídos los estatutos de Sortu que sus promotores han firmado y presentado, no hay inconveniente en reconocer que, en apariencia, son irreprochables desde el punto de vista constitucional. Bien es verdad que sólo rigen hasta la celebración del congreso constituyente del partido (disposición transitoria primera), órgano que puede ratificarlos o cambiarlos. Pero </w:t>
      </w:r>
      <w:r>
        <w:lastRenderedPageBreak/>
        <w:t>es patente que los estatutos de Sortu han sido redactados con el deliberado propósito de evitar cualquier tipo de problema de los enunciados del art. 5 LOPP, especialmente su apartado 6.</w:t>
      </w:r>
    </w:p>
    <w:p w:rsidR="00D06117" w:rsidRDefault="00D06117" w:rsidP="00D06117">
      <w:pPr>
        <w:pStyle w:val="TextoNormal"/>
      </w:pPr>
    </w:p>
    <w:p w:rsidR="00D06117" w:rsidRDefault="00D06117" w:rsidP="00D06117">
      <w:pPr>
        <w:pStyle w:val="TextoNormal"/>
      </w:pPr>
      <w:r>
        <w:t>La segunda precisión inicial se refiere a la cuestión de la ilegalización preventiva. Este caso, a su juicio, nada tiene que ver con ningún control preventivo ni con la STEDH de 11 de octubre de 2007, caso Bozgan c. Rumanía. Por el contrario, se trata de un control limitado a un extremo preciso: si Sortu pretende continuar o suceder la actividad de un partido político declarado ilegal y disuelto. Más que un control preventivo hay protección de la eficacia de la cosa juzgada material de una previa Sentencia de declaración de ilegalidad y disolución de partidos que eran instrumentos de una banda terrorista, que fue dictada el 27 de marzo de 2003 y cuyos pronunciamientos no es la primera vez que se tratan de sortear fraudulentamente. En el Auto recurrido sólo se examina esa cuestión de la continuidad/sucesión de partidos ilegales y disueltos y ello tomando en consideración exclusivamente conductas y actuaciones que han precedido y rodeado la gestación de Sortu.</w:t>
      </w:r>
    </w:p>
    <w:p w:rsidR="00D06117" w:rsidRDefault="00D06117" w:rsidP="00D06117">
      <w:pPr>
        <w:pStyle w:val="TextoNormal"/>
      </w:pPr>
    </w:p>
    <w:p w:rsidR="00D06117" w:rsidRDefault="00D06117" w:rsidP="00D06117">
      <w:pPr>
        <w:pStyle w:val="TextoNormal"/>
      </w:pPr>
      <w:r>
        <w:t>El Abogado del Estado concluye estas precisiones preliminares afirmando que carecen de trascendencia lesiva para el derecho fundamental invocado las omisiones que la demanda imputa al Auto recurrido. La falta de cita expresa de determinados preceptos constitucionales o la escasa mención expresa de los derechos fundamentales invocados por la parte demandada en la resolución judicial frente a la que se pretende amparo no significa que no hayan sido tenidos en cuenta los parámetros constitucionales relativos a los límites del derecho fundamental de asociación. Asimismo, no es cierto que el Auto impugnado no haya tenido en cuenta los índices típicos-legales de continuidad o sucesión que el legislador ha incluido en el art. 12.3 LOPP. La demanda parece olvidar que la cláusula general “cualesquiera otras circunstancias relevantes” (art. 12.3 LOPP), fórmula con la que el legislador orgánico permite que el aplicador justifique la sucesión o continuidad en elementos distintos a los típicos-legales. También pasa por alto el mandato legislativo de valorar como “contraste” los datos y documentos obrantes en el proceso en el que se decretó la ilegalización y disolución, lo que la resolución impugnada ha tenido presente. Por otra parte, la similitud de funcionamiento entre los partidos disueltos y el partido que se pretende registrar deriva esencialmente de si puede estimarse acreditado que uno y otro cumplen la misma función ancilar o instrumental en manos de la banda terrorista ETA, cuestión nuclear en el Auto recurrido. Y, en fin, la Sala también pondera actuaciones de dirigentes de partidos políticos disueltos que actúan arrogándose una suerte de representación o portavocía del nuevo partido en formación.</w:t>
      </w:r>
    </w:p>
    <w:p w:rsidR="00D06117" w:rsidRDefault="00D06117" w:rsidP="00D06117">
      <w:pPr>
        <w:pStyle w:val="TextoNormal"/>
      </w:pPr>
    </w:p>
    <w:p w:rsidR="00D06117" w:rsidRDefault="00D06117" w:rsidP="00D06117">
      <w:pPr>
        <w:pStyle w:val="TextoNormal"/>
      </w:pPr>
      <w:r>
        <w:t>c) En cuanto al tema de fondo planteado, el Abogado del Estado entiende que los actores pretenden que este Tribunal controle —dentro de los límites de su jurisdicción de amparo— la valoración de la prueba consignada en el Auto recurrido. Si esta resolución judicial no supera el test constitucional de control en cuanto a la valoración de la prueba razonada, el amparo deberá otorgarse por violación del derecho de asociación. Mas si la apreciación de la prueba razonada en el Auto se mantiene dentro de los límites constitucionales, procederá denegar el amparo.</w:t>
      </w:r>
    </w:p>
    <w:p w:rsidR="00D06117" w:rsidRDefault="00D06117" w:rsidP="00D06117">
      <w:pPr>
        <w:pStyle w:val="TextoNormal"/>
      </w:pPr>
    </w:p>
    <w:p w:rsidR="00D06117" w:rsidRDefault="00D06117" w:rsidP="00D06117">
      <w:pPr>
        <w:pStyle w:val="TextoNormal"/>
      </w:pPr>
      <w:r>
        <w:t xml:space="preserve">Tanto la resolución judicial impugnada como el Voto particular disidente contienen valoraciones de la prueba que están dentro de los límites de lo razonable con los datos aportados por demandantes y demandados incidentales y a ninguno de los relatos o conclusiones </w:t>
      </w:r>
      <w:r>
        <w:lastRenderedPageBreak/>
        <w:t>que resumen esas valoraciones se les pueda reprochar arbitrariedad. Mas si ambas valoraciones probatorias estaban dentro de lo razonable y de los límites constitucionales, la jurisdicción de este Tribunal no llega hasta imponer la preferencia de una sobre otra. El Tribunal Constitucional carece de inmediación y queda extramuros de su jurisdicción la apreciación o valoración de la prueba [art. 44.1 b) LOTC] y, por ende, jerarquizar la mayor o menor plausibilidad de dos tipos de valoración probatoria en concurrencia. Su función es meramente de control constitucional de la razonabilidad en la valoración probatoria efectuada por el Tribunal Supremo. Y la plasmada en el Auto recurrido es plenamente razonable, máxime cuando un hecho sobrevenido (el comunicado de ETA de 7 de julio de 2011 y la falta de reacción de los promotores de Sortu respecto a él) parece confirmarla (SSTC 5/2004, de 16 de enero, FFJJ 10 y 17; y 31/2009, de 29 de enero, FJ 4).</w:t>
      </w:r>
    </w:p>
    <w:p w:rsidR="00D06117" w:rsidRDefault="00D06117" w:rsidP="00D06117">
      <w:pPr>
        <w:pStyle w:val="TextoNormal"/>
      </w:pPr>
    </w:p>
    <w:p w:rsidR="00D06117" w:rsidRDefault="00D06117" w:rsidP="00D06117">
      <w:pPr>
        <w:pStyle w:val="TextoNormal"/>
      </w:pPr>
      <w:r>
        <w:t>d) El Abogado del Estado en el apartado de su escrito de alegaciones, titulado “La cuestión de la sucesión o continuidad. La izquierda abertzale como ideología y como organización”, sostiene que efecto capital de la Sentencia de disolución de un partido es que cese toda su actividad [art. 12.1 a) LOPP]. La creación de un nuevo partido se reputa fraudulenta cuando “continúe o suceda la actividad de un partido declarado ilegal y disuelto” [art. 12.1 b) LOPP].</w:t>
      </w:r>
    </w:p>
    <w:p w:rsidR="00D06117" w:rsidRDefault="00D06117" w:rsidP="00D06117">
      <w:pPr>
        <w:pStyle w:val="TextoNormal"/>
      </w:pPr>
    </w:p>
    <w:p w:rsidR="00D06117" w:rsidRDefault="00D06117" w:rsidP="00D06117">
      <w:pPr>
        <w:pStyle w:val="TextoNormal"/>
      </w:pPr>
      <w:r>
        <w:t xml:space="preserve">El problema que en este caso se trata de abordar es el de la izquierda abertzale con minúscula y la Izquierda Abertzale con mayúscula, ambigüedad tan reditual para ETA y sus instrumentos políticos. Escrito con minúscula, “izquierda abertzale” denota una ideología o corriente de opinión política amparada sin duda en el art. 16.1 CE (SSTC 126/2009, de 21 de mayo, FJ 10; 62/2011, de 5 de mayo, FF JJ 9 y 10). Pero cuando se escribe en mayúscula —por ejemplo, la expresión “Izquierda Abertzale ilegalizada”— no denota una mera ideología u opinión política sino una asociación de facto que pretende, sin duda, ejercer una actividad política coherente con esa ideología protegida por el art. 16.1 CE y, lo que es más importante, puede actuar como instrumento dirigido al triunfo de la estrategia diseñada o, por lo menos, asumida por la banda terrorista ETA, aunque también —si se compartiera el relato de la demanda o del voto particular al Auto recurrido— puede desvincularse de la organización criminal. La izquierda abertzale como organización política de facto aparece en numerosos documentos incorporados en las actuaciones ante la Sala del art. 61 LOPJ y en la propia demanda de amparo. Así en el documento de ETA “Proceso Democrático” se lee: “La Izquierda Abertzale, como consecuencia de su ilegalización, ha mostrado debilitada su capacidad de influir” (ATS 61, página 81); o “el Proceso no es el proceso para que la Izquierda Abertzale dé el salto del ‘ciclo armado’ al ‘ciclo político’” (ATS 61, página 83). En otro documento de ETA “Criterios” se dice: “Las lecturas políticas de la Izquierda Abertzale y de ETA son iguales, en la medida en que ETA es parte de la Izquierda Abertzale” y “lo que la izquierda abertzale debe decir ante las acciones de ETA se decide en las estructuras de la Izquierda Abertzale”, enunciados sin sentido salvo que izquierda abertzale denote una organización política de facto, única que puede contar con “estructuras” para “decidir” o poseer “lectores políticos” autorizados (ATS 61, página 103). Ninguna ambigüedad hay en el documento de Batasuna “Clarificando” cuando se dice que “la ilegalización de Herri Batasuna/Euskal Herritarrok/Batasuna” supuso “la expulsión de la izquierda abertzale de las elecciones y las instituciones” [Voto particular, apartado 5 a)]. La misma elaboración de ponencias que se someten a debate en que participan “siete mil militantes” [Voto disidente 8.6 C)] son reveladores de que la Izquierda Abertzale no designa sólo un movimiento político-comunión ideológica sino un movimiento-organización y que este segundo significado </w:t>
      </w:r>
      <w:r>
        <w:lastRenderedPageBreak/>
        <w:t>es el decisivo, porque se trata de reflexionar sobre documentos y declaraciones políticas de quienes rigen y representan realidades organizativas. En febrero de 2010, y en el contexto de una pretendida “crisis de dirección” en la izquierda abertzale (demanda de amparo, página 101 y ss.) quien envía una carta al “colectivo de presos” es la “Mesa Nacional de Batasuna” (demanda, páginas 109 y 100). Y quien “planifica” el curso político 2010-2011 es Batasuna (ATS 61, página 131).</w:t>
      </w:r>
    </w:p>
    <w:p w:rsidR="00D06117" w:rsidRDefault="00D06117" w:rsidP="00D06117">
      <w:pPr>
        <w:pStyle w:val="TextoNormal"/>
      </w:pPr>
    </w:p>
    <w:p w:rsidR="00D06117" w:rsidRDefault="00D06117" w:rsidP="00D06117">
      <w:pPr>
        <w:pStyle w:val="TextoNormal"/>
      </w:pPr>
      <w:r>
        <w:t>En suma la cuestión que toca decidir es bien sencilla: se trata de saber si esa asociación política o partido político de facto que unas veces se autodesigna como Izquierda Abertzale, otras como Izquierda Abertzale ilegalizada y, con mayor franqueza, otras más como Batasuna ha impulsado la promoción de Sortu para servir una estrategia asumida por ETA, estrategia que puede variar a lo largo del tiempo o, por el contrario, lo ha hecho para dejar de ser un instrumento supeditado a la banda en un intento inequívoco de desvinculación al terrorismo.</w:t>
      </w:r>
    </w:p>
    <w:p w:rsidR="00D06117" w:rsidRDefault="00D06117" w:rsidP="00D06117">
      <w:pPr>
        <w:pStyle w:val="TextoNormal"/>
      </w:pPr>
    </w:p>
    <w:p w:rsidR="00D06117" w:rsidRDefault="00D06117" w:rsidP="00D06117">
      <w:pPr>
        <w:pStyle w:val="TextoNormal"/>
      </w:pPr>
      <w:r>
        <w:t>e) Sobre la “existencia de voluntad defraudatoria y su prueba”, el Abogado del Estado afirma que dos documentos de ETA (”Proceso Democrático” y “Earen Proposamenaz II.RTF”) han sido considerados por la Sala como prueba directa de la existencia de un designio defraudatorio en ETA y en su instrumento político Batasuna. Coincide así la resolución impugnada con la STC 62/2011, de 5 de mayo, que aceptó que ambos documentos —unidos a otros en aquel caso— permitían deducir que “en efecto, ETA y el partido político ilegalizado Batasuna … han propugnado ‘una estrategia de convergencia con otras fuerzas de la izquierda abertzale que le[s] permitiera articular una presencia electoral bajo la cobertura de partidos políticos legales’ e, incluso, que aquella organización terrorista y el partido ilegalizado ha[bían] dirigido ‘sus esfuerzos a la búsqueda de acuerdos electorales’ con los partidos políticos Eusko Alkartasuna y Alternatiba”. La única diferencia está en que, por no haber sido inscrito Sortu, no pudo entrar este partido en la coalición electoral Bildu con su propio nombre y hubieron de hacerlo mediante los llamados independientes, que, de haber logrado Sortu el registro como partido hubiera aparecido bajo su pabellón. Lo que la STC 62/2011, de 5 de mayo, niega no es la existencia de designio fraudulento sino —y esa es su ratio decidendi— la razonabilidad de que la Sala del art. 61 LOPJ concluyera que ETA-Batasuna habían “instrumentalizado a la coalición recurrente en amparo o que esta y los partidos políticos que la integran [EA y Alternatiba] ha[bían] dejado instrumentalizar sus candidaturas a tal fin”, es decir, para dar sucesión o continuidad a los partidos disueltos.</w:t>
      </w:r>
    </w:p>
    <w:p w:rsidR="00D06117" w:rsidRDefault="00D06117" w:rsidP="00D06117">
      <w:pPr>
        <w:pStyle w:val="TextoNormal"/>
      </w:pPr>
    </w:p>
    <w:p w:rsidR="00D06117" w:rsidRDefault="00D06117" w:rsidP="00D06117">
      <w:pPr>
        <w:pStyle w:val="TextoNormal"/>
      </w:pPr>
      <w:r>
        <w:t xml:space="preserve">La propia demanda de amparo reconoce que “como máximo, podría admitirse como acreditado el designio defraudador de ETA y los partidos ilegalizados”, aunque niega que Sortu sea realización o materialización de tal propósito. Es evidente la máxima importancia que para ETA-Batasuna revestía la concurrencia a las elecciones locales y forales celebradas el 22 de mayo de 2011 y su disposición a hacerlo ajustándose formal y aparentemente a la Constitución y a la Ley Orgánica de partidos políticos. Así lo corrobora el reciente comunicado de la banda criminal de 7 de julio de 2011. El texto de ETA “Proceso Democrático” parte de la base de los “riesgos” para “Euskal Herria” si “la Izquierda Abertzale no toma nuevo oxigeno” (ATS 61, página 80), reconociendo que está “debilitada” como “consecuencia de su ilegalización” (ATS 61 página 81). La fase cero del proceso democrático (“implementación de mínimos democráticos”) incluye el “ejercicio político normalizado” junto con un “acuerdo [con el Estado] de no ataque/arresto” (ATS 61, página 88). No hay ninguna prueba de tal acuerdo entre “el Estado y ETA”. Pero cualquier plan político lleva en sí </w:t>
      </w:r>
      <w:r>
        <w:lastRenderedPageBreak/>
        <w:t>mismo la necesidad de flexibilidad, algo que viene a reconocer el último comunicado de la organización terrorista. El alto el fuego de enero de 2011 supone el “no ataque” por parte de la banda y la apuesta por Sortu y Bildu —tal vez con el consejo de sus asesores internacionales (muy ilustrativas son las declaraciones de Mr. Currin publicadas en “Gara” el mismo día que el comunicado de ETA, bajo el título “Un Proceso no puede ser eternamente unilateral”, que se adjunta como documento 3)— y que se enderezan a conseguir el “ejercicio político normalizado” para la izquierda abertzale, convirtiéndola en asociación política de facto en partido que disfruta de la “prima de la legalidad”. No hay acuerdo entre ETA y el Estado, pero sí hay intento de recorrer, desde la organización terrorista, la fase cero del “Proceso Democrático” señalada por ETA, buscando “la fórmula que le es más conveniente a la Izquierda Abertzale” (ATS 61, página 91). Esta “fórmula más conveniente” ha resultado ser no la dibujada en la Ponencia “Mugarri”, sino la plasmada en el documento “Clarificando” y luego concretada definitivamente en el posterior documento o manifiesto “Zutik Euskal Herria”, con el que la banda armada ha demostrado su acuerdo (ATS 61, página 181).</w:t>
      </w:r>
    </w:p>
    <w:p w:rsidR="00D06117" w:rsidRDefault="00D06117" w:rsidP="00D06117">
      <w:pPr>
        <w:pStyle w:val="TextoNormal"/>
      </w:pPr>
    </w:p>
    <w:p w:rsidR="00D06117" w:rsidRDefault="00D06117" w:rsidP="00D06117">
      <w:pPr>
        <w:pStyle w:val="TextoNormal"/>
      </w:pPr>
      <w:r>
        <w:t>En el contexto de esta estrategia para la legalización quizá asumida al principio de mejor o peor gana por ETA, pero luego aplaudida y elogiada, encaja perfectamente que la banda acepte la condena pública de sus “acciones” (“ekintzas”), es decir, sus delitos más graves (“Earen Proposamenaz II.RTF”).</w:t>
      </w:r>
    </w:p>
    <w:p w:rsidR="00D06117" w:rsidRDefault="00D06117" w:rsidP="00D06117">
      <w:pPr>
        <w:pStyle w:val="TextoNormal"/>
      </w:pPr>
    </w:p>
    <w:p w:rsidR="00D06117" w:rsidRDefault="00D06117" w:rsidP="00D06117">
      <w:pPr>
        <w:pStyle w:val="TextoNormal"/>
      </w:pPr>
      <w:r>
        <w:t>Se concluye de todo lo expuesto que es indudable que ETA y la Izquierda Abertzale ilegalizada (Batasuna) buscaban y pretendían una continuidad o sucesión operativa en un nuevo partido con el que poder presentarse a las elecciones de mayo de 2011 y sucesivas, coaligados o no.</w:t>
      </w:r>
    </w:p>
    <w:p w:rsidR="00D06117" w:rsidRDefault="00D06117" w:rsidP="00D06117">
      <w:pPr>
        <w:pStyle w:val="TextoNormal"/>
      </w:pPr>
    </w:p>
    <w:p w:rsidR="00D06117" w:rsidRDefault="00D06117" w:rsidP="00D06117">
      <w:pPr>
        <w:pStyle w:val="TextoNormal"/>
      </w:pPr>
      <w:r>
        <w:t>f) A continuación argumenta el Abogado del Estado sobre la materialización del fraude en Sortu en la que admite que compiten dos relatos, el de la mayoría autora del ATS 61 y el del Voto disidente, con el que coincide sustancialmente la demanda de amparo. Se trata de contrapuestas inferencias y conclusiones que sobre la materialización de la continuidad fraudulenta en Sortu se obtienen a partir de similares indicios: los que proporcionan los documentos provenientes de ETA y Batasuna (fundamentos sexto y séptimo del ATS 61); las declaraciones de miembros de EKIN Garmendia, Etxaide, Otegui, Erquicia o Etxeberri (fundamento undécimo ATS 61); acto del Hotel Tres Reyes de 27 de noviembre de 2010 y actos de presentación de Sortu el 7 y 8 de febrero de 2011 (fundamento duodécimo ATS 61); y, finalmente, comunicados y declaraciones de ETA (fundamento decimotercero del ATS 61), al que ha de añadirse el muy importante y sobrevenido de 7 de julio de 2011 (documentos 1 y 2).</w:t>
      </w:r>
    </w:p>
    <w:p w:rsidR="00D06117" w:rsidRDefault="00D06117" w:rsidP="00D06117">
      <w:pPr>
        <w:pStyle w:val="TextoNormal"/>
      </w:pPr>
    </w:p>
    <w:p w:rsidR="00D06117" w:rsidRDefault="00D06117" w:rsidP="00D06117">
      <w:pPr>
        <w:pStyle w:val="TextoNormal"/>
      </w:pPr>
      <w:r>
        <w:t>Tras resumir el relato del Auto impugnado y el del Voto particular, así como referirse a las objeciones de la demanda a aquel relato, el Abogado del Estado señala que ningún fundamento jurídico hay para considerar presuntamente constitucional la aprobación de unos estatutos asociativos por cuatro ciudadanos, aunque es cierto que quien sostenga la tesis de que la libertad de asociación no protege este acto asume la carga de argumentarlo en derecho y probar los hechos en que se basa su oposición, como ha hecho en este caso el Gobierno, representado por la Abogacía del Estado, y el Ministerio Fiscal en el incidente de ejecución resuelto por el Auto recurrido.</w:t>
      </w:r>
    </w:p>
    <w:p w:rsidR="00D06117" w:rsidRDefault="00D06117" w:rsidP="00D06117">
      <w:pPr>
        <w:pStyle w:val="TextoNormal"/>
      </w:pPr>
    </w:p>
    <w:p w:rsidR="00D06117" w:rsidRDefault="00D06117" w:rsidP="00D06117">
      <w:pPr>
        <w:pStyle w:val="TextoNormal"/>
      </w:pPr>
      <w:r>
        <w:lastRenderedPageBreak/>
        <w:t>Para el Abogado del Estado la conclusión reflejada en dicho Auto satisface los estándares constitucionales de lógica y calidad o suficiencia inferial establecidos en la doctrina constitucional en lo que se refiere a que Sortu constituye la materialización de un designio de ETA-Batasuna de dar continuidad o sucesión a la actividad de los partidos ilegalizados y disueltos. Conclusión que refuerza el comunicado de ETA de julio de 2011.</w:t>
      </w:r>
    </w:p>
    <w:p w:rsidR="00D06117" w:rsidRDefault="00D06117" w:rsidP="00D06117">
      <w:pPr>
        <w:pStyle w:val="TextoNormal"/>
      </w:pPr>
    </w:p>
    <w:p w:rsidR="00D06117" w:rsidRDefault="00D06117" w:rsidP="00D06117">
      <w:pPr>
        <w:pStyle w:val="TextoNormal"/>
      </w:pPr>
      <w:r>
        <w:t>La izquierda abertzale y ETA siguen compartiendo no sólo la misma ideología sino la misma estrategia operativa. Ambos son actores con diferentes papeles en un mismo plan de conjunto entre 2009 y 2011. “La Izquierda Abertzale, que es el motor de la lucha de este pueblo, ha hablado y ETA hace suyas sus palabras … ETA se ratifica en los esquemas principales de Anoeta” (comunicado de la banda terrorista de 31 de diciembre de 2009 en relación con la llamada “declaración de Alsasua”, página 177 ATS 61). “La metodología que se presentó en Anoeta cuenta con un apoyo suficiente [sic] amplio entre todos los ciudadanos y los agentes … ‘Zutik Euskal Herria’ fija la posición política de la unidad popular [Herri Batasuna = Unidad Popular]. ETA no la haría suya palabra por palabra, pero estamos de acuerdo con la apuesta política que se desprende de esa resolución … Estas elecciones [las de mayo de 2011] tienen una gran trascendencia para Euskal Herria. Nuestro pueblo se encuentra ante el desafío de vencer de forma definitiva el tiempo de apartheid. Huelga decir que eso ofrecería al proceso democrático un nuevo impulso” (entrevista publicada en “Gara” el 25 de septiembre de 2010, ATS 61 páginas 181 y 182). Tras el “alto el fuego permanente” declarado por ETA el 10 de enero de 2011, Batasuna contestó así: “El devenir de los acontecimientos confirma el camino emprendido a través de la resolución ‘Zutik Euskal Herria’. La declaración de ETA anunciando un alto el fuego permanente, real y verificable supone una aportación incuestionable al avance del ‘Proceso Democrático’, a la par que un hito histórico en el país” (ATS 61, página 183)•</w:t>
      </w:r>
    </w:p>
    <w:p w:rsidR="00D06117" w:rsidRDefault="00D06117" w:rsidP="00D06117">
      <w:pPr>
        <w:pStyle w:val="TextoNormal"/>
      </w:pPr>
    </w:p>
    <w:p w:rsidR="00D06117" w:rsidRDefault="00D06117" w:rsidP="00D06117">
      <w:pPr>
        <w:pStyle w:val="TextoNormal"/>
      </w:pPr>
      <w:r>
        <w:t xml:space="preserve">Y como remate y culminación de todo lo anterior, el comunicado de ETA de 7 de julio de 2011 (documentos 1 y 2). Según la banda terrorista, tras las elecciones de 22 de mayo de 2011 se ha “iniciado el camino para la superación en los ayuntamientos y diputaciones forales de la marginación y el secuestro de la representación institucional que se fraguaron al amparo de la ilegalización de la izquierda abertzale”. La Izquierda Abertzale emprendió “de dos años a la fecha” una “reflexión profunda” para “consolidar una estrategia eficaz para romper la situación de bloqueo que los Estados [España y Francia] han querido forzar en el proceso de liberación”. La “reflexión” de la Izquierda Abertzale no se ha quedado en “ejercicio teórico”, sino que ha querido “revolucionar con valentía y decisión la situación” y “ahí se sitúan las propuestas que se han hecho estos últimos meses, las movilizaciones populares que se han llevado a cabo, las iniciativas que ha liderado ETA o las alianzas que se han tejido y la colaboración que se ha desarrollado”. Frente a los que pretendían “mantener el bloqueo”, incluso actuando con “malicia” para “alimentar la división interior”, continúa la banda terrorista, “la resolución de mantener firmemente la apuesta de la izquierda abertzale le ha dado ante la sociedad, primero, credibilidad, y segundo, reunir una amplia adhesión”. La “amplia respuesta” recibida por “el último intento de mantener la ilegalización” ha obligado a “mostrar la contradicción también en las filas del sector bajo dominio español”, de manera que los Estados “ya han perdido el bastón de mando acerca de la situación política en el País Vasco”. La Ley Orgánica de partidos políticos —“ley extranjera que el Estado español impuso por la fuerza en el País Vasco”— buscó dejar a la Izquierda Abertzale “fuera de la lucha electoral y de la representación institucional”, pero, pese a que “la opción de </w:t>
      </w:r>
      <w:r>
        <w:lastRenderedPageBreak/>
        <w:t>Sortu, elegida por la izquierda abertzale, fue eliminada legalmente”, el País Vasco “ha ganado la batalla política e ideológica de su ilegalización” y las elecciones del pasado mayo “anuncian una situación nueva”, atendiendo al “juramento que la coalición Bildu ha hecho de promover la participación de los ciudadanos y de que la representación institucional llegue a ser el poder popular”. El “reconocimiento del derecho del País Vasco a decidir” derivará de “una acumulación de cada vez sectores más amplios y de la activación de los medios de presión cada vez más eficaces”. En suma: “en el pleno convencimiento de que hay una oportunidad de construir en el País Vasco un escenario de paz y de libertad, ETA quiere reiterar su disposición para profundizar en esta vía”. Tras los vivas de rigor, la consigna de siempre: “Jo ta ke independentzia lortu arte” (“sin cejar hasta conseguir la independencia”). Por experiencia sabemos qué significan para ETA las palabras “sin cejar”.</w:t>
      </w:r>
    </w:p>
    <w:p w:rsidR="00D06117" w:rsidRDefault="00D06117" w:rsidP="00D06117">
      <w:pPr>
        <w:pStyle w:val="TextoNormal"/>
      </w:pPr>
    </w:p>
    <w:p w:rsidR="00D06117" w:rsidRDefault="00D06117" w:rsidP="00D06117">
      <w:pPr>
        <w:pStyle w:val="TextoNormal"/>
      </w:pPr>
      <w:r>
        <w:t>El Abogado del Estado se pregunta sobre qué respuesta ha dado Sortu o sus promotores al último comunicado de ETA. En este contexto afirma que ha de regir la regla qui siluit cum loqui et debuit et potuit consentire videtur: el que calla cuando debe y puede hablar consiente. Esta regla ha sido aplicada por la doctrina de este Tribunal precisamente en casos de ilegalización de partidos políticos o de continuidad y sucesión de los ilegalizados y disueltos (SSTC 5/2004, de 16 de enero, FJ 18; 99/2004, de 27 de mayo, FJ 19; y 68/2005, de 31 de marzo, FJ 16). No aparece por ningún lado la desvinculación, separación o incluso contraposición entre ETA e Izquierda Abertzale-Batasuna. Más bien lo que aparece es una interpretación a dos coros del mismo motivo melódico sin demasiada desarmonía al principio y plena armonía al final. Puede ser que, en su momento, los más acusados extremistas del terrorismo etarra no compartieran del todo la “apuesta” que comienza en “Clarificando” y “Zutik Euskal Herria” para culminar en Sortu. Pero desde luego el cotejo entre lo que ha manifestado y manifiesta la banda terrorista y las posiciones que han expresado y expresan públicamente quienes ofician de portavoces de la “Izquierda Abertzale ilegalizada” no puede describirse como contraposición o separación, sino como interpretación a cuatro manos de la misma pieza. Que en el interior de la “Izquierda Abertzale” pudieran existir visiones contrapuestas, discrepancias y hasta banderías no desmiente la concordancia en las manifestaciones públicas que se acaba de reseñar.</w:t>
      </w:r>
    </w:p>
    <w:p w:rsidR="00D06117" w:rsidRDefault="00D06117" w:rsidP="00D06117">
      <w:pPr>
        <w:pStyle w:val="TextoNormal"/>
      </w:pPr>
    </w:p>
    <w:p w:rsidR="00D06117" w:rsidRDefault="00D06117" w:rsidP="00D06117">
      <w:pPr>
        <w:pStyle w:val="TextoNormal"/>
      </w:pPr>
      <w:r>
        <w:t>La alegada conversión al bien político —la separación y el rechazo de la criminalidad terrorista— requiere una prueba especialmente contundente, especialmente si la banda criminal sigue existiendo, aunque —por conveniencia de la propia estrategia de ETA— suspenda por el momento su actividad delictiva. Mientras ETA exista, esté armada y la Izquierda Abertzale-organización no rompa con la banda de una manera incontrovertiblemente real, no podrá ser un actor político normal, equiparable a otros partidos, e invocará en vano los “principios Mitchell” que incluyen el desarme de las bandas paramilitares. La mera subsistencia de la banda terrorista supone en sí misma una amenaza de violencia que altera el normal desenvolvimiento de la actividad de los otros partidos políticos en el País Vasco: ETA armada sigue siendo el “garante” del “proceso”, pues la banda siempre podría volver a jugar la carta de la “ruptura militar” (Documento “Proceso Democrático”, ATS 61, página 89). Mientras ETA no desaparezca definitivamente, la izquierda abertzale, “ilegalizada” o “legalizada” no puede pretender colocarse en el plano de la normalidad política de los demás partidos si no se desvincula de ETA sin ofrecer ningún atisbo de duda mediante un rechazo expreso de la violencia etarra y una petición de disolución de la banda terrorista.</w:t>
      </w:r>
    </w:p>
    <w:p w:rsidR="00D06117" w:rsidRDefault="00D06117" w:rsidP="00D06117">
      <w:pPr>
        <w:pStyle w:val="TextoNormal"/>
      </w:pPr>
    </w:p>
    <w:p w:rsidR="00D06117" w:rsidRDefault="00D06117" w:rsidP="00D06117">
      <w:pPr>
        <w:pStyle w:val="TextoNormal"/>
      </w:pPr>
      <w:r>
        <w:lastRenderedPageBreak/>
        <w:t>El problema que suscita el tenor de los estatutos de Sortu nace de esta situación, es decir, de la continuidad de la banda terrorista como actor político y como posible diseñador de estrategias de acción política. La aseveración de la STC 62/2011, de 5 de mayo, de que “el dilema —acaso sería preferible decir problema— de la mayor o menor sinceridad del sujeto” es “insoluble para el derecho” sólo puede aceptarse si lo que se pretende significar es que el estado psicológico interno de una o varias personas es inalcanzable para el Derecho. Ahora bien, lo que sí está perfectamente al alcance de un operador jurídico —y desde luego de la Sala del art. 61 LOPJ— es la operación de confrontar lo que los estatutos de Sortu proclaman y lo que resulta de otros documentos o declaraciones o de la actuación seguida de miembros de la “Izquierda Abertzale-organización”. Efectuando tal cotejo, es lícito concluir con el Tribunal Supremo que los primorosos estatutos no pasan de ser una ficción forjada exclusivamente para lograr fraudulentamente la inscripción en el Registro de partidos políticos y que el nuevo partido representa el último intento —más refinado jurídicamente y mejor preparado mediática y políticamente— de continuar la obra de los partidos disueltos en concierto con ETA.</w:t>
      </w:r>
    </w:p>
    <w:p w:rsidR="00D06117" w:rsidRDefault="00D06117" w:rsidP="00D06117">
      <w:pPr>
        <w:pStyle w:val="TextoNormal"/>
      </w:pPr>
    </w:p>
    <w:p w:rsidR="00D06117" w:rsidRDefault="00D06117" w:rsidP="00D06117">
      <w:pPr>
        <w:pStyle w:val="TextoNormal"/>
      </w:pPr>
      <w:r>
        <w:t>En resumen, punto capital para decidir la cuestión es no tanto la existencia real o aparente de disensiones externas en la izquierda abertzale cuanto la real desvinculación con ETA y la consideración de Sortu como expresión de tal desvinculación. Y aquí la tesis de la demanda es inaceptable por las razones expuestas y procede, en consecuencia, confirmar la conclusión plasmada en el Auto recurrido por ser perfectamente lógica y gozar de mayor solidez que el relato alternativo que la demanda propone.</w:t>
      </w:r>
    </w:p>
    <w:p w:rsidR="00D06117" w:rsidRDefault="00D06117" w:rsidP="00D06117">
      <w:pPr>
        <w:pStyle w:val="TextoNormal"/>
      </w:pPr>
    </w:p>
    <w:p w:rsidR="00D06117" w:rsidRDefault="00D06117" w:rsidP="00D06117">
      <w:pPr>
        <w:pStyle w:val="TextoNormal"/>
      </w:pPr>
      <w:r>
        <w:t>g) Como corroboración de su argumentación se refiere y aporta el Abogado del Estado la Sentencia 22/2011, de 16 de septiembre, de la Sección Cuarta de la Sala de lo Penal de la Audiencia Nacional, en la que se condena a don Arnaldo Otegui Mondragón y a don Rafael Díaz Usabiaga como autores de un delito de pertenencia a organización terrorista en grado de dirigentes y a doña Mirien Zabaleta Tellería, don Arkaitz Rodríguez Torres y doña Sonia Jacinto García como autores de un delito de pertenencia a organización terrorista.</w:t>
      </w:r>
    </w:p>
    <w:p w:rsidR="00D06117" w:rsidRDefault="00D06117" w:rsidP="00D06117">
      <w:pPr>
        <w:pStyle w:val="TextoNormal"/>
      </w:pPr>
    </w:p>
    <w:p w:rsidR="00D06117" w:rsidRDefault="00D06117" w:rsidP="00D06117">
      <w:pPr>
        <w:pStyle w:val="TextoNormal"/>
      </w:pPr>
      <w:r>
        <w:t>Esta Sentencia sobrevenida tiene interés para el presente asunto porque la Sala para llegar a la conclusión condenatoria valora documentos que fueron tomados en consideración por la Sala del art. 61 LOPJ y a algunos de los cuales se ha hecho referencia en estas alegaciones. Son documentos de ETA el llamado “Herri antolatuaren” de fecha anterior a la detención de los condenados (fundamento tercero, A.2 de la Sentencia de la Audiencia Nacional y fundamento jurídico 7 del ATS 61) y otros varios “publicados una vez privados de libertad los referidos acusados”, denominados “Clarificando”, “Declaración de Alsasua”, “Zutik Euskal Herria” y la ponencia “Mugarri” “elaborada directamente por ETA” (fundamento tercero, C, Sentencia de la Audiencia Nacional). El Tribunal penal examina estos documentos posteriores a la detención de los encartados por la virtualidad exculpatoria o exoneratoria que les atribuían las defensas y afirma que el documento “Clarificando” fue “elaborado por los acusados … según ellos mantienen y reconocen los testigos” (fundamento 1 in fine).</w:t>
      </w:r>
    </w:p>
    <w:p w:rsidR="00D06117" w:rsidRDefault="00D06117" w:rsidP="00D06117">
      <w:pPr>
        <w:pStyle w:val="TextoNormal"/>
      </w:pPr>
    </w:p>
    <w:p w:rsidR="00D06117" w:rsidRDefault="00D06117" w:rsidP="00D06117">
      <w:pPr>
        <w:pStyle w:val="TextoNormal"/>
      </w:pPr>
      <w:r>
        <w:t xml:space="preserve">Es innecesario recordar a este Tribunal que la presunción de inocencia sólo puede quedar enervada si la culpabilidad ha quedado establecida “más allá de toda duda razonable”. Éste es el más exigente estándar de prueba y por ello se aplica en los procesos penales. Un estándar probatorio en todo caso más riguroso que el necesario y suficiente para apreciar la materialización del fraude a los efectos de los arts. 5.6 y 12, apartados 1 b) y 3 LOPP. Pues </w:t>
      </w:r>
      <w:r>
        <w:lastRenderedPageBreak/>
        <w:t>bien, el Tribunal penal no ha tenido duda en apreciar la potencialidad incriminatoria de “Herri antolatuaren” y la futilidad de “Clarificando”, “Declaración de Alsasua” y “Zutik Euskal Herria” para exculpar a los señores Otegui y Díez Usabiaga de la acusación de ser dirigentes de una organización terrorista y a los demás condenados de pertenecer a ella. A continuación, el Abogado del Estado cita alguno de los pasajes de la Sentencia de la Audiencia Nacional que considera especialmente ilustrativos en relación con el objeto del presente proceso constitucional y que ponen de relieve que dicha Sentencia está en perfecta línea con el Auto recurrido en amparo.</w:t>
      </w:r>
    </w:p>
    <w:p w:rsidR="00D06117" w:rsidRDefault="00D06117" w:rsidP="00D06117">
      <w:pPr>
        <w:pStyle w:val="TextoNormal"/>
      </w:pPr>
    </w:p>
    <w:p w:rsidR="00D06117" w:rsidRDefault="00D06117" w:rsidP="00D06117">
      <w:pPr>
        <w:pStyle w:val="TextoNormal"/>
      </w:pPr>
      <w:r>
        <w:t>El Abogado del Estado concluye su escrito de alegaciones interesando se dicte Sentencia totalmente denegatoria del amparo pretendido.</w:t>
      </w:r>
    </w:p>
    <w:p w:rsidR="00D06117" w:rsidRDefault="00D06117" w:rsidP="00D06117">
      <w:pPr>
        <w:pStyle w:val="TextoNormal"/>
      </w:pPr>
    </w:p>
    <w:p w:rsidR="00D06117" w:rsidRDefault="00D06117" w:rsidP="00D06117">
      <w:pPr>
        <w:pStyle w:val="TextoNormal"/>
      </w:pPr>
      <w:r w:rsidRPr="00D06117">
        <w:rPr>
          <w:rStyle w:val="NumeroAFNegritaCaracter"/>
        </w:rPr>
        <w:t>7</w:t>
      </w:r>
      <w:r>
        <w:t>. El Ministerio Fiscal evacuó el trámite de alegaciones conferido mediante escrito registrado en fecha 21 de septiembre de 2011, que en lo sustancial a continuación se resume.</w:t>
      </w:r>
    </w:p>
    <w:p w:rsidR="00D06117" w:rsidRDefault="00D06117" w:rsidP="00D06117">
      <w:pPr>
        <w:pStyle w:val="TextoNormal"/>
      </w:pPr>
    </w:p>
    <w:p w:rsidR="00D06117" w:rsidRDefault="00D06117" w:rsidP="00D06117">
      <w:pPr>
        <w:pStyle w:val="TextoNormal"/>
      </w:pPr>
      <w:r>
        <w:t>a) Tras referirse a los antecedentes del incidente de ejecución y sintetizar el contenido del Auto recurrido, el Ministerio Fiscal trae a colación la doctrina de este Tribunal en relación con la negativa a la inscripción de un partido político en el Registro de partidos políticos del Ministerio del Interior y con el canon de constitucionalidad de la revisión de la valoración de la prueba llevada a cabo por la Sala Especial del art. 61 LOPJ del Tribunal Supremo, para afirmar, a continuación, que en este proceso de amparo se debe verificar si esa valoración de la prueba ha sido razonable y lógica, de manera que la conclusión a la que ha llegado el órgano judicial de que la pretensión de la inscripción del partido político Sortu responde a un designio defraudador dirigido a hacer viable la continuidad de otras formaciones políticas ilegalizadas y disueltas esté fundada en verdaderos indicios, sea respetuosa con el derecho de creación de partidos políticos (art. 22, en relación con los arts. 1 y 6, CE) y subsumible en la causa prevista en el art. 12.1 b) LOPP.</w:t>
      </w:r>
    </w:p>
    <w:p w:rsidR="00D06117" w:rsidRDefault="00D06117" w:rsidP="00D06117">
      <w:pPr>
        <w:pStyle w:val="TextoNormal"/>
      </w:pPr>
    </w:p>
    <w:p w:rsidR="00D06117" w:rsidRDefault="00D06117" w:rsidP="00D06117">
      <w:pPr>
        <w:pStyle w:val="TextoNormal"/>
      </w:pPr>
      <w:r>
        <w:t>La Sala ha fundado la convicción que le ha llevado a la denegación de la inscripción en un material probatorio constituido por elementos objetivos y subjetivos indiciarios del que ha deducido la voluntad defraudatoria imputable a la banda terrorista ETA y al partido ilegalizado Batasuna, que se habría materializado a través de la creación del partido político Sortu. La Sala ha tenido a su disposición como pruebas una serie de documentos cuya autoría se atribuye a ETA, en concreto a su estructura Halboka, otros documentos atribuidos a Batasuna o a la autodenominada izquierda abertzale, los estatutos de la nueva formación política Sortu, comunicados de la banda terrorista ETA, declaraciones de miembros y dirigentes de la ilegalizada Batasuna, informe del señor Letrado que intervino en la vista del incidente representando a la parte demandada, hoy demandante de amparo, testimonios de diferentes miembros de los cuerpos y fuerzas de seguridad del Estado y notas de prensa. Este material probatorio ha permitido a la Sala determinar y valorar una serie de elementos indiciarios válidos, suficientes y probados, a partir de los cuales ha realizado una inferencia que le ha permitido llegar a la convicción de que el partido político Sortu, cuya inscripción en el Registro de partidos políticos se pretende en la demanda de amparo, es una continuación o sucesión de la ilegalizada Batasuna.</w:t>
      </w:r>
    </w:p>
    <w:p w:rsidR="00D06117" w:rsidRDefault="00D06117" w:rsidP="00D06117">
      <w:pPr>
        <w:pStyle w:val="TextoNormal"/>
      </w:pPr>
    </w:p>
    <w:p w:rsidR="00D06117" w:rsidRDefault="00D06117" w:rsidP="00D06117">
      <w:pPr>
        <w:pStyle w:val="TextoNormal"/>
      </w:pPr>
      <w:r>
        <w:t xml:space="preserve">b) En respuesta a la alegación de los demandantes de amparo de que la Sala no habría tenido en cuenta para declarar la sucesión de Batasuna por Sortu los criterios de conexión a los que se refiere el art. 12.3 LOPP, el Ministerio Fiscal admite que el Auto recurrido no </w:t>
      </w:r>
      <w:r>
        <w:lastRenderedPageBreak/>
        <w:t>contiene un discurso jurídico específico sobre dichos criterios, pero de su lectura se infiere que no han sido ignorados desde el momento en que la Sala destaca cómo se ha puesto en valor, en los estatutos del nuevo partido, su deseo de “ruptura con modelos organizativos y formas de funcionamiento de los que se ha dotado ese espacio social y político en el pasado” (capítulo preliminar de los estatutos), lo que ha llevado a la formación política a procurar que dichos criterios de similitud estén ausentes. En otras palabras, si se pretendía romper con los modelos organizativos anteriores difícilmente podrán encontrarse las similitudes a las que se refiere el art. 12.3 LOPP. Antes al contrario, dado el protagonismo de dirigentes de Batasuna en la configuración ideológica y jurídica del nuevo partido, aparece un apoyo material y jurídico a la nueva formación política y una coincidencia de personas en cuanto a su gestión y creación.</w:t>
      </w:r>
    </w:p>
    <w:p w:rsidR="00D06117" w:rsidRDefault="00D06117" w:rsidP="00D06117">
      <w:pPr>
        <w:pStyle w:val="TextoNormal"/>
      </w:pPr>
    </w:p>
    <w:p w:rsidR="00D06117" w:rsidRDefault="00D06117" w:rsidP="00D06117">
      <w:pPr>
        <w:pStyle w:val="TextoNormal"/>
      </w:pPr>
      <w:r>
        <w:t>c) El Ministerio Fiscal aborda a continuación la crítica de los demandantes de amparo a la valoración que la Sala ha hecho de diverso material probatorio de carácter documental, así como a la omisión de otros documentos que califican de relevantes.</w:t>
      </w:r>
    </w:p>
    <w:p w:rsidR="00D06117" w:rsidRDefault="00D06117" w:rsidP="00D06117">
      <w:pPr>
        <w:pStyle w:val="TextoNormal"/>
      </w:pPr>
    </w:p>
    <w:p w:rsidR="00D06117" w:rsidRDefault="00D06117" w:rsidP="00D06117">
      <w:pPr>
        <w:pStyle w:val="TextoNormal"/>
      </w:pPr>
      <w:r>
        <w:t>Reproduce in extenso la valoración que la Sala ha llevado a cabo de diversos documentos atribuidos a ETA, Batasuna y la izquierda abertzale, así como las declaraciones del Letrado de los demandantes de amparo en el acto de la vista del incidente de ejecución para afirmar que prima facie las conclusiones a las que ha llegado la Sala no pueden ser tildadas de irrazonables o arbitrarias, ya que los documentos de ETA analizados son expresión de que la banda terrorista ha diseñado un “proceso democrático” de carácter político a través de una serie de fases, cuyo motor sería la izquierda abertzale que contaría con autonomía para fijar su estrategia, si bien bajo la dirección de ETA en coordinación con Batasuna, produciéndose así un desdoblamiento de roles, sin que la banda terrorista renuncie al uso de la violencia si fuera preciso para el desarrollo del “proceso democrático”. En el desarrollo de este proceso entiende necesario la legalización de Batasuna como la fase cero que constituiría el “mínimo democrático” de un polo soberanista, por lo que propugna la alianza con otras fuerzas políticas, destacando la alianza con Eusko Alkartasuna y la necesidad de contar con apoyos internacionales. La misma banda terrorista establece una estrategia de comunicación respecto de la condena de la violencia, autorizando incluso la condena de sus “ekintzas”, de modo que dicha condena tendría un carácter instrumental para el alcance del “proceso democrático”. La declaración de un “alto el fuego” sería la contribución de la banda terrorista a establecer un marco propicio para la legalización de Batasuna.</w:t>
      </w:r>
    </w:p>
    <w:p w:rsidR="00D06117" w:rsidRDefault="00D06117" w:rsidP="00D06117">
      <w:pPr>
        <w:pStyle w:val="TextoNormal"/>
      </w:pPr>
    </w:p>
    <w:p w:rsidR="00D06117" w:rsidRDefault="00D06117" w:rsidP="00D06117">
      <w:pPr>
        <w:pStyle w:val="TextoNormal"/>
      </w:pPr>
      <w:r>
        <w:t>El Ministerio Fiscal también destaca que la Sala pone de relieve la coincidencia en los términos usados en los documentos de ETA, Batasuna y la izquierda abertzale en referencia a las expresiones “proceso democrático” y “mínimos democráticos”. Resalta asimismo la conclusión a partir de la valoración de la referida prueba documental de que Batasuna aparece identificada como la izquierda abertzale y motor del cambio político y jurídico, la necesidad de alcanzar alianzas con otras formaciones políticas como proclamaba la banda terrorista y la pasividad armada de ésta a fin de propiciar la operación de legalización a través de la inscripción de Sortu.</w:t>
      </w:r>
    </w:p>
    <w:p w:rsidR="00D06117" w:rsidRDefault="00D06117" w:rsidP="00D06117">
      <w:pPr>
        <w:pStyle w:val="TextoNormal"/>
      </w:pPr>
    </w:p>
    <w:p w:rsidR="00D06117" w:rsidRDefault="00D06117" w:rsidP="00D06117">
      <w:pPr>
        <w:pStyle w:val="TextoNormal"/>
      </w:pPr>
      <w:r>
        <w:t xml:space="preserve">Pone de manifiesto también las coincidencias terminológicas, procedimentales y conceptuales en los distintos documentos valorados por la Sala, no sólo en cuanto a la utilización de los mismos términos lingüísticos, sino en cuanto al significado que se les atribuye a cada uno de ellos en las diferentes fases o etapas que conduciría a los fines políticos de la banda </w:t>
      </w:r>
      <w:r>
        <w:lastRenderedPageBreak/>
        <w:t>terrorista ETA y la izquierda abertzale: un marco de ausencia de violencia donde el protagonismo político se deja a la izquierda abertzale, que necesita una formación política que la represente, lo que se pretende mediante la inscripción de Sortu.</w:t>
      </w:r>
    </w:p>
    <w:p w:rsidR="00D06117" w:rsidRDefault="00D06117" w:rsidP="00D06117">
      <w:pPr>
        <w:pStyle w:val="TextoNormal"/>
      </w:pPr>
    </w:p>
    <w:p w:rsidR="00D06117" w:rsidRDefault="00D06117" w:rsidP="00D06117">
      <w:pPr>
        <w:pStyle w:val="TextoNormal"/>
      </w:pPr>
      <w:r>
        <w:t>Tras recoger la opinión discrepante reflejada en el Voto particular al Auto recurrido en torno a la valoración que la Sala ha llevado a cabo del material probatorio, el Ministerio Fiscal manifiesta que no puede coincidirse con el Voto que tacha las conclusiones de la Sala de inferencias abiertas y que no serían representativas de una voluntad unidireccional de la banda terrorista ETA y la izquierda abertzale sobre el llamado “proceso democrático”, de modo que no se habría probado que los hechos se hayan producido como entiende el Auto, pues existirían una serie de documentos que entrarían en contradicción con los indicios que han servido de base para alcanzar la conclusión a la que ha llegado la Sala, como serían la no coincidencia de las fases del “proceso democrático” de ETA con las etapas señaladas en los documentos de la izquierda abertzale. A juicio del Ministerio Fiscal, las conclusiones del Voto particular quedan desvirtuadas por los razonamientos del Auto recurrido que recoge una serie de elementos suficientemente acreditados a partir de los cuales la Sala ha deducido una serie de datos indiciarios que le han permitido llegar de una manera lógica y razonable a las inferencias y conclusiones que declara en su resolución judicial.</w:t>
      </w:r>
    </w:p>
    <w:p w:rsidR="00D06117" w:rsidRDefault="00D06117" w:rsidP="00D06117">
      <w:pPr>
        <w:pStyle w:val="TextoNormal"/>
      </w:pPr>
    </w:p>
    <w:p w:rsidR="00D06117" w:rsidRDefault="00D06117" w:rsidP="00D06117">
      <w:pPr>
        <w:pStyle w:val="TextoNormal"/>
      </w:pPr>
      <w:r>
        <w:t>Se refiere seguidamente a los actos preparatorios de la constitución y presentación del partido político Sortu que se enumeran en aquel Auto y que, a juicio de la Sala, ratifican la convicción de que dicho partido político es creación de Batasuna. Así como a los elementos probatorios tenidos en cuenta por la Sala para llegar a la conclusión de la gestación de la nueva formación política conforme a la estrategia diseñada en los documentos de la banda terrorista ETA y Batasuna.</w:t>
      </w:r>
    </w:p>
    <w:p w:rsidR="00D06117" w:rsidRDefault="00D06117" w:rsidP="00D06117">
      <w:pPr>
        <w:pStyle w:val="TextoNormal"/>
      </w:pPr>
    </w:p>
    <w:p w:rsidR="00D06117" w:rsidRDefault="00D06117" w:rsidP="00D06117">
      <w:pPr>
        <w:pStyle w:val="TextoNormal"/>
      </w:pPr>
      <w:r>
        <w:t>Resulta, por lo tanto, que existe una identificación material entre la izquierda abertzale que realizó el debate sobre “el proceso democrático” y los medios a utilizar para su desarrollo y Batasuna, pues es esta formación ilegalizada la que debate sobre “el proceso democrático” en los términos que figuraban en el documento de ETA. Por ello la afirmación de que Sortu es consecuencia de un sector de la izquierda abertzale que ha apostado por vías políticas y democráticas, silenciando que ese sector es también Batasuna, como hace el Voto disidente, no responde a una inferencia razonable o, en su caso, suficientemente acreditada por elementos indiciarios, aunque se refuerce con la afirmación de que es el sector que ha declarado su ruptura con ETA y rechaza su violencia, circunstancia que niega el Auto recurrido.</w:t>
      </w:r>
    </w:p>
    <w:p w:rsidR="00D06117" w:rsidRDefault="00D06117" w:rsidP="00D06117">
      <w:pPr>
        <w:pStyle w:val="TextoNormal"/>
      </w:pPr>
    </w:p>
    <w:p w:rsidR="00D06117" w:rsidRDefault="00D06117" w:rsidP="00D06117">
      <w:pPr>
        <w:pStyle w:val="TextoNormal"/>
      </w:pPr>
      <w:r>
        <w:t>El Auto no prejuzga ideologías ni se apoya en ellas para declarar la gestación real de Sortu por Batasuna y la identificación de ésta con la izquierda abertzale que presenta la nueva formación política como un nuevo proyecto desvinculado del complejo ETA/Batasuna, ni cuestiona, en línea con la doctrina de este Tribunal Constitucional, la posibilidad de que miembros y dirigentes de partidos ilegalizados y disueltos puedan participar en un nuevo proyecto político, pues son titulares de los derechos de participación política mientras no exista resolución judicial firme que les prive de los mismos.</w:t>
      </w:r>
    </w:p>
    <w:p w:rsidR="00D06117" w:rsidRDefault="00D06117" w:rsidP="00D06117">
      <w:pPr>
        <w:pStyle w:val="TextoNormal"/>
      </w:pPr>
    </w:p>
    <w:p w:rsidR="00D06117" w:rsidRDefault="00D06117" w:rsidP="00D06117">
      <w:pPr>
        <w:pStyle w:val="TextoNormal"/>
      </w:pPr>
      <w:r>
        <w:t xml:space="preserve">La inferencia realizada por la Sala que le ha permitido afirmar que Sortu es una creación de Batasuna, a la que identifica con la izquierda abertzale de la que procede el proyecto político, conforme a la estrategia diseñada por ETA/Batasuna, así como su identificación </w:t>
      </w:r>
      <w:r>
        <w:lastRenderedPageBreak/>
        <w:t>material es lógica y razonable y está soportada en elementos indiciarios probados, suficientes y unidireccionales, constituidos por una serie de actos de participación activa y presencia de miembros y dirigentes de Batasuna, declaraciones y actividades de los mismos.</w:t>
      </w:r>
    </w:p>
    <w:p w:rsidR="00D06117" w:rsidRDefault="00D06117" w:rsidP="00D06117">
      <w:pPr>
        <w:pStyle w:val="TextoNormal"/>
      </w:pPr>
    </w:p>
    <w:p w:rsidR="00D06117" w:rsidRDefault="00D06117" w:rsidP="00D06117">
      <w:pPr>
        <w:pStyle w:val="TextoNormal"/>
      </w:pPr>
      <w:r>
        <w:t>d) La existencia de un debate interno en el seno de la izquierda abertzale a lo largo de los meses de octubre de 2009 a febrero de 2010 es uno de los contraindicios que se aducen en la demanda de amparo que no han sido valorados por la Sala y que acreditan que Sortu no es una continuidad o sucesión de los partidos políticos ilegalizados y disueltos. Su alcance, significado y resultado evidenciarían la postura de la izquierda abertzale frente a la violencia y la apuesta por las vías políticas y democráticas.</w:t>
      </w:r>
    </w:p>
    <w:p w:rsidR="00D06117" w:rsidRDefault="00D06117" w:rsidP="00D06117">
      <w:pPr>
        <w:pStyle w:val="TextoNormal"/>
      </w:pPr>
    </w:p>
    <w:p w:rsidR="00D06117" w:rsidRDefault="00D06117" w:rsidP="00D06117">
      <w:pPr>
        <w:pStyle w:val="TextoNormal"/>
      </w:pPr>
      <w:r>
        <w:t>En relación con dicho alegato, el Ministerio Fiscal reproduce lo que al respecto se dice en el Auto recurrido y en el Voto particular para afirmar que no cabe sostener, a la vista del Auto, que la Sala haya omitido valorar la existencia de dicho debate y el rechazo por la izquierda abertzale al análisis de la ponencia “Mugarri”, sus consecuencias y sus resultados. Lo que acontece es que la Sala llega a conclusiones distintas de las deseadas por los demandantes de amparo y afirmadas por los autores del Voto particular. Conclusiones que califica de razonables y fundadas en elementos suficientes y probados que constituyen un indicio del “desdoblamiento de papeles” que suponen los roles del complejo ETA/Batasuna y del apoyo de la banda terrorista al proyecto político que da lugar a la nueva formación política que se pretende inscribir en el Registro de partidos políticos. La valoración que ha llevado a cabo la Sala del debate que se aduce que ha existido en el seno de la izquierda abertzale —concluye en este punto el Ministerio Fiscal— no puede tacharse de ilógica, irrazonable o arbitraria, gozando, por el contrario, de una sólida sensatez, ecuanimidad y motivada razonabilidad.</w:t>
      </w:r>
    </w:p>
    <w:p w:rsidR="00D06117" w:rsidRDefault="00D06117" w:rsidP="00D06117">
      <w:pPr>
        <w:pStyle w:val="TextoNormal"/>
      </w:pPr>
    </w:p>
    <w:p w:rsidR="00D06117" w:rsidRDefault="00D06117" w:rsidP="00D06117">
      <w:pPr>
        <w:pStyle w:val="TextoNormal"/>
      </w:pPr>
      <w:r>
        <w:t>e) En relación con el contraindicio del rechazo de la violencia capaz de enervar los demás indicios que pudieran avalar que el partido político Sortu es continuidad o sucesión de Batasuna, el Ministerio Fiscal reproduce el análisis y las conclusiones que al respecto efectuó en el escrito de la demanda incidental sobre el contenido de los estatutos de la nueva formación política, así como también las consideraciones que se hacen en el Auto recurrido y las conclusiones a las que ha llegado la Sala en cuanto al valor de dicho contraindicio. Afirma a continuación que no puede compartirse la imputación que se hace al Auto impugnado de efectuar un análisis parcial sobre el contenido de dichos estatutos, pues la Sala reflexiona sobre el mismo, pero lo valora en relación con una serie de hechos, como el debate habido en el seno de la izquierda abertzale, de modo que atribuye su contenido a las organizaciones que la integran. Y entiende por la presencia en los estatutos del fin político relativo al “impulso del proceso democrático” que responden a la finalidad atribuida a la expresión “mínimos democráticos”, esto es, la legalización de Batasuna, de suerte que quedarían vacías de contenido declaraciones como “la ruptura” con otros modelos organizativos del pasado, la ruptura de los “vínculos de dependencia” o el “impedir la instrumentalización por organizaciones que practiquen la violencia o por partidos políticos que fueran ilegalizados y disueltos por razón de su connivencia con ella”.</w:t>
      </w:r>
    </w:p>
    <w:p w:rsidR="00D06117" w:rsidRDefault="00D06117" w:rsidP="00D06117">
      <w:pPr>
        <w:pStyle w:val="TextoNormal"/>
      </w:pPr>
    </w:p>
    <w:p w:rsidR="00D06117" w:rsidRDefault="00D06117" w:rsidP="00D06117">
      <w:pPr>
        <w:pStyle w:val="TextoNormal"/>
      </w:pPr>
      <w:r>
        <w:t xml:space="preserve">La conclusión a la que llega la Sala no adolece de los defectos que le atribuye el Voto particular, sino que, partiendo de una realidad acreditada, responde a una inferencia lógica y razonable, aunque no sea lo minuciosa que parece reclamar dicho Voto. A partir de elementos probados suficientes, la Sala entiende que la corrección formal de los estatutos no </w:t>
      </w:r>
      <w:r>
        <w:lastRenderedPageBreak/>
        <w:t>es sino un medio para burlar la prohibición que pesa sobre el complejo ETA /Batasuna de poder participar en la vida democrática y política de la sociedad a través de una adecuación formalmente legal y constitucional de los requisitos que a los estatutos de un partido político le son exigibles para poder ser inscrito en el Registro de partidos políticos y así adquirir la personalidad jurídica que le habilitaría para la participación política.</w:t>
      </w:r>
    </w:p>
    <w:p w:rsidR="00D06117" w:rsidRDefault="00D06117" w:rsidP="00D06117">
      <w:pPr>
        <w:pStyle w:val="TextoNormal"/>
      </w:pPr>
    </w:p>
    <w:p w:rsidR="00D06117" w:rsidRDefault="00D06117" w:rsidP="00D06117">
      <w:pPr>
        <w:pStyle w:val="TextoNormal"/>
      </w:pPr>
      <w:r>
        <w:t>A ello se puede añadir que no es la configuración gramatical y formal de los estatutos lo que revela la verdadera postura de sus reales promotores, al margen de los que formalmente aparecen en el acta fundacional del partido político, frente a la violencia y, en especial, frente a la violencia de la organización terrorista, en los cuales se advierte por omisión una declaración de rechazo inequívoco a la violencia desarrollada por la organización terrorista en sus cincuenta años de existencia. El silencio que los estatutos guardan sobre este desatacado aspecto cobra especial relevancia y es un acto revelador de quien aspira a estar en la vida institucional y política a través de Sortu, que son los partidos ilegalizados de los que la nueva formación política sería continuación y sucesión, por lo que abstenerse de condenar esta trayectoria terrorista no puede ser considerado como un dato inocuo a la hora de valorar la postura del partido político frente a la organización terrorista de la cual dice desvincularse.</w:t>
      </w:r>
    </w:p>
    <w:p w:rsidR="00D06117" w:rsidRDefault="00D06117" w:rsidP="00D06117">
      <w:pPr>
        <w:pStyle w:val="TextoNormal"/>
      </w:pPr>
    </w:p>
    <w:p w:rsidR="00D06117" w:rsidRDefault="00D06117" w:rsidP="00D06117">
      <w:pPr>
        <w:pStyle w:val="TextoNormal"/>
      </w:pPr>
      <w:r>
        <w:t>Directamente relacionado con el examen de los estatutos aborda el Ministerio Fiscal el análisis de la condena de la violencia de la banda terrorista ETA. Señala al respecto que, de la doctrina constitucional recogida en la STC 65/2008, de 31 de marzo, FJ 16, entre otras, se colige que es razonable exigir una condena que debe ser expresa, tajante e inequívoca de la violencia terrorista de aquellos sobre los que indiciariamente resulta la sospecha de su posible connivencia con el terrorismo o con las formaciones ilegalizadas por su relación con la banda terrorista. Tras reproducir las alegaciones que el Ministerio Fiscal formuló al respecto en el escrito de demanda incidental y lo declarado por la Sala en el Auto recurrido, afirma que debe coincidirse con ésta sobre la postura adoptada por el complejo ETA/Batasuna respecto a la condena de las manifestaciones de la violencia y el distanciamiento aparente de su brazo político, pues así ha sucedido en otros procesos electorales, de modo que dichas declaraciones frente a la violencia son una táctica instrumental, en las que se emplea un vocabulario eufemístico y se acude a circunloquios o paralelismos con la actuación de las fuerzas de seguridad. Por otra parte, no puede ignorarse que la propia banda terrorista ETA señala cómo debe realizarse el rechazo de sus actos de terrorismo, por lo que cabe concluir que la organización terrorista apoya un uso instrumental del lenguaje a fin de desdibujar un distanciamiento de la violencia que responde a su estrategia de cara a la participación política de Batasuna.</w:t>
      </w:r>
    </w:p>
    <w:p w:rsidR="00D06117" w:rsidRDefault="00D06117" w:rsidP="00D06117">
      <w:pPr>
        <w:pStyle w:val="TextoNormal"/>
      </w:pPr>
    </w:p>
    <w:p w:rsidR="00D06117" w:rsidRDefault="00D06117" w:rsidP="00D06117">
      <w:pPr>
        <w:pStyle w:val="TextoNormal"/>
      </w:pPr>
      <w:r>
        <w:t xml:space="preserve">Reitera el Ministerio Fiscal las consideraciones que ha efectuado en la demanda incidental en el sentido de que si bien en los estatutos del nuevo partido político aparece inicialmente una declaración de rechazo firme e inequívoco de todo acto de violencia y terrorismo, no puede desconocerse que es un rechazo instrumental para la consecución de objetivos políticos. Nos hallamos además ante una declaración de rechazo de la violencia, que no de condena, tratándose de una declaración pro futuro, sin referencia alguna a la violencia ejercida por la banda terrorista con anterioridad al momento de la elaboración de los estatutos, como si las personas que han promovido y gestionado la nueva formación política no quisieran “renunciar” a la comunión con los métodos de la banda terrorista durante los cincuenta años de su existencia. Como se decía en la demanda incidental “[s]ólo una expresa y clara declaración de exclusión y rechazo del recurso de la violencia como instrumento </w:t>
      </w:r>
      <w:r>
        <w:lastRenderedPageBreak/>
        <w:t>para la imposición de ideas políticas propias, la explícita exclusión de todo vínculo o relación con la formación ilegalizada Batasuna y con la organización terrorista ETA, así como la no realización de cualquier conducta, activa u omisiva que suponga colaboración, apoyo, legitimación o cobertura social o política para las organizaciones o las personas que la practican, amenazan con practicarla o simplemente la aceptan como forma de presión social o política serán exigencias que hayan de cumplir los promotores, dirigentes o simpatizantes del nuevo partido que pretende su inscripción”.</w:t>
      </w:r>
    </w:p>
    <w:p w:rsidR="00D06117" w:rsidRDefault="00D06117" w:rsidP="00D06117">
      <w:pPr>
        <w:pStyle w:val="TextoNormal"/>
      </w:pPr>
    </w:p>
    <w:p w:rsidR="00D06117" w:rsidRDefault="00D06117" w:rsidP="00D06117">
      <w:pPr>
        <w:pStyle w:val="TextoNormal"/>
      </w:pPr>
      <w:r>
        <w:t>Aunque no está en manos de la nueva formación política la desaparición de la banda terrorista, no se puede desconocer la afirmación que el Ministerio Fiscal hacía en la demanda incidental en el sentido de que “el rechazo de la violencia por el nuevo partido político sólo tendrá virtualidad si se extingue la banda terrorista”. Junto a ello debe valorarse la ausencia de una petición de la “disolución de la banda terrorista” por la formación política Sortu. Es cierto que no es exigible democráticamente a la misma una declaración en tal sentido, pero no es menos cierto que sus “silencios” no pueden ser ignorados al valorarse el alcance y significado de la declaración programática de condena de la violencia y en especial la de la banda terrorista. Aquella ausencia afecta necesariamente y pone en cuestión una voluntad de rechazo “firme, contundente y cierta” de la banda terrorista y de sus actividades.</w:t>
      </w:r>
    </w:p>
    <w:p w:rsidR="00D06117" w:rsidRDefault="00D06117" w:rsidP="00D06117">
      <w:pPr>
        <w:pStyle w:val="TextoNormal"/>
      </w:pPr>
    </w:p>
    <w:p w:rsidR="00D06117" w:rsidRDefault="00D06117" w:rsidP="00D06117">
      <w:pPr>
        <w:pStyle w:val="TextoNormal"/>
      </w:pPr>
      <w:r>
        <w:t>f) El Ministerio Fiscal se refiere a continuación al análisis que en la demanda de amparo se hace de los actos y tomas de posturas de los promotores de Sortu, al que contrapone el efectuado por la Sala y afirma que el alcance que se quiere dar en la demanda a la conducta de los promotores y a sus declaraciones y notas de prensa debe relativizarse dada su falta de protagonismo en la fase de preparación de la nueva formación política, motivada por cuanto es Batasuna quien creó y gestó Sortu de acuerdo con la estrategia diseñada por ETA. La conducta y declaraciones de los promotores ajenos en la creación y configuración jurídica e ideológica de la nueva formación política, sin relación con los partidos ilegalizados, no sería sino el deseo de cumplir formalmente con los requisitos exigidos por la Ley Orgánica de partidos políticos para poder inscribirla en el Registro de partidos políticos. En definitiva, los promotores serían meros sujetos formales del partido político, un instrumento formal para el otorgamiento en escritura pública de los estatutos y la presentación de los mismos y de la documentación complementaria, junto con la solicitud correspondiente para la inscripción en el Registro de partidos políticos.</w:t>
      </w:r>
    </w:p>
    <w:p w:rsidR="00D06117" w:rsidRDefault="00D06117" w:rsidP="00D06117">
      <w:pPr>
        <w:pStyle w:val="TextoNormal"/>
      </w:pPr>
    </w:p>
    <w:p w:rsidR="00D06117" w:rsidRDefault="00D06117" w:rsidP="00D06117">
      <w:pPr>
        <w:pStyle w:val="TextoNormal"/>
      </w:pPr>
      <w:r>
        <w:t>g) El Ministerio Fiscal se detiene seguidamente en el análisis por la Sala del fraude de ley y de la aplicación del art. 12.1 b) LOPP. A tal efecto reproduce textualmente parte del fundamento de derecho decimocuarto del Auto recurrido, cuyo contenido reitera, así como el del Voto particular.</w:t>
      </w:r>
    </w:p>
    <w:p w:rsidR="00D06117" w:rsidRDefault="00D06117" w:rsidP="00D06117">
      <w:pPr>
        <w:pStyle w:val="TextoNormal"/>
      </w:pPr>
    </w:p>
    <w:p w:rsidR="00D06117" w:rsidRDefault="00D06117" w:rsidP="00D06117">
      <w:pPr>
        <w:pStyle w:val="TextoNormal"/>
      </w:pPr>
      <w:r>
        <w:t xml:space="preserve">A su juicio no puede decirse que la Sala haya llegado, a partir del análisis de los elementos objetivos y subjetivos resultantes de la prueba practicada, a una conclusión irrazonable o arbitraria y no cabe apreciar “que haya operado a partir de un juicio de inferencia excesivamente abierto” (STC 112/2007, de 10 de mayo). El Auto en esencia considera acreditado que la formación política Sortu no es sino una creación de Batasuna, que habría seguido las directrices impartidas por la banda terrorista ETA para eludir las consecuencias de la ilegalización de aquélla y poder participar en la vida política a través de dicha formación, por lo que el nuevo partido político vendría a ser continuidad o sucesión de Batasuna. La Sala, como ha quedado reflejado, ha contando con una panoplia de pruebas aportadas al incidente </w:t>
      </w:r>
      <w:r>
        <w:lastRenderedPageBreak/>
        <w:t>por las partes, recogiéndose en el Auto una serie de elementos suficientemente acreditados a partir de los cuales la Sala ha deducido una serie de datos indiciarios que le han permitido llegar de una manera lógica y razonable a las inferencias y conclusiones que permiten afirmar que Sortu es una continuidad o sucesión de Batasuna.</w:t>
      </w:r>
    </w:p>
    <w:p w:rsidR="00D06117" w:rsidRDefault="00D06117" w:rsidP="00D06117">
      <w:pPr>
        <w:pStyle w:val="TextoNormal"/>
      </w:pPr>
    </w:p>
    <w:p w:rsidR="00D06117" w:rsidRDefault="00D06117" w:rsidP="00D06117">
      <w:pPr>
        <w:pStyle w:val="TextoNormal"/>
      </w:pPr>
      <w:r>
        <w:t>De los elementos analizados se desprende de forma inequívoca y manifiesta el proceso de gestación de Sortu. Los datos objetivos referidos en el Auto constituyen elementos que han condicionado o desvirtuado los contraindicios alegados en la demanda de amparo. Contraindicios que se opondrían a los datos objetivos y probados valorados por la Sala para formarse su convicción, pero que, frente a lo que se afirma en la demanda, no han sido ignorados por el órgano judicial, si bien los mismos pierden significado y alcance, por no decir que quedan vacíos de contenido, cuando se analizan, no individualmente y aislados de los demás elementos de prueba, sino conjuntamente de modo que adquieren un significado distinto al que se le atribuye en la demanda de amparo y en el Voto particular.</w:t>
      </w:r>
    </w:p>
    <w:p w:rsidR="00D06117" w:rsidRDefault="00D06117" w:rsidP="00D06117">
      <w:pPr>
        <w:pStyle w:val="TextoNormal"/>
      </w:pPr>
    </w:p>
    <w:p w:rsidR="00D06117" w:rsidRDefault="00D06117" w:rsidP="00D06117">
      <w:pPr>
        <w:pStyle w:val="TextoNormal"/>
      </w:pPr>
      <w:r>
        <w:t>Se constata así una trama defraudatoria cuya intención fraudulenta es superar la ilegalización de Batasuna para propiciar su participación política plena en las instituciones y la sociedad a través de una “marca política propia”, a través de un nuevo partido político, papel que le corresponde a Sortu, cuyos postulados ideológicos son plenamente coincidentes con los de las formaciones ilegalizadas, cuestión ajena a esta debate. Del Auto resulta con claridad meridiana que la Sala tiene por acreditado no sólo el “ánimo de defraudar” a través de diferentes elementos probatorios que ha tomado en cuenta y de los que resulta la voluntad del complejo ETA/Batasuna de participar políticamente en las instituciones y en el juego político a través de una nueva formación política, sino también que dicha actuación defraudatoria se ha materializado con la gestación y creación de Sortu, de manera que a través de la inscripción del nuevo partido político se ha perseguido la legalización de Batasuna. Dicha actuación llevada a cabo por el complejo ETA/Batasuna es subsumible en el art. 12.1 b) LOPP, que impide la inscripción de un partido político que venga a ser continuación de otros ilegalizados y disueltos por Sentencia.</w:t>
      </w:r>
    </w:p>
    <w:p w:rsidR="00D06117" w:rsidRDefault="00D06117" w:rsidP="00D06117">
      <w:pPr>
        <w:pStyle w:val="TextoNormal"/>
      </w:pPr>
    </w:p>
    <w:p w:rsidR="00D06117" w:rsidRDefault="00D06117" w:rsidP="00D06117">
      <w:pPr>
        <w:pStyle w:val="TextoNormal"/>
      </w:pPr>
      <w:r>
        <w:t>No puede sino concluirse, por lo tanto, que la Sala ha alcanzado su convicción sobre esa base probatoria de una manera razonable y lógica al valorarla en su conjunto. Y ha concluido, en definitiva, con una nítida afirmación sobre “la estrategia diseñada por ETA y seguida por Batasuna, conforme a un desdoblamiento de roles”, de tal manera que “los datos objetivos” expuestos revelan de forma inequívoca y manifiesta que el nuevo proyecto político que representa Sortu es un instrumento que permite superar las consecuencias negativas que la ilegalización de Batasuna ha supuesto.</w:t>
      </w:r>
    </w:p>
    <w:p w:rsidR="00D06117" w:rsidRDefault="00D06117" w:rsidP="00D06117">
      <w:pPr>
        <w:pStyle w:val="TextoNormal"/>
      </w:pPr>
    </w:p>
    <w:p w:rsidR="00D06117" w:rsidRDefault="00D06117" w:rsidP="00D06117">
      <w:pPr>
        <w:pStyle w:val="TextoNormal"/>
      </w:pPr>
      <w:r>
        <w:t>De lo expuesto se colige que la pretendida insuficiencia de indicios o la inidoneidad de los datos objetivos tomados en cuenta por la Sala para formar su convicción no puede ser aceptada. Lo que los demandantes de amparo pretenden en realidad es sustituir los indicios en los que basa su pronunciamiento la Sala y realizar una valoración propia de los mismos. La suficiencia y solidez de esos indicios contradicen los argumentos, en muchos casos genéricos y posibilistas, que se realizan en la demanda de amparo para negar la realidad fáctica que acredita el Auto al analizar los documentos y las demás pruebas aportadas al proceso.</w:t>
      </w:r>
    </w:p>
    <w:p w:rsidR="00D06117" w:rsidRDefault="00D06117" w:rsidP="00D06117">
      <w:pPr>
        <w:pStyle w:val="TextoNormal"/>
      </w:pPr>
    </w:p>
    <w:p w:rsidR="00D06117" w:rsidRDefault="00D06117" w:rsidP="00D06117">
      <w:pPr>
        <w:pStyle w:val="TextoNormal"/>
      </w:pPr>
      <w:r>
        <w:lastRenderedPageBreak/>
        <w:t>No cabe sostener la postura que mantienen los demandantes en relación con los contraindicios sobre la existencia de un debate en la izquierda abertzale, el supuesto enfrentamiento entre la izquierda abertzale y ETA, las declaraciones de condena de la violencia, los estatutos de la nueva formación política, la conducta de sus promotores y la escasa actividad del nuevo partido. Contraindicios sobre los que la Sala se pronuncia, si bien, al analizar los demás elementos de prueba, le da un alcance distinto al propugnado en la demanda y en el Voto particular.</w:t>
      </w:r>
    </w:p>
    <w:p w:rsidR="00D06117" w:rsidRDefault="00D06117" w:rsidP="00D06117">
      <w:pPr>
        <w:pStyle w:val="TextoNormal"/>
      </w:pPr>
    </w:p>
    <w:p w:rsidR="00D06117" w:rsidRDefault="00D06117" w:rsidP="00D06117">
      <w:pPr>
        <w:pStyle w:val="TextoNormal"/>
      </w:pPr>
      <w:r>
        <w:t>Batasuna, o el sector de la izquierda abertzale con la que se identifica, no han acreditado una verdadera ruptura total con la banda terrorista por los argumentos que se han expuesto y los silencios sobre cuestiones que parece razonable que se les puedan exigir a formaciones políticas que aspiran a ser cauce de participación política y hacer posible el pluralismo político como la ausencia de una petición de disolución de la banda terrorista, la ausencia de un condena a su actuación en los últimos cincuenta años y la ausencia de una declaración en la que se reconozca de una manera individual a sus víctimas, sin incluirlas en el término “todas las víctimas de las distintas violencias que ha habido”. Estas ausencias hacen que la negativa a inscribir la nueva formación política responda a una necesidad social imperiosa por suponer un riesgo para la sociedad democrática española.</w:t>
      </w:r>
    </w:p>
    <w:p w:rsidR="00D06117" w:rsidRDefault="00D06117" w:rsidP="00D06117">
      <w:pPr>
        <w:pStyle w:val="TextoNormal"/>
      </w:pPr>
    </w:p>
    <w:p w:rsidR="00D06117" w:rsidRDefault="00D06117" w:rsidP="00D06117">
      <w:pPr>
        <w:pStyle w:val="TextoNormal"/>
      </w:pPr>
      <w:r>
        <w:t>h) El Ministerio Fiscal se refiere a continuación al alegato de la demanda de amparo referido a la denunciada vulneración del derecho a la libre creación de partidos políticos, en relación con el derecho de asociación (art. 22 CE), que califica como una síntesis que agrupa las quejas en las que los recurrentes fundan su pretensión y a las que se da respuesta en el Auto impugnado.</w:t>
      </w:r>
    </w:p>
    <w:p w:rsidR="00D06117" w:rsidRDefault="00D06117" w:rsidP="00D06117">
      <w:pPr>
        <w:pStyle w:val="TextoNormal"/>
      </w:pPr>
    </w:p>
    <w:p w:rsidR="00D06117" w:rsidRDefault="00D06117" w:rsidP="00D06117">
      <w:pPr>
        <w:pStyle w:val="TextoNormal"/>
      </w:pPr>
      <w:r>
        <w:t>No es admisible por prohibirlo el art. 6 CE y la Ley orgánica de partidos políticos, cuyo art. 9 describe aquellas conductas que dan lugar a la ilegalización de un partido político y a la prohibición de inscripción de formaciones políticas, una actividad de un partido político en connivencia con una banda terrorista que emplea como método de consecución de sus objetivos el terror materializado en la violencia que ejerce sobre la sociedad y sus ciudadanos. De manera que, si como ha quedado acreditado, Sortu es la continuación y sucesión de la ilegalizada Batasuna por su connivencia con ETA, la denegación de su inscripción en el Registro de partidos políticos no vulnera el derecho a la libre creación de partidos políticos. Por el contrario, responde a la “necesidad social imperiosa” de prevenir un riesgo cierto, real y grave para el sistema democrático de la Nación.</w:t>
      </w:r>
    </w:p>
    <w:p w:rsidR="00D06117" w:rsidRDefault="00D06117" w:rsidP="00D06117">
      <w:pPr>
        <w:pStyle w:val="TextoNormal"/>
      </w:pPr>
    </w:p>
    <w:p w:rsidR="00D06117" w:rsidRDefault="00D06117" w:rsidP="00D06117">
      <w:pPr>
        <w:pStyle w:val="TextoNormal"/>
      </w:pPr>
      <w:r>
        <w:t>i) El Ministerio Fiscal analiza la proporcionalidad de la negativa a la inscripción de Sortu. Recuerda que la aplicación de este principio supone que la medida adoptada ha de superar tres juicios sucesivos: i) el juicio de idoneidad, que exige que toda intervención en los derechos fundamentales sea adecuada para contribuir a la obtención de un fin constitucionalmente legítimo y excluye la adopción de medios inidóneos que obstruyan la realización de los principios o fines para los que ha sido adoptada; ii) el juicio de necesidad, que exige que toda intervención en los derechos fundamentales sea lo más benigna posible; y iii) el juicio de proporcionalidad en sentido estricto, que exige un equilibrio entre la medida objeto de control y el fin perseguido con la misma.</w:t>
      </w:r>
    </w:p>
    <w:p w:rsidR="00D06117" w:rsidRDefault="00D06117" w:rsidP="00D06117">
      <w:pPr>
        <w:pStyle w:val="TextoNormal"/>
      </w:pPr>
    </w:p>
    <w:p w:rsidR="00D06117" w:rsidRDefault="00D06117" w:rsidP="00D06117">
      <w:pPr>
        <w:pStyle w:val="TextoNormal"/>
      </w:pPr>
      <w:r>
        <w:lastRenderedPageBreak/>
        <w:t>A partir del contenido del Auto impugnado, el Ministerio Fiscal sostiene que ha de ser necesariamente compartido el criterio de la Sala, según el cual la estimación de las demandas pretendiendo que se declarara la sucesión o continuidad por Sortu de la ilegalizada Batasuna, negando, en consecuencia, su inscripción en el Registro de partidos políticos, constituye un medio adecuado —idóneo— al objeto de conseguir el fin o fines constitucionalmente legítimos antes definidos. En cuanto al denominado juicio de necesidad, entiende que no existe medida alternativa menos perjudicial que la acordada por la Sala para impedir la presencia de nuevo de ETA en la vida política. Y por lo que se refiere al denominado juicio de proporcionalidad en sentido estricto, aduce que la Sala ha expresado en su Auto y ha ponderado los intereses legítimos en juego y el alcance del sacrificio del derecho fundamental y que es un fin constitucionalmente legítimo el de impedir el nacimiento a la vida política de formaciones que entrañen una grave riesgo para el sistema democrático por ser instrumentos de formaciones políticas ilegalizadas por su connivencia con el terrorismo.</w:t>
      </w:r>
    </w:p>
    <w:p w:rsidR="00D06117" w:rsidRDefault="00D06117" w:rsidP="00D06117">
      <w:pPr>
        <w:pStyle w:val="TextoNormal"/>
      </w:pPr>
    </w:p>
    <w:p w:rsidR="00D06117" w:rsidRDefault="00D06117" w:rsidP="00D06117">
      <w:pPr>
        <w:pStyle w:val="TextoNormal"/>
      </w:pPr>
      <w:r>
        <w:t>j) Finalmente, el Ministerio Fiscal se refiere a la medidas introducidas en la Ley Orgánica del régimen electoral general (LOREG) por la Ley Orgánica 3/2011, de 28 de enero, que permiten al Estado actuar contra partidos políticos respecto de los que tras su inscripción se acrediten su connivencia con las formaciones políticas ilegalizadas.</w:t>
      </w:r>
    </w:p>
    <w:p w:rsidR="00D06117" w:rsidRDefault="00D06117" w:rsidP="00D06117">
      <w:pPr>
        <w:pStyle w:val="TextoNormal"/>
      </w:pPr>
    </w:p>
    <w:p w:rsidR="00D06117" w:rsidRDefault="00D06117" w:rsidP="00D06117">
      <w:pPr>
        <w:pStyle w:val="TextoNormal"/>
      </w:pPr>
      <w:r>
        <w:t>Tras reproducir la doctrina sentada en relación con dichas medida en la STC 62/2011, de 5 de mayo, (FJ 5), el Ministerio Fiscal afirma que el hecho de que la sociedad democrática disponga de mecanismos de defensa para supuestos en que admitido en la vía política un partido político éste devenga en un sujeto que no responda a los fines para los que se creó (art. 6 CE) o alguno de sus miembros muestren alguna connivencia con el terrorismo o la violencia como método de obtener fines políticos no significa, como señala la Sala, que “la finalidad de las reformas de la LOREG aludidas [sea] la de sustituir los mecanismos previstos en la redacción original del artículo 44 LOREG, sino la atender a dos supuestos distintos, de modo que aquellas reformas no privan de virtualidad la previsión del artículo 49.1 LOREG ni, por consiguiente, eliminan la posibilidad de que existan mecanismos defraudatorios que, verificándose ex ante, el Estado de Derecho tiene la obligación de depurar a través del instrumento previsto al respecto (arts. 44 y 49.5 LOREG)”.</w:t>
      </w:r>
    </w:p>
    <w:p w:rsidR="00D06117" w:rsidRDefault="00D06117" w:rsidP="00D06117">
      <w:pPr>
        <w:pStyle w:val="TextoNormal"/>
      </w:pPr>
    </w:p>
    <w:p w:rsidR="00D06117" w:rsidRDefault="00D06117" w:rsidP="00D06117">
      <w:pPr>
        <w:pStyle w:val="TextoNormal"/>
      </w:pPr>
      <w:r>
        <w:t>Pues bien, el riesgo para el sistema democrático en el presente caso nace de la posibilidad de que la nueva formación política Sortu pueda participar en la vida política mediante su inscripción en el Registro de partidos políticos que le ha sido denegada por ser continuación o sucesión de Batasuna, ya que esta inscripción, como señala la Sala en el Auto recurrido, crearía una situación de la que “se aprovecharían ETA y Batasuna por medio de la pantalla de Sortu”, de modo que “la tolerancia de la constitución de Sortu como partido político legal constituiría un riesgo objetivo, grave e inminente que atentaría directamente contra los pilares básicos de nuestra democracia”.</w:t>
      </w:r>
    </w:p>
    <w:p w:rsidR="00D06117" w:rsidRDefault="00D06117" w:rsidP="00D06117">
      <w:pPr>
        <w:pStyle w:val="TextoNormal"/>
      </w:pPr>
    </w:p>
    <w:p w:rsidR="00D06117" w:rsidRDefault="00D06117" w:rsidP="00D06117">
      <w:pPr>
        <w:pStyle w:val="TextoNormal"/>
      </w:pPr>
      <w:r>
        <w:t xml:space="preserve">No se trata de permitir la participación política de una formación integrada por partidos eminentemente democráticos en colusión con miembros procedentes de cierta izquierda abertzale, sino de evitar el riesgo que para el Estado democrático representa la participación política a través de una nueva formación política, de aquellos que siendo Batasuna dicen haber roto con los postulados y métodos de ETA, sin que su conducta y actividades evidencien la certeza de aquella ruptura y sin que las declaraciones formales de condena de la violencia y el uso de métodos democráticos y políticos para la defensa de los intereses que </w:t>
      </w:r>
      <w:r>
        <w:lastRenderedPageBreak/>
        <w:t>dicen representar puedan ser consideradas suficientes, pues parece razonable que la sociedad democrática, que ha padecido directamente las consecuencias de aquellos que han estado en comunión con intereses y métodos violentos, exija un reconocimiento incuestionable de las víctimas del terrorismo de ETA y una petición clara e indubitada de su disolución.</w:t>
      </w:r>
    </w:p>
    <w:p w:rsidR="00D06117" w:rsidRDefault="00D06117" w:rsidP="00D06117">
      <w:pPr>
        <w:pStyle w:val="TextoNormal"/>
      </w:pPr>
    </w:p>
    <w:p w:rsidR="00D06117" w:rsidRDefault="00D06117" w:rsidP="00D06117">
      <w:pPr>
        <w:pStyle w:val="TextoNormal"/>
      </w:pPr>
      <w:r>
        <w:t>El Ministerio Fiscal concluye su escrito de alegaciones interesando la desestimación de la demanda de amparo.</w:t>
      </w:r>
    </w:p>
    <w:p w:rsidR="00D06117" w:rsidRDefault="00D06117" w:rsidP="00D06117">
      <w:pPr>
        <w:pStyle w:val="TextoNormal"/>
      </w:pPr>
    </w:p>
    <w:p w:rsidR="00D06117" w:rsidRDefault="00D06117" w:rsidP="00D06117">
      <w:pPr>
        <w:pStyle w:val="TextoNormal"/>
      </w:pPr>
      <w:r w:rsidRPr="00D06117">
        <w:rPr>
          <w:rStyle w:val="NumeroAFNegritaCaracter"/>
        </w:rPr>
        <w:t>8</w:t>
      </w:r>
      <w:r>
        <w:t>. La representación procesal de los demandantes de amparo evacuó el trámite de alegaciones conferido mediante escrito registrado en fecha 21 de septiembre de 2011, en el que da por reiterado el contenido íntegro de la demanda y manifiesta el derecho que asiste a sus representados y a cualquier persona —hubiera tomado parte o no en los partidos o agrupaciones anteriormente ilegalizados— para conformar un nuevo partido político si proclama expresamente su alejamiento de las actividades que le sirvieron de base a la ilegalización y se explicita una expresión de ruptura con la violencia de ETA.</w:t>
      </w:r>
    </w:p>
    <w:p w:rsidR="00D06117" w:rsidRDefault="00D06117" w:rsidP="00D06117">
      <w:pPr>
        <w:pStyle w:val="TextoNormal"/>
      </w:pPr>
    </w:p>
    <w:p w:rsidR="00D06117" w:rsidRDefault="00D06117" w:rsidP="00D06117">
      <w:pPr>
        <w:pStyle w:val="TextoNormal"/>
      </w:pPr>
      <w:r>
        <w:t>Por un otrosí digo, dada la inminencia de la convocatoria de elecciones al Congreso de los Diputados y al Senado para el próximo día 20 de noviembre de 2011, y a fin de garantizar la efectividad del recurso de amparo, si el mismo fuera estimado, la representación procesal de los demandantes considera que el Tribunal debería resolver el recurso con anterioridad a que finalizará, previsiblemente, la posibilidad de constituir coaliciones electorales, ya que es la primera fecha dentro del calendario electoral en la que los partidos políticos tienen que actuar ante la junta electoral. Petición que justifica en la irreparabilidad de los daños que para el derecho de los recurrentes supondría la estimación de la demanda en fecha posterior a la que materialmente es posible para constituir coaliciones electorales con otros partidos políticos, puesto que ello impediría su participación y concurrencia en las próximas elecciones generales, con el consiguiente perjuicio que haría perder al recurso de amparo su finalidad.</w:t>
      </w:r>
    </w:p>
    <w:p w:rsidR="00D06117" w:rsidRDefault="00D06117" w:rsidP="00D06117">
      <w:pPr>
        <w:pStyle w:val="TextoNormal"/>
      </w:pPr>
    </w:p>
    <w:p w:rsidR="00D06117" w:rsidRDefault="00D06117" w:rsidP="00D06117">
      <w:pPr>
        <w:pStyle w:val="TextoNormal"/>
      </w:pPr>
      <w:r>
        <w:t>Concluye el escrito de alegaciones con la suplica al Tribunal Constitucional de que garantice el derecho del partido político Sortu para poder comparecer en las próximas elecciones generales en coalición electoral, si así lo estima pertinente, con otros partidos políticos.</w:t>
      </w:r>
    </w:p>
    <w:p w:rsidR="00D06117" w:rsidRDefault="00D06117" w:rsidP="00D06117">
      <w:pPr>
        <w:pStyle w:val="TextoNormal"/>
      </w:pPr>
    </w:p>
    <w:p w:rsidR="00D06117" w:rsidRDefault="00D06117" w:rsidP="00D06117">
      <w:pPr>
        <w:pStyle w:val="TextoNormal"/>
      </w:pPr>
      <w:r w:rsidRPr="00D06117">
        <w:rPr>
          <w:rStyle w:val="NumeroAFNegritaCaracter"/>
        </w:rPr>
        <w:t>9</w:t>
      </w:r>
      <w:r>
        <w:t>. Por providencia de fecha 17 de abril de 2012 el Pleno acuerda recabar para sí, a propuesta de la Sala Segunda, el conocimiento del presente recurso de amparo que se tramitaba en dicha Sala.</w:t>
      </w:r>
    </w:p>
    <w:p w:rsidR="00D06117" w:rsidRDefault="00D06117" w:rsidP="00D06117">
      <w:pPr>
        <w:pStyle w:val="TextoNormal"/>
      </w:pPr>
    </w:p>
    <w:p w:rsidR="00D06117" w:rsidRDefault="00D06117" w:rsidP="00D06117">
      <w:pPr>
        <w:pStyle w:val="TextoNormal"/>
      </w:pPr>
      <w:r w:rsidRPr="00D06117">
        <w:rPr>
          <w:rStyle w:val="NumeroAFNegritaCaracter"/>
        </w:rPr>
        <w:t>10</w:t>
      </w:r>
      <w:r>
        <w:t>. Por providencia de 19 de junio de 2012 se señaló para la deliberación y votación de la presente Sentencia el día 20 del mismo mes y año.</w:t>
      </w:r>
    </w:p>
    <w:p w:rsidR="00D06117" w:rsidRDefault="00D06117" w:rsidP="00D06117">
      <w:pPr>
        <w:pStyle w:val="TextoNormal"/>
      </w:pPr>
    </w:p>
    <w:p w:rsidR="00D06117" w:rsidRDefault="00D06117" w:rsidP="00D06117">
      <w:pPr>
        <w:pStyle w:val="TextoNormalNegritaCentrado"/>
        <w:keepNext/>
      </w:pPr>
      <w:r>
        <w:t>II. Fundamentos jurídicos</w:t>
      </w:r>
    </w:p>
    <w:p w:rsidR="00D06117" w:rsidRDefault="00D06117" w:rsidP="00D06117">
      <w:pPr>
        <w:pStyle w:val="TextoNormalNegritaCentrado"/>
        <w:keepNext/>
      </w:pPr>
    </w:p>
    <w:p w:rsidR="00D06117" w:rsidRDefault="00D06117" w:rsidP="00D06117">
      <w:pPr>
        <w:pStyle w:val="TextoNormal"/>
      </w:pPr>
      <w:r w:rsidRPr="00D06117">
        <w:rPr>
          <w:rStyle w:val="NumeroAFNegritaCaracter"/>
        </w:rPr>
        <w:t>1</w:t>
      </w:r>
      <w:r>
        <w:t xml:space="preserve">. La presente demanda de amparo tiene por objeto la impugnación del Auto de la Sala Especial del Tribunal Supremo del artículo 61 de la Ley Orgánica del Poder Judicial, de 30 de marzo de 2011, recaído en el procedimiento de ejecución de la Sentencia 1/2003, de 27 de marzo, dimanante de los autos acumulados núms. 6-2002 y 7-2002 de ilegalización de </w:t>
      </w:r>
      <w:r>
        <w:lastRenderedPageBreak/>
        <w:t>los partidos políticos Herri Batasuna, Euskal Herritarrok y Batasuna, por el que, en aplicación del art. 12.1 b) de la Ley Orgánica 6/2002, de 27 de junio, de partidos políticos (LOPP), se declaró la improcedencia de la constitución del partido político Sortu por ser continuidad o sucesión del partido político declarado ilegal y disuelto Batasuna y se denegó su inscripción en el Registro de partidos políticos. Los demandantes de amparo promovieron contra el citado Auto incidente de nulidad de actuaciones, que fue inadmitido por providencia de 15 de abril de 2011, al considerar la Sala que con la nulidad de actuaciones se reabría el mismo debate procesal reflejado en el Auto resolutorio del incidente de ejecución.</w:t>
      </w:r>
    </w:p>
    <w:p w:rsidR="00D06117" w:rsidRDefault="00D06117" w:rsidP="00D06117">
      <w:pPr>
        <w:pStyle w:val="TextoNormal"/>
      </w:pPr>
    </w:p>
    <w:p w:rsidR="00D06117" w:rsidRDefault="00D06117" w:rsidP="00D06117">
      <w:pPr>
        <w:pStyle w:val="TextoNormal"/>
      </w:pPr>
      <w:r>
        <w:t>Los recurrentes aducen como único motivo de amparo la vulneración, por el Auto dictado en el incidente de ejecución, del derecho de asociación, en su vertiente de derecho a la creación de partidos políticos (arts. 6 y 22 CE), en relación con los derechos a la libertad ideológica (art. 16.1 CE), a la libertad de expresión [art. 20.1 a) CE] y a la participación política (art. 23.1 CE), así como también con los arts. 10 y 11 del Convenio europeo para la protección de los derechos humanos y de las libertades fundamentales (CEDH). Tras referirse a la jurisprudencia del Tribunal Europeo de Derechos Humanos y de este Tribunal Constitucional sobre la ilegalización y la negativa a la inscripción de partidos políticos, a la prueba que la Sala ha tenido en cuenta para llegar a la conclusión de la sucesión fraudulenta de Batasuna por Sortu, así como al material probatorio que no ha tomado en consideración, en la demanda se sostiene, en síntesis, que la valoración probatoria y la aplicación normativa y jurisprudencial que se lleva a cabo en el auto recurrido no salvaguardan suficientemente el contenido de los derechos fundamentales invocados. La declaración de improcedencia de la constitución e inscripción como partido político de Sortu se funda en la acreditación de que se ha creado como continuidad o sucesor del partido político Batasuna y, por tanto, de las actividades que han determinado su ilegalización, esto es, su connivencia con el terrorismo de ETA. Sin embargo, siguen diciendo los recurrentes, se trata de un partido político que no ha llegado a nacer, pese a lo cual su ilegalización se acuerda sin atender a los indicios que fija el art. 12.3 LOPP, sin analizar los estatutos del partido, los actos y tomas de postura de sus promotores, los actos y tomas de postura de otros miembros de la izquierda abertzale y, en fin, el contraindicio del rechazo concluyente y terminante a la violencia de ETA.</w:t>
      </w:r>
    </w:p>
    <w:p w:rsidR="00D06117" w:rsidRDefault="00D06117" w:rsidP="00D06117">
      <w:pPr>
        <w:pStyle w:val="TextoNormal"/>
      </w:pPr>
    </w:p>
    <w:p w:rsidR="00D06117" w:rsidRDefault="00D06117" w:rsidP="00D06117">
      <w:pPr>
        <w:pStyle w:val="TextoNormal"/>
      </w:pPr>
      <w:r>
        <w:t>Para los recurrentes la inferencia realizada por la Sala no sólo no responde a los cánones de la lógica y la suficiencia, sino que queda absolutamente distante del grado de certeza exigido por este Tribunal en supuestos de ilegalización de partidos políticos o continuación o sucesión de partidos ilegalizados y disueltos. Difícilmente puede afirmarse, según la demanda, que la Sala haya extremado el rigor al tener por probada la realidad del fraude o que los datos de los que se ha servido para realizar su juicio de inferencia sean “de significación indiscutible” o que se sitúen “en el ámbito de lo concluyente” o ante “una inferencia sólida y no abierta”, encontrándonos, por el contrario, a juicio de los demandantes, en el ámbito de las sospechas, lo que contradice frontalmente el principio de máxima efectividad de los derechos fundamentales y la regla de la proporcionalidad de los sacrificios que son básicos a la hora de aplicar los límites al ejercicio de los derechos fundamentales.</w:t>
      </w:r>
    </w:p>
    <w:p w:rsidR="00D06117" w:rsidRDefault="00D06117" w:rsidP="00D06117">
      <w:pPr>
        <w:pStyle w:val="TextoNormal"/>
      </w:pPr>
    </w:p>
    <w:p w:rsidR="00D06117" w:rsidRDefault="00D06117" w:rsidP="00D06117">
      <w:pPr>
        <w:pStyle w:val="TextoNormal"/>
      </w:pPr>
      <w:r>
        <w:t>El Abogado del Estado interesa la desestimación de la demanda de amparo. Se opone a la legitimación del partido político Sortu, al haberle impedido el auto recurrido su inscripción y, por consiguiente, la adquisición de personalidad jurídica y demás importantes efec</w:t>
      </w:r>
      <w:r>
        <w:lastRenderedPageBreak/>
        <w:t>tos que el art. 4.3 LOPP anuda a la inscripción en el Registro de partidos, siendo sus promotores los únicos que responden personal y solidariamente en el tráfico jurídico (art. 4.1 LOPP).</w:t>
      </w:r>
    </w:p>
    <w:p w:rsidR="00D06117" w:rsidRDefault="00D06117" w:rsidP="00D06117">
      <w:pPr>
        <w:pStyle w:val="TextoNormal"/>
      </w:pPr>
    </w:p>
    <w:p w:rsidR="00D06117" w:rsidRDefault="00D06117" w:rsidP="00D06117">
      <w:pPr>
        <w:pStyle w:val="TextoNormal"/>
      </w:pPr>
      <w:r>
        <w:t>En cuanto al tema de fondo, el Abogado del Estado entiende que los recurrentes pretenden que este Tribunal controle, dentro de los límites de su jurisdicción de amparo, la valoración de la prueba realizada por la Sala. En su opinión, tanto la resolución judicial impugnada como el Voto particular disidente contienen valoraciones de la prueba que están dentro de los límites de lo razonable con los datos aportados en el incidente y a ninguno de los relatos o conclusiones que resumen esas valoraciones se les puede reprochar arbitrariedad, tratándose, por el contrario, de valoraciones probatorias que están dentro de lo razonable y de los límites constitucionales. Ello así, la jurisdicción de este Tribunal no puede llegar hasta imponer la preferencia de una sobre otra [art. 44.1 b) de la Ley Orgánica del Tribunal Constitucional (LOTC)], debiendo circunscribirse su función al mero control constitucional de la razonabilidad en la valoración probatoria efectuada por el Tribunal Supremo. La conclusión reflejada en el Auto recurrido, sostiene el Abogado del Estado, satisface los estándares constitucionales de la lógica, calidad o suficiencia probatoria establecidos en la doctrina constitucional en lo que se refiere a que Sortu constituye la materialización de un designio de ETA-Batasuna de dar continuidad o sucesión a la actividad de los partidos ilegalizados y disueltos. La alegada conversión al bien político —la separación y el rechazo de la criminalidad terrorista— requiere una prueba contundente, especialmente si la banda criminal sigue existiendo, aunque, por conveniencia de la nueva estrategia, suspenda por el momento su actividad, siendo la continuidad de la banda terrorista como actor político y como posible diseñador de estrategias de acción política el problema que suscita el tenor de los estatutos de Sortu.</w:t>
      </w:r>
    </w:p>
    <w:p w:rsidR="00D06117" w:rsidRDefault="00D06117" w:rsidP="00D06117">
      <w:pPr>
        <w:pStyle w:val="TextoNormal"/>
      </w:pPr>
    </w:p>
    <w:p w:rsidR="00D06117" w:rsidRDefault="00D06117" w:rsidP="00D06117">
      <w:pPr>
        <w:pStyle w:val="TextoNormal"/>
      </w:pPr>
      <w:r>
        <w:t>En definitiva, punto capital para decidir la cuestión no es tanto la existencia real o aparente de disensiones en la izquierda abertzale cuanto la real desvinculación con ETA y la consideración de Sortu como expresión de esa desvinculación, cuestión respecto de la que, en opinión del Abogado del Estado, procede confirmar la conclusión plasmada en el Auto por ser perfectamente lógica y gozar de mayor solidez que el relato alternativo que propone la demanda. Como corroboración de su argumentación, el Abogado del Estado aporta la Sentencia 22/2011, de 16 de septiembre, de la Sección Cuarta de la Sala de lo Penal de la Audiencia Nacional, en la que se condenó a don Arnaldo Otegui Mondragón y a don Rafael Díaz Usabiaga como autores de un delito de pertenencia a organización terrorista en grado de dirigentes y a doña Mirien Zabaleta Tellería, don Arkaitz Rodríguez Torres y doña Sonia Jacinto García como autores de un delito de pertenencia a organización terrorista, porque para llegar a la conclusión condenatoria la Sala ha valorado documentos que han sido tomados en consideración en el Auto recurrido en amparo.</w:t>
      </w:r>
    </w:p>
    <w:p w:rsidR="00D06117" w:rsidRDefault="00D06117" w:rsidP="00D06117">
      <w:pPr>
        <w:pStyle w:val="TextoNormal"/>
      </w:pPr>
    </w:p>
    <w:p w:rsidR="00D06117" w:rsidRDefault="00D06117" w:rsidP="00D06117">
      <w:pPr>
        <w:pStyle w:val="TextoNormal"/>
      </w:pPr>
      <w:r>
        <w:t xml:space="preserve">El Ministerio Fiscal también se opone a la estimación de la demanda de amparo. En sus alegaciones reproduce in extenso la valoración que la Sala ha efectuado de los elementos probatorios aportados por las partes, para afirmar que, a su juicio, no puede decirse que haya llegado, a partir de un análisis de los elementos objetivos y subjetivos de la prueba practicada, a una conclusión irrazonable, ni que haya operado a partir de un juicio de inferencia excesivamente abierto. El Auto recurrido considera acreditado que la formación política Sortu es creación de Batasuna, que habría seguido las directrices impartidas por la banda terrorista ETA para eludir las consecuencias de la ilegalización de aquélla y poder participar </w:t>
      </w:r>
      <w:r>
        <w:lastRenderedPageBreak/>
        <w:t>en la vida política a través de dicha formación política. La Sala ha contado con una panoplia de pruebas aportadas al incidente por las partes, recogiéndose en el Auto una serie de elementos suficientemente acreditados a partir de los cuales ha deducido una serie de datos indiciarios que le han permitido llegar de una manera lógica y razonable a las inferencias y conclusiones que permiten afirmar que Sortu es una continuidad o sucesión de Batasuna. El hecho de que en los estatutos del nuevo partido aparezca inicialmente una declaración de rechazo firme e inequívoco de todo acto de violencia y terrorismo no puede desconocerse que es, a juicio del Ministerio Fiscal, un rechazo instrumental para la consecución de objetivos políticos, tratándose, además, de una declaración pro futuro, sin referencia alguna a la violencia ejercida por la banda terrorista con anterioridad a la elaboración de dichos estatutos. En definitiva, concluye el Ministerio Fiscal, ha de ser necesariamente compartido el criterio de la Sala y negada, en consecuencia, la inscripción de Sortu en el Registro de partidos políticos por ser sucesión o continuidad de la ilegalizada Batasuna.</w:t>
      </w:r>
    </w:p>
    <w:p w:rsidR="00D06117" w:rsidRDefault="00D06117" w:rsidP="00D06117">
      <w:pPr>
        <w:pStyle w:val="TextoNormal"/>
      </w:pPr>
    </w:p>
    <w:p w:rsidR="00D06117" w:rsidRDefault="00D06117" w:rsidP="00D06117">
      <w:pPr>
        <w:pStyle w:val="TextoNormal"/>
      </w:pPr>
      <w:r w:rsidRPr="00D06117">
        <w:rPr>
          <w:rStyle w:val="NumeroAFNegritaCaracter"/>
        </w:rPr>
        <w:t>2</w:t>
      </w:r>
      <w:r>
        <w:t>. Hemos de dar respuesta, en primer término, a la objeción del Abogado del Estado de la falta de legitimación del partido político Sortu para interponer el presente recurso de amparo. Aunque la califica de “cuestión sin demasiada relevancia”, entiende que el partido político Sortu, no así las cuatro personas físicas recurrentes titulares del derecho de asociación que pretenden ejercitar constituyendo ese partido político, carece de legitimación por cuanto precisamente el Auto recurrido le impide la adquisición de personalidad jurídica y los demás importantes efectos que el art. 4.3 LOPP anuda a la inscripción en el Registro de partidos políticos.</w:t>
      </w:r>
    </w:p>
    <w:p w:rsidR="00D06117" w:rsidRDefault="00D06117" w:rsidP="00D06117">
      <w:pPr>
        <w:pStyle w:val="TextoNormal"/>
      </w:pPr>
    </w:p>
    <w:p w:rsidR="00D06117" w:rsidRDefault="00D06117" w:rsidP="00D06117">
      <w:pPr>
        <w:pStyle w:val="TextoNormal"/>
      </w:pPr>
      <w:r>
        <w:t>El art. 162.1 b) CE reconoce legitimación para interponer recurso de amparo, además de al Ministerio Fiscal y al Defensor del Pueblo, “a toda persona natural o jurídica que invoque un interés jurídico”. De otra parte, de conformidad con el art. 46.1 b) LOTC están legitimados para interponer el recurso de amparo constitucional, tanto por la vía del art. 43 como del art. 44 LOTC, “quienes han sido parte en el proceso judicial correspondiente, el Defensor del Pueblo y el Ministerio Fiscal”.</w:t>
      </w:r>
    </w:p>
    <w:p w:rsidR="00D06117" w:rsidRDefault="00D06117" w:rsidP="00D06117">
      <w:pPr>
        <w:pStyle w:val="TextoNormal"/>
      </w:pPr>
    </w:p>
    <w:p w:rsidR="00D06117" w:rsidRDefault="00D06117" w:rsidP="00D06117">
      <w:pPr>
        <w:pStyle w:val="TextoNormal"/>
      </w:pPr>
      <w:r>
        <w:t>Al margen de los supuestos de legitimación institucional, “sólo están legitimados para interponer recurso de amparo —salvo los supuestos de representación— las personas naturales o jurídicas que ostentan capacidad jurídica para ser titulares de los derechos fundamentales que se dicen vulnerados o capacidad jurídica para ser titulares de un interés legítimo en la preservación o restablecimiento de dichos derechos. De modo que la legitimación para interponer la demanda de amparo requiere, de un lado, la existencia de un sujeto con capacidad jurídica, y, de otro, que se encuentre en una determinada relación con el derecho cuya vulneración se alega, esto es, bien que sea su titular, bien que tenga un interés legítimo en su restablecimiento. La capacidad jurídica es, pues, cuestión previa y ajena a la relativa a si la persona que se constituye en demandante de amparo tiene la relación requerida con el derecho fundamental cuya vulneración se alega —titularidad del mismo o interés legítimo en su preservación o restablecimiento—” (ATC 520/2005, de 20 de diciembre, FJ 4).</w:t>
      </w:r>
    </w:p>
    <w:p w:rsidR="00D06117" w:rsidRDefault="00D06117" w:rsidP="00D06117">
      <w:pPr>
        <w:pStyle w:val="TextoNormal"/>
      </w:pPr>
    </w:p>
    <w:p w:rsidR="00D06117" w:rsidRDefault="00D06117" w:rsidP="00D06117">
      <w:pPr>
        <w:pStyle w:val="TextoNormal"/>
      </w:pPr>
      <w:r>
        <w:t>Como hemos declarado en el citado Auto en relación con la capacidad jurídica de un partido político disuelto, doctrina que es trasladable al supuesto que ahora nos ocupa, con la extinción de la personalidad jurídica civil del partido disuelto una vez que la disolución deviene firme —art. 10.1, en relación con el art. 3.2, LOPP—, y semejante debe ser el pro</w:t>
      </w:r>
      <w:r>
        <w:lastRenderedPageBreak/>
        <w:t>nunciamiento respecto del partido político que no ha adquirido personalidad jurídica al declararse por la Sala Especial del Tribunal Supremo del artículo 61 de la Ley Orgánica del Poder Judicial (LOPJ) la improcedencia de constitución y la no procedencia de su inscripción en el Registro de partidos políticos —arts 3.2 y 4.3 LOPP—, “el partido deja de ser sujeto en Derecho y sujeto de derechos”, por lo que, de un lado, “deja de tener suerte alguna de capacidad jurídica para actuar en Derecho, en defensa de cualesquiera derechos o intereses, propios o ajenos, y de otro, la extinción de la personalidad jurídica-civil del partido político comporta la desaparición de su círculo jurídico, esto es, del haz de derechos y facultades que configuraban la propia existencia jurídica de la entidad disuelta” (FJ 3).</w:t>
      </w:r>
    </w:p>
    <w:p w:rsidR="00D06117" w:rsidRDefault="00D06117" w:rsidP="00D06117">
      <w:pPr>
        <w:pStyle w:val="TextoNormal"/>
      </w:pPr>
    </w:p>
    <w:p w:rsidR="00D06117" w:rsidRDefault="00D06117" w:rsidP="00D06117">
      <w:pPr>
        <w:pStyle w:val="TextoNormal"/>
      </w:pPr>
      <w:r>
        <w:t>En este caso, por resolución judicial firme el partido político Sortu no ha sido inscrito en el Registro de partidos políticos, de modo que no ha adquirido personalidad jurídica (arts. 3.2 y 4.3 LOPP y STC 48/2003, de 12 de marzo, FJ 20), por lo que no puede ser considerado, en consecuencia, sujeto en Derecho y sujeto de derechos, careciendo de capacidad jurídica alguna para actuar en Derecho y, por consiguiente, para promover el presente recurso de amparo. Así pues, ha de estimarse la falta de legitimación de dicho partido aducida por el Abogado del Estado para interponer el recurso de amparo, lo que en nada afecta a la legitimación de sus promotores que han acudido ante este Tribunal en amparo del ejercicio del derecho de asociación, en relación con la creación de un partido político (art. 22 CE, en relación con el art. 6 CE).</w:t>
      </w:r>
    </w:p>
    <w:p w:rsidR="00D06117" w:rsidRDefault="00D06117" w:rsidP="00D06117">
      <w:pPr>
        <w:pStyle w:val="TextoNormal"/>
      </w:pPr>
    </w:p>
    <w:p w:rsidR="00D06117" w:rsidRDefault="00D06117" w:rsidP="00D06117">
      <w:pPr>
        <w:pStyle w:val="TextoNormal"/>
      </w:pPr>
      <w:r w:rsidRPr="00D06117">
        <w:rPr>
          <w:rStyle w:val="NumeroAFNegritaCaracter"/>
        </w:rPr>
        <w:t>3</w:t>
      </w:r>
      <w:r>
        <w:t>. En cuanto al tema de fondo suscitado, hemos de comenzar por precisar que siendo varios los derechos y libertades invocados por los recurrentes en su demanda de amparo, es notorio que la posible lesión del derecho de asociación, en su vertiente de asociación en partido político (art. 22 CE, en relación con el art. 6 CE), constituye el núcleo a cuyo alrededor se articulan todas las infracciones denunciadas y, por lo tanto, al que han de reconducirse las aducidas vulneraciones de la libertad ideológica (art. 16.1 CE), de la libertad de expresión [art. 20.1 a) CE] y del derecho de participación política (art. 23 CE).</w:t>
      </w:r>
    </w:p>
    <w:p w:rsidR="00D06117" w:rsidRDefault="00D06117" w:rsidP="00D06117">
      <w:pPr>
        <w:pStyle w:val="TextoNormal"/>
      </w:pPr>
    </w:p>
    <w:p w:rsidR="00D06117" w:rsidRDefault="00D06117" w:rsidP="00D06117">
      <w:pPr>
        <w:pStyle w:val="TextoNormal"/>
      </w:pPr>
      <w:r>
        <w:t xml:space="preserve">Como hemos dicho en un contexto diferente (el de la ilegalización de un partido político como consecuencia de su actividad) y es perfectamente trasladable al supuesto de la negativa a la inscripción de un nuevo partido político por ser continuador o sucesor de partidos ilegalizados y disueltos por su vinculación con una organización terrorista, “[l]a libertad de asociación en partidos políticos es libertad para la creación de sujetos que concurren a la formación y manifestación de la voluntad popular y son instrumento fundamental para la participación política. Los partidos son medio cualificado para la articulación del pluralismo al que sirven de expresión y, en consecuencia, tienen en la libertad ideológica el fundamento necesario para la definición de su identidad política, verdadero referente para aquellos a quienes se ofrece como pauta para la intervención en el proceso de formación de la voluntad popular. Y tienen también en la libertad de expresión, de manera no menos ineluctable, la garantía necesaria para que su participación en ese proceso no se vea desvirtuada o impedida. Si los partidos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se sigue con naturalidad que la vulneración de los derechos fundamentales cuyo ejercicio es inherente al de la libertad de asociación política adquiere una significación constitucional añadida, por cuanto trasciende a aquellos derechos en particular, en </w:t>
      </w:r>
      <w:r>
        <w:lastRenderedPageBreak/>
        <w:t>la medida en que afecta a la libertad que los comprende. En otras palabras, infringir la libertad de creación de partidos políticos es conculcar los derechos para cuyo ejercicio en el ámbito de la formación de la voluntad popular se ha concebido aquella libertad. Con todo, por más que todas estas infracciones sean inseparables, la reconocida en el art. 22 CE (en relación con el art. 6 CE) conforma el contexto en el que concurren las libertades ideológica y de expresión cuando su ejercicio no es estrictamente individual sino organizado en partidos políticos. De ahí la posición de centralidad que … ha de concederse a la libertad de asociación en el examen de las quejas deducidas por el demandante. En el bien entendido, claro está, de que con ello no se ha de marginar en absoluto, la consideración de las libertades ideológica y de expresión, sino, por el contrario, integrar su contenido privativo en el más amplio de la libertad de asociación que les sirve de contexto y ámbito de ejercicio cualificado” (STC 31/2009, de 29 de enero, FJ 2, que cita el fundamento jurídico 16 de la STC 5/2004, de 16 de enero).</w:t>
      </w:r>
    </w:p>
    <w:p w:rsidR="00D06117" w:rsidRDefault="00D06117" w:rsidP="00D06117">
      <w:pPr>
        <w:pStyle w:val="TextoNormal"/>
      </w:pPr>
    </w:p>
    <w:p w:rsidR="00D06117" w:rsidRDefault="00D06117" w:rsidP="00D06117">
      <w:pPr>
        <w:pStyle w:val="TextoNormal"/>
      </w:pPr>
      <w:r>
        <w:t>De otra parte, aun cuando en la demanda de amparo se invocan también los arts. 10 y 11 del Convenio europeo de derechos humanos, es preciso reiterar nuevamente que no le corresponde a este Tribunal, al conocer de un recurso de amparo, examinar la observancia o inobservancia per se de textos internacionales que obliguen a España, sino comprobar el respeto o la infracción de los preceptos constitucionales que reconocen derechos fundamentales y libertades públicas susceptibles de protección a través del recurso de amparo (arts. 53.2 CE y 49.1 LOTC), sin perjuicio de que, por mandato del art. 10.2 CE, deban tales preceptos ser interpretados de conformidad con la Declaración universal de derechos humanos y los tratados y acuerdos internacionales sobre las mismas materias ratificados por España (por todas, SSTC 85/2003, de 8 de mayo, FJ 6;y 99/2004, de 27 de mayo, FJ 3), entre los que figura de manera destacada el Convenio europeo de derechos humanos.</w:t>
      </w:r>
    </w:p>
    <w:p w:rsidR="00D06117" w:rsidRDefault="00D06117" w:rsidP="00D06117">
      <w:pPr>
        <w:pStyle w:val="TextoNormal"/>
      </w:pPr>
    </w:p>
    <w:p w:rsidR="00D06117" w:rsidRDefault="00D06117" w:rsidP="00D06117">
      <w:pPr>
        <w:pStyle w:val="TextoNormal"/>
      </w:pPr>
      <w:r w:rsidRPr="00D06117">
        <w:rPr>
          <w:rStyle w:val="NumeroAFNegritaCaracter"/>
        </w:rPr>
        <w:t>4</w:t>
      </w:r>
      <w:r>
        <w:t>. En el Auto recurrido se ha declarado, en aplicación del art. 12.1 b) LOPP, la improcedencia de la constitución del partido político Sortu por entender la Sala que con él, en fraude de la Sentencia 1/2003, de 27 de marzo, de ilegalización y disolución de los partidos políticos Herri Batasuna, Euskal Herritarrok y Batasuna, se pretende continuar o suceder la actividad del partido político declarado ilegal y disuelto Batasuna, denegando, en consecuencia, su inscripción en el Registro de partidos políticos. Así pues, el objeto de este proceso de amparo se contrae a determinar si la apreciación por la Sala Especial del Tribunal Supremo del art. 61 LOPJ de esa continuidad legal y constitucionalmente proscrita entre un partido judicialmente ilegalizado y disuelto y el nuevo partido político cuya inscripción se pretende ha vulnerado el derecho de asociación en su vertiente de derecho a la creación de partidos políticos (art. 22 CE, en conexión con el art. 6 CE), como sostienen los recurrentes, o no lo ha hecho, como mantienen el Abogado del Estado y el Ministerio Fiscal.</w:t>
      </w:r>
    </w:p>
    <w:p w:rsidR="00D06117" w:rsidRDefault="00D06117" w:rsidP="00D06117">
      <w:pPr>
        <w:pStyle w:val="TextoNormal"/>
      </w:pPr>
    </w:p>
    <w:p w:rsidR="00D06117" w:rsidRDefault="00D06117" w:rsidP="00D06117">
      <w:pPr>
        <w:pStyle w:val="TextoNormal"/>
      </w:pPr>
      <w:r>
        <w:t xml:space="preserve">En relación con el derecho de asociación (art. 22 CE), hemos puesto de manifiesto su carácter de derecho subjetivo, proclamando que “es una de las libertades públicas capitales de la persona, al asentarse justamente como presupuesto en la libertad” (STC 244/1991, de 16 de diciembre, FJ 2). También hemos destacado su dimensión objetiva como elemento estructural básico del Estado social y democrático de Derecho (STC 173/1998, de 23 de julio, FJ 8). Esta dimensión se ha puesto especialmente de relieve en lo que afecta a la creación de partidos políticos, por ser instrumentos fundamentales para la participación política (art. 6 CE) esenciales en el correcto funcionamiento del Estado democrático, ya que al basarse éste en el valor del pluralismo (art. 1.1 CE), del que los partidos son expresión </w:t>
      </w:r>
      <w:r>
        <w:lastRenderedPageBreak/>
        <w:t>principalísima, “es evidente que la apertura del ordenamiento a cuantas opciones políticas puedan y quieran nacer y articularse en la realidad social constituye un valor que sólo cabe proteger y propiciar” (STC 48/2003, de 12 de marzo, FJ 5). Esta doctrina constitucional, por otra parte, es plenamente coincidente con la establecida por el Tribunal Europeo de Derechos Humanos en relación con el derecho de asociación reconocido en el art. 11 CEDH, en que se destaca tanto el reconocimiento de que los partidos políticos son formas asociativas que se enmarcan dentro del ámbito de protección del derecho de asociación (STEDH de 25 de mayo de 1998, caso Partido Socialista c Turquía, § 29), como su especial cualificación por ser elementos estructurales del funcionamiento de los regímenes democráticos (STEDH de 13 de febrero de 2003, caso Refah Partisi c. Turquía, § 87).</w:t>
      </w:r>
    </w:p>
    <w:p w:rsidR="00D06117" w:rsidRDefault="00D06117" w:rsidP="00D06117">
      <w:pPr>
        <w:pStyle w:val="TextoNormal"/>
      </w:pPr>
    </w:p>
    <w:p w:rsidR="00D06117" w:rsidRDefault="00D06117" w:rsidP="00D06117">
      <w:pPr>
        <w:pStyle w:val="TextoNormal"/>
      </w:pPr>
      <w:r>
        <w:t>Más en concreto, este Tribunal ha reiterado, en la proyección del derecho de asociación (art. 22 CE) sobre la creación y funcionamiento de los partidos políticos (art. 6 CE), que la creación de partidos políticos es libre, en los términos de la libertad garantizada en el art. 22 CE, recordando que “la Constitución, en su deseo de asegurar el máximo de libertad e independencia de los partidos, los somete al régimen privado de las asociaciones, que permite y asegura el menor grado de control y de intervención estatal sobre los mismos. La disciplina constitucional en esta materia, tomada en su sustancia, se ha articulado sobre el reconocimiento de un derecho subjetivo público de los ciudadanos a constituir, bajo la forma jurídica de asociaciones, partidos políticos; con ello se reconoce y legitima la existencia de los partidos y se garantiza su existencia y su subsistencia. El partido, en su creación, en su organización y en su funcionamiento, se deja a la voluntad de los asociados fuera de cualquier control administrativo, sin perjuicio de la exigencia constitucional del cumplimiento de determinadas pautas en su estructura, actuación y fines” (STC 48/2003, de 12 de marzo, FJ 5, citando la STC 85/1986, de 25 de junio, FJ 2).</w:t>
      </w:r>
    </w:p>
    <w:p w:rsidR="00D06117" w:rsidRDefault="00D06117" w:rsidP="00D06117">
      <w:pPr>
        <w:pStyle w:val="TextoNormal"/>
      </w:pPr>
    </w:p>
    <w:p w:rsidR="00D06117" w:rsidRDefault="00D06117" w:rsidP="00D06117">
      <w:pPr>
        <w:pStyle w:val="TextoNormal"/>
      </w:pPr>
      <w:r>
        <w:t>Del mismo modo, este Tribunal ha incidido en que la especial cualificación de los partidos políticos, por la relevancia constitucional de sus cometidos, explica las condiciones específicas que el art. 6 CE les impone en relación al respeto a la Constitución y a la ley y a su estructura interna y funcionamiento. Igualmente, se ha derivado de esta misma circunstancia la justificación de la existencia de un régimen normativo propio de los partidos políticos que responda al fin no sólo de garantizar una estructura y un funcionamiento democráticos, sino también, y como cuestión previa, la de que en su actividad respeten los cometidos que el art. 6 CE enumera como definidores de la condición de partido político —ser expresión de pluralismo político, concurrir a la formación y manifestación de la voluntad popular y ser instrumento fundamental para la participación política—, toda vez que “la libertad característica de las asociaciones, y de la que los partidos también disfrutan, no puede ser para éstos tan omnímoda que a su amparo se desvirtúen como instrumentos para la consecución de sus fines constitucionales” (STC 48/2003, de 12 de marzo, FJ 6).</w:t>
      </w:r>
    </w:p>
    <w:p w:rsidR="00D06117" w:rsidRDefault="00D06117" w:rsidP="00D06117">
      <w:pPr>
        <w:pStyle w:val="TextoNormal"/>
      </w:pPr>
    </w:p>
    <w:p w:rsidR="00D06117" w:rsidRDefault="00D06117" w:rsidP="00D06117">
      <w:pPr>
        <w:pStyle w:val="TextoNormal"/>
      </w:pPr>
      <w:r>
        <w:t>Por tanto, de conformidad con la doctrina constitucional expuesta, la creación y funcionamiento de los partidos políticos es libre dentro del respeto de los cometidos que el art. 6 CE enumera como definidores de la condición de partido político, por lo que sólo cabrá la denegación de la inscripción o la declaración de disolución de un partido político cuando, de conformidad con lo previsto en la Ley Orgánica de partidos políticos, concurra una causa legal para ello, vinculada a la vulneración de las exigencias del art. 6 CE, apreciada por la autoridad judicial competente en el marco del correspondiente procedimiento.</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5</w:t>
      </w:r>
      <w:r>
        <w:t>. En línea de principio y en términos generales, la vinculación de las razones para limitar el ejercicio de la libre creación o funcionamiento de los partidos políticos con el desarrollo acreditado de actividades que vulneren las exigencias del art. 6 CE, nos ha llevado a establecer que “el régimen de libertad en el que en nuestro Ordenamiento se desenvuelve la creación de partidos políticos no permite un control inmediato en el tiempo de la satisfacción de esos requisitos. No cabe, en efecto, verificar en toda su extensión si lo que se constituye e inscribe como partido es propiamente tal. En ese trámite sólo es factible acreditar la concurrencia de una efectiva voluntad de constitución de un partido político y el cumplimiento de los requisitos de capacidad para constituirlo y de adopción de una estructura que permita un funcionamiento democrático. Pero las circunstancias que verdaderamente definen a la asociación como partido únicamente se acreditan una vez constituido, pues sólo entonces puede determinarse si se ajusta en su actividad a las funciones referidas en el art. 6 CE. Y sólo entonces puede constatarse si los fines definidores de su ideario político, en principio constitucionalmente libres, se persiguen por medios, no ya pacíficos, sino, antes aun, compatibles con las funciones constitucionales a las que los partidos sirven como instrumento. La constatación de ese extremo en el momento de la constitución del partido sólo sería imaginable a través de un juicio de intenciones que pugnaría groseramente con el régimen de libertad de creación de partidos garantizado por el art. 22 CE” (STC 5/2004, de 16 de enero, FJ 9). Es más, este Tribunal ha llegado a afirmar que “el control jurídico de esa vertiente definidora de la asociación como partido consistente en el respeto a las exigencias ... recogidas en el art. 6 CE ha de ser, por necesidad, un control a posteriori” (STC 48/2003, de 12 de marzo, FJ 9).</w:t>
      </w:r>
    </w:p>
    <w:p w:rsidR="00D06117" w:rsidRDefault="00D06117" w:rsidP="00D06117">
      <w:pPr>
        <w:pStyle w:val="TextoNormal"/>
      </w:pPr>
    </w:p>
    <w:p w:rsidR="00D06117" w:rsidRDefault="00D06117" w:rsidP="00D06117">
      <w:pPr>
        <w:pStyle w:val="TextoNormal"/>
      </w:pPr>
      <w:r>
        <w:t xml:space="preserve">Conclusión, por otra parte, que es coincidente con la doctrina establecida por el Tribunal Europeo de Derechos Humanos, que considera que la negativa a inscribir un partido político supone una injerencia notable en el derecho de asociación que sólo resulta asumible en los casos más graves y siempre que concurra una previsión legal expresa, un fin relevante que la legitime y que sea necesaria en una sociedad democrática, necesidad que debe ser interpretada restrictivamente (por todas, STEDH de 10 de julio de 1998, caso Sidiropoulos y otros c. Grecia, §§ 38 a 40). Por lo que respecta a la interpretación restrictiva de la necesidad de la injerencia, el Tribunal Europeo de Derechos Humanos ha incidido en que resulta preciso hacer su valoración en el contexto del momento tan incipiente de actividad del partido en que se produce su negativa a la inscripción (STEDH de 7 de diciembre de 2006, caso Linkov c. República Checa, § 35), señalando que puede no ser suficiente con el examen únicamente de los estatutos y programa político de un partido, ya que estos pueden esconder objetivos e intenciones diferentes de los que se proclaman, por lo que cabe también verificar el alcance de eventuales objetivos ocultos comparando los estatutos con los actos y tomas de postura de los miembros y dirigentes del partido en cuestión [así, SSTEDH de 3 de febrero de 2005, caso Partidul Comunistilor (Nepeceristi) y Ungureanu c. Rumanía, § 57; y de 7 de diciembre de 2006, caso Linkov c. República Checa, § 44]. El Tribunal Europeo de Derechos Humanos , en todo caso, llama la atención de que en aquellos casos en los que el programa del partido político difícilmente ha podido verse desmentido por acciones concretas porque el partido ha carecido de actividad como consecuencia, por ejemplo, del rechazo a su demanda de inscripción en el registro de partidos políticos, con la negativa a dicha inscripción se puede estar sancionando un comportamiento que depende únicamente del ejercicio de la libertad de expresión [SSTEDH de 30 de enero de 1998, caso Partido Comunista Unificado de Turquía c. Turquía, § 58; de 8 de diciembre de 1999, caso Partido de la Libertad y de la Democracia c. Turquía, §§ 40 a 42; 3 de febrero de 2005, caso Partidul </w:t>
      </w:r>
      <w:r>
        <w:lastRenderedPageBreak/>
        <w:t>Comunistilor (Nepeceristi) y Ungureanu c. Rumanía, §§ 56 y 57; de 7 de diciembre de 2006, caso Linkov c. República Checa, § 44; y de 13 de abril de 2009, caso Tsonev c. Bulgaria, § 60].</w:t>
      </w:r>
    </w:p>
    <w:p w:rsidR="00D06117" w:rsidRDefault="00D06117" w:rsidP="00D06117">
      <w:pPr>
        <w:pStyle w:val="TextoNormal"/>
      </w:pPr>
    </w:p>
    <w:p w:rsidR="00D06117" w:rsidRDefault="00D06117" w:rsidP="00D06117">
      <w:pPr>
        <w:pStyle w:val="TextoNormal"/>
      </w:pPr>
      <w:r w:rsidRPr="00D06117">
        <w:rPr>
          <w:rStyle w:val="NumeroAFNegritaCaracter"/>
        </w:rPr>
        <w:t>6</w:t>
      </w:r>
      <w:r>
        <w:t>. En relación con lo anterior, el control de constitucionalidad a proyectar por este Tribunal respecto de las decisiones judiciales relativas a la denegación de inscripción —supuesto que nos ocupa— o a la declaración de disolución de partidos políticos también queda condicionado por la propia naturaleza de esta jurisdicción de amparo y la delimitación de funciones entre la jurisdicción ordinaria y la constitucional. Así, este Tribunal ha reiterado que no se puede pretender de este Tribunal “la revisión de las pruebas practicadas en el proceso, ni la de la valoración que las mismas han merecido del Tribunal Supremo, pues en otro caso, con infracción del principio de exclusividad de la jurisdicción ordinaria (art. 117.3 CE), incurriríamos en un claro exceso de nuestra jurisdicción constitucional” (SSTC 5/2004, de 16 de enero, FJ 17; y 31/2009, de 29 de enero, FJ 4). Otra cosa es que el Tribunal Constitucional, en cuanto supremo órgano jurisdiccional en materia de garantías constitucionales (art. 123.1 CE) y supremo intérprete de la Constitución (art. 1.1 LOTC), deba realizar una valoración global del material probatorio asumido por los Tribunales ordinarios, en este caso por el Tribunal Supremo, sin cuestionarlo, puesto que en otro caso no cumpliría con las funciones que la Constitución le ha encomendado.</w:t>
      </w:r>
    </w:p>
    <w:p w:rsidR="00D06117" w:rsidRDefault="00D06117" w:rsidP="00D06117">
      <w:pPr>
        <w:pStyle w:val="TextoNormal"/>
      </w:pPr>
    </w:p>
    <w:p w:rsidR="00D06117" w:rsidRDefault="00D06117" w:rsidP="00D06117">
      <w:pPr>
        <w:pStyle w:val="TextoNormal"/>
      </w:pPr>
      <w:r>
        <w:t>Esto sentado hay que destacar igualmente los importantes rasgos diferenciales que el presente supuesto plantea respecto a anteriores casos resueltos por este Tribunal. En efecto, en este caso estamos ante la negativa de inscripción en el Registro de partidos políticos de un partido político que, como consecuencia de tal negativa, en la práctica ha carecido como tal de actividad, siendo también mínima la actividad desplegada por sus promotores y dirigentes, centrada, básicamente, en la presentación de la nueva formación política cuya inscripción pretenden. En segundo lugar, en los estatutos del proyectado partido político se contiene un inequívoco rechazo a la violencia, como medio de acción, incluida la violencia de ETA; rechazo expreso que por primera vez se recoge en los estatutos de un partido político nacido del ámbito de la izquierda abertzale.</w:t>
      </w:r>
    </w:p>
    <w:p w:rsidR="00D06117" w:rsidRDefault="00D06117" w:rsidP="00D06117">
      <w:pPr>
        <w:pStyle w:val="TextoNormal"/>
      </w:pPr>
    </w:p>
    <w:p w:rsidR="00D06117" w:rsidRDefault="00D06117" w:rsidP="00D06117">
      <w:pPr>
        <w:pStyle w:val="TextoNormal"/>
      </w:pPr>
      <w:r>
        <w:t>En atención al primer rasgo, hemos de señalar que desde el parámetro de control que corresponde ejercer a este Tribunal bajo la invocación del derecho de asociación (art. 22 CE), en relación con la libertad de creación de partidos políticos (art. 6 CE), en supuesto como el aquí planteado de negativa a la inscripción de un partido político por incurrir la causa del art. 12.1 b) LOPP de pretender continuar o suceder la actividad del partido político declarado ilegal y disuelto, resulta necesario prestar una especial atención a dos aspectos. Por un lado y prioritariamente, al contenido de los estatutos del partido político cuya inscripción se pretendía, en relación con la conducta desarrollada por los promotores, y, por otro, en su caso, a la concreta actividad proyectada por los partidos ilegalizados sobre la conformación del nuevo partido político.</w:t>
      </w:r>
    </w:p>
    <w:p w:rsidR="00D06117" w:rsidRDefault="00D06117" w:rsidP="00D06117">
      <w:pPr>
        <w:pStyle w:val="TextoNormal"/>
      </w:pPr>
    </w:p>
    <w:p w:rsidR="00D06117" w:rsidRDefault="00D06117" w:rsidP="00D06117">
      <w:pPr>
        <w:pStyle w:val="TextoNormal"/>
      </w:pPr>
      <w:r>
        <w:t xml:space="preserve">Los estatutos por los que habrá de regirse el partido político que trata de constituirse forman parte del contenido del acta fundacional en el que se formaliza el acuerdo de constitución, que debe constar en documento público y que debe presentarse en el Ministerio del Interior a los efectos de su inscripción en el Registro de partidos políticos, la cual tiene como efectos, entre otros, hacer pública la constitución del partido y sus estatutos (art. 3 LOPP). La Ley Orgánica de partidos políticos impone un mínimo contenido a los estatutos de los </w:t>
      </w:r>
      <w:r>
        <w:lastRenderedPageBreak/>
        <w:t>partidos políticos en cuanto a su estructura interna, a su funcionamiento, a los procedimientos de control y a los derechos y deberes de los afiliados. Sin embargo, con ser relevantes estos aspectos referidos a la organización interna, funcionamiento y a los derechos y deberes de los miembros del partido político, no puede obviarse que es precisamente en los estatutos donde se recogen las bases ideológicas, el ideario y proyecto del mismo, así como los instrumentos y métodos de acción a través de los cuales pretende alcanzar sus fines, siendo principal y precisamente aquellas bases, ese ideario y proyecto y estos instrumentos y métodos de acción política los que le confieren al partido identidad propia, a la vez que diferenciada del resto de las formaciones políticas. En definitiva, los estatutos son el elemento de identidad que, a la vez que define con sus rasgos propios al partido político, le caracteriza frente a los demás.</w:t>
      </w:r>
    </w:p>
    <w:p w:rsidR="00D06117" w:rsidRDefault="00D06117" w:rsidP="00D06117">
      <w:pPr>
        <w:pStyle w:val="TextoNormal"/>
      </w:pPr>
    </w:p>
    <w:p w:rsidR="00D06117" w:rsidRDefault="00D06117" w:rsidP="00D06117">
      <w:pPr>
        <w:pStyle w:val="TextoNormal"/>
      </w:pPr>
      <w:r>
        <w:t>Es cierto que, tal y como se ha resaltado, no puede descartarse que el contenido proclamado en los estatutos de un partido político en ocasiones resulte contradicho por la actividad del partido, por sus resoluciones y comunicados o por las declaraciones de sus dirigentes. En tales casos será preciso valorar y ponderar uno y otro elemento. Pero, a los efectos que ahora interesan, es suficiente con resaltar, sin perjuicio de que proceda llevar a cabo la valoración y ponderación a las que nos acabamos de referir, el relevante cometido que presentan en este caso los estatutos del partido político cuya inscripción se pretende, en tanto que elemento de identidad que le caracteriza y que opera a la vez como parámetro cualificado a la hora de determinar la posible concurrencia o no de las condiciones definidoras del concepto constitucional de partido político.</w:t>
      </w:r>
    </w:p>
    <w:p w:rsidR="00D06117" w:rsidRDefault="00D06117" w:rsidP="00D06117">
      <w:pPr>
        <w:pStyle w:val="TextoNormal"/>
      </w:pPr>
    </w:p>
    <w:p w:rsidR="00D06117" w:rsidRDefault="00D06117" w:rsidP="00D06117">
      <w:pPr>
        <w:pStyle w:val="TextoNormal"/>
      </w:pPr>
      <w:r w:rsidRPr="00D06117">
        <w:rPr>
          <w:rStyle w:val="NumeroAFNegritaCaracter"/>
        </w:rPr>
        <w:t>7</w:t>
      </w:r>
      <w:r>
        <w:t>. En el caso concreto, los estatutos del partido político Sortu se inician con un “capítulo preliminar”, en cuyo primer párrafo se habla de un proceso de debate interno de la izquierda abertzale para el desarrollo de su proyecto independentista y socialista, respecto del que constituye una de sus decisiones básicas “una posición clara e inequívoca de actuación por vías exclusivamente políticas y democráticas” y el “compromiso para contribuir a conformar un escenario de paz y respeto a todos los derechos individuales y colectivos de la ciudadanía vasca”. Este nuevo proyecto político de la izquierda abertzale supone también “la ruptura con los modelos organizativos y formas de funcionamiento de los que se ha dotado ese espacio social y político en el pasado y, por tanto, con los vínculos de dependencia a que aquéllos daban lugar”, tratándose de esta forma “de impedir su instrumentalización por organizaciones que practiquen la violencia, o por partidos políticos que fueron ilegalizados y disueltos por razón de su connivencia con ella” (párrafo tercero).</w:t>
      </w:r>
    </w:p>
    <w:p w:rsidR="00D06117" w:rsidRDefault="00D06117" w:rsidP="00D06117">
      <w:pPr>
        <w:pStyle w:val="TextoNormal"/>
      </w:pPr>
    </w:p>
    <w:p w:rsidR="00D06117" w:rsidRDefault="00D06117" w:rsidP="00D06117">
      <w:pPr>
        <w:pStyle w:val="TextoNormal"/>
      </w:pPr>
      <w:r>
        <w:t xml:space="preserve">Igualmente, en este capítulo los promotores muestran “su voluntad y deseo de contribuir con el resto de agentes políticos, sociales y sindicales: a la definitiva y total desaparición de cualquier clase de violencia, en particular, la de la organización ETA; a la superación de las consecuencias de toda violencia y terrorismo, en pro de la paz, justicia y reconciliación de la sociedad vasca; al reconocimiento y reparación de todas las víctimas originadas por las múltiples violencias que han tenido presencia en nuestro pueblo en las últimas décadas”. En definitiva, concluye este capítulo preliminar, “el compromiso del partido político con las vías exclusivamente políticas y democráticas es firme e inequívoco, no sujeto a variables tácticas o factores coyunturales, por lo que se articulará la defensa de su ideología sobre la base del respeto a los procedimientos democráticos y mediante el empleo de medios legales de intervención en la vida pública”, lo que, entre otros extremos, comporta promover y defender “como parte de su programa político un modelo de sociedad acorde y coherente con </w:t>
      </w:r>
      <w:r>
        <w:lastRenderedPageBreak/>
        <w:t>el concepto de sociedad democrática definido en el Convenio Europeo de Derechos Humanos, y sustentado en un pleno y real ejercicio de la democracia, del pluralismo y de las libertades políticas” (párrafos sexto al décimo).</w:t>
      </w:r>
    </w:p>
    <w:p w:rsidR="00D06117" w:rsidRDefault="00D06117" w:rsidP="00D06117">
      <w:pPr>
        <w:pStyle w:val="TextoNormal"/>
      </w:pPr>
    </w:p>
    <w:p w:rsidR="00D06117" w:rsidRDefault="00D06117" w:rsidP="00D06117">
      <w:pPr>
        <w:pStyle w:val="TextoNormal"/>
      </w:pPr>
      <w:r>
        <w:t>En el capítulo primero, que tiene por rúbrica “denominación, bases ideológicas, domicilio”, se declara, a los efectos que ahora interesan, que “toda expresión de violencia e imposición debe desaparecer de este país, y el conjunto de los derechos humanos … los derechos civiles, políticos, socioeconómicos y culturales deben ser respetados, así como promovidas las condiciones para que sean reales y efectivos”. En el art. 3, dedicado, como indica su título, a la “democracia interna y actividad externa”, se recoge la oposición de Sortu “a cualquier subordinación, condicionamiento o tutelas externas que pretendan convertirla en una organización vicarial de quienes practiquen la violencia”, así como se afirma que el partido político “desarrollará su actividad desde el rechazo de la violencia como instrumento de acción política o método para el logro de objetivos políticos, cualquiera que sea su origen y naturaleza; rechazo que, abiertamente y sin ambages, incluye a la organización ETA, en cuanto sujeto activo de conductas que vulneran derechos y libertades fundamentales de las personas”. En este sentido, se insiste en los estatutos en que “[d]esde esta declaración de carácter general, los representantes, militantes y cargos orgánicos e institucionales de Sortu actuarán conforme a los siguientes criterios: Rechazo firme e inequívoco de todo acto de violencia y terrorismo y de sus autores; rechazo de las diferentes formas de manifestación de la violencia y el terrorismo, tal y como legislativamente han sido definidas en los diferentes apartados del Artículo 9 de la Ley Orgánica 6/2002, de partidos políticos, cuyos contenidos literales se dan por reproducidos e integrados en esta declaración; rechazo de quienes fomenten, amparen o legitimen los actos de terrorismo, oponiéndose, de manera clara y expresa, a cualquier justificación conceptual y cobertura ideológica de los mismos; rechazo de cualquier clase de connivencia política y organizativa con la violencia, con las formaciones y los instrumentos políticos que han sido ilegalizados por razón de esa connivencia, así como con cualquier manifestación del fenómeno terrorista”.</w:t>
      </w:r>
    </w:p>
    <w:p w:rsidR="00D06117" w:rsidRDefault="00D06117" w:rsidP="00D06117">
      <w:pPr>
        <w:pStyle w:val="TextoNormal"/>
      </w:pPr>
    </w:p>
    <w:p w:rsidR="00D06117" w:rsidRDefault="00D06117" w:rsidP="00D06117">
      <w:pPr>
        <w:pStyle w:val="TextoNormal"/>
      </w:pPr>
      <w:r>
        <w:t>A fin de garantizar estos “incuestionables compromisos”, se declara en los estatutos que “la configuración estructural y funcional de Sortu está orientada a impedir la realización de actividades que lo convierten en instrumento de continuidad o sustitución orgánica y funcional de los partidos políticos ilegalizados y disueltos en virtud de las sentencias de la Sala Especial del artículo 61 LOPJ del Tribunal Supremo”, reiterándose que “[n]o se trata de la reconstitución o refundación de organizaciones ilegalizadas, sino de materializar una nítida separación y una indubitada ruptura respecto de ellas”.</w:t>
      </w:r>
    </w:p>
    <w:p w:rsidR="00D06117" w:rsidRDefault="00D06117" w:rsidP="00D06117">
      <w:pPr>
        <w:pStyle w:val="TextoNormal"/>
      </w:pPr>
    </w:p>
    <w:p w:rsidR="00D06117" w:rsidRDefault="00D06117" w:rsidP="00D06117">
      <w:pPr>
        <w:pStyle w:val="TextoNormal"/>
      </w:pPr>
      <w:r>
        <w:t>En el capítulo segundo, que lleva por rúbrica “afiliados, derechos y deberes”, se tipifica para los afiliados como falta muy grave, que será sancionada con la expulsión del partido, “la realización de algunas de las conductas previstas en el artículo 9 de la Ley Orgánica 6/2002, de partidos políticos” (art. 11.4). Y en el art. 16, dedicado a la “aprobación de las listas electorales”, que forma parte del título tercero, denominado “órganos de representación, gobierno y administración”, se dispone que “[p]ara poder ser candidata/o en cualquiera de las listas que presente Sortu se deberán de asumir, previamente a la presentación de aquéllas, las bases ideológicas y los compromisos de actuación política contemplados en el capítulo preliminar y en el artículo 3 de los presentes estatutos”, cuyo contenido, a los efectos que aquí interesan, han sido ya reproducidos.</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8</w:t>
      </w:r>
      <w:r>
        <w:t>. Por otra parte, en relación con la condena de la violencia por el partido político Sortu, incluida la violencia de ETA, se recoge en el Auto impugnado que en el acto formal de presentación a los medios de comunicación del partido político Sortu por sus promotores y otras seis personas que constituyen el equipo dirigente se leyó un comunicado en el que “manifestaron su apuesta por las vías exclusivamente pacíficas y democráticas, avanzar hacia una constitución de un estado vasco en el marco de la Unión Europea y rechazaron absolutamente y sin ambages la violencia, incluida la de ETA. Asimismo, resaltaron —continúa el Auto— que la motivación de esta nueva formación política se dirigía a encauzar la confianza del espacio político de la izquierda abertzale y contribuir a alianzas políticas y sociales que sitúen el soberanismo y el independentismo en el carril principal de la sociedad vasca y manifestaron su intención de contribuir con el resto de los agentes políticos, sociales y sindicales, a la definitiva y total desaparición de cualquier clase de violencia en Euskal Herria, incluyendo la de ETA, a la superación de las consecuencias de toda violencia en pro de la paz, soluciones democráticas y reconciliación con la sociedad vasca” (fundamento de Derecho decimosegundo).</w:t>
      </w:r>
    </w:p>
    <w:p w:rsidR="00D06117" w:rsidRDefault="00D06117" w:rsidP="00D06117">
      <w:pPr>
        <w:pStyle w:val="TextoNormal"/>
      </w:pPr>
    </w:p>
    <w:p w:rsidR="00D06117" w:rsidRDefault="00D06117" w:rsidP="00D06117">
      <w:pPr>
        <w:pStyle w:val="TextoNormal"/>
      </w:pPr>
      <w:r>
        <w:t>La Sala pone en conexión ese acto formal de presentación de la nueva formación política con dos celebrados con anterioridad, en los que intervinieron y ocuparon una posición destacada cargos orgánicos y representativos de los partidos políticos judicialmente disueltos e ilegalizados. En ambos casos, tanto el contenido del documento leído en el primero, como las intervenciones habidas en el segundo, expresan la opción por las vías exclusivamente pacíficas y democráticas y el rechazo del uso de la violencia o la amenaza de su utilización para el logro de objetivos políticos, con inclusión de la violencia de ETA (fundamento de Derecho decimosegundo).</w:t>
      </w:r>
    </w:p>
    <w:p w:rsidR="00D06117" w:rsidRDefault="00D06117" w:rsidP="00D06117">
      <w:pPr>
        <w:pStyle w:val="TextoNormal"/>
      </w:pPr>
    </w:p>
    <w:p w:rsidR="00D06117" w:rsidRDefault="00D06117" w:rsidP="00D06117">
      <w:pPr>
        <w:pStyle w:val="TextoNormal"/>
      </w:pPr>
      <w:r w:rsidRPr="00D06117">
        <w:rPr>
          <w:rStyle w:val="NumeroAFNegritaCaracter"/>
        </w:rPr>
        <w:t>9</w:t>
      </w:r>
      <w:r>
        <w:t>. Una vez constatada la condena de la violencia terrorista tanto en los estatutos del partido político que pretende inscribirse como en las declaraciones y actuaciones de sus promotores, es preciso recordar que, en relación con la condena de la violencia terrorista como factor bastante para contrarrestar otros elementos de convicción que pudieran fundamentar la acreditación judicial de una estrategia defraudadora de la Sentencia de ilegalización de los partidos políticos Herri Batasuna, Euskal Herritarrok y Batasuna, este Tribunal ha establecido una sólida doctrina.</w:t>
      </w:r>
    </w:p>
    <w:p w:rsidR="00D06117" w:rsidRDefault="00D06117" w:rsidP="00D06117">
      <w:pPr>
        <w:pStyle w:val="TextoNormal"/>
      </w:pPr>
    </w:p>
    <w:p w:rsidR="00D06117" w:rsidRDefault="00D06117" w:rsidP="00D06117">
      <w:pPr>
        <w:pStyle w:val="TextoNormal"/>
      </w:pPr>
      <w:r>
        <w:t xml:space="preserve">Con ocasión de la ilegalización y disolución del partido político Batasuna, este Tribunal declaró que “[l]a negativa de un partido a condenar atentados terroristas puede constituir, en determinadas circunstancias, una actitud de ‘apoyo político … tácito al terrorismo’ o de legitimación de ‘las acciones terroristas para la consecución de fines políticos’, por cuanto esa negativa puede tener un componente cierto de exculpación y minimización del significado del terrorismo. … En tanto que la negativa de una expresión, abstenerse de condenar acciones terroristas es también manifestación tácita o implícita de un determinado posicionamiento frente al terror. No es desde luego, una manifestación inocua cuando con ella se condensa un credo —hecho explícito, por lo demás, en declaraciones públicas de responsables del partido que se niegan a condenar por sistema— erigido sobre la consideración de la violencia terrorista como estricto reflejo de una violencia originaria, ésta practicada por el Estado”. “En un contexto de terrorismo —continuaba diciendo este Tribunal— cuya realidad se remonta a más de treinta años en el pasado, y en el que la legitimación del terror siempre se ha buscado por sus artífices desde el principio de equivalencia entre la naturaleza </w:t>
      </w:r>
      <w:r>
        <w:lastRenderedPageBreak/>
        <w:t>de las fuerzas enfrentadas, presentándose como única salida para la resolución de un pretendido conflicto histórico, inasequible a los procedimientos del Derecho, en este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este particular por un partido que ha prodigado un entendimiento del fenómeno terrorista que, cuando menos, lo presenta como reacción inevitable a una agresión primera e injusta del Estado agredido por el terror” (STC 5/2004, de 16 de enero, FJ 18; doctrina que se reitera en la STC 31/2009, de 29 de enero, FJ 12).</w:t>
      </w:r>
    </w:p>
    <w:p w:rsidR="00D06117" w:rsidRDefault="00D06117" w:rsidP="00D06117">
      <w:pPr>
        <w:pStyle w:val="TextoNormal"/>
      </w:pPr>
    </w:p>
    <w:p w:rsidR="00D06117" w:rsidRDefault="00D06117" w:rsidP="00D06117">
      <w:pPr>
        <w:pStyle w:val="TextoNormal"/>
      </w:pPr>
      <w:r>
        <w:t>Concluíamos la citada Sentencia afirmando que era una consecuencia legítima de la negativa a condenar un atentado terrorista, unida esta negativa a comunicados ambiguos y de compromiso sobre la base de una equidistancia entre el Estado y el terror, la privación de la condición de partido a la formación política que se ha demostrado ajena a la institución del art. 6 CE (ibídem). También con ocasión de la ilegalización y disolución del partido político Eusko Abertzale Ekinza/Acción Nacionalista Vasca (EAE/ANV) por ser continuador o sucesor de la actividad del partido político Batasuna, ya entonces judicialmente ilegalizado y disuelto, hemos señalado que la “[c]ondena del terrorismo … en un proceso de ilegalización de un partido al que se imputa la connivencia con ETA, hubiera sido un contraindicio suficiente para contrarrestar otros elementos de convicción razonablemente adecuados para fundamentar la convicción judicial de que un partido político actúa y se conduce como un mero instrumento de la violencia terrorista” (STC 31/2009, de 29 de enero, FJ 12).</w:t>
      </w:r>
    </w:p>
    <w:p w:rsidR="00D06117" w:rsidRDefault="00D06117" w:rsidP="00D06117">
      <w:pPr>
        <w:pStyle w:val="TextoNormal"/>
      </w:pPr>
    </w:p>
    <w:p w:rsidR="00D06117" w:rsidRDefault="00D06117" w:rsidP="00D06117">
      <w:pPr>
        <w:pStyle w:val="TextoNormal"/>
      </w:pPr>
      <w:r>
        <w:t>La suficiencia de la condena del terrorismo para contrarrestar otros elementos de convicción, se recoge por vez primera en la STC 99/2004, de 27 de mayo, que resuelve el recurso de amparo promovido por una agrupación electoral cuya candidatura había sido anulada por la Sala Especial del Tribunal Supremo del artículo 61 LOPJ en aplicación del art. 44.4 de la Ley Orgánica del régimen electoral general (LOREG), esto es, por venir a continuar o suceder la actividad de un partido político declarado ilegal judicialmente y disuelto. En ella insiste el Tribunal en que quebrar la dimensión negativa del silencio ante la violencia “con el pronunciamiento firme e indubitado frente al terrorismo y sus instrumentos es, en definitiva, lo menos que cabe demandar de quien quiere servirse de los beneficios que brinda el sistema que la criminalidad quiere subvertir. Y ello ha de ser suficiente, por demás, para diluir la capacidad probatoria de indicios que en otro caso adquieren una considerable densidad de sentido” (STC 99/2004, FJ 19). En otras palabras, “[l]a negativa a condenar expresamente el terrorismo no es, por tanto, indicio bastante para acreditar per se una voluntad defraudatoria como la contemplada por el art. 44.4 LOREG. Más bien sucede que su contrario, la condena inequívoca constituye un contraindicio capaz de desacreditar la realidad de una voluntad de ese cariz deducida a partir de indicios suficientes”, si bien el Tribunal estima que no puede operar como contrapeso suficiente a los fines de desvirtuar estos indicios la genérica condena de la violación de los derechos humanos, a la que le atribuye “un cierto sentido de abstracción”, frente a la condena concreta del terrorismo, “que implica un referente subjetivo mucho más preciso, y que de existir constituiría el contraindicio referido en nuestra jurisprudencia” (STC 68/2005, de 31 de marzo; doctrina que se reitera en las SSTC 126/2009, de 21 de mayo, FJ 14; y 62/2011, de 5 de mayo, FJ 12).</w:t>
      </w:r>
    </w:p>
    <w:p w:rsidR="00D06117" w:rsidRDefault="00D06117" w:rsidP="00D06117">
      <w:pPr>
        <w:pStyle w:val="TextoNormal"/>
      </w:pPr>
    </w:p>
    <w:p w:rsidR="00D06117" w:rsidRDefault="00D06117" w:rsidP="00D06117">
      <w:pPr>
        <w:pStyle w:val="TextoNormal"/>
      </w:pPr>
      <w:r>
        <w:lastRenderedPageBreak/>
        <w:t>Asimismo la propia Ley Orgánica de partidos políticos, en su art. 12.3, al referirse a la prohibición de sucesión de la actividad de un partido político ilegal y disuelto, considera expresamente como una circunstancia relevante para que se pueda afirmar la sucesión, la “disposición a apoyar la violencia o el terrorismo”, que ha de apreciarse “en contraste con los datos y documentos obrantes en el proceso en el que se declaró la ilegalización y disolución”.</w:t>
      </w:r>
    </w:p>
    <w:p w:rsidR="00D06117" w:rsidRDefault="00D06117" w:rsidP="00D06117">
      <w:pPr>
        <w:pStyle w:val="TextoNormal"/>
      </w:pPr>
    </w:p>
    <w:p w:rsidR="00D06117" w:rsidRDefault="00D06117" w:rsidP="00D06117">
      <w:pPr>
        <w:pStyle w:val="TextoNormal"/>
      </w:pPr>
      <w:r w:rsidRPr="00D06117">
        <w:rPr>
          <w:rStyle w:val="NumeroAFNegritaCaracter"/>
        </w:rPr>
        <w:t>10</w:t>
      </w:r>
      <w:r>
        <w:t>. En el presente caso, la resolución impugnada, a partir de las pruebas documentales intervenidas a la organización terrorista ETA y a la ilegalizada Batasuna considera que la aparente rotundidad de las declaraciones examinadas en los precedentes fundamentos jurídicos “ninguna eficacia sanadora pueden tener respecto del fraude mismo” porque simplemente “se configuran como un elemento del engaño en que todo fraude consiste”, siendo la propia banda terrorista ETA la que establece la estrategia de condena de los atentados que ella misma comete a fin de eludir las consecuencias de la sentencia de ilegalización (fundamento de Derecho decimocuarto).</w:t>
      </w:r>
    </w:p>
    <w:p w:rsidR="00D06117" w:rsidRDefault="00D06117" w:rsidP="00D06117">
      <w:pPr>
        <w:pStyle w:val="TextoNormal"/>
      </w:pPr>
    </w:p>
    <w:p w:rsidR="00D06117" w:rsidRDefault="00D06117" w:rsidP="00D06117">
      <w:pPr>
        <w:pStyle w:val="TextoNormal"/>
      </w:pPr>
      <w:r>
        <w:t>Ahora bien, frente a la hipótesis del fraude hemos de reiterar que la eficacia de la rotunda condena de la violencia en los estatutos y en las declaraciones de los promotores del partido político cuya inscripción se pretende no puede estar “sometida al dilema —insoluble para el Derecho— de la mayor o menor sinceridad del sujeto, aunque sí puede quedar condicionada a la identificación objetiva de la intención real de las declaraciones en las que el contraindicio consistiría, intención, sin embargo, que sólo puede desvelarse como contraria (y disimulada, por tanto) a partir de hechos observables y referidos o imputables al propio sujeto que pretende ejercer su derecho fundamental” (STC 62/2011, de 5 de mayo, FJ 12).</w:t>
      </w:r>
    </w:p>
    <w:p w:rsidR="00D06117" w:rsidRDefault="00D06117" w:rsidP="00D06117">
      <w:pPr>
        <w:pStyle w:val="TextoNormal"/>
      </w:pPr>
    </w:p>
    <w:p w:rsidR="00D06117" w:rsidRDefault="00D06117" w:rsidP="00D06117">
      <w:pPr>
        <w:pStyle w:val="TextoNormal"/>
      </w:pPr>
      <w:r>
        <w:t>En este caso, no cabe ignorar que, como se ha recogido en los anteriores fundamentos jurídicos, en términos tajantes se expone en los estatutos del partido político Sortu su programa de actuación por vías exclusivamente políticas y democráticas, su ruptura con los modelos y las organizaciones políticas judicialmente ilegalizadas y disueltas por su connivencia con la banda terrorista ETA y el rechazo de la violencia como instrumento de acción política o método para el logro de objetivos políticos, incluyendo la de esta organización terrorista. De manera igualmente firme e inequívoca los promotores y dirigentes del partido político Sortu en el acto de presentación de esta formación política manifestaron su apuesta por las vías exclusivamente pacíficas y democráticas para la consecución de objetos políticos y rechazaron la violencia, incluida la de la organización terrorista ETA.</w:t>
      </w:r>
    </w:p>
    <w:p w:rsidR="00D06117" w:rsidRDefault="00D06117" w:rsidP="00D06117">
      <w:pPr>
        <w:pStyle w:val="TextoNormal"/>
      </w:pPr>
    </w:p>
    <w:p w:rsidR="00D06117" w:rsidRDefault="00D06117" w:rsidP="00D06117">
      <w:pPr>
        <w:pStyle w:val="TextoNormal"/>
      </w:pPr>
      <w:r>
        <w:t>Particular mención merece en este sentido, el que los estatutos hagan suyo, integrándolo por remisión de su art. 3 B, el contenido literal del art. 9 LOPP, precepto en el que el legislador ha pormenorizado las conductas que realizadas de forma grave y reiterada pueden determinar la declaración de ilegalidad de un partido político, configurándose en los citados estatutos la realización por sus afiliados de cualquiera de ellas como una falta muy grave sancionada con la expulsión del partido. También ha de resaltarse la exigencia para ser candidato en cualquiera de las listas electorales del partido político Sortu de asumir las bases ideológicas y los compromisos de actuación política del rechazo a la violencia, incluida la de la organización terrorista ETA, y el recurso a las vías exclusivamente pacíficas y democráticas para la consecución de objetivos políticos.</w:t>
      </w:r>
    </w:p>
    <w:p w:rsidR="00D06117" w:rsidRDefault="00D06117" w:rsidP="00D06117">
      <w:pPr>
        <w:pStyle w:val="TextoNormal"/>
      </w:pPr>
    </w:p>
    <w:p w:rsidR="00D06117" w:rsidRDefault="00D06117" w:rsidP="00D06117">
      <w:pPr>
        <w:pStyle w:val="TextoNormal"/>
      </w:pPr>
      <w:r>
        <w:lastRenderedPageBreak/>
        <w:t>En suma, de acuerdo con la doctrina constitucional ya expuesta, las declaraciones recogidas en los estatutos del partido político Sortu y las manifestaciones de semejante e incluso a veces idéntico tenor de sus promotores y dirigentes en el acto de presentación formal de esta formación a favor, en los términos ya expresados, de las vías exclusivamente pacíficas y democráticas para la consecución de objetivos políticos y el rechazo a la violencia como instrumento de acción política, incluida expresamente la de ETA, han de considerarse que constituyen un contraindicio suficiente para entender, en principio, contrarrestada o diluida la eficacia probatoria de otros elementos de convicción de los que pudiera inferirse que el nuevo partido político cuya inscripción se pretende en el Registro de partidos políticos pudiera perseguir continuar o suceder la actividad de los partidos políticos judicialmente ilegalizados y disueltos por la Sentencia 1/2003, de 27 de marzo [art. 12.1 b) LOPP].</w:t>
      </w:r>
    </w:p>
    <w:p w:rsidR="00D06117" w:rsidRDefault="00D06117" w:rsidP="00D06117">
      <w:pPr>
        <w:pStyle w:val="TextoNormal"/>
      </w:pPr>
    </w:p>
    <w:p w:rsidR="00D06117" w:rsidRDefault="00D06117" w:rsidP="00D06117">
      <w:pPr>
        <w:pStyle w:val="TextoNormal"/>
      </w:pPr>
      <w:r>
        <w:t>La conclusión alcanzada en modo alguno puede resultar desvirtuada por la alegación del Abogado del Estado de que los estatutos del partido político sólo rigen hasta la celebración de su congreso constituyente, órgano que puede ratificarlos o cambiarlos. En puridad, los estatutos aprobados por las personas promotoras que se constituyen en comisión permanente hasta la celebración del congreso constituyente no prevén su vigencia sólo hasta la celebración de este congreso, como parece desprenderse del escrito del Abogado del Estado, sino que lo que disponen, en una práctica habitual y común en la constitución de partidos políticos, es la facultad del congreso constituyente de ratificar los estatutos aprobados por la comisión permanente o modificarlos (disposición transitoria primera de los estatutos de Sortu). Por lo demás, en el caso que ahora nos ocupa, salvo que se pretendan ilegalizaciones preventivas, habrá que estar al contenido de los estatutos en el momento de la constitución e inscripción del partido político. Además, si los estatutos fueran modificados, el nuevo texto también tendría que ser inscrito en el Ministerio del Interior, alcanzando con ello la publicidad debida y, en su caso, un posible control.</w:t>
      </w:r>
    </w:p>
    <w:p w:rsidR="00D06117" w:rsidRDefault="00D06117" w:rsidP="00D06117">
      <w:pPr>
        <w:pStyle w:val="TextoNormal"/>
      </w:pPr>
    </w:p>
    <w:p w:rsidR="00D06117" w:rsidRDefault="00D06117" w:rsidP="00D06117">
      <w:pPr>
        <w:pStyle w:val="TextoNormal"/>
      </w:pPr>
      <w:r w:rsidRPr="00D06117">
        <w:rPr>
          <w:rStyle w:val="NumeroAFNegritaCaracter"/>
        </w:rPr>
        <w:t>11</w:t>
      </w:r>
      <w:r>
        <w:t>. La condena de la violencia terrorista como indicio de la desvinculación de los designios de una organización terrorista, no es el único elemento que la Ley Orgánica de partidos políticos contempla. Así, su citado art. 12.3 contiene precisas indicaciones del legislador para que la Sala sentenciadora pueda declarar la improcedencia de la continuidad o sucesión de un partido disuelto. En tal sentido se señala que habrá de tenerse en cuenta “para determinar la conexión la similitud sustancial de ambos partidos políticos, de su estructura, organización y funcionamiento, de las personas que las componen, rigen, representan o administran, de la procedencia de los medios de financiación o materiales, o de cualesquiera otras circunstancias relevantes que, como su disposición a apoyar la violencia o el terrorismo, permitan considerar dicha continuidad o sucesión en contraste con los datos y documentos obrantes en el proceso en el que se decretó la ilegalización y disolución”.</w:t>
      </w:r>
    </w:p>
    <w:p w:rsidR="00D06117" w:rsidRDefault="00D06117" w:rsidP="00D06117">
      <w:pPr>
        <w:pStyle w:val="TextoNormal"/>
      </w:pPr>
    </w:p>
    <w:p w:rsidR="00D06117" w:rsidRDefault="00D06117" w:rsidP="00D06117">
      <w:pPr>
        <w:pStyle w:val="TextoNormal"/>
      </w:pPr>
      <w:r>
        <w:t>Ninguna referencia se contiene en el Auto recurrido a los actos y tomas de posturas de los promotores y dirigentes del partido político Sortu posteriores a su pretensión de inscripción en el Registro de partidos políticos ni a su comparación con el contenido de los estatutos o con las manifestaciones efectuadas por aquéllos el día de la presentación de la formación política, destinada a establecer una posible constatación de que en realidad escondiesen intenciones diferentes a las solemnemente declaradas en aquellos estatutos y manifestadas en aquel acto, reveladoras en particular de una posible connivencia con los partidos políticos judicialmente ilegalizados y disueltos o con la banda terrorista o de su respaldo, con el silencio o la ambigüedad, a los actos de violencia terrorista.</w:t>
      </w:r>
    </w:p>
    <w:p w:rsidR="00D06117" w:rsidRDefault="00D06117" w:rsidP="00D06117">
      <w:pPr>
        <w:pStyle w:val="TextoNormal"/>
      </w:pPr>
    </w:p>
    <w:p w:rsidR="00D06117" w:rsidRDefault="00D06117" w:rsidP="00D06117">
      <w:pPr>
        <w:pStyle w:val="TextoNormal"/>
      </w:pPr>
      <w:r>
        <w:t>Debe recordarse que cuando este Tribunal avaló la ilegalización y disolución de los partidos políticos Herri Batasuna, Euskal Herritarrok y Batasuna por la STS 1/2003, de 27 de marzo —de la que como queda dicho la presente causa es un incidente de ejecución— lo hizo teniendo en cuenta que en la misma el Alto Tribunal había establecido la existencia de una “comunión de identidades” entre los tres partidos, acreditada “con la identidad de personas que ejercen cargos directivos y de representación en los tres partidos, con la continuidad de sus páginas electrónicas, con la sucesión de integrantes de grupos parlamentarios y municipales, con la sucesión en el uso de sedes y locales o con la identidad sustancial de estrategias y programas de actuación” (SSTC 5/2004, de 16 de enero, FJ 15, y 6/2004, de igual fecha, FJ 5). Ninguno de estos elementos aparece acreditado en el Auto recurrido. Por lo demás, cabe entender que es justamente en relación con ese pretérito estado de cosas como han de leerse los estatutos del partido político, cuya inscripción se debate, tanto en cuanto se refiere al rechazo de la violencia y el terrorismo como cuando declaran que “[e]l nuevo proyecto político y organizativo de la izquierda abertzale supone la ruptura con los modelos organizativos y formas de funcionamiento de los que se ha dotado ese espacio social y político en el pasado y, por tanto, con los vínculos de dependencia a que aquéllos daban lugar. Se trata con ello, de impedir su instrumentalización por organizaciones que practiquen la violencia, o por partidos políticos que fueron ilegalizados y disueltos por razón de su connivencia con ella” (capítulo preliminar, párrafo tercero); o cuando en el articulado manifiestan que “Sortu se opondrá a cualquier subordinación, condicionamiento, o tutela externas que pretendan convertirla en una organización vicarial de quienes practiquen la violencia” (art. 3 A).</w:t>
      </w:r>
    </w:p>
    <w:p w:rsidR="00D06117" w:rsidRDefault="00D06117" w:rsidP="00D06117">
      <w:pPr>
        <w:pStyle w:val="TextoNormal"/>
      </w:pPr>
    </w:p>
    <w:p w:rsidR="00D06117" w:rsidRDefault="00D06117" w:rsidP="00D06117">
      <w:pPr>
        <w:pStyle w:val="TextoNormal"/>
      </w:pPr>
      <w:r w:rsidRPr="00D06117">
        <w:rPr>
          <w:rStyle w:val="NumeroAFNegritaCaracter"/>
        </w:rPr>
        <w:t>12</w:t>
      </w:r>
      <w:r>
        <w:t>. Como hemos avanzado, no nos corresponde realizar un análisis pormenorizado de las pruebas, básicamente documentales, que se tienen en cuenta en el Auto recurrido y que construyen un relato coherente de la “posibilidad” de que el partido político cuya inscripción se solicita sea continuador de anteriores partidos políticos ilegalizados, aunque en el mismo no se evalúa la existencia de los otros elementos a que se refiere el art. 12.3 LOPP. Por otra parte, hay que considerar que, frente a tal posibilidad, tampoco se pondera en la resolución cuestionada que la existencia del derecho de asociación concretamente en partidos políticos, constituye una pieza clave de una sociedad democrática, cuya limitación ha de resultar proporcionada al peligro contrastado que el sedicente partido pudiera constituir para la propia existencia del Estado de Derecho.</w:t>
      </w:r>
    </w:p>
    <w:p w:rsidR="00D06117" w:rsidRDefault="00D06117" w:rsidP="00D06117">
      <w:pPr>
        <w:pStyle w:val="TextoNormal"/>
      </w:pPr>
    </w:p>
    <w:p w:rsidR="00D06117" w:rsidRDefault="00D06117" w:rsidP="00D06117">
      <w:pPr>
        <w:pStyle w:val="TextoNormal"/>
      </w:pPr>
      <w:r>
        <w:t>En suma, la sospecha de que el partido político, cuya inscripción en el Registro de partidos políticos ha sido denegada, pudiera pretender continuar o suceder la actividad de los partidos políticos judicialmente ilegalizados y disueltos ocho años antes, no puede constituirse en argumento jurídicamente suficiente para condicionar el pleno ejercicio de un derecho fundamental, en este caso, el derecho de asociación, en su vertiente de derecho a la creación de partidos políticos (art. 22 CE, en relación con su art. 6). Y es que, ninguna sospecha puede conducir a un resultado limitador del libre ejercicio del derecho de asociación y, con ello, del valor del pluralismo político sobre el que se fundamenta el ordenamiento constitucional del Estado democrático. Como este Tribunal tiene declarado “[l]a pretensión de asegurar a ultranza, mediante controles preventivos, la seguridad del Estado constitucional pone muy en primer lugar en riesgo el propio Estado constitucional” (STC 62/2011, de 5 de mayo, FJ 13).</w:t>
      </w:r>
    </w:p>
    <w:p w:rsidR="00D06117" w:rsidRDefault="00D06117" w:rsidP="00D06117">
      <w:pPr>
        <w:pStyle w:val="TextoNormal"/>
      </w:pPr>
    </w:p>
    <w:p w:rsidR="00D06117" w:rsidRDefault="00D06117" w:rsidP="00D06117">
      <w:pPr>
        <w:pStyle w:val="TextoNormal"/>
      </w:pPr>
      <w:r w:rsidRPr="00D06117">
        <w:rPr>
          <w:rStyle w:val="NumeroAFNegritaCaracter"/>
        </w:rPr>
        <w:lastRenderedPageBreak/>
        <w:t>13</w:t>
      </w:r>
      <w:r>
        <w:t>. Frente a la conclusión alcanzada, no puede alzarse la consideración de que la Sala haya estimado acreditada la voluntad de la organización terrorista ETA y del partido político ilegalizado Batasuna de defraudar la Sentencia de ilegalización y disolución de los partidos políticos Herri Batasuna, Euskal Herritarrok y Batasuna.</w:t>
      </w:r>
    </w:p>
    <w:p w:rsidR="00D06117" w:rsidRDefault="00D06117" w:rsidP="00D06117">
      <w:pPr>
        <w:pStyle w:val="TextoNormal"/>
      </w:pPr>
    </w:p>
    <w:p w:rsidR="00D06117" w:rsidRDefault="00D06117" w:rsidP="00D06117">
      <w:pPr>
        <w:pStyle w:val="TextoNormal"/>
      </w:pPr>
      <w:r>
        <w:t>Esta voluntad defraudadora de la organización terrorista ETA y del partido ilegalizado Batasuna la sustenta fundadamente la Sala con base en determinados documentos cuya autoría les atribuye, respecto a alguno de los cuales, en concreto los documentos de la organización terrorista “Proceso democrático. Reflexión sobre la alternativa para la solución democrática del conflicto y para el reconocimiento de Euskal Herria” y el titulado “Earen proposamenaz. II. RTF”, ya este Tribunal había admitido, como recuerda el Abogado del Estado, que a partir de ellos podía deducirse razonablemente “que, en efecto, ETA y el partido político ilegalizado Batasuna, como se afirma en la Sentencia, han propugnado ‘una estrategia de convergencia con otras fuerzas de la izquierda abertzale que le[s] permitiera articular una presencia electoral bajo la cobertura de partidos políticos legales’ e, incluso que aquella organización terrorista y el partido ilegalizado hayan dirigido ‘sus esfuerzos a la búsqueda de acuerdos electorales’ con otros partidos políticos” (STC 62/2011, de 5 de mayo, FJ 9).</w:t>
      </w:r>
    </w:p>
    <w:p w:rsidR="00D06117" w:rsidRDefault="00D06117" w:rsidP="00D06117">
      <w:pPr>
        <w:pStyle w:val="TextoNormal"/>
      </w:pPr>
    </w:p>
    <w:p w:rsidR="00D06117" w:rsidRDefault="00D06117" w:rsidP="00D06117">
      <w:pPr>
        <w:pStyle w:val="TextoNormal"/>
      </w:pPr>
      <w:r>
        <w:t>Ahora bien, como dijimos en la citada Sentencia y procede reiterar ahora, de los citados documentos o del resto de los que en el Auto recurrido se citan para acreditar la voluntad defraudadora de ETA y de Batasuna no cabe inferir que hayan instrumentalizado al partido político Sortu para sus fines o que éste se haya dejado instrumentalizar por la organización terrorista y el partido político ilegalizado del modo que constitucionalmente es exigible en este caso para limitar el derecho de asociación. Se trata “de conductas ajenas, en este caso de documentos ajenos, que lo único que acreditan es la referida estrategia de la organización terrorista y del partido político ilegalizado, pero no la instrumentalización del nuevo partido político al servicio de dicha estrategia” (STC 62/2011, de 5 de mayo, FJ 8). Como advertimos, reiterando precedente doctrina constitucional, sentada en la STC 126/1991, de 21 de mayo, “‘la constancia de tal intención de defraudar no es, sin embargo, suficiente para tener por cierta la continuidad entre los partidos disueltos … [y] en este caso [el nuevo partido cuya inscripción se pretende, siendo] preciso, por tanto, que de la prueba obrante en las actuaciones se desprenda también que esta intención ha llegado a materializarse’, esto es, ha culminado en la articulación de [un nuevo partido] al servicio de los intereses electorales del partido ilegalizado”(STC 68/2005, de 31 de mayo, FJ 13).</w:t>
      </w:r>
    </w:p>
    <w:p w:rsidR="00D06117" w:rsidRDefault="00D06117" w:rsidP="00D06117">
      <w:pPr>
        <w:pStyle w:val="TextoNormal"/>
      </w:pPr>
    </w:p>
    <w:p w:rsidR="00D06117" w:rsidRDefault="00D06117" w:rsidP="00D06117">
      <w:pPr>
        <w:pStyle w:val="TextoNormal"/>
      </w:pPr>
      <w:r w:rsidRPr="00D06117">
        <w:rPr>
          <w:rStyle w:val="NumeroAFNegritaCaracter"/>
        </w:rPr>
        <w:t>14</w:t>
      </w:r>
      <w:r>
        <w:t>. A lo hasta ahora dicho ha de añadirse que la limitación para el libre ejercicio del derecho de asociación que supone la denegación de la inscripción controvertida resulta además en este caso desproporcionada a la vista de los instrumentos de control a posteriori de que se ha dotado, mediante las últimas reformas legales, nuestro ordenamiento (STC 62/2011, de 5 de mayo, FJ 13). La existencia de estos remedios posteriores también es ponderada por el Tribunal Europeo de Derechos Humanos en casos como el que ahora nos ocupa para valorar si la declaración de ilegalidad o la negativa a inscribir un partido político constituye una medida proporcionada y necesaria en una sociedad democrática a la luz de los arts. 10 y 11 CEDH (STEDH de 13 de abril de 2006, caso Tsonev contra Bulgaria, §§ 61 a 63).</w:t>
      </w:r>
    </w:p>
    <w:p w:rsidR="00D06117" w:rsidRDefault="00D06117" w:rsidP="00D06117">
      <w:pPr>
        <w:pStyle w:val="TextoNormal"/>
      </w:pPr>
    </w:p>
    <w:p w:rsidR="00D06117" w:rsidRDefault="00D06117" w:rsidP="00D06117">
      <w:pPr>
        <w:pStyle w:val="TextoNormal"/>
      </w:pPr>
      <w:r>
        <w:lastRenderedPageBreak/>
        <w:t>En nuestro ordenamiento, además de poder instarse la disolución o suspensión del partido político que incurra en alguno de los casos previstos al respecto en la legislación de partidos políticos (arts. 10 a 12 LOPP), se han reformado, a través de la Ley Orgánica 3/2011, de 28 de enero, diversos preceptos de la Ley Orgánica 5/1985, de 19 de junio, de régimen electoral general, a fin de evitar, “a la vista de la experiencia acumulada, desde la convicción moral y política de que la democracia puede, con los resortes del Estado de Derecho, dotarse de instrumentos jurídicos para su defensa, y teniendo en cuenta la doctrina del Tribunal Supremo, del Tribunal Constitucional y del Tribunal Europeo de Derechos Humanos, … que formaciones políticas ilegales o quienes justifiquen o apoyan la violencia terrorista puedan utilizar nuevas vías para, fraudulentamente, concurrir a futuros procesos electorales y obtener representación institucional” (preámbulo).</w:t>
      </w:r>
    </w:p>
    <w:p w:rsidR="00D06117" w:rsidRDefault="00D06117" w:rsidP="00D06117">
      <w:pPr>
        <w:pStyle w:val="TextoNormal"/>
      </w:pPr>
    </w:p>
    <w:p w:rsidR="00D06117" w:rsidRDefault="00D06117" w:rsidP="00D06117">
      <w:pPr>
        <w:pStyle w:val="TextoNormal"/>
      </w:pPr>
      <w:r>
        <w:t>A ese conjunto de instrumentos introducidos por nuestro ordenamiento en aras a la consecución de ese objetivo nos hemos referido in extenso en la STC 62/2011, de 5 de mayo (FJ 5), a la que a fin de evitar reiteraciones innecesarias nos remitimos. Es suficiente con traer a colación, a los efectos que aquí interesan, la posibilidad de que el Gobierno, a través de la Abogacía del Estado, y el Ministerio Fiscal puedan presentar desde el día de la votación hasta la proclamación de electos, ante la Sala Especial del Tribunal Supremo del artículo 61 de la Ley Orgánica del Poder Judicial, un escrito motivado anunciando la presentación, en un plazo no superior a quince días, de la demanda de ilegalización o del incidente de ejecución previstos en los arts. 11 y 12.3 LOPP, solicitando la suspensión cautelar de la proclamación de los electos que hubieran concurrido en las candidaturas del partido afectado o en las federaciones o coaliciones por él integrados. Si la resolución que ponga fin al procedimiento declarase la ilegalización del partido o su condición de sucesor de otro ilegalizado, declarará también la no proclamación de los electos que hubieran concurrido en sus candidaturas o coaliciones integradas por él (art. 108 LOREG).</w:t>
      </w:r>
    </w:p>
    <w:p w:rsidR="00D06117" w:rsidRDefault="00D06117" w:rsidP="00D06117">
      <w:pPr>
        <w:pStyle w:val="TextoNormal"/>
      </w:pPr>
    </w:p>
    <w:p w:rsidR="00D06117" w:rsidRDefault="00D06117" w:rsidP="00D06117">
      <w:pPr>
        <w:pStyle w:val="TextoNormal"/>
      </w:pPr>
      <w:r>
        <w:t>También ha de tomarse en consideración la inclusión por la Ley Orgánica 3/2011, de 28 de enero, de una nueva causa de incompatibilidad en el art. 6.4 LOREG, en virtud de la cual “serán incompatibles las personas electas en las candidaturas presentadas por partidos o por federaciones o coaliciones de partidos declarados ilegales con posterioridad por sentencia judicial firme”. Esta nueva causa de incompatibilidad surte efectos en los quince días naturales a contar desde que la Administración electoral permanente se la comunique al interesado, salvo que éste formule voluntariamente ante dicha Administración “una declaración expresa e indubitada de separación y rechazo respecto de las causas determinantes de la declaración de ilegalidad del partido político o del partido integrante de la federación o coalición en cuya candidatura hubiere resultado electo”. Además, si durante el ejercicio de su mandato al que haya accedido tras haber explicitado dicha declaración, la persona electa se retractase, por cualquier medio, de la misma o mostrara contradicción, a través de hechos, omisiones o manifestaciones, respecto de su contenido, quedará definitivamente incursa en dicha causa de incompatibilidad. Este mismo régimen de incompatibilidad es de aplicación a los integrantes de la candidatura de la formación política declarada ilegal que sean llamados a cubrir el escaño vacante, incluidos los suplentes.</w:t>
      </w:r>
    </w:p>
    <w:p w:rsidR="00D06117" w:rsidRDefault="00D06117" w:rsidP="00D06117">
      <w:pPr>
        <w:pStyle w:val="TextoNormal"/>
      </w:pPr>
    </w:p>
    <w:p w:rsidR="00D06117" w:rsidRDefault="00D06117" w:rsidP="00D06117">
      <w:pPr>
        <w:pStyle w:val="TextoNormal"/>
      </w:pPr>
      <w:r>
        <w:t xml:space="preserve">Todas estas medidas —que en modo alguno menoscaban o debilitan las establecidas en la Ley Orgánica de partidos políticos para su eventual aplicación ex ante de unas elecciones, sino que las complementan— ponen de manifiesto la preocupación del legislador por dotar </w:t>
      </w:r>
      <w:r>
        <w:lastRenderedPageBreak/>
        <w:t>al sistema de los instrumentos jurídicos que impidan que los terroristas, o quienes los amparan y protegen, se prevalgan de los beneficios del Estado de Derecho para intentar destruirlo desde el interior de las instituciones democráticas.</w:t>
      </w:r>
    </w:p>
    <w:p w:rsidR="00D06117" w:rsidRDefault="00D06117" w:rsidP="00D06117">
      <w:pPr>
        <w:pStyle w:val="TextoNormal"/>
      </w:pPr>
    </w:p>
    <w:p w:rsidR="00D06117" w:rsidRDefault="00D06117" w:rsidP="00D06117">
      <w:pPr>
        <w:pStyle w:val="TextoNormal"/>
      </w:pPr>
      <w:r w:rsidRPr="00D06117">
        <w:rPr>
          <w:rStyle w:val="NumeroAFNegritaCaracter"/>
        </w:rPr>
        <w:t>15</w:t>
      </w:r>
      <w:r>
        <w:t>. El funcionamiento de estos instrumentos está condicionado a que la actividad de los partidos políticos “vulnere los principios democráticos, particularmente cuando con la misma persiga deteriorar o destruir el régimen de libertades o imposibilitar o eliminar el sistema democrático” (art. 9.1 LOPP), mediante una serie de conductas en las que habrá de apreciarse reiteración y gravedad, y que se sintetizan en el apartado 2 del mismo artículo, pormenorizándose en el siguiente apartado (sobre la necesaria interpretación conjunta de ambos apartados, STC 48/2003, de 12 de marzo, FJ 10).</w:t>
      </w:r>
    </w:p>
    <w:p w:rsidR="00D06117" w:rsidRDefault="00D06117" w:rsidP="00D06117">
      <w:pPr>
        <w:pStyle w:val="TextoNormal"/>
      </w:pPr>
    </w:p>
    <w:p w:rsidR="00D06117" w:rsidRDefault="00D06117" w:rsidP="00D06117">
      <w:pPr>
        <w:pStyle w:val="TextoNormal"/>
      </w:pPr>
      <w:r>
        <w:t>En relación con las mismas este Tribunal Constitucional a la vista de la experiencia acumulada frente a las tentativas de eludir la ilegalización judicialmente decidida, quiere llamar la atención sobre algunas conductas que, por su manifiesto contraste con el principio democrático y el pluralismo político (art. 1 CE), pueden conducir a la ilegalización de una determinada formación política.</w:t>
      </w:r>
    </w:p>
    <w:p w:rsidR="00D06117" w:rsidRDefault="00D06117" w:rsidP="00D06117">
      <w:pPr>
        <w:pStyle w:val="TextoNormal"/>
      </w:pPr>
    </w:p>
    <w:p w:rsidR="00D06117" w:rsidRDefault="00D06117" w:rsidP="00D06117">
      <w:pPr>
        <w:pStyle w:val="TextoNormal"/>
      </w:pPr>
      <w:r>
        <w:t>Así ocurre con las expresiones de equiparación de la violencia terrorista con la coacción legítima que en un Estado de Derecho se reserva a las fuerzas y cuerpos de seguridad del Estado cuando persiguen, detienen y ponen a disposición judicial a los responsables de los delitos de terrorismo; y a los Jueces y Tribunales cuando les condenan en un proceso justo y con todas las garantías. Y es que en una democracia como la implantada por la Constitución de 1978, tal equiparación pugna con el hecho de que en ella pueda defenderse cualquier opción política, siempre que se haga por procedimientos genuinamente democráticos, es decir, sin incurrir en conductas que, tipificadas como delitos, determinan la actuación de las fuerzas de orden público. En este sentido, ya hemos advertido de que no resultan admisibles “comunicados ambiguos y de compromiso sobre la base de una equidistancia entre el Estado y el terror, construida desde la premisa de no ver ninguna diferencia de cualidad entre el poder público —que monopoliza legítimamente la fuerza del Estado— y una banda criminal —cuya violencia sólo es constitutiva de ilícitos penales—, con lo que se pretende que la responsabilidad de ésta quede disminuida o desplazada” (STC 5/2004, de 16 de enero, FJ 18) Es por ello que tampoco resultan admisibles las actuaciones que tengan por objeto cuestionar el deber de las fuerzas policiales de perseguir a los responsables de la violencia terrorista.</w:t>
      </w:r>
    </w:p>
    <w:p w:rsidR="00D06117" w:rsidRDefault="00D06117" w:rsidP="00D06117">
      <w:pPr>
        <w:pStyle w:val="TextoNormal"/>
      </w:pPr>
    </w:p>
    <w:p w:rsidR="00D06117" w:rsidRDefault="00D06117" w:rsidP="00D06117">
      <w:pPr>
        <w:pStyle w:val="TextoNormal"/>
      </w:pPr>
      <w:r>
        <w:t>De igual modo, y por idénticas razones, también implica una justificación implícita del terrorismo, que no puede asumirse en democracia, todo intento de colocar en el mismo plano el sufrimiento infligido a las víctimas de la violencia terrorista y el eventual efecto aflictivo asociado al cumplimiento de la pena impuesta precisamente por la responsabilidad en que incurrieron quienes, recurriendo o justificando el terror, con su comportamiento causaron graves daños no sólo a las víctimas sino a la esencia misma de una sociedad democrática.</w:t>
      </w:r>
    </w:p>
    <w:p w:rsidR="00D06117" w:rsidRDefault="00D06117" w:rsidP="00D06117">
      <w:pPr>
        <w:pStyle w:val="TextoNormal"/>
      </w:pPr>
    </w:p>
    <w:p w:rsidR="00D06117" w:rsidRDefault="00D06117" w:rsidP="00D06117">
      <w:pPr>
        <w:pStyle w:val="TextoNormal"/>
      </w:pPr>
      <w:r>
        <w:t xml:space="preserve">Idéntica calificación han de merecer las actuaciones tendentes a otorgar al terrorismo una legitimación, especialmente si la misma está proyectada a su justificación como medio necesario para alcanzar o avanzar en la consecución de objetivos políticos o cuando se utiliza la situación latente del terrorismo como chantaje para la consecución de objetivos políticos de una organización terrorista por las vías de la presión política y social al margen de los </w:t>
      </w:r>
      <w:r>
        <w:lastRenderedPageBreak/>
        <w:t>cauces pacíficos y democráticos, o exculpando y minimizando su significado y la violación de derechos fundamentales que comporta.</w:t>
      </w:r>
    </w:p>
    <w:p w:rsidR="00D06117" w:rsidRDefault="00D06117" w:rsidP="00D06117">
      <w:pPr>
        <w:pStyle w:val="TextoNormal"/>
      </w:pPr>
    </w:p>
    <w:p w:rsidR="00D06117" w:rsidRDefault="00D06117" w:rsidP="00D06117">
      <w:pPr>
        <w:pStyle w:val="TextoNormal"/>
      </w:pPr>
      <w:r>
        <w:t>La misma significación habrá que dar al ensalzamiento de los autores de acciones terroristas, o su presentación como víctimas o héroes, teniendo especial alcance cuando tales conductas se realicen por quienes, estando en puestos institucionales, las autorizan o toleran, así como la realización de actos públicos que entrañen descrédito, menosprecio o humillación de las víctimas o de sus familiares. En este sentido, hay que subrayar que el reconocimiento a las víctimas del terrorismo se inserta en el conjunto de medidas de deslegitimación social del terrorismo, objetivo al que deben contribuir los grupos y partidos políticos democráticos. Como dice el preámbulo de la Ley 29/2011, de 22 de septiembre, de reconocimiento y protección integral a las víctimas del terrorismo, “los poderes públicos contribuirán al conocimiento de la verdad, atendiendo a las causas reales de victimización y contribuyendo a un relato de lo que sucedió que evite equidistancias morales o políticas, ambigüedades o neutralidades valorativas, que recoja con absoluta claridad la existencia de víctimas y terroristas, de quien ha sufrido el daño y de quien lo ha causado y que favorezca un desenlace en el que las víctimas se sientan apoyadas y respetadas, sin que quepa justificación alguna del terrorismo y de los terroristas.”</w:t>
      </w:r>
    </w:p>
    <w:p w:rsidR="00D06117" w:rsidRDefault="00D06117" w:rsidP="00D06117">
      <w:pPr>
        <w:pStyle w:val="TextoNormal"/>
      </w:pPr>
    </w:p>
    <w:p w:rsidR="00D06117" w:rsidRDefault="00D06117" w:rsidP="00D06117">
      <w:pPr>
        <w:pStyle w:val="TextoNormal"/>
      </w:pPr>
      <w:r>
        <w:t>También ha de entenderse que la actividad de un partido político vulnera los principios democráticos y legitima la violencia terrorista cuando, con manifiesto desprecio del orden constitucional, supedita su rechazo a la consecución negociada de objetivos políticos que sólo pueden alcanzarse en un Estado de Derecho mediante la utilización de procedimientos democráticos. Por ello son conductas que entran en la misma órbita de consideraciones, la incitación al incumplimiento de leyes democráticamente aprobadas, con la específica finalidad de favorecer las actividades de las organizaciones terroristas, en lugar de promover su derogación o modificación por cauces legales, así como cualquier tipo de actuación que contribuya al sostenimiento económico de una organización terrorista.</w:t>
      </w:r>
    </w:p>
    <w:p w:rsidR="00D06117" w:rsidRDefault="00D06117" w:rsidP="00D06117">
      <w:pPr>
        <w:pStyle w:val="TextoNormal"/>
      </w:pPr>
    </w:p>
    <w:p w:rsidR="00D06117" w:rsidRDefault="00D06117" w:rsidP="00D06117">
      <w:pPr>
        <w:pStyle w:val="TextoNormal"/>
      </w:pPr>
      <w:r>
        <w:t>No nos corresponde hacer ahora ninguna otra consideración salvo recordar, a los únicos efectos de lo que a este recurso de amparo interesan, que la apreciación de la concurrencia de tales conductas, a través del conjunto de instrumentos de control a priori y a posteriori de los que se ha dotado nuestro Ordenamiento impone, desde una perspectiva constitucional y en atención a los derechos fundamentales en juego, la existencia de elementos probatorios suficientemente sólidos y cualificados, ya que sobre ellos ha de sustentarse la decisión judicial de declarar que un partido político pretende continuar o suceder la actividad de un partido político ilegalizado y disuelto [art. 12.1 b) LOPP].</w:t>
      </w:r>
    </w:p>
    <w:p w:rsidR="00D06117" w:rsidRDefault="00D06117" w:rsidP="00D06117">
      <w:pPr>
        <w:pStyle w:val="TextoNormal"/>
      </w:pPr>
    </w:p>
    <w:p w:rsidR="00D06117" w:rsidRDefault="00D06117" w:rsidP="00D06117">
      <w:pPr>
        <w:pStyle w:val="TextoNormal"/>
      </w:pPr>
      <w:r w:rsidRPr="00D06117">
        <w:rPr>
          <w:rStyle w:val="NumeroAFNegritaCaracter"/>
        </w:rPr>
        <w:t>16</w:t>
      </w:r>
      <w:r>
        <w:t>. Los precedentes razonamientos conducen a concluir que el Auto recurrido, al declarar la improcedencia de la constitución del partido político Sortu por entender que es continuidad o sucesión del partido político declarado ilegal y disuelto Batasuna, denegando, en consecuencia, su inscripción en el Registro de partidos políticos, ha vulnerado el derecho de asociación de los recurrentes, en su vertiente de libertad de la creación de partidos políticos (art. 22 CE, en relación con el art. 6 CE).</w:t>
      </w:r>
    </w:p>
    <w:p w:rsidR="00D06117" w:rsidRDefault="00D06117" w:rsidP="00D06117">
      <w:pPr>
        <w:pStyle w:val="TextoNormal"/>
      </w:pPr>
    </w:p>
    <w:p w:rsidR="00D06117" w:rsidRDefault="00D06117" w:rsidP="00D06117">
      <w:pPr>
        <w:pStyle w:val="TextoNormal"/>
      </w:pPr>
      <w:r>
        <w:t xml:space="preserve">La estimación de la demanda de amparo ha de determinar la declaración de nulidad del Auto de la Sala Especial del Tribunal Supremo del artículo 61 de la Ley Orgánica del Poder Judicial, de 30 de marzo de 2011, y el reconocimiento del derecho de los recurrentes a que </w:t>
      </w:r>
      <w:r>
        <w:lastRenderedPageBreak/>
        <w:t>se inscriba al partido político Sortu en el Registro de partidos políticos del Ministerio del Interior, si se satisfacen los demás requisitos legales establecidos en la Ley Orgánica de partidos políticos para la inscripción de los partidos políticos.</w:t>
      </w:r>
    </w:p>
    <w:p w:rsidR="00D06117" w:rsidRDefault="00D06117" w:rsidP="00D06117">
      <w:pPr>
        <w:pStyle w:val="TextoNormal"/>
      </w:pPr>
    </w:p>
    <w:p w:rsidR="00D06117" w:rsidRDefault="00D06117" w:rsidP="00D06117">
      <w:pPr>
        <w:pStyle w:val="TextoNormalCentrado"/>
        <w:keepNext/>
      </w:pPr>
      <w:r>
        <w:t>FALLO</w:t>
      </w:r>
    </w:p>
    <w:p w:rsidR="00D06117" w:rsidRDefault="00D06117" w:rsidP="00D06117">
      <w:pPr>
        <w:pStyle w:val="TextoNormalCentrado"/>
        <w:keepNext/>
      </w:pPr>
    </w:p>
    <w:p w:rsidR="00D06117" w:rsidRDefault="00D06117" w:rsidP="00D06117">
      <w:pPr>
        <w:pStyle w:val="TextoNormal"/>
      </w:pPr>
      <w:r>
        <w:t>En atención a todo lo expuesto, el Tribunal Constitucional, POR LA AUTORIDAD QUE LE CONFIERE LA CONSTITUCIÓN DE LA NACIÓN ESPAÑOLA,</w:t>
      </w:r>
    </w:p>
    <w:p w:rsidR="00D06117" w:rsidRDefault="00D06117" w:rsidP="00D06117">
      <w:pPr>
        <w:pStyle w:val="TextoNormal"/>
      </w:pPr>
    </w:p>
    <w:p w:rsidR="00D06117" w:rsidRDefault="00D06117" w:rsidP="00D06117">
      <w:pPr>
        <w:pStyle w:val="TextoNormalCentrado"/>
        <w:keepNext/>
      </w:pPr>
      <w:r>
        <w:t>Ha decidido</w:t>
      </w:r>
    </w:p>
    <w:p w:rsidR="00D06117" w:rsidRDefault="00D06117" w:rsidP="00D06117">
      <w:pPr>
        <w:pStyle w:val="TextoNormalCentrado"/>
        <w:keepNext/>
      </w:pPr>
    </w:p>
    <w:p w:rsidR="00D06117" w:rsidRDefault="00D06117" w:rsidP="00D06117">
      <w:pPr>
        <w:pStyle w:val="TextoNormal"/>
      </w:pPr>
      <w:r>
        <w:t>Estimar la presente demanda de amparo promovida por doña Miren Karmele Agirregabiria Agirre, don José Javier Artola Zubillaga, doña Maider Etxebarria Akaiturri, doña Raquel Sáez de Cámara y, en su virtud:</w:t>
      </w:r>
    </w:p>
    <w:p w:rsidR="00D06117" w:rsidRDefault="00D06117" w:rsidP="00D06117">
      <w:pPr>
        <w:pStyle w:val="TextoNormal"/>
      </w:pPr>
    </w:p>
    <w:p w:rsidR="00D06117" w:rsidRDefault="00D06117" w:rsidP="00D06117">
      <w:pPr>
        <w:pStyle w:val="TextoNormal"/>
      </w:pPr>
      <w:r>
        <w:t>1º. Declarar vulnerado el derecho de asociación de los recurrentes, en su vertiente de libertad de creación de partidos políticos (art. 22 CE, en relación con su art. 6 CE).</w:t>
      </w:r>
    </w:p>
    <w:p w:rsidR="00D06117" w:rsidRDefault="00D06117" w:rsidP="00D06117">
      <w:pPr>
        <w:pStyle w:val="TextoNormal"/>
      </w:pPr>
    </w:p>
    <w:p w:rsidR="00D06117" w:rsidRDefault="00D06117" w:rsidP="00D06117">
      <w:pPr>
        <w:pStyle w:val="TextoNormal"/>
      </w:pPr>
      <w:r>
        <w:t>2º. Restablecerlos en su derecho y, a tal fin, declarar la nulidad del Auto de la Sala Especial del Tribunal Supremo del artículo 61 de la Ley Orgánica del Poder Judicial, de 30 de marzo de 2011, por el que se declaró la improcedencia de la constitución del partido político Sortu por ser continuidad o sucesión del partido político declarado ilegal y disuelto Batasuna y se denegó su inscripción en el Registro de partidos políticos, reconociendo a los recurrentes el derecho a la inscripción de dicho partido político, en los términos previstos en el fundamento jurídico 16.</w:t>
      </w:r>
    </w:p>
    <w:p w:rsidR="00D06117" w:rsidRDefault="00D06117" w:rsidP="00D06117">
      <w:pPr>
        <w:pStyle w:val="TextoNormal"/>
      </w:pPr>
    </w:p>
    <w:p w:rsidR="00D06117" w:rsidRDefault="00D06117" w:rsidP="00D06117">
      <w:pPr>
        <w:pStyle w:val="TextoNormal"/>
      </w:pPr>
      <w:r>
        <w:t>Publíquese esta Sentencia en el “Boletín Oficial del Estado”.</w:t>
      </w:r>
    </w:p>
    <w:p w:rsidR="00D06117" w:rsidRDefault="00D06117" w:rsidP="00D06117">
      <w:pPr>
        <w:pStyle w:val="TextoNormal"/>
      </w:pPr>
      <w:r>
        <w:t>Dada en Madrid, a veinte de junio de dos mil doce.</w:t>
      </w:r>
    </w:p>
    <w:p w:rsidR="00D06117" w:rsidRDefault="00D06117" w:rsidP="00D06117">
      <w:pPr>
        <w:pStyle w:val="ParrafoNormal"/>
      </w:pPr>
    </w:p>
    <w:p w:rsidR="00D06117" w:rsidRDefault="00D06117" w:rsidP="00D06117">
      <w:pPr>
        <w:pStyle w:val="TextoNormalNegritaCentrado"/>
        <w:keepNext/>
      </w:pPr>
      <w:r>
        <w:t>Voto particular que formula el Magistrado don Javier Delgado Barrio respecto de la Sentencia de 20 de junio de 2012, dictada en el recurso de amparo avocado a Pleno 2891-2011.</w:t>
      </w:r>
    </w:p>
    <w:p w:rsidR="00D06117" w:rsidRDefault="00D06117" w:rsidP="00D06117">
      <w:pPr>
        <w:pStyle w:val="TextoNormalNegritaCentrado"/>
        <w:keepNext/>
      </w:pPr>
    </w:p>
    <w:p w:rsidR="00D06117" w:rsidRDefault="00D06117" w:rsidP="00D06117">
      <w:pPr>
        <w:pStyle w:val="TextoNormal"/>
      </w:pPr>
      <w:r>
        <w:t>Con pleno respeto a los compañeros de cuyo razonamiento y, por tanto, de su conclusión, discrepo, dejo constancia sucintamente de los fundamentos de mi posición. Creo, con la perspectiva propia de esta jurisdicción constitucional, que la Sentencia de la Sala del art. 61 de la Ley Orgánica del Poder Judicial (LOPJ) del Tribunal Supremo ha resuelto las cuestiones planteadas sin vulnerar en modo alguno el derecho de asociación de los recurrentes, en su vertiente de libertad de creación de partidos políticos —art. 22 CE, en relación con el art. 6 CE—.</w:t>
      </w:r>
    </w:p>
    <w:p w:rsidR="00D06117" w:rsidRDefault="00D06117" w:rsidP="00D06117">
      <w:pPr>
        <w:pStyle w:val="TextoNormal"/>
      </w:pPr>
    </w:p>
    <w:p w:rsidR="00D06117" w:rsidRDefault="00D06117" w:rsidP="00D06117">
      <w:pPr>
        <w:pStyle w:val="TextoNormal"/>
      </w:pPr>
      <w:r>
        <w:t>1. La Sentencia de la que discrepo desborda los límites de la jurisdicción constitucional y en un claro exceso invade el campo que el art. 117.3 CE encomienda en exclusiva a la jurisdicción ordinaria.</w:t>
      </w:r>
    </w:p>
    <w:p w:rsidR="00D06117" w:rsidRDefault="00D06117" w:rsidP="00D06117">
      <w:pPr>
        <w:pStyle w:val="TextoNormal"/>
      </w:pPr>
    </w:p>
    <w:p w:rsidR="00D06117" w:rsidRDefault="00D06117" w:rsidP="00D06117">
      <w:pPr>
        <w:pStyle w:val="TextoNormal"/>
      </w:pPr>
      <w:r>
        <w:t xml:space="preserve">En efecto, mientras que el Tribunal Supremo ha entendido que “existe una prueba contundente y completa de la existencia de un intento de fraude perpetrado por la organización </w:t>
      </w:r>
      <w:r>
        <w:lastRenderedPageBreak/>
        <w:t>terrorista —ETA— en connivencia con su brazo político —Batasuna— para participar en la vida política instrumentalizando otra formación de ‘nueva creación’—Sortu—”, por el contrario, la Sentencia que refleja el parecer de la mayoría, con un planteamiento distinto al del Tribunal Supremo y con una nueva valoración de la prueba, considera que esa conclusión es fruto de una mera “sospecha”. Así pues, para el Tribunal Supremo, “prueba contundente y completa” y, en cambio, para la Sentencia del Tribunal Constitucional, simple “sospecha”.</w:t>
      </w:r>
    </w:p>
    <w:p w:rsidR="00D06117" w:rsidRDefault="00D06117" w:rsidP="00D06117">
      <w:pPr>
        <w:pStyle w:val="TextoNormal"/>
      </w:pPr>
    </w:p>
    <w:p w:rsidR="00D06117" w:rsidRDefault="00D06117" w:rsidP="00D06117">
      <w:pPr>
        <w:pStyle w:val="TextoNormal"/>
      </w:pPr>
      <w:r>
        <w:t>Y es que la Sentencia de la que discrepo parte del texto de los estatutos de Sortu que contienen un expreso rechazo de la violencia, incluida la de ETA, a lo que reconoce una importancia fundamental. Pero los estatutos son palabras, de modo que cuando el conjunto de los hechos probados, como señala el Tribunal Supremo, “desvirtúa por completo la realidad de tales manifestaciones”, las palabras saltan hechas trizas. No lo ha entendido así la mayoría que ha dado lugar a esta decisión del Pleno y aquí está la raíz de mi discrepancia, como señalaré en el punto 4 de este Voto.</w:t>
      </w:r>
    </w:p>
    <w:p w:rsidR="00D06117" w:rsidRDefault="00D06117" w:rsidP="00D06117">
      <w:pPr>
        <w:pStyle w:val="TextoNormal"/>
      </w:pPr>
    </w:p>
    <w:p w:rsidR="00D06117" w:rsidRDefault="00D06117" w:rsidP="00D06117">
      <w:pPr>
        <w:pStyle w:val="TextoNormal"/>
      </w:pPr>
      <w:r>
        <w:t>2. Importa destacar, ante todo, el contenido propio de esta jurisdicción constitucional que, cuando está en juego “la efectividad del ejercicio de un derecho fundamental”, está dirigido a la verificación de “la consistencia que, en términos constitucionales, ofrece la convicción judicial alcanzada en el proceso previo en punto a la naturaleza fraudulenta” de la operación, para lo cual hemos de aplicar “un canon decisorio cuyo contenido ha de depender de la apreciación conjunta de una pluralidad de magnitudes y referencias que permitan inferir, de modo razonable y no arbitrario” el acierto de la decisión del órgano jurisdiccional a quo, de modo que “solo nos cabe revisar la apreciación de la Sala del art. 61 LOPJ en aquellos supuestos en los que, desde los propios criterios interpretativos asumidos por el Tribunal Supremo, la convicción alcanzada pugne con un derecho constitucionalmente relevante” (STC 112/2007, de 10 de mayo, FJ 7).</w:t>
      </w:r>
    </w:p>
    <w:p w:rsidR="00D06117" w:rsidRDefault="00D06117" w:rsidP="00D06117">
      <w:pPr>
        <w:pStyle w:val="TextoNormal"/>
      </w:pPr>
    </w:p>
    <w:p w:rsidR="00D06117" w:rsidRDefault="00D06117" w:rsidP="00D06117">
      <w:pPr>
        <w:pStyle w:val="TextoNormal"/>
      </w:pPr>
      <w:r>
        <w:t>Sobre esta base, ha de señalarse:</w:t>
      </w:r>
    </w:p>
    <w:p w:rsidR="00D06117" w:rsidRDefault="00D06117" w:rsidP="00D06117">
      <w:pPr>
        <w:pStyle w:val="TextoNormal"/>
      </w:pPr>
    </w:p>
    <w:p w:rsidR="00D06117" w:rsidRDefault="00D06117" w:rsidP="00D06117">
      <w:pPr>
        <w:pStyle w:val="TextoNormal"/>
      </w:pPr>
      <w:r>
        <w:t>a) La actividad dirigida a obtener la continuación o sucesión de un partido político ilegalizado, obviamente, se desarrolla ocultándola, de modo que son claras “las dificultades inherentes al descubrimiento de toda trama defraudatoria” (STC 112/2007, de 10 de mayo, FJ 8), lo que dota de especial relieve a la prueba indiciaria.</w:t>
      </w:r>
    </w:p>
    <w:p w:rsidR="00D06117" w:rsidRDefault="00D06117" w:rsidP="00D06117">
      <w:pPr>
        <w:pStyle w:val="TextoNormal"/>
      </w:pPr>
    </w:p>
    <w:p w:rsidR="00D06117" w:rsidRDefault="00D06117" w:rsidP="00D06117">
      <w:pPr>
        <w:pStyle w:val="TextoNormal"/>
      </w:pPr>
      <w:r>
        <w:t>b) Cuando se trata de dar continuidad a un partido político ilegalizado, las tentativas frustradas con anterioridad, como ocurre en este caso, pueden “avalar también, en tanto que indicio, una línea de continuidad en esa tentativa defraudatoria” (STC 112/2007, de 10 de mayo, FJ 8).</w:t>
      </w:r>
    </w:p>
    <w:p w:rsidR="00D06117" w:rsidRDefault="00D06117" w:rsidP="00D06117">
      <w:pPr>
        <w:pStyle w:val="TextoNormal"/>
      </w:pPr>
    </w:p>
    <w:p w:rsidR="00D06117" w:rsidRDefault="00D06117" w:rsidP="00D06117">
      <w:pPr>
        <w:pStyle w:val="TextoNormal"/>
      </w:pPr>
      <w:r>
        <w:t>3. Así pues, no se trata en esta jurisdicción constitucional de valorar la prueba para concluir si Sortu es o no continuación o sucesión de partidos ilegalizados, sino sólo de verificar si la conclusión del Auto recurrido está o no motivada y razonada suficientemente.</w:t>
      </w:r>
    </w:p>
    <w:p w:rsidR="00D06117" w:rsidRDefault="00D06117" w:rsidP="00D06117">
      <w:pPr>
        <w:pStyle w:val="TextoNormal"/>
      </w:pPr>
    </w:p>
    <w:p w:rsidR="00D06117" w:rsidRDefault="00D06117" w:rsidP="00D06117">
      <w:pPr>
        <w:pStyle w:val="TextoNormal"/>
      </w:pPr>
      <w:r>
        <w:t>Por ello toda la referencia que a continuación he de hacer a la prueba practicada y que considero necesaria para fundar mi opinión sobre la valoración hecha por la Sala del art. 61 LOPJ, tendrá un carácter puramente descriptivo.</w:t>
      </w:r>
    </w:p>
    <w:p w:rsidR="00D06117" w:rsidRDefault="00D06117" w:rsidP="00D06117">
      <w:pPr>
        <w:pStyle w:val="TextoNormal"/>
      </w:pPr>
    </w:p>
    <w:p w:rsidR="00D06117" w:rsidRDefault="00D06117" w:rsidP="00D06117">
      <w:pPr>
        <w:pStyle w:val="TextoNormal"/>
      </w:pPr>
      <w:r>
        <w:lastRenderedPageBreak/>
        <w:t>Ante todo, el Tribunal Supremo ha examinado dos conjuntos de documentos: a) en el primero se integran los denominados “Halboka”, que es “una estructura orgánica de la banda terrorista ETA” (fundamento jurídico 6 del Auto impugnado); y b) en el segundo se incluyen los que reflejan “la estrategia de Batasuna” (fundamento jurídico 7 de dicho Auto).</w:t>
      </w:r>
    </w:p>
    <w:p w:rsidR="00D06117" w:rsidRDefault="00D06117" w:rsidP="00D06117">
      <w:pPr>
        <w:pStyle w:val="TextoNormal"/>
      </w:pPr>
    </w:p>
    <w:p w:rsidR="00D06117" w:rsidRDefault="00D06117" w:rsidP="00D06117">
      <w:pPr>
        <w:pStyle w:val="TextoNormal"/>
      </w:pPr>
      <w:r>
        <w:t>Con una minuciosa argumentación, perfectamente razonable, la indicada prueba documental lleva a la Sala del Supremo a la conclusión de que la Izquierda Abertzale, con mayúsculas, claramente identificada con Batasuna y distinta de la izquierda abertzale, con minúsculas, que es un “movimiento perfectamente legítimo”, se encontraba “debilitada”, “asfixiada” y con un “desgaste infinito” como consecuencia de la ilegalización de Batasuna, de modo que para conseguir los fines de ETA era necesaria la formación de un nuevo partido político, heredero de Batasuna, que actuaría en la vida política bajo la dirección de ETA, “garante activo” y “custodio” de las actividades a desarrollar.</w:t>
      </w:r>
    </w:p>
    <w:p w:rsidR="00D06117" w:rsidRDefault="00D06117" w:rsidP="00D06117">
      <w:pPr>
        <w:pStyle w:val="TextoNormal"/>
      </w:pPr>
    </w:p>
    <w:p w:rsidR="00D06117" w:rsidRDefault="00D06117" w:rsidP="00D06117">
      <w:pPr>
        <w:pStyle w:val="TextoNormal"/>
      </w:pPr>
      <w:r>
        <w:t>Del conjunto de los numerosos documentos incluidos en los dos apartados mencionados, deduce el Tribunal Supremo —éste es el primero de los indicios que recoge el Auto impugnado— la existencia de una voluntad defraudatoria, tendente a la creación de un nuevo partido político, heredero de Batasuna, conservando ETA su función de “custodio” del movimiento.</w:t>
      </w:r>
    </w:p>
    <w:p w:rsidR="00D06117" w:rsidRDefault="00D06117" w:rsidP="00D06117">
      <w:pPr>
        <w:pStyle w:val="TextoNormal"/>
      </w:pPr>
    </w:p>
    <w:p w:rsidR="00D06117" w:rsidRDefault="00D06117" w:rsidP="00D06117">
      <w:pPr>
        <w:pStyle w:val="TextoNormal"/>
      </w:pPr>
      <w:r>
        <w:t>Y es de añadir que la existencia de esa voluntad defraudatoria, observa el Auto recurrido, se corrobora por las declaraciones de presuntos miembros de la organización terrorista Ekin (fundamento jurídico 10) y de miembros destacadas de la ilegalizada Batasuna (fundamento jurídico 11).</w:t>
      </w:r>
    </w:p>
    <w:p w:rsidR="00D06117" w:rsidRDefault="00D06117" w:rsidP="00D06117">
      <w:pPr>
        <w:pStyle w:val="TextoNormal"/>
      </w:pPr>
    </w:p>
    <w:p w:rsidR="00D06117" w:rsidRDefault="00D06117" w:rsidP="00D06117">
      <w:pPr>
        <w:pStyle w:val="TextoNormal"/>
      </w:pPr>
      <w:r>
        <w:t>Por otra parte, el Auto del Tribunal Supremo destaca dos documentos porque integran un primer indicio de la conexión subjetiva Sortu-ETA:</w:t>
      </w:r>
    </w:p>
    <w:p w:rsidR="00D06117" w:rsidRDefault="00D06117" w:rsidP="00D06117">
      <w:pPr>
        <w:pStyle w:val="TextoNormal"/>
      </w:pPr>
    </w:p>
    <w:p w:rsidR="00D06117" w:rsidRDefault="00D06117" w:rsidP="00D06117">
      <w:pPr>
        <w:pStyle w:val="TextoNormal"/>
      </w:pPr>
      <w:r>
        <w:t>El denominado “Proceso Democrático”, atribuido a ETA por razón del contenido y lugar donde fue intervenido —despacho profesional de Arantza Zulueta Amuchastegui, alias “Matraka”, “Marxel” y “Bixer”—, y el que lleva como rúbrica “Zutik Euskal Herria” que el Letrado de Sortu, en el acto de la vista consideró “esencial”, destacando su “importancia” y “relevancia”, dato este que subraya el Auto recurrido para ligar el documento con Sortu. Pues bien, entre ambos documentos, el atribuido a ETA y el que es considerado esencial por el Letrado de Sortu, aprecia la Sala del Supremo “importantes coincidencias terminológicas”, “una semejanza sustancial” y “una identidad procedimental, terminológica y de conceptos que evidencian” que Zutik Euskal Herria es “la plasmación de las ideas centrales contenidas en el documento de estrategia de ETA denominado Proceso Democrático … y son demasiadas coincidencias … como para considerar que es fruto de la casualidad”.</w:t>
      </w:r>
    </w:p>
    <w:p w:rsidR="00D06117" w:rsidRDefault="00D06117" w:rsidP="00D06117">
      <w:pPr>
        <w:pStyle w:val="TextoNormal"/>
      </w:pPr>
    </w:p>
    <w:p w:rsidR="00D06117" w:rsidRDefault="00D06117" w:rsidP="00D06117">
      <w:pPr>
        <w:pStyle w:val="TextoNormal"/>
      </w:pPr>
      <w:r>
        <w:t>Así pues, voluntad defraudatoria y también ya un indicio que apunta que “Sortu es la plasmación del designio de Batasuna de constituir un nuevo partido político para que le suceda en su actividad”. En relación con este último extremo los datos examinados son los siguientes:</w:t>
      </w:r>
    </w:p>
    <w:p w:rsidR="00D06117" w:rsidRDefault="00D06117" w:rsidP="00D06117">
      <w:pPr>
        <w:pStyle w:val="TextoNormal"/>
      </w:pPr>
    </w:p>
    <w:p w:rsidR="00D06117" w:rsidRDefault="00D06117" w:rsidP="00D06117">
      <w:pPr>
        <w:pStyle w:val="TextoNormal"/>
      </w:pPr>
      <w:r>
        <w:t xml:space="preserve">a) El acto organizado en el Hotel Tres Reyes de Pamplona por un miembro de la Mesa Nacional de Batasuna y al que acudieron numerosas personas que habían “desempeñado </w:t>
      </w:r>
      <w:r>
        <w:lastRenderedPageBreak/>
        <w:t>puestos orgánicos de la dirección o representativas de los partidos políticos ilegalizados” —veintitrés habían formado parte en alguna ocasión de la indicada Mesa Nacional—.</w:t>
      </w:r>
    </w:p>
    <w:p w:rsidR="00D06117" w:rsidRDefault="00D06117" w:rsidP="00D06117">
      <w:pPr>
        <w:pStyle w:val="TextoNormal"/>
      </w:pPr>
    </w:p>
    <w:p w:rsidR="00D06117" w:rsidRDefault="00D06117" w:rsidP="00D06117">
      <w:pPr>
        <w:pStyle w:val="TextoNormal"/>
      </w:pPr>
      <w:r>
        <w:t>Asistieron dos personas que días después procederían a la presentación de Sortu, como partido político.</w:t>
      </w:r>
    </w:p>
    <w:p w:rsidR="00D06117" w:rsidRDefault="00D06117" w:rsidP="00D06117">
      <w:pPr>
        <w:pStyle w:val="TextoNormal"/>
      </w:pPr>
    </w:p>
    <w:p w:rsidR="00D06117" w:rsidRDefault="00D06117" w:rsidP="00D06117">
      <w:pPr>
        <w:pStyle w:val="TextoNormal"/>
      </w:pPr>
      <w:r>
        <w:t>b) La presentación del nuevo partido político, sin denominarlo Sortu, en el Palacio Euskalduna de Bilbao, el 7 de febrero de 2011.</w:t>
      </w:r>
    </w:p>
    <w:p w:rsidR="00D06117" w:rsidRDefault="00D06117" w:rsidP="00D06117">
      <w:pPr>
        <w:pStyle w:val="TextoNormal"/>
      </w:pPr>
    </w:p>
    <w:p w:rsidR="00D06117" w:rsidRDefault="00D06117" w:rsidP="00D06117">
      <w:pPr>
        <w:pStyle w:val="TextoNormal"/>
      </w:pPr>
      <w:r>
        <w:t>Organizado el acto por el responsable de comunicación de Batasuna, intervino un miembro de su Mesa Nacional, asistiendo al mismo una amplia representación de dirigentes de la ilegalizada Batasuna —diecinueve de ellos habían formado a parte en alguna ocasión de sus diferentes Mesas Nacionales—.</w:t>
      </w:r>
    </w:p>
    <w:p w:rsidR="00D06117" w:rsidRDefault="00D06117" w:rsidP="00D06117">
      <w:pPr>
        <w:pStyle w:val="TextoNormal"/>
      </w:pPr>
    </w:p>
    <w:p w:rsidR="00D06117" w:rsidRDefault="00D06117" w:rsidP="00D06117">
      <w:pPr>
        <w:pStyle w:val="TextoNormal"/>
      </w:pPr>
      <w:r>
        <w:t>En este acto “se presentaban” los estatutos de Sortu, o al menos su “contenido esencial”.</w:t>
      </w:r>
    </w:p>
    <w:p w:rsidR="00D06117" w:rsidRDefault="00D06117" w:rsidP="00D06117">
      <w:pPr>
        <w:pStyle w:val="TextoNormal"/>
      </w:pPr>
    </w:p>
    <w:p w:rsidR="00D06117" w:rsidRDefault="00D06117" w:rsidP="00D06117">
      <w:pPr>
        <w:pStyle w:val="TextoNormal"/>
      </w:pPr>
      <w:r>
        <w:t>c) Y al día siguiente, 8 de febrero de 2011, presentación de Sortu por sus promotores.</w:t>
      </w:r>
    </w:p>
    <w:p w:rsidR="00D06117" w:rsidRDefault="00D06117" w:rsidP="00D06117">
      <w:pPr>
        <w:pStyle w:val="TextoNormal"/>
      </w:pPr>
    </w:p>
    <w:p w:rsidR="00D06117" w:rsidRDefault="00D06117" w:rsidP="00D06117">
      <w:pPr>
        <w:pStyle w:val="TextoNormal"/>
      </w:pPr>
      <w:r>
        <w:t>El acto tuvo lugar también en el Hotel Euskalduna de Bilbao. Y con “todos los actos descritos concatenados en el tiempo”, destaca la Sala del art. 61 LOPJ, que las declaraciones programáticas contenidas en el documento “Hacia un nuevo proyecto político y organizativo” presentado en el Hotel Tres Reyes son coincidentes con los estatutos de Sortu en lo esencial y se ajustan a la línea estratégica marcada por la ilegalizada Batasuna en el documento “Zutik Euskal Herria”.</w:t>
      </w:r>
    </w:p>
    <w:p w:rsidR="00D06117" w:rsidRDefault="00D06117" w:rsidP="00D06117">
      <w:pPr>
        <w:pStyle w:val="TextoNormal"/>
      </w:pPr>
    </w:p>
    <w:p w:rsidR="00D06117" w:rsidRDefault="00D06117" w:rsidP="00D06117">
      <w:pPr>
        <w:pStyle w:val="TextoNormal"/>
      </w:pPr>
      <w:r>
        <w:t>Así las cosas y con el conjunto de los elementos probatorios obrantes en los autos, la Sala estima que “Sortu nace en Batasuna para permitir el acceso de este partido ilegalizado a las instituciones democráticas”. Y a lo expuesto añade la Sala el examen de varios comunicados de ETA, cuyo contenido en el marco temporal en que se producen y en el contexto en que se desarrolla la nueva línea política de la Izquierda Abertzale ilegalizada —Batasuna—, resulta revelador para el Supremo de que, como en intentos anteriores, existe una unidad de actuación ETA/Batasuna, conservando ETA la “tutela” del desarrollo de toda la actuación.</w:t>
      </w:r>
    </w:p>
    <w:p w:rsidR="00D06117" w:rsidRDefault="00D06117" w:rsidP="00D06117">
      <w:pPr>
        <w:pStyle w:val="TextoNormal"/>
      </w:pPr>
    </w:p>
    <w:p w:rsidR="00D06117" w:rsidRDefault="00D06117" w:rsidP="00D06117">
      <w:pPr>
        <w:pStyle w:val="TextoNormal"/>
      </w:pPr>
      <w:r>
        <w:t>Con todos los elementos probatorios recogidos hasta ahora la Sala del art. 61 LOPJ llega a una conclusión, todavía provisional: “Sortu es, una vez más, la concreción de una estrategia defraudatoria puesta en marcha, precisamente, desde la propia ETA en connivencia con la cúpula de Batasuna a fin de conseguir eludir la LOPP y las consecuencias de la ilegalización decretada en 2003”.</w:t>
      </w:r>
    </w:p>
    <w:p w:rsidR="00D06117" w:rsidRDefault="00D06117" w:rsidP="00D06117">
      <w:pPr>
        <w:pStyle w:val="TextoNormal"/>
      </w:pPr>
    </w:p>
    <w:p w:rsidR="00D06117" w:rsidRDefault="00D06117" w:rsidP="00D06117">
      <w:pPr>
        <w:pStyle w:val="TextoNormal"/>
      </w:pPr>
      <w:r>
        <w:t>Y ya en este punto el Auto recurrido examina el contraindicio que podría representar el rechazo de la violencia contenida en los estatutos de Sortu.</w:t>
      </w:r>
    </w:p>
    <w:p w:rsidR="00D06117" w:rsidRDefault="00D06117" w:rsidP="00D06117">
      <w:pPr>
        <w:pStyle w:val="TextoNormal"/>
      </w:pPr>
    </w:p>
    <w:p w:rsidR="00D06117" w:rsidRDefault="00D06117" w:rsidP="00D06117">
      <w:pPr>
        <w:pStyle w:val="TextoNormal"/>
      </w:pPr>
      <w:r>
        <w:t>Pues bien, en el documento “Earen proposamenaz II.rtf”, incluido en el conjunto “Halboka”, ETA formula un manual de instrucciones relativas a la denuncia de la violencia, incluidas las “ekintzas” cometidas por la propia banda criminal ETA, de suerte que tales denuncias tienen para la Sala del art. 61 LPOJ un carácter instrumental, aparente y “meramente acomodaticio”.</w:t>
      </w:r>
    </w:p>
    <w:p w:rsidR="00D06117" w:rsidRDefault="00D06117" w:rsidP="00D06117">
      <w:pPr>
        <w:pStyle w:val="TextoNormal"/>
      </w:pPr>
    </w:p>
    <w:p w:rsidR="00D06117" w:rsidRDefault="00D06117" w:rsidP="00D06117">
      <w:pPr>
        <w:pStyle w:val="TextoNormal"/>
      </w:pPr>
      <w:r>
        <w:lastRenderedPageBreak/>
        <w:t>Así las cosas, la “abundante y contundente prueba practicada”, a juicio del Supremo, “desvirtúa por completo la realidad de tales manifestaciones”, de modo que el rechazo estatutario de la violencia es un “elemento del engaño en que todo fraude consiste”, por lo que “ninguna eficacia sanadora” puede tener.</w:t>
      </w:r>
    </w:p>
    <w:p w:rsidR="00D06117" w:rsidRDefault="00D06117" w:rsidP="00D06117">
      <w:pPr>
        <w:pStyle w:val="TextoNormal"/>
      </w:pPr>
    </w:p>
    <w:p w:rsidR="00D06117" w:rsidRDefault="00D06117" w:rsidP="00D06117">
      <w:pPr>
        <w:pStyle w:val="TextoNormal"/>
      </w:pPr>
      <w:r>
        <w:t>En definitiva, una vez examinados primero los indicios y después el contraindicio, el Tribunal Supremo concluye: “existe una prueba contundente y completa de la existencia de un intento de fraude perpetrado por una organización terrorista —ETA— en connivencia con su brazo político —Batasuna— para participar en la vida política, instrumentalizando otra formación de nueva creación —Sortu—”.</w:t>
      </w:r>
    </w:p>
    <w:p w:rsidR="00D06117" w:rsidRDefault="00D06117" w:rsidP="00D06117">
      <w:pPr>
        <w:pStyle w:val="TextoNormal"/>
      </w:pPr>
    </w:p>
    <w:p w:rsidR="00D06117" w:rsidRDefault="00D06117" w:rsidP="00D06117">
      <w:pPr>
        <w:pStyle w:val="TextoNormal"/>
      </w:pPr>
      <w:r>
        <w:t>Y partiendo del contenido que es propio de esta jurisdicción constitucional, creo que la argumentación con la que el Auto recurrido llega a la conclusión indicada es una motivación suficiente, razonable y no arbitraria.</w:t>
      </w:r>
    </w:p>
    <w:p w:rsidR="00D06117" w:rsidRDefault="00D06117" w:rsidP="00D06117">
      <w:pPr>
        <w:pStyle w:val="TextoNormal"/>
      </w:pPr>
    </w:p>
    <w:p w:rsidR="00D06117" w:rsidRDefault="00D06117" w:rsidP="00D06117">
      <w:pPr>
        <w:pStyle w:val="TextoNormal"/>
      </w:pPr>
      <w:r>
        <w:t>4. La Sentencia de la que discrepo, olvidando el cometido propio de la jurisdicción constitucional, es, pura y sencillamente, una nueva valoración de la prueba, es decir, un exceso de jurisdicción que invade el campo exclusivo de la jurisdicción ordinaria (art. 117.3 CE).</w:t>
      </w:r>
    </w:p>
    <w:p w:rsidR="00D06117" w:rsidRDefault="00D06117" w:rsidP="00D06117">
      <w:pPr>
        <w:pStyle w:val="TextoNormal"/>
      </w:pPr>
    </w:p>
    <w:p w:rsidR="00D06117" w:rsidRDefault="00D06117" w:rsidP="00D06117">
      <w:pPr>
        <w:pStyle w:val="TextoNormal"/>
      </w:pPr>
      <w:r>
        <w:t>Lo que para el Auto del Supremo son documentos decisivos, para la Sentencia de la que discrepo son conductas ajenas, es decir, documentos ajenos. El rechazo de la violencia que en el Auto recurrido es un “elemento del engaño en que todo fraude consiste” y, por tanto, carente de “eficacia sanadora”, en la Sentencia es un “contraindicio suficiente para entender, en principio, contrarrestada o diluida la eficacia probatoria de otros elementos de convicción” y, en definitiva, en lo que para el Tribunal Supremo es “una prueba contundente y completa” del fraude, la Sentencia solo ve una “sospecha”.</w:t>
      </w:r>
    </w:p>
    <w:p w:rsidR="00D06117" w:rsidRDefault="00D06117" w:rsidP="00D06117">
      <w:pPr>
        <w:pStyle w:val="TextoNormal"/>
      </w:pPr>
    </w:p>
    <w:p w:rsidR="00D06117" w:rsidRDefault="00D06117" w:rsidP="00D06117">
      <w:pPr>
        <w:pStyle w:val="TextoNormal"/>
      </w:pPr>
      <w:r>
        <w:t>La Sentencia toma como punto de partida de su razonamiento el rechazo estatutario de la violencia de ETA y lo erige en protagonista, prácticamente único, de su argumentación, lo que implica una doble quiebra: a) en primer término, alterando el orden lógico que ha seguido el Tribunal Supremo comienza por el examen del contraindicio, cuando lo razonable es estudiar primero los indicios para pasar luego al contraindicio; b) en segundo lugar, y esto es más grave, prescinde del examen de los otros elementos probatorios que ha tenido en cuenta el Tribunal Supremo, lo que, obviamente, ha de alterar sustancialmente la conclusión final.</w:t>
      </w:r>
    </w:p>
    <w:p w:rsidR="00D06117" w:rsidRDefault="00D06117" w:rsidP="00D06117">
      <w:pPr>
        <w:pStyle w:val="TextoNormal"/>
      </w:pPr>
    </w:p>
    <w:p w:rsidR="00D06117" w:rsidRDefault="00D06117" w:rsidP="00D06117">
      <w:pPr>
        <w:pStyle w:val="TextoNormal"/>
      </w:pPr>
      <w:r>
        <w:t xml:space="preserve">Ninguna duda existe respecto de la importancia de los estatutos de un partido político, que cuando se constituye ha carecido de actividad anterior. Pero ocurre, por un lado, que los estatutos pueden esconder objetivos e intenciones diferentes de las que se proclaman, y, por otro, que el nacimiento de un partido político va precedido y acompañado de actuaciones que pueden ser significativas. Así, en el caso de estos autos, el Tribunal Supremo ha tenido en cuenta, en primer término, las reiteradas tentativas protagonizadas por lo seguidores de Batasuna de eludir los efectos de la Sentencia que ilegalizó este partido, lo que, según la doctrina de este Tribunal —STC 112/2007, de 10 de mayo, FJ 8—, integra un claro indicio, y en segundo lugar, las instrucciones documentadas que ETA ha impartido para que se rechace la violencia que ella misma practica —documento Earen proposamenaz II.rtf—; y todo ello, lo destaco, dentro de un conjunto de elementos probatorios —valoración conjunta— que viene a dotar de razonabilidad la conclusión del Auto del Tribunal Supremo: el </w:t>
      </w:r>
      <w:r>
        <w:lastRenderedPageBreak/>
        <w:t>rechazo estatutario de la violencia de ETA que la Sentencia de la discrepo examina aisladamente, atribuyéndole una importancia rigurosamente decisiva, en la apreciación conjunta de la prueba que hace el Tribunal Supremo, pierde ese valor decisivo pues la prueba practicada “desvirtúa por completo la realidad de tales manifestaciones” de rechazo, rechazo este que es “un elemento del engaño en que todo fraude consiste”, por lo que “ninguna eficacia sanadora” puede tener. Y así queda clara la necesidad de una valoración precisamente conjunta de la prueba, siempre destacada, como ya hemos visto, por nuestra doctrina: las palabras de los estatutos, cuando se examinan dentro del amplísimo contexto probatorio que figura en estos autos y se enfrentan con ello a los hechos, se reducen a la nada. El lenguaje de los estatutos no puede prevalecer sobre el inequívoco lenguaje de los hechos que el Tribunal Supremo ha estimado acreditados con una valoración de los datos probatorios que es razonable y no arbitraria.</w:t>
      </w:r>
    </w:p>
    <w:p w:rsidR="00D06117" w:rsidRDefault="00D06117" w:rsidP="00D06117">
      <w:pPr>
        <w:pStyle w:val="TextoNormal"/>
      </w:pPr>
    </w:p>
    <w:p w:rsidR="00D06117" w:rsidRDefault="00D06117" w:rsidP="00D06117">
      <w:pPr>
        <w:pStyle w:val="TextoNormal"/>
      </w:pPr>
      <w:r>
        <w:t>En otra línea, la Sentencia de la que discrepo, considerando conductas ajenas los documentos que ha tenido en cuenta el Tribunal Supremo, niega que sirvan para probar la instrumentalización de Sortu al servicio de la estrategia de ETA. Nuevamente, con ello, la Sentencia aísla indebidamente un grupo de elementos indiciarios y desconoce la razonable argumentación del Supremo que ligando los documentos “Proceso Democrático” de ETA y “Zutik Euskal Herria”, conecta éste con Sortu y, sobre todo, prescinde del muy relevante resto del material probatorio. Olvida con ello la Sentencia, esto es lo fundamental, el ámbito propio de la jurisdicción constitucional, y también que esta técnica valorativa de la prueba, atendiendo a datos aislados, es justamente el camino ideal para llegar al error.</w:t>
      </w:r>
    </w:p>
    <w:p w:rsidR="00D06117" w:rsidRDefault="00D06117" w:rsidP="00D06117">
      <w:pPr>
        <w:pStyle w:val="TextoNormal"/>
      </w:pPr>
    </w:p>
    <w:p w:rsidR="00D06117" w:rsidRDefault="00D06117" w:rsidP="00D06117">
      <w:pPr>
        <w:pStyle w:val="TextoNormal"/>
      </w:pPr>
      <w:r>
        <w:t>En último término, resulta que lo que el Tribunal Supremo considera “una prueba contundente y completa” —Sortu es la continuación o sucesión de Batasuna— para la Sentencia de la que disiento es una mera “sospecha”. No es así. La afirmación de esta Sentencia sólo puede hacerse prescindiendo de los numerosos elementos probatorios que ha tenido en cuenta el Tribunal Supremo. La conclusión a la que llega éste, está muy lejos de ser un juicio de intenciones, es el fruto de una detallada y minuciosa valoración de la prueba que resulta en términos constitucionales plenamente razonable.</w:t>
      </w:r>
    </w:p>
    <w:p w:rsidR="00D06117" w:rsidRDefault="00D06117" w:rsidP="00D06117">
      <w:pPr>
        <w:pStyle w:val="TextoNormal"/>
      </w:pPr>
    </w:p>
    <w:p w:rsidR="00D06117" w:rsidRDefault="00D06117" w:rsidP="00D06117">
      <w:pPr>
        <w:pStyle w:val="TextoNormal"/>
      </w:pPr>
      <w:r>
        <w:t>En consecuencia, creo que la convicción alcanzada por la Sala del art. 61 LOPJ en el juicio previo, desarrollado con contradicción plena respecto de los elementos probatorios, ofrece una clara “consistencia”, pues es fruto de una argumentación “razonable y no arbitraria”. Y puesto que estas observaciones que acabo de hacer definen en este punto el contenido de la jurisdicción constitucional (SSTC 112/2007, de 10 de mayo, FJ 7 y 43/2009, de 12 de febrero, FJ 11), quiérese decir que la nueva valoración de la prueba, hecha por la Sentencia de la que discrepo, apartándose de “los propios criterios interpretativos asumidos por el Tribunal Supremo” —en este sentido, las ya citadas Sentencias—, integra un terminante exceso de jurisdicción, pues se ha invadido el ámbito objetivo de la jurisdicción ordinaria, concretada aquí en el Tribunal Supremo.</w:t>
      </w:r>
    </w:p>
    <w:p w:rsidR="00D06117" w:rsidRDefault="00D06117" w:rsidP="00D06117">
      <w:pPr>
        <w:pStyle w:val="TextoNormal"/>
      </w:pPr>
    </w:p>
    <w:p w:rsidR="00D06117" w:rsidRDefault="00D06117" w:rsidP="00D06117">
      <w:pPr>
        <w:pStyle w:val="TextoNormal"/>
      </w:pPr>
      <w:r>
        <w:t xml:space="preserve">Y como deriva de todo lo expuesto, no puedo compartir la conclusión de la Sentencia apoyada por la mayoría que entiende que el Auto del Supremo ha vulnerado el derecho de asociación en la vertiente relativa a la creación de partidos políticos (art. 22 CE, en conexión con el art. 6 CE). Este derecho ha de ejercitarse con “respeto a la Constitución y a la ley” (art. 6 CE) y en estos autos, los hechos que el Tribunal Supremo, órgano constitucionalmente habilitado para ello, ha considerado acreditados “con plenitud probatoria” —fraude </w:t>
      </w:r>
      <w:r>
        <w:lastRenderedPageBreak/>
        <w:t>concretado en la creación de Sortu a fin de consumar la sucesión operativa y funcional de Batasuna como medio de asegurar la continuidad del complejo ETA/Batasuna— son, con toda evidencia, subsumibles en el supuesto que tipifica el art. 12.1 b) LOPP, de modo que la denegación de la constitución del partido político Sortu se ha fundado en una causa legal directamente conectada con el art. 6 CE.</w:t>
      </w:r>
    </w:p>
    <w:p w:rsidR="00D06117" w:rsidRDefault="00D06117" w:rsidP="00D06117">
      <w:pPr>
        <w:pStyle w:val="TextoNormal"/>
      </w:pPr>
    </w:p>
    <w:p w:rsidR="00D06117" w:rsidRDefault="00D06117" w:rsidP="00D06117">
      <w:pPr>
        <w:pStyle w:val="TextoNormal"/>
      </w:pPr>
      <w:r>
        <w:t>Es claro, pues, que el recurso de amparo hubiera debido ser desestimado.</w:t>
      </w:r>
    </w:p>
    <w:p w:rsidR="00D06117" w:rsidRDefault="00D06117" w:rsidP="00D06117">
      <w:pPr>
        <w:pStyle w:val="TextoNormal"/>
      </w:pPr>
    </w:p>
    <w:p w:rsidR="00D06117" w:rsidRDefault="00D06117" w:rsidP="00D06117">
      <w:pPr>
        <w:pStyle w:val="TextoNormal"/>
      </w:pPr>
      <w:r>
        <w:t>5. En último término, he de dejar constancia de que considero que el contenido del fundamento jurídico 14 de la Sentencia está completamente fuera de lugar.</w:t>
      </w:r>
    </w:p>
    <w:p w:rsidR="00D06117" w:rsidRDefault="00D06117" w:rsidP="00D06117">
      <w:pPr>
        <w:pStyle w:val="TextoNormal"/>
      </w:pPr>
    </w:p>
    <w:p w:rsidR="00D06117" w:rsidRDefault="00D06117" w:rsidP="00D06117">
      <w:pPr>
        <w:pStyle w:val="TextoNormal"/>
      </w:pPr>
      <w:r>
        <w:t>Se refiere a los instrumentos de control a posteriori que se han introducido últimamente en nuestra legislación —posibilidad de solicitar la suspensión cautelar de la proclamación de electos, anunciando la presentación de la demanda de ilegalización o del incidente de ejecución y también la inclusión de una nueva causa de incompatibilidad en el art. 6.4 LOREG—. Creo que cuando se está actuando el control previo que ha desarrollado el Tribunal Supremo, referirse a instrumentos de control a posteriori, sólo puede producir el efecto de debilitar el previo, lo que no resulta admisible, pues esto condena a la sociedad a sufrir las consecuencias de la actuación de un partido que debió ser ilegalizado, para ilegalizarlo después cuando ya se ha consumado el daño. El control a posteriori es un control adicional y subsiguiente al previo y no sustitutorio de éste. En este caso, al existir en la fase previa pruebas bastantes para considerar que el partido que pretende fundarse es continuación de uno ilegalizado, el control previo debe tener eficacia para impedir su constitución —esta es la función que le encomienda el ordenamiento jurídico—, sin que la posibilidad de controlar su actividad ex post pueda privar de virtualidad al previo. El control a posteriori, en lo que aquí importa, es consecuencia de un fracaso del control previo. Y, por mi parte, no creo procedente contribuir a ese fracaso.</w:t>
      </w:r>
    </w:p>
    <w:p w:rsidR="00D06117" w:rsidRDefault="00D06117" w:rsidP="00D06117">
      <w:pPr>
        <w:pStyle w:val="TextoNormal"/>
      </w:pPr>
    </w:p>
    <w:p w:rsidR="00D06117" w:rsidRDefault="00D06117" w:rsidP="00D06117">
      <w:pPr>
        <w:pStyle w:val="TextoNormal"/>
      </w:pPr>
      <w:r>
        <w:t>Ahora bien, una vez que la Sentencia, indebidamente, ha decidido incluir la referencia que creo fuera de lugar, he de señalar que considero coherente, a la vista de las circunstancias concurrentes, la enumeración de conductas que pueden conducir a la ilegalización de una determinada formación política (fundamento jurídico 15).</w:t>
      </w:r>
    </w:p>
    <w:p w:rsidR="00D06117" w:rsidRDefault="00D06117" w:rsidP="00D06117">
      <w:pPr>
        <w:pStyle w:val="TextoNormal"/>
      </w:pPr>
    </w:p>
    <w:p w:rsidR="00D06117" w:rsidRDefault="00D06117" w:rsidP="00D06117">
      <w:pPr>
        <w:pStyle w:val="TextoNormal"/>
      </w:pPr>
      <w:r>
        <w:t>Y éste es mi parecer que expongo con todo respeto a mis compañeros.</w:t>
      </w:r>
    </w:p>
    <w:p w:rsidR="00D06117" w:rsidRDefault="00D06117" w:rsidP="00D06117">
      <w:pPr>
        <w:pStyle w:val="TextoNormal"/>
      </w:pPr>
    </w:p>
    <w:p w:rsidR="00D06117" w:rsidRDefault="00D06117" w:rsidP="00D06117">
      <w:pPr>
        <w:pStyle w:val="TextoNormal"/>
      </w:pPr>
      <w:r>
        <w:t>Madrid a veinte de junio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Ramón Rodríguez Arribas, respecto a la Sentencia dictada, el 20 de junio de 2012, en el recurso de amparo avocado a Pleno núm. 2891-2011.</w:t>
      </w:r>
    </w:p>
    <w:p w:rsidR="00D06117" w:rsidRDefault="00D06117" w:rsidP="00D06117">
      <w:pPr>
        <w:pStyle w:val="TextoNormalNegritaCentrado"/>
        <w:keepNext/>
      </w:pPr>
    </w:p>
    <w:p w:rsidR="00D06117" w:rsidRDefault="00D06117" w:rsidP="00D06117">
      <w:pPr>
        <w:pStyle w:val="TextoNormal"/>
      </w:pPr>
      <w:r>
        <w:t>En el ejercicio de la facultad que nos confiere el art. 90.2 de la Ley Orgánica del Tribunal Constitucional (LOTC) y con el pleno respeto a la opinión de la mayoría, expreso mi discrepancia con la Sentencia que fundo en las siguientes consideraciones:</w:t>
      </w:r>
    </w:p>
    <w:p w:rsidR="00D06117" w:rsidRDefault="00D06117" w:rsidP="00D06117">
      <w:pPr>
        <w:pStyle w:val="TextoNormal"/>
      </w:pPr>
    </w:p>
    <w:p w:rsidR="00D06117" w:rsidRDefault="00D06117" w:rsidP="00D06117">
      <w:pPr>
        <w:pStyle w:val="TextoNormal"/>
      </w:pPr>
      <w:r>
        <w:t xml:space="preserve">1. Al entrar en el fondo del asunto, la Sentencia de la que discrepo, (fundamento jurídico 6) comienza por el examen exhaustivo de los estatutos del partido político Sortu, criterio </w:t>
      </w:r>
      <w:r>
        <w:lastRenderedPageBreak/>
        <w:t>que no puedo compartir porque es tanto como considerar que se trata de una asociación enteramente nueva y virginal, cuya inscripción en el registro administrativo de partidos políticos del Ministerio del Interior se hubiera denegado por cualquier otra causa, al margen y con absoluta independencia de que la nueva organización asociativa tuviera la pretensión, alegada por la Fiscalía y la Abogacía del Estado, de continuar la actividad de otro partido ilegalizado (Batasuna) por ser el brazo político de una banda terrorista; esto es, el texto de la Sentencia parece desconocer que estamos ante la revisión constitucional de un Auto dictado por la Sala Especial del artículo 61 de la Ley Orgánica del Poder Judicial (LOPJ), del Tribunal Supremo, en un incidente de ejecución de la Sentencia, dictada por el mismo Alto Tribunal, de ilegalización de los partidos políticos Batasuna, Herri Batasuna y Euskal Herritarrok.</w:t>
      </w:r>
    </w:p>
    <w:p w:rsidR="00D06117" w:rsidRDefault="00D06117" w:rsidP="00D06117">
      <w:pPr>
        <w:pStyle w:val="TextoNormal"/>
      </w:pPr>
    </w:p>
    <w:p w:rsidR="00D06117" w:rsidRDefault="00D06117" w:rsidP="00D06117">
      <w:pPr>
        <w:pStyle w:val="TextoNormal"/>
      </w:pPr>
      <w:r>
        <w:t>Y todo ello se hace empezando por un análisis del “capítulo preliminar” de los referidos estatutos señalándose: “en cuyo primer párrafo se habla de un proceso de debate interno de la izquierda aberztale para su proyecto independentista y socialista”, desconociendo también que la “izquierda aberztale” no es una organización espontánea, sino una designación estratégica inventada por ETA, convertida en una “magma” que ya no se sabe donde empieza ni donde termina.</w:t>
      </w:r>
    </w:p>
    <w:p w:rsidR="00D06117" w:rsidRDefault="00D06117" w:rsidP="00D06117">
      <w:pPr>
        <w:pStyle w:val="TextoNormal"/>
      </w:pPr>
    </w:p>
    <w:p w:rsidR="00D06117" w:rsidRDefault="00D06117" w:rsidP="00D06117">
      <w:pPr>
        <w:pStyle w:val="TextoNormal"/>
      </w:pPr>
      <w:r>
        <w:t>Se sigue con cita literal de frases completas de ese capítulo preliminar estatutario para destacar la opción por las vías exclusivamente políticas y democráticas, la desvinculación con el pasado y con la práctica de la violencia, que se acaba condenando en el texto redactado por Sortu, al decir que los promotores muestran “su voluntad y deseo de contribuir con el resto de agentes políticos, sociales y sindicales : a la definitiva y total desaparición de cualquier clase de violencia, en particular, la de la organización ETA; a la superación de las consecuencias de toda violencia y terrorismo en pro de la paz, justicia y reconciliación de la sociedad vasca; al reconocimiento y reparación de todas las víctimas originadas por las múltiples violencias que han tenido presencia en nuestro pueblo en las últimas décadas” (énfasis nuestro).</w:t>
      </w:r>
    </w:p>
    <w:p w:rsidR="00D06117" w:rsidRDefault="00D06117" w:rsidP="00D06117">
      <w:pPr>
        <w:pStyle w:val="TextoNormal"/>
      </w:pPr>
    </w:p>
    <w:p w:rsidR="00D06117" w:rsidRDefault="00D06117" w:rsidP="00D06117">
      <w:pPr>
        <w:pStyle w:val="TextoNormal"/>
      </w:pPr>
      <w:r>
        <w:t>Pues bien, no puede desconocerse que la única diferencia con lo que hasta ahora han venido diciendo los dirigentes de los partidos políticos ilegalizados por su conexión con el terrorismo, en relación con la condena de la violencia, es la referencia expresa a la ETA, que ahora sí se produce, pero añadiendo, como acabamos de ver, que ni ésa es la única violencia ejercida en el País Vasco (¿también la violencia institucional, la de las fuerzas de seguridad, las de los Tribunales de Justicia, la del Estado en general…?) ni las víctimas del terrorismo, que desgraciadamente se cuentan por centenares, son las únicas a las que hay que reconocer y ofrecer reparación (¿también a los miembros de ETA muertos al manipular un artefacto o en enfrentamientos con las fuerzas de seguridad, también a los presos de la banda criminal?). En estas condiciones no se puede calificar esa condena ampliada de “inequívoca”, sino más bien de estudiadamente ambigua.</w:t>
      </w:r>
    </w:p>
    <w:p w:rsidR="00D06117" w:rsidRDefault="00D06117" w:rsidP="00D06117">
      <w:pPr>
        <w:pStyle w:val="TextoNormal"/>
      </w:pPr>
    </w:p>
    <w:p w:rsidR="00D06117" w:rsidRDefault="00D06117" w:rsidP="00D06117">
      <w:pPr>
        <w:pStyle w:val="TextoNormal"/>
      </w:pPr>
      <w:r>
        <w:t xml:space="preserve">2. Esta condena de la violencia terrorista, aunque sea mezclada con la condena de otras violencias, que se manifiesta en los estatutos y la opción por las vías pacíficas y democráticas, se erigen por la Sentencia de la que me aparto, en base fundamental para descartar cualquier conexión, dependencia, sustitución o sucesión en la actividad de los partidos políticos ilegalizados, con lo que, a mi juicio, se incurre en la ingenuidad de creer, sin ni siquiera dudar, lo que los promotores de Sortu dicen en los estatutos, volviendo a ignorar </w:t>
      </w:r>
      <w:r>
        <w:lastRenderedPageBreak/>
        <w:t>(como ya pasó con Bildu) que quien pretende burlar un fallo judicial que le perjudica empleará todos los medios para ocultar sus intenciones y así perpetrar el fraude, olvidando, además, en todo el fundamento jurídico 7, que lo que estamos juzgando no son los estatutos de Sortu sino resolviendo sobre si el Auto del Tribunal Supremo vulneró o no el derecho fundamental (art. 22 en relación con el 6 CE) de los promotores de la asociación a inscribirla como partido político; desviación, la de la Sentencia de la mayoría, que tiene consecuencias devastadoras sobre el resultado.</w:t>
      </w:r>
    </w:p>
    <w:p w:rsidR="00D06117" w:rsidRDefault="00D06117" w:rsidP="00D06117">
      <w:pPr>
        <w:pStyle w:val="TextoNormal"/>
      </w:pPr>
    </w:p>
    <w:p w:rsidR="00D06117" w:rsidRDefault="00D06117" w:rsidP="00D06117">
      <w:pPr>
        <w:pStyle w:val="TextoNormal"/>
      </w:pPr>
      <w:r>
        <w:t>3. De otro lado la insistente referencia, que se reitera en los fundamentos jurídicos 8 y 9 de la Sentencia, a la condena de la violencia como determinante, lleva a decir que “la suficiencia de la condena del terrorismo para contrarrestar otros elementos de convicción, se recoge por vez primera en la STC 99/2004, de 27 de mayo, que resuelve el recurso de amparo promovido por una agrupación electoral cuya candidatura había sido anulada por la Sala Especial del Tribunal Supremo del art. 61 LOPJ en aplicación del art. 44.4 LOREG, esto es por venir a continuar o suceder la actividad de un partido político declarado ilegalizado judicialmente y disuelto” y citando texto de la referida STC 99/2004, FJ 19, se añade “ la negativa a condenar expresamente el terrorismo, no es por tanto, indicio bastante para acreditar per se una voluntad defraudatoria como la contemplada por el art. 44.4 LOREG. Mas bien sucede que su contrario, la condena inequívoca constituye un contraindicio capaz de desacreditar la realidad de ese cariz deducida a partir de indicios suficientes”.</w:t>
      </w:r>
    </w:p>
    <w:p w:rsidR="00D06117" w:rsidRDefault="00D06117" w:rsidP="00D06117">
      <w:pPr>
        <w:pStyle w:val="TextoNormal"/>
      </w:pPr>
    </w:p>
    <w:p w:rsidR="00D06117" w:rsidRDefault="00D06117" w:rsidP="00D06117">
      <w:pPr>
        <w:pStyle w:val="TextoNormal"/>
      </w:pPr>
      <w:r>
        <w:t>Aquí la Sentencia de la que me aparto incurre en otra quiebra procesal y hasta lógica; si la expresa condena de la violencia “incluida la de ETA” no puede constituir mas que un “contraindicio” capaz de contrarrestar los “indicios” tenidos en cuenta para declarar que un partido es continuador de otro ilegalizado ¿Dónde está el antecedente examen de esos indicios capaces de ser contrarrestados con la condena de la violencia? La realidad es que no se entra en ellos.</w:t>
      </w:r>
    </w:p>
    <w:p w:rsidR="00D06117" w:rsidRDefault="00D06117" w:rsidP="00D06117">
      <w:pPr>
        <w:pStyle w:val="TextoNormal"/>
      </w:pPr>
    </w:p>
    <w:p w:rsidR="00D06117" w:rsidRDefault="00D06117" w:rsidP="00D06117">
      <w:pPr>
        <w:pStyle w:val="TextoNormal"/>
      </w:pPr>
      <w:r>
        <w:t>Es más, frente al indicio, recogido en el fundamento de Derecho décimo segundo del impugnado Auto del Tribunal Supremo, que pone en relación el acto formal de presentación a los medios de comunicación del partido político Sortu por sus promotores y otras seis personas, con otros dos actos celebrados con anterioridad, en los que intervinieron y ocuparon una posición destacada cargos orgánicos y representativos de los partidos políticos disueltos e ilegalizados, la Sentencia de la mayoría pasa de puntillas, porque la realidad es que en los actos públicos preparatorios de la constitución y presentación pública de Sortu , estaban destacados miembros de Batasuna, que luego no comparecieron en el acto formal de presentación, lo que crea la vehemente impresión de que estaban urdiendo el engaño, pero ocultándolo cuidadosamente.</w:t>
      </w:r>
    </w:p>
    <w:p w:rsidR="00D06117" w:rsidRDefault="00D06117" w:rsidP="00D06117">
      <w:pPr>
        <w:pStyle w:val="TextoNormal"/>
      </w:pPr>
    </w:p>
    <w:p w:rsidR="00D06117" w:rsidRDefault="00D06117" w:rsidP="00D06117">
      <w:pPr>
        <w:pStyle w:val="TextoNormal"/>
      </w:pPr>
      <w:r>
        <w:t>En el Auto del Tribunal Supremo (fundamento jurídico 19) se dice también ( y se recoge en el fundamento jurídico 10 de la Sentencia de la mayoría) que la aparente rotundidad de las declaraciones examinadas en los precedentes fundamentos jurídicos (se refiere precisamente a la condena expresa de la violencia)“ninguna eficacia sanadora pueden tener respecto del fraude mismo” porque simplemente “se configuran como un elemento del engaño en que todo fraude consiste”, siendo la propia banda terrorista ETA la que establece la estrategia de condena de los atentados que ella misma comete a fin de eludir las consecuencias de la Sentencia de ilegalización, y ello con el respaldo de un documento sobre esas instrucciones de la banda incautado a la propia ETA.</w:t>
      </w:r>
    </w:p>
    <w:p w:rsidR="00D06117" w:rsidRDefault="00D06117" w:rsidP="00D06117">
      <w:pPr>
        <w:pStyle w:val="TextoNormal"/>
      </w:pPr>
    </w:p>
    <w:p w:rsidR="00D06117" w:rsidRDefault="00D06117" w:rsidP="00D06117">
      <w:pPr>
        <w:pStyle w:val="TextoNormal"/>
      </w:pPr>
      <w:r>
        <w:t>Para mí, y reiterando el respeto que me merece la opinión contraria, en este fundamento jurídico del Auto de la Sala Especial del Tribunal Supremo después de haber examinado una amplia prueba documental, se concluye con una valoración razonada y razonable del contraindicio de condena de la violencia para desecharlo, frente a lo que hace la Sentencia de la mayoría de este Tribunal, que, como ya se ha dicho, coloca esta condena de la violencia y otras declaraciones sobre los medios e instrumentos pacíficos y democráticos, no como contraindicios, sino como elemento determinante de la ausencia de fraude.</w:t>
      </w:r>
    </w:p>
    <w:p w:rsidR="00D06117" w:rsidRDefault="00D06117" w:rsidP="00D06117">
      <w:pPr>
        <w:pStyle w:val="TextoNormal"/>
      </w:pPr>
    </w:p>
    <w:p w:rsidR="00D06117" w:rsidRDefault="00D06117" w:rsidP="00D06117">
      <w:pPr>
        <w:pStyle w:val="TextoNormal"/>
      </w:pPr>
      <w:r>
        <w:t>4. En el fundamento jurídico 12 de la Sentencia que provoca mi discrepancia, tratando de eludir los reproches de exceso de jurisdicción que se produjeron con ocasión de la legalización de “Bildu” , tanto en los Votos particulares como en la doctrina, por haber hecho un examen pormenorizado de las pruebas, individualmente consideradas, tenidas en cuenta por la jurisdicción ordinaria, ahora se incurre en el extremo opuesto diciendo “como hemos avanzado, no nos corresponde realizar un análisis pormenorizado de las pruebas, básicamente documentales, que se tienen en cuenta en el Auto recurrido y que construyen un relato coherente de la ‘posibilidad’ de que el partido político cuya inscripción se solicita sea continuador de anteriores partidos políticos ilegalizados, aunque en el mismo no se evalúa la existencia de los otros elementos a que se refiere el art. 12.3 LOPP. Por otra parte, hay que considerar que, frente a tal posibilidad, tampoco se pondera en la resolución cuestionada que la existencia del derecho de asociación concretamente en partidos políticos, constituye una pieza clave de una sociedad democrática, cuya limitación ha de resultar proporcionada al peligro contrastado que el sedicente partido pudiera constituir para la propia existencia del Estado de Derecho.”</w:t>
      </w:r>
    </w:p>
    <w:p w:rsidR="00D06117" w:rsidRDefault="00D06117" w:rsidP="00D06117">
      <w:pPr>
        <w:pStyle w:val="TextoNormal"/>
      </w:pPr>
    </w:p>
    <w:p w:rsidR="00D06117" w:rsidRDefault="00D06117" w:rsidP="00D06117">
      <w:pPr>
        <w:pStyle w:val="TextoNormal"/>
      </w:pPr>
      <w:r>
        <w:t>De este texto se desprende que si no se entra a establecer, aunque sea en su conjunto, si la valoración de prueba hecha por el Tribunal Supremo era o no razonable, arbitraria o incursa en error patente, es porque no cabía atribuirle ningún de esos defectos, sino el de no haber evaluado suficientemente “la existencia de los otros elementos a que se refiere el art. 12.3. LOPP” y no haber ponderado “que la existencia del derecho de asociación es una pieza clave de una sociedad democrática”, esto es, porque incurre en un defecto de motivación.</w:t>
      </w:r>
    </w:p>
    <w:p w:rsidR="00D06117" w:rsidRDefault="00D06117" w:rsidP="00D06117">
      <w:pPr>
        <w:pStyle w:val="TextoNormal"/>
      </w:pPr>
    </w:p>
    <w:p w:rsidR="00D06117" w:rsidRDefault="00D06117" w:rsidP="00D06117">
      <w:pPr>
        <w:pStyle w:val="TextoNormal"/>
      </w:pPr>
      <w:r>
        <w:t>No cabe duda de que esta fórmula, que pretende la cuadratura del círculo, es más respetuosa con el Tribunal Supremo y con las funciones que la Constitución le encomienda, pero para ello en realidad elude el verdadero problema, que no es otro que el de establecer si la valoración de indicios de fraude lo acreditaba o no.</w:t>
      </w:r>
    </w:p>
    <w:p w:rsidR="00D06117" w:rsidRDefault="00D06117" w:rsidP="00D06117">
      <w:pPr>
        <w:pStyle w:val="TextoNormal"/>
      </w:pPr>
    </w:p>
    <w:p w:rsidR="00D06117" w:rsidRDefault="00D06117" w:rsidP="00D06117">
      <w:pPr>
        <w:pStyle w:val="TextoNormal"/>
      </w:pPr>
      <w:r>
        <w:t>A este respecto, la resolución dictada por la Sala Especial del art. 61 del Tribunal Supremo está sólidamente fundada desde el punto de vista fáctico y jurídico y llega a una certeza de común sentido y no a una mera “sospecha”, como le achaca la Sentencia de la mayoría, de que Sortu es la continuación, intentada una vez mas, de proseguir con las actividades de los partidos políticos ilegalizados por su integración en el aparato político de la banda terrorista ETA.</w:t>
      </w:r>
    </w:p>
    <w:p w:rsidR="00D06117" w:rsidRDefault="00D06117" w:rsidP="00D06117">
      <w:pPr>
        <w:pStyle w:val="TextoNormal"/>
      </w:pPr>
    </w:p>
    <w:p w:rsidR="00D06117" w:rsidRDefault="00D06117" w:rsidP="00D06117">
      <w:pPr>
        <w:pStyle w:val="TextoNormal"/>
      </w:pPr>
      <w:r>
        <w:t xml:space="preserve">5. En el fundamento jurídico 13 se alude a la STC 62/2012, de 5 de mayo, sobre Bildu, reiterando, respecto a las pruebas documentales aportadas, muchas de ellas, como ya se ha anticipado, incautadas a miembros de la organización criminal ETA, que se trata “de conductas ajenas, en este caso, documentos ajenos, que lo único que acreditan es la referida </w:t>
      </w:r>
      <w:r>
        <w:lastRenderedPageBreak/>
        <w:t>estrategia de la organización terrorista y del partido político ilegalizado, pero no la instrumentalización del nuevo partido político al servicio de dicha estrategia”.</w:t>
      </w:r>
    </w:p>
    <w:p w:rsidR="00D06117" w:rsidRDefault="00D06117" w:rsidP="00D06117">
      <w:pPr>
        <w:pStyle w:val="TextoNormal"/>
      </w:pPr>
    </w:p>
    <w:p w:rsidR="00D06117" w:rsidRDefault="00D06117" w:rsidP="00D06117">
      <w:pPr>
        <w:pStyle w:val="TextoNormal"/>
      </w:pPr>
      <w:r>
        <w:t>Esta tesis de la Sentencia sobre Bildu que ya critiqué en su momento y que ahora se reitera, me resulta de nuevo inaceptable y cabe preguntarse qué es lo que se reclama como prueba suficiente: ¿que sean los mismos defraudadores los que confiesen su propósito? por esa vía no hay fraude que pueda ser descubierto y lo cierto es que en este caso, como en aquél que se cita, los titulados de “ajenos” son, sencillamente, los creadores y beneficiarios del engaño… ¡bastante es que la habilidad, la dedicación y el esfuerzo de la Guardia Civil y del Cuerpo Nacional de Policía hayan podido descubrirlo y ponerlo de manifiesto con una documentación y unos informes abrumadores!</w:t>
      </w:r>
    </w:p>
    <w:p w:rsidR="00D06117" w:rsidRDefault="00D06117" w:rsidP="00D06117">
      <w:pPr>
        <w:pStyle w:val="TextoNormal"/>
      </w:pPr>
    </w:p>
    <w:p w:rsidR="00D06117" w:rsidRDefault="00D06117" w:rsidP="00D06117">
      <w:pPr>
        <w:pStyle w:val="TextoNormal"/>
      </w:pPr>
      <w:r>
        <w:t>6. Finalmente en el fundamento jurídico 14 la Sentencia de la mayoría pone de manifiesto la existencia de instrumentos de control a posteriori, de que se ha dotado nuestro ordenamiento jurídico, para que la limitación del libre ejercicio del derecho de asociación no sea desproporcionada, como se afirma que ha sucedido en el caso de Sortu.</w:t>
      </w:r>
    </w:p>
    <w:p w:rsidR="00D06117" w:rsidRDefault="00D06117" w:rsidP="00D06117">
      <w:pPr>
        <w:pStyle w:val="TextoNormal"/>
      </w:pPr>
    </w:p>
    <w:p w:rsidR="00D06117" w:rsidRDefault="00D06117" w:rsidP="00D06117">
      <w:pPr>
        <w:pStyle w:val="TextoNormal"/>
      </w:pPr>
      <w:r>
        <w:t>La posibilidad de actuar después contra un partido político o sus integrantes electos, que resulten ser, uno y otros, instrumentos de un partido ilegalizado no puede condicionar, adelgazándola, la utilización legalmente establecida de las medidas preventivas del fraude, porque lo contrario sería tan absurdo como esperar a que este se repita para poder hacerle frente.</w:t>
      </w:r>
    </w:p>
    <w:p w:rsidR="00D06117" w:rsidRDefault="00D06117" w:rsidP="00D06117">
      <w:pPr>
        <w:pStyle w:val="TextoNormal"/>
      </w:pPr>
    </w:p>
    <w:p w:rsidR="00D06117" w:rsidRDefault="00D06117" w:rsidP="00D06117">
      <w:pPr>
        <w:pStyle w:val="TextoNormal"/>
      </w:pPr>
      <w:r>
        <w:t>Sin embargo y con base en la posibilidad de las actuaciones a posteriori, aunque dicho criterio no lo comparta, la Sentencia de la mayoría formula, sin carácter exhaustivo, pero si revelador, en el fundamento jurídico 15, una descripción de conductas de connivencia con el terrorismo (la equiparación de éste con la coacción legítima del Estado; la justificación implícita del terrorismo; la colocación en el mismo plano del sufrimiento de las víctimas y de los delincuentes condenados por sus crímenes; la legitimación del terrorismo para la obtención de objetivos políticos; el ensalzamiento de los autores de las acciones terroristas y su presentación como víctimas o héroes, incluso desde las instituciones, con la consiguiente humillación de las víctimas; el condicionamiento del abandono de las actividades terroristas a la consecución negociada de objetivos políticos; la incitación al incumplimiento de las leyes para favorecer las actividades terroristas, etc., etc.) que tienen, a mi juicio dos virtudes elogiables.</w:t>
      </w:r>
    </w:p>
    <w:p w:rsidR="00D06117" w:rsidRDefault="00D06117" w:rsidP="00D06117">
      <w:pPr>
        <w:pStyle w:val="TextoNormal"/>
      </w:pPr>
    </w:p>
    <w:p w:rsidR="00D06117" w:rsidRDefault="00D06117" w:rsidP="00D06117">
      <w:pPr>
        <w:pStyle w:val="TextoNormal"/>
      </w:pPr>
      <w:r>
        <w:t>Por una parte, un reconocimiento expreso del dolor de las víctimas, (soportado pidiendo sólo justicia y no ejerciendo jamás la venganza), con cita de la Ley 29/2011, de 22 de septiembre, de reconocimiento y protección integral a las víctimas del terrorismo.</w:t>
      </w:r>
    </w:p>
    <w:p w:rsidR="00D06117" w:rsidRDefault="00D06117" w:rsidP="00D06117">
      <w:pPr>
        <w:pStyle w:val="TextoNormal"/>
      </w:pPr>
    </w:p>
    <w:p w:rsidR="00D06117" w:rsidRDefault="00D06117" w:rsidP="00D06117">
      <w:pPr>
        <w:pStyle w:val="TextoNormal"/>
      </w:pPr>
      <w:r>
        <w:t>Por otra parte, el catálogo enumerativo, aunque sea con una formulación atípica pero justificada por la singularidad del caso, constituye una advertencia, que hecha desde este Tribunal, no puede dejar de ser tenida en cuenta, tanto por los responsables de los partidos políticos como por las restantes instituciones.</w:t>
      </w:r>
    </w:p>
    <w:p w:rsidR="00D06117" w:rsidRDefault="00D06117" w:rsidP="00D06117">
      <w:pPr>
        <w:pStyle w:val="TextoNormal"/>
      </w:pPr>
    </w:p>
    <w:p w:rsidR="00D06117" w:rsidRDefault="00D06117" w:rsidP="00D06117">
      <w:pPr>
        <w:pStyle w:val="TextoNormal"/>
      </w:pPr>
      <w:r>
        <w:t>No obstante mi coincidencia personal con esta última parte de la Sentencia, mi discrepancia con el resto y con el fallo, que debió ser desestimatorio del recurso de amparo, me obliga a formular el presente Voto particular.</w:t>
      </w:r>
    </w:p>
    <w:p w:rsidR="00D06117" w:rsidRDefault="00D06117" w:rsidP="00D06117">
      <w:pPr>
        <w:pStyle w:val="TextoNormal"/>
      </w:pPr>
    </w:p>
    <w:p w:rsidR="00D06117" w:rsidRDefault="00D06117" w:rsidP="00D06117">
      <w:pPr>
        <w:pStyle w:val="TextoNormal"/>
      </w:pPr>
      <w:r>
        <w:lastRenderedPageBreak/>
        <w:t>Madrid, a veinte de junio de dos mil doce.</w:t>
      </w:r>
    </w:p>
    <w:p w:rsidR="00D06117" w:rsidRDefault="00D06117" w:rsidP="00D06117">
      <w:pPr>
        <w:pStyle w:val="TextoNormal"/>
      </w:pPr>
    </w:p>
    <w:p w:rsidR="00D06117" w:rsidRDefault="00D06117" w:rsidP="00D06117">
      <w:pPr>
        <w:pStyle w:val="TextoNormalNegritaCentrado"/>
        <w:keepNext/>
      </w:pPr>
      <w:r>
        <w:t>Voto particular que formula el Magistrado don Manuel Aragón Reyes, respecto de la Sentencia, otorgando el amparo solicitado, dictada por el Pleno en el recurso de amparo núm. 2891-2011.</w:t>
      </w:r>
    </w:p>
    <w:p w:rsidR="00D06117" w:rsidRDefault="00D06117" w:rsidP="00D06117">
      <w:pPr>
        <w:pStyle w:val="TextoNormalNegritaCentrado"/>
        <w:keepNext/>
      </w:pPr>
    </w:p>
    <w:p w:rsidR="00D06117" w:rsidRDefault="00D06117" w:rsidP="00D06117">
      <w:pPr>
        <w:pStyle w:val="TextoNormal"/>
      </w:pPr>
      <w:r>
        <w:t>1. Con el mayor respeto a la opinión de los Magistrados que han apoyado la tesis mayoritaria reflejada en la Sentencia, debo, no obstante, haciendo uso de la facultad establecida en el art. 90.2 LOTC, expresar mi criterio discrepante del fallo estimatorio del recurso de amparo a que se ha llegado en esta Sentencia.</w:t>
      </w:r>
    </w:p>
    <w:p w:rsidR="00D06117" w:rsidRDefault="00D06117" w:rsidP="00D06117">
      <w:pPr>
        <w:pStyle w:val="TextoNormal"/>
      </w:pPr>
    </w:p>
    <w:p w:rsidR="00D06117" w:rsidRDefault="00D06117" w:rsidP="00D06117">
      <w:pPr>
        <w:pStyle w:val="TextoNormal"/>
      </w:pPr>
      <w:r>
        <w:t>A mi entender, en virtud de los argumentos que defendí en la deliberación del Pleno y que, resumidamente, expongo a continuación, debiera haberse dictado una Sentencia denegando el amparo solicitado por los recurrentes.</w:t>
      </w:r>
    </w:p>
    <w:p w:rsidR="00D06117" w:rsidRDefault="00D06117" w:rsidP="00D06117">
      <w:pPr>
        <w:pStyle w:val="TextoNormal"/>
      </w:pPr>
    </w:p>
    <w:p w:rsidR="00D06117" w:rsidRDefault="00D06117" w:rsidP="00D06117">
      <w:pPr>
        <w:pStyle w:val="TextoNormal"/>
      </w:pPr>
      <w:r>
        <w:t>2. La Sentencia parte de un enfoque inadecuado del problema sometido al enjuiciamiento de este Tribunal, al poner especial énfasis (fundamentos jurídicos 3 a 5) en la doctrina sobre el derecho fundamental de asociación, en su vertiente de libertad de creación de partidos políticos (art. 22 de la Constitución, en relación con su art. 6), cuando esto, en rigor, ni se discute ni resulta necesario para nuestro pronunciamiento, pues de lo que se trata es de determinar si en el presente caso ese derecho, que ha de ejercerse “dentro del respeto a la Constitución y a la ley” (art. 6 CE), se ha ejercido efectivamente con arreglo a lo establecido en la Constitución y en la ley (Ley Orgánica 6/2002, de 27 de junio, de partidos políticos, cuya constitucionalidad fue declarada por este Tribunal en STC 48/2003, de 12 de marzo), en cuyo caso la inscripción de Sortu en el Registro de partidos políticos sería procedente, o si, por el contrario, nos hallamos, como lo ha entendido la Sala Especial del Tribunal Supremo del art. 61 LOPJ en el Auto impugnado en amparo, ante un ejercicio ilícito, por fraudulento, de ese derecho, en cuyo caso los recurrentes no pueden beneficiarse de las garantías del mismo. Pues no debe olvidarse que el rechazo a la inscripción en el Registro de partidos políticos del partido que pretende continuar o suceder la actividad de otro declarado ilegal o disuelto [arts. 5.6 y 12.1 b) y 3 de la Ley Orgánica 6/2002, de 27 de junio, de partidos políticos] constituye un instrumento de garantía constitucional con el que pretende evitarse que a través de la creación de nuevos partidos pueda articularse fraudulentamente la continuidad material de un partido político disuelto o ilegalizado.</w:t>
      </w:r>
    </w:p>
    <w:p w:rsidR="00D06117" w:rsidRDefault="00D06117" w:rsidP="00D06117">
      <w:pPr>
        <w:pStyle w:val="TextoNormal"/>
      </w:pPr>
    </w:p>
    <w:p w:rsidR="00D06117" w:rsidRDefault="00D06117" w:rsidP="00D06117">
      <w:pPr>
        <w:pStyle w:val="TextoNormal"/>
      </w:pPr>
      <w:r>
        <w:t>El inadecuado enfoque al que acabo de referirme se mantiene en los siguientes fundamentos de la Sentencia, por cuanto se entra directamente a examinar los estatutos del partido político Sortu (fundamentos jurídicos 6 y 7), cuando lo procedente, lo primero que ha de hacerse (porque es el verdadero objeto del recurso de amparo, como por otra parte no deja de señalar la Sentencia en sus fundamentos jurídicos 1 y 4), es analizar el Auto impugnado de la Sala Especial del Tribunal Supremo del art. 61 LOPJ, que declara la improcedencia de la constitución de dicho partido por ser continuidad o sucesión del partido político Batasuna, declarado ilegal y disuelto por la Sala en su Sentencia de 27 de marzo de 2003 (autos acumulados 6-2002 y 7-2002).</w:t>
      </w:r>
    </w:p>
    <w:p w:rsidR="00D06117" w:rsidRDefault="00D06117" w:rsidP="00D06117">
      <w:pPr>
        <w:pStyle w:val="TextoNormal"/>
      </w:pPr>
    </w:p>
    <w:p w:rsidR="00D06117" w:rsidRDefault="00D06117" w:rsidP="00D06117">
      <w:pPr>
        <w:pStyle w:val="TextoNormal"/>
      </w:pPr>
      <w:r>
        <w:t xml:space="preserve">Como igualmente resulta metodológicamente inadecuado, en mi opinión, que la Sentencia aborde antes el análisis del contraindicio (la pretendida condena de la violencia terrorista </w:t>
      </w:r>
      <w:r>
        <w:lastRenderedPageBreak/>
        <w:t>por el partido político Sortu) que el de los indicios del fraude de ley en los que el Auto impugnado en amparo fundamenta su decisión, cuando debiera ser justamente a la inversa, como se desprende de nuestra doctrina (SSTC 5/2004, de 16 de enero, 68/2005, de 31 de marzo, y 31/2009, de 29 de enero). Por lo demás, sobre la incorrecta valoración que del contraindicio se hace en la Sentencia tendré ocasión de volver enseguida.</w:t>
      </w:r>
    </w:p>
    <w:p w:rsidR="00D06117" w:rsidRDefault="00D06117" w:rsidP="00D06117">
      <w:pPr>
        <w:pStyle w:val="TextoNormal"/>
      </w:pPr>
    </w:p>
    <w:p w:rsidR="00D06117" w:rsidRDefault="00D06117" w:rsidP="00D06117">
      <w:pPr>
        <w:pStyle w:val="TextoNormal"/>
      </w:pPr>
      <w:r>
        <w:t>3. Con ser grave el desacertado enfoque de la cuestión que realiza la Sentencia de la que discrepo, mucho más grave me parece la flagrante contradicción interna en la que incurre su fundamentación, por cuanto tras recordar (fundamento jurídico 4), con cita de nuestra doctrina al respecto (SSTC 5/2004, FJ 17, y 31/2009, FJ 4), que no le compete a este Tribunal “la revisión de las pruebas practicadas en el proceso, ni la de la valoración que las mismas han merecido del Tribunal Supremo, pues en otro caso, con infracción del principio de exclusividad de la jurisdicción ordinaria (art. 117.3 CE), incurriríamos en un claro exceso de nuestra jurisdicción constitucional” (doctrina con la que estoy plenamente de acuerdo), y afirmar en consecuencia (fundamento jurídico 12) que no se va entrar en el análisis pormenorizado de las pruebas, básicamente documentales, que se tienen en cuenta en el Auto recurrido y que construyen un relato coherente de la convicción del Tribunal Supremo de que el partido político Sortu es continuador de la ilegalizada Batasuna, lo cierto es que, desmintiendo inmediatamente esta enfática aserción, la Sentencia sí entra a continuación (fundamento jurídico 13) a valorar, negativamente, esos elementos probatorios, para concluir con un rechazo, sin apenas argumentación, de la valoración efectuada por el Tribunal Supremo en el Auto impugnado, en la que sustenta su convicción de que el partido político Sortu es la enésima manifestación de la voluntad del entramado terrorista ETA/Batasuna de defraudar la Sentencia de ilegalización y disolución de partidos políticos de 27 de marzo de 2003.</w:t>
      </w:r>
    </w:p>
    <w:p w:rsidR="00D06117" w:rsidRDefault="00D06117" w:rsidP="00D06117">
      <w:pPr>
        <w:pStyle w:val="TextoNormal"/>
      </w:pPr>
    </w:p>
    <w:p w:rsidR="00D06117" w:rsidRDefault="00D06117" w:rsidP="00D06117">
      <w:pPr>
        <w:pStyle w:val="TextoNormal"/>
      </w:pPr>
      <w:r>
        <w:t>Y esa deficiencia argumental a la que acabo de referirme se hace más patente si se repara en que en el mismo fundamento jurídico 12 de la Sentencia de la que discrepo se dirige al Auto impugnado el inconsistente reproche de que en el mismo “no se evalúa la existencia de los otros elementos a que se refiere el art. 12.3 LOPP”. En el art. 12.3 de la Ley Orgánica 6/2002, de 27 de junio, de partidos políticos, se encuentran mezcladas causas de disolución de partidos políticos inscritos y en funcionamientos y causas de no inscripción de partidos políticos, no siendo aquellas, obviamente, aplicables a partidos aún no nacidos; además, no cabe olvidar que dicho precepto no contiene un elenco cerrado de causas de disolución o de no inscripción, sino que, además de las que enumera, la Sala Especial del Tribunal Supremo del art. 61 LOPJ puede tener en cuenta, para valorar si el partido pretende continuar o suceder fraudulentamente a partidos ilegalizados o disueltos, “cualesquiera otras circunstancias relevantes”; y, en fin, la Sentencia de la que discrepo parece olvidar que el fraude de ley puede resultar desvelado por un conjunto de indicios a partir de los cuales dicha Sala infiera razonablemente, como acontece en el Auto impugnado, que el nuevo partido cuya inscripción se pretende obedece a una estrategia diseñada por el entramado ETA/Batasuna con el objetivo de burlar la Ley Orgánica 6/2002, de 27 de junio, de partidos políticos.</w:t>
      </w:r>
    </w:p>
    <w:p w:rsidR="00D06117" w:rsidRDefault="00D06117" w:rsidP="00D06117">
      <w:pPr>
        <w:pStyle w:val="TextoNormal"/>
      </w:pPr>
    </w:p>
    <w:p w:rsidR="00D06117" w:rsidRDefault="00D06117" w:rsidP="00D06117">
      <w:pPr>
        <w:pStyle w:val="TextoNormal"/>
      </w:pPr>
      <w:r>
        <w:t xml:space="preserve">4. Además, en la Sentencia de la que discrepo, anticipando indebidamente —como ya señalé— el análisis del contraindicio a partir del examen de los estatutos de Sortu, se realizan una serie de afirmaciones sobre el valor del contraindicio que, a mi juicio, no se compadecen con la doctrina sentada por este Tribunal al respecto. Así, en primer lugar, no es </w:t>
      </w:r>
      <w:r>
        <w:lastRenderedPageBreak/>
        <w:t>cierto que la “condena del terrorismo” (ya veremos luego en qué queda la pretendida “condena” del terrorismo que, según la Sentencia de la que discrepo, se contiene de manera “inequívoca” en los estatutos de Sortu), sea suficiente para contrarrestar otros elementos de convicción del Tribunal Supremo sobre la voluntad y estrategia defraudatoria (fundamento jurídico 9). Tal aserto supone, en mi opinión, desvirtuar la doctrina de este Tribunal (citada, por otra parte, en la propia Sentencia), que en ningún momento ha afirmado esa pretendida suficiencia. Lo que hemos dicho (y lo comparto plenamente), es que la condena del terrorismo, siempre que sea “inequívoca” (esto es, “un pronunciamiento firme e indubitado frente al terrorismo y sus instrumentos”) y no una genérica o ambigua condena de la violencia, “constituye un contraindicio capaz de desacreditar la realidad de una voluntad de ese cariz deducida a partir de indicios suficientes” (por todas, SSTC 68/2005, FJ 16, y 31/2009, FJ 12). Pero que algo sea “capaz de” no significa –me parece obvio– que sea “bastante” o “suficiente para” entender desacreditada esa realidad de una voluntad defraudatoria. Baste aquí con recordar la doctrina del Tribunal Europeo de Derechos Humanos contenida en la Sentencia de 30 de junio de 2009, Herri Batasuna y Batasuna c. España, § 80, que, con cita de doctrina precedente, advierte que “los estatutos y el programa de un partido político no pueden ser tenidos en cuenta como único criterio para determinar sus objetivos e intenciones”.</w:t>
      </w:r>
    </w:p>
    <w:p w:rsidR="00D06117" w:rsidRDefault="00D06117" w:rsidP="00D06117">
      <w:pPr>
        <w:pStyle w:val="TextoNormal"/>
      </w:pPr>
    </w:p>
    <w:p w:rsidR="00D06117" w:rsidRDefault="00D06117" w:rsidP="00D06117">
      <w:pPr>
        <w:pStyle w:val="TextoNormal"/>
      </w:pPr>
      <w:r>
        <w:t>Además, al afirmar la Sentencia que la “condena” del terrorismo en los estatutos del partido Sortu es suficiente para contrarrestar los elementos en los que el Tribunal Supremo funda su convicción de que dicho partido responde a una estrategia fraudulenta del entramado ETA/Batasuna para conseguir el retorno a las instituciones democráticas del partido ilegalizado, este Tribunal está desvirtuando —o reescribiendo— lo dispuesto en la Ley Orgánica de partidos políticos, que en ningún momento establece que procede la inscripción de un partido político cuando condene en sus estatutos la violencia terrorista. Lo que dice la Ley es que no procederá la creación de un nuevo partido político ni, por tanto, su inscripción en el Registro de partidos políticos, cuando ese partido “pretenda continuar y suceder la actividad de otro declarado ilegal y disuelto” (art. 5.6 de la Ley Orgánica de partidos políticos), pretensión que se presumirá fraudulenta [art. 12.1 b) de la misma Ley] y que podrá ser apreciada por la Sala valorando los elementos que ad exemplum enumera el art. 12.3 de la Ley y “cualesquiera otras circunstancias relevantes” que “permitan considerar dicha continuidad o sucesión”. Elementos o circunstancias entre los que puede estar, cabalmente, una mera condena o rechazo del terrorismo en los estatutos del nuevo partido que, de manera fraudulenta, sólo represente un alejamiento táctico, puramente instrumental, de la violencia terrorista, como fundadamente, en mi opinión, ha entendido el Tribunal Supremo que acontece en los estatutos de Sortu.</w:t>
      </w:r>
    </w:p>
    <w:p w:rsidR="00D06117" w:rsidRDefault="00D06117" w:rsidP="00D06117">
      <w:pPr>
        <w:pStyle w:val="TextoNormal"/>
      </w:pPr>
    </w:p>
    <w:p w:rsidR="00D06117" w:rsidRDefault="00D06117" w:rsidP="00D06117">
      <w:pPr>
        <w:pStyle w:val="TextoNormal"/>
      </w:pPr>
      <w:r>
        <w:t xml:space="preserve">Por otra parte, sucede en el presente caso que, frente a lo que de manera un tanto entusiasta se afirma en la Sentencia de la que discrepo, esa pretendida “condena inequívoca del terrorismo” no aparece por ninguna parte en los estatutos de Sortu, a los que la propia Sentencia otorga una relevancia decisiva para la resolución del presente asunto. En efecto, más allá del envoltorio retórico característico, y dejando a un lado la cuestión semántica —o tal vez no— de que el término “condena” no se contiene en esos estatutos (se utiliza la palabra “rechazo”), lo cierto es que, frente a expresiones como las que recoge la Sentencia de la que discrepo en las que se alude al rechazo del terrorismo y de la violencia, incluida la de la organización ETA (a la que, por cierto, los estatutos eluden cuidadosamente de adjetivar como “terrorista” en las dos ocasiones en que la mencionan: capítulo preliminar y art. 3 b), </w:t>
      </w:r>
      <w:r>
        <w:lastRenderedPageBreak/>
        <w:t>ocurre que ese aparente “rechazo” al terrorismo de ETA aparece contrapesado en términos de equidistancia, con referencias a “otras” violencias, elipsis que, en el contexto examinado, es claro que apunta a la represión legítima del fenómeno terrorista por las Fuerzas y Cuerpos de Seguridad del Estado (lo que se completa con una pretensión de equiparación entre víctimas del terrorismo etarra y “víctimas” de la acción del Estado frente al terrorismo). De ello existen numerosos ejemplos en los estatutos examinados: desaparición de cualquier clase de violencia, en particular la de la organización ETA”; “superación de las consecuencias de toda violencia y terrorismo”; “reconocimiento y reparación de todas las víctimas causadas por las múltiples violencias que han tenido lugar en nuestro pueblo en las últimas décadas”; “toda expresión de violencia e imposición ha de desaparecer de nuestro país”; “rechazo firme e inequívoco de todo acto de violencia y terrorismo y de sus autores”; “rechazo de las diferentes formas de manifestación de la violencia y el terrorismo”, etc. Añádase a todo ello que ese rechazo del terrorismo se proyecta en todo caso hacia el futuro: en ningún punto de los estatutos de Sortu (tampoco en las declaraciones efectuadas por sus promotores en el acto de presentación del partido a los medios de comunicación) existe una condena expresa de los atentados terroristas de ETA que hasta la fecha han ocasionado más de 800 muertos. La conclusión de todo lo expuesto es, para mí, muy clara: los términos del rechazo del terrorismo en los estatutos de Sortu no puede ser tenidos en cuenta, de acuerdo con nuestra doctrina (SSSTC 5/2004, FJ 18; 99/2004, FJ 19; 68/2005, FJ 16, y 31/2009, FJ 12) y la del Tribunal Europeo de Derechos Humanos (Sentencia de 30 de junio de 2009, Herri Batasuna y Batasuna c. España, § 88, por todas), como un contraindicio suficiente para entender desvirtuada la existencia de la voluntad defraudatoria apreciada por el Tribunal Supremo en el Auto impugnado, en términos que no admiten reproche constitucional.</w:t>
      </w:r>
    </w:p>
    <w:p w:rsidR="00D06117" w:rsidRDefault="00D06117" w:rsidP="00D06117">
      <w:pPr>
        <w:pStyle w:val="TextoNormal"/>
      </w:pPr>
    </w:p>
    <w:p w:rsidR="00D06117" w:rsidRDefault="00D06117" w:rsidP="00D06117">
      <w:pPr>
        <w:pStyle w:val="TextoNormal"/>
      </w:pPr>
      <w:r>
        <w:t>Por lo demás, y recordando lo que ya señalé en mi Voto particular a la STC 62/2011, de 5 de mayo (caso Bildu), en lo que atañe a la existencia de declaraciones de rechazo a la violencia terrorista como medio de acción política no hay que olvidar que tales declaraciones han de valorarse en el contexto de la simulación y fraude que ha guiado siempre la actuación de ETA/Batasuna en su propósito de conseguir el regreso de su ilegalizado brazo político a las instituciones democráticas, debiendo destacarse que las condenas de la violencia terrorista han sido incluso recomendadas por ETA, según la prueba tenida en cuenta por el Tribunal Supremo en la resolución impugnada, a fin de dar una apariencia de distanciamiento de ETA a quienes formalmente se presentan como colectivos distintos y no relacionados con la organización terrorista, de lo que cabe deducir fundadamente, como lo hace la Sala Especial del art. 61 LOPJ, que se trata de una táctica instrumental auspiciada por ETA, que priva de vigor decisivo a las manifestaciones de rechazo del terrorismo (por lo demás no inequívocas, como ha quedado expuesto) que se contienen en los estatutos del partido Sortu.</w:t>
      </w:r>
    </w:p>
    <w:p w:rsidR="00D06117" w:rsidRDefault="00D06117" w:rsidP="00D06117">
      <w:pPr>
        <w:pStyle w:val="TextoNormal"/>
      </w:pPr>
    </w:p>
    <w:p w:rsidR="00D06117" w:rsidRDefault="00D06117" w:rsidP="00D06117">
      <w:pPr>
        <w:pStyle w:val="TextoNormal"/>
      </w:pPr>
      <w:r>
        <w:t xml:space="preserve">5. Así las cosas, en este proceso de amparo al Tribunal Constitucional le cumple únicamente verificar si la Sala Especial del art. 61 LOPJ ha acreditado de manera motivada y suficiente la existencia de una trama defraudatoria diseñada por el entramado ETA/Batasuna destinada a conseguir la inscripción de un partido político de nueva creación aparentemente legal pero que pretende dar continuidad a la actividad política de los partidos judicialmente declarados ilegales y disueltos. Desde la perspectiva que nos es propia lo que nos cumple es, pues, determinar si cabe apreciar una vulneración del derecho de asociación, en su vertiente de libertad de creación de partidos políticos (art. 22 CE, en relación con el art. 6 CE), invocado por los recurrentes, en atención a la consistencia que, en términos constitucionales, </w:t>
      </w:r>
      <w:r>
        <w:lastRenderedPageBreak/>
        <w:t>ofrece la convicción judicial alcanzada en el proceso previo de que Sortu pretende suceder en su actividad al ilegalizado brazo político de ETA, utilizando a tal efecto una estrategia fraudulenta.</w:t>
      </w:r>
    </w:p>
    <w:p w:rsidR="00D06117" w:rsidRDefault="00D06117" w:rsidP="00D06117">
      <w:pPr>
        <w:pStyle w:val="TextoNormal"/>
      </w:pPr>
    </w:p>
    <w:p w:rsidR="00D06117" w:rsidRDefault="00D06117" w:rsidP="00D06117">
      <w:pPr>
        <w:pStyle w:val="TextoNormal"/>
      </w:pPr>
      <w:r>
        <w:t>En este sentido es notorio que de acuerdo con nuestra reiterada doctrina al respecto (por todas, SSTC 85/2003, FJ 29; 68/2005, FJ 11; 112/2007, FJ 7; y 43/2009, FJ 11) “sólo nos cabe revisar la apreciación de la Sala del art. 61 LOPJ en aquellos supuestos en los que, desde los propios criterios interpretativos asumidos por el Tribunal Supremo, la convicción alcanzada pugne con un derecho constitucionalmente relevante”, en el presente caso el derecho de asociación, en su vertiente de libertad de creación de partidos políticos.</w:t>
      </w:r>
    </w:p>
    <w:p w:rsidR="00D06117" w:rsidRDefault="00D06117" w:rsidP="00D06117">
      <w:pPr>
        <w:pStyle w:val="TextoNormal"/>
      </w:pPr>
    </w:p>
    <w:p w:rsidR="00D06117" w:rsidRDefault="00D06117" w:rsidP="00D06117">
      <w:pPr>
        <w:pStyle w:val="TextoNormal"/>
      </w:pPr>
      <w:r>
        <w:t>En definitiva, estando en juego la efectividad del ejercicio de un derecho fundamental, este Tribunal, ponderando los derechos individuales en presencia y el interés general del ordenamiento en que la libertad de creación de partidos y el ejercicio de su actividad se lleve a cabo “dentro del respeto a la Constitución y a la ley” (art. 6 CE), debe verificar aquella revisión con arreglo a un canon decisorio cuyo contenido ha de depender de la apreciación conjunta de una pluralidad de magnitudes y referencias que permitan inferir, de modo razonable y no arbitrario, que Sortu es el resultado de una trama defraudatoria que pretende dar continuidad a la actividad política de la ilegalizada Batasuna.</w:t>
      </w:r>
    </w:p>
    <w:p w:rsidR="00D06117" w:rsidRDefault="00D06117" w:rsidP="00D06117">
      <w:pPr>
        <w:pStyle w:val="TextoNormal"/>
      </w:pPr>
    </w:p>
    <w:p w:rsidR="00D06117" w:rsidRDefault="00D06117" w:rsidP="00D06117">
      <w:pPr>
        <w:pStyle w:val="TextoNormal"/>
      </w:pPr>
      <w:r>
        <w:t>En consecuencia, como ya recordé en mi Voto particular a la STC 62/2011, de 5 de mayo (caso Bildu), y sin perjuicio de las diferencias entre aquél y el presente caso (allí se trataba de la anulación de la proclamación de candidaturas electorales y aquí de la negativa a inscribir a un partido en el Registro de partidos políticos), no se puede pretender que este Tribunal, en la función de control constitucional que le corresponde, proceda a sustituir por la suya (y además sin argumentación suficiente) la valoración de la prueba practicada en el proceso sustanciado ante el Tribunal Supremo, pues en tal caso, con infracción del principio de exclusividad de la jurisdicción ordinaria (art. 117.3 CE), incurriríamos en un claro exceso de nuestra jurisdicción constitucional. Lo único que corresponde en este proceso de amparo es verificar si la valoración judicial de los hechos por la Sala Especial del art. 61 LOPJ ha sido más improbable que probable o a la inversa. En el presente caso me parece incuestionable que esa valoración ha sido más probable que improbable, por lo que debió concluirse que la Sala Especial del art. 61 LOPJ ha inferido de modo razonable y no arbitrario que mediante la inscripción del nuevo partido, Sortu, se pretende, en fraude de ley, continuar la actividad de los partidos ilegalizados y disueltos.</w:t>
      </w:r>
    </w:p>
    <w:p w:rsidR="00D06117" w:rsidRDefault="00D06117" w:rsidP="00D06117">
      <w:pPr>
        <w:pStyle w:val="TextoNormal"/>
      </w:pPr>
    </w:p>
    <w:p w:rsidR="00D06117" w:rsidRDefault="00D06117" w:rsidP="00D06117">
      <w:pPr>
        <w:pStyle w:val="TextoNormal"/>
      </w:pPr>
      <w:r>
        <w:t xml:space="preserve">6. Ciertamente, la Sentencia de la que discrepo no incurre, a diferencia de lo que sucedió en el caso de la citada STC 62/2011, de 5 de mayo (caso Bildu), en el deplorable exceso de entrar en el análisis pormenorizado de cada una de las pruebas practicadas en el proceso sustanciado ante el Tribunal Supremo, pero sí lleva a cabo, como ya señalé, una valoración genérica de los elementos probatorios, básicamente documentales, que se tienen en cuenta en el Auto recurrido y que construyen un relato coherente de la convicción del Tribunal Supremo de que el partido político Sortu es continuador de la ilegalizada Batasuna, sustituyendo así, y ello mediante una argumentación insuficiente, la valoración efectuada por el Tribunal Supremo en el Auto impugnado, dando más crédito a las calculadas manifestaciones (valoradas junto al contraindicio) de los promotores y dirigentes en el acto de presentación de dicha formación política a los medios de comunicación, que a la numerosa prueba </w:t>
      </w:r>
      <w:r>
        <w:lastRenderedPageBreak/>
        <w:t>documental en la que el Tribunal Supremo funda su convicción sobre la estrategia fraudulenta que se persigue mediante la creación del partido Sortu. Con ello, este Tribunal viene a incurrir finalmente en la Sentencia de la que discrepo en el exceso de su jurisdicción al que me he referido (pese a las protestas expresas de la propia Sentencia, en su fundamento jurídico 6, de no incurrir en tal exceso).</w:t>
      </w:r>
    </w:p>
    <w:p w:rsidR="00D06117" w:rsidRDefault="00D06117" w:rsidP="00D06117">
      <w:pPr>
        <w:pStyle w:val="TextoNormal"/>
      </w:pPr>
    </w:p>
    <w:p w:rsidR="00D06117" w:rsidRDefault="00D06117" w:rsidP="00D06117">
      <w:pPr>
        <w:pStyle w:val="TextoNormal"/>
      </w:pPr>
      <w:r>
        <w:t>7. No me es posible compartir, en consecuencia, la conclusión a la que, de manera un tanto apodíctica, se llega en la Sentencia de que discrepo, según la cual de los documentos en los que el Auto impugnado se basa para entender acreditada la voluntad defraudadora de ETA y Batasuna no cabe inferir que hayan instrumentalizado al partido político Sortu para sus fines o que éste se haya dejado instrumentalizar por la organización terrorista y el partido político ilegalizado (fundamento jurídico 13). Esa afirmación de la pretendida insuficiencia probatoria de los indicios manejados por la Sala Especial del art. 61 LOPJ para sustentar su convicción sobre la existencia de la trama defraudatoria que la Sentencia de este Tribunal imputa a la postre al Auto impugnado es, como he dicho, el resultado de un exceso en el ejercicio de nuestra jurisdicción constitucional, que no puedo sino lamentar.</w:t>
      </w:r>
    </w:p>
    <w:p w:rsidR="00D06117" w:rsidRDefault="00D06117" w:rsidP="00D06117">
      <w:pPr>
        <w:pStyle w:val="TextoNormal"/>
      </w:pPr>
    </w:p>
    <w:p w:rsidR="00D06117" w:rsidRDefault="00D06117" w:rsidP="00D06117">
      <w:pPr>
        <w:pStyle w:val="TextoNormal"/>
      </w:pPr>
      <w:r>
        <w:t>8. La convicción por la Sala Especial del art. 61 LOPJ de la existencia de una estrategia defraudatoria dirigida a dar continuidad a la actividad de los partidos ilegalizados, mediante la creación del nuevo partido cuya inscripción en el Registro de partidos políticos fue por ello rechazada, se funda en el presente caso en la concurrencia de una serie de elementos probatorios que, apreciados en su conjunto, han llevado a la Sala Especial a la conclusión de que ese nuevo partido (Sortu) es el instrumento ideado para lograr esa continuidad fraudulenta. Para alcanzar esta conclusión la Sala ha debido superar, como en otras ocasiones, “las dificultades inherentes al descubrimiento de toda trama defraudatoria y se ha basado en un material probatorio constituido tanto por pruebas directas como indiciarias” (STC 112/2007, FJ 8).</w:t>
      </w:r>
    </w:p>
    <w:p w:rsidR="00D06117" w:rsidRDefault="00D06117" w:rsidP="00D06117">
      <w:pPr>
        <w:pStyle w:val="TextoNormal"/>
      </w:pPr>
    </w:p>
    <w:p w:rsidR="00D06117" w:rsidRDefault="00D06117" w:rsidP="00D06117">
      <w:pPr>
        <w:pStyle w:val="TextoNormal"/>
      </w:pPr>
      <w:r>
        <w:t>Como ya dije también en mi Voto particular a la STC 62/2011, de 5 de mayo (caso Bildu), precisamente por el empeño engañoso consustancial al fraude carece de sentido que quien lo intenta realizar lo confiese paladinamente, y por ello resultaría cuanto menos candoroso exigir que quiénes quieren engañar lo manifiesten de manera fehaciente. De ahí que el descubrimiento del fraude haya de basarse, casi necesariamente, en una prueba de indicios. Prueba de indicios que ha sido plenamente aceptada por los recurrentes, extremo éste que es de suma importancia destacarlo: la validez de los elementos probatorios en los que funda su convicción el Tribunal Supremo no ha sido impugnada por los recurrentes en amparo.</w:t>
      </w:r>
    </w:p>
    <w:p w:rsidR="00D06117" w:rsidRDefault="00D06117" w:rsidP="00D06117">
      <w:pPr>
        <w:pStyle w:val="TextoNormal"/>
      </w:pPr>
    </w:p>
    <w:p w:rsidR="00D06117" w:rsidRDefault="00D06117" w:rsidP="00D06117">
      <w:pPr>
        <w:pStyle w:val="TextoNormal"/>
      </w:pPr>
      <w:r>
        <w:t>Partiendo de esos elementos probatorios que el Auto impugnado enumera con detalle (documentos intervenidos a presuntos miembros de ETA y de la ilegalizada Batasuna, informaciones periodísticas que revelan la participación de presuntos miembros de ETA y de dirigentes de Batasuna en reuniones y actos públicos relacionados con el proyecto Sortu, informes policiales, etc.) la Sala Especial del art. 61 LOPJ ha considerado acreditado que el partido Sortu es el resultado de una estrategia fraudulenta diseñada por el entramado terrorista ETA/Batasuna con el objetivo de que el ilegalizado brazo político de ETA, a través el partido Sortu, pueda participar nuevamente en la vida política en condiciones de legalidad y acceder a las instituciones democráticas.</w:t>
      </w:r>
    </w:p>
    <w:p w:rsidR="00D06117" w:rsidRDefault="00D06117" w:rsidP="00D06117">
      <w:pPr>
        <w:pStyle w:val="TextoNormal"/>
      </w:pPr>
    </w:p>
    <w:p w:rsidR="00D06117" w:rsidRDefault="00D06117" w:rsidP="00D06117">
      <w:pPr>
        <w:pStyle w:val="TextoNormal"/>
      </w:pPr>
      <w:r>
        <w:lastRenderedPageBreak/>
        <w:t>El juicio de constitucionalidad que aquí procede realizar acerca de la valoración de los elementos probatorios a partir de los cuales la Sala Especial del art. 61 LOPJ considera en el Auto impugnado ha desvelado de forma inequívoca y manifiesta el engaño instrumentado a través de un designio defraudatorio cuyo resultado es, justamente, el partido político Sortu, sólo puede llevarnos a descartar en este caso que la Sala haya alcanzado sobre esa base probatoria una conclusión irrazonable o arbitraria, en una consideración de conjunto que ha sido admitida por nuestra jurisprudencia (SSTC 5/2004, FJ 10; 99/2004, FJ 17). En efecto, no se advierte que la Sala haya operado a partir de un juicio de inferencia excesivamente abierto, sino que ha realizado una valoración razonable sobre la base de la pertinente ponderación de los bienes y derechos en conflicto, sin derivar de los indicios manejados ninguna inferencia ilógica o tan abierta que permita conclusiones contradictorias.</w:t>
      </w:r>
    </w:p>
    <w:p w:rsidR="00D06117" w:rsidRDefault="00D06117" w:rsidP="00D06117">
      <w:pPr>
        <w:pStyle w:val="TextoNormal"/>
      </w:pPr>
    </w:p>
    <w:p w:rsidR="00D06117" w:rsidRDefault="00D06117" w:rsidP="00D06117">
      <w:pPr>
        <w:pStyle w:val="TextoNormal"/>
      </w:pPr>
      <w:r>
        <w:t>Así las cosas, lo que ahora nos cumple reconocer es, estrictamente, lo siguiente. En primer lugar, que la Sala ha constatado —en términos que no admiten censura constitucional— que ha quedado acreditada una operación estratégica del llamado “complejo ETA/Batasuna” para conseguir el acceso de su ilegalizado brazo político a las instituciones democráticas mediante la creación de un nuevo partido en cuyos estatutos, aparentemente, se respetasen las previsiones de la Ley Orgánica de partidos políticos, operación consumada con la constitución a tal efecto del partido Sortu.</w:t>
      </w:r>
    </w:p>
    <w:p w:rsidR="00D06117" w:rsidRDefault="00D06117" w:rsidP="00D06117">
      <w:pPr>
        <w:pStyle w:val="TextoNormal"/>
      </w:pPr>
    </w:p>
    <w:p w:rsidR="00D06117" w:rsidRDefault="00D06117" w:rsidP="00D06117">
      <w:pPr>
        <w:pStyle w:val="TextoNormal"/>
      </w:pPr>
      <w:r>
        <w:t>Y, en segundo lugar, nos cumple reconocer que la decisión de la Sala Especial del art. 61 LOPJ de declarar la improcedencia de la constitución de dicho partido, así como que no procede su inscripción en el Registro de partidos políticos, no puede tacharse, sobre la base de lo anterior, de contraria al derecho de asociación de los recurrentes, en su vertiente de libertad de creación de partidos políticos (art. 22 de la Constitución, en relación con su art. 6), fundamentada como está, de manera lógica e irrazonable, en la probada creación del partido Sortu por el entramado ETA/Batasuna para dar continuidad a la actividad política de los partidos ilegalizados y disueltos por la Sala en su Sentencia de 27 de marzo de 2003.</w:t>
      </w:r>
    </w:p>
    <w:p w:rsidR="00D06117" w:rsidRDefault="00D06117" w:rsidP="00D06117">
      <w:pPr>
        <w:pStyle w:val="TextoNormal"/>
      </w:pPr>
    </w:p>
    <w:p w:rsidR="00D06117" w:rsidRDefault="00D06117" w:rsidP="00D06117">
      <w:pPr>
        <w:pStyle w:val="TextoNormal"/>
      </w:pPr>
      <w:r>
        <w:t>9. La Sala Especial del art. 61 LOPJ, en definitiva, ha formado su convicción sobre la pretensión de dar continuidad a la actividad de los partidos ilegalizados y disueltos a través de la creación del nuevo partido Sortu a partir de la valoración, que en modo alguno cabe tachar de arbitraria, irrazonable o errónea, de un conjunto de elementos probatorios de naturaleza objetiva que le han permitido concluir razonable y fundadamente que el designio defraudatorio concebido por los responsables de los partidos políticos ilegalizados y disueltos ha tomado cuerpo en la constitución de aquel nuevo partido político, lo que ha determinado la estimación de las demandas incidentales del Abogado del Estado y el Ministerio Fiscal y la consiguiente declaración de la improcedencia de la constitución del partido político Sortu por ser continuidad o sucesión del partido político declarado ilegal y disuelto Batasuna, y que no procede la inscripción del partido Sortu en el Registro de partidos políticos.</w:t>
      </w:r>
    </w:p>
    <w:p w:rsidR="00D06117" w:rsidRDefault="00D06117" w:rsidP="00D06117">
      <w:pPr>
        <w:pStyle w:val="TextoNormal"/>
      </w:pPr>
    </w:p>
    <w:p w:rsidR="00D06117" w:rsidRDefault="00D06117" w:rsidP="00D06117">
      <w:pPr>
        <w:pStyle w:val="TextoNormal"/>
      </w:pPr>
      <w:r>
        <w:t xml:space="preserve">No puedo, por tanto, compartir —como ya ocurriera en el caso de la coalición Bildu, conforme expuse en mi Voto particular a la STC 62/2011— el juicio de intenciones sobre el Auto impugnado que se contiene en el fundamento jurídico 12 de la Sentencia de la que discrepo, pues es impropio —y lamentable— que este Tribunal incurra en el exceso de imputar al Tribunal Supremo que haya constituido la simple “sospecha” (de que Sortu pretende continuar la actividad de los partidos ilegalizados y disueltos) en argumento jurídico </w:t>
      </w:r>
      <w:r>
        <w:lastRenderedPageBreak/>
        <w:t>para limitar el libre ejercicio del derecho de asociación, en la vertiente de creación de partidos políticos, denegando a Sortu la inscripción en el Registro de partidos políticos.</w:t>
      </w:r>
    </w:p>
    <w:p w:rsidR="00D06117" w:rsidRDefault="00D06117" w:rsidP="00D06117">
      <w:pPr>
        <w:pStyle w:val="TextoNormal"/>
      </w:pPr>
    </w:p>
    <w:p w:rsidR="00D06117" w:rsidRDefault="00D06117" w:rsidP="00D06117">
      <w:pPr>
        <w:pStyle w:val="TextoNormal"/>
      </w:pPr>
      <w:r>
        <w:t>Como tampoco puedo admitir la gratuita afirmación que, reiteración de la contenida en la STC 62/2011, de 5 de mayo, FJ 13, se incluye a continuación en el fundamento jurídico 14 de la Sentencia, según la cual esa “limitación para el libre ejercicio del derecho de asociación que supone la denegación de la inscripción controvertida resulta además en este caso desproporcionada a la vista de los instrumentos de control a posteriori de que se ha dotado, mediante las últimas reformas legales, nuestro ordenamiento”.</w:t>
      </w:r>
    </w:p>
    <w:p w:rsidR="00D06117" w:rsidRDefault="00D06117" w:rsidP="00D06117">
      <w:pPr>
        <w:pStyle w:val="TextoNormal"/>
      </w:pPr>
    </w:p>
    <w:p w:rsidR="00D06117" w:rsidRDefault="00D06117" w:rsidP="00D06117">
      <w:pPr>
        <w:pStyle w:val="TextoNormal"/>
      </w:pPr>
      <w:r>
        <w:t>Pues bien, reiterando a mi vez, mutatis mutandis, lo que ya señalé en mi Voto particular a la STC 62/2011, de 5 de mayo (caso Bildu), ni el Auto del Tribunal Supremo impugnado en amparo fundamenta su convicción sobre la existencia de la trama defraudatoria mediante la constitución del partido Sortu en una mera “sospecha”, sino en la valoración, razonable y fundada, de una serie de indicios sustentados en los elementos probatorios que relaciona, ni la reforma de la Ley Orgánica del Régimen Electoral General llevada a cabo por la Ley Orgánica 3/2011, supone, como ya dije, la sustitución de los mecanismos previstos en su redacción original y en la Ley Orgánica de partidos políticos, sino que su finalidad es la de posibilitar, además, la impugnación a posteriori, sin devaluar en modo alguno la eficacia del control a priori que ya existía antes y continúa existiendo después de la reforma.</w:t>
      </w:r>
    </w:p>
    <w:p w:rsidR="00D06117" w:rsidRDefault="00D06117" w:rsidP="00D06117">
      <w:pPr>
        <w:pStyle w:val="TextoNormal"/>
      </w:pPr>
    </w:p>
    <w:p w:rsidR="00D06117" w:rsidRDefault="00D06117" w:rsidP="00D06117">
      <w:pPr>
        <w:pStyle w:val="TextoNormal"/>
      </w:pPr>
      <w:r>
        <w:t>10. La Sentencia de la que discrepo remata su razonamiento (fundamento jurídico 15) advirtiendo que el empleo de esos instrumentos de control a posteriori está condicionado a que la actividad de los partidos políticos “vulnere los principios democráticos, particularmente cuando con la misma persiga deteriorar o destruir el régimen de libertades o imposibilitar o eliminar el sistema democrático” (art. 9.1 de la Ley Orgánica de partidos políticos), mediante una serie de conductas en las que habrá de apreciarse reiteración y gravedad, y que se sintetizan en el apartado 2 del mismo artículo, pormenorizándose en el siguiente apartado 3 (sobre la necesaria interpretación conjunta de ambos apartados, STC 48/2003, de 12 de marzo, FJ 10).</w:t>
      </w:r>
    </w:p>
    <w:p w:rsidR="00D06117" w:rsidRDefault="00D06117" w:rsidP="00D06117">
      <w:pPr>
        <w:pStyle w:val="TextoNormal"/>
      </w:pPr>
    </w:p>
    <w:p w:rsidR="00D06117" w:rsidRDefault="00D06117" w:rsidP="00D06117">
      <w:pPr>
        <w:pStyle w:val="TextoNormal"/>
      </w:pPr>
      <w:r>
        <w:t>Partiendo de esta premisa, la Sentencia elabora una especie de catálogo de conductas que “por su manifiesto contraste con el principio democrático y el pluralismo político (art. 1 CE), pueden conducir a la ilegalización de una determinada formación política”. La inclusión de este catálogo admonitivo en la Sentencia no hace, en mi opinión, sino debilitar su fuerza argumentativa (de por sí ya escasa antes de llegar a este punto), y al propio tiempo supone realizar pronunciamientos improcedentes en un proceso de amparo, lo que constituye un exceso de jurisdicción constitucional. Pues, en efecto, no le corresponde a este Tribunal declarar la interpretación que deba darse a unos preceptos legales no aplicables al caso que se enjuicia en amparo. La interpretación constitucional de lo dispuesto en el art. 9 de la Ley Orgánica de partidos políticos procederá en, su caso, al revisar una resolución dictada por la Sala Especial del art. 61 LOPJ que aplicase dicho precepto, o bien con ocasión de una cuestión de inconstitucionalidad que pudiera plantearse al respecto, debiendo recordarse que ya en la STC 48/2003, de 12 de marzo, FFJJ 10 a 14, este Tribunal se pronunció sobre la interpretación conforme a la Constitución del referido precepto legal.</w:t>
      </w:r>
    </w:p>
    <w:p w:rsidR="00D06117" w:rsidRDefault="00D06117" w:rsidP="00D06117">
      <w:pPr>
        <w:pStyle w:val="TextoNormal"/>
      </w:pPr>
    </w:p>
    <w:p w:rsidR="00D06117" w:rsidRDefault="00D06117" w:rsidP="00D06117">
      <w:pPr>
        <w:pStyle w:val="TextoNormal"/>
      </w:pPr>
      <w:r>
        <w:t xml:space="preserve">Pero, más allá de la observación que acaba de hacerse, me interesa resaltar que el catálogo de conductas que recoge la Sentencia de la que discrepo evidencia una contradicción </w:t>
      </w:r>
      <w:r>
        <w:lastRenderedPageBreak/>
        <w:t>palpable, pues la Sentencia advierte a Sortu que será ilegalizado en el futuro si incurre en alguna de las conductas enumeradas, cuando resulta que si se aplicase ese catálogo al escrutinio de los estatutos de Sortu (cuya pureza democrática ha ensalzado la Sentencia) se llegaría a la conclusión de que los estatutos incurren en varias de las conductas a las que se refiere el catálogo, lo que conduciría a denegar la inscripción de Sortu en el Registro de partidos políticos (como en efecto lo apreció la Sala Especial del art. 61 LOPJ en el Auto impugnado en amparo).</w:t>
      </w:r>
    </w:p>
    <w:p w:rsidR="00D06117" w:rsidRDefault="00D06117" w:rsidP="00D06117">
      <w:pPr>
        <w:pStyle w:val="TextoNormal"/>
      </w:pPr>
    </w:p>
    <w:p w:rsidR="00D06117" w:rsidRDefault="00D06117" w:rsidP="00D06117">
      <w:pPr>
        <w:pStyle w:val="TextoNormal"/>
      </w:pPr>
      <w:r>
        <w:t>Así, la Sentencia alude entre esas conductas, que implican una justificación implícita del terrorismo, que no puede asumirse en democracia, a “las expresiones de equiparación de la violencia terrorista con la coacción legítima que en un Estado de Derecho se reserva a las fuerzas y cuerpos de seguridad del Estado cuando persiguen, detienen y ponen a disposición judicial a los responsables de los delitos de terrorismo; y a los Jueces y Tribunales cuando les condenan en un proceso justo y con todas las garantías.” Pues bien, muestras de esta equiparación infame las hay, y no escasas, en los estatutos de Sortu, como ya dije antes: “desaparición de cualquier clase de violencia, en particular la de la organización ETA”; “superación de las consecuencias de toda violencia y terrorismo”; “múltiples violencias que han tenido lugar en nuestro pueblo en las últimas décadas”; “toda expresión de violencia e imposición ha de desaparecer de nuestro país”; “rechazo firme e inequívoco de todo acto de violencia y terrorismo y de sus autores”; “rechazo de las diferentes formas de manifestación de la violencia y el terrorismo”. Asimismo, la Sentencia se refiere como conducta que determina la ilegalización porque también implica una justificación implícita del terrorismo, “todo intento de colocar en el mismo plano el sufrimiento infringido a las víctimas de la violencia terrorista y el eventual efecto aflictivo asociado al cumplimiento de la pena impuesta precisamente por la responsabilidad en que incurrieron quienes, recurriendo o justificando el terror, con su comportamiento causaron graves daños no sólo a las víctimas sino a la esencia misma de una sociedad democrática”. Con lo que estoy totalmente de acuerdo, pero la Sentencia olvida que en los estatutos de Sortu ya se encuentra una fórmula equidistante para situar en el mismo plano aflictivo a las víctimas del terrorismo y a los presos de ETA, cuando se refieren al objetivo de Sortu de contribuir al “reconocimiento y reparación de todas las víctimas causadas por las múltiples violencias que han tenido lugar en nuestro pueblo en las últimas décadas”.</w:t>
      </w:r>
    </w:p>
    <w:p w:rsidR="00D06117" w:rsidRDefault="00D06117" w:rsidP="00D06117">
      <w:pPr>
        <w:pStyle w:val="TextoNormal"/>
      </w:pPr>
    </w:p>
    <w:p w:rsidR="00D06117" w:rsidRDefault="00D06117" w:rsidP="00D06117">
      <w:pPr>
        <w:pStyle w:val="TextoNormal"/>
      </w:pPr>
      <w:r>
        <w:t xml:space="preserve">11. En definitiva, estimo, por las razones antes expuestas, que el recto entendimiento de nuestra función de defensa jurisdiccional del sistema constitucional democrático, el exacto cumplimiento de las previsiones de la Ley Orgánica de partidos políticos (perfectamente constitucionales) y la aplicación de nuestra propia jurisprudencia debieran haber conducido a este Tribunal a denegar el amparo solicitado por el partido político Sortu y el resto de recurrentes. La Sentencia de la que discrepo no lo ha entendido así, partiendo de un enfoque desacertado e incurriendo este Tribunal en un exceso jurisdiccional semejante al de la STC 62/2011, de 5 de mayo, en el caso de la coalición electoral Bildu (que puse de manifiesto en mi Voto particular a dicha Sentencia), si bien en el presente caso ese exceso de nuestra jurisdicción es aún más grave que en el caso de Bildu. En efecto, en el caso que nos ocupa la Sentencia de la que discrepo ha corregido la valoración del Tribunal Supremo en el Auto impugnado, que había considerado acreditada —en términos que no admiten censura constitucional, reitero— la existencia de una estrategia fraudulenta del entramado ETA/Batasuna para conseguir el acceso del partido ilegalizado a las instituciones democráticas mediante la creación de un nuevo partido político, Sortu. Una estrategia, por cierto, más directa y menos </w:t>
      </w:r>
      <w:r>
        <w:lastRenderedPageBreak/>
        <w:t>sutil que la utilizada con la constitución de Bildu, pues en aquel caso el retorno de la ilegalizada Batasuna a las instituciones democráticas se intentaba (y se logró finalmente tras otorgarse el amparo por la citada STC 62/2011, con mi Voto en contra), con el concurso de dos partidos políticos legales (Eusko Alkartasuna y Alternatiba Eraikitzen), coaligados electoralmente con Bildu para dar a esta formación una apariencia de respeto a las exigencias constitucionales y legales en cuanto a la participación en la actividad política.</w:t>
      </w:r>
    </w:p>
    <w:p w:rsidR="00D06117" w:rsidRDefault="00D06117" w:rsidP="00D06117">
      <w:pPr>
        <w:pStyle w:val="TextoNormal"/>
      </w:pPr>
    </w:p>
    <w:p w:rsidR="00D06117" w:rsidRDefault="00D06117" w:rsidP="00D06117">
      <w:pPr>
        <w:pStyle w:val="TextoNormal"/>
      </w:pPr>
      <w:r>
        <w:t>12. Debo, por último, advertir que, a mi juicio, con esta Sentencia (en la misma estela de la anterior STC 62/2011, de 5 de mayo, en el caso de la coalición electoral Bildu), este Tribunal, además de haber desfigurado su función jurisdiccional, también ha debilitado, lamentablemente, la eficacia de la Ley Orgánica de partidos políticos, cuya conformidad con la Constitución habíamos declarado en la STC 48/2003, de 12 de marzo, y que, además, el propio Tribunal Europeo de Derechos Humanos había valorado, desde la perspectiva de control que le corresponde, como adecuada a las previsiones del Convenio europeo para la protección de los derechos humanos y de las libertades fundamentales, en la ya citada Sentencia de 30 de junio de 2009, Herri Batasuna y Batasuna c. España.</w:t>
      </w:r>
    </w:p>
    <w:p w:rsidR="00D06117" w:rsidRDefault="00D06117" w:rsidP="00D06117">
      <w:pPr>
        <w:pStyle w:val="TextoNormal"/>
      </w:pPr>
    </w:p>
    <w:p w:rsidR="00D06117" w:rsidRDefault="00D06117" w:rsidP="00D06117">
      <w:pPr>
        <w:pStyle w:val="TextoNormal"/>
      </w:pPr>
      <w:r>
        <w:t>Y en ese sentido emito mi Voto particular.</w:t>
      </w:r>
    </w:p>
    <w:p w:rsidR="00D06117" w:rsidRDefault="00D06117" w:rsidP="00D06117">
      <w:pPr>
        <w:pStyle w:val="TextoNormal"/>
      </w:pPr>
    </w:p>
    <w:p w:rsidR="00D06117" w:rsidRDefault="00D06117" w:rsidP="00D06117">
      <w:pPr>
        <w:pStyle w:val="TextoNormal"/>
      </w:pPr>
      <w:r>
        <w:t>Madrid, a veinte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TextoNormal"/>
      </w:pPr>
    </w:p>
    <w:p w:rsidR="00E3576C" w:rsidRDefault="00E3576C" w:rsidP="00E3576C">
      <w:pPr>
        <w:pStyle w:val="CabeceraApartado"/>
      </w:pPr>
      <w:r>
        <w:t>AUTOS</w:t>
      </w:r>
    </w:p>
    <w:p w:rsidR="00E3576C" w:rsidRDefault="00E3576C">
      <w:pPr>
        <w:spacing w:after="160" w:line="259" w:lineRule="auto"/>
        <w:rPr>
          <w:rFonts w:ascii="Times New Roman" w:eastAsia="Times New Roman" w:hAnsi="Times New Roman" w:cs="Times New Roman"/>
          <w:sz w:val="48"/>
          <w:szCs w:val="24"/>
          <w:lang w:eastAsia="es-ES"/>
        </w:rPr>
      </w:pPr>
      <w:r>
        <w:br w:type="page"/>
      </w:r>
    </w:p>
    <w:p w:rsidR="00E3576C" w:rsidRDefault="00E3576C" w:rsidP="00E3576C">
      <w:pPr>
        <w:pStyle w:val="TtuloResolucin"/>
      </w:pPr>
      <w:bookmarkStart w:id="142" w:name="AUTO_2012_1"/>
      <w:r>
        <w:lastRenderedPageBreak/>
        <w:t>AUTO 1/2012, de 11 de enero de 2012</w:t>
      </w:r>
    </w:p>
    <w:bookmarkEnd w:id="142"/>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ECLI:ES:TC:2012:1A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Acuerda el desistimiento en el recurso de amparo 3840-2011,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43" w:name="AUTO_2012_2"/>
      <w:r>
        <w:lastRenderedPageBreak/>
        <w:t>AUTO 2/2012, de 11 de enero de 2012</w:t>
      </w:r>
    </w:p>
    <w:bookmarkEnd w:id="143"/>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ECLI:ES:TC:2012:2A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Acuerda el desistimiento en el recurso de amparo 4096-2011,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44" w:name="AUTO_2012_3"/>
      <w:r>
        <w:lastRenderedPageBreak/>
        <w:t>AUTO 3/2012, de 13 de enero de 2012</w:t>
      </w:r>
    </w:p>
    <w:bookmarkEnd w:id="144"/>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ECLI:ES:TC:2012:3A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del conflicto en defensa de la autonomía local 3540-2003, planteado por once municipios de la conurbación de Barcelona en relación con el artículo 79 de la Ley del Parlamento de Cataluña 31/2002, de 30 de diciembre, de medidas fiscales y administrativas.</w:t>
      </w:r>
    </w:p>
    <w:p w:rsidR="00E3576C" w:rsidRDefault="00E3576C" w:rsidP="00E3576C">
      <w:pPr>
        <w:pStyle w:val="SntesisDescriptiva"/>
      </w:pPr>
    </w:p>
    <w:p w:rsidR="00E3576C" w:rsidRDefault="00E3576C" w:rsidP="00E3576C">
      <w:pPr>
        <w:pStyle w:val="SntesisAnaltica"/>
      </w:pPr>
      <w:r>
        <w:t>Conflictos en defensa de la autonomía local: pérdida sobrevenida de objeto por derogación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el día 30 de mayo de 2003 diversos Procuradores de los Tribunales, en representación de la Entidad Metropolitana del Transporte y de los Ayuntamientos de Castelldefels, Cornellà de Llobregat, Gavá, Santa Coloma de Gramanet, Barcelona, Hospitalet de Llobregat, Sant Adriá de Besós, Sant Boi de Llobregat, Sant Feliú de Llobregat, Sant Just Desvern y Viladecans, formalizan conflicto en defensa de la autonomía local contra el artículo 79 de la Ley del Parlamento de Cataluña 31/2002, de 30 de diciembre, de medidas fiscales y administrativas.</w:t>
      </w:r>
    </w:p>
    <w:p w:rsidR="00E3576C" w:rsidRDefault="00E3576C" w:rsidP="00E3576C">
      <w:pPr>
        <w:pStyle w:val="TextoNormal"/>
      </w:pPr>
    </w:p>
    <w:p w:rsidR="00E3576C" w:rsidRDefault="00E3576C" w:rsidP="00E3576C">
      <w:pPr>
        <w:pStyle w:val="TextoNormal"/>
      </w:pPr>
      <w:r w:rsidRPr="00E3576C">
        <w:rPr>
          <w:rStyle w:val="NumeroAFNegritaCaracter"/>
        </w:rPr>
        <w:t>2</w:t>
      </w:r>
      <w:r>
        <w:t>. La Ley 7/1987, de 4 de abril, por la que se establecen y regulan actuaciones públicas especiales en la conurbación de Barcelona y en las comarcas comprendidas dentro de su zona de influencia directa, creó la Entidad Metropolitana del Transporte y en su artículo 16.1 c) le atribuyó la prestación del servicio de transporte público subterráneo de viajeros, sin perjuicio de las competencias de la Generalitat en esta materia. Posteriormente, el artículo 79 de la Ley del Parlamento de Cataluña 31/2002, de 30 de diciembre, de medidas fiscales y administrativas, objeto del conflicto en defensa de la autonomía local, dispuso lo siguiente:</w:t>
      </w:r>
    </w:p>
    <w:p w:rsidR="00E3576C" w:rsidRDefault="00E3576C" w:rsidP="00E3576C">
      <w:pPr>
        <w:pStyle w:val="TextoNormal"/>
      </w:pPr>
    </w:p>
    <w:p w:rsidR="00E3576C" w:rsidRDefault="00E3576C" w:rsidP="00E3576C">
      <w:pPr>
        <w:pStyle w:val="TextoNormal"/>
      </w:pPr>
      <w:r>
        <w:t xml:space="preserve">“La Generalidad, como titular del servicio de transporte público subterráneo de viajeros de Barcelona, de acuerdo con lo establecido por la normativa de la Unión Europea, en concreto por la directiva reguladora de la administración en el ámbito del transporte ferroviario, puede encomendar al ente Infraestructuras Ferroviarias de Cataluña la administración de la línea 9 del ferrocarril metropolitano. Este ente debe someter a procedimientos de publicidad </w:t>
      </w:r>
      <w:r>
        <w:lastRenderedPageBreak/>
        <w:t>y concurrencia la prestación del servicio de esta línea y tiene derecho a percibir el correspondiente canon de concesión.”</w:t>
      </w:r>
    </w:p>
    <w:p w:rsidR="00E3576C" w:rsidRDefault="00E3576C" w:rsidP="00E3576C">
      <w:pPr>
        <w:pStyle w:val="TextoNormal"/>
      </w:pPr>
    </w:p>
    <w:p w:rsidR="00E3576C" w:rsidRDefault="00E3576C" w:rsidP="00E3576C">
      <w:pPr>
        <w:pStyle w:val="TextoNormal"/>
      </w:pPr>
      <w:r>
        <w:t>Según el colectivo recurrente, este precepto, al reservar la titularidad del servicio de la línea 9 del ferrocarril metropolitano a la Generalitat y permitirle que encomiende su administración a un ente descentralizado de ella (Infraestructuras Ferroviarias de Cataluña), les privaba de toda intervención en una materia en la que concurría un evidente interés local, pues se trata de un transporte que transcurre íntegramente dentro del ámbito territorial de actuación de la Entidad Metropolitana de Transporte.</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providencia de la Sección Tercera de 11 de noviembre de 2003 se acordó admitir a trámite el conflicto de defensa de la autonomía local promovido por los citados municipios, dando traslado de la demanda y documentos presentados, conforme dispone el art. 75 quinques.2 de la Ley Orgánica del Tribunal Constitucional (LOTC), al Parlamento y al Gobierno de la Generalitat de Cataluña, así como al Senado y al Congreso de los Diputados y al Gobierno de la Nación, al objeto de que en el plazo de veinte días pudieran personarse en el proceso y formular alegaciones. Asimismo acordó, antes de resolver sobre la admisión a trámite de la demanda promovida por la Entidad Metropolitana del Transporte, oír a las partes para que, dentro del plazo del traslado, expusieran lo que considerasen conveniente sobre la posible falta de legitimación de dicha entidad. Por último se acordó publicar la incoación del conflicto en el “Boletín Oficial del Estado” y en el “Diario Oficial de la Generalidad de Cataluña”.</w:t>
      </w:r>
    </w:p>
    <w:p w:rsidR="00E3576C" w:rsidRDefault="00E3576C" w:rsidP="00E3576C">
      <w:pPr>
        <w:pStyle w:val="TextoNormal"/>
      </w:pPr>
    </w:p>
    <w:p w:rsidR="00E3576C" w:rsidRDefault="00E3576C" w:rsidP="00E3576C">
      <w:pPr>
        <w:pStyle w:val="TextoNormal"/>
      </w:pPr>
      <w:r w:rsidRPr="00E3576C">
        <w:rPr>
          <w:rStyle w:val="NumeroAFNegritaCaracter"/>
        </w:rPr>
        <w:t>4</w:t>
      </w:r>
      <w:r>
        <w:t>. El Abogado del Estado, en la representación que ostenta, presentó un escrito en el Registro General del Tribunal el día 21 de noviembre de 2003, en el que manifiesta que se persona en el conflicto en nombre del Gobierno y su intención de no formular alegaciones, rogando que se le notifique en su día la Sentencia que ponga fin al proceso.</w:t>
      </w:r>
    </w:p>
    <w:p w:rsidR="00E3576C" w:rsidRDefault="00E3576C" w:rsidP="00E3576C">
      <w:pPr>
        <w:pStyle w:val="TextoNormal"/>
      </w:pPr>
    </w:p>
    <w:p w:rsidR="00E3576C" w:rsidRDefault="00E3576C" w:rsidP="00E3576C">
      <w:pPr>
        <w:pStyle w:val="TextoNormal"/>
      </w:pPr>
      <w:r w:rsidRPr="00E3576C">
        <w:rPr>
          <w:rStyle w:val="NumeroAFNegritaCaracter"/>
        </w:rPr>
        <w:t>5</w:t>
      </w:r>
      <w:r>
        <w:t>. La Letrada del Parlamento de Cataluña, mediante escrito dirigido por correo al Tribunal, que tuvo entrada el día 25 de noviembre de 2003, solicita que se tenga por personado en el proceso al Parlamento de Cataluña y se le conceda una prórroga para formular alegaciones.</w:t>
      </w:r>
    </w:p>
    <w:p w:rsidR="00E3576C" w:rsidRDefault="00E3576C" w:rsidP="00E3576C">
      <w:pPr>
        <w:pStyle w:val="TextoNormal"/>
      </w:pPr>
    </w:p>
    <w:p w:rsidR="00E3576C" w:rsidRDefault="00E3576C" w:rsidP="00E3576C">
      <w:pPr>
        <w:pStyle w:val="TextoNormal"/>
      </w:pPr>
      <w:r w:rsidRPr="00E3576C">
        <w:rPr>
          <w:rStyle w:val="NumeroAFNegritaCaracter"/>
        </w:rPr>
        <w:t>6</w:t>
      </w:r>
      <w:r>
        <w:t>. El día 27 de noviembre de 2003 el Presidente del Senado comunicó al Tribunal el acuerdo adoptado por la Mesa de la Cámara de personarse en el proceso y ofrecer su colaboración.</w:t>
      </w:r>
    </w:p>
    <w:p w:rsidR="00E3576C" w:rsidRDefault="00E3576C" w:rsidP="00E3576C">
      <w:pPr>
        <w:pStyle w:val="TextoNormal"/>
      </w:pPr>
    </w:p>
    <w:p w:rsidR="00E3576C" w:rsidRDefault="00E3576C" w:rsidP="00E3576C">
      <w:pPr>
        <w:pStyle w:val="TextoNormal"/>
      </w:pPr>
      <w:r w:rsidRPr="00E3576C">
        <w:rPr>
          <w:rStyle w:val="NumeroAFNegritaCaracter"/>
        </w:rPr>
        <w:t>7</w:t>
      </w:r>
      <w:r>
        <w:t>. El día 27 de noviembre de 2003 la Presidenta del Congreso de los Diputados comunicó al Tribunal que dicha Cámara no se personará en el procedimiento y no formulará alegaciones.</w:t>
      </w:r>
    </w:p>
    <w:p w:rsidR="00E3576C" w:rsidRDefault="00E3576C" w:rsidP="00E3576C">
      <w:pPr>
        <w:pStyle w:val="TextoNormal"/>
      </w:pPr>
    </w:p>
    <w:p w:rsidR="00E3576C" w:rsidRDefault="00E3576C" w:rsidP="00E3576C">
      <w:pPr>
        <w:pStyle w:val="TextoNormal"/>
      </w:pPr>
      <w:r w:rsidRPr="00E3576C">
        <w:rPr>
          <w:rStyle w:val="NumeroAFNegritaCaracter"/>
        </w:rPr>
        <w:t>8</w:t>
      </w:r>
      <w:r>
        <w:t>. Por providencia de 2 de diciembre la Sección Tercera acordó tener por personada a la Letrada del Parlamento de Cataluña, en representación del mismo, y concederle una prórroga de diez días para formular alegaciones.</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9</w:t>
      </w:r>
      <w:r>
        <w:t>. La Letrada de la Generalitat de Cataluña presentó sus alegaciones, en representación de su Consejo de Gobierno, el día 16 de diciembre de 2003. En dicho escrito solicita del Tribunal que en su día dicte Sentencia por la que se declare que el precepto impugnado en el proceso no ha vulnerado la autonomía local constitucionalmente garantizada. Además, mediante otrosí insta que, teniéndose por evacuado el trámite de alegaciones conferido al efecto, se acuerde la falta de legitimación en el conflicto de la Entidad Metropolitana del Transporte.</w:t>
      </w:r>
    </w:p>
    <w:p w:rsidR="00E3576C" w:rsidRDefault="00E3576C" w:rsidP="00E3576C">
      <w:pPr>
        <w:pStyle w:val="TextoNormal"/>
      </w:pPr>
    </w:p>
    <w:p w:rsidR="00E3576C" w:rsidRDefault="00E3576C" w:rsidP="00E3576C">
      <w:pPr>
        <w:pStyle w:val="TextoNormal"/>
      </w:pPr>
      <w:r w:rsidRPr="00E3576C">
        <w:rPr>
          <w:rStyle w:val="NumeroAFNegritaCaracter"/>
        </w:rPr>
        <w:t>10</w:t>
      </w:r>
      <w:r>
        <w:t>. La Letrada del Parlamento de Cataluña registró el día 24 de diciembre de 2003 su escrito de alegaciones relativo al objeto del conflicto en defensa de la autonomía local planteado, en el que solicita su desestimación íntegra y, en consecuencia, que se declare la inexistencia de vulneración de la autonomía local constitucionalmente garantizada derivada del precepto recurrido. Asimismo, mediante otrosí, insta que se inadmita el conflicto promovido por la Entidad Metropolitana del Transporte por falta de legitimación de ésta.</w:t>
      </w:r>
    </w:p>
    <w:p w:rsidR="00E3576C" w:rsidRDefault="00E3576C" w:rsidP="00E3576C">
      <w:pPr>
        <w:pStyle w:val="TextoNormal"/>
      </w:pPr>
    </w:p>
    <w:p w:rsidR="00E3576C" w:rsidRDefault="00E3576C" w:rsidP="00E3576C">
      <w:pPr>
        <w:pStyle w:val="TextoNormal"/>
      </w:pPr>
      <w:r w:rsidRPr="00E3576C">
        <w:rPr>
          <w:rStyle w:val="NumeroAFNegritaCaracter"/>
        </w:rPr>
        <w:t>11</w:t>
      </w:r>
      <w:r>
        <w:t>. El día 26 de diciembre de 2003 los representantes procesales de los Ayuntamientos que promovieron el conflicto en defensa de la autonomía local que se sustancia en este procedimiento y el representante procesal de la Entidad Metropolitana del Transporte presentaron un escrito en el Registro General del Tribunal, cumplimentando el trámite de alegaciones que les fue conferido por providencia de 11 de noviembre de 2003, en el que sostienen que la Entidad Metropolitana del Transporte tiene legitimación para plantear este conflicto de defensa de la autonomía local.</w:t>
      </w:r>
    </w:p>
    <w:p w:rsidR="00E3576C" w:rsidRDefault="00E3576C" w:rsidP="00E3576C">
      <w:pPr>
        <w:pStyle w:val="TextoNormal"/>
      </w:pPr>
    </w:p>
    <w:p w:rsidR="00E3576C" w:rsidRDefault="00E3576C" w:rsidP="00E3576C">
      <w:pPr>
        <w:pStyle w:val="TextoNormal"/>
      </w:pPr>
      <w:r w:rsidRPr="00E3576C">
        <w:rPr>
          <w:rStyle w:val="NumeroAFNegritaCaracter"/>
        </w:rPr>
        <w:t>12</w:t>
      </w:r>
      <w:r>
        <w:t>. Mediante ATC 359/2004, de 21 de septiembre, se denegó la personación de la Entidad Metropolitana del Transporte, al rechazarse tanto su legitimación para plantear el conflicto en defensa de la autonomía local como su intervención en el proceso en calidad de “comisionado nombrado al efecto” de los municipios impugnantes.</w:t>
      </w:r>
    </w:p>
    <w:p w:rsidR="00E3576C" w:rsidRDefault="00E3576C" w:rsidP="00E3576C">
      <w:pPr>
        <w:pStyle w:val="TextoNormal"/>
      </w:pPr>
    </w:p>
    <w:p w:rsidR="00E3576C" w:rsidRDefault="00E3576C" w:rsidP="00E3576C">
      <w:pPr>
        <w:pStyle w:val="TextoNormal"/>
      </w:pPr>
      <w:r w:rsidRPr="00E3576C">
        <w:rPr>
          <w:rStyle w:val="NumeroAFNegritaCaracter"/>
        </w:rPr>
        <w:t>13</w:t>
      </w:r>
      <w:r>
        <w:t>. La Ley del Parlamento de Cataluña 4/2006, de 31 de marzo, ferroviaria, derogó expresamente el citado art. 79 de la Ley autonómica 31/2002 (disposición derogatoria única) y, además, afirmó la competencia de la Entidad Metropolitana del Transporte para la prestación del servicio público subterráneo de viajeros en su art. 37, que dispone:</w:t>
      </w:r>
    </w:p>
    <w:p w:rsidR="00E3576C" w:rsidRDefault="00E3576C" w:rsidP="00E3576C">
      <w:pPr>
        <w:pStyle w:val="TextoNormal"/>
      </w:pPr>
    </w:p>
    <w:p w:rsidR="00E3576C" w:rsidRDefault="00E3576C" w:rsidP="00E3576C">
      <w:pPr>
        <w:pStyle w:val="TextoNormal"/>
      </w:pPr>
      <w:r>
        <w:t>“Artículo 37. Ferrocarril metropolitano de Barcelona</w:t>
      </w:r>
    </w:p>
    <w:p w:rsidR="00E3576C" w:rsidRDefault="00E3576C" w:rsidP="00E3576C">
      <w:pPr>
        <w:pStyle w:val="TextoNormal"/>
      </w:pPr>
    </w:p>
    <w:p w:rsidR="00E3576C" w:rsidRDefault="00E3576C" w:rsidP="00E3576C">
      <w:pPr>
        <w:pStyle w:val="TextoNormal"/>
      </w:pPr>
      <w:r>
        <w:t>Corresponde a la Entidad Metropolitana del Transporte, de acuerdo con lo establecido por la normativa vigente en materia de régimen local y por la Ley 7/1987, de 4 de abril, de 4 de abril, por la que se establecen y regulan actuaciones públicas especiales en la conurbación de Barcelona y en las comarcas comprendidas dentro de su zona de influencia directa, la competencia para la prestación del servicio de transporte público subterráneo de viajeros, configurado por la red del ferrocarril metropolitano de Barcelona, que incluye las líneas existentes en el momento de la aprobación de la presente Ley y sus prolongaciones, y por las líneas que, en su caso, se incorporen.”</w:t>
      </w:r>
    </w:p>
    <w:p w:rsidR="00E3576C" w:rsidRDefault="00E3576C" w:rsidP="00E3576C">
      <w:pPr>
        <w:pStyle w:val="TextoNormal"/>
      </w:pPr>
    </w:p>
    <w:p w:rsidR="00E3576C" w:rsidRDefault="00E3576C" w:rsidP="00E3576C">
      <w:pPr>
        <w:pStyle w:val="TextoNormal"/>
      </w:pPr>
      <w:r>
        <w:t xml:space="preserve">En consonancia con ello, el acuerdo del Gobierno de la Generalitat de 5 de septiembre de 2006, en previsión de la puesta en servicio por primera vez de un tramo de la línea 9 del </w:t>
      </w:r>
      <w:r>
        <w:lastRenderedPageBreak/>
        <w:t>metro de Barcelona, declara servicio público su prestación y la atribuye a la Entidad Metropolitana del Transporte.</w:t>
      </w:r>
    </w:p>
    <w:p w:rsidR="00E3576C" w:rsidRDefault="00E3576C" w:rsidP="00E3576C">
      <w:pPr>
        <w:pStyle w:val="TextoNormal"/>
      </w:pPr>
    </w:p>
    <w:p w:rsidR="00E3576C" w:rsidRDefault="00E3576C" w:rsidP="00E3576C">
      <w:pPr>
        <w:pStyle w:val="TextoNormal"/>
      </w:pPr>
      <w:r w:rsidRPr="00E3576C">
        <w:rPr>
          <w:rStyle w:val="NumeroAFNegritaCaracter"/>
        </w:rPr>
        <w:t>14</w:t>
      </w:r>
      <w:r>
        <w:t>. Con base en las novedades mencionadas, el Abogado de la Generalidad de Cataluña solicitó —escrito registrado en este Tribunal el 31 de enero de 2007— la declaración de la desaparición sobrevenida del objeto del conflicto de referencia. La Sección Tercera, mediante providencia de 13 de febrero de 2007, acordó dar audiencia a las partes sobre esta cuestión.</w:t>
      </w:r>
    </w:p>
    <w:p w:rsidR="00E3576C" w:rsidRDefault="00E3576C" w:rsidP="00E3576C">
      <w:pPr>
        <w:pStyle w:val="TextoNormal"/>
      </w:pPr>
    </w:p>
    <w:p w:rsidR="00E3576C" w:rsidRDefault="00E3576C" w:rsidP="00E3576C">
      <w:pPr>
        <w:pStyle w:val="TextoNormal"/>
      </w:pPr>
      <w:r w:rsidRPr="00E3576C">
        <w:rPr>
          <w:rStyle w:val="NumeroAFNegritaCaracter"/>
        </w:rPr>
        <w:t>15</w:t>
      </w:r>
      <w:r>
        <w:t>. El Abogado del Estado presentó un escrito en el Registro General del Tribunal el día 20 de febrero de 2007, en el que manifiesta su intención de no formular alegaciones sobre este extremo.</w:t>
      </w:r>
    </w:p>
    <w:p w:rsidR="00E3576C" w:rsidRDefault="00E3576C" w:rsidP="00E3576C">
      <w:pPr>
        <w:pStyle w:val="TextoNormal"/>
      </w:pPr>
    </w:p>
    <w:p w:rsidR="00E3576C" w:rsidRDefault="00E3576C" w:rsidP="00E3576C">
      <w:pPr>
        <w:pStyle w:val="TextoNormal"/>
      </w:pPr>
      <w:r w:rsidRPr="00E3576C">
        <w:rPr>
          <w:rStyle w:val="NumeroAFNegritaCaracter"/>
        </w:rPr>
        <w:t>16</w:t>
      </w:r>
      <w:r>
        <w:t>. La Letrada del Parlamento de Cataluña, mediante escrito de fecha 21 de febrero de 2007, expuso que nada tiene que objetar a la petición efectuada por el Abogado de la Generalitat de Cataluña en su escrito de 31 de enero de 2007.</w:t>
      </w:r>
    </w:p>
    <w:p w:rsidR="00E3576C" w:rsidRDefault="00E3576C" w:rsidP="00E3576C">
      <w:pPr>
        <w:pStyle w:val="TextoNormal"/>
      </w:pPr>
    </w:p>
    <w:p w:rsidR="00E3576C" w:rsidRDefault="00E3576C" w:rsidP="00E3576C">
      <w:pPr>
        <w:pStyle w:val="TextoNormal"/>
      </w:pPr>
      <w:r w:rsidRPr="00E3576C">
        <w:rPr>
          <w:rStyle w:val="NumeroAFNegritaCaracter"/>
        </w:rPr>
        <w:t>17</w:t>
      </w:r>
      <w:r>
        <w:t>. El día 6 de marzo de 2007 tuvo entrada en el Registro General del Tribunal Constitucional un escrito encabezado por todos y cada uno de los Procuradores de los Tribunales que, en la representación de los municipios que tienen acreditada, promovieron este conflicto y por el Abogado encargado de la dirección jurídica, en el que, dado que la Generalitat de Cataluña ha disciplinado la materia de acuerdo con los argumentos del conflicto interpuesto, solicitan que se dicte resolución declarando la desaparición sobrevenida del objeto. Este escrito aparece firmado solamente por uno de los Procuradores y por el Abogado.</w:t>
      </w:r>
    </w:p>
    <w:p w:rsidR="00E3576C" w:rsidRDefault="00E3576C" w:rsidP="00E3576C">
      <w:pPr>
        <w:pStyle w:val="TextoNormal"/>
      </w:pPr>
    </w:p>
    <w:p w:rsidR="00E3576C" w:rsidRDefault="00E3576C" w:rsidP="00E3576C">
      <w:pPr>
        <w:pStyle w:val="TextoNormal"/>
      </w:pPr>
      <w:r w:rsidRPr="00E3576C">
        <w:rPr>
          <w:rStyle w:val="NumeroAFNegritaCaracter"/>
        </w:rPr>
        <w:t>18</w:t>
      </w:r>
      <w:r>
        <w:t>. La Procuradora de los Tribunales doña Eulalia Sanz Campillejo, actuando en nombre y representación del Excmo. Ayuntamiento de L’Hospitalet de Llobregat, expuso en escrito presentado el 6 de marzo de 2007 su total conformidad con la solicitud de que se declarase la desaparición sobrevenida del objeto del proceso en cuestión, manifestando al mismo tiempo su voluntad de desistir del conflicto de referencia, aportando al efecto certificado del acuerdo adoptado por el Pleno de este Ayuntamiento el 28 de febrero de 2007 en tal sentido.</w:t>
      </w:r>
    </w:p>
    <w:p w:rsidR="00E3576C" w:rsidRDefault="00E3576C" w:rsidP="00E3576C">
      <w:pPr>
        <w:pStyle w:val="TextoNormal"/>
      </w:pPr>
    </w:p>
    <w:p w:rsidR="00E3576C" w:rsidRDefault="00E3576C" w:rsidP="00E3576C">
      <w:pPr>
        <w:pStyle w:val="TextoNormal"/>
      </w:pPr>
      <w:r w:rsidRPr="00E3576C">
        <w:rPr>
          <w:rStyle w:val="NumeroAFNegritaCaracter"/>
        </w:rPr>
        <w:t>19</w:t>
      </w:r>
      <w:r>
        <w:t>. El Procurador de los Tribunales don Adolfo Morales Hernández-Sanjuan, actuando en nombre y representación del Excmo. Ayuntamiento de Sant Just Desvern, presentó un escrito de 9 de marzo de 2007 en el que decía subsanar su falta de firma en aquel de 6 de marzo de 2007 que encabezado por todos los Procuradores solicitaba que se declarase la desaparición sobrevenida del objeto, ratificando su contenido en todos sus extremos. Asimismo, consta que el día 26 de marzo de 2007 aportó certificación del acuerdo adoptado por el Pleno de este Ayuntamiento el día 27 de febrero de 2007 por el que acuerda el desistimiento en el proceso de referencia.</w:t>
      </w:r>
    </w:p>
    <w:p w:rsidR="00E3576C" w:rsidRDefault="00E3576C" w:rsidP="00E3576C">
      <w:pPr>
        <w:pStyle w:val="TextoNormal"/>
      </w:pPr>
    </w:p>
    <w:p w:rsidR="00E3576C" w:rsidRDefault="00E3576C" w:rsidP="00E3576C">
      <w:pPr>
        <w:pStyle w:val="TextoNormal"/>
      </w:pPr>
      <w:r w:rsidRPr="00E3576C">
        <w:rPr>
          <w:rStyle w:val="NumeroAFNegritaCaracter"/>
        </w:rPr>
        <w:t>20</w:t>
      </w:r>
      <w:r>
        <w:t xml:space="preserve">. El Procurador de los Tribunales don Argimiro Vázquez Guillén, actuando en nombre y representación de los Excmos. Ayuntamientos de Castelldefels, Cornellà de Llobregat, Gavá y Santa Coloma de Gramanet aportó sendas certificaciones de los acuerdos adoptados </w:t>
      </w:r>
      <w:r>
        <w:lastRenderedPageBreak/>
        <w:t>por los Plenos de estos Ayuntamientos los días 22 y 26 de febrero de 2007, por los que acuerdan el desistimiento en el proceso de referencia.</w:t>
      </w:r>
    </w:p>
    <w:p w:rsidR="00E3576C" w:rsidRDefault="00E3576C" w:rsidP="00E3576C">
      <w:pPr>
        <w:pStyle w:val="TextoNormal"/>
      </w:pPr>
    </w:p>
    <w:p w:rsidR="00E3576C" w:rsidRDefault="00E3576C" w:rsidP="00E3576C">
      <w:pPr>
        <w:pStyle w:val="TextoNormal"/>
      </w:pPr>
      <w:r w:rsidRPr="00E3576C">
        <w:rPr>
          <w:rStyle w:val="NumeroAFNegritaCaracter"/>
        </w:rPr>
        <w:t>21</w:t>
      </w:r>
      <w:r>
        <w:t>. El Procurador de los Tribunales don Juan Antonio García San Miguel y Orueta, actuando en nombre y representación del Excmo. Ayuntamiento de Sant Feliu de Llobregat, presentó un escrito de 31 de mayo de 2007 en el que decía subsanar su falta de firma en aquel de 6 de marzo de 2007 que encabezado por todos los Procuradores solicitaba que se declarase la desaparición sobrevenida del objeto, ratificando su contenido en todos sus extremos. Asimismo acompañó a ese escrito certificación del acuerdo adoptado por el Pleno de este Ayuntamiento el día 27 de febrero de 2007 por el que acuerda el desistimiento en el proceso de referencia.</w:t>
      </w:r>
    </w:p>
    <w:p w:rsidR="00E3576C" w:rsidRDefault="00E3576C" w:rsidP="00E3576C">
      <w:pPr>
        <w:pStyle w:val="TextoNormal"/>
      </w:pPr>
    </w:p>
    <w:p w:rsidR="00E3576C" w:rsidRDefault="00E3576C" w:rsidP="00E3576C">
      <w:pPr>
        <w:pStyle w:val="TextoNormal"/>
      </w:pPr>
      <w:r w:rsidRPr="00E3576C">
        <w:rPr>
          <w:rStyle w:val="NumeroAFNegritaCaracter"/>
        </w:rPr>
        <w:t>22</w:t>
      </w:r>
      <w:r>
        <w:t>. Los otros cuatro municipios (Barcelona, Sant Adriá de Besós, Sant Boi de Llobregat y Viladecans), aunque en alguno de ellos el Pleno respectivo adoptó acuerdos de contenido similar a los ya indicados más arriba, no evacuaron el trámite conferido.</w:t>
      </w:r>
    </w:p>
    <w:p w:rsidR="00E3576C" w:rsidRDefault="00E3576C" w:rsidP="00E3576C">
      <w:pPr>
        <w:pStyle w:val="TextoNormal"/>
      </w:pPr>
    </w:p>
    <w:p w:rsidR="00E3576C" w:rsidRDefault="00E3576C" w:rsidP="00E3576C">
      <w:pPr>
        <w:pStyle w:val="TextoNormal"/>
      </w:pPr>
      <w:r w:rsidRPr="00E3576C">
        <w:rPr>
          <w:rStyle w:val="NumeroAFNegritaCaracter"/>
        </w:rPr>
        <w:t>23</w:t>
      </w:r>
      <w:r>
        <w:t>. El 27 de julio de 2010 el Parlamento de Cataluña aprobó por unanimidad la Ley 31/2010, del área metropolitana de Barcelona. Esta ley prevé una nueva organización institucional, de carácter general en lugar de sectorial, para atender los intereses comunes de la conurbación urbana formada por el municipio de Barcelona y otros 35 de su entorno. Sustituye, en consecuencia, a las entidades metropolitanas sectoriales preexistentes, que se extinguen (disposición adicional primera). En particular, su art. 14.B b) atribuye al área metropolitana de Barcelona la competencia relativa al transporte subterráneo de viajeros sustituyendo en este punto a la Entidad Metropolitana del Transporte, en los términos siguientes:</w:t>
      </w:r>
    </w:p>
    <w:p w:rsidR="00E3576C" w:rsidRDefault="00E3576C" w:rsidP="00E3576C">
      <w:pPr>
        <w:pStyle w:val="TextoNormal"/>
      </w:pPr>
    </w:p>
    <w:p w:rsidR="00E3576C" w:rsidRDefault="00E3576C" w:rsidP="00E3576C">
      <w:pPr>
        <w:pStyle w:val="TextoNormal"/>
      </w:pPr>
      <w:r>
        <w:t>“Artículo 14.</w:t>
      </w:r>
    </w:p>
    <w:p w:rsidR="00E3576C" w:rsidRDefault="00E3576C" w:rsidP="00E3576C">
      <w:pPr>
        <w:pStyle w:val="TextoNormal"/>
      </w:pPr>
    </w:p>
    <w:p w:rsidR="00E3576C" w:rsidRDefault="00E3576C" w:rsidP="00E3576C">
      <w:pPr>
        <w:pStyle w:val="TextoNormal"/>
      </w:pPr>
      <w:r>
        <w:t xml:space="preserve">Corresponden al Área Metropolitana de Barcelona las siguientes competencias: </w:t>
      </w:r>
    </w:p>
    <w:p w:rsidR="00E3576C" w:rsidRDefault="00E3576C" w:rsidP="00E3576C">
      <w:pPr>
        <w:pStyle w:val="TextoNormal"/>
      </w:pPr>
    </w:p>
    <w:p w:rsidR="00E3576C" w:rsidRDefault="00E3576C" w:rsidP="00E3576C">
      <w:pPr>
        <w:pStyle w:val="TextoNormal"/>
      </w:pPr>
      <w:r>
        <w:t>…</w:t>
      </w:r>
    </w:p>
    <w:p w:rsidR="00E3576C" w:rsidRDefault="00E3576C" w:rsidP="00E3576C">
      <w:pPr>
        <w:pStyle w:val="TextoNormal"/>
      </w:pPr>
    </w:p>
    <w:p w:rsidR="00E3576C" w:rsidRDefault="00E3576C" w:rsidP="00E3576C">
      <w:pPr>
        <w:pStyle w:val="TextoNormal"/>
      </w:pPr>
      <w:r>
        <w:t>B. Transporte y movilidad.</w:t>
      </w:r>
    </w:p>
    <w:p w:rsidR="00E3576C" w:rsidRDefault="00E3576C" w:rsidP="00E3576C">
      <w:pPr>
        <w:pStyle w:val="TextoNormal"/>
      </w:pPr>
    </w:p>
    <w:p w:rsidR="00E3576C" w:rsidRDefault="00E3576C" w:rsidP="00E3576C">
      <w:pPr>
        <w:pStyle w:val="TextoNormal"/>
      </w:pPr>
      <w:r>
        <w:t>Las competencias y servicios de titularidad del Área Metropolitana de Barcelona en materia de transporte urbano, que comprende los diferentes servicios que discurren íntegramente por el ámbito metropolitano, y en materia de movilidad, en el marco de lo que establece la normativa sectorial de aplicación, son los siguientes:</w:t>
      </w:r>
    </w:p>
    <w:p w:rsidR="00E3576C" w:rsidRDefault="00E3576C" w:rsidP="00E3576C">
      <w:pPr>
        <w:pStyle w:val="TextoNormal"/>
      </w:pPr>
    </w:p>
    <w:p w:rsidR="00E3576C" w:rsidRDefault="00E3576C" w:rsidP="00E3576C">
      <w:pPr>
        <w:pStyle w:val="TextoNormal"/>
      </w:pPr>
      <w:r>
        <w:t>…</w:t>
      </w:r>
    </w:p>
    <w:p w:rsidR="00E3576C" w:rsidRDefault="00E3576C" w:rsidP="00E3576C">
      <w:pPr>
        <w:pStyle w:val="TextoNormal"/>
      </w:pPr>
    </w:p>
    <w:p w:rsidR="00E3576C" w:rsidRDefault="00E3576C" w:rsidP="00E3576C">
      <w:pPr>
        <w:pStyle w:val="TextoNormal"/>
      </w:pPr>
      <w:r>
        <w:t>b) La prestación del servicio de transporte público subterráneo de viajeros, de conformidad con la legislación sectorial de aplicación y sin perjuicio de las competencias de la Generalidad en esta materia.”</w:t>
      </w:r>
    </w:p>
    <w:p w:rsidR="00E3576C" w:rsidRDefault="00E3576C" w:rsidP="00E3576C">
      <w:pPr>
        <w:pStyle w:val="TextoNormal"/>
      </w:pPr>
    </w:p>
    <w:p w:rsidR="00E3576C" w:rsidRDefault="00E3576C" w:rsidP="00E3576C">
      <w:pPr>
        <w:pStyle w:val="TextoNormal"/>
      </w:pPr>
      <w:r>
        <w:t>El 21 de julio de 2011 se ha constituido el área metropolitana de Barcelona, que ya está en funcionamiento.</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24</w:t>
      </w:r>
      <w:r>
        <w:t>. El Pleno, mediante providencia de 28 de septiembre de 2011, acordó, de conformidad con el art. 84 LOTC, oír a las partes personadas por el término de diez días para que aleguen sobre la incidencia que en la pervivencia del presente conflicto ha podido tener la Ley 31/2010, del área metropolitana de Barcelona, y el acuerdo de constitución de dicha corporación de 21 de julio de 2011.</w:t>
      </w:r>
    </w:p>
    <w:p w:rsidR="00E3576C" w:rsidRDefault="00E3576C" w:rsidP="00E3576C">
      <w:pPr>
        <w:pStyle w:val="TextoNormal"/>
      </w:pPr>
    </w:p>
    <w:p w:rsidR="00E3576C" w:rsidRDefault="00E3576C" w:rsidP="00E3576C">
      <w:pPr>
        <w:pStyle w:val="TextoNormal"/>
      </w:pPr>
      <w:r w:rsidRPr="00E3576C">
        <w:rPr>
          <w:rStyle w:val="NumeroAFNegritaCaracter"/>
        </w:rPr>
        <w:t>25</w:t>
      </w:r>
      <w:r>
        <w:t>. La representación procesal del Parlamento de Cataluña, mediante escrito registrado el 18 de octubre de 2011, expuso que, tal como remarcó la representación procesal del Gobierno de la Generalitat en su escrito de 29 de enero de 2007, en relación con el cual esta representación manifestó su aquiescencia en escrito fechado el 21 de febrero de 2007, la pérdida sobrevenida del objeto del presente conflicto en defensa de la autonomía local se produjo con la entrada en vigor de la Ley del Parlamento de Cataluña 4/2006. Si su disposición derogatoria implicó formalmente la pérdida sobrevenida del objeto de la controversia, la redacción de su art. 37 supuso materialmente la satisfacción extraprocesal de la petición de los ayuntamientos promotores del conflicto. Además, no se han creado situaciones de hecho o de derecho que lesionen la autonomía local en el interim durante el cual la norma objeto de la controversia ha estado vigente, ya que la puesta en servicio por vez primera de un tramo de la citad línea de ferrocarril metropolitano de Barcelona se produjo con posterioridad a la entrada en vigor de la ley autonómica 4/2006.</w:t>
      </w:r>
    </w:p>
    <w:p w:rsidR="00E3576C" w:rsidRDefault="00E3576C" w:rsidP="00E3576C">
      <w:pPr>
        <w:pStyle w:val="TextoNormal"/>
      </w:pPr>
    </w:p>
    <w:p w:rsidR="00E3576C" w:rsidRDefault="00E3576C" w:rsidP="00E3576C">
      <w:pPr>
        <w:pStyle w:val="TextoNormal"/>
      </w:pPr>
      <w:r>
        <w:t>Manifiesta, de otro lado, que durante el año 2007 los distintos ayuntamientos promotores del conflicto adoptaron sendos acuerdos de sus plenos municipales en los que constataban que había perdido objeto y, en consecuencia, desistían del mismo, si bien no todas las representaciones procesales de los ayuntamientos citados trasladaron a ese Tribunal un escrito expresando dicho desistimiento.</w:t>
      </w:r>
    </w:p>
    <w:p w:rsidR="00E3576C" w:rsidRDefault="00E3576C" w:rsidP="00E3576C">
      <w:pPr>
        <w:pStyle w:val="TextoNormal"/>
      </w:pPr>
    </w:p>
    <w:p w:rsidR="00E3576C" w:rsidRDefault="00E3576C" w:rsidP="00E3576C">
      <w:pPr>
        <w:pStyle w:val="TextoNormal"/>
      </w:pPr>
      <w:r>
        <w:t>La situación descrita, según la representación procesal del Parlamento de Cataluña, no se ve alterada por la entrada en vigor de la Ley del Parlamento Catalán 31/2010, de 27 de julio, del área metropolitana de Barcelona, ni por la efectiva constitución del Consejo metropolitano el día 21 de julio de 2011.</w:t>
      </w:r>
    </w:p>
    <w:p w:rsidR="00E3576C" w:rsidRDefault="00E3576C" w:rsidP="00E3576C">
      <w:pPr>
        <w:pStyle w:val="TextoNormal"/>
      </w:pPr>
    </w:p>
    <w:p w:rsidR="00E3576C" w:rsidRDefault="00E3576C" w:rsidP="00E3576C">
      <w:pPr>
        <w:pStyle w:val="TextoNormal"/>
      </w:pPr>
      <w:r>
        <w:t>Termina solicitando, mediante otrosí, que, en el hipotético caso en que el Tribunal no tuviera constancia de que alguna de las otras partes personadas estuviera conforme con considerar finalizada la controversia, o incluso en el improbable supuesto de que alguna de ellas formule oposición, el Tribunal, como hizo en la STC 47/2008, puede apreciar en Sentencia que no subsiste la controversia.</w:t>
      </w:r>
    </w:p>
    <w:p w:rsidR="00E3576C" w:rsidRDefault="00E3576C" w:rsidP="00E3576C">
      <w:pPr>
        <w:pStyle w:val="TextoNormal"/>
      </w:pPr>
    </w:p>
    <w:p w:rsidR="00E3576C" w:rsidRDefault="00E3576C" w:rsidP="00E3576C">
      <w:pPr>
        <w:pStyle w:val="TextoNormal"/>
      </w:pPr>
      <w:r w:rsidRPr="00E3576C">
        <w:rPr>
          <w:rStyle w:val="NumeroAFNegritaCaracter"/>
        </w:rPr>
        <w:t>26</w:t>
      </w:r>
      <w:r>
        <w:t>. El Procurador de los Tribunales don Juan Ignacio Avila del Hierro, actuando en nombre y representación del Excmo. Ayuntamiento de Barcelona, presentó un escrito de 19 de octubre de 2011 en el que comunica al Tribunal Constitucional que el Pleno del Consell Municipal, en sesión celebrada el día 2 de febrero de 2007, adoptó el acuerdo de desistir del conflicto en cuestión, acompañando al escrito copia de la publicación del acuerdo en la “Gaceta Municipal” número 7, de 28 de febrero de 2007.</w:t>
      </w:r>
    </w:p>
    <w:p w:rsidR="00E3576C" w:rsidRDefault="00E3576C" w:rsidP="00E3576C">
      <w:pPr>
        <w:pStyle w:val="TextoNormal"/>
      </w:pPr>
    </w:p>
    <w:p w:rsidR="00E3576C" w:rsidRDefault="00E3576C" w:rsidP="00E3576C">
      <w:pPr>
        <w:pStyle w:val="TextoNormal"/>
      </w:pPr>
      <w:r w:rsidRPr="00E3576C">
        <w:rPr>
          <w:rStyle w:val="NumeroAFNegritaCaracter"/>
        </w:rPr>
        <w:t>27</w:t>
      </w:r>
      <w:r>
        <w:t xml:space="preserve">. El Abogado de la Generalitat de Cataluña, mediante escrito de fecha 20 de octubre de 2011, insiste en que el presente conflicto perdió totalmente su objeto por la aprobación de la Ley autonómica 4/2006, como lo confirma que atendiendo a este cambio normativo </w:t>
      </w:r>
      <w:r>
        <w:lastRenderedPageBreak/>
        <w:t>todos y cada uno de los ayuntamientos litigantes adoptaron acuerdos de Pleno en los que expresaban su voluntad de renunciar a la acción.</w:t>
      </w:r>
    </w:p>
    <w:p w:rsidR="00E3576C" w:rsidRDefault="00E3576C" w:rsidP="00E3576C">
      <w:pPr>
        <w:pStyle w:val="TextoNormal"/>
      </w:pPr>
    </w:p>
    <w:p w:rsidR="00E3576C" w:rsidRDefault="00E3576C" w:rsidP="00E3576C">
      <w:pPr>
        <w:pStyle w:val="TextoNormal"/>
      </w:pPr>
      <w:r>
        <w:t>Según él, la Ley del Parlamento Catalán 31/2010, de 27 de julio, del área metropolitana de Barcelona, no altera esta situación. Por otra parte, es muestra de que los municipios litigantes ya habían dado por finalizada la controversia que éstos no hicieran alegación alguna en contra en el trámite específico de audiencia a los entes locales previo a la aprobación de esta última ley. Abona también que el conflicto está finalizado la constitución el 21 de julio de 2011 del Consejo metropolitano, integrado por alcaldes y concejales de esos municipios, sin manifestación de reserva alguna.</w:t>
      </w:r>
    </w:p>
    <w:p w:rsidR="00E3576C" w:rsidRDefault="00E3576C" w:rsidP="00E3576C">
      <w:pPr>
        <w:pStyle w:val="TextoNormal"/>
      </w:pPr>
    </w:p>
    <w:p w:rsidR="00E3576C" w:rsidRDefault="00E3576C" w:rsidP="00E3576C">
      <w:pPr>
        <w:pStyle w:val="TextoNormal"/>
      </w:pPr>
      <w:r w:rsidRPr="00E3576C">
        <w:rPr>
          <w:rStyle w:val="NumeroAFNegritaCaracter"/>
        </w:rPr>
        <w:t>28</w:t>
      </w:r>
      <w:r>
        <w:t>. El Procurador de los Tribunales don Noel-Alain de Dorremochea Guiot, actuando en nombre y representación del Excmo. Ayuntamiento de Viladecans, presentó un escrito de fecha 20 de octubre de 2011 en el que comunica al Tribunal Constitucional que el Pleno de ese Ayuntamiento, en sesión celebrada el día 26 de julio de 2007, adoptó el acuerdo de desistir del conflicto en cuestión, acompañando al escrito la certificación correspondiente.</w:t>
      </w:r>
    </w:p>
    <w:p w:rsidR="00E3576C" w:rsidRDefault="00E3576C" w:rsidP="00E3576C">
      <w:pPr>
        <w:pStyle w:val="TextoNormal"/>
      </w:pPr>
    </w:p>
    <w:p w:rsidR="00E3576C" w:rsidRDefault="00E3576C" w:rsidP="00E3576C">
      <w:pPr>
        <w:pStyle w:val="TextoNormal"/>
      </w:pPr>
      <w:r w:rsidRPr="00E3576C">
        <w:rPr>
          <w:rStyle w:val="NumeroAFNegritaCaracter"/>
        </w:rPr>
        <w:t>29</w:t>
      </w:r>
      <w:r>
        <w:t>. El Procurador de los Tribunales don Juan Ignacio Valverde Cánovas, actuando en nombre y representación del Excmo. Ayuntamiento de Sant Adriá de Besos, presentó un escrito de fecha 28 de octubre de 2011 en el que comunica al Tribunal Constitucional que el Pleno de ese Ayuntamiento, en sesión celebrada el día 26 de febrero de 2007, adoptó el acuerdo de desistir del conflicto en cuestión, acompañando al escrito la certificación correspondiente.</w:t>
      </w:r>
    </w:p>
    <w:p w:rsidR="00E3576C" w:rsidRDefault="00E3576C" w:rsidP="00E3576C">
      <w:pPr>
        <w:pStyle w:val="TextoNormal"/>
      </w:pPr>
    </w:p>
    <w:p w:rsidR="00E3576C" w:rsidRDefault="00E3576C" w:rsidP="00E3576C">
      <w:pPr>
        <w:pStyle w:val="TextoNormal"/>
      </w:pPr>
      <w:r w:rsidRPr="00E3576C">
        <w:rPr>
          <w:rStyle w:val="NumeroAFNegritaCaracter"/>
        </w:rPr>
        <w:t>30</w:t>
      </w:r>
      <w:r>
        <w:t>. El Procurador de los Tribunales don Francisco Velasco Muñoz-Cuellar, actuando en nombre y representación del Excmo. Ayuntamiento de Sant Boi de Llobregat, presentó en el Registro General del Tribunal Constitucional el 21 de diciembre de 2011, un escrito en el que comunica que el Pleno de ese Ayuntamiento, en sesión celebrada el día 19 de diciembre inmediatamente anterior, adoptó el acuerdo de desistir del conflicto en cuestión, acompañando al escrito la certificación correspondiente.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presente conflicto en defensa de la autonomía local se interpone en relación con el art. 79 de la Ley del Parlamento de Cataluña 31/2002 porque reserva la titularidad del servicio de la línea 9 del ferrocarril metropolitano de Barcelona a la Generalitat de Cataluña y permite a ésta que encomiende su administración a un ente descentralizado (Infraestructuras Ferroviarias de Cataluña), de modo que priva a los municipios afectados de toda intervención en esta materia de evidente interés local.</w:t>
      </w:r>
    </w:p>
    <w:p w:rsidR="00E3576C" w:rsidRDefault="00E3576C" w:rsidP="00E3576C">
      <w:pPr>
        <w:pStyle w:val="TextoNormal"/>
      </w:pPr>
    </w:p>
    <w:p w:rsidR="00E3576C" w:rsidRDefault="00E3576C" w:rsidP="00E3576C">
      <w:pPr>
        <w:pStyle w:val="TextoNormal"/>
      </w:pPr>
      <w:r>
        <w:t>El objeto de esta resolución es determinar si este proceso constitucional ha perdido su objeto como consecuencia de la entrada en vigor de la Ley del Parlamento de Cataluña 4/2006, de 31 de marzo, ferroviaria, cuya disposición derogatoria única derogó expresamente el precepto impugnado y cuyo art. 37 afirmó la competencia de la Entidad Metropolitana del Transporte para la prestación del servicio público subterráneo de viajeros en la conurbación de Barcelona.</w:t>
      </w:r>
    </w:p>
    <w:p w:rsidR="00E3576C" w:rsidRDefault="00E3576C" w:rsidP="00E3576C">
      <w:pPr>
        <w:pStyle w:val="TextoNormal"/>
      </w:pPr>
    </w:p>
    <w:p w:rsidR="00E3576C" w:rsidRDefault="00E3576C" w:rsidP="00E3576C">
      <w:pPr>
        <w:pStyle w:val="TextoNormal"/>
      </w:pPr>
      <w:r>
        <w:t>También hay que tener en cuenta en relación al propósito de esta resolución la aprobación de la Ley del Parlamento de Cataluña 31/2010, cuyo art. 14.B b) atribuye al área metropolitana de Barcelona, formada por el municipio de Barcelona y otros 35 de su entorno, la competencia relativa al transporte subterráneo de viajeros sustituyendo en este punto a la Entidad Metropolitana del Transporte</w:t>
      </w:r>
    </w:p>
    <w:p w:rsidR="00E3576C" w:rsidRDefault="00E3576C" w:rsidP="00E3576C">
      <w:pPr>
        <w:pStyle w:val="TextoNormal"/>
      </w:pPr>
    </w:p>
    <w:p w:rsidR="00E3576C" w:rsidRDefault="00E3576C" w:rsidP="00E3576C">
      <w:pPr>
        <w:pStyle w:val="TextoNormal"/>
      </w:pPr>
      <w:r w:rsidRPr="00E3576C">
        <w:rPr>
          <w:rStyle w:val="NumeroAFNegritaCaracter"/>
        </w:rPr>
        <w:t>2</w:t>
      </w:r>
      <w:r>
        <w:t>. En los procesos en los que se resuelven divergencias competenciales, naturaleza que en lo aquí procedente comparten los conflictos en defensa de la autonomía local, hemos afirmado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00E3576C" w:rsidRDefault="00E3576C" w:rsidP="00E3576C">
      <w:pPr>
        <w:pStyle w:val="TextoNormal"/>
      </w:pPr>
    </w:p>
    <w:p w:rsidR="00E3576C" w:rsidRDefault="00E3576C" w:rsidP="00E3576C">
      <w:pPr>
        <w:pStyle w:val="TextoNormal"/>
      </w:pPr>
      <w:r>
        <w:t>En los AATC 513/2004, de 14 de diciembre, y 326/2007, de 12 de julio, se declararon extinguidos por pérdida de objeto sendos conflictos en defensa de la autonomía local. En el segundo de ellos sostuvimos que “para poder apreciar la desaparición de la controversia entablada no bastará con que la disposición impugnada haya sido derogada, como es efectivamente el caso, sino que también resultará preciso que no se aprecie la subsistencia de la controversia que dio lugar al planteamiento del presente conflicto en defensa de la autonomía local” (FJ 2).</w:t>
      </w:r>
    </w:p>
    <w:p w:rsidR="00E3576C" w:rsidRDefault="00E3576C" w:rsidP="00E3576C">
      <w:pPr>
        <w:pStyle w:val="TextoNormal"/>
      </w:pPr>
    </w:p>
    <w:p w:rsidR="00E3576C" w:rsidRDefault="00E3576C" w:rsidP="00E3576C">
      <w:pPr>
        <w:pStyle w:val="TextoNormal"/>
      </w:pPr>
      <w:r>
        <w:t>Pues bien, teniendo en cuenta que todos los municipios integrantes de la parte actora, mediante sus respectivas representaciones procesales, han comunicado al Tribunal que desistían de la acción por entender que el presente conflicto ha perdido su objeto, que así lo consideran también las representaciones procesales del Parlamento de Cataluña y del Gobierno de la Generalitat y que, por último, el resto de partes personadas han explicitado su voluntad de no formular alegaciones, procede dar por extinguido el proceso por desaparición de su objeto, dado que, por otra parte, no se advierte interés constitucional que aconseje la prosecución del conflicto hasta su finalización por Sentencia.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extinguido, por pérdida de objeto, el conflicto en defensa de la autonomía local núm. 3540-2003, planteado por once municipios de la conurbación de Barcelona contra el art. 79 de la Ley del Parlamento de Cataluña 31/2002, de 30 de diciembre, de medidas fiscales y administrativas.</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45" w:name="AUTO_2012_4"/>
      <w:r>
        <w:lastRenderedPageBreak/>
        <w:t>AUTO 4/2012, de 13 de enero de 2012</w:t>
      </w:r>
    </w:p>
    <w:bookmarkEnd w:id="145"/>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ECLI:ES:TC:2012:4A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de la cuestión de inconstitucionalidad 5384-2003, planteada por el Juzgado de lo Contencioso-Administrativo núm. 1 de Las Palmas de Gran Canaria en relación con la disposición transitoria segunda de la Ley del Parlamento de Canarias 6/1997, de 4 de julio, de coordinación de policías locales.</w:t>
      </w:r>
    </w:p>
    <w:p w:rsidR="00E3576C" w:rsidRDefault="00E3576C" w:rsidP="00E3576C">
      <w:pPr>
        <w:pStyle w:val="SntesisDescriptiva"/>
      </w:pPr>
    </w:p>
    <w:p w:rsidR="00E3576C" w:rsidRDefault="00E3576C" w:rsidP="00E3576C">
      <w:pPr>
        <w:pStyle w:val="SntesisAnaltica"/>
      </w:pPr>
      <w:r>
        <w:t>Cuestión de inconstitucionalidad: extinción de cuestión de inconstitucionalidad; pérdida sobrevenida de objeto de la cuestión de inconstitucionalidad. Policía local: coordinación de policías locales.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4 de septiembre de 2003 tuvo entrada en el Registro General de este Tribunal escrito del Juzgado de lo Contencioso-Administrativo núm. 1 de Las Palmas de Gran Canaria, al que se acompaña, junto con el testimonio del procedimiento abreviado núm. 702-2001 que se tramita ante dicho Juzgado, el Auto de 9 de junio de 2003, por el que se acuerda plantear cuestión de inconstitucionalidad respecto de la disposición transitoria segunda de la Ley del Parlamento de Canarias 6/1997, de 4 de julio, de coordinación de policías locales (“Boletín Oficial de Canarias” núm. 91, de 16 de julio de 1997), por su posible contradicción con el art.149.1.18 CE, en relación con los arts. 22.1 y 25 de la Ley 30/1984, de 2 de agosto, y el art. 149.1.30 CE.</w:t>
      </w:r>
    </w:p>
    <w:p w:rsidR="00E3576C" w:rsidRDefault="00E3576C" w:rsidP="00E3576C">
      <w:pPr>
        <w:pStyle w:val="TextoNormal"/>
      </w:pPr>
    </w:p>
    <w:p w:rsidR="00E3576C" w:rsidRDefault="00E3576C" w:rsidP="00E3576C">
      <w:pPr>
        <w:pStyle w:val="TextoNormal"/>
      </w:pPr>
      <w:r w:rsidRPr="00E3576C">
        <w:rPr>
          <w:rStyle w:val="NumeroAFNegritaCaracter"/>
        </w:rPr>
        <w:t>2</w:t>
      </w:r>
      <w:r>
        <w:t>. Los antecedentes de hecho de la presente cuestión de inconstitucionalidad son los siguientes:</w:t>
      </w:r>
    </w:p>
    <w:p w:rsidR="00E3576C" w:rsidRDefault="00E3576C" w:rsidP="00E3576C">
      <w:pPr>
        <w:pStyle w:val="TextoNormal"/>
      </w:pPr>
    </w:p>
    <w:p w:rsidR="00E3576C" w:rsidRDefault="00E3576C" w:rsidP="00E3576C">
      <w:pPr>
        <w:pStyle w:val="TextoNormal"/>
      </w:pPr>
      <w:r>
        <w:t>a) Ante el Juzgado de lo Contencioso-Administrativo núm. 1 de Las Palmas de Gran Canaria se sigue el procedimiento abreviado núm. 702-2001, interpuesto por don Francisco Javier Navarro García-Ramos contra las bases de la convocatoria para acceder por promoción interna a una plaza de oficial de la policía local del Ayuntamiento de Las Palmas de Gran Canaria, publicadas en el “Boletín Oficial de la Provincia” de 5 de octubre de 2001. En dicho procedimiento se personaron como demandados el Ayuntamiento de Las Palmas de Gran Canaria y don Juan Francisco Suárez Santana (aspirante a la plaza convocada).</w:t>
      </w:r>
    </w:p>
    <w:p w:rsidR="00E3576C" w:rsidRDefault="00E3576C" w:rsidP="00E3576C">
      <w:pPr>
        <w:pStyle w:val="TextoNormal"/>
      </w:pPr>
    </w:p>
    <w:p w:rsidR="00E3576C" w:rsidRDefault="00E3576C" w:rsidP="00E3576C">
      <w:pPr>
        <w:pStyle w:val="TextoNormal"/>
      </w:pPr>
      <w:r>
        <w:lastRenderedPageBreak/>
        <w:t>b) En su demanda y sus alegaciones complementarias en el acto de la vista, don Francisco Javier Navarro García-Ramos, Licenciado en Derecho, impugna las bases de la convocatoria, en cuanto reservan la plaza para su convocatoria por el sistema de promoción interna (tal como aparece en la oferta de empleo público de 2001 del Ayuntamiento de Las Palmas de Gran Canaria, igualmente impugnada por el recurrente), lo cual impide al recurrente acceder a la referida plaza. Además añade que la base cuarta —“requisitos de los aspirantes”— establece, entre otros extremos,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viene a reproducir lo dispuesto en la disposición transitoria segunda de la Ley Canaria 6/1997, de 4 de julio, de coordinación de policías locales, en cuanto dispensa en un grado el requisito de titulación exigido para la promoción interna a plazas de oficial de la policía local (grupo A) siempre que se haya aprobado el correspondiente curso que imparte la Academia canaria de seguridad,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el art. 25 de la Ley 30/1984, de 2 de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 como así se deduce de la doctrina sentada por el Tribunal Constitucional en sus SSTC 189/1990 y 82/1993.</w:t>
      </w:r>
    </w:p>
    <w:p w:rsidR="00E3576C" w:rsidRDefault="00E3576C" w:rsidP="00E3576C">
      <w:pPr>
        <w:pStyle w:val="TextoNormal"/>
      </w:pPr>
    </w:p>
    <w:p w:rsidR="00E3576C" w:rsidRDefault="00E3576C" w:rsidP="00E3576C">
      <w:pPr>
        <w:pStyle w:val="TextoNormal"/>
      </w:pPr>
      <w:r>
        <w:t>c) Concluido el proceso, el Juzgado, mediante providencia de 22 de abril de 2002, acordó de conformidad con el art. 35.2 de la Ley Orgánica del Tribunal Constitucional (LOTC), con suspensión del plazo para dictar Sentencia, oír al Ministerio Fiscal y a las partes personadas por plazo común de diez días para que formulasen alegaciones sobre la pertinencia de plantear ante el Tribunal Constitucional la cuestión de inconstitucionalidad. No se concreta cuál es la norma legal cuestionada ni los preceptos constitucionales supuestamente vulnerados.</w:t>
      </w:r>
    </w:p>
    <w:p w:rsidR="00E3576C" w:rsidRDefault="00E3576C" w:rsidP="00E3576C">
      <w:pPr>
        <w:pStyle w:val="TextoNormal"/>
      </w:pPr>
    </w:p>
    <w:p w:rsidR="00E3576C" w:rsidRDefault="00E3576C" w:rsidP="00E3576C">
      <w:pPr>
        <w:pStyle w:val="TextoNormal"/>
      </w:pPr>
      <w:r>
        <w:t>d) Evacuado el trámite de alegaciones conferido, el Ayuntamiento demandado, mediante escrito registrado el 6 de junio de 2002, se opuso al planteamiento de la cuestión de inconstitucionalidad, reiterando lo ya expuesto en su contestación a la demanda en el acto de la vista en el sentido de que, antes de resolver sobre el planteamiento de la cuestión de inconstitucionalidad, ha de resolverse sobre la causa de inadmisibilidad alegada por el Ayuntamiento, en concreto la contemplada en art. 69 d) de la Ley reguladora de la jurisdicción contencioso-administrativa, al darse litispendencia con el anterior recurso interpuesto por el mismo recurrente contra la oferta de empleo público de 2001 del Ayuntamiento por los mismos hechos y fundamentos, recurso pendiente de votación y fallo ante la Sala de lo Contencioso-Administrativo del Tribunal Superior de Justicia de Canarias (núm. 1143-2001).</w:t>
      </w:r>
    </w:p>
    <w:p w:rsidR="00E3576C" w:rsidRDefault="00E3576C" w:rsidP="00E3576C">
      <w:pPr>
        <w:pStyle w:val="TextoNormal"/>
      </w:pPr>
    </w:p>
    <w:p w:rsidR="00E3576C" w:rsidRDefault="00E3576C" w:rsidP="00E3576C">
      <w:pPr>
        <w:pStyle w:val="TextoNormal"/>
      </w:pPr>
      <w:r>
        <w:lastRenderedPageBreak/>
        <w:t>e) El codemandado don Juan Francisco Suárez Santana presentó sus alegaciones con fecha 7 de mayo de 2002, oponiéndose igualmente al planteamiento de la cuestión de inconstitucionalidad, por considerar que no existe en el presente caso vulneración de precepto constitucional alguno, siendo el supuesto planteado distinto del contemplado en la STC 82/1993 que se invoca por el demandante. La dispensa de grado establecida en la disposición transitoria segunda de la Ley del Parlamento de Canarias 6/1997 no supone invasión de la competencia estatal del art. 149.1.30 CE, pues no se trata de homologar o equiparar títulos (competencia estatal exclusiva), sino de la realización de un curso específico que dispensa de titulación en un grado para el acceso a plazas de oficiales de policía local, y ello con la finalidad de resolver los problemas originados en el estatuto de los policías locales por las leyes autonómicas. Por otra parte, no se vulnera el art. 23.2 CE, porque no se trata de un concurso libre, sino de una promoción interna, siendo las pruebas diferentes en uno y otro turno de acceso.</w:t>
      </w:r>
    </w:p>
    <w:p w:rsidR="00E3576C" w:rsidRDefault="00E3576C" w:rsidP="00E3576C">
      <w:pPr>
        <w:pStyle w:val="TextoNormal"/>
      </w:pPr>
    </w:p>
    <w:p w:rsidR="00E3576C" w:rsidRDefault="00E3576C" w:rsidP="00E3576C">
      <w:pPr>
        <w:pStyle w:val="TextoNormal"/>
      </w:pPr>
      <w:r>
        <w:t>f) El Ministerio Fiscal presentó su escrito de alegaciones con fecha 21 de mayo de 2002, señalando que, a la vista de la doctrina sentada en la STC 82/1993, de 8 de marzo, en la que se declaró la inconstitucionalidad y nulidad del art. 23.2 de la Ley de la Generalitat Valenciana 2/1990, de 4 de abril, de coordinación de policías locales, que contenía una previsión similar a la establecida en la disposición transitoria segunda de la Ley del Parlamento de Canarias 6/1997, de 4 de julio, de coordinación de policías locales, por invadir la competencia exclusiva del Estado contemplada en el art. 149.1.30 CE, es pertinente el planteamiento de la cuestión de inconstitucionalidad. Añade además que “bien pudiera entenderse que los artículos 14 y 23.2 de la Carta Magna resultan igualmente afectados por el texto de la convocatoria; tal cuestión queda, de momento, aparcada, ante la clamorosa infracción constitucional que supone la disposición transitoria segunda de la Ley de 1997”.</w:t>
      </w:r>
    </w:p>
    <w:p w:rsidR="00E3576C" w:rsidRDefault="00E3576C" w:rsidP="00E3576C">
      <w:pPr>
        <w:pStyle w:val="TextoNormal"/>
      </w:pPr>
    </w:p>
    <w:p w:rsidR="00E3576C" w:rsidRDefault="00E3576C" w:rsidP="00E3576C">
      <w:pPr>
        <w:pStyle w:val="TextoNormal"/>
      </w:pPr>
      <w:r>
        <w:t>g) El demandante no presentó escrito de alegaciones.</w:t>
      </w:r>
    </w:p>
    <w:p w:rsidR="00E3576C" w:rsidRDefault="00E3576C" w:rsidP="00E3576C">
      <w:pPr>
        <w:pStyle w:val="TextoNormal"/>
      </w:pPr>
    </w:p>
    <w:p w:rsidR="00E3576C" w:rsidRDefault="00E3576C" w:rsidP="00E3576C">
      <w:pPr>
        <w:pStyle w:val="TextoNormal"/>
      </w:pPr>
      <w:r>
        <w:t>h) Finalmente, el Juzgado de lo Contencioso-Administrativo núm. 1 de Las Palmas de Gran Canaria dictó Auto el 9 de junio de 2003,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00E3576C" w:rsidRDefault="00E3576C" w:rsidP="00E3576C">
      <w:pPr>
        <w:pStyle w:val="TextoNormal"/>
      </w:pPr>
    </w:p>
    <w:p w:rsidR="00E3576C" w:rsidRDefault="00E3576C" w:rsidP="00E3576C">
      <w:pPr>
        <w:pStyle w:val="TextoNormal"/>
      </w:pPr>
      <w:r>
        <w:t>i) Esta cuestión de inconstitucionalidad fue inadmitida por el Tribunal Constitucional en el Auto 2/2003, de 14 de enero de 2003, por no haberse satisfecho las condiciones procesales exigidas en el art. 37.1 LOTC para que proceda la admisión a trámite de la cuestión, en concreto, por haberse omitido en el trámite de audiencia previo previsto en el art. 35.2 LOTC la identificación clara de la norma legal que suscita la duda de constitucionalidad con el precepto constitucional pertinente.</w:t>
      </w:r>
    </w:p>
    <w:p w:rsidR="00E3576C" w:rsidRDefault="00E3576C" w:rsidP="00E3576C">
      <w:pPr>
        <w:pStyle w:val="TextoNormal"/>
      </w:pPr>
    </w:p>
    <w:p w:rsidR="00E3576C" w:rsidRDefault="00E3576C" w:rsidP="00E3576C">
      <w:pPr>
        <w:pStyle w:val="TextoNormal"/>
      </w:pPr>
      <w:r>
        <w:t xml:space="preserve">j) Tras las alegaciones de las partes se dictó nuevo Auto el 20 de marzo de 2003 en el que se declaró la nulidad de la providencia de 22 de abril de 2002 y de todo lo actuado a partir de ella, confiriéndose trámite de audiencia a las partes y al Ministerio Fiscal por plazo de diez días para que se pronunciaran sobre la posible inconstitucionalidad de la disposición transitoria segunda de la Ley 6/1997, de 4 de julio, de coordinación de policías locales de </w:t>
      </w:r>
      <w:r>
        <w:lastRenderedPageBreak/>
        <w:t>Canarias, por posible vulneración de los artículos 149.1.18 y 149.1.30 de la Constitución Española. El demandante reiteró el contenido del segundo otrosí de su demanda y el Fiscal estimó válido el planteamiento de la cuestión de inconstitucionalidad.</w:t>
      </w:r>
    </w:p>
    <w:p w:rsidR="00E3576C" w:rsidRDefault="00E3576C" w:rsidP="00E3576C">
      <w:pPr>
        <w:pStyle w:val="TextoNormal"/>
      </w:pPr>
    </w:p>
    <w:p w:rsidR="00E3576C" w:rsidRDefault="00E3576C" w:rsidP="00E3576C">
      <w:pPr>
        <w:pStyle w:val="TextoNormal"/>
      </w:pPr>
      <w:r>
        <w:t>k) El Juzgado de lo Contencioso-Administrativo núm. 1 de Las Palmas de Gran Canaria dictó nuevo Auto el 9 de junio de 2003, acordando “plantear ante el Tribunal Constitucional la inconstitucionalidad de la Disposición Transitoria Segunda de la Ley canaria 6/1997, de 4 de julio, de Coordinación de policías Locales, por violación de los arts. 149.1.18 CE —en relación con los arts. 22.1 y 25 de la Ley 30/84, de 2 de agosto— y 149.1.30 CE, elevando a dicho Tribunal testimonio de la presente resolución, de las alegaciones y de los autos principales”.</w:t>
      </w:r>
    </w:p>
    <w:p w:rsidR="00E3576C" w:rsidRDefault="00E3576C" w:rsidP="00E3576C">
      <w:pPr>
        <w:pStyle w:val="TextoNormal"/>
      </w:pPr>
    </w:p>
    <w:p w:rsidR="00E3576C" w:rsidRDefault="00E3576C" w:rsidP="00E3576C">
      <w:pPr>
        <w:pStyle w:val="TextoNormal"/>
      </w:pPr>
      <w:r w:rsidRPr="00E3576C">
        <w:rPr>
          <w:rStyle w:val="NumeroAFNegritaCaracter"/>
        </w:rPr>
        <w:t>3</w:t>
      </w:r>
      <w:r>
        <w:t>. El Juzgado fundamenta el planteamiento de la cuestión de inconstitucionalidad en las consideraciones que seguidamente se resumen:</w:t>
      </w:r>
    </w:p>
    <w:p w:rsidR="00E3576C" w:rsidRDefault="00E3576C" w:rsidP="00E3576C">
      <w:pPr>
        <w:pStyle w:val="TextoNormal"/>
      </w:pPr>
    </w:p>
    <w:p w:rsidR="00E3576C" w:rsidRDefault="00E3576C" w:rsidP="00E3576C">
      <w:pPr>
        <w:pStyle w:val="TextoNormal"/>
      </w:pPr>
      <w:r>
        <w:t>a) Tras reproducir la base cuarta de las impugnadas en el proceso contencioso-administrativo a quo y la disposición transitoria segunda de la Ley Canaria 6/1997, de 4 de julio, de coordinación de policías locales, que le sirve de apoyo, considera que este último precepto permite el acceso a un cuerpo o escala funcionarial encuadrada en el grupo A sin estar en posesión de la titulación exigida por la norma básica para la promoción interna —arts. 22.1 y 25 de la Ley 30/1984, de 2 de agosto, de medidas de reforma de la función pública. Por esta razón el precepto cuestionado vulnera la competencia estatal establecida en el art. 149.1.18 CE, tal como se desprende de la STC 388/1993, de 23 de diciembre, cuyo contenido literal reproduce parcialmente.</w:t>
      </w:r>
    </w:p>
    <w:p w:rsidR="00E3576C" w:rsidRDefault="00E3576C" w:rsidP="00E3576C">
      <w:pPr>
        <w:pStyle w:val="TextoNormal"/>
      </w:pPr>
    </w:p>
    <w:p w:rsidR="00E3576C" w:rsidRDefault="00E3576C" w:rsidP="00E3576C">
      <w:pPr>
        <w:pStyle w:val="TextoNormal"/>
      </w:pPr>
      <w:r>
        <w:t>b) En segundo lugar considera que, aun cuando se entendiera que el precepto cuestionado no exime de la titulación requerida por la norma básica sino que declara la equivalencia de aquellas titulaciones con la realización de los cursos y la obtención de diplomas correspondientes en la Academia Canaria de Seguridad, el precepto legal vulneraría la competencia exclusiva estatal ex art. 149.1.30 CE para la regulación de las condiciones de obtención, expedición y homologación de títulos académicos y profesionales, reforzando su argumentación con la cita de la STC 82/1993, de 8 de marzo, cuyo paralelismo con el supuesto analizado resalta.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21 de octubre de 2003, la Sección Tercera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Canarias,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Canarias”, lo que se produjo, respecto del primero, el día 1 de noviembre de 2003.</w:t>
      </w:r>
    </w:p>
    <w:p w:rsidR="00E3576C" w:rsidRDefault="00E3576C" w:rsidP="00E3576C">
      <w:pPr>
        <w:pStyle w:val="TextoNormal"/>
      </w:pPr>
    </w:p>
    <w:p w:rsidR="00E3576C" w:rsidRDefault="00E3576C" w:rsidP="00E3576C">
      <w:pPr>
        <w:pStyle w:val="TextoNormal"/>
      </w:pPr>
      <w:r w:rsidRPr="00E3576C">
        <w:rPr>
          <w:rStyle w:val="NumeroAFNegritaCaracter"/>
        </w:rPr>
        <w:t>5</w:t>
      </w:r>
      <w:r>
        <w:t xml:space="preserve">. El día 5 de noviembre de 2003 se recibió escrito de la Presidenta del Congreso de los Diputados por el que transmite el acuerdo adoptado por la Mesa de la Cámara en el que se </w:t>
      </w:r>
      <w:r>
        <w:lastRenderedPageBreak/>
        <w:t>decide comunicar al Tribunal Constitucional que el Congreso de los Diputados no se personará en la presente cuestión de inconstitucionalidad ni formulará alegaciones.</w:t>
      </w:r>
    </w:p>
    <w:p w:rsidR="00E3576C" w:rsidRDefault="00E3576C" w:rsidP="00E3576C">
      <w:pPr>
        <w:pStyle w:val="TextoNormal"/>
      </w:pPr>
    </w:p>
    <w:p w:rsidR="00E3576C" w:rsidRDefault="00E3576C" w:rsidP="00E3576C">
      <w:pPr>
        <w:pStyle w:val="TextoNormal"/>
      </w:pPr>
      <w:r w:rsidRPr="00E3576C">
        <w:rPr>
          <w:rStyle w:val="NumeroAFNegritaCaracter"/>
        </w:rPr>
        <w:t>6</w:t>
      </w:r>
      <w:r>
        <w:t>. Mediante escrito registrado el día 12 de noviembre de 2003, el Ministerio Fiscal interesó de este Tribunal que declarase inconstitucional y nula la disposición transitoria segunda de la Ley del Parlamento de Canarias 6/1997, de 4 de julio, de coordinación de policías locales, por invasión de la competencia exclusiva del Estado para regular las bases del régimen estatutario de los funcionarios de las Administraciones públicas, establecida en el art. 149.1.18 CE, en relación con los arts. 22.1 y 25 de la Ley 30/1984, de 2 de agosto, de medidas para la reforma de la función pública. El Ministerio Fiscal señala que la presente cuestión es de todo punto semejante a la 30/2002, por lo que reproduce, con las adaptaciones necesarias, los razonamientos que expuso en el escrito de alegaciones presentado con motivo de la referida cuestión de inconstitucionalidad.</w:t>
      </w:r>
    </w:p>
    <w:p w:rsidR="00E3576C" w:rsidRDefault="00E3576C" w:rsidP="00E3576C">
      <w:pPr>
        <w:pStyle w:val="TextoNormal"/>
      </w:pPr>
    </w:p>
    <w:p w:rsidR="00E3576C" w:rsidRDefault="00E3576C" w:rsidP="00E3576C">
      <w:pPr>
        <w:pStyle w:val="TextoNormal"/>
      </w:pPr>
      <w:r>
        <w:t>En primer término recuerda que la disposición transitoria segunda de la Ley Canaria de coordinación de policías locales establece una dispensa del requisito de titulación de un grado si se cumple la condición de haber realizado los cursos y obtenido los diplomas correspondientes de la Academia Canaria de Seguridad, como figura en las bases de la convocatoria impugnada. Para el Ministerio Fiscal, se trata de una dispensa condicionada de titulación en un grado, que en absoluto equipara la titulación necesaria para acceder al grado superior (cuya titulación se dispensa), pues no se da a los cursos y diplomas señalados validez educativa fuera del ámbito de la convocatoria para provisión de plazas de policía local. En otras palabras, la dispensa de titulación que la norma contiene agota sus efectos en el proceso de promoción profesional, pero carece de los efectos generales propios de la homologación. Por estos motivos el Ministerio Fiscal descarta que la disposición legal cuestionada invada la competencia reservada al Estado en materia de obtención, expedición y homologación de títulos académicos y profesionales (art. 149.1.30 CE),</w:t>
      </w:r>
    </w:p>
    <w:p w:rsidR="00E3576C" w:rsidRDefault="00E3576C" w:rsidP="00E3576C">
      <w:pPr>
        <w:pStyle w:val="TextoNormal"/>
      </w:pPr>
    </w:p>
    <w:p w:rsidR="00E3576C" w:rsidRDefault="00E3576C" w:rsidP="00E3576C">
      <w:pPr>
        <w:pStyle w:val="TextoNormal"/>
      </w:pPr>
      <w:r>
        <w:t>Por lo que se refiere a la adecuación de la norma cuestionada con el orden constitucional de competencias previsto en el art. 149.1.18 CE, el Ministerio Fiscal parte del reconocimiento por este Tribunal en su STC 388/1993, de 23 de diciembre, del carácter básico de los arts. 22.1 y 25 de la Ley 30/1984, de 2 de agosto, y pone de relieve lo que considera la patente contradicción de la dispensa de titulación prevista en la norma transitoria canaria —no así en los arts. 16, 21, 23 y 24— con las exigencias de aquellos preceptos estatales de que la promoción interna del personal se haga respetando la titulación correspondiente a cada grupo profesional, lo que hace incurrir al precepto cuestionado en la inconstitucionalidad denunciada.</w:t>
      </w:r>
    </w:p>
    <w:p w:rsidR="00E3576C" w:rsidRDefault="00E3576C" w:rsidP="00E3576C">
      <w:pPr>
        <w:pStyle w:val="TextoNormal"/>
      </w:pPr>
    </w:p>
    <w:p w:rsidR="00E3576C" w:rsidRDefault="00E3576C" w:rsidP="00E3576C">
      <w:pPr>
        <w:pStyle w:val="TextoNormal"/>
      </w:pPr>
      <w:r w:rsidRPr="00E3576C">
        <w:rPr>
          <w:rStyle w:val="NumeroAFNegritaCaracter"/>
        </w:rPr>
        <w:t>7</w:t>
      </w:r>
      <w:r>
        <w:t>. Con fecha 13 de noviembre de 2003,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00E3576C" w:rsidRDefault="00E3576C" w:rsidP="00E3576C">
      <w:pPr>
        <w:pStyle w:val="TextoNormal"/>
      </w:pPr>
    </w:p>
    <w:p w:rsidR="00E3576C" w:rsidRDefault="00E3576C" w:rsidP="00E3576C">
      <w:pPr>
        <w:pStyle w:val="TextoNormal"/>
      </w:pPr>
      <w:r w:rsidRPr="00E3576C">
        <w:rPr>
          <w:rStyle w:val="NumeroAFNegritaCaracter"/>
        </w:rPr>
        <w:t>8</w:t>
      </w:r>
      <w:r>
        <w:t>. El Abogado del Estado formuló alegaciones mediante escrito registrado en este Tribunal el día 17 de noviembre de 2003, en las cuales solicitó la estimación de la cuestión plantada y la declaración de inconstitucionalidad y nulidad de la disposición transitoria cuestionada.</w:t>
      </w:r>
    </w:p>
    <w:p w:rsidR="00E3576C" w:rsidRDefault="00E3576C" w:rsidP="00E3576C">
      <w:pPr>
        <w:pStyle w:val="TextoNormal"/>
      </w:pPr>
    </w:p>
    <w:p w:rsidR="00E3576C" w:rsidRDefault="00E3576C" w:rsidP="00E3576C">
      <w:pPr>
        <w:pStyle w:val="TextoNormal"/>
      </w:pPr>
      <w:r>
        <w:t>A tal efecto razona que la disposición cuestionada —dictada con el evidente propósito de favorecer a los policías locales nombrados a la entrada en vigor de la ley— dispensa de un grado de titulación a efectos de promoción interna y sustituye este requisito por la realización de “cursos” y la obtención de “diplomas” expedidos por la Academia Canaria de Seguridad. La cuestión suscitada guarda gran afinidad con la cuestión de inconstitucionalidad núm. 1323-1999, por lo que anuncia que sus alegaciones seguirán la línea de las formuladas en él.</w:t>
      </w:r>
    </w:p>
    <w:p w:rsidR="00E3576C" w:rsidRDefault="00E3576C" w:rsidP="00E3576C">
      <w:pPr>
        <w:pStyle w:val="TextoNormal"/>
      </w:pPr>
    </w:p>
    <w:p w:rsidR="00E3576C" w:rsidRDefault="00E3576C" w:rsidP="00E3576C">
      <w:pPr>
        <w:pStyle w:val="TextoNormal"/>
      </w:pPr>
      <w:r>
        <w:t>Considera el Abogado del Estado que la aplicación al caso de la doctrina sentada en la STC 388/1993, oportunamente recordada en el Auto de planteamiento, conduce a la estimación de la cuestión planteada, pues la disposición legal en discusión desconoce la Ley básica 30/1984 en cuanto ésta configura los títulos académicos como criterio taxonómico para la clasificación los cuerpos, escalas, clases y categorías de funcionarios (art. 25) que ha de ser respetada en la promoción interna (art. 22.1). Tal desconocimiento hace incurrir al precepto en inconstitucionalidad por vulneración del art. 149.1.18 CE, en relación con los arts. 1.3, 22.1 (primer párrafo) y 25 de la Ley 30/1984.</w:t>
      </w:r>
    </w:p>
    <w:p w:rsidR="00E3576C" w:rsidRDefault="00E3576C" w:rsidP="00E3576C">
      <w:pPr>
        <w:pStyle w:val="TextoNormal"/>
      </w:pPr>
    </w:p>
    <w:p w:rsidR="00E3576C" w:rsidRDefault="00E3576C" w:rsidP="00E3576C">
      <w:pPr>
        <w:pStyle w:val="TextoNormal"/>
      </w:pPr>
      <w:r>
        <w:t>El Abogado del Estado comparte igualmente el criterio del órgano judicial proponente de la cuestión en cuanto, con invocación de la doctrina de la STC 82/1993, de 8 de marzo, considera vulnerada la reserva estatal establecida en el art. 149.1.30 CE. En el presente supuesto es el legislador canario el que establece una dispensa de titulación que él mismo ha exigido en el art. 16.2 de su propia ley en obediencia a los preceptos básico de las Ley 30/1984, defiriendo a su propia Administración la determinación de los cursos y diplomas equivalentes a la titulación exigida, esto es, confiriéndose la facultad de homologación de los estudios efectuados en la Academia Canaria de Seguridad con la titulación exigida para el acceso al grupo funcionarial correspondiente, lo que implica la vulneración de la competencia exclusiva del Estado ya mencionada.</w:t>
      </w:r>
    </w:p>
    <w:p w:rsidR="00E3576C" w:rsidRDefault="00E3576C" w:rsidP="00E3576C">
      <w:pPr>
        <w:pStyle w:val="TextoNormal"/>
      </w:pPr>
    </w:p>
    <w:p w:rsidR="00E3576C" w:rsidRDefault="00E3576C" w:rsidP="00E3576C">
      <w:pPr>
        <w:pStyle w:val="TextoNormal"/>
      </w:pPr>
      <w:r w:rsidRPr="00E3576C">
        <w:rPr>
          <w:rStyle w:val="NumeroAFNegritaCaracter"/>
        </w:rPr>
        <w:t>9</w:t>
      </w:r>
      <w:r>
        <w:t>. La representación procesal del Parlamento de Canarias formuló alegaciones el 17 de noviembre de 2003. En el mismo solicita que se declare la inadmisión de la cuestión de inconstitucionalidad por ausencia de fundamentación conforme a lo dispuesto en el art. 37.1 LOTC y que, en el caso de no accederse a tal solicitud, se declare la plena constitucionalidad de la disposición transitoria segunda de la Ley del Parlamento de Canarias 6/1997, de 4 de julio.</w:t>
      </w:r>
    </w:p>
    <w:p w:rsidR="00E3576C" w:rsidRDefault="00E3576C" w:rsidP="00E3576C">
      <w:pPr>
        <w:pStyle w:val="TextoNormal"/>
      </w:pPr>
    </w:p>
    <w:p w:rsidR="00E3576C" w:rsidRDefault="00E3576C" w:rsidP="00E3576C">
      <w:pPr>
        <w:pStyle w:val="TextoNormal"/>
      </w:pPr>
      <w:r>
        <w:t>En relación a la primera alegación, el Letrado del Parlamento de Canarias aduce que el Auto de planteamiento de la cuestión de inconstitucionalidad adolece del rigor y la motivación suficiente porque plantea la duda de constitucionalidad sobre la base de efectuar una interpretación del precepto contraria a la Constitución y luego denunciar su desajuste con ella.</w:t>
      </w:r>
    </w:p>
    <w:p w:rsidR="00E3576C" w:rsidRDefault="00E3576C" w:rsidP="00E3576C">
      <w:pPr>
        <w:pStyle w:val="TextoNormal"/>
      </w:pPr>
    </w:p>
    <w:p w:rsidR="00E3576C" w:rsidRDefault="00E3576C" w:rsidP="00E3576C">
      <w:pPr>
        <w:pStyle w:val="TextoNormal"/>
      </w:pPr>
      <w:r>
        <w:t xml:space="preserve">Por otra parte, el Letrado del Parlamento de Canarias sostiene que la disposición cuestionada no equipara los diplomas de la Academia con los títulos mencionados en el art. 16.2 de la ley canaria, sino que simplemente excepciona el requisito de la titulación exigido en él, razón por la cual no puede afirmarse que la disposición transitoria segunda se dicte invadiendo la competencia estatal recogida en el art. 143.1.30 CE; antes al contrario, dicha norma se dicta en el ejercicio de la competencia sobre seguridad ciudadana asumida en el </w:t>
      </w:r>
      <w:r>
        <w:lastRenderedPageBreak/>
        <w:t>art. 34.1 de su Estatuto de Autonomía conforme a lo dispuesto en el art. 148.1.22 CE. A continuación, añade que la norma cuestionada es idéntica a otras establecidas por las leyes de coordinación de policías locales de otras Comunidades Autónomas y recuerda que este régimen transitorio similar deriva de la coincidencia de la necesidad de adecuarse a los dispuesto en la disposición transitoria octava de la Ley Orgánica 2/1986, de 13 de marzo, de fuerzas y cuerpos de seguridad, luego derogada por la Ley 26/1994, de 29 de septiembre. Y señala que ninguno de estos preceptos —sean de la legislación del Estado o de las Comunidades Autónomas— ha sido tachado de inconstitucionalidad.</w:t>
      </w:r>
    </w:p>
    <w:p w:rsidR="00E3576C" w:rsidRDefault="00E3576C" w:rsidP="00E3576C">
      <w:pPr>
        <w:pStyle w:val="TextoNormal"/>
      </w:pPr>
    </w:p>
    <w:p w:rsidR="00E3576C" w:rsidRDefault="00E3576C" w:rsidP="00E3576C">
      <w:pPr>
        <w:pStyle w:val="TextoNormal"/>
      </w:pPr>
      <w:r>
        <w:t>En opinión del Letrado del Parlamento de Canarias, el precepto autonómico encuentra su cobertura en el art. 39, apartado c) de la Ley Orgánica 2/1986, de 13 de marzo, según el cual corresponde a las Comunidades Autónomas “fijar los criterios de selección, formación, promoción y movilidad de las Policías locales, determinando los distintos niveles educativos exigibles para cada categoría, sin que, en ningún caso, el nivel pueda ser inferior a Graduado Escolar”. Ciertamente —afirma a continuación— el legislador canario podía regular la promoción interna, incluyendo un régimen transitorio semejante al establecido en la ley estatal para orillar así tratamientos discriminatorios entre funcionarios policiales.</w:t>
      </w:r>
    </w:p>
    <w:p w:rsidR="00E3576C" w:rsidRDefault="00E3576C" w:rsidP="00E3576C">
      <w:pPr>
        <w:pStyle w:val="TextoNormal"/>
      </w:pPr>
    </w:p>
    <w:p w:rsidR="00E3576C" w:rsidRDefault="00E3576C" w:rsidP="00E3576C">
      <w:pPr>
        <w:pStyle w:val="TextoNormal"/>
      </w:pPr>
      <w:r>
        <w:t>En consecuencia, afirma el Parlamento de Canarias, “la indagación determinante del juicio de constitucionalidad que merezca el precepto cuestionado habrá de relacionarse primordialmente con el encaje que la disposición tenga respecto a las competencias reconocidas en el art. 39 de la Ley Orgánica 2/1986 a la Comunidad Autónoma y con los elementos estructurales de dicha norma legal”. Por lo demás, la norma impugnada no es sino el trasunto de lo dispuesto originariamente en la norma estatal (apartado 8 de la disposición transitoria primera de la Ley Orgánica 2/1986, de 13 de marzo, de fuerzas y cuerpos de seguridad) en relación al Cuerpo Nacional de Policía, por lo cual no puede negarse a la Comunidad Autónoma la posibilidad de establecer un régimen de dispensa de titulación semejante.</w:t>
      </w:r>
    </w:p>
    <w:p w:rsidR="00E3576C" w:rsidRDefault="00E3576C" w:rsidP="00E3576C">
      <w:pPr>
        <w:pStyle w:val="TextoNormal"/>
      </w:pPr>
    </w:p>
    <w:p w:rsidR="00E3576C" w:rsidRDefault="00E3576C" w:rsidP="00E3576C">
      <w:pPr>
        <w:pStyle w:val="TextoNormal"/>
      </w:pPr>
      <w:r w:rsidRPr="00E3576C">
        <w:rPr>
          <w:rStyle w:val="NumeroAFNegritaCaracter"/>
        </w:rPr>
        <w:t>10</w:t>
      </w:r>
      <w:r>
        <w:t>. El Gobierno de Canarias, en alegaciones presentadas el 18 de noviembre de 2003, interesa se dice Sentencia por la que se desestime la cuestión de inconstitucionalidad planteada y se confirme la plena constitucionalidad de la disposición transitoria segunda de la Ley del Parlamento de Canarias 6/1997, de 4 de julio.</w:t>
      </w:r>
    </w:p>
    <w:p w:rsidR="00E3576C" w:rsidRDefault="00E3576C" w:rsidP="00E3576C">
      <w:pPr>
        <w:pStyle w:val="TextoNormal"/>
      </w:pPr>
    </w:p>
    <w:p w:rsidR="00E3576C" w:rsidRDefault="00E3576C" w:rsidP="00E3576C">
      <w:pPr>
        <w:pStyle w:val="TextoNormal"/>
      </w:pPr>
      <w:r>
        <w:t>En primer lugar, el representante procesal del Gobierno de Canarias rechaza que, tal como sostiene el Juez proponente de la cuestión, la Ley 30/1984, de 2 de agosto, sea aplicable a los cuerpos de seguridad, entre ellos la policía local, pues la indicada ley se dicta en el ejercicio de la competencia estatal reconocida en el art. 149.1.18 CE, mientras que el régimen de las fuerzas de seguridad se ampara en el art. 104.2 CE, que llama a una ley orgánica específica para regular el estatuto de estos específicos funcionarios en razón a las funciones de seguridad que desempeñan. Consecuentemente, sostiene que el título competencial afectado no es el estatal relativo a las bases del régimen jurídico de la función pública sino el de seguridad pública.</w:t>
      </w:r>
    </w:p>
    <w:p w:rsidR="00E3576C" w:rsidRDefault="00E3576C" w:rsidP="00E3576C">
      <w:pPr>
        <w:pStyle w:val="TextoNormal"/>
      </w:pPr>
    </w:p>
    <w:p w:rsidR="00E3576C" w:rsidRDefault="00E3576C" w:rsidP="00E3576C">
      <w:pPr>
        <w:pStyle w:val="TextoNormal"/>
      </w:pPr>
      <w:r>
        <w:t xml:space="preserve">Una vez descartada la aplicación directa, con el carácter de básica, de la Ley 30/1984, de 2 de agosto, el Gobierno de Canarias señala que el art. 39 c) de la Ley Orgánica de las fuerzas y cuerpos de seguridad (LOFCS) atribuye competencia a las Comunidades Autónomas para “fijar los criterios de selección, formación y movilidad de las Policías Locales, </w:t>
      </w:r>
      <w:r>
        <w:lastRenderedPageBreak/>
        <w:t>determinando los distintos niveles educativos exigibles para cada categoría, sin que en ningún caso, el nivel pueda ser inferior a Graduado Escolar”, y que fruto de esta competencia son notables las diferencias de regulación en las distintas Comunidades Autónomas.</w:t>
      </w:r>
    </w:p>
    <w:p w:rsidR="00E3576C" w:rsidRDefault="00E3576C" w:rsidP="00E3576C">
      <w:pPr>
        <w:pStyle w:val="TextoNormal"/>
      </w:pPr>
    </w:p>
    <w:p w:rsidR="00E3576C" w:rsidRDefault="00E3576C" w:rsidP="00E3576C">
      <w:pPr>
        <w:pStyle w:val="TextoNormal"/>
      </w:pPr>
      <w:r>
        <w:t>Por lo que respecta a la Comunidad Autónoma de Canarias, tal competencia ha sido ejercida en la Ley 6/1997, de 4 de julio, de coordinación de policías locales de Canarias, introduciendo un régimen transitorio que no vulnera el art. 22.1 de la ley 30/1984 porque dicha norma no es aplicable, o al menos no como básica, en la Comunidad Canaria. Es más, la policía local está englobada en la escala de Administración especial precisamente porque lo que la define no es la titulación exigida para el ingreso en ella sino la especificidad de sus funciones, de suerte que el encuadramiento en alguno de los grupos establecidos en la Ley 30/1984 tiene un carácter fundamentalmente retributivo, tal como se desprende del Real Decreto 861/1986, sobre retribuciones del personal al servicio de la Administración local.</w:t>
      </w:r>
    </w:p>
    <w:p w:rsidR="00E3576C" w:rsidRDefault="00E3576C" w:rsidP="00E3576C">
      <w:pPr>
        <w:pStyle w:val="TextoNormal"/>
      </w:pPr>
    </w:p>
    <w:p w:rsidR="00E3576C" w:rsidRDefault="00E3576C" w:rsidP="00E3576C">
      <w:pPr>
        <w:pStyle w:val="TextoNormal"/>
      </w:pPr>
      <w:r>
        <w:t>Según el Gobierno de Canarias la disposición cuestionada no hace sino trasponer en el ámbito de la policía local de la Comunidad Canaria la norma estatal de dispensa transitoria de grado en la promoción profesional que se contiene en la disposición transitoria primera, apartado 8, LOFCS, norma que lógicamente se refiere exclusivamente al Cuerpo Nacional de Policía para respetar la competencia autonómica que el citado art. 39 c) LOFCS atribuye para regular la promoción profesional en el seno de la policía local.</w:t>
      </w:r>
    </w:p>
    <w:p w:rsidR="00E3576C" w:rsidRDefault="00E3576C" w:rsidP="00E3576C">
      <w:pPr>
        <w:pStyle w:val="TextoNormal"/>
      </w:pPr>
    </w:p>
    <w:p w:rsidR="00E3576C" w:rsidRDefault="00E3576C" w:rsidP="00E3576C">
      <w:pPr>
        <w:pStyle w:val="TextoNormal"/>
      </w:pPr>
      <w:r>
        <w:t>Por lo demás, la dispensa de grado para la promoción profesional tiene carácter transitorio y limitado en el tiempo para dar respuesta y solución a una situación única e irrepetible de variación de los requisitos de titulación exigidos para el ingreso en determinados escalones profesionales dentro de la policía local. Pues bien, la adopción de medidas excepcionales para la consecución de un fin constitucionalmente legítimo como la promoción profesional (art. 35.1 CE) ha sido considerada como adecuada a los principios de mérito y capacidad propios de la función pública —art. 103.3 CE— por la doctrina constitucional (STC 27/1991).</w:t>
      </w:r>
    </w:p>
    <w:p w:rsidR="00E3576C" w:rsidRDefault="00E3576C" w:rsidP="00E3576C">
      <w:pPr>
        <w:pStyle w:val="TextoNormal"/>
      </w:pPr>
    </w:p>
    <w:p w:rsidR="00E3576C" w:rsidRDefault="00E3576C" w:rsidP="00E3576C">
      <w:pPr>
        <w:pStyle w:val="TextoNormal"/>
      </w:pPr>
      <w:r>
        <w:t>Finalmente se rechaza que la disposición legal cuestionada invada la competencia exclusiva estatal ex art. 149.1.30 CE para la homologación de títulos, pues tal homologación no se establece por la norma transitoria impugnada, sino que tan sólo se dispensa transitoriamente del requisito de la titulación pero sometiendo tal dispensa al requisito de superar ciertos cursos, lo cual es cosa muy distinta según la representación procesal del Gobierno autonómico.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En la STC 2/2012, de fecha de hoy, mediante la que se resuelve la cuestión de inconstitucionalidad núm. 30-2002, este Tribunal ha declarado inconstitucional y nula la disposición transitoria segunda de la Ley del Parlamento de Canarias 6/1997, de 4 de julio, por vulneración del art. 149.1.18 CE, resolución ésta que, a partir del día siguiente de su publicación en el “Boletín Oficial del Estado”, tiene el valor de cosa juzgada y plenos efectos frente a todos (art. 164.1 de la Constitución y art. 38.1 de la Ley Orgánica del Tribunal Constitucional). Se sigue de ello que el precepto cuestionado por el Juzgado de lo Conten</w:t>
      </w:r>
      <w:r>
        <w:lastRenderedPageBreak/>
        <w:t>cioso-Administrativo núm. 1 de Las Palmas de Gran Canaria ha sido expulsado del ordenamiento, una vez anulado por inconstitucional, lo que impone ahora apreciar, conforme a reiterada jurisprudencia de este Tribunal (SSTC 387/1993, de 23 de diciembre, FJ único; 72/1997, de 10 de abril, FJ único; 91/1997, de 8 de mayo, FJ único; AATC 77/2007, de 27 de febrero, FJ único; y 306/2007, de 19 de junio, FJ único) la desaparición sobrevenida del objeto de la presente cuestión, al haber quedado disipada la duda de constitucionalidad planteada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 la cuestión de inconstitucionalidad núm. 5384-2003, por desaparición sobrevenida de su objeto.</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46" w:name="AUTO_2012_5"/>
      <w:r>
        <w:lastRenderedPageBreak/>
        <w:t>AUTO 5/2012, de 13 de enero de 2012</w:t>
      </w:r>
    </w:p>
    <w:bookmarkEnd w:id="146"/>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ECLI:ES:TC:2012:5A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de la cuestión de inconstitucionalidad 4465-2004, planteada por el Juzgado de lo Contencioso-Administrativo núm. 1 de Las Palmas de Gran Canaria en relación con la disposición transitoria segunda de la Ley del Parlamento de Canarias 6/1997, de 4 de julio, de coordinación de policías locales.</w:t>
      </w:r>
    </w:p>
    <w:p w:rsidR="00E3576C" w:rsidRDefault="00E3576C" w:rsidP="00E3576C">
      <w:pPr>
        <w:pStyle w:val="SntesisDescriptiva"/>
      </w:pPr>
    </w:p>
    <w:p w:rsidR="00E3576C" w:rsidRDefault="00E3576C" w:rsidP="00E3576C">
      <w:pPr>
        <w:pStyle w:val="SntesisAnaltica"/>
      </w:pPr>
      <w:r>
        <w:t>Cuestión de inconstitucionalidad: extinción de cuestión de inconstitucionalidad; pérdida sobrevenida de objeto por declaración de inconstitucionalidad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oficio registrado en este Tribunal el día 8 de julio de 2004, el Secretario del Juzgado de lo Contencioso-Administrativo núm. 1 de Las Palmas de Gran Canaria remitió testimonio del Auto de 11 de junio de 2004, dictado por la Magistrada del indicado Juzgado, mediante el que se plantea ante este Tribunal cuestión de inconstitucionalidad en relación con la disposición legal a que se ha hecho referencia en el encabezamiento de esta Sentencia.</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cuestión de inconstitucionalidad se plantea en el seno del recurso contencioso-administrativo núm. 551-2001 en el que se impugnaba la oferta del empleo público del Ayuntamiento de Las Palmas publicada en el “Boletín Oficial de la Provincia” de Las Palmas de 6 de junio de 2001, para la provisión de una plaza de grupo A, subescala de servicios especiales, clase oficial de la policía local del referido Ayuntamiento de Las Palmas. </w:t>
      </w:r>
    </w:p>
    <w:p w:rsidR="00E3576C" w:rsidRDefault="00E3576C" w:rsidP="00E3576C">
      <w:pPr>
        <w:pStyle w:val="TextoNormal"/>
      </w:pPr>
    </w:p>
    <w:p w:rsidR="00E3576C" w:rsidRDefault="00E3576C" w:rsidP="00E3576C">
      <w:pPr>
        <w:pStyle w:val="TextoNormal"/>
      </w:pPr>
      <w:r>
        <w:t>Concluso el proceso, la Juez de lo contencioso-administrativo dictó providencia el 22 de julio de 2002 por la que, de conformidad con lo dispuesto en el art. 35.2 de la Ley Orgánica del Tribunal Constitucional (LOTC) y con suspensión del plazo para dictar Sentencia, daba traslado al Ministerio Fiscal y a las partes personadas para que en el término común de diez días pudieran formular alegaciones en relación con la pertinencia de plantear cuestión de inconstitucionalidad sobre la disposición transitoria segunda de la Ley canaria 6/1997, de 4 de julio, de coordinación de policías locales de Canarias, por posible vulneración de los arts. 149.1, apartados 18 y 30 CE. Evacuando el traslado conferido, el Ministerio Fiscal y la parte recurrente solicitaron el planteamiento de la cuestión de inconstitucionalidad, mientras que la Administración demandada y el codemandado se mostraron contrarios a su planteamiento.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Por Auto de 11 de junio de 2004, la Juez de lo Contencioso-Administrativo núm. 1 de Las Palmas de Gran Canaria planteó cuestión de inconstitucionalidad en relación con la disposición transitoria segunda de la Ley del Parlamento de Canarias 6/1997, de 4 de julio, de coordinación de policías locales de Canarias, por posible vulneración de los arts. 149.1.18 CE, en relación con los arts. 22.1 y 25 de la Ley 30/1984, de 2 de agosto, y 149.1.30 CE. Su argumentación es, sucintamente expuesta, la siguiente: </w:t>
      </w:r>
    </w:p>
    <w:p w:rsidR="00E3576C" w:rsidRDefault="00E3576C" w:rsidP="00E3576C">
      <w:pPr>
        <w:pStyle w:val="TextoNormal"/>
      </w:pPr>
    </w:p>
    <w:p w:rsidR="00E3576C" w:rsidRDefault="00E3576C" w:rsidP="00E3576C">
      <w:pPr>
        <w:pStyle w:val="TextoNormal"/>
      </w:pPr>
      <w:r>
        <w:t>a) Tras reproducir la base cuarta de las impugnadas en el proceso contencioso-administrativo a quo y la disposición transitoria segunda de la Ley 6/1997, de 4 de julio, de coordinación de policías locales de Canarias, que le sirve de apoyo, considera que este último precepto permite el acceso a un cuerpo o escala funcionarial encuadrada en el grupo A sin estar en posesión de la titulación exigida por la norma básica para la promoción interna —arts. 22.1 y 25 de la Ley 30/1984, de 2 de agosto, de medidas para la reforma de la función pública—. Por esta razón, aprecia que el precepto cuestionado vulnera la competencia estatal establecida en el art. 149.1.18 CE, tal como se desprende de la STC 388/1993, de 23 de diciembre, cuyo contenido literal reproduce parcialmente.</w:t>
      </w:r>
    </w:p>
    <w:p w:rsidR="00E3576C" w:rsidRDefault="00E3576C" w:rsidP="00E3576C">
      <w:pPr>
        <w:pStyle w:val="TextoNormal"/>
      </w:pPr>
    </w:p>
    <w:p w:rsidR="00E3576C" w:rsidRDefault="00E3576C" w:rsidP="00E3576C">
      <w:pPr>
        <w:pStyle w:val="TextoNormal"/>
      </w:pPr>
      <w:r>
        <w:t>b) En segundo lugar considera que, aun cuanto se entendiera que el precepto cuestionado no exime de la titulación requerida por la norma básica sino que declara la equivalencia de aquellas titulaciones con la realización de los cursos y la obtención de diplomas correspondientes en la Academia Canaria de Seguridad, entonces el precepto legal vulneraría la competencia exclusiva estatal ex art. 149.1.30 CE para la regulación de las condiciones de obtención, expedición y homologación de títulos académicos y profesionales, reforzando su argumentación con la cita de la STC 82/1993, de 8 de marzo, cuyo paralelismo con el supuesto analizado resalta.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14 de septiembre de 2004, la Sección Cuarta de este Tribunal acordó admitir a trámite la presente cuestión de inconstitucionalidad y, de conformidad con lo dispuesto en el art. 37.2 LOTC, dar traslado de las actuaciones al Congreso de Diputados y al Senado, por conducto de sus Presidentes, al Gobierno de la Nación, por conducto del Ministro de Justicia, y al Fiscal General del Estado, así como al Gobierno y Parlamento de Canarias,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“Boletín Oficial de Canarias”, lo que se produjo, respecto del primero, el día 5 de octubre de 2004.</w:t>
      </w:r>
    </w:p>
    <w:p w:rsidR="00E3576C" w:rsidRDefault="00E3576C" w:rsidP="00E3576C">
      <w:pPr>
        <w:pStyle w:val="TextoNormal"/>
      </w:pPr>
    </w:p>
    <w:p w:rsidR="00E3576C" w:rsidRDefault="00E3576C" w:rsidP="00E3576C">
      <w:pPr>
        <w:pStyle w:val="TextoNormal"/>
      </w:pPr>
      <w:r w:rsidRPr="00E3576C">
        <w:rPr>
          <w:rStyle w:val="NumeroAFNegritaCaracter"/>
        </w:rPr>
        <w:t>5</w:t>
      </w:r>
      <w:r>
        <w:t>. Con fecha 29 de septiembre de 2004, tuvo entrada en este Tribunal escrito del Presidente del Senado por el que pone en su conocimiento el acuerdo de la Mesa de la Cámara por el que se acuerda dar por personada a la Cámara en el procedimiento y por ofrecida su colaboración a los efectos del art. 88.1 LOTC.</w:t>
      </w:r>
    </w:p>
    <w:p w:rsidR="00E3576C" w:rsidRDefault="00E3576C" w:rsidP="00E3576C">
      <w:pPr>
        <w:pStyle w:val="TextoNormal"/>
      </w:pPr>
    </w:p>
    <w:p w:rsidR="00E3576C" w:rsidRDefault="00E3576C" w:rsidP="00E3576C">
      <w:pPr>
        <w:pStyle w:val="TextoNormal"/>
      </w:pPr>
      <w:r w:rsidRPr="00E3576C">
        <w:rPr>
          <w:rStyle w:val="NumeroAFNegritaCaracter"/>
        </w:rPr>
        <w:t>6</w:t>
      </w:r>
      <w:r>
        <w:t>. El día 1 de octubre de 2004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00E3576C" w:rsidRDefault="00E3576C" w:rsidP="00E3576C">
      <w:pPr>
        <w:pStyle w:val="TextoNormal"/>
      </w:pPr>
    </w:p>
    <w:p w:rsidR="00E3576C" w:rsidRDefault="00E3576C" w:rsidP="00E3576C">
      <w:pPr>
        <w:pStyle w:val="TextoNormal"/>
      </w:pPr>
      <w:r w:rsidRPr="00E3576C">
        <w:rPr>
          <w:rStyle w:val="NumeroAFNegritaCaracter"/>
        </w:rPr>
        <w:t>7</w:t>
      </w:r>
      <w:r>
        <w:t>. El Ministerio Fiscal, en escrito presentado el 30 de septiembre de 2004, solicitó de este Tribunal que declarase inconstitucional y nula la disposición transitoria segunda de la Ley del Parlamento de Canarias 6/1997, de 4 de julio, de coordinación de policías locales, remitiéndose al escrito de alegaciones presentado en la cuestión de inconstitucionalidad núm. 5384-2003.</w:t>
      </w:r>
    </w:p>
    <w:p w:rsidR="00E3576C" w:rsidRDefault="00E3576C" w:rsidP="00E3576C">
      <w:pPr>
        <w:pStyle w:val="TextoNormal"/>
      </w:pPr>
    </w:p>
    <w:p w:rsidR="00E3576C" w:rsidRDefault="00E3576C" w:rsidP="00E3576C">
      <w:pPr>
        <w:pStyle w:val="TextoNormal"/>
      </w:pPr>
      <w:r w:rsidRPr="00E3576C">
        <w:rPr>
          <w:rStyle w:val="NumeroAFNegritaCaracter"/>
        </w:rPr>
        <w:t>8</w:t>
      </w:r>
      <w:r>
        <w:t>. La representación procesal del Parlamento de Canarias formuló alegaciones el 4 de octubre de 2004. Aduce en primer término que el Auto de planteamiento de la cuestión de inconstitucionalidad adolece del rigor y la motivación suficiente porque plantea la duda de constitucionalidad sobre la base de efectuar una interpretación del precepto contraria a la Constitución y luego denunciar su desajuste con ella. Así, rechaza que en la disposición cuestionada se equiparen los diplomas de la Academia con los títulos mencionados en el art. 16.2 de la ley canaria, sino que simplemente se excepciona el requisito de la titulación exigido en él, razón por la cual no puede afirmarse que la disposición transitoria segunda se dicte invadiendo la competencia estatal recogida en el art. 143.1.30 CE, sino en el ejercicio de la competencia sobre seguridad ciudadana asumida en el art. 34.1 de su Estatuto de Autonomía conforme a lo dispuesto en el art. 148.1.22 CE. Se establece una norma transitoria semejante a la introducida por otras Comunidades Autónomas y al régimen arbitrado en la disposición transitoria octava de la Ley Orgánica 2/1986, de 13 de marzo, de fuerzas y cuerpos de seguridad, luego derogada por la Ley 26/1994, de 29 de septiembre. De ahí que, no siendo el título competencial el de desarrollo de las bases estatales incorporadas a la Ley 30/1984, de 2 de agosto, no quepa entender que se haya vulnerado tal competencia estatal. El precepto autonómico encuentra su cobertura en el art. 39, apartado c) de la Ley Orgánica 2/1986, de 13 de marzo, según el cual corresponde a las Comunidades Autónomas “fijar los criterios de selección, formación, promoción y movilidad de las Policías locales, determinando los distintos niveles educativos exigibles para cada categoría, sin que, en ningún caso, el nivel pueda ser inferior a Graduado Escolar”. Afirma que el legislador canario podía regular la promoción interna, incluyendo un régimen transitorio semejante al establecido en la ley estatal para orillar así tratamientos discriminatorios entre funcionarios policiales. Consecuentemente, afirma el Parlamento de Canarias, “la indagación determinante del juicio de constitucionalidad que merezca el precepto cuestionado habrá de relacionarse primordialmente con el encaje que la disposición tenga respecto a las competencias reconocidas en el art. 39 de la Ley Orgánica 2/1986 a la Comunidad Autónoma y con los elementos estructurales de dicha norma legal”. Por lo demás, afirma la representación procesal del Parlamento de Canarias que la norma impugnada no es sino el trasunto de lo dispuesto originariamente en la norma estatal (apartado 8 de la disposición transitoria primera de la Ley Orgánica 2/1986, de 13 de marzo, de fuerzas y cuerpos de seguridad) en relación a la del Cuerpo Nacional de Policía, por lo cual no puede negarse a la Comunidad Autónoma la posibilidad de establecer un régimen de dispensa de titulación semejante.</w:t>
      </w:r>
    </w:p>
    <w:p w:rsidR="00E3576C" w:rsidRDefault="00E3576C" w:rsidP="00E3576C">
      <w:pPr>
        <w:pStyle w:val="TextoNormal"/>
      </w:pPr>
    </w:p>
    <w:p w:rsidR="00E3576C" w:rsidRDefault="00E3576C" w:rsidP="00E3576C">
      <w:pPr>
        <w:pStyle w:val="TextoNormal"/>
      </w:pPr>
      <w:r w:rsidRPr="00E3576C">
        <w:rPr>
          <w:rStyle w:val="NumeroAFNegritaCaracter"/>
        </w:rPr>
        <w:t>9</w:t>
      </w:r>
      <w:r>
        <w:t xml:space="preserve">. El Abogado del Estado formuló alegaciones mediante escrito registrado en este Tribunal el día 7 de octubre de 2004, solicitando la estimación de la cuestión plantada y la declaración de inconstitucionalidad y nulidad de la disposición transitoria cuestionada. A tal efecto razona que la disposición cuestionada —dictada con el evidente propósito de favorecer a los policías locales nombrados a la entrada en vigor de la ley— dispensa de un </w:t>
      </w:r>
      <w:r>
        <w:lastRenderedPageBreak/>
        <w:t>grado de titulación a efectos de promoción interna y sustituye este requisito por la realización de “cursos” y la obtención de “diplomas” expedidos por la Academia Canaria de Seguridad. Añade que la cuestión suscitada guarda gran afinidad con la cuestión de inconstitucionalidad núm. 1323-1999, por lo que anuncia que sus alegaciones seguirán la línea de las formuladas en él.</w:t>
      </w:r>
    </w:p>
    <w:p w:rsidR="00E3576C" w:rsidRDefault="00E3576C" w:rsidP="00E3576C">
      <w:pPr>
        <w:pStyle w:val="TextoNormal"/>
      </w:pPr>
    </w:p>
    <w:p w:rsidR="00E3576C" w:rsidRDefault="00E3576C" w:rsidP="00E3576C">
      <w:pPr>
        <w:pStyle w:val="TextoNormal"/>
      </w:pPr>
      <w:r>
        <w:t xml:space="preserve">Considera el Abogado del Estado que la aplicación al caso de la doctrina sentada en la STC 388/1993, oportunamente recordada en el Auto de planteamiento, conduce a la estimación de la cuestión planteada, pues la disposición legal en discusión desconoce la Ley 30/1984 en cuanto ésta configura los títulos académicos como criterio taxonómico para la clasificación los cuerpos, escalas, clases y categorías de funcionarios (art. 25) que ha de ser respetada en la promoción interna (art. 22.1). Tal desconocimiento hace incurrir al precepto en inconstitucionalidad por vulneración del art. 149.1.18 CE, en relación con los arts. 1.3, 22.1 (primer párrafo) y 25 de la Ley 30/1984. </w:t>
      </w:r>
    </w:p>
    <w:p w:rsidR="00E3576C" w:rsidRDefault="00E3576C" w:rsidP="00E3576C">
      <w:pPr>
        <w:pStyle w:val="TextoNormal"/>
      </w:pPr>
    </w:p>
    <w:p w:rsidR="00E3576C" w:rsidRDefault="00E3576C" w:rsidP="00E3576C">
      <w:pPr>
        <w:pStyle w:val="TextoNormal"/>
      </w:pPr>
      <w:r>
        <w:t>Igualmente comparte el Abogado del Estado el criterio del órgano judicial proponente de la cuestión en cuanto, con invocación de la doctrina de la STC 82/1993, de 8 de marzo, considera vulnerada la reserva estatal establecida en el art. 149.1.30 CE. En el presente supuesto es el legislador canario el que establece una dispensa de titulación que él mismo ha exigido en el art. 16.2 de su propia ley en obediencia a los preceptos básicos de la Ley 30/1984, defiriendo a su propia Administración la determinación de los cursos y diplomas equivalentes a la titulación exigida, esto es, confiriéndose la facultad de homologación de los estudios efectuados en la Academia canaria de seguridad con la titulación exigida para el acceso al grupo funcionarial correspondiente, lo que implica la vulneración de la competencia exclusiva del Estado ya mencionada.</w:t>
      </w:r>
    </w:p>
    <w:p w:rsidR="00E3576C" w:rsidRDefault="00E3576C" w:rsidP="00E3576C">
      <w:pPr>
        <w:pStyle w:val="TextoNormal"/>
      </w:pPr>
    </w:p>
    <w:p w:rsidR="00E3576C" w:rsidRDefault="00E3576C" w:rsidP="00E3576C">
      <w:pPr>
        <w:pStyle w:val="TextoNormal"/>
      </w:pPr>
      <w:r w:rsidRPr="00E3576C">
        <w:rPr>
          <w:rStyle w:val="NumeroAFNegritaCaracter"/>
        </w:rPr>
        <w:t>10</w:t>
      </w:r>
      <w:r>
        <w:t>. El Gobierno de Canarias, en alegaciones presentadas el 8 de octubre de 2004, rechaza que, tal como sostiene el Juez proponente de la cuestión, la Ley 30/1984, de 2 de agosto, sea aplicable a los cuerpos de seguridad, entre ellos la policía local, pues la indicada ley se dicta en el ejercicio de la competencia estatal reconocida en el art. 149.1.18 CE, mientras que el régimen de las fuerzas de seguridad se ampara en el art. 104.2 CE que llama a una ley orgánica específica para regular el estatuto de estos específicos funcionarios en razón a las funciones de seguridad que desempeñan. Consecuentemente, sostiene que el título competencial afectado no es el estatal relativo a las bases del régimen jurídico de la función pública sino el de seguridad pública.</w:t>
      </w:r>
    </w:p>
    <w:p w:rsidR="00E3576C" w:rsidRDefault="00E3576C" w:rsidP="00E3576C">
      <w:pPr>
        <w:pStyle w:val="TextoNormal"/>
      </w:pPr>
    </w:p>
    <w:p w:rsidR="00E3576C" w:rsidRDefault="00E3576C" w:rsidP="00E3576C">
      <w:pPr>
        <w:pStyle w:val="TextoNormal"/>
      </w:pPr>
      <w:r>
        <w:t xml:space="preserve">Una vez que descarta la aplicación directa, con el carácter de básica, de la Ley 30/1984, de 2 de agosto, señala el Gobierno de Canarias que el art. 39 c) de la Ley Orgánica de las fuerzas y cuerpos de seguridad (LOFCS) atribuye competencia a las Comunidades Autónomas para “fijar los criterios de selección, formación y movilidad de las Policías Locales, determinando los distintos niveles educativos exigibles para cada categoría, sin que en ningún caso, el nivel pueda ser inferior a Graduado Escolar”, y que fruto de esta competencia son notables las diferencias de regulación en las distintas Comunidades Autónomas. Por lo que respecta a la Comunidad Autónoma de Canarias, tal competencia ha sido ejercida en la Ley 6/1997, de 4 de julio, de coordinación de policías locales de Canarias, introduciendo un régimen transitorio que no vulnera el art. 22.1 de la Ley 30/1984 porque dicha norma no es aplicable, o al menos no como básica, en la Comunidad Canaria. Es más, la policía local está englobada en la escala de Administración especial precisamente porque lo que la define </w:t>
      </w:r>
      <w:r>
        <w:lastRenderedPageBreak/>
        <w:t>no es la titulación exigida para el ingreso en ella sino la especificidad de sus funciones, de suerte que el encuadramiento en alguno de los grupos establecidos en la Ley 30/1984 tiene un carácter fundamentalmente retributivo, tal como se desprende del Real Decreto 861/1986, sobre retribuciones del personal al servicio de la Administración local.</w:t>
      </w:r>
    </w:p>
    <w:p w:rsidR="00E3576C" w:rsidRDefault="00E3576C" w:rsidP="00E3576C">
      <w:pPr>
        <w:pStyle w:val="TextoNormal"/>
      </w:pPr>
    </w:p>
    <w:p w:rsidR="00E3576C" w:rsidRDefault="00E3576C" w:rsidP="00E3576C">
      <w:pPr>
        <w:pStyle w:val="TextoNormal"/>
      </w:pPr>
      <w:r>
        <w:t>Según el Gobierno de Canarias la disposición cuestionada no hace sino trasponer en el ámbito de la policía local de la Comunidad Canaria la norma estatal de dispensa transitoria de grado en la promoción profesional que se contiene en la disposición transitoria primera, apartado 8 LOFCS, norma que lógicamente se refiere exclusivamente al Cuerpo Nacional de Policía para respetar la competencia autonómica que el citado art. 39 c) LOFCS atribuye para regular la promoción profesional en el seno de la policía local. Por lo demás, la dispensa de grado para la promoción profesional tiene carácter transitorio y limitado en el tiempo para dar respuesta y solución a una situación única e irrepetible de variación de los requisitos de titulación exigidos para el ingreso en determinados escalones profesionales dentro de la policía local. Pues bien, la adopción de medidas excepcionales para la consecución de un fin constitucionalmente legítimo, como la promoción profesional (art. 35.1 CE), ha sido considerada como adecuada a los principios de mérito y capacidad propios de la función pública —art. 103.3 CE— por la doctrina constitucional (STC 27/1991, de 14 de febrero).</w:t>
      </w:r>
    </w:p>
    <w:p w:rsidR="00E3576C" w:rsidRDefault="00E3576C" w:rsidP="00E3576C">
      <w:pPr>
        <w:pStyle w:val="TextoNormal"/>
      </w:pPr>
    </w:p>
    <w:p w:rsidR="00E3576C" w:rsidRDefault="00E3576C" w:rsidP="00E3576C">
      <w:pPr>
        <w:pStyle w:val="TextoNormal"/>
      </w:pPr>
      <w:r>
        <w:t>Finalmente se rechaza en las alegaciones del Gobierno de Canarias que la disposición legal cuestionada invada la competencia exclusiva estatal ex art. 149.1.30 para la homologación de títulos, pues tal homologación no se establece por la norma transitoria impugnada, sino que tan sólo se dispensa transitoriamente del requisito de la titulación pero sometiendo tal dispensa al requisito de superar ciertos cursos, lo cual es cosa muy distinta, según la representación procesal del Gobierno autonómico.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En la STC 2/2012, de fecha de hoy, mediante la que se resuelve la cuestión de inconstitucionalidad núm. 30-2002, este Tribunal ha declarado inconstitucional y nula la disposición transitoria segunda de la Ley del Parlamento de Canarias 6/1997, de 4 de julio, de coordinación de policías locales de Canarias, por vulneración del art. 149.1.18 CE, resolución ésta que, a partir del día siguiente de su publicación en el “Boletín Oficial del Estado”, tiene el valor de cosa juzgada y plenos efectos frente a todos (art. 164.1 de la Constitución y art. 38.1 de la Ley Orgánica del Tribunal Constitucional). Se sigue de ello que el precepto cuestionado por el Juzgado de lo Contencioso-Administrativo núm.1 de Las Palmas de Gran Canaria ha sido expulsado del ordenamiento, una vez anulado por inconstitucional, lo que impone ahora apreciar, conforme a reiterada jurisprudencia de este Tribunal (SSTC 387/1993, de 23 de diciembre, FJ único; 72/1997, de 10 de abril, FJ único; 91/1997, de 8 de mayo, FJ único; AATC 77/2007, de 27 de febrero, FJ único; y 306/2007, de 19 de junio, FJ único) la desaparición sobrevenida del objeto de la presente cuestión, al haber quedado disipada la duda de constitucionalidad planteada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lastRenderedPageBreak/>
        <w:t>Declarar extinguida la cuestión de inconstitucionalidad núm. 4465-2004, por desaparición sobrevenida de su objeto.</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47" w:name="AUTO_2012_6"/>
      <w:r>
        <w:lastRenderedPageBreak/>
        <w:t>AUTO 6/2012, de 13 de enero de 2012</w:t>
      </w:r>
    </w:p>
    <w:bookmarkEnd w:id="147"/>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ECLI:ES:TC:2012:6A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de la cuestión de inconstitucionalidad 1965-2006, planteada por el Juzgado de lo Contencioso-Administrativo núm. 1 de Las Palmas de Gran Canaria en relación con la disposición transitoria segunda de la Ley del Parlamento de Canarias 6/1997, de 4 de julio, de coordinación de policías locales.</w:t>
      </w:r>
    </w:p>
    <w:p w:rsidR="00E3576C" w:rsidRDefault="00E3576C" w:rsidP="00E3576C">
      <w:pPr>
        <w:pStyle w:val="SntesisDescriptiva"/>
      </w:pPr>
    </w:p>
    <w:p w:rsidR="00E3576C" w:rsidRDefault="00E3576C" w:rsidP="00E3576C">
      <w:pPr>
        <w:pStyle w:val="SntesisAnaltica"/>
      </w:pPr>
      <w:r>
        <w:t>Cuestión de inconstitucionalidad: extinción de cuestión de inconstitucionalidad; pérdida sobrevenida de objeto por declaración de inconstitucionalidad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Constitucional el 23 de febrero de 2006, el titular del Juzgado de lo Contencioso-Administrativo núm. 1 de las Palmas de Gran Canaria remitió, junto con las actuaciones del procedimiento abreviado núm. 59-2002, el Auto de 31 de enero de 2006, por el que se acuerda plantear cuestión de inconstitucionalidad en relación con la disposición transitoria segunda de la Ley del Parlamento de Canarias 6/1997, de 4 de julio, de coordinación de policías locales, por violación de los arts. 149.1.18 CE —en relación con los arts. 22.1 y 25 de la Ley 30/84, de 2 de agosto, de medidas para la reforma de la función pública— y 149.1.30 CE.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Los antecedentes de hecho de la presente cuestión de inconstitucionalidad son los siguientes: </w:t>
      </w:r>
    </w:p>
    <w:p w:rsidR="00E3576C" w:rsidRDefault="00E3576C" w:rsidP="00E3576C">
      <w:pPr>
        <w:pStyle w:val="TextoNormal"/>
      </w:pPr>
    </w:p>
    <w:p w:rsidR="00E3576C" w:rsidRDefault="00E3576C" w:rsidP="00E3576C">
      <w:pPr>
        <w:pStyle w:val="TextoNormal"/>
      </w:pPr>
      <w:r>
        <w:t xml:space="preserve">a) Ante el Juzgado de lo Contencioso-Administrativo núm. 1 de Las Palmas de Gran Canaria se sigue el procedimiento abreviado núm. 59-2002, interpuesto por don Pascual Fernández Ruiz contra las bases de la convocatoria para acceder por promoción interna a una plaza de oficial de la policía local del Ayuntamiento de Las Palmas de Gran Canaria, aprobadas por Decreto de la Alcaldía de 29 de septiembre de 2001 y publicadas en el “Boletín Oficial de la Provincia” de 5 de octubre de 2001. En dicho procedimiento se personaron como demandados el Ayuntamiento de Las Palmas de Gran Canaria y don Juan Francisco Suárez Santana (aspirante a la plaza convocada). </w:t>
      </w:r>
    </w:p>
    <w:p w:rsidR="00E3576C" w:rsidRDefault="00E3576C" w:rsidP="00E3576C">
      <w:pPr>
        <w:pStyle w:val="TextoNormal"/>
      </w:pPr>
    </w:p>
    <w:p w:rsidR="00E3576C" w:rsidRDefault="00E3576C" w:rsidP="00E3576C">
      <w:pPr>
        <w:pStyle w:val="TextoNormal"/>
      </w:pPr>
      <w:r>
        <w:t xml:space="preserve">b) En la demanda se impugnan las bases de la convocatoria al establecer, a juicio del recurrente, un requisito que le impide acceder a la referida plaza mientras permitiendo ese </w:t>
      </w:r>
      <w:r>
        <w:lastRenderedPageBreak/>
        <w:t>acceso a terceros que están en su misma situación. Concretamente se ataca la base cuarta, relativa a los requisitos de los aspirantes, que establece, entre otras cosas, que para tomar parte en el concurso-oposición por promoción interna será necesario estar en posesión del título de licenciado universitario o equivalente. “La equivalencia deberá ser reconocida como tal por la Administración competente en cada caso concreto y debidamente acreditado en tal sentido por los aspirantes. También será válido a estos efectos certificación de la Academia Canaria de Seguridad de haber aprobado el Curso de Dispensa de Grado del grupo B al A”. Este último inciso de la base transcrita, que reproduce lo dispuesto en la disposición transitoria segunda de la Ley del Parlamento de Canarias 6/1997, de 4 de julio, de coordinación de policías locales, vulnera en opinión del demandante los principios de igualdad, mérito y capacidad en el acceso y permanencia a las funciones públicas (arts. 23.2 y 103.3 CE), así como el art. 149.1.18 CE, al resultar contraria esa disposición a las normas básicas del Estado en materia de función pública, en concreto los arts. 22.1 y 25 de la Ley 30/1984, de 2 agosto, de medidas para la reforma de la función pública, que establece la titulación exigida para el ingreso en los cuerpos o escalas del grupo A, y asimismo vulnera el art. 149.1.30 CE, que establece como competencia exclusiva del Estado regular las condiciones de obtención, expedición y homologación de títulos académicos o profesionales.</w:t>
      </w:r>
    </w:p>
    <w:p w:rsidR="00E3576C" w:rsidRDefault="00E3576C" w:rsidP="00E3576C">
      <w:pPr>
        <w:pStyle w:val="TextoNormal"/>
      </w:pPr>
    </w:p>
    <w:p w:rsidR="00E3576C" w:rsidRDefault="00E3576C" w:rsidP="00E3576C">
      <w:pPr>
        <w:pStyle w:val="TextoNormal"/>
      </w:pPr>
      <w:r>
        <w:t>c) Concluido el procedimiento, el Secretario Judicial, mediante diligencia de ordenación de 2 de septiembre de 2002, acordó de conformidad con el art. 35.2 de la Ley Orgánica del Tribunal Constitucional (LOTC), oír al Ministerio Fiscal y a las partes personadas por plazo común de diez días para que formulasen alegaciones “sobre la cuestión de inconstitucionalidad”. No se concretaba cuál sea la norma legal cuestionada ni los preceptos constitucionales supuestamente vulnerados, a pesar de lo cual el demandante y el Ministerio Fiscal interesaron el planteamiento de la cuestión de inconstitucionalidad, oponiéndose a la misma el codemandado y no presentando escrito alguno de alegaciones el Ayuntamiento demandado.</w:t>
      </w:r>
    </w:p>
    <w:p w:rsidR="00E3576C" w:rsidRDefault="00E3576C" w:rsidP="00E3576C">
      <w:pPr>
        <w:pStyle w:val="TextoNormal"/>
      </w:pPr>
    </w:p>
    <w:p w:rsidR="00E3576C" w:rsidRDefault="00E3576C" w:rsidP="00E3576C">
      <w:pPr>
        <w:pStyle w:val="TextoNormal"/>
      </w:pPr>
      <w:r>
        <w:t>d) Finalmente, el Juzgado de lo Contencioso-Administrativo núm. 1 de Las Palmas de Gran Canaria dictó Auto el 11 de octubre de 2002 acordando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00E3576C" w:rsidRDefault="00E3576C" w:rsidP="00E3576C">
      <w:pPr>
        <w:pStyle w:val="TextoNormal"/>
      </w:pPr>
    </w:p>
    <w:p w:rsidR="00E3576C" w:rsidRDefault="00E3576C" w:rsidP="00E3576C">
      <w:pPr>
        <w:pStyle w:val="TextoNormal"/>
      </w:pPr>
      <w:r>
        <w:t>e) El Tribunal Constitucional, mediante el Auto 189/2003, de 3 de junio, inadmite a trámite la cuestión de inconstitucionalidad al entender que “la audiencia a las partes y al Ministerio Fiscal no se ha realizado en los términos que reclama el art. 35.2 LOTC”, por lo que se concluye que “no se han satisfecho las condiciones procesales exigidas por el art. 37.1 LOTC para que proceda la admisión a trámite de la cuestión” (fundamento jurídico 3).</w:t>
      </w:r>
    </w:p>
    <w:p w:rsidR="00E3576C" w:rsidRDefault="00E3576C" w:rsidP="00E3576C">
      <w:pPr>
        <w:pStyle w:val="TextoNormal"/>
      </w:pPr>
    </w:p>
    <w:p w:rsidR="00E3576C" w:rsidRDefault="00E3576C" w:rsidP="00E3576C">
      <w:pPr>
        <w:pStyle w:val="TextoNormal"/>
      </w:pPr>
      <w:r>
        <w:t xml:space="preserve">f) El órgano jurisdiccional a quo, por Auto de 14 de noviembre de 2005 declaró la nulidad de la providencia de 2 de septiembre de 2002, que dio en su día audiencia a las partes respecto del planteamiento de la cuestión de inconstitucionalidad, así como de las actuaciones judiciales posteriores, y confirió de nuevo audiencia a las partes y al Ministerio Fiscal por plazo común de diez días para que alegaran sobre la posible inconstitucionalidad de la disposición transitoria segunda de la Ley 6/1997 de 4 de julio, de coordinación de policías </w:t>
      </w:r>
      <w:r>
        <w:lastRenderedPageBreak/>
        <w:t>locales de Canarias, por posible vulneración de los arts. 149.1.18 y 149.1.30 CE. En este caso, el recurrente Pascual Fernández Ruiz interesa el planteamiento de la cuestión de inconstitucionalidad en los términos planeados por el órgano jurisdiccional, y el resto de partes no se personan para formular alegaciones</w:t>
      </w:r>
    </w:p>
    <w:p w:rsidR="00E3576C" w:rsidRDefault="00E3576C" w:rsidP="00E3576C">
      <w:pPr>
        <w:pStyle w:val="TextoNormal"/>
      </w:pPr>
    </w:p>
    <w:p w:rsidR="00E3576C" w:rsidRDefault="00E3576C" w:rsidP="00E3576C">
      <w:pPr>
        <w:pStyle w:val="TextoNormal"/>
      </w:pPr>
      <w:r>
        <w:t>g) Finalmente, mediante Auto de 3 de Enero de 2006, el órgano judicial eleva cuestión de inconstitucionalidad respecto de la disposición transitoria segunda de la Ley 6/1997, de 4 de julio, de coordinación de policías locales de Canarias, por posible vulneración de los arts. 149.1.18 y 149.1.30 CE.</w:t>
      </w:r>
    </w:p>
    <w:p w:rsidR="00E3576C" w:rsidRDefault="00E3576C" w:rsidP="00E3576C">
      <w:pPr>
        <w:pStyle w:val="TextoNormal"/>
      </w:pPr>
    </w:p>
    <w:p w:rsidR="00E3576C" w:rsidRDefault="00E3576C" w:rsidP="00E3576C">
      <w:pPr>
        <w:pStyle w:val="TextoNormal"/>
      </w:pPr>
      <w:r w:rsidRPr="00E3576C">
        <w:rPr>
          <w:rStyle w:val="NumeroAFNegritaCaracter"/>
        </w:rPr>
        <w:t>3</w:t>
      </w:r>
      <w:r>
        <w:t>. En el Auto de planteamiento de la cuestión de inconstitucionalidad de 31 de enero de 2006, el órgano judicial reproduce exactamente la argumentación que ya se contenía en el Auto de planteamiento de 11 de octubre de 2002, y que a su vez reproduce el ATC 189/2003 en su antecedente 2, en los siguientes términos.</w:t>
      </w:r>
    </w:p>
    <w:p w:rsidR="00E3576C" w:rsidRDefault="00E3576C" w:rsidP="00E3576C">
      <w:pPr>
        <w:pStyle w:val="TextoNormal"/>
      </w:pPr>
    </w:p>
    <w:p w:rsidR="00E3576C" w:rsidRDefault="00E3576C" w:rsidP="00E3576C">
      <w:pPr>
        <w:pStyle w:val="TextoNormal"/>
      </w:pPr>
      <w:r>
        <w:t>a) Comienza por referirse al denominado juicio de relevancia, en cuanto requisito de procedibilidad de la cuestión de inconstitucionalidad, señalando al respecto que la base cuarta (anteriormente transcrita) de las que rigen el concurso-oposición y que ha sido impugnada en el proceso, tiene apoyo directo en la disposición transitoria segunda de la Ley del Parlamento de Canarias 6/1997, de 4 de julio, de coordinación de policías locales, en cuanto establece la dispensa en un grado del requisito de titulación exigido en el concurso-oposición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procedería la declaración de nulidad de la base cuarta de la convocatoria del concurso-oposición que se impugna.</w:t>
      </w:r>
    </w:p>
    <w:p w:rsidR="00E3576C" w:rsidRDefault="00E3576C" w:rsidP="00E3576C">
      <w:pPr>
        <w:pStyle w:val="TextoNormal"/>
      </w:pPr>
    </w:p>
    <w:p w:rsidR="00E3576C" w:rsidRDefault="00E3576C" w:rsidP="00E3576C">
      <w:pPr>
        <w:pStyle w:val="TextoNormal"/>
      </w:pPr>
      <w:r>
        <w:t xml:space="preserve">b) En cuanto a la duda de constitucionalidad que le suscita la disposición transitoria segunda de la Ley canaria 6/1997, de julio, de coordinación de policías locales, el Juzgado proponente considera que aquella disposición ha de ponerse en estrecha relación con los arts. 22.1 y 25 de la Ley 30/1984, de 2 de agosto, de medidas para la reforma de la función 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w:t>
      </w:r>
      <w:r>
        <w:lastRenderedPageBreak/>
        <w:t xml:space="preserve">CE, que atribuye al Estado la competencia exclusiva para la regulación de las condiciones de obtención, expedición y homologación de títulos académicos y profesionales, como así lo ha entendido el Tribunal Constitucional en STC 82/1993, de 8 de marzo, que declaró la inconstitucionalidad y nulidad de un precepto similar al cuestionado, de la Ley de las Cortes Valencianas 2/1990, de coordinación de policías locales. </w:t>
      </w:r>
    </w:p>
    <w:p w:rsidR="00E3576C" w:rsidRDefault="00E3576C" w:rsidP="00E3576C">
      <w:pPr>
        <w:pStyle w:val="TextoNormal"/>
      </w:pPr>
    </w:p>
    <w:p w:rsidR="00E3576C" w:rsidRDefault="00E3576C" w:rsidP="00E3576C">
      <w:pPr>
        <w:pStyle w:val="TextoNormal"/>
      </w:pPr>
      <w:r>
        <w:t>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Contencioso-Administrativo núm. 2 de Las Palmas de Gran Canaria ha planteado asimismo en autos núm. 303-2002 cuestión de inconstitucionalidad sobre la misma disposición, así como el propio Juzgado proponente, en los recursos números 702-2001 y 551-2001.</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25 de abril de 2006, la Sección Segunda de este Tribunal acordó admitir a trámite la presente cuestión de inconstitucionalidad; dar traslado de las actuaciones recibidas, conforme establece el art. 37.2 LOTC, al Congreso de los Diputados y al Senado por conducto de sus Presidentes, al Gobierno, por conducto del Ministerio de Justicia y al Fiscal General del Estado, así como al Gobierno y Parlamento de Canarias, por conducto de sus Presidentes, al objeto de que en el plazo común e improrrogable de quince días pudieran personarse en el proceso y formular las alegaciones que estimasen pertinentes y, finalmente, publicar la incoación de la cuestión en el “Boletín Oficial del Estado” y el “Boletín Oficial de Canarias”. Dicha publicación se llevó a efecto en el “Boletín Oficial del Estado” núm. 112, de 11 de mayo de 2006.</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escrito registrado en este Tribunal el 10 de mayo de 2006, el Presidente del Senado comunica que, en su reunión de 9 de mayo de 2006, la Mesa de la Cámara acordó darla por personada en el presente procedimiento constitucional, y por ofrecida su colaboración a efectos de lo dispuesto en el art. 88.1 LOTC.</w:t>
      </w:r>
    </w:p>
    <w:p w:rsidR="00E3576C" w:rsidRDefault="00E3576C" w:rsidP="00E3576C">
      <w:pPr>
        <w:pStyle w:val="TextoNormal"/>
      </w:pPr>
    </w:p>
    <w:p w:rsidR="00E3576C" w:rsidRDefault="00E3576C" w:rsidP="00E3576C">
      <w:pPr>
        <w:pStyle w:val="TextoNormal"/>
      </w:pPr>
      <w:r w:rsidRPr="00E3576C">
        <w:rPr>
          <w:rStyle w:val="NumeroAFNegritaCaracter"/>
        </w:rPr>
        <w:t>6</w:t>
      </w:r>
      <w:r>
        <w:t>. El 11 de mayo, se registra escrito de alegaciones del Fiscal General del Estado en el que interesa la estimación de la presente cuestión de inconstitucionalidad, así como la acumulación de esta cuestión de inconstitucionalidad a la que se sigue con el número 5384-2003. Por lo que hace a la argumentación, el Ministerio Fiscal se remite íntegramente a la desarrollada en su escrito de alegaciones de 11 de noviembre de 2003, referido a la ya mencionada cuestión de inconstitucionalidad núm. 5384-2003, en la medida en que no existe ninguna variación en cuanto al fondo en el planteamiento de ambas cuestiones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7</w:t>
      </w:r>
      <w:r>
        <w:t>. El día 12 de mayo de 2006 se registró en este Tribunal Constitucional escrito del Presidente del Congreso de los Diputados comunicando que la Mesa de la Cámara, en reunión celebrada el día 9 de mayo de 2006, había acordado no personarse en el procedimiento, ni formular alegaciones.</w:t>
      </w:r>
    </w:p>
    <w:p w:rsidR="00E3576C" w:rsidRDefault="00E3576C" w:rsidP="00E3576C">
      <w:pPr>
        <w:pStyle w:val="TextoNormal"/>
      </w:pPr>
    </w:p>
    <w:p w:rsidR="00E3576C" w:rsidRDefault="00E3576C" w:rsidP="00E3576C">
      <w:pPr>
        <w:pStyle w:val="TextoNormal"/>
      </w:pPr>
      <w:r w:rsidRPr="00E3576C">
        <w:rPr>
          <w:rStyle w:val="NumeroAFNegritaCaracter"/>
        </w:rPr>
        <w:t>8</w:t>
      </w:r>
      <w:r>
        <w:t xml:space="preserve">. El 19 de mayo de 2006 fue presentado en el registro del Tribunal el escrito de alegaciones del Letrado-Secretario General del Parlamento de Canarias en representación de este, </w:t>
      </w:r>
      <w:r>
        <w:lastRenderedPageBreak/>
        <w:t>solicitando que se declare la inadmisión de la cuestión por ausencia de fundamentación conforme a lo dispuesto en el art. 37.1 LOTC y, subsidiariamente, que sea declarada la plena constitucionalidad de la norma cuestionada.</w:t>
      </w:r>
    </w:p>
    <w:p w:rsidR="00E3576C" w:rsidRDefault="00E3576C" w:rsidP="00E3576C">
      <w:pPr>
        <w:pStyle w:val="TextoNormal"/>
      </w:pPr>
    </w:p>
    <w:p w:rsidR="00E3576C" w:rsidRDefault="00E3576C" w:rsidP="00E3576C">
      <w:pPr>
        <w:pStyle w:val="TextoNormal"/>
      </w:pPr>
      <w:r>
        <w:t>a) Respecto de la admisibilidad de la cuestión de inconstitucionalidad planteada, el Letrado del Parlamento de Canarias entiende que el Tribunal Constitucional, en virtud de lo dispuesto en el art. 84 LOTC puede pronunciarse sobre la admisión de la cuestión antes de entrar a resolver el fondo de la misma, y en esa medida argumenta que el órgano judicial que plantea la cuestión presenta una fundamentación de la misma ausente de toda razonabilidad, con lo cual sostiene que la cuestión carece materialmente de la fundamentación que reclama el art. 37.1 LOTC. Esta falta de fundamentación derivaría, en primer lugar, del hecho de alegar dos vicios de inconstitucionalidad, la lesión de los apartados 18 y 30 del art. 149.1 CE, dimanantes de fundamentos jurídicos que parten de títulos competenciales muy dispares, y en segundo lugar del hecho de que el órgano judicial que plantea la cuestión de inconstitucionalidad no realiza su alegato basándose en un análisis del precepto impugnado a la vista de la Constitución y del Estatuto de Autonomía, sino que lo hace realizando una interpretación del precepto cuestionado que es incierta, y en virtud de la cual alega la lesión, no simultánea, sino alternativa, de los dos preceptos constitucionales aportados como parámetro. Junto a lo anterior, la representación procesal del Parlamento de Canarias afirma que las referencias realizadas por el Juez a quo respecto de la anulación por el Tribunal Constitucional del art. 23.2 de la Ley de las Cortes Valencianas de coordinación de policías locales por oposición de este precepto al art. 149.1.30 CE, no guardan paralelismo alguno con la disposición cuestionada en este caso; y que el segundo vicio imputado, el referido al art. 149.1.18 CE, realiza una atribución competencial que en absoluto fundamentada, puesto que la ley trata de la materia de coordinación de policías locales, dimanando la competencia para hacerlo del art. 34.1 del Estatuto de Autonomía en relación con el apartado 22 del art. 148.1 CE.</w:t>
      </w:r>
    </w:p>
    <w:p w:rsidR="00E3576C" w:rsidRDefault="00E3576C" w:rsidP="00E3576C">
      <w:pPr>
        <w:pStyle w:val="TextoNormal"/>
      </w:pPr>
    </w:p>
    <w:p w:rsidR="00E3576C" w:rsidRDefault="00E3576C" w:rsidP="00E3576C">
      <w:pPr>
        <w:pStyle w:val="TextoNormal"/>
      </w:pPr>
      <w:r>
        <w:t xml:space="preserve">b) Entrando al fondo del asunto y deteniéndose en la valoración sobre la constitucionalidad de la disposición transitoria segunda de la Ley de coordinación de policías locales, el Letrado del Parlamento de Canarias sostiene lo siguiente. Respecto de la alegada vulneración del art. 149.1.30 CE entiende que ni de la voluntad del legislador, ni de la de la ley, ni de la mera dicción literal del precepto cabe llegar a imaginar que se está suplantando la competencia estatal para regular las condiciones de obtención, expedición y homologación de títulos académicos y profesionales, pues la norma autonómica se limita a establecer un requisito de acogimiento a la promoción interna. Al tiempo, en el escrito de alegaciones se afirma que la disposición transitoria cuestionada coincide con idénticas disposiciones contenidas en otras leyes de coordinación de policías locales de las Comunidades Autónomas que persiguen unificar el tratamiento del tema para no dar lugar a discriminaciones derivadas de regulaciones diversas, lo cual no se refleja en el Auto de planteamiento de la cuestión, del mismo modo que se ignora la determinación del título competencial y la verificación de si su ejercicio requiere un examen desde la perspectiva normativa básica-normativa de desarrollo u otro de índole distinta. </w:t>
      </w:r>
    </w:p>
    <w:p w:rsidR="00E3576C" w:rsidRDefault="00E3576C" w:rsidP="00E3576C">
      <w:pPr>
        <w:pStyle w:val="TextoNormal"/>
      </w:pPr>
    </w:p>
    <w:p w:rsidR="00E3576C" w:rsidRDefault="00E3576C" w:rsidP="00E3576C">
      <w:pPr>
        <w:pStyle w:val="TextoNormal"/>
      </w:pPr>
      <w:r>
        <w:t xml:space="preserve">c) El Parlamento canario, a través de su representación procesal se muestra además contrario al encuadre competencial que realiza el órgano jurisdiccional a quo respecto del art. 149.1.18 CE. Para esta parte, el título competencial de que dimana la competencia autonómica para regular el tema de las policías locales es el contenido en el art. 34.1 del Estatuto </w:t>
      </w:r>
      <w:r>
        <w:lastRenderedPageBreak/>
        <w:t xml:space="preserve">de Autonomía que tiene su base constitucional en el art. 148.1.22 CE, esto es “la coordinación y demás facultades en relación con las policías locales en los términos que establezca una ley orgánica”, y no el asociado al desarrollo legislativo de la normativa básica estatal en materia de régimen jurídico de las Administraciones públicas y del régimen estatutario de sus funcionarios (art. 149.118 CE). En esta línea de razonamiento el Letrado de la Cámara Autonómica establece que cuando el legislador canario ejerce la competencia legislativa en materia de coordinación de policías locales se acomoda a la Ley Orgánica 2/1986, de 13 de marzo, de las fuerzas y cuerpos de seguridad (LOFCS), que en su día también contuvo una disposición similar a la ahora cuestionada. A estos argumentos se añade otro relativo a que los requisitos de titulación en razón de los grupos funcionales no son de naturaleza constitucional sino legal, y deberán respetarse por el legislador autonómico si la competencia ejercida fuese de desarrollo del régimen de la función pública, lo que no es el caso, debiendo ubicar el examen de constitucionalidad de la norma autonómica no en el ámbito de la Ley 30/1984, sino en el marco de la Ley Orgánica de las fuerzas y cuerpos de seguridad, que dispuso válidamente esta medida, porque no hay menoscabo de los principios constitucionales de mérito y capacidad, lo que legitima a las Comunidades Autónomas en la adopción de las medidas transitorias semejantes que pretenden orillar tratamientos discriminatorios entre funcionarios policiales. </w:t>
      </w:r>
    </w:p>
    <w:p w:rsidR="00E3576C" w:rsidRDefault="00E3576C" w:rsidP="00E3576C">
      <w:pPr>
        <w:pStyle w:val="TextoNormal"/>
      </w:pPr>
    </w:p>
    <w:p w:rsidR="00E3576C" w:rsidRDefault="00E3576C" w:rsidP="00E3576C">
      <w:pPr>
        <w:pStyle w:val="TextoNormal"/>
      </w:pPr>
      <w:r>
        <w:t>Para concluir su razonamiento en este punto el Letrado del Parlamento canario establece que la normativa autonómica cuestionada se ajusta a la normativa estatal aplicable. A pesar de reconocer que al tiempo de la promulgación de la norma autonómica no subsistía ya la regulación estatal equivalente, que había sido derogada por la disposición derogatoria única.1 de la Ley 26/1994, se afirma que esta última prevé en su disposición adicional primera la consagración de la dispensa de titulación de forma definitiva y en términos menos restrictivos respecto de la Policía Nacional en exclusiva, lo que tiene su lógica explicación en su condición de cuerpo estatal, y lo que da pie a que las Comunidades Autónomas hagan lo propio con las policías autonómicas y locales, so pena de consagrar una incongruencia discriminatoria que permitiría la exención de titulación en la esfera estatal para negarla en el ámbito de los cuerpos dependientes de otras Administraciones, cuando precisamente el legislador estatal propugna un sistema único y coordinado de todos los cuerpos y fuerzas de seguridad que comprende los tres niveles de las disientas Administraciones.</w:t>
      </w:r>
    </w:p>
    <w:p w:rsidR="00E3576C" w:rsidRDefault="00E3576C" w:rsidP="00E3576C">
      <w:pPr>
        <w:pStyle w:val="TextoNormal"/>
      </w:pPr>
    </w:p>
    <w:p w:rsidR="00E3576C" w:rsidRDefault="00E3576C" w:rsidP="00E3576C">
      <w:pPr>
        <w:pStyle w:val="TextoNormal"/>
      </w:pPr>
      <w:r w:rsidRPr="00E3576C">
        <w:rPr>
          <w:rStyle w:val="NumeroAFNegritaCaracter"/>
        </w:rPr>
        <w:t>9</w:t>
      </w:r>
      <w:r>
        <w:t xml:space="preserve">. Con fecha 23 de mayo de 2006 el Abogado del Estado se personó en nombre del Gobierno y presentó escrito de alegaciones postulando la estimación de la presente cuestión de inconstitucionalidad. </w:t>
      </w:r>
    </w:p>
    <w:p w:rsidR="00E3576C" w:rsidRDefault="00E3576C" w:rsidP="00E3576C">
      <w:pPr>
        <w:pStyle w:val="TextoNormal"/>
      </w:pPr>
    </w:p>
    <w:p w:rsidR="00E3576C" w:rsidRDefault="00E3576C" w:rsidP="00E3576C">
      <w:pPr>
        <w:pStyle w:val="TextoNormal"/>
      </w:pPr>
      <w:r>
        <w:t>El Abogado del Estado comienza su escrito de alegaciones recordando el hecho de que se ha pronunciado ya en tres cuestiones de inconstitucionalidad con idéntico objeto (las núm. 30-2002, 5384-2003 y 4465-2004), para, acto seguido, ceñir sus alegaciones a la posible vulneración del art. 149.1.18 CE, en relación con los arts. 1.3, 22.1 (primer párrafo) y 25 de la Ley 30/1984, de 2 de agosto, y del art. 149.1.30 CE. A juicio del Abogado del Estado la disposición transitoria cuestionada dispensa de un grado de titulación, en los términos que se han venido exponiendo, no dando razón alguna la exposición de motivos de la Ley del Parlamento de Canarias 6/1997 para tal dispensa. Además, y en el mismo sentido que recogían las alegaciones de la Abogacía del Estado respecto de la cuestión de inconstitucionalidad núm. 1323-1999, se afirma que la disposición transitoria cuestionada desco</w:t>
      </w:r>
      <w:r>
        <w:lastRenderedPageBreak/>
        <w:t>noce dos principios rectores declarados básicos por el art. 1.3 de la Ley 30/1984, y confirmados en ese sentido en el fundamento jurídico 2 de la STC 388/1993: la consideración de los títulos académicos como criterio taxonómico para clasificar los cuerpos, escalas, clases y categorías de funcionarios y la exigencia de que la promoción interna del personal se haga respetando esos títulos. A juicio del Abogado del Estado el desconocimiento de estos dos principios supone que la transitoria cuestionada quebrante además los principios constitucionales de mérito y capacidad, lo que podría llevar a entender que el precepto cuestionado viola también los arts. 23.2 y 103.3 CE, en la medida en que el legislador autonómico menoscaba el requisito de capacidad cuando dispensa de la titulación académica e iguala con ella un mero diploma administrativo.</w:t>
      </w:r>
    </w:p>
    <w:p w:rsidR="00E3576C" w:rsidRDefault="00E3576C" w:rsidP="00E3576C">
      <w:pPr>
        <w:pStyle w:val="TextoNormal"/>
      </w:pPr>
    </w:p>
    <w:p w:rsidR="00E3576C" w:rsidRDefault="00E3576C" w:rsidP="00E3576C">
      <w:pPr>
        <w:pStyle w:val="TextoNormal"/>
      </w:pPr>
      <w:r>
        <w:t>El Abogado del Estado comparte también lo razonado por el órgano judicial a quo acerca de la infracción del art. 149.1.30 CE, remitiéndose en su razonamiento a lo contenido en la STC 82/1993, FJ 5, y estableciendo que el legislador canario se atribuye la facultad de establecer la equivalencia entre los títulos académicos exigidos legalmente para acceder a las diversas escalas y categorías y los cursos realizados y diplomas otorgados en la Academia canaria de seguridad, arrogándose una facultad de homologación de los estudios efectuados en tales cursos por referencia al contenido y valor de aquellos títulos, lo que implica invadir la competencia exclusiva del Estado ex art. 149.1.30 CE.</w:t>
      </w:r>
    </w:p>
    <w:p w:rsidR="00E3576C" w:rsidRDefault="00E3576C" w:rsidP="00E3576C">
      <w:pPr>
        <w:pStyle w:val="TextoNormal"/>
      </w:pPr>
    </w:p>
    <w:p w:rsidR="00E3576C" w:rsidRDefault="00E3576C" w:rsidP="00E3576C">
      <w:pPr>
        <w:pStyle w:val="TextoNormal"/>
      </w:pPr>
      <w:r w:rsidRPr="00E3576C">
        <w:rPr>
          <w:rStyle w:val="NumeroAFNegritaCaracter"/>
        </w:rPr>
        <w:t>10</w:t>
      </w:r>
      <w:r>
        <w:t xml:space="preserve">. En último lugar, el 24 de mayo de 2006, se registra en el Tribunal Constitucional escrito presentado por la Directora General del Servicio Jurídico del Gobierno de Canarias, en la representación del Gobierno de Canarias, en el que se solicita se le tenga por personado y presentadas las oportunas alegaciones y se desestime, en todos sus términos, la cuestión de inconstitucionalidad planteada. Como consideración previa, la representación procesal del Gobierno canario, recuerda el Auto del Tribunal Constitucional 375/2004, que inadmitió una cuestión de inconstitucionalidad promovida contra un precepto de la Ley del Parlamento de Cataluña 10/1994, reguladora de la policía de la Generalitat-Mossos d’Esquadra, respecto de un precepto muy similar al ahora cuestionado. A juicio de esta parte, los términos en que se pronuncia el Tribunal Constitucional en aquel Auto son plenamente aplicables a la hora de resolver las cuestiones planteadas en este proceso. </w:t>
      </w:r>
    </w:p>
    <w:p w:rsidR="00E3576C" w:rsidRDefault="00E3576C" w:rsidP="00E3576C">
      <w:pPr>
        <w:pStyle w:val="TextoNormal"/>
      </w:pPr>
    </w:p>
    <w:p w:rsidR="00E3576C" w:rsidRDefault="00E3576C" w:rsidP="00E3576C">
      <w:pPr>
        <w:pStyle w:val="TextoNormal"/>
      </w:pPr>
      <w:r>
        <w:t xml:space="preserve">Respecto de la vulneración del art. 149.1.18 CE, el Gobierno de Canarias afirma la inexistencia de lesión. En primer lugar entiende que el razonamiento del Juez a quo parte de una premisa errónea consistente en considerar que los artículos 22.1 y 25 de la ley 30/1984 son aplicables a los funcionarios de las fuerzas y cuerpos de seguridad del Estado con el carácter de legislación básica ex art. 149.1.18 CE, como si se tratase de funcionarios públicos en general, sin tener en cuenta que el estatuto de las fuerzas y cuerpos de seguridad del Estado, en que se inscriben los policías locales, está reservado a una ley orgánica (art. 104.2 CE), al tratarse de un colectivo particular de funcionaros públicos, que tiene como misión proteger el libre ejercicio de los derechos y libertades y garantizar la seguridad ciudadana (art. 104.1 CE), lo que incluye la regulación del estatuto jurídico de sus miembros en el ámbito de ordenación de la seguridad pública. Así pues, la Letrada del Gobierno de Canarias parte de la afirmación de que la normativa de referencia en materia de policías locales no es la Ley 30/1984, sino la LOFCS, y que por tanto aquélla no puede ser aplicada a los funcionarios de las fuerzas y cuerpos de seguridad con carácter de legislación básica, sino con carácter supletorio, en tanto no existiera legislación orgánica en materia de cuerpos y fuerzas de seguridad del Estado. </w:t>
      </w:r>
    </w:p>
    <w:p w:rsidR="00E3576C" w:rsidRDefault="00E3576C" w:rsidP="00E3576C">
      <w:pPr>
        <w:pStyle w:val="TextoNormal"/>
      </w:pPr>
    </w:p>
    <w:p w:rsidR="00E3576C" w:rsidRDefault="00E3576C" w:rsidP="00E3576C">
      <w:pPr>
        <w:pStyle w:val="TextoNormal"/>
      </w:pPr>
      <w:r>
        <w:t xml:space="preserve">Al considerar, por tanto, aplicable a los policías locales el estatuto jurídico propio y diferenciado de los funcionarios de las fuerzas y cuerpos de seguridad del Estado ex art. 2 c) LOFCS, el Gobierno de Canarias entiende que, no conteniendo esta ley orgánica normas sobre la promoción interna de los funcionarios de los cuerpos de policías locales, corresponde a las Comunidades Autónomas, en el ejercicio de sus competencias en materia de coordinación de policías locales “fijar los criterios de selección, formación, promoción y movilidad de las Policías Locales, determinando los distintos niveles educativos exigibles para cada categoría, sin que, en ningún caso, el nivel pueda ser inferior a Graduado Escolar” [art. 39 c) LOFCS]. Teniendo la Comunidad Autónoma de Canarias la competencia en materia de “coordinación de policías locales”, asumida a través del art. 34.1 del Estatuto de Autonomía en relación con el art. 148.1.22 CE, esta competencia ha sido ejercida dictando la Ley 6/1997, de 4 de julio, de coordinación de policías locales de Canarias, que contiene la disposición cuestionada. </w:t>
      </w:r>
    </w:p>
    <w:p w:rsidR="00E3576C" w:rsidRDefault="00E3576C" w:rsidP="00E3576C">
      <w:pPr>
        <w:pStyle w:val="TextoNormal"/>
      </w:pPr>
    </w:p>
    <w:p w:rsidR="00E3576C" w:rsidRDefault="00E3576C" w:rsidP="00E3576C">
      <w:pPr>
        <w:pStyle w:val="TextoNormal"/>
      </w:pPr>
      <w:r>
        <w:t>Junto a lo anterior, la representación procesal del Gobierno de Canarias también alega, por un lado que, encontrándose la policía local encuadrada dentro de la subescala de servicios especiales que se define precisamente por la falta de exigencia de titulación determinada, no tiene sentido entender que la clasificación o adscripción a grupos laborales en la policía local tiene una finalidad distinta de la meramente retributiva. Por otro lado esta parte recuerda que la Comunidad Autónoma de Canarias, como han hecho la mayoría de las Comunidades Autónomas, se ha limitado a trasponer la institución de la promoción contenida en la ley estatal de cuerpos y fuerzas de seguridad (disposición transitoria 1.8), desarrollándola y concretándola para el cuerpo de la policía local. Para cerrar su argumentación en este punto el Gobierno de Canarias descarta la posibilidad de que la excepción que establece la disposición transitoria cuestionada lesione el derecho a la igualdad por conceder un trato discriminatorio a los funcionarios comprendidos en su ámbito de aplicación respecto de los que ingresan en sus respectivos cuerpos con posterioridad a la entrada en vigor de la Ley autonómica 6/1997, y ello porque la existencia de una situación excepcional, como es la demanda de titulación a funcionarios a los que antes no se les exigía, justifica la adopción de medidas excepcionales y limitadas en el tiempo, que faciliten la adaptación a los nuevos requerimientos académicos, sin graves perjuicios en la carrera profesional de los funcionarios en activo al promulgarse la ley, perjuicios que también podrían ser asociados a una lesión del derecho de esos funcionarios al acceso en condiciones de igualdad a las funciones y cargos públicos (art. 23.2 CE)</w:t>
      </w:r>
    </w:p>
    <w:p w:rsidR="00E3576C" w:rsidRDefault="00E3576C" w:rsidP="00E3576C">
      <w:pPr>
        <w:pStyle w:val="TextoNormal"/>
      </w:pPr>
      <w:r>
        <w:t xml:space="preserve"> </w:t>
      </w:r>
    </w:p>
    <w:p w:rsidR="00E3576C" w:rsidRDefault="00E3576C" w:rsidP="00E3576C">
      <w:pPr>
        <w:pStyle w:val="TextoNormal"/>
      </w:pPr>
      <w:r>
        <w:t>Por último, la representación letrada del Gobierno de Canarias afirma, respecto de la eventual lesión del art. 149.1.30 CE, que el legislador canario no ha pretendido establecer una homologación entre los diplomas de la Academia Canaria de Seguridad y los títulos académicos exigidos legalmente para acceder a los cuerpos, escalas y empleos, sino sustituir el requisito de titulación por la superación de los cursos y la obtención de los diplomas correspondientes en la referida Academia, lo que es una cosa bien diferente.</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Juzgado de lo Contencioso-Administrativo núm. 1 de las Palmas de Gran Canaria ha planteado cuestión de inconstitucionalidad en relación con la disposición transitoria segunda de la Ley del Parlamento de Canarias 6/1997, de 4 de julio, de coordinación de policías locales, precepto de cuya aplicación depende el fallo del proceso contencioso-administrativo núm. 59-2002, en el cual se impugna la base cuarta de la convocatoria para acceder por promoción interna a una plaza de oficial de la policía local del Ayuntamiento de las Palmas de Gran Canaria. El órgano jurisdiccional plantea la posibilidad de que el precepto cuestionado sea contrario a los arts. 149.1.18 CE —en relación con los arts. 22.1 y 25 de la Ley 30/84, de 2 de agosto, de medidas para la reforma de la función pública— y 149.1.30 CE.</w:t>
      </w:r>
    </w:p>
    <w:p w:rsidR="00E3576C" w:rsidRDefault="00E3576C" w:rsidP="00E3576C">
      <w:pPr>
        <w:pStyle w:val="TextoNormal"/>
      </w:pPr>
    </w:p>
    <w:p w:rsidR="00E3576C" w:rsidRDefault="00E3576C" w:rsidP="00E3576C">
      <w:pPr>
        <w:pStyle w:val="TextoNormal"/>
      </w:pPr>
      <w:r>
        <w:t>Pues bien, la presente cuestión de inconstitucionalidad ha de considerarse resuelta por la doctrina que este Tribunal ha establecido en la STC 2/2012, dictada en el día de hoy en la cuestión de inconstitucionalidad núm. 30-2002, que no es sino aplicación de doctrina de la anterior STC 175/2001, de 8 de noviembre. Dicha Sentencia declara la inconstitucionalidad y consiguiente nulidad de la disposición transitoria segunda de la Ley del Parlamento de Canarias 6/1997, de 4 de julio, resolución ésta que, a partir del día siguiente de su publicación en el “Boletín Oficial del Estado”, tiene el valor de cosa juzgada y plenos efectos frente a todos (art. 164.1 CE y art. 38.1 de la Ley Orgánica del Tribunal Constitucional). Por consiguiente, una vez declarado inconstitucional y nulo, el precepto cuestionado ha sido expulsado del ordenamiento, lo que determina que, conforme a una reiterada jurisprudencia de este Tribunal (SSTC 387/1993, de 23 de diciembre, FJ único; 72/1997, de 10 de abril, FJ único; 91/1997, de 8 de mayo, FJ único; AATC 271/2005, de 21 de junio, FJ único; y 77/2007, de 27 de febrero, FJ único), debamos apreciar la desaparición sobrevenida del objeto de la cuestión aquí planteada con respecto al citado precepto legal, en la medida en que ha quedado disipada la duda de constitucionalidad que el órgano judicial albergaba en relación con aquél.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extinguida la cuestión de inconstitucionalidad núm. 1965-2006, por desaparición sobrevenida de su objeto.</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48" w:name="AUTO_2012_7"/>
      <w:r>
        <w:lastRenderedPageBreak/>
        <w:t>AUTO 7/2012, de 13 de enero de 2012</w:t>
      </w:r>
    </w:p>
    <w:bookmarkEnd w:id="14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TtuloBOE"/>
      </w:pPr>
      <w:r>
        <w:t>("BOE" núm. 36, de 11 de febrero de 2012)</w:t>
      </w:r>
    </w:p>
    <w:p w:rsidR="00E3576C" w:rsidRDefault="00E3576C" w:rsidP="00E3576C">
      <w:pPr>
        <w:pStyle w:val="TtuloBOE"/>
      </w:pPr>
    </w:p>
    <w:p w:rsidR="00E3576C" w:rsidRDefault="00E3576C" w:rsidP="00E3576C">
      <w:pPr>
        <w:pStyle w:val="SntesisDescriptiva"/>
      </w:pPr>
      <w:r>
        <w:t>ECLI:ES:TC:2012:7A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el recurso de amparo 1598-2011, promovido por don Pedro María Gragera de Torres y 321 personas más en relación con el acuerdo del Pleno del Congreso de los Diputados de 16 de diciembre de 2010, de autorización de la prórroga del estado de alarma.</w:t>
      </w:r>
    </w:p>
    <w:p w:rsidR="00E3576C" w:rsidRDefault="00E3576C" w:rsidP="00E3576C">
      <w:pPr>
        <w:pStyle w:val="SntesisDescriptiva"/>
      </w:pPr>
    </w:p>
    <w:p w:rsidR="00E3576C" w:rsidRDefault="00E3576C" w:rsidP="00E3576C">
      <w:pPr>
        <w:pStyle w:val="SntesisAnaltica"/>
      </w:pPr>
      <w:r>
        <w:t>Estado de alarma: prórroga del estado de alarma. Inadmisión de recurso de amparo: actos no susceptibles de amparo; inadecuación de procedimiento constitucional. Recurso de amparo: actos con fuerza de ley; recurso de amparo contra actos parlamentarios. Votos particulares: formulado uno.</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16 de marzo de 2011, doña María Eugenia Fernández Rico Fernández, Procuradora de los Tribunales, en nombre y representación de don Pedro María Gragera de Torres y 321 personas más, controladores de tránsito aéreo al servicio de Aeropuertos Españoles y Navegación Aérea (AENA), interpuso recurso de amparo contra el acuerdo del Pleno del Congreso de los Diputados de 16 de diciembre de 2010, de autorización de la prórroga del estado de alarma declarado por Real Decreto 1673/2010, de 4 de diciembre.</w:t>
      </w:r>
    </w:p>
    <w:p w:rsidR="00E3576C" w:rsidRDefault="00E3576C" w:rsidP="00E3576C">
      <w:pPr>
        <w:pStyle w:val="TextoNormal"/>
      </w:pPr>
    </w:p>
    <w:p w:rsidR="00E3576C" w:rsidRDefault="00E3576C" w:rsidP="00E3576C">
      <w:pPr>
        <w:pStyle w:val="TextoNormal"/>
      </w:pPr>
      <w:r w:rsidRPr="00E3576C">
        <w:rPr>
          <w:rStyle w:val="NumeroAFNegritaCaracter"/>
        </w:rPr>
        <w:t>2</w:t>
      </w:r>
      <w:r>
        <w:t>. En la demanda se recoge la relación de antecedentes fácticos que seguidamente se resume:</w:t>
      </w:r>
    </w:p>
    <w:p w:rsidR="00E3576C" w:rsidRDefault="00E3576C" w:rsidP="00E3576C">
      <w:pPr>
        <w:pStyle w:val="TextoNormal"/>
      </w:pPr>
    </w:p>
    <w:p w:rsidR="00E3576C" w:rsidRDefault="00E3576C" w:rsidP="00E3576C">
      <w:pPr>
        <w:pStyle w:val="TextoNormal"/>
      </w:pPr>
      <w:r>
        <w:t>a) En la tarde del día 3 de diciembre de 2010, amparándose en una supuesta actuación irregular de los controladores de tránsito aéreo, se acordó el cierre del espacio aéreo, imposibilitando desde ese momento el tráfico de aeronaves.</w:t>
      </w:r>
    </w:p>
    <w:p w:rsidR="00E3576C" w:rsidRDefault="00E3576C" w:rsidP="00E3576C">
      <w:pPr>
        <w:pStyle w:val="TextoNormal"/>
      </w:pPr>
    </w:p>
    <w:p w:rsidR="00E3576C" w:rsidRDefault="00E3576C" w:rsidP="00E3576C">
      <w:pPr>
        <w:pStyle w:val="TextoNormal"/>
      </w:pPr>
      <w:r>
        <w:t xml:space="preserve">Una vez declarado el cierre del espacio aéreo, se comenzaron a tomar medidas en orden a gestionar tan anormal situación. Entre ellas, se aprobó el Real Decreto 1611/2010, de 3 de diciembre (“BOE” núm. 294, de 4 de diciembre), por el que se encomendó al Ministerio de </w:t>
      </w:r>
      <w:r>
        <w:lastRenderedPageBreak/>
        <w:t>Defensa las facultades de control de tránsito aéreo atribuidas a la entidad pública empresarial AENA. La justificación de la medida vino dada —según se dice en la parte dispositiva— por “las circunstancias extraordinarias que concurren en el cierre del espacio aéreo español como consecuencia del conflicto provocado por los controladores de tráfico aéreo que, mediante una acción concertada, han resuelto, sin aviso previo, no desarrollar en la tarde del día 3 de diciembre de 2010 su actividad profesional…”.</w:t>
      </w:r>
    </w:p>
    <w:p w:rsidR="00E3576C" w:rsidRDefault="00E3576C" w:rsidP="00E3576C">
      <w:pPr>
        <w:pStyle w:val="TextoNormal"/>
      </w:pPr>
    </w:p>
    <w:p w:rsidR="00E3576C" w:rsidRDefault="00E3576C" w:rsidP="00E3576C">
      <w:pPr>
        <w:pStyle w:val="TextoNormal"/>
      </w:pPr>
      <w:r>
        <w:t>Asimismo, se atribuyeron al jefe del Estado Mayor del Ejército del Aire las facultades absolutas laborales sobre los controladores aéreos, al amparo del art. 4.4 a) de la Ley 21/2003, de 7 de julio, de seguridad aérea y de la disposición adicional primera de la Ley 9/2010, de 14 de abril, tras la redacción otorgada por el Real Decreto-ley 13/2010, de 3 de diciembre, de actuaciones en el ámbito fiscal, laboral y liberalizadoras para fomentar la inversión y la creación de empleo.</w:t>
      </w:r>
    </w:p>
    <w:p w:rsidR="00E3576C" w:rsidRDefault="00E3576C" w:rsidP="00E3576C">
      <w:pPr>
        <w:pStyle w:val="TextoNormal"/>
      </w:pPr>
    </w:p>
    <w:p w:rsidR="00E3576C" w:rsidRDefault="00E3576C" w:rsidP="00E3576C">
      <w:pPr>
        <w:pStyle w:val="TextoNormal"/>
      </w:pPr>
      <w:r>
        <w:t>b) Por Real Decreto 1673/2010, de 4 de diciembre [“BOE” núm. 295, de 4 de diciembre (extraordinario)], se declaró el estado de alarma al amparo del art. 4 c), en relación con los apartados a) y d), de la Ley Orgánica 4/1981, de 4 de junio, de los estados de alarma, excepción y sitio.</w:t>
      </w:r>
    </w:p>
    <w:p w:rsidR="00E3576C" w:rsidRDefault="00E3576C" w:rsidP="00E3576C">
      <w:pPr>
        <w:pStyle w:val="TextoNormal"/>
      </w:pPr>
    </w:p>
    <w:p w:rsidR="00E3576C" w:rsidRDefault="00E3576C" w:rsidP="00E3576C">
      <w:pPr>
        <w:pStyle w:val="TextoNormal"/>
      </w:pPr>
      <w:r>
        <w:t>En su art. 3 se dispone que todos los controladores de tránsito aéreo al servicio de AENA pasan a tener la consideración de personal militar, sometidos a las autoridades militares y a las leyes penales y disciplinarias militares, de conformidad con el art. 8 de la Ley Orgánica 13/1985, de 9 de diciembre, penal militar.</w:t>
      </w:r>
    </w:p>
    <w:p w:rsidR="00E3576C" w:rsidRDefault="00E3576C" w:rsidP="00E3576C">
      <w:pPr>
        <w:pStyle w:val="TextoNormal"/>
      </w:pPr>
    </w:p>
    <w:p w:rsidR="00E3576C" w:rsidRDefault="00E3576C" w:rsidP="00E3576C">
      <w:pPr>
        <w:pStyle w:val="TextoNormal"/>
      </w:pPr>
      <w:r>
        <w:t>La justificación de la declaración del estado de alarma vino dada —según se expresaba en la exposición de motivos— por “las circunstancias extraordinarias que concurren por el cierre del espacio aéreo español como consecuencia de la situación desencadenada por el abandono de sus obligaciones por parte de los controladores civiles de tránsito aéreo” que constreñían el derecho a la libre circulación (art. 19 CE).</w:t>
      </w:r>
    </w:p>
    <w:p w:rsidR="00E3576C" w:rsidRDefault="00E3576C" w:rsidP="00E3576C">
      <w:pPr>
        <w:pStyle w:val="TextoNormal"/>
      </w:pPr>
    </w:p>
    <w:p w:rsidR="00E3576C" w:rsidRDefault="00E3576C" w:rsidP="00E3576C">
      <w:pPr>
        <w:pStyle w:val="TextoNormal"/>
      </w:pPr>
      <w:r>
        <w:t>c) A partir de ese momento, cuando los recurrentes en amparo se van incorporando a sus puestos de trabajo reciben una notificación del jefe del Estado Mayor del Ejército del Aire del siguiente tenor: “Por la presente le comunico que en virtud del Real Decreto 1673/2010 por el que se declara el estado de alarma pasa Usted … a tener la consideración de personal militar quedando a las órdenes directas de la autoridad militar designada en todo lo relativo a su servicio y función como controlador aéreo y sometido al régimen penal y disciplinario propio de las Fuerzas Armadas para el caso de negativa a cumplirlas”.</w:t>
      </w:r>
    </w:p>
    <w:p w:rsidR="00E3576C" w:rsidRDefault="00E3576C" w:rsidP="00E3576C">
      <w:pPr>
        <w:pStyle w:val="TextoNormal"/>
      </w:pPr>
    </w:p>
    <w:p w:rsidR="00E3576C" w:rsidRDefault="00E3576C" w:rsidP="00E3576C">
      <w:pPr>
        <w:pStyle w:val="TextoNormal"/>
      </w:pPr>
      <w:r>
        <w:t>d) Por acuerdo del Consejo de Ministros de 14 de diciembre de 2010 se solicitó al Congreso de los Diputados autorización para prorrogar el estado de alarma hasta el 15 de enero de 2011, formalizándose dicha solicitud ante la Mesa de la Cámara en fecha 15 de diciembre de 2010.</w:t>
      </w:r>
    </w:p>
    <w:p w:rsidR="00E3576C" w:rsidRDefault="00E3576C" w:rsidP="00E3576C">
      <w:pPr>
        <w:pStyle w:val="TextoNormal"/>
      </w:pPr>
    </w:p>
    <w:p w:rsidR="00E3576C" w:rsidRDefault="00E3576C" w:rsidP="00E3576C">
      <w:pPr>
        <w:pStyle w:val="TextoNormal"/>
      </w:pPr>
      <w:r>
        <w:t>e) El Pleno del Congreso de los Diputados en su sesión de 16 de diciembre de 2010 autorizó la prórroga del estado de alarma declarado por Real Decreto 1673/2010, de 4 de diciembre (“BOE” núm. 307, de 18 de diciembre). El acuerdo adoptado por la Cámara es del siguiente tenor:</w:t>
      </w:r>
    </w:p>
    <w:p w:rsidR="00E3576C" w:rsidRDefault="00E3576C" w:rsidP="00E3576C">
      <w:pPr>
        <w:pStyle w:val="TextoNormal"/>
      </w:pPr>
    </w:p>
    <w:p w:rsidR="00E3576C" w:rsidRDefault="00E3576C" w:rsidP="00E3576C">
      <w:pPr>
        <w:pStyle w:val="TextoNormal"/>
      </w:pPr>
      <w:r>
        <w:lastRenderedPageBreak/>
        <w:t>“De conformidad con lo dispuesto en el artículo 116.2 de la Constitución, el Congreso de los Diputados, en su sesión del día de hoy, acordó autorizar la prórroga del estado de alarma declarado por el Real Decreto 1673/2010, de 4 de diciembre, en los términos de la solicitud comunicada mediante acuerdo del Consejo de Ministros, de 14 de diciembre de 2010, cuyo tenor es el siguiente:</w:t>
      </w:r>
    </w:p>
    <w:p w:rsidR="00E3576C" w:rsidRDefault="00E3576C" w:rsidP="00E3576C">
      <w:pPr>
        <w:pStyle w:val="TextoNormal"/>
      </w:pPr>
    </w:p>
    <w:p w:rsidR="00E3576C" w:rsidRDefault="00E3576C" w:rsidP="00E3576C">
      <w:pPr>
        <w:pStyle w:val="TextoNormal"/>
      </w:pPr>
      <w:r>
        <w:t>‘Primero.- Solicitar del Congreso de los Diputados autorización para prorrogar, en sus propios términos, el estado de alarma declarado por el Real Decreto 1673/2010, de 4 de diciembre.</w:t>
      </w:r>
    </w:p>
    <w:p w:rsidR="00E3576C" w:rsidRDefault="00E3576C" w:rsidP="00E3576C">
      <w:pPr>
        <w:pStyle w:val="TextoNormal"/>
      </w:pPr>
    </w:p>
    <w:p w:rsidR="00E3576C" w:rsidRDefault="00E3576C" w:rsidP="00E3576C">
      <w:pPr>
        <w:pStyle w:val="TextoNormal"/>
      </w:pPr>
      <w:r>
        <w:t>Segundo.- Dicha prórroga se solicita hasta las 24 horas del día 15 de enero de 2011 y se someterá a las mismas condiciones establecidas en el Real Decreto 1673/2010, de 4 de diciembre’.</w:t>
      </w:r>
    </w:p>
    <w:p w:rsidR="00E3576C" w:rsidRDefault="00E3576C" w:rsidP="00E3576C">
      <w:pPr>
        <w:pStyle w:val="TextoNormal"/>
      </w:pPr>
    </w:p>
    <w:p w:rsidR="00E3576C" w:rsidRDefault="00E3576C" w:rsidP="00E3576C">
      <w:pPr>
        <w:pStyle w:val="TextoNormal"/>
      </w:pPr>
      <w:r>
        <w:t xml:space="preserve">Se ordena la publicación para general conocimiento.” </w:t>
      </w:r>
    </w:p>
    <w:p w:rsidR="00E3576C" w:rsidRDefault="00E3576C" w:rsidP="00E3576C">
      <w:pPr>
        <w:pStyle w:val="TextoNormal"/>
      </w:pPr>
    </w:p>
    <w:p w:rsidR="00E3576C" w:rsidRDefault="00E3576C" w:rsidP="00E3576C">
      <w:pPr>
        <w:pStyle w:val="TextoNormal"/>
      </w:pPr>
      <w:r>
        <w:t>f) Por Real Decreto 1717/2010, de 17 de diciembre (“BOE” núm. 307, de 18 de diciembre), se prorrogó el estado de alarma hasta el 15 de enero de 2011, aprobándose posteriormente el Real Decreto 28/2011, de 14 de enero (“BOE” núm. 13, de 15 de enero), por el que se derogó el Real Decreto 1616/2010, de 3 de diciembre, sobre la base de que habían cesado las circunstancias extraordinarias.</w:t>
      </w:r>
    </w:p>
    <w:p w:rsidR="00E3576C" w:rsidRDefault="00E3576C" w:rsidP="00E3576C">
      <w:pPr>
        <w:pStyle w:val="TextoNormal"/>
      </w:pPr>
    </w:p>
    <w:p w:rsidR="00E3576C" w:rsidRDefault="00E3576C" w:rsidP="00E3576C">
      <w:pPr>
        <w:pStyle w:val="TextoNormal"/>
      </w:pPr>
      <w:r w:rsidRPr="00E3576C">
        <w:rPr>
          <w:rStyle w:val="NumeroAFNegritaCaracter"/>
        </w:rPr>
        <w:t>3</w:t>
      </w:r>
      <w:r>
        <w:t>. La demanda de amparo contiene la fundamentación jurídica que a continuación se extracta:</w:t>
      </w:r>
    </w:p>
    <w:p w:rsidR="00E3576C" w:rsidRDefault="00E3576C" w:rsidP="00E3576C">
      <w:pPr>
        <w:pStyle w:val="TextoNormal"/>
      </w:pPr>
    </w:p>
    <w:p w:rsidR="00E3576C" w:rsidRDefault="00E3576C" w:rsidP="00E3576C">
      <w:pPr>
        <w:pStyle w:val="TextoNormal"/>
      </w:pPr>
      <w:r>
        <w:t>a) Tras justificar la especial trascendencia constitucional del recurso de amparo, se razona en la demanda sobre la posibilidad de impugnar a través de la vía de amparo del art. 42 de la Ley Orgánica del Tribunal Constitucional (LOTC) el acuerdo del Pleno del Congreso de los Diputados por el que se autoriza la prórroga del estado de alarma, que constituye el objeto del recurso.</w:t>
      </w:r>
    </w:p>
    <w:p w:rsidR="00E3576C" w:rsidRDefault="00E3576C" w:rsidP="00E3576C">
      <w:pPr>
        <w:pStyle w:val="TextoNormal"/>
      </w:pPr>
    </w:p>
    <w:p w:rsidR="00E3576C" w:rsidRDefault="00E3576C" w:rsidP="00E3576C">
      <w:pPr>
        <w:pStyle w:val="TextoNormal"/>
      </w:pPr>
      <w:r>
        <w:t>Se afirma en la demanda no desconocer el contenido de cierta corriente doctrinal que en los albores del proceso democratizador del Estado postulaba que el acuerdo de autorización de la prórroga del estado de alarma se configuraba como una resolución con fuerza de ley, que, por tanto, estaba sujeta al recurso de inconstitucionalidad. Esta doctrina expresaba su inquietud acerca de la posibilidad de que aquel acuerdo de autorización de la prórroga no estuviera sometido a ningún tipo de control, ni ante la jurisdicción ordinaria, ni ante el propio Tribunal Constitucional. En consecuencia, se propugnaba, al amparo del art. 9.1 CE, que toda decisión proveniente de un órgano del Estado estuviera sometida, al menos, al control constitucional, encontrándole un mejor encaje en el recurso de inconstitucionalidad por aplicación del art. 27.2 b) LOTC que en el recurso de amparo. No obstante, aquella doctrina no contemplaba que aquel acuerdo de autorización pudiera ser susceptible de vulnerar, como acontece en este caso y se expondrá después, derechos fundamentales de quienes son receptores directos de las medidas adoptadas por el Gobierno una vez declarado el estado de alarma.</w:t>
      </w:r>
    </w:p>
    <w:p w:rsidR="00E3576C" w:rsidRDefault="00E3576C" w:rsidP="00E3576C">
      <w:pPr>
        <w:pStyle w:val="TextoNormal"/>
      </w:pPr>
    </w:p>
    <w:p w:rsidR="00E3576C" w:rsidRDefault="00E3576C" w:rsidP="00E3576C">
      <w:pPr>
        <w:pStyle w:val="TextoNormal"/>
      </w:pPr>
      <w:r>
        <w:t xml:space="preserve">El art. 42 LOTC excluye del control del Tribunal Constitucional por la vía del recurso de amparo aquellas disposiciones parlamentarias que tengan la consideración de actos con </w:t>
      </w:r>
      <w:r>
        <w:lastRenderedPageBreak/>
        <w:t>fuerza de ley. Pues bien, a juicio de la representación de los recurrentes el acuerdo que autoriza al Gobierno a prorrogar el estado de alarma al que alude el art. 116.2 CE constituye una actuación o resolución desprovista de fuerza de ley, que, en consecuencia, sí puede ser impugnada a través del recurso de amparo del art. 42 LOTC. Afirmación que sustenta en las siguientes razones:</w:t>
      </w:r>
    </w:p>
    <w:p w:rsidR="00E3576C" w:rsidRDefault="00E3576C" w:rsidP="00E3576C">
      <w:pPr>
        <w:pStyle w:val="TextoNormal"/>
      </w:pPr>
    </w:p>
    <w:p w:rsidR="00E3576C" w:rsidRDefault="00E3576C" w:rsidP="00E3576C">
      <w:pPr>
        <w:pStyle w:val="TextoNormal"/>
      </w:pPr>
      <w:r>
        <w:t>i) A juicio de los recurrentes, ningún problema procesal ha suscitado la impugnabilidad en vía de amparo de otro tipo de acuerdos parlamentarios con efectos externos frente a terceros, por más que sean manifestación de ejercicio de potestades parlamentarias de gran relevancia. El supuesto más claro es la posibilidad de controlar las decisiones de las Cámaras sobre la concesión o no de suplicatorios (STC 206/1992). Si como ocurre en este caso el acuerdo trasciende la esfera parlamentaria para producir efectos externos, no debería existir óbice alguno para fiscalizar también aquella actividad parlamentaria a través del recurso de amparo. Y el acuerdo que autoriza a prorrogar el estado de alarma despliega indudablemente efectos externos, en tanto que es presupuesto necesario, de conformidad con el art. 116.2 CE y con el art. 162.2 del Reglamento del Congreso de los Diputados, que habilita al Gobierno para que pueda prolongar más allá del plazo constitucionalmente establecido de quince días el estado de alarma. Por lo tanto, en la medida en que el acuerdo del Pleno del Congreso de los Diputados puede condicionar la resolución de prórroga del estado de alarma, que corresponde al Gobierno una vez obtenida la autorización, y que sólo puede ser prorrogado conforme a los postulados que marque el propio Congreso de los Diputados, es lógico que aquella resolución tenga efectos externos y, por tanto, sea fiscalizable por el Tribunal Constitucional a través del art. 42 LOTC.</w:t>
      </w:r>
    </w:p>
    <w:p w:rsidR="00E3576C" w:rsidRDefault="00E3576C" w:rsidP="00E3576C">
      <w:pPr>
        <w:pStyle w:val="TextoNormal"/>
      </w:pPr>
    </w:p>
    <w:p w:rsidR="00E3576C" w:rsidRDefault="00E3576C" w:rsidP="00E3576C">
      <w:pPr>
        <w:pStyle w:val="TextoNormal"/>
      </w:pPr>
      <w:r>
        <w:t>ii) El Reglamento del Congreso de los Diputados regula los estados de alarma, excepción y sitio, es decir, la intervención del Congreso de los Diputados en este ámbito, en los arts. 162 a 165 que vienen a ser reproducción del art. 116 CE, pero lo hace en el capítulo III del título VII, que lleva por rúbrica “Del otorgamiento de autorización y otros actos del Congreso con eficacia jurídica directa”, fuera, por tanto, del título V referido al procedimiento legislativo y del título VI en el que se regula el control sobre las disposiciones del Gobierno con fuerza de ley.</w:t>
      </w:r>
    </w:p>
    <w:p w:rsidR="00E3576C" w:rsidRDefault="00E3576C" w:rsidP="00E3576C">
      <w:pPr>
        <w:pStyle w:val="TextoNormal"/>
      </w:pPr>
    </w:p>
    <w:p w:rsidR="00E3576C" w:rsidRDefault="00E3576C" w:rsidP="00E3576C">
      <w:pPr>
        <w:pStyle w:val="TextoNormal"/>
      </w:pPr>
      <w:r>
        <w:t>El propio legislador ha querido diferenciar y excluir del proceso parlamentario ordinario para la aprobación de las leyes la autorización del Pleno del Congreso de los Diputados para prorrogar el estado de alarma, resultando una realidad concluyente dirán los recurrentes, que el acuerdo para autorizar la prórroga del estado de alarma se configura como un mero acto de origen parlamentario desprovisto de valor de ley.</w:t>
      </w:r>
    </w:p>
    <w:p w:rsidR="00E3576C" w:rsidRDefault="00E3576C" w:rsidP="00E3576C">
      <w:pPr>
        <w:pStyle w:val="TextoNormal"/>
      </w:pPr>
    </w:p>
    <w:p w:rsidR="00E3576C" w:rsidRDefault="00E3576C" w:rsidP="00E3576C">
      <w:pPr>
        <w:pStyle w:val="TextoNormal"/>
      </w:pPr>
      <w:r>
        <w:t>iii) También según los recurrentes, ha de añadirse que la propia LOTC no contempla este tipo de actos del Congreso de los Diputados entre los actos normativos con fuerza de ley que pueden ser objeto del recurso de inconstitucionalidad (art. 27 LOTC), lo que es claramente significativo si se tiene en cuenta que el art. 27.1 LOTC contempla un listado claramente enumerativo y exhaustivo de resoluciones que son objeto de recurso de inconstitucionalidad.</w:t>
      </w:r>
    </w:p>
    <w:p w:rsidR="00E3576C" w:rsidRDefault="00E3576C" w:rsidP="00E3576C">
      <w:pPr>
        <w:pStyle w:val="TextoNormal"/>
      </w:pPr>
    </w:p>
    <w:p w:rsidR="00E3576C" w:rsidRDefault="00E3576C" w:rsidP="00E3576C">
      <w:pPr>
        <w:pStyle w:val="TextoNormal"/>
      </w:pPr>
      <w:r>
        <w:t xml:space="preserve">iv) También ha de destacarse, dice la demanda, la evolución del Tribunal Constitucional acerca de los denominados interna corporis acta, que sirve como elemento a considerar en cuanto a la delimitación de los actos parlamentarios con fuerza de ley. En este sentido, el </w:t>
      </w:r>
      <w:r>
        <w:lastRenderedPageBreak/>
        <w:t>Tribunal Constitucional ha entendido, en un primer momento, que tenían fuerza de ley, en cuanto integraban el reglamento parlamentario, las resoluciones dictadas para interpretar o integrar las lagunas de los reglamentos parlamentarios (STC 118/1988), si bien posteriormente las consideró susceptibles de impugnación únicamente a través del recurso de amparo (STC 44/1995), ampliando así las resoluciones parlamentarias que pueden ser recurridas a través de la vía del art. 42 LOTC.</w:t>
      </w:r>
    </w:p>
    <w:p w:rsidR="00E3576C" w:rsidRDefault="00E3576C" w:rsidP="00E3576C">
      <w:pPr>
        <w:pStyle w:val="TextoNormal"/>
      </w:pPr>
    </w:p>
    <w:p w:rsidR="00E3576C" w:rsidRDefault="00E3576C" w:rsidP="00E3576C">
      <w:pPr>
        <w:pStyle w:val="TextoNormal"/>
      </w:pPr>
      <w:r>
        <w:t>v) En opinión de los recurrentes sólo hay una norma de carácter parlamentario que formalmente no es una ley ni un reglamento parlamentario, respecto de la cual el Tribunal Constitucional atendiendo a su peculiar naturaleza y configuración constitucional ha entendido que posee valor de ley y que no puede ser impugnada a través del recurso de amparo: el estatuto del personal de las Cortes Generales (STC 139/1988).</w:t>
      </w:r>
    </w:p>
    <w:p w:rsidR="00E3576C" w:rsidRDefault="00E3576C" w:rsidP="00E3576C">
      <w:pPr>
        <w:pStyle w:val="TextoNormal"/>
      </w:pPr>
    </w:p>
    <w:p w:rsidR="00E3576C" w:rsidRDefault="00E3576C" w:rsidP="00E3576C">
      <w:pPr>
        <w:pStyle w:val="TextoNormal"/>
      </w:pPr>
      <w:r>
        <w:t>vi) Y, en fin, la STC 121/1997 reitera cuáles son los actos de origen parlamentario que quedan excluidos del recurso de amparo, sin que se cite entre ellos el acuerdo del art. 116.2 CE (FJ 6).</w:t>
      </w:r>
    </w:p>
    <w:p w:rsidR="00E3576C" w:rsidRDefault="00E3576C" w:rsidP="00E3576C">
      <w:pPr>
        <w:pStyle w:val="TextoNormal"/>
      </w:pPr>
    </w:p>
    <w:p w:rsidR="00E3576C" w:rsidRDefault="00E3576C" w:rsidP="00E3576C">
      <w:pPr>
        <w:pStyle w:val="TextoNormal"/>
      </w:pPr>
      <w:r>
        <w:t>En definitiva, según la demanda, parece que las leyes, los reglamentos parlamentarios y el estatuto del personal de las Cortes Generales son las normas de origen parlamentario excluidas del recurso de amparo, lo que permite concluir que el acuerdo impugnado en este proceso es un acto desprovisto de toda fuerza normativa plenamente susceptible de recurrirse por la vía del art. 42 LOTC.</w:t>
      </w:r>
    </w:p>
    <w:p w:rsidR="00E3576C" w:rsidRDefault="00E3576C" w:rsidP="00E3576C">
      <w:pPr>
        <w:pStyle w:val="TextoNormal"/>
      </w:pPr>
    </w:p>
    <w:p w:rsidR="00E3576C" w:rsidRDefault="00E3576C" w:rsidP="00E3576C">
      <w:pPr>
        <w:pStyle w:val="TextoNormal"/>
      </w:pPr>
      <w:r>
        <w:t>b) En cuanto al fondo de las vulneraciones aducidas en la demanda de amparo, los recurrentes sostienen que el acuerdo del Pleno del Congreso de los Diputados de autorización de la prórroga del estado de alarma en los mismos términos en que fue declarado por el Real Decreto 1673/2010 incurre en los mismos vicios de inconstitucionalidad e ilegalidad que aquel real decreto por falta del presupuesto fáctico para la declaración del estado de alarma y por transgredir los derechos fundamentales de los demandantes al acordar su militarización, lo que está constitucionalmente vedado en los estados de alarma.</w:t>
      </w:r>
    </w:p>
    <w:p w:rsidR="00E3576C" w:rsidRDefault="00E3576C" w:rsidP="00E3576C">
      <w:pPr>
        <w:pStyle w:val="TextoNormal"/>
      </w:pPr>
    </w:p>
    <w:p w:rsidR="00E3576C" w:rsidRDefault="00E3576C" w:rsidP="00E3576C">
      <w:pPr>
        <w:pStyle w:val="TextoNormal"/>
      </w:pPr>
      <w:r>
        <w:t>Alegan los demandantes que para proceder a la declaración del estado de alarma ha de concurrir algunas de las alteraciones o situaciones gravemente anómalas causadas por fenómenos naturales o que provengan de causas de carácter técnico, excluyendo las que tengan su origen en motivaciones políticas (art. 4 de la Ley Orgánica 4/1981, de 4 de junio, de los estados de alarma, excepción y sitio). De la declaración de estado de alarma no puede derivar una limitación de los derechos y libertades de los ciudadanos, pues se trata de un estado de emergencia totalmente despolitizado y que se diferencia de los otros dos estados de emergencia por no afectar a la propia vigencia de la Constitución, por no suponer una suspensión de sus derechos y libertades, sino, todo lo más, una ampliación de los deberes de los ciudadanos, así como una serie de medidas que pueden afectar al ejercicio de determinados derechos y libertades. Las únicas medidas que pueden adoptarse son las previstas en el art. 11 de la Ley Orgánica 4/1981, de 4 de junio, de los estados de alarma, excepción y sitio.</w:t>
      </w:r>
    </w:p>
    <w:p w:rsidR="00E3576C" w:rsidRDefault="00E3576C" w:rsidP="00E3576C">
      <w:pPr>
        <w:pStyle w:val="TextoNormal"/>
      </w:pPr>
    </w:p>
    <w:p w:rsidR="00E3576C" w:rsidRDefault="00E3576C" w:rsidP="00E3576C">
      <w:pPr>
        <w:pStyle w:val="TextoNormal"/>
      </w:pPr>
      <w:r>
        <w:t xml:space="preserve">Pues bien, a juicio de los recurrentes, la declaración del estado de alarma por el Real Decreto 1673/2010 es ilegal e inconstitucional, vicios que se comunican al acuerdo del Congreso de los Diputados objeto del presente recurso de amparo. Es ilegal por dos razones fundamentales: i) Porque no se cumplieron los presupuestos previstos en el art. 4 de la Ley </w:t>
      </w:r>
      <w:r>
        <w:lastRenderedPageBreak/>
        <w:t>Orgánica 4/1981, de 4 de junio, de los estados de alarma, excepción y sitio para declarar el estado de alarma, ya que el art. 4 c) de la Ley Orgánica 4/1981, de 4 de junio, de los estados de alarma, excepción y sitio (paralización de los servicios esenciales) no constituye un supuesto autónomo de los previstos en las letras a), b) y d) del mismo precepto, pues sólo cuando no se garantice lo dispuesto en los arts. 28.2 y 37.2 CE y concurra, al mismo tiempo, alguna de las otras circunstancias contenidas en aquel precepto se podrá entender que la paralización de servicios esenciales para la comunidad constituye un presupuesto legitimador de tal declaración, pero no en otro caso. En otras palabras, si no concurre alguna de las tres situaciones de emergencia de las letras a), b) y d) del art. 4 de la Ley Orgánica 4/1981, de 4 de junio, de los estados de alarma, excepción y sitio no puede declararse el estado de alarma por la mera paralización de un servicio esencial. Y es evidente que en este caso no concurría ninguno de esos tres supuestos. ii) Porque la designación como autoridad delegada del jefe del Estado Mayor del Ejército del Aire no tiene amparo legal alguno, ya que a diferencia del estado de sitio, la única autoridad delegada podría ser “el Presidente de la Comunidad Autónoma cuando la declaración afecte exclusivamente a todo o parte del territorio de una Comunidad” (art. 7 de la Ley Orgánica 4/1981, de 4 de junio, de los estados de alarma, excepción y sitio). El art. 9.1 de la Ley Orgánica 4/1981, de 4 de junio, de los estados de alarma, excepción y sitio contempla la sumisión de todas las autoridades, funcionarios, trabajadores al servicio de las diversas Administraciones públicas bajo las órdenes directas de la autoridad competente, es decir, el Gobierno o, por delegación, el Presidente de la Comunidad Autónoma correspondiente, pero sólo para el caso de que “sea necesario para la protección de las personas, bienes y lugares”, que estarán siempre bajo las órdenes de la autoridad competente.</w:t>
      </w:r>
    </w:p>
    <w:p w:rsidR="00E3576C" w:rsidRDefault="00E3576C" w:rsidP="00E3576C">
      <w:pPr>
        <w:pStyle w:val="TextoNormal"/>
      </w:pPr>
    </w:p>
    <w:p w:rsidR="00E3576C" w:rsidRDefault="00E3576C" w:rsidP="00E3576C">
      <w:pPr>
        <w:pStyle w:val="TextoNormal"/>
      </w:pPr>
      <w:r>
        <w:t>Según los recurrentes, además de resultar ilegal la misma declaración del estado de alarma, cuya autorización de prórroga por lo tanto resulta manifiestamente improcedente y contraria a derecho, también esta misma prórroga y su autorización son contrarias a lo dispuesto en la ley y en la Constitución. En concreto, dicha prórroga vulnera lo dispuesto en el art. 116.2 CE y en el art. 6 de la Ley Orgánica 4/1981, de 4 de junio, de los estados de alarma, excepción y sitio, en la medida en que, con el carácter restrictivo que como Derecho de excepción se ha de aplicar, aunque tales preceptos no lo indiquen de manera expresa, es evidente que para que la prórroga sea procedente ha de mantenerse la misma situación de excepcionalidad que motivara la declaración del estado de alarma, lo que a juicio de los recurrentes no ocurría ya, como revela la exposición de motivos del Real Decreto 1717/2010, que se reproduce en la demanda.</w:t>
      </w:r>
    </w:p>
    <w:p w:rsidR="00E3576C" w:rsidRDefault="00E3576C" w:rsidP="00E3576C">
      <w:pPr>
        <w:pStyle w:val="TextoNormal"/>
      </w:pPr>
    </w:p>
    <w:p w:rsidR="00E3576C" w:rsidRDefault="00E3576C" w:rsidP="00E3576C">
      <w:pPr>
        <w:pStyle w:val="TextoNormal"/>
      </w:pPr>
      <w:r>
        <w:t>c) De otra parte dicen los demandantes, la medida de militarización que se acordó en el art. 3 del Real Decreto 1673/2010 es inconstitucional e ilegal, lo que implica que el acuerdo del Congreso de los Diputados objeto de este recurso de amparo estaría convalidando y prorrogando una improcedente militarización de los controladores.</w:t>
      </w:r>
    </w:p>
    <w:p w:rsidR="00E3576C" w:rsidRDefault="00E3576C" w:rsidP="00E3576C">
      <w:pPr>
        <w:pStyle w:val="TextoNormal"/>
      </w:pPr>
    </w:p>
    <w:p w:rsidR="00E3576C" w:rsidRDefault="00E3576C" w:rsidP="00E3576C">
      <w:pPr>
        <w:pStyle w:val="TextoNormal"/>
      </w:pPr>
      <w:r>
        <w:t xml:space="preserve">Esta medida de militarización es, a su juicio, inconstitucional e ilegal por las siguientes razones: i) La declaración del estado de alarma no puede acarrear una limitación de los derechos fundamentales y libertades públicas, limitación que ha comportado la militarización de los recurrentes en amparo, tratándose además de una opción sólo prevista para los estados de excepción y sitito; ii) la aplicación de la jurisdicción militar sólo está contemplada para el estado de sitio (art. 117.5 CE), en modo alguno para el estado de alarma; iii) el art. 12.2 de la Ley Orgánica 4/1981, de 4 de junio, de los estados de alarma, excepción y </w:t>
      </w:r>
      <w:r>
        <w:lastRenderedPageBreak/>
        <w:t>sitio prevé la movilización del personal de las empresas y servicios intervenidos, lo que es distinto a la militarización que de por sí implica la pérdida de derechos fundamentales. Además la Ley 50/1969, de 26 de abril, de movilización nacional ha sido derogada por la Ley 39/2007, de 19 de noviembre, de la carrera militar, que no contempla la posibilidad de militarización forzosa de civiles; iv) la Ley Orgánica 4/1987, de 15 de julio, de competencia y organización de la jurisdicción militar sólo prevé la aplicación del código penal militar a personal no militar en supuestos de estado de sitio y nunca en los supuestos de movilización previstos en el art. 12.2 de la Ley Orgánica 4/1981, de 4 de junio, de los estados de alarma, excepción y sitio; v) resulta igualmente improcedente la invocación que se hace en el art. 3 del Real Decreto 1673/2010 al art. 44 de la Ley 48/1960, de 21 de julio, sobre navegación aérea, pretendiendo que este precepto dé cobertura legal a la militarización de los controladores aéreos. Dicho precepto, con independencia de que es preconstitucional, no se refiere a nada que tenga que ver con la militarización forzosa de personal civil, sino simplemente a las autorizaciones de aeropuertos o aeródromos privados.</w:t>
      </w:r>
    </w:p>
    <w:p w:rsidR="00E3576C" w:rsidRDefault="00E3576C" w:rsidP="00E3576C">
      <w:pPr>
        <w:pStyle w:val="TextoNormal"/>
      </w:pPr>
    </w:p>
    <w:p w:rsidR="00E3576C" w:rsidRDefault="00E3576C" w:rsidP="00E3576C">
      <w:pPr>
        <w:pStyle w:val="TextoNormal"/>
      </w:pPr>
      <w:r>
        <w:t>En consecuencia, según los demandantes, el art. 12.2 de la Ley Orgánica 4/1981, de 4 de junio, de los estados de alarma, excepción y sitio no puede interpretarse de ninguna manera que permita la militarización para el estado de alarma, sino que ha de interpretarse en el sentido de que lo que contempla es una movilización civil y no militar. Esta interpretación, además, es la única coherente con los arts. 7 y 9 de la Ley Orgánica 4/1981, de 4 de junio, de los estados de alarma, excepción y sitio, que, como se ha indicado, sólo contemplan como posible autoridad en el estado de alarma al propio Gobierno o, por delegación, al Presidente de una Comunidad Autónoma, es decir, en todo caso a una autoridad civil, restringiendo la posibilidad de nombramiento de autoridad militar. La militarización, por tanto, además de ser inconstitucional conforme a lo dispuesto en los arts. 55, 116 y 117.5 CE es ilegal según lo previsto en el art. 12.2 de la Ley Orgánica 4/1981, de 4 de junio, de los estados de alarma, excepción y sitio.</w:t>
      </w:r>
    </w:p>
    <w:p w:rsidR="00E3576C" w:rsidRDefault="00E3576C" w:rsidP="00E3576C">
      <w:pPr>
        <w:pStyle w:val="TextoNormal"/>
      </w:pPr>
    </w:p>
    <w:p w:rsidR="00E3576C" w:rsidRDefault="00E3576C" w:rsidP="00E3576C">
      <w:pPr>
        <w:pStyle w:val="TextoNormal"/>
      </w:pPr>
      <w:r>
        <w:t>d) A juicio de los recurrentes, la militarización también ha impedido o limitado el ejercicio de determinados derechos fundamentales por parte de los recurrentes en amparo, vulnerándose de esa forma los siguientes derechos fundamentales:</w:t>
      </w:r>
    </w:p>
    <w:p w:rsidR="00E3576C" w:rsidRDefault="00E3576C" w:rsidP="00E3576C">
      <w:pPr>
        <w:pStyle w:val="TextoNormal"/>
      </w:pPr>
    </w:p>
    <w:p w:rsidR="00E3576C" w:rsidRDefault="00E3576C" w:rsidP="00E3576C">
      <w:pPr>
        <w:pStyle w:val="TextoNormal"/>
      </w:pPr>
      <w:r>
        <w:t>i) El derecho a la tutela judicial efectiva y el derecho al Juez predeterminado por la ley (art. 24 CE), como consecuencia del sometimiento de los recurrentes en amparo a la disciplina militar y a la jurisdicción militar. La militarización ha llevado aparejada como consecuencia la sustracción de cualesquiera hechos fiscalizables por la jurisdicción ordinaria para que sean sometidos a la jurisdicción militar, quebrándose de esta forma los derechos fundamentales invocados.</w:t>
      </w:r>
    </w:p>
    <w:p w:rsidR="00E3576C" w:rsidRDefault="00E3576C" w:rsidP="00E3576C">
      <w:pPr>
        <w:pStyle w:val="TextoNormal"/>
      </w:pPr>
    </w:p>
    <w:p w:rsidR="00E3576C" w:rsidRDefault="00E3576C" w:rsidP="00E3576C">
      <w:pPr>
        <w:pStyle w:val="TextoNormal"/>
      </w:pPr>
      <w:r>
        <w:t>ii) El derecho a la libertad de expresión (art. 20 CE), que los militares tienen limitado en virtud de lo dispuesto en el art. 178 de la Ley 85/1978, de 28 de diciembre, que aprueba las Reales Ordenanzas de las Fuerzas Armadas. Es indudable que durante el tiempo en que se prolongó el estado de alarma los demandantes de amparo se vieron afectados por esta limitación a la libertad de expresión, que, por mínima que fuera, supone un quebranto de la misma.</w:t>
      </w:r>
    </w:p>
    <w:p w:rsidR="00E3576C" w:rsidRDefault="00E3576C" w:rsidP="00E3576C">
      <w:pPr>
        <w:pStyle w:val="TextoNormal"/>
      </w:pPr>
    </w:p>
    <w:p w:rsidR="00E3576C" w:rsidRDefault="00E3576C" w:rsidP="00E3576C">
      <w:pPr>
        <w:pStyle w:val="TextoNormal"/>
      </w:pPr>
      <w:r>
        <w:lastRenderedPageBreak/>
        <w:t>iii) Derechos de reunión y manifestación (art. 21 CE). El art. 180 de la Ley 85/1978, de 28 de diciembre, que aprueba las Reales Ordenanzas de las Fuerzas Armadas regula el ejercicio de estos derechos por parte de los militares y es público y notorio que en los momentos previos a la declaración del estado de alarma se sucedieron reuniones de los demandantes de amparo dados los acontecimientos excepcionales que comenzaron a suceder a partir del día 3 de diciembre de 2010 con el cierre del espacio aéreo y hubo una amplia repercusión, una vez declarado el estado de alarma, de la atribución a los recurrentes en amparo de la condición de personal militar. El militar tiene prohibida la asistencia de uniforme o haciendo uso de su condición de militar a reuniones políticas y sindicales. En este caso es evidente que desde la declaración del estado de alarma se subrayó la condición de militares de los recurrentes, por lo que su derecho de reunión quedó totalmente restringido conforme a los postulados de la Ley 85/1978, de 28 de diciembre, que aprueba las Reales Ordenanzas de las Fuerzas Armadas.</w:t>
      </w:r>
    </w:p>
    <w:p w:rsidR="00E3576C" w:rsidRDefault="00E3576C" w:rsidP="00E3576C">
      <w:pPr>
        <w:pStyle w:val="TextoNormal"/>
      </w:pPr>
    </w:p>
    <w:p w:rsidR="00E3576C" w:rsidRDefault="00E3576C" w:rsidP="00E3576C">
      <w:pPr>
        <w:pStyle w:val="TextoNormal"/>
      </w:pPr>
      <w:r>
        <w:t>iv) Derecho de afiliación política y sindical (art. 22 CE). Durante el tiempo en que perduró la prórroga del estado de alarma también estuvo limitado el derecho invocado en los términos previstos para el personal militar en el art. 182 de la Ley 85/1978, de 28 de diciembre, que aprueba las Reales Ordenanzas de las Fuerzas Armadas. Así los controladores desde la declaración del estado de alarma tuvieron que cesar en la participación de reuniones de carácter sindical, restringiéndose de este modo aquellos derechos.</w:t>
      </w:r>
    </w:p>
    <w:p w:rsidR="00E3576C" w:rsidRDefault="00E3576C" w:rsidP="00E3576C">
      <w:pPr>
        <w:pStyle w:val="TextoNormal"/>
      </w:pPr>
    </w:p>
    <w:p w:rsidR="00E3576C" w:rsidRDefault="00E3576C" w:rsidP="00E3576C">
      <w:pPr>
        <w:pStyle w:val="TextoNormal"/>
      </w:pPr>
      <w:r>
        <w:t>v) Derecho de sufragio pasivo (art. 23 CE). Este derecho es sumamente más restringido para el militar que para otros colectivos [art. 6.1 i) de la Ley Orgánica del régimen electoral general], por lo que durante el tiempo en el que perduró la prórroga del estado de alarma también se limitó el derecho a poder acceder a los cargos públicos.</w:t>
      </w:r>
    </w:p>
    <w:p w:rsidR="00E3576C" w:rsidRDefault="00E3576C" w:rsidP="00E3576C">
      <w:pPr>
        <w:pStyle w:val="TextoNormal"/>
      </w:pPr>
    </w:p>
    <w:p w:rsidR="00E3576C" w:rsidRDefault="00E3576C" w:rsidP="00E3576C">
      <w:pPr>
        <w:pStyle w:val="TextoNormal"/>
      </w:pPr>
      <w:r>
        <w:t>vi) Libertad sindical y derecho de huelga (art. 28 CE). El militar no goza del derecho de libertad sindical (art. 1.3 Ley Orgánica 11/1985, de 2 de agosto, de libertad sindical) y el art. 181 de la Ley 85/1978, de 28 de diciembre, que aprueba las Reales Ordenanzas de las Fuerzas Armadas le niega también el derecho de huelga. Es público y notorio que con anterioridad a la aprobación del Real Decreto 161/2010, así como del Real Decreto 1673/2010 existía un conflicto laboral entre los controladores de tránsito aéreo y AENA, de manera que hasta la declaración del estado de alarma y de la militarización de los recurrentes eran las organizaciones sindicales las encargadas de asumir en aquel conflicto la representación de los controladores. Por ello la limitación de estos derechos fundamentales es sumamente relevante, puesto que desde el propio momento de la militarización los recurrentes vieron restringido el derecho a poder emprender cualquier tipo de acciones con finalidad reivindicativa respecto de sus legítimas pretensiones, incluyendo, entre otras, el derecho de huelga.</w:t>
      </w:r>
    </w:p>
    <w:p w:rsidR="00E3576C" w:rsidRDefault="00E3576C" w:rsidP="00E3576C">
      <w:pPr>
        <w:pStyle w:val="TextoNormal"/>
      </w:pPr>
    </w:p>
    <w:p w:rsidR="00E3576C" w:rsidRDefault="00E3576C" w:rsidP="00E3576C">
      <w:pPr>
        <w:pStyle w:val="TextoNormal"/>
      </w:pPr>
      <w:r>
        <w:t>vii) Ejercicio colectivo del derecho de petición (art. 29 CE). El militar sólo puede ejercer el derecho de petición individualmente (arts. 199 de la Ley 85/1978, de 28 de diciembre, que aprueba las Reales Ordenanzas de las Fuerzas Armadas y 15.2 de la Ley Orgánica 2/1986, de 13 de marzo, de fuerzas y cuerpos de seguridad). Pues bien, la declaración del estado de alarma y su prórroga han supuesto la restricción de derechos de todos los controladores que, en ningún caso, como colectivo podían dirigirse a los órganos del Estado en el ejercicio de ese derecho fundamental.</w:t>
      </w:r>
    </w:p>
    <w:p w:rsidR="00E3576C" w:rsidRDefault="00E3576C" w:rsidP="00E3576C">
      <w:pPr>
        <w:pStyle w:val="TextoNormal"/>
      </w:pPr>
    </w:p>
    <w:p w:rsidR="00E3576C" w:rsidRDefault="00E3576C" w:rsidP="00E3576C">
      <w:pPr>
        <w:pStyle w:val="TextoNormal"/>
      </w:pPr>
      <w:r>
        <w:lastRenderedPageBreak/>
        <w:t>Tras señalar que el cese del estado de alarma y su prórroga no puede entenderse como una circunstancia constitutiva de una pérdida sobrevenida del objeto del recurso de amparo, la demanda concluye suplicando de este Tribunal que, tras los trámites legales previstos, se otorgue el amparo solicitado y, en consecuencia, se declare la nulidad del acuerdo del Pleno del Congreso de los Diputados de 16 de diciembre de 2010 de autorización de la prórroga del estado de alarma y se reconozca la vulneración de los derechos fundamentales aducida, restableciendo a los recurrentes en la integridad de los mismos mediante el reconocimiento a obtener una medida compensatoria económica con finalidad reparadora.</w:t>
      </w:r>
    </w:p>
    <w:p w:rsidR="00E3576C" w:rsidRDefault="00E3576C" w:rsidP="00E3576C">
      <w:pPr>
        <w:pStyle w:val="TextoNormal"/>
      </w:pPr>
    </w:p>
    <w:p w:rsidR="00E3576C" w:rsidRDefault="00E3576C" w:rsidP="00E3576C">
      <w:pPr>
        <w:pStyle w:val="TextoNormal"/>
      </w:pPr>
      <w:r w:rsidRPr="00E3576C">
        <w:rPr>
          <w:rStyle w:val="NumeroAFNegritaCaracter"/>
        </w:rPr>
        <w:t>4</w:t>
      </w:r>
      <w:r>
        <w:t>. 4. El Pleno del Tribunal, por providencia de 13 de diciembre de 2011, de conformidad con lo establecido en el art. 10.1 n) LOTC y a propuesta de la Sala Primera, acordó recabar para sí el conocimiento del recurso de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Los demandantes de amparo, controladores de tránsito aéreo al servicio de Aeropuertos Españoles y Navegación Aérea, impugnan, por la vía del art. 42 de la Ley Orgánica del Tribunal Constitucional (LOTC), el acuerdo del Pleno de Congreso de los Diputados, de 16 de diciembre de 2010, de autorización de la prórroga del estado de alarma declarado por Real Decreto 1673/2010, de 4 de diciembre.</w:t>
      </w:r>
    </w:p>
    <w:p w:rsidR="00E3576C" w:rsidRDefault="00E3576C" w:rsidP="00E3576C">
      <w:pPr>
        <w:pStyle w:val="TextoNormal"/>
      </w:pPr>
    </w:p>
    <w:p w:rsidR="00E3576C" w:rsidRDefault="00E3576C" w:rsidP="00E3576C">
      <w:pPr>
        <w:pStyle w:val="TextoNormal"/>
      </w:pPr>
      <w:r>
        <w:t>Los demandantes, tras sostener la impugnabilidad de dicho acuerdo a través del recurso de amparo previsto en el art. 42 LOTC, entienden que, al haber autorizado la prórroga del estado de alarma en los mismos términos en que fue declarado por el citado real decreto, incurre en iguales vicios de inconstitucionalidad e ilegalidad que éste. Aducen, en primer término, que no concurrían los presupuestos previstos en el art. 4 de la Ley Orgánica 4/1981, de 1 de junio, de los estados de alarma, excepción y sitio para la declaración del estado de alarma y su posterior prórroga; en segundo lugar, que carecía de cobertura legal la designación del jefe del Estado Mayor del Ejército del Aire como autoridad delegada; en tercer lugar, que era inconstitucional la medida de militarización de los controladores de tránsito aéreo acordada en el art. 3 del Real Decreto 1673/2010, de 4 de diciembre; y, en fin, que su militarización ha vulnerado los derechos fundamentales a la tutela judicial efectiva y al Juez ordinario predeterminado por la ley (art. 24 CE); la libertad de expresión (art. 20 CE); los derechos de reunión y manifestación (art. 21 CE); el derecho de asociación (art. 22 CE); el derecho de sufragio pasivo (art. 23 CE); la libertad sindical y el derecho de huelga (art. 28 CE) y el derecho de petición (art. 29 CE).</w:t>
      </w:r>
    </w:p>
    <w:p w:rsidR="00E3576C" w:rsidRDefault="00E3576C" w:rsidP="00E3576C">
      <w:pPr>
        <w:pStyle w:val="TextoNormal"/>
      </w:pPr>
    </w:p>
    <w:p w:rsidR="00E3576C" w:rsidRDefault="00E3576C" w:rsidP="00E3576C">
      <w:pPr>
        <w:pStyle w:val="TextoNormal"/>
      </w:pPr>
      <w:r w:rsidRPr="00E3576C">
        <w:rPr>
          <w:rStyle w:val="NumeroAFNegritaCaracter"/>
        </w:rPr>
        <w:t>2</w:t>
      </w:r>
      <w:r>
        <w:t>. La Ley Orgánica del Tribunal Constitucional, a los efectos que ahora interesan, dispone que el recurso de amparo constitucional protege frente a las vulneraciones de derechos fundamentales originadas por “las disposiciones, actos jurídicos, omisiones o simples vías de hecho de los poderes públicos del Estado, las Comunidades Autónomas y demás entes públicos de carácter territorial, corporativo o institucional, así como de sus funcionarios o agentes” (art. 41.2). A partir de ello, la propia Ley Orgánica del Tribunal Constitucional regula tres vías de acceso a la jurisdicción de amparo en sus arts. 42, 43 y 44.</w:t>
      </w:r>
    </w:p>
    <w:p w:rsidR="00E3576C" w:rsidRDefault="00E3576C" w:rsidP="00E3576C">
      <w:pPr>
        <w:pStyle w:val="TextoNormal"/>
      </w:pPr>
    </w:p>
    <w:p w:rsidR="00E3576C" w:rsidRDefault="00E3576C" w:rsidP="00E3576C">
      <w:pPr>
        <w:pStyle w:val="TextoNormal"/>
      </w:pPr>
      <w:r>
        <w:t xml:space="preserve">El art. 42 LOTC, precepto que invocan los demandantes para interponer el presente recurso, establece como objeto del recurso de amparo “[l]as decisiones o actos sin valor de </w:t>
      </w:r>
      <w:r>
        <w:lastRenderedPageBreak/>
        <w:t>Ley, emanados de las Cortes o de cualquiera de sus órganos, o de las Asambleas legislativas de las Comunidades Autónomas, o de sus órganos, que violen derechos y libertades susceptibles de amparo constitucional…”.</w:t>
      </w:r>
    </w:p>
    <w:p w:rsidR="00E3576C" w:rsidRDefault="00E3576C" w:rsidP="00E3576C">
      <w:pPr>
        <w:pStyle w:val="TextoNormal"/>
      </w:pPr>
    </w:p>
    <w:p w:rsidR="00E3576C" w:rsidRDefault="00E3576C" w:rsidP="00E3576C">
      <w:pPr>
        <w:pStyle w:val="TextoNormal"/>
      </w:pPr>
      <w:r>
        <w:t>La primera condición de impugnabilidad para promover un recurso de amparo por la vía del art. 42 LOTC es que tenga por objeto decisiones o actos que procedan de las Cortes Generales o de las Asambleas Legislativas de las Comunidades Autónomas o de cualesquiera de los órganos de unas u otras, esto es, que se trate de decisiones o actos parlamentarios, a los que se les impute la vulneración de derechos fundamentales o libertades públicas protegibles a través del recurso de amparo. A esta primera condición de impugnabilidad ha de añadirse también su naturaleza de decisiones y actos parlamentarios “sin valor de ley”, pues el enunciado del art. 42 LOTC excluye a contrario la utilización de esta vía procesal del recurso de amparo frente a decisiones o actos de las Cámaras legislativas o de cualquiera de sus órganos que tengan valor de ley. Hemos declarado que esta clara exclusión que resulta del art. 42 LOTC “es respecto a las disposiciones con fuerza o valor de ley susceptibles de ser objeto de recurso de inconstitucionalidad de acuerdo con el art. 161.1 a) de la Constitución y al art. 27 de la misma Ley Orgánica”, destacando la conexión existente entre los referidos preceptos (SSTC 118/1988, de 20 de junio, FJ 3; y 121/1997, de 1 de julio, FJ 5).</w:t>
      </w:r>
    </w:p>
    <w:p w:rsidR="00E3576C" w:rsidRDefault="00E3576C" w:rsidP="00E3576C">
      <w:pPr>
        <w:pStyle w:val="TextoNormal"/>
      </w:pPr>
    </w:p>
    <w:p w:rsidR="00E3576C" w:rsidRDefault="00E3576C" w:rsidP="00E3576C">
      <w:pPr>
        <w:pStyle w:val="TextoNormal"/>
      </w:pPr>
      <w:r>
        <w:t>Además, de conformidad con la delimitación efectuada por este Tribunal en la STC 121/1997, de 1 de julio (FJ 3), el recurso de amparo ha de tener por objeto decisiones y actos sin valor de ley de “naturaleza típicamente parlamentaria”, que, a diferencia de los actos en materia de personal, administración y gestión patrimonial [arts. 58.1 y 74.1 c) de la Ley Orgánica del Poder Judicial y 1.3 a), 10.1 c) y 12.1 c) de la Ley reguladora de la jurisdicción contencioso-administrativa], por ser expresión de su autonomía en el ejercicio de las funciones que en cuanto órganos constitucionales del Estado o institucionales de las Comunidades Autónomas les atribuyen la Constitución o los Estatutos de Autonomía, resultan excluidos del conocimiento, verificación y control por los Tribunales ordinarios y únicamente pueden impugnarse ante este Tribunal Constitucional cuando se les impute la lesión de un derecho o libertad susceptible de protección a través del recurso de amparo (art. 53.2 CE) (en el mismo sentido, STC 227/2004, de 29 de noviembre, FJ 1).</w:t>
      </w:r>
    </w:p>
    <w:p w:rsidR="00E3576C" w:rsidRDefault="00E3576C" w:rsidP="00E3576C">
      <w:pPr>
        <w:pStyle w:val="TextoNormal"/>
      </w:pPr>
    </w:p>
    <w:p w:rsidR="00E3576C" w:rsidRDefault="00E3576C" w:rsidP="00E3576C">
      <w:pPr>
        <w:pStyle w:val="TextoNormal"/>
      </w:pPr>
      <w:r>
        <w:t>En este caso es evidente la naturaleza parlamentaria del acuerdo recurrido, emanado del Pleno del Congreso de los Diputados en el ejercicio de una función constitucionalmente atribuida a la Cámara (art. 116.2 CE) y no sometido al control jurisdiccional de los Tribunales ordinarios, al no tratarse de un acto en materia de personal, administración y gestión patrimonial. Sin embargo, frente a lo que sostienen los demandantes de amparo, aquel acuerdo no es susceptible de ser impugnado a través del recurso de amparo ex art. 42 LOTC.</w:t>
      </w:r>
    </w:p>
    <w:p w:rsidR="00E3576C" w:rsidRDefault="00E3576C" w:rsidP="00E3576C">
      <w:pPr>
        <w:pStyle w:val="TextoNormal"/>
      </w:pPr>
    </w:p>
    <w:p w:rsidR="00E3576C" w:rsidRDefault="00E3576C" w:rsidP="00E3576C">
      <w:pPr>
        <w:pStyle w:val="TextoNormal"/>
      </w:pPr>
      <w:r w:rsidRPr="00E3576C">
        <w:rPr>
          <w:rStyle w:val="NumeroAFNegritaCaracter"/>
        </w:rPr>
        <w:t>3</w:t>
      </w:r>
      <w:r>
        <w:t>. La cuestión a elucidar es cuál sea el significado, en este contexto y en el marco general de la Constitución y de la LOTC, de la expresión “valor de ley” del art. 42 LOTC y si, en concreto, el acuerdo recurrido del Pleno del Congreso de los Diputados posee o no aquella cualidad.</w:t>
      </w:r>
    </w:p>
    <w:p w:rsidR="00E3576C" w:rsidRDefault="00E3576C" w:rsidP="00E3576C">
      <w:pPr>
        <w:pStyle w:val="TextoNormal"/>
      </w:pPr>
    </w:p>
    <w:p w:rsidR="00E3576C" w:rsidRDefault="00E3576C" w:rsidP="00E3576C">
      <w:pPr>
        <w:pStyle w:val="TextoNormal"/>
      </w:pPr>
      <w:r>
        <w:t xml:space="preserve">La expresión “valor de ley” se emplea sólo en los arts. 10.1 b) y, por lo que ahora importa, 42 LOTC, usándose otras, que por la doctrina académica vienen considerándose próximas o análogas, en la misma Constitución, así como en la LOTC: “rango de ley” [arts. 82.1, 161.1 a) y 163 CE y 35, 37, 75 bis.1, 75 ter.1 b) y c), disposición adicional tercera.2 y </w:t>
      </w:r>
      <w:r>
        <w:lastRenderedPageBreak/>
        <w:t>disposición adicional quinta.3 LOTC] y “fuerza de ley” [art. 153 a), 161.1 a) y 164.1 CE y arts. 2.1 a), 27.2 b) y e), 28, 29.2, 30, 31, 32. 33.1 y 2, 34, 35.2 y 3, 39.1 y 40.1 LOTC].</w:t>
      </w:r>
    </w:p>
    <w:p w:rsidR="00E3576C" w:rsidRDefault="00E3576C" w:rsidP="00E3576C">
      <w:pPr>
        <w:pStyle w:val="TextoNormal"/>
      </w:pPr>
    </w:p>
    <w:p w:rsidR="00E3576C" w:rsidRDefault="00E3576C" w:rsidP="00E3576C">
      <w:pPr>
        <w:pStyle w:val="TextoNormal"/>
      </w:pPr>
      <w:r>
        <w:t>A pesar de la citada diversidad de locuciones constitucionales, resulta palmario, a los efectos que ahora importan, que con las expresiones “rango” o “valor” de ley la Constitución primero, y luego la Ley Orgánica del Tribunal Constitucional, han querido acotar un genus de normas, decisiones y actos, del que serían especificaciones, además de la propia ley parlamentaria, otras fuentes en parte equiparadas a la misma por la propia Constitución, así como algunos actos, decisiones o resoluciones no identificados como tales ni en la Constitución ni en la Ley Orgánica del Tribunal Constitucional, pero que sí gozarían de aquel “valor” o “rango”, en virtud del cual no serían residenciables ante el Tribunal Constitucional por la vía del recurso de amparo.</w:t>
      </w:r>
    </w:p>
    <w:p w:rsidR="00E3576C" w:rsidRDefault="00E3576C" w:rsidP="00E3576C">
      <w:pPr>
        <w:pStyle w:val="TextoNormal"/>
      </w:pPr>
    </w:p>
    <w:p w:rsidR="00E3576C" w:rsidRDefault="00E3576C" w:rsidP="00E3576C">
      <w:pPr>
        <w:pStyle w:val="TextoNormal"/>
      </w:pPr>
      <w:r>
        <w:t>Sin otra pretensión ahora que la identificación de esa categoría en relación con el específico objeto de este proceso de amparo, es manifiesto que son de subsumir también en la misma aquellas decisiones o actos parlamentarios que sin ser leyes o fuentes equiparadas a la ley, sí pueden, conforme a la propia Constitución, afectar a aquellas normas legales o asimiladas, esto es, excepcionarlas, suspenderlas o modificar su aplicabilidad legítimamente. Si la Constitución y el ordenamiento habilitan a determinados actos, decisiones o resoluciones parlamentarias para modificar de tal modo la aplicación de las leyes, no es de dudar que tales actos, decisiones o resoluciones ostenten ese genérico “rango” o “valor” de ley que invoca para acotar su objeto el art. 42 LOTC, con la consecuencia de que los mismos son insusceptibles del recurso de amparo previsto en tal precepto y sólo cabe impugnarlos ante este Tribunal a través de los procesos constitucionales previstos en la Constitución y en la Ley Orgánica del Tribunal Constitucional que tienen por objeto el control de constitucionalidad de las leyes, normas y actos con fuerza o valor de ley. Ello sin perjuicio, como es evidente, de que los actos que puedan dictarse en aplicación de aquéllos puedan impugnarse ante la jurisdicción ordinaria en cada caso competente y los órganos judiciales puedan, al enjuiciarlos, promover cuestión de inconstitucionalidad contra los actos, decisiones o resoluciones con valor o rango de ley de los que son aplicación cuando consideren que pueden ser contrarios a la Constitución.</w:t>
      </w:r>
    </w:p>
    <w:p w:rsidR="00E3576C" w:rsidRDefault="00E3576C" w:rsidP="00E3576C">
      <w:pPr>
        <w:pStyle w:val="TextoNormal"/>
      </w:pPr>
    </w:p>
    <w:p w:rsidR="00E3576C" w:rsidRDefault="00E3576C" w:rsidP="00E3576C">
      <w:pPr>
        <w:pStyle w:val="TextoNormal"/>
      </w:pPr>
      <w:r w:rsidRPr="00E3576C">
        <w:rPr>
          <w:rStyle w:val="NumeroAFNegritaCaracter"/>
        </w:rPr>
        <w:t>4</w:t>
      </w:r>
      <w:r>
        <w:t>. Sin duda eso es lo que ocurre con las autorizaciones del Congreso de los Diputados para prorrogar el estado de alarma, que el Gobierno puede declarar por un plazo máximo de quince días, y para que el Gobierno pueda declarar o prorrogar el de excepción, así como con la declaración por la propia Cámara, a propuesta del Gobierno, del estado de sitio, contempladas todas en el art. 116 CE, cuyas previsiones han sido desarrolladas por la Ley Orgánica 4/1981, de 4 de junio, de los estados de alarma, excepción y sitio.</w:t>
      </w:r>
    </w:p>
    <w:p w:rsidR="00E3576C" w:rsidRDefault="00E3576C" w:rsidP="00E3576C">
      <w:pPr>
        <w:pStyle w:val="TextoNormal"/>
      </w:pPr>
    </w:p>
    <w:p w:rsidR="00E3576C" w:rsidRDefault="00E3576C" w:rsidP="00E3576C">
      <w:pPr>
        <w:pStyle w:val="TextoNormal"/>
      </w:pPr>
      <w:r>
        <w:t xml:space="preserve">En efecto, todos los estados que cabe denominar de emergencia ex art. 116 CE y también por tanto, el de menor intensidad de entre ellos, esto es, el de alarma, suponen, como es evidente y así resulta de su regulación en la Ley Orgánica 4/1981, de 4 de junio, de los estados de alarma, excepción y sitio, excepciones o modificaciones pro tempore en la aplicabilidad de determinadas normas del ordenamiento vigente, incluidas, en lo que ahora importa, determinadas disposiciones legales, que sin ser derogadas o modificadas sí pueden ver alterada su aplicabilidad ordinaria (arts. 9 a 12; 16 a 30; 32 a 36 de la Ley Orgánica 4/1981, de 4 de junio, de los estados de alarma, excepción y sitio), pues el fundamento de </w:t>
      </w:r>
      <w:r>
        <w:lastRenderedPageBreak/>
        <w:t>la declaración de cualquiera de estos estados es siempre la imposibilidad en que se encuentran las autoridades competentes para mantener mediante “los poderes ordinarios” la normalidad ante la emergencia de determinadas circunstancias extraordinarias (art. 1.1 de la Ley Orgánica 4/1981, de 4 de junio, de los estados de alarma, excepción y sitio). Siendo esto así, como sin duda es, el acto de autorización parlamentaria de la prórroga del estado de alarma o el de la declaración y prórroga del de excepción, que no son meros actos de carácter autorizatorio, pues tienen un contenido normativo o regulador (ya en cuanto hacen suyos el alcance, condiciones y términos del estado de alarma o de excepción fijados o solicitados por el Gobierno, ya en cuanto la propia Cámara directamente los establece o introduce modificaciones en los propuestos), así como el acto parlamentario de declaración del estado de sitio son, todos ellos, decisiones con rango o valor de ley, expresión del ejercicio de una competencia constitucionalmente confiada a la Cámara Baja ex art. 116 CE en aras de la protección, en los respectivos estados de emergencia, de los derechos y libertades de los ciudadanos (en similar sentido, ATC 114/1991, de 11 de abril, FJ 3).</w:t>
      </w:r>
    </w:p>
    <w:p w:rsidR="00E3576C" w:rsidRDefault="00E3576C" w:rsidP="00E3576C">
      <w:pPr>
        <w:pStyle w:val="TextoNormal"/>
      </w:pPr>
    </w:p>
    <w:p w:rsidR="00E3576C" w:rsidRDefault="00E3576C" w:rsidP="00E3576C">
      <w:pPr>
        <w:pStyle w:val="TextoNormal"/>
      </w:pPr>
      <w:r>
        <w:t>En definitiva, se trata de decisiones o actos parlamentarios que, aunque no dictados en el ejercicio de la potestad legislativa de la Cámara ni revestidos, en consecuencia, de la forma de ley, configuran el régimen jurídico del estado de emergencia en cada caso declarado, repercutiendo en el régimen de aplicabilidad de determinadas normas jurídicas, incluidas las provistas de rango de ley, normas a las que, como ya hemos señalado, pueden, con taxativas condiciones, suspender o desplazar durante el período de vigencia del estado de emergencia de que se trate. Dada su cualidad de decisiones o actos parlamentarios con valor de ley, el cauce para residenciarlos ante la jurisdicción constitucional no es, en lo que aquí importa, el recurso de amparo del art. 42 LOTC, para el que basta la legitimación individual del art. 162.1 b) CE, sino el de inconstitucionalidad, con la legitimación que le es propia, o, en su caso, la cuestión de inconstitucionalidad. Se advierte así, en definitiva, la lógica institucional que subyace a la salvedad presente en el inciso inicial del art. 42 LOTC.</w:t>
      </w:r>
    </w:p>
    <w:p w:rsidR="00E3576C" w:rsidRDefault="00E3576C" w:rsidP="00E3576C">
      <w:pPr>
        <w:pStyle w:val="TextoNormal"/>
      </w:pPr>
    </w:p>
    <w:p w:rsidR="00E3576C" w:rsidRDefault="00E3576C" w:rsidP="00E3576C">
      <w:pPr>
        <w:pStyle w:val="TextoNormal"/>
      </w:pPr>
      <w:r w:rsidRPr="00E3576C">
        <w:rPr>
          <w:rStyle w:val="NumeroAFNegritaCaracter"/>
        </w:rPr>
        <w:t>5</w:t>
      </w:r>
      <w:r>
        <w:t>. Así pues, con base en las consideraciones que se acaban de exponer, el acuerdo del Pleno del Congreso de los Diputados de 16 de diciembre de 2010, de autorización de la prórroga del estado de alarma declarado por Real Decreto 1673/2010, de 4 de diciembre, en tanto que no subsumible en la categoría de decisiones o actos sin valor de ley no es susceptible de ser impugnado a través del recurso de amparo previsto en el art. 42 LOTC, lo que, como hemos anticipado, ha de conducir a la no admisión del presente recurso de amparo, por manifiesta inadecuación del procedimiento [art. 50.1 a), en relación con el art. 42, LOTC].</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el presente recurso de amparo.</w:t>
      </w:r>
    </w:p>
    <w:p w:rsidR="00E3576C" w:rsidRDefault="00E3576C" w:rsidP="00E3576C">
      <w:pPr>
        <w:pStyle w:val="TextoNormal"/>
      </w:pPr>
    </w:p>
    <w:p w:rsidR="00E3576C" w:rsidRDefault="00E3576C" w:rsidP="00E3576C">
      <w:pPr>
        <w:pStyle w:val="TextoNormal"/>
      </w:pPr>
      <w:r>
        <w:t>Publíquese este Auto en el “Boletín Oficial del Estado”.</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rsidP="00E3576C">
      <w:pPr>
        <w:pStyle w:val="ParrafoNormal"/>
      </w:pPr>
    </w:p>
    <w:p w:rsidR="00E3576C" w:rsidRDefault="00E3576C" w:rsidP="00E3576C">
      <w:pPr>
        <w:pStyle w:val="TextoNormalNegritaCentrado"/>
        <w:keepNext/>
      </w:pPr>
      <w:r>
        <w:lastRenderedPageBreak/>
        <w:t>Voto particular que formula el Magistrado don Luis Ignacio Ortega Álvarez al Auto dictado en el recurso de amparo núm. 1598-2011, al que se adhieren los Magistrados don Javier Delgado Barrio y don Pablo Pérez Tremps.</w:t>
      </w:r>
    </w:p>
    <w:p w:rsidR="00E3576C" w:rsidRDefault="00E3576C" w:rsidP="00E3576C">
      <w:pPr>
        <w:pStyle w:val="TextoNormalNegritaCentrado"/>
        <w:keepNext/>
      </w:pPr>
    </w:p>
    <w:p w:rsidR="00E3576C" w:rsidRDefault="00E3576C" w:rsidP="00E3576C">
      <w:pPr>
        <w:pStyle w:val="TextoNormal"/>
      </w:pPr>
      <w:r>
        <w:t>Con el máximo respeto a la posición mayoritaria del Pleno, debo manifestar mi discrepancia con la inadmisión con la que concluye la resolución del asunto citado en el encabezamiento referido a la impugnación del acuerdo del Pleno del Congreso de los Diputados de 16 de diciembre de 2010, de autorización de la prórroga del estado de alarma declarado por el Real Decreto 1673/ 2010, de 4 de diciembre.</w:t>
      </w:r>
    </w:p>
    <w:p w:rsidR="00E3576C" w:rsidRDefault="00E3576C" w:rsidP="00E3576C">
      <w:pPr>
        <w:pStyle w:val="TextoNormal"/>
      </w:pPr>
    </w:p>
    <w:p w:rsidR="00E3576C" w:rsidRDefault="00E3576C" w:rsidP="00E3576C">
      <w:pPr>
        <w:pStyle w:val="TextoNormal"/>
      </w:pPr>
      <w:r>
        <w:t>La mayoría entiende, resumidamente, que el acuerdo del Pleno del Congreso objeto de este recurso es un acto parlamentario con valor de ley y que, por tanto, no es de aplicación el artículo 42 de la Ley Orgánica del Tribunal Constitucional (LOTC) que admite amparo constitucional sólo contra “las decisiones o actos sin valor de ley, emanados de las Cortes o de cualquiera de su órganos …. que violen derechos y libertades susceptibles de amparo constitucional …”.</w:t>
      </w:r>
    </w:p>
    <w:p w:rsidR="00E3576C" w:rsidRDefault="00E3576C" w:rsidP="00E3576C">
      <w:pPr>
        <w:pStyle w:val="TextoNormal"/>
      </w:pPr>
    </w:p>
    <w:p w:rsidR="00E3576C" w:rsidRDefault="00E3576C" w:rsidP="00E3576C">
      <w:pPr>
        <w:pStyle w:val="TextoNormal"/>
      </w:pPr>
      <w:r>
        <w:t>Las razones esenciales para esta calificación del acuerdo del Pleno del Congreso, como acto parlamentario con valor de ley estriban en considerar que tienen tal valor de ley “aquellas decisiones o actos parlamentarios que sin ser leyes o fuentes equiparadas a la ley, sí pueden, conforme a la propia Constitución, afectar a aquellas normas legales o asimiladas, esto es, excepcionarlas, suspenderlas o modificar su aplicabilidad legítimamente”.</w:t>
      </w:r>
    </w:p>
    <w:p w:rsidR="00E3576C" w:rsidRDefault="00E3576C" w:rsidP="00E3576C">
      <w:pPr>
        <w:pStyle w:val="TextoNormal"/>
      </w:pPr>
    </w:p>
    <w:p w:rsidR="00E3576C" w:rsidRDefault="00E3576C" w:rsidP="00E3576C">
      <w:pPr>
        <w:pStyle w:val="TextoNormal"/>
      </w:pPr>
      <w:r>
        <w:t>Este Voto particular se basa precisamente en la discrepancia sobre esta calificación del acuerdo del Pleno del Congreso como acto con valor de ley.</w:t>
      </w:r>
    </w:p>
    <w:p w:rsidR="00E3576C" w:rsidRDefault="00E3576C" w:rsidP="00E3576C">
      <w:pPr>
        <w:pStyle w:val="TextoNormal"/>
      </w:pPr>
    </w:p>
    <w:p w:rsidR="00E3576C" w:rsidRDefault="00E3576C" w:rsidP="00E3576C">
      <w:pPr>
        <w:pStyle w:val="TextoNormal"/>
      </w:pPr>
      <w:r>
        <w:t>En efecto, el contenido de dicho acuerdo, con arreglo a lo establecido en el artículo 116.2 CE, es meramente el de autorizar la prórroga del plazo inicial de quince días contenido en el Real Decreto 1673/2010, de 4 de diciembre, sin aportar otro contenido normativo respecto a la sustantividad de los derechos afectados por tal declaración gubernamental, ni al ámbito territorial de aplicación del mismo.</w:t>
      </w:r>
    </w:p>
    <w:p w:rsidR="00E3576C" w:rsidRDefault="00E3576C" w:rsidP="00E3576C">
      <w:pPr>
        <w:pStyle w:val="TextoNormal"/>
      </w:pPr>
    </w:p>
    <w:p w:rsidR="00E3576C" w:rsidRDefault="00E3576C" w:rsidP="00E3576C">
      <w:pPr>
        <w:pStyle w:val="TextoNormal"/>
      </w:pPr>
      <w:r>
        <w:t>La afectación material de los derechos concernidos en la declaración de estado de alarma se produce por un decreto aprobado en Consejo de Ministros, que en ningún momento aparece contemplado en la Constitución como una norma con rango o valor de ley. Si la norma sustantiva de afectación de los derechos y libertades ciudadanos, no es calificada por la Constitución como norma con rango o valor de ley, mucho menos puede predicarse de un acto de prórroga de la vigencia de dicha norma, por más que este acto sea un acto parlamentario.</w:t>
      </w:r>
    </w:p>
    <w:p w:rsidR="00E3576C" w:rsidRDefault="00E3576C" w:rsidP="00E3576C">
      <w:pPr>
        <w:pStyle w:val="TextoNormal"/>
      </w:pPr>
    </w:p>
    <w:p w:rsidR="00E3576C" w:rsidRDefault="00E3576C" w:rsidP="00E3576C">
      <w:pPr>
        <w:pStyle w:val="TextoNormal"/>
      </w:pPr>
      <w:r>
        <w:t xml:space="preserve">En primer lugar, de la construcción realizada por la mayoría del Pleno se deriva que el decreto de establecimiento del estado de alarma sería una norma sin rango o valor de ley, mientras que el decreto que establece la prórroga autorizada por el Congreso tendría rango de ley. Incluso podría interpretase que, dado que el criterio utilizado por este Tribunal en esta decisión, para calificar el acuerdo del Pleno del Congreso como acto parlamentario con valor de ley, es el hecho de que dicho acto excepciona, suspende o modifica la aplicabilidad de una ley, con mayor motivo debería predicarse del decreto originario del Gobierno que durante los primeros días de su vigencia, realiza las mismas excepciones, suspensiones o </w:t>
      </w:r>
      <w:r>
        <w:lastRenderedPageBreak/>
        <w:t>modificaciones de la aplicabilidad de normas legales. Sin embargo, la Constitución ya ha previsto que la decisión del Gobierno de declaración del estado de alarma, pese a provocar una alteración temporal de normas con rango de ley, se manifiesta a través de un decreto, sin que en modo alguno, la Constitución configure este decreto como una norma con rango de ley.</w:t>
      </w:r>
    </w:p>
    <w:p w:rsidR="00E3576C" w:rsidRDefault="00E3576C" w:rsidP="00E3576C">
      <w:pPr>
        <w:pStyle w:val="TextoNormal"/>
      </w:pPr>
    </w:p>
    <w:p w:rsidR="00E3576C" w:rsidRDefault="00E3576C" w:rsidP="00E3576C">
      <w:pPr>
        <w:pStyle w:val="TextoNormal"/>
      </w:pPr>
      <w:r>
        <w:t>La mayoría razona, además, que este mismo valor de ley tendría el acto parlamentario del Congreso de los Diputados de autorizar previamente la declaración del estado de excepción contemplado en el artículo 116.3 CE. En este caso, la autorización previa de un estado de excepción debe determinar expresamente los efectos del mismo, el ámbito territorial al que se extiende y su duración. Es decir, en este caso, el acto parlamentario de autorización, determina los elementos sustantivos de la afectación de derechos y libertades y no sólo, como en el caso del estado de alarma, una autorización de prórroga del plazo de vigencia del mismo. Por ello, podría pensarse que si, como sostiene la mayoría en esta decisión, dicha autorización tiene valor de ley, lo debería tener el instrumento normativo en la que se expresa la misma. Pues bien, también en el supuesto del estado de excepción, la Constitución expresamente determina que el acto normativo que lo declara es un decreto del Gobierno acordado en Consejo de Ministros.</w:t>
      </w:r>
    </w:p>
    <w:p w:rsidR="00E3576C" w:rsidRDefault="00E3576C" w:rsidP="00E3576C">
      <w:pPr>
        <w:pStyle w:val="TextoNormal"/>
      </w:pPr>
    </w:p>
    <w:p w:rsidR="00E3576C" w:rsidRDefault="00E3576C" w:rsidP="00E3576C">
      <w:pPr>
        <w:pStyle w:val="TextoNormal"/>
      </w:pPr>
      <w:r>
        <w:t>A mi juicio, por tanto, la Constitución deja claro el rango normativo de los instrumentos por los que se declara el estado de alarma y de excepción, sin que esta claridad pueda ser interpretada por este Tribunal en la forma que lo ha hecho la mayoría.</w:t>
      </w:r>
    </w:p>
    <w:p w:rsidR="00E3576C" w:rsidRDefault="00E3576C" w:rsidP="00E3576C">
      <w:pPr>
        <w:pStyle w:val="TextoNormal"/>
      </w:pPr>
    </w:p>
    <w:p w:rsidR="00E3576C" w:rsidRDefault="00E3576C" w:rsidP="00E3576C">
      <w:pPr>
        <w:pStyle w:val="TextoNormal"/>
      </w:pPr>
      <w:r>
        <w:t>El que se determine que los órganos judiciales pueden promover cuestión de inconstitucionalidad contra estos actos parlamentarios con valor de ley, no deja de situar la garantía de los derechos fuera de la voluntad de los ciudadanos, como sí sería posible de reconocerse que se trata de actos objeto del recurso de amparo que puede ser invocado ante este Tribunal.</w:t>
      </w:r>
    </w:p>
    <w:p w:rsidR="00E3576C" w:rsidRDefault="00E3576C" w:rsidP="00E3576C">
      <w:pPr>
        <w:pStyle w:val="TextoNormal"/>
      </w:pPr>
    </w:p>
    <w:p w:rsidR="00E3576C" w:rsidRDefault="00E3576C" w:rsidP="00E3576C">
      <w:pPr>
        <w:pStyle w:val="TextoNormal"/>
      </w:pPr>
      <w:r>
        <w:t>Por todo ello considero que el recurso de amparo debió ser admitido por este Tribunal.</w:t>
      </w:r>
    </w:p>
    <w:p w:rsidR="00E3576C" w:rsidRDefault="00E3576C" w:rsidP="00E3576C">
      <w:pPr>
        <w:pStyle w:val="TextoNormal"/>
      </w:pPr>
    </w:p>
    <w:p w:rsidR="00E3576C" w:rsidRDefault="00E3576C" w:rsidP="00E3576C">
      <w:pPr>
        <w:pStyle w:val="TextoNormal"/>
      </w:pPr>
      <w:r>
        <w:t>Además, entiendo que, en todo caso, la trascendencia constitucional de este asunto, y la innovación interpretativa de la Constitución realizada en esta decisión, son de una entidad tal, que debería haberse admitido el recurso y haberse pronunciado el Tribunal mediante Sentencia.</w:t>
      </w:r>
    </w:p>
    <w:p w:rsidR="00E3576C" w:rsidRDefault="00E3576C" w:rsidP="00E3576C">
      <w:pPr>
        <w:pStyle w:val="TextoNormal"/>
      </w:pPr>
    </w:p>
    <w:p w:rsidR="00E3576C" w:rsidRDefault="00E3576C" w:rsidP="00E3576C">
      <w:pPr>
        <w:pStyle w:val="TextoNormal"/>
      </w:pPr>
      <w:r>
        <w:t>Valencia, a trece de enero de 2012.</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49" w:name="AUTO_2012_8"/>
      <w:r>
        <w:lastRenderedPageBreak/>
        <w:t>AUTO 8/2012, de 13 de enero de 2012</w:t>
      </w:r>
    </w:p>
    <w:bookmarkEnd w:id="14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ECLI:ES:TC:2012:8A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4239-2011, planteada por el Juzgado de lo Contencioso-Administrativo núm. 1 de Pontevedra en relación con el art. 1 del Real Decreto-ley 8/2010, de 20 de mayo, por el que se adoptan medidas extraordinarias para la reducción del déficit público.</w:t>
      </w:r>
    </w:p>
    <w:p w:rsidR="00E3576C" w:rsidRDefault="00E3576C" w:rsidP="00E3576C">
      <w:pPr>
        <w:pStyle w:val="SntesisDescriptiva"/>
      </w:pPr>
    </w:p>
    <w:p w:rsidR="00E3576C" w:rsidRDefault="00E3576C" w:rsidP="00E3576C">
      <w:pPr>
        <w:pStyle w:val="SntesisAnaltica"/>
      </w:pPr>
      <w:r>
        <w:t>Inadmisión de cuestión de inconstitucionalidad: cuestión de inconstitucionalidad notoriamente infundada. Personal al servicio de las Administraciones públicas: retribuciones de empleados públicos. Presupuestos públicos: déficit público.</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19 de julio de 2011 tuvo entrada en el Registro General de este Tribunal un oficio del Juzgado de lo Contencioso-Administrativo núm. 1 de Pontevedra, acompañado de testimonio del procedimiento abreviado núm. 475-2010 del que forma parte el Auto de 27 de junio de 2011, por el que se acuerda plantear cuestión de inconstitucionalidad respecto de los arts. 22.2 y 24.1 y 2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14, 31, 33.3, 37.1 y 86.1 CE.</w:t>
      </w:r>
    </w:p>
    <w:p w:rsidR="00E3576C" w:rsidRDefault="00E3576C" w:rsidP="00E3576C">
      <w:pPr>
        <w:pStyle w:val="TextoNormal"/>
      </w:pPr>
    </w:p>
    <w:p w:rsidR="00E3576C" w:rsidRDefault="00E3576C" w:rsidP="00E3576C">
      <w:pPr>
        <w:pStyle w:val="TextoNormal"/>
      </w:pPr>
      <w:r w:rsidRPr="00E3576C">
        <w:rPr>
          <w:rStyle w:val="NumeroAFNegritaCaracter"/>
        </w:rPr>
        <w:t>2</w:t>
      </w:r>
      <w:r>
        <w:t>. Los antecedentes de hecho de la presente cuestión de inconstitucionalidad son los siguientes:</w:t>
      </w:r>
    </w:p>
    <w:p w:rsidR="00E3576C" w:rsidRDefault="00E3576C" w:rsidP="00E3576C">
      <w:pPr>
        <w:pStyle w:val="TextoNormal"/>
      </w:pPr>
    </w:p>
    <w:p w:rsidR="00E3576C" w:rsidRDefault="00E3576C" w:rsidP="00E3576C">
      <w:pPr>
        <w:pStyle w:val="TextoNormal"/>
      </w:pPr>
      <w:r>
        <w:t xml:space="preserve">a) El 17 de diciembre de 2010, don Enrique Marra-López Moreno, médico adjunto en el servicio de urgencias hospitalarias del Complejo Hospitalario de Pontevedra, con plaza en propiedad como personal estatutario, interpuso recurso contencioso-administrativo, del que conoció el Juzgado núm. 1 de Pontevedra, contra la resolución de 23 de septiembre de 2010 de la Directora de Recursos Humanos del Servicio Gallego de Salud (SERGAS) desestimatoria del recurso de alzada planteado contra la resolución del Xerente Xeral del Complejo Hospitalario de Pontevedra, que acordó desestimar la petición del recurrente de no proceder a los descuentos salariales dimanantes de la aplicación del Real Decreto-ley 8/2010 y correspondientes a las nóminas del mes de junio y siguientes de 2010. En la demanda del </w:t>
      </w:r>
      <w:r>
        <w:lastRenderedPageBreak/>
        <w:t xml:space="preserve">recurso contencioso-administrativo se solicitó que se declarara contraria a Derecho la resolución impugnada y que se planteara cuestión de inconstitucionalidad ante el Tribunal Constitucional, por considerar que el Real Decreto-ley 8/2010, de 20 de mayo, por el que se adoptan medidas extraordinarias para la reducción del déficit público, y en cuya ejecución se dictó la resolución impugnada, podía ser contrario a los arts. 9.3, 14, 31, 33.3 y 86.1 CE. </w:t>
      </w:r>
    </w:p>
    <w:p w:rsidR="00E3576C" w:rsidRDefault="00E3576C" w:rsidP="00E3576C">
      <w:pPr>
        <w:pStyle w:val="TextoNormal"/>
      </w:pPr>
    </w:p>
    <w:p w:rsidR="00E3576C" w:rsidRDefault="00E3576C" w:rsidP="00E3576C">
      <w:pPr>
        <w:pStyle w:val="TextoNormal"/>
      </w:pPr>
      <w:r>
        <w:t>b) Concluso el procedimiento contencioso-administrativo y dentro del plazo para dictar Sentencia, el órgano judicial dictó providencia el 23 de mayo de 2011 por la que, en cumplimiento de lo dispuesto en los arts. 35.1 de la Ley Orgánica del Tribunal Constitucional (LOTC) y 163.1 CE, acordó oír a las partes y al Ministerio Fiscal en el plazo común e improrrogable de diez días, para que alegasen lo que a su derecho conviniera sobre la pertinencia de plantear cuestión de inconstitucionalidad respecto de la nueva redacción de los arts. 22.2 y 24.1 y 2 de la Ley 26/2009, de 23 de diciembre, de presupuestos generales del Estado para el año 2010, redacción introducida por el art. 1 apartados dos y cuatro del Real Decreto-ley 8/2010, de 20 de mayo, por el que se adoptan medidas extraordinarias para la reducción del déficit público, ya que podría afectar al art. 86.1 CE, en cuanto la concurrencia de las circunstancias de extraordinaria y urgente necesidad, y por afectar a derechos, deberes y libertades de los ciudadanos; al art. 14 CE, porque la reducción de salarios no afecta a todos los funcionarios y empleados públicos en general; al art. 31 CE al configurar el recorte retributivo como una norma fiscal de carácter progresivo y cuasi confiscatorio; al art. 33 CE porque recorta derechos económicos adquiridos del empleado público cuando tales derechos estaban reconocidos para toda la anualidad presupuestaria por la Ley 26/2009; y al art. 37.1 CE, al incidir en el derecho a la negociación colectiva laboral, dado que los incrementos recogidos en la Ley de presupuestos generales para el año 2010 fueron pactados en convenio colectivo y también han sido pactados, en idénticos términos, en numerosas Administraciones públicas territoriales, entidades públicas y empresas del sector público. Añade el Juzgado que los preceptos señalados resultan aplicables al caso y que el fallo depende de su validez, no siendo posible acomodar por otra vía interpretativa los mismos al ordenamiento constitucional.</w:t>
      </w:r>
    </w:p>
    <w:p w:rsidR="00E3576C" w:rsidRDefault="00E3576C" w:rsidP="00E3576C">
      <w:pPr>
        <w:pStyle w:val="TextoNormal"/>
      </w:pPr>
    </w:p>
    <w:p w:rsidR="00E3576C" w:rsidRDefault="00E3576C" w:rsidP="00E3576C">
      <w:pPr>
        <w:pStyle w:val="TextoNormal"/>
      </w:pPr>
      <w:r>
        <w:t>c) La representación procesal del recurrente en el procedimiento contencioso-administrativo, don Enrique Marra-López Moreno, presentó sus alegaciones mediante escrito registrado el día 7 de junio de 2011, manifestando su conformidad con el planteamiento de la cuestión de inconstitucionalidad y remitiéndose a las alegaciones planteadas en el escrito de demanda al respecto. En dicho escrito se alegaba que el primer capítulo del Real Decreto-ley 8/2010 era claramente inconstitucional por vulneración del art. 14 CE, al aplicarse a los trabajadores funcionarios o empleados públicos, y no a otros trabajadores, discriminando claramente a los funcionarios o empleados públicos sin ninguna motivación objetiva ni razonable; que la normativa aplicable al caso vulnera el art. 31 CE al suponer una confiscación de una parte de la nómina del empleado público que no se compensa con una reducción de jornada o contraprestación similar; que la bajada del sueldo a los empleados públicos vulnera también el art. 33.3 CE al suponer la expropiación ilegal de derechos adquiridos por los empleados públicos sin abono de justiprecio, partiendo de la concepción de que el salario de los facultativos del SERGAS es un auténtico derecho adquirido, y del art. 9.3 CE por quebranto del principio de proscripción de la ley retroactiva restrictiva de derechos; que se vulnera también lo contenido en el art. 86.1 CE, al carecer el decreto-ley de presupuesto habilitante, por no concurrir situación de extraordinaria y urgente necesidad que habilite al Gobierno a acudir a esta vía excepcional, y por afectar la regulación contenida en el decreto-</w:t>
      </w:r>
      <w:r>
        <w:lastRenderedPageBreak/>
        <w:t>ley a derechos, deberes y libertades de los ciudadanos, como el derecho a la negociación colectiva laboral (art. 37.1 CE) regulados en el título I de la Constitución; y, por último, que se vulnera el principio de seguridad jurídica contenido en el art. 9.3 CE, en la medida en que los poderes públicos en este caso han realizado de forma drástica y sorpresiva un cambio de rumbo que afecta a actuaciones propias de dichos poderes públicos, que habrían generado una serie de expectativas en los afectados por esas actuaciones.</w:t>
      </w:r>
    </w:p>
    <w:p w:rsidR="00E3576C" w:rsidRDefault="00E3576C" w:rsidP="00E3576C">
      <w:pPr>
        <w:pStyle w:val="TextoNormal"/>
      </w:pPr>
    </w:p>
    <w:p w:rsidR="00E3576C" w:rsidRDefault="00E3576C" w:rsidP="00E3576C">
      <w:pPr>
        <w:pStyle w:val="TextoNormal"/>
      </w:pPr>
      <w:r>
        <w:t xml:space="preserve">d) El Ministerio Fiscal, que presentó su escrito de alegaciones el 10 de junio de 2011, se manifiesta contrario al planteamiento de la cuestión de inconstitucionalidad al entender que no se advierte “ilegalidad constitucional” en la norma. A juicio del Fiscal, el decreto-ley de cuya constitucionalidad se duda no lesiona las previsiones del art. 86 CE, puesto que no se refiere al ordenamiento de las instituciones básicas del Estado y no puede considerarse arbitrario o abusivo el recurso a este tipo de norma como “respuesta rápida, y necesaria, ante la persistencia de una coyuntura económica de crisis industrial”. Respecto de la eventual contradicción del Real Decreto-ley con el art. 14 CE, el Ministerio Fiscal afirma que la bajada de salarios no lesiona el principio de igualdad porque se basa en una desigualdad previa existente entre los empleados públicos, de forma que establece esa bajada salarial basándose en la progresividad, de modo que la misma afecta a cada “grupo de funcionarios en específico, de forma que a ninguno de ellos en concreto se les discrimina en la bajada salarial”. Por lo que hace a la invocada lesión del art. 31 CE el Ministerio fiscal afirma que está íntimamente relacionado con el art. 33 CE “pero es lo cierto que el deber constitucional comporta exigencias y potestades específicas en orden a la efectividad y a razones de interés social, y es por ello, que no podemos apreciar que exista discriminación alguna, en una bajada progresiva, lineal y diferente para cada grupo”. En tercer lugar, y en referencia a la eventual lesión del art. 33 CE, por ir la regulación cuestionada contra los derechos adquiridos de los trabajadores del sector público, se argumenta basándose en el hecho de que el Tribunal Constitucional ya ha rechazado previamente la existencia de derechos adquiridos cuando los mismos se enfrentan a la ley. Por último respecto de la lesión del art. 37 CE, el Ministerio Fiscal afirma que la bajada salarial incluida en el decreto-ley no afecta a la negociación colectiva laboral “pues la bajada parte de la aceptación de los criterios de la negociación colectiva, de forma que en aquellas circunstancias en las que la subida hubiera sido del 3 por 100 sobre el montante final de la misma se establece la valoración de la bajada en el porcentaje que la ley de presupuestos establece”. </w:t>
      </w:r>
    </w:p>
    <w:p w:rsidR="00E3576C" w:rsidRDefault="00E3576C" w:rsidP="00E3576C">
      <w:pPr>
        <w:pStyle w:val="TextoNormal"/>
      </w:pPr>
    </w:p>
    <w:p w:rsidR="00E3576C" w:rsidRDefault="00E3576C" w:rsidP="00E3576C">
      <w:pPr>
        <w:pStyle w:val="TextoNormal"/>
      </w:pPr>
      <w:r>
        <w:t xml:space="preserve">e) El Letrado del Servicio Gallego de Salud formuló sus alegaciones por medio de escrito presentado el 16 de junio de 2011, manifestando su criterio contrario al planteamiento de la cuestión de inconstitucionalidad, apoyado en el único argumento de que la norma a la que se refiere el planteamiento de la cuestión no vulnera derecho constitucional alguno y remitiéndose, en defensa de esta tesis, a los argumentos contenidos en la resolución administrativa que daba respuesta al recurso de alzada planteada por quien también es recurrente en el recurso contencioso-administrativo. </w:t>
      </w:r>
    </w:p>
    <w:p w:rsidR="00E3576C" w:rsidRDefault="00E3576C" w:rsidP="00E3576C">
      <w:pPr>
        <w:pStyle w:val="TextoNormal"/>
      </w:pPr>
    </w:p>
    <w:p w:rsidR="00E3576C" w:rsidRDefault="00E3576C" w:rsidP="00E3576C">
      <w:pPr>
        <w:pStyle w:val="TextoNormal"/>
      </w:pPr>
      <w:r>
        <w:t xml:space="preserve">f) Finalmente, el Juzgado de lo Contencioso-Administrativo núm. 1 de Pontevedra dictó el Auto de 27 de junio de 2011 por el que se acuerda elevar cuestión de inconstitucionalidad ante este Tribunal Constitucional para que determine si los artículos 22.2 y 24.1 y 2 de la Ley 26/2009, de 23 de diciembre, de presupuestos generales del Estado para 2010, en la redacción que les da el Real Decreto-ley 8/2010, de 20 de mayo, por el que se adoptan medidas extraordinarias para la reducción del déficit público, “en cuanto determinan una </w:t>
      </w:r>
      <w:r>
        <w:lastRenderedPageBreak/>
        <w:t>reducción de retribuciones para los empleados públicos, en concreto para el personal estatuario”, son contrarios a las previsiones constitucionales incluidas en los arts. 86.1, 14, 31, 33.3 y 37.1 CE.</w:t>
      </w:r>
    </w:p>
    <w:p w:rsidR="00E3576C" w:rsidRDefault="00E3576C" w:rsidP="00E3576C">
      <w:pPr>
        <w:pStyle w:val="TextoNormal"/>
      </w:pPr>
    </w:p>
    <w:p w:rsidR="00E3576C" w:rsidRDefault="00E3576C" w:rsidP="00E3576C">
      <w:pPr>
        <w:pStyle w:val="TextoNormal"/>
      </w:pPr>
      <w:r w:rsidRPr="00E3576C">
        <w:rPr>
          <w:rStyle w:val="NumeroAFNegritaCaracter"/>
        </w:rPr>
        <w:t>3</w:t>
      </w:r>
      <w:r>
        <w:t>. El Auto de 27 de junio de 2011 del Juzgado de lo Contencioso-Administrativo núm. 1 de Pontevedra fundamenta el planteamiento de la cuestión de inconstitucionalidad en las consideraciones que seguidamente, y de forma resumida, se indican.</w:t>
      </w:r>
    </w:p>
    <w:p w:rsidR="00E3576C" w:rsidRDefault="00E3576C" w:rsidP="00E3576C">
      <w:pPr>
        <w:pStyle w:val="TextoNormal"/>
      </w:pPr>
    </w:p>
    <w:p w:rsidR="00E3576C" w:rsidRDefault="00E3576C" w:rsidP="00E3576C">
      <w:pPr>
        <w:pStyle w:val="TextoNormal"/>
      </w:pPr>
      <w:r>
        <w:t>En primer lugar, constata el Juzgado la relevancia del planteamiento de la cuestión de inconstitucionalidad para resolver el litigio planteado, puesto que la demanda que da lugar al procedimiento contencioso-administrativo impugna el acto administrativo consistente en la reducción de nóminas producida a partir del mes de junio de 2010, reducción que se produce por la obligación que tiene la administración demandada de aplicar el Real Decreto-ley 8/2010, de 20 de mayo, por lo que esta norma con rango de ley es imprescindible para resolver el recurso contencioso-administrativo en el que surge el planteamiento de la cuestión de inconstitucionalidad.</w:t>
      </w:r>
    </w:p>
    <w:p w:rsidR="00E3576C" w:rsidRDefault="00E3576C" w:rsidP="00E3576C">
      <w:pPr>
        <w:pStyle w:val="TextoNormal"/>
      </w:pPr>
    </w:p>
    <w:p w:rsidR="00E3576C" w:rsidRDefault="00E3576C" w:rsidP="00E3576C">
      <w:pPr>
        <w:pStyle w:val="TextoNormal"/>
      </w:pPr>
      <w:r>
        <w:t>Seguidamente, el órgano judicial se refiere al planteamiento de fondo y a los fundamentos de la cuestión de inconstitucionalidad planteada tal y como a continuación se expone:</w:t>
      </w:r>
    </w:p>
    <w:p w:rsidR="00E3576C" w:rsidRDefault="00E3576C" w:rsidP="00E3576C">
      <w:pPr>
        <w:pStyle w:val="TextoNormal"/>
      </w:pPr>
    </w:p>
    <w:p w:rsidR="00E3576C" w:rsidRDefault="00E3576C" w:rsidP="00E3576C">
      <w:pPr>
        <w:pStyle w:val="TextoNormal"/>
      </w:pPr>
      <w:r>
        <w:t>a) Respecto del art. 86.1 CE el órgano a quo entiende que no concurren las circunstancias de extraordinaria y urgente necesidad que habilitan al Gobierno para acudir a la vía excepcional del decreto-ley, y que además éste afecta a los derechos, deberes y libertades de los ciudadanos reconocidos en los arts. 14, 31 y 33.3 CE. Entiende el Juzgado de lo Contencioso-Administrativo núm. 1 de Pontevedra que la adopción de las medidas contenidas en el decreto-ley responde a una situación de mero oportunismo político, que no está amparada por nuestro texto constitucional, afirmación que se deriva directamente del hecho de que la Ley 26/2009, de 23 de diciembre, de presupuestos generales del Estado, aprobada solo unos meses antes, hubiera debido ser el instrumento oportuno para incluir las medidas de contención del gasto público, puesto que ya en ese momento se sabía de la necesidad de reducir el déficit público, no existiendo circunstancias urgentes sobrevenidas entre diciembre de 2009 y mayo de 2010 que determinasen la necesidad de acudir a la vía de urgencia proporcionada por el art. 86.1 CE. Así, siendo previsible la necesidad de controlar el déficit público, no se justifica que las medidas para coadyuvar a ese control no se adoptasen en los presupuestos generales del Estado, que además, lejos de prever una bajada salarial, contemplaban un incremento del 0,3 por 100 y una cláusula de revisión salarial de mantenimiento del poder adquisitivo. Por otro lado, y siempre en relación con las previsiones contenidas en el art. 86 CE, recuerda el órgano judicial que el recurso a la figura normativa del decreto-ley supone que su contenido no puede afectar, entre otras materias, a los derechos y libertades de los ciudadanos regulados en el título I de la Constitución, derechos que, a juicio del órgano judicial a quo, no sólo quedan afectados, sino reducidos por la regulación contenida en el decreto-ley en el sentido que a continuación se expresa.</w:t>
      </w:r>
    </w:p>
    <w:p w:rsidR="00E3576C" w:rsidRDefault="00E3576C" w:rsidP="00E3576C">
      <w:pPr>
        <w:pStyle w:val="TextoNormal"/>
      </w:pPr>
    </w:p>
    <w:p w:rsidR="00E3576C" w:rsidRDefault="00E3576C" w:rsidP="00E3576C">
      <w:pPr>
        <w:pStyle w:val="TextoNormal"/>
      </w:pPr>
      <w:r>
        <w:t xml:space="preserve">b) La lesión del art. 14 CE vendría dada porque los preceptos cuestionados suponen una reducción de salarios que no afecta a todos los funcionarios y empleados públicos por igual, sino que prevé deducciones que oscilan entre un 0 y un 15 por 100 de forma aleatoria y totalmente inmotivada. A juicio de quien plantea la cuestión de inconstitucionalidad, la medida adoptada consigue una equiparación a la baja de los salarios de los servidores públicos </w:t>
      </w:r>
      <w:r>
        <w:lastRenderedPageBreak/>
        <w:t xml:space="preserve">cargando las consecuencias de la medida sobre aquellos que poseen mayor responsabilidad, mayor carga de trabajo y normalmente mayor grado de incompatibilidad, lo que redunda en el volumen global de sus ingresos no habiéndose tenido esto en cuenta en la norma cuestionada. </w:t>
      </w:r>
    </w:p>
    <w:p w:rsidR="00E3576C" w:rsidRDefault="00E3576C" w:rsidP="00E3576C">
      <w:pPr>
        <w:pStyle w:val="TextoNormal"/>
      </w:pPr>
    </w:p>
    <w:p w:rsidR="00E3576C" w:rsidRDefault="00E3576C" w:rsidP="00E3576C">
      <w:pPr>
        <w:pStyle w:val="TextoNormal"/>
      </w:pPr>
      <w:r>
        <w:t xml:space="preserve">c) El art. 31 CE se vería afectado por las disposiciones cuestionadas en la medida en que las mismas configuran el recorte retributivo como una norma fiscal, de alcance progresivo y cuasi confiscatorio, en tanto que incide sobre derechos adquiridos y grava por segunda vez las rentas del trabajo del empleado público. Además, el hecho de que el recorte salarial previsto en el decreto-ley sólo afecte a las rentas del trabajo, y en particular a las que proceden de una determinada fuente, convierte la medida en una prestación patrimonial de carácter público, que encaja perfectamente en la previsión del art. 31 CE, determinada con arreglo a la capacidad económica de los funcionarios y por tanto progresiva, con la finalidad de paliar el déficit público. De esta conclusión se deriva que el decreto-ley no puede incidir en esta materia, por contenerse el art. 31 CE en el título I, que resulta vedado para el decreto-ley. </w:t>
      </w:r>
    </w:p>
    <w:p w:rsidR="00E3576C" w:rsidRDefault="00E3576C" w:rsidP="00E3576C">
      <w:pPr>
        <w:pStyle w:val="TextoNormal"/>
      </w:pPr>
    </w:p>
    <w:p w:rsidR="00E3576C" w:rsidRDefault="00E3576C" w:rsidP="00E3576C">
      <w:pPr>
        <w:pStyle w:val="TextoNormal"/>
      </w:pPr>
      <w:r>
        <w:t xml:space="preserve">d) La vulneración del art. 33.3 CE, por su parte, se deduce del recorte de derechos económicos adquiridos del funcionario público, cuando tales derechos estaban reconocidos para toda la anualidad presupuestaria por la Ley 26/2009. A juicio del órgano jurisdiccional la jurisprudencia del Tribunal Constitucional en la que se niega la existencia de derechos adquiridos no se refiere a las retribuciones consolidadas, ni justifica la posibilidad de rebajar las retribuciones funcionariales ligadas al puesto de trabajo cuando dicho puesto no varíe, de modo que podría decirse que las retribuciones del año 2010 son derechos económicos consolidados que sí constituyen derechos adquiridos del funcionario, máxime cuando los mismos ya habían sido reconocidos para toda la anualidad presupuestaria por la ley de presupuestos, lo que convierte en inaceptable la reducción realizada. </w:t>
      </w:r>
    </w:p>
    <w:p w:rsidR="00E3576C" w:rsidRDefault="00E3576C" w:rsidP="00E3576C">
      <w:pPr>
        <w:pStyle w:val="TextoNormal"/>
      </w:pPr>
    </w:p>
    <w:p w:rsidR="00E3576C" w:rsidRDefault="00E3576C" w:rsidP="00E3576C">
      <w:pPr>
        <w:pStyle w:val="TextoNormal"/>
      </w:pPr>
      <w:r>
        <w:t xml:space="preserve">e) Por último, afectaría la normativa cuestionada al art. 37.1 CE al incidir en el derecho a la negociación colectiva laboral, dado que los incrementos salariales recogidos en su día en la Ley de presupuestos generales para 2010 fueron pactados en convenio colectivo, como también lo han sido en numerosas Administraciones públicas territoriales, entidades públicas y empresas del sector público. Así, con la imposición de una reducción del 5 por 100 de los salarios se está afectando al derecho a la negociación colectiva reconocido en el art. 37 CE, en particular si se tiene en cuenta que el propio Real Decreto-ley suspende en su disposición adicional segunda el acuerdo entre Gobierno y Sindicatos para la función pública en el marco del diálogo social 2010-2012, suscrito en el mes de septiembre de 2009, que incluía el pacto de incremento retributivo, lo que evidencia que se está incidiendo en el art. 37 CE, que contiene el derecho a la negociación colectiva y que por lo tanto queda vedado al real decreto-ley por excluirlo de su ámbito el art. 86.1 CE. </w:t>
      </w:r>
    </w:p>
    <w:p w:rsidR="00E3576C" w:rsidRDefault="00E3576C" w:rsidP="00E3576C">
      <w:pPr>
        <w:pStyle w:val="TextoNormal"/>
      </w:pPr>
    </w:p>
    <w:p w:rsidR="00E3576C" w:rsidRDefault="00E3576C" w:rsidP="00E3576C">
      <w:pPr>
        <w:pStyle w:val="TextoNormal"/>
      </w:pPr>
      <w:r>
        <w:t xml:space="preserve">f) Todo lo anterior debe ser puesto en relación con el principio de protección de la confianza legítima que consagra el art. 3 de la Ley 30/1992 y que es manifestación del principio constitucional de seguridad jurídica. Dicho principio resulta vulnerado en los casos en los que los poderes públicos realizan actuaciones que alteran de manera drástica e inesperada situaciones a las que en principio se les supone una cierta estabilidad, como ocurre con la reducción de las retribuciones de los empleados públicos, en que hay un acto previo de los poderes públicos que reconocía una retribución a éstos para toda una anualidad, retribución </w:t>
      </w:r>
      <w:r>
        <w:lastRenderedPageBreak/>
        <w:t>que de manera sorpresiva se ve considerablemente mermada a mediados de esa misma anualidad, por lo que el recorte retributivo cercena derechos económicos y afecta al contenido sustancial de las condiciones de trabajo.</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13 de septiembre de 2011 la Sección Segunda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xml:space="preserve">. El Fiscal General del Estado evacuó el trámite conferido mediante escrito registrado el 7 de octubre de 2011, en el que considera que, efectivamente, la cuestión de inconstitucionalidad es inadmisible no sólo por ser notoriamente infundada, sino por incumplimiento de algunos requisitos procesales. </w:t>
      </w:r>
    </w:p>
    <w:p w:rsidR="00E3576C" w:rsidRDefault="00E3576C" w:rsidP="00E3576C">
      <w:pPr>
        <w:pStyle w:val="TextoNormal"/>
      </w:pPr>
    </w:p>
    <w:p w:rsidR="00E3576C" w:rsidRDefault="00E3576C" w:rsidP="00E3576C">
      <w:pPr>
        <w:pStyle w:val="TextoNormal"/>
      </w:pPr>
      <w:r>
        <w:t>a) En relación con este último aspecto, el Fiscal General afirma que la mención genérica de los arts. 22.2 y 24.1 y 2 de la Ley 26/2009, en la redacción dada por el Real Decreto-ley 8/2010 resulta defectuosa por lo que se refiere a la correcta identificación de los preceptos legales respecto de los que el órgano judicial está planteando al Tribunal las dudas de constitucionalidad en relación con el objeto del proceso subyacente, y ello porque el art. 22.2 contiene también las reducciones de retribuciones referidas al personal laboral del sector público, no siendo aplicable esta regulación al caso concreto ya que el recurrente en el procedimiento contencioso-administrativo tiene la condición de personal estatutario de la Comunidad Autónoma de Galicia. Por lo que hace al art. 24.1, éste se refiere a las retribuciones del personal del sector público estatal y el apartado 2 del mismo art. 24 a la contribución del plan de pensiones de la Administración General del Estado del personal funcionario, por lo que la identificación de estos preceptos como cuestionados no guarda relación con el objeto del proceso en el que se ha deducido demanda respecto de la reducción de retribuciones que, a partir de junio de 2010, se han practicado en las nóminas del demandante. A juicio del Fiscal el Auto de planteamiento de la cuestión de inconstitucionalidad no realiza una valoración suficiente que permita conocer las razones por las que el Juez a quo “entiende que resultan de aplicación al objeto del pleito el art. 22.2 en su integridad y el art. 24.1 y 24.2, teniendo en cuenta que el objeto de enjuiciamiento se limita a la impugnación de las reducciones de retribuciones practicadas al recurrente que tiene la condición de personal estatutario de la Comunidad Autónoma de Galicia”, de modo que falta el previo juicio de aplicación sobre las normas que se identifican como cuestionadas lo que supone que no se ha cumplido adecuadamente por parte del órgano judicial a quo el juicio de aplicación y relevancia de la cuestión. Además, según el Fiscal, las reducciones salariales impugnadas en el recurso contencioso administrativo en el que se plantea la cuestión de inconstitucionalidad fueron practicadas por el SERGAS en aplicación directa de la Ley Autonómica 3/2010, que modificó la Ley del Parlamento de Galicia 9/2009, de presupuestos de la Comunidad Autónoma de Galicia, disposiciones ambas que, teniendo el carácter de ley en sentido formal, y resultando de aplicación evidente en el procedimiento, no han sido identificadas como normas cuestionadas por infringir los preceptos constitucionales.</w:t>
      </w:r>
    </w:p>
    <w:p w:rsidR="00E3576C" w:rsidRDefault="00E3576C" w:rsidP="00E3576C">
      <w:pPr>
        <w:pStyle w:val="TextoNormal"/>
      </w:pPr>
    </w:p>
    <w:p w:rsidR="00E3576C" w:rsidRDefault="00E3576C" w:rsidP="00E3576C">
      <w:pPr>
        <w:pStyle w:val="TextoNormal"/>
      </w:pPr>
      <w:r>
        <w:t xml:space="preserve">b) Analizando las dudas de constitucionalidad planteadas el Ministerio Fiscal comienza recordando que la valoración sobre concurrencia de circunstancias extraordinarias y urgentes, determinantes de la necesidad de acudir al decreto-ley previsto en el art. 86 CE responde </w:t>
      </w:r>
      <w:r>
        <w:lastRenderedPageBreak/>
        <w:t>a un juicio político, respecto del que no resulta posible realizar un control judicial, más allá de la constatación de que no existe un juicio abusivo o arbitrario de la concurrencia del presupuesto habilitante. El Fiscal afirma también que la apreciación de la situación de extraordinaria y urgente necesidad es independiente de la imprevisibilidad de la situación, como reconoce la STC 68/2007 en su fundamento jurídico 8, concurriendo, en el caso que nos ocupa, las circunstancias extraordinarias y urgentes que justificaban acudir al decreto-ley, guardando las medidas adoptadas, particularmente la bajada del suelo de los servidores públicos, relación de adecuación o idoneidad para abordar esas circunstancias, esencialmente la reducción del déficit público. En relación con la afectación por decreto-ley de derechos y deberes contenidos en el título I de la Constitución, el Fiscal niega la afectación por el Real Decreto-ley 8/2010 de ningún derecho o deber constitucional, por lo cual no se produciría la falta del presupuesto material del art. 86.1 CE, siendo los argumentos de tal falta de afectación los siguientes.</w:t>
      </w:r>
    </w:p>
    <w:p w:rsidR="00E3576C" w:rsidRDefault="00E3576C" w:rsidP="00E3576C">
      <w:pPr>
        <w:pStyle w:val="TextoNormal"/>
      </w:pPr>
    </w:p>
    <w:p w:rsidR="00E3576C" w:rsidRDefault="00E3576C" w:rsidP="00E3576C">
      <w:pPr>
        <w:pStyle w:val="TextoNormal"/>
      </w:pPr>
      <w:r>
        <w:t>c) Respecto de la eventual lesión del art. 14 CE por parte de las normas cuestionadas, el Ministerio Fiscal afirma que el razonamiento que se hace en el Auto de planteamiento de la cuestión de inconstitucionalidad sobre la eventual lesión del derecho de igualdad de los ciudadanos en la aplicación de la ley no se corresponde con el contenido del derecho fundamental de igualdad configurado por la doctrina del Tribunal Constitucional, que parte de que el tratamiento desigual discriminatorio sólo se da cuando existe identidad de supuestos (en referencia a la STC 307/2007, FJ 4), dándose la circunstancia de que en el presente caso la desigualdad de trato que se imputa al Real Decreto-ley no cumple con el requisito de identidad de supuestos, puesto que la desigualdad en la aplicación de las reducciones se establece en atención a la diferente relación o vínculo que tienen los empleados públicos con la Administración (funcionarios y personal laboral), o en atención a los diferentes grupos o categorías en que se clasifican los funcionarios públicos. Junto a ello la diferencia de trato que supone el régimen de progresividad en las reducciones salariales de los funcionarios aparece justificada en la exposición de motivos del Real Decreto-ley 8/2010, en la voluntad de que los recortes salariales incidan en menor medida en los funcionarios con menor capacidad económica; y la diferencia introducida entre funcionarios y personal laboral en el reconocimiento, en este ámbito, de la especial relevancia de la negociación colectiva, puesto que el régimen retributivo del personal laboral está regulado por la legislación laboral, el convenio aplicable y el contrato de trabajo [art. 27 Ley 7/2007, de 12 de abril, del estatuto básico del empleado público (LEEP)].</w:t>
      </w:r>
    </w:p>
    <w:p w:rsidR="00E3576C" w:rsidRDefault="00E3576C" w:rsidP="00E3576C">
      <w:pPr>
        <w:pStyle w:val="TextoNormal"/>
      </w:pPr>
    </w:p>
    <w:p w:rsidR="00E3576C" w:rsidRDefault="00E3576C" w:rsidP="00E3576C">
      <w:pPr>
        <w:pStyle w:val="TextoNormal"/>
      </w:pPr>
      <w:r>
        <w:t>d) Por lo que se refiere a la vulneración del art. 31 CE, se afirma que la argumentación contenida en el Auto de planteamiento de la cuestión de inconstitucionalidad de que sólo los tributos pueden ser progresivos y, en consecuencia, la reducción de las retribuciones de los funcionarios realizada de manera progresiva debe ser considerada como un tributo encubierto, no responde a la realidad legal de lo que debe entenderse por tributo (art. 2 de la Ley general tributaria), puesto que el Real Decreto-ley 8/2010 no establece un hecho imponible al que se anuda una obligación de contribuir, de modo tal que el hecho de que “la reducción de las retribuciones de los funcionarios públicos se regule de forma que se apliquen distintos porcentajes, en función de la cuantía de las retribuciones, con la finalidad de que el impacto de la medida sea menor en las nóminas inferiores, no puede en ningún caso dar lugar a la consideración de que se está estableciendo un tributo encubierto”.</w:t>
      </w:r>
    </w:p>
    <w:p w:rsidR="00E3576C" w:rsidRDefault="00E3576C" w:rsidP="00E3576C">
      <w:pPr>
        <w:pStyle w:val="TextoNormal"/>
      </w:pPr>
    </w:p>
    <w:p w:rsidR="00E3576C" w:rsidRDefault="00E3576C" w:rsidP="00E3576C">
      <w:pPr>
        <w:pStyle w:val="TextoNormal"/>
      </w:pPr>
      <w:r>
        <w:lastRenderedPageBreak/>
        <w:t xml:space="preserve">e) Respecto de la posible vulneración del derecho reconocido en el art. 33.3 CE, a no ser privado de los bienes y derechos propios, el Fiscal ante el Tribunal Constitucional discrepa de la argumentación del Auto de planteamiento de la cuestión, al entender que las retribuciones de los funcionarios públicos para el año 2010 no eran derechos económicos consolidados, por no tratarse de retribuciones ya devengadas, sino de retribuciones pendientes de devengo por aplicarse sobre mensualidades en las que aún no se ha prestado el servicio público, y por tanto no tendrían el carácter de derechos adquiridos de los que no podrían ser privados los funcionarios sin vulnerar lo previsto en el art. 33.3 CE. </w:t>
      </w:r>
    </w:p>
    <w:p w:rsidR="00E3576C" w:rsidRDefault="00E3576C" w:rsidP="00E3576C">
      <w:pPr>
        <w:pStyle w:val="TextoNormal"/>
      </w:pPr>
    </w:p>
    <w:p w:rsidR="00E3576C" w:rsidRDefault="00E3576C" w:rsidP="00E3576C">
      <w:pPr>
        <w:pStyle w:val="TextoNormal"/>
      </w:pPr>
      <w:r>
        <w:t>f) En relación con el derecho de negociación colectiva (art. 37.1 CE), el Fiscal General afirma que la modificación contenida en la disposición cuestionada está prevista en el art. 38.10 LEEP, que prevé para los funcionarios públicos que, en situaciones excepcionales y por causa de grave interés público derivada de una alteración sustancial de las circunstancias económicas, pueda suspenderse o modificarse el acuerdo alcanzado en materia retributiva. De modo que, entiende el Fiscal, la modificación de los pactos y acuerdos, además de tener sustento legal en la Ley 7/2007, no afecta al contenido esencial del derecho a la negociación colectiva, tal y como ya ha sido afirmado por este Tribunal en varios Autos que inadmiten distintas cuestiones de inconstitucionalidad planteadas respecto del Real Decreto-ley 8/2010 (AATC 85/2011, 104/2011 y 115/2011).</w:t>
      </w:r>
    </w:p>
    <w:p w:rsidR="00E3576C" w:rsidRDefault="00E3576C" w:rsidP="00E3576C">
      <w:pPr>
        <w:pStyle w:val="TextoNormal"/>
      </w:pPr>
    </w:p>
    <w:p w:rsidR="00E3576C" w:rsidRDefault="00E3576C" w:rsidP="00E3576C">
      <w:pPr>
        <w:pStyle w:val="TextoNormal"/>
      </w:pPr>
      <w:r>
        <w:t>g) Por último, el Fiscal General del Estado, rechazando que la norma cuestionada vulnere el principio de confianza legítima del art. 3 de la Ley 30/1992 como expresión del principio de seguridad jurídica que recoge el art. 9.3 CE, afirma que no es posible aceptar el planteamiento del Juez a quo en este punto puesto que la lesión no se invocó en la providencia de 23 de mayo de 2011 que acordó abrir el trámite de audiencia del art. 35.2 LOTC.</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Juzgado de lo Contencioso-Administrativo núm. 1 de Pontevedra plantea cuestión de inconstitucionalidad en relación con los arts. 22.2 y 24.1 y 2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14, 31, 33.3, 37.1 y 86.1 CE.</w:t>
      </w:r>
    </w:p>
    <w:p w:rsidR="00E3576C" w:rsidRDefault="00E3576C" w:rsidP="00E3576C">
      <w:pPr>
        <w:pStyle w:val="TextoNormal"/>
      </w:pPr>
    </w:p>
    <w:p w:rsidR="00E3576C" w:rsidRDefault="00E3576C" w:rsidP="00E3576C">
      <w:pPr>
        <w:pStyle w:val="TextoNormal"/>
      </w:pPr>
      <w:r>
        <w:t>Los preceptos cuestionados establecen textualmente lo siguiente:</w:t>
      </w:r>
    </w:p>
    <w:p w:rsidR="00E3576C" w:rsidRDefault="00E3576C" w:rsidP="00E3576C">
      <w:pPr>
        <w:pStyle w:val="TextoNormal"/>
      </w:pPr>
    </w:p>
    <w:p w:rsidR="00E3576C" w:rsidRDefault="00E3576C" w:rsidP="00E3576C">
      <w:pPr>
        <w:pStyle w:val="TextoNormal"/>
      </w:pPr>
      <w:r>
        <w:t xml:space="preserve">“Artículo 22. </w:t>
      </w:r>
    </w:p>
    <w:p w:rsidR="00E3576C" w:rsidRDefault="00E3576C" w:rsidP="00E3576C">
      <w:pPr>
        <w:pStyle w:val="TextoNormal"/>
      </w:pPr>
    </w:p>
    <w:p w:rsidR="00E3576C" w:rsidRDefault="00E3576C" w:rsidP="00E3576C">
      <w:pPr>
        <w:pStyle w:val="TextoNormal"/>
      </w:pPr>
      <w:r>
        <w:t>…</w:t>
      </w:r>
    </w:p>
    <w:p w:rsidR="00E3576C" w:rsidRDefault="00E3576C" w:rsidP="00E3576C">
      <w:pPr>
        <w:pStyle w:val="TextoNormal"/>
      </w:pPr>
    </w:p>
    <w:p w:rsidR="00E3576C" w:rsidRDefault="00E3576C" w:rsidP="00E3576C">
      <w:pPr>
        <w:pStyle w:val="TextoNormal"/>
      </w:pPr>
      <w:r>
        <w:t>Dos. A) Desde el 1 de enero de 2010 y hasta el 31 de mayo de 2010, las retribuciones del personal al servicio del sector público, incluidas, en su caso, las que en concepto de paga extraordinaria del mes de junio correspondieran en aplicación del artículo 21.Tres de la Ley 42/2006, de 29 de diciembre, de Presupuestos Generales del Estado para 2007, en los términos de lo recogido en el apartado Dos del artículo 22 de la Ley 2/2008, de 23 de diciem</w:t>
      </w:r>
      <w:r>
        <w:lastRenderedPageBreak/>
        <w:t xml:space="preserve">bre, de Presupuestos Generales del Estado para 2009, no podrán experimentar un incremento global superior al 0,3 por 100 con respecto a las del año 2009, en términos de homogeneidad para los dos períodos de la comparación, tanto por lo que respecta a efectivos de personal como a la antigüedad del mismo. </w:t>
      </w:r>
    </w:p>
    <w:p w:rsidR="00E3576C" w:rsidRDefault="00E3576C" w:rsidP="00E3576C">
      <w:pPr>
        <w:pStyle w:val="TextoNormal"/>
      </w:pPr>
    </w:p>
    <w:p w:rsidR="00E3576C" w:rsidRDefault="00E3576C" w:rsidP="00E3576C">
      <w:pPr>
        <w:pStyle w:val="TextoNormal"/>
      </w:pPr>
      <w:r>
        <w:t xml:space="preserve">En los términos de lo dispuesto en el párrafo anterior, la paga extraordinaria del mes de junio de 2010 incluirá, además de la cuantía del complemento de destino o concepto equivalente mensual que corresponda y al que no se aplicará la reducción del 5 por 100, en términos anuales, establecida, con efectos de 1 de junio de 2010, en el apartado Dos, B) de este artículo, las cuantías en concepto de sueldo y trienios que se recogen en el cuadro siguiente o, en su caso, las que se señalen en esta Ley en función de la Carrera, Cuerpo o Escala a la que pertenezcan los empleados públicos: </w:t>
      </w:r>
    </w:p>
    <w:p w:rsidR="00E3576C" w:rsidRDefault="00E3576C" w:rsidP="00E3576C">
      <w:pPr>
        <w:pStyle w:val="TextoNormal"/>
      </w:pPr>
    </w:p>
    <w:p w:rsidR="00E3576C" w:rsidRDefault="00E3576C" w:rsidP="00E3576C">
      <w:pPr>
        <w:pStyle w:val="TextoNormal"/>
      </w:pPr>
    </w:p>
    <w:p w:rsidR="00E3576C" w:rsidRDefault="00E3576C" w:rsidP="00E3576C">
      <w:pPr>
        <w:pStyle w:val="TextoNormal"/>
      </w:pPr>
      <w:r>
        <w:t xml:space="preserve">Grupo/Subgrupo Ley 7/2007 </w:t>
      </w:r>
      <w:r>
        <w:tab/>
        <w:t xml:space="preserve">Sueldo </w:t>
      </w:r>
    </w:p>
    <w:p w:rsidR="00E3576C" w:rsidRDefault="00E3576C" w:rsidP="00E3576C">
      <w:pPr>
        <w:pStyle w:val="TextoNormal"/>
      </w:pPr>
      <w:r>
        <w:t xml:space="preserve">- </w:t>
      </w:r>
    </w:p>
    <w:p w:rsidR="00E3576C" w:rsidRDefault="00E3576C" w:rsidP="00E3576C">
      <w:pPr>
        <w:pStyle w:val="TextoNormal"/>
      </w:pPr>
      <w:r>
        <w:t xml:space="preserve">Euros </w:t>
      </w:r>
      <w:r>
        <w:tab/>
        <w:t xml:space="preserve">Trienios </w:t>
      </w:r>
    </w:p>
    <w:p w:rsidR="00E3576C" w:rsidRDefault="00E3576C" w:rsidP="00E3576C">
      <w:pPr>
        <w:pStyle w:val="TextoNormal"/>
      </w:pPr>
      <w:r>
        <w:t xml:space="preserve">- </w:t>
      </w:r>
    </w:p>
    <w:p w:rsidR="00E3576C" w:rsidRDefault="00E3576C" w:rsidP="00E3576C">
      <w:pPr>
        <w:pStyle w:val="TextoNormal"/>
      </w:pPr>
      <w:r>
        <w:t xml:space="preserve">Euros </w:t>
      </w:r>
    </w:p>
    <w:p w:rsidR="00E3576C" w:rsidRDefault="00E3576C" w:rsidP="00E3576C">
      <w:pPr>
        <w:pStyle w:val="TextoNormal"/>
      </w:pPr>
      <w:r>
        <w:t xml:space="preserve">A1 </w:t>
      </w:r>
      <w:r>
        <w:tab/>
        <w:t xml:space="preserve">1.161,30 </w:t>
      </w:r>
      <w:r>
        <w:tab/>
        <w:t xml:space="preserve">44,65 </w:t>
      </w:r>
    </w:p>
    <w:p w:rsidR="00E3576C" w:rsidRDefault="00E3576C" w:rsidP="00E3576C">
      <w:pPr>
        <w:pStyle w:val="TextoNormal"/>
      </w:pPr>
      <w:r>
        <w:t xml:space="preserve">A2 </w:t>
      </w:r>
      <w:r>
        <w:tab/>
        <w:t xml:space="preserve">985,59 </w:t>
      </w:r>
      <w:r>
        <w:tab/>
        <w:t xml:space="preserve">35,73 </w:t>
      </w:r>
    </w:p>
    <w:p w:rsidR="00E3576C" w:rsidRDefault="00E3576C" w:rsidP="00E3576C">
      <w:pPr>
        <w:pStyle w:val="TextoNormal"/>
      </w:pPr>
      <w:r>
        <w:t xml:space="preserve">B </w:t>
      </w:r>
      <w:r>
        <w:tab/>
        <w:t xml:space="preserve">855,37 </w:t>
      </w:r>
      <w:r>
        <w:tab/>
        <w:t xml:space="preserve">31,14 </w:t>
      </w:r>
    </w:p>
    <w:p w:rsidR="00E3576C" w:rsidRDefault="00E3576C" w:rsidP="00E3576C">
      <w:pPr>
        <w:pStyle w:val="TextoNormal"/>
      </w:pPr>
      <w:r>
        <w:t xml:space="preserve">C1 </w:t>
      </w:r>
      <w:r>
        <w:tab/>
        <w:t xml:space="preserve">734,71 </w:t>
      </w:r>
      <w:r>
        <w:tab/>
        <w:t xml:space="preserve">26,84 </w:t>
      </w:r>
    </w:p>
    <w:p w:rsidR="00E3576C" w:rsidRDefault="00E3576C" w:rsidP="00E3576C">
      <w:pPr>
        <w:pStyle w:val="TextoNormal"/>
      </w:pPr>
      <w:r>
        <w:t xml:space="preserve">C2 </w:t>
      </w:r>
      <w:r>
        <w:tab/>
        <w:t xml:space="preserve">600,75 </w:t>
      </w:r>
      <w:r>
        <w:tab/>
        <w:t xml:space="preserve">17,94 </w:t>
      </w:r>
    </w:p>
    <w:p w:rsidR="00E3576C" w:rsidRDefault="00E3576C" w:rsidP="00E3576C">
      <w:pPr>
        <w:pStyle w:val="TextoNormal"/>
      </w:pPr>
      <w:r>
        <w:t xml:space="preserve">E (Ley 30/1984) y Agrupaciones Profesionales (Ley 7/2007) </w:t>
      </w:r>
      <w:r>
        <w:tab/>
        <w:t xml:space="preserve">548,47 </w:t>
      </w:r>
      <w:r>
        <w:tab/>
        <w:t xml:space="preserve">13,47 </w:t>
      </w:r>
    </w:p>
    <w:p w:rsidR="00E3576C" w:rsidRDefault="00E3576C" w:rsidP="00E3576C">
      <w:pPr>
        <w:pStyle w:val="TextoNormal"/>
      </w:pPr>
    </w:p>
    <w:p w:rsidR="00E3576C" w:rsidRDefault="00E3576C" w:rsidP="00E3576C">
      <w:pPr>
        <w:pStyle w:val="TextoNormal"/>
      </w:pPr>
    </w:p>
    <w:p w:rsidR="00E3576C" w:rsidRDefault="00E3576C" w:rsidP="00E3576C">
      <w:pPr>
        <w:pStyle w:val="TextoNormal"/>
      </w:pPr>
      <w:r>
        <w:t xml:space="preserve">Lo indicado en el párrafo anterior respecto del complemento de destino mensual o concepto equivalente a incluir en la paga extraordinaria del mes de junio de 2010, será también aplicable a los demás conceptos retributivos que formen parte de la paga extraordinaria o que se abonen con motivo de las mismas. </w:t>
      </w:r>
    </w:p>
    <w:p w:rsidR="00E3576C" w:rsidRDefault="00E3576C" w:rsidP="00E3576C">
      <w:pPr>
        <w:pStyle w:val="TextoNormal"/>
      </w:pPr>
    </w:p>
    <w:p w:rsidR="00E3576C" w:rsidRDefault="00E3576C" w:rsidP="00E3576C">
      <w:pPr>
        <w:pStyle w:val="TextoNormal"/>
      </w:pPr>
      <w:r>
        <w:t>B) Con efectos de 1 de junio de 2010, el conjunto de las retribuciones de todo el sector público a que se refiere el apartado Uno de este artículo experimentará una reducción del cinco por ciento, en términos anuales, respecto a las vigentes a 31 de mayo de 2010. Esta reducción se aplicará de la forma siguiente:</w:t>
      </w:r>
    </w:p>
    <w:p w:rsidR="00E3576C" w:rsidRDefault="00E3576C" w:rsidP="00E3576C">
      <w:pPr>
        <w:pStyle w:val="TextoNormal"/>
      </w:pPr>
    </w:p>
    <w:p w:rsidR="00E3576C" w:rsidRDefault="00E3576C" w:rsidP="00E3576C">
      <w:pPr>
        <w:pStyle w:val="TextoNormal"/>
      </w:pPr>
      <w:r>
        <w:t>1. Las retribuciones básicas del personal al servicio del sector público, excluida la correspondiente a la paga extraordinaria del mes de diciembre a que se refiere el punto 3 de este apartado, quedan fijadas en las cuantías recogidas en el apartado Cinco de este artículo.</w:t>
      </w:r>
    </w:p>
    <w:p w:rsidR="00E3576C" w:rsidRDefault="00E3576C" w:rsidP="00E3576C">
      <w:pPr>
        <w:pStyle w:val="TextoNormal"/>
      </w:pPr>
    </w:p>
    <w:p w:rsidR="00E3576C" w:rsidRDefault="00E3576C" w:rsidP="00E3576C">
      <w:pPr>
        <w:pStyle w:val="TextoNormal"/>
      </w:pPr>
      <w:r>
        <w:t>2. Una vez aplicada la reducción de las retribuciones básicas en los términos indicados en el punto anterior, sobre el resto de las retribuciones se practicará una reducción de modo que resulte, en términos anuales, una minoración del 5 por 100 del conjunto global de las retribuciones.</w:t>
      </w:r>
    </w:p>
    <w:p w:rsidR="00E3576C" w:rsidRDefault="00E3576C" w:rsidP="00E3576C">
      <w:pPr>
        <w:pStyle w:val="TextoNormal"/>
      </w:pPr>
    </w:p>
    <w:p w:rsidR="00E3576C" w:rsidRDefault="00E3576C" w:rsidP="00E3576C">
      <w:pPr>
        <w:pStyle w:val="TextoNormal"/>
      </w:pPr>
      <w:r>
        <w:t xml:space="preserve">3. La paga extraordinaria del mes de diciembre que corresponda en aplicación del artículo 21.Tres de la Ley 42/2006, de 29 de diciembre, de Presupuestos Generales del Estado para </w:t>
      </w:r>
      <w:r>
        <w:lastRenderedPageBreak/>
        <w:t xml:space="preserve">2007, en los términos de lo recogido en el apartado Dos del artículo 22 de la Ley 2/2008, de 23 de diciembre, de Presupuestos Generales del Estado para 2009, incluirá, además de la cuantía del complemento de destino o concepto equivalente mensual que corresponda una vez practicada la reducción indicada en el punto 2 anterior, las cuantías en concepto de sueldo y trienios que se recogen en el cuadro siguiente o, en su caso, las que se señalen en esta Ley en función de la Carrera, Cuerpo o Escala a la que pertenezcan los correspondientes empleados públicos: </w:t>
      </w:r>
    </w:p>
    <w:p w:rsidR="00E3576C" w:rsidRDefault="00E3576C" w:rsidP="00E3576C">
      <w:pPr>
        <w:pStyle w:val="TextoNormal"/>
      </w:pPr>
    </w:p>
    <w:p w:rsidR="00E3576C" w:rsidRDefault="00E3576C" w:rsidP="00E3576C">
      <w:pPr>
        <w:pStyle w:val="TextoNormal"/>
      </w:pPr>
      <w:r>
        <w:t xml:space="preserve">Grupo/Subgrupo Ley 7/2007 </w:t>
      </w:r>
      <w:r>
        <w:tab/>
        <w:t xml:space="preserve">Sueldo </w:t>
      </w:r>
    </w:p>
    <w:p w:rsidR="00E3576C" w:rsidRDefault="00E3576C" w:rsidP="00E3576C">
      <w:pPr>
        <w:pStyle w:val="TextoNormal"/>
      </w:pPr>
      <w:r>
        <w:t xml:space="preserve">- </w:t>
      </w:r>
    </w:p>
    <w:p w:rsidR="00E3576C" w:rsidRDefault="00E3576C" w:rsidP="00E3576C">
      <w:pPr>
        <w:pStyle w:val="TextoNormal"/>
      </w:pPr>
      <w:r>
        <w:t xml:space="preserve">Euros </w:t>
      </w:r>
      <w:r>
        <w:tab/>
        <w:t xml:space="preserve">Trienios </w:t>
      </w:r>
    </w:p>
    <w:p w:rsidR="00E3576C" w:rsidRDefault="00E3576C" w:rsidP="00E3576C">
      <w:pPr>
        <w:pStyle w:val="TextoNormal"/>
      </w:pPr>
      <w:r>
        <w:t xml:space="preserve">- </w:t>
      </w:r>
    </w:p>
    <w:p w:rsidR="00E3576C" w:rsidRDefault="00E3576C" w:rsidP="00E3576C">
      <w:pPr>
        <w:pStyle w:val="TextoNormal"/>
      </w:pPr>
      <w:r>
        <w:t xml:space="preserve">Euros </w:t>
      </w:r>
    </w:p>
    <w:p w:rsidR="00E3576C" w:rsidRDefault="00E3576C" w:rsidP="00E3576C">
      <w:pPr>
        <w:pStyle w:val="TextoNormal"/>
      </w:pPr>
      <w:r>
        <w:t xml:space="preserve">A1 </w:t>
      </w:r>
      <w:r>
        <w:tab/>
        <w:t xml:space="preserve">623,62 </w:t>
      </w:r>
      <w:r>
        <w:tab/>
        <w:t xml:space="preserve">23,98 </w:t>
      </w:r>
    </w:p>
    <w:p w:rsidR="00E3576C" w:rsidRDefault="00E3576C" w:rsidP="00E3576C">
      <w:pPr>
        <w:pStyle w:val="TextoNormal"/>
      </w:pPr>
      <w:r>
        <w:t xml:space="preserve">A2 </w:t>
      </w:r>
      <w:r>
        <w:tab/>
        <w:t xml:space="preserve">662,32 </w:t>
      </w:r>
      <w:r>
        <w:tab/>
        <w:t xml:space="preserve">24,02 </w:t>
      </w:r>
    </w:p>
    <w:p w:rsidR="00E3576C" w:rsidRDefault="00E3576C" w:rsidP="00E3576C">
      <w:pPr>
        <w:pStyle w:val="TextoNormal"/>
      </w:pPr>
      <w:r>
        <w:t xml:space="preserve">B </w:t>
      </w:r>
      <w:r>
        <w:tab/>
        <w:t xml:space="preserve">708,25 </w:t>
      </w:r>
      <w:r>
        <w:tab/>
        <w:t xml:space="preserve">25,79 </w:t>
      </w:r>
    </w:p>
    <w:p w:rsidR="00E3576C" w:rsidRDefault="00E3576C" w:rsidP="00E3576C">
      <w:pPr>
        <w:pStyle w:val="TextoNormal"/>
      </w:pPr>
      <w:r>
        <w:t xml:space="preserve">C1 </w:t>
      </w:r>
      <w:r>
        <w:tab/>
        <w:t xml:space="preserve">608,34 </w:t>
      </w:r>
      <w:r>
        <w:tab/>
        <w:t xml:space="preserve">22,23 </w:t>
      </w:r>
    </w:p>
    <w:p w:rsidR="00E3576C" w:rsidRDefault="00E3576C" w:rsidP="00E3576C">
      <w:pPr>
        <w:pStyle w:val="TextoNormal"/>
      </w:pPr>
      <w:r>
        <w:t xml:space="preserve">C2 </w:t>
      </w:r>
      <w:r>
        <w:tab/>
        <w:t xml:space="preserve">592,95 </w:t>
      </w:r>
      <w:r>
        <w:tab/>
        <w:t xml:space="preserve">17,71 </w:t>
      </w:r>
    </w:p>
    <w:p w:rsidR="00E3576C" w:rsidRDefault="00E3576C" w:rsidP="00E3576C">
      <w:pPr>
        <w:pStyle w:val="TextoNormal"/>
      </w:pPr>
      <w:r>
        <w:t xml:space="preserve">E (Ley 30/1984) y Agrupaciones Profesionales (Ley 7/2007) </w:t>
      </w:r>
      <w:r>
        <w:tab/>
        <w:t xml:space="preserve">548,47 </w:t>
      </w:r>
      <w:r>
        <w:tab/>
        <w:t xml:space="preserve">13,47 </w:t>
      </w:r>
    </w:p>
    <w:p w:rsidR="00E3576C" w:rsidRDefault="00E3576C" w:rsidP="00E3576C">
      <w:pPr>
        <w:pStyle w:val="TextoNormal"/>
      </w:pPr>
    </w:p>
    <w:p w:rsidR="00E3576C" w:rsidRDefault="00E3576C" w:rsidP="00E3576C">
      <w:pPr>
        <w:pStyle w:val="TextoNormal"/>
      </w:pPr>
      <w:r>
        <w:t xml:space="preserve">El resto de los complementos retributivos que integren la citada paga extraordinaria o se abonen con motivo de la misma tendrán la cuantía que corresponda por aplicación de lo dispuesto en este apartado. </w:t>
      </w:r>
    </w:p>
    <w:p w:rsidR="00E3576C" w:rsidRDefault="00E3576C" w:rsidP="00E3576C">
      <w:pPr>
        <w:pStyle w:val="TextoNormal"/>
      </w:pPr>
    </w:p>
    <w:p w:rsidR="00E3576C" w:rsidRDefault="00E3576C" w:rsidP="00E3576C">
      <w:pPr>
        <w:pStyle w:val="TextoNormal"/>
      </w:pPr>
      <w:r>
        <w:t xml:space="preserve">La paga extraordinaria del mes de junio se regirá por lo dispuesto en el apartado Dos. A) de este artículo. </w:t>
      </w:r>
    </w:p>
    <w:p w:rsidR="00E3576C" w:rsidRDefault="00E3576C" w:rsidP="00E3576C">
      <w:pPr>
        <w:pStyle w:val="TextoNormal"/>
      </w:pPr>
    </w:p>
    <w:p w:rsidR="00E3576C" w:rsidRDefault="00E3576C" w:rsidP="00E3576C">
      <w:pPr>
        <w:pStyle w:val="TextoNormal"/>
      </w:pPr>
      <w:r>
        <w:t>4. La masa salarial del personal laboral del sector público definido en el apartado Uno de este artículo experimentará la reducción consecuencia de la aplicación a este personal, con efectos de 1 de junio de 2010, de una minoración del 5 por 100 de las cuantías de cada uno de los conceptos retributivos que integran la nómina y que les corresponda percibir según los convenios colectivos que resulten de aplicación, a excepción de lo que se refiere a la paga extraordinaria del mes de junio de 2010 a la que no se aplicará la reducción prevista en el presente apartado.</w:t>
      </w:r>
    </w:p>
    <w:p w:rsidR="00E3576C" w:rsidRDefault="00E3576C" w:rsidP="00E3576C">
      <w:pPr>
        <w:pStyle w:val="TextoNormal"/>
      </w:pPr>
    </w:p>
    <w:p w:rsidR="00E3576C" w:rsidRDefault="00E3576C" w:rsidP="00E3576C">
      <w:pPr>
        <w:pStyle w:val="TextoNormal"/>
      </w:pPr>
      <w:r>
        <w:t xml:space="preserve">En el supuesto en que a 1 de junio de 2010 no hubiera finalizado la negociación colectiva para aplicar el incremento retributivo establecido en el artículo 22.Dos.A) de esta Ley, la minoración del 5 por 100 sobre los conceptos retributivos a que se refiere el párrafo anterior se aplicará sobre las actualizadas a 1 de enero de 2010 de acuerdo con los incrementos previstos en las correspondientes leyes de presupuestos. </w:t>
      </w:r>
    </w:p>
    <w:p w:rsidR="00E3576C" w:rsidRDefault="00E3576C" w:rsidP="00E3576C">
      <w:pPr>
        <w:pStyle w:val="TextoNormal"/>
      </w:pPr>
    </w:p>
    <w:p w:rsidR="00E3576C" w:rsidRDefault="00E3576C" w:rsidP="00E3576C">
      <w:pPr>
        <w:pStyle w:val="TextoNormal"/>
      </w:pPr>
      <w:r>
        <w:t>Sin perjuicio de la aplicación directa e individual en la nómina del mes de junio de 2010 de la reducción a que se refieren los párrafos anteriores, la distribución definitiva de la misma podrá alterarse en sus ámbitos correspondientes mediante la negociación colectiva sin que, en ningún caso, de ello pueda derivarse un incremento de la masa salarial como consecuencia de la aplicación de las medidas recogidas en los puntos anteriores.</w:t>
      </w:r>
    </w:p>
    <w:p w:rsidR="00E3576C" w:rsidRDefault="00E3576C" w:rsidP="00E3576C">
      <w:pPr>
        <w:pStyle w:val="TextoNormal"/>
      </w:pPr>
    </w:p>
    <w:p w:rsidR="00E3576C" w:rsidRDefault="00E3576C" w:rsidP="00E3576C">
      <w:pPr>
        <w:pStyle w:val="TextoNormal"/>
      </w:pPr>
      <w:r>
        <w:lastRenderedPageBreak/>
        <w:t xml:space="preserve">La reducción establecida en el párrafo primero de este número 4 será de aplicación al personal laboral de alta dirección y al no acogido a convenio colectivo que no tenga la consideración de alto cargo. </w:t>
      </w:r>
    </w:p>
    <w:p w:rsidR="00E3576C" w:rsidRDefault="00E3576C" w:rsidP="00E3576C">
      <w:pPr>
        <w:pStyle w:val="TextoNormal"/>
      </w:pPr>
    </w:p>
    <w:p w:rsidR="00E3576C" w:rsidRDefault="00E3576C" w:rsidP="00E3576C">
      <w:pPr>
        <w:pStyle w:val="TextoNormal"/>
      </w:pPr>
      <w:r>
        <w:t>No obstante lo dispuesto en los párrafos anteriores, dicha reducción no será de aplicación al personal laboral cuyas retribuciones por jornada completa no alcancen 1,5 veces el salario mínimo interprofesional fijado por el Real Decreto 2030/2009, de 30 de diciembre.”</w:t>
      </w:r>
    </w:p>
    <w:p w:rsidR="00E3576C" w:rsidRDefault="00E3576C" w:rsidP="00E3576C">
      <w:pPr>
        <w:pStyle w:val="TextoNormal"/>
      </w:pPr>
    </w:p>
    <w:p w:rsidR="00E3576C" w:rsidRDefault="00E3576C" w:rsidP="00E3576C">
      <w:pPr>
        <w:pStyle w:val="TextoNormal"/>
      </w:pPr>
      <w:r>
        <w:t>“Artículo 24. Personal del sector público estatal sometido a régimen administrativo y estatutario.</w:t>
      </w:r>
    </w:p>
    <w:p w:rsidR="00E3576C" w:rsidRDefault="00E3576C" w:rsidP="00E3576C">
      <w:pPr>
        <w:pStyle w:val="TextoNormal"/>
      </w:pPr>
    </w:p>
    <w:p w:rsidR="00E3576C" w:rsidRDefault="00E3576C" w:rsidP="00E3576C">
      <w:pPr>
        <w:pStyle w:val="TextoNormal"/>
      </w:pPr>
      <w:r>
        <w:t>Uno. A) Con efectos de 1 de enero de 2010 y hasta 31 de mayo de 2010, las cuantías de los componentes de las retribuciones del personal del sector público estatal sometido a régimen administrativo y estatutario, sin perjuicio de lo que se establece en los artículos siguientes en relación con determinados cargos, puestos y colectivos, serán las derivadas de la aplicación de las siguientes normas:</w:t>
      </w:r>
    </w:p>
    <w:p w:rsidR="00E3576C" w:rsidRDefault="00E3576C" w:rsidP="00E3576C">
      <w:pPr>
        <w:pStyle w:val="TextoNormal"/>
      </w:pPr>
    </w:p>
    <w:p w:rsidR="00E3576C" w:rsidRDefault="00E3576C" w:rsidP="00E3576C">
      <w:pPr>
        <w:pStyle w:val="TextoNormal"/>
      </w:pPr>
      <w:r>
        <w:t>a) Las retribuciones básicas de dicho personal, así como las complementarias de carácter fijo y periódico asignadas a los puestos de trabajo que desempeñe, experimentarán un crecimiento del 0,3 por 100 respecto de las establecidas para el ejercicio de 2009, sin perjuicio de la adecuación de las retribuciones complementarias cuando sea necesaria para asegurar que las asignadas a cada puesto de trabajo guarden la relación procedente con el contenido de especial dificultad técnica, dedicación, responsabilidad, peligrosidad o penosidad del mismo.</w:t>
      </w:r>
    </w:p>
    <w:p w:rsidR="00E3576C" w:rsidRDefault="00E3576C" w:rsidP="00E3576C">
      <w:pPr>
        <w:pStyle w:val="TextoNormal"/>
      </w:pPr>
    </w:p>
    <w:p w:rsidR="00E3576C" w:rsidRDefault="00E3576C" w:rsidP="00E3576C">
      <w:pPr>
        <w:pStyle w:val="TextoNormal"/>
      </w:pPr>
      <w:r>
        <w:t>La paga extraordinaria a percibir en el mes de junio por el personal incluido en el ámbito de aplicación de este artículo será, de conformidad con lo indicado en el Artículo 22. Dos A) de esta Ley, y de acuerdo con las cuantías que en el mismo se recogen, de una mensualidad del sueldo, trienios, en su caso, y del complemento de destino o concepto o cuantía equivalente en función del régimen retributivo de los colectivos a los que este artículo resulte de aplicación.</w:t>
      </w:r>
    </w:p>
    <w:p w:rsidR="00E3576C" w:rsidRDefault="00E3576C" w:rsidP="00E3576C">
      <w:pPr>
        <w:pStyle w:val="TextoNormal"/>
      </w:pPr>
    </w:p>
    <w:p w:rsidR="00E3576C" w:rsidRDefault="00E3576C" w:rsidP="00E3576C">
      <w:pPr>
        <w:pStyle w:val="TextoNormal"/>
      </w:pPr>
      <w:r>
        <w:t>b) El conjunto de las restantes retribuciones complementarias tendrá, asimismo, un crecimiento del 0,3 por 100 respecto de las establecidas para el ejercicio de 2009, sin perjuicio de las modificaciones que se deriven de la variación del número de efectivos asignados a cada programa, del grado de consecución de los objetivos fijados para el mismo y del resultado individual de su aplicación.</w:t>
      </w:r>
    </w:p>
    <w:p w:rsidR="00E3576C" w:rsidRDefault="00E3576C" w:rsidP="00E3576C">
      <w:pPr>
        <w:pStyle w:val="TextoNormal"/>
      </w:pPr>
    </w:p>
    <w:p w:rsidR="00E3576C" w:rsidRDefault="00E3576C" w:rsidP="00E3576C">
      <w:pPr>
        <w:pStyle w:val="TextoNormal"/>
      </w:pPr>
      <w:r>
        <w:t>c) Los complementos personales y transitorios y demás retribuciones que tengan análogo carácter, así como las indemnizaciones por razón del servicio, se regirán por su normativa específica y por lo dispuesto en esta Ley, sin que les sea de aplicación el aumento del 0,3 por 100 previsto en la misma.</w:t>
      </w:r>
    </w:p>
    <w:p w:rsidR="00E3576C" w:rsidRDefault="00E3576C" w:rsidP="00E3576C">
      <w:pPr>
        <w:pStyle w:val="TextoNormal"/>
      </w:pPr>
    </w:p>
    <w:p w:rsidR="00E3576C" w:rsidRDefault="00E3576C" w:rsidP="00E3576C">
      <w:pPr>
        <w:pStyle w:val="TextoNormal"/>
      </w:pPr>
      <w:r>
        <w:t>B) Con efectos de 1 de junio de 2010 las cuantías de los componentes de las retribuciones del personal del sector público estatal sometido a régimen administrativo y estatutario, sin perjuicio de lo que se establece en los artículos siguientes en relación con determinados cargos, puestos y colectivos, serán las derivadas de la aplicación de las siguientes normas:</w:t>
      </w:r>
    </w:p>
    <w:p w:rsidR="00E3576C" w:rsidRDefault="00E3576C" w:rsidP="00E3576C">
      <w:pPr>
        <w:pStyle w:val="TextoNormal"/>
      </w:pPr>
    </w:p>
    <w:p w:rsidR="00E3576C" w:rsidRDefault="00E3576C" w:rsidP="00E3576C">
      <w:pPr>
        <w:pStyle w:val="TextoNormal"/>
      </w:pPr>
      <w:r>
        <w:lastRenderedPageBreak/>
        <w:t>a) Las retribuciones básicas de dicho personal, así como las complementarias de carácter fijo y periódico asignadas a los puestos de trabajo que desempeñe, se regirán, respecto de las vigentes a 31 de mayo de 2010, por lo dispuesto en el artículo 22.Dos B) y 22.Cinco B) de esta Ley sin perjuicio de la adecuación de las retribuciones complementarias cuando sea necesaria para asegurar que las asignadas a cada puesto de trabajo guarden la relación procedente con el contenido de especial dificultad técnica, dedicación, responsabilidad, peligrosidad o penosidad del mismo.</w:t>
      </w:r>
    </w:p>
    <w:p w:rsidR="00E3576C" w:rsidRDefault="00E3576C" w:rsidP="00E3576C">
      <w:pPr>
        <w:pStyle w:val="TextoNormal"/>
      </w:pPr>
    </w:p>
    <w:p w:rsidR="00E3576C" w:rsidRDefault="00E3576C" w:rsidP="00E3576C">
      <w:pPr>
        <w:pStyle w:val="TextoNormal"/>
      </w:pPr>
      <w:r>
        <w:t>La paga extraordinaria del mes de junio se regirá por lo dispuesto en el apartado Uno. A) de este artículo.</w:t>
      </w:r>
    </w:p>
    <w:p w:rsidR="00E3576C" w:rsidRDefault="00E3576C" w:rsidP="00E3576C">
      <w:pPr>
        <w:pStyle w:val="TextoNormal"/>
      </w:pPr>
    </w:p>
    <w:p w:rsidR="00E3576C" w:rsidRDefault="00E3576C" w:rsidP="00E3576C">
      <w:pPr>
        <w:pStyle w:val="TextoNormal"/>
      </w:pPr>
      <w:r>
        <w:t>La paga extraordinaria del mes de diciembre de 2010 del personal incluido en el ámbito de aplicación de este artículo se regirá por lo dispuesto en el artículo 22.Dos, B), 3 de esta Ley.</w:t>
      </w:r>
    </w:p>
    <w:p w:rsidR="00E3576C" w:rsidRDefault="00E3576C" w:rsidP="00E3576C">
      <w:pPr>
        <w:pStyle w:val="TextoNormal"/>
      </w:pPr>
    </w:p>
    <w:p w:rsidR="00E3576C" w:rsidRDefault="00E3576C" w:rsidP="00E3576C">
      <w:pPr>
        <w:pStyle w:val="TextoNormal"/>
      </w:pPr>
      <w:r>
        <w:t>b) El conjunto de las restantes retribuciones complementarias tendrá una reducción del 5 por 100, en términos anuales, respecto de las vigentes a 31 de mayo de 2010, sin perjuicio de las modificaciones que se deriven de la variación del número de efectivos asignados a cada programa, del grado de consecución de los objetivos fijados para el mismo y del resultado individual de su aplicación.</w:t>
      </w:r>
    </w:p>
    <w:p w:rsidR="00E3576C" w:rsidRDefault="00E3576C" w:rsidP="00E3576C">
      <w:pPr>
        <w:pStyle w:val="TextoNormal"/>
      </w:pPr>
    </w:p>
    <w:p w:rsidR="00E3576C" w:rsidRDefault="00E3576C" w:rsidP="00E3576C">
      <w:pPr>
        <w:pStyle w:val="TextoNormal"/>
      </w:pPr>
      <w:r>
        <w:t>No obstante lo dispuesto en el párrafo anterior, las retribuciones complementarias del grupo E: Agrupaciones profesionales Ley 7/2007, tendrán una reducción con carácter personal del 1 por 100.</w:t>
      </w:r>
    </w:p>
    <w:p w:rsidR="00E3576C" w:rsidRDefault="00E3576C" w:rsidP="00E3576C">
      <w:pPr>
        <w:pStyle w:val="TextoNormal"/>
      </w:pPr>
    </w:p>
    <w:p w:rsidR="00E3576C" w:rsidRDefault="00E3576C" w:rsidP="00E3576C">
      <w:pPr>
        <w:pStyle w:val="TextoNormal"/>
      </w:pPr>
      <w:r>
        <w:t>c) Los complementos personales y transitorios y demás retribuciones que tengan análogo carácter, así como las indemnizaciones por razón del servicio, se regirán por su normativa específica y por lo dispuesto en esta Ley, sin que les sea de aplicación la reducción del 5 por 100 previsto en la misma.</w:t>
      </w:r>
    </w:p>
    <w:p w:rsidR="00E3576C" w:rsidRDefault="00E3576C" w:rsidP="00E3576C">
      <w:pPr>
        <w:pStyle w:val="TextoNormal"/>
      </w:pPr>
    </w:p>
    <w:p w:rsidR="00E3576C" w:rsidRDefault="00E3576C" w:rsidP="00E3576C">
      <w:pPr>
        <w:pStyle w:val="TextoNormal"/>
      </w:pPr>
      <w:r>
        <w:t>Dos. Para el año 2010, las cuantías de la contribución individual al plan de pensiones de la Administración General del Estado correspondiente al personal funcionario serán las siguientes por grupos y/o subgrupos de titulación:</w:t>
      </w:r>
    </w:p>
    <w:p w:rsidR="00E3576C" w:rsidRDefault="00E3576C" w:rsidP="00E3576C">
      <w:pPr>
        <w:pStyle w:val="TextoNormal"/>
      </w:pPr>
    </w:p>
    <w:p w:rsidR="00E3576C" w:rsidRDefault="00E3576C" w:rsidP="00E3576C">
      <w:pPr>
        <w:pStyle w:val="TextoNormal"/>
      </w:pPr>
      <w:r>
        <w:t>Grupo/Subgrupo</w:t>
      </w:r>
      <w:r>
        <w:tab/>
        <w:t>Cuantía por sueldo</w:t>
      </w:r>
    </w:p>
    <w:p w:rsidR="00E3576C" w:rsidRDefault="00E3576C" w:rsidP="00E3576C">
      <w:pPr>
        <w:pStyle w:val="TextoNormal"/>
      </w:pPr>
      <w:r>
        <w:t>-</w:t>
      </w:r>
    </w:p>
    <w:p w:rsidR="00E3576C" w:rsidRDefault="00E3576C" w:rsidP="00E3576C">
      <w:pPr>
        <w:pStyle w:val="TextoNormal"/>
      </w:pPr>
      <w:r>
        <w:t>Euros</w:t>
      </w:r>
    </w:p>
    <w:p w:rsidR="00E3576C" w:rsidRDefault="00E3576C" w:rsidP="00E3576C">
      <w:pPr>
        <w:pStyle w:val="TextoNormal"/>
      </w:pPr>
      <w:r>
        <w:t>A1</w:t>
      </w:r>
      <w:r>
        <w:tab/>
        <w:t>97,08</w:t>
      </w:r>
    </w:p>
    <w:p w:rsidR="00E3576C" w:rsidRDefault="00E3576C" w:rsidP="00E3576C">
      <w:pPr>
        <w:pStyle w:val="TextoNormal"/>
      </w:pPr>
      <w:r>
        <w:t>A2</w:t>
      </w:r>
      <w:r>
        <w:tab/>
        <w:t>82,39</w:t>
      </w:r>
    </w:p>
    <w:p w:rsidR="00E3576C" w:rsidRDefault="00E3576C" w:rsidP="00E3576C">
      <w:pPr>
        <w:pStyle w:val="TextoNormal"/>
      </w:pPr>
      <w:r>
        <w:t>B</w:t>
      </w:r>
      <w:r>
        <w:tab/>
        <w:t>71,51</w:t>
      </w:r>
    </w:p>
    <w:p w:rsidR="00E3576C" w:rsidRDefault="00E3576C" w:rsidP="00E3576C">
      <w:pPr>
        <w:pStyle w:val="TextoNormal"/>
      </w:pPr>
      <w:r>
        <w:t>C1</w:t>
      </w:r>
      <w:r>
        <w:tab/>
        <w:t>61,42</w:t>
      </w:r>
    </w:p>
    <w:p w:rsidR="00E3576C" w:rsidRDefault="00E3576C" w:rsidP="00E3576C">
      <w:pPr>
        <w:pStyle w:val="TextoNormal"/>
      </w:pPr>
      <w:r>
        <w:t>C2</w:t>
      </w:r>
      <w:r>
        <w:tab/>
        <w:t>50,22</w:t>
      </w:r>
    </w:p>
    <w:p w:rsidR="00E3576C" w:rsidRDefault="00E3576C" w:rsidP="00E3576C">
      <w:pPr>
        <w:pStyle w:val="TextoNormal"/>
      </w:pPr>
      <w:r>
        <w:t>E (Ley 30/1984) y Agrupaciones Profesionales (Ley 7/2007)</w:t>
      </w:r>
      <w:r>
        <w:tab/>
        <w:t>45,85</w:t>
      </w:r>
    </w:p>
    <w:p w:rsidR="00E3576C" w:rsidRDefault="00E3576C" w:rsidP="00E3576C">
      <w:pPr>
        <w:pStyle w:val="TextoNormal"/>
      </w:pPr>
    </w:p>
    <w:p w:rsidR="00E3576C" w:rsidRDefault="00E3576C" w:rsidP="00E3576C">
      <w:pPr>
        <w:pStyle w:val="TextoNormal"/>
      </w:pPr>
      <w:r>
        <w:t>La cuantía de la contribución individual correspondiente a los trienios de personal funcionario para el año 2010 será de 4,44 euros por trienio.”</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2</w:t>
      </w:r>
      <w:r>
        <w:t>. Tal y como establece el art. 37.1 de la Ley Orgánica del Tribunal Constitucional (LOTC), este Tribunal puede rechazar en trámite de admisión y mediante Auto, y sin otra audiencia que la del Fiscal General del Estado, la cuestión de inconstitucionalidad cuando faltaren las condiciones procesales o fuere notoriamente infundada la cuestión suscitada.</w:t>
      </w:r>
    </w:p>
    <w:p w:rsidR="00E3576C" w:rsidRDefault="00E3576C" w:rsidP="00E3576C">
      <w:pPr>
        <w:pStyle w:val="TextoNormal"/>
      </w:pPr>
    </w:p>
    <w:p w:rsidR="00E3576C" w:rsidRDefault="00E3576C" w:rsidP="00E3576C">
      <w:pPr>
        <w:pStyle w:val="TextoNormal"/>
      </w:pPr>
      <w:r>
        <w:t xml:space="preserve">Respecto del cumplimiento de las condiciones procesales, el Fiscal General del Estado estima que el órgano jurisdiccional a quo, ha realizado incorrectamente el juicio de aplicabilidad, y por tanto el juicio de relevancia, resultando defectuosa la mención genérica a los arts. 22.2 y 24.1 y 2 de la Ley 26/2009, en la redacción dada por el Real Decreto-ley 8/2010, ya que el art. 22.2 contiene también las reducciones de retribuciones referidas al personal laboral del sector público, el art. 24.1 se refiere a las retribuciones del personal del sector público estatal y art. 24.2 a la contribución del plan de pensiones de la Administración General del Estado del personal funcionario, por lo que la identificación de estos preceptos como cuestionados no guarda relación con el objeto del proceso en el que se ha deducido demanda respecto de la reducción de retribuciones, ya que esta última se refiere exclusivamente a esta reducción respecto del personal estatutario que presta servicios en el Servicio Gallego de Salud. </w:t>
      </w:r>
    </w:p>
    <w:p w:rsidR="00E3576C" w:rsidRDefault="00E3576C" w:rsidP="00E3576C">
      <w:pPr>
        <w:pStyle w:val="TextoNormal"/>
      </w:pPr>
    </w:p>
    <w:p w:rsidR="00E3576C" w:rsidRDefault="00E3576C" w:rsidP="00E3576C">
      <w:pPr>
        <w:pStyle w:val="TextoNormal"/>
      </w:pPr>
      <w:r>
        <w:t>En respuesta a este óbice procesal debemos señalar que, aunque el Juzgado identifica como preceptos cuestionados los arts. 22.2 y 24.1 y 2 de la Ley 26/2009, de 23 de diciembre, en la redacción que les da el Real Decreto-ley 8/2010, de las alegaciones contenidas en el Auto de planteamiento de la cuestión, puede deducirse fácilmente que las dudas de constitucionalidad del órgano judicial se ciñen a los arts. 22.Dos B) y 24.Uno B) de la citada ley, ya que son estos apartados en concreto los que, con efectos del 1 de junio de 2010, establecen la cuantía de las retribuciones del personal funcionario y estatutario al servicio del sector público, habiendo de entenderse que el órgano jurisdiccional ha justificado debidamente el juicio de aplicabilidad y relevancia a estos preceptos referido. Respecto de la cuestión de que el órgano jurisdiccional a quo no hubiera identificado como norma aplicable al supuesto de hecho la Ley autonómica 3/2010, que modificó la Ley de presupuestos de la Comunidad Autónoma de Galicia 9/2009, en virtud de la cual se aplicaban en Galicia las reducciones salariales impugnadas en el recurso contencioso-administrativo en el que se plantea la cuestión de inconstitucionalidad, resulta evidente, tal y como recoge la exposición de motivos de la Ley autonómica, que ésta no hace más que llevar al ámbito autonómico lo que el Real Decreto-ley 8/2010 declaró básico, esto es la reducción con carácter urgente, de las retribuciones del personal al servicio del sector público, y particularmente lo “dispuesto en el artículo 1, apartados Dos y Tres, del Real Decreto-ley, que modifica los apartados Dos y Cinco del artículo 22 de la Ley 26/2009, de 23 de diciembre, de presupuestos generales del Estado para el año 2010”. Por tanto, en cuanto al defecto en el juicio de aplicabilidad y relevancia que advierte el Fiscal General del Estado en el Auto de planteamiento de la cuestión, no cabe por más que remitirse a lo que se dijo a este respecto en el ATC 179/2011, de 13 de diciembre, recordando que el juicio de relevancia ha de entenderse cumplido reduciéndolo, dentro de los preceptos genéricamente cuestionados, a los apartados previamente individualizados, y asumiendo que también puede entenderse cuestionada la legislación autonómica que reproduce literalmente la normativa estatal cuestionada, eso sí, teniendo en cuenta que las dudas de constitucionalidad respecto de la normativa autonómica carecerían de sustantividad propia.</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Sin perjuicio de lo anterior, este Tribunal debe inadmitir la cuestión planteada por resultar notoriamente infundada (art. 37.1 LOTC), en el significado que a esta noción le viene dando nuestra reiterada doctrina, por las razones que a continuación se sintetizan al haber sido ya expuestas, de manera suficientemente exhaustiva en los AATC 85/2011, de 7 de junio, y 179/2011, de 13 de diciembre.</w:t>
      </w:r>
    </w:p>
    <w:p w:rsidR="00E3576C" w:rsidRDefault="00E3576C" w:rsidP="00E3576C">
      <w:pPr>
        <w:pStyle w:val="TextoNormal"/>
      </w:pPr>
    </w:p>
    <w:p w:rsidR="00E3576C" w:rsidRDefault="00E3576C" w:rsidP="00E3576C">
      <w:pPr>
        <w:pStyle w:val="TextoNormal"/>
      </w:pPr>
      <w:r>
        <w:t>a) Por lo que se refiere a la pretendida vulneración del art. 86.1 CE por no concurrir, a juicio del órgano juzgador a quo las circunstancias de extrema y urgente necesidad que actúan como presupuesto habilitante de la elaboración del decreto-ley, por darse una neta previsibilidad de la situación de necesidad económica a que el decreto-ley da respuesta, y por haberse excedido la norma cuestionada de los límites materiales que le impone el ya citado art. 86.1 CE, el ATC 179/2011 de 13 de diciembre, en su fundamento jurídico 6, afirma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que asimismo, y por lo que se refiere a la previsibilidad de la situación económica a la que responde el Real Decreto-ley 8/2010,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y, por último, que el Real Decreto-ley cuestionado no incurre en infracción de los límites materiales establecidos por el art. 86.1 CE para los decretos-leyes, límites que no hay que interpretar de firma expansiva, ya que no afectan a los derechos, deberes y libertades del título I CE (en el mismo sentido se manifiesta el ATC 85/2011, de 7 de junio, FJ 8).</w:t>
      </w:r>
    </w:p>
    <w:p w:rsidR="00E3576C" w:rsidRDefault="00E3576C" w:rsidP="00E3576C">
      <w:pPr>
        <w:pStyle w:val="TextoNormal"/>
      </w:pPr>
    </w:p>
    <w:p w:rsidR="00E3576C" w:rsidRDefault="00E3576C" w:rsidP="00E3576C">
      <w:pPr>
        <w:pStyle w:val="TextoNormal"/>
      </w:pPr>
      <w:r>
        <w:t>b) La vulneración del art. 14 CE, que el órgano judicial asocia al hecho de que la reducción de salarios no afecta a todos los funcionarios y empleados públicos por igual ha de ser también considerada como notoriamente infundada, y es que, como ha señalado reiteradamente este Tribunal, para apreciar una vulneración del derecho a la igualdad ante la ley debe partirse de la homogeneidad o identidad del término de comparación utilizado, identidad que no concurre en este caso, teniendo en cuenta los diversos colectivos a los que se dirige la medida de reducción salarial [en ese sentido, ATC 179/2011, de 13 de diciembre, FJ 7 a)].</w:t>
      </w:r>
    </w:p>
    <w:p w:rsidR="00E3576C" w:rsidRDefault="00E3576C" w:rsidP="00E3576C">
      <w:pPr>
        <w:pStyle w:val="TextoNormal"/>
      </w:pPr>
    </w:p>
    <w:p w:rsidR="00E3576C" w:rsidRDefault="00E3576C" w:rsidP="00E3576C">
      <w:pPr>
        <w:pStyle w:val="TextoNormal"/>
      </w:pPr>
      <w:r>
        <w:t>c) Por su parte, el ATC 179/2011, de 13 de diciembre, también descartó a limine la lesión del art. 31 CE por parte de las disposiciones cuestionadas, privando de todo fundamento a la duda de constitucionalidad planteada por el Juzgado proponente de la cuestión, al entender que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[FJ 7 b)].</w:t>
      </w:r>
    </w:p>
    <w:p w:rsidR="00E3576C" w:rsidRDefault="00E3576C" w:rsidP="00E3576C">
      <w:pPr>
        <w:pStyle w:val="TextoNormal"/>
      </w:pPr>
    </w:p>
    <w:p w:rsidR="00E3576C" w:rsidRDefault="00E3576C" w:rsidP="00E3576C">
      <w:pPr>
        <w:pStyle w:val="TextoNormal"/>
      </w:pPr>
      <w:r>
        <w:t>d) Tampoco ha admitido este Tribunal la posibilidad de que los preceptos legales cuestionados hayan afectado a la interdicción constitucional de expropiación de derechos sin indemnización contenida en el art. 33.3 CE, por cuanto la reducción de retribuciones impuesta por el art. 1 del Real Decreto-ley 8/2010, de 20 de mayo,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nacidos”[ATC 179/2011 de 13 de diciembre, FJ 7 c)].</w:t>
      </w:r>
    </w:p>
    <w:p w:rsidR="00E3576C" w:rsidRDefault="00E3576C" w:rsidP="00E3576C">
      <w:pPr>
        <w:pStyle w:val="TextoNormal"/>
      </w:pPr>
    </w:p>
    <w:p w:rsidR="00E3576C" w:rsidRDefault="00E3576C" w:rsidP="00E3576C">
      <w:pPr>
        <w:pStyle w:val="TextoNormal"/>
      </w:pPr>
      <w:r>
        <w:t>e) Por último, y respecto de la afectación por parte de los preceptos cuestionados del derecho a la negociación colectiva laboral reconocida en el art. 37.1 CE, el ATC 85/2011, de 7 de junio, la descartó en su fundamento jurídico 8, afirmando que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 Se deduce de las anteriores afirmaciones que ninguno de los preceptos legales cuestionados afecta al derecho a la negociación colectiva, en cuanto “ni regulan el régimen general de dicho derecho, ni la intangibilidad del convenio colectivo se configura como uno de sus elementos esenciales”.</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presente cuestión de inconstitucionalidad.</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0" w:name="AUTO_2012_9"/>
      <w:r>
        <w:lastRenderedPageBreak/>
        <w:t>AUTO 9/2012, de 13 de enero de 2012</w:t>
      </w:r>
    </w:p>
    <w:bookmarkEnd w:id="150"/>
    <w:p w:rsidR="00E3576C" w:rsidRDefault="00E3576C" w:rsidP="00E3576C">
      <w:pPr>
        <w:pStyle w:val="TtuloResolucin"/>
      </w:pPr>
      <w:r>
        <w:t>Pleno</w:t>
      </w:r>
    </w:p>
    <w:p w:rsidR="00E3576C" w:rsidRDefault="00E3576C" w:rsidP="00E3576C">
      <w:pPr>
        <w:pStyle w:val="TtuloResolucin"/>
      </w:pPr>
    </w:p>
    <w:p w:rsidR="00E3576C" w:rsidRDefault="00E3576C" w:rsidP="00E3576C">
      <w:pPr>
        <w:pStyle w:val="TtuloBOE"/>
      </w:pPr>
      <w:r>
        <w:t>("BOE" núm. 36, de 11 de febrero de 2012)</w:t>
      </w:r>
    </w:p>
    <w:p w:rsidR="00E3576C" w:rsidRDefault="00E3576C" w:rsidP="00E3576C">
      <w:pPr>
        <w:pStyle w:val="TtuloBOE"/>
      </w:pPr>
    </w:p>
    <w:p w:rsidR="00E3576C" w:rsidRDefault="00E3576C" w:rsidP="00E3576C">
      <w:pPr>
        <w:pStyle w:val="SntesisDescriptiva"/>
      </w:pPr>
      <w:r>
        <w:t>ECLI:ES:TC:2012:9A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el recurso de amparo 5241-2011, promovido por don Gaspar Llamazares Trigo y doña Nuria Buenaventura Puig, Diputados del Grupo Parlamentario Esquerra Republicana-Izquierda Unida-Iniciativa Per Catalunya Verds en el Congreso de los Diputados, en relación con una resolución y varios acuerdos de la Mesa del Congreso de los Diputados sobre tramitación de la proposición de reforma del artículo 135 de la Constitución.</w:t>
      </w:r>
    </w:p>
    <w:p w:rsidR="00E3576C" w:rsidRDefault="00E3576C" w:rsidP="00E3576C">
      <w:pPr>
        <w:pStyle w:val="SntesisDescriptiva"/>
      </w:pPr>
    </w:p>
    <w:p w:rsidR="00E3576C" w:rsidRDefault="00E3576C" w:rsidP="00E3576C">
      <w:pPr>
        <w:pStyle w:val="SntesisAnaltica"/>
      </w:pPr>
      <w:r>
        <w:t>Constitución española: reforma constitucional. Inadmisión de recurso de amparo: inadmisión de recurso de amparo por Auto. Legitimación en el recurso de amparo: legitimación activa en el recurso de amparo. Procedimiento legislativo: procedimiento de lectura única; procedimiento legislativo de urgencia; procedimiento legislativo ordinario; tramitación de enmiendas. Reforma constitucional: tramitación parlamentaria. Votos particulares: formulados tres.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fecha de 28 de septiembre de 2011 tuvo entrada en el Registro General de este Tribunal, recurso de amparo interpuesto por don José Antonio Sandín Fernández, en representación de don Gaspar Llamazares Trigo y de doña Nuria Buenaventura Puig, Diputados del Grupo Parlamentario Esquerra Republicana-Izquierda Unida-Iniciativa Per Catalunya Verds en el Congreso de los Diputados contra las siguientes resoluciones y acuerdos de la Cámara:</w:t>
      </w:r>
    </w:p>
    <w:p w:rsidR="00E3576C" w:rsidRDefault="00E3576C" w:rsidP="00E3576C">
      <w:pPr>
        <w:pStyle w:val="TextoNormal"/>
      </w:pPr>
    </w:p>
    <w:p w:rsidR="00E3576C" w:rsidRDefault="00E3576C" w:rsidP="00E3576C">
      <w:pPr>
        <w:pStyle w:val="TextoNormal"/>
      </w:pPr>
      <w:r>
        <w:t>a) Contra la resolución de la Mesa del Congreso de los Diputados, de 30 de agosto de 2011, por la que se dispone la tramitación de la proposición de reforma del art. 135 CE por el procedimiento de urgencia y la finalización del plazo para la interposición de enmiendas por parte de los grupos parlamentarios el día 1 de septiembre de 2011 a las catorce horas.</w:t>
      </w:r>
    </w:p>
    <w:p w:rsidR="00E3576C" w:rsidRDefault="00E3576C" w:rsidP="00E3576C">
      <w:pPr>
        <w:pStyle w:val="TextoNormal"/>
      </w:pPr>
    </w:p>
    <w:p w:rsidR="00E3576C" w:rsidRDefault="00E3576C" w:rsidP="00E3576C">
      <w:pPr>
        <w:pStyle w:val="TextoNormal"/>
      </w:pPr>
      <w:r>
        <w:t>b) Contra el acuerdo de la Mesa del Congreso de los Diputados, de 2 de septiembre de 2011, desestimatorio de la reconsideración de los acuerdos adoptados el 30 de agosto de 2011, solicitada por los recurrentes.</w:t>
      </w:r>
    </w:p>
    <w:p w:rsidR="00E3576C" w:rsidRDefault="00E3576C" w:rsidP="00E3576C">
      <w:pPr>
        <w:pStyle w:val="TextoNormal"/>
      </w:pPr>
    </w:p>
    <w:p w:rsidR="00E3576C" w:rsidRDefault="00E3576C" w:rsidP="00E3576C">
      <w:pPr>
        <w:pStyle w:val="TextoNormal"/>
      </w:pPr>
      <w:r>
        <w:lastRenderedPageBreak/>
        <w:t>c) Contra el acuerdo del Pleno del Congreso de los Diputados, de 30 de agosto de 2011, por el que se aprueba la toma en consideración y la tramitación por el procedimiento de lectura única de la proposición de reforma del art. 135 CE.</w:t>
      </w:r>
    </w:p>
    <w:p w:rsidR="00E3576C" w:rsidRDefault="00E3576C" w:rsidP="00E3576C">
      <w:pPr>
        <w:pStyle w:val="TextoNormal"/>
      </w:pPr>
    </w:p>
    <w:p w:rsidR="00E3576C" w:rsidRDefault="00E3576C" w:rsidP="00E3576C">
      <w:pPr>
        <w:pStyle w:val="TextoNormal"/>
      </w:pPr>
      <w:r>
        <w:t>d) Contra el acuerdo de la Mesa del Congreso de los Diputados, de 1 de septiembre de 2011, por el que se inadmite la enmienda a la totalidad con texto alternativo presentada por el grupo parlamentario al que pertenecen los recurrentes y su ulterior confirmación por acuerdo del mismo órgano rector de la Cámara, de 2 de septiembre de 2011.</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que anteceden a la presente demanda de amparo son, sucintamente descritos, los siguientes:</w:t>
      </w:r>
    </w:p>
    <w:p w:rsidR="00E3576C" w:rsidRDefault="00E3576C" w:rsidP="00E3576C">
      <w:pPr>
        <w:pStyle w:val="TextoNormal"/>
      </w:pPr>
    </w:p>
    <w:p w:rsidR="00E3576C" w:rsidRDefault="00E3576C" w:rsidP="00E3576C">
      <w:pPr>
        <w:pStyle w:val="TextoNormal"/>
      </w:pPr>
      <w:r>
        <w:t>a) Con fecha de 26 de agosto de 2011 tuvo entrada en el Registro del Congreso de los Diputados una proposición de reforma del art. 135 CE suscrita por los grupos parlamentarios socialista y popular en dicha Cámara.</w:t>
      </w:r>
    </w:p>
    <w:p w:rsidR="00E3576C" w:rsidRDefault="00E3576C" w:rsidP="00E3576C">
      <w:pPr>
        <w:pStyle w:val="TextoNormal"/>
      </w:pPr>
    </w:p>
    <w:p w:rsidR="00E3576C" w:rsidRDefault="00E3576C" w:rsidP="00E3576C">
      <w:pPr>
        <w:pStyle w:val="TextoNormal"/>
      </w:pPr>
      <w:r>
        <w:t>b) Por parte de la Presidencia de la Cámara, con la misma fecha, se acordó, de una parte: admitir a trámite, publicar en el boletín correspondiente y someter la iniciativa a la deliberación del Pleno a los efectos de su toma en consideración; y, de otra parte, dar traslado al Gobierno para que manifestara su criterio respecto de la toma en consideración. La publicación de la proposición de reforma tuvo lugar en el “Boletín Oficial de las Cortes Generales” de 26 de agosto de 2011.</w:t>
      </w:r>
    </w:p>
    <w:p w:rsidR="00E3576C" w:rsidRDefault="00E3576C" w:rsidP="00E3576C">
      <w:pPr>
        <w:pStyle w:val="TextoNormal"/>
      </w:pPr>
    </w:p>
    <w:p w:rsidR="00E3576C" w:rsidRDefault="00E3576C" w:rsidP="00E3576C">
      <w:pPr>
        <w:pStyle w:val="TextoNormal"/>
      </w:pPr>
      <w:r>
        <w:t>c) Posteriormente la Mesa del Congreso de los Diputados acordó, con fecha de 30 de agosto de 2011, los siguientes extremos:</w:t>
      </w:r>
    </w:p>
    <w:p w:rsidR="00E3576C" w:rsidRDefault="00E3576C" w:rsidP="00E3576C">
      <w:pPr>
        <w:pStyle w:val="TextoNormal"/>
      </w:pPr>
    </w:p>
    <w:p w:rsidR="00E3576C" w:rsidRDefault="00E3576C" w:rsidP="00E3576C">
      <w:pPr>
        <w:pStyle w:val="TextoNormal"/>
      </w:pPr>
      <w:r>
        <w:t>Primero: en el caso de que la proposición de reforma del artículo 135 de la Constitución Española fuese tomada en consideración y acordada su tramitación directa y en lectura única, de conformidad con lo dispuesto en los artículos 93 y 126.5, por remisión del artículo 146.1, todos ellos del Reglamento del Congreso de los Diputados, su tramitación por el procedimiento de urgencia.</w:t>
      </w:r>
    </w:p>
    <w:p w:rsidR="00E3576C" w:rsidRDefault="00E3576C" w:rsidP="00E3576C">
      <w:pPr>
        <w:pStyle w:val="TextoNormal"/>
      </w:pPr>
    </w:p>
    <w:p w:rsidR="00E3576C" w:rsidRDefault="00E3576C" w:rsidP="00E3576C">
      <w:pPr>
        <w:pStyle w:val="TextoNormal"/>
      </w:pPr>
      <w:r>
        <w:t>Segundo: disponer la apertura de un plazo de presentación de enmiendas a la señalada proposición de reforma que debía concluir el 1 de septiembre de 2011, a las 14 horas.</w:t>
      </w:r>
    </w:p>
    <w:p w:rsidR="00E3576C" w:rsidRDefault="00E3576C" w:rsidP="00E3576C">
      <w:pPr>
        <w:pStyle w:val="TextoNormal"/>
      </w:pPr>
    </w:p>
    <w:p w:rsidR="00E3576C" w:rsidRDefault="00E3576C" w:rsidP="00E3576C">
      <w:pPr>
        <w:pStyle w:val="TextoNormal"/>
      </w:pPr>
      <w:r>
        <w:t>d) La toma en consideración de la iniciativa de reforma constitucional tuvo lugar en sesión plenaria el mismo 30 de agosto de 2011, en la que se acordó, igualmente, la tramitación directa y en lectura única de dicha iniciativa según lo prevenido en el art. 150 del Reglamento del Congreso de los Diputados (RCD).</w:t>
      </w:r>
    </w:p>
    <w:p w:rsidR="00E3576C" w:rsidRDefault="00E3576C" w:rsidP="00E3576C">
      <w:pPr>
        <w:pStyle w:val="TextoNormal"/>
      </w:pPr>
    </w:p>
    <w:p w:rsidR="00E3576C" w:rsidRDefault="00E3576C" w:rsidP="00E3576C">
      <w:pPr>
        <w:pStyle w:val="TextoNormal"/>
      </w:pPr>
      <w:r>
        <w:t xml:space="preserve">e) Por su parte, los ahora recurrentes en amparo, integrantes del grupo parlamentario Esquerra Republicana-Izquierda Unida-Iniciativa Per Catalunya Verds en el Congreso de los Diputados, presentaron escrito, con fecha de 30 de agosto de 2011, por el que se solicitaba de la Mesa de la Cámara la reconsideración del acuerdo de 30 de agosto de 2011 de conformidad con lo establecido en el art. 31.2 RCD. En el escrito se denunciaba la inadecuación de la tramitación parlamentaria acordada con respecto de lo previsto en el art. 150.1 RCD para el procedimiento de lectura única y con la propia naturaleza del objeto de la </w:t>
      </w:r>
      <w:r>
        <w:lastRenderedPageBreak/>
        <w:t>iniciativa, una reforma de la Constitución. En particular se puso de manifiesto la improcedencia de someter los plazos de la tramitación al procedimiento de urgencia sin adecuada motivación que, a juicio de los recurrentes, resulta indispensable. Igualmente se alegó que la sustancial reducción de plazos para la presentación de enmiendas vulneraba el ius in officium de los representantes garantizado por el art. 23.2 CE.</w:t>
      </w:r>
    </w:p>
    <w:p w:rsidR="00E3576C" w:rsidRDefault="00E3576C" w:rsidP="00E3576C">
      <w:pPr>
        <w:pStyle w:val="TextoNormal"/>
      </w:pPr>
    </w:p>
    <w:p w:rsidR="00E3576C" w:rsidRDefault="00E3576C" w:rsidP="00E3576C">
      <w:pPr>
        <w:pStyle w:val="TextoNormal"/>
      </w:pPr>
      <w:r>
        <w:t>El referido órgano rector de la Cámara acordó, con fecha de 2 de septiembre de 2011, desestimar la solicitud de reconsideración. Así, en primer lugar, se rechazó que la proposición de reforma pudiera suponer una reforma encubierta del título preliminar de la Constitución por afectar al art. 1.1 CE, pues ni la literalidad del texto de la iniciativa, ni la jurisprudencia constitucional o la misma doctrina permiten llegar a dicha conclusión. Por ello, se niega la pretensión de los recurrentes de que la proposición de reforma habría de sustanciarse a través del procedimiento previsto en el art. 168 CE; otra cosa supondría extender indebidamente la rígida delimitación material que contiene dicho precepto en cuanto a los supuestos de reforma agravada de la Constitución. En segundo lugar, con respecto del cuestionamiento del recurso al procedimiento de lectura única, se estima que el art. 146 RCD no contiene exclusión alguna en tal sentido, argumentándose que la anterior reforma constitucional, la correspondiente al art. 13.2 CE, se sustanció precisamente a través de dicho procedimiento; por lo demás, de acuerdo con el art. 150 RCD, no ha sido la Mesa de la Cámara quien decidió la adopción del citado procedimiento, por cuanto únicamente elevó la propuesta al Pleno de la Cámara que fue quien finalmente adoptó la decisión. En tercer lugar, y con respecto de la tramitación urgente de la iniciativa con la correspondiente reducción del plazo de presentación de enmiendas, se rechazó que la Mesa hubiera de motivar la necesidad de la tramitación urgente pues, de acuerdo con lo dispuesto en el Reglamento de la Cámara, la Mesa no actuó de oficio, sino que atendió la solicitud realizada, en este sentido, por parte de los promotores de la iniciativa de reforma constitucional, tras la oportuna consideración. Y, en este sentido, se señalaba en el escrito de la iniciativa la inminente disolución de las Cortes anunciada para el día 26 de septiembre como circunstancia que aconsejaba la tramitación parlamentaria urgente. Se concluye poniendo de manifiesto que la tramitación acordada ha dejado a salvo las facultades propias del ius in officium, por cuanto, a pesar de la celeridad del procedimiento, los Diputados han dispuesto del trámite de la toma en consideración, han podido presentar enmiendas, recurrir las decisiones de trámite de la Mesa de la Cámara y, por último, podrán manifestar su conformidad o rechazo a la reforma de la Constitución propuesta mediante el correspondiente voto.</w:t>
      </w:r>
    </w:p>
    <w:p w:rsidR="00E3576C" w:rsidRDefault="00E3576C" w:rsidP="00E3576C">
      <w:pPr>
        <w:pStyle w:val="TextoNormal"/>
      </w:pPr>
    </w:p>
    <w:p w:rsidR="00E3576C" w:rsidRDefault="00E3576C" w:rsidP="00E3576C">
      <w:pPr>
        <w:pStyle w:val="TextoNormal"/>
      </w:pPr>
      <w:r>
        <w:t>f) Paralelamente, los recurrentes habían presentado, con fecha de 1 de septiembre de 2011, una enmienda a la totalidad con texto alternativo que resultó inadmitida por acuerdo de la Mesa del Congreso de los Diputados, de ese mismo día, por entender que a través de la referida enmienda se postulaba una reforma del texto constitucional de las previstas en el art. 168 CE. En el acuerdo se habilitaba un plazo de unas horas con el objeto de reformular la enmienda. Presentada en tiempo y forma la correspondiente aclaración y reformulación de la enmienda a la totalidad supracitada, en forma de escrito de reconsideración, la Mesa de la Cámara, por acuerdo de 2 de septiembre de 2011, ratificó la inadmisión de la misma con expresa desestimación de las alegaciones formuladas.</w:t>
      </w:r>
    </w:p>
    <w:p w:rsidR="00E3576C" w:rsidRDefault="00E3576C" w:rsidP="00E3576C">
      <w:pPr>
        <w:pStyle w:val="TextoNormal"/>
      </w:pPr>
    </w:p>
    <w:p w:rsidR="00E3576C" w:rsidRDefault="00E3576C" w:rsidP="00E3576C">
      <w:pPr>
        <w:pStyle w:val="TextoNormal"/>
      </w:pPr>
      <w:r>
        <w:t xml:space="preserve">En dicho escrito la Mesa indica que la reconsideración, con las aclaraciones y reformulaciones incorporadas, no altera sustancialmente el contenido inicial del escrito de presentación de enmienda a la totalidad con texto alternativo inadmitido y, por ello, se insiste en </w:t>
      </w:r>
      <w:r>
        <w:lastRenderedPageBreak/>
        <w:t>el rechazo por proponerse una reforma constitucional de las previstas en el art. 168 CE cuando, la tramitación en curso, se refiere a la modificación de un precepto de la Norma Suprema cuya tramitación ha de ajustarse a lo prevenido en el art. 167 CE. Se señala que dicho escrito, en realidad bien podría constituir el contenido de una proposición de reforma de la Constitución que, de formalizarse, se tramitara de acuerdo con lo señalado en los arts. 147 del Reglamento del Congreso de los Diputados y 168 CE, lo que no es el caso del procedimiento en curso.</w:t>
      </w:r>
    </w:p>
    <w:p w:rsidR="00E3576C" w:rsidRDefault="00E3576C" w:rsidP="00E3576C">
      <w:pPr>
        <w:pStyle w:val="TextoNormal"/>
      </w:pPr>
    </w:p>
    <w:p w:rsidR="00E3576C" w:rsidRDefault="00E3576C" w:rsidP="00E3576C">
      <w:pPr>
        <w:pStyle w:val="TextoNormal"/>
      </w:pPr>
      <w:r w:rsidRPr="00E3576C">
        <w:rPr>
          <w:rStyle w:val="NumeroAFNegritaCaracter"/>
        </w:rPr>
        <w:t>3</w:t>
      </w:r>
      <w:r>
        <w:t>. En la demanda se denuncia la vulneración del derecho contenido en el art. 23.2 CE en los siguientes términos:</w:t>
      </w:r>
    </w:p>
    <w:p w:rsidR="00E3576C" w:rsidRDefault="00E3576C" w:rsidP="00E3576C">
      <w:pPr>
        <w:pStyle w:val="TextoNormal"/>
      </w:pPr>
    </w:p>
    <w:p w:rsidR="00E3576C" w:rsidRDefault="00E3576C" w:rsidP="00E3576C">
      <w:pPr>
        <w:pStyle w:val="TextoNormal"/>
      </w:pPr>
      <w:r>
        <w:t>Los recurrentes ponen de manifiesto la, a su juicio, inadecuada tramitación de la proposición de reforma constitucional conforme al procedimiento ordinario del art. 167 CE, pues la reforma propuesta no se limita al art. 135 CE, sino que supone una modificación encubierta del título preliminar de la Constitución Española, singularmente en cuanto el apartado tercero del precepto prevé que: “los créditos para satisfacer los intereses y el capital de la deuda pública de las Administraciones se entenderán siempre incluidos en el estado de gastos de sus presupuestos y su pago gozará de prioridad absoluta”. La previsión, siempre a juicio de los recurrentes, supone introducir un valor superior a los de justicia y equidad, con el resultado de que la cláusula social del Estado queda menoscabada al quedar éste como un “Estado rehén” de las eventuales condiciones que los mercados vayan imponiendo para la financiación pública. Con estos presupuestos, la reforma de la Constitución, además de la reforma encubierta del título preliminar, en especial de su art. 1.1, supone una rebaja del nivel de protección de los derechos fundamentales (se alude, ad exemplum, al derecho a la tutela judicial efectiva, en cuanto que los recursos destinados a la Administración de justicia quedan condicionados al pago prioritario de los intereses y capital de la deuda o de la vertiente prestacional del derecho a la educación, por las mismas razones). En definitiva, la utilización del procedimiento de reforma ordinario, además de inadecuada por razones materiales, supone una merma en las facultades de participación de los Diputados y de los propios ciudadanos por cuanto se eliminan las preceptivas convocatorias electoral y del referéndum previstas en el art. 168 CE.</w:t>
      </w:r>
    </w:p>
    <w:p w:rsidR="00E3576C" w:rsidRDefault="00E3576C" w:rsidP="00E3576C">
      <w:pPr>
        <w:pStyle w:val="TextoNormal"/>
      </w:pPr>
    </w:p>
    <w:p w:rsidR="00E3576C" w:rsidRDefault="00E3576C" w:rsidP="00E3576C">
      <w:pPr>
        <w:pStyle w:val="TextoNormal"/>
      </w:pPr>
      <w:r>
        <w:t xml:space="preserve">Con carácter subsidiario a lo anteriormente expuesto, los recurrentes pasan a analizar cada uno de los acuerdos parlamentarios adoptados en relación con la tramitación de la reforma constitucional controvertida a los efectos de determinar la vulneración del derecho fundamental invocado. En primer lugar, se cuestiona el recurso al procedimiento de lectura única, con una reducción sustancial de las facultades parlamentarias de los Diputados, entre las que se destaca que se eluda el debate en fase de comisión (en este caso, la Comisión Constitucional del Congreso de los Diputados). Pues bien, dicho sacrificio debe sustentarse en razones sólidas y, en este sentido, del tenor del art. 150.1 RCD se deduce que el controvertido procedimiento parlamentario procede en aquellos supuestos en los que la naturaleza de la iniciativa así lo aconseje o cuando la “simplicidad de formulación lo permita”, sin que parezca que una reforma constitucional encaje en ninguna de dichas circunstancias. A todo ello hay que unir la manifiesta ausencia de fundamentación o explicación de las razones por las que los promotores de la iniciativa y los distintos órganos parlamentarios intervinientes han adoptado la decisión de simplificar al máximo la tramitación de la reforma. En suma, se pone de manifiesto cómo la propia Constitución excluye de los procedimientos menos </w:t>
      </w:r>
      <w:r>
        <w:lastRenderedPageBreak/>
        <w:t>rigurosos, en términos de garantías, la reforma constitucional cuando el art. 78 CE (sic) prohíbe la aprobación de la misma por comisión legislativa permanente.</w:t>
      </w:r>
    </w:p>
    <w:p w:rsidR="00E3576C" w:rsidRDefault="00E3576C" w:rsidP="00E3576C">
      <w:pPr>
        <w:pStyle w:val="TextoNormal"/>
      </w:pPr>
    </w:p>
    <w:p w:rsidR="00E3576C" w:rsidRDefault="00E3576C" w:rsidP="00E3576C">
      <w:pPr>
        <w:pStyle w:val="TextoNormal"/>
      </w:pPr>
      <w:r>
        <w:t>En segundo lugar, los recurrentes cuestionan igualmente el recurso al procedimiento de urgencia, con especial atención a la sustancial reducción del plazo para la presentación de enmiendas. Si bien dicha reducción está admitida por el Reglamento de la Cámara, se indica que repugna al Derecho que sea la mera conveniencia o arbitrariedad de los partidos la que determine la aplicación del procedimiento de urgencia en una iniciativa de las características de una reforma constitucional a la que, además, debería acompañarse de una justificación explícita de la Mesa de la Cámara, pues no puede tratarse de una decisión discrecional de dicho órgano al afectarse al derecho de participación. Así, se reprocha que la valoración de la Mesa se haya basado en las declaraciones realizadas ante los medios de comunicación por distintos representantes políticos anunciando una, entonces eventual, disolución de las Cámaras. La urgencia resulta si cabe más cuestionable cuando la disposición adicional única de la proposición de reforma establece un plazo de aprobación para la norma de desarrollo fijado el 30 de junio de 2012 y una entrada en vigor de los límites del déficit estructural contemplados en el apartado segundo del precepto que se demora hasta el año 2020. En consecuencia, la ausencia de justificación en la adopción del procedimiento de urgencia hace lesivas del derecho al ejercicio de la función parlamentaria las reducciones de plazos acordadas para la tramitación de la proposición de reforma constitucional.</w:t>
      </w:r>
    </w:p>
    <w:p w:rsidR="00E3576C" w:rsidRDefault="00E3576C" w:rsidP="00E3576C">
      <w:pPr>
        <w:pStyle w:val="TextoNormal"/>
      </w:pPr>
    </w:p>
    <w:p w:rsidR="00E3576C" w:rsidRDefault="00E3576C" w:rsidP="00E3576C">
      <w:pPr>
        <w:pStyle w:val="TextoNormal"/>
      </w:pPr>
      <w:r>
        <w:t>En tercer lugar, se cuestiona la concreta reducción del plazo para la presentación de enmiendas acordada por la resolución de la Mesa del Congreso de los Diputados de 30 de agosto de 2011. Se considera que la Mesa ha realizado una aplicación fraudulenta del art. 91.2 RCD, que dispone que “salvo casos excepcionales, las prórrogas no serán superiores a otro tanto del plazo ni las reducciones a su mitad”. Al igual que lo expuesto con anterioridad, los recurrentes basan su reproche en la total ausencia de motivación que justifique la excepcionalidad del caso. Aún más, en la medida en que el Presidente del Gobierno no aludió en su anuncio de disolución de las Cámaras a una reforma constitucional, hay motivos para sospechar que la iniciativa se debe a presiones externas igualmente sin explicitar y que los ciudadanos y sus representantes debieran conocer. Con estos presupuestos, la radical reducción del plazo de presentación de enmiendas a 48 horas ha resultado lesiva del art. 23 CE.</w:t>
      </w:r>
    </w:p>
    <w:p w:rsidR="00E3576C" w:rsidRDefault="00E3576C" w:rsidP="00E3576C">
      <w:pPr>
        <w:pStyle w:val="TextoNormal"/>
      </w:pPr>
    </w:p>
    <w:p w:rsidR="00E3576C" w:rsidRDefault="00E3576C" w:rsidP="00E3576C">
      <w:pPr>
        <w:pStyle w:val="TextoNormal"/>
      </w:pPr>
      <w:r>
        <w:t>Los demandantes concluyen la primera parte de su recurso exponiendo las consecuencias del procedimiento parlamentario que se ha seguido en este particular:</w:t>
      </w:r>
    </w:p>
    <w:p w:rsidR="00E3576C" w:rsidRDefault="00E3576C" w:rsidP="00E3576C">
      <w:pPr>
        <w:pStyle w:val="TextoNormal"/>
      </w:pPr>
    </w:p>
    <w:p w:rsidR="00E3576C" w:rsidRDefault="00E3576C" w:rsidP="00E3576C">
      <w:pPr>
        <w:pStyle w:val="TextoNormal"/>
      </w:pPr>
      <w:r>
        <w:t>Eludir la negociación previa de la reforma constitucional, dificultando la búsqueda de consenso y reduciendo las facultades de participación de los Diputados.</w:t>
      </w:r>
    </w:p>
    <w:p w:rsidR="00E3576C" w:rsidRDefault="00E3576C" w:rsidP="00E3576C">
      <w:pPr>
        <w:pStyle w:val="TextoNormal"/>
      </w:pPr>
    </w:p>
    <w:p w:rsidR="00E3576C" w:rsidRDefault="00E3576C" w:rsidP="00E3576C">
      <w:pPr>
        <w:pStyle w:val="TextoNormal"/>
      </w:pPr>
      <w:r>
        <w:t>Eludir la transparencia en la explicación y el contraste de opiniones sobre las consecuencias de la reforma.</w:t>
      </w:r>
    </w:p>
    <w:p w:rsidR="00E3576C" w:rsidRDefault="00E3576C" w:rsidP="00E3576C">
      <w:pPr>
        <w:pStyle w:val="TextoNormal"/>
      </w:pPr>
    </w:p>
    <w:p w:rsidR="00E3576C" w:rsidRDefault="00E3576C" w:rsidP="00E3576C">
      <w:pPr>
        <w:pStyle w:val="TextoNormal"/>
      </w:pPr>
      <w:r>
        <w:t>Evitar un debate en profundidad en la Comisión Constitucional.</w:t>
      </w:r>
    </w:p>
    <w:p w:rsidR="00E3576C" w:rsidRDefault="00E3576C" w:rsidP="00E3576C">
      <w:pPr>
        <w:pStyle w:val="TextoNormal"/>
      </w:pPr>
    </w:p>
    <w:p w:rsidR="00E3576C" w:rsidRDefault="00E3576C" w:rsidP="00E3576C">
      <w:pPr>
        <w:pStyle w:val="TextoNormal"/>
      </w:pPr>
      <w:r>
        <w:t>Dificultar el trabajo parlamentario de los Diputados que no han aceptado el acuerdo de los grupos promotores de la iniciativa.</w:t>
      </w:r>
    </w:p>
    <w:p w:rsidR="00E3576C" w:rsidRDefault="00E3576C" w:rsidP="00E3576C">
      <w:pPr>
        <w:pStyle w:val="TextoNormal"/>
      </w:pPr>
    </w:p>
    <w:p w:rsidR="00E3576C" w:rsidRDefault="00E3576C" w:rsidP="00E3576C">
      <w:pPr>
        <w:pStyle w:val="TextoNormal"/>
      </w:pPr>
      <w:r>
        <w:lastRenderedPageBreak/>
        <w:t>Evitar el debate y aportaciones de Comunidades Autónomas y Ayuntamientos, a quienes afecta directamente la reforma constitucional acometida.</w:t>
      </w:r>
    </w:p>
    <w:p w:rsidR="00E3576C" w:rsidRDefault="00E3576C" w:rsidP="00E3576C">
      <w:pPr>
        <w:pStyle w:val="TextoNormal"/>
      </w:pPr>
    </w:p>
    <w:p w:rsidR="00E3576C" w:rsidRDefault="00E3576C" w:rsidP="00E3576C">
      <w:pPr>
        <w:pStyle w:val="TextoNormal"/>
      </w:pPr>
      <w:r>
        <w:t>Evitar el referéndum que permitiera conocer “la opinión del pueblo español” sobre la reforma que de esta manera aparecerá como impuesta.</w:t>
      </w:r>
    </w:p>
    <w:p w:rsidR="00E3576C" w:rsidRDefault="00E3576C" w:rsidP="00E3576C">
      <w:pPr>
        <w:pStyle w:val="TextoNormal"/>
      </w:pPr>
    </w:p>
    <w:p w:rsidR="00E3576C" w:rsidRDefault="00E3576C" w:rsidP="00E3576C">
      <w:pPr>
        <w:pStyle w:val="TextoNormal"/>
      </w:pPr>
      <w:r>
        <w:t>A continuación, los recurrentes realizan una serie de consideraciones sobre la decisión de la Mesa de la Cámara en orden a inadmitir la enmienda a la totalidad con texto alternativo presentada por ellos. Estiman que la actitud del órgano rector de la Cámara ha supuesto un evidente menosprecio a la labor de los Diputados recurrentes sin más motivación que la de tratar de introducir una reforma constitucional que precisa de una tramitación diferente a la que se estaba siguiendo y sin soporte legal en el Reglamento de la Cámara. El asunto trasciende del plano de las formas parlamentarias para incidir en el ejercicio de las facultares de los Diputados amparado por el art. 23 CE. A mayor abundamiento, el Reglamento de la Cámara permite modificar la tramitación de una ley ordinaria como ley orgánica a través de las enmiendas presentadas al proyecto, y que analógicamente podía haberse aplicado al supuesto objeto de la controversia.</w:t>
      </w:r>
    </w:p>
    <w:p w:rsidR="00E3576C" w:rsidRDefault="00E3576C" w:rsidP="00E3576C">
      <w:pPr>
        <w:pStyle w:val="TextoNormal"/>
      </w:pPr>
    </w:p>
    <w:p w:rsidR="00E3576C" w:rsidRDefault="00E3576C" w:rsidP="00E3576C">
      <w:pPr>
        <w:pStyle w:val="TextoNormal"/>
      </w:pPr>
      <w:r>
        <w:t>Los recurrentes sustentan su demanda en numerosa cita de la jurisprudencia de este Tribunal, singularmente, la STC 208/2003, de 1 de diciembre, sobre el contenido y alcance del art. 23.2 CE, la STC 39/2008, de 10 de marzo, sobre el derecho de los parlamentarios a acudir en amparo frente a las decisiones de las Cámaras, la STC 205/1990, de 13 de diciembre, sobre los límites a las facultades de calificación y admisión de las Mesas de las Cámaras y la adecuada motivación de sus resoluciones en relación con el art. 23.2 CE, entre otras.</w:t>
      </w:r>
    </w:p>
    <w:p w:rsidR="00E3576C" w:rsidRDefault="00E3576C" w:rsidP="00E3576C">
      <w:pPr>
        <w:pStyle w:val="TextoNormal"/>
      </w:pPr>
    </w:p>
    <w:p w:rsidR="00E3576C" w:rsidRDefault="00E3576C" w:rsidP="00E3576C">
      <w:pPr>
        <w:pStyle w:val="TextoNormal"/>
      </w:pPr>
      <w:r w:rsidRPr="00E3576C">
        <w:rPr>
          <w:rStyle w:val="NumeroAFNegritaCaracter"/>
        </w:rPr>
        <w:t>4</w:t>
      </w:r>
      <w:r>
        <w:t>. La demanda concluye solicitando, previo otorgamiento del amparo:</w:t>
      </w:r>
    </w:p>
    <w:p w:rsidR="00E3576C" w:rsidRDefault="00E3576C" w:rsidP="00E3576C">
      <w:pPr>
        <w:pStyle w:val="TextoNormal"/>
      </w:pPr>
    </w:p>
    <w:p w:rsidR="00E3576C" w:rsidRDefault="00E3576C" w:rsidP="00E3576C">
      <w:pPr>
        <w:pStyle w:val="TextoNormal"/>
      </w:pPr>
      <w:r>
        <w:t>a) Que se declare la nulidad de las resoluciones y acuerdos impugnados, “así como de las decisiones y acuerdos posteriores hasta la aprobación final por el Parlamento de la reforma del artículo 135 de la Constitución Española”.</w:t>
      </w:r>
    </w:p>
    <w:p w:rsidR="00E3576C" w:rsidRDefault="00E3576C" w:rsidP="00E3576C">
      <w:pPr>
        <w:pStyle w:val="TextoNormal"/>
      </w:pPr>
    </w:p>
    <w:p w:rsidR="00E3576C" w:rsidRDefault="00E3576C" w:rsidP="00E3576C">
      <w:pPr>
        <w:pStyle w:val="TextoNormal"/>
      </w:pPr>
      <w:r>
        <w:t>b) Que se retrotraiga la tramitación de la proposición de reforma del artículo 135 de la Constitución Española al momento de publicación de la iniciativa, al objeto de que se tramite conforme al art. 168 CE o, subsidiariamente, que se tramite a través del procedimiento contemplado en el art. 167 CE de forma ordinaria, sin declaración de urgencia, sin reducción de los plazos y sin tramitación por el procedimiento de lectura única.</w:t>
      </w:r>
    </w:p>
    <w:p w:rsidR="00E3576C" w:rsidRDefault="00E3576C" w:rsidP="00E3576C">
      <w:pPr>
        <w:pStyle w:val="TextoNormal"/>
      </w:pPr>
    </w:p>
    <w:p w:rsidR="00E3576C" w:rsidRDefault="00E3576C" w:rsidP="00E3576C">
      <w:pPr>
        <w:pStyle w:val="TextoNormal"/>
      </w:pPr>
      <w:r w:rsidRPr="00E3576C">
        <w:rPr>
          <w:rStyle w:val="NumeroAFNegritaCaracter"/>
        </w:rPr>
        <w:t>5</w:t>
      </w:r>
      <w:r>
        <w:t>. Con fecha 13 de diciembre de 2011 el Pleno acordó, conforme al art. 10.1 n) de la Ley Orgánica del Tribunal Constitucional, a propuesta de la Sala Segunda, recabar para sí el conocimiento del presente recurso de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Constituyen el objeto del presente recurso de amparo, distintas resoluciones y acuerdos adoptados por el Pleno y la Mesa del Congreso de los Diputados en relación con la tramitación parlamentaria de la proposición de reforma del art. 135 CE presentada por los grupos parlamentarios socialista y popular en dicha Cámara. A los efectos de una mejor </w:t>
      </w:r>
      <w:r>
        <w:lastRenderedPageBreak/>
        <w:t>definición de dicho objeto los actos impugnados pueden sistematizarse de la siguiente manera:</w:t>
      </w:r>
    </w:p>
    <w:p w:rsidR="00E3576C" w:rsidRDefault="00E3576C" w:rsidP="00E3576C">
      <w:pPr>
        <w:pStyle w:val="TextoNormal"/>
      </w:pPr>
    </w:p>
    <w:p w:rsidR="00E3576C" w:rsidRDefault="00E3576C" w:rsidP="00E3576C">
      <w:pPr>
        <w:pStyle w:val="TextoNormal"/>
      </w:pPr>
      <w:r>
        <w:t>De un lado, se impugnan una serie de acuerdos y resoluciones relativos a la tramitación en el Congreso de los Diputados de la iniciativa de la reforma constitucional citada y que resultan ser: primero, la resolución de la Mesa del Congreso de los Diputados, de 30 de agosto de 2011, por la que se dispuso la tramitación de la proposición de reforma del art. 135 CE por el procedimiento de urgencia y la finalización del plazo para la interposición de enmiendas el día 1 de septiembre de 2011 a las catorce horas, para el caso de que el Pleno de la Cámara tomara en consideración la iniciativa y acordara su tramitación por el procedimiento de lectura única, así como la ulterior confirmación de dicho acto recaída en reconsideración, con fecha de 2 de septiembre de 2011. Segundo, el acuerdo del propio Pleno de la Cámara, de 30 de agosto de 2011, por el que se aprobó la toma en consideración y la tramitación por el procedimiento de lectura única de la proposición de reforma del art. 135 CE.</w:t>
      </w:r>
    </w:p>
    <w:p w:rsidR="00E3576C" w:rsidRDefault="00E3576C" w:rsidP="00E3576C">
      <w:pPr>
        <w:pStyle w:val="TextoNormal"/>
      </w:pPr>
    </w:p>
    <w:p w:rsidR="00E3576C" w:rsidRDefault="00E3576C" w:rsidP="00E3576C">
      <w:pPr>
        <w:pStyle w:val="TextoNormal"/>
      </w:pPr>
      <w:r>
        <w:t>De otro lado y, en relación con la intervención de los ahora recurrentes en amparo durante la tramitación parlamentaria en el Congreso de los Diputados de la iniciativa de reforma del art. 135 CE, se impugna el acuerdo de la Mesa del Congreso de los Diputados, de 1 de septiembre de 2011, por el que inadmitió la enmienda a la totalidad con texto alternativo presentada por el grupo parlamentario al que pertenecen los demandantes y su ulterior confirmación por acuerdo del mismo órgano rector de la Cámara de 2 de septiembre de 2011.</w:t>
      </w:r>
    </w:p>
    <w:p w:rsidR="00E3576C" w:rsidRDefault="00E3576C" w:rsidP="00E3576C">
      <w:pPr>
        <w:pStyle w:val="TextoNormal"/>
      </w:pPr>
    </w:p>
    <w:p w:rsidR="00E3576C" w:rsidRDefault="00E3576C" w:rsidP="00E3576C">
      <w:pPr>
        <w:pStyle w:val="TextoNormal"/>
      </w:pPr>
      <w:r>
        <w:t>Los recurrentes interesan el otorgamiento del amparo solicitado, con la nulidad de las resoluciones y acuerdos impugnados, así como de cuantos se hubieran adoptado posteriormente hasta la aprobación definitiva de la reforma del art. 135 CE; igualmente pretenden la retroacción de la tramitación parlamentaria hasta el momento de la publicación de la iniciativa de reforma, al objeto de que prosiga de acuerdo con el procedimiento de reforma constitucional agravado, recogido en el art, 168 CE, o, subsidiariamente, de tramitarse mediante el procedimiento ordinario del art. 167 CE, que no se declare la urgencia ni, en consecuencia, la correspondiente reducción de plazos y, por último, que la tramitación no se realice a través del procedimiento de lectura única.</w:t>
      </w:r>
    </w:p>
    <w:p w:rsidR="00E3576C" w:rsidRDefault="00E3576C" w:rsidP="00E3576C">
      <w:pPr>
        <w:pStyle w:val="TextoNormal"/>
      </w:pPr>
    </w:p>
    <w:p w:rsidR="00E3576C" w:rsidRDefault="00E3576C" w:rsidP="00E3576C">
      <w:pPr>
        <w:pStyle w:val="TextoNormal"/>
      </w:pPr>
      <w:r>
        <w:t>También denuncian los recurrentes la vulneración de sus facultades como parlamentarios, integradas en el art. 23.2 CE, y que se han visto menoscabadas o mermadas por parte de los distintos actos impugnados. Todo ello sin perjuicio de la genérica invocación del art. 23.1 CE sin fundamentación que permita advertir los motivos de la lesión; ausencia de precisión que no resulta baladí en el trámite de admisión del recurso de amparo, pues como se ha señalado por este Tribunal: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(SSTC 143/2003, de 14 de julio, FJ 2; y 196/2005, de 18 de julio, FJ 2, por todas).</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2</w:t>
      </w:r>
      <w:r>
        <w:t>. En la demanda se reprocha a la Mesa que, inicialmente, haya calificado la proposición de reforma constitucional controvertida dentro de los supuestos objeto del procedimiento ordinario de reforma contemplados en el art. 167 CE, sobre la base de que la misma supone una reforma encubierta del título preliminar de la Constitución, afecta a distintos derechos fundamentales en cuanto merma su nivel de protección y menoscaba, en fin, las facultades de los Diputados y de los propios ciudadanos.</w:t>
      </w:r>
    </w:p>
    <w:p w:rsidR="00E3576C" w:rsidRDefault="00E3576C" w:rsidP="00E3576C">
      <w:pPr>
        <w:pStyle w:val="TextoNormal"/>
      </w:pPr>
    </w:p>
    <w:p w:rsidR="00E3576C" w:rsidRDefault="00E3576C" w:rsidP="00E3576C">
      <w:pPr>
        <w:pStyle w:val="TextoNormal"/>
      </w:pPr>
      <w:r>
        <w:t>Pues bien, de la documentación aportada con la demanda se deduce que la Mesa del Congreso de los Diputados, con escrupulosa sujeción a lo dispuesto en los arts. 167 y 168 CE, únicamente podía calificar la reforma del art. 135 CE como objeto del procedimiento ordinario de reforma constitucional recogido en el art. 167 CE, sin plantearse eventuales conexiones del precepto objeto de la reforma con otros preceptos o apartados de la Norma Suprema que sí deban ser objeto del procedimiento agravado. Tal y como se argumenta en el acuerdo del mismo órgano, de 2 de septiembre de 2011, por el que se resuelve la reconsideración planteada, la pretendida conexión del art. 135 CE con otros preceptos “no encuentra amparo alguno ni en la propia literalidad del texto constitucional, ni en la jurisprudencia constitucional ni tampoco en la doctrina”. En segundo término, continúa el citado acuerdo, “tal y como ha quedado claro en todos los años de vigencia constitucional, el procedimiento agravado previsto en el artículo 168 CE está limitado por su propia naturaleza al objeto normativo en él contemplado sin que quepa ni sea razonable, una extensión por vía alguna de unos requisitos ya de por sí hiperrígidos. Esta pretensión carecería de sentido alguno y es directamente contraria al espíritu de un texto constitucional que delimitó con bastante precisión las dos vías de reforma constitucional”.</w:t>
      </w:r>
    </w:p>
    <w:p w:rsidR="00E3576C" w:rsidRDefault="00E3576C" w:rsidP="00E3576C">
      <w:pPr>
        <w:pStyle w:val="TextoNormal"/>
      </w:pPr>
    </w:p>
    <w:p w:rsidR="00E3576C" w:rsidRDefault="00E3576C" w:rsidP="00E3576C">
      <w:pPr>
        <w:pStyle w:val="TextoNormal"/>
      </w:pPr>
      <w:r>
        <w:t>En efecto, el texto constitucional establece de manera precisa la finalidad de las dos vías de reforma que prevé, en función de los objetos sobre los que se puede proyectar, de tal modo que admitir la pretensión de los recurrentes alteraría el equilibrio buscado por el constituyente, corriendo el riesgo de dejar a la discreción del órgano rector de la Cámara la determinación del procedimiento de reforma constitucional. La posible afección de la modificación de un precepto de la Constitución a otros de la misma norma ha sido considerada por este Tribunal con ocasión de la Declaración 1/1992, de 1 de julio (DTC 1/1992), dictada previa consulta del Gobierno de la Nación, al amparo del art. 95.2 CE, en relación con la reforma del art. 13.2 CE, concluyendo que “al no contrariar el precepto examinado otra norma de la Constitución distinta al art. 13.2 de la misma, el procedimiento para la revisión constitucional que prevé el art. 95.1, ha de ser el de carácter general u ordinario contemplado en el art. 167 de nuestra Ley fundamental” (FJ 6).</w:t>
      </w:r>
    </w:p>
    <w:p w:rsidR="00E3576C" w:rsidRDefault="00E3576C" w:rsidP="00E3576C">
      <w:pPr>
        <w:pStyle w:val="TextoNormal"/>
      </w:pPr>
    </w:p>
    <w:p w:rsidR="00E3576C" w:rsidRDefault="00E3576C" w:rsidP="00E3576C">
      <w:pPr>
        <w:pStyle w:val="TextoNormal"/>
      </w:pPr>
      <w:r w:rsidRPr="00E3576C">
        <w:rPr>
          <w:rStyle w:val="NumeroAFNegritaCaracter"/>
        </w:rPr>
        <w:t>3</w:t>
      </w:r>
      <w:r>
        <w:t>. Con carácter subsidiario a la controvertida calificación de la reforma del art. 135 CE como objeto del procedimiento ordinario previsto en el art. 167 CE, los recurrentes impugnan los acuerdos relativos a la tramitación de la reforma por el procedimiento de lectura única, la declaración de urgencia y la consiguiente reducción de los plazos para la presentación de enmiendas, por resultar igualmente lesivos del derecho al ejercicio de las funciones parlamentarias ex art. 23.2 CE.</w:t>
      </w:r>
    </w:p>
    <w:p w:rsidR="00E3576C" w:rsidRDefault="00E3576C" w:rsidP="00E3576C">
      <w:pPr>
        <w:pStyle w:val="TextoNormal"/>
      </w:pPr>
    </w:p>
    <w:p w:rsidR="00E3576C" w:rsidRDefault="00E3576C" w:rsidP="00E3576C">
      <w:pPr>
        <w:pStyle w:val="TextoNormal"/>
      </w:pPr>
      <w:r>
        <w:t xml:space="preserve">Tampoco se aprecia lesión en el proceder de la Mesa ni del Pleno sobre el particular. Ni de la lectura del texto constitucional en su conjunto, ni de modo especial del título X dedicado por la propia Constitución a su posible reforma, ni del art. 146 del Reglamento del Congreso de los Diputados (RCD) se advierte que la aprobación de la reforma constitucional </w:t>
      </w:r>
      <w:r>
        <w:lastRenderedPageBreak/>
        <w:t>haya quedado excluida del procedimiento de lectura única. Supuesto distinto, por lo tanto, al abordado en la STC 103/2008, de 11 de septiembre, en la que el Tribunal trató de la inconstitucionalidad de una norma que se había tramitado conforme a dicho procedimiento cuando el Reglamento parlamentario aplicable excluía expresamente del mismo la materia objeto de la norma. A mayor abundamiento, no es un dato menor el que la única especialidad procedimental vetada por la Norma Fundamental, en relación con la reforma constitucional, es la eventual atribución de la aprobación de la misma a una comisión legislativa permanente (art. 75.3 CE), asegurando así, precisamente, la intervención del Pleno de la Cámara. Intervención que sí se produce durante la sustanciación del procedimiento de lectura única que tiene lugar exclusivamente en sesión plenaria.</w:t>
      </w:r>
    </w:p>
    <w:p w:rsidR="00E3576C" w:rsidRDefault="00E3576C" w:rsidP="00E3576C">
      <w:pPr>
        <w:pStyle w:val="TextoNormal"/>
      </w:pPr>
    </w:p>
    <w:p w:rsidR="00E3576C" w:rsidRDefault="00E3576C" w:rsidP="00E3576C">
      <w:pPr>
        <w:pStyle w:val="TextoNormal"/>
      </w:pPr>
      <w:r>
        <w:t>Por su parte, desde la perspectiva del procedimiento de lectura única —que se considera inadecuado por los demandantes no reunirse en este caso las notas de simplicidad o naturaleza que así lo aconsejen—, las normas aplicables (art. 150 RCD y concordantes) no establecen materias vedadas a dicha tramitación, como sí sucede con el Reglamento parlamentario de alguna Asamblea autonómica. Pero es que, además, la adopción de dicho procedimiento no se ha debido a la voluntad de la Mesa del Congreso de los Diputados (que únicamente ha formulado propuesta en tal sentido según previene el art. 150 RCD), como parece deducirse del escrito de reconsideración planteado por los recurrentes, sino al Pleno de la Cámara mediante la oportuna votación. Tampoco se deduce de las normas parlamentarias que la Mesa haya de motivar la propuesta de que una determinada iniciativa se tramite mediante el procedimiento de lectura única (art. 150.1 RCD). A mayor abundamiento, en este caso, como se advierte de la lectura de la documentación que se acompaña a la demanda, la solicitud de tramitación por el citado procedimiento se contenía en el escrito de presentación de la iniciativa dirigido por sus promotores a la Mesa de la Cámara, limitándose este órgano a dar traslado de la misma al Pleno, pues debe ser este órgano el que, tras la oportuna votación, decida en consecuencia.</w:t>
      </w:r>
    </w:p>
    <w:p w:rsidR="00E3576C" w:rsidRDefault="00E3576C" w:rsidP="00E3576C">
      <w:pPr>
        <w:pStyle w:val="TextoNormal"/>
      </w:pPr>
    </w:p>
    <w:p w:rsidR="00E3576C" w:rsidRDefault="00E3576C" w:rsidP="00E3576C">
      <w:pPr>
        <w:pStyle w:val="TextoNormal"/>
      </w:pPr>
      <w:r>
        <w:t>Por lo demás, en cuanto a la participación de los demandantes en el procedimiento y a las facultades integradas en el art. 23.2 CE, éstos han tenido la oportunidad de intervenir en la fase plenaria durante el trámite de toma en consideración y de oponerse mediante el oportuno voto a la misma, en la tramitación de la proposición mediante el controvertido procedimiento y, ulteriormente, en la propia aprobación de la iniciativa de reforma.</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Otro tanto sucede con el cuestionamiento que los recurrentes realizan del recurso a la tramitación urgente de la iniciativa de reforma constitucional y a la consiguiente reducción de plazos para la presentación de enmiendas. Nuevamente, de la lectura del Reglamento de la Cámara se advierte que la Mesa se ha ajustado al mismo. En primer lugar, y así se mantiene en el escrito por el que se resuelve la reconsideración, el órgano rector de la Cámara no ha de motivar o justificar su decisión, sino adoptarla en función de la solicitud elevada por los sujetos legitimados para ejercerla (art. 93.1 RCD). Ello sin perjuicio de que no puede sostenerse que no hayan existido razones de fondo para la solicitud, desde el momento en que se había anunciado públicamente el término de la legislatura mediante el recurso a la convocatoria de elecciones anticipadas. En segundo lugar, precisamente por esa circunstancia, concurrían razones de excepcionalidad, por mucho que los recurrentes puedan políticamente no compartirlas, que habilitaban a la Mesa para reducir el plazo de presentación de enmiendas previsto en el art. 94 RCD (“sin perjuicio de lo establecido en el artículo 91 del presente Reglamento, los plazos tendrán una duración de la mitad de los establecidos con </w:t>
      </w:r>
      <w:r>
        <w:lastRenderedPageBreak/>
        <w:t>carácter ordinario”) a su mitad, como permite el art. 91.2 de la misma norma (“salvo casos excepcionales, las prórrogas no serán superiores a otro tanto del plazo ni las reducciones a su mitad”). En fin, aun en términos tan perentorios, la tramitación urgente no ha impedido a los recurrentes las facultades que les corresponden como Diputados en el seno del procedimiento legislativo, como prueba el que hayan presentado una extensa enmienda a la totalidad con texto alternativo, pues como ha declarado este Tribunal: “la declaración de urgencia por el Gobierno de un proyecto de ley a efectos de su tramitación en dicha Cámara, aun remitido ya el Proyecto a las Cortes Generales, si bien abrevia el plazo de ésta, ni le priva del ejercicio de su función legislativa, al incidir el mecanismo conferido al Gobierno sobre la cronología del procedimiento pero no sobre el contenido del proyecto, ni restringe, ni en modo alguno podía hacerlo, el derecho de la Cámara y de sus miembros a tramitar los proyectos de ley en el plazo constitucionalmente establecido, ni, en fin, la reducción del tiempo de tramitación tiene por qué traducirse en merma alguna de los principios constitucionales que han de informar el procedimiento legislativo en cuanto procedimiento de formación de la voluntad del órgano”, (STC 234/2000, de 3 de octubre, FJ 13).</w:t>
      </w:r>
    </w:p>
    <w:p w:rsidR="00E3576C" w:rsidRDefault="00E3576C" w:rsidP="00E3576C">
      <w:pPr>
        <w:pStyle w:val="TextoNormal"/>
      </w:pPr>
    </w:p>
    <w:p w:rsidR="00E3576C" w:rsidRDefault="00E3576C" w:rsidP="00E3576C">
      <w:pPr>
        <w:pStyle w:val="TextoNormal"/>
      </w:pPr>
      <w:r w:rsidRPr="00E3576C">
        <w:rPr>
          <w:rStyle w:val="NumeroAFNegritaCaracter"/>
        </w:rPr>
        <w:t>5</w:t>
      </w:r>
      <w:r>
        <w:t>. Procede, para concluir, examinar las quejas relativas a las resoluciones de la Mesa del Congreso de los Diputados por las que se inadmitió la enmienda a la totalidad con texto alternativo presentada por el grupo parlamentario de los ahora recurrentes en amparo.</w:t>
      </w:r>
    </w:p>
    <w:p w:rsidR="00E3576C" w:rsidRDefault="00E3576C" w:rsidP="00E3576C">
      <w:pPr>
        <w:pStyle w:val="TextoNormal"/>
      </w:pPr>
    </w:p>
    <w:p w:rsidR="00E3576C" w:rsidRDefault="00E3576C" w:rsidP="00E3576C">
      <w:pPr>
        <w:pStyle w:val="TextoNormal"/>
      </w:pPr>
      <w:r>
        <w:t>Los recurrentes vieron rechazada a limine la tramitación de una enmienda a la totalidad con texto alternativo, mediante la cual se pretendía la reforma de distintos preceptos de la Constitución y que habría exigido, además, la apertura del procedimiento extraordinario del art. 168 CE. En su escrito de 2 de septiembre de 2011, de contestación a las alegaciones presentadas, la Mesa recuerda que, de admitirse la tramitación de la enmienda a la totalidad, ésta hubiera supuesto un cambio en el objeto y el procedimiento de la reforma tal y como había sido planteada por sus promotores, con lo cual, al tenerse que sustanciar por el procedimiento extraordinario del art. 168 CE, se hubiera requerido una tramitación parlamentaria distinta a la seguida hasta el momento.</w:t>
      </w:r>
    </w:p>
    <w:p w:rsidR="00E3576C" w:rsidRDefault="00E3576C" w:rsidP="00E3576C">
      <w:pPr>
        <w:pStyle w:val="TextoNormal"/>
      </w:pPr>
    </w:p>
    <w:p w:rsidR="00E3576C" w:rsidRDefault="00E3576C" w:rsidP="00E3576C">
      <w:pPr>
        <w:pStyle w:val="TextoNormal"/>
      </w:pPr>
      <w:r>
        <w:t>En realidad, los recurrentes presentaron una iniciativa de reforma de la Constitución distinta a la iniciativa que se estaba tramitando y no un texto alternativo a la reforma del art. 135 CE. En este sentido, la inadmisión a trámite de una enmienda que se separa del objeto de la tramitación en curso ha sido admitida por este Tribunal considerando que: “[p]ues bien, si se lee el escrito de ‘enmienda de totalidad’ de los Diputados recurrentes, se observa en él que no se limita al precepto estatutario objeto del Proyecto de reforma, exclusivamente el apartado 2 del art. 12 del Estatuto (que es el que establece el tope del 5 por 100 de votos para obtener escaños y que el proyecto pretendía reducir al 3 por 100), sino que extiende la enmienda a los arts. 12.1, 13, 14, 35, 47.4 y Disposición transitoria séptima de dicho Estatuto de Autonomía de la Comunidad Valenciana, con lo que, como bien dicen el Fiscal y el Letrado Mayor de las Cortes Valencianas, se desvirtúa lo que es una auténtica enmienda y se convierte el escrito en el que se contiene en otro proyecto de modificación del Estatuto de mucha mayor envergadura en cuanto se pretende modificar otros preceptos estatutarios que no son objeto del proyecto de Ley y, al tiempo, intentar con ello una iniciativa de reforma del Estatuto sin los requisitos de legitimación precisos para ello, establecidos en el art. 61.1 de dicho Estatuto autonómico” (STC 23/1990, de 15 de febrero de 1990, FJ 5).</w:t>
      </w:r>
    </w:p>
    <w:p w:rsidR="00E3576C" w:rsidRDefault="00E3576C" w:rsidP="00E3576C">
      <w:pPr>
        <w:pStyle w:val="TextoNormal"/>
      </w:pPr>
    </w:p>
    <w:p w:rsidR="00E3576C" w:rsidRDefault="00E3576C" w:rsidP="00E3576C">
      <w:pPr>
        <w:pStyle w:val="TextoNormal"/>
      </w:pPr>
      <w:r>
        <w:lastRenderedPageBreak/>
        <w:t>Más recientemente, el Tribunal ha confirmado la necesaria homogeneidad de las enmiendas con la iniciativa que se pretende modificar, tanto en los supuestos en los que se sustancia la tutela de las facultades de los parlamentarios integradas en el art. 23.2 CE, al sostener que “en estas resoluciones se confirma la constitucionalidad de las valoraciones de las Mesas de las Cámaras sobre la homogeneidad de las enmiendas con las iniciativas legislativas a enmendar, para propiciar su inadmisión, no sólo en aquellos supuestos en que el Reglamento de la Cámara lo tenga previsto de manera expresa (STC 23/1990 y ATC 275/1993), sino también, en aquellos casos en que no se establezca una concreta previsión al respecto (ATC 118/1999)” (STC 119/2011, de 5 de julio, FJ 5).</w:t>
      </w:r>
    </w:p>
    <w:p w:rsidR="00E3576C" w:rsidRDefault="00E3576C" w:rsidP="00E3576C">
      <w:pPr>
        <w:pStyle w:val="TextoNormal"/>
      </w:pPr>
    </w:p>
    <w:p w:rsidR="00E3576C" w:rsidRDefault="00E3576C" w:rsidP="00E3576C">
      <w:pPr>
        <w:pStyle w:val="TextoNormal"/>
      </w:pPr>
      <w:r>
        <w:t>Por último, la decisión de la Mesa se encuentra debidamente motivada, cumpliéndose así las exigencias de este Tribunal en orden a que tales resoluciones incorporen una motivación expresa, suficiente y adecuada, en aplicación de las normas a las que está sujeta la Mesa en el ejercicio de su función de calificación y admisión de los escritos y documentos de índole parlamentaria (SSTC 161/1988, de 20 de septiembre, FJ 9; 107/2001, FJ 7; 203/2001, FJ 4; 177/2002, FJ 10; y 74/2009, FJ 3; 33/2010, de 19 de julio, FJ, 4; 44/2010, de 26 de julio, FJ 4; o 29/2011, de 14 de marzo, FFJJ 4 y 5, entre otras).</w:t>
      </w:r>
    </w:p>
    <w:p w:rsidR="00E3576C" w:rsidRDefault="00E3576C" w:rsidP="00E3576C">
      <w:pPr>
        <w:pStyle w:val="TextoNormal"/>
      </w:pPr>
    </w:p>
    <w:p w:rsidR="00E3576C" w:rsidRDefault="00E3576C" w:rsidP="00E3576C">
      <w:pPr>
        <w:pStyle w:val="TextoNormal"/>
      </w:pPr>
      <w:r>
        <w:t>En atención a lo expuesto, y una vez descartada la existencia de lesión alguna del art. 23.2 CE en los términos alegados por los recurrentes, ha de inadmitirse la presente demanda de amparo al no existir violación de derecho fundamental amparable, con lo que incurre en un supuesto de inadmisión previsto en el art. 50.1 a) en relación con el art. 42 de la Ley Orgánica del Tribunal Constitucional.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el presente recurso de amparo.</w:t>
      </w:r>
    </w:p>
    <w:p w:rsidR="00E3576C" w:rsidRDefault="00E3576C" w:rsidP="00E3576C">
      <w:pPr>
        <w:pStyle w:val="TextoNormal"/>
      </w:pPr>
    </w:p>
    <w:p w:rsidR="00E3576C" w:rsidRDefault="00E3576C" w:rsidP="00E3576C">
      <w:pPr>
        <w:pStyle w:val="TextoNormal"/>
      </w:pPr>
      <w:r>
        <w:t>Publíquese este Auto en el “Boletín Oficial del Estado”.</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rsidP="00E3576C">
      <w:pPr>
        <w:pStyle w:val="ParrafoNormal"/>
      </w:pPr>
    </w:p>
    <w:p w:rsidR="00E3576C" w:rsidRDefault="00E3576C" w:rsidP="00E3576C">
      <w:pPr>
        <w:pStyle w:val="TextoNormalNegritaCentrado"/>
        <w:keepNext/>
      </w:pPr>
      <w:r>
        <w:t>Voto particular que formula el Vicepresidente del Tribunal Constitucional, don Eugeni Gay Montalvo, al Auto dictado en el recurso de amparo avocado al Pleno núm. 5241-2011.</w:t>
      </w:r>
    </w:p>
    <w:p w:rsidR="00E3576C" w:rsidRDefault="00E3576C" w:rsidP="00E3576C">
      <w:pPr>
        <w:pStyle w:val="TextoNormalNegritaCentrado"/>
        <w:keepNext/>
      </w:pPr>
    </w:p>
    <w:p w:rsidR="00E3576C" w:rsidRDefault="00E3576C" w:rsidP="00E3576C">
      <w:pPr>
        <w:pStyle w:val="TextoNormal"/>
      </w:pPr>
      <w:r>
        <w:t>Con profundo respeto a la autoridad de la decisión mayoritaria, pero para ser coherente con la posición que he mantenido en el Pleno, y en ejercicio de la facultad establecida en el art. 90.2 de la Ley Orgánica del Tribunal Constitucional (LOTC), formulo Voto particular concurrente en los términos que paso a exponer:</w:t>
      </w:r>
    </w:p>
    <w:p w:rsidR="00E3576C" w:rsidRDefault="00E3576C" w:rsidP="00E3576C">
      <w:pPr>
        <w:pStyle w:val="TextoNormal"/>
      </w:pPr>
    </w:p>
    <w:p w:rsidR="00E3576C" w:rsidRDefault="00E3576C" w:rsidP="00E3576C">
      <w:pPr>
        <w:pStyle w:val="TextoNormal"/>
      </w:pPr>
      <w:r w:rsidRPr="00060BD2">
        <w:rPr>
          <w:rStyle w:val="NumeroAFNegritaCaracter"/>
        </w:rPr>
        <w:t xml:space="preserve">Único. </w:t>
      </w:r>
      <w:r>
        <w:t>Aun coincidiendo con la mayoría en el fallo de este Auto y parcialmente en la argumentación que lo fundamenta, entiendo que la misma detiene su análisis antes de tiempo, dejando sin abordar aspectos suscitados en la demanda de amparo que destacan por su trascendencia social y constitucional.</w:t>
      </w:r>
    </w:p>
    <w:p w:rsidR="00E3576C" w:rsidRDefault="00E3576C" w:rsidP="00E3576C">
      <w:pPr>
        <w:pStyle w:val="TextoNormal"/>
      </w:pPr>
    </w:p>
    <w:p w:rsidR="00E3576C" w:rsidRDefault="00E3576C" w:rsidP="00E3576C">
      <w:pPr>
        <w:pStyle w:val="TextoNormal"/>
      </w:pPr>
      <w:r>
        <w:t>Es cierto, como sostiene la decisión mayoritaria, que, dado que “ni de la lectura del art. 146 del Reglamento del Congreso de los Diputados ni de la propia Constitución se advierte que la aprobación de la reforma constitucional haya quedado excluida del procedimiento de lectura única”, éste podrá ser utilizado cuando proceda según sus reglas propias, esto es, “[c]uando la naturaleza del proyecto o proposición de ley tomada en consideración lo aconsejen o su simplicidad de formulación lo permita…” (art. 150 del Reglamento del Congreso de los Diputados).</w:t>
      </w:r>
    </w:p>
    <w:p w:rsidR="00E3576C" w:rsidRDefault="00E3576C" w:rsidP="00E3576C">
      <w:pPr>
        <w:pStyle w:val="TextoNormal"/>
      </w:pPr>
    </w:p>
    <w:p w:rsidR="00E3576C" w:rsidRDefault="00E3576C" w:rsidP="00E3576C">
      <w:pPr>
        <w:pStyle w:val="TextoNormal"/>
      </w:pPr>
      <w:r>
        <w:t>Lo que no comparto es que para considerar que concurren en este caso los supuestos previstos en este precepto, y en consecuencia que es adecuada la adopción del procedimiento de lectura única, baste que así lo haya considerado el Pleno de la Cámara mediante la oportuna votación. Creo, sin embargo, que es evidente, y así lo ha manifestado una doctrina constitucional reiterada (recientemente la STC 103/2008, de 11 de septiembre, FJ 5) que las normas de los reglamentos de las cámaras que regulan el procedimiento legislativo vinculan a éstas y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[STC 99/1987, de 11 de junio, FJ 1 a)].</w:t>
      </w:r>
    </w:p>
    <w:p w:rsidR="00E3576C" w:rsidRDefault="00E3576C" w:rsidP="00E3576C">
      <w:pPr>
        <w:pStyle w:val="TextoNormal"/>
      </w:pPr>
    </w:p>
    <w:p w:rsidR="00E3576C" w:rsidRDefault="00E3576C" w:rsidP="00E3576C">
      <w:pPr>
        <w:pStyle w:val="TextoNormal"/>
      </w:pPr>
      <w:r>
        <w:t>Afortunadamente la Constitución Española de 1978 fue el resultado de un común empeño de las fuerzas políticas resultantes de los comicios constituyentes que dieron su fruto con la aprobación de su texto definitivo, refrendado de manera abrumadora por el pueblo español en quien reside, sin duda alguna, la soberanía nacional. Fue en el consenso que nuestra Constitución encontró la fuerza jurídica, pero también moral, que ha hecho posible su pervivencia pacífica en el tiempo, inusual en la historia de nuestro constitucionalismo, y que ha permitido la consolidación de la vida democrática del país.</w:t>
      </w:r>
    </w:p>
    <w:p w:rsidR="00E3576C" w:rsidRDefault="00E3576C" w:rsidP="00E3576C">
      <w:pPr>
        <w:pStyle w:val="TextoNormal"/>
      </w:pPr>
    </w:p>
    <w:p w:rsidR="00E3576C" w:rsidRDefault="00E3576C" w:rsidP="00E3576C">
      <w:pPr>
        <w:pStyle w:val="TextoNormal"/>
      </w:pPr>
      <w:r>
        <w:t>Las formas en democracia tienen una importancia que va más allá, o transciende, de lo estrictamente necesario y facilitan el encuentro de voluntades y sensibilidades distintas que son propias de la pluralidad de opiniones y criterios políticos de los ciudadanos. Nada impide que, en ciertas ocasiones, el legislador se vea obligado a propiciar un cambio por razones de urgencia del texto constitucional, lo que debe seguirse conforme a los preceptos de la propia Constitución y a lo dispuesto en los mecanismos previstos al efecto en las leyes y reglamentos de las Cámaras, sin olvidar que el consenso que inspiró su redacción primigenia tiene un valor añadido que debe, en todo caso, intentar preservar.</w:t>
      </w:r>
    </w:p>
    <w:p w:rsidR="00E3576C" w:rsidRDefault="00E3576C" w:rsidP="00E3576C">
      <w:pPr>
        <w:pStyle w:val="TextoNormal"/>
      </w:pPr>
    </w:p>
    <w:p w:rsidR="00E3576C" w:rsidRDefault="00E3576C" w:rsidP="00E3576C">
      <w:pPr>
        <w:pStyle w:val="TextoNormal"/>
      </w:pPr>
      <w:r>
        <w:t xml:space="preserve">Es en este sentido que a mi juicio, la argumentación que fundamenta la decisión mayoritaria debería haber analizado si la votación del Pleno de la Cámara que acuerda adoptar el procedimiento de lectura única observa o no el mandato normativo contenido en el art. 150 del Reglamento del Congreso de los Diputados. Me queda claro, por un lado, que la proposición de ley de reforma de la Constitución Española de 1978 que fue tramitada por ese procedimiento tenía tantas implicaciones que no puede decirse, a primera vista, que tuviese una formulación simple. Por otro, es posible que, como ha avalado el Pleno de la Cámara con su voto favorable, la coyuntura que ha propiciado esta reforma constitucional dotase a </w:t>
      </w:r>
      <w:r>
        <w:lastRenderedPageBreak/>
        <w:t>aquella proposición legislativa de una naturaleza que aconsejase la sustanciación a través de este concreto procedimiento legislativo, si bien tratándose de una reforma de un texto constitucional que, como he dicho, se gestó como fruto de un delicado consenso pareciera que también hubiera motivos para entender que su naturaleza requería de una tramitación tal que facilitara la participación más plural posible, con la cual no se compadece el procedimiento de lectura única.</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rsidP="00E3576C">
      <w:pPr>
        <w:pStyle w:val="TextoNormal"/>
      </w:pPr>
    </w:p>
    <w:p w:rsidR="00E3576C" w:rsidRDefault="00E3576C" w:rsidP="00E3576C">
      <w:pPr>
        <w:pStyle w:val="TextoNormalNegritaCentrado"/>
        <w:keepNext/>
      </w:pPr>
      <w:r>
        <w:t>Voto particular que formula el Magistrado don Pablo Pérez Tremps al Auto dictado en el recurso de amparo núm. 5241-2011.</w:t>
      </w:r>
    </w:p>
    <w:p w:rsidR="00E3576C" w:rsidRDefault="00E3576C" w:rsidP="00E3576C">
      <w:pPr>
        <w:pStyle w:val="TextoNormalNegritaCentrado"/>
        <w:keepNext/>
      </w:pPr>
    </w:p>
    <w:p w:rsidR="00E3576C" w:rsidRDefault="00E3576C" w:rsidP="00E3576C">
      <w:pPr>
        <w:pStyle w:val="TextoNormal"/>
      </w:pPr>
      <w:r>
        <w:t>Con el máximo respeto a la posición mayoritaria del Pleno debo manifestar mi discrepancia con la inadmisión con la que concluye la resolución del asunto citado en el encabezamiento y relativo a la impugnación de determinados actos dictados en la tramitación parlamentaria de la reforma de la Constitución, relativa a su art. 135, y aprobada el 27 de septiembre de 2011.</w:t>
      </w:r>
    </w:p>
    <w:p w:rsidR="00E3576C" w:rsidRDefault="00E3576C" w:rsidP="00E3576C">
      <w:pPr>
        <w:pStyle w:val="TextoNormal"/>
      </w:pPr>
    </w:p>
    <w:p w:rsidR="00E3576C" w:rsidRDefault="00E3576C" w:rsidP="00E3576C">
      <w:pPr>
        <w:pStyle w:val="TextoNormal"/>
      </w:pPr>
      <w:r>
        <w:t>Lo primero que debe quedar claro en mi discrepancia es que ésta afecta exclusivamente al fallo de inadmisión del citado Auto y que, por tanto, no alcanza al razonamiento sobre la existencia o no de lesión de la Constitución; lo que mi discrepancia comporta es la necesidad de que ese juicio sobre la lesión de la norma fundamental debería haberse hecho mediante Sentencia y no de forma liminar. Es más, y aún a riesgo de incurrir en una contradicción lógica, en una aproximación muy inicial podría incluso compartir los razonamientos sustanciales del Auto, aunque lo que sostengo es que, insisto en ello, la conclusión debería haberse alcanzado mediante Sentencia y, por tanto, tras un procedimiento sustanciado de manera completa de acuerdo con las previsiones de la Ley Orgánica del Tribunal Constitucional (LOTC).</w:t>
      </w:r>
    </w:p>
    <w:p w:rsidR="00E3576C" w:rsidRDefault="00E3576C" w:rsidP="00E3576C">
      <w:pPr>
        <w:pStyle w:val="TextoNormal"/>
      </w:pPr>
    </w:p>
    <w:p w:rsidR="00E3576C" w:rsidRDefault="00E3576C" w:rsidP="00E3576C">
      <w:pPr>
        <w:pStyle w:val="TextoNormal"/>
      </w:pPr>
      <w:r>
        <w:t xml:space="preserve">La conclusión de inadmisión a la que se llega por la mayoría parte de una construcción procesal que, aunque no hecha explícita de manera clara por el Tribunal después de la reforma de la LOTC realizada sobre el trámite de admisión por la Ley Orgánica 6/2007, es posible anclarla en la LOTC en su redacción actual; brevemente expuesta, esta construcción procesal se basa en la necesidad de que concurran tres elementos para proceder a la admisión a trámite de las demandas de amparo: el cumplimiento de los requisitos procesales o formales en sentido estricto art. 50.1 a), la concurrencia de trascendencia constitucional de la demanda art. 50.1.b) y que no pueda descartarse la existencia de lesión en un juicio preliminar, ictu oculi, de la demanda art. 50.1 a) en relación con los arts. 42 a 44. Este tercer elemento de enjuiciamiento es en el que se basa el Auto de inadmisión ya que ni establece que no se cumplan los elementos procesales, ni afirma que no exista trascendencia constitucional, sino que realiza ese juicio liminar para descartar que exista lesión, apelando al art. 50.1 a), en conexión con el art. 42 LOTC, en la medida en que éste, al igual que los arts. 43 y 44, y de forma genérica el art. 41.2, establecen que el amparo protege frente a violaciones de derechos fundamentales protegidos en amparo. Esta construcción viene a trasladar a la fase de admisión lo que, en realidad, es el juicio de fondo que, en principio, ha de desarrollarse en la Sentencia cuando se cumplen los requisitos procesales. Como señalaba, esta construcción, aunque antes de la reforma de la Ley Orgánica del Tribunal Constitucional tenía mejor anclaje legal en el concepto de “contenido constitucional” establecido en el viejo art. 50.1 c), </w:t>
      </w:r>
      <w:r>
        <w:lastRenderedPageBreak/>
        <w:t>puede entenderse que justifica inadmisiones a trámite cuando la ausencia de lesión sea manifiesta, aunque puedan cumplirse el resto de las condiciones de admisibilidad, que es lo que ha sucedido en este caso ya que la mayoría atribuye la inadmisión “una vez descartada la existencia de lesión alguna del art. 23.2 CE” a lo “previsto en el art. 50.1 a) en relación con el art. 42 LOTC” (FJ 5).</w:t>
      </w:r>
    </w:p>
    <w:p w:rsidR="00E3576C" w:rsidRDefault="00E3576C" w:rsidP="00E3576C">
      <w:pPr>
        <w:pStyle w:val="TextoNormal"/>
      </w:pPr>
    </w:p>
    <w:p w:rsidR="00E3576C" w:rsidRDefault="00E3576C" w:rsidP="00E3576C">
      <w:pPr>
        <w:pStyle w:val="TextoNormal"/>
      </w:pPr>
      <w:r>
        <w:t>Ahora bien, aun asumiendo esta construcción jurisdiccional interpretativa de la nueva regulación legal, lo que no puede pretenderse es que toda demanda se someta en fase de admisión a un acabado juicio sobre el fondo de la cuestión planteada, ya que ello supondría reservar las Sentencias de amparo para pronunciamientos estimatorios y a una sustitución del juicio sustantivo por el juicio liminar. Ni ello tiene sentido procesal ni encaja en una concepción del recurso de amparo, que no es sólo un instrumento de garantías constitucional de derechos sino también de interpretación constitucional. Esta construcción lo que puede y debe servir en mi opinión es para rechazar a limine, como también se ha apuntado, demandas en las que se suscitan cuestiones que no suponen, de manera evidente, clara e incontestable, lesión alguna del derecho o derechos fundamentales invocados. Y esta es una facultad que el Tribunal debe administrar de forma muy comedida, tanto para no vaciar de buena parte de su contenido constitucional el recurso de amparo como para legitimar la posición constitucional del propio Tribunal Constitucional como órgano que ejerce una jurisdicción de garantía y de suprema interpretación constitucional.</w:t>
      </w:r>
    </w:p>
    <w:p w:rsidR="00E3576C" w:rsidRDefault="00E3576C" w:rsidP="00E3576C">
      <w:pPr>
        <w:pStyle w:val="TextoNormal"/>
      </w:pPr>
    </w:p>
    <w:p w:rsidR="00E3576C" w:rsidRDefault="00E3576C" w:rsidP="00E3576C">
      <w:pPr>
        <w:pStyle w:val="TextoNormal"/>
      </w:pPr>
      <w:r>
        <w:t>De acuerdo con lo expuesto, lo que en este caso se hace es inadmitir una demanda de amparo que, cumpliendo los requisitos procesales básicos, y poseyendo claramente trascendencia constitucional al tratarse de una demanda que afecta a una reforma de la Constitución, se entiende que no denuncia ninguna lesión susceptible de ser apreciada. Pero ello se produce, hay que insistir en ello, en un juicio liminar, ictu oculi, sin tramitar el juicio de amparo de manera plena, y un juicio que da respuesta a una demanda suscitada por Diputados, representantes de la Nación española, que han participado en el procedimiento legislativo de reforma denunciando irregularidades en el mismo.</w:t>
      </w:r>
    </w:p>
    <w:p w:rsidR="00E3576C" w:rsidRDefault="00E3576C" w:rsidP="00E3576C">
      <w:pPr>
        <w:pStyle w:val="TextoNormal"/>
      </w:pPr>
    </w:p>
    <w:p w:rsidR="00E3576C" w:rsidRDefault="00E3576C" w:rsidP="00E3576C">
      <w:pPr>
        <w:pStyle w:val="TextoNormal"/>
      </w:pPr>
      <w:r>
        <w:t>Pero, además, desde el punto de vista material o sustantivo, se inadmite después de llevar a cabo, como se pone de manifiesto con una lectura somera del Auto, un juicio de manifiesta complejidad técnica y de trascendencia constitucional ya que versa sobre una cuestión sin casi previa doctrina constitucional, dada su novedad, como es el desarrollo del procedimiento parlamentario de reforma constitucional y la posición de los representantes del pueblo en ese procedimiento, y, por tanto, del respeto a los derechos fundamentales del art. 23 CE. Insisto en que posiblemente la solución final a alcanzar después de un examen completo, oídas las partes previstas al efecto (y no sólo los demandantes), pudiera concluir en un pronunciamiento desestimatorio, pero el Tribunal Constitucional no puede anticipar dicho juicio de forma tan liminar ni debe renunciar a llevarlo a cabo en Sentencia. Una cuestión técnicamente compleja, novedosa, de evidente interés constitucional, suscitada por parlamentarios representantes del pueblo español no debería haberse inadmitido a trámite sino que debería haber sido objeto de un pronunciamiento más reposado y tras un análisis procesalmente completo de las cuestiones planteadas. Al no haberlo hecho así creo que flaco favor se ha hecho a la interpretación constitucional, a la propia legitimidad institucional del Tribunal Constitucional y a la legitimidad misma de la reforma constitucional llevada a cabo.</w:t>
      </w:r>
    </w:p>
    <w:p w:rsidR="00E3576C" w:rsidRDefault="00E3576C" w:rsidP="00E3576C">
      <w:pPr>
        <w:pStyle w:val="TextoNormal"/>
      </w:pPr>
    </w:p>
    <w:p w:rsidR="00E3576C" w:rsidRDefault="00E3576C" w:rsidP="00E3576C">
      <w:pPr>
        <w:pStyle w:val="TextoNormal"/>
      </w:pPr>
      <w:r>
        <w:lastRenderedPageBreak/>
        <w:t>Valencia, a trece de enero de dos mil doce.</w:t>
      </w:r>
    </w:p>
    <w:p w:rsidR="00E3576C" w:rsidRDefault="00E3576C" w:rsidP="00E3576C">
      <w:pPr>
        <w:pStyle w:val="TextoNormal"/>
      </w:pPr>
    </w:p>
    <w:p w:rsidR="00E3576C" w:rsidRDefault="00E3576C" w:rsidP="00E3576C">
      <w:pPr>
        <w:pStyle w:val="TextoNormalNegritaCentrado"/>
        <w:keepNext/>
      </w:pPr>
      <w:r>
        <w:t>Voto particular que formula el Magistrado don Luis Ignacio Ortega Álvarez al Auto dictado en el recurso de amparo núm. 5241-2011.</w:t>
      </w:r>
    </w:p>
    <w:p w:rsidR="00E3576C" w:rsidRDefault="00E3576C" w:rsidP="00E3576C">
      <w:pPr>
        <w:pStyle w:val="TextoNormalNegritaCentrado"/>
        <w:keepNext/>
      </w:pPr>
    </w:p>
    <w:p w:rsidR="00E3576C" w:rsidRDefault="00E3576C" w:rsidP="00E3576C">
      <w:pPr>
        <w:pStyle w:val="TextoNormal"/>
      </w:pPr>
      <w:r>
        <w:t>Además de los argumentos de procedimiento desarrollados respecto de este mismo asunto por el Magistrado don Pablo Pérez Tremps en su Voto particular al que me adhiero en su totalidad, quiero desarrollar otros dos de contenido material relativos al papel de este Tribunal ante los procesos de reforma constitucional.</w:t>
      </w:r>
    </w:p>
    <w:p w:rsidR="00E3576C" w:rsidRDefault="00E3576C" w:rsidP="00E3576C">
      <w:pPr>
        <w:pStyle w:val="TextoNormal"/>
      </w:pPr>
    </w:p>
    <w:p w:rsidR="00E3576C" w:rsidRDefault="00E3576C" w:rsidP="00E3576C">
      <w:pPr>
        <w:pStyle w:val="TextoNormal"/>
      </w:pPr>
      <w:r>
        <w:t>Estoy conforme con lo señalado en el Auto al que se refiere este Voto particular, cuando se declara que el constituyente ha querido dejar separados los procesos de reforma contemplados en los artículos 167 y 168 CE y que esa claridad debe ser respetada por este Tribunal. Sin embargo, aunque bien es cierto que no hay una afirmación en contrario, hubiese sido más acorde con la función de control y tutela de la Constitución que este Tribunal tiene encomendada el haber establecido expresamente una reserva de conocimiento y examen del contenido de las reformas constitucionales realizadas, para evitar que, presentada la reforma de una parte de la Constitución a la que formalmente correspondería el procedimiento del artículo 167 CE, materialmente se estuviese produciendo también una variación sustancial de las partes de la Constitución cuya reforma exige adoptar el procedimiento del artículo 168 CE. Por ejemplo, si se pretendiese una reforma de los artículos 147 y 152 CE en el sentido de que expresamente se prohibiese a los Estatutos de Autonomía la posibilidad de incluir entre las instituciones autonómicas las Asambleas legislativas (artículos para cuya reforma corresponde el procedimiento del artículo 167 CE) cabría preguntarse si esta reforma no estaría afectando también al artículo 2 CE, para cuya reforma sí se exige el procedimiento del artículo 168.</w:t>
      </w:r>
    </w:p>
    <w:p w:rsidR="00E3576C" w:rsidRDefault="00E3576C" w:rsidP="00E3576C">
      <w:pPr>
        <w:pStyle w:val="TextoNormal"/>
      </w:pPr>
    </w:p>
    <w:p w:rsidR="00E3576C" w:rsidRDefault="00E3576C" w:rsidP="00E3576C">
      <w:pPr>
        <w:pStyle w:val="TextoNormal"/>
      </w:pPr>
      <w:r>
        <w:t>Igualmente, considero que el Tribunal podría haber establecido el criterio de la necesidad de distinción entre los procedimientos parlamentarios legislativos, en los que las Cortes como institución y los representantes del pueblo actúan como órganos y poderes constituidos y los procedimientos parlamentarios de reforma constitucional, en los que actúan como poder constituyente. Como defensor de la Constitución, este Tribunal podría haber exigido que se respetase el valor supraordenado de la norma Constitucional respecto de los productos normativos emanados de las Cámaras legislativas.</w:t>
      </w:r>
    </w:p>
    <w:p w:rsidR="00E3576C" w:rsidRDefault="00E3576C" w:rsidP="00E3576C">
      <w:pPr>
        <w:pStyle w:val="TextoNormal"/>
      </w:pPr>
    </w:p>
    <w:p w:rsidR="00E3576C" w:rsidRDefault="00E3576C" w:rsidP="00E3576C">
      <w:pPr>
        <w:pStyle w:val="TextoNormal"/>
      </w:pPr>
      <w:r>
        <w:t>Sin corresponder a este Tribunal establecer los términos concretos de dicha diferencia de procedimiento parlamentario, si hubiese sido posible a mi juicio, el declarar la necesidad de establecer tal diferencia en respeto de la diferente condición de las Cortes Generales cuando actúan como órgano constituido a cuando lo hacen como órgano constituyente.</w:t>
      </w:r>
    </w:p>
    <w:p w:rsidR="00E3576C" w:rsidRDefault="00E3576C" w:rsidP="00E3576C">
      <w:pPr>
        <w:pStyle w:val="TextoNormal"/>
      </w:pPr>
    </w:p>
    <w:p w:rsidR="00E3576C" w:rsidRDefault="00E3576C" w:rsidP="00E3576C">
      <w:pPr>
        <w:pStyle w:val="TextoNormal"/>
      </w:pPr>
      <w:r>
        <w:t>Mi voto favorable se explica en la consideración de evitar que este Tribunal pudiese invadir el terreno que le corresponde al poder legislativo, pero considero que esta reflexión debería haber formado parte del cuerpo de la decisión sobre este asunto.</w:t>
      </w:r>
    </w:p>
    <w:p w:rsidR="00E3576C" w:rsidRDefault="00E3576C" w:rsidP="00E3576C">
      <w:pPr>
        <w:pStyle w:val="TextoNormal"/>
      </w:pPr>
    </w:p>
    <w:p w:rsidR="00E3576C" w:rsidRDefault="00E3576C" w:rsidP="00E3576C">
      <w:pPr>
        <w:pStyle w:val="TextoNormal"/>
      </w:pPr>
      <w:r>
        <w:t>Valencia, a trece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1" w:name="AUTO_2012_10"/>
      <w:r>
        <w:lastRenderedPageBreak/>
        <w:t>AUTO 10/2012, de 18 de enero de 2012</w:t>
      </w:r>
    </w:p>
    <w:bookmarkEnd w:id="151"/>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ECLI:ES:TC:2012:10A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Acuerda el desistimiento en el recurso de amparo 5402-2011,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52" w:name="AUTO_2012_11"/>
      <w:r>
        <w:lastRenderedPageBreak/>
        <w:t>AUTO 11/2012, de 26 de enero de 2012</w:t>
      </w:r>
    </w:p>
    <w:bookmarkEnd w:id="152"/>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ECLI:ES:TC:2012:11A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5048-2011, promovido por don Giuliano Cristian Cojocariu.</w:t>
      </w:r>
    </w:p>
    <w:p w:rsidR="00E3576C" w:rsidRDefault="00E3576C" w:rsidP="00E3576C">
      <w:pPr>
        <w:pStyle w:val="SntesisDescriptiva"/>
      </w:pPr>
    </w:p>
    <w:p w:rsidR="00E3576C" w:rsidRDefault="00E3576C" w:rsidP="00E3576C">
      <w:pPr>
        <w:pStyle w:val="SntesisAnaltica"/>
      </w:pPr>
      <w:r>
        <w:t>Derecho a un proceso con todas las garantías: proceso penal en rebeldía. Inadmisión de recurso de amparo: carencia de justificación de la especial trascendencia constitucional. Orden europea de detención y entrega: entrega del reclamado para cumplimiento de condena en rebeldía.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día 19 de septiembre de 2011, el Procurador de los Tribunales don Manuel Martínez de Lejarza, en nombre y representación don Giuliano Cristian Cojocariu, interpuso demanda de amparo contra el Auto de la Sección Cuarta de la Sala de lo Penal de la Audiencia Nacional, de 14 de septiembre de 2011, dictado en el rollo núm. 199-2011, por el que se acordaba acceder a la entrega del recurrente a las autoridades judiciales de Rumanía en virtud de una orden europea de detención y entrega expedida por el Juzgado de Brasov, para el cumplimiento de las penas de tres años de prisión y un año y seis meses de prisión, por dos delitos de estafa.</w:t>
      </w:r>
    </w:p>
    <w:p w:rsidR="00E3576C" w:rsidRDefault="00E3576C" w:rsidP="00E3576C">
      <w:pPr>
        <w:pStyle w:val="TextoNormal"/>
      </w:pPr>
    </w:p>
    <w:p w:rsidR="00E3576C" w:rsidRDefault="00E3576C" w:rsidP="00E3576C">
      <w:pPr>
        <w:pStyle w:val="TextoNormal"/>
      </w:pPr>
      <w:r>
        <w:t>En el recurso de amparo se denunciaba la vulneración del derecho a un proceso con todas las garantías (art. 24.2 CE), dado que la Audiencia Nacional no condicionó la entrega del recurrente a Rumanía a la exigencia de revisión de la Sentencia condenatoria dictada en ausencia.</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17 de octubre de 2011 la Sección Cuarta de este Tribunal decidió inadmitir el recurso de amparo, por entender que el recurrente no había satisfecho la carga consistente en justificar la especial trascendencia constitucional del recurso (art. 49.1 de la Ley Orgánica del Tribunal Constitucional: LOTC, en la redacción dada al mismo por la Ley Orgánica 6/2007, de 24 de mayo), que es algo más y distinto a la mera afirmación de que el propio derecho fundamental ha sido vulnerado.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Mediante escrito registrado en este Tribunal el día 22 de noviembre de 2011, el Fiscal ante el Tribunal Constitucional interpuso recurso de súplica contra la providencia de 17 de octubre de 2011, argumentando que en su opinión dicha carga se ha cumplido, pues en el segundo de los fundamentos contenidos en el escrito de demanda, y aunque bajo el genérico </w:t>
      </w:r>
      <w:r>
        <w:lastRenderedPageBreak/>
        <w:t>título “Fondo del asunto-Motivos del recurso”, existe algo más que una mera reiteración de la supuesta lesión de derechos fundamentales. Añade el Fiscal que la demanda “se refiere a la relevante cuestión de la posibilidad de condicionamiento de la entrega de un reclamado por las autoridades judiciales de otro país para cumplimiento cuando la condena se ha dictado en rebeldía” y sobre dicha materia el Tribunal Constitucional ha planteado la cuestión prejudicial C-399-2011 ante el Tribunal de Justicia de la Unión Europea, pendiente de resolución.</w:t>
      </w:r>
    </w:p>
    <w:p w:rsidR="00E3576C" w:rsidRDefault="00E3576C" w:rsidP="00E3576C">
      <w:pPr>
        <w:pStyle w:val="TextoNormal"/>
      </w:pPr>
    </w:p>
    <w:p w:rsidR="00E3576C" w:rsidRDefault="00E3576C" w:rsidP="00E3576C">
      <w:pPr>
        <w:pStyle w:val="TextoNormal"/>
      </w:pPr>
      <w:r>
        <w:t>En virtud de todo lo cual, solicita el Fiscal que se deje sin efecto la providencia recurrida, resolviéndose lo que proceda.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una diligencia de ordenación de fecha 23 de noviembre de 2011, la Secretaría de Justicia de la Sala Segunda dio traslado del escrito del Ministerio Fiscal a la representación procesal del demandante de amparo, a fin de que en el plazo de tres días pudiera alegar lo que estimase pertinente en relación al recurso de súplica formulado, de conformidad con lo previsto en el art. 93.2 LOTC.</w:t>
      </w:r>
    </w:p>
    <w:p w:rsidR="00E3576C" w:rsidRDefault="00E3576C" w:rsidP="00E3576C">
      <w:pPr>
        <w:pStyle w:val="TextoNormal"/>
      </w:pPr>
    </w:p>
    <w:p w:rsidR="00E3576C" w:rsidRDefault="00E3576C" w:rsidP="00E3576C">
      <w:pPr>
        <w:pStyle w:val="TextoNormal"/>
      </w:pPr>
      <w:r w:rsidRPr="00E3576C">
        <w:rPr>
          <w:rStyle w:val="NumeroAFNegritaCaracter"/>
        </w:rPr>
        <w:t>5</w:t>
      </w:r>
      <w:r>
        <w:t>. El día 30 de noviembre de 2011, la representación procesal del recurrente evacuó dicho trámite, formulando su adhesión a las alegaciones del Ministerio Fiscal e interesando la estimación del recurso de súplica interpuesto por éste y la admisión a trámite del recurso de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Ministerio Fiscal ha recurrido en súplica la providencia de 17 de octubre de 2011 por la que la Sección Cuarta de este Tribunal decidió inadmitir el presente recurso de amparo por no haber satisfecho el recurrente la carga de justificar la especial trascendencia constitucional del recurso prevista en el art. 49.1 de la Ley Orgánica del Tribunal Constitucional (LOTC), en la redacción dada al mismo por la Ley Orgánica 6/2007, de 24 de mayo. Considera el Fiscal que dicha carga ha de entenderse cumplida, puesto que el recurrente se refiere en su demanda a la “relevancia constitucional” de cuestión que plantea en el segundo de los fundamentos contenidos en la demanda.</w:t>
      </w:r>
    </w:p>
    <w:p w:rsidR="00E3576C" w:rsidRDefault="00E3576C" w:rsidP="00E3576C">
      <w:pPr>
        <w:pStyle w:val="TextoNormal"/>
      </w:pPr>
    </w:p>
    <w:p w:rsidR="00E3576C" w:rsidRDefault="00E3576C" w:rsidP="00E3576C">
      <w:pPr>
        <w:pStyle w:val="TextoNormal"/>
      </w:pPr>
      <w:r w:rsidRPr="00E3576C">
        <w:rPr>
          <w:rStyle w:val="NumeroAFNegritaCaracter"/>
        </w:rPr>
        <w:t>2</w:t>
      </w:r>
      <w:r>
        <w:t>. Conforme a lo dispuesto en el art. 50.1 a) LOTC, el recurso de amparo no puede ser admitido a trámite si el recurrente no cumple —además de los restantes requisitos procesales previstos en los arts. 42 a 44 LOTC— la ineludible exigencia impuesta por el art. 49.1 in fine LOTC de justificar en la demanda de amparo la especial trascendencia constitucional del recurso (AATC 188/2008, de 21 de julio, FJ 1; 289/2008 y 290/2008, de 22 de septiembre, FJ 1; en el mismo sentido, SSTC 155/2009, de 25 de junio, FJ 2; 69/2011, de 16 de mayo, FJ 2; y 143/2011, de 26 de septiembre, FJ 2).</w:t>
      </w:r>
    </w:p>
    <w:p w:rsidR="00E3576C" w:rsidRDefault="00E3576C" w:rsidP="00E3576C">
      <w:pPr>
        <w:pStyle w:val="TextoNormal"/>
      </w:pPr>
    </w:p>
    <w:p w:rsidR="00E3576C" w:rsidRDefault="00E3576C" w:rsidP="00E3576C">
      <w:pPr>
        <w:pStyle w:val="TextoNormal"/>
      </w:pPr>
      <w:r>
        <w:t xml:space="preserve">En cuanto al modo en el que se debe dar cumplimiento a dicha exigencia procesal, hemos declarado con reiteración que la carga de justificar la especial trascendencia constitucional del recurso de amparo es algo distinto a razonar acerca de la existencia de la vulneración de un derecho fundamental (SSTC 155/2009, de 25 de junio, FJ 2; 69/2011, de 16 de mayo, FJ 3; y 143/2011, de 26 de septiembre, FJ 2; AATC 188/2008, de 21 de julio, FJ 2; 289/2008, </w:t>
      </w:r>
      <w:r>
        <w:lastRenderedPageBreak/>
        <w:t>de 22 de septiembre, FJ 2; 290/2008, de 22 de septiembre, FJ 2; 96/2010, de 19 de julio, FJ único; y 154/2010, de 15 de noviembre, FJ 4, entre otros muchos) 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(SSTC 17/2011, de 28 de febrero, FJ 2, y 69/2011, de 16 de mayo, FJ 3). A la parte recurrente le es exigible, por tanto, un “esfuerzo argumental” (ATC 154/2010, de 15 de noviembre, FJ 4, y STC 69/2011, de 16 de mayo, FJ 3) que ponga en conexión las vulneraciones constitucionales que alega con el art. 50 1 b) LOTC, precepto en cuya interpretación hemos avanzado en la STC 155/2009, de 25 de junio, FJ 2, identificando sin ánimo exhaustivo determinados supuestos en los que cabe apreciar “especial trascendencia constitucional”, al objeto de facilitar a los recurrentes el cumplimiento de la carga justificativa que impone el art. 49.1 LOTC (STC 69/2011, de 16 de mayo, FJ 3).</w:t>
      </w:r>
    </w:p>
    <w:p w:rsidR="00E3576C" w:rsidRDefault="00E3576C" w:rsidP="00E3576C">
      <w:pPr>
        <w:pStyle w:val="TextoNormal"/>
      </w:pPr>
    </w:p>
    <w:p w:rsidR="00E3576C" w:rsidRDefault="00E3576C" w:rsidP="00E3576C">
      <w:pPr>
        <w:pStyle w:val="TextoNormal"/>
      </w:pPr>
      <w:r w:rsidRPr="00E3576C">
        <w:rPr>
          <w:rStyle w:val="NumeroAFNegritaCaracter"/>
        </w:rPr>
        <w:t>3</w:t>
      </w:r>
      <w:r>
        <w:t>. Pues bien, reexaminada la demanda de amparo, la Sección ratifica su decisión inicial, puesto que en la misma ni formalmente se dedica un apartado a justificar la especial trascendencia constitucional del recurso, requisito que ni siquiera se menciona, ni tampoco materialmente puede concluirse que dicha justificación se haya realizado al hilo de la argumentación de la demanda en su conjunto.</w:t>
      </w:r>
    </w:p>
    <w:p w:rsidR="00E3576C" w:rsidRDefault="00E3576C" w:rsidP="00E3576C">
      <w:pPr>
        <w:pStyle w:val="TextoNormal"/>
      </w:pPr>
    </w:p>
    <w:p w:rsidR="00E3576C" w:rsidRDefault="00E3576C" w:rsidP="00E3576C">
      <w:pPr>
        <w:pStyle w:val="TextoNormal"/>
      </w:pPr>
      <w:r>
        <w:t>En el segundo de los fundamentos contenidos en escrito de demanda, al que hace referencia el Ministerio Fiscal, bajo la rúbrica “Fondo del asunto-Motivos del recurso” se realiza una genérica mención a que “la relevancia constitucional de la decisión de acceder a la entrega para el cumplimiento de condenas graves dictadas en ausencia del reclamando ha sido declarada en reiteradas ocasiones por el Tribunal Constitucional”, tanto en procedimientos de extradición como en el nuevo sistema de orden europea de detención y entrega, citando a continuación la STC 91/2000, de 30 de marzo, y otra serie de Sentencias posteriores. Ahora bien, con dicha argumentación, el recurrente no trasciende de la mera justificación de la existencia de la lesión subjetiva que denuncia, sobre la base de la jurisprudencia que se invoca, lo que como señalamos en la providencia recurrida es manifiestamente insuficiente para entender justificada la especial trascendencia constitucional del recurso, pues ésta ha de ser algo más que razonar sobre la existencia de la lesión. No existe en la demanda esfuerzo argumental alguno dirigido a justificar una proyección objetiva del amparo solicitado o a poner de manifiesto las razones por las que el contenido del recurso justifica una decisión sobre el fondo en atención a su importancia para la interpretación, aplicación o general eficacia de la Constitución o para la determinación del contenido y alcance del derecho fundamental que se alega en la demanda.</w:t>
      </w:r>
    </w:p>
    <w:p w:rsidR="00E3576C" w:rsidRDefault="00E3576C" w:rsidP="00E3576C">
      <w:pPr>
        <w:pStyle w:val="TextoNormal"/>
      </w:pPr>
    </w:p>
    <w:p w:rsidR="00E3576C" w:rsidRDefault="00E3576C" w:rsidP="00E3576C">
      <w:pPr>
        <w:pStyle w:val="TextoNormal"/>
      </w:pPr>
      <w:r w:rsidRPr="00E3576C">
        <w:rPr>
          <w:rStyle w:val="NumeroAFNegritaCaracter"/>
        </w:rPr>
        <w:t>4</w:t>
      </w:r>
      <w:r>
        <w:t>. Por otra parte, y con independencia del incumplimiento del requisito de la justificación de la especial trascendencia constitucional, hemos de poner de manifiesto que la demanda incurriría en todo caso en otra causa de inadmisión, dado que el recurrente no ha agotado todos los medios de impugnación previstos dentro de la vía judicial ordinaria, tal y como exige el art. 44.1 a) LOTC, en relación con el art. 241 de la Ley Orgánica del Poder Judicial (LOPJ).</w:t>
      </w:r>
    </w:p>
    <w:p w:rsidR="00E3576C" w:rsidRDefault="00E3576C" w:rsidP="00E3576C">
      <w:pPr>
        <w:pStyle w:val="TextoNormal"/>
      </w:pPr>
    </w:p>
    <w:p w:rsidR="00E3576C" w:rsidRDefault="00E3576C" w:rsidP="00E3576C">
      <w:pPr>
        <w:pStyle w:val="TextoNormal"/>
      </w:pPr>
      <w:r>
        <w:t xml:space="preserve">En efecto, el recurso de amparo se interpone directamente contra el Auto de la Sección Cuarta de la Sala de lo Penal de la Audiencia Nacional, de 14 de septiembre de 2011, por el </w:t>
      </w:r>
      <w:r>
        <w:lastRenderedPageBreak/>
        <w:t>que se acordaba acceder a la entrega del recurrente a las autoridades judiciales de Rumanía en virtud de una orden europea de detención y entrega. Dado que ésta es la resolución judicial que ponía fin al proceso y a la que se imputa la vulneración del derecho a un proceso con todas las garantías (art. 24.2 CE), el correcto agotamiento de la vía judicial previa al amparo exigía la interposición del incidente nulidad de actuaciones previsto en el art. 241.1 LOPJ, en la redacción dada al mismo por la Ley Orgánica 6/2007, de 24 de mayo. Nueva regulación ampliada del incidente de nulidad de actuaciones a través de la cual se refuerza el protagonismo que han de asumir los Jueces y Tribunales ordinarios como guardianes naturales y primeros de los derechos fundamentales y el carácter subsidiario del recurso de amparo (SSTC 155/2009, de 25 de junio, FJ 2, y 43/2010, de 26 de julio, FJ 5).</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y, en consecuencia, confirmar en su integridad la providencia de 17 de octubre de 2011.</w:t>
      </w:r>
    </w:p>
    <w:p w:rsidR="00E3576C" w:rsidRDefault="00E3576C" w:rsidP="00E3576C">
      <w:pPr>
        <w:pStyle w:val="TextoNormal"/>
      </w:pPr>
    </w:p>
    <w:p w:rsidR="00E3576C" w:rsidRDefault="00E3576C" w:rsidP="00E3576C">
      <w:pPr>
        <w:pStyle w:val="TextoNormal"/>
      </w:pPr>
      <w:r>
        <w:t>Madrid, a veintiséis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3" w:name="AUTO_2012_12"/>
      <w:r>
        <w:lastRenderedPageBreak/>
        <w:t>AUTO 12/2012, de 30 de enero de 2012</w:t>
      </w:r>
    </w:p>
    <w:bookmarkEnd w:id="153"/>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ECLI:ES:TC:2012:12A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suspensión parcial en el recurso de amparo 1714-2009, promovido por don Francisco Real Granado.</w:t>
      </w:r>
    </w:p>
    <w:p w:rsidR="00E3576C" w:rsidRDefault="00E3576C" w:rsidP="00E3576C">
      <w:pPr>
        <w:pStyle w:val="SntesisDescriptiva"/>
      </w:pPr>
    </w:p>
    <w:p w:rsidR="00E3576C" w:rsidRDefault="00E3576C" w:rsidP="00E3576C">
      <w:pPr>
        <w:pStyle w:val="SntesisAnaltica"/>
      </w:pPr>
      <w:r>
        <w:t>Penas privativas de libertad: suspensión condicional de la pena. Suspensión cautelar de Sentencias penales: pena de alejamiento, no suspende. Suspensión de la ejecución del acto que origina el amparo: suspensión cautelar de Sentencias penales , suspende con condición.</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fecha 24 de febrero de 2009 se presentó por la representación procesal de don Francisco Real Granado recurso de amparo, por vulneración del derecho a un proceso con todas las garantías (art. 24.2 CE), y correlativamente de los derechos fundamentales a la tutela judicial efectiva e interdicción de la indefensión (art. 24.1 CE) y a la presunción de inocencia (art. 24.2 CE), contra la Sentencia 407/2008, de 24 de noviembre, de la Sección Tercera de la Audiencia Provincial de Cádiz que, estimando parcialmente el recurso de apelación de la acusación particular contra la Sentencia 297/2007, de 29 de octubre, del Juzgado de lo Penal núm. 4 de Cádiz, condena al recurrente como autor de los delitos de maltrato familiar ex art. 153 del Código penal (CP) (“el acusado para hacerla desistir de su propósito la agarró por el brazo con violencia y se lo retorció”) y de coacciones a su esposa ex art. 172.2 CP (“con la finalidad de incomodarla … mandó cambiar la cerradura de la puerta de comunicación interior de la vivienda con el garaje”), imponiéndole dos penas privativas de libertad de nueve meses de prisión, dos penas de privación del derecho de tenencia y porte de armas por tiempo de un año y un día, y dos penas de prohibición de aproximación y comunicación con la víctima por tiempo de un año y nueve meses, así como al pago de las costas causadas en la primera instancia.</w:t>
      </w:r>
    </w:p>
    <w:p w:rsidR="00E3576C" w:rsidRDefault="00E3576C" w:rsidP="00E3576C">
      <w:pPr>
        <w:pStyle w:val="TextoNormal"/>
      </w:pPr>
    </w:p>
    <w:p w:rsidR="00E3576C" w:rsidRDefault="00E3576C" w:rsidP="00E3576C">
      <w:pPr>
        <w:pStyle w:val="TextoNormal"/>
      </w:pPr>
      <w:r>
        <w:t>En la demanda, tras exponer los antecedentes fácticos y procesales, considera el recurrente que se ha lesionado su derecho a un proceso público con todas las garantías por la condena en segunda instancia, dado que el tribunal de apelación revisa los hechos probados sin practicar al efecto más prueba que una documental consistente en un informe médico de uno de los testigos, y fundando la condena en una nueva y distinta valoración de las pruebas personales practicadas en la primera instancia.</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2</w:t>
      </w:r>
      <w:r>
        <w:t>. El recurrente, mediante otrosí digo de la demanda de amparo, solicita “la suspensión de la ejecución de la sentencia de condena”.</w:t>
      </w:r>
    </w:p>
    <w:p w:rsidR="00E3576C" w:rsidRDefault="00E3576C" w:rsidP="00E3576C">
      <w:pPr>
        <w:pStyle w:val="TextoNormal"/>
      </w:pPr>
    </w:p>
    <w:p w:rsidR="00E3576C" w:rsidRDefault="00E3576C" w:rsidP="00E3576C">
      <w:pPr>
        <w:pStyle w:val="TextoNormal"/>
      </w:pPr>
      <w:r w:rsidRPr="00E3576C">
        <w:rPr>
          <w:rStyle w:val="NumeroAFNegritaCaracter"/>
        </w:rPr>
        <w:t>3</w:t>
      </w:r>
      <w:r>
        <w:t>. En sendas providencias de la Sala Segunda del Tribunal Constitucional de 12 de diciembre de 2011 se acordó admitir a trámite la demanda presentada por el señor Real y formar pieza separada sobre el incidente de suspensión, dando traslado por término de tres días a la recurrente y al Ministerio Fiscal para alegaciones.</w:t>
      </w:r>
    </w:p>
    <w:p w:rsidR="00E3576C" w:rsidRDefault="00E3576C" w:rsidP="00E3576C">
      <w:pPr>
        <w:pStyle w:val="TextoNormal"/>
      </w:pPr>
    </w:p>
    <w:p w:rsidR="00E3576C" w:rsidRDefault="00E3576C" w:rsidP="00E3576C">
      <w:pPr>
        <w:pStyle w:val="TextoNormal"/>
      </w:pPr>
      <w:r w:rsidRPr="00E3576C">
        <w:rPr>
          <w:rStyle w:val="NumeroAFNegritaCaracter"/>
        </w:rPr>
        <w:t>4</w:t>
      </w:r>
      <w:r>
        <w:t>. En escrito registrado el 20 de diciembre de 2011 el Fiscal ante el Tribunal Constitucional interesa la suspensión de las penas privativas de libertad, pues al ser de corta duración (18 meses en total) probablemente se cumplan durante la tramitación del presente recurso de amparo haciendo ilusorio el recurso. Por el contrario, considera que no deben ser suspendidas el resto de penas, de un lado porque el recurrente no ha alegado el carácter irreparable del perjuicio que le supondría la concesión de la medida cautelar, y de otro porque dichas penas tienen por objeto proteger tanto la integridad física de la víctima como el interés general en la seguridad. En fin, a juicio del Fiscal, el pago de las costas causadas en la primera instancia, dado su contenido meramente económico, tampoco debe ser suspendido.</w:t>
      </w:r>
    </w:p>
    <w:p w:rsidR="00E3576C" w:rsidRDefault="00E3576C" w:rsidP="00E3576C">
      <w:pPr>
        <w:pStyle w:val="TextoNormal"/>
      </w:pPr>
    </w:p>
    <w:p w:rsidR="00E3576C" w:rsidRDefault="00E3576C" w:rsidP="00E3576C">
      <w:pPr>
        <w:pStyle w:val="TextoNormal"/>
      </w:pPr>
      <w:r w:rsidRPr="00E3576C">
        <w:rPr>
          <w:rStyle w:val="NumeroAFNegritaCaracter"/>
        </w:rPr>
        <w:t>5</w:t>
      </w:r>
      <w:r>
        <w:t>. Las alegaciones de la representación procesal del señor Real, registradas el 20 de diciembre de 2011, se limitan a argumentar a favor de la suspensión de las dos penas privativas de libertad de nueve meses de prisión y concluyen suplicando que “se tenga por solicitada la suspensión de la ejecución de la pena de prisión impuesta a mi representado en la sentencia de 24 de noviembre de 2008 dictada por la Sección Tercera de la Audiencia Provincial de Cádiz”. En este sentido, se afirma que “puesto que estamos ante una pena de corta duración, que con toda seguridad ya se habrá cumplido al dictarse la sentencia de amparo si no se adopta la medida cautelar … ha de concluirse que no suspender su ejecución ocasionaría un perjuicio irreparable, que privaría en parte, incluso en todo, de eficacia a un eventual fallo estimatorio. … Por otra parte, la propia duración de la pena y el pleno cumplimiento de sus obligaciones por mi representado a lo largo de todo el curso del proceso, hacen inapreciable el riesgo de fuga”.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w:t>
      </w:r>
      <w:r>
        <w:lastRenderedPageBreak/>
        <w:t>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E3576C" w:rsidRDefault="00E3576C" w:rsidP="00E3576C">
      <w:pPr>
        <w:pStyle w:val="TextoNormal"/>
      </w:pPr>
      <w:r>
        <w:t>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 No obstante, este criterio no es absoluto,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E3576C" w:rsidRDefault="00E3576C" w:rsidP="00E3576C">
      <w:pPr>
        <w:pStyle w:val="TextoNormal"/>
      </w:pPr>
    </w:p>
    <w:p w:rsidR="00E3576C" w:rsidRDefault="00E3576C" w:rsidP="00E3576C">
      <w:pPr>
        <w:pStyle w:val="TextoNormal"/>
      </w:pPr>
      <w:r>
        <w:t>Refiriéndonos en particular a delitos de análoga naturaleza a aquellos por los que fue condenado el recurrente, aunque en los AATC 53/2003 y 16/2008 se denegó la suspensión de la pena privativa de libertad por entender que en los supuestos considerados estaba presente un riesgo para la víctima, en otros casos la doctrina constitucional ha aplicado reiteradamente la regla general expuesta más arriba y atendiendo a las circunstancias del caso ha concedido las suspensiones solicitadas (AATC 111/2008, de 14 de abril; 167/2008, de 23 de junio, y 25/2009, de 26 de enero).</w:t>
      </w:r>
    </w:p>
    <w:p w:rsidR="00E3576C" w:rsidRDefault="00E3576C" w:rsidP="00E3576C">
      <w:pPr>
        <w:pStyle w:val="TextoNormal"/>
      </w:pPr>
    </w:p>
    <w:p w:rsidR="00E3576C" w:rsidRDefault="00E3576C" w:rsidP="00E3576C">
      <w:pPr>
        <w:pStyle w:val="TextoNormal"/>
      </w:pPr>
      <w:r>
        <w:t>Por otra parte, también es doctrina de este Tribunal la improcedencia de la suspensión de las resoluciones judiciales con efectos meramente patrimoniales o económicos, al no derivarse de las mismas perjuicios irreparables y por lo mismo no ocasionar que el recurso de amparo pueda perder su finalidad, por más que su ejecución pueda producir efectos desfavorables a quien demanda el amparo, de los que se podrá resarcir, en caso de estimarse, mediante la restitución íntegra de lo ejecutado (por todos AATC 53/2009, de 23 de febrero, FJ 3; y 171/2009, de 1 de junio, FJ 3).</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Expuesta esta doctrina general hemos de examinar las circunstancias particulares del presente caso, en que se solicita por el demandante de amparo la suspensión respecto de los pronunciamientos condenatorios de la Sentencia recurrida, si bien de la lectura tanto de la </w:t>
      </w:r>
      <w:r>
        <w:lastRenderedPageBreak/>
        <w:t>demanda de amparo como del posterior escrito presentado en la pieza del incidente de suspensión parece ceñir su petición a las penas privativas de libertad que ascienden en total a dieciocho meses. En cualquier caso, resulta procedente responder al conjunto de los pronunciamientos de la Sentencia impugnada.</w:t>
      </w:r>
    </w:p>
    <w:p w:rsidR="00E3576C" w:rsidRDefault="00E3576C" w:rsidP="00E3576C">
      <w:pPr>
        <w:pStyle w:val="TextoNormal"/>
      </w:pPr>
    </w:p>
    <w:p w:rsidR="00E3576C" w:rsidRDefault="00E3576C" w:rsidP="00E3576C">
      <w:pPr>
        <w:pStyle w:val="TextoNormal"/>
      </w:pPr>
      <w:r w:rsidRPr="00E3576C">
        <w:rPr>
          <w:rStyle w:val="NumeroAFNegritaCaracter"/>
        </w:rPr>
        <w:t>3</w:t>
      </w:r>
      <w:r>
        <w:t>. Respecto de las dos penas privativas de libertad de nueve meses cada una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de 9 de marzo; 179/1984, de 21 de marzo; 574/1985, de 7 de agosto; 301/1995, de 6 de noviembre; 321/1995, de 7 de diciembre; 152/1996, de 10 de junio; 163/1996, de 24 de junio y otros muchos), particularmente en un caso como éste en que es previsible que hasta la resolución de este recurso transcurra una parte importante o incluso la totalidad de los dieciocho meses a que ascienden las penas privativas de libertad impuestas. En este caso, además, la naturaleza de los hechos y la entidad de la pena, que son índices objetivos tanto de la magnitud del interés general en su ejecución como del especial peligro de nueva agresión que puede afectar a la víctima, aconsejan también acordar la suspensión. En su virtud procede, en consonancia con lo solicitado por el Ministerio Fiscal, estimar la pretensión de suspensión de la Sentencia en cuanto al cumplimiento de las citadas penas privativas de libertad impuestas al recurrente.</w:t>
      </w:r>
    </w:p>
    <w:p w:rsidR="00E3576C" w:rsidRDefault="00E3576C" w:rsidP="00E3576C">
      <w:pPr>
        <w:pStyle w:val="TextoNormal"/>
      </w:pPr>
    </w:p>
    <w:p w:rsidR="00E3576C" w:rsidRDefault="00E3576C" w:rsidP="00E3576C">
      <w:pPr>
        <w:pStyle w:val="TextoNormal"/>
      </w:pPr>
      <w:r w:rsidRPr="00E3576C">
        <w:rPr>
          <w:rStyle w:val="NumeroAFNegritaCaracter"/>
        </w:rPr>
        <w:t>4</w:t>
      </w:r>
      <w:r>
        <w:t>. En cuanto a la prohibición de aproximación, comunicación o acercamiento a su ex esposa, y a la privación del derecho y porte de armas, debe matizarse el criterio antes expuesto de irreparabilidad del perjuicio derivado de la pérdida o restricción de libertad, no sólo porque en este caso no tiene el mismo alcance que la pena de prisión, sino también atendiendo al bien jurídico protegido de evitar la posible desprotección de las víctimas, circunstancias que han sido tomadas en cuenta por este Tribunal para atemperar aquél criterio (AATC 53/2003, de 10 de febrero; 247/2003, de 14 de julio, y 4/2005, de 17 de enero). Así, en el citado ATC 53/2003, hemos fundado tal conclusión en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Por tanto no procede la estimación de la suspensión de la pena de alejamiento, ni de la prohibición de tenencia de armas, a la que pueden hacerse extensivos los anteriores razonamientos.</w:t>
      </w:r>
    </w:p>
    <w:p w:rsidR="00E3576C" w:rsidRDefault="00E3576C" w:rsidP="00E3576C">
      <w:pPr>
        <w:pStyle w:val="TextoNormal"/>
      </w:pPr>
    </w:p>
    <w:p w:rsidR="00E3576C" w:rsidRDefault="00E3576C" w:rsidP="00E3576C">
      <w:pPr>
        <w:pStyle w:val="TextoNormal"/>
      </w:pPr>
      <w:r w:rsidRPr="00E3576C">
        <w:rPr>
          <w:rStyle w:val="NumeroAFNegritaCaracter"/>
        </w:rPr>
        <w:t>5</w:t>
      </w:r>
      <w:r>
        <w:t>. Por último, en relación con la indemnización civil,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y 574/1985, de 7 de agosto; 275/1990, de 2 de julio; 287/1997, de 21 de julio; 185/1998, de 14 de septiembre; 106/2002, de 17 de junio y 119/2003, de 9 de abril, entre otros muchos).</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Conceder la suspensión solicitada en lo que se refiere a las dos penas privativas de libertad de nueve meses de prisión impuestas al recurrente en la sentencia de 24 de noviembre de 2008 dictada por la Sección Tercera de la Audiencia Provincial de Cádiz.</w:t>
      </w:r>
    </w:p>
    <w:p w:rsidR="00E3576C" w:rsidRDefault="00E3576C" w:rsidP="00E3576C">
      <w:pPr>
        <w:pStyle w:val="TextoNormal"/>
      </w:pPr>
    </w:p>
    <w:p w:rsidR="00E3576C" w:rsidRDefault="00E3576C" w:rsidP="00E3576C">
      <w:pPr>
        <w:pStyle w:val="TextoNormal"/>
      </w:pPr>
      <w:r>
        <w:t>2º Denegar la suspensión de los restantes pronunciamientos.</w:t>
      </w:r>
    </w:p>
    <w:p w:rsidR="00E3576C" w:rsidRDefault="00E3576C" w:rsidP="00E3576C">
      <w:pPr>
        <w:pStyle w:val="TextoNormal"/>
      </w:pPr>
    </w:p>
    <w:p w:rsidR="00E3576C" w:rsidRDefault="00E3576C" w:rsidP="00E3576C">
      <w:pPr>
        <w:pStyle w:val="TextoNormal"/>
      </w:pPr>
      <w:r>
        <w:t>Madrid, a treinta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4" w:name="AUTO_2012_13"/>
      <w:r>
        <w:lastRenderedPageBreak/>
        <w:t>AUTO 13/2012, de 30 de enero de 2012</w:t>
      </w:r>
    </w:p>
    <w:bookmarkEnd w:id="154"/>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ECLI:ES:TC:2012:13A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Acuerda la acumulación del recurso de amparo 9173-2009 al 8879-2009, promovidos ambos en procedimiento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55" w:name="AUTO_2012_14"/>
      <w:r>
        <w:lastRenderedPageBreak/>
        <w:t>AUTO 14/2012, de 30 de enero de 2012</w:t>
      </w:r>
    </w:p>
    <w:bookmarkEnd w:id="155"/>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ECLI:ES:TC:2012:14A</w:t>
      </w:r>
    </w:p>
    <w:p w:rsidR="00E3576C" w:rsidRDefault="00E3576C" w:rsidP="00E3576C">
      <w:pPr>
        <w:pStyle w:val="SntesisDescriptiva"/>
      </w:pPr>
    </w:p>
    <w:p w:rsidR="00E3576C" w:rsidRDefault="00E3576C" w:rsidP="00E3576C">
      <w:pPr>
        <w:pStyle w:val="SntesisDescriptiva"/>
      </w:pPr>
      <w:r>
        <w:t>Excms. Srs. don Pascual Sala Sánchez,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Acepta una abstención en el recurso de amparo 167-2010, promovido por don José Luis Mazón Cuesta.</w:t>
      </w:r>
    </w:p>
    <w:p w:rsidR="00E3576C" w:rsidRDefault="00E3576C" w:rsidP="00E3576C">
      <w:pPr>
        <w:pStyle w:val="SntesisDescriptiva"/>
      </w:pPr>
    </w:p>
    <w:p w:rsidR="00E3576C" w:rsidRDefault="00E3576C" w:rsidP="00E3576C">
      <w:pPr>
        <w:pStyle w:val="SntesisAnaltica"/>
      </w:pPr>
      <w:r>
        <w:t>Abstención de Magistrados del Tribunal Constitucional, acepta.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12 de enero de 2010, don José Luis Mazón Costa interpuso demanda de amparo contra el Auto del Juzgado de Primera Instancia núm. 4 de Vic de 16 de noviembre de 2009, dictado en el juicio ordinario 492-2009.</w:t>
      </w:r>
    </w:p>
    <w:p w:rsidR="00E3576C" w:rsidRDefault="00E3576C" w:rsidP="00E3576C">
      <w:pPr>
        <w:pStyle w:val="TextoNormal"/>
      </w:pPr>
    </w:p>
    <w:p w:rsidR="00E3576C" w:rsidRDefault="00E3576C" w:rsidP="00E3576C">
      <w:pPr>
        <w:pStyle w:val="TextoNormal"/>
      </w:pPr>
      <w:r w:rsidRPr="00E3576C">
        <w:rPr>
          <w:rStyle w:val="NumeroAFNegritaCaracter"/>
        </w:rPr>
        <w:t>2</w:t>
      </w:r>
      <w:r>
        <w:t>. De conformidad con el acuerdo de 24 de enero de 2011, del Pleno del Tribunal Constitucional, por el que se dispone la composición de las Salas y Secciones del Tribunal Constitucional (“Boletín Oficial del Estado” de 25 de enero de 2011), a partir de la referida fecha la Sección Segunda, está integrada por los Magistrados don Javier Delgado Barrio y don Pablo Pérez Tremps (art.1.3).</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escrito de fecha 11 de enero de 2012, el Magistrado don Javier Delgado Barrio comunicó su voluntad de abstenerse de intervenir en el recuso de amparo núm. 167-2010 por entender que concurre en su persona la causa prevista en el art. 219.8 de la Ley Orgánica del Poder Judicial, habida cuenta de que es demandante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don Javier Delgado Barrio.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Vista la comunicación efectuada por el Magistrado don Javier Delgado Barrio, en virtud de lo previsto en los arts. 80 de la Ley Orgánica del Tribunal Constitucional y 219.8 de la Ley Orgánica del Poder Judicial, se estima justificada la causa de abstención formulada, al igual que se ha apreciado en ocasión anterior sobre asunto similar (ATC 14/2010, de 27 de enero), puesto que es demandante en el recurso de amparo núm. 1091-2004, interpuesto contra la Sentencia de la Sala de lo Civil del Tribunal Supremo de 23 de </w:t>
      </w:r>
      <w:r>
        <w:lastRenderedPageBreak/>
        <w:t>enero de 2004, que estimó la demanda de responsabilidad civil formulada por don José Luis Mazón Costa contra once Magistrados del Tribunal Constitucional, entre ellos don Javier Delgado Barrio.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Estimar la causa de abstención formulada por el Magistrado don Javier Delgado Barrio en el recurso de amparo núm. 167-2010, apartándolo definitivamente del conocimiento del referido recurso y de todas sus incidencias.</w:t>
      </w:r>
    </w:p>
    <w:p w:rsidR="00E3576C" w:rsidRDefault="00E3576C" w:rsidP="00E3576C">
      <w:pPr>
        <w:pStyle w:val="TextoNormal"/>
      </w:pPr>
    </w:p>
    <w:p w:rsidR="00E3576C" w:rsidRDefault="00E3576C" w:rsidP="00E3576C">
      <w:pPr>
        <w:pStyle w:val="TextoNormal"/>
      </w:pPr>
      <w:r>
        <w:t>Madrid, a treinta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6" w:name="AUTO_2012_15"/>
      <w:r>
        <w:lastRenderedPageBreak/>
        <w:t>AUTO 15/2012, de 30 de enero de 2012</w:t>
      </w:r>
    </w:p>
    <w:bookmarkEnd w:id="156"/>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ECLI:ES:TC:2012:15A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438-2010, promovido por don Joseba Iñaki Urdiain Ziriza.</w:t>
      </w:r>
    </w:p>
    <w:p w:rsidR="00E3576C" w:rsidRDefault="00E3576C" w:rsidP="00E3576C">
      <w:pPr>
        <w:pStyle w:val="SntesisDescriptiva"/>
      </w:pPr>
    </w:p>
    <w:p w:rsidR="00E3576C" w:rsidRDefault="00E3576C" w:rsidP="00E3576C">
      <w:pPr>
        <w:pStyle w:val="SntesisAnaltica"/>
      </w:pPr>
      <w:r>
        <w:t>Intangibilidad de las resoluciones judiciales: firmeza de las resoluciones judiciales. Régimen penitenciario: licenciamiento definitivo por cumplimiento de la pena.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19 de enero de 2010, el Procurador de los Tribunales don Javier Cuevas Rivas, en nombre y representación de don Joseba Iñaki Urdiain Ziriza, interpuso recurso de amparo contra la providencia de 3 de noviembre de 2009, dictada por la Sección Tercera de la Sala de lo Penal de la Audiencia Nacional, en la ejecutoria núm. 30-1996, dimanante del sumario núm. 1-1985 procedente del Juzgado Central de Instrucción núm. 5, por el que se aprueba la fecha de licenciamiento definitivo del recurrente, y contra el Auto de 1 de diciembre de 2009 de la misma Sala, que desestima el recurso de súplica interpuesto y confirma la providencia anterior.</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Sucintamente expuestos, los hechos relevantes para resolver la pretensión suspensiva son los siguientes: </w:t>
      </w:r>
    </w:p>
    <w:p w:rsidR="00E3576C" w:rsidRDefault="00E3576C" w:rsidP="00E3576C">
      <w:pPr>
        <w:pStyle w:val="TextoNormal"/>
      </w:pPr>
    </w:p>
    <w:p w:rsidR="00E3576C" w:rsidRDefault="00E3576C" w:rsidP="00E3576C">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E3576C" w:rsidRDefault="00E3576C" w:rsidP="00E3576C">
      <w:pPr>
        <w:pStyle w:val="TextoNormal"/>
      </w:pPr>
    </w:p>
    <w:p w:rsidR="00E3576C" w:rsidRDefault="00E3576C" w:rsidP="00E3576C">
      <w:pPr>
        <w:pStyle w:val="TextoNormal"/>
      </w:pPr>
      <w:r>
        <w:t>b) El 3 de noviembre de 2009, la Sección Tercera de la Sala de lo Penal de la Audiencia Nacional dictó providencia aprobando el licenciamiento definitivo del penado para el día 4 de abril de 2019.</w:t>
      </w:r>
    </w:p>
    <w:p w:rsidR="00E3576C" w:rsidRDefault="00E3576C" w:rsidP="00E3576C">
      <w:pPr>
        <w:pStyle w:val="TextoNormal"/>
      </w:pPr>
      <w:r>
        <w:t xml:space="preserve"> </w:t>
      </w:r>
    </w:p>
    <w:p w:rsidR="00E3576C" w:rsidRDefault="00E3576C" w:rsidP="00E3576C">
      <w:pPr>
        <w:pStyle w:val="TextoNormal"/>
      </w:pPr>
      <w:r>
        <w:t xml:space="preserve">c) Contra dicha providencia interpuso el demandante recurso de súplica, que fue desestimado por Auto de 1 de diciembre de 2009 que, del mismo modo que la providencia impugnada, se sustenta en el criterio iniciado por la Sala de lo Penal del Tribunal Supremo con la Sentencia 197/2006, de 28 de febrero, con arreglo al cual el beneficio de redención de </w:t>
      </w:r>
      <w:r>
        <w:lastRenderedPageBreak/>
        <w:t>penas por el trabajo consagrado en el art. 100 del Código penal de 1973 ha de aplicarse, no a ese máximo de cumplimiento de treinta años, sino a cada una de las penas impuestas en las diversas causas.</w:t>
      </w:r>
    </w:p>
    <w:p w:rsidR="00E3576C" w:rsidRDefault="00E3576C" w:rsidP="00E3576C">
      <w:pPr>
        <w:pStyle w:val="TextoNormal"/>
      </w:pPr>
    </w:p>
    <w:p w:rsidR="00E3576C" w:rsidRDefault="00E3576C" w:rsidP="00E3576C">
      <w:pPr>
        <w:pStyle w:val="TextoNormal"/>
      </w:pPr>
      <w:r w:rsidRPr="00E3576C">
        <w:rPr>
          <w:rStyle w:val="NumeroAFNegritaCaracter"/>
        </w:rPr>
        <w:t>3</w:t>
      </w:r>
      <w:r>
        <w:t>. En la demanda de amparo se alega que las resoluciones judiciales impugnadas han vulnerado los derechos a la igualdad (art. 14. CE), a la libertad (art. 17.1 CE), a la tutela judicial efectiva (art. 24.1 CE), así como los principios de seguridad jurídica e irretroactividad (art. 9.3 CE), y al principio de que las penas privativas de libertad han de estar orientadas hacia la reeducación y reinserción social (art. 25.2 CE).</w:t>
      </w:r>
    </w:p>
    <w:p w:rsidR="00E3576C" w:rsidRDefault="00E3576C" w:rsidP="00E3576C">
      <w:pPr>
        <w:pStyle w:val="TextoNormal"/>
      </w:pPr>
    </w:p>
    <w:p w:rsidR="00E3576C" w:rsidRDefault="00E3576C" w:rsidP="00E3576C">
      <w:pPr>
        <w:pStyle w:val="TextoNormal"/>
      </w:pPr>
      <w:r>
        <w:t>En otrosí, el recurrente solicitaba la suspensión de la ejecución de las resoluciones impugnadas.</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E3576C" w:rsidRDefault="00E3576C" w:rsidP="00E3576C">
      <w:pPr>
        <w:pStyle w:val="TextoNormal"/>
      </w:pPr>
    </w:p>
    <w:p w:rsidR="00E3576C" w:rsidRDefault="00E3576C" w:rsidP="00E3576C">
      <w:pPr>
        <w:pStyle w:val="TextoNormal"/>
      </w:pPr>
      <w:r>
        <w:t>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5</w:t>
      </w:r>
      <w:r>
        <w:t>. La representación procesal del demandante de amparo evacuó el citado trámite a través de un escrito presentado en el Registro General de este Tribunal el 4 de mayo de 2011, en el que reiteró su solicitud.</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00E3576C" w:rsidRDefault="00E3576C" w:rsidP="00E3576C">
      <w:pPr>
        <w:pStyle w:val="TextoNormal"/>
      </w:pPr>
    </w:p>
    <w:p w:rsidR="00E3576C" w:rsidRDefault="00E3576C" w:rsidP="00E3576C">
      <w:pPr>
        <w:pStyle w:val="TextoNormal"/>
      </w:pPr>
      <w:r w:rsidRPr="00E3576C">
        <w:rPr>
          <w:rStyle w:val="NumeroAFNegritaCaracter"/>
        </w:rPr>
        <w:t>7</w:t>
      </w:r>
      <w:r>
        <w:t>. En escrito de fecha 1 de diciembre de 2011, el Procurador don Javier Cuevas Rivas, reiteró la petición de suspensión, en su día solicitada.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w:t>
      </w:r>
      <w:r>
        <w:lastRenderedPageBreak/>
        <w:t>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rsidRPr="00E3576C">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E3576C" w:rsidRDefault="00E3576C" w:rsidP="00E3576C">
      <w:pPr>
        <w:pStyle w:val="TextoNormal"/>
      </w:pPr>
    </w:p>
    <w:p w:rsidR="00E3576C" w:rsidRDefault="00E3576C" w:rsidP="00E3576C">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Conforme ha quedado expuesto, el recurrente en amparo impugna la providencia de la Sección Tercera de la Sala de lo Penal de la Audiencia Nacional de 3 de noviembre de 2009 así como el Auto de 1 de diciembre de 2009 desestimó el recurso de súplica presentado y confirmó la providencia. De modo que las resoluciones judiciales recurridas en amparo </w:t>
      </w:r>
      <w:r>
        <w:lastRenderedPageBreak/>
        <w:t>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00E3576C" w:rsidRDefault="00E3576C" w:rsidP="00E3576C">
      <w:pPr>
        <w:pStyle w:val="TextoNormal"/>
      </w:pPr>
    </w:p>
    <w:p w:rsidR="00E3576C" w:rsidRDefault="00E3576C" w:rsidP="00E3576C">
      <w:pPr>
        <w:pStyle w:val="TextoNormal"/>
      </w:pPr>
      <w:r>
        <w:t>Por tanto, lo que el recurrente pretende es que este Tribunal acuerde cautelarmente su inmediata puesta en libertad en tanto se resuelva el recurso de amparo y, en consecuencia, se pronuncie sobre si el recurrente habría cumplido ya su condena el día 9 de octubre de 2009 (según sostiene el demandante) o si, en cambio, no la extingue hasta el día 4 de abril de 2019 (como es el criterio de las resoluciones impugnadas), pues lo contrario, añade el recurrente, le produciría un perjuicio irreparable, en el caso de otorgarse finalmente el amparo.</w:t>
      </w:r>
    </w:p>
    <w:p w:rsidR="00E3576C" w:rsidRDefault="00E3576C" w:rsidP="00E3576C">
      <w:pPr>
        <w:pStyle w:val="TextoNormal"/>
      </w:pPr>
    </w:p>
    <w:p w:rsidR="00E3576C" w:rsidRDefault="00E3576C" w:rsidP="00E3576C">
      <w:pPr>
        <w:pStyle w:val="TextoNormal"/>
      </w:pPr>
      <w:r>
        <w:t>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3/2011, de 14 de febrero, FJ único; o 92/2011, de 20 de junio, FJ 3). Ello conduce a la denegación de la suspensión solicitada.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medida cautelar de suspensión solicitada por don Joseba Iñaki Urdiain Ziriza en el recurso de amparo núm. 438-2010.</w:t>
      </w:r>
    </w:p>
    <w:p w:rsidR="00E3576C" w:rsidRDefault="00E3576C" w:rsidP="00E3576C">
      <w:pPr>
        <w:pStyle w:val="TextoNormal"/>
      </w:pPr>
    </w:p>
    <w:p w:rsidR="00E3576C" w:rsidRDefault="00E3576C" w:rsidP="00E3576C">
      <w:pPr>
        <w:pStyle w:val="TextoNormal"/>
      </w:pPr>
      <w:r>
        <w:t>Madrid, a treinta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7" w:name="AUTO_2012_16"/>
      <w:r>
        <w:lastRenderedPageBreak/>
        <w:t>AUTO 16/2012, de 30 de enero de 2012</w:t>
      </w:r>
    </w:p>
    <w:bookmarkEnd w:id="157"/>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ECLI:ES:TC:2012:16A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2271-2011, promovido por don Francisco Fuster González de la Riva y don Joaquín María Fuster González de la Riva.</w:t>
      </w:r>
    </w:p>
    <w:p w:rsidR="00E3576C" w:rsidRDefault="00E3576C" w:rsidP="00E3576C">
      <w:pPr>
        <w:pStyle w:val="SntesisDescriptiva"/>
      </w:pPr>
    </w:p>
    <w:p w:rsidR="00E3576C" w:rsidRDefault="00E3576C" w:rsidP="00E3576C">
      <w:pPr>
        <w:pStyle w:val="SntesisAnaltica"/>
      </w:pPr>
      <w:r>
        <w:t>Sentencia de amparo: condena en costas procesales en el recurso de amparo. Suspensión cautelar de Sentencias penales: costas procesales,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con fecha 19 de abril de 2011, el Procurador de los Tribunales don Julián Caballero Aguado, en nombre de don Francisco Fuster González de la Riva y de don Joaquín María Fuster González de la Riva, interpone recurso de amparo contra la Sentencia de la Sección Segunda de la Audiencia Provincial de Palma de Mallorca, recaída en recurso de apelación núm. 480-2009 formulado contra la dictada por el Juzgado de lo Penal núm. 3 de Palma de Mallorca en procedimiento abreviado núm. 474-2008.</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en que se fundamenta la demanda de amparo son, sucintamente expuestos, los siguientes:</w:t>
      </w:r>
    </w:p>
    <w:p w:rsidR="00E3576C" w:rsidRDefault="00E3576C" w:rsidP="00E3576C">
      <w:pPr>
        <w:pStyle w:val="TextoNormal"/>
      </w:pPr>
    </w:p>
    <w:p w:rsidR="00E3576C" w:rsidRDefault="00E3576C" w:rsidP="00E3576C">
      <w:pPr>
        <w:pStyle w:val="TextoNormal"/>
      </w:pPr>
      <w:r>
        <w:t xml:space="preserve">a) Los recurrentes fueron condenados por el Juzgado de lo Penal núm. 3 de Palma de Mallorca, mediante Sentencia de 26 de junio de 2009, como autores responsables de una falta de injurias leves con publicidad, tipificada en el art. 620.2 del Código penal. </w:t>
      </w:r>
    </w:p>
    <w:p w:rsidR="00E3576C" w:rsidRDefault="00E3576C" w:rsidP="00E3576C">
      <w:pPr>
        <w:pStyle w:val="TextoNormal"/>
      </w:pPr>
    </w:p>
    <w:p w:rsidR="00E3576C" w:rsidRDefault="00E3576C" w:rsidP="00E3576C">
      <w:pPr>
        <w:pStyle w:val="TextoNormal"/>
      </w:pPr>
      <w:r>
        <w:t>b) Interpuesto recurso de apelación por las dos partes del proceso, la Audiencia Provincial de Palma de Mallorca, en Sentencia de 30 de septiembre de 2010, comparte expresamente los argumentos y doctrina del juzgador de instancia en lo relativo a la ausencia de prescripción del delito de injurias (dado que la acusación se formuló por un delito de injurias graves), pero no así la consideración de la injuria como leve, en consonancia con lo alegado por la acusación particular. En consecuencia, revoca la Sentencia impugnada y condena a los recurrentes en amparo por un delito de injurias con publicidad, a la pena de nueve meses de multa, a razón de una cuota diaria de diez euros, con la responsabilidad penal subsidiaria prevista en el art. 53 del Código penal, debiendo indemnizar ambos, en vía de responsabilidad civil y de modo subsidiario, a Joaquín Cotoner Goyeneche, en la cantidad de nueve mil euros por los daños morales sufridos y abordar el pago de la totalidad de las costas procesales por mitades iguales.</w:t>
      </w:r>
    </w:p>
    <w:p w:rsidR="00E3576C" w:rsidRDefault="00E3576C" w:rsidP="00E3576C">
      <w:pPr>
        <w:pStyle w:val="TextoNormal"/>
      </w:pPr>
    </w:p>
    <w:p w:rsidR="00E3576C" w:rsidRDefault="00E3576C" w:rsidP="00E3576C">
      <w:pPr>
        <w:pStyle w:val="TextoNormal"/>
      </w:pPr>
      <w:r>
        <w:t>c) En la demanda de amparo se alega vulneración de la tutela judicial efectiva (art. 24 CE), del derecho a la libertad y a la seguridad personal (art. 17.1 CE), y del derecho a la legalidad penal (art. 25.1 CE). Los demandantes aducen que, estando probado que el 18 de septiembre de 2004 ocurrieron los hechos enjuiciados y que el Auto de admisión de la querella es de 8 de noviembre de 2005, ha vencido el plazo del año previsto en el art. 131.1 in fine del Código penal para la prescripción de los delitos de injurias, de acuerdo con la doctrina del Tribunal Constitucional que se desprende de las SSTC 63/2005, de 14 de marzo, y 29/2008, de 20 de febrero, argumentando que los órganos judiciales incurren en una negativa manifiesta del deber de acatamiento de la doctrina del Tribunal Constitucional (art. 5 de la Ley Orgánica del Poder Judicial)</w:t>
      </w:r>
    </w:p>
    <w:p w:rsidR="00E3576C" w:rsidRDefault="00E3576C" w:rsidP="00E3576C">
      <w:pPr>
        <w:pStyle w:val="TextoNormal"/>
      </w:pPr>
    </w:p>
    <w:p w:rsidR="00E3576C" w:rsidRDefault="00E3576C" w:rsidP="00E3576C">
      <w:pPr>
        <w:pStyle w:val="TextoNormal"/>
      </w:pPr>
      <w:r w:rsidRPr="00E3576C">
        <w:rPr>
          <w:rStyle w:val="NumeroAFNegritaCaracter"/>
        </w:rPr>
        <w:t>3</w:t>
      </w:r>
      <w:r>
        <w:t>. Los demandantes, de acuerdo con el art. 56.2 de la Ley Orgánica del Tribunal Constitucional (LOTC) y mediante escrito registrado en este Tribunal el 27 de junio de 2011, solicitan la suspensión cautelar de la ejecución de la Sentencia combatida en amparo, al entender que dicha ejecución “convertiría en ilusorios los efectos de una futura y eventual estimación del recurso de amparo”.</w:t>
      </w:r>
    </w:p>
    <w:p w:rsidR="00E3576C" w:rsidRDefault="00E3576C" w:rsidP="00E3576C">
      <w:pPr>
        <w:pStyle w:val="TextoNormal"/>
      </w:pPr>
    </w:p>
    <w:p w:rsidR="00E3576C" w:rsidRDefault="00E3576C" w:rsidP="00E3576C">
      <w:pPr>
        <w:pStyle w:val="TextoNormal"/>
      </w:pPr>
      <w:r w:rsidRPr="00E3576C">
        <w:rPr>
          <w:rStyle w:val="NumeroAFNegritaCaracter"/>
        </w:rPr>
        <w:t>4</w:t>
      </w:r>
      <w:r>
        <w:t>. Por sendas providencias de 19 de diciembre de 2011, la Sección Primera del Tribunal Constitucional acordó la admisión a trámite del recurso de amparo y ordenó que se formase la presente pieza separada de suspensión, concediendo, de conformidad con lo dispuesto en el art. 56 LOTC, un plazo común de tres días al Ministerio Fiscal y a los recurrentes en amparo para que, dentro de dicho término, alegaran lo que estimasen pertinente en relación con la petición de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evacuó el trámite de alegaciones conferido mediante escrito presentado el 23 de diciembre de 2011, en el que expone, de conformidad con la reiterada doctrina de este Tribunal, que la suspensión es una medida provisional de carácter excepcional y de aplicación restrictiva, por lo que considera que no es procedente la suspensión de la pena impuesta, al revestir un carácter meramente económico, sin que su cumplimiento produzca perjuicios irreparables para los condenados, habida cuenta de que cabe la íntegra restitución de lo que fuere objeto de cumplimiento, en el caso de una eventual estimación del recurso de amparo.</w:t>
      </w:r>
    </w:p>
    <w:p w:rsidR="00E3576C" w:rsidRDefault="00E3576C" w:rsidP="00E3576C">
      <w:pPr>
        <w:pStyle w:val="TextoNormal"/>
      </w:pPr>
    </w:p>
    <w:p w:rsidR="00E3576C" w:rsidRDefault="00E3576C" w:rsidP="00E3576C">
      <w:pPr>
        <w:pStyle w:val="TextoNormal"/>
      </w:pPr>
      <w:r w:rsidRPr="00E3576C">
        <w:rPr>
          <w:rStyle w:val="NumeroAFNegritaCaracter"/>
        </w:rPr>
        <w:t>6</w:t>
      </w:r>
      <w:r>
        <w:t>. Los recurrentes en amparo, mediante escrito registrado con fecha 22 de diciembre de 2011, manifiestan que ya han pagado el importe de las penas de multa impuestas, así como el correspondiente a la responsabilidad civil, por lo que solicitan la suspensión de la condena en lo referente a la obligación del pago de las costas causadas por la acusación particular. Justifican esta solicitud argumentando que, de no suspenderse la condena, el perjuicio ya sufrido hasta la fecha se vería incrementado injustificadamente.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De acuerdo con lo dispuesto en el art. 56.1 de la Ley Orgánica del Tribunal Constitucional (LOTC), “la interposición del recurso de amparo no suspenderá los efectos del acto </w:t>
      </w:r>
      <w:r>
        <w:lastRenderedPageBreak/>
        <w:t>o sentencia impugnados”. Este primer apartado ha de conectarse con lo previsto en los demás apartados del citado art. 56 LOTC, particularmente con el segundo, que fija: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En la interpretación de dicho precepto, resultado de la reforma de la Ley Orgánica 6/2007, este Tribunal ha declarado (por todos, ATC 1/2011, de 14 de febrero) que la nueva redacción del art. 56.2 LOTC tiene un contenido similar al anterior art. 56.1 LOTC, por lo que ha de mantenerse la línea doctrinal fijada en los AATC 17/1980, de 24 de septiembre; 257/1986, de 19 de marzo; 294/1989, de 5 de junio; 141/1990, de 27 de marzo; 35/1996, de 12 de febrero; 287/1997, de 21 de julio; 185/1998, de 15 de febrero; 86/1999, de 12 de abril y 99/1999, de 26 de abril, entre otros muchos, en los que se sostiene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3576C" w:rsidRDefault="00E3576C" w:rsidP="00E3576C">
      <w:pPr>
        <w:pStyle w:val="TextoNormal"/>
      </w:pPr>
    </w:p>
    <w:p w:rsidR="00E3576C" w:rsidRDefault="00E3576C" w:rsidP="00E3576C">
      <w:pPr>
        <w:pStyle w:val="TextoNormal"/>
      </w:pPr>
      <w:r>
        <w:t>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E3576C" w:rsidRDefault="00E3576C" w:rsidP="00E3576C">
      <w:pPr>
        <w:pStyle w:val="TextoNormal"/>
      </w:pPr>
    </w:p>
    <w:p w:rsidR="00E3576C" w:rsidRDefault="00E3576C" w:rsidP="00E3576C">
      <w:pPr>
        <w:pStyle w:val="TextoNormal"/>
      </w:pPr>
      <w:r w:rsidRPr="00E3576C">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más recientemente, ATC 1/2011, FJ 3).</w:t>
      </w:r>
    </w:p>
    <w:p w:rsidR="00E3576C" w:rsidRDefault="00E3576C" w:rsidP="00E3576C">
      <w:pPr>
        <w:pStyle w:val="TextoNormal"/>
      </w:pPr>
    </w:p>
    <w:p w:rsidR="00E3576C" w:rsidRDefault="00E3576C" w:rsidP="00E3576C">
      <w:pPr>
        <w:pStyle w:val="TextoNormal"/>
      </w:pPr>
      <w:r>
        <w:t xml:space="preserve">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w:t>
      </w:r>
      <w:r>
        <w:lastRenderedPageBreak/>
        <w:t xml:space="preserve">de lo que fue objeto de ejecución o cumplimiento, en el caso de una eventual estimación del recurso de amparo que así lo ordenase. </w:t>
      </w:r>
    </w:p>
    <w:p w:rsidR="00E3576C" w:rsidRDefault="00E3576C" w:rsidP="00E3576C">
      <w:pPr>
        <w:pStyle w:val="TextoNormal"/>
      </w:pPr>
    </w:p>
    <w:p w:rsidR="00E3576C" w:rsidRDefault="00E3576C" w:rsidP="00E3576C">
      <w:pPr>
        <w:pStyle w:val="TextoNormal"/>
      </w:pPr>
      <w:r>
        <w:t>Esta doctrina resulta asimismo aplicable a la condena en costas procesales pues, al entrañar un pago en dinero, su ejecución no provoca ningún perjuicio que pueda hacer inútil el recurso de amparo (AATC 116/2000, de 5 de mayo; 44/2001, de 26 de febrero, y 161/2001, de 18 de junio, entre otros muchos).</w:t>
      </w:r>
    </w:p>
    <w:p w:rsidR="00E3576C" w:rsidRDefault="00E3576C" w:rsidP="00E3576C">
      <w:pPr>
        <w:pStyle w:val="TextoNormal"/>
      </w:pPr>
    </w:p>
    <w:p w:rsidR="00E3576C" w:rsidRDefault="00E3576C" w:rsidP="00E3576C">
      <w:pPr>
        <w:pStyle w:val="TextoNormal"/>
      </w:pPr>
      <w:r w:rsidRPr="00E3576C">
        <w:rPr>
          <w:rStyle w:val="NumeroAFNegritaCaracter"/>
        </w:rPr>
        <w:t>3</w:t>
      </w:r>
      <w:r>
        <w:t>. La aplicación al presente caso de la doctrina reseñada conduce a denegar la suspensión de la Sentencia recurrida, pues los recurrentes en amparo se han limitado a alegar, de manera exclusiva, que el pago de las costas a la acusación particular (en cantidad líquida aún por determinar, al hallarse pendiente impugnación formulada por los recurrentes frente a la tasación) les supondría un perjuicio añadido y desproporcionado, puesto que ya han abonado la multa y el importe de la responsabilidad civil a las que fueron condenados. En ningún momento aducen que el pago de las costas les produzca un quebranto grave en su economía personal.</w:t>
      </w:r>
    </w:p>
    <w:p w:rsidR="00E3576C" w:rsidRDefault="00E3576C" w:rsidP="00E3576C">
      <w:pPr>
        <w:pStyle w:val="TextoNormal"/>
      </w:pPr>
    </w:p>
    <w:p w:rsidR="00E3576C" w:rsidRDefault="00E3576C" w:rsidP="00E3576C">
      <w:pPr>
        <w:pStyle w:val="TextoNormal"/>
      </w:pPr>
      <w:r>
        <w:t>A la vista de lo anterior, ha de concluirse que la condena al pago de las costas procesales no hace perder al amparo su finalidad, ni comporta —como advierte el Ministerio Fiscal— un perjuicio patrimonial irreversible para los recurrentes. No se ha acreditado (ni siquiera alegado) por éstos la existencia de circunstancias que hagan pensar razonablemente que el abono de las costas pueda comprometer los mínimos de subsistencia de los recurrentes (por todos, AATC 143/1997, de 19 de mayo; 189/1999, de 15 de julio, y 161/2001, de 18 de junio), ni tampoco que concurra una eventual situación de insolvencia de la acusación particular que pudiera provocar, en caso de estimarse el amparo, la imposibilidad de restitución de la cantidad abonada en concepto de costas.</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treinta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58" w:name="AUTO_2012_17"/>
      <w:r>
        <w:lastRenderedPageBreak/>
        <w:t>AUTO 17/2012, de 30 de enero de 2012</w:t>
      </w:r>
    </w:p>
    <w:bookmarkEnd w:id="158"/>
    <w:p w:rsidR="00E3576C" w:rsidRDefault="00E3576C" w:rsidP="00E3576C">
      <w:pPr>
        <w:pStyle w:val="TtuloResolucin"/>
      </w:pPr>
      <w:r>
        <w:t>Sección Tercera</w:t>
      </w:r>
    </w:p>
    <w:p w:rsidR="00E3576C" w:rsidRDefault="00E3576C" w:rsidP="00E3576C">
      <w:pPr>
        <w:pStyle w:val="TtuloResolucin"/>
      </w:pPr>
    </w:p>
    <w:p w:rsidR="00E3576C" w:rsidRDefault="00E3576C" w:rsidP="00E3576C">
      <w:pPr>
        <w:pStyle w:val="SntesisDescriptiva"/>
      </w:pPr>
      <w:r>
        <w:t>ECLI:ES:TC:2012:17A</w:t>
      </w:r>
    </w:p>
    <w:p w:rsidR="00E3576C" w:rsidRDefault="00E3576C" w:rsidP="00E3576C">
      <w:pPr>
        <w:pStyle w:val="SntesisDescriptiva"/>
      </w:pPr>
    </w:p>
    <w:p w:rsidR="00E3576C" w:rsidRDefault="00E3576C" w:rsidP="00E3576C">
      <w:pPr>
        <w:pStyle w:val="SntesisDescriptiva"/>
      </w:pPr>
      <w:r>
        <w:t>Excms. Srs. don Eugeni Gay Montalvo, don Francisco José Hernando Santiago y don Francisco Pérez de los Cobos Orihuel.</w:t>
      </w:r>
    </w:p>
    <w:p w:rsidR="00E3576C" w:rsidRDefault="00E3576C" w:rsidP="00E3576C">
      <w:pPr>
        <w:pStyle w:val="SntesisDescriptiva"/>
      </w:pPr>
    </w:p>
    <w:p w:rsidR="00E3576C" w:rsidRDefault="00E3576C" w:rsidP="00E3576C">
      <w:pPr>
        <w:pStyle w:val="SntesisDescriptiva"/>
      </w:pPr>
      <w:r>
        <w:t>Acuerda el desistimiento en el recurso de amparo 2337-2011,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59" w:name="AUTO_2012_18"/>
      <w:r>
        <w:lastRenderedPageBreak/>
        <w:t>AUTO 18/2012, de 30 de enero de 2012</w:t>
      </w:r>
    </w:p>
    <w:bookmarkEnd w:id="159"/>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ECLI:ES:TC:2012:18A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Mantiene las medidas cautelares acordadas por providencia en el recurso de amparo 3121-2011, promovido por doña María Cruz Jara Quejido.</w:t>
      </w:r>
    </w:p>
    <w:p w:rsidR="00E3576C" w:rsidRDefault="00E3576C" w:rsidP="00E3576C">
      <w:pPr>
        <w:pStyle w:val="SntesisDescriptiva"/>
      </w:pPr>
    </w:p>
    <w:p w:rsidR="00E3576C" w:rsidRDefault="00E3576C" w:rsidP="00E3576C">
      <w:pPr>
        <w:pStyle w:val="SntesisAnaltica"/>
      </w:pPr>
      <w:r>
        <w:t>Medidas cautelares: justificación de las medidas cautelares.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29 de julio de 2011 tuvo entrada en el Registro General de este Tribunal escrito firmado por la Procuradora de los Tribunales doña Aránzazu Pequeño Rodríguez, en representación de doña María Cruz Jara Quejido, en virtud del cual interponía recurso de amparo contra los Autos de 26 y 27 de abril de 2011 y las providencias de 10 de marzo y 16 de mayo de 2011, dictadas en el procedimiento de ejecución hipotecaria núm. 873-2008 por el Juzgado de Primera Instancia núm. 31 de Madrid, que denegaron la suspensión cautelar del lanzamiento de los ocupantes del domicilio familiar a pesar de la existencia de una cuestión prejudicial penal.</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demandante de amparo considera que las resoluciones recurridas han vulnerado su derecho a la tutela judicial efectiva (art. 24 CE) en sus vertientes de acceso a la jurisdicción, de acceso al recurso y a una resolución motivada, toda vez que —a su juicio— deben estimarse nulas al no ser congruentes y además carecer de motivación, produciendo de todo punto, indefensión. Concretamente, considera que la providencia de 10 de marzo de 2011, que desestima la cuestión de prejudicialidad penal por estafa procesal, quebranta el art. 24 CE en cuanto comete un error patente y falta de motivación al considerar que se trata de una cuestión ya resuelta por el Juzgado con anterioridad, cuando la que había sido resuelta era la prejudicialidad penal de un posible delito de abandono de familia que se estaba instruyendo contra su ex cónyuge en el Juzgado de Instrucción núm. 18 de Madrid. Sobre la que debió pronunciarse el Juzgado de Primera Instancia núm. 31 de Madrid en el procedimiento de ejecución hipotecaria era la referente a la posible comisión de un delito de estafa de las entidades Cajamadrid y Tasamadrid, S.A. Sostiene, igualmente que el Auto de 26 de abril de 2011 quebranta el art. 24 CE en cuanto vuelve a incidir en el error patente de estimar que la cuestión ya fue resuelta en su día, no habiendo tomado en consideración el Auto de la Audiencia Provincial de Madrid de fecha de 7 de marzo de 2011 en el que se advertía de la existencia de indicios de la comisión del delito de estafa procesal por Cajamadrid y Tasamadrid. Si ello fuera así —en opinión de la recurrente— determinaría la invalidez o ilicitud </w:t>
      </w:r>
      <w:r>
        <w:lastRenderedPageBreak/>
        <w:t>del despacho de ejecución y, en consecuencia, el Juzgado que la autorizó, oídas las partes y el Ministerio Fiscal, debería haber acordado la suspensión del lanzamiento. Por último, añade que, por los mismos motivos se ha conculcado su derecho a un proceso con todas las garantías y sin dilaciones indebidas (art. 24.2 CE). Por medio de otrosí, y con invocación de la doctrina de este Tribunal, solicitó como medida cautelar urgente la suspensión de la ejecución de las resoluciones impugnadas, en el pronunciamiento relativo a la orden de lanzamiento de la demandante y sus hijos menores de la vivienda familiar previsto para el día 28 de septiembre de 2011, ya que, de ejecutarse en este aspecto, el amparo perdería su finalidad y se generarían perjuicios graves e irreparables tanto para ella como para sus hijos.</w:t>
      </w:r>
    </w:p>
    <w:p w:rsidR="00E3576C" w:rsidRDefault="00E3576C" w:rsidP="00E3576C">
      <w:pPr>
        <w:pStyle w:val="TextoNormal"/>
      </w:pPr>
    </w:p>
    <w:p w:rsidR="00E3576C" w:rsidRDefault="00E3576C" w:rsidP="00E3576C">
      <w:pPr>
        <w:pStyle w:val="TextoNormal"/>
      </w:pPr>
      <w:r w:rsidRPr="00E3576C">
        <w:rPr>
          <w:rStyle w:val="NumeroAFNegritaCaracter"/>
        </w:rPr>
        <w:t>3</w:t>
      </w:r>
      <w:r>
        <w:t>. Con fecha de 6 de septiembre del año en curso, la demandante presentó escrito de ampliación de demanda del recurso de amparo, en el que aduce que, a pesar de los escritos presentados por dos de los hijos (ahora ya mayores de edad) al Juzgado para que se les notifique la existencia de la ejecución y del lanzamiento —como ocupantes de la vivienda que son—, el juzgador mediante providencia de 4 de abril de 2011 se lo deniega al entender que los ejecutados son los progenitores (titulares dominicales del inmueble) y a los hijos no le es de aplicación lo previsto en el art. 704 de la Ley de enjuiciamiento civil, reiterando la solicitud de suspensión urgente de las resoluciones impugnadas y de esta última providencia.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resolución de fecha 27 de septiembre de 2011 la Sección Cuarta de este Tribunal acordó, por la vía del art. 56.3 de la Ley Orgánica del Tribunal Constitucional (LOTC), la suspensión cautelar, por razones de urgencia excepcional, de la ejecución de las resoluciones impugnadas dictadas por el Juzgado de Primera Instancia núm. 31 de Madrid, al estimar que dicha ejecución produciría un perjuicio de imposible o muy difícil reparación que haría perder su finalidad al recurso de amparo.</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providencia de 10 de noviembre de 2011 la Sala Segunda acordó admitir a trámite el recurso de amparo, de conformidad con lo previsto en el art. 11.2 LOTC, y que en aplicación del art. 51 LOTC se requiera al Juzgado de Primera Instancia núm. 31 de Madrid a fin de que, en plazo que no exceda de diez días, remita certificación o copia adverada de las actuaciones correspondientes al procedimiento de ejecución hipotecaria núm. 873-2008; debiendo previamente emplazarse a quienes hubieran sido parte en el procedimiento para que en el plazo de diez días puedan comparecer en el recurso de amparo, si así lo desean, salvo la parte recurrente en amparo.</w:t>
      </w:r>
    </w:p>
    <w:p w:rsidR="00E3576C" w:rsidRDefault="00E3576C" w:rsidP="00E3576C">
      <w:pPr>
        <w:pStyle w:val="TextoNormal"/>
      </w:pPr>
    </w:p>
    <w:p w:rsidR="00E3576C" w:rsidRDefault="00E3576C" w:rsidP="00E3576C">
      <w:pPr>
        <w:pStyle w:val="TextoNormal"/>
      </w:pPr>
      <w:r w:rsidRPr="00E3576C">
        <w:rPr>
          <w:rStyle w:val="NumeroAFNegritaCaracter"/>
        </w:rPr>
        <w:t>6</w:t>
      </w:r>
      <w:r>
        <w:t>. Por escrito de fecha 11 de noviembre de 2011 la representación procesal de la demandante de amparo solicitó, con arreglo a lo previsto en los arts. 56.3 y 6 LOTC, la adopción como medida cautelar de la anotación preventiva de la demanda de amparo en el Registro de la Propiedad, puesto que en el folio registral de la finca objeto del pleito aparece inscrita actualmente como propietaria la entidad adjudicataria Cajamadrid, S.A.</w:t>
      </w:r>
    </w:p>
    <w:p w:rsidR="00E3576C" w:rsidRDefault="00E3576C" w:rsidP="00E3576C">
      <w:pPr>
        <w:pStyle w:val="TextoNormal"/>
      </w:pPr>
    </w:p>
    <w:p w:rsidR="00E3576C" w:rsidRDefault="00E3576C" w:rsidP="00E3576C">
      <w:pPr>
        <w:pStyle w:val="TextoNormal"/>
      </w:pPr>
      <w:r>
        <w:t>Mediante resolución de 21 de noviembre de 2011 la Sala Segunda acordó no haber lugar a la medida solicitada por entender que “el régimen de actuaciones procesales por parte de este Tribunal es exclusivamente el contenido en su Ley Orgánica 6/2007, de 24 de mayo, y su art. 80 que prevé la aplicación supletoria de otros textos procesales, la constriñe a deter</w:t>
      </w:r>
      <w:r>
        <w:lastRenderedPageBreak/>
        <w:t>minadas actuaciones procedimentales no encontrándose, entre ellas, la medida cautelar interesada al haberse ya adoptado por este Tribunal la señalada en el art. 56.3 LOTC por resolución de 27 de septiembre de 2011”.</w:t>
      </w:r>
    </w:p>
    <w:p w:rsidR="00E3576C" w:rsidRDefault="00E3576C" w:rsidP="00E3576C">
      <w:pPr>
        <w:pStyle w:val="TextoNormal"/>
      </w:pPr>
    </w:p>
    <w:p w:rsidR="00E3576C" w:rsidRDefault="00E3576C" w:rsidP="00E3576C">
      <w:pPr>
        <w:pStyle w:val="TextoNormal"/>
      </w:pPr>
      <w:r w:rsidRPr="00E3576C">
        <w:rPr>
          <w:rStyle w:val="NumeroAFNegritaCaracter"/>
        </w:rPr>
        <w:t>7</w:t>
      </w:r>
      <w:r>
        <w:t>. Por resolución de fecha de 19 de diciembre de 2011 la Sala Segunda de este Tribunal Constitucional acordó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8</w:t>
      </w:r>
      <w:r>
        <w:t>. La representación de la recurrente presentó escrito de alegaciones con fecha 29 de diciembre de 2011, en el que reproduce, en síntesis, las alegaciones formuladas en su demanda, y añade que a fecha actual no han variado en absoluto las circunstancias que motivaron la adopción de manera excepcional y urgente de la suspensión del lanzamiento, debiendo en consecuencia mantenerse la medida cautelar. Además, dado que sus tres hijos que también son titulares del derecho de uso de la vivienda familiar en virtud de su adjudicación por Sentencia de divorcio de fecha 31 de julio de 2007 dictada por el Juzgado de Primera Instancia núm. 80 de Madrid han ido alcanzando la mayoría de edad en el transcurso del procedimiento ejecutivo, solicita que se acuerde igualmente la notificación de la pendencia del procedimiento ejecutivo núm. 873-2008 a los mismos, haciéndoles saber que en el plazo de diez días a partir de la notificación pueden presentar ante el Juzgado de Primera Instancia núm. 31 de Madrid, procedimiento ejecutivo hipotecario núm. 873-2008, los títulos que justifiquen su situación, señalando día y hora para designar apud acta procurador que les represente en los autos de ejecución hipotecaria antedichos y defender así sus derechos en dicho pleito ante el Juzgado de Primera Instancia ya meritado.</w:t>
      </w:r>
    </w:p>
    <w:p w:rsidR="00E3576C" w:rsidRDefault="00E3576C" w:rsidP="00E3576C">
      <w:pPr>
        <w:pStyle w:val="TextoNormal"/>
      </w:pPr>
    </w:p>
    <w:p w:rsidR="00E3576C" w:rsidRDefault="00E3576C" w:rsidP="00E3576C">
      <w:pPr>
        <w:pStyle w:val="TextoNormal"/>
      </w:pPr>
      <w:r w:rsidRPr="00E3576C">
        <w:rPr>
          <w:rStyle w:val="NumeroAFNegritaCaracter"/>
        </w:rPr>
        <w:t>9</w:t>
      </w:r>
      <w:r>
        <w:t>. El Ministerio Fiscal, en escrito registrado el 4 de enero de 2011, interesa el mantenimiento de la suspensión de la orden judicial de lanzamiento. Tras referirse a los antecedentes del caso y a la doctrina de este Tribunal, señala que la ejecución es susceptible de ocasionar un perjuicio grave e irreparable tanto para la demandante como para sus hijos al perder el amparo su finalidad, caso de otorgarse posteriormente, porque conllevaría la pérdida inmediata de la posesión de la que es la vivienda familiar. Por otro lado se subraya que el mantenimiento de la suspensión acordada no es lesivo para los intereses generales, ni siquiera para los intereses y derechos de terceros, singularmente de la entidad bancaria Cajamadrid, S.A., adjudicataria de la vivienda.</w:t>
      </w:r>
    </w:p>
    <w:p w:rsidR="00E3576C" w:rsidRDefault="00E3576C" w:rsidP="00E3576C">
      <w:pPr>
        <w:pStyle w:val="TextoNormal"/>
      </w:pPr>
    </w:p>
    <w:p w:rsidR="00E3576C" w:rsidRDefault="00E3576C" w:rsidP="00E3576C">
      <w:pPr>
        <w:pStyle w:val="TextoNormal"/>
      </w:pPr>
      <w:r>
        <w:t>Por lo que respecta a la solicitud de la anotación preventiva de la demanda de amparo en el Registro de la Propiedad solicitada por la demandante, el Ministerio Fiscal, con apoyo en la doctrina constitucional que viene sosteniendo este Tribunal Constitucional en casos análogos, solicita que reconsideremos nuestra inicial negativa a adoptar dicha medida cautelar.</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La Ley Orgánica 6/2007, de 24 de mayo, ha dado nueva redacción al art. 56 de la Ley Orgánica del Tribunal Constitucional (LOTC), atribuyendo en su apartado 6 a las Salas y </w:t>
      </w:r>
      <w:r>
        <w:lastRenderedPageBreak/>
        <w:t>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 por el Ministerio Fiscal y las partes personadas (ATC 111/2011, de 11 de julio, FJ 1). Ahora bien, como con detalle se ha analizado en el ATC 16/2011, de 25 de febrero, esa posibilidad no excluye la facultad del Tribunal Constitucional para que, en virtud de las previsiones contenidas en el art. 56.3 LOTC, y ante la concurrencia de circunstancias singularísimas de excepcional urgencia debidamente acreditadas, pueda acordar inaudita parte la suspensión de la resolución impugnada (o cualquier otra medida cautelar que pueda resultar adecuada) incluso antes de decidir sobre la admisión a trámite del recurso de amparo, y ello para impedir que, mientras se decide sobre la admisión del recurso conforme a la nueva configuración de este trámite que resulta de la reforma introducida por la Ley Orgánica 6/2007, pueda consumarse de manera irreversible la lesión de algún derecho fundamental que se alega por el demandante de amparo, provocando con ello la pérdida de la finalidad de su recurso, pues no debe olvidarse que “el recurso de amparo, en todo caso, sigue siendo un recurso de tutela de derechos fundamentales” (STC 155/2009, de 25 de junio, FJ 2) y que el fundamento de la tutela cautelar en el proceso de amparo constitucional no es otro que la necesidad de evitar que el amparo pierda su finalidad en caso de que finalmente sea estimado (art. 56.2 y 3 LOTC).</w:t>
      </w:r>
    </w:p>
    <w:p w:rsidR="00E3576C" w:rsidRDefault="00E3576C" w:rsidP="00E3576C">
      <w:pPr>
        <w:pStyle w:val="TextoNormal"/>
      </w:pPr>
    </w:p>
    <w:p w:rsidR="00E3576C" w:rsidRDefault="00E3576C" w:rsidP="00E3576C">
      <w:pPr>
        <w:pStyle w:val="TextoNormal"/>
      </w:pPr>
      <w:r>
        <w:t>Eso fue lo ocurrido en el presente caso, en el que, mediante la providencia de la Sección Cuarta de este Tribunal de 27 de septiembre de 2011 se acordó suspender la ejecución de las resoluciones impugnadas —Autos de 26 y 27 de abril de 2011 y las providencias de 10 de marzo y 16 de mayo de 2011, dictadas en el procedimiento de ejecución hipotecaria núm. 873-2008 por el Juzgado de Primera Instancia núm. 31 de Madrid y especialmente la orden judicial de lanzamiento de la actora y sus hijos del inmueble que constituye en domicilio familiar. No obstante lo anterior, la concurrencia de una situación de urgencia excepcional que autorice a este Tribunal a acordar de forma inmediata medidas cautelares inaudita parte incluso —cuando así lo requiera el carácter extraordinariamente apremiante y perentorio del asunto— antes de la admisión (art. 56.3 LOTC), no significa que no deba ratificarse, o modificarse, o levantarse en su caso, esa decisión provisional una vez admitido a trámite el amparo, “mediante una nueva resolución motivada en la que, tras oír a las partes, se expresen las razones que lleven al Tribunal a mantener, modificar o levantar la medida inicialmente acordada” (ATC 213/2009, de 9 de julio, FJ 1). Una vez admitida a trámite la demanda de amparo, en su caso, la parte contraria podrá comparecer en el proceso constitucional de amparo (art. 51.2 LOTC) y será oída, junto a la parte recurrente y el Ministerio Fiscal, por plazo común que no excederá de tres días (art. 56.4 LOTC), sobre el mantenimiento o alzamiento de la suspensión cautelar acordada, resolviendo este Tribunal por Auto lo que proceda (ATC 16/2011, FJ 5).</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Habiendo sido oídas ya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disponiendo dicho precepto en su apartado 2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w:t>
      </w:r>
      <w:r>
        <w:lastRenderedPageBreak/>
        <w:t>suspensión no ocasione perturbación grave a un interés constitucionalmente protegido, ni a los derechos fundamentales o libertades de otra persona”. Esto es, se trata de preservar la integridad del derecho fundamental cuya vulneración se denuncia, en tanto en cuanto la ejecución del acto o resolución impugnados pudiera ocasionar un perjuicio que hiciese perder al amparo su finalidad.</w:t>
      </w:r>
    </w:p>
    <w:p w:rsidR="00E3576C" w:rsidRDefault="00E3576C" w:rsidP="00E3576C">
      <w:pPr>
        <w:pStyle w:val="TextoNormal"/>
      </w:pPr>
    </w:p>
    <w:p w:rsidR="00E3576C" w:rsidRDefault="00E3576C" w:rsidP="00E3576C">
      <w:pPr>
        <w:pStyle w:val="TextoNormal"/>
      </w:pPr>
      <w:r>
        <w:t>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369/2005, de 24 de octubre,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de 11 de febrero, FJ 1; 67/2008, de 25 de febrero, FJ 1; 109/2008, de 14 de abril, FJ 1; y 172/2008, de 23 de junio, FJ 1).</w:t>
      </w:r>
    </w:p>
    <w:p w:rsidR="00E3576C" w:rsidRDefault="00E3576C" w:rsidP="00E3576C">
      <w:pPr>
        <w:pStyle w:val="TextoNormal"/>
      </w:pPr>
    </w:p>
    <w:p w:rsidR="00E3576C" w:rsidRDefault="00E3576C" w:rsidP="00E3576C">
      <w:pPr>
        <w:pStyle w:val="TextoNormal"/>
      </w:pPr>
      <w:r>
        <w:t>Por perjuicio irreparable hemos entendido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170/2001, de 22 de junio, FJ 1; 9/2003, de 20 de enero, FJ 1; 338/2005, de 26 de septiembre, FJ 1; 286/2007, de 18 de junio, FJ 1; y 233/2008, de 21 de julio, FJ 1).</w:t>
      </w:r>
    </w:p>
    <w:p w:rsidR="00E3576C" w:rsidRDefault="00E3576C" w:rsidP="00E3576C">
      <w:pPr>
        <w:pStyle w:val="TextoNormal"/>
      </w:pPr>
    </w:p>
    <w:p w:rsidR="00E3576C" w:rsidRDefault="00E3576C" w:rsidP="00E3576C">
      <w:pPr>
        <w:pStyle w:val="TextoNormal"/>
      </w:pPr>
      <w:r w:rsidRPr="00E3576C">
        <w:rPr>
          <w:rStyle w:val="NumeroAFNegritaCaracter"/>
        </w:rPr>
        <w:t>3</w:t>
      </w:r>
      <w:r>
        <w:t>. En el supuesto que nos ocupa, como pone de relieve el Ministerio Fiscal en su escrito de alegaciones, la ejecución del lanzamiento de la que es vivienda familiar conllevaría la pérdida inmediata de la posesión y el goce de la misma por parte de la recurrente y de sus hijos, causando con ello un perjuicio de muy difícil o imposible reparación. Por otro lado —se añade por el Ministerio público— no se observa que el mantenimiento de la suspensión acordada pudiera ocasionar un perjuicio grave para los intereses generales ni tan siquiera para los intereses y derechos de terceros, singularmente, la entidad bancaria Cajamadrid, S.A., adjudicataria de la vivienda.</w:t>
      </w:r>
    </w:p>
    <w:p w:rsidR="00E3576C" w:rsidRDefault="00E3576C" w:rsidP="00E3576C">
      <w:pPr>
        <w:pStyle w:val="TextoNormal"/>
      </w:pPr>
    </w:p>
    <w:p w:rsidR="00E3576C" w:rsidRDefault="00E3576C" w:rsidP="00E3576C">
      <w:pPr>
        <w:pStyle w:val="TextoNormal"/>
      </w:pPr>
      <w:r>
        <w:t xml:space="preserve">Como ya hemos señalado en el fundamento anterior, en general, las resoluciones judiciales con efectos meramente patrimoniales, en principio, no causan perjuicios irreparables </w:t>
      </w:r>
      <w:r>
        <w:lastRenderedPageBreak/>
        <w:t>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En efecto, en relación con resoluciones judiciales cuya ejecución conlleva el desalojo de una vivienda o local, hemos declarado en diversas ocasiones, AATC 225/2000, de 2 de octubre, FJ 2; 187/2001, de 2 de julio, FFJJ 2 y 3; 210/2001, de 16 de julio, FJ 3; o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como acontece en el presente caso, por lo cual resulta procedente el mantenimiento de la medida cautelar de suspensión del lanzamiento de la demandante de amparo de la vivienda que ocupa.</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ha interesado también que, reconsiderando nuestra anterior decisión, se proceda a la anotación preventiva de la demanda de amparo en el Registro de la Propiedad. En relación con dicha medida y a la vista de las alegaciones realizadas por el Ministerio público conviene aplicar al presente supuesto la doctrina constitucional asentada en virtud de la cual este Tribunal está facultado para acordar la anotación preventiva de la demanda de amparo en el Registro de la Propiedad a fin de garantizar los derechos de los demandantes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 56 LOTC, puede adoptar de oficio o a instancia de parte, con fundamento en el art. 42.1 de la Ley hipotecaria (AATC 274/2002, de 18 de diciembre; 257/2003, de 14 de julio; 230/2007, de 7 de mayo, FJ 3; y 415/2007, de 5 de noviembre, FJ 4) y una de cuyas finalidades es que el Registro de la Propiedad sea fiel trasunto de la realidad jurídica —en este caso, la pendencia del presente proceso constitucional— y, por ende, un eficaz instrumento de seguridad jurídica. Por consiguiente, en virtud de las razones expuestas, procede acordar la anotación preventiva de la demanda de amparo de conformidad con lo solicitado por el Ministerio Fiscal.</w:t>
      </w:r>
    </w:p>
    <w:p w:rsidR="00E3576C" w:rsidRDefault="00E3576C" w:rsidP="00E3576C">
      <w:pPr>
        <w:pStyle w:val="TextoNormal"/>
      </w:pPr>
    </w:p>
    <w:p w:rsidR="00E3576C" w:rsidRDefault="00E3576C" w:rsidP="00E3576C">
      <w:pPr>
        <w:pStyle w:val="TextoNormal"/>
      </w:pPr>
      <w:r>
        <w:t>Por todo lo expuesto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Mantener las medidas cautelares acordadas en la providencia de 27 de septiembre de 2011.</w:t>
      </w:r>
    </w:p>
    <w:p w:rsidR="00E3576C" w:rsidRDefault="00E3576C" w:rsidP="00E3576C">
      <w:pPr>
        <w:pStyle w:val="TextoNormal"/>
      </w:pPr>
    </w:p>
    <w:p w:rsidR="00E3576C" w:rsidRDefault="00E3576C" w:rsidP="00E3576C">
      <w:pPr>
        <w:pStyle w:val="TextoNormal"/>
      </w:pPr>
      <w:r>
        <w:lastRenderedPageBreak/>
        <w:t>2º Ordenar la anotación preventiva de la demanda de amparo en el Registro de la Propiedad, a cuyo efecto el Juzgado de Primera Instancia núm. 31 de Madrid ha de expedir el mandamiento oportuno, para que pueda practicarse la misma en relación con la vivienda a que se refieren las presentes actuaciones.</w:t>
      </w:r>
    </w:p>
    <w:p w:rsidR="00E3576C" w:rsidRDefault="00E3576C" w:rsidP="00E3576C">
      <w:pPr>
        <w:pStyle w:val="TextoNormal"/>
      </w:pPr>
    </w:p>
    <w:p w:rsidR="00E3576C" w:rsidRDefault="00E3576C" w:rsidP="00E3576C">
      <w:pPr>
        <w:pStyle w:val="TextoNormal"/>
      </w:pPr>
      <w:r>
        <w:t>Madrid, a treinta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0" w:name="AUTO_2012_19"/>
      <w:r>
        <w:lastRenderedPageBreak/>
        <w:t>AUTO 19/2012, de 30 de enero de 2012</w:t>
      </w:r>
    </w:p>
    <w:bookmarkEnd w:id="160"/>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ECLI:ES:TC:2012:19A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Mantiene la suspensión acordada por providencia en el recurso de amparo 5822-2011, promovido por don Pedro González-Trevijano Sánchez.</w:t>
      </w:r>
    </w:p>
    <w:p w:rsidR="00E3576C" w:rsidRDefault="00E3576C" w:rsidP="00E3576C">
      <w:pPr>
        <w:pStyle w:val="SntesisDescriptiva"/>
      </w:pPr>
    </w:p>
    <w:p w:rsidR="00E3576C" w:rsidRDefault="00E3576C" w:rsidP="00E3576C">
      <w:pPr>
        <w:pStyle w:val="SntesisAnaltica"/>
      </w:pPr>
      <w:r>
        <w:t>Suspensión cautelar de resoluciones judiciales: perjuicios irreparables. Suspensión cautelar de Sentencias contencioso-administrativas: nombramiento de funcionarios públicos, suspende. Suspensión de la ejecución del acto que origina el amparo: mantenimiento de la suspensión. Universidades: elecciones claustrales; rectores universitarios.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presentado en el Registro General de este Tribunal el 27 de octubre de 2011, la Procuradora de los Tribunales doña Pilar Cermeño Roco, actuando en nombre y representación de don Pedro González-Trevijano Sánchez, interpuso recurso de amparo constitucional contra la Sentencia de la Sección Octava de la Sala de lo Contencioso-Administrativo del Tribunal Superior de Justicia de Madrid recaída el 3 de junio de 2011 en el rollo de apelación núm. 160-2011 y contra el Auto de 7 de octubre de 2011 que desestimó el incidente de nulidad de actuaciones promovido contra aquélla, alegándose en la demanda de amparo la vulneración del derecho constitucional a acceder en condiciones de igualdad a las funciones y cargos públicos, con los requisitos que señalen las leyes (art. 23.2 CE).</w:t>
      </w:r>
    </w:p>
    <w:p w:rsidR="00E3576C" w:rsidRDefault="00E3576C" w:rsidP="00E3576C">
      <w:pPr>
        <w:pStyle w:val="TextoNormal"/>
      </w:pPr>
    </w:p>
    <w:p w:rsidR="00E3576C" w:rsidRDefault="00E3576C" w:rsidP="00E3576C">
      <w:pPr>
        <w:pStyle w:val="TextoNormal"/>
      </w:pPr>
      <w:r>
        <w:t xml:space="preserve">Por otrosí, en la misma demanda de amparo se solicitó de este Tribunal la suspensión de las resoluciones judiciales impugnadas, conforme al art. 56.6 de la Ley Orgánica del Tribunal Constitucional (LOTC), argumentándose que la Sentencia retrotrae el proceso electoral al momento inmediatamente anterior a la proclamación de candidatos, lo que implica, entre otras consecuencias, el mantenimiento del censo electoral definitivamente aprobado con anterioridad a esa proclamación. De ese modo, podrán votar alumnos de la universidad Rey Juan Carlos que lo eran en 2009 y han dejado de serlo; docentes que lo eran en 2009 y han dejado de serlo; y personal de administración y servicios que ostentaba tal condición en 2009 y la haya perdido actualmente. Por contra, no podrán votar —por no figurar en el censo— alumnos, docentes y personal de administración y servicios que se hayan incorporado a la universidad con posterioridad al censo de 2009 y los nuevos catedráticos que hayan alcanzado tal condición después del censo de 2009 no podrán ser candidatos en la nueva elección. A su juicio, ello lleva a una elección por una comunidad universitaria jurídica y sociológicamente hoy inexistente, pareciéndole evidente que la comunidad universitaria, como cuerpo vivo, es la que, con su conformación en cada momento, ha de elegir al rector, </w:t>
      </w:r>
      <w:r>
        <w:lastRenderedPageBreak/>
        <w:t>pareciéndole de igual evidencia el perjuicio para el interés público ínsito en el regular funcionamiento de la universidad y de la comunidad universitaria que todo lo expuesto supone. Concluye señalando que por encima de la ponderación de los intereses individualizados de uno y otro candidato, ha de prevalecer el interés general de la comunidad universitaria en orden al otorgamiento de la tutela cautelar que se solicita.</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19 de diciembre de 2011 la Sala Segunda de este Tribunal acordó la admisión a trámite de la demanda de amparo, así como, por apreciar las condiciones a que se refiere el art. 56.3 LOTC, suspender la ejecución de la Sentencia de la Sección Octava de la Sala de lo Contencioso-Administrativo del Tribunal Superior de Justicia de Madrid recaída el 3 de junio de 2011 en el rollo de apelación núm. 160-2011 y del Auto de 7 de octubre de 2011 que desestima el incidente de nulidad de actuaciones promovido contra aquélla.</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otra providencia de la misma fecha la Sala acordó abrir pieza separada y conceder un plazo de diez días al Ministerio Fiscal y demás partes personadas para que efectuasen alegaciones respecto al mantenimiento de la medida cautelar de suspensión acordada en la indicada primera providencia de 19 de diciembre de 2011.</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 presentado el 27 de diciembre de 2011 la representación procesal del demandante de amparo, tras ratificarse en lo expuesto a tal fin en la demanda de amparo, pidió el mantenimiento de la medida cautelar adoptada, a fin de que el recurso de amparo no pierda su finalidad. Argumenta que la suspensión es imprescindible porque en caso contrario se perdería la finalidad legítima del recurso, ya que al retrotraer la Sentencia el proceso electoral al momento inmediatamente anterior a la proclamación de candidatos, ello implica el mantenimiento del censo electoral definitivamente aprobado con anterioridad a esa proclamación de candidatos, con las consecuencias ya detalladas mediante otrosí en el escrito de demanda. Por último, señala que podría darse el caso de que, habiéndose convocado elecciones en el año 2009 y, por tanto, teniéndose que convocar elecciones de nuevo en septiembre de 2013, cuando se resolviera el recurso de amparo podría haber sido elegido otro nuevo rector, distinto de los ahora litigantes, creándose un hecho consumado que haría perder al amparo su finalidad legítima.</w:t>
      </w:r>
    </w:p>
    <w:p w:rsidR="00E3576C" w:rsidRDefault="00E3576C" w:rsidP="00E3576C">
      <w:pPr>
        <w:pStyle w:val="TextoNormal"/>
      </w:pPr>
    </w:p>
    <w:p w:rsidR="00E3576C" w:rsidRDefault="00E3576C" w:rsidP="00E3576C">
      <w:pPr>
        <w:pStyle w:val="TextoNormal"/>
      </w:pPr>
      <w:r w:rsidRPr="00E3576C">
        <w:rPr>
          <w:rStyle w:val="NumeroAFNegritaCaracter"/>
        </w:rPr>
        <w:t>5</w:t>
      </w:r>
      <w:r>
        <w:t>. El 4 de enero de 2012 el Ministerio Fiscal informó favorablemente el mantenimiento de la medida de suspensión acordada, en atención a que el desarrollo del proceso electoral sin que el demandante pueda ser candidato, le excluye automáticamente de dicho proceso y, por tanto, de ser elegido Rector, por lo que, de ser estimada la demanda de amparo, nos hallaríamos con que la elección ya se habría celebrado, dado el tiempo que normalmente se consume en la tramitación de un proceso de amparo y los tiempos establecidos para los procesos electorales, lo que se traduciría en un perjuicio irreparable para el recurrente, que haría perder al amparo su finalidad.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La Ley Orgánica 6/2007, de 24 de mayo, ha dado nueva redacción al art. 56 de la Ley Orgánica del Tribunal Constitucional (LOTC), atribuyendo en su apartado sexto a las Salas </w:t>
      </w:r>
      <w:r>
        <w:lastRenderedPageBreak/>
        <w:t>y Secciones de este Tribunal la facultad de adoptar, en la propia resolución de admisión a trámite de los recursos de amparo, medidas cautelares inaudita parte, en supuestos de urgencia excepcional. En el ejercicio de tal facultad, mediante la providencia de 19 de diciembre de 2011 se acordó suspender la ejecución de la Sentencia de la Sección Octava de la Sala de lo Contencioso-Administrativo del Tribunal Superior de Justicia de Madrid recaída el 3 de junio de 2011 en el rollo de apelación núm. 160-2011 y del Auto de 7 de octubre de 2011 que desestimó el incidente de nulidad de actuaciones promovido contra aquélla.</w:t>
      </w:r>
    </w:p>
    <w:p w:rsidR="00E3576C" w:rsidRDefault="00E3576C" w:rsidP="00E3576C">
      <w:pPr>
        <w:pStyle w:val="TextoNormal"/>
      </w:pPr>
    </w:p>
    <w:p w:rsidR="00E3576C" w:rsidRDefault="00E3576C" w:rsidP="00E3576C">
      <w:pPr>
        <w:pStyle w:val="TextoNormal"/>
      </w:pPr>
      <w:r>
        <w:t>Ahora bien, la concurrencia de una urgencia excepcional que autorice a este Tribunal a adoptar medidas cautelares sin oír a las partes y a hacerlo sin consignar motivación —al acordarse en la propia providencia de admisión a trámite del recurso de amparo— no implica que no deban remediarse estas carencias mediante una nueva resolución motivada en la que, tras oír a las partes, se expresen las razones que lleven al Tribunal a mantener, modificar o levantar la medida inicialmente acordada, tal y como venimos haciendo desde el ATC 213/2009, de 9 de julio.</w:t>
      </w:r>
    </w:p>
    <w:p w:rsidR="00E3576C" w:rsidRDefault="00E3576C" w:rsidP="00E3576C">
      <w:pPr>
        <w:pStyle w:val="TextoNormal"/>
      </w:pPr>
    </w:p>
    <w:p w:rsidR="00E3576C" w:rsidRDefault="00E3576C" w:rsidP="00E3576C">
      <w:pPr>
        <w:pStyle w:val="TextoNormal"/>
      </w:pPr>
      <w:r w:rsidRPr="00E3576C">
        <w:rPr>
          <w:rStyle w:val="NumeroAFNegritaCaracter"/>
        </w:rPr>
        <w:t>2</w:t>
      </w:r>
      <w:r>
        <w:t>. 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E3576C" w:rsidRDefault="00E3576C" w:rsidP="00E3576C">
      <w:pPr>
        <w:pStyle w:val="TextoNormal"/>
      </w:pPr>
    </w:p>
    <w:p w:rsidR="00E3576C" w:rsidRDefault="00E3576C" w:rsidP="00E3576C">
      <w:pPr>
        <w:pStyle w:val="TextoNormal"/>
      </w:pPr>
      <w:r>
        <w:t>Como en cualquier otro supuesto, son diversos los intereses que en este caso deben ser valorados para determinar la procedencia o no del mantenimiento de la suspensión de las resoluciones contra las que se ha promovido el recurso de amparo.</w:t>
      </w:r>
    </w:p>
    <w:p w:rsidR="00E3576C" w:rsidRDefault="00E3576C" w:rsidP="00E3576C">
      <w:pPr>
        <w:pStyle w:val="TextoNormal"/>
      </w:pPr>
    </w:p>
    <w:p w:rsidR="00E3576C" w:rsidRDefault="00E3576C" w:rsidP="00E3576C">
      <w:pPr>
        <w:pStyle w:val="TextoNormal"/>
      </w:pPr>
      <w:r>
        <w:t>De un lado, este Tribunal viene considerando que cuando el recurso se dirige contra resoluciones judiciales, lo más acorde con el interés general es su cumplimiento, que dota de efectividad a la tutela judicial (art. 24.1 CE) del litigante que obtuvo un pronunciamiento favorable a sus pretensiones. Como contrapeso, nuestro sistema de justicia constitucional configura la posibilidad de que se suspenda la ejecución de las resoluciones judiciales por razón de las cuales se reclame el amparo, cuando se acredite suficientemente la irreparabilidad del perjuicio que pudiera traer consigo la ejecución de la resolución impugnada, privando al amparo de su finalidad.</w:t>
      </w:r>
    </w:p>
    <w:p w:rsidR="00E3576C" w:rsidRDefault="00E3576C" w:rsidP="00E3576C">
      <w:pPr>
        <w:pStyle w:val="TextoNormal"/>
      </w:pPr>
    </w:p>
    <w:p w:rsidR="00E3576C" w:rsidRDefault="00E3576C" w:rsidP="00E3576C">
      <w:pPr>
        <w:pStyle w:val="TextoNormal"/>
      </w:pPr>
      <w:r>
        <w:t>En el presente caso la ejecución de la Sentencia impugnada implica que el demandante de amparo cese en el ejercicio del cargo de Rector de la Universidad Rey Juan Carlos que desempeña en la actualidad, sin posibilidad de concurrir en el nuevo proceso electoral que a tal fin habría de celebrarse, por lo que, obviamente, de tal ejecución se derivan para él perjuicios personales y profesionales que son, cuando menos, de difícil reparación.</w:t>
      </w:r>
    </w:p>
    <w:p w:rsidR="00E3576C" w:rsidRDefault="00E3576C" w:rsidP="00E3576C">
      <w:pPr>
        <w:pStyle w:val="TextoNormal"/>
      </w:pPr>
    </w:p>
    <w:p w:rsidR="00E3576C" w:rsidRDefault="00E3576C" w:rsidP="00E3576C">
      <w:pPr>
        <w:pStyle w:val="TextoNormal"/>
      </w:pPr>
      <w:r>
        <w:t xml:space="preserve">Pero también es preciso examinar si la suspensión puede afectar, perturbándolos gravemente, a intereses constitucionalmente protegidos o a derechos fundamentales o libertades públicas de terceras personas. En este sentido, ninguna perturbación grave de intereses constitucionalmente protegidos se sigue para la Universidad Rey Juan Carlos porque el actor continúe en el ejercicio del cargo, al que accedió por elección de la comunidad universitaria, </w:t>
      </w:r>
      <w:r>
        <w:lastRenderedPageBreak/>
        <w:t>en cuanto que, aun cuando sea en el régimen de provisionalidad que se deriva de la pendencia del presente proceso de amparo, la gestión de la referida universidad no sufre menoscabo alguno por la circunstancia de que sea el demandante quien continúe desempeñando el referido cargo.</w:t>
      </w:r>
    </w:p>
    <w:p w:rsidR="00E3576C" w:rsidRDefault="00E3576C" w:rsidP="00E3576C">
      <w:pPr>
        <w:pStyle w:val="TextoNormal"/>
      </w:pPr>
    </w:p>
    <w:p w:rsidR="00E3576C" w:rsidRDefault="00E3576C" w:rsidP="00E3576C">
      <w:pPr>
        <w:pStyle w:val="TextoNormal"/>
      </w:pPr>
      <w:r>
        <w:t>Tampoco se aprecia que con el mantenimiento de la suspensión queden perturbados gravemente los derechos fundamentales o libertades públicas de quien en el proceso contencioso-administrativo obtuvo Sentencia favorable a sus pretensiones. A tal fin, lo primero que debe destacarse es que no estamos ante un supuesto en el que los perjuicios que al recurrente en amparo ocasiona la situación creada por la Sentencia impugnada sean los mismos, aunque en sentido inverso, que los que se producen a la parte contraria en el caso de mantenerse la suspensión, en cuyo caso, ante una paridad de posiciones en que pudieran encontrarse las partes, el interés general en el cumplimiento de las resoluciones judiciales habría de llevar a considerar improcedente la suspensión (así, en los AATC 64/1990, de 30 de enero, FJ único; y 341/1996, de 25 de noviembre, FJ 3). Por el contrario, en el presente supuesto lo que la ejecución de la Sentencia recurrida comportaría es la celebración de unas nuevas elecciones rectorales, por lo que quien en el proceso contencioso-administrativo obtuvo Sentencia favorable no ostenta en su virtud un derecho a ejercer el cargo de rector sino una expectativa de acceso al mismo, supeditada al resultado de un nuevo proceso electoral (ATC 145/1989, de 27 de marzo, FJ 3).</w:t>
      </w:r>
    </w:p>
    <w:p w:rsidR="00E3576C" w:rsidRDefault="00E3576C" w:rsidP="00E3576C">
      <w:pPr>
        <w:pStyle w:val="TextoNormal"/>
      </w:pPr>
    </w:p>
    <w:p w:rsidR="00E3576C" w:rsidRDefault="00E3576C" w:rsidP="00E3576C">
      <w:pPr>
        <w:pStyle w:val="TextoNormal"/>
      </w:pPr>
      <w:r>
        <w:t>Por cuanto antecede, es de apreciar que en favor del mantenimiento de la suspensión solicitada concurren no sólo los intereses del demandante, opuestos a la remoción que implica la retroacción del proceso electoral, sino igualmente un interés general concretado en el mantenimiento de la situación existente en tanto se resuelve con carácter definitivo la controversia suscitada, sin perjuicio de que la Sala, para paliar los efectos de la pendencia del proceso, procederá a señalar preferentemente la deliberación y fallo del mismo.</w:t>
      </w:r>
    </w:p>
    <w:p w:rsidR="00E3576C" w:rsidRDefault="00E3576C" w:rsidP="00E3576C">
      <w:pPr>
        <w:pStyle w:val="TextoNormal"/>
      </w:pPr>
    </w:p>
    <w:p w:rsidR="00E3576C" w:rsidRDefault="00E3576C" w:rsidP="00E3576C">
      <w:pPr>
        <w:pStyle w:val="TextoNormal"/>
      </w:pPr>
      <w:r>
        <w:t>Por todo lo expuesto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Mantener la medida cautelar de suspensión acordada en la presente pieza por la providencia de 19 de diciembre de 2011.</w:t>
      </w:r>
    </w:p>
    <w:p w:rsidR="00E3576C" w:rsidRDefault="00E3576C" w:rsidP="00E3576C">
      <w:pPr>
        <w:pStyle w:val="TextoNormal"/>
      </w:pPr>
    </w:p>
    <w:p w:rsidR="00E3576C" w:rsidRDefault="00E3576C" w:rsidP="00E3576C">
      <w:pPr>
        <w:pStyle w:val="TextoNormal"/>
      </w:pPr>
      <w:r>
        <w:t>Madrid, a treinta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1" w:name="AUTO_2012_20"/>
      <w:r>
        <w:lastRenderedPageBreak/>
        <w:t>AUTO 20/2012, de 30 de enero de 2012</w:t>
      </w:r>
    </w:p>
    <w:bookmarkEnd w:id="161"/>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ECLI:ES:TC:2012:20A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Acuerda el desistimiento en el recurso de amparo 6370-2011, promovido en proceso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62" w:name="AUTO_2012_21"/>
      <w:r>
        <w:lastRenderedPageBreak/>
        <w:t>AUTO 21/2012, de 30 de enero de 2012</w:t>
      </w:r>
    </w:p>
    <w:bookmarkEnd w:id="162"/>
    <w:p w:rsidR="00E3576C" w:rsidRDefault="00E3576C" w:rsidP="00E3576C">
      <w:pPr>
        <w:pStyle w:val="TtuloResolucin"/>
      </w:pPr>
      <w:r>
        <w:t>Sección Tercera</w:t>
      </w:r>
    </w:p>
    <w:p w:rsidR="00E3576C" w:rsidRDefault="00E3576C" w:rsidP="00E3576C">
      <w:pPr>
        <w:pStyle w:val="TtuloResolucin"/>
      </w:pPr>
    </w:p>
    <w:p w:rsidR="00E3576C" w:rsidRDefault="00E3576C" w:rsidP="00E3576C">
      <w:pPr>
        <w:pStyle w:val="SntesisDescriptiva"/>
      </w:pPr>
      <w:r>
        <w:t>ECLI:ES:TC:2012:21A</w:t>
      </w:r>
    </w:p>
    <w:p w:rsidR="00E3576C" w:rsidRDefault="00E3576C" w:rsidP="00E3576C">
      <w:pPr>
        <w:pStyle w:val="SntesisDescriptiva"/>
      </w:pPr>
    </w:p>
    <w:p w:rsidR="00E3576C" w:rsidRDefault="00E3576C" w:rsidP="00E3576C">
      <w:pPr>
        <w:pStyle w:val="SntesisDescriptiva"/>
      </w:pPr>
      <w:r>
        <w:t>Excms. Srs. don Eugeni Gay Montalvo, don Francisco José Hernando Santiago y don Francisco Pérez de los Cobos Orihuel.</w:t>
      </w:r>
    </w:p>
    <w:p w:rsidR="00E3576C" w:rsidRDefault="00E3576C" w:rsidP="00E3576C">
      <w:pPr>
        <w:pStyle w:val="SntesisDescriptiva"/>
      </w:pPr>
    </w:p>
    <w:p w:rsidR="00E3576C" w:rsidRDefault="00E3576C" w:rsidP="00E3576C">
      <w:pPr>
        <w:pStyle w:val="SntesisDescriptiva"/>
      </w:pPr>
      <w:r>
        <w:t>Acuerda el desistimiento en el recurso de amparo 6645-2011, promovido en relación con actos parlamentarios.</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63" w:name="AUTO_2012_22"/>
      <w:r>
        <w:lastRenderedPageBreak/>
        <w:t>AUTO 22/2012, de 31 de enero de 2012</w:t>
      </w:r>
    </w:p>
    <w:bookmarkEnd w:id="163"/>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ECLI:ES:TC:2012:22A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5560-2006, promovido por don Joseba Koldobika Artola Ibarretxe.</w:t>
      </w:r>
    </w:p>
    <w:p w:rsidR="00E3576C" w:rsidRDefault="00E3576C" w:rsidP="00E3576C">
      <w:pPr>
        <w:pStyle w:val="SntesisDescriptiva"/>
      </w:pPr>
    </w:p>
    <w:p w:rsidR="00E3576C" w:rsidRDefault="00E3576C" w:rsidP="00E3576C">
      <w:pPr>
        <w:pStyle w:val="SntesisAnaltica"/>
      </w:pPr>
      <w:r>
        <w:t>Intangibilidad de las resoluciones judiciales: firmeza de las resoluciones judiciales. Régimen penitenciario: licenciamiento definitivo por cumplimiento de la pena.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22 de mayo de 2006, el Procurador de los Tribunales don José Javier Cuevas Rivas, en nombre y representación de don Joseba Koldobika Artola Ibarretxe, y bajo la dirección del Letrado don Iñaki Goioaga Llano, interpuso recurso de amparo contra el Auto de la Sala de lo Penal de la Audiencia Nacional de 18 de abril de 2006, que desestima sendos recursos de súplica interpuestos contra las providencias de la misma Sala de 16 y 31 de marzo de 2006 que deniegan el licenciamiento propuesto por el centro penitenciario y le requieren para que elabore nueva liquidación conforme a cierto criterio.</w:t>
      </w:r>
    </w:p>
    <w:p w:rsidR="00E3576C" w:rsidRDefault="00E3576C" w:rsidP="00E3576C">
      <w:pPr>
        <w:pStyle w:val="TextoNormal"/>
      </w:pPr>
    </w:p>
    <w:p w:rsidR="00E3576C" w:rsidRDefault="00E3576C" w:rsidP="00E3576C">
      <w:pPr>
        <w:pStyle w:val="TextoNormal"/>
      </w:pPr>
      <w:r w:rsidRPr="00E3576C">
        <w:rPr>
          <w:rStyle w:val="NumeroAFNegritaCaracter"/>
        </w:rPr>
        <w:t>2</w:t>
      </w:r>
      <w:r>
        <w:t>. Mediante escrito registrado en este Tribunal el 12 de diciembre de 2006, se solicitó la suspensión de la aplicación de las resoluciones judiciales impugnadas. A esos efectos, se expone que en dichas resoluciones, al haberse aplicado la doctrina establecida en la Sentencia de la Sala Segunda del Tribunal Supremo núm. 197/2006, de 28 de febrero, se ha retrasado el licenciamiento definitivo desde la fecha de 18 de mayo de 2006 a la de 10 de junio de 2016,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3</w:t>
      </w:r>
      <w:r>
        <w:t>. La Sala Segunda de este Tribunal, por providencia de 5 de febrero de 2008, acordó la admisión a trámite de la demanda de amparo.</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fecha 21 de junio de 2011 el Pleno acuerda recabar para sí, a propuesta de la Sala Segunda, el conocimiento del presente recurso de amparo que se tramitaba en dicha Sala.</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5</w:t>
      </w:r>
      <w:r>
        <w:t>. Mediante escrito registrado en este Tribunal el 5 de diciembre de 2011, se solicitó de nuevo la suspensión, esta vez “de los efectos de la aplicación de la sentencia del Tribunal Supremo 197/2006, de 28 de febrero, porque la misma está produciendo tal perjuicio al recurrente que hace perder al amparo su finalidad”, aduciendo los mismos motivos que en el previo escrito de 12 de diciembre de 2006 y puntualizando que, dado que han pasado cinco años desde entonces, el perjuicio se está agravando.</w:t>
      </w:r>
    </w:p>
    <w:p w:rsidR="00E3576C" w:rsidRDefault="00E3576C" w:rsidP="00E3576C">
      <w:pPr>
        <w:pStyle w:val="TextoNormal"/>
      </w:pPr>
    </w:p>
    <w:p w:rsidR="00E3576C" w:rsidRDefault="00E3576C" w:rsidP="00E3576C">
      <w:pPr>
        <w:pStyle w:val="TextoNormal"/>
      </w:pPr>
      <w:r w:rsidRPr="00E3576C">
        <w:rPr>
          <w:rStyle w:val="NumeroAFNegritaCaracter"/>
        </w:rPr>
        <w:t>6</w:t>
      </w:r>
      <w:r>
        <w:t>. El Pleno, por providencia de 20 de diciembre de 2011, acordó, de un lado, inadmitir la solicitud de 5 de diciembre de 2011 “toda vez que la suspensión interesada se refiere a una resolución judicial (STS 197/2006, de 28 de febrero) no recurrida en el presente proceso de amparo”, y de otro formar pieza separada para la tramitación del incidente sobre la suspensión solicitada en el escrito de 12 de diciembre de 2006 y conceder a las partes personadas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7</w:t>
      </w:r>
      <w:r>
        <w:t>. El Abogado del Estado, por escrito registrado el 28 de diciembre de 2011, presentó alegaciones en las que, enunciando la jurisprudencia de este Tribunal sobre el particular, interesó que se denegara la suspensión solicitada, argumentando, por un lado, la gravedad de las penas impuestas cuya fecha de cumplimiento es el objeto del recuso de amparo y la lejanía del tiempo de cumplimiento definitivo fijado en las resoluciones impugnadas, motivos que han conducido al ATC de 16 de abril de 2007 (sic) en un supuesto muy semejante a denegar la suspensión.</w:t>
      </w:r>
    </w:p>
    <w:p w:rsidR="00E3576C" w:rsidRDefault="00E3576C" w:rsidP="00E3576C">
      <w:pPr>
        <w:pStyle w:val="TextoNormal"/>
      </w:pPr>
    </w:p>
    <w:p w:rsidR="00E3576C" w:rsidRDefault="00E3576C" w:rsidP="00E3576C">
      <w:pPr>
        <w:pStyle w:val="TextoNormal"/>
      </w:pPr>
      <w:r w:rsidRPr="00E3576C">
        <w:rPr>
          <w:rStyle w:val="NumeroAFNegritaCaracter"/>
        </w:rPr>
        <w:t>8</w:t>
      </w:r>
      <w:r>
        <w:t>. El Ministerio Fiscal, por escrito registrado el 28 de diciembre de 2011, presentó alegaciones en las que, enunciando la jurisprudencia de este Tribunal sobre el particular, interesó que se denegara la suspensión solicitada, argumentando que, como el Tribunal resolvió en supuestos similares, “la solicitud de la suspensión debe ser rechazada, ya que se trata del cumplimiento de penas graves cuyo límite se ha establecido en treinta años y su concesión supondría la puesta en libertad del recurrente y, con ello, un parcial otorgamiento anticipado del amparo” (ATC 206/2010, de 30 de diciembre, FJ único).</w:t>
      </w:r>
    </w:p>
    <w:p w:rsidR="00E3576C" w:rsidRDefault="00E3576C" w:rsidP="00E3576C">
      <w:pPr>
        <w:pStyle w:val="TextoNormal"/>
      </w:pPr>
    </w:p>
    <w:p w:rsidR="00E3576C" w:rsidRDefault="00E3576C" w:rsidP="00E3576C">
      <w:pPr>
        <w:pStyle w:val="TextoNormal"/>
      </w:pPr>
      <w:r w:rsidRPr="00E3576C">
        <w:rPr>
          <w:rStyle w:val="NumeroAFNegritaCaracter"/>
        </w:rPr>
        <w:t>9</w:t>
      </w:r>
      <w:r>
        <w:t>. El recurrente, por escrito registrado el 29 de diciembre de 2011, presentó alegaciones insistiendo en la necesidad de la suspensión de las resoluciones impugnadas por los graves perjuicios que supone el mantenimiento en prisión.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El art. 56.1 de la Ley Orgánica del Tribunal Constitucional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w:t>
      </w:r>
      <w:r>
        <w:lastRenderedPageBreak/>
        <w:t>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En atención a todo ello, y tal como señala el Ministerio Fiscal y el Abogado del Estado,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5560-2006.</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4" w:name="AUTO_2012_23"/>
      <w:r>
        <w:lastRenderedPageBreak/>
        <w:t>AUTO 23/2012, de 31 de enero de 2012</w:t>
      </w:r>
    </w:p>
    <w:bookmarkEnd w:id="164"/>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ECLI:ES:TC:2012:23A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526-2007, promovido por don Pello Josepe Etxebarría Lete.</w:t>
      </w:r>
    </w:p>
    <w:p w:rsidR="00E3576C" w:rsidRDefault="00E3576C" w:rsidP="00E3576C">
      <w:pPr>
        <w:pStyle w:val="SntesisDescriptiva"/>
      </w:pPr>
    </w:p>
    <w:p w:rsidR="00E3576C" w:rsidRDefault="00E3576C" w:rsidP="00E3576C">
      <w:pPr>
        <w:pStyle w:val="SntesisAnaltica"/>
      </w:pPr>
      <w:r>
        <w:t>Régimen penitenciario: licenciamiento definitivo por cumplimiento de la pena. Suspensión de la ejecución del acto que origina el amparo: suspensión cautelar de resoluciones judiciales,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16 de enero de 2007, el Procurador de los Tribunales don José Javier Cuevas Rivas, en nombre y representación de don Pello Josepe Etxeberría Lete, y bajo la dirección de la Letrada doña Ainhoa Baglietto Gabilondo, interpuso recurso de amparo contra el Auto de la Sala de lo Penal de la Audiencia Nacional de 21 de noviembre de 2006, que desestima el recurso de súplica interpuesto contra la providencias de la misma Sala de 30 de octubre de 2006 que deniega el licenciamiento solicitado por el actor.</w:t>
      </w:r>
    </w:p>
    <w:p w:rsidR="00E3576C" w:rsidRDefault="00E3576C" w:rsidP="00E3576C">
      <w:pPr>
        <w:pStyle w:val="TextoNormal"/>
      </w:pPr>
    </w:p>
    <w:p w:rsidR="00E3576C" w:rsidRDefault="00E3576C" w:rsidP="00E3576C">
      <w:pPr>
        <w:pStyle w:val="TextoNormal"/>
      </w:pPr>
      <w:r w:rsidRPr="00E3576C">
        <w:rPr>
          <w:rStyle w:val="NumeroAFNegritaCaracter"/>
        </w:rPr>
        <w:t>2</w:t>
      </w:r>
      <w:r>
        <w:t>. La Sala Segunda de este Tribunal, por providencia de 30 de octubre de 2007, acordó la admisión a trámite de la demanda de amparo.</w:t>
      </w:r>
    </w:p>
    <w:p w:rsidR="00E3576C" w:rsidRDefault="00E3576C" w:rsidP="00E3576C">
      <w:pPr>
        <w:pStyle w:val="TextoNormal"/>
      </w:pPr>
    </w:p>
    <w:p w:rsidR="00E3576C" w:rsidRDefault="00E3576C" w:rsidP="00E3576C">
      <w:pPr>
        <w:pStyle w:val="TextoNormal"/>
      </w:pPr>
      <w:r w:rsidRPr="00E3576C">
        <w:rPr>
          <w:rStyle w:val="NumeroAFNegritaCaracter"/>
        </w:rPr>
        <w:t>3</w:t>
      </w:r>
      <w:r>
        <w:t>. Por providencia de fecha 21 de junio de 2011 el Pleno acuerda recabar para sí, a propuesta de la Sala Segunda, el conocimiento del presente recurso de amparo que se tramitaba en dicha Sala.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 registrado en este Tribunal el 5 de diciembre de 2011, se solicitó la suspensión de la aplicación de las resoluciones judiciales impugnadas. A esos efectos, se expone que en dichas resoluciones, al haberse aplicado la doctrina establecida en la Sentencia de la Sala Segunda del Tribunal Supremo núm. 197/2006, de 28 de febrero, se ha retrasado el licenciamiento definitivo desde la fecha de 10 de septiembre de 2006 a la de 8 de abril de 2019,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5</w:t>
      </w:r>
      <w:r>
        <w:t>. El Pleno, por providencia de 20 de diciembre de 2011, acordó formar pieza separada para la tramitación del incidente sobre la suspensión solicitada en el escrito de 5 de diciembre de 2011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por escrito registrado el 28 de diciembre de 2011, presentó alegaciones en las que, enunciando la jurisprudencia de este Tribunal sobre el particular, interesó que se denegara la suspensión solicitada, argumentando que, como el Tribunal resolvió en supuestos similares, “la solicitud de la suspensión debe ser rechazada, ya que se trata del cumplimiento de penas graves cuyo límite se ha establecido en treinta años y su concesión supondría la puesta en libertad del recurrente y, con ello, un parcial otorgamiento anticipado del amparo” (ATC 206/2010, de 30 de diciembre, FJ único).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de la Ley Orgánica del Tribunal Constitucional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206/2010, de 30 de diciembre).</w:t>
      </w:r>
    </w:p>
    <w:p w:rsidR="00E3576C" w:rsidRDefault="00E3576C" w:rsidP="00E3576C">
      <w:pPr>
        <w:pStyle w:val="TextoNormal"/>
      </w:pPr>
    </w:p>
    <w:p w:rsidR="00E3576C" w:rsidRDefault="00E3576C" w:rsidP="00E3576C">
      <w:pPr>
        <w:pStyle w:val="TextoNormal"/>
      </w:pPr>
      <w:r>
        <w:t>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lastRenderedPageBreak/>
        <w:t>ACUERDA</w:t>
      </w:r>
    </w:p>
    <w:p w:rsidR="00E3576C" w:rsidRDefault="00E3576C" w:rsidP="00E3576C">
      <w:pPr>
        <w:pStyle w:val="TextoNormalCentrado"/>
      </w:pPr>
    </w:p>
    <w:p w:rsidR="00E3576C" w:rsidRDefault="00E3576C" w:rsidP="00E3576C">
      <w:pPr>
        <w:pStyle w:val="TextoNormal"/>
      </w:pPr>
      <w:r>
        <w:t>Denegar la suspensión solicitada en el recurso de amparo núm. 526-2007.</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5" w:name="AUTO_2012_24"/>
      <w:r>
        <w:lastRenderedPageBreak/>
        <w:t>AUTO 24/2012, de 31 de enero de 2012</w:t>
      </w:r>
    </w:p>
    <w:bookmarkEnd w:id="165"/>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ECLI:ES:TC:2012:24A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Estima el recurso de súplica del Ministerio Fiscal sobre inadmisión del recurso de amparo 7731-2008, promovido por don Daniel Conde Fernández de Montoya.</w:t>
      </w:r>
    </w:p>
    <w:p w:rsidR="00E3576C" w:rsidRDefault="00E3576C" w:rsidP="00E3576C">
      <w:pPr>
        <w:pStyle w:val="SntesisDescriptiva"/>
      </w:pPr>
    </w:p>
    <w:p w:rsidR="00E3576C" w:rsidRDefault="00E3576C" w:rsidP="00E3576C">
      <w:pPr>
        <w:pStyle w:val="SntesisAnaltica"/>
      </w:pPr>
      <w:r>
        <w:t>Estimación de recurso de súplica contra providencias de inadmisión del Tribunal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 Mediante escrito presentado el día 10 de octubre de 2008 en el Decanato de los Juzgados de Primera Instancia y de lo Mercantil de Madrid, la Procuradora de los Tribunales doña María del Carmen Olmos Gilsanz, en nombre y representación de don Daniel Conde Fernández de Montoya, interpuso recurso de amparo contra la Sentencia de 25 de julio de 2008 de la Sección Primera de la Sala de lo Contencioso-Administrativo del Tribunal Superior de Justicia de Castilla y León, con sede en Burgos, dictada en el recurso de apelación núm. 87-2008 formalizado contra la Sentencia del Juzgado de lo Contencioso-Administrativo núm. 2 de Burgos, de 4 de diciembre de 2007, en el procedimiento abreviado núm. 94-2007.</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4 de marzo de 2009 la Sección Primera de este Tribunal acordó inadmitir el recurso de amparo, de conformidad con lo dispuesto en los arts. 49.1 y 50.1 a) de la Ley Orgánica de este Tribunal, por no haber satisfecho el recurrente la carga consistente en justificar la especial trascendencia constitucional del recurso.</w:t>
      </w:r>
    </w:p>
    <w:p w:rsidR="00E3576C" w:rsidRDefault="00E3576C" w:rsidP="00E3576C">
      <w:pPr>
        <w:pStyle w:val="TextoNormal"/>
      </w:pPr>
    </w:p>
    <w:p w:rsidR="00E3576C" w:rsidRDefault="00E3576C" w:rsidP="00E3576C">
      <w:pPr>
        <w:pStyle w:val="TextoNormal"/>
      </w:pPr>
      <w:r w:rsidRPr="00E3576C">
        <w:rPr>
          <w:rStyle w:val="NumeroAFNegritaCaracter"/>
        </w:rPr>
        <w:t>3</w:t>
      </w:r>
      <w:r>
        <w:t>. Contra la referida providencia de inadmisión interpuso recurso de súplica el Ministerio Fiscal, en escrito registrado en este Tribunal el día 3 de abril de 2009, solicitando que se dejase sin efecto la misma, toda vez que, aunque en el escrito de demanda de amparo no justificó expresamente la especial trascendencia constitucional del recurso, el recurrente presentó posteriormente un escrito ampliatorio dentro del plazo del art. 44.2 de la Ley Orgánica del Tribunal Constitucional (LOTC); escrito de fecha 10 de noviembre de 2008, remitido por fax el día 11 siguiente que contenía una serie de consideraciones en orden a dar cumplimiento al art. 49.1 LOTC.</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Por diligencia de ordenación de 21 de abril de 2009 se acordó dar traslado del recurso de súplica a la representación procesal del demandante de amparo para que, de conformidad </w:t>
      </w:r>
      <w:r>
        <w:lastRenderedPageBreak/>
        <w:t>con el art. 93.2 LOTC, alegara en el plazo de tres días lo que a su derecho conviniera. Mediante escrito presentado el 5 de mayo de 2009, la Procuradora de los Tribunales doña María del Carmen Olmos Gilsanz solicitó que se estimase el recurso de súplica del Ministerio Fiscal.</w:t>
      </w:r>
    </w:p>
    <w:p w:rsidR="00E3576C" w:rsidRDefault="00E3576C" w:rsidP="00E3576C">
      <w:pPr>
        <w:pStyle w:val="TextoNormal"/>
      </w:pPr>
    </w:p>
    <w:p w:rsidR="00E3576C" w:rsidRDefault="00E3576C" w:rsidP="00E3576C">
      <w:pPr>
        <w:pStyle w:val="TextoNormal"/>
      </w:pPr>
      <w:r w:rsidRPr="00E3576C">
        <w:rPr>
          <w:rStyle w:val="NumeroAFNegritaCaracter"/>
        </w:rPr>
        <w:t>5</w:t>
      </w:r>
      <w:r>
        <w:t>. El Secretario de Justicia de la Sección Primera de este Tribunal extendió diligencia, de 19 de mayo de 2011, para hacer constar que estaba pendiente la resolución del recurso de súplica formulado y que no era posible la localización de los autos. Con base en ello, en diligencia de ordenación de la misma fecha, declara que procede la reconstrucción de las actuaciones correspondientes al recurso de amparo, con las copias de escritos y resoluciones obrantes en el Tribunal, las cuales se ponían de manifiesto a la parte recurrente y al Ministerio Fiscal para que alegaran al respecto.</w:t>
      </w:r>
    </w:p>
    <w:p w:rsidR="00E3576C" w:rsidRDefault="00E3576C" w:rsidP="00E3576C">
      <w:pPr>
        <w:pStyle w:val="TextoNormal"/>
      </w:pPr>
    </w:p>
    <w:p w:rsidR="00E3576C" w:rsidRDefault="00E3576C" w:rsidP="00E3576C">
      <w:pPr>
        <w:pStyle w:val="TextoNormal"/>
      </w:pPr>
      <w:r>
        <w:t>Con ocasión de ese trámite, en escrito registrado el día 10 de junio de 2011, recordaba el Ministerio público el motivo de su impugnación, si bien señalaba que de las actuaciones que se acompañaban con la diligencia de ordenación de 19 de mayo podían surgir dudas sobre el cumplimiento en plazo del requisito controvertido (justificación del art. 49.1 in fine LOTC), interesando por ello que el Tribunal resolviera lo que fuera procedente.</w:t>
      </w:r>
    </w:p>
    <w:p w:rsidR="00E3576C" w:rsidRDefault="00E3576C" w:rsidP="00E3576C">
      <w:pPr>
        <w:pStyle w:val="TextoNormal"/>
      </w:pPr>
    </w:p>
    <w:p w:rsidR="00E3576C" w:rsidRDefault="00E3576C" w:rsidP="00E3576C">
      <w:pPr>
        <w:pStyle w:val="TextoNormal"/>
      </w:pPr>
      <w:r>
        <w:t>A tal fin, el Secretario de Justicia extendió nueva diligencia, de 14 de junio de 2011, indicando que “se ha procedido a obtener una copia de la relación de escritos correspondiente, en la que consta fehacientemente que el escrito presentado por la Procuradora doña María del Carmen Olmos Gilsanz de fecha 10 de noviembre de 2008, cuya copia simple se halla unida a los autos, lo fue en fecha 12 de noviembre de 2008, quedando unida dicha relación para su debida constancia”.</w:t>
      </w:r>
    </w:p>
    <w:p w:rsidR="00E3576C" w:rsidRDefault="00E3576C" w:rsidP="00E3576C">
      <w:pPr>
        <w:pStyle w:val="TextoNormal"/>
      </w:pPr>
    </w:p>
    <w:p w:rsidR="00E3576C" w:rsidRDefault="00E3576C" w:rsidP="00E3576C">
      <w:pPr>
        <w:pStyle w:val="TextoNormal"/>
      </w:pPr>
      <w:r>
        <w:t>Confirmada de ese modo la fecha de recepción en este Tribunal del escrito de ampliación de la demanda, en diligencia de ordenación de 20 de septiembre de 2011 se acordó dar traslado al Ministerio Fiscal y a la parte recurrente, por el plazo de cinco días, de la diligencia de constancia de 14 de junio de 2011 y de los escritos a que la misma se refiere, al objeto de que pudieran alegar lo que considerasen oportuno sobre su contenido.</w:t>
      </w:r>
    </w:p>
    <w:p w:rsidR="00E3576C" w:rsidRDefault="00E3576C" w:rsidP="00E3576C">
      <w:pPr>
        <w:pStyle w:val="TextoNormal"/>
      </w:pPr>
    </w:p>
    <w:p w:rsidR="00E3576C" w:rsidRDefault="00E3576C" w:rsidP="00E3576C">
      <w:pPr>
        <w:pStyle w:val="TextoNormal"/>
      </w:pPr>
      <w:r w:rsidRPr="00E3576C">
        <w:rPr>
          <w:rStyle w:val="NumeroAFNegritaCaracter"/>
        </w:rPr>
        <w:t>6</w:t>
      </w:r>
      <w:r>
        <w:t>. En nueva diligencia de ordenación, de 29 de septiembre de 2011, se acordó unir las actuaciones reproducidas a las originales, al haber sido estas últimas halladas, quedando a disposición de las partes en la Secretaría de Justicia de la Sala para ser consultadas, y estándose en lo demás a lo acordado en la diligencia de ordenación del día 20 de septiembre de 2011, en orden a la posibilidad de realizar nuevas alegaciones.</w:t>
      </w:r>
    </w:p>
    <w:p w:rsidR="00E3576C" w:rsidRDefault="00E3576C" w:rsidP="00E3576C">
      <w:pPr>
        <w:pStyle w:val="TextoNormal"/>
      </w:pPr>
    </w:p>
    <w:p w:rsidR="00E3576C" w:rsidRDefault="00E3576C" w:rsidP="00E3576C">
      <w:pPr>
        <w:pStyle w:val="TextoNormal"/>
      </w:pPr>
      <w:r>
        <w:t>Evacuó dicho trámite la representación procesal de la parte recurrente el día 30 de septiembre de 2011. Argumentaba en primer lugar, en los términos expuestos por el Fiscal en su recurso, que la demanda cumplía los requisitos de admisibilidad exigibles. Por otra parte, en lo referente al momento de presentación del escrito ampliatorio, consideraba que debía estarse a la fecha de remisión por fax (día 11 de noviembre de 2008), con independencia de cuál fuera la de constancia de recepción en el Tribunal, toda vez que el fax es un medio admitido en Derecho.</w:t>
      </w:r>
    </w:p>
    <w:p w:rsidR="00E3576C" w:rsidRDefault="00E3576C" w:rsidP="00E3576C">
      <w:pPr>
        <w:pStyle w:val="TextoNormal"/>
      </w:pPr>
    </w:p>
    <w:p w:rsidR="00E3576C" w:rsidRDefault="00E3576C" w:rsidP="00E3576C">
      <w:pPr>
        <w:pStyle w:val="TextoNormal"/>
      </w:pPr>
      <w:r>
        <w:t xml:space="preserve">El Ministerio Fiscal presentó su escrito de alegaciones el día 7 de octubre de 2011. Recuerda que la resolución que cerró el proceso fue notificada a la parte recurrente el día 30 </w:t>
      </w:r>
      <w:r>
        <w:lastRenderedPageBreak/>
        <w:t>de septiembre de 2008; y subraya que la diligencia de ordenación de 20 de septiembre de 2011 acredita que el escrito ampliatorio de la demanda, con las referencias a la especial trascendencia constitucional inicialmente omitidas, se presentó dentro del plazo del art. 44.2 LOTC, que se extendía hasta las 15 horas del día 12 de noviembre de 2008, de conformidad con el art. 85.2 LOTC. Esa circunstancia, unida a que aún no había recaído la providencia de inadmisión de 4 de marzo de 2009, determina, a su juicio, que deba tenerse por completada la demanda en plazo, estimándose por tanto el recurso de súplica formulado, todo ello sin perjuicio de la decisión final sobre la admisibilidad del amparo, que corresponderá al Tribunal a tenor de su contenido y apreciación.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recurso de súplica interpuesto por el Ministerio Fiscal contra la providencia de inadmisión del recurso de amparo, de 4 de marzo de 2009, debe ser estimado.</w:t>
      </w:r>
    </w:p>
    <w:p w:rsidR="00E3576C" w:rsidRDefault="00E3576C" w:rsidP="00E3576C">
      <w:pPr>
        <w:pStyle w:val="TextoNormal"/>
      </w:pPr>
    </w:p>
    <w:p w:rsidR="00E3576C" w:rsidRDefault="00E3576C" w:rsidP="00E3576C">
      <w:pPr>
        <w:pStyle w:val="TextoNormal"/>
      </w:pPr>
      <w:r>
        <w:t>En efecto, según indicamos en los antecedentes de esta resolución, la providencia citada acordó la inadmisión de la demanda de amparo por no haber satisfecho el recurrente la carga consistente en justificar la especial trascendencia constitucional del recurso (art. 49.1 in fine de la Ley Orgánica del Tribunal Constitucional: LOTC). Sin embargo, como correctamente señala el Ministerio Fiscal, aunque es verdad que la demanda no contenía argumentación alguna destinada al cumplimiento de dicho requisito, éste quedo cumplido por el escrito ampliatorio del recurso que tuvo entrada en el Tribunal el día 12 de noviembre de 2008, dentro del plazo del art. 44.2 LOTC. En dicho escrito se contienen una serie de consideraciones dirigidas a justificar expresamente, en el sentido exigido por la STC 155/2009, de 25 de junio, FJ 2, la especial trascendencia constitucional del recurso.</w:t>
      </w:r>
    </w:p>
    <w:p w:rsidR="00E3576C" w:rsidRDefault="00E3576C" w:rsidP="00E3576C">
      <w:pPr>
        <w:pStyle w:val="TextoNormal"/>
      </w:pPr>
    </w:p>
    <w:p w:rsidR="00E3576C" w:rsidRDefault="00E3576C" w:rsidP="00E3576C">
      <w:pPr>
        <w:pStyle w:val="TextoNormal"/>
      </w:pPr>
      <w:r>
        <w:t>Nuestra doctrina ha establecido que la exigencia prevista en el art. 49.1 in fine LOTC es un requisito insubsanable cuyo incumplimiento conduce a la inadmisión a limine del recurso. No obstante, como es sabido, dicha insubsanabilidad no comprende supuestos como el presente, en los que la inicial demanda de amparo se complementa posteriormente con un escrito ampliatorio presentado dentro del tiempo aún restante del plazo legal de interposición del recurso de amparo, y antes de que este Tribunal haya dictado una providencia acordando su inadmisión (por todos, ATC 262/2009, de 11 de noviembre). Y éste es el caso, ya que, efectivamente, el escrito ampliatorio de la demanda inicial tuvo entrada en el Registro General del Tribunal el día 12 de noviembre de 2008, no constando que su recepción fuera extemporánea por razón de la hora a la que ingresó (esto es, que fuera posterior a las quince horas de esa fecha, momento hasta el que se extendía el plazo, según el art. 85.2 LOTC). Por ello, se concluye que la parte recurrente actuó dentro del término del art. 44.2 LOTC.</w:t>
      </w:r>
    </w:p>
    <w:p w:rsidR="00E3576C" w:rsidRDefault="00E3576C" w:rsidP="00E3576C">
      <w:pPr>
        <w:pStyle w:val="TextoNormal"/>
      </w:pPr>
    </w:p>
    <w:p w:rsidR="00E3576C" w:rsidRDefault="00E3576C" w:rsidP="00E3576C">
      <w:pPr>
        <w:pStyle w:val="TextoNormal"/>
      </w:pPr>
      <w:r>
        <w:t xml:space="preserve">Por otra parte, no se plantea controversia alguna en cuanto al lugar de presentación del escrito (en relación con ello, STC 28/2011, de 14 de marzo). El escrito de ampliación de la demanda, recibido el día posterior al del vencimiento del plazo, tuvo entrada en este Tribunal, quedando por ello fuera de toda duda su validez a tenor del art. 85.2 LOTC antes citado. Es obvio que si el escrito de iniciación del recurso de amparo puede presentarse el día posterior al del vencimiento del plazo hasta las quince horas en la sede de este Tribunal Constitucional, según dispone aquel precepto, también será válido todo escrito que lo complemente presentado en esta sede y en ese término. Y eso es lo que se desprende en esta ocasión </w:t>
      </w:r>
      <w:r>
        <w:lastRenderedPageBreak/>
        <w:t>de la diligencia de ordenación de 14 de junio de 2011, en la que el Secretario de Justicia de la Sección Primera de este Tribunal indica que “se ha procedido a obtener una copia de la relación de escritos correspondiente, en la que consta fehacientemente que el escrito presentado por la Procuradora doña María del Carmen Olmos Gilsanz de fecha 10 de noviembre de 2008, cuya copia simple se halla unida a los autos, lo fue en fecha 12 de noviembre de 2008, quedando unida dicha relación para su debida constancia”.</w:t>
      </w:r>
    </w:p>
    <w:p w:rsidR="00E3576C" w:rsidRDefault="00E3576C" w:rsidP="00E3576C">
      <w:pPr>
        <w:pStyle w:val="TextoNormal"/>
      </w:pPr>
    </w:p>
    <w:p w:rsidR="00E3576C" w:rsidRDefault="00E3576C" w:rsidP="00E3576C">
      <w:pPr>
        <w:pStyle w:val="TextoNormal"/>
      </w:pPr>
      <w:r w:rsidRPr="00E3576C">
        <w:rPr>
          <w:rStyle w:val="NumeroAFNegritaCaracter"/>
        </w:rPr>
        <w:t>2</w:t>
      </w:r>
      <w:r>
        <w:t>. Procede, en consecuencia, estimando el recurso de súplica del Ministerio Fiscal, dejar sin efecto la providencia de la Sección Primera de este Tribunal de 4 de marzo de 2009, lo cual no afecta ni condiciona la decisión final que corresponda adoptar sobre la admisibilidad del recurso de amparo, que habrá de decidir expresamente esta Sección en nueva providencia (art. 50.1 LOTC).</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Estimar el recurso de súplica interpuesto por el Ministerio Fiscal y, en consecuencia, dejar sin efecto la providencia de 4 de marzo de 2009.</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6" w:name="AUTO_2012_25"/>
      <w:r>
        <w:lastRenderedPageBreak/>
        <w:t>AUTO 25/2012, de 31 de enero de 2012</w:t>
      </w:r>
    </w:p>
    <w:bookmarkEnd w:id="166"/>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ECLI:ES:TC:2012:25A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4793-2009, promovido por don Juan María Igarataundi Peñagaricano.</w:t>
      </w:r>
    </w:p>
    <w:p w:rsidR="00E3576C" w:rsidRDefault="00E3576C" w:rsidP="00E3576C">
      <w:pPr>
        <w:pStyle w:val="SntesisDescriptiva"/>
      </w:pPr>
    </w:p>
    <w:p w:rsidR="00E3576C" w:rsidRDefault="00E3576C" w:rsidP="00E3576C">
      <w:pPr>
        <w:pStyle w:val="SntesisAnaltica"/>
      </w:pPr>
      <w:r>
        <w:t>Proceso penal: protección de las víctimas. Régimen penitenciario: licenciamiento definitivo por cumplimiento de la pena. Suspensión cautelar de Sentencias penales: gravedad de la pena. Suspensión condicional de la pena: denegación de la suspensión condicional de la pena.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22 de mayo de 2009, el Procurador de los Tribunales don Javier Cuevas Ribas, en nombre y representación de don Juan María Igarataundi Peñagaricano, interpuso recurso de amparo contra la providencia de 3 de marzo de 2009, dictada por la Sección Primera de la Sala de lo Penal de la Audiencia Nacional, en la ejecutoria núm. 25-1988, dimanante del sumario núm. 25-1988 procedente del Juzgado Central de Instrucción núm. 1, por el que se aprueba la fecha de licenciamiento definitivo del recurrente, y contra el Auto de 1 de abril de 2009 de la misma Sala y Sección, que desestima el recurso de súplica interpuesto y confirma la providencia anterior.</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Sucintamente expuestos, los hechos relevantes para resolver la pretensión suspensiva son los siguientes: </w:t>
      </w:r>
    </w:p>
    <w:p w:rsidR="00E3576C" w:rsidRDefault="00E3576C" w:rsidP="00E3576C">
      <w:pPr>
        <w:pStyle w:val="TextoNormal"/>
      </w:pPr>
    </w:p>
    <w:p w:rsidR="00E3576C" w:rsidRDefault="00E3576C" w:rsidP="00E3576C">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E3576C" w:rsidRDefault="00E3576C" w:rsidP="00E3576C">
      <w:pPr>
        <w:pStyle w:val="TextoNormal"/>
      </w:pPr>
    </w:p>
    <w:p w:rsidR="00E3576C" w:rsidRDefault="00E3576C" w:rsidP="00E3576C">
      <w:pPr>
        <w:pStyle w:val="TextoNormal"/>
      </w:pPr>
      <w:r>
        <w:t>b) El 3 de marzo de 2009, la Sección Primera de la Sala de lo Penal de la Audiencia Nacional dictó providencia aprobando el licenciamiento definitivo del penado para el día 6 de junio de 2017.</w:t>
      </w:r>
    </w:p>
    <w:p w:rsidR="00E3576C" w:rsidRDefault="00E3576C" w:rsidP="00E3576C">
      <w:pPr>
        <w:pStyle w:val="TextoNormal"/>
      </w:pPr>
      <w:r>
        <w:t xml:space="preserve"> </w:t>
      </w:r>
    </w:p>
    <w:p w:rsidR="00E3576C" w:rsidRDefault="00E3576C" w:rsidP="00E3576C">
      <w:pPr>
        <w:pStyle w:val="TextoNormal"/>
      </w:pPr>
      <w:r>
        <w:lastRenderedPageBreak/>
        <w:t>c) Contra dicha providencia interpuso el demandante recurso de súplica, que fue desestimado por Auto de 1 de abril de 2009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E3576C" w:rsidRDefault="00E3576C" w:rsidP="00E3576C">
      <w:pPr>
        <w:pStyle w:val="TextoNormal"/>
      </w:pPr>
    </w:p>
    <w:p w:rsidR="00E3576C" w:rsidRDefault="00E3576C" w:rsidP="00E3576C">
      <w:pPr>
        <w:pStyle w:val="TextoNormal"/>
      </w:pPr>
      <w:r w:rsidRPr="00E3576C">
        <w:rPr>
          <w:rStyle w:val="NumeroAFNegritaCaracter"/>
        </w:rPr>
        <w:t>3</w:t>
      </w:r>
      <w:r>
        <w:t>. En la demanda de amparo se alega que las resoluciones judiciales impugnadas han vulnerado los derechos a la igualdad (art. 14 CE), a la libertad (art. 17 CE), a la tutela judicial efectiva (art. 24 CE), así como los principios de seguridad jurídica e irretroactividad (art. 9.3 CE), el principio de legalidad (art. 25.1 CE) y al principio de que las penas privativas de libertad han de estar orientadas hacia la reeducación y reinserción social (art. 25.2 CE).</w:t>
      </w:r>
    </w:p>
    <w:p w:rsidR="00E3576C" w:rsidRDefault="00E3576C" w:rsidP="00E3576C">
      <w:pPr>
        <w:pStyle w:val="TextoNormal"/>
      </w:pPr>
    </w:p>
    <w:p w:rsidR="00E3576C" w:rsidRDefault="00E3576C" w:rsidP="00E3576C">
      <w:pPr>
        <w:pStyle w:val="TextoNormal"/>
      </w:pPr>
      <w:r>
        <w:t>En otrosí segundo, el recurrente solicitaba la suspensión de la ejecución de las resoluciones impugnadas.</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4.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E3576C" w:rsidRDefault="00E3576C" w:rsidP="00E3576C">
      <w:pPr>
        <w:pStyle w:val="TextoNormal"/>
      </w:pPr>
    </w:p>
    <w:p w:rsidR="00E3576C" w:rsidRDefault="00E3576C" w:rsidP="00E3576C">
      <w:pPr>
        <w:pStyle w:val="TextoNormal"/>
      </w:pPr>
      <w:r>
        <w:t>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5</w:t>
      </w:r>
      <w:r>
        <w:t>. La representación procesal del demandante de amparo evacuó el citado trámite a través de un escrito presentado en el Registro General de este Tribunal el 3 de mayo de 2011, en el que reiteró su solicitud.</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00E3576C" w:rsidRDefault="00E3576C" w:rsidP="00E3576C">
      <w:pPr>
        <w:pStyle w:val="TextoNormal"/>
      </w:pPr>
    </w:p>
    <w:p w:rsidR="00E3576C" w:rsidRDefault="00E3576C" w:rsidP="00E3576C">
      <w:pPr>
        <w:pStyle w:val="TextoNormal"/>
      </w:pPr>
      <w:r w:rsidRPr="00E3576C">
        <w:rPr>
          <w:rStyle w:val="NumeroAFNegritaCaracter"/>
        </w:rPr>
        <w:t>7</w:t>
      </w:r>
      <w:r>
        <w:t>. Por providencia, de fecha 18 de enero de 2012, la Sala Segunda de este Tribunal, acordó la avocación al Pleno, del presente recurso de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El art. 56.2 de la Ley Orgánica del Tribunal Constitucional (en la redacción dada por Ley Orgánica 6/2007, de 24 de mayo) dispone que “cuando la ejecución del acto o Sentencia </w:t>
      </w:r>
      <w:r>
        <w:lastRenderedPageBreak/>
        <w:t>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rsidRPr="00E3576C">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E3576C" w:rsidRDefault="00E3576C" w:rsidP="00E3576C">
      <w:pPr>
        <w:pStyle w:val="TextoNormal"/>
      </w:pPr>
    </w:p>
    <w:p w:rsidR="00E3576C" w:rsidRDefault="00E3576C" w:rsidP="00E3576C">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Conforme ha quedado expuesto, el recurrente en amparo impugna la providencia de la Sección Primera de la Sala de lo Penal de la Audiencia Nacional de 3 de marzo de 2009 así como el Auto de 1 de abril de 2009 desestimó el recurso de súplica presentado y confirmó la providencia.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00E3576C" w:rsidRDefault="00E3576C" w:rsidP="00E3576C">
      <w:pPr>
        <w:pStyle w:val="TextoNormal"/>
      </w:pPr>
    </w:p>
    <w:p w:rsidR="00E3576C" w:rsidRDefault="00E3576C" w:rsidP="00E3576C">
      <w:pPr>
        <w:pStyle w:val="TextoNormal"/>
      </w:pPr>
      <w:r>
        <w:t>Por tanto, lo que el recurrente pretende es que este Tribunal acuerde cautelarmente su inmediata puesta en libertad en tanto se resuelva el recurso de amparo y, en consecuencia, se pronuncie sobre si el recurrente habría cumplido ya su condena el día 9 de abril de 2009 (según sostiene el demandante) o si, en cambio, no la extingue hasta el día 6 de junio de 2017 (como es el criterio de las resoluciones impugnadas), pues lo contrario, añade el recurrente, le produciría un perjuicio irreparable, en el caso de otorgarse finalmente el amparo.</w:t>
      </w:r>
    </w:p>
    <w:p w:rsidR="00E3576C" w:rsidRDefault="00E3576C" w:rsidP="00E3576C">
      <w:pPr>
        <w:pStyle w:val="TextoNormal"/>
      </w:pPr>
    </w:p>
    <w:p w:rsidR="00E3576C" w:rsidRDefault="00E3576C" w:rsidP="00E3576C">
      <w:pPr>
        <w:pStyle w:val="TextoNormal"/>
      </w:pPr>
      <w:r>
        <w:t>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3/2011, de 14 de febrero, FJ único; o 92/2011, de 20 de junio, FJ 3).</w:t>
      </w:r>
    </w:p>
    <w:p w:rsidR="00E3576C" w:rsidRDefault="00E3576C" w:rsidP="00E3576C">
      <w:pPr>
        <w:pStyle w:val="TextoNormal"/>
      </w:pPr>
    </w:p>
    <w:p w:rsidR="00E3576C" w:rsidRDefault="00E3576C" w:rsidP="00E3576C">
      <w:pPr>
        <w:pStyle w:val="TextoNormal"/>
      </w:pPr>
      <w:r>
        <w:t>Ello conduce a la denegación de la suspensión solicitada.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medida cautelar de suspensión solicitada por don Juan María Igarataundi Peñagaricano en el recurso de amparo núm. 4793-2009.</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7" w:name="AUTO_2012_26"/>
      <w:r>
        <w:lastRenderedPageBreak/>
        <w:t>AUTO 26/2012, de 31 de enero de 2012</w:t>
      </w:r>
    </w:p>
    <w:bookmarkEnd w:id="167"/>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ECLI:ES:TC:2012:26A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6190-2009, promovido por don Miguel Fernández Fernández.</w:t>
      </w:r>
    </w:p>
    <w:p w:rsidR="00E3576C" w:rsidRDefault="00E3576C" w:rsidP="00E3576C">
      <w:pPr>
        <w:pStyle w:val="SntesisDescriptiva"/>
      </w:pPr>
    </w:p>
    <w:p w:rsidR="00E3576C" w:rsidRDefault="00E3576C" w:rsidP="00E3576C">
      <w:pPr>
        <w:pStyle w:val="SntesisAnaltica"/>
      </w:pPr>
      <w:r>
        <w:t>Especial trascendencia constitucional del recurso de amparo: justificación de la especial trascendencia constitucional; negativa judicial de acatamiento de la doctrina constitucional. Inadmisión de recurso de amparo: carencia de especial trascendencia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3 de julio de 2009, la Procuradora de los Tribunales doña María del Mar Gómez Rodríguez, en nombre y representación de don Miguel Fernández Fernández, interpuso recurso de amparo contra la Sentencia de 7 de mayo de 2009 dictada por la Sección Segunda de la Audiencia Provincial de Alicante, así como contra la Sentencia de 30 de septiembre de 2008 del Juzgado de Menores núm. 2 de Alicante, de la que traía causa la anterior.</w:t>
      </w:r>
    </w:p>
    <w:p w:rsidR="00E3576C" w:rsidRDefault="00E3576C" w:rsidP="00E3576C">
      <w:pPr>
        <w:pStyle w:val="TextoNormal"/>
      </w:pPr>
    </w:p>
    <w:p w:rsidR="00E3576C" w:rsidRDefault="00E3576C" w:rsidP="00E3576C">
      <w:pPr>
        <w:pStyle w:val="TextoNormal"/>
      </w:pPr>
      <w:r w:rsidRPr="00E3576C">
        <w:rPr>
          <w:rStyle w:val="NumeroAFNegritaCaracter"/>
        </w:rPr>
        <w:t>2</w:t>
      </w:r>
      <w:r>
        <w:t>. La demanda de amparo se fundamenta en los siguientes hechos:</w:t>
      </w:r>
    </w:p>
    <w:p w:rsidR="00E3576C" w:rsidRDefault="00E3576C" w:rsidP="00E3576C">
      <w:pPr>
        <w:pStyle w:val="TextoNormal"/>
      </w:pPr>
    </w:p>
    <w:p w:rsidR="00E3576C" w:rsidRDefault="00E3576C" w:rsidP="00E3576C">
      <w:pPr>
        <w:pStyle w:val="TextoNormal"/>
      </w:pPr>
      <w:r>
        <w:t>a) La Sentencia del Juzgado de menores núm. 2 de Alicante impuso al recurrente en amparo, como autor criminalmente responsable de un delito contra la salud pública (art. 368, inciso primero, del Código penal), la medida consistente en quince meses de internamiento en régimen semiabierto, de los cuales los tres últimos se cumplirían en régimen de libertad vigilada. Razonaba el juzgador que la comisión del delito resultaba del contenido de las grabaciones telefónicas que le fueron intervenidas al menor con autorización judicial; grabaciones que evidenciaban que el día de autos su madre, asustada por la detención del abuelo del menor, entregó a éste una bolsa con hachís y cocaína para que la trasportara a otro domicilio, acto de tráfico que llevó a cabo efectivamente, según se desprendería de los testimonios de tres agentes de la Policía Nacional que participaron en el operativo policial.</w:t>
      </w:r>
    </w:p>
    <w:p w:rsidR="00E3576C" w:rsidRDefault="00E3576C" w:rsidP="00E3576C">
      <w:pPr>
        <w:pStyle w:val="TextoNormal"/>
      </w:pPr>
    </w:p>
    <w:p w:rsidR="00E3576C" w:rsidRDefault="00E3576C" w:rsidP="00E3576C">
      <w:pPr>
        <w:pStyle w:val="TextoNormal"/>
      </w:pPr>
      <w:r>
        <w:t xml:space="preserve">El condenado interpuso en tiempo y forma recurso de apelación. Alegaba la vulneración del derecho a la tutela judicial efectiva (art. 24.1 CE) y el derecho al secreto de las comunicaciones (art. 18.3 CE), ya que no se incorporaron a las actuaciones ni la solicitud de intervención de su teléfono, ni el Auto ordenando dicha intervención o su prórroga, por lo que, al haber sido tenidas en cuenta las grabaciones, sirviendo de fundamento para la Sentencia </w:t>
      </w:r>
      <w:r>
        <w:lastRenderedPageBreak/>
        <w:t>condenatoria, se habría ocasionado la lesión de aquellos derechos. Asimismo, aducía la vulneración del derecho a la presunción de inocencia (art. 24.2 CE) ya que las declaraciones de los policías nacionales que depusieron en el acto del plenario, en contra de lo declarado por los órganos judiciales, coincidían en que no vigilaron al menor y no observaron cómo salía de las viviendas entre las que se le acusa haber realizado el trasporte de las sustancias.</w:t>
      </w:r>
    </w:p>
    <w:p w:rsidR="00E3576C" w:rsidRDefault="00E3576C" w:rsidP="00E3576C">
      <w:pPr>
        <w:pStyle w:val="TextoNormal"/>
      </w:pPr>
    </w:p>
    <w:p w:rsidR="00E3576C" w:rsidRDefault="00E3576C" w:rsidP="00E3576C">
      <w:pPr>
        <w:pStyle w:val="TextoNormal"/>
      </w:pPr>
      <w:r>
        <w:t>La Sentencia de la Audiencia Provincial de Alicante, tras recordar con profusa cita de jurisprudencia de este Tribunal la doctrina constitucional sobre la validez de las escuchas telefónicas, tanto en la decisión de intervención, como en su ejecución policial y en el control judicial de su ejecución (fundamento de Derecho segundo), señala en el fundamento de Derecho tercero que aunque “por omisión no justificada han dejado de aportarse a las actuaciones el auto inicial acordando las escuchas telefónicas y algunas de sus prórrogas, figura sin embargo el Auto de 7 de junio de 2007 en el que se decreta la prórroga de los diferentes teléfonos, cuya intervención iba a dar lugar a una serie de conversaciones que llevaría a la ocupación de la droga (folios 332 a 347). En consecuencia, aun cuando no existe el Auto inicial, se considera que el Auto de 7 de Junio de 2007, testimoniado en las actuaciones, reúne todos los requisitos para legitimar la intervención telefónica, en concreto la existencia de indicios acreditativos de que una serie de personas se dedicaban al tráfico de drogas, unos como distribuidores, otros encargados de la venta directa y otros de almacenamiento y transporte. La intervención es una medida adecuada y proporcional al fin que se persigue, dada la gravedad del delito de tráfico de drogas cometido, existiendo un control judicial tal como se acuerda en la parte dispositiva del Auto. Se considera, por tanto, que no nos hallamos ante un supuesto de escuchas telefónicas que carezcan de cobertura judicial y que deban determinar la nulidad de las mismas, por lo que no se ha vulnerado el derecho fundamental al secreto de las comunicaciones consagrado en el art. 18.3 de la CE”. Junto a ello, hacía referencia la Sentencia a los testimonios de los policías nacionales en el acto de la vista, que unidos a las conclusiones extraídas de las grabaciones telefónicas y de las diligencias de entrada y registro, confirmarían los hechos y la corrección de la calificación jurídica de los mismos en la Sentencia de instancia, que se confirma por consiguiente en la apelación.</w:t>
      </w:r>
    </w:p>
    <w:p w:rsidR="00E3576C" w:rsidRDefault="00E3576C" w:rsidP="00E3576C">
      <w:pPr>
        <w:pStyle w:val="TextoNormal"/>
      </w:pPr>
    </w:p>
    <w:p w:rsidR="00E3576C" w:rsidRDefault="00E3576C" w:rsidP="00E3576C">
      <w:pPr>
        <w:pStyle w:val="TextoNormal"/>
      </w:pPr>
      <w:r w:rsidRPr="00E3576C">
        <w:rPr>
          <w:rStyle w:val="NumeroAFNegritaCaracter"/>
        </w:rPr>
        <w:t>3</w:t>
      </w:r>
      <w:r>
        <w:t>. En correspondencia con lo alegado en el recurso de apelación, el recurrente en amparo aduce en su demanda la vulneración del derecho a la tutela judicial efectiva (art. 24.1 CE), el derecho al secreto de las comunicaciones (art. 18.3 CE) y el derecho a la presunción de inocencia (art. 24.2 CE). Observa que la presente causa se incoó por desglose de otra causa también seguida por delito contra la salud pública, y que en esta última causa constaban el Auto inicial y las prórrogas de las intervenciones telefónicas que no se han incorporado a los autos actuales, como reconoce la propia Audiencia Provincial en la Sentencia impugnada. Esa circunstancia, a su juicio, vicia de nulidad la escuchas telefónicas obrantes en autos, las transcripciones de las mismas y el valor probatorio que se les ha otorgado, ya que la ausencia denunciada impide al juzgador efectuar un control judicial, y a las partes hacer alegaciones sobre la adecuación de las intervenciones telefónicas a los criterios constitucionales, quebrando con ello el derecho de defensa.</w:t>
      </w:r>
    </w:p>
    <w:p w:rsidR="00E3576C" w:rsidRDefault="00E3576C" w:rsidP="00E3576C">
      <w:pPr>
        <w:pStyle w:val="TextoNormal"/>
      </w:pPr>
    </w:p>
    <w:p w:rsidR="00E3576C" w:rsidRDefault="00E3576C" w:rsidP="00E3576C">
      <w:pPr>
        <w:pStyle w:val="TextoNormal"/>
      </w:pPr>
      <w:r>
        <w:t>En cuanto a la vulneración del derecho a la presunción de inocencia, el recurso de amparo sostiene que del acta del juicio oral se infiere que los agentes de policía ni vigilaron ni vieron al menor salir de las viviendas entre las que supuestamente realizó el transporte de las sus</w:t>
      </w:r>
      <w:r>
        <w:lastRenderedPageBreak/>
        <w:t>tancias estupefacientes. Por lo demás, añade, tampoco de las grabaciones telefónicas se deduce la conclusión de la participación del menor en los hechos. Por todo lo cual estima vulnerado el art. 24.2 CE.</w:t>
      </w:r>
    </w:p>
    <w:p w:rsidR="00E3576C" w:rsidRDefault="00E3576C" w:rsidP="00E3576C">
      <w:pPr>
        <w:pStyle w:val="TextoNormal"/>
      </w:pPr>
    </w:p>
    <w:p w:rsidR="00E3576C" w:rsidRDefault="00E3576C" w:rsidP="00E3576C">
      <w:pPr>
        <w:pStyle w:val="TextoNormal"/>
      </w:pPr>
      <w:r w:rsidRPr="00E3576C">
        <w:rPr>
          <w:rStyle w:val="NumeroAFNegritaCaracter"/>
        </w:rPr>
        <w:t>4</w:t>
      </w:r>
      <w:r>
        <w:t>. La Sección Primera de este Tribunal, por providencia de 22 de diciembre de 2009, inadmitió el recurso de amparo por no apreciar la especial trascendencia constitucional que, como condición para la admisión de un recurso de amparo, requiere el art. 50.1 b)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contra la citada providencia de inadmisión, registró escrito de recurso de súplica el 9 de febrero de 2010. Razona que el Auto inicial adoptando la medida de intervención, así como algún otro posterior resolviendo su prórroga, no se incorporaron al procedimiento, de modo que ni el Juez de Menores, en la instancia, ni la Audiencia Provincial, en la apelación, pudieron valorar el cumplimiento de las exigencias constitucionales en el Auto que acordó la intervención, ni tampoco en algunos de los posteriores que ordenaron las prórrogas; situación que, a su criterio, revela una sólida apariencia de lesión si se atiende a la jurisprudencia de este Tribunal.</w:t>
      </w:r>
    </w:p>
    <w:p w:rsidR="00E3576C" w:rsidRDefault="00E3576C" w:rsidP="00E3576C">
      <w:pPr>
        <w:pStyle w:val="TextoNormal"/>
      </w:pPr>
    </w:p>
    <w:p w:rsidR="00E3576C" w:rsidRDefault="00E3576C" w:rsidP="00E3576C">
      <w:pPr>
        <w:pStyle w:val="TextoNormal"/>
      </w:pPr>
      <w:r>
        <w:t>En segundo lugar, refiriéndose al contenido estricto de la providencia recurrida, el recurso de súplica señala lo siguiente:</w:t>
      </w:r>
    </w:p>
    <w:p w:rsidR="00E3576C" w:rsidRDefault="00E3576C" w:rsidP="00E3576C">
      <w:pPr>
        <w:pStyle w:val="TextoNormal"/>
      </w:pPr>
    </w:p>
    <w:p w:rsidR="00E3576C" w:rsidRDefault="00E3576C" w:rsidP="00E3576C">
      <w:pPr>
        <w:pStyle w:val="TextoNormal"/>
      </w:pPr>
      <w:r>
        <w:t>“Por lo que se refiere al requisito de la especial trascendencia constitucional, la STC 155/2009, contempla en su FJ 2 entre otros supuestos que suponen el cumplimiento de dicha exigencia, el comprendido en el siguiente apartado: ‘f) o en el caso de que un órgano judicial incurra en una negativa manifiesta del deber de acatamiento de la doctrina del Tribunal Constitucional (art. 5 de la Ley Orgánica del Poder Judicial: LOPJ)’.”</w:t>
      </w:r>
    </w:p>
    <w:p w:rsidR="00E3576C" w:rsidRDefault="00E3576C" w:rsidP="00E3576C">
      <w:pPr>
        <w:pStyle w:val="TextoNormal"/>
      </w:pPr>
    </w:p>
    <w:p w:rsidR="00E3576C" w:rsidRDefault="00E3576C" w:rsidP="00E3576C">
      <w:pPr>
        <w:pStyle w:val="TextoNormal"/>
      </w:pPr>
      <w:r>
        <w:t>Y añade a renglón seguido:</w:t>
      </w:r>
    </w:p>
    <w:p w:rsidR="00E3576C" w:rsidRDefault="00E3576C" w:rsidP="00E3576C">
      <w:pPr>
        <w:pStyle w:val="TextoNormal"/>
      </w:pPr>
    </w:p>
    <w:p w:rsidR="00E3576C" w:rsidRDefault="00E3576C" w:rsidP="00E3576C">
      <w:pPr>
        <w:pStyle w:val="TextoNormal"/>
      </w:pPr>
      <w:r>
        <w:t>“El Fiscal estima la concurrencia de dicha hipótesis, y en base a ello interesa que teniendo por presentado en tiempo y forma el presente recurso, se admita y se deje sin efecto la providencia recurrida resolviéndose la admisión a trámite de la demanda.”</w:t>
      </w:r>
    </w:p>
    <w:p w:rsidR="00E3576C" w:rsidRDefault="00E3576C" w:rsidP="00E3576C">
      <w:pPr>
        <w:pStyle w:val="TextoNormal"/>
      </w:pPr>
    </w:p>
    <w:p w:rsidR="00E3576C" w:rsidRDefault="00E3576C" w:rsidP="00E3576C">
      <w:pPr>
        <w:pStyle w:val="TextoNormal"/>
      </w:pPr>
      <w:r w:rsidRPr="00E3576C">
        <w:rPr>
          <w:rStyle w:val="NumeroAFNegritaCaracter"/>
        </w:rPr>
        <w:t>6</w:t>
      </w:r>
      <w:r>
        <w:t>. La Secretaría de Justicia de la Sección Primera de este Tribunal, por diligencia de ordenación de 10 de febrero de 2010, acordó dar traslado del recurso de súplica para alegaciones del demandante (art. 93.2 LOTC), quien por escrito de su representación procesal evacuó el trámite el 17 de febrero de 2010, adhiriéndose a lo alegado en el recurso.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Tras afirmar que no pueden descartarse las vulneraciones denunciadas por el demandante, el Ministerio Fiscal fundamenta su recurso de súplica en que el recurso de amparo, en contra de lo dispuesto en la providencia de inadmisión recurrida, de 22 de diciembre de 2009, tiene especial trascendencia constitucional en los términos señalados en el art. 50.1 b) de la Ley Orgánica del Tribunal Constitucional (LOTC). A su criterio, sería encuadrable en el supuesto f) del fundamento jurídico 2 de la STC 155/2009, de 25 de junio, del Pleno </w:t>
      </w:r>
      <w:r>
        <w:lastRenderedPageBreak/>
        <w:t>del Tribunal, esto es, entre aquellos casos en que un órgano judicial incurre en una negativa manifiesta del deber de acatamiento de la doctrina del Tribunal Constitucional, mereciendo por ello la admisión a trámite.</w:t>
      </w:r>
    </w:p>
    <w:p w:rsidR="00E3576C" w:rsidRDefault="00E3576C" w:rsidP="00E3576C">
      <w:pPr>
        <w:pStyle w:val="TextoNormal"/>
      </w:pPr>
    </w:p>
    <w:p w:rsidR="00E3576C" w:rsidRDefault="00E3576C" w:rsidP="00E3576C">
      <w:pPr>
        <w:pStyle w:val="TextoNormal"/>
      </w:pPr>
      <w:r w:rsidRPr="00E3576C">
        <w:rPr>
          <w:rStyle w:val="NumeroAFNegritaCaracter"/>
        </w:rPr>
        <w:t>2</w:t>
      </w:r>
      <w:r>
        <w:t>. Este Tribunal ha destacado que la entrada en vigor de la Ley Orgánica 6/2007, de 24 de mayo, ha supuesto una importante modificación del régimen jurídico del trámite de la admisión del recurso de amparo, por la inclusión de nuevos requisitos de procedibilidad. Entre ellos destaca el enunciado en el art. 50.1 b) LOTC, según el cual el contenido del recurso debe justificar una decisión sobre el fondo por parte del Tribunal Constitucional por su especial trascendencia constitucional, que se apreciará atendiendo a su importancia para la interpretación de la Constitución, para su aplicación o para su general eficacia, y para la determinación del contenido y alcance de los derechos fundamentales (STC 155/2009, de 25 de junio, FJ 2).</w:t>
      </w:r>
    </w:p>
    <w:p w:rsidR="00E3576C" w:rsidRDefault="00E3576C" w:rsidP="00E3576C">
      <w:pPr>
        <w:pStyle w:val="TextoNormal"/>
      </w:pPr>
    </w:p>
    <w:p w:rsidR="00E3576C" w:rsidRDefault="00E3576C" w:rsidP="00E3576C">
      <w:pPr>
        <w:pStyle w:val="TextoNormal"/>
      </w:pPr>
      <w:r>
        <w:t>Tomando en consideración esos tres criterios que establece el art. 50.1 b) LOTC, aquel pronunciamiento del Pleno (STC 155/2009) ha identificado una serie de supuestos en los que cabe apreciar dicha especial trascendencia constitucional, entre los que se encuentra, en efecto, el alegado por el Ministerio Fiscal, a saber: que un órgano judicial incurra en una negativa manifiesta del deber de acatamiento de la doctrina del Tribunal Constitucional.</w:t>
      </w:r>
    </w:p>
    <w:p w:rsidR="00E3576C" w:rsidRDefault="00E3576C" w:rsidP="00E3576C">
      <w:pPr>
        <w:pStyle w:val="TextoNormal"/>
      </w:pPr>
    </w:p>
    <w:p w:rsidR="00E3576C" w:rsidRDefault="00E3576C" w:rsidP="00E3576C">
      <w:pPr>
        <w:pStyle w:val="TextoNormal"/>
      </w:pPr>
      <w:r w:rsidRPr="00E3576C">
        <w:rPr>
          <w:rStyle w:val="NumeroAFNegritaCaracter"/>
        </w:rPr>
        <w:t>3</w:t>
      </w:r>
      <w:r>
        <w:t>. Para resolver el presente recurso de súplica será imprescindible hacer referencia a los términos en los que debe producirse la alegación y fundamentación de la especial trascendencia constitucional del recurso de amparo.</w:t>
      </w:r>
    </w:p>
    <w:p w:rsidR="00E3576C" w:rsidRDefault="00E3576C" w:rsidP="00E3576C">
      <w:pPr>
        <w:pStyle w:val="TextoNormal"/>
      </w:pPr>
    </w:p>
    <w:p w:rsidR="00E3576C" w:rsidRDefault="00E3576C" w:rsidP="00E3576C">
      <w:pPr>
        <w:pStyle w:val="TextoNormal"/>
      </w:pPr>
      <w:r>
        <w:t>Nuestra doctrina ha definido reiteradamente ese requisito y la carga de justificación que conlleva para el recurrente, al ser el sujeto llamado a satisfacerla al iniciar el procedimiento de amparo. Pues bien, es necesario establecer ahora que esa exigencia de justificación alcanzará también al Ministerio Fiscal en casos como el actual. En efecto, en coherencia con el nuevo modelo que la Ley Orgánica 6/2007, de 24 de mayo, introduce en el régimen jurídico del trámite de la admisión del recurso de amparo, el Ministerio Fiscal deberá observar el deber de justificación de la especial trascendencia constitucional que aduzca o postule cuando, con ocasión de un recurso de súplica, cuestione la decisión previa de este Tribunal que la haya declarado no concurrente en el asunto. Por ello, cabe extender al Fiscal lo que se ha venido señalando para los recurrentes en amparo en cuanto a la obligación referida, por lo que también aquél, como dijera la STC 155/2009, “ha de satisfacer necesariamente, de acuerdo con lo dispuesto en el art. 49.1 in fine LOTC, la carga de justificar en la demanda la especial trascendencia constitucional del recurso” (fundamento jurídico 2).</w:t>
      </w:r>
    </w:p>
    <w:p w:rsidR="00E3576C" w:rsidRDefault="00E3576C" w:rsidP="00E3576C">
      <w:pPr>
        <w:pStyle w:val="TextoNormal"/>
      </w:pPr>
    </w:p>
    <w:p w:rsidR="00E3576C" w:rsidRDefault="00E3576C" w:rsidP="00E3576C">
      <w:pPr>
        <w:pStyle w:val="TextoNormal"/>
      </w:pPr>
      <w:r>
        <w:t>Como es sabido, dicha justificación constituye una exigencia ineludible; un instrumento de colaboración con la justicia constitucional. Y es algo distinto a razonar la existencia de la vulneración de un derecho fundamental (AATC 188/2008, de 21 de julio, FJ 2; 289/2008, de 22 de septiembre, FJ 2; 290/2008, de 22 de septiembre, FJ 2; 80/2009, de 9 de marzo, FJ 2; y 186/2010, de 29 de noviembre, FJ único), por lo que será necesario que en la demanda (o ahora, por parte del Ministerio Fiscal, en el recurso de súplica)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w:t>
      </w:r>
    </w:p>
    <w:p w:rsidR="00E3576C" w:rsidRDefault="00E3576C" w:rsidP="00E3576C">
      <w:pPr>
        <w:pStyle w:val="TextoNormal"/>
      </w:pPr>
    </w:p>
    <w:p w:rsidR="00E3576C" w:rsidRDefault="00E3576C" w:rsidP="00E3576C">
      <w:pPr>
        <w:pStyle w:val="TextoNormal"/>
      </w:pPr>
      <w:r>
        <w:t>Conforme a lo anterior, procederá la desestimación del recurso de súplica contra la providencia de inadmisión de 22 de diciembre de 2009. En dicha providencia este Tribunal apreció que el recurso carecía de la necesaria especial trascendencia constitucional exigible para su admisión. Frente a ello, el Ministerio público, que en lógica correspondencia con el deber de justificación del recurrente viene obligado a cumplir esa carga argumental o de fundamentación, se ha limitado a invocar retóricamente uno de los supuestos de especial trascendencia constitucional —el f)— del fundamento jurídico 2 de la STC 155/2009, sin aportar argumentación alguna y sin justificar, por tanto, la proyección objetiva del amparo solicitado desde ese concreto prisma al que alude (negativa manifiesta del deber de acatamiento de la doctrina constitucional).</w:t>
      </w:r>
    </w:p>
    <w:p w:rsidR="00E3576C" w:rsidRDefault="00E3576C" w:rsidP="00E3576C">
      <w:pPr>
        <w:pStyle w:val="TextoNormal"/>
      </w:pPr>
    </w:p>
    <w:p w:rsidR="00E3576C" w:rsidRDefault="00E3576C" w:rsidP="00E3576C">
      <w:pPr>
        <w:pStyle w:val="TextoNormal"/>
      </w:pPr>
      <w:r>
        <w:t>Esa razón sería por sí sola suficiente para rechazar el recurso que se formula. No obstante, convendrá añadir que lo que realmente revela el escrito del Ministerio Fiscal es su discrepancia con la proyección que las resoluciones judiciales impugnadas hicieron de la jurisprudencia constitucional al caso de autos, sin apuntar siquiera dónde se concretaría, o por qué reprocha el Fiscal, la negativa manifiesta a su cumplimiento. Porque, obvio es decirlo,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 Dicha actuación resistente de los órganos judiciales ni se razona en el recurso formulado ni se advierte en las resoluciones judiciales recurridas en amparo, que, acertadas o no en su operación aplicativa de nuestra doctrina, parten expresamente de la jurisprudencia constitucional, que detalladamente reproducen, y la extienden a la resolución del litigio.</w:t>
      </w:r>
    </w:p>
    <w:p w:rsidR="00E3576C" w:rsidRDefault="00E3576C" w:rsidP="00E3576C">
      <w:pPr>
        <w:pStyle w:val="TextoNormal"/>
      </w:pPr>
    </w:p>
    <w:p w:rsidR="00E3576C" w:rsidRDefault="00E3576C" w:rsidP="00E3576C">
      <w:pPr>
        <w:pStyle w:val="TextoNormal"/>
      </w:pPr>
      <w:r>
        <w:t>En consecuencia, tanto por la falta de cumplimiento de la carga de justificación, como por la ausencia de evidencia alguna que revele esa intención de incumplimiento de nuestra doctrina, procede confirmar la inadmisión del recurso de amparo.</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y, en consecuencia, confirmar en su integridad la providencia de 22 de diciembre de 2009.</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8" w:name="AUTO_2012_27"/>
      <w:r>
        <w:lastRenderedPageBreak/>
        <w:t>AUTO 27/2012, de 31 de enero de 2012</w:t>
      </w:r>
    </w:p>
    <w:bookmarkEnd w:id="16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ECLI:ES:TC:2012:27A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4169-2010, promovido por doña María Josefa Uzkudun Etxenagusia.</w:t>
      </w:r>
    </w:p>
    <w:p w:rsidR="00E3576C" w:rsidRDefault="00E3576C" w:rsidP="00E3576C">
      <w:pPr>
        <w:pStyle w:val="SntesisDescriptiva"/>
      </w:pPr>
    </w:p>
    <w:p w:rsidR="00E3576C" w:rsidRDefault="00E3576C" w:rsidP="00E3576C">
      <w:pPr>
        <w:pStyle w:val="SntesisAnaltica"/>
      </w:pPr>
      <w:r>
        <w:t>Medidas cautelares: denegación de medidas cautelares. Suspensión cautelar de resoluciones penales: fijación de fecha de licenciamiento definitivo,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19 de mayo de 2010, el Procurador de los Tribunales don Javier Cuevas Ribas, en nombre y representación de doña María Josefa Uzkudun Etxenagusia, interpuso recurso de amparo contra el Auto de 17 de agosto de 2009, dictada por la Sección Segunda de la Sala de lo Penal de la Audiencia Nacional, en la ejecutoria núm. 30-1996, dimanante del sumario núm. 1-1985 procedente del Juzgado Central de Instrucción núm. 5, por el que se aprueba la fecha de licenciamiento definitivo del recurrente, y Sentencia 195/2010, de 24 de febrero, de la Sala Segunda del Tribunal Supremo, que desestima el recurso de casación interpuesto.</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Sucintamente expuestos, los hechos relevantes para resolver la pretensión suspensiva son los siguientes: </w:t>
      </w:r>
    </w:p>
    <w:p w:rsidR="00E3576C" w:rsidRDefault="00E3576C" w:rsidP="00E3576C">
      <w:pPr>
        <w:pStyle w:val="TextoNormal"/>
      </w:pPr>
    </w:p>
    <w:p w:rsidR="00E3576C" w:rsidRDefault="00E3576C" w:rsidP="00E3576C">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E3576C" w:rsidRDefault="00E3576C" w:rsidP="00E3576C">
      <w:pPr>
        <w:pStyle w:val="TextoNormal"/>
      </w:pPr>
    </w:p>
    <w:p w:rsidR="00E3576C" w:rsidRDefault="00E3576C" w:rsidP="00E3576C">
      <w:pPr>
        <w:pStyle w:val="TextoNormal"/>
      </w:pPr>
      <w:r>
        <w:t>b) El 17 de agosto de 2010, la Sección Segunda de la Sala de lo Penal de la Audiencia Nacional dictó Auto en el que se denegaba la fecha de licenciamiento prevista para el 27 de agosto de 2009, aprobaba el licenciamiento definitivo del penado para el día 5 de febrero de 2021.</w:t>
      </w:r>
    </w:p>
    <w:p w:rsidR="00E3576C" w:rsidRDefault="00E3576C" w:rsidP="00E3576C">
      <w:pPr>
        <w:pStyle w:val="TextoNormal"/>
      </w:pPr>
      <w:r>
        <w:t xml:space="preserve"> </w:t>
      </w:r>
    </w:p>
    <w:p w:rsidR="00E3576C" w:rsidRDefault="00E3576C" w:rsidP="00E3576C">
      <w:pPr>
        <w:pStyle w:val="TextoNormal"/>
      </w:pPr>
      <w:r>
        <w:t xml:space="preserve">c) Contra dicho Auto interpuso el demandante recurso de casación, que fue desestimado por Sentencia del Tribunal Supremo de 24 de febrero de 2010 que, del mismo modo que la </w:t>
      </w:r>
      <w:r>
        <w:lastRenderedPageBreak/>
        <w:t>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E3576C" w:rsidRDefault="00E3576C" w:rsidP="00E3576C">
      <w:pPr>
        <w:pStyle w:val="TextoNormal"/>
      </w:pPr>
    </w:p>
    <w:p w:rsidR="00E3576C" w:rsidRDefault="00E3576C" w:rsidP="00E3576C">
      <w:pPr>
        <w:pStyle w:val="TextoNormal"/>
      </w:pPr>
      <w:r w:rsidRPr="00E3576C">
        <w:rPr>
          <w:rStyle w:val="NumeroAFNegritaCaracter"/>
        </w:rPr>
        <w:t>3</w:t>
      </w:r>
      <w:r>
        <w:t>. En la demanda de amparo se alega que las resoluciones judiciales impugnadas han vulnerado los derechos a la defensa y a un proceso con todas las garantías (art. 24.2 CE), a la libertad (art. 17.1 CE), a la tutela judicial efectiva (art. 24.1 CE), a la legalidad penal (art. 25.2 CE) así como los principios de seguridad jurídica e irretroactividad (art. 9.3 CE), y al principio de que las penas privativas de libertad han de estar orientadas hacia la reeducación y reinserción social (art. 25.2 CE).</w:t>
      </w:r>
    </w:p>
    <w:p w:rsidR="00E3576C" w:rsidRDefault="00E3576C" w:rsidP="00E3576C">
      <w:pPr>
        <w:pStyle w:val="TextoNormal"/>
      </w:pPr>
    </w:p>
    <w:p w:rsidR="00E3576C" w:rsidRDefault="00E3576C" w:rsidP="00E3576C">
      <w:pPr>
        <w:pStyle w:val="TextoNormal"/>
      </w:pPr>
      <w:r>
        <w:t>En otrosí, el recurrente solicitaba la suspensión de la ejecución de las resoluciones impugnadas.</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E3576C" w:rsidRDefault="00E3576C" w:rsidP="00E3576C">
      <w:pPr>
        <w:pStyle w:val="TextoNormal"/>
      </w:pPr>
    </w:p>
    <w:p w:rsidR="00E3576C" w:rsidRDefault="00E3576C" w:rsidP="00E3576C">
      <w:pPr>
        <w:pStyle w:val="TextoNormal"/>
      </w:pPr>
      <w:r>
        <w:t>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5</w:t>
      </w:r>
      <w:r>
        <w:t>. La representación procesal del demandante de amparo evacuó el citado trámite a través de un escrito presentado en el Registro General de este Tribunal el 4 de mayo de 2011, en el que reiteró su solicitud.</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00E3576C" w:rsidRDefault="00E3576C" w:rsidP="00E3576C">
      <w:pPr>
        <w:pStyle w:val="TextoNormal"/>
      </w:pPr>
    </w:p>
    <w:p w:rsidR="00E3576C" w:rsidRDefault="00E3576C" w:rsidP="00E3576C">
      <w:pPr>
        <w:pStyle w:val="TextoNormal"/>
      </w:pPr>
      <w:r w:rsidRPr="00E3576C">
        <w:rPr>
          <w:rStyle w:val="NumeroAFNegritaCaracter"/>
        </w:rPr>
        <w:t>7</w:t>
      </w:r>
      <w:r>
        <w:t>. Por providencia, de 18 de enero de 2012, la Sala Segunda de este Tribunal, acordó avocar al Pleno el presente recurso de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El art. 56.2 de la Ley Orgánica del Tribunal Constitucional (en la redacción dada por Ley Orgánica 6/2007, de 24 de mayo) dispone que “cuando la ejecución del acto o Sentencia </w:t>
      </w:r>
      <w:r>
        <w:lastRenderedPageBreak/>
        <w:t>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rsidRPr="00E3576C">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E3576C" w:rsidRDefault="00E3576C" w:rsidP="00E3576C">
      <w:pPr>
        <w:pStyle w:val="TextoNormal"/>
      </w:pPr>
    </w:p>
    <w:p w:rsidR="00E3576C" w:rsidRDefault="00E3576C" w:rsidP="00E3576C">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Conforme ha quedado expuesto, el recurrente en amparo impugna el Auto de 17 de agosto de 2009 de la Audiencia Nacional por el que se aprueba la fecha de licenciamiento definitivo del recurrente, y la Sentencia del Tribunal Supremo de 24 de febrero de 2010 que confirma el anterior,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00E3576C" w:rsidRDefault="00E3576C" w:rsidP="00E3576C">
      <w:pPr>
        <w:pStyle w:val="TextoNormal"/>
      </w:pPr>
    </w:p>
    <w:p w:rsidR="00E3576C" w:rsidRDefault="00E3576C" w:rsidP="00E3576C">
      <w:pPr>
        <w:pStyle w:val="TextoNormal"/>
      </w:pPr>
      <w:r>
        <w:t>Por tanto, lo que el recurrente pretende es que este Tribunal acuerde cautelarmente su inmediata puesta en libertad en tanto se resuelva el recurso de amparo y, en consecuencia, se pronuncie sobre si el recurrente habría cumplido ya su condena el día 27 de agosto de 2009 (según sostiene el demandante) o si, en cambio, no la extingue hasta el día 5 de febrero de 2021 (como es el criterio de las resoluciones impugnadas), pues lo contrario, añade el recurrente, le produciría un perjuicio irreparable, en el caso de otorgarse finalmente el amparo.</w:t>
      </w:r>
    </w:p>
    <w:p w:rsidR="00E3576C" w:rsidRDefault="00E3576C" w:rsidP="00E3576C">
      <w:pPr>
        <w:pStyle w:val="TextoNormal"/>
      </w:pPr>
    </w:p>
    <w:p w:rsidR="00E3576C" w:rsidRDefault="00E3576C" w:rsidP="00E3576C">
      <w:pPr>
        <w:pStyle w:val="TextoNormal"/>
      </w:pPr>
      <w:r>
        <w:t>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3/2011, de 14 de febrero, FJ único; o 92/2011, de 20 de junio, FJ 3). Ello conduce a la denegación de la suspensión solicitada.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medida cautelar de suspensión solicitada por doña María Josefa Uzkudun Etxeganusia en el recurso de amparo núm. 4169-2010.</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69" w:name="AUTO_2012_28"/>
      <w:r>
        <w:lastRenderedPageBreak/>
        <w:t>AUTO 28/2012, de 31 de enero de 2012</w:t>
      </w:r>
    </w:p>
    <w:bookmarkEnd w:id="169"/>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ECLI:ES:TC:2012:28A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Archiva la pieza separada de suspensión en el recurso de amparo 7325-2010, promovido por don Luis Lizarralde Izaguirre.</w:t>
      </w:r>
    </w:p>
    <w:p w:rsidR="00E3576C" w:rsidRDefault="00E3576C" w:rsidP="00E3576C">
      <w:pPr>
        <w:pStyle w:val="SntesisDescriptiva"/>
      </w:pPr>
    </w:p>
    <w:p w:rsidR="00E3576C" w:rsidRDefault="00E3576C" w:rsidP="00E3576C">
      <w:pPr>
        <w:pStyle w:val="SntesisAnaltica"/>
      </w:pPr>
      <w:r>
        <w:t>Suspensión de la ejecución del acto que origina el amparo: suspensión cautelar de resoluciones judiciales,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11 de octubre de 2010, el Procurador de los Tribunales don Javier Cuevas Ribas, en nombre y representación de don Luis María Lizarralde Izagirre, interpuso recurso de amparo contra la providencia de 18 de noviembre de 2009, dictada por la Sección Tercera de la Sala de lo Penal de la Audiencia Nacional, en la ejecutoria núm. 60-1996, dimanante del sumario núm. 1-1981 procedente del Juzgado Central de Instrucción núm. 5, por el que se aprueba la fecha de licenciamiento definitivo del recurrente, contra el Auto de 16 de diciembre de 2009 de la misma Sala, que desestima el recurso de súplica interpuesto y confirma la providencia anterior, y contra el Auto de 8 de julio de 2010, dictado por la Sala de lo Penal del Tribunal Supremo, que inadmite el recurso de casación interpuesto contra las anteriores resoluciones.</w:t>
      </w:r>
    </w:p>
    <w:p w:rsidR="00E3576C" w:rsidRDefault="00E3576C" w:rsidP="00E3576C">
      <w:pPr>
        <w:pStyle w:val="TextoNormal"/>
      </w:pPr>
    </w:p>
    <w:p w:rsidR="00E3576C" w:rsidRDefault="00E3576C" w:rsidP="00E3576C">
      <w:pPr>
        <w:pStyle w:val="TextoNormal"/>
      </w:pPr>
      <w:r w:rsidRPr="00E3576C">
        <w:rPr>
          <w:rStyle w:val="NumeroAFNegritaCaracter"/>
        </w:rPr>
        <w:t>2</w:t>
      </w:r>
      <w:r>
        <w:t>. En la demanda de amparo se alega que las resoluciones judiciales impugnadas han vulnerado los derechos a la libertad (art. 17.1 CE), a la tutela judicial efectiva (art. 24.1 CE), así como los principios de seguridad jurídica e irretroactividad (art. 9.3 CE), y al principio de que las penas privativas de libertad han de estar orientadas hacia la reeducación y reinserción social (art. 25.2 CE).</w:t>
      </w:r>
    </w:p>
    <w:p w:rsidR="00E3576C" w:rsidRDefault="00E3576C" w:rsidP="00E3576C">
      <w:pPr>
        <w:pStyle w:val="TextoNormal"/>
      </w:pPr>
    </w:p>
    <w:p w:rsidR="00E3576C" w:rsidRDefault="00E3576C" w:rsidP="00E3576C">
      <w:pPr>
        <w:pStyle w:val="TextoNormal"/>
      </w:pPr>
      <w:r>
        <w:t>En otrosí, el recurrente manifestaba ser conocedor de las resoluciones de este Tribunal dictadas, en demandas similares a la presente, al decidir sobre la solicitud de suspensión de la ejecución de las resoluciones impugnadas, en las que se acordaba su denegación. Por ello, solicitaba la tramitación y resolución urgente del recurso por estar directamente afectado el derecho a la libertad.</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La Sala Segunda de este Tribunal, por providencia de 14 de abril de 2011, acordó admitir a trámite la demanda de amparo y, en aplicación de lo dispuesto en el art. 51 de la </w:t>
      </w:r>
      <w:r>
        <w:lastRenderedPageBreak/>
        <w:t xml:space="preserve">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E3576C" w:rsidRDefault="00E3576C" w:rsidP="00E3576C">
      <w:pPr>
        <w:pStyle w:val="TextoNormal"/>
      </w:pPr>
    </w:p>
    <w:p w:rsidR="00E3576C" w:rsidRDefault="00E3576C" w:rsidP="00E3576C">
      <w:pPr>
        <w:pStyle w:val="TextoNormal"/>
      </w:pPr>
      <w:r>
        <w:t>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4</w:t>
      </w:r>
      <w:r>
        <w:t>. La representación procesal del demandante de amparo evacuó el citado trámite a través de un escrito presentado en el Registro General de este Tribunal el 3 de mayo de 2011, en el que manifestó que en la demanda de amparo no se solicitaba la suspensión de la ejecución de las resoluciones recurridas, sino la tramitación y resolución urgente del recurso.</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en su escrito de alegaciones presentado el 17 de mayo de 2011, solicita que se deniegue la suspensión solicitada, en atención al criterio seguido por este Tribunal en el ATC 206/2010, de 30 de diciembre, que resolvió una petición dimanante de un recurso sustancialmente igual al presente.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Advertido por el propio demandante, tal como se refleja en el antecedente número cuatro, que no ha solicitado la suspensión de la ejecución de las resoluciones recurridas, resulta procedente en este trámite acordar el archivo de la presente pieza de suspensión.</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Archivar la pieza separada de suspensión del recurso de amparo núm. 7325-2010.</w:t>
      </w:r>
    </w:p>
    <w:p w:rsidR="00E3576C" w:rsidRDefault="00E3576C" w:rsidP="00E3576C">
      <w:pPr>
        <w:pStyle w:val="TextoNormal"/>
      </w:pPr>
    </w:p>
    <w:p w:rsidR="00E3576C" w:rsidRDefault="00E3576C" w:rsidP="00E3576C">
      <w:pPr>
        <w:pStyle w:val="TextoNormal"/>
      </w:pPr>
      <w:r>
        <w:t>Madrid, a treinta y uno de enero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0" w:name="AUTO_2012_29"/>
      <w:r>
        <w:lastRenderedPageBreak/>
        <w:t>AUTO 29/2012, de 1 de febrero de 2012</w:t>
      </w:r>
    </w:p>
    <w:bookmarkEnd w:id="170"/>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ECLI:ES:TC:2012:29A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Acuerda el desistimiento en el recurso de amparo 3090-2011,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71" w:name="AUTO_2012_30"/>
      <w:r>
        <w:lastRenderedPageBreak/>
        <w:t>AUTO 30/2012, de 8 de febrero de 2012</w:t>
      </w:r>
    </w:p>
    <w:bookmarkEnd w:id="171"/>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ECLI:ES:TC:2012:30A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Declara la nulidad de lo actuado en el recurso de amparo 4108-2011, promovido por C.T.A.E., S.L., y deniega nombramiento de Abogado y Procurador de oficio a favor de esta entidad.</w:t>
      </w:r>
    </w:p>
    <w:p w:rsidR="00E3576C" w:rsidRDefault="00E3576C" w:rsidP="00E3576C">
      <w:pPr>
        <w:pStyle w:val="SntesisDescriptiva"/>
      </w:pPr>
    </w:p>
    <w:p w:rsidR="00E3576C" w:rsidRDefault="00E3576C" w:rsidP="00E3576C">
      <w:pPr>
        <w:pStyle w:val="SntesisAnaltica"/>
      </w:pPr>
      <w:r>
        <w:t>Representación procesal: subsanación de defectos procesales.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La entidad C.T.A.E., S.L., interpuso recurso contencioso-administrativo, registrado con el número 360-2009, contra la resolución del Tribunal Económico-Administrativo regional de Madrid que declaró la extemporaneidad del recurso de reposición que había deducido contra el acuerdo que le había impuesto una sanción como responsable de una infracción tributaria. El recurso fue desestimado en Sentencia de 2 de junio de 2011 de la Sección Quinta de la Sala de lo Contencioso-Administrativo del Tribunal Superior de Justicia de Madrid. La Sentencia fue notificada el 8 de junio de 2011 con la advertencia de que no era susceptible de recurso alguno.</w:t>
      </w:r>
    </w:p>
    <w:p w:rsidR="00E3576C" w:rsidRDefault="00E3576C" w:rsidP="00E3576C">
      <w:pPr>
        <w:pStyle w:val="TextoNormal"/>
      </w:pPr>
    </w:p>
    <w:p w:rsidR="00E3576C" w:rsidRDefault="00E3576C" w:rsidP="00E3576C">
      <w:pPr>
        <w:pStyle w:val="TextoNormal"/>
      </w:pPr>
      <w:r w:rsidRPr="00E3576C">
        <w:rPr>
          <w:rStyle w:val="NumeroAFNegritaCaracter"/>
        </w:rPr>
        <w:t>2</w:t>
      </w:r>
      <w:r>
        <w:t>. El 13 de julio de 2011 don Carlos Giraldo López, como apoderado de C.T.A.E., S.L., se dirigió al Tribunal Constitucional para solicitar el nombramiento de Abogado y Procurador de oficio para presentar recurso de amparo contra la Sentencia. Pese a que la solicitud se hacía en nombre de la citada compañía mercantil, la misma fue registrada como recurso de amparo promovido por don Carlos Giraldo López, con el número 4108-2011 en la Sección Primera.</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diligencia de ordenación de 19 de julio de 2011 se requirió al señor Giraldo para que aportara determinados documentos. Dentro del plazo concedido el señor Giraldo presentó los documentos requeridos.</w:t>
      </w:r>
    </w:p>
    <w:p w:rsidR="00E3576C" w:rsidRDefault="00E3576C" w:rsidP="00E3576C">
      <w:pPr>
        <w:pStyle w:val="TextoNormal"/>
      </w:pPr>
    </w:p>
    <w:p w:rsidR="00E3576C" w:rsidRDefault="00E3576C" w:rsidP="00E3576C">
      <w:pPr>
        <w:pStyle w:val="TextoNormal"/>
      </w:pPr>
      <w:r w:rsidRPr="00E3576C">
        <w:rPr>
          <w:rStyle w:val="NumeroAFNegritaCaracter"/>
        </w:rPr>
        <w:t>4</w:t>
      </w:r>
      <w:r>
        <w:t>. En diligencia de ordenación de 8 de septiembre de 2011, “se tiene por recibido el precedente escrito y documentos de don Carlos Giraldo López y, de conformidad con lo establecido en el art. 7.3 de la Ley 1/96 de asistencia jurídica gratuita y el art. 4 del acuerdo del Pleno del Tribunal Constitucional de 18 de junio de 1996 (“BOE” 19 de julio de 1996), se libra despacho al Colegio de Abogados de Madrid para que se designe al citado recurrente Procurador y Letrado del turno de oficio que le represente y defienda .. en el presente recurso de amparo”.</w:t>
      </w:r>
    </w:p>
    <w:p w:rsidR="00E3576C" w:rsidRDefault="00E3576C" w:rsidP="00E3576C">
      <w:pPr>
        <w:pStyle w:val="TextoNormal"/>
      </w:pPr>
    </w:p>
    <w:p w:rsidR="00E3576C" w:rsidRDefault="00E3576C" w:rsidP="00E3576C">
      <w:pPr>
        <w:pStyle w:val="TextoNormal"/>
      </w:pPr>
      <w:r w:rsidRPr="00E3576C">
        <w:rPr>
          <w:rStyle w:val="NumeroAFNegritaCaracter"/>
        </w:rPr>
        <w:t>5</w:t>
      </w:r>
      <w:r>
        <w:t>. El 19 de septiembre de 2011 se recibió oficio del Colegio de Procuradores comunicando la designación de la Procuradora doña Miriam López Ocampos “para representar a: D/Dª Carlos Giraldo López”, cuya defensa asumía el Abogado don Anastasio de Juan García, según comunicó el Colegio de Abogados en escrito recibido el 22 de septiembre siguiente.</w:t>
      </w:r>
    </w:p>
    <w:p w:rsidR="00E3576C" w:rsidRDefault="00E3576C" w:rsidP="00E3576C">
      <w:pPr>
        <w:pStyle w:val="TextoNormal"/>
      </w:pPr>
    </w:p>
    <w:p w:rsidR="00E3576C" w:rsidRDefault="00E3576C" w:rsidP="00E3576C">
      <w:pPr>
        <w:pStyle w:val="TextoNormal"/>
      </w:pPr>
      <w:r w:rsidRPr="00E3576C">
        <w:rPr>
          <w:rStyle w:val="NumeroAFNegritaCaracter"/>
        </w:rPr>
        <w:t>6</w:t>
      </w:r>
      <w:r>
        <w:t>. El 22 de septiembre de 2011 la Procuradora señora López Ocampos se personó en el recurso de amparo 4108-2011 “en nombre de don Carlos Giraldo López, cuya representación ... acredito mediante la designación ... de oficio”.</w:t>
      </w:r>
    </w:p>
    <w:p w:rsidR="00E3576C" w:rsidRDefault="00E3576C" w:rsidP="00E3576C">
      <w:pPr>
        <w:pStyle w:val="TextoNormal"/>
      </w:pPr>
    </w:p>
    <w:p w:rsidR="00E3576C" w:rsidRDefault="00E3576C" w:rsidP="00E3576C">
      <w:pPr>
        <w:pStyle w:val="TextoNormal"/>
      </w:pPr>
      <w:r w:rsidRPr="00E3576C">
        <w:rPr>
          <w:rStyle w:val="NumeroAFNegritaCaracter"/>
        </w:rPr>
        <w:t>7</w:t>
      </w:r>
      <w:r>
        <w:t>. Mediante diligencia de ordenación del mismo día 22 de septiembre de 2011 se tuvieron por hechas las designaciones y se concedió a la Procuradora señora López Ocampos en plazo de treinta días para presentar la demanda de amparo.</w:t>
      </w:r>
    </w:p>
    <w:p w:rsidR="00E3576C" w:rsidRDefault="00E3576C" w:rsidP="00E3576C">
      <w:pPr>
        <w:pStyle w:val="TextoNormal"/>
      </w:pPr>
    </w:p>
    <w:p w:rsidR="00E3576C" w:rsidRDefault="00E3576C" w:rsidP="00E3576C">
      <w:pPr>
        <w:pStyle w:val="TextoNormal"/>
      </w:pPr>
      <w:r w:rsidRPr="00E3576C">
        <w:rPr>
          <w:rStyle w:val="NumeroAFNegritaCaracter"/>
        </w:rPr>
        <w:t>8</w:t>
      </w:r>
      <w:r>
        <w:t>. El 14 de octubre de 2011 la Comisión central de asistencia jurídica gratuita comunicó que confirmaba las designaciones provisionales efectuadas por los colegios profesionales.</w:t>
      </w:r>
    </w:p>
    <w:p w:rsidR="00E3576C" w:rsidRDefault="00E3576C" w:rsidP="00E3576C">
      <w:pPr>
        <w:pStyle w:val="TextoNormal"/>
      </w:pPr>
    </w:p>
    <w:p w:rsidR="00E3576C" w:rsidRDefault="00E3576C" w:rsidP="00E3576C">
      <w:pPr>
        <w:pStyle w:val="TextoNormal"/>
      </w:pPr>
      <w:r w:rsidRPr="00E3576C">
        <w:rPr>
          <w:rStyle w:val="NumeroAFNegritaCaracter"/>
        </w:rPr>
        <w:t>9</w:t>
      </w:r>
      <w:r>
        <w:t>. El 11 de noviembre pasado se ha presentado la demanda suscrita por doña Miriam López Ocampos, “Procuradora de los Tribunales y de C.T.A.E., S.L., representada legalmente por don Carlos Giraldo López”.</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Como resulta de los antecedentes, la procuradora doña Miriam López Ocampos ha sido nombrada para representar a don Carlos Giraldo López y en cuyo nombre y representación se personó en estas actuaciones. La circunstancia de que dicho señor sea apoderado de C.T.A.E., S.L., lo que está lejos de haber sido acreditado, no autoriza a la Procuradora para formular la demanda en nombre de dicha sociedad. Por otra parte, la asistencia jurídica gratuita se ha concedido al señor Giraldo. Como es sabido, el beneficio de asistencia jurídica gratuita se reconoce, como regla, sólo a las personas físicas; las fundaciones y las asociaciones declaradas de utilidad pública son las únicas personas jurídicas de Derecho privado que pueden tener asistencia jurídica gratuita (arts. 2 y 3 de la Ley 1/1996, de 10 de enero, de asistencia jurídica gratuita) y C.T.A.E., S.L., es una sociedad mercantil. En fin, no cabe entender que la demanda se formule en nombre de don Carlos Giraldo López, pues éste inició las presentes actuaciones mediante una solicitud formulada inequívocamente en nombre de C.T.A.E., S.L., que, por otro lado, parece que es la única legitimada para recurrir la Sentencia impugnada [art. 46.1 b) de la Ley Orgánica del Tribunal Constitucional: LOTC], dictada en un proceso en el que el señor Giraldo López no fue parte.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De los antecedentes expuestos se deduce que en estas actuaciones se ha producido un error. Por una parte, es claro que en ningún caso debió promoverse desde este Tribunal que se nombraran Procurador y Abogado del turno de oficio al señor Giraldo López. Éste no había solicitado tal nombramiento para sí, sino para C.T.A.E., S.L., en cuyo nombre decía </w:t>
      </w:r>
      <w:r>
        <w:lastRenderedPageBreak/>
        <w:t>actuar. Por otra, y como consecuencia de dicho error, no se ha dado respuesta a la solicitud de tales nombramientos a favor de la entidad C.T.A.E., S.L.</w:t>
      </w:r>
    </w:p>
    <w:p w:rsidR="00E3576C" w:rsidRDefault="00E3576C" w:rsidP="00E3576C">
      <w:pPr>
        <w:pStyle w:val="TextoNormal"/>
      </w:pPr>
    </w:p>
    <w:p w:rsidR="00E3576C" w:rsidRDefault="00E3576C" w:rsidP="00E3576C">
      <w:pPr>
        <w:pStyle w:val="TextoNormal"/>
      </w:pPr>
      <w:r>
        <w:t>El art. 94 LOTC nos impone la subsanación de oficio, antes de que se haya pronunciado Sentencia, de los defectos que se hubieran producido en la tramitación de los procesos constitucionales. El patente error cometido en este caso sólo puede ser subsanado previa declaración de nulidad de todo lo actuado, desde la diligencia de ordenación de 19 de julio de 2011, inclusive.</w:t>
      </w:r>
    </w:p>
    <w:p w:rsidR="00E3576C" w:rsidRDefault="00E3576C" w:rsidP="00E3576C">
      <w:pPr>
        <w:pStyle w:val="TextoNormal"/>
      </w:pPr>
    </w:p>
    <w:p w:rsidR="00E3576C" w:rsidRDefault="00E3576C" w:rsidP="00E3576C">
      <w:pPr>
        <w:pStyle w:val="TextoNormal"/>
      </w:pPr>
      <w:r w:rsidRPr="00E3576C">
        <w:rPr>
          <w:rStyle w:val="NumeroAFNegritaCaracter"/>
        </w:rPr>
        <w:t>3</w:t>
      </w:r>
      <w:r>
        <w:t>. Anulado lo actuado, procede la subsanación propiamente dicha de la omisión de todo pronunciamiento de este Tribunal sobre la solicitud de nombramiento de Abogado y Procurador para que C.T.A.E., S.L., interponga recurso de amparo contra la Sentencia a la que se ha hecho referencia. Tal pronunciamiento, que se efectúa en esta resolución por motivos de economía procesal, ha de ser forzosamente negativo, por lo que podemos hacerlo sin necesidad de requerir que el solicitante acredite que tiene los poderes de C.T.A.E., S.L., que dice tener. En efecto, como ya se ha anticipado, según el art. 2 de la Ley 1/1996, de 10 de enero, de asistencia jurídica gratuita, las únicas personas jurídicas de Derecho privado que pueden acceder a la asistencia jurídica gratuita son las asociaciones de utilidad pública y las fundaciones y la entidad para la que se piden dichas designaciones es una sociedad mercantil de responsabilidad limitada.</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Declarar la nulidad de todo lo actuado en el recurso de amparo núm. 4108-2011 desde la diligencia de ordenación de 19 de julio de 2011, inclusive.</w:t>
      </w:r>
    </w:p>
    <w:p w:rsidR="00E3576C" w:rsidRDefault="00E3576C" w:rsidP="00E3576C">
      <w:pPr>
        <w:pStyle w:val="TextoNormal"/>
      </w:pPr>
    </w:p>
    <w:p w:rsidR="00E3576C" w:rsidRDefault="00E3576C" w:rsidP="00E3576C">
      <w:pPr>
        <w:pStyle w:val="TextoNormal"/>
      </w:pPr>
      <w:r>
        <w:t>2º Resolver que no ha lugar al nombramiento de Abogado y Procurador de oficio a favor de C.T.A.E., S.L., interesado por don Carlos Giraldo López, a quien se notificará este Auto.</w:t>
      </w:r>
    </w:p>
    <w:p w:rsidR="00E3576C" w:rsidRDefault="00E3576C" w:rsidP="00E3576C">
      <w:pPr>
        <w:pStyle w:val="TextoNormal"/>
      </w:pPr>
    </w:p>
    <w:p w:rsidR="00E3576C" w:rsidRDefault="00E3576C" w:rsidP="00E3576C">
      <w:pPr>
        <w:pStyle w:val="TextoNormal"/>
      </w:pPr>
      <w:r>
        <w:t>Madrid, a ocho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2" w:name="AUTO_2012_31"/>
      <w:r>
        <w:lastRenderedPageBreak/>
        <w:t>AUTO 31/2012, de 13 de febrero de 2012</w:t>
      </w:r>
    </w:p>
    <w:bookmarkEnd w:id="172"/>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ECLI:ES:TC:2012:31A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finalización del pleito civil, de la cuestión de inconstitucionalidad 6817-2010, planteada por el Juzgado de violencia sobre la mujer número 1 de Jaén en relación con el artículo 92.8 del Código civil.</w:t>
      </w:r>
    </w:p>
    <w:p w:rsidR="00E3576C" w:rsidRDefault="00E3576C" w:rsidP="00E3576C">
      <w:pPr>
        <w:pStyle w:val="SntesisDescriptiva"/>
      </w:pPr>
    </w:p>
    <w:p w:rsidR="00E3576C" w:rsidRDefault="00E3576C" w:rsidP="00E3576C">
      <w:pPr>
        <w:pStyle w:val="SntesisAnaltica"/>
      </w:pPr>
      <w:r>
        <w:t>Cuestión de inconstitucionalidad: extinción de cuestión de inconstitucionalidad; juicio de relevancia; pérdida sobrevenida de objeto por pérdida de relevancia.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29 de octubre de 2010, el Juzgado de Violencia sobre la mujer núm. 1 de Jaén adjuntaba testimonio del Auto de 9 de septiembre de 2010, por el que se acordó plantear la cuestión de inconstitucionalidad del art. 92.8 del Código civil (CC), así como testimonio de los autos correspondientes al proceso de divorcio contencioso 70-2009.</w:t>
      </w:r>
    </w:p>
    <w:p w:rsidR="00E3576C" w:rsidRDefault="00E3576C" w:rsidP="00E3576C">
      <w:pPr>
        <w:pStyle w:val="TextoNormal"/>
      </w:pPr>
    </w:p>
    <w:p w:rsidR="00E3576C" w:rsidRDefault="00E3576C" w:rsidP="00E3576C">
      <w:pPr>
        <w:pStyle w:val="TextoNormal"/>
      </w:pPr>
      <w:r w:rsidRPr="00E3576C">
        <w:rPr>
          <w:rStyle w:val="NumeroAFNegritaCaracter"/>
        </w:rPr>
        <w:t>2</w:t>
      </w:r>
      <w:r>
        <w:t>. En el Auto señalado, el Juzgado de Violencia sobre la mujer núm. 1 de Jaén acordó plantear la cuestión de inconstitucionalidad del art. 92.8 CC: “Excepcionalmente, aun cuando no se den los supuestos del apartado cinco de este artículo, el Juez, a instancia de una de las partes, con informe favorable del Ministerio Fiscal, podrá acordar la guardia y custodia compartida, fundamentándola en que solo de esta forma se protege adecuadamente el interés superior del menor”. En síntesis, consideraba el órgano judicial que la necesidad del informe favorable del Ministerio Fiscal para la determinación de guarda y custodia compartida en el supuesto del precepto citado lesionaba el art. 117.3 CE y, en su caso, el art. 39 CE.</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Mediante providencia de 30 de noviembre de 2010, el Pleno del Tribunal Constitucional acordó admitir a trámite la presente cuestión; deferir a la Sala Segunda el conocimiento de la misma conforme al art. 10.1 c) de la Ley Orgánica del Tribunal Constitucional (LOTC); dar traslado de las actuaciones recibidas al Congreso de los Diputados, al Senado, al Gobierno y al Fiscal General del Estado, para que en el plazo de quince días alegaran lo que estimaran oportuno. Por último, se acordó comunicar al Juzgado de Violencia sobre la mujer núm. 1 de Jaén la decisión adoptada para que mantuviera suspendido el proceso hasta que el Tribunal resolviera definitivamente la presente cuestión, así como la publicación de </w:t>
      </w:r>
      <w:r>
        <w:lastRenderedPageBreak/>
        <w:t>la incoación del proceso en el “Boletín Oficial del Estado” a los efectos previstos en el art. 37.2 LOTC</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escritos de 13 y 14 de diciembre de 2010, se personaron, respectivamente, el Senado y el Congreso de los Diputados; la Abogacía del Estado por escrito de 16 de diciembre de 2010, formuló sus alegaciones solicitando la desestimación de la cuestión al considerar que el precepto discutido no contraviene la Constitución. Con idéntica petición el Fiscal General del Estado presentó sus alegaciones en escrito registrado en el Registro General del Tribunal Constitucional el 25 de enero de 2011.</w:t>
      </w:r>
    </w:p>
    <w:p w:rsidR="00E3576C" w:rsidRDefault="00E3576C" w:rsidP="00E3576C">
      <w:pPr>
        <w:pStyle w:val="TextoNormal"/>
      </w:pPr>
    </w:p>
    <w:p w:rsidR="00E3576C" w:rsidRDefault="00E3576C" w:rsidP="00E3576C">
      <w:pPr>
        <w:pStyle w:val="TextoNormal"/>
      </w:pPr>
      <w:r w:rsidRPr="00E3576C">
        <w:rPr>
          <w:rStyle w:val="NumeroAFNegritaCaracter"/>
        </w:rPr>
        <w:t>5</w:t>
      </w:r>
      <w:r>
        <w:t>. El Juzgado de Violencia sobre la mujer núm. 1 de Jaén, mediante oficio de 22 de diciembre de 2011, comunicó a este Tribunal que, tras la admisión a trámite de la cuestión, las partes habían propuesto un convenio regulador que afectaba a todos los efectos del matrimonio formado por las partes, y también a los hijos, concretamente estableciendo el régimen de custodia de los hijos, así como los efectos del divorcio, y que las partes se habían ratificado en el mismo. Este convenio, considerado adecuado por el Ministerio Fiscal y el Juez, fue homologado por el Juzgado mediante Sentencia de 22 de diciembre de 2011. En definitiva, sin necesidad de aplicar el precepto cuya constitucionalidad inicialmente se cuestionó, el pleito de origen finalizó mediante resolución cuya firmeza ha quedado acreditada.</w:t>
      </w:r>
    </w:p>
    <w:p w:rsidR="00E3576C" w:rsidRDefault="00E3576C" w:rsidP="00E3576C">
      <w:pPr>
        <w:pStyle w:val="TextoNormal"/>
      </w:pPr>
    </w:p>
    <w:p w:rsidR="00E3576C" w:rsidRDefault="00E3576C" w:rsidP="00E3576C">
      <w:pPr>
        <w:pStyle w:val="TextoNormal"/>
      </w:pPr>
      <w:r w:rsidRPr="00E3576C">
        <w:rPr>
          <w:rStyle w:val="NumeroAFNegritaCaracter"/>
        </w:rPr>
        <w:t>6</w:t>
      </w:r>
      <w:r>
        <w:t>. La Sala Segunda mediante providencia de 9 de enero de 2012, a la vista de la Sentencia remitida por el Juzgado cuestionante, acordó dar traslado al Abogado del Estado y al Fiscal General del Estado para que en el plazo de diez días alegasen lo que estimaran oportuno en relación a la posible pérdida sobrevenida del objeto de la presente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7</w:t>
      </w:r>
      <w:r>
        <w:t>. El Abogado del Estado en escrito de 20 de enero de 2012, citando, entre otras, la STC 6/2010, de 14 de abril, expuso que cuando la norma discutida en una cuestión de inconstitucionalidad deja de ser aplicable decae el presupuesto de relevancia y la cuestión pierde así su finalidad. En el proceso a quo, el sobrevenido acuerdo de los padres sobre el ejercicio compartido de la guarda y custodia del hijo reintegra el asunto al apartado 5 del art. 92 CC y lo excluye del apartado 8 del mismo precepto que era el inicialmente cuestionado en el presente proceso. En su opinión, procede declarar extinguida la cuestión de inconstitucionalidad por sobrevenida decadencia de la relevancia del precepto legal cuestionado.</w:t>
      </w:r>
    </w:p>
    <w:p w:rsidR="00E3576C" w:rsidRDefault="00E3576C" w:rsidP="00E3576C">
      <w:pPr>
        <w:pStyle w:val="TextoNormal"/>
      </w:pPr>
    </w:p>
    <w:p w:rsidR="00E3576C" w:rsidRDefault="00E3576C" w:rsidP="00E3576C">
      <w:pPr>
        <w:pStyle w:val="TextoNormal"/>
      </w:pPr>
      <w:r w:rsidRPr="00E3576C">
        <w:rPr>
          <w:rStyle w:val="NumeroAFNegritaCaracter"/>
        </w:rPr>
        <w:t>8</w:t>
      </w:r>
      <w:r>
        <w:t>. El Fiscal General del Estado en escrito de 27 de enero de 2012, con cita del ATC 151/2011, de 13 de diciembre, considera, al igual que el Abogado del Estado, oportuno declarar la pérdida sobrevenida de objeto de la presente cuestión de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La presente cuestión de inconstitucionalidad promovida por el Juzgado de Violencia sobre la mujer núm. 1 de Jaén, en relación con el art. 92.8 del Código civil (CC), por posible contradicción con los arts. 14, 24, 39 y 117 CE, fue admitida a trámite mediante providencia de 30 de noviembre de 2010.</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2</w:t>
      </w:r>
      <w:r>
        <w:t>. Como ha quedado expuesto en los antecedentes, una vez admitida a trámite, el mencionado Juzgado remitió oficio de 22 de diciembre de 2011, por el que comunicó que las partes en el proceso a quo habían interesado la continuación del procedimiento por los trámites del mutuo acuerdo. Remitida la Sentencia de 22 de diciembre de 2011 finalmente recaída en dicho proceso cuya firmeza ha quedado acreditada, de la misma se desprende que las partes, mediante un convenio regulador han acordado de mutuo acuerdo la patria potestad compartida y un régimen de visitas para el hijo.</w:t>
      </w:r>
    </w:p>
    <w:p w:rsidR="00E3576C" w:rsidRDefault="00E3576C" w:rsidP="00E3576C">
      <w:pPr>
        <w:pStyle w:val="TextoNormal"/>
      </w:pPr>
    </w:p>
    <w:p w:rsidR="00E3576C" w:rsidRDefault="00E3576C" w:rsidP="00E3576C">
      <w:pPr>
        <w:pStyle w:val="TextoNormal"/>
      </w:pPr>
      <w:r w:rsidRPr="00E3576C">
        <w:rPr>
          <w:rStyle w:val="NumeroAFNegritaCaracter"/>
        </w:rPr>
        <w:t>3</w:t>
      </w:r>
      <w:r>
        <w:t>. El Abogado del Estado y el Fiscal General del Estado han considerado, solicitando que se declarase extinguida la cuestión de inconstitucionalidad por sobrevenida decadencia de la relevancia del precepto legal cuestionado, que cuando la norma discutida en una cuestión de inconstitucionalidad, como en el presente supuesto, deja de ser aplicable decae el presupuesto de relevancia y la cuestión pierde así su finalidad. Explican que en el proceso a quo, el sobrevenido acuerdo de los padres sobre el ejercicio compartido de la guarda y custodia del hijo reintegra el asunto al apartado 5 del art. 92 CC y lo excluye del apartado 8 del mismo precepto que era el inicialmente cuestionado en el presente proceso. Ambos consideran que procede declarar extinguida la cuestión de inconstitucionalidad por sobrevenida decadencia de la relevancia del precepto legal cuestionado.</w:t>
      </w:r>
    </w:p>
    <w:p w:rsidR="00E3576C" w:rsidRDefault="00E3576C" w:rsidP="00E3576C">
      <w:pPr>
        <w:pStyle w:val="TextoNormal"/>
      </w:pPr>
    </w:p>
    <w:p w:rsidR="00E3576C" w:rsidRDefault="00E3576C" w:rsidP="00E3576C">
      <w:pPr>
        <w:pStyle w:val="TextoNormal"/>
      </w:pPr>
      <w:r w:rsidRPr="00E3576C">
        <w:rPr>
          <w:rStyle w:val="NumeroAFNegritaCaracter"/>
        </w:rPr>
        <w:t>4</w:t>
      </w:r>
      <w:r>
        <w:t>. Este Tribunal en el ATC 59/2006, de 15 de febrero, afirmó que “además de ser promovida por un órgano judicial, único facultado para suscitarla, es condición imprescindible para el planteamiento de una cuestión de inconstitucionalidad la previa existencia de un ‘proceso’, en cuyo seno la cuestión se configura como la vía prejudicial constitucional (ATC 69/1983, de 17 de febrero)”. Pero la existencia del proceso a quo no solamente se configura como una condición imprescindible para el planteamiento de una cuestión de inconstitucionalidad, sino que se halla inescindiblemente unido a su objeto procesal, constituido por la norma cuestionada. El objeto procesal tiene la peculiaridad en las cuestiones de inconstitucionalidad —donde la pretensión, de manera excepcional, es planteada por el órgano judicial— de que lo que se pretende del Tribunal Constitucional no es tanto un control abstracto de la norma cuestionada para lograr una depuración del ordenamiento jurídico, que sólo se produce de manera indirecta, sino que lo que se plantea es una duda de constitucionalidad de una norma cuya aplicación es imprescindible para la finalización del proceso a quo. De esta manera, en la cuestión de inconstitucionalidad, si bien el objeto del proceso constitucional es la norma cuestionada ésta no puede analizarse, ni el señalado objeto procesal puede entenderse de manera independiente, sin la existencia y pervivencia de un proceso a quo, ya que tal proceso no sólo se constituye como requisito procesal previo para la admisibilidad de la cuestión de inconstitucionalidad, sino también como condición necesaria para el nacimiento y pervivencia de su objeto procesal, por lo que la extinción de tal proceso sin la aplicación de la norma cuestionada, supone siempre la desaparición del objeto de la cuestión de inconstitucionalidad.</w:t>
      </w:r>
    </w:p>
    <w:p w:rsidR="00E3576C" w:rsidRDefault="00E3576C" w:rsidP="00E3576C">
      <w:pPr>
        <w:pStyle w:val="TextoNormal"/>
      </w:pPr>
    </w:p>
    <w:p w:rsidR="00E3576C" w:rsidRDefault="00E3576C" w:rsidP="00E3576C">
      <w:pPr>
        <w:pStyle w:val="TextoNormal"/>
      </w:pPr>
      <w:r>
        <w:t>Así se consideró en el ATC 98/2003, de 25 de marzo, donde se afirmó que, una vez finalizado el pleito a quo sin que se hubiera aplicado la norma cuestionada, procedía declarar sin objeto el proceso constitucional, puesto que “la resolución que ha puesto fin al proceso a quo ha dejado vacía de efecto la cuestión de inconstitucionalidad suscitada quedando por tanto huérfana de todo significado práctico dentro del proceso que le dio origen la mencio</w:t>
      </w:r>
      <w:r>
        <w:lastRenderedPageBreak/>
        <w:t>nada cuestión, lo que determina la desaparición sobrevenida del objeto del proceso constitucional abierto incidentalmente ante este Tribunal, y por tanto y a raíz de su terminación, su extinción.” Como dijimos en el ATC 75/2004, de 9 de marzo, “conforme establece el art. 163 de la Constitución, y recuerda por su parte el art. 35.1 LOTC, el planteamiento de la cuestión de constitucionalidad por los Jueces y Tribunales exige que la norma cuestionada sea ‘aplicable al caso’ y que de ‘su validez dependa el fallo’ a dictar. Aunque conocidamente el cumplimiento de estos requisitos debe justificarse en el momento en que la cuestión se plantea, no hay duda que las circunstancias sobrevenidas en ese llamado ‘juicio de relevancia’ forzosamente han de repercutir también en la suerte de la cuestión planteada, vista la estrecha relación que media entre la constitucionalidad de la norma cuestionada y su aplicación en el proceso a quo.”</w:t>
      </w:r>
    </w:p>
    <w:p w:rsidR="00E3576C" w:rsidRDefault="00E3576C" w:rsidP="00E3576C">
      <w:pPr>
        <w:pStyle w:val="TextoNormal"/>
      </w:pPr>
    </w:p>
    <w:p w:rsidR="00E3576C" w:rsidRDefault="00E3576C" w:rsidP="00E3576C">
      <w:pPr>
        <w:pStyle w:val="TextoNormal"/>
      </w:pPr>
      <w:r w:rsidRPr="00E3576C">
        <w:rPr>
          <w:rStyle w:val="NumeroAFNegritaCaracter"/>
        </w:rPr>
        <w:t>5</w:t>
      </w:r>
      <w:r>
        <w:t>. A la vista de la Sentencia remitida por el Juzgado cuestionante, y de la doctrina señalada, procede declarar la desaparición sobrevenida de los presupuestos propios de la cuestión de inconstitucionalidad, pues el enjuiciamiento constitucional de la norma cuestionada no proyectaría su resultado sobre el concreto litigio en el que se planteó la cuestión, convirtiéndose en un juicio de constitucionalidad en abstracto, desligado del proceso a quo, lo que, ciertamente, no es posible en el marco de este procedimiento constitucional.</w:t>
      </w:r>
    </w:p>
    <w:p w:rsidR="00E3576C" w:rsidRDefault="00E3576C" w:rsidP="00E3576C">
      <w:pPr>
        <w:pStyle w:val="TextoNormal"/>
      </w:pPr>
    </w:p>
    <w:p w:rsidR="00E3576C" w:rsidRDefault="00E3576C" w:rsidP="00E3576C">
      <w:pPr>
        <w:pStyle w:val="TextoNormal"/>
      </w:pPr>
      <w:r>
        <w:t>En definitiva, la finalización del referido proceso sin la aplicación de la norma cuestionada significa, como dijimos en el ATC 945/1985, de 19 de diciembre, y hemos reiterado recientemente en el ATC 151/2011, de 7 de noviembre, que resuelve sobre una situación prácticamente igual a la presente, “una decadencia sobrevenida de los presupuestos de apertura del proceso constitucional e introduce en éste un elemento de crisis que debe determinar también su extinción por falta de objeto”. No concurriendo tampoco circunstancia alguna de interés general que aconseje la prosecución del proceso hasta su finalización por Sentencia, procede declarar que la presente cuestión de inconstitucionalidad ha perdido su objeto.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por desaparición del objeto de la cuestión de inconstitucionalidad núm. 6817-2010, promovida por el Juzgado de Violencia sobre la mujer núm. 1 de Jaén, en relación con el art. 92.8 del Código civil.</w:t>
      </w:r>
    </w:p>
    <w:p w:rsidR="00E3576C" w:rsidRDefault="00E3576C" w:rsidP="00E3576C">
      <w:pPr>
        <w:pStyle w:val="TextoNormal"/>
      </w:pPr>
    </w:p>
    <w:p w:rsidR="00E3576C" w:rsidRDefault="00E3576C" w:rsidP="00E3576C">
      <w:pPr>
        <w:pStyle w:val="TextoNormal"/>
      </w:pPr>
      <w:r>
        <w:t>Madrid, a trece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3" w:name="AUTO_2012_32"/>
      <w:r>
        <w:lastRenderedPageBreak/>
        <w:t>AUTO 32/2012, de 13 de febrero de 2012</w:t>
      </w:r>
    </w:p>
    <w:bookmarkEnd w:id="173"/>
    <w:p w:rsidR="00E3576C" w:rsidRDefault="00E3576C" w:rsidP="00E3576C">
      <w:pPr>
        <w:pStyle w:val="TtuloResolucin"/>
      </w:pPr>
      <w:r>
        <w:t>Sección Tercera</w:t>
      </w:r>
    </w:p>
    <w:p w:rsidR="00E3576C" w:rsidRDefault="00E3576C" w:rsidP="00E3576C">
      <w:pPr>
        <w:pStyle w:val="TtuloResolucin"/>
      </w:pPr>
    </w:p>
    <w:p w:rsidR="00E3576C" w:rsidRDefault="00E3576C" w:rsidP="00E3576C">
      <w:pPr>
        <w:pStyle w:val="SntesisDescriptiva"/>
      </w:pPr>
      <w:r>
        <w:t>ECLI:ES:TC:2012:32A</w:t>
      </w:r>
    </w:p>
    <w:p w:rsidR="00E3576C" w:rsidRDefault="00E3576C" w:rsidP="00E3576C">
      <w:pPr>
        <w:pStyle w:val="SntesisDescriptiva"/>
      </w:pPr>
    </w:p>
    <w:p w:rsidR="00E3576C" w:rsidRDefault="00E3576C" w:rsidP="00E3576C">
      <w:pPr>
        <w:pStyle w:val="SntesisDescriptiva"/>
      </w:pPr>
      <w:r>
        <w:t>Excms. Srs. don Eugeni Gay Montalvo, don Francisco José Hernando Santiago y don Francisco Pérez de los Cobos Orihuel.</w:t>
      </w:r>
    </w:p>
    <w:p w:rsidR="00E3576C" w:rsidRDefault="00E3576C" w:rsidP="00E3576C">
      <w:pPr>
        <w:pStyle w:val="SntesisDescriptiva"/>
      </w:pPr>
    </w:p>
    <w:p w:rsidR="00E3576C" w:rsidRDefault="00E3576C" w:rsidP="00E3576C">
      <w:pPr>
        <w:pStyle w:val="SntesisDescriptiva"/>
      </w:pPr>
      <w:r>
        <w:t>Acuerda el desistimiento en el recurso de amparo 7117-2011, promovido en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74" w:name="AUTO_2012_33"/>
      <w:r>
        <w:lastRenderedPageBreak/>
        <w:t>AUTO 33/2012, de 14 de febrero de 2012</w:t>
      </w:r>
    </w:p>
    <w:bookmarkEnd w:id="174"/>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ECLI:ES:TC:2012:33A</w:t>
      </w:r>
    </w:p>
    <w:p w:rsidR="00E3576C" w:rsidRDefault="00E3576C" w:rsidP="00E3576C">
      <w:pPr>
        <w:pStyle w:val="SntesisDescriptiva"/>
      </w:pPr>
    </w:p>
    <w:p w:rsidR="00E3576C" w:rsidRDefault="00E3576C" w:rsidP="00E3576C">
      <w:pPr>
        <w:pStyle w:val="SntesisDescriptiva"/>
      </w:pPr>
      <w:r>
        <w:t>Excms. Srs. don Pascual Sala Sánchez, don Eugeni Gay Montalvo, doña Elisa Pérez Vera, don Ramón Rodríguez Arribas, don Pablo Pérez Tremps,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Desestima el recurso de súplica sobre inadmisión de la recusación de tres Magistrados en el recurso de amparo 1150-2009, promovido por don Miguel Villacampa Villacampa.</w:t>
      </w:r>
    </w:p>
    <w:p w:rsidR="00E3576C" w:rsidRDefault="00E3576C" w:rsidP="00E3576C">
      <w:pPr>
        <w:pStyle w:val="SntesisDescriptiva"/>
      </w:pPr>
    </w:p>
    <w:p w:rsidR="00E3576C" w:rsidRDefault="00E3576C" w:rsidP="00E3576C">
      <w:pPr>
        <w:pStyle w:val="SntesisAnaltica"/>
      </w:pPr>
      <w:r>
        <w:t>Abstención de Magistrados del Tribunal Constitucional, deniega. Desestimación de recurso de súplica contra providencias de inadmisión del Tribunal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 de julio de 2009, don Miguel Villacampa Villacampa, bajo la representación procesal de la Procuradora doña Saint Aubin Alonso, interpuso demanda de amparo constitucional contra la Sentencia del Tribunal Supremo de 14 de noviembre de 2008, recaída en el recurso de casación núm. 1903-1999 y la Sentencia de la Audiencia Provincial de Huesca de 17 de marzo de 1999.</w:t>
      </w:r>
    </w:p>
    <w:p w:rsidR="00E3576C" w:rsidRDefault="00E3576C" w:rsidP="00E3576C">
      <w:pPr>
        <w:pStyle w:val="TextoNormal"/>
      </w:pPr>
    </w:p>
    <w:p w:rsidR="00E3576C" w:rsidRDefault="00E3576C" w:rsidP="00E3576C">
      <w:pPr>
        <w:pStyle w:val="TextoNormal"/>
      </w:pPr>
      <w:r w:rsidRPr="00E3576C">
        <w:rPr>
          <w:rStyle w:val="NumeroAFNegritaCaracter"/>
        </w:rPr>
        <w:t>2</w:t>
      </w:r>
      <w:r>
        <w:t>. La Sección Primera de este Tribunal, por providencia de 7 de abril de 2010, acordó inadmitir el recurso de amparo por no apreciar en el mismo la especial trascendencia constitucional, que, como condición para la admisión de un recurso de amparo, requiere el art. 50.1 b)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3</w:t>
      </w:r>
      <w:r>
        <w:t>. Por escrito presentado en el Registro General del Tribunal Constitucional el 20 de abril de 2010 el señor Villacampa recusó al Magistrado don Javier Delgado Barrio por entender que incurría en la causa de abstención prevista en el art. 219.11 de la Ley Orgánica del Poder Judicial (LOPJ).</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del Pleno de 2 de diciembre de 2010 se acordó la inadmisión a limine del incidente de recusación planteado por ser extemporáneo, señalándose, además, que del relato de hechos expuestos en el escrito de demanda no se derivaba causa que hubiera podido motivar la abstención del Magistrado que se recusaba.</w:t>
      </w:r>
    </w:p>
    <w:p w:rsidR="00E3576C" w:rsidRDefault="00E3576C" w:rsidP="00E3576C">
      <w:pPr>
        <w:pStyle w:val="TextoNormal"/>
      </w:pPr>
    </w:p>
    <w:p w:rsidR="00E3576C" w:rsidRDefault="00E3576C" w:rsidP="00E3576C">
      <w:pPr>
        <w:pStyle w:val="TextoNormal"/>
      </w:pPr>
      <w:r w:rsidRPr="00E3576C">
        <w:rPr>
          <w:rStyle w:val="NumeroAFNegritaCaracter"/>
        </w:rPr>
        <w:t>5</w:t>
      </w:r>
      <w:r>
        <w:t>. El 17 diciembre de 2010, el señor Villacampa presentó un escrito en el Registro General de este Tribunal por el que solicitaba la nulidad de la providencia del Pleno del Tribunal Constitucional de 2 de diciembre de 2010.</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6</w:t>
      </w:r>
      <w:r>
        <w:t>. El 3 de febrero de 2011 el señor Villacampa presentó en el Registro General del Tribunal Constitucional un nuevo escrito en el que volvía a recusar al Magistrado Sr. Delgado y recusaba también a los Magistrados Sr. Hernando y Sr. Aragón.</w:t>
      </w:r>
    </w:p>
    <w:p w:rsidR="00E3576C" w:rsidRDefault="00E3576C" w:rsidP="00E3576C">
      <w:pPr>
        <w:pStyle w:val="TextoNormal"/>
      </w:pPr>
    </w:p>
    <w:p w:rsidR="00E3576C" w:rsidRDefault="00E3576C" w:rsidP="00E3576C">
      <w:pPr>
        <w:pStyle w:val="TextoNormal"/>
      </w:pPr>
      <w:r w:rsidRPr="00E3576C">
        <w:rPr>
          <w:rStyle w:val="NumeroAFNegritaCaracter"/>
        </w:rPr>
        <w:t>7</w:t>
      </w:r>
      <w:r>
        <w:t>. Por providencia del Pleno de 15 de febrero de 2011 se acordó inadmitir a limine el incidente de recusación. En relación con la recusación del Magistrado don Javier Delgado, al haber sido resuelto este incidente por la providencia de 2 de diciembre de 2010, el Pleno acordó que debía estarse a lo dispuesto en la referida resolución. La recusación de los Magistrados don Francisco José Hernández Santiago y don Manuel Aragón Reyes se inadmitió a limine al constatarse que los hechos expuestos en el escrito de recusación ponían de manifiesto que los Magistrados recusados no incurrían en las causas de recusación invocadas, ya que de tales hechos no se derivaba causa alguna que hubiera podido motivar su abstención.</w:t>
      </w:r>
    </w:p>
    <w:p w:rsidR="00E3576C" w:rsidRDefault="00E3576C" w:rsidP="00E3576C">
      <w:pPr>
        <w:pStyle w:val="TextoNormal"/>
      </w:pPr>
    </w:p>
    <w:p w:rsidR="00E3576C" w:rsidRDefault="00E3576C" w:rsidP="00E3576C">
      <w:pPr>
        <w:pStyle w:val="TextoNormal"/>
      </w:pPr>
      <w:r w:rsidRPr="00E3576C">
        <w:rPr>
          <w:rStyle w:val="NumeroAFNegritaCaracter"/>
        </w:rPr>
        <w:t>8</w:t>
      </w:r>
      <w:r>
        <w:t>. Por providencia del Pleno de 17 de febrero de 2011 se inadmitió la solicitud de nulidad de actuaciones formulada en el escrito de 17 de diciembre de 2010 al no ser aplicable a las resoluciones de este Tribunal, ni directa ni supletoriamente, lo dispuesto en el art. 240 LOPJ.</w:t>
      </w:r>
    </w:p>
    <w:p w:rsidR="00E3576C" w:rsidRDefault="00E3576C" w:rsidP="00E3576C">
      <w:pPr>
        <w:pStyle w:val="TextoNormal"/>
      </w:pPr>
    </w:p>
    <w:p w:rsidR="00E3576C" w:rsidRDefault="00E3576C" w:rsidP="00E3576C">
      <w:pPr>
        <w:pStyle w:val="TextoNormal"/>
      </w:pPr>
      <w:r w:rsidRPr="00E3576C">
        <w:rPr>
          <w:rStyle w:val="NumeroAFNegritaCaracter"/>
        </w:rPr>
        <w:t>9</w:t>
      </w:r>
      <w:r>
        <w:t>. El 25 de febrero de 2011 el señor Villacampa presentó un nuevo escrito por el que formuló recurso de súplica contra las providencias de 15 y 17 de febrero de 2011. Aduce el recurrente que las referidas resoluciones deberían haber adoptado la forma de Auto y que, además, vulneran lo previsto en materia de abstención y recusación en el art. 217 y ss. LOPJ, que considera aplicable en virtud de lo previsto en el art. 80 LOTC.</w:t>
      </w:r>
    </w:p>
    <w:p w:rsidR="00E3576C" w:rsidRDefault="00E3576C" w:rsidP="00E3576C">
      <w:pPr>
        <w:pStyle w:val="TextoNormal"/>
      </w:pPr>
      <w:r>
        <w:t>También considera que debe desestimarse la impugnación de la providencia de 17 de febrero de 2011 al ser claro que, a tenor de lo dispuesto en el art. 80 LOTC, en relación con el art. 240 LOPJ, contra las resoluciones del Tribunal Constitucional no cabe el incidente de nulidad de actuaciones que regula este último precepto legal.</w:t>
      </w:r>
    </w:p>
    <w:p w:rsidR="00E3576C" w:rsidRDefault="00E3576C" w:rsidP="00E3576C">
      <w:pPr>
        <w:pStyle w:val="TextoNormal"/>
      </w:pPr>
    </w:p>
    <w:p w:rsidR="00E3576C" w:rsidRDefault="00E3576C" w:rsidP="00E3576C">
      <w:pPr>
        <w:pStyle w:val="TextoNormal"/>
      </w:pPr>
      <w:r w:rsidRPr="00E3576C">
        <w:rPr>
          <w:rStyle w:val="NumeroAFNegritaCaracter"/>
        </w:rPr>
        <w:t>10</w:t>
      </w:r>
      <w:r>
        <w:t>. Por providencia del Pleno de 15 de marzo de 2011 se acordó inadmitir a trámite, por improcedente, el recuso de súplica interpuesto contra la providencia de 17 de febrero de 2011.</w:t>
      </w:r>
    </w:p>
    <w:p w:rsidR="00E3576C" w:rsidRDefault="00E3576C" w:rsidP="00E3576C">
      <w:pPr>
        <w:pStyle w:val="TextoNormal"/>
      </w:pPr>
    </w:p>
    <w:p w:rsidR="00E3576C" w:rsidRDefault="00E3576C" w:rsidP="00E3576C">
      <w:pPr>
        <w:pStyle w:val="TextoNormal"/>
      </w:pPr>
      <w:r w:rsidRPr="00E3576C">
        <w:rPr>
          <w:rStyle w:val="NumeroAFNegritaCaracter"/>
        </w:rPr>
        <w:t>11</w:t>
      </w:r>
      <w:r>
        <w:t>. El 15 de marzo de 2011 el Pleno dictó otra providencia por la que, en relación con el recurso de súplica formulado contra la providencia de 15 de febrero de 2011, acordó dar traslado al Ministerio Fiscal del escrito presentado por el señor Villacampa por el que formulaba el referido recurso para que formulara las alegaciones que estimara conveniente.</w:t>
      </w:r>
    </w:p>
    <w:p w:rsidR="00E3576C" w:rsidRDefault="00E3576C" w:rsidP="00E3576C">
      <w:pPr>
        <w:pStyle w:val="TextoNormal"/>
      </w:pPr>
    </w:p>
    <w:p w:rsidR="00E3576C" w:rsidRDefault="00E3576C" w:rsidP="00E3576C">
      <w:pPr>
        <w:pStyle w:val="TextoNormal"/>
      </w:pPr>
      <w:r w:rsidRPr="00E3576C">
        <w:rPr>
          <w:rStyle w:val="NumeroAFNegritaCaracter"/>
        </w:rPr>
        <w:t>12</w:t>
      </w:r>
      <w:r>
        <w:t xml:space="preserve">. El Ministerio Fiscal presentó su escrito de alegaciones el 29 de marzo de 2011 solicitando la desestimación del recurso de súplica. El Fiscal considera que la impugnación de la providencia de 15 de febrero de 2011 debe desestimarse. Entiende el Fiscal que, como señaló la providencia de 2 diciembre de 2010, la recusación del Magistrado don Javier Delgado Barrio fue extemporánea. Señala también que en la tramitación de esta recusación no se incurrió en ningún defecto procesal causante de indefensión. En relación con la recusación de los Magistrados don Francisco José Hernando Santiago y don Manuel Aragón Reyes considera el Fiscal que, como apreció la providencia de 15 de febrero de 2011, los Magistrados recusados no incurrieron en ninguna causa de abstención. A juicio, del Ministerio </w:t>
      </w:r>
      <w:r>
        <w:lastRenderedPageBreak/>
        <w:t>Fiscal los hechos en los que se fundamenta la recusación de los tres Magistrados no ponen de manifiesto que hayan realizado actuaciones procesales previas de las que pudiera derivarse su perdida de la imparcialidad.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La representación procesal de don Miguel Villacampa Villacampa presentó un escrito por el que interponía recurso de súplica contra la providencia del Pleno de 15 de febrero de 2011, por la que se acordó rechazar a limine las recusaciones de los Magistrados don Javier Delgado Barrio, don Francisco José Hernando Santiago y don Manuel Aragón Reyes, y contra la providencia de 17 de febrero de 2011, por la que, también liminarmente, se rechazó el incidente de nulidad de actuaciones formulado contra la providencia de 2 de diciembre de 2010. Aduce el recurrente que las referidas resoluciones vulneran, por una parte, el art. 245 b) de la Ley Orgánica del Poder Judicial (LOPJ), pues entiende que, al tratarse de cuestiones incidentales, hubieran debido revestir la forma de Auto; y por otra, por vulnerar lo previsto en el art. 217 y ss. del mismo cuerpo legal, precepto que considera aplicable en virtud de lo dispuesto en el art. 80 de la Ley Orgánica del Tribunal Constitucional (LOTC). También alega que durante la tramitación del incidente de recusación hubiera debido oírse al Ministerio Fiscal. Junto a ello pone de manifiesto que la recusación del Magistrado don Javier Delgado Barrio no fue extemporánea y solicita, además, que se deje sin efecto la providencia por la que se inadmitió a trámite su recurso de amparo.</w:t>
      </w:r>
    </w:p>
    <w:p w:rsidR="00E3576C" w:rsidRDefault="00E3576C" w:rsidP="00E3576C">
      <w:pPr>
        <w:pStyle w:val="TextoNormal"/>
      </w:pPr>
    </w:p>
    <w:p w:rsidR="00E3576C" w:rsidRDefault="00E3576C" w:rsidP="00E3576C">
      <w:pPr>
        <w:pStyle w:val="TextoNormal"/>
      </w:pPr>
      <w:r>
        <w:t>El Ministerio Fiscal interesa la desestimación del recurso de súplica.</w:t>
      </w:r>
    </w:p>
    <w:p w:rsidR="00E3576C" w:rsidRDefault="00E3576C" w:rsidP="00E3576C">
      <w:pPr>
        <w:pStyle w:val="TextoNormal"/>
      </w:pPr>
    </w:p>
    <w:p w:rsidR="00E3576C" w:rsidRDefault="00E3576C" w:rsidP="00E3576C">
      <w:pPr>
        <w:pStyle w:val="TextoNormal"/>
      </w:pPr>
      <w:r w:rsidRPr="00E3576C">
        <w:rPr>
          <w:rStyle w:val="NumeroAFNegritaCaracter"/>
        </w:rPr>
        <w:t>2</w:t>
      </w:r>
      <w:r>
        <w:t>. Debe señalarse, en primer lugar, que el recuso de súplica interpuesto contra la providencia del Pleno de 17 de febrero de 2011 fue inadmitido por providencia del Pleno de 15 de marzo de 2011, por lo que sólo procede examinar el recurso de súplica interpuesto contra la providencia del Pleno de 15 de febrero de 2011.</w:t>
      </w:r>
    </w:p>
    <w:p w:rsidR="00E3576C" w:rsidRDefault="00E3576C" w:rsidP="00E3576C">
      <w:pPr>
        <w:pStyle w:val="TextoNormal"/>
      </w:pPr>
    </w:p>
    <w:p w:rsidR="00E3576C" w:rsidRDefault="00E3576C" w:rsidP="00E3576C">
      <w:pPr>
        <w:pStyle w:val="TextoNormal"/>
      </w:pPr>
      <w:r>
        <w:t>Se aduce, en primer lugar, que la resolución impugnada hubiera debido adoptar la forma de Auto y no la de providencia. Sin embargo, esta queja no puede prosperar, pues, como sostuvimos en el ATC 72/2010, de 23 de junio, FJ 1, citando el ATC 468/2007, de 17 de diciembre, “lo determinante de la forma de la resolución que haya de adoptarse no es el contenido del escrito presentado por la parte, sino la índole de la decisión a adoptar a la vista del mismo” (FJ 3), y en este caso, vistos los escritos formulados, la decisión a adoptar debía ser la denegación de plano de las pretensiones suscitadas; decisión que “encuentra su adecuada forma en una providencia” (ATC 72/2010, FJ 1)</w:t>
      </w:r>
    </w:p>
    <w:p w:rsidR="00E3576C" w:rsidRDefault="00E3576C" w:rsidP="00E3576C">
      <w:pPr>
        <w:pStyle w:val="TextoNormal"/>
      </w:pPr>
    </w:p>
    <w:p w:rsidR="00E3576C" w:rsidRDefault="00E3576C" w:rsidP="00E3576C">
      <w:pPr>
        <w:pStyle w:val="TextoNormal"/>
      </w:pPr>
      <w:r>
        <w:t>En efecto, la providencia de 15 de febrero de 2011 acordó rechazar a limine el incidente de recusación formulado contra el Magistrados don Javier Delgado Barrio, al ser ésta una cuestión que ya había sido resuelta por providencia de 2 de diciembre de 2010, que inadmitió el incidente de recusación contra este Magistrado, por lo que debía estarse a lo decidido en esa resolución. A la misma conclusión se llegó respecto de la recusación formulada contra los Magistrados don Francisco José Hernando Santiago y don Manuel Aragón Reyes al considerar que los hechos expuestos en los escritos de recusación ponían de manifiesto con toda evidencia que los Magistrados recusados no incurrían en ninguna causa de abstención.</w:t>
      </w:r>
    </w:p>
    <w:p w:rsidR="00E3576C" w:rsidRDefault="00E3576C" w:rsidP="00E3576C">
      <w:pPr>
        <w:pStyle w:val="TextoNormal"/>
      </w:pPr>
    </w:p>
    <w:p w:rsidR="00E3576C" w:rsidRDefault="00E3576C" w:rsidP="00E3576C">
      <w:pPr>
        <w:pStyle w:val="TextoNormal"/>
      </w:pPr>
      <w:r>
        <w:lastRenderedPageBreak/>
        <w:t>Por otra parte, debe recordarse que, según ha sostenido este Tribunal, uno de los supuestos en los que es constitucionalmente admisible rechazar de plano la recusación es cuando se aduce “una causa de recusación ilusoria que en modo alguno se desprende de los hechos en que intenta fundamentarse” (STC 155/2002, de 22 julio, FJ 2, en el mismo sentido, entre otros, ATC 117/2010, de 29 de septiembre, FJ 1), que es, precisamente, lo que ocurre en este caso.</w:t>
      </w:r>
    </w:p>
    <w:p w:rsidR="00E3576C" w:rsidRDefault="00E3576C" w:rsidP="00E3576C">
      <w:pPr>
        <w:pStyle w:val="TextoNormal"/>
      </w:pPr>
    </w:p>
    <w:p w:rsidR="00E3576C" w:rsidRDefault="00E3576C" w:rsidP="00E3576C">
      <w:pPr>
        <w:pStyle w:val="TextoNormal"/>
      </w:pPr>
      <w:r w:rsidRPr="00E3576C">
        <w:rPr>
          <w:rStyle w:val="NumeroAFNegritaCaracter"/>
        </w:rPr>
        <w:t>3</w:t>
      </w:r>
      <w:r>
        <w:t>. Tampoco pueden prosperar las quejas por las que se alegan motivos de fondo para fundamentar su oposición a la providencia impugnada. La recusación del Magistrado Sr. Delgado Barrio, como señalamos en la providencia ahora recurrida súplica, fue inadmitida por providencia de 2 de diciembre de 2010 y el recurrente debe estarse a lo acordado en esta resolución. Como sostuvimos en la citada providencia de 2 diciembre de 2010, el escrito por el que se promovió la recusación del Magistrado don Javier Delgado Barrio fue extemporáneo. El recurrente formuló este incidente el 20 de abril de 2010 y tuvo conocimiento de que su recurso de amparo había recaído en la Sección Primera el día 21 de febrero de 2009 —fecha en que le fue notificada la diligencia de ordenación de 12 de febrero de 2009—, por lo que, al estar publicado en el “BOE” el acuerdo de composición de Salas y Secciones del Tribunal Constitucional (“BOE” núm. 151, de 23 de junio de 2004), pudo conocer la composición de la Sección desde que recibió la referida diligencia de ordenación. En todo caso, como también señalábamos en la providencia de 2 de diciembre de 2010, de los hechos en los que pretendía fundamentar la concurrencia de una causa de abstención no se derivaba que el Magistrado recusado incurriera en ninguna de estas causas.</w:t>
      </w:r>
    </w:p>
    <w:p w:rsidR="00E3576C" w:rsidRDefault="00E3576C" w:rsidP="00E3576C">
      <w:pPr>
        <w:pStyle w:val="TextoNormal"/>
      </w:pPr>
    </w:p>
    <w:p w:rsidR="00E3576C" w:rsidRDefault="00E3576C" w:rsidP="00E3576C">
      <w:pPr>
        <w:pStyle w:val="TextoNormal"/>
      </w:pPr>
      <w:r>
        <w:t>Por lo que se refiere a la recusación de los Magistrados don Francisco José Hernando Santiago y don Manuel Aragón Reyes, como afirmamos en la providencia de 15 de febrero de 2011, objeto de este recurso de súplica, de los hechos en los que pretende fundamentarse su recusación no se deriva la concurrencia de ninguna causa de abstención. Los motivos en los que se fundamenta la pérdida de imparcialidad del señor Hernando, que son los mismos que los aducidos para fundamentar la recusación del señor Delgado, son, por una parte, que formó parte de la Sala especial del art. 61 LOPJ enjuiciando una causa que, según el recurrente, guarda relación con las resoluciones judiciales que fueron impugnadas en amparo y, por otra, que dictó resoluciones, en su condición del Presidente del Consejo General del Poder Judicial, que también considera que están relaciones con las que fueron impugnadas en amparo. Sin embargo, no existe relación alguna entre tales actuaciones y la providencia de 2 de diciembre de 2010 (providencia por la se acordó inadmitir la recusación del señor Delgado Barrio). Es más, ni siquiera puede apreciarse que las referidas actuaciones tengan relación con resoluciones judiciales de las que trae causa el recurso de amparo núm. 1150-2009, que tienen su origen en procesos distintos de aquellos en los que intervino el referido Magistrado; relación, por otra parte, que, aunque existiera, que no la hay, sería irrelevante para resolver la recusación del señor Hernando, que intervino en la resolución del incidente de recusación del señor Delgado, pero no formó parte de la Sección que resolvió el recuso de amparo núm. 1150-2009.</w:t>
      </w:r>
    </w:p>
    <w:p w:rsidR="00E3576C" w:rsidRDefault="00E3576C" w:rsidP="00E3576C">
      <w:pPr>
        <w:pStyle w:val="TextoNormal"/>
      </w:pPr>
    </w:p>
    <w:p w:rsidR="00E3576C" w:rsidRDefault="00E3576C" w:rsidP="00E3576C">
      <w:pPr>
        <w:pStyle w:val="TextoNormal"/>
      </w:pPr>
      <w:r>
        <w:t xml:space="preserve">De igual modo, tampoco los hechos en los que fundamenta la pretendida falta de imparcialidad del Sr. Aragón ponen de manifiesto que exista causa de abstención. Entiende el recurrente que don Manuel Aragón Reyes, al formar parte de la Sección Primera —que fue la Sección que inadmitió su recurso de amparo— y haber conocido de la recusación del señor Delgado, tiene interés directo en el asunto y, en consecuencia, no reúne los requisitos </w:t>
      </w:r>
      <w:r>
        <w:lastRenderedPageBreak/>
        <w:t>de imparcialidad necesarios. Como se ha adelantado, esta queja no puede prosperar. Es claro que de tales hechos no puede deducirse la pretendida pérdida de imparcialidad que aduce el recurrente, pues de los mismos no se deriva que el señor Aragón pueda tener interés alguno en la resolución de la recusación del señor Delgado.</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contra la providencia del Pleno de 15 de febrero de 2011 por la que se inadmite las recusaciones de los Magistrados don Javier Delgado Barrio, don Manuel Aragón Reyes y don Francisco José Hernando Santiago.</w:t>
      </w:r>
    </w:p>
    <w:p w:rsidR="00E3576C" w:rsidRDefault="00E3576C" w:rsidP="00E3576C">
      <w:pPr>
        <w:pStyle w:val="TextoNormal"/>
      </w:pPr>
    </w:p>
    <w:p w:rsidR="00E3576C" w:rsidRDefault="00E3576C" w:rsidP="00E3576C">
      <w:pPr>
        <w:pStyle w:val="TextoNormal"/>
      </w:pPr>
      <w:r>
        <w:t>Madrid, a catorce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5" w:name="AUTO_2012_34"/>
      <w:r>
        <w:lastRenderedPageBreak/>
        <w:t>AUTO 34/2012, de 14 de febrero de 2012</w:t>
      </w:r>
    </w:p>
    <w:bookmarkEnd w:id="175"/>
    <w:p w:rsidR="00E3576C" w:rsidRDefault="00E3576C" w:rsidP="00E3576C">
      <w:pPr>
        <w:pStyle w:val="TtuloResolucin"/>
      </w:pPr>
      <w:r>
        <w:t>Pleno</w:t>
      </w:r>
    </w:p>
    <w:p w:rsidR="00E3576C" w:rsidRDefault="00E3576C" w:rsidP="00E3576C">
      <w:pPr>
        <w:pStyle w:val="TtuloResolucin"/>
      </w:pPr>
    </w:p>
    <w:p w:rsidR="00E3576C" w:rsidRDefault="00E3576C" w:rsidP="00E3576C">
      <w:pPr>
        <w:pStyle w:val="TtuloBOE"/>
      </w:pPr>
      <w:r>
        <w:t>("BOE" núm. 61, de 12 de marzo de 2012)</w:t>
      </w:r>
    </w:p>
    <w:p w:rsidR="00E3576C" w:rsidRDefault="00E3576C" w:rsidP="00E3576C">
      <w:pPr>
        <w:pStyle w:val="TtuloBOE"/>
      </w:pPr>
    </w:p>
    <w:p w:rsidR="00E3576C" w:rsidRDefault="00E3576C" w:rsidP="00E3576C">
      <w:pPr>
        <w:pStyle w:val="SntesisDescriptiva"/>
      </w:pPr>
      <w:r>
        <w:t>ECLI:ES:TC:2012:34A</w:t>
      </w:r>
    </w:p>
    <w:p w:rsidR="00E3576C" w:rsidRDefault="00E3576C" w:rsidP="00E3576C">
      <w:pPr>
        <w:pStyle w:val="SntesisDescriptiva"/>
      </w:pPr>
    </w:p>
    <w:p w:rsidR="00E3576C" w:rsidRDefault="00E3576C" w:rsidP="00E3576C">
      <w:pPr>
        <w:pStyle w:val="SntesisDescriptiva"/>
      </w:pPr>
      <w:r>
        <w:t>Excms. Srs. don Pascual Sala Sánchez, don Eugeni Gay Montalvo,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5595-2011, planteada por el Juzgado de lo Contencioso-Administrativo núm. 13 de Barcelona en relación con el artículo 117.1 del texto refundido de la Ley de aguas.</w:t>
      </w:r>
    </w:p>
    <w:p w:rsidR="00E3576C" w:rsidRDefault="00E3576C" w:rsidP="00E3576C">
      <w:pPr>
        <w:pStyle w:val="SntesisDescriptiva"/>
      </w:pPr>
    </w:p>
    <w:p w:rsidR="00E3576C" w:rsidRDefault="00E3576C" w:rsidP="00E3576C">
      <w:pPr>
        <w:pStyle w:val="SntesisAnaltica"/>
      </w:pPr>
      <w:r>
        <w:t>Aguas: aprovechamientos hidráulicos. Inadmisión de cuestión de inconstitucionalidad: cuestión de inconstitucionalidad notoriamente infundada. Principio de legalidad sancionadora: graduación de la sanción administrativa; remisión a normas reglamentarias; sanciones administrativas.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17 de octubre de 2011 tuvo entrada en el Registro General de este Tribunal escrito del Juzgado de lo Contencioso-Administrativo núm. 13 de Barcelona, al que se acompaña, junto con el testimonio del recurso contencioso núm. 33-2010, el Auto de 27 de septiembre de 2011, por el que acordó plantear cuestión de inconstitucionalidad respecto del art. 117.1 del texto refundido de la Ley de aguas, aprobado por Real Decreto Legislativo 1/2001, de 20 de julio, por posible vulneración del art. 25.1 CE.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presente cuestión de inconstitucionalidad tiene su origen en el recurso contencioso ordinario (núm. 33-2010), donde se impugnaba una sanción impuesta a un concesionario de aprovechamiento de agua para la producción de energía eléctrica. </w:t>
      </w:r>
    </w:p>
    <w:p w:rsidR="00E3576C" w:rsidRDefault="00E3576C" w:rsidP="00E3576C">
      <w:pPr>
        <w:pStyle w:val="TextoNormal"/>
      </w:pPr>
    </w:p>
    <w:p w:rsidR="00E3576C" w:rsidRDefault="00E3576C" w:rsidP="00E3576C">
      <w:pPr>
        <w:pStyle w:val="TextoNormal"/>
      </w:pPr>
      <w:r>
        <w:t xml:space="preserve">En síntesis, los hechos tiene su origen en la incoación de un expediente sancionador respecto del concesionario, incoado por el Director del área de ordenación del dominio público hidráulico de la Agencia del agua del Departament de Medi Ambient y Habitatge de la Generalitat de Catalunya, al detectarse que el régimen de explotación provocaba importantes fluctuaciones del caudal de la ribera de Beget sin garantizar la continuidad fluvial de las aguas. </w:t>
      </w:r>
    </w:p>
    <w:p w:rsidR="00E3576C" w:rsidRDefault="00E3576C" w:rsidP="00E3576C">
      <w:pPr>
        <w:pStyle w:val="TextoNormal"/>
      </w:pPr>
    </w:p>
    <w:p w:rsidR="00E3576C" w:rsidRDefault="00E3576C" w:rsidP="00E3576C">
      <w:pPr>
        <w:pStyle w:val="TextoNormal"/>
      </w:pPr>
      <w:r>
        <w:t xml:space="preserve">Tramitado el expediente sancionador se impuso una sanción de multa de 30.050,61 euros de acuerdo con los artículos 116.3 c), 117 y 118 del Real Decreto Legislativo 1/2001 de 20 </w:t>
      </w:r>
      <w:r>
        <w:lastRenderedPageBreak/>
        <w:t xml:space="preserve">de julio, que aprueba el texto refundido de la Ley de aguas, en relación con el art. 50.4 del mismo texto legal y del art. 316 b) del Reglamento de dominio público hidráulico, consistente en el incumplimiento de las condiciones impuestas en el titulo concesional. </w:t>
      </w:r>
    </w:p>
    <w:p w:rsidR="00E3576C" w:rsidRDefault="00E3576C" w:rsidP="00E3576C">
      <w:pPr>
        <w:pStyle w:val="TextoNormal"/>
      </w:pPr>
    </w:p>
    <w:p w:rsidR="00E3576C" w:rsidRDefault="00E3576C" w:rsidP="00E3576C">
      <w:pPr>
        <w:pStyle w:val="TextoNormal"/>
      </w:pPr>
      <w:r>
        <w:t>Interpuesto y rechazado recurso potestativo de reposición, el concesionario-demandante interpuso recurso contencioso-administrativo contra la resolución sancionadora de 10 de noviembre de 2009 de la Agencia catalana del agua, turnándose dicho recurso al Juzgado de lo Contencioso-Administrativo núm. 13 de Barcelona, tramitándose el procedimiento núm. 33-2010. Una vez tramitado dicho procedimiento, el Juzgado de lo Contencioso-Administrativo núm. 13 de Barcelona acordó plantear cuestión de inconstitucionalidad mediante Auto de 27 de septiembre de 2001, sobre el art. 117.1 del texto refundido de la Ley de aguas, aprobado por Real Decreto Legislativo 1/2001, de 20 de julio, por posible vulneración del art. 25.1 CE.</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En el Auto de planteamiento, se refiere el órgano judicial a la duda de constitucionalidad que plantea, que trae causa de la incompatibilidad con el art. 25.1 de la Constitución, de aquellas disposiciones con fuerza de ley que difieren a la potestad reglamentaria la concreción del carácter leve, grave o muy grave de las infracciones. </w:t>
      </w:r>
    </w:p>
    <w:p w:rsidR="00E3576C" w:rsidRDefault="00E3576C" w:rsidP="00E3576C">
      <w:pPr>
        <w:pStyle w:val="TextoNormal"/>
      </w:pPr>
    </w:p>
    <w:p w:rsidR="00E3576C" w:rsidRDefault="00E3576C" w:rsidP="00E3576C">
      <w:pPr>
        <w:pStyle w:val="TextoNormal"/>
      </w:pPr>
      <w:r>
        <w:t>El precepto cuya constitucionalidad discute, dispone:</w:t>
      </w:r>
    </w:p>
    <w:p w:rsidR="00E3576C" w:rsidRDefault="00E3576C" w:rsidP="00E3576C">
      <w:pPr>
        <w:pStyle w:val="TextoNormal"/>
      </w:pPr>
    </w:p>
    <w:p w:rsidR="00E3576C" w:rsidRDefault="00E3576C" w:rsidP="00E3576C">
      <w:pPr>
        <w:pStyle w:val="TextoNormal"/>
      </w:pPr>
      <w:r>
        <w:t xml:space="preserve"> “Artículo 117. Calificación de las infracciones. </w:t>
      </w:r>
    </w:p>
    <w:p w:rsidR="00E3576C" w:rsidRDefault="00E3576C" w:rsidP="00E3576C">
      <w:pPr>
        <w:pStyle w:val="TextoNormal"/>
      </w:pPr>
    </w:p>
    <w:p w:rsidR="00E3576C" w:rsidRDefault="00E3576C" w:rsidP="00E3576C">
      <w:pPr>
        <w:pStyle w:val="TextoNormal"/>
      </w:pPr>
      <w:r>
        <w:t>1. Las citadas infracciones se calificarán reglamentariamente de leves, menos graves, graves o muy graves, atendiendo a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pudiendo ser sancionadas con las siguientes multas: Infracciones leves, multa de hasta 6.010,12 euros (1.000.000 de pesetas). Infracciones menos graves, multa de 6.010,13 a 30.050,61 euros (1.000.001 a 5.000.000 de pesetas). Infracciones graves, multa de 30.050,62 a 300.506,06 euros (5.000.001 a 50.000.000 de pesetas). Infracciones muy graves, multa de 300.506,06 a 601.012,10 euros (50.000.001 a 100.000.000 de pesetas).”</w:t>
      </w:r>
    </w:p>
    <w:p w:rsidR="00E3576C" w:rsidRDefault="00E3576C" w:rsidP="00E3576C">
      <w:pPr>
        <w:pStyle w:val="TextoNormal"/>
      </w:pPr>
    </w:p>
    <w:p w:rsidR="00E3576C" w:rsidRDefault="00E3576C" w:rsidP="00E3576C">
      <w:pPr>
        <w:pStyle w:val="TextoNormal"/>
      </w:pPr>
      <w:r>
        <w:t xml:space="preserve">Considera el órgano judicial que de prosperar la cuestión de inconstitucionalidad, la sanción sería declarada nula, sin más, por ser nula la previsión contenida en el art. 117.1 del texto refundido de la Ley de aguas, que encomienda al reglamento el cometido de clasificar las infracciones en leves, menos graves, graves y muy graves atendiendo, pura y simplemente, a criterios formulados mediante conceptos jurídicos indeterminados (trascendencia por lo que respecta a la seguridad de las personas y bienes y a las circunstancias del responsable; grado de malicia, participación y beneficio obtenido; así como deterioro producido en la calidad del recurso). Conceptos jurídicos que, tal como aparecen formulados, no contienen, a su juicio, en su seno umbrales susceptibles de acotar o limitar verdaderamente la discrecionalidad reglamentaria. </w:t>
      </w:r>
    </w:p>
    <w:p w:rsidR="00E3576C" w:rsidRDefault="00E3576C" w:rsidP="00E3576C">
      <w:pPr>
        <w:pStyle w:val="TextoNormal"/>
      </w:pPr>
    </w:p>
    <w:p w:rsidR="00E3576C" w:rsidRDefault="00E3576C" w:rsidP="00E3576C">
      <w:pPr>
        <w:pStyle w:val="TextoNormal"/>
      </w:pPr>
      <w:r>
        <w:t xml:space="preserve">Recuerda que al órgano judicial no le es dado participar del ejercicio de la potestad sancionadora para salvar el expediente mutando la naturaleza de la contravención enjuiciada o </w:t>
      </w:r>
      <w:r>
        <w:lastRenderedPageBreak/>
        <w:t xml:space="preserve">subsumiendo los hechos en un tipo infractor más benigno, porque ello contravendría la jurisprudencia del Tribunal Constitucional (por todas, SSTC 161/2003, de 15 de septiembre, y 218/2005, de 12 de septiembre). Señala como Sentencias del Tribunal Constitucional aplicables para resolver la presente cuestión, entre otras muchas, las SSTC 97/2009, de 27 de abril, 81/2009, de 23 de marzo, y 162/2008, de 15 de diciembre, que establecen que deben ser normas con rango y fuerza de ley las que definan los elementos esenciales de los diferentes tipos infractores. En el supuesto de autos, afirma el órgano judicial, resulta patente que la ley confió al reglamento el diseño completo del abanico de infracciones leves, menos graves, graves y muy graves, sin sujeción a directrices con virtualidad para predefinir los límites o fronteras de cada una de las citadas categorías infractoras, de lo que se sigue que, bajo la apariencia de una deslegalización relativa, supeditada legalmente a determinados parámetros, en realidad se enmascara —mediante conceptos jurídicos indeterminados y completamente abiertos— una deslegalización total y absoluta, contraria al art. 25.1 CE. Se refiere también a la STC 252/2006, de 25 de julio, que parte de una premisa esencial, cual es la de considerar que sólo en normas con rango o fuerza de ley resultará posible identificar y diferenciar de forma taxativa y aprehensible las conductas que deban merecer la condición de infracciones leves, menos graves, graves o muy graves. </w:t>
      </w:r>
    </w:p>
    <w:p w:rsidR="00E3576C" w:rsidRDefault="00E3576C" w:rsidP="00E3576C">
      <w:pPr>
        <w:pStyle w:val="TextoNormal"/>
      </w:pPr>
    </w:p>
    <w:p w:rsidR="00E3576C" w:rsidRDefault="00E3576C" w:rsidP="00E3576C">
      <w:pPr>
        <w:pStyle w:val="TextoNormal"/>
      </w:pPr>
      <w:r>
        <w:t>En definitiva, para el órgano judicial es contrario al art. 25.1 CE dejar extramuros de la ley la calificación precisa o taxativa de las infracciones administrativas, como sucede con el precepto cuestionado. Considera que ante una disposición como el art. 117.1 del texto refundido de la Ley de aguas, no caben resoluciones interpretativas de los órganos jurisdiccionales susceptibles de eludir el déficit de constitucionalidad referido sin, a la vez, sustituir al legislador en su labor.</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22 de noviembre de 2011, la Sección Cuarta de este Tribunal, en virtud del art. 37.1 de la Ley Orgánica del Tribunal Constitucional (LOTC),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xml:space="preserve">. Por escrito registrado el 20 de diciembre de 2011, el Fiscal General del Estado formuló sus alegaciones solicitando la inadmisión de la presente cuestión. Tras reproducir los preceptos que considera aplicables en el proceso a quo, explica que se han cumplido los trámites procesales que establece la LOTC, en cuanto a la audiencia a las partes en el proceso a quo, el rango legal de la norma cuestionada y su aplicabilidad en el proceso del que nace la presente cuestión; no obstante considera dudoso el juicio de relevancia realizado en el Auto de planteamiento, ya que a su juicio en los fundamentos de dicho Auto el órgano judicial parece aludir implícitamente a un juicio abstracto de constitucionalidad de la norma, más allá de la concreta relevancia que pudiera tener su aplicación para el supuesto enjuiciado. </w:t>
      </w:r>
    </w:p>
    <w:p w:rsidR="00E3576C" w:rsidRDefault="00E3576C" w:rsidP="00E3576C">
      <w:pPr>
        <w:pStyle w:val="TextoNormal"/>
      </w:pPr>
    </w:p>
    <w:p w:rsidR="00E3576C" w:rsidRDefault="00E3576C" w:rsidP="00E3576C">
      <w:pPr>
        <w:pStyle w:val="TextoNormal"/>
      </w:pPr>
      <w:r>
        <w:t xml:space="preserve">Respecto a la cuestión de fondo, relativa al principio de legalidad en su aspecto de taxatividad, tras realizar un exhaustivo recorrido por la doctrina de este Tribunal Constitucional, considera que no puede compartirse que exista, en el precepto cuestionado, una absoluta indeterminación en la remisión reglamentaria para la graduación de las infracciones, no sólo por la existencia de parámetros de acotación y predeterminación de conductas, sino porque, </w:t>
      </w:r>
      <w:r>
        <w:lastRenderedPageBreak/>
        <w:t xml:space="preserve">especificadas éstas y las obligaciones que corresponde observar por el titular de la concesión, no cabe duda de que su incumplimiento acarrearía unas consecuencias jurídicas que en absoluto resultan imprevisibles, quedando salvaguardado, cuando menos, la graduación de la infracción en su mínima categoría, es decir, como leve. Y tampoco comparte que el déficit de legalidad parcial del precepto determine la inconstitucionalidad de la totalidad del mismo. </w:t>
      </w:r>
    </w:p>
    <w:p w:rsidR="00E3576C" w:rsidRDefault="00E3576C" w:rsidP="00E3576C">
      <w:pPr>
        <w:pStyle w:val="TextoNormal"/>
      </w:pPr>
    </w:p>
    <w:p w:rsidR="00E3576C" w:rsidRDefault="00E3576C" w:rsidP="00E3576C">
      <w:pPr>
        <w:pStyle w:val="TextoNormal"/>
      </w:pPr>
      <w:r>
        <w:t>A su juicio en la presente cuestión, el art. 116.3 del Real Decreto Legislativo 1/2001 de 20 de julio, que aprueba el texto refundido de la Ley de aguas 1/2001, predetermina las conductas, y concretamente, su apartado c) contempla la conducta que ha sido objeto de sanción por la resolución recurrida en el proceso judicial origen de la misma; además, tal conducta, en el caso concreto, remite al incumplimiento de las condiciones de la concesión administrativa, en las que consta (condición núm. 2 apdo. 3) no sólo que debe garantizarse el fluido de un determinado caudal, sino su sujeción a las medidas que se adopten en circunstancias de sequia extraordinarias (núm. 11), advirtiendo también sobre su eventual caducidad por incumplimiento de las condiciones esenciales (núm. 16), remitiéndose a las disposiciones de la primitiva Ley de aguas 29/1985, de 2 de agosto, así como al todavía vigente Reglamento de dominio público hidráulico aprobado por Real Decreto 849/1986, de 11 de abril.</w:t>
      </w:r>
    </w:p>
    <w:p w:rsidR="00E3576C" w:rsidRDefault="00E3576C" w:rsidP="00E3576C">
      <w:pPr>
        <w:pStyle w:val="TextoNormal"/>
      </w:pPr>
    </w:p>
    <w:p w:rsidR="00E3576C" w:rsidRDefault="00E3576C" w:rsidP="00E3576C">
      <w:pPr>
        <w:pStyle w:val="TextoNormal"/>
      </w:pPr>
      <w:r>
        <w:t xml:space="preserve">Considera el Fiscal General del Estado que la jurisprudencia citada en el Auto de planteamiento no es aplicable al caso concreto, ya que en el ahora analizado existe: a) una cobertura legal directa del art. 116.3 del Real Decreto Legislativo 1/2001, de 20 de julio, que aprueba el texto refundido de la Ley de aguas, que describe la conducta susceptibles de ser sancionada; b) una previsión del art. 117 del Real Decreto Legislativo 1/2001, de 20 de julio, que aprueba el texto refundido de la Ley de aguas que, si bien remite al reglamento para la graduación de las sanciones, establece diversos criterios para dicha graduación; y c) una cuantificación de las sanciones correspondientes a cada tipo de infracción. Además, en el concreto caso sometido al recurso contencioso-administrativo la individualización reglamentaria de la sanción recoge el comportamiento ya previsto por el art. 116.3 c), bien directamente —incumplimiento de condiciones de la concesión—, bien describiendo elementos con un marco más amplio “sin perjuicio de su caducidad, revocación o suspensión”. </w:t>
      </w:r>
    </w:p>
    <w:p w:rsidR="00E3576C" w:rsidRDefault="00E3576C" w:rsidP="00E3576C">
      <w:pPr>
        <w:pStyle w:val="TextoNormal"/>
      </w:pPr>
    </w:p>
    <w:p w:rsidR="00E3576C" w:rsidRDefault="00E3576C" w:rsidP="00E3576C">
      <w:pPr>
        <w:pStyle w:val="TextoNormal"/>
      </w:pPr>
      <w:r>
        <w:t xml:space="preserve">En conclusión, a juicio del Ministerio público, todas estas circunstancias conforman un conjunto de elementos que predeterminan conductas y sanciones, enervando así las deficiencias de imprevisibilidad que darían lugar a la vulneración del principio de taxatividad del art. 25.1 CE propugnado por el órgano judicial, si bien, a su juico, quedaría circunscrito a la apreciación de las conductas de carácter leve, consecuencia mínima indeclinable y previsible de que el incumplimiento de las obligaciones legalmente establecidas pudiera determinar, al menos, una consecuencia sancionadora en su modalidad de menor intensidad como es la infracción leve y que se extiende a la cuantía de las sanciones. </w:t>
      </w:r>
    </w:p>
    <w:p w:rsidR="00E3576C" w:rsidRDefault="00E3576C" w:rsidP="00E3576C">
      <w:pPr>
        <w:pStyle w:val="TextoNormal"/>
      </w:pPr>
    </w:p>
    <w:p w:rsidR="00E3576C" w:rsidRDefault="00E3576C" w:rsidP="00E3576C">
      <w:pPr>
        <w:pStyle w:val="TextoNormal"/>
      </w:pPr>
      <w:r>
        <w:t>No obstante, finalmente el Fiscal General del Estado solicita la inadmisión de la presente cuestión de inconstitucionalidad.</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Juzgado de lo Contencioso-Administrativo núm. 13 de Barcelona, mediante Auto de 27 de septiembre de 2011, planteó cuestión de inconstitucionalidad respecto del art. 117.1 del texto refundido de la Ley de aguas, aprobado por Real Decreto Legislativo 1/2001, de 20 de julio, por posible vulneración del art. 25.1 CE, con los argumentos que han quedado expuesto en los antecedentes.</w:t>
      </w:r>
    </w:p>
    <w:p w:rsidR="00E3576C" w:rsidRDefault="00E3576C" w:rsidP="00E3576C">
      <w:pPr>
        <w:pStyle w:val="TextoNormal"/>
      </w:pPr>
    </w:p>
    <w:p w:rsidR="00E3576C" w:rsidRDefault="00E3576C" w:rsidP="00E3576C">
      <w:pPr>
        <w:pStyle w:val="TextoNormal"/>
      </w:pPr>
      <w:r w:rsidRPr="00E3576C">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En este caso, y por las razones que se expondrán sucintamente a continuación, puede afirmarse que la cuestión de inconstitucionalidad resulta notoriamente infundada (art. 37.1 LOTC).</w:t>
      </w:r>
    </w:p>
    <w:p w:rsidR="00E3576C" w:rsidRDefault="00E3576C" w:rsidP="00E3576C">
      <w:pPr>
        <w:pStyle w:val="TextoNormal"/>
      </w:pPr>
    </w:p>
    <w:p w:rsidR="00E3576C" w:rsidRDefault="00E3576C" w:rsidP="00E3576C">
      <w:pPr>
        <w:pStyle w:val="TextoNormal"/>
      </w:pPr>
      <w:r>
        <w:t xml:space="preserve">Como ha quedado expuesto en los antecedentes con más detalle, el órgano judicial en el Auto por el que se ha planteado la presente cuestión de inconstitucionalidad, en síntesis, considera que el precepto aplicable contiene una remisión en blanco al reglamento que contraviene la doctrina constitucional. Afirma que es patente que la ley ha confiado al reglamento “el diseño completo del abanico de infracciones leves, menos graves, graves y muy graves, sin sujeción a directrices con virtualidad para predefinir los límites o fronteras de cada una de las citadas categorías infractores”, que ha llevado a “una deslegalización total y absoluta, contraria al art. 25.1 CE”. </w:t>
      </w:r>
    </w:p>
    <w:p w:rsidR="00E3576C" w:rsidRDefault="00E3576C" w:rsidP="00E3576C">
      <w:pPr>
        <w:pStyle w:val="TextoNormal"/>
      </w:pPr>
    </w:p>
    <w:p w:rsidR="00E3576C" w:rsidRDefault="00E3576C" w:rsidP="00E3576C">
      <w:pPr>
        <w:pStyle w:val="TextoNormal"/>
      </w:pPr>
      <w:r>
        <w:t>El Fiscal General del Estado, por las razones de las que se ha dejado constancia en los antecedentes, se opone a la admisión a trámite de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Centrado el problema en el principio de legalidad con las garantías que conlleva y la colaboración reglamentaria en materia sancionadora, cumple ahora recordar los principales puntos de la doctrina constitucional sobre este tema. </w:t>
      </w:r>
    </w:p>
    <w:p w:rsidR="00E3576C" w:rsidRDefault="00E3576C" w:rsidP="00E3576C">
      <w:pPr>
        <w:pStyle w:val="TextoNormal"/>
      </w:pPr>
    </w:p>
    <w:p w:rsidR="00E3576C" w:rsidRDefault="00E3576C" w:rsidP="00E3576C">
      <w:pPr>
        <w:pStyle w:val="TextoNormal"/>
      </w:pPr>
      <w:r>
        <w:t>Como regla general, recordada, por todas en la STC 144/2011, de 26 de septiembre, FJ 4, “el derecho fundamental enunciado en el art. 25.1 CE incorpora la regla nullum crimen nulla poena sine lege, que también ‘es de aplicación al ordenamiento sancionador administrativo’, y comprende una doble garantía, formal y material. La garantía material aparece derivada del mandato de taxatividad o de lex certa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(por todas STC 104/2009, de 4 de mayo, FJ 2, y jurisprudencia allí citada). La garantía formal, por su parte, hace referencia al rango necesario de las normas tipificadoras de dichas conductas y sanciones, toda vez que la doctrina constitucional reitera que el término ‘legislación vigente’ contenido en el art. 25.1 CE es expresivo de una reserva de ley en materia sancionadora (por todas STC 77/2006, de 13 de marzo, FJ único y jurisprudencia allí citada)”.</w:t>
      </w:r>
    </w:p>
    <w:p w:rsidR="00E3576C" w:rsidRDefault="00E3576C" w:rsidP="00E3576C">
      <w:pPr>
        <w:pStyle w:val="TextoNormal"/>
      </w:pPr>
    </w:p>
    <w:p w:rsidR="00E3576C" w:rsidRDefault="00E3576C" w:rsidP="00E3576C">
      <w:pPr>
        <w:pStyle w:val="TextoNormal"/>
      </w:pPr>
      <w:r>
        <w:lastRenderedPageBreak/>
        <w:t>Sin embargo, la aplicación de dichas garantías al ámbito sancionador administrativo ha merecido matizaciones, ya desde la STC 3/1988, de 21 de enero, FJ 9, “este Tribunal ha confirmado que es necesario, para cumplir con lo querido en el art. 25.1 C.E., que se predeterminen en la norma legal, las conductas ilícitas y las correspondientes sanciones. Ahora bien, también ha señalado el Tribunal Constitucional (STC 42/1987, de 7 de abril, fundamento jurídico 2) que el alcance de esa reserva de ley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El mandato del art. 25.1 determina la necesaria cobertura de la potestad sancionadora de la Administración en una norma de rango legal, pero no excluye que esa norma contenga remisiones a normas reglamentarias, siempre que en aquélla queden suficientemente determinados los elementos esenciales de la conducta antijurídica (de tal manera que sólo sean infracciones las acciones u omisiones subsumibles en la norma con rango de Ley) y la naturaleza y límites de las sanciones a imponer. El art. 25.1 CE, pues, prohíbe la remisión al reglamento que ‘haga posible una regulación independiente y no claramente subordinada a la Ley’ (STC 83/1984, de 24 de julio), pero no impide la colaboración reglamentaria en la normativa sancionadora.”</w:t>
      </w:r>
    </w:p>
    <w:p w:rsidR="00E3576C" w:rsidRDefault="00E3576C" w:rsidP="00E3576C">
      <w:pPr>
        <w:pStyle w:val="TextoNormal"/>
      </w:pPr>
    </w:p>
    <w:p w:rsidR="00E3576C" w:rsidRDefault="00E3576C" w:rsidP="00E3576C">
      <w:pPr>
        <w:pStyle w:val="TextoNormal"/>
      </w:pPr>
      <w:r>
        <w:t>Esta doctrina ha sido reiterada con normalidad, pudiendo destacarse, por todas, la STC 26/2005, de 14 de febrero, donde se recordaba que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25 de octubre, FJ 3). De ahí que la reserva de Ley en este ámbito tendría una eficacia relativa o limitada (STC 177/1992, de 2 de noviembre, FJ 2), que no excluye la colaboración reglamentaria en la propia tarea de tipificación de las infracciones y atribución de las correspondientes sanciones, pero sí que tales remisiones hicieran posible una regulación independiente y no claramente subordinada a la Ley (STC 83/1984, de 24 de julio, FJ 4)”.</w:t>
      </w:r>
    </w:p>
    <w:p w:rsidR="00E3576C" w:rsidRDefault="00E3576C" w:rsidP="00E3576C">
      <w:pPr>
        <w:pStyle w:val="TextoNormal"/>
      </w:pPr>
    </w:p>
    <w:p w:rsidR="00E3576C" w:rsidRDefault="00E3576C" w:rsidP="00E3576C">
      <w:pPr>
        <w:pStyle w:val="TextoNormal"/>
      </w:pPr>
      <w:r>
        <w:t>En definitiva, la colaboración reglamentaria en el desarrollo de las potestad sancionadora administrativa ha sido admitida con naturalidad, considerándola constitucionalmente admisible siempre que, previamente, la norma legal haya establecido los elementos esenciales de la conducta antijurídica y la naturaleza y límites de las sanciones a imponer; se han censurado, por el contrario, las remisiones legales a reglamentos cuando éstos realizaban una regulación independiente y no claramente subordinada</w:t>
      </w:r>
    </w:p>
    <w:p w:rsidR="00E3576C" w:rsidRDefault="00E3576C" w:rsidP="00E3576C">
      <w:pPr>
        <w:pStyle w:val="TextoNormal"/>
      </w:pPr>
    </w:p>
    <w:p w:rsidR="00E3576C" w:rsidRDefault="00E3576C" w:rsidP="00E3576C">
      <w:pPr>
        <w:pStyle w:val="TextoNormal"/>
      </w:pPr>
      <w:r w:rsidRPr="00E3576C">
        <w:rPr>
          <w:rStyle w:val="NumeroAFNegritaCaracter"/>
        </w:rPr>
        <w:t>4</w:t>
      </w:r>
      <w:r>
        <w:t>. Recordada la doctrina, y puesto que la duda de constitucionalidad se limita a la remisión que el precepto cuestionado contiene al reglamento para la clasificación de la gravedad de las sanciones —circunstancia que el órgano judicial considera lesiva del art. 25.1 CE por entender que se trata de una remisión en blanco— corresponde ahora analizar el tenor literal del precepto cuestionado y constatar si contiene los requisitos exigidos por la jurisprudencia antes citada, en relación con el principio de legalidad, es decir, los elementos esenciales de la conducta antijurídica y la naturaleza y límites de las sanciones.</w:t>
      </w:r>
    </w:p>
    <w:p w:rsidR="00E3576C" w:rsidRDefault="00E3576C" w:rsidP="00E3576C">
      <w:pPr>
        <w:pStyle w:val="TextoNormal"/>
      </w:pPr>
    </w:p>
    <w:p w:rsidR="00E3576C" w:rsidRDefault="00E3576C" w:rsidP="00E3576C">
      <w:pPr>
        <w:pStyle w:val="TextoNormal"/>
      </w:pPr>
      <w:r>
        <w:lastRenderedPageBreak/>
        <w:t>El precepto cuya constitucionalidad se plantea dispone:</w:t>
      </w:r>
    </w:p>
    <w:p w:rsidR="00E3576C" w:rsidRDefault="00E3576C" w:rsidP="00E3576C">
      <w:pPr>
        <w:pStyle w:val="TextoNormal"/>
      </w:pPr>
    </w:p>
    <w:p w:rsidR="00E3576C" w:rsidRDefault="00E3576C" w:rsidP="00E3576C">
      <w:pPr>
        <w:pStyle w:val="TextoNormal"/>
      </w:pPr>
      <w:r>
        <w:t xml:space="preserve">“Artículo 117. Calificación de las infracciones. </w:t>
      </w:r>
    </w:p>
    <w:p w:rsidR="00E3576C" w:rsidRDefault="00E3576C" w:rsidP="00E3576C">
      <w:pPr>
        <w:pStyle w:val="TextoNormal"/>
      </w:pPr>
    </w:p>
    <w:p w:rsidR="00E3576C" w:rsidRDefault="00E3576C" w:rsidP="00E3576C">
      <w:pPr>
        <w:pStyle w:val="TextoNormal"/>
      </w:pPr>
      <w:r>
        <w:t>1. Las citadas infracciones se calificarán reglamentariamente de leves, menos graves, graves o muy graves, atendiendo a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pudiendo ser sancionadas con las siguientes multas:</w:t>
      </w:r>
    </w:p>
    <w:p w:rsidR="00E3576C" w:rsidRDefault="00E3576C" w:rsidP="00E3576C">
      <w:pPr>
        <w:pStyle w:val="TextoNormal"/>
      </w:pPr>
      <w:r>
        <w:t>Infracciones leves, multa de hasta 6.010,12 euros (1.000.000 de pesetas). Infracciones menos graves, multa de 6.010,13 a 30.050,61 euros (1.000.001 a 5.000.000 de pesetas). Infracciones graves, multa de 30.050,62 a 300.506,06 euros (5.000.001 a 50.000.000 de pesetas). Infracciones muy graves, multa de 300.506,06 a 601.012,10 euros (50.000.001 a 100.000.000 de pesetas).”</w:t>
      </w:r>
    </w:p>
    <w:p w:rsidR="00E3576C" w:rsidRDefault="00E3576C" w:rsidP="00E3576C">
      <w:pPr>
        <w:pStyle w:val="TextoNormal"/>
      </w:pPr>
    </w:p>
    <w:p w:rsidR="00E3576C" w:rsidRDefault="00E3576C" w:rsidP="00E3576C">
      <w:pPr>
        <w:pStyle w:val="TextoNormal"/>
      </w:pPr>
      <w:r>
        <w:t>Se desprende con claridad que el artículo cuestionado determina, sin lugar a dudas, los siguientes elementos: los cuatros grados en que las infracciones pueden ser calificadas por el reglamento (leves, menos graves, graves o muy graves); los criterios que deben ser ponderados en el momento en el que se determine dicha clasificación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el importe mínimo y máximo de la cuantía económica de cada grado de sanción (infracciones leves, multa de hasta 6.010,12 euros; infracciones menos graves, multa de 6.010,13 a 30.050,61 euros; infracciones graves, multa de 30.050,62 a 300.506,06 euros; infracciones muy graves, multa de 300.506,06 a 601.012,10 euros).</w:t>
      </w:r>
    </w:p>
    <w:p w:rsidR="00E3576C" w:rsidRDefault="00E3576C" w:rsidP="00E3576C">
      <w:pPr>
        <w:pStyle w:val="TextoNormal"/>
      </w:pPr>
    </w:p>
    <w:p w:rsidR="00E3576C" w:rsidRDefault="00E3576C" w:rsidP="00E3576C">
      <w:pPr>
        <w:pStyle w:val="TextoNormal"/>
      </w:pPr>
      <w:r>
        <w:t>Por tanto, el artículo cuestionado —junto con el art. 116 de la misma norma legal que tipifica las infracciones— contiene los elementos necesarios para considerar cumplida la doctrina constitucional antes señalada sobre la garantía formal del principio de legalidad en el ámbito sancionador, esto es, elementos esenciales de la conducta antijurídica y la naturaleza y límites de las sanciones.</w:t>
      </w:r>
    </w:p>
    <w:p w:rsidR="00E3576C" w:rsidRDefault="00E3576C" w:rsidP="00E3576C">
      <w:pPr>
        <w:pStyle w:val="TextoNormal"/>
      </w:pPr>
    </w:p>
    <w:p w:rsidR="00E3576C" w:rsidRDefault="00E3576C" w:rsidP="00E3576C">
      <w:pPr>
        <w:pStyle w:val="TextoNormal"/>
      </w:pPr>
      <w:r>
        <w:t xml:space="preserve">No sobra recordar, centrándonos en la concreta sanción impuesta al recurrente por la Administración, que la infracción cometida estaba tipificada en el art. 116.3 c) de la Ley de aguas, que dispone: “se considerarán infracciones administrativas: c) El incumplimiento de las condiciones impuestas en las concesiones y autorizaciones administrativas a que se refiere esta Ley, sin perjuicio de su caducidad, revocación o suspensión”. La gravedad de esta infracción se graduaba en el art. el 316 b) del Reglamento de dominio público hidráulico que dispone: “tendrán la consideración de infracciones administrativas menos graves: b) el incumplimiento de las condiciones impuestas en las concesiones y autorizaciones administrativas en los supuestos en que hubiera lugar a la declaración de caducidad o revocación de las mismas.” </w:t>
      </w:r>
    </w:p>
    <w:p w:rsidR="00E3576C" w:rsidRDefault="00E3576C" w:rsidP="00E3576C">
      <w:pPr>
        <w:pStyle w:val="TextoNormal"/>
      </w:pPr>
    </w:p>
    <w:p w:rsidR="00E3576C" w:rsidRDefault="00E3576C" w:rsidP="00E3576C">
      <w:pPr>
        <w:pStyle w:val="TextoNormal"/>
      </w:pPr>
      <w:r>
        <w:t xml:space="preserve">Ante estos datos, debemos afirmar que el precepto cuestionado, art. 117.1 del texto refundido de la Ley de aguas, no lesiona el art. 25.1 CE, puesto que las infracciones en esta materia están tipificas con rango legal en el art. 116 de dicha ley; también constan en norma </w:t>
      </w:r>
      <w:r>
        <w:lastRenderedPageBreak/>
        <w:t xml:space="preserve">con rango legal la cuantía de las sanciones, y por último, también se establecen en la ley los criterios para la graduación de las sanciones en cuatro categorías, criterios que, aunque el órgano judicial considere ambiguos por establecerse utilizando conceptos jurídicos indeterminados, no merecen tacha constitucional puesto que son perfectamente controlables. </w:t>
      </w:r>
    </w:p>
    <w:p w:rsidR="00E3576C" w:rsidRDefault="00E3576C" w:rsidP="00E3576C">
      <w:pPr>
        <w:pStyle w:val="TextoNormal"/>
      </w:pPr>
    </w:p>
    <w:p w:rsidR="00E3576C" w:rsidRDefault="00E3576C" w:rsidP="00E3576C">
      <w:pPr>
        <w:pStyle w:val="TextoNormal"/>
      </w:pPr>
      <w:r>
        <w:t>Por tanto, según la jurisprudencia antes señalada, la remisión a la colaboración reglamentaria que realiza el precepto cuestionado debe calificarse conforme con las exigencias del art. 25.1 CE, sin que se pueda entender que nos encontremos ante una remisión que haga posible una regulación reglamentaria independiente y no claramente subordinada a la ley. Descartada la tacha de inconstitucionalidad alegada por el órgano judicial en relación con el artículo cuestionado, no procede examinar la alegación realizada por el Ministerio público relativa a una posible inconstitucionalidad parcial de la norma analizada.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cuestión de inconstitucionalidad núm. 5595-2011 planteada por el Juzgado de lo Contencioso-Administrativo núm. 13 de Barcelona.</w:t>
      </w:r>
    </w:p>
    <w:p w:rsidR="00E3576C" w:rsidRDefault="00E3576C" w:rsidP="00E3576C">
      <w:pPr>
        <w:pStyle w:val="TextoNormal"/>
      </w:pPr>
    </w:p>
    <w:p w:rsidR="00E3576C" w:rsidRDefault="00E3576C" w:rsidP="00E3576C">
      <w:pPr>
        <w:pStyle w:val="TextoNormal"/>
      </w:pPr>
      <w:r>
        <w:t>Publíquese este Auto en el “Boletín Oficial del Estado”.</w:t>
      </w:r>
    </w:p>
    <w:p w:rsidR="00E3576C" w:rsidRDefault="00E3576C" w:rsidP="00E3576C">
      <w:pPr>
        <w:pStyle w:val="TextoNormal"/>
      </w:pPr>
    </w:p>
    <w:p w:rsidR="00E3576C" w:rsidRDefault="00E3576C" w:rsidP="00E3576C">
      <w:pPr>
        <w:pStyle w:val="TextoNormal"/>
      </w:pPr>
      <w:r>
        <w:t>Madrid, a catorce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6" w:name="AUTO_2012_35"/>
      <w:r>
        <w:lastRenderedPageBreak/>
        <w:t>AUTO 35/2012, de 14 de febrero de 2012</w:t>
      </w:r>
    </w:p>
    <w:bookmarkEnd w:id="176"/>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ECLI:ES:TC:2012:35A</w:t>
      </w:r>
    </w:p>
    <w:p w:rsidR="00E3576C" w:rsidRDefault="00E3576C" w:rsidP="00E3576C">
      <w:pPr>
        <w:pStyle w:val="SntesisDescriptiva"/>
      </w:pPr>
    </w:p>
    <w:p w:rsidR="00E3576C" w:rsidRDefault="00E3576C" w:rsidP="00E3576C">
      <w:pPr>
        <w:pStyle w:val="SntesisDescriptiva"/>
      </w:pPr>
      <w:r>
        <w:t>Excms. Srs. don Pascual Sala Sánchez, don Eugeni Gay Montalvo,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5850-2011, planteada por el Juzgado de lo Contencioso-Administrativo núm. 2 de Zaragoza en relación con el artículo 1 del Real Decreto-ley 8/2010, de 20 de mayo, de medidas extraordinarias para la reducción del déficit público.</w:t>
      </w:r>
    </w:p>
    <w:p w:rsidR="00E3576C" w:rsidRDefault="00E3576C" w:rsidP="00E3576C">
      <w:pPr>
        <w:pStyle w:val="SntesisDescriptiva"/>
      </w:pPr>
    </w:p>
    <w:p w:rsidR="00E3576C" w:rsidRDefault="00E3576C" w:rsidP="00E3576C">
      <w:pPr>
        <w:pStyle w:val="SntesisAnaltica"/>
      </w:pPr>
      <w:r>
        <w:t>Inadmisión de cuestión de inconstitucionalidad: cuestión de inconstitucionalidad notoriamente infundada; inadmisión de cuestión de inconstitucionalidad por falta de requisitos procesales.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28 de octubre de 2011 tuvo entrada en el Registro General de este Tribunal escrito del Juzgado de lo Contencioso-Administrativo núm. 2 de Zaragoza, al que se acompaña, junto con el testimonio del procedimiento abreviado núm. 24-2011, que se tramita ante dicho Juzgado, el Auto de 17 de octubre de 2011, por el que se acuerda plantear cuestión de inconstitucionalidad en relación con el art. 1 del Real Decreto-ley 8/2010, de 20 de mayo, por el que se adoptan medidas extraordinarias para la reducción del déficit público, y con los arts. 1, 2, 4 y 6 de la Ley 5/2010, de 24 de junio, de la Comunidad Autónoma de Aragón, por posible vulneración de los arts. 9.3, 14, 28, 31, 33, 35, 37, 86.1 y 134 CE.</w:t>
      </w:r>
    </w:p>
    <w:p w:rsidR="00E3576C" w:rsidRDefault="00E3576C" w:rsidP="00E3576C">
      <w:pPr>
        <w:pStyle w:val="TextoNormal"/>
      </w:pPr>
    </w:p>
    <w:p w:rsidR="00E3576C" w:rsidRDefault="00E3576C" w:rsidP="00E3576C">
      <w:pPr>
        <w:pStyle w:val="TextoNormal"/>
      </w:pPr>
      <w:r>
        <w:t>Por oficio recibido el 13 de diciembre de 2011, el referido Juzgado remite testimonio del Auto de 7 de diciembre de 2011, en el que se acuerda rectificar los errores materiales padecidos en el anterior, en el sentido de suprimir en su parte dispositiva la referencia a los arts. 28, 35 y 37 CE.</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de los que trae causa la cuestión de inconstitucionalidad planteada son, en síntesis, los siguientes:</w:t>
      </w:r>
    </w:p>
    <w:p w:rsidR="00E3576C" w:rsidRDefault="00E3576C" w:rsidP="00E3576C">
      <w:pPr>
        <w:pStyle w:val="TextoNormal"/>
      </w:pPr>
    </w:p>
    <w:p w:rsidR="00E3576C" w:rsidRDefault="00E3576C" w:rsidP="00E3576C">
      <w:pPr>
        <w:pStyle w:val="TextoNormal"/>
      </w:pPr>
      <w:r>
        <w:t xml:space="preserve">a) La Procuradora de los Tribunales doña Isabel Jiménez Millán, actuando en nombre y representación de veintinueve personas físicas, todas ellas personal estatutario del Servicio aragonés de salud, interpuso el día 19 de enero de 2011 recurso contencioso-administrativo contra el Gobierno de Aragón (Servicio aragonés de salud), respecto de la desestimación expresa por veinticinco resoluciones idénticas de los recursos de alzada presentados contra </w:t>
      </w:r>
      <w:r>
        <w:lastRenderedPageBreak/>
        <w:t>la liquidación de una nómina del ejercicio 2010, en la que se había aplicado una reducción de las retribuciones con fundamento en el Real Decreto-ley 8/2010, y la desestimación presunta de otros cuatro recursos de alzada de igual contenido. En dicho recurso se solicitaba que se dictara Sentencia declarando no ser conforme a derecho y la nulidad del acto aplicativo de la reducción salarial, anulando las resoluciones recurridas, y reconociendo como situación jurídica individualizada el derecho de los recurrentes a percibir las retribuciones básicas y complementarias establecidas en la Ley estatal de presupuestos generales para 2010, en la cuantía fijada por la Ley aragonesa 12/2009, en su redacción originaria, con abono de las diferencias retributivas desde junio de 2010, más los intereses legales correspondientes. Por medio de otrosí, los recurrentes solicitaban del Juzgado que, si el fallo del recurso dependiera de la aplicación del art. 1 del Real Decreto-ley 8/2010 y, por conexión, del art. 1 de la Ley de las Cortes de Aragón 5/2010, de 24 de junio, considerara motivadamente el planteamiento de cuestión de inconstitucionalidad de los citados preceptos y normas legales por vulnerar todos o algunos de los siguientes artículos de la Constitución Española: 9.3, 14, 28, 31, 33, 35, 37, 86.1 y 134.</w:t>
      </w:r>
    </w:p>
    <w:p w:rsidR="00E3576C" w:rsidRDefault="00E3576C" w:rsidP="00E3576C">
      <w:pPr>
        <w:pStyle w:val="TextoNormal"/>
      </w:pPr>
    </w:p>
    <w:p w:rsidR="00E3576C" w:rsidRDefault="00E3576C" w:rsidP="00E3576C">
      <w:pPr>
        <w:pStyle w:val="TextoNormal"/>
      </w:pPr>
      <w:r>
        <w:t xml:space="preserve">b) Concluso el procedimiento y dentro del plazo para dictar Sentencia, el órgano judicial dictó providencia el 23 de septiembre de 2011, por la que, de conformidad con lo establecido en el art. 35 de la Ley Orgánica del Tribunal Constitucional (LOTC), acordó dar traslado a las partes y al Ministerio Fiscal por un plazo común de diez días para que se pronunciaran sobre la posible inconstitucionalidad del Real Decreto-ley 8/2010 y de la Ley aragonesa 5/2010, de 24 de junio, en la medida en que se sustenta en el anterior, por los siguientes motivos, ya planteados, como única forma de impugnación, por los recurrentes: 1) Infracción del art. 86 CE, en cuanto no concurrirían los presupuestos fácticos de “extraordinaria y urgente necesidad” para la emisión de un decreto-ley. 2) Infracción del art. 86 CE en relación con el art. 134, que regula la Ley de presupuestos, en la medida en que la misma no puede ser modificada por decreto-ley, sino sólo por sus mecanismos específicos. 3) Infracción del art. 86 CE, en cuanto se habría afectado a los derechos y deberes de los ciudadanos regulados en el título I, en concreto en relación con los arts. 33 y 14 CE. El primero porque se han podido violentar los derechos patrimoniales de los funcionarios, perjudicando derechos ya reconocidos e incluso devengados, produciéndose un efecto retroactivo al menos en algún tipo de retribuciones como los trienios. El segundo porque se ha incurrido en una triple desigualdad: a) Se ha establecido una suerte de imposición al sostenimiento de los gastos públicos que no afecta a todos los ciudadanos, sino sólo a los empleados públicos de diverso tipo. b) Dentro de tal establecimiento limitado a los empleados, no se trata igual a los mismos, según sean empleados de régimen laboral o funcionarios, habiendo un descuento general proporcional para los primeros y unas escalas por retribuciones para los segundos. c) Dentro de los funcionarios, ni se establece una imposición proporcional para todos, pues es progresiva según la cuantía de las retribuciones, ni tampoco, dentro de las mismas retribuciones, el resultado efectivo es la misma prestación para todos. 4) Infracción del art. 86 CE, en relación con el 31.3, al haberse establecido por decreto-ley una suerte de tributo, aplicando un principio de progresividad, que es un concepto fiscal, y que, en la medida en que no se impone realmente a todos los ciudadanos —sino solo a los empleados públicos— por su capacidad económica, y a que a iguales resultados no hay igual baja en las retribuciones, se convierte en discriminatorio y confiscatorio. 5) Infracción del art. 134, que regula la ley de presupuestos. La inconstitucionalidad afectaría tanto al conjunto del Real Decreto-ley 8/2010 como, en cuanto a la Ley 5/2010, de 24 de junio, de la Comunidad </w:t>
      </w:r>
      <w:r>
        <w:lastRenderedPageBreak/>
        <w:t>Autónoma de Aragón, a los arts. 1, 2, que modifica el art. 16.3 de la Ley 12/2009, de presupuestos de Aragón, el 4, que modifica el art. 18 de la misma ley, y 6, que modifica el art. 24, por afectar éstos a los recurrentes, personal estatutario del Servicio aragonés de salud.</w:t>
      </w:r>
    </w:p>
    <w:p w:rsidR="00E3576C" w:rsidRDefault="00E3576C" w:rsidP="00E3576C">
      <w:pPr>
        <w:pStyle w:val="TextoNormal"/>
      </w:pPr>
    </w:p>
    <w:p w:rsidR="00E3576C" w:rsidRDefault="00E3576C" w:rsidP="00E3576C">
      <w:pPr>
        <w:pStyle w:val="TextoNormal"/>
      </w:pPr>
      <w:r>
        <w:t>c) Mediante escrito registrado el día 29 de septiembre de 2011 presentaron sus alegaciones los recurrentes, remitiéndose a los motivos alegados en su demanda como fundamento de la pretensión de que el Juzgador acordara plantear una cuestión de inconstitucionalidad sobre las normas con rango de ley señaladas en la demanda.</w:t>
      </w:r>
    </w:p>
    <w:p w:rsidR="00E3576C" w:rsidRDefault="00E3576C" w:rsidP="00E3576C">
      <w:pPr>
        <w:pStyle w:val="TextoNormal"/>
      </w:pPr>
    </w:p>
    <w:p w:rsidR="00E3576C" w:rsidRDefault="00E3576C" w:rsidP="00E3576C">
      <w:pPr>
        <w:pStyle w:val="TextoNormal"/>
      </w:pPr>
      <w:r>
        <w:t>d) El Ministerio Fiscal presentó escrito de alegaciones fechado el día 30 de septiembre de 2011, en el que, sin pronunciarse sobre el fondo de la cuestión, entiende procedente su planteamiento, por ser la determinación de la constitucionalidad de las normas cuestionadas imprescindible para poder pronunciar Sentencia.</w:t>
      </w:r>
    </w:p>
    <w:p w:rsidR="00E3576C" w:rsidRDefault="00E3576C" w:rsidP="00E3576C">
      <w:pPr>
        <w:pStyle w:val="TextoNormal"/>
      </w:pPr>
    </w:p>
    <w:p w:rsidR="00E3576C" w:rsidRDefault="00E3576C" w:rsidP="00E3576C">
      <w:pPr>
        <w:pStyle w:val="TextoNormal"/>
      </w:pPr>
      <w:r>
        <w:t>e) La Letrada de la Comunidad Autónoma de Aragón presentó sus alegaciones mediante escrito registrado el 11 de octubre de 2011, oponiéndose en el mismo a la alegada inconstitucionalidad del Real Decreto-ley 8/2010 y de la Ley 5/2010, de 24 de junio, de la Comunidad Autónoma de Aragón, por entender que el primero de ellos no vulnera los preceptos constitucionales invocados y que la segunda no hace sino adaptar su ley de presupuestos a las exigencias del citado real decreto-ley.</w:t>
      </w:r>
    </w:p>
    <w:p w:rsidR="00E3576C" w:rsidRDefault="00E3576C" w:rsidP="00E3576C">
      <w:pPr>
        <w:pStyle w:val="TextoNormal"/>
      </w:pPr>
    </w:p>
    <w:p w:rsidR="00E3576C" w:rsidRDefault="00E3576C" w:rsidP="00E3576C">
      <w:pPr>
        <w:pStyle w:val="TextoNormal"/>
      </w:pPr>
      <w:r>
        <w:t>f) Por Auto de 17 de octubre de 2011 el Juzgado acordó ratificar la suspensión del plazo para dictar Sentencia y someter al Tribunal Constitucional la constitucionalidad de los arts. 1 del Real Decreto-ley 8/2010, de 20 de mayo, —modificación de la Ley de presupuestos 26/2009, de 23 de diciembre— y, por conexión, los siguientes de la Ley 5/2010, de 24 de junio, de la Comunidad Autónoma de Aragón: 1, así como el 2, que modifica el 16.3 de la Ley 12/2009, de presupuestos de Aragón, el 4, que modifica el 18 de la misma ley, y el 6, que modifica el 24, por afectar éstos a los recurrentes, personal estatutario del Servicio aragonés de salud, en cuanto infringen todos o algunos de los siguientes artículos de la Constitución: 9.3, 14, 28, 31, 33, 35, 37, 86.1 y 134. Dicho Auto fue rectificado por otro de 7 de diciembre de 2011, en el que se acuerda suprimir en su parte dispositiva la referencia a los arts. 28, 35 y 37 CE.</w:t>
      </w:r>
    </w:p>
    <w:p w:rsidR="00E3576C" w:rsidRDefault="00E3576C" w:rsidP="00E3576C">
      <w:pPr>
        <w:pStyle w:val="TextoNormal"/>
      </w:pPr>
    </w:p>
    <w:p w:rsidR="00E3576C" w:rsidRDefault="00E3576C" w:rsidP="00E3576C">
      <w:pPr>
        <w:pStyle w:val="TextoNormal"/>
      </w:pPr>
      <w:r w:rsidRPr="00E3576C">
        <w:rPr>
          <w:rStyle w:val="NumeroAFNegritaCaracter"/>
        </w:rPr>
        <w:t>3</w:t>
      </w:r>
      <w:r>
        <w:t>. En el Auto de de 17 de octubre de 2011, el Juzgado de lo Contencioso-Administrativo núm. 2 de Zaragoza fundamenta el planteamiento de la cuestión de inconstitucionalidad en las consideraciones que a continuación se exponen.</w:t>
      </w:r>
    </w:p>
    <w:p w:rsidR="00E3576C" w:rsidRDefault="00E3576C" w:rsidP="00E3576C">
      <w:pPr>
        <w:pStyle w:val="TextoNormal"/>
      </w:pPr>
    </w:p>
    <w:p w:rsidR="00E3576C" w:rsidRDefault="00E3576C" w:rsidP="00E3576C">
      <w:pPr>
        <w:pStyle w:val="TextoNormal"/>
      </w:pPr>
      <w:r>
        <w:t>Comienza afirmando el Juzgado la relevancia del planteamiento de la cuestión de inconstitucionalidad para resolver el litigio planteado. En efecto, señala que, al ser el exclusivo fundamento del recurso el de la inconstitucionalidad —y a falta de causas de inadmisión—, cabe considerar que, efectivamente, la constitucionalidad o inconstitucionalidad es el único elemento que puede determinar, en sentido desestimatorio o estimatorio, el pleito, pues en el primer caso el recurso quedaría totalmente falto de sustento, mientras que, en el segundo, habría de quedar a las expensas de dicha declaración y al alcance de la misma.</w:t>
      </w:r>
    </w:p>
    <w:p w:rsidR="00E3576C" w:rsidRDefault="00E3576C" w:rsidP="00E3576C">
      <w:pPr>
        <w:pStyle w:val="TextoNormal"/>
      </w:pPr>
    </w:p>
    <w:p w:rsidR="00E3576C" w:rsidRDefault="00E3576C" w:rsidP="00E3576C">
      <w:pPr>
        <w:pStyle w:val="TextoNormal"/>
      </w:pPr>
      <w:r>
        <w:t>En segundo lugar, y por lo que se refiere a la Ley autonómica 5/2010, señala que se vería arrastrada en su inconstitucionalidad, al ser una ley de ejecución de las modificaciones introducidas por el Real Decreto-ley 8/2010.</w:t>
      </w:r>
    </w:p>
    <w:p w:rsidR="00E3576C" w:rsidRDefault="00E3576C" w:rsidP="00E3576C">
      <w:pPr>
        <w:pStyle w:val="TextoNormal"/>
      </w:pPr>
    </w:p>
    <w:p w:rsidR="00E3576C" w:rsidRDefault="00E3576C" w:rsidP="00E3576C">
      <w:pPr>
        <w:pStyle w:val="TextoNormal"/>
      </w:pPr>
      <w:r>
        <w:t>Entrando en el análisis de los motivos de inconstitucionalidad aducidos por los recurrentes, señala el Juzgado que, en relación con el art. 86 CE, hay que resaltar cuatro aspectos referidos al ámbito procedimental y material de los decretos-leyes que podrían haber sido infringidos en mayor o menor medida: la necesidad de que concurra una situación de extraordinaria y urgente necesidad; la imposibilidad de regular, entre otras materias, los derechos y deberes de los ciudadanos regulados en el título I de la Constitución; la imposibilidad de modificar una “ley singular” como es la Ley de presupuestos; y, finalmente, el establecimiento por el Real Decreto-ley considerado de una auténtica norma tributaria.</w:t>
      </w:r>
    </w:p>
    <w:p w:rsidR="00E3576C" w:rsidRDefault="00E3576C" w:rsidP="00E3576C">
      <w:pPr>
        <w:pStyle w:val="TextoNormal"/>
      </w:pPr>
    </w:p>
    <w:p w:rsidR="00E3576C" w:rsidRDefault="00E3576C" w:rsidP="00E3576C">
      <w:pPr>
        <w:pStyle w:val="TextoNormal"/>
      </w:pPr>
      <w:r>
        <w:t>Por lo que se refiere al primero de los aspectos, la concurrencia del presupuesto fáctico habilitante, señala el órgano judicial que la extraordinaria y urgente necesidad que se viene exigiendo en la jurisprudencia del Tribunal Constitucional no aparece suficientemente justificada, en la medida en que el criterio de dicha necesidad se ha venido concretando también en la nota de imprevisibilidad. De esta forma, si bien es cierta la situación de grave crisis económica de carácter global, es cierto también que dicha situación se conocía desde hacía al menos dos años, por lo que habría sido necesaria una explicación y una fundamentación racional, o una justificación plasmada en la exposición de motivos, de la alteración sustancial de las cuentas públicas y de las retribuciones de los empleados públicos para sostener la concordancia de la misma con las exigencias del art. 86 CE.</w:t>
      </w:r>
    </w:p>
    <w:p w:rsidR="00E3576C" w:rsidRDefault="00E3576C" w:rsidP="00E3576C">
      <w:pPr>
        <w:pStyle w:val="TextoNormal"/>
      </w:pPr>
    </w:p>
    <w:p w:rsidR="00E3576C" w:rsidRDefault="00E3576C" w:rsidP="00E3576C">
      <w:pPr>
        <w:pStyle w:val="TextoNormal"/>
      </w:pPr>
      <w:r>
        <w:t>En segundo lugar, en cuanto al ámbito material del decreto-ley, señala el órgano judicial que, teniendo los empleados públicos reconocidas unas retribuciones para el ejercicio 2010 por la Ley de presupuestos generales del Estado, el Real Decreto-ley 8/2010 anula tales derechos económicos, violentando la protección constitucional derivada del reconocimiento del derecho a la propiedad privada en el art. 33 CE, afectando de este modo a los derechos y libertades del título I CE. Esta reducción de las retribuciones se realiza, además, de forma discriminatoria, vulnerando también el art. 14 CE.</w:t>
      </w:r>
    </w:p>
    <w:p w:rsidR="00E3576C" w:rsidRDefault="00E3576C" w:rsidP="00E3576C">
      <w:pPr>
        <w:pStyle w:val="TextoNormal"/>
      </w:pPr>
    </w:p>
    <w:p w:rsidR="00E3576C" w:rsidRDefault="00E3576C" w:rsidP="00E3576C">
      <w:pPr>
        <w:pStyle w:val="TextoNormal"/>
      </w:pPr>
      <w:r>
        <w:t>El Real Decreto-ley tiene un contenido expropiatorio desde el momento en que se recortan, limitan y cercenan unos derechos económicos que habían sido ya reconocidos para toda la anualidad presupuestaria. El recorte se produce de manera efectiva no sólo sobre los sueldos devengados con posterioridad a la entrada en vigor del Real Decreto-ley, sino sobre la anualidad contemplada en su conjunto (como establece el art. 22.Dos.B.2 de la Ley 26/2009, en la redacción dada por el Real Decreto-ley 8/2010), lo que supone que se va a ver reducido también lo ya cobrado, si bien bajo la forma de un descuento futuro superior en las retribuciones posteriores. A todo ello hay que sumar que la reducción del pago de los trienios, que son derechos plenamente consolidados, implica retrotraer los efectos confiscatorios a muchos años atrás.</w:t>
      </w:r>
    </w:p>
    <w:p w:rsidR="00E3576C" w:rsidRDefault="00E3576C" w:rsidP="00E3576C">
      <w:pPr>
        <w:pStyle w:val="TextoNormal"/>
      </w:pPr>
    </w:p>
    <w:p w:rsidR="00E3576C" w:rsidRDefault="00E3576C" w:rsidP="00E3576C">
      <w:pPr>
        <w:pStyle w:val="TextoNormal"/>
      </w:pPr>
      <w:r>
        <w:t>Por lo que se refiere a la vulneración del art. 14 CE, se afirma en el Auto que se ha generado una auténtica norma tributaria con carácter progresivo y discriminatorio, tanto en que sólo afecta a las rentas del trabajo, como en que sólo lo hace respecto de empleados públicos y, finalmente, en que lo hace retroactivamente sobre derechos ya reconocidos y devengados, pues se traslada a las pagas extraordinarias la rebaja respecto de la anualidad en su conjunto.</w:t>
      </w:r>
    </w:p>
    <w:p w:rsidR="00E3576C" w:rsidRDefault="00E3576C" w:rsidP="00E3576C">
      <w:pPr>
        <w:pStyle w:val="TextoNormal"/>
      </w:pPr>
    </w:p>
    <w:p w:rsidR="00E3576C" w:rsidRDefault="00E3576C" w:rsidP="00E3576C">
      <w:pPr>
        <w:pStyle w:val="TextoNormal"/>
      </w:pPr>
      <w:r>
        <w:lastRenderedPageBreak/>
        <w:t>Por otro lado, denuncia el órgano judicial que lo que se presenta como una minoración de las retribuciones no es tal, sino que su verdadera naturaleza es la de una prestación patrimonial de carácter público, determinada con arreglo a la capacidad económica de los funcionarios, progresiva, con la finalidad de paliar o reducir el déficit público. Por lo tanto, se trata de una prestación económica que encaja plenamente en el ámbito del art. 31 CE, lo que está vedado para el real decreto-ley por el art. 86.1 CE, así como en el art. 31.3 CE.</w:t>
      </w:r>
    </w:p>
    <w:p w:rsidR="00E3576C" w:rsidRDefault="00E3576C" w:rsidP="00E3576C">
      <w:pPr>
        <w:pStyle w:val="TextoNormal"/>
      </w:pPr>
    </w:p>
    <w:p w:rsidR="00E3576C" w:rsidRDefault="00E3576C" w:rsidP="00E3576C">
      <w:pPr>
        <w:pStyle w:val="TextoNormal"/>
      </w:pPr>
      <w:r>
        <w:t>Al respecto se subraya que los incrementos retributivos siempre se han pactado de forma lineal para todos los grupos, por lo que la reducción se debería haber hecho de la misma manera. Lejos de ello, el Real Decreto-ley aplica de forma desigual y progresiva las minoraciones en la fuente, de manera que se convierten en una verdadera prestación patrimonial impuesta con arreglo a la capacidad económica y con arreglo al principio de progresividad. Hay una doble progresividad, la producida por el porcentaje sobre porciones mayores y la producida por haber unas escalas de reducción crecientes a medida que aumenta el sueldo. Y no sólo eso, sino que se llegan a establecer incluso exenciones, como ocurre con las retribuciones del antiguo grupo E, que no se ven disminuidas, aplicándoseles una suerte de “exención fiscal”. Todo ello se exacerba en la paga extraordinaria, con un 46,30 por 100 para el A1 y con una nueva “exención” para el grupo E.</w:t>
      </w:r>
    </w:p>
    <w:p w:rsidR="00E3576C" w:rsidRDefault="00E3576C" w:rsidP="00E3576C">
      <w:pPr>
        <w:pStyle w:val="TextoNormal"/>
      </w:pPr>
    </w:p>
    <w:p w:rsidR="00E3576C" w:rsidRDefault="00E3576C" w:rsidP="00E3576C">
      <w:pPr>
        <w:pStyle w:val="TextoNormal"/>
      </w:pPr>
      <w:r>
        <w:t>Por otro lado, como todo ello se hace atendiendo a estructuras retributivas distintas, al final tampoco acaba resultando que se disminuyan más las retribuciones a quienes más cobran. En efecto, el personal de alta dirección, el no acogido a convenio colectivo que no sea alto cargo y el resto del personal directivo no acogido a convenio ve reducidas sus retribuciones en un 5 por 100, pese a ser las más elevadas. Del mismo modo el personal laboral, incluido el de alta dirección, sólo ve reducidos sus ingresos en un 5 por 100, con lo cual rompe con dicha progresividad cuando se comparan las diversas retribuciones del personal laboral entre sí y resulta desigualitario si se comparan laborales y funcionarios con los mismos ingresos, que no sufren la misma disminución.</w:t>
      </w:r>
    </w:p>
    <w:p w:rsidR="00E3576C" w:rsidRDefault="00E3576C" w:rsidP="00E3576C">
      <w:pPr>
        <w:pStyle w:val="TextoNormal"/>
      </w:pPr>
    </w:p>
    <w:p w:rsidR="00E3576C" w:rsidRDefault="00E3576C" w:rsidP="00E3576C">
      <w:pPr>
        <w:pStyle w:val="TextoNormal"/>
      </w:pPr>
      <w:r>
        <w:t>En definitiva, se trata de un tributo encubierto, por ser un decremento progresivo de las retribuciones, que es un concepto fiscal (art. 31.1 CE), que no cumple con las exigencias constitucionales de reserva de ley, además de afectar sólo a un sector de la población y de manera desigual. Así entendido, la creación de este tributo no solo no podría hacerse mediante un decreto-ley, sino ni siquiera mediante la ley de presupuestos, pues lo prohíbe expresamente el art. 134.7 CE, que establece que ésta sólo puede modificar tributos cuando una ley sustantiva así lo prevea.</w:t>
      </w:r>
    </w:p>
    <w:p w:rsidR="00E3576C" w:rsidRDefault="00E3576C" w:rsidP="00E3576C">
      <w:pPr>
        <w:pStyle w:val="TextoNormal"/>
      </w:pPr>
    </w:p>
    <w:p w:rsidR="00E3576C" w:rsidRDefault="00E3576C" w:rsidP="00E3576C">
      <w:pPr>
        <w:pStyle w:val="TextoNormal"/>
      </w:pPr>
      <w:r>
        <w:t>No aprecia, por el contrario, el Juzgado la posible afectación del derecho a la negociación colectiva del art. 37 CE aducida por los recurrentes, al haber sido rechazada la misma por el Tribunal Constitucional en el ATC 85/2011, de inadmisión de la cuestión planteada por la Sala de lo Social de la Audiencia Nacional.</w:t>
      </w:r>
    </w:p>
    <w:p w:rsidR="00E3576C" w:rsidRDefault="00E3576C" w:rsidP="00E3576C">
      <w:pPr>
        <w:pStyle w:val="TextoNormal"/>
      </w:pPr>
    </w:p>
    <w:p w:rsidR="00E3576C" w:rsidRDefault="00E3576C" w:rsidP="00E3576C">
      <w:pPr>
        <w:pStyle w:val="TextoNormal"/>
      </w:pPr>
      <w:r>
        <w:t xml:space="preserve">En tercer lugar, afirma el órgano judicial que la ley de presupuestos no puede modificarse por un decreto-ley, pues el art. 134 CE prevé que deben aprobarse por ley ordinaria, constituyendo, como ha señalado el Tribunal Constitucional, una “ley singular”, que no puede verse modificada por cualquier norma y sin límite alguno. La alteración de esa habilitación y, en definitiva, del programa político y económico anual del Gobierno que el presupuesto representa sólo puede llevarse a cabo en supuestos excepcionales, concretamente cuando se </w:t>
      </w:r>
      <w:r>
        <w:lastRenderedPageBreak/>
        <w:t>trate de un gasto inaplazable provocado por una circunstancia sobrevenida. Admitir lo contrario, esto es, la alteración indiscriminada de las previsiones contenidas en la ley de presupuestos por cualquier norma legal, supondría tanto como anular las exigencias de unidad y universalidad presupuestarias contenidas en el art. 134.2 CE.</w:t>
      </w:r>
    </w:p>
    <w:p w:rsidR="00E3576C" w:rsidRDefault="00E3576C" w:rsidP="00E3576C">
      <w:pPr>
        <w:pStyle w:val="TextoNormal"/>
      </w:pPr>
    </w:p>
    <w:p w:rsidR="00E3576C" w:rsidRDefault="00E3576C" w:rsidP="00E3576C">
      <w:pPr>
        <w:pStyle w:val="TextoNormal"/>
      </w:pPr>
      <w:r>
        <w:t>En cuarto lugar, al haberse creado una norma de carácter tributario, se habría infringido directamente el art. 134.7, puesto que la Ley de presupuestos para 2010, en la redacción dada por el Real Decreto-ley 8/2010, habría creado un tributo, posibilidad expresa y directamente prohibida por dicho precepto.</w:t>
      </w:r>
    </w:p>
    <w:p w:rsidR="00E3576C" w:rsidRDefault="00E3576C" w:rsidP="00E3576C">
      <w:pPr>
        <w:pStyle w:val="TextoNormal"/>
      </w:pPr>
    </w:p>
    <w:p w:rsidR="00E3576C" w:rsidRDefault="00E3576C" w:rsidP="00E3576C">
      <w:pPr>
        <w:pStyle w:val="TextoNormal"/>
      </w:pPr>
      <w:r>
        <w:t>Finalmente, entiende el órgano judicial que se habría infringido el art. 9.3 CE pero sólo en la medida en que se considere infringido el art. 33 CE, en cuanto que se trataría de una disposición restrictiva de un derecho individual ya reconocido, con lo cual no constituiría, al entender del Juzgado, un motivo autónomo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13 de diciembre de 2011,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fuera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El escrito de alegaciones del Fiscal General del Estado tuvo entrada en el Registro General de este Tribunal el 13 de enero de 2012. En dicho escrito, tras exponer los antecedentes del caso, la Fiscalía General del Estado solicita la inadmisión de la presente cuestión de inconstitucionalidad, por ser notoriamente infundada, basándose en las alegaciones que, en lo sustancial, se resumen a continuación.</w:t>
      </w:r>
    </w:p>
    <w:p w:rsidR="00E3576C" w:rsidRDefault="00E3576C" w:rsidP="00E3576C">
      <w:pPr>
        <w:pStyle w:val="TextoNormal"/>
      </w:pPr>
    </w:p>
    <w:p w:rsidR="00E3576C" w:rsidRDefault="00E3576C" w:rsidP="00E3576C">
      <w:pPr>
        <w:pStyle w:val="TextoNormal"/>
      </w:pPr>
      <w:r>
        <w:t>En primer lugar, se refiere el Fiscal General del Estado a la aclaración introducida por el propio órgano judicial en la parte dispositiva del Auto de 17 de octubre de 2011 en virtud del Auto de 7 de diciembre de 2011, conforme al cual no se plantea la cuestión por vulneración de los arts. 28, 35 y 37 CE, indicando que, aun en el caso de no existir dicha aclaración, tan sólo sería posible valorar la infracción de preceptos constitucionales incluidos en la providencia de traslado del art. 35.2 LOTC, a la que queda vinculado el Auto de planteamiento, de acuerdo con la doctrina constitucional. Por tal razón, el art. 9.3 CE, no excluido por el Auto de aclaración, en la medida en que no figuraba en la providencia de traslado del art. 35.2 LOTC, deberá considerarse excluido del juicio de constitucionalidad.</w:t>
      </w:r>
    </w:p>
    <w:p w:rsidR="00E3576C" w:rsidRDefault="00E3576C" w:rsidP="00E3576C">
      <w:pPr>
        <w:pStyle w:val="TextoNormal"/>
      </w:pPr>
    </w:p>
    <w:p w:rsidR="00E3576C" w:rsidRDefault="00E3576C" w:rsidP="00E3576C">
      <w:pPr>
        <w:pStyle w:val="TextoNormal"/>
      </w:pPr>
      <w:r>
        <w:t>Por otra parte, se da por reproducido lo alegado en relación con similares cuestiones de inconstitucionalidad sobre el Real Decreto-ley 8/2010 elevadas al Tribunal Constitucional, por supuesta infracción de los arts. 86, 33, 14, 31 y 134 CE, haciendo referencia también a los recientes AATC de 13 y 20 de diciembre de 2011, que inadmiten otras cuestiones de inconstitucionalidad promovidas en relación con el Real Decreto-ley 8/2010 por infracción de los preceptos reseñados. Sostiene el Fiscal General del Estado que lo que se señala en las anteriores alegaciones y en las resoluciones del Tribunal sobre la falta de fundamento del planteamiento de la cuestión, debe entenderse igualmente aplicable, en el presente caso, a la Ley autonómica 5/2010, pues la misma se cuestiona por dar cumplimiento a lo dispuesto en el Real Decreto-ley.</w:t>
      </w:r>
    </w:p>
    <w:p w:rsidR="00E3576C" w:rsidRDefault="00E3576C" w:rsidP="00E3576C">
      <w:pPr>
        <w:pStyle w:val="TextoNormal"/>
      </w:pPr>
    </w:p>
    <w:p w:rsidR="00E3576C" w:rsidRDefault="00E3576C" w:rsidP="00E3576C">
      <w:pPr>
        <w:pStyle w:val="TextoNormal"/>
      </w:pPr>
      <w:r>
        <w:lastRenderedPageBreak/>
        <w:t>En cuanto a la infracción del art. 86.1 CE por no cumplir el mencionado real decreto-ley el presupuesto habilitante de concurrir el requisito de la extraordinaria y urgente necesidad, opone el Fiscal frente a los argumentos del órgano judicial lo declarado por el Tribunal Constitucional en los AATC 179/2011 y 180/2011, de 13 de diciembre, para rechazar tal infracción, en concreto, en su fundamento jurídico 6. Igual remisión se realiza a los referidos Autos en relación con el incumplimiento del requisito habilitante de carácter negativo de no poder el real decreto-ley afectar a los derechos, deberes y libertades fundamentales del título I CE, habiéndose rechazado en su fundamento jurídico 7 que exista infracción de los arts. 14, 31.3 y 33 CE.</w:t>
      </w:r>
    </w:p>
    <w:p w:rsidR="00E3576C" w:rsidRDefault="00E3576C" w:rsidP="00E3576C">
      <w:pPr>
        <w:pStyle w:val="TextoNormal"/>
      </w:pPr>
    </w:p>
    <w:p w:rsidR="00E3576C" w:rsidRDefault="00E3576C" w:rsidP="00E3576C">
      <w:pPr>
        <w:pStyle w:val="TextoNormal"/>
      </w:pPr>
      <w:r>
        <w:t>Finalmente por lo que se refiere a la posible infracción por el Real Decreto-ley 8/2010 del art. 134 CE, alegada en el Auto de planteamiento, apunta el Fiscal que la argumentación sobre esta infracción se recoge en el fundamento jurídico 6 del ATC de 17 de octubre de 2011, remitiéndose igualmente a lo declarado en el fundamento jurídico 8 del ATC 179/2011, de 13 de diciembre, para descartar que se haya producido la existencia de dicha infracción.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Juzgado de lo Contencioso-Administrativo núm. 2 de Zaragoza plantea cuestión de inconstitucionalidad en relación con el art. 1 del Real Decreto-ley 8/2010, de 20 de mayo, por el que se adoptan medidas extraordinarias para la reducción del déficit público, y con los arts. 1, 2, 4 y 6 de la Ley 5/2010, de 24 de junio, de la Comunidad Autónoma de Aragón, por posible vulneración de los arts. 9.3, 14, 31, 33, 86.1 y 134 CE, tal y como se acuerda en el Auto de 17 de octubre de 2011, rectificado por otro de 7 de diciembre de 2011.</w:t>
      </w:r>
    </w:p>
    <w:p w:rsidR="00E3576C" w:rsidRDefault="00E3576C" w:rsidP="00E3576C">
      <w:pPr>
        <w:pStyle w:val="TextoNormal"/>
      </w:pPr>
    </w:p>
    <w:p w:rsidR="00E3576C" w:rsidRDefault="00E3576C" w:rsidP="00E3576C">
      <w:pPr>
        <w:pStyle w:val="TextoNormal"/>
      </w:pPr>
      <w:r>
        <w:t>De acuerdo con lo que se expone en la fundamentación del Auto de planteamiento de la cuestión, la duda de constitucionalidad del órgano promotor se extiende al art. 1 del Real Decreto-ley 8/2010, así como a determinados preceptos de la Ley de las Cortes de Aragón 5/2010, que aplican para dicha Comunidad Autónoma lo establecido en la norma estatal. Precisamente el tenor de la parte dispositiva de dicho Auto en cuanto a la ley autonómica hace surgir una duda acerca de su objeto, ya que la Ley 5/2010, de la Comunidad de Aragón, sólo cuenta con tres artículos, por lo que parece haberse padecido un error por parte del órgano judicial en cuanto a la identificación de los preceptos de esa ley que se cuestionan. No obstante, ese error resulta salvable a partir del contenido del propio Auto, en cuyo primer fundamento jurídico se hace referencia únicamente al art. 1 de la citada Ley 5/2010, lo que, conectado al contenido que en la parte dispositiva se otorga a los distintos preceptos impugnados, por referencia a los artículos de la Ley 12/ 2009, de 30 de diciembre, de presupuestos de la Comunidad Autónoma de Aragón para el ejercicio 2010, que se modifican por medio de aquéllos, se puede deducir que la cuestión de inconstitucionalidad se dirige contra los apartados uno, dos, cuatro y seis del art. 1 de la Ley 5/2010, que modifican, respectivamente, los arts. 16.1, 16.3, 18 y 24 de la Ley 12/2009.</w:t>
      </w:r>
    </w:p>
    <w:p w:rsidR="00E3576C" w:rsidRDefault="00E3576C" w:rsidP="00E3576C">
      <w:pPr>
        <w:pStyle w:val="TextoNormal"/>
      </w:pPr>
    </w:p>
    <w:p w:rsidR="00E3576C" w:rsidRDefault="00E3576C" w:rsidP="00E3576C">
      <w:pPr>
        <w:pStyle w:val="TextoNormal"/>
      </w:pPr>
      <w:r>
        <w:t xml:space="preserve">La cuestión dirige las dudas de constitucionalidad contra las normas reseñadas en cuanto disponen una minoración de la masa salarial del personal al servicio del sector público en general, y del que presta servicios para la Comunidad Autónoma de Aragón en particular, considerando, en síntesis, que los preceptos cuestionados vulneran el art. 86.1 CE, de una </w:t>
      </w:r>
      <w:r>
        <w:lastRenderedPageBreak/>
        <w:t>parte, por no concurrir los presupuestos habilitantes en cuanto a la situación de extraordinaria y urgente necesidad, al existir una clara situación de previsibilidad de la situación de necesidad económica a la que la norma da respuesta, de otra, al transgredir el límite material que para los decretos-leyes dispone el citado precepto constitucional de no afectar a los derechos, deberes y libertades de los ciudadanos regulados en el título I CE, entendiendo que, en el presente caso, se vulneran los arts. 14, 31 y 33 CE (éste en relación con el art. 9.3), por generar una norma tributaria de carácter restrictivo y discriminatorio, al crear un tributo encubierto y por anular derechos económicos ya reconocidos. Asimismo, se excede ese límite porque se ha modificado por decreto-ley la ley de presupuestos, lo que está vedado por el art. 134 CE, y, finalmente, por crear un tributo a través de una ley de presupuestos, lo que está expresamente prohibido por el art. 134.7 CE.</w:t>
      </w:r>
    </w:p>
    <w:p w:rsidR="00E3576C" w:rsidRDefault="00E3576C" w:rsidP="00E3576C">
      <w:pPr>
        <w:pStyle w:val="TextoNormal"/>
      </w:pPr>
    </w:p>
    <w:p w:rsidR="00E3576C" w:rsidRDefault="00E3576C" w:rsidP="00E3576C">
      <w:pPr>
        <w:pStyle w:val="TextoNormal"/>
      </w:pPr>
      <w:r>
        <w:t>El Fiscal General del Estado se ha opuesto a la admisión de la cuestión por considerar que la misma resulta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2</w:t>
      </w:r>
      <w:r>
        <w:t>. De acuerdo con lo previsto en el art. 37.1 de la Ley Orgánica del Tribunal Constitucional (LOTC), este Tribunal puede rechazar a limine las cuestiones de inconstitucionalidad, mediante Auto y sin otra audiencia que la del Fiscal General del Estado, cuando faltaren las condiciones procesales o fuere notoriamente infundada la cuestión suscitada. En el presente caso, el Fiscal no ha solicitado la inadmisión por defectos procesales, a pesar de reconocer alguna deficiencia, debido a la discordancia entre la providencia que otorgó el trámite de audiencia y el Auto de planteamiento de la cuestión que, aun siendo cierta, fue subsanada por el posterior Auto del mismo Juzgado, de 7 de diciembre de 2011, que subsanó el error padecido en la parte dispositiva del primero en cuanto a los preceptos constitucionales que se consideraban infringidos. Y, por lo que se refiere a la señalada vulneración del art. 9.3 CE, a pesar de que no se mencionó en la providencia de apertura del trámite de audiencia, en el Auto de planteamiento se deja claro que no constituye un motivo autónomo de inconstitucionalidad, sino que se habría producido sólo en la medida en que se considere infringido el art. 33 CE.</w:t>
      </w:r>
    </w:p>
    <w:p w:rsidR="00E3576C" w:rsidRDefault="00E3576C" w:rsidP="00E3576C">
      <w:pPr>
        <w:pStyle w:val="TextoNormal"/>
      </w:pPr>
    </w:p>
    <w:p w:rsidR="00E3576C" w:rsidRDefault="00E3576C" w:rsidP="00E3576C">
      <w:pPr>
        <w:pStyle w:val="TextoNormal"/>
      </w:pPr>
      <w:r>
        <w:t>No obstante, existe un problema añadido en el Auto de planteamiento, que se refiere a la identificación de la norma cuestionada, y que puede afectar al juicio de aplicabilidad y, por consiguiente, al juicio de relevancia, ya que el Auto dirige las dudas de constitucionalidad, de forma íntegra, contra el art. 1 del Real Decreto-ley 8/2010, siendo así que éste modifica un buen número de preceptos de la Ley 26/2009, en concreto, los arts. 18, 22.2 y 5, el capítulo II del título III (arts. 24 a 33), salvo el art. 27, el art. 36.1, los anexos X y XI, y añade el anexo X bis, muchos de los cuales no guardan relación alguna con el objeto del proceso en el que se impugnó la reducción de las retribuciones, referido exclusivamente a personal estatutario que presta servicios en centros sanitarios del Servicio aragonés de salud. Así ocurre con las normas relativas a la autorización de costes de personal de la Universidad Nacional de Educación a Distancia, al personal laboral del sector público estatal, a las retribuciones de los altos cargos del Estado, a las retribuciones de los funcionarios del Estado, a las del personal de las Fuerzas Armadas, del cuerpo de la Guardia Civil o del Cuerpo Nacional de Policía, o, finalmente, a las de los miembros de las carreras Judicial y Fiscal, de los del cuerpo de Secretarios Judiciales y del personal al servicio de la Administración de Justicia, que están todas incluidas en el art. 1 del Real Decreto-ley 8/2010, cuestionado por el órgano judicial promotor de la cuestión y que, obviamente, no presentan relevancia en el presente supuesto.</w:t>
      </w:r>
    </w:p>
    <w:p w:rsidR="00E3576C" w:rsidRDefault="00E3576C" w:rsidP="00E3576C">
      <w:pPr>
        <w:pStyle w:val="TextoNormal"/>
      </w:pPr>
    </w:p>
    <w:p w:rsidR="00E3576C" w:rsidRDefault="00E3576C" w:rsidP="00E3576C">
      <w:pPr>
        <w:pStyle w:val="TextoNormal"/>
      </w:pPr>
      <w:r>
        <w:t>Como ya recordamos en los AATC 179/2011 y 180/2011, de 13 de diciembre, “el art. 35.1 LOTC exige que la norma con rango de ley de la que tenga dudas el órgano judicial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(fundamento jurídico 4). Y aunque corresponde a los órganos judiciales formular el pertinente juicio de aplicabilidad y relevancia, siendo el control de este Tribunal meramente externo, sin embargo existen supuestos en los que este Tribunal, en el ejercicio de las facultades inherentes a ese control,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 (ATC 180/2011, FJ 4).</w:t>
      </w:r>
    </w:p>
    <w:p w:rsidR="00E3576C" w:rsidRDefault="00E3576C" w:rsidP="00E3576C">
      <w:pPr>
        <w:pStyle w:val="TextoNormal"/>
      </w:pPr>
    </w:p>
    <w:p w:rsidR="00E3576C" w:rsidRDefault="00E3576C" w:rsidP="00E3576C">
      <w:pPr>
        <w:pStyle w:val="TextoNormal"/>
      </w:pPr>
      <w:r>
        <w:t>No obstante, en el caso presente, en el que el órgano judicial justifica el juicio de relevancia en que el recurso del que ha de conocer se fundamenta exclusivamente en la inconstitucionalidad de los preceptos aplicables, de modo que su constitucionalidad o inconstitucionalidad es el único elemento que puede determinar, en sentido estimatorio o desestimatorio, el resultado del pleito, se pueden deducir de su tenor los concretos preceptos de la Ley 26/2009 a los que se ciñen las dudas de constitucionalidad. En efecto, basta confrontarlos con los artículos de la Ley de la Comunidad Autónoma de Aragón 5/2010 que, según se señala en el Auto de planteamiento, afectarían a los recurrentes en el proceso a quo, en la medida en que, como el propio Auto argumenta, dicha ley se vería arrastrada en su inconstitucionalidad por el Real Decreto-ley 8/2010, en cuanto se trata de una ley de ejecución en la Comunidad Autónoma de las modificaciones introducidas por aquél. En concreto, el Auto señala que les afecta el art. 1 de la Ley 5/2010, en sus apartados 1 (que modifica el art. 16.1 de la Ley 12/2009, de presupuestos de la Comunidad Autónoma para 2010), 2 (en cuanto modifica el art. 16.3 de dicha ley), 4 (que modifica su art. 18), y 6 (de modificación de su art. 24). Realizada la correspondiente confrontación a partir de lo razonado en el Auto, podemos deducir que las dudas de constitucionalidad se ciñen a los arts. 22.Dos, A) y B), y 24.Uno de la Ley 26/2009, de 23 de diciembre, en la redacción dada a los mismos, respectivamente, por los apartados segundo y cuarto del art. 1 del Real Decreto-ley 8/2010, y aunque hubiese sido deseable que el órgano judicial promotor de la cuestión hubiese satisfecho este aspecto con mayor precisión técnica, puede entenderse que ha justificado debidamente el juicio de aplicabilidad y relevancia referido tanto a los preceptos del Real Decreto-ley 8/2010 como de la Ley autonómica 5/2010, sin perjuicio de advertir que las dudas de constitucionalidad del órgano judicial promotor de la cuestión referidas a esta última ley carecen de sustantividad propia, ya que no existen consideraciones específicas en el Auto de planteamiento de la cuestión respecto a la pretendida inconstitucionalidad de la misma distintas de las que se dirigen frente al Real Decreto-ley 8/2010, reconociéndose en el referido Auto que la Ley 5/2010 se vería arrastrada en su inconstitucionalidad en cuanto es una ley que se limita a ejecutar en la Comunidad Autónoma las modificaciones introducidas por aquél.</w:t>
      </w:r>
    </w:p>
    <w:p w:rsidR="00E3576C" w:rsidRDefault="00E3576C" w:rsidP="00E3576C">
      <w:pPr>
        <w:pStyle w:val="TextoNormal"/>
      </w:pPr>
    </w:p>
    <w:p w:rsidR="00E3576C" w:rsidRDefault="00E3576C" w:rsidP="00E3576C">
      <w:pPr>
        <w:pStyle w:val="TextoNormal"/>
      </w:pPr>
      <w:r w:rsidRPr="00E3576C">
        <w:rPr>
          <w:rStyle w:val="NumeroAFNegritaCaracter"/>
        </w:rPr>
        <w:t>3</w:t>
      </w:r>
      <w:r>
        <w:t>. Al margen de lo anterior, la cuestión de inconstitucionalidad resulta notoriamente infundada (art. 37.1 LOTC), por las razones que se desarrollan ampliamente en los AATC 85/2011, de 7 de julio; y 179/2011 y 180/2011, ambos de 13 de diciembre, y que aquí se expondrán de manera resumida.</w:t>
      </w:r>
    </w:p>
    <w:p w:rsidR="00E3576C" w:rsidRDefault="00E3576C" w:rsidP="00E3576C">
      <w:pPr>
        <w:pStyle w:val="TextoNormal"/>
      </w:pPr>
    </w:p>
    <w:p w:rsidR="00E3576C" w:rsidRDefault="00E3576C" w:rsidP="00E3576C">
      <w:pPr>
        <w:pStyle w:val="TextoNormal"/>
      </w:pPr>
      <w:r>
        <w:t>En primer lugar, respecto a la denunciada infracción del art. 86.1 CE por no concurrir los presupuestos habilitantes del Real Decreto-Ley 8/2010 en cuanto a la situación de extraordinaria y urgente necesidad, a juicio del órgano judicial existía una clara situación de previsibilidad de la situación de necesidad económica a la que la norma da respuesta, y por transgredir el límite material que para los decretos-leyes dispone el art. 86.1 CE de no poder afectar a los derechos, deberes y libertades de los ciudadanos regulados en el título I CE. Sobre este particular, ya excluimos en el ATC 179/2011, de 13 de diciembre, que se produjeran dichas vulneraciones. Concretamente, en su fundamento jurídico 6 afirmamos, en cuanto al primer aspecto,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Y añadíamos la afirmación de que “se ha cumplido por el Gobierno la exigencia de explicitar y razonar de forma suficiente la existencia de una situación de ‘extraordinaria y urgente necesidad’ que justifica la necesidad de dictar el Real Decreto-ley 8/2010; y, asimismo, que resulta igualmente acreditada la existencia de una necesaria conexión entre la situación de urgencia definida y las medidas que en el decreto-ley se adoptan, de manera que estas últimas guardan una relación directa o de congruencia con la situación que se trata de afrontar (STC 29/1982, de 31 de mayo, FJ 3; 182/1997, de 20 de octubre, FJ 3; y 137/2003, de 3 de julio, FJ 4)”.</w:t>
      </w:r>
    </w:p>
    <w:p w:rsidR="00E3576C" w:rsidRDefault="00E3576C" w:rsidP="00E3576C">
      <w:pPr>
        <w:pStyle w:val="TextoNormal"/>
      </w:pPr>
    </w:p>
    <w:p w:rsidR="00E3576C" w:rsidRDefault="00E3576C" w:rsidP="00E3576C">
      <w:pPr>
        <w:pStyle w:val="TextoNormal"/>
      </w:pPr>
      <w:r>
        <w:t>Asimismo, en cuanto a la previsibilidad de la situación económica a la que trata de hacer frente el Real Decreto-ley 8/2010, señaló este Tribunal en el mismo fundamento del mencionado Auto que, con independencia de que nada impide que “una determinada situación extraordinaria que se hubiera producido en el pasado pueda volver a presentarse, demandando de nuevo —incluso con mayor motivo— una respuesta urgente mediante las medidas que se aprecien como necesarias”, en todo caso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w:t>
      </w:r>
    </w:p>
    <w:p w:rsidR="00E3576C" w:rsidRDefault="00E3576C" w:rsidP="00E3576C">
      <w:pPr>
        <w:pStyle w:val="TextoNormal"/>
      </w:pPr>
    </w:p>
    <w:p w:rsidR="00E3576C" w:rsidRDefault="00E3576C" w:rsidP="00E3576C">
      <w:pPr>
        <w:pStyle w:val="TextoNormal"/>
      </w:pPr>
      <w:r>
        <w:t xml:space="preserve">El último aspecto en el que el órgano promotor fundamenta la cuestión se refiere al límite material que impone al decreto-ley la prohibición de afectar a los derechos, deberes y libertades de los ciudadanos regulados en el título I CE (art. 86.1 CE), cláusula que no puede ser objeto de interpretación extensiva, pues, como advertíamos en el ATC 179/2011, FJ 7, ello “supondría el vaciamiento de la figura del decreto-ley, haciéndolo ‘inservible para regular </w:t>
      </w:r>
      <w:r>
        <w:lastRenderedPageBreak/>
        <w:t>con mayor o menor incidencia cualquier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Por esta razón este Tribunal viene manteniendo en la interpretación del límite material del decreto-ley una posición equilibrada que evite las concepciones extremas, entendiendo que, lo que le está vedado al decreto-ley, es “la regulación del ‘régimen general de los derechos, deberes y libertades del título I CE’ o que ‘vaya en contra del contenido o elementos esenciales de alguno de tales derechos’ (STC 111/1983, de 2 de diciembre, FJ 8, doctrina que se reitera en las SSTC 182/1997, de 28 de octubre, FJ 7; 137/2003, de 3 de julio, FJ 6; 108/2004, de 30 de junio, FJ 7; y 189/2005, de 7 de julio, FJ 7, por todas)” (ATC 179/2011, FJ 7).</w:t>
      </w:r>
    </w:p>
    <w:p w:rsidR="00E3576C" w:rsidRDefault="00E3576C" w:rsidP="00E3576C">
      <w:pPr>
        <w:pStyle w:val="TextoNormal"/>
      </w:pPr>
    </w:p>
    <w:p w:rsidR="00E3576C" w:rsidRDefault="00E3576C" w:rsidP="00E3576C">
      <w:pPr>
        <w:pStyle w:val="TextoNormal"/>
      </w:pPr>
      <w:r>
        <w:t>Pues bien, en el ATC 179/2011 concluimos que el Real Decreto-ley 8/2010 no ha franqueado ese límite material, ya que no afecta a los derechos reconocidos en los arts. 14, 31 y 33.3 CE, por las razones que a continuación se exponen.</w:t>
      </w:r>
    </w:p>
    <w:p w:rsidR="00E3576C" w:rsidRDefault="00E3576C" w:rsidP="00E3576C">
      <w:pPr>
        <w:pStyle w:val="TextoNormal"/>
      </w:pPr>
    </w:p>
    <w:p w:rsidR="00E3576C" w:rsidRDefault="00E3576C" w:rsidP="00E3576C">
      <w:pPr>
        <w:pStyle w:val="TextoNormal"/>
      </w:pPr>
      <w:r>
        <w:t>a) En cuanto a los arts. 14 y 31 CE, su vulneración se argumenta de forma conjunta por el órgano judicial, aduciendo que no se trata de una minoración de retribuciones, sino de una norma tributaria, de una prestación patrimonial de carácter público y progresivo, establecida con arreglo a la capacidad económica de los funcionarios, que encaja en la definición del art. 31 CE, pero que está vedada al real decreto-ley por los arts. 86.1 y 31.3 CE, resultando, además, discriminatoria tanto por afectar sólo a las rentas del trabajo como por dirigirse únicamente a los empleados públicos, y dentro de éstos, tampoco se desarrolla por igual.</w:t>
      </w:r>
    </w:p>
    <w:p w:rsidR="00E3576C" w:rsidRDefault="00E3576C" w:rsidP="00E3576C">
      <w:pPr>
        <w:pStyle w:val="TextoNormal"/>
      </w:pPr>
    </w:p>
    <w:p w:rsidR="00E3576C" w:rsidRDefault="00E3576C" w:rsidP="00E3576C">
      <w:pPr>
        <w:pStyle w:val="TextoNormal"/>
      </w:pPr>
      <w:r>
        <w:t>Esta duda de constitucionalidad del órgano judicial carece de fundamento, pues, como ya dijimos en el ATC 179/2011, FJ 7 b),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Se trata de una medida dirigida a la contención de los gastos del personal que afecta solamente a la partida de gastos del presupuesto de las Administraciones públicas, mas no a los ingresos.</w:t>
      </w:r>
    </w:p>
    <w:p w:rsidR="00E3576C" w:rsidRDefault="00E3576C" w:rsidP="00E3576C">
      <w:pPr>
        <w:pStyle w:val="TextoNormal"/>
      </w:pPr>
    </w:p>
    <w:p w:rsidR="00E3576C" w:rsidRDefault="00E3576C" w:rsidP="00E3576C">
      <w:pPr>
        <w:pStyle w:val="TextoNormal"/>
      </w:pPr>
      <w:r>
        <w:t>La anterior conclusión hace decaer también la pretendida vulneración del derecho a la igualdad (art. 14 CE), articulada sobre la base de que se trata de una norma tributaria. Además, según se señaló en el reiterado ATC 179/2011, la regulación del Real Decreto-ley 8/2010 no supone una afectación del derecho a la igualdad ante la ley, por cuanto no disciplina el régimen general de este derecho ni contradice su contenido esencial, pues las situaciones subjetivas que se traen a comparación no son efectivamente homogéneas o equiparables, ya que el distinto trato retributivo se establece “en función del distinto vínculo entre los empleados públicos y la Administración (funcionarios y personal laboral) o en función de los diferentes grupos o categorías en que se clasifican los funcionarios, así como en el régimen de progresividad que demanda la mayor o menor capacidad económica de los afectados” [FJ 7 a)].</w:t>
      </w:r>
    </w:p>
    <w:p w:rsidR="00E3576C" w:rsidRDefault="00E3576C" w:rsidP="00E3576C">
      <w:pPr>
        <w:pStyle w:val="TextoNormal"/>
      </w:pPr>
    </w:p>
    <w:p w:rsidR="00E3576C" w:rsidRDefault="00E3576C" w:rsidP="00E3576C">
      <w:pPr>
        <w:pStyle w:val="TextoNormal"/>
      </w:pPr>
      <w:r>
        <w:lastRenderedPageBreak/>
        <w:t>b) Asimismo, se ha de rechazar que la regulación cuestionada haya afectado, en el sentido constitucional de la expresión, al derecho de propiedad, por haber anulado —según entiende el órgano judicial proponente— unos derechos económicos reconocidos por la Ley de presupuestos generales del Estado para 2010, teniendo un alcance expropiatorio. Ya se descartó en el ATC 179/2011 que el Real Decreto-ley 8/2010 haya producido una expropiación de derechos económicos de los empleados públicos que contravenga lo dispuesto en el art. 33.3 CE, porque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Por la misma razón … ha de descartarse que la reducción de retribuciones impuesta por el art. 1 del Real Decreto-ley 8/2010 quiebre el principio de protección de la confianza legítima, en cuanto manifestación del principio de seguridad jurídica (art. 9.3 CE)”. [FJ 7 c)].</w:t>
      </w:r>
    </w:p>
    <w:p w:rsidR="00E3576C" w:rsidRDefault="00E3576C" w:rsidP="00E3576C">
      <w:pPr>
        <w:pStyle w:val="TextoNormal"/>
      </w:pPr>
    </w:p>
    <w:p w:rsidR="00E3576C" w:rsidRDefault="00E3576C" w:rsidP="00E3576C">
      <w:pPr>
        <w:pStyle w:val="TextoNormal"/>
      </w:pPr>
      <w:r w:rsidRPr="00E3576C">
        <w:rPr>
          <w:rStyle w:val="NumeroAFNegritaCaracter"/>
        </w:rPr>
        <w:t>4</w:t>
      </w:r>
      <w:r>
        <w:t>. Por último, nos queda por analizar la duda de constitucionalidad que el órgano promotor de la cuestión dirige contra el Real Decreto-ley 8/2010, por la posible vulneración del art. 134 CE, al invadir materia reservada a los presupuestos generales del Estado y por crear un tributo, lo que está prohibido a las leyes de presupuestos en virtud del art. 134.7 CE.</w:t>
      </w:r>
    </w:p>
    <w:p w:rsidR="00E3576C" w:rsidRDefault="00E3576C" w:rsidP="00E3576C">
      <w:pPr>
        <w:pStyle w:val="TextoNormal"/>
      </w:pPr>
    </w:p>
    <w:p w:rsidR="00E3576C" w:rsidRDefault="00E3576C" w:rsidP="00E3576C">
      <w:pPr>
        <w:pStyle w:val="TextoNormal"/>
      </w:pPr>
      <w:r>
        <w:t>Ambas infracciones deben ser descartadas. La relativa al art. 134.7 CE por las razones ya expuestas al excluir la infracción del art. 31 CE, y la otra con base en lo argumentado en el ATC 179/2011, FJ 8, en el que llegamos a la conclusión de que la norma cuestionada no invade materia reservada a la ley de presupuestos generales del Estado. En efecto, recordábamos allí que “[e]ste Tribunal tiene declarado que ‘puede hablarse en propiedad de la existencia en la Constitución de una reserva de un contenido de ley de presupuestos’ (STC 3/2003, de 16 de enero, FJ 4), en la medida que la Constitución atribuye a una ley específica la regulación de los presupuestos generales del Estado (art. 134). De suerte que ‘la Constitución y las leyes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 doctrina que reitera la STC 136/2011, de 13 de septiembre, FJ 4”. Y esas circunstancias excepcionales concurren, efectivamente, de manera especialmente intensa en el caso ahora considerado, “por lo que la utilización del instrumento normativo del decreto-ley para la modificación que se cuestiona de la Ley 26/2009, de presupuestos generales del Estado para 2010, no plantea objeción constitucional desde la perspectiva de la reserva material de la Ley de presupuestos”. Por otra parte, la reserva de ley ordinaria no significa que quede prohibida toda intervención normativa por medio de decreto-ley, pues si así fuera carecerían de sentido los límites formales y materiales que respecto de los decretos-leyes se establecen en el art. 86 CE (ATC 179/2011, FJ 8).</w:t>
      </w:r>
    </w:p>
    <w:p w:rsidR="00E3576C" w:rsidRDefault="00E3576C" w:rsidP="00E3576C">
      <w:pPr>
        <w:pStyle w:val="TextoNormal"/>
      </w:pPr>
    </w:p>
    <w:p w:rsidR="00E3576C" w:rsidRDefault="00E3576C" w:rsidP="00E3576C">
      <w:pPr>
        <w:pStyle w:val="TextoNormal"/>
      </w:pPr>
      <w:r>
        <w:lastRenderedPageBreak/>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presente cuestión de inconstitucionalidad.</w:t>
      </w:r>
    </w:p>
    <w:p w:rsidR="00E3576C" w:rsidRDefault="00E3576C" w:rsidP="00E3576C">
      <w:pPr>
        <w:pStyle w:val="TextoNormal"/>
      </w:pPr>
    </w:p>
    <w:p w:rsidR="00E3576C" w:rsidRDefault="00E3576C" w:rsidP="00E3576C">
      <w:pPr>
        <w:pStyle w:val="TextoNormal"/>
      </w:pPr>
      <w:r>
        <w:t>Madrid, a catorce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7" w:name="AUTO_2012_36"/>
      <w:r>
        <w:lastRenderedPageBreak/>
        <w:t>AUTO 36/2012, de 27 de febrero de 2012</w:t>
      </w:r>
    </w:p>
    <w:bookmarkEnd w:id="177"/>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ECLI:ES:TC:2012:36A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Acuerda el desistimiento en el recurso de amparo 2799-2011,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78" w:name="AUTO_2012_37"/>
      <w:r>
        <w:lastRenderedPageBreak/>
        <w:t>AUTO 37/2012, de 28 de febrero de 2012</w:t>
      </w:r>
    </w:p>
    <w:bookmarkEnd w:id="17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ECLI:ES:TC:2012:37A</w:t>
      </w:r>
    </w:p>
    <w:p w:rsidR="00E3576C" w:rsidRDefault="00E3576C" w:rsidP="00E3576C">
      <w:pPr>
        <w:pStyle w:val="SntesisDescriptiva"/>
      </w:pPr>
    </w:p>
    <w:p w:rsidR="00E3576C" w:rsidRDefault="00E3576C" w:rsidP="00E3576C">
      <w:pPr>
        <w:pStyle w:val="SntesisDescriptiva"/>
      </w:pPr>
      <w:r>
        <w:t>Excms. Srs. don Pascual Sala Sánchez, don Eugeni Gay Montalvo,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Acepta una abstención en la cuestión de inconstitucionalidad 5472-2001, planteada por la Sala de lo Contencioso-Administrativo del Tribunal Superior de Andalucía en relación con la disposición transitoria cuarta de la Ley 8/1997, de 23 de diciembre, por la que se aprueban medidas en materia tributaria, presupuestaria, de empresas de la Junta de Andalucía y otras entidades de recaudación, de contratación de función pública y de fianzas de arrendamientos y suministros.</w:t>
      </w:r>
    </w:p>
    <w:p w:rsidR="00E3576C" w:rsidRDefault="00E3576C" w:rsidP="00E3576C">
      <w:pPr>
        <w:pStyle w:val="SntesisDescriptiva"/>
      </w:pPr>
    </w:p>
    <w:p w:rsidR="00E3576C" w:rsidRDefault="00E3576C" w:rsidP="00E3576C">
      <w:pPr>
        <w:pStyle w:val="SntesisAnaltica"/>
      </w:pPr>
      <w:r>
        <w:t>Abstención de Magistrados del Tribunal Constitucional, acepta.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En la cuestión de inconstitucionalidad núm. 5742-2001, promovida por la Sección Primera de la Sala de lo Contencioso-Administrativo del Tribunal Superior de Andalucía con sede en Sevilla, se discute la constitucionalidad de la disposición transitoria cuarta de la Ley del Parlamento de Andalucía 8/1997, de 23 de diciembre, por la que se aprueban medidas en materia tributaria, presupuestaria, de empresas de la Junta de Andalucía y otras entidades, de recaudación, de contratación, de función pública y de fianzas de arrendamientos y suministros. </w:t>
      </w:r>
    </w:p>
    <w:p w:rsidR="00E3576C" w:rsidRDefault="00E3576C" w:rsidP="00E3576C">
      <w:pPr>
        <w:pStyle w:val="TextoNormal"/>
      </w:pPr>
    </w:p>
    <w:p w:rsidR="00E3576C" w:rsidRDefault="00E3576C" w:rsidP="00E3576C">
      <w:pPr>
        <w:pStyle w:val="TextoNormal"/>
      </w:pPr>
      <w:r>
        <w:t>Mediante escrito fechado el 21 de febrero de 2012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137-1997, de 23 de octubre, relativo al anteproyecto de ley por la que se aprueban medidas en materia tributaria, presupuestaria, de empresas de la Junta de Andalucía y otras entidades, de recaudación, de contratación, de función pública y de fianzas de arrendamientos y suministros.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Vista la comunicación efectuada por doña Elisa Pérez Vera, Magistrada de este Tribunal, en virtud de lo previsto en los arts. 80 de la Ley Orgánica del Tribunal Constitucional y 221.4 de la Ley Orgánica del Poder Judicial (LOPJ), se estima justificada la causa </w:t>
      </w:r>
      <w:r>
        <w:lastRenderedPageBreak/>
        <w:t>de abstención formulada, puesto que la mencionada Magistrada intervino, en calidad de Presidenta del Consejo Consultivo de Andalucía, en la adopción del dictamen emitido por dicho órgano sobre el anteproyecto de ley por la que se aprueban medidas en materia tributaria, presupuestaria, de empresas de la Junta de Andalucía y otras entidades, de recaudación, de contratación, de función pública y de fianzas de arrendamientos y suministros, lo que puede integrarse en las causas 13 y 16 del art. 219 LOPJ.</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Estimar la causa de abstención formulada por doña Elisa Pérez Vera en la cuestión de inconstitucionalidad núm. 5742-2001, apartándola definitivamente del conocimiento de la misma.</w:t>
      </w:r>
    </w:p>
    <w:p w:rsidR="00E3576C" w:rsidRDefault="00E3576C" w:rsidP="00E3576C">
      <w:pPr>
        <w:pStyle w:val="TextoNormal"/>
      </w:pPr>
    </w:p>
    <w:p w:rsidR="00E3576C" w:rsidRDefault="00E3576C" w:rsidP="00E3576C">
      <w:pPr>
        <w:pStyle w:val="TextoNormal"/>
      </w:pPr>
      <w:r>
        <w:t>Madrid, a veintiocho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79" w:name="AUTO_2012_38"/>
      <w:r>
        <w:lastRenderedPageBreak/>
        <w:t>AUTO 38/2012, de 28 de febrero de 2012</w:t>
      </w:r>
    </w:p>
    <w:bookmarkEnd w:id="17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ECLI:ES:TC:2012:38A</w:t>
      </w:r>
    </w:p>
    <w:p w:rsidR="00E3576C" w:rsidRDefault="00E3576C" w:rsidP="00E3576C">
      <w:pPr>
        <w:pStyle w:val="SntesisDescriptiva"/>
      </w:pPr>
    </w:p>
    <w:p w:rsidR="00E3576C" w:rsidRDefault="00E3576C" w:rsidP="00E3576C">
      <w:pPr>
        <w:pStyle w:val="SntesisDescriptiva"/>
      </w:pPr>
      <w:r>
        <w:t>Excms. Srs. don Pascual Sala Sánchez, don Eugeni Gay Montalvo,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Acepta una abstención en la cuestión de inconstitucionalidad 2651-2005, planteada por el Juzgado de lo Contencioso-Administrativo núm. 1 de Cádiz, en relación con el artículo 46 de la Ley del Parlamento de Andalucía 31/2001, de 11 de diciembre, de coordinación de policías locales.</w:t>
      </w:r>
    </w:p>
    <w:p w:rsidR="00E3576C" w:rsidRDefault="00E3576C" w:rsidP="00E3576C">
      <w:pPr>
        <w:pStyle w:val="SntesisDescriptiva"/>
      </w:pPr>
    </w:p>
    <w:p w:rsidR="00E3576C" w:rsidRDefault="00E3576C" w:rsidP="00E3576C">
      <w:pPr>
        <w:pStyle w:val="SntesisAnaltica"/>
      </w:pPr>
      <w:r>
        <w:t>Abstención de Magistrados del Tribunal Constitucional, acepta.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En la cuestión de inconstitucionalidad núm. 2651-2005, promovida por el Juzgado de lo Contencioso-Administrativo núm. 1 de Cádiz, se discute la constitucionalidad del art. 46 de la Ley 13/2001, de 11 de diciembre, del Parlamento de Andalucía, de coordinación de policías locales. </w:t>
      </w:r>
    </w:p>
    <w:p w:rsidR="00E3576C" w:rsidRDefault="00E3576C" w:rsidP="00E3576C">
      <w:pPr>
        <w:pStyle w:val="TextoNormal"/>
      </w:pPr>
    </w:p>
    <w:p w:rsidR="00E3576C" w:rsidRDefault="00E3576C" w:rsidP="00E3576C">
      <w:pPr>
        <w:pStyle w:val="TextoNormal"/>
      </w:pPr>
      <w:r>
        <w:t>Mediante escrito fechado el 21 de febrero de 2012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146-1999, de 25 de octubre, relativo al anteproyecto de ley de coordinación de los cuerpos de la policía local.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sobre el anteproyecto de ley de coordinación de los cuerpos de la policía local, lo que puede integrarse en las causas 13 y 16 del art. 219 LOPJ.</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lastRenderedPageBreak/>
        <w:t>ACUERDA</w:t>
      </w:r>
    </w:p>
    <w:p w:rsidR="00E3576C" w:rsidRDefault="00E3576C" w:rsidP="00E3576C">
      <w:pPr>
        <w:pStyle w:val="TextoNormalCentrado"/>
      </w:pPr>
    </w:p>
    <w:p w:rsidR="00E3576C" w:rsidRDefault="00E3576C" w:rsidP="00E3576C">
      <w:pPr>
        <w:pStyle w:val="TextoNormal"/>
      </w:pPr>
      <w:r>
        <w:t>Estimar la causa de abstención formulada por doña Elisa Pérez Vera en la cuestión de inconstitucionalidad núm. 2651-2005, apartándola definitivamente del conocimiento de la misma.</w:t>
      </w:r>
    </w:p>
    <w:p w:rsidR="00E3576C" w:rsidRDefault="00E3576C" w:rsidP="00E3576C">
      <w:pPr>
        <w:pStyle w:val="TextoNormal"/>
      </w:pPr>
    </w:p>
    <w:p w:rsidR="00E3576C" w:rsidRDefault="00E3576C" w:rsidP="00E3576C">
      <w:pPr>
        <w:pStyle w:val="TextoNormal"/>
      </w:pPr>
      <w:r>
        <w:t>Madrid, a veintiocho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0" w:name="AUTO_2012_39"/>
      <w:r>
        <w:lastRenderedPageBreak/>
        <w:t>AUTO 39/2012, de 28 de febrero de 2012</w:t>
      </w:r>
    </w:p>
    <w:bookmarkEnd w:id="180"/>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ECLI:ES:TC:2012:39A</w:t>
      </w:r>
    </w:p>
    <w:p w:rsidR="00E3576C" w:rsidRDefault="00E3576C" w:rsidP="00E3576C">
      <w:pPr>
        <w:pStyle w:val="SntesisDescriptiva"/>
      </w:pPr>
    </w:p>
    <w:p w:rsidR="00E3576C" w:rsidRDefault="00E3576C" w:rsidP="00E3576C">
      <w:pPr>
        <w:pStyle w:val="SntesisDescriptiva"/>
      </w:pPr>
      <w:r>
        <w:t>Excms. Srs. don Pascual Sala Sánchez, don Eugeni Gay Montalvo,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3812-2011, planteada por la Sala de lo Social del Tribunal Superior de Justicia de Castilla y León, con sede en Valladolid, en relación con el artículo 1 del Real Decreto-ley 8/2010, de 20 de mayo, por el que se adoptan medidas extraordinarias para la reducción del déficit público.</w:t>
      </w:r>
    </w:p>
    <w:p w:rsidR="00E3576C" w:rsidRDefault="00E3576C" w:rsidP="00E3576C">
      <w:pPr>
        <w:pStyle w:val="SntesisDescriptiva"/>
      </w:pPr>
    </w:p>
    <w:p w:rsidR="00E3576C" w:rsidRDefault="00E3576C" w:rsidP="00E3576C">
      <w:pPr>
        <w:pStyle w:val="SntesisAnaltica"/>
      </w:pPr>
      <w:r>
        <w:t>Cuestión de inconstitucionalidad: juicio de aplicabilidad. Inadmisión de cuestión de inconstitucionalidad: cuestión de inconstitucionalidad notoriamente infundada; juicio de relevancia inconsistente; trámite de audiencia defectuoso.</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1 de julio de 2011 tuvo entrada en el Registro General de este Tribunal escrito de la Sala de lo Social del Tribunal Superior de Justicia de Castilla y León, con sede en Valladolid, al que se acompaña, junto con el testimonio del procedimiento núm. 1-2011 que se tramita ante dicha Sala, el Auto de 8 de junio de 2011, por el que se acuerda plantear cuestión de inconstitucionalidad respecto del art. 1 del Real Decreto-ley 8/2010, de 20 de mayo, por el que se adoptan medidas extraordinarias para la reducción del déficit público, que modificó los arts. 22.4 y 25 de la Ley 26/2009, de 23 de diciembre, de presupuestos generales del Estado para 2010, que a su vez mediante Decreto-ley 1/2010 de Castilla y León causó la modificación del art. 14 de la Ley 11/2009, de 22 de diciembre, de presupuestos generales de Castilla y León, por posible vulneración de los arts. 7, 28.1 y 37.1 CE.</w:t>
      </w:r>
    </w:p>
    <w:p w:rsidR="00E3576C" w:rsidRDefault="00E3576C" w:rsidP="00E3576C">
      <w:pPr>
        <w:pStyle w:val="TextoNormal"/>
      </w:pPr>
    </w:p>
    <w:p w:rsidR="00E3576C" w:rsidRDefault="00E3576C" w:rsidP="00E3576C">
      <w:pPr>
        <w:pStyle w:val="TextoNormal"/>
      </w:pPr>
      <w:r w:rsidRPr="00E3576C">
        <w:rPr>
          <w:rStyle w:val="NumeroAFNegritaCaracter"/>
        </w:rPr>
        <w:t>2</w:t>
      </w:r>
      <w:r>
        <w:t>. Los antecedentes de hecho de la presente cuestión de inconstitucionalidad son los siguientes:</w:t>
      </w:r>
    </w:p>
    <w:p w:rsidR="00E3576C" w:rsidRDefault="00E3576C" w:rsidP="00E3576C">
      <w:pPr>
        <w:pStyle w:val="TextoNormal"/>
      </w:pPr>
    </w:p>
    <w:p w:rsidR="00E3576C" w:rsidRDefault="00E3576C" w:rsidP="00E3576C">
      <w:pPr>
        <w:pStyle w:val="TextoNormal"/>
      </w:pPr>
      <w:r>
        <w:t xml:space="preserve">a) La federación de enseñanza de Comisiones Obreras de Castilla y León presentó el día 29 de marzo de 2011 ante la Sala de lo Social del Tribunal Superior de Justicia de Castilla y León, con sede en Valladolid, demanda de conflicto colectivo contra la Universidad de Salamanca, en relación al personal investigador con contrato en formación, el personal investigador y el personal de administración y servicios de diferentes categorías vinculados a proyectos de investigación, todos ellos con vínculo laboral con la Universidad demandada en virtud de contratos temporales o formativos. Respecto al referido personal afectado por el conflicto, en la demanda se solicitaba que, en función de lo establecido en los convenios </w:t>
      </w:r>
      <w:r>
        <w:lastRenderedPageBreak/>
        <w:t>colectivos de aplicación de la Universidad de Salamanca, las retribuciones a percibir por los trabajadores en los meses de junio de 2010 y sucesivos habían de ser las mismas que venían percibiendo hasta entonces, dejando sin efecto las reducciones retributivas efectuadas por la Universidad; subsidiariamente, y para el supuesto de no aceptarse por la Sala la anulación en los términos antes interesados, se solicitaba que se declarase que las reducciones del 5 por 100 previsto para el personal laboral del sector público autonómico que establece el Decreto-ley 1/2010 no son aplicables al personal afectado por el presente conflicto; y subsidiariamente, si se considerase que la reducción es aplicable a este colectivo, se solicitaba que se dejase sin efecto la reducción acumulativa del 5 por 100 aplicada en la nómina del mes de diciembre de 2010, correspondientes a las mensualidades pasadas, no pudiendo la demandada efectuar un descuento superior al 5 por 100 en la referida nómina.</w:t>
      </w:r>
    </w:p>
    <w:p w:rsidR="00E3576C" w:rsidRDefault="00E3576C" w:rsidP="00E3576C">
      <w:pPr>
        <w:pStyle w:val="TextoNormal"/>
      </w:pPr>
    </w:p>
    <w:p w:rsidR="00E3576C" w:rsidRDefault="00E3576C" w:rsidP="00E3576C">
      <w:pPr>
        <w:pStyle w:val="TextoNormal"/>
      </w:pPr>
      <w:r>
        <w:t>b) A solicitud de la parte demandante, fueron traídos al proceso como partes interesadas FETE-UGT de Castilla y León, la Central Sindical Independiente de Funcionarios de Castilla y León (CSI-F) y el Sindicato de Trabajadores de la Enseñanza de Castilla y León. Asimismo, también compareció el Ministerio Fiscal.</w:t>
      </w:r>
    </w:p>
    <w:p w:rsidR="00E3576C" w:rsidRDefault="00E3576C" w:rsidP="00E3576C">
      <w:pPr>
        <w:pStyle w:val="TextoNormal"/>
      </w:pPr>
    </w:p>
    <w:p w:rsidR="00E3576C" w:rsidRDefault="00E3576C" w:rsidP="00E3576C">
      <w:pPr>
        <w:pStyle w:val="TextoNormal"/>
      </w:pPr>
      <w:r>
        <w:t>c) En el acto del juicio se concretó que las pretensiones que se sometían a la decisión del Tribunal Superior de Justicia eran las dos últimas contenidas en el suplico de la demanda, esto es, si el Real Decreto-ley 8/2010 y, en consecuencia, el Decreto-ley 1/2010 de Castilla y León son aplicables al colectivo afectado por el conflicto, y si la decisión de la universidad de detraer en la nómina de diciembre de 2010 de forma acumulativa y retroactiva el 5 por 100 infringe dicho Real Decreto-ley.</w:t>
      </w:r>
    </w:p>
    <w:p w:rsidR="00E3576C" w:rsidRDefault="00E3576C" w:rsidP="00E3576C">
      <w:pPr>
        <w:pStyle w:val="TextoNormal"/>
      </w:pPr>
    </w:p>
    <w:p w:rsidR="00E3576C" w:rsidRDefault="00E3576C" w:rsidP="00E3576C">
      <w:pPr>
        <w:pStyle w:val="TextoNormal"/>
      </w:pPr>
      <w:r>
        <w:t>d) En fase de conclusiones, la Central Sindical Independiente de Funcionarios de Castilla y León (CSI-F) manifestó que, de estimarse que el Real Decreto-ley 8/2010 era de aplicación al personal objeto de este conflicto colectivo, interesaba que fuera planteada cuestión de inconstitucionalidad en relación a esta norma.</w:t>
      </w:r>
    </w:p>
    <w:p w:rsidR="00E3576C" w:rsidRDefault="00E3576C" w:rsidP="00E3576C">
      <w:pPr>
        <w:pStyle w:val="TextoNormal"/>
      </w:pPr>
    </w:p>
    <w:p w:rsidR="00E3576C" w:rsidRDefault="00E3576C" w:rsidP="00E3576C">
      <w:pPr>
        <w:pStyle w:val="TextoNormal"/>
      </w:pPr>
      <w:r>
        <w:t xml:space="preserve">e) Concluso el procedimiento y dentro del plazo para dictar Sentencia, la Sala, antes de resolver la cuestión principal relativa a la aplicación o no del Real Decreto-ley 8/2010 al personal afectado por el conflicto, dictó providencia el 4 de mayo de 2011 por la que, en virtud de lo establecido en el art. 35.2 de la Ley Orgánica del Tribunal Constitucional (LOTC), acordó oír a las partes y al Ministerio Fiscal en el plazo común e improrrogable de diez días para que alegasen lo que estimaran conveniente sobre la pertinencia de plantear cuestión de inconstitucionalidad o sobre el fondo de la misma, en relación al art. 1 del Real Decreto-ley 8/2010, por el que se adoptan medidas extraordinarias para la reducción del déficit público, mediante el que se modificaron los arts. 22.4 y 25 de la Ley 26/2009, de presupuestos generales del Estado para 2010, y que, a su vez, en el ámbito de Castilla y León fue objeto de adaptación por el Decreto-ley 1/2010, de 3 de junio, en cuya virtud se acordó por la Universidad de Salamanca la reducción salarial de los trabajadores afectados en el conflicto. En esta providencia, la Sala exponía que la aplicación de reducciones salariales, vigentes los convenios colectivos, podría constituir una vulneración tanto del derecho de libertad sindical como del de negociación colectiva, pudiendo suponer la quiebra de la fuerza vinculante de los convenios reconocida en el art. 37.1 CE. Asimismo, en la misma providencia se explicaba que la Sala consideraba que debía seguir este trámite de audiencia con carácter previo a resolver la pretensión principal, por cuanto si finalmente se decidiera que dicha norma está fuera del ordenamiento jurídico por inconstitucional, la misma no sería </w:t>
      </w:r>
      <w:r>
        <w:lastRenderedPageBreak/>
        <w:t>aplicable a los afectados en el conflicto, cualquiera que fuera su naturaleza jurídica; y si, por el contrario, se resolviera el asunto principal en primer lugar, entonces se estaría aquietando necesariamente con la constitucionalidad de la norma aplicada.</w:t>
      </w:r>
    </w:p>
    <w:p w:rsidR="00E3576C" w:rsidRDefault="00E3576C" w:rsidP="00E3576C">
      <w:pPr>
        <w:pStyle w:val="TextoNormal"/>
      </w:pPr>
    </w:p>
    <w:p w:rsidR="00E3576C" w:rsidRDefault="00E3576C" w:rsidP="00E3576C">
      <w:pPr>
        <w:pStyle w:val="TextoNormal"/>
      </w:pPr>
      <w:r>
        <w:t>f) La Central Sindical Independiente y de Funcionarios de Castilla y León, personada como parte interesada en el procedimiento, presentó sus alegaciones mediante escrito registrado el 16 de mayo de 2011, manifestando su criterio favorable al planteamiento de la cuestión de inconstitucionalidad, por considerar que el Decreto-ley 1/2010, de 3 de junio, por el que Castilla y León establece medidas urgentes de adaptación al Real Decreto-ley 8/2010, resulta contrario a los siguientes preceptos constitucionales: el art. 37.1 CE, por vulneración del derecho fundamental a la negociación colectiva; el art. 86.1 CE, por entender que la norma cuestionada afecta a derechos reconocidos en el título I de la Constitución; el art. 33.3 CE, por apreciar que la aplicación del Decreto-ley objeto de consideración conlleva una privación patrimonial sin compensación alguna; y arts. 9.2 y 14 CE, por el diferente alcance que puede desplegar la aplicación del Real Decreto-ley 8/2010 en las distintas Comunidades Autónomas.</w:t>
      </w:r>
    </w:p>
    <w:p w:rsidR="00E3576C" w:rsidRDefault="00E3576C" w:rsidP="00E3576C">
      <w:pPr>
        <w:pStyle w:val="TextoNormal"/>
      </w:pPr>
    </w:p>
    <w:p w:rsidR="00E3576C" w:rsidRDefault="00E3576C" w:rsidP="00E3576C">
      <w:pPr>
        <w:pStyle w:val="TextoNormal"/>
      </w:pPr>
      <w:r>
        <w:t xml:space="preserve">g) La Universidad de Salamanca presentó sus alegaciones mediante escrito registrado el día 19 de mayo de 2011, instando que se resolviera no plantear la cuestión de inconstitucionalidad del art. 1 del Real Decreto-ley 8/2010, al entender que la norma se ajustaba a las exigencias del art. 86 CE, por haber sido dictada concurriendo los requisitos de urgente necesidad y conexión de sentido entre la necesidad y la medida, y también por no considerar afectado el contenido esencial del derecho a la negociación colectiva (art. 37.1 CE), integrado en el de libertad sindical (art. 28.1 CE), remarcando además que la aplicación del principio de jerarquía normativa reconocido en el art. 9.3 CE impide que los acuerdos retributivos alcanzados en convenio colectivo puedan prevalecer sobre las disposiciones contenidas en normas con rango de ley. </w:t>
      </w:r>
    </w:p>
    <w:p w:rsidR="00E3576C" w:rsidRDefault="00E3576C" w:rsidP="00E3576C">
      <w:pPr>
        <w:pStyle w:val="TextoNormal"/>
      </w:pPr>
    </w:p>
    <w:p w:rsidR="00E3576C" w:rsidRDefault="00E3576C" w:rsidP="00E3576C">
      <w:pPr>
        <w:pStyle w:val="TextoNormal"/>
      </w:pPr>
      <w:r>
        <w:t>h) La Federación de Enseñanza de Comisiones Obreras de Castilla y León presentó sus alegaciones mediante escrito registrado el 20 de mayo de 2011, manifestando su criterio contrario a la promoción de la cuestión de inconstitucionalidad, por entender que si la Sala considerase que el colectivo afectado por el conflicto no se encuentra en el ámbito de aplicación del Real Decreto-ley 8/2010, el planteamiento de dicha cuestión sería innecesario, por cuanto podrían resolverse las dos pretensiones suscitadas en el acto del juicio, señalando asimismo que la resolución de ese asunto principal en primer lugar no significaba que la Sala se estuviera aquietando con la constitucionalidad del real decreto-ley.</w:t>
      </w:r>
    </w:p>
    <w:p w:rsidR="00E3576C" w:rsidRDefault="00E3576C" w:rsidP="00E3576C">
      <w:pPr>
        <w:pStyle w:val="TextoNormal"/>
      </w:pPr>
    </w:p>
    <w:p w:rsidR="00E3576C" w:rsidRDefault="00E3576C" w:rsidP="00E3576C">
      <w:pPr>
        <w:pStyle w:val="TextoNormal"/>
      </w:pPr>
      <w:r>
        <w:t>i) Por la Unión General de Trabajadores de Castilla y León, parte personada en el procedimiento, se presentaron alegaciones mediante escrito registrado el día 25 de mayo de 2011, en el que se exponía que el objeto del procedimiento era determinar si el Real Decreto-ley 8/2010 y el Decreto-ley 1/2010 de Castilla y León eran de aplicación al personal afectado por el conflicto y si su aplicación vulneraba otros derechos de estos trabajadores, sin que resultara procedente entrar a valorar la constitucionalidad del citado Real Decreto-ley 8/2010.</w:t>
      </w:r>
    </w:p>
    <w:p w:rsidR="00E3576C" w:rsidRDefault="00E3576C" w:rsidP="00E3576C">
      <w:pPr>
        <w:pStyle w:val="TextoNormal"/>
      </w:pPr>
    </w:p>
    <w:p w:rsidR="00E3576C" w:rsidRDefault="00E3576C" w:rsidP="00E3576C">
      <w:pPr>
        <w:pStyle w:val="TextoNormal"/>
      </w:pPr>
      <w:r>
        <w:t xml:space="preserve">j) Mediante diligencia de constancia de 27 de mayo de 2011 se manifestó que, transcurrido el plazo de alegaciones concedido, no habían presentado escrito alguno ni el Ministerio Fiscal ni el Sindicato de Trabajadores de la Enseñanza de Castilla y León. </w:t>
      </w:r>
    </w:p>
    <w:p w:rsidR="00E3576C" w:rsidRDefault="00E3576C" w:rsidP="00E3576C">
      <w:pPr>
        <w:pStyle w:val="TextoNormal"/>
      </w:pPr>
    </w:p>
    <w:p w:rsidR="00E3576C" w:rsidRDefault="00E3576C" w:rsidP="00E3576C">
      <w:pPr>
        <w:pStyle w:val="TextoNormal"/>
      </w:pPr>
      <w:r>
        <w:t>k) La Sala de lo Social del Tribunal Superior de Justicia de Castilla y León, con sede en Valladolid, dictó el Auto de 8 de junio de 2011, por el que se acuerda elevar cuestión de inconstitucionalidad ante el Tribunal Constitucional para que “resuelva si el artículo 1 del RDL 8/2010, de 20 de mayo, por el que se adoptan medidas extraordinarias para la reducción del déficit público, que modificó los artículos 22.4 y 25 de la Ley 26/2009, de 23 de diciembre, de Presupuestos Generales del Estado para 2010, que causó, a su vez, la modificación del art. 14 de la Ley 11/2009, de 22 de diciembre, de Presupuestos Generales de Castilla y León, ha vulnerado o no el contenido esencial del derecho de libertad sindical, regulado en los artículos 7 y 28.1 CE, en relación con el derecho de negociación colectiva, regulado en el artículo 37.1 CE”, en tanto entiende la Sala que “dichos preceptos son aplicables al caso y el fallo depende de su validez, no siendo posible acomodar por otra vía interpretativa dichos preceptos al ordenamiento constitucional”.</w:t>
      </w:r>
    </w:p>
    <w:p w:rsidR="00E3576C" w:rsidRDefault="00E3576C" w:rsidP="00E3576C">
      <w:pPr>
        <w:pStyle w:val="TextoNormal"/>
      </w:pPr>
    </w:p>
    <w:p w:rsidR="00E3576C" w:rsidRDefault="00E3576C" w:rsidP="00E3576C">
      <w:pPr>
        <w:pStyle w:val="TextoNormal"/>
      </w:pPr>
      <w:r w:rsidRPr="00E3576C">
        <w:rPr>
          <w:rStyle w:val="NumeroAFNegritaCaracter"/>
        </w:rPr>
        <w:t>3</w:t>
      </w:r>
      <w:r>
        <w:t>. En el Auto de 8 de junio de 2011, la Sala de lo Social del Tribunal Superior de Justicia de Castilla y León, con sede en Valladolid, fundamenta el planteamiento de la cuestión de inconstitucionalidad en las consideraciones que seguidamente, y de forma resumida, se indican.</w:t>
      </w:r>
    </w:p>
    <w:p w:rsidR="00E3576C" w:rsidRDefault="00E3576C" w:rsidP="00E3576C">
      <w:pPr>
        <w:pStyle w:val="TextoNormal"/>
      </w:pPr>
    </w:p>
    <w:p w:rsidR="00E3576C" w:rsidRDefault="00E3576C" w:rsidP="00E3576C">
      <w:pPr>
        <w:pStyle w:val="TextoNormal"/>
      </w:pPr>
      <w:r>
        <w:t>a) En primer lugar, la Sala analiza las alegaciones formuladas por la Federación de Enseñanza de Comisiones Obreras de Castilla y León en el trámite de audiencia del art. 35.2 LOTC, poniendo de manifiesto que esta parte se opone al planteamiento de la cuestión de inconstitucionalidad por cuanto considera que la misma resultaría innecesaria en caso de estimarse la demanda y declararse que el Real Decreto-ley 8/2010 no es aplicable al colectivo afectado por el conflicto, en atención a la naturaleza jurídica de su relación laboral. La Sala señala que, en cambio, el escrito de esta Federación sindical no incluye ninguna manifestación para el caso de que se entendiera que el citado Real Decreto-ley sí es aplicable al referido colectivo. Por ello, la Sala entiende que la teoría de esta parte demandante es incorrecta, pues de atenderse su alegación se estaría dividiendo la continencia de la causa, precisando dos procedimientos y dos Sentencias para resolver el conflicto. Así, se indica, si la resolución en Sentencia fuera favorable a la aplicación de la norma al personal afectado por el conflicto, ya no podría plantearse la cuestión de inconstitucionalidad, obligando a un segundo procedimiento para ello. En cambio, señala la Sala, si se resolviera que la norma no es ajustada a Derecho, no podría aplicarse a ningún colectivo, cualquiera que fuera la naturaleza jurídica de su relación laboral, lo que afectaría al resultado del litigio. En virtud de este razonamiento, la Sala decide el planteamiento de la cuestión de inconstitucionalidad sobre el Real Decreto-ley 8/2010, con carácter previo a resolver la cuestión principal planteada en la demanda, consistente en determinar si esta norma resulta o no de aplicación al colectivo afectado por el conflicto.</w:t>
      </w:r>
    </w:p>
    <w:p w:rsidR="00E3576C" w:rsidRDefault="00E3576C" w:rsidP="00E3576C">
      <w:pPr>
        <w:pStyle w:val="TextoNormal"/>
      </w:pPr>
    </w:p>
    <w:p w:rsidR="00E3576C" w:rsidRDefault="00E3576C" w:rsidP="00E3576C">
      <w:pPr>
        <w:pStyle w:val="TextoNormal"/>
      </w:pPr>
      <w:r>
        <w:t xml:space="preserve">b) En segundo lugar, y tras reproducir la nueva redacción dada por el art. 1 del Real Decreto-ley 8/2010 a los arts. 22. Dos.B y 25 de la Ley de presupuestos generales del Estado para 2010, la Sala señala que la reducción de salarios experimentada por el personal afectado por el presente conflicto colectivo es debida a la entrada en vigor de dicho real decreto-ley, que a su vez dio lugar al Decreto-ley autonómico 1/2010, mediante el que se dio nueva redacción a la Ley 11/2009 de Castilla y León, que determinó la reducción de las retribuciones establecidas en los convenios colectivos vigentes. Reitera la Sala que la aplicación </w:t>
      </w:r>
      <w:r>
        <w:lastRenderedPageBreak/>
        <w:t>de reducciones salariales, vigentes los convenios colectivos, podría constituir una vulneración de los derechos de libertad sindical y de negociación colectiva. Por ello, dado que estas reducciones retributivas del personal laboral afectado tienen origen en el Real Decreto-ley 8/2010, la Sala señala la incidencia que una posible inconstitucionalidad de la norma podría tener sobre la resolución del pleito. Recuerda la Sala que, conforme a la normativa, el requisito constitutivo para el planteamiento de la cuestión de inconstitucionalidad es que la norma cuya constitucionalidad se cuestione sea determinante para el resultado del litigio.</w:t>
      </w:r>
    </w:p>
    <w:p w:rsidR="00E3576C" w:rsidRDefault="00E3576C" w:rsidP="00E3576C">
      <w:pPr>
        <w:pStyle w:val="TextoNormal"/>
      </w:pPr>
    </w:p>
    <w:p w:rsidR="00E3576C" w:rsidRDefault="00E3576C" w:rsidP="00E3576C">
      <w:pPr>
        <w:pStyle w:val="TextoNormal"/>
      </w:pPr>
      <w:r>
        <w:t>c) En tercer lugar, la Sala señala que el apartado 1 del art. 86 CE exige dos requisitos constitutivos para que el Gobierno legisle por el procedimiento excepcional de decreto-ley: el primero, en positivo, exigiéndose que concurran circunstancias de extraordinaria y urgente necesidad; y el segundo, en negativo, según el cual, aunque concurran las circunstancias citadas, no se podrá afectar al ordenamiento de las instituciones básicas del Estado, a los derechos, deberes y libertades de los ciudadanos regulados en el título I, al régimen de las Comunidades Autónomas ni al derecho electoral general. Entiende la Sala que este segundo requisito es congruente con el sistema de reserva de ley establecido en los arts. 53.1 y 81 CE.</w:t>
      </w:r>
    </w:p>
    <w:p w:rsidR="00E3576C" w:rsidRDefault="00E3576C" w:rsidP="00E3576C">
      <w:pPr>
        <w:pStyle w:val="TextoNormal"/>
      </w:pPr>
    </w:p>
    <w:p w:rsidR="00E3576C" w:rsidRDefault="00E3576C" w:rsidP="00E3576C">
      <w:pPr>
        <w:pStyle w:val="TextoNormal"/>
      </w:pPr>
      <w:r>
        <w:t>Respecto a la concurrencia de estos requisitos en la norma cuestionada, la Sala admite que en el caso concurre la nota positiva exigida por el art. 86.1 CE, puesto que la intervención del Gobierno estaba causada por una extraordinaria y urgente necesidad, motivada por la crisis económica.</w:t>
      </w:r>
    </w:p>
    <w:p w:rsidR="00E3576C" w:rsidRDefault="00E3576C" w:rsidP="00E3576C">
      <w:pPr>
        <w:pStyle w:val="TextoNormal"/>
      </w:pPr>
    </w:p>
    <w:p w:rsidR="00E3576C" w:rsidRDefault="00E3576C" w:rsidP="00E3576C">
      <w:pPr>
        <w:pStyle w:val="TextoNormal"/>
      </w:pPr>
      <w:r>
        <w:t>A continuación, la Sala razona sobre la presencia de la limitación negativa exigida por el art. 86.1 CE, consistente en que la norma aprobada por decreto-ley en ningún caso podrá afectar el ordenamiento de las instituciones básicas del Estado y los derechos, deberes y libertades de los ciudadanos regulados en el título I de la Constitución. Al respecto, la Sala considera que la eficacia vinculante de los convenios forma parte del contenido esencial del derecho a la negociación colectiva, que a su vez constituye contenido esencial del derecho de libertad sindical, de modo que un convenio colectivo en vigor no puede ser dejado sin efecto mediante un decreto-ley, sino por una ley que, en todo caso, habría de respetar el contenido esencial de ese derecho, conforme a lo dispuesto en el art. 53.1 CE. Con apoyo en jurisprudencia constitucional, la Sala precisa que la negociación colectiva no constituye, por sí misma, un derecho fundamental, pero que cuando se ejerce por los sindicatos se integra inmediatamente en la vertiente funcional del derecho de libertad sindical.</w:t>
      </w:r>
    </w:p>
    <w:p w:rsidR="00E3576C" w:rsidRDefault="00E3576C" w:rsidP="00E3576C">
      <w:pPr>
        <w:pStyle w:val="TextoNormal"/>
      </w:pPr>
    </w:p>
    <w:p w:rsidR="00E3576C" w:rsidRDefault="00E3576C" w:rsidP="00E3576C">
      <w:pPr>
        <w:pStyle w:val="TextoNormal"/>
      </w:pPr>
      <w:r>
        <w:t>En definitiva, estas conclusiones llevan a la Sala a plantear cuestión de inconstitucionalidad ante el Tribunal Constitucional para que decida si el Decreto-ley 1/2010 de Castilla y León y el Real Decreto-ley 8/2010 en que aquél se basa vulneraron el derecho a la libertad sindical y a la negociación colectiva de los sindicatos que son parte en el procedimiento, en la medida en que la aprobación de dichas normas supuso dejar sin efecto las retribuciones consolidadas en el año 2010.</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13 de septiembre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El Fiscal General del Estado evacuó el trámite conferido mediante escrito registrado el 11 de octubre de 2011, en el que considera que la cuestión de inconstitucionalidad es inadmisible por falta de cumplimiento de los requisitos procesales y por ser notoriamente infundada.</w:t>
      </w:r>
    </w:p>
    <w:p w:rsidR="00E3576C" w:rsidRDefault="00E3576C" w:rsidP="00E3576C">
      <w:pPr>
        <w:pStyle w:val="TextoNormal"/>
      </w:pPr>
    </w:p>
    <w:p w:rsidR="00E3576C" w:rsidRDefault="00E3576C" w:rsidP="00E3576C">
      <w:pPr>
        <w:pStyle w:val="TextoNormal"/>
      </w:pPr>
      <w:r>
        <w:t>a) En relación con el primero de los aspectos señalados, de un lado, el Fiscal General cuestiona que se haya superado el juicio de relevancia exigido para el planteamiento de la cuestión de inconstitucionalidad. Destaca el Fiscal General que lo debatido en el procedimiento en que se plantea la presente cuestión de inconstitucionalidad es si el Real Decreto-ley 8/2010 y, en consecuencia, el Decreto-ley 1/2010 de Castilla y León, son o no de aplicación a un determinado colectivo de trabajadores (en concreto, al personal investigador con vínculo laboral con la Universidad de Salamanca), y si, siéndoles de aplicación dicha normativa, la forma en que la misma se ha llevado a cabo por la Universidad demandada se acomoda a las previsiones legales de dichas normas. Por ello, y frente al criterio seguido por el órgano judicial que plantea la cuestión de inconstitucionalidad, el Fiscal General considera que lo primero que la Sala de lo Social debe dilucidar es la aplicación o no de la normativa que se cuestiona al colectivo de trabajadores de que se trata, afirmando al respecto que tal decisión no debe ser adoptada en Sentencia, sino en el momento de decidir el planteamiento de la cuestión de inconstitucionalidad, pues, sólo una vez determinada la aplicación al proceso subyacente de las normas de cuya constitucionalidad se duda, se puede entender superado el denominado juicio de relevancia, dado que si dicho colectivo de trabajadores es ajeno al personal contemplado en dichas normas y afectado por las mismas, su constitucionalidad o no aparece como totalmente irrelevante para la decisión del pleito.</w:t>
      </w:r>
    </w:p>
    <w:p w:rsidR="00E3576C" w:rsidRDefault="00E3576C" w:rsidP="00E3576C">
      <w:pPr>
        <w:pStyle w:val="TextoNormal"/>
      </w:pPr>
    </w:p>
    <w:p w:rsidR="00E3576C" w:rsidRDefault="00E3576C" w:rsidP="00E3576C">
      <w:pPr>
        <w:pStyle w:val="TextoNormal"/>
      </w:pPr>
      <w:r>
        <w:t>De otro lado, el Fiscal General del Estado considera que el órgano proponente no ha cumplido de manera correcta la obligación de audiencia a las partes y al Ministerio Fiscal exigida por el art. 35.2 LOTC. Al respecto, el Fiscal General afirma que la duda del órgano judicial explicitada en el Auto de planteamiento de la cuestión de inconstitucionalidad estriba en determinar si las normas cuestionadas han vulnerado o no el límite material impuesto a la figura del Decreto-ley por el art. 86.1 CE, precepto este que, sin embargo, ni aparecía citado en la providencia que abrió el trámite de audiencia ni de los términos de la misma se desprendía su planteamiento por el órgano judicial, lo que determina que la duda de constitucionalidad de la Sala no se identificó en términos correctos o adecuados, por lo que tal trámite de audiencia se realizó de forma defectuosa.</w:t>
      </w:r>
    </w:p>
    <w:p w:rsidR="00E3576C" w:rsidRDefault="00E3576C" w:rsidP="00E3576C">
      <w:pPr>
        <w:pStyle w:val="TextoNormal"/>
      </w:pPr>
    </w:p>
    <w:p w:rsidR="00E3576C" w:rsidRDefault="00E3576C" w:rsidP="00E3576C">
      <w:pPr>
        <w:pStyle w:val="TextoNormal"/>
      </w:pPr>
      <w:r>
        <w:t>b) Por lo que se refiere al segundo aspecto comentado, el Fiscal General, con apoyo en pronunciamientos constitucionales, señala que la cuestión planteada resulta notoriamente infundada puesto que del art. 37.1 CE no emana ni deriva la supuesta intangibilidad o inalterabilidad del convenio colectivo frente a la norma legal, incluso aunque se trate de una norma sobrevenida, dado que en virtud del principio de jerarquía normativa, es el convenio colectivo el que debe respetar y someterse no sólo a la ley formal, sino, más genéricamente, a las normas de mayor rango jerárquico y no al contrario. Por ello, indica, los preceptos legales cuestionados no suponen una “afectación” del derecho a la negociación colectiva, por cuanto ni regulan el régimen general de dicho derecho, ni la intangibilidad del convenio colectivo se configura como uno de sus elementos esenciales, por lo que no se ha franqueado el límite material que el art. 86.1 CE impone al decreto-ley, consistente en no afectar a los derechos, deberes y libertades del título I de la Constitución.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La Sala de lo Social del Tribunal Superior de Justicia de Castilla y León, con sede en Valladolid, plantea cuestión de inconstitucionalidad en relación al art. 1 del Real Decreto-ley 8/2010, de 20 de mayo, por el que se adoptan medidas extraordinarias para la reducción del déficit público, que modificó los arts. 22.4 y 25 de la Ley 26/2009, de 23 de diciembre, de presupuestos generales del Estado para 2010, que causó, a su vez, la modificación del art. 14 de la Ley 11/2009, de 22 de diciembre, de presupuestos generales de Castilla y León.</w:t>
      </w:r>
    </w:p>
    <w:p w:rsidR="00E3576C" w:rsidRDefault="00E3576C" w:rsidP="00E3576C">
      <w:pPr>
        <w:pStyle w:val="TextoNormal"/>
      </w:pPr>
    </w:p>
    <w:p w:rsidR="00E3576C" w:rsidRDefault="00E3576C" w:rsidP="00E3576C">
      <w:pPr>
        <w:pStyle w:val="TextoNormal"/>
      </w:pPr>
      <w:r>
        <w:t>Pese a que el Auto de planteamiento de la cuestión reproduce en su integridad el art. 22.Dos.B y 25 de la Ley de presupuestos generales del Estado para 2010 en la redacción dada por el art. 1 del Real Decreto-ley 8/2010, de su contenido y fundamentación resulta que la duda de constitucionalidad del órgano promotor se centra en la previsión contenida en los arts. 22. Dos.B.4 y 25.Dos.B de dicha Ley, en cuanto disponen, respectivamente, una minoración de la masa salarial del personal laboral del sector público, en general, y del sector público estatal, en particular, con efectos de 1 de junio de 2010, del 5 por 100 de las cuantías de cada uno de los conceptos retributivos que integran la nómina y que les corresponda percibir según los convenios colectivos que resulten de aplicación. Tal duda de constitucionalidad surge por la incidencia de estos preceptos sobre el Decreto-ley 1/2010 de Castilla y León, por el que se establecen medidas urgentes de adaptación del Real Decreto-ley 8/2010 y por el que se dio nueva redacción al art. 14 de la Ley 11/2009, de 22 de diciembre, de presupuestos generales de Castilla y León, en el que asimismo se prevé una reducción del 5 por 100 de las retribuciones del sector público autonómico con efectos de 1 de junio de 2010, previsión que determinó la reducción de salarios del personal afectado por el conflicto colectivo objeto del proceso que ha dado origen a esta cuestión de inconstitucionalidad.</w:t>
      </w:r>
    </w:p>
    <w:p w:rsidR="00E3576C" w:rsidRDefault="00E3576C" w:rsidP="00E3576C">
      <w:pPr>
        <w:pStyle w:val="TextoNormal"/>
      </w:pPr>
    </w:p>
    <w:p w:rsidR="00E3576C" w:rsidRDefault="00E3576C" w:rsidP="00E3576C">
      <w:pPr>
        <w:pStyle w:val="TextoNormal"/>
      </w:pPr>
      <w:r>
        <w:t>El órgano judicial que promueve la cuestión considera, en síntesis, que los preceptos cuestionados pueden vulnerar el art. 86.1 CE, por transgredir el límite material que para esta fuente dispone el citado precepto constitucional de no afectar a los derechos, deberes y libertades de los ciudadanos regulados en el título I CE. En tal sentido, el órgano judicial expone que la eficacia vinculante de los convenios forma parte del contenido esencial del derecho a la negociación colectiva, que a su vez constituye contenido esencial del derecho de libertad sindical, por lo que un convenio colectivo en vigor no puede ser dejado sin efecto mediante un decreto-ley.</w:t>
      </w:r>
    </w:p>
    <w:p w:rsidR="00E3576C" w:rsidRDefault="00E3576C" w:rsidP="00E3576C">
      <w:pPr>
        <w:pStyle w:val="TextoNormal"/>
      </w:pPr>
    </w:p>
    <w:p w:rsidR="00E3576C" w:rsidRDefault="00E3576C" w:rsidP="00E3576C">
      <w:pPr>
        <w:pStyle w:val="TextoNormal"/>
      </w:pPr>
      <w:r>
        <w:t>El Fiscal General del Estado, por las razones de las que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2</w:t>
      </w:r>
      <w:r>
        <w:t>.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E3576C" w:rsidRDefault="00E3576C" w:rsidP="00E3576C">
      <w:pPr>
        <w:pStyle w:val="TextoNormal"/>
      </w:pPr>
    </w:p>
    <w:p w:rsidR="00E3576C" w:rsidRDefault="00E3576C" w:rsidP="00E3576C">
      <w:pPr>
        <w:pStyle w:val="TextoNormal"/>
      </w:pPr>
      <w:r>
        <w:t>Entre las condiciones procesales que han de cumplir las cuestiones de inconstitucionalidad para que sea posible su admisión se encuentra el trámite de audiencia a las partes y al Ministerio Fiscal en el proceso a quo sobre la pertinencia de plantear la cuestión, previsto en el art. 35.2 LOTC. En relación con este requisito procesal, el Fiscal General del Estado aduce que este trámite se ha llevado a cabo de manera defectuosa, dado que la duda sobre la constitucionalidad de las normas cuestionadas, explicitada en el Auto de planteamiento de la cuestión, estriba en la posible vulneración del art. 86.1 CE, precepto que, sin embargo, no aparecía mencionado en la providencia por la que se acordó la apertura de dicho trámite ni de los términos de la misma se desprendía su planteamiento, lo que habría de determinar la inadmisión de la cuestión en relación con aquellas normas.</w:t>
      </w:r>
    </w:p>
    <w:p w:rsidR="00E3576C" w:rsidRDefault="00E3576C" w:rsidP="00E3576C">
      <w:pPr>
        <w:pStyle w:val="TextoNormal"/>
      </w:pPr>
    </w:p>
    <w:p w:rsidR="00E3576C" w:rsidRDefault="00E3576C" w:rsidP="00E3576C">
      <w:pPr>
        <w:pStyle w:val="TextoNormal"/>
      </w:pPr>
      <w:r>
        <w:t>Conforme ha recordado el ATC 85/2011, de 7 de junio, en su fundamento jurídico 2, “de acuerdo con una reiterada doctrina constitucional, con el trámite de audiencia del art. 35.2 LOTC no sólo se asegura la intervención de las partes en el proceso a quo y del Ministerio Fiscal con carácter previo a la posible adopción de una decisión judicial de tanta entidad como es la apertura de un proceso constitucional, sino que, además, se pone a disposición del órgano judicial un medio que le permita conocer, con rigor, la opinión de los sujetos interesados con el fin de facilitar su reflexión sobre la conveniencia o no de proceder a la apertura de dicho proceso. A estos efectos, se ha puesto de manifiesto que la importancia de la audiencia del art. 35.2 LOTC no puede minimizarse reduciéndola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consideren vulneradas. Resulta, sin embargo, que respecto a este último extremo —identificación de los preceptos constitucionales de contraste— hemos introducido ciertos márgenes de flexibilidad, al declarar que no es exigible a la providencia que inicia el trámite de audiencia una mención específica de los preceptos constitucionales que se estimen que puedan resultar vulnerados, siempre que esa indeterminación sea sólo relativa, en el sentido de que, a falta de una cita de los preceptos constitucionales supuestamente vulnerados, la providencia que cumpla con el trámite del art. 35.2 LOTC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 dicho trámite. Este recordatorio de la jurisprudencia constitucional sobre el trámite del art. 35.2 LOTC no puede concluir sin insistir una vez más que no cabe que el Auto de planteamiento de la cuestión de inconstitucionalidad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del art. 35.2 LOTC (SSTC 166/2007, de 4 de julio, FJ 6; 202/2009, de 27 de octubre, FJ 5; 60/2010, de 7 de octubre, FJ 2; 121/2010, de 29 de noviembre, FJ 4; AATC 30/2010, de 25 de febrero, FJ 1; 47/2010, de 14 de abril, FJ 2, por todas).”</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En este caso, como revela el examen de las actuaciones, la Sala de lo Social del Tribunal Superior de Justicia de Castilla y León, con sede en Valladolid, por providencia de 4 de mayo de 2011, acordó la apertura del trámite de audiencia a las partes y al Ministerio Fiscal en el proceso a quo para que alegasen sobre la pertinencia de plantear la cuestión de inconstitucionalidad que finalmente ha sido elevada a este Tribunal.</w:t>
      </w:r>
    </w:p>
    <w:p w:rsidR="00E3576C" w:rsidRDefault="00E3576C" w:rsidP="00E3576C">
      <w:pPr>
        <w:pStyle w:val="TextoNormal"/>
      </w:pPr>
    </w:p>
    <w:p w:rsidR="00E3576C" w:rsidRDefault="00E3576C" w:rsidP="00E3576C">
      <w:pPr>
        <w:pStyle w:val="TextoNormal"/>
      </w:pPr>
      <w:r>
        <w:t>Conforme al tenor literal de dicha providencia, el órgano judicial planteó en el referido trámite que, estando vigentes los convenios colectivos, la aplicación de las reducciones salariales previstas en el art. 1 del Real Decreto-ley 8/2010, de 20 mayo, que modificó los arts. 22.4 y 25 de la Ley 26/2009, de presupuestos generales del Estado para 2010 y que a su vez originó la aprobación del Decreto-ley 1/2010 de Castilla y León, “podría constituir una vulneración tanto del derecho de libertad sindical como del de negociación colectiva y podría suponer la quiebra de la eficacia vinculante del mismo, reconocida en el art. 37.1 CE”.</w:t>
      </w:r>
    </w:p>
    <w:p w:rsidR="00E3576C" w:rsidRDefault="00E3576C" w:rsidP="00E3576C">
      <w:pPr>
        <w:pStyle w:val="TextoNormal"/>
      </w:pPr>
    </w:p>
    <w:p w:rsidR="00E3576C" w:rsidRDefault="00E3576C" w:rsidP="00E3576C">
      <w:pPr>
        <w:pStyle w:val="TextoNormal"/>
      </w:pPr>
      <w:r>
        <w:t>Sucede, sin embargo, que, según se desprende de la fundamentación del Auto de planteamiento de la cuestión de inconstitucionalidad, la duda de constitucionalidad del órgano promotor estriba en determinar si los preceptos cuestionados, en la redacción derivada del art. 1 del Real Decreto-ley 8/2010, de 20 de mayo, han vulnerado o no el art. 86.1 CE, en relación a la posible transgresión del límite material que este precepto impone a la figura del decreto-ley, consistente en no poder afectar a los derechos, deberes y libertades de los ciudadanos regulados en el título I CE.</w:t>
      </w:r>
    </w:p>
    <w:p w:rsidR="00E3576C" w:rsidRDefault="00E3576C" w:rsidP="00E3576C">
      <w:pPr>
        <w:pStyle w:val="TextoNormal"/>
      </w:pPr>
    </w:p>
    <w:p w:rsidR="00E3576C" w:rsidRDefault="00E3576C" w:rsidP="00E3576C">
      <w:pPr>
        <w:pStyle w:val="TextoNormal"/>
      </w:pPr>
      <w:r>
        <w:t>Los términos en los que se ha desarrollado el trámite de audiencia del art. 35.2 LOTC y los términos en los que el órgano judicial plantea la duda de constitucionalidad en el Auto de promoción de la cuestión ponen de manifiesto, no ya el hecho evidente de que en la providencia por la que se procedió a la apertura de aquel trámite no se citó ni se invocó el art. 86.1 CE, sino, lo que resulta más trascendente a los efectos que ahora importa, que la duda de constitucionalidad del órgano judicial no se identificó, de acuerdo con la doctrina recogida en el anterior fundamento jurídico, en términos constitucionalmente correctos o adecuados, puesto que no se planteó ni explícita ni implícitamente la posible transgresión por los preceptos legales cuestionados del límite material que para el decreto-ley establece el art. 86.1 CE en materia de derechos, deberes y libertades del título I CE, que es precisamente la duda de constitucionalidad que el órgano judicial suscita ante este Tribunal. Aunque la supuesta vulneración de este límite tiene su origen, en opinión del órgano judicial, en la afectación por los preceptos cuestionados, modificados por decreto-ley, del derecho a la negociación colectiva (art. 37.1 CE), en relación con el derecho a la libertad sindical (art. 28.1 CE), lo cierto es que no puede identificarse, sin más, la supuesta vulneración de estos derechos por los preceptos cuestionados con la transgresión del referido límite material a la figura del decreto-ley.</w:t>
      </w:r>
    </w:p>
    <w:p w:rsidR="00E3576C" w:rsidRDefault="00E3576C" w:rsidP="00E3576C">
      <w:pPr>
        <w:pStyle w:val="TextoNormal"/>
      </w:pPr>
    </w:p>
    <w:p w:rsidR="00E3576C" w:rsidRDefault="00E3576C" w:rsidP="00E3576C">
      <w:pPr>
        <w:pStyle w:val="TextoNormal"/>
      </w:pPr>
      <w:r>
        <w:t>La forma defectuosa en la que el órgano judicial ha realizado en este caso el trámite de audiencia a las partes y al Ministerio Fiscal en el proceso a quo ha impedido, como ponen de manifiesto las actuaciones, que todos los personados en el proceso a quo hayan situado en sus exactos términos la duda de constitucionalidad del órgano judicial y que hayan podido pronunciarse sobre la misma, no habiéndose satisfecho, en consecuencia, con total garantía la finalidad del trámite (STC 202/2009, de 27 de octubre, FJ 5).</w:t>
      </w:r>
    </w:p>
    <w:p w:rsidR="00E3576C" w:rsidRDefault="00E3576C" w:rsidP="00E3576C">
      <w:pPr>
        <w:pStyle w:val="TextoNormal"/>
      </w:pPr>
    </w:p>
    <w:p w:rsidR="00E3576C" w:rsidRDefault="00E3576C" w:rsidP="00E3576C">
      <w:pPr>
        <w:pStyle w:val="TextoNormal"/>
      </w:pPr>
      <w:r>
        <w:lastRenderedPageBreak/>
        <w:t>No obstante, tampoco podemos obviar que la redacción de la providencia por la que se ha procedido a la apertura del trámite de audiencia, a pesar de incurrir en el defecto apuntado, no ha sido obstáculo para que alguna de las partes personadas haya podido identificar en términos adecuados la duda de constitucionalidad que el órgano judicial ha elevado a este Tribunal.</w:t>
      </w:r>
    </w:p>
    <w:p w:rsidR="00E3576C" w:rsidRDefault="00E3576C" w:rsidP="00E3576C">
      <w:pPr>
        <w:pStyle w:val="TextoNormal"/>
      </w:pPr>
    </w:p>
    <w:p w:rsidR="00E3576C" w:rsidRDefault="00E3576C" w:rsidP="00E3576C">
      <w:pPr>
        <w:pStyle w:val="TextoNormal"/>
      </w:pPr>
      <w:r>
        <w:t>Esta circunstancia, sin perjuicio de insistir una vez más en la importancia de que se lleve a cabo dicho trámite en sus adecuados términos para que se satisfaga con total garantía la finalidad que con él se persigue, ha de conducirnos a desestimar este óbice procesal opuesto por el Fiscal General del Estado a la admisión de la presente cuestión, tal y como ya concluimos en el citado ATC 85/2011, FJ 3.</w:t>
      </w:r>
    </w:p>
    <w:p w:rsidR="00E3576C" w:rsidRDefault="00E3576C" w:rsidP="00E3576C">
      <w:pPr>
        <w:pStyle w:val="TextoNormal"/>
      </w:pPr>
    </w:p>
    <w:p w:rsidR="00E3576C" w:rsidRDefault="00E3576C" w:rsidP="00E3576C">
      <w:pPr>
        <w:pStyle w:val="TextoNormal"/>
      </w:pPr>
      <w:r w:rsidRPr="00E3576C">
        <w:rPr>
          <w:rStyle w:val="NumeroAFNegritaCaracter"/>
        </w:rPr>
        <w:t>4</w:t>
      </w:r>
      <w:r>
        <w:t>. En orden todavía al cumplimiento de los requisitos procesales, mayor relevancia adquiere el examen del cumplimiento de los juicios de aplicabilidad y relevancia en la cuestión de inconstitucionalidad presentada.</w:t>
      </w:r>
    </w:p>
    <w:p w:rsidR="00E3576C" w:rsidRDefault="00E3576C" w:rsidP="00E3576C">
      <w:pPr>
        <w:pStyle w:val="TextoNormal"/>
      </w:pPr>
    </w:p>
    <w:p w:rsidR="00E3576C" w:rsidRDefault="00E3576C" w:rsidP="00E3576C">
      <w:pPr>
        <w:pStyle w:val="TextoNormal"/>
      </w:pPr>
      <w:r>
        <w:t>Como ya hemos señalado en pronunciamientos previos (por todas, STC 115/2009, de 18 de mayo, FJ 2), el art. 35.1 LOTC exige que la norma con rango de ley de la que tenga dudas un Juez o Tribunal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concreto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 (SSTC 17/1981, de 1 de junio, FJ 1; y 141/2008, de 30 de octubre, FJ 6; AATC 42/1998, de 18 de febrero, FJ 1; 21/2001, de 30 de enero, FJ 1; 25/2003, de 28 de enero, FJ 3; 206/2005, de 10 de mayo, FJ 2; y 360/2006, de 10 de octubre, FJ 2).</w:t>
      </w:r>
    </w:p>
    <w:p w:rsidR="00E3576C" w:rsidRDefault="00E3576C" w:rsidP="00E3576C">
      <w:pPr>
        <w:pStyle w:val="TextoNormal"/>
      </w:pPr>
    </w:p>
    <w:p w:rsidR="00E3576C" w:rsidRDefault="00E3576C" w:rsidP="00E3576C">
      <w:pPr>
        <w:pStyle w:val="TextoNormal"/>
      </w:pPr>
      <w:r>
        <w:t>Sobre este particular, es a los Jueces y Tribunales ordinarios que plantean las cuestiones de inconstitucionalidad a quienes corresponde, prima facie,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(entre otras, SSTC 100/2006, de 30 de marzo, FJ 2; 141/2008, de 30 de octubre, FJ 4; y 81/2009, de 23 de marzo, FJ 3).</w:t>
      </w:r>
    </w:p>
    <w:p w:rsidR="00E3576C" w:rsidRDefault="00E3576C" w:rsidP="00E3576C">
      <w:pPr>
        <w:pStyle w:val="TextoNormal"/>
      </w:pPr>
    </w:p>
    <w:p w:rsidR="00E3576C" w:rsidRDefault="00E3576C" w:rsidP="00E3576C">
      <w:pPr>
        <w:pStyle w:val="TextoNormal"/>
      </w:pPr>
      <w:r>
        <w:t xml:space="preserve">Por tanto, aunque es a los órganos judiciales a quienes corresponde formular el pertinente juicio de aplicabilidad a los hechos enjuiciados, sobre el que este Tribunal únicamente ejerce un “control meramente externo” (SSTC 51/2004, de 13 de abril, FJ 1; y 141/2008, de 30 de </w:t>
      </w:r>
      <w:r>
        <w:lastRenderedPageBreak/>
        <w:t>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de 30 de octubre, FJ 4),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00E3576C" w:rsidRDefault="00E3576C" w:rsidP="00E3576C">
      <w:pPr>
        <w:pStyle w:val="TextoNormal"/>
      </w:pPr>
    </w:p>
    <w:p w:rsidR="00E3576C" w:rsidRDefault="00E3576C" w:rsidP="00E3576C">
      <w:pPr>
        <w:pStyle w:val="TextoNormal"/>
      </w:pPr>
      <w:r w:rsidRPr="00E3576C">
        <w:rPr>
          <w:rStyle w:val="NumeroAFNegritaCaracter"/>
        </w:rPr>
        <w:t>5</w:t>
      </w:r>
      <w:r>
        <w:t>. La presente cuestión de inconstitucionalidad tiene origen en un proceso cuyo objeto, en primer término, es el de determinar si las reducciones salariales previstas en el Decreto-ley 1/2010 de Castilla y León, en aplicación del Real Decreto-ley 8/2010, son aplicables al colectivo afectado por el conflicto planteado, esto es, al personal investigador con contrato en formación, al personal investigador y al personal de administración y servicios de diferentes categorías vinculados a proyectos de investigación, todos ellos con vínculo laboral con la Universidad de Salamanca en virtud de contratos temporales o formativos. En caso afirmativo, se solicita también en el proceso que el órgano judicial se pronuncie respecto a si la decisión de la Universidad demandada de detraer en la nómina de diciembre de 2010 de forma acumulativa y retroactiva el 5 por 100 infringe dicho Real Decreto-ley.</w:t>
      </w:r>
    </w:p>
    <w:p w:rsidR="00E3576C" w:rsidRDefault="00E3576C" w:rsidP="00E3576C">
      <w:pPr>
        <w:pStyle w:val="TextoNormal"/>
      </w:pPr>
    </w:p>
    <w:p w:rsidR="00E3576C" w:rsidRDefault="00E3576C" w:rsidP="00E3576C">
      <w:pPr>
        <w:pStyle w:val="TextoNormal"/>
      </w:pPr>
      <w:r>
        <w:t>Planteado el conflicto en estos términos, se hace necesario entrar a considerar la objeción puesta de manifiesto por el Fiscal General del Estado respecto a la falta de superación del juicio de relevancia por parte del Auto de planteamiento de la cuestión de inconstitucionalidad, que, en este caso, se encuentra necesariamente ligada a la propia aplicabilidad de las normas cuestionadas en el proceso de origen. Como se ha dicho, la primera pretensión a resolver por el órgano judicial es la de determinar si las previsiones sobre reducción salarial con origen en el Real Decreto-ley 8/2010 son aplicables o no al personal afectado por el conflicto colectivo. Por tanto, es evidente que, en caso de declararse que este Real Decreto-ley y las normas autonómicas de adaptación no son de aplicación a este personal, no se cumpliría el requisito exigido por el art. 35.1 LOTC de que el fallo del proceso dependa de la validez de la norma cuestionada.</w:t>
      </w:r>
    </w:p>
    <w:p w:rsidR="00E3576C" w:rsidRDefault="00E3576C" w:rsidP="00E3576C">
      <w:pPr>
        <w:pStyle w:val="TextoNormal"/>
      </w:pPr>
    </w:p>
    <w:p w:rsidR="00E3576C" w:rsidRDefault="00E3576C" w:rsidP="00E3576C">
      <w:pPr>
        <w:pStyle w:val="TextoNormal"/>
      </w:pPr>
      <w:r>
        <w:t>En el Auto de planteamiento de la cuestión de inconstitucionalidad, el órgano judicial declara expresamente su decisión de promover la cuestión antes de resolver sobre la aplicación o no del Real Decreto-ley 8/2010 al colectivo afectado, pues, según su criterio, si la Sala resolviera esta pretensión principal en Sentencia, ya no podría plantear la cuestión de inconstitucionalidad, y en cambio, si se declarara que la norma no resulta ajustada a Derecho por inconstitucional, no podría aplicarse a ningún colectivo, lo que afectaría al resultado del litigio.</w:t>
      </w:r>
    </w:p>
    <w:p w:rsidR="00E3576C" w:rsidRDefault="00E3576C" w:rsidP="00E3576C">
      <w:pPr>
        <w:pStyle w:val="TextoNormal"/>
      </w:pPr>
    </w:p>
    <w:p w:rsidR="00E3576C" w:rsidRDefault="00E3576C" w:rsidP="00E3576C">
      <w:pPr>
        <w:pStyle w:val="TextoNormal"/>
      </w:pPr>
      <w:r>
        <w:t xml:space="preserve">En relación a este razonamiento debemos señalar que, aun cuando no puede pretenderse que las cuestiones previas de legalidad ordinaria sean resueltas en el Auto de planteamiento de la cuestión de inconstitucionalidad por el órgano judicial, sí le es, en cambio, exigible el deber impuesto por el art. 35.2 LOTC de “especificar o justificar en qué medida la decisión del proceso depende de la validez de la norma en cuestión”. Al respecto, ya hemos señalado que “de acuerdo con la doctrina de este Tribunal, cuando el órgano judicial decide plantear la cuestión de inconstitucionalidad ‘en el momento que, con efectos preclusivos, establece </w:t>
      </w:r>
      <w:r>
        <w:lastRenderedPageBreak/>
        <w:t>el art. 35.2 de la LOTC, lo que está emitiendo es un juicio provisional que, debiendo estar fundado, sin embargo, no siempre es absolutamente definitivo acerca de la aplicabilidad de la norma legal cuestionada en el procedimiento del que dimana la cuestión de inconstitucionalidad’ [STC 150/1992, de 19 de octubre, FJ 1, en el mismo sentido, entre otras, STC 106/1990, de 6 de junio, FJ 3 b), y ATC 14/1993, de 19 de enero]” (STC 50/2011, de 14 de abril, FJ 3). Pero también hemos afirmado que “esta debida exteriorización del juicio de relevancia (STC 14/1981, de 29 de abril, fundamento jurídico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 (ATC 47/2004, de 10 de febrero, FJ 3; y asimismo, STC 130/1999, de 1 de julio, FJ 2; AATC 493/1986, de 5 de junio, FFJJ 2 y 3; 381/2005, de 25 de octubre, FJ 2).</w:t>
      </w:r>
    </w:p>
    <w:p w:rsidR="00E3576C" w:rsidRDefault="00E3576C" w:rsidP="00E3576C">
      <w:pPr>
        <w:pStyle w:val="TextoNormal"/>
      </w:pPr>
    </w:p>
    <w:p w:rsidR="00E3576C" w:rsidRDefault="00E3576C" w:rsidP="00E3576C">
      <w:pPr>
        <w:pStyle w:val="TextoNormal"/>
      </w:pPr>
      <w:r>
        <w:t>Por todo ello, en el supuesto ahora enjuiciado se hacía necesario que en el Auto de planteamiento de la cuestión de inconstitucionalidad se hubiera incluido un pronunciamiento del órgano judicial que, aunque provisional, resultara fundado, en orden a garantizar que, una vez valorados otros parámetros legales —en este caso, el relativo a la aplicabilidad de los preceptos al colectivo afectado—, la resolución del proceso dependía realmente de la constitucionalidad de las normas cuestionadas. Esta exigencia, sin embargo, no se ha cumplido por el Tribunal que promueve la cuestión. Por el contrario, en su Auto de planteamiento, el órgano judicial parte del razonamiento opuesto y de forma expresa considera que procede elevar dicha cuestión de inconstitucionalidad antes de resolver la pretensión principal contenida en la demanda, referida a la aplicación o no del Real Decreto-ley 8/2010 al colectivo afectado por el conflicto.</w:t>
      </w:r>
    </w:p>
    <w:p w:rsidR="00E3576C" w:rsidRDefault="00E3576C" w:rsidP="00E3576C">
      <w:pPr>
        <w:pStyle w:val="TextoNormal"/>
      </w:pPr>
    </w:p>
    <w:p w:rsidR="00E3576C" w:rsidRDefault="00E3576C" w:rsidP="00E3576C">
      <w:pPr>
        <w:pStyle w:val="TextoNormal"/>
      </w:pPr>
      <w:r>
        <w:t>En definitiva, la falta de razonamiento del órgano judicial sobre la aplicación de las normas cuestionadas al colectivo objeto del conflicto implica un deficiente cumplimiento de los juicios de aplicabilidad y de relevancia exigidos en el art. 35 LOTC, pues sólo en caso de considerarse aplicables, su constitucionalidad o no resultaría relevante para la decisión del pleito. Como ya se ha expuesto en el fundamento jurídico anterior, es doctrina reiterada de este Tribunal que la cuestión de inconstitucionalidad “no puede resultar desvirtuada por un uso no acomodado a su naturaleza y finalidad propias, lo que sucedería si se permitiera que se utilizase para obtener pronunciamientos innecesarios o indiferentes para la decisión del proceso en que la cuestión se suscita” (por todas, STC 41/2010, de 22 de julio, FJ 2). Por ello, el incumplimiento del indicado requisito debe determinar la inadmisión de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6</w:t>
      </w:r>
      <w:r>
        <w:t xml:space="preserve">. Al margen de lo anterior, la cuestión de inconstitucionalidad también resulta notoriamente infundada (art. 37.1 LOTC), en cuanto a la alegación del órgano judicial respecto a la posible transgresión por parte del Real Decreto-ley 8/2010 del límite material establecido en el art. 86.1 CE, que prohíbe “afectar … a los derechos, deberes y libertades de los ciudadanos regulados en el Título I” de la Constitución. Como ya hemos señalado en otros pronunciamientos en que se cuestionaba la constitucionalidad de esta misma norma, “del art. </w:t>
      </w:r>
      <w:r>
        <w:lastRenderedPageBreak/>
        <w:t>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por ello, en relación al Real Decreto-ley 8/2010, hemos concluido que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 seguido, entre otros, por los AATC 101/2011, de 5 de julio, FJ 1; 104/2011, de 5 de julio, FJ 3; 105/2011, de 5 de julio, FJ 1; 115/2011, de 19 de julio, FJ 3).</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la presente cuestión de inconstitucionalidad.</w:t>
      </w:r>
    </w:p>
    <w:p w:rsidR="00E3576C" w:rsidRDefault="00E3576C" w:rsidP="00E3576C">
      <w:pPr>
        <w:pStyle w:val="TextoNormal"/>
      </w:pPr>
    </w:p>
    <w:p w:rsidR="00E3576C" w:rsidRDefault="00E3576C" w:rsidP="00E3576C">
      <w:pPr>
        <w:pStyle w:val="TextoNormal"/>
      </w:pPr>
      <w:r>
        <w:t>Madrid, a veintiocho de febrero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1" w:name="AUTO_2012_40"/>
      <w:r>
        <w:lastRenderedPageBreak/>
        <w:t>AUTO 40/2012, de 7 de marzo de 2012</w:t>
      </w:r>
    </w:p>
    <w:bookmarkEnd w:id="181"/>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ECLI:ES:TC:2012:40A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2291-2011,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82" w:name="AUTO_2012_41"/>
      <w:r>
        <w:lastRenderedPageBreak/>
        <w:t>AUTO 41/2012, de 7 de marzo de 2012</w:t>
      </w:r>
    </w:p>
    <w:bookmarkEnd w:id="182"/>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ECLI:ES:TC:2012:41A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4357-2011, promovido en litigio civil.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83" w:name="AUTO_2012_42"/>
      <w:r>
        <w:lastRenderedPageBreak/>
        <w:t>AUTO 42/2012, de 7 de marzo de 2012</w:t>
      </w:r>
    </w:p>
    <w:bookmarkEnd w:id="183"/>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ECLI:ES:TC:2012:42A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4606-2011, promovido por doña Ana Perea Vega.</w:t>
      </w:r>
    </w:p>
    <w:p w:rsidR="00E3576C" w:rsidRDefault="00E3576C" w:rsidP="00E3576C">
      <w:pPr>
        <w:pStyle w:val="SntesisDescriptiva"/>
      </w:pPr>
    </w:p>
    <w:p w:rsidR="00E3576C" w:rsidRDefault="00E3576C" w:rsidP="00E3576C">
      <w:pPr>
        <w:pStyle w:val="SntesisAnaltica"/>
      </w:pPr>
      <w:r>
        <w:t>Inadmisión de recurso de amparo: justificación insuficiente de la especial trascendencia constitucional. Recurso de súplica: desestimación de recurso de súplica.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que tuvo entrada en el Registro General de este Tribunal el 17 de enero de 2012 el Ministerio Fiscal interpuso recurso de súplica contra la providencia de la Sección Primera, de fecha 7 de diciembre de 2011, que acordó inadmitir el recurso de amparo núm. 4606-2011, interpuesto por doña Ana Perea Vega contra las resoluciones que a continuación se identificarán.</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relevantes para el presente recurso de súplica son, sucintamente expuestos, los siguientes:</w:t>
      </w:r>
    </w:p>
    <w:p w:rsidR="00E3576C" w:rsidRDefault="00E3576C" w:rsidP="00E3576C">
      <w:pPr>
        <w:pStyle w:val="TextoNormal"/>
      </w:pPr>
    </w:p>
    <w:p w:rsidR="00E3576C" w:rsidRDefault="00E3576C" w:rsidP="00E3576C">
      <w:pPr>
        <w:pStyle w:val="TextoNormal"/>
      </w:pPr>
      <w:r>
        <w:t>a) Por escrito registrado en este Tribunal el 3 de agosto de 2011 doña Ana Perea Vega, representada por don Alfonso Lama Ortega, solicitó el nombramiento de Letrado y Procurador de turno de oficio a fin de interponer recurso de amparo contra la Sentencia de fecha 25 de mayo de 2011, dictada por la Sección Primera de la Sala de lo Contencioso-Administrativo del Tribunal Superior de Justicia de Andalucía, con sede en Sevilla, rectificada por Auto de fecha 17 de junio de 2011, que declaró haber lugar parcialmente, en el particular de la indemnización procedente, al recurso de apelación interpuesto contra la Sentencia dictada por el Juzgado de lo Contencioso-Administrativo núm.12 de los de Sevilla el 17 de septiembre de 2010, que había desestimado el recurso interpuesto por la demandante de amparo contra la resolución del Servicio Andaluz de Salud de fecha 19 de noviembre de 2008, recaída en el expediente núm. 8022.</w:t>
      </w:r>
    </w:p>
    <w:p w:rsidR="00E3576C" w:rsidRDefault="00E3576C" w:rsidP="00E3576C">
      <w:pPr>
        <w:pStyle w:val="TextoNormal"/>
      </w:pPr>
    </w:p>
    <w:p w:rsidR="00E3576C" w:rsidRDefault="00E3576C" w:rsidP="00E3576C">
      <w:pPr>
        <w:pStyle w:val="TextoNormal"/>
      </w:pPr>
      <w:r>
        <w:t>b) Una vez efectuados los correspondientes nombramientos del turno de asistencia jurídica gratuita, el Procurador de los Tribunales don Ramón María Querol Aragón formuló demanda de amparo el 24 de octubre de 2011.</w:t>
      </w:r>
    </w:p>
    <w:p w:rsidR="00E3576C" w:rsidRDefault="00E3576C" w:rsidP="00E3576C">
      <w:pPr>
        <w:pStyle w:val="TextoNormal"/>
      </w:pPr>
    </w:p>
    <w:p w:rsidR="00E3576C" w:rsidRDefault="00E3576C" w:rsidP="00E3576C">
      <w:pPr>
        <w:pStyle w:val="TextoNormal"/>
      </w:pPr>
      <w:r>
        <w:t xml:space="preserve">c) Por providencia de fecha 7 de diciembre de 2011 la Sección Primera acordó por unanimidad inadmitir el presente recurso de amparo, con arreglo a lo previsto en el art. 50.1 a) </w:t>
      </w:r>
      <w:r>
        <w:lastRenderedPageBreak/>
        <w:t>de la Ley Orgánica del Tribunal Constitucional (LOTC), por no haber satisfecho la recurrente la carga que le incumbía de justificar la especial trascendencia constitucional del recurso —art. 49.1 LOTC—, que es algo más y distinto de la mera afirmación de que el propio derecho fundamental ha sido violado.</w:t>
      </w:r>
    </w:p>
    <w:p w:rsidR="00E3576C" w:rsidRDefault="00E3576C" w:rsidP="00E3576C">
      <w:pPr>
        <w:pStyle w:val="TextoNormal"/>
      </w:pPr>
    </w:p>
    <w:p w:rsidR="00E3576C" w:rsidRDefault="00E3576C" w:rsidP="00E3576C">
      <w:pPr>
        <w:pStyle w:val="TextoNormal"/>
      </w:pPr>
      <w:r w:rsidRPr="00E3576C">
        <w:rPr>
          <w:rStyle w:val="NumeroAFNegritaCaracter"/>
        </w:rPr>
        <w:t>3</w:t>
      </w:r>
      <w:r>
        <w:t>. Notificada dicha providencia a la recurrente y al Ministerio público, este último ha impugnado en súplica la citada resolución. El Fiscal interesa la reconsideración de la decisión por entender que podría admitirse que la recurrente sí ha satisfecho la exigencia de “alegar y acreditar que el contenido del recurso justifica una decisión sobre el fondo por parte del Tribunal en razón de su especial trascendencia constitucional”, porque destina expresamente un apartado de la demanda “a dar cumplimiento a la exigencia impuesta por el art. 49.1 in fine LOTC, vinculando la especial trascendencia del recurso a la conveniencia de la necesidad de corregir el apartamiento en que incurren las resoluciones judiciales de la doctrina de este Tribunal Constitucional en relación con el derecho a la tutela judicial efectiva y el derecho a un proceso con todas las garantías, doctrina que habría sido ignorada por las resoluciones judiciales”. Por lo expuesto solicita que se deje sin efecto la providencia de inadmisión reseñada “sin perjuicio de adopción de la resolución procedente en orden a la admisión o no por otras causas del recurso de amparo interpuesto”.</w:t>
      </w:r>
    </w:p>
    <w:p w:rsidR="00E3576C" w:rsidRDefault="00E3576C" w:rsidP="00E3576C">
      <w:pPr>
        <w:pStyle w:val="TextoNormal"/>
      </w:pPr>
    </w:p>
    <w:p w:rsidR="00E3576C" w:rsidRDefault="00E3576C" w:rsidP="00E3576C">
      <w:pPr>
        <w:pStyle w:val="TextoNormal"/>
      </w:pPr>
      <w:r w:rsidRPr="00E3576C">
        <w:rPr>
          <w:rStyle w:val="NumeroAFNegritaCaracter"/>
        </w:rPr>
        <w:t>4</w:t>
      </w:r>
      <w:r>
        <w:t>. La Secretaría de Justicia, mediante diligencia de ordenación de fecha 18 de enero de 2012, acordó dar traslado a la parte demandante de amparo del recurso de súplica interpuesto por el Ministerio Fiscal para que, en el plazo de tres días, alegara lo que estimara pertinente.</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escrito registrado en este Tribunal el 24 de enero de 2012 la representación procesal de la recurrente manifestó que se adhería íntegramente al recurso de súplica del Ministerio Fiscal.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examen de la demanda de amparo formulada pone de relieve, en contra del criterio defendido por el Ministerio Fiscal en su recurso de súplica, que la misma no cumple con la carga de justificar la especial trascendencia constitucional del recurso, según exige el art. 49.1 in fine de la Ley Orgánica del Tribunal Constitucional (LOTC) y ha perfilado la jurisprudencia de este Tribunal.</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Sin necesidad de entrar en consideraciones adicionales, bastará recordar que en los Autos 188/2008, de 21 de julio, y 289/2008, de 22 de septiembre, este Tribunal ha tenido ocasión de analizar y pronunciarse sobre la nueva exigencia de fondo que para su admisibilidad, ex art. 49.1, han de cumplir las solicitudes de amparo presentadas tras la entrada en vigor de la Ley Orgánica 6/2007, de 24 de mayo, que reformó la Ley Orgánica del Tribunal Constitucional. En dichas resoluciones se ha puesto de manifiesto que la reforma legal ha establecido un nuevo régimen jurídico de admisibilidad de los recursos de amparo, pues desde su entrada en vigor el art. 50.1 LOTC dispone que sólo se acordará la admisión del recurso de amparo cuando concurran los siguientes requisitos: que la demanda cumpla con lo dispuesto en los artículos 41 a 46 y 49; y que el contenido del recurso justifique una </w:t>
      </w:r>
      <w:r>
        <w:lastRenderedPageBreak/>
        <w:t>decisión sobre el fondo por parte del Tribunal Constitucional en razón de su especial trascendencia constitucional. En consonancia con esta nueva exigencia de fondo, el art. 49.1 in fine LOTC establece: “En todo caso, la demanda justificará la especial trascendencia constitucional del recurso”.</w:t>
      </w:r>
    </w:p>
    <w:p w:rsidR="00E3576C" w:rsidRDefault="00E3576C" w:rsidP="00E3576C">
      <w:pPr>
        <w:pStyle w:val="TextoNormal"/>
      </w:pPr>
    </w:p>
    <w:p w:rsidR="00E3576C" w:rsidRDefault="00E3576C" w:rsidP="00E3576C">
      <w:pPr>
        <w:pStyle w:val="TextoNormal"/>
      </w:pPr>
      <w:r>
        <w:t>En la STC 155/2009, de 25 de junio, identificamos, sin ánimo exhaustivo, determinados supuestos propiciadores de la apreciación de la “especial trascendencia constitucional” y, avanzando en la interpretación del requisito del art. 50.1 b) LOTC, acotamos (fundamento jurídico 2) el perfil abierto tanto de ese concepto como de los tres criterios que la propia ley ofrece para su caracterización (“su importancia para la interpretación de la Constitución, para su aplicación o para su general eficacia, y para la determinación del contenido y alcance de los derechos fundamentales”), facilitando a los recurrentes en amparo el cumplimiento de la carga justificativa que les impone el art. 49.1 LOTC.</w:t>
      </w:r>
    </w:p>
    <w:p w:rsidR="00E3576C" w:rsidRDefault="00E3576C" w:rsidP="00E3576C">
      <w:pPr>
        <w:pStyle w:val="TextoNormal"/>
      </w:pPr>
    </w:p>
    <w:p w:rsidR="00E3576C" w:rsidRDefault="00E3576C" w:rsidP="00E3576C">
      <w:pPr>
        <w:pStyle w:val="TextoNormal"/>
      </w:pPr>
      <w:r>
        <w:t>En aplicación de la anterior doctrina hemos acordado la inadmisión de la solicitud de amparo por incumplimiento de la exigencia legal señalada cuando el recurrente se ha limitado a exponer los hechos en que fundamenta su pretensión y a exponer las razones por las que considera que las resoluciones judiciales impugnadas han vulnerado su derecho (ATC 188/2008, de 21 de julio, FJ 4), y también cuando, expuesta argumentalmente la supuesta vulneración del derecho fundamental alegado, no hay mención en el escrito de demanda al requisito de la especial trascendencia constitucional del recurso interpuesto en cualquiera de los tres ámbitos a los que se refiere el art. 50.1 b) LOTC (ATC 289/2008, de 22 de septiembre, FJ 4). Hemos añadido, por último, que la carga de justificar la especial trascendencia constitucional del recurso de amparo es algo distinto a razonar la existencia de la vulneración de un derecho fundamental, pues esta última argumentación no es sino un presupuesto inexcusable en cualquier demanda de amparo, y no satisface, en sí misma, la carga procesal que analizamos.</w:t>
      </w:r>
    </w:p>
    <w:p w:rsidR="00E3576C" w:rsidRDefault="00E3576C" w:rsidP="00E3576C">
      <w:pPr>
        <w:pStyle w:val="TextoNormal"/>
      </w:pPr>
    </w:p>
    <w:p w:rsidR="00E3576C" w:rsidRDefault="00E3576C" w:rsidP="00E3576C">
      <w:pPr>
        <w:pStyle w:val="TextoNormal"/>
      </w:pPr>
      <w:r w:rsidRPr="00E3576C">
        <w:rPr>
          <w:rStyle w:val="NumeroAFNegritaCaracter"/>
        </w:rPr>
        <w:t>3</w:t>
      </w:r>
      <w:r>
        <w:t>. Este Tribunal ha tomado en consideración la fecha de la interposición de la demanda en relación con la fecha de la publicación de la STC 155/2009, el 28 de julio de 2009, atenuando el rigor en la valoración del cumplimiento de la carga justificativa de la especial trascendencia constitucional en las demandas interpuestas con anterioridad a esa fecha (AATC 4/2010 y 5/2010, de 14 de enero), pero esta flexibilidad no puede extenderse a la demanda de amparo rectora de este procedimiento constitucional dado que su registro se verificó en este Tribunal el día 24 de octubre de 2011.</w:t>
      </w:r>
    </w:p>
    <w:p w:rsidR="00E3576C" w:rsidRDefault="00E3576C" w:rsidP="00E3576C">
      <w:pPr>
        <w:pStyle w:val="TextoNormal"/>
      </w:pPr>
    </w:p>
    <w:p w:rsidR="00E3576C" w:rsidRDefault="00E3576C" w:rsidP="00E3576C">
      <w:pPr>
        <w:pStyle w:val="TextoNormal"/>
      </w:pPr>
      <w:r>
        <w:t>Partiendo de esa premisa, advertimos que la presente demanda no contiene una argumentación material sobre la especial transcendencia constitucional del recurso que pueda estimarse suficiente para entender cumplida la exigencia ineludible impuesta por el art. 49.1 in fine LOTC.</w:t>
      </w:r>
    </w:p>
    <w:p w:rsidR="00E3576C" w:rsidRDefault="00E3576C" w:rsidP="00E3576C">
      <w:pPr>
        <w:pStyle w:val="TextoNormal"/>
      </w:pPr>
    </w:p>
    <w:p w:rsidR="00E3576C" w:rsidRDefault="00E3576C" w:rsidP="00E3576C">
      <w:pPr>
        <w:pStyle w:val="TextoNormal"/>
      </w:pPr>
      <w:r>
        <w:t>En ella, bajo el título “fundamentos de derecho jurídico materiales”, se desarrolla un único apartado, encabezado bajo el enunciado “especial trascendencia constitucional” en el que la recurrente, tras recordar el deber de los órganos judiciales de motivar sus resoluciones, como una exigencia que dimana del derecho a la tutela judicial efectiva, sitúa implícitamente el cumplimiento de su carga justificativa en la argumentación con la que sostiene la lesión del derecho fundamental alegado, confundiendo así la vulneración del derecho con la especial trascendencia constitucional del recurso.</w:t>
      </w:r>
    </w:p>
    <w:p w:rsidR="00E3576C" w:rsidRDefault="00E3576C" w:rsidP="00E3576C">
      <w:pPr>
        <w:pStyle w:val="TextoNormal"/>
      </w:pPr>
    </w:p>
    <w:p w:rsidR="00E3576C" w:rsidRDefault="00E3576C" w:rsidP="00E3576C">
      <w:pPr>
        <w:pStyle w:val="TextoNormal"/>
      </w:pPr>
      <w:r>
        <w:t>La demandante no ha hecho el esfuerzo argumental que le es exigible (ATC 154/2010, de 15 de noviembre) para justificar que nos hallamos ante un caso de desconocimiento o de no acatamiento de la jurisprudencia de este Tribunal, como sostiene el Ministerio Fiscal, sino que se ha limitado a citar la doctrina constitucional y del Tribunal Europeo de Derechos Humanos sobre el deber de motivación de las resoluciones judiciales de forma retórica, sin ponerla en relación con el supuesto particular y sin exteriorizar en qué modo ha sido incumplida, insistiendo en la vulneración de su derecho como criterio que justifica la especial trascendencia constitucional, y centrándose en su situación personal y en la oportunidad de que el Tribunal confirme su propia doctrina.</w:t>
      </w:r>
    </w:p>
    <w:p w:rsidR="00E3576C" w:rsidRDefault="00E3576C" w:rsidP="00E3576C">
      <w:pPr>
        <w:pStyle w:val="TextoNormal"/>
      </w:pPr>
    </w:p>
    <w:p w:rsidR="00E3576C" w:rsidRDefault="00E3576C" w:rsidP="00E3576C">
      <w:pPr>
        <w:pStyle w:val="TextoNormal"/>
      </w:pPr>
      <w:r>
        <w:t>En otras palabras, la recurrente no ha justificado una proyección objetiva del amparo solicitado que traduzca en el plano formal (art. 49.1 LOTC) la exigencia material y formal de la especial trascendencia constitucional del recurso de amparo establecida por el art. 50.1 b) LOTC como requisito de procedibilidad de la demanda (STC 69/2011, de 16 de mayo, FJ 3; y ATC 264/2009, de 16 de noviembre, FJ único). No ha ofrecido, dicho aún en otros términos, razonamiento alguno que permita advertir por qué el contenido del recurso de amparo justifica una decisión sobre el fondo en atención a su importancia para la interpretación, aplicación o general eficacia de la Constitución o para la determinación del contenido y alcance del derecho a la tutela judicial efectiva y a un proceso con todas las garantías —art. 24 CE—, lo que justifica la desestimación del recurso.</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contra la providencia de 7 de diciembre de 2011, dictada por la Sección Primera en el recurso de amparo núm. 4606-2011.</w:t>
      </w:r>
    </w:p>
    <w:p w:rsidR="00E3576C" w:rsidRDefault="00E3576C" w:rsidP="00E3576C">
      <w:pPr>
        <w:pStyle w:val="TextoNormal"/>
      </w:pPr>
    </w:p>
    <w:p w:rsidR="00E3576C" w:rsidRDefault="00E3576C" w:rsidP="00E3576C">
      <w:pPr>
        <w:pStyle w:val="TextoNormal"/>
      </w:pPr>
      <w:r>
        <w:t>Madrid, a siete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4" w:name="AUTO_2012_43"/>
      <w:r>
        <w:lastRenderedPageBreak/>
        <w:t>AUTO 43/2012, de 9 de marzo de 2012</w:t>
      </w:r>
    </w:p>
    <w:bookmarkEnd w:id="184"/>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ECLI:ES:TC:2012:43A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Desestima el recurso del Procurador de los Tribunales don Enrique Herrera Aguilar frente a la diligencia de ordenación de 5 de octubre de 2011 por la que se le emplaza para formular, bajo la dirección del Abogado designado al efecto, la correspondiente demanda en el recurso de amparo 4588-2011, promovido por don Pedro Martín García Socas.</w:t>
      </w:r>
    </w:p>
    <w:p w:rsidR="00E3576C" w:rsidRDefault="00E3576C" w:rsidP="00E3576C">
      <w:pPr>
        <w:pStyle w:val="SntesisDescriptiva"/>
      </w:pPr>
    </w:p>
    <w:p w:rsidR="00E3576C" w:rsidRDefault="00E3576C" w:rsidP="00E3576C">
      <w:pPr>
        <w:pStyle w:val="SntesisAnaltica"/>
      </w:pPr>
      <w:r>
        <w:t>Calificación del recurso: error de calificación del recurso. Representación procesal: procuradores de los tribunales.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que tuvo entrada en el Registro General de este Tribunal el 1 de agosto de 2011, don Pedro Martín García Socas solicitó el nombramiento de Abogado y Procurador del turno de oficio para la interposición de recurso de amparo contra el Auto de la Sala de lo Social del Tribunal Supremo de 16 de junio de 2011, que inadmite el recurso de casación para la unificación de doctrina núm. 3317-2010, interpuesto contra la Sentencia dictada por la Sala de lo Social del Tribunal Superior de Justicia de Canarias en recurso de suplicación núm. 565-2010, invocando como fundamento de su pretensión la vulneración de los arts. 14 y 24 CE.</w:t>
      </w:r>
    </w:p>
    <w:p w:rsidR="00E3576C" w:rsidRDefault="00E3576C" w:rsidP="00E3576C">
      <w:pPr>
        <w:pStyle w:val="TextoNormal"/>
      </w:pPr>
    </w:p>
    <w:p w:rsidR="00E3576C" w:rsidRDefault="00E3576C" w:rsidP="00E3576C">
      <w:pPr>
        <w:pStyle w:val="TextoNormal"/>
      </w:pPr>
      <w:r w:rsidRPr="00E3576C">
        <w:rPr>
          <w:rStyle w:val="NumeroAFNegritaCaracter"/>
        </w:rPr>
        <w:t>2</w:t>
      </w:r>
      <w:r>
        <w:t>. Mediante diligencia de ordenación del Secretario de Justicia de la Sala Primera de 5 de septiembre de 2011 se tuvo por recibido el precedente escrito, con los documentos que al mismo se acompañan, y se procedió a requerir al Colegio de Abogados de Madrid, conforme a lo dispuesto en los arts. 2 d) y 7 de la Ley 1/1996, de 10 de enero, de asistencia jurídica gratuita (LAJG), y en el acuerdo del Pleno de este Tribunal de 18 de junio de 1996, sobre asistencia jurídica gratuita en los procesos de amparo constitucional, para que procediera a designar Procurador y Abogado del turno de oficio que se encarguen de la representación y defensa, respectivamente, del recurrente en amparo.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Una vez efectuada la designación de profesionales del turno de oficio conforme a lo interesado, que recayó en el Procurador de los Tribunales don Enrique Herrera Aguilar y en el Letrado don Luis Herminio Rodríguez San Quirico, de acuerdo con las comunicaciones remitidas a este Tribunales por los Colegios de Procuradores y de Abogados de Madrid, tuvo entrada en el Registro General de este Tribunal el día 29 de septiembre de 2011 un escrito del Procurador don Enrique Herrera Aguilar en el que manifiesta que, por haber solicitado su baja en el servicio de asistencia jurídica gratuita con fecha 22 de marzo de </w:t>
      </w:r>
      <w:r>
        <w:lastRenderedPageBreak/>
        <w:t>2011, este Tribunal debe interesar la designación de otro Procurador del turno de oficio para que asuma la representación del recurrente en amparo.</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diligencia de ordenación del Secretario de Justicia de la Sala Primera de 5 de octubre de 2011 se tuvieron por efectuadas las indicadas designaciones de profesionales del turno de oficio y se confirió plazo de treinta días al Procurador don Enrique Herrera Aguilar para formular, bajo la dirección del Abogado designado al efecto, la correspondiente demanda de amparo.</w:t>
      </w:r>
    </w:p>
    <w:p w:rsidR="00E3576C" w:rsidRDefault="00E3576C" w:rsidP="00E3576C">
      <w:pPr>
        <w:pStyle w:val="TextoNormal"/>
      </w:pPr>
    </w:p>
    <w:p w:rsidR="00E3576C" w:rsidRDefault="00E3576C" w:rsidP="00E3576C">
      <w:pPr>
        <w:pStyle w:val="TextoNormal"/>
      </w:pPr>
      <w:r w:rsidRPr="00E3576C">
        <w:rPr>
          <w:rStyle w:val="NumeroAFNegritaCaracter"/>
        </w:rPr>
        <w:t>5</w:t>
      </w:r>
      <w:r>
        <w:t>. Con fecha 13 de octubre de 2011 tuvo entrada en el Registro General de este Tribunal un escrito mediante el que el Procurador don Enrique Herrera Aguilar interpone recurso de reposición ex art. 452 de la Ley de enjuiciamiento civil (LEC) contra la anterior diligencia de ordenación. En su recurso expone que, con arreglo a lo dispuesto los arts. 30 LEC y 31 LAJG, en relación con la libertad de empresa (art. 38 CE), y por haber solicitado al Colegio de Procuradores de Madrid el 22 de marzo de 2011 su baja en el servicio de asistencia jurídica gratuita, como ya puso de manifiesto ante este Tribunal en su escrito presentado el 29 de septiembre de 2011, se le ha de tener por cesado en la representación del recurrente en amparo.</w:t>
      </w:r>
    </w:p>
    <w:p w:rsidR="00E3576C" w:rsidRDefault="00E3576C" w:rsidP="00E3576C">
      <w:pPr>
        <w:pStyle w:val="TextoNormal"/>
      </w:pPr>
    </w:p>
    <w:p w:rsidR="00E3576C" w:rsidRDefault="00E3576C" w:rsidP="00E3576C">
      <w:pPr>
        <w:pStyle w:val="TextoNormal"/>
      </w:pPr>
      <w:r w:rsidRPr="00E3576C">
        <w:rPr>
          <w:rStyle w:val="NumeroAFNegritaCaracter"/>
        </w:rPr>
        <w:t>6</w:t>
      </w:r>
      <w:r>
        <w:t>. Mediante diligencia de ordenación del Secretario de Justicia de la Sala Primera de 24 de octubre de 2011 se tuvo por recibido el anterior escrito del Procurador don Enrique Herrera Aguilar y, con suspensión del término para formular demanda y, antes de acordar sobre lo solicitado en el citado escrito, se ordenó requerir al Colegio de Procuradores de Madrid a fin de que informase sobre la designación del indicado Procurador para el presente proceso constitucional.</w:t>
      </w:r>
    </w:p>
    <w:p w:rsidR="00E3576C" w:rsidRDefault="00E3576C" w:rsidP="00E3576C">
      <w:pPr>
        <w:pStyle w:val="TextoNormal"/>
      </w:pPr>
    </w:p>
    <w:p w:rsidR="00E3576C" w:rsidRDefault="00E3576C" w:rsidP="00E3576C">
      <w:pPr>
        <w:pStyle w:val="TextoNormal"/>
      </w:pPr>
      <w:r w:rsidRPr="00E3576C">
        <w:rPr>
          <w:rStyle w:val="NumeroAFNegritaCaracter"/>
        </w:rPr>
        <w:t>7</w:t>
      </w:r>
      <w:r>
        <w:t>. El Colegio de Procuradores de Madrid contestó al precedente requerimiento mediante oficio de 18 de noviembre de 2011, que tuvo entrada en el Registro General de este Tribunal el siguiente 24 de noviembre, por el que se comunica que la Junta de Gobierno del Colegio de Procuradores de Madrid, en su sesión de 12 de abril de 2011, acordó denegar la solicitud formulada por don Enrique Herrera Aguilar de que se procediese a su baja en el servicio de asistencia jurídica gratuita, requiriéndole para que cumpliese con los deberes inherentes a las representaciones para las que ha sido asignado. Por ello, se concluye que el citado Procurador debe seguir llevando el turno de oficio de justicia gratuita y que, por tanto, ha de continuar asumiendo la representación procesal para la que ha sido designado en el presente recurso de amparo.</w:t>
      </w:r>
    </w:p>
    <w:p w:rsidR="00E3576C" w:rsidRDefault="00E3576C" w:rsidP="00E3576C">
      <w:pPr>
        <w:pStyle w:val="TextoNormal"/>
      </w:pPr>
    </w:p>
    <w:p w:rsidR="00E3576C" w:rsidRDefault="00E3576C" w:rsidP="00E3576C">
      <w:pPr>
        <w:pStyle w:val="TextoNormal"/>
      </w:pPr>
      <w:r w:rsidRPr="00E3576C">
        <w:rPr>
          <w:rStyle w:val="NumeroAFNegritaCaracter"/>
        </w:rPr>
        <w:t>8</w:t>
      </w:r>
      <w:r>
        <w:t>. Mediante providencia de 1 de febrero de 2012 la Sección Primera de este Tribunal acordó oír por plazo de cinco días al Ministerio Fiscal para que alegase cuanto estimara procedente sobre el recurso presentado por el Procurador don Enrique Herrera Aguilar contra la diligencia de ordenación de 5 de octubre de 2011, y el referido oficio del Colegio de Procuradores de Madrid de 18 de noviembre de 2011.</w:t>
      </w:r>
    </w:p>
    <w:p w:rsidR="00E3576C" w:rsidRDefault="00E3576C" w:rsidP="00E3576C">
      <w:pPr>
        <w:pStyle w:val="TextoNormal"/>
      </w:pPr>
    </w:p>
    <w:p w:rsidR="00E3576C" w:rsidRDefault="00E3576C" w:rsidP="00E3576C">
      <w:pPr>
        <w:pStyle w:val="TextoNormal"/>
      </w:pPr>
      <w:r w:rsidRPr="00E3576C">
        <w:rPr>
          <w:rStyle w:val="NumeroAFNegritaCaracter"/>
        </w:rPr>
        <w:t>9</w:t>
      </w:r>
      <w:r>
        <w:t xml:space="preserve">. El Ministerio Fiscal evacuó el trámite de audiencia conferido mediante escrito en el que señala que no consta que el Procurador don Enrique Herrera Aguilar, designado para </w:t>
      </w:r>
      <w:r>
        <w:lastRenderedPageBreak/>
        <w:t>representar al recurrente en amparo por el turno de oficio, haya recurrido el acuerdo adoptado el 12 de abril de 2011 por la Junta de Gobierno del Colegio de Procuradores de Madrid, por el que se deniega su solicitud de baja en el servicio de asistencia jurídica gratuita. Por ello, al resultar de las actuaciones que dicho Procurador ha sido designado por el Colegio de Procuradores de Madrid para asumir la representación en el presente recurso de amparo y que dicha designación está en vigor, el requerimiento efectuado por la diligencia de ordenación de 5 de octubre de 2011 se ajusta a Derecho, por lo que el recurso debe ser desestimado.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carácter previo al examen de fondo de la pretensión planteada en su recurso (denominado como “recurso de reposición”) contra la diligencia de ordenación de 5 de octubre de 2011 por don Enrique Herrera Aguilar, Procurador designado por el turno de oficio para representar al demandante de amparo en el presente proceso constitucional, debemos precisar que en modo alguno cabe admitir que las diligencias de ordenación dictadas por los Secretarios de Justicia de este Tribunal sean recurribles en reposición ante el propio Secretario de Justicia que las haya dictado, sin perjuicio de que puedan ser revisables por la correspondiente Sección de este Tribunal (art. 8.1 de la Ley Orgánica del Tribunal Constitucional: LOTC), o bien por las Salas, en caso de que decidan avocar esta competencia (art. 11.2 LOTC).</w:t>
      </w:r>
    </w:p>
    <w:p w:rsidR="00E3576C" w:rsidRDefault="00E3576C" w:rsidP="00E3576C">
      <w:pPr>
        <w:pStyle w:val="TextoNormal"/>
      </w:pPr>
    </w:p>
    <w:p w:rsidR="00E3576C" w:rsidRDefault="00E3576C" w:rsidP="00E3576C">
      <w:pPr>
        <w:pStyle w:val="TextoNormal"/>
      </w:pPr>
      <w:r>
        <w:t>En efecto, aunque el Procurador recurrente cita como fundamento procesal de su recurso de reposición lo dispuesto en el art. 452 de la Ley de enjuiciamiento civil (LEC) que, en relación con el art. 451 LEC, se refiere a los plazos y forma de interposición del recurso de reposición ante el propio Secretario Judicial, contra las diligencias de ordenación y decretos no definitivos que aquél haya dictado en el proceso, ha de tenerse en cuenta que esta regulación no resulta de aplicación en sus propios términos en el ámbito de los procesos constitucionales, y ello no ya porque no se encuentre entre las concretas materias en las que el art. 80 LOTC declara la aplicación supletoria de la Ley Orgánica del Poder Judicial y la LEC, sino sobre todo porque esa aplicación supletoria de la legislación procesal común (en defecto de específica regulación en la LOTC o en los acuerdos adoptados por el Pleno del Tribunal en el ejercicio de sus competencias) sólo será posible en la medida en que no vaya contra la LOTC y sus principios inspiradores (por todas, STC 86/1982, de 23 de diciembre, FJ 2; y AATC 260/1997, de 14 de julio, FJ 4; y 423/2003 de 17 de diciembre, FJ 5).</w:t>
      </w:r>
    </w:p>
    <w:p w:rsidR="00E3576C" w:rsidRDefault="00E3576C" w:rsidP="00E3576C">
      <w:pPr>
        <w:pStyle w:val="TextoNormal"/>
      </w:pPr>
    </w:p>
    <w:p w:rsidR="00E3576C" w:rsidRDefault="00E3576C" w:rsidP="00E3576C">
      <w:pPr>
        <w:pStyle w:val="TextoNormal"/>
      </w:pPr>
      <w:r>
        <w:t xml:space="preserve">En este sentido, la previsión de los arts. 451 y ss. LEC conforme a la cual contra las diligencias de ordenación cabe recurso de reposición ante el propio Secretario Judicial que dictó la resolución recurrida, no es aplicable a las diligencias de ordenación dictadas por los Secretarios de Justicia en el Tribunal Constitucional, por resultar incompatible con la atribución por el art. 8.1 LOTC a las Secciones del Tribunal, compuestas por el respectivo Presidente y dos Magistrados, del despacho ordinario de los procesos constitucionales (sin perjuicio de que las Salas puedan avocar esta competencia conforme a lo dispuesto en el art. 11.2 LOTC, como ya se dijo), por lo que debe entenderse que la intervención de los Secretarios de Justicia en la tramitación de los procesos constitucionales queda sujeta a la eventual revisión por parte de la Sección (o la Sala, en su caso) de las diligencias de ordenación que </w:t>
      </w:r>
      <w:r>
        <w:lastRenderedPageBreak/>
        <w:t>aquéllos dicten, de suerte que estas diligencias podrán ser confirmadas, modificadas o revocadas, llegado el caso, por resoluciones (providencias y Autos) de las Secciones (o Salas).</w:t>
      </w:r>
    </w:p>
    <w:p w:rsidR="00E3576C" w:rsidRDefault="00E3576C" w:rsidP="00E3576C">
      <w:pPr>
        <w:pStyle w:val="TextoNormal"/>
      </w:pPr>
    </w:p>
    <w:p w:rsidR="00E3576C" w:rsidRDefault="00E3576C" w:rsidP="00E3576C">
      <w:pPr>
        <w:pStyle w:val="TextoNormal"/>
      </w:pPr>
      <w:r>
        <w:t>Entenderlo de otro modo conduciría, por otra parte, a un resultado contrario a los principios inspiradores de la LOTC en cuanto al régimen de revisión de las resoluciones del Tribunal Constitucional, toda vez que, siendo las decisiones de trámite de las Secciones, por regla general, susceptibles de recurso de súplica, según el art. 93.2 LOTC, carecería de sentido que las diligencias de ordenación de los Secretarios de Justicia del Tribunal, en cambio, no pudiesen ser revisadas por la Sección correspondiente, de suerte que la Sección quedase vinculada sin remedio alguno al criterio del Secretario de Justicia.</w:t>
      </w:r>
    </w:p>
    <w:p w:rsidR="00E3576C" w:rsidRDefault="00E3576C" w:rsidP="00E3576C">
      <w:pPr>
        <w:pStyle w:val="TextoNormal"/>
      </w:pPr>
    </w:p>
    <w:p w:rsidR="00E3576C" w:rsidRDefault="00E3576C" w:rsidP="00E3576C">
      <w:pPr>
        <w:pStyle w:val="TextoNormal"/>
      </w:pPr>
      <w:r>
        <w:t>En consecuencia, ha de entenderse que las diligencias de ordenación de los Secretarios de Justicia del Tribunal Constitucional son revisables por la Sección correspondiente (o, en su caso, por la Sala), bien de oficio, bien a instancia de parte o del Ministerio Fiscal, en cuya caso la revisión habrá de solicitarse en el plazo de tres días, por analogía con lo dispuesto en el art. 93.2 LOTC para el recurso de súplica.</w:t>
      </w:r>
    </w:p>
    <w:p w:rsidR="00E3576C" w:rsidRDefault="00E3576C" w:rsidP="00E3576C">
      <w:pPr>
        <w:pStyle w:val="TextoNormal"/>
      </w:pPr>
    </w:p>
    <w:p w:rsidR="00E3576C" w:rsidRDefault="00E3576C" w:rsidP="00E3576C">
      <w:pPr>
        <w:pStyle w:val="TextoNormal"/>
      </w:pPr>
      <w:r w:rsidRPr="00E3576C">
        <w:rPr>
          <w:rStyle w:val="NumeroAFNegritaCaracter"/>
        </w:rPr>
        <w:t>2</w:t>
      </w:r>
      <w:r>
        <w:t>. De acuerdo con lo expuesto, procede entrar a examinar el recurso interpuesto por el Procurador designado por el turno de oficio para representar al demandante de amparo en el presente caso contra la diligencia de ordenación de 5 de octubre de 2011, por la que se le emplaza para formular, bajo la dirección del Abogado designado al efecto, la correspondiente demanda de amparo, pues el error en la calificación del recurso por parte del recurrente no es obstáculo para su tramitación y resolución de acuerdo con la naturaleza que verdaderamente le corresponde, esto es, la de una pretensión de revisión por esta Sección de lo acordado por el Secretario de Justicia en una diligencia de ordenación.</w:t>
      </w:r>
    </w:p>
    <w:p w:rsidR="00E3576C" w:rsidRDefault="00E3576C" w:rsidP="00E3576C">
      <w:pPr>
        <w:pStyle w:val="TextoNormal"/>
      </w:pPr>
    </w:p>
    <w:p w:rsidR="00E3576C" w:rsidRDefault="00E3576C" w:rsidP="00E3576C">
      <w:pPr>
        <w:pStyle w:val="TextoNormal"/>
      </w:pPr>
      <w:r w:rsidRPr="00E3576C">
        <w:rPr>
          <w:rStyle w:val="NumeroAFNegritaCaracter"/>
        </w:rPr>
        <w:t>3</w:t>
      </w:r>
      <w:r>
        <w:t>. Pues bien, llegados a este punto no cabe sino confirmar en sus propios términos lo acordado en la diligencia de ordenación cuya revisión se solicita, por resultar la misma plenamente ajustada a Derecho.</w:t>
      </w:r>
    </w:p>
    <w:p w:rsidR="00E3576C" w:rsidRDefault="00E3576C" w:rsidP="00E3576C">
      <w:pPr>
        <w:pStyle w:val="TextoNormal"/>
      </w:pPr>
    </w:p>
    <w:p w:rsidR="00E3576C" w:rsidRDefault="00E3576C" w:rsidP="00E3576C">
      <w:pPr>
        <w:pStyle w:val="TextoNormal"/>
      </w:pPr>
      <w:r>
        <w:t>En efecto, según ha quedado expuesto en los antecedentes de la presente resolución, el Colegio de Procuradores de Madrid nos ha comunicado que su Junta de gobierno, en sesión celebrada el 12 de abril de 2011, acordó denegar la solicitud formulada por el Procurador recurrente para que se procediese a su baja en el servicio de asistencia jurídica gratuita, requiriéndole para que cumpliese con los deberes inherentes a las representaciones para las que ha sido designado, por lo que dicho Colegio concluye manifestado que el citado Procurador continúa en el turno de oficio de justicia gratuita y, en consecuencia, debe seguir asumiendo la representación procesal del demandante de amparo.</w:t>
      </w:r>
    </w:p>
    <w:p w:rsidR="00E3576C" w:rsidRDefault="00E3576C" w:rsidP="00E3576C">
      <w:pPr>
        <w:pStyle w:val="TextoNormal"/>
      </w:pPr>
    </w:p>
    <w:p w:rsidR="00E3576C" w:rsidRDefault="00E3576C" w:rsidP="00E3576C">
      <w:pPr>
        <w:pStyle w:val="TextoNormal"/>
      </w:pPr>
      <w:r>
        <w:t>En consecuencia, como acertadamente pone de manifiesto el Ministerio Fiscal, de lo actuado resulta que la designación del Procurador recurrente por el Colegio de Procuradores de Madrid para asumir la representación del demandante en el presente recurso de amparo continúa en vigor, por lo que el requerimiento efectuado al Procurador por la diligencia de ordenación de 5 de octubre de 2011 para formular en el plazo de treinta días, bajo la dirección del Abogado designado al efecto, la correspondiente demanda de amparo, es conforme a lo dispuesto en los arts. 49 y 81.1 LOTC, así como en los arts. 7, 27 y 31 de la Ley de asistencia jurídica gratuita, y en los arts. 1 y 4 del acuerdo del Pleno de este Tribunal de 18 de junio de 1996, sobre asistencia jurídica gratuita en los procesos de amparo constitucional.</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interpuesto por el Procurador de los Tribunales don Enrique Herrera Aguilar y, en consecuencia, confirmar en su integridad la diligencia de ordenación de 5 de octubre de 2011, confiriendo a dicho Procurador un último e improrrogable plazo de treinta días para formular, bajo la dirección del Abogado designado al efecto, la correspondiente demanda de amparo.</w:t>
      </w:r>
    </w:p>
    <w:p w:rsidR="00E3576C" w:rsidRDefault="00E3576C" w:rsidP="00E3576C">
      <w:pPr>
        <w:pStyle w:val="TextoNormal"/>
      </w:pPr>
    </w:p>
    <w:p w:rsidR="00E3576C" w:rsidRDefault="00E3576C" w:rsidP="00E3576C">
      <w:pPr>
        <w:pStyle w:val="TextoNormal"/>
      </w:pPr>
      <w:r>
        <w:t>Madrid, a nueve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5" w:name="AUTO_2012_44"/>
      <w:r>
        <w:lastRenderedPageBreak/>
        <w:t>AUTO 44/2012, de 12 de marzo de 2012</w:t>
      </w:r>
    </w:p>
    <w:bookmarkEnd w:id="185"/>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ECLI:ES:TC:2012:44A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3723-2011, promovido por don Eduardo González Nájera, contra la Sentencia de la Audiencia Provincial de la Rioja, Sección Primera de fecha 2 de mayo de 2011, dictada en el Recurso de Apelación núm. 32/2011.</w:t>
      </w:r>
    </w:p>
    <w:p w:rsidR="00E3576C" w:rsidRDefault="00E3576C" w:rsidP="00E3576C">
      <w:pPr>
        <w:pStyle w:val="SntesisDescriptiva"/>
      </w:pPr>
    </w:p>
    <w:p w:rsidR="00E3576C" w:rsidRDefault="00E3576C" w:rsidP="00E3576C">
      <w:pPr>
        <w:pStyle w:val="SntesisAnaltica"/>
      </w:pPr>
      <w:r>
        <w:t>Suspensión cautelar de Sentencias penales: doctrina; gravedad de la pena; improcedencia; inhabilitación especial para el derecho de sufragio pasivo, inhabilitación especial para profesión, prisión de seis años, prohibición de aproximación a la víctima y prohibición de comunicación con terceros,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28 de junio de 2011, la Procuradora de los Tribunales doña Sara Carrasco Machado, en nombre y representación de don Eduardo González Nájera, interpuso recurso de amparo contra las resoluciones que figuran en el encabezamiento.</w:t>
      </w:r>
    </w:p>
    <w:p w:rsidR="00E3576C" w:rsidRDefault="00E3576C" w:rsidP="00E3576C">
      <w:pPr>
        <w:pStyle w:val="TextoNormal"/>
      </w:pPr>
    </w:p>
    <w:p w:rsidR="00E3576C" w:rsidRDefault="00E3576C" w:rsidP="00E3576C">
      <w:pPr>
        <w:pStyle w:val="TextoNormal"/>
      </w:pPr>
      <w:r>
        <w:t>En otrosí, el recurrente solicitaba, al amparo de lo dispuesto en el art. 56 de la Ley Orgánica del Tribunal Constitucional (LOTC), la suspensión de la ejecución de la Sentencia objeto de recurso.</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Sucintamente expuestos, los hechos relevantes para resolver la pretensión suspensiva son los siguientes: </w:t>
      </w:r>
    </w:p>
    <w:p w:rsidR="00E3576C" w:rsidRDefault="00E3576C" w:rsidP="00E3576C">
      <w:pPr>
        <w:pStyle w:val="TextoNormal"/>
      </w:pPr>
    </w:p>
    <w:p w:rsidR="00E3576C" w:rsidRDefault="00E3576C" w:rsidP="00E3576C">
      <w:pPr>
        <w:pStyle w:val="TextoNormal"/>
      </w:pPr>
      <w:r>
        <w:t>a) La Sentencia del Juzgado de lo Penal núm. 2 de Logroño de 2 de noviembre de 2010 condenó al demandante de amparo, como autor de seis delitos de abusos sexuales, a dos años de prisión por cada uno de ellos, inhabilitación especial para el ejercicio de sufragio pasivo durante el tiempo de la condena, inhabilitación para el ejercicio de su profesión de profesor por tiempo de seis años, prohibición de acercarse a menos de 200 metros de las víctimas, sus domicilios, colegios y lugares que frecuenten, así como de comunicar con ellas, por tiempo de cinco años, y al pago de las costas procesales.</w:t>
      </w:r>
    </w:p>
    <w:p w:rsidR="00E3576C" w:rsidRDefault="00E3576C" w:rsidP="00E3576C">
      <w:pPr>
        <w:pStyle w:val="TextoNormal"/>
      </w:pPr>
    </w:p>
    <w:p w:rsidR="00E3576C" w:rsidRDefault="00E3576C" w:rsidP="00E3576C">
      <w:pPr>
        <w:pStyle w:val="TextoNormal"/>
      </w:pPr>
      <w:r>
        <w:t>b) Contra dicha Sentencia interpuso el demandante recurso de apelación, que fue desestimado por Sentencia de la Audiencia Provincial de La Rioja (Sección Primera) de 2 de mayo de 2011.</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La Sala Segunda de este Tribunal, por providencia de 16 de febrero de 2012,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E3576C" w:rsidRDefault="00E3576C" w:rsidP="00E3576C">
      <w:pPr>
        <w:pStyle w:val="TextoNormal"/>
      </w:pPr>
    </w:p>
    <w:p w:rsidR="00E3576C" w:rsidRDefault="00E3576C" w:rsidP="00E3576C">
      <w:pPr>
        <w:pStyle w:val="TextoNormal"/>
      </w:pPr>
      <w:r>
        <w:t>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en su escrito de alegaciones presentado el 27 de febrero de 2011, solicita que se deniegue la suspensión solicitada. Respecto de la pena privativa de libertad, argumenta que, pese a que por aplicación del art. 76 del Código penal la pena a cumplir será la de seis años de prisión, teniendo en cuenta la entidad de la misma, los bienes jurídicos protegidos y que, por su duración, una eventual pérdida de la finalidad del amparo sólo sería parcial, debe denegarse la suspensión. En segundo lugar, la pena de inhabilitación para el ejercicio de su profesión, y la del pago de las cotas procesales, admite su restitución íntegra, por lo que no debe ser suspendida. Y tampoco debe serlo la pena de prohibición de aproximación y comunicación con las víctimas, en aras a la protección de éstas.</w:t>
      </w:r>
    </w:p>
    <w:p w:rsidR="00E3576C" w:rsidRDefault="00E3576C" w:rsidP="00E3576C">
      <w:pPr>
        <w:pStyle w:val="TextoNormal"/>
      </w:pPr>
    </w:p>
    <w:p w:rsidR="00E3576C" w:rsidRDefault="00E3576C" w:rsidP="00E3576C">
      <w:pPr>
        <w:pStyle w:val="TextoNormal"/>
      </w:pPr>
      <w:r w:rsidRPr="00E3576C">
        <w:rPr>
          <w:rStyle w:val="NumeroAFNegritaCaracter"/>
        </w:rPr>
        <w:t>5</w:t>
      </w:r>
      <w:r>
        <w:t>. La representación procesal del demandante de amparo evacuó el citado trámite a través de un escrito presentado en el Registro General de este Tribunal el 28 de febrero de 2012, en el que reiteró su solicitud de suspensión, argumentando que la pena de prisión a cumplir sería de seis años y que la ejecución de la misma puede ocasionarle perjuicios irreparables y frustrar la finalidad del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18/2011, de 28 de febrero, entre otros muchos). Por ello, la regla general es la improcedencia de la suspensión </w:t>
      </w:r>
      <w:r>
        <w:lastRenderedPageBreak/>
        <w:t>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rsidRPr="00E3576C">
        <w:rPr>
          <w:rStyle w:val="NumeroAFNegritaCaracter"/>
        </w:rPr>
        <w:t>2</w:t>
      </w:r>
      <w:r>
        <w:t>. Más concretamente, este Tribunal, entre otros muchos, en los AATC 462/2007, de 17 de diciembre; 116/2008, de 28 de abril, y 18/2011, de 28 de febrero,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E3576C" w:rsidRDefault="00E3576C" w:rsidP="00E3576C">
      <w:pPr>
        <w:pStyle w:val="TextoNormal"/>
      </w:pPr>
    </w:p>
    <w:p w:rsidR="00E3576C" w:rsidRDefault="00E3576C" w:rsidP="00E3576C">
      <w:pPr>
        <w:pStyle w:val="TextoNormal"/>
      </w:pPr>
      <w:r>
        <w:t>No obstante, este criterio no es absoluto, ni determina la suspensión automática de tales resoluciones, pues el art. 56 LOTC responde a la necesidad de mantener un equilibrio entre los intereses del recurrente, los generales de la sociedad y los derechos de terceros (AATC 369/2005, de 24 de octubre, FJ 2; 214/2007, de 16 de abril, FJ 2; 287/2007, de 18 de junio, FJ 2; 18/2011, de 28 de febrero, FJ 2) y, deben también ponderarse, en consecuencia,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 En relación con este criterio de gravedad de la pena, este Tribunal viene aplicando como directriz inicial la de que la pena se sitúe por encima o por debajo de la frontera de los cinco años de prisión (AATC 16/2009, de 26 de enero; 18/2011, de 28 de febrero, FJ 2), que es la que le sirve al legislador penal para diferenciar entre las penas graves y las menos graves (art. 33 del Código penal: CP).</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A partir de tales presupuestos, y en consonancia con la solicitud del Ministerio Fiscal, procede denegar la suspensión interesada. En aplicación de la regla de acumulación del art. 76 CP, la pena máxima a cumplir por el demandante sería de seis años de prisión, que se halla por encima del citado margen de gravedad con que, como regla general, opera este Tribunal; junto a ello, no cabe desatender que la condena se basa en la comisión de seis delitos de abusos sexuales, que afectan a bienes jurídicos esenciales, y que, como el propio </w:t>
      </w:r>
      <w:r>
        <w:lastRenderedPageBreak/>
        <w:t xml:space="preserve">recurrente manifiesta, aún no se ha dado comienzo a la ejecución de la pena, por lo que la suspensión no se revela imprescindible para preservar la efectividad del amparo. </w:t>
      </w:r>
    </w:p>
    <w:p w:rsidR="00E3576C" w:rsidRDefault="00E3576C" w:rsidP="00E3576C">
      <w:pPr>
        <w:pStyle w:val="TextoNormal"/>
      </w:pPr>
    </w:p>
    <w:p w:rsidR="00E3576C" w:rsidRDefault="00E3576C" w:rsidP="00E3576C">
      <w:pPr>
        <w:pStyle w:val="TextoNormal"/>
      </w:pPr>
      <w:r>
        <w:t>Por lo demás, y aunque en sus escritos el recurrente se refiere únicamente a los perjuicios que le ocasionaría la privación de libertad y restrinja su petición a la suspensión de la pena de prisión, sin realizar referencia expresa alguna, es notorio que tampoco cabe acordar su suspensión al resto de pronunciamientos de las resoluciones impugnadas. La pena de inhabilitación para el ejercicio del sufragio pasivo, en atención a su carácter accesorio (AATC 408/2005, de 21 de noviembre, FJ 2; 112/2011, de 18 de julio, FJ 2); las penas de inhabilitación para el ejercicio de la profesión de profesor, y la del pago de las costas procesales, dada su naturaleza económica, admiten su restitución íntegra y son, por tanto, susceptibles de reparación (ATC 59/2008, de 20 de febrero; 112/2011, de 18 de julio, FJ 2). Y por lo que respecta a la prohibición de aproximación y comunicación con las víctimas durante cinco años, la afección a la libertad y, con ello, la irreparabilidad del perjuicio derivado de la misma, es sensiblemente menor que la que se derivaría de la pena de prisión, debiendo atenderse también a que la finalidad de la sanción consiste en otorgar la máxima protección a las víctimas, a la cual, en circunstancias como las que presenta el concreto supuesto, debe otorgarse particular relevancia en la ponderación sobre la procedencia de la suspensión. Así, en supuestos similares hemos denegado la suspensión atendiendo a que “la imposición en la Sentencia de la pena de alejamiento de la víctima tiene por objeto proteger la integridad física de aquélla —que constituye, asimismo, un derecho fundamental— frente a eventuales nuevos ataques, y que la restricción de la libertad ambulatoria del actor a dicha pena es mínima” (AATC 53/2003, de 10 de febrero, FJ 2; 12/2012, de 30 de enero, FJ 4).</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medida cautelar de suspensión solicitada por don Eduardo González Nájera en el recurso de amparo núm. 3723-2011.</w:t>
      </w:r>
    </w:p>
    <w:p w:rsidR="00E3576C" w:rsidRDefault="00E3576C" w:rsidP="00E3576C">
      <w:pPr>
        <w:pStyle w:val="TextoNormal"/>
      </w:pPr>
    </w:p>
    <w:p w:rsidR="00E3576C" w:rsidRDefault="00E3576C" w:rsidP="00E3576C">
      <w:pPr>
        <w:pStyle w:val="TextoNormal"/>
      </w:pPr>
      <w:r>
        <w:t>Madrid, a doce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6" w:name="AUTO_2012_45"/>
      <w:r>
        <w:lastRenderedPageBreak/>
        <w:t>AUTO 45/2012, de 13 de marzo de 2012</w:t>
      </w:r>
    </w:p>
    <w:bookmarkEnd w:id="186"/>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ECLI:ES:TC:2012:45A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Acepta una abstención en los conflictos positivos de competencia núms. 4124-1999 y 4216-1999 (acumulados), promovidos por el Consejo de Gobierno de la Junta de Andalucía y el Gobierno de la Generalitat de Cataluña en relación con determinados preceptos del Real Decreto 844/1999, de 21 de mayo.</w:t>
      </w:r>
    </w:p>
    <w:p w:rsidR="00E3576C" w:rsidRDefault="00E3576C" w:rsidP="00E3576C">
      <w:pPr>
        <w:pStyle w:val="SntesisDescriptiva"/>
      </w:pPr>
    </w:p>
    <w:p w:rsidR="00E3576C" w:rsidRDefault="00E3576C" w:rsidP="00E3576C">
      <w:pPr>
        <w:pStyle w:val="SntesisAnaltica"/>
      </w:pPr>
      <w:r>
        <w:t>Abstención de magistrados del Tribunal Constitucional, acepta.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En los conflictos positivos de competencia núms. 4124-1999, 4216-1999 y 3029-2006, acumulados, se impugnan, en los dos primeros, el Real Decreto 844/1999, de 21 de mayo, por el que se autoriza la explotación de una lotería instantánea o presorteada, y en el tercero el Real Decreto 1336/2005, de 11 de noviembre, por el que se autoriza a la Organización Nacional de Ciegos Españoles la explotación de una lotería instantánea o presorteada. En concreto el conflicto núm. 4124-1999 ha sido promovido por el Consejo de Gobierno de la Comunidad Autónoma de Andalucía. </w:t>
      </w:r>
    </w:p>
    <w:p w:rsidR="00E3576C" w:rsidRDefault="00E3576C" w:rsidP="00E3576C">
      <w:pPr>
        <w:pStyle w:val="TextoNormal"/>
      </w:pPr>
    </w:p>
    <w:p w:rsidR="00E3576C" w:rsidRDefault="00E3576C" w:rsidP="00E3576C">
      <w:pPr>
        <w:pStyle w:val="TextoNormal"/>
      </w:pPr>
      <w:r>
        <w:t>Mediante escrito fechado el 8 de marzo de 2012 la Magistrada doña Elisa Pérez Vera comunicó a los efectos oportunos que se abstenía de intervenir en la deliberación y votación de los indicados conflictos positivos de competencia, al haber participado, en su anterior condición de Presidenta del Consejo Consultivo de Andalucía, en la adopción del dictamen núm. 129-1999, de 6 de octubre, sobre el conflicto positivo de competencia que pretendía plantear el Consejo de Gobierno de la Comunidad Autónoma de Andalucía en relación con el Real Decreto 844/1999, de 21 de mayo, por el que se autoriza la explotación de una lotería instantánea o presorteada.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w:t>
      </w:r>
      <w:r>
        <w:lastRenderedPageBreak/>
        <w:t>dicho órgano con carácter previo al planteamiento por el Consejo de Gobierno de la Comunidad Autónoma de Andalucía del conflicto positivo de competencia dirigido contra el Real Decreto 844/1999, de 21 de mayo, por el que se autoriza la explotación de una lotería instantánea o presorteada, lo que puede integrarse en las causas 13 y 16 del art. 219 LOPJ.</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Estimar la causa de abstención formulada por doña Elisa Pérez Vera en los conflictos positivos de competencia núms. 4124-1999, 4216-1999, y 3029-2006, acumulados, apartándola definitivamente de los referidos procedimientos.</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7" w:name="AUTO_2012_46"/>
      <w:r>
        <w:lastRenderedPageBreak/>
        <w:t>AUTO 46/2012, de 13 de marzo de 2012</w:t>
      </w:r>
    </w:p>
    <w:bookmarkEnd w:id="187"/>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ECLI:ES:TC:2012:46A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Acepta una abstención en el recurso de inconstitucionalidad 4364-2001, promovido por el Consejo de Gobierno de la Junta de Andalucía en relación con el artículo único de la Ley 6/2001, de 8 de mayo.</w:t>
      </w:r>
    </w:p>
    <w:p w:rsidR="00E3576C" w:rsidRDefault="00E3576C" w:rsidP="00E3576C">
      <w:pPr>
        <w:pStyle w:val="SntesisDescriptiva"/>
      </w:pPr>
    </w:p>
    <w:p w:rsidR="00E3576C" w:rsidRDefault="00E3576C" w:rsidP="00E3576C">
      <w:pPr>
        <w:pStyle w:val="SntesisAnaltica"/>
      </w:pPr>
      <w:r>
        <w:t>Abstención de magistrados del Tribunal Constitucional, acepta.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En el recurso de inconstitucionalidad núm. 4364-2001, promovido por el Consejo de Gobierno de la Junta de Andalucía, se impugna el artículo único, cardinales 1 y 2, de la ley 6/2001, de 8 de mayo, de modificación del Real Decreto Legislativo 1302/1986, de 28 de junio, de evaluación de impacto ambiental. </w:t>
      </w:r>
    </w:p>
    <w:p w:rsidR="00E3576C" w:rsidRDefault="00E3576C" w:rsidP="00E3576C">
      <w:pPr>
        <w:pStyle w:val="TextoNormal"/>
      </w:pPr>
    </w:p>
    <w:p w:rsidR="00E3576C" w:rsidRDefault="00E3576C" w:rsidP="00E3576C">
      <w:pPr>
        <w:pStyle w:val="TextoNormal"/>
      </w:pPr>
      <w:r>
        <w:t>Mediante escrito fechado el 8 de marzo de 2012,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125-2001, de 12 de julio, sobre el recurso de inconstitucionalidad que pretendía plantear el Consejo de Gobierno de la Comunidad autónoma de Andalucía en relación con la ley 6/2001, de 8 de mayo, de modificación del Real Decreto Legislativo 1302/1986, de 28 de junio, de evaluación de impacto ambiental.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con carácter previo a la interposición por el Consejo de Gobierno de la Comunidad Autónoma de Andalucía del recurso de inconstitucionalidad dirigido contra la Ley 6/2001, de 8 de mayo, de modificación del Real Decreto Legislativo 1302/1986, de 28 de </w:t>
      </w:r>
      <w:r>
        <w:lastRenderedPageBreak/>
        <w:t>junio, de evaluación de impacto ambiental, lo que puede integrarse en las causas 13 y 16 del art. 219 LOPJ.</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Estimar la causa de abstención formulada por doña Elisa Pérez Vera en el recurso de inconstitucionalidad núm. 4364-2001, apartándola definitivamente del conocimiento del mismo.</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8" w:name="AUTO_2012_47"/>
      <w:r>
        <w:lastRenderedPageBreak/>
        <w:t>AUTO 47/2012, de 13 de marzo de 2012</w:t>
      </w:r>
    </w:p>
    <w:bookmarkEnd w:id="18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ECLI:ES:TC:2012:47A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desaparición sobrevenida de su objeto, de la cuestión de inconstitucionalidad 767-2002, planteada por el Juzgado de Primera Instancia núm. 6 de San Bartolomé de Tirajana en relación con la disposición transitoria única del Parlamento de Canarias 5/1999, de 15 de marzo, de ordenación del turismo de Canarias.</w:t>
      </w:r>
    </w:p>
    <w:p w:rsidR="00E3576C" w:rsidRDefault="00E3576C" w:rsidP="00E3576C">
      <w:pPr>
        <w:pStyle w:val="SntesisDescriptiva"/>
      </w:pPr>
    </w:p>
    <w:p w:rsidR="00E3576C" w:rsidRDefault="00E3576C" w:rsidP="00E3576C">
      <w:pPr>
        <w:pStyle w:val="SntesisAnaltica"/>
      </w:pPr>
      <w:r>
        <w:t>Cuestión de inconstitucionalidad: pérdida sobrevenida de objeto por derogación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12 de febrero de 2002 tuvo entrada en el Registro General de este Tribunal Constitucional un escrito del Juzgado de Primera Instancia núm. 6 de San Bartolomé de Tirajana, al que se acompaña, junto con el testimonio del correspondiente procedimiento, el Auto del referido Juzgado de 15 de enero de 2002 por el que se acuerda elevar a este Tribunal Constitucional cuestión de inconstitucionalidad en relación con la disposición transitoria única de la Ley del Parlamento de Canarias 5/1999, de 15 de marzo, que modifica la Ley 7/1995, de 6 de abril, de ordenación del turismo de Canarias, por posible vulneración del art. 149.1.8 CE.</w:t>
      </w:r>
    </w:p>
    <w:p w:rsidR="00E3576C" w:rsidRDefault="00E3576C" w:rsidP="00E3576C">
      <w:pPr>
        <w:pStyle w:val="TextoNormal"/>
      </w:pPr>
    </w:p>
    <w:p w:rsidR="00E3576C" w:rsidRDefault="00E3576C" w:rsidP="00E3576C">
      <w:pPr>
        <w:pStyle w:val="TextoNormal"/>
      </w:pPr>
      <w:r w:rsidRPr="00E3576C">
        <w:rPr>
          <w:rStyle w:val="NumeroAFNegritaCaracter"/>
        </w:rPr>
        <w:t>2</w:t>
      </w:r>
      <w:r>
        <w:t>. La presente cuestión de inconstitucionalidad tiene su origen en una demanda en materia de retracto de comuneros interpuesta por una entidad mercantil a fin de que se declarase su derecho a retraer una vivienda que había sido adquirida por un particular mediante compraventa. Seguido el expediente en sus trámites, el Juzgado de Primera Instancia núm. 6 de San Bartolomé de Tirajana, mediante providencia de 15 de diciembre de 2000, acordó lo siguiente: “Puesto que la parte fundamenta su derecho en la Disposición transitoria única de la Ley de Ordenación del Turismo de Canarias, entendiéndose que la misma pudiera ser inconstitucional. Dese traslado al Ministerio Fiscal y a las demás partes de conformidad con lo establecido en el art. 35 LOTC; con suspensión del plazo para dictar Sentencia”.</w:t>
      </w:r>
    </w:p>
    <w:p w:rsidR="00E3576C" w:rsidRDefault="00E3576C" w:rsidP="00E3576C">
      <w:pPr>
        <w:pStyle w:val="TextoNormal"/>
      </w:pPr>
    </w:p>
    <w:p w:rsidR="00E3576C" w:rsidRDefault="00E3576C" w:rsidP="00E3576C">
      <w:pPr>
        <w:pStyle w:val="TextoNormal"/>
      </w:pPr>
      <w:r>
        <w:t>La parte actora se opuso a la formalización de la cuestión de inconstitucionalidad, mientras que la parte demandada y el Ministerio Fiscal se mostraron partidarios de su planteamiento.</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Mediante Auto de 15 de enero de 2002, el Juzgado de Primera Instancia núm. 6 de San Bartolomé de Tirajana formaliza la cuestión de inconstitucionalidad en relación con la disposición transitoria única de la Ley 5/1999, que modifica la Ley 7/1995, de ordenación del turismo de Canarias. El órgano judicial considera que el precepto constitucional que pudiera resultar vulnerado, se concreta en el art. 149.1.8 CE “porque este artículo reserva a la competencia exclusiva del Estado la legislación en materia civil, sin perjuicio de la conservación, modificación y desarrollo por las Comunidades Autónomas de los derechos civiles, forales o especiales, allí donde existan. Ello impide que las nomas emanadas de las Comunidades Autónomas, salvo que se trate de Comunidades Autónomas en las que exista derecho foral, entre las que no se encuentra Canarias, puedan legislar en materia civil”.</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Tercera de este Tribunal, de fecha 12 de marzo de 2002, se acordó oír al Fiscal General del Estado para que, en el plazo de diez días, alegara lo que considerara conveniente acerca de la admisibilidad de la presente cuestión de inconstitucionalidad, en razón de los defectos apreciados en el trámite de audiencia previa a las partes y al Ministerio Fiscal. El Fiscal General del Estado formuló sus alegaciones mediante escrito registrado el día 4 de abril de 2002 entendiendo correctamente cumplido el requisito de audiencia a las partes e interesando la admisión a trámite de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providencia de 21 de mayo de 2002 la Sección Tercera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de “Boletín Oficial de Canarias”.</w:t>
      </w:r>
    </w:p>
    <w:p w:rsidR="00E3576C" w:rsidRDefault="00E3576C" w:rsidP="00E3576C">
      <w:pPr>
        <w:pStyle w:val="TextoNormal"/>
      </w:pPr>
    </w:p>
    <w:p w:rsidR="00E3576C" w:rsidRDefault="00E3576C" w:rsidP="00E3576C">
      <w:pPr>
        <w:pStyle w:val="TextoNormal"/>
      </w:pPr>
      <w:r w:rsidRPr="00E3576C">
        <w:rPr>
          <w:rStyle w:val="NumeroAFNegritaCaracter"/>
        </w:rPr>
        <w:t>6</w:t>
      </w:r>
      <w:r>
        <w:t>. El Abogado del Estado presentó su escrito el día 5 de junio de 2002 señalando que se personaba en el proceso únicamente a los efectos de que se le notificasen las resoluciones que en él se dicten.</w:t>
      </w:r>
    </w:p>
    <w:p w:rsidR="00E3576C" w:rsidRDefault="00E3576C" w:rsidP="00E3576C">
      <w:pPr>
        <w:pStyle w:val="TextoNormal"/>
      </w:pPr>
    </w:p>
    <w:p w:rsidR="00E3576C" w:rsidRDefault="00E3576C" w:rsidP="00E3576C">
      <w:pPr>
        <w:pStyle w:val="TextoNormal"/>
      </w:pPr>
      <w:r w:rsidRPr="00E3576C">
        <w:rPr>
          <w:rStyle w:val="NumeroAFNegritaCaracter"/>
        </w:rPr>
        <w:t>7</w:t>
      </w:r>
      <w:r>
        <w:t>. El día 7 de junio de 2002 la Presidenta del Congreso de los Diputados comunicó al Tribunal que dicha Cámara no se personaría en el proceso ni formularía alegaciones.</w:t>
      </w:r>
    </w:p>
    <w:p w:rsidR="00E3576C" w:rsidRDefault="00E3576C" w:rsidP="00E3576C">
      <w:pPr>
        <w:pStyle w:val="TextoNormal"/>
      </w:pPr>
    </w:p>
    <w:p w:rsidR="00E3576C" w:rsidRDefault="00E3576C" w:rsidP="00E3576C">
      <w:pPr>
        <w:pStyle w:val="TextoNormal"/>
      </w:pPr>
      <w:r w:rsidRPr="00E3576C">
        <w:rPr>
          <w:rStyle w:val="NumeroAFNegritaCaracter"/>
        </w:rPr>
        <w:t>8</w:t>
      </w:r>
      <w:r>
        <w:t>. El Letrado-Secretario General del Parlamento de Canarias presentó sus alegaciones mediante escrito registrado el día 12 de junio de 2002 en el que interesa la desestimación de la cuestión planteada.</w:t>
      </w:r>
    </w:p>
    <w:p w:rsidR="00E3576C" w:rsidRDefault="00E3576C" w:rsidP="00E3576C">
      <w:pPr>
        <w:pStyle w:val="TextoNormal"/>
      </w:pPr>
    </w:p>
    <w:p w:rsidR="00E3576C" w:rsidRDefault="00E3576C" w:rsidP="00E3576C">
      <w:pPr>
        <w:pStyle w:val="TextoNormal"/>
      </w:pPr>
      <w:r w:rsidRPr="00E3576C">
        <w:rPr>
          <w:rStyle w:val="NumeroAFNegritaCaracter"/>
        </w:rPr>
        <w:t>9</w:t>
      </w:r>
      <w:r>
        <w:t>. El día 13 de junio de 2002 el Presidente del Senado comunicó que la Cámara se personaba en el proceso, ofreciendo su colaboración.</w:t>
      </w:r>
    </w:p>
    <w:p w:rsidR="00E3576C" w:rsidRDefault="00E3576C" w:rsidP="00E3576C">
      <w:pPr>
        <w:pStyle w:val="TextoNormal"/>
      </w:pPr>
    </w:p>
    <w:p w:rsidR="00E3576C" w:rsidRDefault="00E3576C" w:rsidP="00E3576C">
      <w:pPr>
        <w:pStyle w:val="TextoNormal"/>
      </w:pPr>
      <w:r w:rsidRPr="00E3576C">
        <w:rPr>
          <w:rStyle w:val="NumeroAFNegritaCaracter"/>
        </w:rPr>
        <w:t>10</w:t>
      </w:r>
      <w:r>
        <w:t xml:space="preserve">. El 19 de junio de 2002 la Directora general del servicio jurídico del Gobierno de Canarias, en la representación que ostenta, evacuó el trámite de alegaciones concedido solicitando a este Tribunal Constitucional que dictara Sentencia en la que se desestimase la </w:t>
      </w:r>
      <w:r>
        <w:lastRenderedPageBreak/>
        <w:t>cuestión de inconstitucionalidad por entender que el precepto cuestionado era plenamente ajustado a la Constitución.</w:t>
      </w:r>
    </w:p>
    <w:p w:rsidR="00E3576C" w:rsidRDefault="00E3576C" w:rsidP="00E3576C">
      <w:pPr>
        <w:pStyle w:val="TextoNormal"/>
      </w:pPr>
    </w:p>
    <w:p w:rsidR="00E3576C" w:rsidRDefault="00E3576C" w:rsidP="00E3576C">
      <w:pPr>
        <w:pStyle w:val="TextoNormal"/>
      </w:pPr>
      <w:r w:rsidRPr="00E3576C">
        <w:rPr>
          <w:rStyle w:val="NumeroAFNegritaCaracter"/>
        </w:rPr>
        <w:t>11</w:t>
      </w:r>
      <w:r>
        <w:t>. El 21 de junio de 2002 el Fiscal General del Estado formuló sus alegaciones interesando de este Tribunal Constitucional la estimación de la cuestión de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Juzgado de Primera Instancia núm. 6 de San Bartolomé de Tirajana plantea cuestión de inconstitucionalidad en relación con la disposición transitoria única de la Ley 5/1999, de 15 de marzo, del Parlamento de Canarias, de modificación de la Ley 7/1995, de 6 de abril, de ordenación del turismo de Canarias.</w:t>
      </w:r>
    </w:p>
    <w:p w:rsidR="00E3576C" w:rsidRDefault="00E3576C" w:rsidP="00E3576C">
      <w:pPr>
        <w:pStyle w:val="TextoNormal"/>
      </w:pPr>
    </w:p>
    <w:p w:rsidR="00E3576C" w:rsidRDefault="00E3576C" w:rsidP="00E3576C">
      <w:pPr>
        <w:pStyle w:val="TextoNormal"/>
      </w:pPr>
      <w:r>
        <w:t>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 la cuestión de inconstitucionalidad núm. 767-2002, por desaparición sobrevenida de su objeto.</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89" w:name="AUTO_2012_48"/>
      <w:r>
        <w:lastRenderedPageBreak/>
        <w:t>AUTO 48/2012, de 13 de marzo de 2012</w:t>
      </w:r>
    </w:p>
    <w:bookmarkEnd w:id="18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ECLI:ES:TC:2012:48A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desaparición sobrevenida de su objeto, de la cuestión de inconstitucionalidad 3699-2003, planteada por el Juzgado de Primera Instancia núm. 4 de San Bartolomé de Tirajana en relación con el apartado cuarto de la disposición transitoria única de la Ley del Parlamento de Canarias 5/1999, de 15 de marzo, de ordenación del turismo de Canarias.</w:t>
      </w:r>
    </w:p>
    <w:p w:rsidR="00E3576C" w:rsidRDefault="00E3576C" w:rsidP="00E3576C">
      <w:pPr>
        <w:pStyle w:val="SntesisDescriptiva"/>
      </w:pPr>
    </w:p>
    <w:p w:rsidR="00E3576C" w:rsidRDefault="00E3576C" w:rsidP="00E3576C">
      <w:pPr>
        <w:pStyle w:val="SntesisAnaltica"/>
      </w:pPr>
      <w:r>
        <w:t>Cuestión de inconstitucionalidad: extinción de cuestión de inconstitucionalidad; pérdida sobrevenida de objeto por declaración de inconstitucionalidad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6 de junio de 2003 tuvo entrada en el Registro General de este Tribunal Constitucional un escrito del Juzgado de Primera Instancia núm. 4 de San Bartolomé de Tirajana, al que se acompaña, junto con el testimonio del correspondiente procedimiento, el Auto del referido Juzgado por el que se acuerda elevar a este Tribunal Constitucional cuestión de inconstitucionalidad en relación con la disposición transitoria única, apartado cuatro, de la Ley del Parlamento de Canarias 5/1999, de 15 de marzo, que modifica la Ley 7/1995, de 6 de abril, de ordenación del turismo de Canarias, por posible vulneración de los arts. 14, 38 y 149.1.8 CE.</w:t>
      </w:r>
    </w:p>
    <w:p w:rsidR="00E3576C" w:rsidRDefault="00E3576C" w:rsidP="00E3576C">
      <w:pPr>
        <w:pStyle w:val="TextoNormal"/>
      </w:pPr>
    </w:p>
    <w:p w:rsidR="00E3576C" w:rsidRDefault="00E3576C" w:rsidP="00E3576C">
      <w:pPr>
        <w:pStyle w:val="TextoNormal"/>
      </w:pPr>
      <w:r w:rsidRPr="00E3576C">
        <w:rPr>
          <w:rStyle w:val="NumeroAFNegritaCaracter"/>
        </w:rPr>
        <w:t>2</w:t>
      </w:r>
      <w:r>
        <w:t>. La presente cuestión de inconstitucionalidad tiene su origen en una demanda en materia de retracto de comuneros interpuesta por una entidad mercantil a fin de que se declarase su derecho a retraer una vivienda que había sido adquirida por otra entidad mercantil mediante compraventa. Seguido el expediente en sus trámites, el Juzgado de Primera Instancia núm. 4 de San Bartolomé de Tirajana, mediante providencia de 26 de marzo de 2003, acordó oír a las partes y al Ministerio Fiscal para que en el plazo común de diez días pudieran alegar sobre la pertinencia de plantear cuestión de inconstitucionalidad respecto al apartado cuatro de la disposición transitoria única de la Ley del Parlamento de Canarias 5/1999, de 15 de marzo, que modifica la Ley 7/1995, de 6 de abril, de ordenación del turismo de Canarias, en cuanto que dicho precepto sería contrario al art. 149.1.8 CE. El Fiscal interesó el planteamiento de la cuestión de inconstitucionalidad sin que nada manifestase en las partes al respecto.</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Conforme al Auto de planteamiento de la cuestión se reputan vulnerados los arts. 14, 38 y 149.1.8 CE. La vulneración del art. 14 CE se sustentaría en que se excluye de1 derecho de adquisición preferente a las transmisiones de unidades alojativas destinadas a la actividad turística, de un lado, y, de otro, en que también se excluye del ejercicio del derecho a los titulares de unidades alojativas no destinadas a la actividad turística. El art. 38 CE podría resultar infringido por promoverse la concentración de la propiedad de inmuebles turísticos en empresarios de esta actividad mientras que el art. 149.1.8 CE se vulneraría por carecer la Comunidad Autónoma de Canarias de competencia para legislar en materia de “Derecho civil”.</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30 de septiembre de 2003 la Sección Segunda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de “Boletín Oficial de Canarias”.</w:t>
      </w:r>
    </w:p>
    <w:p w:rsidR="00E3576C" w:rsidRDefault="00E3576C" w:rsidP="00E3576C">
      <w:pPr>
        <w:pStyle w:val="TextoNormal"/>
      </w:pPr>
    </w:p>
    <w:p w:rsidR="00E3576C" w:rsidRDefault="00E3576C" w:rsidP="00E3576C">
      <w:pPr>
        <w:pStyle w:val="TextoNormal"/>
      </w:pPr>
      <w:r w:rsidRPr="00E3576C">
        <w:rPr>
          <w:rStyle w:val="NumeroAFNegritaCaracter"/>
        </w:rPr>
        <w:t>5</w:t>
      </w:r>
      <w:r>
        <w:t>. El Abogado del Estado presentó su escrito el día 13 de octubre de 2003 señalando que se personaba en el proceso únicamente a los efectos de que se le notificasen las resoluciones que en él se dicten.</w:t>
      </w:r>
    </w:p>
    <w:p w:rsidR="00E3576C" w:rsidRDefault="00E3576C" w:rsidP="00E3576C">
      <w:pPr>
        <w:pStyle w:val="TextoNormal"/>
      </w:pPr>
    </w:p>
    <w:p w:rsidR="00E3576C" w:rsidRDefault="00E3576C" w:rsidP="00E3576C">
      <w:pPr>
        <w:pStyle w:val="TextoNormal"/>
      </w:pPr>
      <w:r w:rsidRPr="00E3576C">
        <w:rPr>
          <w:rStyle w:val="NumeroAFNegritaCaracter"/>
        </w:rPr>
        <w:t>6</w:t>
      </w:r>
      <w:r>
        <w:t>. El día 16 de octubre de 2003 la Presidenta del Congreso de los Diputados comunicó al Tribunal que dicha Cámara no se personaría en el proceso ni formularía alegaciones. Ese mismo día el Presidente del Senado comunicó que la Cámara se personaba en el proceso, ofreciendo su colaboración.</w:t>
      </w:r>
    </w:p>
    <w:p w:rsidR="00E3576C" w:rsidRDefault="00E3576C" w:rsidP="00E3576C">
      <w:pPr>
        <w:pStyle w:val="TextoNormal"/>
      </w:pPr>
    </w:p>
    <w:p w:rsidR="00E3576C" w:rsidRDefault="00E3576C" w:rsidP="00E3576C">
      <w:pPr>
        <w:pStyle w:val="TextoNormal"/>
      </w:pPr>
      <w:r w:rsidRPr="00E3576C">
        <w:rPr>
          <w:rStyle w:val="NumeroAFNegritaCaracter"/>
        </w:rPr>
        <w:t>7</w:t>
      </w:r>
      <w:r>
        <w:t>. El Letrado-Secretario General accidental del Parlamento de Canarias presentó sus alegaciones mediante escrito registrado el día 22 de octubre de 2003 en el que interesa la desestimación de la cuestión planteada.</w:t>
      </w:r>
    </w:p>
    <w:p w:rsidR="00E3576C" w:rsidRDefault="00E3576C" w:rsidP="00E3576C">
      <w:pPr>
        <w:pStyle w:val="TextoNormal"/>
      </w:pPr>
    </w:p>
    <w:p w:rsidR="00E3576C" w:rsidRDefault="00E3576C" w:rsidP="00E3576C">
      <w:pPr>
        <w:pStyle w:val="TextoNormal"/>
      </w:pPr>
      <w:r w:rsidRPr="00E3576C">
        <w:rPr>
          <w:rStyle w:val="NumeroAFNegritaCaracter"/>
        </w:rPr>
        <w:t>8</w:t>
      </w:r>
      <w:r>
        <w:t>. El 4 de noviembre de 2003 el Fiscal General del Estado formuló sus alegaciones interesando de este Tribunal Constitucional la estimación de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9</w:t>
      </w:r>
      <w:r>
        <w:t>. El 6 de noviembre de 2003 la Directora general del servicio jurídico del Gobierno de Canarias, en la representación que ostenta, evacuó el trámite de alegaciones concedido solicitando a este Tribunal Constitucional que dictara Sentencia en la que se desestimase la cuestión de inconstitucionalidad.</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Juzgado de Primera Instancia núm. 4 de San Bartolomé de Tirajana plantea cuestión de inconstitucionalidad en relación con el apartado cuatro de la disposición transitoria única de la Ley 5/1999, de 15 de marzo, del Parlamento de Canarias, de modificación de la Ley 7/1995, de 6 de abril, de ordenación del turismo de Canarias.</w:t>
      </w:r>
    </w:p>
    <w:p w:rsidR="00E3576C" w:rsidRDefault="00E3576C" w:rsidP="00E3576C">
      <w:pPr>
        <w:pStyle w:val="TextoNormal"/>
      </w:pPr>
      <w:r>
        <w:t xml:space="preserve"> </w:t>
      </w:r>
    </w:p>
    <w:p w:rsidR="00E3576C" w:rsidRDefault="00E3576C" w:rsidP="00E3576C">
      <w:pPr>
        <w:pStyle w:val="TextoNormal"/>
      </w:pPr>
      <w:r>
        <w:t>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 la cuestión de inconstitucionalidad núm. 3699-2003, por desaparición sobrevenida de su objeto.</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0" w:name="AUTO_2012_49"/>
      <w:r>
        <w:lastRenderedPageBreak/>
        <w:t>AUTO 49/2012, de 13 de marzo de 2012</w:t>
      </w:r>
    </w:p>
    <w:bookmarkEnd w:id="190"/>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ECLI:ES:TC:2012:49A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desaparición sobrevenida de su objeto, del recurso de inconstitucionalidad 1383-2004, interpuesto por el Parlamento de Cataluña en relación con los artículos 38.4 y 189.2 del texto refundido de la Ley general de la Seguridad Social.</w:t>
      </w:r>
    </w:p>
    <w:p w:rsidR="00E3576C" w:rsidRDefault="00E3576C" w:rsidP="00E3576C">
      <w:pPr>
        <w:pStyle w:val="SntesisDescriptiva"/>
      </w:pPr>
    </w:p>
    <w:p w:rsidR="00E3576C" w:rsidRDefault="00E3576C" w:rsidP="00E3576C">
      <w:pPr>
        <w:pStyle w:val="SntesisAnaltica"/>
      </w:pPr>
      <w:r>
        <w:t>Asistencia social: gestión autonómica de subvenciones públicas. Recurso de inconstitucionalidad: pérdida sobrevenida de objeto por modificación de la norma. Seguridad Social: prestaciones de la Seguridad Social.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Por escrito registrado en este Tribunal con fecha de 4 de marzo de 2004, don Francesc Pau i Vall, Letrado del Parlamento de Cataluña, en nombre y representación del mismo, interpuso recurso de inconstitucionalidad contra el apartado 4 del art. 38 del texto refundido de la Ley General de la Seguridad Social (LGSS), en la redacción dada por el art.1, dos, de la Ley 52/2003, de 10 de diciembre, de disposiciones específicas en materia de Seguridad Social. El citado apartado establece que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 Por conexión con este precepto, también se interpone el recurso de inconstitucionalidad frente al art. 189.2, primer párrafo, del mencionado texto refundido, en la redacción dada por el art. 19, apartado tres, de la Ley 52/2003, de 10 de diciembre, que, con relación a las prestaciones familiares no contributivas, establece que “serán incompatibles con la percepción, por parte del padre o de la madre, de cualquier otra prestación análoga establecida en los restantes regímenes públicos de protección social”. </w:t>
      </w:r>
    </w:p>
    <w:p w:rsidR="00E3576C" w:rsidRDefault="00E3576C" w:rsidP="00E3576C">
      <w:pPr>
        <w:pStyle w:val="TextoNormal"/>
      </w:pPr>
    </w:p>
    <w:p w:rsidR="00E3576C" w:rsidRDefault="00E3576C" w:rsidP="00E3576C">
      <w:pPr>
        <w:pStyle w:val="TextoNormal"/>
      </w:pPr>
      <w:r>
        <w:t xml:space="preserve">El Parlamento de Cataluña sostiene en su recurso que el mencionado apartado 4 del art. 38 LGSS es inconstitucional desde el punto de vista del orden de distribución competencial, al disponer que cualquier prestación de carácter público que afecte a la zona de confluencia con la asistencia interna de la Seguridad Social, formará parte de este sistema de competencia estatal, lo que supone, a su juicio, negar a las Comunidades Autónomas la competencia sobre “asistencia social” prevista en el art. 148.1.20 CE. En este sentido, se indica que el Estado no puede, al amparo de la competencia prevista en el art. 149.1.17 CE, menguar o restringir el ámbito propio de la referida competencia autonómica y, en la medida en que el </w:t>
      </w:r>
      <w:r>
        <w:lastRenderedPageBreak/>
        <w:t>precepto impugnado impide que se puedan establecer por las Comunidades Autónomas prestaciones de asistencia social que sean complementarias a las del sistema de la Seguridad Social, se estaría vulnerando el orden de competencias establecido en la Constitución y, por lo que se refiere al presente caso, el Estatuto de Autonomía de Cataluña. En este sentido, se prosigue diciendo que resulta evidente que según el art. 149.1.17 CE corresponde al Estado, dentro de su competencia, preservar la unidad del sistema español de Seguridad Social, y el mantenimiento de un régimen público, o sea, único y unitario, de Seguridad Social para todos los ciudadanos que garantice la igualdad de todos los españoles en el ejercicio de sus derechos y en el cumplimiento de sus deberes en materia de Seguridad Social, haciendo efectivos los principios de solidaridad interterritorial y de unidad de caja. Sin embargo, para ello no se pueden utilizar medidas que vacíen parte del contenido competencial de otro título competencial, a saber, el de “asistencia social” atribuido a las Comunidades Autónomas. Es decir, el legislador estatal no puede incidir en el sistema de delimitación de competencias entre el Estado y las Comunidades Autónomas sin una previsión constitucional o estatutaria expresa, ni tampoco puede dictar normas que contravengan el sistema constitucional de competencias para integrar hipotéticas lagunas existentes en la Constitución, o entrar indirectamente en la delimitación de competencias, tal y como ha tenido la oportunidad de afirmar la STC 76/1983, de 5 de agosto (FJ 4). También se hace referencia a lo largo de todo el recurso a la STC 239/2002, por la que se resolvieron los conflictos positivos de competencia planteados por el Gobierno del Estado contra los decretos de la Junta de Andalucía que establecían ayudas económicas complementarias de carácter extraordinario a favor de pensionistas de jubilación e invalidez en su modalidad contributiva. En esa Sentencia se declaró que el sistema de la Seguridad Social no resultaba perturbado por las ayudas controvertidas proporcionadas por la Junta de Andalucía, ni tampoco las condiciones básicas que garantizan la igualdad de los españoles en lo relativo a la percepción de pensiones (art. 149.1.1 y 14 CE), máxime cuando el Estado tiene la posibilidad de adoptar las medidas que resulten convenientes para evitar los posibles efectos disfuncionales que pudieran producirse en dicho sistema como consecuencia de la acción normativa de las Comunidades Autónomas. En definitiva, el Parlamento de Cataluña mantiene en el recurso planteado que el apartado 4 del art. 38 LGSS es inconstitucional y, por conexión, también el art. 189.2, primer párrafo de la misma ley, por la referencia que efectúa a “cualquier otra prestación análoga establecida en los restantes regímenes públicos de protección social”.</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23 de marzo de 2004 de la Sección Cuarta de este Tribunal, se acordó admitir a trámite el recurso de inconstitucionalidad promovido por el Parlamento de Cataluña, dando traslado del mismo y de los documentos que le acompañan, conforme establece el art. 34 de la Ley Orgánica del Tribunal Constitucional (LOTC), al Congreso de los Diputados y al Senado, así como al Gobierno, al objeto de que, en el plazo de quince días pudiesen personarse en el proceso y formular alegaciones. Asimismo, se acordó publicar la incoación del recurso en el “Boletín Oficial del Estado”.</w:t>
      </w:r>
    </w:p>
    <w:p w:rsidR="00E3576C" w:rsidRDefault="00E3576C" w:rsidP="00E3576C">
      <w:pPr>
        <w:pStyle w:val="TextoNormal"/>
      </w:pPr>
    </w:p>
    <w:p w:rsidR="00E3576C" w:rsidRDefault="00E3576C" w:rsidP="00E3576C">
      <w:pPr>
        <w:pStyle w:val="TextoNormal"/>
      </w:pPr>
      <w:r w:rsidRPr="00E3576C">
        <w:rPr>
          <w:rStyle w:val="NumeroAFNegritaCaracter"/>
        </w:rPr>
        <w:t>3</w:t>
      </w:r>
      <w:r>
        <w:t>. Por escrito fechado el día 2 de abril de 2004, el Abogado del Estado, en la representación que ostenta, se persona en el proceso y efectúa alegaciones solicitando la desestimación del recurso, al entender que el art. 38, apartado 4 LGSS impugnado no afecta a la libertad de las Comunidades Autónomas de ejercer la competencia atribuida sobre la “asistencia social”, pudiendo orientar estas su gasto a prestaciones nuevas o distintas, en todo caso ajenas al sistema y dentro de los límites establecidos por el Tribunal Constitucional.</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4</w:t>
      </w:r>
      <w:r>
        <w:t>. El día 5 de abril de 2004 se registra en el Tribunal escrito de la Presidenta del Congreso de los Diputados mediante el cual se comunica que esa Cámara no se persona en el procedimiento ni formula alegaciones.</w:t>
      </w:r>
    </w:p>
    <w:p w:rsidR="00E3576C" w:rsidRDefault="00E3576C" w:rsidP="00E3576C">
      <w:pPr>
        <w:pStyle w:val="TextoNormal"/>
      </w:pPr>
    </w:p>
    <w:p w:rsidR="00E3576C" w:rsidRDefault="00E3576C" w:rsidP="00E3576C">
      <w:pPr>
        <w:pStyle w:val="TextoNormal"/>
      </w:pPr>
      <w:r w:rsidRPr="00E3576C">
        <w:rPr>
          <w:rStyle w:val="NumeroAFNegritaCaracter"/>
        </w:rPr>
        <w:t>5</w:t>
      </w:r>
      <w:r>
        <w:t>. Por providencia de 14 de febrero del 2012 del Pleno de este Tribunal, se acordó oír a las partes personadas por término de diez días para que pudieran alegar, conforme a lo dispuesto en el art. 84 LOTC, sobre la eventual pérdida del objeto del presente recurso de inconstitucionalidad con motivo de la modificación del apartado 4 del art. 38 LGSS impugnado por la Ley 4/2005, de 22 de abril, sobre efectos en las pensiones no contributivas de los complementos otorgados por las Comunidades Autónomas.</w:t>
      </w:r>
    </w:p>
    <w:p w:rsidR="00E3576C" w:rsidRDefault="00E3576C" w:rsidP="00E3576C">
      <w:pPr>
        <w:pStyle w:val="TextoNormal"/>
      </w:pPr>
    </w:p>
    <w:p w:rsidR="00E3576C" w:rsidRDefault="00E3576C" w:rsidP="00E3576C">
      <w:pPr>
        <w:pStyle w:val="TextoNormal"/>
      </w:pPr>
      <w:r w:rsidRPr="00E3576C">
        <w:rPr>
          <w:rStyle w:val="NumeroAFNegritaCaracter"/>
        </w:rPr>
        <w:t>6</w:t>
      </w:r>
      <w:r>
        <w:t>. Mediante escrito registrado en este Tribunal con fecha de 29 de febrero de 2012, el Parlamento de Cataluña solicita que se declare la pérdida de objeto del presente recurso de inconstitucionalidad, por entender que la nueva redacción dada al apartado 4 del art. 38 LGSS por la Ley 4/2005, de 22 de abril, permite a la Generalitat el ejercicio de las competencias en materia de asistencia social que tiene estatutariamente atribuidas. Se añade, además, que con posterioridad a la aprobación de la citada Ley 4/2005, el Parlamento de Cataluña dictó la Ley 13/2006, de 27 de julio, de prestaciones sociales de carácter económico, en el ejercicio de las competencias atribuidas en el art. 33.2 del Estatuto de Autonomía de Cataluña de 1979, y que dicha norma ha venido aplicándose con normalidad hasta la fecha.</w:t>
      </w:r>
    </w:p>
    <w:p w:rsidR="00E3576C" w:rsidRDefault="00E3576C" w:rsidP="00E3576C">
      <w:pPr>
        <w:pStyle w:val="TextoNormal"/>
      </w:pPr>
    </w:p>
    <w:p w:rsidR="00E3576C" w:rsidRDefault="00E3576C" w:rsidP="00E3576C">
      <w:pPr>
        <w:pStyle w:val="TextoNormal"/>
      </w:pPr>
      <w:r w:rsidRPr="00E3576C">
        <w:rPr>
          <w:rStyle w:val="NumeroAFNegritaCaracter"/>
        </w:rPr>
        <w:t>7</w:t>
      </w:r>
      <w:r>
        <w:t>. Con fecha de registro en este Tribunal de 29 de febrero de 2012, el Abogado del Estado evacúa el trámite de alegaciones conferido, solicitando también la declaración de la pérdida de objeto de este recurso por sobrevenida desaparición de la controversia competencial planteada, al haber quedado eliminada cualquier restricción o traba para el pleno ejercicio por las Comunidades Autónomas de su competencia de asistencia social tras operarse la modificación del precepto impugnado en virtud de la Ley 4/2005, de 22 de abril.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Como ha quedado expuesto en los antecedentes de esta resolución, el presente recurso de inconstitucionalidad se plantea por el Parlamento de Cataluña contra el apartado 4 del art. 38 del texto refundido de la Ley General de la Seguridad Social, aprobado por Real decreto legislativo 1/1994, de 20 de junio (LGSS), que fue introducido por el art. 1, dos, de la Ley 52/2003, de 10 de diciembre, de disposiciones específicas de Seguridad Social, en virtud del cual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 También se impugna en el recurso, por conexión con aquel precepto, el art. 189.2, párrafo primero, del mencionado texto refundido, en la nueva redacción dada por el art. 19, apartado tres, de la citada Ley 52/2003, que con relación a las prestaciones familiares no contributivas establece que “serán incompatibles con la percepción, por parte del padre o de la madre, de cualquier otra prestación análoga establecida en los restantes regímenes públicos de protección social”. </w:t>
      </w:r>
    </w:p>
    <w:p w:rsidR="00E3576C" w:rsidRDefault="00E3576C" w:rsidP="00E3576C">
      <w:pPr>
        <w:pStyle w:val="TextoNormal"/>
      </w:pPr>
    </w:p>
    <w:p w:rsidR="00E3576C" w:rsidRDefault="00E3576C" w:rsidP="00E3576C">
      <w:pPr>
        <w:pStyle w:val="TextoNormal"/>
      </w:pPr>
      <w:r>
        <w:lastRenderedPageBreak/>
        <w:t>El fundamento del recurso de inconstitucionalidad formulado por el Parlamento de Cataluña reposa en la alegación de que los preceptos impugnados atribuirían en exclusiva a la competencia estatal de Seguridad Social (art. 149.1.17 CE) todo tipo de prestaciones asistenciales, bajo el pretexto de que la Seguridad Social comprende tanto las prestaciones contributivas como las no contributivas, excluyendo, de este modo, la posibilidad de que las Comunidades Autónomas otorguen ayudas de tipo asistencial que complementen las pensiones de la Seguridad Social, a pesar de que conforme al art. 148.1.20 CE pueden asumir competencias en materia de “asistencia social” (como ha sido el caso de la Comunidad Autónoma de Cataluña a través del art. 9.25 del entonces vigente Estatuto de Autonomía de Cataluña de 1979) y de que el propio Tribunal Constitucional en su STC 239/2002, de 11 de diciembre, así lo haya reconocido. El Abogado del Estado, por su parte, rechaza la inconstitucionalidad de las normas impugnadas por entender que no suponen menoscabo alguno de las competencias que pueden asumir las Comunidades Autónomas con base al art. 148.1.20 CE en materia de “asistencia social”, en tanto que estas últimas pueden ejercerla siempre que orienten su gasto a prestaciones nuevas y distintas de las cubiertas por el sistema de Seguridad Social, es decir, cuando las dirijan a colectivos que no tengan cubiertas sus necesidades mínimas por las prestaciones del citado sistema.</w:t>
      </w:r>
    </w:p>
    <w:p w:rsidR="00E3576C" w:rsidRDefault="00E3576C" w:rsidP="00E3576C">
      <w:pPr>
        <w:pStyle w:val="TextoNormal"/>
      </w:pPr>
    </w:p>
    <w:p w:rsidR="00E3576C" w:rsidRDefault="00E3576C" w:rsidP="00E3576C">
      <w:pPr>
        <w:pStyle w:val="TextoNormal"/>
      </w:pPr>
      <w:r>
        <w:t>Con posterioridad al planteamiento de este recurso, la Ley 4/2005, de 22 de abril, sobre efectos en las pensiones no contributivas de los complementos otorgados por las Comunidades Autónomas, modificó el apartado 4 del art. 38 LGSS recurrido, con el fin, según su exposición de motivos, “de reconducir esta situación en los términos de la doctrina constitucional, garantizando a las Comunidades Autónomas el pleno ejercicio de sus competencias para determinar complementos de las pensiones no contributivas, cuando así lo acuerden sus respectivos parlamentos y, al mismo tiempo, posibilitar que estos complementos no minoren la cuantía de las pensiones no contributivas, de modo que se mejoren, de forma efectiva, las condiciones de vida de los pensionistas”. Con tal finalidad, se suprime del precepto la referencia que se hacía en él a las prestaciones en su modalidad no contributiva, quedando su redacción del siguiente modo: “Cualquier prestación de carácter público que tenga como finalidad complementar, ampliar o modificar las prestaciones de la Seguridad Social, en su modalidad contributiva, forma parte del sistema de la Seguridad Social y está sujeto a los principios regulados en el artículo 2 de esta Ley”. Se añade, además, un nuevo párrafo del siguiente tenor: “Lo previsto en el párrafo anterior se entiende sin perjuicio de las ayudas de otra naturaleza que, en el ejercicio de sus competencias, puedan establecer las Comunidades Autónomas en beneficio de los pensionistas residentes en ellas”.</w:t>
      </w:r>
    </w:p>
    <w:p w:rsidR="00E3576C" w:rsidRDefault="00E3576C" w:rsidP="00E3576C">
      <w:pPr>
        <w:pStyle w:val="TextoNormal"/>
      </w:pPr>
    </w:p>
    <w:p w:rsidR="00E3576C" w:rsidRDefault="00E3576C" w:rsidP="00E3576C">
      <w:pPr>
        <w:pStyle w:val="TextoNormal"/>
      </w:pPr>
      <w:r w:rsidRPr="00E3576C">
        <w:rPr>
          <w:rStyle w:val="NumeroAFNegritaCaracter"/>
        </w:rPr>
        <w:t>2</w:t>
      </w:r>
      <w:r>
        <w:t>. A la vista de la referida modificación legislativa, el Tribunal acordó abrir trámite de audiencia a las partes conforme al art. 84 de la Ley Orgánica del Tribunal Constitucional para que pudieran alegar sobre la incidencia que tal reforma pudiera tener en la pervivencia del presente recurso de inconstitucionalidad, dado que la controversia competencial planteada se ceñía a la imposibilidad de complementar prestaciones no contributivas de la Seguridad Social. Como ha quedado recogido en los antecedentes, tanto la representación procesal del Parlamento de Cataluña, como el Abogado del Estado en nombre del Gobierno, han solicitado que se declare la pérdida sobrevenida del objeto de este recurso de inconstitucionalidad.</w:t>
      </w:r>
    </w:p>
    <w:p w:rsidR="00E3576C" w:rsidRDefault="00E3576C" w:rsidP="00E3576C">
      <w:pPr>
        <w:pStyle w:val="TextoNormal"/>
      </w:pPr>
    </w:p>
    <w:p w:rsidR="00E3576C" w:rsidRDefault="00E3576C" w:rsidP="00E3576C">
      <w:pPr>
        <w:pStyle w:val="TextoNormal"/>
      </w:pPr>
      <w:r>
        <w:t xml:space="preserve">Efectivamente, es así ya que la modificación legislativa realizada por la citada Ley 4/2005, de 22 de abril en el precepto impugnado (apartado 4 del art. 38 del texto refundido </w:t>
      </w:r>
      <w:r>
        <w:lastRenderedPageBreak/>
        <w:t>de la Ley General de la Seguridad Social, en la redacción dada por el art.1, dos, de la Ley 52/2003, de 10 de diciembre, de disposiciones específicas en materia de Seguridad Social) permite el ejercicio de las competencias en materia de asistencia social que la Generalitat tiene atribuidas, sin que perviva la controversia competencial denunciada en el recurso.</w:t>
      </w:r>
    </w:p>
    <w:p w:rsidR="00E3576C" w:rsidRDefault="00E3576C" w:rsidP="00E3576C">
      <w:pPr>
        <w:pStyle w:val="TextoNormal"/>
      </w:pPr>
    </w:p>
    <w:p w:rsidR="00E3576C" w:rsidRDefault="00E3576C" w:rsidP="00E3576C">
      <w:pPr>
        <w:pStyle w:val="TextoNormal"/>
      </w:pPr>
      <w:r>
        <w:t>Finalmente, y puesto que la impugnación del art. 189.2, primer párrafo, de la LGSS se realiza únicamente por su conexión con el apartado 4 del art. 38 LGSS, también debe apreciarse la pérdida sobrevenida del objeto del recurso de inconstitucionalidad respecto a él, en tanto en cuanto la aplicación de aquél se ve condicionada por la reforma legislativa operada en este último.</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del recurso de inconstitucionalidad 1383-2004 por desaparición sobrevenida de su objeto.</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1" w:name="AUTO_2012_50"/>
      <w:r>
        <w:lastRenderedPageBreak/>
        <w:t>AUTO 50/2012, de 13 de marzo de 2012</w:t>
      </w:r>
    </w:p>
    <w:bookmarkEnd w:id="191"/>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ECLI:ES:TC:2012:50A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desaparición sobrevenida de su objeto, de la cuestión de inconstitucionalidad 7146-2004, planteada por el Juzgado de Primera Instancia núm. 2 de San Bartolomé de Tirajana en relación con el apartado cuarto de la disposición transitoria única de la Ley del Parlamento de Canarias 5/1999, de 15 de marzo, de ordenación del turismo de Canarias.</w:t>
      </w:r>
    </w:p>
    <w:p w:rsidR="00E3576C" w:rsidRDefault="00E3576C" w:rsidP="00E3576C">
      <w:pPr>
        <w:pStyle w:val="SntesisDescriptiva"/>
      </w:pPr>
    </w:p>
    <w:p w:rsidR="00E3576C" w:rsidRDefault="00E3576C" w:rsidP="00E3576C">
      <w:pPr>
        <w:pStyle w:val="SntesisAnaltica"/>
      </w:pPr>
      <w:r>
        <w:t>Cuestión de inconstitucionalidad: pérdida sobrevenida de objeto por derogación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29 de noviembre de 2004 tuvo entrada en el Registro General de este Tribunal un escrito del Juzgado de Primera Instancia núm. 2 de San Bartolomé de Tirajana, al que se acompaña, junto al testimonio del correspondiente procedimiento, Auto de dicho Juzgado de 2 de noviembre de 2004 planteando cuestión de inconstitucionalidad en relación con el apartado cuatro de la disposición transitoria única de la Ley del Parlamento de Canarias 5/1999, de 15 de marzo, que modifica la Ley 7/1995, de 6 de abril, de ordenación del turismo de Canarias, por posible vulneración de los arts. 14 y 149.1.8 CE.</w:t>
      </w:r>
    </w:p>
    <w:p w:rsidR="00E3576C" w:rsidRDefault="00E3576C" w:rsidP="00E3576C">
      <w:pPr>
        <w:pStyle w:val="TextoNormal"/>
      </w:pPr>
    </w:p>
    <w:p w:rsidR="00E3576C" w:rsidRDefault="00E3576C" w:rsidP="00E3576C">
      <w:pPr>
        <w:pStyle w:val="TextoNormal"/>
      </w:pPr>
      <w:r w:rsidRPr="00E3576C">
        <w:rPr>
          <w:rStyle w:val="NumeroAFNegritaCaracter"/>
        </w:rPr>
        <w:t>2</w:t>
      </w:r>
      <w:r>
        <w:t>. La presente cuestión de inconstitucionalidad tiene su origen en una demanda en materia de retracto de comuneros interpuesta por una entidad mercantil a fin de que se declarase su derecho a retraer una vivienda que había sido adquirida por un particular mediante compraventa. Seguido el expediente en sus trámites, el Juzgado de Primera Instancia núm. 2 de San Bartolomé de Tirajana, mediante providencia de 13 de abril de 2004 confirmada en reposición por Auto de 27 de julio de 2004, acordó oír a las partes y al Ministerio Fiscal para que pudieran alegar sobre la pertinencia de plantear cuestión de inconstitucionalidad respecto al apartado cuatro de la disposición transitoria única de la Ley del Parlamento de Canarias 5/1999, de 15 de marzo, que modifica la Ley 7/1995, de 6 de abril, de ordenación del turismo de Canarias, en cuanto que dicho precepto sería contrario a los arts. 14 y 149.1.8 CE.</w:t>
      </w:r>
    </w:p>
    <w:p w:rsidR="00E3576C" w:rsidRDefault="00E3576C" w:rsidP="00E3576C">
      <w:pPr>
        <w:pStyle w:val="TextoNormal"/>
      </w:pPr>
    </w:p>
    <w:p w:rsidR="00E3576C" w:rsidRDefault="00E3576C" w:rsidP="00E3576C">
      <w:pPr>
        <w:pStyle w:val="TextoNormal"/>
      </w:pPr>
      <w:r>
        <w:lastRenderedPageBreak/>
        <w:t>La parte actora se opuso a la formalización de la cuestión de inconstitucionalidad, mientras que la parte demandada y el Ministerio Fiscal se mostraron partidarios de su planteamiento.</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Auto de 28 de septiembre de 2004 el Juzgado de Primera Instancia núm. 2 de San Bartolomé de Tirajana formaliza la cuestión de inconstitucionalidad en relación con el apartado cuatro de la disposición transitoria única de la Ley 5/1999, que modifica la Ley 7/1995, de ordenación del turismo de Canarias. El órgano judicial consideró que el precepto legal cuestionado podría ser contrario al art. 149.1.8 CE, en lo referente a la competencia estatal exclusiva en materia de legislación civil, salvo en lo referente a los derechos civiles forales o especiales, sin que al día de hoy la Comunidad Autónoma de Canarias tenga competencia en tal materia; así como al art. 14 CE, en cuanto a la exclusión que se hace del derecho a retraer respecto de los propietarios que no se dediquen a la explotación de sus inmuebles. Formula a continuación, sucintamente, diversas razones por las que entiende que, sin embargo, no se infringirían por el precepto legal cuestionado los arts. 24, 38, 47, 53 y 149.1.6 CE. Finaliza exponiendo que la cuestión suscitada no puede resolverse por vía interpretativa, puesto que lo que se debate es la competencia de la Comunidad Autónoma para dictar la norma y que ésta sería esencial para resolver el litigio, dado que lo que ejerce la parte actora es una pretensión de retracto fundada en dicha norma, pretensión que debiera ser desestimada si la tan referida norma fuera inconstitucional.</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2 de febrero de 2005 la Sección Tercera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“Boletín Oficial de Canarias”.</w:t>
      </w:r>
    </w:p>
    <w:p w:rsidR="00E3576C" w:rsidRDefault="00E3576C" w:rsidP="00E3576C">
      <w:pPr>
        <w:pStyle w:val="TextoNormal"/>
      </w:pPr>
    </w:p>
    <w:p w:rsidR="00E3576C" w:rsidRDefault="00E3576C" w:rsidP="00E3576C">
      <w:pPr>
        <w:pStyle w:val="TextoNormal"/>
      </w:pPr>
      <w:r w:rsidRPr="00E3576C">
        <w:rPr>
          <w:rStyle w:val="NumeroAFNegritaCaracter"/>
        </w:rPr>
        <w:t>5</w:t>
      </w:r>
      <w:r>
        <w:t>. El día 21 de febrero de 2005 el Presidente del Congreso de los Diputados comunicó al Tribunal que dicha Cámara no se personaría en el proceso ni formularía alegaciones.</w:t>
      </w:r>
    </w:p>
    <w:p w:rsidR="00E3576C" w:rsidRDefault="00E3576C" w:rsidP="00E3576C">
      <w:pPr>
        <w:pStyle w:val="TextoNormal"/>
      </w:pPr>
    </w:p>
    <w:p w:rsidR="00E3576C" w:rsidRDefault="00E3576C" w:rsidP="00E3576C">
      <w:pPr>
        <w:pStyle w:val="TextoNormal"/>
      </w:pPr>
      <w:r w:rsidRPr="00E3576C">
        <w:rPr>
          <w:rStyle w:val="NumeroAFNegritaCaracter"/>
        </w:rPr>
        <w:t>6</w:t>
      </w:r>
      <w:r>
        <w:t>. El Abogado del Estado presentó su escrito el día 22 de febrero de 2005 señalando que se personaba en el proceso únicamente a los efectos de que se le notificasen las resoluciones que en él se dicten.</w:t>
      </w:r>
    </w:p>
    <w:p w:rsidR="00E3576C" w:rsidRDefault="00E3576C" w:rsidP="00E3576C">
      <w:pPr>
        <w:pStyle w:val="TextoNormal"/>
      </w:pPr>
    </w:p>
    <w:p w:rsidR="00E3576C" w:rsidRDefault="00E3576C" w:rsidP="00E3576C">
      <w:pPr>
        <w:pStyle w:val="TextoNormal"/>
      </w:pPr>
      <w:r w:rsidRPr="00E3576C">
        <w:rPr>
          <w:rStyle w:val="NumeroAFNegritaCaracter"/>
        </w:rPr>
        <w:t>7</w:t>
      </w:r>
      <w:r>
        <w:t>. El día 24 de febrero de 2005 el Presidente del Senado comunicó que la Cámara se personaba en el proceso, ofreciendo su colaboración.</w:t>
      </w:r>
    </w:p>
    <w:p w:rsidR="00E3576C" w:rsidRDefault="00E3576C" w:rsidP="00E3576C">
      <w:pPr>
        <w:pStyle w:val="TextoNormal"/>
      </w:pPr>
    </w:p>
    <w:p w:rsidR="00E3576C" w:rsidRDefault="00E3576C" w:rsidP="00E3576C">
      <w:pPr>
        <w:pStyle w:val="TextoNormal"/>
      </w:pPr>
      <w:r w:rsidRPr="00E3576C">
        <w:rPr>
          <w:rStyle w:val="NumeroAFNegritaCaracter"/>
        </w:rPr>
        <w:t>8</w:t>
      </w:r>
      <w:r>
        <w:t>. El 3 de marzo de 2005 la Directora general del servicio jurídico del Gobierno de Canarias, en la representación que ostenta, evacuó el trámite de alegaciones concedido solicitando a este Tribunal Constitucional que dictara Sentencia en la que se desestimase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9</w:t>
      </w:r>
      <w:r>
        <w:t>. El Letrado-Secretario General del Parlamento de Canarias presentó sus alegaciones mediante escrito registrado el día 3 de marzo de 2005 en el que interesa la desestimación de la cuestión planteada.</w:t>
      </w:r>
    </w:p>
    <w:p w:rsidR="00E3576C" w:rsidRDefault="00E3576C" w:rsidP="00E3576C">
      <w:pPr>
        <w:pStyle w:val="TextoNormal"/>
      </w:pPr>
    </w:p>
    <w:p w:rsidR="00E3576C" w:rsidRDefault="00E3576C" w:rsidP="00E3576C">
      <w:pPr>
        <w:pStyle w:val="TextoNormal"/>
      </w:pPr>
      <w:r w:rsidRPr="00E3576C">
        <w:rPr>
          <w:rStyle w:val="NumeroAFNegritaCaracter"/>
        </w:rPr>
        <w:t>10</w:t>
      </w:r>
      <w:r>
        <w:t>. El 8 de marzo de 2005 el Fiscal General del Estado formuló sus alegaciones interesando de este Tribunal Constitucional la estimación de la cuestión de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Juzgado de Primera Instancia núm. 4 de San Bartolomé de Tirajana plantea cuestión de inconstitucionalidad en relación con el apartado cuatro de la disposición transitoria única de la Ley 5/1999, de 15 de marzo, del Parlamento de Canarias, de modificación de la Ley 7/1995, de 6 de abril, de ordenación del turismo de Canarias.</w:t>
      </w:r>
    </w:p>
    <w:p w:rsidR="00E3576C" w:rsidRDefault="00E3576C" w:rsidP="00E3576C">
      <w:pPr>
        <w:pStyle w:val="TextoNormal"/>
      </w:pPr>
    </w:p>
    <w:p w:rsidR="00E3576C" w:rsidRDefault="00E3576C" w:rsidP="00E3576C">
      <w:pPr>
        <w:pStyle w:val="TextoNormal"/>
      </w:pPr>
      <w:r>
        <w:t>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 la cuestión de inconstitucionalidad núm. 7146-2004, por desaparición sobrevenida de su objeto.</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2" w:name="AUTO_2012_51"/>
      <w:r>
        <w:lastRenderedPageBreak/>
        <w:t>AUTO 51/2012, de 13 de marzo de 2012</w:t>
      </w:r>
    </w:p>
    <w:bookmarkEnd w:id="192"/>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ECLI:ES:TC:2012:51A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desaparición sobrevenida de su objeto, de la cuestión de inconstitucionalidad 1993-2005, planteada por el Juzgado de Primera Instancia e Instrucción núm. 8 de San Bartolomé de Tirajana en relación con el apartado cuarto de la disposición transitoria única de la Ley del Parlamento de Canarias 5/1999, de 15 de marzo, de ordenación del turismo de Canarias.</w:t>
      </w:r>
    </w:p>
    <w:p w:rsidR="00E3576C" w:rsidRDefault="00E3576C" w:rsidP="00E3576C">
      <w:pPr>
        <w:pStyle w:val="SntesisDescriptiva"/>
      </w:pPr>
    </w:p>
    <w:p w:rsidR="00E3576C" w:rsidRDefault="00E3576C" w:rsidP="00E3576C">
      <w:pPr>
        <w:pStyle w:val="SntesisAnaltica"/>
      </w:pPr>
      <w:r>
        <w:t>Cuestión de inconstitucionalidad: extinción de cuestión de inconstitucionalidad; pérdida sobrevenida de objeto por declaración de inconstitucionalidad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21 de marzo de 2005 tuvo entrada en el Registro General de este Tribunal Constitucional un escrito del Juzgado de Primera Instancia e Instrucción núm. 8 de San Bartolomé de Tirajana, al que se acompaña, junto con el testimonio del correspondiente procedimiento, el Auto del referido Juzgado de 21 de enero de 2005 por el que se acuerda elevar a este Tribunal cuestión de inconstitucionalidad en relación con el apartado cuatro de la disposición transitoria única de la Ley 5/1999, de 15 de marzo, que modifica la Ley 7/1995, de 6 de abril, de ordenación del turismo de Canarias, por posible vulneración de los arts. 14, 38 y 149.1.8 CE.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presente cuestión de inconstitucionalidad tiene su origen en una demanda en materia de retracto de comuneros interpuesta por una entidad mercantil a fin de que se declarase su derecho a retraer una vivienda que había sido adquirida por unos particulares mediante compraventa. Seguido el expediente en sus trámites, el Juzgado de Primera Instancia núm. 8 de San Bartolomé de Tirajana, mediante providencia de 12 de noviembre de 2004, acordó oír a las partes y al Ministerio Fiscal para que pudieran alegar sobre la pertinencia de plantear cuestión de inconstitucionalidad respecto al apartado cuatro de la disposición transitoria única de la Ley del Parlamento de Canarias 5/1999, de 15 de marzo, que modifica la Ley 7/1995, de 6 de abril, de ordenación del turismo de Canarias, en cuanto que dicho precepto sería contrario a los arts. 14, 38 y 149.1.8 CE. </w:t>
      </w:r>
    </w:p>
    <w:p w:rsidR="00E3576C" w:rsidRDefault="00E3576C" w:rsidP="00E3576C">
      <w:pPr>
        <w:pStyle w:val="TextoNormal"/>
      </w:pPr>
    </w:p>
    <w:p w:rsidR="00E3576C" w:rsidRDefault="00E3576C" w:rsidP="00E3576C">
      <w:pPr>
        <w:pStyle w:val="TextoNormal"/>
      </w:pPr>
      <w:r>
        <w:lastRenderedPageBreak/>
        <w:t>La parte actora se opuso a la formalización de la cuestión de inconstitucionalidad, mientras que la parte demandada y el Ministerio Fiscal se mostraron partidarios de su planteamiento.</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Auto de 21 de enero de 2005 el Juzgado de Primera Instancia núm. 8 de San Bartolomé de Tirajana formaliza la cuestión de inconstitucionalidad en relación con el apartado cuatro de la disposición transitoria única de la Ley 5/1999, que modifica la Ley 7/1995, de ordenación del turismo de Canarias. El órgano judicial consideró que el precepto legal cuestionado podría ser contrario al art. 14 CE en cuanto que se excluye del derecho de adquisición preferente a “los titulares de unidades alojativas no destinadas a explotación, así como a cualquier otra persona que, al margen de la explotación turística, pudiera tener interés en la adquisición de tales unidades”. La infracción del art. 38 CE se produciría como consecuencia de la concentración de la propiedad de inmuebles turísticos en unidades o empresas de explotación, constituyendo un régimen de monopolio. El art. 149.1.8 CE se vulneraría por carecer la Comunidad Autónoma de Canarias de competencia para legislar en materia de “Derecho civil”, pues no posee el derecho foral o especial al que hace referencia aquel precepto constitucional.</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10 de mayo de 2005 la Sección Segunda del Tribunal Constitucional acordó admitir a trámite la cuestión de inconstitucionalidad y dar traslado de las actuaciones, conforme dispone el art. 37.2 de la Ley Orgánica del Tribunal Constitucional, al Congreso de los Diputados y al Senado, al Gobierno y al Fiscal General del Estado, así como al Gobierno y al Parlamento de Canarias al objeto de que en plazo de quince días pudieran personarse en el proceso y formular alegaciones. También se acordó publicar la incoación de la cuestión en el “Boletín Oficial del Estado” y en el “Boletín Oficial de Canarias”.</w:t>
      </w:r>
    </w:p>
    <w:p w:rsidR="00E3576C" w:rsidRDefault="00E3576C" w:rsidP="00E3576C">
      <w:pPr>
        <w:pStyle w:val="TextoNormal"/>
      </w:pPr>
    </w:p>
    <w:p w:rsidR="00E3576C" w:rsidRDefault="00E3576C" w:rsidP="00E3576C">
      <w:pPr>
        <w:pStyle w:val="TextoNormal"/>
      </w:pPr>
      <w:r w:rsidRPr="00E3576C">
        <w:rPr>
          <w:rStyle w:val="NumeroAFNegritaCaracter"/>
        </w:rPr>
        <w:t>5</w:t>
      </w:r>
      <w:r>
        <w:t>. Abogado del Estado presentó su escrito el día 23 de mayo de 2005 señalando que se personaba en el proceso únicamente a los efectos de que se le notificasen las resoluciones que en él se dicten.</w:t>
      </w:r>
    </w:p>
    <w:p w:rsidR="00E3576C" w:rsidRDefault="00E3576C" w:rsidP="00E3576C">
      <w:pPr>
        <w:pStyle w:val="TextoNormal"/>
      </w:pPr>
    </w:p>
    <w:p w:rsidR="00E3576C" w:rsidRDefault="00E3576C" w:rsidP="00E3576C">
      <w:pPr>
        <w:pStyle w:val="TextoNormal"/>
      </w:pPr>
      <w:r w:rsidRPr="00E3576C">
        <w:rPr>
          <w:rStyle w:val="NumeroAFNegritaCaracter"/>
        </w:rPr>
        <w:t>6</w:t>
      </w:r>
      <w:r>
        <w:t>. El día 27 de mayo de 2005 el Presidente del Senado comunicó que la Cámara se personaba en el proceso, ofreciendo su colaboración.</w:t>
      </w:r>
    </w:p>
    <w:p w:rsidR="00E3576C" w:rsidRDefault="00E3576C" w:rsidP="00E3576C">
      <w:pPr>
        <w:pStyle w:val="TextoNormal"/>
      </w:pPr>
    </w:p>
    <w:p w:rsidR="00E3576C" w:rsidRDefault="00E3576C" w:rsidP="00E3576C">
      <w:pPr>
        <w:pStyle w:val="TextoNormal"/>
      </w:pPr>
      <w:r w:rsidRPr="00E3576C">
        <w:rPr>
          <w:rStyle w:val="NumeroAFNegritaCaracter"/>
        </w:rPr>
        <w:t>7</w:t>
      </w:r>
      <w:r>
        <w:t>. El día 31 de mayo de 2005 el Presidente del Congreso de los Diputados comunicó al Tribunal que dicha Cámara no se personaría en el proceso ni formularía alegaciones.</w:t>
      </w:r>
    </w:p>
    <w:p w:rsidR="00E3576C" w:rsidRDefault="00E3576C" w:rsidP="00E3576C">
      <w:pPr>
        <w:pStyle w:val="TextoNormal"/>
      </w:pPr>
    </w:p>
    <w:p w:rsidR="00E3576C" w:rsidRDefault="00E3576C" w:rsidP="00E3576C">
      <w:pPr>
        <w:pStyle w:val="TextoNormal"/>
      </w:pPr>
      <w:r w:rsidRPr="00E3576C">
        <w:rPr>
          <w:rStyle w:val="NumeroAFNegritaCaracter"/>
        </w:rPr>
        <w:t>8</w:t>
      </w:r>
      <w:r>
        <w:t>. El Letrado-Secretario General del Parlamento de Canarias presentó sus alegaciones mediante escrito registrado el día 3 de junio de 2005 en el que interesa la desestimación de la cuestión planteada.</w:t>
      </w:r>
    </w:p>
    <w:p w:rsidR="00E3576C" w:rsidRDefault="00E3576C" w:rsidP="00E3576C">
      <w:pPr>
        <w:pStyle w:val="TextoNormal"/>
      </w:pPr>
    </w:p>
    <w:p w:rsidR="00E3576C" w:rsidRDefault="00E3576C" w:rsidP="00E3576C">
      <w:pPr>
        <w:pStyle w:val="TextoNormal"/>
      </w:pPr>
      <w:r w:rsidRPr="00E3576C">
        <w:rPr>
          <w:rStyle w:val="NumeroAFNegritaCaracter"/>
        </w:rPr>
        <w:t>9</w:t>
      </w:r>
      <w:r>
        <w:t>. El 8 de junio de 2005 la Directora general del servicio jurídico del Gobierno de Canarias, en la representación que ostenta, evacuó el trámite de alegaciones concedido solicitando a este Tribunal Constitucional que dictara Sentencia en la que se desestimase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10</w:t>
      </w:r>
      <w:r>
        <w:t>. El 8 de junio de 2005 el Fiscal General del Estado formuló sus alegaciones interesando de este Tribunal Constitucional la estimación de la cuestión de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Juzgado de Primera Instancia núm. 4 de San Bartolomé de Tirajana plantea cuestión de inconstitucionalidad en relación con el apartado cuatro de la disposición transitoria única de la Ley 5/1999, de 15 de marzo, del Parlamento de Canarias, de modificación de la Ley 7/1995, de 6 de abril, de ordenación del turismo de Canarias.</w:t>
      </w:r>
    </w:p>
    <w:p w:rsidR="00E3576C" w:rsidRDefault="00E3576C" w:rsidP="00E3576C">
      <w:pPr>
        <w:pStyle w:val="TextoNormal"/>
      </w:pPr>
      <w:r>
        <w:t xml:space="preserve"> </w:t>
      </w:r>
    </w:p>
    <w:p w:rsidR="00E3576C" w:rsidRDefault="00E3576C" w:rsidP="00E3576C">
      <w:pPr>
        <w:pStyle w:val="TextoNormal"/>
      </w:pPr>
      <w:r>
        <w:t>En la STC 28/2012, de 1 de marzo, estimatoria de la cuestión de inconstitucionalidad núm. 6548-2001, promovida por el Juzgado de Primera Instancia núm. 7 de San Bartolomé de Tirajana y dictada con posterioridad a la admisión a trámite de la presente cuestión, este Tribunal ha declarado inconstitucional y nulo el apartado cuatro de la disposición transitoria única de la Ley 5/1999, de 15 de marzo, del Parlamento de Canarias, de modificación de la Ley 7/1995, de 6 de abril, de ordenación del turismo de Canarias,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y 381/2008, de 15 de diciembre, FJ único) la desaparición sobrevenida del objeto de la presente cuestión, al haber quedado disipada la duda de constitucionalidad planteada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 la cuestión de inconstitucionalidad núm. 1993-2005, por desaparición sobrevenida de su objeto.</w:t>
      </w:r>
    </w:p>
    <w:p w:rsidR="00E3576C" w:rsidRDefault="00E3576C" w:rsidP="00E3576C">
      <w:pPr>
        <w:pStyle w:val="TextoNormal"/>
      </w:pPr>
    </w:p>
    <w:p w:rsidR="00E3576C" w:rsidRDefault="00E3576C" w:rsidP="00E3576C">
      <w:pPr>
        <w:pStyle w:val="TextoNormal"/>
      </w:pPr>
      <w:r>
        <w:t>Madrid, a trece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3" w:name="AUTO_2012_52"/>
      <w:r>
        <w:lastRenderedPageBreak/>
        <w:t>AUTO 52/2012, de 22 de marzo de 2012</w:t>
      </w:r>
    </w:p>
    <w:bookmarkEnd w:id="193"/>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ECLI:ES:TC:2012:52A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7576-2010, promovido en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94" w:name="AUTO_2012_53"/>
      <w:r>
        <w:lastRenderedPageBreak/>
        <w:t>AUTO 53/2012, de 26 de marzo de 2012</w:t>
      </w:r>
    </w:p>
    <w:bookmarkEnd w:id="194"/>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ECLI:ES:TC:2012:53A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5895-2010, promovido por Fontanería Gallardo, S.L.</w:t>
      </w:r>
    </w:p>
    <w:p w:rsidR="00E3576C" w:rsidRDefault="00E3576C" w:rsidP="00E3576C">
      <w:pPr>
        <w:pStyle w:val="SntesisDescriptiva"/>
      </w:pPr>
    </w:p>
    <w:p w:rsidR="00E3576C" w:rsidRDefault="00E3576C" w:rsidP="00E3576C">
      <w:pPr>
        <w:pStyle w:val="SntesisAnaltica"/>
      </w:pPr>
      <w:r>
        <w:t>Suspensión cautelar de Sentencias civiles: contenido patrimonial; costas procesales, no suspende. Suspensión de la ejecución del acto que origina el amparo: suspensión cautelar de resoluciones judiciales,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21 de julio de 2010 tuvo entrada en el Registro General de este Tribunal escrito firmado por el Procurador de los Tribunales don Juan José Gómez Velasco, en representación de la mercantil Fontanerías Gallardo, S.L., en virtud del cual interponía recurso de amparo contra la Sentencia de 24 de junio de 2010, de la Sección Tercera de la Audiencia Provincial de Badajoz (con sede en Mérida), recaída en el recurso 519-2010 (proveniente del juicio ordinario 659-2008 del Juzgado de Primera Instancia núm. 1 de Don Benito, Badajoz), y contra la providencia de 13 de julio de 2010 de la misma Sección Tercera de la Audiencia Provincial de Badajoz que inadmite a trámite el incidente de nulidad de actuaciones planteado por no acompañar justificante de la tasa señalada en el art. 35 de la Ley 53/2002, de 30 de diciembre, de medidas fiscales, administrativas y de orden social.</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El recurso de amparo se fundamenta en la alegación de vulneración del derecho a la tutela judicial efectiva (art. 24.1 CE). Denuncia la entidad demandante que la Sentencia de apelación no entró a conocer del fondo del asunto al desestimar el recurso por no haberse presentado el documento justificativo de la autoliquidación de la tasa prevista en el art. 35 de la Ley 53/2002, de 30 de diciembre, de medidas fiscales, administrativas y de orden social. Desestimación que se acordó sin que, con carácter previo, se le hubiera conferido el plazo de subsanación de diez días que prevé este mismo artículo. La desestimación del recurso de apelación —a juicio de la demandante— fueron determinantes de la vulneración de su derecho a la tutela judicial efectiva, provocando indefensión e infringiendo el derecho de acceso a los recursos y la exigencia de una resolución fundada en derecho. Mediante otrosí, interesa la suspensión de la Sentencia, en concreto el pronunciamiento relativo a la imposición de costas procesales, por cuanto que, dado que la Sentencia impugnada manifestó que el Tribunal de primera instancia no debió admitir el recurso de apelación, resulta que habiéndolo admitido y habiendo dado lugar al trámite de oposición de la parte contraria, </w:t>
      </w:r>
      <w:r>
        <w:lastRenderedPageBreak/>
        <w:t>no se deberían imponer las costas a la parte apelante por no serle imputable dicho error. Añade que la ejecución de la Sentencia impugnada produce un perjuicio a la recurrente que haría perder al amparo su finalidad, por lo que solicita la suspensión total de sus efectos sobre las costas, ya que la misma no ocasiona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providencia de 16 de febrero de 2012 la Sala Segunda decidió admitir a trámite el presente recurso de amparo, y que se formara pieza separada para tramitar la suspensión interesada por la actora, concediendo, conforme a lo dispuesto en el art. 56 de la Ley Orgánica del Tribunal Constitucional, un plazo común de tres días a la parte recurrente y al Ministerio Fiscal para que alegasen lo que estimaran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4</w:t>
      </w:r>
      <w:r>
        <w:t>. En escrito registrado en este Tribunal el 28 de febrero de 2012, la representación de la recurrente, reprodujo los argumentos de la demanda añadiendo, además, el argumento de que si la finalidad del recurso es obtener amparo para recuperar el derecho a la tutela judicial efectiva y una Sentencia sobre el fondo, sin indefensión, debería poder conseguirse sin causar más perjuicio al propio recurrente, como sería la declaración de firmeza de la resolución y tener que abonar las costas que impone una resolución que no ha entrado en el fondo del asunto injustamente y más aún cuando es la propia Sentencia impugnada la que manifiesta que el Tribunal de primera instancia no debió admitir el recurso de apelación.</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en escrito presentado el 1 de marzo de 2012, tras recordar la doctrina constitucional al respecto, con especial referencia a la relativa a la suspensión de la ejecución de las resoluciones cuyos efectos son fundamentalmente patrimoniales o de contenido económico, considera que se debe denegar la suspensión solicitada. Subraya el Fiscal para sostener su propuesta la falta de precisión y la carencia de acreditación, mediante alegaciones concretas, sobre el carácter irreparable del perjuicio que derivaría para la recurrente de la ejecución del pronunciamiento condenatorio al abono de las costas procesales y sobre la pérdida de la finalidad del amparo en caso de mantenerse la ejecución de la resolución, todo lo cual origina que no pueda estimarse la solicitud de suspensión planteada.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De acuerdo con lo dispuesto en el art. 56.2 de la Ley Orgánica del Tribunal Constitucional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La referida norma tiene un contenido similar al del art. 56.1 LOTC en la redacción anterior a la Ley Orgánica 6/2007, en cuya interpretación, este Tribunal ha mantenido que, cuando se trata de resoluciones judiciales, la suspensión de su ejecución entraña en sí misma una perturbación del interés general consistente en mantener su eficacia (AATC 99/2002, de 5 de junio; 263/2005, de 2 de junio; y 369/2005, de 24 de octubre). Por ello, y en atención </w:t>
      </w:r>
      <w:r>
        <w:lastRenderedPageBreak/>
        <w:t>a la naturaleza especial de la jurisdicción de amparo, la suspensión prevista en la LOTC se configura como una medida provisional de carácter excepcional y de aplicación restrictiva (AATC 227/1999, de 27 de septiembre; 41/2001, de 26 de febrero; 127/2001, de 21 de mayo; y 369/2005), siendo la regla general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228/2001, de 24 de julio; 263/2005, 369/2005 y 214/2007, de 16 de abril). En este sentido, por perjuicio irreparable se ha de entender aquel que provoque que el restablecimiento del recurrente en el derecho constitucional vulnerado sea tardío y convierta el amparo en meramente ilusorio y nominal (por todos AATC 251/2000, de 30 de octubre; 63/2001, de 26 de marzo; 170/2001, de 22 de junio; 9/2003, de 20 de enero; y 338/2005, de 26 de septiembre).</w:t>
      </w:r>
    </w:p>
    <w:p w:rsidR="00E3576C" w:rsidRDefault="00E3576C" w:rsidP="00E3576C">
      <w:pPr>
        <w:pStyle w:val="TextoNormal"/>
      </w:pPr>
    </w:p>
    <w:p w:rsidR="00E3576C" w:rsidRDefault="00E3576C" w:rsidP="00E3576C">
      <w:pPr>
        <w:pStyle w:val="TextoNormal"/>
      </w:pPr>
      <w:r>
        <w:t>Más concretamente, este Tribunal, entre otros, en los AATC 293/2001, de 26 de noviembre, FJ 1; 211/2004, de 2 junio, FJ 2; y 149/2006, de 8 de mayo, FJ 1,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E3576C" w:rsidRDefault="00E3576C" w:rsidP="00E3576C">
      <w:pPr>
        <w:pStyle w:val="TextoNormal"/>
      </w:pPr>
    </w:p>
    <w:p w:rsidR="00E3576C" w:rsidRDefault="00E3576C" w:rsidP="00E3576C">
      <w:pPr>
        <w:pStyle w:val="TextoNormal"/>
      </w:pPr>
      <w:r w:rsidRPr="00E3576C">
        <w:rPr>
          <w:rStyle w:val="NumeroAFNegritaCaracter"/>
        </w:rPr>
        <w:t>2</w:t>
      </w:r>
      <w:r>
        <w:t>. Descendiendo ya al análisis del concreto supuesto a que se refiere la presente petición de suspensión de la Sentencia impugnada en lo que se refiere a la condena al abono de las costas procesales, hemos de señalar que no procede, de conformidad con el criterio de este Tribunal de que, por tratarse de condenas de contenido económico, los perjuicios anejos a su ejecución son perfectamente reparables, incluso aunque se otorgase el amparo (AATC 371/1996, de 16 de diciembre; 91/1997, de 8 de mayo; 182/1998, de 14 de septiembre; 273/1998, de 14 de diciembre; 189/2000, de 24 de julio; 193/2000, de 24 de julio, y 258/2000, de 13 de noviembre). Criterio que se ve confirmado por el dato añadido de que la recurrente no subviene a la carga que le incumbe de acreditar los graves quebrantos que, según afirma en su demanda, le causaría el cumplimiento de lo resuelto (por todos, ATC 251/1998). En este sentido, no podemos más que confirmar la alegación del Ministerio Fiscal de que la recurrente no sólo no justifica, ni cuantifica el perjuicio aducido, sino que tampoco razona en qué forma su actual situación económica pudiera verse comprometida por el pago de las costas a las que fue condenada.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5895-2010 , promovido por Fontanerías Gallardo, S.L.</w:t>
      </w:r>
    </w:p>
    <w:p w:rsidR="00E3576C" w:rsidRDefault="00E3576C" w:rsidP="00E3576C">
      <w:pPr>
        <w:pStyle w:val="TextoNormal"/>
      </w:pPr>
    </w:p>
    <w:p w:rsidR="00E3576C" w:rsidRDefault="00E3576C" w:rsidP="00E3576C">
      <w:pPr>
        <w:pStyle w:val="TextoNormal"/>
      </w:pPr>
      <w:r>
        <w:t>Madrid, a veintiséis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5" w:name="AUTO_2012_54"/>
      <w:r>
        <w:lastRenderedPageBreak/>
        <w:t>AUTO 54/2012, de 26 de marzo de 2012</w:t>
      </w:r>
    </w:p>
    <w:bookmarkEnd w:id="195"/>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ECLI:ES:TC:2012:54A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Declara la falta de competencia del Tribunal Constitucional para conocer de la impugnación de resolución de la comisión central de asistencia jurídica gratuita dictada con ocasión del recurso de amparo 6834-2010, promovido por doña Sankhe Maimouna.</w:t>
      </w:r>
    </w:p>
    <w:p w:rsidR="00E3576C" w:rsidRDefault="00E3576C" w:rsidP="00E3576C">
      <w:pPr>
        <w:pStyle w:val="SntesisDescriptiva"/>
      </w:pPr>
    </w:p>
    <w:p w:rsidR="00E3576C" w:rsidRDefault="00E3576C" w:rsidP="00E3576C">
      <w:pPr>
        <w:pStyle w:val="SntesisAnaltica"/>
      </w:pPr>
      <w:r>
        <w:t>Competencias del Tribunal Constitucional: declaración de incompetencia del Tribunal Constitucional. Derecho a la asistencia letrada: denegación de abogado de oficio.</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presentado en el Registro General de este Tribunal el 21 de septiembre de 2010, doña Sankhe Maimouna solicita amparo del Tribunal Constitucional como consecuencia de la denegación de su autorización de residencia. En su escrito manifestaba que se le permitiera defenderse “ya que carece de recursos para contratar el profesional exigido por la ley, además, según el Colegio de Abogados, esta parte no tiene derecho a abogado de oficio ya que sus ingresos superan el límite establecido por la ley. En caso de denegación de dicho derecho esta parte suplica que se proceda, por el interés de la justicia, a nombrar uno de oficio para salvaguardar la ley. Según lo establecido por el artículo 545 de la Ley Orgánica 6/1985, de 1 de julio, del Poder Judicial, que ampara el hecho de hacerlo cuando se niega el solicitante a nombrarlo por carencia de recursos, todo ello por interés de la justicia”.</w:t>
      </w:r>
    </w:p>
    <w:p w:rsidR="00E3576C" w:rsidRDefault="00E3576C" w:rsidP="00E3576C">
      <w:pPr>
        <w:pStyle w:val="TextoNormal"/>
      </w:pPr>
    </w:p>
    <w:p w:rsidR="00E3576C" w:rsidRDefault="00E3576C" w:rsidP="00E3576C">
      <w:pPr>
        <w:pStyle w:val="TextoNormal"/>
      </w:pPr>
      <w:r w:rsidRPr="00E3576C">
        <w:rPr>
          <w:rStyle w:val="NumeroAFNegritaCaracter"/>
        </w:rPr>
        <w:t>2</w:t>
      </w:r>
      <w:r>
        <w:t>. En coherencia con lo solicitado, la Secretaria de la Sala Segunda de este Tribunal mediante diligencia de ordenación de 29 de septiembre de 2010 se dirigió al Ilustre Colegio de Abogados de Madrid para que, conforme a lo dispuesto en el escrito de la recurrente antes citado, y de acuerdo a lo dispuesto en la Ley 1/1996 y acuerdo de Pleno de este Tribunal de 18 de junio de 1996, sobre asistencia gratuita, se designara Abogado y Procurador de turno de oficio que defendiera y representara respectivamente a la recurrente, nombramientos que debieran realizarse a costa de la demandante, vistas sus manifestaciones realizadas en su escrito.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Mediante escrito de 11 de noviembre de 2010 el Ilustre Colegio de Abogados de Madrid comunicó a este Tribunal que la solicitud de asistencia jurídica gratuita formulada por la recurrente no cumplía las condiciones establecidas en los arts. 2 a) y 3 de la Ley 1/1996, </w:t>
      </w:r>
      <w:r>
        <w:lastRenderedPageBreak/>
        <w:t>de 10 de enero, de asistencia jurídica gratuita, al no haberse acreditado insuficiencia de recursos para litigar; por ello se daba traslado de dicha solicitud, de conformidad con el art. 15 párrafo 2 de la citada ley a la Comisión central de asistencia jurídica gratuita.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 que tuvo su entrada en este Tribunal el 1 de diciembre de 2010, la parte recurrente reiteraba las peticiones que ya había realizado en su escrito inicial. Con igual fecha tuvo su entrada en este Tribunal escrito de la Comisión central de asistencia jurídica gratuita denegando a la recurrente el derecho a la asistencia jurídica gratuita.</w:t>
      </w:r>
    </w:p>
    <w:p w:rsidR="00E3576C" w:rsidRDefault="00E3576C" w:rsidP="00E3576C">
      <w:pPr>
        <w:pStyle w:val="TextoNormal"/>
      </w:pPr>
    </w:p>
    <w:p w:rsidR="00E3576C" w:rsidRDefault="00E3576C" w:rsidP="00E3576C">
      <w:pPr>
        <w:pStyle w:val="TextoNormal"/>
      </w:pPr>
      <w:r w:rsidRPr="00E3576C">
        <w:rPr>
          <w:rStyle w:val="NumeroAFNegritaCaracter"/>
        </w:rPr>
        <w:t>5</w:t>
      </w:r>
      <w:r>
        <w:t>. En providencia de 3 de diciembre de 2010 la Sección Cuarta de este Tribunal acordó incorporar los escritos señalados en los puntos anteriores, concediendo un plazo de diez días a la recurrente para que compareciera en forma por medio de Procurador y asistido de Abogado ambos de su libre designación y a su costa.</w:t>
      </w:r>
    </w:p>
    <w:p w:rsidR="00E3576C" w:rsidRDefault="00E3576C" w:rsidP="00E3576C">
      <w:pPr>
        <w:pStyle w:val="TextoNormal"/>
      </w:pPr>
    </w:p>
    <w:p w:rsidR="00E3576C" w:rsidRDefault="00E3576C" w:rsidP="00E3576C">
      <w:pPr>
        <w:pStyle w:val="TextoNormal"/>
      </w:pPr>
      <w:r w:rsidRPr="00E3576C">
        <w:rPr>
          <w:rStyle w:val="NumeroAFNegritaCaracter"/>
        </w:rPr>
        <w:t>6</w:t>
      </w:r>
      <w:r>
        <w:t>. La Comisión central de asistencia jurídica gratuita comunicó a este Tribunal mediante escrito de 17 de diciembre de 2010, que habiendo recibido escrito de impugnación de la resolución adoptada por dicha Comisión sobre la solicitud de asistencia jurídica de la recurrente —en virtud del art. 20 de la Ley 1/1996, en relación con el art. 2.3 del acuerdo del Pleno del Tribunal Constitucional de 18 de junio de 1996— había remitido el expediente original para su resolución al Decanato de los Juzgados de Primera Instancia e Instrucción de Madrid, interesando que se dictara Auto manteniendo o revocando el acuerdo impugnado.</w:t>
      </w:r>
    </w:p>
    <w:p w:rsidR="00E3576C" w:rsidRDefault="00E3576C" w:rsidP="00E3576C">
      <w:pPr>
        <w:pStyle w:val="TextoNormal"/>
      </w:pPr>
    </w:p>
    <w:p w:rsidR="00E3576C" w:rsidRDefault="00E3576C" w:rsidP="00E3576C">
      <w:pPr>
        <w:pStyle w:val="TextoNormal"/>
      </w:pPr>
      <w:r w:rsidRPr="00E3576C">
        <w:rPr>
          <w:rStyle w:val="NumeroAFNegritaCaracter"/>
        </w:rPr>
        <w:t>7</w:t>
      </w:r>
      <w:r>
        <w:t>. Por providencia de 3 de enero de 2011, la Sección Cuarta de este Tribunal acordó incorporar a las actuaciones la comunicación remitida por la Comisión central de asistencia jurídica gratuita y el archivo provisional de las actuaciones hasta tanto se resolviera la impugnación de la resolución dictada por dicha Comisión.</w:t>
      </w:r>
    </w:p>
    <w:p w:rsidR="00E3576C" w:rsidRDefault="00E3576C" w:rsidP="00E3576C">
      <w:pPr>
        <w:pStyle w:val="TextoNormal"/>
      </w:pPr>
    </w:p>
    <w:p w:rsidR="00E3576C" w:rsidRDefault="00E3576C" w:rsidP="00E3576C">
      <w:pPr>
        <w:pStyle w:val="TextoNormal"/>
      </w:pPr>
      <w:r w:rsidRPr="00E3576C">
        <w:rPr>
          <w:rStyle w:val="NumeroAFNegritaCaracter"/>
        </w:rPr>
        <w:t>8</w:t>
      </w:r>
      <w:r>
        <w:t>. Mediante escrito que tuvo entrada en este Tribunal el 17 de noviembre de 2011, la recurrente comunicaba a este Tribunal la resolución dictada por el Juzgado Contencioso-Administrativo núm. 22 de Madrid por la que dicho Juzgado se declaraba incompetente para conocer de la impugnación del acuerdo de la Comisión central de asistencia jurídica gratuita por la que denegó dicha asistencia a la recurrente; dicho Juzgado acordó remitir la presente pieza separada a la Sala Segunda del Tribunal Constitucional, que entendía competente para conocer de dicha impugnación.</w:t>
      </w:r>
    </w:p>
    <w:p w:rsidR="00E3576C" w:rsidRDefault="00E3576C" w:rsidP="00E3576C">
      <w:pPr>
        <w:pStyle w:val="TextoNormal"/>
      </w:pPr>
    </w:p>
    <w:p w:rsidR="00E3576C" w:rsidRDefault="00E3576C" w:rsidP="00E3576C">
      <w:pPr>
        <w:pStyle w:val="TextoNormal"/>
      </w:pPr>
      <w:r w:rsidRPr="00E3576C">
        <w:rPr>
          <w:rStyle w:val="NumeroAFNegritaCaracter"/>
        </w:rPr>
        <w:t>9</w:t>
      </w:r>
      <w:r>
        <w:t>. La Sección Cuarta de este Tribunal mediante providencia de 20 de enero de 2012 tuvo por recibida la correspondiente pieza separada sobre impugnación de denegación de justicia gratuita remitida por el Juzgado Contencioso-Administrativo núm. 22 de Madrid, y acordó conceder un plazo de tres días al recurrente y al Abogado del Estado para que se pronunciara sobre la competencia de este Tribunal en orden a conocer de la impugnación a la que se refiere el art. 20 de la Ley 1/1996 de 10 de enero, de asistencia jurídica gratuita.</w:t>
      </w:r>
    </w:p>
    <w:p w:rsidR="00E3576C" w:rsidRDefault="00E3576C" w:rsidP="00E3576C">
      <w:pPr>
        <w:pStyle w:val="TextoNormal"/>
      </w:pPr>
    </w:p>
    <w:p w:rsidR="00E3576C" w:rsidRDefault="00E3576C" w:rsidP="00E3576C">
      <w:pPr>
        <w:pStyle w:val="TextoNormal"/>
      </w:pPr>
      <w:r w:rsidRPr="00E3576C">
        <w:rPr>
          <w:rStyle w:val="NumeroAFNegritaCaracter"/>
        </w:rPr>
        <w:t>10</w:t>
      </w:r>
      <w:r>
        <w:t xml:space="preserve">. El Abogado del Estado mediante escrito que tuvo entrada en el Registro General de este Tribunal el 27 de enero de 2012 solicitaba que se dicte Auto declarando la incompetencia del Tribunal Constitucional para resolver la impugnación promovida por la recurrente </w:t>
      </w:r>
      <w:r>
        <w:lastRenderedPageBreak/>
        <w:t>contra la resolución de la Comisión central de asistencia jurídica gratuita y que se devolviera al Juzgado Contencioso-Administrativo núm. 22 de Madrid las actuaciones del procedimiento impugnatorio de la citada resolución.</w:t>
      </w:r>
    </w:p>
    <w:p w:rsidR="00E3576C" w:rsidRDefault="00E3576C" w:rsidP="00E3576C">
      <w:pPr>
        <w:pStyle w:val="TextoNormal"/>
      </w:pPr>
    </w:p>
    <w:p w:rsidR="00E3576C" w:rsidRDefault="00E3576C" w:rsidP="00E3576C">
      <w:pPr>
        <w:pStyle w:val="TextoNormal"/>
      </w:pPr>
      <w:r>
        <w:t>Explica el Abogado del Estado que la Secretaría de Justicia de la Sala Segunda de este Tribunal, de manera correcta, ofició al Colegio de Abogados de Madrid para que se designara Abogado y Procurador de oficio a costa del recurrente, tramitándose sin embargo un procedimiento ordinario de concesión de asistencia jurídica gratuita.</w:t>
      </w:r>
    </w:p>
    <w:p w:rsidR="00E3576C" w:rsidRDefault="00E3576C" w:rsidP="00E3576C">
      <w:pPr>
        <w:pStyle w:val="TextoNormal"/>
      </w:pPr>
    </w:p>
    <w:p w:rsidR="00E3576C" w:rsidRDefault="00E3576C" w:rsidP="00E3576C">
      <w:pPr>
        <w:pStyle w:val="TextoNormal"/>
      </w:pPr>
      <w:r>
        <w:t>Recuerda que la insuficiencia económica sobrevenida “con posterioridad a la interposición del recurso de amparo” es el único supuesto en el que correspondería al Tribunal Constitucional resolver la impugnación del acto denegatorio de asistencia jurídica gratuita (AATC 138/1997 de 7 de mayo, FJ 3; 204/1997 de 4 de junio, FJ 3; y 120/2011 de 19 de septiembre, FJ 2 y 3).</w:t>
      </w:r>
    </w:p>
    <w:p w:rsidR="00E3576C" w:rsidRDefault="00E3576C" w:rsidP="00E3576C">
      <w:pPr>
        <w:pStyle w:val="TextoNormal"/>
      </w:pPr>
    </w:p>
    <w:p w:rsidR="00E3576C" w:rsidRDefault="00E3576C" w:rsidP="00E3576C">
      <w:pPr>
        <w:pStyle w:val="TextoNormal"/>
      </w:pPr>
      <w:r>
        <w:t>Considera el Abogado del Estado que en el presente caso, falta absolutamente el presupuesto fáctico para aplicar la regla que otorga al Tribunal Constitucional la competencia para resolver la impugnación realizada; la parte recurrente reconoce que carece del derecho de asistencia jurídica gratuita porque sus ingresos y los de su cónyuge exceden del doble del salario mínimo, sin solicitar ni acreditar circunstancias que permitían reconocérselo a título excepcional. En contra de lo que parece entender el Juzgado Contencioso-Administrativo núm. 22 de Madrid para apreciar “insuficiencia económica sobrevenida” para la interposición del amparo, no basta con que la solicitud de asistencia jurídica gratuita haya sido formulada en la demanda presentada ante este Tribunal sino que es necesario que los requisitos legales para adquirir tal derecho hayan concurrido con posterioridad a la fecha de tal presentación. Explica el Abogado del Estado que no consta acreditada ni siquiera alegada por la parte ninguna insuficiencia económica sobrevenida tras el 21 de septiembre de 2010, fecha en que se presentó la demanda de amparo.</w:t>
      </w:r>
    </w:p>
    <w:p w:rsidR="00E3576C" w:rsidRDefault="00E3576C" w:rsidP="00E3576C">
      <w:pPr>
        <w:pStyle w:val="TextoNormal"/>
      </w:pPr>
    </w:p>
    <w:p w:rsidR="00E3576C" w:rsidRDefault="00E3576C" w:rsidP="00E3576C">
      <w:pPr>
        <w:pStyle w:val="TextoNormal"/>
      </w:pPr>
      <w:r w:rsidRPr="00E3576C">
        <w:rPr>
          <w:rStyle w:val="NumeroAFNegritaCaracter"/>
        </w:rPr>
        <w:t>11</w:t>
      </w:r>
      <w:r>
        <w:t>. Mediante escrito que tuvo entrada en este Tribunal el 16 de febrero de 2012 la recurrente comunica a este Tribunal que la Administración pública de empleo le ha denegado el alta como demandante de empleo, sin que dedicara argumento alguno para defender la competencia de este Tribunal para resolver la impugnación por ella iniciada.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Como se ha indicado en los antecedentes, la señora Sankhe Maimouna, presentó un escrito ante este Tribunal en el que manifestaba su intención de interponer recurso de amparo contra diversas resoluciones judiciales, solicitando que se le permitiera defenderse ya que carece de recursos para contratar el profesional exigido por la ley, pero afirmando seguidamente que según el Colegio de Abogados, no tiene derecho a Abogado de oficio porque sus ingresos superan el límite establecido por la ley.</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Sin perjuicio de que, en un principio, la Secretaría de Justicia de la Sala Segunda interpretó tal petición como una solicitud para que se oficiara al Colegio de Abogados de Madrid para que le fueran designados profesionales a su cargo, de los sucesivos trámites y </w:t>
      </w:r>
      <w:r>
        <w:lastRenderedPageBreak/>
        <w:t>resoluciones del expediente tramitado, se ha puesto de manifiesto, como ha quedado expuesto en los antecedentes, que lo que en realidad pretendía la actora en su escrito inicial era la designación de Abogado y Procurador a través de la concesión del beneficio de justicia gratuita.</w:t>
      </w:r>
    </w:p>
    <w:p w:rsidR="00E3576C" w:rsidRDefault="00E3576C" w:rsidP="00E3576C">
      <w:pPr>
        <w:pStyle w:val="TextoNormal"/>
      </w:pPr>
    </w:p>
    <w:p w:rsidR="00E3576C" w:rsidRDefault="00E3576C" w:rsidP="00E3576C">
      <w:pPr>
        <w:pStyle w:val="TextoNormal"/>
      </w:pPr>
      <w:r>
        <w:t>Una vez tramitado el expediente y denegado el derecho a la asistencia jurídica gratuita por la Comisión central de asistencia jurídica gratuita, resolución de 29 de noviembre de 2010, se impugnó esta resolución por la señora Sankhe Maimouna, a través de la vía prevista en el art. 20 de la Ley 1/1996, pero el Juzgado Contencioso-Administrativo núm. 22 de Madrid se declaró incompetente para la resolución de dicha impugnación al entender que la competencia correspondía al Tribunal Constitucional, por lo que se remitieron a este Tribunal las actuaciones del juicio de impugnación de la resolución de justicia gratuita.</w:t>
      </w:r>
    </w:p>
    <w:p w:rsidR="00E3576C" w:rsidRDefault="00E3576C" w:rsidP="00E3576C">
      <w:pPr>
        <w:pStyle w:val="TextoNormal"/>
      </w:pPr>
    </w:p>
    <w:p w:rsidR="00E3576C" w:rsidRDefault="00E3576C" w:rsidP="00E3576C">
      <w:pPr>
        <w:pStyle w:val="TextoNormal"/>
      </w:pPr>
      <w:r w:rsidRPr="00E3576C">
        <w:rPr>
          <w:rStyle w:val="NumeroAFNegritaCaracter"/>
        </w:rPr>
        <w:t>3</w:t>
      </w:r>
      <w:r>
        <w:t>. Este Tribunal ha tenido ocasión recientemente de resolver un supuesto análogo en el ATC 120/2011, de 19 de septiembre, donde ha recordado que el Tribunal Constitucional será competente para resolver este tipo de impugnaciones solamente cuando la insuficiencia económica del solicitante se ocasiona después de haber interpuesto el recurso de amparo.</w:t>
      </w:r>
    </w:p>
    <w:p w:rsidR="00E3576C" w:rsidRDefault="00E3576C" w:rsidP="00E3576C">
      <w:pPr>
        <w:pStyle w:val="TextoNormal"/>
      </w:pPr>
    </w:p>
    <w:p w:rsidR="00E3576C" w:rsidRDefault="00E3576C" w:rsidP="00E3576C">
      <w:pPr>
        <w:pStyle w:val="TextoNormal"/>
      </w:pPr>
      <w:r>
        <w:t>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Se recordaba el ATC 120/2011, de 19 de septiembre, que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w:t>
      </w:r>
      <w:r>
        <w:lastRenderedPageBreak/>
        <w:t>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E3576C" w:rsidRDefault="00E3576C" w:rsidP="00E3576C">
      <w:pPr>
        <w:pStyle w:val="TextoNormal"/>
      </w:pPr>
    </w:p>
    <w:p w:rsidR="00E3576C" w:rsidRDefault="00E3576C" w:rsidP="00E3576C">
      <w:pPr>
        <w:pStyle w:val="TextoNormal"/>
      </w:pPr>
      <w:r w:rsidRPr="00E3576C">
        <w:rPr>
          <w:rStyle w:val="NumeroAFNegritaCaracter"/>
        </w:rPr>
        <w:t>5</w:t>
      </w:r>
      <w:r>
        <w:t>. En el presente caso, la solicitud de asistencia jurídica gratuita se efectuó en el escrito por el que se anunciaba la formulación de la demanda de amparo, por lo que es claro que la situación de insuficiencia económica invocada no sobrevino con posterioridad a la presentación de la demanda, sino con anterioridad a la misma, lo que conlleva, como se acaba de indicar, que este Tribunal carezca de competencia para resolver la impugnación formulada contra la resolución de la Comisión central de asistencia jurídica gratuita que denegó este beneficio a la señora Sankhe Maimouna.</w:t>
      </w:r>
    </w:p>
    <w:p w:rsidR="00E3576C" w:rsidRDefault="00E3576C" w:rsidP="00E3576C">
      <w:pPr>
        <w:pStyle w:val="TextoNormal"/>
      </w:pPr>
    </w:p>
    <w:p w:rsidR="00E3576C" w:rsidRDefault="00E3576C" w:rsidP="00E3576C">
      <w:pPr>
        <w:pStyle w:val="TextoNormal"/>
      </w:pPr>
      <w:r>
        <w:t>Por todo ello, de acuerdo con lo previsto en los arts. 9 y 10 del acuerdo del Pleno del Tribunal Constitucional de 18 de junio de 1996 y el art. 4.1 de la Ley Orgánica del Tribunal Constitucional, la Sección</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Declararse incompetente para el enjuiciamiento de la impugnación impuesta por doña Sankhe Maimouna, contra la resolución de la Comisión central de asistencia jurídica gratuita de 29 de noviembre de 2010.</w:t>
      </w:r>
    </w:p>
    <w:p w:rsidR="00E3576C" w:rsidRDefault="00E3576C" w:rsidP="00E3576C">
      <w:pPr>
        <w:pStyle w:val="TextoNormal"/>
      </w:pPr>
    </w:p>
    <w:p w:rsidR="00E3576C" w:rsidRDefault="00E3576C" w:rsidP="00E3576C">
      <w:pPr>
        <w:pStyle w:val="TextoNormal"/>
      </w:pPr>
      <w:r>
        <w:t>2º Devolver al Juzgado Contencioso-Administrativo núm. 22 de Madrid las actuaciones que en su día fueron remitidas por el mismo a este Tribunal.</w:t>
      </w:r>
    </w:p>
    <w:p w:rsidR="00E3576C" w:rsidRDefault="00E3576C" w:rsidP="00E3576C">
      <w:pPr>
        <w:pStyle w:val="TextoNormal"/>
      </w:pPr>
    </w:p>
    <w:p w:rsidR="00E3576C" w:rsidRDefault="00E3576C" w:rsidP="00E3576C">
      <w:pPr>
        <w:pStyle w:val="TextoNormal"/>
      </w:pPr>
      <w:r>
        <w:t>Madrid, a veintiséis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6" w:name="AUTO_2012_55"/>
      <w:r>
        <w:lastRenderedPageBreak/>
        <w:t>AUTO 55/2012, de 26 de marzo de 2012</w:t>
      </w:r>
    </w:p>
    <w:bookmarkEnd w:id="196"/>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ECLI:ES:TC:2012:55A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7271-2010, promovido por General de Galerías Comerciales, S.A.</w:t>
      </w:r>
    </w:p>
    <w:p w:rsidR="00E3576C" w:rsidRDefault="00E3576C" w:rsidP="00E3576C">
      <w:pPr>
        <w:pStyle w:val="SntesisDescriptiva"/>
      </w:pPr>
    </w:p>
    <w:p w:rsidR="00E3576C" w:rsidRDefault="00E3576C" w:rsidP="00E3576C">
      <w:pPr>
        <w:pStyle w:val="SntesisAnaltica"/>
      </w:pPr>
      <w:r>
        <w:t>Suspensión cautelar de Sentencias civiles: compraventa y pago de una cantidad,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fecha 8 de octubre de 2010, la Procuradora de los Tribunales doña María Luz Albacar Medina, en nombre y representación de General de Galerías Comerciales, S.A., presentó en el Registro General de este Tribunal demanda de amparo contra la Sentencia de la Sala de lo Civil del Tribunal Supremo de 30 de abril de 2010, recaída en recurso de casación núm. 118-2004, contra la Sentencia de la Audiencia Provincial de Málaga, dictada en apelación de la Sentencia del Juzgado de Primera Instancia núm. 4 de Marbella, que desestimó la demanda interpuesta por la entidad Centros Comerciales Prica, S.A., contra la ahora recurrente en amparo sobre incumplimiento del contrato de compraventa celebrado entre ambas entidades mercantiles.</w:t>
      </w:r>
    </w:p>
    <w:p w:rsidR="00E3576C" w:rsidRDefault="00E3576C" w:rsidP="00E3576C">
      <w:pPr>
        <w:pStyle w:val="TextoNormal"/>
      </w:pPr>
    </w:p>
    <w:p w:rsidR="00E3576C" w:rsidRDefault="00E3576C" w:rsidP="00E3576C">
      <w:pPr>
        <w:pStyle w:val="TextoNormal"/>
      </w:pPr>
      <w:r w:rsidRPr="00E3576C">
        <w:rPr>
          <w:rStyle w:val="NumeroAFNegritaCaracter"/>
        </w:rPr>
        <w:t>2</w:t>
      </w:r>
      <w:r>
        <w:t>. La recurrente alega en su demanda de amparo que la Sentencia impugnada vulneró su derecho a la tutela judicial efectiva sin indefensión (art. 24.1 CE) al no estar suficientemente motivada, incurrir en incongruencia extra petita.</w:t>
      </w:r>
    </w:p>
    <w:p w:rsidR="00E3576C" w:rsidRDefault="00E3576C" w:rsidP="00E3576C">
      <w:pPr>
        <w:pStyle w:val="TextoNormal"/>
      </w:pPr>
    </w:p>
    <w:p w:rsidR="00E3576C" w:rsidRDefault="00E3576C" w:rsidP="00E3576C">
      <w:pPr>
        <w:pStyle w:val="TextoNormal"/>
      </w:pPr>
      <w:r w:rsidRPr="00E3576C">
        <w:rPr>
          <w:rStyle w:val="NumeroAFNegritaCaracter"/>
        </w:rPr>
        <w:t>3</w:t>
      </w:r>
      <w:r>
        <w:t>. Por providencia de 16 de febrero de 2012, la Sala Segunda de este Tribunal acordó admitir a trámite la demanda de amparo y ordenar que se formase la presente pieza separada de suspensión, concediendo a la demandante de amparo y al Ministerio Fiscal, conforme a lo dispuesto en el art. 56 de la Ley Orgánica del Tribunal Constitucional (LOTC), plazo común de tres días para formular alegaciones en relación con la suspensión solicitada.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 que tuvo entrada en este Tribunal el 29 de febrero de 2012, el Ministerio Fiscal solicitó, a la vista de la petición efectuada por la parte recurrente en amparo, la denegación de la suspensión solicitada.</w:t>
      </w:r>
    </w:p>
    <w:p w:rsidR="00E3576C" w:rsidRDefault="00E3576C" w:rsidP="00E3576C">
      <w:pPr>
        <w:pStyle w:val="TextoNormal"/>
      </w:pPr>
    </w:p>
    <w:p w:rsidR="00E3576C" w:rsidRDefault="00E3576C" w:rsidP="00E3576C">
      <w:pPr>
        <w:pStyle w:val="TextoNormal"/>
      </w:pPr>
      <w:r>
        <w:t xml:space="preserve">Recuerda el Ministerio Fiscal el carácter excepcional de la medida solicitada, así el art. 56.2 LOTC contempla la suspensión de las Sentencias o actos impugnados en amparo con un carácter excepcional en los casos en que la ejecución de los mismos cause al recurrente </w:t>
      </w:r>
      <w:r>
        <w:lastRenderedPageBreak/>
        <w:t>un perjuicio grave que haga perder al recurso su propia efectividad. La excepcionalidad de la medida de suspensión viene además sujeta a la limitación de que la misma no cause perjuicio a un interés constitucionalmente protegido, ni a los derechos fundamentales y libertades de otras personas.</w:t>
      </w:r>
    </w:p>
    <w:p w:rsidR="00E3576C" w:rsidRDefault="00E3576C" w:rsidP="00E3576C">
      <w:pPr>
        <w:pStyle w:val="TextoNormal"/>
      </w:pPr>
    </w:p>
    <w:p w:rsidR="00E3576C" w:rsidRDefault="00E3576C" w:rsidP="00E3576C">
      <w:pPr>
        <w:pStyle w:val="TextoNormal"/>
      </w:pPr>
      <w:r>
        <w:t>Cita en apoyo de lo afirmado por el ATC 144/2010, de 18 octubre. No obstante considera que si bien, conforme a la doctrina mencionada, la regla general es la no admisión de la suspensión de los actos o resoluciones de contenido económico o patrimonial dado que es posible la reparación de la lesión producida por la ejecución al recurrente, excepcionalmente es posible la suspensión cuando la ejecución del acto afecte a derechos del demandante o de terceros de imposible o muy difícil reparación, como en el caso de que la ejecución de la resolución impugnada en amparo conllevaba el cierre de negocios que, por la situación económica de su propietario, pudiera arrastrar su quiebra y la pérdida de empleo de sus trabajadores (AATC 110/1998, de 21 de mayo, y 333/2004, de 13 de septiembre).</w:t>
      </w:r>
    </w:p>
    <w:p w:rsidR="00E3576C" w:rsidRDefault="00E3576C" w:rsidP="00E3576C">
      <w:pPr>
        <w:pStyle w:val="TextoNormal"/>
      </w:pPr>
    </w:p>
    <w:p w:rsidR="00E3576C" w:rsidRDefault="00E3576C" w:rsidP="00E3576C">
      <w:pPr>
        <w:pStyle w:val="TextoNormal"/>
      </w:pPr>
      <w:r>
        <w:t>Circunstancia que corresponde al recurrente la carga de acreditar; en el presente caso, la empresa recurrente en amparo solicitó la suspensión sobre la base del montante de la indemnización fijada en la Sentencia del Tribunal Supremo aquí recurrida en amparo, anunciando la quiebra de la empresa y despido de trabajadores si la cantidad hubiera de ser pagada, sin embargo la forma en que se presenta la petición de suspensión adolece de falta de prueba alguna documental o de otro género que acredite la pérdida de finalidad del amparo que se invoca agotándose la justificación en las afirmaciones que se hacen, lo que indudablemente no llena el requisito exigido jurisprudencialmente de la prueba de la pérdida de finalidad del amparo que es carga del recurrente como mas arriba se dijo.</w:t>
      </w:r>
    </w:p>
    <w:p w:rsidR="00E3576C" w:rsidRDefault="00E3576C" w:rsidP="00E3576C">
      <w:pPr>
        <w:pStyle w:val="TextoNormal"/>
      </w:pPr>
    </w:p>
    <w:p w:rsidR="00E3576C" w:rsidRDefault="00E3576C" w:rsidP="00E3576C">
      <w:pPr>
        <w:pStyle w:val="TextoNormal"/>
      </w:pPr>
      <w:r>
        <w:t>Por último, recuerda que la suma que la Sentencia obliga a pagar y que es ciertamente elevada, debe valorarse en función del volumen del negocio de la empresa o de sus propiedades, no con carácter absoluto. En este sentido la suspensión no debería concederse, dicho sea como doctrina general, por la simple manifestación del recurrente o recurrentes en la demanda de amparo por no generar la admisión a trámite un derecho incondicionado a la suspensión de la resolución recurrida, careciendo el Tribunal Constitucional de base para discriminar la pérdida de la finalidad del amparo con datos que no están a su alcance.</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escrito que tuvo entrada en este Tribunal el 2 de marzo de 2012, la parte recurrente explica que en la vía judicial previa al presente recurso de amparo procedió a consignar la suma a la que resultó condenada, por ello la tutela cautelar que solicita no es simplemente la suspensión de la Sentencia que se recurre, sino que con el fin de reponer la situación fáctica al estado anterior a la ejecución de la Sentencia recurrida, se ordene a la contraparte en el pleito de origen a que devuelva la cantidad cobrada con base en la Sentencia que se recurre y proceda a su consignación judicial.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w:t>
      </w:r>
      <w:r>
        <w:lastRenderedPageBreak/>
        <w:t>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recordada en el ATC 144/2010, de 18 octubre,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libertados de otra persona” (art. 56.2 LOTC).</w:t>
      </w:r>
    </w:p>
    <w:p w:rsidR="00E3576C" w:rsidRDefault="00E3576C" w:rsidP="00E3576C">
      <w:pPr>
        <w:pStyle w:val="TextoNormal"/>
      </w:pPr>
    </w:p>
    <w:p w:rsidR="00E3576C" w:rsidRDefault="00E3576C" w:rsidP="00E3576C">
      <w:pPr>
        <w:pStyle w:val="TextoNormal"/>
      </w:pPr>
      <w:r>
        <w:t>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muchos ).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entre otros muchos).</w:t>
      </w:r>
    </w:p>
    <w:p w:rsidR="00E3576C" w:rsidRDefault="00E3576C" w:rsidP="00E3576C">
      <w:pPr>
        <w:pStyle w:val="TextoNormal"/>
      </w:pPr>
    </w:p>
    <w:p w:rsidR="00E3576C" w:rsidRDefault="00E3576C" w:rsidP="00E3576C">
      <w:pPr>
        <w:pStyle w:val="TextoNormal"/>
      </w:pPr>
      <w:r>
        <w:t>De ahí que, como señala el ATC 333/2004, de 13 de septiembre, este Tribunal haya establecido un criterio general según el cual no procede la suspensión de la ejecución de aquellos fallos judiciales que admiten la restitución íntegra de lo ejecutado, como sucede, por lo general, tal y como ya se ha advertido, con los que producen efectos meramente patrimoniales que, por tener contenido económico no causan, salvo excepciones, perjuicios de imposible reparación. Las excepciones consideradas se refieren a aquellos otros fallos en los que resultan afectados bienes o derechos del recurrente en amparo o de terceros de imposible o muy difícil restitución a su estado anterior (ATC 263/2003, de 15 de julio, FJ 2; y ATC 307/1999, de 13 de diciembre), como sucede, por ejemplo, en los casos en los que la ejecución de la resolución impugnada en amparo conllevaba el cierre de negocios que, por la situación económica de su propietario, pudiera arrastrar su quiebra y la pérdida de empleo de sus trabajadores (AATC 110/1998, de 18 de mayo, y 333/2004, de 13 de septiembre).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En el presente caso, del examen de la solicitud de suspensión formulada, cabe concluir que no se han acreditado circunstancias excepcionales que lleven a conceder la suspensión pedida, puesto que nos encontramos ante una cuestión estrictamente económica, en la que </w:t>
      </w:r>
      <w:r>
        <w:lastRenderedPageBreak/>
        <w:t>la parte recurrente se ha limitado a advertir, mediante otrosí de la demanda de amparo, que el perjuicio que se le ocasionaría de no acceder a la petición de suspensión se cuantifica en seis millones de euros y afirmando que dicho perjuicio “determinaría la drástica reducción del negocio y actividad empresarial de la recurrente, con pérdida de puestos de trabajo, tanto directos como indirectos”. Sin embargo, nada se ha aportado para acreditar estas afirmaciones vertidas. Tampoco en el trámite de alegaciones de la presente pieza de suspensión ha intentado demostrar la incidencia real en su patrimonio del perjuicio que alega.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veintiséis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7" w:name="AUTO_2012_56"/>
      <w:r>
        <w:lastRenderedPageBreak/>
        <w:t>AUTO 56/2012, de 26 de marzo de 2012</w:t>
      </w:r>
    </w:p>
    <w:bookmarkEnd w:id="197"/>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ECLI:ES:TC:2012:56A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8996-2010, promovido por Pinturas Eurotex, S.A., y Palacete de los Lasso, S.L.U.</w:t>
      </w:r>
    </w:p>
    <w:p w:rsidR="00E3576C" w:rsidRDefault="00E3576C" w:rsidP="00E3576C">
      <w:pPr>
        <w:pStyle w:val="SntesisDescriptiva"/>
      </w:pPr>
    </w:p>
    <w:p w:rsidR="00E3576C" w:rsidRDefault="00E3576C" w:rsidP="00E3576C">
      <w:pPr>
        <w:pStyle w:val="SntesisAnaltica"/>
      </w:pPr>
      <w:r>
        <w:t>Suspensión cautelar de resoluciones civiles: contenido patrimonial; inadmisión de recurso de apelación civil. Suspensión de la ejecución del acto que origina el amparo: doctrina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fecha 27 de diciembre de 2010, por escrito presentado en el Registro General de este Tribunal Constitucional, la representación procesal de las sociedades Pinturas Eurotex, S.A., y Palacete de los Lasso, S.L.U., interpuso recurso de amparo contra el Auto de fecha 9 de noviembre de 2010, dictado por la Sección Primera de la Audiencia Provincial de Cáceres, en el rollo de apelación núm. 581-2010, por el que se desestimó el recurso de apelación interpuesto contra el Auto de fecha 26 de julio de 2010 dictado por el Juzgado de Primera Instancia núm. 5 de Cáceres en el procedimiento ordinario núm. 940-2009, por el que se acordó el sobreseimiento del proceso al apreciar la existencia de litispendencia.</w:t>
      </w:r>
    </w:p>
    <w:p w:rsidR="00E3576C" w:rsidRDefault="00E3576C" w:rsidP="00E3576C">
      <w:pPr>
        <w:pStyle w:val="TextoNormal"/>
      </w:pPr>
    </w:p>
    <w:p w:rsidR="00E3576C" w:rsidRDefault="00E3576C" w:rsidP="00E3576C">
      <w:pPr>
        <w:pStyle w:val="TextoNormal"/>
      </w:pPr>
      <w:r w:rsidRPr="00E3576C">
        <w:rPr>
          <w:rStyle w:val="NumeroAFNegritaCaracter"/>
        </w:rPr>
        <w:t>2</w:t>
      </w:r>
      <w:r>
        <w:t>. Las recurrentes alegaban en su demanda de amparo que las resoluciones judiciales impugnadas vulneraban su derecho a la tutela judicial efectiva (art. 24.1 CE) en su vertiente de acceso a la justicia.</w:t>
      </w:r>
    </w:p>
    <w:p w:rsidR="00E3576C" w:rsidRDefault="00E3576C" w:rsidP="00E3576C">
      <w:pPr>
        <w:pStyle w:val="TextoNormal"/>
      </w:pPr>
    </w:p>
    <w:p w:rsidR="00E3576C" w:rsidRDefault="00E3576C" w:rsidP="00E3576C">
      <w:pPr>
        <w:pStyle w:val="TextoNormal"/>
      </w:pPr>
      <w:r w:rsidRPr="00E3576C">
        <w:rPr>
          <w:rStyle w:val="NumeroAFNegritaCaracter"/>
        </w:rPr>
        <w:t>3</w:t>
      </w:r>
      <w:r>
        <w:t>. Por providencia de 16 de febrero de 2012, la Sala Segunda de este Tribunal acordó admitir a trámite la demanda de amparo y ordenar que se formase la presente pieza separada de suspensión, concediendo a las demandantes de amparo y al Ministerio Fiscal, conforme a lo dispuesto en el art. 56 de la Ley Orgánica del Tribunal Constitucional (LOTC), plazo común de tres días para formular alegaciones en relación con la suspensión solicitada.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 que tuvo entrada en este Tribunal el 23 de febrero de 2012, la parte recurrente formuló sus alegaciones.</w:t>
      </w:r>
    </w:p>
    <w:p w:rsidR="00E3576C" w:rsidRDefault="00E3576C" w:rsidP="00E3576C">
      <w:pPr>
        <w:pStyle w:val="TextoNormal"/>
      </w:pPr>
    </w:p>
    <w:p w:rsidR="00E3576C" w:rsidRDefault="00E3576C" w:rsidP="00E3576C">
      <w:pPr>
        <w:pStyle w:val="TextoNormal"/>
      </w:pPr>
      <w:r>
        <w:t>Considera que las resoluciones judiciales impugnadas le provocan un importante perjuicio hasta el punto de que podrían comprometer el resultado final del presente recurso de amparo, ya que de no acordarse la suspensión de los efectos de los Autos de sobreseimiento, continuarían irrogándose perjuicios no meramente económicos de extrema gravedad.</w:t>
      </w:r>
    </w:p>
    <w:p w:rsidR="00E3576C" w:rsidRDefault="00E3576C" w:rsidP="00E3576C">
      <w:pPr>
        <w:pStyle w:val="TextoNormal"/>
      </w:pPr>
    </w:p>
    <w:p w:rsidR="00E3576C" w:rsidRDefault="00E3576C" w:rsidP="00E3576C">
      <w:pPr>
        <w:pStyle w:val="TextoNormal"/>
      </w:pPr>
      <w:r>
        <w:t>Explica que desde que el recurso de amparo fue formulado, la parte vendedora en el contrato de compraventa de participaciones sociales ha continuado ampliando las cantidades que le reclama en procedimientos ejecutivos en concepto de parte del precio de la compraventa, para acreditarlo adjunta copia de dos resoluciones dictadas recientemente por el Juzgado de Primera Instancia e Instrucción núm. 3 de Carmona (de 22 de febrero y 4 de enero de 2012), ante el que se sigue el procedimiento ejecutivo núm. 596-2009, instado precisamente, por los vendedores con el fin de obtener en vía ejecutiva el precio de la compraventa.</w:t>
      </w:r>
    </w:p>
    <w:p w:rsidR="00E3576C" w:rsidRDefault="00E3576C" w:rsidP="00E3576C">
      <w:pPr>
        <w:pStyle w:val="TextoNormal"/>
      </w:pPr>
    </w:p>
    <w:p w:rsidR="00E3576C" w:rsidRDefault="00E3576C" w:rsidP="00E3576C">
      <w:pPr>
        <w:pStyle w:val="TextoNormal"/>
      </w:pPr>
      <w:r>
        <w:t>Explica que existe una causa suficiente para acordar la suspensión de las resoluciones judiciales recurridas, pues dichos perjuicios cuantitativos y cualitativos no son susceptibles de ser reparados en la hipótesis de que la pretensión de amparo sea estimada, hasta el punto de que podría acordarse la administración judicial de las empresas recurrentes. Estima que se trata de un supuesto excepcional en el que los efectos de las resoluciones son susceptibles de entrañar perjuicios irreparables al condenado (AATC 6/1996, de 15 de enero; 109/1997, de 21 de abril, y 206/2000, de 18 de septiembre, entre otros) y que afectan a la estabilidad económica e institucional de la empresa, ya sea por una eventual intervención de su órgano de administración, por falta de liquidez o por la asunción de una carga financiera insoportable (AATC 165/1993, de 27 de mayo; 13/1999, de 25 de enero, y 113/2003, de 7 de abril).</w:t>
      </w:r>
    </w:p>
    <w:p w:rsidR="00E3576C" w:rsidRDefault="00E3576C" w:rsidP="00E3576C">
      <w:pPr>
        <w:pStyle w:val="TextoNormal"/>
      </w:pPr>
    </w:p>
    <w:p w:rsidR="00E3576C" w:rsidRDefault="00E3576C" w:rsidP="00E3576C">
      <w:pPr>
        <w:pStyle w:val="TextoNormal"/>
      </w:pPr>
      <w:r>
        <w:t>Afirma, por último que la suspensión de los efectos de los Autos de sobreseimiento no produce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escrito que tuvo entrada en este Tribunal el 1 de marzo de 2012, el Ministerio Fiscal solicitó, a la vista de la petición efectuada por la parte recurrente en amparo, la denegación de la suspensión solicitada.</w:t>
      </w:r>
    </w:p>
    <w:p w:rsidR="00E3576C" w:rsidRDefault="00E3576C" w:rsidP="00E3576C">
      <w:pPr>
        <w:pStyle w:val="TextoNormal"/>
      </w:pPr>
    </w:p>
    <w:p w:rsidR="00E3576C" w:rsidRDefault="00E3576C" w:rsidP="00E3576C">
      <w:pPr>
        <w:pStyle w:val="TextoNormal"/>
      </w:pPr>
      <w:r>
        <w:t>Recuerda el Ministerio Fiscal el carácter excepcional de la medida solicitada, así el art. 56.2 LOTC contempla la suspensión de las Sentencias o actos impugnados en amparo con un carácter excepcional en los casos en que la ejecución de los mismos cause al recurrente un perjuicio grave que haga perder al recurso su propia efectividad. La excepcionalidad de la medida de suspensión viene además sujeta a la limitación de que la misma no cause perjuicio a un interés constitucionalmente protegido, ni a los derechos fundamentales y libertades de otras personas.</w:t>
      </w:r>
    </w:p>
    <w:p w:rsidR="00E3576C" w:rsidRDefault="00E3576C" w:rsidP="00E3576C">
      <w:pPr>
        <w:pStyle w:val="TextoNormal"/>
      </w:pPr>
    </w:p>
    <w:p w:rsidR="00E3576C" w:rsidRDefault="00E3576C" w:rsidP="00E3576C">
      <w:pPr>
        <w:pStyle w:val="TextoNormal"/>
      </w:pPr>
      <w:r>
        <w:t>La primera de las resoluciones judiciales cuya suspensión se pretende por las demandantes, dictada por el Juzgado de Primera Instancia núm. 5 de Cáceres en el procedimiento ordinario núm. 940-2009, acordó el sobreseimiento del proceso civil con arreglo a lo dispuesto en el art. 421.1 de la Ley de enjuiciamiento civil (LEC), al apreciar la concurrencia de litispendencia sobre la base de lo establecido en el art. 400 LEC. La segunda de las resoluciones, de fecha 9 de noviembre de 2010, dictada por la Sección Primera de la Audiencia Provincial de Cáceres, en el rollo de apelación núm. 581-2010, desestimó el recurso de apelación interpuesto por las demandantes de amparo y confirmó el sobreseimiento del proceso civil.</w:t>
      </w:r>
    </w:p>
    <w:p w:rsidR="00E3576C" w:rsidRDefault="00E3576C" w:rsidP="00E3576C">
      <w:pPr>
        <w:pStyle w:val="TextoNormal"/>
      </w:pPr>
    </w:p>
    <w:p w:rsidR="00E3576C" w:rsidRDefault="00E3576C" w:rsidP="00E3576C">
      <w:pPr>
        <w:pStyle w:val="TextoNormal"/>
      </w:pPr>
      <w:r>
        <w:lastRenderedPageBreak/>
        <w:t xml:space="preserve">Explica el Ministerio Fiscal que estamos, por tanto, ante “resoluciones de mero contenido negativo” cuya suspensión resulta inviable con arreglo a la doctrina constitucional. </w:t>
      </w:r>
    </w:p>
    <w:p w:rsidR="00E3576C" w:rsidRDefault="00E3576C" w:rsidP="00E3576C">
      <w:pPr>
        <w:pStyle w:val="TextoNormal"/>
      </w:pPr>
    </w:p>
    <w:p w:rsidR="00E3576C" w:rsidRDefault="00E3576C" w:rsidP="00E3576C">
      <w:pPr>
        <w:pStyle w:val="TextoNormal"/>
      </w:pPr>
      <w:r>
        <w:t>Por otro lado, considera que la denegación de la suspensión no haría perder al amparo su finalidad, pues para el caso hipotético de ser estimado, ningún obstáculo existiría para que los Tribunales ordinarios se pronunciaran sobre el fondo de las pretensiones ejercitadas por las demandantes de amparo. Las demandantes de amparo alegan que la no suspensión de las resoluciones judiciales impugnadas les causaría un perjuicio, que califican de irreparable y grave, sin embargo, recuerda que, según reiterada doctrina constitucional, el perjuicio que deriva de la ejecución de las resoluciones judiciales impugnadas debe ser real, sin que sea posible alegar un perjuicio futuro o hipotético o un simple temor (vid. entre otros muchos, AATC 399/1985, de 19 de junio, y 51/1989, de 30 de enero).</w:t>
      </w:r>
    </w:p>
    <w:p w:rsidR="00E3576C" w:rsidRDefault="00E3576C" w:rsidP="00E3576C">
      <w:pPr>
        <w:pStyle w:val="TextoNormal"/>
      </w:pPr>
    </w:p>
    <w:p w:rsidR="00E3576C" w:rsidRDefault="00E3576C" w:rsidP="00E3576C">
      <w:pPr>
        <w:pStyle w:val="TextoNormal"/>
      </w:pPr>
      <w:r>
        <w:t>Por otro lado, invocado un perjuicio de carácter económico corresponde a los demandantes de amparo justificar y acreditar su concurrencia y argumentar razonadamente su irreparabilidad, mediante un principio de prueba razonable (AATC 27/2011, de 1 de febrero, FJ 2; 203/2010, de 21 de diciembre, FJ 1; 199/2010, de 21 de diciembre, FJ 2, 320/2008, de 20 de octubre, FJ 2). A tal efecto, debe constatarse que ninguna justificación ni acreditación se ha llevado a cabo por los recurrentes en la demanda. Se alude a que la ejecución de las resoluciones afectaría a la situación económica de las demandantes, pero no se ha aportado ni siquiera un principio de prueba sobre su situación o capacidad económica ni sobre el eventual impacto que en la misma tendría la no suspensión de las resoluciones judiciales impugnadas, así como acerca de su carácter de irreparable.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rsidRPr="00E3576C">
        <w:rPr>
          <w:rStyle w:val="NumeroAFNegritaCaracter"/>
        </w:rPr>
        <w:t>2</w:t>
      </w:r>
      <w:r>
        <w:t>. Como acertadamente ha recordado el Ministerio Fiscal en el trámite de alegaciones, según consolidada doctrina constitucional (por todos ATC 43/2008, de 11 de febrero, FJ 2), que se inicia en el ATC 132/1982, de 31 de marzo, y confirman, entre otros muchos, los más recientes AATC 292/2005, de 4 de julio, FJ 2; 3/2006, de 16 de enero; FJ 2; 314/2006, de 25 de septiembre, FJ 2, las resoluciones judiciales de mero contenido negativo no son susceptibles de suspensión, puesto que lo contrario equivaldría a adelantar, sin observar el procedimiento y las garantías exigibles para ello, un eventual fallo estimatorio del recurso de amparo y, en consecuencia, a prejuzgar el objeto de la pretensión principal que se ha deducido en su recurso de amparo.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En el presente recurso de amparo se impugna el Auto de fecha 9 de noviembre de 2010, dictado por la Sección Primera de la Audiencia Provincial de Cáceres, por el que se desestimó el recurso de apelación interpuesto contra el Auto de fecha 26 de julio de 2010 dictado por el Juzgado de Primera Instancia núm. 5 de Cáceres, por el que se acordó el </w:t>
      </w:r>
      <w:r>
        <w:lastRenderedPageBreak/>
        <w:t>sobreseimiento del proceso al apreciar la existencia de litispendencia. Además de que el perjuicio alegado por la parte demandante, que no acreditado, sería meramente de contenido económico —razón suficiente para rechazar la medida cautelar solicitada, por todos, ATC 144/2010, de 18 octubre— debe destacarse que las resoluciones judiciales impugnadas tienen un contenido negativo, por lo que, en aplicación de la doctrina señalada en el fundamento anterior, no procede otorgar la suspensión pedida.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veintiséis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198" w:name="AUTO_2012_57"/>
      <w:r>
        <w:lastRenderedPageBreak/>
        <w:t>AUTO 57/2012, de 26 de marzo de 2012</w:t>
      </w:r>
    </w:p>
    <w:bookmarkEnd w:id="198"/>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ECLI:ES:TC:2012:57A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Acuerda el desistimiento en el recurso de amparo 6034-2011,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199" w:name="AUTO_2012_58"/>
      <w:r>
        <w:lastRenderedPageBreak/>
        <w:t>AUTO 58/2012, de 26 de marzo de 2012</w:t>
      </w:r>
    </w:p>
    <w:bookmarkEnd w:id="199"/>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ECLI:ES:TC:2012:58A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suspensión en el recurso de amparo 6549-2011, promovido por don Yamid Arnobi Valencia Carmona.</w:t>
      </w:r>
    </w:p>
    <w:p w:rsidR="00E3576C" w:rsidRDefault="00E3576C" w:rsidP="00E3576C">
      <w:pPr>
        <w:pStyle w:val="SntesisDescriptiva"/>
      </w:pPr>
    </w:p>
    <w:p w:rsidR="00E3576C" w:rsidRDefault="00E3576C" w:rsidP="00E3576C">
      <w:pPr>
        <w:pStyle w:val="SntesisAnaltica"/>
      </w:pPr>
      <w:r>
        <w:t>Penas privativas de libertad: suspensión condicional de la pena. Suspensión cautelar de resoluciones penales: alcance de la suspensión; inhabilitación especial para el derecho de sufragio pasivo yprisión de dos años,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1 de diciembre de 2011, el Procurador de los Tribunales don Isacio Calleja García, en representación de don Yamid Arnobi Valencia Carmona, interpuso recurso de amparo contra el Auto dictado por la Sección Segunda de la Audiencia Provincial de Castellón, el 7 de octubre de 2011, en el rollo de apelación núm. 700-2011, que desestimó el recurso de apelación promovido contra el Auto dictado por el Juzgado de lo Penal de Vinaròs, el 3 de mayo de 2011, en el procedimiento ejecutoria 60-2005. En este último Auto se acordaba que no procedía declarar la prescripción de la pena privativa de libertad de dos años de duración impuesta mediante Sentencia de 14 de febrero de 2005, debiendo continuarse con su normal ejecución.</w:t>
      </w:r>
    </w:p>
    <w:p w:rsidR="00E3576C" w:rsidRDefault="00E3576C" w:rsidP="00E3576C">
      <w:pPr>
        <w:pStyle w:val="TextoNormal"/>
      </w:pPr>
    </w:p>
    <w:p w:rsidR="00E3576C" w:rsidRDefault="00E3576C" w:rsidP="00E3576C">
      <w:pPr>
        <w:pStyle w:val="TextoNormal"/>
      </w:pPr>
      <w:r w:rsidRPr="00E3576C">
        <w:rPr>
          <w:rStyle w:val="NumeroAFNegritaCaracter"/>
        </w:rPr>
        <w:t>2</w:t>
      </w:r>
      <w:r>
        <w:t>. El recurso invoca la vulneración de los arts. 24.1, 17.1 y 25.1 CE. Por medio de otrosí se solicitó la suspensión de la ejecutoria 60-2005, del Juzgado de lo Penal núm. 1 de Vinaròs, por cuanto su ejecución implicaría el ingreso en prisión del recurrente y, con ello, la pérdida de la eficacia y finalidad del amparo.</w:t>
      </w:r>
    </w:p>
    <w:p w:rsidR="00E3576C" w:rsidRDefault="00E3576C" w:rsidP="00E3576C">
      <w:pPr>
        <w:pStyle w:val="TextoNormal"/>
      </w:pPr>
    </w:p>
    <w:p w:rsidR="00E3576C" w:rsidRDefault="00E3576C" w:rsidP="00E3576C">
      <w:pPr>
        <w:pStyle w:val="TextoNormal"/>
      </w:pPr>
      <w:r w:rsidRPr="00E3576C">
        <w:rPr>
          <w:rStyle w:val="NumeroAFNegritaCaracter"/>
        </w:rPr>
        <w:t>3</w:t>
      </w:r>
      <w:r>
        <w:t>. Por sendas providencias de 27 de febrero de 2012 se admitió a trámite la demanda de amparo, se acordó la formación de pieza separada para la tramitación del incidente de suspensión, y, conforme determina el art. 56 de la Ley Orgánica de este Tribunal, se concedió un plazo común de tres días a la parte recurrente y al Ministerio Fiscal para que alegaran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El 8 de marzo de 2012, se presentó en el Registro General de este Tribunal el escrito de alegaciones de la representación del actor. En su fundamentación jurídica, aparte de reiterarse los motivos por los que se interpuso el recurso de amparo, se alega —con apoyo en la </w:t>
      </w:r>
      <w:r>
        <w:lastRenderedPageBreak/>
        <w:t>jurisprudencia del Tribunal Constitucional— la procedencia de la suspensión solicitada, basándose en que la ejecución inmediata de la condena frustraría totalmente una eventual concesión del amparo.</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mediante escrito presentado el 12 de marzo de 2012, evacuó el trámite de alegaciones conferido, en el cual tras exponer la doctrina constitucional en torno a la suspensión de las resoluciones judiciales, y en particular de las que imponen penas privativas de libertad o de derechos, interesó —de acuerdo con lo solicitado por el recurrente— la suspensión de la pena privativa de libertad en consideración a que, de no concederse, los efectos de un eventual otorgamiento del amparo serían meramente ilusorios.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 doctrina de este Tribunal, referida a este precepto,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E3576C" w:rsidRDefault="00E3576C" w:rsidP="00E3576C">
      <w:pPr>
        <w:pStyle w:val="TextoNormal"/>
      </w:pPr>
    </w:p>
    <w:p w:rsidR="00E3576C" w:rsidRDefault="00E3576C" w:rsidP="00E3576C">
      <w:pPr>
        <w:pStyle w:val="TextoNormal"/>
      </w:pPr>
      <w:r w:rsidRPr="00E3576C">
        <w:rPr>
          <w:rStyle w:val="NumeroAFNegritaCaracter"/>
        </w:rPr>
        <w:t>2</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E3576C" w:rsidRDefault="00E3576C" w:rsidP="00E3576C">
      <w:pPr>
        <w:pStyle w:val="TextoNormal"/>
      </w:pPr>
    </w:p>
    <w:p w:rsidR="00E3576C" w:rsidRDefault="00E3576C" w:rsidP="00E3576C">
      <w:pPr>
        <w:pStyle w:val="TextoNormal"/>
      </w:pPr>
      <w:r>
        <w:t xml:space="preserve">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w:t>
      </w:r>
      <w:r>
        <w:lastRenderedPageBreak/>
        <w:t>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E3576C" w:rsidRDefault="00E3576C" w:rsidP="00E3576C">
      <w:pPr>
        <w:pStyle w:val="TextoNormal"/>
      </w:pPr>
    </w:p>
    <w:p w:rsidR="00E3576C" w:rsidRDefault="00E3576C" w:rsidP="00E3576C">
      <w:pPr>
        <w:pStyle w:val="TextoNormal"/>
      </w:pPr>
      <w:r>
        <w:t>Pues bien, en el presente caso, de acuerdo con la tesis del Ministerio Fiscal, procede estimar la pretensión de suspensión de la pena privativa de libertad solicitada. De un lado, porque su ejecución puede ocasionar al recurrente perjuicios irreparables que harían perder al amparo su finalidad, tanto por afectar al valor fundamental de la libertad como porque si se compara la duración de tales penas “con el tiempo que requiere la tramitación de un proceso de amparo como el presente, ha de concluirse que no suspender su ejecución ocasionaría un perjuicio irreparable, que privaría en parte o, incluso, en todo de eficacia a un eventual fallo estimatorio” (AATC 59/2008, de 20 de febrero, FJ 2; y 172/2008, de 23 de junio, FJ 2). Y, de otro, porque al acceder a la suspensión pretendida no se está ocasionando ninguna perturbación grave de los intereses generales ni se está afectando a derechos fundamentales o libertades públicas de terceros.</w:t>
      </w:r>
    </w:p>
    <w:p w:rsidR="00E3576C" w:rsidRDefault="00E3576C" w:rsidP="00E3576C">
      <w:pPr>
        <w:pStyle w:val="TextoNormal"/>
      </w:pPr>
    </w:p>
    <w:p w:rsidR="00E3576C" w:rsidRDefault="00E3576C" w:rsidP="00E3576C">
      <w:pPr>
        <w:pStyle w:val="TextoNormal"/>
      </w:pPr>
      <w:r>
        <w:t>En cuanto a la pena accesoria, de inhabilitación especial para el ejercicio del derecho de sufragio pasivo, debe seguir la suerte de la pena principal (AATC 131/2001, de 22 de mayo, FJ 2; 408/2005, de 21 de noviembre, FJ 2; y 80/2006, de 13 de marzo, FJ 2, entre otros muchos).</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Conceder la suspensión solicitada en relación con la ejecución de la pena privativa de libertad de dos años de duración y de la accesoria, de inhabilitación especial para el ejercicio del derecho de sufragio pasivo, impuestas a don Yamid Arnobi Valencia Carmona en Sentencia de 14 de febrero de 2005 del Juzgado de lo Penal núm. 1 de Vinaròs.</w:t>
      </w:r>
    </w:p>
    <w:p w:rsidR="00E3576C" w:rsidRDefault="00E3576C" w:rsidP="00E3576C">
      <w:pPr>
        <w:pStyle w:val="TextoNormal"/>
      </w:pPr>
    </w:p>
    <w:p w:rsidR="00E3576C" w:rsidRDefault="00E3576C" w:rsidP="00E3576C">
      <w:pPr>
        <w:pStyle w:val="TextoNormal"/>
      </w:pPr>
      <w:r>
        <w:t>Madrid, a veintiséis de marzo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00" w:name="AUTO_2012_59"/>
      <w:r>
        <w:lastRenderedPageBreak/>
        <w:t>AUTO 59/2012, de 28 de marzo de 2012</w:t>
      </w:r>
    </w:p>
    <w:bookmarkEnd w:id="200"/>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ECLI:ES:TC:2012:59A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5416-2011, promovido en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01" w:name="AUTO_2012_60"/>
      <w:r>
        <w:lastRenderedPageBreak/>
        <w:t>AUTO 60/2012, de 28 de marzo de 2012</w:t>
      </w:r>
    </w:p>
    <w:bookmarkEnd w:id="201"/>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ECLI:ES:TC:2012:60A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5736-2011, promovido en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02" w:name="AUTO_2012_61"/>
      <w:r>
        <w:lastRenderedPageBreak/>
        <w:t>AUTO 61/2012, de 11 de abril de 2012</w:t>
      </w:r>
    </w:p>
    <w:bookmarkEnd w:id="202"/>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ECLI:ES:TC:2012:61A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1675-2011,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03" w:name="AUTO_2012_62"/>
      <w:r>
        <w:lastRenderedPageBreak/>
        <w:t>AUTO 62/2012, de 11 de abril de 2012</w:t>
      </w:r>
    </w:p>
    <w:bookmarkEnd w:id="203"/>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ECLI:ES:TC:2012:62A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2344-2011,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04" w:name="AUTO_2012_63"/>
      <w:r>
        <w:lastRenderedPageBreak/>
        <w:t>AUTO 63/2012, de 11 de abril de 2012</w:t>
      </w:r>
    </w:p>
    <w:bookmarkEnd w:id="204"/>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ECLI:ES:TC:2012:63A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Acuerda el desistimiento en el recurso de amparo 6358-2011,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05" w:name="AUTO_2012_64"/>
      <w:r>
        <w:lastRenderedPageBreak/>
        <w:t>AUTO 64/2012, de 16 de abril de 2012</w:t>
      </w:r>
    </w:p>
    <w:bookmarkEnd w:id="205"/>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ECLI:ES:TC:2012:64A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5510-2010, promovido por Construcciones Conde, S.A.</w:t>
      </w:r>
    </w:p>
    <w:p w:rsidR="00E3576C" w:rsidRDefault="00E3576C" w:rsidP="00E3576C">
      <w:pPr>
        <w:pStyle w:val="SntesisDescriptiva"/>
      </w:pPr>
    </w:p>
    <w:p w:rsidR="00E3576C" w:rsidRDefault="00E3576C" w:rsidP="00E3576C">
      <w:pPr>
        <w:pStyle w:val="SntesisAnaltica"/>
      </w:pPr>
      <w:r>
        <w:t>Costas procesales: suspensión de la condena en costas procesales. Proceso de ejecución hipotecaria: suspensión de la ejecución hipotecaria. Suspensión cautelar de resoluciones civiles: contenido patrimonial; costas procesales,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7 de julio de 2010, la Procuradora de los Tribunales doña Reyes Pinzás de Miguel, en nombre y representación de Construcciones Conde, S.A., interpuso recurso de amparo contra la Sentencia dictada por la Sección Sexta de la Audiencia Provincial de Pontevedra el 26 de abril de 2010, en el recurso núm. 3101-2010, dimanante del procedimiento ordinario núm. 6-2008, seguido ante el Juzgado de Primera Instancia núm. 4 de Vigo, que desestimó el recurso de apelación interpuesto por la ahora demandante de amparo, y contra el Auto de 4 de junio de 2010, de la misma Sección de la Audiencia Provincial, que desestimó el incidente de nulidad de actuaciones promovido por la actora.</w:t>
      </w:r>
    </w:p>
    <w:p w:rsidR="00E3576C" w:rsidRDefault="00E3576C" w:rsidP="00E3576C">
      <w:pPr>
        <w:pStyle w:val="TextoNormal"/>
      </w:pPr>
    </w:p>
    <w:p w:rsidR="00E3576C" w:rsidRDefault="00E3576C" w:rsidP="00E3576C">
      <w:pPr>
        <w:pStyle w:val="TextoNormal"/>
      </w:pPr>
      <w:r w:rsidRPr="00E3576C">
        <w:rPr>
          <w:rStyle w:val="NumeroAFNegritaCaracter"/>
        </w:rPr>
        <w:t>2</w:t>
      </w:r>
      <w:r>
        <w:t>. La recurrente alega en la demanda de amparo que la Sentencia impugnada vulnera su derecho a la tutela judicial efectiva sin indefensión en su vertiente de acceso a los recursos (art. 24.1 CE) porque, como consecuencia de una interpretación excesivamente formalista y rigurosa del requisito de constitución del depósito previsto en la disposición adicional quince de la Ley Orgánica del Poder Judicial, deja imprejuzgado el fondo del asunto, vetando el derecho de las partes a obtener un pronunciamiento sobre sus peticiones. Mediante otrosí, la entidad demandante solicita la suspensión parcial de los efectos de la Sentencia impugnada en amparo exclusivamente en cuanto se refiere a la imposición de las costas declarada por el Juzgado de Primera Instancia núm. 4 de Vigo y confirmada por la Audiencia Provincial de Pontevedra, sosteniendo que la ejecución le ocasionaría un perjuicio importante por tratarse de una empresa constructora, perteneciente a un sector muy afectado por el actual contexto económico, cuya situación se agravaría en el supuesto de que se exigiera el pago de las costas, y que la suspensión interesada no ocasiona perturbación grave a la parte contraria porque ha obtenido ya el pago del principal reclamado.</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Por providencia de 27 de febrero de 2012, dictada por la Sala Primera de este Tribunal, se acordó admitir a trámite la demanda de amparo, dirigir atentas comunicaciones a la Audiencia Provincial de Pontevedra y al Juzgado de Primera Instancia núm. 4 de Vigo para que remitieran certificación o fotocopia adverada de las actuaciones y efectuaran los oportunos emplazamientos, así como formar la presente pieza separada de suspensión. Por otra providencia de la misma fecha la Sala, conforme a lo prevenido en el art. 56.4 de la Ley Orgánica del Tribunal Constitucional (LOTC), resolvió conceder un plazo común de tres días a la empresa solicitante de amparo y al Ministerio Fiscal para que, dentro de dicho término, alegaran lo que estimasen pertinente en relación con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4</w:t>
      </w:r>
      <w:r>
        <w:t>. La representación de la recurrente evacuó el trámite mediante escrito registrado en este Tribunal el 6 de marzo de 2012, en el que reitera su solicitud de suspensión de la Sentencia impugnada en cuanto a la imposición de costas se refiere. Alega la demandante de amparo que la Sentencia objeto del recurso ha sido ejecutada, con la excepción del pago de las costas, por lo que no se afectará la tutela judicial de la parte contraria. Añade que, de no accederse a la suspensión, existe el riesgo cierto de que, de ser estimado el recurso, no se pueda recuperar el importe de las costas debido a que la parte contraria, Granitec Europa, S.L., dice, carece de solvencia, a cuyo efecto aporta dos hojas informativas obtenidas de la red informática del Registro Mercantil de Santiago de Compostela y una fotocopia de las cuentas de aquélla correspondientes al ejercicio de 2006, sin firma ni sello en ningún caso. Afirma que la Audiencia Provincial de Pontevedra ha rectificado su criterio sobre la imposibilidad de subsanar la omisión del depósito para recurrir. Y, por último, manifiesta que la empresa se encuentra en una situación económica difícil, que se agravaría si se ejecutara la condena en costas.</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evacuó el trámite de alegaciones mediante escrito registrado en este Tribunal el 20 de marzo de 2012, en el que interesó la denegación de la suspensión solicitada. Argumenta el Fiscal que el art. 56.1 LOTC, en la redacción dada por la Ley Orgánica 6/2007, dispone como regla general la no suspensión de los efectos del acto o Sentencia impugnados en amparo, que el art. 56.2 LOTC admite sólo como una medida de carácter excepcional. Añade que, en cuanto se refiere en particular a las resoluciones judiciales cuyos efectos son meramente patrimoniales o de contenido económico, la doctrina del Tribunal Constitucional viene sosteniendo que no procede la suspensión si no causan un perjuicio irreparable al obligado al pago —que debe acreditar o justificar dicho perjuicio mediante un principio de prueba razonable—, y que no pueden hacer perder al amparo su finalidad porque es legalmente posible que el recurrente obtenga la devolución de lo pagado en ejecución de Sentencia. Concluye el Ministerio Fiscal que, en el caso de autos, la demandante no ha justificado que el abono de las costas procesales, que ni siquiera cuantifica, pueda producir un grave quebranto en su economía, ni que el perjuicio que pudiera producirse tenga carácter irreversible, sin que haya ofrecido tampoco justificación alguna acerca de su actual situación económica y de los efectos que sobre la misma pudiera producir el pago de las costas.</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56.1 de la Ley Orgánica del Tribunal Constitucional dispone, como regla general, que “la interposición del recurso de amparo no suspenderá los efectos del acto o sentencia impugnados”. No obstante, el apartado 2 del mismo precepto matiza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De ello se deriva, como regla general, que la admisión del recurso de amparo, por sí sola, no conlleva la suspensión de la ejecución de los actos recurridos, ni siquiera en el supuesto expresamente previsto de la posible pérdida de la finalidad del amparo, dado que la suspensión se condiciona, en todo caso, a la no producción de perturbación grave de un interés constitucionalmente protegido o de los derechos fundamentales o de las libertades públicas de un tercero. De acuerdo con esta doctrina, este Tribunal ha declarado que “en principio y siempre que la suspensión se solicite en relación con la ejecución de resoluciones judiciales firmes y definitivas, lo más correcto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 Lo anterior no impide, sin embargo, que la protección del interés general que subyace a la ejecución de lo juzgado deba ceder en aquellos supuestos en los que de no acordarse la suspensión el amparo perdería toda finalidad, lo que explica que, como criterio general, proceda suspender aquellos pronunciamientos judiciales que no admiten la reparación o la restitución íntegra de lo ejecutado” (entre otros, AATC 146/2010, de 18 de octubre, FJ 2; y 27/2011, de 14 de marzo, FJ 1).</w:t>
      </w:r>
    </w:p>
    <w:p w:rsidR="00E3576C" w:rsidRDefault="00E3576C" w:rsidP="00E3576C">
      <w:pPr>
        <w:pStyle w:val="TextoNormal"/>
      </w:pPr>
    </w:p>
    <w:p w:rsidR="00E3576C" w:rsidRDefault="00E3576C" w:rsidP="00E3576C">
      <w:pPr>
        <w:pStyle w:val="TextoNormal"/>
      </w:pPr>
      <w:r w:rsidRPr="00E3576C">
        <w:rPr>
          <w:rStyle w:val="NumeroAFNegritaCaracter"/>
        </w:rPr>
        <w:t>2</w:t>
      </w:r>
      <w:r>
        <w:t>. En concreto, y por lo que se refiere a la ejecución de las resoluciones judiciales cuyos efectos son fundamentalmente de carácter patrimonial o económico, por condenar el fallo al pago de una determinada suma de dinero, es doctrina de este Tribunal que “no procede su suspensión si no causan perjuicios irreparables, ni, por lo mismo, hacen perder al recurso de amparo su finalidad, por más que puedan producir efectos desfavorables a quien demanda el amparo, ya que su reparación posterior, en caso de estimarse el recurso, resulta meramente económica, siendo por ello perfectamente posible la restitución íntegra de lo ejecutado. Únicamente se acordará la suspensión cuando por su importancia o cuantía, o por las especiales circunstancias concurrentes, el cumplimiento de la obligación económica pueda causar daños no susceptibles de reparación y siempre que, además, en esos supuestos el demandante de amparo acredite o cuando menos justifique, mediante un principio de prueba razonable, el carácter efectivamente irreparable del perjuicio aducido.” (entre otros, AATC 66/2008, de 25 de febrero, FJ único; 203/2010, de 21 de diciembre, FJ 1; y 27/2011, de 14 de marzo, FJ 2).</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La anterior doctrina resulta aplicable al supuesto de condena en costas procesales porque, al entrañar un pago en dinero, su ejecución no comporta per se ningún perjuicio que </w:t>
      </w:r>
      <w:r>
        <w:lastRenderedPageBreak/>
        <w:t>pueda hacer inútil el recurso de amparo (entre otros, AATC 113/2009, de 20 de abril, 27/2011, de 14 de marzo, y 16/2012, de 30 de enero). En particular, este Tribunal ha declarado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302/2004, de 19 de julio, FJ 3). No procede la suspensión por las solas dudas del recurrente acerca de la solvencia de la contraparte para devolver lo recibido por dicho concepto en caso de prosperar el amparo y declararse nula la resolución judicial que las impuso (AATC 71/2002, de 22 de abril, FJ 2, y 274/2008, de 15 de septiembre, FJ 2); ni puede accederse a lo solicitado, en fin, cuando se refiera a una deuda todavía ilíquida” (AATC 302/2004, de 19 de julio, FJ 3; y 27/2011, de 14 de marzo, FJ 3).</w:t>
      </w:r>
    </w:p>
    <w:p w:rsidR="00E3576C" w:rsidRDefault="00E3576C" w:rsidP="00E3576C">
      <w:pPr>
        <w:pStyle w:val="TextoNormal"/>
      </w:pPr>
    </w:p>
    <w:p w:rsidR="00E3576C" w:rsidRDefault="00E3576C" w:rsidP="00E3576C">
      <w:pPr>
        <w:pStyle w:val="TextoNormal"/>
      </w:pPr>
      <w:r w:rsidRPr="00E3576C">
        <w:rPr>
          <w:rStyle w:val="NumeroAFNegritaCaracter"/>
        </w:rPr>
        <w:t>4</w:t>
      </w:r>
      <w:r>
        <w:t>. En el presente caso la recurrente no ha cumplido la carga que le incumbe de acreditar la irreparabilidad de los supuestos perjuicios económicos que, afirma, le ocasionaría el pago de las costas —que no cuantifica— derivados de una incapacidad o dificultad económica real de atender al mismo, hasta el punto de hacer perder al recurso de amparo su finalidad en caso de que finalmente fuese estimado, sino que su petición de suspensión se articula sobre una eventual dificultad o imposibilidad de recuperar lo abonado, en caso de estimarse el amparo, sustentada en la hipotética insolvencia de la contraparte, lo que no satisface los presupuestos legales para justificar la adopción de la medida solicitada. A lo anterior ha de añadirse la consideración de que la suspensión de la ejecución del pago de las costas afectaría a la mercantil Granitec Europa, S.L., que vería perturbado su derecho a la tutela judicial efectiva en su vertiente relativa a la obtención de la ejecución de una sentencia que contiene un pronunciamiento favorable a sus intereses. No procede, en consecuencia, acceder a la suspensión interesada.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dieciséis de abril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06" w:name="AUTO_2012_65"/>
      <w:r>
        <w:lastRenderedPageBreak/>
        <w:t>AUTO 65/2012, de 16 de abril de 2012</w:t>
      </w:r>
    </w:p>
    <w:bookmarkEnd w:id="206"/>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ECLI:ES:TC:2012:65A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5682-2010, promovido por don Tomás Chiscano Andújar.</w:t>
      </w:r>
    </w:p>
    <w:p w:rsidR="00E3576C" w:rsidRDefault="00E3576C" w:rsidP="00E3576C">
      <w:pPr>
        <w:pStyle w:val="SntesisDescriptiva"/>
      </w:pPr>
    </w:p>
    <w:p w:rsidR="00E3576C" w:rsidRDefault="00E3576C" w:rsidP="00E3576C">
      <w:pPr>
        <w:pStyle w:val="SntesisAnaltica"/>
      </w:pPr>
      <w:r>
        <w:t>Costas procesales: condena en costas procesales. Suspensión cautelar de resoluciones civiles: contenido patrimonial; costas procesales,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13 de julio de 2010, el Procurador de los Tribunales don Juan José Gómez Velasco, en nombre y representación de don Tomás Chiscano Andújar, interpuso recurso de amparo contra la Sentencia dictada por la Sección Tercera de la Audiencia Provincial de Badajoz (con sede en Mérida) el 14 de junio de 2010, en el recurso núm. 184-2010, dimanante del juicio verbal núm. 561-2009 seguido ante el Juzgado de Primera Instancia núm. 3 de Don Benito (Badajoz), que desestimó el recurso de apelación interpuesto por el ahora demandante de amparo, y contra la providencia de 30 de junio de 2010, de la misma Sección de la Audiencia Provincial, que inadmitió a trámite el incidente de nulidad de actuaciones.</w:t>
      </w:r>
    </w:p>
    <w:p w:rsidR="00E3576C" w:rsidRDefault="00E3576C" w:rsidP="00E3576C">
      <w:pPr>
        <w:pStyle w:val="TextoNormal"/>
      </w:pPr>
    </w:p>
    <w:p w:rsidR="00E3576C" w:rsidRDefault="00E3576C" w:rsidP="00E3576C">
      <w:pPr>
        <w:pStyle w:val="TextoNormal"/>
      </w:pPr>
      <w:r w:rsidRPr="00E3576C">
        <w:rPr>
          <w:rStyle w:val="NumeroAFNegritaCaracter"/>
        </w:rPr>
        <w:t>2</w:t>
      </w:r>
      <w:r>
        <w:t>. El recurrente alega en la demanda de amparo que la Sentencia impugnada vulnera su derecho a la tutela judicial efectiva sin indefensión (art. 24.1 CE) en su vertiente de acceso a los recursos legalmente establecidos, porque deja imprejuzgada la cuestión de fondo de su recurso al apreciar —indebidamente según el demandante— el óbice procesal de falta de constitución en plazo del depósito previsto en la disposición adicional quince de la Ley Orgánica del Poder Judicial. Por otrosí, el recurrente solicita la suspensión de la Sentencia impugnada en amparo exclusivamente en cuanto se refiere a la condena en costas, sosteniendo que la misma haría perder al amparo su finalidad de acuerdo con lo dispuesto en el art. 56 de la Ley Orgánica del Tribunal Constitucional (LOTC), y que la suspensión interesada no ocasiona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Por providencia de 27 de febrero de 2012, dictada por la Sala Primera de este Tribunal, se acordó admitir a trámite la demanda de amparo y formar la presente pieza separada de suspensión. Por otra providencia de la misma fecha la Sala, conforme a lo prevenido en el art. 56.4 LOTC, resolvió conceder un plazo común de tres días al solicitante de amparo y al </w:t>
      </w:r>
      <w:r>
        <w:lastRenderedPageBreak/>
        <w:t>Ministerio Fiscal para que, dentro de dicho término, alegaran lo que estimasen pertinente en relación con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4</w:t>
      </w:r>
      <w:r>
        <w:t>. La representación del recurrente evacuó el trámite mediante escrito registrado en este Tribunal el 6 de marzo de 2012, en el que reitera su solicitud de suspensión de la Sentencia impugnada en cuanto a la imposición de costas se refiere. Alega el demandante de amparo que, dado que la Sentencia de la Audiencia Provincial declara que el recurso de apelación no debió ser admitido a trámite por el Juzgado de Primera Instancia, no cabe imponer las costas a la parte apelante porque tal error no es imputable a ésta. Añade que el pago de las costas va a producirle un perjuicio que hará perder al amparo su finalidad, y que la suspensión no ocasionará una perturbación grave a un interés legítimamente protegido ni a los derechos fundamentales o libertades de un tercero.</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evacuó el trámite de alegaciones mediante escrito registrado en este Tribunal el 15 de marzo de 2012, en el que interesó la denegación de la suspensión solicitada. Argumenta el Fiscal que el art. 56.1 LOTC, en la redacción dada por la Ley Orgánica 6/2007, dispone como regla general la no suspensión de los efectos del acto o Sentencia impugnados en amparo, que el art. 56.2 LOTC admite sólo como una medida de carácter excepcional atendiendo a los supuestos legales de perjuicio de la finalidad del amparo y de no perturbación grave de un interés constitucionalmente protegido. Añade que, en cuanto se refiere en particular a las resoluciones judiciales cuyos efectos son meramente patrimoniales o de contenido económico, la doctrina del Tribunal Constitucional viene sosteniendo que no procede la suspensión si no causan un perjuicio irreparable al obligado al pago —que debe acreditar o justificar dicho perjuicio mediante un principio de prueba razonable—, y que no pueden hacer perder al amparo su finalidad porque es legalmente posible que el recurrente obtenga la devolución de lo pagado en ejecución de Sentencia. Concluye el Ministerio Fiscal que, en el caso de autos, el demandante no ha justificado que el abono de las costas procesales, que ni siquiera cuantifica, pueda producir un grave quebranto en su economía, ni que el perjuicio que pudiera producirse tenga carácter irreversible.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El art. 56.1 de la Ley Orgánica del Tribunal Constitucional dispone, como regla general, que “la interposición del recurso de amparo no suspenderá los efectos del acto o sentencia impugnados”. No obstante, el apartado 2 del mismo precepto matiza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De ello se deriva, como regla general, que la admisión del recurso de amparo, por sí sola, no conlleva la suspensión de la ejecución de los actos recurridos, ni siquiera en el supuesto expresamente previsto de la posible pérdida de la finalidad del amparo, dado que la suspensión se condiciona, en todo caso, a la no producción de perturbación grave de un interés constitucionalmente protegido o de los derechos fundamentales o de las libertades públicas de un tercero. De acuerdo con esta doctrina, este Tribunal ha declarado que “en principio y siempre que la suspensión se solicite en relación con la ejecución de resoluciones judiciales </w:t>
      </w:r>
      <w:r>
        <w:lastRenderedPageBreak/>
        <w:t>firmes y definitivas, lo más correcto es no acceder a la misma y en consecuencia no enervar su cumplimiento, pues la suspensión se configura como una medida provisional de carácter excepcional y de aplicación restrictiva, dado el interés general en la efectividad de las decisiones de los poderes públicos, y, en particular, en la ejecución de las resoluciones judiciales, amparadas estas últimas como están en la presunción de legalidad y veracidad en el ejercicio de la potestad jurisdiccional que confiere el art. 117.3 de la Constitución. Lo anterior no impide, sin embargo, que la protección del interés general que subyace a la ejecución de lo juzgado deba ceder en aquellos supuestos en los que de no acordarse la suspensión el amparo perdería toda finalidad, lo que explica que, como criterio general, proceda suspender aquellos pronunciamientos judiciales que no admiten la reparación o la restitución íntegra de lo ejecutado” (entre otros, AATC 146/2010, de 18 de octubre, FJ 2; y 27/2011, de 14 de marzo, FJ 1).</w:t>
      </w:r>
    </w:p>
    <w:p w:rsidR="00E3576C" w:rsidRDefault="00E3576C" w:rsidP="00E3576C">
      <w:pPr>
        <w:pStyle w:val="TextoNormal"/>
      </w:pPr>
    </w:p>
    <w:p w:rsidR="00E3576C" w:rsidRDefault="00E3576C" w:rsidP="00E3576C">
      <w:pPr>
        <w:pStyle w:val="TextoNormal"/>
      </w:pPr>
      <w:r w:rsidRPr="00E3576C">
        <w:rPr>
          <w:rStyle w:val="NumeroAFNegritaCaracter"/>
        </w:rPr>
        <w:t>2</w:t>
      </w:r>
      <w:r>
        <w:t>. En concreto, y por lo que se refiere a la ejecución de las resoluciones judiciales cuyos efectos son fundamentalmente de carácter patrimonial o económico, por condenar el fallo al pago de una determinada suma de dinero, es doctrina de este Tribunal que “no procede su suspensión si no causan perjuicios irreparables, ni, por lo mismo, hacen perder al recurso de amparo su finalidad, por más que puedan producir efectos desfavorables a quien demanda el amparo, ya que su reparación posterior, en caso de estimarse el recurso, resulta meramente económica, siendo por ello perfectamente posible la restitución íntegra de lo ejecutado. Únicamente se acordará la suspensión cuando por su importancia o cuantía, o por las especiales circunstancias concurrentes, el cumplimiento de la obligación económica pueda causar daños no susceptibles de reparación y siempre que, además, en esos supuestos el demandante de amparo acredite o cuando menos justifique, mediante un principio de prueba razonable, el carácter efectivamente irreparable del perjuicio aducido.” (entre otros, AATC 66/2008, de 25 de febrero, FJ único; 203/2010, de 21 de diciembre, FJ 1; y 27/2011, de 14 de marzo, FJ 2).</w:t>
      </w:r>
    </w:p>
    <w:p w:rsidR="00E3576C" w:rsidRDefault="00E3576C" w:rsidP="00E3576C">
      <w:pPr>
        <w:pStyle w:val="TextoNormal"/>
      </w:pPr>
    </w:p>
    <w:p w:rsidR="00E3576C" w:rsidRDefault="00E3576C" w:rsidP="00E3576C">
      <w:pPr>
        <w:pStyle w:val="TextoNormal"/>
      </w:pPr>
      <w:r w:rsidRPr="00E3576C">
        <w:rPr>
          <w:rStyle w:val="NumeroAFNegritaCaracter"/>
        </w:rPr>
        <w:t>3</w:t>
      </w:r>
      <w:r>
        <w:t>. La anterior doctrina resulta aplicable al supuesto de condena en costas procesales porque, al entrañar un pago en dinero, su ejecución no comporta per se ningún perjuicio que pueda hacer inútil el recurso de amparo (entre otros, AATC 113/2009, de 20 de abril, 27/2011, de 14 de marzo, y 16/2012, de 30 de enero). En particular, este Tribunal ha declarado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302/2004, de 19 de julio, FJ 3). No procede la suspensión por las solas dudas del recurrente acerca de la solvencia de la contraparte para devolver lo recibido por dicho concepto en caso de prosperar el amparo y declararse nula la resolución judicial que las impuso (AATC 71/2002, de 22 de abril, FJ 2; y 274/2008, de 15 de septiembre, FJ 2); ni puede accederse a lo solicitado, en fin, cuando se refiera a una deuda todavía ilíquida” (AATC 302/2004, de 19 de julio, FJ 3; y 27/2011, de 14 de marzo, FJ 3).</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4</w:t>
      </w:r>
      <w:r>
        <w:t>. En el presente caso no concurre ninguna de las circunstancias expuestas para acordar la suspensión interesada toda vez que, como acertadamente pone de manifiesto el Ministerio Fiscal en sus alegaciones, el recurrente no ha cumplido la carga que le incumbe de acreditar la irreparabilidad de los supuestos perjuicios económicos que, afirma, le ocasionaría la ejecución de la Sentencia recurrida, hasta el punto de hacer perder al recurso de amparo su finalidad en caso de que finalmente fuese estimado. Por el contrario, y como se ha expuesto en los antecedentes, su petición se articula sobre el argumento de que la Sentencia impugnada, dictada por la Audiencia Provincial de Badajoz, declara que el Juzgado de Primera Instancia núm. 3 de Don Benito no debió admitir a trámite el recurso de apelación por lo que, no siendo imputable dicho error a la parte apelante —ahora demandante de amparo—, no cabe imponerle las costas puesto que el abono de éstas causaría un mayor perjuicio al recurrente, que ya ha sido privado de obtener una resolución sobre el fondo. Lejos de acreditar, por tanto, la excesiva o irreparable gravosidad de la partida de costas, lo que pretende el recurrente es unir dos actuaciones independientes entre si —de un lado, el efecto de la pérdida del recurso declarado por la Sentencia recurrida y, de otro lado, la consecuencia económica de su mera firmeza, esto es, el pago de las costas— para, por acumulación, crear una apariencia de irreparabilidad económica, que ni siquiera cuantifica, lo que no satisface los presupuestos legales para justificar la adopción de la medida solicitada. No procede, en consecuencia, acceder a la suspensión interesada.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dieciséis de abril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07" w:name="AUTO_2012_66"/>
      <w:r>
        <w:lastRenderedPageBreak/>
        <w:t>AUTO 66/2012, de 16 de abril de 2012</w:t>
      </w:r>
    </w:p>
    <w:bookmarkEnd w:id="207"/>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ECLI:ES:TC:2012:66A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Suspende la ejecución de la resolución de la Delegación del Gobierno en Madrid de 4 de junio de 2008 solicitada en el recurso de amparo 6022-2011, promovido por don Fredy Oswaldo Calle Quintero.</w:t>
      </w:r>
    </w:p>
    <w:p w:rsidR="00E3576C" w:rsidRDefault="00E3576C" w:rsidP="00E3576C">
      <w:pPr>
        <w:pStyle w:val="SntesisDescriptiva"/>
      </w:pPr>
    </w:p>
    <w:p w:rsidR="00E3576C" w:rsidRDefault="00E3576C" w:rsidP="00E3576C">
      <w:pPr>
        <w:pStyle w:val="SntesisAnaltica"/>
      </w:pPr>
      <w:r>
        <w:t>Suspensión cautelar de resoluciones contencioso-administrativas: expulsión de extranjeros y prohibición de entrada en el territorio nacional, suspende. Suspensión de la ejecución del acto que origina el amparo: doctrina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7 de noviembre de 2011, el Procurador de los Tribunales don Ramiro Reynolds Martínez, en representación de don Fredy Oswaldo Calle Quintero, interpuso recurso de amparo contra la resolución de la Delegación del Gobierno en Madrid de 4 de junio de 2008 (expediente de expulsión núm. 280020080019178), mediante la que se impone al recurrente la sanción de expulsión del territorio nacional y prohibición de entrada durante cinco años por la comisión de una infracción grave prevista en el art. 53.1 a) de la Ley Orgánica sobre derechos y libertades de los extranjeros en España, por carecer de documentación que acreditara su estancia o residencia legal en España, así como contra la Sentencia de 8 de septiembre de 2011, dictada en apelación por la Sección Tercera de la Sala de lo Contencioso-Administrativo del Tribunal Superior de Justicia de Madrid (recurso de apelación núm. 2724-2011), mediante la cual se confirmó la dictada en primera instancia por el Juzgado de lo Contencioso-Administrativo núm. 16 de Madrid (procedimiento abreviado núm. 1143-2008), que desestimó el recurso contencioso-administrativo interpuesto por el actor contra la sanción de expulsión a la que se ha hecho referencia.</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El recurrente alega en su demanda de amparo haber sufrido diversas vulneraciones constitucionales como consecuencia, tanto de la resolución sancionadora dictada por la Administración, como de las Sentencias dictadas por el Juzgado de lo Contencioso-Administrativo y el Tribunal Superior de Justicia de Madrid en el recurso de apelación. Mediante otrosí solicita además la suspensión de la referida resolución administrativa y judiciales, en virtud del art. 56 de la Ley Orgánica del Tribunal Constitucional (LOTC), alegando, en primer término, que la ejecución del acto administrativo recurrido “haría perder al amparo su finalidad en caso de ser concedido, porque los perjuicios de carácter personal, económico y familiar serían de imposible resarcimiento”, debido a las circunstancias de arraigo familiar </w:t>
      </w:r>
      <w:r>
        <w:lastRenderedPageBreak/>
        <w:t>alegadas en la demanda que determinarían que la expulsión afectaría a la vida privada y familiar del recurrente, así como, en segundo lugar, que la ejecución del acto haría perder en gran medida la finalidad legítima del recurso al conllevar la expulsión de recurrente a su país de origen y, por consiguiente, la adopción de medidas restrictivas de derechos del actor, cuando está cuestionada la legalidad de la resolución administrativa. Además se alega que la suspensión de las resoluciones impugnadas no ocasionará perturbación grave a un interés constitucionalmente protegido ni a los derechos o libertades de otra persona.</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providencia de 1 de marzo de 2012, la Sala Segunda de este Tribunal acordó admitir a trámite la demanda de amparo, así como dirigir atenta comunicación a la Sección Tercera de la Sala de lo Contencioso-Administrativo del Tribunal Superior de Justicia de Madrid y a la Delegación del Gobierno en Madrid a fin de que, en plazo que no exceda de diez días, remita certificación o fotocopia adverada de las actuaciones correspondientes al rollo de apelación 2724-2011 y al expediente de expulsión núm. 280020080019178, respectivamente. Asimismo se dirige comunicación al Juzgado de lo Contencioso-Administrativo núm. 16 de Madrid para que remita certificación o fotocopia adverada de las actuaciones correspondientes al procedimiento abreviado 1143-2008, debiendo emplazar previamente a quienes hubiesen sido parte en el procedimiento, excepto a la parte recurrente en amparo.</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esa misma fecha la Sala Segunda acordó la formación de la oportuna pieza separada para la tramitación del incidente sobre la suspensión solicitada, concediendo, de conformidad con el art. 56 LOTC, un plazo común de tres días a las partes para que alegaran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5</w:t>
      </w:r>
      <w:r>
        <w:t>. Por escrito registrado en este Tribunal el 9 de marzo de 2012, la representación procesal del recurrente formuló sus alegaciones, en las que, tras invocar los argumentos vertidos por este Tribunal en los AATC 82/1999, de 12 de abril, y 356/2008, de 10 de noviembre, reitera la solicitud de suspensión, apoyándola en los argumentos ya expuestos en la demanda.</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presentó el 15 de marzo de 2012 su escrito de alegaciones, en el que interesa se acceda a la solicitud de suspensión por entender que, conforme a lo razonado en los AATC 82/1999, de 12 de abril, FJ 2; 356/2008, de 10 de noviembre, FJ único; y 156/2010, de 15 de noviembre, FJ único, la ejecución de la sanción haría perder al amparo su finalidad, toda vez que los perjuicios de carácter personal, económico y familiar derivados de dicha ejecución serían de imposible resarcimiento en caso de estimarse el recurso de amparo. Además alega que no parece que una suspensión de la resolución judicial recurrida pueda originar una perturbación grave de los intereses generales ni de los derechos fundamentales o libertades públicas de un tercero.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w:t>
      </w:r>
      <w:r>
        <w:lastRenderedPageBreak/>
        <w:t>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t>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como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00E3576C" w:rsidRDefault="00E3576C" w:rsidP="00E3576C">
      <w:pPr>
        <w:pStyle w:val="TextoNormal"/>
      </w:pPr>
    </w:p>
    <w:p w:rsidR="00E3576C" w:rsidRDefault="00E3576C" w:rsidP="00E3576C">
      <w:pPr>
        <w:pStyle w:val="TextoNormal"/>
      </w:pPr>
      <w:r w:rsidRPr="00E3576C">
        <w:rPr>
          <w:rStyle w:val="NumeroAFNegritaCaracter"/>
        </w:rPr>
        <w:t>2</w:t>
      </w:r>
      <w:r>
        <w:t>. En cuanto a la expulsión de extranjeros del territorio nacional, este Tribunal ha señalado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82/1999, de 12 de abril, FJ 2)” (ATC 356/2008, de 10 de noviembre, FJ único; y 156/2010, de 15 de noviembre, FJ único).</w:t>
      </w:r>
    </w:p>
    <w:p w:rsidR="00E3576C" w:rsidRDefault="00E3576C" w:rsidP="00E3576C">
      <w:pPr>
        <w:pStyle w:val="TextoNormal"/>
      </w:pPr>
    </w:p>
    <w:p w:rsidR="00E3576C" w:rsidRDefault="00E3576C" w:rsidP="00E3576C">
      <w:pPr>
        <w:pStyle w:val="TextoNormal"/>
      </w:pPr>
      <w:r>
        <w:t>En el presente caso, en aplicación de lo expuesto, y conforme también solicita el Ministerio Fiscal, resulta procedente acordar la suspensión de la expulsión del territorio nacional del recurrente y la prohibición de entrada durante cinco años en España, atendiendo al con</w:t>
      </w:r>
      <w:r>
        <w:lastRenderedPageBreak/>
        <w:t>junto de sus circunstancias personales, toda vez que tampoco cabe apreciar que dicha suspensión pueda originar una perturbación grave de los intereses generales ni de los derechos fundamentales o libertades públicas de un tercero (ATC 356/2008).</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Suspender la ejecución de la resolución de la Delegación del Gobierno en Madrid de 4 de junio de 2008 (expediente de expulsión núm. 280020080019178), que impone al recurrente la sanción de expulsión del territorio nacional y prohibición de entrada durante cinco años, así como de las Sentencias de 19 de noviembre de 2010 del Juzgado de lo Contencioso- Administrativo núm. 16 de Madrid (procedimiento abreviado núm. 1143-2008), y de 8 de septiembre de 2011, dictada en apelación por la Sección Tercera de la Sala de lo Contencioso-Administrativo del Tribunal Superior de Justicia de Madrid de 8 de septiembre de 2011 (recurso de apelación núm. 2724-2011), que confirmó la anterior.</w:t>
      </w:r>
    </w:p>
    <w:p w:rsidR="00E3576C" w:rsidRDefault="00E3576C" w:rsidP="00E3576C">
      <w:pPr>
        <w:pStyle w:val="TextoNormal"/>
      </w:pPr>
    </w:p>
    <w:p w:rsidR="00E3576C" w:rsidRDefault="00E3576C" w:rsidP="00E3576C">
      <w:pPr>
        <w:pStyle w:val="TextoNormal"/>
      </w:pPr>
      <w:r>
        <w:t>Madrid, a dieciséis de abril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08" w:name="AUTO_2012_67"/>
      <w:r>
        <w:lastRenderedPageBreak/>
        <w:t>AUTO 67/2012, de 17 de abril de 2012</w:t>
      </w:r>
    </w:p>
    <w:bookmarkEnd w:id="20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ECLI:ES:TC:2012:67A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del conflicto positivo de competencia 81-2008, promovido por el Gobierno de Aragón en relación con diversos preceptos del Real Decreto 1069/2007, de 27 de julio, por el que se regula el procedimiento para la tramitación de las solicitudes de inscripción en el registro comunitario de las denominaciones de origen protegidas y de las indicaciones geográficas protegidas y la oposición a ellas.</w:t>
      </w:r>
    </w:p>
    <w:p w:rsidR="00E3576C" w:rsidRDefault="00E3576C" w:rsidP="00E3576C">
      <w:pPr>
        <w:pStyle w:val="SntesisDescriptiva"/>
      </w:pPr>
    </w:p>
    <w:p w:rsidR="00E3576C" w:rsidRDefault="00E3576C" w:rsidP="00E3576C">
      <w:pPr>
        <w:pStyle w:val="SntesisAnaltica"/>
      </w:pPr>
      <w:r>
        <w:t>Desistimiento en procesos constitucionales: desistimiento en el conflicto positivo de competencia, procedencia.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Mediante escrito registrado en este Tribunal con fecha 3 de enero de 2008 el Letrado de la Comunidad Autónoma de Aragón, en la representación que legalmente ostenta del Gobierno de esa Comunidad Autónoma, promueve conflicto positivo de competencia contra los arts. 5.4, 8, 9.2 y 12 del Real Decreto 1069/2007, de 27 de julio, por el que se regula el procedimiento para la tramitación de las solicitudes de inscripción en el registro comunitario de las denominaciones de origen protegidas y de las indicaciones geográficas protegidas y la oposición a ellas. </w:t>
      </w:r>
    </w:p>
    <w:p w:rsidR="00E3576C" w:rsidRDefault="00E3576C" w:rsidP="00E3576C">
      <w:pPr>
        <w:pStyle w:val="TextoNormal"/>
      </w:pPr>
    </w:p>
    <w:p w:rsidR="00E3576C" w:rsidRDefault="00E3576C" w:rsidP="00E3576C">
      <w:pPr>
        <w:pStyle w:val="TextoNormal"/>
      </w:pPr>
      <w:r>
        <w:t>Admitido a trámite el conflicto positivo de competencia por providencia del Pleno, de 12 de febrero de 2008, adoptada a propuesta de la Sección Cuarta, el Abogado del Estado formuló sus alegaciones mediante escrito registrado el día 18 de marzo de 2008 en el que interesa la desestimación del conflicto.</w:t>
      </w:r>
    </w:p>
    <w:p w:rsidR="00E3576C" w:rsidRDefault="00E3576C" w:rsidP="00E3576C">
      <w:pPr>
        <w:pStyle w:val="TextoNormal"/>
      </w:pPr>
    </w:p>
    <w:p w:rsidR="00E3576C" w:rsidRDefault="00E3576C" w:rsidP="00E3576C">
      <w:pPr>
        <w:pStyle w:val="TextoNormal"/>
      </w:pPr>
      <w:r w:rsidRPr="00E3576C">
        <w:rPr>
          <w:rStyle w:val="NumeroAFNegritaCaracter"/>
        </w:rPr>
        <w:t>2</w:t>
      </w:r>
      <w:r>
        <w:t>. Con fecha 8 de febrero de 2012 el Letrado de la Comunidad Autónoma de Aragón presenta en este Tribunal Constitucional un escrito en el que expone que, debidamente autorizado en virtud del acuerdo del Gobierno de aquélla de 24 de enero de 2012, solicita tener por desistido a dicho Gobierno del presente conflicto positivo de competencia.</w:t>
      </w:r>
    </w:p>
    <w:p w:rsidR="00E3576C" w:rsidRDefault="00E3576C" w:rsidP="00E3576C">
      <w:pPr>
        <w:pStyle w:val="TextoNormal"/>
      </w:pPr>
    </w:p>
    <w:p w:rsidR="00E3576C" w:rsidRDefault="00E3576C" w:rsidP="00E3576C">
      <w:pPr>
        <w:pStyle w:val="TextoNormal"/>
      </w:pPr>
      <w:r w:rsidRPr="00E3576C">
        <w:rPr>
          <w:rStyle w:val="NumeroAFNegritaCaracter"/>
        </w:rPr>
        <w:t>3</w:t>
      </w:r>
      <w:r>
        <w:t>. El Pleno del Tribunal Constitucional, por providencia de 28 de febrero de 2012, acordó incorporar a los autos el escrito presentado por la representación legal del Gobierno de Aragón y oír al Abogado del Estado en relación con la solicitud de desistimiento formulada en dicho escrito.</w:t>
      </w:r>
    </w:p>
    <w:p w:rsidR="00E3576C" w:rsidRDefault="00E3576C" w:rsidP="00E3576C">
      <w:pPr>
        <w:pStyle w:val="TextoNormal"/>
      </w:pPr>
    </w:p>
    <w:p w:rsidR="00E3576C" w:rsidRDefault="00E3576C" w:rsidP="00E3576C">
      <w:pPr>
        <w:pStyle w:val="TextoNormal"/>
      </w:pPr>
      <w:r w:rsidRPr="00E3576C">
        <w:rPr>
          <w:rStyle w:val="NumeroAFNegritaCaracter"/>
        </w:rPr>
        <w:t>4</w:t>
      </w:r>
      <w:r>
        <w:t>. El día 7 de marzo de 2012 el Abogado del Estado dirigió un escrito al Tribunal Constitucional en el que manifiesta que no se opone a la solicitud de desistimiento formulada por el Gobierno de Aragón.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424/2007, de 6 de noviembre).</w:t>
      </w:r>
    </w:p>
    <w:p w:rsidR="00E3576C" w:rsidRDefault="00E3576C" w:rsidP="00E3576C">
      <w:pPr>
        <w:pStyle w:val="TextoNormal"/>
      </w:pPr>
    </w:p>
    <w:p w:rsidR="00E3576C" w:rsidRDefault="00E3576C" w:rsidP="00E3576C">
      <w:pPr>
        <w:pStyle w:val="TextoNormal"/>
      </w:pPr>
      <w:r>
        <w:t>El Letrado de la Comunidad Autónoma de Aragón, debidamente autorizado, según certificación del acuerdo adoptado al efecto por el Consejo de Gobierno de aquélla, pide que se  tenga al Gobierno de Aragón por desistido del presente conflicto positivo de competencia. El Abogado del Estado no se opone a ello, sin que se advierta interés constitucional que aconseje la prosecución del conflicto hasta su finalización por Sentencia.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Tener por desistido al Letrado de la Comunidad Autónoma de Aragón, en la representación que legalmente ostenta, del conflicto positivo de competencia número 81-2008, promovido por el Gobierno de Aragón en relación con los arts. 5.4, 8, 9.2 y 12 del Real Decreto 1069/2007, de 27 de julio, por el que se regula el procedimiento para la tramitación de las solicitudes de inscripción en el registro comunitario de las denominaciones de origen protegidas y de las indicaciones geográficas protegidas y la oposición a ellas, declarando extinguido el proceso.</w:t>
      </w:r>
    </w:p>
    <w:p w:rsidR="00E3576C" w:rsidRDefault="00E3576C" w:rsidP="00E3576C">
      <w:pPr>
        <w:pStyle w:val="TextoNormal"/>
      </w:pPr>
    </w:p>
    <w:p w:rsidR="00E3576C" w:rsidRDefault="00E3576C" w:rsidP="00E3576C">
      <w:pPr>
        <w:pStyle w:val="TextoNormal"/>
      </w:pPr>
      <w:r>
        <w:t>Madrid, a diecisiete de abril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09" w:name="AUTO_2012_68"/>
      <w:r>
        <w:lastRenderedPageBreak/>
        <w:t>AUTO 68/2012, de 17 de abril de 2012</w:t>
      </w:r>
    </w:p>
    <w:bookmarkEnd w:id="20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ECLI:ES:TC:2012:68A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6252-2011, planteada por la Sala de lo Contencioso-Administrativo del Tribunal Superior de Justicia de Extremadura en relación con la disposición transitoria tercera de la Ley de Extremadura 3/1990, de 24 de mayo, de la función pública.</w:t>
      </w:r>
    </w:p>
    <w:p w:rsidR="00E3576C" w:rsidRDefault="00E3576C" w:rsidP="00E3576C">
      <w:pPr>
        <w:pStyle w:val="SntesisDescriptiva"/>
      </w:pPr>
    </w:p>
    <w:p w:rsidR="00E3576C" w:rsidRDefault="00E3576C" w:rsidP="00E3576C">
      <w:pPr>
        <w:pStyle w:val="SntesisAnaltica"/>
      </w:pPr>
      <w:r>
        <w:t>Acceso a la función pública: pruebas restringidas. Extremadura: función pública. Inadmisión de cuestión de inconstitucionalidad: cuestión de inconstitucionalidad notoriamente infundada. Procesos selectivos en la función pública: experiencia profesional; valoración de méritos.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el Tribunal el día 18 de noviembre de 2011, al que se  acompaña testimonio de las actuaciones (procedimiento ordinario núm. 130-2002) y el Auto de promoción de 7 de noviembre, la Sala de lo Contencioso-Administrativo del Tribunal Superior de Justicia de Extremadura plantea cuestión de inconstitucionalidad en relación con la disposición transitoria tercera de la Ley de Extremadura 3/1990, de 24 de mayo, de modificación de la Ley 2/1986, de 23 de mayo, de la función pública, por posible vulneración de los arts. 23.2 y 149.1.18 CE.</w:t>
      </w:r>
    </w:p>
    <w:p w:rsidR="00E3576C" w:rsidRDefault="00E3576C" w:rsidP="00E3576C">
      <w:pPr>
        <w:pStyle w:val="TextoNormal"/>
      </w:pPr>
    </w:p>
    <w:p w:rsidR="00E3576C" w:rsidRDefault="00E3576C" w:rsidP="00E3576C">
      <w:pPr>
        <w:pStyle w:val="TextoNormal"/>
      </w:pPr>
      <w:r w:rsidRPr="00E3576C">
        <w:rPr>
          <w:rStyle w:val="NumeroAFNegritaCaracter"/>
        </w:rPr>
        <w:t>2</w:t>
      </w:r>
      <w:r>
        <w:t>. Los antecedentes de la cuestión son los siguientes:</w:t>
      </w:r>
    </w:p>
    <w:p w:rsidR="00E3576C" w:rsidRDefault="00E3576C" w:rsidP="00E3576C">
      <w:pPr>
        <w:pStyle w:val="TextoNormal"/>
      </w:pPr>
    </w:p>
    <w:p w:rsidR="00E3576C" w:rsidRDefault="00E3576C" w:rsidP="00E3576C">
      <w:pPr>
        <w:pStyle w:val="TextoNormal"/>
      </w:pPr>
      <w:r>
        <w:t>a) El 15 de marzo de 2001 un grupo de funcionarios de la Comunidad Autónoma de Extremadura interpuso recurso contencioso-administrativo contra la orden de 15 de enero de 2001, por la que se convocan pruebas selectivas para la integración en el régimen administrativo funcionarial de personal laboral al servicio de la Administración de la Comunidad Autónoma de Extremadura, recurso que, tras diversas vicisitudes procesales, se inadmitió por Auto de 2 de abril de 2003 de la Sala de lo Contencioso-Administrativo del Tribunal Superior de Justicia de Extremadura que estimó que los recurrentes carecían de legitimación procesal para interponer el recurso. Dicho Auto fue posteriormente anulado y dejado sin efecto por Sentencia de la Sección Séptima de la Sala de lo Contencioso-Administrativo del Tribunal Supremo de 20 de junio de 2008 que estimó el recurso de casación interpuesto por los actores.</w:t>
      </w:r>
    </w:p>
    <w:p w:rsidR="00E3576C" w:rsidRDefault="00E3576C" w:rsidP="00E3576C">
      <w:pPr>
        <w:pStyle w:val="TextoNormal"/>
      </w:pPr>
    </w:p>
    <w:p w:rsidR="00E3576C" w:rsidRDefault="00E3576C" w:rsidP="00E3576C">
      <w:pPr>
        <w:pStyle w:val="TextoNormal"/>
      </w:pPr>
      <w:r>
        <w:t xml:space="preserve">b) Devueltas las actuaciones para la continuación del recurso, tras los trámites procesales oportunos, el día 15 de septiembre de 2011 el órgano judicial, en trámite de dictar Sentencia, dictó providencia por la que se daba traslado a las partes personadas y al  Ministerio Fiscal, por plazo de diez días, a fin de que formulasen alegaciones sobre la pertinencia de plantear la cuestión de inconstitucionalidad “acerca de la posible inconstitucionalidad de la D. Transitoria tercera del Texto Refundido de la Ley de la Función Pública de Extremadura, modificada por Ley 5/1995, al tratarse de la norma en la que se fundamenta y da cobertura a la Orden recurrida y que dicho precepto en cuya validez descansaría el fallo de la sentencia podría vulnerar los arts. 23.2 y 103.3 así como el art. 149.1.18 CE al desconocer legislación básica (como es la contenida en los arts. 19.1 y 25 de la Ley 30/1984, de 2 de agosto, de medidas para la reforma de la función pública).” </w:t>
      </w:r>
    </w:p>
    <w:p w:rsidR="00E3576C" w:rsidRDefault="00E3576C" w:rsidP="00E3576C">
      <w:pPr>
        <w:pStyle w:val="TextoNormal"/>
      </w:pPr>
    </w:p>
    <w:p w:rsidR="00E3576C" w:rsidRDefault="00E3576C" w:rsidP="00E3576C">
      <w:pPr>
        <w:pStyle w:val="TextoNormal"/>
      </w:pPr>
      <w:r>
        <w:t>El Fiscal manifestó su parecer favorable al planteamiento de la cuestión de inconstitucionalidad, la representación procesal de los recurrentes estimó que no era necesario y el Letrado de la Junta de Extremadura se opuso  a su planteamiento.</w:t>
      </w:r>
    </w:p>
    <w:p w:rsidR="00E3576C" w:rsidRDefault="00E3576C" w:rsidP="00E3576C">
      <w:pPr>
        <w:pStyle w:val="TextoNormal"/>
      </w:pPr>
      <w:r>
        <w:t xml:space="preserve"> </w:t>
      </w:r>
    </w:p>
    <w:p w:rsidR="00E3576C" w:rsidRDefault="00E3576C" w:rsidP="00E3576C">
      <w:pPr>
        <w:pStyle w:val="TextoNormal"/>
      </w:pPr>
      <w:r>
        <w:t>c) Finalmente, el órgano judicial dictó el Auto de 7 de noviembre de 2011 planteando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3</w:t>
      </w:r>
      <w:r>
        <w:t>. En cuanto al contenido del Auto de promoción importa destacar lo siguiente:</w:t>
      </w:r>
    </w:p>
    <w:p w:rsidR="00E3576C" w:rsidRDefault="00E3576C" w:rsidP="00E3576C">
      <w:pPr>
        <w:pStyle w:val="TextoNormal"/>
      </w:pPr>
    </w:p>
    <w:p w:rsidR="00E3576C" w:rsidRDefault="00E3576C" w:rsidP="00E3576C">
      <w:pPr>
        <w:pStyle w:val="TextoNormal"/>
      </w:pPr>
      <w:r>
        <w:t>Alude, en primer lugar, a los antecedentes de hecho del caso y al resultado del trámite de audiencia para comenzar sus razonamientos jurídicos recordando lo dispuesto en el art. 35.2 de la Ley Orgánica del Tribunal Constitucional (LOTC) y rechazando los argumentos de los recurrentes y de la Junta de Extremadura contrarios al planteamiento de la cuestión de inconstitucionalidad. A continuación hace referencia al contenido de la orden impugnada considerando que la misma encuentra su base legal en la disposición transitoria tercera del texto refundido de la Ley de la función pública de Extremadura y destacando que la orden, en sus bases, prevé como requisito previo de los aspirantes tener la condición de personal laboral fijo, estableciendo un especial procedimiento de selección.</w:t>
      </w:r>
    </w:p>
    <w:p w:rsidR="00E3576C" w:rsidRDefault="00E3576C" w:rsidP="00E3576C">
      <w:pPr>
        <w:pStyle w:val="TextoNormal"/>
      </w:pPr>
    </w:p>
    <w:p w:rsidR="00E3576C" w:rsidRDefault="00E3576C" w:rsidP="00E3576C">
      <w:pPr>
        <w:pStyle w:val="TextoNormal"/>
      </w:pPr>
      <w:r>
        <w:t xml:space="preserve">Seguidamente el Auto formula el juicio de aplicabilidad y relevancia estimando que, para resolver la conformidad a Derecho de la orden impugnada es necesario examinar y partir de la norma jerárquica que le da cobertura, pues no se pueden deslindar ambas ya que considera que la citada orden es simple desarrollo de la ley. Estima, por tanto, que la orden será conforme al ordenamiento si lo es la disposición transitoria tercera y viceversa. Hace a continuación referencia a las SSTC 38/2004, de 11 de marzo, y 31/2006, de 1 de febrero, estimando que de las mismas se deduce que este tipo de pruebas, en atención tanto al carácter restringido de los aspirantes como del proceso selectivo en sí presuponen la inconstitucionalidad de la norma en que se basan al establecer unas pruebas que no pueden ser calificadas como libres vulnerándose la competencia básica estatal del art. 149.1.18 CE, en este caso el art. 19 de la Ley 30/1984, de 3 de agosto, de medidas para la reforma de la función pública, sin que sea de aplicación la disposición transitoria sexta de la misma Ley 30/1984 pues el límite temporal que la misma establecía se ha superado con creces. También debe entenderse vulnerado el art. 23.2 CE, es decir, el derecho de los ciudadanos a acceder a las funciones y cargos públicos. </w:t>
      </w:r>
    </w:p>
    <w:p w:rsidR="00E3576C" w:rsidRDefault="00E3576C" w:rsidP="00E3576C">
      <w:pPr>
        <w:pStyle w:val="TextoNormal"/>
      </w:pPr>
    </w:p>
    <w:p w:rsidR="00E3576C" w:rsidRDefault="00E3576C" w:rsidP="00E3576C">
      <w:pPr>
        <w:pStyle w:val="TextoNormal"/>
      </w:pPr>
      <w:r>
        <w:lastRenderedPageBreak/>
        <w:t>Por ello, el Auto concluye que los preceptos constitucionales que entiende vulnerados son el art. 149.1.18 y 23.2 CE remitiéndose, en lo que a la fundamentación de su duda de constitucionalidad respecta a las ya citadas SSTC 38/2004 y 31/2006.</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Cuarta de este Tribunal, de fecha 17 de enero de 2012, se acordó oír al Fiscal General del Estado para que, en el plazo de diez días, alegara lo que considerara conveniente acerca de la admisibilidad de la presente cuestión de inconstitucionalidad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xml:space="preserve">. El 15 de febrero de 2012 el Fiscal General del Estado presentó su escrito de alegaciones sugiriendo la inadmisión a trámite de la cuestión de inconstitucionalidad por considerarla notoriamente infundada. </w:t>
      </w:r>
    </w:p>
    <w:p w:rsidR="00E3576C" w:rsidRDefault="00E3576C" w:rsidP="00E3576C">
      <w:pPr>
        <w:pStyle w:val="TextoNormal"/>
      </w:pPr>
    </w:p>
    <w:p w:rsidR="00E3576C" w:rsidRDefault="00E3576C" w:rsidP="00E3576C">
      <w:pPr>
        <w:pStyle w:val="TextoNormal"/>
      </w:pPr>
      <w:r>
        <w:t xml:space="preserve">Tras recoger los antecedentes de hecho de la cuestión planteada y apreciar cumplidas las exigencias del art. 35.2 LOTC para el planteamiento de una cuestión de inconstitucionalidad, el Fiscal General del Estado alude, en primer lugar, a la doctrina constitucional sobre el concepto de “notoriamente infundada” aplicado a las cuestiones de inconstitucionalidad. Tras ello recuerda la doctrina constitucional acerca del carácter básico de las normas estatales que regulan los procedimientos de acceso a la función pública, citando expresamente la STC 113/2010, de 24 de noviembre, así como la relativa al art. 23.2 CE, con cita de la STC 138/2000, de 29 de mayo. Se detiene seguidamente en el examen de diversas decisiones de este Tribunal en relación con las denominadas pruebas restringidas y su conformidad con la normativa básica estatal. </w:t>
      </w:r>
    </w:p>
    <w:p w:rsidR="00E3576C" w:rsidRDefault="00E3576C" w:rsidP="00E3576C">
      <w:pPr>
        <w:pStyle w:val="TextoNormal"/>
      </w:pPr>
    </w:p>
    <w:p w:rsidR="00E3576C" w:rsidRDefault="00E3576C" w:rsidP="00E3576C">
      <w:pPr>
        <w:pStyle w:val="TextoNormal"/>
      </w:pPr>
      <w:r>
        <w:t xml:space="preserve">De todo ello deduce el Fiscal General del Estado que lo que realmente ha de determinarse es si la disposición cuestionada incorpora un sistema de pruebas restringidas proscrito por la legislación básica estatal, acceso restringido que sería también contrario al art. 23.2 CE. A este respecto, considera el Ministerio público que, conforme a la doctrina constitucional al respecto (con cita de las SSTC 174/1998, de 23 de julio; 38/2004, de 11 de marzo, y 31/2006, de 11 de febrero) la respuesta es negativa si se atiende a la naturaleza de los dos primeros apartados de la cuestionada disposición transitoria tercera. </w:t>
      </w:r>
    </w:p>
    <w:p w:rsidR="00E3576C" w:rsidRDefault="00E3576C" w:rsidP="00E3576C">
      <w:pPr>
        <w:pStyle w:val="TextoNormal"/>
      </w:pPr>
    </w:p>
    <w:p w:rsidR="00E3576C" w:rsidRDefault="00E3576C" w:rsidP="00E3576C">
      <w:pPr>
        <w:pStyle w:val="TextoNormal"/>
      </w:pPr>
      <w:r>
        <w:t xml:space="preserve">Así, indica que, en su primer apartado, la norma cuestionada otorga una opción a los contratados laborales fijos al servicio de la Comunidad Autónoma de Extremadura que desempeñen puestos calificados como de naturaleza administrativa, puesto que pueden elegir entre permanecer en su situación personal a extinguir o integrarse en el régimen administrativo funcionarial pero sin determinar un régimen exclusivo o excluyente contrario al art. 23.2 y a los principios de igualdad, mérito y capacidad proclamados por la legislación básica estatal. En tal sentido apunta el Fiscal General que, prescindiendo de los concretos actos de aplicación de la disposición legal, la integración de este personal debe hacerse “mediante la superación de pruebas selectivas a través de cualquiera de los sistemas de acceso previstos en esta Ley y, en su caso, cursos de adaptación, con reconocimiento de antigüedad”, previsiones ambas que remiten a los arts. 19.1 y 21 del propio Decreto Legislativo 1/1990, preceptos que  respetan la legislación básica estatal. </w:t>
      </w:r>
    </w:p>
    <w:p w:rsidR="00E3576C" w:rsidRDefault="00E3576C" w:rsidP="00E3576C">
      <w:pPr>
        <w:pStyle w:val="TextoNormal"/>
      </w:pPr>
    </w:p>
    <w:p w:rsidR="00E3576C" w:rsidRDefault="00E3576C" w:rsidP="00E3576C">
      <w:pPr>
        <w:pStyle w:val="TextoNormal"/>
      </w:pPr>
      <w:r>
        <w:t xml:space="preserve">Por otra parte, respecto al apartado segundo de la cuestionada disposición transitoria tercera, el Fiscal General destaca que, al exigir que el personal que participe en las pruebas </w:t>
      </w:r>
      <w:r>
        <w:lastRenderedPageBreak/>
        <w:t xml:space="preserve">posea la titulación necesaria, no se excluye uno de los requisitos fundamentales para el acceso cuya carencia determinaría la inconstitucionalidad de la norma sin que tampoco la valoración de servicios previos, tal como aparece formulada en la disposición legal, pueda entenderse contraria  a la doctrina constitucional. En consecuencia estima el Ministerio público que la norma establece con carácter abierto un sistema de acceso a la función pública en el que atribuye la opción de participar a los contratados laborales pero sin que se trate de una convocatoria ad personam, pues exige la previa posesión de la titulación adecuada y la superación de pruebas selectivas que en modo alguno excluyen los requisitos de igualdad, mérito, capacidad y publicidad concordes en la Constitución Española, en la legislación básica y en la legislación autonómica, excluida la consideración de la orden de convocatoria. Concluye, por tanto, considerando que la norma tiene un contenido que no desborda el marco de la normativa básica ni el art. 23.2, debiendo determinarse si la orden objeto del proceso a quo, en tanto que acto aplicativo de la disposición impugnada, se ajusta a la legislación que le da cobertura en cuanto determina una concreción de la norma cuestionada, valoración que ha de efectuarse en el ámbito de la jurisdicción ordinaria dentro del procedimiento contencioso-administrativo origen de esta cuestión. </w:t>
      </w:r>
    </w:p>
    <w:p w:rsidR="00E3576C" w:rsidRDefault="00E3576C" w:rsidP="00E3576C">
      <w:pPr>
        <w:pStyle w:val="TextoNormal"/>
      </w:pPr>
    </w:p>
    <w:p w:rsidR="00E3576C" w:rsidRDefault="00E3576C" w:rsidP="00E3576C">
      <w:pPr>
        <w:pStyle w:val="TextoNormal"/>
      </w:pPr>
      <w:r>
        <w:t>Por último señala el Fiscal General del Estado que lo dispuesto en el apartado 3 de la norma cuestionada, relativo a las retribuciones, se refiere a un momento posterior al acceso a la función pública y, en consecuencia, queda desvinculado de las normas vulneradas que se mencionan en el Auto de planteamiento lo que excluye una posible ponderación de su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La Sala de lo Contencioso-Administrativo del Tribunal Superior de Justicia de Extremadura plantea cuestión de inconstitucionalidad formalmente en relación con la disposición transitoria tercera de la Ley de Extremadura 3/1990, de 24 de mayo, de modificación de la Ley 2/1986, de 23 de mayo, de la función pública si bien en realidad se trata del Decreto Legislativo 1/1990, de 26 de julio, por el que se aprueba el texto refundido de la Ley de la función pública de Extremadura, que refundió las dos leyes citadas. </w:t>
      </w:r>
    </w:p>
    <w:p w:rsidR="00E3576C" w:rsidRDefault="00E3576C" w:rsidP="00E3576C">
      <w:pPr>
        <w:pStyle w:val="TextoNormal"/>
      </w:pPr>
    </w:p>
    <w:p w:rsidR="00E3576C" w:rsidRDefault="00E3576C" w:rsidP="00E3576C">
      <w:pPr>
        <w:pStyle w:val="TextoNormal"/>
      </w:pPr>
      <w:r>
        <w:t>En todo caso, la mencionada disposición transitoria tercera dispone lo siguiente:</w:t>
      </w:r>
    </w:p>
    <w:p w:rsidR="00E3576C" w:rsidRDefault="00E3576C" w:rsidP="00E3576C">
      <w:pPr>
        <w:pStyle w:val="TextoNormal"/>
      </w:pPr>
    </w:p>
    <w:p w:rsidR="00E3576C" w:rsidRDefault="00E3576C" w:rsidP="00E3576C">
      <w:pPr>
        <w:pStyle w:val="TextoNormal"/>
      </w:pPr>
      <w:r>
        <w:t>“1. Los contratados laborales fijos al servicio de la Comunidad Autónoma de Extremadura que desempeñen puestos calificados como de naturaleza administrativa podrán optar por integrarse en el régimen administrativo funcionarial mediante la superación de pruebas selectivas a través de cualquiera de los sistemas de acceso previstos en esta Ley y, en su caso, cursos de adaptación, con reconocimiento de antigüedad, o permanecer en su situación personal de extinguir en los puestos que desempeñen a la entrada en vigor de esta Ley.</w:t>
      </w:r>
    </w:p>
    <w:p w:rsidR="00E3576C" w:rsidRDefault="00E3576C" w:rsidP="00E3576C">
      <w:pPr>
        <w:pStyle w:val="TextoNormal"/>
      </w:pPr>
    </w:p>
    <w:p w:rsidR="00E3576C" w:rsidRDefault="00E3576C" w:rsidP="00E3576C">
      <w:pPr>
        <w:pStyle w:val="TextoNormal"/>
      </w:pPr>
      <w:r>
        <w:t>2. El personal laboral fijo que opte por integrarse en el régimen funcionarial podrá participar en las pruebas selectivas de acceso a los Cuerpos y Escalas a los que figuren adscritos los correspondientes puestos, siempre que posean la titulación necesaria y reúnan los restantes requisitos exigidos, debiendo valorarse a estos efectos como mérito los servicios efectivos prestados en su condición de laboral y las pruebas selectivas superadas para acceder a la misma.</w:t>
      </w:r>
    </w:p>
    <w:p w:rsidR="00E3576C" w:rsidRDefault="00E3576C" w:rsidP="00E3576C">
      <w:pPr>
        <w:pStyle w:val="TextoNormal"/>
      </w:pPr>
    </w:p>
    <w:p w:rsidR="00E3576C" w:rsidRDefault="00E3576C" w:rsidP="00E3576C">
      <w:pPr>
        <w:pStyle w:val="TextoNormal"/>
      </w:pPr>
      <w:r>
        <w:t>3. El personal laboral fijo que habiendo accedido a la condición de funcionario por aplicación de esta disposición transitoria, le disminuyan sus ingresos por la aplicación del régimen retributivo funcionarial, se le aplicará un Complemento Personal Transitorio por la cuantía de tal disminución.”</w:t>
      </w:r>
    </w:p>
    <w:p w:rsidR="00E3576C" w:rsidRDefault="00E3576C" w:rsidP="00E3576C">
      <w:pPr>
        <w:pStyle w:val="TextoNormal"/>
      </w:pPr>
    </w:p>
    <w:p w:rsidR="00E3576C" w:rsidRDefault="00E3576C" w:rsidP="00E3576C">
      <w:pPr>
        <w:pStyle w:val="TextoNormal"/>
      </w:pPr>
      <w:r>
        <w:t xml:space="preserve">La duda de constitucionalidad planteada por el órgano judicial, que apoya sus tesis en la doctrina de las SSTC 38/2004, de 11 de marzo, y 31/2006, de 1 de febrero, se centra en la consideración de que la norma autonómica que cuestiona regula unas pruebas de acceso a la función pública que no podrían calificarse de libres o abiertas. Por ello, dichas pruebas serían contrarias tanto a las competencias estatales ex art. 149.1.18 CE, en cuya virtud la normativa básica estatal establece el principio de que las convocatorias tienen que ser por regla general abiertas o libres, así como al art. 23.2 CE, por cuanto no reunirían los requisitos exigidos por la doctrina constitucional antes citada —confirmando el carácter básico de la disposición transitoria sexta, apartado 4, de la Ley 30/1984— para que las Comunidades Autónomas puedan convocar pruebas de carácter restringido, requisitos uno de carácter personal, el que las pruebas se dirijan a los que tengan la condición de contratados administrativos; y otro de carácter temporal, el que dichos destinatarios hubieran sido contratados mediante convocatorias públicas con anterioridad al 15 de marzo de 1984. </w:t>
      </w:r>
    </w:p>
    <w:p w:rsidR="00E3576C" w:rsidRDefault="00E3576C" w:rsidP="00E3576C">
      <w:pPr>
        <w:pStyle w:val="TextoNormal"/>
      </w:pPr>
    </w:p>
    <w:p w:rsidR="00E3576C" w:rsidRDefault="00E3576C" w:rsidP="00E3576C">
      <w:pPr>
        <w:pStyle w:val="TextoNormal"/>
      </w:pPr>
      <w:r>
        <w:t>El Fiscal General del Estado, por las razones de las que se ha dejado constancia en los antecedentes, se opone a la admisión a trámite de la cuestión de inconstitucionalidad por estimarla notoriamente infundada (art. 37.1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2</w:t>
      </w:r>
      <w:r>
        <w:t>.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Eso es lo que suceder en este caso pues la cuestión de inconstitucionalidad planteada resulta notoriamente infundada, en el significado que a esta noción le viene dando nuestra reiterada doctrina, por las razones que a continuación se exponen.</w:t>
      </w:r>
    </w:p>
    <w:p w:rsidR="00E3576C" w:rsidRDefault="00E3576C" w:rsidP="00E3576C">
      <w:pPr>
        <w:pStyle w:val="TextoNormal"/>
      </w:pPr>
    </w:p>
    <w:p w:rsidR="00E3576C" w:rsidRDefault="00E3576C" w:rsidP="00E3576C">
      <w:pPr>
        <w:pStyle w:val="TextoNormal"/>
      </w:pPr>
      <w:r w:rsidRPr="00E3576C">
        <w:rPr>
          <w:rStyle w:val="NumeroAFNegritaCaracter"/>
        </w:rPr>
        <w:t>3</w:t>
      </w:r>
      <w:r>
        <w:t>. Centrado el problema en la adecuación de la disposición impugnada con la normativa básica estatal en materia de acceso a la función pública así como en relación con el art. 23.2 CE, lo que debe determinarse es, como ha apuntado el Ministerio Fiscal, si la cuestionada disposición transitoria tercera del Decreto Legislativo 1/1990 incorpora un sistema de pruebas restringidas proscritas por la legislación estatal (art. 19.1 de la Ley 30/1984 y actualmente art. 55 de la Ley 7/2007, de 12 de abril, del estatuto básico del empleado público, vigente en el momento de plantearse la presente cuestión) y, en consecuencia, contrarias también al art. 23.2 CE. Por ello resulta pertinente comenzar recordando, siquiera sumariamente, la doctrina constitucional sobre ambas materias.</w:t>
      </w:r>
    </w:p>
    <w:p w:rsidR="00E3576C" w:rsidRDefault="00E3576C" w:rsidP="00E3576C">
      <w:pPr>
        <w:pStyle w:val="TextoNormal"/>
      </w:pPr>
    </w:p>
    <w:p w:rsidR="00E3576C" w:rsidRDefault="00E3576C" w:rsidP="00E3576C">
      <w:pPr>
        <w:pStyle w:val="TextoNormal"/>
      </w:pPr>
      <w:r>
        <w:t xml:space="preserve">En tal sentido, el art. 19 de la Ley 30/1984 hacía referencia a la necesaria garantía de los principios constitucionales de igualdad, mérito, capacidad y publicidad en los sistemas de selección del personal al servicio de las Administraciones públicas, garantía que aparece ahora consagrada en el art. 55 de la Ley del estatuto básico del empleado público y respecto a la cual hemos afirmado reiteradamente su carácter básico (STC 113/2010, de 24 de noviembre, FJ 3, y doctrina allí citada). Carácter básico también predicable de la disposición </w:t>
      </w:r>
      <w:r>
        <w:lastRenderedPageBreak/>
        <w:t xml:space="preserve">transitoria sexta de la Ley 30/1984 como señala, por todas, la STC 174/1998, de 23 de julio, FJ 4.  </w:t>
      </w:r>
    </w:p>
    <w:p w:rsidR="00E3576C" w:rsidRDefault="00E3576C" w:rsidP="00E3576C">
      <w:pPr>
        <w:pStyle w:val="TextoNormal"/>
      </w:pPr>
    </w:p>
    <w:p w:rsidR="00E3576C" w:rsidRDefault="00E3576C" w:rsidP="00E3576C">
      <w:pPr>
        <w:pStyle w:val="TextoNormal"/>
      </w:pPr>
      <w:r>
        <w:t>En cuanto a las denominadas pruebas restringidas o específicas para el acceso a la función pública, la doctrina constitucional se sintetiza en la STC 130/2009, de 1 de junio, FJ 3, con cita de otras, según la cual “el art. 23.2, en relación con el 103.3 CE contiene un derecho a la no restricción injustificada de las condiciones de acceso, conforme al cual queda prohibida la integración automática de determinados grupos en la función pública y, en principio y salvo excepciones, las llamadas ‘pruebas restringidas’ para el acceso a la función pública” si bien, en ocasiones la existencia de dichas pruebas podía ser entendida de forma compatible con el art. 23.2 CE siempre que tales pruebas fueran “un medio excepcional para resolver una situación también excepcional, expresamente prevista en una norma con rango de ley y con el objeto de alcanzar una finalidad constitucionalmente legítima, entre las que se integra también la propia eficacia de la Administración”, pues, en todo caso, debe destacarse el carácter excepcional de los sistemas que no sean de libre acceso respecto a quienes no tengan relación funcionarial alguna, de modo que la convocatoria de pruebas restringidas o específicas, requiere una justificación en cuanto son una excepción a lo que es normal sistema de acceso a la condición de funcionario de carrera.</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A la luz de la doctrina que se ha expuesto procede ahora examinar la disposición cuestionada en la que, como se verá, no cabe apreciar los vicios de inconstitucionalidad planteados por el órgano judicial ya que el propio tenor literal de la disposición transitoria cuestionada permite apreciar que el reproche relativo a la configuración del acceso a la función pública extremeña mediante un turno restringido —en el que el órgano judicial centra la duda de constitucionalidad que plantea— no le es imputable directamente  a la norma legal que cuestiona. </w:t>
      </w:r>
    </w:p>
    <w:p w:rsidR="00E3576C" w:rsidRDefault="00E3576C" w:rsidP="00E3576C">
      <w:pPr>
        <w:pStyle w:val="TextoNormal"/>
      </w:pPr>
    </w:p>
    <w:p w:rsidR="00E3576C" w:rsidRDefault="00E3576C" w:rsidP="00E3576C">
      <w:pPr>
        <w:pStyle w:val="TextoNormal"/>
      </w:pPr>
      <w:r>
        <w:t xml:space="preserve">En efecto, como también ha señalado el Fiscal General del Estado, la disposición transitoria tercera del Decreto Legislativo 1/1990 no hace en ningún momento referencia a turno restringido alguno sino que, en su apartado uno, dispone que los contratados laborales fijos al servicio de la Comunidad Autónoma de Extremadura que desempeñen puestos calificados como de naturaleza administrativa puedan optar por permanecer en su situación a extinguir o bien integrarse en el régimen administrativo funcionarial. Integración que no es automática sino que requiere la previa “superación de pruebas selectivas a través de cualquiera de los sistemas de acceso previstos en esta Ley y, en su caso, cursos de adaptación, con reconocimiento de antigüedad”, esto es, mediante la superación de las correspondientes pruebas selectivas, previo cumplimiento de los requisitos para ser admitidos en las mismas, realizadas a través de los sistemas de concurso, oposición o concurso-oposición libre, sistemas de acceso a la función pública de Extremadura, a través de los que se adquiere la condición de funcionario de la Comunidad Autónoma y en los que es necesario garantizar, en todo caso, los principios constitucionales de igualdad, mérito y capacidad, así como el de publicidad  [arts. 19 y 21 en relación con el 34 a) del Decreto Legislativo 1/1990]. Integración en el régimen funcionarial que, en principio y conforme al apartado 2 de la propia disposición transitoria tercera, se produce mediante “la participación en las pruebas selectivas de acceso a los Cuerpos y Escalas a los que figuren adscritos los correspondientes puestos, siempre que posean la titulación necesaria y reúnan los restantes requisitos exigidos, debiendo valorarse a estos efectos como mérito los servicios efectivos prestados en su condición de laboral y las pruebas selectivas superadas para acceder a la misma”. </w:t>
      </w:r>
    </w:p>
    <w:p w:rsidR="00E3576C" w:rsidRDefault="00E3576C" w:rsidP="00E3576C">
      <w:pPr>
        <w:pStyle w:val="TextoNormal"/>
      </w:pPr>
    </w:p>
    <w:p w:rsidR="00E3576C" w:rsidRDefault="00E3576C" w:rsidP="00E3576C">
      <w:pPr>
        <w:pStyle w:val="TextoNormal"/>
      </w:pPr>
      <w:r>
        <w:t xml:space="preserve">Todo ello permite considerar que el precepto cuestionado prevé la existencia de unas pruebas de acceso cuya excepcionalidad consistiría en la previsión de que se valorasen los servicios efectivos prestados como personal laboral y las pruebas selectivas superadas para acceder a la misma pero que no excluiría de raíz la concurrencia de otras personas que no hubieran prestado aquel tipo de servicios. Valoración de los servicios prestados cuya incidencia en el proceso selectivo no se concreta en la disposición impugnada pero que, respetando las exigencias del principio de proporcionalidad de suerte que se eviten las diferencias de trato irracionales o arbitrarias, es perfectamente válida desde el punto de vista constitucional, tal como recuerda la STC 107/2003, de 2 de junio, FJ 5 b) pues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w:t>
      </w:r>
    </w:p>
    <w:p w:rsidR="00E3576C" w:rsidRDefault="00E3576C" w:rsidP="00E3576C">
      <w:pPr>
        <w:pStyle w:val="TextoNormal"/>
      </w:pPr>
    </w:p>
    <w:p w:rsidR="00E3576C" w:rsidRDefault="00E3576C" w:rsidP="00E3576C">
      <w:pPr>
        <w:pStyle w:val="TextoNormal"/>
      </w:pPr>
      <w:r>
        <w:t>Frente a dicha regulación legal, que en ningún momento alude a procedimientos restringidos, cerrados o específicos en favor de quienes tuvieran la condición de personal laboral fijo, la Orden de 15 de enero de 2001, por la que se convocan pruebas selectivas para la integración en el régimen administrativo funcionarial de personal laboral al servicio de la Administración de la Comunidad Autónoma de Extremadura, concreta la regulación legal que se ha examinado estableciendo, entre los requisitos de los aspirantes en las pruebas que convoca, el de “tener la condición de personal laboral fijo al servicio de la Administración de la Comunidad Autónoma de Extremadura” [base segunda, apartado 1 a)] así como “ser titular de un puesto de trabajo de los que figuran en anexo I calificado como de naturaleza administrativa en la correspondiente relación de puestos de trabajo” [base segunda, apartado 1 b) en relación con la base octava y anexo 1]. Procedimiento de acceso que, además, frente a lo previsto en el apartado dos de la disposición transitoria (participación en las pruebas selectivas de acceso a los cuerpos y escalas a los que figuren adscritos los correspondientes puestos) va a dar lugar al ingreso directo en el cuerpo o escala de funcionarios correspondiente [base segunda, apartado 1 c); base sexta, apartados b.b.2 y c) y base séptima].</w:t>
      </w:r>
    </w:p>
    <w:p w:rsidR="00E3576C" w:rsidRDefault="00E3576C" w:rsidP="00E3576C">
      <w:pPr>
        <w:pStyle w:val="TextoNormal"/>
      </w:pPr>
    </w:p>
    <w:p w:rsidR="00E3576C" w:rsidRDefault="00E3576C" w:rsidP="00E3576C">
      <w:pPr>
        <w:pStyle w:val="TextoNormal"/>
      </w:pPr>
      <w:r>
        <w:t xml:space="preserve">Resulta de todo ello que, frente a lo que afirma el Auto de planteamiento de la cuestión, la orden no es “simple desarrollo de la ley” sino que, mediante la regulación que se acaba de exponer, concreta un aspecto no expresamente previsto en la regulación legal, en cuanto que restringe la posibilidad de tomar parte en las pruebas selectivas a quienes tuvieran previamente  la condición de personal laboral fijo, aspecto que es, precisamente sobre el que pivota toda la argumentación del Auto de planteamiento. En definitiva el reproche en el que el órgano judicial funda la duda de constitucionalidad que plantea, relativo a la configuración de un sistema de selección en el que se haría imposible el acceso de otras personas distintas de las previamente vinculadas a la Administración de la Comunidad Autónoma de Extremadura en su condición de personal laboral fijo, no le es directamente imputable a la disposición transitoria cuestionada sino, que, en su caso y previa la valoración correspondiente en el ámbito de la jurisdicción ordinaria, lo será, como apunta el Ministerio Fiscal, a la orden objeto del proceso a quo en cuanto que la misma, al aplicarla, concreta los extremos en los que el órgano judicial centra la duda de inconstitucionalidad que plantea.  </w:t>
      </w:r>
    </w:p>
    <w:p w:rsidR="00E3576C" w:rsidRDefault="00E3576C" w:rsidP="00E3576C">
      <w:pPr>
        <w:pStyle w:val="TextoNormal"/>
      </w:pPr>
    </w:p>
    <w:p w:rsidR="00E3576C" w:rsidRDefault="00E3576C" w:rsidP="00E3576C">
      <w:pPr>
        <w:pStyle w:val="TextoNormal"/>
      </w:pPr>
      <w:r>
        <w:t>En conclusión, el precepto cuestionado no rebasa los límites constitucionales a los que alude el Auto de planteamiento de la presente cuestión.</w:t>
      </w:r>
    </w:p>
    <w:p w:rsidR="00E3576C" w:rsidRDefault="00E3576C" w:rsidP="00E3576C">
      <w:pPr>
        <w:pStyle w:val="TextoNormal"/>
      </w:pPr>
    </w:p>
    <w:p w:rsidR="00E3576C" w:rsidRDefault="00E3576C" w:rsidP="00E3576C">
      <w:pPr>
        <w:pStyle w:val="TextoNormal"/>
      </w:pPr>
      <w:r>
        <w:t>Por todo lo expuesto,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cuestión de inconstitucionalidad núm. 6252-2011, planteada por  la Sala de lo Contencioso-Administrativo del Tribunal Superior de Justicia de Extremadura.</w:t>
      </w:r>
    </w:p>
    <w:p w:rsidR="00E3576C" w:rsidRDefault="00E3576C" w:rsidP="00E3576C">
      <w:pPr>
        <w:pStyle w:val="TextoNormal"/>
      </w:pPr>
    </w:p>
    <w:p w:rsidR="00E3576C" w:rsidRDefault="00E3576C" w:rsidP="00E3576C">
      <w:pPr>
        <w:pStyle w:val="TextoNormal"/>
      </w:pPr>
      <w:r>
        <w:t>Publíquese este Auto en el “Boletín Oficial del Estado”.</w:t>
      </w:r>
    </w:p>
    <w:p w:rsidR="00E3576C" w:rsidRDefault="00E3576C" w:rsidP="00E3576C">
      <w:pPr>
        <w:pStyle w:val="TextoNormal"/>
      </w:pPr>
    </w:p>
    <w:p w:rsidR="00E3576C" w:rsidRDefault="00E3576C" w:rsidP="00E3576C">
      <w:pPr>
        <w:pStyle w:val="TextoNormal"/>
      </w:pPr>
      <w:r>
        <w:t>Madrid, a diecisiete de abril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0" w:name="AUTO_2012_69"/>
      <w:r>
        <w:lastRenderedPageBreak/>
        <w:t>AUTO 69/2012, de 17 de abril de 2012</w:t>
      </w:r>
    </w:p>
    <w:bookmarkEnd w:id="210"/>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ECLI:ES:TC:2012:69A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Levanta la suspensión de los artículos 6 y 10 de la Ley 3/2011, de 24 de febrero, de medidas en materia de contratos del sector público de Aragón, impugnados por el Presidente del Gobierno en el recurso de inconstitucionalidad 6720-2011.</w:t>
      </w:r>
    </w:p>
    <w:p w:rsidR="00E3576C" w:rsidRDefault="00E3576C" w:rsidP="00E3576C">
      <w:pPr>
        <w:pStyle w:val="SntesisDescriptiva"/>
      </w:pPr>
    </w:p>
    <w:p w:rsidR="00E3576C" w:rsidRDefault="00E3576C" w:rsidP="00E3576C">
      <w:pPr>
        <w:pStyle w:val="SntesisAnaltica"/>
      </w:pPr>
      <w:r>
        <w:t>Aragón: contratación administrativa. Contratos administrativos: contratos de las Comunidades Autónomas. Suspensión de disposiciones de las Comunidades Autónomas: levantamiento de la suspensión de disposiciones de las Comunidades Autónomas.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9 de diciembre de 2011 el Abogado del Estado, en nombre del Presidente del Gobierno, planteó recurso de inconstitucionalidad contra los apartados 1 y 2 del artículo 6 y el artículo 10 —en particular sus apartados 2 c), 2 d), y 2 f)— de la Ley 3/2011, de 24 de febrero, de medidas en materia de contratos del sector público de Aragón. En el escrito de demanda hizo invocación expresa del art. 161.2 CE, a los efectos de que se acordase la suspensión de la vigencia y aplicación de la ley impugnada.</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20 de diciembre de 2011 el Pleno del Tribunal Constitucional, a propuesta de la Sección Segunda, acordó admitir a trámite el recurso de inconstitucionalidad promovido por el Presidente del Gobierno y dar traslado de la demanda y documentos presentados, conforme establece el art. 34 de la Ley Orgánica del Tribunal Constitucional (LOTC), al Congreso de los Diputados y al Senado por conducto de sus Presidentes, así como a la Diputación General de Aragón y a las Cortes de Aragón por conducto de sus Presidentes, al objeto de que, en el plazo de quince días, pudieran personarse en el proceso y formular las alegaciones que estimaren convenientes.</w:t>
      </w:r>
    </w:p>
    <w:p w:rsidR="00E3576C" w:rsidRDefault="00E3576C" w:rsidP="00E3576C">
      <w:pPr>
        <w:pStyle w:val="TextoNormal"/>
      </w:pPr>
    </w:p>
    <w:p w:rsidR="00E3576C" w:rsidRDefault="00E3576C" w:rsidP="00E3576C">
      <w:pPr>
        <w:pStyle w:val="TextoNormal"/>
      </w:pPr>
      <w:r>
        <w:t xml:space="preserve">Asimismo, se tuvo por invocado por el Presidente del Gobierno el art. 161.2 CE lo que, según su tenor literal y conforme dispone el art. 30 LOTC, produce la suspensión de la vigencia y aplicación de los preceptos impugnados desde la fecha de interposición del recurso —9 de diciembre de 2011— para las partes del proceso y desde el día en que aparezca publicada la suspensión en el “Boletín Oficial del Estado” para los terceros. Finalmente, se </w:t>
      </w:r>
      <w:r>
        <w:lastRenderedPageBreak/>
        <w:t>acordó publicar la incoación del recurso en el “Boletín Oficial del Estado” y en el “Boletín Oficial de Aragón”.</w:t>
      </w:r>
    </w:p>
    <w:p w:rsidR="00E3576C" w:rsidRDefault="00E3576C" w:rsidP="00E3576C">
      <w:pPr>
        <w:pStyle w:val="TextoNormal"/>
      </w:pPr>
    </w:p>
    <w:p w:rsidR="00E3576C" w:rsidRDefault="00E3576C" w:rsidP="00E3576C">
      <w:pPr>
        <w:pStyle w:val="TextoNormal"/>
      </w:pPr>
      <w:r w:rsidRPr="00E3576C">
        <w:rPr>
          <w:rStyle w:val="NumeroAFNegritaCaracter"/>
        </w:rPr>
        <w:t>3</w:t>
      </w:r>
      <w:r>
        <w:t>. El Presidente del Congreso de los Diputados, mediante escrito que tuvo entrada en este Tribunal el día 2 de enero de 2012, comunicó que la Mesa de la Cámara, en su reunión del día 28 de diciembre, había acordado la personación de la Cámara en este procedimiento, ofreciendo su colaboración a los efectos del art. 88.1 LOTC. Lo mismo hizo el Presidente del Senado por escrito registrado el 18 de enero de 2012 y en el que recogía el correspondiente acuerdo de la Mesa de la Cámara de fecha 17 de enero de 2012.</w:t>
      </w:r>
    </w:p>
    <w:p w:rsidR="00E3576C" w:rsidRDefault="00E3576C" w:rsidP="00E3576C">
      <w:pPr>
        <w:pStyle w:val="TextoNormal"/>
      </w:pPr>
    </w:p>
    <w:p w:rsidR="00E3576C" w:rsidRDefault="00E3576C" w:rsidP="00E3576C">
      <w:pPr>
        <w:pStyle w:val="TextoNormal"/>
      </w:pPr>
      <w:r w:rsidRPr="00E3576C">
        <w:rPr>
          <w:rStyle w:val="NumeroAFNegritaCaracter"/>
        </w:rPr>
        <w:t>4</w:t>
      </w:r>
      <w:r>
        <w:t>. Por escrito que tuvo entrada en el Registro General de este Tribunal Constitucional el día 18 de enero de 2012 la Letrada Mayor de las Cortes de Aragón, en representación de esta Cámara, se personó en el proceso, solicitando una prórroga del plazo legal concedido para formular alegaciones por ocho días más. El Pleno del Tribunal Constitucional, mediante providencia de 18 de enero de 2012 concedió la prórroga solicitada por la Letrada Mayor de las Cortes de Aragón, que finalmente presentó escrito de alegaciones ante el Tribunal Constitucional el 31 de enero de 2012.</w:t>
      </w:r>
    </w:p>
    <w:p w:rsidR="00E3576C" w:rsidRDefault="00E3576C" w:rsidP="00E3576C">
      <w:pPr>
        <w:pStyle w:val="TextoNormal"/>
      </w:pPr>
    </w:p>
    <w:p w:rsidR="00E3576C" w:rsidRDefault="00E3576C" w:rsidP="00E3576C">
      <w:pPr>
        <w:pStyle w:val="TextoNormal"/>
      </w:pPr>
      <w:r w:rsidRPr="00E3576C">
        <w:rPr>
          <w:rStyle w:val="NumeroAFNegritaCaracter"/>
        </w:rPr>
        <w:t>5</w:t>
      </w:r>
      <w:r>
        <w:t>. La Letrada de la Comunidad Autónoma de Aragón, en representación del Gobierno de Aragón presentó las oportunas alegaciones al recurso de inconstitucionalidad núm. 6720-2011 mediante escrito que tuvo entrada en el Tribunal Constitucional el 18 de enero de 2012, interesando la desestimación del recurso y oponiéndose, por tanto, a la demanda.</w:t>
      </w:r>
    </w:p>
    <w:p w:rsidR="00E3576C" w:rsidRDefault="00E3576C" w:rsidP="00E3576C">
      <w:pPr>
        <w:pStyle w:val="TextoNormal"/>
      </w:pPr>
    </w:p>
    <w:p w:rsidR="00E3576C" w:rsidRDefault="00E3576C" w:rsidP="00E3576C">
      <w:pPr>
        <w:pStyle w:val="TextoNormal"/>
      </w:pPr>
      <w:r w:rsidRPr="00E3576C">
        <w:rPr>
          <w:rStyle w:val="NumeroAFNegritaCaracter"/>
        </w:rPr>
        <w:t>6</w:t>
      </w:r>
      <w:r>
        <w:t>. Próximo a finalizar el plazo de los cinco meses que señala el art. 161.2 CE desde que se produjo la suspensión de los preceptos impugnados, el Pleno del Tribunal Constitucional, por providencia de 28 de febrero de 2012, acordó oír al Abogado del Estado, al Gobierno de Aragón y a las Cortes de Aragón, para que, en plazo de cinco días, expusieran lo que considerasen conveniente acerca del mantenimiento o levantamiento de dicha suspensión.</w:t>
      </w:r>
    </w:p>
    <w:p w:rsidR="00E3576C" w:rsidRDefault="00E3576C" w:rsidP="00E3576C">
      <w:pPr>
        <w:pStyle w:val="TextoNormal"/>
      </w:pPr>
    </w:p>
    <w:p w:rsidR="00E3576C" w:rsidRDefault="00E3576C" w:rsidP="00E3576C">
      <w:pPr>
        <w:pStyle w:val="TextoNormal"/>
      </w:pPr>
      <w:r w:rsidRPr="00E3576C">
        <w:rPr>
          <w:rStyle w:val="NumeroAFNegritaCaracter"/>
        </w:rPr>
        <w:t>7</w:t>
      </w:r>
      <w:r>
        <w:t>. El Abogado del Estado evacuó el trámite de alegaciones conferido mediante escrito registrado en fecha 6 de marzo de 2012, que, en lo sustancial, sostiene lo siguiente:</w:t>
      </w:r>
    </w:p>
    <w:p w:rsidR="00E3576C" w:rsidRDefault="00E3576C" w:rsidP="00E3576C">
      <w:pPr>
        <w:pStyle w:val="TextoNormal"/>
      </w:pPr>
    </w:p>
    <w:p w:rsidR="00E3576C" w:rsidRDefault="00E3576C" w:rsidP="00E3576C">
      <w:pPr>
        <w:pStyle w:val="TextoNormal"/>
      </w:pPr>
      <w:r>
        <w:t>a) En primer lugar el Abogado del Estado recuerda la doctrina del Tribunal Constitucional en relación con el mantenimiento o levantamiento de la suspensión de la vigencia de una norma con rango de ley contra la que se ha interpuesto un recurso de inconstitucionalidad, evocando, entre otros el ATC 1269/1988, de 22 de noviembre, en que se dice que el levantamiento o mantenimiento de la suspensión “ha de ser el resultado de ponderar las consecuencias que de una u otra decisión deriven sobre los intereses públicos y, en su caso, los particulares que puedan resultar afectados, con el fin de determinar cuáles deben prevalecer por ser menos resistentes al perjuicio o acreedores de una protección preferente, y cuáles deben ceder por su lesión menos onerosa o de menor incidencia a su sacrificio en caso de colisión” (FJ 1). En este contexto el Abogado del Estado afirma que lo que con más frecuencia el Tribunal debe examinar no son las situaciones de hecho creadas, sino las situaciones de hecho que previsiblemente podría provocar la aplicación de la ley recurrida, puesto que el breve plazo constitucional y legalmente previsto para interponer un recurso de inconstitucionalidad supone, en la práctica, que difícilmente una ley recurrida cuya vigencia ha sido suspendida pueda haber creado situaciones de hecho perjudiciales.</w:t>
      </w:r>
    </w:p>
    <w:p w:rsidR="00E3576C" w:rsidRDefault="00E3576C" w:rsidP="00E3576C">
      <w:pPr>
        <w:pStyle w:val="TextoNormal"/>
      </w:pPr>
    </w:p>
    <w:p w:rsidR="00E3576C" w:rsidRDefault="00E3576C" w:rsidP="00E3576C">
      <w:pPr>
        <w:pStyle w:val="TextoNormal"/>
      </w:pPr>
      <w:r>
        <w:t>b) En segundo lugar al hilo del argumento previamente expuesto se recuerda que, según el ATC 105/2010, de 29 de julio, aunque la invocación de una quiebra en la seguridad jurídica por la inmediata vigencia de los preceptos autonómicos recurridos no resulta suficiente para acordar el mantenimiento de su suspensión, ya que en tal caso quedaría comprometida la presunción de constitucionalidad de las leyes autonómicas, en determinados supuestos la ruptura del principio de seguridad jurídica puede justificar el mantenimiento de la suspensión de los preceptos recurridos, en función de la gravedad de los perjuicios que esa ruptura pudiera ocasionar. El Abogado del Estado aprovecha este argumento para afirmar que, en el presente caso, las consecuencias que tendría la entrada en vigor de los preceptos autonómicos recurridos para la seguridad jurídica en la contratación administrativa justificarían por sí solas el mantenimiento de la suspensión.</w:t>
      </w:r>
    </w:p>
    <w:p w:rsidR="00E3576C" w:rsidRDefault="00E3576C" w:rsidP="00E3576C">
      <w:pPr>
        <w:pStyle w:val="TextoNormal"/>
      </w:pPr>
    </w:p>
    <w:p w:rsidR="00E3576C" w:rsidRDefault="00E3576C" w:rsidP="00E3576C">
      <w:pPr>
        <w:pStyle w:val="TextoNormal"/>
      </w:pPr>
      <w:r>
        <w:t>Así, tras recordar los motivos de impugnación de los arts. 6 y 10 de la Ley 3/2011, de 24 de febrero, de medidas en materia de contratos del sector público de Aragón, se afirma, respecto de los perjuicios generales que ocasionaría el levantamiento de la suspensión de los preceptos autonómicos impugnados, que los mismos están relacionados con la específica función que las bases estatales en materia de contratación tienen constitucionalmente atribuida, esto es, proporcionar garantías de publicidad, igualdad, libre concurrencia y seguridad jurídica que aseguren a los ciudadanos un tratamiento común por parte de todas las Administraciones públicas (STC 131/1993, de 22 de abril, FJ 5). El Abogado del Estado afirma que el levantamiento de la suspensión de los preceptos impugnados supone que los potenciales contratistas puedan resultar sorprendidos en su confianza legítima cuando, actuando conforme a la legislación básica que entienden aplicable a todas las Administraciones públicas, la Comunidad de Aragón los excluya de alguna licitación o admita, en su perjuicio, competidores que deberían haber sido excluidos, perjuicios estos que, además, serían irreversibles.</w:t>
      </w:r>
    </w:p>
    <w:p w:rsidR="00E3576C" w:rsidRDefault="00E3576C" w:rsidP="00E3576C">
      <w:pPr>
        <w:pStyle w:val="TextoNormal"/>
      </w:pPr>
    </w:p>
    <w:p w:rsidR="00E3576C" w:rsidRDefault="00E3576C" w:rsidP="00E3576C">
      <w:pPr>
        <w:pStyle w:val="TextoNormal"/>
      </w:pPr>
      <w:r>
        <w:t>Por lo que hace a los perjuicios específicos, el Abogado del Estado entiende que la inmediata aplicación del art. 6 de la Ley aragonesa 3/2011 puede determinar que resulten admitidos licitadores que debieran haber quedado excluidos por no acreditar debidamente los requisitos de capacidad y personalidad, lo que puede suponer la adjudicación del contrato a un licitador que debió quedar excluido, en perjuicio de quien cumplió todos los requisitos de la legislación básica estatal, siendo evidentes, en este caso los perjuicios para los intereses particulares de los eventuales contratistas. Por su parte la inmediata aplicación del art. 10 supondría la adjudicación de infinidad de contratos a través de un procedimiento inconstitucional por contrario a la legislación básica estatal, eventualmente con la exclusión de quienes, confiando en la aplicación de la legislación estatal, se rigiera por los plazos establecidos por la legislación estatal, más amplios que los previstos en la impugnada normativa autonómica, o desconocieran la licitación por ignorar la posibilidad, prevista también en la normativa autonómica objeto de recurso, de que esa licitación se publicara exclusivamente en el perfil de contratante del poder adjudicador, sin pasar por el “Boletín Oficial del Estado” o diarios oficiales autonómicos o provinciales.</w:t>
      </w:r>
    </w:p>
    <w:p w:rsidR="00E3576C" w:rsidRDefault="00E3576C" w:rsidP="00E3576C">
      <w:pPr>
        <w:pStyle w:val="TextoNormal"/>
      </w:pPr>
    </w:p>
    <w:p w:rsidR="00E3576C" w:rsidRDefault="00E3576C" w:rsidP="00E3576C">
      <w:pPr>
        <w:pStyle w:val="TextoNormal"/>
      </w:pPr>
      <w:r w:rsidRPr="00E3576C">
        <w:rPr>
          <w:rStyle w:val="NumeroAFNegritaCaracter"/>
        </w:rPr>
        <w:t>8</w:t>
      </w:r>
      <w:r>
        <w:t xml:space="preserve">. La Letrada Mayor de las Cortes de Aragón presentó sus alegaciones el 9 de marzo de 2012, interesando el levantamiento de la suspensión de la vigencia de los preceptos recurridos, amparándose para ello en la presunción de constitucionalidad y legitimidad de las leyes autonómicas, con cita de los AATC 137/2002, de 22 de julio, 251/200, de 18 de septiembre, </w:t>
      </w:r>
      <w:r>
        <w:lastRenderedPageBreak/>
        <w:t>y 217/1999, de 15 de septiembre. La Letrada de Cortes recuerda que el objetivo de las normas impugnadas es flexibilizar requisitos y simplificar trámites administrativos, favoreciendo la concurrencia al liberar al empresario de determinados trámites y costes sin, a su juicio, vulnerar las garantías en materia de contratación ni los principios básicos que la informan, razones por las cuales se entiende que ningún perjuicio irreparable se causará a ningún tercero por razón de la vigencia de preceptos que prevén reducciones de plazos o simplificación de requerimientos documentales, simplificaciones que se aplicarán a todos los licitadores en condiciones de igualdad, cuya publicidad se garantiza a través de la publicación de las licitaciones y los pliegos.</w:t>
      </w:r>
    </w:p>
    <w:p w:rsidR="00E3576C" w:rsidRDefault="00E3576C" w:rsidP="00E3576C">
      <w:pPr>
        <w:pStyle w:val="TextoNormal"/>
      </w:pPr>
    </w:p>
    <w:p w:rsidR="00E3576C" w:rsidRDefault="00E3576C" w:rsidP="00E3576C">
      <w:pPr>
        <w:pStyle w:val="TextoNormal"/>
      </w:pPr>
      <w:r w:rsidRPr="00E3576C">
        <w:rPr>
          <w:rStyle w:val="NumeroAFNegritaCaracter"/>
        </w:rPr>
        <w:t>9</w:t>
      </w:r>
      <w:r>
        <w:t>. Mediante escrito registrado en el Tribunal Constitucional el 9 de marzo de 2012, la Letrada de la Comunidad Autónoma de Aragón, en representación del Gobierno de Aragón, interesa también el levantamiento de la suspensión de la vigencia de las disposiciones autonómicas impugnadas, basándose en la presunción de legalidad y ejecutividad de los actos legislativos de la Comunidad Autónoma mientras no se resuelva el recurso de inconstitucionalidad planteado. Esta presunción, a juicio de esta parte, conlleva que corresponde al recurrente justificar la necesidad de mantener la medida cautelar de suspensión, no bastando al afecto las meras alegaciones de perjuicios al interés público, dándose la circunstancia de que, en este caso, el Abogado del Estado únicamente invoca el artículo 161.2 de la Constitución pero sin justificar los perjuicios que al interés público generaría el levantamiento de la misma.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objeto de la presente resolución consiste en determinar si procede levantar o mantener la suspensión de la vigencia que afecta a distintos apartados de los arts. 6 y 10 de la Ley 3/2011, de 24 de febrero, de medidas en materia de contratos del sector público de Aragón, que se encuentra suspendida en su aplicación como consecuencia de la invocación del art. 161.2 CE, al promoverse el recurso de inconstitucionalidad contra la misma por el Presidente del Gobierno.</w:t>
      </w:r>
    </w:p>
    <w:p w:rsidR="00E3576C" w:rsidRDefault="00E3576C" w:rsidP="00E3576C">
      <w:pPr>
        <w:pStyle w:val="TextoNormal"/>
      </w:pPr>
    </w:p>
    <w:p w:rsidR="00E3576C" w:rsidRDefault="00E3576C" w:rsidP="00E3576C">
      <w:pPr>
        <w:pStyle w:val="TextoNormal"/>
      </w:pPr>
      <w:r>
        <w:t xml:space="preserve">El artículo 6, primero de los impugnados, dispone en su apartado 1 que, “en los procedimientos negociados y simplificados en los que se haya optado por no constituir mesa de contratación, el pliego de cláusulas administrativas particulares o documento equivalente podrá permitir a los licitadores que sustituyan la documentación acreditativa del cumplimiento de los requisitos previos por la presentación de la declaración responsable suscrita por el licitador o su representante, reconociendo que cumple los requisitos de capacidad, representación y solvencia exigidos y comprometiéndose a acreditarlos en caso de que vaya a ser propuesto como adjudicatario”. Entiende el Abogado del Estado que esta previsión resulta contraria a la contenida en el artículo 146.1 del Real Decreto Legislativo 3/2011, de 14 de noviembre, por el que se aprueba el texto refundido de la Ley de contratos del sector público, que regula la presentación de la documentación acreditativa del cumplimiento de ciertos requisitos por parte de los interesados en los procedimientos abierto, restringido y negociado y en el diálogo competitivo, exigiendo que tal documentación se aporte junto con las proposiciones o solicitudes de participación, según los casos. Por otro lado, el apartado 2 de este mismo artículo 6 dispone que, “con carácter previo a la adjudicación del contrato, </w:t>
      </w:r>
      <w:r>
        <w:lastRenderedPageBreak/>
        <w:t>se requerirá al que vaya a ser propuesto como adjudicatario para que aporte la documentación acreditativa de su capacidad, representación y solvencia en el plazo de cinco días hábiles”. Esta previsión se estima contraria a lo dispuesto en el art. 151.2 del texto refundido de la Ley de contratos del sector público que prevé un plazo mínimo de 10 días hábiles para que el licitador presente la documentación justificativa de estar al corriente en el cumplimiento de sus obligaciones tributarias y con la Seguridad Social, permitiendo a las Comunidades Autónomas fijar un plazo mayor, pero no menor.</w:t>
      </w:r>
    </w:p>
    <w:p w:rsidR="00E3576C" w:rsidRDefault="00E3576C" w:rsidP="00E3576C">
      <w:pPr>
        <w:pStyle w:val="TextoNormal"/>
      </w:pPr>
    </w:p>
    <w:p w:rsidR="00E3576C" w:rsidRDefault="00E3576C" w:rsidP="00E3576C">
      <w:pPr>
        <w:pStyle w:val="TextoNormal"/>
      </w:pPr>
      <w:r>
        <w:t>Por otro lado, el art. 10 de la Ley aragonesa regula el denominado “procedimiento simplificado de adjudicación de contratos”, al que pueden recurrir determinadas entidades cuando celebren contratos de suministro y de servicios cuyo valor estimado sea inferior a 150.000 euros o contratos de obras de importe inferior a 2.000.000 de euros. El Abogado del Estado cuestiona la constitucionalidad de este precepto, toda vez que el art. 138 del texto refundido de la Ley de contratos del sector público establece que “la adjudicación se realizará, ordinariamente, utilizando el procedimiento abierto o el procedimiento restringido” y añade que en determinados supuestos podrá seguirse el procedimiento negociado o recurrirse al diálogo competitivo. La norma estatal contiene, según el Abogado del Estado, una enumeración cerrada de procedimientos de adjudicación que no admite la creación de nuevos procedimientos alternativos, razón por la cual se considera que el precepto autonómico en cuanto regula un nuevo procedimiento de licitación vulnera la legislación básica del Estado. Asimismo el Abogado del Estado resalta la singular contradicción de los apartados 2 c), 2 d) y 2 f) del art. 10 de la Ley aragonesa 3/2011 con la legislación básica estatal en la regulación concreta sobre publicidad y plazos, fundamentalmente, que se recoge en estos preceptos.</w:t>
      </w:r>
    </w:p>
    <w:p w:rsidR="00E3576C" w:rsidRDefault="00E3576C" w:rsidP="00E3576C">
      <w:pPr>
        <w:pStyle w:val="TextoNormal"/>
      </w:pPr>
    </w:p>
    <w:p w:rsidR="00E3576C" w:rsidRDefault="00E3576C" w:rsidP="00E3576C">
      <w:pPr>
        <w:pStyle w:val="TextoNormal"/>
      </w:pPr>
      <w:r>
        <w:t>En resumen, en el recurso de inconstitucionalidad del que trae causa el presente incidente de mantenimiento o levantamiento de la suspensión se ha sostenido por el Abogado del Estado la vulneración de la competencia estatal en materia de legislación básica sobre contratos ex art. 149.1.18 CE por cuanto los preceptos impugnados serían contrarios a previsiones estatales básicas contenidas en los arts. 138, 142, 146, 151 y 159 del texto refundido de la Ley de contratos del sector público, que, en tanto que normas básicas, serían de aplicación a todas las Administraciones públicas.</w:t>
      </w:r>
    </w:p>
    <w:p w:rsidR="00E3576C" w:rsidRDefault="00E3576C" w:rsidP="00E3576C">
      <w:pPr>
        <w:pStyle w:val="TextoNormal"/>
      </w:pPr>
    </w:p>
    <w:p w:rsidR="00E3576C" w:rsidRDefault="00E3576C" w:rsidP="00E3576C">
      <w:pPr>
        <w:pStyle w:val="TextoNormal"/>
      </w:pPr>
      <w:r w:rsidRPr="00E3576C">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Procede, por tanto, que realicemos la ponderación que es propia de este incidente cautelar, recordando que han de resultar ajenas a tal ponderación consideraciones que traten de vincular el levantamiento o ratificación de la suspensión a la solución que, en su caso, pudiera darse a la cuestión de fondo objeto del debate sobre el que versa el proceso, dado que ninguna relevancia puede tener en la resolución que ahora vayamos a adoptar, necesariamente desvinculada de la que en su día haya de adoptarse sobre el debate de fondo (en este sentido ATC 114/2011, de 19 de julio, FJ 4).</w:t>
      </w:r>
    </w:p>
    <w:p w:rsidR="00E3576C" w:rsidRDefault="00E3576C" w:rsidP="00E3576C">
      <w:pPr>
        <w:pStyle w:val="TextoNormal"/>
      </w:pPr>
    </w:p>
    <w:p w:rsidR="00E3576C" w:rsidRDefault="00E3576C" w:rsidP="00E3576C">
      <w:pPr>
        <w:pStyle w:val="TextoNormal"/>
      </w:pPr>
      <w:r>
        <w:lastRenderedPageBreak/>
        <w:t>Además ha de tenerse en cuenta que la valoración que nos compete ha de efectuarse mediante el estricto examen de las situaciones de hecho creadas,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AATC 24/2011, de 3 de marzo, FJ 2; y 44/2011, de 12 de abril, FJ 2). En el caso que nos ocupa esto supone que sea preciso demostrar, más allá de la simple discrepancia entre lo dispuesto en las dos normas que han entrado en conflicto, que la aplicación de los procedimientos de licitación establecidos en los dos preceptos impugnados va a provocar perjuicios de imposible o difícil reparación en los intereses públicos o en los de ciudadanos afectados por la norma en cuestión que justifiquen el mantenimiento de la suspensión inicialmente acordada (ATC 114/2011, de 19 de julio, FJ 4).</w:t>
      </w:r>
    </w:p>
    <w:p w:rsidR="00E3576C" w:rsidRDefault="00E3576C" w:rsidP="00E3576C">
      <w:pPr>
        <w:pStyle w:val="TextoNormal"/>
      </w:pPr>
    </w:p>
    <w:p w:rsidR="00E3576C" w:rsidRDefault="00E3576C" w:rsidP="00E3576C">
      <w:pPr>
        <w:pStyle w:val="TextoNormal"/>
      </w:pPr>
      <w:r w:rsidRPr="00E3576C">
        <w:rPr>
          <w:rStyle w:val="NumeroAFNegritaCaracter"/>
        </w:rPr>
        <w:t>3</w:t>
      </w:r>
      <w:r>
        <w:t>. Teniendo en cuenta ambas cuestiones previas este Tribunal debe reconocer que no se dan, en este caso, las condiciones precisas para mantener la suspensión de la vigencia de la norma impugnada, puesto que no es posible apreciar que el levantamiento de la suspensión vaya a producir perjuicios de imposible o difícil reparación ni en intereses generales ni en interés particular alguno, debiendo prevalecer por tanto la presunción de constitucionalidad de la norma impugnada.</w:t>
      </w:r>
    </w:p>
    <w:p w:rsidR="00E3576C" w:rsidRDefault="00E3576C" w:rsidP="00E3576C">
      <w:pPr>
        <w:pStyle w:val="TextoNormal"/>
      </w:pPr>
    </w:p>
    <w:p w:rsidR="00E3576C" w:rsidRDefault="00E3576C" w:rsidP="00E3576C">
      <w:pPr>
        <w:pStyle w:val="TextoNormal"/>
      </w:pPr>
      <w:r>
        <w:t>Por lo que hace a los intereses generales que podrían verse afectados de levantarse la suspensión de las disposiciones impugnadas el Abogado del Estado se refiere al interés de preservar la seguridad jurídica en materia de contratación administrativa. Evoca además el Abogado del Estado el ATC 105/2010, de 29 de julio, en el cual el Tribunal reconoce que, en ocasiones, el quebranto de la seguridad jurídica puede ser causa del mantenimiento de la suspensión de una norma autonómica. Aunque esto es cierto, es preciso recordar que aquel pronunciamiento parte de una doctrina constitucional suficientemente consolidada respecto del hecho de que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 (ATC 105/2010, de 29 de julio, FJ 4). A partir de ahí el Tribunal Constitucional reconoce la concurrencia de excepciones a tal principio general, siendo una de esas excepciones la referida al mantenimiento de la suspensión de normas que regulasen instituciones creadas para garantizar la seguridad jurídica preventiva en el tráfico jurídico. En el caso a que se refiere el ATC 105/2010, de 29 de julio, la norma autonómica impugnada, y cuya suspensión se mantuvo en dicho pronunciamiento, se refería a instituciones previstas para garantizar el tráfico jurídico-privado, puesto que regulaban la inscripción de determinados títulos o cláusulas concretas en materia de Derecho catalán en un registro de la propiedad, mercantil o de bienes muebles de Cataluña. En el caso que nos ocupa el Abogado del Estado afirma que el procedimiento de contratación pública es también una institución destinada a garantizar la seguridad jurídica, y de hecho el propio Tribunal así lo ha reconocido en la STC 141/1993, de 22 de abril, al reconocer que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w:t>
      </w:r>
      <w:r>
        <w:lastRenderedPageBreak/>
        <w:t>traciones públicas” (FJ 5). Ahora bien, esta proclamación supone reconocer cuál es la virtualidad de un procedimiento de contratación administrativa previamente establecido y conocido por los administrados, lo que implica tanto como decir que cualquier procedimiento de contratación está orientado a garantizar la seguridad jurídica de esos administrados. En este caso, y sin que ello presuponga cuestionar la regularidad de la normativa básica, existe un procedimiento concreto, el previsto por la normativa autonómica y que es el fija el contenido de la licitación; el que haya dudas sobre el ajuste del mismo a la normativa básica no supone que no exista procedimiento, o que su vigencia atente contra la seguridad jurídica de los sujetos que deban seguirlo que, sabiendo que es un procedimiento válido en tanto no se diga lo contrario, o en tanto no se modifique, sencillamente deberán sujetarse a él. Dicho de otro modo, recuperar la vigencia de la norma impugnada no supone un ataque a la seguridad jurídica de calado suficiente como para mantener la suspensión de la misma.</w:t>
      </w:r>
    </w:p>
    <w:p w:rsidR="00E3576C" w:rsidRDefault="00E3576C" w:rsidP="00E3576C">
      <w:pPr>
        <w:pStyle w:val="TextoNormal"/>
      </w:pPr>
    </w:p>
    <w:p w:rsidR="00E3576C" w:rsidRDefault="00E3576C" w:rsidP="00E3576C">
      <w:pPr>
        <w:pStyle w:val="TextoNormal"/>
      </w:pPr>
      <w:r>
        <w:t>Además, como ya hemos dicho en pronunciamientos previos, “con la argumentación utilizada por el Abogado del Estado bastaría con que la norma autonómica impugnada en el proceso principal contradijera lo dispuesto en otra estatal no cuestionada constitucionalmente para que resultase procedente el mantenimiento de la suspensión de la primera” (ATC 156/2008, de 12 de junio, FJ 6) y, sin embargo, esto no es así. Las diferencias de procedimiento diseñadas por el legislador estatal y por el legislador autonómico respecto de la contratación con las Administraciones públicas obedecen, evidentemente, a la existencia de dos normas diferentes, pero esa duplicidad no conlleva, por si misma, la existencia de inseguridad jurídica y tampoco conlleva, en este caso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(por todos AATC 156/2008, de 12 de junio, FJ 6; y 161/2011, de 22 de noviembre, FJ 5).</w:t>
      </w:r>
    </w:p>
    <w:p w:rsidR="00E3576C" w:rsidRDefault="00E3576C" w:rsidP="00E3576C">
      <w:pPr>
        <w:pStyle w:val="TextoNormal"/>
      </w:pPr>
    </w:p>
    <w:p w:rsidR="00E3576C" w:rsidRDefault="00E3576C" w:rsidP="00E3576C">
      <w:pPr>
        <w:pStyle w:val="TextoNormal"/>
      </w:pPr>
      <w:r>
        <w:t>Por su parte y en lo relativo a los intereses particulares, el Abogado del Estado se refiere a la preservación de los intereses de los eventuales solicitantes de una licitación, que, considerando aplicable la normativa básica estatal y no la normativa autonómica, respondieran a los plazos y procedimientos establecidos en aquélla quedando fuera de un concurso, o que, en la misma línea de razonamiento, se vieran desplazados por solicitantes que, debiendo haber quedado fuera de una licitación en aplicación de la normativa estatal, hubieran sido admitidos en aplicación de la normativa autonómica resultando finalmente adjudicatarios del concurso en perjuicio de quienes eventualmente hubieran respetado la normativa estatal básica. A juicio de este Tribunal es patente “que tales intereses no pueden prevalecer sobre la presunción de legitimidad constitucional que caracteriza a la ley autonómica hasta que nos pronunciemos sobre el fondo de la cuestión” (ATC 181/2011, de 13 de diciembre, FJ 3).</w:t>
      </w:r>
    </w:p>
    <w:p w:rsidR="00E3576C" w:rsidRDefault="00E3576C" w:rsidP="00E3576C">
      <w:pPr>
        <w:pStyle w:val="TextoNormal"/>
      </w:pPr>
    </w:p>
    <w:p w:rsidR="00E3576C" w:rsidRDefault="00E3576C" w:rsidP="00E3576C">
      <w:pPr>
        <w:pStyle w:val="TextoNormal"/>
      </w:pPr>
      <w:r>
        <w:t xml:space="preserve">A nuestro juicio, los perjuicios a los que se refiere el Abogado del Estado “se formulan de un modo marcadamente hipotético ya que en ningún momento se aportan datos concretos o estimación cuantitativa que permita su ponderación, de modo que no es posible considerar que su aplicación genere por sí misma perjuicios ciertos y efectivos que justifiquen el mantenimiento de su suspensión frente a la presunción de validez y constitucionalidad de la que el precepto legal goza en atención a su origen” (ATC 181/2011, de 13 de diciembre, FJ 3). Pensar que los participantes en una licitación de un contrato público atenderán antes a la ley </w:t>
      </w:r>
      <w:r>
        <w:lastRenderedPageBreak/>
        <w:t>estatal básica que a la ley autonómica que rige directamente el contrato convocado por la Administración aragonesa, y que será la que se reproduzca con toda seguridad en las licitaciones y, en su caso, en el pliego de condiciones de la contratación, es imaginar una hipótesis respecto de la cual no se aportan datos suficientes como para considerarla viable. Plantear a su vez que el adjudicatario final del contrato hubiera debido ser, precisamente, un solicitante de los que habrían considerado aplicable la ley estatal básica, y que la aplicación de la ley autonómica habría dejado fuera de la licitación, es plantear también hipótesis difícilmente verificables. Ha de recordarse que las normas impugnadas no hacen sino modificar normas de procedimiento para agilizar y simplificar trámites, lo que no influye, más que de forma indirecta, en la decisión final sobre la adjudicación de un contrato determinado. En suma, no parece que exista aquí un perjuicio verdaderamente irreparable o de muy difícil reparación. Además, en todo caso, si las hipótesis que plantea el Abogado del Estado se verificasen, y se produjeran efectivamente perjuicios a los intereses particulares, los que aquí se alegan “son de carácter patrimonial y, por tanto, susceptibles de reparación ya que, en caso de que el precepto fuera en su día declarado inconstitucional, los —en este momento eventuales— perjuicios experimentados por los particulares serían susceptibles de ser evaluados y, en su caso, indemnizados” (ATC 181/2011, de 13 de diciembre, FJ 3), sin que la reparabilidad de los eventuales perjuicios sea por si sola determinante para el levantamiento o mantenimiento de la suspensión.</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Levantar la suspensión de la vigencia de los artículos 6 y 10 de la Ley 3/2011, de 24 de febrero, de medidas en materia de contratos del sector público de Aragón.</w:t>
      </w:r>
    </w:p>
    <w:p w:rsidR="00E3576C" w:rsidRDefault="00E3576C" w:rsidP="00E3576C">
      <w:pPr>
        <w:pStyle w:val="TextoNormal"/>
      </w:pPr>
    </w:p>
    <w:p w:rsidR="00E3576C" w:rsidRDefault="00E3576C" w:rsidP="00E3576C">
      <w:pPr>
        <w:pStyle w:val="TextoNormal"/>
      </w:pPr>
      <w:r>
        <w:t>Madrid, a diecisiete de abril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1" w:name="AUTO_2012_70"/>
      <w:r>
        <w:lastRenderedPageBreak/>
        <w:t>AUTO 70/2012, de 18 de abril de 2012</w:t>
      </w:r>
    </w:p>
    <w:bookmarkEnd w:id="211"/>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ECLI:ES:TC:2012:70A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Acuerda el desistimiento en el recurso de amparo 255-2012, promovido en pleito civil.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12" w:name="AUTO_2012_71"/>
      <w:r>
        <w:lastRenderedPageBreak/>
        <w:t>AUTO 71/2012, de 7 de mayo de 2012</w:t>
      </w:r>
    </w:p>
    <w:bookmarkEnd w:id="212"/>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ECLI:ES:TC:2012:71A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5391-2009, promovido por doña Itziar Martínez Sustarxa.</w:t>
      </w:r>
    </w:p>
    <w:p w:rsidR="00E3576C" w:rsidRDefault="00E3576C" w:rsidP="00E3576C">
      <w:pPr>
        <w:pStyle w:val="SntesisDescriptiva"/>
      </w:pPr>
    </w:p>
    <w:p w:rsidR="00E3576C" w:rsidRDefault="00E3576C" w:rsidP="00E3576C">
      <w:pPr>
        <w:pStyle w:val="SntesisAnaltica"/>
      </w:pPr>
      <w:r>
        <w:t>Suspensión cautelar de resoluciones penales: fijación de fecha de licenciamiento definitivo,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25 de noviembre de 2009, la Procuradora de los Tribunales doña María Elvira Encinas Lorente, en nombre y representación de doña Itziar Martínez Sustatxa, y bajo la dirección del Letrado don Iñaki Goyoaga Llano, interpuso recurso de amparo contra el Auto de la Sección Tercera de la Sala de lo Penal de la Audiencia Nacional de 27 de abril de 2009, dictado en la ejecutoria núm. 79-1996, por el que se desestima el recurso de súplica interpuesto contra la providencia de 7 de abril de 2009, en la que se acuerda proceder a nuevo cómputo de liquidación para fijar fecha de licenciamiento definitivo.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existía una providencia de 23 de marzo de 2009 que había aprobado de manera firme el licenciamiento definitivo para el día 4 de junio de 2009, por lo que las resoluciones impugnadas al dejarla sin efecto y ordenar un nuevo cómputo han retrasado su puesta en libertad once años, con lo que su ejecución ocasionaría un perjuicio a la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Ministerio Fiscal, por escrito registrado el 20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w:t>
      </w:r>
      <w:r>
        <w:lastRenderedPageBreak/>
        <w:t>circunstancia de que la suspensión determinaría la puesta en libertad del recurrente lo que supondría, al menos parcialmente, un otorgamiento anticipado.</w:t>
      </w:r>
    </w:p>
    <w:p w:rsidR="00E3576C" w:rsidRDefault="00E3576C" w:rsidP="00E3576C">
      <w:pPr>
        <w:pStyle w:val="TextoNormal"/>
      </w:pPr>
    </w:p>
    <w:p w:rsidR="00E3576C" w:rsidRDefault="00E3576C" w:rsidP="00E3576C">
      <w:pPr>
        <w:pStyle w:val="TextoNormal"/>
      </w:pPr>
      <w:r w:rsidRPr="00E3576C">
        <w:rPr>
          <w:rStyle w:val="NumeroAFNegritaCaracter"/>
        </w:rPr>
        <w:t>4</w:t>
      </w:r>
      <w:r>
        <w:t>. La recurrente, por escrito registrado el 4 de abril de 2012, presentó alegaciones insistiendo en la necesidad de la suspensión de las resoluciones impugnadas por los graves perjuicios que supone el mantenimiento en prisión, toda vez que ya han transcurrido tres años desde que se superó la fecha del licenciamiento definitivo revocado por las resoluciones recurridas en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Segunda del Tribunal Supremo núm. 197/2006, de 28 de febrero, no resulta procedente la puesta cautelar en libertad de la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 la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y tal como señala el Ministerio Fiscal, la solicitud de la suspensión debe ser rechazada, ya que se trata del cumplimiento de penas graves cuyo límite se ha establecido en treinta años y su concesión supondría la puesta en libertad de la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5391-2009.</w:t>
      </w:r>
    </w:p>
    <w:p w:rsidR="00E3576C" w:rsidRDefault="00E3576C" w:rsidP="00E3576C">
      <w:pPr>
        <w:pStyle w:val="TextoNormal"/>
      </w:pPr>
    </w:p>
    <w:p w:rsidR="00E3576C" w:rsidRDefault="00E3576C" w:rsidP="00E3576C">
      <w:pPr>
        <w:pStyle w:val="TextoNormal"/>
      </w:pPr>
      <w:r>
        <w:lastRenderedPageBreak/>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3" w:name="AUTO_2012_72"/>
      <w:r>
        <w:lastRenderedPageBreak/>
        <w:t>AUTO 72/2012, de 7 de mayo de 2012</w:t>
      </w:r>
    </w:p>
    <w:bookmarkEnd w:id="213"/>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ECLI:ES:TC:2012:72A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6106-2009, promovido por don Jesús Díaz de Heredia Ruiz de Arbulo.</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71/2012.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 de julio de 2009, el Procurador de los Tribunales don José Javier Cuevas Rivas, en nombre y representación de don Jesús Díaz de Heredia Ruiz de Arbulo, y bajo la dirección del Letrado don Iker Urbina Fernández, interpuso recurso de amparo contra el Auto de la Sección Primera de la Sala de lo Penal de la Audiencia Nacional de 26 de mayo de 2009, dictado en la ejecutoria núm. 21-1986, por el que se desestima el recurso de súplica interpuesto contra la providencia de 6 de mayo de 2009, en la que se aprueba fecha para licenciamiento definitivo.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varios años,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Ministerio Fiscal, por escrito registrado el 20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w:t>
      </w:r>
      <w:r>
        <w:lastRenderedPageBreak/>
        <w:t>circunstancia de que la suspensión determinaría la puesta en libertad del recurrente lo que supondría, al menos parcialmente, un otorgamiento anticipado.</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el 16 de abril de 2012, presentó alegaciones insistiendo en la necesidad de la suspensión de las resoluciones impugnadas por los graves perjuicios que supone el mantenimiento en prisión, toda vez que se ha acordado nueva fecha de licenciamiento definitivo para el 19 de febrero de 2016, en vez de la anteriormente fijada de 23 de febrero de 2009.</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6106-2009.</w:t>
      </w:r>
    </w:p>
    <w:p w:rsidR="00E3576C" w:rsidRDefault="00E3576C" w:rsidP="00E3576C">
      <w:pPr>
        <w:pStyle w:val="TextoNormal"/>
      </w:pPr>
    </w:p>
    <w:p w:rsidR="00E3576C" w:rsidRDefault="00E3576C" w:rsidP="00E3576C">
      <w:pPr>
        <w:pStyle w:val="TextoNormal"/>
      </w:pPr>
      <w:r>
        <w:lastRenderedPageBreak/>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4" w:name="AUTO_2012_73"/>
      <w:r>
        <w:lastRenderedPageBreak/>
        <w:t>AUTO 73/2012, de 7 de mayo de 2012</w:t>
      </w:r>
    </w:p>
    <w:bookmarkEnd w:id="214"/>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ECLI:ES:TC:2012:73A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7189-2009, promovido por don Ignacio Mendiburu Iturrain.</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71/2012.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31 de julio de 2009, el Procurador de los Tribunales don José Javier Cuevas Rivas, en nombre y representación de don Ignacio Mendiburu Iturrain, y bajo la dirección de la Letrada doña Onintza Ostelaza Arruabarrena, interpuso recurso de amparo contra el Auto de la Sección Primera de la Sala de lo Penal de la Audiencia Nacional de 24 de junio de 2009, dictado en la ejecutoria núm. 58-1984, por el que se desestima el recurso de súplica interpuesto contra el Auto de 26 de mayo de 2009, en la que se aprueba fecha para licenciamiento definitivo.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varios años,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Ministerio Fiscal, por escrito registrado en este Tribunal el 20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w:t>
      </w:r>
      <w:r>
        <w:lastRenderedPageBreak/>
        <w:t>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10 de junio de 2014, en vez de la anteriormente fijada de 13 de junio de 2009.</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LOTC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7189-2009.</w:t>
      </w:r>
    </w:p>
    <w:p w:rsidR="00E3576C" w:rsidRDefault="00E3576C" w:rsidP="00E3576C">
      <w:pPr>
        <w:pStyle w:val="TextoNormal"/>
      </w:pPr>
    </w:p>
    <w:p w:rsidR="00E3576C" w:rsidRDefault="00E3576C" w:rsidP="00E3576C">
      <w:pPr>
        <w:pStyle w:val="TextoNormal"/>
      </w:pPr>
      <w:r>
        <w:lastRenderedPageBreak/>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5" w:name="AUTO_2012_74"/>
      <w:r>
        <w:lastRenderedPageBreak/>
        <w:t>AUTO 74/2012, de 7 de mayo de 2012</w:t>
      </w:r>
    </w:p>
    <w:bookmarkEnd w:id="215"/>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ECLI:ES:TC:2012:74A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8136-2009, promovido por don Juan María Gabirondo Agote.</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71/2012.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29 de septiembre de 2009, el Procurador de los Tribunales don José Javier Cuevas Rivas, en nombre y representación de don Juan María Gabirondo Agote, y bajo la dirección de la Letrada doña Ainhoa Baglietto Gabilondo, interpuso recurso de amparo contra el Auto de la Sección Segunda de la Sala de lo Penal de la Audiencia Nacional de 17 de julio de 2009, dictado en la ejecutoria núm. 67-1990, por el que se desestima el recurso de súplica interpuesto contra el Auto de 24 de abril de 2009, en la que se aprueba fecha para licenciamiento definitivo.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varios años,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Ministerio Fiscal, por escrito registrado en este Tribunal el 26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w:t>
      </w:r>
      <w:r>
        <w:lastRenderedPageBreak/>
        <w:t>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28 de abril de 2016, en vez de la anteriormente fijada de 23 de julio de 2008.</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8136-2009.</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6" w:name="AUTO_2012_75"/>
      <w:r>
        <w:lastRenderedPageBreak/>
        <w:t>AUTO 75/2012, de 7 de mayo de 2012</w:t>
      </w:r>
    </w:p>
    <w:bookmarkEnd w:id="216"/>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ECLI:ES:TC:2012:75A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1200-2010, promovido por don Ángel Viguri Camino.</w:t>
      </w:r>
    </w:p>
    <w:p w:rsidR="00E3576C" w:rsidRDefault="00E3576C" w:rsidP="00E3576C">
      <w:pPr>
        <w:pStyle w:val="SntesisDescriptiva"/>
      </w:pPr>
    </w:p>
    <w:p w:rsidR="00E3576C" w:rsidRDefault="00E3576C" w:rsidP="00E3576C">
      <w:pPr>
        <w:pStyle w:val="SntesisAnaltica"/>
      </w:pPr>
      <w:r>
        <w:t>Suspensión cautelar de Sentencias penales: fijación de fecha de licenciamiento definitivo,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registrado en este Tribunal el 29 de febrero de 2010 el Procurador de los Tribunales don Javier Cuevas Rivas, en nombre y representación de don Jose Ángel Viguri Camino y bajo la dirección letrada de don Iker Urbina Fernández interpuso recurso de amparo contra la Sentencia de la Sala Segunda del Tribunal Supremo de 29 de octubre de 2009 recaída en el recurso de casación núm. 10619-2009.</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Aduce el recurrente que en dichas resoluciones, al haberse aplicado la doctrina establecida en la Sentencia de la Sala Segunda del Tribunal Supremo núm. 197/2006, de 28 de febrero, se ha retrasado el licenciamiento definitivo en casi diez años, por lo que su ejecución ocasionaría un perjuicio al recurrente que haría al amparo perder su finalidad. Junto a ello se alega también que la suspensión de las resoluciones impugnadas no ocasionaría una grave perturbación de los intereses generales, pues la única consecuencia que de la misma se derivaría en el caso de que finalmente se desestimara el recurso de amparo sería la demora en el cumplimiento de la pena.</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recurrente, por escrito presentado en el Juzgado de Instrucción núm. 26 de Madrid el 3 de abril de 2012 y registrado en este Tribunal el 16 de abril de 2012, presentó alegaciones reiterando los argumentos expuestos en su escrito de demanda. El demandante de amparo insiste en los graves perjuicios que le ocasionaría la ejecución de las resoluciones impugnadas dado que como consecuencia de la nueva liquidación de condena efectuada se </w:t>
      </w:r>
      <w:r>
        <w:lastRenderedPageBreak/>
        <w:t>retrasa casi diez años su licenciamiento definitivo. Por ello considera que si el amparo se otorgara podría perder su finalidad ya que no se le podría restituir el tiempo cumplido de más. Por otra parte aduce que la suspensión de la ejecución de las resoluciones impugnadas no afectaría al interés general, ya que si el amparo se denegara podría reingresar en prisión y cumplir entonces la pena que le faltara.</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por escrito registrado en este Tribunal el 26 de abril de 2012, presentó alegaciones e interesó que se denegara la suspensión de acuerdo con los AATC 25/2012 y 27/2012, resoluciones que resolvieron solicitudes de suspensión en casos sustancialmente iguales al ahora examinado y acordaron denegar la suspensión.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Segunda del Tribunal Supremo núm. 197/2006, de 28 de febrero, no resulta procedente la puesta cautelar en libertad de la recurrente por implicar una perturbación grave de un interés constitucionalmente protegido y, en concreto, el legítimo interés público en el cumplimiento de las penas, en atención a la gravedad de las penas que se están ejecutando. A ello se añade la circunstancia de que la puesta en libertad de la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como interesa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lastRenderedPageBreak/>
        <w:t>Denegar la suspensión solicitada en el recurso de amparo núm. 1200-2010.</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7" w:name="AUTO_2012_76"/>
      <w:r>
        <w:lastRenderedPageBreak/>
        <w:t>AUTO 76/2012, de 7 de mayo de 2012</w:t>
      </w:r>
    </w:p>
    <w:bookmarkEnd w:id="217"/>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ECLI:ES:TC:2012:76A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suspensión parcial en el recurso de amparo 5637-2010, promovido por don Antonio Muñiz García y otras personas.</w:t>
      </w:r>
    </w:p>
    <w:p w:rsidR="00E3576C" w:rsidRDefault="00E3576C" w:rsidP="00E3576C">
      <w:pPr>
        <w:pStyle w:val="SntesisDescriptiva"/>
      </w:pPr>
    </w:p>
    <w:p w:rsidR="00E3576C" w:rsidRDefault="00E3576C" w:rsidP="00E3576C">
      <w:pPr>
        <w:pStyle w:val="SntesisAnaltica"/>
      </w:pPr>
      <w:r>
        <w:t>Suspensión cautelar de Sentencias penales: doctrina; inhabilitación especial para profesión y multa, no suspende; prisión de nueve meses,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12 de julio de 2010, la Procuradora de los Tribunales doña María Jesús Mateos Herranz, en nombre y representación de don Antonio Muñiz García, don Rafael Muñiz García y Hermanos Muñiz de Ayamonte, S.L., interpuso recurso de amparo contra la Sentencia de 29 de enero de 2010 dictada por la Sección Segunda de la Audiencia Provincial de Huelva, que estimó en parte el recurso de apelación interpuesto contra la Sentencia de 20 de febrero de 2009 dictada por el Juzgado de lo Penal núm. 4 de Huelva en el procedimiento abreviado núm. 221-2008. Asimismo, el recurso de amparo impugna el Auto de la Sala de 3 de mayo de 2010, que desestima el incidente de nulidad promovido contra la Sentencia recaída en apelación y suprime el párrafo 1 del epígrafe 4.4 de la misma.</w:t>
      </w:r>
    </w:p>
    <w:p w:rsidR="00E3576C" w:rsidRDefault="00E3576C" w:rsidP="00E3576C">
      <w:pPr>
        <w:pStyle w:val="TextoNormal"/>
      </w:pPr>
    </w:p>
    <w:p w:rsidR="00E3576C" w:rsidRDefault="00E3576C" w:rsidP="00E3576C">
      <w:pPr>
        <w:pStyle w:val="TextoNormal"/>
      </w:pPr>
      <w:r w:rsidRPr="00E3576C">
        <w:rPr>
          <w:rStyle w:val="NumeroAFNegritaCaracter"/>
        </w:rPr>
        <w:t>2</w:t>
      </w:r>
      <w:r>
        <w:t>. Sucintamente expuestos, los hechos relevantes para resolver la pretensión suspensiva son los siguientes:</w:t>
      </w:r>
    </w:p>
    <w:p w:rsidR="00E3576C" w:rsidRDefault="00E3576C" w:rsidP="00E3576C">
      <w:pPr>
        <w:pStyle w:val="TextoNormal"/>
      </w:pPr>
    </w:p>
    <w:p w:rsidR="00E3576C" w:rsidRDefault="00E3576C" w:rsidP="00E3576C">
      <w:pPr>
        <w:pStyle w:val="TextoNormal"/>
      </w:pPr>
      <w:r>
        <w:t>a) Por Sentencia de 20 de febrero de 2009 el Juzgado de lo Penal núm. 4 de Huelva absuelve a los recurrentes del delito contra los derechos de los trabajadores, en concurso con un delito de lesiones por imprudencia grave, por el que venían siendo acusados.</w:t>
      </w:r>
    </w:p>
    <w:p w:rsidR="00E3576C" w:rsidRDefault="00E3576C" w:rsidP="00E3576C">
      <w:pPr>
        <w:pStyle w:val="TextoNormal"/>
      </w:pPr>
    </w:p>
    <w:p w:rsidR="00E3576C" w:rsidRDefault="00E3576C" w:rsidP="00E3576C">
      <w:pPr>
        <w:pStyle w:val="TextoNormal"/>
      </w:pPr>
      <w:r>
        <w:t xml:space="preserve">b) Interpuesto recurso de apelación, por Sentencia de 29 de enero de 2010 la Audiencia Provincial de Huelva (Sección Segunda) condenó a los recurrentes como autores de un delito contra los derechos de los trabajadores [art. 316 del Código penal (CP)] en concurso con una falta de lesiones por imprudencia (art. 621.3 CP), consistente en penas de prisión, según los distintos responsables, de nueve meses y multa de nueve meses a razón de diez euros diarios o apremio personal subsidiario de un día por cada dos cuotas en caso de impago e insolvencia, y a las penas accesorias de inhabilitación especial por tiempo de nueve meses para el ejercicio, tanto personal como a través de su condición de administrador de una persona jurídica, de la actividad empresarial de la construcción, y por la falta, pena de </w:t>
      </w:r>
      <w:r>
        <w:lastRenderedPageBreak/>
        <w:t>veinte días de multa con una cuota diaria de diez euros o apremio personal subsidiario de un día por cada dos cuotas en caso de impago o insolvencia.</w:t>
      </w:r>
    </w:p>
    <w:p w:rsidR="00E3576C" w:rsidRDefault="00E3576C" w:rsidP="00E3576C">
      <w:pPr>
        <w:pStyle w:val="TextoNormal"/>
      </w:pPr>
    </w:p>
    <w:p w:rsidR="00E3576C" w:rsidRDefault="00E3576C" w:rsidP="00E3576C">
      <w:pPr>
        <w:pStyle w:val="TextoNormal"/>
      </w:pPr>
      <w:r>
        <w:t>c) Contra dicha Sentencia los condenados interpusieron incidente de nulidad de actuaciones, que fue inadmitido por providencia de 3 de mayo de la Audiencia Provincial de Huelva.</w:t>
      </w:r>
    </w:p>
    <w:p w:rsidR="00E3576C" w:rsidRDefault="00E3576C" w:rsidP="00E3576C">
      <w:pPr>
        <w:pStyle w:val="TextoNormal"/>
      </w:pPr>
    </w:p>
    <w:p w:rsidR="00E3576C" w:rsidRDefault="00E3576C" w:rsidP="00E3576C">
      <w:pPr>
        <w:pStyle w:val="TextoNormal"/>
      </w:pPr>
      <w:r w:rsidRPr="00E3576C">
        <w:rPr>
          <w:rStyle w:val="NumeroAFNegritaCaracter"/>
        </w:rPr>
        <w:t>3</w:t>
      </w:r>
      <w:r>
        <w:t>. Los demandantes de amparo consideran que se han vulnerado sus derechos a un proceso con todas las garantías (art. 24.2 CE) y a la presunción de inocencia (art. 24.2 CE).</w:t>
      </w:r>
    </w:p>
    <w:p w:rsidR="00E3576C" w:rsidRDefault="00E3576C" w:rsidP="00E3576C">
      <w:pPr>
        <w:pStyle w:val="TextoNormal"/>
      </w:pPr>
    </w:p>
    <w:p w:rsidR="00E3576C" w:rsidRDefault="00E3576C" w:rsidP="00E3576C">
      <w:pPr>
        <w:pStyle w:val="TextoNormal"/>
      </w:pPr>
      <w:r>
        <w:t>En otrosí, los recurrentes solicitaban la suspensión de la ejecución de la Sentencia de 29 de enero de 2010.</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28 de marzo de 2012,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evacuó trámite de alegaciones mediante escrito registrado en este Tribunal con fecha de 17 de abril de 2012 en el que interesó la estimación de la solicitud de suspensión formalizada por la parte demandante en lo relativo a la pena privativa de libertad impuesta en la Sentencia recurrida, debiéndose extender dicha suspensión a la pena accesoria de inhabilitación.</w:t>
      </w:r>
    </w:p>
    <w:p w:rsidR="00E3576C" w:rsidRDefault="00E3576C" w:rsidP="00E3576C">
      <w:pPr>
        <w:pStyle w:val="TextoNormal"/>
      </w:pPr>
    </w:p>
    <w:p w:rsidR="00E3576C" w:rsidRDefault="00E3576C" w:rsidP="00E3576C">
      <w:pPr>
        <w:pStyle w:val="TextoNormal"/>
      </w:pPr>
      <w:r w:rsidRPr="00E3576C">
        <w:rPr>
          <w:rStyle w:val="NumeroAFNegritaCaracter"/>
        </w:rPr>
        <w:t>6</w:t>
      </w:r>
      <w:r>
        <w:t>. La representación de los recurrentes, por su parte, presentó escrito de alegaciones el 10 de abril de 2012, insistiendo en los argumentos expresados en su demanda.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w:t>
      </w:r>
      <w:r>
        <w:lastRenderedPageBreak/>
        <w:t>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t>Más concretamente, este Tribunal, entre otros muchos, en los AATC 116/2008, de 28 de abril; 25/2009, de 26 de enero, y 145/2010, de 18 de octubre,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(AATC 155/2002, de 16 de septiembre, FJ 3; y 9/2003, de 20 de enero, FJ 2).</w:t>
      </w:r>
    </w:p>
    <w:p w:rsidR="00E3576C" w:rsidRDefault="00E3576C" w:rsidP="00E3576C">
      <w:pPr>
        <w:pStyle w:val="TextoNormal"/>
      </w:pPr>
    </w:p>
    <w:p w:rsidR="00E3576C" w:rsidRDefault="00E3576C" w:rsidP="00E3576C">
      <w:pPr>
        <w:pStyle w:val="TextoNormal"/>
      </w:pPr>
      <w:r w:rsidRPr="00E3576C">
        <w:rPr>
          <w:rStyle w:val="NumeroAFNegritaCaracter"/>
        </w:rPr>
        <w:t>2</w:t>
      </w:r>
      <w:r>
        <w:t>. La aplicación al supuesto que aquí se examina de la doctrina referida obliga a considerar que, si se compara la duración de la pena privativa de libertad impuesta a los demandantes con el tiempo que requiere normalmente la tramitación de un proceso de amparo como el presente, no suspender su ejecución ocasionaría a aquél un perjuicio irreparable que dejaría totalmente en entredicho la eficacia de un eventual fallo estimatorio de la demanda de amparo, por cuanto la pena de prisión podría ya estar cumplida al menos en gran parte.</w:t>
      </w:r>
    </w:p>
    <w:p w:rsidR="00E3576C" w:rsidRDefault="00E3576C" w:rsidP="00E3576C">
      <w:pPr>
        <w:pStyle w:val="TextoNormal"/>
      </w:pPr>
    </w:p>
    <w:p w:rsidR="00E3576C" w:rsidRDefault="00E3576C" w:rsidP="00E3576C">
      <w:pPr>
        <w:pStyle w:val="TextoNormal"/>
      </w:pPr>
      <w:r>
        <w:t>Por otro lado, atendidas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todo ello, en aplicación del principio de proporcionalidad, se entiende procedente acordar la suspensión de la pena privativa de libertad impuesta en la Sentencia recurrida, debiéndose extender dicha suspensión a la pena accesoria de inhabilitación.</w:t>
      </w:r>
    </w:p>
    <w:p w:rsidR="00E3576C" w:rsidRDefault="00E3576C" w:rsidP="00E3576C">
      <w:pPr>
        <w:pStyle w:val="TextoNormal"/>
      </w:pPr>
    </w:p>
    <w:p w:rsidR="00E3576C" w:rsidRDefault="00E3576C" w:rsidP="00E3576C">
      <w:pPr>
        <w:pStyle w:val="TextoNormal"/>
      </w:pPr>
      <w:r>
        <w:t>En cambio no procede la suspensión del resto de pronunciamientos condenatorios que contiene la Sentencia antedicha, puesto que no se argumenta ningún perjuicio irreparable que pudiera provocar su ejecución, y ha de alegarse la bien conocida doctrina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(ATC 12/2012, de 30 de enero, FJ 3).</w:t>
      </w:r>
    </w:p>
    <w:p w:rsidR="00E3576C" w:rsidRDefault="00E3576C" w:rsidP="00E3576C">
      <w:pPr>
        <w:pStyle w:val="TextoNormal"/>
      </w:pPr>
    </w:p>
    <w:p w:rsidR="00E3576C" w:rsidRDefault="00E3576C" w:rsidP="00E3576C">
      <w:pPr>
        <w:pStyle w:val="TextoNormal"/>
      </w:pPr>
      <w:r>
        <w:lastRenderedPageBreak/>
        <w:t>No procede, en fin, la suspensión de la responsabilidad subsidiaria para el caso de impago de la pena de multa, al tratarse de una eventualidad incierta que depende de que la multa no llegase a ser pagada, voluntariamente o por la vía de apremio, y en cualquier caso de una eventualidad futura que, en caso de sobrevenir, podría dar lugar a la modificación de la medida cautelar que ahora se adopta, en virtud del art. 57 LOTC (ATC 53/2009, de 23 de febrero).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Conceder la suspensión solicitada en lo que se refiere a las penas privativas de libertad de nueve meses de prisión impuestas a los recurrentes en la Sentencia de 17 de abril de 2012 dictada por la Sección Segunda de la Audiencia Provincial de Huelva.</w:t>
      </w:r>
    </w:p>
    <w:p w:rsidR="00E3576C" w:rsidRDefault="00E3576C" w:rsidP="00E3576C">
      <w:pPr>
        <w:pStyle w:val="TextoNormal"/>
      </w:pPr>
    </w:p>
    <w:p w:rsidR="00E3576C" w:rsidRDefault="00E3576C" w:rsidP="00E3576C">
      <w:pPr>
        <w:pStyle w:val="TextoNormal"/>
      </w:pPr>
      <w:r>
        <w:t>2º Denegar la suspensión de los restantes pronunciamientos.</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18" w:name="AUTO_2012_77"/>
      <w:r>
        <w:lastRenderedPageBreak/>
        <w:t>AUTO 77/2012, de 7 de mayo de 2012</w:t>
      </w:r>
    </w:p>
    <w:bookmarkEnd w:id="218"/>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ECLI:ES:TC:2012:77A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Acuerda el desistimiento en el incidente de suspensión del recurso de amparo 7077-2010, promovido por don Francisco Calatayud Moreno.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19" w:name="AUTO_2012_78"/>
      <w:r>
        <w:lastRenderedPageBreak/>
        <w:t>AUTO 78/2012, de 7 de mayo de 2012</w:t>
      </w:r>
    </w:p>
    <w:bookmarkEnd w:id="219"/>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ECLI:ES:TC:2012:78A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8612-2010, promovido por don Ignacio Erro Zazu.</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71/2012.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13 de diciembre de 2010, el Procurador de los Tribunales don José Javier Cuevas Rivas, en nombre y representación de don Ignacio Erro Zazu, y bajo la dirección de la Letrada doña Amaia Izko Aramendía, interpuso recurso de amparo contra el Auto de la Sala Segunda del Tribunal Supremo de 7 de octubre de 2010, por el que se inadmite el recurso de casación núm. 10646-2010 interpuesto contra el Auto de la Sala de lo Penal de la Audiencia Nacional de 6 de mayo de 2010, dictado en la ejecutoria núm. 23-1991, en el que se aprueba fecha para licenciamiento definitivo.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siete años,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Ministerio Fiscal, por escrito registrado en este Tribunal el 19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w:t>
      </w:r>
      <w:r>
        <w:lastRenderedPageBreak/>
        <w:t>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20 de julio de 2017, en vez de la anteriormente fijada de 20 de febrero de 2011.</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8612-2010.</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0" w:name="AUTO_2012_79"/>
      <w:r>
        <w:lastRenderedPageBreak/>
        <w:t>AUTO 79/2012, de 7 de mayo de 2012</w:t>
      </w:r>
    </w:p>
    <w:bookmarkEnd w:id="220"/>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ECLI:ES:TC:2012:79A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8742-2010, promovido por don Jon Koldo Aguinagalde Urrestarazu.</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71/2012.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17 de diciembre de 2010, el Procurador de los Tribunales don José Javier Cuevas Rivas, en nombre y representación de don Jon Koldo Aguinagalde Urrestarazu, y bajo la dirección de la Letrada doña Onintza Ostolaza Arruabarrena, interpuso recurso de amparo contra el Auto de la Sección Primera de la Sala de lo Penal de la Audiencia Nacional de 15 de octubre de 2010, dictado en la ejecutoria núm. 12-1991, por el que se desestima el recurso de súplica interpuesto contra el Auto de 16 de julio de 2010, en el que se aprueba fecha para licenciamiento definitivo.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cuatro años, por lo que su ejecución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El Ministerio Fiscal, por escrito registrado en este Tribunal el 19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w:t>
      </w:r>
      <w:r>
        <w:lastRenderedPageBreak/>
        <w:t>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30 de julio de 2014, en vez de la anteriormente fijada de 19 de julio de 2010.</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8742-2010.</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1" w:name="AUTO_2012_80"/>
      <w:r>
        <w:lastRenderedPageBreak/>
        <w:t>AUTO 80/2012, de 7 de mayo de 2012</w:t>
      </w:r>
    </w:p>
    <w:bookmarkEnd w:id="221"/>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ECLI:ES:TC:2012:80A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Declara la falta de competencia del Tribunal Constitucional para conocer de la impugnación de la resolución de la Comisión central de asistencia jurídica gratuita dictada con ocasión del recurso de amparo 41-2011, promovido por don Antoni Rius i Cardona.</w:t>
      </w:r>
    </w:p>
    <w:p w:rsidR="00E3576C" w:rsidRDefault="00E3576C" w:rsidP="00E3576C">
      <w:pPr>
        <w:pStyle w:val="SntesisDescriptiva"/>
      </w:pPr>
    </w:p>
    <w:p w:rsidR="00E3576C" w:rsidRDefault="00E3576C" w:rsidP="00E3576C">
      <w:pPr>
        <w:pStyle w:val="SntesisAnaltica"/>
      </w:pPr>
      <w:r>
        <w:t>Competencias del Tribunal Constitucional: competencias tasadas; declaración de incompetencia del Tribunal Constitucional. Justicia gratuita: denegación de justicia gratuita; jurisdicción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Correos el 29 de diciembre de 2010, con entrada en este Tribunal el 3 de enero de 2011, don Antoni Rius i Cardona manifestaba su intención de interponer recurso de amparo contra el Auto del Juzgado de Primera Instancia e Instrucción núm. 4 de Sant Boi de Llobregat, de 7 de octubre de 2010, por el que se desestimó la impugnación del acuerdo de la Comisión de asistencia jurídica gratuita de Barcelona de 11 de febrero de 2009, sobre reconocimiento del derecho de asistencia jurídica gratuita en diligencias previas seguidas ante dicho Juzgado. Por medio de otrosí, solicitó la designación de Abogado y Procurador del turno de oficio para la formalización del recurso de amparo, por referirse a una resolución judicial desestimatoria del beneficio de la asistencia jurídica gratuita, dictada dentro del procedimiento previsto en el art. 20 de la Ley 1/1996.</w:t>
      </w:r>
    </w:p>
    <w:p w:rsidR="00E3576C" w:rsidRDefault="00E3576C" w:rsidP="00E3576C">
      <w:pPr>
        <w:pStyle w:val="TextoNormal"/>
      </w:pPr>
    </w:p>
    <w:p w:rsidR="00E3576C" w:rsidRDefault="00E3576C" w:rsidP="00E3576C">
      <w:pPr>
        <w:pStyle w:val="TextoNormal"/>
      </w:pPr>
      <w:r w:rsidRPr="00E3576C">
        <w:rPr>
          <w:rStyle w:val="NumeroAFNegritaCaracter"/>
        </w:rPr>
        <w:t>2</w:t>
      </w:r>
      <w:r>
        <w:t>. De acuerdo con lo solicitado por el demandante, la Secretaría de Justicia de la Sala Segunda de este Tribunal dirigió oficio al Ilustre Colegio de Abogados de Madrid solicitando la designación de Abogado y Procurador del turno de oficio, de acuerdo con lo previsto en la disposición adicional primera, apartado 4, del acuerdo del Pleno del Tribunal Constitucional, de 18 de junio de 1996, sobre asistencia jurídica gratuita en los procesos de amparo constitucional.</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oficio recibido en este Tribunal el 17 de febrero de 2011, el Colegio de Abogados de Madrid informó que había dado traslado del expediente a la Comisión de asistencia jurídica gratuita, sin designación provisional de Abogado de oficio, por entender que existía un manifiesto abuso de derecho por parte del actor.</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La Comisión central de asistencia jurídica gratuita dictó resolución con fecha 15 de febrero de 2011 denegando al actor el derecho de asistencia jurídica gratuita por manifiesto </w:t>
      </w:r>
      <w:r>
        <w:lastRenderedPageBreak/>
        <w:t>abuso y ejercicio antisocial del derecho a la misma. Recibida comunicación de dicho acuerdo, la Sección Cuarta de este Tribunal, mediante providencia de 9 de marzo de 2011, acordó incorporarla a las actuaciones, así como conceder un plazo de diez días al recurrente para que pudiera comparecer en forma por medio de Procurador y asistido de Abogado, ambos de su libre designación y a su costa, con apercibimiento de archivo de las actuaciones.</w:t>
      </w:r>
    </w:p>
    <w:p w:rsidR="00E3576C" w:rsidRDefault="00E3576C" w:rsidP="00E3576C">
      <w:pPr>
        <w:pStyle w:val="TextoNormal"/>
      </w:pPr>
    </w:p>
    <w:p w:rsidR="00E3576C" w:rsidRDefault="00E3576C" w:rsidP="00E3576C">
      <w:pPr>
        <w:pStyle w:val="TextoNormal"/>
      </w:pPr>
      <w:r w:rsidRPr="00E3576C">
        <w:rPr>
          <w:rStyle w:val="NumeroAFNegritaCaracter"/>
        </w:rPr>
        <w:t>5</w:t>
      </w:r>
      <w:r>
        <w:t>. El demandante de amparo impugnó la resolución denegatoria del beneficio de asistencia jurídica gratuita, por lo que la Comisión central de asistencia jurídica gratuita dio traslado de la misma y del expediente al Decanato de los Juzgados de Primera Instancia e Instrucción de Madrid para su resolución. Recibida por la Sección Cuarta de este Tribunal comunicación de dicha impugnación, en providencia de 28 de marzo de 2011 se acordó dejar sin efecto el plazo conferido en la providencia de 9 de marzo anterior y el archivo provisional de las actuaciones hasta la resolución de la impugnación del acuerdo de la mencionada comisión central.</w:t>
      </w:r>
    </w:p>
    <w:p w:rsidR="00E3576C" w:rsidRDefault="00E3576C" w:rsidP="00E3576C">
      <w:pPr>
        <w:pStyle w:val="TextoNormal"/>
      </w:pPr>
    </w:p>
    <w:p w:rsidR="00E3576C" w:rsidRDefault="00E3576C" w:rsidP="00E3576C">
      <w:pPr>
        <w:pStyle w:val="TextoNormal"/>
      </w:pPr>
      <w:r w:rsidRPr="00E3576C">
        <w:rPr>
          <w:rStyle w:val="NumeroAFNegritaCaracter"/>
        </w:rPr>
        <w:t>6</w:t>
      </w:r>
      <w:r>
        <w:t>. Turnada dicha impugnación al Juzgado de Primera Instancia núm. 37 de Madrid, éste, después de oír a las partes personadas y al Ministerio Fiscal, dictó Auto con fecha 29 de junio de 2011, declarando su falta de competencia funcional para el conocimiento y tramitación del expediente y acordando remitir las actuaciones a la Sala Segunda del Tribunal Constitucional para su resolución.</w:t>
      </w:r>
    </w:p>
    <w:p w:rsidR="00E3576C" w:rsidRDefault="00E3576C" w:rsidP="00E3576C">
      <w:pPr>
        <w:pStyle w:val="TextoNormal"/>
      </w:pPr>
    </w:p>
    <w:p w:rsidR="00E3576C" w:rsidRDefault="00E3576C" w:rsidP="00E3576C">
      <w:pPr>
        <w:pStyle w:val="TextoNormal"/>
      </w:pPr>
      <w:r w:rsidRPr="00E3576C">
        <w:rPr>
          <w:rStyle w:val="NumeroAFNegritaCaracter"/>
        </w:rPr>
        <w:t>7</w:t>
      </w:r>
      <w:r>
        <w:t>. La Sección Cuarta de este Tribunal, mediante providencia de 17 de noviembre de 2011 tuvo por recibido el expediente sobre impugnación de resolución de justicia gratuita remitido por el Juzgado de Primera Instancia núm. 37 de Madrid, y acordó conceder un plazo de tres días al recurrente y al Abogado del Estado para que se pronunciaran sobre la competencia de este Tribunal en orden a conocer de la impugnación a la que se refiere el art. 20 de la Ley 1/1996 de 10 de enero, de asistencia jurídica gratuita.</w:t>
      </w:r>
    </w:p>
    <w:p w:rsidR="00E3576C" w:rsidRDefault="00E3576C" w:rsidP="00E3576C">
      <w:pPr>
        <w:pStyle w:val="TextoNormal"/>
      </w:pPr>
    </w:p>
    <w:p w:rsidR="00E3576C" w:rsidRDefault="00E3576C" w:rsidP="00E3576C">
      <w:pPr>
        <w:pStyle w:val="TextoNormal"/>
      </w:pPr>
      <w:r w:rsidRPr="00E3576C">
        <w:rPr>
          <w:rStyle w:val="NumeroAFNegritaCaracter"/>
        </w:rPr>
        <w:t>8</w:t>
      </w:r>
      <w:r>
        <w:t>. El Abogado del Estado mediante escrito que tuvo entrada en el Registro General de este Tribunal el 23 de noviembre de 2011 solicitaba que se dicte Auto declarando la incompetencia del Tribunal Constitucional para resolver la impugnación promovida por la recurrente contra la resolución de la Comisión central de asistencia jurídica gratuita y que se devolvieran al Juzgado de Primera Instancia núm. 37 de Madrid las actuaciones del procedimiento impugnatorio de la citada resolución.</w:t>
      </w:r>
    </w:p>
    <w:p w:rsidR="00E3576C" w:rsidRDefault="00E3576C" w:rsidP="00E3576C">
      <w:pPr>
        <w:pStyle w:val="TextoNormal"/>
      </w:pPr>
    </w:p>
    <w:p w:rsidR="00E3576C" w:rsidRDefault="00E3576C" w:rsidP="00E3576C">
      <w:pPr>
        <w:pStyle w:val="TextoNormal"/>
      </w:pPr>
      <w:r>
        <w:t>Explica el Abogado del Estado que el recurrente solicitó la asistencia jurídica gratuita en el escrito de interposición del recurso de amparo, por lo que su pretendida insuficiencia económica no puede considerarse sobrevenida después de dicha interposición, y, en este sentido, recuerda que la insuficiencia económica sobrevenida “con posterior a la interposición del recurso de amparo” es el único supuesto en el que correspondería al Tribunal Constitucional resolver la impugnación del acto denegatorio de asistencia jurídica gratuita (AATC 138/1997 de 7 de mayo, FJ 3, 204/1997 de 4 de junio, FJ 3, y 120/2011 de 19 de septiembre, FFJJ 2 y 3). Por tanto, de conformidad con los arts. 9 y 10 del acuerdo plenario de 18 de junio de 1996, en relación con el art. 4.1 de la Ley Orgánica del Tribunal Constitucional procede que el Tribunal declare su incompetencia para resolver la impugnación.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9</w:t>
      </w:r>
      <w:r>
        <w:t>. Mediante escrito que tuvo entrada en este Tribunal el 21 de diciembre de 2011, el recurrente defiende la competencia objetiva y funcional del Tribunal Constitucional para conocer de la impugnación, en cuanto órgano que conoce de la pretensión para la que se tramitó la justicia gratuita, de acuerdo con lo previsto en el art. 20 de la Ley 1/1996. Por ello, y con cita de diversas resoluciones del Tribunal Supremo y de Audiencias Provinciales, se ratifica en las conclusiones contenidas en el informe del Ministerio Fiscal evacuado en el procedimiento de impugnación seguido ante el Juzgado de Primera Instancia núm. 37 de Madrid, en el que se manifiesta que la competencia para conocer las impugnaciones de justicia gratuita deriva de la competencia para conocer del pleito principal en el que se solicita la misma, así como en los argumentos expuestos en el Auto de 29 de junio de 2011 de dicho Juzgado, por el que se declaraba su falta de competencia funcional y se acordaba remitir las actuaciones a la Sala Segunda del Tribunal Constitucional.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Como se ha indicado en los antecedentes, el actor presentó un escrito ante este Tribunal en el que manifestaba su intención de interponer recurso de amparo contra la resolución judicial que desestimó su impugnación contra acuerdo de la Comisión de asistencia jurídica gratuita de Barcelona, solicitando que se le designaran Abogado y Procurador del turno de oficio, de acuerdo con lo establecido en la disposición adicional primera del acuerdo del Pleno de este Tribunal de 18 de junio de 1996, sobre asistencia jurídica gratuita en los procesos de amparo constitucional.</w:t>
      </w:r>
    </w:p>
    <w:p w:rsidR="00E3576C" w:rsidRDefault="00E3576C" w:rsidP="00E3576C">
      <w:pPr>
        <w:pStyle w:val="TextoNormal"/>
      </w:pPr>
    </w:p>
    <w:p w:rsidR="00E3576C" w:rsidRDefault="00E3576C" w:rsidP="00E3576C">
      <w:pPr>
        <w:pStyle w:val="TextoNormal"/>
      </w:pPr>
      <w:r>
        <w:t>Solicitada por este Tribunal al Ilustre Colegio de Abogados de Madrid la designación de Abogado y Procurador del turno de oficio, de acuerdo con lo previsto en el apartado 4 de la citada disposición, la referida corporación dio traslado del expediente a la Comisión central de asistencia jurídica gratuita, sin designación provisional de Abogado de oficio, dictando resolución esta última, con fecha 15 de febrero de 2011 por la que denegó al actor el derecho de asistencia jurídica gratuita por manifiesto abuso y ejercicio antisocial del derecho a la misma. Dicha resolución fue impugnada por el señor Rius i Cardona a través de la vía prevista en el art. 20 de la Ley 1/1996, mas el Juzgado de Primera Instancia núm. 37 de Madrid se declaró incompetente para la resolución de la impugnación al entender que la competencia correspondía al Tribunal Constitucional, por lo que se remitieron a este Tribunal las actuaciones del expediente de impugnación.</w:t>
      </w:r>
    </w:p>
    <w:p w:rsidR="00E3576C" w:rsidRDefault="00E3576C" w:rsidP="00E3576C">
      <w:pPr>
        <w:pStyle w:val="TextoNormal"/>
      </w:pPr>
    </w:p>
    <w:p w:rsidR="00E3576C" w:rsidRDefault="00E3576C" w:rsidP="00E3576C">
      <w:pPr>
        <w:pStyle w:val="TextoNormal"/>
      </w:pPr>
      <w:r w:rsidRPr="00E3576C">
        <w:rPr>
          <w:rStyle w:val="NumeroAFNegritaCaracter"/>
        </w:rPr>
        <w:t>2</w:t>
      </w:r>
      <w:r>
        <w:t>. Este Tribunal ha resuelto recientemente supuestos análogos al que nos ocupa en los AATC 120/2011, de 19 de septiembre, y 54/2012, de 26 de marzo, en los que ha recordado que el Tribunal Constitucional será competente para resolver este tipo de impugnaciones solamente cuando la insuficiencia económica del solicitante se ocasiona después de haber interpuesto el recurso de amparo.</w:t>
      </w:r>
    </w:p>
    <w:p w:rsidR="00E3576C" w:rsidRDefault="00E3576C" w:rsidP="00E3576C">
      <w:pPr>
        <w:pStyle w:val="TextoNormal"/>
      </w:pPr>
    </w:p>
    <w:p w:rsidR="00E3576C" w:rsidRDefault="00E3576C" w:rsidP="00E3576C">
      <w:pPr>
        <w:pStyle w:val="TextoNormal"/>
      </w:pPr>
      <w:r>
        <w:t xml:space="preserve">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w:t>
      </w:r>
      <w:r>
        <w:lastRenderedPageBreak/>
        <w:t>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supuesto, esto es, cuando se solicita el beneficio de justicia gratuita una vez iniciado el procedimiento, la competencia para resolver estas impugnaciones corresponde al Juzgado o Tribunal que esté conociendo del procedimiento. En el segundo, es decir, cuando todavía no se haya iniciado el procedimiento para cuya tramitación se solicitó este beneficio, la competencia para la resolución de estas impugnaciones le corresponde al Juez de primera instancia que por turno de reparto corresponda.</w:t>
      </w:r>
    </w:p>
    <w:p w:rsidR="00E3576C" w:rsidRDefault="00E3576C" w:rsidP="00E3576C">
      <w:pPr>
        <w:pStyle w:val="TextoNormal"/>
      </w:pPr>
    </w:p>
    <w:p w:rsidR="00E3576C" w:rsidRDefault="00E3576C" w:rsidP="00E3576C">
      <w:pPr>
        <w:pStyle w:val="TextoNormal"/>
      </w:pPr>
      <w:r>
        <w:t>En similares términos se pronuncia el ATC 120/2011, de 19 de septiembre, FJ 2, al decir que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establecido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E3576C" w:rsidRDefault="00E3576C" w:rsidP="00E3576C">
      <w:pPr>
        <w:pStyle w:val="TextoNormal"/>
      </w:pPr>
    </w:p>
    <w:p w:rsidR="00E3576C" w:rsidRDefault="00E3576C" w:rsidP="00E3576C">
      <w:pPr>
        <w:pStyle w:val="TextoNormal"/>
      </w:pPr>
      <w:r w:rsidRPr="00E3576C">
        <w:rPr>
          <w:rStyle w:val="NumeroAFNegritaCaracter"/>
        </w:rPr>
        <w:t>3</w:t>
      </w:r>
      <w:r>
        <w:t>. En el presente caso, la solicitud de asistencia jurídica gratuita y de nombramiento de abogado y procurador del turno de oficio se efectuó en el escrito por el que se anunciaba la interposición del recurso de amparo, por lo que es claro que la situación de insuficiencia económica invocada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señor Rius i Cardona.</w:t>
      </w:r>
    </w:p>
    <w:p w:rsidR="00E3576C" w:rsidRDefault="00E3576C" w:rsidP="00E3576C">
      <w:pPr>
        <w:pStyle w:val="TextoNormal"/>
      </w:pPr>
    </w:p>
    <w:p w:rsidR="00E3576C" w:rsidRDefault="00E3576C" w:rsidP="00E3576C">
      <w:pPr>
        <w:pStyle w:val="TextoNormal"/>
      </w:pPr>
      <w:r>
        <w:lastRenderedPageBreak/>
        <w:t>Por todo ello, de acuerdo con lo previsto en los arts. 9 y 10 del acuerdo del Pleno del Tribunal Constitucional de 18 de junio de 1996 y el art. 4.1 de la Ley Orgánica del Tribunal Constitucional,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Declararse incompetente para el enjuiciamiento de la impugnación de la resolución de la Comisión central de asistencia jurídica gratuita de 15 de febrero de 2011, formulada por don Antoni Rius i Cardona.</w:t>
      </w:r>
    </w:p>
    <w:p w:rsidR="00E3576C" w:rsidRDefault="00E3576C" w:rsidP="00E3576C">
      <w:pPr>
        <w:pStyle w:val="TextoNormal"/>
      </w:pPr>
    </w:p>
    <w:p w:rsidR="00E3576C" w:rsidRDefault="00E3576C" w:rsidP="00E3576C">
      <w:pPr>
        <w:pStyle w:val="TextoNormal"/>
      </w:pPr>
      <w:r>
        <w:t>2º Devolver al Juzgado de Primera Instancia núm. 37 de Madrid las actuaciones que en su día fueron remitidas por el mismo a este Tribunal.</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2" w:name="AUTO_2012_81"/>
      <w:r>
        <w:lastRenderedPageBreak/>
        <w:t>AUTO 81/2012, de 7 de mayo de 2012</w:t>
      </w:r>
    </w:p>
    <w:bookmarkEnd w:id="222"/>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ECLI:ES:TC:2012:81A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827-2011, promovido por doña Ana Fernández Martín.</w:t>
      </w:r>
    </w:p>
    <w:p w:rsidR="00E3576C" w:rsidRDefault="00E3576C" w:rsidP="00E3576C">
      <w:pPr>
        <w:pStyle w:val="SntesisDescriptiva"/>
      </w:pPr>
    </w:p>
    <w:p w:rsidR="00E3576C" w:rsidRDefault="00E3576C" w:rsidP="00E3576C">
      <w:pPr>
        <w:pStyle w:val="SntesisAnaltica"/>
      </w:pPr>
      <w:r>
        <w:t>Suspensión cautelar de resoluciones administrativas: denegación de la suspensión del acto administrativo. Suspensión cautelar de Sentencias contencioso-administrativas: prueba del perjuicio. Suspensión de la ejecución del acto que origina el amparo: doctrina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fecha 11 de febrero de 2011, la Procuradora de los Tribunales doña Aurora Gutiérrez Martín, en nombre y representación de doña Ana Fernández Martín, presentó en el Registro General de este Tribunal demanda de amparo contra la resolución sancionadora de 24 de noviembre de 2008 del Ayuntamiento de Madrid y Sentencia de 10 de enero de 2011 del Juzgado de lo Contencioso-Administrativo núm. 23 de Madrid.</w:t>
      </w:r>
    </w:p>
    <w:p w:rsidR="00E3576C" w:rsidRDefault="00E3576C" w:rsidP="00E3576C">
      <w:pPr>
        <w:pStyle w:val="TextoNormal"/>
      </w:pPr>
    </w:p>
    <w:p w:rsidR="00E3576C" w:rsidRDefault="00E3576C" w:rsidP="00E3576C">
      <w:pPr>
        <w:pStyle w:val="TextoNormal"/>
      </w:pPr>
      <w:r w:rsidRPr="00E3576C">
        <w:rPr>
          <w:rStyle w:val="NumeroAFNegritaCaracter"/>
        </w:rPr>
        <w:t>2</w:t>
      </w:r>
      <w:r>
        <w:t>. La recurrente alega en su demanda de amparo que la resolución administrativa sancionadora dictada por el Ayuntamiento de Madrid ha vulnerado sus derechos fundamentales a la legalidad sancionadora, art. 25 CE y a la presunción de inocencia, art. 24.2 CE.</w:t>
      </w:r>
    </w:p>
    <w:p w:rsidR="00E3576C" w:rsidRDefault="00E3576C" w:rsidP="00E3576C">
      <w:pPr>
        <w:pStyle w:val="TextoNormal"/>
      </w:pPr>
    </w:p>
    <w:p w:rsidR="00E3576C" w:rsidRDefault="00E3576C" w:rsidP="00E3576C">
      <w:pPr>
        <w:pStyle w:val="TextoNormal"/>
      </w:pPr>
      <w:r w:rsidRPr="00E3576C">
        <w:rPr>
          <w:rStyle w:val="NumeroAFNegritaCaracter"/>
        </w:rPr>
        <w:t>3</w:t>
      </w:r>
      <w:r>
        <w:t>. Por providencias de 1 de marzo de 2012, la Sala Segunda de este Tribunal acordó admitir a trámite la demanda de amparo y ordenar que se formase la presente pieza separada de suspensión, concediendo a la demandante de amparo y al Ministerio Fiscal, conforme a lo dispuesto en el art. 56 de la Ley Orgánica del Tribunal Constitucional (LOTC), plazo común de tres días para formular alegaciones en relación con la suspensión solicitada.</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escrito que tuvo entrada en este Tribunal el 15 de marzo de 2012, el Ministerio Fiscal solicitó, a la vista de la petición efectuada por la parte recurrente en amparo, la denegación de la suspensión solicitada.</w:t>
      </w:r>
    </w:p>
    <w:p w:rsidR="00E3576C" w:rsidRDefault="00E3576C" w:rsidP="00E3576C">
      <w:pPr>
        <w:pStyle w:val="TextoNormal"/>
      </w:pPr>
    </w:p>
    <w:p w:rsidR="00E3576C" w:rsidRDefault="00E3576C" w:rsidP="00E3576C">
      <w:pPr>
        <w:pStyle w:val="TextoNormal"/>
      </w:pPr>
      <w:r>
        <w:t xml:space="preserve">Recuerda el Ministerio Fiscal el carácter excepcional de la medida solicitada, así el art. 56.2 de la LOTC contempla la suspensión de las sentencias o actos impugnados en amparo con un carácter excepcional en los casos en que la ejecución de los mismos cause al recurrente un perjuicio grave que haga perder al recurso su propia efectividad. La excepcionalidad de la medida de suspensión viene además sujeta a la limitación de que la misma no </w:t>
      </w:r>
      <w:r>
        <w:lastRenderedPageBreak/>
        <w:t>cause perjuicio a un interés constitucionalmente protegido, ni a los derechos fundamentales y libertades de otras personas.</w:t>
      </w:r>
    </w:p>
    <w:p w:rsidR="00E3576C" w:rsidRDefault="00E3576C" w:rsidP="00E3576C">
      <w:pPr>
        <w:pStyle w:val="TextoNormal"/>
      </w:pPr>
    </w:p>
    <w:p w:rsidR="00E3576C" w:rsidRDefault="00E3576C" w:rsidP="00E3576C">
      <w:pPr>
        <w:pStyle w:val="TextoNormal"/>
      </w:pPr>
      <w:r>
        <w:t>Así pues, para excepcionar esa regla general de la no suspensión se exige como primer e ineludible presupuesto, que la ejecución del acto o Sentencia impugnados deba previsiblemente producir un perjuicio al recurrente que pudiera hacer perder al amparo su finalidad, de donde resulta lo siguiente: i) que, en todo caso, el perjuicio, además de irreparable, deba ser real, sin que sea posible alegar un perjuicio futuro o hipotético o un simple temor; y ii) que la pérdida de la finalidad del amparo no pueda equipararse a una mayor o menor dificultad, molestia o incomodidad para el ciudadano, pues debe entenderse como perjuicio irreparable aquel que provoque que el restablecimiento del recurrente en el derecho constitucional vulnerado sea tardío e impida definitivamente que tal restauración sea efectiva y haga devenir inútil el proceso constitucional de amparo.</w:t>
      </w:r>
    </w:p>
    <w:p w:rsidR="00E3576C" w:rsidRDefault="00E3576C" w:rsidP="00E3576C">
      <w:pPr>
        <w:pStyle w:val="TextoNormal"/>
      </w:pPr>
    </w:p>
    <w:p w:rsidR="00E3576C" w:rsidRDefault="00E3576C" w:rsidP="00E3576C">
      <w:pPr>
        <w:pStyle w:val="TextoNormal"/>
      </w:pPr>
      <w:r>
        <w:t>Del material probatorio existente en el presente recurso de amparo resulta, a juicio del Fiscal, que, en virtud de Sentencia dictada por el Juzgado de lo Contencioso-Administrativo núm. 23 de Madrid en el procedimiento abreviado núm. 9-2009 con fecha 10 de enero de 2011 fue desestimado el recurso contencioso-administrativo entablado por la demandante de amparo doña Ana Fernández Martín contra la resolución de la Dirección General de Movilidad —Área de Gobierno de Seguridad y Movilidad del Ayuntamiento de Madrid— de fecha 24 de noviembre de 2008, que impuso a aquélla una sanción de 301 € como autora de una infracción de “incumplimiento de la obligación de identificar en tiempo y forma al conductor responsable de infracción leve”.</w:t>
      </w:r>
    </w:p>
    <w:p w:rsidR="00E3576C" w:rsidRDefault="00E3576C" w:rsidP="00E3576C">
      <w:pPr>
        <w:pStyle w:val="TextoNormal"/>
      </w:pPr>
    </w:p>
    <w:p w:rsidR="00E3576C" w:rsidRDefault="00E3576C" w:rsidP="00E3576C">
      <w:pPr>
        <w:pStyle w:val="TextoNormal"/>
      </w:pPr>
      <w:r>
        <w:t>La representación procesal de dicha demandante de amparo ha solicitado en su escrito de demanda la suspensión de la ejecución del acto administrativo y judicial. Sin embargo, tal pretensión no puede tener acogida. En primer lugar, porque la demandante de amparo ni ha justificado ni ha acreditado el perjuicio que ésta habría de sufrir en el caso de que se procediera a la ejecución del acto administrativo ya indicado, lo cual, como se ha dicho, es una carga atribuida a la parte recurrente, de modo que, no habiéndose precisado los concretos perjuicios que de la ejecución se derivarían, ni habiéndose justificado o argumentado razonadamente acerca de la irreparabilidad de los mismos, la pretensión de suspensión debería perecer. Y, en segundo lugar, porque es perfectamente aplicable, aquí y ahora, la regla general establecida para estas hipótesis por ese Tribunal Constitucional según la cual resulta improcedente la suspensión de la ejecución de aquellas resoluciones que admiten la restitución íntegra de lo ejecutado, como por regla general sucede con los pronunciamientos de efectos meramente patrimoniales que, por su contenido económico, no causan en principio perjuicios de imposible reparación ni, por lo mismo, hacen perder al recurso de amparo su finalidad, máxime cuando, como en el presente caso, no concurren circunstancias que permitan excepcionar dicha regla general.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w:t>
      </w:r>
      <w:r>
        <w:lastRenderedPageBreak/>
        <w:t>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recordada recientemente en el ATC 144/2010, de 18 de octubre,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libertados de otra persona” (art. 56.2 LOTC).</w:t>
      </w:r>
    </w:p>
    <w:p w:rsidR="00E3576C" w:rsidRDefault="00E3576C" w:rsidP="00E3576C">
      <w:pPr>
        <w:pStyle w:val="TextoNormal"/>
      </w:pPr>
    </w:p>
    <w:p w:rsidR="00E3576C" w:rsidRDefault="00E3576C" w:rsidP="00E3576C">
      <w:pPr>
        <w:pStyle w:val="TextoNormal"/>
      </w:pPr>
      <w:r w:rsidRPr="00E3576C">
        <w:rPr>
          <w:rStyle w:val="NumeroAFNegritaCaracter"/>
        </w:rPr>
        <w:t>2</w:t>
      </w:r>
      <w:r>
        <w:t>. Por otra parte,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entre otros muchos).</w:t>
      </w:r>
    </w:p>
    <w:p w:rsidR="00E3576C" w:rsidRDefault="00E3576C" w:rsidP="00E3576C">
      <w:pPr>
        <w:pStyle w:val="TextoNormal"/>
      </w:pPr>
    </w:p>
    <w:p w:rsidR="00E3576C" w:rsidRDefault="00E3576C" w:rsidP="00E3576C">
      <w:pPr>
        <w:pStyle w:val="TextoNormal"/>
      </w:pPr>
      <w:r>
        <w:t xml:space="preserve">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w:t>
      </w:r>
      <w:r>
        <w:lastRenderedPageBreak/>
        <w:t>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de 27 de septiembre)”.</w:t>
      </w:r>
    </w:p>
    <w:p w:rsidR="00E3576C" w:rsidRDefault="00E3576C" w:rsidP="00E3576C">
      <w:pPr>
        <w:pStyle w:val="TextoNormal"/>
      </w:pPr>
    </w:p>
    <w:p w:rsidR="00E3576C" w:rsidRDefault="00E3576C" w:rsidP="00E3576C">
      <w:pPr>
        <w:pStyle w:val="TextoNormal"/>
      </w:pPr>
      <w:r w:rsidRPr="00E3576C">
        <w:rPr>
          <w:rStyle w:val="NumeroAFNegritaCaracter"/>
        </w:rPr>
        <w:t>3</w:t>
      </w:r>
      <w:r>
        <w:t>.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36/2007, de 12 de febrero, FJ 2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00E3576C" w:rsidRDefault="00E3576C" w:rsidP="00E3576C">
      <w:pPr>
        <w:pStyle w:val="TextoNormal"/>
      </w:pPr>
    </w:p>
    <w:p w:rsidR="00E3576C" w:rsidRDefault="00E3576C" w:rsidP="00E3576C">
      <w:pPr>
        <w:pStyle w:val="TextoNormal"/>
      </w:pPr>
      <w:r w:rsidRPr="00E3576C">
        <w:rPr>
          <w:rStyle w:val="NumeroAFNegritaCaracter"/>
        </w:rPr>
        <w:t>4</w:t>
      </w:r>
      <w:r>
        <w:t>. En el presente caso, del examen de la solicitud de suspensión formulada, cabe concluir que no se han acreditado circunstancias excepcionales que lleven a conceder la suspensión pedida, puesto que nos encontramos ante una cuestión estrictamente económica, en la que la parte recurrente se ha limitado a solicitar, mediante otrosí en la demanda de amparo, la suspensión de las resoluciones impugnadas —resolución sancionadora de 24 de noviembre de 2008 del Ayuntamiento de Madrid y Sentencia de 10 de enero de 2011 del Juzgado de lo Contencioso-Administrativo núm. 23 de Madrid—, sin ni siquiera argumentar qué perjuicio sufriría en el supuesto de no acceder a su petición.</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3" w:name="AUTO_2012_82"/>
      <w:r>
        <w:lastRenderedPageBreak/>
        <w:t>AUTO 82/2012, de 7 de mayo de 2012</w:t>
      </w:r>
    </w:p>
    <w:bookmarkEnd w:id="223"/>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ECLI:ES:TC:2012:82A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Acuerda el desistimiento en el recurso de amparo 5450-2011, promovido en pleito civil.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24" w:name="AUTO_2012_83"/>
      <w:r>
        <w:lastRenderedPageBreak/>
        <w:t>AUTO 83/2012, de 7 de mayo de 2012</w:t>
      </w:r>
    </w:p>
    <w:bookmarkEnd w:id="224"/>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ECLI:ES:TC:2012:83A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Acuerda el desistimiento en el recurso de amparo 592-2012,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25" w:name="AUTO_2012_84"/>
      <w:r>
        <w:lastRenderedPageBreak/>
        <w:t>AUTO 84/2012, de 7 de mayo de 2012</w:t>
      </w:r>
    </w:p>
    <w:bookmarkEnd w:id="225"/>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ECLI:ES:TC:2012:84A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Acuerda la resolución en Sentencia única de los recursos de amparo electoral 2548-2012, 2551-2012 y 2562-2012.</w:t>
      </w:r>
    </w:p>
    <w:p w:rsidR="00E3576C" w:rsidRDefault="00E3576C" w:rsidP="00E3576C">
      <w:pPr>
        <w:pStyle w:val="SntesisDescriptiva"/>
      </w:pPr>
    </w:p>
    <w:p w:rsidR="00E3576C" w:rsidRDefault="00E3576C" w:rsidP="00E3576C">
      <w:pPr>
        <w:pStyle w:val="SntesisAnaltica"/>
      </w:pPr>
      <w:r>
        <w:t>Acumulación de procesos constitucionales: acumulación de recursos de amparo electoral, procedencia.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La Sala de lo Contencioso-Administrativo del Tribunal Superior de Justicia de Asturias estimó por Sentencia de 27 de abril de 2012 el recurso contencioso-electoral núm. 343-2012, interpuesto por la candidatura del partido Foro de Ciudadanos (FAC) contra el acuerdo de 10 de abril de 2012 de la Junta Electoral Provincial de Asturias de proclamación de electos en las elecciones a la Junta General del Principado de Asturias celebrados 25 de marzo de 2012. La Sentencia acuerda la nulidad del escrutinio de la mesa de electores del censo de electores residentes ausentes y ordena repetir la votación de esa Mesa, que deberá convocarse en el plazo de tres meses, pero manteniendo como efectiva la proclamación de Diputados electos de los cinco a los que habían sido asignados los cinco primeros escaños correspondientes a la circunscripción occidental (que era la única que fue objeto de impugnación en el recurso contencioso-electoral).</w:t>
      </w:r>
    </w:p>
    <w:p w:rsidR="00E3576C" w:rsidRDefault="00E3576C" w:rsidP="00E3576C">
      <w:pPr>
        <w:pStyle w:val="TextoNormal"/>
      </w:pPr>
    </w:p>
    <w:p w:rsidR="00E3576C" w:rsidRDefault="00E3576C" w:rsidP="00E3576C">
      <w:pPr>
        <w:pStyle w:val="TextoNormal"/>
      </w:pPr>
      <w:r w:rsidRPr="00E3576C">
        <w:rPr>
          <w:rStyle w:val="NumeroAFNegritaCaracter"/>
        </w:rPr>
        <w:t>2</w:t>
      </w:r>
      <w:r>
        <w:t>. Contra la citada Sentencia se han presentado tres recursos de amparo electoral, en concreto el núm. 2548-2012, interpuesto por Izquierda Unida de Asturias y don Alfonso Suárez Hernández en calidad de representante general de la candidatura de dicho partido en las elecciones a la Junta General del Principado de Asturias de 25 de marzo de 2012; el núm. 2551-2012, interpuesto por don Francisco González Méndez, candidato a quien había correspondido el sexto escaño correspondiente a la circunscripción occidental según el acuerdo de proclamación de electos de la Junta Electoral Provincial de Asturias parcialmente anulado por la Sentencia; y el núm. 2562-2012, promovido por el Partido Socialista Obrero Español (PSOE) y don Octavio Vázquez Martínez como representante general de la candidatura de dicho partido en las referidas elecciones.</w:t>
      </w:r>
    </w:p>
    <w:p w:rsidR="00E3576C" w:rsidRDefault="00E3576C" w:rsidP="00E3576C">
      <w:pPr>
        <w:pStyle w:val="TextoNormal"/>
      </w:pPr>
    </w:p>
    <w:p w:rsidR="00E3576C" w:rsidRDefault="00E3576C" w:rsidP="00E3576C">
      <w:pPr>
        <w:pStyle w:val="TextoNormal"/>
      </w:pPr>
      <w:r>
        <w:t xml:space="preserve">Estos tres recursos de amparo electoral, que se dirigen contra la misma resolución judicial, han sido admitidos a trámite por providencia de esta Sala de 30 de abril de 2012, y tramitados de conformidad con lo dispuesto en el acuerdo de 20 de enero de 2000, del Pleno del Tribunal Constitucional, por el que se aprueban normas sobre tramitación de los recursos </w:t>
      </w:r>
      <w:r>
        <w:lastRenderedPageBreak/>
        <w:t>de amparo a que se refiere la Ley Orgánica 5/1985, de 19 de junio, de régimen electoral general.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Los recursos de amparo electoral que se examinan han sido interpuestos por distintos demandantes, que se hallan en situación jurídica sustancialmente idéntica a la ostentada inicialmente en la vía judicial y recurren, con una argumentación sustancialmente coincidente, la misma Sentencia de la Sala de lo Contencioso-Administrativo del Tribunal Superior de Justicia de Asturias, dictada en el recurso contencioso-electoral núm. 343-2012.</w:t>
      </w:r>
    </w:p>
    <w:p w:rsidR="00E3576C" w:rsidRDefault="00E3576C" w:rsidP="00E3576C">
      <w:pPr>
        <w:pStyle w:val="TextoNormal"/>
      </w:pPr>
    </w:p>
    <w:p w:rsidR="00E3576C" w:rsidRDefault="00E3576C" w:rsidP="00E3576C">
      <w:pPr>
        <w:pStyle w:val="TextoNormal"/>
      </w:pPr>
      <w:r>
        <w:t>El art. 116.1 de la Ley Orgánica del régimen electoral general declara que “los recursos contencioso-electorales tienen carácter de urgentes y gozan de preferencia absoluta en su sustanciación y fallo ante las Salas de lo Contencioso-administrativo competentes”. Aunque el precepto no se refiere a este Tribunal ni en nuestra Ley Orgánica existe norma semejante, se ha procedido desde el día mismo de la interposición de los recursos ante este Tribunal, de conformidad con lo previsto en el acuerdo del Pleno de 20 de enero de 2000, por el que se aprueban normas sobre tramitación de los recursos de amparo electoral, a la preferente y urgente tramitación de estos recursos.</w:t>
      </w:r>
    </w:p>
    <w:p w:rsidR="00E3576C" w:rsidRDefault="00E3576C" w:rsidP="00E3576C">
      <w:pPr>
        <w:pStyle w:val="TextoNormal"/>
      </w:pPr>
    </w:p>
    <w:p w:rsidR="00E3576C" w:rsidRDefault="00E3576C" w:rsidP="00E3576C">
      <w:pPr>
        <w:pStyle w:val="TextoNormal"/>
      </w:pPr>
      <w:r>
        <w:t>Por todo ello, una vez conclusa la tramitación separada de los recursos admitidos a trámite y pendiendo de la resolución de los mismos la definitiva composición en la presente legislatura de la Junta General del Principado de Asturias, es fácil comprender, al igual que sucediera en ocasiones semejantes (AATC 153/2003, de 8 de mayo, y 238/2007, de 10 de mayo), la conveniencia de que tengan todos ellos “la más pronta resolución” (STC 24/1990, de 15 de febrero, FJ 2) en una única Sentencia por parte de este Tribunal, conveniencia que se ve reforzada ante las cuestiones comunes o muy próximas entre sí que suscitan los tres recursos de amparo y de que todos ellos se dirigen contra la misma resolución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Resolver en Sentencia única los recursos de amparo admitidos a trámite núms. 2548-2012, 2551-2012 y 2562-2012 contra la Sentencia de 27 de abril de 2012 de la Sala de lo Contencioso-Administrativo del Tribunal Superior de Justicia de Asturias, recaída en el recurso contencioso-electoral núm. 343-2012.</w:t>
      </w:r>
    </w:p>
    <w:p w:rsidR="00E3576C" w:rsidRDefault="00E3576C" w:rsidP="00E3576C">
      <w:pPr>
        <w:pStyle w:val="TextoNormal"/>
      </w:pPr>
    </w:p>
    <w:p w:rsidR="00E3576C" w:rsidRDefault="00E3576C" w:rsidP="00E3576C">
      <w:pPr>
        <w:pStyle w:val="TextoNormal"/>
      </w:pPr>
      <w:r>
        <w:t>Madrid, a siete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6" w:name="AUTO_2012_85"/>
      <w:r>
        <w:lastRenderedPageBreak/>
        <w:t>AUTO 85/2012, de 8 de mayo de 2012</w:t>
      </w:r>
    </w:p>
    <w:bookmarkEnd w:id="226"/>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ECLI:ES:TC:2012:85A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Levanta la suspensión en el recurso de inconstitucionalidad 6984-2011, interpuesto por el Presidente del Gobierno en relación con la Ley de Castilla-La Mancha 6/2011, de 10 de marzo, de declaración del parque natural del valle de Alcudia y sierra Madrona.</w:t>
      </w:r>
    </w:p>
    <w:p w:rsidR="00E3576C" w:rsidRDefault="00E3576C" w:rsidP="00E3576C">
      <w:pPr>
        <w:pStyle w:val="SntesisDescriptiva"/>
      </w:pPr>
    </w:p>
    <w:p w:rsidR="00E3576C" w:rsidRDefault="00E3576C" w:rsidP="00E3576C">
      <w:pPr>
        <w:pStyle w:val="SntesisAnaltica"/>
      </w:pPr>
      <w:r>
        <w:t>Suspensión de disposiciones de las Comunidades Autónomas: levantamiento de la suspensión de disposiciones de las Comunidades Autónomas.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el Tribunal el día 22 de diciembre de 2011 el Abogado del Estado, en nombre del Presidente del Gobierno, presentó escrito de interposición de recurso de inconstitucionalidad contra los incisos 1, 5, 6 y 21 del apartado 2.5 del anejo 2 de la Ley de Castilla-La Mancha 6/2011, de 10 de marzo, de declaración del parque natural del valle de Alcudia y sierra Madrona. En el escrito de demanda hizo invocación expresa del art. 161.2 CE, a los efectos de que se acordase la suspensión de la vigencia y aplicación de los incisos impugnados.</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17 de enero de 2012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por conducto de sus Presidentes, así como a la Junta de Comunidades de Castilla-La Mancha y a las Cortes de Castilla-La Mancha,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incisos impugnados desde la fecha de interposición del recurso —22 de diciembre de 2011— para las partes del proceso y desde el día en que aparezca publicada la suspensión en el “Boletín Oficial del Estado” para los terceros, lo que se comunicó a los Presidentes de la Junta de Comunidades de Castilla-La Mancha y de las Cortes de Castilla-La Mancha. Finalmente, se acordó publicar la incoación del recurso en el “Boletín Oficial del Estado” y en el “Diario Oficial de Castilla-La Mancha”.</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Presidente del Senado, mediante escrito registrado el día 1 de febrero de 2012, comunicó que la Mesa de la Cámara, en su reunión del día 31 de enero, había acordado dar por personada a la Cámara en este procedimiento y por ofrecida su colaboración a los efectos del art. 88.1 LOTC. Lo mismo hizo el Presidente del Congreso de los Diputados por escrito registrado el día 3 de febrero de 2012.</w:t>
      </w:r>
    </w:p>
    <w:p w:rsidR="00E3576C" w:rsidRDefault="00E3576C" w:rsidP="00E3576C">
      <w:pPr>
        <w:pStyle w:val="TextoNormal"/>
      </w:pPr>
    </w:p>
    <w:p w:rsidR="00E3576C" w:rsidRDefault="00E3576C" w:rsidP="00E3576C">
      <w:pPr>
        <w:pStyle w:val="TextoNormal"/>
      </w:pPr>
      <w:r w:rsidRPr="00E3576C">
        <w:rPr>
          <w:rStyle w:val="NumeroAFNegritaCaracter"/>
        </w:rPr>
        <w:t>4</w:t>
      </w:r>
      <w:r>
        <w:t>. Por escrito que tuvo entrada en el Registro General de este Tribunal Constitucional el día 6 de febrero de 2012 el Letrado de las Cortes de Castilla-La Mancha se personó en el proceso sin formular alegaciones, ofreciendo la colaboración a que se refiere el art. 88 LOTC.</w:t>
      </w:r>
    </w:p>
    <w:p w:rsidR="00E3576C" w:rsidRDefault="00E3576C" w:rsidP="00E3576C">
      <w:pPr>
        <w:pStyle w:val="TextoNormal"/>
      </w:pPr>
    </w:p>
    <w:p w:rsidR="00E3576C" w:rsidRDefault="00E3576C" w:rsidP="00E3576C">
      <w:pPr>
        <w:pStyle w:val="TextoNormal"/>
      </w:pPr>
      <w:r w:rsidRPr="00E3576C">
        <w:rPr>
          <w:rStyle w:val="NumeroAFNegritaCaracter"/>
        </w:rPr>
        <w:t>5</w:t>
      </w:r>
      <w:r>
        <w:t>. Próximo a finalizar el plazo de los cinco meses que señala el art. 161.2 CE desde que se produjo la suspensión de los preceptos impugnados el Pleno del Tribunal Constitucional, por providencia de 13 de marzo de 2012, acordó oír a las partes personadas —Abogado del Estado y Cortes de Castilla-La Mancha— para que, en plazo de cinco días, expusieran lo que considerasen conveniente acerca del mantenimiento o levantamiento de dicha suspensión.</w:t>
      </w:r>
    </w:p>
    <w:p w:rsidR="00E3576C" w:rsidRDefault="00E3576C" w:rsidP="00E3576C">
      <w:pPr>
        <w:pStyle w:val="TextoNormal"/>
      </w:pPr>
    </w:p>
    <w:p w:rsidR="00E3576C" w:rsidRDefault="00E3576C" w:rsidP="00E3576C">
      <w:pPr>
        <w:pStyle w:val="TextoNormal"/>
      </w:pPr>
      <w:r w:rsidRPr="00E3576C">
        <w:rPr>
          <w:rStyle w:val="NumeroAFNegritaCaracter"/>
        </w:rPr>
        <w:t>6</w:t>
      </w:r>
      <w:r>
        <w:t>. El Abogado del Estado evacuó el trámite de alegaciones conferido mediante escrito registrado en fecha 23 de marzo de 2012, que, en lo sustancial, a continuación se resume.</w:t>
      </w:r>
    </w:p>
    <w:p w:rsidR="00E3576C" w:rsidRDefault="00E3576C" w:rsidP="00E3576C">
      <w:pPr>
        <w:pStyle w:val="TextoNormal"/>
      </w:pPr>
    </w:p>
    <w:p w:rsidR="00E3576C" w:rsidRDefault="00E3576C" w:rsidP="00E3576C">
      <w:pPr>
        <w:pStyle w:val="TextoNormal"/>
      </w:pPr>
      <w:r>
        <w:t>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Recuerda igualmente que el mantenimiento de la suspensión requiere que el Gobierno aporte y razone con detalle los argumentos que la justifiquen pues debe partirse de la presunción de constitucionalidad de las normas o actos objeto de conflicto (ATC 88/2008, de 2 de abril, FJ 2, con cita de otros muchos). En definitiva, ha de procederse a una consideración de la gravedad de los perjuicios que originarían las situaciones de hecho que, previsiblemente, se producirían en caso de que se levantara o se mantuviera la suspensión. Entiende que, desde esa perspectiva, lo que ha de pedirse es que se razone suficientemente la previsibilidad de los perjuicios en caso de levantarse la suspensión y que tales perjuicios aparezcan como consecuencia natural de la ordinaria aplicación de la ley recurrida.</w:t>
      </w:r>
    </w:p>
    <w:p w:rsidR="00E3576C" w:rsidRDefault="00E3576C" w:rsidP="00E3576C">
      <w:pPr>
        <w:pStyle w:val="TextoNormal"/>
      </w:pPr>
    </w:p>
    <w:p w:rsidR="00E3576C" w:rsidRDefault="00E3576C" w:rsidP="00E3576C">
      <w:pPr>
        <w:pStyle w:val="TextoNormal"/>
      </w:pPr>
      <w:r>
        <w:t xml:space="preserve">Alude a continuación a la vulneración competencial en la que incurrirían los preceptos impugnados, que serían contrarios a las competencias estatales en materia de defensa y fuerzas armadas (art. 149.1.4 CE); legislación, ordenación, y concesión de recursos hidráulicos cuando las aguas discurran por más de una Comunidad Autónoma (art. 149.1.22); legislación básica sobre protección del medio ambiente (art. 149.1.23 CE); y obras públicas de interés general o cuya realización afecte a más de una Comunidad Autónoma (art. 149.1.24 CE). Así, recuerda el Abogado del Estado que los incisos impugnados rebasan el ámbito competencial autonómico de modo que bloquean el ejercicio de competencias estatales, extremo que puede ser tenido en cuenta a la hora de mantener o levantar la suspensión conforme a la doctrina del ATC 336/2005, FJ 5, que se reitera en el ATC 104/2010, pues, si se </w:t>
      </w:r>
      <w:r>
        <w:lastRenderedPageBreak/>
        <w:t>levantase la suspensión, se produciría un bloqueo de las competencias del Estado sobre los recursos y aprovechamientos hidráulicos que conduciría a una irreparable compartimentación de las cuencas hidrográficas en función del territorio de las Comunidades Autónomas, lo que debería bastar para mantener la suspensión de los incisos impugnados.</w:t>
      </w:r>
    </w:p>
    <w:p w:rsidR="00E3576C" w:rsidRDefault="00E3576C" w:rsidP="00E3576C">
      <w:pPr>
        <w:pStyle w:val="TextoNormal"/>
      </w:pPr>
    </w:p>
    <w:p w:rsidR="00E3576C" w:rsidRDefault="00E3576C" w:rsidP="00E3576C">
      <w:pPr>
        <w:pStyle w:val="TextoNormal"/>
      </w:pPr>
      <w:r>
        <w:t>Respecto a los concretos perjuicios que originaría el levantamiento de la suspensión el Abogado del Estado se refiere, en primer lugar, a los incisos 1, 5 y 6 del apartado 2.5 del anejo 2, señalando que la principal cuestión que se plantea en el recurso es el entrecruzamiento entre las competencias estatales sobre el recurso hidráulico y las autonómicas sobre otras materias, como son los espacios naturales protegidos y la protección del medio ambiente. Cuestión en cuya resolución debe tenerse en cuenta el principio material de jerarquía de usos y el principio de unidad de gestión e indivisibilidad de las cuencas hidrográficas, los cuales implican que, en el ejercicio de sus competencias, la administración competente no ha de verse condicionada ni interferida por decisiones de otras administraciones, ya que ello atentaría contra el principio de unidad de gestión. De esta forma, el ejercicio de competencias autonómicas no puede suponer nunca interferencias o condicionamientos en decisiones estatales sobre el uso y aprovechamiento de las aguas adoptadas por el Estado en el ejercicio de sus competencias, tal como ha afirmado la doctrina constitucional (STC 166/2000, de 15 de junio, FJ 11). Así, el Abogado del Estado recuerda que, como se afirmaba en el escrito de recurso, el condicionamiento y la interferencia sobre el objeto directo de la competencia estatal que resulta de los incisos impugnados en relación con el art. 3.1 de la Ley autonómica 6/2011 son totales y absolutos, en cuanto que establecen prohibiciones que invaden las competencias estatales sobre el uso y aprovechamiento del recurso hidráulico y producen irreparables perjuicios para el interés general, interés que tiene una especial trascendencia por referirse a la gestión y reparto de un recurso esencial como es el agua. La regulación cuestionada supone así un condicionamiento extraordinario del ejercicio de las competencias de las Confederaciones Hidrográficas del Guadiana y del Guadalquivir que se traducirá en una alteración del régimen jurídico-obligacional establecido entre el titular del demanio público-hidráulico y los concesionarios de los aprovechamientos. Para el Abogado del estado la incompatibilidad que se predica respecto de los aprovechamientos o actividades relacionadas en los incisos impugnados puede afectar a la finalidad de determinada concesión, menoscabándola o incluso, desnaturalizándola, con manifiesto quebranto de la utilización racional del recurso, de la jerarquía de aprovechamientos y usos y de la seguridad jurídica al poder quedar afectados los estatus jurídicos de los concesionarios. Del mismo modo las prohibiciones vinculantes de la norma autonómica interfieren efectivamente el ejercicio de las competencias para alterar los cauces, presas y embalses, desviar el curso de los ríos y construir presas y diques que corresponden a los organismos de cuenca estatales. A esta situación, que justifica el mantenimiento de la suspensión para evitar daños y perjuicios en el interés general, le sería de aplicación la doctrina del ATC 380/1989, supuesto en el que se acordó la suspensión aun cuando la Comunidad Autónoma alegó que los bienes del Estado se protegían mediante la emisión de un informe vinculante. En el presente caso se prescinde de una manera absoluta de la coordinación de competencias concurrentes sobre el medio hídrico entre una y otra Administración, impidiendo el ejercicio de la competencia estatal, lo que, de por sí, perjudica los intereses generales por ella amparados y obstaculiza la adopción de decisiones en relación con la planificación hidrológica pudiendo repercutir gravemente en el resto de Comunidades Autónomas cuyos territorios formen parte de las Confederaciones Hidrográficas del Guadiana y del Guadalquivir.</w:t>
      </w:r>
    </w:p>
    <w:p w:rsidR="00E3576C" w:rsidRDefault="00E3576C" w:rsidP="00E3576C">
      <w:pPr>
        <w:pStyle w:val="TextoNormal"/>
      </w:pPr>
    </w:p>
    <w:p w:rsidR="00E3576C" w:rsidRDefault="00E3576C" w:rsidP="00E3576C">
      <w:pPr>
        <w:pStyle w:val="TextoNormal"/>
      </w:pPr>
      <w:r>
        <w:lastRenderedPageBreak/>
        <w:t>En cuanto a los perjuicios derivados del levantamiento de la suspensión del inciso 21 del apartado 2.5 del anejo 2, que incluye entre los usos, aprovechamientos y actividades incompatibles las maniobras y ejercicios militares, indica el Abogado del Estado que, dentro del recinto del parque natural, se ubica una propiedad de titularidad estatal afectada a la defensa y ocupada por la estación del centro de telecomunicaciones militares RTC “Chorreras” con su carretera de acceso. Pese a que el inciso 9 del apartado 2.1 del anejo 2 de la Ley 6/2011 relaciona entre los usos compatibles el acceso de vehículos, mantenimiento y conservación de tales construcciones e instalaciones militares, el inciso ahora suspendido prohíbe las maniobras y ejercicios militares, lo que implica, de acuerdo con el art. 3.1 de la Ley 6/2011 de Castilla-La Mancha, que de esa forma se prohíbe el desarrollo de cualesquiera actividades relacionadas con la defensa nacional, de competencia exclusiva del Estado ex art. 149.1.4 CE. Tal prohibición es absoluta, ignorándose con ello el muy variado contenido que pueden llegar a tener las maniobras y ejercicios militares y sin evaluar su real incidencia o intensidad sobre el medio ambiente.</w:t>
      </w:r>
    </w:p>
    <w:p w:rsidR="00E3576C" w:rsidRDefault="00E3576C" w:rsidP="00E3576C">
      <w:pPr>
        <w:pStyle w:val="TextoNormal"/>
      </w:pPr>
    </w:p>
    <w:p w:rsidR="00E3576C" w:rsidRDefault="00E3576C" w:rsidP="00E3576C">
      <w:pPr>
        <w:pStyle w:val="TextoNormal"/>
      </w:pPr>
      <w:r>
        <w:t>Seguidamente recuerda la existencia de doctrina específicamente referida a la valoración de los perjuicios en los casos de concurrencia del interés público que subyace en los títulos defensa nacional y protección del medio ambiente, citando expresamente los AATC 252/2001 y 351/2005. Así recuerda el Abogado del Estado que la citada doctrina parte de la prioridad o prevalencia a la protección del interés ecológico, prioridad que puede ser excepcionada por la presencia de otros intereses públicos, entre los que se encuentran los vinculados a la defensa nacional, cuando los perjuicios fueran notorios, ciertos y de presente en su alcance e intensidad. Con arreglo a tales criterios el Abogado del Estado estima que el precepto autonómico aquí impugnado es susceptible de ocasionar mayores perjuicios para la normal actividad militar que los examinados en el ATC 351/2005, en el que se decidió el mantenimiento de la suspensión del precepto autonómico impugnado en razón de las restricciones que el mismo introducía para el desarrollo de la actividad militar. El Abogado del Estado estima que en este proceso constitucional la cuestión es de mayor gravedad, en cuanto que no se restringe sino que directamente se prohíben las actividades propias de las instalaciones del centro de comunicaciones antes aludido que no sean las ya citadas.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objeto de la presente resolución consiste en determinar si procede levantar o mantener la suspensión de la vigencia que afecta a los incisos 1, 5, 6 y 2l del apartado 2.5 del anejo 2 de la Ley de Castilla-La Mancha 6/2011, de 10 de marzo, de declaración del parque natural del valle de Alcudia y sierra Madrona, que se encuentran suspendidos en su aplicación como consecuencia de la invocación del art. 161.2 CE, al promoverse el recurso de inconstitucionalidad contra la misma por el Presidente del Gobierno.</w:t>
      </w:r>
    </w:p>
    <w:p w:rsidR="00E3576C" w:rsidRDefault="00E3576C" w:rsidP="00E3576C">
      <w:pPr>
        <w:pStyle w:val="TextoNormal"/>
      </w:pPr>
    </w:p>
    <w:p w:rsidR="00E3576C" w:rsidRDefault="00E3576C" w:rsidP="00E3576C">
      <w:pPr>
        <w:pStyle w:val="TextoNormal"/>
      </w:pPr>
      <w:r>
        <w:t>En el recurso de inconstitucionalidad del que trae causa el presente incidente se ha sostenido por el Abogado del Estado la vulneración de las competencias del Estado establecidas en el art. 149.1.4, 22, 23 y 24 CE (defensa y fuerzas armadas; legislación, ordenación, y concesión de recursos hidráulicos cuando las aguas discurran por más de una Comunidad Autónoma, legislación básica sobre protección del medio ambiente; y obras públicas de interés general o cuya realización afecte a más de una Comunidad Autónoma). Las señala</w:t>
      </w:r>
      <w:r>
        <w:lastRenderedPageBreak/>
        <w:t>das infracciones constitucionales se fundamentan, según la demanda, en que los incisos impugnados consideran incompatibles con la conservación de los recursos naturales que la ley protege determinados usos que corresponden a competencias del Estado (centrales para la producción de diversas modalidades de energía; construcción de nuevas presas o su recrecimiento, nuevos trasvases de agua y extracción de las mismas; canalizaciones, dragados y similares; y maniobras y ejercicios militares), lo que implica una prohibición de ejercicio de las mismas sin previsión de mecanismo alguno de cooperación que permita su salvaguardia. Se trata, entonces, de supuestos de entrecruzamiento de competencias estatales y autonómicas en los que el ejercicio de estas últimas no puede traducirse en la interferencia o perturbación de las competencias que corresponden al Estado.</w:t>
      </w:r>
    </w:p>
    <w:p w:rsidR="00E3576C" w:rsidRDefault="00E3576C" w:rsidP="00E3576C">
      <w:pPr>
        <w:pStyle w:val="TextoNormal"/>
      </w:pPr>
    </w:p>
    <w:p w:rsidR="00E3576C" w:rsidRDefault="00E3576C" w:rsidP="00E3576C">
      <w:pPr>
        <w:pStyle w:val="TextoNormal"/>
      </w:pPr>
      <w:r w:rsidRPr="00E3576C">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181/2011, de 13 de diciembre, FJ 2).</w:t>
      </w:r>
    </w:p>
    <w:p w:rsidR="00E3576C" w:rsidRDefault="00E3576C" w:rsidP="00E3576C">
      <w:pPr>
        <w:pStyle w:val="TextoNormal"/>
      </w:pPr>
    </w:p>
    <w:p w:rsidR="00E3576C" w:rsidRDefault="00E3576C" w:rsidP="00E3576C">
      <w:pPr>
        <w:pStyle w:val="TextoNormal"/>
      </w:pPr>
      <w:r w:rsidRPr="00E3576C">
        <w:rPr>
          <w:rStyle w:val="NumeroAFNegritaCaracter"/>
        </w:rPr>
        <w:t>3</w:t>
      </w:r>
      <w:r>
        <w:t>. En esta ocasión, el Abogado del Estado ha solicitado el mantenimiento de la suspensión distinguiendo entre los perjuicios que asocia al levantamiento de la suspensión de los incisos 1, 5 y 6 del apartado 2.5 del anejo 2 de los que vincula al inciso 21. En cuanto a los primeros alega la situación de bloqueo de las competencias estatales que se produciría por la vigencia de una regulación autonómica que carecería de cobertura competencial de suerte que le sería de aplicación a este caso la doctrina del ATC 336/2005, de 15 de septiembre, reiterada en el ATC 104/2010, de 28 de julio. En segundo término, ha señalado que las prohibiciones establecidas en los mismos perjudican los usos y aprovechamientos de recursos hidráulicos cuya gestión corresponde al Estado y se traducen en una alteración del régimen jurídico de los concesionarios de los aprovechamientos así como en una interferencia efectiva en el ejercicio de las competencias estatales que corresponden a los organismos de cuenca. Todo ello deriva en una grave distorsión competencial, dado que se ha prescindido de cualquier mecanismo de coordinación, que determina que resulte de plena aplicación la doctrina del ATC 380/1989, de 6 de julio. En cuanto al inciso 21 del apartado 2.5 del anejo 2, entiende que la prohibición absoluta de llevar a cabo maniobras o ejercicios militares interfiere en los intereses propios de la defensa nacional de manera que, de conformidad con la doctrina de los AATC 252/2001, de 18 de septiembre, y 351/2005, de 27 de septiembre, ha de mantenerse la suspensión del inciso impugnado, sin que sea óbice para ello el que la norma autonómica incluya, entre los usos permitidos, el acceso de vehículos, mantenimiento y conservación del centro de telecomunicaciones del Ministerio de Defensa que se encuentra en el interior del parque natural.</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4</w:t>
      </w:r>
      <w:r>
        <w:t>. En la ponderación que se nos demanda también habremos de tener necesariamente presente que, como recuerda el ATC 56/2010, de 19 de mayo (FJ 3) y reitera el ATC 114/2011, de 19 de julio, FJ 4,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Así lo hemos puesto de manifiesto, con remisión a doctrina anterior, en los AATC 225/2009, de 27 de julio, FJ 4, y 277/2009, de 10 de diciembre, FJ 3, en los que, acogiendo tal doctrina, indicamos que en materia de suspensión cautelar la salvaguarda del interés ecológico merece la condición de interés preferente, dada la fragilidad e irreparabilidad de los perjuicios que se podrían producir en caso de su perturbación, por lo que sólo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w:t>
      </w:r>
    </w:p>
    <w:p w:rsidR="00E3576C" w:rsidRDefault="00E3576C" w:rsidP="00E3576C">
      <w:pPr>
        <w:pStyle w:val="TextoNormal"/>
      </w:pPr>
    </w:p>
    <w:p w:rsidR="00E3576C" w:rsidRDefault="00E3576C" w:rsidP="00E3576C">
      <w:pPr>
        <w:pStyle w:val="TextoNormal"/>
      </w:pPr>
      <w:r>
        <w:t>Tampoco resulta ocioso recordar ahora que en la ponderación propia de este incidente cautelar resultan ajenas consideraciones que traten de vincular el levantamiento o ratificación de la suspensión a la solución que, en su caso, pudiera darse a la cuestión de fondo objeto del debate sobre el que versa el proceso, dado que ninguna relevancia puede tener en la resolución que ahora vayamos a adoptar, necesariamente desvinculada de la que en su día haya de adoptarse sobre el debate de fondo.</w:t>
      </w:r>
    </w:p>
    <w:p w:rsidR="00E3576C" w:rsidRDefault="00E3576C" w:rsidP="00E3576C">
      <w:pPr>
        <w:pStyle w:val="TextoNormal"/>
      </w:pPr>
    </w:p>
    <w:p w:rsidR="00E3576C" w:rsidRDefault="00E3576C" w:rsidP="00E3576C">
      <w:pPr>
        <w:pStyle w:val="TextoNormal"/>
      </w:pPr>
      <w:r w:rsidRPr="00E3576C">
        <w:rPr>
          <w:rStyle w:val="NumeroAFNegritaCaracter"/>
        </w:rPr>
        <w:t>5</w:t>
      </w:r>
      <w:r>
        <w:t>. Conforme a todo lo anterior comenzaremos la ponderación que se nos demanda examinando los perjuicios que la representación procesal del Estado achaca al levantamiento de la suspensión que pesa sobre los incisos 1, 5 y 6 del apartado 2.5 del anejo 2 de la Ley de Castilla-La Mancha 6/2011. Estos incisos relacionan, entre los usos, aprovechamientos y actividades incompatibles, cuya regulación es vinculante para las Administraciones públicas cuya actuación tenga incidencia sobre el parque natural en los términos del art. 3.1 de la propia Ley autonómica, los siguientes: las “nuevas centrales para la producción de energía nuclear, térmica, geotérmica, hidroeléctrica, eólica, termosolar y fotovoltaica. Se exceptúan los dispositivos domésticos destinados al autoconsumo” (inciso 1); “la nueva construcción o recrecimiento de presas. Los nuevos trasvases de agua, salvo casos de necesidad de abastecimiento para consumo humano por episodios de sequía. La extracción o derivación de aguas directamente de los bonales” (inciso 5) y las “canalizaciones, dragados y demás operaciones similares que supongan la destrucción del biotopo en ríos, arroyos o humedales” (inciso 6).</w:t>
      </w:r>
    </w:p>
    <w:p w:rsidR="00E3576C" w:rsidRDefault="00E3576C" w:rsidP="00E3576C">
      <w:pPr>
        <w:pStyle w:val="TextoNormal"/>
      </w:pPr>
    </w:p>
    <w:p w:rsidR="00E3576C" w:rsidRDefault="00E3576C" w:rsidP="00E3576C">
      <w:pPr>
        <w:pStyle w:val="TextoNormal"/>
      </w:pPr>
      <w:r>
        <w:t xml:space="preserve">El Abogado del Estado considera, en primer lugar, que su vigencia va a producir un bloqueo de las competencias del Estado sobre recursos y aprovechamientos hidráulicos que justificaría el mantenimiento de la suspensión conforme a la doctrina del ATC 336/2005, de 15 de septiembre, FJ 5, reiterado en el ATC 104/2010, de 28 de julio, FJ 4. Sin embargo, dicho perjuicio, con la generalidad con que se formula, no puede ser apreciado por lo que hemos de descartar la procedencia de aplicar al presente caso de la solución adoptada en los AATC 336/2005 y 104/2010. A diferencia de lo que allí ocurría, no ha quedado justificado que la capacidad de bloqueo de la norma autonómica respecto del ejercicio de competencias atribuidas al Estado por el bloque de constitucionalidad exceda de las situaciones normales </w:t>
      </w:r>
      <w:r>
        <w:lastRenderedPageBreak/>
        <w:t>de controversia competencial. En el presente caso no se acredita, más allá de aludir a la vulneración competencial que se denuncia en el proceso principal, en qué aspectos se traduciría o concretaría el denunciado bloqueo de las competencias estatales a ejercer en el ámbito territorial que ha sido declarado parque natural en los términos del art. 1, en relación con el anejo 1, de la Ley de Castilla-La Mancha 6/2011. Por tanto,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julio, FJ 7, con cita de otro). Razón por la cual no es posible apreciar que la interferencia en las competencias estatales supuestamente producida por los preceptos legales ahora suspendidos haya sido de tal calibre que impida al Estado el ejercicio de competencias reconocidas por el bloque de constitucionalidad y determine, por ello, el mantenimiento de la suspensión de la norma autonómica.</w:t>
      </w:r>
    </w:p>
    <w:p w:rsidR="00E3576C" w:rsidRDefault="00E3576C" w:rsidP="00E3576C">
      <w:pPr>
        <w:pStyle w:val="TextoNormal"/>
      </w:pPr>
    </w:p>
    <w:p w:rsidR="00E3576C" w:rsidRDefault="00E3576C" w:rsidP="00E3576C">
      <w:pPr>
        <w:pStyle w:val="TextoNormal"/>
      </w:pPr>
      <w:r>
        <w:t>Entrando ahora a valorar los concretos perjuicios que el Abogado del Estado entiende que se van a producir si se levanta la suspensión de estos tres incisos debemos descartar ya el relativo a la interferencia en el ejercicio de las competencias de los organismos de cuenca estatales pues es claro que este perjuicio se relaciona directamente con la controversia competencial trabada en el proceso principal sobre la que no procede pronunciarse en este momento procesal. Esto es, se pone de manifiesto la discrepancia respecto a la interferencia o condicionamiento que, a juicio del recurrente, se deriva de los incisos impugnados sobre las competencias estatales en materia hidráulica, pero no se concretan los posibles perjuicios que pueden producirse en el concreto ámbito del parque natural, sino que se afirma únicamente que los recursos hidráulicos “pueden verse gravemente perjudicados”, sin que se acredite la existencia de obra o actuación concreta de competencia de la Administración general del Estado que se pueda ver afectada por la vigencia de la regulación ahora suspendida. Es por ello que la prevalencia de los objetivos de preservación del medio ambiente que, conforme a nuestra doctrina, han de gozar de consideración preferente en este incidente, así como la presunción de constitucionalidad de la que ha de gozar la norma en función de su origen determina que no resulten aceptables los argumentos aportados por el Abogado del Estado en pro del mantenimiento de la suspensión.</w:t>
      </w:r>
    </w:p>
    <w:p w:rsidR="00E3576C" w:rsidRDefault="00E3576C" w:rsidP="00E3576C">
      <w:pPr>
        <w:pStyle w:val="TextoNormal"/>
      </w:pPr>
    </w:p>
    <w:p w:rsidR="00E3576C" w:rsidRDefault="00E3576C" w:rsidP="00E3576C">
      <w:pPr>
        <w:pStyle w:val="TextoNormal"/>
      </w:pPr>
      <w:r>
        <w:t xml:space="preserve">Por último, tampoco puede ser apreciado el perjuicio relativo a la alteración del régimen jurídico obligacional de los concesionarios del dominio público hidráulico, pues procede advertir que, en el ATC 101/1993, de 23 de marzo, FJ 4, ya descartamos que el principio de intangibilidad de las condiciones del acto administrativo que la concesión supone pudiera llevarse “hasta el extremo de hacer inexistentes cualesquiera otras limitaciones al uso privativo del dominio público hidráulico o a suprimir los condicionamientos derivados de las distintas normativas existentes en el ordenamiento jurídico”, reconociendo la posibilidad de revisión de la concesión y descartando que el interés particular de los titulares de las concesiones pudiera “prevalecer sobre el interés público, estatal y autonómico, en preservar la riqueza biológica del país evitando un perjuicio irreparable o de muy difícil reparación”, criterio que reiteramos en los AATC 243/1993, de 13 de julio, FJ 2, y 335/1993, de 10 de noviembre, FJ 3. Asimismo tampoco resulta aquí de aplicación el ATC 380/1989, citado por el Abogado del Estado, puesto que, a diferencia de aquella ocasión, ni se han alegado </w:t>
      </w:r>
      <w:r>
        <w:lastRenderedPageBreak/>
        <w:t>ni se aprecian los perjuicios que, para la seguridad jurídica, representada por la publicidad registral inmobiliaria y el tráfico jurídico administrativo, pueden derivar del levantamiento de la suspensión.</w:t>
      </w:r>
    </w:p>
    <w:p w:rsidR="00E3576C" w:rsidRDefault="00E3576C" w:rsidP="00E3576C">
      <w:pPr>
        <w:pStyle w:val="TextoNormal"/>
      </w:pPr>
    </w:p>
    <w:p w:rsidR="00E3576C" w:rsidRDefault="00E3576C" w:rsidP="00E3576C">
      <w:pPr>
        <w:pStyle w:val="TextoNormal"/>
      </w:pPr>
      <w:r>
        <w:t>En suma, por todo lo expuesto procede levantar la suspensión de los incisos 1, 5 y 6 del apartado 2.5 del anejo 2 de la Ley de Castilla-La Mancha 6/2011.</w:t>
      </w:r>
    </w:p>
    <w:p w:rsidR="00E3576C" w:rsidRDefault="00E3576C" w:rsidP="00E3576C">
      <w:pPr>
        <w:pStyle w:val="TextoNormal"/>
      </w:pPr>
    </w:p>
    <w:p w:rsidR="00E3576C" w:rsidRDefault="00E3576C" w:rsidP="00E3576C">
      <w:pPr>
        <w:pStyle w:val="TextoNormal"/>
      </w:pPr>
      <w:r w:rsidRPr="00E3576C">
        <w:rPr>
          <w:rStyle w:val="NumeroAFNegritaCaracter"/>
        </w:rPr>
        <w:t>6</w:t>
      </w:r>
      <w:r>
        <w:t>. El inciso 21 del apartado 2.5 del anejo 2 de la Ley de Castilla-La Mancha 6/2011 determina que, entre los usos, aprovechamientos y actividades incompatibles con el parque natural, se encuentran “las maniobras y ejercicios militares”. Incompatibilidad que el Abogado del Estado, aplicando la doctrina de los AATC 252/2001, de 18 de septiembre, y 351/2005, de 27 de septiembre, entiende perjudicial para los intereses de la defensa nacional, señalando, además, que en el recinto del parque natural se ubica una instalación afectada a la defensa constituida por el centro de telecomunicaciones militares “Chorreras”, con su carretera de acceso.</w:t>
      </w:r>
    </w:p>
    <w:p w:rsidR="00E3576C" w:rsidRDefault="00E3576C" w:rsidP="00E3576C">
      <w:pPr>
        <w:pStyle w:val="TextoNormal"/>
      </w:pPr>
    </w:p>
    <w:p w:rsidR="00E3576C" w:rsidRDefault="00E3576C" w:rsidP="00E3576C">
      <w:pPr>
        <w:pStyle w:val="TextoNormal"/>
      </w:pPr>
      <w:r>
        <w:t>Iniciando la ponderación por la existencia de la instalación militar citada es de apreciar que ningún perjuicio susceptible de afectar a la citada instalación puede producirse por el levantamiento de la suspensión del inciso 21 ya citado. En efecto, por un lado, la propia norma reconoce expresamente la existencia de esa instalación militar y así, enumera, entre los usos, aprovechamientos y actividades compatibles a los que se refiere el apartado 2.1.9 del anejo 2, “el acceso de vehículos, mantenimiento y conservación de las construcciones e instalaciones del Centro de Telecomunicaciones militares RCT ‘Chorreras’, así como de la Zona de Seguridad especificada en la Orden 821/1983, de 28 de noviembre” (en realidad es la Orden 82/1983, de 14 de noviembre). Instalación militar que, por otro lado, se encuentra clasificada entre las del grupo segundo a las que alude el art. 8 del Real Decreto 689/1978, de 10 de febrero, por el que se aprueba el reglamento de zonas e instalaciones de interés para la defensa nacional, lo que determina que los intereses de la defensa nacional queden aquí salvaguardados, conforme a las propias normas estatales, mediante el establecimiento de las zonas de seguridad reguladas por el art. 15 y ss. del reglamento citado y que se han concretado en la ya citada Orden 82/1983, de 14 de noviembre, por la que se señala la zona de seguridad de la red de instalaciones radioeléctricas existentes en la segunda Región Aérea, extremos todos ellos respetados, en los términos que acabamos de exponer, por la Ley de Castilla-La Mancha 6/2011.</w:t>
      </w:r>
    </w:p>
    <w:p w:rsidR="00E3576C" w:rsidRDefault="00E3576C" w:rsidP="00E3576C">
      <w:pPr>
        <w:pStyle w:val="TextoNormal"/>
      </w:pPr>
    </w:p>
    <w:p w:rsidR="00E3576C" w:rsidRDefault="00E3576C" w:rsidP="00E3576C">
      <w:pPr>
        <w:pStyle w:val="TextoNormal"/>
      </w:pPr>
      <w:r>
        <w:t>Queda por valorar el perjuicio que, para los intereses de la defensa nacional supondría la prohibición de cualesquiera maniobras y ejercicios militares en el ámbito del parque natural. En su ponderación debemos partir del criterio que ya sentamos en el ATC 252/2001, FJ 4 y reiteramos en el ATC 351/2005, FJ 6 según el cual “[n]o cabe duda de que los intereses generales vinculados a la Defensa Nacional se encuentran comprendidos entre aquéllos que pueden conllevar el enervamiento de los específicamente medioambientales cuando los perjuicios que pudieran generarse fueren notorios, ciertos y de presente, en su alcance o intensidad” si bien, como en ambos supuestos, hemos de tener presente las características del caso, a fin de formar un criterio acerca de si los intereses generales propios de la defensa nacional resultan vulnerados o enervados por las medidas de protección ambiental que la declaración del espacio natural protegido supone y con las que concurre.</w:t>
      </w:r>
    </w:p>
    <w:p w:rsidR="00E3576C" w:rsidRDefault="00E3576C" w:rsidP="00E3576C">
      <w:pPr>
        <w:pStyle w:val="TextoNormal"/>
      </w:pPr>
    </w:p>
    <w:p w:rsidR="00E3576C" w:rsidRDefault="00E3576C" w:rsidP="00E3576C">
      <w:pPr>
        <w:pStyle w:val="TextoNormal"/>
      </w:pPr>
      <w:r>
        <w:lastRenderedPageBreak/>
        <w:t>En este caso, no es posible apreciar la concurrencia de los perjuicios que alega el Abogado del Estado pues, a diferencia del caso examinado en el ATC 351/2005, en el que las previsiones de la norma autonómica se referían específicamente a los suelos e instalaciones de uso militar, nos encontramos en un supuesto en el que la protección medioambiental se ha establecido salvaguardando expresamente el prexistente uso militar. Dicho en otros términos, no ha quedado justificado en qué medida la imposibilidad de realizar maniobras o ejercicios militares precisamente en el ámbito delimitado por el parque natural del valle de Alcudia y sierra Madrona perjudica a los intereses de la defensa nacional.</w:t>
      </w:r>
    </w:p>
    <w:p w:rsidR="00E3576C" w:rsidRDefault="00E3576C" w:rsidP="00E3576C">
      <w:pPr>
        <w:pStyle w:val="TextoNormal"/>
      </w:pPr>
    </w:p>
    <w:p w:rsidR="00E3576C" w:rsidRDefault="00E3576C" w:rsidP="00E3576C">
      <w:pPr>
        <w:pStyle w:val="TextoNormal"/>
      </w:pPr>
      <w:r>
        <w:t>Ahora bien, si en algún caso el Estado considerase necesaria, en interés de la defensa, la utilización del territorio del centro de telecomunicaciones militares RCI “Chorreras” para maniobras militares, ante la alegación de un posible perjuicio el Tribunal acordaría lo procedente.</w:t>
      </w:r>
    </w:p>
    <w:p w:rsidR="00E3576C" w:rsidRDefault="00E3576C" w:rsidP="00E3576C">
      <w:pPr>
        <w:pStyle w:val="TextoNormal"/>
      </w:pPr>
    </w:p>
    <w:p w:rsidR="00E3576C" w:rsidRDefault="00E3576C" w:rsidP="00E3576C">
      <w:pPr>
        <w:pStyle w:val="TextoNormal"/>
      </w:pPr>
      <w:r>
        <w:t>Procede, por tanto, levantar la suspensión del inciso 21 del apartado 2.5 del anejo 2 de la Ley de Castilla-La Mancha 6/2011.</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Levantar la suspensión de los incisos 1, 5, 6 y 2l del apartado 2.5 del anejo 2 de la Ley de Castilla-La Mancha 6/2011, de 10 de marzo, de declaración del parque natural de Alcudia y Sierra Madrona.</w:t>
      </w:r>
    </w:p>
    <w:p w:rsidR="00E3576C" w:rsidRDefault="00E3576C" w:rsidP="00E3576C">
      <w:pPr>
        <w:pStyle w:val="TextoNormal"/>
      </w:pPr>
    </w:p>
    <w:p w:rsidR="00E3576C" w:rsidRDefault="00E3576C" w:rsidP="00E3576C">
      <w:pPr>
        <w:pStyle w:val="TextoNormal"/>
      </w:pPr>
      <w:r>
        <w:t>Madrid, a ocho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7" w:name="AUTO_2012_86"/>
      <w:r>
        <w:lastRenderedPageBreak/>
        <w:t>AUTO 86/2012, de 8 de mayo de 2012</w:t>
      </w:r>
    </w:p>
    <w:bookmarkEnd w:id="227"/>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ECLI:ES:TC:2012:86A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Levanta parcialmente la suspensión en el recurso de inconstitucionalidad 6985-2011, interpuesto por el Presidente del Gobierno en relación con la Ley de Castilla-La Mancha 5/2011, de 10 de marzo, de declaración del parque natural de la sierra norte de Guadalajara.</w:t>
      </w:r>
    </w:p>
    <w:p w:rsidR="00E3576C" w:rsidRDefault="00E3576C" w:rsidP="00E3576C">
      <w:pPr>
        <w:pStyle w:val="SntesisDescriptiva"/>
      </w:pPr>
    </w:p>
    <w:p w:rsidR="00E3576C" w:rsidRDefault="00E3576C" w:rsidP="00E3576C">
      <w:pPr>
        <w:pStyle w:val="SntesisAnaltica"/>
      </w:pPr>
      <w:r>
        <w:t>Medio ambiente: zonas de protección especial. Suspensión de disposiciones de las Comunidades Autónomas: levantamiento de la suspensión de disposiciones de las Comunidades Autónomas.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el Tribunal el día 22 de diciembre de 2011 el Abogado del Estado, en nombre del Presidente del Gobierno, presentó escrito de interposición de recurso de inconstitucionalidad contra los incisos 9, 13 y 23 del apartado 2.1.4 y los incisos 27, 29, 30, 31 y 36 del apartado 2.2.4 , todos ellos del anejo 2 de la Ley de Castilla-La Mancha 5/2011, de 10 de marzo, de declaración del parque natural de la Sierra Norte de Guadalajara. En el escrito de demanda hizo invocación expresa del art. 161.2 CE, a los efectos de que se acordase la suspensión de la vigencia y aplicación de los incisos impugnados.</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Por providencia de 17 de enero de 2012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por conducto de sus Presidentes, así como a la Junta de Comunidades de Castilla-La Mancha y a las Cortes de Castilla-La Mancha, por conducto de sus Presidentes,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incisos impugnados desde la fecha de interposición del recurso —22 de diciembre de 2011— para las partes del proceso y desde el día en que aparezca publicada la suspensión en el “Boletín Oficial del Estado” para los terceros, lo que se comunicó a los Presidentes de la Junta de Comunidades de Castilla-La Mancha y de las </w:t>
      </w:r>
      <w:r>
        <w:lastRenderedPageBreak/>
        <w:t>Cortes de Castilla-La Mancha. Finalmente, se acordó publicar la incoación del recurso en el “Boletín Oficial del Estado” y en el “Diario Oficial de Castilla-La Mancha”.</w:t>
      </w:r>
    </w:p>
    <w:p w:rsidR="00E3576C" w:rsidRDefault="00E3576C" w:rsidP="00E3576C">
      <w:pPr>
        <w:pStyle w:val="TextoNormal"/>
      </w:pPr>
    </w:p>
    <w:p w:rsidR="00E3576C" w:rsidRDefault="00E3576C" w:rsidP="00E3576C">
      <w:pPr>
        <w:pStyle w:val="TextoNormal"/>
      </w:pPr>
      <w:r w:rsidRPr="00E3576C">
        <w:rPr>
          <w:rStyle w:val="NumeroAFNegritaCaracter"/>
        </w:rPr>
        <w:t>3</w:t>
      </w:r>
      <w:r>
        <w:t>. El Presidente del Senado, mediante escrito registrado el día 1 de febrero de 2012, comunicó que la Mesa de la Cámara, en su reunión del día 31 de enero, había acordado personarse en este procedimiento y por ofrecida su colaboración a los efectos del art. 88.1 LOTC. Lo mismo hizo el Presidente del Congreso de los Diputados por escrito registrado el día 3 de febrero de 2012.</w:t>
      </w:r>
    </w:p>
    <w:p w:rsidR="00E3576C" w:rsidRDefault="00E3576C" w:rsidP="00E3576C">
      <w:pPr>
        <w:pStyle w:val="TextoNormal"/>
      </w:pPr>
    </w:p>
    <w:p w:rsidR="00E3576C" w:rsidRDefault="00E3576C" w:rsidP="00E3576C">
      <w:pPr>
        <w:pStyle w:val="TextoNormal"/>
      </w:pPr>
      <w:r w:rsidRPr="00E3576C">
        <w:rPr>
          <w:rStyle w:val="NumeroAFNegritaCaracter"/>
        </w:rPr>
        <w:t>4</w:t>
      </w:r>
      <w:r>
        <w:t>. Por escrito que tuvo entrada en el Registro General de este Tribunal Constitucional el día 6 de febrero de 2012 el Letrado de las Cortes de Castilla-La Mancha se personó en el proceso sin formular alegaciones, ofreciendo la colaboración a que se refiere el art. 88 LOTC.</w:t>
      </w:r>
    </w:p>
    <w:p w:rsidR="00E3576C" w:rsidRDefault="00E3576C" w:rsidP="00E3576C">
      <w:pPr>
        <w:pStyle w:val="TextoNormal"/>
      </w:pPr>
    </w:p>
    <w:p w:rsidR="00E3576C" w:rsidRDefault="00E3576C" w:rsidP="00E3576C">
      <w:pPr>
        <w:pStyle w:val="TextoNormal"/>
      </w:pPr>
      <w:r w:rsidRPr="00E3576C">
        <w:rPr>
          <w:rStyle w:val="NumeroAFNegritaCaracter"/>
        </w:rPr>
        <w:t>5</w:t>
      </w:r>
      <w:r>
        <w:t>. Próximo a finalizar el plazo de los cinco meses que señala el art. 161.2 CE desde que se produjo la suspensión de los preceptos impugnados el Pleno del Tribunal Constitucional, por providencia de 13 de marzo de 2012, acordó oír a las partes personadas —Abogado del Estado y Cortes de Castilla-La Mancha— para que, en plazo de cinco días, expusieran lo que considerasen conveniente acerca del mantenimiento o levantamiento de dicha suspensión.</w:t>
      </w:r>
    </w:p>
    <w:p w:rsidR="00E3576C" w:rsidRDefault="00E3576C" w:rsidP="00E3576C">
      <w:pPr>
        <w:pStyle w:val="TextoNormal"/>
      </w:pPr>
    </w:p>
    <w:p w:rsidR="00E3576C" w:rsidRDefault="00E3576C" w:rsidP="00E3576C">
      <w:pPr>
        <w:pStyle w:val="TextoNormal"/>
      </w:pPr>
      <w:r w:rsidRPr="00E3576C">
        <w:rPr>
          <w:rStyle w:val="NumeroAFNegritaCaracter"/>
        </w:rPr>
        <w:t>6</w:t>
      </w:r>
      <w:r>
        <w:t>. El Abogado del Estado evacuó el trámite de alegaciones conferido mediante escrito registrado en fecha 23 de marzo de 2012, que, en lo sustancial, a continuación se resume.</w:t>
      </w:r>
    </w:p>
    <w:p w:rsidR="00E3576C" w:rsidRDefault="00E3576C" w:rsidP="00E3576C">
      <w:pPr>
        <w:pStyle w:val="TextoNormal"/>
      </w:pPr>
    </w:p>
    <w:p w:rsidR="00E3576C" w:rsidRDefault="00E3576C" w:rsidP="00E3576C">
      <w:pPr>
        <w:pStyle w:val="TextoNormal"/>
      </w:pPr>
      <w:r>
        <w:t>Señala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Recuerda igualmente que el mantenimiento de la suspensión requiere que el Gobierno aporte y razone con detalle los argumentos que la justifiquen pues debe partirse de la presunción de constitucionalidad de las normas o actos objeto de conflicto (ATC 88/2008, de 2 de abril, FJ 2, con cita de otros muchos). En definitiva, ha de procederse a una consideración de la gravedad de los perjuicios que originarían las situaciones de hecho que, previsiblemente, se producirían en caso de que se levantara o se mantuviera la suspensión. Entiende que, desde esa perspectiva, lo que ha de pedirse es que se razone suficientemente la previsibilidad de los perjuicios en caso de levantarse la suspensión y que tales perjuicios aparezcan como consecuencia natural de la ordinaria aplicación de la ley recurrida.</w:t>
      </w:r>
    </w:p>
    <w:p w:rsidR="00E3576C" w:rsidRDefault="00E3576C" w:rsidP="00E3576C">
      <w:pPr>
        <w:pStyle w:val="TextoNormal"/>
      </w:pPr>
    </w:p>
    <w:p w:rsidR="00E3576C" w:rsidRDefault="00E3576C" w:rsidP="00E3576C">
      <w:pPr>
        <w:pStyle w:val="TextoNormal"/>
      </w:pPr>
      <w:r>
        <w:t xml:space="preserve">Alude a continuación a la vulneración competencial en la que incurrirían los preceptos impugnados, que serían contrarios a las competencias estatales en materia de defensa y fuerzas armadas (art. 149.1.4 CE); legislación, ordenación, y concesión de recursos hidráulicos cuando las aguas discurran por más de una Comunidad Autónoma (art. 149.1.22 CE); legislación básica sobre protección del medio ambiente (art. 149.1.23 CE); y obras públicas de interés general o cuya realización afecte a más de una Comunidad Autónoma (art. 149.1.24 CE). Así, recuerda el Abogado del Estado que los incisos impugnados rebasan el ámbito </w:t>
      </w:r>
      <w:r>
        <w:lastRenderedPageBreak/>
        <w:t>competencial autonómico de modo que bloquean el ejercicio de competencias estatales, extremo que puede ser tenido en cuenta a la hora de mantener o levantar la suspensión conforme a la doctrina del ATC 336/2005, FJ 5, que se reitera en el ATC 104/2010, pues, si se levantase la suspensión, se produciría un bloqueo de las competencias del Estado sobre los recursos y aprovechamientos hidráulicos que conduciría a una irreparable compartimentación de las cuencas hidrográficas en función del territorio de las Comunidades Autónomas, lo que debería bastar para mantener la suspensión de los incisos impugnados.</w:t>
      </w:r>
    </w:p>
    <w:p w:rsidR="00E3576C" w:rsidRDefault="00E3576C" w:rsidP="00E3576C">
      <w:pPr>
        <w:pStyle w:val="TextoNormal"/>
      </w:pPr>
    </w:p>
    <w:p w:rsidR="00E3576C" w:rsidRDefault="00E3576C" w:rsidP="00E3576C">
      <w:pPr>
        <w:pStyle w:val="TextoNormal"/>
      </w:pPr>
      <w:r>
        <w:t>Respecto a los concretos perjuicios que originaría el levantamiento de la suspensión el Abogado del Estado se refiere, en primer lugar, a los incisos 9 y 13 del apartado 2.1.4 y a los incisos 27, 29, 30 y 31 del apartado 2.2.4, ambos del anejo 2, señalando que la principal cuestión que se plantea en el recurso es el entrecruzamiento entre las competencias estatales sobre el recurso hidráulico y las autonómicas sobre otras materias, como son los espacios naturales protegidos y la protección del medio ambiente. Cuestión en cuya resolución debe tenerse en cuenta el principio material de jerarquía de usos y el principio de unidad de gestión e indivisibilidad de las cuencas hidrográficas, los cuales implican que, en el ejercicio de sus competencias, la administración competente no ha de verse condicionada ni interferida por decisiones de otras administraciones, ya que ello atentaría contra el principio de unidad de gestión. De esta forma, el ejercicio de competencias autonómicas no puede suponer nunca interferencias o condicionamientos en decisiones estatales sobre el uso y aprovechamiento de las aguas adoptadas por el Estado en el ejercicio de sus competencias, tal como ha afirmado la doctrina constitucional (STC 166/2000, de 15 de junio, FJ 11). Así, el Abogado del Estado recuerda que, como se afirmaba en el escrito de recurso, el condicionamiento y la interferencia sobre el objeto directo de la competencia estatal que resulta de los incisos impugnados en relación con el art. 3.1 de la Ley 5/2011 son totales y absolutos, en cuanto que establecen prohibiciones que invaden las competencias estatales sobre el uso y aprovechamiento del recurso hidráulico y producen irreparables perjuicios para el interés general, interés que tiene una especial trascendencia por referirse a la gestión y reparto de un recurso esencial como es el agua.</w:t>
      </w:r>
    </w:p>
    <w:p w:rsidR="00E3576C" w:rsidRDefault="00E3576C" w:rsidP="00E3576C">
      <w:pPr>
        <w:pStyle w:val="TextoNormal"/>
      </w:pPr>
    </w:p>
    <w:p w:rsidR="00E3576C" w:rsidRDefault="00E3576C" w:rsidP="00E3576C">
      <w:pPr>
        <w:pStyle w:val="TextoNormal"/>
      </w:pPr>
      <w:r>
        <w:t xml:space="preserve">La regulación cuestionada supone así un condicionamiento extraordinario del ejercicio de las competencias de las Confederaciones Hidrográficas del Guadiana y del Guadalquivir que se traducirá en una alteración del régimen jurídico-obligacional establecido entre el titular del demanio público-hidráulico y los concesionarios de los aprovechamientos. Para el Abogado del Estado la incompatibilidad que se pretende respecto de los aprovechamientos o actividades relacionadas en los incisos impugnados puede afectar a la finalidad de determinada concesión, menoscabándola o incluso, desnaturalizándola, con manifiesto quebranto de la utilización racional del recurso, de la jerarquía de aprovechamientos y usos y de la seguridad jurídica al poder quedar afectados los concesionarios. Del mismo modo las prohibiciones vinculantes de la norma autonómica interfieren efectivamente el ejercicio de las competencias para alterar los cauces, presas y embalses, desviar el curso de los ríos y construir presas y diques que corresponden a los organismos de cuenca estatales. A esta situación, que justifica el mantenimiento de la suspensión para evitar daños y perjuicios en el interés general, le sería de aplicación la doctrina del ATC 380/1989, supuesto en el que se acordó la suspensión aun cuando la Comunidad Autónoma alegó que los bienes del Estado se protegían mediante la emisión de un informe vinculante. En el presente caso se prescinde de una manera absoluta de la coordinación de competencias concurrentes sobre el medio hídrico entre una y otra Administración, impidiendo el ejercicio de la competencia </w:t>
      </w:r>
      <w:r>
        <w:lastRenderedPageBreak/>
        <w:t>estatal, lo que, de por sí, perjudica los intereses generales por ella amparados y obstaculiza la adopción de decisiones en relación con la planificación hidrológica pudiendo repercutir gravemente en el resto de Comunidades Autónomas cuyos territorios formen parte de las Confederaciones Hidrográficas del Guadiana y del Guadalquivir.</w:t>
      </w:r>
    </w:p>
    <w:p w:rsidR="00E3576C" w:rsidRDefault="00E3576C" w:rsidP="00E3576C">
      <w:pPr>
        <w:pStyle w:val="TextoNormal"/>
      </w:pPr>
    </w:p>
    <w:p w:rsidR="00E3576C" w:rsidRDefault="00E3576C" w:rsidP="00E3576C">
      <w:pPr>
        <w:pStyle w:val="TextoNormal"/>
      </w:pPr>
      <w:r>
        <w:t>En cuanto a los perjuicios derivados del levantamiento de la suspensión del inciso 23 del apartado 2.1.4 y del inciso 36 del apartado 2.2.4, ambos del anejo 2, que incluye entre los usos, aprovechamientos y actividades incompatibles las maniobras y ejercicios militares, con la única excepción en el apartado 2.1.4, de los ejercicios que estén destinados a situaciones de emergencias por incendios forestales, salvamento o inclemencias del tiempo, indica el Abogado del Estado que, con esa excepción los incisos ahora suspendidos prohíbe las maniobras y ejercicios militares, lo que implica, de acuerdo con el art. 3.1 de la Ley 5/2011, que de esa forma se prohíbe el desarrollo de cualesquiera actividades relacionadas con la defensa nacional, de competencia exclusiva del Estado ex art. 149.1.4 CE. Tal prohibición es absoluta, ignorándose con ello el muy variado contenido que pueden llegar a tener las maniobras y ejercicios militares y sin evaluar su real incidencia o intensidad sobre el medio ambiente.</w:t>
      </w:r>
    </w:p>
    <w:p w:rsidR="00E3576C" w:rsidRDefault="00E3576C" w:rsidP="00E3576C">
      <w:pPr>
        <w:pStyle w:val="TextoNormal"/>
      </w:pPr>
    </w:p>
    <w:p w:rsidR="00E3576C" w:rsidRDefault="00E3576C" w:rsidP="00E3576C">
      <w:pPr>
        <w:pStyle w:val="TextoNormal"/>
      </w:pPr>
      <w:r>
        <w:t>Seguidamente recuerda la existencia de doctrina específicamente referida a la valoración de los perjuicios en los casos de concurrencia del interés público que subyace en los títulos defensa nacional y protección del medio ambiente, citando expresamente los AATC 252/2001 y 351/2005. Así recuerda el Abogado del Estado que la citada doctrina parte de la prioridad o prevalencia a la protección del interés ecológico, prioridad que puede ser excepcionada por la presencia de otros intereses públicos, entre los que se encuentran los vinculados a la defensa nacional, cuando los perjuicios fueran notorios, ciertos y de presente en su alcance e intensidad. Con arreglo a tales criterios el Abogado del Estado estima que los preceptos autonómicos aquí impugnados son susceptibles de ocasionar mayores perjuicios para la normal actividad militar que los examinados en el ATC 351/2005, en el que se decidió el mantenimiento de la suspensión del precepto autonómico impugnado en razón de las restricciones que el mismo introducía para el desarrollo de la actividad militar. El Abogado del Estado estima que en este proceso constitucional la cuestión es de mayor gravedad, en cuanto que no se restringe sino que directamente se prohíben las actividades propias de la defensa nacional. Finalmente alude a un informe del Ministerio de Defensa —que adjunta— según el cual el territorio sobre el que se extiende el parque natural de la Sierra Norte de Guadalajara coincide parcialmente con el que el Real Decreto 191/2002, de 15 de febrero, declaró zona de interés para la defensa nacional de manera que, conforme al citado informe, el levantamiento de la suspensión de la vigencia de los incisos autonómicos vendría a impedir que el Ministerio de Defensa ejecutara el acceso previsto al asentamiento del escuadrón de vigilancia aérea núm. 14 y afectaría gravemente la operatividad de éste.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La presente resolución tiene por objeto si procede levantar o mantener la suspensión de la vigencia que afecta a los incisos 9, 13 y 23 del apartado 2.1.4 y los incisos 27, 29, 30, 31 y 36 del apartado 2.2.4 , todos ellos del anejo 2 de la Ley de Castilla-La Mancha 5/2011, de 10 de marzo, de declaración del parque natural de la Sierra Norte de Guadalajara, que se encuentran suspendidos en su aplicación como consecuencia de la invocación del art. 161.2 </w:t>
      </w:r>
      <w:r>
        <w:lastRenderedPageBreak/>
        <w:t>CE, al promoverse el recurso de inconstitucionalidad contra la misma por el Presidente del Gobierno.</w:t>
      </w:r>
    </w:p>
    <w:p w:rsidR="00E3576C" w:rsidRDefault="00E3576C" w:rsidP="00E3576C">
      <w:pPr>
        <w:pStyle w:val="TextoNormal"/>
      </w:pPr>
    </w:p>
    <w:p w:rsidR="00E3576C" w:rsidRDefault="00E3576C" w:rsidP="00E3576C">
      <w:pPr>
        <w:pStyle w:val="TextoNormal"/>
      </w:pPr>
      <w:r>
        <w:t>En el recurso de inconstitucionalidad del que trae causa el presente incidente se ha sostenido por el Abogado del Estado la vulneración de las competencias del Estado establecidas en el art. 149.1.4, 22, 23 y 24 CE (defensa y fuerzas armadas; legislación, ordenación, y concesión de recursos hidráulicos cuando las aguas discurran por más de una Comunidad Autónoma, legislación básica sobre protección del medio ambiente; y obras públicas de interés general o cuya realización afecte a más de una Comunidad Autónoma). Las señaladas infracciones constitucionales se fundamentan, según la demanda, en que los incisos impugnados consideran incompatibles con la conservación de los recursos naturales que la ley protege determinados usos que corresponden a competencias del Estado (centrales para la producción de diversas modalidades de energía; construcción de nuevas presas o su recrecimiento, nuevos trasvases de agua y extracción de las mismas; canalizaciones, dragados y similares; y maniobras y ejercicios militares), lo que implica una prohibición de ejercicio de las mismas sin previsión de mecanismo alguno de cooperación que permita su salvaguardia. Se trata, entonces, de supuestos de entrecruzamiento de competencias estatales y autonómicas en los que el ejercicio de estas últimas no puede traducirse en la interferencia o perturbación de las competencias que corresponden al Estado.</w:t>
      </w:r>
    </w:p>
    <w:p w:rsidR="00E3576C" w:rsidRDefault="00E3576C" w:rsidP="00E3576C">
      <w:pPr>
        <w:pStyle w:val="TextoNormal"/>
      </w:pPr>
    </w:p>
    <w:p w:rsidR="00E3576C" w:rsidRDefault="00E3576C" w:rsidP="00E3576C">
      <w:pPr>
        <w:pStyle w:val="TextoNormal"/>
      </w:pPr>
      <w:r w:rsidRPr="00E3576C">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181/2011, de 13 de diciembre, FJ 2).</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En esta ocasión, el Abogado del Estado ha solicitado el mantenimiento de la suspensión distinguiendo entre los perjuicios que asocia al levantamiento de la suspensión de los incisos 9 y 13 del apartado 2.1.4 y a los incisos 27, 29, 30 y 31 del apartado 2.2.4, ambos del anejo 2, de los que vincula al inciso 23 del apartado 2.1.4 y al inciso 36 del apartado 2.2.4. En cuanto a los primeros alega la situación de bloqueo de las competencias estatales que se produciría por la vigencia de una regulación autonómica que carecería de cobertura competencial de suerte que le sería de aplicación a este caso la doctrina del ATC 336/2005, de 15 de septiembre, reiterada en el ATC 104/2010, de 28 de julio. En segundo término, ha señalado que las prohibiciones establecidas en los mismos perjudican los usos y aprovechamientos de recursos hidráulicos cuya gestión corresponde al Estado y se traducen en una alteración del régimen jurídico de los concesionarios de los aprovechamientos así como en una interferencia efectiva en el ejercicio de las competencias estatales que corresponden a los organismos de cuenca. Todo ello deriva en una grave distorsión competencial, dado que se ha prescindido de cualquier mecanismo de coordinación, que determina que resulte de plena aplicación la doctrina del ATC 380/1989, de 6 de julio. En cuanto al inciso 23 del </w:t>
      </w:r>
      <w:r>
        <w:lastRenderedPageBreak/>
        <w:t>apartado 2.1.4 y al inciso 36 del apartado 2.2.4, entiende que la prohibición absoluta de llevar a cabo maniobras o ejercicios militares interfiere en los intereses propios de la defensa nacional de manera que, de conformidad con la doctrina de los AATC 252/2001, de 18 de septiembre y 351/2005, de 27 de septiembre, ha de mantenerse la suspensión de los incisos impugnados, los cuales serían susceptibles de afectar a una zona declarada previamente de interés para la defensa nacional que se encuentra en el interior del parque natural.</w:t>
      </w:r>
    </w:p>
    <w:p w:rsidR="00E3576C" w:rsidRDefault="00E3576C" w:rsidP="00E3576C">
      <w:pPr>
        <w:pStyle w:val="TextoNormal"/>
      </w:pPr>
    </w:p>
    <w:p w:rsidR="00E3576C" w:rsidRDefault="00E3576C" w:rsidP="00E3576C">
      <w:pPr>
        <w:pStyle w:val="TextoNormal"/>
      </w:pPr>
      <w:r w:rsidRPr="00E3576C">
        <w:rPr>
          <w:rStyle w:val="NumeroAFNegritaCaracter"/>
        </w:rPr>
        <w:t>4</w:t>
      </w:r>
      <w:r>
        <w:t>. Expuestos siquiera sumariamente los perjuicios a los intereses particulares y generales que cada una de las partes plantea que pueden producirse si se mantiene o se alza la suspensión previamente acordada por el Tribunal, procede que realicemos la ponderación que es propia de este incidente cautelar.</w:t>
      </w:r>
    </w:p>
    <w:p w:rsidR="00E3576C" w:rsidRDefault="00E3576C" w:rsidP="00E3576C">
      <w:pPr>
        <w:pStyle w:val="TextoNormal"/>
      </w:pPr>
    </w:p>
    <w:p w:rsidR="00E3576C" w:rsidRDefault="00E3576C" w:rsidP="00E3576C">
      <w:pPr>
        <w:pStyle w:val="TextoNormal"/>
      </w:pPr>
      <w:r>
        <w:t>En la ponderación que se nos demanda también habremos de tener necesariamente presente que, como recuerda el ATC 56/2010, de 19 de mayo, FJ 3, y reitera el ATC 114/2011, de 19 de julio, FJ 4,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Así lo hemos puesto de manifiesto, con remisión a doctrina anterior, en los AATC 225/2009, de 27 de julio, FJ 4, y 277/2009, de 10 de diciembre, FJ 3, en los que, acogiendo tal doctrina, indicamos que en materia de suspensión cautelar la salvaguarda del interés ecológico merece la condición de interés preferente, dada la fragilidad e irreparabilidad de los perjuicios que se podrían producir en caso de su perturbación, por lo que sólo cabe admitir su subordinación a otros intereses públicos o privados de carácter patrimonial cuando la lesión de éstos suponga afectar a un sector económico de manera directa e inmediata, fundamental para la economía de la Nación, con posibles perjuicios económicos de muy difícil reparación, o bien cuando la aplicación de las medidas controvertidas fuera susceptible de provocar gravísimos efectos perjudiciales.</w:t>
      </w:r>
    </w:p>
    <w:p w:rsidR="00E3576C" w:rsidRDefault="00E3576C" w:rsidP="00E3576C">
      <w:pPr>
        <w:pStyle w:val="TextoNormal"/>
      </w:pPr>
    </w:p>
    <w:p w:rsidR="00E3576C" w:rsidRDefault="00E3576C" w:rsidP="00E3576C">
      <w:pPr>
        <w:pStyle w:val="TextoNormal"/>
      </w:pPr>
      <w:r>
        <w:t>Es importante recordar ahora que en la ponderación propia de este incidente cautelar resultan ajenas consideraciones que traten de vincular el levantamiento o ratificación de la suspensión a la solución que, en su caso, pudiera darse a la cuestión de fondo objeto del debate sobre el que versa el proceso, dado que ninguna relevancia puede tener en la resolución que ahora vayamos a adoptar, necesariamente desvinculada de la que en su día haya de adoptarse sobre el debate de fondo.</w:t>
      </w:r>
    </w:p>
    <w:p w:rsidR="00E3576C" w:rsidRDefault="00E3576C" w:rsidP="00E3576C">
      <w:pPr>
        <w:pStyle w:val="TextoNormal"/>
      </w:pPr>
    </w:p>
    <w:p w:rsidR="00E3576C" w:rsidRDefault="00E3576C" w:rsidP="00E3576C">
      <w:pPr>
        <w:pStyle w:val="TextoNormal"/>
      </w:pPr>
      <w:r w:rsidRPr="00E3576C">
        <w:rPr>
          <w:rStyle w:val="NumeroAFNegritaCaracter"/>
        </w:rPr>
        <w:t>5</w:t>
      </w:r>
      <w:r>
        <w:t>. Conforme a todo lo anterior comenzaremos la ponderación que se nos demanda examinando los perjuicios que la representación procesal del Estado achaca al levantamiento de la suspensión que pesa sobre los incisos 9 y 13 del apartado 2.1.4 y a los incisos 27, 29, 30 y 31 del apartado 2.2.4, ambos del anejo 2 de la Ley de Castilla-La Mancha 5/2011.</w:t>
      </w:r>
    </w:p>
    <w:p w:rsidR="00E3576C" w:rsidRDefault="00E3576C" w:rsidP="00E3576C">
      <w:pPr>
        <w:pStyle w:val="TextoNormal"/>
      </w:pPr>
    </w:p>
    <w:p w:rsidR="00E3576C" w:rsidRDefault="00E3576C" w:rsidP="00E3576C">
      <w:pPr>
        <w:pStyle w:val="TextoNormal"/>
      </w:pPr>
      <w:r>
        <w:t>El apartado 2.1.4 del anejo 2 relaciona los usos, aprovechamientos y actividades incompatibles en la zona del parque natural no incluida en la zona de protección especial delimitada en los términos del anejo 1, cuya regulación es vinculante para las Administraciones públicas cuya actuación tenga incidencia sobre el parque natural en los términos del art. 3.1 de la propia ley autonómica. De ellos han sido impugnados los incisos 9 (“Las obras de drenaje y desecación de suelos hidromorfos y terrenos encharcables. Actuaciones que mo</w:t>
      </w:r>
      <w:r>
        <w:lastRenderedPageBreak/>
        <w:t>difiquen la dinámica hídrica de los humedales, o bien las características físicas y microclimáticas de las cavidades naturales”) y 13 (“Construcción de presas, canales, trasvases y demás obras hidráulicas diferentes de los abastecimientos a poblaciones señalados como compatibles o autorizables y los azudes de menos de 1,5 m de altura y los diques de corrección hidrológica sobre cauces estacionales que se considerarán autorizables”). Por su parte, el apartado 2.2.4 del anejo 2 realiza la misma determinación de usos, aprovechamientos y actividades incompatibles en la zona de protección especial del Pico del Lobo-Hayedo de Tejera Negra. De dicho apartado 2.2.4 se han cuestionado en el presente proceso los incisos 27 (“Las centrales hidroeléctricas, los parques eólicos y demás instalaciones para la producción de energía”), 29 (“La construcción o ampliación de presas, embalses, canales, acequias; las nuevas explotaciones o captaciones de aguas superficiales o subterráneas, y la ampliación de las existentes, con la excepción de los abastecimientos a los núcleos urbanos de El Cardoso de la Sierra, Bocígano, Peñalba de la Sierra, Cabida, Colmenar y Corralejo, y los puntos de agua para incendios forestales que se consideran autorizables”), 30 (“Los dragados o encauzamientos y cualquier otra actuación sobre ríos y arroyos que altere el ecosistema fluvial o la vegetación de las riberas”) y 31(“Las nuevas explotaciones de recursos hídricos, con la excepción de los actuales abastecimientos a los núcleos urbanos de El Cardoso de la Sierra, Bocígano, Peñalba de la Sierra, Cabida, Colmenar y Corralejo”).</w:t>
      </w:r>
    </w:p>
    <w:p w:rsidR="00E3576C" w:rsidRDefault="00E3576C" w:rsidP="00E3576C">
      <w:pPr>
        <w:pStyle w:val="TextoNormal"/>
      </w:pPr>
    </w:p>
    <w:p w:rsidR="00E3576C" w:rsidRDefault="00E3576C" w:rsidP="00E3576C">
      <w:pPr>
        <w:pStyle w:val="TextoNormal"/>
      </w:pPr>
      <w:r>
        <w:t>El Abogado del Estado considera, en primer lugar, que su vigencia va a producir un bloqueo de las competencias del Estado sobre recursos y aprovechamientos hidráulicos que justificaría el mantenimiento de la suspensión conforme a la doctrina del ATC 336/2005, FJ 5, reiterado en el ATC 104/2010, FJ 4. Sin embargo, dicho perjuicio, con la generalidad con que se formula, no puede ser apreciado por lo que hemos de descartar la procedencia de aplicar al presente caso de la solución adoptada en los AATC 336/2005 y 104/2010.</w:t>
      </w:r>
    </w:p>
    <w:p w:rsidR="00E3576C" w:rsidRDefault="00E3576C" w:rsidP="00E3576C">
      <w:pPr>
        <w:pStyle w:val="TextoNormal"/>
      </w:pPr>
    </w:p>
    <w:p w:rsidR="00E3576C" w:rsidRDefault="00E3576C" w:rsidP="00E3576C">
      <w:pPr>
        <w:pStyle w:val="TextoNormal"/>
      </w:pPr>
      <w:r>
        <w:t>A diferencia de lo que allí ocurría, no ha quedado justificado que la capacidad de bloqueo de la norma autonómica respecto del ejercicio de competencias atribuidas al Estado por el bloque de constitucionalidad exceda de las situaciones normales de controversia competencial.</w:t>
      </w:r>
    </w:p>
    <w:p w:rsidR="00E3576C" w:rsidRDefault="00E3576C" w:rsidP="00E3576C">
      <w:pPr>
        <w:pStyle w:val="TextoNormal"/>
      </w:pPr>
    </w:p>
    <w:p w:rsidR="00E3576C" w:rsidRDefault="00E3576C" w:rsidP="00E3576C">
      <w:pPr>
        <w:pStyle w:val="TextoNormal"/>
      </w:pPr>
      <w:r>
        <w:t>En el presente caso no se acredita, más allá de aludir a la vulneración competencial que se denuncia en el proceso principal, en qué aspectos se traduciría o concretaría el denunciado bloqueo de las competencias estatales a ejercer en el ámbito territorial que ha sido declarado parque natural en los términos del art. 1, en relación con el anejo 1, de la Ley de Castilla-La Mancha 5/2011. Por tanto,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con cita de otro). Razón por la cual no es posible apreciar que la interferencia en las competencias estatales supuestamente producida por los preceptos legales ahora suspendidos sea de tal calibre que impida al Estado el ejercicio de competencias reconocidas por el bloque de constitucionalidad y determine, por ello, el mantenimiento de la suspensión de la norma autonómica.</w:t>
      </w:r>
    </w:p>
    <w:p w:rsidR="00E3576C" w:rsidRDefault="00E3576C" w:rsidP="00E3576C">
      <w:pPr>
        <w:pStyle w:val="TextoNormal"/>
      </w:pPr>
    </w:p>
    <w:p w:rsidR="00E3576C" w:rsidRDefault="00E3576C" w:rsidP="00E3576C">
      <w:pPr>
        <w:pStyle w:val="TextoNormal"/>
      </w:pPr>
      <w:r>
        <w:lastRenderedPageBreak/>
        <w:t>Entrando ahora a valorar los concretos perjuicios que el Abogado del Estado entiende que se van a producir si se levanta la suspensión de estos tres incisos debemos descartar ya el relativo a la interferencia en el ejercicio de las competencias de los organismos de cuenca estatales pues es claro que este perjuicio se relaciona directamente con la controversia competencial trabada en el proceso principal sobre la que no procede pronunciarse en este momento procesal. Esto es, se pone de manifiesto la discrepancia respecto a la interferencia o condicionamiento que, a juicio del recurrente, se deriva de los incisos impugnados sobre las competencias estatales en materia hidráulica, pero no se concretan los posibles perjuicios que pueden producirse en el concreto ámbito del parque natural, sino que se afirma únicamente que los recursos hidráulicos “pueden verse gravemente perjudicados”, sin que se acredite la existencia de obra o actuación concreta de competencia de la Administración General del Estado que se pueda ver afectada por la vigencia de la regulación ahora suspendida. Es por ello que la prevalencia de los objetivos de preservación del medio ambiente que, conforme a nuestra doctrina, han de gozar de consideración preferente en este incidente, así como la presunción de constitucionalidad de la que ha de gozar la norma en función de su origen determina que no resulten aceptables los argumentos aportados por el Abogado del Estado en pro del mantenimiento de la suspensión.</w:t>
      </w:r>
    </w:p>
    <w:p w:rsidR="00E3576C" w:rsidRDefault="00E3576C" w:rsidP="00E3576C">
      <w:pPr>
        <w:pStyle w:val="TextoNormal"/>
      </w:pPr>
    </w:p>
    <w:p w:rsidR="00E3576C" w:rsidRDefault="00E3576C" w:rsidP="00E3576C">
      <w:pPr>
        <w:pStyle w:val="TextoNormal"/>
      </w:pPr>
      <w:r>
        <w:t>Por último, tampoco puede atenderse el perjuicio relativo a la alteración del régimen jurídico obligacional de los concesionarios del dominio público hidráulico, por cuanto procede advertir que, en el ATC 101/1993, de 23 de marzo, FJ 4, ya descartamos que el principio de intangibilidad de las condiciones del acto administrativo que la concesión supone pudiera llevarse “hasta el extremo de hacer inexistentes cualesquiera otras limitaciones al uso privativo del dominio público hidráulico o a suprimir los condicionamientos derivados de las distintas normativas existentes en el ordenamiento jurídico”, reconociendo la posibilidad de revisión de la concesión y descartando que el interés particular de los titulares de las concesiones pudiera “prevalecer sobre el interés público, estatal y autonómico, en preservar la riqueza biológica del país evitando un perjuicio irreparable o de muy difícil reparación”, criterio que reiteramos en los AATC 243/1993, de 13 de julio, FJ 2, y 335/1993, de 10 de noviembre, FJ 3. Asimismo tampoco resulta aquí de aplicación el ATC 380/1989, citado por el Abogado del Estado, puesto que, a diferencia de aquella ocasión, ni se han alegado ni se aprecian los perjuicios que, para la seguridad jurídica, representada por la publicidad registral inmobiliaria y el tráfico jurídico administrativo, pueden derivar del levantamiento de la suspensión.</w:t>
      </w:r>
    </w:p>
    <w:p w:rsidR="00E3576C" w:rsidRDefault="00E3576C" w:rsidP="00E3576C">
      <w:pPr>
        <w:pStyle w:val="TextoNormal"/>
      </w:pPr>
    </w:p>
    <w:p w:rsidR="00E3576C" w:rsidRDefault="00E3576C" w:rsidP="00E3576C">
      <w:pPr>
        <w:pStyle w:val="TextoNormal"/>
      </w:pPr>
      <w:r>
        <w:t>En suma, por todo lo expuesto, procede levantar la suspensión de los incisos 9 y 13 del apartado 2.1.4 y de los incisos 27, 29, 30 y 31 del apartado 2.2.4, ambos del anejo 2 de la Ley de Castilla-La Mancha 5/2011.</w:t>
      </w:r>
    </w:p>
    <w:p w:rsidR="00E3576C" w:rsidRDefault="00E3576C" w:rsidP="00E3576C">
      <w:pPr>
        <w:pStyle w:val="TextoNormal"/>
      </w:pPr>
    </w:p>
    <w:p w:rsidR="00E3576C" w:rsidRDefault="00E3576C" w:rsidP="00E3576C">
      <w:pPr>
        <w:pStyle w:val="TextoNormal"/>
      </w:pPr>
      <w:r w:rsidRPr="00E3576C">
        <w:rPr>
          <w:rStyle w:val="NumeroAFNegritaCaracter"/>
        </w:rPr>
        <w:t>6</w:t>
      </w:r>
      <w:r>
        <w:t>. Procede ahora ponderar los perjuicios que el Abogado del Estado asocia a la vigencia de los incisos 23 del apartado 2.1.4 y 36 del apartado 2.2.4. El primero de ellos enumera, entre los usos, aprovechamientos y actividades incompatibles con el parque natural, excluida la zona de protección especial, las “maniobras y ejercicios militares, a excepción de aquellos ejercicios destinados a situaciones de emergencias por incendios forestales, salvamento o inclemencias del tiempo” mientras que el segundo, referido al ámbito de la zona de protección especial del parque natural, prohíbe las “maniobras y ejercicios militares”.</w:t>
      </w:r>
    </w:p>
    <w:p w:rsidR="00E3576C" w:rsidRDefault="00E3576C" w:rsidP="00E3576C">
      <w:pPr>
        <w:pStyle w:val="TextoNormal"/>
      </w:pPr>
    </w:p>
    <w:p w:rsidR="00E3576C" w:rsidRDefault="00E3576C" w:rsidP="00E3576C">
      <w:pPr>
        <w:pStyle w:val="TextoNormal"/>
      </w:pPr>
      <w:r>
        <w:lastRenderedPageBreak/>
        <w:t>Iniciando la ponderación por el perjuicio que para los intereses de la defensa nacional se deriva del primero de los incisos citados supondría la prohibición de cualesquiera maniobras y ejercicios militares en el ámbito del parque natural, excluida la zona de protección especial, debemos partir del criterio que ya sentamos en el ATC 252/2001, de 18 de septiembre, FJ 4 y reiteramos en el ATC 351/2005, FJ 6 según el cual “[n]o cabe duda de que los intereses generales vinculados a la Defensa Nacional se encuentran comprendidos entre aquéllos que pueden conllevar el enervamiento de los específicamente medioambientales cuando los perjuicios que pudieran generarse fueren notorios, ciertos y de presente, en su alcance o intensidad” si bien, en ambos supuestos, hemos de tener presente las características del caso, a fin de formar un criterio acerca de si los intereses generales propios de la defensa nacional resultan vulnerados o enervados por la medidas de protección ambiental que la declaración del espacio natural protegido supone y con las que concurre.</w:t>
      </w:r>
    </w:p>
    <w:p w:rsidR="00E3576C" w:rsidRDefault="00E3576C" w:rsidP="00E3576C">
      <w:pPr>
        <w:pStyle w:val="TextoNormal"/>
      </w:pPr>
    </w:p>
    <w:p w:rsidR="00E3576C" w:rsidRDefault="00E3576C" w:rsidP="00E3576C">
      <w:pPr>
        <w:pStyle w:val="TextoNormal"/>
      </w:pPr>
      <w:r>
        <w:t>En este caso, no es posible apreciar la concurrencia de los perjuicios que alega el Abogado del Estado pues no nos encontramos en un caso que, a diferencia del examinado en el ATC 351/2005, en el que las previsiones de la norma autonómica se referían específicamente a los suelos e instalaciones de uso militar, nos encontramos en un supuesto en el que la protección medioambiental se ha establecido salvaguardando expresamente el prexistente uso militar. Dicho en otros términos, no ha quedado justificado en qué medida la imposibilidad de realizar maniobras o ejercicios militares precisamente en el ámbito territorial al que se refiere el inciso 23 del apartado 2.1.4 perjudica a los intereses de la defensa nacional. Es por ello que procede el levantamiento de la suspensión del citado inciso.</w:t>
      </w:r>
    </w:p>
    <w:p w:rsidR="00E3576C" w:rsidRDefault="00E3576C" w:rsidP="00E3576C">
      <w:pPr>
        <w:pStyle w:val="TextoNormal"/>
      </w:pPr>
    </w:p>
    <w:p w:rsidR="00E3576C" w:rsidRDefault="00E3576C" w:rsidP="00E3576C">
      <w:pPr>
        <w:pStyle w:val="TextoNormal"/>
      </w:pPr>
      <w:r>
        <w:t>Distinta consideración merece, no obstante, el inciso 36 del apartado 2.2.4 pues, en este caso, es de apreciar la prexistencia de una zona expresamente declarada de interés para la defensa nacional por el Real Decreto 191/2002, de 15 de febrero, por cuanto en la misma estaba previsto ubicar un asentamiento de radar. Así, a diferencia de lo que apreciamos en el ATC 252/2001 en el que, ponderando las características del caso, alcanzamos el criterio de que los intereses generales propios de la defensa nacional no resultaban vulnerados ni siquiera enervados por las medidas de protección ambiental con las que concurrían, es posible apreciar ahora que el levantamiento de la suspensión en el caso del inciso que ahora examinamos puede generar un perjuicio cierto y actual para los intereses generales de la defensa nacional, tal como los mismos se expresan en el citado Real Decreto 191/2002, en la medida en que la prohibición de maniobras o ejercicios militares puede incidir en la eficaz utilización de la instalación y en las finalidades vinculadas con la defensa nacional que la misma está llamada a cumplir en relación con la misión que las fuerzas armadas tienen encomendada constitucionalmente (art. 8.1 CE). Finalmente, respecto a la extensión de nuestra decisión relativa al mantenimiento de la suspensión inicialmente acordada, hemos de precisar que, apreciada la prevalencia de los intereses vinculados a la defensa nacional, esa apreciación ha de realizarse en relación al ámbito territorial en el que confluyen los intereses propios de la defensa nacional con los ambientales que expresa la prohibición que examinamos o, lo que es lo mismo, en el ámbito declarado de interés para la defensa en el art. 1 del Real Decreto 191/2002. Por el contrario esa prevalencia, y el consiguiente mantenimiento de la suspensión que la misma lleva consigo, no afectará al ámbito territorial de la zona de protección especial del Pico del Lobo-Hayedo de Tejera Negra que, como se configura en el anejo 1 de la Ley de Castilla-La Mancha 5/2011, no coincida con el delimitado en el citado art. 1 del Real Decreto 191/2002.</w:t>
      </w:r>
    </w:p>
    <w:p w:rsidR="00E3576C" w:rsidRDefault="00E3576C" w:rsidP="00E3576C">
      <w:pPr>
        <w:pStyle w:val="TextoNormal"/>
      </w:pPr>
    </w:p>
    <w:p w:rsidR="00E3576C" w:rsidRDefault="00E3576C" w:rsidP="00E3576C">
      <w:pPr>
        <w:pStyle w:val="TextoNormal"/>
      </w:pPr>
      <w:r>
        <w:lastRenderedPageBreak/>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Levantar la suspensión de los incisos 9, 13 y 23 del apartado 2.1.4 y los incisos 27, 29, 30, 31 del apartado 2.2.4, todos ellos del anejo 2.</w:t>
      </w:r>
    </w:p>
    <w:p w:rsidR="00E3576C" w:rsidRDefault="00E3576C" w:rsidP="00E3576C">
      <w:pPr>
        <w:pStyle w:val="TextoNormal"/>
      </w:pPr>
    </w:p>
    <w:p w:rsidR="00E3576C" w:rsidRDefault="00E3576C" w:rsidP="00E3576C">
      <w:pPr>
        <w:pStyle w:val="TextoNormal"/>
      </w:pPr>
      <w:r>
        <w:t>2º Mantener la suspensión, en los términos expresados en el fundamento jurídico 6, del inciso 36 del apartado 2.2.4 del anejo 2 de la Ley de Castilla-La Mancha 5/2011, de 10 de marzo, de declaración del parque natural de la Sierra Norte de Guadalajara.</w:t>
      </w:r>
    </w:p>
    <w:p w:rsidR="00E3576C" w:rsidRDefault="00E3576C" w:rsidP="00E3576C">
      <w:pPr>
        <w:pStyle w:val="TextoNormal"/>
      </w:pPr>
    </w:p>
    <w:p w:rsidR="00E3576C" w:rsidRDefault="00E3576C" w:rsidP="00E3576C">
      <w:pPr>
        <w:pStyle w:val="TextoNormal"/>
      </w:pPr>
      <w:r>
        <w:t>Madrid, a ocho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8" w:name="AUTO_2012_87"/>
      <w:r>
        <w:lastRenderedPageBreak/>
        <w:t>AUTO 87/2012, de 10 de mayo de 2012</w:t>
      </w:r>
    </w:p>
    <w:bookmarkEnd w:id="22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ECLI:ES:TC:2012:87A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Levanta parcialmente la suspensión en el recurso de inconstitucionalidad 55-2012, interpuesto por el Presidente del Gobierno en relación con la Ley Foral 7/2011, de 24 de marzo, por la que se modifica el texto refundido del estatuto del personal al servicio de las Administraciones públicas de Navarra.</w:t>
      </w:r>
    </w:p>
    <w:p w:rsidR="00E3576C" w:rsidRDefault="00E3576C" w:rsidP="00E3576C">
      <w:pPr>
        <w:pStyle w:val="SntesisDescriptiva"/>
      </w:pPr>
    </w:p>
    <w:p w:rsidR="00E3576C" w:rsidRDefault="00E3576C" w:rsidP="00E3576C">
      <w:pPr>
        <w:pStyle w:val="SntesisAnaltica"/>
      </w:pPr>
      <w:r>
        <w:t>Personal al servicio de la Administración autonómica: retribuciones de empleados públicos. Personal al servicio de la Administración de justicia: competencias. Personal al servicio de las Administraciones públicas: retribuciones de empleados públicos. Suspensión de disposiciones de las Comunidades Autónomas: levantamiento parcial de la suspensión.</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Constitucional el día 4 de enero de 2012 el Abogado del Estado, en nombre del Presidente del Gobierno, interpuso recurso de inconstitucionalidad contra el artículo único, apartado cuatro, en la nueva redacción dada a los artículos 109, 114, 115, 116 y 117, y las disposiciones adicional única y transitoria primera de la Ley Foral 7/2011, de 24 de marzo, por la que se modifica el texto refundido del estatuto del personal al servicio de las Administraciones públicas de Navarra.</w:t>
      </w:r>
    </w:p>
    <w:p w:rsidR="00E3576C" w:rsidRDefault="00E3576C" w:rsidP="00E3576C">
      <w:pPr>
        <w:pStyle w:val="TextoNormal"/>
      </w:pPr>
    </w:p>
    <w:p w:rsidR="00E3576C" w:rsidRDefault="00E3576C" w:rsidP="00E3576C">
      <w:pPr>
        <w:pStyle w:val="TextoNormal"/>
      </w:pPr>
      <w:r>
        <w:t>El Abogado del Estado invocó el art. 161.2 CE a fin de que se acordase la suspensión de los preceptos impugnados en el presente recurso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17 de enero de 2012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w:t>
      </w:r>
      <w:r>
        <w:lastRenderedPageBreak/>
        <w:t>curso —4 enero de 2012—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00E3576C" w:rsidRDefault="00E3576C" w:rsidP="00E3576C">
      <w:pPr>
        <w:pStyle w:val="TextoNormal"/>
      </w:pPr>
    </w:p>
    <w:p w:rsidR="00E3576C" w:rsidRDefault="00E3576C" w:rsidP="00E3576C">
      <w:pPr>
        <w:pStyle w:val="TextoNormal"/>
      </w:pPr>
      <w:r w:rsidRPr="00E3576C">
        <w:rPr>
          <w:rStyle w:val="NumeroAFNegritaCaracter"/>
        </w:rPr>
        <w:t>3</w:t>
      </w:r>
      <w:r>
        <w:t>. El Presidente del Senado, mediante escrito registrado el día 31 de enero de 2012, comunicó que la Mesa de la Cámara, en su reunión de ese mismo día, había acordado la personación en este procedimiento y por ofrecida su colaboración a los efectos del art. 88.1 LOTC.</w:t>
      </w:r>
    </w:p>
    <w:p w:rsidR="00E3576C" w:rsidRDefault="00E3576C" w:rsidP="00E3576C">
      <w:pPr>
        <w:pStyle w:val="TextoNormal"/>
      </w:pPr>
    </w:p>
    <w:p w:rsidR="00E3576C" w:rsidRDefault="00E3576C" w:rsidP="00E3576C">
      <w:pPr>
        <w:pStyle w:val="TextoNormal"/>
      </w:pPr>
      <w:r w:rsidRPr="00E3576C">
        <w:rPr>
          <w:rStyle w:val="NumeroAFNegritaCaracter"/>
        </w:rPr>
        <w:t>4</w:t>
      </w:r>
      <w:r>
        <w:t>. El 31 de enero de 2012 el Presidente del Congreso de los Diputados comunicó que la Cámara se personaba en el proceso, ofreciendo su colaboración.</w:t>
      </w:r>
    </w:p>
    <w:p w:rsidR="00E3576C" w:rsidRDefault="00E3576C" w:rsidP="00E3576C">
      <w:pPr>
        <w:pStyle w:val="TextoNormal"/>
      </w:pPr>
    </w:p>
    <w:p w:rsidR="00E3576C" w:rsidRDefault="00E3576C" w:rsidP="00E3576C">
      <w:pPr>
        <w:pStyle w:val="TextoNormal"/>
      </w:pPr>
      <w:r w:rsidRPr="00E3576C">
        <w:rPr>
          <w:rStyle w:val="NumeroAFNegritaCaracter"/>
        </w:rPr>
        <w:t>5</w:t>
      </w:r>
      <w:r>
        <w:t>. Por escrito registrado el día 13 de febrero de 2012 el Asesor Jurídico-Letrado de la Comunidad Foral de Navarra presentó sus alegaciones interesando la desestimación del recurso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6</w:t>
      </w:r>
      <w:r>
        <w:t>. El Letrado del Parlamento de Navarra presentó sus alegaciones mediante escrito registrado el 16 de febrero de 2012 solicitando la desestimación del recurso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7</w:t>
      </w:r>
      <w:r>
        <w:t>. Próximo a finalizar el plazo de los cinco meses que señala el art. 161.2 CE desde que se produjo la suspensión de los preceptos impugnados, por providencia de 28 de febrero de 2012 el Pleno acordó oír a las partes personadas para que, en el plazo de cinco días, expongan lo que consideren conveniente acerca del mantenimiento o levantamiento de dicha suspensión.</w:t>
      </w:r>
    </w:p>
    <w:p w:rsidR="00E3576C" w:rsidRDefault="00E3576C" w:rsidP="00E3576C">
      <w:pPr>
        <w:pStyle w:val="TextoNormal"/>
      </w:pPr>
    </w:p>
    <w:p w:rsidR="00E3576C" w:rsidRDefault="00E3576C" w:rsidP="00E3576C">
      <w:pPr>
        <w:pStyle w:val="TextoNormal"/>
      </w:pPr>
      <w:r w:rsidRPr="00E3576C">
        <w:rPr>
          <w:rStyle w:val="NumeroAFNegritaCaracter"/>
        </w:rPr>
        <w:t>8</w:t>
      </w:r>
      <w:r>
        <w:t>. El Abogado del Estado, con fecha 6 de marzo de 2012, evacuó el trámite conferido interesando el mantenimiento de la suspensión, por los motivos que, sintéticamente, se exponen a continuación.</w:t>
      </w:r>
    </w:p>
    <w:p w:rsidR="00E3576C" w:rsidRDefault="00E3576C" w:rsidP="00E3576C">
      <w:pPr>
        <w:pStyle w:val="TextoNormal"/>
      </w:pPr>
    </w:p>
    <w:p w:rsidR="00E3576C" w:rsidRDefault="00E3576C" w:rsidP="00E3576C">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w:t>
      </w:r>
      <w:r>
        <w:lastRenderedPageBreak/>
        <w:t>probabilidad de los perjuicios que ocasionaría la aplicación de la norma recurrida está lo suficientemente fundada.</w:t>
      </w:r>
    </w:p>
    <w:p w:rsidR="00E3576C" w:rsidRDefault="00E3576C" w:rsidP="00E3576C">
      <w:pPr>
        <w:pStyle w:val="TextoNormal"/>
      </w:pPr>
    </w:p>
    <w:p w:rsidR="00E3576C" w:rsidRDefault="00E3576C" w:rsidP="00E3576C">
      <w:pPr>
        <w:pStyle w:val="TextoNormal"/>
      </w:pPr>
      <w:r>
        <w:t>En cuanto a los concretos perjuicios que ocasionaría el levantamiento de la suspensión señala el Abogado del Estado que habiendo este Tribunal delimitado claramente las potestades del Estado y de las Comunidades Autónomas en la submateria “administración de la administración de justicia”, al ejercer la Comunidad Foral sobre esta submateria la potestad legislativa está desconociendo frontalmente la Constitución y la doctrina de su máximo intérprete, evidenciándose de este modo el grave perjuicio derivado de la totalidad de los preceptos impugnados. A su entender la norma infraconstitucional recurrida vendría a hacer las veces de poder constituyente sobrevenido, prescindiendo de la definición auténtica e indiscutible de las categorías y principios constitucionales que, en su condición de intérprete supremo de la Constitución, ha hecho el Tribunal Constitucional. En definitiva, señala que de levantarse la suspensión de la vigencia de los preceptos autonómicos se produciría un bloqueo de la competencia estatal en materia de administración de justicia, que quedaría inconstitucionalmente desplazada en la Comunidad Foral de Navarra por normas forales carentes de toda cobertura competencial. El levantamiento de la suspensión otorgaría vigencia a una legislación dictada con manifiesto desconocimiento de la doctrina del Tribunal Constitucional y del art. 149.1.5 CE, suspendiendo la aplicación en la Comunidad Foral de la Ley Orgánica del Poder Judicial (LOPJ) que establece un régimen esencial homogéneo para todo el territorio nacional del personal al servicio de la Administración de justicia. A su juicio, bastaría con lo expuesto para mantener la suspensión de los preceptos impugnados, pero es que además la entrada en vigor de éstos ocasionaría con toda probabilidad perjuicios difícilmente reparables.</w:t>
      </w:r>
    </w:p>
    <w:p w:rsidR="00E3576C" w:rsidRDefault="00E3576C" w:rsidP="00E3576C">
      <w:pPr>
        <w:pStyle w:val="TextoNormal"/>
      </w:pPr>
    </w:p>
    <w:p w:rsidR="00E3576C" w:rsidRDefault="00E3576C" w:rsidP="00E3576C">
      <w:pPr>
        <w:pStyle w:val="TextoNormal"/>
      </w:pPr>
      <w:r>
        <w:t>A continuación hace alusión a cada uno de los preceptos impugnados. En primer lugar, respecto del art. 109 del texto refundido del estatuto del personal al servicio de las Administraciones públicas de Navarra, en la nueva redacción dada al mismo por la Ley Foral 7/2011, la queja de inconstitucionalidad respecto de este precepto se centra en considerar que la regulación que contiene contrasta frontalmente con el art. 474.1 LOPJ, pues mientras que en éste se prevé que los cuerpos nacionales al servicio de la Administración de justicia se rijan supletoriamente por la normativa del Estado en materia de función pública, el art. 109 dispone la aplicación supletoria del texto refundido del personal al servicio de las Administraciones públicas de Navarra, en defecto de previsión expresa en la LOPJ. Para el Abogado del Estado de levantarse la suspensión del art. 109, la inversión de la regla de supletoriedad que contiene supondría una frontal vulneración del derecho fundamental al acceso en condiciones de igualdad a las funciones públicas al impedir la aplicación al personal al servicio de la administración de justicia en Navarra, en tanto desarrollan la LOPJ, de los diferentes reglamentos de ingreso, provisión de puestos de trabajo y promoción profesional del personal funcionario al servicio de la Administración de justicia y de régimen disciplinario, afectando igualmente tal inversión a los concursos de traslado en los que participan todos los funcionarios al servicio de la Administración de justicia, a los procesos selectivos para ingreso en los diferentes cuerpos, a los procesos de rehabilitación, e incluso a las situaciones administrativas que se rigen por la LOPJ.</w:t>
      </w:r>
    </w:p>
    <w:p w:rsidR="00E3576C" w:rsidRDefault="00E3576C" w:rsidP="00E3576C">
      <w:pPr>
        <w:pStyle w:val="TextoNormal"/>
      </w:pPr>
    </w:p>
    <w:p w:rsidR="00E3576C" w:rsidRDefault="00E3576C" w:rsidP="00E3576C">
      <w:pPr>
        <w:pStyle w:val="TextoNormal"/>
      </w:pPr>
      <w:r>
        <w:t>Recuerda el Abogado del Estado que en el ATC 105/2010, FJ 4, se señala que en determinados casos la ruptura del principio de seguridad jurídica puede justificar el manteni</w:t>
      </w:r>
      <w:r>
        <w:lastRenderedPageBreak/>
        <w:t>miento de la suspensión de los preceptos recurridos, en función de la gravedad de los perjuicios que esa ruptura pudiera ocasionar. A su juicio, las consecuencias que la entrada en vigor del precepto autonómico recurrido tendría para la seguridad jurídica en cuanto a la uniformidad de las condiciones de acceso al sistema de movilidad nacional, de las condiciones de promoción en la carrera administrativa y de las situaciones que en ésta puedan darse, justifican el mantenimiento de la suspensión.</w:t>
      </w:r>
    </w:p>
    <w:p w:rsidR="00E3576C" w:rsidRDefault="00E3576C" w:rsidP="00E3576C">
      <w:pPr>
        <w:pStyle w:val="TextoNormal"/>
      </w:pPr>
    </w:p>
    <w:p w:rsidR="00E3576C" w:rsidRDefault="00E3576C" w:rsidP="00E3576C">
      <w:pPr>
        <w:pStyle w:val="TextoNormal"/>
      </w:pPr>
      <w:r>
        <w:t>En segundo lugar, respecto del art. 114 del texto refundido del estatuto del personal al servicio de las Administraciones públicas de Navarra, en la nueva redacción dada al mismo por la Ley Foral 7/2011, y la disposición adicional única de la Ley Foral 7/2011, considera el Abogado del Estado que la extensión que hace el art. 114 de la regulación foral del régimen retributivo de sus funcionarios públicos al personal al servicio de la Administración de justicia que se integra en cuerpos de carácter nacional es inconstitucional por absolutamente incompatible con la homogénea normación que para dicho personal prescribe la LOPJ. La previsión foral impugnada desconoce el régimen retributivo homogéneo que, para el personal al servicio de la Administración de justicia, establece el legislador orgánico estatal, por lo que entiende que nos encontramos ante un supuesto tipo de colisión de normas incompatibles cuya vigencia afecta a la seguridad jurídica. Para justificar el mantenimiento de la suspensión de los señalados preceptos cita los AATC 381/1993, de 21 de diciembre, FJ 2; y 18/1999, de 26 de enero, FJ 3.</w:t>
      </w:r>
    </w:p>
    <w:p w:rsidR="00E3576C" w:rsidRDefault="00E3576C" w:rsidP="00E3576C">
      <w:pPr>
        <w:pStyle w:val="TextoNormal"/>
      </w:pPr>
    </w:p>
    <w:p w:rsidR="00E3576C" w:rsidRDefault="00E3576C" w:rsidP="00E3576C">
      <w:pPr>
        <w:pStyle w:val="TextoNormal"/>
      </w:pPr>
      <w:r>
        <w:t>En tercer lugar, respecto del art. 115 del texto refundido del estatuto del personal al servicio de las Administraciones públicas de Navarra, en la nueva redacción dada al mismo por la Ley Foral 7/2011, afirma que este precepto antepone la regulación foral en materia de función pública al régimen general y común para el personal al servicio de la Administración de justicia previsto con todo detalle en los arts. 500 y 501 LOPJ. Recuerda que la jornada de trabajo del personal al servicio de la Administración de justicia conecta directamente con el núcleo esencial de su estatuto, en cuanto su jornada laboral incide en el adecuado funcionamiento de la Administración de justicia y, por tanto, en el desenvolvimiento del núcleo duro de la competencia sobre administración de justicia. Para el Abogado del Estado el levantamiento de la suspensión del precepto autonómico habría de ocasionar graves perjuicios para el adecuado funcionamiento de Juzgados y Tribunales en ejercicio de su potestad jurisdiccional y para reforzar su postura cita los AATC 25/2000, de 18 de enero, FJ 4; y 173/1998, de 15 de julio, FJ único.</w:t>
      </w:r>
    </w:p>
    <w:p w:rsidR="00E3576C" w:rsidRDefault="00E3576C" w:rsidP="00E3576C">
      <w:pPr>
        <w:pStyle w:val="TextoNormal"/>
      </w:pPr>
    </w:p>
    <w:p w:rsidR="00E3576C" w:rsidRDefault="00E3576C" w:rsidP="00E3576C">
      <w:pPr>
        <w:pStyle w:val="TextoNormal"/>
      </w:pPr>
      <w:r>
        <w:t xml:space="preserve">En cuarto lugar, respecto del art. 116 del texto refundido del estatuto del personal al servicio de las Administraciones públicas de Navarra, en la nueva redacción dada al mismo por la Ley Foral 7/2011 y la disposición transitoria primera de la Ley Foral 7/2011, señala que vulneran lo dispuesto en el art. 517 LOPJ porque el legislador orgánico ha atribuido al Estado la fijación del complemento que el personal al servicio de la Administración de justicia ha de percibir por las guardias, imponiendo taxativamente que ese complemento sea igual en todo el territorio nacional. Para el Abogado del Estado, el levantamiento de la suspensión de este precepto produciría un grave bloqueo de la aplicación de una ley troncal en nuestro ordenamiento jurídico como es la LOPJ, permitiendo diferencias inadmisibles en la retribución del servicio de guardia. Además entiende que se producirían idénticos perjuicios a los señalados en relación con el art. 114 y que el precepto foral impugnado, aparte de infringir el principio de igualdad de este complemento en todo el territorio nacional, produciría la grave distorsión de que el personal al servicio de la Administración de justicia en </w:t>
      </w:r>
      <w:r>
        <w:lastRenderedPageBreak/>
        <w:t>Navarra percibiría retribuciones por guardia superiores a las de las carreras judicial y fiscal y Secretarios Judiciales.</w:t>
      </w:r>
    </w:p>
    <w:p w:rsidR="00E3576C" w:rsidRDefault="00E3576C" w:rsidP="00E3576C">
      <w:pPr>
        <w:pStyle w:val="TextoNormal"/>
      </w:pPr>
    </w:p>
    <w:p w:rsidR="00E3576C" w:rsidRDefault="00E3576C" w:rsidP="00E3576C">
      <w:pPr>
        <w:pStyle w:val="TextoNormal"/>
      </w:pPr>
      <w:r>
        <w:t>En quinto lugar, respecto del art. 117 del texto refundido del estatuto del personal al servicio de las Administraciones públicas de Navarra, en la nueva redacción dada al mismo por la Ley Foral 7/2011, señala que la determinación de los derechos de los funcionarios como el que recoge este artículo está reservado al legislador orgánico, careciendo la Comunidad Foral de competencia para regular sobre esta materia, aún para reproducir la norma estatal. Indica que aunque es cierto que el Tribunal Constitucional elude en el incidente de suspensión entrar en el fondo del asunto, sin embargo, en ocasiones ha admitido mirarlo aunque fuera “de soslayo” y cita como ejemplo los AATC 228/1992, de 21 de julio, y 243/1993, de 13 de julio.</w:t>
      </w:r>
    </w:p>
    <w:p w:rsidR="00E3576C" w:rsidRDefault="00E3576C" w:rsidP="00E3576C">
      <w:pPr>
        <w:pStyle w:val="TextoNormal"/>
      </w:pPr>
    </w:p>
    <w:p w:rsidR="00E3576C" w:rsidRDefault="00E3576C" w:rsidP="00E3576C">
      <w:pPr>
        <w:pStyle w:val="TextoNormal"/>
      </w:pPr>
      <w:r>
        <w:t>Por último, el Abogado del Estado alega la inexistencia de perjuicio alguno para los intereses públicos y privados derivado del mantenimiento de la suspensión de las normas impugnadas.</w:t>
      </w:r>
    </w:p>
    <w:p w:rsidR="00E3576C" w:rsidRDefault="00E3576C" w:rsidP="00E3576C">
      <w:pPr>
        <w:pStyle w:val="TextoNormal"/>
      </w:pPr>
    </w:p>
    <w:p w:rsidR="00E3576C" w:rsidRDefault="00E3576C" w:rsidP="00E3576C">
      <w:pPr>
        <w:pStyle w:val="TextoNormal"/>
      </w:pPr>
      <w:r w:rsidRPr="00E3576C">
        <w:rPr>
          <w:rStyle w:val="NumeroAFNegritaCaracter"/>
        </w:rPr>
        <w:t>9</w:t>
      </w:r>
      <w:r>
        <w:t>. El Asesor Jurídico-Letrado de la Comunidad Foral de Navarra presentó sus alegaciones el 8 de marzo de 2012 interesando el levantamiento de la suspensión que pesa sobre los preceptos impugnados por las razones que, resumidamente, se exponen a continuación.</w:t>
      </w:r>
    </w:p>
    <w:p w:rsidR="00E3576C" w:rsidRDefault="00E3576C" w:rsidP="00E3576C">
      <w:pPr>
        <w:pStyle w:val="TextoNormal"/>
      </w:pPr>
    </w:p>
    <w:p w:rsidR="00E3576C" w:rsidRDefault="00E3576C" w:rsidP="00E3576C">
      <w:pPr>
        <w:pStyle w:val="TextoNormal"/>
      </w:pPr>
      <w:r>
        <w:t>Tras hacer referencia a la doctrina constitucional aplicable en este tipo de incidentes, y exponer el sentido y alcance de los preceptos impugnados, considera que son claras, como ya adelantó en el otrosí de su escrito de alegaciones, las razones que conducen en este caso al levantamiento de la suspensión automática de la vigencia y aplicación de los preceptos recurridos, pues es la solución más acorde con el interés general, sin que su aplicación conlleve perjuicios de imposible o difícil reparación.</w:t>
      </w:r>
    </w:p>
    <w:p w:rsidR="00E3576C" w:rsidRDefault="00E3576C" w:rsidP="00E3576C">
      <w:pPr>
        <w:pStyle w:val="TextoNormal"/>
      </w:pPr>
    </w:p>
    <w:p w:rsidR="00E3576C" w:rsidRDefault="00E3576C" w:rsidP="00E3576C">
      <w:pPr>
        <w:pStyle w:val="TextoNormal"/>
      </w:pPr>
      <w:r>
        <w:t>Para el Letrado de la Comunidad Foral de Navarra, los preceptos impugnados gozan de la presunción de constitucionalidad y no invaden ni vulneran las competencias del Estado en cuanto al personal al servicio de la Administración de justicia de Navarra, ya que, con pleno respeto a la Administración de justicia en sentido estricto y a los aspectos esenciales del régimen de dicho personal, se limitan a aplicar a dicho personal el vigente régimen general del personal al servicio de las Administraciones públicas de Navarra, a la vista de que se trata de personal transferido y dependiente de la Administración de la Comunidad Foral de Navarra, de acuerdo con las previsiones específicas para Navarra derivadas de su régimen foral reconocido expresamente en este campo, tanto para este personal por la disposición adicional octava de la Ley Orgánica 19/2003, como con carácter general por la disposición adicional tercera, apartado 1, del estatuto básico del empleado público.</w:t>
      </w:r>
    </w:p>
    <w:p w:rsidR="00E3576C" w:rsidRDefault="00E3576C" w:rsidP="00E3576C">
      <w:pPr>
        <w:pStyle w:val="TextoNormal"/>
      </w:pPr>
    </w:p>
    <w:p w:rsidR="00E3576C" w:rsidRDefault="00E3576C" w:rsidP="00E3576C">
      <w:pPr>
        <w:pStyle w:val="TextoNormal"/>
      </w:pPr>
      <w:r>
        <w:t>Considera que el levantamiento de la suspensión no acarrea perjuicio alguno para el interés público ni para los intereses de terceros, porque los preceptos impugnados se ciñen a regular aspectos no nucleares del régimen jurídico del personal al servicio de la Administración de justicia en Navarra, sin afectar a su carácter de cuerpos nacionales y sin interferir o dificultar el buen funcionamiento del servicio público de la justicia, que queda en todo caso preservado, pues los preceptos recurridos no entran en los aspectos funcionales sino que se ciñen a la relación orgánica.</w:t>
      </w:r>
    </w:p>
    <w:p w:rsidR="00E3576C" w:rsidRDefault="00E3576C" w:rsidP="00E3576C">
      <w:pPr>
        <w:pStyle w:val="TextoNormal"/>
      </w:pPr>
    </w:p>
    <w:p w:rsidR="00E3576C" w:rsidRDefault="00E3576C" w:rsidP="00E3576C">
      <w:pPr>
        <w:pStyle w:val="TextoNormal"/>
      </w:pPr>
      <w:r>
        <w:lastRenderedPageBreak/>
        <w:t>Tampoco padecen a su entender los intereses de terceros. En nada se afecta negativamente a los ciudadanos que tienen asegurada la prestación homogénea del servicio de justicia, pues no se alteran sus relaciones con la justicia ni la prestación de dicho servicio. En cambio, considera que el mantenimiento de la suspensión de los preceptos impugnados acarrea graves perjuicios al interés público y a los intereses de terceros. Así, señala que la Comunidad Foral de Navarra ha llevado a cabo la plena aplicación de los preceptos impugnados con efectos de 5 de abril de 2011, de suerte que el personal al servicio de la Administración de justicia en Navarra ha quedado integrado y asimilado, con las necesarias modulaciones en razón de su carácter de cuerpo nacional y de la prestación del servicio público de justicia, al personal al servicio de la Administración de la Comunidad Foral de Navarra. De ahí que la suspensión genera graves disfunciones pues exige la paralización del sistema retributivo que ya se aplica a este personal, con los consiguientes costes económicos y administrativos. Y, sobre todo considera que la suspensión produce un claro perjuicio a los intereses del propio personal afectado, pues, una vez aplicado en lo términos señalados los preceptos impugnados, se impone —a consecuencia de la suspensión— una vuelta atrás provisional —en tanto se resuelve el recurso— al sistema anterior.</w:t>
      </w:r>
    </w:p>
    <w:p w:rsidR="00E3576C" w:rsidRDefault="00E3576C" w:rsidP="00E3576C">
      <w:pPr>
        <w:pStyle w:val="TextoNormal"/>
      </w:pPr>
    </w:p>
    <w:p w:rsidR="00E3576C" w:rsidRDefault="00E3576C" w:rsidP="00E3576C">
      <w:pPr>
        <w:pStyle w:val="TextoNormal"/>
      </w:pPr>
      <w:r>
        <w:t>Las anteriores razones conducentes con carácter general al levantamiento de la suspensión tratan de reforzarse por el Letrado de la Comunidad Foral de Navarra con una consideración individualizada de cada uno de los preceptos impugnados.</w:t>
      </w:r>
    </w:p>
    <w:p w:rsidR="00E3576C" w:rsidRDefault="00E3576C" w:rsidP="00E3576C">
      <w:pPr>
        <w:pStyle w:val="TextoNormal"/>
      </w:pPr>
    </w:p>
    <w:p w:rsidR="00E3576C" w:rsidRDefault="00E3576C" w:rsidP="00E3576C">
      <w:pPr>
        <w:pStyle w:val="TextoNormal"/>
      </w:pPr>
      <w:r>
        <w:t>En primer lugar, en relación con el art. 109 del texto refundido del estatuto del personal al servicio de las Administraciones públicas de Navarra, en la nueva redacción dada al mismo por la Ley Foral 7/2011, señala que el mantenimiento de la suspensión de este precepto carece de sentido en razón de su inutilidad e inefectividad, ya que al mismo tiempo permanecerá vigente otro precepto del mismo texto legal con idéntico contenido normativo, por no haber sido impugnado. Por ello, entiende que procede el levantamiento de la suspensión de este precepto, pues ello no acarrea padecimiento alguno para el interés general.</w:t>
      </w:r>
    </w:p>
    <w:p w:rsidR="00E3576C" w:rsidRDefault="00E3576C" w:rsidP="00E3576C">
      <w:pPr>
        <w:pStyle w:val="TextoNormal"/>
      </w:pPr>
    </w:p>
    <w:p w:rsidR="00E3576C" w:rsidRDefault="00E3576C" w:rsidP="00E3576C">
      <w:pPr>
        <w:pStyle w:val="TextoNormal"/>
      </w:pPr>
      <w:r>
        <w:t>En segundo lugar, en relación con el art. 114 del texto refundido del estatuto del personal al servicio de las Administraciones públicas de Navarra, en la nueva redacción dada al mismo por la Ley Foral 7/2011, y disposición adicional única de la Ley Foral 7/2011, afirma que la suspensión de tales preceptos ocasiona un bloqueo perturbador de las competencias de Navarra respecto de este personal e impide la aplicación al mismo, con base en el principio de igualdad, del mismo régimen de los funcionarios de la Administración de la Comunidad Foral de Navarra, de la que también el personal al servicio de la Administración de justicia depende y que es la que les retribuye. Por otra parte, el levantamiento de la suspensión no genera daño o perjuicio alguno al interés general, y menos aún de imposible o difícil reparación.</w:t>
      </w:r>
    </w:p>
    <w:p w:rsidR="00E3576C" w:rsidRDefault="00E3576C" w:rsidP="00E3576C">
      <w:pPr>
        <w:pStyle w:val="TextoNormal"/>
      </w:pPr>
    </w:p>
    <w:p w:rsidR="00E3576C" w:rsidRDefault="00E3576C" w:rsidP="00E3576C">
      <w:pPr>
        <w:pStyle w:val="TextoNormal"/>
      </w:pPr>
      <w:r>
        <w:t xml:space="preserve">En tercer lugar, por lo que se refiere al art. 115 del texto refundido del estatuto del personal al servicio de las Administraciones públicas de Navarra, en la nueva redacción dada al mismo por la Ley Foral 7/2011, estima que la aplicación de este precepto no genera ningún daño o perjuicio al interés general, ni provoca deterioro alguno en la prestación del servicio público de justicia. Al contrario, entiende que esta previsión es resultado del ejercicio de las competencias de Navarra y es beneficiosa para el interés general y para el particular de los funcionarios afectados, en cuanto que clarifica el régimen de su jornada y </w:t>
      </w:r>
      <w:r>
        <w:lastRenderedPageBreak/>
        <w:t>horarios, aportando, en suma, seguridad jurídica, sin detrimento de los aspectos funcionales del servicio.</w:t>
      </w:r>
    </w:p>
    <w:p w:rsidR="00E3576C" w:rsidRDefault="00E3576C" w:rsidP="00E3576C">
      <w:pPr>
        <w:pStyle w:val="TextoNormal"/>
      </w:pPr>
    </w:p>
    <w:p w:rsidR="00E3576C" w:rsidRDefault="00E3576C" w:rsidP="00E3576C">
      <w:pPr>
        <w:pStyle w:val="TextoNormal"/>
      </w:pPr>
      <w:r>
        <w:t>En cuarto lugar, respecto del art. 116 del texto refundido del estatuto del personal al servicio de las Administraciones públicas de Navarra, en la nueva redacción dada al mismo por la Ley Foral 7/2011, y disposición transitoria primera de la Ley Foral 7/2011, recoge las consideraciones realizadas en relación con el art. 114.</w:t>
      </w:r>
    </w:p>
    <w:p w:rsidR="00E3576C" w:rsidRDefault="00E3576C" w:rsidP="00E3576C">
      <w:pPr>
        <w:pStyle w:val="TextoNormal"/>
      </w:pPr>
    </w:p>
    <w:p w:rsidR="00E3576C" w:rsidRDefault="00E3576C" w:rsidP="00E3576C">
      <w:pPr>
        <w:pStyle w:val="TextoNormal"/>
      </w:pPr>
      <w:r>
        <w:t>En quinto y último lugar, respecto del art. 117 del texto refundido del estatuto del personal al servicio de las Administraciones públicas de Navarra, en la nueva redacción dada al mismo por la Ley Foral 7/2011, señala que no introduce novedad alguna, pues dispone la continuidad del régimen de previsión social constituido por la Mutualidad General Judicial, de ahí que la suspensión de este precepto carece, a su juicio, de cualquier virtualidad y efectividad.</w:t>
      </w:r>
    </w:p>
    <w:p w:rsidR="00E3576C" w:rsidRDefault="00E3576C" w:rsidP="00E3576C">
      <w:pPr>
        <w:pStyle w:val="TextoNormal"/>
      </w:pPr>
    </w:p>
    <w:p w:rsidR="00E3576C" w:rsidRDefault="00E3576C" w:rsidP="00E3576C">
      <w:pPr>
        <w:pStyle w:val="TextoNormal"/>
      </w:pPr>
      <w:r w:rsidRPr="00E3576C">
        <w:rPr>
          <w:rStyle w:val="NumeroAFNegritaCaracter"/>
        </w:rPr>
        <w:t>10</w:t>
      </w:r>
      <w:r>
        <w:t>. La Letrada del Parlamento de Navarra presentó sus alegaciones el 14 de marzo de 2012 interesando el levantamiento de la suspensión que pesa sobre los preceptos impugnados por las razones que, resumidamente, se exponen a continuación.</w:t>
      </w:r>
    </w:p>
    <w:p w:rsidR="00E3576C" w:rsidRDefault="00E3576C" w:rsidP="00E3576C">
      <w:pPr>
        <w:pStyle w:val="TextoNormal"/>
      </w:pPr>
    </w:p>
    <w:p w:rsidR="00E3576C" w:rsidRDefault="00E3576C" w:rsidP="00E3576C">
      <w:pPr>
        <w:pStyle w:val="TextoNormal"/>
      </w:pPr>
      <w:r>
        <w:t>Una vez analizada la doctrina constitucional sobre suspensión de la normativa autonómica, la Letrada del Parlamento de Navarra realiza una ponderación de las circunstancias del caso a la luz de dicha doctrina constitucional. A su entender, no se aprecia ningún perjuicio, irreparable, de imposible o difícil reparación, para que se pueda levantar la suspensión. Así, señala que el posible perjuicio que se causa al interés general no debe ser tan gravoso cuando la impugnación tiene por objeto sólo algunos y no todos los artículos de la Ley Foral 7/2011. Indica que las medidas que se adoptan en la Ley Foral impugnada respetan el régimen esencial homogéneo establecido en la LOPJ, lo que no implica una equiparación total sino simplemente un respeto a los elementos esenciales del régimen común establecido para estos cuerpos. En este sentido, recuerda el contenido de estas medidas.</w:t>
      </w:r>
    </w:p>
    <w:p w:rsidR="00E3576C" w:rsidRDefault="00E3576C" w:rsidP="00E3576C">
      <w:pPr>
        <w:pStyle w:val="TextoNormal"/>
      </w:pPr>
    </w:p>
    <w:p w:rsidR="00E3576C" w:rsidRDefault="00E3576C" w:rsidP="00E3576C">
      <w:pPr>
        <w:pStyle w:val="TextoNormal"/>
      </w:pPr>
      <w:r>
        <w:t>En primer lugar, señala que el art. 109 realiza una declaración de reconocimiento del ejercicio de las competencias legislativas de la Comunidad Foral en esta materia, pero que deberá hacerse desde el respeto al régimen común esencial establecido en la LOPJ, por lo que no entiende de qué modo esta declaración puede producir perjuicios irreparables al interés general. De igual modo se pronuncia en relación con el art. 114 y la disposición adicional única, cuya redacción, a su juicio, no perjudica al interés general y al contrario beneficia al interés particular de terceros, al suponerles un aumento retributivo que no afecta a sus aspectos esenciales. Por lo que se refiere al art. 115, señala que el calendario laboral y la jornada de trabajo que regula exigen una coordinación y cumplimiento con lo que resulte de los arts. 500 y 501 LOPJ, por lo que reitera nuevamente la ausencia de perjuicios irreparables al interés general. En relación con el art. 116, relativo a la prestación del servicio de guardia en las oficinas y servicios judiciales radicados en Navarra, entiende que debe realizarse en las condiciones que se determinen en la normativa específica, que es la dispuesta por el Consejo General del Poder Judicial, por lo que considera que no puede producir perjuicios irreparables al interés general. Y, por lo que se refiere al art. 117, que establece la continuidad de los funcionarios al servicio de la Administración de justicia de Navarra en el régimen de previsión social constituido por la Mutualidad General Judicial, señala que difícilmente perjudicará este precepto al interés general.</w:t>
      </w:r>
    </w:p>
    <w:p w:rsidR="00E3576C" w:rsidRDefault="00E3576C" w:rsidP="00E3576C">
      <w:pPr>
        <w:pStyle w:val="TextoNormal"/>
      </w:pPr>
    </w:p>
    <w:p w:rsidR="00E3576C" w:rsidRDefault="00E3576C" w:rsidP="00E3576C">
      <w:pPr>
        <w:pStyle w:val="TextoNormal"/>
      </w:pPr>
      <w:r>
        <w:t>Por último, considera que desde la perspectiva de la ponderación de los distintos intereses en presencia, es incuestionable que los posibles perjuicios a los intereses generales tendrá carácter preventivo ante la falta de concreción y aportación de dato o documentación alguna que permita vislumbrar sus perjuicios de imposible y difícil reparación y por tanto no debieran de prevalecer sobre los concretos intereses generales y particulares en juego, puesto que en todo caso las medidas impugnadas serían fácilmente reversibles, en el supuesto de estimarse el recurso de inconstitucionalidad, ya que ni suponen reclutamiento de nuevos efectivos, ni desplazamiento de personal.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objeto de la presente resolución consiste en determinar si, de acuerdo con el art. 161.2 CE, procede levantar o mantener la suspensión de la vigencia que afecta al artículo único, apartado cuatro, en la nueva redacción que da a los arts. 109, 114, 115, 116 y 117, y las disposiciones adicional única y transitoria primera de la Ley Foral 7/2011, de 24 de marzo, por la que se modifica el texto refundido del estatuto del personal al servicio de las Administraciones públicas de Navarra, preceptos que se encuentran suspendidos en su aplicación, como consecuencia de la invocación del art. 161.2 CE, al promoverse el recurso de inconstitucionalidad contra los mismos por el Presidente del Gobierno.</w:t>
      </w:r>
    </w:p>
    <w:p w:rsidR="00E3576C" w:rsidRDefault="00E3576C" w:rsidP="00E3576C">
      <w:pPr>
        <w:pStyle w:val="TextoNormal"/>
      </w:pPr>
    </w:p>
    <w:p w:rsidR="00E3576C" w:rsidRDefault="00E3576C" w:rsidP="00E3576C">
      <w:pPr>
        <w:pStyle w:val="TextoNormal"/>
      </w:pPr>
      <w:r>
        <w:t>El reproche de inconstitucionalidad que se atribuye a los preceptos recurridos se funda, por un lado, en el indebido dictado por la Comunidad Autónoma de una ley formal, cuando sólo le corresponde una competencia aplicativa y reglamentaria y, por otro, en su contradicción con la Ley Orgánica del Poder Judicial (LOPJ).</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 Así pues, de lo que en este incidente se trata es de dilucidar si los perjuicios que han sido alegados por el Abogado del Estado tienen la gravedad y consistencia necesarias como para prevalecer sobre la presunción de legitimidad de la ley foral navarra y los intereses que se vinculan a su aplicación efectiva. A tal fin examinaremos la petición de mantenimiento de la suspensión de cada uno de ellos, siguiendo, a efectos expositivos, el orden empleado por el Abogado del Estado en su escrito de alegaciones.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w:t>
      </w:r>
      <w:r>
        <w:lastRenderedPageBreak/>
        <w:t>perjuicios irreparables o de difícil reparación que se producirían, en concreto, por la vigencia de los preceptos impugnados durante el tiempo que dure el proceso constitucional” (ATC 18/2007, de 18 de enero, FJ 5).</w:t>
      </w:r>
    </w:p>
    <w:p w:rsidR="00E3576C" w:rsidRDefault="00E3576C" w:rsidP="00E3576C">
      <w:pPr>
        <w:pStyle w:val="TextoNormal"/>
      </w:pPr>
    </w:p>
    <w:p w:rsidR="00E3576C" w:rsidRDefault="00E3576C" w:rsidP="00E3576C">
      <w:pPr>
        <w:pStyle w:val="TextoNormal"/>
      </w:pPr>
      <w:r w:rsidRPr="00E3576C">
        <w:rPr>
          <w:rStyle w:val="NumeroAFNegritaCaracter"/>
        </w:rPr>
        <w:t>3</w:t>
      </w:r>
      <w:r>
        <w:t>. Sentado lo anterior, debemos examinar en primer lugar el art. 109. Este precepto dispone que: “Al personal del Cuerpo de Médicos Forenses y de los Cuerpos y Escalas de Gestión Procesal y Administrativa, de Tramitación Procesal y Administrativa y de Auxilio Judicial al servicio de la Administración de Justicia de Navarra le será de aplicación la Ley Orgánica 6/1985, de 1 de julio, del Poder Judicial y las disposiciones de la presente Ley Foral”. En cuanto a los concretos perjuicios que se alegan, el Abogado del Estado indica que el precepto invierte la regla de supletoriedad prevista expresamente en el art. 474.1 LOPJ, según la cual, el personal funcionario de carrera de los cuerpos al servicio de la Administración de justicia, se regirá, con carácter supletorio, en lo no regulado expresamente en la Ley Orgánica del Poder Judicial y en las disposiciones que se dicten en su desarrollo, por la normativa del Estado sobre función pública. Para el Abogado del Estado de levantarse la suspensión se vulneraría el derecho fundamental al acceso en condiciones de igualdad a las funciones públicas al impedir la aplicación al personal al servicio de la Administración de justicia en Navarra de los diferentes reglamentos de ingreso, provisión de puestos de trabajo, promoción profesional y régimen disciplinario, en tanto desarrollan la Ley Orgánica del Poder Judicial, lo que produciría una grave confusión e inseguridad jurídica. Por su parte, el Letrado de la Comunidad Foral de Navarra y la Letrada del Parlamento de Navarra no encuentran ninguna razón para considerar que este precepto pueda producir perjuicios irreparables al interés general y añaden que su contenido es similar al artículo único, apartado uno, de la Ley Foral 7/2011, que sin embargo no ha sido recurrido. En concreto, para la Letrada del Parlamento de Navarra, el art. 109 realiza una declaración de respeto a la Ley Orgánica del Poder Judicial y de reconocimiento del ejercicio de las competencias legislativas de la Comunidad Foral en esta materia, pero que deberá hacerse desde ese respeto al régimen común esencial establecido en la Ley Orgánica del Poder Judicial.</w:t>
      </w:r>
    </w:p>
    <w:p w:rsidR="00E3576C" w:rsidRDefault="00E3576C" w:rsidP="00E3576C">
      <w:pPr>
        <w:pStyle w:val="TextoNormal"/>
      </w:pPr>
    </w:p>
    <w:p w:rsidR="00E3576C" w:rsidRDefault="00E3576C" w:rsidP="00E3576C">
      <w:pPr>
        <w:pStyle w:val="TextoNormal"/>
      </w:pPr>
      <w:r>
        <w:t xml:space="preserve">En síntesis, podemos afirmar que los perjuicios que se producirían en caso de que la suspensión del art. 109 fuese levantada se refieren por el Abogado del Estado a la situación de inseguridad jurídica que provoca la vigencia del precepto. El Abogado del Estado reconoce expresamente que en la doctrina de este Tribunal en incidentes de levantamiento o mantenimiento de la suspensión de preceptos recurridos por motivos exclusivamente competenciales, como es el caso que ahora nos ocupa, tiene un limitado alcance, a efectos de mantener la suspensión de los preceptos impugnados, la valoración de los perjuicios que se apoya en la quiebra de la seguridad jurídica que se produciría en el caso de que las actuaciones de la Administración de la Comunidad Autónoma quedaran en entredicho si la resolución de fondo fuera favorable al Estado. Como recuerda el ATC 105/2010, de 29 de julio, FJ 4, “este Tribunal, efectivamente, ha señalado que en las controversias de orden competencial puede producirse una quiebra de la seguridad jurídica desde el momento del planteamiento de la discrepancia ante este Tribunal hasta su resolución, toda vez que las dos Administraciones litigantes reclaman para sí el ejercicio de la competencia, derivándose de ello que las actuaciones realizadas hasta ese momento por la Administración que resulte incompetente pueden haber afectado a la seguridad jurídica. Pese a este riesgo, nuestra doctrina ha puesto de relieve que en los incidentes de mantenimiento o alzamiento de la suspensión correspondientes a estos litigios competenciales si el argumento de los perjuicios ligados a la quiebra de la seguridad jurídica prevaleciera en su sola consideración, siempre </w:t>
      </w:r>
      <w:r>
        <w:lastRenderedPageBreak/>
        <w:t>habría de mantenerse la suspensión de las normas autonómicas, con la consiguiente afectación a la presunción de legitimidad de aquellas (ATC 156/2008, de 12 de junio, FJ 6, entre otros muchos). Pero conviene asimismo recordar que no es menos cierto que, en determinados supuestos, este Tribunal ha afirmado que el principio de seguridad jurídica ha de tenerse en cuenta al decidir acerca de la suspensión de las Leyes autonómicas (por todos, AATC 5/2003, de 14 de enero; 428/2003 de 18 de diciembre; y 336/2005, de 15 de septiembre)”.</w:t>
      </w:r>
    </w:p>
    <w:p w:rsidR="00E3576C" w:rsidRDefault="00E3576C" w:rsidP="00E3576C">
      <w:pPr>
        <w:pStyle w:val="TextoNormal"/>
      </w:pPr>
    </w:p>
    <w:p w:rsidR="00E3576C" w:rsidRDefault="00E3576C" w:rsidP="00E3576C">
      <w:pPr>
        <w:pStyle w:val="TextoNormal"/>
      </w:pPr>
      <w:r>
        <w:t>Pues bien, aunque no puede olvidarse que el principio de seguridad jurídica “no ampara la necesidad de preservar indefinidamente el régimen jurídico que se establece en un momento histórico dado en relación con derechos o situaciones determinadas” (STC 227/1988, de 29 de noviembre, FJ 10), hay que considerar que dicho principio también implica que no se generen dudas sobre las consecuencias derivadas de las normas vigentes (STC 46/1990, de 15 de marzo, FJ 4). Como hemos señalado, el art. 109 omite la remisión que la Ley Orgánica del Poder Judicial hace, con carácter supletorio, a la normativa del Estado sobre función pública. Dado que lo que aquí está en juego es la aplicación supletoria de la normativa sobre función pública y podría ser cuestionado, en el supuesto de declaración de inconstitucionalidad del precepto, el ingreso, la provisión de puestos de trabajo, la promoción del personal, las situaciones administrativas, los derechos y deberes, el régimen disciplinario, entre otras cuestiones, la dificultad de deshacer las situaciones creadas y los perjuicios que todo ello puede generar aconsejan el mantenimiento de la suspensión. En efecto, la no aplicación supletoria de la normativa estatal sobre función pública podría dar lugar a la consolidación de situaciones jurídicas difíciles de reparar si la norma no se declara conforme a la Constitución. El estatuto del personal al servicio de las Administraciones públicas de la Comunidad Foral de Navarra, que sería la norma supletoria aplicable, establece el régimen jurídico de aplicación al conjunto de las relaciones de empleo público de la Comunidad Foral de Navarra y regula tanto el ingreso como los distintos aspectos y vicisitudes de la relación o vínculo jurídico que une al personal con la Administración públicas de Navarra. En consecuencia, son tan variadas las situaciones y los efectos que podrían derivarse de la declaración de inconstitucionalidad del art. 109, que debe mantenerse su suspensión.</w:t>
      </w:r>
    </w:p>
    <w:p w:rsidR="00E3576C" w:rsidRDefault="00E3576C" w:rsidP="00E3576C">
      <w:pPr>
        <w:pStyle w:val="TextoNormal"/>
      </w:pPr>
    </w:p>
    <w:p w:rsidR="00E3576C" w:rsidRDefault="00E3576C" w:rsidP="00E3576C">
      <w:pPr>
        <w:pStyle w:val="TextoNormal"/>
      </w:pPr>
      <w:r w:rsidRPr="00E3576C">
        <w:rPr>
          <w:rStyle w:val="NumeroAFNegritaCaracter"/>
        </w:rPr>
        <w:t>4</w:t>
      </w:r>
      <w:r>
        <w:t>. En segundo lugar, vamos a examinar conjuntamente el art. 114, en relación con la disposición adicional única de la Ley Foral 7/2011 y el art. 116, en relación con la disposición transitoria primera de la Ley 7/2011, dado que los argumentos planteados por las distintas partes procesales en relación con estos preceptos son los mismos.</w:t>
      </w:r>
    </w:p>
    <w:p w:rsidR="00E3576C" w:rsidRDefault="00E3576C" w:rsidP="00E3576C">
      <w:pPr>
        <w:pStyle w:val="TextoNormal"/>
      </w:pPr>
    </w:p>
    <w:p w:rsidR="00E3576C" w:rsidRDefault="00E3576C" w:rsidP="00E3576C">
      <w:pPr>
        <w:pStyle w:val="TextoNormal"/>
      </w:pPr>
      <w:r>
        <w:t xml:space="preserve">El art. 114 dispone: “1. Además de las retribuciones complementarias establecidas en el presente Estatuto, el personal al servicio de la Administración de Justicia en Navarra podrá percibir un complemento que retribuirá la especial dedicación y el extraordinario rendimiento en el desempeño de su función, así como el apoyo al trabajo de otros órganos judiciales, todo ello vinculado al cumplimiento de los objetivos que se establezcan por el Consejero titular del Departamento competente en la materia. 2. La cuantía de este complemento no podrá exceder del 20 por ciento del sueldo inicial del correspondiente nivel. 3. La asignación de este complemento será temporal, en función de la planificación y de los objetivos que se establezcan previamente en cada caso. Por ello, las cantidades que se perciban por este concepto durante un período de tiempo no generarán derechos adquiridos ni surtirán efectos respecto a la situación de períodos sucesivos.” La disposición adicional única de la Ley Foral 7/2011 establece: “1. El Gobierno de Navarra, mediante el oportuno Decreto Foral, asignará a este personal las retribuciones complementarias que corresponda, con efectos </w:t>
      </w:r>
      <w:r>
        <w:lastRenderedPageBreak/>
        <w:t>desde la entrada en vigor de esta Ley Foral. 2. El personal al servicio de la Administración de Justicia en Navarra que, con arreglo al régimen anterior, percibiese en cómputo global anual unas retribuciones superiores a las que le correspondan por aplicación de la presente Ley Foral, percibirá una compensación personal y transitoria igual a la diferencia existente. Esta compensación será absorbida con cualquier incremento que se produzca en sus retribuciones, incluyéndose expresamente entre ellos tanto los referidos a sus retribuciones personales como las actualizaciones retributivas que se aprueben con carácter general.” El art. 116 dispone: “1. La prestación del servicio de guardia en las oficinas y servicios judiciales radicados en Navarra se realizará en las condiciones que se determinen en la normativa específica. 2. La retribución correspondiente a la prestación de servicio de guardia se fijará por los órganos competentes de la Administración de la Comunidad Foral de Navarra.” Por su parte, la disposición transitoria primera establece que, “en tanto no se regule la retribución del servicio de guardia en los términos del artículo 116, se regirá por la normativa estatal”.</w:t>
      </w:r>
    </w:p>
    <w:p w:rsidR="00E3576C" w:rsidRDefault="00E3576C" w:rsidP="00E3576C">
      <w:pPr>
        <w:pStyle w:val="TextoNormal"/>
      </w:pPr>
    </w:p>
    <w:p w:rsidR="00E3576C" w:rsidRDefault="00E3576C" w:rsidP="00E3576C">
      <w:pPr>
        <w:pStyle w:val="TextoNormal"/>
      </w:pPr>
      <w:r>
        <w:t>Para el Abogado del Estado los preceptos impugnados desconocen el régimen retributivo homogéneo que, para el personal al servicio de la Administración de justicia establece el legislador orgánico estatal, por lo que nos encontramos ante un supuesto tipo de colisión de normas de aplicación incompatible cuya vigencia simultánea afecta a la seguridad jurídica. Además, considera que la alteración que introduce el art. 114 en el régimen retributivo de los cuerpos de funcionarios al servicio de la Administración de justicia, no sólo es diferente para los funcionarios al servicio de la Administración de justicia en Navarra sino que también les es más favorable que el régimen vigente a nivel nacional al contemplar un complemento de especial dedicación no recogido en la legislación estatal. Asimismo, respecto del art. 116 señala que el levantamiento de la suspensión, aparte de infringir el principio de igualdad de este complemento en todo el territorio nacional, produciría la grave distorsión de que el personal al servicio de la Administración de justicia de Navarra percibiría retribuciones por guardia superiores a las de las carreras judicial y fiscal y Secretarios Judiciales. Para el Letrado de la Comunidad Foral de Navarra la suspensión de los preceptos señalados ocasiona un bloqueo perturbador de las competencias de Navarra respecto del personal al servicio de la Administración de justicia de Navarra e impide la aplicación al mismo, con base en el principio de igualdad, del mismo régimen de los funcionarios de la Administración de la Comunidad Foral de Navarra, sin que el levantamiento de la suspensión genere daño o perjuicio alguno al interés general. Por su parte, para la Letrada del Parlamento de Navarra, los preceptos impugnados difícilmente pueden perjudicar al interés general y en todo caso su regulación da continuidad a una situación consolidada desde abril del año pasado y que, en todo caso, en el supuesto de estimarse el recurso de inconstitucionalidad, es fácilmente reversible.</w:t>
      </w:r>
    </w:p>
    <w:p w:rsidR="00E3576C" w:rsidRDefault="00E3576C" w:rsidP="00E3576C">
      <w:pPr>
        <w:pStyle w:val="TextoNormal"/>
      </w:pPr>
    </w:p>
    <w:p w:rsidR="00E3576C" w:rsidRDefault="00E3576C" w:rsidP="00E3576C">
      <w:pPr>
        <w:pStyle w:val="TextoNormal"/>
      </w:pPr>
      <w:r>
        <w:t>La aplicación de la doctrina elaborada por este Tribunal para situaciones similares a la que es objeto del presente incidente de suspensión conduce al mantenimiento de la suspensión inicialmente acordada. En efecto, como afirmamos en el ATC 381/1993, de 21 de diciembre, FJ 2, “el levantamiento de la suspensión podría originar un grave quebranto para el personal perceptor de las retribuciones cuestionadas si la Sentencia que se dicte declarara la inconstitucionalidad y nulidad de las normas impugnadas y el correspondiente deber de restituir lo percibido en exceso, dando lugar, mientras tanto, a una situación de incertidumbre que debe evitarse. Por el contrario, los efectos del mantenimiento de la suspensión, aun</w:t>
      </w:r>
      <w:r>
        <w:lastRenderedPageBreak/>
        <w:t>que posteriormente se declarara la constitucionalidad de la norma impugnada, serían de menor entidad y más fácilmente reparables; en tal hipótesis, el personal a que se refieren los preceptos impugnados percibiría hasta la publicación de la Sentencia el incremento retributivo establecido con carácter general para el resto del personal al servicio del sector público; el eventual perjuicio podría repararse, en tal caso, mediante el abono de las cantidades que resultaran de la aplicación de las normas impugnadas”. En este sentido, debemos tener en cuenta que, como pusimos de manifiesto en el ATC 18/1999, de 26 de enero, FJ 3, en relación con el anexo IV del capítulo XIII del acuerdo con las organizaciones sindicales sobre modernización en la prestación del servicio público de justicia y su repercusión en las condiciones de trabajo del personal al servicio de la Administración de justicia, aprobado por el Decreto del Gobierno vasco 63/1998, de 31 de marzo, que regulaba un plus retributivo de cuantía variable no previsto en la normativa del Estado, “sin perjuicio de que sea más o menos gravoso para los funcionarios afectados la percepción del citado plus y su devolución posterior o viceversa, lo cierto es que el levantamiento de la suspensión, …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(ATC 897/1988)”. En el mismo sentido, se han pronunciado los AATC 885/1988, de 5 de julio; 1083/1988, de 27 de septiembre; 1269/1988, de 22 de noviembre; 379/1996, de 17 de diciembre; y 271/1997, de 15 de julio. Por ello, ponderados todos los intereses en presencia, procede mantener la suspensión de los arts. 114 y 116 y de la disposición adicional única de la Ley Foral 7/2011.</w:t>
      </w:r>
    </w:p>
    <w:p w:rsidR="00E3576C" w:rsidRDefault="00E3576C" w:rsidP="00E3576C">
      <w:pPr>
        <w:pStyle w:val="TextoNormal"/>
      </w:pPr>
    </w:p>
    <w:p w:rsidR="00E3576C" w:rsidRDefault="00E3576C" w:rsidP="00E3576C">
      <w:pPr>
        <w:pStyle w:val="TextoNormal"/>
      </w:pPr>
      <w:r>
        <w:t>Por lo que se refiere a la disposición transitoria primera de la Ley Foral 7/2011, no hay motivo que justifique el mantenimiento de su suspensión. Este precepto únicamente establece que la retribución del servicio de guardia se regirá por la normativa estatal en tanto no se regule el art. 116. Con independencia del juicio de fondo que merezca este precepto, el Abogado del Estado no concreta los perjuicios derivados de su efectiva aplicación y mucho menos acredita la gravedad e irreversibilidad de los mismos, por lo que no resulta suficiente su invocación para aconsejar el mantenimiento de la suspensión hasta que nos pronunciemos sobre el fondo de la controversia de la vigencia de una norma dotada, como producto de una Cámara legislativa, de la presunción de constitucionalidad de la que goza la ley autonómica.</w:t>
      </w:r>
    </w:p>
    <w:p w:rsidR="00E3576C" w:rsidRDefault="00E3576C" w:rsidP="00E3576C">
      <w:pPr>
        <w:pStyle w:val="TextoNormal"/>
      </w:pPr>
    </w:p>
    <w:p w:rsidR="00E3576C" w:rsidRDefault="00E3576C" w:rsidP="00E3576C">
      <w:pPr>
        <w:pStyle w:val="TextoNormal"/>
      </w:pPr>
      <w:r w:rsidRPr="00E3576C">
        <w:rPr>
          <w:rStyle w:val="NumeroAFNegritaCaracter"/>
        </w:rPr>
        <w:t>5</w:t>
      </w:r>
      <w:r>
        <w:t>. En tercer lugar, debemos valorar el mantenimiento o no de la suspensión del art. 115. Este precepto dispone: “El calendario laboral y la jornada de trabajo del personal al servicio de la Administración de Justicia en Navarra se ajustarán al general del personal al servicio de la Administración de la Comunidad Foral de Navarra, con las modificaciones indispensables que requiera la prestación del servicio público de la Justicia”.</w:t>
      </w:r>
    </w:p>
    <w:p w:rsidR="00E3576C" w:rsidRDefault="00E3576C" w:rsidP="00E3576C">
      <w:pPr>
        <w:pStyle w:val="TextoNormal"/>
      </w:pPr>
    </w:p>
    <w:p w:rsidR="00E3576C" w:rsidRDefault="00E3576C" w:rsidP="00E3576C">
      <w:pPr>
        <w:pStyle w:val="TextoNormal"/>
      </w:pPr>
      <w:r>
        <w:t xml:space="preserve">Para el Abogado del Estado el levantamiento de la suspensión del precepto autonómico ocasionaría perjuicios graves para el adecuado funcionamiento de Juzgados y Tribunales en ejercicio de su potestad jurisdiccional, pues en Navarra la entera determinación de la jornada de trabajo y del horario del personal al servicio de la Administración de justicia queda a la plena disposición de la Comunidad Foral y además sin sujetarse a los límites fijados en la Ley Orgánica del Poder Judicial. Para el Letrado de la Comunidad Foral de Navarra, este precepto se limita a aplicar la previsión del art. 500.4 LOPJ, y lo hace acogiendo de forma clara y coherente los parámetros fijados en dicho precepto, de acuerdo con el criterio general fijado en el art. 47 del estatuto básico del empleado público. Por tanto, considera que la </w:t>
      </w:r>
      <w:r>
        <w:lastRenderedPageBreak/>
        <w:t>aplicación de este precepto no genera ningún daño o perjuicio al interés general, ni provoca deterioro alguno en la prestación del servicio público de justicia. En el mismo sentido, la Letrada del Parlamento de Navarra señala que el precepto no contradice lo establecido en los arts. 500 y 501 LOPJ, sino que deberá complementarse con ellos para garantizar el ejercicio de las actividades jurisdiccionales y, por ello, reitera la ausencia de perjuicios irreparables al interés general.</w:t>
      </w:r>
    </w:p>
    <w:p w:rsidR="00E3576C" w:rsidRDefault="00E3576C" w:rsidP="00E3576C">
      <w:pPr>
        <w:pStyle w:val="TextoNormal"/>
      </w:pPr>
    </w:p>
    <w:p w:rsidR="00E3576C" w:rsidRDefault="00E3576C" w:rsidP="00E3576C">
      <w:pPr>
        <w:pStyle w:val="TextoNormal"/>
      </w:pPr>
      <w:r>
        <w:t>Con independencia de si el art. 115 vulnera o no lo previsto en los arts. 500 y 501 LOPJ, cuestión sobre la que nos pronunciaremos en la Sentencia que resuelva el recurso de inconstitucionalidad, procede a continuación que analicemos si el levantamiento de la suspensión del precepto autonómico ocasionaría graves perjuicios en el funcionamiento de los Juzgados y Tribunales en el ejercicio de su potestad jurisdiccional. Los perjuicios que el Abogado del Estado conecta al levantamiento de la suspensión del art. 115 derivan de la interpretación que realiza de dicho precepto, al entender que en Navarra la determinación de la jornada de trabajo y del horario del personal al servicio de la Administración de justicia queda a la plena disposición de la Comunidad Foral sin sujetarse a los límites fijados en la Ley Orgánica del Poder Judicial. Como hemos señalado, el art. 115 dispone que el calendario laboral y la jornada de trabajo se ajustará al general del personal al servicio de la Administración de la Comunidad Foral de Navarra “con las modificaciones indispensables que requiera la prestación del servicio público de la Justicia”. Para el Abogado del Estado este último inciso del art. 115 implica que las modificaciones en la jornada y horario que deban realizarse serán las que la propia Comunidad Foral considere indispensables para la prestación del servicio público de justicia independientemente de lo dispuesto en la Ley Orgánica del Poder Judicial, con el consiguiente perjuicio que ello conlleva en el adecuado funcionamiento del núcleo duro de la potestad jurisdiccional.</w:t>
      </w:r>
    </w:p>
    <w:p w:rsidR="00E3576C" w:rsidRDefault="00E3576C" w:rsidP="00E3576C">
      <w:pPr>
        <w:pStyle w:val="TextoNormal"/>
      </w:pPr>
    </w:p>
    <w:p w:rsidR="00E3576C" w:rsidRDefault="00E3576C" w:rsidP="00E3576C">
      <w:pPr>
        <w:pStyle w:val="TextoNormal"/>
      </w:pPr>
      <w:r>
        <w:t>No cabe prejuzgar en este momento procesal la viabilidad o no de una posible interpretación del precepto legal impugnado como la postulada por el Abogado del Estado. De lo que en este incidente se trata, como reiteradamente tiene declarado este Tribunal Constitucional, es de decidir el levantamiento o mantenimiento de la suspensión inicialmente acordada, ponderando, a la vista del propio contenido de las normas legales recurridas y de las alegaciones de las partes, los intereses en presencia y los perjuicios de imposible o difícil reparación que se pudieran seguir de una u otra decisión. En la ponderación de los intereses en juego no puede desconocerse que la interpretación que hace el Abogado del Estado no se deduce de manera clara e indubitada del precepto cuestionado porque el inciso final del art. 115 contiene precisamente una salvaguarda de aquello que la Ley Orgánica del Poder Judicial trata de proteger, a saber, el servicio público de justicia. En todo caso, el Abogado del Estado, sobre quien recae la carga de razonar con detalle los argumentos que justifiquen el mantenimiento de la suspensión inicialmente acordada ex art. 161.2 CE, se limita en este supuesto a enunciar un hipotético perjuicio —en concreto, considera que las modificaciones en la jornada y horario que lleve a cabo la Comunidad Foral de Navarra implican un perjuicio para el funcionamiento de los Juzgados y Tribunales—, que en ningún momento concreta ni justifica, de modo que no es posible considerar que su aplicación genere per se perjuicios ciertos y efectivos de los que derivar el mantenimiento de su suspensión. Procede, por tanto, en respeto a la presunción de legitimidad constitucional que ha de predicarse de toda norma revestida de fuerza de ley, levantar la suspensión acordada en el momento de la admisión a trámite del recurso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6</w:t>
      </w:r>
      <w:r>
        <w:t>. En cuarto, y último lugar, debemos pronunciarnos sobre el mantenimiento de la suspensión del art. 117. Este artículo establece que, “los funcionarios al servicio de la Administración de Justicia en Navarra continuarán en el régimen de previsión social constituido por la Mutualidad General Judicial”.</w:t>
      </w:r>
    </w:p>
    <w:p w:rsidR="00E3576C" w:rsidRDefault="00E3576C" w:rsidP="00E3576C">
      <w:pPr>
        <w:pStyle w:val="TextoNormal"/>
      </w:pPr>
    </w:p>
    <w:p w:rsidR="00E3576C" w:rsidRDefault="00E3576C" w:rsidP="00E3576C">
      <w:pPr>
        <w:pStyle w:val="TextoNormal"/>
      </w:pPr>
      <w:r>
        <w:t>Para el Abogado del Estado la determinación de los derechos de los funcionarios como el que recoge este artículo está reservado al legislador orgánico, careciendo la Comunidad Foral de competencia para regular esta materia, aún para reproducir la norma estatal. Señala que aunque es cierto que el Tribunal Constitucional elude en el incidente de suspensión entrar en el fondo del asunto, sin embargo en ocasiones ha admitido mirarlos aunque fuera “de soslayo”, como es el caso de normas autonómicas que se han dictado con manifiesta ausencia de cobertura competencial. Para el Letrado de la Comunidad Foral de Navarra el art. 117 no introduce novedad alguna, de ahí que la suspensión de este precepto carezca, a su juicio, de cualquier virtualidad y efectividad, y, en el mismo sentido se pronuncia la Letrada del Parlamento de Navarra, pues entiende que difícilmente perjudicará este precepto al interés general.</w:t>
      </w:r>
    </w:p>
    <w:p w:rsidR="00E3576C" w:rsidRDefault="00E3576C" w:rsidP="00E3576C">
      <w:pPr>
        <w:pStyle w:val="TextoNormal"/>
      </w:pPr>
    </w:p>
    <w:p w:rsidR="00E3576C" w:rsidRDefault="00E3576C" w:rsidP="00E3576C">
      <w:pPr>
        <w:pStyle w:val="TextoNormal"/>
      </w:pPr>
      <w:r>
        <w:t>Expuestos los argumentos relativos a los perjuicios a los intereses particulares y generales que cada una de las partes plantea que han de producirse si se mantiene o se alza la suspensión previamente acordada por este Tribunal Constitucional, procede que realicemos la ponderación que es propia de este incidente cautelar. Para ello deberemos tener en todo momento presente que,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 bien del mantenimiento o del levantamiento de la suspensión de la vigencia y aplicación de la Ley; una ponderación que, además, debe normalmente efectuarse, salvo supuestos de manifiesta ausencia de cobertura competencial, mediante el estricto examen de las situaciones de hecho creadas por las normas discutidas y al margen de la viabilidad de las pretensiones que en la demanda se formulan, pues la interpretación de las reglas de deslinde competencial que al caso hagan debe, obviamente, quedar procesalmente diferida a la Sentencia que resuelva la controversia competencial” (ATC 243/1993, de 13 de julio, FJ 1).</w:t>
      </w:r>
    </w:p>
    <w:p w:rsidR="00E3576C" w:rsidRDefault="00E3576C" w:rsidP="00E3576C">
      <w:pPr>
        <w:pStyle w:val="TextoNormal"/>
      </w:pPr>
    </w:p>
    <w:p w:rsidR="00E3576C" w:rsidRDefault="00E3576C" w:rsidP="00E3576C">
      <w:pPr>
        <w:pStyle w:val="TextoNormal"/>
      </w:pPr>
      <w:r>
        <w:t xml:space="preserve">Así pues, según la reiterada doctrina constitucional expuesta, incumbe al Abogado del Estado justificar que el levantamiento de la suspensión del precepto recurrido lesionaría los intereses generales o de terceros, produciendo con ello perjuicios irreparables o de difícil reparación. De acuerdo con ello, podemos ya descartar el alegato relativo a la manifiesta falta de cobertura competencial de la norma cuestionada pues se trata de una cuestión vinculada a la pretensión de fondo de este proceso constitucional, que no es otra que la de determinar si el legislador autonómico ha entrado en una materia que es de competencia estatal. En efecto, lo jurídicamente relevante en este momento procesal es la determinación de las consecuencias que podrían derivarse del alzamiento o mantenimiento de la suspensión. Sobre esta base es de señalar que, en el caso que ahora se examina no se aprecian los indicados perjuicios para la parte recurrente ni para terceros por el alzamiento de la suspensión del precepto de la Ley Foral relativo al régimen de previsión social de los funcionarios al servicio de la Administración de justicia de Navarra. La previsión de la Ley Foral no resulta en sí misma contradictoria con la de la Ley Orgánica del Poder Judicial, por lo tanto, </w:t>
      </w:r>
      <w:r>
        <w:lastRenderedPageBreak/>
        <w:t>y al margen de si el legislador autonómico ha entrado o no en una materia que es competencia del legislador orgánico, cuestión diferida a la Sentencia que resuelva la controversia competencial, no hay razones que justifiquen el mantenimiento de la suspensión de este precepto al no derivarse ningún perjuicio de su aplicación.</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Mantener la suspensión de los arts. 109, 114 y 116 del texto refundido del estatuto del personal al servicio de las Administraciones públicas de Navarra, en la nueva redacción dada por el artículo único apartado cuarto de la Ley Foral 7/2011, de 24 de marzo, y de la disposición adicional única de la Ley Foral 7/2011, de 24 de marzo.</w:t>
      </w:r>
    </w:p>
    <w:p w:rsidR="00E3576C" w:rsidRDefault="00E3576C" w:rsidP="00E3576C">
      <w:pPr>
        <w:pStyle w:val="TextoNormal"/>
      </w:pPr>
    </w:p>
    <w:p w:rsidR="00E3576C" w:rsidRDefault="00E3576C" w:rsidP="00E3576C">
      <w:pPr>
        <w:pStyle w:val="TextoNormal"/>
      </w:pPr>
      <w:r>
        <w:t>2º Levantar la suspensión de los arts. 115 y 117 del texto refundido del estatuto del personal al servicio de las Administraciones públicas de Navarra, en la nueva redacción dada por el artículo único apartado cuarto de la Ley Foral 7/2011, de 24 de marzo, y de la disposición transitoria primera de la Ley Foral 7/2011, de 24 de marzo.</w:t>
      </w:r>
    </w:p>
    <w:p w:rsidR="00E3576C" w:rsidRDefault="00E3576C" w:rsidP="00E3576C">
      <w:pPr>
        <w:pStyle w:val="TextoNormal"/>
      </w:pPr>
    </w:p>
    <w:p w:rsidR="00E3576C" w:rsidRDefault="00E3576C" w:rsidP="00E3576C">
      <w:pPr>
        <w:pStyle w:val="TextoNormal"/>
      </w:pPr>
      <w:r>
        <w:t>Madrid, a diez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29" w:name="AUTO_2012_88"/>
      <w:r>
        <w:lastRenderedPageBreak/>
        <w:t>AUTO 88/2012, de 21 de mayo de 2012</w:t>
      </w:r>
    </w:p>
    <w:bookmarkEnd w:id="229"/>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ECLI:ES:TC:2012:88A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9017-2008, promovido por don Ignacio Fernández de Larrinoa Pérez de Lucco.</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registrado en este Tribunal el 19 de noviembre de 2008, el Procurador de los Tribunales don Javier Cuevas Rivas, en nombre y representación de don Ignacio Fernández de Larrinoa Pérez de Luco y bajo la dirección letrada de don Iker Urbina Fernández, interpuso recurso de amparo contra el Auto de la Sección Segunda de la Sala de lo Penal de la Audiencia Nacional, de 14 de octubre de 2008, dictado en la ejecutoria núm. 62-1991, que desestimó el recurso de súplica formalizado por el recurrente frente a la providencia dictada por dicha Sala, en fecha 17 de septiembre de 2008, que aprobó la propuesta de licenciamiento definitivo que hacía el centro penitenciario para el día 12 de septiembre de 2019.</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Aduce el recurrente que en dichas resoluciones, al haberse aplicado la doctrina establecida en la Sentencia de la Sala Segunda del Tribunal Supremo núm. 197/2006, de 28 de febrero, se ha retrasado su licenciamiento definitivo en once años, por lo que su ejecución le ocasionaría un perjuicio que haría al amparo perder su finalidad. Junto a ello, se alega también que la suspensión de las resoluciones impugnadas no ocasionaría una grave perturbación de los intereses generales, pues la única consecuencia que de la misma se derivaría, en el caso de que finalmente se desestimara el recurso de amparo, sería la demora en el cumplimiento de la pena.</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así como conceder al recurrente y al Ministerio Fiscal el plazo común de tres días para que alegasen lo que estimasen pertinente.</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recurrente, por escrito presentado en el Juzgado de Instrucción núm. 26 de Madrid el 3 de abril de 2012 y registrado en este Tribunal el 16 de abril de 2012, presentó alegaciones reiterando los argumentos expuestos en su escrito de demanda. Insiste en los graves perjuicios que le ocasionaría la ejecución de las resoluciones impugnadas, dado que, como consecuencia de la nueva liquidación de condena efectuada, se retrasaría once años su licenciamiento definitivo. Considera que, por ello, de no atenderse su solicitud, el amparo podría perder su finalidad ya que no se le podría restituir el tiempo cumplido en exceso. Por otra parte, señala que la suspensión de la ejecución de las resoluciones impugnadas no afectaría al interés general, ya que si el amparo se denegara podría reingresar en prisión y cumplir entonces la pena que le faltara.</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por escrito registrado el 20 de abril de 2012, presentó alegaciones e interesó que se denegara la suspensión, citando para ello diversos Autos de este Tribunal que han resuelto sobre la suspensión en casos similares.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ha reiterado que en casos como el presente, en los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como interesa el Ministerio Fiscal, la solicitud de la suspensión debe ser rechazada, ya que se trata del cumplimiento de penas graves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9017-2008.</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lastRenderedPageBreak/>
        <w:br w:type="page"/>
      </w:r>
    </w:p>
    <w:p w:rsidR="00E3576C" w:rsidRDefault="00E3576C" w:rsidP="00E3576C">
      <w:pPr>
        <w:pStyle w:val="TtuloResolucin"/>
      </w:pPr>
      <w:bookmarkStart w:id="230" w:name="AUTO_2012_89"/>
      <w:r>
        <w:lastRenderedPageBreak/>
        <w:t>AUTO 89/2012, de 21 de mayo de 2012</w:t>
      </w:r>
    </w:p>
    <w:bookmarkEnd w:id="230"/>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ECLI:ES:TC:2012:89A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4017-2009, promovido por don Ignacio Pujana Alberdi.</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29 de abril de 2009, el Procurador de los Tribunales don Javier Cuevas Rivas, en nombre y representación de don Ignacio Pujana Alberdi, y bajo la dirección del Letrado don Iker Urbina Fernández, interpuso recurso de amparo contra el Auto de la Sección Tercera de la Sala de lo Penal de la Audiencia Nacional de 17 de marzo de 2009, dictado en la ejecutoria núm. 32-1993, por el que se desestima el recurso de súplica interpuesto contra la providencia de 16 de febrero de 2009 por la que se acuerda fijar como fecha de licenciamiento definitivo del recurrente el día 28 de junio de 2021.</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23 de febrero de 2009, conforme propuso el centro penitenciario en el que cumple condena, por lo que las resoluciones impugnadas, al rechazar la propuesta del centro y fijar el día 28 de junio de 2021 como fecha de licenciamiento definitivo, conforme a la doctrina de la citada Sentencia, han retrasado su puesta en libertad doce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el 20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el 3 de abril de 2012, presentó alegaciones reiterando su solicitud de suspensión de las resoluciones impugnadas por los graves perjuicios que supone el mantenimiento en prisión, toda vez que ya ha transcurrido más de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4017-2009.</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1" w:name="AUTO_2012_90"/>
      <w:r>
        <w:lastRenderedPageBreak/>
        <w:t>AUTO 90/2012, de 21 de mayo de 2012</w:t>
      </w:r>
    </w:p>
    <w:bookmarkEnd w:id="231"/>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ECLI:ES:TC:2012:90A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4796-2009, promovido por don Nicolás Francisco Rodríguez.</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22 de mayo de 2009, el Procurador de los Tribunales don Javier Cuevas Rivas, en nombre y representación de don Nicolás Francisco Rodríguez, y bajo la dirección del Letrado don Iker Sarriegi Etxabe, interpuso recurso de amparo contra el Auto de la Sección Segunda de la Sala de lo Penal de la Audiencia Nacional de 31 de marzo de 2009, dictado en la ejecutoria núm. 34-1992, por el que se desestima el recurso de súplica interpuesto contra el Auto de 9 de marzo de 2009, que estima aplicable al recurrente la doctrina recogida en la Sentencia de la Sala de lo Penal del Tribunal Supremo núm. 197/2006, de 28 de febrero, y contra la providencia de 21 de abril de 2009 por la que se acuerda fijar como fecha de licenciamiento definitivo del recurrente el día 12 de mayo de 2017.</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citada, el licenciamiento definitivo del recurrente habría tenido lugar el día 26 de mayo de 2009, conforme propuso el centro penitenciario en el que cumple condena, por lo que las resoluciones impugnadas, al rechazar la propuesta del centro y fijar el día 12 de mayo de 2017 como fecha de licenciamiento definitivo, conforme a la doctrina de la mencionada Sentencia, han retrasado su puesta en libertad ocho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El Ministerio Fiscal, por escrito registrado en este Tribunal el 23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reiterando su solicitud de suspensión de las resoluciones impugnadas por los graves perjuicios que supone el mantenimiento en prisión, toda vez que ya han transcurrido casi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4796-2009.</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2" w:name="AUTO_2012_91"/>
      <w:r>
        <w:lastRenderedPageBreak/>
        <w:t>AUTO 91/2012, de 21 de mayo de 2012</w:t>
      </w:r>
    </w:p>
    <w:bookmarkEnd w:id="232"/>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ECLI:ES:TC:2012:91A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5499-2009, promovido por doña Miren Maitane Sagastume Arrieta.</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10 de junio de 2009, el Procurador de los Tribunales don Javier Cuevas Rivas, en nombre y representación de doña Miren Maitane Sagastume Arrieta, y bajo la dirección de la Letrada doña Arantxa Aparicio Lopetegui, interpuso recurso de amparo contra el Auto de la Sección Segunda de la Sala de lo Penal de la Audiencia Nacional de 24 de abril de 2009, dictado en la ejecutoria núm. 85-1996, por el que se desestima el recurso de súplica interpuesto contra la providencia de 2 de marzo de 2009 por la que se acuerda fijar como fecha de licenciamiento definitivo de la recurrente el día 12 de agosto de 2021.</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 la recurrente habría tenido lugar el día 26 de julio de 2009, por lo que las resoluciones impugnadas, al fijar el día 28 de junio de 2021 como fecha de licenciamiento definitivo, conforme a la doctrina de la citada Sentencia, han retrasado su puesta en libertad doce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el 23 de abril de 2012, presentó alegaciones en las que, con cita de la doctrina de este Tribunal sobre el particular, interesó que se denegara la suspensión solicitada, dada la gravedad de las penas impuestas a la recurrente, la lejanía del tiempo de cumplimiento definitivo y la circunstancia de que la suspensión determinaría la puesta en libertad de la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La recurrente, por escrito registrado el 3 de abril de 2012, presentó alegaciones reiterando su solicitud de suspensión de las resoluciones impugnadas por los graves perjuicios que supone el mantenimiento en prisión, lo que determina que el amparo pierda su finalidad, toda vez que ya han transcurrido más de dos años y medio desde que se superó la fecha del licenciamiento definitivo que le corresponde conforme a la jurisprudencia anterior a la Sentencia de la Sala de lo Penal del Tribunal Supremo núm. 197/2006, de 28 de febrero.</w:t>
      </w:r>
    </w:p>
    <w:p w:rsidR="00E3576C" w:rsidRDefault="00E3576C" w:rsidP="00E3576C">
      <w:pPr>
        <w:pStyle w:val="TextoNormal"/>
      </w:pPr>
    </w:p>
    <w:p w:rsidR="00E3576C" w:rsidRDefault="00E3576C" w:rsidP="00E3576C">
      <w:pPr>
        <w:pStyle w:val="TextoNormal"/>
      </w:pPr>
      <w:r w:rsidRPr="00E3576C">
        <w:rPr>
          <w:rStyle w:val="NumeroAFNegritaCaracter"/>
        </w:rPr>
        <w:t>5</w:t>
      </w:r>
      <w:r>
        <w:t>. Habiéndose personado el Abogado del Estado en el presente recurso de amparo, por diligencia de ordenación del Secretario de Justicia de la Sala Primera de 3 de mayo de 2012 se le concedió plazo de tres días para que alegase lo que estimase pertinente sobre la suspensión interesada por la recurrente.</w:t>
      </w:r>
    </w:p>
    <w:p w:rsidR="00E3576C" w:rsidRDefault="00E3576C" w:rsidP="00E3576C">
      <w:pPr>
        <w:pStyle w:val="TextoNormal"/>
      </w:pPr>
    </w:p>
    <w:p w:rsidR="00E3576C" w:rsidRDefault="00E3576C" w:rsidP="00E3576C">
      <w:pPr>
        <w:pStyle w:val="TextoNormal"/>
      </w:pPr>
      <w:r w:rsidRPr="00E3576C">
        <w:rPr>
          <w:rStyle w:val="NumeroAFNegritaCaracter"/>
        </w:rPr>
        <w:t>6</w:t>
      </w:r>
      <w:r>
        <w:t>. Mediante escrito registrado el 9 de mayo de 2012 presentó sus alegaciones el Abogado del Estado, en las que, con cita de la reiterada doctrina de este Tribunal en asuntos similares, interesó que se denegara la suspensión solicitada, por las mismas razones que el Fiscal.</w:t>
      </w:r>
    </w:p>
    <w:p w:rsidR="00E3576C" w:rsidRDefault="00E3576C" w:rsidP="00E3576C">
      <w:pPr>
        <w:pStyle w:val="TextoNormal"/>
      </w:pPr>
    </w:p>
    <w:p w:rsidR="00E3576C" w:rsidRDefault="00E3576C" w:rsidP="00E3576C">
      <w:pPr>
        <w:pStyle w:val="TextoNormal"/>
      </w:pPr>
      <w:r w:rsidRPr="00E3576C">
        <w:rPr>
          <w:rStyle w:val="NumeroAFNegritaCaracter"/>
        </w:rPr>
        <w:t>7</w:t>
      </w:r>
      <w:r>
        <w:t>. Transcurrido ya el plazo conferido mediante la providencia de 26 de marzo de 2012, la recurrente, por escrito registrado el 9 de mayo de 2012, presentó nuevo escrito de alegaciones en la presente pieza separada, reiterando su solicitud de suspensión.</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w:t>
      </w:r>
      <w:r>
        <w:lastRenderedPageBreak/>
        <w:t>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tal como interesan el Ministerio Fiscal y el Abogado del Estado, la solicitud de suspensión debe ser rechazada, ya que se trata del cumplimiento de penas graves cuyo límite se ha establecido en treinta años y su concesión supondría la puesta en libertad de la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5499-2009.</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3" w:name="AUTO_2012_92"/>
      <w:r>
        <w:lastRenderedPageBreak/>
        <w:t>AUTO 92/2012, de 21 de mayo de 2012</w:t>
      </w:r>
    </w:p>
    <w:bookmarkEnd w:id="233"/>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ECLI:ES:TC:2012:92A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6666-2009, promovido por don Bautista Barandalla Iriarte.</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17 de julio de 2009, el Procurador de los Tribunales don Javier Cuevas Rivas, en nombre y representación de don Bautista Barandalla Iriarte, y bajo la dirección de la Letrada doña Amaia Izko Aramendia, interpuso recurso de amparo contra el Auto de la Sección Tercera de la Sala de lo Penal de la Audiencia Nacional de 29 de mayo de 2009, dictado en la ejecutoria núm. 36-1992, por el que se desestima el recurso de súplica interpuesto contra el Auto de 8 de mayo de 2009, por el que se acuerda fijar como fecha de licenciamiento definitivo del recurrente el día 12 de septiembre de 2020.</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30 de junio de 2009, conforme propuso el centro penitenciario en el que cumple condena, por lo que las resoluciones impugnadas, al rechazar la propuesta del centro y fijar el día 12 de septiembre de 2020 como fecha de licenciamiento definitivo, conforme a la doctrina de la citada Sentencia, han retrasado su puesta en libertad once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en este Tribunal el 20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el 16 de abril de 2012 en este Tribunal, presentó alegaciones reiterando su solicitud de suspensión de las resoluciones impugnadas en la parte correspondiente a la aplicación de los once años de condena en que se ha retrasado el licenciamiento definitivo, por los graves perjuicios que supone el cumplimiento de la pena privativa de libertad cuestionada,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
      </w:pPr>
      <w:r w:rsidRPr="00E3576C">
        <w:rPr>
          <w:rStyle w:val="NumeroAFNegritaCaracter"/>
        </w:rPr>
        <w:t>5</w:t>
      </w:r>
      <w:r>
        <w:t>. Habiéndose personado en las actuaciones principales la Procuradora doña María Esperanza Álvaro Mateo, en representación de la Asociación Víctimas del Terrorismo, por diligencia de ordenación de 3 de mayo de 2012 se acordó conceder a esta parte el plazo de tres días para que formulase alegaciones en relación con la petición de suspensión.</w:t>
      </w:r>
    </w:p>
    <w:p w:rsidR="00E3576C" w:rsidRDefault="00E3576C" w:rsidP="00E3576C">
      <w:pPr>
        <w:pStyle w:val="TextoNormal"/>
      </w:pPr>
    </w:p>
    <w:p w:rsidR="00E3576C" w:rsidRDefault="00E3576C" w:rsidP="00E3576C">
      <w:pPr>
        <w:pStyle w:val="TextoNormal"/>
      </w:pPr>
      <w:r w:rsidRPr="00E3576C">
        <w:rPr>
          <w:rStyle w:val="NumeroAFNegritaCaracter"/>
        </w:rPr>
        <w:t>6</w:t>
      </w:r>
      <w:r>
        <w:t>. La Asociación Víctimas del Terrorismo, por escrito registrado en este Tribunal el 9 de mayo de 2012, presentó alegaciones en las que se opuso a la suspensión solicitada por los mismos argumentos contenidos en el ATC 17/2008, de 21 de enero.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w:t>
      </w:r>
      <w:r>
        <w:lastRenderedPageBreak/>
        <w:t>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6666-2009.</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4" w:name="AUTO_2012_93"/>
      <w:r>
        <w:lastRenderedPageBreak/>
        <w:t>AUTO 93/2012, de 21 de mayo de 2012</w:t>
      </w:r>
    </w:p>
    <w:bookmarkEnd w:id="234"/>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ECLI:ES:TC:2012:93A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7814-2009, promovido por don Ignacio Orotegui Ochandorena.</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18 de septiembre de 2009, el Procurador de los Tribunales don Javier Cuevas Rivas, en nombre y representación de don Ignacio Orotegui Ochandorena, y bajo la dirección de la Letrada doña Ainhoa Baglietto, interpuso recurso de amparo contra el Auto de la Sección Segunda de la Sala de lo Penal de la Audiencia Nacional de 12 de diciembre de 2008, dictado en la ejecutoria núm. 8-1989, por el que se desestima el recurso de súplica interpuesto contra la providencia de 20 de octubre de 2008, por la que se declara que procede estar a lo acordado en el Auto de 20 de noviembre de 2006, manteniéndose el licenciamiento definitivo del recurrente el día 19 de diciembre de 2016, así como contra el Auto de la Sala de lo Penal del Tribunal Supremo de 25 de junio de 2009, por el que se acuerda no haber lugar a la admisión del recurso de casación núm. 10306-2009, interpuesto contra el referido Auto de la Audiencia Nacional y contra la providencia de 30 de julio de 2009 que no admitió a trámite el incidente de nulidad de actuaciones promovido.</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17 de diciembre de 2008, conforme propuso el centro penitenciario en el que cumple condena, por lo que las resoluciones impugnadas, al rechazar la propuesta del centro y fijar el día 19 de diciembre de 2016 como fecha de licenciamiento definitivo, conforme a la doctrina de la mencionada Sentencia, han retrasado su puesta en libertad ocho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Sala Primera de este Tribunal, por sendas providencias de 26 de marzo de 2012, acordó, respectivamente, la admisión a trámite de la demanda de amparo y la formación de </w:t>
      </w:r>
      <w:r>
        <w:lastRenderedPageBreak/>
        <w:t>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El Ministerio Fiscal, por escrito registrado en este Tribunal el 26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reiterando su solicitud de suspensión de las resoluciones impugnadas por los graves perjuicios que supone el mantenimiento en prisión, toda vez que ya han transcurrido más de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lastRenderedPageBreak/>
        <w:t>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7814-2009.</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5" w:name="AUTO_2012_94"/>
      <w:r>
        <w:lastRenderedPageBreak/>
        <w:t>AUTO 94/2012, de 21 de mayo de 2012</w:t>
      </w:r>
    </w:p>
    <w:bookmarkEnd w:id="235"/>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ECLI:ES:TC:2012:94A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9479-2009, promovido por doña Inés del Río Prada.</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11 de noviembre de 2009, el Procurador de los Tribunales don Javier Cuevas Rivas, en nombre y representación de doña Inés del Río Prada, y bajo la dirección de la Letrada doña Amaia Izko Aramendia, interpuso recurso de amparo contra el Auto de la Sección Primera de la Sala de lo Penal de la Audiencia Nacional de 13 de octubre de 2009, dictado en la ejecutoria núm. 36-1985, por el que se desestima el recurso de súplica interpuesto contra la providencia de 30 de julio de 2009, por la que se acuerda fijar como fecha de licenciamiento definitivo de la recurrente el día 27 de junio de 2017.</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 la recurrente habría tenido lugar el día 2 de julio de 2008, conforme propuso el centro penitenciario en el que cumple condena, por lo que las resoluciones impugnadas, al rechazar la propuesta del centro y fijar el día 27 de junio de 2017 como fecha de licenciamiento definitivo, conforme a la doctrina de la citada Sentencia, han retrasado su puesta en libertad nueve años, con lo que la ejecución de las resoluciones impugnadas ocasionaría un perjuicio a la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en este Tribunal el 26 de abril de 2012, presentó alegaciones en las que, con cita de la doctrina de este Tribunal sobre el particular (AATC 25/2012 y 27/2012), interesó que se denegara la suspensión solicitada, dada la circunstancia de que la suspensión determinaría la puesta en libertad de la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La recurrente, por escrito registrado en este Tribunal el 16 de abril de 2012, presentó alegaciones reiterando su solicitud de suspensión de las resoluciones impugnadas por los graves perjuicios que supone el cumplimiento de la pena privativa de libertad cuestionada,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
      </w:pPr>
      <w:r w:rsidRPr="00E3576C">
        <w:rPr>
          <w:rStyle w:val="NumeroAFNegritaCaracter"/>
        </w:rPr>
        <w:t>5</w:t>
      </w:r>
      <w:r>
        <w:t>. Habiéndose personado en las actuaciones principales la Procuradora doña María Esperanza Álvaro Mateo, en representación de la Asociación Víctimas del Terrorismo, por diligencia de ordenación de 3 de mayo de 2012 se acordó conceder a esta parte el plazo de tres días para que formulase alegaciones en relación con la petición de suspensión.</w:t>
      </w:r>
    </w:p>
    <w:p w:rsidR="00E3576C" w:rsidRDefault="00E3576C" w:rsidP="00E3576C">
      <w:pPr>
        <w:pStyle w:val="TextoNormal"/>
      </w:pPr>
    </w:p>
    <w:p w:rsidR="00E3576C" w:rsidRDefault="00E3576C" w:rsidP="00E3576C">
      <w:pPr>
        <w:pStyle w:val="TextoNormal"/>
      </w:pPr>
      <w:r w:rsidRPr="00E3576C">
        <w:rPr>
          <w:rStyle w:val="NumeroAFNegritaCaracter"/>
        </w:rPr>
        <w:t>6</w:t>
      </w:r>
      <w:r>
        <w:t>. La Asociación Víctimas del Terrorismo, por escrito registrado el 9 de mayo de 2012, presentó alegaciones en las que se opuso a la suspensión interesada porque, de accederse a la petición, se estaría anticipando lo solicitado en la demanda de amparo, y remitiéndose a los argumentos contenidos en el ATC 17/2008, de 21 de enero.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 la recurrente supondría, al menos parcialmente, </w:t>
      </w:r>
      <w:r>
        <w:lastRenderedPageBreak/>
        <w:t>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la solicitud de suspensión debe ser rechazada, ya que se trata del cumplimiento de penas graves cuyo límite se ha establecido en treinta años y su concesión supondría la puesta en libertad de la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9479-2009.</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6" w:name="AUTO_2012_95"/>
      <w:r>
        <w:lastRenderedPageBreak/>
        <w:t>AUTO 95/2012, de 21 de mayo de 2012</w:t>
      </w:r>
    </w:p>
    <w:bookmarkEnd w:id="236"/>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ECLI:ES:TC:2012:95A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3971-2010, promovido por don Kepa Mirena Solana Arrondo.</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12 de mayo de 2010, el Procurador de los Tribunales don Javier Cuevas Rivas, en nombre y representación de don Kepa Mirena Solana Arrondo, y bajo la dirección de la Letrada doña Ainhoa Baglietto Gabilondo, interpuso recurso de amparo contra el Auto de la Sección Tercera de la Sala de lo Penal de la Audiencia Nacional de 9 de julio de 2009, dictado en la ejecutoria núm. 56-1994, por el que se desestima el recurso de súplica interpuesto contra la providencia de 12 de junio de 2009 en la que se acuerda proceder a nuevo cómputo de liquidación para fijar fecha de licenciamiento definitivo, así como contra el Auto de la Sala de lo Penal del Tribunal Supremo de 25 de marzo de 2010 por el que se acuerda no haber lugar al recurso de casación núm. 11136-2009 (interpuesto contra el referido Auto de la Audiencia Nacional) y contra la providencia de 28 de abril de 2010, por la que se acuerda inadmitir el incidente de nulidad promovido contra el Auto de 25 de marzo de 2010.</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10 de octubre de 2009, conforme propuso el centro penitenciario en el que cumple condena, por lo que las resoluciones impugnadas, al rechazar la propuesta del centro y ordenar al mismo un nuevo cómputo de liquidación para fijar fecha de licenciamiento definitivo conforme a la doctrina de la citada Sentencia, han retrasado su puesta en libertad doce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Sala Primera de este Tribunal, por sendas providencias de 26 de marzo de 2012, acordó, respectivamente, la admisión a trámite de la demanda de amparo y la formación de pieza separada para la tramitación del incidente sobre la suspensión solicitada y conceder al </w:t>
      </w:r>
      <w:r>
        <w:lastRenderedPageBreak/>
        <w:t>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El Ministerio Fiscal, por escrito registrado en este Tribunal el 19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3 de abril de 2012, presentó alegaciones reiterando su solicitud de suspensión de las resoluciones impugnadas por los graves perjuicios que supone el mantenimiento en prisión, toda vez que ya han transcurrido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 xml:space="preserve">Por tanto, y tal como interesa el Ministerio Fiscal, la solicitud de suspensión debe ser rechazada, ya que se trata del cumplimiento de penas graves cuyo límite se ha establecido </w:t>
      </w:r>
      <w:r>
        <w:lastRenderedPageBreak/>
        <w:t>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3971-2010.</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7" w:name="AUTO_2012_96"/>
      <w:r>
        <w:lastRenderedPageBreak/>
        <w:t>AUTO 96/2012, de 21 de mayo de 2012</w:t>
      </w:r>
    </w:p>
    <w:bookmarkEnd w:id="237"/>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ECLI:ES:TC:2012:96A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7493-2010, promovido por doña Miren Gorzone López de Luzuriaga Fernández.</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registrado en este Tribunal el 18 de octubre de 2010, el Procurador de los Tribunales don Javier Cuevas Rivas, en nombre y representación de doña Miren Gotzone López de Luzuriaga Fernández y bajo la dirección letrada de don Iker Urbina Fernández, interpuso recurso de amparo contra el Auto de la Sala de lo Penal del Tribunal Supremo, de 22 de julio de 2010, dictado en recurso de casación núm. 10284-2010, y frente al Auto de 3 de febrero de 2010 de la Sección Segunda de la Sala de lo Penal de la Audiencia Nacional, en ejecutoria 62-2002, que aprobó el licenciamiento definitivo de la recurrente para el día 12 de septiembre de 2019.</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Aduce el recurrente que en dichas resoluciones, al haberse aplicado la doctrina establecida en la Sentencia de la Sala Segunda del Tribunal Supremo núm. 197/2006, de 28 de febrero, se ha retrasado su licenciamiento definitivo en nueve años, por lo que su ejecución le ocasionaría un perjuicio que haría al amparo perder su finalidad. Junto a ello, se alega también que la suspensión de las resoluciones impugnadas no ocasionaría una grave perturbación de los intereses generales, pues la única consecuencia que de la misma se derivaría, en el caso de que finalmente se desestimara el recurso de amparo, sería la demora en el cumplimiento de la pena.</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así como conceder al recurrente y al Ministerio Fiscal el plazo común de tres días para que alegasen lo que estimasen pertinente.</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La recurrente, por escrito presentado en el Juzgado de Instrucción núm. 26 de Madrid el 3 de abril de 2012 y registrado en este Tribunal el 16 de abril de 2012, presentó alegaciones reiterando los argumentos expuestos en su escrito de demanda. Insiste en los graves perjuicios que le ocasionaría la ejecución de las resoluciones impugnadas, dado que, como consecuencia de la nueva liquidación de condena efectuada, se retrasaría nueve años su licenciamiento definitivo. Considera que, por ello, de no atenderse su solicitud, el amparo podría perder su finalidad ya que no se le podría restituir el tiempo cumplido en exceso. Por otra parte, señala que la suspensión de la ejecución de las resoluciones impugnadas no afectaría al interés general, ya que si el amparo se denegara podría reingresar en prisión y cumplir entonces la pena que le faltara.</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por escrito registrado en este Tribunal el 18 de abril de 2012, presentó alegaciones e interesó que se denegara la suspensión, citando para ello diversos Autos de este Tribunal que han resuelto sobre la suspensión en casos similares.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ha reiterado que en casos como el presente, en los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00E3576C" w:rsidRDefault="00E3576C" w:rsidP="00E3576C">
      <w:pPr>
        <w:pStyle w:val="TextoNormal"/>
      </w:pPr>
    </w:p>
    <w:p w:rsidR="00E3576C" w:rsidRDefault="00E3576C" w:rsidP="00E3576C">
      <w:pPr>
        <w:pStyle w:val="TextoNormal"/>
      </w:pPr>
      <w:r>
        <w:t>Por tanto, como interesa el Ministerio Fiscal, la solicitud de la suspensión debe ser rechazada, ya que se trata del cumplimiento de penas graves y su concesión supondría la puesta en libertad de la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7493-2010.</w:t>
      </w:r>
    </w:p>
    <w:p w:rsidR="00E3576C" w:rsidRDefault="00E3576C" w:rsidP="00E3576C">
      <w:pPr>
        <w:pStyle w:val="TextoNormal"/>
      </w:pPr>
    </w:p>
    <w:p w:rsidR="00E3576C" w:rsidRDefault="00E3576C" w:rsidP="00E3576C">
      <w:pPr>
        <w:pStyle w:val="TextoNormal"/>
      </w:pPr>
      <w:r>
        <w:lastRenderedPageBreak/>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8" w:name="AUTO_2012_97"/>
      <w:r>
        <w:lastRenderedPageBreak/>
        <w:t>AUTO 97/2012, de 21 de mayo de 2012</w:t>
      </w:r>
    </w:p>
    <w:bookmarkEnd w:id="238"/>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ECLI:ES:TC:2012:97A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8128-2010, promovido por don Iñigo Acaiturri Irazábal.</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17 de noviembre de 2010, el Procurador de los Tribunales don Javier Cuevas Rivas, en nombre y representación de don Iñigo Acaiturri Irazábal, y bajo la dirección del Letrado don Alfonso Zenón Castro, interpuso recurso de amparo contra el Auto de la Sección Segunda de la Sala de lo Penal de la Audiencia Nacional de 26 de marzo de 2010, dictado en la ejecutoria núm. 61-1993, por el que se acuerda fijar el licenciamiento definitivo del recurrente el día 7 de febrero de 2021, así como contra el Auto de la Sala de lo Penal del Tribunal Supremo de 21 de septiembre de 2010, por el que se acuerda no haber lugar a la admisión del recurso de casación núm. 10613-2010, interpuesto contra el referido Auto de la Audiencia Nacional.</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15 de abril de 2010, conforme propuso el centro penitenciario en el que cumple condena, por lo que las resoluciones impugnadas, al rechazar la propuesta del centro y fijar el día 7 de febrero de 2021 como fecha de licenciamiento definitivo, conforme a la doctrina de la mencionada Sentencia, han retrasado su puesta en libertad once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en este Tribunal el 18 de abril de 2012, presentó alegaciones en las que, con cita de la doctrina de este Tribunal sobre el particular —AATC 25/2012 y 27/2012, de 31 de enero—,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16 de abril de 2012, presentó alegaciones reiterando su solicitud de suspensión de las resoluciones impugnadas por los graves perjuicios que supone el mantenimiento en prisión, toda vez que ya han transcurrido dos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lastRenderedPageBreak/>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8128-2010.</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39" w:name="AUTO_2012_98"/>
      <w:r>
        <w:lastRenderedPageBreak/>
        <w:t>AUTO 98/2012, de 21 de mayo de 2012</w:t>
      </w:r>
    </w:p>
    <w:bookmarkEnd w:id="239"/>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ECLI:ES:TC:2012:98A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8327-2010, promovido por don Raúl Ibáñez Díez.</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12 de mayo de 2010, el Procurador de los Tribunales don Javier Cuevas Rivas, en nombre y representación de don Raúl Ibáñez Díez, y bajo la dirección del Letrado don Eukenbe Jauregui Lejona, interpuso recurso de amparo contra el Auto de la Sección Tercera de la Sala de lo Penal de la Audiencia Nacional de 7 de octubre de 2010, dictado en la ejecutoria núm. 79-1996, por el que se desestima el recurso de súplica interpuesto contra el Auto de 23 de septiembre de 2010 por el que se acuerda fijar como fecha de licenciamiento definitivo del recurrente el día 25 de agosto de 2021.</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8 de octubre de 2010, conforme propuso el centro penitenciario en el que cumple condena, por lo que las resoluciones impugnadas, al rechazar la propuesta del centro y fijar el día 25 de agosto de 2021 como fecha de licenciamiento definitivo, conforme a la doctrina de la citada Sentencia, han retrasado su puesta en libertad once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en este Tribunal el 18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en este Tribunal el 3 de abril de 2012, presentó alegaciones reiterando su solicitud de suspensión de las resoluciones impugnadas por los graves perjuicios que supone el mantenimiento en prisión, toda vez que ya ha transcurrido más de un año y medio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lastRenderedPageBreak/>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8327-2010.</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0" w:name="AUTO_2012_99"/>
      <w:r>
        <w:lastRenderedPageBreak/>
        <w:t>AUTO 99/2012, de 21 de mayo de 2012</w:t>
      </w:r>
    </w:p>
    <w:bookmarkEnd w:id="240"/>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ECLI:ES:TC:2012:99A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238-2011, promovido por doña Inmaculada Pacho Martín.</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7 de enero de 2011, el Procurador de los Tribunales don Javier Cuevas Rivas, en nombre y representación de doña Inmaculada Pacho Martín, y bajo la dirección de la Letrada doña Haizea Ziluaga Larreategi, interpuso recurso de amparo contra el Auto de la Sección Segunda de la Sala de lo Penal de la Audiencia Nacional de 12 de noviembre de 2010, dictado en la ejecutoria núm. 8-1996, por el que se desestima el recurso de súplica interpuesto contra el Auto de 28 de septiembre de 2010, que estima aplicable a la recurrente la doctrina recogida en la Sentencia de la Sala de lo Penal del Tribunal Supremo núm. 197/2006, de 28 de febrero, y desestima la petición de libertad instada, acordando que procede estar a la fecha de licenciamiento definitivo de la recurrente fijada el día 15 de enero de 2021.</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citada, el licenciamiento definitivo de la recurrente habría tenido lugar el día 11 de marzo de 2008, conforme propuso el centro penitenciario en el que cumple condena, por lo que las resoluciones impugnadas, al rechazar la propuesta del centro y fijar el día 15 de enero de 2021 como fecha de licenciamiento definitivo, conforme a la doctrina de la mencionada Sentencia, han retrasado su puesta en libertad trece años, con lo que la ejecución de las resoluciones impugnadas ocasionaría un perjuicio a la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3</w:t>
      </w:r>
      <w:r>
        <w:t>. El Ministerio Fiscal, por escrito registrado en este Tribunal el 19 de abril de 2012, presentó alegaciones en las que, con cita de la doctrina de este Tribunal sobre el particular, interesó que se denegara la suspensión solicitada, dada la gravedad de las penas impuestas a la recurrente, la lejanía del tiempo de cumplimiento definitivo y la circunstancia de que la suspensión determinaría la puesta en libertad de la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La recurrente, por escrito registrado en este Tribunal el 16 de abril de 2012, presentó alegaciones reiterando su solicitud de suspensión de las resoluciones impugnadas por los graves perjuicios que supone el mantenimiento en prisión, toda vez que ya han transcurrido más de cuatro años desde que se superó la fecha del licenciamiento definitivo propuesto por el centro penitenciario y rechazado por las resoluciones recurridas en amparo, a lo que añade que la suspensión solicitada no supone perturbación grave de los intereses generales.</w:t>
      </w:r>
    </w:p>
    <w:p w:rsidR="00E3576C" w:rsidRDefault="00E3576C" w:rsidP="00E3576C">
      <w:pPr>
        <w:pStyle w:val="TextoNormal"/>
      </w:pPr>
    </w:p>
    <w:p w:rsidR="00E3576C" w:rsidRDefault="00E3576C" w:rsidP="00E3576C">
      <w:pPr>
        <w:pStyle w:val="TextoNormal"/>
      </w:pPr>
      <w:r w:rsidRPr="00E3576C">
        <w:rPr>
          <w:rStyle w:val="NumeroAFNegritaCaracter"/>
        </w:rPr>
        <w:t>5</w:t>
      </w:r>
      <w:r>
        <w:t>. Habiéndose personado el Abogado del Estado, en representación de la Administración, por diligencia de ordenación de 3 de mayo de 2012 se acordó concederle el plazo de tres días para que formulase alegaciones sobre la suspensión interesada, lo que realizó mediante escrito registrado en este Tribunal el día 9 de mayo de 2012 en el que, con cita de la jurisprudencia constitucional aplicable, se opuso a la concesión de la medida cautelar solicitada.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 la recurrente supondría, al menos parcialmente, </w:t>
      </w:r>
      <w:r>
        <w:lastRenderedPageBreak/>
        <w:t>un otorgamiento anticipado del amparo que se solicita, lo que desnaturalizaría la naturaleza cautelar de la medida (por todos, AATC 206/2010, de 30 de diciembre, 3/2011, de 14 de febrero, y 25/2012, de 31 de enero).</w:t>
      </w:r>
    </w:p>
    <w:p w:rsidR="00E3576C" w:rsidRDefault="00E3576C" w:rsidP="00E3576C">
      <w:pPr>
        <w:pStyle w:val="TextoNormal"/>
      </w:pPr>
    </w:p>
    <w:p w:rsidR="00E3576C" w:rsidRDefault="00E3576C" w:rsidP="00E3576C">
      <w:pPr>
        <w:pStyle w:val="TextoNormal"/>
      </w:pPr>
      <w:r>
        <w:t>Por tanto, la solicitud de suspensión debe ser rechazada, ya que se trata del cumplimiento de penas graves cuyo límite se ha establecido en treinta años y su concesión supondría la puesta en libertad de la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238-2011.</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1" w:name="AUTO_2012_100"/>
      <w:r>
        <w:lastRenderedPageBreak/>
        <w:t>AUTO 100/2012, de 21 de mayo de 2012</w:t>
      </w:r>
    </w:p>
    <w:bookmarkEnd w:id="241"/>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ECLI:ES:TC:2012:100A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acumulación del recurso de amparo 444-2011 al 8640-2010, promovidos ambos en relación con diligencias preliminares.</w:t>
      </w:r>
    </w:p>
    <w:p w:rsidR="00E3576C" w:rsidRDefault="00E3576C" w:rsidP="00E3576C">
      <w:pPr>
        <w:pStyle w:val="SntesisDescriptiva"/>
      </w:pPr>
    </w:p>
    <w:p w:rsidR="00E3576C" w:rsidRDefault="00E3576C" w:rsidP="00E3576C">
      <w:pPr>
        <w:pStyle w:val="SntesisAnaltica"/>
      </w:pPr>
      <w:r>
        <w:t>Acumulación de procesos constitucionales: acumulación de recursos de amparo, improcedencia.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24 de enero de 2011, el Procurador de los Tribunales don Jaime Briones Méndez interpuso recurso de amparo en nombre y representación de don Francisco Javier González Enríquez y otros contra el Auto del Juzgado de Primera Instancia núm. 87 de Madrid de 20 de diciembre de 2010, que desestimó la oposición del Banco Bilbao Vizcaya Argentaria, S.A. (BBVA), frente a la solicitud de diligencias preliminares formulada por la Asociación de Usuarios de Bancos, Cajas de Ahorros y Seguros de España (ADICAE) y acordó requerir al BBVA para que en plazo de treinta días entregara al Juzgado determinada información, para su puesta a disposición de ADICAE; asimismo se impugna la providencia de 30 de noviembre de 2010, que denegó la personación de los recurrentes en el procedimiento de diligencias preliminares e inadmitió su petición de nulidad de actuaciones; la providencia de 20 de diciembre de 2010, que inadmitió a trámite el recurso de reposición formulado contra la anterior providencia; y, finalmente, la providencia de 22 de diciembre de 2010, que ordenó la devolución de los escritos oponiéndose a ADICAE y de solicitud de eliminación de datos de carácter personal de la base de datos a entregar por el BBVA al Juzgado.</w:t>
      </w:r>
    </w:p>
    <w:p w:rsidR="00E3576C" w:rsidRDefault="00E3576C" w:rsidP="00E3576C">
      <w:pPr>
        <w:pStyle w:val="TextoNormal"/>
      </w:pPr>
    </w:p>
    <w:p w:rsidR="00E3576C" w:rsidRDefault="00E3576C" w:rsidP="00E3576C">
      <w:pPr>
        <w:pStyle w:val="TextoNormal"/>
      </w:pPr>
      <w:r>
        <w:t>Por medio de otrosí se solicitó en la demanda su acumulación al recurso de amparo núm. 8640-2010, del que conoce la Sala Primera de este Tribunal Constitucional, el cual  fue interpuesto por el BBVA contra las resoluciones judiciales antes reseñadas.</w:t>
      </w:r>
    </w:p>
    <w:p w:rsidR="00E3576C" w:rsidRDefault="00E3576C" w:rsidP="00E3576C">
      <w:pPr>
        <w:pStyle w:val="TextoNormal"/>
      </w:pPr>
    </w:p>
    <w:p w:rsidR="00E3576C" w:rsidRDefault="00E3576C" w:rsidP="00E3576C">
      <w:pPr>
        <w:pStyle w:val="TextoNormal"/>
      </w:pPr>
      <w:r w:rsidRPr="00E3576C">
        <w:rPr>
          <w:rStyle w:val="NumeroAFNegritaCaracter"/>
        </w:rPr>
        <w:t>2</w:t>
      </w:r>
      <w:r>
        <w:t>. Mediante providencia de 1 de marzo de 2012 la Sala Segunda de este Tribunal admitió a trámite la demanda de amparo y acordó conceder a las partes un plazo de diez días, a fin de que, conforme a lo establecido en el art. 83 de la Ley Orgánica del Tribunal Constitucional, efectuaran alegaciones sobre la acumulación del presente recurso al seguido bajo núm. 8640-2010 en la Sala Primera.</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en escrito de 15 de marzo de 2012 se mostró favorable a la acumulación de las demandas puesto que ambas se dirigen contra las mismas resoluciones judiciales y se denuncia en ellas la vulneración del mismo derecho fundamental (el derecho a la protección de datos personales ex art. 18.4 CE en relación con el derecho a la intimidad ex art. 18.1 CE).</w:t>
      </w:r>
    </w:p>
    <w:p w:rsidR="00E3576C" w:rsidRDefault="00E3576C" w:rsidP="00E3576C">
      <w:pPr>
        <w:pStyle w:val="TextoNormal"/>
      </w:pPr>
    </w:p>
    <w:p w:rsidR="00E3576C" w:rsidRDefault="00E3576C" w:rsidP="00E3576C">
      <w:pPr>
        <w:pStyle w:val="TextoNormal"/>
      </w:pPr>
      <w:r w:rsidRPr="00E3576C">
        <w:rPr>
          <w:rStyle w:val="NumeroAFNegritaCaracter"/>
        </w:rPr>
        <w:t>4</w:t>
      </w:r>
      <w:r>
        <w:t>. La representación procesal de los demandantes de amparo presentó sus alegaciones el 15 de marzo de 2012, mediante escrito en el que se reitera la petición de acumulación consignada en el escrito de demanda, la vista de la identidad de objeto de ambos recursos.</w:t>
      </w:r>
    </w:p>
    <w:p w:rsidR="00E3576C" w:rsidRDefault="00E3576C" w:rsidP="00E3576C">
      <w:pPr>
        <w:pStyle w:val="TextoNormal"/>
      </w:pPr>
    </w:p>
    <w:p w:rsidR="00E3576C" w:rsidRDefault="00E3576C" w:rsidP="00E3576C">
      <w:pPr>
        <w:pStyle w:val="TextoNormal"/>
      </w:pPr>
      <w:r w:rsidRPr="00E3576C">
        <w:rPr>
          <w:rStyle w:val="NumeroAFNegritaCaracter"/>
        </w:rPr>
        <w:t>5</w:t>
      </w:r>
      <w:r>
        <w:t>. El 7 de mayo de 2012 la Sala Primera de este Tribunal dictó Sentencia resolviendo el recurso de amparo núm. 8640-2010.</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060BD2" w:rsidP="00E3576C">
      <w:pPr>
        <w:pStyle w:val="TextoNormal"/>
      </w:pPr>
      <w:r w:rsidRPr="00060BD2">
        <w:rPr>
          <w:rStyle w:val="NumeroAFNegritaCaracter"/>
        </w:rPr>
        <w:t>Ú</w:t>
      </w:r>
      <w:r w:rsidR="00E3576C" w:rsidRPr="00060BD2">
        <w:rPr>
          <w:rStyle w:val="NumeroAFNegritaCaracter"/>
        </w:rPr>
        <w:t xml:space="preserve">nico. </w:t>
      </w:r>
      <w:r w:rsidR="00E3576C">
        <w:t>El art. 83 de la Ley Orgánica del Tribunal Constitucional faculta a este Tribunal para disponer la acumulación “de aquellos procesos con objetos conexos que justifiquen la unidad de tramitación y decisión”, por lo que resulta condición indispensable, para el ejercicio de tal facultad, que los procesos cuya acumulación se pretenda estén pendientes de su resolución, circunstancia que no concurre en el presente caso, habida cuenta de que el recurso de amparo núm. 8640-2010 ha sido decidido por la Sala Primera de este Tribunal mediante la STC 96/2012, pronunciada el 7 de mayo del año en curso.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acumulación del presente recurso de amparo núm. 444-2011 al recurso de amparo núm. 8640-2010.</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2" w:name="AUTO_2012_101"/>
      <w:r>
        <w:lastRenderedPageBreak/>
        <w:t>AUTO 101/2012, de 21 de mayo de 2012</w:t>
      </w:r>
    </w:p>
    <w:bookmarkEnd w:id="242"/>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ECLI:ES:TC:2012:101A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1246-2011, promovido por don Moisés Posada Sarmiento.</w:t>
      </w:r>
    </w:p>
    <w:p w:rsidR="00E3576C" w:rsidRDefault="00E3576C" w:rsidP="00E3576C">
      <w:pPr>
        <w:pStyle w:val="SntesisDescriptiva"/>
      </w:pPr>
    </w:p>
    <w:p w:rsidR="00E3576C" w:rsidRDefault="00E3576C" w:rsidP="00E3576C">
      <w:pPr>
        <w:pStyle w:val="SntesisAnaltica"/>
      </w:pPr>
      <w:r>
        <w:t>Suspensión cautelar de Sentencias penales: contenido patrimonial; doctrina; costas procesales, inhabilitación especial para el derecho de sufragio pasivo, multa cuantiosa y prisión de cinco años, no suspende. Suspensión de la ejecución del acto que origina el amparo: suspensión cautelar de resoluciones judiciales,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con fecha 2 de marzo de 2011, la Procuradora de los Tribunales doña María Dolores Girón Arjonilla, en nombre de don Moisés Posada Sarmiento, interpuso recurso de amparo contra la Sentencia de 2 de diciembre de 2010 de la Sala de lo Penal del Tribunal Supremo, que desestima íntegramente el recurso de casación interpuesto contra la Sentencia de 3 de febrero de 2010 dictada por la Sección Tercera de la Audiencia Provincial de Cádiz.</w:t>
      </w:r>
    </w:p>
    <w:p w:rsidR="00E3576C" w:rsidRDefault="00E3576C" w:rsidP="00E3576C">
      <w:pPr>
        <w:pStyle w:val="TextoNormal"/>
      </w:pPr>
    </w:p>
    <w:p w:rsidR="00E3576C" w:rsidRDefault="00E3576C" w:rsidP="00E3576C">
      <w:pPr>
        <w:pStyle w:val="TextoNormal"/>
      </w:pPr>
      <w:r w:rsidRPr="00E3576C">
        <w:rPr>
          <w:rStyle w:val="NumeroAFNegritaCaracter"/>
        </w:rPr>
        <w:t>2</w:t>
      </w:r>
      <w:r>
        <w:t>. Sucintamente expuestos, los hechos relevantes para resolver la pretensión de suspensión formulada por el demandante son los siguientes:</w:t>
      </w:r>
    </w:p>
    <w:p w:rsidR="00E3576C" w:rsidRDefault="00E3576C" w:rsidP="00E3576C">
      <w:pPr>
        <w:pStyle w:val="TextoNormal"/>
      </w:pPr>
    </w:p>
    <w:p w:rsidR="00E3576C" w:rsidRDefault="00E3576C" w:rsidP="00E3576C">
      <w:pPr>
        <w:pStyle w:val="TextoNormal"/>
      </w:pPr>
      <w:r>
        <w:t>a) El recurrente en amparo fue condenado por la Audiencia Provincial de Cádiz, mediante Sentencia de 3 de febrero de 2009, como autor responsable de un delito contra la salud pública, en la modalidad de extrema gravedad, sin circunstancias modificativas de la responsabilidad criminal, a la pena de cinco años y seis meses de prisión, con inhabilitación especial para el ejercicio del derecho de sufragio pasivo durante el tiempo de la condena, y multa de 7.000.000 €, así como al pago de un quinto de las costas procesales.</w:t>
      </w:r>
    </w:p>
    <w:p w:rsidR="00E3576C" w:rsidRDefault="00E3576C" w:rsidP="00E3576C">
      <w:pPr>
        <w:pStyle w:val="TextoNormal"/>
      </w:pPr>
    </w:p>
    <w:p w:rsidR="00E3576C" w:rsidRDefault="00E3576C" w:rsidP="00E3576C">
      <w:pPr>
        <w:pStyle w:val="TextoNormal"/>
      </w:pPr>
      <w:r>
        <w:t>b) Interpuesto recurso de casación, es desestimado íntegramente por Sentencia de 2 de diciembre de 2010 de la Sala de lo Penal del Tribunal Supremo.</w:t>
      </w:r>
    </w:p>
    <w:p w:rsidR="00E3576C" w:rsidRDefault="00E3576C" w:rsidP="00E3576C">
      <w:pPr>
        <w:pStyle w:val="TextoNormal"/>
      </w:pPr>
    </w:p>
    <w:p w:rsidR="00E3576C" w:rsidRDefault="00E3576C" w:rsidP="00E3576C">
      <w:pPr>
        <w:pStyle w:val="TextoNormal"/>
      </w:pPr>
      <w:r>
        <w:t>c) El demandante de amparo alega que las resoluciones judiciales recurridas han vulnerado su derecho a la intimidad (ex art. 18.1 CE), así como su derecho al secreto de la comunicaciones (ex art. 18.3 CE), al entender que era necesaria autorización judicial para proceder al examen de la agenda de un teléfono móvil de su propiedad, que la Policía Nacional encontró en un invernadero donde se localizaron un total de 2.488.280 gramos de hachís.</w:t>
      </w:r>
    </w:p>
    <w:p w:rsidR="00E3576C" w:rsidRDefault="00E3576C" w:rsidP="00E3576C">
      <w:pPr>
        <w:pStyle w:val="TextoNormal"/>
      </w:pPr>
    </w:p>
    <w:p w:rsidR="00E3576C" w:rsidRDefault="00E3576C" w:rsidP="00E3576C">
      <w:pPr>
        <w:pStyle w:val="TextoNormal"/>
      </w:pPr>
      <w:r>
        <w:t>Mediante otrosí y de acuerdo con lo dispuesto en el art. 56 de la Ley Orgánica del Tribunal Constitucional (LOTC), el recurrente solicita en la demanda de amparo que se deje en suspenso la ejecución de la Sentencia condenatoria, alegando que dicha ejecución podría ocasionarle un perjuicio de imposible reparación que haría perder al amparo su finalidad.</w:t>
      </w:r>
    </w:p>
    <w:p w:rsidR="00E3576C" w:rsidRDefault="00E3576C" w:rsidP="00E3576C">
      <w:pPr>
        <w:pStyle w:val="TextoNormal"/>
      </w:pPr>
    </w:p>
    <w:p w:rsidR="00E3576C" w:rsidRDefault="00E3576C" w:rsidP="00E3576C">
      <w:pPr>
        <w:pStyle w:val="TextoNormal"/>
      </w:pPr>
      <w:r w:rsidRPr="00E3576C">
        <w:rPr>
          <w:rStyle w:val="NumeroAFNegritaCaracter"/>
        </w:rPr>
        <w:t>3</w:t>
      </w:r>
      <w:r>
        <w:t>. Por providencia de 16 de abril de 2012, la Sección Primera del Tribunal Constitucional acordó la admisión a trámite de la demanda de amparo, así como, a tenor de lo establecido en el art. 51 LOTC, requerir atentamente a la Sala de lo Penal del Tribunal Supremo y a la Sección Tercera de la Audiencia Provincial de Cádiz para que remitieran testimonio de las respectivas actuaciones, interesándose al tiempo que se emplazase a quienes fueron parte en el procedimiento penal, a excepción del demandante de amparo, para que pudieran comparecer en el presente proceso constitucional.</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otra providencia de la misma fecha se acordó formar la correspondiente pieza separada de medidas cautelares y, de conformidad con lo previsto en el art. 56 LOTC, conceder un plazo común de tres días al Ministerio Fiscal y al recurrente en amparo para que alegaran lo que estimasen pertinente en relación con la petición de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5</w:t>
      </w:r>
      <w:r>
        <w:t>. El Ministerio Fiscal evacuó el trámite de alegaciones conferido, mediante escrito presentado el 3 de mayo de 2012, oponiéndose a la suspensión solicitada. Tras recordar la doctrina constitucional en materia de suspensión de Sentencias penales condenatorias, el Ministerio Fiscal apoya su solicitud denegatoria señalando que la pena de prisión impuesta es superior a cinco años y que los hechos delictivos por los que ha sido condenado el recurrente revisten especial gravedad, no solo por la naturaleza del hecho delictivo y del bien jurídico protegido (salud pública), sino porque se ha apreciado la concurrencia del subtipo agravado de extrema gravedad, en relación con la notoria cantidad de sustancia estupefaciente aprehendida. Todo ello sin perjuicio de advertir sobre la oportunidad de otorgar al recurso una tramitación preferente, a fin de reducir en lo posible los eventuales efectos negativos derivados de la ejecución de la condena.</w:t>
      </w:r>
    </w:p>
    <w:p w:rsidR="00E3576C" w:rsidRDefault="00E3576C" w:rsidP="00E3576C">
      <w:pPr>
        <w:pStyle w:val="TextoNormal"/>
      </w:pPr>
    </w:p>
    <w:p w:rsidR="00E3576C" w:rsidRDefault="00E3576C" w:rsidP="00E3576C">
      <w:pPr>
        <w:pStyle w:val="TextoNormal"/>
      </w:pPr>
      <w:r w:rsidRPr="00E3576C">
        <w:rPr>
          <w:rStyle w:val="NumeroAFNegritaCaracter"/>
        </w:rPr>
        <w:t>6</w:t>
      </w:r>
      <w:r>
        <w:t>. El recurrente en amparo, mediante escrito registrado con fecha 24 de abril de 2011, reitera su petición de suspensión de la condena, argumentando que la ejecución de la misma le causaría daños irreparables en su esfera familiar y laboral, y que frustraría la finalidad del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y 4/2006, de 16 de enero,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00E3576C" w:rsidRDefault="00E3576C" w:rsidP="00E3576C">
      <w:pPr>
        <w:pStyle w:val="TextoNormal"/>
      </w:pPr>
    </w:p>
    <w:p w:rsidR="00E3576C" w:rsidRDefault="00E3576C" w:rsidP="00E3576C">
      <w:pPr>
        <w:pStyle w:val="TextoNormal"/>
      </w:pPr>
      <w:r>
        <w:t>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00E3576C" w:rsidRDefault="00E3576C" w:rsidP="00E3576C">
      <w:pPr>
        <w:pStyle w:val="TextoNormal"/>
      </w:pPr>
    </w:p>
    <w:p w:rsidR="00E3576C" w:rsidRDefault="00E3576C" w:rsidP="00E3576C">
      <w:pPr>
        <w:pStyle w:val="TextoNormal"/>
      </w:pPr>
      <w:r>
        <w:t>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00E3576C" w:rsidRDefault="00E3576C" w:rsidP="00E3576C">
      <w:pPr>
        <w:pStyle w:val="TextoNormal"/>
      </w:pPr>
    </w:p>
    <w:p w:rsidR="00E3576C" w:rsidRDefault="00E3576C" w:rsidP="00E3576C">
      <w:pPr>
        <w:pStyle w:val="TextoNormal"/>
      </w:pPr>
      <w:r>
        <w:t>En concreto, en las condenas a penas privativas de libertad de corta duración la regla general ha sido la suspensión conforme al criterio genérico de la posible pérdida de eficacia del amparo (ATC 80/2006, de 13 de marzo, FJ 1 in fine)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el de la trayectoria, acreditada documentalmente por el recurrente, posterior a su condena (ATC 270/2002, de 11 de diciembre).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aplicación al caso de la doctrina reseñada conduce a denegar la suspensión interesada, en atención a la duración de la condena de privación de libertad recaída —cinco años </w:t>
      </w:r>
      <w:r>
        <w:lastRenderedPageBreak/>
        <w:t>y seis meses de prisión—, a lo que habría que añadir, en la línea apuntada por el Ministerio Fiscal, que los hechos delictivos por los que ha sido condenado el recurrente revisten especial gravedad, no solo por la naturaleza del hecho delictivo y del bien jurídico protegido, sino también porque se ha apreciado la concurrencia del subtipo agravado, sin que resulte acreditada la concurrencia de otras circunstancias que pudieran tener incidencia en la decisión que corresponde adoptar en el presente caso.</w:t>
      </w:r>
    </w:p>
    <w:p w:rsidR="00E3576C" w:rsidRDefault="00E3576C" w:rsidP="00E3576C">
      <w:pPr>
        <w:pStyle w:val="TextoNormal"/>
      </w:pPr>
    </w:p>
    <w:p w:rsidR="00E3576C" w:rsidRDefault="00E3576C" w:rsidP="00E3576C">
      <w:pPr>
        <w:pStyle w:val="TextoNormal"/>
      </w:pPr>
      <w:r>
        <w:t>Por lo demás, aun cuando en el escrito de 24 de abril de 2012 viene a contraerse la petición suspensiva a la ejecución de las penas de prisión impuestas al demandante de amparo, es notorio que tampoco cabría la suspensión del resto de los pronunciamientos de la Sentencia impugnada, en atención a su carácter accesorio en lo que atañe a la privación del ejercicio del derecho de sufragio pasivo (AATC 131/2001, de 22 de mayo, FJ 2; y 408/2005, de 21 de noviembre, FJ 2), y meramente patrimonial y, por tanto, susceptible de reparación, en lo que se refiere al abono de las multas y costas procesales (ATC 59/2008, de 20 de febrero, FJ 2, entre otros muchos).</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medida cautelar de suspensión solicitada por don Moisés Posada Sarmiento en el recurso de amparo núm. 1246-2011.</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3" w:name="AUTO_2012_102"/>
      <w:r>
        <w:lastRenderedPageBreak/>
        <w:t>AUTO 102/2012, de 21 de mayo de 2012</w:t>
      </w:r>
    </w:p>
    <w:bookmarkEnd w:id="243"/>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ECLI:ES:TC:2012:102A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1771-2011, promovido por don Aritz Labiano Zezeaga y otra persona.</w:t>
      </w:r>
    </w:p>
    <w:p w:rsidR="00E3576C" w:rsidRDefault="00E3576C" w:rsidP="00E3576C">
      <w:pPr>
        <w:pStyle w:val="SntesisDescriptiva"/>
      </w:pPr>
    </w:p>
    <w:p w:rsidR="00E3576C" w:rsidRDefault="00E3576C" w:rsidP="00E3576C">
      <w:pPr>
        <w:pStyle w:val="SntesisAnaltica"/>
      </w:pPr>
      <w:r>
        <w:t>Suspensión cautelar de Sentencias penales: improcedencia; pérdida sobrevenida de objeto del incidente de suspensión; costas procesales e inhabilitación absoluta,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día 23 de marzo de 2011, el Procurador de los Tribunales don Javier Cuevas Rivas, en nombre y representación de don Aritz Labiano Zezeaga y don Haritz Gartxotenea Iruretagoinea, interpuso recurso de amparo contra la Sentencia de la Sección Segunda de la Sala de lo Penal de la Audiencia Nacional, de 27 de junio de 2010, procedimiento abreviado núm. 7-2010, que condenó a cada uno de ellos, como autores responsables de un delito de enaltecimiento del terrorismo, a la pena de prisión por tiempo de un año, inhabilitación absoluta durante siete años y pago de las costas procesales, así como contra el Auto de 22 de diciembre de 2010, dictado por la Sala de lo Penal del Tribunal Supremo, que acordó no haber lugar a la admisión del recurso de casación formalizado contra la anterior resolución.</w:t>
      </w:r>
    </w:p>
    <w:p w:rsidR="00E3576C" w:rsidRDefault="00E3576C" w:rsidP="00E3576C">
      <w:pPr>
        <w:pStyle w:val="TextoNormal"/>
      </w:pPr>
    </w:p>
    <w:p w:rsidR="00E3576C" w:rsidRDefault="00E3576C" w:rsidP="00E3576C">
      <w:pPr>
        <w:pStyle w:val="TextoNormal"/>
      </w:pPr>
      <w:r>
        <w:t>En otrosí, los recurrentes solicitaban, al amparo de lo dispuesto en el art. 56 de la Ley Orgánica del Tribunal Constitucional (LOTC), la suspensión de la ejecución de las resoluciones judiciales objeto de recurso.</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providencia de 16 de abril de 2012, acordó admitir a trámite la demanda de amparo y, en aplicación de lo dispuesto en el art. 51 LOTC, constando ya las actuaciones correspondientes en la Secretaria de la Sala, dirigir comunicación a la Sección Segunda de la Sala de lo Penal de la Audiencia Nacional a fin de que procediera al emplazamiento de quienes hubieran sido parte en el procedimiento, a excepción de la parte recurrente en amparo, para que, si lo desearen, pudiesen comparecer en el plazo de diez días en el presente proceso de amparo.</w:t>
      </w:r>
    </w:p>
    <w:p w:rsidR="00E3576C" w:rsidRDefault="00E3576C" w:rsidP="00E3576C">
      <w:pPr>
        <w:pStyle w:val="TextoNormal"/>
      </w:pPr>
    </w:p>
    <w:p w:rsidR="00E3576C" w:rsidRDefault="00E3576C" w:rsidP="00E3576C">
      <w:pPr>
        <w:pStyle w:val="TextoNormal"/>
      </w:pPr>
      <w:r>
        <w:t>Por providencia de igual fecha, se acordó formar la oportuna pieza para la tramitación del incidente de suspensión y, de conformidad con lo dispuesto en el art. 56 LOTC, otorgar un plazo común de tres días a la parte solicitante de amparo y al Ministerio Fiscal para que formulasen las alegaciones que tuvieran por conveniente sobre la suspensión interesada.</w:t>
      </w:r>
    </w:p>
    <w:p w:rsidR="00E3576C" w:rsidRDefault="00E3576C" w:rsidP="00E3576C">
      <w:pPr>
        <w:pStyle w:val="TextoNormal"/>
      </w:pPr>
    </w:p>
    <w:p w:rsidR="00E3576C" w:rsidRDefault="00E3576C" w:rsidP="00E3576C">
      <w:pPr>
        <w:pStyle w:val="TextoNormal"/>
      </w:pPr>
      <w:r w:rsidRPr="00E3576C">
        <w:rPr>
          <w:rStyle w:val="NumeroAFNegritaCaracter"/>
        </w:rPr>
        <w:t>3</w:t>
      </w:r>
      <w:r>
        <w:t>. El Ministerio Fiscal evacuó el trámite de alegaciones conferido mediante escrito presentado en el Registro General de este Tribunal el 4 de mayo de 2012, considerando atendible la solicitud de suspensión de la ejecución de la pena privativa de libertad, en aplicación de la doctrina del Tribunal sobre la suspensión de las condenas a penas privativas de libertad inferiores a cinco años. En cambio, del cuerpo de su escrito se desprende abiertamente, pese a una aparente falta de concordancia entre aquél y la petición final, su oposición a la suspensión de la pena de inhabilitación absoluta, por la grave perturbación de los intereses generales que podría provocar que los recurrentes accedieran a cargos o funciones públicos, y por la falta de alegación de los posibles daños y perjuicios que se seguirían para los mismos caso de no acordarse la suspensión de la pena privativa de derechos.</w:t>
      </w:r>
    </w:p>
    <w:p w:rsidR="00E3576C" w:rsidRDefault="00E3576C" w:rsidP="00E3576C">
      <w:pPr>
        <w:pStyle w:val="TextoNormal"/>
      </w:pPr>
    </w:p>
    <w:p w:rsidR="00E3576C" w:rsidRDefault="00E3576C" w:rsidP="00E3576C">
      <w:pPr>
        <w:pStyle w:val="TextoNormal"/>
      </w:pPr>
      <w:r w:rsidRPr="00E3576C">
        <w:rPr>
          <w:rStyle w:val="NumeroAFNegritaCaracter"/>
        </w:rPr>
        <w:t>4</w:t>
      </w:r>
      <w:r>
        <w:t>. Los recurrentes, mediante escrito registrado en este Tribunal el 27 de abril de 2012, reiteraron su petición de suspensión invocando la doctrina de este Tribunal. Ponen de manifiesto en su escrito que han cumplido ya el año de condena impuesto por la Audiencia Nacional, de modo que el efecto de la suspensión recaería únicamente sobre la pena de inhabilitación absoluta, no ocasionando perturbación grave a un interés constitucionalmente protegido ni a los derechos fundamentales o libertades de otra persona. Sin embargo, a su juicio, la ejecución de la pena impuesta en lo que a la inhabilitación absoluta se refiere ocasiona un perjuicio que haría perder al amparo su finalidad, como ha sucedido con la pena de prisión ya extinguida.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De acuerdo con lo dispuesto en el art. 56.2 de la Ley Orgánica del Tribunal Constitucional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En la interpretación de dicho precepto, resultado de la reforma de la Ley Orgánica 6/2007, este Tribunal ha declarado (por todos, ATC 16/2012, de 30 de enero) que la nueva redacción del art. 56.2 LOTC tiene un contenido similar al anterior art. 56.1 LOTC, por lo que ha de mantenerse la línea doctrinal fijada en los AATC 17/1980, de 24 de septiembre; 257/1986, de 19 de marzo; 294/1989, de 5 de junio; 141/1990, de 27 de marzo; 35/1996, de 12 de febrero; 287/1997, de 21 de julio; 185/1998, de 15 de febrero; 86/1999, de 12 de abril y 99/1999, de 26 de abril, entre otros muchos, en los que se sostiene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w:t>
      </w:r>
      <w:r>
        <w:lastRenderedPageBreak/>
        <w:t>especial relieve cuando se trata de resoluciones dictadas por Jueces y Tribunales en el ejercicio de la potestad jurisdiccional que les confiere el art. 117.3 de la Constitución” (FJ 1).</w:t>
      </w:r>
    </w:p>
    <w:p w:rsidR="00E3576C" w:rsidRDefault="00E3576C" w:rsidP="00E3576C">
      <w:pPr>
        <w:pStyle w:val="TextoNormal"/>
      </w:pPr>
    </w:p>
    <w:p w:rsidR="00E3576C" w:rsidRDefault="00E3576C" w:rsidP="00E3576C">
      <w:pPr>
        <w:pStyle w:val="TextoNormal"/>
      </w:pPr>
      <w:r w:rsidRPr="00E3576C">
        <w:rPr>
          <w:rStyle w:val="NumeroAFNegritaCaracter"/>
        </w:rPr>
        <w:t>2</w:t>
      </w:r>
      <w:r>
        <w:t>. En el presente caso, de acuerdo con las manifestaciones vertidas en el escrito de alegaciones de los demandantes de amparo, carece de sentido todo pronunciamiento sobre la suspensión de la ejecución de la Sentencia en relación con la pena de prisión, toda vez que han extinguido ya su condena. Así lo hemos afirmado con reiteración al sostener que la ejecución de la resolución cuya suspensión se solicita conlleva la pérdida de objeto de la solicitud de suspensión, haciendo improcedente cualquier decisión al respecto (criterio que, en particular, hemos aplicado en supuestos en los que la pena de prisión cuya suspensión se solicitaba había sido ya cumplida —por ejemplo, ATC 1/2011, de 14 de febrero, FJ 2—).</w:t>
      </w:r>
    </w:p>
    <w:p w:rsidR="00E3576C" w:rsidRDefault="00E3576C" w:rsidP="00E3576C">
      <w:pPr>
        <w:pStyle w:val="TextoNormal"/>
      </w:pPr>
    </w:p>
    <w:p w:rsidR="00E3576C" w:rsidRDefault="00E3576C" w:rsidP="00E3576C">
      <w:pPr>
        <w:pStyle w:val="TextoNormal"/>
      </w:pPr>
      <w:r w:rsidRPr="00E3576C">
        <w:rPr>
          <w:rStyle w:val="NumeroAFNegritaCaracter"/>
        </w:rPr>
        <w:t>3</w:t>
      </w:r>
      <w:r>
        <w:t>. En relación con la pena de inhabilitación absoluta impuesta a los recurrentes, como pone de manifiesto el Ministerio Fiscal, se justifica la petición de suspensión con una retórica invocación de la irreparabilidad de los perjuicios que su ejecución conllevaría, sin explicitar los posibles daños y perjuicios que se seguirían para los demandantes de amparo caso de no acordarse la suspensión de dicha pena privativa de derechos. Tan abstracta proclamación no ha sido completada en el trámite correspondiente, previsto en el art. 56 LOTC, pues no se ha presentado alegación adicional alguna que concrete aquella irreparabilidad y la consiguiente pérdida de la finalidad del amparo. En atención a ello, hemos de llegar a un pronunciamiento denegatorio, pues hemos subrayado reiteradamente la carga de alegación y de argumentación que pesa sobre los demandantes de amparo (por todas, STC 226/2002, de 9 de diciembre, FJ 2); carga que opera también en este caso, teniendo en cuenta que la cláusula del art. 56.2 LOTC, que impide acceder a la suspensión de la ejecución cuando de la misma se derive grave perturbación de los intereses generales, se aplica también a la pena de inhabilitación absoluta (ATC 268/1998, de 26 de noviembre), y que las mismas consideraciones que con carácter general llevan a denegar la suspensión de la ejecución de las penas privativas de libertad cuando éstas son de larga duración pueden llevar también a denegar la suspensión de las penas privativas de derechos si estas penas tienen una duración muy superior al tiempo normal de tramitación de un recurso de amparo (ATC 265/1998, de 26 de noviembre), como sucede en el presente caso.</w:t>
      </w:r>
    </w:p>
    <w:p w:rsidR="00E3576C" w:rsidRDefault="00E3576C" w:rsidP="00E3576C">
      <w:pPr>
        <w:pStyle w:val="TextoNormal"/>
      </w:pPr>
    </w:p>
    <w:p w:rsidR="00E3576C" w:rsidRDefault="00E3576C" w:rsidP="00E3576C">
      <w:pPr>
        <w:pStyle w:val="TextoNormal"/>
      </w:pPr>
      <w:r w:rsidRPr="00E3576C">
        <w:rPr>
          <w:rStyle w:val="NumeroAFNegritaCaracter"/>
        </w:rPr>
        <w:t>4</w:t>
      </w:r>
      <w:r>
        <w:t>. No procede, en consecuencia, acordar la suspensión de la ejecución de ninguna de las penas que han sido impuestas a los demandantes en la Sentencia impugnada.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4" w:name="AUTO_2012_103"/>
      <w:r>
        <w:lastRenderedPageBreak/>
        <w:t>AUTO 103/2012, de 21 de mayo de 2012</w:t>
      </w:r>
    </w:p>
    <w:bookmarkEnd w:id="244"/>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ECLI:ES:TC:2012:103A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2090-2011, promovido por don Juan Esteban Castilla Borrallo y doña Maria Piedad Castilla Borrallo.</w:t>
      </w:r>
    </w:p>
    <w:p w:rsidR="00E3576C" w:rsidRDefault="00E3576C" w:rsidP="00E3576C">
      <w:pPr>
        <w:pStyle w:val="SntesisDescriptiva"/>
      </w:pPr>
    </w:p>
    <w:p w:rsidR="00E3576C" w:rsidRDefault="00E3576C" w:rsidP="00E3576C">
      <w:pPr>
        <w:pStyle w:val="SntesisAnaltica"/>
      </w:pPr>
      <w:r>
        <w:t>Suspensión cautelar de Sentencias civiles: contenido patrimonial; costas procesales,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 este Tribunal el día 6 de abril de 2011, el Procurador de los Tribunales don Luciano Rosch Nadal, en nombre y representación de don Juan Esteban y doña María Piedad Castilla Borrallo, interpuso recurso de amparo contra el Decreto de 8 de noviembre de 2010, dictado por la Sección Segunda de la Audiencia Provincial de Huelva, en el recurso de apelación núm. 201-2010, por el que se declaraba desierto el recurso de apelación interpuesto frente a la Sentencia dictada por el Juzgado de Primera Instancia e Instrucción de Aracena en fecha de 21 de mayo de 2010 en el procedimiento de juicio ordinario núm. 218-2009, y contra el Auto de 15 de febrero de 2011 de la misma Sección, que desestimó el recurso de revisión interpuesto contra aquél.</w:t>
      </w:r>
    </w:p>
    <w:p w:rsidR="00E3576C" w:rsidRDefault="00E3576C" w:rsidP="00E3576C">
      <w:pPr>
        <w:pStyle w:val="TextoNormal"/>
      </w:pPr>
    </w:p>
    <w:p w:rsidR="00E3576C" w:rsidRDefault="00E3576C" w:rsidP="00E3576C">
      <w:pPr>
        <w:pStyle w:val="TextoNormal"/>
      </w:pPr>
      <w:r w:rsidRPr="00E3576C">
        <w:rPr>
          <w:rStyle w:val="NumeroAFNegritaCaracter"/>
        </w:rPr>
        <w:t>2</w:t>
      </w:r>
      <w:r>
        <w:t>. Sucintamente expuestos, los hechos relevantes para resolver sobre la solicitud de suspensión e invocados en la demanda de amparo son los siguientes:</w:t>
      </w:r>
    </w:p>
    <w:p w:rsidR="00E3576C" w:rsidRDefault="00E3576C" w:rsidP="00E3576C">
      <w:pPr>
        <w:pStyle w:val="TextoNormal"/>
      </w:pPr>
    </w:p>
    <w:p w:rsidR="00E3576C" w:rsidRDefault="00E3576C" w:rsidP="00E3576C">
      <w:pPr>
        <w:pStyle w:val="TextoNormal"/>
      </w:pPr>
      <w:r>
        <w:t xml:space="preserve">a) Los hoy recurrentes fueron condenados por la Sentencia citada del Juzgado de Primera Instancia e Instrucción de Aracena a abonar la cantidad de cuarenta y cinco mil euros a la entidad mercantil reconviniente, con los intereses legales devengados desde la fecha del emplazamiento reconvencional. </w:t>
      </w:r>
    </w:p>
    <w:p w:rsidR="00E3576C" w:rsidRDefault="00E3576C" w:rsidP="00E3576C">
      <w:pPr>
        <w:pStyle w:val="TextoNormal"/>
      </w:pPr>
    </w:p>
    <w:p w:rsidR="00E3576C" w:rsidRDefault="00E3576C" w:rsidP="00E3576C">
      <w:pPr>
        <w:pStyle w:val="TextoNormal"/>
      </w:pPr>
      <w:r>
        <w:t>b) Frente a dicha Sentencia prepararon e interpusieron recurso de apelación, siendo emplazados tras ello por diligencia de ordenación notificada el 22 de julio de 2010 para comparecer ante la Audiencia Provincial de Huelva en el plazo de treinta días. El 29 de septiembre de 2010 los recurrentes presentaron ante dicho órgano un escrito por el que, identificando al Procurador, a la parte y al procedimiento, se personaban y solicitaban por medio de otrosí que se señalase día y hora para conferir el apoderamiento al procurador citado.</w:t>
      </w:r>
    </w:p>
    <w:p w:rsidR="00E3576C" w:rsidRDefault="00E3576C" w:rsidP="00E3576C">
      <w:pPr>
        <w:pStyle w:val="TextoNormal"/>
      </w:pPr>
    </w:p>
    <w:p w:rsidR="00E3576C" w:rsidRDefault="00E3576C" w:rsidP="00E3576C">
      <w:pPr>
        <w:pStyle w:val="TextoNormal"/>
      </w:pPr>
      <w:r>
        <w:lastRenderedPageBreak/>
        <w:t>c) En fecha de 8 de noviembre de 2010 la Sección Segunda de la Audiencia Provincial de Huelva dictó Decreto por el que se declaró desierto el recurso de apelación, con base en que los apelantes no habían comparecido en el plazo que les había sido concedido [art. 463 de la Ley de enjuiciamiento civil (LEC)], dado que el otorgamiento apud acta del poder debía realizarse al tiempo de la presentación del primer escrito o, en su caso, antes de la primera actuación (art. 24.2 LEC). Con fecha de 22 de noviembre de 2010 el Decreto fue completado añadiendo en su parte dispositiva la imposición de las costas del recurso a los apelantes.</w:t>
      </w:r>
    </w:p>
    <w:p w:rsidR="00E3576C" w:rsidRDefault="00E3576C" w:rsidP="00E3576C">
      <w:pPr>
        <w:pStyle w:val="TextoNormal"/>
      </w:pPr>
      <w:r>
        <w:t>d) Contra dicha providencia se interpuso recurso de revisión, que fue desestimado por Auto de 15 de febrero de 2011.</w:t>
      </w:r>
    </w:p>
    <w:p w:rsidR="00E3576C" w:rsidRDefault="00E3576C" w:rsidP="00E3576C">
      <w:pPr>
        <w:pStyle w:val="TextoNormal"/>
      </w:pPr>
    </w:p>
    <w:p w:rsidR="00E3576C" w:rsidRDefault="00E3576C" w:rsidP="00E3576C">
      <w:pPr>
        <w:pStyle w:val="TextoNormal"/>
      </w:pPr>
      <w:r w:rsidRPr="00E3576C">
        <w:rPr>
          <w:rStyle w:val="NumeroAFNegritaCaracter"/>
        </w:rPr>
        <w:t>3</w:t>
      </w:r>
      <w:r>
        <w:t>. En la demanda de amparo se alega que las resoluciones judiciales impugnadas han vulnerado el derecho a la tutela judicial efectiva en su concreta vertiente de derecho de acceso al recurso (art. 24.1 CE), al haber declarado desierto el recurso de apelación mediante una interpretación rigorista y desproporcionada de los requisitos legales del mismo.</w:t>
      </w:r>
    </w:p>
    <w:p w:rsidR="00E3576C" w:rsidRDefault="00E3576C" w:rsidP="00E3576C">
      <w:pPr>
        <w:pStyle w:val="TextoNormal"/>
      </w:pPr>
    </w:p>
    <w:p w:rsidR="00E3576C" w:rsidRDefault="00E3576C" w:rsidP="00E3576C">
      <w:pPr>
        <w:pStyle w:val="TextoNormal"/>
      </w:pPr>
      <w:r w:rsidRPr="00E3576C">
        <w:rPr>
          <w:rStyle w:val="NumeroAFNegritaCaracter"/>
        </w:rPr>
        <w:t>4</w:t>
      </w:r>
      <w:r>
        <w:t>. La Sala Segunda de este Tribunal, por providencia de 20 de octubre de 2011, acordó admitir a trámite la demanda de amparo y, con arreglo al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 los demandantes de amparo, para que, si lo desearen, pudiesen comparecer en el plazo de diez días en el presente proceso de amparo.</w:t>
      </w:r>
    </w:p>
    <w:p w:rsidR="00E3576C" w:rsidRDefault="00E3576C" w:rsidP="00E3576C">
      <w:pPr>
        <w:pStyle w:val="TextoNormal"/>
      </w:pPr>
    </w:p>
    <w:p w:rsidR="00E3576C" w:rsidRDefault="00E3576C" w:rsidP="00E3576C">
      <w:pPr>
        <w:pStyle w:val="TextoNormal"/>
      </w:pPr>
      <w:r w:rsidRPr="00E3576C">
        <w:rPr>
          <w:rStyle w:val="NumeroAFNegritaCaracter"/>
        </w:rPr>
        <w:t>5</w:t>
      </w:r>
      <w:r>
        <w:t>. Una vez recibidas las actuaciones y comparecidas las partes, por providencia de 30 de noviembre de 2011, la Sala acordó darles vista de las mismas aquéllas y al Ministerio Fiscal por plazo común de veinte días, dentro del que podían presentar las alegaciones que estimasen pertinentes.</w:t>
      </w:r>
    </w:p>
    <w:p w:rsidR="00E3576C" w:rsidRDefault="00E3576C" w:rsidP="00E3576C">
      <w:pPr>
        <w:pStyle w:val="TextoNormal"/>
      </w:pPr>
    </w:p>
    <w:p w:rsidR="00E3576C" w:rsidRDefault="00E3576C" w:rsidP="00E3576C">
      <w:pPr>
        <w:pStyle w:val="TextoNormal"/>
      </w:pPr>
      <w:r w:rsidRPr="00E3576C">
        <w:rPr>
          <w:rStyle w:val="NumeroAFNegritaCaracter"/>
        </w:rPr>
        <w:t>6</w:t>
      </w:r>
      <w:r>
        <w:t xml:space="preserve">. Los recurrentes evacuaron el trámite conferido mediante escrito que tuvo entrada en el Registro General de este Tribunal en fecha de 3 de enero de 2012. En él se ratificaban en el recurso de amparo interpuesto y añadían que en el recurso de apelación origen de la demanda de amparo se había dictado diligencia de ordenación de 1 de diciembre de 2011 por la que se les emplazaba para impugnar la tasación de las costas del recurso a cuyo pago habían sido condenados, diligencia de ordenación que los demandantes de amparo habían recurrido por no haberles dado la parte contraria traslado de la solicitud de la tasación ni de las minutas de honorarios presentadas, lo cual infringía a su juicio los arts. 9.1, 3 y 24 de la Constitución. En este recurso, además, don Juan Esteban y doña María Piedad Castilla habían solicitado la suspensión del plazo para la impugnación de la tasación de costas, pero sobre ello la Sección Segunda de la Audiencia Provincial de Huelva no había proveído. Por todo ello, terminaban suplicando del Tribunal Constitucional que, con arreglo al art. 56 LOTC, suspendiese el trámite actual del recurso de apelación, dado que la indebida ejecución de los Decretos de 8 y 22 de noviembre de 2010 les supondría otro grave perjuicio que podría hacer perder al amparo su finalidad, en concreto, los gastos procesales derivados de las costas impuestas a consecuencia del improcedente pronunciamiento judicial que les tuvo por desistidos de la apelación, gastos a los que habría que añadir los ya ocasionados por la </w:t>
      </w:r>
      <w:r>
        <w:lastRenderedPageBreak/>
        <w:t>ejecución provisional de la Sentencia que no pudo ser recurrida, que han ascendido a la cantidad de cincuenta y ocho mil quinientos euros.</w:t>
      </w:r>
    </w:p>
    <w:p w:rsidR="00E3576C" w:rsidRDefault="00E3576C" w:rsidP="00E3576C">
      <w:pPr>
        <w:pStyle w:val="TextoNormal"/>
      </w:pPr>
    </w:p>
    <w:p w:rsidR="00E3576C" w:rsidRDefault="00E3576C" w:rsidP="00E3576C">
      <w:pPr>
        <w:pStyle w:val="TextoNormal"/>
      </w:pPr>
      <w:r w:rsidRPr="00E3576C">
        <w:rPr>
          <w:rStyle w:val="NumeroAFNegritaCaracter"/>
        </w:rPr>
        <w:t>7</w:t>
      </w:r>
      <w:r>
        <w:t>. Por providencia de 9 de enero de 2012, la Sala Segunda acordó formar la oportuna pieza para la tramitación del incidente de suspensión y otorgar un plazo común de tres días a la parte recurrente, partes personadas y al Ministerio Fiscal para que formulasen las alegaciones que tuvieran por conveniente sobre la suspensión interesada, con arreglo a lo dispuesto en el art. 56.4 LOTC.</w:t>
      </w:r>
    </w:p>
    <w:p w:rsidR="00E3576C" w:rsidRDefault="00E3576C" w:rsidP="00E3576C">
      <w:pPr>
        <w:pStyle w:val="TextoNormal"/>
      </w:pPr>
    </w:p>
    <w:p w:rsidR="00E3576C" w:rsidRDefault="00E3576C" w:rsidP="00E3576C">
      <w:pPr>
        <w:pStyle w:val="TextoNormal"/>
      </w:pPr>
      <w:r w:rsidRPr="00E3576C">
        <w:rPr>
          <w:rStyle w:val="NumeroAFNegritaCaracter"/>
        </w:rPr>
        <w:t>8</w:t>
      </w:r>
      <w:r>
        <w:t>. La representación procesal de los demandantes de amparo evacuó el citado trámite a través de un escrito presentado en el Registro General de este Tribunal el 18 de enero de 2012, en el que reiteró su solicitud.</w:t>
      </w:r>
    </w:p>
    <w:p w:rsidR="00E3576C" w:rsidRDefault="00E3576C" w:rsidP="00E3576C">
      <w:pPr>
        <w:pStyle w:val="TextoNormal"/>
      </w:pPr>
    </w:p>
    <w:p w:rsidR="00E3576C" w:rsidRDefault="00E3576C" w:rsidP="00E3576C">
      <w:pPr>
        <w:pStyle w:val="TextoNormal"/>
      </w:pPr>
      <w:r w:rsidRPr="00E3576C">
        <w:rPr>
          <w:rStyle w:val="NumeroAFNegritaCaracter"/>
        </w:rPr>
        <w:t>9</w:t>
      </w:r>
      <w:r>
        <w:t>. La representación de la parte apelada en el procedimiento de origen, Sierra Alta de Huelva, S.L., mediante escrito registrado en fecha de 19 de enero de 2012 se opuso a la suspensión interesada alegando, en primer lugar, que el perjuicio que los recurrentes pretendían evitar mediante la suspensión era de carácter meramente económico y, por tanto, no irreparable (AATC 287/1997, 106/2000, y 249/2000) y, en segundo lugar, que la denegación de la suspensión no supondría la ejecución de la resolución, al tratarse de un Decreto no ejecutable, de trámite y no de fondo.</w:t>
      </w:r>
    </w:p>
    <w:p w:rsidR="00E3576C" w:rsidRDefault="00E3576C" w:rsidP="00E3576C">
      <w:pPr>
        <w:pStyle w:val="TextoNormal"/>
      </w:pPr>
    </w:p>
    <w:p w:rsidR="00E3576C" w:rsidRDefault="00E3576C" w:rsidP="00E3576C">
      <w:pPr>
        <w:pStyle w:val="TextoNormal"/>
      </w:pPr>
      <w:r w:rsidRPr="00E3576C">
        <w:rPr>
          <w:rStyle w:val="NumeroAFNegritaCaracter"/>
        </w:rPr>
        <w:t>10</w:t>
      </w:r>
      <w:r>
        <w:t>. El Ministerio Fiscal, en su escrito de alegaciones presentado el 31 de enero de 2012, pide que se deniegue la suspensión solicitada, en la medida en que el recurrente cuestiona la validez de las resoluciones dictadas en el incidente de impugnación de las costas procesales causadas en la apelación, sin acreditar el grave perjuicio que podría hacer perder al amparo su finalidad y teniendo el alegado un indudable contenido meramente económico, lo que determina la denegación con arreglo a la reiterada doctrina del Tribunal Constitucional en la materia (AATC 573/1985, 65/1999, 56/2004, 174/2004, y 366/2005).</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56. 1 y 2 de la Ley Orgánica del Tribunal Constitucional (en la redacción dada por Ley Orgánica 6/2007, de 24 de mayo) dispone que “[l]a interposición del recurso de amparo no suspenderá los efectos del acto o sentencia impugnados.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Como sostuvimos en el reciente ATC 112/2011, de 18 de julio (FJ 1),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w:t>
      </w:r>
      <w:r>
        <w:lastRenderedPageBreak/>
        <w:t>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E3576C" w:rsidRDefault="00E3576C" w:rsidP="00E3576C">
      <w:pPr>
        <w:pStyle w:val="TextoNormal"/>
      </w:pPr>
    </w:p>
    <w:p w:rsidR="00E3576C" w:rsidRDefault="00E3576C" w:rsidP="00E3576C">
      <w:pPr>
        <w:pStyle w:val="TextoNormal"/>
      </w:pPr>
      <w:r>
        <w:t>Asimismo,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ó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(ATC 22/2009, de 26 de enero, FJ 4). Entre las resoluciones de contenido económico cuya suspensión no resulta procedente por dicho motivo se encuentran, según doctrina reiterada, las relativas a las costas procesales (ATC 207/2010, de 30 de diciembre, FJ único).</w:t>
      </w:r>
    </w:p>
    <w:p w:rsidR="00E3576C" w:rsidRDefault="00E3576C" w:rsidP="00E3576C">
      <w:pPr>
        <w:pStyle w:val="TextoNormal"/>
      </w:pPr>
    </w:p>
    <w:p w:rsidR="00E3576C" w:rsidRDefault="00E3576C" w:rsidP="00E3576C">
      <w:pPr>
        <w:pStyle w:val="TextoNormal"/>
      </w:pPr>
      <w:r w:rsidRPr="00E3576C">
        <w:rPr>
          <w:rStyle w:val="NumeroAFNegritaCaracter"/>
        </w:rPr>
        <w:t>2</w:t>
      </w:r>
      <w:r>
        <w:t>. En el recurso de amparo ahora enjuiciado se solicita la suspensión de la tramitación del incidente de impugnación de la tasación de las costas practicada en el recurso de apelación, cuya decisión y, en su caso, ejecución, no podría ocasionar perjuicios más que de índole económica a los demandantes de amparo, en concreto la obligación del pago de su cuantía, de la que no se alega ni acredita en la solicitud que atendidas las circunstancias concretas del caso, sus consecuencias resulten difícilmente reparables. En consecuencia, con arreglo a la doctrina referida, la suspensión debe ser denegada.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medida cautelar de suspensión solicitada por don Juan Esteban Castilla Borrallo y doña María Piedad Castilla Borrallo en el recurso de amparo núm. 2090-2011.</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5" w:name="AUTO_2012_104"/>
      <w:r>
        <w:lastRenderedPageBreak/>
        <w:t>AUTO 104/2012, de 21 de mayo de 2012</w:t>
      </w:r>
    </w:p>
    <w:bookmarkEnd w:id="245"/>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ECLI:ES:TC:2012:104A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Mantiene la suspensión acordada por providencia, y confirmada por el ATC 19/2012, de 30 de enero, en el recurso de amparo 5822-2011, promovido por don Pedro González-Trevijano Sánchez.</w:t>
      </w:r>
    </w:p>
    <w:p w:rsidR="00E3576C" w:rsidRDefault="00E3576C" w:rsidP="00E3576C">
      <w:pPr>
        <w:pStyle w:val="SntesisDescriptiva"/>
      </w:pPr>
    </w:p>
    <w:p w:rsidR="00E3576C" w:rsidRDefault="00E3576C" w:rsidP="00E3576C">
      <w:pPr>
        <w:pStyle w:val="SntesisAnaltica"/>
      </w:pPr>
      <w:r>
        <w:t>Suspensión cautelar de Sentencias contencioso-administrativas: nombramiento de funcionarios públicos, suspende; perjuicios irreparables. Suspensión de la ejecución del acto que origina el amparo: mantenimiento de la suspensión. Universidades: elecciones claustrales; rectores universitarios.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presentado en el Registro General de este Tribunal el 27 de octubre de 2011, la Procuradora de los Tribunales doña Pilar Cermeño Roco, actuando en nombre y representación de don Pedro González-Trevijano Sánchez, interpuso recurso de amparo constitucional contra la Sentencia de la Sección Octava de la Sala de lo Contencioso-Administrativo del Tribunal Superior de Justicia de Madrid recaída el 3 de junio de 2011 en el rollo de apelación núm. 160-2011 y contra el Auto de 7 de octubre de 2011 que desestimó el incidente de nulidad de actuaciones promovido contra aquélla, alegándose en la demanda de amparo la vulneración del derecho constitucional a acceder en condiciones de igualdad a las funciones y cargos públicos, con los requisitos que señalen las leyes (art. 23.2 CE).</w:t>
      </w:r>
    </w:p>
    <w:p w:rsidR="00E3576C" w:rsidRDefault="00E3576C" w:rsidP="00E3576C">
      <w:pPr>
        <w:pStyle w:val="TextoNormal"/>
      </w:pPr>
    </w:p>
    <w:p w:rsidR="00E3576C" w:rsidRDefault="00E3576C" w:rsidP="00E3576C">
      <w:pPr>
        <w:pStyle w:val="TextoNormal"/>
      </w:pPr>
      <w:r w:rsidRPr="00E3576C">
        <w:rPr>
          <w:rStyle w:val="NumeroAFNegritaCaracter"/>
        </w:rPr>
        <w:t>2</w:t>
      </w:r>
      <w:r>
        <w:t>. Mediante providencia de 19 de diciembre de 2011 la Sala Segunda de este Tribunal Constitucional acordó la admisión a trámite de la demanda de amparo, así como, por apreciar las condiciones a que se refiere el art. 56.3 de la Ley Orgánica del Tribunal Constitucional (LOTC), suspender la ejecución de las mencionadas resoluciones judiciales objeto de impugnación.</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el ATC 19/2012, de 30 de enero, la Sala acordó mantener la medida cautelar de suspensión acordada en la providencia de 19 de diciembre de 2011.</w:t>
      </w:r>
    </w:p>
    <w:p w:rsidR="00E3576C" w:rsidRDefault="00E3576C" w:rsidP="00E3576C">
      <w:pPr>
        <w:pStyle w:val="TextoNormal"/>
      </w:pPr>
    </w:p>
    <w:p w:rsidR="00E3576C" w:rsidRDefault="00E3576C" w:rsidP="00E3576C">
      <w:pPr>
        <w:pStyle w:val="TextoNormal"/>
      </w:pPr>
      <w:r w:rsidRPr="00E3576C">
        <w:rPr>
          <w:rStyle w:val="NumeroAFNegritaCaracter"/>
        </w:rPr>
        <w:t>4</w:t>
      </w:r>
      <w:r>
        <w:t>. El 8 de febrero de 2012 la representación procesal de don David Ríos Insua —quien se ha personado como parte en el proceso de amparo— solicitó que se le otorgara audiencia en la presente pieza de medidas cautelares.</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5</w:t>
      </w:r>
      <w:r>
        <w:t>. Por providencia de 27 de febrero de 2012 la Sala acordó: “El anterior escrito presentado el 8 de febrero de 2012 por la Procuradora doña Myriam González Fernández en nombre y representación de don David Ríos Insua solicitando ser oído en el incidente de suspensión dimanante del presente recurso de amparo, únase a la pieza de medidas cautelares y, habiendo recaído el Auto de 30 de enero de 2012, notifíquesele a fin de que tenga conocimiento del mismo, así como a la representación procesal de la Universidad Rey Juan Carlos, que también se ha personado en las actuaciones con posterioridad a haber precluido el plazo de tres días para formular alegaciones que fue abierto por providencia de fecha 19 de diciembre de 2011; todo ello sin perjuicio de que las partes puedan formular nuevas pretensiones al amparo del art. 57 LOTC”.</w:t>
      </w:r>
    </w:p>
    <w:p w:rsidR="00E3576C" w:rsidRDefault="00E3576C" w:rsidP="00E3576C">
      <w:pPr>
        <w:pStyle w:val="TextoNormal"/>
      </w:pPr>
    </w:p>
    <w:p w:rsidR="00E3576C" w:rsidRDefault="00E3576C" w:rsidP="00E3576C">
      <w:pPr>
        <w:pStyle w:val="TextoNormal"/>
      </w:pPr>
      <w:r w:rsidRPr="00E3576C">
        <w:rPr>
          <w:rStyle w:val="NumeroAFNegritaCaracter"/>
        </w:rPr>
        <w:t>6</w:t>
      </w:r>
      <w:r>
        <w:t>. El 29 de marzo de 2009 don David Ríos Insua presentó un nuevo escrito en el que solicitaba el levantamiento de la medida cautelar acordada y, subsidiariamente, la exigencia al demandante de amparo de fianza suficiente para hacer frente a los daños y perjuicios que pudieran originarse.</w:t>
      </w:r>
    </w:p>
    <w:p w:rsidR="00E3576C" w:rsidRDefault="00E3576C" w:rsidP="00E3576C">
      <w:pPr>
        <w:pStyle w:val="TextoNormal"/>
      </w:pPr>
    </w:p>
    <w:p w:rsidR="00E3576C" w:rsidRDefault="00E3576C" w:rsidP="00E3576C">
      <w:pPr>
        <w:pStyle w:val="TextoNormal"/>
      </w:pPr>
      <w:r>
        <w:t xml:space="preserve">A tal fin comienza exponiendo que si su personación se produjo una vez precluido el plazo de tres días para formular alegaciones que fue abierto por la providencia de 19 de diciembre de 2011, ello fue debido a que no tuvo oportunidad de personarse hasta que fue emplazado por el Juzgado de lo Contencioso-Administrativo, sin que le fuera notificada en ese momento la admisión a trámite del recurso de amparo ni la medida cautelar adoptada inaudita parte, por lo que en modo alguno pudo presentar alegaciones, situación ésta que le ha causado indefensión, máxime si se tiene en cuenta que cuando recaiga sentencia en este proceso de amparo ya habrá transcurrido el plazo de cuatro años del mandato rectoral. </w:t>
      </w:r>
    </w:p>
    <w:p w:rsidR="00E3576C" w:rsidRDefault="00E3576C" w:rsidP="00E3576C">
      <w:pPr>
        <w:pStyle w:val="TextoNormal"/>
      </w:pPr>
    </w:p>
    <w:p w:rsidR="00E3576C" w:rsidRDefault="00E3576C" w:rsidP="00E3576C">
      <w:pPr>
        <w:pStyle w:val="TextoNormal"/>
      </w:pPr>
      <w:r>
        <w:t xml:space="preserve">Tras ello solicita el levantamiento de la suspensión, al amparo del art. 57 LOTC, calificando de contradictorios los argumentos del demandante de amparo para pedir la suspensión y poniendo de relieve que la ejecución de la Sentencia dictada por el Tribunal Superior de Justicia de Madrid no supondría ninguna inestabilidad en la organización y funcionamiento de la Universidad Rey Juan Carlos, puesto que sus estatutos contemplan la figura del Rector en funciones durante un periodo de tres meses; del mismo modo que tampoco afectaría al censo electoral, pues la cuestión está igualmente prevista en los estatutos; por último, tampoco causaría perjuicio que a la elecciones sólo concurriese un candidato, pues tal situación ya se ha producido en ocasiones precedentes. </w:t>
      </w:r>
    </w:p>
    <w:p w:rsidR="00E3576C" w:rsidRDefault="00E3576C" w:rsidP="00E3576C">
      <w:pPr>
        <w:pStyle w:val="TextoNormal"/>
      </w:pPr>
    </w:p>
    <w:p w:rsidR="00E3576C" w:rsidRDefault="00E3576C" w:rsidP="00E3576C">
      <w:pPr>
        <w:pStyle w:val="TextoNormal"/>
      </w:pPr>
      <w:r>
        <w:t>Subsidiariamente, solicita que se imponga al demandante de amparo una caución equivalente al sueldo y demás emolumentos que corresponden al cargo de Rector, para hacer frente a los perjuicios que se producirían si el recurso de amparo se resuelve una vez concluido el mandato rectoral en curso.</w:t>
      </w:r>
    </w:p>
    <w:p w:rsidR="00E3576C" w:rsidRDefault="00E3576C" w:rsidP="00E3576C">
      <w:pPr>
        <w:pStyle w:val="TextoNormal"/>
      </w:pPr>
    </w:p>
    <w:p w:rsidR="00E3576C" w:rsidRDefault="00E3576C" w:rsidP="00E3576C">
      <w:pPr>
        <w:pStyle w:val="TextoNormal"/>
      </w:pPr>
      <w:r w:rsidRPr="00E3576C">
        <w:rPr>
          <w:rStyle w:val="NumeroAFNegritaCaracter"/>
        </w:rPr>
        <w:t>7</w:t>
      </w:r>
      <w:r>
        <w:t>. Dado traslado del anterior escrito a las demás partes, el demandante de amparo, mediante escrito registrado el 10 de abril de 2012, pide que se desestime la petición de alzamiento de la suspensión, remitiéndose al contenido de la providencia de 19 de diciembre de 2011, al Auto de 30 de enero de 2012, así como a sus propios escritos de demanda y alegaciones, y al del Ministerio Fiscal. Por último, entiende que no procede la prestación de fianza, pues la Sala no lo ha estimado preciso y, estando actualmente ejerciendo el cargo de Rector, resulta evidente que tiene derecho a cobrar el sueldo correspondiente.</w:t>
      </w:r>
    </w:p>
    <w:p w:rsidR="00E3576C" w:rsidRDefault="00E3576C" w:rsidP="00E3576C">
      <w:pPr>
        <w:pStyle w:val="TextoNormal"/>
      </w:pPr>
    </w:p>
    <w:p w:rsidR="00E3576C" w:rsidRDefault="00E3576C" w:rsidP="00E3576C">
      <w:pPr>
        <w:pStyle w:val="TextoNormal"/>
      </w:pPr>
      <w:r w:rsidRPr="00E3576C">
        <w:rPr>
          <w:rStyle w:val="NumeroAFNegritaCaracter"/>
        </w:rPr>
        <w:t>8</w:t>
      </w:r>
      <w:r>
        <w:t>. Igualmente, la representación procesal de la Universidad Rey Juan Carlos, en escrito presentado el 11 de abril de 2012, pide que se desestimen las peticiones formuladas de contrario. Tras poner de manifiesto la corrección procesal con que ha actuado esta Sala, se opone al levantamiento de la suspensión acordada, señalando que dicha suspensión no perturba los derechos fundamentales o libertades públicas del solicitante ya que, como se indica en el Auto de 30 de enero de 2012, la ejecución de la Sentencia recurrida comportaría la celebración de unas nuevas elecciones rectorales, por lo que quien en el proceso contencioso-administrativo obtuvo Sentencia favorable no ostenta en su virtud un derecho a ejercer el cargo de Rector sino una expectativa de acceso al mismo, supeditada al resultado de un nuevo proceso electoral.</w:t>
      </w:r>
    </w:p>
    <w:p w:rsidR="00E3576C" w:rsidRDefault="00E3576C" w:rsidP="00E3576C">
      <w:pPr>
        <w:pStyle w:val="TextoNormal"/>
      </w:pPr>
    </w:p>
    <w:p w:rsidR="00E3576C" w:rsidRDefault="00E3576C" w:rsidP="00E3576C">
      <w:pPr>
        <w:pStyle w:val="TextoNormal"/>
      </w:pPr>
      <w:r>
        <w:t>Expone también que las circunstancias que llevaron a adoptar la medida cautelar son las mismas en la actualidad, no existiendo ninguna otra sobrevenida o que fuera desconocida al sustanciarse el incidente. Por último, rechaza la fijación de fianza, afirmando que el peticionario no ha sufrido ningún perjuicio, pues no ostenta derecho alguno, sino una mera expectativa a acceder al cargo de Rector; y, en su caso, la determinación de los perjuicios se hará en un momento posterior al pronunciamiento de la sentencia.</w:t>
      </w:r>
    </w:p>
    <w:p w:rsidR="00E3576C" w:rsidRDefault="00E3576C" w:rsidP="00E3576C">
      <w:pPr>
        <w:pStyle w:val="TextoNormal"/>
      </w:pPr>
    </w:p>
    <w:p w:rsidR="00E3576C" w:rsidRDefault="00E3576C" w:rsidP="00E3576C">
      <w:pPr>
        <w:pStyle w:val="TextoNormal"/>
      </w:pPr>
      <w:r w:rsidRPr="00E3576C">
        <w:rPr>
          <w:rStyle w:val="NumeroAFNegritaCaracter"/>
        </w:rPr>
        <w:t>9</w:t>
      </w:r>
      <w:r>
        <w:t>. El 25 de abril de 2012 presentó su escrito de alegaciones el Ministerio Fiscal en el que comienza rechazando que en la tramitación del incidente suspensivo se haya ocasionado indefensión alguna, puesto que malamente pudo practicarse lo acordado en la providencia de 19 de diciembre de 2011 en relación a quien todavía no era parte en el proceso de amparo; a lo cual se añade que ello no ha impedido que ahora solicite el levantamiento de la suspensión acordada.</w:t>
      </w:r>
    </w:p>
    <w:p w:rsidR="00E3576C" w:rsidRDefault="00E3576C" w:rsidP="00E3576C">
      <w:pPr>
        <w:pStyle w:val="TextoNormal"/>
      </w:pPr>
    </w:p>
    <w:p w:rsidR="00E3576C" w:rsidRDefault="00E3576C" w:rsidP="00E3576C">
      <w:pPr>
        <w:pStyle w:val="TextoNormal"/>
      </w:pPr>
      <w:r>
        <w:t>En cuanto al fondo, señala que no se han aportado elementos suficientes que desvirtúen los motivos que sirvieron para adoptar la medida cautelar. También rechaza que se fije una caución pues, como se dijo en el Auto de 30 de enero de 2012 que mantuvo la suspensión, el peticionario no ostenta un derecho a ser nombrado Rector sino una expectativa de ser elegido tras el oportuno proceso electoral.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La representación procesal de don David Ríos Insua, al amparo del art. 57 de la Ley Orgánica del Tribunal Constitucional (LOTC), solicita el levantamiento de la medida cautelar adoptada en el presente proceso de amparo y, subsidiariamente, que se imponga al demandante la prestación de fianza para atender a los eventuales perjuicios que pudieran causarse. </w:t>
      </w:r>
    </w:p>
    <w:p w:rsidR="00E3576C" w:rsidRDefault="00E3576C" w:rsidP="00E3576C">
      <w:pPr>
        <w:pStyle w:val="TextoNormal"/>
      </w:pPr>
    </w:p>
    <w:p w:rsidR="00E3576C" w:rsidRDefault="00E3576C" w:rsidP="00E3576C">
      <w:pPr>
        <w:pStyle w:val="TextoNormal"/>
      </w:pPr>
      <w:r>
        <w:t xml:space="preserve">Antes de resolver tales peticiones se hace necesaria alguna consideración sobre la corrección procesal con que se ha tramitado la presente pieza de medidas cautelares, ante las dudas expresadas al respecto por la parte que promueve esta resolución. Pues bien, no siendo discutible la competencia de este Tribunal para acordar medidas cautelares inaudita parte en la providencia en que se admita a trámite un recurso de amparo (art. 56.6 LOTC), el propio Tribunal ha considerado necesario, pese a no exigirlo el precepto legal, dictar siempre una </w:t>
      </w:r>
      <w:r>
        <w:lastRenderedPageBreak/>
        <w:t>posterior resolución motivada en la que se mantenga, modifique o levante la medida inicialmente acordada, tras oír a las partes. Claramente, esa audiencia ha de entenderse con quienes ya desde el momento mismo de la admisión a trámite de la demanda son partes necesarias del proceso de amparo: el propio demandante y el Ministerio Fiscal. Pero es también obvio que en ese momento inicial no hay más partes, ni es posible anticipar si las habrá, pues la personación de otras eventuales partes es voluntaria e incierta en el tiempo, ya que sólo tendrá lugar tras los emplazamientos llevados a cabo por el órgano judicial.</w:t>
      </w:r>
    </w:p>
    <w:p w:rsidR="00E3576C" w:rsidRDefault="00E3576C" w:rsidP="00E3576C">
      <w:pPr>
        <w:pStyle w:val="TextoNormal"/>
      </w:pPr>
    </w:p>
    <w:p w:rsidR="00E3576C" w:rsidRDefault="00E3576C" w:rsidP="00E3576C">
      <w:pPr>
        <w:pStyle w:val="TextoNormal"/>
      </w:pPr>
      <w:r>
        <w:t>Por consiguiente, dado el carácter perentorio, y a veces apremiante, de las medidas cautelares, es práctica constante de este Tribunal que la audiencia a las partes se lleve a cabo sólo con las que estén personadas al tiempo de sustanciarse el incidente, sin esperar a personaciones futuras. Por ello hemos señalado en ocasiones precedentes que no es un motivo suficiente para reabrir el incidente de suspensión la eventualidad de que quienes lo solicitan no hubieran sido oídos oportunamente en la pieza de suspensión, si al sustanciarse ésta no se hubiesen podido personar en el recurso de amparo (AATC 834/1985, de 27 de noviembre, FJ 1; 671/1987, de 3 de junio, FJ único; y 54/1989, de 31 de enero, FJ 1). Como dijimos en el ATC 493/1989, de 16 de octubre (FJ 1), “se ha reiterado por este Tribunal que la adopción de una medida cautelar como la suspensión en un momento del procedimiento en el que aún no se han personado los afectados no implica indefensión alguna de éstos; como tal medida cautelar, se adopta a la vista de las alegaciones del recurrente y con intervención del Ministerio Fiscal”.</w:t>
      </w:r>
    </w:p>
    <w:p w:rsidR="00E3576C" w:rsidRDefault="00E3576C" w:rsidP="00E3576C">
      <w:pPr>
        <w:pStyle w:val="TextoNormal"/>
      </w:pPr>
    </w:p>
    <w:p w:rsidR="00E3576C" w:rsidRDefault="00E3576C" w:rsidP="00E3576C">
      <w:pPr>
        <w:pStyle w:val="TextoNormal"/>
      </w:pPr>
      <w:r>
        <w:t>Ahora bien, ello no es obstáculo para que si se producen otras personaciones pueda hacerse uso de las previsiones del art. 57 LOTC, pues, en efecto, la circunstancia de que una determinada parte no haya sido oída en la pieza separada de suspensión no impide que la misma pueda solicitar, tras su personación, la modificación de la resolución recaída en el incidente de suspensión (ATC 87/1992, de 30 de marzo, FJ 1), tal y como ahora acontece.</w:t>
      </w:r>
    </w:p>
    <w:p w:rsidR="00E3576C" w:rsidRDefault="00E3576C" w:rsidP="00E3576C">
      <w:pPr>
        <w:pStyle w:val="TextoNormal"/>
      </w:pPr>
    </w:p>
    <w:p w:rsidR="00E3576C" w:rsidRDefault="00E3576C" w:rsidP="00E3576C">
      <w:pPr>
        <w:pStyle w:val="TextoNormal"/>
      </w:pPr>
      <w:r w:rsidRPr="00E3576C">
        <w:rPr>
          <w:rStyle w:val="NumeroAFNegritaCaracter"/>
        </w:rPr>
        <w:t>2</w:t>
      </w:r>
      <w:r>
        <w:t>. Una vez precisado lo anterior, debemos recordar que, como consecuencia del carácter instrumental de las medidas cautelares, resulta consustancial a las mismas la posibilidad de que el Tribunal pueda modificar su decisión en cualquier momento y cuantas veces sea preciso, mientras no recaiga resolución que ponga fin al proceso de amparo, pues tales medidas se adoptan atendiendo a las circunstancias fácticas existentes al interponerse el recurso y, en consecuencia, son modificables siempre que el Tribunal aprecie que se ha producido un cambio en dichas circunstancias que lo hagan necesario o aconsejable.</w:t>
      </w:r>
    </w:p>
    <w:p w:rsidR="00E3576C" w:rsidRDefault="00E3576C" w:rsidP="00E3576C">
      <w:pPr>
        <w:pStyle w:val="TextoNormal"/>
      </w:pPr>
    </w:p>
    <w:p w:rsidR="00E3576C" w:rsidRDefault="00E3576C" w:rsidP="00E3576C">
      <w:pPr>
        <w:pStyle w:val="TextoNormal"/>
      </w:pPr>
      <w:r>
        <w:t>Sin embargo, en el presente caso no se aprecian razones para modificar la decisión adoptada, pues ya tuvimos entonces en consideración las consecuencias que la suspensión podía tener para terceros aunque no hubieran sido oídos en ese momento. Así, consideramos que “ninguna perturbación grave de intereses constitucionalmente protegidos se sigue para la Universidad Rey Juan Carlos porque el actor continúe en el ejercicio del cargo, al que accedió por elección de la comunidad universitaria, en cuanto que, aun cuando sea en el régimen de provisionalidad que se deriva de la pendencia del presente proceso de amparo, la gestión de la referida Universidad no sufre menoscabo alguno por la circunstancia de que sea el demandante quien continúe desempeñando el referido cargo”. Tal apreciación ha sido compartida por la propia Universidad Rey Juan Carlos en este trámite.</w:t>
      </w:r>
    </w:p>
    <w:p w:rsidR="00E3576C" w:rsidRDefault="00E3576C" w:rsidP="00E3576C">
      <w:pPr>
        <w:pStyle w:val="TextoNormal"/>
      </w:pPr>
    </w:p>
    <w:p w:rsidR="00E3576C" w:rsidRDefault="00E3576C" w:rsidP="00E3576C">
      <w:pPr>
        <w:pStyle w:val="TextoNormal"/>
      </w:pPr>
      <w:r>
        <w:lastRenderedPageBreak/>
        <w:t>Del mismo modo, tampoco apreciamos que con el mantenimiento de la suspensión quedasen perturbados gravemente derechos fundamentales o libertades públicas del señor Ríos Insua. Ahora debe reiterarse que no estamos ante un supuesto en el que los perjuicios que al recurrente en amparo ocasiona la situación creada por la Sentencia impugnada sean los mismos, aunque en sentido inverso, que los que se producen a la parte contraria en el caso de mantenerse la suspensión, en cuyo caso, ante una paridad de posiciones en que pudieran encontrarse las partes, el interés general en el cumplimiento de las resoluciones judiciales habría de llevar a considerar improcedente la suspensión, sino que, por el contrario, lo que la ejecución de la Sentencia recurrida comportaría es la celebración de unas nuevas elecciones rectorales, por lo que el peticionario no ostenta un derecho a ejercer el cargo de Rector sino una expectativa de acceso al mismo, supeditada al resultado de un nuevo proceso electoral.</w:t>
      </w:r>
    </w:p>
    <w:p w:rsidR="00E3576C" w:rsidRDefault="00E3576C" w:rsidP="00E3576C">
      <w:pPr>
        <w:pStyle w:val="TextoNormal"/>
      </w:pPr>
    </w:p>
    <w:p w:rsidR="00E3576C" w:rsidRDefault="00E3576C" w:rsidP="00E3576C">
      <w:pPr>
        <w:pStyle w:val="TextoNormal"/>
      </w:pPr>
      <w:r w:rsidRPr="00E3576C">
        <w:rPr>
          <w:rStyle w:val="NumeroAFNegritaCaracter"/>
        </w:rPr>
        <w:t>3</w:t>
      </w:r>
      <w:r>
        <w:t>. Subsidiariamente se solicita que se imponga al demandante de amparo una caución equivalente al sueldo y demás emolumentos que corresponden al cargo de Rector, para hacer frente a los perjuicios que se producirían si el recurso de amparo se resuelve una vez concluido el mandato rectoral.</w:t>
      </w:r>
    </w:p>
    <w:p w:rsidR="00E3576C" w:rsidRDefault="00E3576C" w:rsidP="00E3576C">
      <w:pPr>
        <w:pStyle w:val="TextoNormal"/>
      </w:pPr>
    </w:p>
    <w:p w:rsidR="00E3576C" w:rsidRDefault="00E3576C" w:rsidP="00E3576C">
      <w:pPr>
        <w:pStyle w:val="TextoNormal"/>
      </w:pPr>
      <w:r>
        <w:t>Ciertamente, la exigencia de caución o fianza tiene por objeto asegurar a la contraparte la eventual indemnización de los perjuicios que pudiera sufrir como consecuencia de la medida cautelar adoptada si al final de este proceso triunfaran sus pretensiones (ATC 161/1999, de 14 de junio, FJ 3). A tal fin, el art. 56.5 LOTC dispone que “la Sala o la Sección podrá condicionar la suspensión de la ejecución y la adopción de las medidas cautelares a la satisfacción por el interesado de la oportuna fianza suficiente para responder de los daños y perjuicios que pudieren originarse”.</w:t>
      </w:r>
    </w:p>
    <w:p w:rsidR="00E3576C" w:rsidRDefault="00E3576C" w:rsidP="00E3576C">
      <w:pPr>
        <w:pStyle w:val="TextoNormal"/>
      </w:pPr>
    </w:p>
    <w:p w:rsidR="00E3576C" w:rsidRDefault="00E3576C" w:rsidP="00E3576C">
      <w:pPr>
        <w:pStyle w:val="TextoNormal"/>
      </w:pPr>
      <w:r>
        <w:t xml:space="preserve">Pero en el presente supuesto lo que la ejecución de la Sentencia recurrida comportaría, como hemos insistido, es la celebración de unas nuevas elecciones, por lo que quien en el proceso contencioso-administrativo obtuvo Sentencia favorable no ostenta en su virtud un derecho a ejercer el cargo de Rector sino una expectativa de acceso al mismo, supeditada al resultado de un nuevo proceso electoral; por lo que en el momento actual no resulta acreditada la existencia de perjuicios, los cuales, de producirse, deberán ser considerados una vez que recaiga Sentencia poniendo fin al proceso. </w:t>
      </w:r>
    </w:p>
    <w:p w:rsidR="00E3576C" w:rsidRDefault="00E3576C" w:rsidP="00E3576C">
      <w:pPr>
        <w:pStyle w:val="TextoNormal"/>
      </w:pPr>
    </w:p>
    <w:p w:rsidR="00E3576C" w:rsidRDefault="00E3576C" w:rsidP="00E3576C">
      <w:pPr>
        <w:pStyle w:val="TextoNormal"/>
      </w:pPr>
      <w:r>
        <w:t>En todo caso, conviene recordar que concluíamos nuestro Auto de 30 de enero de 2012 advirtiendo que “la Sala, para paliar los efectos de la pendencia del proceso, procederá a señalar preferentemente la deliberación y fallo del mismo”.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Mantener la medida cautelar de suspensión acordada en la providencia de 19 de diciembre de 2011 y confirmada en el ATC 19/2012, de 30 de enero.</w:t>
      </w:r>
    </w:p>
    <w:p w:rsidR="00E3576C" w:rsidRDefault="00E3576C" w:rsidP="00E3576C">
      <w:pPr>
        <w:pStyle w:val="TextoNormal"/>
      </w:pPr>
    </w:p>
    <w:p w:rsidR="00E3576C" w:rsidRDefault="00E3576C" w:rsidP="00E3576C">
      <w:pPr>
        <w:pStyle w:val="TextoNormal"/>
      </w:pPr>
      <w:r>
        <w:t>Madrid, a veintiuno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6" w:name="AUTO_2012_105"/>
      <w:r>
        <w:lastRenderedPageBreak/>
        <w:t>AUTO 105/2012, de 21 de mayo de 2012</w:t>
      </w:r>
    </w:p>
    <w:bookmarkEnd w:id="246"/>
    <w:p w:rsidR="00E3576C" w:rsidRDefault="00E3576C" w:rsidP="00E3576C">
      <w:pPr>
        <w:pStyle w:val="TtuloResolucin"/>
      </w:pPr>
      <w:r>
        <w:t>Sección Tercera</w:t>
      </w:r>
    </w:p>
    <w:p w:rsidR="00E3576C" w:rsidRDefault="00E3576C" w:rsidP="00E3576C">
      <w:pPr>
        <w:pStyle w:val="TtuloResolucin"/>
      </w:pPr>
    </w:p>
    <w:p w:rsidR="00E3576C" w:rsidRDefault="00E3576C" w:rsidP="00E3576C">
      <w:pPr>
        <w:pStyle w:val="SntesisDescriptiva"/>
      </w:pPr>
      <w:r>
        <w:t>ECLI:ES:TC:2012:105A</w:t>
      </w:r>
    </w:p>
    <w:p w:rsidR="00E3576C" w:rsidRDefault="00E3576C" w:rsidP="00E3576C">
      <w:pPr>
        <w:pStyle w:val="SntesisDescriptiva"/>
      </w:pPr>
    </w:p>
    <w:p w:rsidR="00E3576C" w:rsidRDefault="00E3576C" w:rsidP="00E3576C">
      <w:pPr>
        <w:pStyle w:val="SntesisDescriptiva"/>
      </w:pPr>
      <w:r>
        <w:t>Excms. Srs. don Eugeni Gay Montalvo, don Francisco José Hernando Santiago y don Francisco Pérez de los Cobos Orihuel.</w:t>
      </w:r>
    </w:p>
    <w:p w:rsidR="00E3576C" w:rsidRDefault="00E3576C" w:rsidP="00E3576C">
      <w:pPr>
        <w:pStyle w:val="SntesisDescriptiva"/>
      </w:pPr>
    </w:p>
    <w:p w:rsidR="00E3576C" w:rsidRDefault="00E3576C" w:rsidP="00E3576C">
      <w:pPr>
        <w:pStyle w:val="SntesisDescriptiva"/>
      </w:pPr>
      <w:r>
        <w:t>Acuerda el desistimiento en el recurso de amparo 109-2012, promovido en litigio civil.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47" w:name="AUTO_2012_106"/>
      <w:r>
        <w:lastRenderedPageBreak/>
        <w:t>AUTO 106/2012, de 22 de mayo de 2012</w:t>
      </w:r>
    </w:p>
    <w:bookmarkEnd w:id="247"/>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ECLI:ES:TC:2012:106A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Declara que se ha producido un funcionamiento anormal en la tramitación del recurso de amparo 2441-1996, promovido por don Miguel Ángel Sánchez Leandro.</w:t>
      </w:r>
    </w:p>
    <w:p w:rsidR="00E3576C" w:rsidRDefault="00E3576C" w:rsidP="00E3576C">
      <w:pPr>
        <w:pStyle w:val="SntesisDescriptiva"/>
      </w:pPr>
    </w:p>
    <w:p w:rsidR="00E3576C" w:rsidRDefault="00E3576C" w:rsidP="00E3576C">
      <w:pPr>
        <w:pStyle w:val="SntesisAnaltica"/>
      </w:pPr>
      <w:r>
        <w:t>Derecho a un proceso sin dilaciones: indemnización. Inadmisión de recurso de amparo: trámite de admisión en el recurso de amparo. Procedimiento constitucional: dilaciones indebidas en el procedimiento. Resoluciones del Tribunal Constitucional: declaraciones jurisdiccionales del Tribunal Constitucional. Responsabilidad patrimonial de las Administraciones públicas: indemnización. Tribunal Constitucional: funcionamiento anormal en la tramitación de procesos constitucionales.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28 de febrero de 2011, el Ministerio de Justicia ha remitido el expediente administrativo de responsabilidad patrimonial del Estado núm. 247-2003, seguido a instancia de don Miguel Ángel Sánchez Leandro, para que, a los efectos previstos en el art. 139.5 de la Ley 30/1992, de 26 de noviembre, de régimen jurídico de las Administraciones públicas y del procedimiento administrativo común (LPC), en la redacción dada por la Ley 13/2009, de 3 de noviembre, y a fin de dar cumplimiento de lo dispuesto en la Sentencia de la Sección Tercera de la Sala de lo Contencioso-Administrativo de la Audiencia Nacional de 8 de julio de 2008, se proceda a la declaración de la posible existencia de un funcionamiento anormal del Tribunal Constitucional, por dilaciones indebidas, en la tramitación del recurso de amparo núm. 2441-1996 y su pieza de suspensión.</w:t>
      </w:r>
    </w:p>
    <w:p w:rsidR="00E3576C" w:rsidRDefault="00E3576C" w:rsidP="00E3576C">
      <w:pPr>
        <w:pStyle w:val="TextoNormal"/>
      </w:pPr>
    </w:p>
    <w:p w:rsidR="00E3576C" w:rsidRDefault="00E3576C" w:rsidP="00E3576C">
      <w:pPr>
        <w:pStyle w:val="TextoNormal"/>
      </w:pPr>
      <w:r w:rsidRPr="00E3576C">
        <w:rPr>
          <w:rStyle w:val="NumeroAFNegritaCaracter"/>
        </w:rPr>
        <w:t>2</w:t>
      </w:r>
      <w:r>
        <w:t>. Esta solicitud tiene origen en los siguientes antecedentes:</w:t>
      </w:r>
    </w:p>
    <w:p w:rsidR="00E3576C" w:rsidRDefault="00E3576C" w:rsidP="00E3576C">
      <w:pPr>
        <w:pStyle w:val="TextoNormal"/>
      </w:pPr>
    </w:p>
    <w:p w:rsidR="00E3576C" w:rsidRDefault="00E3576C" w:rsidP="00E3576C">
      <w:pPr>
        <w:pStyle w:val="TextoNormal"/>
      </w:pPr>
      <w:r>
        <w:t xml:space="preserve">a) Mediante escrito registrado el 14 de junio de 1996, el Procurador de los Tribunales don Isacio Calleja García, en nombre y representación de don Miguel Ángel Sánchez Leandro y bajo la dirección del Letrado don Rafael Fernández Frías, interpuso demanda de amparo contra el Auto de la Sala Segunda del Tribunal Supremo de 8 de mayo de 1996, por el que se inadmitía el recurso de casación núm. 2251-1995 interpuesto contra la Sentencia de la Sección Segunda de la Audiencia Provincial de Albacete de 8 de junio de 1995, dictada en el rollo de Sala 6-1995, por la que se condenaba, entre otros, al recurrente como autor de </w:t>
      </w:r>
      <w:r>
        <w:lastRenderedPageBreak/>
        <w:t>un delito contra la salud pública a la pena de cuatro años, dos meses y un día de prisión menor y multa de 50.000.001 pesetas. En dicha demanda se solicitaba la suspensión de la ejecución de la condena.</w:t>
      </w:r>
    </w:p>
    <w:p w:rsidR="00E3576C" w:rsidRDefault="00E3576C" w:rsidP="00E3576C">
      <w:pPr>
        <w:pStyle w:val="TextoNormal"/>
      </w:pPr>
    </w:p>
    <w:p w:rsidR="00E3576C" w:rsidRDefault="00E3576C" w:rsidP="00E3576C">
      <w:pPr>
        <w:pStyle w:val="TextoNormal"/>
      </w:pPr>
      <w:r>
        <w:t>b) El recurrente, por escrito de 19 de julio de 1996, solicitó pronunciamiento urgente sobre la solicitud de suspensión. La Sección Segunda de este Tribunal, por providencia de 17 de septiembre de 1996, acordó solicitar testimonio de las actuaciones, con carácter previo a decidir sobre la admisión del recurso. El recurrente, por escrito de 19 de noviembre de 1997, solicitó nuevamente pronunciamiento urgente sobre la solicitud de suspensión. La Sección Segunda de este Tribunal, por providencia de 11 de enero de 1999, acordó nuevamente solicitar testimonio de las actuaciones.</w:t>
      </w:r>
    </w:p>
    <w:p w:rsidR="00E3576C" w:rsidRDefault="00E3576C" w:rsidP="00E3576C">
      <w:pPr>
        <w:pStyle w:val="TextoNormal"/>
      </w:pPr>
    </w:p>
    <w:p w:rsidR="00E3576C" w:rsidRDefault="00E3576C" w:rsidP="00E3576C">
      <w:pPr>
        <w:pStyle w:val="TextoNormal"/>
      </w:pPr>
      <w:r>
        <w:t>c) La Secretaría de Justicia de la Sala Primera de este Tribunal, por diligencia de ordenación de 19 de julio de 2001, hace constar que habiéndose extraviado las actuaciones correspondientes al presente recurso de amparo se reconstruyen con las copias aportadas por las partes y con las obrantes en la Secretaría de la Sala.</w:t>
      </w:r>
    </w:p>
    <w:p w:rsidR="00E3576C" w:rsidRDefault="00E3576C" w:rsidP="00E3576C">
      <w:pPr>
        <w:pStyle w:val="TextoNormal"/>
      </w:pPr>
    </w:p>
    <w:p w:rsidR="00E3576C" w:rsidRDefault="00E3576C" w:rsidP="00E3576C">
      <w:pPr>
        <w:pStyle w:val="TextoNormal"/>
      </w:pPr>
      <w:r>
        <w:t>d) La Sección Segunda de este Tribunal, por providencia de 24 de julio de 2001, acordó admitir a trámite el recurso de amparo, requerir remisión del testimonio de las actuaciones y emplazamiento de las partes, así como formación de la pieza separada de suspensión.</w:t>
      </w:r>
    </w:p>
    <w:p w:rsidR="00E3576C" w:rsidRDefault="00E3576C" w:rsidP="00E3576C">
      <w:pPr>
        <w:pStyle w:val="TextoNormal"/>
      </w:pPr>
    </w:p>
    <w:p w:rsidR="00E3576C" w:rsidRDefault="00E3576C" w:rsidP="00E3576C">
      <w:pPr>
        <w:pStyle w:val="TextoNormal"/>
      </w:pPr>
      <w:r>
        <w:t>e) La Sección Segunda de este Tribunal, por providencia de 24 de julio de 2001, acordó formar pieza separada de suspensión y conceder al Ministerio Fiscal y al recurrente un plazo de tres días para alegaciones sobre la misma. Evacuado dicho trámite, por ATC 245/2001, de 17 de septiembre, se acordó suspender la ejecución únicamente en lo referido a las penas privativas de libertad, accesorias y arresto sustitutorio al impago de la multa, si bien el licenciamiento definitivo se había producido por Auto de la Audiencia Provincial de Albacete de 5 de agosto de 1999.</w:t>
      </w:r>
    </w:p>
    <w:p w:rsidR="00E3576C" w:rsidRDefault="00E3576C" w:rsidP="00E3576C">
      <w:pPr>
        <w:pStyle w:val="TextoNormal"/>
      </w:pPr>
    </w:p>
    <w:p w:rsidR="00E3576C" w:rsidRDefault="00E3576C" w:rsidP="00E3576C">
      <w:pPr>
        <w:pStyle w:val="TextoNormal"/>
      </w:pPr>
      <w:r>
        <w:t>f) El Secretario de Justicia de la Sala Primera de este Tribunal, por diligencia de ordenación de 13 de febrero de 2002, tuvo por recibidas las actuaciones, por comparecido en el procedimiento a don Ramón Ruiz Tebar, otro de los condenados, y, conforme al art. 52 de la Ley Orgánica del Tribunal Constitucional (LOTC), se dio plazo común de veinte días a las partes personadas para la presentación de alegaciones.</w:t>
      </w:r>
    </w:p>
    <w:p w:rsidR="00E3576C" w:rsidRDefault="00E3576C" w:rsidP="00E3576C">
      <w:pPr>
        <w:pStyle w:val="TextoNormal"/>
      </w:pPr>
    </w:p>
    <w:p w:rsidR="00E3576C" w:rsidRDefault="00E3576C" w:rsidP="00E3576C">
      <w:pPr>
        <w:pStyle w:val="TextoNormal"/>
      </w:pPr>
      <w:r>
        <w:t>g) Finalmente, la Sala Primera de este Tribunal, por STC 65/2003, de 7 de abril, otorgó el amparo, al considerar vulnerado el derecho a la presunción de inocencia del recurrente anulando las resoluciones judiciales impugnadas. La Sentencia fue notificada al recurrente el 15 de abril de 2003.</w:t>
      </w:r>
    </w:p>
    <w:p w:rsidR="00E3576C" w:rsidRDefault="00E3576C" w:rsidP="00E3576C">
      <w:pPr>
        <w:pStyle w:val="TextoNormal"/>
      </w:pPr>
    </w:p>
    <w:p w:rsidR="00E3576C" w:rsidRDefault="00E3576C" w:rsidP="00E3576C">
      <w:pPr>
        <w:pStyle w:val="TextoNormal"/>
      </w:pPr>
      <w:r>
        <w:t>h) El recurrente, mediante escrito registrado en la Subdelegación del Gobierno de Albacete el 3 de septiembre de 2003 y dirigido al Ministro de Justicia, solicitó una indemnización por funcionamiento anormal, por dilaciones indebidas, del Tribunal Constitucional en el presente recurso de amparo, dando lugar al expediente de responsabilidad patrimonial núm. 247-2003. La solicitud fue desestimada por resolución del Ministro de Justicia de 14 de marzo de 2005 y confirmada en reposición por resolución de 6 de julio de 2006.</w:t>
      </w:r>
    </w:p>
    <w:p w:rsidR="00E3576C" w:rsidRDefault="00E3576C" w:rsidP="00E3576C">
      <w:pPr>
        <w:pStyle w:val="TextoNormal"/>
      </w:pPr>
    </w:p>
    <w:p w:rsidR="00E3576C" w:rsidRDefault="00E3576C" w:rsidP="00E3576C">
      <w:pPr>
        <w:pStyle w:val="TextoNormal"/>
      </w:pPr>
      <w:r>
        <w:lastRenderedPageBreak/>
        <w:t>i) El demandante interpuso recurso contencioso-administrativo que fue tramitado por la Sección Tercera de la Sala de lo Contencioso-Administrativo de la Audiencia Nacional con el núm. 593-2006. El recurso fue estimado parcialmente por Sentencia de 8 de julio de 2008, en la que se acordó “que el Ministerio de Justicia remita la reclamación administrativa y las actuaciones practicadas al Consejo de Ministros para que dicho órgano, tras la tramitación que estime oportuna, resuelva la reclamación planteada por dilaciones indebidas que se imputan al Tribunal Constitucional”. El Abogado del Estado interpuso recurso de casación y, tras desistir del mismo, por Auto de la Sala Tercera del Tribunal Supremo de 29 de abril de 2010 se declaró finalizado el procedimiento.</w:t>
      </w:r>
    </w:p>
    <w:p w:rsidR="00E3576C" w:rsidRDefault="00E3576C" w:rsidP="00E3576C">
      <w:pPr>
        <w:pStyle w:val="TextoNormal"/>
      </w:pPr>
    </w:p>
    <w:p w:rsidR="00E3576C" w:rsidRDefault="00E3576C" w:rsidP="00E3576C">
      <w:pPr>
        <w:pStyle w:val="TextoNormal"/>
      </w:pPr>
      <w:r>
        <w:t>j) Simultáneamente a este procedimiento judicial, el Procurador de los Tribunales don Isacio Calleja García, en nombre y representación de don Miguel Ángel Sánchez Leandro y bajo la dirección del Letrado don Rafael Fernández Frías, por escrito registrado el 16 de octubre de 2006 y dirigido a la Sección Segunda de la Sala Primera de este Tribunal, solicitó que se “proceda a dictar una resolución en la que se declare la existencia de dilaciones indebidas en la tramitación de la suspensión del recurso de amparo interpuesto por mi mandante, a fin de poder solicitar la correspondiente indemnización al Estado”. Por providencia de la Sala Primera de este Tribunal de 28 de abril de 2008 se acordó, oído el Ministerio Fiscal, y al amparo del art. 4.1 LOTC, que este Tribunal carece de competencia para conocer y resolver sobre la solicitud formulada al no existir habilitación legal para ello.</w:t>
      </w:r>
    </w:p>
    <w:p w:rsidR="00E3576C" w:rsidRDefault="00E3576C" w:rsidP="00E3576C">
      <w:pPr>
        <w:pStyle w:val="TextoNormal"/>
      </w:pPr>
    </w:p>
    <w:p w:rsidR="00E3576C" w:rsidRDefault="00E3576C" w:rsidP="00E3576C">
      <w:pPr>
        <w:pStyle w:val="TextoNormal"/>
      </w:pPr>
      <w:r w:rsidRPr="00E3576C">
        <w:rPr>
          <w:rStyle w:val="NumeroAFNegritaCaracter"/>
        </w:rPr>
        <w:t>3</w:t>
      </w:r>
      <w:r>
        <w:t>. La Sala Primera de este Tribunal, mediante providencia de 6 de junio de 2011, acordó formar pieza separada para resolver sobre la solicitud formulada por el Ministerio de Justicia y conceder al recurrente, al resto de partes personadas, al Ministerio Fiscal y al Abogado del Estado el plazo común de diez días para que alegasen lo que estimasen pertinente.</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por escrito registrado el 29 de junio de 2011, formuló alegaciones interesando que se declarara el funcionamiento anormal del Tribunal Constitucional por dilaciones indebidas en el presente recurso de amparo. A esos efectos, pone de manifiesto, en primer lugar, que la solicitud realizada por el Ministerio de Justicia no trae causa en el art. 139.5 LPC, en la redacción dada por la Ley 13/2009, de 3 de noviembre, lo que implicaría su aplicación retroactiva, sino en la ejecución de la Sentencia de la Sección Tercera de la Sala de lo Contencioso-Administrativo de la Audiencia Nacional de 8 de julio de 2008, por lo que el Tribunal Constitucional debe limitarse a informar sobre la solicitud, correspondiendo la declaración sobre funcionamiento anormal al Consejo de Ministros. El Ministerio Fiscal, en cuanto al fondo de la cuestión planteada, considera que, conforme a la propia doctrina del Tribunal Constitucional, procede entender que en este caso se han producido dilaciones indebidas en la sustanciación del procedimiento, y en concreto, en el pronunciamiento acerca de la suspensión de la ejecución de la condena, toda vez que, aunque fuera por el extravío del procedimiento, no se recibió una respuesta sobre dicha suspensión hasta cinco años después y una vez que ya estaba completamente ejecutada la pena.</w:t>
      </w:r>
    </w:p>
    <w:p w:rsidR="00E3576C" w:rsidRDefault="00E3576C" w:rsidP="00E3576C">
      <w:pPr>
        <w:pStyle w:val="TextoNormal"/>
      </w:pPr>
    </w:p>
    <w:p w:rsidR="00E3576C" w:rsidRDefault="00E3576C" w:rsidP="00E3576C">
      <w:pPr>
        <w:pStyle w:val="TextoNormal"/>
      </w:pPr>
      <w:r w:rsidRPr="00E3576C">
        <w:rPr>
          <w:rStyle w:val="NumeroAFNegritaCaracter"/>
        </w:rPr>
        <w:t>5</w:t>
      </w:r>
      <w:r>
        <w:t xml:space="preserve">. El Abogado del Estado, por escrito registrado el 17 de junio de 2011, formuló alegaciones solicitando que se declare no haber lugar a pronunciarse sobre la declaración de funcionamiento anormal o, subsidiariamente, se declare que no hubo tal funcionamiento anormal. La solicitud principal la fundamenta, en primer lugar, en que ya existe una resolución judicial firme del Tribunal Constitucional, la providencia de 28 de abril de 2008, en que se </w:t>
      </w:r>
      <w:r>
        <w:lastRenderedPageBreak/>
        <w:t>afirma que carece de competencia para resolver sobre la solicitud de declaración de la existencia de dilaciones indebidas y, en segundo lugar, que la declaración de funcionamiento anormal sólo puede realizarse a instancia de parte, lo que no concurre en este caso, en que la solicitud la insta la Administración, sin perjuicio de que pueda tomarse como tal las alegaciones del recurrente en esta pieza. Subsidiariamente, el Abogado del Estado fundamenta la solicitud de que se declare que no hubo funcionamiento anormal en que una vez reconstruidas las actuaciones tras su extravío se actuó con total diligencia admitiendo a trámite la demanda de amparo y sustanciando la pieza de suspensión, ocultando el recurrente en sus alegaciones que ya había cumplido la pena. Además, señala que, centrada la solicitud sólo en el periodo en que el recurrente estuvo privado efectivamente de libertad no puede considerarse un plazo excesivamente amplio el transcurrido entre el 14 de junio de 1996, en que se registró el recurso de amparo, y el 28 de junio de 1998, en que se produjo la excarcelación —siendo declarada extinguida la pena por Auto de la Audiencia Provincial de Albacete de 5 de agosto de 1999—, sin que hubiera un pronunciamiento sobre la admisión y la suspensión.</w:t>
      </w:r>
    </w:p>
    <w:p w:rsidR="00E3576C" w:rsidRDefault="00E3576C" w:rsidP="00E3576C">
      <w:pPr>
        <w:pStyle w:val="TextoNormal"/>
      </w:pPr>
    </w:p>
    <w:p w:rsidR="00E3576C" w:rsidRDefault="00E3576C" w:rsidP="00E3576C">
      <w:pPr>
        <w:pStyle w:val="TextoNormal"/>
      </w:pPr>
      <w:r w:rsidRPr="00E3576C">
        <w:rPr>
          <w:rStyle w:val="NumeroAFNegritaCaracter"/>
        </w:rPr>
        <w:t>6</w:t>
      </w:r>
      <w:r>
        <w:t>. El recurrente, por escrito registrado el 24 de junio de 2011, presentó sus alegaciones, poniendo de manifiesto, en primer lugar, el iter procesal seguido por el recurso de amparo núm. 2441-1996 desde su interposición el 14 de junio de 1996 hasta el dictado del ATC 245/2001, de 17 de septiembre, en que se resolvió el incidente de suspensión y de la STC 65/2003, de 7 de abril, en que se resolvió el recurso de amparo. Igualmente, pone de manifiesto las diversas vicisitudes seguidas por su solicitud de declaración de responsabilidad patrimonial por funcionamiento anormal del Tribunal Constitucional hasta la firmeza de la Sentencia de la Sección Tercera de la Sala de lo Contencioso-Administrativo de la Audiencia Nacional de 8 de julio de 2008 y la solicitud de su ejecución en la que se enmarca el oficio del Ministerio de Justicia a la que ha dado lugar el presente incidente. Por último, en atención a todo lo anterior, solicita que el Tribunal Constitucional declare la existencia de dilaciones indebidas.</w:t>
      </w:r>
    </w:p>
    <w:p w:rsidR="00E3576C" w:rsidRDefault="00E3576C" w:rsidP="00E3576C">
      <w:pPr>
        <w:pStyle w:val="TextoNormal"/>
      </w:pPr>
    </w:p>
    <w:p w:rsidR="00E3576C" w:rsidRDefault="00E3576C" w:rsidP="00E3576C">
      <w:pPr>
        <w:pStyle w:val="TextoNormal"/>
      </w:pPr>
      <w:r w:rsidRPr="00E3576C">
        <w:rPr>
          <w:rStyle w:val="NumeroAFNegritaCaracter"/>
        </w:rPr>
        <w:t>7</w:t>
      </w:r>
      <w:r>
        <w:t>. A propuesta de la Sala Primera de este Tribunal, por providencia de 13 de septiembre de 2011, el Pleno acordó recabar para sí el conocimiento de la presente pieza separada.</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objeto de esta resolución es realizar una declaración sobre la existencia de un eventual funcionamiento anormal del Tribunal Constitucional en la tramitación del recurso de amparo núm. 2441/1996.</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Antes de entrar al fondo de esa cuestión deben despejarse algunas dudas formales y óbices procesales realizados en la fase de alegaciones. El Ministerio Fiscal alega, por una parte, que la solicitud realizada por el Ministerio de Justicia que ha dado lugar al presente incidente no trae causa en el art. 139.5 de la Ley 30/1992, de 26 de noviembre, sobre régimen jurídico de las Administraciones públicas y del procedimiento administrativo común (LPC), en la redacción dada por la Ley 13/2009, de 3 de noviembre, lo que implicaría su aplicación retroactiva, sino en la ejecución de la Sentencia de la Sección Tercera de la Sala de lo Contencioso-Administrativo de la Audiencia Nacional de 8 de julio de 2008, por lo </w:t>
      </w:r>
      <w:r>
        <w:lastRenderedPageBreak/>
        <w:t>que el Tribunal Constitucional debe limitarse a informar sobre la solicitud, correspondiendo la declaración sobre funcionamiento anormal al Consejo de Ministros.</w:t>
      </w:r>
    </w:p>
    <w:p w:rsidR="00E3576C" w:rsidRDefault="00E3576C" w:rsidP="00E3576C">
      <w:pPr>
        <w:pStyle w:val="TextoNormal"/>
      </w:pPr>
    </w:p>
    <w:p w:rsidR="00E3576C" w:rsidRDefault="00E3576C" w:rsidP="00E3576C">
      <w:pPr>
        <w:pStyle w:val="TextoNormal"/>
      </w:pPr>
      <w:r>
        <w:t>Pues bien, en primer lugar, debe señalarse que, aun siendo evidente que la solicitud instada por el Ministerio de Justicia trae causa de la ejecución de una resolución judicial, ello no implica que dicha ejecución no pueda adaptarse a los trámites previstos en el citado art. 139.5 LPC, toda vez que es este precepto en el que se regula el procedimiento para la declaración de la eventual responsabilidad patrimonial del Estado por funcionamiento anormal del Tribunal Constitucional en la tramitación de los recursos de amparo y las cuestiones de inconstitucionalidad. Tampoco puede afirmarse que se está haciendo aplicación retroactiva de esta normativa, ya que en este caso concurre la excepcional y singular circunstancia de que si bien la solicitud se refiere a hechos producidos con anterioridad a la entrada en vigor de la Ley 13/2009, de 3 de noviembre, por la que se incluyó el art. 139.5 LPC, sin embargo, es un mero soporte procedimental para la ejecución de una Sentencia que alcanzó firmeza con posterioridad a la entrada en vigor de dicha norma. Por tanto, si bien hay que dar la razón al Ministerio Fiscal en que el nuevo procedimiento establecido en el art. 139.5 LPC sólo cabe aplicarse respecto de hechos acontecidos con posterioridad a su entrada en vigor, las circunstancias ya reseñadas que concurren en este caso impiden apreciar la aplicación retroactiva denunciada por el Ministerio Fiscal.</w:t>
      </w:r>
    </w:p>
    <w:p w:rsidR="00E3576C" w:rsidRDefault="00E3576C" w:rsidP="00E3576C">
      <w:pPr>
        <w:pStyle w:val="TextoNormal"/>
      </w:pPr>
    </w:p>
    <w:p w:rsidR="00E3576C" w:rsidRDefault="00E3576C" w:rsidP="00E3576C">
      <w:pPr>
        <w:pStyle w:val="TextoNormal"/>
      </w:pPr>
      <w:r w:rsidRPr="00E3576C">
        <w:rPr>
          <w:rStyle w:val="NumeroAFNegritaCaracter"/>
        </w:rPr>
        <w:t>3</w:t>
      </w:r>
      <w:r>
        <w:t>. En relación con las objeciones formuladas por el Abogado del Estado respecto de la improcedencia de que este Tribunal adopte una decisión como la solicitada por el Ministerio de Justicia, al no existir una petición expresa del interesado, hay que señalar que dicha solicitud se ha hecho de manera directa en este incidente en el trámite de alegaciones, por lo que ninguna objeción puede hacerse sobre el particular.</w:t>
      </w:r>
    </w:p>
    <w:p w:rsidR="00E3576C" w:rsidRDefault="00E3576C" w:rsidP="00E3576C">
      <w:pPr>
        <w:pStyle w:val="TextoNormal"/>
      </w:pPr>
    </w:p>
    <w:p w:rsidR="00E3576C" w:rsidRDefault="00E3576C" w:rsidP="00E3576C">
      <w:pPr>
        <w:pStyle w:val="TextoNormal"/>
      </w:pPr>
      <w:r>
        <w:t>Por otro lado, si bien es cierto que este Tribunal resolvió por providencia de 28 de abril de 2008 una solicitud directa del recurrente para que se declarara la existencia de dilaciones indebidas, la respuesta entonces aportada, conforme a la legislación aplicable en aquel momento, fue que el Tribunal no podía resolver sobre la solicitud formulada al no existir habilitación legal para ello. Esta respuesta, por su propia naturaleza, no implicó un pronunciamiento sobre el fondo de lo solicitado con efectos de cosa juzgada. Por tanto, tomando en cuenta el nuevo contexto normativo para resolver sobre esta cuestión, no hay ningún óbice procesal para que este Tribunal, conforme a dicha previsión, se pronuncie ahora sobre lo solicitado.</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Entrando al fondo de la declaración sobre la existencia de un eventual funcionamiento anormal del Tribunal Constitucional en la tramitación del recurso de amparo núm. 2441-1996, debe ponerse de manifiesto, en primer lugar, que la decisión que debe adoptar el Tribunal Constitucional sobre el particular es una declaración jurisdiccional sobre el reconocimiento del funcionamiento anormal del propio Tribunal, que es presupuesto procesal y material necesario para que el Consejo de Ministros resuelva lo que proceda (ATC 194/2010, de 2 de diciembre, FJ 1). En segundo lugar, también hay que destacar que, en los términos ya establecidos en el citado ATC 194/2010, FJ 2, el análisis a realizar no está referido a la eventual concurrencia de una vulneración del derecho fundamental a un proceso sin dilaciones indebidas, sino a dilucidar si en la tramitación del recurso de amparo promovido por el recurrente se produjo un funcionamiento anormal, del que es una especie las dilaciones (STS 125/1999, de 28 de junio, FJ 5), para lo que obviamente puede hacerse uso de la noción </w:t>
      </w:r>
      <w:r>
        <w:lastRenderedPageBreak/>
        <w:t>de dilaciones indebidas que se ha ido perfilando en la doctrina de este Tribunal y del Tribunal Europeo de Derechos Humanos, con las adaptaciones necesarias.</w:t>
      </w:r>
    </w:p>
    <w:p w:rsidR="00E3576C" w:rsidRDefault="00E3576C" w:rsidP="00E3576C">
      <w:pPr>
        <w:pStyle w:val="TextoNormal"/>
      </w:pPr>
    </w:p>
    <w:p w:rsidR="00E3576C" w:rsidRDefault="00E3576C" w:rsidP="00E3576C">
      <w:pPr>
        <w:pStyle w:val="TextoNormal"/>
      </w:pPr>
      <w:r>
        <w:t>A este respecto el Tribunal ha reiterado que las dilaciones no se pueden identificar con un derecho al riguroso cumplimiento de los plazos procesales, sino que se configuran a partir de la dimensión temporal de todo proceso y su razonabilidad, por lo que la prohibición de retrasos injustificados lo que impone es el deber de obrar con la celeridad que permita la duración normal o acostumbrada de litigios de la misma naturaleza y con la diligencia debida en el impulso de las distintas fases por las que atraviesa un proceso. De ese modo, se ha concluido que el juicio sobre el contenido concreto de las dilaciones, y sobre si son o no indebidas, debe ser el resultado de la aplicación a las circunstancias específicas de cada caso de diversos criterios como son la complejidad del litigio, los márgenes ordinarios de duración de los litigios del mismo tipo, el interés que en aquél arriesga el demandante de amparo, su conducta procesal y la conducta de las autoridades (STC 142/2010, de 21 de diciembre, FJ 3).</w:t>
      </w:r>
    </w:p>
    <w:p w:rsidR="00E3576C" w:rsidRDefault="00E3576C" w:rsidP="00E3576C">
      <w:pPr>
        <w:pStyle w:val="TextoNormal"/>
      </w:pPr>
    </w:p>
    <w:p w:rsidR="00E3576C" w:rsidRDefault="00E3576C" w:rsidP="00E3576C">
      <w:pPr>
        <w:pStyle w:val="TextoNormal"/>
      </w:pPr>
      <w:r w:rsidRPr="00E3576C">
        <w:rPr>
          <w:rStyle w:val="NumeroAFNegritaCaracter"/>
        </w:rPr>
        <w:t>5</w:t>
      </w:r>
      <w:r>
        <w:t>. En el presente caso, tal como se ha expuesto más ampliamente en los antecedentes, han quedado acreditados los siguientes extremos. En primer lugar, que el recurrente, mediante escrito registrado el 14 de junio de 1996, interpuso demanda de amparo contra las resoluciones judiciales que le condenaban a una pena de cuatro años, dos meses y un día de prisión menor, solicitando la suspensión de la ejecución de la condena. En segundo lugar, que el recurrente en sendos escritos de 19 de julio de 1996 y 19 de noviembre de 1997 solicitó pronunciamiento urgente sobre solicitud de la suspensión, obteniendo como respuesta sendas providencias de 17 de septiembre de 1996 y 11 de enero de 1999, acordando solicitar testimonio de las actuaciones a los órganos judiciales. En tercer lugar, que por diligencia de ordenación de 19 de julio de 2001 se hizo constar que se habían extraviado las actuaciones correspondientes al presente recurso, reconstruyéndose con las copias aportadas por las partes y con las obrantes en la Secretaría de la Sala. En cuarto lugar, que por providencia de 24 de julio de 2001 se acordó admitir a trámite el recurso de amparo así como formación de la pieza separada de suspensión, que fue resuelta por ATC 245/2001, de 17 de septiembre, acordando suspender la ejecución de las penas privativas de libertad, siendo estimado finalmente amparo, con anulación de la condena, por STC 65/2003, de 7 de abril. Y, por último, que el recurrente obtuvo el licenciamiento definitivo siendo declarada la extinción de la pena por Auto de la Audiencia Provincial de Albacete de 5 de agosto de 1999.</w:t>
      </w:r>
    </w:p>
    <w:p w:rsidR="00E3576C" w:rsidRDefault="00E3576C" w:rsidP="00E3576C">
      <w:pPr>
        <w:pStyle w:val="TextoNormal"/>
      </w:pPr>
    </w:p>
    <w:p w:rsidR="00E3576C" w:rsidRDefault="00E3576C" w:rsidP="00E3576C">
      <w:pPr>
        <w:pStyle w:val="TextoNormal"/>
      </w:pPr>
      <w:r>
        <w:t xml:space="preserve">En atención a lo expuesto, y tal como interesa el Ministerio Fiscal, resulta procedente declarar el funcionamiento anormal de este Tribunal en la tramitación del recurso de amparo núm. 2441-1996 al haberse verificado retrasos injustificados. En efecto, si bien es cierto que desde la reconstrucción de las actuaciones el 19 de julio de 2001, existió una normal tramitación tanto para acordar la admisión del recurso (providencia de 24 de julio de 2001), como para resolver el incidente de suspensión (ATC 245/2001, de 17 de septiembre) y el propio recurso de amparo (STC 65/2003, de 7 de abril), no puede afirmarse lo mismo respecto del periodo de tiempo entre el registro del recurso con la solicitud de suspensión (14 de junio de 1996) y la reconstrucción de las actuaciones (19 de julio de 2001). En este periodo de cinco años, a pesar de la existencia de dos escritos del recurrente urgiendo un pronunciamiento sobre la suspensión instada (19 de julio de 1996 y 19 de noviembre de 1997), la única actividad desarrollada por el Tribunal fue dictar sendas providencias en respuesta a estos escritos requiriendo actuaciones a los órganos judiciales y que, si bien la primera fue </w:t>
      </w:r>
      <w:r>
        <w:lastRenderedPageBreak/>
        <w:t>bastante inmediata (17 de septiembre de 1996), la segunda se demoró casi diecinueve meses (11 de enero de 1999), demorándose otra vez la iniciativa en la tramitación treinta meses más hasta su reconstrucción (19 de julio de 2001).</w:t>
      </w:r>
    </w:p>
    <w:p w:rsidR="00E3576C" w:rsidRDefault="00E3576C" w:rsidP="00E3576C">
      <w:pPr>
        <w:pStyle w:val="TextoNormal"/>
      </w:pPr>
    </w:p>
    <w:p w:rsidR="00E3576C" w:rsidRDefault="00E3576C" w:rsidP="00E3576C">
      <w:pPr>
        <w:pStyle w:val="TextoNormal"/>
      </w:pPr>
      <w:r>
        <w:t>Estas demoras sucesivas, que aunque fueran con motivo del extravío de las actuaciones, tuvieron prácticamente paralizado el procedimiento desde la solicitud reiterando la urgencia de la suspensión (19 de noviembre de 1997) hasta la reconstrucción del procedimiento (19 de julio de 2001) tuvieron como consecuencia que el recurrente no pudo obtener en un plazo razonable una respuesta jurisdiccional tanto en lo relativo al incidente de suspensión como sobre el fondo de la vulneración aducida que a la postre no hubiera hecho perder al amparo, aunque hubiera sido parcialmente, su finalidad.</w:t>
      </w:r>
    </w:p>
    <w:p w:rsidR="00E3576C" w:rsidRDefault="00E3576C" w:rsidP="00E3576C">
      <w:pPr>
        <w:pStyle w:val="TextoNormal"/>
      </w:pPr>
    </w:p>
    <w:p w:rsidR="00E3576C" w:rsidRDefault="00E3576C" w:rsidP="00E3576C">
      <w:pPr>
        <w:pStyle w:val="TextoNormal"/>
      </w:pPr>
      <w:r w:rsidRPr="00E3576C">
        <w:rPr>
          <w:rStyle w:val="NumeroAFNegritaCaracter"/>
        </w:rPr>
        <w:t>6</w:t>
      </w:r>
      <w:r>
        <w:t>. En consecuencia, este Tribunal debe declarar que se ha producido un funcionamiento anormal en la tramitación del recurso de amparo núm. 2441-1996 promovido por don Miguel Ángel Sánchez Leandro.</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que se ha producido un funcionamiento anormal en la tramitación del recurso de amparo núm. 2441-1996 promovido por don Miguel Ángel Sánchez Leandro.</w:t>
      </w:r>
    </w:p>
    <w:p w:rsidR="00E3576C" w:rsidRDefault="00E3576C" w:rsidP="00E3576C">
      <w:pPr>
        <w:pStyle w:val="TextoNormal"/>
      </w:pPr>
    </w:p>
    <w:p w:rsidR="00E3576C" w:rsidRDefault="00E3576C" w:rsidP="00E3576C">
      <w:pPr>
        <w:pStyle w:val="TextoNormal"/>
      </w:pPr>
      <w:r>
        <w:t>Madrid, a veintidós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8" w:name="AUTO_2012_107"/>
      <w:r>
        <w:lastRenderedPageBreak/>
        <w:t>AUTO 107/2012, de 22 de mayo de 2012</w:t>
      </w:r>
    </w:p>
    <w:bookmarkEnd w:id="24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ECLI:ES:TC:2012:107A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acumulación del recurso de inconstitucionalidad 5305-2002 al 4937-2002, interpuestos ambos en relación con diversos preceptos de la Ley Orgánica 5/2002, de 19 de junio, de las cualificaciones y de la formación profesional.</w:t>
      </w:r>
    </w:p>
    <w:p w:rsidR="00E3576C" w:rsidRDefault="00E3576C" w:rsidP="00E3576C">
      <w:pPr>
        <w:pStyle w:val="SntesisDescriptiva"/>
      </w:pPr>
    </w:p>
    <w:p w:rsidR="00E3576C" w:rsidRDefault="00E3576C" w:rsidP="00E3576C">
      <w:pPr>
        <w:pStyle w:val="SntesisAnaltica"/>
      </w:pPr>
      <w:r>
        <w:t>Acumulación de procesos constitucionales: acumulación de recursos de inconstitucionalidad, procedencia.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Constitucional el 29 de agosto de 2002 el Abogado de la Generalitat de Cataluña, en la representación que ostenta de su Gobierno, interpuso recurso de inconstitucionalidad contra los arts. 5.1, 7, 8.4 y 11.7, así como la disposición final primera, apartado 2, párrafos primero y segundo, de la Ley Orgánica 5/2002, de 19 de junio, de las cualificaciones y de la formación profesional.</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del Pleno del Tribunal Constitucional de 17 de septiembre de 2002 se acordó admitir a trámite el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También se acordó publicar la incoación del recurso en el “Boletín Oficial del Estado”.</w:t>
      </w:r>
    </w:p>
    <w:p w:rsidR="00E3576C" w:rsidRDefault="00E3576C" w:rsidP="00E3576C">
      <w:pPr>
        <w:pStyle w:val="TextoNormal"/>
      </w:pPr>
    </w:p>
    <w:p w:rsidR="00E3576C" w:rsidRDefault="00E3576C" w:rsidP="00E3576C">
      <w:pPr>
        <w:pStyle w:val="TextoNormal"/>
      </w:pPr>
      <w:r w:rsidRPr="00E3576C">
        <w:rPr>
          <w:rStyle w:val="NumeroAFNegritaCaracter"/>
        </w:rPr>
        <w:t>3</w:t>
      </w:r>
      <w:r>
        <w:t>. A través de escrito que tuvo entrada en el Registro General de este Tribunal el 27 de septiembre de 2002, el Letrado de las Cortes Generales-Jefe de la Asesoría Jurídica del Senado, solicitó la ampliación del plazo para la personación y formulación de alegaciones.</w:t>
      </w:r>
    </w:p>
    <w:p w:rsidR="00E3576C" w:rsidRDefault="00E3576C" w:rsidP="00E3576C">
      <w:pPr>
        <w:pStyle w:val="TextoNormal"/>
      </w:pPr>
    </w:p>
    <w:p w:rsidR="00E3576C" w:rsidRDefault="00E3576C" w:rsidP="00E3576C">
      <w:pPr>
        <w:pStyle w:val="TextoNormal"/>
      </w:pPr>
      <w:r>
        <w:t>Mediante providencia de 1 de octubre de 2002, la Sección Cuarta acordó prorrogar en ocho días el plazo para formular alegaciones.</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En escrito registrado en este Tribunal el 4 de octubre de 2002, la Presidenta del Congreso de los Diputados manifestó que, aunque éste no se personaría en el procedimiento ni </w:t>
      </w:r>
      <w:r>
        <w:lastRenderedPageBreak/>
        <w:t>formularía alegaciones, ponía a disposición del Tribunal las actuaciones de la Cámara que pudiera precisar.</w:t>
      </w:r>
    </w:p>
    <w:p w:rsidR="00E3576C" w:rsidRDefault="00E3576C" w:rsidP="00E3576C">
      <w:pPr>
        <w:pStyle w:val="TextoNormal"/>
      </w:pPr>
    </w:p>
    <w:p w:rsidR="00E3576C" w:rsidRDefault="00E3576C" w:rsidP="00E3576C">
      <w:pPr>
        <w:pStyle w:val="TextoNormal"/>
      </w:pPr>
      <w:r w:rsidRPr="00E3576C">
        <w:rPr>
          <w:rStyle w:val="NumeroAFNegritaCaracter"/>
        </w:rPr>
        <w:t>5</w:t>
      </w:r>
      <w:r>
        <w:t>. El Abogado del Estado, mediante escrito presentado el 10 de octubre de 2002, se personó en nombre del Gobierno y formuló sus alegaciones solicitando la desestimación del recurso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6</w:t>
      </w:r>
      <w:r>
        <w:t>. En escrito registrado en este Tribunal el 18 octubre 2002, el Letrado de las Cortes Generales-jefe de la asesoría jurídica del Senado solicitó una nueva ampliación del plazo para la formulación de alegaciones, que le fue concedida por providencia de la Sección Cuarta de 21 octubre 2002, que prorrogó excepcionalmente el plazo en ocho días más.</w:t>
      </w:r>
    </w:p>
    <w:p w:rsidR="00E3576C" w:rsidRDefault="00E3576C" w:rsidP="00E3576C">
      <w:pPr>
        <w:pStyle w:val="TextoNormal"/>
      </w:pPr>
    </w:p>
    <w:p w:rsidR="00E3576C" w:rsidRDefault="00E3576C" w:rsidP="00E3576C">
      <w:pPr>
        <w:pStyle w:val="TextoNormal"/>
      </w:pPr>
      <w:r>
        <w:t>El representante del Senado solicitó otra ampliación del expresado plazo en escrito de 30 octubre 2002, alegando que había sido interpuesto por el Parlamento de Cataluña otro recurso de inconstitucionalidad contra la misma norma (núm. 5305-2002). Dicha solicitud le fue denegada por providencia de la Sección Cuarta de 12 noviembre 2002, al no haberse invocado causa de fuerza mayor que pudiera justificar la solicitud.</w:t>
      </w:r>
    </w:p>
    <w:p w:rsidR="00E3576C" w:rsidRDefault="00E3576C" w:rsidP="00E3576C">
      <w:pPr>
        <w:pStyle w:val="TextoNormal"/>
      </w:pPr>
    </w:p>
    <w:p w:rsidR="00E3576C" w:rsidRDefault="00E3576C" w:rsidP="00E3576C">
      <w:pPr>
        <w:pStyle w:val="TextoNormal"/>
      </w:pPr>
      <w:r w:rsidRPr="00E3576C">
        <w:rPr>
          <w:rStyle w:val="NumeroAFNegritaCaracter"/>
        </w:rPr>
        <w:t>7</w:t>
      </w:r>
      <w:r>
        <w:t>. Mediante escrito presentado en el Registro General de este Tribunal Constitucional el 20 de septiembre de 2002, la Letrada del Parlamento de Cataluña, en la representación que ostenta, interpuso recurso de inconstitucionalidad contra los arts. 5.1, 8.4 y 11.7, así como la disposición final primera, apartado 2, párrafos primero y segundo, de la Ley Orgánica 5/2002, de 19 de junio, de las cualificaciones y de la formación profesional.</w:t>
      </w:r>
    </w:p>
    <w:p w:rsidR="00E3576C" w:rsidRDefault="00E3576C" w:rsidP="00E3576C">
      <w:pPr>
        <w:pStyle w:val="TextoNormal"/>
      </w:pPr>
    </w:p>
    <w:p w:rsidR="00E3576C" w:rsidRDefault="00E3576C" w:rsidP="00E3576C">
      <w:pPr>
        <w:pStyle w:val="TextoNormal"/>
      </w:pPr>
      <w:r w:rsidRPr="00E3576C">
        <w:rPr>
          <w:rStyle w:val="NumeroAFNegritaCaracter"/>
        </w:rPr>
        <w:t>8</w:t>
      </w:r>
      <w:r>
        <w:t>. Por providencia del Pleno del Tribunal Constitucional de 15 de octubre de 2002 se acordó admitir a trámite el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estimaran convenientes. También se acordó publicar la incoación del recurso en el “Boletín Oficial del Estado”.</w:t>
      </w:r>
    </w:p>
    <w:p w:rsidR="00E3576C" w:rsidRDefault="00E3576C" w:rsidP="00E3576C">
      <w:pPr>
        <w:pStyle w:val="TextoNormal"/>
      </w:pPr>
    </w:p>
    <w:p w:rsidR="00E3576C" w:rsidRDefault="00E3576C" w:rsidP="00E3576C">
      <w:pPr>
        <w:pStyle w:val="TextoNormal"/>
      </w:pPr>
      <w:r w:rsidRPr="00E3576C">
        <w:rPr>
          <w:rStyle w:val="NumeroAFNegritaCaracter"/>
        </w:rPr>
        <w:t>9</w:t>
      </w:r>
      <w:r>
        <w:t>. En escrito registrado en este Tribunal el 4 de noviembre de 2002, la Presidenta del Congreso de los Diputados manifestó que, aunque éste no se personaría en el procedimiento ni formularía alegaciones, ponía a disposición del Tribunal las actuaciones de la Cámara que pudiera precisar.</w:t>
      </w:r>
    </w:p>
    <w:p w:rsidR="00E3576C" w:rsidRDefault="00E3576C" w:rsidP="00E3576C">
      <w:pPr>
        <w:pStyle w:val="TextoNormal"/>
      </w:pPr>
    </w:p>
    <w:p w:rsidR="00E3576C" w:rsidRDefault="00E3576C" w:rsidP="00E3576C">
      <w:pPr>
        <w:pStyle w:val="TextoNormal"/>
      </w:pPr>
      <w:r w:rsidRPr="00E3576C">
        <w:rPr>
          <w:rStyle w:val="NumeroAFNegritaCaracter"/>
        </w:rPr>
        <w:t>10</w:t>
      </w:r>
      <w:r>
        <w:t>. El Abogado del Estado, mediante escrito presentado el 7 de noviembre de 2002, se personó en nombre del Gobierno y formuló sus alegaciones solicitando la desestimación del recurso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t>11</w:t>
      </w:r>
      <w:r>
        <w:t xml:space="preserve">. A través de escrito registrado en este Tribunal Constitucional el 8 de noviembre de 2002, el Letrado de las Cortes Generales-jefe de la asesoría jurídica del Senado formuló alegaciones, en las que interesó la desestimación del recurso de inconstitucionalidad. Por medio de otrosí, solicitó la acumulación del recurso al núm. 4937-2002, planteado por el Gobierno de la Generalitat de Cataluña contra determinados preceptos de la misma Ley </w:t>
      </w:r>
      <w:r>
        <w:lastRenderedPageBreak/>
        <w:t>Orgánica 5/2002, de 19 junio, aduciendo que resultaba justificada por la casi estricta identidad entre los preceptos impugnados en uno y otro recurso.</w:t>
      </w:r>
    </w:p>
    <w:p w:rsidR="00E3576C" w:rsidRDefault="00E3576C" w:rsidP="00E3576C">
      <w:pPr>
        <w:pStyle w:val="TextoNormal"/>
      </w:pPr>
    </w:p>
    <w:p w:rsidR="00E3576C" w:rsidRDefault="00E3576C" w:rsidP="00E3576C">
      <w:pPr>
        <w:pStyle w:val="TextoNormal"/>
      </w:pPr>
      <w:r w:rsidRPr="00E3576C">
        <w:rPr>
          <w:rStyle w:val="NumeroAFNegritaCaracter"/>
        </w:rPr>
        <w:t>12</w:t>
      </w:r>
      <w:r>
        <w:t>. Por providencia de 15 de febrero de 2011 se acordó conceder un plazo de diez días al recurrente, a las partes personadas y a la representación procesal del Parlamento de Cataluña, a fin de que alegaran lo que estimasen oportuno sobre la acumulación al recurso de inconstitucionalidad núm. 4937-2002 del recurso de inconstitucionalidad núm. 5305-2002, promovido por el Parlamento de Cataluña contra determinados preceptos de la Ley Orgánica 5/2002, de 19 junio.</w:t>
      </w:r>
    </w:p>
    <w:p w:rsidR="00E3576C" w:rsidRDefault="00E3576C" w:rsidP="00E3576C">
      <w:pPr>
        <w:pStyle w:val="TextoNormal"/>
      </w:pPr>
    </w:p>
    <w:p w:rsidR="00E3576C" w:rsidRDefault="00E3576C" w:rsidP="00E3576C">
      <w:pPr>
        <w:pStyle w:val="TextoNormal"/>
      </w:pPr>
      <w:r w:rsidRPr="00E3576C">
        <w:rPr>
          <w:rStyle w:val="NumeroAFNegritaCaracter"/>
        </w:rPr>
        <w:t>13</w:t>
      </w:r>
      <w:r>
        <w:t>. En escrito presentado el 7 de marzo de 2011, la Letrada del Parlamento de Cataluña mostró su conformidad con la acumulación, al tener ambos recursos, en su mayor parte, un mismo objeto.</w:t>
      </w:r>
    </w:p>
    <w:p w:rsidR="00E3576C" w:rsidRDefault="00E3576C" w:rsidP="00E3576C">
      <w:pPr>
        <w:pStyle w:val="TextoNormal"/>
      </w:pPr>
    </w:p>
    <w:p w:rsidR="00E3576C" w:rsidRDefault="00E3576C" w:rsidP="00E3576C">
      <w:pPr>
        <w:pStyle w:val="TextoNormal"/>
      </w:pPr>
      <w:r w:rsidRPr="00E3576C">
        <w:rPr>
          <w:rStyle w:val="NumeroAFNegritaCaracter"/>
        </w:rPr>
        <w:t>14</w:t>
      </w:r>
      <w:r>
        <w:t>. El Abogado del Estado, mediante escrito registrado también el 7 marzo 2011, manifestó que no se oponía a la acumulación solicitada.</w:t>
      </w:r>
    </w:p>
    <w:p w:rsidR="00E3576C" w:rsidRDefault="00E3576C" w:rsidP="00E3576C">
      <w:pPr>
        <w:pStyle w:val="TextoNormal"/>
      </w:pPr>
    </w:p>
    <w:p w:rsidR="00E3576C" w:rsidRDefault="00E3576C" w:rsidP="00E3576C">
      <w:pPr>
        <w:pStyle w:val="TextoNormal"/>
      </w:pPr>
      <w:r w:rsidRPr="00E3576C">
        <w:rPr>
          <w:rStyle w:val="NumeroAFNegritaCaracter"/>
        </w:rPr>
        <w:t>15</w:t>
      </w:r>
      <w:r>
        <w:t>. El 9 de marzo de 2011 tuvo entrada en este Tribunal escrito del Abogado de la Generalitat de Cataluña, en el que interesaba la acumulación del recurso de inconstitucionalidad núm. 5305-2002 al núm. 4937-2002, por concurrir entre ambos procesos la conexión objetiva exigida por el art. 83 LOTC.</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El art. 83 de la Ley Orgánica del Tribunal Constitucional (LOTC) permite, de oficio o a instancia de parte, previa audiencia de los comparecidos en el proceso constitucional, disponer la acumulación de aquellos procedimientos con objetos conexos que justifiquen la unidad de tramitación y decisión. Se establecen, pues, dos requisitos diferentes que han de concurrir necesariamente de manera simultánea para que proceda dicha acumulación: por una parte, la conexión entre los objetos de los procesos de que se trate; por otra, que tal conexión sea relevante en relación con su tramitación y decisión unitarias, o, lo que es lo mismo, que la referida conexión justifique la unidad de tramitación y decisión (por todos, ATC 147/2010, de 26 de octubre, FJ único). </w:t>
      </w:r>
    </w:p>
    <w:p w:rsidR="00E3576C" w:rsidRDefault="00E3576C" w:rsidP="00E3576C">
      <w:pPr>
        <w:pStyle w:val="TextoNormal"/>
      </w:pPr>
    </w:p>
    <w:p w:rsidR="00E3576C" w:rsidRDefault="00E3576C" w:rsidP="00E3576C">
      <w:pPr>
        <w:pStyle w:val="TextoNormal"/>
      </w:pPr>
      <w:r>
        <w:t>En el presente caso, entre los recursos de inconstitucionalidad registrados con los números 4937-2002 y 5305-2002 existe una indudable conexión, que además es relevante para su tramitación y decisión unitaria, pues, de un lado, han sido planteados prácticamente en relación con los mismos preceptos de la Ley Orgánica 5/2002, de 19 de junio, de las cualificaciones y de la formación profesional, y, de otro, basan la impugnación, sustancialmente, en los mismos motivos. Por consiguiente, resulta conveniente acordar la unidad de decisión de los dos procesos constitucionales, conforme a lo establecido en el art. 83 LOTC.</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Acumular el recurso de inconstitucionalidad núm. 5305-2002 al recurso de inconstitucionalidad núm. 4937-2002.</w:t>
      </w:r>
    </w:p>
    <w:p w:rsidR="00E3576C" w:rsidRDefault="00E3576C" w:rsidP="00E3576C">
      <w:pPr>
        <w:pStyle w:val="TextoNormal"/>
      </w:pPr>
    </w:p>
    <w:p w:rsidR="00E3576C" w:rsidRDefault="00E3576C" w:rsidP="00E3576C">
      <w:pPr>
        <w:pStyle w:val="TextoNormal"/>
      </w:pPr>
      <w:r>
        <w:t>Madrid, a veintidós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49" w:name="AUTO_2012_108"/>
      <w:r>
        <w:lastRenderedPageBreak/>
        <w:t>AUTO 108/2012, de 22 de mayo de 2012</w:t>
      </w:r>
    </w:p>
    <w:bookmarkEnd w:id="24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ECLI:ES:TC:2012:108A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aclaración de la Sentencia 68/2012, de 29 de marzo, dictada en el recurso de amparo 5150-2010, promovido por don Antonio García Carbonell.</w:t>
      </w:r>
    </w:p>
    <w:p w:rsidR="00E3576C" w:rsidRDefault="00E3576C" w:rsidP="00E3576C">
      <w:pPr>
        <w:pStyle w:val="SntesisDescriptiva"/>
      </w:pPr>
    </w:p>
    <w:p w:rsidR="00E3576C" w:rsidRDefault="00E3576C" w:rsidP="00E3576C">
      <w:pPr>
        <w:pStyle w:val="SntesisAnaltica"/>
      </w:pPr>
      <w:r>
        <w:t>Aclaración de resoluciones del Tribunal Constitucional: aclaración improcedente.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29 de marzo de 2012 recayó Sentencia (STC 68/2012, de 29 de marzo) en el presente proceso constitucional (núm. 5150-2010), que denegó el amparo solicitado por don Antonio García Carbonell contra el Auto dictado el 15 de abril de 2010 por la Sala de lo Penal del Tribunal Supremo, que desestimó el recurso de casación contra el Auto de la Sección Quinta de la Audiencia Provincial de Barcelona, recaído el 3 de junio de 2009 en la ejecutoria núm. 279-1999.</w:t>
      </w:r>
    </w:p>
    <w:p w:rsidR="00E3576C" w:rsidRDefault="00E3576C" w:rsidP="00E3576C">
      <w:pPr>
        <w:pStyle w:val="TextoNormal"/>
      </w:pPr>
    </w:p>
    <w:p w:rsidR="00E3576C" w:rsidRDefault="00E3576C" w:rsidP="00E3576C">
      <w:pPr>
        <w:pStyle w:val="TextoNormal"/>
      </w:pPr>
      <w:r>
        <w:t>El proceso de amparo trae causa de que la Sección Décima de la Audiencia Provincial de Barcelona, mediante Sentencia de 27 de diciembre de 1996, condenó al demandante de amparo, como responsable de cuatro delitos de robo con violación, a cuatro penas de veinticuatro años de reclusión mayor; por la comisión de seis delitos de violación, a seis penas de quince años de reclusión menor; por cuatro delitos de detención ilegal, a cuatro penas de nueve años de prisión mayor; por un delito de robo con violencia, a cuatro años, dos meses y un día de prisión menor; por un delito de robo con intimidación, a dos años, cuatro meses y un día de prisión menor; por cinco faltas de lesiones, a otras tantas penas de veinte días de arresto menor. Igualmente le impuso las penas legales accesorias, así como el pago de las costas procesales y responsabilidades civiles que se determinan en la parte dispositiva de la resolución.</w:t>
      </w:r>
    </w:p>
    <w:p w:rsidR="00E3576C" w:rsidRDefault="00E3576C" w:rsidP="00E3576C">
      <w:pPr>
        <w:pStyle w:val="TextoNormal"/>
      </w:pPr>
    </w:p>
    <w:p w:rsidR="00E3576C" w:rsidRDefault="00E3576C" w:rsidP="00E3576C">
      <w:pPr>
        <w:pStyle w:val="TextoNormal"/>
      </w:pPr>
      <w:r>
        <w:t>Posteriormente, la Sección Quinta de la Audiencia Provincial de Barcelona, mediante Sentencia de 16 de septiembre de 1999, condenó al demandante de amparo a las penas de veinte años y un día de reclusión mayor por la comisión de un delito de robo con violación; doce años y un día de reclusión menor por la comisión de un delito de violación; seis años y un día de prisión mayor por un delito de detención ilegal; y dos años, cuatro meses y un día de prisión menor por cada uno de los dos delitos de lesiones apreciados. Igualmente le impuso las penas legales accesorias, así como el pago de las costas procesales y responsabilidades civiles que se determinan en la parte dispositiva de la resolución.</w:t>
      </w:r>
    </w:p>
    <w:p w:rsidR="00E3576C" w:rsidRDefault="00E3576C" w:rsidP="00E3576C">
      <w:pPr>
        <w:pStyle w:val="TextoNormal"/>
      </w:pPr>
    </w:p>
    <w:p w:rsidR="00E3576C" w:rsidRDefault="00E3576C" w:rsidP="00E3576C">
      <w:pPr>
        <w:pStyle w:val="TextoNormal"/>
      </w:pPr>
      <w:r w:rsidRPr="00E3576C">
        <w:rPr>
          <w:rStyle w:val="NumeroAFNegritaCaracter"/>
        </w:rPr>
        <w:t>2</w:t>
      </w:r>
      <w:r>
        <w:t>. Habiendo sido notificada la Sentencia constitucional —el 19 de abril de 2012— a la representación procesal del demandante de amparo, mediante escrito presentado el 23 de abril solicitó aclaración de la misma, al amparo de los arts. 267 de la Ley Orgánica del Poder Judicial y 161 de la Ley de enjuiciamiento civil, en consideración a que se habría omitido, por error, un dato esencial cual es que en la ejecutoria se había practicado una liquidación de condena provisional con aplicación de los beneficios penitenciarios de redención de penas por el trabajo y que, en base a la misma, se acordó mantener la aplicación del Código penal de 1973. En concreto, añade, el 4 de julio de 2001 el Tribunal sentenciador solicitó al centro penitenciario en que se encontraba interno el demandante que remitiera la liquidación provisional de la condena, lo cual llevó a cabo el centro penitenciario, enviando el 12 de julio de 2001 la referida liquidación provisional en la que se detallaban las redenciones y se establecía el licenciamiento definitivo para el 25 de noviembre de 2013. Tras ello, el Auto de 14 de diciembre de 2001 mantuvo la aplicación del Código penal de 1973 ya que la parte, a la vista de la liquidación de condena provisional practicada, así lo solicitó. Todo lo cual, a juicio del peticionario, indica que existió una resolución judicial firme e intangible que incorpora un determinado criterio de cómputo de las redenciones de penas por el trabajo distinto al aplicado por las resoluciones recurridas en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art. 93.1 de la Ley Orgánica del Tribunal Constitucional (LOTC) establece que en el plazo de dos días, a contar desde la notificación, las partes podrán solicitar de este Tribunal la aclaración de sus Sentencias. Ahora bien, como hemos expresado en reiteradas ocasiones, la solicitud de aclaración no constituye un auténtico medio de impugnación encaminado a la sustitución o revisión de la decisión adoptada. Antes al contrario, su objeto ha de limitarse tan sólo, según se pone de manifiesto en los textos legales que sirven de referencia al efecto (arts. 267 de la Ley Orgánica del Poder Judicial y 214 de la Ley de enjuiciamiento civil, aplicables supletoriamente a esta jurisdicción constitucional ex art. 80 LOTC), a la corrección de errores materiales manifiestos o errores aritméticos, la aclaración de algún concepto oscuro, suplir cualquier omisión o la rectificación de alguna contradicción manifiesta que se evidencie del propio texto de la Sentencia, sin necesidad de nuevas deducciones o interpretaciones (AATC 439/2006, de 11 de diciembre, FJ 1; 363/2007, de 11 de septiembre, FJ 1; y 70/2008, de 26 de febrero, FJ 1, por todos).</w:t>
      </w:r>
    </w:p>
    <w:p w:rsidR="00E3576C" w:rsidRDefault="00E3576C" w:rsidP="00E3576C">
      <w:pPr>
        <w:pStyle w:val="TextoNormal"/>
      </w:pPr>
    </w:p>
    <w:p w:rsidR="00E3576C" w:rsidRDefault="00E3576C" w:rsidP="00E3576C">
      <w:pPr>
        <w:pStyle w:val="TextoNormal"/>
      </w:pPr>
      <w:r w:rsidRPr="00E3576C">
        <w:rPr>
          <w:rStyle w:val="NumeroAFNegritaCaracter"/>
        </w:rPr>
        <w:t>2</w:t>
      </w:r>
      <w:r>
        <w:t>. En el presente caso el solicitante articula por la vía de la petición de aclaración una pretensión que excede manifiestamente del contenido de este trámite, pues lo que solicita no es otra cosa que un pronunciamiento de fondo radicalmente opuesto al ya recaído, en consideración a un pretendido error que, en realidad, no es tal, pues la resolución judicial a la que atribuye una intangibilidad que debiera haber llevado al otorgamiento del amparo ya fue debidamente valorada (fundamento jurídico 6 de la Sentencia) cuando afirmamos que el Auto de 14 de noviembre de 2001 se limitó a tener por desistido al demandante de amparo de su inicial petición de revisión de la condena, siendo claro que en esta resolución no se realiza pronunciamiento alguno acerca del criterio de cómputo de las redenciones por el trabajo, ni era su objeto, sin que pueda fundar el solicitante su pretensión en la propuesta de liquidación formulada el 12 de julio de 2001 por el centro penitenciario, pues dicha propuesta no llegó a ser aprobada por el órgano judicial.</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No haber lugar a la aclaración solicitada.</w:t>
      </w:r>
    </w:p>
    <w:p w:rsidR="00E3576C" w:rsidRDefault="00E3576C" w:rsidP="00E3576C">
      <w:pPr>
        <w:pStyle w:val="TextoNormal"/>
      </w:pPr>
    </w:p>
    <w:p w:rsidR="00E3576C" w:rsidRDefault="00E3576C" w:rsidP="00E3576C">
      <w:pPr>
        <w:pStyle w:val="TextoNormal"/>
      </w:pPr>
      <w:r>
        <w:t>Madrid, a veintidós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0" w:name="AUTO_2012_109"/>
      <w:r>
        <w:lastRenderedPageBreak/>
        <w:t>AUTO 109/2012, de 22 de mayo de 2012</w:t>
      </w:r>
    </w:p>
    <w:bookmarkEnd w:id="250"/>
    <w:p w:rsidR="00E3576C" w:rsidRDefault="00E3576C" w:rsidP="00E3576C">
      <w:pPr>
        <w:pStyle w:val="TtuloResolucin"/>
      </w:pPr>
      <w:r>
        <w:t>Pleno</w:t>
      </w:r>
    </w:p>
    <w:p w:rsidR="00E3576C" w:rsidRDefault="00E3576C" w:rsidP="00E3576C">
      <w:pPr>
        <w:pStyle w:val="TtuloResolucin"/>
      </w:pPr>
    </w:p>
    <w:p w:rsidR="00E3576C" w:rsidRDefault="00E3576C" w:rsidP="00E3576C">
      <w:pPr>
        <w:pStyle w:val="TtuloBOE"/>
      </w:pPr>
      <w:r>
        <w:t>("BOE" núm. 147, de 20 de junio de 2012)</w:t>
      </w:r>
    </w:p>
    <w:p w:rsidR="00E3576C" w:rsidRDefault="00E3576C" w:rsidP="00E3576C">
      <w:pPr>
        <w:pStyle w:val="TtuloBOE"/>
      </w:pPr>
    </w:p>
    <w:p w:rsidR="00E3576C" w:rsidRDefault="00E3576C" w:rsidP="00E3576C">
      <w:pPr>
        <w:pStyle w:val="SntesisDescriptiva"/>
      </w:pPr>
      <w:r>
        <w:t>ECLI:ES:TC:2012:109A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6526-2011, planteada por el Tribunal Militar Territorial Primero en relación con el artículo 454 de la Ley Orgánica procesal militar.</w:t>
      </w:r>
    </w:p>
    <w:p w:rsidR="00E3576C" w:rsidRDefault="00E3576C" w:rsidP="00E3576C">
      <w:pPr>
        <w:pStyle w:val="SntesisDescriptiva"/>
      </w:pPr>
    </w:p>
    <w:p w:rsidR="00E3576C" w:rsidRDefault="00E3576C" w:rsidP="00E3576C">
      <w:pPr>
        <w:pStyle w:val="SntesisAnaltica"/>
      </w:pPr>
      <w:r>
        <w:t>Cuestión de inconstitucionalidad: momento procesal para plantear la cuestión de inconstitucionalidad. Inadmisión de cuestión de inconstitucionalidad: cuestión de inconstitucionalidad notoriamente infundada; inadmisión de cuestión de inconstitucionalidad por falta de requisitos procesales; juicio de relevancia inconsistente. Proceso contencioso-disciplinario militar: costas procesales.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30 de noviembre de 2011 tuvo entrada en el Registro General de este Tribunal un oficio del Tribunal Militar Territorial Primero, al que se acompaña junto con el testimonio del correspondiente procedimiento, Auto de fecha 14 de octubre de 2011, dictado por dicho Tribunal Militar, en el que se plantea cuestión de inconstitucionalidad en relación con el art. 454 de la Ley Orgánica 2/1989, de 13 de abril, procesal militar, por posible vulneración del art. 14 CE.</w:t>
      </w:r>
    </w:p>
    <w:p w:rsidR="00E3576C" w:rsidRDefault="00E3576C" w:rsidP="00E3576C">
      <w:pPr>
        <w:pStyle w:val="TextoNormal"/>
      </w:pPr>
    </w:p>
    <w:p w:rsidR="00E3576C" w:rsidRDefault="00E3576C" w:rsidP="00E3576C">
      <w:pPr>
        <w:pStyle w:val="TextoNormal"/>
      </w:pPr>
      <w:r w:rsidRPr="00E3576C">
        <w:rPr>
          <w:rStyle w:val="NumeroAFNegritaCaracter"/>
        </w:rPr>
        <w:t>2</w:t>
      </w:r>
      <w:r>
        <w:t>. Los antecedentes de la cuestión son los siguientes:</w:t>
      </w:r>
    </w:p>
    <w:p w:rsidR="00E3576C" w:rsidRDefault="00E3576C" w:rsidP="00E3576C">
      <w:pPr>
        <w:pStyle w:val="TextoNormal"/>
      </w:pPr>
    </w:p>
    <w:p w:rsidR="00E3576C" w:rsidRDefault="00E3576C" w:rsidP="00E3576C">
      <w:pPr>
        <w:pStyle w:val="TextoNormal"/>
      </w:pPr>
      <w:r>
        <w:t xml:space="preserve">a) Con fecha 29 de noviembre de 2010, el Tribunal Constitucional dicta Sentencia estimando el recurso de amparo núm. 6925-2004 (STC 122/2010). Dicho recurso fue promovido por un guardia civil contra la sanción disciplinaria de tres días de arresto dictada por el teniente comandante del puesto de Altea, resolución contra la que había interpuesto infructuosamente recurso contencioso-disciplinario militar ante el Tribunal Militar Territorial Primero y cuya Sentencia también fue impugnada, sin éxito, en casación. El fallo de la STC 122/2010 reproduce la jurisprudencia vertida en la STC 73/2010, de 18 de octubre, recaída en una cuestión interna de inconstitucionalidad, en la que se interpretó que la sanción disciplinaria de arresto sólo podía imponerse a los miembros de la Guardia Civil por infracciones cometidas en el desempeño de funciones materialmente calificables como militares y no, </w:t>
      </w:r>
      <w:r>
        <w:lastRenderedPageBreak/>
        <w:t>como en el caso que nos ocupa, en el de las propias de un cuerpo de seguridad. En consecuencia, el Tribunal Constitucional declaró vulnerado el derecho fundamental del recurrente a la libertad (art. 17 CE en relación con el art. 25.3 CE) y anuló la resolución sancionadora impugnada, así como las resoluciones judiciales que la confirmaban.</w:t>
      </w:r>
    </w:p>
    <w:p w:rsidR="00E3576C" w:rsidRDefault="00E3576C" w:rsidP="00E3576C">
      <w:pPr>
        <w:pStyle w:val="TextoNormal"/>
      </w:pPr>
    </w:p>
    <w:p w:rsidR="00E3576C" w:rsidRDefault="00E3576C" w:rsidP="00E3576C">
      <w:pPr>
        <w:pStyle w:val="TextoNormal"/>
      </w:pPr>
      <w:r>
        <w:t xml:space="preserve">b) Por Auto de 20 de enero de 2011, el Tribunal Militar Territorial Primero acuerda ejecutar la citada STC 122/2010, de 29 de noviembre, solicitando a la sección de personal de la Dirección General de la Guardia Civil la eliminación de la sanción de la documentación personal del interesado, y declarando el derecho del recurrente a ser indemnizado. En dicho Auto, el Tribunal Militar Territorial Primero entiende que, dado que la Sentencia del Tribunal Constitucional no se pronuncia respecto de la petición de indemnización contenida en la demanda (petición que tampoco se resolvió en la vía contencioso-disciplinaria militar al haber desestimado el recurso), procede hacerlo “ya que el derecho de los particulares a ser indemnizados por las lesiones que sufran en sus bienes o derechos a consecuencia del funcionamiento de los servicios públicos, que tiene su reflejo en los artículos 469 y 495 b) de la Ley Procesal Militar, no surge de la simple estimación del recurso sino que, acreditada su existencia, debe el Tribunal declarar que la resolución generó daños morales, fijando su cuantía libremente, atendidas las circunstancias del caso, en trámite de ejecución de sentencia”. </w:t>
      </w:r>
    </w:p>
    <w:p w:rsidR="00E3576C" w:rsidRDefault="00E3576C" w:rsidP="00E3576C">
      <w:pPr>
        <w:pStyle w:val="TextoNormal"/>
      </w:pPr>
    </w:p>
    <w:p w:rsidR="00E3576C" w:rsidRDefault="00E3576C" w:rsidP="00E3576C">
      <w:pPr>
        <w:pStyle w:val="TextoNormal"/>
      </w:pPr>
      <w:r>
        <w:t>c) Una vez abierto incidente para fijar la indemnización, la parte afectada solicita indemnización en la cuantía total de 13.150 €. Concretamente, 3.000 € por los tres días de privación de libertad; 7.000 € por los daños y perjuicios sociales, morales y profesionales causados; 600 € por los gastos generales, desplazamientos, residencia en Alicante, etc.; y finalmente, 3.150 € por los gastos de Abogado y Procurador. El Fiscal Jurídico Militar entiende, sin embargo, que la indemnización procedente sería de 180 € (a razón de 60 € por cada día en que sufrió privación de libertad), sin que proceda indemnizar por gastos de representación legal puesto que dichos honorarios no pueden ser tenidos en cuenta en el ámbito de la justicia militar de acuerdo con el artículo 454 de la Ley Orgánica procesal militar. Por su parte, la Abogada del Estado también considera que la indemnización debe valorarse en 60 euros por día de arresto, fijando una cantidad total de 185,40 € (por el incremento del IPC de 2010), y en cuanto al abono de los gastos de representación y defensa técnica, coincide con el Fiscal en que de conformidad con el artículo 454 de la Ley Orgánica 2/1989 de 13 abril, procesal militar “el procedimiento contencioso-disciplinario militar será gratuito y en él no podrá condenarse en costas ni exigir depósitos”, por lo que no procede su abono por parte del Ministerio de Defensa.</w:t>
      </w:r>
    </w:p>
    <w:p w:rsidR="00E3576C" w:rsidRDefault="00E3576C" w:rsidP="00E3576C">
      <w:pPr>
        <w:pStyle w:val="TextoNormal"/>
      </w:pPr>
    </w:p>
    <w:p w:rsidR="00E3576C" w:rsidRDefault="00E3576C" w:rsidP="00E3576C">
      <w:pPr>
        <w:pStyle w:val="TextoNormal"/>
      </w:pPr>
      <w:r>
        <w:t xml:space="preserve">d) Mediante Auto de 14 junio 2011, el Tribunal Militar Territorial Primero expone que son dos los títulos en los que se pretende fundar la indemnización: el primero es el daño moral, exento de prueba; el segundo “tiene que ver con los gastos que ha debido afrontar (el demandante) al ser asistido por letrado y procurador”. En cuanto al primero, razona que los daños morales están exentos de prueba y que procede indemnizarlos en 360 euros. En cuanto al segundo, sin pronunciamiento sobre su prueba, el Tribunal pone en duda la constitucionalidad del art. 454 de la Ley Orgánica procesal militar, que al prohibir la condena en costas en el proceso contencioso-disciplinario militar, supone un tratamiento diferenciado, no razonable, con respecto al art. 139.1 de la Ley 29/1998, de 13 de julio, reguladora de la jurisdicción contencioso-administrativa. En su parte dispositiva, el Auto acuerda ejecutar la STC 122/2010, de 29 de noviembre, a cuyo fin se traslada notificación a la sección de pagadurías </w:t>
      </w:r>
      <w:r>
        <w:lastRenderedPageBreak/>
        <w:t xml:space="preserve">del Ministerio de Defensa, para que proceda a indemnizar al interesado en la cuantía de trescientos sesenta euros (360 €). </w:t>
      </w:r>
    </w:p>
    <w:p w:rsidR="00E3576C" w:rsidRDefault="00E3576C" w:rsidP="00E3576C">
      <w:pPr>
        <w:pStyle w:val="TextoNormal"/>
      </w:pPr>
    </w:p>
    <w:p w:rsidR="00E3576C" w:rsidRDefault="00E3576C" w:rsidP="00E3576C">
      <w:pPr>
        <w:pStyle w:val="TextoNormal"/>
      </w:pPr>
      <w:r>
        <w:t>e) Dos días más tarde, mediante providencia de 16 de junio de 2011, el Tribunal Militar Territorial Primero declara que no aprecia razón suficiente que funde la disparidad que se constata entre el art. 454 de la Ley Orgánica procesal militar (que excluye la condena en costas en el procedimiento contencioso-disciplinario militar), y el art. 139 de la Ley reguladora de la jurisdicción contencioso-administrativa (que no contiene previsión análoga), razón por la cual se abre el trámite previsto en el art. 35 de la Ley Orgánica del Tribunal Constitucional, por posible vulneración del art. 14 CE. Tanto el Fiscal como la Abogada del Estado no consideran pertinente el planteamiento de la cuestión de inconstitucionalidad, al entender que la diferente ordenación de la condena en costas que se recoge en las dos jurisdicciones mencionadas está justificada, en atención a la especialidad de la jurisdicción militar. El guardia civil recurrente no formula alegaciones.</w:t>
      </w:r>
    </w:p>
    <w:p w:rsidR="00E3576C" w:rsidRDefault="00E3576C" w:rsidP="00E3576C">
      <w:pPr>
        <w:pStyle w:val="TextoNormal"/>
      </w:pPr>
    </w:p>
    <w:p w:rsidR="00E3576C" w:rsidRDefault="00E3576C" w:rsidP="00E3576C">
      <w:pPr>
        <w:pStyle w:val="TextoNormal"/>
      </w:pPr>
      <w:r w:rsidRPr="00E3576C">
        <w:rPr>
          <w:rStyle w:val="NumeroAFNegritaCaracter"/>
        </w:rPr>
        <w:t>3</w:t>
      </w:r>
      <w:r>
        <w:t>. Por Auto de 14 de octubre de 2011, el Tribunal Militar Territorial Primero eleva cuestión de inconstitucionalidad, al entender que el art. 454 de la Ley Orgánica procesal militar podría vulnerar el art. 14 CE. El Tribunal pone en duda la constitucionalidad del art. 454 de la Ley Orgánica procesal militar, toda vez que este precepto, al prohibir la condena en costas en el proceso contencioso-disciplinario militar, supone un tratamiento diferenciado, no razonable, con respecto al art. 139.1 de la Ley 29/1998, de 13 de julio, reguladora de la jurisdicción contencioso-administrativa, que dispone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 juicio del Tribunal Militar, tal duda de constitucionalidad ha de resolverse para fijar la indemnización solicitada por la parte demandante.</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Cuarta de este Tribunal, de fecha 13 de marzo de 2012, se acordó oír al Fiscal General del Estado para que, en el plazo de diez días, alegara lo que considerara conveniente acerca de la admisibilidad de la presente cuestión de inconstitucionalidad en relación con el cumplimiento de los requisitos procesales (art. 35.2 CE) y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xml:space="preserve">. El 13 de abril de 2012 el Fiscal General del Estado presentó su escrito de alegaciones sugiriendo la inadmisión a trámite de la cuestión de inconstitucionalidad por falta de condiciones procesales para su adecuado planteamiento, así como por considerarla notoriamente infundada. </w:t>
      </w:r>
    </w:p>
    <w:p w:rsidR="00E3576C" w:rsidRDefault="00E3576C" w:rsidP="00E3576C">
      <w:pPr>
        <w:pStyle w:val="TextoNormal"/>
      </w:pPr>
    </w:p>
    <w:p w:rsidR="00E3576C" w:rsidRDefault="00E3576C" w:rsidP="00E3576C">
      <w:pPr>
        <w:pStyle w:val="TextoNormal"/>
      </w:pPr>
      <w:r>
        <w:t xml:space="preserve">Tras recoger los antecedentes de hecho de la cuestión planteada y hacer mención del contenido del Auto de planteamiento, el Ministerio Fiscal examina la concurrencia de posibles óbices procesales y, en este sentido, entiende que cuando el Tribunal Territorial Primero recibió del Tribunal Constitucional el correspondiente testimonio de la STC 122/2010, de 29 de noviembre, y procedió a su ejecución, debió limitarse a disponer que se eliminara de la documentación personal del interesado la sanción disciplinaria de tres días de arresto que le fue impuesta el 14 de septiembre de 2000, pero no debió declarar el derecho del interesado a ser indemnizado, ni abrir un trámite de ejecución al objeto de determinar la </w:t>
      </w:r>
      <w:r>
        <w:lastRenderedPageBreak/>
        <w:t>cuantía concreta a que debería ascender esa indemnización, toda vez que la Sentencia del Tribunal Militar Territorial Primero de fecha 5 de junio de 2003 y la Sentencia de la Sala Quinta del Tribunal Supremo de fecha 27 de septiembre de 2004, habían dejado de tener existencia, por lo que nada podía ser ejecutado al respecto. En consecuencia, a juicio del Fiscal General del Estado, el art. 454 de la Ley Orgánica procesal militar no constituye norma “aplicable al caso”, ni norma “de cuya validez dependa el fallo”.</w:t>
      </w:r>
    </w:p>
    <w:p w:rsidR="00E3576C" w:rsidRDefault="00E3576C" w:rsidP="00E3576C">
      <w:pPr>
        <w:pStyle w:val="TextoNormal"/>
      </w:pPr>
    </w:p>
    <w:p w:rsidR="00E3576C" w:rsidRDefault="00E3576C" w:rsidP="00E3576C">
      <w:pPr>
        <w:pStyle w:val="TextoNormal"/>
      </w:pPr>
      <w:r>
        <w:t>Asimismo, entiende que la cuestión de constitucionalidad carece notoriamente de fundamento, toda vez que la especialidad de la jurisdicción militar se deriva de la organización jerarquizada propia de las fuerzas armadas y de la relevancia que la disciplina y las peculiaridades de la función militar poseen en la organización y funcionamiento de los ejércitos, lo que justificaría la opción del legislador por la supresión de la condena en costas, con la finalidad de eliminar cualquier posible impedimento disuasorio del ejercicio de acciones y recursos ante los correspondientes Tribunales de Justicia de dicha jurisdicción especializada. Argumentos que, a juicio del Ministerio Fiscal, justifican la diferencia existente entre la Ley Orgánica procesal militar y la Ley reguladora de la jurisdicción contencioso-administrativa en lo que a imposición de costas se refiere.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Según se ha expuesto con mayor detalle en los antecedentes de esta resolución, la presente cuestión de inconstitucionalidad se plantea por el Tribunal Militar Territorial Primero en relación con el artículo 454 de la Ley Orgánica 2/1989, de 13 de abril, procesal militar, por posible vulneración del art. 14 CE, a la vista de que el artículo 139 de la Ley 29/98, de 13 julio, reguladora de la jurisdicción contencioso-administrativa (LJCA), no contiene previsión análoga. Concretamente, el órgano judicial argumenta que “el art. 454 de la Ley Procesal Militar, al excluir taxativamente la condena en costas, frente a lo que previene para el orden contencioso-administrativo el art. 139.1 de su ley reguladora, puede constituir un tratamiento diferenciado no razonable, vulnerador por tanto del art. 14 de la Constitución”.</w:t>
      </w:r>
    </w:p>
    <w:p w:rsidR="00E3576C" w:rsidRDefault="00E3576C" w:rsidP="00E3576C">
      <w:pPr>
        <w:pStyle w:val="TextoNormal"/>
      </w:pPr>
    </w:p>
    <w:p w:rsidR="00E3576C" w:rsidRDefault="00E3576C" w:rsidP="00E3576C">
      <w:pPr>
        <w:pStyle w:val="TextoNormal"/>
      </w:pPr>
      <w:r>
        <w:t>El Fiscal General del Estado, como se ha dejado constancia en los antecedentes, se opone a la admisión a trámite de la cuestión de inconstitucionalidad por entender incumplidas las condiciones procesales requeridas para su planteamiento, ya que considera que no concurre el denominado juicio de aplicabilidad o de relevancia, así como por estimarla notoriamente infundada [art. 37.1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El planteamiento de la cuestión de constitucionalidad tiene su origen en la solicitud que formula el recurrente en el proceso a quo de que, al fijar la cuantía de la indemnización, se tengan en cuenta los gastos que ha debido afrontar al ser asistido por Abogado y Procurador, pretensión que, a juicio del Tribunal Militar Territorial Primero, no es posible atender dado que el art. 454 de la Ley Orgánica 2/1989 de 13 abril, procesal militar, dispone que “el procedimiento contencioso-disciplinario militar será gratuito y en él no podrá condenarse en costas ni exigir depósitos”. Por el contrario, tal y como señala el Tribunal Militar Primero, el art. 139 LJCA, recoge, en su primer apartado, que “en primera o única instancia, el órgano jurisdiccional, al dictar sentencia o al resolver por auto los recursos o incidentes que ante el mismo se promovieren, impondrá las costas a la parte que haya visto rechazadas </w:t>
      </w:r>
      <w:r>
        <w:lastRenderedPageBreak/>
        <w:t>todas sus pretensiones, salvo que aprecie y así lo razone, que el caso presentaba serias dudas de hecho o de derecho”, tratando en el segundo párrafo de este mismo apartado de “los supuestos de estimación o desestimación parcial”. Asimismo, en el segundo apartado del citado art. 139 LJCA se contempla, en relación con las costas, que “en las demás instancias o grados se impondrán al recurrente si se desestima totalmente el recurso, salvo que el órgano jurisdiccional, razonándolo debidamente, aprecie la concurrencia de circunstancias que justifiquen su no imposición”.</w:t>
      </w:r>
    </w:p>
    <w:p w:rsidR="00E3576C" w:rsidRDefault="00E3576C" w:rsidP="00E3576C">
      <w:pPr>
        <w:pStyle w:val="TextoNormal"/>
      </w:pPr>
    </w:p>
    <w:p w:rsidR="00E3576C" w:rsidRDefault="00E3576C" w:rsidP="00E3576C">
      <w:pPr>
        <w:pStyle w:val="TextoNormal"/>
      </w:pPr>
      <w:r w:rsidRPr="00E3576C">
        <w:rPr>
          <w:rStyle w:val="NumeroAFNegritaCaracter"/>
        </w:rPr>
        <w:t>3</w:t>
      </w:r>
      <w:r>
        <w:t>. De acuerdo con el art. 37.1 LOTC, este Tribunal pueda rechazar en trámite de admisión y mediante Auto, y sin otra audiencia que la del Fiscal General del Estado, la cuestión de inconstitucionalidad cuando faltaren las condiciones procesales o fuere notoriamente infundada la cuestión suscitada. Pues bien, la presente cuestión de inconstitucionalidad debe ser inadmitida, tanto por falta de cumplimiento de algunos de los requisitos procesales que establece el art. 35.2 LOTC, como por ser notoriamente infundada.</w:t>
      </w:r>
    </w:p>
    <w:p w:rsidR="00E3576C" w:rsidRDefault="00E3576C" w:rsidP="00E3576C">
      <w:pPr>
        <w:pStyle w:val="TextoNormal"/>
      </w:pPr>
    </w:p>
    <w:p w:rsidR="00E3576C" w:rsidRDefault="00E3576C" w:rsidP="00E3576C">
      <w:pPr>
        <w:pStyle w:val="TextoNormal"/>
      </w:pPr>
      <w:r>
        <w:t>Con respecto a los requisitos procesales, el Fiscal General del Estado entiende que no concurre el juicio de aplicabilidad o relevancia pues cuando el Tribunal Territorial Primero recibió el correspondiente testimonio de la STC 122/2010, de 29 de noviembre, y procedió a su ejecución, debió limitarse a disponer que se eliminara de la documentación personal del interesado la sanción disciplinaria de tres días de arresto, pero no debió declarar el derecho del interesado a ser indemnizado y, en consecuencia, el art. 454 de la Ley Orgánica procesal militar no constituye norma “aplicable al caso”, ni norma “de cuya validez dependa el fallo”. En relación con este extremo cabe señalar que este Tribunal en la precitada STC 122/2010 limitó su decisión a declarar la vulneración del derecho del recurrente a la libertad, así como al restablecimiento de su derecho anulado, sin pronunciarse, porque no le corresponde hacerlo, sobre la petición del recurrente de ser indemnizado por daños y perjuicios. En consecuencia, si el Tribunal Militar Territorial Primero, en el trámite de ejecución de sentencia y en estricta interpretación y aplicación de los arts. 469 y 495 de la Ley Orgánica procesal militar, entiende que le compete fijar la cuantía de la indemnización, atendidas las circunstancias del caso, actúa en el ámbito de sus competencias en una materia de estricta interpretación legal con respecto a la que no corresponde a este Tribunal pronunciarse.</w:t>
      </w:r>
    </w:p>
    <w:p w:rsidR="00E3576C" w:rsidRDefault="00E3576C" w:rsidP="00E3576C">
      <w:pPr>
        <w:pStyle w:val="TextoNormal"/>
      </w:pPr>
    </w:p>
    <w:p w:rsidR="00E3576C" w:rsidRDefault="00E3576C" w:rsidP="00E3576C">
      <w:pPr>
        <w:pStyle w:val="TextoNormal"/>
      </w:pPr>
      <w:r>
        <w:t>Ahora bien, en cuanto al juicio de relevancia exigido por el art. 35.2 LOTC que, como ha tenido ocasión de fijar este Tribunal en múltiples ocasiones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el Tribunal Militar Territorial Primero no exterioriza el nexo causal entre la validez del precepto legal cuestionado y la decisión a adoptar en el proceso a quo, toda vez que el art. 454 de la Ley Orgánica procesal militar prohíbe la condena en costas, pero lo que está dirimiendo el Tribunal Militar es la cuantía de la indemnización que le corresponde al recurrente por las lesiones sufridas en sus bienes o sus derechos, de acuerdo con lo previsto en los ya citados arts. 469 y 495 b) de la Ley Orgánica procesal militar.</w:t>
      </w:r>
    </w:p>
    <w:p w:rsidR="00E3576C" w:rsidRDefault="00E3576C" w:rsidP="00E3576C">
      <w:pPr>
        <w:pStyle w:val="TextoNormal"/>
      </w:pPr>
    </w:p>
    <w:p w:rsidR="00E3576C" w:rsidRDefault="00E3576C" w:rsidP="00E3576C">
      <w:pPr>
        <w:pStyle w:val="TextoNormal"/>
      </w:pPr>
      <w:r>
        <w:lastRenderedPageBreak/>
        <w:t xml:space="preserve">Así, la cuestión de inconstitucionalidad se plantea por el Tribunal Militar tras reconocer el derecho del recurrente a ser indemnizado, y en el momento de proceder a fijar la indemnización de los daños y perjuicios causados al mismo, para lo que consideró que habría de valorar y cuantificar no sólo los daños morales, sino también los patrimoniales, entre los que cabría incluir, en su caso, el gasto ocasionado por la contratación de los servicios profesionales de un abogado, aspecto que nada tiene que ver con la condena en costas a que se refiere el precepto cuestionado (art. 454 de la Ley Orgánica procesal militar), sino con la indemnización de los daños y perjuicios causados [ex arts. 469 y 495 b) de la misma norma], que es una cuestión diferente de aquélla. </w:t>
      </w:r>
    </w:p>
    <w:p w:rsidR="00E3576C" w:rsidRDefault="00E3576C" w:rsidP="00E3576C">
      <w:pPr>
        <w:pStyle w:val="TextoNormal"/>
      </w:pPr>
    </w:p>
    <w:p w:rsidR="00E3576C" w:rsidRDefault="00E3576C" w:rsidP="00E3576C">
      <w:pPr>
        <w:pStyle w:val="TextoNormal"/>
      </w:pPr>
      <w:r>
        <w:t>En consecuencia, al no encontrarse ningún esquema argumental dirigido a justificar que la decisión judicial que ha de fijar la cuantía de la indemnización depende de la validez de la norma cuestionada, no puede entenderse cumplido el denominado juicio de relevancia (art. 35.2 LOTC).</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Por otro lado, el órgano judicial no plantea la cuestión de inconstitucionalidad una vez concluso el procedimiento y dentro del plazo para dictar la resolución jurisdiccional procedente, tal y como dispone el art. 35.2 LOTC. Así, el Auto de 14 de junio de 2011 del Tribunal Militar Territorial Primero, ejecuta la STC 122/2010 y reconoce el derecho del guardia civil recurrente a ser indemnizado en la cuantía de 360 euros, dictando con tal contenido la resolución final del incidente y notificándola a las partes, haciéndoles saber que contra la misma cabe recurso de casación. Por ello, no resulta pertinente que el Tribunal Militar, habiendo ejecutado ya la Sentencia, se plantee la duda de constitucionalidad respecto del art. 454 de la Ley Orgánica procesal militar, con la finalidad de determinar otra eventual causa de indemnización </w:t>
      </w:r>
    </w:p>
    <w:p w:rsidR="00E3576C" w:rsidRDefault="00E3576C" w:rsidP="00E3576C">
      <w:pPr>
        <w:pStyle w:val="TextoNormal"/>
      </w:pPr>
    </w:p>
    <w:p w:rsidR="00E3576C" w:rsidRDefault="00E3576C" w:rsidP="00E3576C">
      <w:pPr>
        <w:pStyle w:val="TextoNormal"/>
      </w:pPr>
      <w:r>
        <w:t>En este sentido, debemos recordar que desde la STC 76/1982, de 14 de diciembre de 1982, este Tribunal ha señalado que el término “fallo” del art. 163 CE significa “el pronunciamiento decisivo o imperativo de una resolución judicial”, por lo que ha de ser objeto de una interpretación finalista (STC 110/1993, de 25 de marzo, FJ 2). En el caso presente, y en la línea de lo señalado en la STC 181/2000, de 29 de junio, es en la fase de ejecución de Sentencia cuando, por primera vez, el Tribunal tuvo que proceder a la aplicación de los preceptos legales de cuya constitucionalidad duda pero, lo que no resulta admisible, por contrario a las exigencias previstas en el art. 35.2 LOTC, es que dicha cuestión se eleve una vez que se ha dictado la resolución final del incidente y se ha notificado la resolución a las partes.</w:t>
      </w:r>
    </w:p>
    <w:p w:rsidR="00E3576C" w:rsidRDefault="00E3576C" w:rsidP="00E3576C">
      <w:pPr>
        <w:pStyle w:val="TextoNormal"/>
      </w:pPr>
    </w:p>
    <w:p w:rsidR="00E3576C" w:rsidRDefault="00E3576C" w:rsidP="00E3576C">
      <w:pPr>
        <w:pStyle w:val="TextoNormal"/>
      </w:pPr>
      <w:r w:rsidRPr="00E3576C">
        <w:rPr>
          <w:rStyle w:val="NumeroAFNegritaCaracter"/>
        </w:rPr>
        <w:t>5</w:t>
      </w:r>
      <w:r>
        <w:t>. Sin perjuicio de lo anterior, la cuestión planteada resulta notoriamente infundada en atención a las siguientes razones:</w:t>
      </w:r>
    </w:p>
    <w:p w:rsidR="00E3576C" w:rsidRDefault="00E3576C" w:rsidP="00E3576C">
      <w:pPr>
        <w:pStyle w:val="TextoNormal"/>
      </w:pPr>
    </w:p>
    <w:p w:rsidR="00E3576C" w:rsidRDefault="00E3576C" w:rsidP="00E3576C">
      <w:pPr>
        <w:pStyle w:val="TextoNormal"/>
      </w:pPr>
      <w:r>
        <w:t xml:space="preserve">a) En primer lugar, es necesario recordar que, de acuerdo con el art. 117.5 CE, “el principio de unidad jurisdiccional es la base de la organización y funcionamiento de los Tribunales”, lo que no es incompatible con la existencia de la jurisdicción militar, como jurisdicción especializada, pues tal y como se establece en dicho precepto “la ley regulará el ejercicio de la jurisdicción militar en el ámbito estrictamente castrense y en los supuestos de estado de sitio, de acuerdo con los principios de la Constitución”. A partir del marco que fija el art. 117.5 CE, la jurisdicción militar presenta dos tipos diferenciados de competencias: de un lado, el conocimiento de los ilícitos penales y, de otro, el control jurisdiccional </w:t>
      </w:r>
      <w:r>
        <w:lastRenderedPageBreak/>
        <w:t>de la potestad administrativa disciplinaria, que siguen dos procedimientos distintos, el penal militar y el procedimiento contencioso disciplinario-militar, respectivamente.</w:t>
      </w:r>
    </w:p>
    <w:p w:rsidR="00E3576C" w:rsidRDefault="00E3576C" w:rsidP="00E3576C">
      <w:pPr>
        <w:pStyle w:val="TextoNormal"/>
      </w:pPr>
    </w:p>
    <w:p w:rsidR="00E3576C" w:rsidRDefault="00E3576C" w:rsidP="00E3576C">
      <w:pPr>
        <w:pStyle w:val="TextoNormal"/>
      </w:pPr>
      <w:r>
        <w:t xml:space="preserve">En consecuencia, el “ámbito estrictamente castrense” al que se refiere nuestra Constitución para diseñar el marco competencial de la jurisdicción militar, como garante del mantenimiento de la disciplina y la eficacia de las Fuerzas Armadas, no abarca sólo el conocimiento de los ilícitos penales tipificados en el Código penal militar, sino que también comprende, como ámbito competencial diverso, el control judicial de la potestad administrativa disciplinaria ejercida en los distintos escalones jerárquicos de la organización militar, siendo en este ámbito en el que debemos situar el art. 454 de la Ley Orgánica procesal militar, cuya inconstitucionalidad se cuestiona. Por tanto, la presente cuestión de inconstitucionalidad ha de abordarse teniendo en cuenta la especialidad de la jurisdicción militar, toda vez que el procedimiento contencioso-disciplinario militar es el cauce por el que se somete al control de los Tribunales el ejercicio de la potestad sancionadora en la esfera castrense, para dar cumplimiento al art. 106.1 CE y que se concreta en la Ley Orgánica 8/1998, de 2 de diciembre, de régimen disciplinario de las Fuerzas Armadas, norma que hay que poner en conexión con el libro IV (dedicado a los procedimientos judiciales militares no penales) de la Ley Orgánica 2/1989, de 13 de abril, procesal militar, en el que se incardina el cuestionado art. 454. </w:t>
      </w:r>
    </w:p>
    <w:p w:rsidR="00E3576C" w:rsidRDefault="00E3576C" w:rsidP="00E3576C">
      <w:pPr>
        <w:pStyle w:val="TextoNormal"/>
      </w:pPr>
    </w:p>
    <w:p w:rsidR="00E3576C" w:rsidRDefault="00E3576C" w:rsidP="00E3576C">
      <w:pPr>
        <w:pStyle w:val="TextoNormal"/>
      </w:pPr>
      <w:r>
        <w:t xml:space="preserve">b) Por otro lado, la condena en costas es una figura de libre configuración legal y se rige por criterios muy diversos en las distintas leyes que regulan los procesos penales, contencioso-administrativos, laborales y militares. Así, el Tribunal Constitucional ha tenido ocasión de pronunciarse al respecto en múltiples ocasiones, entre las que cabe señalar el Auto 119/2008, de 6 de mayo de 2008, que inadmite a trámite una cuestión de inconstitucionalidad, y en cuyo FJ 3 se afirma que, “[c]on arreglo a una consolidada jurisprudencia de este Tribunal,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que el legislador es libre para, en el marco de la Constitución, definir su contenido y los requisitos que han de guiar la imposición judicial de las costas procesales”, afirmación que es completada en el mismo fundamento jurídico cuando el Tribunal insiste en que “la contraprestación o el resarcimiento de los gastos causados en la propia defensa no es un derecho de la parte que vence en juicio y, por tanto, un derecho de contenido patrimonial del vencedor que el legislador no pueda legítimamente limitar, condicionar o, incluso, suprimir en determinados supuestos”. </w:t>
      </w:r>
    </w:p>
    <w:p w:rsidR="00E3576C" w:rsidRDefault="00E3576C" w:rsidP="00E3576C">
      <w:pPr>
        <w:pStyle w:val="TextoNormal"/>
      </w:pPr>
    </w:p>
    <w:p w:rsidR="00E3576C" w:rsidRDefault="00E3576C" w:rsidP="00E3576C">
      <w:pPr>
        <w:pStyle w:val="TextoNormal"/>
      </w:pPr>
      <w:r>
        <w:t xml:space="preserve">Dicho lo anterior, hay que conectar la exclusión de la condena en costas prevista en el art. 454 de la Ley Orgánica procesal militar con el artículo 10 de la Ley Orgánica 4/1987, de 15 julio, de competencia y organización de la jurisdicción militar, que recoge que “la justicia militar se administrará gratuitamente”, y con el art. 463 de la Ley Orgánica procesal militar, según el cual “el demandante podrá conferir su representación a un Procurador, valerse tan sólo de Abogado con poder al efecto, o comparecer por sí mismo asistido o no de Abogado”; párrafo que hay que completar con el apartado segundo de este mismo precepto según el cual, “No obstante, para que el demandante pueda interponer y sustanciar los </w:t>
      </w:r>
      <w:r>
        <w:lastRenderedPageBreak/>
        <w:t>recursos de casación y revisión, será necesario que comparezca asistido y, en su caso, representado por Letrado”. Por todo ello, como ya se ha indicado, la cuestión de constitucionalidad que se plantea ha de abordarse desde la especialidad de la jurisdicción militar; en concreto, desde las peculiaridades del derecho procesal militar pues, como recordó la temprana STC 180/1985, de 19 de diciembre, FJ 2, las “peculiaridades del Derecho penal y procesal militar resultan genéricamente, como se declaró en la Sentencia 97/1985, de 29 de julio (fundamento jurídico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y la STC 174/2004, FJ 6, entre otras muchas.</w:t>
      </w:r>
    </w:p>
    <w:p w:rsidR="00E3576C" w:rsidRDefault="00E3576C" w:rsidP="00E3576C">
      <w:pPr>
        <w:pStyle w:val="TextoNormal"/>
      </w:pPr>
    </w:p>
    <w:p w:rsidR="00E3576C" w:rsidRDefault="00E3576C" w:rsidP="00E3576C">
      <w:pPr>
        <w:pStyle w:val="TextoNormal"/>
      </w:pPr>
      <w:r>
        <w:t>c) Establecido el marco precedente, resta por abordar la cuestión sustantiva o de fondo que plantea el Tribunal Militar Territorial Primero. En este sentido, hay que tener en cuenta, como ha venido insistiendo este Tribunal, que el presupuesto esencial para proceder a un enjuiciamiento desde la perspectiva del art. 14 CE es que “las situaciones subjetivas que quieran traerse a la comparación sean, efectivamente, homogéneas o equiparables, es decir, que el término de comparación no resulte arbitrario o caprichoso” (SSTC 148/1986, de 25 de noviembre, FJ 6; 29/1987, de 6 de marzo, FJ 5 y 1/2001, de 15 de enero, FJ 3, entre otras). Esto es, “lo que se requiere para hacer posible un juicio de igualdad es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—STC 42/1986, de 10 de abril— o de ‘elementos de diferenciación’ —STC 162/1985, de 29 de noviembre— resulta o no debidamente fundamentada” (STC 148/1986, de 25 de noviembre, FJ 6).</w:t>
      </w:r>
    </w:p>
    <w:p w:rsidR="00E3576C" w:rsidRDefault="00E3576C" w:rsidP="00E3576C">
      <w:pPr>
        <w:pStyle w:val="TextoNormal"/>
      </w:pPr>
    </w:p>
    <w:p w:rsidR="00E3576C" w:rsidRDefault="00E3576C" w:rsidP="00E3576C">
      <w:pPr>
        <w:pStyle w:val="TextoNormal"/>
      </w:pPr>
      <w:r>
        <w:t>Es más, tal y como se desprende de la citada Sentencia tiene sentido preguntarse por la constitucionalidad de una diferenciación normativa “cuando la singularización entre categorías personales se realiza en la propia disposición, atribuyendo a las mismas regímenes jurídicos diversos, pues entonces es procedente indagar sobre las razones de la diferenciación y su justificación constitucional, en razón del fin perseguido por la norma y del criterio utilizado por el legislador para introducir diferencias en el seno del grupo sometido a un régimen jurídico común (STC 22/1981, de 2 de julio; 34/1981, de 10 de noviembre; y 75/1983, de 2 de agosto)” (ibidem).</w:t>
      </w:r>
    </w:p>
    <w:p w:rsidR="00E3576C" w:rsidRDefault="00E3576C" w:rsidP="00E3576C">
      <w:pPr>
        <w:pStyle w:val="TextoNormal"/>
      </w:pPr>
    </w:p>
    <w:p w:rsidR="00E3576C" w:rsidRDefault="00E3576C" w:rsidP="00E3576C">
      <w:pPr>
        <w:pStyle w:val="TextoNormal"/>
      </w:pPr>
      <w:r>
        <w:t>Sin embargo, la situación es distinta cuando, como en el caso que nos ocupa, nos encontramos ante una previa diferenciación de regímenes jurídicos. No resulta adecuado plantear un juicio de igualdad con respecto a la diferente imposición de costas entre la jurisdicción militar y la jurisdicción contencioso-administrativa, pues el legislador ordinario, atendiendo a las peculiaridades propias de la primera, ha diseñado un procedimiento contencioso-disciplinario militar diferente al contencioso-administrativo ordinario, lo que hace que no estemos ante términos de comparación homogéneos.</w:t>
      </w:r>
    </w:p>
    <w:p w:rsidR="00E3576C" w:rsidRDefault="00E3576C" w:rsidP="00E3576C">
      <w:pPr>
        <w:pStyle w:val="TextoNormal"/>
      </w:pPr>
    </w:p>
    <w:p w:rsidR="00E3576C" w:rsidRDefault="00E3576C" w:rsidP="00E3576C">
      <w:pPr>
        <w:pStyle w:val="TextoNormal"/>
      </w:pPr>
      <w:r>
        <w:t xml:space="preserve">En este sentido, es importante señalar, en la línea seguida por el Ministerio Fiscal, que si bien la exención de condena en costas tiene la desventaja de que la parte vencedora no obtiene la restitución de sus litisexpensas, tiene la clara ventaja de que permite al militar sancionado decidir la impugnación jurisdiccional de la sanción sin el condicionamiento que </w:t>
      </w:r>
      <w:r>
        <w:lastRenderedPageBreak/>
        <w:t>puede suponer el temor de verse condenado en costas, esto es, de verse obligado a soportar no sólo los gastos invertidos en su propia defensa sino también los de la Administración (lo que puede “actuar en desfavor de quien actúa jurisdiccionalmente”, en la expresión que emplea el ATC 186/2000, de 24 de julio). La condena objetiva en costas puede llegar a ser uno de los “requisitos o consecuencias impeditivos, obstaculizadores, limitativos o disuasorios del ejercicio de las acciones” o “elementos de disuasión insuperables”, tal y como en ocasiones ha señalado la jurisprudencia constitucional.</w:t>
      </w:r>
    </w:p>
    <w:p w:rsidR="00E3576C" w:rsidRDefault="00E3576C" w:rsidP="00E3576C">
      <w:pPr>
        <w:pStyle w:val="TextoNormal"/>
      </w:pPr>
    </w:p>
    <w:p w:rsidR="00E3576C" w:rsidRDefault="00E3576C" w:rsidP="00E3576C">
      <w:pPr>
        <w:pStyle w:val="TextoNormal"/>
      </w:pPr>
      <w:r>
        <w:t>De acuerdo con los argumentos precedentes, no se advierte que el precepto cuestionado incurra en desigualdad lesiva del art. 14 CE, pues no existe término de comparación válido en el que sustentar el juicio sobre la supuesta desigualdad que se invoca.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cuestión de inconstitucionalidad núm. 6526-2011, planteada por el Tribunal Militar Territorial Primero.</w:t>
      </w:r>
    </w:p>
    <w:p w:rsidR="00E3576C" w:rsidRDefault="00E3576C" w:rsidP="00E3576C">
      <w:pPr>
        <w:pStyle w:val="TextoNormal"/>
      </w:pPr>
      <w:r>
        <w:t xml:space="preserve"> </w:t>
      </w:r>
    </w:p>
    <w:p w:rsidR="00E3576C" w:rsidRDefault="00E3576C" w:rsidP="00E3576C">
      <w:pPr>
        <w:pStyle w:val="TextoNormal"/>
      </w:pPr>
      <w:r>
        <w:t>Publíquese este Auto en el “Boletín Oficial del Estado”.</w:t>
      </w:r>
    </w:p>
    <w:p w:rsidR="00E3576C" w:rsidRDefault="00E3576C" w:rsidP="00E3576C">
      <w:pPr>
        <w:pStyle w:val="TextoNormal"/>
      </w:pPr>
    </w:p>
    <w:p w:rsidR="00E3576C" w:rsidRDefault="00E3576C" w:rsidP="00E3576C">
      <w:pPr>
        <w:pStyle w:val="TextoNormal"/>
      </w:pPr>
      <w:r>
        <w:t>Madrid, a veintidós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1" w:name="AUTO_2012_110"/>
      <w:r>
        <w:lastRenderedPageBreak/>
        <w:t>AUTO 110/2012, de 22 de mayo de 2012</w:t>
      </w:r>
    </w:p>
    <w:bookmarkEnd w:id="251"/>
    <w:p w:rsidR="00E3576C" w:rsidRDefault="00E3576C" w:rsidP="00E3576C">
      <w:pPr>
        <w:pStyle w:val="TtuloResolucin"/>
      </w:pPr>
      <w:r>
        <w:t>Pleno</w:t>
      </w:r>
    </w:p>
    <w:p w:rsidR="00E3576C" w:rsidRDefault="00E3576C" w:rsidP="00E3576C">
      <w:pPr>
        <w:pStyle w:val="TtuloResolucin"/>
      </w:pPr>
    </w:p>
    <w:p w:rsidR="00E3576C" w:rsidRDefault="00E3576C" w:rsidP="00E3576C">
      <w:pPr>
        <w:pStyle w:val="TtuloBOE"/>
      </w:pPr>
      <w:r>
        <w:t>("BOE" núm. 147, de 20 de junio de 2012)</w:t>
      </w:r>
    </w:p>
    <w:p w:rsidR="00E3576C" w:rsidRDefault="00E3576C" w:rsidP="00E3576C">
      <w:pPr>
        <w:pStyle w:val="TtuloBOE"/>
      </w:pPr>
    </w:p>
    <w:p w:rsidR="00E3576C" w:rsidRDefault="00E3576C" w:rsidP="00E3576C">
      <w:pPr>
        <w:pStyle w:val="SntesisDescriptiva"/>
      </w:pPr>
      <w:r>
        <w:t>ECLI:ES:TC:2012:110A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6527-2011, planteada por el Tribunal Militar Territorial Primero en relación con el artículo 454 de la Ley Orgánica procesal militar.</w:t>
      </w:r>
    </w:p>
    <w:p w:rsidR="00E3576C" w:rsidRDefault="00E3576C" w:rsidP="00E3576C">
      <w:pPr>
        <w:pStyle w:val="SntesisDescriptiva"/>
      </w:pPr>
    </w:p>
    <w:p w:rsidR="00E3576C" w:rsidRDefault="00E3576C" w:rsidP="00E3576C">
      <w:pPr>
        <w:pStyle w:val="SntesisAnaltica"/>
      </w:pPr>
      <w:r>
        <w:t>Cuestión de inconstitucionalidad: momento procesal para plantear la cuestión de inconstitucionalidad. Inadmisión de cuestión de inconstitucionalidad: cuestión de inconstitucionalidad notoriamente infundada; inadmisión de cuestión de inconstitucionalidad por falta de requisitos procesales; juicio de relevancia inconsistente. Proceso contencioso-disciplinario militar: costas procesales.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30 de noviembre de 2011 tuvo entrada en el Registro General de este Tribunal un oficio del Tribunal Militar Territorial Primero, al que se acompaña junto con el testimonio del correspondiente procedimiento, Auto de fecha 13 de octubre de 2011, dictado por dicho Tribunal Militar, en el que se plantea cuestión de constitucionalidad en relación con el art. 454 de la Ley Orgánica 2/1989, de 13 de abril, procesal militar, por posible vulneración del art. 14 CE.</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de los que trae causa la presente cuestión de inconstitucionalidad son, en síntesis, los siguientes:</w:t>
      </w:r>
    </w:p>
    <w:p w:rsidR="00E3576C" w:rsidRDefault="00E3576C" w:rsidP="00E3576C">
      <w:pPr>
        <w:pStyle w:val="TextoNormal"/>
      </w:pPr>
    </w:p>
    <w:p w:rsidR="00E3576C" w:rsidRDefault="00E3576C" w:rsidP="00E3576C">
      <w:pPr>
        <w:pStyle w:val="TextoNormal"/>
      </w:pPr>
      <w:r>
        <w:t>a) Mediante Sentencia de 9 de febrero de 2011, el Tribunal Militar Territorial Primero declaró vulnerados los derechos a la defensa y a la presunción de inocencia del Cabo del ejército del aire don Domingo Escudero Gómez, declarando igualmente el derecho del recurrente a ser indemnizado por los daños y perjuicios sufridos como consecuencia de la sanción anulada [en aplicación de los arts. 469 y 495 b) de la Ley procesal militar], en la cuantía que se determine en el trámite de ejecución de Sentencia.</w:t>
      </w:r>
    </w:p>
    <w:p w:rsidR="00E3576C" w:rsidRDefault="00E3576C" w:rsidP="00E3576C">
      <w:pPr>
        <w:pStyle w:val="TextoNormal"/>
      </w:pPr>
    </w:p>
    <w:p w:rsidR="00E3576C" w:rsidRDefault="00E3576C" w:rsidP="00E3576C">
      <w:pPr>
        <w:pStyle w:val="TextoNormal"/>
      </w:pPr>
      <w:r>
        <w:t xml:space="preserve">b) Una vez declarada firme dicha sentencia (por Auto de 18 de marzo de 2011 del Tribunal Militar Territorial Primero), la parte afectada solicita la ejecución de la Sentencia y, </w:t>
      </w:r>
      <w:r>
        <w:lastRenderedPageBreak/>
        <w:t>en consecuencia, que se declare su derecho a ser indemnizado en la cuantía total de 7.400 €. Concretamente, solicita 6.400 € por los ocho días de privación de libertad y 1.000 € por los gastos de Abogado. Con respecto a esta última partida, el recurrente entiende que “no es englobable como costas, sino en daños”, pues considera que es un daño patrimonial ocasionado por la necesidad de “defender sus derechos ante la injusticia sufrida”.</w:t>
      </w:r>
    </w:p>
    <w:p w:rsidR="00E3576C" w:rsidRDefault="00E3576C" w:rsidP="00E3576C">
      <w:pPr>
        <w:pStyle w:val="TextoNormal"/>
      </w:pPr>
    </w:p>
    <w:p w:rsidR="00E3576C" w:rsidRDefault="00E3576C" w:rsidP="00E3576C">
      <w:pPr>
        <w:pStyle w:val="TextoNormal"/>
      </w:pPr>
      <w:r>
        <w:t>El Abogado del Estado, en la representación y defensa que ostenta, entiende que los gastos de representación y defensa técnica no constituyen un daño o perjuicio, sino que se integrarían en el concepto de costas, por lo que el único de los conceptos que se podría integrar dentro de la indemnización sería el de los daños por los ocho días de arresto pero, dado que el recurrente no acredita que dicho daño sea evaluado en la cuantía solicitada en atención a su capacidad económica, entiende que “sería mas adecuado fijar el importe en función de la real retribución del recurrente por día”.</w:t>
      </w:r>
    </w:p>
    <w:p w:rsidR="00E3576C" w:rsidRDefault="00E3576C" w:rsidP="00E3576C">
      <w:pPr>
        <w:pStyle w:val="TextoNormal"/>
      </w:pPr>
    </w:p>
    <w:p w:rsidR="00E3576C" w:rsidRDefault="00E3576C" w:rsidP="00E3576C">
      <w:pPr>
        <w:pStyle w:val="TextoNormal"/>
      </w:pPr>
      <w:r>
        <w:t>c) Por Auto de 1 de julio de 2011, el Tribunal Militar Territorial Primero expone que son dos los títulos en los que se pretende fundar la indemnización: el primero es el daño moral, exento de prueba; el segundo, “tiene que ver con los gastos que ha debido afrontar (el demandante) al ser asistido por letrado y procurador”. En cuanto al primero de los títulos, razona que procede indemnizar los daños morales en 960 €. En cuanto al segundo, el Tribunal militar pone en duda la constitucionalidad del art. 454 de la Ley Orgánica 2/1989, de 13 abril, procesal militar, al entender que la prohibición de la condena en costas en el proceso contencioso-disciplinario militar supone un tratamiento diferenciado no razonable en comparación con el art. 139.1 de la Ley reguladora de la jurisdicción contencioso administrativa. Una vez expuestos los razonamientos jurídicos que se acaban de relatar, el Auto acuerda en su parte dispositiva “ejecutar nuestra Sentencia de 9 de febrero de 2011, dictada en el recurso contencioso-disciplinario militar preferente y sumario nº 2/10, a cuyo fin por el Sr. Secretario Relator se notificará el presente a las partes y a la Sección de Pagadurías del Ministerio de Defensa, para que proceda a indemnizar al interesado en la cuantía de novecientos sesenta (960) euros”.</w:t>
      </w:r>
    </w:p>
    <w:p w:rsidR="00E3576C" w:rsidRDefault="00E3576C" w:rsidP="00E3576C">
      <w:pPr>
        <w:pStyle w:val="TextoNormal"/>
      </w:pPr>
    </w:p>
    <w:p w:rsidR="00E3576C" w:rsidRDefault="00E3576C" w:rsidP="00E3576C">
      <w:pPr>
        <w:pStyle w:val="TextoNormal"/>
      </w:pPr>
      <w:r>
        <w:t>d) Ese mismo día, por providencia de 1 de julio de 2011, el Tribunal Militar Territorial Primero insiste en los argumentos expuestos en el Auto anteriormente citado y declara que no se aprecia razón suficiente que funde la disparidad que se constata entre el art. 454 de la Ley procesal militar, que excluye la condena en costas en el contencioso-disciplinario militar, y el art. 139 de la Ley reguladora de la jurisdicción contencioso-administrativa, por lo que entiende que tal disparidad pudiera ser contraria al art. 14 CE y abre el trámite previsto en el art. 35 de la Ley Orgánica del Tribunal Constitucional (LOTC), dando traslado a las partes y al Ministerio Fiscal Jurídico-militar. Tanto el Fiscal como la Abogada del Estado no consideran pertinente el planteamiento de la cuestión de inconstitucionalidad, al entender que la diferente ordenación de la condena en costas que se recoge en las dos jurisdicciones mencionadas está justificada, en atención a la especialidad de la jurisdicción militar. El militar recurrente está conforme con la cuestión de constitucionalidad planteada, cara a la reparación integral del daño sufrido.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Por Auto de 13 de octubre de 2011, el Tribunal Militar Territorial Primero eleva cuestión de inconstitucionalidad, al entender que el art. 454 de la Ley procesal militar podría vulnerar el art. 14 CE. El Tribunal pone en duda la constitucionalidad del art. 454 de la Ley procesal militar, toda vez que este precepto, al prohibir la condena en costas en el proceso </w:t>
      </w:r>
      <w:r>
        <w:lastRenderedPageBreak/>
        <w:t>contencioso-disciplinario militar, supone un tratamiento diferenciado, no razonable, con respecto al art. 139.1 de la Ley 29/1998, de 13 de julio, reguladora de la jurisdicción contencioso-administrativa, que dispone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 juicio del Tribunal militar, tal duda de constitucionalidad ha de resolverse para fijar la indemnización solicitada por la parte demandante.</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Segunda de este Tribunal, de fecha 13 de marzo de 2012, se acordó oír al Fiscal General del Estado para que, en el plazo de diez días, alegara lo que considerara conveniente acerca de la admisibilidad de la presente cuestión de inconstitucionalidad en relación con el cumplimiento de los requisitos procesales (art. 35.2 CE) y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El 13 de abril de 2012 el Fiscal General del Estado presentó su escrito de alegaciones sugiriendo la inadmisión a trámite de la cuestión de inconstitucionalidad por falta de condiciones procesales para su adecuado planteamiento, así como por considerarla notoriamente infundada.</w:t>
      </w:r>
    </w:p>
    <w:p w:rsidR="00E3576C" w:rsidRDefault="00E3576C" w:rsidP="00E3576C">
      <w:pPr>
        <w:pStyle w:val="TextoNormal"/>
      </w:pPr>
    </w:p>
    <w:p w:rsidR="00E3576C" w:rsidRDefault="00E3576C" w:rsidP="00E3576C">
      <w:pPr>
        <w:pStyle w:val="TextoNormal"/>
      </w:pPr>
      <w:r>
        <w:t>Tras recoger los antecedentes de hecho de la cuestión planteada y hacer mención del contenido del Auto de planteamiento, el Ministerio Fiscal examina la concurrencia de posibles óbices procesales y, en este sentido, entiende que no existiendo pronunciamiento sobre costas en la sentencia de 9 de febrero de 2011, del Tribunal Militar Territorial Primero, resulta de todo punto imposible, en fase de ejecución de Sentencia, hacer efectiva una determinación no adoptada en la sentencia que se pretende ejecutar. Asimismo, sostiene que los honorarios de Letrado, en cuanto costas procesales, no pueden integrarse en modo alguno en el concepto de daños y perjuicios sufridos, razones por las que interesa se inadmita la cuestión de inconstitucionalidad planteada, toda vez que el art. 454 de la Ley procesal militar no constituye norma “aplicable al caso”, ni norma “de cuya validez dependa el fallo”.</w:t>
      </w:r>
    </w:p>
    <w:p w:rsidR="00E3576C" w:rsidRDefault="00E3576C" w:rsidP="00E3576C">
      <w:pPr>
        <w:pStyle w:val="TextoNormal"/>
      </w:pPr>
    </w:p>
    <w:p w:rsidR="00E3576C" w:rsidRDefault="00E3576C" w:rsidP="00E3576C">
      <w:pPr>
        <w:pStyle w:val="TextoNormal"/>
      </w:pPr>
      <w:r>
        <w:t>El Fiscal General del Estado también pone de relieve que la cuestión de constitucionalidad carece notoriamente de fundamento, toda vez que la especialidad de la jurisdicción militar se deriva de la organización jerarquizada propia de las Fuerzas Armadas y de la relevancia que la disciplina y las peculiaridades de la función militar poseen en la organización y funcionamiento de los ejércitos, lo que justificaría la opción del legislador por la supresión de la condena en costas, con la finalidad de eliminar cualquier posible impedimento disuasorio del ejercicio de acciones y recursos ante los correspondientes Tribunales de Justicia de dicha jurisdicción especializada. Argumentos que justifican la diferencia existente entre la Ley procesal militar y la Ley reguladora de la jurisdicción contencioso-administrativa en lo que a imposición de costas se refiere.</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Según se ha expuesto con mayor detalle en los antecedentes de esta resolución, la presente cuestión de inconstitucionalidad se plantea por el Tribunal Militar Territorial Primero en relación con el art. 454 de la Ley Orgánica 2/1989, de 13 de abril, procesal militar, </w:t>
      </w:r>
      <w:r>
        <w:lastRenderedPageBreak/>
        <w:t>por posible vulneración del art. 14 CE, a la vista de que el art. 139 de la Ley 29/98, de 13 julio, reguladora de la jurisdicción contencioso-administrativa (LJCA), no contiene previsión análoga. Concretamente, el órgano judicial argumenta que “el art. 454 de la Ley Procesal Militar, al excluir taxativamente la condena en costas, frente a lo que previene para el orden contencioso-administrativo el art. 139 de su ley reguladora, … puede constituir un tratamiento diferenciado no razonable, vulnerador por tanto del art. 14 de la Constitución”.</w:t>
      </w:r>
    </w:p>
    <w:p w:rsidR="00E3576C" w:rsidRDefault="00E3576C" w:rsidP="00E3576C">
      <w:pPr>
        <w:pStyle w:val="TextoNormal"/>
      </w:pPr>
    </w:p>
    <w:p w:rsidR="00E3576C" w:rsidRDefault="00E3576C" w:rsidP="00E3576C">
      <w:pPr>
        <w:pStyle w:val="TextoNormal"/>
      </w:pPr>
      <w:r>
        <w:t>El Fiscal General del Estado, como se ha dejado constancia en los antecedentes, se opone a la admisión a trámite de la cuestión de inconstitucionalidad por entender incumplidas las condiciones procesales requeridas para su planteamiento, ya que considera que no concurre el denominado juicio de aplicabilidad o de relevancia, así como por estimarla notoriamente infundada [art. 37.1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2</w:t>
      </w:r>
      <w:r>
        <w:t>. El planteamiento de la cuestión de constitucionalidad tiene su origen en la solicitud que formula el recurrente de que, con el objeto de fijar la cuantía de la indemnización como consecuencia de la sanción anulada por la Sentencia de 9 de febrero de 2011, del Tribunal Militar Territorial Primero, también se tengan en cuenta los gastos que ha debido afrontar al ser asistido por Abogado y Procurador, pretensión que, a juicio del Tribunal Militar no es posible atender dado que el art. 454 de la Ley Orgánica 2/1989 de 13 abril, procesal militar, dispone que “el procedimiento contencioso-disciplinario militar será gratuito y en él no podrá condenarse en costas ni exigir depósitos”. Por el contrario, tal y como también señala el Tribunal Militar Primero, el art. 139 LJCA, recoge, en su primer apartado, que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añadiendo, en el segundo párrafo de este mismo apartado, que “en los supuestos de estimación o desestimación parcial de las pretensiones, cada parte abonará las costas causadas a su instancia y las comunes por mitad, salvo que el órgano jurisdiccional, razonándolo debidamente, las imponga a una de ellas por haber sostenido su acción o interpuesto el recurso con mala fe o temeridad”. Asimismo, en el segundo apartado del citado art. 139 LJCA se contempla, en relación con las costas, que “en las demás instancias o grados se impondrán al recurrente si se desestima totalmente el recurso, salvo que el órgano jurisdiccional, razonándolo debidamente, aprecie la concurrencia de circunstancias que justifiquen su no imposición”.</w:t>
      </w:r>
    </w:p>
    <w:p w:rsidR="00E3576C" w:rsidRDefault="00E3576C" w:rsidP="00E3576C">
      <w:pPr>
        <w:pStyle w:val="TextoNormal"/>
      </w:pPr>
    </w:p>
    <w:p w:rsidR="00E3576C" w:rsidRDefault="00E3576C" w:rsidP="00E3576C">
      <w:pPr>
        <w:pStyle w:val="TextoNormal"/>
      </w:pPr>
      <w:r w:rsidRPr="00E3576C">
        <w:rPr>
          <w:rStyle w:val="NumeroAFNegritaCaracter"/>
        </w:rPr>
        <w:t>3</w:t>
      </w:r>
      <w:r>
        <w:t>. De acuerdo con el art. 37.1 LOTC, este Tribunal pueda rechazar en trámite de admisión y mediante Auto, y sin otra audiencia que la del Fiscal General del Estado, la cuestión de inconstitucionalidad cuando faltaren las condiciones procesales o fuere notoriamente infundada la cuestión suscitada. Pues bien, la presente cuestión de inconstitucionalidad debe ser inadmitida tanto por falta de cumplimiento de algunos de los requisitos procesales que establece el art. 35.2 LOTC como por ser notoriamente infundada.</w:t>
      </w:r>
    </w:p>
    <w:p w:rsidR="00E3576C" w:rsidRDefault="00E3576C" w:rsidP="00E3576C">
      <w:pPr>
        <w:pStyle w:val="TextoNormal"/>
      </w:pPr>
    </w:p>
    <w:p w:rsidR="00E3576C" w:rsidRDefault="00E3576C" w:rsidP="00E3576C">
      <w:pPr>
        <w:pStyle w:val="TextoNormal"/>
      </w:pPr>
      <w:r>
        <w:t xml:space="preserve">Con respecto a los requisitos procesales, el Fiscal General del Estado entiende que no concurre el juicio de aplicabilidad o relevancia, toda vez que no existiendo pronunciamiento sobre costas en la Sentencia de 9 de febrero de 2011, del Tribunal Militar Territorial Primero, resulta de todo punto imposible hacerlo en fase de ejecución de sentencia. Así mismo, sostiene que los honorarios de Letrado, en cuanto costas procesales, no pueden integrarse en modo alguno en el concepto de daños y perjuicios sufridos, razones por las que interesa </w:t>
      </w:r>
      <w:r>
        <w:lastRenderedPageBreak/>
        <w:t>se inadmita la cuestión de inconstitucionalidad planteada, pues el art. 454 de la Ley procesal militar no constituye norma aplicable al caso.</w:t>
      </w:r>
    </w:p>
    <w:p w:rsidR="00E3576C" w:rsidRDefault="00E3576C" w:rsidP="00E3576C">
      <w:pPr>
        <w:pStyle w:val="TextoNormal"/>
      </w:pPr>
    </w:p>
    <w:p w:rsidR="00E3576C" w:rsidRDefault="00E3576C" w:rsidP="00E3576C">
      <w:pPr>
        <w:pStyle w:val="TextoNormal"/>
      </w:pPr>
      <w:r>
        <w:t>Como acertadamente expone el Ministerio Fiscal, no se encuentra ningún esquema argumental dirigido a probar que la resolución judicial que ha de fijar la cuantía de la indemnización, depende de la validez de la norma cuestionada, relativa a las costas procesales. En este sentido,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E3576C" w:rsidRDefault="00E3576C" w:rsidP="00E3576C">
      <w:pPr>
        <w:pStyle w:val="TextoNormal"/>
      </w:pPr>
    </w:p>
    <w:p w:rsidR="00E3576C" w:rsidRDefault="00E3576C" w:rsidP="00E3576C">
      <w:pPr>
        <w:pStyle w:val="TextoNormal"/>
      </w:pPr>
      <w:r>
        <w:t>Pues bien, el Tribunal Militar Territorial Primero no exterioriza el nexo causal entre la validez del precepto legal cuestionado y la decisión a adoptar en el proceso a quo, toda vez que el art. 454 de la Ley procesal militar prohíbe la condena en costas, pero lo que está dirimiendo el Tribunal Militar es la cuantía de la indemnización que le corresponde al recurrente por las lesiones sufridas en sus bienes o sus derechos, de acuerdo con lo previsto en los ya citados arts. 469 y 495 b) de la Ley procesal militar.</w:t>
      </w:r>
    </w:p>
    <w:p w:rsidR="00E3576C" w:rsidRDefault="00E3576C" w:rsidP="00E3576C">
      <w:pPr>
        <w:pStyle w:val="TextoNormal"/>
      </w:pPr>
    </w:p>
    <w:p w:rsidR="00E3576C" w:rsidRDefault="00E3576C" w:rsidP="00E3576C">
      <w:pPr>
        <w:pStyle w:val="TextoNormal"/>
      </w:pPr>
      <w:r>
        <w:t>Así, la cuestión de inconstitucionalidad se plantea por el Tribunal militar tras reconocer el derecho del recurrente a ser indemnizado, y en el momento de proceder a fijar la indemnización de los daños y perjuicios causados al mismo, para lo que consideró que habría de valorar y cuantificar no sólo los daños morales, sino también los patrimoniales, entre los que cabría incluir, en su caso, el gasto ocasionado por la contratación de los servicios profesionales de un Abogado, aspecto que nada tiene que ver con la condena en costas a que se refiere el precepto cuestionado (art. 454 de la Ley procesal militar), sino con la indemnización de los daños y perjuicios causados [ex art. 469 y 495 b) de la misma norma], que es una cuestión diferente de aquélla.</w:t>
      </w:r>
    </w:p>
    <w:p w:rsidR="00E3576C" w:rsidRDefault="00E3576C" w:rsidP="00E3576C">
      <w:pPr>
        <w:pStyle w:val="TextoNormal"/>
      </w:pPr>
    </w:p>
    <w:p w:rsidR="00E3576C" w:rsidRDefault="00E3576C" w:rsidP="00E3576C">
      <w:pPr>
        <w:pStyle w:val="TextoNormal"/>
      </w:pPr>
      <w:r>
        <w:t>En consecuencia, al no encontrarse ningún esquema argumental dirigido a justificar que la decisión judicial que ha de fijar la cuantía de la indemnización depende de la validez de la norma cuestionada, no puede entenderse cumplido el denominado juicio de relevancia (art. 35.2 LOTC).</w:t>
      </w:r>
    </w:p>
    <w:p w:rsidR="00E3576C" w:rsidRDefault="00E3576C" w:rsidP="00E3576C">
      <w:pPr>
        <w:pStyle w:val="TextoNormal"/>
      </w:pPr>
    </w:p>
    <w:p w:rsidR="00E3576C" w:rsidRDefault="00E3576C" w:rsidP="00E3576C">
      <w:pPr>
        <w:pStyle w:val="TextoNormal"/>
      </w:pPr>
      <w:r w:rsidRPr="00E3576C">
        <w:rPr>
          <w:rStyle w:val="NumeroAFNegritaCaracter"/>
        </w:rPr>
        <w:t>4</w:t>
      </w:r>
      <w:r>
        <w:t>. Por otro lado, el órgano judicial no plantea la cuestión de inconstitucionalidad una vez concluso el procedimiento y dentro del plazo para la resolución jurisdiccional procedente, tal y como dispone el art. 35.2 LOTC. Así, el Auto de 1 de julio de 2011 del Tribunal Militar Territorial Primero, ejecuta la Sentencia de 9 de febrero de 2011, de ese mismo Tribunal, y reconoce el derecho del recurrente a ser indemnizado en la cuantía de 960 euros, dictando así la resolución final del incidente y notificando esta resolución a las partes, haciéndoles saber que contra la misma cabe recurso de casación. Por ello, no resulta pertinente que el Tribunal militar, habiendo ejecutado ya la sentencia, se plantee la duda de constitucionalidad respecto del art. 454 de la Ley procesal militar, con la finalidad de determinar otra eventual causa de indemnización, y, además, eleve la cuestión sin haber abierto una fase de prueba que acredite que los gastos forenses se han producido efectivamente.</w:t>
      </w:r>
    </w:p>
    <w:p w:rsidR="00E3576C" w:rsidRDefault="00E3576C" w:rsidP="00E3576C">
      <w:pPr>
        <w:pStyle w:val="TextoNormal"/>
      </w:pPr>
    </w:p>
    <w:p w:rsidR="00E3576C" w:rsidRDefault="00E3576C" w:rsidP="00E3576C">
      <w:pPr>
        <w:pStyle w:val="TextoNormal"/>
      </w:pPr>
      <w:r>
        <w:lastRenderedPageBreak/>
        <w:t>En este sentido, debemos recordar que desde la STC 76/1982, de 14 de diciembre de 1982, este Tribunal ha señalado que el término “fallo” del art. 163 CE significa “el pronunciamiento decisivo o imperativo de una resolución judicial”, por lo que ha de ser objeto de una interpretación finalista (STC 110/1993, de 25 de marzo, FJ 2). En el caso presente, y en la línea de lo señalado en la STC 181/2000, de 29 de junio, es en la fase de ejecución de Sentencia cuando, por primera vez, el Tribunal tuvo que proceder a la aplicación de los preceptos legales de cuya constitucionalidad duda pero, lo que no resulta admisible, por contrario a las exigencias previstas en el art. 35.2 LOTC, es que dicha cuestión se eleve una vez que se ha dictado la resolución final del incidente y se ha notificado la resolución a las partes.</w:t>
      </w:r>
    </w:p>
    <w:p w:rsidR="00E3576C" w:rsidRDefault="00E3576C" w:rsidP="00E3576C">
      <w:pPr>
        <w:pStyle w:val="TextoNormal"/>
      </w:pPr>
    </w:p>
    <w:p w:rsidR="00E3576C" w:rsidRDefault="00E3576C" w:rsidP="00E3576C">
      <w:pPr>
        <w:pStyle w:val="TextoNormal"/>
      </w:pPr>
      <w:r w:rsidRPr="00E3576C">
        <w:rPr>
          <w:rStyle w:val="NumeroAFNegritaCaracter"/>
        </w:rPr>
        <w:t>5</w:t>
      </w:r>
      <w:r>
        <w:t>. Sin perjuicio de lo anterior, la cuestión planteada resulta notoriamente infundada en atención a las siguientes razones:</w:t>
      </w:r>
    </w:p>
    <w:p w:rsidR="00E3576C" w:rsidRDefault="00E3576C" w:rsidP="00E3576C">
      <w:pPr>
        <w:pStyle w:val="TextoNormal"/>
      </w:pPr>
    </w:p>
    <w:p w:rsidR="00E3576C" w:rsidRDefault="00E3576C" w:rsidP="00E3576C">
      <w:pPr>
        <w:pStyle w:val="TextoNormal"/>
      </w:pPr>
      <w:r>
        <w:t>a) En primer lugar, es necesario recordar que, de acuerdo con el art. 117.5 CE, “el principio de unidad jurisdiccional es la base de la organización y funcionamiento de los Tribunales”, lo que no es incompatible con la existencia de la jurisdicción militar, como jurisdicción especializada, pues tal y como se establece en dicho precepto “la ley regulará el ejercicio de la jurisdicción militar en el ámbito estrictamente castrense y en los supuestos de estado de sitio, de acuerdo con los principios de la Constitución”. A partir del marco que fija el art. 117.5 CE, la jurisdicción militar presenta dos tipos diferenciados de competencias: de un lado, el conocimiento de los ilícitos penales y, de otro, el control jurisdiccional de la potestad administrativa disciplinaria, que siguen dos procedimientos distintos, el penal militar y el procedimiento contencioso disciplinario-militar, respectivamente.</w:t>
      </w:r>
    </w:p>
    <w:p w:rsidR="00E3576C" w:rsidRDefault="00E3576C" w:rsidP="00E3576C">
      <w:pPr>
        <w:pStyle w:val="TextoNormal"/>
      </w:pPr>
    </w:p>
    <w:p w:rsidR="00E3576C" w:rsidRDefault="00E3576C" w:rsidP="00E3576C">
      <w:pPr>
        <w:pStyle w:val="TextoNormal"/>
      </w:pPr>
      <w:r>
        <w:t>En consecuencia, el “ámbito estrictamente castrense” al que se refiere nuestra Constitución para diseñar el marco competencial de la jurisdicción militar, como garante del mantenimiento de la disciplina y la eficacia de las Fuerzas Armadas, no abarca sólo el conocimiento de los ilícitos penales tipificados en el Código penal militar, sino que también comprende, como ámbito competencial diverso, el control judicial de la potestad administrativa disciplinaria ejercida en los distintos escalones jerárquicos de la organización militar, siendo en este ámbito en el que debemos situar el art. 454 de la Ley procesal militar, cuya inconstitucionalidad se cuestiona. Por tanto, la presente cuestión de inconstitucionalidad ha de abordarse teniendo en cuenta la especialidad de la jurisdicción militar, toda vez que el procedimiento contencioso-disciplinario militar es el cauce por el que se somete al control de los Tribunales el ejercicio de la potestad sancionadora en la esfera castrense, para dar cumplimiento al art. 106.1 CE y que se concreta en la Ley Orgánica 8/1998, de 2 de diciembre, de régimen disciplinario de las Fuerzas Armadas, norma que hay que poner en conexión con el Libro IV (dedicado a los procedimientos judiciales militares no penales) de la Ley Orgánica 2/1989, de 13 de abril, procesal militar, en el que se incardina el cuestionado art. 454.</w:t>
      </w:r>
    </w:p>
    <w:p w:rsidR="00E3576C" w:rsidRDefault="00E3576C" w:rsidP="00E3576C">
      <w:pPr>
        <w:pStyle w:val="TextoNormal"/>
      </w:pPr>
    </w:p>
    <w:p w:rsidR="00E3576C" w:rsidRDefault="00E3576C" w:rsidP="00E3576C">
      <w:pPr>
        <w:pStyle w:val="TextoNormal"/>
      </w:pPr>
      <w:r>
        <w:t>b) Por otro lado, la condena en costas es una figura de libre configuración legal y se rige por criterios muy diversos en las distintas leyes que regulan los procesos penales, contencioso-administrativos, laborales y militares. Así, el Tribunal Constitucional ha tenido ocasión de pronunciarse al respecto en múltiples ocasiones, entre las que cabe señalar el Auto 119/2008, de 6 de mayo de 2008, que inadmite a trámite una cuestión de inconstitucionalidad, y en cuyo fundamento jurídico 3 se afirma que, “con arreglo a una consolidada juris</w:t>
      </w:r>
      <w:r>
        <w:lastRenderedPageBreak/>
        <w:t>prudencia de este Tribunal,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que el legislador es libre para, en el marco de la Constitución, definir su contenido y los requisitos que han de guiar la imposición judicial de las costas procesales”, afirmación que es completada en el mismo fundamento jurídico cuando el Tribunal insiste en que “la contraprestación o el resarcimiento de los gastos causados en la propia defensa no es un derecho de la parte que vence en juicio y, por tanto, un derecho de contenido patrimonial del vencedor que el legislador no pueda legítimamente limitar, condicionar o, incluso, suprimir en determinados supuestos”.</w:t>
      </w:r>
    </w:p>
    <w:p w:rsidR="00E3576C" w:rsidRDefault="00E3576C" w:rsidP="00E3576C">
      <w:pPr>
        <w:pStyle w:val="TextoNormal"/>
      </w:pPr>
    </w:p>
    <w:p w:rsidR="00E3576C" w:rsidRDefault="00E3576C" w:rsidP="00E3576C">
      <w:pPr>
        <w:pStyle w:val="TextoNormal"/>
      </w:pPr>
      <w:r>
        <w:t>Dicho lo anterior, hay que conectar la exclusión de la condena en costas prevista en el art. 454 de la Ley procesal militar con el art. 10 de la Ley Orgánica 4/1987, de 15 julio, de competencia y organización de la jurisdicción militar, que recoge que “la justicia militar se administrará gratuitamente”, y con el art. 463 de la Ley procesal militar, según el cual “el demandante podrá conferir su representación a un Procurador, valerse tan sólo de Abogado con poder al efecto, o comparecer por sí mismo asistido o no de Abogado”; párrafo que hay que completar con el apartado segundo de este mismo precepto según el cual, “[n]o obstante, para que el demandante pueda interponer y sustanciar los recursos de casación y revisión, será necesario que comparezca asistido y, en su caso, representado por Letrado”. Por todo ello, como ya se ha indicado, la cuestión de constitucionalidad que se plantea ha de abordarse desde la especialidad de la jurisdicción militar; en concreto, desde las peculiaridades del derecho procesal militar pues, como recordó la temprana STC 180/1985, de 19 de diciembre, FJ 2, las “peculiaridades del Derecho penal y procesal militar resultan genéricamente, como se declaró en la Sentencia 97/1985, de 29 de julio (FJ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y la STC 174/2004, de 18 de octubre, FJ 6, entre otras muchas.</w:t>
      </w:r>
    </w:p>
    <w:p w:rsidR="00E3576C" w:rsidRDefault="00E3576C" w:rsidP="00E3576C">
      <w:pPr>
        <w:pStyle w:val="TextoNormal"/>
      </w:pPr>
    </w:p>
    <w:p w:rsidR="00E3576C" w:rsidRDefault="00E3576C" w:rsidP="00E3576C">
      <w:pPr>
        <w:pStyle w:val="TextoNormal"/>
      </w:pPr>
      <w:r>
        <w:t xml:space="preserve">c) Establecido el marco precedente, resta por abordar la cuestión sustantiva o de fondo que plantea el Tribunal Militar Territorial Primero. En este sentido, hay que tener en cuenta, como ha venido insistiendo este Tribunal, que el presupuesto esencial para proceder a un enjuiciamiento desde la perspectiva del art. 14 CE es que “las situaciones subjetivas que quieran traerse a la comparación sean, efectivamente, homogéneas o equiparables, es decir, que el término de comparación no resulte arbitrario o caprichoso” (STC 200/2001, de 4 de octubre, FJ 5, en el mismo sentido, SSTC 148/1986, de 25 de noviembre, FJ 6; y 29/1987, de 6 de marzo, FJ 5 entre otras). Esto es, “lo que se requiere para hacer posible un juicio de igualdad es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w:t>
      </w:r>
      <w:r>
        <w:lastRenderedPageBreak/>
        <w:t>de ‘factores diferenciales’ —STC 42/1986, de 10 de abril— o de ‘elementos de diferenciación’ —STC 162/1985, de 29 de noviembre— resulta o no debidamente fundamentada” (STC 148/1986, de 25 de noviembre, FJ 6).</w:t>
      </w:r>
    </w:p>
    <w:p w:rsidR="00E3576C" w:rsidRDefault="00E3576C" w:rsidP="00E3576C">
      <w:pPr>
        <w:pStyle w:val="TextoNormal"/>
      </w:pPr>
    </w:p>
    <w:p w:rsidR="00E3576C" w:rsidRDefault="00E3576C" w:rsidP="00E3576C">
      <w:pPr>
        <w:pStyle w:val="TextoNormal"/>
      </w:pPr>
      <w:r>
        <w:t>Es más, tal y como se desprende de la citada Sentencia, tiene sentido preguntarse por la constitucionalidad de una diferenciación normativa “cuando la singularización entre categorías personales se realiza en la propia disposición, atribuyendo a las mismas regímenes jurídicos diversos, pues entonces es procedente indagar sobre las razones de la diferenciación y su justificación constitucional, en razón del fin perseguido por la norma y del criterio utilizado por el legislador para introducir diferencias en el seno del grupo sometido a un régimen jurídico común (SSTC 22/1981, de 2 de julio; 34/1981, de 10 de noviembre, y 75/1983, de 2 de agosto)” (ibidem).</w:t>
      </w:r>
    </w:p>
    <w:p w:rsidR="00E3576C" w:rsidRDefault="00E3576C" w:rsidP="00E3576C">
      <w:pPr>
        <w:pStyle w:val="TextoNormal"/>
      </w:pPr>
    </w:p>
    <w:p w:rsidR="00E3576C" w:rsidRDefault="00E3576C" w:rsidP="00E3576C">
      <w:pPr>
        <w:pStyle w:val="TextoNormal"/>
      </w:pPr>
      <w:r>
        <w:t>Sin embargo, la situación es distinta cuando, como en el caso que nos ocupa, nos encontramos ante una previa diferenciación de regímenes jurídicos. No parece adecuado plantear un juicio de igualdad con respecto a la diferente imposición de costas entre la jurisdicción militar y la jurisdicción contencioso-administrativa, pues el legislador ordinario, atendiendo a las peculiaridades propias de la primera, ha diseñado un procedimiento contencioso-disciplinario militar diferente al contencioso-administrativo ordinario, lo que hace que no estemos ante términos de comparación homogéneos.</w:t>
      </w:r>
    </w:p>
    <w:p w:rsidR="00E3576C" w:rsidRDefault="00E3576C" w:rsidP="00E3576C">
      <w:pPr>
        <w:pStyle w:val="TextoNormal"/>
      </w:pPr>
    </w:p>
    <w:p w:rsidR="00E3576C" w:rsidRDefault="00E3576C" w:rsidP="00E3576C">
      <w:pPr>
        <w:pStyle w:val="TextoNormal"/>
      </w:pPr>
      <w:r>
        <w:t>En este sentido, es importante señalar, en la línea seguida por el Ministerio Fiscal, que si bien la exención de condena en costas tiene la desventaja de que la parte vencedora no obtiene la restitución de sus litisexpensas, tiene la clara ventaja de que permite al militar sancionado decidir la impugnación jurisdiccional de la sanción sin el condicionamiento que puede suponer el temor de verse condenado en costas, esto es, de verse obligado a soportar no sólo los gastos invertidos en su propia defensa sino también los de la Administración (lo que puede “actuar en desfavor de quien actúa jurisdiccionalmente”, en la expresión que emplea el ATC 186/2000, de 24 de julio). La condena objetiva en costas puede llegar a ser uno de los “requisitos o consecuencias impeditivos, obstaculizadores, limitativos o disuasorios del ejercicio de las acciones” o “elemento de disuasión insuperable”, tal y como en ocasiones se ha pronunciado la jurisprudencia constitucional.</w:t>
      </w:r>
    </w:p>
    <w:p w:rsidR="00E3576C" w:rsidRDefault="00E3576C" w:rsidP="00E3576C">
      <w:pPr>
        <w:pStyle w:val="TextoNormal"/>
      </w:pPr>
    </w:p>
    <w:p w:rsidR="00E3576C" w:rsidRDefault="00E3576C" w:rsidP="00E3576C">
      <w:pPr>
        <w:pStyle w:val="TextoNormal"/>
      </w:pPr>
      <w:r>
        <w:t>De acuerdo con los argumentos precedentes, no se advierte que el precepto cuestionado incurra en desigualdad lesiva del art. 14 CE, pues no existe término de comparación válido en el que sustentar el juicio sobre la supuesta desigualdad que se invoca.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cuestión de inconstitucionalidad núm. 6527-2011, planteada por el Tribunal Militar Territorial Primero.</w:t>
      </w:r>
    </w:p>
    <w:p w:rsidR="00E3576C" w:rsidRDefault="00E3576C" w:rsidP="00E3576C">
      <w:pPr>
        <w:pStyle w:val="TextoNormal"/>
      </w:pPr>
    </w:p>
    <w:p w:rsidR="00E3576C" w:rsidRDefault="00E3576C" w:rsidP="00E3576C">
      <w:pPr>
        <w:pStyle w:val="TextoNormal"/>
      </w:pPr>
      <w:r>
        <w:t>Publíquese este Auto en el “Boletín Oficial del Estado”.</w:t>
      </w:r>
    </w:p>
    <w:p w:rsidR="00E3576C" w:rsidRDefault="00E3576C" w:rsidP="00E3576C">
      <w:pPr>
        <w:pStyle w:val="TextoNormal"/>
      </w:pPr>
    </w:p>
    <w:p w:rsidR="00E3576C" w:rsidRDefault="00E3576C" w:rsidP="00E3576C">
      <w:pPr>
        <w:pStyle w:val="TextoNormal"/>
      </w:pPr>
      <w:r>
        <w:t>Madrid, a veintidós de mayo de dos mil doce.</w:t>
      </w:r>
    </w:p>
    <w:p w:rsidR="00E3576C" w:rsidRDefault="00E3576C">
      <w:pPr>
        <w:spacing w:after="160" w:line="259" w:lineRule="auto"/>
        <w:rPr>
          <w:rFonts w:ascii="Times New Roman" w:eastAsia="Times New Roman" w:hAnsi="Times New Roman" w:cs="Times New Roman"/>
          <w:sz w:val="24"/>
          <w:szCs w:val="24"/>
          <w:lang w:eastAsia="es-ES"/>
        </w:rPr>
      </w:pPr>
      <w:r>
        <w:lastRenderedPageBreak/>
        <w:br w:type="page"/>
      </w:r>
    </w:p>
    <w:p w:rsidR="00E3576C" w:rsidRDefault="00E3576C" w:rsidP="00E3576C">
      <w:pPr>
        <w:pStyle w:val="TtuloResolucin"/>
      </w:pPr>
      <w:bookmarkStart w:id="252" w:name="AUTO_2012_111"/>
      <w:r>
        <w:lastRenderedPageBreak/>
        <w:t>AUTO 111/2012, de 22 de mayo de 2012</w:t>
      </w:r>
    </w:p>
    <w:bookmarkEnd w:id="252"/>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ECLI:ES:TC:2012:111A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426-2012, planteada por el Juzgado de lo Contencioso-Administrativo núm. 13 de Barcelona en relación con el artículo 117.1 del texto refundido de la Ley de aguas.</w:t>
      </w:r>
    </w:p>
    <w:p w:rsidR="00E3576C" w:rsidRDefault="00E3576C" w:rsidP="00E3576C">
      <w:pPr>
        <w:pStyle w:val="SntesisDescriptiva"/>
      </w:pPr>
    </w:p>
    <w:p w:rsidR="00E3576C" w:rsidRDefault="00E3576C" w:rsidP="00E3576C">
      <w:pPr>
        <w:pStyle w:val="SntesisAnaltica"/>
      </w:pPr>
      <w:r>
        <w:t>Inadmisión de cuestión de inconstitucionalidad: cuestión de inconstitucionalidad notoriamente infundada; cuestión de inconstitucionalidad resuelta previamente (ATC 34/2012).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26 de enero de 2012 tuvo entrada en el Registro General de este Tribunal escrito del Juzgado de lo Contencioso-Administrativo núm. 13 de Barcelona, al que se acompaña, junto con el testimonio del recurso contencioso núm. 98-2009-F, el Auto de 12 de enero de 2012, por el que acordó plantear cuestión de inconstitucionalidad respecto del art. 117.1 del texto refundido de la Ley de aguas, aprobado por Real Decreto Legislativo 1/2001, de 20 de julio, por posible vulneración del art. 25.1 CE.</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presente cuestión trae causa del proceso contencioso-administrativo ordinario núm. 98-2009-F, donde el recurrente impugnó una sanción de 30.050,62 euros, que le fue impuesta mediante resolución de 18 de noviembre de 2008, de la Agencia Catalana de l’Aigua. La sanción fue impuesta por las conductas consistentes en el vertido de tierras y otros materiales en un torrente; en la creación de una “mota”; en la colocación de un tubo para el desagüe de aguas pluviales; en el afloramiento de aguas subterráneas; y en el amontonamiento de tierras con afectación del torrente ya citado. Todo ello, sin la debida autorización. Esas conductas fueron consideradas, por la Administración como constitutivas de una infracción de carácter grave, de conformidad con lo dispuesto en los arts. 116.3, letras a), b), d), e) y g) del texto refundido de la Ley de aguas, aprobado mediante Real Decreto Legislativo 1/2001, de 20 de julio, y 316, letras a), c), d) y e) y 317 del reglamento del dominio público hidráulico (RDPH), aprobado mediante Real Decreto 849/1986, de 11 de abril. </w:t>
      </w:r>
    </w:p>
    <w:p w:rsidR="00E3576C" w:rsidRDefault="00E3576C" w:rsidP="00E3576C">
      <w:pPr>
        <w:pStyle w:val="TextoNormal"/>
      </w:pPr>
    </w:p>
    <w:p w:rsidR="00E3576C" w:rsidRDefault="00E3576C" w:rsidP="00E3576C">
      <w:pPr>
        <w:pStyle w:val="TextoNormal"/>
      </w:pPr>
      <w:r>
        <w:t xml:space="preserve">Las disposiciones normativas citadas son del siguiente tenor: art. 116.3 del texto refundido de la Ley de aguas: </w:t>
      </w:r>
    </w:p>
    <w:p w:rsidR="00E3576C" w:rsidRDefault="00E3576C" w:rsidP="00E3576C">
      <w:pPr>
        <w:pStyle w:val="TextoNormal"/>
      </w:pPr>
    </w:p>
    <w:p w:rsidR="00E3576C" w:rsidRDefault="00E3576C" w:rsidP="00E3576C">
      <w:pPr>
        <w:pStyle w:val="TextoNormal"/>
      </w:pPr>
      <w:r>
        <w:lastRenderedPageBreak/>
        <w:t>“Se considerarán infracciones administrativas: a) Las acciones que causen daños a los bienes de dominio público hidráulico y a las obras hidráulicas. b) La derivación de agua de sus cauces y el alumbramiento de aguas subterráneas sin la correspondiente concesión o autorización cuando sea precisa. d) La ejecución, sin la debida autorización administrativa, de otras obras, trabajos, siembras o plantaciones en los cauces públicos o en las zonas sujetas legalmente a algún tipo de limitación en su destino o uso. e) La invasión, la ocupación o la extracción de áridos de los cauces, sin la correspondiente autorización. g) El incumplimiento de las prohibiciones establecidas en la presente Ley o la omisión de los actos a que obliga.</w:t>
      </w:r>
    </w:p>
    <w:p w:rsidR="00E3576C" w:rsidRDefault="00E3576C" w:rsidP="00E3576C">
      <w:pPr>
        <w:pStyle w:val="TextoNormal"/>
      </w:pPr>
    </w:p>
    <w:p w:rsidR="00E3576C" w:rsidRDefault="00E3576C" w:rsidP="00E3576C">
      <w:pPr>
        <w:pStyle w:val="TextoNormal"/>
      </w:pPr>
      <w:r>
        <w:t>Incurrirán en responsabilidad por la infracción de los apartados b) y h), las personas físicas o jurídicas siguientes: El titular del terreno, el promotor de la captación, el empresario que ejecuta la obra y el técnico director de la misma…”</w:t>
      </w:r>
    </w:p>
    <w:p w:rsidR="00E3576C" w:rsidRDefault="00E3576C" w:rsidP="00E3576C">
      <w:pPr>
        <w:pStyle w:val="TextoNormal"/>
      </w:pPr>
    </w:p>
    <w:p w:rsidR="00E3576C" w:rsidRDefault="00E3576C" w:rsidP="00E3576C">
      <w:pPr>
        <w:pStyle w:val="TextoNormal"/>
      </w:pPr>
      <w:r>
        <w:t xml:space="preserve">Artículo 316 RDPH: </w:t>
      </w:r>
    </w:p>
    <w:p w:rsidR="00E3576C" w:rsidRDefault="00E3576C" w:rsidP="00E3576C">
      <w:pPr>
        <w:pStyle w:val="TextoNormal"/>
      </w:pPr>
    </w:p>
    <w:p w:rsidR="00E3576C" w:rsidRDefault="00E3576C" w:rsidP="00E3576C">
      <w:pPr>
        <w:pStyle w:val="TextoNormal"/>
      </w:pPr>
      <w:r>
        <w:t>“Tendrán la consideración de infracciones administrativas menos graves: a) Las acciones u omisiones que causen daños a los bienes del dominio público hidráulico siempre que la valoración de aquéllos estuviera comprendida entre 3.000.01 y 15.000.00 euros. c) La derivación de aguas de sus cauces y el alumbramiento de aguas subterráneas sin la correspondiente concesión o autorización cuando sea precisa, así como la realización de trabajos o mantenimiento de cualquier medio que hagan presumir la continuación de la captación abusiva de las mismas, siempre que, en estos dos últimos supuestos, exista requerimiento previo del organismo de cuenca en contrario. d) La ejecución sin la debida autorización administrativa de obras, trabajos, siembras o plantaciones en los cauces públicos o en las zonas sujetas legalmente a algún tipo de limitación en uso, en los supuestos en que, de producirse daños para el dominio hidráulico, su valoración estuviera comprendida entre 3.000.01 y 15.000.00 euros. e) La invasión o la ocupación de los cauces o la extracción de áridos en los mismos sin la correspondiente autorización, cuando se produjeran como consecuencia de ello daños para el dominio público cuya valoración estuviera comprendida entre 3.000.01 y 15.000.00 euros.”</w:t>
      </w:r>
    </w:p>
    <w:p w:rsidR="00E3576C" w:rsidRDefault="00E3576C" w:rsidP="00E3576C">
      <w:pPr>
        <w:pStyle w:val="TextoNormal"/>
      </w:pPr>
    </w:p>
    <w:p w:rsidR="00E3576C" w:rsidRDefault="00E3576C" w:rsidP="00E3576C">
      <w:pPr>
        <w:pStyle w:val="TextoNormal"/>
      </w:pPr>
      <w:r>
        <w:t xml:space="preserve">Artículo 317 RDPH. </w:t>
      </w:r>
    </w:p>
    <w:p w:rsidR="00E3576C" w:rsidRDefault="00E3576C" w:rsidP="00E3576C">
      <w:pPr>
        <w:pStyle w:val="TextoNormal"/>
      </w:pPr>
    </w:p>
    <w:p w:rsidR="00E3576C" w:rsidRDefault="00E3576C" w:rsidP="00E3576C">
      <w:pPr>
        <w:pStyle w:val="TextoNormal"/>
      </w:pPr>
      <w:r>
        <w:t>“Se considerarán infracciones graves o muy graves las enumeradas en los artículos anteriores cuando de los actos y omisiones en ellos previstos se deriven para el dominio público hidráulico daños cuya valoración supere 15.000.01 y los 150.000.00 euros, respectivamente. Asimismo, podrán ser calificadas de graves o muy graves, según los casos, las infracciones consistentes en los actos y omisiones contemplados en el artículo 116, g), del texto refundido de la Ley de aguas, en función de los perjuicios que de ellos se deriven para el buen orden y aprovechamiento del dominio público hidráulico, la trascendencia de los mismos para la seguridad de las personas y bienes y el beneficio obtenido por el infractor, atendiendo siempre las características hidrológicas específicas de la cuenca y el régimen de explotación del dominio público hidráulico en el tramo de río o término municipal donde se produzca la infracción…”</w:t>
      </w:r>
    </w:p>
    <w:p w:rsidR="00E3576C" w:rsidRDefault="00E3576C" w:rsidP="00E3576C">
      <w:pPr>
        <w:pStyle w:val="TextoNormal"/>
      </w:pPr>
    </w:p>
    <w:p w:rsidR="00E3576C" w:rsidRDefault="00E3576C" w:rsidP="00E3576C">
      <w:pPr>
        <w:pStyle w:val="TextoNormal"/>
      </w:pPr>
      <w:r>
        <w:t xml:space="preserve">El Juzgado de lo Contencioso-Administrativo núm. 13 de Barcelona dictó en el procedimiento a quo providencia acordando oír a las partes y al Ministerio Fiscal, por plazo común e improrrogable de diez días, para que formularan alegaciones sobre la pertinencia de elevar </w:t>
      </w:r>
      <w:r>
        <w:lastRenderedPageBreak/>
        <w:t>cuestión de inconstitucionalidad sobre si el art. 117.1 del texto refundido de la Ley de aguas, pudiera ser contrario al art. 25.1 CE por la remisión que, a su juicio, hace en blanco al reglamento para la clasificación de la gravedad de las infracciones. La posición del Ministerio público fue favorable al planteamiento de la cuestión de inconstitucionalidad, mientras que la de las partes actoras y demandada fue contraria.</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En el Auto de planteamiento, se refiere el órgano judicial a la duda de constitucionalidad que plantea, que trae causa de la incompatibilidad con el art. 25.1 de la Constitución, de aquellas disposiciones con fuerza de ley que difieren a la potestad reglamentaria la concreción del carácter leve, grave o muy grave de las infracciones. </w:t>
      </w:r>
    </w:p>
    <w:p w:rsidR="00E3576C" w:rsidRDefault="00E3576C" w:rsidP="00E3576C">
      <w:pPr>
        <w:pStyle w:val="TextoNormal"/>
      </w:pPr>
    </w:p>
    <w:p w:rsidR="00E3576C" w:rsidRDefault="00E3576C" w:rsidP="00E3576C">
      <w:pPr>
        <w:pStyle w:val="TextoNormal"/>
      </w:pPr>
      <w:r>
        <w:t>El precepto cuya constitucionalidad discute, dispone:</w:t>
      </w:r>
    </w:p>
    <w:p w:rsidR="00E3576C" w:rsidRDefault="00E3576C" w:rsidP="00E3576C">
      <w:pPr>
        <w:pStyle w:val="TextoNormal"/>
      </w:pPr>
    </w:p>
    <w:p w:rsidR="00E3576C" w:rsidRDefault="00E3576C" w:rsidP="00E3576C">
      <w:pPr>
        <w:pStyle w:val="TextoNormal"/>
      </w:pPr>
      <w:r>
        <w:t>“Artículo 117. Calificación de las infracciones. 1. Las citadas infracciones se calificarán reglamentariamente de leves, menos graves, graves o muy graves, atendiendo a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pudiendo ser sancionadas con las siguientes multas: Infracciones leves, multa de hasta 6.010,12 euros (1.000.000 de pesetas). Infracciones menos graves, multa de 6.010,13 a 30.050,61 euros (1.000.001 a 5.000.000 de pesetas). Infracciones graves, multa de 30.050,62 a 300.506,06 euros (5.000.001 a 50.000.000 de pesetas). Infracciones muy graves, multa de 300.506,06 a 601.012,10 euros (50.000.001 a 100.000.000 de pesetas).”</w:t>
      </w:r>
    </w:p>
    <w:p w:rsidR="00E3576C" w:rsidRDefault="00E3576C" w:rsidP="00E3576C">
      <w:pPr>
        <w:pStyle w:val="TextoNormal"/>
      </w:pPr>
    </w:p>
    <w:p w:rsidR="00E3576C" w:rsidRDefault="00E3576C" w:rsidP="00E3576C">
      <w:pPr>
        <w:pStyle w:val="TextoNormal"/>
      </w:pPr>
      <w:r>
        <w:t xml:space="preserve">Considera el órgano judicial que de prosperar la cuestión de inconstitucionalidad, la sanción sería declarada nula, sin más, por ser nula la previsión contenida en el art. 117.1 del texto refundido de la Ley de aguas, que encomienda al reglamento el cometido de clasificar las infracciones en leves, menos graves, graves y muy graves atendiendo, pura y simplemente, a criterios formulados mediante conceptos jurídicos indeterminados (trascendencia por lo que respecta a la seguridad de las personas y bienes y a las circunstancias del responsable; grado de malicia, participación y beneficio obtenido; así como deterioro producido en la calidad del recurso). Conceptos jurídicos que, tal como aparecen formulados, no contienen, a su juicio, en su seno umbrales susceptibles de acotar o limitar verdaderamente la discrecionalidad reglamentaria. </w:t>
      </w:r>
    </w:p>
    <w:p w:rsidR="00E3576C" w:rsidRDefault="00E3576C" w:rsidP="00E3576C">
      <w:pPr>
        <w:pStyle w:val="TextoNormal"/>
      </w:pPr>
    </w:p>
    <w:p w:rsidR="00E3576C" w:rsidRDefault="00E3576C" w:rsidP="00E3576C">
      <w:pPr>
        <w:pStyle w:val="TextoNormal"/>
      </w:pPr>
      <w:r>
        <w:t xml:space="preserve">Recuerda que no le es dado participar del ejercicio de la potestad sancionadora para salvar el expediente mutando la naturaleza de la contravención enjuiciada, porque ello sería tanto como hacer algo que el propio Tribunal Constitucional ha vedado a los órganos de la jurisdicción contencioso-administrativa, al prohibirles la búsqueda ex abundantia de un tipo legal alternativo, o, con carácter general, la utilización del proceso para sanar las carencias del expediente administrativo sancionador (por todas, STC 161/2003, de 15 de septiembre y STC 218/2005, de 12 de septiembre). Cita diversa jurisprudencia del Tribunal Constitucional, como la STC 135/2010 de 2 de diciembre, de cuyos fundamentos destaca aquellos que ponen de relieve que el derecho fundamental enunciado en el art. 25.1 CE “incorpora la regla nullum crimen nulla poena sine lege”, que también “es de aplicación al ordenamiento sancionador administrativo”, y comprende una doble garantía, formal y material. La garantía material “aparece derivada del mandato de taxatividad o de lex certa y se concreta </w:t>
      </w:r>
      <w:r>
        <w:lastRenderedPageBreak/>
        <w:t xml:space="preserve">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w:t>
      </w:r>
    </w:p>
    <w:p w:rsidR="00E3576C" w:rsidRDefault="00E3576C" w:rsidP="00E3576C">
      <w:pPr>
        <w:pStyle w:val="TextoNormal"/>
      </w:pPr>
    </w:p>
    <w:p w:rsidR="00E3576C" w:rsidRDefault="00E3576C" w:rsidP="00E3576C">
      <w:pPr>
        <w:pStyle w:val="TextoNormal"/>
      </w:pPr>
      <w:r>
        <w:t>De conformidad con la referida doctrina, recuerda que el Tribunal Constitucional ha entendido que la técnica de tipificación por remisión y en blanco de la ley al reglamento, dejando a la potestad reglamentaria por entero y ex novo la definición de las conductas susceptibles de sanción, resulta contraria al principio de legalidad en materia sancionadora del art. 25.1 CE (de nuevo por todas STC 104/2009, de 4 de mayo). Explica que el mandato del art. 25.1 CE aplicado al ámbito administrativo sancionador determina que es necesaria la cobertura de la potestad sancionadora de la Administración en una norma de rango legal, pero no excluye que esa norma contenga remisiones a disposiciones reglamentarias, siempre que en aquélla queden suficientemente determinados los elementos esenciales de la conducta antijurídica y la naturaleza y límites de las sanciones a imponer, de tal forma que quede totalmente excluido que las remisiones de la ley al reglamento hagan posible una regulación independiente y no claramente subordinada a la ley.</w:t>
      </w:r>
    </w:p>
    <w:p w:rsidR="00E3576C" w:rsidRDefault="00E3576C" w:rsidP="00E3576C">
      <w:pPr>
        <w:pStyle w:val="TextoNormal"/>
      </w:pPr>
    </w:p>
    <w:p w:rsidR="00E3576C" w:rsidRDefault="00E3576C" w:rsidP="00E3576C">
      <w:pPr>
        <w:pStyle w:val="TextoNormal"/>
      </w:pPr>
      <w:r>
        <w:t xml:space="preserve">En el supuesto de autos, resulta evidente según el órgano judicial que, a la vista del art. 117.1 texto refundido de la Ley de aguas, a los ciudadanos no les resultará posible, de antemano, saber cuáles de sus conductas podrían ser constitutivas de infracción leve, menos grave, grave o muy grave, y, por ello mismo, conocer ex ante qué consecuencias punitivas podrían derivarse de las mismas. A tales efectos no tendrían más remedio que acudir a los arts. 316 y 317 RDPH, toda vez que el art. 117 texto refundido de la Ley de aguas, lejos de establecer con un mínimo grado de certeza los elementos esenciales de cada categoría de infracción, se limita a traer a colación unos criterios plausibles pero abstractos, que, por añadidura, permiten que una decisión del titular de la potestad reglamentaria estatal pueda hacer que una conducta perjudicial para el demanio hidráulico de las descritas en el art. 116.3 texto refundido de la Ley de aguas como “infracción” a secas o sin más, vea modificada su calificación (por ejemplo de leve a menos grave; de menos grave a grave; o de grave a muy grave) sin sujeción a ningún límite legal y con unas consecuencias de orden punitivo nada desdeñables. </w:t>
      </w:r>
    </w:p>
    <w:p w:rsidR="00E3576C" w:rsidRDefault="00E3576C" w:rsidP="00E3576C">
      <w:pPr>
        <w:pStyle w:val="TextoNormal"/>
      </w:pPr>
    </w:p>
    <w:p w:rsidR="00E3576C" w:rsidRDefault="00E3576C" w:rsidP="00E3576C">
      <w:pPr>
        <w:pStyle w:val="TextoNormal"/>
      </w:pPr>
      <w:r>
        <w:t>En definitiva, entiende el Juzgado que la inconstitucionalidad debe considerarse referida al art. 117.1 texto refundido de la Ley de aguas en su mayor parte, con exclusión de aquellos extremos del mismo que se limitan a establecer las cuantías de las sanciones. De lo que se seguirá, necesariamente, la nulidad plena y sin remedio de los preceptos del Reglamento del dominio público hidráulico que aplicó la Administración, por ser tributarios del precepto legal citado anteriormente, y asimismo, la de la sanción impugnada, al quedar privada de uno de sus soportes legales estructurales más importante</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13 de marzo de 2012, la Sección Cuarta de este Tribunal, en virtud del art. 37.1 de la Ley Orgánica del Tribunal Constitucional (LOTC),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5</w:t>
      </w:r>
      <w:r>
        <w:t>. Por escrito registrado el 17 de abril de 2012, el Fiscal General del Estado formuló sus alegaciones solicitando la inadmisión de la presente cuestión. Tras reproducir los preceptos que considera aplicables en el proceso a quo, explica que se han cumplido los trámites procesales que establece la Ley Orgánica de este Tribunal, en cuanto a la audiencia a las partes en el proceso a quo, el rango legal de la norma cuestionada y su aplicabilidad en el proceso del que nace la presente cuestión; no obstante considera dudoso el juicio de relevancia realizado en el Auto de planteamiento.</w:t>
      </w:r>
    </w:p>
    <w:p w:rsidR="00E3576C" w:rsidRDefault="00E3576C" w:rsidP="00E3576C">
      <w:pPr>
        <w:pStyle w:val="TextoNormal"/>
      </w:pPr>
    </w:p>
    <w:p w:rsidR="00E3576C" w:rsidRDefault="00E3576C" w:rsidP="00E3576C">
      <w:pPr>
        <w:pStyle w:val="TextoNormal"/>
      </w:pPr>
      <w:r>
        <w:t>Respecto a la cuestión de fondo, relativa al principio de legalidad en su aspecto de taxatividad, tras realizar un exhaustivo recorrido por la doctrina de este Tribunal Constitucional, considera que no puede compartirse que exista, en el precepto cuestionado, una absoluta indeterminación en la remisión reglamentaria para la graduación de las infracciones, no sólo por la existencia de parámetros de acotación y predeterminación de conductas, sino porque, especificadas éstas y las obligaciones que corresponde observar por el titular de la concesión, no cabe duda de que su incumplimiento acarrearía unas consecuencias jurídicas que en absoluto resultan imprevisibles.</w:t>
      </w:r>
    </w:p>
    <w:p w:rsidR="00E3576C" w:rsidRDefault="00E3576C" w:rsidP="00E3576C">
      <w:pPr>
        <w:pStyle w:val="TextoNormal"/>
      </w:pPr>
    </w:p>
    <w:p w:rsidR="00E3576C" w:rsidRDefault="00E3576C" w:rsidP="00E3576C">
      <w:pPr>
        <w:pStyle w:val="TextoNormal"/>
      </w:pPr>
      <w:r>
        <w:t>Se remite a lo dicho por este Tribunal en el reciente ATC 34/2012, de 14 de febrero, en que se planteó una cuestión sustancialmente idéntica a la presente y en la que el Tribunal consideró que el precepto ahora impugnado no lesionaba el art. 25 CE. Solicita el Fiscal General del Estado la inadmisión de la presente cuestión de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Juzgado de lo Contencioso-Administrativo núm. 13 de Barcelona, mediante Auto de 12 de enero de 2012, planteó cuestión de inconstitucionalidad respecto del art. 117.1 del texto refundido de la Ley de aguas, aprobado por Real Decreto Legislativo 1/2001, de 20 de julio, por posible vulneración del art. 25.1 de la CE, con los argumentos que han quedado expuestos en los antecedentes.</w:t>
      </w:r>
    </w:p>
    <w:p w:rsidR="00E3576C" w:rsidRDefault="00E3576C" w:rsidP="00E3576C">
      <w:pPr>
        <w:pStyle w:val="TextoNormal"/>
      </w:pPr>
    </w:p>
    <w:p w:rsidR="00E3576C" w:rsidRDefault="00E3576C" w:rsidP="00E3576C">
      <w:pPr>
        <w:pStyle w:val="TextoNormal"/>
      </w:pPr>
      <w:r w:rsidRPr="00E3576C">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 En este caso, y por las razones que se expondrán sucintamente a continuación, puede afirmarse que a la cuestión de inconstitucionalidad resulta notoriamente infundada (art. 37.1 LOTC).</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Procede señalar que el mismo órgano judicial planteó idéntica cuestión frente al mismo precepto, que fue resuelta por este Tribunal mediante ATC 34/2012, de 14 de febrero, siendo inadmitida la cuestión por apreciarse que resultaba notoriamente infundada. Constatado que en el presente proceso constitucional se plantean idénticas dudas sobre la constitucionalidad de la misma norma —artículo 117.1 del texto refundido de la Ley de aguas, aprobado por Real Decreto Legislativo 1/2001, de 20 de julio— que en la cuestión resuelta en el citado Auto y que de las actuaciones remitidas no se desprende que, dadas las circunstancias del proceso a quo, este Tribunal deba realizar nuevas consideraciones sobre </w:t>
      </w:r>
      <w:r>
        <w:lastRenderedPageBreak/>
        <w:t>lo resuelto en el ATC 34/2012, de 14 de febrero, procede, con remisión a la argumentación de la citada resolución, inadmitir la presente cuestión de inconstitucionalidad.</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cuestión de inconstitucionalidad núm. 426-2012 planteada por el Juzgado de lo Contencioso-Administrativo núm. 13 de Barcelona.</w:t>
      </w:r>
    </w:p>
    <w:p w:rsidR="00E3576C" w:rsidRDefault="00E3576C" w:rsidP="00E3576C">
      <w:pPr>
        <w:pStyle w:val="TextoNormal"/>
      </w:pPr>
    </w:p>
    <w:p w:rsidR="00E3576C" w:rsidRDefault="00E3576C" w:rsidP="00E3576C">
      <w:pPr>
        <w:pStyle w:val="TextoNormal"/>
      </w:pPr>
      <w:r>
        <w:t>Madrid, a veintidós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3" w:name="AUTO_2012_112"/>
      <w:r>
        <w:lastRenderedPageBreak/>
        <w:t>AUTO 112/2012, de 31 de mayo de 2012</w:t>
      </w:r>
    </w:p>
    <w:bookmarkEnd w:id="253"/>
    <w:p w:rsidR="00E3576C" w:rsidRDefault="00E3576C" w:rsidP="00E3576C">
      <w:pPr>
        <w:pStyle w:val="TtuloResolucin"/>
      </w:pPr>
      <w:r>
        <w:t>Sección Tercera</w:t>
      </w:r>
    </w:p>
    <w:p w:rsidR="00E3576C" w:rsidRDefault="00E3576C" w:rsidP="00E3576C">
      <w:pPr>
        <w:pStyle w:val="TtuloResolucin"/>
      </w:pPr>
    </w:p>
    <w:p w:rsidR="00E3576C" w:rsidRDefault="00E3576C" w:rsidP="00E3576C">
      <w:pPr>
        <w:pStyle w:val="SntesisDescriptiva"/>
      </w:pPr>
      <w:r>
        <w:t>ECLI:ES:TC:2012:112A</w:t>
      </w:r>
    </w:p>
    <w:p w:rsidR="00E3576C" w:rsidRDefault="00E3576C" w:rsidP="00E3576C">
      <w:pPr>
        <w:pStyle w:val="SntesisDescriptiva"/>
      </w:pPr>
    </w:p>
    <w:p w:rsidR="00E3576C" w:rsidRDefault="00E3576C" w:rsidP="00E3576C">
      <w:pPr>
        <w:pStyle w:val="SntesisDescriptiva"/>
      </w:pPr>
      <w:r>
        <w:t>Excms. Srs. don Eugeni Gay Montalvo, don Francisco José Hernando Santiago y don Francisco Pérez de los Cobos Orihuel.</w:t>
      </w:r>
    </w:p>
    <w:p w:rsidR="00E3576C" w:rsidRDefault="00E3576C" w:rsidP="00E3576C">
      <w:pPr>
        <w:pStyle w:val="SntesisDescriptiva"/>
      </w:pPr>
    </w:p>
    <w:p w:rsidR="00E3576C" w:rsidRDefault="00E3576C" w:rsidP="00E3576C">
      <w:pPr>
        <w:pStyle w:val="SntesisDescriptiva"/>
      </w:pPr>
      <w:r>
        <w:t>Declara la falta de competencia del Tribunal Constitucional para conocer de la impugnación de la resolución de la Comisión central de asistencia jurídica gratuita dictada con ocasión del recurso de amparo 157-2011, promovido por don Antoni Rius i Cardona.</w:t>
      </w:r>
    </w:p>
    <w:p w:rsidR="00E3576C" w:rsidRDefault="00E3576C" w:rsidP="00E3576C">
      <w:pPr>
        <w:pStyle w:val="SntesisDescriptiva"/>
      </w:pPr>
    </w:p>
    <w:p w:rsidR="00E3576C" w:rsidRDefault="00E3576C" w:rsidP="00E3576C">
      <w:pPr>
        <w:pStyle w:val="SntesisAnaltica"/>
      </w:pPr>
      <w:r>
        <w:t>Competencias del Tribunal Constitucional: declaración de incompetencia del Tribunal Constitucional; límites a la competencia en recurso de amparo.</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7 de enero de 2011 se registró en este Tribunal el escrito presentado por don Antonio Rius i Cardona por el que se formulaba recurso de amparo contra la providencia del Juzgado Contencioso-Administrativo núm. 6 de Barcelona de 2 de diciembre de 2010 por la que se declaraba no haber lugar a la solicitud de paralización del plazo de interposición del recurso de apelación contra Auto de 10 de junio de 2010. Por otrosí solicitaba la suspensión del procedimiento hasta la designación de Abogado y Procurador del turno de oficio.</w:t>
      </w:r>
    </w:p>
    <w:p w:rsidR="00E3576C" w:rsidRDefault="00E3576C" w:rsidP="00E3576C">
      <w:pPr>
        <w:pStyle w:val="TextoNormal"/>
      </w:pPr>
    </w:p>
    <w:p w:rsidR="00E3576C" w:rsidRDefault="00E3576C" w:rsidP="00E3576C">
      <w:pPr>
        <w:pStyle w:val="TextoNormal"/>
      </w:pPr>
      <w:r w:rsidRPr="00E3576C">
        <w:rPr>
          <w:rStyle w:val="NumeroAFNegritaCaracter"/>
        </w:rPr>
        <w:t>2</w:t>
      </w:r>
      <w:r>
        <w:t>. La Secretaria de la Sala Segunda de este Tribunal, mediante diligencia de ordenación de 11 de enero de 2011, se dirigió al Ilustre Colegio de Abogados de Madrid para que, conforme a lo dispuesto en el escrito del recurrente antes citado, y con arreglo a lo dispuesto en la Ley 1/1996, de 10 de enero, y en el acuerdo de Pleno de este Tribunal de 18 de junio de 1996, sobre asistencia jurídica gratuita, se designara Abogado y Procurador del turno de oficio que defendiera y representara respectivamente al recurrente.</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escrito de 31 de enero de 2011 el Ilustre Colegio de Abogados de Madrid comunicó a este Tribunal que la solicitud de asistencia jurídica gratuita formulada por el recurrente había sido traslada a la Comisión de asistencia jurídica gratuita, sin designación provisional de Abogado de oficio, a tenor del párrafo 2 del art. 15 de la Ley 1/1996, por entender que existe manifiesto abuso de derecho.</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Por resolución de 11 de febrero de 2011 la Comisión central de asistencia jurídica gratuita denegó a don Antoni Rius i Cardona el derecho a la asistencia jurídica gratuita por manifiesto abuso y ejercicio antisocial de este derecho. El señor Rius impugnó esta resolución. El 23 de enero de 2012 el Juzgado de lo Contencioso-Administrativo núm. 34 de Madrid dictó Auto por el que declaró su falta de competencia objetiva para conocer de la referida impugnación al considerar que la competencia le corresponde a la Sala Segunda de este </w:t>
      </w:r>
      <w:r>
        <w:lastRenderedPageBreak/>
        <w:t>Tribunal Constitucional. Este Auto fue comunicado por el Juzgado a este Tribunal el 21 de febrero de 2012, acordando la Sección Tercera, por providencia de 22 de febrero de 2012, conceder un plazo de tres días al recurrente y al Abogado del Estado para que se pronunciaran sobre la competencia de este Tribunal en orden a conocer de la impugnación a que se refiere el art. 20 de la Ley 1/1996, de 10 de enero, de asistencia jurídica gratuita.</w:t>
      </w:r>
    </w:p>
    <w:p w:rsidR="00E3576C" w:rsidRDefault="00E3576C" w:rsidP="00E3576C">
      <w:pPr>
        <w:pStyle w:val="TextoNormal"/>
      </w:pPr>
    </w:p>
    <w:p w:rsidR="00E3576C" w:rsidRDefault="00E3576C" w:rsidP="00E3576C">
      <w:pPr>
        <w:pStyle w:val="TextoNormal"/>
      </w:pPr>
      <w:r w:rsidRPr="00E3576C">
        <w:rPr>
          <w:rStyle w:val="NumeroAFNegritaCaracter"/>
        </w:rPr>
        <w:t>5</w:t>
      </w:r>
      <w:r>
        <w:t>. El Abogado del Estado presentó su escrito de alegaciones el 29 de febrero de 2012, señalando que la pretendida insuficiencia económica del solicitante no puede considerarse sobrevenida con posterioridad a la interposición del recurso de amparo, puesto que el señor Rius solicitó la asistencia jurídica gratuita en el escrito de interposición del recurso de amparo. Por ello, de conformidad con los arts. 9 y 10 del acuerdo plenario de 18 de junio de 1996 en relación con el art. 4.1 de la Ley Orgánica del Tribunal Constitucional, considera que no le corresponde al Tribunal Constitucional resolver la impugnación del denegatorio de la asistencia jurídica gratuita interpuesta por el señor Rius contra la resolución de la Comisión central de asistencia jurídica gratuita de 11 de febrero de 2011 y que, por tanto, deben devolverse al Juzgado remitente las correspondientes actuaciones.</w:t>
      </w:r>
    </w:p>
    <w:p w:rsidR="00E3576C" w:rsidRDefault="00E3576C" w:rsidP="00E3576C">
      <w:pPr>
        <w:pStyle w:val="TextoNormal"/>
      </w:pPr>
    </w:p>
    <w:p w:rsidR="00E3576C" w:rsidRDefault="00E3576C" w:rsidP="00E3576C">
      <w:pPr>
        <w:pStyle w:val="TextoNormal"/>
      </w:pPr>
      <w:r w:rsidRPr="00E3576C">
        <w:rPr>
          <w:rStyle w:val="NumeroAFNegritaCaracter"/>
        </w:rPr>
        <w:t>6</w:t>
      </w:r>
      <w:r>
        <w:t>. El recurrente presentó su escrito de alegaciones el 21 de marzo de 2012, en el que ratifica las conclusiones contenidas en un informe del Ministerio Fiscal de 15 de junio de 2011, despachado en relación con el procedimiento civil de impugnación de justicia gratuita núm. 484-2011 del Juzgado de Primera Instancia núm. 37 de Madrid en el que se manifiesta que la competencia para conocer las impugnaciones de justicia gratuita deriva de la competencia para conocer del pleito principal en el que se solicita la justicia gratuita. Por ello, considera competente a este Tribunal Constitucional.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Como se ha indicado en los antecedentes, el señor Rius i Cardona presentó un escrito ante este Tribunal en el que manifestaba su intención de interponer recurso de amparo contra diversas resoluciones judiciales, solicitando mediante otrosí que se le concediera el beneficio de justicia gratuita y se le designara Abogado y Procurador del turno de oficio. La Comisión central de asistencia jurídica gratuita denegó al señor Rius i Cardona el derecho a la asistencia jurídica gratuita, impugnando éste dicha resolución a través de la vía prevista en el art. 20 de la Ley 1/1996, de 10 de enero. El Juzgado de lo Contencioso-Administrativo núm. 34 de Madrid dictó Auto declarando su falta de competencia objetiva para conocer de la referida impugnación al entender que la competencia correspondía al Tribunal Constitucional, por lo que se remitieron a este Tribunal las actuaciones del juicio de impugnación de la resolución de justicia gratuita.</w:t>
      </w:r>
    </w:p>
    <w:p w:rsidR="00E3576C" w:rsidRDefault="00E3576C" w:rsidP="00E3576C">
      <w:pPr>
        <w:pStyle w:val="TextoNormal"/>
      </w:pPr>
    </w:p>
    <w:p w:rsidR="00E3576C" w:rsidRDefault="00E3576C" w:rsidP="00E3576C">
      <w:pPr>
        <w:pStyle w:val="TextoNormal"/>
      </w:pPr>
      <w:r w:rsidRPr="00E3576C">
        <w:rPr>
          <w:rStyle w:val="NumeroAFNegritaCaracter"/>
        </w:rPr>
        <w:t>2</w:t>
      </w:r>
      <w:r>
        <w:t>. Este Tribunal ha tenido ocasión de resolver un supuesto análogo en el ATC 120/2011, de 19 de septiembre, donde ha recordado que el Tribunal Constitucional será competente para resolver este tipo de impugnaciones solamente cuando la insuficiencia económica del solicitante se ocasiona después de haber interpuesto el recurso de amparo.</w:t>
      </w:r>
    </w:p>
    <w:p w:rsidR="00E3576C" w:rsidRDefault="00E3576C" w:rsidP="00E3576C">
      <w:pPr>
        <w:pStyle w:val="TextoNormal"/>
      </w:pPr>
    </w:p>
    <w:p w:rsidR="00E3576C" w:rsidRDefault="00E3576C" w:rsidP="00E3576C">
      <w:pPr>
        <w:pStyle w:val="TextoNormal"/>
      </w:pPr>
      <w:r>
        <w:lastRenderedPageBreak/>
        <w:t>En este sentido, 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00E3576C" w:rsidRDefault="00E3576C" w:rsidP="00E3576C">
      <w:pPr>
        <w:pStyle w:val="TextoNormal"/>
      </w:pPr>
    </w:p>
    <w:p w:rsidR="00E3576C" w:rsidRDefault="00E3576C" w:rsidP="00E3576C">
      <w:pPr>
        <w:pStyle w:val="TextoNormal"/>
      </w:pPr>
      <w:r>
        <w:t xml:space="preserve">Partiendo de la normativa señalada, hemos afirmado en el ATC 120/2011, de 19 de septiembre (FJ 2), que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w:t>
      </w:r>
    </w:p>
    <w:p w:rsidR="00E3576C" w:rsidRDefault="00E3576C" w:rsidP="00E3576C">
      <w:pPr>
        <w:pStyle w:val="TextoNormal"/>
      </w:pPr>
    </w:p>
    <w:p w:rsidR="00E3576C" w:rsidRDefault="00E3576C" w:rsidP="00E3576C">
      <w:pPr>
        <w:pStyle w:val="TextoNormal"/>
      </w:pPr>
      <w:r>
        <w:t>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En el presente caso, la solicitud de asistencia jurídica gratuita se efectuó en el escrito por el que se anunciaba la formulación de la demanda de amparo, por lo que es claro que la </w:t>
      </w:r>
      <w:r>
        <w:lastRenderedPageBreak/>
        <w:t>situación de insuficiencia económica invocada no sobrevino con posterioridad a la presentación de la demanda, sino con anterioridad a la misma, lo que conlleva, como se acaba de indicar, que este Tribunal carezca de competencia para resolver la impugnación formulada contra la resolución de la Comisión central de asistencia jurídica gratuita que denegó este beneficio al señor Rius i Cardona.</w:t>
      </w:r>
    </w:p>
    <w:p w:rsidR="00E3576C" w:rsidRDefault="00E3576C" w:rsidP="00E3576C">
      <w:pPr>
        <w:pStyle w:val="TextoNormal"/>
      </w:pPr>
    </w:p>
    <w:p w:rsidR="00E3576C" w:rsidRDefault="00E3576C" w:rsidP="00E3576C">
      <w:pPr>
        <w:pStyle w:val="TextoNormal"/>
      </w:pPr>
      <w:r>
        <w:t>Por todo ello, de conformidad con lo previsto en los arts. 9 y 10 del acuerdo del Pleno del Tribunal Constitucional de 18 de junio de 1996 y el art. 4.1 de la Ley Orgánica del Tribunal Constitucional, la Sección.</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1º Declararse incompetente para el enjuiciamiento de la impugnación interpuesta por don Antonio Rius i Cardona, contra la resolución de la Comisión central de asistencia jurídica gratuita de 11 de febrero de 2011.</w:t>
      </w:r>
    </w:p>
    <w:p w:rsidR="00E3576C" w:rsidRDefault="00E3576C" w:rsidP="00E3576C">
      <w:pPr>
        <w:pStyle w:val="TextoNormal"/>
      </w:pPr>
    </w:p>
    <w:p w:rsidR="00E3576C" w:rsidRDefault="00E3576C" w:rsidP="00E3576C">
      <w:pPr>
        <w:pStyle w:val="TextoNormal"/>
      </w:pPr>
      <w:r>
        <w:t>2º Devolver al Juzgado Contencioso-Administrativo núm. 34 de Madrid las actuaciones que en su día fueron remitidas por el mismo a este Tribunal.</w:t>
      </w:r>
    </w:p>
    <w:p w:rsidR="00E3576C" w:rsidRDefault="00E3576C" w:rsidP="00E3576C">
      <w:pPr>
        <w:pStyle w:val="TextoNormal"/>
      </w:pPr>
    </w:p>
    <w:p w:rsidR="00E3576C" w:rsidRDefault="00E3576C" w:rsidP="00E3576C">
      <w:pPr>
        <w:pStyle w:val="TextoNormal"/>
      </w:pPr>
      <w:r>
        <w:t>Madrid, a treinta y uno de mayo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4" w:name="AUTO_2012_113"/>
      <w:r>
        <w:lastRenderedPageBreak/>
        <w:t>AUTO 113/2012, de 4 de junio de 2012</w:t>
      </w:r>
    </w:p>
    <w:bookmarkEnd w:id="254"/>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ECLI:ES:TC:2012:113A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10210-2008, promovido por don José Ramón Martínez de la Fuente Inchaurregui, sobre licenciamiento definitivo.</w:t>
      </w:r>
    </w:p>
    <w:p w:rsidR="00E3576C" w:rsidRDefault="00E3576C" w:rsidP="00E3576C">
      <w:pPr>
        <w:pStyle w:val="SntesisDescriptiva"/>
      </w:pPr>
    </w:p>
    <w:p w:rsidR="00E3576C" w:rsidRDefault="00E3576C" w:rsidP="00E3576C">
      <w:pPr>
        <w:pStyle w:val="SntesisAnaltica"/>
      </w:pPr>
      <w:r>
        <w:t>Denegación de suspensión de ejecución de resolución judicial que aprueba la fecha de licenciamiento definitivo: ATC 75/2012.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en este Tribunal el 23 de diciembre de 2008, el Procurador de los Tribunales don Javier Cuevas Rivas, en nombre y representación de don José Ramón Martínez de la Fuente Inchaurregui, y bajo la dirección del Letrado don Iker Urbina Fernández, interpuso recurso de amparo contra el Auto de la Sección Primera de la Sala de lo Penal de la Audiencia Nacional de 3 de diciembre de 2008, dictado en la ejecutoria núm. 75-1986, por el que se desestima el recurso de súplica interpuesto contra la providencia de 29 de octubre de 2008 por la que se acuerda fijar como fecha de licenciamiento definitivo del recurrente el día 20 de mayo de 2020.</w:t>
      </w:r>
    </w:p>
    <w:p w:rsidR="00E3576C" w:rsidRDefault="00E3576C" w:rsidP="00E3576C">
      <w:pPr>
        <w:pStyle w:val="TextoNormal"/>
      </w:pPr>
    </w:p>
    <w:p w:rsidR="00E3576C" w:rsidRDefault="00E3576C" w:rsidP="00E3576C">
      <w:pPr>
        <w:pStyle w:val="TextoNormal"/>
      </w:pPr>
      <w:r>
        <w:t>En la demanda de amparo se solicita por otrosí la suspensión de la ejecución de las resoluciones judiciales impugnadas. A esos efectos se expone que si se aplica la jurisprudencia anterior a la doctrina establecida en la Sentencia de la Sala de lo Penal del Tribunal Supremo núm. 197-2006, de 28 de febrero, el licenciamiento definitivo del recurrente habría tenido lugar el día 1 de enero de 2009, por lo que las resoluciones impugnadas, al fijar el día 20 de mayo de 2020 como fecha de licenciamiento definitivo, conforme a la doctrina de la citada Sentencia, han retrasado su puesta en libertad once años, con lo que la ejecución de las resoluciones impugnadas ocasionaría un perjuicio al recurrente que haría al amparo perder su finalidad.</w:t>
      </w:r>
    </w:p>
    <w:p w:rsidR="00E3576C" w:rsidRDefault="00E3576C" w:rsidP="00E3576C">
      <w:pPr>
        <w:pStyle w:val="TextoNormal"/>
      </w:pPr>
    </w:p>
    <w:p w:rsidR="00E3576C" w:rsidRDefault="00E3576C" w:rsidP="00E3576C">
      <w:pPr>
        <w:pStyle w:val="TextoNormal"/>
      </w:pPr>
      <w:r w:rsidRPr="00E3576C">
        <w:rPr>
          <w:rStyle w:val="NumeroAFNegritaCaracter"/>
        </w:rPr>
        <w:t>2</w:t>
      </w:r>
      <w:r>
        <w:t>.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El Ministerio Fiscal, por escrito registrado el 19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00E3576C" w:rsidRDefault="00E3576C" w:rsidP="00E3576C">
      <w:pPr>
        <w:pStyle w:val="TextoNormal"/>
      </w:pPr>
    </w:p>
    <w:p w:rsidR="00E3576C" w:rsidRDefault="00E3576C" w:rsidP="00E3576C">
      <w:pPr>
        <w:pStyle w:val="TextoNormal"/>
      </w:pPr>
      <w:r w:rsidRPr="00E3576C">
        <w:rPr>
          <w:rStyle w:val="NumeroAFNegritaCaracter"/>
        </w:rPr>
        <w:t>4</w:t>
      </w:r>
      <w:r>
        <w:t>. El recurrente, por escrito registrado el 3 de abril de 2012, presentó alegaciones reiterando su solicitud de suspensión de las resoluciones impugnadas por los graves perjuicios que supone el mantenimiento en prisión, lo que determina que el amparo pierda su finalidad, toda vez que ya han transcurrido tres años desde que se superó la fecha del licenciamiento definitivo que le corresponde conforme a la jurisprudencia anterior a la Sentencia de la Sala de lo Penal del Tribunal Supremo núm. 197/2006, de 28 de febrero, a lo que añade que la suspensión no supondría perturbación para los intereses generales.</w:t>
      </w:r>
    </w:p>
    <w:p w:rsidR="00E3576C" w:rsidRDefault="00E3576C" w:rsidP="00E3576C">
      <w:pPr>
        <w:pStyle w:val="TextoNormal"/>
      </w:pPr>
    </w:p>
    <w:p w:rsidR="00E3576C" w:rsidRDefault="00E3576C" w:rsidP="00E3576C">
      <w:pPr>
        <w:pStyle w:val="TextoNormal"/>
      </w:pPr>
      <w:r w:rsidRPr="00E3576C">
        <w:rPr>
          <w:rStyle w:val="NumeroAFNegritaCaracter"/>
        </w:rPr>
        <w:t>5</w:t>
      </w:r>
      <w:r>
        <w:t>. Habiéndose personado la Asociación de Víctimas del Terrorismo en el presente recurso de amparo, por diligencia de ordenación del Secretario de Justicia de la Sala Primera de 3 de mayo de 2012 se le concedió plazo de tres días para que alegase lo que estimase pertinente sobre la suspensión interesada por la recurrente.</w:t>
      </w:r>
    </w:p>
    <w:p w:rsidR="00E3576C" w:rsidRDefault="00E3576C" w:rsidP="00E3576C">
      <w:pPr>
        <w:pStyle w:val="TextoNormal"/>
      </w:pPr>
    </w:p>
    <w:p w:rsidR="00E3576C" w:rsidRDefault="00E3576C" w:rsidP="00E3576C">
      <w:pPr>
        <w:pStyle w:val="TextoNormal"/>
      </w:pPr>
      <w:r w:rsidRPr="00E3576C">
        <w:rPr>
          <w:rStyle w:val="NumeroAFNegritaCaracter"/>
        </w:rPr>
        <w:t>6</w:t>
      </w:r>
      <w:r>
        <w:t>. Mediante escrito registrado el 14 de mayo de 2012 presentó sus alegaciones la Asociación de Víctimas del Terrorismo, en las que, con cita de la reiterada doctrina de este Tribunal en asuntos similares, interesó que se denegara la suspensión solicitada, por las mismas razones que el Fiscal.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(LOTC)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 xml:space="preserve">Este Tribunal ya ha reiterado que en casos como el presente en que se solicita la suspensión de la ejecución de las resoluciones judiciales relativas 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w:t>
      </w:r>
      <w:r>
        <w:lastRenderedPageBreak/>
        <w:t xml:space="preserve">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 </w:t>
      </w:r>
    </w:p>
    <w:p w:rsidR="00E3576C" w:rsidRDefault="00E3576C" w:rsidP="00E3576C">
      <w:pPr>
        <w:pStyle w:val="TextoNormal"/>
      </w:pPr>
    </w:p>
    <w:p w:rsidR="00E3576C" w:rsidRDefault="00E3576C" w:rsidP="00E3576C">
      <w:pPr>
        <w:pStyle w:val="TextoNormal"/>
      </w:pPr>
      <w:r>
        <w:t>Por tanto, tal como interesan el Ministerio Fiscal y la Asociación de Víctimas del Terrorismo,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 en el recurso de amparo núm. 10210-2008.</w:t>
      </w:r>
    </w:p>
    <w:p w:rsidR="00E3576C" w:rsidRDefault="00E3576C" w:rsidP="00E3576C">
      <w:pPr>
        <w:pStyle w:val="TextoNormal"/>
      </w:pPr>
    </w:p>
    <w:p w:rsidR="00E3576C" w:rsidRDefault="00E3576C" w:rsidP="00E3576C">
      <w:pPr>
        <w:pStyle w:val="TextoNormal"/>
      </w:pPr>
      <w:r>
        <w:t>Madrid, a cuatro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5" w:name="AUTO_2012_114"/>
      <w:r>
        <w:lastRenderedPageBreak/>
        <w:t>AUTO 114/2012, de 4 de junio de 2012</w:t>
      </w:r>
    </w:p>
    <w:bookmarkEnd w:id="255"/>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ECLI:ES:TC:2012:114A</w:t>
      </w:r>
    </w:p>
    <w:p w:rsidR="00E3576C" w:rsidRDefault="00E3576C" w:rsidP="00E3576C">
      <w:pPr>
        <w:pStyle w:val="SntesisDescriptiva"/>
      </w:pPr>
    </w:p>
    <w:p w:rsidR="00E3576C" w:rsidRDefault="00E3576C" w:rsidP="00E3576C">
      <w:pPr>
        <w:pStyle w:val="SntesisDescriptiva"/>
      </w:pPr>
      <w:r>
        <w:t>Excms. Srs.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el desistimiento en el recurso de amparo 7432-2009, promovido por el Ayuntamiento de Castello de la Ribera, en proceso contencioso-administrativo.</w:t>
      </w:r>
    </w:p>
    <w:p w:rsidR="00E3576C" w:rsidRDefault="00E3576C" w:rsidP="00E3576C">
      <w:pPr>
        <w:pStyle w:val="SntesisDescriptiva"/>
      </w:pPr>
    </w:p>
    <w:p w:rsidR="00E3576C" w:rsidRDefault="00E3576C" w:rsidP="00E3576C">
      <w:pPr>
        <w:pStyle w:val="SntesisAnaltica"/>
      </w:pPr>
      <w:r>
        <w:t>Desistimiento de recurso de amparo: procede.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la Procuradora doña Victoria Pérez-Mulet y Díez Picazo en nombre del Excmo. Ayuntamiento de Castello de la Ribera, se presentó recurso de amparo el día 4 de septiembre de 2009, que se registró con el número 7432-2009.</w:t>
      </w:r>
    </w:p>
    <w:p w:rsidR="00E3576C" w:rsidRDefault="00E3576C" w:rsidP="00E3576C">
      <w:pPr>
        <w:pStyle w:val="TextoNormal"/>
      </w:pPr>
    </w:p>
    <w:p w:rsidR="00E3576C" w:rsidRDefault="00E3576C" w:rsidP="00E3576C">
      <w:pPr>
        <w:pStyle w:val="TextoNormal"/>
      </w:pPr>
      <w:r w:rsidRPr="00E3576C">
        <w:rPr>
          <w:rStyle w:val="NumeroAFNegritaCaracter"/>
        </w:rPr>
        <w:t>2</w:t>
      </w:r>
      <w:r>
        <w:t>. Admitido el recurso a trámite por resolución de 13 de febrero de 2012, el día 15 de marzo de 2012, por la misma Procuradora señora Pérez-Mulet y Díez-Picazo, se presentó escrito desistiendo del recurso planteado.</w:t>
      </w:r>
    </w:p>
    <w:p w:rsidR="00E3576C" w:rsidRDefault="00E3576C" w:rsidP="00E3576C">
      <w:pPr>
        <w:pStyle w:val="TextoNormal"/>
      </w:pPr>
    </w:p>
    <w:p w:rsidR="00E3576C" w:rsidRDefault="00E3576C" w:rsidP="00E3576C">
      <w:pPr>
        <w:pStyle w:val="TextoNormal"/>
      </w:pPr>
      <w:r w:rsidRPr="00E3576C">
        <w:rPr>
          <w:rStyle w:val="NumeroAFNegritaCaracter"/>
        </w:rPr>
        <w:t>3</w:t>
      </w:r>
      <w:r>
        <w:t>. Se acordó, por diligencias de ordenación de fecha 21 de marzo y 9 de mayo de 2012, dar traslado al Ministerio Fiscal y resto de partes personadas para alegaciones sobre el desistimiento pretendido. Transcurrido el plazo, todas las partes personadas formularon alegaciones por escritos de 17 y 23 de mayo último, en el sentido de no oponerse al desistimiento.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desistimiento es una forma de terminación del procedimiento prevista en los arts. 80 y 86 de nuestra Ley Orgánica,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dado el carácter rogado que, en principio, tiene la jurisdicción de amparo constitucional [arts. 161.1 b) CE y 41.3 de la Ley Orgánica del Tribunal Constitucional</w:t>
      </w:r>
      <w:r>
        <w:t>, procede acceder al desistimiento solicitado.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lastRenderedPageBreak/>
        <w:t>ACUERDA</w:t>
      </w:r>
    </w:p>
    <w:p w:rsidR="00E3576C" w:rsidRDefault="00E3576C" w:rsidP="00E3576C">
      <w:pPr>
        <w:pStyle w:val="TextoNormalCentrado"/>
      </w:pPr>
    </w:p>
    <w:p w:rsidR="00E3576C" w:rsidRDefault="00E3576C" w:rsidP="00E3576C">
      <w:pPr>
        <w:pStyle w:val="TextoNormal"/>
      </w:pPr>
      <w:r>
        <w:t>Tener por desistido y apartado de la prosecución del presente recurso al Excmo. Ayuntamiento de Castello de la Ribera acordándose el archivo de las actuaciones.</w:t>
      </w:r>
    </w:p>
    <w:p w:rsidR="00E3576C" w:rsidRDefault="00E3576C" w:rsidP="00E3576C">
      <w:pPr>
        <w:pStyle w:val="TextoNormal"/>
      </w:pPr>
    </w:p>
    <w:p w:rsidR="00E3576C" w:rsidRDefault="00E3576C" w:rsidP="00E3576C">
      <w:pPr>
        <w:pStyle w:val="TextoNormal"/>
      </w:pPr>
      <w:r>
        <w:t>Madrid, a cuatro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6" w:name="AUTO_2012_115"/>
      <w:r>
        <w:lastRenderedPageBreak/>
        <w:t>AUTO 115/2012, de 4 de junio de 2012</w:t>
      </w:r>
    </w:p>
    <w:bookmarkEnd w:id="256"/>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ECLI:ES:TC:2012:115A</w:t>
      </w:r>
    </w:p>
    <w:p w:rsidR="00E3576C" w:rsidRDefault="00E3576C" w:rsidP="00E3576C">
      <w:pPr>
        <w:pStyle w:val="SntesisDescriptiva"/>
      </w:pPr>
    </w:p>
    <w:p w:rsidR="00E3576C" w:rsidRDefault="00E3576C" w:rsidP="00E3576C">
      <w:pPr>
        <w:pStyle w:val="SntesisDescriptiva"/>
      </w:pPr>
      <w:r>
        <w:t>Excms. Srs. doña Elisa Pérez Vera, don Ramón Rodríguez Arribas, don Francisco José Hernando Santiago,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Mantiene las medidas cautelares acordadas mediante providencia en el recurso de amparo 4759-2011, promovido por don Gabriel Ricardo Dias Acedo, en proceso de extradición.</w:t>
      </w:r>
    </w:p>
    <w:p w:rsidR="00E3576C" w:rsidRDefault="00E3576C" w:rsidP="00E3576C">
      <w:pPr>
        <w:pStyle w:val="SntesisDescriptiva"/>
      </w:pPr>
    </w:p>
    <w:p w:rsidR="00E3576C" w:rsidRDefault="00E3576C" w:rsidP="00E3576C">
      <w:pPr>
        <w:pStyle w:val="SntesisAnaltica"/>
      </w:pPr>
      <w:r>
        <w:t>Competencias del Tribunal Constitucional: competencia en materia de extradiciones. Procedimiento judicial: resolución dictada inaudita parte. Recurso de amparo: medidas cautelares de oficio. Suspensión cautelar de resoluciones judiciales: perjuicios irreparables. Suspensión de la ejecución del acto que origina el amparo: suspensión cautelar urgente.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 de septiembre de 2011 tuvo entrada en el Registro General de este Tribunal escrito firmado por el Procurador de los Tribunales don Santos Carrasco Gómez, en representación de don Gabriel Ricardo Dias Acedo, en virtud del cual interponía recurso de amparo contra el Auto número 36-2011 del Pleno de la Sala de lo Penal de la Audiencia Nacional y contra el Auto de la Sala de lo Penal, Sección Cuarta de la misma Audiencia, rollo de Sala 57-2010, por los que se accedía, en trámite jurisdiccional, a la solicitud de extradición deducida por la Región Especial de Hong Kong, de la República Popular China, del hoy recurrente en amparo.</w:t>
      </w:r>
    </w:p>
    <w:p w:rsidR="00E3576C" w:rsidRDefault="00E3576C" w:rsidP="00E3576C">
      <w:pPr>
        <w:pStyle w:val="TextoNormal"/>
      </w:pPr>
    </w:p>
    <w:p w:rsidR="00E3576C" w:rsidRDefault="00E3576C" w:rsidP="00E3576C">
      <w:pPr>
        <w:pStyle w:val="TextoNormal"/>
      </w:pPr>
      <w:r w:rsidRPr="00E3576C">
        <w:rPr>
          <w:rStyle w:val="NumeroAFNegritaCaracter"/>
        </w:rPr>
        <w:t>2</w:t>
      </w:r>
      <w:r>
        <w:t>. El demandante de amparo considera que las resoluciones recurridas han vulnerado su derecho a la tutela judicial efectiva [art. 24 CE] en relación con el art. 13.3 CE y los derechos fundamentales a la libertad y seguridad jurídica de los arts.17.1 y 2 CE. Además considera infringido el art 25.1 en relación con el art. 9.1 del texto constitucional, por entender que la Región de Hong Kong no es competente para instar la solicitud de extradición, que en todo caso correspondería al Estado chino por medio de sus órganos competentes. A la vez solicitaba la suspensión de los Autos recurridos por entender que su ejecución haría perder al amparo su finalidad. Dicha petición suspensiva fue reiterada por escritos de 23 y 26 de marzo de 2012.</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resolución de fecha 28 de marzo de 2012 la Sección Cuarta de este Tribunal acordó, por la vía del art. 56.3 de la Ley Orgánica del Tribunal Constitucional (LOTC), la suspensión cautelar, por razones de urgencia excepcional, de la ejecución de las resoluciones impugnadas, al estimar que dicha ejecución produciría un perjuicio de imposible o muy difícil reparación que haría perder su finalidad al recurso de amparo.</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19 de abril de 2012 la Sala Segunda acordó admitir a trámite el recurso de amparo, de conformidad con lo previsto en el art. 11.2 LOTC, y en aplicación del art. 51 LOTC que se requiera al Pleno y a la Sección Cuarta de la Sala de lo Penal de la Audiencia Nacional a fin de que, en plazo que no exceda de diez días, remita certificación o copia adverada de las actuaciones correspondientes al recurso de súplica núm. 31-2011 y rollo 57-2010, así como actuaciones correspondientes al expediente de extradición 20-2010 del Juzgado Central de Instrucción núm. 5, debiendo previamente emplazarse a quienes hubieran sido parte en el procedimiento para que en el plazo de diez días puedan comparecer en el recurso de amparo, si así lo desean, salvo a la parte recurrente en amparo. A la vez se acordó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5</w:t>
      </w:r>
      <w:r>
        <w:t>. La representación de la parte recurrente presentó escrito de alegaciones con fecha 3 de mayo de 2012, en el que reproduce, en síntesis, las alegaciones formuladas en su demanda.</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en escrito registrado el 18 de mayo de 2012, interesa el mantenimiento de la suspensión. Tras referirse a los antecedentes del caso y a la doctrina de este Tribunal, señala que la ejecución es susceptible de ocasionar un perjuicio grave e irreparable para el demandante al poder perder el amparo su finalidad. Por otro lado se subraya que el mantenimiento de la suspensión acordada no es lesivo para los intereses generales, ni siquiera para los intereses y derechos de terceros.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La Ley Orgánica 6/2007, de 24 de mayo, ha dado nueva redacción al art. 56 de la Ley Orgánica del Tribunal Constitucional (LOTC), atribuyendo en su apartado 6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 (ATC 111/2011, de 11 de julio, FJ 1). Ahora bien, como con detalle se ha analizado en el ATC 16/2011, de 25 de febrero, esa posibilidad no excluye la facultad del Tribunal Constitucional para que, en virtud de las previsiones contenidas en el art. 56.3 LOTC, y ante la concurrencia de circunstancias singularísimas de excepcional urgencia debidamente acreditadas, pueda acordar inaudita parte la suspensión de la resolución impugnada (o cualquier otra medida cautelar que pueda resultar adecuada) incluso antes de decidir sobre la admisión a trámite del recurso de amparo, y ello para impedir que, mientras se decide sobre la admisión del recurso conforme a la nueva configuración de este trámite que resulta de la reforma introducida por la Ley Orgánica 6/2007, pueda consumarse de manera irreversible la lesión de algún derecho fundamental que se alega por el demandante de amparo, provocando con ello la pérdida de la finalidad de su recurso, pues no debe olvidarse que “el recurso de amparo, en todo caso, sigue siendo un recurso de tutela de derechos fundamentales” (STC 155/2009, de 25 de junio, FJ 2) y que el fundamento de la tutela cautelar en el proceso de amparo constitucional </w:t>
      </w:r>
      <w:r>
        <w:lastRenderedPageBreak/>
        <w:t>no es otro que la necesidad de evitar que el amparo pierda su finalidad en caso de que finalmente sea estimado (art. 56.2 y 3 LOTC).</w:t>
      </w:r>
    </w:p>
    <w:p w:rsidR="00E3576C" w:rsidRDefault="00E3576C" w:rsidP="00E3576C">
      <w:pPr>
        <w:pStyle w:val="TextoNormal"/>
      </w:pPr>
    </w:p>
    <w:p w:rsidR="00E3576C" w:rsidRDefault="00E3576C" w:rsidP="00E3576C">
      <w:pPr>
        <w:pStyle w:val="TextoNormal"/>
      </w:pPr>
      <w:r>
        <w:t>Eso fue lo ocurrido en el presente caso. No obstante lo anterior, la concurrencia de una situación de urgencia excepcional que autorice a este Tribunal a acordar de forma inmediata medidas cautelares inaudita parte incluso —cuando así lo requiera el carácter extraordinariamente apremiante y perentorio del asunto— antes de la admisión (art. 56.3 LOTC), no significa que no deba ratificarse, o modificarse, o levantarse en su caso, esa decisión provisional una vez admitido a trámite el amparo, “mediante una nueva resolución motivada en la que, tras oír a las partes, se expresen las razones que lleven al Tribunal a mantener, modificar o levantar la medida inicialmente acordada” (ATC 213/2009, de 9 de julio, FJ 1). Una vez admitida a trámite la demanda de amparo, en su caso, la parte contraria podrá comparecer en el proceso constitucional de amparo (art. 51.2 LOTC) y será oída, junto a la parte recurrente y el Ministerio Fiscal, por plazo común que no excederá de tres días (art. 56.4 LOTC), sobre el mantenimiento o alzamiento de la suspensión cautelar acordada, resolviendo este Tribunal por Auto lo que proceda (ATC 16/2011, FJ 5).</w:t>
      </w:r>
    </w:p>
    <w:p w:rsidR="00E3576C" w:rsidRDefault="00E3576C" w:rsidP="00E3576C">
      <w:pPr>
        <w:pStyle w:val="TextoNormal"/>
      </w:pPr>
    </w:p>
    <w:p w:rsidR="00E3576C" w:rsidRDefault="00E3576C" w:rsidP="00E3576C">
      <w:pPr>
        <w:pStyle w:val="TextoNormal"/>
      </w:pPr>
      <w:r w:rsidRPr="00E3576C">
        <w:rPr>
          <w:rStyle w:val="NumeroAFNegritaCaracter"/>
        </w:rPr>
        <w:t>2</w:t>
      </w:r>
      <w:r>
        <w:t>. Habiendo sido oídas ya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disponiendo dicho precepto en su apartado 2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Esto es, se trata de preservar la integridad del derecho fundamental cuya vulneración se denuncia, en tanto en cuanto la ejecución del acto o resolución impugnados pudiera ocasionar un perjuicio que hiciese perder al amparo su finalidad.</w:t>
      </w:r>
    </w:p>
    <w:p w:rsidR="00E3576C" w:rsidRDefault="00E3576C" w:rsidP="00E3576C">
      <w:pPr>
        <w:pStyle w:val="TextoNormal"/>
      </w:pPr>
    </w:p>
    <w:p w:rsidR="00E3576C" w:rsidRDefault="00E3576C" w:rsidP="00E3576C">
      <w:pPr>
        <w:pStyle w:val="TextoNormal"/>
      </w:pPr>
      <w: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Ley Orgánica del Tribunal Constitucional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369/2005, de 24 de octubre,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w:t>
      </w:r>
      <w:r>
        <w:lastRenderedPageBreak/>
        <w:t>de 11 de febrero, FJ 1; 67/2008, de 25 de febrero, FJ 1; 109/2008, de 14 de abril, FJ 1; y 172/2008, de 23 de junio, FJ 1).</w:t>
      </w:r>
    </w:p>
    <w:p w:rsidR="00E3576C" w:rsidRDefault="00E3576C" w:rsidP="00E3576C">
      <w:pPr>
        <w:pStyle w:val="TextoNormal"/>
      </w:pPr>
    </w:p>
    <w:p w:rsidR="00E3576C" w:rsidRDefault="00E3576C" w:rsidP="00E3576C">
      <w:pPr>
        <w:pStyle w:val="TextoNormal"/>
      </w:pPr>
      <w:r>
        <w:t>Por perjuicio irreparable hemos entendido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170/2001, de 22 de junio, FJ 1; 9/2003, de 20 de enero, FJ 1; 338/2005, de 26 de septiembre, FJ 1; 286/2007, de 18 de junio, FJ 1; y 233/2008, de 21 de julio, FJ 1).</w:t>
      </w:r>
    </w:p>
    <w:p w:rsidR="00E3576C" w:rsidRDefault="00E3576C" w:rsidP="00E3576C">
      <w:pPr>
        <w:pStyle w:val="TextoNormal"/>
      </w:pPr>
    </w:p>
    <w:p w:rsidR="00E3576C" w:rsidRDefault="00E3576C" w:rsidP="00E3576C">
      <w:pPr>
        <w:pStyle w:val="TextoNormal"/>
      </w:pPr>
      <w:r w:rsidRPr="00E3576C">
        <w:rPr>
          <w:rStyle w:val="NumeroAFNegritaCaracter"/>
        </w:rPr>
        <w:t>3</w:t>
      </w:r>
      <w:r>
        <w:t>. En el supuesto que nos ocupa, como pone de relieve el Ministerio Fiscal en su escrito de alegaciones, procede mantener la suspensión cautelar interesada, es claro que la ejecución de la extradición del demandante de amparo conlleva la entrega a las autoridades requirentes, pudiendo convertir en ilusoria una eventual concesión del amparo, sin que se aprecie que la suspensión pueda originar una perturbación grave de los intereses generales ni de los derechos fundamentales o libertades públicas de un tercero.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Mantener las medidas cautelares acordadas en la providencia de 28 de marzo de 2012.</w:t>
      </w:r>
    </w:p>
    <w:p w:rsidR="00E3576C" w:rsidRDefault="00E3576C" w:rsidP="00E3576C">
      <w:pPr>
        <w:pStyle w:val="TextoNormal"/>
      </w:pPr>
    </w:p>
    <w:p w:rsidR="00E3576C" w:rsidRDefault="00E3576C" w:rsidP="00E3576C">
      <w:pPr>
        <w:pStyle w:val="TextoNormal"/>
      </w:pPr>
      <w:r>
        <w:t>Madrid, a cuatro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7" w:name="AUTO_2012_116"/>
      <w:r>
        <w:lastRenderedPageBreak/>
        <w:t>AUTO 116/2012, de 4 de junio de 2012</w:t>
      </w:r>
    </w:p>
    <w:bookmarkEnd w:id="257"/>
    <w:p w:rsidR="00E3576C" w:rsidRDefault="00E3576C" w:rsidP="00E3576C">
      <w:pPr>
        <w:pStyle w:val="TtuloResolucin"/>
      </w:pPr>
      <w:r>
        <w:t>Sección Cuarta</w:t>
      </w:r>
    </w:p>
    <w:p w:rsidR="00E3576C" w:rsidRDefault="00E3576C" w:rsidP="00E3576C">
      <w:pPr>
        <w:pStyle w:val="TtuloResolucin"/>
      </w:pPr>
    </w:p>
    <w:p w:rsidR="00E3576C" w:rsidRDefault="00E3576C" w:rsidP="00E3576C">
      <w:pPr>
        <w:pStyle w:val="SntesisDescriptiva"/>
      </w:pPr>
      <w:r>
        <w:t>ECLI:ES:TC:2012:116A</w:t>
      </w:r>
    </w:p>
    <w:p w:rsidR="00E3576C" w:rsidRDefault="00E3576C" w:rsidP="00E3576C">
      <w:pPr>
        <w:pStyle w:val="SntesisDescriptiva"/>
      </w:pPr>
    </w:p>
    <w:p w:rsidR="00E3576C" w:rsidRDefault="00E3576C" w:rsidP="00E3576C">
      <w:pPr>
        <w:pStyle w:val="SntesisDescriptiva"/>
      </w:pPr>
      <w:r>
        <w:t>Excms. Srs. doña Elisa Pérez Vera, don Ramón Rodríguez Arribas y don Luis Ignacio Ortega Álvarez.</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5151-2011, promovido por don Rafael Gimeno-Bayón Cobos, en proceso contencioso-administrativo.</w:t>
      </w:r>
    </w:p>
    <w:p w:rsidR="00E3576C" w:rsidRDefault="00E3576C" w:rsidP="00E3576C">
      <w:pPr>
        <w:pStyle w:val="SntesisDescriptiva"/>
      </w:pPr>
    </w:p>
    <w:p w:rsidR="00E3576C" w:rsidRDefault="00E3576C" w:rsidP="00E3576C">
      <w:pPr>
        <w:pStyle w:val="SntesisAnaltica"/>
      </w:pPr>
      <w:r>
        <w:t>Derecho a acceder a las funciones públicas: experiencia docente; mérito de los servicios prestados como funcionarios docentes interinos o contratados. Jueces y Magistrados: acceso por el cuarto turno; designación de Magistrados del Tribunal Supremo. Recurso de súplica contra providencias de inadmisión del Tribunal Constitucional: desestimación.</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Con fecha de 17 de abril de 2012 tuvo entrada, en el Registro General de este Tribunal, escrito del Ministerio Fiscal en el que se contiene recurso de súplica contra la providencia de la Sección Cuarta, de 12 de marzo de 2012, notificada al mismo el 12 de abril de 2012, por la que se dispuso la inadmisión del recurso de amparo núm. 5151-2011, interpuesto por don Rafael Gimeno-Bayón Cobos contra la Sentencia, de 17 de mayo de 2011, del Pleno de la Sala Tercera del Tribunal Supremo dictada en los recursos contencioso-administrativos acumulados núms. 143-2010, 156-2010 y 226-2010.</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que anteceden al presente recurso de súplica son sustancialmente los siguientes:</w:t>
      </w:r>
    </w:p>
    <w:p w:rsidR="00E3576C" w:rsidRDefault="00E3576C" w:rsidP="00E3576C">
      <w:pPr>
        <w:pStyle w:val="TextoNormal"/>
      </w:pPr>
    </w:p>
    <w:p w:rsidR="00E3576C" w:rsidRDefault="00E3576C" w:rsidP="00E3576C">
      <w:pPr>
        <w:pStyle w:val="TextoNormal"/>
      </w:pPr>
      <w:r>
        <w:t>a) Por parte del Pleno del Consejo General del Poder Judicial, en sesión celebrada el 28 de enero de 2010, se nombró al recurrente en amparo Magistrado de la Sala Primera del Tribunal Supremo, en cumplimiento de lo dispuesto en la previa convocatoria efectuada para cubrir una plaza en dicho órgano entre Abogados y juristas de prestigio. El nombramiento se recogió en el Real Decreto 122/2010, de 12 de febrero, y fue publicado en el “Boletín Oficial del Estado” de 15 de marzo de 2010.</w:t>
      </w:r>
    </w:p>
    <w:p w:rsidR="00E3576C" w:rsidRDefault="00E3576C" w:rsidP="00E3576C">
      <w:pPr>
        <w:pStyle w:val="TextoNormal"/>
      </w:pPr>
    </w:p>
    <w:p w:rsidR="00E3576C" w:rsidRDefault="00E3576C" w:rsidP="00E3576C">
      <w:pPr>
        <w:pStyle w:val="TextoNormal"/>
      </w:pPr>
      <w:r>
        <w:t xml:space="preserve">b) Contra dicho nombramiento se interpusieron tres recursos contencioso-administrativos ante la Sala Tercera del Tribunal Supremo, con números de registro 143-2010, 156-2010 y 226-2010, respectivamente y que, tras ser acumulados, dieron lugar a la Sentencia de 17 de mayo de 2011 dictada por el Pleno del referido órgano judicial. En las impugnaciones se ponía de manifiesto que el nombramiento controvertido se había hecho vulnerando lo dispuesto por el art. 345 de la Ley Orgánica del Poder Judicial (en adelante: LOPJ), por </w:t>
      </w:r>
      <w:r>
        <w:lastRenderedPageBreak/>
        <w:t>cuanto el señor Gimeno-Bayón Cobos no contaba con quince años de antigüedad en el ejercicio de actividades profesionales en la rama del Derecho correspondiente a la Sala a la que se refería la convocatoria de la plaza de Magistrado.</w:t>
      </w:r>
    </w:p>
    <w:p w:rsidR="00E3576C" w:rsidRDefault="00E3576C" w:rsidP="00E3576C">
      <w:pPr>
        <w:pStyle w:val="TextoNormal"/>
      </w:pPr>
    </w:p>
    <w:p w:rsidR="00E3576C" w:rsidRDefault="00E3576C" w:rsidP="00E3576C">
      <w:pPr>
        <w:pStyle w:val="TextoNormal"/>
      </w:pPr>
      <w:r>
        <w:t>En lo relevante al recurso de amparo que se encuentra en el origen de la presente súplica, el Tribunal Supremo realizó las siguientes consideraciones: en primer lugar, se declaró que la condición de Magistrado en excedencia, situación en la que se encontraba el señor Gimeno-Bayón Cobos, no impide la concurrencia al turno al que se refería la citada convocatoria siempre que se supere el cómputo de años de ejercicio de actividades distintas a la judicial. En segundo lugar, que, en consecuencia, quedaba descartado que la actividad judicial desempeñada por el concursante pudiera computarse a los efectos previstos en el art. 345 LOPJ, puesto que la convocatoria se refería a una plaza destinada a juristas que hayan desempeñado actividades distintas a la judicial. En tercer lugar, y respecto de las actividades profesionales desarrolladas por el concursante, tras quedar acreditado que el ejercicio profesional de la abogacía se había desempeñado únicamente durante seis años, mientras que la actividad docente universitaria, como profesor asociado de Derecho mercantil en una universidad, únicamente alcanzaba los quince años requeridos si se computaban todos aquellos en los que se ejerció compatibilizándola con la función judicial, el juzgador estimó que la actividad docente compatibilizada con la judicial únicamente podía considerarse como una actividad complementaria de aquella que podía estimarse, entonces, como actividad profesional del concursante, la actividad judicial. En consecuencia, la resolución del Pleno de la Sala Tercera dispuso, entre otros extremos ahora no relevantes: La disconformidad a Derecho del Real Decreto 122/2010, de 12 de febrero, impugnado en los distintos recursos contencioso-administrativos acumulados; así como reponer las actuaciones del expediente administrativo al momento de decisión por el Pleno del Consejo General del Poder Judicial a fin de que resolviera sobre la cobertura de la plaza de Magistrado de la Sala Primera del Tribunal Supremo de la que se trataba a la vista de la terna elevada por la Comisión de Calificación del Consejo General del Poder Judicial con plenitud de competencia.</w:t>
      </w:r>
    </w:p>
    <w:p w:rsidR="00E3576C" w:rsidRDefault="00E3576C" w:rsidP="00E3576C">
      <w:pPr>
        <w:pStyle w:val="TextoNormal"/>
      </w:pPr>
    </w:p>
    <w:p w:rsidR="00E3576C" w:rsidRDefault="00E3576C" w:rsidP="00E3576C">
      <w:pPr>
        <w:pStyle w:val="TextoNormal"/>
      </w:pPr>
      <w:r>
        <w:t>c) El señor Gimeno-Bayón Cobos promovió incidente de nulidad de actuaciones contra la Sentencia, al amparo del art. 241.1 LOPJ, denunciando la vulneración de los derechos contenidos en los arts. 23.2 CE, en cuanto del razonamiento de la Sentencia impugnada resulta un requisito de acceso a la función jurisdiccional no contemplado por la norma, y 24.1 CE, en la medida en que la Sentencia realiza una interpretación irrazonable y desproporcionada del art. 345 LOPJ. Por su parte, el Pleno de la Sala Tercera del Tribunal Supremo, mediante providencia de 13 de julio de 2011, inadmitió a trámite el referido incidente por entender que mediante el mismo se pretendía realmente debatir de nuevo sobre lo resuelto en la Sentencia impugnada.</w:t>
      </w:r>
    </w:p>
    <w:p w:rsidR="00E3576C" w:rsidRDefault="00E3576C" w:rsidP="00E3576C">
      <w:pPr>
        <w:pStyle w:val="TextoNormal"/>
      </w:pPr>
    </w:p>
    <w:p w:rsidR="00E3576C" w:rsidRDefault="00E3576C" w:rsidP="00E3576C">
      <w:pPr>
        <w:pStyle w:val="TextoNormal"/>
      </w:pPr>
      <w:r>
        <w:t>d) Con fecha de 23 de septiembre de 2011, tuvo entrada en el Registro General de este Tribunal escrito presentado por la procuradora doña Teresa Gamazo Trueba por el que se interpuso recurso de amparo en nombre de don Rafael Gimeno-Bayón Cobos. La demanda, planteada conforme al art. 44 de la Ley Orgánica del Tribunal Constitucional (LOTC), se dirigía contra la Sentencia del Pleno de la Sala Tercera del Tribunal Supremo supracitada y en la misma se denunciaba la vulneración de los derechos de acceso a las funciones públicas (art. 23.2 CE) y a la tutela judicial efectiva (art. 24.1 CE), en los siguientes términos:</w:t>
      </w:r>
    </w:p>
    <w:p w:rsidR="00E3576C" w:rsidRDefault="00E3576C" w:rsidP="00E3576C">
      <w:pPr>
        <w:pStyle w:val="TextoNormal"/>
      </w:pPr>
    </w:p>
    <w:p w:rsidR="00E3576C" w:rsidRDefault="00E3576C" w:rsidP="00E3576C">
      <w:pPr>
        <w:pStyle w:val="TextoNormal"/>
      </w:pPr>
      <w:r>
        <w:lastRenderedPageBreak/>
        <w:t>Con respecto del art. 23.2 CE la vulneración ha radicado, a juicio del recurrente, en la interpretación que, por parte del juzgador, se ha realizado de la norma aplicable. La exclusión como mérito, de toda actividad profesional “complementaria” de la principal, esto es, de las actividades docentes que se realizaron cuando el recurrente era Magistrado en activo, resulta una exigencia desorbitante y ajena al contenido del art. 345 LOPJ, que no establece límites a que el cumplimiento del requisito se limite a una sola actividad. La interpretación es asimismo discriminatoria, pues dependiendo de que una actividad (en este caso la docente) se haya realizado en régimen o no de exclusividad será considerada principal o complementaria con independencia del reconocimiento que se haya alcanzado en su ejercicio. Igualmente, una interpretación como la llevada a cabo por el juzgador resulta incoherente al sostener que la actividad docente desempeñada puede valorarse como mérito, pero no como cumplimiento del requisito establecido en el art. 345 LOPJ, de la misma manera que resulta incoherente reconocer a un Magistrado en excedencia la posibilidad de concurrir por el quinto turno, a la vez que se le niega el reconocimiento profesional de otras actividades ejercidas cuando se ostentaba la condición judicial en activo.</w:t>
      </w:r>
    </w:p>
    <w:p w:rsidR="00E3576C" w:rsidRDefault="00E3576C" w:rsidP="00E3576C">
      <w:pPr>
        <w:pStyle w:val="TextoNormal"/>
      </w:pPr>
    </w:p>
    <w:p w:rsidR="00E3576C" w:rsidRDefault="00E3576C" w:rsidP="00E3576C">
      <w:pPr>
        <w:pStyle w:val="TextoNormal"/>
      </w:pPr>
      <w:r>
        <w:t>En lo atinente al art. 24.1 CE, y con base en los argumentos expuestos anteriormente, el recurrente sostenía la irrazonabilidad y desproporción en que ha incurrido la resolución impugnada. Asimismo, la Sentencia se ha excedido de los límites constitucionales entendidos como control de legalidad de la actuación administrativa a los que están sometidos los tribunales (art. 106.1, en relación con el 122, CE). Así, la Sala Tercera del Tribunal Supemo se ha extralimitado de su función, invadiendo un ámbito de ejercicio de facultades constitucionalmente legítimo y reconocido al Consejo General del Poder Judicial, toda vez que la interpretación que se realizó del art. 345 LOPJ durante el proceso de selección no fue irrazonable ni puede sostenerse que no se encontrara dentro de las posibilidades que recoge la citada norma. La Sentencia impugnada, sin valorar la interpretación realizada por el Consejo General del Poder Judicial, ha pasado a imponer su propia interpretación, excediéndose en su cometido.</w:t>
      </w:r>
    </w:p>
    <w:p w:rsidR="00E3576C" w:rsidRDefault="00E3576C" w:rsidP="00E3576C">
      <w:pPr>
        <w:pStyle w:val="TextoNormal"/>
      </w:pPr>
    </w:p>
    <w:p w:rsidR="00E3576C" w:rsidRDefault="00E3576C" w:rsidP="00E3576C">
      <w:pPr>
        <w:pStyle w:val="TextoNormal"/>
      </w:pPr>
      <w:r>
        <w:t>e) La Sección Cuarta del Tribunal Constitucional dispuso, mediante providencia de 12 de marzo de 2012, la inadmisión del recurso de amparo “con arreglo a lo previsto en el art. 50.1 a) LOTC, dada la manifiesta inexistencia de violación de un derecho fundamental tutelable en amparo, violación que, de acuerdo con el art. 44.1 LOTC, es condición para que este Tribunal pueda ejercer dicha tutela”.</w:t>
      </w:r>
    </w:p>
    <w:p w:rsidR="00E3576C" w:rsidRDefault="00E3576C" w:rsidP="00E3576C">
      <w:pPr>
        <w:pStyle w:val="TextoNormal"/>
      </w:pPr>
    </w:p>
    <w:p w:rsidR="00E3576C" w:rsidRDefault="00E3576C" w:rsidP="00E3576C">
      <w:pPr>
        <w:pStyle w:val="TextoNormal"/>
      </w:pPr>
      <w:r w:rsidRPr="00E3576C">
        <w:rPr>
          <w:rStyle w:val="NumeroAFNegritaCaracter"/>
        </w:rPr>
        <w:t>3</w:t>
      </w:r>
      <w:r>
        <w:t>. En su recurso de súplica, el Ministerio Fiscal hace suyas las consideraciones contenidas en uno de los Votos particulares discrepantes que acompañan a la resolución impugnada, y del que se recogen las siguientes consideraciones: el carácter profesional de la actividad docente universitaria desarrollada por el señor Gimeno-Bayón, por cuanto se trataba de una actividad con contraprestación económica y por lo tanto la intensidad y dedicación pueden incidir en la calidad, pero no en la naturaleza de la misma. La interpretación de la norma no puede realizarse desde criterios restrictivos, toda vez que no existe prohibición alguna a la compatibilidad de funciones, pues en caso contrario la interpretación limitativa para participar en el concurso de acceso “implicaría la exigencia de un sacrificio exorbitante”, sin que tampoco, de la conducta del ulterior recurrente en amparo pueda deducirse fraude ley, en el sentido de que éste hubiera renunciado a la carrera judicial para acceder al Tribunal Supremo por el quinto turno, habida cuenta del tiempo que transcurrió entre el pase a la situación de excedencia y la convocatoria a la que concurrió.</w:t>
      </w:r>
    </w:p>
    <w:p w:rsidR="00E3576C" w:rsidRDefault="00E3576C" w:rsidP="00E3576C">
      <w:pPr>
        <w:pStyle w:val="TextoNormal"/>
      </w:pPr>
    </w:p>
    <w:p w:rsidR="00E3576C" w:rsidRDefault="00E3576C" w:rsidP="00E3576C">
      <w:pPr>
        <w:pStyle w:val="TextoNormal"/>
      </w:pPr>
      <w:r>
        <w:t>A la luz de dichas consideraciones, el Ministerio Fiscal, en su escrito de alegaciones, concluye que, teniendo en cuenta que el art. 345 LOPJ no matiza si la actividad profesional ha de ser principal o no, son los aplicadores de la norma quienes deben determinar su alcance, habiendo decidido en este caso que la función docente desarrollada por el señor Gimeno-Bayón podía ser considerada, a los efectos del acceso al concurso relativo a una plaza de Magistrado del Tribunal Supremo por el quinto turno, cuando se desarrolló de forma simultánea con la función jurisdiccional. Por el contrario, la Sentencia impugnada en amparo realizó una interpretación del art. 345 LOPJ “que restringe la plena efectividad del derecho fundamental del art. 23.2 CE de modo que vendría a condicionar la aplicación e interpretación que realizó el Pleno del Consejo General del Poder Judicial”.</w:t>
      </w:r>
    </w:p>
    <w:p w:rsidR="00E3576C" w:rsidRDefault="00E3576C" w:rsidP="00E3576C">
      <w:pPr>
        <w:pStyle w:val="TextoNormal"/>
      </w:pPr>
    </w:p>
    <w:p w:rsidR="00E3576C" w:rsidRDefault="00E3576C" w:rsidP="00E3576C">
      <w:pPr>
        <w:pStyle w:val="TextoNormal"/>
      </w:pPr>
      <w:r>
        <w:t>Concluye el Ministerio Fiscal sus consideraciones manifestando que la admisión de la demanda de amparo “podría contribuir a precisar el alcance y el grado de control de las decisiones del Consejo General del Poder Judicial sobre el nombramiento de los cargos relevantes en el Tribunal Supremo y los límites en el ejercicio de la función jurisdiccional en relación con la fiscalización de los mismos”.</w:t>
      </w:r>
    </w:p>
    <w:p w:rsidR="00E3576C" w:rsidRDefault="00E3576C" w:rsidP="00E3576C">
      <w:pPr>
        <w:pStyle w:val="TextoNormal"/>
      </w:pPr>
    </w:p>
    <w:p w:rsidR="00E3576C" w:rsidRDefault="00E3576C" w:rsidP="00E3576C">
      <w:pPr>
        <w:pStyle w:val="TextoNormal"/>
      </w:pPr>
      <w:r>
        <w:t>A la luz de lo expuesto, el Ministerio Fiscal interesa que, con estimación del recurso de súplica presentado, se deje sin efecto la inadmisión del recurso de amparo 5151-2011 acordada mediante providencia, de 12 de marzo de 2012, y se repongan las actuaciones al momento anterior a dictar la resolución.</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diligencia de ordenación, de 18 de abril de 2012, notificada el 23 de abril del presente, la Secretaría de Justicia de la Sala Segunda, de conformidad con lo dispuesto en el art. 93.2 LOTC, dio traslado del escrito presentado por el Ministerio Fiscal a la representación procesal del recurrente para que, en el plazo de tres de días, alegara lo que estimara pertinente.</w:t>
      </w:r>
    </w:p>
    <w:p w:rsidR="00E3576C" w:rsidRDefault="00E3576C" w:rsidP="00E3576C">
      <w:pPr>
        <w:pStyle w:val="TextoNormal"/>
      </w:pPr>
    </w:p>
    <w:p w:rsidR="00E3576C" w:rsidRDefault="00E3576C" w:rsidP="00E3576C">
      <w:pPr>
        <w:pStyle w:val="TextoNormal"/>
      </w:pPr>
      <w:r w:rsidRPr="00E3576C">
        <w:rPr>
          <w:rStyle w:val="NumeroAFNegritaCaracter"/>
        </w:rPr>
        <w:t>5</w:t>
      </w:r>
      <w:r>
        <w:t>. El referido trámite se evacuó mediante escrito de la representación procesal del demandante, que tuvo entrada en el Registro General del Tribunal Constitucional el 26 de abril de 2012. En dicho escrito, el recurrente manifiesta su adhesión y conformidad con el recurso de súplica planteado por el Ministerio Fiscal y reitera en sus alegaciones los motivos que ya se expusieran en la fundamentación de la demanda de amparo. Se hace hincapié, a juicio del recurrente, en que tanto a tenor de la súplica planteada por el Ministerio Fiscal, como de los argumentos expuestos en los Votos particulares discrepantes a la resolución impugnada, se advierte que de la demanda no puede deducirse manifiesta inexistencia de infracción constitucional, como se resolvió en la providencia impugnada por el Ministerio público, y que además la demanda, como acertadamente se pone de manifiesto en el recurso de súplica, resulta “relevante o trascendente” por la relevancia constitucional del órgano “para cuyo acceso se produce la infracción constitucional” y de la cuestión relativa al control jurisdiccional de las decisiones de los órganos constitucionales (en este caso el Consejo General de Poder Judicial) en el ejercicio de sus funciones. En consecuencia, en mérito del recurso de súplica interpuesto por el Ministerio Fiscal, se solicita la revocación de la providencia de 12 de marzo de 2012 y la admisión de la demanda de amparo planteada por el recurrente contra la referida Sentencia de la Sala Tercera del Tribunal Supremo, de 17 de mayo de 2011.</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A diferencia del criterio mantenido por el Ministerio Fiscal en su recurso de súplica, no se aprecia lesión del art. 23.2 CE. En este sentido, la interpretación que ha realizado el Tribunal Supremo, en el ejercicio de la función de controlar la actividad materialmente administrativa sometida a su escrutinio (art. 106 CE), no puede considerarse contraria al art. 23.2 CE por limitativa, restrictiva o por imponer “la exigencia de un sacrificio exorbitante”. La intervención del juzgador, en este asunto, se ha dirigido a verificar si el Consejo General del Poder Judicial, en su decisión, se había ajustado a las condiciones de acceso al Tribunal Supremo por el denominado quinto turno recogidas en el art. 345 de la Ley Orgánica del Poder Judicial (LOPJ), que dispone: “Podrán ser nombrados Magistrados del Tribunal Supremo los Abogados y juristas de prestigio que, cumpliendo los requisitos establecidos para ello, reúnan méritos suficientes a juicio del Consejo General del Poder Judicial y hayan desempeñado su actividad profesional por tiempo superior a quince años preferentemente en la rama del Derecho correspondiente al orden jurisdiccional de la Sala para la que hubieran de ser designados”.</w:t>
      </w:r>
    </w:p>
    <w:p w:rsidR="00E3576C" w:rsidRDefault="00E3576C" w:rsidP="00E3576C">
      <w:pPr>
        <w:pStyle w:val="TextoNormal"/>
      </w:pPr>
    </w:p>
    <w:p w:rsidR="00E3576C" w:rsidRDefault="00E3576C" w:rsidP="00E3576C">
      <w:pPr>
        <w:pStyle w:val="TextoNormal"/>
      </w:pPr>
      <w:r>
        <w:t>En síntesis, la Sentencia impugnada razonó que, sin excluir que un Magistrado en excedencia pueda concurrir a dicho turno de acceso siempre que acredite los quince años de experiencia profesional en otras actividades, han de excluirse de dicho cómputo aquellas actividades, distintas de las jurisdiccionales, que el recurrente en amparo simultaneó con las actividades jurisdiccionales cuando estaba en servicio activo en la carrera judicial. La razón estriba en que, durante ese tiempo, las actividades jurisdiccionales constituían la actividad profesional o “principal” del recurrente, mientras que las actividades docentes (profesor asociado de Derecho mercantil en una determinada Universidad) constituían una actividad “complementaria”. Actividad que bien puede considerarse a los efectos de los méritos, pero no a los efectos de tener por cumplido el requisito de acceso, consistente en la antigüedad superior a quince años en el desempeño de actividades profesionales jurídicas, recogido en el citado art. 345 LOPJ. El razonamiento se apoya en que las normas que disciplinan la carrera judicial (singularmente la Ley Orgánica del Poder Judicial y el Reglamento de la carrera judicial) disponen un régimen de autorización para el desempeño de dichas actividades “complementarias”.</w:t>
      </w:r>
    </w:p>
    <w:p w:rsidR="00E3576C" w:rsidRDefault="00E3576C" w:rsidP="00E3576C">
      <w:pPr>
        <w:pStyle w:val="TextoNormal"/>
      </w:pPr>
    </w:p>
    <w:p w:rsidR="00E3576C" w:rsidRDefault="00E3576C" w:rsidP="00E3576C">
      <w:pPr>
        <w:pStyle w:val="TextoNormal"/>
      </w:pPr>
      <w:r>
        <w:t xml:space="preserve">Pues bien, tal interpretación no sólo no puede considerarse en modo alguno extravagante ni irracional sino que parece ajustarse perfectamente a las disposiciones normativas aplicables al caso. Primero, porque se compadece bien con la naturaleza del turno de acceso al que concurrió el demandante, reservado para juristas que hayan desempañado actividades profesionales distintas a las jurisdiccionales. Tal y como argumenta el juzgador, de seguirse la tesis del recurrente, los años en que desempeñó simultáneamente las funciones jurisdiccionales y docentes podrían computarse indistintamente en función del turno por el que se decidiera concurrir al Tribunal Supremo. En este sentido, la interpretación seguida por la resolución impugnada casa correctamente con la naturaleza de la figura del profesor asociado universitario; figura que ha de ser integrada, precisamente, por personas seleccionadas entre quienes desarrollen actividades profesionales fuera de la universidad, como establece el art. 53 de la Ley Orgánica 6/2001, de 21 de diciembre, de universidades. Segundo, porque tampoco resulta en modo alguno irracional que la resolución reconozca que la actividad docente puede considerarse un mérito pero no tenerse en cuenta, en este caso, a los efectos del cómputo de los quince años. No existe incoherencia alguna en el razonamiento, pues la </w:t>
      </w:r>
      <w:r>
        <w:lastRenderedPageBreak/>
        <w:t>valoración corresponde a momentos distintos del proceso: una cosa es determinar la naturaleza del desempeño de la actividad docente cuando se ejerció de forma simultánea con otras actividades profesionales (en el caso que nos ocupa la de Juez), a los efectos de configurar el contenido y alcance del requisito que determina las condiciones subjetivas de acceso al Tribunal Supremo por el quinto turno, y otra bien distinta que esas actividades, ulteriormente, puedan considerarse como mérito en tanto en cuanto identifican al sujeto con un determinado perfil especializado, del mismo modo que puedan considerarse otras, como por ejemplo eventuales publicaciones en la materia, sin que constituyan ejercicio de actividad profesional alguna.</w:t>
      </w:r>
    </w:p>
    <w:p w:rsidR="00E3576C" w:rsidRDefault="00E3576C" w:rsidP="00E3576C">
      <w:pPr>
        <w:pStyle w:val="TextoNormal"/>
      </w:pPr>
    </w:p>
    <w:p w:rsidR="00E3576C" w:rsidRDefault="00E3576C" w:rsidP="00E3576C">
      <w:pPr>
        <w:pStyle w:val="TextoNormal"/>
      </w:pPr>
      <w:r>
        <w:t>Dicha tesis no supone introducir trato discriminatorio alguno, como sostuvo el recurrente inicialmente en su demanda de amparo y parece deducirse del Voto particular en el que el Ministerio Fiscal funda su recurso de súplica. El trato desigual se advierte en que, según la tesis del Tribunal Supremo sostenida en la Sentencia recurrida, habría de tratarse de distinta manera a los sujetos que desempeñan la misma actividad (la docencia) según se ejerza de forma exclusiva o de forma compatible con otras. Sin embargo, esta apreciación no es correcta, pues sólo cabría hablar de discriminación en términos estrictos si de la interpretación de la Sentencia se dedujera que es posible tratar de forma distinta entre sí a quienes desempeñan la labor docente de forma complementaria, lo cual no queda establecido en ninguna parte de la Sentencia. Y no queda establecido porque, de acuerdo con el régimen jurídico de los profesores asociados, únicamente cabe su contratación entre quienes desempeñen actividades profesionales fuera de la Universidad. Por ello mismo, no es posible que un profesor asociado pueda desempeñar tal actividad si no es de forma “complementaria” con otras actividades profesionales. Sentado lo cual, no puede pretenderse establecer como tertium comparationis adecuado al caso la figura del profesor asociado con la de otras categorías del profesorado universitario funcionarial o contratado con un régimen de acceso, dedicación y carga docente e investigadora distinta a la de los profesores asociados.</w:t>
      </w:r>
    </w:p>
    <w:p w:rsidR="00E3576C" w:rsidRDefault="00E3576C" w:rsidP="00E3576C">
      <w:pPr>
        <w:pStyle w:val="TextoNormal"/>
      </w:pPr>
    </w:p>
    <w:p w:rsidR="00E3576C" w:rsidRDefault="00E3576C" w:rsidP="00E3576C">
      <w:pPr>
        <w:pStyle w:val="TextoNormal"/>
      </w:pPr>
      <w:r w:rsidRPr="00E3576C">
        <w:rPr>
          <w:rStyle w:val="NumeroAFNegritaCaracter"/>
        </w:rPr>
        <w:t>2</w:t>
      </w:r>
      <w:r>
        <w:t>. El Ministerio Fiscal concluye su escrito manifestando el interés que tiene la admisión de la demanda de amparo, rechazo liminar recurre en súplica, por cuanto “podría contribuir a precisar el alcance y el grado de control de las decisiones del Consejo General del Poder Judicial sobre el nombramiento de los cargos relevantes en el Tribunal Supremo y los límites en el ejercicio de la función jurisdiccional en relación con la fiscalización de los mismos”, en lo que parece una postulación de su especial trascendencia constitucional. Pues bien, en el régimen de la admisión del recurso de amparo, tal y como ha quedado configurado tras la reforma de la Ley Orgánica del Tribunal Constitucional por la Ley Orgánica 6/2007, de 24 de mayo, “continúa siendo inadmisible el recurso cuyo contenido, a la vista de la manifiesta falta de apariencia de las lesiones aducidas, no justifique una decisión sobre el fondo, lo que excluye, ahora igual que antes, la tramitación y resolución en forma de Sentencia de los recursos de amparo que ya en la fase de admisión aparezcan como insusceptibles de estimación” (AATC 272/2009, de 26 de noviembre, FJ 1; 134/2011 a 147/2011, todos ellos de 3 de noviembre, y 9/2012, de 9 de enero, FJ 5).</w:t>
      </w:r>
    </w:p>
    <w:p w:rsidR="00E3576C" w:rsidRDefault="00E3576C" w:rsidP="00E3576C">
      <w:pPr>
        <w:pStyle w:val="TextoNormal"/>
      </w:pPr>
    </w:p>
    <w:p w:rsidR="00E3576C" w:rsidRDefault="00E3576C" w:rsidP="00E3576C">
      <w:pPr>
        <w:pStyle w:val="TextoNormal"/>
      </w:pPr>
      <w:r>
        <w:t xml:space="preserve">Sin perjuicio de lo expuesto y, teniendo en cuenta que el recurrente en amparo calificó la intervención del Tribunal Supremo, en este caso, como lesiva de su derecho a la tutela judicial efectiva, en cuanto que el juzgador se había extralimitado de su función jurisdiccional, invadiendo un ámbito de ejercicio de facultades constitucionalmente legítimo y reconocido al Consejo General del Poder Judicial, ha de señalarse que el órgano judicial no ha </w:t>
      </w:r>
      <w:r>
        <w:lastRenderedPageBreak/>
        <w:t>invadido el ejercicio de las funciones y potestades que la Constitución y las leyes atribuyen al órgano de gobierno de los Jueces y Magistrados, pues de lo que se trata es de un juicio de legalidad ordinaria sobre la aplicación de la norma, para el cual había de considerarse su contenido y alcance. Tampoco se ha incidido en el ámbito de lo que habitualmente se entiende como discrecionalidad técnica de los órganos administrativos calificadores en concursos y oposiciones, ámbito en principio ajeno al control judicial (SSTC 97/1993, de 22 de marzo, FJ 2; 353/1993, de 29 de noviembre, FJ 3; 34/1995, de 6 de febrero, FJ 3; 73/1998, de 31 de marzo, FJ 5; y 86/2004, de 10 de mayo, FJ 3, por todas), por cuanto la intervención del juzgador se ha limitado a realizar un juicio de conformidad entre las condiciones personales del concurrente al turno de acceso (su experiencia profesional) y los requisitos de acceso establecidos por la norma jurídica.</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contra la providencia de 12 de marzo de 2012, dictada por la Sección Cuarta en el recurso de amparo núm. 5151-2011.</w:t>
      </w:r>
    </w:p>
    <w:p w:rsidR="00E3576C" w:rsidRDefault="00E3576C" w:rsidP="00E3576C">
      <w:pPr>
        <w:pStyle w:val="TextoNormal"/>
      </w:pPr>
    </w:p>
    <w:p w:rsidR="00E3576C" w:rsidRDefault="00E3576C" w:rsidP="00E3576C">
      <w:pPr>
        <w:pStyle w:val="TextoNormal"/>
      </w:pPr>
      <w:r>
        <w:t>Madrid, a cuatro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58" w:name="AUTO_2012_117"/>
      <w:r>
        <w:lastRenderedPageBreak/>
        <w:t>AUTO 117/2012, de 4 de junio de 2012</w:t>
      </w:r>
    </w:p>
    <w:bookmarkEnd w:id="258"/>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ECLI:ES:TC:2012:117A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6360-2011, promovido en causa penal.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59" w:name="AUTO_2012_118"/>
      <w:r>
        <w:lastRenderedPageBreak/>
        <w:t>AUTO 118/2012, de 5 de junio de 2012</w:t>
      </w:r>
    </w:p>
    <w:bookmarkEnd w:id="25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ECLI:ES:TC:2012:118A</w:t>
      </w:r>
    </w:p>
    <w:p w:rsidR="00E3576C" w:rsidRDefault="00E3576C" w:rsidP="00E3576C">
      <w:pPr>
        <w:pStyle w:val="SntesisDescriptiva"/>
      </w:pPr>
    </w:p>
    <w:p w:rsidR="00E3576C" w:rsidRDefault="00E3576C" w:rsidP="00E3576C">
      <w:pPr>
        <w:pStyle w:val="SntesisDescriptiva"/>
      </w:pPr>
      <w:r>
        <w:t>Excms. Srs. don Pascual Sala Sánchez,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por desaparición sobrevenida de su objeto, del recurso de inconstitucionalidad 1580-2004, interpuesto por el Parlamento de Navarra en relación con el artículo 1 de la Ley 52/2003, de 10 de diciembre, de disposiciones específicas en materia de Seguridad Social.</w:t>
      </w:r>
    </w:p>
    <w:p w:rsidR="00E3576C" w:rsidRDefault="00E3576C" w:rsidP="00E3576C">
      <w:pPr>
        <w:pStyle w:val="SntesisDescriptiva"/>
      </w:pPr>
    </w:p>
    <w:p w:rsidR="00E3576C" w:rsidRDefault="00E3576C" w:rsidP="00E3576C">
      <w:pPr>
        <w:pStyle w:val="SntesisAnaltica"/>
      </w:pPr>
      <w:r>
        <w:t>Recurso de inconstitucionalidad: pérdida sobrevenida de objeto por modificación de la norma.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registrado en este Tribunal con fecha de 11 de marzo de 2004, doña Nekane Iriarte Amigot, Letrada del Parlamento de Navarra, en nombre y representación del mismo, interpuso recurso de inconstitucionalidad contra el artículo 1, apartados uno y dos, de la Ley 52/2003, de 10 de diciembre, de disposiciones específicas en materia de Seguridad Social, que establece lo siguiente:</w:t>
      </w:r>
    </w:p>
    <w:p w:rsidR="00E3576C" w:rsidRDefault="00E3576C" w:rsidP="00E3576C">
      <w:pPr>
        <w:pStyle w:val="TextoNormal"/>
      </w:pPr>
    </w:p>
    <w:p w:rsidR="00E3576C" w:rsidRDefault="00E3576C" w:rsidP="00E3576C">
      <w:pPr>
        <w:pStyle w:val="TextoNormal"/>
      </w:pPr>
      <w:r>
        <w:t>“Uno. Se modifica el artículo 2 del Texto Refundido de la Ley General de la Seguridad Social, aprobado por el Real Decreto Legislativo 1/1994, de 20 de junio, en los siguientes términos:</w:t>
      </w:r>
    </w:p>
    <w:p w:rsidR="00E3576C" w:rsidRDefault="00E3576C" w:rsidP="00E3576C">
      <w:pPr>
        <w:pStyle w:val="TextoNormal"/>
      </w:pPr>
    </w:p>
    <w:p w:rsidR="00E3576C" w:rsidRDefault="00E3576C" w:rsidP="00E3576C">
      <w:pPr>
        <w:pStyle w:val="TextoNormal"/>
      </w:pPr>
      <w:r>
        <w:t>‘Artículo 2. Principios y fines de la Seguridad Social.</w:t>
      </w:r>
    </w:p>
    <w:p w:rsidR="00E3576C" w:rsidRDefault="00E3576C" w:rsidP="00E3576C">
      <w:pPr>
        <w:pStyle w:val="TextoNormal"/>
      </w:pPr>
    </w:p>
    <w:p w:rsidR="00E3576C" w:rsidRDefault="00E3576C" w:rsidP="00E3576C">
      <w:pPr>
        <w:pStyle w:val="TextoNormal"/>
      </w:pPr>
      <w:r>
        <w:t>1. El sistema de la Seguridad Social, configurado por la acción protectora en sus modalidades contributiva y no contributiva, se fundamenta en los principios de universalidad, unidad, solidaridad e igualdad.</w:t>
      </w:r>
    </w:p>
    <w:p w:rsidR="00E3576C" w:rsidRDefault="00E3576C" w:rsidP="00E3576C">
      <w:pPr>
        <w:pStyle w:val="TextoNormal"/>
      </w:pPr>
    </w:p>
    <w:p w:rsidR="00E3576C" w:rsidRDefault="00E3576C" w:rsidP="00E3576C">
      <w:pPr>
        <w:pStyle w:val="TextoNormal"/>
      </w:pPr>
      <w:r>
        <w:t>2. El Estado, por medio de la Seguridad Social, garantiza a las personas comprendidas en el campo de aplicación de ésta, por cumplir los requisitos exigidos en las modalidades contributiva o no contributiva, así como a los familiares o asimilados que tuvieran a su cargo, la protección adecuada frente a las contingencias y en las situaciones que se contemplan en esta Ley’.</w:t>
      </w:r>
    </w:p>
    <w:p w:rsidR="00E3576C" w:rsidRDefault="00E3576C" w:rsidP="00E3576C">
      <w:pPr>
        <w:pStyle w:val="TextoNormal"/>
      </w:pPr>
    </w:p>
    <w:p w:rsidR="00E3576C" w:rsidRDefault="00E3576C" w:rsidP="00E3576C">
      <w:pPr>
        <w:pStyle w:val="TextoNormal"/>
      </w:pPr>
      <w:r>
        <w:lastRenderedPageBreak/>
        <w:t>Dos. Se introduce un nuevo apartado 4 en el artículo 38 del Texto Refundido de la Ley General de la Seguridad Social, aprobado por el Real Decreto Legislativo 1/1994, de 20 de junio, en los siguientes términos:</w:t>
      </w:r>
    </w:p>
    <w:p w:rsidR="00E3576C" w:rsidRDefault="00E3576C" w:rsidP="00E3576C">
      <w:pPr>
        <w:pStyle w:val="TextoNormal"/>
      </w:pPr>
    </w:p>
    <w:p w:rsidR="00E3576C" w:rsidRDefault="00E3576C" w:rsidP="00E3576C">
      <w:pPr>
        <w:pStyle w:val="TextoNormal"/>
      </w:pPr>
      <w:r>
        <w:t>‘4.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w:t>
      </w:r>
    </w:p>
    <w:p w:rsidR="00E3576C" w:rsidRDefault="00E3576C" w:rsidP="00E3576C">
      <w:pPr>
        <w:pStyle w:val="TextoNormal"/>
      </w:pPr>
    </w:p>
    <w:p w:rsidR="00E3576C" w:rsidRDefault="00E3576C" w:rsidP="00E3576C">
      <w:pPr>
        <w:pStyle w:val="TextoNormal"/>
      </w:pPr>
      <w:r>
        <w:t>El Parlamento de Navarra sostiene en su recurso que la resolución impugnada, al dar nueva redacción al art. 2 del texto refundido de la Ley general de la Seguridad Social, aprobado por el Real Decreto Legislativo 1/1994, de 20 de junio (en adelante, LGSS) e incorporar al art. 38 de ese mismo texto legal un nuevo apartado 4, pretende conseguir un único sistema de protección social igual para todos los individuos con desconocimiento de las competencias que la Constitución Española y los Estatutos de Autonomía atribuyen a las Comunidades Autónomas en materia de “asistencia social”. Se señala que, además, la norma impugnada contraviene la doctrina mantenida en la STC 239/2002, de 11 de diciembre, resolución que examinó la constitucionalidad de determinadas ayudas complementarias a las prestaciones no contributivas de la Seguridad Social aprobadas por la Junta de Andalucía, estableciendo que las Comunidades Autónomas con competencia en materia de “asistencia social” pueden otorgar ayudas de esta naturaleza a colectivos de personas que, aun percibiendo prestaciones asistenciales del sistema de Seguridad Social, se encuentran en situación de necesidad, siempre que con dicho otorgamiento no se produzca una modificación o perturbación de dicho sistema o de su régimen económico. En definitiva, se entiende que la modificación legal operada por el precepto impugnado pretende corregir esa doctrina, impidiendo que las Comunidades Autónomas, en concreto la Comunidad Foral de Navarra, puedan establecer prestaciones complementarias a las previstas en el sistema de Seguridad Social, y concluyen que, de admitirse lo dispuesto en el precepto impugnado, el Estado reduciría las competencias de las Comunidades Autónomas en materia de “asistencia social” a competencias meramente técnicas.</w:t>
      </w:r>
    </w:p>
    <w:p w:rsidR="00E3576C" w:rsidRDefault="00E3576C" w:rsidP="00E3576C">
      <w:pPr>
        <w:pStyle w:val="TextoNormal"/>
      </w:pPr>
    </w:p>
    <w:p w:rsidR="00E3576C" w:rsidRDefault="00E3576C" w:rsidP="00E3576C">
      <w:pPr>
        <w:pStyle w:val="TextoNormal"/>
      </w:pPr>
      <w:r w:rsidRPr="00E3576C">
        <w:rPr>
          <w:rStyle w:val="NumeroAFNegritaCaracter"/>
        </w:rPr>
        <w:t>2</w:t>
      </w:r>
      <w:r>
        <w:t>. Por providencia de 13 de abril de 2004 de la Sección Segunda de este Tribunal, se acordó admitir a trámite el recurso de inconstitucionalidad promovido por el Parlamento de Navarra, dando traslado del mismo y de los documentos que le acompañan, conforme establece el art. 34 de la Ley Orgánica del Tribunal Constitucional (LOTC), al Congreso de los Diputados y al Senado, así como al Gobierno, al objeto de que, en el plazo de quince días, pudiesen personarse en el proceso y formular alegaciones. Asimismo, se acordó publicar la incoación del recurso en el “Boletín Oficial del Estado”.</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escrito registrado en este Tribunal con fecha de 27 de abril de 2004, el Abogado del Estado, en la representación que ostenta, se persona en el proceso y efectúa alegaciones solicitando la desestimación del recurso, al entender que las normas impugnadas no afectan a la libertad de las Comunidades Autónomas de ejercer su competencia sobre “asistencia social”, pudiendo orientar su gasto a prestaciones nuevas o distintas, en todo caso ajenas al sistema de Seguridad Social y dentro de los límites establecidos por el Tribunal Constitucional.</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4</w:t>
      </w:r>
      <w:r>
        <w:t>. Mediante escrito registrado en este Tribunal con fecha de 28 de abril de 2004, el Presidente del Senado comunica que esa Cámara se persona en el procedimiento y ofrece su colaboración a los efectos del art. 88.1 LOTC.</w:t>
      </w:r>
    </w:p>
    <w:p w:rsidR="00E3576C" w:rsidRDefault="00E3576C" w:rsidP="00E3576C">
      <w:pPr>
        <w:pStyle w:val="TextoNormal"/>
      </w:pPr>
    </w:p>
    <w:p w:rsidR="00E3576C" w:rsidRDefault="00E3576C" w:rsidP="00E3576C">
      <w:pPr>
        <w:pStyle w:val="TextoNormal"/>
      </w:pPr>
      <w:r w:rsidRPr="00E3576C">
        <w:rPr>
          <w:rStyle w:val="NumeroAFNegritaCaracter"/>
        </w:rPr>
        <w:t>5</w:t>
      </w:r>
      <w:r>
        <w:t>. Mediante escrito registrado en este Tribunal con fecha de 30 de abril de 2004, el Presidente del Congreso de los Diputados comunica que no se personará en el procedimiento ni formulará alegaciones.</w:t>
      </w:r>
    </w:p>
    <w:p w:rsidR="00E3576C" w:rsidRDefault="00E3576C" w:rsidP="00E3576C">
      <w:pPr>
        <w:pStyle w:val="TextoNormal"/>
      </w:pPr>
    </w:p>
    <w:p w:rsidR="00E3576C" w:rsidRDefault="00E3576C" w:rsidP="00E3576C">
      <w:pPr>
        <w:pStyle w:val="TextoNormal"/>
      </w:pPr>
      <w:r w:rsidRPr="00E3576C">
        <w:rPr>
          <w:rStyle w:val="NumeroAFNegritaCaracter"/>
        </w:rPr>
        <w:t>6</w:t>
      </w:r>
      <w:r>
        <w:t>. Por providencia de 17 de abril de 2012 del Pleno de este Tribunal, se acordó oír a las partes personadas por término de diez días para que pudieran alegar, conforme a lo dispuesto en el art. 84 LOTC, sobre la incidencia que en la eventual pérdida de objeto del recurso de inconstitucionalidad pudiera tener la Ley 4/2005, de 22 de abril, sobre efectos en las pensiones no contributivas de los complementos otorgados por las Comunidades Autónomas.</w:t>
      </w:r>
    </w:p>
    <w:p w:rsidR="00E3576C" w:rsidRDefault="00E3576C" w:rsidP="00E3576C">
      <w:pPr>
        <w:pStyle w:val="TextoNormal"/>
      </w:pPr>
    </w:p>
    <w:p w:rsidR="00E3576C" w:rsidRDefault="00E3576C" w:rsidP="00E3576C">
      <w:pPr>
        <w:pStyle w:val="TextoNormal"/>
      </w:pPr>
      <w:r w:rsidRPr="00E3576C">
        <w:rPr>
          <w:rStyle w:val="NumeroAFNegritaCaracter"/>
        </w:rPr>
        <w:t>7</w:t>
      </w:r>
      <w:r>
        <w:t>. Mediante escrito registrado en este Tribunal con fecha de 4 de mayo de 2012, el Abogado del Estado evacúa el trámite de alegaciones conferido, solicitando que este Tribunal declare la pérdida de objeto del recurso de inconstitucionalidad planteado. En este sentido, señala que la controversia competencial discutida en este recurso dejó de pervivir con la nueva redacción que al art. 38.4 LGSS dio la Ley 4/2005, de 22 de abril, sobre efectos en las pensiones no contributivas de los complementos otorgados por las Comunidades Autónomas, y, especialmente, con la adición a este precepto de un párrafo segundo mediante el que queda perfectamente respetada y preservada la competencia de la Comunidad Autónoma para establecer y pagar prestaciones económicas con finalidad asistencial o complementaria de otros regímenes públicos de protección o previsión social, incluido el sistema de Seguridad Social, tal y como ya ha tenido la oportunidad de declarar el Tribunal Constitucional en su ATC 49/2012, de 13 marzo, con relación al recurso de inconstitucionalidad planteado por el Parlamento de Cataluña frente al art. 1, dos, de la Ley 52/2003, de 10 de diciembre, de disposiciones específicas en materia de Seguridad Social.</w:t>
      </w:r>
    </w:p>
    <w:p w:rsidR="00E3576C" w:rsidRDefault="00E3576C" w:rsidP="00E3576C">
      <w:pPr>
        <w:pStyle w:val="TextoNormal"/>
      </w:pPr>
    </w:p>
    <w:p w:rsidR="00E3576C" w:rsidRDefault="00E3576C" w:rsidP="00E3576C">
      <w:pPr>
        <w:pStyle w:val="TextoNormal"/>
      </w:pPr>
      <w:r w:rsidRPr="00E3576C">
        <w:rPr>
          <w:rStyle w:val="NumeroAFNegritaCaracter"/>
        </w:rPr>
        <w:t>8</w:t>
      </w:r>
      <w:r>
        <w:t>. Mediante escrito registrado en este Tribunal con fecha de 16 de mayo de 2012, el Parlamento de Navarra solicita que se acuerde la terminación del proceso iniciado por el recurso de inconstitucionalidad núm. 1580-2004 por desaparición de su objeto, como consecuencia de la aprobación de la Ley 4/2005, de 25 de abril, sobre efectos en las pensiones no contributivas de los complementos de pensión otorgados por las Comunidades Autónomas, al haber modificado el apartado 4 del art. 38 LGSS en la redacción dada por la Ley 52/2003, de 10 de diciembre, de disposiciones específicas en materia de Seguridad Social.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xml:space="preserve">. Como ha quedado expuesto en los antecedentes de esta resolución, el Parlamento de Navarra formula el presente recurso de inconstitucionalidad contra el artículo 1, apartados uno y dos, de la Ley 52/2003, de 10 de diciembre, de disposiciones específicas en materia de Seguridad Social. El citado precepto, de un lado, modificó el art. 2 del texto refundido de la Ley general de la Seguridad Social, aprobado por el Real Decreto Legislativo 1/1994, de 20 de junio (LGSS), en el sentido de someter la acción protectora del sistema de la Seguridad Social, tanto en su modalidad contributiva como no contributiva, a los principios </w:t>
      </w:r>
      <w:r>
        <w:lastRenderedPageBreak/>
        <w:t>de universalidad, unidad, solidaridad e igualdad; de otro lado, añadió un nuevo apartado 4 al art. 38 de la citada Ley general de la Seguridad Social, en el que se declara que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w:t>
      </w:r>
    </w:p>
    <w:p w:rsidR="00E3576C" w:rsidRDefault="00E3576C" w:rsidP="00E3576C">
      <w:pPr>
        <w:pStyle w:val="TextoNormal"/>
      </w:pPr>
    </w:p>
    <w:p w:rsidR="00E3576C" w:rsidRDefault="00E3576C" w:rsidP="00E3576C">
      <w:pPr>
        <w:pStyle w:val="TextoNormal"/>
      </w:pPr>
      <w:r>
        <w:t>El Parlamento de Navarra considera que con tales previsiones normativas se invaden las competencias que la Constitución y los Estatutos de Autonomía reconocen a las Comunidades Autónomas en materia de “asistencia social”, al impedirles otorgar ayudas de tipo asistencial que complementen las pensiones de la Seguridad Social, en clara contravención a la doctrina constitucional contenida en la STC 239/2002, de 11 de diciembre. El Abogado del Estado, por su parte, rechaza la inconstitucionalidad de las normas impugnadas por entender que no suponen menoscabo alguno de las competencias que pueden asumir las Comunidades Autónomas en función del art. 148.1.20 CE en materia de “asistencia social”, en tanto que estas últimas pueden ejercerla siempre que orienten su gasto a prestaciones nuevas y distintas de las cubiertas por el sistema de Seguridad Social, es decir, cuando las dirijan a colectivos que no tengan cubiertas sus necesidades mínimas por las prestaciones del citado sistema.</w:t>
      </w:r>
    </w:p>
    <w:p w:rsidR="00E3576C" w:rsidRDefault="00E3576C" w:rsidP="00E3576C">
      <w:pPr>
        <w:pStyle w:val="TextoNormal"/>
      </w:pPr>
    </w:p>
    <w:p w:rsidR="00E3576C" w:rsidRDefault="00E3576C" w:rsidP="00E3576C">
      <w:pPr>
        <w:pStyle w:val="TextoNormal"/>
      </w:pPr>
      <w:r>
        <w:t>Con posterioridad al planteamiento de este recurso, la Ley 4/2005, de 22 de abril, sobre efectos en las pensiones no contributivas de los complementos otorgados por las Comunidades Autónomas, modificó el apartado 4 del art. 38 LGSS, con el objeto, según su exposición de motivos, “de reconducir esta situación en los términos de la doctrina constitucional, garantizando a las Comunidades Autónomas el pleno ejercicio de sus competencias para determinar complementos de las pensiones no contributivas, cuando así lo acuerden sus respectivos parlamentos y, al mismo tiempo, posibilitar que estos complementos no minoren la cuantía de las pensiones no contributivas, de modo que se mejoren, de forma efectiva, las condiciones de vida de los pensionistas”. Con tal finalidad, se suprime del precepto la referencia que se hacía en él a las prestaciones en su modalidad no contributiva, quedando su redacción del siguiente modo: “Cualquier prestación de carácter público que tenga como finalidad complementar, ampliar o modificar las prestaciones de la Seguridad Social, en su modalidad contributiva, forma parte del sistema de la Seguridad Social y está sujeto a los principios regulados en el artículo 2 de esta Ley”. Se añade, además, un nuevo párrafo del siguiente tenor: “Lo previsto en el párrafo anterior se entiende sin perjuicio de las ayudas de otra naturaleza que, en el ejercicio de sus competencias, puedan establecer las Comunidades Autónomas en beneficio de los pensionistas residentes en ellas”.</w:t>
      </w:r>
    </w:p>
    <w:p w:rsidR="00E3576C" w:rsidRDefault="00E3576C" w:rsidP="00E3576C">
      <w:pPr>
        <w:pStyle w:val="TextoNormal"/>
      </w:pPr>
    </w:p>
    <w:p w:rsidR="00E3576C" w:rsidRDefault="00E3576C" w:rsidP="00E3576C">
      <w:pPr>
        <w:pStyle w:val="TextoNormal"/>
      </w:pPr>
      <w:r w:rsidRPr="00E3576C">
        <w:rPr>
          <w:rStyle w:val="NumeroAFNegritaCaracter"/>
        </w:rPr>
        <w:t>2</w:t>
      </w:r>
      <w:r>
        <w:t>. A la vista de la referida modificación legislativa, el Tribunal acordó abrir trámite de audiencia a las partes conforme al art. 84 de la Ley Orgánica del Tribunal Constitucional para que pudieran alegar sobre la incidencia que tal reforma pudiera tener en la pervivencia del presente recurso de inconstitucionalidad, dado que la controversia competencial planteada giraba en torno a la imposibilidad de las Comunidades Autónomas de complementar prestaciones no contributivas de la Seguridad Social.</w:t>
      </w:r>
    </w:p>
    <w:p w:rsidR="00E3576C" w:rsidRDefault="00E3576C" w:rsidP="00E3576C">
      <w:pPr>
        <w:pStyle w:val="TextoNormal"/>
      </w:pPr>
    </w:p>
    <w:p w:rsidR="00E3576C" w:rsidRDefault="00E3576C" w:rsidP="00E3576C">
      <w:pPr>
        <w:pStyle w:val="TextoNormal"/>
      </w:pPr>
      <w:r>
        <w:t xml:space="preserve">Como ha quedado recogido en los antecedentes, tanto la representación procesal del Parlamento de Navarra, como el Abogado del Estado en nombre del Gobierno, han solicitado que se declare la pérdida sobrevenida del objeto de este recurso de inconstitucionalidad. Y, </w:t>
      </w:r>
      <w:r>
        <w:lastRenderedPageBreak/>
        <w:t>efectivamente, como hemos tenido la oportunidad de declarar recientemente en el ATC 49/2012, de 13 de marzo (con relación al recurso de inconstitucionalidad planteado por el Parlamento de Cataluña frente al art. 1, dos, de la citada Ley 52/2003, de 10 de diciembre), hay que apreciar que la modificación legislativa realizada por la Ley 4/2005, de 22 de abril, en el apartado 4 del art. 38 LGSS, supone la pérdida de objeto de este recurso al permitir el ejercicio de las competencias en materia de asistencial social que la Comunidad Foral de Navarra tiene atribuidas, sin que, en consecuencia, perviva la controversia competencial denunciada en el recurso. Además, puesto que el apartado uno, del art. 1 de la Ley 52/2003, se impugnó debido a la remisión que a él se realiza en el apartado dos, de ese mismo artículo, debe apreciarse la pérdida sobrevenida del objeto del recurso de inconstitucionalidad respecto de ambos apartados.</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la extinción del recurso de inconstitucionalidad 1580-2004 por desaparición sobrevenida de su objeto.</w:t>
      </w:r>
    </w:p>
    <w:p w:rsidR="00E3576C" w:rsidRDefault="00E3576C" w:rsidP="00E3576C">
      <w:pPr>
        <w:pStyle w:val="TextoNormal"/>
      </w:pPr>
    </w:p>
    <w:p w:rsidR="00E3576C" w:rsidRDefault="00E3576C" w:rsidP="00E3576C">
      <w:pPr>
        <w:pStyle w:val="TextoNormal"/>
      </w:pPr>
      <w:r>
        <w:t>Madrid, a cinco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0" w:name="AUTO_2012_119"/>
      <w:r>
        <w:lastRenderedPageBreak/>
        <w:t>AUTO 119/2012, de 5 de junio de 2012</w:t>
      </w:r>
    </w:p>
    <w:bookmarkEnd w:id="260"/>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ECLI:ES:TC:2012:119A</w:t>
      </w:r>
    </w:p>
    <w:p w:rsidR="00E3576C" w:rsidRDefault="00E3576C" w:rsidP="00E3576C">
      <w:pPr>
        <w:pStyle w:val="SntesisDescriptiva"/>
      </w:pPr>
    </w:p>
    <w:p w:rsidR="00E3576C" w:rsidRDefault="00E3576C" w:rsidP="00E3576C">
      <w:pPr>
        <w:pStyle w:val="SntesisDescriptiva"/>
      </w:pPr>
      <w:r>
        <w:t>Excms. Srs. don Pascual Sala Sánchez,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6664-2011, planteada por el Tribunal Militar Territorial Primero en relación con el artículo 454 de la Ley Orgánica 2/1989, de 13 de abril, procesal militar.</w:t>
      </w:r>
    </w:p>
    <w:p w:rsidR="00E3576C" w:rsidRDefault="00E3576C" w:rsidP="00E3576C">
      <w:pPr>
        <w:pStyle w:val="SntesisDescriptiva"/>
      </w:pPr>
    </w:p>
    <w:p w:rsidR="00E3576C" w:rsidRDefault="00E3576C" w:rsidP="00E3576C">
      <w:pPr>
        <w:pStyle w:val="SntesisAnaltica"/>
      </w:pPr>
      <w:r>
        <w:t>Costas procesales: criterios para la fijación de costas procesales. Cuestión de inconstitucionalidad: planteamiento en fase de ejecución de resoluciones judiciales. Inadmisión de cuestión de inconstitucionalidad: cuestión de inconstitucionalidad notoriamente infundada; juicio de relevancia inconsistente. Indemnización: cuantificación de la indemnización.</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día 7 de diciembre de 2011 tuvo entrada en el Registro General de este Tribunal un oficio del Tribunal Militar Territorial Primero al que se acompaña, junto con el testimonio del correspondiente procedimiento, el Auto de fecha 31 de octubre de 2011, en el que se plantea cuestión de constitucionalidad en relación con el art. 454 de la Ley Orgánica 2/1989, de 13 de abril, procesal militar, por posible vulneración del art. 14 CE.</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de los que trae causa la presente cuestión de inconstitucionalidad son, en síntesis, los siguientes:</w:t>
      </w:r>
    </w:p>
    <w:p w:rsidR="00E3576C" w:rsidRDefault="00E3576C" w:rsidP="00E3576C">
      <w:pPr>
        <w:pStyle w:val="TextoNormal"/>
      </w:pPr>
    </w:p>
    <w:p w:rsidR="00E3576C" w:rsidRDefault="00E3576C" w:rsidP="00E3576C">
      <w:pPr>
        <w:pStyle w:val="TextoNormal"/>
      </w:pPr>
      <w:r>
        <w:t>a) Mediante Sentencia de 27 de abril de 2011, el Tribunal Militar Territorial Primero declaró vulnerados los derechos a la defensa y a la legalidad de un militar del Ejército del Aire, declarando igualmente su derecho a ser indemnizado por los daños y perjuicios sufridos como consecuencia de la sanción anulada [en aplicación de los arts. 469 y 495 b) de la Ley procesal militar], en la cuantía que se determinase en el trámite de ejecución de Sentencia.</w:t>
      </w:r>
    </w:p>
    <w:p w:rsidR="00E3576C" w:rsidRDefault="00E3576C" w:rsidP="00E3576C">
      <w:pPr>
        <w:pStyle w:val="TextoNormal"/>
      </w:pPr>
    </w:p>
    <w:p w:rsidR="00E3576C" w:rsidRDefault="00E3576C" w:rsidP="00E3576C">
      <w:pPr>
        <w:pStyle w:val="TextoNormal"/>
      </w:pPr>
      <w:r>
        <w:t xml:space="preserve">b) Una vez declarada firme dicha Sentencia (por Auto de 30 de mayo de 2011), la parte afectada solicitó su ejecución y, en consecuencia, que se declarase su derecho a ser indemnizado en la cuantía de 13.100 euros. Concretamente, solicitó 11.200 euros por los catorce días de privación de libertad y los consiguientes daños profesionales y morales; y la cantidad </w:t>
      </w:r>
      <w:r>
        <w:lastRenderedPageBreak/>
        <w:t>de 1.900 euros por los honorarios profesionales satisfechos a su Abogado, pidiendo expresamente “que se valoren estos gastos no como costas, sino como daños y perjuicios patrimoniales”.</w:t>
      </w:r>
    </w:p>
    <w:p w:rsidR="00E3576C" w:rsidRDefault="00E3576C" w:rsidP="00E3576C">
      <w:pPr>
        <w:pStyle w:val="TextoNormal"/>
      </w:pPr>
    </w:p>
    <w:p w:rsidR="00E3576C" w:rsidRDefault="00E3576C" w:rsidP="00E3576C">
      <w:pPr>
        <w:pStyle w:val="TextoNormal"/>
      </w:pPr>
      <w:r>
        <w:t>c) El Fiscal Jurídico Militar entendió que los gastos de representación y defensa técnica no constituyen un daño o perjuicio sino que se integran en el concepto de condena en costas, que no cabe en el procedimiento contencioso-disciplinario militar (ex art. 454 de la Ley procesal militar). Por ello, considera que el único de los conceptos que podría integrarse dentro de la indemnización sería el de los daños morales sufridos por los catorce días de arresto, que fija en 60 euros por cada día de arresto sufrido, lo que suma 840 euros. Por su parte, el Abogado del Estado, en la representación y defensa que ostenta, también considera que la indemnización debe valorarse en 60 euros por día de arresto, fijando la cantidad de 865,20 euros (por el incremento del IPC de 2010); y en cuanto al abono de los gastos de representación y defensa técnica, coincide con el Fiscal en que, de conformidad con el art. 454 de la Ley Orgánica 2/1989, de 13 abril, procesal militar, “el procedimiento contencioso-disciplinario militar será gratuito y en él no podrá condenarse en costas ni exigir depósitos”, por lo que no procede su abono por parte del Ministerio de Defensa.</w:t>
      </w:r>
    </w:p>
    <w:p w:rsidR="00E3576C" w:rsidRDefault="00E3576C" w:rsidP="00E3576C">
      <w:pPr>
        <w:pStyle w:val="TextoNormal"/>
      </w:pPr>
    </w:p>
    <w:p w:rsidR="00E3576C" w:rsidRDefault="00E3576C" w:rsidP="00E3576C">
      <w:pPr>
        <w:pStyle w:val="TextoNormal"/>
      </w:pPr>
      <w:r>
        <w:t>d) Una vez recibidos los escritos de alegaciones del Fiscal Jurídico Militar y del Abogado del Estado, el Tribunal Militar Territorial Primero, por Auto de 5 de septiembre de 2011, expone que son dos los títulos en los que se pretende fundar la indemnización reclamada: el primero es el daño moral, exento de prueba; el segundo, “tiene que ver con los gastos que ha debido afrontar (el demandante) al ser asistido por letrado y procurador”. En cuanto al primero de los títulos, razona que procede indemnizar los daños morales en 1.680 euros. En cuanto al segundo, sin pronunciamiento sobre su prueba, el Tribunal Militar pone en duda la constitucionalidad del art. 454 de la Ley Orgánica 2/1989, de 13 abril, procesal militar, al entender que la prohibición de la condena en costas en el proceso contencioso-disciplinario militar supone un tratamiento diferenciado no razonable en comparación con el art. 139.1 de la Ley reguladora de la jurisdicción contencioso-administrativa (LJCA). Una vez expuestos los razonamientos jurídicos que se acaban de relatar, el Auto acuerda en su parte dispositiva “ejecutar nuestra Sentencia de 27 de abril de 2011, a cuyo fin por el Sr. Secretario Relator se notificará el presente a las partes y a la Sección de Pagadurías del Ministerio de Defensa, para que proceda a indemnizar al interesado en la cuantía de 1680 euros”.</w:t>
      </w:r>
    </w:p>
    <w:p w:rsidR="00E3576C" w:rsidRDefault="00E3576C" w:rsidP="00E3576C">
      <w:pPr>
        <w:pStyle w:val="TextoNormal"/>
      </w:pPr>
    </w:p>
    <w:p w:rsidR="00E3576C" w:rsidRDefault="00E3576C" w:rsidP="00E3576C">
      <w:pPr>
        <w:pStyle w:val="TextoNormal"/>
      </w:pPr>
      <w:r>
        <w:t>e) Ese mismo día, por providencia de 5 de septiembre de 2011, el Tribunal Militar Territorial Primero insiste en los argumentos expuestos en el Auto citado y declara que no se aprecia razón suficiente que funde la disparidad que se constata entre el art. 454 de la Ley procesal militar, que excluye la condena en costas en el contencioso-disciplinario militar, y el art. 139 LJCA, por lo que entiende que tal disparidad pudiera ser contraria al art. 14 CE, por lo que abre el trámite previsto en el art. 35 de la Ley Orgánica del Tribunal Constitucional (LOTC), dando traslado a las partes y al Ministerio Fiscal Jurídico Militar. Tanto el Fiscal como la Abogacía del Estado no consideraron pertinente el planteamiento de la cuestión de inconstitucionalidad, al entender que la diferente ordenación de la condena en costas que se recoge en las dos jurisdicciones mencionadas está justificada, en atención a la especialidad de la jurisdicción militar. El militar reclamante estuvo conforme con el planteamiento de la cuestión de inconstitucionalidad porque, a su juicio, la imposición a la Administración militar de las costas procesales implicaría la reparación integral del daño sufrido.</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Mediante Auto de 31 de octubre de 2011, el Tribunal Militar Territorial Primero eleva cuestión de inconstitucionalidad, al entender que el art. 454 de la Ley procesal militar podría vulnerar el art. 14 CE. El Tribunal Militar pone en duda la constitucionalidad del precepto, toda vez que, al prohibir la condena en costas en el proceso contencioso-disciplinario militar, supone un tratamiento diferenciado, no razonable, con respecto al art. 139.1 LJCA, que dispone en su primer apartado: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 juicio del Tribunal Militar, tal duda de constitucionalidad ha de resolverse para fijar la indemnización solicitada por la parte demandante.</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Tercera de este Tribunal, de fecha 13 de marzo de 2012, se acordó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El Fiscal General del Estado presentó su escrito de alegaciones proponiendo la inadmisión a trámite de la cuestión de inconstitucionalidad por falta de condiciones procesales para su adecuado planteamiento, así como por considerarla notoriamente infundada.</w:t>
      </w:r>
    </w:p>
    <w:p w:rsidR="00E3576C" w:rsidRDefault="00E3576C" w:rsidP="00E3576C">
      <w:pPr>
        <w:pStyle w:val="TextoNormal"/>
      </w:pPr>
    </w:p>
    <w:p w:rsidR="00E3576C" w:rsidRDefault="00E3576C" w:rsidP="00E3576C">
      <w:pPr>
        <w:pStyle w:val="TextoNormal"/>
      </w:pPr>
      <w:r>
        <w:t>Tras recoger los antecedentes de hecho de la cuestión planteada y hacer mención del contenido del Auto de planteamiento, el Ministerio Fiscal examina la concurrencia de posibles óbices procesales y, en este sentido, entiende que no existiendo pronunciamiento sobre costas en la Sentencia de 27 de abril de 2011 del Tribunal Militar Territorial Primero, resulta de todo punto imposible, en fase de ejecución de la misma, hacer efectiva una determinación no adoptada en ella. Asimismo, sostiene que los honorarios de Letrado, en cuanto costas procesales, no pueden integrarse en modo alguno en el concepto de daños y perjuicios sufridos, razones por las que interesa que se inadmita la cuestión de inconstitucionalidad planteada, toda vez que el art. 454 de la Ley procesal militar no constituye norma aplicable al caso, ni norma de cuya validez dependa el fallo.</w:t>
      </w:r>
    </w:p>
    <w:p w:rsidR="00E3576C" w:rsidRDefault="00E3576C" w:rsidP="00E3576C">
      <w:pPr>
        <w:pStyle w:val="TextoNormal"/>
      </w:pPr>
    </w:p>
    <w:p w:rsidR="00E3576C" w:rsidRDefault="00E3576C" w:rsidP="00E3576C">
      <w:pPr>
        <w:pStyle w:val="TextoNormal"/>
      </w:pPr>
      <w:r>
        <w:t>El Fiscal General del Estado también pone de relieve que la cuestión de inconstitucionalidad carece notoriamente de fundamento toda vez que la especialidad de la jurisdicción militar deriva de la organización jerarquizada propia de las Fuerzas Armadas y de la relevancia que la disciplina y las peculiaridades de la función militar poseen en la organización y funcionamiento de los ejércitos, lo que justificaría la opción del legislador por la supresión de la condena en costas, con la finalidad de eliminar cualquier posible impedimento disuasorio del ejercicio de acciones y recursos ante los correspondientes Tribunales de dicha jurisdicción especializada. Argumentos que justifican la diferencia existente entre la Ley procesal militar y la Ley reguladora de la jurisdicción contencioso-administrativa en lo que a imposición de costas se refiere.</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Según se ha expuesto con mayor detalle en los antecedentes de esta resolución, la presente cuestión de inconstitucionalidad se plantea por el Tribunal Militar Territorial Primero en relación con el art. 454 de la Ley Orgánica 2/1989, de 13 de abril, procesal militar, por posible vulneración del art. 14 CE, a la vista de que el art. 139 de la Ley 29/1998, de 13 julio, reguladora de la jurisdicción contencioso-administrativa (LJCA), no contiene previsión análoga. Concretamente, el órgano judicial argumenta que “el art. 454 de la Ley Procesal Militar, al excluir taxativamente la condena en costas, frente a lo que previene para el orden contencioso-administrativo el art. 139.1 de su ley reguladora, puede constituir un tratamiento diferenciado no razonable, vulnerador por tanto del art. 14 de la Constitución”.</w:t>
      </w:r>
    </w:p>
    <w:p w:rsidR="00E3576C" w:rsidRDefault="00E3576C" w:rsidP="00E3576C">
      <w:pPr>
        <w:pStyle w:val="TextoNormal"/>
      </w:pPr>
    </w:p>
    <w:p w:rsidR="00E3576C" w:rsidRDefault="00E3576C" w:rsidP="00E3576C">
      <w:pPr>
        <w:pStyle w:val="TextoNormal"/>
      </w:pPr>
      <w:r>
        <w:t>El Fiscal General del Estado, como se ha dejado constancia en los antecedentes, se opone a la admisión a trámite de la cuestión de inconstitucionalidad por entender incumplidas las condiciones procesales requeridas para su planteamiento, ya que considera que no concurre el denominado juicio de aplicabilidad o de relevancia, así como por estimarla notoriamente infundada (art. 37.1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2</w:t>
      </w:r>
      <w:r>
        <w:t>. El planteamiento de la cuestión de inconstitucionalidad tiene su origen en la solicitud que formula el militar reclamante de la indemnización de que, con el objeto de fijar la cuantía de la misma como consecuencia de la anulación de la sanción sufrida, también se tengan en cuenta los gastos que ha debido afrontar al ser asistido por Abogado y Procurador, pretensión que, a juicio del Tribunal Militar no es posible atender, dado que el art. 454 de la Ley Orgánica 2/1989, de 13 abril, procesal militar, dispone que “el procedimiento contencioso-disciplinario militar será gratuito y en él no podrá condenarse en costas ni exigir depósitos”. Por el contrario, tal y como también señala el Tribunal Militar Primero, el art. 139 LJCA, recoge, en su primer apartado, que “en primera o única instancia, el órgano jurisdiccional, al dictar sentencia o al resolver por auto los recursos o incidentes que ante el mismo se promovieren, impondrá las costas a la parte que haya visto rechazadas todas sus pretensiones, salvo que aprecie y así lo razone, que el caso presentaba serias dudas de hecho o de derecho” añadiendo, en el segundo párrafo de este mismo apartado, que “en los supuestos de estimación o desestimación parcial de las pretensiones, cada parte abonará las costas causadas a su instancia y las comunes por mitad, salvo que el órgano jurisdiccional, razonándolo debidamente, las imponga a una de ellas por haber sostenido su acción o interpuesto el recurso con mala fe o temeridad”. Asimismo, en el segundo apartado del citado art. 139 LJCA se contempla, en relación con las costas, que “en las demás instancias o grados se impondrán al recurrente si se desestima totalmente el recurso, salvo que el órgano jurisdiccional, razonándolo debidamente, aprecie la concurrencia de circunstancias que justifiquen su no imposición”.</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De acuerdo con el art. 37.1 LOTC, este Tribunal puede rechazar en trámite de admisión y mediante Auto, sin otra audiencia que la del Fiscal General del Estado, la cuestión de inconstitucionalidad cuando faltaren las condiciones procesales o fuere notoriamente infundada la cuestión suscitada. Pues bien, la presente cuestión de inconstitucionalidad debe ser inadmitida tanto por falta de cumplimiento de algunos de los requisitos procesales que establece el art. 35.2 LOTC como por ser notoriamente infundada, en el bien entendido de que esta expresión no es entendida por este Tribunal como un juicio peyorativo sobre la duda </w:t>
      </w:r>
      <w:r>
        <w:lastRenderedPageBreak/>
        <w:t>de constitucionalidad que traslada el órgano judicial, pues lo que la expresión legal encierra es un cierto grado de indefinición que se traduce procesalmente en otorgar a este Tribunal un margen de apreciación, ya que existen supuestos en los que un examen preliminar permite conocer la falta de viabilidad de la cuestión suscitada, máxime si su admisión pudiera provocar efectos no deseables como la paralización de los procesos en los que resulte aplicable la norma cuestionada, tal y como puso de manifiesto el ATC 259/1995, de 26 de septiembre.</w:t>
      </w:r>
    </w:p>
    <w:p w:rsidR="00E3576C" w:rsidRDefault="00E3576C" w:rsidP="00E3576C">
      <w:pPr>
        <w:pStyle w:val="TextoNormal"/>
      </w:pPr>
    </w:p>
    <w:p w:rsidR="00E3576C" w:rsidRDefault="00E3576C" w:rsidP="00E3576C">
      <w:pPr>
        <w:pStyle w:val="TextoNormal"/>
      </w:pPr>
      <w:r>
        <w:t>Con respecto a los requisitos procesales, el Fiscal General del Estado entiende que no concurre el juicio de aplicabilidad o relevancia, toda vez que no existiendo pronunciamiento sobre costas en la Sentencia de 27 de abril de 2011 del Tribunal Militar Territorial Primero, resulta de todo punto imposible hacerlo en fase de ejecución de Sentencia. Así mismo, sostiene que los honorarios de Letrado, en cuanto costas procesales, no pueden integrarse en modo alguno en el concepto de daños y perjuicios sufridos, razones por las que interesa que se inadmita la cuestión de inconstitucionalidad planteada, pues el art. 454 de la Ley Orgánica procesal militar no constituye norma aplicable al caso.</w:t>
      </w:r>
    </w:p>
    <w:p w:rsidR="00E3576C" w:rsidRDefault="00E3576C" w:rsidP="00E3576C">
      <w:pPr>
        <w:pStyle w:val="TextoNormal"/>
      </w:pPr>
    </w:p>
    <w:p w:rsidR="00E3576C" w:rsidRDefault="00E3576C" w:rsidP="00E3576C">
      <w:pPr>
        <w:pStyle w:val="TextoNormal"/>
      </w:pPr>
      <w:r>
        <w:t>Como acertadamente expone el Ministerio Fiscal, no se encuentra ningún esquema argumental dirigido a probar que la resolución judicial que ha de fijar la cuantía de la indemnización dependa de la validez de la norma cuestionada, relativa a las costas procesales. En este sentido,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w:t>
      </w:r>
    </w:p>
    <w:p w:rsidR="00E3576C" w:rsidRDefault="00E3576C" w:rsidP="00E3576C">
      <w:pPr>
        <w:pStyle w:val="TextoNormal"/>
      </w:pPr>
    </w:p>
    <w:p w:rsidR="00E3576C" w:rsidRDefault="00E3576C" w:rsidP="00E3576C">
      <w:pPr>
        <w:pStyle w:val="TextoNormal"/>
      </w:pPr>
      <w:r>
        <w:t>Pues bien, el Tribunal Militar Territorial Primero no exterioriza el nexo causal entre la validez del precepto legal cuestionado y la decisión a adoptar en el proceso a quo, toda vez que el art. 454 de la Ley procesal militar prohíbe la condena en costas, pero lo que está dirimiendo el Tribunal Militar es la cuantía de la indemnización que le corresponde al recurrente por las lesiones sufridas en sus bienes o sus derechos, de acuerdo con lo previsto en los ya citados arts. 469 y 495 b) de la Ley procesal militar.</w:t>
      </w:r>
    </w:p>
    <w:p w:rsidR="00E3576C" w:rsidRDefault="00E3576C" w:rsidP="00E3576C">
      <w:pPr>
        <w:pStyle w:val="TextoNormal"/>
      </w:pPr>
    </w:p>
    <w:p w:rsidR="00E3576C" w:rsidRDefault="00E3576C" w:rsidP="00E3576C">
      <w:pPr>
        <w:pStyle w:val="TextoNormal"/>
      </w:pPr>
      <w:r>
        <w:t>Así, la cuestión de inconstitucionalidad se plantea por el Tribunal Militar, tras reconocer el derecho del militar reclamante a ser indemnizado y en el momento de proceder a fijar la indemnización de los daños y perjuicios causados al mismo, para lo que consideró que habría de valorar y cuantificar no sólo los daños morales sino también los patrimoniales, entre los que cabría incluir, en su caso, el gasto ocasionado por la contratación de los servicios profesionales de un Abogado, aspecto que nada tiene que ver con la condena en costas a que se refiere el precepto cuestionado (art. 454 de la Ley procesal militar), sino con la indemnización de los daños y perjuicios causados [ex arts. 469 y 495 b) de la misma norma], que es una cuestión diferente de aquélla.</w:t>
      </w:r>
    </w:p>
    <w:p w:rsidR="00E3576C" w:rsidRDefault="00E3576C" w:rsidP="00E3576C">
      <w:pPr>
        <w:pStyle w:val="TextoNormal"/>
      </w:pPr>
    </w:p>
    <w:p w:rsidR="00E3576C" w:rsidRDefault="00E3576C" w:rsidP="00E3576C">
      <w:pPr>
        <w:pStyle w:val="TextoNormal"/>
      </w:pPr>
      <w:r>
        <w:t>En consecuencia, al no encontrarse ningún esquema argumental dirigido a justificar que la decisión judicial que ha de fijar la cuantía de la indemnización dependa de la validez de la norma cuestionada, no puede entenderse cumplido el denominado juicio de relevancia (art. 35.2 LOTC).</w:t>
      </w:r>
    </w:p>
    <w:p w:rsidR="00E3576C" w:rsidRDefault="00E3576C" w:rsidP="00E3576C">
      <w:pPr>
        <w:pStyle w:val="TextoNormal"/>
      </w:pPr>
    </w:p>
    <w:p w:rsidR="00E3576C" w:rsidRDefault="00E3576C" w:rsidP="00E3576C">
      <w:pPr>
        <w:pStyle w:val="TextoNormal"/>
      </w:pPr>
      <w:r w:rsidRPr="00E3576C">
        <w:rPr>
          <w:rStyle w:val="NumeroAFNegritaCaracter"/>
        </w:rPr>
        <w:t>4</w:t>
      </w:r>
      <w:r>
        <w:t>. Por otro lado, el órgano judicial no plantea la cuestión de inconstitucionalidad una vez concluso el procedimiento y dentro del plazo para dictar la resolución jurisdiccional procedente, tal y como dispone el art. 35.2 LOTC. Así, el Auto de 5 de septiembre de 2011 del Tribunal Militar Territorial Primero ejecuta la Sentencia de 27 de abril de 2011, de ese mismo Tribunal, y reconoce el derecho del reclamante a ser indemnizado en la cuantía de 960 euros, dictando así la resolución final del incidente y notificando esta resolución a las partes, haciéndoles saber que contra la misma cabe recurso de casación. Por ello, no resulta pertinente que el Tribunal Militar, habiendo ejecutado ya la Sentencia, se plantee la duda de constitucionalidad respecto del art. 454 de la Ley procesal militar, con la finalidad de determinar otra eventual causa de indemnización, y, además, eleve la cuestión sin haber abierto una fase de prueba que acredite que los gastos forenses se han producido efectivamente.</w:t>
      </w:r>
    </w:p>
    <w:p w:rsidR="00E3576C" w:rsidRDefault="00E3576C" w:rsidP="00E3576C">
      <w:pPr>
        <w:pStyle w:val="TextoNormal"/>
      </w:pPr>
    </w:p>
    <w:p w:rsidR="00E3576C" w:rsidRDefault="00E3576C" w:rsidP="00E3576C">
      <w:pPr>
        <w:pStyle w:val="TextoNormal"/>
      </w:pPr>
      <w:r>
        <w:t>En este sentido, debemos recordar que desde la STC 76/1982, de 14 de diciembre, este Tribunal ha señalado que el término “fallo” del art. 163 CE significa “el pronunciamiento decisivo o imperativo de una resolución judicial”, por lo que ha de ser objeto de una interpretación finalista (STC 110/1993, de 25 de marzo, FJ 2). En el caso presente, y en la línea de lo señalado en al STC 181/2000, de 29 de junio, es en la fase de ejecución de Sentencia cuando, por primera vez, el Tribunal tuvo que proceder a la aplicación de los preceptos legales de cuya constitucionalidad duda pero, lo que no resulta admisible, por contrario a las exigencias previstas en el art. 35.2 LOTC, es que dicha cuestión se eleve una vez que se ha dictado la resolución final del incidente y se ha notificado la resolución a las partes.</w:t>
      </w:r>
    </w:p>
    <w:p w:rsidR="00E3576C" w:rsidRDefault="00E3576C" w:rsidP="00E3576C">
      <w:pPr>
        <w:pStyle w:val="TextoNormal"/>
      </w:pPr>
    </w:p>
    <w:p w:rsidR="00E3576C" w:rsidRDefault="00E3576C" w:rsidP="00E3576C">
      <w:pPr>
        <w:pStyle w:val="TextoNormal"/>
      </w:pPr>
      <w:r w:rsidRPr="00E3576C">
        <w:rPr>
          <w:rStyle w:val="NumeroAFNegritaCaracter"/>
        </w:rPr>
        <w:t>5</w:t>
      </w:r>
      <w:r>
        <w:t>. Sin perjuicio de lo anterior, la cuestión planteada resulta notoriamente infundada en atención a las siguientes razones:</w:t>
      </w:r>
    </w:p>
    <w:p w:rsidR="00E3576C" w:rsidRDefault="00E3576C" w:rsidP="00E3576C">
      <w:pPr>
        <w:pStyle w:val="TextoNormal"/>
      </w:pPr>
    </w:p>
    <w:p w:rsidR="00E3576C" w:rsidRDefault="00E3576C" w:rsidP="00E3576C">
      <w:pPr>
        <w:pStyle w:val="TextoNormal"/>
      </w:pPr>
      <w:r>
        <w:t>a) En primer lugar, es necesario recordar que, de acuerdo con el art. 117.5 CE, “el principio de unidad jurisdiccional es la base de la organización y funcionamiento de los Tribunales”, lo que no resulta incompatible con la existencia de la jurisdicción militar, como jurisdicción especializada, pues tal y como se establece en dicho precepto “la ley regulará el ejercicio de la jurisdicción militar en el ámbito estrictamente castrense y en los supuestos de estado de sitio, de acuerdo con los principios de la Constitución”. A partir del marco que fija el art. 117.5 CE, la jurisdicción militar presenta dos tipos diferenciados de competencias (de un lado, el conocimiento de los ilícitos penales y, de otro, el control jurisdiccional de la potestad administrativa disciplinaria), que dan lugar a dos procedimientos distintos, el penal militar y el procedimiento contencioso disciplinario-militar, respectivamente.</w:t>
      </w:r>
    </w:p>
    <w:p w:rsidR="00E3576C" w:rsidRDefault="00E3576C" w:rsidP="00E3576C">
      <w:pPr>
        <w:pStyle w:val="TextoNormal"/>
      </w:pPr>
    </w:p>
    <w:p w:rsidR="00E3576C" w:rsidRDefault="00E3576C" w:rsidP="00E3576C">
      <w:pPr>
        <w:pStyle w:val="TextoNormal"/>
      </w:pPr>
      <w:r>
        <w:t xml:space="preserve">En consecuencia, el “ámbito estrictamente castrense” al que se refiere nuestra Constitución para diseñar el marco competencial de la jurisdicción militar, como garante del mantenimiento de la disciplina y la eficacia de las Fuerzas Armadas, no abarca sólo el conocimiento de los ilícitos penales tipificados en el Código penal militar, sino que también comprende, como ámbito competencial diverso, el control judicial de la potestad administrativa disciplinaria ejercida en los distintos escalones jerárquicos de la organización militar, siendo en este ámbito en el que debemos situar el art. 454 de la Ley procesal militar, cuya inconstitucionalidad se cuestiona. Por tanto, la presente cuestión de inconstitucionalidad ha de abordarse teniendo en cuenta la especialidad de la jurisdicción militar, toda vez que el procedimiento contencioso-disciplinario militar es el cauce por el que se somete al control de </w:t>
      </w:r>
      <w:r>
        <w:lastRenderedPageBreak/>
        <w:t>los tribunales el ejercicio de la potestad sancionadora en la esfera castrense, para dar cumplimiento al art. 106.1 CE, y que se concreta en la Ley Orgánica 8/1998, de 2 de diciembre, de régimen disciplinario de las Fuerzas Armadas, norma que hay que poner en conexión con el libro IV (dedicado a los procedimientos judiciales militares no penales) de la Ley Orgánica 2/1989, de 13 de abril, procesal militar, en el que se incardina el cuestionado art. 454.</w:t>
      </w:r>
    </w:p>
    <w:p w:rsidR="00E3576C" w:rsidRDefault="00E3576C" w:rsidP="00E3576C">
      <w:pPr>
        <w:pStyle w:val="TextoNormal"/>
      </w:pPr>
    </w:p>
    <w:p w:rsidR="00E3576C" w:rsidRDefault="00E3576C" w:rsidP="00E3576C">
      <w:pPr>
        <w:pStyle w:val="TextoNormal"/>
      </w:pPr>
      <w:r>
        <w:t>b) Por otro lado, la condena en costas es una figura de libre configuración legal y se rige por criterios muy diversos en las distintas leyes que regulan los procesos penales, contencioso-administrativos, laborales y militares. Así, este Tribunal Constitucional ha tenido ocasión de pronunciarse al respecto en múltiples ocasiones, entre las que cabe señalar el Auto 119/2008, de 6 de mayo, que inadmite a trámite una cuestión de inconstitucionalidad, y en cuyo fundamento jurídico 3 se afirma que, “con arreglo a una consolidada jurisprudencia de este Tribunal, de la que son buena muestra las SSTC 131/1986, de 29 de octubre, 206/1987, de 21 de diciembre, y 147/1989, de 21 de septiembre, y los AATC 171/1986, de 19 de febrero, y 24/1993, de 25 de enero, y, más recientemente, las SSTC 170/2002, de 30 de septiembre, y 107/2006, de 3 de abril, y el ATC 259/2003, de 15 de julio, resulta que el art. 24.1 CE no ha incluido dentro de las garantías constitucionales del derecho a la tutela judicial efectiva la condena en costas, que es, en consecuencia, una figura de configuración legal. Lo que de modo congruente significa que el legislador es libre para, en el marco de la Constitución, definir su contenido y los requisitos que han de guiar la imposición judicial de las costas procesales”, afirmación que es completada en el mismo fundamento jurídico cuando el Tribunal insiste en que “la contraprestación o el resarcimiento de los gastos causados en la propia defensa no es un derecho de la parte que vence en juicio y, por tanto, un derecho de contenido patrimonial del vencedor que el legislador no pueda legítimamente limitar, condicionar o, incluso, suprimir en determinados supuestos”.</w:t>
      </w:r>
    </w:p>
    <w:p w:rsidR="00E3576C" w:rsidRDefault="00E3576C" w:rsidP="00E3576C">
      <w:pPr>
        <w:pStyle w:val="TextoNormal"/>
      </w:pPr>
    </w:p>
    <w:p w:rsidR="00E3576C" w:rsidRDefault="00E3576C" w:rsidP="00E3576C">
      <w:pPr>
        <w:pStyle w:val="TextoNormal"/>
      </w:pPr>
      <w:r>
        <w:t>Dicho lo anterior, hay que conectar la exclusión de la condena en costas prevista en el art. 454 de la Ley procesal militar con el art. 10 de la Ley Orgánica 4/1987, de 15 julio, de competencia y organización de la jurisdicción militar, que recoge que “la justicia militar se administrará gratuitamente”, y con el art. 463 de la Ley procesal militar, según el cual “el demandante podrá conferir su representación a un Procurador, valerse tan sólo de Abogado con poder al efecto, o comparecer por sí mismo asistido o no de Abogado”; párrafo que hay que completar con el apartado segundo de este mismo precepto según el cual, “no obstante, para que el demandante pueda interponer y sustanciar los recursos de casación y revisión, será necesario que comparezca asistido y, en su caso, representado por Letrado”. Por todo ello, como ya se ha indicado, la cuestión de inconstitucionalidad que se plantea ha de abordarse desde la especialidad de la jurisdicción militar; en concreto, desde las peculiaridades del derecho procesal militar pues, como recordó la temprana STC 180/1985, de 19 de diciembre (FJ 2), las “peculiaridades del Derecho penal y procesal militar resultan genéricamente, como se declaró en la Sentencia 97/1985, de 29 de julio (FJ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entre otras muchas.</w:t>
      </w:r>
    </w:p>
    <w:p w:rsidR="00E3576C" w:rsidRDefault="00E3576C" w:rsidP="00E3576C">
      <w:pPr>
        <w:pStyle w:val="TextoNormal"/>
      </w:pPr>
    </w:p>
    <w:p w:rsidR="00E3576C" w:rsidRDefault="00E3576C" w:rsidP="00E3576C">
      <w:pPr>
        <w:pStyle w:val="TextoNormal"/>
      </w:pPr>
      <w:r>
        <w:t xml:space="preserve">c) Establecido el marco precedente, resta por abordar la cuestión sustantiva o de fondo que plantea el Tribunal Militar Territorial Primero. En este sentido, hay que tener en cuenta, como ha venido insistiendo este Tribunal, que el presupuesto esencial para proceder a un </w:t>
      </w:r>
      <w:r>
        <w:lastRenderedPageBreak/>
        <w:t>enjuiciamiento desde la perspectiva del art. 14 CE es que “las situaciones subjetivas que quieran traerse a la comparación sean, efectivamente, homogéneas o equiparables, es decir, que el término de comparación no resulte arbitrario o caprichoso” (SSTC 148/1986, de 25 de noviembre, FJ 6; 29/1987, de 6 de marzo, FJ 5; y 1/2001, de 15 de enero, FJ 3, entre otras). Esto es, “lo que se requiere para hacer posible un juicio de igualdad es que el legislador haya atribuido las consecuencias jurídicas que se dicen diversificadoras a grupos o categorías personales creadas por él mismo, porque es entonces, si el autor de la norma diversifica lo homogéneo, cuando puede decirse también que su acción selectiva resulta susceptible de control constitucional dirigido a fiscalizar si la introducción de “factores diferenciales” (STC 42/1986, de 10 de abril) o de “elementos de diferenciación” (STC 162/1985, de 29 de noviembre) resulta o no debidamente fundamentada” (STC 148/1986, de 25 de noviembre, FJ 6).</w:t>
      </w:r>
    </w:p>
    <w:p w:rsidR="00E3576C" w:rsidRDefault="00E3576C" w:rsidP="00E3576C">
      <w:pPr>
        <w:pStyle w:val="TextoNormal"/>
      </w:pPr>
    </w:p>
    <w:p w:rsidR="00E3576C" w:rsidRDefault="00E3576C" w:rsidP="00E3576C">
      <w:pPr>
        <w:pStyle w:val="TextoNormal"/>
      </w:pPr>
      <w:r>
        <w:t>Es más, tiene sentido preguntarse por la constitucionalidad de una diferenciación normativa “cuando la singularización entre categorías personales se realiza en la propia disposición, atribuyendo a las mismas regímenes jurídicos diversos, pues entonces es procedente indagar sobre las razones de la diferenciación y su justificación constitucional, en razón del fin perseguido por la norma y del criterio utilizado por el legislador para introducir diferencias en el seno del grupo sometido a un régimen jurídico común (SSTC 22/1981, de 2 de julio; 34/1981, de 10 de noviembre; y 75/1983, de 2 de agosto)” (ibidem).</w:t>
      </w:r>
    </w:p>
    <w:p w:rsidR="00E3576C" w:rsidRDefault="00E3576C" w:rsidP="00E3576C">
      <w:pPr>
        <w:pStyle w:val="TextoNormal"/>
      </w:pPr>
    </w:p>
    <w:p w:rsidR="00E3576C" w:rsidRDefault="00E3576C" w:rsidP="00E3576C">
      <w:pPr>
        <w:pStyle w:val="TextoNormal"/>
      </w:pPr>
      <w:r>
        <w:t>Sin embargo, la situación es distinta cuando, como en el caso que nos ocupa, nos encontramos ante una previa diferenciación de regímenes jurídicos. No parece adecuado plantear un juicio de igualdad con respecto a la diferente imposición de costas entre las jurisdicciones militar y contencioso-administrativa, pues el legislador ordinario, atendiendo a las peculiaridades propias de la primera, ha diseñado un procedimiento contencioso-disciplinario militar diferente al contencioso-administrativo ordinario, lo que hace que no estemos ante términos de comparación homogéneos.</w:t>
      </w:r>
    </w:p>
    <w:p w:rsidR="00E3576C" w:rsidRDefault="00E3576C" w:rsidP="00E3576C">
      <w:pPr>
        <w:pStyle w:val="TextoNormal"/>
      </w:pPr>
    </w:p>
    <w:p w:rsidR="00E3576C" w:rsidRDefault="00E3576C" w:rsidP="00E3576C">
      <w:pPr>
        <w:pStyle w:val="TextoNormal"/>
      </w:pPr>
      <w:r>
        <w:t>En este sentido, es importante señalar, en la línea seguida por el Ministerio Fiscal, que si bien la exención de condena en costas tiene la desventaja de que la parte vencedora no obtiene la restitución de sus litisexpensas, tiene la clara ventaja de que permite al militar sancionado decidir la impugnación jurisdiccional de la sanción sin el condicionamiento que puede suponer el temor de verse condenado en costas, esto es, de verse obligado a soportar no sólo los gastos invertidos en su propia defensa sino también los de la Administración (lo que puede “actuar en desfavor de quien actúa jurisdiccionalmente”, en la expresión que emplea el ATC 186/2000, de 24 de julio). La condena objetiva en costas puede llegar a ser uno de los “requisitos o consecuencias impeditivos, obstaculizadores, limitativos o disuasorios del ejercicio de las acciones” o “elementos de disuasión insuperables”, tal y como en ocasiones se ha pronunciado la jurisprudencia constitucional.</w:t>
      </w:r>
    </w:p>
    <w:p w:rsidR="00E3576C" w:rsidRDefault="00E3576C" w:rsidP="00E3576C">
      <w:pPr>
        <w:pStyle w:val="TextoNormal"/>
      </w:pPr>
    </w:p>
    <w:p w:rsidR="00E3576C" w:rsidRDefault="00E3576C" w:rsidP="00E3576C">
      <w:pPr>
        <w:pStyle w:val="TextoNormal"/>
      </w:pPr>
      <w:r>
        <w:t>De acuerdo con los argumentos precedentes, no se advierte que el precepto cuestionado incurra en desigualdad lesiva del art. 14 CE, pues no existe término de comparación válido en el que sustentar el juicio sobre la supuesta desigualdad que se invoca.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a trámite la cuestión de inconstitucionalidad núm. 6664-2011, planteada por el Tribunal Militar Territorial Primero.</w:t>
      </w:r>
    </w:p>
    <w:p w:rsidR="00E3576C" w:rsidRDefault="00E3576C" w:rsidP="00E3576C">
      <w:pPr>
        <w:pStyle w:val="TextoNormal"/>
      </w:pPr>
    </w:p>
    <w:p w:rsidR="00E3576C" w:rsidRDefault="00E3576C" w:rsidP="00E3576C">
      <w:pPr>
        <w:pStyle w:val="TextoNormal"/>
      </w:pPr>
      <w:r>
        <w:t>Madrid, a cinco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1" w:name="AUTO_2012_120"/>
      <w:r>
        <w:lastRenderedPageBreak/>
        <w:t>AUTO 120/2012, de 6 de junio de 2012</w:t>
      </w:r>
    </w:p>
    <w:bookmarkEnd w:id="261"/>
    <w:p w:rsidR="00E3576C" w:rsidRDefault="00E3576C" w:rsidP="00E3576C">
      <w:pPr>
        <w:pStyle w:val="TtuloResolucin"/>
      </w:pPr>
      <w:r>
        <w:t>Sección Primera</w:t>
      </w:r>
    </w:p>
    <w:p w:rsidR="00E3576C" w:rsidRDefault="00E3576C" w:rsidP="00E3576C">
      <w:pPr>
        <w:pStyle w:val="TtuloResolucin"/>
      </w:pPr>
    </w:p>
    <w:p w:rsidR="00E3576C" w:rsidRDefault="00E3576C" w:rsidP="00E3576C">
      <w:pPr>
        <w:pStyle w:val="SntesisDescriptiva"/>
      </w:pPr>
      <w:r>
        <w:t>ECLI:ES:TC:2012:120A</w:t>
      </w:r>
    </w:p>
    <w:p w:rsidR="00E3576C" w:rsidRDefault="00E3576C" w:rsidP="00E3576C">
      <w:pPr>
        <w:pStyle w:val="SntesisDescriptiva"/>
      </w:pPr>
    </w:p>
    <w:p w:rsidR="00E3576C" w:rsidRDefault="00E3576C" w:rsidP="00E3576C">
      <w:pPr>
        <w:pStyle w:val="SntesisDescriptiva"/>
      </w:pPr>
      <w:r>
        <w:t>Excms. Srs. don Pascual Sala Sánchez, don Manuel Aragón Reyes y doña Adela Asua Batarrita.</w:t>
      </w:r>
    </w:p>
    <w:p w:rsidR="00E3576C" w:rsidRDefault="00E3576C" w:rsidP="00E3576C">
      <w:pPr>
        <w:pStyle w:val="SntesisDescriptiva"/>
      </w:pPr>
    </w:p>
    <w:p w:rsidR="00E3576C" w:rsidRDefault="00E3576C" w:rsidP="00E3576C">
      <w:pPr>
        <w:pStyle w:val="SntesisDescriptiva"/>
      </w:pPr>
      <w:r>
        <w:t>Declara que no procede hacer ningún pronunciamiento sobre si se ha producido un funcionamiento anormal en la tramitación del recurso de amparo 5432-2010 promovido por doña Eva Gelabert Claveguera y don Eduard Arboix Lleopart.</w:t>
      </w:r>
    </w:p>
    <w:p w:rsidR="00E3576C" w:rsidRDefault="00E3576C" w:rsidP="00E3576C">
      <w:pPr>
        <w:pStyle w:val="SntesisDescriptiva"/>
      </w:pPr>
    </w:p>
    <w:p w:rsidR="00E3576C" w:rsidRDefault="00E3576C" w:rsidP="00E3576C">
      <w:pPr>
        <w:pStyle w:val="SntesisAnaltica"/>
      </w:pPr>
      <w:r>
        <w:t>Funcionamiento anormal de la Administración de justicia: desconocimiento de la personación de la parte; indemnización frente a la Administración. Personación: comparecencia en forma. Tribunal Constitucional: funcionamiento anormal en la tramitación de procesos constitucionales.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Ministerio de Justicia, mediante escrito registrado en este Tribunal el 28 de septiembre de 2011, y a los efectos previstos en el art. 139.5 de la Ley 30/1992, de 26 de noviembre, de régimen jurídico de las Administraciones públicas y del procedimiento administrativo común, en la redacción dada por la Ley 13/2009, de 3 de noviembre, ha remitido la solicitud de responsabilidad patrimonial del Estado formulada por doña Eva Gelabert Claveguera, don Eduard Arboix Lleopart, doña Sibina Arboix Gelabert, doña Palmira Candela Arboix Gelabert y don Ricard Eduard Arboix Gelabert, a consecuencia del que imputan funcionamiento anormal del Tribunal Constitucional en la resolución del recurso de amparo núm. 5432-2010, solicitando la declaración, si procede, sobre la apreciación de la existencia del alegado funcionamiento anormal.</w:t>
      </w:r>
    </w:p>
    <w:p w:rsidR="00E3576C" w:rsidRDefault="00E3576C" w:rsidP="00E3576C">
      <w:pPr>
        <w:pStyle w:val="TextoNormal"/>
      </w:pPr>
    </w:p>
    <w:p w:rsidR="00E3576C" w:rsidRDefault="00E3576C" w:rsidP="00E3576C">
      <w:pPr>
        <w:pStyle w:val="TextoNormal"/>
      </w:pPr>
      <w:r w:rsidRPr="00E3576C">
        <w:rPr>
          <w:rStyle w:val="NumeroAFNegritaCaracter"/>
        </w:rPr>
        <w:t>2</w:t>
      </w:r>
      <w:r>
        <w:t>. Esta solicitud tiene origen en los siguientes antecedentes:</w:t>
      </w:r>
    </w:p>
    <w:p w:rsidR="00E3576C" w:rsidRDefault="00E3576C" w:rsidP="00E3576C">
      <w:pPr>
        <w:pStyle w:val="TextoNormal"/>
      </w:pPr>
    </w:p>
    <w:p w:rsidR="00E3576C" w:rsidRDefault="00E3576C" w:rsidP="00E3576C">
      <w:pPr>
        <w:pStyle w:val="TextoNormal"/>
      </w:pPr>
      <w:r>
        <w:t>a) Mediante escrito registrado el 5 de julio de 2010, doña Eva Gelabert Claveguera y don Eduard Arboix Lleopart solicitaron la designación de profesionales del turno de oficio para recurrir en amparo diversas resoluciones del Juzgado de Primera Instancia e Instrucción núm. 4 de Igualada, dictadas en el procedimiento de ejecución hipotecaria núm. 282-2009. Tras efectuar las designaciones procedentes, mediante escrito registrado el 26 de octubre de 2010, la Procuradora de los Tribunales doña Celia Fernández Redondo, bajo la asistencia del Letrado don Manuel González Ramos, formalizó la demanda de amparo.</w:t>
      </w:r>
    </w:p>
    <w:p w:rsidR="00E3576C" w:rsidRDefault="00E3576C" w:rsidP="00E3576C">
      <w:pPr>
        <w:pStyle w:val="TextoNormal"/>
      </w:pPr>
    </w:p>
    <w:p w:rsidR="00E3576C" w:rsidRDefault="00E3576C" w:rsidP="00E3576C">
      <w:pPr>
        <w:pStyle w:val="TextoNormal"/>
      </w:pPr>
      <w:r>
        <w:t xml:space="preserve">b) La Sección Primera de este Tribunal, por providencia de 26 de mayo de 2011, acordó inadmitir el recurso de amparo al no haberse satisfecho la carga consistente en justificar su especial trascendencia constitucional [art. 50.1 a), en relación con el art. 49.1 de la Ley </w:t>
      </w:r>
      <w:r>
        <w:lastRenderedPageBreak/>
        <w:t>Orgánica del Tribunal Constitucional: LOTC], archivándose las actuaciones por diligencia de 16 de junio de 2011.</w:t>
      </w:r>
    </w:p>
    <w:p w:rsidR="00E3576C" w:rsidRDefault="00E3576C" w:rsidP="00E3576C">
      <w:pPr>
        <w:pStyle w:val="TextoNormal"/>
      </w:pPr>
    </w:p>
    <w:p w:rsidR="00E3576C" w:rsidRDefault="00E3576C" w:rsidP="00E3576C">
      <w:pPr>
        <w:pStyle w:val="TextoNormal"/>
      </w:pPr>
      <w:r>
        <w:t>c) Doña Eva Gelabert Claveguera, don Eduard Arboix Lleopart, doña Sibina Arboix Gelabert, doña Palmira Candela Arboix Gelabert y don Ricard Eduard Arboix Gelabert, mediante escrito dirigido al Consejo de Ministros y registrado en el Ministerio de la Presidencia el 20 de junio de 2011, solicitaron que se estimara una reclamación de responsabilidad patrimonial del Estado por funcionamiento anormal del Tribunal Constitucional en el recurso de amparo núm. 5432-2010, argumentando que el motivo de inadmisión de la falta de justificación de la especial trascendencia constitucional no consta en la Constitución española y no puede ser introducido por una ley de rango menor, como es la Ley Orgánica 6/2007, de 24 de mayo, en aplicación del principio de jerarquía normativa del art. 9.3 CE.</w:t>
      </w:r>
    </w:p>
    <w:p w:rsidR="00E3576C" w:rsidRDefault="00E3576C" w:rsidP="00E3576C">
      <w:pPr>
        <w:pStyle w:val="TextoNormal"/>
      </w:pPr>
    </w:p>
    <w:p w:rsidR="00E3576C" w:rsidRDefault="00E3576C" w:rsidP="00E3576C">
      <w:pPr>
        <w:pStyle w:val="TextoNormal"/>
      </w:pPr>
      <w:r>
        <w:t>d) El Ministerio de la Presidencia, mediante escrito de 20 de junio de 2011 remitió la solicitud al Ministerio de Justicia, por ser competencia de dicho Departamento.</w:t>
      </w:r>
    </w:p>
    <w:p w:rsidR="00E3576C" w:rsidRDefault="00E3576C" w:rsidP="00E3576C">
      <w:pPr>
        <w:pStyle w:val="TextoNormal"/>
      </w:pPr>
    </w:p>
    <w:p w:rsidR="00E3576C" w:rsidRDefault="00E3576C" w:rsidP="00E3576C">
      <w:pPr>
        <w:pStyle w:val="TextoNormal"/>
      </w:pPr>
      <w:r w:rsidRPr="00E3576C">
        <w:rPr>
          <w:rStyle w:val="NumeroAFNegritaCaracter"/>
        </w:rPr>
        <w:t>3</w:t>
      </w:r>
      <w:r>
        <w:t>. La Sección Primera de este Tribunal, mediante providencia de 29 de septiembre de 2011, acordó formar pieza separada jurisdiccional y conceder a la parte recurrente, al Ministerio Fiscal y al Abogado del Estado el plazo común de diez días para que alegasen lo que estimasen pertinente respecto de la declaración solicitada.</w:t>
      </w:r>
    </w:p>
    <w:p w:rsidR="00E3576C" w:rsidRDefault="00E3576C" w:rsidP="00E3576C">
      <w:pPr>
        <w:pStyle w:val="TextoNormal"/>
      </w:pPr>
    </w:p>
    <w:p w:rsidR="00E3576C" w:rsidRDefault="00E3576C" w:rsidP="00E3576C">
      <w:pPr>
        <w:pStyle w:val="TextoNormal"/>
      </w:pPr>
      <w:r w:rsidRPr="00E3576C">
        <w:rPr>
          <w:rStyle w:val="NumeroAFNegritaCaracter"/>
        </w:rPr>
        <w:t>4</w:t>
      </w:r>
      <w:r>
        <w:t>. La Procuradora de los Tribunales, doña Celia Fernández Redondo, por escrito registrado el 5 de octubre de 2011, solicitó que se designaran nuevos profesionales del turno de oficio en el presente incidente, ya que el Letrado designado había causado baja en dicho turno y ella misma estaba designada a los únicos efectos del recurso de amparo.</w:t>
      </w:r>
    </w:p>
    <w:p w:rsidR="00E3576C" w:rsidRDefault="00E3576C" w:rsidP="00E3576C">
      <w:pPr>
        <w:pStyle w:val="TextoNormal"/>
      </w:pPr>
    </w:p>
    <w:p w:rsidR="00E3576C" w:rsidRDefault="00E3576C" w:rsidP="00E3576C">
      <w:pPr>
        <w:pStyle w:val="TextoNormal"/>
      </w:pPr>
      <w:r w:rsidRPr="00E3576C">
        <w:rPr>
          <w:rStyle w:val="NumeroAFNegritaCaracter"/>
        </w:rPr>
        <w:t>5</w:t>
      </w:r>
      <w:r>
        <w:t>. La Secretaría de Justicia de la Sala Primera de este Tribunal, por diligencia de ordenación de 11 de octubre de 2011, acordó dar traslado del anterior escrito a los recurrentes en amparo, para que en el plazo de diez días comparecieran en la presente pieza separada con Abogado y Procurador de su cargo o solicitaran la designación de profesionales del turno de oficio. Esta diligencia fue notificada personalmente a los recurrentes por correo certificado con acuse de recibo de fecha 21 de octubre de 2011. Por diligencia de 28 de noviembre de 2011 se hizo constar que los recurrentes no se personaron en la presente pieza.</w:t>
      </w:r>
    </w:p>
    <w:p w:rsidR="00E3576C" w:rsidRDefault="00E3576C" w:rsidP="00E3576C">
      <w:pPr>
        <w:pStyle w:val="TextoNormal"/>
      </w:pPr>
    </w:p>
    <w:p w:rsidR="00E3576C" w:rsidRDefault="00E3576C" w:rsidP="00E3576C">
      <w:pPr>
        <w:pStyle w:val="TextoNormal"/>
      </w:pPr>
      <w:r w:rsidRPr="00E3576C">
        <w:rPr>
          <w:rStyle w:val="NumeroAFNegritaCaracter"/>
        </w:rPr>
        <w:t>6</w:t>
      </w:r>
      <w:r>
        <w:t>. El Abogado del Estado, por escrito registrado el 14 de octubre de 2011, formuló alegaciones solicitando que se acuerde no haber lugar a pronunciarse sobre la declaración de funcionamiento anormal. A esos efectos, se destaca, en primer lugar, que consistiendo dicha declaración en una resolución jurisdiccional, resulta necesario que haya una solicitud a instancia de parte con el debido cumplimiento de los requisitos del art. 81.1 LOTC, sin que pueda tener dicha consideración la reclamación en vía administrativa. Igualmente, el Abogado del Estado señala que la solicitud carece de todo fundamento, ya que la apreciación de un óbice de admisibilidad previsto legalmente como es la falta de justificación de la especial trascendencia constitucional no implica ningún funcionamiento anormal.</w:t>
      </w:r>
    </w:p>
    <w:p w:rsidR="00E3576C" w:rsidRDefault="00E3576C" w:rsidP="00E3576C">
      <w:pPr>
        <w:pStyle w:val="TextoNormal"/>
      </w:pPr>
    </w:p>
    <w:p w:rsidR="00E3576C" w:rsidRDefault="00E3576C" w:rsidP="00E3576C">
      <w:pPr>
        <w:pStyle w:val="TextoNormal"/>
      </w:pPr>
      <w:r w:rsidRPr="00E3576C">
        <w:rPr>
          <w:rStyle w:val="NumeroAFNegritaCaracter"/>
        </w:rPr>
        <w:t>7</w:t>
      </w:r>
      <w:r>
        <w:t xml:space="preserve">. El Ministerio Fiscal, por escrito registrado el 25 de octubre de 2011, formuló alegaciones interesando que se inadmita la solicitud al considerar que hubiera resultado necesario iniciar dicha tramitación por parte de los solicitantes dirigiéndose directamente al Tribunal </w:t>
      </w:r>
      <w:r>
        <w:lastRenderedPageBreak/>
        <w:t>Constitucional con cumplimiento de los requisitos de postulación y defensa técnica del art. 81.1 LOTC. Subsidiariamente, el Ministerio Fiscal destaca el carácter notoriamente infundado de la solicitud, ya que no concurre ningún funcionamiento anormal en la circunstancia de apreciar la existencia de un óbice de admisibilidad legalmente previsto.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Este Tribunal ha de poner de manifiesto que, en virtud del tenor literal del art. 139.5 de la Ley 30/1992, de 26 de noviembre, de régimen jurídico de las Administraciones públicas y del procedimiento administrativo común, en la redacción dada por la Ley 13/2009, de 3 de noviembre, el conocimiento de las reclamaciones de indemnización por funcionamiento anormal en la tramitación de recursos de amparo y cuestiones de inconstitucionalidad debe sustanciarse en dos instancias, cada una de ellas con su propio procedimiento. La primera se sustancia ante este Tribunal, a petición de parte interesada, con objeto de que se declare la existencia o no del funcionamiento anormal. La segunda, tramitación del correspondiente procedimiento por el Ministerio de Justicia, sólo podrá abrirse una vez que el Tribunal Constitucional haya declarado la existencia del funcionamiento anormal, y con el objeto de la fijación, si procediera, del importe de las indemnizaciones que, en su caso, hubieran de abonarse, y cuya determinación corresponde al Consejo de Ministros, con audiencia del Consejo de Estado. En cuanto a la declaración que le corresponde realizar a este Tribunal sobre el particular se trata de una auténtica resolución jurisdiccional y no de un mero informe que se inserta en un procedimiento administrativo, lo que determina que, con arreglo al art. 86.1 de la Ley Orgánica del Tribunal Constitucional (LOTC), la resolución adoptará la forma de Auto, que habrá de dictarse en pieza separada del proceso constitucional del que traiga causa (ATC 194/2010, de 2 de diciembre, FJ 1). En coherencia con ello, y como acertadamente señalan el Abogado del Estado y el Ministerio Fiscal, en esta pieza separada jurisdiccional es imprescindible que los interesados se personen para sustentar la pretensión en cuestión atendiendo a los requisitos de postulación y defensa técnica establecidos en el art. 81.1 LOTC. Esto es, que las personas legitimadas confieran su representación a un Procurador y actúen bajo la dirección de Letrado, sin perjuicio de la posibilidad de comparecer por sí mismas las personas que tengan el título de Licenciado en Derecho.</w:t>
      </w:r>
    </w:p>
    <w:p w:rsidR="00E3576C" w:rsidRDefault="00E3576C" w:rsidP="00E3576C">
      <w:pPr>
        <w:pStyle w:val="TextoNormal"/>
      </w:pPr>
    </w:p>
    <w:p w:rsidR="00E3576C" w:rsidRDefault="00E3576C" w:rsidP="00E3576C">
      <w:pPr>
        <w:pStyle w:val="TextoNormal"/>
      </w:pPr>
      <w:r>
        <w:t xml:space="preserve">En el presente caso, tal como se ha expuesto más extensamente en los antecedentes, ha quedado acreditado, en primer lugar, que la petición de la declaración de responsabilidad patrimonial se ha dirigido directamente al Consejo de Ministros, siendo el Ministerio de Justicia, tras su remisión por parte del Ministerio de la Presidencia, el que ha solicitado a este Tribunal una declaración, si procede, sobre la apreciación de la existencia del alegado funcionamiento anormal. En segundo lugar, también se pone de manifiesto que una vez recibido el escrito de remisión del Ministerio de Justicia este Tribunal ha abierto la correspondiente pieza, dando trámite de audiencia, entre otros, a los que fueran demandantes en el recurso de amparo núm. 5432-2010, a través de la que fue su representación procesal. En tercer lugar, también cabe destacar que, ante la comunicación de la que fuera Procuradora de los recurrentes de que el Letrado designado de turno de oficio había causado baja en dicho turno y que su propia designación de oficio quedaba limitada al recurso de amparo pero no al presente incidente, este Tribunal se dirigió personalmente a los que fueron demandantes de amparo para que en el plazo de diez días comparecieran en la presente pieza </w:t>
      </w:r>
      <w:r>
        <w:lastRenderedPageBreak/>
        <w:t>separada con Abogado y Procurador de su cargo o solicitaran la designación de profesionales del turno de oficio. Por último, también se constata que, a pesar del requerimiento efectuado, los interesados no se han personado en la presente pieza separada jurisdiccional a través de la necesaria representación y asistencia técnica ni han solicitado su designación de oficio, no habiendo realizado tampoco ningún tipo de manifestación en esta sede sobre una eventual declaración de funcionamiento anormal.</w:t>
      </w:r>
    </w:p>
    <w:p w:rsidR="00E3576C" w:rsidRDefault="00E3576C" w:rsidP="00E3576C">
      <w:pPr>
        <w:pStyle w:val="TextoNormal"/>
      </w:pPr>
    </w:p>
    <w:p w:rsidR="00E3576C" w:rsidRDefault="00E3576C" w:rsidP="00E3576C">
      <w:pPr>
        <w:pStyle w:val="TextoNormal"/>
      </w:pPr>
      <w:r>
        <w:t>En atención a lo expuesto, en la medida en que los interesados no han cumplido con la carga procesal que les incumbía de personarse en la presente pieza separada jurisdiccional para sustentar la pretensión de un pronunciamiento de este Tribunal sobre el anormal funcionamiento alegado con cumplimiento de los requisitos de postulación y asistencia técnica del art. 81.1 LOTC, incluso después de haber sido requeridos formalmente para ello, debe concluirse que este Tribunal no puede hacer ninguna declaración sobre la existencia de un eventual funcionamiento anormal en la tramitación del recurso de amparo núm. 5432-2010.</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que no procede hacer ningún pronunciamiento sobre si se ha producido un funcionamiento anormal en la tramitación del recurso de amparo núm. 5432-2010 promovido por doña Eva Gelabert Claveguera y don Eduard Arboix Lleopart.</w:t>
      </w:r>
    </w:p>
    <w:p w:rsidR="00E3576C" w:rsidRDefault="00E3576C" w:rsidP="00E3576C">
      <w:pPr>
        <w:pStyle w:val="TextoNormal"/>
      </w:pPr>
    </w:p>
    <w:p w:rsidR="00E3576C" w:rsidRDefault="00E3576C" w:rsidP="00E3576C">
      <w:pPr>
        <w:pStyle w:val="TextoNormal"/>
      </w:pPr>
      <w:r>
        <w:t>Madrid, a seis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2" w:name="AUTO_2012_121"/>
      <w:r>
        <w:lastRenderedPageBreak/>
        <w:t>AUTO 121/2012, de 13 de junio de 2012</w:t>
      </w:r>
    </w:p>
    <w:bookmarkEnd w:id="262"/>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ECLI:ES:TC:2012:121A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2301-2012, promovido en proceso contencioso-administrativo.</w:t>
      </w:r>
    </w:p>
    <w:p w:rsidR="00E3576C" w:rsidRDefault="00E3576C" w:rsidP="00E3576C">
      <w:pPr>
        <w:pStyle w:val="SntesisDescriptiva"/>
      </w:pPr>
    </w:p>
    <w:p w:rsidR="00E3576C" w:rsidRDefault="00E3576C" w:rsidP="00E3576C">
      <w:pPr>
        <w:pStyle w:val="SntesisAnaltica"/>
      </w:pPr>
      <w:r>
        <w:t>Desistimiento de recurso de amparo: procede.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presentado en el Registro General de este Tribunal el día 19 de abril de 2012, Atlas Servicios Empresariales, S.A., representado por el Procurador de los Tribunales don Carlos Alberto de Grado Viejo, interpuso recurso de amparo contra Sentencia de la Sección Tercera Sala de lo Contencioso-Administrativo del Tribunal Superior de Justicia de Madrid en recurso de apelación 19-2011 contra la dictada por el Juzgado Contencioso-Administrativo núm. 19 de Madrid en procedimiento ordinario 140-2008.</w:t>
      </w:r>
    </w:p>
    <w:p w:rsidR="00E3576C" w:rsidRDefault="00E3576C" w:rsidP="00E3576C">
      <w:pPr>
        <w:pStyle w:val="TextoNormal"/>
      </w:pPr>
    </w:p>
    <w:p w:rsidR="00E3576C" w:rsidRDefault="00E3576C" w:rsidP="00E3576C">
      <w:pPr>
        <w:pStyle w:val="TextoNormal"/>
      </w:pPr>
      <w:r w:rsidRPr="00E3576C">
        <w:rPr>
          <w:rStyle w:val="NumeroAFNegritaCaracter"/>
        </w:rPr>
        <w:t>2</w:t>
      </w:r>
      <w:r>
        <w:t>. El Procurador señor Grado Viejo, por escrito presentado el 27 de abril de 2012, estando el amparo pendiente de resolver sobre su admisión o inadmisión, manifiesta que desiste del recurso planteado.</w:t>
      </w:r>
    </w:p>
    <w:p w:rsidR="00E3576C" w:rsidRDefault="00E3576C" w:rsidP="00E3576C">
      <w:pPr>
        <w:pStyle w:val="TextoNormal"/>
      </w:pPr>
    </w:p>
    <w:p w:rsidR="00E3576C" w:rsidRDefault="00E3576C" w:rsidP="00E3576C">
      <w:pPr>
        <w:pStyle w:val="TextoNormal"/>
      </w:pPr>
      <w:r w:rsidRPr="00E3576C">
        <w:rPr>
          <w:rStyle w:val="NumeroAFNegritaCaracter"/>
        </w:rPr>
        <w:t>3</w:t>
      </w:r>
      <w:r>
        <w:t>. Por diligencia de ordenación de 4 de mayo de 2012 se dio traslado al Ministerio Fiscal para que alegara lo que estimara oportuno en relación con el desistimiento formulado.</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por dictamen que tuvo entrada en el Tribunal el 23 de mayo de 2012, no se opuso a la aprobación del desistimiento.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Entre las formas de terminación del recurso de amparo figura la del desistimiento, prevista en el artículo 86.1 de la Ley Orgánica de este Tribunal (LOTC), y a la que es de aplicación supletoria la legislación procesal ordinaria (art. 80 LOTC), que la recoge en los artículos 19.1 y 20.2 y 3 de la Ley de enjuiciamiento civil.</w:t>
      </w:r>
    </w:p>
    <w:p w:rsidR="00E3576C" w:rsidRDefault="00E3576C" w:rsidP="00E3576C">
      <w:pPr>
        <w:pStyle w:val="TextoNormal"/>
      </w:pPr>
    </w:p>
    <w:p w:rsidR="00E3576C" w:rsidRDefault="00E3576C" w:rsidP="00E3576C">
      <w:pPr>
        <w:pStyle w:val="TextoNormal"/>
      </w:pPr>
      <w:r>
        <w:t>Esta fórmula y decisión de la parte recurrente aparece revestida de los requisitos legales. Por otro lado, no se aprecia perjuicio de parte ni daño para el interés general o público. Es procedente, pues, sancionar afirmativamente esa voluntad de desistir.</w:t>
      </w:r>
    </w:p>
    <w:p w:rsidR="00E3576C" w:rsidRDefault="00E3576C" w:rsidP="00E3576C">
      <w:pPr>
        <w:pStyle w:val="TextoNormal"/>
      </w:pPr>
    </w:p>
    <w:p w:rsidR="00E3576C" w:rsidRDefault="00E3576C" w:rsidP="00E3576C">
      <w:pPr>
        <w:pStyle w:val="TextoNormal"/>
      </w:pPr>
      <w:r>
        <w:lastRenderedPageBreak/>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Tener por desistido del recurso de amparo a Atlas Servicios Empresariales, S.A., y archivar las presentes actuaciones.</w:t>
      </w:r>
    </w:p>
    <w:p w:rsidR="00E3576C" w:rsidRDefault="00E3576C" w:rsidP="00E3576C">
      <w:pPr>
        <w:pStyle w:val="TextoNormal"/>
      </w:pPr>
    </w:p>
    <w:p w:rsidR="00E3576C" w:rsidRDefault="00E3576C" w:rsidP="00E3576C">
      <w:pPr>
        <w:pStyle w:val="TextoNormal"/>
      </w:pPr>
      <w:r>
        <w:t>Madrid, a trece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3" w:name="AUTO_2012_122"/>
      <w:r>
        <w:lastRenderedPageBreak/>
        <w:t>AUTO 122/2012, de 18 de junio de 2012</w:t>
      </w:r>
    </w:p>
    <w:bookmarkEnd w:id="263"/>
    <w:p w:rsidR="00E3576C" w:rsidRDefault="00E3576C" w:rsidP="00E3576C">
      <w:pPr>
        <w:pStyle w:val="TtuloResolucin"/>
      </w:pPr>
      <w:r>
        <w:t>Sala Primera</w:t>
      </w:r>
    </w:p>
    <w:p w:rsidR="00E3576C" w:rsidRDefault="00E3576C" w:rsidP="00E3576C">
      <w:pPr>
        <w:pStyle w:val="TtuloResolucin"/>
      </w:pPr>
    </w:p>
    <w:p w:rsidR="00E3576C" w:rsidRDefault="00E3576C" w:rsidP="00E3576C">
      <w:pPr>
        <w:pStyle w:val="SntesisDescriptiva"/>
      </w:pPr>
      <w:r>
        <w:t>ECLI:ES:TC:2012:122A</w:t>
      </w:r>
    </w:p>
    <w:p w:rsidR="00E3576C" w:rsidRDefault="00E3576C" w:rsidP="00E3576C">
      <w:pPr>
        <w:pStyle w:val="SntesisDescriptiva"/>
      </w:pPr>
    </w:p>
    <w:p w:rsidR="00E3576C" w:rsidRDefault="00E3576C" w:rsidP="00E3576C">
      <w:pPr>
        <w:pStyle w:val="SntesisDescriptiva"/>
      </w:pPr>
      <w:r>
        <w:t>Excms. Srs. don Pascual Sala Sánchez, don Javier Delgado Barrio, don Manuel Aragón Reyes, don Pablo Pérez Tremps y doña Adela Asua Batarrita.</w:t>
      </w:r>
    </w:p>
    <w:p w:rsidR="00E3576C" w:rsidRDefault="00E3576C" w:rsidP="00E3576C">
      <w:pPr>
        <w:pStyle w:val="SntesisDescriptiva"/>
      </w:pPr>
    </w:p>
    <w:p w:rsidR="00E3576C" w:rsidRDefault="00E3576C" w:rsidP="00E3576C">
      <w:pPr>
        <w:pStyle w:val="SntesisDescriptiva"/>
      </w:pPr>
      <w:r>
        <w:t>Deniega la suspensión en el recurso de amparo 3268-2011, promovido por don Mansueto Sayols Vendrell en proceso contencioso-administrativo.</w:t>
      </w:r>
    </w:p>
    <w:p w:rsidR="00E3576C" w:rsidRDefault="00E3576C" w:rsidP="00E3576C">
      <w:pPr>
        <w:pStyle w:val="SntesisDescriptiva"/>
      </w:pPr>
    </w:p>
    <w:p w:rsidR="00E3576C" w:rsidRDefault="00E3576C" w:rsidP="00E3576C">
      <w:pPr>
        <w:pStyle w:val="SntesisAnaltica"/>
      </w:pPr>
      <w:r>
        <w:t>Licencias administrativas: licencias urbanísticas. Recurso de amparo: carácter prematuro. Suspensión de la ejecución del acto que origina el amparo: suspensión cautelar de resoluciones judiciales, no suspende.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escrito registrado en este Tribunal el 3 de junio de 2011 el Procurador don Manuel Sánchez-Puelles y González-Carvajal interpuso demanda de amparo, en nombre y representación de don Mansueto Sayols Vendrell contra la Sentencia de Sala de lo Contencioso-Administrativo (Sección Quinta) del Tribunal Supremo de 6 de abril de 2011 y contra la Sentencia de la Sala de lo Contencioso-Administrativo del Tribunal Superior de Justicia de Cataluña de 2 de febrero de 2007.</w:t>
      </w:r>
    </w:p>
    <w:p w:rsidR="00E3576C" w:rsidRDefault="00E3576C" w:rsidP="00E3576C">
      <w:pPr>
        <w:pStyle w:val="TextoNormal"/>
      </w:pPr>
    </w:p>
    <w:p w:rsidR="00E3576C" w:rsidRDefault="00E3576C" w:rsidP="00E3576C">
      <w:pPr>
        <w:pStyle w:val="TextoNormal"/>
      </w:pPr>
      <w:r w:rsidRPr="00E3576C">
        <w:rPr>
          <w:rStyle w:val="NumeroAFNegritaCaracter"/>
        </w:rPr>
        <w:t>2</w:t>
      </w:r>
      <w:r>
        <w:t>. El demandante aduce que las resoluciones judiciales impugnadas han vulnerado su derecho a la tutela judicial efectiva (art. 24.1 y 2 CE).</w:t>
      </w:r>
    </w:p>
    <w:p w:rsidR="00E3576C" w:rsidRDefault="00E3576C" w:rsidP="00E3576C">
      <w:pPr>
        <w:pStyle w:val="TextoNormal"/>
      </w:pPr>
    </w:p>
    <w:p w:rsidR="00E3576C" w:rsidRDefault="00E3576C" w:rsidP="00E3576C">
      <w:pPr>
        <w:pStyle w:val="TextoNormal"/>
      </w:pPr>
      <w:r>
        <w:t>Asimismo, por medio de otrosí, solicita la suspensión de la ejecución de las resoluciones recurridas. El recurrente aduce que su ejecución haría perder al recurso de amparo su finalidad y, por otro, que su suspensión de la eficacia de estas resoluciones no causaría perjuicios al interés público.</w:t>
      </w:r>
    </w:p>
    <w:p w:rsidR="00E3576C" w:rsidRDefault="00E3576C" w:rsidP="00E3576C">
      <w:pPr>
        <w:pStyle w:val="TextoNormal"/>
      </w:pPr>
    </w:p>
    <w:p w:rsidR="00E3576C" w:rsidRDefault="00E3576C" w:rsidP="00E3576C">
      <w:pPr>
        <w:pStyle w:val="TextoNormal"/>
      </w:pPr>
      <w:r>
        <w:t>Alega el recurrente que tanto él como las Administraciones demandadas y otros titulares de actividades igualmente afectados por las resoluciones judiciales “pueden sufrir graves perjuicios en sus bienes y derechos, patrimonio, derechos sociales, puestos de trabajo, actividades industriales y comerciales y/o indemnizaciones posibles a cargo de las Administraciones”, sin que proceda fianza “dadas las circunstancias concurrentes y dado que no peligran los derechos constitucionales del recurrente ni el interés general”.</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Mediante providencia de 16 de abril de 2012, la Sala Primera de este Tribunal acordó admitir a trámite el recurso de amparo y dirigir comunicación a los órganos judiciales correspondientes, a fin de que, en el plazo de diez días, remitieran certificación o fotocopia </w:t>
      </w:r>
      <w:r>
        <w:lastRenderedPageBreak/>
        <w:t>adverada de las actuaciones y emplazaran a quienes hubieran sido parte en el proceso del que trae causa el presente recurso de amparo.</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E3576C" w:rsidRDefault="00E3576C" w:rsidP="00E3576C">
      <w:pPr>
        <w:pStyle w:val="TextoNormal"/>
      </w:pPr>
    </w:p>
    <w:p w:rsidR="00E3576C" w:rsidRDefault="00E3576C" w:rsidP="00E3576C">
      <w:pPr>
        <w:pStyle w:val="TextoNormal"/>
      </w:pPr>
      <w:r w:rsidRPr="00E3576C">
        <w:rPr>
          <w:rStyle w:val="NumeroAFNegritaCaracter"/>
        </w:rPr>
        <w:t>5</w:t>
      </w:r>
      <w:r>
        <w:t>. El 24 de abril de 2012 el recurrente presentó, en el Registro General de este Tribunal, su escrito de alegaciones. Aduce en este escrito que no existe perjuicio para el interés general ni tampoco para el recurrente en el proceso contencioso-administrativo, mientras que la ejecución de las resoluciones judiciales ocasionaría graves perjuicios económicos y morales no sólo a él que es titular de una gasolinera que parcialmente se encuentra ubicada en la zona afectada por las resoluciones, sino también a otros titulares de actividades que se encuentran en la misma zona, así como para todo el personal de estas actividades de servicio. Concluye, por otra parte, afirmando —sin mayor argumentación— que, en consecuencia, no procede la prestación de fianza.</w:t>
      </w:r>
    </w:p>
    <w:p w:rsidR="00E3576C" w:rsidRDefault="00E3576C" w:rsidP="00E3576C">
      <w:pPr>
        <w:pStyle w:val="TextoNormal"/>
      </w:pPr>
    </w:p>
    <w:p w:rsidR="00E3576C" w:rsidRDefault="00E3576C" w:rsidP="00E3576C">
      <w:pPr>
        <w:pStyle w:val="TextoNormal"/>
      </w:pPr>
      <w:r w:rsidRPr="00E3576C">
        <w:rPr>
          <w:rStyle w:val="NumeroAFNegritaCaracter"/>
        </w:rPr>
        <w:t>6</w:t>
      </w:r>
      <w:r>
        <w:t>. Por escrito registrado en este Tribunal el 4 de mayo de 2012 el Ministerio Fiscal presentó su escrito de alegaciones. El Fiscal recuerda la doctrina de este Tribunal conforme a la cual la suspensión cautelar en el proceso de amparo constitucional es una medida provisional de carácter excepcional y de aplicación restrictiva, y analiza los supuestos en los que justificadamente puede otorgarse la suspensión, entre los cuales se encuentran aquellos relativos al cierre de negocios. Considera, no obstante, que el recurrente no ha cumplido con la carga de probar que la ejecución de las resoluciones judiciales pueda acarrearle un perjuicio que hiciera perder al amparo su finalidad, pues aunque se afirma que tanto el recurrente como las Administraciones demandadas y otros terceros incomparecidos “pueden sufrir graves perjuicios en sus bienes y derechos, patrimonio, derechos sociales, puestos de trabajo, actividades industriales y comerciales y/o indemnizaciones posibles”, dichas afirmaciones no pueden verificarse porque el solicitante de la suspensión no ha acreditado la situación actual “ni de la Estación de Servicio ni de la empresa titular, respecto de activos y pasivos, capital, volumen de negocio efectivo, número de trabajadores afectados, actividad desarrollada y situación económica real de la explotación y, por ello, no se pueden entender debidamente justificados, ni aún prima facie o con carácter de principio de prueba, los perjuicios ni su irreparabilidad”.</w:t>
      </w:r>
    </w:p>
    <w:p w:rsidR="00E3576C" w:rsidRDefault="00E3576C" w:rsidP="00E3576C">
      <w:pPr>
        <w:pStyle w:val="TextoNormal"/>
      </w:pPr>
    </w:p>
    <w:p w:rsidR="00E3576C" w:rsidRDefault="00E3576C" w:rsidP="00E3576C">
      <w:pPr>
        <w:pStyle w:val="TextoNormal"/>
      </w:pPr>
      <w:r>
        <w:t>Concluye, en consecuencia, afirmando que “se ha de denegar la suspensión solicitada, toda vez que no se ha acreditado suficientemente un principio razonable de irreparabilidad de los perjuicios que ocasionaría su ejecución” y, subsidiariamente, para el caso de que no se compartiera esta apreciación, que se supedite la suspensión a la previa prestación de fianza.</w:t>
      </w:r>
    </w:p>
    <w:p w:rsidR="00E3576C" w:rsidRDefault="00E3576C" w:rsidP="00E3576C">
      <w:pPr>
        <w:pStyle w:val="TextoNormal"/>
      </w:pPr>
    </w:p>
    <w:p w:rsidR="00E3576C" w:rsidRDefault="00E3576C" w:rsidP="00E3576C">
      <w:pPr>
        <w:pStyle w:val="TextoNormalNegritaCentrado"/>
        <w:keepNext/>
      </w:pPr>
      <w:r>
        <w:lastRenderedPageBreak/>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E3576C" w:rsidRDefault="00E3576C" w:rsidP="00E3576C">
      <w:pPr>
        <w:pStyle w:val="TextoNormal"/>
      </w:pPr>
    </w:p>
    <w:p w:rsidR="00E3576C" w:rsidRDefault="00E3576C" w:rsidP="00E3576C">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y 95/2010, de 19 de julio, entre otros muchos).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00E3576C" w:rsidRDefault="00E3576C" w:rsidP="00E3576C">
      <w:pPr>
        <w:pStyle w:val="TextoNormal"/>
      </w:pPr>
    </w:p>
    <w:p w:rsidR="00E3576C" w:rsidRDefault="00E3576C" w:rsidP="00E3576C">
      <w:pPr>
        <w:pStyle w:val="TextoNormal"/>
      </w:pPr>
      <w:r>
        <w:t>Por otra parte, es doctrina reiterada y unánime de este Tribunal que la previsión contenida en el art. 56.2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entre muchos).</w:t>
      </w:r>
    </w:p>
    <w:p w:rsidR="00E3576C" w:rsidRDefault="00E3576C" w:rsidP="00E3576C">
      <w:pPr>
        <w:pStyle w:val="TextoNormal"/>
      </w:pPr>
    </w:p>
    <w:p w:rsidR="00E3576C" w:rsidRDefault="00E3576C" w:rsidP="00E3576C">
      <w:pPr>
        <w:pStyle w:val="TextoNormal"/>
      </w:pPr>
      <w:r>
        <w:t>Para resolver acerca de la procedencia o no de la suspensión solicitada, es preciso tener en cuenta que la Sentencia del Tribunal Superior de Justicia de Cataluña de 2 de febrero de 2007, que se confirma por la Sentencia del Tribunal Supremo de 6 de abril de 2011, anula la modificación de la calificación urbanística del terreno en el que se ubica la gasolinera del ahora recurrente en amparo, lo que determina que vuelva a tener validez la anterior calificación del mismo que era la de zona verde; calificación incompatible con su actual uso o destino a estación de servicio.</w:t>
      </w:r>
    </w:p>
    <w:p w:rsidR="00E3576C" w:rsidRDefault="00E3576C" w:rsidP="00E3576C">
      <w:pPr>
        <w:pStyle w:val="TextoNormal"/>
      </w:pPr>
    </w:p>
    <w:p w:rsidR="00E3576C" w:rsidRDefault="00E3576C" w:rsidP="00E3576C">
      <w:pPr>
        <w:pStyle w:val="TextoNormal"/>
      </w:pPr>
      <w:r>
        <w:t xml:space="preserve">Pues bien, de acuerdo con el art. 210 del texto refundido de la Ley de urbanismo de Cataluña, aprobado por Decreto Legislativo 1/2010, de 3 de agosto, las licencias que se adopten con relación a los terrenos que el planeamiento destina al sistema de espacio libre público (como es el caso de las zonas verdes) que infrinjan las determinaciones de esta ley, del planeamiento urbanístico o de las ordenanzas municipales urbanísticas son nulas de </w:t>
      </w:r>
      <w:r>
        <w:lastRenderedPageBreak/>
        <w:t>pleno Derecho, debiendo revisarse por el procedimiento pertinente (art. 208.1) —el procedimiento de revisión de oficio— sin que la acción de restauración tenga plazo de prescripción (art. 207).</w:t>
      </w:r>
    </w:p>
    <w:p w:rsidR="00E3576C" w:rsidRDefault="00E3576C" w:rsidP="00E3576C">
      <w:pPr>
        <w:pStyle w:val="TextoNormal"/>
      </w:pPr>
    </w:p>
    <w:p w:rsidR="00E3576C" w:rsidRDefault="00E3576C" w:rsidP="00E3576C">
      <w:pPr>
        <w:pStyle w:val="TextoNormal"/>
      </w:pPr>
      <w:r>
        <w:t>De acuerdo con las consideraciones anteriores, es preciso tener en cuenta que, en el presente caso, las resoluciones judiciales cuya suspensión se solicita no se refieren ni afectan directamente a la licencia; se refieren únicamente a la calificación urbanística del terreno. La anulación de la licencia y la restauración de la zona verde —eventual efecto indirecto de la anulación de la calificación del terreno— requiere que se lleve a cabo un procedimiento de revisión de oficio de la licencia, así como dictar las correspondientes órdenes de demolición y restauración, sin que por el momento conste que tales procedimientos administrativos se hayan iniciado y sin que se sepa si esta cuestión se va o no, efectivamente, a plantear en ejecución de las resoluciones judiciales que se recurren en amparo. Por tanto, la solicitud de suspensión resulta prematura, teniendo por objeto evitar un perjuicio futuro o hipotético, esto es, hacer frente a un simple temor, cuando es doctrina de este Tribunal que “el perjuicio irreparable ha de ser real” (por todos, ATC 199/2010, de 21 de diciembre, FJ 3, y los allí citados). No concurren, por tanto, en la actualidad, los requisitos para el otorgamiento de la suspensión. Ello no obsta, claro está, a que si en el curso de este proceso de amparo, el simple temor se convirtiera en un perjuicio real, pudiera solicitarse de nuevo la suspensión, conforme a lo dispuesto en el apartado 4 del art.56 LOTC que permite dicha solicitud “en cualquier tiempo, antes de haberse pronunciado la sentencia o decidirse el amparo de otro modo”.</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dieciocho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4" w:name="AUTO_2012_123"/>
      <w:r>
        <w:lastRenderedPageBreak/>
        <w:t>AUTO 123/2012, de 18 de junio de 2012</w:t>
      </w:r>
    </w:p>
    <w:bookmarkEnd w:id="264"/>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ECLI:ES:TC:2012:123A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Estima el recurso de súplica del Ministerio Fiscal sobre inadmisión del recurso de amparo 5375-2011, promovido por don Rafael y don José Luis Segado Rodríguez, en causa penal.</w:t>
      </w:r>
    </w:p>
    <w:p w:rsidR="00E3576C" w:rsidRDefault="00E3576C" w:rsidP="00E3576C">
      <w:pPr>
        <w:pStyle w:val="SntesisDescriptiva"/>
      </w:pPr>
    </w:p>
    <w:p w:rsidR="00E3576C" w:rsidRDefault="00E3576C" w:rsidP="00E3576C">
      <w:pPr>
        <w:pStyle w:val="SntesisAnaltica"/>
      </w:pPr>
      <w:r>
        <w:t>Derecho a un proceso con todas las garantías: garantías procesales y principio de inmediación, vulnerado. Especial trascendencia constitucional del recurso de amparo: incumplimiento jurisdiccional reiterado de la doctrina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presentado en el Registro General del Tribunal Constitucional el día 5 de octubre de 2011 la Procuradora de los Tribunales doña María Jesús González Díez, en nombre y representación de don Rafael y don José Luis Segado Rodríguez, formuló demanda de amparo contra la Sentencia de 9 de marzo de 2011 de la Audiencia Provincial de Murcia (Sección de Cartagena) y el posterior Auto de fecha 19 de julio de 2011.</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más relevantes de los que trae causa la demanda de amparo, son, sucintamente expuestos, los siguientes:</w:t>
      </w:r>
    </w:p>
    <w:p w:rsidR="00E3576C" w:rsidRDefault="00E3576C" w:rsidP="00E3576C">
      <w:pPr>
        <w:pStyle w:val="TextoNormal"/>
      </w:pPr>
    </w:p>
    <w:p w:rsidR="00E3576C" w:rsidRDefault="00E3576C" w:rsidP="00E3576C">
      <w:pPr>
        <w:pStyle w:val="TextoNormal"/>
      </w:pPr>
      <w:r>
        <w:t>a) Mediante Sentencia de 2 de noviembre de 2010, el Juzgado de lo Penal núm. 2 de Cartagena absolvió a los recurrentes del delito de estafa, por doble venta de inmueble, del que habían sido acusados.</w:t>
      </w:r>
    </w:p>
    <w:p w:rsidR="00E3576C" w:rsidRDefault="00E3576C" w:rsidP="00E3576C">
      <w:pPr>
        <w:pStyle w:val="TextoNormal"/>
      </w:pPr>
    </w:p>
    <w:p w:rsidR="00E3576C" w:rsidRDefault="00E3576C" w:rsidP="00E3576C">
      <w:pPr>
        <w:pStyle w:val="TextoNormal"/>
      </w:pPr>
      <w:r>
        <w:t>b) Interpuesto recurso de apelación, la Audiencia Provincial de Murcia dictó Sentencia el día 9 de marzo de 2011. Tras aceptar los hechos declarados probados por la Sentencia de instancia, la Audiencia condenó a los recurrentes como autores de un delito de estafa (art. 251.1 del Código penal).</w:t>
      </w:r>
    </w:p>
    <w:p w:rsidR="00E3576C" w:rsidRDefault="00E3576C" w:rsidP="00E3576C">
      <w:pPr>
        <w:pStyle w:val="TextoNormal"/>
      </w:pPr>
    </w:p>
    <w:p w:rsidR="00E3576C" w:rsidRDefault="00E3576C" w:rsidP="00E3576C">
      <w:pPr>
        <w:pStyle w:val="TextoNormal"/>
      </w:pPr>
      <w:r>
        <w:t>c) Contra dicha Sentencia, los recurrentes formularon nulidad de actuaciones, que fue desestimada por Auto de fecha 19 de julio de 2011.</w:t>
      </w:r>
    </w:p>
    <w:p w:rsidR="00E3576C" w:rsidRDefault="00E3576C" w:rsidP="00E3576C">
      <w:pPr>
        <w:pStyle w:val="TextoNormal"/>
      </w:pPr>
    </w:p>
    <w:p w:rsidR="00E3576C" w:rsidRDefault="00E3576C" w:rsidP="00E3576C">
      <w:pPr>
        <w:pStyle w:val="TextoNormal"/>
      </w:pPr>
      <w:r w:rsidRPr="00E3576C">
        <w:rPr>
          <w:rStyle w:val="NumeroAFNegritaCaracter"/>
        </w:rPr>
        <w:t>3</w:t>
      </w:r>
      <w:r>
        <w:t>. En su demanda de amparo, los recurrentes, al igual que ya hicieran en la vía judicial, denuncian de modo principal que la Audiencia Provincial realizó una nueva valoración de las pruebas tenidas en cuenta por el Juzgado de lo Penal sin celebrar la correspondiente vista oral y, por tanto, sin cumplir las garantías de inmediación y contradicción que exige la doc</w:t>
      </w:r>
      <w:r>
        <w:lastRenderedPageBreak/>
        <w:t>trina constitucional desde el STC 167/2002, en línea con la jurisprudencia del Tribunal Europeo de Derechos Humanos. Entienden los recurrentes que se ha producido la vulneración de sus derechos a un proceso con todas las garantías, a la defensa y a la contradicción (art. 24.2 CE), a la tutela judicial efectiva (art. 24.1 CE), a la igualdad (art. 14 CE) y a la presunción de inocencia (art. 24.2 CE).</w:t>
      </w:r>
    </w:p>
    <w:p w:rsidR="00E3576C" w:rsidRDefault="00E3576C" w:rsidP="00E3576C">
      <w:pPr>
        <w:pStyle w:val="TextoNormal"/>
      </w:pPr>
    </w:p>
    <w:p w:rsidR="00E3576C" w:rsidRDefault="00E3576C" w:rsidP="00E3576C">
      <w:pPr>
        <w:pStyle w:val="TextoNormal"/>
      </w:pPr>
      <w:r w:rsidRPr="00E3576C">
        <w:rPr>
          <w:rStyle w:val="NumeroAFNegritaCaracter"/>
        </w:rPr>
        <w:t>4</w:t>
      </w:r>
      <w:r>
        <w:t>. La Sección Tercera de este Tribunal, mediante providencia de 13 de abril de 2012 acordó no admitir el recurso de amparo, por no apreciar en el mismo la especial trascendencia constitucional que, como condición para la admisión del recurso, requiere el art. 50.1 b) de la Ley Orgánica del Tribunal Constitucional (LOTC). La providencia se acompañaba de un Voto particular discrepante.</w:t>
      </w:r>
    </w:p>
    <w:p w:rsidR="00E3576C" w:rsidRDefault="00E3576C" w:rsidP="00E3576C">
      <w:pPr>
        <w:pStyle w:val="TextoNormal"/>
      </w:pPr>
    </w:p>
    <w:p w:rsidR="00E3576C" w:rsidRDefault="00E3576C" w:rsidP="00E3576C">
      <w:pPr>
        <w:pStyle w:val="TextoNormal"/>
      </w:pPr>
      <w:r w:rsidRPr="00E3576C">
        <w:rPr>
          <w:rStyle w:val="NumeroAFNegritaCaracter"/>
        </w:rPr>
        <w:t>5</w:t>
      </w:r>
      <w:r>
        <w:t>. Con fecha 16 de mayo de 2012, el Ministerio Fiscal, de conformidad con el art. 50.3 LOTC, interpuso recurso de súplica contra la referida providencia. Según el Ministerio Fiscal el asunto resulta encuadrable en el supuesto e) —“cuando la doctrina del Tribunal Constitucional sobre el derecho fundamental que se alega en el recurso esté siendo incumplida de modo general y reiterado por la jurisdicción ordinaria”— de los contemplados en la STC 155/2009, de 25 de junio, como causa para la admisión del recurso de amparo en razón de su trascendencia constitucional, máxime cuando no se trata de un asunto aislado sino de una doctrina reiterada que ha sido origen de diversas demandas de amparo.</w:t>
      </w:r>
    </w:p>
    <w:p w:rsidR="00E3576C" w:rsidRDefault="00E3576C" w:rsidP="00E3576C">
      <w:pPr>
        <w:pStyle w:val="TextoNormal"/>
      </w:pPr>
    </w:p>
    <w:p w:rsidR="00E3576C" w:rsidRDefault="00E3576C" w:rsidP="00E3576C">
      <w:pPr>
        <w:pStyle w:val="TextoNormal"/>
      </w:pPr>
      <w:r w:rsidRPr="00E3576C">
        <w:rPr>
          <w:rStyle w:val="NumeroAFNegritaCaracter"/>
        </w:rPr>
        <w:t>6</w:t>
      </w:r>
      <w:r>
        <w:t>. Por diligencia de ordenación del Secretario de Justicia de la Sala Segunda de este Tribunal de 21 de mayo de 2012 se acordó dar traslado del recurso de súplica del Ministerio Fiscal a la representación procesal de los demandantes de amparo para que, de conformidad con el art. 93.2 LOTC, alegara en el plazo de tres días lo que estimara pertinente.</w:t>
      </w:r>
    </w:p>
    <w:p w:rsidR="00E3576C" w:rsidRDefault="00E3576C" w:rsidP="00E3576C">
      <w:pPr>
        <w:pStyle w:val="TextoNormal"/>
      </w:pPr>
    </w:p>
    <w:p w:rsidR="00E3576C" w:rsidRDefault="00E3576C" w:rsidP="00E3576C">
      <w:pPr>
        <w:pStyle w:val="TextoNormal"/>
      </w:pPr>
      <w:r w:rsidRPr="00E3576C">
        <w:rPr>
          <w:rStyle w:val="NumeroAFNegritaCaracter"/>
        </w:rPr>
        <w:t>7</w:t>
      </w:r>
      <w:r>
        <w:t>. Mediante escrito registrado en este Tribunal el 30 de mayo de 2012 la Procuradora señora González Díez, en nombre y representación de los demandantes de amparo, manifestó que se adhería íntegramente al recurso de súplica del Ministerio Fiscal.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Ministerio Fiscal sustenta su recurso de súplica en el motivo de que la demanda de amparo presenta interés constitucional dado que plantea un asunto en el que la doctrina del Tribunal Constitucional sobre el derecho fundamental que se alega en el recurso está “siendo incumplida de modo general y reiterado por la jurisdicción ordinaria” (STC 155/2009, de 25 de junio, FJ 2).</w:t>
      </w:r>
    </w:p>
    <w:p w:rsidR="00E3576C" w:rsidRDefault="00E3576C" w:rsidP="00E3576C">
      <w:pPr>
        <w:pStyle w:val="TextoNormal"/>
      </w:pPr>
    </w:p>
    <w:p w:rsidR="00E3576C" w:rsidRDefault="00E3576C" w:rsidP="00E3576C">
      <w:pPr>
        <w:pStyle w:val="TextoNormal"/>
      </w:pPr>
      <w:r>
        <w:t>Según su parecer, la cuestión se centra en la aplicación de la doctrina iniciada en la STC 167/2002, de 18 de septiembre, y luego reiterada en numerosas Sentencias posteriores, que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De este modo, cuando la apelación se plantee contra una Sen</w:t>
      </w:r>
      <w:r>
        <w:lastRenderedPageBreak/>
        <w:t>tencia absolutoria y el motivo de apelación concreto verse sobre cuestiones de hecho suscitadas para la valoración de pruebas personales de las que dependa la condena o la absolución del acusado, resultará necesaria la celebración de vista pública en la segunda instancia para que el órgano judicial de apelación pueda resolver un conocimiento directo e inmediato de dichas pruebas.</w:t>
      </w:r>
    </w:p>
    <w:p w:rsidR="00E3576C" w:rsidRDefault="00E3576C" w:rsidP="00E3576C">
      <w:pPr>
        <w:pStyle w:val="TextoNormal"/>
      </w:pPr>
    </w:p>
    <w:p w:rsidR="00E3576C" w:rsidRDefault="00E3576C" w:rsidP="00E3576C">
      <w:pPr>
        <w:pStyle w:val="TextoNormal"/>
      </w:pPr>
      <w:r w:rsidRPr="00E3576C">
        <w:rPr>
          <w:rStyle w:val="NumeroAFNegritaCaracter"/>
        </w:rPr>
        <w:t>2</w:t>
      </w:r>
      <w:r>
        <w:t>. En el presente caso el núcleo de la discrepancia entre el Juzgado de lo Penal y la Audiencia Provincial parece en principio circunscribirse a si concurren circunstancias que permitan inferir el elemento de engaño en el proceder de los demandantes al tiempo de resolver el contrato. Y tal discrepancia tiene como base el sentido de determinadas pruebas, en particular, documental aportada, la declaración de los acusados, e incluso la manifestación del legal representante de la entidad querellante en el acto del juicio.</w:t>
      </w:r>
    </w:p>
    <w:p w:rsidR="00E3576C" w:rsidRDefault="00E3576C" w:rsidP="00E3576C">
      <w:pPr>
        <w:pStyle w:val="TextoNormal"/>
      </w:pPr>
    </w:p>
    <w:p w:rsidR="00E3576C" w:rsidRDefault="00E3576C" w:rsidP="00E3576C">
      <w:pPr>
        <w:pStyle w:val="TextoNormal"/>
      </w:pPr>
      <w:r>
        <w:t>Como señala el Ministerio Fiscal esta circunstancia “permite aventurar, siquiera provisionalmente y a la vista de la insuficiente información de la que puede disponerse en el actual trámite procesal, que al condenar la Audiencia Provincial sin haber celebrado audiencia pública y no pudiendo examinar con inmediación los medios de prueba de carácter personal, podría acaso haberse vulnerado el derecho a un proceso con todas las garantías y, en su caso, el derecho a la presunción de inocencia, ambos protegidos por el art. 24.2 CE”.</w:t>
      </w:r>
    </w:p>
    <w:p w:rsidR="00E3576C" w:rsidRDefault="00E3576C" w:rsidP="00E3576C">
      <w:pPr>
        <w:pStyle w:val="TextoNormal"/>
      </w:pPr>
    </w:p>
    <w:p w:rsidR="00E3576C" w:rsidRDefault="00E3576C" w:rsidP="00E3576C">
      <w:pPr>
        <w:pStyle w:val="TextoNormal"/>
      </w:pPr>
      <w:r>
        <w:t>Por todo lo dicho no parece que la Audiencia Provincial haya hecho en el presente caso una aplicación debida de la doctrina del Tribunal Constitucional señalada, que se inicia con la aprobación de la STC 167/2002, de 18 de septiembre. Por otra parte, no puede olvidarse que el desconocimiento reiterado de los principios inspiradores de esta doctrina ha sido causa de diversas Sentencias del Tribunal Europeo de Derechos Humanos declarativas de la vulneración por España del derecho a un proceso equitativo recogido en el art. 6 del Convenio europeo para la protección de los derechos humanos y de las libertades fundamentales (entre otras, Valbuena Redondo, de 13 de diciembre de 2011).</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Estimar el recurso de súplica interpuesto por el Ministerio Fiscal y, en consecuencia:</w:t>
      </w:r>
    </w:p>
    <w:p w:rsidR="00E3576C" w:rsidRDefault="00E3576C" w:rsidP="00E3576C">
      <w:pPr>
        <w:pStyle w:val="TextoNormal"/>
      </w:pPr>
    </w:p>
    <w:p w:rsidR="00E3576C" w:rsidRDefault="00E3576C" w:rsidP="00E3576C">
      <w:pPr>
        <w:pStyle w:val="TextoNormal"/>
      </w:pPr>
      <w:r>
        <w:t>1º Dejar sin efecto la providencia de 13 de abril de 2012, que declaró la inadmisión del presente recurso de amparo.</w:t>
      </w:r>
    </w:p>
    <w:p w:rsidR="00E3576C" w:rsidRDefault="00E3576C" w:rsidP="00E3576C">
      <w:pPr>
        <w:pStyle w:val="TextoNormal"/>
      </w:pPr>
    </w:p>
    <w:p w:rsidR="00E3576C" w:rsidRDefault="00E3576C" w:rsidP="00E3576C">
      <w:pPr>
        <w:pStyle w:val="TextoNormal"/>
      </w:pPr>
      <w:r>
        <w:t>2º Reponer las actuaciones al momento anterior a dictarse la providencia anulada.</w:t>
      </w:r>
    </w:p>
    <w:p w:rsidR="00E3576C" w:rsidRDefault="00E3576C" w:rsidP="00E3576C">
      <w:pPr>
        <w:pStyle w:val="TextoNormal"/>
      </w:pPr>
    </w:p>
    <w:p w:rsidR="00E3576C" w:rsidRDefault="00E3576C" w:rsidP="00E3576C">
      <w:pPr>
        <w:pStyle w:val="TextoNormal"/>
      </w:pPr>
      <w:r>
        <w:t>Madrid, a dieciocho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5" w:name="AUTO_2012_124"/>
      <w:r>
        <w:lastRenderedPageBreak/>
        <w:t>AUTO 124/2012, de 18 de junio de 2012</w:t>
      </w:r>
    </w:p>
    <w:bookmarkEnd w:id="265"/>
    <w:p w:rsidR="00E3576C" w:rsidRDefault="00E3576C" w:rsidP="00E3576C">
      <w:pPr>
        <w:pStyle w:val="TtuloResolucin"/>
      </w:pPr>
      <w:r>
        <w:t>Sala Segunda</w:t>
      </w:r>
    </w:p>
    <w:p w:rsidR="00E3576C" w:rsidRDefault="00E3576C" w:rsidP="00E3576C">
      <w:pPr>
        <w:pStyle w:val="TtuloResolucin"/>
      </w:pPr>
    </w:p>
    <w:p w:rsidR="00E3576C" w:rsidRDefault="00E3576C" w:rsidP="00E3576C">
      <w:pPr>
        <w:pStyle w:val="SntesisDescriptiva"/>
      </w:pPr>
      <w:r>
        <w:t>ECLI:ES:TC:2012:124A</w:t>
      </w:r>
    </w:p>
    <w:p w:rsidR="00E3576C" w:rsidRDefault="00E3576C" w:rsidP="00E3576C">
      <w:pPr>
        <w:pStyle w:val="SntesisDescriptiva"/>
      </w:pPr>
    </w:p>
    <w:p w:rsidR="00E3576C" w:rsidRDefault="00E3576C" w:rsidP="00E3576C">
      <w:pPr>
        <w:pStyle w:val="SntesisDescriptiva"/>
      </w:pPr>
      <w:r>
        <w:t>Excms. Srs. don Eugeni Gay Montalvo, doña Elisa Pérez Vera, don Ramón Rodríguez Arribas,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Deniega la suspensión en el recurso de amparo 6818-2011, promovido por doña Ana Fernández Martín, en proceso contencioso-administrativo.</w:t>
      </w:r>
    </w:p>
    <w:p w:rsidR="00E3576C" w:rsidRDefault="00E3576C" w:rsidP="00E3576C">
      <w:pPr>
        <w:pStyle w:val="SntesisDescriptiva"/>
      </w:pPr>
    </w:p>
    <w:p w:rsidR="00E3576C" w:rsidRDefault="00E3576C" w:rsidP="00E3576C">
      <w:pPr>
        <w:pStyle w:val="SntesisAnaltica"/>
      </w:pPr>
      <w:r>
        <w:t>Suspensión cautelar de Sentencias contencioso-administrativas: pago de una cantidad, no suspende; perjuicios reparables.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15 de diciembre de 2011 tuvo entrada en este Tribunal escrito de la Procuradora de los Tribunales, doña Aurora Gutiérrez Martín, actuando en nombre y representación de doña Ana Fernández Martín, mediante el que interpuso recurso de amparo contra la Sentencia 279/2011, de 18 de noviembre, dictada por el Juzgado de lo Contencioso-Administrativo núm. 1 de Madrid, desestimatoria del recurso contencioso-administrativo núm. 861-2009 interpuesto contra la resolución sancionadora del Director General de Movilidad del Ayuntamiento de Madrid de 16 de julio de 2009 por la que se le imponía una multa de 301 euros.</w:t>
      </w:r>
    </w:p>
    <w:p w:rsidR="00E3576C" w:rsidRDefault="00E3576C" w:rsidP="00E3576C">
      <w:pPr>
        <w:pStyle w:val="TextoNormal"/>
      </w:pPr>
    </w:p>
    <w:p w:rsidR="00E3576C" w:rsidRDefault="00E3576C" w:rsidP="00E3576C">
      <w:pPr>
        <w:pStyle w:val="TextoNormal"/>
      </w:pPr>
      <w:r w:rsidRPr="00E3576C">
        <w:rPr>
          <w:rStyle w:val="NumeroAFNegritaCaracter"/>
        </w:rPr>
        <w:t>2</w:t>
      </w:r>
      <w:r>
        <w:t>. La recurrente alega en su demanda que la resolución impugnada vulnera el derecho a la legalidad sancionadora (art. 25.1 CE) porque cumplió en todo momento con su obligación de identificar al conductor de forma suficiente y precisa para que el Ayuntamiento pudiera dirigir contra él el procedimiento sancionador. Invoca asimismo la vulneración del derecho a la presunción de inocencia (art. 24.2 CE) que sólo podría verse, en su opinión, enervado por una conducta evasiva o reticente del propietario del vehículo que entiende no ha concurrido en este caso. Finalmente, pone de manifiesto la vulneración del derecho a la igualdad en la aplicación de la ley (art. 14 CE) ya que la Sentencia se habría pronunciado en sentido distinto a las diferentes Sentencias del Tribunal Constitucional en esta materia citando, en concreto, la STC de 12 de julio de 2004.</w:t>
      </w:r>
    </w:p>
    <w:p w:rsidR="00E3576C" w:rsidRDefault="00E3576C" w:rsidP="00E3576C">
      <w:pPr>
        <w:pStyle w:val="TextoNormal"/>
      </w:pPr>
    </w:p>
    <w:p w:rsidR="00E3576C" w:rsidRDefault="00E3576C" w:rsidP="00E3576C">
      <w:pPr>
        <w:pStyle w:val="TextoNormal"/>
      </w:pPr>
      <w:r>
        <w:t>Mediante otrosí la recurrente en amparo solicita se acuerde la suspensión de la ejecución del acto administrativo y de la Sentencia impugnada conforme a lo dispuesto en el art. 56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Por sendas providencias de 19 de abril de 2012, la Sala Segunda de este Tribunal acordó admitir a trámite la demanda de amparo, y ordenar que se formase la presente pieza separada de suspensión concediendo a la demandante y al Ministerio Fiscal, conforme a lo </w:t>
      </w:r>
      <w:r>
        <w:lastRenderedPageBreak/>
        <w:t>dispuesto en el art. 56 LOTC, plazo común de tres días para formular alegaciones en relación con la suspensión solicitada.</w:t>
      </w:r>
    </w:p>
    <w:p w:rsidR="00E3576C" w:rsidRDefault="00E3576C" w:rsidP="00E3576C">
      <w:pPr>
        <w:pStyle w:val="TextoNormal"/>
      </w:pPr>
    </w:p>
    <w:p w:rsidR="00E3576C" w:rsidRDefault="00E3576C" w:rsidP="00E3576C">
      <w:pPr>
        <w:pStyle w:val="TextoNormal"/>
      </w:pPr>
      <w:r w:rsidRPr="00E3576C">
        <w:rPr>
          <w:rStyle w:val="NumeroAFNegritaCaracter"/>
        </w:rPr>
        <w:t>4</w:t>
      </w:r>
      <w:r>
        <w:t>. El Ministerio Fiscal mediante escrito registrado en este Tribunal el 11 de mayo de 2012 evacuó el trámite de alegaciones. Recuerda con carácter preliminar la doctrina constitucional, indicando que la suspensión es una medida excepcional de aplicación restrictiva siendo la regla general la no suspensión salvo que la ejecución de la Sentencia recurrida ocasione un perjuicio irreparable, real y efectivo que pudiera hacer perder al recurso su finalidad; es decir, cuando el restablecimiento del recurrente en el derecho constitucional vulnerado sea tardío e inefectivo. Esta decisión exige una ponderación de los intereses generales y los derechos fundamentales de terceros y del interés particular del demandante de amparo que alega, a su vez, la vulneración de un derecho fundamental.</w:t>
      </w:r>
    </w:p>
    <w:p w:rsidR="00E3576C" w:rsidRDefault="00E3576C" w:rsidP="00E3576C">
      <w:pPr>
        <w:pStyle w:val="TextoNormal"/>
      </w:pPr>
    </w:p>
    <w:p w:rsidR="00E3576C" w:rsidRDefault="00E3576C" w:rsidP="00E3576C">
      <w:pPr>
        <w:pStyle w:val="TextoNormal"/>
      </w:pPr>
      <w:r>
        <w:t>En el presente caso, entiende el Ministerio Fiscal que la demandante de amparo no ha acreditado el perjuicio que habría de sufrir en el caso de que se procediera a la ejecución del acto administrativo impugnado, razón por la que la petición debe ser desestimada y añade que por ser la resolución impugnada una multa de 301,00 euros resulta de aplicación la doctrina general de que los pronunciamientos de efectos meramente patrimoniales, por su contenido económico, no causan, en principio, perjuicios de imposible reparación.</w:t>
      </w:r>
    </w:p>
    <w:p w:rsidR="00E3576C" w:rsidRDefault="00E3576C" w:rsidP="00E3576C">
      <w:pPr>
        <w:pStyle w:val="TextoNormal"/>
      </w:pPr>
    </w:p>
    <w:p w:rsidR="00E3576C" w:rsidRDefault="00E3576C" w:rsidP="00E3576C">
      <w:pPr>
        <w:pStyle w:val="TextoNormal"/>
      </w:pPr>
      <w:r>
        <w:t>La demandante de amparo no presentó alegaciones en el plazo conferido al efecto por la providencia de la Sala Segunda de 19 de abril de 2012.</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De acuerdo con lo dispuesto en el art. 56.1 de la Ley Orgánica del Tribunal Constitucional (LOTC), “la interposición del recurso de amparo no suspenderá los efectos del acto o sentencia impugnados”. Este primer apartado ha de conectarse con lo previsto en los demás apartados del citado art. 56 LOTC, particularmente con el segundo que fija: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Este Tribunal ha declarado (por todos, ATC 16/2012, de 30 de enero, FJ 1)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E3576C" w:rsidRDefault="00E3576C" w:rsidP="00E3576C">
      <w:pPr>
        <w:pStyle w:val="TextoNormal"/>
      </w:pPr>
    </w:p>
    <w:p w:rsidR="00E3576C" w:rsidRDefault="00E3576C" w:rsidP="00E3576C">
      <w:pPr>
        <w:pStyle w:val="TextoNormal"/>
      </w:pPr>
      <w:r>
        <w:lastRenderedPageBreak/>
        <w:t>Por ello la adopción de esta medida cautelar sólo resulta pertinente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E3576C" w:rsidRDefault="00E3576C" w:rsidP="00E3576C">
      <w:pPr>
        <w:pStyle w:val="TextoNormal"/>
      </w:pPr>
    </w:p>
    <w:p w:rsidR="00E3576C" w:rsidRDefault="00E3576C" w:rsidP="00E3576C">
      <w:pPr>
        <w:pStyle w:val="TextoNormal"/>
      </w:pPr>
      <w:r>
        <w:t>Asimismo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1/2011, de 14 de febrero, FJ 3; y ATC 16/2012, de 30 de enero, FJ 2.)</w:t>
      </w:r>
    </w:p>
    <w:p w:rsidR="00E3576C" w:rsidRDefault="00E3576C" w:rsidP="00E3576C">
      <w:pPr>
        <w:pStyle w:val="TextoNormal"/>
      </w:pPr>
    </w:p>
    <w:p w:rsidR="00E3576C" w:rsidRDefault="00E3576C" w:rsidP="00E3576C">
      <w:pPr>
        <w:pStyle w:val="TextoNormal"/>
      </w:pPr>
      <w:r w:rsidRPr="00E3576C">
        <w:rPr>
          <w:rStyle w:val="NumeroAFNegritaCaracter"/>
        </w:rPr>
        <w:t>2</w:t>
      </w:r>
      <w:r>
        <w:t>. En el caso que nos ocupa, tal y como señala el Ministerio Fiscal, la demandante de amparo ni alega ni acredita los perjuicios irreparables que la ejecución del acto administrativo impugnado, una multa de 301 euros, podría ocasionarle, pues se limita en su petición de suspensión a remitirse a lo establecido en el art. 56 LOTC sin que, posteriormente, en el plazo concedido al efecto presentara alegaciones. Así pues, debemos entender que el perjuicio que ocasiona la ejecución de la resolución sancionadora es única y exclusivamente económico resultando por ello de aplicación la doctrina expuesta en el fundamento jurídico anterior en cuanto que la ejecución del acto administrativo cuya legalidad fue confirmada por la Sentencia recurrida en amparo no impediría la restauración efectiva de los derechos fundamentales que la demandante estima conculcados al ser posible la restitución íntegra de lo ejecutado, razón por la cual debemos denegar la suspensión solicitada.</w:t>
      </w:r>
    </w:p>
    <w:p w:rsidR="00E3576C" w:rsidRDefault="00E3576C" w:rsidP="00E3576C">
      <w:pPr>
        <w:pStyle w:val="TextoNormal"/>
      </w:pPr>
    </w:p>
    <w:p w:rsidR="00E3576C" w:rsidRDefault="00E3576C" w:rsidP="00E3576C">
      <w:pPr>
        <w:pStyle w:val="TextoNormal"/>
      </w:pPr>
      <w:r>
        <w:t>Por todo lo expuesto, la Sala</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Denegar la suspensión solicitada.</w:t>
      </w:r>
    </w:p>
    <w:p w:rsidR="00E3576C" w:rsidRDefault="00E3576C" w:rsidP="00E3576C">
      <w:pPr>
        <w:pStyle w:val="TextoNormal"/>
      </w:pPr>
    </w:p>
    <w:p w:rsidR="00E3576C" w:rsidRDefault="00E3576C" w:rsidP="00E3576C">
      <w:pPr>
        <w:pStyle w:val="TextoNormal"/>
      </w:pPr>
      <w:r>
        <w:t>Madrid, a dieciocho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6" w:name="AUTO_2012_125"/>
      <w:r>
        <w:lastRenderedPageBreak/>
        <w:t>AUTO 125/2012, de 18 de junio de 2012</w:t>
      </w:r>
    </w:p>
    <w:bookmarkEnd w:id="266"/>
    <w:p w:rsidR="00E3576C" w:rsidRDefault="00E3576C" w:rsidP="00E3576C">
      <w:pPr>
        <w:pStyle w:val="TtuloResolucin"/>
      </w:pPr>
      <w:r>
        <w:t>Sección Tercera</w:t>
      </w:r>
    </w:p>
    <w:p w:rsidR="00E3576C" w:rsidRDefault="00E3576C" w:rsidP="00E3576C">
      <w:pPr>
        <w:pStyle w:val="TtuloResolucin"/>
      </w:pPr>
    </w:p>
    <w:p w:rsidR="00E3576C" w:rsidRDefault="00E3576C" w:rsidP="00E3576C">
      <w:pPr>
        <w:pStyle w:val="SntesisDescriptiva"/>
      </w:pPr>
      <w:r>
        <w:t>ECLI:ES:TC:2012:125A</w:t>
      </w:r>
    </w:p>
    <w:p w:rsidR="00E3576C" w:rsidRDefault="00E3576C" w:rsidP="00E3576C">
      <w:pPr>
        <w:pStyle w:val="SntesisDescriptiva"/>
      </w:pPr>
    </w:p>
    <w:p w:rsidR="00E3576C" w:rsidRDefault="00E3576C" w:rsidP="00E3576C">
      <w:pPr>
        <w:pStyle w:val="SntesisDescriptiva"/>
      </w:pPr>
      <w:r>
        <w:t>Excms. Srs. don Eugeni Gay Montalvo, don Francisco José Hernando Santiago y don Francisco Pérez de los Cobos Orihuel.</w:t>
      </w:r>
    </w:p>
    <w:p w:rsidR="00E3576C" w:rsidRDefault="00E3576C" w:rsidP="00E3576C">
      <w:pPr>
        <w:pStyle w:val="SntesisDescriptiva"/>
      </w:pPr>
    </w:p>
    <w:p w:rsidR="00E3576C" w:rsidRDefault="00E3576C" w:rsidP="00E3576C">
      <w:pPr>
        <w:pStyle w:val="SntesisDescriptiva"/>
      </w:pPr>
      <w:r>
        <w:t>Acuerda el desistimiento en el recurso de amparo 411-2012, promovido en proceso contencioso-administrativo.</w:t>
      </w:r>
    </w:p>
    <w:p w:rsidR="00E3576C" w:rsidRDefault="00E3576C" w:rsidP="00E3576C">
      <w:pPr>
        <w:pStyle w:val="SntesisDescriptiva"/>
      </w:pPr>
    </w:p>
    <w:p w:rsidR="00E3576C" w:rsidRDefault="00E3576C" w:rsidP="00E3576C">
      <w:pPr>
        <w:pStyle w:val="SntesisAnaltica"/>
      </w:pPr>
      <w:r>
        <w:t>Desistimiento de recurso de amparo: procede.</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Por el Procurador don David García Riquelme, en nombre de Vázquez y Castro, S.L., Inmobiliaria Alozaima, S.L., Grupo Acraba, S.L., E.S. El Moro, S.L., Estagas, S.L., y Grossen S.A., se presentó recurso de amparo el día 25 de enero de 2012 que se registró con el número 411-2012.</w:t>
      </w:r>
    </w:p>
    <w:p w:rsidR="00E3576C" w:rsidRDefault="00E3576C" w:rsidP="00E3576C">
      <w:pPr>
        <w:pStyle w:val="TextoNormal"/>
      </w:pPr>
    </w:p>
    <w:p w:rsidR="00E3576C" w:rsidRDefault="00E3576C" w:rsidP="00E3576C">
      <w:pPr>
        <w:pStyle w:val="TextoNormal"/>
      </w:pPr>
      <w:r w:rsidRPr="00E3576C">
        <w:rPr>
          <w:rStyle w:val="NumeroAFNegritaCaracter"/>
        </w:rPr>
        <w:t>2</w:t>
      </w:r>
      <w:r>
        <w:t>. El día 9 de mayo de 2012, por el mismo Procurador señor García Riquelme, se presentó escrito desistiendo del recurso planteado.</w:t>
      </w:r>
    </w:p>
    <w:p w:rsidR="00E3576C" w:rsidRDefault="00E3576C" w:rsidP="00E3576C">
      <w:pPr>
        <w:pStyle w:val="TextoNormal"/>
      </w:pPr>
    </w:p>
    <w:p w:rsidR="00E3576C" w:rsidRDefault="00E3576C" w:rsidP="00E3576C">
      <w:pPr>
        <w:pStyle w:val="TextoNormal"/>
      </w:pPr>
      <w:r w:rsidRPr="00E3576C">
        <w:rPr>
          <w:rStyle w:val="NumeroAFNegritaCaracter"/>
        </w:rPr>
        <w:t>3</w:t>
      </w:r>
      <w:r>
        <w:t>. Se acordó, por diligencia de ordenación de fecha 10 de mayo siguiente, dar traslado al Ministerio Fiscal para alegaciones sobre el desistimiento pretendido, lo que hizo por escrito de 29 de mayo último, en el sentido de no oponerse al desistimiento.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desistimiento es una forma de terminación del procedimiento prevista en los arts. 80 y 86 de nuestra Ley Orgánica,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dado el carácter rogado que, en principio, tiene la jurisdicción de amparo constitucional [arts. 161.1 b) CE y 41.3 de la Ley Orgánica del Tribunal Constitucional], procede acceder al desistimiento solicitado.</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Tener por desistido y apartado de la prosecución del presente recurso a Vázquez y Castro, S. L., Inmobiliaria Alozaima, S.L., Grupo Acraba, S.L., E.S. El Moro S.L., Estagas, S.L., y Grossen, S.A., acordándose el archivo de las actuaciones.</w:t>
      </w:r>
    </w:p>
    <w:p w:rsidR="00E3576C" w:rsidRDefault="00E3576C" w:rsidP="00E3576C">
      <w:pPr>
        <w:pStyle w:val="TextoNormal"/>
      </w:pPr>
    </w:p>
    <w:p w:rsidR="00E3576C" w:rsidRDefault="00E3576C" w:rsidP="00E3576C">
      <w:pPr>
        <w:pStyle w:val="TextoNormal"/>
      </w:pPr>
      <w:r>
        <w:t>Madrid, a dieciocho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7" w:name="AUTO_2012_126"/>
      <w:r>
        <w:lastRenderedPageBreak/>
        <w:t>AUTO 126/2012, de 19 de junio de 2012</w:t>
      </w:r>
    </w:p>
    <w:bookmarkEnd w:id="267"/>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ECLI:ES:TC:2012:126A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Acuerda la extinción de la cuestión de inconstitucionalidad 4916-2002, planteada por el Juzgado de lo Penal núm. 1 de Ponferrada en relación con el artículo 335 del Código penal.</w:t>
      </w:r>
    </w:p>
    <w:p w:rsidR="00E3576C" w:rsidRDefault="00E3576C" w:rsidP="00E3576C">
      <w:pPr>
        <w:pStyle w:val="SntesisDescriptiva"/>
      </w:pPr>
    </w:p>
    <w:p w:rsidR="00E3576C" w:rsidRDefault="00E3576C" w:rsidP="00E3576C">
      <w:pPr>
        <w:pStyle w:val="SntesisAnaltica"/>
      </w:pPr>
      <w:r>
        <w:t>Inadmisión de cuestión de inconstitucionalidad: cuestión de inconstitucionalidad resuelta previamente (STC 101/2012).</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22 de agosto de 2002 tuvo entrada en el Registro General de este Tribunal escrito del Juzgado de lo Penal núm. 1 de Ponferrada, al que se acompaña, junto con el testimonio del procedimiento abreviado núm. 120-2002, el Auto del mismo órgano judicial de 26 de julio de 2002, por el que se acuerda plantear cuestión de inconstitucionalidad respecto del art. 335 del Código penal (CP), por posible vulneración de los arts. 9.3 y 25.1 CE.</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de los que trae causa la citada cuestión de inconstitucionalidad son, en síntesis, los siguientes:</w:t>
      </w:r>
    </w:p>
    <w:p w:rsidR="00E3576C" w:rsidRDefault="00E3576C" w:rsidP="00E3576C">
      <w:pPr>
        <w:pStyle w:val="TextoNormal"/>
      </w:pPr>
    </w:p>
    <w:p w:rsidR="00E3576C" w:rsidRDefault="00E3576C" w:rsidP="00E3576C">
      <w:pPr>
        <w:pStyle w:val="TextoNormal"/>
      </w:pPr>
      <w:r>
        <w:t xml:space="preserve">a) El 2 de diciembre de 1999, agentes de la patrulla SEPRONA de Fabero, sorprendieron a don Enrique Lobón Ochoa en el paraje denominado Coto Castellanos en el término municipal de Berlanga, portando en su vehículo una escopeta de caza y un arrendajo (garrulus glandarius) al que había dado caza esa misma tarde en dicho lugar. </w:t>
      </w:r>
    </w:p>
    <w:p w:rsidR="00E3576C" w:rsidRDefault="00E3576C" w:rsidP="00E3576C">
      <w:pPr>
        <w:pStyle w:val="TextoNormal"/>
      </w:pPr>
    </w:p>
    <w:p w:rsidR="00E3576C" w:rsidRDefault="00E3576C" w:rsidP="00E3576C">
      <w:pPr>
        <w:pStyle w:val="TextoNormal"/>
      </w:pPr>
      <w:r>
        <w:t xml:space="preserve">b) Por este motivo, el Juzgado de Instrucción núm. 3 de Ponferrada instruyó diligencias previas núm. 74-2000, y, con fecha de 26 de mayo de 2000, dictó Auto acordando su continuación por los trámites del procedimiento abreviado (núm. 2000032-2000), por si los hechos considerados fueren constitutivos de un delito contra los recursos naturales y el medio ambiente. Formulada acusación por el Ministerio Fiscal, el Juzgado de Instrucción, por nuevo Auto de 22 de marzo de 2000, acordó la apertura del correspondiente juicio oral. </w:t>
      </w:r>
    </w:p>
    <w:p w:rsidR="00E3576C" w:rsidRDefault="00E3576C" w:rsidP="00E3576C">
      <w:pPr>
        <w:pStyle w:val="TextoNormal"/>
      </w:pPr>
    </w:p>
    <w:p w:rsidR="00E3576C" w:rsidRDefault="00E3576C" w:rsidP="00E3576C">
      <w:pPr>
        <w:pStyle w:val="TextoNormal"/>
      </w:pPr>
      <w:r>
        <w:t xml:space="preserve">c) Remitidas las actuaciones al Juzgado de lo Penal núm. 1 de Ponferrada (núm. 120-2002), una vez conclusas y dentro del plazo para dictar Sentencia, el citado Juzgado, por providencia de 2 de julio de 2002, acordó, de conformidad con lo previsto en el artículo 35.2 de la Ley Orgánica del Tribunal Constitucional (LOTC), conceder a las partes y al </w:t>
      </w:r>
      <w:r>
        <w:lastRenderedPageBreak/>
        <w:t>Ministerio Fiscal plazo común de diez días para que formularan alegaciones sobre la pertinencia de plantear cuestión de inconstitucionalidad respecto del art. 335 CP “por contravenir el art. 9.3 y 25.1 de la Constitución”.</w:t>
      </w:r>
    </w:p>
    <w:p w:rsidR="00E3576C" w:rsidRDefault="00E3576C" w:rsidP="00E3576C">
      <w:pPr>
        <w:pStyle w:val="TextoNormal"/>
      </w:pPr>
    </w:p>
    <w:p w:rsidR="00E3576C" w:rsidRDefault="00E3576C" w:rsidP="00E3576C">
      <w:pPr>
        <w:pStyle w:val="TextoNormal"/>
      </w:pPr>
      <w:r>
        <w:t>d) El Ministerio Fiscal, por escrito de 19 de julio de 2002, tras informar positivamente sobre el cumplimiento de los requisitos procesales: momento procesal oportuno, audiencia a las partes y aplicabilidad de la norma, estimó, sin embargo, no pertinente el planteamiento de la cuestión por considerar que el “[e]l art. 335 del Código Penal es una norma penal en blanco que cumple con las exigencias del principio de legalidad”. Por su parte, la defensa del acusado no cumplimentó el trámite conferido, y no formuló alegaciones respecto de la pertinencia de plantear la cuestión de inconstitucionalidad.</w:t>
      </w:r>
    </w:p>
    <w:p w:rsidR="00E3576C" w:rsidRDefault="00E3576C" w:rsidP="00E3576C">
      <w:pPr>
        <w:pStyle w:val="TextoNormal"/>
      </w:pPr>
    </w:p>
    <w:p w:rsidR="00E3576C" w:rsidRDefault="00E3576C" w:rsidP="00E3576C">
      <w:pPr>
        <w:pStyle w:val="TextoNormal"/>
      </w:pPr>
      <w:r>
        <w:t>e) Con fecha 26 de julio de 2002, el órgano judicial dictó Auto planteando la presente cuestión de inconstitucionalidad en relación con el art. 335 CP, por posible vulneración de los arts. 9.3 y 25.1 CE.</w:t>
      </w:r>
    </w:p>
    <w:p w:rsidR="00E3576C" w:rsidRDefault="00E3576C" w:rsidP="00E3576C">
      <w:pPr>
        <w:pStyle w:val="TextoNormal"/>
      </w:pPr>
    </w:p>
    <w:p w:rsidR="00E3576C" w:rsidRDefault="00E3576C" w:rsidP="00E3576C">
      <w:pPr>
        <w:pStyle w:val="TextoNormal"/>
      </w:pPr>
      <w:r w:rsidRPr="00E3576C">
        <w:rPr>
          <w:rStyle w:val="NumeroAFNegritaCaracter"/>
        </w:rPr>
        <w:t>3</w:t>
      </w:r>
      <w:r>
        <w:t>. El órgano judicial en su Auto de planteamiento expresa, expuesto de forma resumida, lo siguiente:</w:t>
      </w:r>
    </w:p>
    <w:p w:rsidR="00E3576C" w:rsidRDefault="00E3576C" w:rsidP="00E3576C">
      <w:pPr>
        <w:pStyle w:val="TextoNormal"/>
      </w:pPr>
    </w:p>
    <w:p w:rsidR="00E3576C" w:rsidRDefault="00E3576C" w:rsidP="00E3576C">
      <w:pPr>
        <w:pStyle w:val="TextoNormal"/>
      </w:pPr>
      <w:r>
        <w:t>En primer lugar, tras hacer unas consideraciones generales sobre el planteamiento de la cuestión de inconstitucionalidad, reproduce el texto del art. 335 del Código penal y pone de manifiesto la duda de constitucionalidad que recae sobre el mismo, así como la relevancia de la norma para la resolución del caso, habida cuenta que el fallo depende de la validez del mismo. El órgano judicial entiende que “[l]a constitucionalidad cuestionada de este precepto, viene dada por cuanto el núcleo esencial de la prohibición que contiene se desplaza íntegramente a la normativa administrativa no cumpliendo las exigencias que el Tribunal Constitucional establece para los denominados “tipos penales en blanco”, lo que contravendría el principio de legalidad y el de seguridad jurídica proclamado en los arts. 9.3 y 25.1 de la Constitución”. De acuerdo con ello, el Auto de planteamiento concluye que “de la validez del art. 335 CP depende directamente el fallo del presente juicio, pues el objeto del mismo es la caza de un arrendajo (garrulus glandarius), y tal especie no aparece catalogada como cinegética ni cazable en el anexo del Decreto 172/1998, de 3 de septiembre, que desarrolla los arts. 7 y 9 de la Ley 4/1.996, de 12 de julio, de Caza, de Castilla y León, por lo que la acción planteada se subsume directamente en el precepto citado del Código Penal y la decisión que en definitiva se adopte depende de su constitucionalidad sin que sea posible la acomodación, por vía interpretativa de la norma, al ordenamiento constitucional”.</w:t>
      </w:r>
    </w:p>
    <w:p w:rsidR="00E3576C" w:rsidRDefault="00E3576C" w:rsidP="00E3576C">
      <w:pPr>
        <w:pStyle w:val="TextoNormal"/>
      </w:pPr>
    </w:p>
    <w:p w:rsidR="00E3576C" w:rsidRDefault="00E3576C" w:rsidP="00E3576C">
      <w:pPr>
        <w:pStyle w:val="TextoNormal"/>
      </w:pPr>
      <w:r>
        <w:t xml:space="preserve">Tras dichas afirmaciones, desarrolla más extensamente las dudas de constitucionalidad que le suscita el citado precepto, indicando al respecto que “[l]as dudas que plantea la descripción que de la conducta típica hace el art. 335 CP, han sido expuestas, por el Tribunal Supremo, en Sentencia núm. 1302/2000”, si bien no resueltas por cuanto entendió que el fallo del recurso de casación no dependía de la validez del precepto, motivo por el cual no procedió a plantear la cuestión de inconstitucionalidad; cuestión que, sin embargo, si fue planteada por el Juzgado de lo Penal núm. 6 de Granada y admitida por el Tribunal Constitucional. </w:t>
      </w:r>
    </w:p>
    <w:p w:rsidR="00E3576C" w:rsidRDefault="00E3576C" w:rsidP="00E3576C">
      <w:pPr>
        <w:pStyle w:val="TextoNormal"/>
      </w:pPr>
    </w:p>
    <w:p w:rsidR="00E3576C" w:rsidRDefault="00E3576C" w:rsidP="00E3576C">
      <w:pPr>
        <w:pStyle w:val="TextoNormal"/>
      </w:pPr>
      <w:r>
        <w:t xml:space="preserve">Considera básicamente que dicho artículo contiene un núcleo de prohibición “tan genérico e indeterminado”, que “deja al poder reglamentario de las Comunidades Autónomas, </w:t>
      </w:r>
      <w:r>
        <w:lastRenderedPageBreak/>
        <w:t>por entero y ex novo la definición de las conductas susceptibles de sanción penal, lo que sería contrario a la reserva de ley del art. 25.1 CE y el resultado final es que se no concreta (sic) y precisa (sic) los elementos básicos de la correspondiente figura delictiva, estableciendo un supuesto de hecho tan extensamente delimitado que no permite deducir claramente y con el suficiente grado de certeza qué clases de conductas pueden llegar a ser sancionadas, lo que también colisionaría con la seguridad jurídica a la que se refiere el art. 9.3 CE”.</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Segunda del Tribunal Constitucional de 26 de noviembre de 2002, se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plazo de quince días pudieran personarse en el proceso y formular las alegaciones que estimaren convenientes. También se acordó publicar la incoación de la cuestión en el “Boletín Oficial del Estado”.</w:t>
      </w:r>
    </w:p>
    <w:p w:rsidR="00E3576C" w:rsidRDefault="00E3576C" w:rsidP="00E3576C">
      <w:pPr>
        <w:pStyle w:val="TextoNormal"/>
      </w:pPr>
    </w:p>
    <w:p w:rsidR="00E3576C" w:rsidRDefault="00E3576C" w:rsidP="00E3576C">
      <w:pPr>
        <w:pStyle w:val="TextoNormal"/>
      </w:pPr>
      <w:r w:rsidRPr="00E3576C">
        <w:rPr>
          <w:rStyle w:val="NumeroAFNegritaCaracter"/>
        </w:rPr>
        <w:t>5</w:t>
      </w:r>
      <w:r>
        <w:t>. El día 13 de diciembre de 2002, la Presidenta del Congreso de los Diputados comunicó al Tribunal Constitucional que dicha Cámara no se personaría en el proceso ni formularía alegaciones; no obstante, pone a disposición del Tribunal las actuaciones de la Cámara que pueda precisar.</w:t>
      </w:r>
    </w:p>
    <w:p w:rsidR="00E3576C" w:rsidRDefault="00E3576C" w:rsidP="00E3576C">
      <w:pPr>
        <w:pStyle w:val="TextoNormal"/>
      </w:pPr>
    </w:p>
    <w:p w:rsidR="00E3576C" w:rsidRDefault="00E3576C" w:rsidP="00E3576C">
      <w:pPr>
        <w:pStyle w:val="TextoNormal"/>
      </w:pPr>
      <w:r w:rsidRPr="00E3576C">
        <w:rPr>
          <w:rStyle w:val="NumeroAFNegritaCaracter"/>
        </w:rPr>
        <w:t>6</w:t>
      </w:r>
      <w:r>
        <w:t>. El 17 de diciembre de 2002 el Abogado del Estado se personó en nombre del Gobierno en el presente proceso constitucional y formuló las alegaciones que seguidamente se resumen:</w:t>
      </w:r>
    </w:p>
    <w:p w:rsidR="00E3576C" w:rsidRDefault="00E3576C" w:rsidP="00E3576C">
      <w:pPr>
        <w:pStyle w:val="TextoNormal"/>
      </w:pPr>
    </w:p>
    <w:p w:rsidR="00E3576C" w:rsidRDefault="00E3576C" w:rsidP="00E3576C">
      <w:pPr>
        <w:pStyle w:val="TextoNormal"/>
      </w:pPr>
      <w:r>
        <w:t xml:space="preserve">Comienza indicando que el objeto de la cuestión, al igual que el de la núm. 4246-2001, es la constitucionalidad del art. 335 del Código penal, por violación del art. 25.1 CE y del principio de seguridad jurídica (art. 9.3 CE). Y señala al respecto que, a diferencia de la antedicha cuestión, el presente asunto, “[d]ados los rasgos fenotípicos del arrendajo”, “permite que nos planteemos de frente y en toda su amplitud los problemas de constitucionalidad que el Juez proponente advierte en el art. 335 CP”. </w:t>
      </w:r>
    </w:p>
    <w:p w:rsidR="00E3576C" w:rsidRDefault="00E3576C" w:rsidP="00E3576C">
      <w:pPr>
        <w:pStyle w:val="TextoNormal"/>
      </w:pPr>
    </w:p>
    <w:p w:rsidR="00E3576C" w:rsidRDefault="00E3576C" w:rsidP="00E3576C">
      <w:pPr>
        <w:pStyle w:val="TextoNormal"/>
      </w:pPr>
      <w:r>
        <w:t>Seguidamente, tras hacer unas consideraciones previas sobre los arts. 334 y 335 del Código penal, muestra su disconformidad con las argumentaciones del Auto de planteamiento. Considera que es “fácilmente descartable el reproche relativo al déficit de previsibilidad” dado que únicamente precisa de la consulta por parte del interesado de “una simple Orden anual de caza”.</w:t>
      </w:r>
    </w:p>
    <w:p w:rsidR="00E3576C" w:rsidRDefault="00E3576C" w:rsidP="00E3576C">
      <w:pPr>
        <w:pStyle w:val="TextoNormal"/>
      </w:pPr>
    </w:p>
    <w:p w:rsidR="00E3576C" w:rsidRDefault="00E3576C" w:rsidP="00E3576C">
      <w:pPr>
        <w:pStyle w:val="TextoNormal"/>
      </w:pPr>
      <w:r>
        <w:t>Igualmente rechaza el argumento del órgano judicial sobre la diferente pena con arreglo al art. 335 CE dependiendo de las partes de España en las que se aplique, por cuanto ello “es simplemente la consecuencia natural del peculiar carácter compuesto del Estado español, basado en que todas las Comunidades Autónomas disfrutan de potestad legislativa, además de la reglamentaria”.</w:t>
      </w:r>
    </w:p>
    <w:p w:rsidR="00E3576C" w:rsidRDefault="00E3576C" w:rsidP="00E3576C">
      <w:pPr>
        <w:pStyle w:val="TextoNormal"/>
      </w:pPr>
    </w:p>
    <w:p w:rsidR="00E3576C" w:rsidRDefault="00E3576C" w:rsidP="00E3576C">
      <w:pPr>
        <w:pStyle w:val="TextoNormal"/>
      </w:pPr>
      <w:r>
        <w:t xml:space="preserve">A continuación indica que el “argumento verdaderamente central” en el Auto de planteamiento, es el relativo a la infracción de reserva de ley en relación con los tipos penales incompletos o en blanco. Al respeto entiende el Abogado del Estado que el art. 335 CP </w:t>
      </w:r>
      <w:r>
        <w:lastRenderedPageBreak/>
        <w:t>satisface todos los requisitos de constitucionalidad de las llamadas leyes penales en blanco, a saber: “[r]eenvío expreso y justificado por razón del bien jurídico protegido”, que en el caso presente es la protección de la biodiversividad animal, “no siendo misión apropiada para las normas penales ofrecer una lista exhaustiva de animales no cazables, puesto que esta relación puede resultar modificada por motivos contingentes, como es la alteración o variación de las poblaciones animales por las causas más diversas y cambiantes en el tiempo”; “[s]eñalamiento de la pena en el precepto penal”; y “[n]úcleo esencial de la prohibición contenido en la norma penal remitente y precisión de la conducta por la norma complementaria extrapenal”.</w:t>
      </w:r>
    </w:p>
    <w:p w:rsidR="00E3576C" w:rsidRDefault="00E3576C" w:rsidP="00E3576C">
      <w:pPr>
        <w:pStyle w:val="TextoNormal"/>
      </w:pPr>
    </w:p>
    <w:p w:rsidR="00E3576C" w:rsidRDefault="00E3576C" w:rsidP="00E3576C">
      <w:pPr>
        <w:pStyle w:val="TextoNormal"/>
      </w:pPr>
      <w:r>
        <w:t>Por todo ello suplica que se tenga por personado al Gobierno y por formuladas las precedentes alegaciones así como que se dicte Sentencia desestimando la cuestión planteada.</w:t>
      </w:r>
    </w:p>
    <w:p w:rsidR="00E3576C" w:rsidRDefault="00E3576C" w:rsidP="00E3576C">
      <w:pPr>
        <w:pStyle w:val="TextoNormal"/>
      </w:pPr>
    </w:p>
    <w:p w:rsidR="00E3576C" w:rsidRDefault="00E3576C" w:rsidP="00E3576C">
      <w:pPr>
        <w:pStyle w:val="TextoNormal"/>
      </w:pPr>
      <w:r w:rsidRPr="00E3576C">
        <w:rPr>
          <w:rStyle w:val="NumeroAFNegritaCaracter"/>
        </w:rPr>
        <w:t>7</w:t>
      </w:r>
      <w:r>
        <w:t>. El Presidente del Senado, mediante escrito registrado el día 19 de diciembre de 2002, comunicó que la Mesa de la Cámara había acordado personarse en el proceso, ofreciendo su colaboración a los efectos del art. 88.1 LOTC.</w:t>
      </w:r>
    </w:p>
    <w:p w:rsidR="00E3576C" w:rsidRDefault="00E3576C" w:rsidP="00E3576C">
      <w:pPr>
        <w:pStyle w:val="TextoNormal"/>
      </w:pPr>
    </w:p>
    <w:p w:rsidR="00E3576C" w:rsidRDefault="00E3576C" w:rsidP="00E3576C">
      <w:pPr>
        <w:pStyle w:val="TextoNormal"/>
      </w:pPr>
      <w:r w:rsidRPr="00E3576C">
        <w:rPr>
          <w:rStyle w:val="NumeroAFNegritaCaracter"/>
        </w:rPr>
        <w:t>8</w:t>
      </w:r>
      <w:r>
        <w:t>. Mediante escrito registrado el día 20 de diciembre de 2002, el Fiscal General del Estado evacuó el trámite de alegaciones conferido en los términos siguientes:</w:t>
      </w:r>
    </w:p>
    <w:p w:rsidR="00E3576C" w:rsidRDefault="00E3576C" w:rsidP="00E3576C">
      <w:pPr>
        <w:pStyle w:val="TextoNormal"/>
      </w:pPr>
    </w:p>
    <w:p w:rsidR="00E3576C" w:rsidRDefault="00E3576C" w:rsidP="00E3576C">
      <w:pPr>
        <w:pStyle w:val="TextoNormal"/>
      </w:pPr>
      <w:r>
        <w:t xml:space="preserve">El Fiscal General del Estado comienza su escrito de alegaciones centrando la cuestión planteada; la cual, explica, se concreta básicamente en determinar si la norma penal que habría de aplicarse a la acción desarrollada por los encausados en el proceso penal, “tiene rango de ley y es lo bastante precisa para permitir a los ciudadanos conocer suficientemente la conducta que constituye delito, así como la pena correspondiente”. </w:t>
      </w:r>
    </w:p>
    <w:p w:rsidR="00E3576C" w:rsidRDefault="00E3576C" w:rsidP="00E3576C">
      <w:pPr>
        <w:pStyle w:val="TextoNormal"/>
      </w:pPr>
    </w:p>
    <w:p w:rsidR="00E3576C" w:rsidRDefault="00E3576C" w:rsidP="00E3576C">
      <w:pPr>
        <w:pStyle w:val="TextoNormal"/>
      </w:pPr>
      <w:r>
        <w:t>Tras una extensa exposición del panorama de la regulación normativa de la materia, y señalar que no parece necesario, en su opinión, “el análisis correspondiente al juicio de aplicabilidad y al juicio de relevancia de la norma cuestionada, dada la acertada conclusión sobre tales extremos por parte del órgano judicial que plantea la presente cuestión”, comienza a realizar consideraciones sobre el fondo del asunto. Es decir, sobre si la descripción del objeto sobre el que recae la acción del delito, —que el precepto cuestionado (art. 335 CP) circunscribe a las especies animales cuya caza o pesca no esté expresamente autorizada por las normas específicas en la materia (entre las que se encuentran directivas comunitarias, leyes estatales y autonómicas, así como reglamentos)—, respeta el principio de legalidad penal (art. 25.1 CE). Advierte al respecto, que “las leyes penales en blanco son constitucionalmente admisibles siempre que el reenvío sea expreso y esté justificado en razón del bien protegido, conteniendo la ley el núcleo esencial de la prohibición y se satisfaga la exigencia de certeza”.</w:t>
      </w:r>
    </w:p>
    <w:p w:rsidR="00E3576C" w:rsidRDefault="00E3576C" w:rsidP="00E3576C">
      <w:pPr>
        <w:pStyle w:val="TextoNormal"/>
      </w:pPr>
    </w:p>
    <w:p w:rsidR="00E3576C" w:rsidRDefault="00E3576C" w:rsidP="00E3576C">
      <w:pPr>
        <w:pStyle w:val="TextoNormal"/>
      </w:pPr>
      <w:r>
        <w:t xml:space="preserve">En relación con la observancia por parte del art. 335 del Código penal de las exigencias requeridas por la jurisprudencia constitucional, el Fiscal General del Estado aprecia que “el supuesto de hecho de la norma penal aplicable está descrito con la necesaria claridad, no existiendo, en principio indefinición”. Además, a su juicio, no puede afirmarse “que la descripción penal no contenga ‘el núcleo esencial de la prohibición’, pues ésta no es otra que la caza o pesca de determinadas especies de la fauna silvestre, cuya concreta relación no puede obviamente contenerse en un precepto del Código penal, mereciendo solo una genérica remisión a la normativa correspondiente”. Asimismo discrepa del órgano judicial sobre </w:t>
      </w:r>
      <w:r>
        <w:lastRenderedPageBreak/>
        <w:t xml:space="preserve">el hecho de que pueda considerarse la caza como una acción “neutra”, pues entiende que resulta perfectamente posible defender una tesis distinta, “en la que se arguya que el elemento de la antijuridicidad no tiene carácter autónomo, sino subordinado a la tipicidad (‘tipo injusto’), en base a lo cual, no cabrán acciones neutras, al hallarse siempre condicionadas a la concreta descripción del tipo penal, en el que radicará el concreto desvalor que a esa acción dispense la ley”. </w:t>
      </w:r>
    </w:p>
    <w:p w:rsidR="00E3576C" w:rsidRDefault="00E3576C" w:rsidP="00E3576C">
      <w:pPr>
        <w:pStyle w:val="TextoNormal"/>
      </w:pPr>
    </w:p>
    <w:p w:rsidR="00E3576C" w:rsidRDefault="00E3576C" w:rsidP="00E3576C">
      <w:pPr>
        <w:pStyle w:val="TextoNormal"/>
      </w:pPr>
      <w:r>
        <w:t>Por último, entiende que el hecho de que el art. 335 del Código penal se complemente a través de las diferentes normativas de las Comunidades Autónomas “no afecta en absoluto a la necesaria e imprescindible concreción de la conducta en la descripción de la norma, ni por ende al principio de seguridad jurídica, si es que se asume con todas sus consecuencias la realidad de la configuración autonómica de España”; y ello aun en el supuesto de legislaciones autonómicas no coincidentes, “puesto que el Juez al individualizar la norma, no aplicará ni una norma uniformadora ni una norma extraña al ámbito territorial de que se trate, sino que empleará aquella disposición autonómica, que complementando la estatal, arroje la conclusión de la existencia o la carencia de tipicidad de la particular conducta sometida a su examen”. En resumidas cuentas, “la certeza de la previsión legal resulta manifiesta, constituyendo de éste (sic) modo una infracción penal, la caza de cualquier animal silvestre, sin que quepa confundirse la certeza de la prohibición, con el hecho de que la normativa sea compleja y se halle establecida en los distintos cuerpos legales de diverso orden jerárquico, todo lo cual no resta un ápice a la máxima incontestable de la prohibición genérica y terminante de caza de cualquier animal silvestre”.</w:t>
      </w:r>
    </w:p>
    <w:p w:rsidR="00E3576C" w:rsidRDefault="00E3576C" w:rsidP="00E3576C">
      <w:pPr>
        <w:pStyle w:val="TextoNormal"/>
      </w:pPr>
    </w:p>
    <w:p w:rsidR="00E3576C" w:rsidRDefault="00E3576C" w:rsidP="00E3576C">
      <w:pPr>
        <w:pStyle w:val="TextoNormal"/>
      </w:pPr>
      <w:r>
        <w:t>Por todo ello, concluye el Fiscal General del Estado, “concurren en el precepto penal cuestionado, los requisitos exigidos por el Tribunal Constitucional en lo que afecta a la capacidad de las normas penales en blanco para adecuarse a las exigencias del principio de legalidad …; todo lo cual lleva a pronunciarse a favor de la constitucionalidad del mentado precepto y la ausencia de conflicto alguno entre éste y los arts. 9.3 y 25.1 de la Constitución”. Por lo que interesa se dicte Sentencia resolviéndose la Constitucionalidad del art. 335 del Código penal.</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 xml:space="preserve">El Juzgado de lo Penal núm. 1 de Ponferrada ha planteado cuestión de inconstitucionalidad en relación con el art. 335 del Código penal, por posible vulneración de los arts. 9.3 y 25.1 CE. </w:t>
      </w:r>
    </w:p>
    <w:p w:rsidR="00E3576C" w:rsidRDefault="00E3576C" w:rsidP="00E3576C">
      <w:pPr>
        <w:pStyle w:val="TextoNormal"/>
      </w:pPr>
    </w:p>
    <w:p w:rsidR="00E3576C" w:rsidRDefault="00E3576C" w:rsidP="00E3576C">
      <w:pPr>
        <w:pStyle w:val="TextoNormal"/>
      </w:pPr>
      <w:r>
        <w:t xml:space="preserve">La presente cuestión de inconstitucionalidad ha de considerarse resuelta por lo establecido en la reciente STC 101/2012, de 8 de mayo, en la que se declara la inconstitucionalidad y consiguiente nulidad del art. 335 del Código penal en la redacción de la Ley Orgánica 10/1995, de 23 de noviembre, resolución que tiene el valor de cosa juzgada y plenos efectos erga omnes a partir del día siguiente al de su publicación en el “Boletín Oficial del Estado” (arts. 164.1 CE y 38.1 de la Ley Orgánica del Tribunal Constitucional). Por consiguiente, una vez declarado inconstitucional y nulo, el precepto cuestionado ha sido expulsado del ordenamiento, lo que determina que, conforme a una reiterada jurisprudencia de este Tribunal (SSTC 387/1993, de 23 de diciembre, FJ único; 72/1997, de 10 de abril, FJ único; y 91/1997, de 8 de mayo, FJ único; y AATC 271/2005, de 21 de junio, FJ único; y 77/2007, </w:t>
      </w:r>
      <w:r>
        <w:lastRenderedPageBreak/>
        <w:t>de 27 de febrero, FJ único), debamos apreciar la desaparición sobrevenida del objeto de la cuestión aquí planteada con respecto al citado precepto legal, en la medida en que con su anulación ha quedado disipada la duda de constitucionalidad que el órgano judicial albergaba.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Declarar extinguida la cuestión de inconstitucionalidad núm. 4916-2002, por desaparición sobrevenida de su objeto.</w:t>
      </w:r>
    </w:p>
    <w:p w:rsidR="00E3576C" w:rsidRDefault="00E3576C" w:rsidP="00E3576C">
      <w:pPr>
        <w:pStyle w:val="TextoNormal"/>
      </w:pPr>
    </w:p>
    <w:p w:rsidR="00E3576C" w:rsidRDefault="00E3576C" w:rsidP="00E3576C">
      <w:pPr>
        <w:pStyle w:val="TextoNormal"/>
      </w:pPr>
      <w:r>
        <w:t>Madrid, a diecinueve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8" w:name="AUTO_2012_127"/>
      <w:r>
        <w:lastRenderedPageBreak/>
        <w:t>AUTO 127/2012, de 19 de junio de 2012</w:t>
      </w:r>
    </w:p>
    <w:bookmarkEnd w:id="268"/>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ECLI:ES:TC:2012:127A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por faltar las condiciones procesales, la cuestión de inconstitucionalidad 2713-2011, planteada por el Juzgado de Primera Instancia e Instrucción núm. 4 de Figueres en relación con el artículo 764.4 de la Ley de enjuiciamiento criminal.</w:t>
      </w:r>
    </w:p>
    <w:p w:rsidR="00E3576C" w:rsidRDefault="00E3576C" w:rsidP="00E3576C">
      <w:pPr>
        <w:pStyle w:val="SntesisDescriptiva"/>
      </w:pPr>
    </w:p>
    <w:p w:rsidR="00E3576C" w:rsidRDefault="00E3576C" w:rsidP="00E3576C">
      <w:pPr>
        <w:pStyle w:val="SntesisAnaltica"/>
      </w:pPr>
      <w:r>
        <w:t>Cuestión de inconstitucionalidad: momento procesal para plantear la cuestión de inconstitucionalidad. Inadmisión de cuestión de inconstitucionalidad: inadmisión de cuestión de inconstitucionalidad por falta de requisitos procesales.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11 de mayo de 2011 tuvo entrada en el Registro General de este Tribunal escrito del Juzgado de Primera Instancia e Instrucción núm. 4 de Figueres, al que se acompañaba, junto con testimonio del procedimiento abreviado núm. 30-2010, el Auto 27 de abril de 2011 por el que se planteaba cuestión de inconstitucionalidad respecto del art. 764.4 de la Ley de enjuiciamiento criminal por la posible vulneración del art. 24.2 y 25.1 CE.</w:t>
      </w:r>
    </w:p>
    <w:p w:rsidR="00E3576C" w:rsidRDefault="00E3576C" w:rsidP="00E3576C">
      <w:pPr>
        <w:pStyle w:val="TextoNormal"/>
      </w:pPr>
    </w:p>
    <w:p w:rsidR="00E3576C" w:rsidRDefault="00E3576C" w:rsidP="00E3576C">
      <w:pPr>
        <w:pStyle w:val="TextoNormal"/>
      </w:pPr>
      <w:r w:rsidRPr="00E3576C">
        <w:rPr>
          <w:rStyle w:val="NumeroAFNegritaCaracter"/>
        </w:rPr>
        <w:t>2</w:t>
      </w:r>
      <w:r>
        <w:t>. Los antecedentes de hecho de la presente cuestión de inconstitucionalidad son los siguientes:</w:t>
      </w:r>
    </w:p>
    <w:p w:rsidR="00E3576C" w:rsidRDefault="00E3576C" w:rsidP="00E3576C">
      <w:pPr>
        <w:pStyle w:val="TextoNormal"/>
      </w:pPr>
    </w:p>
    <w:p w:rsidR="00E3576C" w:rsidRDefault="00E3576C" w:rsidP="00E3576C">
      <w:pPr>
        <w:pStyle w:val="TextoNormal"/>
      </w:pPr>
      <w:r>
        <w:t>a) En el proceso judicial en el seno del cual se plantea la presente cuestión de inconstitucionalidad se formuló acusación por tres delitos contra la seguridad del tráfico. En el Auto de apertura del juicio oral de 17 de noviembre de 2010 se acordó requerir al acusado para que entregase el permiso de conducir y que se abstuviera de conducir. El acusado interpuso recurso de reforma aduciendo, entre otras razones, que la entrega del permiso suponía un cumplimiento anticipado de la pena solicitada por la acusación. El recurso fue inadmitido por el Juez con fundamento en que contra el Auto de apertura del juicio oral no cabe interponer recurso alguno.</w:t>
      </w:r>
    </w:p>
    <w:p w:rsidR="00E3576C" w:rsidRDefault="00E3576C" w:rsidP="00E3576C">
      <w:pPr>
        <w:pStyle w:val="TextoNormal"/>
      </w:pPr>
    </w:p>
    <w:p w:rsidR="00E3576C" w:rsidRDefault="00E3576C" w:rsidP="00E3576C">
      <w:pPr>
        <w:pStyle w:val="TextoNormal"/>
      </w:pPr>
      <w:r>
        <w:t>Seguidamente el acusado presentó escrito en el que, con el mismo fundamento que el recurso de reforma, solicitaba la modificación de la medida y, consecuentemente, la devolución del permiso de conducir (que por lo demás nunca llegó a entregar). Tras emitir informe el Ministerio Fiscal en el sentido de oponerse a la solicitud formulada por el acusado, el Juez dictó providencia de 11 de abril de 2011 con el siguiente contenido:</w:t>
      </w:r>
    </w:p>
    <w:p w:rsidR="00E3576C" w:rsidRDefault="00E3576C" w:rsidP="00E3576C">
      <w:pPr>
        <w:pStyle w:val="TextoNormal"/>
      </w:pPr>
    </w:p>
    <w:p w:rsidR="00E3576C" w:rsidRDefault="00E3576C" w:rsidP="00E3576C">
      <w:pPr>
        <w:pStyle w:val="TextoNormal"/>
      </w:pPr>
      <w:r>
        <w:t>“Previo a resolver el recurso instado por el letrado de la defensa, en relación al art. 764.4 de la Ley de enjuiciamiento Criminal, y pudiendo existir dudas sobre su posible constitucionalidad por vulnerar los artículos 24, 25 y 9.3 de la Constitución; de conformidad con lo que establece el art. 35.2 de la Ley Orgánica del Tribunal Constitucional se da plazo común e improrrogable de 10 días a las partes personadas y al Ministerio Fiscal para oírles sobre la pertinencia de plantear la cuestión de inconstitucionalidad.”</w:t>
      </w:r>
    </w:p>
    <w:p w:rsidR="00E3576C" w:rsidRDefault="00E3576C" w:rsidP="00E3576C">
      <w:pPr>
        <w:pStyle w:val="TextoNormal"/>
      </w:pPr>
    </w:p>
    <w:p w:rsidR="00E3576C" w:rsidRDefault="00E3576C" w:rsidP="00E3576C">
      <w:pPr>
        <w:pStyle w:val="TextoNormal"/>
      </w:pPr>
      <w:r>
        <w:t>b) El Juez dictó el Auto de 27 de abril de 2001, en el cual acuerda, de un lado la devolución del permiso de conducir al demandante de amparo, y de otro el planteamiento de la cuestión de constitucionalidad del art. 764.4 de la Ley de enjuiciamiento criminal. En cuanto a esto último considera el Juzgado que la intervención del permiso de conducir con requerimiento para que se abstenga de conducir vehículos a motor supone una condena anticipada del acusado que vulnera la presunción de inocencia (art. 24.2 CE), pues se impone antes de que se haya pronunciado la condena y que, dada la tardanza de los procesos penales (tanto en instancia como en apelación) la medida cautelar puede durar más que la pena que finalmente pudiera llegar a imponerse. Se vulnera además el art. 25.1 CE por cuanto el precepto cuestionado desconocería las exigencias del principio de legalidad y, consecuentemente, del art. 24.2 CE por no satisfacer las exigencias del derecho a un proceso con todas las garantías.</w:t>
      </w:r>
    </w:p>
    <w:p w:rsidR="00E3576C" w:rsidRDefault="00E3576C" w:rsidP="00E3576C">
      <w:pPr>
        <w:pStyle w:val="TextoNormal"/>
      </w:pPr>
    </w:p>
    <w:p w:rsidR="00E3576C" w:rsidRDefault="00E3576C" w:rsidP="00E3576C">
      <w:pPr>
        <w:pStyle w:val="TextoNormal"/>
      </w:pPr>
      <w:r w:rsidRPr="00E3576C">
        <w:rPr>
          <w:rStyle w:val="NumeroAFNegritaCaracter"/>
        </w:rPr>
        <w:t>3</w:t>
      </w:r>
      <w:r>
        <w:t>. Mediante providencia de 28 de septiembre de 2011, la Sección Tercera de este Tribunal acordó, de conformidad con lo dispuesto por el art. 37.1 de la Ley Orgánica del Tribunal Constitucional (LOTC), oír al Fiscal General del Estado para que, en el plazo de diez días alegase lo que considerase conveniente acerca de la admisibilidad de la presente cuestión de inconstitucionalidad en relación con el cumplimiento de los requisitos procesales (art. 35.2 LOTC) y por si fuese notoriamente infundado su planteamiento.</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Mediante escrito presentado en el Registro General de este Tribunal el día 28 de octubre de 2011, el Fiscal General, evacuando el traslado conferido interesó la inadmisión de la cuestión de inconstitucionalidad. </w:t>
      </w:r>
    </w:p>
    <w:p w:rsidR="00E3576C" w:rsidRDefault="00E3576C" w:rsidP="00E3576C">
      <w:pPr>
        <w:pStyle w:val="TextoNormal"/>
      </w:pPr>
      <w:r>
        <w:t xml:space="preserve"> </w:t>
      </w:r>
    </w:p>
    <w:p w:rsidR="00E3576C" w:rsidRDefault="00E3576C" w:rsidP="00E3576C">
      <w:pPr>
        <w:pStyle w:val="TextoNormal"/>
      </w:pPr>
      <w:r>
        <w:t>Aduce el Fiscal que no se realizó correctamente el trámite de audiencia previsto en el art. 35.2 LOTC, pues la providencia de 11 de abril de 2011 por la que se daba traslado a las partes para que formulasen alegaciones en relación con la procedencia de plantear la cuestión de inconstitucionalidad no fue notificada al acusado sino únicamente al Ministerio Fiscal. De ahí que, en correspondencia con el carácter sustancial que a este trámite ha atribuido la doctrina constitucional (ATC 13/2008), haya de inadmitirse la presente cuestión de inconstitucionalidad.</w:t>
      </w:r>
    </w:p>
    <w:p w:rsidR="00E3576C" w:rsidRDefault="00E3576C" w:rsidP="00E3576C">
      <w:pPr>
        <w:pStyle w:val="TextoNormal"/>
      </w:pPr>
    </w:p>
    <w:p w:rsidR="00E3576C" w:rsidRDefault="00E3576C" w:rsidP="00E3576C">
      <w:pPr>
        <w:pStyle w:val="TextoNormal"/>
      </w:pPr>
      <w:r>
        <w:t xml:space="preserve">Considera el Ministerio Fiscal que el Auto de planteamiento adolece de toda fundamentación de la pretendida oposición del precepto legal cuestionado al art. 25.1 CE, razón por la cual no cabe realzar análisis alguno al respecto. No obstante, razona que el precepto legal no contiene una pena anticipada sino que faculta al Juez para adoptar una medida cautelar con la que se persigue un fin constitucionalmente lícito —conjurar los riesgos que para la seguridad de la circulación se derivarían del mantenimiento de las facultades para conducir por quienes han podido transgredir sus normas—, y respeta las exigencias de certeza y previsibilidad al estar establecidas en el precepto legal con precisión suficiente, lo cual cierra el paso a decisiones judiciales arbitrarias. Es además una medida proporcionada en cuanto </w:t>
      </w:r>
      <w:r>
        <w:lastRenderedPageBreak/>
        <w:t>resulta idónea y necesaria para la consecución del fin perseguido, así como proporcionada en sentido estricto en cuanto se aplica a quienes ya evidenciaron un riesgo para la seguridad vial.</w:t>
      </w:r>
    </w:p>
    <w:p w:rsidR="00E3576C" w:rsidRDefault="00E3576C" w:rsidP="00E3576C">
      <w:pPr>
        <w:pStyle w:val="TextoNormal"/>
      </w:pPr>
    </w:p>
    <w:p w:rsidR="00E3576C" w:rsidRDefault="00E3576C" w:rsidP="00E3576C">
      <w:pPr>
        <w:pStyle w:val="TextoNormal"/>
      </w:pPr>
      <w:r>
        <w:t>En último término, con cita de la STC 169/2001, razona el Fiscal que este Tribunal ya se ha manifestado sobre la adecuación de la posibilidad de adoptar medidas cautelares con el principio de presunción de inocencia siempre que las medidas sean adoptadas en resolución judicial motivada, proporcionada al fin perseguido y con carácter temporal. Añade que, aun siendo cierto que la norma no exige que la medida se adopte a petición de parte ni que se de audiencia al acusado antes de acordarla, nada impide al órgano judicial abrir un trámite específico al fin de garantizar el derecho a un proceso con todas las garantías. Por lo demás, señala el Fiscal lo contradictorio que resulta aplicar el precepto legal acordando la medida cautelar de privación del permiso de conducir sin albergar dudas sobre su constitucionalidad y luego plantear la cuestión de inconstitucionalidad sobre el precepto dejando simultáneamente sin efecto la medida cautelar. Pues lo correcto hubiera sido acordar el planteamiento de la cuestión de inconstitucionalidad cuando hubo de resolver sobre la medida cautelar solicitada por el Fiscal en su escrito de conclusiones.</w:t>
      </w:r>
    </w:p>
    <w:p w:rsidR="00E3576C" w:rsidRDefault="00E3576C" w:rsidP="00E3576C">
      <w:pPr>
        <w:pStyle w:val="TextoNormal"/>
      </w:pPr>
    </w:p>
    <w:p w:rsidR="00E3576C" w:rsidRDefault="00E3576C" w:rsidP="00E3576C">
      <w:pPr>
        <w:pStyle w:val="TextoNormal"/>
      </w:pPr>
      <w:r>
        <w:t>Por las razones expuestas concluye el Ministerio Fiscal solicitando se dicta Auto de inadmisión de la cuestión de inconstitucionalidad.</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La presente cuestión de inconstitucionalidad se formula en relación con el art. 764.4 de la Ley de enjuiciamiento criminal por posible vulneración de los arts. 24.2 y 25.1 CE. El precepto legal cuestionado, en lo que ahora interesa, dispone que, como medida cautelar, “[t]ambién podrá acordarse la intervención del permiso de conducción requiriendo al imputado para que se abstenga de conducir vehículos de motor, en tanto subsista la medida, con la prevención de lo dispuesto en el art. 556 del Código Penal”.</w:t>
      </w:r>
    </w:p>
    <w:p w:rsidR="00E3576C" w:rsidRDefault="00E3576C" w:rsidP="00E3576C">
      <w:pPr>
        <w:pStyle w:val="TextoNormal"/>
      </w:pPr>
    </w:p>
    <w:p w:rsidR="00E3576C" w:rsidRDefault="00E3576C" w:rsidP="00E3576C">
      <w:pPr>
        <w:pStyle w:val="TextoNormal"/>
      </w:pPr>
      <w:r>
        <w:t>Tal como se ha dejado constancia en los antecedentes de esta resolución, el órgano judicial proponente de la cuestión, al acordar la apertura del juicio oral contra el acusado, accedió a la solicitud del Ministerio Fiscal de retirar cautelarmente al acusado el permiso de conducir con obligación de abstenerse de conducir. Por providencia de 16 de diciembre de 2010, inadmitió el recurso de reforma interpuesto por el acusado contra la medida cautelar al considerar que no cabía recurso alguno contra el Auto de apertura de juicio oral. Seguidamente el acusado solicitó la modificación de la medida cautelar interesando que se dejase sin efecto, petición a la que accedió el órgano judicial en el mismo Auto de 27 de abril de 2011 en el que acordó el planteamiento de la cuestión de inconstitucionalidad, sin que, por lo demás, conste en autos que el acusado llegase a entregar el permiso de conducir.</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La exposición de iter procesal que condujo al planteamiento de la cuestión de inconstitucionalidad pone de manifiesto la falta de uno de los presupuestos procesales exigidos por el art. 53.2 de la Ley Orgánica del Tribunal Constitucional (LOTC), cual es que se encuentre pendiente de adoptar la decisión judicial para la que sea relevante la norma legal cuestionada. Carencia que, de conformidad con lo dispuesto en el art. 37.1 LOTC, permite </w:t>
      </w:r>
      <w:r>
        <w:lastRenderedPageBreak/>
        <w:t>a este Tribunal rechazar, en trámite de admisión, mediante Auto y sin otra audiencia que la del Fiscal General del Estado, la cuestión de inconstitucionalidad.</w:t>
      </w:r>
    </w:p>
    <w:p w:rsidR="00E3576C" w:rsidRDefault="00E3576C" w:rsidP="00E3576C">
      <w:pPr>
        <w:pStyle w:val="TextoNormal"/>
      </w:pPr>
    </w:p>
    <w:p w:rsidR="00E3576C" w:rsidRDefault="00E3576C" w:rsidP="00E3576C">
      <w:pPr>
        <w:pStyle w:val="TextoNormal"/>
      </w:pPr>
      <w:r>
        <w:t>En efecto, a tenor de lo dispuesto en el art. 35.2 LOTC, el órgano judicial sólo podrá plantear la cuestión una vez concluso el procedimiento y dentro del plazo para dictar Sentencia, o la resolución jurisdiccional que procediese, precisión esta última introducida por la Ley Orgánica 6/2007, de 24 de mayo, de acuerdo con la doctrina constitucional que tempranamente admitió el planteamiento de la cuestión en el seno de procesos incidentales (STC 76/1982, de 14 de diciembre). La pendencia de la decisión judicial a adoptar es un requisito sustancial para el planteamiento de la cuestión de inconstitucionalidad, pues ésta es una modalidad procesal cuya justificación se encuentra en la necesidad de hacer compatible la doble vinculación del Juez a la ley y a la Constitución en el momento de tomar una decisión jurisdiccional, de suerte que si tal decisión ya ha sido adoptada carece de justificación el planteamiento de la duda de constitucionalidad, salvo que quiera convertir la cuestión de inconstitucionalidad en un proceso de control abstracto de la constitucionalidad de la ley en el sentido de desvinculado de un proceso judicial concreto.</w:t>
      </w:r>
    </w:p>
    <w:p w:rsidR="00E3576C" w:rsidRDefault="00E3576C" w:rsidP="00E3576C">
      <w:pPr>
        <w:pStyle w:val="TextoNormal"/>
      </w:pPr>
    </w:p>
    <w:p w:rsidR="00E3576C" w:rsidRDefault="00E3576C" w:rsidP="00E3576C">
      <w:pPr>
        <w:pStyle w:val="TextoNormal"/>
      </w:pPr>
      <w:r w:rsidRPr="00E3576C">
        <w:rPr>
          <w:rStyle w:val="NumeroAFNegritaCaracter"/>
        </w:rPr>
        <w:t>3</w:t>
      </w:r>
      <w:r>
        <w:t xml:space="preserve">. En el supuesto ahora sometido a nuestro enjuiciamiento, el órgano judicial tenía que dar respuesta a la solicitud formulada por el acusado para que dejase sin efecto la medida cautelar de retirada del permiso de conducir, decisión para la cual podía ser relevante la constitucionalidad de la norma que habilita al Juez para adoptar la medida cautelar de referencia. De afirmarse la inconstitucionalidad de la norma legal la consecuencia necesaria sería el levantamiento de la medida cautelar, mientras que de no apreciarse incompatibilidad alguna con la Constitución el órgano judicial podía, de considerar que concurren los presupuestos necesarios, mantener la medida en cuestión. </w:t>
      </w:r>
    </w:p>
    <w:p w:rsidR="00E3576C" w:rsidRDefault="00E3576C" w:rsidP="00E3576C">
      <w:pPr>
        <w:pStyle w:val="TextoNormal"/>
      </w:pPr>
    </w:p>
    <w:p w:rsidR="00E3576C" w:rsidRDefault="00E3576C" w:rsidP="00E3576C">
      <w:pPr>
        <w:pStyle w:val="TextoNormal"/>
      </w:pPr>
      <w:r>
        <w:t>Pues bien, al mismo tiempo que acordó plantear la cuestión de inconstitucionalidad ante este Tribunal el órgano judicial dejó sin efecto la privación cautelar del permiso de conducir, de modo que nada tenía ya que resolver con vinculación a la decisión de este Tribunal respecto a si el art. 764.4 de la Ley de enjuiciamiento criminal contraviene o no los arts. 24.2 y 25.1 CE. Tal como recordábamos en el ATC 184/2009, de 15 de junio, “la cuestión de inconstitucionalidad presenta en nuestro ordenamiento jurídico carácter prejudicial, de modo que, como ya afirmáramos en los AATC 361/2004, de 21 de septiembre, FJ 4, y 134/2006, de 4 de abril, FJ 2,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w:t>
      </w:r>
    </w:p>
    <w:p w:rsidR="00E3576C" w:rsidRDefault="00E3576C" w:rsidP="00E3576C">
      <w:pPr>
        <w:pStyle w:val="TextoNormal"/>
      </w:pPr>
    </w:p>
    <w:p w:rsidR="00E3576C" w:rsidRDefault="00E3576C" w:rsidP="00E3576C">
      <w:pPr>
        <w:pStyle w:val="TextoNormal"/>
      </w:pPr>
      <w:r w:rsidRPr="00E3576C">
        <w:rPr>
          <w:rStyle w:val="NumeroAFNegritaCaracter"/>
        </w:rPr>
        <w:t>4</w:t>
      </w:r>
      <w:r>
        <w:t>. La inadmisión de la cuestión por este motivo convierte en innecesario el análisis del resto de causas de inadmisión aducidas por el Fiscal General del Estado.</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lastRenderedPageBreak/>
        <w:t>ACUERDA</w:t>
      </w:r>
    </w:p>
    <w:p w:rsidR="00E3576C" w:rsidRDefault="00E3576C" w:rsidP="00E3576C">
      <w:pPr>
        <w:pStyle w:val="TextoNormalCentrado"/>
      </w:pPr>
    </w:p>
    <w:p w:rsidR="00E3576C" w:rsidRDefault="00E3576C" w:rsidP="00E3576C">
      <w:pPr>
        <w:pStyle w:val="TextoNormal"/>
      </w:pPr>
      <w:r>
        <w:t>Inadmitir a trámite la presente cuestión de inconstitucionalidad.</w:t>
      </w:r>
    </w:p>
    <w:p w:rsidR="00E3576C" w:rsidRDefault="00E3576C" w:rsidP="00E3576C">
      <w:pPr>
        <w:pStyle w:val="TextoNormal"/>
      </w:pPr>
    </w:p>
    <w:p w:rsidR="00E3576C" w:rsidRDefault="00E3576C" w:rsidP="00E3576C">
      <w:pPr>
        <w:pStyle w:val="TextoNormal"/>
      </w:pPr>
      <w:r>
        <w:t>Madrid, a diecinueve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69" w:name="AUTO_2012_128"/>
      <w:r>
        <w:lastRenderedPageBreak/>
        <w:t>AUTO 128/2012, de 19 de junio de 2012</w:t>
      </w:r>
    </w:p>
    <w:bookmarkEnd w:id="269"/>
    <w:p w:rsidR="00E3576C" w:rsidRDefault="00E3576C" w:rsidP="00E3576C">
      <w:pPr>
        <w:pStyle w:val="TtuloResolucin"/>
      </w:pPr>
      <w:r>
        <w:t>Pleno</w:t>
      </w:r>
    </w:p>
    <w:p w:rsidR="00E3576C" w:rsidRDefault="00E3576C" w:rsidP="00E3576C">
      <w:pPr>
        <w:pStyle w:val="TtuloResolucin"/>
      </w:pPr>
    </w:p>
    <w:p w:rsidR="00E3576C" w:rsidRDefault="00E3576C" w:rsidP="00E3576C">
      <w:pPr>
        <w:pStyle w:val="SntesisDescriptiva"/>
      </w:pPr>
      <w:r>
        <w:t>ECLI:ES:TC:2012:128A</w:t>
      </w:r>
    </w:p>
    <w:p w:rsidR="00E3576C" w:rsidRDefault="00E3576C" w:rsidP="00E3576C">
      <w:pPr>
        <w:pStyle w:val="SntesisDescriptiva"/>
      </w:pPr>
    </w:p>
    <w:p w:rsidR="00E3576C" w:rsidRDefault="00E3576C" w:rsidP="00E3576C">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E3576C" w:rsidRDefault="00E3576C" w:rsidP="00E3576C">
      <w:pPr>
        <w:pStyle w:val="SntesisDescriptiva"/>
      </w:pPr>
    </w:p>
    <w:p w:rsidR="00E3576C" w:rsidRDefault="00E3576C" w:rsidP="00E3576C">
      <w:pPr>
        <w:pStyle w:val="SntesisDescriptiva"/>
      </w:pPr>
      <w:r>
        <w:t>Inadmite a trámite la cuestión de inconstitucionalidad 5494-2011, planteada por el Juzgado de lo Contencioso-Administrativo núm. 6 de Las Palmas de Gran Canaria en relación con el Real Decreto-ley 8/2012, de 20 de mayo, por el que se adoptan medidas extraordinarias para la reducción del déficit público.</w:t>
      </w:r>
    </w:p>
    <w:p w:rsidR="00E3576C" w:rsidRDefault="00E3576C" w:rsidP="00E3576C">
      <w:pPr>
        <w:pStyle w:val="SntesisDescriptiva"/>
      </w:pPr>
    </w:p>
    <w:p w:rsidR="00E3576C" w:rsidRDefault="00E3576C" w:rsidP="00E3576C">
      <w:pPr>
        <w:pStyle w:val="SntesisAnaltica"/>
      </w:pPr>
      <w:r>
        <w:t>Cuestión de inconstitucionalidad: juicio de aplicabilidad; trámite de audiencia defectuoso. Decretos-leyes: límite material de los Decretos-leyes; situación de extraordinaria y urgente necesidad. Inadmisión de cuestión de inconstitucionalidad: cuestión de inconstitucionalidad notoriamente infundada; inadmisión de cuestión de inconstitucionalidad por falta de requisitos procesales.</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11 de octubre de 2011 tuvo entrada en el Registro General de este Tribunal escrito del Juzgado de lo Contencioso-Administrativo núm. 6 de Las Palmas de Gran Canaria, al que se acompaña, junto con el testimonio del procedimiento ordinario núm. 598-2010 que se tramita ante dicho Juzgado, el Auto de 21 de septiembre de 2011, por el que se acuerda plantear cuestión de inconstitucionalidad respecto del Real Decreto-ley 8/2010, de 20 de mayo, por el que se adoptan medidas extraordinarias para la reducción del déficit público, por posible vulneración de los arts. 14, 33 y 86.1 CE.</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de los que trae causa la cuestión de inconstitucionalidad planteada son, en síntesis, los siguientes:</w:t>
      </w:r>
    </w:p>
    <w:p w:rsidR="00E3576C" w:rsidRDefault="00E3576C" w:rsidP="00E3576C">
      <w:pPr>
        <w:pStyle w:val="TextoNormal"/>
      </w:pPr>
    </w:p>
    <w:p w:rsidR="00E3576C" w:rsidRDefault="00E3576C" w:rsidP="00E3576C">
      <w:pPr>
        <w:pStyle w:val="TextoNormal"/>
      </w:pPr>
      <w:r>
        <w:t xml:space="preserve">a) La federación de servicios a la ciudadanía de Canarias de Comisiones Obreras (CC OO) presentó el día 15 de febrero de 2011 recurso contencioso-administrativo contra el Decreto núm. 2692 del Concejal delegado de personal del Ayuntamiento de Puerto del Rosario (Fuerteventura), de fecha 27 de julio de 2010, que resolvió desestimar el recurso de alzada previamente interpuesto, relativo a la aplicación del Real Decreto-ley 8/2010, de 20 de mayo. En dicho recurso solicitaba que se dictara Sentencia declarando no ser conforme a Derecho el decreto recurrido ni, en consecuencia, los descuentos que en aplicación del Real Decreto-ley 8/2010 fueron practicados en la nómina de los empleados municipales en el mes de junio de 2010 y sucesivos, anulándolos y retrotrayendo la situación al momento </w:t>
      </w:r>
      <w:r>
        <w:lastRenderedPageBreak/>
        <w:t>existente previo a los mismos, disponiendo el abono de las cantidades individuales descontadas y suplicando se declarara el derecho de los funcionarios y empleados municipales a seguir percibiendo las cantidades retributivas que venían recibiendo con anterioridad a la aplicación del citado Real Decreto-ley 8/2010. Asimismo, la demandante también solicitaba del Juzgado el planteamiento de cuestión de inconstitucionalidad respecto al Real Decreto-ley 8/2010, de 20 de mayo, por entender que el mismo vulnera los arts. 1, 9.1, 2 y 3, 14, 66.2, 86.1, 103.1 y 134.1 y 2 CE.</w:t>
      </w:r>
    </w:p>
    <w:p w:rsidR="00E3576C" w:rsidRDefault="00E3576C" w:rsidP="00E3576C">
      <w:pPr>
        <w:pStyle w:val="TextoNormal"/>
      </w:pPr>
    </w:p>
    <w:p w:rsidR="00E3576C" w:rsidRDefault="00E3576C" w:rsidP="00E3576C">
      <w:pPr>
        <w:pStyle w:val="TextoNormal"/>
      </w:pPr>
      <w:r>
        <w:t>b) Mediante providencia de 21 de junio de 2011, el Juzgado declaró el pleito concluso y, con suspensión del plazo para dictar Sentencia, acordó “dar traslado a Administración demandada y al Ministerio Fiscal por un plazo común e improrrogable de diez días, a fin de que aleguen cuanto a su derecho convenga sobre la pertinencia de plantear ante el Tribunal Constitucional la cuestión de inconstitucionalidad planteada en el escrito de demanda”.</w:t>
      </w:r>
    </w:p>
    <w:p w:rsidR="00E3576C" w:rsidRDefault="00E3576C" w:rsidP="00E3576C">
      <w:pPr>
        <w:pStyle w:val="TextoNormal"/>
      </w:pPr>
    </w:p>
    <w:p w:rsidR="00E3576C" w:rsidRDefault="00E3576C" w:rsidP="00E3576C">
      <w:pPr>
        <w:pStyle w:val="TextoNormal"/>
      </w:pPr>
      <w:r>
        <w:t>c) El Ayuntamiento de Puerto del Rosario formuló sus alegaciones mediante escrito registrado el 29 de junio de 2011, en el que solicitaba que el Juzgado declarara no haber lugar a plantear la cuestión de inconstitucionalidad, dado que la misma ya había sido resuelta por el Tribunal Constitucional en su Auto de 7 de junio de 2011, por el que había acordado su inadmisión, y cuya copia adjuntaba.</w:t>
      </w:r>
    </w:p>
    <w:p w:rsidR="00E3576C" w:rsidRDefault="00E3576C" w:rsidP="00E3576C">
      <w:pPr>
        <w:pStyle w:val="TextoNormal"/>
      </w:pPr>
    </w:p>
    <w:p w:rsidR="00E3576C" w:rsidRDefault="00E3576C" w:rsidP="00E3576C">
      <w:pPr>
        <w:pStyle w:val="TextoNormal"/>
      </w:pPr>
      <w:r>
        <w:t>d) El Fiscal, mediante escrito de 1 de julio de 2011, también manifestó que no procedía plantear la cuestión de inconstitucionalidad, por haberse pronunciado ya el Tribunal Constitucional sobre la norma cuestionada en el Auto de 7 de junio de 2011, rechazando la cuestión elevada, que a su entender era idéntica a la planteada en el presente procedimiento.</w:t>
      </w:r>
    </w:p>
    <w:p w:rsidR="00E3576C" w:rsidRDefault="00E3576C" w:rsidP="00E3576C">
      <w:pPr>
        <w:pStyle w:val="TextoNormal"/>
      </w:pPr>
    </w:p>
    <w:p w:rsidR="00E3576C" w:rsidRDefault="00E3576C" w:rsidP="00E3576C">
      <w:pPr>
        <w:pStyle w:val="TextoNormal"/>
      </w:pPr>
      <w:r>
        <w:t xml:space="preserve">e) Mediante providencia de 4 de julio de 2011, el Juzgado resolvió no haber lugar al planteamiento de la cuestión de inconstitucionalidad, por constar en las actuaciones que dicha cuestión había sido ya resuelta por el Tribunal Constitucional, razón por la que acordó alzar la suspensión que venía ordenada y, con continuación del trámite, dejar los autos conclusos para Sentencia. En esta providencia se indicaba la posibilidad de interponer recurso de reposición frente a dicha resolución. </w:t>
      </w:r>
    </w:p>
    <w:p w:rsidR="00E3576C" w:rsidRDefault="00E3576C" w:rsidP="00E3576C">
      <w:pPr>
        <w:pStyle w:val="TextoNormal"/>
      </w:pPr>
    </w:p>
    <w:p w:rsidR="00E3576C" w:rsidRDefault="00E3576C" w:rsidP="00E3576C">
      <w:pPr>
        <w:pStyle w:val="TextoNormal"/>
      </w:pPr>
      <w:r>
        <w:t>f) Contra la citada providencia de 4 de julio de 2011 se interpuso recurso de reposición por parte de la federación demandante, alegando que el ATC de 7 de junio de 2011 sólo se había pronunciado respecto a la posible vulneración de los arts. 7 y 28.1 CE en relación con el art. 37.1 CE, afectando además la cuestión a personal laboral de la Administración. En cambio, dice la demandante, el presente recurso afectaba al personal funcionario y los preceptos cuya vulneración se invoca van más allá de los examinados por el citado Auto del Tribunal Constitucional, al extenderse también a los arts. 86, 66.2, 134, 14, 9.1, 9.2, 9.3, 31, 33, 103 y 1 CE. Por ello, y tras aludir a Autos de otros Juzgados de lo Contencioso-Administrativo que habían elevado cuestión de inconstitucionalidad respecto al Real Decreto-ley 8/2010 por posible vulneración de varios de los preceptos indicados, el sindicato demandante suplica que, asimismo, el Juzgado de lo Contencioso-Administrativo núm. 6 de Las Palmas de Gran Canaria acuerde plantear la cuestión de inconstitucionalidad solicitada.</w:t>
      </w:r>
    </w:p>
    <w:p w:rsidR="00E3576C" w:rsidRDefault="00E3576C" w:rsidP="00E3576C">
      <w:pPr>
        <w:pStyle w:val="TextoNormal"/>
      </w:pPr>
    </w:p>
    <w:p w:rsidR="00E3576C" w:rsidRDefault="00E3576C" w:rsidP="00E3576C">
      <w:pPr>
        <w:pStyle w:val="TextoNormal"/>
      </w:pPr>
      <w:r>
        <w:t>g) Atendidas las razones expuestas por la recurrente, el Juzgado estimó el recurso de reposición mediante Auto de 21 de septiembre de 2011, por el que se deja sin efecto la providencia de 4 de julio de 2011.</w:t>
      </w:r>
    </w:p>
    <w:p w:rsidR="00E3576C" w:rsidRDefault="00E3576C" w:rsidP="00E3576C">
      <w:pPr>
        <w:pStyle w:val="TextoNormal"/>
      </w:pPr>
    </w:p>
    <w:p w:rsidR="00E3576C" w:rsidRDefault="00E3576C" w:rsidP="00E3576C">
      <w:pPr>
        <w:pStyle w:val="TextoNormal"/>
      </w:pPr>
      <w:r>
        <w:t>h) También mediante Auto de 21 de septiembre de 2011, el Juzgado de lo Contencioso-Administrativo núm. 6 de Las Palmas de Gran Canaria acordó plantear cuestión de inconstitucionalidad “por la posible inconstitucionalidad del Real Decreto-Ley 8/2010, de 20 de mayo, por el que se adoptan medidas extraordinarias para la reducción del déficit público, por estimar que podría infringir los artículos 14 (principio de igualdad), 33 (derecho de propiedad) y 86.1 (reserva de Ley, salvo extraordinaria y urgente necesidad) del ordenamiento constitucional”.</w:t>
      </w:r>
    </w:p>
    <w:p w:rsidR="00E3576C" w:rsidRDefault="00E3576C" w:rsidP="00E3576C">
      <w:pPr>
        <w:pStyle w:val="TextoNormal"/>
      </w:pPr>
    </w:p>
    <w:p w:rsidR="00E3576C" w:rsidRDefault="00E3576C" w:rsidP="00E3576C">
      <w:pPr>
        <w:pStyle w:val="TextoNormal"/>
      </w:pPr>
      <w:r w:rsidRPr="00E3576C">
        <w:rPr>
          <w:rStyle w:val="NumeroAFNegritaCaracter"/>
        </w:rPr>
        <w:t>3</w:t>
      </w:r>
      <w:r>
        <w:t>. En el citado Auto de 21 de septiembre de 2011, el Juzgado fundamenta el planteamiento de la cuestión de inconstitucionalidad en las consideraciones que seguidamente, y de forma resumida, se indican.</w:t>
      </w:r>
    </w:p>
    <w:p w:rsidR="00E3576C" w:rsidRDefault="00E3576C" w:rsidP="00E3576C">
      <w:pPr>
        <w:pStyle w:val="TextoNormal"/>
      </w:pPr>
    </w:p>
    <w:p w:rsidR="00E3576C" w:rsidRDefault="00E3576C" w:rsidP="00E3576C">
      <w:pPr>
        <w:pStyle w:val="TextoNormal"/>
      </w:pPr>
      <w:r>
        <w:t>a) En primer lugar, aduce que la extraordinaria y urgente necesidad exigida para la utilización del real decreto-ley no se encuentra suficientemente justificada. Considera el Juzgado que no concurre en el caso la nota de imprevisibilidad con que algunos pronunciamientos del Tribunal Constitucional conectan la extraordinaria y urgente necesidad, pues si bien era cierta la situación de grave crisis económica de carácter global, dicha situación se conocía desde hacía al menos dos años. Por ello, entiende el Auto, era necesaria una explicación y una fundamentación racional, o una justificación plasmada en la exposición de motivos, de la alteración sustancial de las cuentas públicas y de las retribuciones de los empleados públicos para sostener la concordancia de la misma con las exigencias del art. 86 CE, apreciándose que la explicación ofrecida en el Real Decreto-ley resulta insuficiente a estos efectos.</w:t>
      </w:r>
    </w:p>
    <w:p w:rsidR="00E3576C" w:rsidRDefault="00E3576C" w:rsidP="00E3576C">
      <w:pPr>
        <w:pStyle w:val="TextoNormal"/>
      </w:pPr>
    </w:p>
    <w:p w:rsidR="00E3576C" w:rsidRDefault="00E3576C" w:rsidP="00E3576C">
      <w:pPr>
        <w:pStyle w:val="TextoNormal"/>
      </w:pPr>
      <w:r>
        <w:t>b) En segundo término, el órgano judicial considera que la norma impugnada afecta a los derechos y libertades del título I de la Constitución, sobrepasando el límite establecido por el art. 86.1 CE.</w:t>
      </w:r>
    </w:p>
    <w:p w:rsidR="00E3576C" w:rsidRDefault="00E3576C" w:rsidP="00E3576C">
      <w:pPr>
        <w:pStyle w:val="TextoNormal"/>
      </w:pPr>
    </w:p>
    <w:p w:rsidR="00E3576C" w:rsidRDefault="00E3576C" w:rsidP="00E3576C">
      <w:pPr>
        <w:pStyle w:val="TextoNormal"/>
      </w:pPr>
      <w:r>
        <w:t xml:space="preserve">Según argumenta el Auto, el hecho de que el Real Decreto-ley 8/2010 anule los derechos económicos reconocidos a los empleados públicos por la Ley de presupuestos generales del Estado para el ejercicio 2010 implica violentar la protección constitucional derivada del reconocimiento de la propiedad privada en el art. 33 CE. En tal sentido se aduce que el real decreto-ley cuestionado tiene un contenido expropiatorio desde el momento en que se recortan, limitan y cercenan unos derechos económicos que ya habían sido reconocidos para toda la anualidad presupuestaria. A este respecto, el órgano judicial expone que el recorte se produce de forma efectiva no sólo sobre los sueldos devengados con posterioridad a la entrada en vigor del Real Decreto-ley, sino sobre la anualidad contemplada en su conjunto, como dice para todo el sector público la nueva redacción del art. 22.Dos.B.2 de la Ley 26/2009, lo que supone que también va a ser reducido lo ya cobrado, si bien bajo la forma de un descuento futuro —en concreto, en la paga extraordinaria de diciembre—. </w:t>
      </w:r>
    </w:p>
    <w:p w:rsidR="00E3576C" w:rsidRDefault="00E3576C" w:rsidP="00E3576C">
      <w:pPr>
        <w:pStyle w:val="TextoNormal"/>
      </w:pPr>
    </w:p>
    <w:p w:rsidR="00E3576C" w:rsidRDefault="00E3576C" w:rsidP="00E3576C">
      <w:pPr>
        <w:pStyle w:val="TextoNormal"/>
      </w:pPr>
      <w:r>
        <w:t xml:space="preserve">Asimismo, en el Auto se afirma que esta reducción de las retribuciones de los empleados públicos se realiza de forma discriminatoria, vulnerando el art. 14 CE. </w:t>
      </w:r>
    </w:p>
    <w:p w:rsidR="00E3576C" w:rsidRDefault="00E3576C" w:rsidP="00E3576C">
      <w:pPr>
        <w:pStyle w:val="TextoNormal"/>
      </w:pPr>
    </w:p>
    <w:p w:rsidR="00E3576C" w:rsidRDefault="00E3576C" w:rsidP="00E3576C">
      <w:pPr>
        <w:pStyle w:val="TextoNormal"/>
      </w:pPr>
      <w:r>
        <w:t xml:space="preserve">c) En tercer lugar, por parte del Juzgado se aduce que la Ley de presupuestos no puede modificarse por un real decreto-ley, puesto que el art. 134 CE dispone que los presupuestos generales del Estado se deben aprobar por ley, que además debe ser ordinaria, indicándose </w:t>
      </w:r>
      <w:r>
        <w:lastRenderedPageBreak/>
        <w:t xml:space="preserve">también en su apartado 5 que la ampliación de gastos o la disminución de ingresos debe hacerse por proyecto de ley. Al respecto, y con apoyo en jurisprudencia constitucional sobre la Ley de presupuestos, el Auto alude a su carácter de “ley singular”, que no puede verse modificada por cualquier norma y sin límite alguno.  </w:t>
      </w:r>
    </w:p>
    <w:p w:rsidR="00E3576C" w:rsidRDefault="00E3576C" w:rsidP="00E3576C">
      <w:pPr>
        <w:pStyle w:val="TextoNormal"/>
      </w:pPr>
    </w:p>
    <w:p w:rsidR="00E3576C" w:rsidRDefault="00E3576C" w:rsidP="00E3576C">
      <w:pPr>
        <w:pStyle w:val="TextoNormal"/>
      </w:pPr>
      <w:r>
        <w:t>d) Finalmente, y en atención a la argumentación expuesta, el órgano judicial concluye que resulta procedente el planteamiento de la cuestión de inconstitucionalidad en el presente caso “toda vez que la decisión del litigio depende de la validez del Real Decreto-ley 8/10”, que se estima podría infringir los arts. 14, 33 y 86.1 CE, “sin que sea posible la acomodación de dicha norma, por vía interpretativa, al ordenamiento constitucional”.</w:t>
      </w:r>
    </w:p>
    <w:p w:rsidR="00E3576C" w:rsidRDefault="00E3576C" w:rsidP="00E3576C">
      <w:pPr>
        <w:pStyle w:val="TextoNormal"/>
      </w:pPr>
    </w:p>
    <w:p w:rsidR="00E3576C" w:rsidRDefault="00E3576C" w:rsidP="00E3576C">
      <w:pPr>
        <w:pStyle w:val="TextoNormal"/>
      </w:pPr>
      <w:r w:rsidRPr="00E3576C">
        <w:rPr>
          <w:rStyle w:val="NumeroAFNegritaCaracter"/>
        </w:rPr>
        <w:t>4</w:t>
      </w:r>
      <w:r>
        <w:t>. Mediante providencia de 22 de noviembre de 2011,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E3576C" w:rsidRDefault="00E3576C" w:rsidP="00E3576C">
      <w:pPr>
        <w:pStyle w:val="TextoNormal"/>
      </w:pPr>
    </w:p>
    <w:p w:rsidR="00E3576C" w:rsidRDefault="00E3576C" w:rsidP="00E3576C">
      <w:pPr>
        <w:pStyle w:val="TextoNormal"/>
      </w:pPr>
      <w:r w:rsidRPr="00E3576C">
        <w:rPr>
          <w:rStyle w:val="NumeroAFNegritaCaracter"/>
        </w:rPr>
        <w:t>5</w:t>
      </w:r>
      <w:r>
        <w:t>. El Fiscal General del Estado evacuó el trámite conferido mediante escrito registrado el 12 de diciembre de 2011, en el que considera que la cuestión de inconstitucionalidad es inadmisible por falta de cumplimiento de los requisitos procesales y por ser notoriamente infundada.</w:t>
      </w:r>
    </w:p>
    <w:p w:rsidR="00E3576C" w:rsidRDefault="00E3576C" w:rsidP="00E3576C">
      <w:pPr>
        <w:pStyle w:val="TextoNormal"/>
      </w:pPr>
    </w:p>
    <w:p w:rsidR="00E3576C" w:rsidRDefault="00E3576C" w:rsidP="00E3576C">
      <w:pPr>
        <w:pStyle w:val="TextoNormal"/>
      </w:pPr>
      <w:r>
        <w:t xml:space="preserve">a) En relación con el primero de los aspectos señalados, de un lado, el Fiscal General del Estado considera que ha existido una importante inobservancia de los requisitos del trámite de audiencia establecido en el art. 35.2 LOTC, por cuanto no puede entenderse cumplido este trámite desde el momento en que, en su providencia de 21 de junio de 2011, el Juzgado se limitó a dar traslado a la parte demandada y al Ministerio Fiscal sobre la pertinencia de plantear la cuestión de inconstitucionalidad que el recurrente solicitaba en su demanda, sin identificar la norma o preceptos legales aplicables al proceso que, a su juicio, presentan dudas de constitucionalidad, y sin que en ningún momento se constate que su decisión sobre el planteamiento de la cuestión responde a un enjuiciamiento propio de la norma y a la propia convicción sobre su posible inconstitucionalidad. A este respecto, en el escrito se recuerda la trascendencia del trámite de audiencia y la necesidad de un adecuado cumplimiento del mismo, citando a tal efecto el ATC 104/2011, de 5 de julio, en el que, entre otras consideraciones, se remarcó que, a la hora de promover una cuestión de inconstitucionalidad, el órgano judicial no puede limitarse a hacer una remisión a las dudas que sobre la constitucionalidad de una norma hayan expresado las partes y que no cabe admitir que el trámite de audiencia pueda desarrollarse en cualesquiera términos, pues ello equivaldría a minimizar su importancia, y no debe olvidarse que, lejos de concebirse como un condicionante puramente formalista, dicho trámite de audiencia desempeña una función de indudable relevancia para el correcto desenvolvimiento de este procedimiento constitucional. </w:t>
      </w:r>
    </w:p>
    <w:p w:rsidR="00E3576C" w:rsidRDefault="00E3576C" w:rsidP="00E3576C">
      <w:pPr>
        <w:pStyle w:val="TextoNormal"/>
      </w:pPr>
    </w:p>
    <w:p w:rsidR="00E3576C" w:rsidRDefault="00E3576C" w:rsidP="00E3576C">
      <w:pPr>
        <w:pStyle w:val="TextoNormal"/>
      </w:pPr>
      <w:r>
        <w:t xml:space="preserve">De otro lado, el Fiscal General del Estado también pone de relieve la irregularidad en que incurre el Juzgado al admitir la interposición del recurso de reposición frente a la providencia de 4 de julio de 2011, por la que inicialmente declaró no haber lugar a la cuestión de inconstitucionalidad. En el escrito se recuerda que, conforme al art. 35.2 LOTC, el Auto </w:t>
      </w:r>
      <w:r>
        <w:lastRenderedPageBreak/>
        <w:t xml:space="preserve">por el que el órgano judicial decide si procede el planteamiento de la cuestión de inconstitucionalidad no es susceptible de recurso, y en este caso, el Juzgado no sólo admitió el recurso de reposición, sino que además lo estimó. </w:t>
      </w:r>
    </w:p>
    <w:p w:rsidR="00E3576C" w:rsidRDefault="00E3576C" w:rsidP="00E3576C">
      <w:pPr>
        <w:pStyle w:val="TextoNormal"/>
      </w:pPr>
    </w:p>
    <w:p w:rsidR="00E3576C" w:rsidRDefault="00E3576C" w:rsidP="00E3576C">
      <w:pPr>
        <w:pStyle w:val="TextoNormal"/>
      </w:pPr>
      <w:r>
        <w:t xml:space="preserve">Finalmente, el Fiscal General del Estado aprecia otro defecto formal importante en el Auto de 21 de septiembre de 2011, por el que se acuerda elevar la cuestión de inconstitucionalidad, en tanto en su parte dispositiva se identifica como norma legal cuestionada el Real Decreto-ley 8/2010, de manera global, sin precisar los preceptos del mismo que, siendo aplicables al procedimiento y de cuya validez depende el fallo, presentan dudas de constitucionalidad, conforme al criterio del órgano judicial a quo. Por tal razón, considera el Fiscal que no se ha realizado el juicio de aplicabilidad y relevancia de la norma cuestionada, que constituye presupuesto procesal esencial para el planteamiento de las cuestiones de inconstitucionalidad. </w:t>
      </w:r>
    </w:p>
    <w:p w:rsidR="00E3576C" w:rsidRDefault="00E3576C" w:rsidP="00E3576C">
      <w:pPr>
        <w:pStyle w:val="TextoNormal"/>
      </w:pPr>
    </w:p>
    <w:p w:rsidR="00E3576C" w:rsidRDefault="00E3576C" w:rsidP="00E3576C">
      <w:pPr>
        <w:pStyle w:val="TextoNormal"/>
      </w:pPr>
      <w:r>
        <w:t>b) Por lo que se refiere al segundo aspecto comentado, de entrada y a partir de los razonamientos jurídicos del Auto de planteamiento, el Fiscal General del Estado deduce que los preceptos constitucionales que el órgano judicial parece considerar infringidos por el Real Decreto-ley 8/2010 son los arts. 86.1, 14, 33 y 134 CE, señalando asimismo que el Auto objeto de este proceso es sustancialmente idéntico al dictado por el Juzgado Contencioso-Administrativo núm. 3 de Las Palmas, de fecha 31 de mayo de 2011, y por el que también se elevó cuestión de inconstitucionalidad ante el Tribunal Constitucional. A continuación, el Fiscal expone los argumentos que le llevan a concluir que la presente cuestión de inconstitucionalidad resulta notoriamente infundada.</w:t>
      </w:r>
    </w:p>
    <w:p w:rsidR="00E3576C" w:rsidRDefault="00E3576C" w:rsidP="00E3576C">
      <w:pPr>
        <w:pStyle w:val="TextoNormal"/>
      </w:pPr>
    </w:p>
    <w:p w:rsidR="00E3576C" w:rsidRDefault="00E3576C" w:rsidP="00E3576C">
      <w:pPr>
        <w:pStyle w:val="TextoNormal"/>
      </w:pPr>
      <w:r>
        <w:t xml:space="preserve">Respecto a la alegada vulneración del art. 86.1 CE, el Fiscal General del Estado realiza las siguientes afirmaciones, con apoyo en la jurisprudencia constitucional: de un lado, señala que el juicio sobre la concurrencia de circunstancias extraordinarias y urgentes es un juicio político, respecto al que no resulta posible un control judicial, más allá de la constatación de la no existencia de decisiones abusivas o arbitrarias; de otro lado, recuerda que, conforme ha admitido el Tribunal Constitucional, es posible apreciar la situación de extraordinaria y urgente necesidad con independencia del elemento de imprevisibilidad. A partir de estas ideas, y tras examinar las explicaciones incluidas en la exposición de motivos del Real Decreto-ley 8/2010 y en el debate parlamentario del Congreso que culminó en su convalidación, el Fiscal indica que, en una valoración conjunta, es posible concluir que concurrían las circunstancias extraordinarias y urgentes que justificaban acudir al mecanismo legislativo del real decreto-ley y que las medidas adoptadas guardan una relación de adecuación o idoneidad para abordar aquellas. A su vez, el Fiscal General del Estado descarta asimismo que el Real Decreto-ley infrinja el art. 86.1 CE por no cumplir con el presupuesto material de no afectar a derechos, deberes y libertades de los ciudadanos reconocidos en el título I —concretamente, según invocación del Auto, el derecho de propiedad (art. 33 CE) y el derecho a la igualdad (art. 14 CE)—. </w:t>
      </w:r>
    </w:p>
    <w:p w:rsidR="00E3576C" w:rsidRDefault="00E3576C" w:rsidP="00E3576C">
      <w:pPr>
        <w:pStyle w:val="TextoNormal"/>
      </w:pPr>
      <w:r>
        <w:t xml:space="preserve"> </w:t>
      </w:r>
    </w:p>
    <w:p w:rsidR="00E3576C" w:rsidRDefault="00E3576C" w:rsidP="00E3576C">
      <w:pPr>
        <w:pStyle w:val="TextoNormal"/>
      </w:pPr>
      <w:r>
        <w:t xml:space="preserve">En relación a la supuesta vulneración del derecho de igualdad, el Fiscal señala que el Auto de planteamiento de la cuestión se limita tan sólo a manifestar que las reducciones de retribuciones de los empleados públicos se realizan de forma discriminatoria. A juicio del Fiscal, tal manifestación de carácter genérico, sin concretar los supuestos de discriminación en que supuestamente incurre el Real Decreto-ley 8/2010, y sin poner de manifiesto los referentes de comparación con los que se entiende producida la discriminación, debe ser </w:t>
      </w:r>
      <w:r>
        <w:lastRenderedPageBreak/>
        <w:t xml:space="preserve">considerada totalmente infundada en cuanto de manera notoria no puede subsumirse en la doctrina constitucional sobre los requisitos que deben concurrir para apreciar una vulneración del derecho de igualdad. </w:t>
      </w:r>
    </w:p>
    <w:p w:rsidR="00E3576C" w:rsidRDefault="00E3576C" w:rsidP="00E3576C">
      <w:pPr>
        <w:pStyle w:val="TextoNormal"/>
      </w:pPr>
      <w:r>
        <w:t xml:space="preserve">Tampoco aprecia el Fiscal General del Estado contravención del derecho de propiedad, pues, a su juicio, la alegación efectuada por el órgano judicial a quo incurre en el error de confundir los derechos adquiridos de los funcionarios con las expectativas de derechos. En tal sentido, en su escrito razona que la percepción de las retribuciones establecida en las leyes de presupuestos generales para cada anualidad constituye una expectativa de derechos, y en este caso, ha de tenerse en cuenta que las reducciones de retribuciones fijadas en el Real Decreto-ley 8/2010 afectan sólo a nóminas aún no devengadas a partir de junio de 2010 —excluyendo incluso de las reducciones la paga extraordinaria de junio ya devengada—, razón por la que no existe privación de derechos adquiridos y, en consecuencia, no pueda estimarse vulnerado el art. 33.3 CE. </w:t>
      </w:r>
    </w:p>
    <w:p w:rsidR="00E3576C" w:rsidRDefault="00E3576C" w:rsidP="00E3576C">
      <w:pPr>
        <w:pStyle w:val="TextoNormal"/>
      </w:pPr>
    </w:p>
    <w:p w:rsidR="00E3576C" w:rsidRDefault="00E3576C" w:rsidP="00E3576C">
      <w:pPr>
        <w:pStyle w:val="TextoNormal"/>
      </w:pPr>
      <w:r>
        <w:t>Por último, el Fiscal General del Estado niega que el Real Decreto-ley 8/2010 suponga una infracción de la reserva de ley presupuestaria que establece el art. 134 CE. Frente a las alegaciones del Auto, el Fiscal considera que en el presente caso no estamos ante un supuesto del art. 134.5 CE, sobre aumento del gasto público o disminución de los ingresos establecidos en la ley de presupuestos ya aprobada, que requiera la tramitación de una ley en sentido formal. Por el contrario, indica, lo que el Real Decreto-ley 8/2010 establece son medidas de reducción del gasto público, y entre ellas las de las retribuciones de los funcionarios públicos, por lo que, dándose el presupuesto habilitante de la concurrencia de las circunstancias extraordinarias y urgentes que requiere el art. 86.1 CE, nada impedía utilizar el mecanismo constitucional del decreto-ley para el ejercicio por el Gobierno de una potestad legislativa que se encuentra sujeta, en todo caso, a la convalidación por el Pleno del Congreso, que puede optar por tramitarlo como proyecto de ley por el procedimiento de urgencia. A juicio, pues, del Fiscal, no se sustrajo en el presente caso al poder legislativo la función democrática de control que se asigna al mismo con respecto a la aprobación de las leyes de presupuestos, pues, tras el oportuno debate, el Congreso decidió la convalidación del Real Decreto-ley 8/2010, y teniendo la posibilidad de acudir a la tramitación del mismo como proyecto de ley por vía de urgencia, optó por no hacerlo en el pleno ejercicio de sus potestades constitucionales.</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Juzgado de lo Contencioso-Administrativo núm. 6 de Las Palmas de Gran Canaria plantea cuestión de inconstitucionalidad respecto al Real Decreto-ley 8/2010, de 20 de mayo, por el que se adoptan medidas extraordinarias para la reducción del déficit público, por posible vulneración de los arts. 14, 33, 86.1 y 134 CE.</w:t>
      </w:r>
    </w:p>
    <w:p w:rsidR="00E3576C" w:rsidRDefault="00E3576C" w:rsidP="00E3576C">
      <w:pPr>
        <w:pStyle w:val="TextoNormal"/>
      </w:pPr>
    </w:p>
    <w:p w:rsidR="00E3576C" w:rsidRDefault="00E3576C" w:rsidP="00E3576C">
      <w:pPr>
        <w:pStyle w:val="TextoNormal"/>
      </w:pPr>
      <w:r>
        <w:t xml:space="preserve">El órgano judicial que promueve la cuestión centra su argumentación en la reducción de retribuciones de los empleados públicos derivada de la modificación que el Real Decreto-ley 8/2010 llevó a cabo sobre la Ley de presupuestos generales del Estado para 2010 (Ley 26/2009), y en síntesis considera que el citado real decreto-ley resulta contrario al art. 86.1 CE, tanto por no encontrarse suficientemente justificada la extraordinaria y urgente necesidad y no concurrir la nota de imprevisibilidad, como por afectar a derechos y libertades del título I de la Constitución —en concreto, al derecho a la propiedad privada (art. 33 CE) y al </w:t>
      </w:r>
      <w:r>
        <w:lastRenderedPageBreak/>
        <w:t xml:space="preserve">derecho a la igualdad y no discriminación (art. 14 CE)—. Asimismo alega que la norma cuestionada vulnera la reserva de ley establecida por el art. 134 CE para las leyes de presupuestos. </w:t>
      </w:r>
    </w:p>
    <w:p w:rsidR="00E3576C" w:rsidRDefault="00E3576C" w:rsidP="00E3576C">
      <w:pPr>
        <w:pStyle w:val="TextoNormal"/>
      </w:pPr>
    </w:p>
    <w:p w:rsidR="00E3576C" w:rsidRDefault="00E3576C" w:rsidP="00E3576C">
      <w:pPr>
        <w:pStyle w:val="TextoNormal"/>
      </w:pPr>
      <w:r>
        <w:t>El Fiscal General del Estado, por las razones de las que se ha dejado constancia en los antecedentes, se opone a la admisión a trámite de la cuestión de inconstitucionalidad planteada, tanto por apreciar el incumplimiento de los requisitos procesales para su promoción, como por estimarla notoriamente infundada (art. 37.1 de la Ley Orgánica del Tribunal Constitucional: LOTC).</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Comenzando nuestro examen por los defectos de procedimiento aducidos, entre las varias irregularidades denunciadas por el Fiscal General del Estado se alega la indebida admisión del recurso frente a la decisión inicial del Juzgado de no plantear la cuestión de inconstitucionalidad. Conforme ha quedado expuesto en los antecedentes, tras la providencia de 21 de junio de 2011 para dar audiencia a la Administración y al Ministerio Fiscal, y una vez éstos hubieron remitido sus respectivas alegaciones, el órgano judicial dictó resolución el 4 de julio de 2011, mediante nueva providencia, en la que resolvió no haber lugar al planteamiento de la cuestión de inconstitucionalidad, por constar en las actuaciones que el Tribunal Constitucional ya había resuelto una cuestión sobre la misma norma. En esta providencia se señaló la posibilidad de interponer recurso de reposición, que efectivamente fue presentado por la parte demandante. Dicho recurso fue estimado por Auto de 21 de septiembre de 2011, por el que se dejaba sin efecto la providencia de 4 de julio de 2011, procediéndose a su vez en la misma fecha a dictar un nuevo Auto por el que, modificando su decisión inicial, acordaba elevar la presente cuestión de inconstitucionalidad. Pues bien, este modo de proceder no deja de ser un apartamiento del art. 35.2 LOTC, que expresamente indica que la decisión del órgano judicial sobre el planteamiento de la cuestión de inconstitucionalidad ha de adoptarse “mediante auto” y que dicho Auto “no será susceptible de recurso de ninguna clase”. </w:t>
      </w:r>
    </w:p>
    <w:p w:rsidR="00E3576C" w:rsidRDefault="00E3576C" w:rsidP="00E3576C">
      <w:pPr>
        <w:pStyle w:val="TextoNormal"/>
      </w:pPr>
    </w:p>
    <w:p w:rsidR="00E3576C" w:rsidRDefault="00E3576C" w:rsidP="00E3576C">
      <w:pPr>
        <w:pStyle w:val="TextoNormal"/>
      </w:pPr>
      <w:r>
        <w:t xml:space="preserve">También el Fiscal General del Estado pone de relieve la falta de una precisa identificación en el Auto del objeto de la presente cuestión de inconstitucionalidad. Al respecto, señala que en la parte dispositiva del Auto se identifica como norma legal cuestionada el Real Decreto-ley 8/2010, de manera global y sin precisar los preceptos del mismo que, siendo aplicables y de cuya validez dependa el fallo, presentan para el Juzgado dudas de constitucionalidad, de ahí que considere que no se ha realizado el juicio de aplicabilidad y relevancia. Conforme hemos señalado en otros pronunciamientos,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(por todos, ATC 24/2003, de 28 de enero, FJ 3). En este caso, se constata que, en efecto, el órgano judicial plantea la cuestión respecto al Real Decreto-ley 8/2010 en su integridad, cuando, en realidad, su articulado no se limita a la modificación de la Ley de presupuestos generales del Estado para 2010 (art. 1), y teniendo en cuenta además que son varios los artículos de esta ley a los que se da nueva redacción y que se refieren a retribuciones de empleados públicos. No se aprecia, pues, en el Auto, la debida concreción de los preceptos legales cuestionados que, conforme al art. 35.1 CE, se consideran aplicables y determinantes en el fallo del proceso a quo, sin perjuicio de que, como se ha dicho, el Juzgado construye </w:t>
      </w:r>
      <w:r>
        <w:lastRenderedPageBreak/>
        <w:t>su fundamentación en relación a la reducción de retribuciones que, como consecuencia de la modificación de la citada Ley de presupuestos, fue aplicada al personal del Ayuntamiento.</w:t>
      </w:r>
    </w:p>
    <w:p w:rsidR="00E3576C" w:rsidRDefault="00E3576C" w:rsidP="00E3576C">
      <w:pPr>
        <w:pStyle w:val="TextoNormal"/>
      </w:pPr>
    </w:p>
    <w:p w:rsidR="00E3576C" w:rsidRDefault="00E3576C" w:rsidP="00E3576C">
      <w:pPr>
        <w:pStyle w:val="TextoNormal"/>
      </w:pPr>
      <w:r>
        <w:t xml:space="preserve">Junto a las anteriores irregularidades, especial gravedad presenta la defectuosa realización del trámite de audiencia abierto por el órgano judicial y que lleva necesariamente a apreciar que ha existido un patente incumplimiento de este requisito procesal esencial previsto en el art. 35.2 LOTC. Conforme a reiterada doctrina del Tribunal Constitucional, para que las alegaciones de las partes y del Ministerio Fiscal cumplan su función de colaboración en el proceso de formación de la decisión del juzgador a quo resulta inexcusable que “la providencia que otorga la audiencia especifique los preceptos legales cuestionados y las normas constitucionales que el órgano judicial estima de posible vulneración por aquéllos, quedando vinculado el órgano judicial por los términos en que se haya planteado dicho trámite a la hora de elevar la cuestión de inconstitucionalidad” (por todos, ATC 104/2011, de 5 de julio, FJ 2). Pues bien, en el caso que ahora nos ocupa es patente que la providencia dictada por el Juzgado no satisface en absoluto estas exigencias, dado que simplemente se limitó a dar traslado a la Administración y al Ministerio Fiscal para que formularan alegaciones sobre la pertinencia de elevar “la cuestión de inconstitucionalidad planteada en el escrito de demanda”, sin que en ningún momento se concretaran ni las previsiones legales de cuya constitucionalidad se duda, ni los preceptos constitucionales eventualmente conculcados. En consecuencia, no puede apreciarse que el órgano judicial haya manifestado en dicha providencia su propia duda de constitucionalidad, sino que, por el contrario, se ha limitado a trasladar la expresada en su demanda por la parte actora. Como ya hemos señalado en otros pronunciamientos, tal forma de proceder no puede ser aceptada, “no pudiendo admitirse que baste con el conocimiento por las partes de la demanda en que se solicitaba el planteamiento de la cuestión, escrito a partir del cual se vieron obligados a formular sus alegaciones, dado que en el mismo no se contenía la opinión del órgano judicial al respecto, que es sobre la que se consulta a las partes y la que debe quedar explícitamente formulada” (ATC 456/2007, de 12 de diciembre, FJ 2; o ATC 56/2011, de 18 de mayo, FJ 2). </w:t>
      </w:r>
    </w:p>
    <w:p w:rsidR="00E3576C" w:rsidRDefault="00E3576C" w:rsidP="00E3576C">
      <w:pPr>
        <w:pStyle w:val="TextoNormal"/>
      </w:pPr>
    </w:p>
    <w:p w:rsidR="00E3576C" w:rsidRDefault="00E3576C" w:rsidP="00E3576C">
      <w:pPr>
        <w:pStyle w:val="TextoNormal"/>
      </w:pPr>
      <w:r>
        <w:t xml:space="preserve">La referida providencia incurre asimismo en otra deficiencia, al dar traslado únicamente a la Administración demandada y al Ministerio Fiscal, sin abrir, en cambio, el trámite de audiencia para la parte demandante. El hecho de que haya sido la parte actora la que en su demanda haya solicitado el planteamiento de la cuestión de inconstitucionalidad no permite concluir que sea ya innecesario conocer sus alegaciones en el trámite del art. 35.2 LOTC. Como también hemos indicado en pronunciamientos previos, tal argumento choca con la redacción de este precepto —que con toda claridad dispone que “el órgano judicial oirá a las partes y al Ministerio Fiscal”—, y asimismo contraviene el sentido último de la norma, dirigida a que todas las partes, incluida la que ha sugerido el planteamiento de la cuestión, puedan manifestar sus opiniones sobre los razonamientos del órgano judicial (ATC 56/2011, de 18 de mayo, FJ 2). Por tanto, “[l]a omisión del trámite de audiencia de una de las partes, incluso de aquella que ha solicitado en primer término que se planteara la cuestión, constituye sin duda una irregularidad del procedimiento que debe llevar a considerarlo incorrectamente tramitado” (ATC 299/2005, de 5 de julio, FJ 3). </w:t>
      </w:r>
    </w:p>
    <w:p w:rsidR="00E3576C" w:rsidRDefault="00E3576C" w:rsidP="00E3576C">
      <w:pPr>
        <w:pStyle w:val="TextoNormal"/>
      </w:pPr>
    </w:p>
    <w:p w:rsidR="00E3576C" w:rsidRDefault="00E3576C" w:rsidP="00E3576C">
      <w:pPr>
        <w:pStyle w:val="TextoNormal"/>
      </w:pPr>
      <w:r>
        <w:t>En definitiva, este deficiente cumplimiento de las exigencias del art. 35 LOTC debe determinar la inadmisión de la cuestión de inconstitucionalidad.</w:t>
      </w:r>
    </w:p>
    <w:p w:rsidR="00E3576C" w:rsidRDefault="00E3576C" w:rsidP="00E3576C">
      <w:pPr>
        <w:pStyle w:val="TextoNormal"/>
      </w:pPr>
    </w:p>
    <w:p w:rsidR="00E3576C" w:rsidRDefault="00E3576C" w:rsidP="00E3576C">
      <w:pPr>
        <w:pStyle w:val="TextoNormal"/>
      </w:pPr>
      <w:r w:rsidRPr="00E3576C">
        <w:rPr>
          <w:rStyle w:val="NumeroAFNegritaCaracter"/>
        </w:rPr>
        <w:lastRenderedPageBreak/>
        <w:t>3</w:t>
      </w:r>
      <w:r>
        <w:t xml:space="preserve">. Al margen de lo anterior, la cuestión de inconstitucionalidad también resulta notoriamente infundada (art. 37.1 CE), en atención a las razones que a continuación se indican y que en gran medida se exponen de forma sintetizada, por haber sido ya expresadas en otros pronunciamientos previos de este Tribunal, en los que, también en relación a la reducción de retribuciones prevista en el Real Decreto-ley 8/2010, se ha dado respuesta a similares alegaciones a las formuladas en la presente cuestión —fundamentalmente, los AATC 179/2011 y 180/2011, de 13 de diciembre, FFJJ 6 a 8, y remitiéndose a su argumentación, el ATC 184/2011, de 20 de diciembre, FJ 3, o el ATC 8/2012, de 13 de enero, FJ 3—. </w:t>
      </w:r>
    </w:p>
    <w:p w:rsidR="00E3576C" w:rsidRDefault="00E3576C" w:rsidP="00E3576C">
      <w:pPr>
        <w:pStyle w:val="TextoNormal"/>
      </w:pPr>
    </w:p>
    <w:p w:rsidR="00E3576C" w:rsidRDefault="00E3576C" w:rsidP="00E3576C">
      <w:pPr>
        <w:pStyle w:val="TextoNormal"/>
      </w:pPr>
      <w:r>
        <w:t xml:space="preserve">a) Así, por lo que se refiere a la pretendida vulneración del art. 86.1 CE por no concurrir la situación de extraordinaria y urgente necesidad, el referido ATC 179/2011, de 13 de diciembre, FJ 6, ya ha declarado que esta duda de constitucionalidad debe ser rechazada, dado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En particular, respecto a la alegación del órgano judicial a quo sobre el carácter no imprevisible o sobrevenido de la situación económica a la que la norma trata de dar respuesta, hemos afirmado asimismo en el ATC 179/2011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w:t>
      </w:r>
    </w:p>
    <w:p w:rsidR="00E3576C" w:rsidRDefault="00E3576C" w:rsidP="00E3576C">
      <w:pPr>
        <w:pStyle w:val="TextoNormal"/>
      </w:pPr>
    </w:p>
    <w:p w:rsidR="00E3576C" w:rsidRDefault="00E3576C" w:rsidP="00E3576C">
      <w:pPr>
        <w:pStyle w:val="TextoNormal"/>
      </w:pPr>
      <w:r>
        <w:t>b) Tampoco puede aceptarse la alegación del Juzgado promotor de la presente cuestión relativa a que el Real Decreto-ley 8/2010 infringe los límites materiales establecidos en el art. 86.1 CE por afectar a derechos, deberes y libertades de los ciudadanos regulados en el título I de la Constitución —en concreto, el órgano judicial a quo hace referencia al derecho a la propiedad privada (art. 33 CE) y al derecho a la igualdad y no discriminación (art. 14 CE)—. Como ya hemos señalado en otros pronunciamientos, el real decreto-ley cuestionado no “afecta” a los derechos reconocidos en estos preceptos constitucionales, en el sentido que a dicha expresión ha dado la doctrina constitucional como límite material negativo del art. 86.1 CE (ATC 184/2011, de 20 de diciembre, FJ 3), ya que, como ha recordado el ATC 179/2011, de 13 de diciembre, FJ 7, “lo que le está vedado al decreto-ley es la regulación del ‘régimen general de los derechos, deberes y libertades del título I CE’ o que ‘vaya en contra del contenido o elementos esenciales de alguno de tales derechos’.”</w:t>
      </w:r>
    </w:p>
    <w:p w:rsidR="00E3576C" w:rsidRDefault="00E3576C" w:rsidP="00E3576C">
      <w:pPr>
        <w:pStyle w:val="TextoNormal"/>
      </w:pPr>
    </w:p>
    <w:p w:rsidR="00E3576C" w:rsidRDefault="00E3576C" w:rsidP="00E3576C">
      <w:pPr>
        <w:pStyle w:val="TextoNormal"/>
      </w:pPr>
      <w:r>
        <w:t xml:space="preserve">En este caso, respecto a la pretendida vulneración del art. 33 CE, procede descartar la duda de constitucionalidad planteada por el órgano promotor y que éste fundamenta en la consideración de que el Real Decreto-ley 8/2010 tiene un contenido expropiatorio desde el momento en que recorta los derechos económicos que ya habían sido reconocidos a los empleados públicos por la Ley de presupuestos generales del Estado para todo el ejercicio de 2010. Como ya señalamos en el ATC 179/2011, de 13 de septiembre, FJ 7, “tal argumento carece de fundamento, por cuanto la reducción de retribuciones impuesta por el art. </w:t>
      </w:r>
      <w:r>
        <w:lastRenderedPageBreak/>
        <w:t xml:space="preserve">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En tal sentido, el citado Auto concluye que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 , por lo que debe descartarse que se haya producido una expropiación de derechos económicos de los funcionarios que contravenga lo dispuesto en el art. 33.3 CE”. </w:t>
      </w:r>
    </w:p>
    <w:p w:rsidR="00E3576C" w:rsidRDefault="00E3576C" w:rsidP="00E3576C">
      <w:pPr>
        <w:pStyle w:val="TextoNormal"/>
      </w:pPr>
    </w:p>
    <w:p w:rsidR="00E3576C" w:rsidRDefault="00E3576C" w:rsidP="00E3576C">
      <w:pPr>
        <w:pStyle w:val="TextoNormal"/>
      </w:pPr>
      <w:r>
        <w:t>Además, tampoco puede admitirse la alegación de lesión del art. 14 CE, respecto a la que el Auto de planteamiento de la cuestión se limita a señalar que la reducción de las retribuciones de los empleados públicos llevada a cabo por el Real Decreto-ley 8/2010 “se realiza además de forma discriminatoria, vulnerando también el artículo 14 de la Constitución Española”, pero sin añadir mayor argumentación. Es doctrina reiterada del Tribunal Constitucional que “la exigencia establecida en el art. 35.2 LOTC de que el órgano judicial identifique el precepto constitucional que supone infringido no significa sólo que el Auto en que se plantee la cuestión haya de contener la cita de tal precepto o preceptos, sino que también es preciso que el órgano judicial exteriorice en él el razonamiento que le ha llevado a cuestionar la constitucionalidad de la norma aplicable”, de modo que no puede el Juez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 (SSTC 14/1981, de 29 de abril, FJ 1; 126/1987, de 16 de julio, FJ 3; y 126/1997, de 3 de julio, FJ 3; y ATC 158/1993, de 25 de mayo, FJ único)” (ATC 456/2007, de 12 de diciembre, FJ 3). Por tanto, dado que, en este caso, el órgano judicial a quo no indica los motivos o razones de la alegada discriminación o respecto de qué colectivos se produce, no resulta posible realizar el enjuiciamiento solicitado y, en consecuencia, no podemos estimar la pretendida vulneración del art. 14 CE.</w:t>
      </w:r>
    </w:p>
    <w:p w:rsidR="00E3576C" w:rsidRDefault="00E3576C" w:rsidP="00E3576C">
      <w:pPr>
        <w:pStyle w:val="TextoNormal"/>
      </w:pPr>
    </w:p>
    <w:p w:rsidR="00E3576C" w:rsidRDefault="00E3576C" w:rsidP="00E3576C">
      <w:pPr>
        <w:pStyle w:val="TextoNormal"/>
      </w:pPr>
      <w:r>
        <w:t>En suma, por lo expuesto, ha de ser rechazada la alegación del Juzgado de que el Real Decreto-ley 8/2010 ha franqueado el límite material impuesto por el art. 86.1 CE de no afectar a los derechos, deberes y libertades del título I CE.</w:t>
      </w:r>
    </w:p>
    <w:p w:rsidR="00E3576C" w:rsidRDefault="00E3576C" w:rsidP="00E3576C">
      <w:pPr>
        <w:pStyle w:val="TextoNormal"/>
      </w:pPr>
    </w:p>
    <w:p w:rsidR="00E3576C" w:rsidRDefault="00E3576C" w:rsidP="00E3576C">
      <w:pPr>
        <w:pStyle w:val="TextoNormal"/>
      </w:pPr>
      <w:r>
        <w:t xml:space="preserve">c) Finalmente, también hemos de declarar notoriamente infundada la alegación del órgano judicial a quo respecto a la posible lesión del art. 134 CE, invocación que, aunque no se incluye en la parte dispositiva del Auto de planteamiento de la cuestión, sí se efectúa en su fundamentación, considerando que, en virtud del mencionado precepto constitucional, no es posible modificar la ley de presupuestos mediante real decreto-ley, y recordando además que, conforme al art. 134.5 CE, la ampliación de gastos o la disminución de ingresos debe hacerse por proyecto de ley. Pues bien, reiterando de nuevo las conclusiones alcanzadas por el ATC 179/2011, de 13 de diciembre, FJ 8, este Tribunal ya ha puesto de manifiesto que “[l]a medida de reducción de la cuantía global de las retribuciones de los empleados </w:t>
      </w:r>
      <w:r>
        <w:lastRenderedPageBreak/>
        <w:t>públicos que introduce el art. 1 del Real Decreto-ley 8/2010 modificando los preceptos correspondientes de la Ley 26/2009, de presupuestos generales del Estado para 2010, no vulnera el art. 134 CE, pues no invade materia reservada a la ley de presupuestos generales del Estado”; y en particular, respecto a la alegación relativa al art. 134.5 CE, hemos señalado asimismo en el citado Auto que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w:t>
      </w:r>
    </w:p>
    <w:p w:rsidR="00E3576C" w:rsidRDefault="00E3576C" w:rsidP="00E3576C">
      <w:pPr>
        <w:pStyle w:val="TextoNormal"/>
      </w:pPr>
    </w:p>
    <w:p w:rsidR="00E3576C" w:rsidRDefault="00E3576C" w:rsidP="00E3576C">
      <w:pPr>
        <w:pStyle w:val="TextoNormal"/>
      </w:pPr>
      <w:r>
        <w:t>Por todo lo expuesto, el Pleno</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Inadmitir la presente cuestión de inconstitucionalidad.</w:t>
      </w:r>
    </w:p>
    <w:p w:rsidR="00E3576C" w:rsidRDefault="00E3576C" w:rsidP="00E3576C">
      <w:pPr>
        <w:pStyle w:val="TextoNormal"/>
      </w:pPr>
    </w:p>
    <w:p w:rsidR="00E3576C" w:rsidRDefault="00E3576C" w:rsidP="00E3576C">
      <w:pPr>
        <w:pStyle w:val="TextoNormal"/>
      </w:pPr>
      <w:r>
        <w:t>Madrid, a diecinueve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70" w:name="AUTO_2012_129"/>
      <w:r>
        <w:lastRenderedPageBreak/>
        <w:t>AUTO 129/2012, de 21 de junio de 2012</w:t>
      </w:r>
    </w:p>
    <w:bookmarkEnd w:id="270"/>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ECLI:ES:TC:2012:129A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1712-2012, promovido en proceso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71" w:name="AUTO_2012_130"/>
      <w:r>
        <w:lastRenderedPageBreak/>
        <w:t>AUTO 130/2012, de 25 de junio de 2012</w:t>
      </w:r>
    </w:p>
    <w:bookmarkEnd w:id="271"/>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ECLI:ES:TC:2012:130A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6963-2010, promovido por Euro 5 Aquamarine, S.L., en proceso contencioso-administrativo.</w:t>
      </w:r>
    </w:p>
    <w:p w:rsidR="00E3576C" w:rsidRDefault="00E3576C" w:rsidP="00E3576C">
      <w:pPr>
        <w:pStyle w:val="SntesisDescriptiva"/>
      </w:pPr>
    </w:p>
    <w:p w:rsidR="00E3576C" w:rsidRDefault="00E3576C" w:rsidP="00E3576C">
      <w:pPr>
        <w:pStyle w:val="SntesisAnaltica"/>
      </w:pPr>
      <w:r>
        <w:t>Agotamiento de la vía judicial: incidente de rectificación de errores; pendencia de recursos judiciales. Inadmisión de recurso de amparo: falta de agotamiento de la vía judicial. Recurso de súplica contra providencias de inadmisión del Tribunal Constitucional: desestimación de recurso de súplica contra providencias de inadmisión del Tribunal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el 27 de septiembre de 2010, el Procurador de los Tribunales don Manuel Lanchares Perlado, en nombre y representación de la entidad Euro 5 Aquamarine, S.L., y bajo la asistencia de los Letrados don Juan José Lavilla Rubira y don José Luis Zamarro Parra, interpuso recurso de amparo contra el Auto de la Sección de apoyo a la Sección Cuarta de la Sala de lo Contencioso-Administrativo del Tribunal Superior de Justicia de Madrid de 27 de mayo de 2010, por el que se desestima el incidente de nulidad de actuaciones interpuesto contra la Sentencia de 14 de julio de 2009, dictado en el recurso núm. 1742-2005.</w:t>
      </w:r>
    </w:p>
    <w:p w:rsidR="00E3576C" w:rsidRDefault="00E3576C" w:rsidP="00E3576C">
      <w:pPr>
        <w:pStyle w:val="TextoNormal"/>
      </w:pPr>
    </w:p>
    <w:p w:rsidR="00E3576C" w:rsidRDefault="00E3576C" w:rsidP="00E3576C">
      <w:pPr>
        <w:pStyle w:val="TextoNormal"/>
      </w:pPr>
      <w:r w:rsidRPr="00E3576C">
        <w:rPr>
          <w:rStyle w:val="NumeroAFNegritaCaracter"/>
        </w:rPr>
        <w:t>2</w:t>
      </w:r>
      <w:r>
        <w:t>. La entidad recurrente alega en su demanda de amparo que la Sentencia de 14 de julio de 2009 vulnera el derecho a la igualdad en la aplicación de la ley (art. 14 CE) y que el Auto de 27 de mayo de 2010 vulnera el derecho a la tutela judicial efectiva (art. 24.1 CE), desde la perspectiva del derecho de acceso a los recursos, al haber desestimado el incidente de nulidad de actuaciones con el argumento erróneo y arbitrario de que cabía recurso de casación para la unificación de doctrina.</w:t>
      </w:r>
    </w:p>
    <w:p w:rsidR="00E3576C" w:rsidRDefault="00E3576C" w:rsidP="00E3576C">
      <w:pPr>
        <w:pStyle w:val="TextoNormal"/>
      </w:pPr>
    </w:p>
    <w:p w:rsidR="00E3576C" w:rsidRDefault="00E3576C" w:rsidP="00E3576C">
      <w:pPr>
        <w:pStyle w:val="TextoNormal"/>
      </w:pPr>
      <w:r w:rsidRPr="00E3576C">
        <w:rPr>
          <w:rStyle w:val="NumeroAFNegritaCaracter"/>
        </w:rPr>
        <w:t>3</w:t>
      </w:r>
      <w:r>
        <w:t>. La Sección Segunda de este Tribunal, por providencia de 22 de marzo de 2012, inadmitió el recurso de amparo por incurrir en falta de agotamiento de los recursos en la vía judicial [art. 50.1 a), en relación con el art. 44.1 a), ambos de la Ley Orgánica del Tribunal Constitucional].</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El Ministerio Fiscal, por escrito registrado el 17 de abril de 2012, interpuso recurso de súplica contra la providencia de inadmisión, afirmando que no cabe considerar que el recurso esté incurso en falta de agotamiento, toda vez que ni era evidente la procedencia de </w:t>
      </w:r>
      <w:r>
        <w:lastRenderedPageBreak/>
        <w:t>un recurso de casación para unificación de doctrina, habida cuenta de que la propia Sentencia establecía que no cabía recurso de casación, ni cabría un eventual recurso de queja contra una supuesta inadmisión del recurso de casación que aparecía mencionada por error en el Auto de 27 de mayo de 2010, tal como demuestra el Auto de 30 de diciembre de 2010 de rectificación de errores materiales. A esos efectos, el Ministerio Fiscal adjunta en su recurso un escrito de la entidad recurrente registrado el 22 de julio de 2010 mediante el cual formulaba una solicitud de rectificación de errores materiales del Auto de 27 de mayo de 2010, suplicando que se dictara nueva resolución “en términos plenamente coincidentes con el suplico del escrito de solicitud de nulidad de actuaciones presentado por mi representada”. En dicho escrito, además, se contiene mediante otrosí la petición subsidiaria de que si se consideraba que el error identificado no tenía la consideración de material se tuviera el escrito “como recurso de súplica al amparo del art. 79 de la Ley de la jurisdicción y, previos los trámites oportunos, dicte resolución en términos plenamente coincidentes con el suplico del escrito de solicitud de nulidad de actuaciones presentado por mi representada”. Igualmente, adjunta Auto de 30 de diciembre de 2010 en que se acuerda haber lugar a la aclaración del Auto de 27 de mayo de 2010. En relación con estos documentos, el Ministerio Fiscal señala que la formulación de un escrito de solicitud de rectificación de errores materiales que no había sido resuelto al momento de interponerse el recurso de amparo no implica falta de agotamiento por simultanear este procedimiento con la vía judicial previa, ya que la cuestión planteada no permitía modificar lo ya resuelto ni afectaba a la subsidiariedad del amparo.</w:t>
      </w:r>
    </w:p>
    <w:p w:rsidR="00E3576C" w:rsidRDefault="00E3576C" w:rsidP="00E3576C">
      <w:pPr>
        <w:pStyle w:val="TextoNormal"/>
      </w:pPr>
    </w:p>
    <w:p w:rsidR="00E3576C" w:rsidRDefault="00E3576C" w:rsidP="00E3576C">
      <w:pPr>
        <w:pStyle w:val="TextoNormal"/>
      </w:pPr>
      <w:r w:rsidRPr="00E3576C">
        <w:rPr>
          <w:rStyle w:val="NumeroAFNegritaCaracter"/>
        </w:rPr>
        <w:t>5</w:t>
      </w:r>
      <w:r>
        <w:t>. La Secretaría de Justicia de la Sección Segunda de este Tribunal, por diligencia de ordenación de 19 de abril de 2012, acordó dar traslado del escrito de súplica a la entidad recurrente para que en el plazo de tres días alegara lo que estimaran pertinente en relación con el recurso formulado.</w:t>
      </w:r>
    </w:p>
    <w:p w:rsidR="00E3576C" w:rsidRDefault="00E3576C" w:rsidP="00E3576C">
      <w:pPr>
        <w:pStyle w:val="TextoNormal"/>
      </w:pPr>
    </w:p>
    <w:p w:rsidR="00E3576C" w:rsidRDefault="00E3576C" w:rsidP="00E3576C">
      <w:pPr>
        <w:pStyle w:val="TextoNormal"/>
      </w:pPr>
      <w:r w:rsidRPr="00E3576C">
        <w:rPr>
          <w:rStyle w:val="NumeroAFNegritaCaracter"/>
        </w:rPr>
        <w:t>6</w:t>
      </w:r>
      <w:r>
        <w:t>. La entidad recurrente, por escrito registrado el 27 de abril de 2012, formuló sus alegaciones solicitando la estimación de recurso de súplica al considerar que hubo un correcto agotamiento de la vía judicial previa, insistiendo en que comparte el criterio del Ministerio Fiscal respecto de que la solicitud de rectificación de errores no afectaba a la subsidiariedad del amparo.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060BD2">
        <w:rPr>
          <w:rStyle w:val="NumeroAFNegritaCaracter"/>
        </w:rPr>
        <w:t xml:space="preserve">Único. </w:t>
      </w:r>
      <w:r>
        <w:t>El recurso de suplica interpuesto por el Ministerio Fiscal contra la providencia de inadmisión dictada en el presente recurso de amparo debe ser desestimado.</w:t>
      </w:r>
    </w:p>
    <w:p w:rsidR="00E3576C" w:rsidRDefault="00E3576C" w:rsidP="00E3576C">
      <w:pPr>
        <w:pStyle w:val="TextoNormal"/>
      </w:pPr>
    </w:p>
    <w:p w:rsidR="00E3576C" w:rsidRDefault="00E3576C" w:rsidP="00E3576C">
      <w:pPr>
        <w:pStyle w:val="TextoNormal"/>
      </w:pPr>
      <w:r>
        <w:t>El Ministerio Fiscal, entre otros argumentos, considera que no cabe entender que la demanda esté incursa en la causa de inadmisión de falta de agotamiento [art. 50.1 a), en relación con el art. 44.1 a) de la Ley Orgánica del Tribunal Constitucional: LOTC], ya que la existencia de una solicitud de rectificación de errores formulada en la vía judicial previa por la entidad recurrente en relación con el Auto de 27 de mayo de 2010 no implica falta de agotamiento por simultanear el procedimiento de amparo con la vía judicial previa, pues la cuestión planteada no permitía modificar lo ya resuelto ni afectaba a la subsidiariedad del amparo.</w:t>
      </w:r>
    </w:p>
    <w:p w:rsidR="00E3576C" w:rsidRDefault="00E3576C" w:rsidP="00E3576C">
      <w:pPr>
        <w:pStyle w:val="TextoNormal"/>
      </w:pPr>
    </w:p>
    <w:p w:rsidR="00E3576C" w:rsidRDefault="00E3576C" w:rsidP="00E3576C">
      <w:pPr>
        <w:pStyle w:val="TextoNormal"/>
      </w:pPr>
      <w:r>
        <w:lastRenderedPageBreak/>
        <w:t>Pues bien, tomando en consideración que es doctrina consolidada de este Tribunal que implica falta del debido agotamiento de la vía judicial previa el mantener abierta dicha vía judicial cuando se formula demanda de amparo (por todas, STC 105/2011, de 20 de junio, FJ 2), no cabe asumir la valoración efectuada por el Ministerio Fiscal en su recurso de súplica de que en el presente caso la rectificación de errores solicitada no permitía modificar lo ya resuelto. En efecto, como ya se ha expuesto más extensamente en los antecedentes, el escrito de la entidad recurrente de 22 de julio de 2010, que estaba pendiente de resolución en la vía judicial previa al momento de presentarse la demanda de amparo, formulaba como pretensión principal una supuesta rectificación de errores con un alcance muy superior a lo que es una mera rectificación, ya que solicitaba que se estimara el incidente de nulidad interpuesto. Es más, como pretensión subsidiaria, se solicitaba que se tuviera como interpuesto recurso de súplica contra el Auto desestimatorio del incidente de nulidad. En atención a lo inequívoco de dichas pretensiones debe descartarse el presupuesto del que parte el Ministerio Fiscal de que la cuestión planteada en dicho escrito pendiente de resolución cuando se formuló el amparo no tuviera como finalidad una modificación del fallo de la resolución impugnada en amparo y, por tanto, que no tuviera incidencia en la subsidiariedad de este procedimiento constitucional.</w:t>
      </w:r>
    </w:p>
    <w:p w:rsidR="00E3576C" w:rsidRDefault="00E3576C" w:rsidP="00E3576C">
      <w:pPr>
        <w:pStyle w:val="TextoNormal"/>
      </w:pPr>
    </w:p>
    <w:p w:rsidR="00E3576C" w:rsidRDefault="00E3576C" w:rsidP="00E3576C">
      <w:pPr>
        <w:pStyle w:val="TextoNormal"/>
      </w:pPr>
      <w:r>
        <w:t>Por tanto, con desestimación íntegra del recurso de súplica interpuesto por el Ministerio Fiscal, debe confirmarse en todos sus extremos la providencia de inadmisión impugnada, ratificando que la propia conducta de la entidad recurrente de pretender simultanear el recurso de amparo con la vía judicial previa resulta determinante para que este Tribunal no pueda acceder a la admisión de este recurso de amparo.</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y, en consecuencia, confirmar en su integridad la providencia de 22 de marzo de 2012.</w:t>
      </w:r>
    </w:p>
    <w:p w:rsidR="00E3576C" w:rsidRDefault="00E3576C" w:rsidP="00E3576C">
      <w:pPr>
        <w:pStyle w:val="TextoNormal"/>
      </w:pPr>
    </w:p>
    <w:p w:rsidR="00E3576C" w:rsidRDefault="00E3576C" w:rsidP="00E3576C">
      <w:pPr>
        <w:pStyle w:val="TextoNormal"/>
      </w:pPr>
      <w:r>
        <w:t>Madrid, a veinticinco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72" w:name="AUTO_2012_131"/>
      <w:r>
        <w:lastRenderedPageBreak/>
        <w:t>AUTO 131/2012, de 25 de junio de 2012</w:t>
      </w:r>
    </w:p>
    <w:bookmarkEnd w:id="272"/>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ECLI:ES:TC:2012:131A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3736-2011, promovido por don Mohamed Said Alaoui, en proceso de extradición.</w:t>
      </w:r>
    </w:p>
    <w:p w:rsidR="00E3576C" w:rsidRDefault="00E3576C" w:rsidP="00E3576C">
      <w:pPr>
        <w:pStyle w:val="SntesisDescriptiva"/>
      </w:pPr>
    </w:p>
    <w:p w:rsidR="00E3576C" w:rsidRDefault="00E3576C" w:rsidP="00E3576C">
      <w:pPr>
        <w:pStyle w:val="SntesisAnaltica"/>
      </w:pPr>
      <w:r>
        <w:t>Extradición: recurso de amparo. Incidente de nulidad de actuaciones: agotamiento de la vía judicial. Incongruencia de las resoluciones judiciales: incongruencia omisiva. Recurso de súplica: desestimación de recurso de súplica.</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el 28 de junio de 2011, el Procurador de los Tribunales don Jorge García Zúñiga, en nombre y representación de don Mohamed Said Alaoui, y bajo la asistencia del Letrado don Maximino Turiel Ibáñez, interpuso recurso de amparo contra el Auto del Pleno de la Sala de lo Penal de la Audiencia Nacional de 25 de mayo de 2011, por el que se desestima el recurso de súplica núm. 17-2011 interpuesto contra el Auto de la Sección Tercera de la Sala de lo Penal de la Audiencia Nacional de 29 de marzo de 2011, dictado en el rollo de Sala núm. 43-2010, sobre extradición.</w:t>
      </w:r>
    </w:p>
    <w:p w:rsidR="00E3576C" w:rsidRDefault="00E3576C" w:rsidP="00E3576C">
      <w:pPr>
        <w:pStyle w:val="TextoNormal"/>
      </w:pPr>
    </w:p>
    <w:p w:rsidR="00E3576C" w:rsidRDefault="00E3576C" w:rsidP="00E3576C">
      <w:pPr>
        <w:pStyle w:val="TextoNormal"/>
      </w:pPr>
      <w:r w:rsidRPr="00E3576C">
        <w:rPr>
          <w:rStyle w:val="NumeroAFNegritaCaracter"/>
        </w:rPr>
        <w:t>2</w:t>
      </w:r>
      <w:r>
        <w:t>. El recurrente alega en su demanda de amparo la vulneración del derecho a la tutela judicial efectiva (art. 24.1 CE) al considerar que las resoluciones impugnadas habrían incurrido en incongruencia omisiva. En el encabezamiento de la demanda, tras señalar que el Auto impugnado omite manifiestamente pronunciamientos relativos a pretensiones oportunamente deducidas y sustanciadas en el proceso y destacar que la doctrina constitucional exige el incidente de nulidad de actuaciones para un correcto agotamiento de la vía judicial previa, se destaca que fue planteado dicho incidente ante el Pleno de la Sala y que “el incidente ni siquiera fue resuelto pero consta interpuesto”. Del mismo modo en el punto segundo del apartado correspondiente a los requisitos procedimentales se señala que se han agotado todos los recursos útiles y necesarios, incluido la nulidad de actuaciones.</w:t>
      </w:r>
    </w:p>
    <w:p w:rsidR="00E3576C" w:rsidRDefault="00E3576C" w:rsidP="00E3576C">
      <w:pPr>
        <w:pStyle w:val="TextoNormal"/>
      </w:pPr>
    </w:p>
    <w:p w:rsidR="00E3576C" w:rsidRDefault="00E3576C" w:rsidP="00E3576C">
      <w:pPr>
        <w:pStyle w:val="TextoNormal"/>
      </w:pPr>
      <w:r w:rsidRPr="00E3576C">
        <w:rPr>
          <w:rStyle w:val="NumeroAFNegritaCaracter"/>
        </w:rPr>
        <w:t>3</w:t>
      </w:r>
      <w:r>
        <w:t>. La Sección Segunda de este Tribunal, por providencia de 24 de noviembre de 2011, inadmitió el recurso de amparo por no haber concluido el proceso abierto en vía judicial [art. 50.1 a), en relación con el art. 44.1 a) de la Ley Orgánica del Tribunal Constitucional].</w:t>
      </w:r>
    </w:p>
    <w:p w:rsidR="00E3576C" w:rsidRDefault="00E3576C" w:rsidP="00E3576C">
      <w:pPr>
        <w:pStyle w:val="TextoNormal"/>
      </w:pPr>
    </w:p>
    <w:p w:rsidR="00E3576C" w:rsidRDefault="00E3576C" w:rsidP="00E3576C">
      <w:pPr>
        <w:pStyle w:val="TextoNormal"/>
      </w:pPr>
      <w:r w:rsidRPr="00E3576C">
        <w:rPr>
          <w:rStyle w:val="NumeroAFNegritaCaracter"/>
        </w:rPr>
        <w:t>4</w:t>
      </w:r>
      <w:r>
        <w:t xml:space="preserve">. El Ministerio Fiscal, por escrito registrado el 21 de diciembre de 2010, interpuso recurso de súplica contra la providencia de inadmisión, afirmando que aun cuando en algunos de los apartados de la demanda se hace referencia al planteamiento de un incidente de nulidad no resuelto, del conjunto de la demanda parece deducirse que en realidad se estaría </w:t>
      </w:r>
      <w:r>
        <w:lastRenderedPageBreak/>
        <w:t>hablando de un incidente de nulidad por incongruencia omisiva introducido por la vía del recurso de súplica contra el Auto del 29 de marzo de 2011, que sería el no resuelto por el Auto de 25 de mayo de 2011, “por lo que el recurrente estaría confusamente hablando de incidente de nulidad y del recurso de súplica cuando sería el mismo acto procesal de la parte”. De ese modo el Ministerio Fiscal concluye que “de lo expuesto, aparecería que el proceso extradicional habría finalizado … por lo que no se daría el supuesto de inadmisión que contempla la providencia que se recurre en súplica”.</w:t>
      </w:r>
    </w:p>
    <w:p w:rsidR="00E3576C" w:rsidRDefault="00E3576C" w:rsidP="00E3576C">
      <w:pPr>
        <w:pStyle w:val="TextoNormal"/>
      </w:pPr>
    </w:p>
    <w:p w:rsidR="00E3576C" w:rsidRDefault="00E3576C" w:rsidP="00E3576C">
      <w:pPr>
        <w:pStyle w:val="TextoNormal"/>
      </w:pPr>
      <w:r w:rsidRPr="00E3576C">
        <w:rPr>
          <w:rStyle w:val="NumeroAFNegritaCaracter"/>
        </w:rPr>
        <w:t>5</w:t>
      </w:r>
      <w:r>
        <w:t>. La Secretaría de Justicia de la Sección Segunda de este Tribunal, por diligencia de ordenación de 23 de diciembre de 2011, acordó dar traslado al recurrente para que en el plazo de tres días alegara lo que estimaran pertinente en relación con el escrito de súplica, lo que fue fehacientemente notificado el 27 de diciembre de 2011.</w:t>
      </w:r>
    </w:p>
    <w:p w:rsidR="00E3576C" w:rsidRDefault="00E3576C" w:rsidP="00E3576C">
      <w:pPr>
        <w:pStyle w:val="TextoNormal"/>
      </w:pPr>
    </w:p>
    <w:p w:rsidR="00E3576C" w:rsidRDefault="00E3576C" w:rsidP="00E3576C">
      <w:pPr>
        <w:pStyle w:val="TextoNormal"/>
      </w:pPr>
      <w:r w:rsidRPr="00E3576C">
        <w:rPr>
          <w:rStyle w:val="NumeroAFNegritaCaracter"/>
        </w:rPr>
        <w:t>6</w:t>
      </w:r>
      <w:r>
        <w:t>. La Secretaría de Justicia de la Sección Segunda de este Tribunal, por diligencia de 12 de enero de 2011 hizo constar que el recurrente no presentó escrito alguno.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El recurso de súplica interpuesto por el Ministerio Fiscal contra la providencia de inadmisión dictada en el presente recurso de amparo debe ser desestimado.</w:t>
      </w:r>
    </w:p>
    <w:p w:rsidR="00E3576C" w:rsidRDefault="00E3576C" w:rsidP="00E3576C">
      <w:pPr>
        <w:pStyle w:val="TextoNormal"/>
      </w:pPr>
    </w:p>
    <w:p w:rsidR="00E3576C" w:rsidRDefault="00E3576C" w:rsidP="00E3576C">
      <w:pPr>
        <w:pStyle w:val="TextoNormal"/>
      </w:pPr>
      <w:r>
        <w:t>El Ministerio Fiscal sustenta su recurso de súplica en la posibilidad de que, aunque se haga mención expresa en la demanda de amparo a la interposición de un incidente de nulidad de actuaciones todavía no resuelto, existe la posibilidad de que se hubiera agotado la vía judicial previa, ya que el recurrente estaría confusamente hablando de incidente de nulidad y de recurso de súplica cuando serían el mismo acto procesal de la parte para impugnar el originario Auto que acordó su extradición.</w:t>
      </w:r>
    </w:p>
    <w:p w:rsidR="00E3576C" w:rsidRDefault="00E3576C" w:rsidP="00E3576C">
      <w:pPr>
        <w:pStyle w:val="TextoNormal"/>
      </w:pPr>
    </w:p>
    <w:p w:rsidR="00E3576C" w:rsidRDefault="00E3576C" w:rsidP="00E3576C">
      <w:pPr>
        <w:pStyle w:val="TextoNormal"/>
      </w:pPr>
      <w:r>
        <w:t>Este Tribunal ya ha reiterado que las exigencias de precisión y claridad contenidas en el art. 49.1 de la Ley Orgánica del Tribunal Constitucional (LOTC) no representan meros formalismos, pues están justificadas por la necesidad de “proporcionar los elementos necesarios para la formulación del juicio que corresponde hacer a este Tribunal” (STC 82/1995, de 5 de junio, FJ 5). Igualmente, se ha advertido reiteradamente que no puede exigirse de este Tribunal que integre los defectos argumentales de la demanda de amparo, ya que es carga ineludible del recurrente la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w:t>
      </w:r>
    </w:p>
    <w:p w:rsidR="00E3576C" w:rsidRDefault="00E3576C" w:rsidP="00E3576C">
      <w:pPr>
        <w:pStyle w:val="TextoNormal"/>
      </w:pPr>
    </w:p>
    <w:p w:rsidR="00E3576C" w:rsidRDefault="00E3576C" w:rsidP="00E3576C">
      <w:pPr>
        <w:pStyle w:val="TextoNormal"/>
      </w:pPr>
      <w:r>
        <w:t xml:space="preserve">En el presente caso, como se ha señalado en los antecedentes, en la demanda de amparo, cuya alegación principal es que los Autos impugnados han incurrido en incongruencia omisiva, se hace mención a la promoción de un incidente de nulidad de actuaciones a los efectos de agotamiento de la vía judicial previa por dos ocasiones, destacando expresamente que dicho incidente no ha sido resuelto. A partir de ello, no es función de este Tribunal hacer conjeturas ni hipótesis sobre la posibilidad señalada por el Ministerio Fiscal de que dicha mención responda o no a una confusión de la parte con el recurso de súplica planteado y de </w:t>
      </w:r>
      <w:r>
        <w:lastRenderedPageBreak/>
        <w:t>que sí se haya agotado la vía judicial previa. En los términos ya señalados, la obligación de precisión y claridad en la exposición de la demanda es una carga del recurrente que alcanza también a fundamentar y acreditar de manera indubitada que concurren la totalidad de los requisitos de admisibilidad, incluido el de no simultanear el procedimiento de amparo constitucional con la vía judicial, y a cuyo más estricto cumplimiento está dirigida la exigencia estructural del recurso de amparo de que se deba conferir la representación a un Procurador y actuar bajo la dirección de Letrado (art. 81.1 LOTC), para que sean estos profesionales los que puedan articular de manera óptima la pretensión del legitimado. Además, la circunstancia de que el recurrente no haya realizado ninguna alegación en la tramitación de este recurso de súplica resulta un dato más respecto de la improcedencia de asumir una hipótesis que, de ser cierta, hubiera sido fácilmente corroborable por el recurrente.</w:t>
      </w:r>
    </w:p>
    <w:p w:rsidR="00E3576C" w:rsidRDefault="00E3576C" w:rsidP="00E3576C">
      <w:pPr>
        <w:pStyle w:val="TextoNormal"/>
      </w:pPr>
    </w:p>
    <w:p w:rsidR="00E3576C" w:rsidRDefault="00E3576C" w:rsidP="00E3576C">
      <w:pPr>
        <w:pStyle w:val="TextoNormal"/>
      </w:pPr>
      <w:r w:rsidRPr="00E3576C">
        <w:rPr>
          <w:rStyle w:val="NumeroAFNegritaCaracter"/>
        </w:rPr>
        <w:t>2</w:t>
      </w:r>
      <w:r>
        <w:t>. En cualquier caso, aunque no se hubiera simultaneado la vía judicial previa, por no haberse promovido un incidente de nulidad de actuaciones contra el Auto del Pleno de la Sala de lo Penal de la Audiencia Nacional de 25 de mayo de 2011, resolutorio del recurso de súplica, la circunstancia de que el recurso de amparo se fundamente en la vulneración del derecho a la tutela judicial efectiva (art. 24.1 CE) por una incongruencia omisiva en que también habría incurrido dicho Auto por no resolver una solicitud de nulidad de actuaciones determinaría igualmente su inadmisión por la misma causa de falta de agotamiento de la vía judicial previa [art. 50.1 a), en relación con el art. 44.1 a) LOTC]. En efecto, en tal caso, dicho incidente era un remedio procesal apto para haber reparado la incongruencia omisiva alegada en este amparo.</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y, en consecuencia, confirmar en su integridad la providencia de 24 de noviembre de 2011.</w:t>
      </w:r>
    </w:p>
    <w:p w:rsidR="00E3576C" w:rsidRDefault="00E3576C" w:rsidP="00E3576C">
      <w:pPr>
        <w:pStyle w:val="TextoNormal"/>
      </w:pPr>
    </w:p>
    <w:p w:rsidR="00E3576C" w:rsidRDefault="00E3576C" w:rsidP="00E3576C">
      <w:pPr>
        <w:pStyle w:val="TextoNormal"/>
      </w:pPr>
      <w:r>
        <w:t>Madrid, a veinticinco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73" w:name="AUTO_2012_132"/>
      <w:r>
        <w:lastRenderedPageBreak/>
        <w:t>AUTO 132/2012, de 26 de junio de 2012</w:t>
      </w:r>
    </w:p>
    <w:bookmarkEnd w:id="273"/>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ECLI:ES:TC:2012:132A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Desestima el recurso de súplica del Ministerio Fiscal sobre inadmisión del recurso de amparo 9233-2007, promovido por don Josep Roselló Pardo en pleito civil.</w:t>
      </w:r>
    </w:p>
    <w:p w:rsidR="00E3576C" w:rsidRDefault="00E3576C" w:rsidP="00E3576C">
      <w:pPr>
        <w:pStyle w:val="SntesisDescriptiva"/>
      </w:pPr>
    </w:p>
    <w:p w:rsidR="00E3576C" w:rsidRDefault="00E3576C" w:rsidP="00E3576C">
      <w:pPr>
        <w:pStyle w:val="SntesisAnaltica"/>
      </w:pPr>
      <w:r>
        <w:t>Inadmisión de recurso de amparo: extemporaneidad del recurso de amparo. Recurso de súplica contra providencias de inadmisión del Tribunal Constitucional: desestimación de recurso de súplica contra providencias de inadmisión del Tribunal Constitucional.</w:t>
      </w:r>
    </w:p>
    <w:p w:rsidR="00E3576C" w:rsidRDefault="00E3576C" w:rsidP="00E3576C">
      <w:pPr>
        <w:pStyle w:val="SntesisAnaltica"/>
      </w:pPr>
    </w:p>
    <w:p w:rsidR="00E3576C" w:rsidRDefault="00E3576C" w:rsidP="00E3576C">
      <w:pPr>
        <w:pStyle w:val="SntesisAnaltica"/>
      </w:pPr>
    </w:p>
    <w:p w:rsidR="00E3576C" w:rsidRDefault="00E3576C" w:rsidP="00E3576C">
      <w:pPr>
        <w:pStyle w:val="SntesisAnaltica"/>
      </w:pPr>
    </w:p>
    <w:p w:rsidR="00E3576C" w:rsidRDefault="00E3576C" w:rsidP="00E3576C">
      <w:pPr>
        <w:pStyle w:val="TextoNormalNegritaCentrado"/>
      </w:pPr>
      <w:r>
        <w:t>AUTO</w:t>
      </w:r>
    </w:p>
    <w:p w:rsidR="00E3576C" w:rsidRDefault="00E3576C" w:rsidP="00E3576C">
      <w:pPr>
        <w:pStyle w:val="TextoNormalNegritaCentrado"/>
      </w:pPr>
    </w:p>
    <w:p w:rsidR="00E3576C" w:rsidRDefault="00E3576C" w:rsidP="00E3576C">
      <w:pPr>
        <w:pStyle w:val="TextoNormalNegritaCentrado"/>
        <w:keepNext/>
      </w:pPr>
      <w:r>
        <w:t>I. Antecedentes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Mediante escrito registrado el 29 de noviembre de 2007, el Procurador don Ludovico Moreno Martín-Rico, en nombre de don Josep Roselló Pardo, interpuso recurso de amparo contra el Auto de la Sala de lo Civil y Penal del Tribunal Superior de Justicia de Cataluña de 25 de junio de 2007, que inadmitió sus recursos de casación y extraordinario por infracción procesal; así como contra las providencias de 19 de julio de 2007 que denegó una solicitud de complemento de aquel Auto y 11 de octubre de 2007 que inadmitió a trámite un incidente de nulidad de actuaciones, contra aquel mismo Auto de 25 de junio.</w:t>
      </w:r>
    </w:p>
    <w:p w:rsidR="00E3576C" w:rsidRDefault="00E3576C" w:rsidP="00E3576C">
      <w:pPr>
        <w:pStyle w:val="TextoNormal"/>
      </w:pPr>
    </w:p>
    <w:p w:rsidR="00E3576C" w:rsidRDefault="00E3576C" w:rsidP="00E3576C">
      <w:pPr>
        <w:pStyle w:val="TextoNormal"/>
      </w:pPr>
      <w:r w:rsidRPr="00E3576C">
        <w:rPr>
          <w:rStyle w:val="NumeroAFNegritaCaracter"/>
        </w:rPr>
        <w:t>2</w:t>
      </w:r>
      <w:r>
        <w:t>. Los hechos relevantes para la resolución del presente recurso son los siguientes:</w:t>
      </w:r>
    </w:p>
    <w:p w:rsidR="00E3576C" w:rsidRDefault="00E3576C" w:rsidP="00E3576C">
      <w:pPr>
        <w:pStyle w:val="TextoNormal"/>
      </w:pPr>
    </w:p>
    <w:p w:rsidR="00E3576C" w:rsidRDefault="00E3576C" w:rsidP="00E3576C">
      <w:pPr>
        <w:pStyle w:val="TextoNormal"/>
      </w:pPr>
      <w:r>
        <w:t>a) Contra la Sentencia de la Audiencia Provincial de Barcelona, Sección Primera, de 19 de julio de 2006, que desestimó la apelación interpuesta por el aquí recurrente, confirmando la Sentencia de primera instancia que había declarado parcialmente su demanda sobre relaciones patrimoniales derivadas de matrimonio; preparó dicha parte recurso de casación y extraordinario por infracción procesal y tras ello, posterior escrito de interposición, siendo todo admitido por la Audiencia Provincial y remitido a la Sala de lo Civil y Penal —actuando como Sala de lo Civil— del Tribunal Superior de Justicia de Cataluña.</w:t>
      </w:r>
    </w:p>
    <w:p w:rsidR="00E3576C" w:rsidRDefault="00E3576C" w:rsidP="00E3576C">
      <w:pPr>
        <w:pStyle w:val="TextoNormal"/>
      </w:pPr>
    </w:p>
    <w:p w:rsidR="00E3576C" w:rsidRDefault="00E3576C" w:rsidP="00E3576C">
      <w:pPr>
        <w:pStyle w:val="TextoNormal"/>
      </w:pPr>
      <w:r>
        <w:t>b) Esta última, mediante providencia de 2 de abril de 2007, abrió trámite de diez días a las partes para que se pronunciaran sobre la posible inadmisión de los recursos, evacuando ambas los escritos correspondientes.</w:t>
      </w:r>
    </w:p>
    <w:p w:rsidR="00E3576C" w:rsidRDefault="00E3576C" w:rsidP="00E3576C">
      <w:pPr>
        <w:pStyle w:val="TextoNormal"/>
      </w:pPr>
    </w:p>
    <w:p w:rsidR="00E3576C" w:rsidRDefault="00E3576C" w:rsidP="00E3576C">
      <w:pPr>
        <w:pStyle w:val="TextoNormal"/>
      </w:pPr>
      <w:r>
        <w:t xml:space="preserve">c) Por Auto de 25 de junio de 2007, el Tribunal Superior de Justicia inadmitió los recursos: el de casación, por no cumplirse con el requisito formal de alegar dos Sentencias de un sentido y otras dos en el contrario para acreditar la contradicción de la jurisprudencia de audiencias que se exige en esa modalidad de interés casacional; y además, por no pretender </w:t>
      </w:r>
      <w:r>
        <w:lastRenderedPageBreak/>
        <w:t>un control de normas sustantivas sino la alteración de los hechos declarados probados en la instancia.</w:t>
      </w:r>
    </w:p>
    <w:p w:rsidR="00E3576C" w:rsidRDefault="00E3576C" w:rsidP="00E3576C">
      <w:pPr>
        <w:pStyle w:val="TextoNormal"/>
      </w:pPr>
    </w:p>
    <w:p w:rsidR="00E3576C" w:rsidRDefault="00E3576C" w:rsidP="00E3576C">
      <w:pPr>
        <w:pStyle w:val="TextoNormal"/>
      </w:pPr>
      <w:r>
        <w:t>Dicho Auto le fue notificado el 26 de junio de 2007, como consta en el sello de la copia de dicha resolución que aporta con la demanda.</w:t>
      </w:r>
    </w:p>
    <w:p w:rsidR="00E3576C" w:rsidRDefault="00E3576C" w:rsidP="00E3576C">
      <w:pPr>
        <w:pStyle w:val="TextoNormal"/>
      </w:pPr>
    </w:p>
    <w:p w:rsidR="00E3576C" w:rsidRDefault="00E3576C" w:rsidP="00E3576C">
      <w:pPr>
        <w:pStyle w:val="TextoNormal"/>
      </w:pPr>
      <w:r>
        <w:t>d) El recurrente presentó el 4 de julio de 2007 un “escrito de solicitud de complemento de resolución” respecto del Auto de 26 de junio de 2007, dando su versión de por qué debió admitirse a trámite el recurso de casación ante la inexistencia de jurisprudencia menor sobre la aplicación del art. 4.1 b) del Codi de Familia, que fue la norma aplicada por la Sentencia de apelación; denunciando además que dicha Sala no se pronunció sobre la incompetencia objetiva del Juzgados de Primera Instancia para conocer del caso, pues no correspondía a los órganos judiciales de esta clase sino a alguno de los especializados en familia.</w:t>
      </w:r>
    </w:p>
    <w:p w:rsidR="00E3576C" w:rsidRDefault="00E3576C" w:rsidP="00E3576C">
      <w:pPr>
        <w:pStyle w:val="TextoNormal"/>
      </w:pPr>
    </w:p>
    <w:p w:rsidR="00E3576C" w:rsidRDefault="00E3576C" w:rsidP="00E3576C">
      <w:pPr>
        <w:pStyle w:val="TextoNormal"/>
      </w:pPr>
      <w:r>
        <w:t>e) El 19 de julio de 2007 el Tribunal Superior dictó providencia no accediendo a la solicitud de complemento, al estimar que el Auto de 25 de junio de 2007 “resuelve suficientemente todas las cuestiones suscitadas en relación con los recursos planteados, sin omisión alguna … petición de complemento que no es sino de cambio de sentido de la decisión del Tribunal”. Consta sello de notificación el 24 de julio de 2007.</w:t>
      </w:r>
    </w:p>
    <w:p w:rsidR="00E3576C" w:rsidRDefault="00E3576C" w:rsidP="00E3576C">
      <w:pPr>
        <w:pStyle w:val="TextoNormal"/>
      </w:pPr>
    </w:p>
    <w:p w:rsidR="00E3576C" w:rsidRDefault="00E3576C" w:rsidP="00E3576C">
      <w:pPr>
        <w:pStyle w:val="TextoNormal"/>
      </w:pPr>
      <w:r>
        <w:t>f) El 26 de septiembre de 2007 se deduce por la misma parte y de nuevo contra el Auto de 25 de junio de 2007, incidente de nulidad de actuaciones, centrado casi exclusivamente otra vez en la supuesta incongruencia omisiva del Auto de inadmisión casacional en los aspectos indicados (no pronunciarse sobre la admisión del recurso por inexistencia de jurisprudencia menor y sobre la falta de competencia objetiva del órgano de primera instancia) y sólo al final, de pasada y sin concretar la queja, considera igualmente infringido su derecho al recurso.</w:t>
      </w:r>
    </w:p>
    <w:p w:rsidR="00E3576C" w:rsidRDefault="00E3576C" w:rsidP="00E3576C">
      <w:pPr>
        <w:pStyle w:val="TextoNormal"/>
      </w:pPr>
    </w:p>
    <w:p w:rsidR="00E3576C" w:rsidRDefault="00E3576C" w:rsidP="00E3576C">
      <w:pPr>
        <w:pStyle w:val="TextoNormal"/>
      </w:pPr>
      <w:r>
        <w:t>g) Mediante providencia de 11 de octubre de 2007, el Tribunal Superior inadmitió a trámite el incidente de nulidad de actuaciones “por cuanto las cuestiones planteadas ya fueron objeto de resolución —auto de 25 de junio de 2007— y nuevamente presentadas a través de una petición de complemento, que fue rechazada por tratarse de un intento de cambio de sentido de dicho auto”.</w:t>
      </w:r>
    </w:p>
    <w:p w:rsidR="00E3576C" w:rsidRDefault="00E3576C" w:rsidP="00E3576C">
      <w:pPr>
        <w:pStyle w:val="TextoNormal"/>
      </w:pPr>
    </w:p>
    <w:p w:rsidR="00E3576C" w:rsidRDefault="00E3576C" w:rsidP="00E3576C">
      <w:pPr>
        <w:pStyle w:val="TextoNormal"/>
      </w:pPr>
      <w:r>
        <w:t>h) Notificada esta última resolución judicial, por la misma parte se promovió el presente recurso de amparo.</w:t>
      </w:r>
    </w:p>
    <w:p w:rsidR="00E3576C" w:rsidRDefault="00E3576C" w:rsidP="00E3576C">
      <w:pPr>
        <w:pStyle w:val="TextoNormal"/>
      </w:pPr>
    </w:p>
    <w:p w:rsidR="00E3576C" w:rsidRDefault="00E3576C" w:rsidP="00E3576C">
      <w:pPr>
        <w:pStyle w:val="TextoNormal"/>
      </w:pPr>
      <w:r w:rsidRPr="00E3576C">
        <w:rPr>
          <w:rStyle w:val="NumeroAFNegritaCaracter"/>
        </w:rPr>
        <w:t>3</w:t>
      </w:r>
      <w:r>
        <w:t>. La demanda de amparo se fundó en la concurrencia de dos lesiones constitucionales: a) la primera es la del derecho a la tutela judicial efectiva (art. 24.1 CE), en su concreta dimensión de derecho a una resolución congruente, al no haberse pronunciado la Sala del Tribunal Superior de Justicia sobre el por qué no concurre la admisión del recurso de casación por inexistencia de jurisprudencia menor, y sobre su queja de falta de competencia objetiva del Juzgado de Primera Instancia para resolver la controversia; b) la segunda es la del mismo derecho fundamental (art. 24.1 CE) pero en su dimensión de derecho al recurso, defendiendo al respecto el recurrente que sí cumplía con los requisitos exigibles para que se admitieran los recursos que presentó, pues el Tribunal Superior se equivoca al decir que el pleito no versó en la segunda instancia sobre la aplicación del art. 4.1 b) del Codi de Familia, porque sí fue así.</w:t>
      </w:r>
    </w:p>
    <w:p w:rsidR="00E3576C" w:rsidRDefault="00E3576C" w:rsidP="00E3576C">
      <w:pPr>
        <w:pStyle w:val="TextoNormal"/>
      </w:pPr>
    </w:p>
    <w:p w:rsidR="00E3576C" w:rsidRDefault="00E3576C" w:rsidP="00E3576C">
      <w:pPr>
        <w:pStyle w:val="TextoNormal"/>
      </w:pPr>
      <w:r w:rsidRPr="00E3576C">
        <w:rPr>
          <w:rStyle w:val="NumeroAFNegritaCaracter"/>
        </w:rPr>
        <w:t>4</w:t>
      </w:r>
      <w:r>
        <w:t>. Por providencia de la Sección Segunda de este Tribunal de fecha 13 de mayo de 2009, se acordó no admitir a trámite el recurso de amparo presentado “con arreglo a lo previsto en el art. 50.1 a) de la Ley Orgánica del Tribunal Constitucional, redactado por la Ley Orgánica 6/2007, de 24 de mayo, en relación con sus arts. 43.2 y 44.2, toda vez que el recurso incurre en extemporaneidad”; concediendo al Ministerio Fiscal el plazo de tres días para interponer en su caso recurso de súplica.</w:t>
      </w:r>
    </w:p>
    <w:p w:rsidR="00E3576C" w:rsidRDefault="00E3576C" w:rsidP="00E3576C">
      <w:pPr>
        <w:pStyle w:val="TextoNormal"/>
      </w:pPr>
    </w:p>
    <w:p w:rsidR="00E3576C" w:rsidRDefault="00E3576C" w:rsidP="00E3576C">
      <w:pPr>
        <w:pStyle w:val="TextoNormal"/>
      </w:pPr>
      <w:r w:rsidRPr="00E3576C">
        <w:rPr>
          <w:rStyle w:val="NumeroAFNegritaCaracter"/>
        </w:rPr>
        <w:t>5</w:t>
      </w:r>
      <w:r>
        <w:t>. Notificada dicha providencia, por escrito de 25 de mayo de 2009 el representante del recurrente en amparo efectuó “solicitud de rectificación de error material”, diciendo que no se había producido la extemporaneidad declarada en la providencia de 13 de mayo, pues la demanda de amparo se interpuso el último día del plazo legal del que disponía, conforme el cómputo de días hábiles, por lo que suplicaba se tuviera por presentado correctamente el recurso, continuando su tramitación.</w:t>
      </w:r>
    </w:p>
    <w:p w:rsidR="00E3576C" w:rsidRDefault="00E3576C" w:rsidP="00E3576C">
      <w:pPr>
        <w:pStyle w:val="TextoNormal"/>
      </w:pPr>
    </w:p>
    <w:p w:rsidR="00E3576C" w:rsidRDefault="00E3576C" w:rsidP="00E3576C">
      <w:pPr>
        <w:pStyle w:val="TextoNormal"/>
      </w:pPr>
      <w:r w:rsidRPr="00E3576C">
        <w:rPr>
          <w:rStyle w:val="NumeroAFNegritaCaracter"/>
        </w:rPr>
        <w:t>6</w:t>
      </w:r>
      <w:r>
        <w:t>. El Ministerio Fiscal, por su parte, en escrito registrado en este Tribunal el 1 de junio de 2009, formalizó recurso de súplica contra la referida providencia de 13 de mayo, interesando su revocación al entender igualmente que no se había superado el plazo legal de treinta días para la interposición de la demanda de amparo.</w:t>
      </w:r>
    </w:p>
    <w:p w:rsidR="00E3576C" w:rsidRDefault="00E3576C" w:rsidP="00E3576C">
      <w:pPr>
        <w:pStyle w:val="TextoNormal"/>
      </w:pPr>
    </w:p>
    <w:p w:rsidR="00E3576C" w:rsidRDefault="00E3576C" w:rsidP="00E3576C">
      <w:pPr>
        <w:pStyle w:val="TextoNormal"/>
      </w:pPr>
      <w:r w:rsidRPr="00E3576C">
        <w:rPr>
          <w:rStyle w:val="NumeroAFNegritaCaracter"/>
        </w:rPr>
        <w:t>7</w:t>
      </w:r>
      <w:r>
        <w:t>. La Sección, por diligencia de ordenación de 4 de junio de 2009, tuvo por recibidos ambos escritos, ordenando dar traslado de ellos respectivamente a la otra parte, concediéndoles además tres días para alegaciones, que tanto la Fiscalía (escrito de 12 de junio) como el recurrente (escrito de 15 de junio) evacuaron, pronunciándose ambos a favor de que se revoque la anterior providencia de 13 de mayo, en los términos ya defendidos por cada uno.</w:t>
      </w:r>
    </w:p>
    <w:p w:rsidR="00E3576C" w:rsidRDefault="00E3576C" w:rsidP="00E3576C">
      <w:pPr>
        <w:pStyle w:val="TextoNormal"/>
      </w:pPr>
    </w:p>
    <w:p w:rsidR="00E3576C" w:rsidRDefault="00E3576C" w:rsidP="00E3576C">
      <w:pPr>
        <w:pStyle w:val="TextoNormalNegritaCentrado"/>
        <w:keepNext/>
      </w:pPr>
      <w:r>
        <w:t>II. Fundamentos jurídicos</w:t>
      </w:r>
    </w:p>
    <w:p w:rsidR="00E3576C" w:rsidRDefault="00E3576C" w:rsidP="00E3576C">
      <w:pPr>
        <w:pStyle w:val="TextoNormalNegritaCentrado"/>
        <w:keepNext/>
      </w:pPr>
    </w:p>
    <w:p w:rsidR="00E3576C" w:rsidRDefault="00E3576C" w:rsidP="00E3576C">
      <w:pPr>
        <w:pStyle w:val="TextoNormal"/>
      </w:pPr>
      <w:r w:rsidRPr="00E3576C">
        <w:rPr>
          <w:rStyle w:val="NumeroAFNegritaCaracter"/>
        </w:rPr>
        <w:t>1</w:t>
      </w:r>
      <w:r>
        <w:t>. De acuerdo con la doctrina de este Tribunal, el plazo para interponer el recurso de amparo es un plazo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y STC 17/2012, de 13 de febrero, FJ 3).</w:t>
      </w:r>
    </w:p>
    <w:p w:rsidR="00E3576C" w:rsidRDefault="00E3576C" w:rsidP="00E3576C">
      <w:pPr>
        <w:pStyle w:val="TextoNormal"/>
      </w:pPr>
    </w:p>
    <w:p w:rsidR="00E3576C" w:rsidRDefault="00E3576C" w:rsidP="00E3576C">
      <w:pPr>
        <w:pStyle w:val="TextoNormal"/>
      </w:pPr>
      <w:r>
        <w:t xml:space="preserve">Por otra parte, también es doctrina constitucional reiterada, que “la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w:t>
      </w:r>
      <w:r>
        <w:lastRenderedPageBreak/>
        <w:t xml:space="preserve">de enero, FJ 2; 78/2000, de 27 de marzo, FJ 2; y 172/2009, de 9 de julio, FJ 2)’.” (ATC 42/2010, de 12 de abril, FJ 1 y STC 17/2012). </w:t>
      </w:r>
    </w:p>
    <w:p w:rsidR="00E3576C" w:rsidRDefault="00E3576C" w:rsidP="00E3576C">
      <w:pPr>
        <w:pStyle w:val="TextoNormal"/>
      </w:pPr>
      <w:r>
        <w:t>Y en el mismo Auto y Sentencia que acabamos de citar declarábamos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00E3576C" w:rsidRDefault="00E3576C" w:rsidP="00E3576C">
      <w:pPr>
        <w:pStyle w:val="TextoNormal"/>
      </w:pPr>
    </w:p>
    <w:p w:rsidR="00E3576C" w:rsidRDefault="00E3576C" w:rsidP="00E3576C">
      <w:pPr>
        <w:pStyle w:val="TextoNormal"/>
      </w:pPr>
      <w:r w:rsidRPr="00E3576C">
        <w:rPr>
          <w:rStyle w:val="NumeroAFNegritaCaracter"/>
        </w:rPr>
        <w:t>2</w:t>
      </w:r>
      <w:r>
        <w:t xml:space="preserve">. En el presente caso, como se ha puesto de manifiesto en los antecedentes, el recurrente, al amparo de lo previsto en el art. 215 de la Ley de enjuiciamiento civil (LEC), solicitó el complemento del Auto de 25 de junio de 2007 de la Sala Civil y Penal de Tribunal Superior de Justicia de Cataluña, denunciando por esta vía las mismas vulneraciones que posteriormente adujo, también contra el referido Auto, a través del incidente de nulidad de actuaciones. </w:t>
      </w:r>
    </w:p>
    <w:p w:rsidR="00E3576C" w:rsidRDefault="00E3576C" w:rsidP="00E3576C">
      <w:pPr>
        <w:pStyle w:val="TextoNormal"/>
      </w:pPr>
    </w:p>
    <w:p w:rsidR="00E3576C" w:rsidRDefault="00E3576C" w:rsidP="00E3576C">
      <w:pPr>
        <w:pStyle w:val="TextoNormal"/>
      </w:pPr>
      <w:r>
        <w:t>La aplicación de la doctrina constitucional expuesta nos lleva, tal como declaramos en la providencia de inadmisión de 13 de mayo de 2009, a apreciar la extemporaneidad de la demanda de amparo al haber interpuesto un incidente de nulidad que, en este caso, era manifiestamente improcedente, pues a través de esta vía volvieron a reiterarse las quejas que ya habían sido aducidas en su escrito de solicitud de complemento de Auto y sobre las que el órgano judicial tuvo oportunidad de pronunciarse cuando resolvió la referida solicitud. Debe recordarse que —como señalamos en el ATC 42/2010, de 12 de abril de 2010, FJ 2—,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Y en este caso, tal y como acaba de indicarse, las quejas que se aducen contra el Auto de 25 de junio de 2007 de la Sala Civil y Penal de Tribunal Superior de Justicia de Cataluña en el incidente de nulidad interpuesto, ya se habían formulado a través de la vía prevista en el art. 215 LEC.</w:t>
      </w:r>
    </w:p>
    <w:p w:rsidR="00E3576C" w:rsidRDefault="00E3576C" w:rsidP="00E3576C">
      <w:pPr>
        <w:pStyle w:val="TextoNormal"/>
      </w:pPr>
    </w:p>
    <w:p w:rsidR="00E3576C" w:rsidRDefault="00E3576C" w:rsidP="00E3576C">
      <w:pPr>
        <w:pStyle w:val="TextoNormal"/>
      </w:pPr>
      <w:r>
        <w:t>Resulta, por tanto, que no concurre el error en el cómputo del plazo que el recurrente aduce en su escrito de 25 de mayo de 2009 por el que solicitaba que se corrigiera la providencia de 13 de mayo de 2009 y en el que el Fiscal —único legitimado para recurrir (art. 50.3 de la Ley Orgánica del Tribunal Constitucional: LOTC)— fundamenta su recurso de súplica, pues, siendo manifiestamente improcedente el incidente de nulidad interpuesto, como quiera que la providencia por la que se denegó la petición de complemento del Auto de 25 de junio de 2007 de la Sala Civil y Penal de Tribunal Superior de Justicia de Cataluña fue notificada el 24 de julio de 2007 y el recurso de amparo se interpuso el 29 de noviembre de 2007, el plazo de treinta días previsto en el art. 44.2 LOTC ha transcurrido con creces, por lo que, como sostuvimos en la providencia de 13 de mayo de 2009, el recurso de amparo es extemporáneo.</w:t>
      </w:r>
    </w:p>
    <w:p w:rsidR="00E3576C" w:rsidRDefault="00E3576C" w:rsidP="00E3576C">
      <w:pPr>
        <w:pStyle w:val="TextoNormal"/>
      </w:pPr>
    </w:p>
    <w:p w:rsidR="00E3576C" w:rsidRDefault="00E3576C" w:rsidP="00E3576C">
      <w:pPr>
        <w:pStyle w:val="TextoNormal"/>
      </w:pPr>
      <w:r>
        <w:t>Por todo lo expuesto, la Sección</w:t>
      </w:r>
    </w:p>
    <w:p w:rsidR="00E3576C" w:rsidRDefault="00E3576C" w:rsidP="00E3576C">
      <w:pPr>
        <w:pStyle w:val="TextoNormal"/>
      </w:pPr>
    </w:p>
    <w:p w:rsidR="00E3576C" w:rsidRDefault="00E3576C" w:rsidP="00E3576C">
      <w:pPr>
        <w:pStyle w:val="TextoNormalCentrado"/>
      </w:pPr>
      <w:r>
        <w:t>ACUERDA</w:t>
      </w:r>
    </w:p>
    <w:p w:rsidR="00E3576C" w:rsidRDefault="00E3576C" w:rsidP="00E3576C">
      <w:pPr>
        <w:pStyle w:val="TextoNormalCentrado"/>
      </w:pPr>
    </w:p>
    <w:p w:rsidR="00E3576C" w:rsidRDefault="00E3576C" w:rsidP="00E3576C">
      <w:pPr>
        <w:pStyle w:val="TextoNormal"/>
      </w:pPr>
      <w:r>
        <w:t>Desestimar el recurso de súplica interpuesto por el Ministerio Fiscal contra la providencia de la Sección Segunda de 13 de mayo de 2009.</w:t>
      </w:r>
    </w:p>
    <w:p w:rsidR="00E3576C" w:rsidRDefault="00E3576C" w:rsidP="00E3576C">
      <w:pPr>
        <w:pStyle w:val="TextoNormal"/>
      </w:pPr>
    </w:p>
    <w:p w:rsidR="00E3576C" w:rsidRDefault="00E3576C" w:rsidP="00E3576C">
      <w:pPr>
        <w:pStyle w:val="TextoNormal"/>
      </w:pPr>
      <w:r>
        <w:t>Madrid, a veintiséis de junio de dos mil doce.</w:t>
      </w:r>
    </w:p>
    <w:p w:rsidR="00E3576C" w:rsidRDefault="00E3576C">
      <w:pPr>
        <w:spacing w:after="160" w:line="259" w:lineRule="auto"/>
        <w:rPr>
          <w:rFonts w:ascii="Times New Roman" w:eastAsia="Times New Roman" w:hAnsi="Times New Roman" w:cs="Times New Roman"/>
          <w:sz w:val="24"/>
          <w:szCs w:val="24"/>
          <w:lang w:eastAsia="es-ES"/>
        </w:rPr>
      </w:pPr>
      <w:r>
        <w:br w:type="page"/>
      </w:r>
    </w:p>
    <w:p w:rsidR="00E3576C" w:rsidRDefault="00E3576C" w:rsidP="00E3576C">
      <w:pPr>
        <w:pStyle w:val="TtuloResolucin"/>
      </w:pPr>
      <w:bookmarkStart w:id="274" w:name="AUTO_2012_133"/>
      <w:r>
        <w:lastRenderedPageBreak/>
        <w:t>AUTO 133/2012, de 27 de junio de 2012</w:t>
      </w:r>
    </w:p>
    <w:bookmarkEnd w:id="274"/>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ECLI:ES:TC:2012:133A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2219-2011, promovido en proceso contencioso-administrativo.</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75" w:name="AUTO_2012_134"/>
      <w:r>
        <w:lastRenderedPageBreak/>
        <w:t>AUTO 134/2012, de 27 de junio de 2012</w:t>
      </w:r>
    </w:p>
    <w:bookmarkEnd w:id="275"/>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SntesisDescriptiva"/>
      </w:pPr>
      <w:r>
        <w:t>ECLI:ES:TC:2012:134A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4738-2011, promovido en litigio civil.</w:t>
      </w:r>
    </w:p>
    <w:p w:rsidR="00E3576C" w:rsidRDefault="00E3576C" w:rsidP="00E3576C">
      <w:pPr>
        <w:pStyle w:val="SntesisDescriptiva"/>
      </w:pPr>
    </w:p>
    <w:p w:rsidR="00E3576C" w:rsidRDefault="00E3576C" w:rsidP="00E3576C">
      <w:pPr>
        <w:pStyle w:val="TtuloResolucin"/>
      </w:pPr>
      <w:r>
        <w:t>*Este auto no incorpora doctrina constitucional.</w:t>
      </w:r>
    </w:p>
    <w:p w:rsidR="00E3576C" w:rsidRDefault="00E3576C">
      <w:pPr>
        <w:spacing w:after="160" w:line="259" w:lineRule="auto"/>
        <w:rPr>
          <w:rFonts w:ascii="Times New Roman" w:eastAsia="Times New Roman" w:hAnsi="Times New Roman" w:cs="Times New Roman"/>
          <w:b/>
          <w:sz w:val="24"/>
          <w:szCs w:val="24"/>
          <w:lang w:eastAsia="es-ES"/>
        </w:rPr>
      </w:pPr>
      <w:r>
        <w:br w:type="page"/>
      </w:r>
    </w:p>
    <w:p w:rsidR="00E3576C" w:rsidRDefault="00E3576C" w:rsidP="00E3576C">
      <w:pPr>
        <w:pStyle w:val="TtuloResolucin"/>
      </w:pPr>
      <w:bookmarkStart w:id="276" w:name="AUTO_2012_135"/>
      <w:r>
        <w:lastRenderedPageBreak/>
        <w:t>AUTO 135/2012, de 27 de junio de 2012</w:t>
      </w:r>
    </w:p>
    <w:bookmarkEnd w:id="276"/>
    <w:p w:rsidR="00E3576C" w:rsidRDefault="00E3576C" w:rsidP="00E3576C">
      <w:pPr>
        <w:pStyle w:val="TtuloResolucin"/>
      </w:pPr>
      <w:r>
        <w:t>Sección Segunda</w:t>
      </w:r>
    </w:p>
    <w:p w:rsidR="00E3576C" w:rsidRDefault="00E3576C" w:rsidP="00E3576C">
      <w:pPr>
        <w:pStyle w:val="TtuloResolucin"/>
      </w:pPr>
    </w:p>
    <w:p w:rsidR="00E3576C" w:rsidRDefault="00E3576C" w:rsidP="00E3576C">
      <w:pPr>
        <w:pStyle w:val="TtuloBOE"/>
      </w:pPr>
      <w:r>
        <w:t>("BOE" núm. 163, de 9 de julio de 2012)</w:t>
      </w:r>
    </w:p>
    <w:p w:rsidR="00E3576C" w:rsidRDefault="00E3576C" w:rsidP="00E3576C">
      <w:pPr>
        <w:pStyle w:val="TtuloBOE"/>
      </w:pPr>
    </w:p>
    <w:p w:rsidR="00E3576C" w:rsidRDefault="00E3576C" w:rsidP="00E3576C">
      <w:pPr>
        <w:pStyle w:val="SntesisDescriptiva"/>
      </w:pPr>
      <w:r>
        <w:t>ECLI:ES:TC:2012:135A</w:t>
      </w:r>
    </w:p>
    <w:p w:rsidR="00E3576C" w:rsidRDefault="00E3576C" w:rsidP="00E3576C">
      <w:pPr>
        <w:pStyle w:val="SntesisDescriptiva"/>
      </w:pPr>
    </w:p>
    <w:p w:rsidR="00E3576C" w:rsidRDefault="00E3576C" w:rsidP="00E3576C">
      <w:pPr>
        <w:pStyle w:val="SntesisDescriptiva"/>
      </w:pPr>
      <w:r>
        <w:t>Excms. Srs. don Javier Delgado Barrio y don Pablo Pérez Tremps.</w:t>
      </w:r>
    </w:p>
    <w:p w:rsidR="00E3576C" w:rsidRDefault="00E3576C" w:rsidP="00E3576C">
      <w:pPr>
        <w:pStyle w:val="SntesisDescriptiva"/>
      </w:pPr>
    </w:p>
    <w:p w:rsidR="00E3576C" w:rsidRDefault="00E3576C" w:rsidP="00E3576C">
      <w:pPr>
        <w:pStyle w:val="SntesisDescriptiva"/>
      </w:pPr>
      <w:r>
        <w:t>Acuerda el desistimiento en el recurso de amparo 4898-2011, promovido en litigio civil.</w:t>
      </w:r>
    </w:p>
    <w:p w:rsidR="00E3576C" w:rsidRDefault="00E3576C" w:rsidP="00E3576C">
      <w:pPr>
        <w:pStyle w:val="SntesisDescriptiva"/>
      </w:pPr>
    </w:p>
    <w:p w:rsidR="00E3576C" w:rsidRDefault="00E3576C" w:rsidP="0043655B">
      <w:pPr>
        <w:pStyle w:val="TtuloResolucin"/>
      </w:pPr>
      <w:r>
        <w:t>*Este auto no incorpora doctrina constitucional.</w:t>
      </w:r>
    </w:p>
    <w:p w:rsidR="0043655B" w:rsidRDefault="0043655B">
      <w:pPr>
        <w:spacing w:after="160" w:line="259" w:lineRule="auto"/>
        <w:rPr>
          <w:rFonts w:ascii="Times New Roman" w:eastAsia="Times New Roman" w:hAnsi="Times New Roman" w:cs="Times New Roman"/>
          <w:b/>
          <w:sz w:val="24"/>
          <w:szCs w:val="24"/>
          <w:lang w:eastAsia="es-ES"/>
        </w:rPr>
      </w:pPr>
      <w:r>
        <w:br w:type="page"/>
      </w:r>
    </w:p>
    <w:p w:rsidR="0043655B" w:rsidRDefault="0043655B" w:rsidP="00E3576C">
      <w:pPr>
        <w:pStyle w:val="TtuloResolucin"/>
      </w:pPr>
    </w:p>
    <w:p w:rsidR="0043655B" w:rsidRDefault="0043655B" w:rsidP="0043655B">
      <w:pPr>
        <w:pStyle w:val="TextoNormal"/>
      </w:pPr>
    </w:p>
    <w:p w:rsidR="0043655B" w:rsidRDefault="0043655B" w:rsidP="0043655B">
      <w:pPr>
        <w:pStyle w:val="TextoNormal"/>
      </w:pPr>
    </w:p>
    <w:p w:rsidR="0043655B" w:rsidRDefault="0043655B" w:rsidP="0043655B">
      <w:pPr>
        <w:pStyle w:val="TextoNormal"/>
      </w:pPr>
    </w:p>
    <w:p w:rsidR="00970E95" w:rsidRDefault="0043655B" w:rsidP="0043655B">
      <w:pPr>
        <w:pStyle w:val="Ttulondice"/>
        <w:suppressAutoHyphens/>
      </w:pPr>
      <w:r>
        <w:t xml:space="preserve">3. ÍNDICE DE </w:t>
      </w:r>
      <w:r w:rsidR="00970E95" w:rsidRPr="00970E95">
        <w:t xml:space="preserve">DISPOSICIONES CON </w:t>
      </w:r>
    </w:p>
    <w:p w:rsidR="0043655B" w:rsidRDefault="00970E95" w:rsidP="0043655B">
      <w:pPr>
        <w:pStyle w:val="Ttulondice"/>
        <w:suppressAutoHyphens/>
      </w:pPr>
      <w:r w:rsidRPr="00970E95">
        <w:t>RANGO DE LEY IMPUGNADAS</w:t>
      </w: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pPr>
    </w:p>
    <w:p w:rsidR="0043655B" w:rsidRDefault="0043655B" w:rsidP="0043655B">
      <w:pPr>
        <w:pStyle w:val="TextoNormal"/>
      </w:pPr>
      <w:bookmarkStart w:id="277" w:name="INDICE22802"/>
      <w:bookmarkEnd w:id="277"/>
    </w:p>
    <w:p w:rsidR="0043655B" w:rsidRDefault="00733A71" w:rsidP="0043655B">
      <w:pPr>
        <w:pStyle w:val="TextoIndiceNivel2"/>
        <w:suppressAutoHyphens/>
      </w:pPr>
      <w:r>
        <w:t>A) Disposiciones con fuerza de ley del Estado</w:t>
      </w:r>
    </w:p>
    <w:p w:rsidR="0043655B" w:rsidRDefault="0043655B" w:rsidP="0043655B">
      <w:pPr>
        <w:pStyle w:val="TextoIndiceNivel2"/>
      </w:pPr>
    </w:p>
    <w:p w:rsidR="0043655B" w:rsidRDefault="0043655B" w:rsidP="0043655B">
      <w:pPr>
        <w:pStyle w:val="TextoNormalNegritaCursivandice"/>
      </w:pPr>
      <w:r>
        <w:t>Ley 7/1985, de 2 de abril. Reguladora de bases del régimen local</w:t>
      </w:r>
    </w:p>
    <w:p w:rsidR="0043655B" w:rsidRDefault="0043655B" w:rsidP="0043655B">
      <w:pPr>
        <w:pStyle w:val="SangriaFrancesaArticulo"/>
      </w:pPr>
      <w:r w:rsidRPr="0043655B">
        <w:rPr>
          <w:rStyle w:val="TextoNormalNegritaCaracter"/>
        </w:rPr>
        <w:t>Artículo 73.3 párrafo 3.</w:t>
      </w:r>
      <w:r w:rsidRPr="0043655B">
        <w:rPr>
          <w:rStyle w:val="TextoNormalCaracter"/>
        </w:rPr>
        <w:t>-</w:t>
      </w:r>
      <w:r>
        <w:t xml:space="preserve"> Sentencias </w:t>
      </w:r>
      <w:hyperlink w:anchor="SENTENCIA_2012_9" w:history="1">
        <w:r w:rsidRPr="0043655B">
          <w:rPr>
            <w:rStyle w:val="TextoNormalCaracter"/>
          </w:rPr>
          <w:t>9/2012</w:t>
        </w:r>
      </w:hyperlink>
      <w:r>
        <w:t xml:space="preserve">; </w:t>
      </w:r>
      <w:hyperlink w:anchor="SENTENCIA_2012_30" w:history="1">
        <w:r w:rsidRPr="0043655B">
          <w:rPr>
            <w:rStyle w:val="TextoNormalCaracter"/>
          </w:rPr>
          <w:t>30/2012</w:t>
        </w:r>
      </w:hyperlink>
      <w:r>
        <w:t>.</w:t>
      </w:r>
    </w:p>
    <w:p w:rsidR="0043655B" w:rsidRDefault="0043655B" w:rsidP="0043655B">
      <w:pPr>
        <w:pStyle w:val="SangriaFrancesaArticulo"/>
      </w:pPr>
    </w:p>
    <w:p w:rsidR="0043655B" w:rsidRDefault="0043655B" w:rsidP="0043655B">
      <w:pPr>
        <w:pStyle w:val="TextoNormalNegritaCursivandice"/>
      </w:pPr>
      <w:r>
        <w:t>Real Decreto Legislativo 1302/1986, de 28 de junio. Evaluación de impacto ambiental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46" w:history="1">
        <w:r w:rsidRPr="0043655B">
          <w:rPr>
            <w:rStyle w:val="TextoNormalCaracter"/>
          </w:rPr>
          <w:t>46/2012</w:t>
        </w:r>
      </w:hyperlink>
      <w:r>
        <w:t>.</w:t>
      </w:r>
    </w:p>
    <w:p w:rsidR="0043655B" w:rsidRDefault="0043655B" w:rsidP="0043655B">
      <w:pPr>
        <w:pStyle w:val="SangriaFrancesaArticulo"/>
      </w:pPr>
    </w:p>
    <w:p w:rsidR="0043655B" w:rsidRDefault="0043655B" w:rsidP="0043655B">
      <w:pPr>
        <w:pStyle w:val="TextoNormalNegritaCursivandice"/>
      </w:pPr>
      <w:r>
        <w:t>Ley 39/1988, de 28 de diciembre. Haciendas locales</w:t>
      </w:r>
    </w:p>
    <w:p w:rsidR="0043655B" w:rsidRDefault="0043655B" w:rsidP="0043655B">
      <w:pPr>
        <w:pStyle w:val="SangriaFrancesaArticulo"/>
      </w:pPr>
      <w:r w:rsidRPr="0043655B">
        <w:rPr>
          <w:rStyle w:val="TextoNormalNegritaCaracter"/>
        </w:rPr>
        <w:t>Artículo 54.1 párrafo 1</w:t>
      </w:r>
      <w:r>
        <w:t xml:space="preserve"> </w:t>
      </w:r>
      <w:r w:rsidRPr="0043655B">
        <w:rPr>
          <w:rStyle w:val="TextoNormalCaracter"/>
        </w:rPr>
        <w:t>(redactado por la Ley 50/1998, de 30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w:t>
      </w:r>
    </w:p>
    <w:p w:rsidR="0043655B" w:rsidRDefault="0043655B" w:rsidP="0043655B">
      <w:pPr>
        <w:pStyle w:val="SangriaFrancesaArticulo"/>
      </w:pPr>
      <w:r w:rsidRPr="0043655B">
        <w:rPr>
          <w:rStyle w:val="TextoNormalNegritaCaracter"/>
        </w:rPr>
        <w:t>Artículo 54.4 in fine</w:t>
      </w:r>
      <w:r>
        <w:t xml:space="preserve"> </w:t>
      </w:r>
      <w:r w:rsidRPr="0043655B">
        <w:rPr>
          <w:rStyle w:val="TextoNormalCaracter"/>
        </w:rPr>
        <w:t>(redactado por la Ley 50/1998, de 30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w:t>
      </w:r>
    </w:p>
    <w:p w:rsidR="0043655B" w:rsidRDefault="0043655B" w:rsidP="0043655B">
      <w:pPr>
        <w:pStyle w:val="SangriaFrancesaArticulo"/>
      </w:pPr>
    </w:p>
    <w:p w:rsidR="0043655B" w:rsidRDefault="0043655B" w:rsidP="0043655B">
      <w:pPr>
        <w:pStyle w:val="TextoNormalNegritaCursivandice"/>
      </w:pPr>
      <w:r>
        <w:t>Ley Orgánica 2/1989, de 13 de abril. Procesal militar</w:t>
      </w:r>
    </w:p>
    <w:p w:rsidR="0043655B" w:rsidRDefault="0043655B" w:rsidP="0043655B">
      <w:pPr>
        <w:pStyle w:val="SangriaFrancesaArticulo"/>
      </w:pPr>
      <w:r w:rsidRPr="0043655B">
        <w:rPr>
          <w:rStyle w:val="TextoNormalNegritaCaracter"/>
        </w:rPr>
        <w:t>Artículo 454.</w:t>
      </w:r>
      <w:r w:rsidRPr="0043655B">
        <w:rPr>
          <w:rStyle w:val="TextoNormalCaracter"/>
        </w:rPr>
        <w:t>-</w:t>
      </w:r>
      <w:r>
        <w:t xml:space="preserve"> Auto </w:t>
      </w:r>
      <w:hyperlink w:anchor="AUTO_2012_109" w:history="1">
        <w:r w:rsidRPr="0043655B">
          <w:rPr>
            <w:rStyle w:val="TextoNormalCaracter"/>
          </w:rPr>
          <w:t>109/2012</w:t>
        </w:r>
      </w:hyperlink>
      <w:r>
        <w:t>.</w:t>
      </w:r>
    </w:p>
    <w:p w:rsidR="0043655B" w:rsidRDefault="0043655B" w:rsidP="0043655B">
      <w:pPr>
        <w:pStyle w:val="SangriaFrancesaArticulo"/>
      </w:pPr>
    </w:p>
    <w:p w:rsidR="0043655B" w:rsidRDefault="0043655B" w:rsidP="0043655B">
      <w:pPr>
        <w:pStyle w:val="TextoNormalNegritaCursivandice"/>
      </w:pPr>
      <w:r>
        <w:t>Real Decreto Legislativo 339/1990, de 2 de marzo. Texto articulado de la Ley de bases sobre tráfico, circulación de vehículos a motor y seguridad vial</w:t>
      </w:r>
    </w:p>
    <w:p w:rsidR="0043655B" w:rsidRDefault="0043655B" w:rsidP="0043655B">
      <w:pPr>
        <w:pStyle w:val="SangriaFrancesaArticulo"/>
      </w:pPr>
      <w:r w:rsidRPr="0043655B">
        <w:rPr>
          <w:rStyle w:val="TextoNormalNegritaCaracter"/>
        </w:rPr>
        <w:t>Artículo 81.</w:t>
      </w:r>
      <w:r w:rsidRPr="0043655B">
        <w:rPr>
          <w:rStyle w:val="TextoNormalCaracter"/>
        </w:rPr>
        <w:t>-</w:t>
      </w:r>
      <w:r>
        <w:t xml:space="preserve"> Sentencias </w:t>
      </w:r>
      <w:hyperlink w:anchor="SENTENCIA_2012_37" w:history="1">
        <w:r w:rsidRPr="0043655B">
          <w:rPr>
            <w:rStyle w:val="TextoNormalCaracter"/>
          </w:rPr>
          <w:t>37/2012</w:t>
        </w:r>
      </w:hyperlink>
      <w:r>
        <w:t xml:space="preserve">; </w:t>
      </w:r>
      <w:hyperlink w:anchor="SENTENCIA_2012_75" w:history="1">
        <w:r w:rsidRPr="0043655B">
          <w:rPr>
            <w:rStyle w:val="TextoNormalCaracter"/>
          </w:rPr>
          <w:t>75/2012</w:t>
        </w:r>
      </w:hyperlink>
      <w:r>
        <w:t xml:space="preserve">; </w:t>
      </w:r>
      <w:hyperlink w:anchor="SENTENCIA_2012_91" w:history="1">
        <w:r w:rsidRPr="0043655B">
          <w:rPr>
            <w:rStyle w:val="TextoNormalCaracter"/>
          </w:rPr>
          <w:t>91/2012</w:t>
        </w:r>
      </w:hyperlink>
      <w:r>
        <w:t xml:space="preserve">; </w:t>
      </w:r>
      <w:hyperlink w:anchor="SENTENCIA_2012_94" w:history="1">
        <w:r w:rsidRPr="0043655B">
          <w:rPr>
            <w:rStyle w:val="TextoNormalCaracter"/>
          </w:rPr>
          <w:t>94/2012</w:t>
        </w:r>
      </w:hyperlink>
      <w:r>
        <w:t>.</w:t>
      </w:r>
    </w:p>
    <w:p w:rsidR="0043655B" w:rsidRDefault="0043655B" w:rsidP="0043655B">
      <w:pPr>
        <w:pStyle w:val="SangriaFrancesaArticulo"/>
      </w:pPr>
    </w:p>
    <w:p w:rsidR="0043655B" w:rsidRDefault="0043655B" w:rsidP="0043655B">
      <w:pPr>
        <w:pStyle w:val="TextoNormalNegritaCursivandice"/>
      </w:pPr>
      <w:r>
        <w:t>Ley 20/1991, de 7 de junio. Modificación de los aspectos fiscales de la Ley 30/1972, del régimen económico fiscal de Canarias</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100" w:history="1">
        <w:r w:rsidRPr="0043655B">
          <w:rPr>
            <w:rStyle w:val="TextoNormalCaracter"/>
          </w:rPr>
          <w:t>100/2012</w:t>
        </w:r>
      </w:hyperlink>
      <w:r>
        <w:t>.</w:t>
      </w:r>
    </w:p>
    <w:p w:rsidR="0043655B" w:rsidRDefault="0043655B" w:rsidP="0043655B">
      <w:pPr>
        <w:pStyle w:val="SangriaFrancesaArticulo"/>
      </w:pPr>
    </w:p>
    <w:p w:rsidR="0043655B" w:rsidRDefault="0043655B" w:rsidP="0043655B">
      <w:pPr>
        <w:pStyle w:val="TextoNormalNegritaCursivandice"/>
      </w:pPr>
      <w:r>
        <w:lastRenderedPageBreak/>
        <w:t>Ley 30/1992, de 26 de noviembre. Régimen jurídico de las Administraciones públicas y del procedimiento administrativo común</w:t>
      </w:r>
    </w:p>
    <w:p w:rsidR="0043655B" w:rsidRDefault="0043655B" w:rsidP="0043655B">
      <w:pPr>
        <w:pStyle w:val="SangriaFrancesaArticulo"/>
      </w:pPr>
      <w:r w:rsidRPr="0043655B">
        <w:rPr>
          <w:rStyle w:val="TextoNormalNegritaCaracter"/>
        </w:rPr>
        <w:t>Artículo 132.</w:t>
      </w:r>
      <w:r w:rsidRPr="0043655B">
        <w:rPr>
          <w:rStyle w:val="TextoNormalCaracter"/>
        </w:rPr>
        <w:t>-</w:t>
      </w:r>
      <w:r>
        <w:t xml:space="preserve"> Sentencias </w:t>
      </w:r>
      <w:hyperlink w:anchor="SENTENCIA_2012_37" w:history="1">
        <w:r w:rsidRPr="0043655B">
          <w:rPr>
            <w:rStyle w:val="TextoNormalCaracter"/>
          </w:rPr>
          <w:t>37/2012</w:t>
        </w:r>
      </w:hyperlink>
      <w:r>
        <w:t xml:space="preserve">; </w:t>
      </w:r>
      <w:hyperlink w:anchor="SENTENCIA_2012_75" w:history="1">
        <w:r w:rsidRPr="0043655B">
          <w:rPr>
            <w:rStyle w:val="TextoNormalCaracter"/>
          </w:rPr>
          <w:t>75/2012</w:t>
        </w:r>
      </w:hyperlink>
      <w:r>
        <w:t xml:space="preserve">; </w:t>
      </w:r>
      <w:hyperlink w:anchor="SENTENCIA_2012_91" w:history="1">
        <w:r w:rsidRPr="0043655B">
          <w:rPr>
            <w:rStyle w:val="TextoNormalCaracter"/>
          </w:rPr>
          <w:t>91/2012</w:t>
        </w:r>
      </w:hyperlink>
      <w:r>
        <w:t xml:space="preserve">; </w:t>
      </w:r>
      <w:hyperlink w:anchor="SENTENCIA_2012_94" w:history="1">
        <w:r w:rsidRPr="0043655B">
          <w:rPr>
            <w:rStyle w:val="TextoNormalCaracter"/>
          </w:rPr>
          <w:t>94/2012</w:t>
        </w:r>
      </w:hyperlink>
      <w:r>
        <w:t>.</w:t>
      </w:r>
    </w:p>
    <w:p w:rsidR="0043655B" w:rsidRDefault="0043655B" w:rsidP="0043655B">
      <w:pPr>
        <w:pStyle w:val="SangriaFrancesaArticulo"/>
      </w:pPr>
      <w:r w:rsidRPr="0043655B">
        <w:rPr>
          <w:rStyle w:val="TextoNormalNegritaCaracter"/>
        </w:rPr>
        <w:t>Artículo 132.2.</w:t>
      </w:r>
      <w:r w:rsidRPr="0043655B">
        <w:rPr>
          <w:rStyle w:val="TextoNormalCaracter"/>
        </w:rPr>
        <w:t>-</w:t>
      </w:r>
      <w:r>
        <w:t xml:space="preserve"> Sentencias </w:t>
      </w:r>
      <w:hyperlink w:anchor="SENTENCIA_2012_93" w:history="1">
        <w:r w:rsidRPr="0043655B">
          <w:rPr>
            <w:rStyle w:val="TextoNormalCaracter"/>
          </w:rPr>
          <w:t>93/2012</w:t>
        </w:r>
      </w:hyperlink>
      <w:r>
        <w:t xml:space="preserve">; </w:t>
      </w:r>
      <w:hyperlink w:anchor="SENTENCIA_2012_98" w:history="1">
        <w:r w:rsidRPr="0043655B">
          <w:rPr>
            <w:rStyle w:val="TextoNormalCaracter"/>
          </w:rPr>
          <w:t>98/2012</w:t>
        </w:r>
      </w:hyperlink>
      <w:r>
        <w:t>.</w:t>
      </w:r>
    </w:p>
    <w:p w:rsidR="0043655B" w:rsidRDefault="0043655B" w:rsidP="0043655B">
      <w:pPr>
        <w:pStyle w:val="SangriaFrancesaArticulo"/>
      </w:pPr>
      <w:r w:rsidRPr="0043655B">
        <w:rPr>
          <w:rStyle w:val="TextoNormalNegritaCaracter"/>
        </w:rPr>
        <w:t>Artículo 132.3.</w:t>
      </w:r>
      <w:r w:rsidRPr="0043655B">
        <w:rPr>
          <w:rStyle w:val="TextoNormalCaracter"/>
        </w:rPr>
        <w:t>-</w:t>
      </w:r>
      <w:r>
        <w:t xml:space="preserve"> Sentencias </w:t>
      </w:r>
      <w:hyperlink w:anchor="SENTENCIA_2012_93" w:history="1">
        <w:r w:rsidRPr="0043655B">
          <w:rPr>
            <w:rStyle w:val="TextoNormalCaracter"/>
          </w:rPr>
          <w:t>93/2012</w:t>
        </w:r>
      </w:hyperlink>
      <w:r>
        <w:t xml:space="preserve">; </w:t>
      </w:r>
      <w:hyperlink w:anchor="SENTENCIA_2012_98" w:history="1">
        <w:r w:rsidRPr="0043655B">
          <w:rPr>
            <w:rStyle w:val="TextoNormalCaracter"/>
          </w:rPr>
          <w:t>98/2012</w:t>
        </w:r>
      </w:hyperlink>
      <w:r>
        <w:t>.</w:t>
      </w:r>
    </w:p>
    <w:p w:rsidR="0043655B" w:rsidRDefault="0043655B" w:rsidP="0043655B">
      <w:pPr>
        <w:pStyle w:val="SangriaFrancesaArticulo"/>
      </w:pPr>
    </w:p>
    <w:p w:rsidR="0043655B" w:rsidRDefault="0043655B" w:rsidP="0043655B">
      <w:pPr>
        <w:pStyle w:val="TextoNormalNegritaCursivandice"/>
      </w:pPr>
      <w:r>
        <w:t>Real Decreto-ley 7/1993, de 21 de mayo. Medidas urgentes de adaptación y modificación del impuesto sobre el valor añadido, del impuesto especial sobre determinados medios de transporte, del impuesto general indirecto canario, del arbitrio sobre la producción e importación en las Islas Canarias y de la tarifa especial del arbitrio insular a la entrada de mercancías</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00" w:history="1">
        <w:r w:rsidRPr="0043655B">
          <w:rPr>
            <w:rStyle w:val="TextoNormalCaracter"/>
          </w:rPr>
          <w:t>100/2012</w:t>
        </w:r>
      </w:hyperlink>
      <w:r>
        <w:t>.</w:t>
      </w:r>
    </w:p>
    <w:p w:rsidR="0043655B" w:rsidRDefault="0043655B" w:rsidP="0043655B">
      <w:pPr>
        <w:pStyle w:val="SangriaFrancesaArticulo"/>
      </w:pPr>
    </w:p>
    <w:p w:rsidR="0043655B" w:rsidRDefault="0043655B" w:rsidP="0043655B">
      <w:pPr>
        <w:pStyle w:val="TextoNormalNegritaCursivandice"/>
      </w:pPr>
      <w:r>
        <w:t>Real Decreto Legislativo 1/1994, de 20 de junio. Texto refundido de la Ley general de la Seguridad Social</w:t>
      </w:r>
    </w:p>
    <w:p w:rsidR="0043655B" w:rsidRDefault="0043655B" w:rsidP="0043655B">
      <w:pPr>
        <w:pStyle w:val="SangriaFrancesaArticulo"/>
      </w:pPr>
      <w:r w:rsidRPr="0043655B">
        <w:rPr>
          <w:rStyle w:val="TextoNormalNegritaCaracter"/>
        </w:rPr>
        <w:t>Artículo 38.4</w:t>
      </w:r>
      <w:r>
        <w:t xml:space="preserve"> </w:t>
      </w:r>
      <w:r w:rsidRPr="0043655B">
        <w:rPr>
          <w:rStyle w:val="TextoNormalCaracter"/>
        </w:rPr>
        <w:t>(redactado por la Ley 52/2003, de 10 de diciembre)</w:t>
      </w:r>
      <w:r w:rsidRPr="0043655B">
        <w:rPr>
          <w:rStyle w:val="TextoNormalNegritaCaracter"/>
        </w:rPr>
        <w:t>.</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Artículo 189.2 párrafo 1</w:t>
      </w:r>
      <w:r>
        <w:t xml:space="preserve"> </w:t>
      </w:r>
      <w:r w:rsidRPr="0043655B">
        <w:rPr>
          <w:rStyle w:val="TextoNormalCaracter"/>
        </w:rPr>
        <w:t>(redactado por la Ley 52/2003, de 10 de diciembre)</w:t>
      </w:r>
      <w:r w:rsidRPr="0043655B">
        <w:rPr>
          <w:rStyle w:val="TextoNormalNegritaCaracter"/>
        </w:rPr>
        <w:t>.</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p>
    <w:p w:rsidR="0043655B" w:rsidRDefault="0043655B" w:rsidP="0043655B">
      <w:pPr>
        <w:pStyle w:val="TextoNormalNegritaCursivandice"/>
      </w:pPr>
      <w:r>
        <w:t>Real Decreto Legislativo 2/1995, de 7 de abril. Texto refundido de la Ley de  procedimiento laboral</w:t>
      </w:r>
    </w:p>
    <w:p w:rsidR="0043655B" w:rsidRDefault="0043655B" w:rsidP="0043655B">
      <w:pPr>
        <w:pStyle w:val="SangriaFrancesaArticulo"/>
      </w:pPr>
      <w:r w:rsidRPr="0043655B">
        <w:rPr>
          <w:rStyle w:val="TextoNormalNegritaCaracter"/>
        </w:rPr>
        <w:t>Artículo 138 apartado 6.</w:t>
      </w:r>
      <w:r w:rsidRPr="0043655B">
        <w:rPr>
          <w:rStyle w:val="TextoNormalCaracter"/>
        </w:rPr>
        <w:t>-</w:t>
      </w:r>
      <w:r>
        <w:t xml:space="preserve"> Sentencia </w:t>
      </w:r>
      <w:hyperlink w:anchor="SENTENCIA_2012_84" w:history="1">
        <w:r w:rsidRPr="0043655B">
          <w:rPr>
            <w:rStyle w:val="TextoNormalCaracter"/>
          </w:rPr>
          <w:t>84/2012</w:t>
        </w:r>
      </w:hyperlink>
      <w:r>
        <w:t>.</w:t>
      </w:r>
    </w:p>
    <w:p w:rsidR="0043655B" w:rsidRDefault="0043655B" w:rsidP="0043655B">
      <w:pPr>
        <w:pStyle w:val="SangriaFrancesaArticulo"/>
      </w:pPr>
    </w:p>
    <w:p w:rsidR="0043655B" w:rsidRDefault="0043655B" w:rsidP="0043655B">
      <w:pPr>
        <w:pStyle w:val="TextoNormalNegritaCursivandice"/>
      </w:pPr>
      <w:r>
        <w:t>Ley Orgánica 10/1995, de 23 de noviembre. Código penal</w:t>
      </w:r>
    </w:p>
    <w:p w:rsidR="0043655B" w:rsidRDefault="0043655B" w:rsidP="0043655B">
      <w:pPr>
        <w:pStyle w:val="SangriaFrancesaArticulo"/>
      </w:pPr>
      <w:r w:rsidRPr="0043655B">
        <w:rPr>
          <w:rStyle w:val="TextoNormalNegritaCaracter"/>
        </w:rPr>
        <w:t>Artículo 335.</w:t>
      </w:r>
      <w:r w:rsidRPr="0043655B">
        <w:rPr>
          <w:rStyle w:val="TextoNormalCaracter"/>
        </w:rPr>
        <w:t>-</w:t>
      </w:r>
      <w:r>
        <w:t xml:space="preserve"> Sentencia </w:t>
      </w:r>
      <w:hyperlink w:anchor="SENTENCIA_2012_101" w:history="1">
        <w:r w:rsidRPr="0043655B">
          <w:rPr>
            <w:rStyle w:val="TextoNormalCaracter"/>
          </w:rPr>
          <w:t>101/2012</w:t>
        </w:r>
      </w:hyperlink>
      <w:r>
        <w:t xml:space="preserve"> (anula).</w:t>
      </w:r>
    </w:p>
    <w:p w:rsidR="0043655B" w:rsidRDefault="0043655B" w:rsidP="0043655B">
      <w:pPr>
        <w:pStyle w:val="SangriaFrancesaArticulo"/>
      </w:pPr>
      <w:r w:rsidRPr="0043655B">
        <w:rPr>
          <w:rStyle w:val="TextoNormalNegritaCaracter"/>
        </w:rPr>
        <w:t>Artículo 335</w:t>
      </w:r>
      <w:r>
        <w:t xml:space="preserve"> </w:t>
      </w:r>
      <w:r w:rsidRPr="0043655B">
        <w:rPr>
          <w:rStyle w:val="TextoNormalCaracter"/>
        </w:rPr>
        <w:t>(redactado por la Ley Orgánica 10/1995, de 23 de noviembre)</w:t>
      </w:r>
      <w:r w:rsidRPr="0043655B">
        <w:rPr>
          <w:rStyle w:val="TextoNormalNegritaCaracter"/>
        </w:rPr>
        <w:t>.</w:t>
      </w:r>
      <w:r w:rsidRPr="0043655B">
        <w:rPr>
          <w:rStyle w:val="TextoNormalCaracter"/>
        </w:rPr>
        <w:t>-</w:t>
      </w:r>
      <w:r>
        <w:t xml:space="preserve"> Sentencia </w:t>
      </w:r>
      <w:hyperlink w:anchor="SENTENCIA_2012_101" w:history="1">
        <w:r w:rsidRPr="0043655B">
          <w:rPr>
            <w:rStyle w:val="TextoNormalCaracter"/>
          </w:rPr>
          <w:t>101/2012</w:t>
        </w:r>
      </w:hyperlink>
      <w:r>
        <w:t>.</w:t>
      </w:r>
    </w:p>
    <w:p w:rsidR="0043655B" w:rsidRDefault="0043655B" w:rsidP="0043655B">
      <w:pPr>
        <w:pStyle w:val="SangriaFrancesaArticulo"/>
      </w:pPr>
    </w:p>
    <w:p w:rsidR="0043655B" w:rsidRDefault="0043655B" w:rsidP="0043655B">
      <w:pPr>
        <w:pStyle w:val="TextoNormalNegritaCursivandice"/>
      </w:pPr>
      <w:r>
        <w:t>Ley 29/1998, de 13 de julio. Jurisdicción contencioso-administrativa</w:t>
      </w:r>
    </w:p>
    <w:p w:rsidR="0043655B" w:rsidRDefault="0043655B" w:rsidP="0043655B">
      <w:pPr>
        <w:pStyle w:val="SangriaFrancesaArticulo"/>
      </w:pPr>
      <w:r w:rsidRPr="0043655B">
        <w:rPr>
          <w:rStyle w:val="TextoNormalNegritaCaracter"/>
        </w:rPr>
        <w:t>Artículo 100.7.</w:t>
      </w:r>
      <w:r w:rsidRPr="0043655B">
        <w:rPr>
          <w:rStyle w:val="TextoNormalCaracter"/>
        </w:rPr>
        <w:t>-</w:t>
      </w:r>
      <w:r>
        <w:t xml:space="preserve"> Sentencias </w:t>
      </w:r>
      <w:hyperlink w:anchor="SENTENCIA_2012_75" w:history="1">
        <w:r w:rsidRPr="0043655B">
          <w:rPr>
            <w:rStyle w:val="TextoNormalCaracter"/>
          </w:rPr>
          <w:t>75/2012</w:t>
        </w:r>
      </w:hyperlink>
      <w:r>
        <w:t xml:space="preserve">; </w:t>
      </w:r>
      <w:hyperlink w:anchor="SENTENCIA_2012_91" w:history="1">
        <w:r w:rsidRPr="0043655B">
          <w:rPr>
            <w:rStyle w:val="TextoNormalCaracter"/>
          </w:rPr>
          <w:t>91/2012</w:t>
        </w:r>
      </w:hyperlink>
      <w:r>
        <w:t xml:space="preserve">; </w:t>
      </w:r>
      <w:hyperlink w:anchor="SENTENCIA_2012_94" w:history="1">
        <w:r w:rsidRPr="0043655B">
          <w:rPr>
            <w:rStyle w:val="TextoNormalCaracter"/>
          </w:rPr>
          <w:t>94/2012</w:t>
        </w:r>
      </w:hyperlink>
      <w:r>
        <w:t>.</w:t>
      </w:r>
    </w:p>
    <w:p w:rsidR="0043655B" w:rsidRDefault="0043655B" w:rsidP="0043655B">
      <w:pPr>
        <w:pStyle w:val="SangriaFrancesaArticulo"/>
      </w:pPr>
    </w:p>
    <w:p w:rsidR="0043655B" w:rsidRDefault="0043655B" w:rsidP="0043655B">
      <w:pPr>
        <w:pStyle w:val="TextoNormalNegritaCursivandice"/>
      </w:pPr>
      <w:r>
        <w:t>Ley 40/1998, de 9 de diciembre. Impuesto sobre la renta de las personas físicas y otras normas tributarias</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15.1.</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15.3.4.</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17.2 c).</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17.2 d).</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24.2 b).</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24.2 c).</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39.</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40.3.1 b) expresión "conviva con el contribuyente y".</w:t>
      </w:r>
      <w:r w:rsidRPr="0043655B">
        <w:rPr>
          <w:rStyle w:val="TextoNormalCaracter"/>
        </w:rPr>
        <w:t>-</w:t>
      </w:r>
      <w:r>
        <w:t xml:space="preserve"> Sentencia </w:t>
      </w:r>
      <w:hyperlink w:anchor="SENTENCIA_2012_19" w:history="1">
        <w:r w:rsidRPr="0043655B">
          <w:rPr>
            <w:rStyle w:val="TextoNormalCaracter"/>
          </w:rPr>
          <w:t>19/2012</w:t>
        </w:r>
      </w:hyperlink>
      <w:r>
        <w:t xml:space="preserve"> (declara inconstitucional).</w:t>
      </w:r>
    </w:p>
    <w:p w:rsidR="0043655B" w:rsidRDefault="0043655B" w:rsidP="0043655B">
      <w:pPr>
        <w:pStyle w:val="SangriaFrancesaArticulo"/>
      </w:pPr>
      <w:r w:rsidRPr="0043655B">
        <w:rPr>
          <w:rStyle w:val="TextoNormalNegritaCaracter"/>
        </w:rPr>
        <w:t>Artículo 43.2 f).</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44.1.1 a).</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48.</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lastRenderedPageBreak/>
        <w:t>Artículo 51.</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58.</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60.</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81.1.</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81.2.</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Artículo 81.3.</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Disposición transitoria quinta, apartado 2.</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Disposición transitoria sexta.</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r w:rsidRPr="0043655B">
        <w:rPr>
          <w:rStyle w:val="TextoNormalNegritaCaracter"/>
        </w:rPr>
        <w:t>Disposición transitoria séptima.</w:t>
      </w:r>
      <w:r w:rsidRPr="0043655B">
        <w:rPr>
          <w:rStyle w:val="TextoNormalCaracter"/>
        </w:rPr>
        <w:t>-</w:t>
      </w:r>
      <w:r>
        <w:t xml:space="preserve"> Sentencia </w:t>
      </w:r>
      <w:hyperlink w:anchor="SENTENCIA_2012_19" w:history="1">
        <w:r w:rsidRPr="0043655B">
          <w:rPr>
            <w:rStyle w:val="TextoNormalCaracter"/>
          </w:rPr>
          <w:t>19/2012</w:t>
        </w:r>
      </w:hyperlink>
      <w:r>
        <w:t>.</w:t>
      </w:r>
    </w:p>
    <w:p w:rsidR="0043655B" w:rsidRDefault="0043655B" w:rsidP="0043655B">
      <w:pPr>
        <w:pStyle w:val="SangriaFrancesaArticulo"/>
      </w:pPr>
    </w:p>
    <w:p w:rsidR="0043655B" w:rsidRDefault="0043655B" w:rsidP="0043655B">
      <w:pPr>
        <w:pStyle w:val="TextoNormalNegritaCursivandice"/>
      </w:pPr>
      <w:r>
        <w:t>Ley 50/1998, de 30 de diciembre. Medidas fiscales, administrativas y del orden social</w:t>
      </w:r>
    </w:p>
    <w:p w:rsidR="0043655B" w:rsidRDefault="0043655B" w:rsidP="0043655B">
      <w:pPr>
        <w:pStyle w:val="SangriaFrancesaArticulo"/>
      </w:pPr>
      <w:r w:rsidRPr="0043655B">
        <w:rPr>
          <w:rStyle w:val="TextoNormalNegritaCaracter"/>
        </w:rPr>
        <w:t>Artículo 59.1.</w:t>
      </w:r>
      <w:r w:rsidRPr="0043655B">
        <w:rPr>
          <w:rStyle w:val="TextoNormalCaracter"/>
        </w:rPr>
        <w:t>-</w:t>
      </w:r>
      <w:r>
        <w:t xml:space="preserve"> Sentencia </w:t>
      </w:r>
      <w:hyperlink w:anchor="SENTENCIA_2012_120" w:history="1">
        <w:r w:rsidRPr="0043655B">
          <w:rPr>
            <w:rStyle w:val="TextoNormalCaracter"/>
          </w:rPr>
          <w:t>120/2012</w:t>
        </w:r>
      </w:hyperlink>
      <w:r>
        <w:t>.</w:t>
      </w:r>
    </w:p>
    <w:p w:rsidR="0043655B" w:rsidRDefault="0043655B" w:rsidP="0043655B">
      <w:pPr>
        <w:pStyle w:val="SangriaFrancesaArticulo"/>
      </w:pPr>
    </w:p>
    <w:p w:rsidR="0043655B" w:rsidRDefault="0043655B" w:rsidP="0043655B">
      <w:pPr>
        <w:pStyle w:val="TextoNormalNegritaCursivandice"/>
      </w:pPr>
      <w:r>
        <w:t>Real Decreto-ley 6/2000, de 23 de junio.  Medidas urgentes de intensificación de la competencia en mercados de bienes y servicios</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86" w:history="1">
        <w:r w:rsidRPr="0043655B">
          <w:rPr>
            <w:rStyle w:val="TextoNormalCaracter"/>
          </w:rPr>
          <w:t>86/2012</w:t>
        </w:r>
      </w:hyperlink>
      <w:r>
        <w:t>.</w:t>
      </w:r>
    </w:p>
    <w:p w:rsidR="0043655B" w:rsidRDefault="0043655B" w:rsidP="0043655B">
      <w:pPr>
        <w:pStyle w:val="SangriaFrancesaArticulo"/>
      </w:pPr>
    </w:p>
    <w:p w:rsidR="0043655B" w:rsidRDefault="0043655B" w:rsidP="0043655B">
      <w:pPr>
        <w:pStyle w:val="TextoNormalNegritaCursivandice"/>
      </w:pPr>
      <w:r>
        <w:t>Real Decreto-ley 9/2000, de 6 de octubre. Modificación del Real Decreto Legislativo 1302/1986, de 28 de junio, de evaluación de impacto ambiental</w:t>
      </w:r>
    </w:p>
    <w:p w:rsidR="0043655B" w:rsidRDefault="0043655B" w:rsidP="0043655B">
      <w:pPr>
        <w:pStyle w:val="SangriaFrancesaArticulo"/>
      </w:pPr>
      <w:r w:rsidRPr="0043655B">
        <w:rPr>
          <w:rStyle w:val="TextoNormalNegritaCaracter"/>
        </w:rPr>
        <w:t>Artículo único, apartado 1.</w:t>
      </w:r>
      <w:r w:rsidRPr="0043655B">
        <w:rPr>
          <w:rStyle w:val="TextoNormalCaracter"/>
        </w:rPr>
        <w:t>-</w:t>
      </w:r>
      <w:r>
        <w:t xml:space="preserve"> Sentencia </w:t>
      </w:r>
      <w:hyperlink w:anchor="SENTENCIA_2012_1" w:history="1">
        <w:r w:rsidRPr="0043655B">
          <w:rPr>
            <w:rStyle w:val="TextoNormalCaracter"/>
          </w:rPr>
          <w:t>1/2012</w:t>
        </w:r>
      </w:hyperlink>
      <w:r>
        <w:t>.</w:t>
      </w:r>
    </w:p>
    <w:p w:rsidR="0043655B" w:rsidRDefault="0043655B" w:rsidP="0043655B">
      <w:pPr>
        <w:pStyle w:val="SangriaFrancesaArticulo"/>
      </w:pPr>
      <w:r w:rsidRPr="0043655B">
        <w:rPr>
          <w:rStyle w:val="TextoNormalNegritaCaracter"/>
        </w:rPr>
        <w:t>Artículo único, apartado 2.</w:t>
      </w:r>
      <w:r w:rsidRPr="0043655B">
        <w:rPr>
          <w:rStyle w:val="TextoNormalCaracter"/>
        </w:rPr>
        <w:t>-</w:t>
      </w:r>
      <w:r>
        <w:t xml:space="preserve"> Sentencia </w:t>
      </w:r>
      <w:hyperlink w:anchor="SENTENCIA_2012_1" w:history="1">
        <w:r w:rsidRPr="0043655B">
          <w:rPr>
            <w:rStyle w:val="TextoNormalCaracter"/>
          </w:rPr>
          <w:t>1/2012</w:t>
        </w:r>
      </w:hyperlink>
      <w:r>
        <w:t xml:space="preserve"> (declara inconstitucional).</w:t>
      </w:r>
    </w:p>
    <w:p w:rsidR="0043655B" w:rsidRDefault="0043655B" w:rsidP="0043655B">
      <w:pPr>
        <w:pStyle w:val="SangriaFrancesaArticulo"/>
      </w:pPr>
      <w:r w:rsidRPr="0043655B">
        <w:rPr>
          <w:rStyle w:val="TextoNormalNegritaCaracter"/>
        </w:rPr>
        <w:t>Artículo único, apartado 3.</w:t>
      </w:r>
      <w:r w:rsidRPr="0043655B">
        <w:rPr>
          <w:rStyle w:val="TextoNormalCaracter"/>
        </w:rPr>
        <w:t>-</w:t>
      </w:r>
      <w:r>
        <w:t xml:space="preserve"> Sentencia </w:t>
      </w:r>
      <w:hyperlink w:anchor="SENTENCIA_2012_1" w:history="1">
        <w:r w:rsidRPr="0043655B">
          <w:rPr>
            <w:rStyle w:val="TextoNormalCaracter"/>
          </w:rPr>
          <w:t>1/2012</w:t>
        </w:r>
      </w:hyperlink>
      <w:r>
        <w:t>.</w:t>
      </w:r>
    </w:p>
    <w:p w:rsidR="0043655B" w:rsidRDefault="0043655B" w:rsidP="0043655B">
      <w:pPr>
        <w:pStyle w:val="SangriaFrancesaArticulo"/>
      </w:pPr>
    </w:p>
    <w:p w:rsidR="0043655B" w:rsidRDefault="0043655B" w:rsidP="0043655B">
      <w:pPr>
        <w:pStyle w:val="TextoNormalNegritaCursivandice"/>
      </w:pPr>
      <w:r>
        <w:t>Ley 6/2001, de 8 de mayo. Modificación del Real Decreto Legislativo 1302/1986, de 28 de junio, de evaluación de impacto ambiental</w:t>
      </w:r>
    </w:p>
    <w:p w:rsidR="0043655B" w:rsidRDefault="0043655B" w:rsidP="0043655B">
      <w:pPr>
        <w:pStyle w:val="SangriaFrancesaArticulo"/>
      </w:pPr>
      <w:r w:rsidRPr="0043655B">
        <w:rPr>
          <w:rStyle w:val="TextoNormalNegritaCaracter"/>
        </w:rPr>
        <w:t>Artículo único, cardinales 1, 2.</w:t>
      </w:r>
      <w:r w:rsidRPr="0043655B">
        <w:rPr>
          <w:rStyle w:val="TextoNormalCaracter"/>
        </w:rPr>
        <w:t>-</w:t>
      </w:r>
      <w:r>
        <w:t xml:space="preserve"> Sentencia </w:t>
      </w:r>
      <w:hyperlink w:anchor="SENTENCIA_2012_34" w:history="1">
        <w:r w:rsidRPr="0043655B">
          <w:rPr>
            <w:rStyle w:val="TextoNormalCaracter"/>
          </w:rPr>
          <w:t>34/2012</w:t>
        </w:r>
      </w:hyperlink>
      <w:r>
        <w:t>.</w:t>
      </w:r>
    </w:p>
    <w:p w:rsidR="0043655B" w:rsidRDefault="0043655B" w:rsidP="0043655B">
      <w:pPr>
        <w:pStyle w:val="SangriaIzquierdaArticulo"/>
      </w:pPr>
      <w:r>
        <w:t xml:space="preserve">Auto </w:t>
      </w:r>
      <w:hyperlink w:anchor="AUTO_2012_46" w:history="1">
        <w:r w:rsidRPr="0043655B">
          <w:rPr>
            <w:rStyle w:val="TextoNormalCaracter"/>
          </w:rPr>
          <w:t>46/2012</w:t>
        </w:r>
      </w:hyperlink>
      <w:r>
        <w:t>.</w:t>
      </w:r>
    </w:p>
    <w:p w:rsidR="0043655B" w:rsidRDefault="0043655B" w:rsidP="0043655B">
      <w:pPr>
        <w:pStyle w:val="SangriaIzquierdaArticulo"/>
      </w:pPr>
    </w:p>
    <w:p w:rsidR="0043655B" w:rsidRDefault="0043655B" w:rsidP="0043655B">
      <w:pPr>
        <w:pStyle w:val="TextoNormalNegritaCursivandice"/>
      </w:pPr>
      <w:r>
        <w:t>Real Decreto Legislativo 1/2001, de 20 de julio. Texto refundido de la Ley de aguas</w:t>
      </w:r>
    </w:p>
    <w:p w:rsidR="0043655B" w:rsidRDefault="0043655B" w:rsidP="0043655B">
      <w:pPr>
        <w:pStyle w:val="SangriaFrancesaArticulo"/>
      </w:pPr>
      <w:r w:rsidRPr="0043655B">
        <w:rPr>
          <w:rStyle w:val="TextoNormalNegritaCaracter"/>
        </w:rPr>
        <w:t>Artículo 117.1.</w:t>
      </w:r>
      <w:r w:rsidRPr="0043655B">
        <w:rPr>
          <w:rStyle w:val="TextoNormalCaracter"/>
        </w:rPr>
        <w:t>-</w:t>
      </w:r>
      <w:r>
        <w:t xml:space="preserve"> Autos </w:t>
      </w:r>
      <w:hyperlink w:anchor="AUTO_2012_34" w:history="1">
        <w:r w:rsidRPr="0043655B">
          <w:rPr>
            <w:rStyle w:val="TextoNormalCaracter"/>
          </w:rPr>
          <w:t>34/2012</w:t>
        </w:r>
      </w:hyperlink>
      <w:r>
        <w:t xml:space="preserve">; </w:t>
      </w:r>
      <w:hyperlink w:anchor="AUTO_2012_111" w:history="1">
        <w:r w:rsidRPr="0043655B">
          <w:rPr>
            <w:rStyle w:val="TextoNormalCaracter"/>
          </w:rPr>
          <w:t>111/2012</w:t>
        </w:r>
      </w:hyperlink>
      <w:r>
        <w:t>.</w:t>
      </w:r>
    </w:p>
    <w:p w:rsidR="0043655B" w:rsidRDefault="0043655B" w:rsidP="0043655B">
      <w:pPr>
        <w:pStyle w:val="SangriaFrancesaArticulo"/>
      </w:pPr>
    </w:p>
    <w:p w:rsidR="0043655B" w:rsidRDefault="0043655B" w:rsidP="0043655B">
      <w:pPr>
        <w:pStyle w:val="TextoNormalNegritaCursivandice"/>
      </w:pPr>
      <w:r>
        <w:t>Ley 24/2001, de 27 de diciembre.  Medidas fiscales, administrativas y del orden social</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 </w:t>
      </w:r>
      <w:hyperlink w:anchor="SENTENCIA_2012_83" w:history="1">
        <w:r w:rsidRPr="0043655B">
          <w:rPr>
            <w:rStyle w:val="TextoNormalCaracter"/>
          </w:rPr>
          <w:t>83/2012</w:t>
        </w:r>
      </w:hyperlink>
      <w:r>
        <w:t>.</w:t>
      </w:r>
    </w:p>
    <w:p w:rsidR="0043655B" w:rsidRDefault="0043655B" w:rsidP="0043655B">
      <w:pPr>
        <w:pStyle w:val="SangriaFrancesaArticulo"/>
      </w:pPr>
      <w:r w:rsidRPr="0043655B">
        <w:rPr>
          <w:rStyle w:val="TextoNormalNegritaCaracter"/>
        </w:rPr>
        <w:t>Artículo 89.</w:t>
      </w:r>
      <w:r w:rsidRPr="0043655B">
        <w:rPr>
          <w:rStyle w:val="TextoNormalCaracter"/>
        </w:rPr>
        <w:t>-</w:t>
      </w:r>
      <w:r>
        <w:t xml:space="preserve"> Sentencia </w:t>
      </w:r>
      <w:hyperlink w:anchor="SENTENCIA_2012_102" w:history="1">
        <w:r w:rsidRPr="0043655B">
          <w:rPr>
            <w:rStyle w:val="TextoNormalCaracter"/>
          </w:rPr>
          <w:t>102/2012</w:t>
        </w:r>
      </w:hyperlink>
      <w:r>
        <w:t>.</w:t>
      </w:r>
    </w:p>
    <w:p w:rsidR="0043655B" w:rsidRDefault="0043655B" w:rsidP="0043655B">
      <w:pPr>
        <w:pStyle w:val="SangriaFrancesaArticulo"/>
      </w:pPr>
      <w:r w:rsidRPr="0043655B">
        <w:rPr>
          <w:rStyle w:val="TextoNormalNegritaCaracter"/>
        </w:rPr>
        <w:t>Artículo 90.</w:t>
      </w:r>
      <w:r w:rsidRPr="0043655B">
        <w:rPr>
          <w:rStyle w:val="TextoNormalCaracter"/>
        </w:rPr>
        <w:t>-</w:t>
      </w:r>
      <w:r>
        <w:t xml:space="preserve"> Sentencia </w:t>
      </w:r>
      <w:hyperlink w:anchor="SENTENCIA_2012_102" w:history="1">
        <w:r w:rsidRPr="0043655B">
          <w:rPr>
            <w:rStyle w:val="TextoNormalCaracter"/>
          </w:rPr>
          <w:t>102/2012</w:t>
        </w:r>
      </w:hyperlink>
      <w:r>
        <w:t>.</w:t>
      </w:r>
    </w:p>
    <w:p w:rsidR="0043655B" w:rsidRDefault="0043655B" w:rsidP="0043655B">
      <w:pPr>
        <w:pStyle w:val="SangriaFrancesaArticulo"/>
      </w:pPr>
      <w:r w:rsidRPr="0043655B">
        <w:rPr>
          <w:rStyle w:val="TextoNormalNegritaCaracter"/>
        </w:rPr>
        <w:t>Disposición adicional vigésima.</w:t>
      </w:r>
      <w:r w:rsidRPr="0043655B">
        <w:rPr>
          <w:rStyle w:val="TextoNormalCaracter"/>
        </w:rPr>
        <w:t>-</w:t>
      </w:r>
      <w:r>
        <w:t xml:space="preserve"> Sentencia </w:t>
      </w:r>
      <w:hyperlink w:anchor="SENTENCIA_2012_83" w:history="1">
        <w:r w:rsidRPr="0043655B">
          <w:rPr>
            <w:rStyle w:val="TextoNormalCaracter"/>
          </w:rPr>
          <w:t>83/2012</w:t>
        </w:r>
      </w:hyperlink>
      <w:r>
        <w:t>.</w:t>
      </w:r>
    </w:p>
    <w:p w:rsidR="0043655B" w:rsidRDefault="0043655B" w:rsidP="0043655B">
      <w:pPr>
        <w:pStyle w:val="SangriaFrancesaArticulo"/>
      </w:pPr>
      <w:r w:rsidRPr="0043655B">
        <w:rPr>
          <w:rStyle w:val="TextoNormalNegritaCaracter"/>
        </w:rPr>
        <w:t>Disposición adicional vigésima, inciso sobre o exceda de los límites de una concreta Comunidad Autónoma.</w:t>
      </w:r>
      <w:r w:rsidRPr="0043655B">
        <w:rPr>
          <w:rStyle w:val="TextoNormalCaracter"/>
        </w:rPr>
        <w:t>-</w:t>
      </w:r>
      <w:r>
        <w:t xml:space="preserve"> Sentencia </w:t>
      </w:r>
      <w:hyperlink w:anchor="SENTENCIA_2012_35" w:history="1">
        <w:r w:rsidRPr="0043655B">
          <w:rPr>
            <w:rStyle w:val="TextoNormalCaracter"/>
          </w:rPr>
          <w:t>35/2012</w:t>
        </w:r>
      </w:hyperlink>
      <w:r>
        <w:t xml:space="preserve"> (declara inconstitucional).</w:t>
      </w:r>
    </w:p>
    <w:p w:rsidR="0043655B" w:rsidRDefault="0043655B" w:rsidP="0043655B">
      <w:pPr>
        <w:pStyle w:val="SangriaFrancesaArticulo"/>
      </w:pPr>
    </w:p>
    <w:p w:rsidR="0043655B" w:rsidRDefault="0043655B" w:rsidP="0043655B">
      <w:pPr>
        <w:pStyle w:val="TextoNormalNegritaCursivandice"/>
      </w:pPr>
      <w:r>
        <w:lastRenderedPageBreak/>
        <w:t>Ley Orgánica 5/2002, de 19 de junio. Cualificaciones y formación profesional</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Artículo 8.4.</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Artículo 11.7.</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Disposición final primera, apartado 2, párrafo 1.</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Disposición final primera, apartado 2, párrafo 1.</w:t>
      </w:r>
      <w:r w:rsidRPr="0043655B">
        <w:rPr>
          <w:rStyle w:val="TextoNormalCaracter"/>
        </w:rPr>
        <w:t>-</w:t>
      </w:r>
      <w:r>
        <w:t xml:space="preserve"> Sentencia </w:t>
      </w:r>
      <w:hyperlink w:anchor="SENTENCIA_2012_111" w:history="1">
        <w:r w:rsidRPr="0043655B">
          <w:rPr>
            <w:rStyle w:val="TextoNormalCaracter"/>
          </w:rPr>
          <w:t>111/2012</w:t>
        </w:r>
      </w:hyperlink>
      <w:r>
        <w:t xml:space="preserve"> (anula).</w:t>
      </w:r>
    </w:p>
    <w:p w:rsidR="0043655B" w:rsidRDefault="0043655B" w:rsidP="0043655B">
      <w:pPr>
        <w:pStyle w:val="SangriaFrancesaArticulo"/>
      </w:pPr>
      <w:r w:rsidRPr="0043655B">
        <w:rPr>
          <w:rStyle w:val="TextoNormalNegritaCaracter"/>
        </w:rPr>
        <w:t>Disposición final primera, apartado 2, párrafo 2.</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Disposición final primera, apartado 2, párrafo 2.</w:t>
      </w:r>
      <w:r w:rsidRPr="0043655B">
        <w:rPr>
          <w:rStyle w:val="TextoNormalCaracter"/>
        </w:rPr>
        <w:t>-</w:t>
      </w:r>
      <w:r>
        <w:t xml:space="preserve"> Sentencia </w:t>
      </w:r>
      <w:hyperlink w:anchor="SENTENCIA_2012_111" w:history="1">
        <w:r w:rsidRPr="0043655B">
          <w:rPr>
            <w:rStyle w:val="TextoNormalCaracter"/>
          </w:rPr>
          <w:t>111/2012</w:t>
        </w:r>
      </w:hyperlink>
      <w:r>
        <w:t xml:space="preserve"> (anula).</w:t>
      </w:r>
    </w:p>
    <w:p w:rsidR="0043655B" w:rsidRDefault="0043655B" w:rsidP="0043655B">
      <w:pPr>
        <w:pStyle w:val="SangriaFrancesaArticulo"/>
      </w:pPr>
    </w:p>
    <w:p w:rsidR="0043655B" w:rsidRDefault="0043655B" w:rsidP="0043655B">
      <w:pPr>
        <w:pStyle w:val="TextoNormalNegritaCursivandice"/>
      </w:pPr>
      <w:r>
        <w:t>Ley 53/2002, de 30 de diciembre. Medidas fiscales, administrativas y del orden social</w:t>
      </w:r>
    </w:p>
    <w:p w:rsidR="0043655B" w:rsidRDefault="0043655B" w:rsidP="0043655B">
      <w:pPr>
        <w:pStyle w:val="SangriaFrancesaArticulo"/>
      </w:pPr>
      <w:r w:rsidRPr="0043655B">
        <w:rPr>
          <w:rStyle w:val="TextoNormalNegritaCaracter"/>
        </w:rPr>
        <w:t>Artículo 35.7.</w:t>
      </w:r>
      <w:r w:rsidRPr="0043655B">
        <w:rPr>
          <w:rStyle w:val="TextoNormalCaracter"/>
        </w:rPr>
        <w:t>-</w:t>
      </w:r>
      <w:r>
        <w:t xml:space="preserve"> Sentencia </w:t>
      </w:r>
      <w:hyperlink w:anchor="SENTENCIA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Artículo 35.7.2.</w:t>
      </w:r>
      <w:r w:rsidRPr="0043655B">
        <w:rPr>
          <w:rStyle w:val="TextoNormalCaracter"/>
        </w:rPr>
        <w:t>-</w:t>
      </w:r>
      <w:r>
        <w:t xml:space="preserve"> Sentencias </w:t>
      </w:r>
      <w:hyperlink w:anchor="SENTENCIA_2012_20" w:history="1">
        <w:r w:rsidRPr="0043655B">
          <w:rPr>
            <w:rStyle w:val="TextoNormalCaracter"/>
          </w:rPr>
          <w:t>20/2012</w:t>
        </w:r>
      </w:hyperlink>
      <w:r>
        <w:t xml:space="preserve">; </w:t>
      </w:r>
      <w:hyperlink w:anchor="SENTENCIA_2012_79" w:history="1">
        <w:r w:rsidRPr="0043655B">
          <w:rPr>
            <w:rStyle w:val="TextoNormalCaracter"/>
          </w:rPr>
          <w:t>79/2012</w:t>
        </w:r>
      </w:hyperlink>
      <w:r>
        <w:t xml:space="preserve">; </w:t>
      </w:r>
      <w:hyperlink w:anchor="SENTENCIA_2012_103" w:history="1">
        <w:r w:rsidRPr="0043655B">
          <w:rPr>
            <w:rStyle w:val="TextoNormalCaracter"/>
          </w:rPr>
          <w:t>103/2012</w:t>
        </w:r>
      </w:hyperlink>
      <w:r>
        <w:t xml:space="preserve">; </w:t>
      </w:r>
      <w:hyperlink w:anchor="SENTENCIA_2012_104" w:history="1">
        <w:r w:rsidRPr="0043655B">
          <w:rPr>
            <w:rStyle w:val="TextoNormalCaracter"/>
          </w:rPr>
          <w:t>104/2012</w:t>
        </w:r>
      </w:hyperlink>
      <w:r>
        <w:t>.</w:t>
      </w:r>
    </w:p>
    <w:p w:rsidR="0043655B" w:rsidRDefault="0043655B" w:rsidP="0043655B">
      <w:pPr>
        <w:pStyle w:val="SangriaFrancesaArticulo"/>
      </w:pPr>
    </w:p>
    <w:p w:rsidR="0043655B" w:rsidRDefault="0043655B" w:rsidP="0043655B">
      <w:pPr>
        <w:pStyle w:val="TextoNormalNegritaCursivandice"/>
      </w:pPr>
      <w:r>
        <w:t>Ley Orgánica 15/2003, de 25 de noviembre. Modificación de la Ley Orgánica 10/1995, de 23 de noviembre, del Código penal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1" w:history="1">
        <w:r w:rsidRPr="0043655B">
          <w:rPr>
            <w:rStyle w:val="TextoNormalCaracter"/>
          </w:rPr>
          <w:t>101/2012</w:t>
        </w:r>
      </w:hyperlink>
      <w:r>
        <w:t>.</w:t>
      </w:r>
    </w:p>
    <w:p w:rsidR="0043655B" w:rsidRDefault="0043655B" w:rsidP="0043655B">
      <w:pPr>
        <w:pStyle w:val="SangriaFrancesaArticulo"/>
      </w:pPr>
    </w:p>
    <w:p w:rsidR="0043655B" w:rsidRDefault="0043655B" w:rsidP="0043655B">
      <w:pPr>
        <w:pStyle w:val="TextoNormalNegritaCursivandice"/>
      </w:pPr>
      <w:r>
        <w:t>Ley 52/2003, de 10 de diciembre. Disposiciones específicas en materia de seguridad social</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Artículo 19.3.</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p>
    <w:p w:rsidR="0043655B" w:rsidRDefault="0043655B" w:rsidP="0043655B">
      <w:pPr>
        <w:pStyle w:val="TextoNormalNegritaCursivandice"/>
      </w:pPr>
      <w:r>
        <w:t>Ley 12/2007, de 2 de julio. Modificación de la Ley 34/1998, de 7 de octubre, del sector de hidrocarburos, con el fin de adaptarla a lo dispuesto en la Directiva 2003/55/CE del Parlamento Europeo y del Consejo, de 26 de junio de 2003, sobre normas comunes para el mercado interior del gas natural</w:t>
      </w:r>
    </w:p>
    <w:p w:rsidR="0043655B" w:rsidRDefault="0043655B" w:rsidP="0043655B">
      <w:pPr>
        <w:pStyle w:val="SangriaFrancesaArticulo"/>
      </w:pPr>
      <w:r w:rsidRPr="0043655B">
        <w:rPr>
          <w:rStyle w:val="TextoNormalNegritaCaracter"/>
        </w:rPr>
        <w:t>Artículo único, apartado 20.</w:t>
      </w:r>
      <w:r w:rsidRPr="0043655B">
        <w:rPr>
          <w:rStyle w:val="TextoNormalCaracter"/>
        </w:rPr>
        <w:t>-</w:t>
      </w:r>
      <w:r>
        <w:t xml:space="preserve"> Sentencia </w:t>
      </w:r>
      <w:hyperlink w:anchor="SENTENCIA_2012_135" w:history="1">
        <w:r w:rsidRPr="0043655B">
          <w:rPr>
            <w:rStyle w:val="TextoNormalCaracter"/>
          </w:rPr>
          <w:t>135/2012</w:t>
        </w:r>
      </w:hyperlink>
      <w:r>
        <w:t>.</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135" w:history="1">
        <w:r w:rsidRPr="0043655B">
          <w:rPr>
            <w:rStyle w:val="TextoNormalCaracter"/>
          </w:rPr>
          <w:t>135/2012</w:t>
        </w:r>
      </w:hyperlink>
      <w:r>
        <w:t>.</w:t>
      </w:r>
    </w:p>
    <w:p w:rsidR="0043655B" w:rsidRDefault="0043655B" w:rsidP="0043655B">
      <w:pPr>
        <w:pStyle w:val="SangriaFrancesaArticulo"/>
      </w:pPr>
    </w:p>
    <w:p w:rsidR="0043655B" w:rsidRDefault="0043655B" w:rsidP="0043655B">
      <w:pPr>
        <w:pStyle w:val="TextoNormalNegritaCursivandice"/>
      </w:pPr>
      <w:r>
        <w:t>Ley 26/2009, de 23 de diciembre. Presupuestos generales del Estado para 2010</w:t>
      </w:r>
    </w:p>
    <w:p w:rsidR="0043655B" w:rsidRDefault="0043655B" w:rsidP="0043655B">
      <w:pPr>
        <w:pStyle w:val="SangriaFrancesaArticulo"/>
      </w:pPr>
      <w:r w:rsidRPr="0043655B">
        <w:rPr>
          <w:rStyle w:val="TextoNormalNegritaCaracter"/>
        </w:rPr>
        <w:t>Artículo 22.2</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22.4</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24.1</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24.2</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25</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p>
    <w:p w:rsidR="0043655B" w:rsidRDefault="0043655B" w:rsidP="0043655B">
      <w:pPr>
        <w:pStyle w:val="TextoNormalNegritaCursivandice"/>
      </w:pPr>
      <w:r>
        <w:t>Real Decreto-ley 8/2010, de 20 de mayo. Medidas extraordinarias para la reducción del déficit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lastRenderedPageBreak/>
        <w:t>Artículo 1.</w:t>
      </w:r>
      <w:r w:rsidRPr="0043655B">
        <w:rPr>
          <w:rStyle w:val="TextoNormalCaracter"/>
        </w:rPr>
        <w:t>-</w:t>
      </w:r>
      <w:r>
        <w:t xml:space="preserve"> Autos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w:t>
      </w:r>
    </w:p>
    <w:p w:rsidR="0043655B" w:rsidRDefault="0043655B" w:rsidP="0043655B">
      <w:pPr>
        <w:pStyle w:val="TextoNormal"/>
      </w:pPr>
    </w:p>
    <w:p w:rsidR="0043655B" w:rsidRDefault="0043655B" w:rsidP="0043655B">
      <w:pPr>
        <w:pStyle w:val="SangriaFrancesaArticulo"/>
      </w:pPr>
      <w:bookmarkStart w:id="278" w:name="INDICE22806"/>
    </w:p>
    <w:bookmarkEnd w:id="278"/>
    <w:p w:rsidR="0043655B" w:rsidRDefault="00AD4E5A" w:rsidP="0043655B">
      <w:pPr>
        <w:pStyle w:val="TextoIndiceNivel2"/>
        <w:suppressAutoHyphens/>
      </w:pPr>
      <w:r>
        <w:t>B) Disposiciones con fuerza de ley de las Comunidades Autónomas</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B.1) Andalucía</w:t>
      </w:r>
    </w:p>
    <w:p w:rsidR="0043655B" w:rsidRDefault="0043655B" w:rsidP="0043655B">
      <w:pPr>
        <w:pStyle w:val="TextoNormalNegritaCentrado"/>
      </w:pPr>
    </w:p>
    <w:p w:rsidR="0043655B" w:rsidRDefault="0043655B" w:rsidP="0043655B">
      <w:pPr>
        <w:pStyle w:val="TextoNormalNegritaCursivandice"/>
      </w:pPr>
      <w:r>
        <w:t>Ley del Parlamento de Andalucía 8/1997, de 23 de diciembre. Medidas en materia tributaria, presupuestaria, de empresas de la Junta de Andalucía y otras entidades, de recaudación, de contratación, de función pública y de fianzas de arrendamientos y suministros</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Auto </w:t>
      </w:r>
      <w:hyperlink w:anchor="AUTO_2012_37" w:history="1">
        <w:r w:rsidRPr="0043655B">
          <w:rPr>
            <w:rStyle w:val="TextoNormalCaracter"/>
          </w:rPr>
          <w:t>37/2012</w:t>
        </w:r>
      </w:hyperlink>
      <w:r>
        <w:t>.</w:t>
      </w:r>
    </w:p>
    <w:p w:rsidR="0043655B" w:rsidRDefault="0043655B" w:rsidP="0043655B">
      <w:pPr>
        <w:pStyle w:val="SangriaFrancesaArticulo"/>
      </w:pPr>
      <w:r w:rsidRPr="0043655B">
        <w:rPr>
          <w:rStyle w:val="TextoNormalNegritaCaracter"/>
        </w:rPr>
        <w:t>Disposición transitoria cuarta, apartado 1.</w:t>
      </w:r>
      <w:r w:rsidRPr="0043655B">
        <w:rPr>
          <w:rStyle w:val="TextoNormalCaracter"/>
        </w:rPr>
        <w:t>-</w:t>
      </w:r>
      <w:r>
        <w:t xml:space="preserve"> Sentencia </w:t>
      </w:r>
      <w:hyperlink w:anchor="SENTENCIA_2012_27" w:history="1">
        <w:r w:rsidRPr="0043655B">
          <w:rPr>
            <w:rStyle w:val="TextoNormalCaracter"/>
          </w:rPr>
          <w:t>27/2012</w:t>
        </w:r>
      </w:hyperlink>
      <w:r>
        <w:t xml:space="preserve"> (anula).</w:t>
      </w:r>
    </w:p>
    <w:p w:rsidR="0043655B" w:rsidRDefault="0043655B" w:rsidP="0043655B">
      <w:pPr>
        <w:pStyle w:val="SangriaFrancesaArticulo"/>
      </w:pPr>
      <w:r w:rsidRPr="0043655B">
        <w:rPr>
          <w:rStyle w:val="TextoNormalNegritaCaracter"/>
        </w:rPr>
        <w:t>Anexo sobre méritos en la fase de concurso.</w:t>
      </w:r>
      <w:r w:rsidRPr="0043655B">
        <w:rPr>
          <w:rStyle w:val="TextoNormalCaracter"/>
        </w:rPr>
        <w:t>-</w:t>
      </w:r>
      <w:r>
        <w:t xml:space="preserve"> Sentencia </w:t>
      </w:r>
      <w:hyperlink w:anchor="SENTENCIA_2012_27" w:history="1">
        <w:r w:rsidRPr="0043655B">
          <w:rPr>
            <w:rStyle w:val="TextoNormalCaracter"/>
          </w:rPr>
          <w:t>27/2012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de Andalucía 13/2001, de 11 de diciembre. Regula la coordinación de policías locales</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Sentencia </w:t>
      </w:r>
      <w:hyperlink w:anchor="SENTENCIA_2012_29" w:history="1">
        <w:r w:rsidRPr="0043655B">
          <w:rPr>
            <w:rStyle w:val="TextoNormalCaracter"/>
          </w:rPr>
          <w:t>29/2012</w:t>
        </w:r>
      </w:hyperlink>
      <w:r>
        <w:t>.</w:t>
      </w:r>
    </w:p>
    <w:p w:rsidR="0043655B" w:rsidRDefault="0043655B" w:rsidP="0043655B">
      <w:pPr>
        <w:pStyle w:val="SangriaIzquierdaArticulo"/>
      </w:pPr>
      <w:r>
        <w:t xml:space="preserve">Auto </w:t>
      </w:r>
      <w:hyperlink w:anchor="AUTO_2012_38" w:history="1">
        <w:r w:rsidRPr="0043655B">
          <w:rPr>
            <w:rStyle w:val="TextoNormalCaracter"/>
          </w:rPr>
          <w:t>38/2012</w:t>
        </w:r>
      </w:hyperlink>
      <w:r>
        <w:t>.</w:t>
      </w:r>
    </w:p>
    <w:p w:rsidR="0043655B" w:rsidRDefault="0043655B" w:rsidP="0043655B">
      <w:pPr>
        <w:pStyle w:val="SangriaFrancesaArticulo"/>
      </w:pPr>
      <w:r w:rsidRPr="0043655B">
        <w:rPr>
          <w:rStyle w:val="TextoNormalNegritaCaracter"/>
        </w:rPr>
        <w:t>Artículo 46.1.</w:t>
      </w:r>
      <w:r w:rsidRPr="0043655B">
        <w:rPr>
          <w:rStyle w:val="TextoNormalCaracter"/>
        </w:rPr>
        <w:t>-</w:t>
      </w:r>
      <w:r>
        <w:t xml:space="preserve"> Sentencia </w:t>
      </w:r>
      <w:hyperlink w:anchor="SENTENCIA_2012_29" w:history="1">
        <w:r w:rsidRPr="0043655B">
          <w:rPr>
            <w:rStyle w:val="TextoNormalCaracter"/>
          </w:rPr>
          <w:t>29/2012</w:t>
        </w:r>
      </w:hyperlink>
      <w:r>
        <w:t>.</w:t>
      </w:r>
    </w:p>
    <w:p w:rsidR="0043655B" w:rsidRDefault="0043655B" w:rsidP="0043655B">
      <w:pPr>
        <w:pStyle w:val="SangriaFrancesaArticulo"/>
      </w:pPr>
      <w:r w:rsidRPr="0043655B">
        <w:rPr>
          <w:rStyle w:val="TextoNormalNegritaCaracter"/>
        </w:rPr>
        <w:t>Disposición transitoria primera, apartado 2.</w:t>
      </w:r>
      <w:r w:rsidRPr="0043655B">
        <w:rPr>
          <w:rStyle w:val="TextoNormalCaracter"/>
        </w:rPr>
        <w:t>-</w:t>
      </w:r>
      <w:r>
        <w:t xml:space="preserve"> Sentencia </w:t>
      </w:r>
      <w:hyperlink w:anchor="SENTENCIA_2012_4" w:history="1">
        <w:r w:rsidRPr="0043655B">
          <w:rPr>
            <w:rStyle w:val="TextoNormalCaracter"/>
          </w:rPr>
          <w:t>4/2012</w:t>
        </w:r>
      </w:hyperlink>
      <w:r>
        <w:t xml:space="preserve"> (anula).</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Sentencia </w:t>
      </w:r>
      <w:hyperlink w:anchor="SENTENCIA_2012_3" w:history="1">
        <w:r w:rsidRPr="0043655B">
          <w:rPr>
            <w:rStyle w:val="TextoNormalCaracter"/>
          </w:rPr>
          <w:t>3/2012</w:t>
        </w:r>
      </w:hyperlink>
      <w:r>
        <w:t xml:space="preserve"> (anula).</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B.2) Aragón</w:t>
      </w:r>
    </w:p>
    <w:p w:rsidR="0043655B" w:rsidRDefault="0043655B" w:rsidP="0043655B">
      <w:pPr>
        <w:pStyle w:val="TextoNormalNegritaCentrado"/>
      </w:pPr>
    </w:p>
    <w:p w:rsidR="0043655B" w:rsidRDefault="0043655B" w:rsidP="0043655B">
      <w:pPr>
        <w:pStyle w:val="TextoNormalNegritaCursivandice"/>
      </w:pPr>
      <w:r>
        <w:t>Ley de las Cortes de Aragón 5/2010, de 24 de junio. Medidas extraordinarias en el sector público de la Comunidad Autónoma de Aragón para la reducción del déficit público</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B.3) Asturias</w:t>
      </w:r>
    </w:p>
    <w:p w:rsidR="0043655B" w:rsidRDefault="0043655B" w:rsidP="0043655B">
      <w:pPr>
        <w:pStyle w:val="TextoNormalNegritaCentrado"/>
      </w:pPr>
    </w:p>
    <w:p w:rsidR="0043655B" w:rsidRDefault="0043655B" w:rsidP="0043655B">
      <w:pPr>
        <w:pStyle w:val="TextoNormalNegritaCursivandice"/>
      </w:pPr>
      <w:r>
        <w:t>Ley de la Junta General del Principado de Asturias 2/2000, de 23 de junio. Cajas de Ahorro</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121" w:history="1">
        <w:r w:rsidRPr="0043655B">
          <w:rPr>
            <w:rStyle w:val="TextoNormalCaracter"/>
          </w:rPr>
          <w:t>121/2012</w:t>
        </w:r>
      </w:hyperlink>
      <w:r>
        <w:t>.</w:t>
      </w:r>
    </w:p>
    <w:p w:rsidR="0043655B" w:rsidRDefault="0043655B" w:rsidP="0043655B">
      <w:pPr>
        <w:pStyle w:val="SangriaFrancesaArticulo"/>
      </w:pPr>
      <w:r w:rsidRPr="0043655B">
        <w:rPr>
          <w:rStyle w:val="TextoNormalNegritaCaracter"/>
        </w:rPr>
        <w:t>Artículo 24.2.</w:t>
      </w:r>
      <w:r w:rsidRPr="0043655B">
        <w:rPr>
          <w:rStyle w:val="TextoNormalCaracter"/>
        </w:rPr>
        <w:t>-</w:t>
      </w:r>
      <w:r>
        <w:t xml:space="preserve"> Sentencia </w:t>
      </w:r>
      <w:hyperlink w:anchor="SENTENCIA_2012_121" w:history="1">
        <w:r w:rsidRPr="0043655B">
          <w:rPr>
            <w:rStyle w:val="TextoNormalCaracter"/>
          </w:rPr>
          <w:t>121/2012</w:t>
        </w:r>
      </w:hyperlink>
      <w:r>
        <w:t>.</w:t>
      </w:r>
    </w:p>
    <w:p w:rsidR="0043655B" w:rsidRDefault="0043655B" w:rsidP="0043655B">
      <w:pPr>
        <w:pStyle w:val="SangriaFrancesaArticulo"/>
      </w:pPr>
      <w:r w:rsidRPr="0043655B">
        <w:rPr>
          <w:rStyle w:val="TextoNormalNegritaCaracter"/>
        </w:rPr>
        <w:t>Artículo 46.1.</w:t>
      </w:r>
      <w:r w:rsidRPr="0043655B">
        <w:rPr>
          <w:rStyle w:val="TextoNormalCaracter"/>
        </w:rPr>
        <w:t>-</w:t>
      </w:r>
      <w:r>
        <w:t xml:space="preserve"> Sentencia </w:t>
      </w:r>
      <w:hyperlink w:anchor="SENTENCIA_2012_121" w:history="1">
        <w:r w:rsidRPr="0043655B">
          <w:rPr>
            <w:rStyle w:val="TextoNormalCaracter"/>
          </w:rPr>
          <w:t>121/2012</w:t>
        </w:r>
      </w:hyperlink>
      <w:r>
        <w:t>.</w:t>
      </w:r>
    </w:p>
    <w:p w:rsidR="0043655B" w:rsidRDefault="0043655B" w:rsidP="0043655B">
      <w:pPr>
        <w:pStyle w:val="SangriaFrancesaArticulo"/>
      </w:pPr>
      <w:r w:rsidRPr="0043655B">
        <w:rPr>
          <w:rStyle w:val="TextoNormalNegritaCaracter"/>
        </w:rPr>
        <w:t>Disposición adicional primera.</w:t>
      </w:r>
      <w:r w:rsidRPr="0043655B">
        <w:rPr>
          <w:rStyle w:val="TextoNormalCaracter"/>
        </w:rPr>
        <w:t>-</w:t>
      </w:r>
      <w:r>
        <w:t xml:space="preserve"> Sentencia </w:t>
      </w:r>
      <w:hyperlink w:anchor="SENTENCIA_2012_121" w:history="1">
        <w:r w:rsidRPr="0043655B">
          <w:rPr>
            <w:rStyle w:val="TextoNormalCaracter"/>
          </w:rPr>
          <w:t>121/2012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lastRenderedPageBreak/>
        <w:t>B.4) Baleares</w:t>
      </w:r>
    </w:p>
    <w:p w:rsidR="0043655B" w:rsidRDefault="0043655B" w:rsidP="0043655B">
      <w:pPr>
        <w:pStyle w:val="TextoNormalNegritaCentrado"/>
      </w:pPr>
    </w:p>
    <w:p w:rsidR="0043655B" w:rsidRDefault="0043655B" w:rsidP="0043655B">
      <w:pPr>
        <w:pStyle w:val="TextoNormalNegritaCursivandice"/>
      </w:pPr>
      <w:r>
        <w:t>Ley del Parlamento de las Illes Balears 8/2000, de 27 de octubre. Consejos insulares</w:t>
      </w:r>
    </w:p>
    <w:p w:rsidR="0043655B" w:rsidRDefault="0043655B" w:rsidP="0043655B">
      <w:pPr>
        <w:pStyle w:val="SangriaFrancesaArticulo"/>
      </w:pPr>
      <w:r w:rsidRPr="0043655B">
        <w:rPr>
          <w:rStyle w:val="TextoNormalNegritaCaracter"/>
        </w:rPr>
        <w:t>Artículo 7 apartados 1, 3 y 5.</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7 apartados 1, 3, 5.</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8 apartados 1 h) y v), 2 y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8 apartados 1 incisos h) y v), 2,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8.2 en cuanto permite delegar determinadas atribuciones.</w:t>
      </w:r>
      <w:r w:rsidRPr="0043655B">
        <w:rPr>
          <w:rStyle w:val="TextoNormalCaracter"/>
        </w:rPr>
        <w:t>-</w:t>
      </w:r>
      <w:r>
        <w:t xml:space="preserve"> Sentencia </w:t>
      </w:r>
      <w:hyperlink w:anchor="SENTENCIA_2012_132" w:history="1">
        <w:r w:rsidRPr="0043655B">
          <w:rPr>
            <w:rStyle w:val="TextoNormalCaracter"/>
          </w:rPr>
          <w:t>132/2012</w:t>
        </w:r>
      </w:hyperlink>
      <w:r>
        <w:t xml:space="preserve"> (declara inconstitucional).</w:t>
      </w:r>
    </w:p>
    <w:p w:rsidR="0043655B" w:rsidRDefault="0043655B" w:rsidP="0043655B">
      <w:pPr>
        <w:pStyle w:val="SangriaFrancesaArticulo"/>
      </w:pPr>
      <w:r w:rsidRPr="0043655B">
        <w:rPr>
          <w:rStyle w:val="TextoNormalNegritaCaracter"/>
        </w:rPr>
        <w:t>Artículo 9 apartados 1 u) y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9 apartados 2 u) y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15.1 a).</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15.2 párrafo 2.</w:t>
      </w:r>
      <w:r w:rsidRPr="0043655B">
        <w:rPr>
          <w:rStyle w:val="TextoNormalCaracter"/>
        </w:rPr>
        <w:t>-</w:t>
      </w:r>
      <w:r>
        <w:t xml:space="preserve"> Sentencia </w:t>
      </w:r>
      <w:hyperlink w:anchor="SENTENCIA_2012_132" w:history="1">
        <w:r w:rsidRPr="0043655B">
          <w:rPr>
            <w:rStyle w:val="TextoNormalCaracter"/>
          </w:rPr>
          <w:t>132/2012</w:t>
        </w:r>
      </w:hyperlink>
      <w:r>
        <w:t xml:space="preserve"> (anula).</w:t>
      </w:r>
    </w:p>
    <w:p w:rsidR="0043655B" w:rsidRDefault="0043655B" w:rsidP="0043655B">
      <w:pPr>
        <w:pStyle w:val="SangriaFrancesaArticulo"/>
      </w:pPr>
      <w:r w:rsidRPr="0043655B">
        <w:rPr>
          <w:rStyle w:val="TextoNormalNegritaCaracter"/>
        </w:rPr>
        <w:t>Artículo 16 apartados 1 y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16 apartados 1,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17.2.</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20 apartados 4 a 6.</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22 apartados 2 y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22 apartados 2, 3.</w:t>
      </w:r>
      <w:r w:rsidRPr="0043655B">
        <w:rPr>
          <w:rStyle w:val="TextoNormalCaracter"/>
        </w:rPr>
        <w:t>-</w:t>
      </w:r>
      <w:r>
        <w:t xml:space="preserve"> Sentencia </w:t>
      </w:r>
      <w:hyperlink w:anchor="SENTENCIA_2012_132" w:history="1">
        <w:r w:rsidRPr="0043655B">
          <w:rPr>
            <w:rStyle w:val="TextoNormalCaracter"/>
          </w:rPr>
          <w:t>132/2012</w:t>
        </w:r>
      </w:hyperlink>
      <w:r>
        <w:t>.</w:t>
      </w:r>
    </w:p>
    <w:p w:rsidR="0043655B" w:rsidRDefault="0043655B" w:rsidP="0043655B">
      <w:pPr>
        <w:pStyle w:val="SangriaFrancesaArticulo"/>
      </w:pPr>
    </w:p>
    <w:p w:rsidR="0043655B" w:rsidRDefault="0043655B" w:rsidP="0043655B">
      <w:pPr>
        <w:pStyle w:val="TextoNormalNegritaCursivandice"/>
      </w:pPr>
      <w:r>
        <w:t>Ley del Parlamento de las Illes Balears 11/2001, de 15 de junio. Ordenación de la actividad comercial</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26" w:history="1">
        <w:r w:rsidRPr="0043655B">
          <w:rPr>
            <w:rStyle w:val="TextoNormalCaracter"/>
          </w:rPr>
          <w:t>26/2012</w:t>
        </w:r>
      </w:hyperlink>
      <w:r>
        <w:t xml:space="preserve"> (anula).</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 </w:t>
      </w:r>
      <w:hyperlink w:anchor="SENTENCIA_2012_26" w:history="1">
        <w:r w:rsidRPr="0043655B">
          <w:rPr>
            <w:rStyle w:val="TextoNormalCaracter"/>
          </w:rPr>
          <w:t>26/2012</w:t>
        </w:r>
      </w:hyperlink>
      <w:r>
        <w:t xml:space="preserve"> (declara inconstitucional).</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 </w:t>
      </w:r>
      <w:hyperlink w:anchor="SENTENCIA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18.2.</w:t>
      </w:r>
      <w:r w:rsidRPr="0043655B">
        <w:rPr>
          <w:rStyle w:val="TextoNormalCaracter"/>
        </w:rPr>
        <w:t>-</w:t>
      </w:r>
      <w:r>
        <w:t xml:space="preserve"> Sentencia </w:t>
      </w:r>
      <w:hyperlink w:anchor="SENTENCIA_2012_26" w:history="1">
        <w:r w:rsidRPr="0043655B">
          <w:rPr>
            <w:rStyle w:val="TextoNormalCaracter"/>
          </w:rPr>
          <w:t>26/2012</w:t>
        </w:r>
      </w:hyperlink>
      <w:r>
        <w:t xml:space="preserve"> (anula).</w:t>
      </w:r>
    </w:p>
    <w:p w:rsidR="0043655B" w:rsidRDefault="0043655B" w:rsidP="0043655B">
      <w:pPr>
        <w:pStyle w:val="SangriaFrancesaArticulo"/>
      </w:pPr>
      <w:r w:rsidRPr="0043655B">
        <w:rPr>
          <w:rStyle w:val="TextoNormalNegritaCaracter"/>
        </w:rPr>
        <w:t>Artículo 18.2.</w:t>
      </w:r>
      <w:r w:rsidRPr="0043655B">
        <w:rPr>
          <w:rStyle w:val="TextoNormalCaracter"/>
        </w:rPr>
        <w:t>-</w:t>
      </w:r>
      <w:r>
        <w:t xml:space="preserve"> Sentencia </w:t>
      </w:r>
      <w:hyperlink w:anchor="SENTENCIA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 </w:t>
      </w:r>
      <w:hyperlink w:anchor="SENTENCIA_2012_26" w:history="1">
        <w:r w:rsidRPr="0043655B">
          <w:rPr>
            <w:rStyle w:val="TextoNormalCaracter"/>
          </w:rPr>
          <w:t>26/2012</w:t>
        </w:r>
      </w:hyperlink>
      <w:r>
        <w:t>.</w:t>
      </w:r>
    </w:p>
    <w:p w:rsidR="0043655B" w:rsidRDefault="0043655B" w:rsidP="0043655B">
      <w:pPr>
        <w:pStyle w:val="SangriaFrancesaArticulo"/>
      </w:pPr>
      <w:r w:rsidRPr="0043655B">
        <w:rPr>
          <w:rStyle w:val="TextoNormalNegritaCaracter"/>
        </w:rPr>
        <w:t>Artículo 21.1 b) inciso 2.</w:t>
      </w:r>
      <w:r w:rsidRPr="0043655B">
        <w:rPr>
          <w:rStyle w:val="TextoNormalCaracter"/>
        </w:rPr>
        <w:t>-</w:t>
      </w:r>
      <w:r>
        <w:t xml:space="preserve"> Sentencia </w:t>
      </w:r>
      <w:hyperlink w:anchor="SENTENCIA_2012_26" w:history="1">
        <w:r w:rsidRPr="0043655B">
          <w:rPr>
            <w:rStyle w:val="TextoNormalCaracter"/>
          </w:rPr>
          <w:t>26/2012</w:t>
        </w:r>
      </w:hyperlink>
      <w:r>
        <w:t xml:space="preserve"> (declara inconstitucional).</w:t>
      </w:r>
    </w:p>
    <w:p w:rsidR="0043655B" w:rsidRDefault="0043655B" w:rsidP="0043655B">
      <w:pPr>
        <w:pStyle w:val="SangriaFrancesaArticulo"/>
      </w:pPr>
      <w:r w:rsidRPr="0043655B">
        <w:rPr>
          <w:rStyle w:val="TextoNormalNegritaCaracter"/>
        </w:rPr>
        <w:t>Artículo 22.1 in fine.</w:t>
      </w:r>
      <w:r w:rsidRPr="0043655B">
        <w:rPr>
          <w:rStyle w:val="TextoNormalCaracter"/>
        </w:rPr>
        <w:t>-</w:t>
      </w:r>
      <w:r>
        <w:t xml:space="preserve"> Sentencia </w:t>
      </w:r>
      <w:hyperlink w:anchor="SENTENCIA_2012_26" w:history="1">
        <w:r w:rsidRPr="0043655B">
          <w:rPr>
            <w:rStyle w:val="TextoNormalCaracter"/>
          </w:rPr>
          <w:t>26/2012</w:t>
        </w:r>
      </w:hyperlink>
      <w:r>
        <w:t>.</w:t>
      </w:r>
    </w:p>
    <w:p w:rsidR="0043655B" w:rsidRDefault="0043655B" w:rsidP="0043655B">
      <w:pPr>
        <w:pStyle w:val="SangriaFrancesaArticulo"/>
      </w:pPr>
      <w:r w:rsidRPr="0043655B">
        <w:rPr>
          <w:rStyle w:val="TextoNormalNegritaCaracter"/>
        </w:rPr>
        <w:t>Artículo 27 a).</w:t>
      </w:r>
      <w:r w:rsidRPr="0043655B">
        <w:rPr>
          <w:rStyle w:val="TextoNormalCaracter"/>
        </w:rPr>
        <w:t>-</w:t>
      </w:r>
      <w:r>
        <w:t xml:space="preserve"> Sentencia </w:t>
      </w:r>
      <w:hyperlink w:anchor="SENTENCIA_2012_26" w:history="1">
        <w:r w:rsidRPr="0043655B">
          <w:rPr>
            <w:rStyle w:val="TextoNormalCaracter"/>
          </w:rPr>
          <w:t>26/2012</w:t>
        </w:r>
      </w:hyperlink>
      <w:r>
        <w:t xml:space="preserve"> (anula).</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26" w:history="1">
        <w:r w:rsidRPr="0043655B">
          <w:rPr>
            <w:rStyle w:val="TextoNormalCaracter"/>
          </w:rPr>
          <w:t>26/2012</w:t>
        </w:r>
      </w:hyperlink>
      <w:r>
        <w:t xml:space="preserve"> (anula).</w:t>
      </w:r>
    </w:p>
    <w:p w:rsidR="0043655B" w:rsidRDefault="0043655B" w:rsidP="0043655B">
      <w:pPr>
        <w:pStyle w:val="SangriaFrancesaArticulo"/>
      </w:pPr>
      <w:r w:rsidRPr="0043655B">
        <w:rPr>
          <w:rStyle w:val="TextoNormalNegritaCaracter"/>
        </w:rPr>
        <w:t>Artículo 35.2.</w:t>
      </w:r>
      <w:r w:rsidRPr="0043655B">
        <w:rPr>
          <w:rStyle w:val="TextoNormalCaracter"/>
        </w:rPr>
        <w:t>-</w:t>
      </w:r>
      <w:r>
        <w:t xml:space="preserve"> Sentencia </w:t>
      </w:r>
      <w:hyperlink w:anchor="SENTENCIA_2012_26" w:history="1">
        <w:r w:rsidRPr="0043655B">
          <w:rPr>
            <w:rStyle w:val="TextoNormalCaracter"/>
          </w:rPr>
          <w:t>26/2012</w:t>
        </w:r>
      </w:hyperlink>
      <w:r>
        <w:t xml:space="preserve"> (anula).</w:t>
      </w:r>
    </w:p>
    <w:p w:rsidR="0043655B" w:rsidRDefault="0043655B" w:rsidP="0043655B">
      <w:pPr>
        <w:pStyle w:val="SangriaFrancesaArticulo"/>
      </w:pPr>
      <w:r w:rsidRPr="0043655B">
        <w:rPr>
          <w:rStyle w:val="TextoNormalNegritaCaracter"/>
        </w:rPr>
        <w:t>Artículo 54.1.</w:t>
      </w:r>
      <w:r w:rsidRPr="0043655B">
        <w:rPr>
          <w:rStyle w:val="TextoNormalCaracter"/>
        </w:rPr>
        <w:t>-</w:t>
      </w:r>
      <w:r>
        <w:t xml:space="preserve"> Sentencia </w:t>
      </w:r>
      <w:hyperlink w:anchor="SENTENCIA_2012_26" w:history="1">
        <w:r w:rsidRPr="0043655B">
          <w:rPr>
            <w:rStyle w:val="TextoNormalCaracter"/>
          </w:rPr>
          <w:t>26/2012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B.5) Canarias</w:t>
      </w:r>
    </w:p>
    <w:p w:rsidR="0043655B" w:rsidRDefault="0043655B" w:rsidP="0043655B">
      <w:pPr>
        <w:pStyle w:val="TextoNormalNegritaCentrado"/>
      </w:pPr>
    </w:p>
    <w:p w:rsidR="0043655B" w:rsidRDefault="0043655B" w:rsidP="0043655B">
      <w:pPr>
        <w:pStyle w:val="TextoNormalNegritaCursivandice"/>
      </w:pPr>
      <w:r>
        <w:t>Ley del Parlamento de Canarias 7/1995, de 6 de abril.  Ordenación del turismo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8" w:history="1">
        <w:r w:rsidRPr="0043655B">
          <w:rPr>
            <w:rStyle w:val="TextoNormalCaracter"/>
          </w:rPr>
          <w:t>28/2012</w:t>
        </w:r>
      </w:hyperlink>
      <w:r>
        <w:t>.</w:t>
      </w:r>
    </w:p>
    <w:p w:rsidR="0043655B" w:rsidRDefault="0043655B" w:rsidP="0043655B">
      <w:pPr>
        <w:pStyle w:val="SangriaIzquierdaArticulo"/>
      </w:pPr>
      <w:r>
        <w:t xml:space="preserve">Autos </w:t>
      </w:r>
      <w:hyperlink w:anchor="AUTO_2012_47" w:history="1">
        <w:r w:rsidRPr="0043655B">
          <w:rPr>
            <w:rStyle w:val="TextoNormalCaracter"/>
          </w:rPr>
          <w:t>47/2012</w:t>
        </w:r>
      </w:hyperlink>
      <w:r>
        <w:t xml:space="preserve">; </w:t>
      </w:r>
      <w:hyperlink w:anchor="AUTO_2012_48" w:history="1">
        <w:r w:rsidRPr="0043655B">
          <w:rPr>
            <w:rStyle w:val="TextoNormalCaracter"/>
          </w:rPr>
          <w:t>48/2012</w:t>
        </w:r>
      </w:hyperlink>
      <w:r>
        <w:t xml:space="preserve">; </w:t>
      </w:r>
      <w:hyperlink w:anchor="AUTO_2012_50" w:history="1">
        <w:r w:rsidRPr="0043655B">
          <w:rPr>
            <w:rStyle w:val="TextoNormalCaracter"/>
          </w:rPr>
          <w:t>50/2012</w:t>
        </w:r>
      </w:hyperlink>
      <w:r>
        <w:t xml:space="preserve">; </w:t>
      </w:r>
      <w:hyperlink w:anchor="AUTO_2012_51" w:history="1">
        <w:r w:rsidRPr="0043655B">
          <w:rPr>
            <w:rStyle w:val="TextoNormalCaracter"/>
          </w:rPr>
          <w:t>51/2012</w:t>
        </w:r>
      </w:hyperlink>
      <w:r>
        <w:t>.</w:t>
      </w:r>
    </w:p>
    <w:p w:rsidR="0043655B" w:rsidRDefault="0043655B" w:rsidP="0043655B">
      <w:pPr>
        <w:pStyle w:val="SangriaIzquierdaArticulo"/>
      </w:pPr>
    </w:p>
    <w:p w:rsidR="0043655B" w:rsidRDefault="0043655B" w:rsidP="0043655B">
      <w:pPr>
        <w:pStyle w:val="TextoNormalNegritaCursivandice"/>
      </w:pPr>
      <w:r>
        <w:lastRenderedPageBreak/>
        <w:t>Ley del Parlamento de Canarias 6/1997, de 4 de julio. Coordinación de policías locales</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Autos </w:t>
      </w:r>
      <w:hyperlink w:anchor="AUTO_2012_4" w:history="1">
        <w:r w:rsidRPr="0043655B">
          <w:rPr>
            <w:rStyle w:val="TextoNormalCaracter"/>
          </w:rPr>
          <w:t>4/2012</w:t>
        </w:r>
      </w:hyperlink>
      <w:r>
        <w:t xml:space="preserve">; </w:t>
      </w:r>
      <w:hyperlink w:anchor="AUTO_2012_5" w:history="1">
        <w:r w:rsidRPr="0043655B">
          <w:rPr>
            <w:rStyle w:val="TextoNormalCaracter"/>
          </w:rPr>
          <w:t>5/2012</w:t>
        </w:r>
      </w:hyperlink>
      <w:r>
        <w:t xml:space="preserve">; </w:t>
      </w:r>
      <w:hyperlink w:anchor="AUTO_2012_6" w:history="1">
        <w:r w:rsidRPr="0043655B">
          <w:rPr>
            <w:rStyle w:val="TextoNormalCaracter"/>
          </w:rPr>
          <w:t>6/2012</w:t>
        </w:r>
      </w:hyperlink>
      <w:r>
        <w:t>.</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Sentencia </w:t>
      </w:r>
      <w:hyperlink w:anchor="SENTENCIA_2012_2" w:history="1">
        <w:r w:rsidRPr="0043655B">
          <w:rPr>
            <w:rStyle w:val="TextoNormalCaracter"/>
          </w:rPr>
          <w:t>2/2012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de Canarias 5/1999, de 15 de marzo. Ordenación del turismo</w:t>
      </w:r>
    </w:p>
    <w:p w:rsidR="0043655B" w:rsidRDefault="0043655B" w:rsidP="0043655B">
      <w:pPr>
        <w:pStyle w:val="SangriaFrancesaArticulo"/>
      </w:pPr>
      <w:r w:rsidRPr="0043655B">
        <w:rPr>
          <w:rStyle w:val="TextoNormalNegritaCaracter"/>
        </w:rPr>
        <w:t>Disposición transitoria única.</w:t>
      </w:r>
      <w:r w:rsidRPr="0043655B">
        <w:rPr>
          <w:rStyle w:val="TextoNormalCaracter"/>
        </w:rPr>
        <w:t>-</w:t>
      </w:r>
      <w:r>
        <w:t xml:space="preserve"> Autos </w:t>
      </w:r>
      <w:hyperlink w:anchor="AUTO_2012_47" w:history="1">
        <w:r w:rsidRPr="0043655B">
          <w:rPr>
            <w:rStyle w:val="TextoNormalCaracter"/>
          </w:rPr>
          <w:t>47/2012</w:t>
        </w:r>
      </w:hyperlink>
      <w:r>
        <w:t xml:space="preserve">; </w:t>
      </w:r>
      <w:hyperlink w:anchor="AUTO_2012_48" w:history="1">
        <w:r w:rsidRPr="0043655B">
          <w:rPr>
            <w:rStyle w:val="TextoNormalCaracter"/>
          </w:rPr>
          <w:t>48/2012</w:t>
        </w:r>
      </w:hyperlink>
      <w:r>
        <w:t>.</w:t>
      </w:r>
    </w:p>
    <w:p w:rsidR="0043655B" w:rsidRDefault="0043655B" w:rsidP="0043655B">
      <w:pPr>
        <w:pStyle w:val="SangriaFrancesaArticulo"/>
      </w:pPr>
      <w:r w:rsidRPr="0043655B">
        <w:rPr>
          <w:rStyle w:val="TextoNormalNegritaCaracter"/>
        </w:rPr>
        <w:t>Disposición transitoria única, apartado 4.</w:t>
      </w:r>
      <w:r w:rsidRPr="0043655B">
        <w:rPr>
          <w:rStyle w:val="TextoNormalCaracter"/>
        </w:rPr>
        <w:t>-</w:t>
      </w:r>
      <w:r>
        <w:t xml:space="preserve"> Autos </w:t>
      </w:r>
      <w:hyperlink w:anchor="AUTO_2012_50" w:history="1">
        <w:r w:rsidRPr="0043655B">
          <w:rPr>
            <w:rStyle w:val="TextoNormalCaracter"/>
          </w:rPr>
          <w:t>50/2012</w:t>
        </w:r>
      </w:hyperlink>
      <w:r>
        <w:t xml:space="preserve">; </w:t>
      </w:r>
      <w:hyperlink w:anchor="AUTO_2012_51" w:history="1">
        <w:r w:rsidRPr="0043655B">
          <w:rPr>
            <w:rStyle w:val="TextoNormalCaracter"/>
          </w:rPr>
          <w:t>51/2012</w:t>
        </w:r>
      </w:hyperlink>
      <w:r>
        <w:t>.</w:t>
      </w:r>
    </w:p>
    <w:p w:rsidR="0043655B" w:rsidRDefault="0043655B" w:rsidP="0043655B">
      <w:pPr>
        <w:pStyle w:val="SangriaFrancesaArticulo"/>
      </w:pPr>
      <w:r w:rsidRPr="0043655B">
        <w:rPr>
          <w:rStyle w:val="TextoNormalNegritaCaracter"/>
        </w:rPr>
        <w:t>Disposición transitoria única, apartado 4.</w:t>
      </w:r>
      <w:r w:rsidRPr="0043655B">
        <w:rPr>
          <w:rStyle w:val="TextoNormalCaracter"/>
        </w:rPr>
        <w:t>-</w:t>
      </w:r>
      <w:r>
        <w:t xml:space="preserve"> Sentencia </w:t>
      </w:r>
      <w:hyperlink w:anchor="SENTENCIA_2012_28" w:history="1">
        <w:r w:rsidRPr="0043655B">
          <w:rPr>
            <w:rStyle w:val="TextoNormalCaracter"/>
          </w:rPr>
          <w:t>28/2012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de Canarias 9/1999, de 13 de mayo. Ordenación del territorio</w:t>
      </w:r>
    </w:p>
    <w:p w:rsidR="0043655B" w:rsidRDefault="0043655B" w:rsidP="0043655B">
      <w:pPr>
        <w:pStyle w:val="SangriaFrancesaArticulo"/>
      </w:pPr>
      <w:r w:rsidRPr="0043655B">
        <w:rPr>
          <w:rStyle w:val="TextoNormalNegritaCaracter"/>
        </w:rPr>
        <w:t>Artículo 217</w:t>
      </w:r>
      <w:r>
        <w:t xml:space="preserve"> </w:t>
      </w:r>
      <w:r w:rsidRPr="0043655B">
        <w:rPr>
          <w:rStyle w:val="TextoNormalCaracter"/>
        </w:rPr>
        <w:t>(redactado por el Decreto Legislativo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220.2 excepto el inciso relativo a los vertidos al mar</w:t>
      </w:r>
      <w:r>
        <w:t xml:space="preserve"> </w:t>
      </w:r>
      <w:r w:rsidRPr="0043655B">
        <w:rPr>
          <w:rStyle w:val="TextoNormalCaracter"/>
        </w:rPr>
        <w:t>(redactado por el Decreto Legislativo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224.1 a) en cuanto a las cuantía de las multas</w:t>
      </w:r>
      <w:r>
        <w:t xml:space="preserve"> </w:t>
      </w:r>
      <w:r w:rsidRPr="0043655B">
        <w:rPr>
          <w:rStyle w:val="TextoNormalCaracter"/>
        </w:rPr>
        <w:t>(redactado por el Decreto Legislativo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228.3 a)</w:t>
      </w:r>
      <w:r>
        <w:t xml:space="preserve"> </w:t>
      </w:r>
      <w:r w:rsidRPr="0043655B">
        <w:rPr>
          <w:rStyle w:val="TextoNormalCaracter"/>
        </w:rPr>
        <w:t>(redactado por el Decreto Legislativo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w:t>
      </w:r>
    </w:p>
    <w:p w:rsidR="0043655B" w:rsidRDefault="0043655B" w:rsidP="0043655B">
      <w:pPr>
        <w:pStyle w:val="SangriaFrancesaArticulo"/>
      </w:pPr>
    </w:p>
    <w:p w:rsidR="0043655B" w:rsidRDefault="0043655B" w:rsidP="0043655B">
      <w:pPr>
        <w:pStyle w:val="TextoNormalNegritaCursivandice"/>
      </w:pPr>
      <w:r>
        <w:t>Decreto Legislativo del Gobierno de Canarias 1/2000, de 8 mayo. Texto refundido de las leyes de ordenación del territorio y de espacios naturales protegidos</w:t>
      </w:r>
    </w:p>
    <w:p w:rsidR="0043655B" w:rsidRDefault="0043655B" w:rsidP="0043655B">
      <w:pPr>
        <w:pStyle w:val="SangriaFrancesaArticulo"/>
      </w:pPr>
      <w:r w:rsidRPr="0043655B">
        <w:rPr>
          <w:rStyle w:val="TextoNormalNegritaCaracter"/>
        </w:rPr>
        <w:t>Artículo 217 en cuanto a las cuantía de las multas.</w:t>
      </w:r>
      <w:r w:rsidRPr="0043655B">
        <w:rPr>
          <w:rStyle w:val="TextoNormalCaracter"/>
        </w:rPr>
        <w:t>-</w:t>
      </w:r>
      <w:r>
        <w:t xml:space="preserve"> Sentencia </w:t>
      </w:r>
      <w:hyperlink w:anchor="SENTENCIA_2012_7" w:history="1">
        <w:r w:rsidRPr="0043655B">
          <w:rPr>
            <w:rStyle w:val="TextoNormalCaracter"/>
          </w:rPr>
          <w:t>7/2012</w:t>
        </w:r>
      </w:hyperlink>
      <w:r>
        <w:t xml:space="preserve"> (anula).</w:t>
      </w:r>
    </w:p>
    <w:p w:rsidR="0043655B" w:rsidRDefault="0043655B" w:rsidP="0043655B">
      <w:pPr>
        <w:pStyle w:val="SangriaFrancesaArticulo"/>
      </w:pPr>
      <w:r w:rsidRPr="0043655B">
        <w:rPr>
          <w:rStyle w:val="TextoNormalNegritaCaracter"/>
        </w:rPr>
        <w:t>Artículo 220.2 excepto el inciso relativo a los vertidos al mar.</w:t>
      </w:r>
      <w:r w:rsidRPr="0043655B">
        <w:rPr>
          <w:rStyle w:val="TextoNormalCaracter"/>
        </w:rPr>
        <w:t>-</w:t>
      </w:r>
      <w:r>
        <w:t xml:space="preserve"> Sentencia </w:t>
      </w:r>
      <w:hyperlink w:anchor="SENTENCIA_2012_7" w:history="1">
        <w:r w:rsidRPr="0043655B">
          <w:rPr>
            <w:rStyle w:val="TextoNormalCaracter"/>
          </w:rPr>
          <w:t>7/2012</w:t>
        </w:r>
      </w:hyperlink>
      <w:r>
        <w:t xml:space="preserve"> (anula).</w:t>
      </w:r>
    </w:p>
    <w:p w:rsidR="0043655B" w:rsidRDefault="0043655B" w:rsidP="0043655B">
      <w:pPr>
        <w:pStyle w:val="SangriaFrancesaArticulo"/>
      </w:pPr>
      <w:r w:rsidRPr="0043655B">
        <w:rPr>
          <w:rStyle w:val="TextoNormalNegritaCaracter"/>
        </w:rPr>
        <w:t>Artículo 224.1 a) en cuanto a las cuantía de las multas.</w:t>
      </w:r>
      <w:r w:rsidRPr="0043655B">
        <w:rPr>
          <w:rStyle w:val="TextoNormalCaracter"/>
        </w:rPr>
        <w:t>-</w:t>
      </w:r>
      <w:r>
        <w:t xml:space="preserve"> Sentencia </w:t>
      </w:r>
      <w:hyperlink w:anchor="SENTENCIA_2012_7" w:history="1">
        <w:r w:rsidRPr="0043655B">
          <w:rPr>
            <w:rStyle w:val="TextoNormalCaracter"/>
          </w:rPr>
          <w:t>7/2012</w:t>
        </w:r>
      </w:hyperlink>
      <w:r>
        <w:t xml:space="preserve"> (anula).</w:t>
      </w:r>
    </w:p>
    <w:p w:rsidR="0043655B" w:rsidRDefault="0043655B" w:rsidP="0043655B">
      <w:pPr>
        <w:pStyle w:val="SangriaFrancesaArticulo"/>
      </w:pPr>
      <w:r w:rsidRPr="0043655B">
        <w:rPr>
          <w:rStyle w:val="TextoNormalNegritaCaracter"/>
        </w:rPr>
        <w:t>Artículo 228.3 a).</w:t>
      </w:r>
      <w:r w:rsidRPr="0043655B">
        <w:rPr>
          <w:rStyle w:val="TextoNormalCaracter"/>
        </w:rPr>
        <w:t>-</w:t>
      </w:r>
      <w:r>
        <w:t xml:space="preserve"> Sentencia </w:t>
      </w:r>
      <w:hyperlink w:anchor="SENTENCIA_2012_7" w:history="1">
        <w:r w:rsidRPr="0043655B">
          <w:rPr>
            <w:rStyle w:val="TextoNormalCaracter"/>
          </w:rPr>
          <w:t>7/2012</w:t>
        </w:r>
      </w:hyperlink>
      <w:r>
        <w:t xml:space="preserve"> (delimita).</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B.6) Castilla-La Mancha</w:t>
      </w:r>
    </w:p>
    <w:p w:rsidR="0043655B" w:rsidRDefault="0043655B" w:rsidP="0043655B">
      <w:pPr>
        <w:pStyle w:val="TextoNormalNegritaCentrado"/>
      </w:pPr>
    </w:p>
    <w:p w:rsidR="0043655B" w:rsidRDefault="0043655B" w:rsidP="0043655B">
      <w:pPr>
        <w:pStyle w:val="TextoNormalNegritaCursivandice"/>
      </w:pPr>
      <w:r>
        <w:t>Ley de las Cortes de Castilla-La Mancha 8/2001, de 28 de junio.  Ordenación de las instalaciones de radiocomunicación</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 subapartado 1.</w:t>
      </w:r>
      <w:r w:rsidRPr="0043655B">
        <w:rPr>
          <w:rStyle w:val="TextoNormalCaracter"/>
        </w:rPr>
        <w:t>-</w:t>
      </w:r>
      <w:r>
        <w:t xml:space="preserve"> Sentencia </w:t>
      </w:r>
      <w:hyperlink w:anchor="SENTENCIA_2012_8" w:history="1">
        <w:r w:rsidRPr="0043655B">
          <w:rPr>
            <w:rStyle w:val="TextoNormalCaracter"/>
          </w:rPr>
          <w:t>8/2012</w:t>
        </w:r>
      </w:hyperlink>
      <w:r>
        <w:t xml:space="preserve"> (interpreta).</w:t>
      </w:r>
    </w:p>
    <w:p w:rsidR="0043655B" w:rsidRDefault="0043655B" w:rsidP="0043655B">
      <w:pPr>
        <w:pStyle w:val="SangriaFrancesaArticulo"/>
      </w:pPr>
      <w:r w:rsidRPr="0043655B">
        <w:rPr>
          <w:rStyle w:val="TextoNormalNegritaCaracter"/>
        </w:rPr>
        <w:t>Artículo 7 apartados 2, 3.</w:t>
      </w:r>
      <w:r w:rsidRPr="0043655B">
        <w:rPr>
          <w:rStyle w:val="TextoNormalCaracter"/>
        </w:rPr>
        <w:t>-</w:t>
      </w:r>
      <w:r>
        <w:t xml:space="preserve"> Sentencia </w:t>
      </w:r>
      <w:hyperlink w:anchor="SENTENCIA_2012_8" w:history="1">
        <w:r w:rsidRPr="0043655B">
          <w:rPr>
            <w:rStyle w:val="TextoNormalCaracter"/>
          </w:rPr>
          <w:t>8/2012</w:t>
        </w:r>
      </w:hyperlink>
      <w:r>
        <w:t xml:space="preserve"> (interpreta).</w:t>
      </w:r>
    </w:p>
    <w:p w:rsidR="0043655B" w:rsidRDefault="0043655B" w:rsidP="0043655B">
      <w:pPr>
        <w:pStyle w:val="SangriaFrancesaArticulo"/>
      </w:pPr>
      <w:r w:rsidRPr="0043655B">
        <w:rPr>
          <w:rStyle w:val="TextoNormalNegritaCaracter"/>
        </w:rPr>
        <w:t>Artículo 7 inciso sobre la obligación de incorporar las mejoras tecnológicas que vayan apareciendo y contribuyan a minimizar el impacto ambiental y visual.</w:t>
      </w:r>
      <w:r w:rsidRPr="0043655B">
        <w:rPr>
          <w:rStyle w:val="TextoNormalCaracter"/>
        </w:rPr>
        <w:t>-</w:t>
      </w:r>
      <w:r>
        <w:t xml:space="preserve"> Sentencia </w:t>
      </w:r>
      <w:hyperlink w:anchor="SENTENCIA_2012_8" w:history="1">
        <w:r w:rsidRPr="0043655B">
          <w:rPr>
            <w:rStyle w:val="TextoNormalCaracter"/>
          </w:rPr>
          <w:t>8/2012</w:t>
        </w:r>
      </w:hyperlink>
      <w:r>
        <w:t xml:space="preserve"> (interpreta).</w:t>
      </w:r>
    </w:p>
    <w:p w:rsidR="0043655B" w:rsidRDefault="0043655B" w:rsidP="0043655B">
      <w:pPr>
        <w:pStyle w:val="SangriaFrancesaArticulo"/>
      </w:pPr>
      <w:r w:rsidRPr="0043655B">
        <w:rPr>
          <w:rStyle w:val="TextoNormalNegritaCaracter"/>
        </w:rPr>
        <w:t>Artículo 7 inciso sobre la obligación de incorporar las mejoras tecnológicas que vayan apareciendo y contribuyan a reducir los niveles de emisión de los sistemas radiantes.</w:t>
      </w:r>
      <w:r w:rsidRPr="0043655B">
        <w:rPr>
          <w:rStyle w:val="TextoNormalCaracter"/>
        </w:rPr>
        <w:t>-</w:t>
      </w:r>
      <w:r>
        <w:t xml:space="preserve"> Sentencia </w:t>
      </w:r>
      <w:hyperlink w:anchor="SENTENCIA_2012_8" w:history="1">
        <w:r w:rsidRPr="0043655B">
          <w:rPr>
            <w:rStyle w:val="TextoNormalCaracter"/>
          </w:rPr>
          <w:t>8/2012</w:t>
        </w:r>
      </w:hyperlink>
      <w:r>
        <w:t xml:space="preserve"> (anula).</w:t>
      </w:r>
    </w:p>
    <w:p w:rsidR="0043655B" w:rsidRDefault="0043655B" w:rsidP="0043655B">
      <w:pPr>
        <w:pStyle w:val="SangriaFrancesaArticulo"/>
      </w:pPr>
      <w:r w:rsidRPr="0043655B">
        <w:rPr>
          <w:rStyle w:val="TextoNormalNegritaCaracter"/>
        </w:rPr>
        <w:t>Artículo 12.1 párrafos 1, 3, 4.</w:t>
      </w:r>
      <w:r w:rsidRPr="0043655B">
        <w:rPr>
          <w:rStyle w:val="TextoNormalCaracter"/>
        </w:rPr>
        <w:t>-</w:t>
      </w:r>
      <w:r>
        <w:t xml:space="preserve"> Sentencia </w:t>
      </w:r>
      <w:hyperlink w:anchor="SENTENCIA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8" w:history="1">
        <w:r w:rsidRPr="0043655B">
          <w:rPr>
            <w:rStyle w:val="TextoNormalCaracter"/>
          </w:rPr>
          <w:t>8/2012</w:t>
        </w:r>
      </w:hyperlink>
      <w:r>
        <w:t xml:space="preserve"> (interpreta).</w:t>
      </w:r>
    </w:p>
    <w:p w:rsidR="0043655B" w:rsidRDefault="0043655B" w:rsidP="0043655B">
      <w:pPr>
        <w:pStyle w:val="SangriaFrancesaArticulo"/>
      </w:pPr>
      <w:r w:rsidRPr="0043655B">
        <w:rPr>
          <w:rStyle w:val="TextoNormalNegritaCaracter"/>
        </w:rPr>
        <w:t>Artículo 19 apartado 2.</w:t>
      </w:r>
      <w:r w:rsidRPr="0043655B">
        <w:rPr>
          <w:rStyle w:val="TextoNormalCaracter"/>
        </w:rPr>
        <w:t>-</w:t>
      </w:r>
      <w:r>
        <w:t xml:space="preserve"> Sentencia </w:t>
      </w:r>
      <w:hyperlink w:anchor="SENTENCIA_2012_8" w:history="1">
        <w:r w:rsidRPr="0043655B">
          <w:rPr>
            <w:rStyle w:val="TextoNormalCaracter"/>
          </w:rPr>
          <w:t>8/2012</w:t>
        </w:r>
      </w:hyperlink>
      <w:r>
        <w:t xml:space="preserve"> (anula).</w:t>
      </w:r>
    </w:p>
    <w:p w:rsidR="0043655B" w:rsidRDefault="0043655B" w:rsidP="0043655B">
      <w:pPr>
        <w:pStyle w:val="SangriaFrancesaArticulo"/>
      </w:pPr>
      <w:r w:rsidRPr="0043655B">
        <w:rPr>
          <w:rStyle w:val="TextoNormalNegritaCaracter"/>
        </w:rPr>
        <w:t>Artículo 19 apartado 3.</w:t>
      </w:r>
      <w:r w:rsidRPr="0043655B">
        <w:rPr>
          <w:rStyle w:val="TextoNormalCaracter"/>
        </w:rPr>
        <w:t>-</w:t>
      </w:r>
      <w:r>
        <w:t xml:space="preserve"> Sentencia </w:t>
      </w:r>
      <w:hyperlink w:anchor="SENTENCIA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20 apartado 1.</w:t>
      </w:r>
      <w:r w:rsidRPr="0043655B">
        <w:rPr>
          <w:rStyle w:val="TextoNormalCaracter"/>
        </w:rPr>
        <w:t>-</w:t>
      </w:r>
      <w:r>
        <w:t xml:space="preserve"> Sentencia </w:t>
      </w:r>
      <w:hyperlink w:anchor="SENTENCIA_2012_8" w:history="1">
        <w:r w:rsidRPr="0043655B">
          <w:rPr>
            <w:rStyle w:val="TextoNormalCaracter"/>
          </w:rPr>
          <w:t>8/2012</w:t>
        </w:r>
      </w:hyperlink>
      <w:r>
        <w:t>.</w:t>
      </w:r>
    </w:p>
    <w:p w:rsidR="0043655B" w:rsidRDefault="0043655B" w:rsidP="0043655B">
      <w:pPr>
        <w:pStyle w:val="SangriaFrancesaArticulo"/>
      </w:pPr>
    </w:p>
    <w:p w:rsidR="0043655B" w:rsidRDefault="0043655B" w:rsidP="0043655B">
      <w:pPr>
        <w:pStyle w:val="TextoNormalNegritaCursivandice"/>
      </w:pPr>
      <w:r>
        <w:lastRenderedPageBreak/>
        <w:t>Ley de las Cortes de Castilla-La Mancha 5/2011, de 10 de marzo. Declaración de Parque Natural de la Sierra Norte de Guadalajara</w:t>
      </w:r>
    </w:p>
    <w:p w:rsidR="0043655B" w:rsidRDefault="0043655B" w:rsidP="0043655B">
      <w:pPr>
        <w:pStyle w:val="SangriaFrancesaArticulo"/>
      </w:pPr>
      <w:r w:rsidRPr="0043655B">
        <w:rPr>
          <w:rStyle w:val="TextoNormalNegritaCaracter"/>
        </w:rPr>
        <w:t>Anejo 2, apartado 2.1.4 incisos 9, 13, 23.</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Anejo 2, apartado 2.2.4 incisos 27, 29, 30, 31, 36.</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B.7) Castilla y León</w:t>
      </w:r>
    </w:p>
    <w:p w:rsidR="0043655B" w:rsidRDefault="0043655B" w:rsidP="0043655B">
      <w:pPr>
        <w:pStyle w:val="TextoNormalNegritaCentrado"/>
      </w:pPr>
    </w:p>
    <w:p w:rsidR="0043655B" w:rsidRDefault="0043655B" w:rsidP="0043655B">
      <w:pPr>
        <w:pStyle w:val="TextoNormalNegritaCursivandice"/>
      </w:pPr>
      <w:r>
        <w:t>Ley de las Cortes de Castilla y León 11/2009, de 22 de diciembre. Presupuestos Generales para 2010</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(redactado por el Decreto-ley 1/2010, de 3 de junio)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(redactado por el Decreto-ley de la Junta de Castilla y León 1/2010, de 3 de junio)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p>
    <w:p w:rsidR="0043655B" w:rsidRDefault="0043655B" w:rsidP="0043655B">
      <w:pPr>
        <w:pStyle w:val="TextoNormalNegritaCursivandice"/>
      </w:pPr>
      <w:r>
        <w:t>Decreto-ley de la Junta de Castilla y León 1/2010, de 3 de junio. Medidas urgentes de adaptación al Real Decreto-Ley 8/2010, de 20 de mayo, del Gobierno de la Nación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B.8) Cataluña</w:t>
      </w:r>
    </w:p>
    <w:p w:rsidR="0043655B" w:rsidRDefault="0043655B" w:rsidP="0043655B">
      <w:pPr>
        <w:pStyle w:val="TextoNormalNegritaCentrado"/>
      </w:pPr>
    </w:p>
    <w:p w:rsidR="0043655B" w:rsidRDefault="0043655B" w:rsidP="0043655B">
      <w:pPr>
        <w:pStyle w:val="TextoNormalNegritaCursivandice"/>
      </w:pPr>
      <w:r>
        <w:t>Ley del Parlamento de Cataluña 8/1987, de 15 de abril. Municipal y de régimen local de Cataluña</w:t>
      </w:r>
    </w:p>
    <w:p w:rsidR="0043655B" w:rsidRDefault="0043655B" w:rsidP="0043655B">
      <w:pPr>
        <w:pStyle w:val="SangriaFrancesaArticulo"/>
      </w:pPr>
      <w:r w:rsidRPr="0043655B">
        <w:rPr>
          <w:rStyle w:val="TextoNormalNegritaCaracter"/>
        </w:rPr>
        <w:t>Artículo 110.1 g).</w:t>
      </w:r>
      <w:r w:rsidRPr="0043655B">
        <w:rPr>
          <w:rStyle w:val="TextoNormalCaracter"/>
        </w:rPr>
        <w:t>-</w:t>
      </w:r>
      <w:r>
        <w:t xml:space="preserve"> Sentencia </w:t>
      </w:r>
      <w:hyperlink w:anchor="SENTENCIA_2012_81" w:history="1">
        <w:r w:rsidRPr="0043655B">
          <w:rPr>
            <w:rStyle w:val="TextoNormalCaracter"/>
          </w:rPr>
          <w:t>81/2012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de Cataluña 8/1988, de 7 de abril. Deporte</w:t>
      </w:r>
    </w:p>
    <w:p w:rsidR="0043655B" w:rsidRDefault="0043655B" w:rsidP="0043655B">
      <w:pPr>
        <w:pStyle w:val="SangriaFrancesaArticulo"/>
      </w:pPr>
      <w:r w:rsidRPr="0043655B">
        <w:rPr>
          <w:rStyle w:val="TextoNormalNegritaCaracter"/>
        </w:rPr>
        <w:t>Artículo 19.2, inciso 1.</w:t>
      </w:r>
      <w:r w:rsidRPr="0043655B">
        <w:rPr>
          <w:rStyle w:val="TextoNormalCaracter"/>
        </w:rPr>
        <w:t>-</w:t>
      </w:r>
      <w:r>
        <w:t xml:space="preserve"> Sentencia </w:t>
      </w:r>
      <w:hyperlink w:anchor="SENTENCIA_2012_110" w:history="1">
        <w:r w:rsidRPr="0043655B">
          <w:rPr>
            <w:rStyle w:val="TextoNormalCaracter"/>
          </w:rPr>
          <w:t>110/2012</w:t>
        </w:r>
      </w:hyperlink>
      <w:r>
        <w:t>.</w:t>
      </w:r>
    </w:p>
    <w:p w:rsidR="0043655B" w:rsidRDefault="0043655B" w:rsidP="0043655B">
      <w:pPr>
        <w:pStyle w:val="SangriaFrancesaArticulo"/>
      </w:pPr>
    </w:p>
    <w:p w:rsidR="0043655B" w:rsidRDefault="0043655B" w:rsidP="0043655B">
      <w:pPr>
        <w:pStyle w:val="TextoNormalNegritaCursivandice"/>
      </w:pPr>
      <w:r>
        <w:t>Ley del Parlamento de Cataluña 9/1998, de 15 de julio. Código de familia</w:t>
      </w:r>
    </w:p>
    <w:p w:rsidR="0043655B" w:rsidRDefault="0043655B" w:rsidP="0043655B">
      <w:pPr>
        <w:pStyle w:val="SangriaFrancesaArticulo"/>
      </w:pPr>
      <w:r w:rsidRPr="0043655B">
        <w:rPr>
          <w:rStyle w:val="TextoNormalNegritaCaracter"/>
        </w:rPr>
        <w:t>Artículo 43.1.</w:t>
      </w:r>
      <w:r w:rsidRPr="0043655B">
        <w:rPr>
          <w:rStyle w:val="TextoNormalCaracter"/>
        </w:rPr>
        <w:t>-</w:t>
      </w:r>
      <w:r>
        <w:t xml:space="preserve"> Sentencia </w:t>
      </w:r>
      <w:hyperlink w:anchor="SENTENCIA_2012_21" w:history="1">
        <w:r w:rsidRPr="0043655B">
          <w:rPr>
            <w:rStyle w:val="TextoNormalCaracter"/>
          </w:rPr>
          <w:t>21/2012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de Cataluña 9/1999, de 30 de julio. Apoyo a las selecciones catalanas</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10" w:history="1">
        <w:r w:rsidRPr="0043655B">
          <w:rPr>
            <w:rStyle w:val="TextoNormalCaracter"/>
          </w:rPr>
          <w:t>110/2012</w:t>
        </w:r>
      </w:hyperlink>
      <w:r>
        <w:t>.</w:t>
      </w:r>
    </w:p>
    <w:p w:rsidR="0043655B" w:rsidRDefault="0043655B" w:rsidP="0043655B">
      <w:pPr>
        <w:pStyle w:val="SangriaFrancesaArticulo"/>
      </w:pPr>
    </w:p>
    <w:p w:rsidR="0043655B" w:rsidRDefault="0043655B" w:rsidP="0043655B">
      <w:pPr>
        <w:pStyle w:val="TextoNormalNegritaCursivandice"/>
      </w:pPr>
      <w:r>
        <w:t>Ley del Parlamento de Cataluña 16/2000, de 29 de diciembre.  Impuesto sobre grandes establecimientos comerciales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2" w:history="1">
        <w:r w:rsidRPr="0043655B">
          <w:rPr>
            <w:rStyle w:val="TextoNormalCaracter"/>
          </w:rPr>
          <w:t>122/2012</w:t>
        </w:r>
      </w:hyperlink>
      <w:r>
        <w:t>.</w:t>
      </w:r>
    </w:p>
    <w:p w:rsidR="0043655B" w:rsidRDefault="0043655B" w:rsidP="0043655B">
      <w:pPr>
        <w:pStyle w:val="SangriaFrancesaArticulo"/>
      </w:pPr>
    </w:p>
    <w:p w:rsidR="0043655B" w:rsidRDefault="0043655B" w:rsidP="0043655B">
      <w:pPr>
        <w:pStyle w:val="TextoNormalNegritaCursivandice"/>
      </w:pPr>
      <w:r>
        <w:t>Ley del Parlamento de Cataluña 31/2002, de 30 de diciembre. Medidas fiscales y administrativas</w:t>
      </w:r>
    </w:p>
    <w:p w:rsidR="0043655B" w:rsidRDefault="0043655B" w:rsidP="0043655B">
      <w:pPr>
        <w:pStyle w:val="SangriaFrancesaArticulo"/>
      </w:pPr>
      <w:r w:rsidRPr="0043655B">
        <w:rPr>
          <w:rStyle w:val="TextoNormalNegritaCaracter"/>
        </w:rPr>
        <w:t>Artículo 79.</w:t>
      </w:r>
      <w:r w:rsidRPr="0043655B">
        <w:rPr>
          <w:rStyle w:val="TextoNormalCaracter"/>
        </w:rPr>
        <w:t>-</w:t>
      </w:r>
      <w:r>
        <w:t xml:space="preserve"> Auto </w:t>
      </w:r>
      <w:hyperlink w:anchor="AUTO_2012_3" w:history="1">
        <w:r w:rsidRPr="0043655B">
          <w:rPr>
            <w:rStyle w:val="TextoNormalCaracter"/>
          </w:rPr>
          <w:t>3/2012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B.9) Extremadura</w:t>
      </w:r>
    </w:p>
    <w:p w:rsidR="0043655B" w:rsidRDefault="0043655B" w:rsidP="0043655B">
      <w:pPr>
        <w:pStyle w:val="TextoNormalNegritaCentrado"/>
      </w:pPr>
    </w:p>
    <w:p w:rsidR="0043655B" w:rsidRDefault="0043655B" w:rsidP="0043655B">
      <w:pPr>
        <w:pStyle w:val="TextoNormalNegritaCursivandice"/>
      </w:pPr>
      <w:r>
        <w:lastRenderedPageBreak/>
        <w:t>Ley de la Asamblea de Extremadura 3/1990, de 24 de mayo. Modifica la Ley 2/1986, de 23 de mayo, de la función pública de Extremadura</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B.10) Galicia</w:t>
      </w:r>
    </w:p>
    <w:p w:rsidR="0043655B" w:rsidRDefault="0043655B" w:rsidP="0043655B">
      <w:pPr>
        <w:pStyle w:val="TextoNormalNegritaCentrado"/>
      </w:pPr>
    </w:p>
    <w:p w:rsidR="0043655B" w:rsidRDefault="0043655B" w:rsidP="0043655B">
      <w:pPr>
        <w:pStyle w:val="TextoNormalNegritaCursivandice"/>
      </w:pPr>
      <w:r>
        <w:t>Ley del Parlamento de Galicia 9/2002, de 30 de diciembre. Ordenación urbanística y protección del medio rural de Galicia</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87" w:history="1">
        <w:r w:rsidRPr="0043655B">
          <w:rPr>
            <w:rStyle w:val="TextoNormalCaracter"/>
          </w:rPr>
          <w:t>87/2012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de Galicia 18/2008, de 29 de diciembre. Vivienda de Galicia</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137" w:history="1">
        <w:r w:rsidRPr="0043655B">
          <w:rPr>
            <w:rStyle w:val="TextoNormalCaracter"/>
          </w:rPr>
          <w:t>137/2012</w:t>
        </w:r>
      </w:hyperlink>
      <w:r>
        <w:t xml:space="preserve"> (anula).</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B.11) Navarra</w:t>
      </w:r>
    </w:p>
    <w:p w:rsidR="0043655B" w:rsidRDefault="0043655B" w:rsidP="0043655B">
      <w:pPr>
        <w:pStyle w:val="TextoNormalNegritaCentrado"/>
      </w:pPr>
    </w:p>
    <w:p w:rsidR="0043655B" w:rsidRDefault="0043655B" w:rsidP="0043655B">
      <w:pPr>
        <w:pStyle w:val="TextoNormalNegritaCursivandice"/>
      </w:pPr>
      <w:r>
        <w:t>Ley Foral del Parlamento de Navarra 16/2000, de 29 de diciembre. Modifica la Ley Foral 10/1999, de 6 de abril, por la que se declara Parque natural las Bardenas Reales de Navarra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2" w:history="1">
        <w:r w:rsidRPr="0043655B">
          <w:rPr>
            <w:rStyle w:val="TextoNormalCaracter"/>
          </w:rPr>
          <w:t>82/2012</w:t>
        </w:r>
      </w:hyperlink>
      <w:r>
        <w:t>.</w:t>
      </w:r>
    </w:p>
    <w:p w:rsidR="0043655B" w:rsidRDefault="0043655B" w:rsidP="0043655B">
      <w:pPr>
        <w:pStyle w:val="SangriaFrancesaArticulo"/>
      </w:pPr>
    </w:p>
    <w:p w:rsidR="0043655B" w:rsidRDefault="0043655B" w:rsidP="0043655B">
      <w:pPr>
        <w:pStyle w:val="TextoNormalNegritaCursivandice"/>
      </w:pPr>
      <w:r>
        <w:t>Ley Foral del Parlamento de Navarra 7/2011, de 24 de marzo. Modifica el texto refundido del Estatuto del Personal al servicio de las Administraciones Públicas de Navarra.</w:t>
      </w:r>
    </w:p>
    <w:p w:rsidR="0043655B" w:rsidRDefault="0043655B" w:rsidP="0043655B">
      <w:pPr>
        <w:pStyle w:val="SangriaFrancesaArticulo"/>
      </w:pPr>
      <w:r w:rsidRPr="0043655B">
        <w:rPr>
          <w:rStyle w:val="TextoNormalNegritaCaracter"/>
        </w:rPr>
        <w:t>Artículo único, apartado 4.</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Disposición adicional única.</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Disposición transitoria primera.</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B.12) País Vasco</w:t>
      </w:r>
    </w:p>
    <w:p w:rsidR="0043655B" w:rsidRDefault="0043655B" w:rsidP="0043655B">
      <w:pPr>
        <w:pStyle w:val="TextoNormalNegritaCentrado"/>
      </w:pPr>
    </w:p>
    <w:p w:rsidR="0043655B" w:rsidRDefault="0043655B" w:rsidP="0043655B">
      <w:pPr>
        <w:pStyle w:val="TextoNormalNegritaCursivandice"/>
      </w:pPr>
      <w:r>
        <w:t>Ley del Parlamento Vasco 11/1994, de 17 de junio. Ordenación Farmacéutica de la Comunidad Autónoma del País Vasco</w:t>
      </w:r>
    </w:p>
    <w:p w:rsidR="0043655B" w:rsidRDefault="0043655B" w:rsidP="0043655B">
      <w:pPr>
        <w:pStyle w:val="SangriaFrancesaArticulo"/>
      </w:pPr>
      <w:r w:rsidRPr="0043655B">
        <w:rPr>
          <w:rStyle w:val="TextoNormalNegritaCaracter"/>
        </w:rPr>
        <w:t>Artículo 34.2 párrafo 2 inciso sobre farmacéuticos de más de sesenta y cinco años.</w:t>
      </w:r>
      <w:r w:rsidRPr="0043655B">
        <w:rPr>
          <w:rStyle w:val="TextoNormalCaracter"/>
        </w:rPr>
        <w:t>-</w:t>
      </w:r>
      <w:r>
        <w:t xml:space="preserve"> Sentencia </w:t>
      </w:r>
      <w:hyperlink w:anchor="SENTENCIA_2012_78" w:history="1">
        <w:r w:rsidRPr="0043655B">
          <w:rPr>
            <w:rStyle w:val="TextoNormalCaracter"/>
          </w:rPr>
          <w:t>78/2012</w:t>
        </w:r>
      </w:hyperlink>
      <w:r>
        <w:t xml:space="preserve"> (anula).</w:t>
      </w:r>
    </w:p>
    <w:p w:rsidR="0043655B" w:rsidRDefault="0043655B" w:rsidP="0043655B">
      <w:pPr>
        <w:pStyle w:val="SangriaFrancesaArticulo"/>
      </w:pPr>
    </w:p>
    <w:p w:rsidR="0043655B" w:rsidRDefault="0043655B" w:rsidP="0043655B">
      <w:pPr>
        <w:pStyle w:val="TextoNormalNegritaCursivandice"/>
      </w:pPr>
      <w:r>
        <w:t>Ley del Parlamento Vasco 14/1998, de 11 de junio. Deporte</w:t>
      </w:r>
    </w:p>
    <w:p w:rsidR="0043655B" w:rsidRDefault="0043655B" w:rsidP="0043655B">
      <w:pPr>
        <w:pStyle w:val="SangriaFrancesaArticulo"/>
      </w:pPr>
      <w:r w:rsidRPr="0043655B">
        <w:rPr>
          <w:rStyle w:val="TextoNormalNegritaCaracter"/>
        </w:rPr>
        <w:t>Artículo 16.6.</w:t>
      </w:r>
      <w:r w:rsidRPr="0043655B">
        <w:rPr>
          <w:rStyle w:val="TextoNormalCaracter"/>
        </w:rPr>
        <w:t>-</w:t>
      </w:r>
      <w:r>
        <w:t xml:space="preserve"> Sentencia </w:t>
      </w:r>
      <w:hyperlink w:anchor="SENTENCIA_2012_80" w:history="1">
        <w:r w:rsidRPr="0043655B">
          <w:rPr>
            <w:rStyle w:val="TextoNormalCaracter"/>
          </w:rPr>
          <w:t>80/2012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B.13) Valencia</w:t>
      </w:r>
    </w:p>
    <w:p w:rsidR="0043655B" w:rsidRDefault="0043655B" w:rsidP="0043655B">
      <w:pPr>
        <w:pStyle w:val="TextoNormalNegritaCentrado"/>
      </w:pPr>
    </w:p>
    <w:p w:rsidR="0043655B" w:rsidRDefault="0043655B" w:rsidP="0043655B">
      <w:pPr>
        <w:pStyle w:val="TextoNormalNegritaCursivandice"/>
      </w:pPr>
      <w:r>
        <w:t>Ley de las Cortes Valencianas 16/2008, de 22 de diciembre. Medidas fiscales, de gestión administrativa y financiera y de organización de la Generalidad</w:t>
      </w:r>
    </w:p>
    <w:p w:rsidR="0043655B" w:rsidRDefault="0043655B" w:rsidP="0043655B">
      <w:pPr>
        <w:pStyle w:val="SangriaFrancesaArticulo"/>
      </w:pPr>
      <w:r w:rsidRPr="0043655B">
        <w:rPr>
          <w:rStyle w:val="TextoNormalNegritaCaracter"/>
        </w:rPr>
        <w:t>Artículo 14 en cuanto suprime el inciso sobre adscripción del asegurado o beneficiario al Sistema Nacional de Salud.</w:t>
      </w:r>
      <w:r w:rsidRPr="0043655B">
        <w:rPr>
          <w:rStyle w:val="TextoNormalCaracter"/>
        </w:rPr>
        <w:t>-</w:t>
      </w:r>
      <w:r>
        <w:t xml:space="preserve"> Sentencia </w:t>
      </w:r>
      <w:hyperlink w:anchor="SENTENCIA_2012_136" w:history="1">
        <w:r w:rsidRPr="0043655B">
          <w:rPr>
            <w:rStyle w:val="TextoNormalCaracter"/>
          </w:rPr>
          <w:t>136/2012</w:t>
        </w:r>
      </w:hyperlink>
      <w:r>
        <w:t xml:space="preserve"> (anula).</w:t>
      </w:r>
    </w:p>
    <w:p w:rsidR="0043655B" w:rsidRDefault="0043655B" w:rsidP="0043655B">
      <w:pPr>
        <w:pStyle w:val="SangriaFrancesaArticulo"/>
      </w:pPr>
      <w:r w:rsidRPr="0043655B">
        <w:rPr>
          <w:rStyle w:val="TextoNormalNegritaCaracter"/>
        </w:rPr>
        <w:lastRenderedPageBreak/>
        <w:t>Artículo 15 en cuanto al último párrafo del artículo 172.2.1 del Decreto Legislativo 1/2005.</w:t>
      </w:r>
      <w:r w:rsidRPr="0043655B">
        <w:rPr>
          <w:rStyle w:val="TextoNormalCaracter"/>
        </w:rPr>
        <w:t>-</w:t>
      </w:r>
      <w:r>
        <w:t xml:space="preserve"> Sentencia </w:t>
      </w:r>
      <w:hyperlink w:anchor="SENTENCIA_2012_136" w:history="1">
        <w:r w:rsidRPr="0043655B">
          <w:rPr>
            <w:rStyle w:val="TextoNormalCaracter"/>
          </w:rPr>
          <w:t>136/2012</w:t>
        </w:r>
      </w:hyperlink>
      <w:r>
        <w:t xml:space="preserve"> (anula).</w:t>
      </w:r>
    </w:p>
    <w:p w:rsidR="0043655B" w:rsidRDefault="0043655B">
      <w:pPr>
        <w:spacing w:after="160" w:line="259" w:lineRule="auto"/>
        <w:rPr>
          <w:rFonts w:ascii="Times New Roman" w:eastAsia="Times New Roman" w:hAnsi="Times New Roman" w:cs="Times New Roman"/>
          <w:sz w:val="24"/>
          <w:szCs w:val="24"/>
          <w:lang w:eastAsia="es-ES"/>
        </w:rPr>
      </w:pPr>
      <w:r>
        <w:br w:type="page"/>
      </w:r>
    </w:p>
    <w:p w:rsidR="0043655B" w:rsidRDefault="0043655B" w:rsidP="0043655B">
      <w:pPr>
        <w:pStyle w:val="SangriaFrancesaArticulo"/>
      </w:pPr>
    </w:p>
    <w:p w:rsidR="0043655B" w:rsidRDefault="0043655B" w:rsidP="0043655B">
      <w:pPr>
        <w:pStyle w:val="TextoNormal"/>
      </w:pPr>
    </w:p>
    <w:p w:rsidR="0043655B" w:rsidRDefault="0043655B" w:rsidP="0043655B">
      <w:pPr>
        <w:pStyle w:val="TextoNormal"/>
      </w:pPr>
    </w:p>
    <w:p w:rsidR="0043655B" w:rsidRDefault="0043655B" w:rsidP="0043655B">
      <w:pPr>
        <w:pStyle w:val="TextoNormal"/>
      </w:pPr>
    </w:p>
    <w:p w:rsidR="00970E95" w:rsidRDefault="0043655B" w:rsidP="0043655B">
      <w:pPr>
        <w:pStyle w:val="Ttulondice"/>
        <w:suppressAutoHyphens/>
      </w:pPr>
      <w:r>
        <w:t xml:space="preserve">4. ÍNDICE DE </w:t>
      </w:r>
      <w:r w:rsidR="00970E95" w:rsidRPr="00970E95">
        <w:t xml:space="preserve">DISPOSICIONES </w:t>
      </w:r>
    </w:p>
    <w:p w:rsidR="0043655B" w:rsidRDefault="00970E95" w:rsidP="0043655B">
      <w:pPr>
        <w:pStyle w:val="Ttulondice"/>
        <w:suppressAutoHyphens/>
      </w:pPr>
      <w:r w:rsidRPr="00970E95">
        <w:t>GENERALES IMPUGNADAS</w:t>
      </w: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pPr>
    </w:p>
    <w:p w:rsidR="0043655B" w:rsidRDefault="0043655B" w:rsidP="0043655B">
      <w:pPr>
        <w:pStyle w:val="TextoNormal"/>
      </w:pPr>
      <w:bookmarkStart w:id="279" w:name="INDICE22803"/>
      <w:bookmarkEnd w:id="279"/>
    </w:p>
    <w:p w:rsidR="0043655B" w:rsidRDefault="0043655B" w:rsidP="0043655B">
      <w:pPr>
        <w:pStyle w:val="TextoIndiceNivel2"/>
        <w:suppressAutoHyphens/>
      </w:pPr>
      <w:r>
        <w:t>A) Disposiciones del Estado</w:t>
      </w:r>
    </w:p>
    <w:p w:rsidR="0043655B" w:rsidRDefault="0043655B" w:rsidP="0043655B">
      <w:pPr>
        <w:pStyle w:val="TextoIndiceNivel2"/>
      </w:pPr>
    </w:p>
    <w:p w:rsidR="0043655B" w:rsidRDefault="0043655B" w:rsidP="0043655B">
      <w:pPr>
        <w:pStyle w:val="TextoNormalNegritaCursivandice"/>
      </w:pPr>
      <w:r>
        <w:t>Real Decreto 844/1999, de 21 de mayo. Autorización de explotación de una lotería instantánea o presorteada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2" w:history="1">
        <w:r w:rsidRPr="0043655B">
          <w:rPr>
            <w:rStyle w:val="TextoNormalCaracter"/>
          </w:rPr>
          <w:t>32/2012</w:t>
        </w:r>
      </w:hyperlink>
      <w:r>
        <w:t>.</w:t>
      </w:r>
    </w:p>
    <w:p w:rsidR="0043655B" w:rsidRDefault="0043655B" w:rsidP="0043655B">
      <w:pPr>
        <w:pStyle w:val="SangriaIzquierdaArticulo"/>
      </w:pPr>
      <w:r>
        <w:t xml:space="preserve">Auto </w:t>
      </w:r>
      <w:hyperlink w:anchor="AUTO_2012_45" w:history="1">
        <w:r w:rsidRPr="0043655B">
          <w:rPr>
            <w:rStyle w:val="TextoNormalCaracter"/>
          </w:rPr>
          <w:t>45/2012</w:t>
        </w:r>
      </w:hyperlink>
      <w:r>
        <w:t>.</w:t>
      </w:r>
    </w:p>
    <w:p w:rsidR="0043655B" w:rsidRDefault="0043655B" w:rsidP="0043655B">
      <w:pPr>
        <w:pStyle w:val="SangriaIzquierdaArticulo"/>
      </w:pPr>
    </w:p>
    <w:p w:rsidR="0043655B" w:rsidRDefault="0043655B" w:rsidP="0043655B">
      <w:pPr>
        <w:pStyle w:val="TextoNormalNegritaCursivandice"/>
      </w:pPr>
      <w:r>
        <w:t>Real Decreto 117/2001, de 9 de febrero. Normativa básica de fomento de las inversiones para la mejora de las condiciones de transformación y comercialización de los productos agrarios, silvícolas y de la alimentación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9" w:history="1">
        <w:r w:rsidRPr="0043655B">
          <w:rPr>
            <w:rStyle w:val="TextoNormalCaracter"/>
          </w:rPr>
          <w:t>99/2012</w:t>
        </w:r>
      </w:hyperlink>
      <w:r>
        <w:t>.</w:t>
      </w:r>
    </w:p>
    <w:p w:rsidR="0043655B" w:rsidRDefault="0043655B" w:rsidP="0043655B">
      <w:pPr>
        <w:pStyle w:val="SangriaFrancesaArticulo"/>
      </w:pPr>
    </w:p>
    <w:p w:rsidR="0043655B" w:rsidRDefault="0043655B" w:rsidP="0043655B">
      <w:pPr>
        <w:pStyle w:val="TextoNormalNegritaCursivandice"/>
      </w:pPr>
      <w:r>
        <w:t>Real Decreto 716/2005, de 20 de junio. Funcionamiento de apuestas hípicas externas de ámbito nacional y autoriza su explotación</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123" w:history="1">
        <w:r w:rsidRPr="0043655B">
          <w:rPr>
            <w:rStyle w:val="TextoNormalCaracter"/>
          </w:rPr>
          <w:t>123/2012</w:t>
        </w:r>
      </w:hyperlink>
      <w:r>
        <w:t>.</w:t>
      </w:r>
    </w:p>
    <w:p w:rsidR="0043655B" w:rsidRDefault="0043655B" w:rsidP="0043655B">
      <w:pPr>
        <w:pStyle w:val="SangriaFrancesaArticulo"/>
      </w:pPr>
    </w:p>
    <w:p w:rsidR="0043655B" w:rsidRDefault="0043655B" w:rsidP="0043655B">
      <w:pPr>
        <w:pStyle w:val="TextoNormalNegritaCursivandice"/>
      </w:pPr>
      <w:r>
        <w:t>Real Decreto 1336/2005, de 11 de noviembre. Autorización a la Organización Nacional de Ciegos Españoles de la explotación de una lotería instantánea o presorteada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2" w:history="1">
        <w:r w:rsidRPr="0043655B">
          <w:rPr>
            <w:rStyle w:val="TextoNormalCaracter"/>
          </w:rPr>
          <w:t>32/2012</w:t>
        </w:r>
      </w:hyperlink>
      <w:r>
        <w:t xml:space="preserve">; </w:t>
      </w:r>
      <w:hyperlink w:anchor="SENTENCIA_2012_133" w:history="1">
        <w:r w:rsidRPr="0043655B">
          <w:rPr>
            <w:rStyle w:val="TextoNormalCaracter"/>
          </w:rPr>
          <w:t>133/2012</w:t>
        </w:r>
      </w:hyperlink>
      <w:r>
        <w:t xml:space="preserve">; </w:t>
      </w:r>
      <w:hyperlink w:anchor="SENTENCIA_2012_134" w:history="1">
        <w:r w:rsidRPr="0043655B">
          <w:rPr>
            <w:rStyle w:val="TextoNormalCaracter"/>
          </w:rPr>
          <w:t>134/2012</w:t>
        </w:r>
      </w:hyperlink>
      <w:r>
        <w:t>.</w:t>
      </w:r>
    </w:p>
    <w:p w:rsidR="0043655B" w:rsidRDefault="0043655B" w:rsidP="0043655B">
      <w:pPr>
        <w:pStyle w:val="SangriaIzquierdaArticulo"/>
      </w:pPr>
      <w:r>
        <w:t xml:space="preserve">Auto </w:t>
      </w:r>
      <w:hyperlink w:anchor="AUTO_2012_45" w:history="1">
        <w:r w:rsidRPr="0043655B">
          <w:rPr>
            <w:rStyle w:val="TextoNormalCaracter"/>
          </w:rPr>
          <w:t>45/2012</w:t>
        </w:r>
      </w:hyperlink>
      <w:r>
        <w:t>.</w:t>
      </w:r>
    </w:p>
    <w:p w:rsidR="0043655B" w:rsidRDefault="0043655B" w:rsidP="0043655B">
      <w:pPr>
        <w:pStyle w:val="SangriaIzquierdaArticulo"/>
      </w:pPr>
    </w:p>
    <w:p w:rsidR="0043655B" w:rsidRDefault="0043655B" w:rsidP="0043655B">
      <w:pPr>
        <w:pStyle w:val="TextoNormalNegritaCursivandice"/>
      </w:pPr>
      <w:r>
        <w:lastRenderedPageBreak/>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w:t>
      </w:r>
    </w:p>
    <w:p w:rsidR="0043655B" w:rsidRDefault="0043655B" w:rsidP="0043655B">
      <w:pPr>
        <w:pStyle w:val="SangriaFrancesaArticulo"/>
      </w:pPr>
    </w:p>
    <w:p w:rsidR="0043655B" w:rsidRDefault="0043655B" w:rsidP="0043655B">
      <w:pPr>
        <w:pStyle w:val="TextoNormalNegritaCursivandice"/>
      </w:pPr>
      <w:r>
        <w:t>Real Decreto 1472/2007, de 2 de noviembre. Regulación de la renta básica de emancipación de los jóvenes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2" w:history="1">
        <w:r w:rsidRPr="0043655B">
          <w:rPr>
            <w:rStyle w:val="TextoNormalCaracter"/>
          </w:rPr>
          <w:t>72/2012</w:t>
        </w:r>
      </w:hyperlink>
      <w:r>
        <w:t>.</w:t>
      </w:r>
    </w:p>
    <w:p w:rsidR="0043655B" w:rsidRDefault="0043655B" w:rsidP="0043655B">
      <w:pPr>
        <w:pStyle w:val="SangriaFrancesaArticulo"/>
      </w:pPr>
      <w:r w:rsidRPr="0043655B">
        <w:rPr>
          <w:rStyle w:val="TextoNormalNegritaCaracter"/>
        </w:rPr>
        <w:t>Artículo 3.3 a).</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3.4 inciso sobre comunicación al Ministerio de la Vivienda.</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3.4 inciso sobre y lo comunique al Ministerio de la Vivienda.</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3.6</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xml:space="preserve"> (anula).</w:t>
      </w:r>
    </w:p>
    <w:p w:rsidR="0043655B" w:rsidRDefault="0043655B" w:rsidP="0043655B">
      <w:pPr>
        <w:pStyle w:val="SangriaFrancesaArticulo"/>
      </w:pPr>
      <w:r w:rsidRPr="0043655B">
        <w:rPr>
          <w:rStyle w:val="TextoNormalNegritaCaracter"/>
        </w:rPr>
        <w:t>Artículo 4 apartados 1, 3 a 6.</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4.6</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xml:space="preserve"> (anula).</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r w:rsidRPr="0043655B">
        <w:rPr>
          <w:rStyle w:val="TextoNormalNegritaCaracter"/>
        </w:rPr>
        <w:t>Disposición final segunda.</w:t>
      </w:r>
      <w:r w:rsidRPr="0043655B">
        <w:rPr>
          <w:rStyle w:val="TextoNormalCaracter"/>
        </w:rPr>
        <w:t>-</w:t>
      </w:r>
      <w:r>
        <w:t xml:space="preserve"> Sentencia </w:t>
      </w:r>
      <w:hyperlink w:anchor="SENTENCIA_2012_36" w:history="1">
        <w:r w:rsidRPr="0043655B">
          <w:rPr>
            <w:rStyle w:val="TextoNormalCaracter"/>
          </w:rPr>
          <w:t>36/2012</w:t>
        </w:r>
      </w:hyperlink>
      <w:r>
        <w:t xml:space="preserve"> (anula).</w:t>
      </w:r>
    </w:p>
    <w:p w:rsidR="0043655B" w:rsidRDefault="0043655B" w:rsidP="0043655B">
      <w:pPr>
        <w:pStyle w:val="SangriaFrancesaArticulo"/>
      </w:pPr>
    </w:p>
    <w:p w:rsidR="0043655B" w:rsidRDefault="0043655B" w:rsidP="0043655B">
      <w:pPr>
        <w:pStyle w:val="TextoNormalNegritaCursivandice"/>
      </w:pPr>
      <w:r>
        <w:t>Resolución de 13 de marzo de 2008, del Instituto Nacional de las Artes Escénicas y de la Música. Convocatoria de ayudas para 2008, dentro del programa de espacios escénicos de nueva generación</w:t>
      </w:r>
    </w:p>
    <w:p w:rsidR="0043655B" w:rsidRDefault="0043655B" w:rsidP="0043655B">
      <w:pPr>
        <w:pStyle w:val="SangriaFrancesaArticulo"/>
      </w:pPr>
      <w:r w:rsidRPr="0043655B">
        <w:rPr>
          <w:rStyle w:val="TextoNormalNegritaCaracter"/>
        </w:rPr>
        <w:t>Artículos 5, 7 a 9, 11, 12, 14, 15.</w:t>
      </w:r>
      <w:r w:rsidRPr="0043655B">
        <w:rPr>
          <w:rStyle w:val="TextoNormalCaracter"/>
        </w:rPr>
        <w:t>-</w:t>
      </w:r>
      <w:r>
        <w:t xml:space="preserve"> Sentencia </w:t>
      </w:r>
      <w:hyperlink w:anchor="SENTENCIA_2012_89" w:history="1">
        <w:r w:rsidRPr="0043655B">
          <w:rPr>
            <w:rStyle w:val="TextoNormalCaracter"/>
          </w:rPr>
          <w:t>89/2012</w:t>
        </w:r>
      </w:hyperlink>
      <w:r>
        <w:t xml:space="preserve"> (delimita).</w:t>
      </w:r>
    </w:p>
    <w:p w:rsidR="0043655B" w:rsidRDefault="0043655B" w:rsidP="0043655B">
      <w:pPr>
        <w:pStyle w:val="SangriaFrancesaArticulo"/>
      </w:pPr>
    </w:p>
    <w:p w:rsidR="0043655B" w:rsidRDefault="0043655B" w:rsidP="0043655B">
      <w:pPr>
        <w:pStyle w:val="TextoNormalNegritaCursivandice"/>
      </w:pPr>
      <w:r>
        <w:t>Real Decreto 366/2009, de 20 de marzo. Modificación del Real Decreto 1472/2007, de 2 de noviembre, por el que se regula la renta básica de emancipación de los jóvenes</w:t>
      </w:r>
    </w:p>
    <w:p w:rsidR="0043655B" w:rsidRDefault="0043655B" w:rsidP="0043655B">
      <w:pPr>
        <w:pStyle w:val="SangriaFrancesaArticulo"/>
      </w:pPr>
      <w:r w:rsidRPr="0043655B">
        <w:rPr>
          <w:rStyle w:val="TextoNormalNegritaCaracter"/>
        </w:rPr>
        <w:t>Artículo único, apartados 3 a 5.</w:t>
      </w:r>
      <w:r w:rsidRPr="0043655B">
        <w:rPr>
          <w:rStyle w:val="TextoNormalCaracter"/>
        </w:rPr>
        <w:t>-</w:t>
      </w:r>
      <w:r>
        <w:t xml:space="preserve"> Sentencia </w:t>
      </w:r>
      <w:hyperlink w:anchor="SENTENCIA_2012_73" w:history="1">
        <w:r w:rsidRPr="0043655B">
          <w:rPr>
            <w:rStyle w:val="TextoNormalCaracter"/>
          </w:rPr>
          <w:t>73/2012</w:t>
        </w:r>
      </w:hyperlink>
      <w:r>
        <w:t xml:space="preserve"> (anula).</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73" w:history="1">
        <w:r w:rsidRPr="0043655B">
          <w:rPr>
            <w:rStyle w:val="TextoNormalCaracter"/>
          </w:rPr>
          <w:t>73/2012</w:t>
        </w:r>
      </w:hyperlink>
      <w:r>
        <w:t xml:space="preserve"> (anula).</w:t>
      </w:r>
    </w:p>
    <w:p w:rsidR="0043655B" w:rsidRDefault="0043655B" w:rsidP="0043655B">
      <w:pPr>
        <w:pStyle w:val="SangriaFrancesaArticulo"/>
      </w:pPr>
    </w:p>
    <w:p w:rsidR="0043655B" w:rsidRDefault="0043655B" w:rsidP="0043655B">
      <w:pPr>
        <w:pStyle w:val="TextoNormalNegritaCursivandice"/>
      </w:pPr>
      <w:r>
        <w:t>Real Decreto 1260/2010, de 8 de octubre. Modificación del Real Decreto 1472/2007, de 2 de noviembre, por el que se regula la renta básica de emancipación de los jóvenes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7" w:history="1">
        <w:r w:rsidRPr="0043655B">
          <w:rPr>
            <w:rStyle w:val="TextoNormalCaracter"/>
          </w:rPr>
          <w:t>77/2012</w:t>
        </w:r>
      </w:hyperlink>
      <w:r>
        <w:t>.</w:t>
      </w:r>
    </w:p>
    <w:p w:rsidR="0043655B" w:rsidRDefault="0043655B" w:rsidP="0043655B">
      <w:pPr>
        <w:pStyle w:val="SangriaFrancesaArticulo"/>
      </w:pPr>
    </w:p>
    <w:p w:rsidR="0043655B" w:rsidRDefault="0043655B" w:rsidP="0043655B">
      <w:pPr>
        <w:pStyle w:val="TextoNormalNegritaCursivandice"/>
      </w:pPr>
      <w:r>
        <w:t>Acuerdo del Pleno del Congreso de los Diputados, de 16 de diciembre de 2010. Autorización de la prórroga del estado de alarma declarado por Real Decreto 1673/2010, de 4 de diciembre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p>
    <w:p w:rsidR="0043655B" w:rsidRDefault="0043655B" w:rsidP="0043655B">
      <w:pPr>
        <w:pStyle w:val="TextoNormalNegritaCursivandice"/>
      </w:pPr>
      <w:r>
        <w:t>Acuerdo de la Mesa del Congreso de los Diputados de 30 de agosto de 2011. Dispone la tramitación por el procedimiento de urgencia de la proposición de reforma del artículo 135 de la Constitución Española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p>
    <w:p w:rsidR="0043655B" w:rsidRDefault="0043655B" w:rsidP="0043655B">
      <w:pPr>
        <w:pStyle w:val="TextoNormalNegritaCursivandice"/>
      </w:pPr>
      <w:r>
        <w:t>Acuerdo del Pleno del Congreso de los Diputados de 30 de agosto de 2011. Toma en consideración la proposición de reforma del artículo 135 de la Constitución Española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p>
    <w:p w:rsidR="0043655B" w:rsidRDefault="0043655B" w:rsidP="0043655B">
      <w:pPr>
        <w:pStyle w:val="TextoNormalNegritaCursivandice"/>
      </w:pPr>
      <w:r>
        <w:t>Acuerdo de la Mesa del Congreso de los Diputados de 1 de septiembre de 2011. Inadmisión enmienda a la totalidad del texto alternativo y su ulterior confirmación por acuerdo de 2 de septiembre de 2011</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p>
    <w:p w:rsidR="0043655B" w:rsidRDefault="0043655B" w:rsidP="0043655B">
      <w:pPr>
        <w:pStyle w:val="TextoNormalNegritaCursivandice"/>
      </w:pPr>
      <w:r>
        <w:t>Acuerdo de la Mesa del Congreso de los Diputados de 2 de septiembre de 2011. Desestimación de la reconsideración de los acuerdos adoptados el 30 de agosto de 2011</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TextoNormal"/>
      </w:pPr>
    </w:p>
    <w:p w:rsidR="0043655B" w:rsidRDefault="0043655B" w:rsidP="0043655B">
      <w:pPr>
        <w:pStyle w:val="SangriaFrancesaArticulo"/>
      </w:pPr>
      <w:bookmarkStart w:id="280" w:name="INDICE22824"/>
    </w:p>
    <w:bookmarkEnd w:id="280"/>
    <w:p w:rsidR="0043655B" w:rsidRDefault="0043655B" w:rsidP="0043655B">
      <w:pPr>
        <w:pStyle w:val="TextoIndiceNivel2"/>
        <w:suppressAutoHyphens/>
      </w:pPr>
      <w:r>
        <w:t>B) Disposiciones de las Comunidades y Ciudades Autónomas</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B.1) Aragón</w:t>
      </w:r>
    </w:p>
    <w:p w:rsidR="0043655B" w:rsidRDefault="0043655B" w:rsidP="0043655B">
      <w:pPr>
        <w:pStyle w:val="TextoNormalNegritaCentrado"/>
      </w:pPr>
    </w:p>
    <w:p w:rsidR="0043655B" w:rsidRDefault="0043655B" w:rsidP="0043655B">
      <w:pPr>
        <w:pStyle w:val="TextoNormalNegritaCursivandice"/>
      </w:pPr>
      <w:r>
        <w:t>Orden del Consejero de Educación y Cultura de la Diputación General de Aragón, de 8 de agosto de 1997. Derecho de retracto sobre determinados bienes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xml:space="preserve"> (anula).</w:t>
      </w:r>
    </w:p>
    <w:p w:rsidR="0043655B" w:rsidRDefault="0043655B" w:rsidP="0043655B">
      <w:pPr>
        <w:pStyle w:val="SangriaFrancesaArticulo"/>
      </w:pPr>
    </w:p>
    <w:p w:rsidR="0043655B" w:rsidRDefault="0043655B" w:rsidP="0043655B">
      <w:pPr>
        <w:pStyle w:val="TextoNormalNegritaCursivandice"/>
      </w:pPr>
      <w:r>
        <w:t>Orden del Consejero de Educación y Cultura de la Diputación General de Aragón, de 10 de febrero de 1998. Derecho de retracto sobre determinados bienes adquiridos por la Generalidad de Cataluña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xml:space="preserve"> (anula).</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B.2) Cataluña</w:t>
      </w:r>
    </w:p>
    <w:p w:rsidR="0043655B" w:rsidRDefault="0043655B" w:rsidP="0043655B">
      <w:pPr>
        <w:pStyle w:val="TextoNormalNegritaCentrado"/>
      </w:pPr>
    </w:p>
    <w:p w:rsidR="0043655B" w:rsidRDefault="0043655B" w:rsidP="0043655B">
      <w:pPr>
        <w:pStyle w:val="TextoNormalNegritaCursivandice"/>
      </w:pPr>
      <w:r>
        <w:t>Estatutos del Colegio de censores jurados de cuentas de Cataluña aprobados en asamblea general extraordinaria de 1 de septiembre de 1999</w:t>
      </w:r>
    </w:p>
    <w:p w:rsidR="0043655B" w:rsidRDefault="0043655B" w:rsidP="0043655B">
      <w:pPr>
        <w:pStyle w:val="SangriaFrancesaArticulo"/>
      </w:pPr>
      <w:r w:rsidRPr="0043655B">
        <w:rPr>
          <w:rStyle w:val="TextoNormalNegritaCaracter"/>
        </w:rPr>
        <w:t>Artículos 3.1, 5, 32, 48, 57, 75.</w:t>
      </w:r>
      <w:r w:rsidRPr="0043655B">
        <w:rPr>
          <w:rStyle w:val="TextoNormalCaracter"/>
        </w:rPr>
        <w:t>-</w:t>
      </w:r>
      <w:r>
        <w:t xml:space="preserve"> Sentencia </w:t>
      </w:r>
      <w:hyperlink w:anchor="SENTENCIA_2012_33" w:history="1">
        <w:r w:rsidRPr="0043655B">
          <w:rPr>
            <w:rStyle w:val="TextoNormalCaracter"/>
          </w:rPr>
          <w:t>33/2012</w:t>
        </w:r>
      </w:hyperlink>
      <w:r>
        <w:t xml:space="preserve"> (interpreta).</w:t>
      </w:r>
    </w:p>
    <w:p w:rsidR="0043655B" w:rsidRDefault="0043655B" w:rsidP="0043655B">
      <w:pPr>
        <w:pStyle w:val="SangriaFrancesaArticulo"/>
      </w:pPr>
    </w:p>
    <w:p w:rsidR="0043655B" w:rsidRDefault="0043655B" w:rsidP="0043655B">
      <w:pPr>
        <w:pStyle w:val="TextoNormalNegritaCursivandice"/>
      </w:pPr>
      <w:r>
        <w:lastRenderedPageBreak/>
        <w:t>Resolución del Departamento de Justicia de la Generalidad de Cataluña, de 13 de octubre de 1999. Inscripción en el Registro de colegios profesionales de la Generalidad de Cataluña de los estatutos del Colegio de censores jurados de cuentas de Cataluña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B.3) Madrid</w:t>
      </w:r>
    </w:p>
    <w:p w:rsidR="0043655B" w:rsidRDefault="0043655B" w:rsidP="0043655B">
      <w:pPr>
        <w:pStyle w:val="TextoNormalNegritaCentrado"/>
      </w:pPr>
    </w:p>
    <w:p w:rsidR="0043655B" w:rsidRDefault="0043655B" w:rsidP="0043655B">
      <w:pPr>
        <w:pStyle w:val="TextoNormalNegritaCursivandice"/>
      </w:pPr>
      <w:r>
        <w:t>Resoluciones de la Consejería de Transportes e Infraestructuras de la Comunidad de Madrid, de 17 de noviembre de 2005. Concurso para contratar la consultoría y asistencia del anteproyecto de la nueva carretera R-1 y "Cierre norte de la M-50"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2" w:history="1">
        <w:r w:rsidRPr="0043655B">
          <w:rPr>
            <w:rStyle w:val="TextoNormalCaracter"/>
          </w:rPr>
          <w:t>112/2012</w:t>
        </w:r>
      </w:hyperlink>
      <w:r>
        <w:t xml:space="preserve"> (declara vulnerado el orden competencial).</w:t>
      </w:r>
    </w:p>
    <w:p w:rsidR="0043655B" w:rsidRDefault="0043655B" w:rsidP="0043655B">
      <w:pPr>
        <w:pStyle w:val="SangriaFrancesaArticulo"/>
      </w:pPr>
    </w:p>
    <w:p w:rsidR="0043655B" w:rsidRDefault="0043655B" w:rsidP="0043655B">
      <w:pPr>
        <w:pStyle w:val="TextoNormalNegritaCursivandice"/>
      </w:pPr>
      <w:r>
        <w:t>Resoluciones de la Consejería de Transportes e Infraestructuras de la Comunidad de Madrid, de 9 de febrero de 2006. Concurso para contratar la nueva carretera R-1 y "Cierre norte de la M-50"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4" w:history="1">
        <w:r w:rsidRPr="0043655B">
          <w:rPr>
            <w:rStyle w:val="TextoNormalCaracter"/>
          </w:rPr>
          <w:t>124/2012</w:t>
        </w:r>
      </w:hyperlink>
      <w:r>
        <w:t>.</w:t>
      </w:r>
    </w:p>
    <w:p w:rsidR="0043655B" w:rsidRDefault="0043655B">
      <w:pPr>
        <w:spacing w:after="160" w:line="259" w:lineRule="auto"/>
        <w:rPr>
          <w:rFonts w:ascii="Times New Roman" w:eastAsia="Times New Roman" w:hAnsi="Times New Roman" w:cs="Times New Roman"/>
          <w:sz w:val="24"/>
          <w:szCs w:val="24"/>
          <w:lang w:eastAsia="es-ES"/>
        </w:rPr>
      </w:pPr>
      <w:r>
        <w:br w:type="page"/>
      </w:r>
    </w:p>
    <w:p w:rsidR="0043655B" w:rsidRDefault="0043655B" w:rsidP="0043655B">
      <w:pPr>
        <w:pStyle w:val="SangriaFrancesaArticulo"/>
      </w:pPr>
    </w:p>
    <w:p w:rsidR="0043655B" w:rsidRDefault="0043655B" w:rsidP="0043655B">
      <w:pPr>
        <w:pStyle w:val="TextoNormal"/>
      </w:pPr>
    </w:p>
    <w:p w:rsidR="0043655B" w:rsidRDefault="0043655B" w:rsidP="0043655B">
      <w:pPr>
        <w:pStyle w:val="TextoNormal"/>
      </w:pPr>
    </w:p>
    <w:p w:rsidR="0043655B" w:rsidRDefault="0043655B" w:rsidP="0043655B">
      <w:pPr>
        <w:pStyle w:val="TextoNormal"/>
      </w:pPr>
    </w:p>
    <w:p w:rsidR="0043655B" w:rsidRDefault="0043655B" w:rsidP="0043655B">
      <w:pPr>
        <w:pStyle w:val="Ttulondice"/>
        <w:suppressAutoHyphens/>
      </w:pPr>
      <w:r>
        <w:t>5. ÍNDICE DE DISPOSICIONES CITADAS</w:t>
      </w: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pPr>
    </w:p>
    <w:p w:rsidR="0043655B" w:rsidRDefault="0043655B" w:rsidP="0043655B">
      <w:pPr>
        <w:pStyle w:val="TextoNormal"/>
      </w:pPr>
      <w:bookmarkStart w:id="281" w:name="INDICE22804"/>
      <w:bookmarkEnd w:id="281"/>
    </w:p>
    <w:p w:rsidR="0043655B" w:rsidRDefault="0043655B" w:rsidP="0043655B">
      <w:pPr>
        <w:pStyle w:val="TextoIndiceNivel2"/>
        <w:suppressAutoHyphens/>
      </w:pPr>
      <w:r>
        <w:t>A) Constitución</w:t>
      </w:r>
    </w:p>
    <w:p w:rsidR="0043655B" w:rsidRDefault="0043655B" w:rsidP="0043655B">
      <w:pPr>
        <w:pStyle w:val="TextoIndiceNivel2"/>
      </w:pPr>
    </w:p>
    <w:p w:rsidR="0043655B" w:rsidRDefault="0043655B" w:rsidP="0043655B">
      <w:pPr>
        <w:pStyle w:val="TextoNormalNegritaCursivandice"/>
      </w:pPr>
      <w:r>
        <w:t>Constitución política de la Monarquía española, de 19 de marzo de 1812</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7" w:history="1">
        <w:r w:rsidRPr="0043655B">
          <w:rPr>
            <w:rStyle w:val="TextoNormalCaracter"/>
          </w:rPr>
          <w:t>37/2012</w:t>
        </w:r>
      </w:hyperlink>
      <w:r>
        <w:t>, ff. 3 a 6, VP I.</w:t>
      </w:r>
    </w:p>
    <w:p w:rsidR="0043655B" w:rsidRDefault="0043655B" w:rsidP="0043655B">
      <w:pPr>
        <w:pStyle w:val="SangriaFrancesaArticulo"/>
      </w:pPr>
      <w:r w:rsidRPr="0043655B">
        <w:rPr>
          <w:rStyle w:val="TextoNormalNegritaCaracter"/>
        </w:rPr>
        <w:t>Título V.</w:t>
      </w:r>
      <w:r w:rsidRPr="0043655B">
        <w:rPr>
          <w:rStyle w:val="TextoNormalCaracter"/>
        </w:rPr>
        <w:t>-</w:t>
      </w:r>
      <w:r>
        <w:t xml:space="preserve"> Sentencia </w:t>
      </w:r>
      <w:hyperlink w:anchor="SENTENCIA_2012_37" w:history="1">
        <w:r w:rsidRPr="0043655B">
          <w:rPr>
            <w:rStyle w:val="TextoNormalCaracter"/>
          </w:rPr>
          <w:t>37/2012</w:t>
        </w:r>
      </w:hyperlink>
      <w:r>
        <w:t>, f. 4, VP I.</w:t>
      </w:r>
    </w:p>
    <w:p w:rsidR="0043655B" w:rsidRDefault="0043655B" w:rsidP="0043655B">
      <w:pPr>
        <w:pStyle w:val="SangriaFrancesaArticulo"/>
      </w:pPr>
      <w:r w:rsidRPr="0043655B">
        <w:rPr>
          <w:rStyle w:val="TextoNormalNegritaCaracter"/>
        </w:rPr>
        <w:t>Título X.</w:t>
      </w:r>
      <w:r w:rsidRPr="0043655B">
        <w:rPr>
          <w:rStyle w:val="TextoNormalCaracter"/>
        </w:rPr>
        <w:t>-</w:t>
      </w:r>
      <w:r>
        <w:t xml:space="preserve"> Sentencia </w:t>
      </w:r>
      <w:hyperlink w:anchor="SENTENCIA_2012_37" w:history="1">
        <w:r w:rsidRPr="0043655B">
          <w:rPr>
            <w:rStyle w:val="TextoNormalCaracter"/>
          </w:rPr>
          <w:t>37/2012</w:t>
        </w:r>
      </w:hyperlink>
      <w:r>
        <w:t>, VP I.</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37" w:history="1">
        <w:r w:rsidRPr="0043655B">
          <w:rPr>
            <w:rStyle w:val="TextoNormalCaracter"/>
          </w:rPr>
          <w:t>37/2012</w:t>
        </w:r>
      </w:hyperlink>
      <w:r>
        <w:t>, f. 4, VP I, VP II.</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 </w:t>
      </w:r>
      <w:hyperlink w:anchor="SENTENCIA_2012_37" w:history="1">
        <w:r w:rsidRPr="0043655B">
          <w:rPr>
            <w:rStyle w:val="TextoNormalCaracter"/>
          </w:rPr>
          <w:t>37/2012</w:t>
        </w:r>
      </w:hyperlink>
      <w:r>
        <w:t>, f. 4.</w:t>
      </w:r>
    </w:p>
    <w:p w:rsidR="0043655B" w:rsidRDefault="0043655B" w:rsidP="0043655B">
      <w:pPr>
        <w:pStyle w:val="SangriaFrancesaArticulo"/>
      </w:pPr>
      <w:r w:rsidRPr="0043655B">
        <w:rPr>
          <w:rStyle w:val="TextoNormalNegritaCaracter"/>
        </w:rPr>
        <w:t>Artículos 242 a 245.</w:t>
      </w:r>
      <w:r w:rsidRPr="0043655B">
        <w:rPr>
          <w:rStyle w:val="TextoNormalCaracter"/>
        </w:rPr>
        <w:t>-</w:t>
      </w:r>
      <w:r>
        <w:t xml:space="preserve"> Sentencia </w:t>
      </w:r>
      <w:hyperlink w:anchor="SENTENCIA_2012_37" w:history="1">
        <w:r w:rsidRPr="0043655B">
          <w:rPr>
            <w:rStyle w:val="TextoNormalCaracter"/>
          </w:rPr>
          <w:t>37/2012</w:t>
        </w:r>
      </w:hyperlink>
      <w:r>
        <w:t>, f. 4, VP I.</w:t>
      </w:r>
    </w:p>
    <w:p w:rsidR="0043655B" w:rsidRDefault="0043655B" w:rsidP="0043655B">
      <w:pPr>
        <w:pStyle w:val="SangriaFrancesaArticulo"/>
      </w:pPr>
      <w:r w:rsidRPr="0043655B">
        <w:rPr>
          <w:rStyle w:val="TextoNormalNegritaCaracter"/>
        </w:rPr>
        <w:t>Artículos 252 a 255.</w:t>
      </w:r>
      <w:r w:rsidRPr="0043655B">
        <w:rPr>
          <w:rStyle w:val="TextoNormalCaracter"/>
        </w:rPr>
        <w:t>-</w:t>
      </w:r>
      <w:r>
        <w:t xml:space="preserve"> Sentencia </w:t>
      </w:r>
      <w:hyperlink w:anchor="SENTENCIA_2012_37" w:history="1">
        <w:r w:rsidRPr="0043655B">
          <w:rPr>
            <w:rStyle w:val="TextoNormalCaracter"/>
          </w:rPr>
          <w:t>37/2012</w:t>
        </w:r>
      </w:hyperlink>
      <w:r>
        <w:t>, f. 4.</w:t>
      </w:r>
    </w:p>
    <w:p w:rsidR="0043655B" w:rsidRDefault="0043655B" w:rsidP="0043655B">
      <w:pPr>
        <w:pStyle w:val="SangriaFrancesaArticulo"/>
      </w:pPr>
    </w:p>
    <w:p w:rsidR="0043655B" w:rsidRDefault="0043655B" w:rsidP="0043655B">
      <w:pPr>
        <w:pStyle w:val="TextoNormalNegritaCursivandice"/>
      </w:pPr>
      <w:r>
        <w:t>Constitución española, de 27 de diciembre de 1978</w:t>
      </w:r>
    </w:p>
    <w:p w:rsidR="0043655B" w:rsidRDefault="0043655B" w:rsidP="0043655B">
      <w:pPr>
        <w:pStyle w:val="SangriaFrancesaArticulo"/>
      </w:pPr>
      <w:r w:rsidRPr="0043655B">
        <w:rPr>
          <w:rStyle w:val="TextoNormalNegritaCaracter"/>
        </w:rPr>
        <w:t>Título preliminar.</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Título I.</w:t>
      </w:r>
      <w:r w:rsidRPr="0043655B">
        <w:rPr>
          <w:rStyle w:val="TextoNormalCaracter"/>
        </w:rPr>
        <w:t>-</w:t>
      </w:r>
      <w:r>
        <w:t xml:space="preserve"> Sentencia </w:t>
      </w:r>
      <w:hyperlink w:anchor="SENTENCIA_2012_100" w:history="1">
        <w:r w:rsidRPr="0043655B">
          <w:rPr>
            <w:rStyle w:val="TextoNormalCaracter"/>
          </w:rPr>
          <w:t>100/2012</w:t>
        </w:r>
      </w:hyperlink>
      <w:r>
        <w:t>, ff. 9, 10.</w:t>
      </w:r>
    </w:p>
    <w:p w:rsidR="0043655B" w:rsidRDefault="0043655B" w:rsidP="0043655B">
      <w:pPr>
        <w:pStyle w:val="SangriaIzquierdaArticulo"/>
      </w:pPr>
      <w:r>
        <w:t xml:space="preserve">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Título I, capítulo II, sección primera.</w:t>
      </w:r>
      <w:r w:rsidRPr="0043655B">
        <w:rPr>
          <w:rStyle w:val="TextoNormalCaracter"/>
        </w:rPr>
        <w:t>-</w:t>
      </w:r>
      <w:r>
        <w:t xml:space="preserve"> Sentencia </w:t>
      </w:r>
      <w:hyperlink w:anchor="SENTENCIA_2012_118" w:history="1">
        <w:r w:rsidRPr="0043655B">
          <w:rPr>
            <w:rStyle w:val="TextoNormalCaracter"/>
          </w:rPr>
          <w:t>118/2012</w:t>
        </w:r>
      </w:hyperlink>
      <w:r>
        <w:t>, f. 4.</w:t>
      </w:r>
    </w:p>
    <w:p w:rsidR="0043655B" w:rsidRDefault="0043655B" w:rsidP="0043655B">
      <w:pPr>
        <w:pStyle w:val="SangriaFrancesaArticulo"/>
      </w:pPr>
      <w:r w:rsidRPr="0043655B">
        <w:rPr>
          <w:rStyle w:val="TextoNormalNegritaCaracter"/>
        </w:rPr>
        <w:t>Título I, capítulo II, sección segunda.</w:t>
      </w:r>
      <w:r w:rsidRPr="0043655B">
        <w:rPr>
          <w:rStyle w:val="TextoNormalCaracter"/>
        </w:rPr>
        <w:t>-</w:t>
      </w:r>
      <w:r>
        <w:t xml:space="preserve"> Sentencia </w:t>
      </w:r>
      <w:hyperlink w:anchor="SENTENCIA_2012_100" w:history="1">
        <w:r w:rsidRPr="0043655B">
          <w:rPr>
            <w:rStyle w:val="TextoNormalCaracter"/>
          </w:rPr>
          <w:t>100/2012</w:t>
        </w:r>
      </w:hyperlink>
      <w:r>
        <w:t>, f. 9.</w:t>
      </w:r>
    </w:p>
    <w:p w:rsidR="0043655B" w:rsidRDefault="0043655B" w:rsidP="0043655B">
      <w:pPr>
        <w:pStyle w:val="SangriaFrancesaArticulo"/>
      </w:pPr>
      <w:r w:rsidRPr="0043655B">
        <w:rPr>
          <w:rStyle w:val="TextoNormalNegritaCaracter"/>
        </w:rPr>
        <w:t>Título I, capítulo III.</w:t>
      </w:r>
      <w:r w:rsidRPr="0043655B">
        <w:rPr>
          <w:rStyle w:val="TextoNormalCaracter"/>
        </w:rPr>
        <w:t>-</w:t>
      </w:r>
      <w:r>
        <w:t xml:space="preserve"> Sentencias </w:t>
      </w:r>
      <w:hyperlink w:anchor="SENTENCIA_2012_36" w:history="1">
        <w:r w:rsidRPr="0043655B">
          <w:rPr>
            <w:rStyle w:val="TextoNormalCaracter"/>
          </w:rPr>
          <w:t>36/2012</w:t>
        </w:r>
      </w:hyperlink>
      <w:r>
        <w:t xml:space="preserve">, f. 7; </w:t>
      </w:r>
      <w:hyperlink w:anchor="SENTENCIA_2012_99" w:history="1">
        <w:r w:rsidRPr="0043655B">
          <w:rPr>
            <w:rStyle w:val="TextoNormalCaracter"/>
          </w:rPr>
          <w:t>99/2012</w:t>
        </w:r>
      </w:hyperlink>
      <w:r>
        <w:t>, f. 7.</w:t>
      </w:r>
    </w:p>
    <w:p w:rsidR="0043655B" w:rsidRDefault="0043655B" w:rsidP="0043655B">
      <w:pPr>
        <w:pStyle w:val="SangriaFrancesaArticulo"/>
      </w:pPr>
      <w:r w:rsidRPr="0043655B">
        <w:rPr>
          <w:rStyle w:val="TextoNormalNegritaCaracter"/>
        </w:rPr>
        <w:t>Título X.</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Sentencias </w:t>
      </w:r>
      <w:hyperlink w:anchor="SENTENCIA_2012_102" w:history="1">
        <w:r w:rsidRPr="0043655B">
          <w:rPr>
            <w:rStyle w:val="TextoNormalCaracter"/>
          </w:rPr>
          <w:t>102/2012</w:t>
        </w:r>
      </w:hyperlink>
      <w:r>
        <w:t xml:space="preserve">, f. 5; </w:t>
      </w:r>
      <w:hyperlink w:anchor="SENTENCIA_2012_105" w:history="1">
        <w:r w:rsidRPr="0043655B">
          <w:rPr>
            <w:rStyle w:val="TextoNormalCaracter"/>
          </w:rPr>
          <w:t>105/2012</w:t>
        </w:r>
      </w:hyperlink>
      <w:r>
        <w:t xml:space="preserve">, ff. 2, 6; </w:t>
      </w:r>
      <w:hyperlink w:anchor="SENTENCIA_2012_138" w:history="1">
        <w:r w:rsidRPr="0043655B">
          <w:rPr>
            <w:rStyle w:val="TextoNormalCaracter"/>
          </w:rPr>
          <w:t>138/2012</w:t>
        </w:r>
      </w:hyperlink>
      <w:r>
        <w:t>, f. 15, VP III.</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Sentencias </w:t>
      </w:r>
      <w:hyperlink w:anchor="SENTENCIA_2012_9" w:history="1">
        <w:r w:rsidRPr="0043655B">
          <w:rPr>
            <w:rStyle w:val="TextoNormalCaracter"/>
          </w:rPr>
          <w:t>9/2012</w:t>
        </w:r>
      </w:hyperlink>
      <w:r>
        <w:t xml:space="preserve">, f. 4; </w:t>
      </w:r>
      <w:hyperlink w:anchor="SENTENCIA_2012_19" w:history="1">
        <w:r w:rsidRPr="0043655B">
          <w:rPr>
            <w:rStyle w:val="TextoNormalCaracter"/>
          </w:rPr>
          <w:t>19/2012</w:t>
        </w:r>
      </w:hyperlink>
      <w:r>
        <w:t xml:space="preserve">, f. 4; </w:t>
      </w:r>
      <w:hyperlink w:anchor="SENTENCIA_2012_37" w:history="1">
        <w:r w:rsidRPr="0043655B">
          <w:rPr>
            <w:rStyle w:val="TextoNormalCaracter"/>
          </w:rPr>
          <w:t>37/2012</w:t>
        </w:r>
      </w:hyperlink>
      <w:r>
        <w:t xml:space="preserve">, f. 7, VP IV; </w:t>
      </w:r>
      <w:hyperlink w:anchor="SENTENCIA_2012_39" w:history="1">
        <w:r w:rsidRPr="0043655B">
          <w:rPr>
            <w:rStyle w:val="TextoNormalCaracter"/>
          </w:rPr>
          <w:t>39/2012</w:t>
        </w:r>
      </w:hyperlink>
      <w:r>
        <w:t xml:space="preserve">, VP I; </w:t>
      </w:r>
      <w:hyperlink w:anchor="SENTENCIA_2012_75" w:history="1">
        <w:r w:rsidRPr="0043655B">
          <w:rPr>
            <w:rStyle w:val="TextoNormalCaracter"/>
          </w:rPr>
          <w:t>75/2012</w:t>
        </w:r>
      </w:hyperlink>
      <w:r>
        <w:t xml:space="preserve">, f. 3; </w:t>
      </w:r>
      <w:hyperlink w:anchor="SENTENCIA_2012_91" w:history="1">
        <w:r w:rsidRPr="0043655B">
          <w:rPr>
            <w:rStyle w:val="TextoNormalCaracter"/>
          </w:rPr>
          <w:t>91/2012</w:t>
        </w:r>
      </w:hyperlink>
      <w:r>
        <w:t xml:space="preserve">, f. 3; </w:t>
      </w:r>
      <w:hyperlink w:anchor="SENTENCIA_2012_94" w:history="1">
        <w:r w:rsidRPr="0043655B">
          <w:rPr>
            <w:rStyle w:val="TextoNormalCaracter"/>
          </w:rPr>
          <w:t>94/2012</w:t>
        </w:r>
      </w:hyperlink>
      <w:r>
        <w:t xml:space="preserve">, f. 3; </w:t>
      </w:r>
      <w:hyperlink w:anchor="SENTENCIA_2012_95" w:history="1">
        <w:r w:rsidRPr="0043655B">
          <w:rPr>
            <w:rStyle w:val="TextoNormalCaracter"/>
          </w:rPr>
          <w:t>95/2012</w:t>
        </w:r>
      </w:hyperlink>
      <w:r>
        <w:t xml:space="preserve">, f. 2; </w:t>
      </w:r>
      <w:hyperlink w:anchor="SENTENCIA_2012_138" w:history="1">
        <w:r w:rsidRPr="0043655B">
          <w:rPr>
            <w:rStyle w:val="TextoNormalCaracter"/>
          </w:rPr>
          <w:t>138/2012</w:t>
        </w:r>
      </w:hyperlink>
      <w:r>
        <w:t>, f. 4.</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Sentencias </w:t>
      </w:r>
      <w:hyperlink w:anchor="SENTENCIA_2012_80" w:history="1">
        <w:r w:rsidRPr="0043655B">
          <w:rPr>
            <w:rStyle w:val="TextoNormalCaracter"/>
          </w:rPr>
          <w:t>80/2012</w:t>
        </w:r>
      </w:hyperlink>
      <w:r>
        <w:t xml:space="preserve">, VP II; </w:t>
      </w:r>
      <w:hyperlink w:anchor="SENTENCIA_2012_102" w:history="1">
        <w:r w:rsidRPr="0043655B">
          <w:rPr>
            <w:rStyle w:val="TextoNormalCaracter"/>
          </w:rPr>
          <w:t>102/2012</w:t>
        </w:r>
      </w:hyperlink>
      <w:r>
        <w:t>, f. 5.</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80" w:history="1">
        <w:r w:rsidRPr="0043655B">
          <w:rPr>
            <w:rStyle w:val="TextoNormalCaracter"/>
          </w:rPr>
          <w:t>80/2012</w:t>
        </w:r>
      </w:hyperlink>
      <w:r>
        <w:t>, VP II.</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Sentencias </w:t>
      </w:r>
      <w:hyperlink w:anchor="SENTENCIA_2012_9" w:history="1">
        <w:r w:rsidRPr="0043655B">
          <w:rPr>
            <w:rStyle w:val="TextoNormalCaracter"/>
          </w:rPr>
          <w:t>9/2012</w:t>
        </w:r>
      </w:hyperlink>
      <w:r>
        <w:t xml:space="preserve">, f. 4; </w:t>
      </w:r>
      <w:hyperlink w:anchor="SENTENCIA_2012_138" w:history="1">
        <w:r w:rsidRPr="0043655B">
          <w:rPr>
            <w:rStyle w:val="TextoNormalCaracter"/>
          </w:rPr>
          <w:t>138/2012</w:t>
        </w:r>
      </w:hyperlink>
      <w:r>
        <w:t>, ff. 1 a 6, 9, 12, 16, VP I, VP II, VP III.</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Sentencias </w:t>
      </w:r>
      <w:hyperlink w:anchor="SENTENCIA_2012_105" w:history="1">
        <w:r w:rsidRPr="0043655B">
          <w:rPr>
            <w:rStyle w:val="TextoNormalCaracter"/>
          </w:rPr>
          <w:t>105/2012</w:t>
        </w:r>
      </w:hyperlink>
      <w:r>
        <w:t xml:space="preserve">, f. 2; </w:t>
      </w:r>
      <w:hyperlink w:anchor="SENTENCIA_2012_118" w:history="1">
        <w:r w:rsidRPr="0043655B">
          <w:rPr>
            <w:rStyle w:val="TextoNormalCaracter"/>
          </w:rPr>
          <w:t>118/2012</w:t>
        </w:r>
      </w:hyperlink>
      <w:r>
        <w:t>, f. 4.</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w:t>
      </w:r>
    </w:p>
    <w:p w:rsidR="0043655B" w:rsidRDefault="0043655B" w:rsidP="0043655B">
      <w:pPr>
        <w:pStyle w:val="SangriaFrancesaArticulo"/>
      </w:pPr>
      <w:r w:rsidRPr="0043655B">
        <w:rPr>
          <w:rStyle w:val="TextoNormalNegritaCaracter"/>
        </w:rPr>
        <w:lastRenderedPageBreak/>
        <w:t>Artículo 8.1.</w:t>
      </w:r>
      <w:r w:rsidRPr="0043655B">
        <w:rPr>
          <w:rStyle w:val="TextoNormalCaracter"/>
        </w:rPr>
        <w:t>-</w:t>
      </w:r>
      <w:r>
        <w:t xml:space="preserve"> Sentencia </w:t>
      </w:r>
      <w:hyperlink w:anchor="SENTENCIA_2012_82" w:history="1">
        <w:r w:rsidRPr="0043655B">
          <w:rPr>
            <w:rStyle w:val="TextoNormalCaracter"/>
          </w:rPr>
          <w:t>82/2012</w:t>
        </w:r>
      </w:hyperlink>
      <w:r>
        <w:t>, f. 4.</w:t>
      </w:r>
    </w:p>
    <w:p w:rsidR="0043655B" w:rsidRDefault="0043655B" w:rsidP="0043655B">
      <w:pPr>
        <w:pStyle w:val="SangriaIzquierdaArticulo"/>
      </w:pPr>
      <w:r>
        <w:t xml:space="preserve">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9.1.</w:t>
      </w:r>
      <w:r w:rsidRPr="0043655B">
        <w:rPr>
          <w:rStyle w:val="TextoNormalCaracter"/>
        </w:rPr>
        <w:t>-</w:t>
      </w:r>
      <w:r>
        <w:t xml:space="preserve"> Sentencias </w:t>
      </w:r>
      <w:hyperlink w:anchor="SENTENCIA_2012_22" w:history="1">
        <w:r w:rsidRPr="0043655B">
          <w:rPr>
            <w:rStyle w:val="TextoNormalCaracter"/>
          </w:rPr>
          <w:t>22/2012</w:t>
        </w:r>
      </w:hyperlink>
      <w:r>
        <w:t xml:space="preserve">, f. 5; </w:t>
      </w:r>
      <w:hyperlink w:anchor="SENTENCIA_2012_37" w:history="1">
        <w:r w:rsidRPr="0043655B">
          <w:rPr>
            <w:rStyle w:val="TextoNormalCaracter"/>
          </w:rPr>
          <w:t>37/2012</w:t>
        </w:r>
      </w:hyperlink>
      <w:r>
        <w:t xml:space="preserve">, f. 5; </w:t>
      </w:r>
      <w:hyperlink w:anchor="SENTENCIA_2012_47" w:history="1">
        <w:r w:rsidRPr="0043655B">
          <w:rPr>
            <w:rStyle w:val="TextoNormalCaracter"/>
          </w:rPr>
          <w:t>47/2012</w:t>
        </w:r>
      </w:hyperlink>
      <w:r>
        <w:t xml:space="preserve">, f. 5; </w:t>
      </w:r>
      <w:hyperlink w:anchor="SENTENCIA_2012_61" w:history="1">
        <w:r w:rsidRPr="0043655B">
          <w:rPr>
            <w:rStyle w:val="TextoNormalCaracter"/>
          </w:rPr>
          <w:t>61/2012</w:t>
        </w:r>
      </w:hyperlink>
      <w:r>
        <w:t>, f. 4.</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Sentencias </w:t>
      </w:r>
      <w:hyperlink w:anchor="SENTENCIA_2012_19" w:history="1">
        <w:r w:rsidRPr="0043655B">
          <w:rPr>
            <w:rStyle w:val="TextoNormalCaracter"/>
          </w:rPr>
          <w:t>19/2012</w:t>
        </w:r>
      </w:hyperlink>
      <w:r>
        <w:t xml:space="preserve">, ff. 1, 4; </w:t>
      </w:r>
      <w:hyperlink w:anchor="SENTENCIA_2012_102" w:history="1">
        <w:r w:rsidRPr="0043655B">
          <w:rPr>
            <w:rStyle w:val="TextoNormalCaracter"/>
          </w:rPr>
          <w:t>102/2012</w:t>
        </w:r>
      </w:hyperlink>
      <w:r>
        <w:t xml:space="preserve">, f. 5; </w:t>
      </w:r>
      <w:hyperlink w:anchor="SENTENCIA_2012_111" w:history="1">
        <w:r w:rsidRPr="0043655B">
          <w:rPr>
            <w:rStyle w:val="TextoNormalCaracter"/>
          </w:rPr>
          <w:t>111/2012</w:t>
        </w:r>
      </w:hyperlink>
      <w:r>
        <w:t xml:space="preserve">, f. 5;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Sentencias </w:t>
      </w:r>
      <w:hyperlink w:anchor="SENTENCIA_2012_19" w:history="1">
        <w:r w:rsidRPr="0043655B">
          <w:rPr>
            <w:rStyle w:val="TextoNormalCaracter"/>
          </w:rPr>
          <w:t>19/2012</w:t>
        </w:r>
      </w:hyperlink>
      <w:r>
        <w:t xml:space="preserve">, ff. 1, 10; </w:t>
      </w:r>
      <w:hyperlink w:anchor="SENTENCIA_2012_27" w:history="1">
        <w:r w:rsidRPr="0043655B">
          <w:rPr>
            <w:rStyle w:val="TextoNormalCaracter"/>
          </w:rPr>
          <w:t>27/2012</w:t>
        </w:r>
      </w:hyperlink>
      <w:r>
        <w:t xml:space="preserve">, f. 2; </w:t>
      </w:r>
      <w:hyperlink w:anchor="SENTENCIA_2012_37" w:history="1">
        <w:r w:rsidRPr="0043655B">
          <w:rPr>
            <w:rStyle w:val="TextoNormalCaracter"/>
          </w:rPr>
          <w:t>37/2012</w:t>
        </w:r>
      </w:hyperlink>
      <w:r>
        <w:t xml:space="preserve">, VP I, VP II, VP IV; </w:t>
      </w:r>
      <w:hyperlink w:anchor="SENTENCIA_2012_94" w:history="1">
        <w:r w:rsidRPr="0043655B">
          <w:rPr>
            <w:rStyle w:val="TextoNormalCaracter"/>
          </w:rPr>
          <w:t>94/2012</w:t>
        </w:r>
      </w:hyperlink>
      <w:r>
        <w:t xml:space="preserve">, ff. 1, 3, 4; </w:t>
      </w:r>
      <w:hyperlink w:anchor="SENTENCIA_2012_98" w:history="1">
        <w:r w:rsidRPr="0043655B">
          <w:rPr>
            <w:rStyle w:val="TextoNormalCaracter"/>
          </w:rPr>
          <w:t>98/2012</w:t>
        </w:r>
      </w:hyperlink>
      <w:r>
        <w:t xml:space="preserve">, ff. 1, 3, 4; </w:t>
      </w:r>
      <w:hyperlink w:anchor="SENTENCIA_2012_100" w:history="1">
        <w:r w:rsidRPr="0043655B">
          <w:rPr>
            <w:rStyle w:val="TextoNormalCaracter"/>
          </w:rPr>
          <w:t>100/2012</w:t>
        </w:r>
      </w:hyperlink>
      <w:r>
        <w:t xml:space="preserve">, ff. 1, 10; </w:t>
      </w:r>
      <w:hyperlink w:anchor="SENTENCIA_2012_102" w:history="1">
        <w:r w:rsidRPr="0043655B">
          <w:rPr>
            <w:rStyle w:val="TextoNormalCaracter"/>
          </w:rPr>
          <w:t>102/2012</w:t>
        </w:r>
      </w:hyperlink>
      <w:r>
        <w:t xml:space="preserve">, ff. 2, 3; </w:t>
      </w:r>
      <w:hyperlink w:anchor="SENTENCIA_2012_113" w:history="1">
        <w:r w:rsidRPr="0043655B">
          <w:rPr>
            <w:rStyle w:val="TextoNormalCaracter"/>
          </w:rPr>
          <w:t>113/2012</w:t>
        </w:r>
      </w:hyperlink>
      <w:r>
        <w:t xml:space="preserve">, VP I; </w:t>
      </w:r>
      <w:hyperlink w:anchor="SENTENCIA_2012_135" w:history="1">
        <w:r w:rsidRPr="0043655B">
          <w:rPr>
            <w:rStyle w:val="TextoNormalCaracter"/>
          </w:rPr>
          <w:t>135/2012</w:t>
        </w:r>
      </w:hyperlink>
      <w:r>
        <w:t>, f. 1.</w:t>
      </w:r>
    </w:p>
    <w:p w:rsidR="0043655B" w:rsidRDefault="0043655B" w:rsidP="0043655B">
      <w:pPr>
        <w:pStyle w:val="SangriaIzquierdaArticulo"/>
      </w:pPr>
      <w:r>
        <w:t xml:space="preserve">Autos </w:t>
      </w:r>
      <w:hyperlink w:anchor="AUTO_2012_35" w:history="1">
        <w:r w:rsidRPr="0043655B">
          <w:rPr>
            <w:rStyle w:val="TextoNormalCaracter"/>
          </w:rPr>
          <w:t>35/2012</w:t>
        </w:r>
      </w:hyperlink>
      <w:r>
        <w:t xml:space="preserve">; </w:t>
      </w:r>
      <w:hyperlink w:anchor="AUTO_2012_126" w:history="1">
        <w:r w:rsidRPr="0043655B">
          <w:rPr>
            <w:rStyle w:val="TextoNormalCaracter"/>
          </w:rPr>
          <w:t>126/2012</w:t>
        </w:r>
      </w:hyperlink>
      <w:r>
        <w:t>.</w:t>
      </w:r>
    </w:p>
    <w:p w:rsidR="0043655B" w:rsidRDefault="0043655B" w:rsidP="0043655B">
      <w:pPr>
        <w:pStyle w:val="SangriaFrancesaArticulo"/>
      </w:pPr>
      <w:r w:rsidRPr="0043655B">
        <w:rPr>
          <w:rStyle w:val="TextoNormalNegritaCaracter"/>
        </w:rPr>
        <w:t>Artículo 9.3</w:t>
      </w:r>
      <w:r>
        <w:t xml:space="preserve"> </w:t>
      </w:r>
      <w:r w:rsidRPr="0043655B">
        <w:rPr>
          <w:rStyle w:val="TextoNormalCaracter"/>
        </w:rPr>
        <w:t>(interdicción de la arbitrariedad de los poderes públicos)</w:t>
      </w:r>
      <w:r w:rsidRPr="0043655B">
        <w:rPr>
          <w:rStyle w:val="TextoNormalNegritaCaracter"/>
        </w:rPr>
        <w:t>.</w:t>
      </w:r>
      <w:r w:rsidRPr="0043655B">
        <w:rPr>
          <w:rStyle w:val="TextoNormalCaracter"/>
        </w:rPr>
        <w:t>-</w:t>
      </w:r>
      <w:r>
        <w:t xml:space="preserve"> Sentencias </w:t>
      </w:r>
      <w:hyperlink w:anchor="SENTENCIA_2012_39" w:history="1">
        <w:r w:rsidRPr="0043655B">
          <w:rPr>
            <w:rStyle w:val="TextoNormalCaracter"/>
          </w:rPr>
          <w:t>39/2012</w:t>
        </w:r>
      </w:hyperlink>
      <w:r>
        <w:t xml:space="preserve">, VP I; </w:t>
      </w:r>
      <w:hyperlink w:anchor="SENTENCIA_2012_92" w:history="1">
        <w:r w:rsidRPr="0043655B">
          <w:rPr>
            <w:rStyle w:val="TextoNormalCaracter"/>
          </w:rPr>
          <w:t>92/2012</w:t>
        </w:r>
      </w:hyperlink>
      <w:r>
        <w:t xml:space="preserve">, f. 1; </w:t>
      </w:r>
      <w:hyperlink w:anchor="SENTENCIA_2012_93" w:history="1">
        <w:r w:rsidRPr="0043655B">
          <w:rPr>
            <w:rStyle w:val="TextoNormalCaracter"/>
          </w:rPr>
          <w:t>93/2012</w:t>
        </w:r>
      </w:hyperlink>
      <w:r>
        <w:t xml:space="preserve">, f. 4; </w:t>
      </w:r>
      <w:hyperlink w:anchor="SENTENCIA_2012_102" w:history="1">
        <w:r w:rsidRPr="0043655B">
          <w:rPr>
            <w:rStyle w:val="TextoNormalCaracter"/>
          </w:rPr>
          <w:t>102/2012</w:t>
        </w:r>
      </w:hyperlink>
      <w:r>
        <w:t xml:space="preserve">, f. 4; </w:t>
      </w:r>
      <w:hyperlink w:anchor="SENTENCIA_2012_121" w:history="1">
        <w:r w:rsidRPr="0043655B">
          <w:rPr>
            <w:rStyle w:val="TextoNormalCaracter"/>
          </w:rPr>
          <w:t>121/2012</w:t>
        </w:r>
      </w:hyperlink>
      <w:r>
        <w:t xml:space="preserve">, f. 9; </w:t>
      </w:r>
      <w:hyperlink w:anchor="SENTENCIA_2012_135" w:history="1">
        <w:r w:rsidRPr="0043655B">
          <w:rPr>
            <w:rStyle w:val="TextoNormalCaracter"/>
          </w:rPr>
          <w:t>135/2012</w:t>
        </w:r>
      </w:hyperlink>
      <w:r>
        <w:t>, f. 6.</w:t>
      </w:r>
    </w:p>
    <w:p w:rsidR="0043655B" w:rsidRDefault="0043655B" w:rsidP="0043655B">
      <w:pPr>
        <w:pStyle w:val="SangriaFrancesaArticulo"/>
      </w:pPr>
      <w:r w:rsidRPr="0043655B">
        <w:rPr>
          <w:rStyle w:val="TextoNormalNegritaCaracter"/>
        </w:rPr>
        <w:t>Artículo 9.3</w:t>
      </w:r>
      <w:r>
        <w:t xml:space="preserve"> </w:t>
      </w:r>
      <w:r w:rsidRPr="0043655B">
        <w:rPr>
          <w:rStyle w:val="TextoNormalCaracter"/>
        </w:rPr>
        <w:t>(irretroactividad)</w:t>
      </w:r>
      <w:r w:rsidRPr="0043655B">
        <w:rPr>
          <w:rStyle w:val="TextoNormalNegritaCaracter"/>
        </w:rPr>
        <w:t>.</w:t>
      </w:r>
      <w:r w:rsidRPr="0043655B">
        <w:rPr>
          <w:rStyle w:val="TextoNormalCaracter"/>
        </w:rPr>
        <w:t>-</w:t>
      </w:r>
      <w:r>
        <w:t xml:space="preserve"> Sentencias </w:t>
      </w:r>
      <w:hyperlink w:anchor="SENTENCIA_2012_45" w:history="1">
        <w:r w:rsidRPr="0043655B">
          <w:rPr>
            <w:rStyle w:val="TextoNormalCaracter"/>
          </w:rPr>
          <w:t>45/2012</w:t>
        </w:r>
      </w:hyperlink>
      <w:r>
        <w:t xml:space="preserve">, f. 4; </w:t>
      </w:r>
      <w:hyperlink w:anchor="SENTENCIA_2012_49" w:history="1">
        <w:r w:rsidRPr="0043655B">
          <w:rPr>
            <w:rStyle w:val="TextoNormalCaracter"/>
          </w:rPr>
          <w:t>49/2012</w:t>
        </w:r>
      </w:hyperlink>
      <w:r>
        <w:t xml:space="preserve">, f. 1; </w:t>
      </w:r>
      <w:hyperlink w:anchor="SENTENCIA_2012_54" w:history="1">
        <w:r w:rsidRPr="0043655B">
          <w:rPr>
            <w:rStyle w:val="TextoNormalCaracter"/>
          </w:rPr>
          <w:t>54/2012</w:t>
        </w:r>
      </w:hyperlink>
      <w:r>
        <w:t xml:space="preserve">, ff. 1, 6; </w:t>
      </w:r>
      <w:hyperlink w:anchor="SENTENCIA_2012_56" w:history="1">
        <w:r w:rsidRPr="0043655B">
          <w:rPr>
            <w:rStyle w:val="TextoNormalCaracter"/>
          </w:rPr>
          <w:t>56/2012</w:t>
        </w:r>
      </w:hyperlink>
      <w:r>
        <w:t xml:space="preserve">, f. 3; </w:t>
      </w:r>
      <w:hyperlink w:anchor="SENTENCIA_2012_59" w:history="1">
        <w:r w:rsidRPr="0043655B">
          <w:rPr>
            <w:rStyle w:val="TextoNormalCaracter"/>
          </w:rPr>
          <w:t>59/2012</w:t>
        </w:r>
      </w:hyperlink>
      <w:r>
        <w:t xml:space="preserve">, ff. 1, 3; </w:t>
      </w:r>
      <w:hyperlink w:anchor="SENTENCIA_2012_64" w:history="1">
        <w:r w:rsidRPr="0043655B">
          <w:rPr>
            <w:rStyle w:val="TextoNormalCaracter"/>
          </w:rPr>
          <w:t>64/2012</w:t>
        </w:r>
      </w:hyperlink>
      <w:r>
        <w:t xml:space="preserve">, f. 7; </w:t>
      </w:r>
      <w:hyperlink w:anchor="SENTENCIA_2012_68" w:history="1">
        <w:r w:rsidRPr="0043655B">
          <w:rPr>
            <w:rStyle w:val="TextoNormalCaracter"/>
          </w:rPr>
          <w:t>68/2012</w:t>
        </w:r>
      </w:hyperlink>
      <w:r>
        <w:t xml:space="preserve">, f. 4; </w:t>
      </w:r>
      <w:hyperlink w:anchor="SENTENCIA_2012_100" w:history="1">
        <w:r w:rsidRPr="0043655B">
          <w:rPr>
            <w:rStyle w:val="TextoNormalCaracter"/>
          </w:rPr>
          <w:t>100/2012</w:t>
        </w:r>
      </w:hyperlink>
      <w:r>
        <w:t xml:space="preserve">, f. 10; </w:t>
      </w:r>
      <w:hyperlink w:anchor="SENTENCIA_2012_108" w:history="1">
        <w:r w:rsidRPr="0043655B">
          <w:rPr>
            <w:rStyle w:val="TextoNormalCaracter"/>
          </w:rPr>
          <w:t>108/2012</w:t>
        </w:r>
      </w:hyperlink>
      <w:r>
        <w:t xml:space="preserve">, f. 2; </w:t>
      </w:r>
      <w:hyperlink w:anchor="SENTENCIA_2012_113" w:history="1">
        <w:r w:rsidRPr="0043655B">
          <w:rPr>
            <w:rStyle w:val="TextoNormalCaracter"/>
          </w:rPr>
          <w:t>113/2012</w:t>
        </w:r>
      </w:hyperlink>
      <w:r>
        <w:t>, f. 1.</w:t>
      </w:r>
    </w:p>
    <w:p w:rsidR="0043655B" w:rsidRDefault="0043655B" w:rsidP="0043655B">
      <w:pPr>
        <w:pStyle w:val="SangriaFrancesaArticulo"/>
      </w:pPr>
      <w:r w:rsidRPr="0043655B">
        <w:rPr>
          <w:rStyle w:val="TextoNormalNegritaCaracter"/>
        </w:rPr>
        <w:t>Artículo 9.3</w:t>
      </w:r>
      <w:r>
        <w:t xml:space="preserve"> </w:t>
      </w:r>
      <w:r w:rsidRPr="0043655B">
        <w:rPr>
          <w:rStyle w:val="TextoNormalCaracter"/>
        </w:rPr>
        <w:t>(principio de legalidad)</w:t>
      </w:r>
      <w:r w:rsidRPr="0043655B">
        <w:rPr>
          <w:rStyle w:val="TextoNormalNegritaCaracter"/>
        </w:rPr>
        <w:t>.</w:t>
      </w:r>
      <w:r w:rsidRPr="0043655B">
        <w:rPr>
          <w:rStyle w:val="TextoNormalCaracter"/>
        </w:rPr>
        <w:t>-</w:t>
      </w:r>
      <w:r>
        <w:t xml:space="preserve"> Sentencias </w:t>
      </w:r>
      <w:hyperlink w:anchor="SENTENCIA_2012_56" w:history="1">
        <w:r w:rsidRPr="0043655B">
          <w:rPr>
            <w:rStyle w:val="TextoNormalCaracter"/>
          </w:rPr>
          <w:t>56/2012</w:t>
        </w:r>
      </w:hyperlink>
      <w:r>
        <w:t xml:space="preserve">, f. 1; </w:t>
      </w:r>
      <w:hyperlink w:anchor="SENTENCIA_2012_57" w:history="1">
        <w:r w:rsidRPr="0043655B">
          <w:rPr>
            <w:rStyle w:val="TextoNormalCaracter"/>
          </w:rPr>
          <w:t>57/2012</w:t>
        </w:r>
      </w:hyperlink>
      <w:r>
        <w:t xml:space="preserve">, f. 3; </w:t>
      </w:r>
      <w:hyperlink w:anchor="SENTENCIA_2012_60" w:history="1">
        <w:r w:rsidRPr="0043655B">
          <w:rPr>
            <w:rStyle w:val="TextoNormalCaracter"/>
          </w:rPr>
          <w:t>60/2012</w:t>
        </w:r>
      </w:hyperlink>
      <w:r>
        <w:t xml:space="preserve">, f. 1; </w:t>
      </w:r>
      <w:hyperlink w:anchor="SENTENCIA_2012_92" w:history="1">
        <w:r w:rsidRPr="0043655B">
          <w:rPr>
            <w:rStyle w:val="TextoNormalCaracter"/>
          </w:rPr>
          <w:t>92/2012</w:t>
        </w:r>
      </w:hyperlink>
      <w:r>
        <w:t>, f. 1.</w:t>
      </w:r>
    </w:p>
    <w:p w:rsidR="0043655B" w:rsidRDefault="0043655B" w:rsidP="0043655B">
      <w:pPr>
        <w:pStyle w:val="SangriaFrancesaArticulo"/>
      </w:pPr>
      <w:r w:rsidRPr="0043655B">
        <w:rPr>
          <w:rStyle w:val="TextoNormalNegritaCaracter"/>
        </w:rPr>
        <w:t>Artículo 9.3</w:t>
      </w:r>
      <w:r>
        <w:t xml:space="preserve"> </w:t>
      </w:r>
      <w:r w:rsidRPr="0043655B">
        <w:rPr>
          <w:rStyle w:val="TextoNormalCaracter"/>
        </w:rPr>
        <w:t>(seguridad jurídica)</w:t>
      </w:r>
      <w:r w:rsidRPr="0043655B">
        <w:rPr>
          <w:rStyle w:val="TextoNormalNegritaCaracter"/>
        </w:rPr>
        <w:t>.</w:t>
      </w:r>
      <w:r w:rsidRPr="0043655B">
        <w:rPr>
          <w:rStyle w:val="TextoNormalCaracter"/>
        </w:rPr>
        <w:t>-</w:t>
      </w:r>
      <w:r>
        <w:t xml:space="preserve"> Sentencias </w:t>
      </w:r>
      <w:hyperlink w:anchor="SENTENCIA_2012_19" w:history="1">
        <w:r w:rsidRPr="0043655B">
          <w:rPr>
            <w:rStyle w:val="TextoNormalCaracter"/>
          </w:rPr>
          <w:t>19/2012</w:t>
        </w:r>
      </w:hyperlink>
      <w:r>
        <w:t xml:space="preserve">, f. 10; </w:t>
      </w:r>
      <w:hyperlink w:anchor="SENTENCIA_2012_27" w:history="1">
        <w:r w:rsidRPr="0043655B">
          <w:rPr>
            <w:rStyle w:val="TextoNormalCaracter"/>
          </w:rPr>
          <w:t>27/2012</w:t>
        </w:r>
      </w:hyperlink>
      <w:r>
        <w:t xml:space="preserve">, f. 10; </w:t>
      </w:r>
      <w:hyperlink w:anchor="SENTENCIA_2012_37" w:history="1">
        <w:r w:rsidRPr="0043655B">
          <w:rPr>
            <w:rStyle w:val="TextoNormalCaracter"/>
          </w:rPr>
          <w:t>37/2012</w:t>
        </w:r>
      </w:hyperlink>
      <w:r>
        <w:t xml:space="preserve">, ff. 1, 3, 7, 8, VP I, VP II, VP III, VP IV; </w:t>
      </w:r>
      <w:hyperlink w:anchor="SENTENCIA_2012_39" w:history="1">
        <w:r w:rsidRPr="0043655B">
          <w:rPr>
            <w:rStyle w:val="TextoNormalCaracter"/>
          </w:rPr>
          <w:t>39/2012</w:t>
        </w:r>
      </w:hyperlink>
      <w:r>
        <w:t xml:space="preserve">, f. 5, VP I; </w:t>
      </w:r>
      <w:hyperlink w:anchor="SENTENCIA_2012_40" w:history="1">
        <w:r w:rsidRPr="0043655B">
          <w:rPr>
            <w:rStyle w:val="TextoNormalCaracter"/>
          </w:rPr>
          <w:t>40/2012</w:t>
        </w:r>
      </w:hyperlink>
      <w:r>
        <w:t xml:space="preserve">, f. 7; </w:t>
      </w:r>
      <w:hyperlink w:anchor="SENTENCIA_2012_41" w:history="1">
        <w:r w:rsidRPr="0043655B">
          <w:rPr>
            <w:rStyle w:val="TextoNormalCaracter"/>
          </w:rPr>
          <w:t>41/2012</w:t>
        </w:r>
      </w:hyperlink>
      <w:r>
        <w:t xml:space="preserve">, VP I, VP III; </w:t>
      </w:r>
      <w:hyperlink w:anchor="SENTENCIA_2012_48" w:history="1">
        <w:r w:rsidRPr="0043655B">
          <w:rPr>
            <w:rStyle w:val="TextoNormalCaracter"/>
          </w:rPr>
          <w:t>48/2012</w:t>
        </w:r>
      </w:hyperlink>
      <w:r>
        <w:t xml:space="preserve">, f. 6; </w:t>
      </w:r>
      <w:hyperlink w:anchor="SENTENCIA_2012_49" w:history="1">
        <w:r w:rsidRPr="0043655B">
          <w:rPr>
            <w:rStyle w:val="TextoNormalCaracter"/>
          </w:rPr>
          <w:t>49/2012</w:t>
        </w:r>
      </w:hyperlink>
      <w:r>
        <w:t xml:space="preserve">, f. 6; </w:t>
      </w:r>
      <w:hyperlink w:anchor="SENTENCIA_2012_54" w:history="1">
        <w:r w:rsidRPr="0043655B">
          <w:rPr>
            <w:rStyle w:val="TextoNormalCaracter"/>
          </w:rPr>
          <w:t>54/2012</w:t>
        </w:r>
      </w:hyperlink>
      <w:r>
        <w:t xml:space="preserve">, f. 1; </w:t>
      </w:r>
      <w:hyperlink w:anchor="SENTENCIA_2012_55" w:history="1">
        <w:r w:rsidRPr="0043655B">
          <w:rPr>
            <w:rStyle w:val="TextoNormalCaracter"/>
          </w:rPr>
          <w:t>55/2012</w:t>
        </w:r>
      </w:hyperlink>
      <w:r>
        <w:t xml:space="preserve">, f. 7; </w:t>
      </w:r>
      <w:hyperlink w:anchor="SENTENCIA_2012_57" w:history="1">
        <w:r w:rsidRPr="0043655B">
          <w:rPr>
            <w:rStyle w:val="TextoNormalCaracter"/>
          </w:rPr>
          <w:t>57/2012</w:t>
        </w:r>
      </w:hyperlink>
      <w:r>
        <w:t xml:space="preserve">, f. 5; </w:t>
      </w:r>
      <w:hyperlink w:anchor="SENTENCIA_2012_62" w:history="1">
        <w:r w:rsidRPr="0043655B">
          <w:rPr>
            <w:rStyle w:val="TextoNormalCaracter"/>
          </w:rPr>
          <w:t>62/2012</w:t>
        </w:r>
      </w:hyperlink>
      <w:r>
        <w:t xml:space="preserve">, f. 2; </w:t>
      </w:r>
      <w:hyperlink w:anchor="SENTENCIA_2012_64" w:history="1">
        <w:r w:rsidRPr="0043655B">
          <w:rPr>
            <w:rStyle w:val="TextoNormalCaracter"/>
          </w:rPr>
          <w:t>64/2012</w:t>
        </w:r>
      </w:hyperlink>
      <w:r>
        <w:t xml:space="preserve">, f. 5; </w:t>
      </w:r>
      <w:hyperlink w:anchor="SENTENCIA_2012_65" w:history="1">
        <w:r w:rsidRPr="0043655B">
          <w:rPr>
            <w:rStyle w:val="TextoNormalCaracter"/>
          </w:rPr>
          <w:t>65/2012</w:t>
        </w:r>
      </w:hyperlink>
      <w:r>
        <w:t xml:space="preserve">, f. 6; </w:t>
      </w:r>
      <w:hyperlink w:anchor="SENTENCIA_2012_67" w:history="1">
        <w:r w:rsidRPr="0043655B">
          <w:rPr>
            <w:rStyle w:val="TextoNormalCaracter"/>
          </w:rPr>
          <w:t>67/2012</w:t>
        </w:r>
      </w:hyperlink>
      <w:r>
        <w:t xml:space="preserve">, f. 5; </w:t>
      </w:r>
      <w:hyperlink w:anchor="SENTENCIA_2012_69" w:history="1">
        <w:r w:rsidRPr="0043655B">
          <w:rPr>
            <w:rStyle w:val="TextoNormalCaracter"/>
          </w:rPr>
          <w:t>69/2012</w:t>
        </w:r>
      </w:hyperlink>
      <w:r>
        <w:t xml:space="preserve">, f. 6; </w:t>
      </w:r>
      <w:hyperlink w:anchor="SENTENCIA_2012_75" w:history="1">
        <w:r w:rsidRPr="0043655B">
          <w:rPr>
            <w:rStyle w:val="TextoNormalCaracter"/>
          </w:rPr>
          <w:t>75/2012</w:t>
        </w:r>
      </w:hyperlink>
      <w:r>
        <w:t xml:space="preserve">, ff. 1, 3, 4; </w:t>
      </w:r>
      <w:hyperlink w:anchor="SENTENCIA_2012_80" w:history="1">
        <w:r w:rsidRPr="0043655B">
          <w:rPr>
            <w:rStyle w:val="TextoNormalCaracter"/>
          </w:rPr>
          <w:t>80/2012</w:t>
        </w:r>
      </w:hyperlink>
      <w:r>
        <w:t xml:space="preserve">, VP II; </w:t>
      </w:r>
      <w:hyperlink w:anchor="SENTENCIA_2012_91" w:history="1">
        <w:r w:rsidRPr="0043655B">
          <w:rPr>
            <w:rStyle w:val="TextoNormalCaracter"/>
          </w:rPr>
          <w:t>91/2012</w:t>
        </w:r>
      </w:hyperlink>
      <w:r>
        <w:t xml:space="preserve">, ff. 1, 3, 4; </w:t>
      </w:r>
      <w:hyperlink w:anchor="SENTENCIA_2012_93" w:history="1">
        <w:r w:rsidRPr="0043655B">
          <w:rPr>
            <w:rStyle w:val="TextoNormalCaracter"/>
          </w:rPr>
          <w:t>93/2012</w:t>
        </w:r>
      </w:hyperlink>
      <w:r>
        <w:t xml:space="preserve">, ff. 1, 3, 4; </w:t>
      </w:r>
      <w:hyperlink w:anchor="SENTENCIA_2012_100" w:history="1">
        <w:r w:rsidRPr="0043655B">
          <w:rPr>
            <w:rStyle w:val="TextoNormalCaracter"/>
          </w:rPr>
          <w:t>100/2012</w:t>
        </w:r>
      </w:hyperlink>
      <w:r>
        <w:t xml:space="preserve">, f. 10; </w:t>
      </w:r>
      <w:hyperlink w:anchor="SENTENCIA_2012_101" w:history="1">
        <w:r w:rsidRPr="0043655B">
          <w:rPr>
            <w:rStyle w:val="TextoNormalCaracter"/>
          </w:rPr>
          <w:t>101/2012</w:t>
        </w:r>
      </w:hyperlink>
      <w:r>
        <w:t xml:space="preserve">, f. 1; </w:t>
      </w:r>
      <w:hyperlink w:anchor="SENTENCIA_2012_102" w:history="1">
        <w:r w:rsidRPr="0043655B">
          <w:rPr>
            <w:rStyle w:val="TextoNormalCaracter"/>
          </w:rPr>
          <w:t>102/2012</w:t>
        </w:r>
      </w:hyperlink>
      <w:r>
        <w:t xml:space="preserve">, f. 2; </w:t>
      </w:r>
      <w:hyperlink w:anchor="SENTENCIA_2012_113" w:history="1">
        <w:r w:rsidRPr="0043655B">
          <w:rPr>
            <w:rStyle w:val="TextoNormalCaracter"/>
          </w:rPr>
          <w:t>113/2012</w:t>
        </w:r>
      </w:hyperlink>
      <w:r>
        <w:t xml:space="preserve">, f. 9; </w:t>
      </w:r>
      <w:hyperlink w:anchor="SENTENCIA_2012_114" w:history="1">
        <w:r w:rsidRPr="0043655B">
          <w:rPr>
            <w:rStyle w:val="TextoNormalCaracter"/>
          </w:rPr>
          <w:t>114/2012</w:t>
        </w:r>
      </w:hyperlink>
      <w:r>
        <w:t xml:space="preserve">, ff. 1, 5, 6; </w:t>
      </w:r>
      <w:hyperlink w:anchor="SENTENCIA_2012_120" w:history="1">
        <w:r w:rsidRPr="0043655B">
          <w:rPr>
            <w:rStyle w:val="TextoNormalCaracter"/>
          </w:rPr>
          <w:t>120/2012</w:t>
        </w:r>
      </w:hyperlink>
      <w:r>
        <w:t>, f. 3.</w:t>
      </w:r>
    </w:p>
    <w:p w:rsidR="0043655B" w:rsidRDefault="0043655B" w:rsidP="0043655B">
      <w:pPr>
        <w:pStyle w:val="SangriaIzquierdaArticulo"/>
      </w:pPr>
      <w:r>
        <w:t xml:space="preserve">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Sentencias </w:t>
      </w:r>
      <w:hyperlink w:anchor="SENTENCIA_2012_19" w:history="1">
        <w:r w:rsidRPr="0043655B">
          <w:rPr>
            <w:rStyle w:val="TextoNormalCaracter"/>
          </w:rPr>
          <w:t>19/2012</w:t>
        </w:r>
      </w:hyperlink>
      <w:r>
        <w:t xml:space="preserve">, f. 1; </w:t>
      </w:r>
      <w:hyperlink w:anchor="SENTENCIA_2012_59" w:history="1">
        <w:r w:rsidRPr="0043655B">
          <w:rPr>
            <w:rStyle w:val="TextoNormalCaracter"/>
          </w:rPr>
          <w:t>59/2012</w:t>
        </w:r>
      </w:hyperlink>
      <w:r>
        <w:t xml:space="preserve">, f. 2; </w:t>
      </w:r>
      <w:hyperlink w:anchor="SENTENCIA_2012_92" w:history="1">
        <w:r w:rsidRPr="0043655B">
          <w:rPr>
            <w:rStyle w:val="TextoNormalCaracter"/>
          </w:rPr>
          <w:t>92/2012</w:t>
        </w:r>
      </w:hyperlink>
      <w:r>
        <w:t>, f. 4.</w:t>
      </w:r>
    </w:p>
    <w:p w:rsidR="0043655B" w:rsidRDefault="0043655B" w:rsidP="0043655B">
      <w:pPr>
        <w:pStyle w:val="SangriaFrancesaArticulo"/>
      </w:pPr>
      <w:r w:rsidRPr="0043655B">
        <w:rPr>
          <w:rStyle w:val="TextoNormalNegritaCaracter"/>
        </w:rPr>
        <w:t>Artículo 10.1.</w:t>
      </w:r>
      <w:r w:rsidRPr="0043655B">
        <w:rPr>
          <w:rStyle w:val="TextoNormalCaracter"/>
        </w:rPr>
        <w:t>-</w:t>
      </w:r>
      <w:r>
        <w:t xml:space="preserve"> Sentencias </w:t>
      </w:r>
      <w:hyperlink w:anchor="SENTENCIA_2012_19" w:history="1">
        <w:r w:rsidRPr="0043655B">
          <w:rPr>
            <w:rStyle w:val="TextoNormalCaracter"/>
          </w:rPr>
          <w:t>19/2012</w:t>
        </w:r>
      </w:hyperlink>
      <w:r>
        <w:t xml:space="preserve">, f. 4; </w:t>
      </w:r>
      <w:hyperlink w:anchor="SENTENCIA_2012_59" w:history="1">
        <w:r w:rsidRPr="0043655B">
          <w:rPr>
            <w:rStyle w:val="TextoNormalCaracter"/>
          </w:rPr>
          <w:t>59/2012</w:t>
        </w:r>
      </w:hyperlink>
      <w:r>
        <w:t>, f. 1.</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138" w:history="1">
        <w:r w:rsidRPr="0043655B">
          <w:rPr>
            <w:rStyle w:val="TextoNormalCaracter"/>
          </w:rPr>
          <w:t>138/2012</w:t>
        </w:r>
      </w:hyperlink>
      <w:r>
        <w:t>, f. 3.</w:t>
      </w:r>
    </w:p>
    <w:p w:rsidR="0043655B" w:rsidRDefault="0043655B" w:rsidP="0043655B">
      <w:pPr>
        <w:pStyle w:val="SangriaFrancesaArticulo"/>
      </w:pPr>
      <w:r w:rsidRPr="0043655B">
        <w:rPr>
          <w:rStyle w:val="TextoNormalNegritaCaracter"/>
        </w:rPr>
        <w:t>Artículo 13.2.</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Sentencias </w:t>
      </w:r>
      <w:hyperlink w:anchor="SENTENCIA_2012_19" w:history="1">
        <w:r w:rsidRPr="0043655B">
          <w:rPr>
            <w:rStyle w:val="TextoNormalCaracter"/>
          </w:rPr>
          <w:t>19/2012</w:t>
        </w:r>
      </w:hyperlink>
      <w:r>
        <w:t xml:space="preserve">, ff. 5, 9; </w:t>
      </w:r>
      <w:hyperlink w:anchor="SENTENCIA_2012_27" w:history="1">
        <w:r w:rsidRPr="0043655B">
          <w:rPr>
            <w:rStyle w:val="TextoNormalCaracter"/>
          </w:rPr>
          <w:t>27/2012</w:t>
        </w:r>
      </w:hyperlink>
      <w:r>
        <w:t xml:space="preserve">, ff. 1, 2, 9; </w:t>
      </w:r>
      <w:hyperlink w:anchor="SENTENCIA_2012_28" w:history="1">
        <w:r w:rsidRPr="0043655B">
          <w:rPr>
            <w:rStyle w:val="TextoNormalCaracter"/>
          </w:rPr>
          <w:t>28/2012</w:t>
        </w:r>
      </w:hyperlink>
      <w:r>
        <w:t xml:space="preserve">, ff. 1, 2; </w:t>
      </w:r>
      <w:hyperlink w:anchor="SENTENCIA_2012_29" w:history="1">
        <w:r w:rsidRPr="0043655B">
          <w:rPr>
            <w:rStyle w:val="TextoNormalCaracter"/>
          </w:rPr>
          <w:t>29/2012</w:t>
        </w:r>
      </w:hyperlink>
      <w:r>
        <w:t xml:space="preserve">, f. 5; </w:t>
      </w:r>
      <w:hyperlink w:anchor="SENTENCIA_2012_37" w:history="1">
        <w:r w:rsidRPr="0043655B">
          <w:rPr>
            <w:rStyle w:val="TextoNormalCaracter"/>
          </w:rPr>
          <w:t>37/2012</w:t>
        </w:r>
      </w:hyperlink>
      <w:r>
        <w:t xml:space="preserve">, ff. 3, 7, 8, VP IV; </w:t>
      </w:r>
      <w:hyperlink w:anchor="SENTENCIA_2012_47" w:history="1">
        <w:r w:rsidRPr="0043655B">
          <w:rPr>
            <w:rStyle w:val="TextoNormalCaracter"/>
          </w:rPr>
          <w:t>47/2012</w:t>
        </w:r>
      </w:hyperlink>
      <w:r>
        <w:t xml:space="preserve">, f. 4; </w:t>
      </w:r>
      <w:hyperlink w:anchor="SENTENCIA_2012_51" w:history="1">
        <w:r w:rsidRPr="0043655B">
          <w:rPr>
            <w:rStyle w:val="TextoNormalCaracter"/>
          </w:rPr>
          <w:t>51/2012</w:t>
        </w:r>
      </w:hyperlink>
      <w:r>
        <w:t xml:space="preserve">, f. 4; </w:t>
      </w:r>
      <w:hyperlink w:anchor="SENTENCIA_2012_75" w:history="1">
        <w:r w:rsidRPr="0043655B">
          <w:rPr>
            <w:rStyle w:val="TextoNormalCaracter"/>
          </w:rPr>
          <w:t>75/2012</w:t>
        </w:r>
      </w:hyperlink>
      <w:r>
        <w:t xml:space="preserve">, ff. 3, 4; </w:t>
      </w:r>
      <w:hyperlink w:anchor="SENTENCIA_2012_78" w:history="1">
        <w:r w:rsidRPr="0043655B">
          <w:rPr>
            <w:rStyle w:val="TextoNormalCaracter"/>
          </w:rPr>
          <w:t>78/2012</w:t>
        </w:r>
      </w:hyperlink>
      <w:r>
        <w:t xml:space="preserve">, ff. 1, 2; </w:t>
      </w:r>
      <w:hyperlink w:anchor="SENTENCIA_2012_91" w:history="1">
        <w:r w:rsidRPr="0043655B">
          <w:rPr>
            <w:rStyle w:val="TextoNormalCaracter"/>
          </w:rPr>
          <w:t>91/2012</w:t>
        </w:r>
      </w:hyperlink>
      <w:r>
        <w:t xml:space="preserve">, ff. 3, 4; </w:t>
      </w:r>
      <w:hyperlink w:anchor="SENTENCIA_2012_93" w:history="1">
        <w:r w:rsidRPr="0043655B">
          <w:rPr>
            <w:rStyle w:val="TextoNormalCaracter"/>
          </w:rPr>
          <w:t>93/2012</w:t>
        </w:r>
      </w:hyperlink>
      <w:r>
        <w:t xml:space="preserve">, f. 3; </w:t>
      </w:r>
      <w:hyperlink w:anchor="SENTENCIA_2012_94" w:history="1">
        <w:r w:rsidRPr="0043655B">
          <w:rPr>
            <w:rStyle w:val="TextoNormalCaracter"/>
          </w:rPr>
          <w:t>94/2012</w:t>
        </w:r>
      </w:hyperlink>
      <w:r>
        <w:t xml:space="preserve">, ff. 3, 4; </w:t>
      </w:r>
      <w:hyperlink w:anchor="SENTENCIA_2012_98" w:history="1">
        <w:r w:rsidRPr="0043655B">
          <w:rPr>
            <w:rStyle w:val="TextoNormalCaracter"/>
          </w:rPr>
          <w:t>98/2012</w:t>
        </w:r>
      </w:hyperlink>
      <w:r>
        <w:t xml:space="preserve">, f. 3; </w:t>
      </w:r>
      <w:hyperlink w:anchor="SENTENCIA_2012_100" w:history="1">
        <w:r w:rsidRPr="0043655B">
          <w:rPr>
            <w:rStyle w:val="TextoNormalCaracter"/>
          </w:rPr>
          <w:t>100/2012</w:t>
        </w:r>
      </w:hyperlink>
      <w:r>
        <w:t xml:space="preserve">, f. 4; </w:t>
      </w:r>
      <w:hyperlink w:anchor="SENTENCIA_2012_118" w:history="1">
        <w:r w:rsidRPr="0043655B">
          <w:rPr>
            <w:rStyle w:val="TextoNormalCaracter"/>
          </w:rPr>
          <w:t>118/2012</w:t>
        </w:r>
      </w:hyperlink>
      <w:r>
        <w:t xml:space="preserve">, ff. 1, 4; </w:t>
      </w:r>
      <w:hyperlink w:anchor="SENTENCIA_2012_119" w:history="1">
        <w:r w:rsidRPr="0043655B">
          <w:rPr>
            <w:rStyle w:val="TextoNormalCaracter"/>
          </w:rPr>
          <w:t>119/2012</w:t>
        </w:r>
      </w:hyperlink>
      <w:r>
        <w:t>, ff. 1, 6, 9.</w:t>
      </w:r>
    </w:p>
    <w:p w:rsidR="0043655B" w:rsidRDefault="0043655B" w:rsidP="0043655B">
      <w:pPr>
        <w:pStyle w:val="SangriaIzquierdaArticulo"/>
      </w:pPr>
      <w:r>
        <w:t xml:space="preserve">Autos </w:t>
      </w:r>
      <w:hyperlink w:anchor="AUTO_2012_8" w:history="1">
        <w:r w:rsidRPr="0043655B">
          <w:rPr>
            <w:rStyle w:val="TextoNormalCaracter"/>
          </w:rPr>
          <w:t>8/2012</w:t>
        </w:r>
      </w:hyperlink>
      <w:r>
        <w:t xml:space="preserve">; </w:t>
      </w:r>
      <w:hyperlink w:anchor="AUTO_2012_31" w:history="1">
        <w:r w:rsidRPr="0043655B">
          <w:rPr>
            <w:rStyle w:val="TextoNormalCaracter"/>
          </w:rPr>
          <w:t>31/2012</w:t>
        </w:r>
      </w:hyperlink>
      <w:r>
        <w:t xml:space="preserve">; </w:t>
      </w:r>
      <w:hyperlink w:anchor="AUTO_2012_35" w:history="1">
        <w:r w:rsidRPr="0043655B">
          <w:rPr>
            <w:rStyle w:val="TextoNormalCaracter"/>
          </w:rPr>
          <w:t>35/2012</w:t>
        </w:r>
      </w:hyperlink>
      <w:r>
        <w:t xml:space="preserve">;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(discriminación por circunstancias personales o sociales)</w:t>
      </w:r>
      <w:r w:rsidRPr="0043655B">
        <w:rPr>
          <w:rStyle w:val="TextoNormalNegritaCaracter"/>
        </w:rPr>
        <w:t>.</w:t>
      </w:r>
      <w:r w:rsidRPr="0043655B">
        <w:rPr>
          <w:rStyle w:val="TextoNormalCaracter"/>
        </w:rPr>
        <w:t>-</w:t>
      </w:r>
      <w:r>
        <w:t xml:space="preserve"> Sentencia </w:t>
      </w:r>
      <w:hyperlink w:anchor="SENTENCIA_2012_78" w:history="1">
        <w:r w:rsidRPr="0043655B">
          <w:rPr>
            <w:rStyle w:val="TextoNormalCaracter"/>
          </w:rPr>
          <w:t>78/2012</w:t>
        </w:r>
      </w:hyperlink>
      <w:r>
        <w:t>, ff. 2 a 4.</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(igualdad en la aplicación de la ley)</w:t>
      </w:r>
      <w:r w:rsidRPr="0043655B">
        <w:rPr>
          <w:rStyle w:val="TextoNormalNegritaCaracter"/>
        </w:rPr>
        <w:t>.</w:t>
      </w:r>
      <w:r w:rsidRPr="0043655B">
        <w:rPr>
          <w:rStyle w:val="TextoNormalCaracter"/>
        </w:rPr>
        <w:t>-</w:t>
      </w:r>
      <w:r>
        <w:t xml:space="preserve"> Sentencias </w:t>
      </w:r>
      <w:hyperlink w:anchor="SENTENCIA_2012_13" w:history="1">
        <w:r w:rsidRPr="0043655B">
          <w:rPr>
            <w:rStyle w:val="TextoNormalCaracter"/>
          </w:rPr>
          <w:t>13/2012</w:t>
        </w:r>
      </w:hyperlink>
      <w:r>
        <w:t xml:space="preserve">, ff. 1, 2; </w:t>
      </w:r>
      <w:hyperlink w:anchor="SENTENCIA_2012_39" w:history="1">
        <w:r w:rsidRPr="0043655B">
          <w:rPr>
            <w:rStyle w:val="TextoNormalCaracter"/>
          </w:rPr>
          <w:t>39/2012</w:t>
        </w:r>
      </w:hyperlink>
      <w:r>
        <w:t xml:space="preserve">, ff. 1, 3; </w:t>
      </w:r>
      <w:hyperlink w:anchor="SENTENCIA_2012_40" w:history="1">
        <w:r w:rsidRPr="0043655B">
          <w:rPr>
            <w:rStyle w:val="TextoNormalCaracter"/>
          </w:rPr>
          <w:t>40/2012</w:t>
        </w:r>
      </w:hyperlink>
      <w:r>
        <w:t xml:space="preserve">, ff. 1, 5, 6; </w:t>
      </w:r>
      <w:hyperlink w:anchor="SENTENCIA_2012_41" w:history="1">
        <w:r w:rsidRPr="0043655B">
          <w:rPr>
            <w:rStyle w:val="TextoNormalCaracter"/>
          </w:rPr>
          <w:t>41/2012</w:t>
        </w:r>
      </w:hyperlink>
      <w:r>
        <w:t xml:space="preserve">, ff. 1, 6, VP II; </w:t>
      </w:r>
      <w:hyperlink w:anchor="SENTENCIA_2012_42" w:history="1">
        <w:r w:rsidRPr="0043655B">
          <w:rPr>
            <w:rStyle w:val="TextoNormalCaracter"/>
          </w:rPr>
          <w:t>42/2012</w:t>
        </w:r>
      </w:hyperlink>
      <w:r>
        <w:t xml:space="preserve">, ff. 2, 5, 6; </w:t>
      </w:r>
      <w:hyperlink w:anchor="SENTENCIA_2012_43" w:history="1">
        <w:r w:rsidRPr="0043655B">
          <w:rPr>
            <w:rStyle w:val="TextoNormalCaracter"/>
          </w:rPr>
          <w:t>43/2012</w:t>
        </w:r>
      </w:hyperlink>
      <w:r>
        <w:t xml:space="preserve">, ff. 1, 3, 5; </w:t>
      </w:r>
      <w:hyperlink w:anchor="SENTENCIA_2012_44" w:history="1">
        <w:r w:rsidRPr="0043655B">
          <w:rPr>
            <w:rStyle w:val="TextoNormalCaracter"/>
          </w:rPr>
          <w:t>44/2012</w:t>
        </w:r>
      </w:hyperlink>
      <w:r>
        <w:t xml:space="preserve">, ff. 1, 3; </w:t>
      </w:r>
      <w:hyperlink w:anchor="SENTENCIA_2012_45" w:history="1">
        <w:r w:rsidRPr="0043655B">
          <w:rPr>
            <w:rStyle w:val="TextoNormalCaracter"/>
          </w:rPr>
          <w:t>45/2012</w:t>
        </w:r>
      </w:hyperlink>
      <w:r>
        <w:t xml:space="preserve">, ff. 1, 3; </w:t>
      </w:r>
      <w:hyperlink w:anchor="SENTENCIA_2012_46" w:history="1">
        <w:r w:rsidRPr="0043655B">
          <w:rPr>
            <w:rStyle w:val="TextoNormalCaracter"/>
          </w:rPr>
          <w:t>46/2012</w:t>
        </w:r>
      </w:hyperlink>
      <w:r>
        <w:t xml:space="preserve">, ff. 1, 5; </w:t>
      </w:r>
      <w:hyperlink w:anchor="SENTENCIA_2012_47" w:history="1">
        <w:r w:rsidRPr="0043655B">
          <w:rPr>
            <w:rStyle w:val="TextoNormalCaracter"/>
          </w:rPr>
          <w:t>47/2012</w:t>
        </w:r>
      </w:hyperlink>
      <w:r>
        <w:t xml:space="preserve">, ff. 1, 3,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ff. 1, 2, 4; </w:t>
      </w:r>
      <w:hyperlink w:anchor="SENTENCIA_2012_50" w:history="1">
        <w:r w:rsidRPr="0043655B">
          <w:rPr>
            <w:rStyle w:val="TextoNormalCaracter"/>
          </w:rPr>
          <w:t>50/2012</w:t>
        </w:r>
      </w:hyperlink>
      <w:r>
        <w:t xml:space="preserve">, ff. 1, 4; </w:t>
      </w:r>
      <w:hyperlink w:anchor="SENTENCIA_2012_52" w:history="1">
        <w:r w:rsidRPr="0043655B">
          <w:rPr>
            <w:rStyle w:val="TextoNormalCaracter"/>
          </w:rPr>
          <w:t>52/2012</w:t>
        </w:r>
      </w:hyperlink>
      <w:r>
        <w:t xml:space="preserve">, ff. 1, 3; </w:t>
      </w:r>
      <w:hyperlink w:anchor="SENTENCIA_2012_53" w:history="1">
        <w:r w:rsidRPr="0043655B">
          <w:rPr>
            <w:rStyle w:val="TextoNormalCaracter"/>
          </w:rPr>
          <w:t>53/2012</w:t>
        </w:r>
      </w:hyperlink>
      <w:r>
        <w:t xml:space="preserve">, ff. 1, 3, 4; </w:t>
      </w:r>
      <w:hyperlink w:anchor="SENTENCIA_2012_54" w:history="1">
        <w:r w:rsidRPr="0043655B">
          <w:rPr>
            <w:rStyle w:val="TextoNormalCaracter"/>
          </w:rPr>
          <w:t>54/2012</w:t>
        </w:r>
      </w:hyperlink>
      <w:r>
        <w:t xml:space="preserve">, ff. 1, 5; </w:t>
      </w:r>
      <w:hyperlink w:anchor="SENTENCIA_2012_55" w:history="1">
        <w:r w:rsidRPr="0043655B">
          <w:rPr>
            <w:rStyle w:val="TextoNormalCaracter"/>
          </w:rPr>
          <w:t>55/2012</w:t>
        </w:r>
      </w:hyperlink>
      <w:r>
        <w:t xml:space="preserve">, ff. 1, 4, 5; </w:t>
      </w:r>
      <w:hyperlink w:anchor="SENTENCIA_2012_56" w:history="1">
        <w:r w:rsidRPr="0043655B">
          <w:rPr>
            <w:rStyle w:val="TextoNormalCaracter"/>
          </w:rPr>
          <w:t>56/2012</w:t>
        </w:r>
      </w:hyperlink>
      <w:r>
        <w:t xml:space="preserve">, ff. 1, 2; </w:t>
      </w:r>
      <w:hyperlink w:anchor="SENTENCIA_2012_57" w:history="1">
        <w:r w:rsidRPr="0043655B">
          <w:rPr>
            <w:rStyle w:val="TextoNormalCaracter"/>
          </w:rPr>
          <w:t>57/2012</w:t>
        </w:r>
      </w:hyperlink>
      <w:r>
        <w:t xml:space="preserve">, ff. 1, 3; </w:t>
      </w:r>
      <w:hyperlink w:anchor="SENTENCIA_2012_58" w:history="1">
        <w:r w:rsidRPr="0043655B">
          <w:rPr>
            <w:rStyle w:val="TextoNormalCaracter"/>
          </w:rPr>
          <w:t>58/2012</w:t>
        </w:r>
      </w:hyperlink>
      <w:r>
        <w:t xml:space="preserve">, f. 1; </w:t>
      </w:r>
      <w:hyperlink w:anchor="SENTENCIA_2012_60" w:history="1">
        <w:r w:rsidRPr="0043655B">
          <w:rPr>
            <w:rStyle w:val="TextoNormalCaracter"/>
          </w:rPr>
          <w:t>60/2012</w:t>
        </w:r>
      </w:hyperlink>
      <w:r>
        <w:t xml:space="preserve">, f. 1; </w:t>
      </w:r>
      <w:hyperlink w:anchor="SENTENCIA_2012_61" w:history="1">
        <w:r w:rsidRPr="0043655B">
          <w:rPr>
            <w:rStyle w:val="TextoNormalCaracter"/>
          </w:rPr>
          <w:t>61/2012</w:t>
        </w:r>
      </w:hyperlink>
      <w:r>
        <w:t xml:space="preserve">, ff. 1 a 3; </w:t>
      </w:r>
      <w:hyperlink w:anchor="SENTENCIA_2012_62" w:history="1">
        <w:r w:rsidRPr="0043655B">
          <w:rPr>
            <w:rStyle w:val="TextoNormalCaracter"/>
          </w:rPr>
          <w:t>62/2012</w:t>
        </w:r>
      </w:hyperlink>
      <w:r>
        <w:t xml:space="preserve">, f. 1; </w:t>
      </w:r>
      <w:hyperlink w:anchor="SENTENCIA_2012_63" w:history="1">
        <w:r w:rsidRPr="0043655B">
          <w:rPr>
            <w:rStyle w:val="TextoNormalCaracter"/>
          </w:rPr>
          <w:t>63/2012</w:t>
        </w:r>
      </w:hyperlink>
      <w:r>
        <w:t xml:space="preserve">, f. 1; </w:t>
      </w:r>
      <w:hyperlink w:anchor="SENTENCIA_2012_64" w:history="1">
        <w:r w:rsidRPr="0043655B">
          <w:rPr>
            <w:rStyle w:val="TextoNormalCaracter"/>
          </w:rPr>
          <w:t>64/2012</w:t>
        </w:r>
      </w:hyperlink>
      <w:r>
        <w:t xml:space="preserve">, ff. 1 a 3; </w:t>
      </w:r>
      <w:hyperlink w:anchor="SENTENCIA_2012_65" w:history="1">
        <w:r w:rsidRPr="0043655B">
          <w:rPr>
            <w:rStyle w:val="TextoNormalCaracter"/>
          </w:rPr>
          <w:t>65/2012</w:t>
        </w:r>
      </w:hyperlink>
      <w:r>
        <w:t xml:space="preserve">, ff. 1, 3, 4; </w:t>
      </w:r>
      <w:hyperlink w:anchor="SENTENCIA_2012_66" w:history="1">
        <w:r w:rsidRPr="0043655B">
          <w:rPr>
            <w:rStyle w:val="TextoNormalCaracter"/>
          </w:rPr>
          <w:t>66/2012</w:t>
        </w:r>
      </w:hyperlink>
      <w:r>
        <w:t xml:space="preserve">, ff. 1, 3; </w:t>
      </w:r>
      <w:hyperlink w:anchor="SENTENCIA_2012_67" w:history="1">
        <w:r w:rsidRPr="0043655B">
          <w:rPr>
            <w:rStyle w:val="TextoNormalCaracter"/>
          </w:rPr>
          <w:t>67/2012</w:t>
        </w:r>
      </w:hyperlink>
      <w:r>
        <w:t xml:space="preserve">, ff. 1 a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ff. 1, 2; </w:t>
      </w:r>
      <w:hyperlink w:anchor="SENTENCIA_2012_78" w:history="1">
        <w:r w:rsidRPr="0043655B">
          <w:rPr>
            <w:rStyle w:val="TextoNormalCaracter"/>
          </w:rPr>
          <w:t>78/2012</w:t>
        </w:r>
      </w:hyperlink>
      <w:r>
        <w:t xml:space="preserve">, f. 3; </w:t>
      </w:r>
      <w:hyperlink w:anchor="SENTENCIA_2012_105" w:history="1">
        <w:r w:rsidRPr="0043655B">
          <w:rPr>
            <w:rStyle w:val="TextoNormalCaracter"/>
          </w:rPr>
          <w:t>105/2012</w:t>
        </w:r>
      </w:hyperlink>
      <w:r>
        <w:t xml:space="preserve">, ff. 2, 4; </w:t>
      </w:r>
      <w:hyperlink w:anchor="SENTENCIA_2012_108" w:history="1">
        <w:r w:rsidRPr="0043655B">
          <w:rPr>
            <w:rStyle w:val="TextoNormalCaracter"/>
          </w:rPr>
          <w:t>108/2012</w:t>
        </w:r>
      </w:hyperlink>
      <w:r>
        <w:t xml:space="preserve">, ff. 1, 4; </w:t>
      </w:r>
      <w:hyperlink w:anchor="SENTENCIA_2012_113" w:history="1">
        <w:r w:rsidRPr="0043655B">
          <w:rPr>
            <w:rStyle w:val="TextoNormalCaracter"/>
          </w:rPr>
          <w:t>113/2012</w:t>
        </w:r>
      </w:hyperlink>
      <w:r>
        <w:t xml:space="preserve">, ff. 1, 3, 4, 7; </w:t>
      </w:r>
      <w:hyperlink w:anchor="SENTENCIA_2012_114" w:history="1">
        <w:r w:rsidRPr="0043655B">
          <w:rPr>
            <w:rStyle w:val="TextoNormalCaracter"/>
          </w:rPr>
          <w:t>114/2012</w:t>
        </w:r>
      </w:hyperlink>
      <w:r>
        <w:t xml:space="preserve">, f. 3; </w:t>
      </w:r>
      <w:hyperlink w:anchor="SENTENCIA_2012_128" w:history="1">
        <w:r w:rsidRPr="0043655B">
          <w:rPr>
            <w:rStyle w:val="TextoNormalCaracter"/>
          </w:rPr>
          <w:t>128/2012</w:t>
        </w:r>
      </w:hyperlink>
      <w:r>
        <w:t>, f. 1.</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(igualdad en la ley)</w:t>
      </w:r>
      <w:r w:rsidRPr="0043655B">
        <w:rPr>
          <w:rStyle w:val="TextoNormalNegritaCaracter"/>
        </w:rPr>
        <w:t>.</w:t>
      </w:r>
      <w:r w:rsidRPr="0043655B">
        <w:rPr>
          <w:rStyle w:val="TextoNormalCaracter"/>
        </w:rPr>
        <w:t>-</w:t>
      </w:r>
      <w:r>
        <w:t xml:space="preserve"> Sentencia </w:t>
      </w:r>
      <w:hyperlink w:anchor="SENTENCIA_2012_28" w:history="1">
        <w:r w:rsidRPr="0043655B">
          <w:rPr>
            <w:rStyle w:val="TextoNormalCaracter"/>
          </w:rPr>
          <w:t>28/2012</w:t>
        </w:r>
      </w:hyperlink>
      <w:r>
        <w:t>, f. 1.</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Sentencias </w:t>
      </w:r>
      <w:hyperlink w:anchor="SENTENCIA_2012_59" w:history="1">
        <w:r w:rsidRPr="0043655B">
          <w:rPr>
            <w:rStyle w:val="TextoNormalCaracter"/>
          </w:rPr>
          <w:t>59/2012</w:t>
        </w:r>
      </w:hyperlink>
      <w:r>
        <w:t xml:space="preserve">, ff. 1, 2; </w:t>
      </w:r>
      <w:hyperlink w:anchor="SENTENCIA_2012_131" w:history="1">
        <w:r w:rsidRPr="0043655B">
          <w:rPr>
            <w:rStyle w:val="TextoNormalCaracter"/>
          </w:rPr>
          <w:t>131/2012</w:t>
        </w:r>
      </w:hyperlink>
      <w:r>
        <w:t>, ff. 1, 2, 6.</w:t>
      </w:r>
    </w:p>
    <w:p w:rsidR="0043655B" w:rsidRDefault="0043655B" w:rsidP="0043655B">
      <w:pPr>
        <w:pStyle w:val="SangriaFrancesaArticulo"/>
      </w:pPr>
      <w:r w:rsidRPr="0043655B">
        <w:rPr>
          <w:rStyle w:val="TextoNormalNegritaCaracter"/>
        </w:rPr>
        <w:t>Artículo 16.1.</w:t>
      </w:r>
      <w:r w:rsidRPr="0043655B">
        <w:rPr>
          <w:rStyle w:val="TextoNormalCaracter"/>
        </w:rPr>
        <w:t>-</w:t>
      </w:r>
      <w:r>
        <w:t xml:space="preserve"> Sentencia </w:t>
      </w:r>
      <w:hyperlink w:anchor="SENTENCIA_2012_138" w:history="1">
        <w:r w:rsidRPr="0043655B">
          <w:rPr>
            <w:rStyle w:val="TextoNormalCaracter"/>
          </w:rPr>
          <w:t>138/2012</w:t>
        </w:r>
      </w:hyperlink>
      <w:r>
        <w:t>, ff. 1. 3.</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Sentencias </w:t>
      </w:r>
      <w:hyperlink w:anchor="SENTENCIA_2012_16" w:history="1">
        <w:r w:rsidRPr="0043655B">
          <w:rPr>
            <w:rStyle w:val="TextoNormalCaracter"/>
          </w:rPr>
          <w:t>16/2012</w:t>
        </w:r>
      </w:hyperlink>
      <w:r>
        <w:t xml:space="preserve">, f. 1; </w:t>
      </w:r>
      <w:hyperlink w:anchor="SENTENCIA_2012_39" w:history="1">
        <w:r w:rsidRPr="0043655B">
          <w:rPr>
            <w:rStyle w:val="TextoNormalCaracter"/>
          </w:rPr>
          <w:t>39/2012</w:t>
        </w:r>
      </w:hyperlink>
      <w:r>
        <w:t xml:space="preserve">, VP II; </w:t>
      </w:r>
      <w:hyperlink w:anchor="SENTENCIA_2012_95" w:history="1">
        <w:r w:rsidRPr="0043655B">
          <w:rPr>
            <w:rStyle w:val="TextoNormalCaracter"/>
          </w:rPr>
          <w:t>95/2012</w:t>
        </w:r>
      </w:hyperlink>
      <w:r>
        <w:t xml:space="preserve">, f. 2; </w:t>
      </w:r>
      <w:hyperlink w:anchor="SENTENCIA_2012_108" w:history="1">
        <w:r w:rsidRPr="0043655B">
          <w:rPr>
            <w:rStyle w:val="TextoNormalCaracter"/>
          </w:rPr>
          <w:t>108/2012</w:t>
        </w:r>
      </w:hyperlink>
      <w:r>
        <w:t xml:space="preserve">, ff. 2, 4; </w:t>
      </w:r>
      <w:hyperlink w:anchor="SENTENCIA_2012_113" w:history="1">
        <w:r w:rsidRPr="0043655B">
          <w:rPr>
            <w:rStyle w:val="TextoNormalCaracter"/>
          </w:rPr>
          <w:t>113/2012</w:t>
        </w:r>
      </w:hyperlink>
      <w:r>
        <w:t>, f. 8.</w:t>
      </w:r>
    </w:p>
    <w:p w:rsidR="0043655B" w:rsidRDefault="0043655B" w:rsidP="0043655B">
      <w:pPr>
        <w:pStyle w:val="SangriaFrancesaArticulo"/>
      </w:pPr>
      <w:r w:rsidRPr="0043655B">
        <w:rPr>
          <w:rStyle w:val="TextoNormalNegritaCaracter"/>
        </w:rPr>
        <w:lastRenderedPageBreak/>
        <w:t>Artículo 17.1.</w:t>
      </w:r>
      <w:r w:rsidRPr="0043655B">
        <w:rPr>
          <w:rStyle w:val="TextoNormalCaracter"/>
        </w:rPr>
        <w:t>-</w:t>
      </w:r>
      <w:r>
        <w:t xml:space="preserve"> Sentencias </w:t>
      </w:r>
      <w:hyperlink w:anchor="SENTENCIA_2012_39" w:history="1">
        <w:r w:rsidRPr="0043655B">
          <w:rPr>
            <w:rStyle w:val="TextoNormalCaracter"/>
          </w:rPr>
          <w:t>39/2012</w:t>
        </w:r>
      </w:hyperlink>
      <w:r>
        <w:t xml:space="preserve">, ff. 1, 3, 4, 8, VP I, VP II; </w:t>
      </w:r>
      <w:hyperlink w:anchor="SENTENCIA_2012_40" w:history="1">
        <w:r w:rsidRPr="0043655B">
          <w:rPr>
            <w:rStyle w:val="TextoNormalCaracter"/>
          </w:rPr>
          <w:t>40/2012</w:t>
        </w:r>
      </w:hyperlink>
      <w:r>
        <w:t xml:space="preserve">, ff. 1, 3, 5, 7, 10, VP I, VP II; </w:t>
      </w:r>
      <w:hyperlink w:anchor="SENTENCIA_2012_41" w:history="1">
        <w:r w:rsidRPr="0043655B">
          <w:rPr>
            <w:rStyle w:val="TextoNormalCaracter"/>
          </w:rPr>
          <w:t>41/2012</w:t>
        </w:r>
      </w:hyperlink>
      <w:r>
        <w:t xml:space="preserve">, ff. 1, 4, 6, 9, VP I, VP II, VP IV; </w:t>
      </w:r>
      <w:hyperlink w:anchor="SENTENCIA_2012_42" w:history="1">
        <w:r w:rsidRPr="0043655B">
          <w:rPr>
            <w:rStyle w:val="TextoNormalCaracter"/>
          </w:rPr>
          <w:t>42/2012</w:t>
        </w:r>
      </w:hyperlink>
      <w:r>
        <w:t xml:space="preserve">, ff. 2, 3, 5, 7, 9; </w:t>
      </w:r>
      <w:hyperlink w:anchor="SENTENCIA_2012_43" w:history="1">
        <w:r w:rsidRPr="0043655B">
          <w:rPr>
            <w:rStyle w:val="TextoNormalCaracter"/>
          </w:rPr>
          <w:t>43/2012</w:t>
        </w:r>
      </w:hyperlink>
      <w:r>
        <w:t xml:space="preserve">, ff. 1, 2, 4, 6, 7; </w:t>
      </w:r>
      <w:hyperlink w:anchor="SENTENCIA_2012_44" w:history="1">
        <w:r w:rsidRPr="0043655B">
          <w:rPr>
            <w:rStyle w:val="TextoNormalCaracter"/>
          </w:rPr>
          <w:t>44/2012</w:t>
        </w:r>
      </w:hyperlink>
      <w:r>
        <w:t xml:space="preserve">, ff. 1, 3, 6; </w:t>
      </w:r>
      <w:hyperlink w:anchor="SENTENCIA_2012_45" w:history="1">
        <w:r w:rsidRPr="0043655B">
          <w:rPr>
            <w:rStyle w:val="TextoNormalCaracter"/>
          </w:rPr>
          <w:t>45/2012</w:t>
        </w:r>
      </w:hyperlink>
      <w:r>
        <w:t xml:space="preserve">, ff. 1, 3, 6; </w:t>
      </w:r>
      <w:hyperlink w:anchor="SENTENCIA_2012_46" w:history="1">
        <w:r w:rsidRPr="0043655B">
          <w:rPr>
            <w:rStyle w:val="TextoNormalCaracter"/>
          </w:rPr>
          <w:t>46/2012</w:t>
        </w:r>
      </w:hyperlink>
      <w:r>
        <w:t xml:space="preserve">, ff. 1 a 4, 6, 8; </w:t>
      </w:r>
      <w:hyperlink w:anchor="SENTENCIA_2012_47" w:history="1">
        <w:r w:rsidRPr="0043655B">
          <w:rPr>
            <w:rStyle w:val="TextoNormalCaracter"/>
          </w:rPr>
          <w:t>47/2012</w:t>
        </w:r>
      </w:hyperlink>
      <w:r>
        <w:t xml:space="preserve">, ff. 1, 3, 5, 6, VP I, VP II; </w:t>
      </w:r>
      <w:hyperlink w:anchor="SENTENCIA_2012_48" w:history="1">
        <w:r w:rsidRPr="0043655B">
          <w:rPr>
            <w:rStyle w:val="TextoNormalCaracter"/>
          </w:rPr>
          <w:t>48/2012</w:t>
        </w:r>
      </w:hyperlink>
      <w:r>
        <w:t xml:space="preserve">, ff. 1, 4 a 7; </w:t>
      </w:r>
      <w:hyperlink w:anchor="SENTENCIA_2012_49" w:history="1">
        <w:r w:rsidRPr="0043655B">
          <w:rPr>
            <w:rStyle w:val="TextoNormalCaracter"/>
          </w:rPr>
          <w:t>49/2012</w:t>
        </w:r>
      </w:hyperlink>
      <w:r>
        <w:t xml:space="preserve">, ff. 1, 3, 5, 7; </w:t>
      </w:r>
      <w:hyperlink w:anchor="SENTENCIA_2012_50" w:history="1">
        <w:r w:rsidRPr="0043655B">
          <w:rPr>
            <w:rStyle w:val="TextoNormalCaracter"/>
          </w:rPr>
          <w:t>50/2012</w:t>
        </w:r>
      </w:hyperlink>
      <w:r>
        <w:t xml:space="preserve">, ff. 1, 3, 5, 6, VP I; </w:t>
      </w:r>
      <w:hyperlink w:anchor="SENTENCIA_2012_51" w:history="1">
        <w:r w:rsidRPr="0043655B">
          <w:rPr>
            <w:rStyle w:val="TextoNormalCaracter"/>
          </w:rPr>
          <w:t>51/2012</w:t>
        </w:r>
      </w:hyperlink>
      <w:r>
        <w:t xml:space="preserve">, ff. 1, 4, 7, VP I; </w:t>
      </w:r>
      <w:hyperlink w:anchor="SENTENCIA_2012_52" w:history="1">
        <w:r w:rsidRPr="0043655B">
          <w:rPr>
            <w:rStyle w:val="TextoNormalCaracter"/>
          </w:rPr>
          <w:t>52/2012</w:t>
        </w:r>
      </w:hyperlink>
      <w:r>
        <w:t xml:space="preserve">, ff. 1, 3, 6; </w:t>
      </w:r>
      <w:hyperlink w:anchor="SENTENCIA_2012_53" w:history="1">
        <w:r w:rsidRPr="0043655B">
          <w:rPr>
            <w:rStyle w:val="TextoNormalCaracter"/>
          </w:rPr>
          <w:t>53/2012</w:t>
        </w:r>
      </w:hyperlink>
      <w:r>
        <w:t xml:space="preserve">, ff. 1, 3, 4, 7; </w:t>
      </w:r>
      <w:hyperlink w:anchor="SENTENCIA_2012_54" w:history="1">
        <w:r w:rsidRPr="0043655B">
          <w:rPr>
            <w:rStyle w:val="TextoNormalCaracter"/>
          </w:rPr>
          <w:t>54/2012</w:t>
        </w:r>
      </w:hyperlink>
      <w:r>
        <w:t xml:space="preserve">, ff. 1, 4, 8; </w:t>
      </w:r>
      <w:hyperlink w:anchor="SENTENCIA_2012_55" w:history="1">
        <w:r w:rsidRPr="0043655B">
          <w:rPr>
            <w:rStyle w:val="TextoNormalCaracter"/>
          </w:rPr>
          <w:t>55/2012</w:t>
        </w:r>
      </w:hyperlink>
      <w:r>
        <w:t xml:space="preserve">, ff. 1, 4, 6, 8; </w:t>
      </w:r>
      <w:hyperlink w:anchor="SENTENCIA_2012_56" w:history="1">
        <w:r w:rsidRPr="0043655B">
          <w:rPr>
            <w:rStyle w:val="TextoNormalCaracter"/>
          </w:rPr>
          <w:t>56/2012</w:t>
        </w:r>
      </w:hyperlink>
      <w:r>
        <w:t xml:space="preserve">, ff. 1 a 3, 5, VP I; </w:t>
      </w:r>
      <w:hyperlink w:anchor="SENTENCIA_2012_57" w:history="1">
        <w:r w:rsidRPr="0043655B">
          <w:rPr>
            <w:rStyle w:val="TextoNormalCaracter"/>
          </w:rPr>
          <w:t>57/2012</w:t>
        </w:r>
      </w:hyperlink>
      <w:r>
        <w:t xml:space="preserve">, ff. 1, 8; </w:t>
      </w:r>
      <w:hyperlink w:anchor="SENTENCIA_2012_58" w:history="1">
        <w:r w:rsidRPr="0043655B">
          <w:rPr>
            <w:rStyle w:val="TextoNormalCaracter"/>
          </w:rPr>
          <w:t>58/2012</w:t>
        </w:r>
      </w:hyperlink>
      <w:r>
        <w:t xml:space="preserve">, f. 1; </w:t>
      </w:r>
      <w:hyperlink w:anchor="SENTENCIA_2012_59" w:history="1">
        <w:r w:rsidRPr="0043655B">
          <w:rPr>
            <w:rStyle w:val="TextoNormalCaracter"/>
          </w:rPr>
          <w:t>59/2012</w:t>
        </w:r>
      </w:hyperlink>
      <w:r>
        <w:t xml:space="preserve">, ff. 1, 5; </w:t>
      </w:r>
      <w:hyperlink w:anchor="SENTENCIA_2012_60" w:history="1">
        <w:r w:rsidRPr="0043655B">
          <w:rPr>
            <w:rStyle w:val="TextoNormalCaracter"/>
          </w:rPr>
          <w:t>60/2012</w:t>
        </w:r>
      </w:hyperlink>
      <w:r>
        <w:t xml:space="preserve">, f. 1; </w:t>
      </w:r>
      <w:hyperlink w:anchor="SENTENCIA_2012_61" w:history="1">
        <w:r w:rsidRPr="0043655B">
          <w:rPr>
            <w:rStyle w:val="TextoNormalCaracter"/>
          </w:rPr>
          <w:t>61/2012</w:t>
        </w:r>
      </w:hyperlink>
      <w:r>
        <w:t xml:space="preserve">, ff. 1, 2, 4, 6; </w:t>
      </w:r>
      <w:hyperlink w:anchor="SENTENCIA_2012_62" w:history="1">
        <w:r w:rsidRPr="0043655B">
          <w:rPr>
            <w:rStyle w:val="TextoNormalCaracter"/>
          </w:rPr>
          <w:t>62/2012</w:t>
        </w:r>
      </w:hyperlink>
      <w:r>
        <w:t xml:space="preserve">, f. 1; </w:t>
      </w:r>
      <w:hyperlink w:anchor="SENTENCIA_2012_63" w:history="1">
        <w:r w:rsidRPr="0043655B">
          <w:rPr>
            <w:rStyle w:val="TextoNormalCaracter"/>
          </w:rPr>
          <w:t>63/2012</w:t>
        </w:r>
      </w:hyperlink>
      <w:r>
        <w:t xml:space="preserve">, f. 1; </w:t>
      </w:r>
      <w:hyperlink w:anchor="SENTENCIA_2012_64" w:history="1">
        <w:r w:rsidRPr="0043655B">
          <w:rPr>
            <w:rStyle w:val="TextoNormalCaracter"/>
          </w:rPr>
          <w:t>64/2012</w:t>
        </w:r>
      </w:hyperlink>
      <w:r>
        <w:t xml:space="preserve">, ff. 1, 2, 4, 7, VP I; </w:t>
      </w:r>
      <w:hyperlink w:anchor="SENTENCIA_2012_65" w:history="1">
        <w:r w:rsidRPr="0043655B">
          <w:rPr>
            <w:rStyle w:val="TextoNormalCaracter"/>
          </w:rPr>
          <w:t>65/2012</w:t>
        </w:r>
      </w:hyperlink>
      <w:r>
        <w:t xml:space="preserve">, ff. 1, 3, 5, 8; </w:t>
      </w:r>
      <w:hyperlink w:anchor="SENTENCIA_2012_66" w:history="1">
        <w:r w:rsidRPr="0043655B">
          <w:rPr>
            <w:rStyle w:val="TextoNormalCaracter"/>
          </w:rPr>
          <w:t>66/2012</w:t>
        </w:r>
      </w:hyperlink>
      <w:r>
        <w:t xml:space="preserve">, ff. 1, 6, VP I; </w:t>
      </w:r>
      <w:hyperlink w:anchor="SENTENCIA_2012_67" w:history="1">
        <w:r w:rsidRPr="0043655B">
          <w:rPr>
            <w:rStyle w:val="TextoNormalCaracter"/>
          </w:rPr>
          <w:t>67/2012</w:t>
        </w:r>
      </w:hyperlink>
      <w:r>
        <w:t xml:space="preserve">, ff. 1, 4, 7; </w:t>
      </w:r>
      <w:hyperlink w:anchor="SENTENCIA_2012_68" w:history="1">
        <w:r w:rsidRPr="0043655B">
          <w:rPr>
            <w:rStyle w:val="TextoNormalCaracter"/>
          </w:rPr>
          <w:t>68/2012</w:t>
        </w:r>
      </w:hyperlink>
      <w:r>
        <w:t xml:space="preserve">, ff. 1, 3, 6; </w:t>
      </w:r>
      <w:hyperlink w:anchor="SENTENCIA_2012_69" w:history="1">
        <w:r w:rsidRPr="0043655B">
          <w:rPr>
            <w:rStyle w:val="TextoNormalCaracter"/>
          </w:rPr>
          <w:t>69/2012</w:t>
        </w:r>
      </w:hyperlink>
      <w:r>
        <w:t xml:space="preserve">, ff. 1, 3, 5, 8; </w:t>
      </w:r>
      <w:hyperlink w:anchor="SENTENCIA_2012_92" w:history="1">
        <w:r w:rsidRPr="0043655B">
          <w:rPr>
            <w:rStyle w:val="TextoNormalCaracter"/>
          </w:rPr>
          <w:t>92/2012</w:t>
        </w:r>
      </w:hyperlink>
      <w:r>
        <w:t xml:space="preserve">, ff. 1, 4, 6; </w:t>
      </w:r>
      <w:hyperlink w:anchor="SENTENCIA_2012_95" w:history="1">
        <w:r w:rsidRPr="0043655B">
          <w:rPr>
            <w:rStyle w:val="TextoNormalCaracter"/>
          </w:rPr>
          <w:t>95/2012</w:t>
        </w:r>
      </w:hyperlink>
      <w:r>
        <w:t xml:space="preserve">, f. 7; </w:t>
      </w:r>
      <w:hyperlink w:anchor="SENTENCIA_2012_108" w:history="1">
        <w:r w:rsidRPr="0043655B">
          <w:rPr>
            <w:rStyle w:val="TextoNormalCaracter"/>
          </w:rPr>
          <w:t>108/2012</w:t>
        </w:r>
      </w:hyperlink>
      <w:r>
        <w:t xml:space="preserve">, ff. 1 a 3; </w:t>
      </w:r>
      <w:hyperlink w:anchor="SENTENCIA_2012_113" w:history="1">
        <w:r w:rsidRPr="0043655B">
          <w:rPr>
            <w:rStyle w:val="TextoNormalCaracter"/>
          </w:rPr>
          <w:t>113/2012</w:t>
        </w:r>
      </w:hyperlink>
      <w:r>
        <w:t xml:space="preserve">, ff. 1 a 3, 5, 8, 12, VP III; </w:t>
      </w:r>
      <w:hyperlink w:anchor="SENTENCIA_2012_114" w:history="1">
        <w:r w:rsidRPr="0043655B">
          <w:rPr>
            <w:rStyle w:val="TextoNormalCaracter"/>
          </w:rPr>
          <w:t>114/2012</w:t>
        </w:r>
      </w:hyperlink>
      <w:r>
        <w:t xml:space="preserve">, ff. 1, 2, 4, 6; </w:t>
      </w:r>
      <w:hyperlink w:anchor="SENTENCIA_2012_128" w:history="1">
        <w:r w:rsidRPr="0043655B">
          <w:rPr>
            <w:rStyle w:val="TextoNormalCaracter"/>
          </w:rPr>
          <w:t>128/2012</w:t>
        </w:r>
      </w:hyperlink>
      <w:r>
        <w:t>, f. 1.</w:t>
      </w:r>
    </w:p>
    <w:p w:rsidR="0043655B" w:rsidRDefault="0043655B" w:rsidP="0043655B">
      <w:pPr>
        <w:pStyle w:val="SangriaFrancesaArticulo"/>
      </w:pPr>
      <w:r w:rsidRPr="0043655B">
        <w:rPr>
          <w:rStyle w:val="TextoNormalNegritaCaracter"/>
        </w:rPr>
        <w:t>Artículo 17.2.</w:t>
      </w:r>
      <w:r w:rsidRPr="0043655B">
        <w:rPr>
          <w:rStyle w:val="TextoNormalCaracter"/>
        </w:rPr>
        <w:t>-</w:t>
      </w:r>
      <w:r>
        <w:t xml:space="preserve"> Sentencia </w:t>
      </w:r>
      <w:hyperlink w:anchor="SENTENCIA_2012_95" w:history="1">
        <w:r w:rsidRPr="0043655B">
          <w:rPr>
            <w:rStyle w:val="TextoNormalCaracter"/>
          </w:rPr>
          <w:t>95/2012</w:t>
        </w:r>
      </w:hyperlink>
      <w:r>
        <w:t>, ff. 1 a 3, 7.</w:t>
      </w:r>
    </w:p>
    <w:p w:rsidR="0043655B" w:rsidRDefault="0043655B" w:rsidP="0043655B">
      <w:pPr>
        <w:pStyle w:val="SangriaFrancesaArticulo"/>
      </w:pPr>
      <w:r w:rsidRPr="0043655B">
        <w:rPr>
          <w:rStyle w:val="TextoNormalNegritaCaracter"/>
        </w:rPr>
        <w:t>Artículo 17.4.</w:t>
      </w:r>
      <w:r w:rsidRPr="0043655B">
        <w:rPr>
          <w:rStyle w:val="TextoNormalCaracter"/>
        </w:rPr>
        <w:t>-</w:t>
      </w:r>
      <w:r>
        <w:t xml:space="preserve"> Sentencia </w:t>
      </w:r>
      <w:hyperlink w:anchor="SENTENCIA_2012_95" w:history="1">
        <w:r w:rsidRPr="0043655B">
          <w:rPr>
            <w:rStyle w:val="TextoNormalCaracter"/>
          </w:rPr>
          <w:t>95/2012</w:t>
        </w:r>
      </w:hyperlink>
      <w:r>
        <w:t>, ff. 1, 4 a 7.</w:t>
      </w:r>
    </w:p>
    <w:p w:rsidR="0043655B" w:rsidRDefault="0043655B" w:rsidP="0043655B">
      <w:pPr>
        <w:pStyle w:val="SangriaFrancesaArticulo"/>
      </w:pPr>
      <w:r w:rsidRPr="0043655B">
        <w:rPr>
          <w:rStyle w:val="TextoNormalNegritaCaracter"/>
        </w:rPr>
        <w:t>Artículo 18.</w:t>
      </w:r>
      <w:r w:rsidRPr="0043655B">
        <w:rPr>
          <w:rStyle w:val="TextoNormalCaracter"/>
        </w:rPr>
        <w:t>-</w:t>
      </w:r>
      <w:r>
        <w:t xml:space="preserve"> Sentencias </w:t>
      </w:r>
      <w:hyperlink w:anchor="SENTENCIA_2012_96" w:history="1">
        <w:r w:rsidRPr="0043655B">
          <w:rPr>
            <w:rStyle w:val="TextoNormalCaracter"/>
          </w:rPr>
          <w:t>96/2012</w:t>
        </w:r>
      </w:hyperlink>
      <w:r>
        <w:t xml:space="preserve">, f. 6; </w:t>
      </w:r>
      <w:hyperlink w:anchor="SENTENCIA_2012_106" w:history="1">
        <w:r w:rsidRPr="0043655B">
          <w:rPr>
            <w:rStyle w:val="TextoNormalCaracter"/>
          </w:rPr>
          <w:t>106/2012</w:t>
        </w:r>
      </w:hyperlink>
      <w:r>
        <w:t xml:space="preserve">, f. 1; </w:t>
      </w:r>
      <w:hyperlink w:anchor="SENTENCIA_2012_107" w:history="1">
        <w:r w:rsidRPr="0043655B">
          <w:rPr>
            <w:rStyle w:val="TextoNormalCaracter"/>
          </w:rPr>
          <w:t>107/2012</w:t>
        </w:r>
      </w:hyperlink>
      <w:r>
        <w:t>, f. 2.</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Sentencias </w:t>
      </w:r>
      <w:hyperlink w:anchor="SENTENCIA_2012_12" w:history="1">
        <w:r w:rsidRPr="0043655B">
          <w:rPr>
            <w:rStyle w:val="TextoNormalCaracter"/>
          </w:rPr>
          <w:t>12/2012</w:t>
        </w:r>
      </w:hyperlink>
      <w:r>
        <w:t xml:space="preserve">, ff. 3, 5; </w:t>
      </w:r>
      <w:hyperlink w:anchor="SENTENCIA_2012_23" w:history="1">
        <w:r w:rsidRPr="0043655B">
          <w:rPr>
            <w:rStyle w:val="TextoNormalCaracter"/>
          </w:rPr>
          <w:t>23/2012</w:t>
        </w:r>
      </w:hyperlink>
      <w:r>
        <w:t xml:space="preserve">, f. 1; </w:t>
      </w:r>
      <w:hyperlink w:anchor="SENTENCIA_2012_96" w:history="1">
        <w:r w:rsidRPr="0043655B">
          <w:rPr>
            <w:rStyle w:val="TextoNormalCaracter"/>
          </w:rPr>
          <w:t>96/2012</w:t>
        </w:r>
      </w:hyperlink>
      <w:r>
        <w:t xml:space="preserve">, ff. 1, 2, 4, 6; </w:t>
      </w:r>
      <w:hyperlink w:anchor="SENTENCIA_2012_106" w:history="1">
        <w:r w:rsidRPr="0043655B">
          <w:rPr>
            <w:rStyle w:val="TextoNormalCaracter"/>
          </w:rPr>
          <w:t>106/2012</w:t>
        </w:r>
      </w:hyperlink>
      <w:r>
        <w:t>, ff. 1 a 4.</w:t>
      </w:r>
    </w:p>
    <w:p w:rsidR="0043655B" w:rsidRDefault="0043655B" w:rsidP="0043655B">
      <w:pPr>
        <w:pStyle w:val="SangriaFrancesaArticulo"/>
      </w:pPr>
      <w:r w:rsidRPr="0043655B">
        <w:rPr>
          <w:rStyle w:val="TextoNormalNegritaCaracter"/>
        </w:rPr>
        <w:t>Artículo 18.2.</w:t>
      </w:r>
      <w:r w:rsidRPr="0043655B">
        <w:rPr>
          <w:rStyle w:val="TextoNormalCaracter"/>
        </w:rPr>
        <w:t>-</w:t>
      </w:r>
      <w:r>
        <w:t xml:space="preserve"> Sentencia </w:t>
      </w:r>
      <w:hyperlink w:anchor="SENTENCIA_2012_106" w:history="1">
        <w:r w:rsidRPr="0043655B">
          <w:rPr>
            <w:rStyle w:val="TextoNormalCaracter"/>
          </w:rPr>
          <w:t>106/2012</w:t>
        </w:r>
      </w:hyperlink>
      <w:r>
        <w:t>, ff. 1, 2.</w:t>
      </w:r>
    </w:p>
    <w:p w:rsidR="0043655B" w:rsidRDefault="0043655B" w:rsidP="0043655B">
      <w:pPr>
        <w:pStyle w:val="SangriaFrancesaArticulo"/>
      </w:pPr>
      <w:r w:rsidRPr="0043655B">
        <w:rPr>
          <w:rStyle w:val="TextoNormalNegritaCaracter"/>
        </w:rPr>
        <w:t>Artículo 18.3.</w:t>
      </w:r>
      <w:r w:rsidRPr="0043655B">
        <w:rPr>
          <w:rStyle w:val="TextoNormalCaracter"/>
        </w:rPr>
        <w:t>-</w:t>
      </w:r>
      <w:r>
        <w:t xml:space="preserve"> Sentencia </w:t>
      </w:r>
      <w:hyperlink w:anchor="SENTENCIA_2012_107" w:history="1">
        <w:r w:rsidRPr="0043655B">
          <w:rPr>
            <w:rStyle w:val="TextoNormalCaracter"/>
          </w:rPr>
          <w:t>107/2012</w:t>
        </w:r>
      </w:hyperlink>
      <w:r>
        <w:t>, ff. 1 a 5.</w:t>
      </w:r>
    </w:p>
    <w:p w:rsidR="0043655B" w:rsidRDefault="0043655B" w:rsidP="0043655B">
      <w:pPr>
        <w:pStyle w:val="SangriaFrancesaArticulo"/>
      </w:pPr>
      <w:r w:rsidRPr="0043655B">
        <w:rPr>
          <w:rStyle w:val="TextoNormalNegritaCaracter"/>
        </w:rPr>
        <w:t>Artículo 18.4.</w:t>
      </w:r>
      <w:r w:rsidRPr="0043655B">
        <w:rPr>
          <w:rStyle w:val="TextoNormalCaracter"/>
        </w:rPr>
        <w:t>-</w:t>
      </w:r>
      <w:r>
        <w:t xml:space="preserve"> Sentencia </w:t>
      </w:r>
      <w:hyperlink w:anchor="SENTENCIA_2012_96" w:history="1">
        <w:r w:rsidRPr="0043655B">
          <w:rPr>
            <w:rStyle w:val="TextoNormalCaracter"/>
          </w:rPr>
          <w:t>96/2012</w:t>
        </w:r>
      </w:hyperlink>
      <w:r>
        <w:t>, ff. 1 a 4, 6 a 8, 10, 11.</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Sentencias </w:t>
      </w:r>
      <w:hyperlink w:anchor="SENTENCIA_2012_5" w:history="1">
        <w:r w:rsidRPr="0043655B">
          <w:rPr>
            <w:rStyle w:val="TextoNormalCaracter"/>
          </w:rPr>
          <w:t>5/2012</w:t>
        </w:r>
      </w:hyperlink>
      <w:r>
        <w:t xml:space="preserve">, f. 5; </w:t>
      </w:r>
      <w:hyperlink w:anchor="SENTENCIA_2012_8" w:history="1">
        <w:r w:rsidRPr="0043655B">
          <w:rPr>
            <w:rStyle w:val="TextoNormalCaracter"/>
          </w:rPr>
          <w:t>8/2012</w:t>
        </w:r>
      </w:hyperlink>
      <w:r>
        <w:t xml:space="preserve">, f. 4; </w:t>
      </w:r>
      <w:hyperlink w:anchor="SENTENCIA_2012_17" w:history="1">
        <w:r w:rsidRPr="0043655B">
          <w:rPr>
            <w:rStyle w:val="TextoNormalCaracter"/>
          </w:rPr>
          <w:t>17/2012</w:t>
        </w:r>
      </w:hyperlink>
      <w:r>
        <w:t xml:space="preserve">, f. 4; </w:t>
      </w:r>
      <w:hyperlink w:anchor="SENTENCIA_2012_107" w:history="1">
        <w:r w:rsidRPr="0043655B">
          <w:rPr>
            <w:rStyle w:val="TextoNormalCaracter"/>
          </w:rPr>
          <w:t>107/2012</w:t>
        </w:r>
      </w:hyperlink>
      <w:r>
        <w:t>, f. 2.</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20.1.</w:t>
      </w:r>
      <w:r w:rsidRPr="0043655B">
        <w:rPr>
          <w:rStyle w:val="TextoNormalCaracter"/>
        </w:rPr>
        <w:t>-</w:t>
      </w:r>
      <w:r>
        <w:t xml:space="preserve"> Sentencia </w:t>
      </w:r>
      <w:hyperlink w:anchor="SENTENCIA_2012_17" w:history="1">
        <w:r w:rsidRPr="0043655B">
          <w:rPr>
            <w:rStyle w:val="TextoNormalCaracter"/>
          </w:rPr>
          <w:t>17/2012</w:t>
        </w:r>
      </w:hyperlink>
      <w:r>
        <w:t>, f. 4.</w:t>
      </w:r>
    </w:p>
    <w:p w:rsidR="0043655B" w:rsidRDefault="0043655B" w:rsidP="0043655B">
      <w:pPr>
        <w:pStyle w:val="SangriaFrancesaArticulo"/>
      </w:pPr>
      <w:r w:rsidRPr="0043655B">
        <w:rPr>
          <w:rStyle w:val="TextoNormalNegritaCaracter"/>
        </w:rPr>
        <w:t>Artículo 20.1 a).</w:t>
      </w:r>
      <w:r w:rsidRPr="0043655B">
        <w:rPr>
          <w:rStyle w:val="TextoNormalCaracter"/>
        </w:rPr>
        <w:t>-</w:t>
      </w:r>
      <w:r>
        <w:t xml:space="preserve"> Sentencias </w:t>
      </w:r>
      <w:hyperlink w:anchor="SENTENCIA_2012_23" w:history="1">
        <w:r w:rsidRPr="0043655B">
          <w:rPr>
            <w:rStyle w:val="TextoNormalCaracter"/>
          </w:rPr>
          <w:t>23/2012</w:t>
        </w:r>
      </w:hyperlink>
      <w:r>
        <w:t xml:space="preserve">, f. 2; </w:t>
      </w:r>
      <w:hyperlink w:anchor="SENTENCIA_2012_107" w:history="1">
        <w:r w:rsidRPr="0043655B">
          <w:rPr>
            <w:rStyle w:val="TextoNormalCaracter"/>
          </w:rPr>
          <w:t>107/2012</w:t>
        </w:r>
      </w:hyperlink>
      <w:r>
        <w:t xml:space="preserve">, f. 1; </w:t>
      </w:r>
      <w:hyperlink w:anchor="SENTENCIA_2012_138" w:history="1">
        <w:r w:rsidRPr="0043655B">
          <w:rPr>
            <w:rStyle w:val="TextoNormalCaracter"/>
          </w:rPr>
          <w:t>138/2012</w:t>
        </w:r>
      </w:hyperlink>
      <w:r>
        <w:t>, ff. 1, 3.</w:t>
      </w:r>
    </w:p>
    <w:p w:rsidR="0043655B" w:rsidRDefault="0043655B" w:rsidP="0043655B">
      <w:pPr>
        <w:pStyle w:val="SangriaFrancesaArticulo"/>
      </w:pPr>
      <w:r w:rsidRPr="0043655B">
        <w:rPr>
          <w:rStyle w:val="TextoNormalNegritaCaracter"/>
        </w:rPr>
        <w:t>Artículo 20.1 d).</w:t>
      </w:r>
      <w:r w:rsidRPr="0043655B">
        <w:rPr>
          <w:rStyle w:val="TextoNormalCaracter"/>
        </w:rPr>
        <w:t>-</w:t>
      </w:r>
      <w:r>
        <w:t xml:space="preserve"> Sentencias </w:t>
      </w:r>
      <w:hyperlink w:anchor="SENTENCIA_2012_12" w:history="1">
        <w:r w:rsidRPr="0043655B">
          <w:rPr>
            <w:rStyle w:val="TextoNormalCaracter"/>
          </w:rPr>
          <w:t>12/2012</w:t>
        </w:r>
      </w:hyperlink>
      <w:r>
        <w:t xml:space="preserve">, ff. 1, 2; </w:t>
      </w:r>
      <w:hyperlink w:anchor="SENTENCIA_2012_17" w:history="1">
        <w:r w:rsidRPr="0043655B">
          <w:rPr>
            <w:rStyle w:val="TextoNormalCaracter"/>
          </w:rPr>
          <w:t>17/2012</w:t>
        </w:r>
      </w:hyperlink>
      <w:r>
        <w:t xml:space="preserve">, f. 1; </w:t>
      </w:r>
      <w:hyperlink w:anchor="SENTENCIA_2012_23" w:history="1">
        <w:r w:rsidRPr="0043655B">
          <w:rPr>
            <w:rStyle w:val="TextoNormalCaracter"/>
          </w:rPr>
          <w:t>23/2012</w:t>
        </w:r>
      </w:hyperlink>
      <w:r>
        <w:t xml:space="preserve">, ff. 1, 4; </w:t>
      </w:r>
      <w:hyperlink w:anchor="SENTENCIA_2012_24" w:history="1">
        <w:r w:rsidRPr="0043655B">
          <w:rPr>
            <w:rStyle w:val="TextoNormalCaracter"/>
          </w:rPr>
          <w:t>24/2012</w:t>
        </w:r>
      </w:hyperlink>
      <w:r>
        <w:t xml:space="preserve">, passim; </w:t>
      </w:r>
      <w:hyperlink w:anchor="SENTENCIA_2012_74" w:history="1">
        <w:r w:rsidRPr="0043655B">
          <w:rPr>
            <w:rStyle w:val="TextoNormalCaracter"/>
          </w:rPr>
          <w:t>74/2012</w:t>
        </w:r>
      </w:hyperlink>
      <w:r>
        <w:t>, passim.</w:t>
      </w:r>
    </w:p>
    <w:p w:rsidR="0043655B" w:rsidRDefault="0043655B" w:rsidP="0043655B">
      <w:pPr>
        <w:pStyle w:val="SangriaFrancesaArticulo"/>
      </w:pPr>
      <w:r w:rsidRPr="0043655B">
        <w:rPr>
          <w:rStyle w:val="TextoNormalNegritaCaracter"/>
        </w:rPr>
        <w:t>Artículo 20.4.</w:t>
      </w:r>
      <w:r w:rsidRPr="0043655B">
        <w:rPr>
          <w:rStyle w:val="TextoNormalCaracter"/>
        </w:rPr>
        <w:t>-</w:t>
      </w:r>
      <w:r>
        <w:t xml:space="preserve"> Sentencia </w:t>
      </w:r>
      <w:hyperlink w:anchor="SENTENCIA_2012_12" w:history="1">
        <w:r w:rsidRPr="0043655B">
          <w:rPr>
            <w:rStyle w:val="TextoNormalCaracter"/>
          </w:rPr>
          <w:t>12/2012</w:t>
        </w:r>
      </w:hyperlink>
      <w:r>
        <w:t>, ff. 4, 6.</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Sentencias </w:t>
      </w:r>
      <w:hyperlink w:anchor="SENTENCIA_2012_80" w:history="1">
        <w:r w:rsidRPr="0043655B">
          <w:rPr>
            <w:rStyle w:val="TextoNormalCaracter"/>
          </w:rPr>
          <w:t>80/2012</w:t>
        </w:r>
      </w:hyperlink>
      <w:r>
        <w:t xml:space="preserve">, f. 9; </w:t>
      </w:r>
      <w:hyperlink w:anchor="SENTENCIA_2012_138" w:history="1">
        <w:r w:rsidRPr="0043655B">
          <w:rPr>
            <w:rStyle w:val="TextoNormalCaracter"/>
          </w:rPr>
          <w:t>138/2012</w:t>
        </w:r>
      </w:hyperlink>
      <w:r>
        <w:t>, ff. 1 a 6, 16, VP I, VP II, VP III.</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23.</w:t>
      </w:r>
      <w:r w:rsidRPr="0043655B">
        <w:rPr>
          <w:rStyle w:val="TextoNormalCaracter"/>
        </w:rPr>
        <w:t>-</w:t>
      </w:r>
      <w:r>
        <w:t xml:space="preserve"> Sentencias </w:t>
      </w:r>
      <w:hyperlink w:anchor="SENTENCIA_2012_9" w:history="1">
        <w:r w:rsidRPr="0043655B">
          <w:rPr>
            <w:rStyle w:val="TextoNormalCaracter"/>
          </w:rPr>
          <w:t>9/2012</w:t>
        </w:r>
      </w:hyperlink>
      <w:r>
        <w:t xml:space="preserve">, ff. 1, 4, VP; </w:t>
      </w:r>
      <w:hyperlink w:anchor="SENTENCIA_2012_14" w:history="1">
        <w:r w:rsidRPr="0043655B">
          <w:rPr>
            <w:rStyle w:val="TextoNormalCaracter"/>
          </w:rPr>
          <w:t>14/2012</w:t>
        </w:r>
      </w:hyperlink>
      <w:r>
        <w:t xml:space="preserve">, ff. 1, 2; </w:t>
      </w:r>
      <w:hyperlink w:anchor="SENTENCIA_2012_30" w:history="1">
        <w:r w:rsidRPr="0043655B">
          <w:rPr>
            <w:rStyle w:val="TextoNormalCaracter"/>
          </w:rPr>
          <w:t>30/2012</w:t>
        </w:r>
      </w:hyperlink>
      <w:r>
        <w:t xml:space="preserve">, ff. 1, 2, 4; </w:t>
      </w:r>
      <w:hyperlink w:anchor="SENTENCIA_2012_81" w:history="1">
        <w:r w:rsidRPr="0043655B">
          <w:rPr>
            <w:rStyle w:val="TextoNormalCaracter"/>
          </w:rPr>
          <w:t>81/2012</w:t>
        </w:r>
      </w:hyperlink>
      <w:r>
        <w:t xml:space="preserve">, ff. 3, 4, VP; </w:t>
      </w:r>
      <w:hyperlink w:anchor="SENTENCIA_2012_105" w:history="1">
        <w:r w:rsidRPr="0043655B">
          <w:rPr>
            <w:rStyle w:val="TextoNormalCaracter"/>
          </w:rPr>
          <w:t>105/2012</w:t>
        </w:r>
      </w:hyperlink>
      <w:r>
        <w:t xml:space="preserve">, ff. 2, 3, 5, 6, 8, 9, 12, 14 a 16; </w:t>
      </w:r>
      <w:hyperlink w:anchor="SENTENCIA_2012_117" w:history="1">
        <w:r w:rsidRPr="0043655B">
          <w:rPr>
            <w:rStyle w:val="TextoNormalCaracter"/>
          </w:rPr>
          <w:t>117/2012</w:t>
        </w:r>
      </w:hyperlink>
      <w:r>
        <w:t xml:space="preserve">, ff. 1 a 4; </w:t>
      </w:r>
      <w:hyperlink w:anchor="SENTENCIA_2012_132" w:history="1">
        <w:r w:rsidRPr="0043655B">
          <w:rPr>
            <w:rStyle w:val="TextoNormalCaracter"/>
          </w:rPr>
          <w:t>132/2012</w:t>
        </w:r>
      </w:hyperlink>
      <w:r>
        <w:t xml:space="preserve">, ff. 1, 4, 5; </w:t>
      </w:r>
      <w:hyperlink w:anchor="SENTENCIA_2012_138" w:history="1">
        <w:r w:rsidRPr="0043655B">
          <w:rPr>
            <w:rStyle w:val="TextoNormalCaracter"/>
          </w:rPr>
          <w:t>138/2012</w:t>
        </w:r>
      </w:hyperlink>
      <w:r>
        <w:t>, f. 3.</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23.1.</w:t>
      </w:r>
      <w:r w:rsidRPr="0043655B">
        <w:rPr>
          <w:rStyle w:val="TextoNormalCaracter"/>
        </w:rPr>
        <w:t>-</w:t>
      </w:r>
      <w:r>
        <w:t xml:space="preserve"> Sentencias </w:t>
      </w:r>
      <w:hyperlink w:anchor="SENTENCIA_2012_9" w:history="1">
        <w:r w:rsidRPr="0043655B">
          <w:rPr>
            <w:rStyle w:val="TextoNormalCaracter"/>
          </w:rPr>
          <w:t>9/2012</w:t>
        </w:r>
      </w:hyperlink>
      <w:r>
        <w:t xml:space="preserve">, f. 3; </w:t>
      </w:r>
      <w:hyperlink w:anchor="SENTENCIA_2012_30" w:history="1">
        <w:r w:rsidRPr="0043655B">
          <w:rPr>
            <w:rStyle w:val="TextoNormalCaracter"/>
          </w:rPr>
          <w:t>30/2012</w:t>
        </w:r>
      </w:hyperlink>
      <w:r>
        <w:t xml:space="preserve">, f. 2; </w:t>
      </w:r>
      <w:hyperlink w:anchor="SENTENCIA_2012_81" w:history="1">
        <w:r w:rsidRPr="0043655B">
          <w:rPr>
            <w:rStyle w:val="TextoNormalCaracter"/>
          </w:rPr>
          <w:t>81/2012</w:t>
        </w:r>
      </w:hyperlink>
      <w:r>
        <w:t xml:space="preserve">, f. 2; </w:t>
      </w:r>
      <w:hyperlink w:anchor="SENTENCIA_2012_88" w:history="1">
        <w:r w:rsidRPr="0043655B">
          <w:rPr>
            <w:rStyle w:val="TextoNormalCaracter"/>
          </w:rPr>
          <w:t>88/2012</w:t>
        </w:r>
      </w:hyperlink>
      <w:r>
        <w:t xml:space="preserve">, ff. 1, 2; </w:t>
      </w:r>
      <w:hyperlink w:anchor="SENTENCIA_2012_105" w:history="1">
        <w:r w:rsidRPr="0043655B">
          <w:rPr>
            <w:rStyle w:val="TextoNormalCaracter"/>
          </w:rPr>
          <w:t>105/2012</w:t>
        </w:r>
      </w:hyperlink>
      <w:r>
        <w:t xml:space="preserve">, ff. 2, 4, 6, 7, 16; </w:t>
      </w:r>
      <w:hyperlink w:anchor="SENTENCIA_2012_138" w:history="1">
        <w:r w:rsidRPr="0043655B">
          <w:rPr>
            <w:rStyle w:val="TextoNormalCaracter"/>
          </w:rPr>
          <w:t>138/2012</w:t>
        </w:r>
      </w:hyperlink>
      <w:r>
        <w:t>, f. 1.</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23.2.</w:t>
      </w:r>
      <w:r w:rsidRPr="0043655B">
        <w:rPr>
          <w:rStyle w:val="TextoNormalCaracter"/>
        </w:rPr>
        <w:t>-</w:t>
      </w:r>
      <w:r>
        <w:t xml:space="preserve"> Sentencias </w:t>
      </w:r>
      <w:hyperlink w:anchor="SENTENCIA_2012_9" w:history="1">
        <w:r w:rsidRPr="0043655B">
          <w:rPr>
            <w:rStyle w:val="TextoNormalCaracter"/>
          </w:rPr>
          <w:t>9/2012</w:t>
        </w:r>
      </w:hyperlink>
      <w:r>
        <w:t xml:space="preserve">, ff. 3, 4, VP; </w:t>
      </w:r>
      <w:hyperlink w:anchor="SENTENCIA_2012_27" w:history="1">
        <w:r w:rsidRPr="0043655B">
          <w:rPr>
            <w:rStyle w:val="TextoNormalCaracter"/>
          </w:rPr>
          <w:t>27/2012</w:t>
        </w:r>
      </w:hyperlink>
      <w:r>
        <w:t xml:space="preserve">, ff. 1, 2, 5, 7 a 10; </w:t>
      </w:r>
      <w:hyperlink w:anchor="SENTENCIA_2012_29" w:history="1">
        <w:r w:rsidRPr="0043655B">
          <w:rPr>
            <w:rStyle w:val="TextoNormalCaracter"/>
          </w:rPr>
          <w:t>29/2012</w:t>
        </w:r>
      </w:hyperlink>
      <w:r>
        <w:t xml:space="preserve">, ff. 2, 4 a 6; </w:t>
      </w:r>
      <w:hyperlink w:anchor="SENTENCIA_2012_30" w:history="1">
        <w:r w:rsidRPr="0043655B">
          <w:rPr>
            <w:rStyle w:val="TextoNormalCaracter"/>
          </w:rPr>
          <w:t>30/2012</w:t>
        </w:r>
      </w:hyperlink>
      <w:r>
        <w:t xml:space="preserve">, ff. 2, 4; </w:t>
      </w:r>
      <w:hyperlink w:anchor="SENTENCIA_2012_81" w:history="1">
        <w:r w:rsidRPr="0043655B">
          <w:rPr>
            <w:rStyle w:val="TextoNormalCaracter"/>
          </w:rPr>
          <w:t>81/2012</w:t>
        </w:r>
      </w:hyperlink>
      <w:r>
        <w:t xml:space="preserve">, ff. 1 a 3, VP; </w:t>
      </w:r>
      <w:hyperlink w:anchor="SENTENCIA_2012_88" w:history="1">
        <w:r w:rsidRPr="0043655B">
          <w:rPr>
            <w:rStyle w:val="TextoNormalCaracter"/>
          </w:rPr>
          <w:t>88/2012</w:t>
        </w:r>
      </w:hyperlink>
      <w:r>
        <w:t xml:space="preserve">, ff. 1 a 6; </w:t>
      </w:r>
      <w:hyperlink w:anchor="SENTENCIA_2012_105" w:history="1">
        <w:r w:rsidRPr="0043655B">
          <w:rPr>
            <w:rStyle w:val="TextoNormalCaracter"/>
          </w:rPr>
          <w:t>105/2012</w:t>
        </w:r>
      </w:hyperlink>
      <w:r>
        <w:t>, ff. 2, 4, 6, 16.</w:t>
      </w:r>
    </w:p>
    <w:p w:rsidR="0043655B" w:rsidRDefault="0043655B" w:rsidP="0043655B">
      <w:pPr>
        <w:pStyle w:val="SangriaIzquierdaArticulo"/>
      </w:pPr>
      <w:r>
        <w:t xml:space="preserve">Autos </w:t>
      </w:r>
      <w:hyperlink w:anchor="AUTO_2012_9" w:history="1">
        <w:r w:rsidRPr="0043655B">
          <w:rPr>
            <w:rStyle w:val="TextoNormalCaracter"/>
          </w:rPr>
          <w:t>9/2012</w:t>
        </w:r>
      </w:hyperlink>
      <w:r>
        <w:t xml:space="preserve">; </w:t>
      </w:r>
      <w:hyperlink w:anchor="AUTO_2012_68" w:history="1">
        <w:r w:rsidRPr="0043655B">
          <w:rPr>
            <w:rStyle w:val="TextoNormalCaracter"/>
          </w:rPr>
          <w:t>68/2012</w:t>
        </w:r>
      </w:hyperlink>
      <w:r>
        <w:t xml:space="preserve">; </w:t>
      </w:r>
      <w:hyperlink w:anchor="AUTO_2012_116" w:history="1">
        <w:r w:rsidRPr="0043655B">
          <w:rPr>
            <w:rStyle w:val="TextoNormalCaracter"/>
          </w:rPr>
          <w:t>116/2012</w:t>
        </w:r>
      </w:hyperlink>
      <w:r>
        <w:t>.</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Sentencias </w:t>
      </w:r>
      <w:hyperlink w:anchor="SENTENCIA_2012_12" w:history="1">
        <w:r w:rsidRPr="0043655B">
          <w:rPr>
            <w:rStyle w:val="TextoNormalCaracter"/>
          </w:rPr>
          <w:t>12/2012</w:t>
        </w:r>
      </w:hyperlink>
      <w:r>
        <w:t xml:space="preserve">, f. 2; </w:t>
      </w:r>
      <w:hyperlink w:anchor="SENTENCIA_2012_13" w:history="1">
        <w:r w:rsidRPr="0043655B">
          <w:rPr>
            <w:rStyle w:val="TextoNormalCaracter"/>
          </w:rPr>
          <w:t>13/2012</w:t>
        </w:r>
      </w:hyperlink>
      <w:r>
        <w:t xml:space="preserve">, f. 3; </w:t>
      </w:r>
      <w:hyperlink w:anchor="SENTENCIA_2012_37" w:history="1">
        <w:r w:rsidRPr="0043655B">
          <w:rPr>
            <w:rStyle w:val="TextoNormalCaracter"/>
          </w:rPr>
          <w:t>37/2012</w:t>
        </w:r>
      </w:hyperlink>
      <w:r>
        <w:t xml:space="preserve">, VP III; </w:t>
      </w:r>
      <w:hyperlink w:anchor="SENTENCIA_2012_57" w:history="1">
        <w:r w:rsidRPr="0043655B">
          <w:rPr>
            <w:rStyle w:val="TextoNormalCaracter"/>
          </w:rPr>
          <w:t>57/2012</w:t>
        </w:r>
      </w:hyperlink>
      <w:r>
        <w:t xml:space="preserve">, f. 2; </w:t>
      </w:r>
      <w:hyperlink w:anchor="SENTENCIA_2012_62" w:history="1">
        <w:r w:rsidRPr="0043655B">
          <w:rPr>
            <w:rStyle w:val="TextoNormalCaracter"/>
          </w:rPr>
          <w:t>62/2012</w:t>
        </w:r>
      </w:hyperlink>
      <w:r>
        <w:t xml:space="preserve">, f. 2; </w:t>
      </w:r>
      <w:hyperlink w:anchor="SENTENCIA_2012_79" w:history="1">
        <w:r w:rsidRPr="0043655B">
          <w:rPr>
            <w:rStyle w:val="TextoNormalCaracter"/>
          </w:rPr>
          <w:t>79/2012</w:t>
        </w:r>
      </w:hyperlink>
      <w:r>
        <w:t xml:space="preserve">, f. 7; </w:t>
      </w:r>
      <w:hyperlink w:anchor="SENTENCIA_2012_97" w:history="1">
        <w:r w:rsidRPr="0043655B">
          <w:rPr>
            <w:rStyle w:val="TextoNormalCaracter"/>
          </w:rPr>
          <w:t>97/2012</w:t>
        </w:r>
      </w:hyperlink>
      <w:r>
        <w:t xml:space="preserve">, f. 2; </w:t>
      </w:r>
      <w:hyperlink w:anchor="SENTENCIA_2012_113" w:history="1">
        <w:r w:rsidRPr="0043655B">
          <w:rPr>
            <w:rStyle w:val="TextoNormalCaracter"/>
          </w:rPr>
          <w:t>113/2012</w:t>
        </w:r>
      </w:hyperlink>
      <w:r>
        <w:t xml:space="preserve">, VP II, VP IV; </w:t>
      </w:r>
      <w:hyperlink w:anchor="SENTENCIA_2012_115" w:history="1">
        <w:r w:rsidRPr="0043655B">
          <w:rPr>
            <w:rStyle w:val="TextoNormalCaracter"/>
          </w:rPr>
          <w:t>115/2012</w:t>
        </w:r>
      </w:hyperlink>
      <w:r>
        <w:t xml:space="preserve">, f. 4; </w:t>
      </w:r>
      <w:hyperlink w:anchor="SENTENCIA_2012_116" w:history="1">
        <w:r w:rsidRPr="0043655B">
          <w:rPr>
            <w:rStyle w:val="TextoNormalCaracter"/>
          </w:rPr>
          <w:t>116/2012</w:t>
        </w:r>
      </w:hyperlink>
      <w:r>
        <w:t xml:space="preserve">, f. 2; </w:t>
      </w:r>
      <w:hyperlink w:anchor="SENTENCIA_2012_119" w:history="1">
        <w:r w:rsidRPr="0043655B">
          <w:rPr>
            <w:rStyle w:val="TextoNormalCaracter"/>
          </w:rPr>
          <w:t>119/2012</w:t>
        </w:r>
      </w:hyperlink>
      <w:r>
        <w:t xml:space="preserve">, f. 3; </w:t>
      </w:r>
      <w:hyperlink w:anchor="SENTENCIA_2012_125" w:history="1">
        <w:r w:rsidRPr="0043655B">
          <w:rPr>
            <w:rStyle w:val="TextoNormalCaracter"/>
          </w:rPr>
          <w:t>125/2012</w:t>
        </w:r>
      </w:hyperlink>
      <w:r>
        <w:t xml:space="preserve">, ff. 3 a 5; </w:t>
      </w:r>
      <w:hyperlink w:anchor="SENTENCIA_2012_131" w:history="1">
        <w:r w:rsidRPr="0043655B">
          <w:rPr>
            <w:rStyle w:val="TextoNormalCaracter"/>
          </w:rPr>
          <w:t>131/2012</w:t>
        </w:r>
      </w:hyperlink>
      <w:r>
        <w:t>, f. 2.</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31" w:history="1">
        <w:r w:rsidRPr="0043655B">
          <w:rPr>
            <w:rStyle w:val="TextoNormalCaracter"/>
          </w:rPr>
          <w:t>31/2012</w:t>
        </w:r>
      </w:hyperlink>
      <w:r>
        <w:t xml:space="preserve">;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24.1.</w:t>
      </w:r>
      <w:r w:rsidRPr="0043655B">
        <w:rPr>
          <w:rStyle w:val="TextoNormalCaracter"/>
        </w:rPr>
        <w:t>-</w:t>
      </w:r>
      <w:r>
        <w:t xml:space="preserve"> Sentencias </w:t>
      </w:r>
      <w:hyperlink w:anchor="SENTENCIA_2012_10" w:history="1">
        <w:r w:rsidRPr="0043655B">
          <w:rPr>
            <w:rStyle w:val="TextoNormalCaracter"/>
          </w:rPr>
          <w:t>10/2012</w:t>
        </w:r>
      </w:hyperlink>
      <w:r>
        <w:t xml:space="preserve">, ff. 1, 3, 5; </w:t>
      </w:r>
      <w:hyperlink w:anchor="SENTENCIA_2012_11" w:history="1">
        <w:r w:rsidRPr="0043655B">
          <w:rPr>
            <w:rStyle w:val="TextoNormalCaracter"/>
          </w:rPr>
          <w:t>11/2012</w:t>
        </w:r>
      </w:hyperlink>
      <w:r>
        <w:t xml:space="preserve">, ff. 2, 3; </w:t>
      </w:r>
      <w:hyperlink w:anchor="SENTENCIA_2012_13" w:history="1">
        <w:r w:rsidRPr="0043655B">
          <w:rPr>
            <w:rStyle w:val="TextoNormalCaracter"/>
          </w:rPr>
          <w:t>13/2012</w:t>
        </w:r>
      </w:hyperlink>
      <w:r>
        <w:t xml:space="preserve">, ff. 1, 3, 5; </w:t>
      </w:r>
      <w:hyperlink w:anchor="SENTENCIA_2012_14" w:history="1">
        <w:r w:rsidRPr="0043655B">
          <w:rPr>
            <w:rStyle w:val="TextoNormalCaracter"/>
          </w:rPr>
          <w:t>14/2012</w:t>
        </w:r>
      </w:hyperlink>
      <w:r>
        <w:t xml:space="preserve">, f. 1; </w:t>
      </w:r>
      <w:hyperlink w:anchor="SENTENCIA_2012_15" w:history="1">
        <w:r w:rsidRPr="0043655B">
          <w:rPr>
            <w:rStyle w:val="TextoNormalCaracter"/>
          </w:rPr>
          <w:t>15/2012</w:t>
        </w:r>
      </w:hyperlink>
      <w:r>
        <w:t xml:space="preserve">, ff. 1, 3, 4; </w:t>
      </w:r>
      <w:hyperlink w:anchor="SENTENCIA_2012_16" w:history="1">
        <w:r w:rsidRPr="0043655B">
          <w:rPr>
            <w:rStyle w:val="TextoNormalCaracter"/>
          </w:rPr>
          <w:t>16/2012</w:t>
        </w:r>
      </w:hyperlink>
      <w:r>
        <w:t xml:space="preserve">, ff. 1 a 3; </w:t>
      </w:r>
      <w:hyperlink w:anchor="SENTENCIA_2012_20" w:history="1">
        <w:r w:rsidRPr="0043655B">
          <w:rPr>
            <w:rStyle w:val="TextoNormalCaracter"/>
          </w:rPr>
          <w:t>20/2012</w:t>
        </w:r>
      </w:hyperlink>
      <w:r>
        <w:t xml:space="preserve">, ff. 1, 5, 7, 10; </w:t>
      </w:r>
      <w:hyperlink w:anchor="SENTENCIA_2012_25" w:history="1">
        <w:r w:rsidRPr="0043655B">
          <w:rPr>
            <w:rStyle w:val="TextoNormalCaracter"/>
          </w:rPr>
          <w:t>25/2012</w:t>
        </w:r>
      </w:hyperlink>
      <w:r>
        <w:t xml:space="preserve">, ff. 1, 3, 5; </w:t>
      </w:r>
      <w:hyperlink w:anchor="SENTENCIA_2012_31" w:history="1">
        <w:r w:rsidRPr="0043655B">
          <w:rPr>
            <w:rStyle w:val="TextoNormalCaracter"/>
          </w:rPr>
          <w:t>31/2012</w:t>
        </w:r>
      </w:hyperlink>
      <w:r>
        <w:t xml:space="preserve">, ff. 1, 2, 6; </w:t>
      </w:r>
      <w:hyperlink w:anchor="SENTENCIA_2012_37" w:history="1">
        <w:r w:rsidRPr="0043655B">
          <w:rPr>
            <w:rStyle w:val="TextoNormalCaracter"/>
          </w:rPr>
          <w:t>37/2012</w:t>
        </w:r>
      </w:hyperlink>
      <w:r>
        <w:t xml:space="preserve">, ff. 2, 7, 10, 11, VP IV; </w:t>
      </w:r>
      <w:hyperlink w:anchor="SENTENCIA_2012_39" w:history="1">
        <w:r w:rsidRPr="0043655B">
          <w:rPr>
            <w:rStyle w:val="TextoNormalCaracter"/>
          </w:rPr>
          <w:t>39/2012</w:t>
        </w:r>
      </w:hyperlink>
      <w:r>
        <w:t xml:space="preserve">, ff. 1 a 5, 7, VP I, VP II; </w:t>
      </w:r>
      <w:hyperlink w:anchor="SENTENCIA_2012_40" w:history="1">
        <w:r w:rsidRPr="0043655B">
          <w:rPr>
            <w:rStyle w:val="TextoNormalCaracter"/>
          </w:rPr>
          <w:t>40/2012</w:t>
        </w:r>
      </w:hyperlink>
      <w:r>
        <w:t xml:space="preserve">, ff. 1 a 3, 5, 7, 8, 10, VP II; </w:t>
      </w:r>
      <w:hyperlink w:anchor="SENTENCIA_2012_41" w:history="1">
        <w:r w:rsidRPr="0043655B">
          <w:rPr>
            <w:rStyle w:val="TextoNormalCaracter"/>
          </w:rPr>
          <w:t>41/2012</w:t>
        </w:r>
      </w:hyperlink>
      <w:r>
        <w:t xml:space="preserve">, ff. 1, 3, 4, 7, 9, VP I, VP </w:t>
      </w:r>
      <w:r>
        <w:lastRenderedPageBreak/>
        <w:t xml:space="preserve">II, VP IV; </w:t>
      </w:r>
      <w:hyperlink w:anchor="SENTENCIA_2012_42" w:history="1">
        <w:r w:rsidRPr="0043655B">
          <w:rPr>
            <w:rStyle w:val="TextoNormalCaracter"/>
          </w:rPr>
          <w:t>42/2012</w:t>
        </w:r>
      </w:hyperlink>
      <w:r>
        <w:t xml:space="preserve">, ff. 2, 3, 5, 7 a 9; </w:t>
      </w:r>
      <w:hyperlink w:anchor="SENTENCIA_2012_43" w:history="1">
        <w:r w:rsidRPr="0043655B">
          <w:rPr>
            <w:rStyle w:val="TextoNormalCaracter"/>
          </w:rPr>
          <w:t>43/2012</w:t>
        </w:r>
      </w:hyperlink>
      <w:r>
        <w:t xml:space="preserve">, ff. 1, 2, 6, 8; </w:t>
      </w:r>
      <w:hyperlink w:anchor="SENTENCIA_2012_44" w:history="1">
        <w:r w:rsidRPr="0043655B">
          <w:rPr>
            <w:rStyle w:val="TextoNormalCaracter"/>
          </w:rPr>
          <w:t>44/2012</w:t>
        </w:r>
      </w:hyperlink>
      <w:r>
        <w:t xml:space="preserve">, ff. 1, 4, 6; </w:t>
      </w:r>
      <w:hyperlink w:anchor="SENTENCIA_2012_45" w:history="1">
        <w:r w:rsidRPr="0043655B">
          <w:rPr>
            <w:rStyle w:val="TextoNormalCaracter"/>
          </w:rPr>
          <w:t>45/2012</w:t>
        </w:r>
      </w:hyperlink>
      <w:r>
        <w:t xml:space="preserve">, ff. 1, 2, 4, 6; </w:t>
      </w:r>
      <w:hyperlink w:anchor="SENTENCIA_2012_46" w:history="1">
        <w:r w:rsidRPr="0043655B">
          <w:rPr>
            <w:rStyle w:val="TextoNormalCaracter"/>
          </w:rPr>
          <w:t>46/2012</w:t>
        </w:r>
      </w:hyperlink>
      <w:r>
        <w:t xml:space="preserve">, ff. 1, 2, 6, 8; </w:t>
      </w:r>
      <w:hyperlink w:anchor="SENTENCIA_2012_47" w:history="1">
        <w:r w:rsidRPr="0043655B">
          <w:rPr>
            <w:rStyle w:val="TextoNormalCaracter"/>
          </w:rPr>
          <w:t>47/2012</w:t>
        </w:r>
      </w:hyperlink>
      <w:r>
        <w:t xml:space="preserve">, ff. 1 a 3, 5, 6; </w:t>
      </w:r>
      <w:hyperlink w:anchor="SENTENCIA_2012_48" w:history="1">
        <w:r w:rsidRPr="0043655B">
          <w:rPr>
            <w:rStyle w:val="TextoNormalCaracter"/>
          </w:rPr>
          <w:t>48/2012</w:t>
        </w:r>
      </w:hyperlink>
      <w:r>
        <w:t xml:space="preserve">, ff. 1, 3, 4, 6, 7; </w:t>
      </w:r>
      <w:hyperlink w:anchor="SENTENCIA_2012_49" w:history="1">
        <w:r w:rsidRPr="0043655B">
          <w:rPr>
            <w:rStyle w:val="TextoNormalCaracter"/>
          </w:rPr>
          <w:t>49/2012</w:t>
        </w:r>
      </w:hyperlink>
      <w:r>
        <w:t xml:space="preserve">, ff. 1, 2, 5 a 7; </w:t>
      </w:r>
      <w:hyperlink w:anchor="SENTENCIA_2012_50" w:history="1">
        <w:r w:rsidRPr="0043655B">
          <w:rPr>
            <w:rStyle w:val="TextoNormalCaracter"/>
          </w:rPr>
          <w:t>50/2012</w:t>
        </w:r>
      </w:hyperlink>
      <w:r>
        <w:t xml:space="preserve">, ff. 1 a 3, 5, 6; </w:t>
      </w:r>
      <w:hyperlink w:anchor="SENTENCIA_2012_51" w:history="1">
        <w:r w:rsidRPr="0043655B">
          <w:rPr>
            <w:rStyle w:val="TextoNormalCaracter"/>
          </w:rPr>
          <w:t>51/2012</w:t>
        </w:r>
      </w:hyperlink>
      <w:r>
        <w:t xml:space="preserve">, ff. 1, 3, 5, 7; </w:t>
      </w:r>
      <w:hyperlink w:anchor="SENTENCIA_2012_52" w:history="1">
        <w:r w:rsidRPr="0043655B">
          <w:rPr>
            <w:rStyle w:val="TextoNormalCaracter"/>
          </w:rPr>
          <w:t>52/2012</w:t>
        </w:r>
      </w:hyperlink>
      <w:r>
        <w:t xml:space="preserve">, ff. 1, 2, 4, 6; </w:t>
      </w:r>
      <w:hyperlink w:anchor="SENTENCIA_2012_53" w:history="1">
        <w:r w:rsidRPr="0043655B">
          <w:rPr>
            <w:rStyle w:val="TextoNormalCaracter"/>
          </w:rPr>
          <w:t>53/2012</w:t>
        </w:r>
      </w:hyperlink>
      <w:r>
        <w:t xml:space="preserve">, ff. 1, 5, 7; </w:t>
      </w:r>
      <w:hyperlink w:anchor="SENTENCIA_2012_54" w:history="1">
        <w:r w:rsidRPr="0043655B">
          <w:rPr>
            <w:rStyle w:val="TextoNormalCaracter"/>
          </w:rPr>
          <w:t>54/2012</w:t>
        </w:r>
      </w:hyperlink>
      <w:r>
        <w:t xml:space="preserve">, ff. 1, 3, 6, 8; </w:t>
      </w:r>
      <w:hyperlink w:anchor="SENTENCIA_2012_55" w:history="1">
        <w:r w:rsidRPr="0043655B">
          <w:rPr>
            <w:rStyle w:val="TextoNormalCaracter"/>
          </w:rPr>
          <w:t>55/2012</w:t>
        </w:r>
      </w:hyperlink>
      <w:r>
        <w:t xml:space="preserve">, ff. 1, 3, 4, 6 a 8; </w:t>
      </w:r>
      <w:hyperlink w:anchor="SENTENCIA_2012_56" w:history="1">
        <w:r w:rsidRPr="0043655B">
          <w:rPr>
            <w:rStyle w:val="TextoNormalCaracter"/>
          </w:rPr>
          <w:t>56/2012</w:t>
        </w:r>
      </w:hyperlink>
      <w:r>
        <w:t xml:space="preserve">, ff. 1, 3, 5; </w:t>
      </w:r>
      <w:hyperlink w:anchor="SENTENCIA_2012_57" w:history="1">
        <w:r w:rsidRPr="0043655B">
          <w:rPr>
            <w:rStyle w:val="TextoNormalCaracter"/>
          </w:rPr>
          <w:t>57/2012</w:t>
        </w:r>
      </w:hyperlink>
      <w:r>
        <w:t xml:space="preserve">, ff. 1, 2, 4, 5, 7; </w:t>
      </w:r>
      <w:hyperlink w:anchor="SENTENCIA_2012_58" w:history="1">
        <w:r w:rsidRPr="0043655B">
          <w:rPr>
            <w:rStyle w:val="TextoNormalCaracter"/>
          </w:rPr>
          <w:t>58/2012</w:t>
        </w:r>
      </w:hyperlink>
      <w:r>
        <w:t xml:space="preserve">, f. 1; </w:t>
      </w:r>
      <w:hyperlink w:anchor="SENTENCIA_2012_59" w:history="1">
        <w:r w:rsidRPr="0043655B">
          <w:rPr>
            <w:rStyle w:val="TextoNormalCaracter"/>
          </w:rPr>
          <w:t>59/2012</w:t>
        </w:r>
      </w:hyperlink>
      <w:r>
        <w:t xml:space="preserve">, ff. 1, 3, 5, 6; </w:t>
      </w:r>
      <w:hyperlink w:anchor="SENTENCIA_2012_60" w:history="1">
        <w:r w:rsidRPr="0043655B">
          <w:rPr>
            <w:rStyle w:val="TextoNormalCaracter"/>
          </w:rPr>
          <w:t>60/2012</w:t>
        </w:r>
      </w:hyperlink>
      <w:r>
        <w:t xml:space="preserve">, f. 1; </w:t>
      </w:r>
      <w:hyperlink w:anchor="SENTENCIA_2012_61" w:history="1">
        <w:r w:rsidRPr="0043655B">
          <w:rPr>
            <w:rStyle w:val="TextoNormalCaracter"/>
          </w:rPr>
          <w:t>61/2012</w:t>
        </w:r>
      </w:hyperlink>
      <w:r>
        <w:t xml:space="preserve">, ff. 1, 2, 4, 6; </w:t>
      </w:r>
      <w:hyperlink w:anchor="SENTENCIA_2012_62" w:history="1">
        <w:r w:rsidRPr="0043655B">
          <w:rPr>
            <w:rStyle w:val="TextoNormalCaracter"/>
          </w:rPr>
          <w:t>62/2012</w:t>
        </w:r>
      </w:hyperlink>
      <w:r>
        <w:t xml:space="preserve">, ff. 1 a 3; </w:t>
      </w:r>
      <w:hyperlink w:anchor="SENTENCIA_2012_64" w:history="1">
        <w:r w:rsidRPr="0043655B">
          <w:rPr>
            <w:rStyle w:val="TextoNormalCaracter"/>
          </w:rPr>
          <w:t>64/2012</w:t>
        </w:r>
      </w:hyperlink>
      <w:r>
        <w:t xml:space="preserve">, ff. 1, 2, 4, 5, 7; </w:t>
      </w:r>
      <w:hyperlink w:anchor="SENTENCIA_2012_65" w:history="1">
        <w:r w:rsidRPr="0043655B">
          <w:rPr>
            <w:rStyle w:val="TextoNormalCaracter"/>
          </w:rPr>
          <w:t>65/2012</w:t>
        </w:r>
      </w:hyperlink>
      <w:r>
        <w:t xml:space="preserve">, ff. 1 a 3, 5, 6, 8; </w:t>
      </w:r>
      <w:hyperlink w:anchor="SENTENCIA_2012_66" w:history="1">
        <w:r w:rsidRPr="0043655B">
          <w:rPr>
            <w:rStyle w:val="TextoNormalCaracter"/>
          </w:rPr>
          <w:t>66/2012</w:t>
        </w:r>
      </w:hyperlink>
      <w:r>
        <w:t xml:space="preserve">, ff. 1, 2, 4, 6; </w:t>
      </w:r>
      <w:hyperlink w:anchor="SENTENCIA_2012_67" w:history="1">
        <w:r w:rsidRPr="0043655B">
          <w:rPr>
            <w:rStyle w:val="TextoNormalCaracter"/>
          </w:rPr>
          <w:t>67/2012</w:t>
        </w:r>
      </w:hyperlink>
      <w:r>
        <w:t xml:space="preserve">, ff. 1, 2, 4, 5, 7; </w:t>
      </w:r>
      <w:hyperlink w:anchor="SENTENCIA_2012_68" w:history="1">
        <w:r w:rsidRPr="0043655B">
          <w:rPr>
            <w:rStyle w:val="TextoNormalCaracter"/>
          </w:rPr>
          <w:t>68/2012</w:t>
        </w:r>
      </w:hyperlink>
      <w:r>
        <w:t xml:space="preserve">, ff. 1, 4, 6; </w:t>
      </w:r>
      <w:hyperlink w:anchor="SENTENCIA_2012_69" w:history="1">
        <w:r w:rsidRPr="0043655B">
          <w:rPr>
            <w:rStyle w:val="TextoNormalCaracter"/>
          </w:rPr>
          <w:t>69/2012</w:t>
        </w:r>
      </w:hyperlink>
      <w:r>
        <w:t xml:space="preserve">, ff. 1 a 3, 5, 6, 8; </w:t>
      </w:r>
      <w:hyperlink w:anchor="SENTENCIA_2012_70" w:history="1">
        <w:r w:rsidRPr="0043655B">
          <w:rPr>
            <w:rStyle w:val="TextoNormalCaracter"/>
          </w:rPr>
          <w:t>70/2012</w:t>
        </w:r>
      </w:hyperlink>
      <w:r>
        <w:t xml:space="preserve">, f. 1; </w:t>
      </w:r>
      <w:hyperlink w:anchor="SENTENCIA_2012_76" w:history="1">
        <w:r w:rsidRPr="0043655B">
          <w:rPr>
            <w:rStyle w:val="TextoNormalCaracter"/>
          </w:rPr>
          <w:t>76/2012</w:t>
        </w:r>
      </w:hyperlink>
      <w:r>
        <w:t xml:space="preserve">, ff. 1 a 3, 5; </w:t>
      </w:r>
      <w:hyperlink w:anchor="SENTENCIA_2012_79" w:history="1">
        <w:r w:rsidRPr="0043655B">
          <w:rPr>
            <w:rStyle w:val="TextoNormalCaracter"/>
          </w:rPr>
          <w:t>79/2012</w:t>
        </w:r>
      </w:hyperlink>
      <w:r>
        <w:t xml:space="preserve">, ff. 1, 4, 8; </w:t>
      </w:r>
      <w:hyperlink w:anchor="SENTENCIA_2012_84" w:history="1">
        <w:r w:rsidRPr="0043655B">
          <w:rPr>
            <w:rStyle w:val="TextoNormalCaracter"/>
          </w:rPr>
          <w:t>84/2012</w:t>
        </w:r>
      </w:hyperlink>
      <w:r>
        <w:t xml:space="preserve">, f. 1; </w:t>
      </w:r>
      <w:hyperlink w:anchor="SENTENCIA_2012_85" w:history="1">
        <w:r w:rsidRPr="0043655B">
          <w:rPr>
            <w:rStyle w:val="TextoNormalCaracter"/>
          </w:rPr>
          <w:t>85/2012</w:t>
        </w:r>
      </w:hyperlink>
      <w:r>
        <w:t xml:space="preserve">, f. 1; </w:t>
      </w:r>
      <w:hyperlink w:anchor="SENTENCIA_2012_91" w:history="1">
        <w:r w:rsidRPr="0043655B">
          <w:rPr>
            <w:rStyle w:val="TextoNormalCaracter"/>
          </w:rPr>
          <w:t>91/2012</w:t>
        </w:r>
      </w:hyperlink>
      <w:r>
        <w:t xml:space="preserve">, f. 3; </w:t>
      </w:r>
      <w:hyperlink w:anchor="SENTENCIA_2012_92" w:history="1">
        <w:r w:rsidRPr="0043655B">
          <w:rPr>
            <w:rStyle w:val="TextoNormalCaracter"/>
          </w:rPr>
          <w:t>92/2012</w:t>
        </w:r>
      </w:hyperlink>
      <w:r>
        <w:t xml:space="preserve">, f. 1; </w:t>
      </w:r>
      <w:hyperlink w:anchor="SENTENCIA_2012_94" w:history="1">
        <w:r w:rsidRPr="0043655B">
          <w:rPr>
            <w:rStyle w:val="TextoNormalCaracter"/>
          </w:rPr>
          <w:t>94/2012</w:t>
        </w:r>
      </w:hyperlink>
      <w:r>
        <w:t xml:space="preserve">, f. 3; </w:t>
      </w:r>
      <w:hyperlink w:anchor="SENTENCIA_2012_95" w:history="1">
        <w:r w:rsidRPr="0043655B">
          <w:rPr>
            <w:rStyle w:val="TextoNormalCaracter"/>
          </w:rPr>
          <w:t>95/2012</w:t>
        </w:r>
      </w:hyperlink>
      <w:r>
        <w:t xml:space="preserve">, ff. 1, 6; </w:t>
      </w:r>
      <w:hyperlink w:anchor="SENTENCIA_2012_96" w:history="1">
        <w:r w:rsidRPr="0043655B">
          <w:rPr>
            <w:rStyle w:val="TextoNormalCaracter"/>
          </w:rPr>
          <w:t>96/2012</w:t>
        </w:r>
      </w:hyperlink>
      <w:r>
        <w:t xml:space="preserve">, ff. 1 a 6, 9, 11; </w:t>
      </w:r>
      <w:hyperlink w:anchor="SENTENCIA_2012_97" w:history="1">
        <w:r w:rsidRPr="0043655B">
          <w:rPr>
            <w:rStyle w:val="TextoNormalCaracter"/>
          </w:rPr>
          <w:t>97/2012</w:t>
        </w:r>
      </w:hyperlink>
      <w:r>
        <w:t xml:space="preserve">, ff. 1, 3, 4; </w:t>
      </w:r>
      <w:hyperlink w:anchor="SENTENCIA_2012_103" w:history="1">
        <w:r w:rsidRPr="0043655B">
          <w:rPr>
            <w:rStyle w:val="TextoNormalCaracter"/>
          </w:rPr>
          <w:t>103/2012</w:t>
        </w:r>
      </w:hyperlink>
      <w:r>
        <w:t xml:space="preserve">, ff. 2 a 5; </w:t>
      </w:r>
      <w:hyperlink w:anchor="SENTENCIA_2012_104" w:history="1">
        <w:r w:rsidRPr="0043655B">
          <w:rPr>
            <w:rStyle w:val="TextoNormalCaracter"/>
          </w:rPr>
          <w:t>104/2012</w:t>
        </w:r>
      </w:hyperlink>
      <w:r>
        <w:t xml:space="preserve">, f. 2; </w:t>
      </w:r>
      <w:hyperlink w:anchor="SENTENCIA_2012_105" w:history="1">
        <w:r w:rsidRPr="0043655B">
          <w:rPr>
            <w:rStyle w:val="TextoNormalCaracter"/>
          </w:rPr>
          <w:t>105/2012</w:t>
        </w:r>
      </w:hyperlink>
      <w:r>
        <w:t xml:space="preserve">, ff. 2, 4, 5; </w:t>
      </w:r>
      <w:hyperlink w:anchor="SENTENCIA_2012_106" w:history="1">
        <w:r w:rsidRPr="0043655B">
          <w:rPr>
            <w:rStyle w:val="TextoNormalCaracter"/>
          </w:rPr>
          <w:t>106/2012</w:t>
        </w:r>
      </w:hyperlink>
      <w:r>
        <w:t xml:space="preserve">, ff. 1, 2; </w:t>
      </w:r>
      <w:hyperlink w:anchor="SENTENCIA_2012_107" w:history="1">
        <w:r w:rsidRPr="0043655B">
          <w:rPr>
            <w:rStyle w:val="TextoNormalCaracter"/>
          </w:rPr>
          <w:t>107/2012</w:t>
        </w:r>
      </w:hyperlink>
      <w:r>
        <w:t xml:space="preserve">, ff. 1, 3; </w:t>
      </w:r>
      <w:hyperlink w:anchor="SENTENCIA_2012_108" w:history="1">
        <w:r w:rsidRPr="0043655B">
          <w:rPr>
            <w:rStyle w:val="TextoNormalCaracter"/>
          </w:rPr>
          <w:t>108/2012</w:t>
        </w:r>
      </w:hyperlink>
      <w:r>
        <w:t xml:space="preserve">, ff. 1 a 3, 5; </w:t>
      </w:r>
      <w:hyperlink w:anchor="SENTENCIA_2012_113" w:history="1">
        <w:r w:rsidRPr="0043655B">
          <w:rPr>
            <w:rStyle w:val="TextoNormalCaracter"/>
          </w:rPr>
          <w:t>113/2012</w:t>
        </w:r>
      </w:hyperlink>
      <w:r>
        <w:t xml:space="preserve">, ff. 1 a 5, 9, 11, VP I, VP II, VP III; </w:t>
      </w:r>
      <w:hyperlink w:anchor="SENTENCIA_2012_114" w:history="1">
        <w:r w:rsidRPr="0043655B">
          <w:rPr>
            <w:rStyle w:val="TextoNormalCaracter"/>
          </w:rPr>
          <w:t>114/2012</w:t>
        </w:r>
      </w:hyperlink>
      <w:r>
        <w:t xml:space="preserve">, ff. 1, 2, 4 a 6; </w:t>
      </w:r>
      <w:hyperlink w:anchor="SENTENCIA_2012_115" w:history="1">
        <w:r w:rsidRPr="0043655B">
          <w:rPr>
            <w:rStyle w:val="TextoNormalCaracter"/>
          </w:rPr>
          <w:t>115/2012</w:t>
        </w:r>
      </w:hyperlink>
      <w:r>
        <w:t xml:space="preserve">, ff. 2 a 4; </w:t>
      </w:r>
      <w:hyperlink w:anchor="SENTENCIA_2012_116" w:history="1">
        <w:r w:rsidRPr="0043655B">
          <w:rPr>
            <w:rStyle w:val="TextoNormalCaracter"/>
          </w:rPr>
          <w:t>116/2012</w:t>
        </w:r>
      </w:hyperlink>
      <w:r>
        <w:t xml:space="preserve">, ff. 3, 4; </w:t>
      </w:r>
      <w:hyperlink w:anchor="SENTENCIA_2012_117" w:history="1">
        <w:r w:rsidRPr="0043655B">
          <w:rPr>
            <w:rStyle w:val="TextoNormalCaracter"/>
          </w:rPr>
          <w:t>117/2012</w:t>
        </w:r>
      </w:hyperlink>
      <w:r>
        <w:t xml:space="preserve">, f. 1; </w:t>
      </w:r>
      <w:hyperlink w:anchor="SENTENCIA_2012_118" w:history="1">
        <w:r w:rsidRPr="0043655B">
          <w:rPr>
            <w:rStyle w:val="TextoNormalCaracter"/>
          </w:rPr>
          <w:t>118/2012</w:t>
        </w:r>
      </w:hyperlink>
      <w:r>
        <w:t xml:space="preserve">, ff. 1, 3; </w:t>
      </w:r>
      <w:hyperlink w:anchor="SENTENCIA_2012_119" w:history="1">
        <w:r w:rsidRPr="0043655B">
          <w:rPr>
            <w:rStyle w:val="TextoNormalCaracter"/>
          </w:rPr>
          <w:t>119/2012</w:t>
        </w:r>
      </w:hyperlink>
      <w:r>
        <w:t xml:space="preserve">, ff. 1, 5, 9; </w:t>
      </w:r>
      <w:hyperlink w:anchor="SENTENCIA_2012_125" w:history="1">
        <w:r w:rsidRPr="0043655B">
          <w:rPr>
            <w:rStyle w:val="TextoNormalCaracter"/>
          </w:rPr>
          <w:t>125/2012</w:t>
        </w:r>
      </w:hyperlink>
      <w:r>
        <w:t xml:space="preserve">, ff. 2, 4; </w:t>
      </w:r>
      <w:hyperlink w:anchor="SENTENCIA_2012_126" w:history="1">
        <w:r w:rsidRPr="0043655B">
          <w:rPr>
            <w:rStyle w:val="TextoNormalCaracter"/>
          </w:rPr>
          <w:t>126/2012</w:t>
        </w:r>
      </w:hyperlink>
      <w:r>
        <w:t xml:space="preserve">, f. 1; </w:t>
      </w:r>
      <w:hyperlink w:anchor="SENTENCIA_2012_128" w:history="1">
        <w:r w:rsidRPr="0043655B">
          <w:rPr>
            <w:rStyle w:val="TextoNormalCaracter"/>
          </w:rPr>
          <w:t>128/2012</w:t>
        </w:r>
      </w:hyperlink>
      <w:r>
        <w:t xml:space="preserve">, f. 1; </w:t>
      </w:r>
      <w:hyperlink w:anchor="SENTENCIA_2012_129" w:history="1">
        <w:r w:rsidRPr="0043655B">
          <w:rPr>
            <w:rStyle w:val="TextoNormalCaracter"/>
          </w:rPr>
          <w:t>129/2012</w:t>
        </w:r>
      </w:hyperlink>
      <w:r>
        <w:t xml:space="preserve">, ff. 1 a 4; </w:t>
      </w:r>
      <w:hyperlink w:anchor="SENTENCIA_2012_130" w:history="1">
        <w:r w:rsidRPr="0043655B">
          <w:rPr>
            <w:rStyle w:val="TextoNormalCaracter"/>
          </w:rPr>
          <w:t>130/2012</w:t>
        </w:r>
      </w:hyperlink>
      <w:r>
        <w:t xml:space="preserve">, ff. 1 a 4; </w:t>
      </w:r>
      <w:hyperlink w:anchor="SENTENCIA_2012_131" w:history="1">
        <w:r w:rsidRPr="0043655B">
          <w:rPr>
            <w:rStyle w:val="TextoNormalCaracter"/>
          </w:rPr>
          <w:t>131/2012</w:t>
        </w:r>
      </w:hyperlink>
      <w:r>
        <w:t>, ff. 1, 2, 6.</w:t>
      </w:r>
    </w:p>
    <w:p w:rsidR="0043655B" w:rsidRDefault="0043655B" w:rsidP="0043655B">
      <w:pPr>
        <w:pStyle w:val="SangriaIzquierdaArticulo"/>
      </w:pPr>
      <w:r>
        <w:t xml:space="preserve">Autos </w:t>
      </w:r>
      <w:hyperlink w:anchor="AUTO_2012_19" w:history="1">
        <w:r w:rsidRPr="0043655B">
          <w:rPr>
            <w:rStyle w:val="TextoNormalCaracter"/>
          </w:rPr>
          <w:t>19/2012</w:t>
        </w:r>
      </w:hyperlink>
      <w:r>
        <w:t xml:space="preserve">;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 xml:space="preserve">; </w:t>
      </w:r>
      <w:hyperlink w:anchor="AUTO_2012_131" w:history="1">
        <w:r w:rsidRPr="0043655B">
          <w:rPr>
            <w:rStyle w:val="TextoNormalCaracter"/>
          </w:rPr>
          <w:t>131/2012</w:t>
        </w:r>
      </w:hyperlink>
      <w:r>
        <w:t>.</w:t>
      </w:r>
    </w:p>
    <w:p w:rsidR="0043655B" w:rsidRDefault="0043655B" w:rsidP="0043655B">
      <w:pPr>
        <w:pStyle w:val="SangriaFrancesaArticulo"/>
      </w:pPr>
      <w:r w:rsidRPr="0043655B">
        <w:rPr>
          <w:rStyle w:val="TextoNormalNegritaCaracter"/>
        </w:rPr>
        <w:t>Artículo 24.2.</w:t>
      </w:r>
      <w:r w:rsidRPr="0043655B">
        <w:rPr>
          <w:rStyle w:val="TextoNormalCaracter"/>
        </w:rPr>
        <w:t>-</w:t>
      </w:r>
      <w:r>
        <w:t xml:space="preserve"> Sentencias </w:t>
      </w:r>
      <w:hyperlink w:anchor="SENTENCIA_2012_70" w:history="1">
        <w:r w:rsidRPr="0043655B">
          <w:rPr>
            <w:rStyle w:val="TextoNormalCaracter"/>
          </w:rPr>
          <w:t>70/2012</w:t>
        </w:r>
      </w:hyperlink>
      <w:r>
        <w:t xml:space="preserve">, f. 2; </w:t>
      </w:r>
      <w:hyperlink w:anchor="SENTENCIA_2012_97" w:history="1">
        <w:r w:rsidRPr="0043655B">
          <w:rPr>
            <w:rStyle w:val="TextoNormalCaracter"/>
          </w:rPr>
          <w:t>97/2012</w:t>
        </w:r>
      </w:hyperlink>
      <w:r>
        <w:t>, f. 1.</w:t>
      </w:r>
    </w:p>
    <w:p w:rsidR="0043655B" w:rsidRDefault="0043655B" w:rsidP="0043655B">
      <w:pPr>
        <w:pStyle w:val="SangriaIzquierdaArticulo"/>
      </w:pPr>
      <w:r>
        <w:t xml:space="preserve">Auto </w:t>
      </w:r>
      <w:hyperlink w:anchor="AUTO_2012_127" w:history="1">
        <w:r w:rsidRPr="0043655B">
          <w:rPr>
            <w:rStyle w:val="TextoNormalCaracter"/>
          </w:rPr>
          <w:t>127/2012</w:t>
        </w:r>
      </w:hyperlink>
      <w:r>
        <w:t>.</w:t>
      </w:r>
    </w:p>
    <w:p w:rsidR="0043655B" w:rsidRDefault="0043655B" w:rsidP="0043655B">
      <w:pPr>
        <w:pStyle w:val="SangriaFrancesaArticulo"/>
      </w:pPr>
      <w:r w:rsidRPr="0043655B">
        <w:rPr>
          <w:rStyle w:val="TextoNormalNegritaCaracter"/>
        </w:rPr>
        <w:t>Artículo 24.2</w:t>
      </w:r>
      <w:r>
        <w:t xml:space="preserve"> </w:t>
      </w:r>
      <w:r w:rsidRPr="0043655B">
        <w:rPr>
          <w:rStyle w:val="TextoNormalCaracter"/>
        </w:rPr>
        <w:t>(derecho a la defensa)</w:t>
      </w:r>
      <w:r w:rsidRPr="0043655B">
        <w:rPr>
          <w:rStyle w:val="TextoNormalNegritaCaracter"/>
        </w:rPr>
        <w:t>.</w:t>
      </w:r>
      <w:r w:rsidRPr="0043655B">
        <w:rPr>
          <w:rStyle w:val="TextoNormalCaracter"/>
        </w:rPr>
        <w:t>-</w:t>
      </w:r>
      <w:r>
        <w:t xml:space="preserve"> Sentencias </w:t>
      </w:r>
      <w:hyperlink w:anchor="SENTENCIA_2012_37" w:history="1">
        <w:r w:rsidRPr="0043655B">
          <w:rPr>
            <w:rStyle w:val="TextoNormalCaracter"/>
          </w:rPr>
          <w:t>37/2012</w:t>
        </w:r>
      </w:hyperlink>
      <w:r>
        <w:t xml:space="preserve">, VP I; </w:t>
      </w:r>
      <w:hyperlink w:anchor="SENTENCIA_2012_43" w:history="1">
        <w:r w:rsidRPr="0043655B">
          <w:rPr>
            <w:rStyle w:val="TextoNormalCaracter"/>
          </w:rPr>
          <w:t>43/2012</w:t>
        </w:r>
      </w:hyperlink>
      <w:r>
        <w:t xml:space="preserve">, f. 1; </w:t>
      </w:r>
      <w:hyperlink w:anchor="SENTENCIA_2012_44" w:history="1">
        <w:r w:rsidRPr="0043655B">
          <w:rPr>
            <w:rStyle w:val="TextoNormalCaracter"/>
          </w:rPr>
          <w:t>44/2012</w:t>
        </w:r>
      </w:hyperlink>
      <w:r>
        <w:t xml:space="preserve">, f. 1; </w:t>
      </w:r>
      <w:hyperlink w:anchor="SENTENCIA_2012_57" w:history="1">
        <w:r w:rsidRPr="0043655B">
          <w:rPr>
            <w:rStyle w:val="TextoNormalCaracter"/>
          </w:rPr>
          <w:t>57/2012</w:t>
        </w:r>
      </w:hyperlink>
      <w:r>
        <w:t xml:space="preserve">, f. 1; </w:t>
      </w:r>
      <w:hyperlink w:anchor="SENTENCIA_2012_107" w:history="1">
        <w:r w:rsidRPr="0043655B">
          <w:rPr>
            <w:rStyle w:val="TextoNormalCaracter"/>
          </w:rPr>
          <w:t>107/2012</w:t>
        </w:r>
      </w:hyperlink>
      <w:r>
        <w:t xml:space="preserve">, f. 1; </w:t>
      </w:r>
      <w:hyperlink w:anchor="SENTENCIA_2012_126" w:history="1">
        <w:r w:rsidRPr="0043655B">
          <w:rPr>
            <w:rStyle w:val="TextoNormalCaracter"/>
          </w:rPr>
          <w:t>126/2012</w:t>
        </w:r>
      </w:hyperlink>
      <w:r>
        <w:t>, ff. 2, 4.</w:t>
      </w:r>
    </w:p>
    <w:p w:rsidR="0043655B" w:rsidRDefault="0043655B" w:rsidP="0043655B">
      <w:pPr>
        <w:pStyle w:val="SangriaFrancesaArticulo"/>
      </w:pPr>
      <w:r w:rsidRPr="0043655B">
        <w:rPr>
          <w:rStyle w:val="TextoNormalNegritaCaracter"/>
        </w:rPr>
        <w:t>Artículo 24.2</w:t>
      </w:r>
      <w:r>
        <w:t xml:space="preserve"> </w:t>
      </w:r>
      <w:r w:rsidRPr="0043655B">
        <w:rPr>
          <w:rStyle w:val="TextoNormalCaracter"/>
        </w:rPr>
        <w:t>(derecho a la presunción de inocencia)</w:t>
      </w:r>
      <w:r w:rsidRPr="0043655B">
        <w:rPr>
          <w:rStyle w:val="TextoNormalNegritaCaracter"/>
        </w:rPr>
        <w:t>.</w:t>
      </w:r>
      <w:r w:rsidRPr="0043655B">
        <w:rPr>
          <w:rStyle w:val="TextoNormalCaracter"/>
        </w:rPr>
        <w:t>-</w:t>
      </w:r>
      <w:r>
        <w:t xml:space="preserve"> Sentencias </w:t>
      </w:r>
      <w:hyperlink w:anchor="SENTENCIA_2012_16" w:history="1">
        <w:r w:rsidRPr="0043655B">
          <w:rPr>
            <w:rStyle w:val="TextoNormalCaracter"/>
          </w:rPr>
          <w:t>16/2012</w:t>
        </w:r>
      </w:hyperlink>
      <w:r>
        <w:t xml:space="preserve">, ff. 1 a 3, 6; </w:t>
      </w:r>
      <w:hyperlink w:anchor="SENTENCIA_2012_70" w:history="1">
        <w:r w:rsidRPr="0043655B">
          <w:rPr>
            <w:rStyle w:val="TextoNormalCaracter"/>
          </w:rPr>
          <w:t>70/2012</w:t>
        </w:r>
      </w:hyperlink>
      <w:r>
        <w:t xml:space="preserve">, ff. 1, 4; </w:t>
      </w:r>
      <w:hyperlink w:anchor="SENTENCIA_2012_107" w:history="1">
        <w:r w:rsidRPr="0043655B">
          <w:rPr>
            <w:rStyle w:val="TextoNormalCaracter"/>
          </w:rPr>
          <w:t>107/2012</w:t>
        </w:r>
      </w:hyperlink>
      <w:r>
        <w:t xml:space="preserve">, f. 6; </w:t>
      </w:r>
      <w:hyperlink w:anchor="SENTENCIA_2012_126" w:history="1">
        <w:r w:rsidRPr="0043655B">
          <w:rPr>
            <w:rStyle w:val="TextoNormalCaracter"/>
          </w:rPr>
          <w:t>126/2012</w:t>
        </w:r>
      </w:hyperlink>
      <w:r>
        <w:t>, ff. 1, 5.</w:t>
      </w:r>
    </w:p>
    <w:p w:rsidR="0043655B" w:rsidRDefault="0043655B" w:rsidP="0043655B">
      <w:pPr>
        <w:pStyle w:val="SangriaIzquierdaArticulo"/>
      </w:pPr>
      <w:r>
        <w:t xml:space="preserve">Auto </w:t>
      </w:r>
      <w:hyperlink w:anchor="AUTO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Artículo 24.2</w:t>
      </w:r>
      <w:r>
        <w:t xml:space="preserve"> </w:t>
      </w:r>
      <w:r w:rsidRPr="0043655B">
        <w:rPr>
          <w:rStyle w:val="TextoNormalCaracter"/>
        </w:rPr>
        <w:t>(derecho a ser informado de la acusación)</w:t>
      </w:r>
      <w:r w:rsidRPr="0043655B">
        <w:rPr>
          <w:rStyle w:val="TextoNormalNegritaCaracter"/>
        </w:rPr>
        <w:t>.</w:t>
      </w:r>
      <w:r w:rsidRPr="0043655B">
        <w:rPr>
          <w:rStyle w:val="TextoNormalCaracter"/>
        </w:rPr>
        <w:t>-</w:t>
      </w:r>
      <w:r>
        <w:t xml:space="preserve"> Sentencias </w:t>
      </w:r>
      <w:hyperlink w:anchor="SENTENCIA_2012_43" w:history="1">
        <w:r w:rsidRPr="0043655B">
          <w:rPr>
            <w:rStyle w:val="TextoNormalCaracter"/>
          </w:rPr>
          <w:t>43/2012</w:t>
        </w:r>
      </w:hyperlink>
      <w:r>
        <w:t xml:space="preserve">, f. 1; </w:t>
      </w:r>
      <w:hyperlink w:anchor="SENTENCIA_2012_46" w:history="1">
        <w:r w:rsidRPr="0043655B">
          <w:rPr>
            <w:rStyle w:val="TextoNormalCaracter"/>
          </w:rPr>
          <w:t>46/2012</w:t>
        </w:r>
      </w:hyperlink>
      <w:r>
        <w:t xml:space="preserve">, ff. 1, 2; </w:t>
      </w:r>
      <w:hyperlink w:anchor="SENTENCIA_2012_51" w:history="1">
        <w:r w:rsidRPr="0043655B">
          <w:rPr>
            <w:rStyle w:val="TextoNormalCaracter"/>
          </w:rPr>
          <w:t>51/2012</w:t>
        </w:r>
      </w:hyperlink>
      <w:r>
        <w:t>, f. 3.</w:t>
      </w:r>
    </w:p>
    <w:p w:rsidR="0043655B" w:rsidRDefault="0043655B" w:rsidP="0043655B">
      <w:pPr>
        <w:pStyle w:val="SangriaFrancesaArticulo"/>
      </w:pPr>
      <w:r w:rsidRPr="0043655B">
        <w:rPr>
          <w:rStyle w:val="TextoNormalNegritaCaracter"/>
        </w:rPr>
        <w:t>Artículo 24.2</w:t>
      </w:r>
      <w:r>
        <w:t xml:space="preserve"> </w:t>
      </w:r>
      <w:r w:rsidRPr="0043655B">
        <w:rPr>
          <w:rStyle w:val="TextoNormalCaracter"/>
        </w:rPr>
        <w:t>(derecho a un proceso con todas las garantías)</w:t>
      </w:r>
      <w:r w:rsidRPr="0043655B">
        <w:rPr>
          <w:rStyle w:val="TextoNormalNegritaCaracter"/>
        </w:rPr>
        <w:t>.</w:t>
      </w:r>
      <w:r w:rsidRPr="0043655B">
        <w:rPr>
          <w:rStyle w:val="TextoNormalCaracter"/>
        </w:rPr>
        <w:t>-</w:t>
      </w:r>
      <w:r>
        <w:t xml:space="preserve"> Sentencias </w:t>
      </w:r>
      <w:hyperlink w:anchor="SENTENCIA_2012_39" w:history="1">
        <w:r w:rsidRPr="0043655B">
          <w:rPr>
            <w:rStyle w:val="TextoNormalCaracter"/>
          </w:rPr>
          <w:t>39/2012</w:t>
        </w:r>
      </w:hyperlink>
      <w:r>
        <w:t xml:space="preserve">, ff. 1, 2; </w:t>
      </w:r>
      <w:hyperlink w:anchor="SENTENCIA_2012_40" w:history="1">
        <w:r w:rsidRPr="0043655B">
          <w:rPr>
            <w:rStyle w:val="TextoNormalCaracter"/>
          </w:rPr>
          <w:t>40/2012</w:t>
        </w:r>
      </w:hyperlink>
      <w:r>
        <w:t xml:space="preserve">, ff. 1, 2, 4; </w:t>
      </w:r>
      <w:hyperlink w:anchor="SENTENCIA_2012_41" w:history="1">
        <w:r w:rsidRPr="0043655B">
          <w:rPr>
            <w:rStyle w:val="TextoNormalCaracter"/>
          </w:rPr>
          <w:t>41/2012</w:t>
        </w:r>
      </w:hyperlink>
      <w:r>
        <w:t xml:space="preserve">, ff. 1, 3, 5, VP II; </w:t>
      </w:r>
      <w:hyperlink w:anchor="SENTENCIA_2012_42" w:history="1">
        <w:r w:rsidRPr="0043655B">
          <w:rPr>
            <w:rStyle w:val="TextoNormalCaracter"/>
          </w:rPr>
          <w:t>42/2012</w:t>
        </w:r>
      </w:hyperlink>
      <w:r>
        <w:t xml:space="preserve">, ff. 2, 4; </w:t>
      </w:r>
      <w:hyperlink w:anchor="SENTENCIA_2012_43" w:history="1">
        <w:r w:rsidRPr="0043655B">
          <w:rPr>
            <w:rStyle w:val="TextoNormalCaracter"/>
          </w:rPr>
          <w:t>43/2012</w:t>
        </w:r>
      </w:hyperlink>
      <w:r>
        <w:t xml:space="preserve">, ff. 1, 2; </w:t>
      </w:r>
      <w:hyperlink w:anchor="SENTENCIA_2012_44" w:history="1">
        <w:r w:rsidRPr="0043655B">
          <w:rPr>
            <w:rStyle w:val="TextoNormalCaracter"/>
          </w:rPr>
          <w:t>44/2012</w:t>
        </w:r>
      </w:hyperlink>
      <w:r>
        <w:t xml:space="preserve">, ff. 1, 2; </w:t>
      </w:r>
      <w:hyperlink w:anchor="SENTENCIA_2012_45" w:history="1">
        <w:r w:rsidRPr="0043655B">
          <w:rPr>
            <w:rStyle w:val="TextoNormalCaracter"/>
          </w:rPr>
          <w:t>45/2012</w:t>
        </w:r>
      </w:hyperlink>
      <w:r>
        <w:t xml:space="preserve">, ff. 1, 2; </w:t>
      </w:r>
      <w:hyperlink w:anchor="SENTENCIA_2012_46" w:history="1">
        <w:r w:rsidRPr="0043655B">
          <w:rPr>
            <w:rStyle w:val="TextoNormalCaracter"/>
          </w:rPr>
          <w:t>46/2012</w:t>
        </w:r>
      </w:hyperlink>
      <w:r>
        <w:t xml:space="preserve">, ff. 1, 2; </w:t>
      </w:r>
      <w:hyperlink w:anchor="SENTENCIA_2012_47" w:history="1">
        <w:r w:rsidRPr="0043655B">
          <w:rPr>
            <w:rStyle w:val="TextoNormalCaracter"/>
          </w:rPr>
          <w:t>47/2012</w:t>
        </w:r>
      </w:hyperlink>
      <w:r>
        <w:t xml:space="preserve">, ff. 1, 2; </w:t>
      </w:r>
      <w:hyperlink w:anchor="SENTENCIA_2012_48" w:history="1">
        <w:r w:rsidRPr="0043655B">
          <w:rPr>
            <w:rStyle w:val="TextoNormalCaracter"/>
          </w:rPr>
          <w:t>48/2012</w:t>
        </w:r>
      </w:hyperlink>
      <w:r>
        <w:t xml:space="preserve">, ff. 1, 3; </w:t>
      </w:r>
      <w:hyperlink w:anchor="SENTENCIA_2012_49" w:history="1">
        <w:r w:rsidRPr="0043655B">
          <w:rPr>
            <w:rStyle w:val="TextoNormalCaracter"/>
          </w:rPr>
          <w:t>49/2012</w:t>
        </w:r>
      </w:hyperlink>
      <w:r>
        <w:t xml:space="preserve">, ff. 1, 2; </w:t>
      </w:r>
      <w:hyperlink w:anchor="SENTENCIA_2012_50" w:history="1">
        <w:r w:rsidRPr="0043655B">
          <w:rPr>
            <w:rStyle w:val="TextoNormalCaracter"/>
          </w:rPr>
          <w:t>50/2012</w:t>
        </w:r>
      </w:hyperlink>
      <w:r>
        <w:t xml:space="preserve">, ff. 1, 2; </w:t>
      </w:r>
      <w:hyperlink w:anchor="SENTENCIA_2012_51" w:history="1">
        <w:r w:rsidRPr="0043655B">
          <w:rPr>
            <w:rStyle w:val="TextoNormalCaracter"/>
          </w:rPr>
          <w:t>51/2012</w:t>
        </w:r>
      </w:hyperlink>
      <w:r>
        <w:t xml:space="preserve">, ff. 1, 3; </w:t>
      </w:r>
      <w:hyperlink w:anchor="SENTENCIA_2012_52" w:history="1">
        <w:r w:rsidRPr="0043655B">
          <w:rPr>
            <w:rStyle w:val="TextoNormalCaracter"/>
          </w:rPr>
          <w:t>52/2012</w:t>
        </w:r>
      </w:hyperlink>
      <w:r>
        <w:t xml:space="preserve">, ff. 1, 2; </w:t>
      </w:r>
      <w:hyperlink w:anchor="SENTENCIA_2012_54" w:history="1">
        <w:r w:rsidRPr="0043655B">
          <w:rPr>
            <w:rStyle w:val="TextoNormalCaracter"/>
          </w:rPr>
          <w:t>54/2012</w:t>
        </w:r>
      </w:hyperlink>
      <w:r>
        <w:t xml:space="preserve">, ff. 1, 3; </w:t>
      </w:r>
      <w:hyperlink w:anchor="SENTENCIA_2012_55" w:history="1">
        <w:r w:rsidRPr="0043655B">
          <w:rPr>
            <w:rStyle w:val="TextoNormalCaracter"/>
          </w:rPr>
          <w:t>55/2012</w:t>
        </w:r>
      </w:hyperlink>
      <w:r>
        <w:t xml:space="preserve">, ff. 1, 3; </w:t>
      </w:r>
      <w:hyperlink w:anchor="SENTENCIA_2012_57" w:history="1">
        <w:r w:rsidRPr="0043655B">
          <w:rPr>
            <w:rStyle w:val="TextoNormalCaracter"/>
          </w:rPr>
          <w:t>57/2012</w:t>
        </w:r>
      </w:hyperlink>
      <w:r>
        <w:t xml:space="preserve">, ff. 1, 2; </w:t>
      </w:r>
      <w:hyperlink w:anchor="SENTENCIA_2012_58" w:history="1">
        <w:r w:rsidRPr="0043655B">
          <w:rPr>
            <w:rStyle w:val="TextoNormalCaracter"/>
          </w:rPr>
          <w:t>58/2012</w:t>
        </w:r>
      </w:hyperlink>
      <w:r>
        <w:t xml:space="preserve">, f. 1; </w:t>
      </w:r>
      <w:hyperlink w:anchor="SENTENCIA_2012_65" w:history="1">
        <w:r w:rsidRPr="0043655B">
          <w:rPr>
            <w:rStyle w:val="TextoNormalCaracter"/>
          </w:rPr>
          <w:t>65/2012</w:t>
        </w:r>
      </w:hyperlink>
      <w:r>
        <w:t xml:space="preserve">, ff. 1, 2; </w:t>
      </w:r>
      <w:hyperlink w:anchor="SENTENCIA_2012_66" w:history="1">
        <w:r w:rsidRPr="0043655B">
          <w:rPr>
            <w:rStyle w:val="TextoNormalCaracter"/>
          </w:rPr>
          <w:t>66/2012</w:t>
        </w:r>
      </w:hyperlink>
      <w:r>
        <w:t xml:space="preserve">, ff. 1, 2; </w:t>
      </w:r>
      <w:hyperlink w:anchor="SENTENCIA_2012_69" w:history="1">
        <w:r w:rsidRPr="0043655B">
          <w:rPr>
            <w:rStyle w:val="TextoNormalCaracter"/>
          </w:rPr>
          <w:t>69/2012</w:t>
        </w:r>
      </w:hyperlink>
      <w:r>
        <w:t xml:space="preserve">, ff. 1, 2; </w:t>
      </w:r>
      <w:hyperlink w:anchor="SENTENCIA_2012_70" w:history="1">
        <w:r w:rsidRPr="0043655B">
          <w:rPr>
            <w:rStyle w:val="TextoNormalCaracter"/>
          </w:rPr>
          <w:t>70/2012</w:t>
        </w:r>
      </w:hyperlink>
      <w:r>
        <w:t xml:space="preserve">, f. 2; </w:t>
      </w:r>
      <w:hyperlink w:anchor="SENTENCIA_2012_107" w:history="1">
        <w:r w:rsidRPr="0043655B">
          <w:rPr>
            <w:rStyle w:val="TextoNormalCaracter"/>
          </w:rPr>
          <w:t>107/2012</w:t>
        </w:r>
      </w:hyperlink>
      <w:r>
        <w:t xml:space="preserve">, f. 6; </w:t>
      </w:r>
      <w:hyperlink w:anchor="SENTENCIA_2012_108" w:history="1">
        <w:r w:rsidRPr="0043655B">
          <w:rPr>
            <w:rStyle w:val="TextoNormalCaracter"/>
          </w:rPr>
          <w:t>108/2012</w:t>
        </w:r>
      </w:hyperlink>
      <w:r>
        <w:t xml:space="preserve">, ff. 1, 5; </w:t>
      </w:r>
      <w:hyperlink w:anchor="SENTENCIA_2012_113" w:history="1">
        <w:r w:rsidRPr="0043655B">
          <w:rPr>
            <w:rStyle w:val="TextoNormalCaracter"/>
          </w:rPr>
          <w:t>113/2012</w:t>
        </w:r>
      </w:hyperlink>
      <w:r>
        <w:t xml:space="preserve">, ff. 1, 2, 4; </w:t>
      </w:r>
      <w:hyperlink w:anchor="SENTENCIA_2012_126" w:history="1">
        <w:r w:rsidRPr="0043655B">
          <w:rPr>
            <w:rStyle w:val="TextoNormalCaracter"/>
          </w:rPr>
          <w:t>126/2012</w:t>
        </w:r>
      </w:hyperlink>
      <w:r>
        <w:t xml:space="preserve">, ff. 1, 3, 5; </w:t>
      </w:r>
      <w:hyperlink w:anchor="SENTENCIA_2012_131" w:history="1">
        <w:r w:rsidRPr="0043655B">
          <w:rPr>
            <w:rStyle w:val="TextoNormalCaracter"/>
          </w:rPr>
          <w:t>131/2012</w:t>
        </w:r>
      </w:hyperlink>
      <w:r>
        <w:t>, f. 1.</w:t>
      </w:r>
    </w:p>
    <w:p w:rsidR="0043655B" w:rsidRDefault="0043655B" w:rsidP="0043655B">
      <w:pPr>
        <w:pStyle w:val="SangriaIzquierdaArticulo"/>
      </w:pPr>
      <w:r>
        <w:t xml:space="preserve">Autos </w:t>
      </w:r>
      <w:hyperlink w:anchor="AUTO_2012_11" w:history="1">
        <w:r w:rsidRPr="0043655B">
          <w:rPr>
            <w:rStyle w:val="TextoNormalCaracter"/>
          </w:rPr>
          <w:t>11/2012</w:t>
        </w:r>
      </w:hyperlink>
      <w:r>
        <w:t xml:space="preserve">; </w:t>
      </w:r>
      <w:hyperlink w:anchor="AUTO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Artículo 25.</w:t>
      </w:r>
      <w:r w:rsidRPr="0043655B">
        <w:rPr>
          <w:rStyle w:val="TextoNormalCaracter"/>
        </w:rPr>
        <w:t>-</w:t>
      </w:r>
      <w:r>
        <w:t xml:space="preserve"> Sentencias </w:t>
      </w:r>
      <w:hyperlink w:anchor="SENTENCIA_2012_8" w:history="1">
        <w:r w:rsidRPr="0043655B">
          <w:rPr>
            <w:rStyle w:val="TextoNormalCaracter"/>
          </w:rPr>
          <w:t>8/2012</w:t>
        </w:r>
      </w:hyperlink>
      <w:r>
        <w:t xml:space="preserve">, ff. 1, 11; </w:t>
      </w:r>
      <w:hyperlink w:anchor="SENTENCIA_2012_37" w:history="1">
        <w:r w:rsidRPr="0043655B">
          <w:rPr>
            <w:rStyle w:val="TextoNormalCaracter"/>
          </w:rPr>
          <w:t>37/2012</w:t>
        </w:r>
      </w:hyperlink>
      <w:r>
        <w:t xml:space="preserve">, VP III; </w:t>
      </w:r>
      <w:hyperlink w:anchor="SENTENCIA_2012_109" w:history="1">
        <w:r w:rsidRPr="0043655B">
          <w:rPr>
            <w:rStyle w:val="TextoNormalCaracter"/>
          </w:rPr>
          <w:t>109/2012</w:t>
        </w:r>
      </w:hyperlink>
      <w:r>
        <w:t xml:space="preserve">, f. 3; </w:t>
      </w:r>
      <w:hyperlink w:anchor="SENTENCIA_2012_127" w:history="1">
        <w:r w:rsidRPr="0043655B">
          <w:rPr>
            <w:rStyle w:val="TextoNormalCaracter"/>
          </w:rPr>
          <w:t>127/2012</w:t>
        </w:r>
      </w:hyperlink>
      <w:r>
        <w:t>, f. 3.</w:t>
      </w:r>
    </w:p>
    <w:p w:rsidR="0043655B" w:rsidRDefault="0043655B" w:rsidP="0043655B">
      <w:pPr>
        <w:pStyle w:val="SangriaFrancesaArticulo"/>
      </w:pPr>
      <w:r w:rsidRPr="0043655B">
        <w:rPr>
          <w:rStyle w:val="TextoNormalNegritaCaracter"/>
        </w:rPr>
        <w:t>Artículo 25.1.</w:t>
      </w:r>
      <w:r w:rsidRPr="0043655B">
        <w:rPr>
          <w:rStyle w:val="TextoNormalCaracter"/>
        </w:rPr>
        <w:t>-</w:t>
      </w:r>
      <w:r>
        <w:t xml:space="preserve"> Sentencias </w:t>
      </w:r>
      <w:hyperlink w:anchor="SENTENCIA_2012_8" w:history="1">
        <w:r w:rsidRPr="0043655B">
          <w:rPr>
            <w:rStyle w:val="TextoNormalCaracter"/>
          </w:rPr>
          <w:t>8/2012</w:t>
        </w:r>
      </w:hyperlink>
      <w:r>
        <w:t xml:space="preserve">, f. 11; </w:t>
      </w:r>
      <w:hyperlink w:anchor="SENTENCIA_2012_16" w:history="1">
        <w:r w:rsidRPr="0043655B">
          <w:rPr>
            <w:rStyle w:val="TextoNormalCaracter"/>
          </w:rPr>
          <w:t>16/2012</w:t>
        </w:r>
      </w:hyperlink>
      <w:r>
        <w:t xml:space="preserve">, ff. 1, 2; </w:t>
      </w:r>
      <w:hyperlink w:anchor="SENTENCIA_2012_31" w:history="1">
        <w:r w:rsidRPr="0043655B">
          <w:rPr>
            <w:rStyle w:val="TextoNormalCaracter"/>
          </w:rPr>
          <w:t>31/2012</w:t>
        </w:r>
      </w:hyperlink>
      <w:r>
        <w:t xml:space="preserve">, ff. 1, 6; </w:t>
      </w:r>
      <w:hyperlink w:anchor="SENTENCIA_2012_37" w:history="1">
        <w:r w:rsidRPr="0043655B">
          <w:rPr>
            <w:rStyle w:val="TextoNormalCaracter"/>
          </w:rPr>
          <w:t>37/2012</w:t>
        </w:r>
      </w:hyperlink>
      <w:r>
        <w:t xml:space="preserve">, f. 10, VP III; </w:t>
      </w:r>
      <w:hyperlink w:anchor="SENTENCIA_2012_39" w:history="1">
        <w:r w:rsidRPr="0043655B">
          <w:rPr>
            <w:rStyle w:val="TextoNormalCaracter"/>
          </w:rPr>
          <w:t>39/2012</w:t>
        </w:r>
      </w:hyperlink>
      <w:r>
        <w:t xml:space="preserve">, ff. 1, 3, VP II; </w:t>
      </w:r>
      <w:hyperlink w:anchor="SENTENCIA_2012_40" w:history="1">
        <w:r w:rsidRPr="0043655B">
          <w:rPr>
            <w:rStyle w:val="TextoNormalCaracter"/>
          </w:rPr>
          <w:t>40/2012</w:t>
        </w:r>
      </w:hyperlink>
      <w:r>
        <w:t xml:space="preserve">, ff. 1, 3, 5, 6, VP I, VP II; </w:t>
      </w:r>
      <w:hyperlink w:anchor="SENTENCIA_2012_41" w:history="1">
        <w:r w:rsidRPr="0043655B">
          <w:rPr>
            <w:rStyle w:val="TextoNormalCaracter"/>
          </w:rPr>
          <w:t>41/2012</w:t>
        </w:r>
      </w:hyperlink>
      <w:r>
        <w:t xml:space="preserve">, ff. 1, 4, 6, VP I, VP II; </w:t>
      </w:r>
      <w:hyperlink w:anchor="SENTENCIA_2012_42" w:history="1">
        <w:r w:rsidRPr="0043655B">
          <w:rPr>
            <w:rStyle w:val="TextoNormalCaracter"/>
          </w:rPr>
          <w:t>42/2012</w:t>
        </w:r>
      </w:hyperlink>
      <w:r>
        <w:t xml:space="preserve">, ff. 2, 3, 5, 6; </w:t>
      </w:r>
      <w:hyperlink w:anchor="SENTENCIA_2012_43" w:history="1">
        <w:r w:rsidRPr="0043655B">
          <w:rPr>
            <w:rStyle w:val="TextoNormalCaracter"/>
          </w:rPr>
          <w:t>43/2012</w:t>
        </w:r>
      </w:hyperlink>
      <w:r>
        <w:t xml:space="preserve">, ff. 1, 3, 4; </w:t>
      </w:r>
      <w:hyperlink w:anchor="SENTENCIA_2012_44" w:history="1">
        <w:r w:rsidRPr="0043655B">
          <w:rPr>
            <w:rStyle w:val="TextoNormalCaracter"/>
          </w:rPr>
          <w:t>44/2012</w:t>
        </w:r>
      </w:hyperlink>
      <w:r>
        <w:t xml:space="preserve">, ff. 1, 3; </w:t>
      </w:r>
      <w:hyperlink w:anchor="SENTENCIA_2012_45" w:history="1">
        <w:r w:rsidRPr="0043655B">
          <w:rPr>
            <w:rStyle w:val="TextoNormalCaracter"/>
          </w:rPr>
          <w:t>45/2012</w:t>
        </w:r>
      </w:hyperlink>
      <w:r>
        <w:t xml:space="preserve">, ff. 1, 3, 4; </w:t>
      </w:r>
      <w:hyperlink w:anchor="SENTENCIA_2012_46" w:history="1">
        <w:r w:rsidRPr="0043655B">
          <w:rPr>
            <w:rStyle w:val="TextoNormalCaracter"/>
          </w:rPr>
          <w:t>46/2012</w:t>
        </w:r>
      </w:hyperlink>
      <w:r>
        <w:t xml:space="preserve">, ff. 1, 3, 4; </w:t>
      </w:r>
      <w:hyperlink w:anchor="SENTENCIA_2012_47" w:history="1">
        <w:r w:rsidRPr="0043655B">
          <w:rPr>
            <w:rStyle w:val="TextoNormalCaracter"/>
          </w:rPr>
          <w:t>47/2012</w:t>
        </w:r>
      </w:hyperlink>
      <w:r>
        <w:t xml:space="preserve">, ff. 1, 3, 4, VP II; </w:t>
      </w:r>
      <w:hyperlink w:anchor="SENTENCIA_2012_48" w:history="1">
        <w:r w:rsidRPr="0043655B">
          <w:rPr>
            <w:rStyle w:val="TextoNormalCaracter"/>
          </w:rPr>
          <w:t>48/2012</w:t>
        </w:r>
      </w:hyperlink>
      <w:r>
        <w:t xml:space="preserve">, ff. 1, 4; </w:t>
      </w:r>
      <w:hyperlink w:anchor="SENTENCIA_2012_49" w:history="1">
        <w:r w:rsidRPr="0043655B">
          <w:rPr>
            <w:rStyle w:val="TextoNormalCaracter"/>
          </w:rPr>
          <w:t>49/2012</w:t>
        </w:r>
      </w:hyperlink>
      <w:r>
        <w:t xml:space="preserve">, ff. 1, 3, 4; </w:t>
      </w:r>
      <w:hyperlink w:anchor="SENTENCIA_2012_50" w:history="1">
        <w:r w:rsidRPr="0043655B">
          <w:rPr>
            <w:rStyle w:val="TextoNormalCaracter"/>
          </w:rPr>
          <w:t>50/2012</w:t>
        </w:r>
      </w:hyperlink>
      <w:r>
        <w:t xml:space="preserve">, ff. 1, 3, 4; </w:t>
      </w:r>
      <w:hyperlink w:anchor="SENTENCIA_2012_51" w:history="1">
        <w:r w:rsidRPr="0043655B">
          <w:rPr>
            <w:rStyle w:val="TextoNormalCaracter"/>
          </w:rPr>
          <w:t>51/2012</w:t>
        </w:r>
      </w:hyperlink>
      <w:r>
        <w:t xml:space="preserve">, ff. 1, 4, VP I; </w:t>
      </w:r>
      <w:hyperlink w:anchor="SENTENCIA_2012_52" w:history="1">
        <w:r w:rsidRPr="0043655B">
          <w:rPr>
            <w:rStyle w:val="TextoNormalCaracter"/>
          </w:rPr>
          <w:t>52/2012</w:t>
        </w:r>
      </w:hyperlink>
      <w:r>
        <w:t xml:space="preserve">, ff. 1, 3; </w:t>
      </w:r>
      <w:hyperlink w:anchor="SENTENCIA_2012_53" w:history="1">
        <w:r w:rsidRPr="0043655B">
          <w:rPr>
            <w:rStyle w:val="TextoNormalCaracter"/>
          </w:rPr>
          <w:t>53/2012</w:t>
        </w:r>
      </w:hyperlink>
      <w:r>
        <w:t xml:space="preserve">, ff. 1 a 3; </w:t>
      </w:r>
      <w:hyperlink w:anchor="SENTENCIA_2012_54" w:history="1">
        <w:r w:rsidRPr="0043655B">
          <w:rPr>
            <w:rStyle w:val="TextoNormalCaracter"/>
          </w:rPr>
          <w:t>54/2012</w:t>
        </w:r>
      </w:hyperlink>
      <w:r>
        <w:t xml:space="preserve">, ff. 1, 4, 6; </w:t>
      </w:r>
      <w:hyperlink w:anchor="SENTENCIA_2012_55" w:history="1">
        <w:r w:rsidRPr="0043655B">
          <w:rPr>
            <w:rStyle w:val="TextoNormalCaracter"/>
          </w:rPr>
          <w:t>55/2012</w:t>
        </w:r>
      </w:hyperlink>
      <w:r>
        <w:t xml:space="preserve">, ff. 1, 4, 5; </w:t>
      </w:r>
      <w:hyperlink w:anchor="SENTENCIA_2012_56" w:history="1">
        <w:r w:rsidRPr="0043655B">
          <w:rPr>
            <w:rStyle w:val="TextoNormalCaracter"/>
          </w:rPr>
          <w:t>56/2012</w:t>
        </w:r>
      </w:hyperlink>
      <w:r>
        <w:t xml:space="preserve">, ff. 1 a 3, VP I; </w:t>
      </w:r>
      <w:hyperlink w:anchor="SENTENCIA_2012_57" w:history="1">
        <w:r w:rsidRPr="0043655B">
          <w:rPr>
            <w:rStyle w:val="TextoNormalCaracter"/>
          </w:rPr>
          <w:t>57/2012</w:t>
        </w:r>
      </w:hyperlink>
      <w:r>
        <w:t xml:space="preserve">, ff. 1, 3; </w:t>
      </w:r>
      <w:hyperlink w:anchor="SENTENCIA_2012_58" w:history="1">
        <w:r w:rsidRPr="0043655B">
          <w:rPr>
            <w:rStyle w:val="TextoNormalCaracter"/>
          </w:rPr>
          <w:t>58/2012</w:t>
        </w:r>
      </w:hyperlink>
      <w:r>
        <w:t xml:space="preserve">, f. 1; </w:t>
      </w:r>
      <w:hyperlink w:anchor="SENTENCIA_2012_59" w:history="1">
        <w:r w:rsidRPr="0043655B">
          <w:rPr>
            <w:rStyle w:val="TextoNormalCaracter"/>
          </w:rPr>
          <w:t>59/2012</w:t>
        </w:r>
      </w:hyperlink>
      <w:r>
        <w:t xml:space="preserve">, ff. 1, 3; </w:t>
      </w:r>
      <w:hyperlink w:anchor="SENTENCIA_2012_60" w:history="1">
        <w:r w:rsidRPr="0043655B">
          <w:rPr>
            <w:rStyle w:val="TextoNormalCaracter"/>
          </w:rPr>
          <w:t>60/2012</w:t>
        </w:r>
      </w:hyperlink>
      <w:r>
        <w:t xml:space="preserve">, f. 1; </w:t>
      </w:r>
      <w:hyperlink w:anchor="SENTENCIA_2012_61" w:history="1">
        <w:r w:rsidRPr="0043655B">
          <w:rPr>
            <w:rStyle w:val="TextoNormalCaracter"/>
          </w:rPr>
          <w:t>61/2012</w:t>
        </w:r>
      </w:hyperlink>
      <w:r>
        <w:t xml:space="preserve">, ff. 2, 3; </w:t>
      </w:r>
      <w:hyperlink w:anchor="SENTENCIA_2012_62" w:history="1">
        <w:r w:rsidRPr="0043655B">
          <w:rPr>
            <w:rStyle w:val="TextoNormalCaracter"/>
          </w:rPr>
          <w:t>62/2012</w:t>
        </w:r>
      </w:hyperlink>
      <w:r>
        <w:t xml:space="preserve">, f. 1; </w:t>
      </w:r>
      <w:hyperlink w:anchor="SENTENCIA_2012_63" w:history="1">
        <w:r w:rsidRPr="0043655B">
          <w:rPr>
            <w:rStyle w:val="TextoNormalCaracter"/>
          </w:rPr>
          <w:t>63/2012</w:t>
        </w:r>
      </w:hyperlink>
      <w:r>
        <w:t xml:space="preserve">, f. 1; </w:t>
      </w:r>
      <w:hyperlink w:anchor="SENTENCIA_2012_64" w:history="1">
        <w:r w:rsidRPr="0043655B">
          <w:rPr>
            <w:rStyle w:val="TextoNormalCaracter"/>
          </w:rPr>
          <w:t>64/2012</w:t>
        </w:r>
      </w:hyperlink>
      <w:r>
        <w:t xml:space="preserve">, ff. 1 a 3, 7, VP I; </w:t>
      </w:r>
      <w:hyperlink w:anchor="SENTENCIA_2012_65" w:history="1">
        <w:r w:rsidRPr="0043655B">
          <w:rPr>
            <w:rStyle w:val="TextoNormalCaracter"/>
          </w:rPr>
          <w:t>65/2012</w:t>
        </w:r>
      </w:hyperlink>
      <w:r>
        <w:t xml:space="preserve">, ff. 1, 3, 4; </w:t>
      </w:r>
      <w:hyperlink w:anchor="SENTENCIA_2012_66" w:history="1">
        <w:r w:rsidRPr="0043655B">
          <w:rPr>
            <w:rStyle w:val="TextoNormalCaracter"/>
          </w:rPr>
          <w:t>66/2012</w:t>
        </w:r>
      </w:hyperlink>
      <w:r>
        <w:t xml:space="preserve">, ff. 1 a 3, VP I; </w:t>
      </w:r>
      <w:hyperlink w:anchor="SENTENCIA_2012_67" w:history="1">
        <w:r w:rsidRPr="0043655B">
          <w:rPr>
            <w:rStyle w:val="TextoNormalCaracter"/>
          </w:rPr>
          <w:t>67/2012</w:t>
        </w:r>
      </w:hyperlink>
      <w:r>
        <w:t xml:space="preserve">, ff. 1 a 3; </w:t>
      </w:r>
      <w:hyperlink w:anchor="SENTENCIA_2012_68" w:history="1">
        <w:r w:rsidRPr="0043655B">
          <w:rPr>
            <w:rStyle w:val="TextoNormalCaracter"/>
          </w:rPr>
          <w:t>68/2012</w:t>
        </w:r>
      </w:hyperlink>
      <w:r>
        <w:t xml:space="preserve">, ff. 1, 3, 4; </w:t>
      </w:r>
      <w:hyperlink w:anchor="SENTENCIA_2012_69" w:history="1">
        <w:r w:rsidRPr="0043655B">
          <w:rPr>
            <w:rStyle w:val="TextoNormalCaracter"/>
          </w:rPr>
          <w:t>69/2012</w:t>
        </w:r>
      </w:hyperlink>
      <w:r>
        <w:t xml:space="preserve">, ff. 1, 3, 4; </w:t>
      </w:r>
      <w:hyperlink w:anchor="SENTENCIA_2012_70" w:history="1">
        <w:r w:rsidRPr="0043655B">
          <w:rPr>
            <w:rStyle w:val="TextoNormalCaracter"/>
          </w:rPr>
          <w:t>70/2012</w:t>
        </w:r>
      </w:hyperlink>
      <w:r>
        <w:t xml:space="preserve">, ff. 3, 5, 6; </w:t>
      </w:r>
      <w:hyperlink w:anchor="SENTENCIA_2012_90" w:history="1">
        <w:r w:rsidRPr="0043655B">
          <w:rPr>
            <w:rStyle w:val="TextoNormalCaracter"/>
          </w:rPr>
          <w:t>90/2012</w:t>
        </w:r>
      </w:hyperlink>
      <w:r>
        <w:t xml:space="preserve">, ff. 2 a 6; </w:t>
      </w:r>
      <w:hyperlink w:anchor="SENTENCIA_2012_101" w:history="1">
        <w:r w:rsidRPr="0043655B">
          <w:rPr>
            <w:rStyle w:val="TextoNormalCaracter"/>
          </w:rPr>
          <w:t>101/2012</w:t>
        </w:r>
      </w:hyperlink>
      <w:r>
        <w:t xml:space="preserve">, ff. 1, 3, 5, 6; </w:t>
      </w:r>
      <w:hyperlink w:anchor="SENTENCIA_2012_108" w:history="1">
        <w:r w:rsidRPr="0043655B">
          <w:rPr>
            <w:rStyle w:val="TextoNormalCaracter"/>
          </w:rPr>
          <w:t>108/2012</w:t>
        </w:r>
      </w:hyperlink>
      <w:r>
        <w:t xml:space="preserve">, ff. 1, 2, 4; </w:t>
      </w:r>
      <w:hyperlink w:anchor="SENTENCIA_2012_109" w:history="1">
        <w:r w:rsidRPr="0043655B">
          <w:rPr>
            <w:rStyle w:val="TextoNormalCaracter"/>
          </w:rPr>
          <w:t>109/2012</w:t>
        </w:r>
      </w:hyperlink>
      <w:r>
        <w:t xml:space="preserve">, ff. 2, 3; </w:t>
      </w:r>
      <w:hyperlink w:anchor="SENTENCIA_2012_113" w:history="1">
        <w:r w:rsidRPr="0043655B">
          <w:rPr>
            <w:rStyle w:val="TextoNormalCaracter"/>
          </w:rPr>
          <w:t>113/2012</w:t>
        </w:r>
      </w:hyperlink>
      <w:r>
        <w:t xml:space="preserve">, ff. 1, 3, 5, 6, VP III; </w:t>
      </w:r>
      <w:hyperlink w:anchor="SENTENCIA_2012_114" w:history="1">
        <w:r w:rsidRPr="0043655B">
          <w:rPr>
            <w:rStyle w:val="TextoNormalCaracter"/>
          </w:rPr>
          <w:t>114/2012</w:t>
        </w:r>
      </w:hyperlink>
      <w:r>
        <w:t xml:space="preserve">, f. 3; </w:t>
      </w:r>
      <w:hyperlink w:anchor="SENTENCIA_2012_127" w:history="1">
        <w:r w:rsidRPr="0043655B">
          <w:rPr>
            <w:rStyle w:val="TextoNormalCaracter"/>
          </w:rPr>
          <w:t>127/2012</w:t>
        </w:r>
      </w:hyperlink>
      <w:r>
        <w:t xml:space="preserve">, ff. 2, 3; </w:t>
      </w:r>
      <w:hyperlink w:anchor="SENTENCIA_2012_128" w:history="1">
        <w:r w:rsidRPr="0043655B">
          <w:rPr>
            <w:rStyle w:val="TextoNormalCaracter"/>
          </w:rPr>
          <w:t>128/2012</w:t>
        </w:r>
      </w:hyperlink>
      <w:r>
        <w:t>, f. 1.</w:t>
      </w:r>
    </w:p>
    <w:p w:rsidR="0043655B" w:rsidRDefault="0043655B" w:rsidP="0043655B">
      <w:pPr>
        <w:pStyle w:val="SangriaIzquierdaArticulo"/>
      </w:pPr>
      <w:r>
        <w:t xml:space="preserve">Autos </w:t>
      </w:r>
      <w:hyperlink w:anchor="AUTO_2012_34" w:history="1">
        <w:r w:rsidRPr="0043655B">
          <w:rPr>
            <w:rStyle w:val="TextoNormalCaracter"/>
          </w:rPr>
          <w:t>34/2012</w:t>
        </w:r>
      </w:hyperlink>
      <w:r>
        <w:t xml:space="preserve">; </w:t>
      </w:r>
      <w:hyperlink w:anchor="AUTO_2012_111" w:history="1">
        <w:r w:rsidRPr="0043655B">
          <w:rPr>
            <w:rStyle w:val="TextoNormalCaracter"/>
          </w:rPr>
          <w:t>111/2012</w:t>
        </w:r>
      </w:hyperlink>
      <w:r>
        <w:t xml:space="preserve">; </w:t>
      </w:r>
      <w:hyperlink w:anchor="AUTO_2012_126" w:history="1">
        <w:r w:rsidRPr="0043655B">
          <w:rPr>
            <w:rStyle w:val="TextoNormalCaracter"/>
          </w:rPr>
          <w:t>126/2012</w:t>
        </w:r>
      </w:hyperlink>
      <w:r>
        <w:t xml:space="preserve">; </w:t>
      </w:r>
      <w:hyperlink w:anchor="AUTO_2012_127" w:history="1">
        <w:r w:rsidRPr="0043655B">
          <w:rPr>
            <w:rStyle w:val="TextoNormalCaracter"/>
          </w:rPr>
          <w:t>127/2012</w:t>
        </w:r>
      </w:hyperlink>
      <w:r>
        <w:t>.</w:t>
      </w:r>
    </w:p>
    <w:p w:rsidR="0043655B" w:rsidRDefault="0043655B" w:rsidP="0043655B">
      <w:pPr>
        <w:pStyle w:val="SangriaFrancesaArticulo"/>
      </w:pPr>
      <w:r w:rsidRPr="0043655B">
        <w:rPr>
          <w:rStyle w:val="TextoNormalNegritaCaracter"/>
        </w:rPr>
        <w:t>Artículo 25.2.</w:t>
      </w:r>
      <w:r w:rsidRPr="0043655B">
        <w:rPr>
          <w:rStyle w:val="TextoNormalCaracter"/>
        </w:rPr>
        <w:t>-</w:t>
      </w:r>
      <w:r>
        <w:t xml:space="preserve"> Sentencias </w:t>
      </w:r>
      <w:hyperlink w:anchor="SENTENCIA_2012_39" w:history="1">
        <w:r w:rsidRPr="0043655B">
          <w:rPr>
            <w:rStyle w:val="TextoNormalCaracter"/>
          </w:rPr>
          <w:t>39/2012</w:t>
        </w:r>
      </w:hyperlink>
      <w:r>
        <w:t xml:space="preserve">, ff. 1, 4, VP II; </w:t>
      </w:r>
      <w:hyperlink w:anchor="SENTENCIA_2012_40" w:history="1">
        <w:r w:rsidRPr="0043655B">
          <w:rPr>
            <w:rStyle w:val="TextoNormalCaracter"/>
          </w:rPr>
          <w:t>40/2012</w:t>
        </w:r>
      </w:hyperlink>
      <w:r>
        <w:t xml:space="preserve">, ff. 1, 3, 11, VP II; </w:t>
      </w:r>
      <w:hyperlink w:anchor="SENTENCIA_2012_41" w:history="1">
        <w:r w:rsidRPr="0043655B">
          <w:rPr>
            <w:rStyle w:val="TextoNormalCaracter"/>
          </w:rPr>
          <w:t>41/2012</w:t>
        </w:r>
      </w:hyperlink>
      <w:r>
        <w:t xml:space="preserve">, ff. 1, 4, 9; </w:t>
      </w:r>
      <w:hyperlink w:anchor="SENTENCIA_2012_42" w:history="1">
        <w:r w:rsidRPr="0043655B">
          <w:rPr>
            <w:rStyle w:val="TextoNormalCaracter"/>
          </w:rPr>
          <w:t>42/2012</w:t>
        </w:r>
      </w:hyperlink>
      <w:r>
        <w:t xml:space="preserve">, ff. 2, 10; </w:t>
      </w:r>
      <w:hyperlink w:anchor="SENTENCIA_2012_43" w:history="1">
        <w:r w:rsidRPr="0043655B">
          <w:rPr>
            <w:rStyle w:val="TextoNormalCaracter"/>
          </w:rPr>
          <w:t>43/2012</w:t>
        </w:r>
      </w:hyperlink>
      <w:r>
        <w:t xml:space="preserve">, ff. 1, 9; </w:t>
      </w:r>
      <w:hyperlink w:anchor="SENTENCIA_2012_44" w:history="1">
        <w:r w:rsidRPr="0043655B">
          <w:rPr>
            <w:rStyle w:val="TextoNormalCaracter"/>
          </w:rPr>
          <w:t>44/2012</w:t>
        </w:r>
      </w:hyperlink>
      <w:r>
        <w:t xml:space="preserve">, ff. 1, 7; </w:t>
      </w:r>
      <w:hyperlink w:anchor="SENTENCIA_2012_46" w:history="1">
        <w:r w:rsidRPr="0043655B">
          <w:rPr>
            <w:rStyle w:val="TextoNormalCaracter"/>
          </w:rPr>
          <w:t>46/2012</w:t>
        </w:r>
      </w:hyperlink>
      <w:r>
        <w:t xml:space="preserve">, ff. 1, 9; </w:t>
      </w:r>
      <w:hyperlink w:anchor="SENTENCIA_2012_47" w:history="1">
        <w:r w:rsidRPr="0043655B">
          <w:rPr>
            <w:rStyle w:val="TextoNormalCaracter"/>
          </w:rPr>
          <w:t>47/2012</w:t>
        </w:r>
      </w:hyperlink>
      <w:r>
        <w:t xml:space="preserve">, ff. 1, 5, VP II; </w:t>
      </w:r>
      <w:hyperlink w:anchor="SENTENCIA_2012_48" w:history="1">
        <w:r w:rsidRPr="0043655B">
          <w:rPr>
            <w:rStyle w:val="TextoNormalCaracter"/>
          </w:rPr>
          <w:t>48/2012</w:t>
        </w:r>
      </w:hyperlink>
      <w:r>
        <w:t xml:space="preserve">, ff. 1, 5; </w:t>
      </w:r>
      <w:hyperlink w:anchor="SENTENCIA_2012_49" w:history="1">
        <w:r w:rsidRPr="0043655B">
          <w:rPr>
            <w:rStyle w:val="TextoNormalCaracter"/>
          </w:rPr>
          <w:t>49/2012</w:t>
        </w:r>
      </w:hyperlink>
      <w:r>
        <w:t xml:space="preserve">, f. 1; </w:t>
      </w:r>
      <w:hyperlink w:anchor="SENTENCIA_2012_49" w:history="1">
        <w:r w:rsidRPr="0043655B">
          <w:rPr>
            <w:rStyle w:val="TextoNormalCaracter"/>
          </w:rPr>
          <w:t>49/2012</w:t>
        </w:r>
      </w:hyperlink>
      <w:r>
        <w:t xml:space="preserve">, f. 5; </w:t>
      </w:r>
      <w:hyperlink w:anchor="SENTENCIA_2012_50" w:history="1">
        <w:r w:rsidRPr="0043655B">
          <w:rPr>
            <w:rStyle w:val="TextoNormalCaracter"/>
          </w:rPr>
          <w:t>50/2012</w:t>
        </w:r>
      </w:hyperlink>
      <w:r>
        <w:t xml:space="preserve">, ff. 1, 5; </w:t>
      </w:r>
      <w:hyperlink w:anchor="SENTENCIA_2012_51" w:history="1">
        <w:r w:rsidRPr="0043655B">
          <w:rPr>
            <w:rStyle w:val="TextoNormalCaracter"/>
          </w:rPr>
          <w:t>51/2012</w:t>
        </w:r>
      </w:hyperlink>
      <w:r>
        <w:t xml:space="preserve">, ff. 1, 8; </w:t>
      </w:r>
      <w:hyperlink w:anchor="SENTENCIA_2012_52" w:history="1">
        <w:r w:rsidRPr="0043655B">
          <w:rPr>
            <w:rStyle w:val="TextoNormalCaracter"/>
          </w:rPr>
          <w:t>52/2012</w:t>
        </w:r>
      </w:hyperlink>
      <w:r>
        <w:t xml:space="preserve">, ff. 1, 7; </w:t>
      </w:r>
      <w:hyperlink w:anchor="SENTENCIA_2012_53" w:history="1">
        <w:r w:rsidRPr="0043655B">
          <w:rPr>
            <w:rStyle w:val="TextoNormalCaracter"/>
          </w:rPr>
          <w:t>53/2012</w:t>
        </w:r>
      </w:hyperlink>
      <w:r>
        <w:t xml:space="preserve">, f. 1; </w:t>
      </w:r>
      <w:hyperlink w:anchor="SENTENCIA_2012_54" w:history="1">
        <w:r w:rsidRPr="0043655B">
          <w:rPr>
            <w:rStyle w:val="TextoNormalCaracter"/>
          </w:rPr>
          <w:t>54/2012</w:t>
        </w:r>
      </w:hyperlink>
      <w:r>
        <w:t xml:space="preserve">, ff. 1, 2; </w:t>
      </w:r>
      <w:hyperlink w:anchor="SENTENCIA_2012_55" w:history="1">
        <w:r w:rsidRPr="0043655B">
          <w:rPr>
            <w:rStyle w:val="TextoNormalCaracter"/>
          </w:rPr>
          <w:t>55/2012</w:t>
        </w:r>
      </w:hyperlink>
      <w:r>
        <w:t xml:space="preserve">, ff. 1, 6; </w:t>
      </w:r>
      <w:hyperlink w:anchor="SENTENCIA_2012_56" w:history="1">
        <w:r w:rsidRPr="0043655B">
          <w:rPr>
            <w:rStyle w:val="TextoNormalCaracter"/>
          </w:rPr>
          <w:t>56/2012</w:t>
        </w:r>
      </w:hyperlink>
      <w:r>
        <w:t xml:space="preserve">, ff. 1, 6; </w:t>
      </w:r>
      <w:hyperlink w:anchor="SENTENCIA_2012_57" w:history="1">
        <w:r w:rsidRPr="0043655B">
          <w:rPr>
            <w:rStyle w:val="TextoNormalCaracter"/>
          </w:rPr>
          <w:t>57/2012</w:t>
        </w:r>
      </w:hyperlink>
      <w:r>
        <w:t xml:space="preserve">, ff. 1, 3; </w:t>
      </w:r>
      <w:hyperlink w:anchor="SENTENCIA_2012_58" w:history="1">
        <w:r w:rsidRPr="0043655B">
          <w:rPr>
            <w:rStyle w:val="TextoNormalCaracter"/>
          </w:rPr>
          <w:t>58/2012</w:t>
        </w:r>
      </w:hyperlink>
      <w:r>
        <w:t xml:space="preserve">, f. 1; </w:t>
      </w:r>
      <w:hyperlink w:anchor="SENTENCIA_2012_59" w:history="1">
        <w:r w:rsidRPr="0043655B">
          <w:rPr>
            <w:rStyle w:val="TextoNormalCaracter"/>
          </w:rPr>
          <w:t>59/2012</w:t>
        </w:r>
      </w:hyperlink>
      <w:r>
        <w:t xml:space="preserve">, ff. 1, 2; </w:t>
      </w:r>
      <w:hyperlink w:anchor="SENTENCIA_2012_60" w:history="1">
        <w:r w:rsidRPr="0043655B">
          <w:rPr>
            <w:rStyle w:val="TextoNormalCaracter"/>
          </w:rPr>
          <w:t>60/2012</w:t>
        </w:r>
      </w:hyperlink>
      <w:r>
        <w:t xml:space="preserve">, f. 1; </w:t>
      </w:r>
      <w:hyperlink w:anchor="SENTENCIA_2012_61" w:history="1">
        <w:r w:rsidRPr="0043655B">
          <w:rPr>
            <w:rStyle w:val="TextoNormalCaracter"/>
          </w:rPr>
          <w:t>61/2012</w:t>
        </w:r>
      </w:hyperlink>
      <w:r>
        <w:t xml:space="preserve">, f. 4; </w:t>
      </w:r>
      <w:hyperlink w:anchor="SENTENCIA_2012_62" w:history="1">
        <w:r w:rsidRPr="0043655B">
          <w:rPr>
            <w:rStyle w:val="TextoNormalCaracter"/>
          </w:rPr>
          <w:t>62/2012</w:t>
        </w:r>
      </w:hyperlink>
      <w:r>
        <w:t xml:space="preserve">, f. 1; </w:t>
      </w:r>
      <w:hyperlink w:anchor="SENTENCIA_2012_63" w:history="1">
        <w:r w:rsidRPr="0043655B">
          <w:rPr>
            <w:rStyle w:val="TextoNormalCaracter"/>
          </w:rPr>
          <w:t>63/2012</w:t>
        </w:r>
      </w:hyperlink>
      <w:r>
        <w:t xml:space="preserve">, f. 1; </w:t>
      </w:r>
      <w:hyperlink w:anchor="SENTENCIA_2012_64" w:history="1">
        <w:r w:rsidRPr="0043655B">
          <w:rPr>
            <w:rStyle w:val="TextoNormalCaracter"/>
          </w:rPr>
          <w:t>64/2012</w:t>
        </w:r>
      </w:hyperlink>
      <w:r>
        <w:t xml:space="preserve">, ff. 1, 4, 8; </w:t>
      </w:r>
      <w:hyperlink w:anchor="SENTENCIA_2012_65" w:history="1">
        <w:r w:rsidRPr="0043655B">
          <w:rPr>
            <w:rStyle w:val="TextoNormalCaracter"/>
          </w:rPr>
          <w:t>65/2012</w:t>
        </w:r>
      </w:hyperlink>
      <w:r>
        <w:t xml:space="preserve">, ff. 1, 5, 9; </w:t>
      </w:r>
      <w:hyperlink w:anchor="SENTENCIA_2012_66" w:history="1">
        <w:r w:rsidRPr="0043655B">
          <w:rPr>
            <w:rStyle w:val="TextoNormalCaracter"/>
          </w:rPr>
          <w:t>66/2012</w:t>
        </w:r>
      </w:hyperlink>
      <w:r>
        <w:t xml:space="preserve">, ff. 1, 7; </w:t>
      </w:r>
      <w:hyperlink w:anchor="SENTENCIA_2012_67" w:history="1">
        <w:r w:rsidRPr="0043655B">
          <w:rPr>
            <w:rStyle w:val="TextoNormalCaracter"/>
          </w:rPr>
          <w:t>67/2012</w:t>
        </w:r>
      </w:hyperlink>
      <w:r>
        <w:t xml:space="preserve">, ff. 1, 4, 8; </w:t>
      </w:r>
      <w:hyperlink w:anchor="SENTENCIA_2012_68" w:history="1">
        <w:r w:rsidRPr="0043655B">
          <w:rPr>
            <w:rStyle w:val="TextoNormalCaracter"/>
          </w:rPr>
          <w:t>68/2012</w:t>
        </w:r>
      </w:hyperlink>
      <w:r>
        <w:t xml:space="preserve">, ff. 1, 2; </w:t>
      </w:r>
      <w:hyperlink w:anchor="SENTENCIA_2012_69" w:history="1">
        <w:r w:rsidRPr="0043655B">
          <w:rPr>
            <w:rStyle w:val="TextoNormalCaracter"/>
          </w:rPr>
          <w:t>69/2012</w:t>
        </w:r>
      </w:hyperlink>
      <w:r>
        <w:t xml:space="preserve">, ff. 1, 5, 9; </w:t>
      </w:r>
      <w:hyperlink w:anchor="SENTENCIA_2012_107" w:history="1">
        <w:r w:rsidRPr="0043655B">
          <w:rPr>
            <w:rStyle w:val="TextoNormalCaracter"/>
          </w:rPr>
          <w:t>107/2012</w:t>
        </w:r>
      </w:hyperlink>
      <w:r>
        <w:t xml:space="preserve">, ff. 4 a 6; </w:t>
      </w:r>
      <w:hyperlink w:anchor="SENTENCIA_2012_108" w:history="1">
        <w:r w:rsidRPr="0043655B">
          <w:rPr>
            <w:rStyle w:val="TextoNormalCaracter"/>
          </w:rPr>
          <w:t>108/2012</w:t>
        </w:r>
      </w:hyperlink>
      <w:r>
        <w:t xml:space="preserve">, ff. 1, 6; </w:t>
      </w:r>
      <w:hyperlink w:anchor="SENTENCIA_2012_113" w:history="1">
        <w:r w:rsidRPr="0043655B">
          <w:rPr>
            <w:rStyle w:val="TextoNormalCaracter"/>
          </w:rPr>
          <w:t>113/2012</w:t>
        </w:r>
      </w:hyperlink>
      <w:r>
        <w:t xml:space="preserve">, ff. 1, 3, 6, 8; </w:t>
      </w:r>
      <w:hyperlink w:anchor="SENTENCIA_2012_114" w:history="1">
        <w:r w:rsidRPr="0043655B">
          <w:rPr>
            <w:rStyle w:val="TextoNormalCaracter"/>
          </w:rPr>
          <w:t>114/2012</w:t>
        </w:r>
      </w:hyperlink>
      <w:r>
        <w:t xml:space="preserve">, ff. 1, 4, 6, 7; </w:t>
      </w:r>
      <w:hyperlink w:anchor="SENTENCIA_2012_128" w:history="1">
        <w:r w:rsidRPr="0043655B">
          <w:rPr>
            <w:rStyle w:val="TextoNormalCaracter"/>
          </w:rPr>
          <w:t>128/2012</w:t>
        </w:r>
      </w:hyperlink>
      <w:r>
        <w:t>, f. 1.</w:t>
      </w:r>
    </w:p>
    <w:p w:rsidR="0043655B" w:rsidRDefault="0043655B" w:rsidP="0043655B">
      <w:pPr>
        <w:pStyle w:val="SangriaFrancesaArticulo"/>
      </w:pPr>
      <w:r w:rsidRPr="0043655B">
        <w:rPr>
          <w:rStyle w:val="TextoNormalNegritaCaracter"/>
        </w:rPr>
        <w:t>Artículo 25.3.</w:t>
      </w:r>
      <w:r w:rsidRPr="0043655B">
        <w:rPr>
          <w:rStyle w:val="TextoNormalCaracter"/>
        </w:rPr>
        <w:t>-</w:t>
      </w:r>
      <w:r>
        <w:t xml:space="preserve"> Sentencia </w:t>
      </w:r>
      <w:hyperlink w:anchor="SENTENCIA_2012_37" w:history="1">
        <w:r w:rsidRPr="0043655B">
          <w:rPr>
            <w:rStyle w:val="TextoNormalCaracter"/>
          </w:rPr>
          <w:t>37/2012</w:t>
        </w:r>
      </w:hyperlink>
      <w:r>
        <w:t>, f. 10, VP III.</w:t>
      </w:r>
    </w:p>
    <w:p w:rsidR="0043655B" w:rsidRDefault="0043655B" w:rsidP="0043655B">
      <w:pPr>
        <w:pStyle w:val="SangriaFrancesaArticulo"/>
      </w:pPr>
      <w:r w:rsidRPr="0043655B">
        <w:rPr>
          <w:rStyle w:val="TextoNormalNegritaCaracter"/>
        </w:rPr>
        <w:t>Artículo 27.</w:t>
      </w:r>
      <w:r w:rsidRPr="0043655B">
        <w:rPr>
          <w:rStyle w:val="TextoNormalCaracter"/>
        </w:rPr>
        <w:t>-</w:t>
      </w:r>
      <w:r>
        <w:t xml:space="preserve"> Sentencia </w:t>
      </w:r>
      <w:hyperlink w:anchor="SENTENCIA_2012_111" w:history="1">
        <w:r w:rsidRPr="0043655B">
          <w:rPr>
            <w:rStyle w:val="TextoNormalCaracter"/>
          </w:rPr>
          <w:t>111/2012</w:t>
        </w:r>
      </w:hyperlink>
      <w:r>
        <w:t>, ff. 4, 5, 12.</w:t>
      </w:r>
    </w:p>
    <w:p w:rsidR="0043655B" w:rsidRDefault="0043655B" w:rsidP="0043655B">
      <w:pPr>
        <w:pStyle w:val="SangriaFrancesaArticulo"/>
      </w:pPr>
      <w:r w:rsidRPr="0043655B">
        <w:rPr>
          <w:rStyle w:val="TextoNormalNegritaCaracter"/>
        </w:rPr>
        <w:t>Artículo 27.5.</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27.8.</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28.1.</w:t>
      </w:r>
      <w:r w:rsidRPr="0043655B">
        <w:rPr>
          <w:rStyle w:val="TextoNormalCaracter"/>
        </w:rPr>
        <w:t>-</w:t>
      </w:r>
      <w:r>
        <w:t xml:space="preserve"> Sentencia </w:t>
      </w:r>
      <w:hyperlink w:anchor="SENTENCIA_2012_118" w:history="1">
        <w:r w:rsidRPr="0043655B">
          <w:rPr>
            <w:rStyle w:val="TextoNormalCaracter"/>
          </w:rPr>
          <w:t>118/2012</w:t>
        </w:r>
      </w:hyperlink>
      <w:r>
        <w:t>, ff. 1, 2, 4, 6.</w:t>
      </w:r>
    </w:p>
    <w:p w:rsidR="0043655B" w:rsidRDefault="0043655B" w:rsidP="0043655B">
      <w:pPr>
        <w:pStyle w:val="SangriaIzquierdaArticulo"/>
      </w:pPr>
      <w:r>
        <w:t xml:space="preserve">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29.</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31.1.</w:t>
      </w:r>
      <w:r w:rsidRPr="0043655B">
        <w:rPr>
          <w:rStyle w:val="TextoNormalCaracter"/>
        </w:rPr>
        <w:t>-</w:t>
      </w:r>
      <w:r>
        <w:t xml:space="preserve"> Sentencias </w:t>
      </w:r>
      <w:hyperlink w:anchor="SENTENCIA_2012_19" w:history="1">
        <w:r w:rsidRPr="0043655B">
          <w:rPr>
            <w:rStyle w:val="TextoNormalCaracter"/>
          </w:rPr>
          <w:t>19/2012</w:t>
        </w:r>
      </w:hyperlink>
      <w:r>
        <w:t xml:space="preserve">, ff. 1, 3, 4, 6 a 9; </w:t>
      </w:r>
      <w:hyperlink w:anchor="SENTENCIA_2012_100" w:history="1">
        <w:r w:rsidRPr="0043655B">
          <w:rPr>
            <w:rStyle w:val="TextoNormalCaracter"/>
          </w:rPr>
          <w:t>100/2012</w:t>
        </w:r>
      </w:hyperlink>
      <w:r>
        <w:t>, ff. 1, 8, 9.</w:t>
      </w:r>
    </w:p>
    <w:p w:rsidR="0043655B" w:rsidRDefault="0043655B" w:rsidP="0043655B">
      <w:pPr>
        <w:pStyle w:val="SangriaFrancesaArticulo"/>
      </w:pPr>
      <w:r w:rsidRPr="0043655B">
        <w:rPr>
          <w:rStyle w:val="TextoNormalNegritaCaracter"/>
        </w:rPr>
        <w:t>Artículo 31.3.</w:t>
      </w:r>
      <w:r w:rsidRPr="0043655B">
        <w:rPr>
          <w:rStyle w:val="TextoNormalCaracter"/>
        </w:rPr>
        <w:t>-</w:t>
      </w:r>
      <w:r>
        <w:t xml:space="preserve"> Sentencias </w:t>
      </w:r>
      <w:hyperlink w:anchor="SENTENCIA_2012_19" w:history="1">
        <w:r w:rsidRPr="0043655B">
          <w:rPr>
            <w:rStyle w:val="TextoNormalCaracter"/>
          </w:rPr>
          <w:t>19/2012</w:t>
        </w:r>
      </w:hyperlink>
      <w:r>
        <w:t xml:space="preserve">, f. 3; </w:t>
      </w:r>
      <w:hyperlink w:anchor="SENTENCIA_2012_100" w:history="1">
        <w:r w:rsidRPr="0043655B">
          <w:rPr>
            <w:rStyle w:val="TextoNormalCaracter"/>
          </w:rPr>
          <w:t>100/2012</w:t>
        </w:r>
      </w:hyperlink>
      <w:r>
        <w:t xml:space="preserve">, ff. 1, 7, 9; </w:t>
      </w:r>
      <w:hyperlink w:anchor="SENTENCIA_2012_102" w:history="1">
        <w:r w:rsidRPr="0043655B">
          <w:rPr>
            <w:rStyle w:val="TextoNormalCaracter"/>
          </w:rPr>
          <w:t>102/2012</w:t>
        </w:r>
      </w:hyperlink>
      <w:r>
        <w:t>, f. 5.</w:t>
      </w:r>
    </w:p>
    <w:p w:rsidR="0043655B" w:rsidRDefault="0043655B" w:rsidP="0043655B">
      <w:pPr>
        <w:pStyle w:val="SangriaIzquierdaArticulo"/>
      </w:pPr>
      <w:r>
        <w:t xml:space="preserve">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Autos </w:t>
      </w:r>
      <w:hyperlink w:anchor="AUTO_2012_35" w:history="1">
        <w:r w:rsidRPr="0043655B">
          <w:rPr>
            <w:rStyle w:val="TextoNormalCaracter"/>
          </w:rPr>
          <w:t>35/2012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33.1.</w:t>
      </w:r>
      <w:r w:rsidRPr="0043655B">
        <w:rPr>
          <w:rStyle w:val="TextoNormalCaracter"/>
        </w:rPr>
        <w:t>-</w:t>
      </w:r>
      <w:r>
        <w:t xml:space="preserve"> Sentencia </w:t>
      </w:r>
      <w:hyperlink w:anchor="SENTENCIA_2012_87" w:history="1">
        <w:r w:rsidRPr="0043655B">
          <w:rPr>
            <w:rStyle w:val="TextoNormalCaracter"/>
          </w:rPr>
          <w:t>87/2012</w:t>
        </w:r>
      </w:hyperlink>
      <w:r>
        <w:t>, f. 4.</w:t>
      </w:r>
    </w:p>
    <w:p w:rsidR="0043655B" w:rsidRDefault="0043655B" w:rsidP="0043655B">
      <w:pPr>
        <w:pStyle w:val="SangriaFrancesaArticulo"/>
      </w:pPr>
      <w:r w:rsidRPr="0043655B">
        <w:rPr>
          <w:rStyle w:val="TextoNormalNegritaCaracter"/>
        </w:rPr>
        <w:t>Artículo 33.2.</w:t>
      </w:r>
      <w:r w:rsidRPr="0043655B">
        <w:rPr>
          <w:rStyle w:val="TextoNormalCaracter"/>
        </w:rPr>
        <w:t>-</w:t>
      </w:r>
      <w:r>
        <w:t xml:space="preserve"> Sentencia </w:t>
      </w:r>
      <w:hyperlink w:anchor="SENTENCIA_2012_28" w:history="1">
        <w:r w:rsidRPr="0043655B">
          <w:rPr>
            <w:rStyle w:val="TextoNormalCaracter"/>
          </w:rPr>
          <w:t>28/2012</w:t>
        </w:r>
      </w:hyperlink>
      <w:r>
        <w:t>, f. 5.</w:t>
      </w:r>
    </w:p>
    <w:p w:rsidR="0043655B" w:rsidRDefault="0043655B" w:rsidP="0043655B">
      <w:pPr>
        <w:pStyle w:val="SangriaFrancesaArticulo"/>
      </w:pPr>
      <w:r w:rsidRPr="0043655B">
        <w:rPr>
          <w:rStyle w:val="TextoNormalNegritaCaracter"/>
        </w:rPr>
        <w:t>Artículo 33.3.</w:t>
      </w:r>
      <w:r w:rsidRPr="0043655B">
        <w:rPr>
          <w:rStyle w:val="TextoNormalCaracter"/>
        </w:rPr>
        <w:t>-</w:t>
      </w:r>
      <w:r>
        <w:t xml:space="preserve"> 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Sentencia </w:t>
      </w:r>
      <w:hyperlink w:anchor="SENTENCIA_2012_111" w:history="1">
        <w:r w:rsidRPr="0043655B">
          <w:rPr>
            <w:rStyle w:val="TextoNormalCaracter"/>
          </w:rPr>
          <w:t>111/2012</w:t>
        </w:r>
      </w:hyperlink>
      <w:r>
        <w:t>, f. 5.</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Sentencias </w:t>
      </w:r>
      <w:hyperlink w:anchor="SENTENCIA_2012_33" w:history="1">
        <w:r w:rsidRPr="0043655B">
          <w:rPr>
            <w:rStyle w:val="TextoNormalCaracter"/>
          </w:rPr>
          <w:t>33/2012</w:t>
        </w:r>
      </w:hyperlink>
      <w:r>
        <w:t xml:space="preserve">, f. 3; </w:t>
      </w:r>
      <w:hyperlink w:anchor="SENTENCIA_2012_70" w:history="1">
        <w:r w:rsidRPr="0043655B">
          <w:rPr>
            <w:rStyle w:val="TextoNormalCaracter"/>
          </w:rPr>
          <w:t>70/2012</w:t>
        </w:r>
      </w:hyperlink>
      <w:r>
        <w:t xml:space="preserve">, f. 6; </w:t>
      </w:r>
      <w:hyperlink w:anchor="SENTENCIA_2012_78" w:history="1">
        <w:r w:rsidRPr="0043655B">
          <w:rPr>
            <w:rStyle w:val="TextoNormalCaracter"/>
          </w:rPr>
          <w:t>78/2012</w:t>
        </w:r>
      </w:hyperlink>
      <w:r>
        <w:t>, f. 1.</w:t>
      </w:r>
    </w:p>
    <w:p w:rsidR="0043655B" w:rsidRDefault="0043655B" w:rsidP="0043655B">
      <w:pPr>
        <w:pStyle w:val="SangriaFrancesaArticulo"/>
      </w:pPr>
      <w:r w:rsidRPr="0043655B">
        <w:rPr>
          <w:rStyle w:val="TextoNormalNegritaCaracter"/>
        </w:rPr>
        <w:t>Artículo 37.1.</w:t>
      </w:r>
      <w:r w:rsidRPr="0043655B">
        <w:rPr>
          <w:rStyle w:val="TextoNormalCaracter"/>
        </w:rPr>
        <w:t>-</w:t>
      </w:r>
      <w:r>
        <w:t xml:space="preserve"> Sentencia </w:t>
      </w:r>
      <w:hyperlink w:anchor="SENTENCIA_2012_118" w:history="1">
        <w:r w:rsidRPr="0043655B">
          <w:rPr>
            <w:rStyle w:val="TextoNormalCaracter"/>
          </w:rPr>
          <w:t>118/2012</w:t>
        </w:r>
      </w:hyperlink>
      <w:r>
        <w:t>, ff. 4, 6.</w:t>
      </w:r>
    </w:p>
    <w:p w:rsidR="0043655B" w:rsidRDefault="0043655B" w:rsidP="0043655B">
      <w:pPr>
        <w:pStyle w:val="SangriaIzquierdaArticulo"/>
      </w:pPr>
      <w:r>
        <w:t xml:space="preserve">Autos </w:t>
      </w:r>
      <w:hyperlink w:anchor="AUTO_2012_8" w:history="1">
        <w:r w:rsidRPr="0043655B">
          <w:rPr>
            <w:rStyle w:val="TextoNormalCaracter"/>
          </w:rPr>
          <w:t>8/2012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38.</w:t>
      </w:r>
      <w:r w:rsidRPr="0043655B">
        <w:rPr>
          <w:rStyle w:val="TextoNormalCaracter"/>
        </w:rPr>
        <w:t>-</w:t>
      </w:r>
      <w:r>
        <w:t xml:space="preserve"> Sentencias </w:t>
      </w:r>
      <w:hyperlink w:anchor="SENTENCIA_2012_22" w:history="1">
        <w:r w:rsidRPr="0043655B">
          <w:rPr>
            <w:rStyle w:val="TextoNormalCaracter"/>
          </w:rPr>
          <w:t>22/2012</w:t>
        </w:r>
      </w:hyperlink>
      <w:r>
        <w:t xml:space="preserve">, f. 8; </w:t>
      </w:r>
      <w:hyperlink w:anchor="SENTENCIA_2012_26" w:history="1">
        <w:r w:rsidRPr="0043655B">
          <w:rPr>
            <w:rStyle w:val="TextoNormalCaracter"/>
          </w:rPr>
          <w:t>26/2012</w:t>
        </w:r>
      </w:hyperlink>
      <w:r>
        <w:t xml:space="preserve">, ff. 3, 6, 10, 12; </w:t>
      </w:r>
      <w:hyperlink w:anchor="SENTENCIA_2012_28" w:history="1">
        <w:r w:rsidRPr="0043655B">
          <w:rPr>
            <w:rStyle w:val="TextoNormalCaracter"/>
          </w:rPr>
          <w:t>28/2012</w:t>
        </w:r>
      </w:hyperlink>
      <w:r>
        <w:t xml:space="preserve">, ff. 1, 2; </w:t>
      </w:r>
      <w:hyperlink w:anchor="SENTENCIA_2012_71" w:history="1">
        <w:r w:rsidRPr="0043655B">
          <w:rPr>
            <w:rStyle w:val="TextoNormalCaracter"/>
          </w:rPr>
          <w:t>71/2012</w:t>
        </w:r>
      </w:hyperlink>
      <w:r>
        <w:t xml:space="preserve">, f. 3; </w:t>
      </w:r>
      <w:hyperlink w:anchor="SENTENCIA_2012_78" w:history="1">
        <w:r w:rsidRPr="0043655B">
          <w:rPr>
            <w:rStyle w:val="TextoNormalCaracter"/>
          </w:rPr>
          <w:t>78/2012</w:t>
        </w:r>
      </w:hyperlink>
      <w:r>
        <w:t xml:space="preserve">, f. 1; </w:t>
      </w:r>
      <w:hyperlink w:anchor="SENTENCIA_2012_135" w:history="1">
        <w:r w:rsidRPr="0043655B">
          <w:rPr>
            <w:rStyle w:val="TextoNormalCaracter"/>
          </w:rPr>
          <w:t>135/2012</w:t>
        </w:r>
      </w:hyperlink>
      <w:r>
        <w:t xml:space="preserve">, ff. 1, 5; </w:t>
      </w:r>
      <w:hyperlink w:anchor="SENTENCIA_2012_135" w:history="1">
        <w:r w:rsidRPr="0043655B">
          <w:rPr>
            <w:rStyle w:val="TextoNormalCaracter"/>
          </w:rPr>
          <w:t>135/2012</w:t>
        </w:r>
      </w:hyperlink>
      <w:r>
        <w:t>, f. 5.</w:t>
      </w:r>
    </w:p>
    <w:p w:rsidR="0043655B" w:rsidRDefault="0043655B" w:rsidP="0043655B">
      <w:pPr>
        <w:pStyle w:val="SangriaFrancesaArticulo"/>
      </w:pPr>
      <w:r w:rsidRPr="0043655B">
        <w:rPr>
          <w:rStyle w:val="TextoNormalNegritaCaracter"/>
        </w:rPr>
        <w:t>Artículo 39.</w:t>
      </w:r>
      <w:r w:rsidRPr="0043655B">
        <w:rPr>
          <w:rStyle w:val="TextoNormalCaracter"/>
        </w:rPr>
        <w:t>-</w:t>
      </w:r>
      <w:r>
        <w:t xml:space="preserve"> Sentencia </w:t>
      </w:r>
      <w:hyperlink w:anchor="SENTENCIA_2012_19" w:history="1">
        <w:r w:rsidRPr="0043655B">
          <w:rPr>
            <w:rStyle w:val="TextoNormalCaracter"/>
          </w:rPr>
          <w:t>19/2012</w:t>
        </w:r>
      </w:hyperlink>
      <w:r>
        <w:t>, f. 4.</w:t>
      </w:r>
    </w:p>
    <w:p w:rsidR="0043655B" w:rsidRDefault="0043655B" w:rsidP="0043655B">
      <w:pPr>
        <w:pStyle w:val="SangriaIzquierdaArticulo"/>
      </w:pPr>
      <w:r>
        <w:t xml:space="preserve">Auto </w:t>
      </w:r>
      <w:hyperlink w:anchor="AUTO_2012_31" w:history="1">
        <w:r w:rsidRPr="0043655B">
          <w:rPr>
            <w:rStyle w:val="TextoNormalCaracter"/>
          </w:rPr>
          <w:t>31/2012</w:t>
        </w:r>
      </w:hyperlink>
      <w:r>
        <w:t>.</w:t>
      </w:r>
    </w:p>
    <w:p w:rsidR="0043655B" w:rsidRDefault="0043655B" w:rsidP="0043655B">
      <w:pPr>
        <w:pStyle w:val="SangriaFrancesaArticulo"/>
      </w:pPr>
      <w:r w:rsidRPr="0043655B">
        <w:rPr>
          <w:rStyle w:val="TextoNormalNegritaCaracter"/>
        </w:rPr>
        <w:t>Artículo 39.1.</w:t>
      </w:r>
      <w:r w:rsidRPr="0043655B">
        <w:rPr>
          <w:rStyle w:val="TextoNormalCaracter"/>
        </w:rPr>
        <w:t>-</w:t>
      </w:r>
      <w:r>
        <w:t xml:space="preserve"> Sentencia </w:t>
      </w:r>
      <w:hyperlink w:anchor="SENTENCIA_2012_19" w:history="1">
        <w:r w:rsidRPr="0043655B">
          <w:rPr>
            <w:rStyle w:val="TextoNormalCaracter"/>
          </w:rPr>
          <w:t>19/2012</w:t>
        </w:r>
      </w:hyperlink>
      <w:r>
        <w:t>, ff. 1, 4, 5.</w:t>
      </w:r>
    </w:p>
    <w:p w:rsidR="0043655B" w:rsidRDefault="0043655B" w:rsidP="0043655B">
      <w:pPr>
        <w:pStyle w:val="SangriaFrancesaArticulo"/>
      </w:pPr>
      <w:r w:rsidRPr="0043655B">
        <w:rPr>
          <w:rStyle w:val="TextoNormalNegritaCaracter"/>
        </w:rPr>
        <w:t>Artículo 39.2.</w:t>
      </w:r>
      <w:r w:rsidRPr="0043655B">
        <w:rPr>
          <w:rStyle w:val="TextoNormalCaracter"/>
        </w:rPr>
        <w:t>-</w:t>
      </w:r>
      <w:r>
        <w:t xml:space="preserve"> Sentencia </w:t>
      </w:r>
      <w:hyperlink w:anchor="SENTENCIA_2012_19" w:history="1">
        <w:r w:rsidRPr="0043655B">
          <w:rPr>
            <w:rStyle w:val="TextoNormalCaracter"/>
          </w:rPr>
          <w:t>19/2012</w:t>
        </w:r>
      </w:hyperlink>
      <w:r>
        <w:t>, ff. 1, 4.</w:t>
      </w:r>
    </w:p>
    <w:p w:rsidR="0043655B" w:rsidRDefault="0043655B" w:rsidP="0043655B">
      <w:pPr>
        <w:pStyle w:val="SangriaFrancesaArticulo"/>
      </w:pPr>
      <w:r w:rsidRPr="0043655B">
        <w:rPr>
          <w:rStyle w:val="TextoNormalNegritaCaracter"/>
        </w:rPr>
        <w:t>Artículo 39.3.</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102" w:history="1">
        <w:r w:rsidRPr="0043655B">
          <w:rPr>
            <w:rStyle w:val="TextoNormalCaracter"/>
          </w:rPr>
          <w:t>102/2012</w:t>
        </w:r>
      </w:hyperlink>
      <w:r>
        <w:t>, f. 5.</w:t>
      </w:r>
    </w:p>
    <w:p w:rsidR="0043655B" w:rsidRDefault="0043655B" w:rsidP="0043655B">
      <w:pPr>
        <w:pStyle w:val="SangriaFrancesaArticulo"/>
      </w:pPr>
      <w:r w:rsidRPr="0043655B">
        <w:rPr>
          <w:rStyle w:val="TextoNormalNegritaCaracter"/>
        </w:rPr>
        <w:t>Artículo 40.2.</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19" w:history="1">
        <w:r w:rsidRPr="0043655B">
          <w:rPr>
            <w:rStyle w:val="TextoNormalCaracter"/>
          </w:rPr>
          <w:t>19/2012</w:t>
        </w:r>
      </w:hyperlink>
      <w:r>
        <w:t>, f. 4.</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19" w:history="1">
        <w:r w:rsidRPr="0043655B">
          <w:rPr>
            <w:rStyle w:val="TextoNormalCaracter"/>
          </w:rPr>
          <w:t>19/2012</w:t>
        </w:r>
      </w:hyperlink>
      <w:r>
        <w:t>, f. 4.</w:t>
      </w:r>
    </w:p>
    <w:p w:rsidR="0043655B" w:rsidRDefault="0043655B" w:rsidP="0043655B">
      <w:pPr>
        <w:pStyle w:val="SangriaFrancesaArticulo"/>
      </w:pPr>
      <w:r w:rsidRPr="0043655B">
        <w:rPr>
          <w:rStyle w:val="TextoNormalNegritaCaracter"/>
        </w:rPr>
        <w:t>Artículo 43.3.</w:t>
      </w:r>
      <w:r w:rsidRPr="0043655B">
        <w:rPr>
          <w:rStyle w:val="TextoNormalCaracter"/>
        </w:rPr>
        <w:t>-</w:t>
      </w:r>
      <w:r>
        <w:t xml:space="preserve"> Sentencias </w:t>
      </w:r>
      <w:hyperlink w:anchor="SENTENCIA_2012_80" w:history="1">
        <w:r w:rsidRPr="0043655B">
          <w:rPr>
            <w:rStyle w:val="TextoNormalCaracter"/>
          </w:rPr>
          <w:t>80/2012</w:t>
        </w:r>
      </w:hyperlink>
      <w:r>
        <w:t xml:space="preserve">, f. 6; </w:t>
      </w:r>
      <w:hyperlink w:anchor="SENTENCIA_2012_110" w:history="1">
        <w:r w:rsidRPr="0043655B">
          <w:rPr>
            <w:rStyle w:val="TextoNormalCaracter"/>
          </w:rPr>
          <w:t>110/2012</w:t>
        </w:r>
      </w:hyperlink>
      <w:r>
        <w:t>, f. 4.</w:t>
      </w:r>
    </w:p>
    <w:p w:rsidR="0043655B" w:rsidRDefault="0043655B" w:rsidP="0043655B">
      <w:pPr>
        <w:pStyle w:val="SangriaFrancesaArticulo"/>
      </w:pPr>
      <w:r w:rsidRPr="0043655B">
        <w:rPr>
          <w:rStyle w:val="TextoNormalNegritaCaracter"/>
        </w:rPr>
        <w:t>Artículo 45.</w:t>
      </w:r>
      <w:r w:rsidRPr="0043655B">
        <w:rPr>
          <w:rStyle w:val="TextoNormalCaracter"/>
        </w:rPr>
        <w:t>-</w:t>
      </w:r>
      <w:r>
        <w:t xml:space="preserve"> Sentencias </w:t>
      </w:r>
      <w:hyperlink w:anchor="SENTENCIA_2012_1" w:history="1">
        <w:r w:rsidRPr="0043655B">
          <w:rPr>
            <w:rStyle w:val="TextoNormalCaracter"/>
          </w:rPr>
          <w:t>1/2012</w:t>
        </w:r>
      </w:hyperlink>
      <w:r>
        <w:t xml:space="preserve">, f. 10; </w:t>
      </w:r>
      <w:hyperlink w:anchor="SENTENCIA_2012_28" w:history="1">
        <w:r w:rsidRPr="0043655B">
          <w:rPr>
            <w:rStyle w:val="TextoNormalCaracter"/>
          </w:rPr>
          <w:t>28/2012</w:t>
        </w:r>
      </w:hyperlink>
      <w:r>
        <w:t xml:space="preserve">, f. 5; </w:t>
      </w:r>
      <w:hyperlink w:anchor="SENTENCIA_2012_37" w:history="1">
        <w:r w:rsidRPr="0043655B">
          <w:rPr>
            <w:rStyle w:val="TextoNormalCaracter"/>
          </w:rPr>
          <w:t>37/2012</w:t>
        </w:r>
      </w:hyperlink>
      <w:r>
        <w:t xml:space="preserve">, VP III; </w:t>
      </w:r>
      <w:hyperlink w:anchor="SENTENCIA_2012_87" w:history="1">
        <w:r w:rsidRPr="0043655B">
          <w:rPr>
            <w:rStyle w:val="TextoNormalCaracter"/>
          </w:rPr>
          <w:t>87/2012</w:t>
        </w:r>
      </w:hyperlink>
      <w:r>
        <w:t>, f. 4.</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r w:rsidRPr="0043655B">
        <w:rPr>
          <w:rStyle w:val="TextoNormalNegritaCaracter"/>
        </w:rPr>
        <w:t>Artículo 47.</w:t>
      </w:r>
      <w:r w:rsidRPr="0043655B">
        <w:rPr>
          <w:rStyle w:val="TextoNormalCaracter"/>
        </w:rPr>
        <w:t>-</w:t>
      </w:r>
      <w:r>
        <w:t xml:space="preserve"> Sentencias </w:t>
      </w:r>
      <w:hyperlink w:anchor="SENTENCIA_2012_19" w:history="1">
        <w:r w:rsidRPr="0043655B">
          <w:rPr>
            <w:rStyle w:val="TextoNormalCaracter"/>
          </w:rPr>
          <w:t>19/2012</w:t>
        </w:r>
      </w:hyperlink>
      <w:r>
        <w:t xml:space="preserve">, f. 4; </w:t>
      </w:r>
      <w:hyperlink w:anchor="SENTENCIA_2012_28" w:history="1">
        <w:r w:rsidRPr="0043655B">
          <w:rPr>
            <w:rStyle w:val="TextoNormalCaracter"/>
          </w:rPr>
          <w:t>28/2012</w:t>
        </w:r>
      </w:hyperlink>
      <w:r>
        <w:t xml:space="preserve">, f. 5;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49.</w:t>
      </w:r>
      <w:r w:rsidRPr="0043655B">
        <w:rPr>
          <w:rStyle w:val="TextoNormalCaracter"/>
        </w:rPr>
        <w:t>-</w:t>
      </w:r>
      <w:r>
        <w:t xml:space="preserve"> Sentencia </w:t>
      </w:r>
      <w:hyperlink w:anchor="SENTENCIA_2012_133" w:history="1">
        <w:r w:rsidRPr="0043655B">
          <w:rPr>
            <w:rStyle w:val="TextoNormalCaracter"/>
          </w:rPr>
          <w:t>133/2012</w:t>
        </w:r>
      </w:hyperlink>
      <w:r>
        <w:t>, f. 5.</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26" w:history="1">
        <w:r w:rsidRPr="0043655B">
          <w:rPr>
            <w:rStyle w:val="TextoNormalCaracter"/>
          </w:rPr>
          <w:t>26/2012</w:t>
        </w:r>
      </w:hyperlink>
      <w:r>
        <w:t>, f. 10.</w:t>
      </w:r>
    </w:p>
    <w:p w:rsidR="0043655B" w:rsidRDefault="0043655B" w:rsidP="0043655B">
      <w:pPr>
        <w:pStyle w:val="SangriaFrancesaArticulo"/>
      </w:pPr>
      <w:r w:rsidRPr="0043655B">
        <w:rPr>
          <w:rStyle w:val="TextoNormalNegritaCaracter"/>
        </w:rPr>
        <w:t>Artículo 53.1.</w:t>
      </w:r>
      <w:r w:rsidRPr="0043655B">
        <w:rPr>
          <w:rStyle w:val="TextoNormalCaracter"/>
        </w:rPr>
        <w:t>-</w:t>
      </w:r>
      <w:r>
        <w:t xml:space="preserve"> Sentencias </w:t>
      </w:r>
      <w:hyperlink w:anchor="SENTENCIA_2012_20" w:history="1">
        <w:r w:rsidRPr="0043655B">
          <w:rPr>
            <w:rStyle w:val="TextoNormalCaracter"/>
          </w:rPr>
          <w:t>20/2012</w:t>
        </w:r>
      </w:hyperlink>
      <w:r>
        <w:t xml:space="preserve">, f. 7; </w:t>
      </w:r>
      <w:hyperlink w:anchor="SENTENCIA_2012_39" w:history="1">
        <w:r w:rsidRPr="0043655B">
          <w:rPr>
            <w:rStyle w:val="TextoNormalCaracter"/>
          </w:rPr>
          <w:t>39/2012</w:t>
        </w:r>
      </w:hyperlink>
      <w:r>
        <w:t xml:space="preserve">, VP I; </w:t>
      </w:r>
      <w:hyperlink w:anchor="SENTENCIA_2012_47" w:history="1">
        <w:r w:rsidRPr="0043655B">
          <w:rPr>
            <w:rStyle w:val="TextoNormalCaracter"/>
          </w:rPr>
          <w:t>47/2012</w:t>
        </w:r>
      </w:hyperlink>
      <w:r>
        <w:t xml:space="preserve">, f. 5; </w:t>
      </w:r>
      <w:hyperlink w:anchor="SENTENCIA_2012_61" w:history="1">
        <w:r w:rsidRPr="0043655B">
          <w:rPr>
            <w:rStyle w:val="TextoNormalCaracter"/>
          </w:rPr>
          <w:t>61/2012</w:t>
        </w:r>
      </w:hyperlink>
      <w:r>
        <w:t xml:space="preserve">, f. 4; </w:t>
      </w:r>
      <w:hyperlink w:anchor="SENTENCIA_2012_96" w:history="1">
        <w:r w:rsidRPr="0043655B">
          <w:rPr>
            <w:rStyle w:val="TextoNormalCaracter"/>
          </w:rPr>
          <w:t>96/2012</w:t>
        </w:r>
      </w:hyperlink>
      <w:r>
        <w:t>, f. 8.</w:t>
      </w:r>
    </w:p>
    <w:p w:rsidR="0043655B" w:rsidRDefault="0043655B" w:rsidP="0043655B">
      <w:pPr>
        <w:pStyle w:val="SangriaFrancesaArticulo"/>
      </w:pPr>
      <w:r w:rsidRPr="0043655B">
        <w:rPr>
          <w:rStyle w:val="TextoNormalNegritaCaracter"/>
        </w:rPr>
        <w:t>Artículo 53.2.</w:t>
      </w:r>
      <w:r w:rsidRPr="0043655B">
        <w:rPr>
          <w:rStyle w:val="TextoNormalCaracter"/>
        </w:rPr>
        <w:t>-</w:t>
      </w:r>
      <w:r>
        <w:t xml:space="preserve"> Sentencias </w:t>
      </w:r>
      <w:hyperlink w:anchor="SENTENCIA_2012_17" w:history="1">
        <w:r w:rsidRPr="0043655B">
          <w:rPr>
            <w:rStyle w:val="TextoNormalCaracter"/>
          </w:rPr>
          <w:t>17/2012</w:t>
        </w:r>
      </w:hyperlink>
      <w:r>
        <w:t xml:space="preserve">, f. 3; </w:t>
      </w:r>
      <w:hyperlink w:anchor="SENTENCIA_2012_23" w:history="1">
        <w:r w:rsidRPr="0043655B">
          <w:rPr>
            <w:rStyle w:val="TextoNormalCaracter"/>
          </w:rPr>
          <w:t>23/2012</w:t>
        </w:r>
      </w:hyperlink>
      <w:r>
        <w:t xml:space="preserve">, f. 2; </w:t>
      </w:r>
      <w:hyperlink w:anchor="SENTENCIA_2012_53" w:history="1">
        <w:r w:rsidRPr="0043655B">
          <w:rPr>
            <w:rStyle w:val="TextoNormalCaracter"/>
          </w:rPr>
          <w:t>53/2012</w:t>
        </w:r>
      </w:hyperlink>
      <w:r>
        <w:t xml:space="preserve">, f. 2; </w:t>
      </w:r>
      <w:hyperlink w:anchor="SENTENCIA_2012_105" w:history="1">
        <w:r w:rsidRPr="0043655B">
          <w:rPr>
            <w:rStyle w:val="TextoNormalCaracter"/>
          </w:rPr>
          <w:t>105/2012</w:t>
        </w:r>
      </w:hyperlink>
      <w:r>
        <w:t xml:space="preserve">, f. 5; </w:t>
      </w:r>
      <w:hyperlink w:anchor="SENTENCIA_2012_138" w:history="1">
        <w:r w:rsidRPr="0043655B">
          <w:rPr>
            <w:rStyle w:val="TextoNormalCaracter"/>
          </w:rPr>
          <w:t>138/2012</w:t>
        </w:r>
      </w:hyperlink>
      <w:r>
        <w:t>, f. 3.</w:t>
      </w:r>
    </w:p>
    <w:p w:rsidR="0043655B" w:rsidRDefault="0043655B" w:rsidP="0043655B">
      <w:pPr>
        <w:pStyle w:val="SangriaIzquierdaArticulo"/>
      </w:pPr>
      <w:r>
        <w:lastRenderedPageBreak/>
        <w:t xml:space="preserve">Autos </w:t>
      </w:r>
      <w:hyperlink w:anchor="AUTO_2012_7" w:history="1">
        <w:r w:rsidRPr="0043655B">
          <w:rPr>
            <w:rStyle w:val="TextoNormalCaracter"/>
          </w:rPr>
          <w:t>7/2012</w:t>
        </w:r>
      </w:hyperlink>
      <w:r>
        <w:t xml:space="preserve">; </w:t>
      </w:r>
      <w:hyperlink w:anchor="AUTO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53.3.</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66.</w:t>
      </w:r>
      <w:r w:rsidRPr="0043655B">
        <w:rPr>
          <w:rStyle w:val="TextoNormalCaracter"/>
        </w:rPr>
        <w:t>-</w:t>
      </w:r>
      <w:r>
        <w:t xml:space="preserve"> Sentencia </w:t>
      </w:r>
      <w:hyperlink w:anchor="SENTENCIA_2012_105" w:history="1">
        <w:r w:rsidRPr="0043655B">
          <w:rPr>
            <w:rStyle w:val="TextoNormalCaracter"/>
          </w:rPr>
          <w:t>105/2012</w:t>
        </w:r>
      </w:hyperlink>
      <w:r>
        <w:t>, f. 13.</w:t>
      </w:r>
    </w:p>
    <w:p w:rsidR="0043655B" w:rsidRDefault="0043655B" w:rsidP="0043655B">
      <w:pPr>
        <w:pStyle w:val="SangriaFrancesaArticulo"/>
      </w:pPr>
      <w:r w:rsidRPr="0043655B">
        <w:rPr>
          <w:rStyle w:val="TextoNormalNegritaCaracter"/>
        </w:rPr>
        <w:t>Artículo 66.1.</w:t>
      </w:r>
      <w:r w:rsidRPr="0043655B">
        <w:rPr>
          <w:rStyle w:val="TextoNormalCaracter"/>
        </w:rPr>
        <w:t>-</w:t>
      </w:r>
      <w:r>
        <w:t xml:space="preserve"> Sentencia </w:t>
      </w:r>
      <w:hyperlink w:anchor="SENTENCIA_2012_1" w:history="1">
        <w:r w:rsidRPr="0043655B">
          <w:rPr>
            <w:rStyle w:val="TextoNormalCaracter"/>
          </w:rPr>
          <w:t>1/2012</w:t>
        </w:r>
      </w:hyperlink>
      <w:r>
        <w:t>, f. 9.</w:t>
      </w:r>
    </w:p>
    <w:p w:rsidR="0043655B" w:rsidRDefault="0043655B" w:rsidP="0043655B">
      <w:pPr>
        <w:pStyle w:val="SangriaFrancesaArticulo"/>
      </w:pPr>
      <w:r w:rsidRPr="0043655B">
        <w:rPr>
          <w:rStyle w:val="TextoNormalNegritaCaracter"/>
        </w:rPr>
        <w:t>Artículo 66.2.</w:t>
      </w:r>
      <w:r w:rsidRPr="0043655B">
        <w:rPr>
          <w:rStyle w:val="TextoNormalCaracter"/>
        </w:rPr>
        <w:t>-</w:t>
      </w:r>
      <w:r>
        <w:t xml:space="preserve"> Sentencias </w:t>
      </w:r>
      <w:hyperlink w:anchor="SENTENCIA_2012_35" w:history="1">
        <w:r w:rsidRPr="0043655B">
          <w:rPr>
            <w:rStyle w:val="TextoNormalCaracter"/>
          </w:rPr>
          <w:t>35/2012</w:t>
        </w:r>
      </w:hyperlink>
      <w:r>
        <w:t xml:space="preserve">, f. 9; </w:t>
      </w:r>
      <w:hyperlink w:anchor="SENTENCIA_2012_36" w:history="1">
        <w:r w:rsidRPr="0043655B">
          <w:rPr>
            <w:rStyle w:val="TextoNormalCaracter"/>
          </w:rPr>
          <w:t>36/2012</w:t>
        </w:r>
      </w:hyperlink>
      <w:r>
        <w:t xml:space="preserve">, f. 7; </w:t>
      </w:r>
      <w:hyperlink w:anchor="SENTENCIA_2012_99" w:history="1">
        <w:r w:rsidRPr="0043655B">
          <w:rPr>
            <w:rStyle w:val="TextoNormalCaracter"/>
          </w:rPr>
          <w:t>99/2012</w:t>
        </w:r>
      </w:hyperlink>
      <w:r>
        <w:t>, f. 6.</w:t>
      </w:r>
    </w:p>
    <w:p w:rsidR="0043655B" w:rsidRDefault="0043655B" w:rsidP="0043655B">
      <w:pPr>
        <w:pStyle w:val="SangriaFrancesaArticulo"/>
      </w:pPr>
      <w:r w:rsidRPr="0043655B">
        <w:rPr>
          <w:rStyle w:val="TextoNormalNegritaCaracter"/>
        </w:rPr>
        <w:t>Artículo 67.</w:t>
      </w:r>
      <w:r w:rsidRPr="0043655B">
        <w:rPr>
          <w:rStyle w:val="TextoNormalCaracter"/>
        </w:rPr>
        <w:t>-</w:t>
      </w:r>
      <w:r>
        <w:t xml:space="preserve"> Sentencias </w:t>
      </w:r>
      <w:hyperlink w:anchor="SENTENCIA_2012_81" w:history="1">
        <w:r w:rsidRPr="0043655B">
          <w:rPr>
            <w:rStyle w:val="TextoNormalCaracter"/>
          </w:rPr>
          <w:t>81/2012</w:t>
        </w:r>
      </w:hyperlink>
      <w:r>
        <w:t xml:space="preserve">, f. 2; </w:t>
      </w:r>
      <w:hyperlink w:anchor="SENTENCIA_2012_138" w:history="1">
        <w:r w:rsidRPr="0043655B">
          <w:rPr>
            <w:rStyle w:val="TextoNormalCaracter"/>
          </w:rPr>
          <w:t>138/2012</w:t>
        </w:r>
      </w:hyperlink>
      <w:r>
        <w:t>, VP I.</w:t>
      </w:r>
    </w:p>
    <w:p w:rsidR="0043655B" w:rsidRDefault="0043655B" w:rsidP="0043655B">
      <w:pPr>
        <w:pStyle w:val="SangriaFrancesaArticulo"/>
      </w:pPr>
      <w:r w:rsidRPr="0043655B">
        <w:rPr>
          <w:rStyle w:val="TextoNormalNegritaCaracter"/>
        </w:rPr>
        <w:t>Artículos 67 a 70.</w:t>
      </w:r>
      <w:r w:rsidRPr="0043655B">
        <w:rPr>
          <w:rStyle w:val="TextoNormalCaracter"/>
        </w:rPr>
        <w:t>-</w:t>
      </w:r>
      <w:r>
        <w:t xml:space="preserve"> Sentencia </w:t>
      </w:r>
      <w:hyperlink w:anchor="SENTENCIA_2012_81" w:history="1">
        <w:r w:rsidRPr="0043655B">
          <w:rPr>
            <w:rStyle w:val="TextoNormalCaracter"/>
          </w:rPr>
          <w:t>81/2012</w:t>
        </w:r>
      </w:hyperlink>
      <w:r>
        <w:t>, f. 2.</w:t>
      </w:r>
    </w:p>
    <w:p w:rsidR="0043655B" w:rsidRDefault="0043655B" w:rsidP="0043655B">
      <w:pPr>
        <w:pStyle w:val="SangriaFrancesaArticulo"/>
      </w:pPr>
      <w:r w:rsidRPr="0043655B">
        <w:rPr>
          <w:rStyle w:val="TextoNormalNegritaCaracter"/>
        </w:rPr>
        <w:t>Artículo 68.</w:t>
      </w:r>
      <w:r w:rsidRPr="0043655B">
        <w:rPr>
          <w:rStyle w:val="TextoNormalCaracter"/>
        </w:rPr>
        <w:t>-</w:t>
      </w:r>
      <w:r>
        <w:t xml:space="preserve"> Sentencia </w:t>
      </w:r>
      <w:hyperlink w:anchor="SENTENCIA_2012_81" w:history="1">
        <w:r w:rsidRPr="0043655B">
          <w:rPr>
            <w:rStyle w:val="TextoNormalCaracter"/>
          </w:rPr>
          <w:t>81/2012</w:t>
        </w:r>
      </w:hyperlink>
      <w:r>
        <w:t>, f. 2.</w:t>
      </w:r>
    </w:p>
    <w:p w:rsidR="0043655B" w:rsidRDefault="0043655B" w:rsidP="0043655B">
      <w:pPr>
        <w:pStyle w:val="SangriaFrancesaArticulo"/>
      </w:pPr>
      <w:r w:rsidRPr="0043655B">
        <w:rPr>
          <w:rStyle w:val="TextoNormalNegritaCaracter"/>
        </w:rPr>
        <w:t>Artículo 68.5.</w:t>
      </w:r>
      <w:r w:rsidRPr="0043655B">
        <w:rPr>
          <w:rStyle w:val="TextoNormalCaracter"/>
        </w:rPr>
        <w:t>-</w:t>
      </w:r>
      <w:r>
        <w:t xml:space="preserve"> Sentencia </w:t>
      </w:r>
      <w:hyperlink w:anchor="SENTENCIA_2012_105" w:history="1">
        <w:r w:rsidRPr="0043655B">
          <w:rPr>
            <w:rStyle w:val="TextoNormalCaracter"/>
          </w:rPr>
          <w:t>105/2012</w:t>
        </w:r>
      </w:hyperlink>
      <w:r>
        <w:t>, f. 2.</w:t>
      </w:r>
    </w:p>
    <w:p w:rsidR="0043655B" w:rsidRDefault="0043655B" w:rsidP="0043655B">
      <w:pPr>
        <w:pStyle w:val="SangriaFrancesaArticulo"/>
      </w:pPr>
      <w:r w:rsidRPr="0043655B">
        <w:rPr>
          <w:rStyle w:val="TextoNormalNegritaCaracter"/>
        </w:rPr>
        <w:t>Artículo 69.</w:t>
      </w:r>
      <w:r w:rsidRPr="0043655B">
        <w:rPr>
          <w:rStyle w:val="TextoNormalCaracter"/>
        </w:rPr>
        <w:t>-</w:t>
      </w:r>
      <w:r>
        <w:t xml:space="preserve"> Sentencia </w:t>
      </w:r>
      <w:hyperlink w:anchor="SENTENCIA_2012_81" w:history="1">
        <w:r w:rsidRPr="0043655B">
          <w:rPr>
            <w:rStyle w:val="TextoNormalCaracter"/>
          </w:rPr>
          <w:t>81/2012</w:t>
        </w:r>
      </w:hyperlink>
      <w:r>
        <w:t>, f. 2.</w:t>
      </w:r>
    </w:p>
    <w:p w:rsidR="0043655B" w:rsidRDefault="0043655B" w:rsidP="0043655B">
      <w:pPr>
        <w:pStyle w:val="SangriaFrancesaArticulo"/>
      </w:pPr>
      <w:r w:rsidRPr="0043655B">
        <w:rPr>
          <w:rStyle w:val="TextoNormalNegritaCaracter"/>
        </w:rPr>
        <w:t>Artículo 69.1.</w:t>
      </w:r>
      <w:r w:rsidRPr="0043655B">
        <w:rPr>
          <w:rStyle w:val="TextoNormalCaracter"/>
        </w:rPr>
        <w:t>-</w:t>
      </w:r>
      <w:r>
        <w:t xml:space="preserve"> Sentencia </w:t>
      </w:r>
      <w:hyperlink w:anchor="SENTENCIA_2012_1" w:history="1">
        <w:r w:rsidRPr="0043655B">
          <w:rPr>
            <w:rStyle w:val="TextoNormalCaracter"/>
          </w:rPr>
          <w:t>1/2012</w:t>
        </w:r>
      </w:hyperlink>
      <w:r>
        <w:t>, f. 9.</w:t>
      </w:r>
    </w:p>
    <w:p w:rsidR="0043655B" w:rsidRDefault="0043655B" w:rsidP="0043655B">
      <w:pPr>
        <w:pStyle w:val="SangriaFrancesaArticulo"/>
      </w:pPr>
      <w:r w:rsidRPr="0043655B">
        <w:rPr>
          <w:rStyle w:val="TextoNormalNegritaCaracter"/>
        </w:rPr>
        <w:t>Artículo 69.3.</w:t>
      </w:r>
      <w:r w:rsidRPr="0043655B">
        <w:rPr>
          <w:rStyle w:val="TextoNormalCaracter"/>
        </w:rPr>
        <w:t>-</w:t>
      </w:r>
      <w:r>
        <w:t xml:space="preserve"> Sentencia </w:t>
      </w:r>
      <w:hyperlink w:anchor="SENTENCIA_2012_132" w:history="1">
        <w:r w:rsidRPr="0043655B">
          <w:rPr>
            <w:rStyle w:val="TextoNormalCaracter"/>
          </w:rPr>
          <w:t>132/2012</w:t>
        </w:r>
      </w:hyperlink>
      <w:r>
        <w:t>, f. 3.</w:t>
      </w:r>
    </w:p>
    <w:p w:rsidR="0043655B" w:rsidRDefault="0043655B" w:rsidP="0043655B">
      <w:pPr>
        <w:pStyle w:val="SangriaFrancesaArticulo"/>
      </w:pPr>
      <w:r w:rsidRPr="0043655B">
        <w:rPr>
          <w:rStyle w:val="TextoNormalNegritaCaracter"/>
        </w:rPr>
        <w:t>Artículo 70.</w:t>
      </w:r>
      <w:r w:rsidRPr="0043655B">
        <w:rPr>
          <w:rStyle w:val="TextoNormalCaracter"/>
        </w:rPr>
        <w:t>-</w:t>
      </w:r>
      <w:r>
        <w:t xml:space="preserve"> Sentencia </w:t>
      </w:r>
      <w:hyperlink w:anchor="SENTENCIA_2012_81" w:history="1">
        <w:r w:rsidRPr="0043655B">
          <w:rPr>
            <w:rStyle w:val="TextoNormalCaracter"/>
          </w:rPr>
          <w:t>81/2012</w:t>
        </w:r>
      </w:hyperlink>
      <w:r>
        <w:t>, f. 2.</w:t>
      </w:r>
    </w:p>
    <w:p w:rsidR="0043655B" w:rsidRDefault="0043655B" w:rsidP="0043655B">
      <w:pPr>
        <w:pStyle w:val="SangriaFrancesaArticulo"/>
      </w:pPr>
      <w:r w:rsidRPr="0043655B">
        <w:rPr>
          <w:rStyle w:val="TextoNormalNegritaCaracter"/>
        </w:rPr>
        <w:t>Artículo 75.3.</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76.</w:t>
      </w:r>
      <w:r w:rsidRPr="0043655B">
        <w:rPr>
          <w:rStyle w:val="TextoNormalCaracter"/>
        </w:rPr>
        <w:t>-</w:t>
      </w:r>
      <w:r>
        <w:t xml:space="preserve"> Sentencia </w:t>
      </w:r>
      <w:hyperlink w:anchor="SENTENCIA_2012_88" w:history="1">
        <w:r w:rsidRPr="0043655B">
          <w:rPr>
            <w:rStyle w:val="TextoNormalCaracter"/>
          </w:rPr>
          <w:t>88/2012</w:t>
        </w:r>
      </w:hyperlink>
      <w:r>
        <w:t>, f. 4.</w:t>
      </w:r>
    </w:p>
    <w:p w:rsidR="0043655B" w:rsidRDefault="0043655B" w:rsidP="0043655B">
      <w:pPr>
        <w:pStyle w:val="SangriaFrancesaArticulo"/>
      </w:pPr>
      <w:r w:rsidRPr="0043655B">
        <w:rPr>
          <w:rStyle w:val="TextoNormalNegritaCaracter"/>
        </w:rPr>
        <w:t>Artículo 81.</w:t>
      </w:r>
      <w:r w:rsidRPr="0043655B">
        <w:rPr>
          <w:rStyle w:val="TextoNormalCaracter"/>
        </w:rPr>
        <w:t>-</w:t>
      </w:r>
      <w:r>
        <w:t xml:space="preserve"> Sentencia </w:t>
      </w:r>
      <w:hyperlink w:anchor="SENTENCIA_2012_105" w:history="1">
        <w:r w:rsidRPr="0043655B">
          <w:rPr>
            <w:rStyle w:val="TextoNormalCaracter"/>
          </w:rPr>
          <w:t>105/2012</w:t>
        </w:r>
      </w:hyperlink>
      <w:r>
        <w:t>, f. 13.</w:t>
      </w:r>
    </w:p>
    <w:p w:rsidR="0043655B" w:rsidRDefault="0043655B" w:rsidP="0043655B">
      <w:pPr>
        <w:pStyle w:val="SangriaFrancesaArticulo"/>
      </w:pPr>
      <w:r w:rsidRPr="0043655B">
        <w:rPr>
          <w:rStyle w:val="TextoNormalNegritaCaracter"/>
        </w:rPr>
        <w:t>Artículo 81.1.</w:t>
      </w:r>
      <w:r w:rsidRPr="0043655B">
        <w:rPr>
          <w:rStyle w:val="TextoNormalCaracter"/>
        </w:rPr>
        <w:t>-</w:t>
      </w:r>
      <w:r>
        <w:t xml:space="preserve"> Sentencias </w:t>
      </w:r>
      <w:hyperlink w:anchor="SENTENCIA_2012_81" w:history="1">
        <w:r w:rsidRPr="0043655B">
          <w:rPr>
            <w:rStyle w:val="TextoNormalCaracter"/>
          </w:rPr>
          <w:t>81/2012</w:t>
        </w:r>
      </w:hyperlink>
      <w:r>
        <w:t xml:space="preserve">, passim, VP; </w:t>
      </w:r>
      <w:hyperlink w:anchor="SENTENCIA_2012_111" w:history="1">
        <w:r w:rsidRPr="0043655B">
          <w:rPr>
            <w:rStyle w:val="TextoNormalCaracter"/>
          </w:rPr>
          <w:t>111/2012</w:t>
        </w:r>
      </w:hyperlink>
      <w:r>
        <w:t>, f. 5.</w:t>
      </w:r>
    </w:p>
    <w:p w:rsidR="0043655B" w:rsidRDefault="0043655B" w:rsidP="0043655B">
      <w:pPr>
        <w:pStyle w:val="SangriaFrancesaArticulo"/>
      </w:pPr>
      <w:r w:rsidRPr="0043655B">
        <w:rPr>
          <w:rStyle w:val="TextoNormalNegritaCaracter"/>
        </w:rPr>
        <w:t>Artículo 86.</w:t>
      </w:r>
      <w:r w:rsidRPr="0043655B">
        <w:rPr>
          <w:rStyle w:val="TextoNormalCaracter"/>
        </w:rPr>
        <w:t>-</w:t>
      </w:r>
      <w:r>
        <w:t xml:space="preserve"> Sentencias </w:t>
      </w:r>
      <w:hyperlink w:anchor="SENTENCIA_2012_1" w:history="1">
        <w:r w:rsidRPr="0043655B">
          <w:rPr>
            <w:rStyle w:val="TextoNormalCaracter"/>
          </w:rPr>
          <w:t>1/2012</w:t>
        </w:r>
      </w:hyperlink>
      <w:r>
        <w:t xml:space="preserve">, ff. 3, 4, 9; </w:t>
      </w:r>
      <w:hyperlink w:anchor="SENTENCIA_2012_100" w:history="1">
        <w:r w:rsidRPr="0043655B">
          <w:rPr>
            <w:rStyle w:val="TextoNormalCaracter"/>
          </w:rPr>
          <w:t>100/2012</w:t>
        </w:r>
      </w:hyperlink>
      <w:r>
        <w:t>, f. 9.</w:t>
      </w:r>
    </w:p>
    <w:p w:rsidR="0043655B" w:rsidRDefault="0043655B" w:rsidP="0043655B">
      <w:pPr>
        <w:pStyle w:val="SangriaIzquierdaArticulo"/>
      </w:pPr>
      <w:r>
        <w:t xml:space="preserve">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86.1.</w:t>
      </w:r>
      <w:r w:rsidRPr="0043655B">
        <w:rPr>
          <w:rStyle w:val="TextoNormalCaracter"/>
        </w:rPr>
        <w:t>-</w:t>
      </w:r>
      <w:r>
        <w:t xml:space="preserve"> Sentencias </w:t>
      </w:r>
      <w:hyperlink w:anchor="SENTENCIA_2012_1" w:history="1">
        <w:r w:rsidRPr="0043655B">
          <w:rPr>
            <w:rStyle w:val="TextoNormalCaracter"/>
          </w:rPr>
          <w:t>1/2012</w:t>
        </w:r>
      </w:hyperlink>
      <w:r>
        <w:t xml:space="preserve">, ff. 1, 4 a 13; </w:t>
      </w:r>
      <w:hyperlink w:anchor="SENTENCIA_2012_34" w:history="1">
        <w:r w:rsidRPr="0043655B">
          <w:rPr>
            <w:rStyle w:val="TextoNormalCaracter"/>
          </w:rPr>
          <w:t>34/2012</w:t>
        </w:r>
      </w:hyperlink>
      <w:r>
        <w:t xml:space="preserve">, f. 5; </w:t>
      </w:r>
      <w:hyperlink w:anchor="SENTENCIA_2012_86" w:history="1">
        <w:r w:rsidRPr="0043655B">
          <w:rPr>
            <w:rStyle w:val="TextoNormalCaracter"/>
          </w:rPr>
          <w:t>86/2012</w:t>
        </w:r>
      </w:hyperlink>
      <w:r>
        <w:t xml:space="preserve">, f. 3; </w:t>
      </w:r>
      <w:hyperlink w:anchor="SENTENCIA_2012_100" w:history="1">
        <w:r w:rsidRPr="0043655B">
          <w:rPr>
            <w:rStyle w:val="TextoNormalCaracter"/>
          </w:rPr>
          <w:t>100/2012</w:t>
        </w:r>
      </w:hyperlink>
      <w:r>
        <w:t>, ff. 1, 8, 9.</w:t>
      </w:r>
    </w:p>
    <w:p w:rsidR="0043655B" w:rsidRDefault="0043655B" w:rsidP="0043655B">
      <w:pPr>
        <w:pStyle w:val="SangriaIzquierdaArticulo"/>
      </w:pPr>
      <w:r>
        <w:t xml:space="preserve">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86.2.</w:t>
      </w:r>
      <w:r w:rsidRPr="0043655B">
        <w:rPr>
          <w:rStyle w:val="TextoNormalCaracter"/>
        </w:rPr>
        <w:t>-</w:t>
      </w:r>
      <w:r>
        <w:t xml:space="preserve"> Sentencias </w:t>
      </w:r>
      <w:hyperlink w:anchor="SENTENCIA_2012_34" w:history="1">
        <w:r w:rsidRPr="0043655B">
          <w:rPr>
            <w:rStyle w:val="TextoNormalCaracter"/>
          </w:rPr>
          <w:t>34/2012</w:t>
        </w:r>
      </w:hyperlink>
      <w:r>
        <w:t xml:space="preserve">, f. 5; </w:t>
      </w:r>
      <w:hyperlink w:anchor="SENTENCIA_2012_100" w:history="1">
        <w:r w:rsidRPr="0043655B">
          <w:rPr>
            <w:rStyle w:val="TextoNormalCaracter"/>
          </w:rPr>
          <w:t>100/2012</w:t>
        </w:r>
      </w:hyperlink>
      <w:r>
        <w:t>, f. 9.</w:t>
      </w:r>
    </w:p>
    <w:p w:rsidR="0043655B" w:rsidRDefault="0043655B" w:rsidP="0043655B">
      <w:pPr>
        <w:pStyle w:val="SangriaFrancesaArticulo"/>
      </w:pPr>
      <w:r w:rsidRPr="0043655B">
        <w:rPr>
          <w:rStyle w:val="TextoNormalNegritaCaracter"/>
        </w:rPr>
        <w:t>Artículo 86.3.</w:t>
      </w:r>
      <w:r w:rsidRPr="0043655B">
        <w:rPr>
          <w:rStyle w:val="TextoNormalCaracter"/>
        </w:rPr>
        <w:t>-</w:t>
      </w:r>
      <w:r>
        <w:t xml:space="preserve"> Sentencias </w:t>
      </w:r>
      <w:hyperlink w:anchor="SENTENCIA_2012_1" w:history="1">
        <w:r w:rsidRPr="0043655B">
          <w:rPr>
            <w:rStyle w:val="TextoNormalCaracter"/>
          </w:rPr>
          <w:t>1/2012</w:t>
        </w:r>
      </w:hyperlink>
      <w:r>
        <w:t xml:space="preserve">, f. 4;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87.1.</w:t>
      </w:r>
      <w:r w:rsidRPr="0043655B">
        <w:rPr>
          <w:rStyle w:val="TextoNormalCaracter"/>
        </w:rPr>
        <w:t>-</w:t>
      </w:r>
      <w:r>
        <w:t xml:space="preserve"> Sentencia </w:t>
      </w:r>
      <w:hyperlink w:anchor="SENTENCIA_2012_1" w:history="1">
        <w:r w:rsidRPr="0043655B">
          <w:rPr>
            <w:rStyle w:val="TextoNormalCaracter"/>
          </w:rPr>
          <w:t>1/2012</w:t>
        </w:r>
      </w:hyperlink>
      <w:r>
        <w:t>, f. 9.</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Sentencias </w:t>
      </w:r>
      <w:hyperlink w:anchor="SENTENCIA_2012_1" w:history="1">
        <w:r w:rsidRPr="0043655B">
          <w:rPr>
            <w:rStyle w:val="TextoNormalCaracter"/>
          </w:rPr>
          <w:t>1/2012</w:t>
        </w:r>
      </w:hyperlink>
      <w:r>
        <w:t xml:space="preserve">, f. 9; </w:t>
      </w:r>
      <w:hyperlink w:anchor="SENTENCIA_2012_100" w:history="1">
        <w:r w:rsidRPr="0043655B">
          <w:rPr>
            <w:rStyle w:val="TextoNormalCaracter"/>
          </w:rPr>
          <w:t>100/2012</w:t>
        </w:r>
      </w:hyperlink>
      <w:r>
        <w:t>, ff. 5, 7.</w:t>
      </w:r>
    </w:p>
    <w:p w:rsidR="0043655B" w:rsidRDefault="0043655B" w:rsidP="0043655B">
      <w:pPr>
        <w:pStyle w:val="SangriaFrancesaArticulo"/>
      </w:pPr>
      <w:r w:rsidRPr="0043655B">
        <w:rPr>
          <w:rStyle w:val="TextoNormalNegritaCaracter"/>
        </w:rPr>
        <w:t>Artículo 94.1.</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r w:rsidRPr="0043655B">
        <w:rPr>
          <w:rStyle w:val="TextoNormalNegritaCaracter"/>
        </w:rPr>
        <w:t>Artículo 95.1.</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95.2.</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96.1.</w:t>
      </w:r>
      <w:r w:rsidRPr="0043655B">
        <w:rPr>
          <w:rStyle w:val="TextoNormalCaracter"/>
        </w:rPr>
        <w:t>-</w:t>
      </w:r>
      <w:r>
        <w:t xml:space="preserve"> Sentencias </w:t>
      </w:r>
      <w:hyperlink w:anchor="SENTENCIA_2012_80" w:history="1">
        <w:r w:rsidRPr="0043655B">
          <w:rPr>
            <w:rStyle w:val="TextoNormalCaracter"/>
          </w:rPr>
          <w:t>80/2012</w:t>
        </w:r>
      </w:hyperlink>
      <w:r>
        <w:t xml:space="preserve">, f. 4; </w:t>
      </w:r>
      <w:hyperlink w:anchor="SENTENCIA_2012_100" w:history="1">
        <w:r w:rsidRPr="0043655B">
          <w:rPr>
            <w:rStyle w:val="TextoNormalCaracter"/>
          </w:rPr>
          <w:t>100/2012</w:t>
        </w:r>
      </w:hyperlink>
      <w:r>
        <w:t>, f. 7.</w:t>
      </w:r>
    </w:p>
    <w:p w:rsidR="0043655B" w:rsidRDefault="0043655B" w:rsidP="0043655B">
      <w:pPr>
        <w:pStyle w:val="SangriaFrancesaArticulo"/>
      </w:pPr>
      <w:r w:rsidRPr="0043655B">
        <w:rPr>
          <w:rStyle w:val="TextoNormalNegritaCaracter"/>
        </w:rPr>
        <w:t>Artículo 103.1.</w:t>
      </w:r>
      <w:r w:rsidRPr="0043655B">
        <w:rPr>
          <w:rStyle w:val="TextoNormalCaracter"/>
        </w:rPr>
        <w:t>-</w:t>
      </w:r>
      <w:r>
        <w:t xml:space="preserve"> Sentencias </w:t>
      </w:r>
      <w:hyperlink w:anchor="SENTENCIA_2012_93" w:history="1">
        <w:r w:rsidRPr="0043655B">
          <w:rPr>
            <w:rStyle w:val="TextoNormalCaracter"/>
          </w:rPr>
          <w:t>93/2012</w:t>
        </w:r>
      </w:hyperlink>
      <w:r>
        <w:t xml:space="preserve">, ff. 1, 4; </w:t>
      </w:r>
      <w:hyperlink w:anchor="SENTENCIA_2012_98" w:history="1">
        <w:r w:rsidRPr="0043655B">
          <w:rPr>
            <w:rStyle w:val="TextoNormalCaracter"/>
          </w:rPr>
          <w:t>98/2012</w:t>
        </w:r>
      </w:hyperlink>
      <w:r>
        <w:t xml:space="preserve">, ff. 1, 4;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103.3.</w:t>
      </w:r>
      <w:r w:rsidRPr="0043655B">
        <w:rPr>
          <w:rStyle w:val="TextoNormalCaracter"/>
        </w:rPr>
        <w:t>-</w:t>
      </w:r>
      <w:r>
        <w:t xml:space="preserve"> Sentencias </w:t>
      </w:r>
      <w:hyperlink w:anchor="SENTENCIA_2012_2" w:history="1">
        <w:r w:rsidRPr="0043655B">
          <w:rPr>
            <w:rStyle w:val="TextoNormalCaracter"/>
          </w:rPr>
          <w:t>2/2012</w:t>
        </w:r>
      </w:hyperlink>
      <w:r>
        <w:t xml:space="preserve">, f. 4; </w:t>
      </w:r>
      <w:hyperlink w:anchor="SENTENCIA_2012_27" w:history="1">
        <w:r w:rsidRPr="0043655B">
          <w:rPr>
            <w:rStyle w:val="TextoNormalCaracter"/>
          </w:rPr>
          <w:t>27/2012</w:t>
        </w:r>
      </w:hyperlink>
      <w:r>
        <w:t xml:space="preserve">, f. 9; </w:t>
      </w:r>
      <w:hyperlink w:anchor="SENTENCIA_2012_29" w:history="1">
        <w:r w:rsidRPr="0043655B">
          <w:rPr>
            <w:rStyle w:val="TextoNormalCaracter"/>
          </w:rPr>
          <w:t>29/2012</w:t>
        </w:r>
      </w:hyperlink>
      <w:r>
        <w:t>, ff. 2, 4, 6.</w:t>
      </w:r>
    </w:p>
    <w:p w:rsidR="0043655B" w:rsidRDefault="0043655B" w:rsidP="0043655B">
      <w:pPr>
        <w:pStyle w:val="SangriaIzquierdaArticulo"/>
      </w:pPr>
      <w:r>
        <w:t xml:space="preserve">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106.</w:t>
      </w:r>
      <w:r w:rsidRPr="0043655B">
        <w:rPr>
          <w:rStyle w:val="TextoNormalCaracter"/>
        </w:rPr>
        <w:t>-</w:t>
      </w:r>
      <w:r>
        <w:t xml:space="preserve"> Auto </w:t>
      </w:r>
      <w:hyperlink w:anchor="AUTO_2012_116" w:history="1">
        <w:r w:rsidRPr="0043655B">
          <w:rPr>
            <w:rStyle w:val="TextoNormalCaracter"/>
          </w:rPr>
          <w:t>116/2012</w:t>
        </w:r>
      </w:hyperlink>
      <w:r>
        <w:t>.</w:t>
      </w:r>
    </w:p>
    <w:p w:rsidR="0043655B" w:rsidRDefault="0043655B" w:rsidP="0043655B">
      <w:pPr>
        <w:pStyle w:val="SangriaFrancesaArticulo"/>
      </w:pPr>
      <w:r w:rsidRPr="0043655B">
        <w:rPr>
          <w:rStyle w:val="TextoNormalNegritaCaracter"/>
        </w:rPr>
        <w:t>Artículo 106.1.</w:t>
      </w:r>
      <w:r w:rsidRPr="0043655B">
        <w:rPr>
          <w:rStyle w:val="TextoNormalCaracter"/>
        </w:rPr>
        <w:t>-</w:t>
      </w:r>
      <w:r>
        <w:t xml:space="preserve"> Sentencia </w:t>
      </w:r>
      <w:hyperlink w:anchor="SENTENCIA_2012_116" w:history="1">
        <w:r w:rsidRPr="0043655B">
          <w:rPr>
            <w:rStyle w:val="TextoNormalCaracter"/>
          </w:rPr>
          <w:t>116/2012</w:t>
        </w:r>
      </w:hyperlink>
      <w:r>
        <w:t>, f. 5.</w:t>
      </w:r>
    </w:p>
    <w:p w:rsidR="0043655B" w:rsidRDefault="0043655B" w:rsidP="0043655B">
      <w:pPr>
        <w:pStyle w:val="SangriaIzquierdaArticulo"/>
      </w:pPr>
      <w:r>
        <w:t xml:space="preserve">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113.</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114.</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116.</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116.2.</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116.3.</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117.</w:t>
      </w:r>
      <w:r w:rsidRPr="0043655B">
        <w:rPr>
          <w:rStyle w:val="TextoNormalCaracter"/>
        </w:rPr>
        <w:t>-</w:t>
      </w:r>
      <w:r>
        <w:t xml:space="preserve"> Sentencias </w:t>
      </w:r>
      <w:hyperlink w:anchor="SENTENCIA_2012_6" w:history="1">
        <w:r w:rsidRPr="0043655B">
          <w:rPr>
            <w:rStyle w:val="TextoNormalCaracter"/>
          </w:rPr>
          <w:t>6/2012</w:t>
        </w:r>
      </w:hyperlink>
      <w:r>
        <w:t xml:space="preserve">, VP I; </w:t>
      </w:r>
      <w:hyperlink w:anchor="SENTENCIA_2012_37" w:history="1">
        <w:r w:rsidRPr="0043655B">
          <w:rPr>
            <w:rStyle w:val="TextoNormalCaracter"/>
          </w:rPr>
          <w:t>37/2012</w:t>
        </w:r>
      </w:hyperlink>
      <w:r>
        <w:t xml:space="preserve">, VP; </w:t>
      </w:r>
      <w:hyperlink w:anchor="SENTENCIA_2012_39" w:history="1">
        <w:r w:rsidRPr="0043655B">
          <w:rPr>
            <w:rStyle w:val="TextoNormalCaracter"/>
          </w:rPr>
          <w:t>39/2012</w:t>
        </w:r>
      </w:hyperlink>
      <w:r>
        <w:t xml:space="preserve">, f. 4; </w:t>
      </w:r>
      <w:hyperlink w:anchor="SENTENCIA_2012_40" w:history="1">
        <w:r w:rsidRPr="0043655B">
          <w:rPr>
            <w:rStyle w:val="TextoNormalCaracter"/>
          </w:rPr>
          <w:t>40/2012</w:t>
        </w:r>
      </w:hyperlink>
      <w:r>
        <w:t xml:space="preserve">, f. 7; </w:t>
      </w:r>
      <w:hyperlink w:anchor="SENTENCIA_2012_41" w:history="1">
        <w:r w:rsidRPr="0043655B">
          <w:rPr>
            <w:rStyle w:val="TextoNormalCaracter"/>
          </w:rPr>
          <w:t>41/2012</w:t>
        </w:r>
      </w:hyperlink>
      <w:r>
        <w:t xml:space="preserve">, f. 7; </w:t>
      </w:r>
      <w:hyperlink w:anchor="SENTENCIA_2012_42" w:history="1">
        <w:r w:rsidRPr="0043655B">
          <w:rPr>
            <w:rStyle w:val="TextoNormalCaracter"/>
          </w:rPr>
          <w:t>42/2012</w:t>
        </w:r>
      </w:hyperlink>
      <w:r>
        <w:t xml:space="preserve">, f. 8; </w:t>
      </w:r>
      <w:hyperlink w:anchor="SENTENCIA_2012_45" w:history="1">
        <w:r w:rsidRPr="0043655B">
          <w:rPr>
            <w:rStyle w:val="TextoNormalCaracter"/>
          </w:rPr>
          <w:t>45/2012</w:t>
        </w:r>
      </w:hyperlink>
      <w:r>
        <w:t xml:space="preserve">, f. 4; </w:t>
      </w:r>
      <w:hyperlink w:anchor="SENTENCIA_2012_47" w:history="1">
        <w:r w:rsidRPr="0043655B">
          <w:rPr>
            <w:rStyle w:val="TextoNormalCaracter"/>
          </w:rPr>
          <w:t>47/2012</w:t>
        </w:r>
      </w:hyperlink>
      <w:r>
        <w:t xml:space="preserve">, f. 5; </w:t>
      </w:r>
      <w:hyperlink w:anchor="SENTENCIA_2012_48" w:history="1">
        <w:r w:rsidRPr="0043655B">
          <w:rPr>
            <w:rStyle w:val="TextoNormalCaracter"/>
          </w:rPr>
          <w:t>48/2012</w:t>
        </w:r>
      </w:hyperlink>
      <w:r>
        <w:t xml:space="preserve">, f. 5; </w:t>
      </w:r>
      <w:hyperlink w:anchor="SENTENCIA_2012_49" w:history="1">
        <w:r w:rsidRPr="0043655B">
          <w:rPr>
            <w:rStyle w:val="TextoNormalCaracter"/>
          </w:rPr>
          <w:t>49/2012</w:t>
        </w:r>
      </w:hyperlink>
      <w:r>
        <w:t xml:space="preserve">, ff. 3, 5; </w:t>
      </w:r>
      <w:hyperlink w:anchor="SENTENCIA_2012_50" w:history="1">
        <w:r w:rsidRPr="0043655B">
          <w:rPr>
            <w:rStyle w:val="TextoNormalCaracter"/>
          </w:rPr>
          <w:t>50/2012</w:t>
        </w:r>
      </w:hyperlink>
      <w:r>
        <w:t xml:space="preserve">, f. 5; </w:t>
      </w:r>
      <w:hyperlink w:anchor="SENTENCIA_2012_51" w:history="1">
        <w:r w:rsidRPr="0043655B">
          <w:rPr>
            <w:rStyle w:val="TextoNormalCaracter"/>
          </w:rPr>
          <w:t>51/2012</w:t>
        </w:r>
      </w:hyperlink>
      <w:r>
        <w:t xml:space="preserve">, f. 5; </w:t>
      </w:r>
      <w:hyperlink w:anchor="SENTENCIA_2012_52" w:history="1">
        <w:r w:rsidRPr="0043655B">
          <w:rPr>
            <w:rStyle w:val="TextoNormalCaracter"/>
          </w:rPr>
          <w:t>52/2012</w:t>
        </w:r>
      </w:hyperlink>
      <w:r>
        <w:t xml:space="preserve">, f. 4; </w:t>
      </w:r>
      <w:hyperlink w:anchor="SENTENCIA_2012_53" w:history="1">
        <w:r w:rsidRPr="0043655B">
          <w:rPr>
            <w:rStyle w:val="TextoNormalCaracter"/>
          </w:rPr>
          <w:t>53/2012</w:t>
        </w:r>
      </w:hyperlink>
      <w:r>
        <w:t xml:space="preserve">, f. 5; </w:t>
      </w:r>
      <w:hyperlink w:anchor="SENTENCIA_2012_54" w:history="1">
        <w:r w:rsidRPr="0043655B">
          <w:rPr>
            <w:rStyle w:val="TextoNormalCaracter"/>
          </w:rPr>
          <w:t>54/2012</w:t>
        </w:r>
      </w:hyperlink>
      <w:r>
        <w:t xml:space="preserve">, f. 6; </w:t>
      </w:r>
      <w:hyperlink w:anchor="SENTENCIA_2012_55" w:history="1">
        <w:r w:rsidRPr="0043655B">
          <w:rPr>
            <w:rStyle w:val="TextoNormalCaracter"/>
          </w:rPr>
          <w:t>55/2012</w:t>
        </w:r>
      </w:hyperlink>
      <w:r>
        <w:t xml:space="preserve">, f. 4; </w:t>
      </w:r>
      <w:hyperlink w:anchor="SENTENCIA_2012_55" w:history="1">
        <w:r w:rsidRPr="0043655B">
          <w:rPr>
            <w:rStyle w:val="TextoNormalCaracter"/>
          </w:rPr>
          <w:t>55/2012</w:t>
        </w:r>
      </w:hyperlink>
      <w:r>
        <w:t xml:space="preserve">, f. 6; </w:t>
      </w:r>
      <w:hyperlink w:anchor="SENTENCIA_2012_56" w:history="1">
        <w:r w:rsidRPr="0043655B">
          <w:rPr>
            <w:rStyle w:val="TextoNormalCaracter"/>
          </w:rPr>
          <w:t>56/2012</w:t>
        </w:r>
      </w:hyperlink>
      <w:r>
        <w:t xml:space="preserve">, f. 3; </w:t>
      </w:r>
      <w:hyperlink w:anchor="SENTENCIA_2012_59" w:history="1">
        <w:r w:rsidRPr="0043655B">
          <w:rPr>
            <w:rStyle w:val="TextoNormalCaracter"/>
          </w:rPr>
          <w:t>59/2012</w:t>
        </w:r>
      </w:hyperlink>
      <w:r>
        <w:t xml:space="preserve">, f. 3; </w:t>
      </w:r>
      <w:hyperlink w:anchor="SENTENCIA_2012_61" w:history="1">
        <w:r w:rsidRPr="0043655B">
          <w:rPr>
            <w:rStyle w:val="TextoNormalCaracter"/>
          </w:rPr>
          <w:t>61/2012</w:t>
        </w:r>
      </w:hyperlink>
      <w:r>
        <w:t xml:space="preserve">, f. 4; </w:t>
      </w:r>
      <w:hyperlink w:anchor="SENTENCIA_2012_64" w:history="1">
        <w:r w:rsidRPr="0043655B">
          <w:rPr>
            <w:rStyle w:val="TextoNormalCaracter"/>
          </w:rPr>
          <w:t>64/2012</w:t>
        </w:r>
      </w:hyperlink>
      <w:r>
        <w:t xml:space="preserve">, f. 4; </w:t>
      </w:r>
      <w:hyperlink w:anchor="SENTENCIA_2012_65" w:history="1">
        <w:r w:rsidRPr="0043655B">
          <w:rPr>
            <w:rStyle w:val="TextoNormalCaracter"/>
          </w:rPr>
          <w:t>65/2012</w:t>
        </w:r>
      </w:hyperlink>
      <w:r>
        <w:t xml:space="preserve">, f. 5; </w:t>
      </w:r>
      <w:hyperlink w:anchor="SENTENCIA_2012_66" w:history="1">
        <w:r w:rsidRPr="0043655B">
          <w:rPr>
            <w:rStyle w:val="TextoNormalCaracter"/>
          </w:rPr>
          <w:t>66/2012</w:t>
        </w:r>
      </w:hyperlink>
      <w:r>
        <w:t xml:space="preserve">, f. 4; </w:t>
      </w:r>
      <w:hyperlink w:anchor="SENTENCIA_2012_67" w:history="1">
        <w:r w:rsidRPr="0043655B">
          <w:rPr>
            <w:rStyle w:val="TextoNormalCaracter"/>
          </w:rPr>
          <w:t>67/2012</w:t>
        </w:r>
      </w:hyperlink>
      <w:r>
        <w:t xml:space="preserve">, f. 4; </w:t>
      </w:r>
      <w:hyperlink w:anchor="SENTENCIA_2012_68" w:history="1">
        <w:r w:rsidRPr="0043655B">
          <w:rPr>
            <w:rStyle w:val="TextoNormalCaracter"/>
          </w:rPr>
          <w:t>68/2012</w:t>
        </w:r>
      </w:hyperlink>
      <w:r>
        <w:t xml:space="preserve">, f. 4; </w:t>
      </w:r>
      <w:hyperlink w:anchor="SENTENCIA_2012_69" w:history="1">
        <w:r w:rsidRPr="0043655B">
          <w:rPr>
            <w:rStyle w:val="TextoNormalCaracter"/>
          </w:rPr>
          <w:t>69/2012</w:t>
        </w:r>
      </w:hyperlink>
      <w:r>
        <w:t xml:space="preserve">, f. 5; </w:t>
      </w:r>
      <w:hyperlink w:anchor="SENTENCIA_2012_108" w:history="1">
        <w:r w:rsidRPr="0043655B">
          <w:rPr>
            <w:rStyle w:val="TextoNormalCaracter"/>
          </w:rPr>
          <w:t>108/2012</w:t>
        </w:r>
      </w:hyperlink>
      <w:r>
        <w:t xml:space="preserve">, f. 2; </w:t>
      </w:r>
      <w:hyperlink w:anchor="SENTENCIA_2012_113" w:history="1">
        <w:r w:rsidRPr="0043655B">
          <w:rPr>
            <w:rStyle w:val="TextoNormalCaracter"/>
          </w:rPr>
          <w:t>113/2012</w:t>
        </w:r>
      </w:hyperlink>
      <w:r>
        <w:t xml:space="preserve">, f. 8; </w:t>
      </w:r>
      <w:hyperlink w:anchor="SENTENCIA_2012_114" w:history="1">
        <w:r w:rsidRPr="0043655B">
          <w:rPr>
            <w:rStyle w:val="TextoNormalCaracter"/>
          </w:rPr>
          <w:t>114/2012</w:t>
        </w:r>
      </w:hyperlink>
      <w:r>
        <w:t>, f. 4.</w:t>
      </w:r>
    </w:p>
    <w:p w:rsidR="0043655B" w:rsidRDefault="0043655B" w:rsidP="0043655B">
      <w:pPr>
        <w:pStyle w:val="SangriaIzquierdaArticulo"/>
      </w:pPr>
      <w:r>
        <w:t xml:space="preserve">Auto </w:t>
      </w:r>
      <w:hyperlink w:anchor="AUTO_2012_31" w:history="1">
        <w:r w:rsidRPr="0043655B">
          <w:rPr>
            <w:rStyle w:val="TextoNormalCaracter"/>
          </w:rPr>
          <w:t>31/2012</w:t>
        </w:r>
      </w:hyperlink>
      <w:r>
        <w:t>.</w:t>
      </w:r>
    </w:p>
    <w:p w:rsidR="0043655B" w:rsidRDefault="0043655B" w:rsidP="0043655B">
      <w:pPr>
        <w:pStyle w:val="SangriaFrancesaArticulo"/>
      </w:pPr>
      <w:r w:rsidRPr="0043655B">
        <w:rPr>
          <w:rStyle w:val="TextoNormalNegritaCaracter"/>
        </w:rPr>
        <w:lastRenderedPageBreak/>
        <w:t>Artículo 117.1.</w:t>
      </w:r>
      <w:r w:rsidRPr="0043655B">
        <w:rPr>
          <w:rStyle w:val="TextoNormalCaracter"/>
        </w:rPr>
        <w:t>-</w:t>
      </w:r>
      <w:r>
        <w:t xml:space="preserve"> Sentencias </w:t>
      </w:r>
      <w:hyperlink w:anchor="SENTENCIA_2012_37" w:history="1">
        <w:r w:rsidRPr="0043655B">
          <w:rPr>
            <w:rStyle w:val="TextoNormalCaracter"/>
          </w:rPr>
          <w:t>37/2012</w:t>
        </w:r>
      </w:hyperlink>
      <w:r>
        <w:t xml:space="preserve">, ff. 1, 3, 5 a 7, 12; </w:t>
      </w:r>
      <w:hyperlink w:anchor="SENTENCIA_2012_75" w:history="1">
        <w:r w:rsidRPr="0043655B">
          <w:rPr>
            <w:rStyle w:val="TextoNormalCaracter"/>
          </w:rPr>
          <w:t>75/2012</w:t>
        </w:r>
      </w:hyperlink>
      <w:r>
        <w:t xml:space="preserve">, ff. 1, 3; </w:t>
      </w:r>
      <w:hyperlink w:anchor="SENTENCIA_2012_91" w:history="1">
        <w:r w:rsidRPr="0043655B">
          <w:rPr>
            <w:rStyle w:val="TextoNormalCaracter"/>
          </w:rPr>
          <w:t>91/2012</w:t>
        </w:r>
      </w:hyperlink>
      <w:r>
        <w:t xml:space="preserve">, ff. 1, 3; </w:t>
      </w:r>
      <w:hyperlink w:anchor="SENTENCIA_2012_94" w:history="1">
        <w:r w:rsidRPr="0043655B">
          <w:rPr>
            <w:rStyle w:val="TextoNormalCaracter"/>
          </w:rPr>
          <w:t>94/2012</w:t>
        </w:r>
      </w:hyperlink>
      <w:r>
        <w:t>, ff. 1, 3.</w:t>
      </w:r>
    </w:p>
    <w:p w:rsidR="0043655B" w:rsidRDefault="0043655B" w:rsidP="0043655B">
      <w:pPr>
        <w:pStyle w:val="SangriaFrancesaArticulo"/>
      </w:pPr>
      <w:r w:rsidRPr="0043655B">
        <w:rPr>
          <w:rStyle w:val="TextoNormalNegritaCaracter"/>
        </w:rPr>
        <w:t>Artículo 117.2.</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117.3.</w:t>
      </w:r>
      <w:r w:rsidRPr="0043655B">
        <w:rPr>
          <w:rStyle w:val="TextoNormalCaracter"/>
        </w:rPr>
        <w:t>-</w:t>
      </w:r>
      <w:r>
        <w:t xml:space="preserve"> Sentencias </w:t>
      </w:r>
      <w:hyperlink w:anchor="SENTENCIA_2012_6" w:history="1">
        <w:r w:rsidRPr="0043655B">
          <w:rPr>
            <w:rStyle w:val="TextoNormalCaracter"/>
          </w:rPr>
          <w:t>6/2012</w:t>
        </w:r>
      </w:hyperlink>
      <w:r>
        <w:t xml:space="preserve">, VP II; </w:t>
      </w:r>
      <w:hyperlink w:anchor="SENTENCIA_2012_10" w:history="1">
        <w:r w:rsidRPr="0043655B">
          <w:rPr>
            <w:rStyle w:val="TextoNormalCaracter"/>
          </w:rPr>
          <w:t>10/2012</w:t>
        </w:r>
      </w:hyperlink>
      <w:r>
        <w:t xml:space="preserve">, f. 3; </w:t>
      </w:r>
      <w:hyperlink w:anchor="SENTENCIA_2012_20" w:history="1">
        <w:r w:rsidRPr="0043655B">
          <w:rPr>
            <w:rStyle w:val="TextoNormalCaracter"/>
          </w:rPr>
          <w:t>20/2012</w:t>
        </w:r>
      </w:hyperlink>
      <w:r>
        <w:t xml:space="preserve">, f. 6; </w:t>
      </w:r>
      <w:hyperlink w:anchor="SENTENCIA_2012_37" w:history="1">
        <w:r w:rsidRPr="0043655B">
          <w:rPr>
            <w:rStyle w:val="TextoNormalCaracter"/>
          </w:rPr>
          <w:t>37/2012</w:t>
        </w:r>
      </w:hyperlink>
      <w:r>
        <w:t xml:space="preserve">, VP I; </w:t>
      </w:r>
      <w:hyperlink w:anchor="SENTENCIA_2012_43" w:history="1">
        <w:r w:rsidRPr="0043655B">
          <w:rPr>
            <w:rStyle w:val="TextoNormalCaracter"/>
          </w:rPr>
          <w:t>43/2012</w:t>
        </w:r>
      </w:hyperlink>
      <w:r>
        <w:t xml:space="preserve">, f. 6; </w:t>
      </w:r>
      <w:hyperlink w:anchor="SENTENCIA_2012_46" w:history="1">
        <w:r w:rsidRPr="0043655B">
          <w:rPr>
            <w:rStyle w:val="TextoNormalCaracter"/>
          </w:rPr>
          <w:t>46/2012</w:t>
        </w:r>
      </w:hyperlink>
      <w:r>
        <w:t xml:space="preserve">, f. 3; </w:t>
      </w:r>
      <w:hyperlink w:anchor="SENTENCIA_2012_58" w:history="1">
        <w:r w:rsidRPr="0043655B">
          <w:rPr>
            <w:rStyle w:val="TextoNormalCaracter"/>
          </w:rPr>
          <w:t>58/2012</w:t>
        </w:r>
      </w:hyperlink>
      <w:r>
        <w:t xml:space="preserve">, f. 2; </w:t>
      </w:r>
      <w:hyperlink w:anchor="SENTENCIA_2012_60" w:history="1">
        <w:r w:rsidRPr="0043655B">
          <w:rPr>
            <w:rStyle w:val="TextoNormalCaracter"/>
          </w:rPr>
          <w:t>60/2012</w:t>
        </w:r>
      </w:hyperlink>
      <w:r>
        <w:t xml:space="preserve">, f. 2; </w:t>
      </w:r>
      <w:hyperlink w:anchor="SENTENCIA_2012_63" w:history="1">
        <w:r w:rsidRPr="0043655B">
          <w:rPr>
            <w:rStyle w:val="TextoNormalCaracter"/>
          </w:rPr>
          <w:t>63/2012</w:t>
        </w:r>
      </w:hyperlink>
      <w:r>
        <w:t xml:space="preserve">, f. 2; </w:t>
      </w:r>
      <w:hyperlink w:anchor="SENTENCIA_2012_70" w:history="1">
        <w:r w:rsidRPr="0043655B">
          <w:rPr>
            <w:rStyle w:val="TextoNormalCaracter"/>
          </w:rPr>
          <w:t>70/2012</w:t>
        </w:r>
      </w:hyperlink>
      <w:r>
        <w:t xml:space="preserve">, f. 3; </w:t>
      </w:r>
      <w:hyperlink w:anchor="SENTENCIA_2012_76" w:history="1">
        <w:r w:rsidRPr="0043655B">
          <w:rPr>
            <w:rStyle w:val="TextoNormalCaracter"/>
          </w:rPr>
          <w:t>76/2012</w:t>
        </w:r>
      </w:hyperlink>
      <w:r>
        <w:t xml:space="preserve">, f. 3; </w:t>
      </w:r>
      <w:hyperlink w:anchor="SENTENCIA_2012_105" w:history="1">
        <w:r w:rsidRPr="0043655B">
          <w:rPr>
            <w:rStyle w:val="TextoNormalCaracter"/>
          </w:rPr>
          <w:t>105/2012</w:t>
        </w:r>
      </w:hyperlink>
      <w:r>
        <w:t xml:space="preserve">, f. 5; </w:t>
      </w:r>
      <w:hyperlink w:anchor="SENTENCIA_2012_119" w:history="1">
        <w:r w:rsidRPr="0043655B">
          <w:rPr>
            <w:rStyle w:val="TextoNormalCaracter"/>
          </w:rPr>
          <w:t>119/2012</w:t>
        </w:r>
      </w:hyperlink>
      <w:r>
        <w:t xml:space="preserve">, f. 5; </w:t>
      </w:r>
      <w:hyperlink w:anchor="SENTENCIA_2012_128" w:history="1">
        <w:r w:rsidRPr="0043655B">
          <w:rPr>
            <w:rStyle w:val="TextoNormalCaracter"/>
          </w:rPr>
          <w:t>128/2012</w:t>
        </w:r>
      </w:hyperlink>
      <w:r>
        <w:t xml:space="preserve">, f. 2; </w:t>
      </w:r>
      <w:hyperlink w:anchor="SENTENCIA_2012_129" w:history="1">
        <w:r w:rsidRPr="0043655B">
          <w:rPr>
            <w:rStyle w:val="TextoNormalCaracter"/>
          </w:rPr>
          <w:t>129/2012</w:t>
        </w:r>
      </w:hyperlink>
      <w:r>
        <w:t xml:space="preserve">, f. 2; </w:t>
      </w:r>
      <w:hyperlink w:anchor="SENTENCIA_2012_130" w:history="1">
        <w:r w:rsidRPr="0043655B">
          <w:rPr>
            <w:rStyle w:val="TextoNormalCaracter"/>
          </w:rPr>
          <w:t>130/2012</w:t>
        </w:r>
      </w:hyperlink>
      <w:r>
        <w:t xml:space="preserve">, f. 2; </w:t>
      </w:r>
      <w:hyperlink w:anchor="SENTENCIA_2012_138" w:history="1">
        <w:r w:rsidRPr="0043655B">
          <w:rPr>
            <w:rStyle w:val="TextoNormalCaracter"/>
          </w:rPr>
          <w:t>138/2012</w:t>
        </w:r>
      </w:hyperlink>
      <w:r>
        <w:t>, f. 6, VP I, VP III.</w:t>
      </w:r>
    </w:p>
    <w:p w:rsidR="0043655B" w:rsidRDefault="0043655B" w:rsidP="0043655B">
      <w:pPr>
        <w:pStyle w:val="SangriaIzquierdaArticulo"/>
      </w:pPr>
      <w:r>
        <w:t xml:space="preserve">Autos </w:t>
      </w:r>
      <w:hyperlink w:anchor="AUTO_2012_15" w:history="1">
        <w:r w:rsidRPr="0043655B">
          <w:rPr>
            <w:rStyle w:val="TextoNormalCaracter"/>
          </w:rPr>
          <w:t>15/2012</w:t>
        </w:r>
      </w:hyperlink>
      <w:r>
        <w:t xml:space="preserve">; </w:t>
      </w:r>
      <w:hyperlink w:anchor="AUTO_2012_16" w:history="1">
        <w:r w:rsidRPr="0043655B">
          <w:rPr>
            <w:rStyle w:val="TextoNormalCaracter"/>
          </w:rPr>
          <w:t>16/2012</w:t>
        </w:r>
      </w:hyperlink>
      <w:r>
        <w:t xml:space="preserve">; </w:t>
      </w:r>
      <w:hyperlink w:anchor="AUTO_2012_25" w:history="1">
        <w:r w:rsidRPr="0043655B">
          <w:rPr>
            <w:rStyle w:val="TextoNormalCaracter"/>
          </w:rPr>
          <w:t>25/2012</w:t>
        </w:r>
      </w:hyperlink>
      <w:r>
        <w:t xml:space="preserve">; </w:t>
      </w:r>
      <w:hyperlink w:anchor="AUTO_2012_27" w:history="1">
        <w:r w:rsidRPr="0043655B">
          <w:rPr>
            <w:rStyle w:val="TextoNormalCaracter"/>
          </w:rPr>
          <w:t>27/2012</w:t>
        </w:r>
      </w:hyperlink>
      <w:r>
        <w:t xml:space="preserve">; </w:t>
      </w:r>
      <w:hyperlink w:anchor="AUTO_2012_44" w:history="1">
        <w:r w:rsidRPr="0043655B">
          <w:rPr>
            <w:rStyle w:val="TextoNormalCaracter"/>
          </w:rPr>
          <w:t>44/2012</w:t>
        </w:r>
      </w:hyperlink>
      <w:r>
        <w:t xml:space="preserve">; </w:t>
      </w:r>
      <w:hyperlink w:anchor="AUTO_2012_55" w:history="1">
        <w:r w:rsidRPr="0043655B">
          <w:rPr>
            <w:rStyle w:val="TextoNormalCaracter"/>
          </w:rPr>
          <w:t>55/2012</w:t>
        </w:r>
      </w:hyperlink>
      <w:r>
        <w:t xml:space="preserve">; </w:t>
      </w:r>
      <w:hyperlink w:anchor="AUTO_2012_76" w:history="1">
        <w:r w:rsidRPr="0043655B">
          <w:rPr>
            <w:rStyle w:val="TextoNormalCaracter"/>
          </w:rPr>
          <w:t>76/2012</w:t>
        </w:r>
      </w:hyperlink>
      <w:r>
        <w:t xml:space="preserve">; </w:t>
      </w:r>
      <w:hyperlink w:anchor="AUTO_2012_81" w:history="1">
        <w:r w:rsidRPr="0043655B">
          <w:rPr>
            <w:rStyle w:val="TextoNormalCaracter"/>
          </w:rPr>
          <w:t>81/2012</w:t>
        </w:r>
      </w:hyperlink>
      <w:r>
        <w:t xml:space="preserve">; </w:t>
      </w:r>
      <w:hyperlink w:anchor="AUTO_2012_101" w:history="1">
        <w:r w:rsidRPr="0043655B">
          <w:rPr>
            <w:rStyle w:val="TextoNormalCaracter"/>
          </w:rPr>
          <w:t>101/2012</w:t>
        </w:r>
      </w:hyperlink>
      <w:r>
        <w:t xml:space="preserve">; </w:t>
      </w:r>
      <w:hyperlink w:anchor="AUTO_2012_102" w:history="1">
        <w:r w:rsidRPr="0043655B">
          <w:rPr>
            <w:rStyle w:val="TextoNormalCaracter"/>
          </w:rPr>
          <w:t>102/2012</w:t>
        </w:r>
      </w:hyperlink>
      <w:r>
        <w:t xml:space="preserve">; </w:t>
      </w:r>
      <w:hyperlink w:anchor="AUTO_2012_103" w:history="1">
        <w:r w:rsidRPr="0043655B">
          <w:rPr>
            <w:rStyle w:val="TextoNormalCaracter"/>
          </w:rPr>
          <w:t>103/2012</w:t>
        </w:r>
      </w:hyperlink>
      <w:r>
        <w:t xml:space="preserve">; </w:t>
      </w:r>
      <w:hyperlink w:anchor="AUTO_2012_122" w:history="1">
        <w:r w:rsidRPr="0043655B">
          <w:rPr>
            <w:rStyle w:val="TextoNormalCaracter"/>
          </w:rPr>
          <w:t>122/2012</w:t>
        </w:r>
      </w:hyperlink>
      <w:r>
        <w:t xml:space="preserve">; </w:t>
      </w:r>
      <w:hyperlink w:anchor="AUTO_2012_124" w:history="1">
        <w:r w:rsidRPr="0043655B">
          <w:rPr>
            <w:rStyle w:val="TextoNormalCaracter"/>
          </w:rPr>
          <w:t>124/2012</w:t>
        </w:r>
      </w:hyperlink>
      <w:r>
        <w:t>.</w:t>
      </w:r>
    </w:p>
    <w:p w:rsidR="0043655B" w:rsidRDefault="0043655B" w:rsidP="0043655B">
      <w:pPr>
        <w:pStyle w:val="SangriaFrancesaArticulo"/>
      </w:pPr>
      <w:r w:rsidRPr="0043655B">
        <w:rPr>
          <w:rStyle w:val="TextoNormalNegritaCaracter"/>
        </w:rPr>
        <w:t>Artículo 117.4.</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117.5.</w:t>
      </w:r>
      <w:r w:rsidRPr="0043655B">
        <w:rPr>
          <w:rStyle w:val="TextoNormalCaracter"/>
        </w:rPr>
        <w:t>-</w:t>
      </w:r>
      <w:r>
        <w:t xml:space="preserve"> Sentencia </w:t>
      </w:r>
      <w:hyperlink w:anchor="SENTENCIA_2012_105" w:history="1">
        <w:r w:rsidRPr="0043655B">
          <w:rPr>
            <w:rStyle w:val="TextoNormalCaracter"/>
          </w:rPr>
          <w:t>105/2012</w:t>
        </w:r>
      </w:hyperlink>
      <w:r>
        <w:t>, f. 13.</w:t>
      </w:r>
    </w:p>
    <w:p w:rsidR="0043655B" w:rsidRDefault="0043655B" w:rsidP="0043655B">
      <w:pPr>
        <w:pStyle w:val="SangriaIzquierdaArticulo"/>
      </w:pPr>
      <w:r>
        <w:t xml:space="preserve">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118.</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119.</w:t>
      </w:r>
      <w:r w:rsidRPr="0043655B">
        <w:rPr>
          <w:rStyle w:val="TextoNormalCaracter"/>
        </w:rPr>
        <w:t>-</w:t>
      </w:r>
      <w:r>
        <w:t xml:space="preserve"> Sentencias </w:t>
      </w:r>
      <w:hyperlink w:anchor="SENTENCIA_2012_20" w:history="1">
        <w:r w:rsidRPr="0043655B">
          <w:rPr>
            <w:rStyle w:val="TextoNormalCaracter"/>
          </w:rPr>
          <w:t>20/2012</w:t>
        </w:r>
      </w:hyperlink>
      <w:r>
        <w:t xml:space="preserve">, ff. 2, 8, 9; </w:t>
      </w:r>
      <w:hyperlink w:anchor="SENTENCIA_2012_116" w:history="1">
        <w:r w:rsidRPr="0043655B">
          <w:rPr>
            <w:rStyle w:val="TextoNormalCaracter"/>
          </w:rPr>
          <w:t>116/2012</w:t>
        </w:r>
      </w:hyperlink>
      <w:r>
        <w:t>, f. 5.</w:t>
      </w:r>
    </w:p>
    <w:p w:rsidR="0043655B" w:rsidRDefault="0043655B" w:rsidP="0043655B">
      <w:pPr>
        <w:pStyle w:val="SangriaFrancesaArticulo"/>
      </w:pPr>
      <w:r w:rsidRPr="0043655B">
        <w:rPr>
          <w:rStyle w:val="TextoNormalNegritaCaracter"/>
        </w:rPr>
        <w:t>Artículo 120.3.</w:t>
      </w:r>
      <w:r w:rsidRPr="0043655B">
        <w:rPr>
          <w:rStyle w:val="TextoNormalCaracter"/>
        </w:rPr>
        <w:t>-</w:t>
      </w:r>
      <w:r>
        <w:t xml:space="preserve"> Sentencias </w:t>
      </w:r>
      <w:hyperlink w:anchor="SENTENCIA_2012_96" w:history="1">
        <w:r w:rsidRPr="0043655B">
          <w:rPr>
            <w:rStyle w:val="TextoNormalCaracter"/>
          </w:rPr>
          <w:t>96/2012</w:t>
        </w:r>
      </w:hyperlink>
      <w:r>
        <w:t xml:space="preserve">, f. 9; </w:t>
      </w:r>
      <w:hyperlink w:anchor="SENTENCIA_2012_105" w:history="1">
        <w:r w:rsidRPr="0043655B">
          <w:rPr>
            <w:rStyle w:val="TextoNormalCaracter"/>
          </w:rPr>
          <w:t>105/2012</w:t>
        </w:r>
      </w:hyperlink>
      <w:r>
        <w:t>, f. 5.</w:t>
      </w:r>
    </w:p>
    <w:p w:rsidR="0043655B" w:rsidRDefault="0043655B" w:rsidP="0043655B">
      <w:pPr>
        <w:pStyle w:val="SangriaFrancesaArticulo"/>
      </w:pPr>
      <w:r w:rsidRPr="0043655B">
        <w:rPr>
          <w:rStyle w:val="TextoNormalNegritaCaracter"/>
        </w:rPr>
        <w:t>Artículo 122.1.</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123.</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r w:rsidRPr="0043655B">
        <w:rPr>
          <w:rStyle w:val="TextoNormalNegritaCaracter"/>
        </w:rPr>
        <w:t>Artículo 123.1.</w:t>
      </w:r>
      <w:r w:rsidRPr="0043655B">
        <w:rPr>
          <w:rStyle w:val="TextoNormalCaracter"/>
        </w:rPr>
        <w:t>-</w:t>
      </w:r>
      <w:r>
        <w:t xml:space="preserve"> Sentencias </w:t>
      </w:r>
      <w:hyperlink w:anchor="SENTENCIA_2012_37" w:history="1">
        <w:r w:rsidRPr="0043655B">
          <w:rPr>
            <w:rStyle w:val="TextoNormalCaracter"/>
          </w:rPr>
          <w:t>37/2012</w:t>
        </w:r>
      </w:hyperlink>
      <w:r>
        <w:t xml:space="preserve">, ff. 1, 3, 4, 7 a 9, 12, VP I, VP IV; </w:t>
      </w:r>
      <w:hyperlink w:anchor="SENTENCIA_2012_47" w:history="1">
        <w:r w:rsidRPr="0043655B">
          <w:rPr>
            <w:rStyle w:val="TextoNormalCaracter"/>
          </w:rPr>
          <w:t>47/2012</w:t>
        </w:r>
      </w:hyperlink>
      <w:r>
        <w:t xml:space="preserve">, f. 5; </w:t>
      </w:r>
      <w:hyperlink w:anchor="SENTENCIA_2012_61" w:history="1">
        <w:r w:rsidRPr="0043655B">
          <w:rPr>
            <w:rStyle w:val="TextoNormalCaracter"/>
          </w:rPr>
          <w:t>61/2012</w:t>
        </w:r>
      </w:hyperlink>
      <w:r>
        <w:t xml:space="preserve">, f. 4; </w:t>
      </w:r>
      <w:hyperlink w:anchor="SENTENCIA_2012_75" w:history="1">
        <w:r w:rsidRPr="0043655B">
          <w:rPr>
            <w:rStyle w:val="TextoNormalCaracter"/>
          </w:rPr>
          <w:t>75/2012</w:t>
        </w:r>
      </w:hyperlink>
      <w:r>
        <w:t xml:space="preserve">, passim; </w:t>
      </w:r>
      <w:hyperlink w:anchor="SENTENCIA_2012_91" w:history="1">
        <w:r w:rsidRPr="0043655B">
          <w:rPr>
            <w:rStyle w:val="TextoNormalCaracter"/>
          </w:rPr>
          <w:t>91/2012</w:t>
        </w:r>
      </w:hyperlink>
      <w:r>
        <w:t xml:space="preserve">, ff. 1 a 4; </w:t>
      </w:r>
      <w:hyperlink w:anchor="SENTENCIA_2012_93" w:history="1">
        <w:r w:rsidRPr="0043655B">
          <w:rPr>
            <w:rStyle w:val="TextoNormalCaracter"/>
          </w:rPr>
          <w:t>93/2012</w:t>
        </w:r>
      </w:hyperlink>
      <w:r>
        <w:t xml:space="preserve">, f. 2; </w:t>
      </w:r>
      <w:hyperlink w:anchor="SENTENCIA_2012_94" w:history="1">
        <w:r w:rsidRPr="0043655B">
          <w:rPr>
            <w:rStyle w:val="TextoNormalCaracter"/>
          </w:rPr>
          <w:t>94/2012</w:t>
        </w:r>
      </w:hyperlink>
      <w:r>
        <w:t xml:space="preserve">, ff. 1 a 4; </w:t>
      </w:r>
      <w:hyperlink w:anchor="SENTENCIA_2012_98" w:history="1">
        <w:r w:rsidRPr="0043655B">
          <w:rPr>
            <w:rStyle w:val="TextoNormalCaracter"/>
          </w:rPr>
          <w:t>98/2012</w:t>
        </w:r>
      </w:hyperlink>
      <w:r>
        <w:t xml:space="preserve">, f. 2; </w:t>
      </w:r>
      <w:hyperlink w:anchor="SENTENCIA_2012_138" w:history="1">
        <w:r w:rsidRPr="0043655B">
          <w:rPr>
            <w:rStyle w:val="TextoNormalCaracter"/>
          </w:rPr>
          <w:t>138/2012</w:t>
        </w:r>
      </w:hyperlink>
      <w:r>
        <w:t>, f. 6.</w:t>
      </w:r>
    </w:p>
    <w:p w:rsidR="0043655B" w:rsidRDefault="0043655B" w:rsidP="0043655B">
      <w:pPr>
        <w:pStyle w:val="SangriaFrancesaArticulo"/>
      </w:pPr>
      <w:r w:rsidRPr="0043655B">
        <w:rPr>
          <w:rStyle w:val="TextoNormalNegritaCaracter"/>
        </w:rPr>
        <w:t>Artículo 127.2.</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128.</w:t>
      </w:r>
      <w:r w:rsidRPr="0043655B">
        <w:rPr>
          <w:rStyle w:val="TextoNormalCaracter"/>
        </w:rPr>
        <w:t>-</w:t>
      </w:r>
      <w:r>
        <w:t xml:space="preserve"> Sentencia </w:t>
      </w:r>
      <w:hyperlink w:anchor="SENTENCIA_2012_135" w:history="1">
        <w:r w:rsidRPr="0043655B">
          <w:rPr>
            <w:rStyle w:val="TextoNormalCaracter"/>
          </w:rPr>
          <w:t>135/2012</w:t>
        </w:r>
      </w:hyperlink>
      <w:r>
        <w:t>, f. 5.</w:t>
      </w:r>
    </w:p>
    <w:p w:rsidR="0043655B" w:rsidRDefault="0043655B" w:rsidP="0043655B">
      <w:pPr>
        <w:pStyle w:val="SangriaFrancesaArticulo"/>
      </w:pPr>
      <w:r w:rsidRPr="0043655B">
        <w:rPr>
          <w:rStyle w:val="TextoNormalNegritaCaracter"/>
        </w:rPr>
        <w:t>Artículo 131.</w:t>
      </w:r>
      <w:r w:rsidRPr="0043655B">
        <w:rPr>
          <w:rStyle w:val="TextoNormalCaracter"/>
        </w:rPr>
        <w:t>-</w:t>
      </w:r>
      <w:r>
        <w:t xml:space="preserve"> Sentencias </w:t>
      </w:r>
      <w:hyperlink w:anchor="SENTENCIA_2012_26" w:history="1">
        <w:r w:rsidRPr="0043655B">
          <w:rPr>
            <w:rStyle w:val="TextoNormalCaracter"/>
          </w:rPr>
          <w:t>26/2012</w:t>
        </w:r>
      </w:hyperlink>
      <w:r>
        <w:t xml:space="preserve">, ff. 3, 6, 10, 12; </w:t>
      </w:r>
      <w:hyperlink w:anchor="SENTENCIA_2012_71" w:history="1">
        <w:r w:rsidRPr="0043655B">
          <w:rPr>
            <w:rStyle w:val="TextoNormalCaracter"/>
          </w:rPr>
          <w:t>71/2012</w:t>
        </w:r>
      </w:hyperlink>
      <w:r>
        <w:t xml:space="preserve">, f. 3; </w:t>
      </w:r>
      <w:hyperlink w:anchor="SENTENCIA_2012_135" w:history="1">
        <w:r w:rsidRPr="0043655B">
          <w:rPr>
            <w:rStyle w:val="TextoNormalCaracter"/>
          </w:rPr>
          <w:t>135/2012</w:t>
        </w:r>
      </w:hyperlink>
      <w:r>
        <w:t>, f. 5.</w:t>
      </w:r>
    </w:p>
    <w:p w:rsidR="0043655B" w:rsidRDefault="0043655B" w:rsidP="0043655B">
      <w:pPr>
        <w:pStyle w:val="SangriaFrancesaArticulo"/>
      </w:pPr>
      <w:r w:rsidRPr="0043655B">
        <w:rPr>
          <w:rStyle w:val="TextoNormalNegritaCaracter"/>
        </w:rPr>
        <w:t>Artículo 131.1.</w:t>
      </w:r>
      <w:r w:rsidRPr="0043655B">
        <w:rPr>
          <w:rStyle w:val="TextoNormalCaracter"/>
        </w:rPr>
        <w:t>-</w:t>
      </w:r>
      <w:r>
        <w:t xml:space="preserve"> Sentencia </w:t>
      </w:r>
      <w:hyperlink w:anchor="SENTENCIA_2012_19" w:history="1">
        <w:r w:rsidRPr="0043655B">
          <w:rPr>
            <w:rStyle w:val="TextoNormalCaracter"/>
          </w:rPr>
          <w:t>19/2012</w:t>
        </w:r>
      </w:hyperlink>
      <w:r>
        <w:t>, ff. 3, 4.</w:t>
      </w:r>
    </w:p>
    <w:p w:rsidR="0043655B" w:rsidRDefault="0043655B" w:rsidP="0043655B">
      <w:pPr>
        <w:pStyle w:val="SangriaFrancesaArticulo"/>
      </w:pPr>
      <w:r w:rsidRPr="0043655B">
        <w:rPr>
          <w:rStyle w:val="TextoNormalNegritaCaracter"/>
        </w:rPr>
        <w:t>Artículo 132.2.</w:t>
      </w:r>
      <w:r w:rsidRPr="0043655B">
        <w:rPr>
          <w:rStyle w:val="TextoNormalCaracter"/>
        </w:rPr>
        <w:t>-</w:t>
      </w:r>
      <w:r>
        <w:t xml:space="preserve"> Sentencia </w:t>
      </w:r>
      <w:hyperlink w:anchor="SENTENCIA_2012_102" w:history="1">
        <w:r w:rsidRPr="0043655B">
          <w:rPr>
            <w:rStyle w:val="TextoNormalCaracter"/>
          </w:rPr>
          <w:t>102/2012</w:t>
        </w:r>
      </w:hyperlink>
      <w:r>
        <w:t>, f. 5.</w:t>
      </w:r>
    </w:p>
    <w:p w:rsidR="0043655B" w:rsidRDefault="0043655B" w:rsidP="0043655B">
      <w:pPr>
        <w:pStyle w:val="SangriaFrancesaArticulo"/>
      </w:pPr>
      <w:r w:rsidRPr="0043655B">
        <w:rPr>
          <w:rStyle w:val="TextoNormalNegritaCaracter"/>
        </w:rPr>
        <w:t>Artículo 133.</w:t>
      </w:r>
      <w:r w:rsidRPr="0043655B">
        <w:rPr>
          <w:rStyle w:val="TextoNormalCaracter"/>
        </w:rPr>
        <w:t>-</w:t>
      </w:r>
      <w:r>
        <w:t xml:space="preserve"> Sentencia </w:t>
      </w:r>
      <w:hyperlink w:anchor="SENTENCIA_2012_100" w:history="1">
        <w:r w:rsidRPr="0043655B">
          <w:rPr>
            <w:rStyle w:val="TextoNormalCaracter"/>
          </w:rPr>
          <w:t>100/2012</w:t>
        </w:r>
      </w:hyperlink>
      <w:r>
        <w:t>, f. 1.</w:t>
      </w:r>
    </w:p>
    <w:p w:rsidR="0043655B" w:rsidRDefault="0043655B" w:rsidP="0043655B">
      <w:pPr>
        <w:pStyle w:val="SangriaFrancesaArticulo"/>
      </w:pPr>
      <w:r w:rsidRPr="0043655B">
        <w:rPr>
          <w:rStyle w:val="TextoNormalNegritaCaracter"/>
        </w:rPr>
        <w:t>Artículo 133.1.</w:t>
      </w:r>
      <w:r w:rsidRPr="0043655B">
        <w:rPr>
          <w:rStyle w:val="TextoNormalCaracter"/>
        </w:rPr>
        <w:t>-</w:t>
      </w:r>
      <w:r>
        <w:t xml:space="preserve"> Sentencias </w:t>
      </w:r>
      <w:hyperlink w:anchor="SENTENCIA_2012_19" w:history="1">
        <w:r w:rsidRPr="0043655B">
          <w:rPr>
            <w:rStyle w:val="TextoNormalCaracter"/>
          </w:rPr>
          <w:t>19/2012</w:t>
        </w:r>
      </w:hyperlink>
      <w:r>
        <w:t xml:space="preserve">, ff. 3, 11; </w:t>
      </w:r>
      <w:hyperlink w:anchor="SENTENCIA_2012_32" w:history="1">
        <w:r w:rsidRPr="0043655B">
          <w:rPr>
            <w:rStyle w:val="TextoNormalCaracter"/>
          </w:rPr>
          <w:t>32/2012</w:t>
        </w:r>
      </w:hyperlink>
      <w:r>
        <w:t xml:space="preserve">, f. 6; </w:t>
      </w:r>
      <w:hyperlink w:anchor="SENTENCIA_2012_35" w:history="1">
        <w:r w:rsidRPr="0043655B">
          <w:rPr>
            <w:rStyle w:val="TextoNormalCaracter"/>
          </w:rPr>
          <w:t>35/2012</w:t>
        </w:r>
      </w:hyperlink>
      <w:r>
        <w:t xml:space="preserve">, ff. 6, 7; </w:t>
      </w:r>
      <w:hyperlink w:anchor="SENTENCIA_2012_100" w:history="1">
        <w:r w:rsidRPr="0043655B">
          <w:rPr>
            <w:rStyle w:val="TextoNormalCaracter"/>
          </w:rPr>
          <w:t>100/2012</w:t>
        </w:r>
      </w:hyperlink>
      <w:r>
        <w:t xml:space="preserve">, ff. 7, 9; </w:t>
      </w:r>
      <w:hyperlink w:anchor="SENTENCIA_2012_122" w:history="1">
        <w:r w:rsidRPr="0043655B">
          <w:rPr>
            <w:rStyle w:val="TextoNormalCaracter"/>
          </w:rPr>
          <w:t>122/2012</w:t>
        </w:r>
      </w:hyperlink>
      <w:r>
        <w:t xml:space="preserve">, f. 1; </w:t>
      </w:r>
      <w:hyperlink w:anchor="SENTENCIA_2012_123" w:history="1">
        <w:r w:rsidRPr="0043655B">
          <w:rPr>
            <w:rStyle w:val="TextoNormalCaracter"/>
          </w:rPr>
          <w:t>123/2012</w:t>
        </w:r>
      </w:hyperlink>
      <w:r>
        <w:t>, f. 7.</w:t>
      </w:r>
    </w:p>
    <w:p w:rsidR="0043655B" w:rsidRDefault="0043655B" w:rsidP="0043655B">
      <w:pPr>
        <w:pStyle w:val="SangriaFrancesaArticulo"/>
      </w:pPr>
      <w:r w:rsidRPr="0043655B">
        <w:rPr>
          <w:rStyle w:val="TextoNormalNegritaCaracter"/>
        </w:rPr>
        <w:t>Artículo 133.2.</w:t>
      </w:r>
      <w:r w:rsidRPr="0043655B">
        <w:rPr>
          <w:rStyle w:val="TextoNormalCaracter"/>
        </w:rPr>
        <w:t>-</w:t>
      </w:r>
      <w:r>
        <w:t xml:space="preserve"> Sentencias </w:t>
      </w:r>
      <w:hyperlink w:anchor="SENTENCIA_2012_100" w:history="1">
        <w:r w:rsidRPr="0043655B">
          <w:rPr>
            <w:rStyle w:val="TextoNormalCaracter"/>
          </w:rPr>
          <w:t>100/2012</w:t>
        </w:r>
      </w:hyperlink>
      <w:r>
        <w:t xml:space="preserve">, f. 7; </w:t>
      </w:r>
      <w:hyperlink w:anchor="SENTENCIA_2012_122" w:history="1">
        <w:r w:rsidRPr="0043655B">
          <w:rPr>
            <w:rStyle w:val="TextoNormalCaracter"/>
          </w:rPr>
          <w:t>122/2012</w:t>
        </w:r>
      </w:hyperlink>
      <w:r>
        <w:t>, f. 2.</w:t>
      </w:r>
    </w:p>
    <w:p w:rsidR="0043655B" w:rsidRDefault="0043655B" w:rsidP="0043655B">
      <w:pPr>
        <w:pStyle w:val="SangriaFrancesaArticulo"/>
      </w:pPr>
      <w:r w:rsidRPr="0043655B">
        <w:rPr>
          <w:rStyle w:val="TextoNormalNegritaCaracter"/>
        </w:rPr>
        <w:t>Artículo 133.3.</w:t>
      </w:r>
      <w:r w:rsidRPr="0043655B">
        <w:rPr>
          <w:rStyle w:val="TextoNormalCaracter"/>
        </w:rPr>
        <w:t>-</w:t>
      </w:r>
      <w:r>
        <w:t xml:space="preserve"> Sentencia </w:t>
      </w:r>
      <w:hyperlink w:anchor="SENTENCIA_2012_100" w:history="1">
        <w:r w:rsidRPr="0043655B">
          <w:rPr>
            <w:rStyle w:val="TextoNormalCaracter"/>
          </w:rPr>
          <w:t>100/2012</w:t>
        </w:r>
      </w:hyperlink>
      <w:r>
        <w:t>, f. 9.</w:t>
      </w:r>
    </w:p>
    <w:p w:rsidR="0043655B" w:rsidRDefault="0043655B" w:rsidP="0043655B">
      <w:pPr>
        <w:pStyle w:val="SangriaFrancesaArticulo"/>
      </w:pPr>
      <w:r w:rsidRPr="0043655B">
        <w:rPr>
          <w:rStyle w:val="TextoNormalNegritaCaracter"/>
        </w:rPr>
        <w:t>Artículo 134.</w:t>
      </w:r>
      <w:r w:rsidRPr="0043655B">
        <w:rPr>
          <w:rStyle w:val="TextoNormalCaracter"/>
        </w:rPr>
        <w:t>-</w:t>
      </w:r>
      <w:r>
        <w:t xml:space="preserve"> Sentencias </w:t>
      </w:r>
      <w:hyperlink w:anchor="SENTENCIA_2012_36" w:history="1">
        <w:r w:rsidRPr="0043655B">
          <w:rPr>
            <w:rStyle w:val="TextoNormalCaracter"/>
          </w:rPr>
          <w:t>36/2012</w:t>
        </w:r>
      </w:hyperlink>
      <w:r>
        <w:t xml:space="preserve">, f. 7; </w:t>
      </w:r>
      <w:hyperlink w:anchor="SENTENCIA_2012_99" w:history="1">
        <w:r w:rsidRPr="0043655B">
          <w:rPr>
            <w:rStyle w:val="TextoNormalCaracter"/>
          </w:rPr>
          <w:t>99/2012</w:t>
        </w:r>
      </w:hyperlink>
      <w:r>
        <w:t>, f. 6.</w:t>
      </w:r>
    </w:p>
    <w:p w:rsidR="0043655B" w:rsidRDefault="0043655B" w:rsidP="0043655B">
      <w:pPr>
        <w:pStyle w:val="SangriaIzquierdaArticulo"/>
      </w:pPr>
      <w:r>
        <w:t xml:space="preserve">Autos </w:t>
      </w:r>
      <w:hyperlink w:anchor="AUTO_2012_35" w:history="1">
        <w:r w:rsidRPr="0043655B">
          <w:rPr>
            <w:rStyle w:val="TextoNormalCaracter"/>
          </w:rPr>
          <w:t>35/2012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134.5.</w:t>
      </w:r>
      <w:r w:rsidRPr="0043655B">
        <w:rPr>
          <w:rStyle w:val="TextoNormalCaracter"/>
        </w:rPr>
        <w:t>-</w:t>
      </w:r>
      <w:r>
        <w:t xml:space="preserve"> Auto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134.7.</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135.</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135</w:t>
      </w:r>
      <w:r>
        <w:t xml:space="preserve"> </w:t>
      </w:r>
      <w:r w:rsidRPr="0043655B">
        <w:rPr>
          <w:rStyle w:val="TextoNormalCaracter"/>
        </w:rPr>
        <w:t>(redactado por la reforma constitucional de 27 de septiembre de 2011)</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135.3</w:t>
      </w:r>
      <w:r>
        <w:t xml:space="preserve"> </w:t>
      </w:r>
      <w:r w:rsidRPr="0043655B">
        <w:rPr>
          <w:rStyle w:val="TextoNormalCaracter"/>
        </w:rPr>
        <w:t>(redactado por la reforma constitucional de 27 de septiembre de 2011)</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r w:rsidRPr="0043655B">
        <w:rPr>
          <w:rStyle w:val="TextoNormalNegritaCaracter"/>
        </w:rPr>
        <w:t>Artículo 137.</w:t>
      </w:r>
      <w:r w:rsidRPr="0043655B">
        <w:rPr>
          <w:rStyle w:val="TextoNormalCaracter"/>
        </w:rPr>
        <w:t>-</w:t>
      </w:r>
      <w:r>
        <w:t xml:space="preserve"> Sentencias </w:t>
      </w:r>
      <w:hyperlink w:anchor="SENTENCIA_2012_32" w:history="1">
        <w:r w:rsidRPr="0043655B">
          <w:rPr>
            <w:rStyle w:val="TextoNormalCaracter"/>
          </w:rPr>
          <w:t>32/2012</w:t>
        </w:r>
      </w:hyperlink>
      <w:r>
        <w:t xml:space="preserve">, ff. 6, 7; </w:t>
      </w:r>
      <w:hyperlink w:anchor="SENTENCIA_2012_80" w:history="1">
        <w:r w:rsidRPr="0043655B">
          <w:rPr>
            <w:rStyle w:val="TextoNormalCaracter"/>
          </w:rPr>
          <w:t>80/2012</w:t>
        </w:r>
      </w:hyperlink>
      <w:r>
        <w:t xml:space="preserve">, f. 8; </w:t>
      </w:r>
      <w:hyperlink w:anchor="SENTENCIA_2012_81" w:history="1">
        <w:r w:rsidRPr="0043655B">
          <w:rPr>
            <w:rStyle w:val="TextoNormalCaracter"/>
          </w:rPr>
          <w:t>81/2012</w:t>
        </w:r>
      </w:hyperlink>
      <w:r>
        <w:t xml:space="preserve">, f. 2, VP; </w:t>
      </w:r>
      <w:hyperlink w:anchor="SENTENCIA_2012_120" w:history="1">
        <w:r w:rsidRPr="0043655B">
          <w:rPr>
            <w:rStyle w:val="TextoNormalCaracter"/>
          </w:rPr>
          <w:t>120/2012</w:t>
        </w:r>
      </w:hyperlink>
      <w:r>
        <w:t xml:space="preserve">, f. 5; </w:t>
      </w:r>
      <w:hyperlink w:anchor="SENTENCIA_2012_121" w:history="1">
        <w:r w:rsidRPr="0043655B">
          <w:rPr>
            <w:rStyle w:val="TextoNormalCaracter"/>
          </w:rPr>
          <w:t>121/2012</w:t>
        </w:r>
      </w:hyperlink>
      <w:r>
        <w:t xml:space="preserve">, f. 5; </w:t>
      </w:r>
      <w:hyperlink w:anchor="SENTENCIA_2012_123" w:history="1">
        <w:r w:rsidRPr="0043655B">
          <w:rPr>
            <w:rStyle w:val="TextoNormalCaracter"/>
          </w:rPr>
          <w:t>123/2012</w:t>
        </w:r>
      </w:hyperlink>
      <w:r>
        <w:t xml:space="preserve">, f. 7; </w:t>
      </w:r>
      <w:hyperlink w:anchor="SENTENCIA_2012_132" w:history="1">
        <w:r w:rsidRPr="0043655B">
          <w:rPr>
            <w:rStyle w:val="TextoNormalCaracter"/>
          </w:rPr>
          <w:t>132/2012</w:t>
        </w:r>
      </w:hyperlink>
      <w:r>
        <w:t>, ff. 3, 4.</w:t>
      </w:r>
    </w:p>
    <w:p w:rsidR="0043655B" w:rsidRDefault="0043655B" w:rsidP="0043655B">
      <w:pPr>
        <w:pStyle w:val="SangriaFrancesaArticulo"/>
      </w:pPr>
      <w:r w:rsidRPr="0043655B">
        <w:rPr>
          <w:rStyle w:val="TextoNormalNegritaCaracter"/>
        </w:rPr>
        <w:t>Artículo 138.</w:t>
      </w:r>
      <w:r w:rsidRPr="0043655B">
        <w:rPr>
          <w:rStyle w:val="TextoNormalCaracter"/>
        </w:rPr>
        <w:t>-</w:t>
      </w:r>
      <w:r>
        <w:t xml:space="preserve"> Sentencia </w:t>
      </w:r>
      <w:hyperlink w:anchor="SENTENCIA_2012_102" w:history="1">
        <w:r w:rsidRPr="0043655B">
          <w:rPr>
            <w:rStyle w:val="TextoNormalCaracter"/>
          </w:rPr>
          <w:t>102/2012</w:t>
        </w:r>
      </w:hyperlink>
      <w:r>
        <w:t>, f. 5.</w:t>
      </w:r>
    </w:p>
    <w:p w:rsidR="0043655B" w:rsidRDefault="0043655B" w:rsidP="0043655B">
      <w:pPr>
        <w:pStyle w:val="SangriaFrancesaArticulo"/>
      </w:pPr>
      <w:r w:rsidRPr="0043655B">
        <w:rPr>
          <w:rStyle w:val="TextoNormalNegritaCaracter"/>
        </w:rPr>
        <w:t>Artículo 138.1.</w:t>
      </w:r>
      <w:r w:rsidRPr="0043655B">
        <w:rPr>
          <w:rStyle w:val="TextoNormalCaracter"/>
        </w:rPr>
        <w:t>-</w:t>
      </w:r>
      <w:r>
        <w:t xml:space="preserve"> Sentencias </w:t>
      </w:r>
      <w:hyperlink w:anchor="SENTENCIA_2012_19" w:history="1">
        <w:r w:rsidRPr="0043655B">
          <w:rPr>
            <w:rStyle w:val="TextoNormalCaracter"/>
          </w:rPr>
          <w:t>19/2012</w:t>
        </w:r>
      </w:hyperlink>
      <w:r>
        <w:t xml:space="preserve">, ff. 3, 4; </w:t>
      </w:r>
      <w:hyperlink w:anchor="SENTENCIA_2012_100" w:history="1">
        <w:r w:rsidRPr="0043655B">
          <w:rPr>
            <w:rStyle w:val="TextoNormalCaracter"/>
          </w:rPr>
          <w:t>100/2012</w:t>
        </w:r>
      </w:hyperlink>
      <w:r>
        <w:t xml:space="preserve">, ff. 4, 5, 7; </w:t>
      </w:r>
      <w:hyperlink w:anchor="SENTENCIA_2012_102" w:history="1">
        <w:r w:rsidRPr="0043655B">
          <w:rPr>
            <w:rStyle w:val="TextoNormalCaracter"/>
          </w:rPr>
          <w:t>102/2012</w:t>
        </w:r>
      </w:hyperlink>
      <w:r>
        <w:t xml:space="preserve">, f. 5; </w:t>
      </w:r>
      <w:hyperlink w:anchor="SENTENCIA_2012_132" w:history="1">
        <w:r w:rsidRPr="0043655B">
          <w:rPr>
            <w:rStyle w:val="TextoNormalCaracter"/>
          </w:rPr>
          <w:t>132/2012</w:t>
        </w:r>
      </w:hyperlink>
      <w:r>
        <w:t>, f. 3.</w:t>
      </w:r>
    </w:p>
    <w:p w:rsidR="0043655B" w:rsidRDefault="0043655B" w:rsidP="0043655B">
      <w:pPr>
        <w:pStyle w:val="SangriaFrancesaArticulo"/>
      </w:pPr>
      <w:r w:rsidRPr="0043655B">
        <w:rPr>
          <w:rStyle w:val="TextoNormalNegritaCaracter"/>
        </w:rPr>
        <w:t>Artículo 138.2.</w:t>
      </w:r>
      <w:r w:rsidRPr="0043655B">
        <w:rPr>
          <w:rStyle w:val="TextoNormalCaracter"/>
        </w:rPr>
        <w:t>-</w:t>
      </w:r>
      <w:r>
        <w:t xml:space="preserve"> Sentencia </w:t>
      </w:r>
      <w:hyperlink w:anchor="SENTENCIA_2012_102" w:history="1">
        <w:r w:rsidRPr="0043655B">
          <w:rPr>
            <w:rStyle w:val="TextoNormalCaracter"/>
          </w:rPr>
          <w:t>102/2012</w:t>
        </w:r>
      </w:hyperlink>
      <w:r>
        <w:t>, f. 5.</w:t>
      </w:r>
    </w:p>
    <w:p w:rsidR="0043655B" w:rsidRDefault="0043655B" w:rsidP="0043655B">
      <w:pPr>
        <w:pStyle w:val="SangriaFrancesaArticulo"/>
      </w:pPr>
      <w:r w:rsidRPr="0043655B">
        <w:rPr>
          <w:rStyle w:val="TextoNormalNegritaCaracter"/>
        </w:rPr>
        <w:t>Artículo 139.</w:t>
      </w:r>
      <w:r w:rsidRPr="0043655B">
        <w:rPr>
          <w:rStyle w:val="TextoNormalCaracter"/>
        </w:rPr>
        <w:t>-</w:t>
      </w:r>
      <w:r>
        <w:t xml:space="preserve"> Sentencias </w:t>
      </w:r>
      <w:hyperlink w:anchor="SENTENCIA_2012_33" w:history="1">
        <w:r w:rsidRPr="0043655B">
          <w:rPr>
            <w:rStyle w:val="TextoNormalCaracter"/>
          </w:rPr>
          <w:t>33/2012</w:t>
        </w:r>
      </w:hyperlink>
      <w:r>
        <w:t xml:space="preserve">, f. 3; </w:t>
      </w:r>
      <w:hyperlink w:anchor="SENTENCIA_2012_102" w:history="1">
        <w:r w:rsidRPr="0043655B">
          <w:rPr>
            <w:rStyle w:val="TextoNormalCaracter"/>
          </w:rPr>
          <w:t>102/2012</w:t>
        </w:r>
      </w:hyperlink>
      <w:r>
        <w:t>, f. 5.</w:t>
      </w:r>
    </w:p>
    <w:p w:rsidR="0043655B" w:rsidRDefault="0043655B" w:rsidP="0043655B">
      <w:pPr>
        <w:pStyle w:val="SangriaFrancesaArticulo"/>
      </w:pPr>
      <w:r w:rsidRPr="0043655B">
        <w:rPr>
          <w:rStyle w:val="TextoNormalNegritaCaracter"/>
        </w:rPr>
        <w:lastRenderedPageBreak/>
        <w:t>Artículo 139.1.</w:t>
      </w:r>
      <w:r w:rsidRPr="0043655B">
        <w:rPr>
          <w:rStyle w:val="TextoNormalCaracter"/>
        </w:rPr>
        <w:t>-</w:t>
      </w:r>
      <w:r>
        <w:t xml:space="preserve"> Sentencias </w:t>
      </w:r>
      <w:hyperlink w:anchor="SENTENCIA_2012_19" w:history="1">
        <w:r w:rsidRPr="0043655B">
          <w:rPr>
            <w:rStyle w:val="TextoNormalCaracter"/>
          </w:rPr>
          <w:t>19/2012</w:t>
        </w:r>
      </w:hyperlink>
      <w:r>
        <w:t xml:space="preserve">, f. 3; </w:t>
      </w:r>
      <w:hyperlink w:anchor="SENTENCIA_2012_37" w:history="1">
        <w:r w:rsidRPr="0043655B">
          <w:rPr>
            <w:rStyle w:val="TextoNormalCaracter"/>
          </w:rPr>
          <w:t>37/2012</w:t>
        </w:r>
      </w:hyperlink>
      <w:r>
        <w:t xml:space="preserve">, ff. 3, 7, 8, VP IV; </w:t>
      </w:r>
      <w:hyperlink w:anchor="SENTENCIA_2012_71" w:history="1">
        <w:r w:rsidRPr="0043655B">
          <w:rPr>
            <w:rStyle w:val="TextoNormalCaracter"/>
          </w:rPr>
          <w:t>71/2012</w:t>
        </w:r>
      </w:hyperlink>
      <w:r>
        <w:t xml:space="preserve">, f. 3; </w:t>
      </w:r>
      <w:hyperlink w:anchor="SENTENCIA_2012_75" w:history="1">
        <w:r w:rsidRPr="0043655B">
          <w:rPr>
            <w:rStyle w:val="TextoNormalCaracter"/>
          </w:rPr>
          <w:t>75/2012</w:t>
        </w:r>
      </w:hyperlink>
      <w:r>
        <w:t xml:space="preserve">, ff. 3, 4; </w:t>
      </w:r>
      <w:hyperlink w:anchor="SENTENCIA_2012_91" w:history="1">
        <w:r w:rsidRPr="0043655B">
          <w:rPr>
            <w:rStyle w:val="TextoNormalCaracter"/>
          </w:rPr>
          <w:t>91/2012</w:t>
        </w:r>
      </w:hyperlink>
      <w:r>
        <w:t xml:space="preserve">, ff. 3, 4; </w:t>
      </w:r>
      <w:hyperlink w:anchor="SENTENCIA_2012_93" w:history="1">
        <w:r w:rsidRPr="0043655B">
          <w:rPr>
            <w:rStyle w:val="TextoNormalCaracter"/>
          </w:rPr>
          <w:t>93/2012</w:t>
        </w:r>
      </w:hyperlink>
      <w:r>
        <w:t xml:space="preserve">, f. 3; </w:t>
      </w:r>
      <w:hyperlink w:anchor="SENTENCIA_2012_94" w:history="1">
        <w:r w:rsidRPr="0043655B">
          <w:rPr>
            <w:rStyle w:val="TextoNormalCaracter"/>
          </w:rPr>
          <w:t>94/2012</w:t>
        </w:r>
      </w:hyperlink>
      <w:r>
        <w:t xml:space="preserve">, ff. 3, 4; </w:t>
      </w:r>
      <w:hyperlink w:anchor="SENTENCIA_2012_98" w:history="1">
        <w:r w:rsidRPr="0043655B">
          <w:rPr>
            <w:rStyle w:val="TextoNormalCaracter"/>
          </w:rPr>
          <w:t>98/2012</w:t>
        </w:r>
      </w:hyperlink>
      <w:r>
        <w:t xml:space="preserve">, f. 3; </w:t>
      </w:r>
      <w:hyperlink w:anchor="SENTENCIA_2012_100" w:history="1">
        <w:r w:rsidRPr="0043655B">
          <w:rPr>
            <w:rStyle w:val="TextoNormalCaracter"/>
          </w:rPr>
          <w:t>100/2012</w:t>
        </w:r>
      </w:hyperlink>
      <w:r>
        <w:t xml:space="preserve">, f. 4; </w:t>
      </w:r>
      <w:hyperlink w:anchor="SENTENCIA_2012_111" w:history="1">
        <w:r w:rsidRPr="0043655B">
          <w:rPr>
            <w:rStyle w:val="TextoNormalCaracter"/>
          </w:rPr>
          <w:t>111/2012</w:t>
        </w:r>
      </w:hyperlink>
      <w:r>
        <w:t>, f. 5.</w:t>
      </w:r>
    </w:p>
    <w:p w:rsidR="0043655B" w:rsidRDefault="0043655B" w:rsidP="0043655B">
      <w:pPr>
        <w:pStyle w:val="SangriaFrancesaArticulo"/>
      </w:pPr>
      <w:r w:rsidRPr="0043655B">
        <w:rPr>
          <w:rStyle w:val="TextoNormalNegritaCaracter"/>
        </w:rPr>
        <w:t>Artículo 139.2.</w:t>
      </w:r>
      <w:r w:rsidRPr="0043655B">
        <w:rPr>
          <w:rStyle w:val="TextoNormalCaracter"/>
        </w:rPr>
        <w:t>-</w:t>
      </w:r>
      <w:r>
        <w:t xml:space="preserve"> Sentencia </w:t>
      </w:r>
      <w:hyperlink w:anchor="SENTENCIA_2012_100" w:history="1">
        <w:r w:rsidRPr="0043655B">
          <w:rPr>
            <w:rStyle w:val="TextoNormalCaracter"/>
          </w:rPr>
          <w:t>100/2012</w:t>
        </w:r>
      </w:hyperlink>
      <w:r>
        <w:t>, ff. 1, 4, 5.</w:t>
      </w:r>
    </w:p>
    <w:p w:rsidR="0043655B" w:rsidRDefault="0043655B" w:rsidP="0043655B">
      <w:pPr>
        <w:pStyle w:val="SangriaFrancesaArticulo"/>
      </w:pPr>
      <w:r w:rsidRPr="0043655B">
        <w:rPr>
          <w:rStyle w:val="TextoNormalNegritaCaracter"/>
        </w:rPr>
        <w:t>Artículo 140.</w:t>
      </w:r>
      <w:r w:rsidRPr="0043655B">
        <w:rPr>
          <w:rStyle w:val="TextoNormalCaracter"/>
        </w:rPr>
        <w:t>-</w:t>
      </w:r>
      <w:r>
        <w:t xml:space="preserve"> Sentencias </w:t>
      </w:r>
      <w:hyperlink w:anchor="SENTENCIA_2012_6" w:history="1">
        <w:r w:rsidRPr="0043655B">
          <w:rPr>
            <w:rStyle w:val="TextoNormalCaracter"/>
          </w:rPr>
          <w:t>6/2012</w:t>
        </w:r>
      </w:hyperlink>
      <w:r>
        <w:t xml:space="preserve">, VP I; </w:t>
      </w:r>
      <w:hyperlink w:anchor="SENTENCIA_2012_81" w:history="1">
        <w:r w:rsidRPr="0043655B">
          <w:rPr>
            <w:rStyle w:val="TextoNormalCaracter"/>
          </w:rPr>
          <w:t>81/2012</w:t>
        </w:r>
      </w:hyperlink>
      <w:r>
        <w:t xml:space="preserve">, ff. 2 a 4, VP; </w:t>
      </w:r>
      <w:hyperlink w:anchor="SENTENCIA_2012_120" w:history="1">
        <w:r w:rsidRPr="0043655B">
          <w:rPr>
            <w:rStyle w:val="TextoNormalCaracter"/>
          </w:rPr>
          <w:t>120/2012</w:t>
        </w:r>
      </w:hyperlink>
      <w:r>
        <w:t xml:space="preserve">, ff. 4, 5; </w:t>
      </w:r>
      <w:hyperlink w:anchor="SENTENCIA_2012_121" w:history="1">
        <w:r w:rsidRPr="0043655B">
          <w:rPr>
            <w:rStyle w:val="TextoNormalCaracter"/>
          </w:rPr>
          <w:t>121/2012</w:t>
        </w:r>
      </w:hyperlink>
      <w:r>
        <w:t xml:space="preserve">, f. 5; </w:t>
      </w:r>
      <w:hyperlink w:anchor="SENTENCIA_2012_132" w:history="1">
        <w:r w:rsidRPr="0043655B">
          <w:rPr>
            <w:rStyle w:val="TextoNormalCaracter"/>
          </w:rPr>
          <w:t>132/2012</w:t>
        </w:r>
      </w:hyperlink>
      <w:r>
        <w:t>, ff. 3, 4.</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Sentencias </w:t>
      </w:r>
      <w:hyperlink w:anchor="SENTENCIA_2012_120" w:history="1">
        <w:r w:rsidRPr="0043655B">
          <w:rPr>
            <w:rStyle w:val="TextoNormalCaracter"/>
          </w:rPr>
          <w:t>120/2012</w:t>
        </w:r>
      </w:hyperlink>
      <w:r>
        <w:t xml:space="preserve">, f. 5; </w:t>
      </w:r>
      <w:hyperlink w:anchor="SENTENCIA_2012_121" w:history="1">
        <w:r w:rsidRPr="0043655B">
          <w:rPr>
            <w:rStyle w:val="TextoNormalCaracter"/>
          </w:rPr>
          <w:t>121/2012</w:t>
        </w:r>
      </w:hyperlink>
      <w:r>
        <w:t xml:space="preserve">, f. 5; </w:t>
      </w:r>
      <w:hyperlink w:anchor="SENTENCIA_2012_132" w:history="1">
        <w:r w:rsidRPr="0043655B">
          <w:rPr>
            <w:rStyle w:val="TextoNormalCaracter"/>
          </w:rPr>
          <w:t>132/2012</w:t>
        </w:r>
      </w:hyperlink>
      <w:r>
        <w:t>, ff. 1, 3, 5.</w:t>
      </w:r>
    </w:p>
    <w:p w:rsidR="0043655B" w:rsidRDefault="0043655B" w:rsidP="0043655B">
      <w:pPr>
        <w:pStyle w:val="SangriaFrancesaArticulo"/>
      </w:pPr>
      <w:r w:rsidRPr="0043655B">
        <w:rPr>
          <w:rStyle w:val="TextoNormalNegritaCaracter"/>
        </w:rPr>
        <w:t>Artículo 141.1.</w:t>
      </w:r>
      <w:r w:rsidRPr="0043655B">
        <w:rPr>
          <w:rStyle w:val="TextoNormalCaracter"/>
        </w:rPr>
        <w:t>-</w:t>
      </w:r>
      <w:r>
        <w:t xml:space="preserve"> Sentencia </w:t>
      </w:r>
      <w:hyperlink w:anchor="SENTENCIA_2012_132" w:history="1">
        <w:r w:rsidRPr="0043655B">
          <w:rPr>
            <w:rStyle w:val="TextoNormalCaracter"/>
          </w:rPr>
          <w:t>132/2012</w:t>
        </w:r>
      </w:hyperlink>
      <w:r>
        <w:t>, f. 3.</w:t>
      </w:r>
    </w:p>
    <w:p w:rsidR="0043655B" w:rsidRDefault="0043655B" w:rsidP="0043655B">
      <w:pPr>
        <w:pStyle w:val="SangriaFrancesaArticulo"/>
      </w:pPr>
      <w:r w:rsidRPr="0043655B">
        <w:rPr>
          <w:rStyle w:val="TextoNormalNegritaCaracter"/>
        </w:rPr>
        <w:t>Artículo 141.2.</w:t>
      </w:r>
      <w:r w:rsidRPr="0043655B">
        <w:rPr>
          <w:rStyle w:val="TextoNormalCaracter"/>
        </w:rPr>
        <w:t>-</w:t>
      </w:r>
      <w:r>
        <w:t xml:space="preserve"> Sentencia </w:t>
      </w:r>
      <w:hyperlink w:anchor="SENTENCIA_2012_132" w:history="1">
        <w:r w:rsidRPr="0043655B">
          <w:rPr>
            <w:rStyle w:val="TextoNormalCaracter"/>
          </w:rPr>
          <w:t>132/2012</w:t>
        </w:r>
      </w:hyperlink>
      <w:r>
        <w:t>, f. 4, VP.</w:t>
      </w:r>
    </w:p>
    <w:p w:rsidR="0043655B" w:rsidRDefault="0043655B" w:rsidP="0043655B">
      <w:pPr>
        <w:pStyle w:val="SangriaFrancesaArticulo"/>
      </w:pPr>
      <w:r w:rsidRPr="0043655B">
        <w:rPr>
          <w:rStyle w:val="TextoNormalNegritaCaracter"/>
        </w:rPr>
        <w:t>Artículo 141.4.</w:t>
      </w:r>
      <w:r w:rsidRPr="0043655B">
        <w:rPr>
          <w:rStyle w:val="TextoNormalCaracter"/>
        </w:rPr>
        <w:t>-</w:t>
      </w:r>
      <w:r>
        <w:t xml:space="preserve"> Sentencia </w:t>
      </w:r>
      <w:hyperlink w:anchor="SENTENCIA_2012_132" w:history="1">
        <w:r w:rsidRPr="0043655B">
          <w:rPr>
            <w:rStyle w:val="TextoNormalCaracter"/>
          </w:rPr>
          <w:t>132/2012</w:t>
        </w:r>
      </w:hyperlink>
      <w:r>
        <w:t>, ff. 3, 4, 7, VP.</w:t>
      </w:r>
    </w:p>
    <w:p w:rsidR="0043655B" w:rsidRDefault="0043655B" w:rsidP="0043655B">
      <w:pPr>
        <w:pStyle w:val="SangriaFrancesaArticulo"/>
      </w:pPr>
      <w:r w:rsidRPr="0043655B">
        <w:rPr>
          <w:rStyle w:val="TextoNormalNegritaCaracter"/>
        </w:rPr>
        <w:t>Artículo 142.</w:t>
      </w:r>
      <w:r w:rsidRPr="0043655B">
        <w:rPr>
          <w:rStyle w:val="TextoNormalCaracter"/>
        </w:rPr>
        <w:t>-</w:t>
      </w:r>
      <w:r>
        <w:t xml:space="preserve"> Sentencia </w:t>
      </w:r>
      <w:hyperlink w:anchor="SENTENCIA_2012_120" w:history="1">
        <w:r w:rsidRPr="0043655B">
          <w:rPr>
            <w:rStyle w:val="TextoNormalCaracter"/>
          </w:rPr>
          <w:t>120/2012</w:t>
        </w:r>
      </w:hyperlink>
      <w:r>
        <w:t>, ff. 4, 5.</w:t>
      </w:r>
    </w:p>
    <w:p w:rsidR="0043655B" w:rsidRDefault="0043655B" w:rsidP="0043655B">
      <w:pPr>
        <w:pStyle w:val="SangriaFrancesaArticulo"/>
      </w:pPr>
      <w:r w:rsidRPr="0043655B">
        <w:rPr>
          <w:rStyle w:val="TextoNormalNegritaCaracter"/>
        </w:rPr>
        <w:t>Artículo 143.1.</w:t>
      </w:r>
      <w:r w:rsidRPr="0043655B">
        <w:rPr>
          <w:rStyle w:val="TextoNormalCaracter"/>
        </w:rPr>
        <w:t>-</w:t>
      </w:r>
      <w:r>
        <w:t xml:space="preserve"> Sentencia </w:t>
      </w:r>
      <w:hyperlink w:anchor="SENTENCIA_2012_132" w:history="1">
        <w:r w:rsidRPr="0043655B">
          <w:rPr>
            <w:rStyle w:val="TextoNormalCaracter"/>
          </w:rPr>
          <w:t>132/2012</w:t>
        </w:r>
      </w:hyperlink>
      <w:r>
        <w:t>, f. 3.</w:t>
      </w:r>
    </w:p>
    <w:p w:rsidR="0043655B" w:rsidRDefault="0043655B" w:rsidP="0043655B">
      <w:pPr>
        <w:pStyle w:val="SangriaFrancesaArticulo"/>
      </w:pPr>
      <w:r w:rsidRPr="0043655B">
        <w:rPr>
          <w:rStyle w:val="TextoNormalNegritaCaracter"/>
        </w:rPr>
        <w:t>Artículo 147.</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147.1.</w:t>
      </w:r>
      <w:r w:rsidRPr="0043655B">
        <w:rPr>
          <w:rStyle w:val="TextoNormalCaracter"/>
        </w:rPr>
        <w:t>-</w:t>
      </w:r>
      <w:r>
        <w:t xml:space="preserve"> Sentencia </w:t>
      </w:r>
      <w:hyperlink w:anchor="SENTENCIA_2012_132" w:history="1">
        <w:r w:rsidRPr="0043655B">
          <w:rPr>
            <w:rStyle w:val="TextoNormalCaracter"/>
          </w:rPr>
          <w:t>132/2012</w:t>
        </w:r>
      </w:hyperlink>
      <w:r>
        <w:t>, f. 3, VP.</w:t>
      </w:r>
    </w:p>
    <w:p w:rsidR="0043655B" w:rsidRDefault="0043655B" w:rsidP="0043655B">
      <w:pPr>
        <w:pStyle w:val="SangriaFrancesaArticulo"/>
      </w:pPr>
      <w:r w:rsidRPr="0043655B">
        <w:rPr>
          <w:rStyle w:val="TextoNormalNegritaCaracter"/>
        </w:rPr>
        <w:t>Artículo 147.2 c).</w:t>
      </w:r>
      <w:r w:rsidRPr="0043655B">
        <w:rPr>
          <w:rStyle w:val="TextoNormalCaracter"/>
        </w:rPr>
        <w:t>-</w:t>
      </w:r>
      <w:r>
        <w:t xml:space="preserve"> Sentencia </w:t>
      </w:r>
      <w:hyperlink w:anchor="SENTENCIA_2012_132" w:history="1">
        <w:r w:rsidRPr="0043655B">
          <w:rPr>
            <w:rStyle w:val="TextoNormalCaracter"/>
          </w:rPr>
          <w:t>132/2012</w:t>
        </w:r>
      </w:hyperlink>
      <w:r>
        <w:t>, ff. 3, 4.</w:t>
      </w:r>
    </w:p>
    <w:p w:rsidR="0043655B" w:rsidRDefault="0043655B" w:rsidP="0043655B">
      <w:pPr>
        <w:pStyle w:val="SangriaFrancesaArticulo"/>
      </w:pPr>
      <w:r w:rsidRPr="0043655B">
        <w:rPr>
          <w:rStyle w:val="TextoNormalNegritaCaracter"/>
        </w:rPr>
        <w:t>Artículo 147.2 d).</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148.</w:t>
      </w:r>
      <w:r w:rsidRPr="0043655B">
        <w:rPr>
          <w:rStyle w:val="TextoNormalCaracter"/>
        </w:rPr>
        <w:t>-</w:t>
      </w:r>
      <w:r>
        <w:t xml:space="preserve"> Sentencias </w:t>
      </w:r>
      <w:hyperlink w:anchor="SENTENCIA_2012_36" w:history="1">
        <w:r w:rsidRPr="0043655B">
          <w:rPr>
            <w:rStyle w:val="TextoNormalCaracter"/>
          </w:rPr>
          <w:t>36/2012</w:t>
        </w:r>
      </w:hyperlink>
      <w:r>
        <w:t xml:space="preserve">, f. 7; </w:t>
      </w:r>
      <w:hyperlink w:anchor="SENTENCIA_2012_99" w:history="1">
        <w:r w:rsidRPr="0043655B">
          <w:rPr>
            <w:rStyle w:val="TextoNormalCaracter"/>
          </w:rPr>
          <w:t>99/2012</w:t>
        </w:r>
      </w:hyperlink>
      <w:r>
        <w:t>, f. 6.</w:t>
      </w:r>
    </w:p>
    <w:p w:rsidR="0043655B" w:rsidRDefault="0043655B" w:rsidP="0043655B">
      <w:pPr>
        <w:pStyle w:val="SangriaFrancesaArticulo"/>
      </w:pPr>
      <w:r w:rsidRPr="0043655B">
        <w:rPr>
          <w:rStyle w:val="TextoNormalNegritaCaracter"/>
        </w:rPr>
        <w:t>Artículo 148.1.</w:t>
      </w:r>
      <w:r w:rsidRPr="0043655B">
        <w:rPr>
          <w:rStyle w:val="TextoNormalCaracter"/>
        </w:rPr>
        <w:t>-</w:t>
      </w:r>
      <w:r>
        <w:t xml:space="preserve"> Sentencias </w:t>
      </w:r>
      <w:hyperlink w:anchor="SENTENCIA_2012_32" w:history="1">
        <w:r w:rsidRPr="0043655B">
          <w:rPr>
            <w:rStyle w:val="TextoNormalCaracter"/>
          </w:rPr>
          <w:t>32/2012</w:t>
        </w:r>
      </w:hyperlink>
      <w:r>
        <w:t xml:space="preserve">, f. 3; </w:t>
      </w:r>
      <w:hyperlink w:anchor="SENTENCIA_2012_123" w:history="1">
        <w:r w:rsidRPr="0043655B">
          <w:rPr>
            <w:rStyle w:val="TextoNormalCaracter"/>
          </w:rPr>
          <w:t>123/2012</w:t>
        </w:r>
      </w:hyperlink>
      <w:r>
        <w:t xml:space="preserve">, f. 4; </w:t>
      </w:r>
      <w:hyperlink w:anchor="SENTENCIA_2012_133" w:history="1">
        <w:r w:rsidRPr="0043655B">
          <w:rPr>
            <w:rStyle w:val="TextoNormalCaracter"/>
          </w:rPr>
          <w:t>133/2012</w:t>
        </w:r>
      </w:hyperlink>
      <w:r>
        <w:t xml:space="preserve">, f. 3; </w:t>
      </w:r>
      <w:hyperlink w:anchor="SENTENCIA_2012_134" w:history="1">
        <w:r w:rsidRPr="0043655B">
          <w:rPr>
            <w:rStyle w:val="TextoNormalCaracter"/>
          </w:rPr>
          <w:t>134/2012</w:t>
        </w:r>
      </w:hyperlink>
      <w:r>
        <w:t>, f. 4.</w:t>
      </w:r>
    </w:p>
    <w:p w:rsidR="0043655B" w:rsidRDefault="0043655B" w:rsidP="0043655B">
      <w:pPr>
        <w:pStyle w:val="SangriaFrancesaArticulo"/>
      </w:pPr>
      <w:r w:rsidRPr="0043655B">
        <w:rPr>
          <w:rStyle w:val="TextoNormalNegritaCaracter"/>
        </w:rPr>
        <w:t>Artículo 148.1.2.</w:t>
      </w:r>
      <w:r w:rsidRPr="0043655B">
        <w:rPr>
          <w:rStyle w:val="TextoNormalCaracter"/>
        </w:rPr>
        <w:t>-</w:t>
      </w:r>
      <w:r>
        <w:t xml:space="preserve"> Sentencia </w:t>
      </w:r>
      <w:hyperlink w:anchor="SENTENCIA_2012_120" w:history="1">
        <w:r w:rsidRPr="0043655B">
          <w:rPr>
            <w:rStyle w:val="TextoNormalCaracter"/>
          </w:rPr>
          <w:t>120/2012</w:t>
        </w:r>
      </w:hyperlink>
      <w:r>
        <w:t>, ff. 1, 4.</w:t>
      </w:r>
    </w:p>
    <w:p w:rsidR="0043655B" w:rsidRDefault="0043655B" w:rsidP="0043655B">
      <w:pPr>
        <w:pStyle w:val="SangriaFrancesaArticulo"/>
      </w:pPr>
      <w:r w:rsidRPr="0043655B">
        <w:rPr>
          <w:rStyle w:val="TextoNormalNegritaCaracter"/>
        </w:rPr>
        <w:t>Artículo 148.1.3.</w:t>
      </w:r>
      <w:r w:rsidRPr="0043655B">
        <w:rPr>
          <w:rStyle w:val="TextoNormalCaracter"/>
        </w:rPr>
        <w:t>-</w:t>
      </w:r>
      <w:r>
        <w:t xml:space="preserve"> Sentencia </w:t>
      </w:r>
      <w:hyperlink w:anchor="SENTENCIA_2012_8" w:history="1">
        <w:r w:rsidRPr="0043655B">
          <w:rPr>
            <w:rStyle w:val="TextoNormalCaracter"/>
          </w:rPr>
          <w:t>8/2012</w:t>
        </w:r>
      </w:hyperlink>
      <w:r>
        <w:t>, ff. 6, 8, 9.</w:t>
      </w:r>
    </w:p>
    <w:p w:rsidR="0043655B" w:rsidRDefault="0043655B" w:rsidP="0043655B">
      <w:pPr>
        <w:pStyle w:val="SangriaFrancesaArticulo"/>
      </w:pPr>
      <w:r w:rsidRPr="0043655B">
        <w:rPr>
          <w:rStyle w:val="TextoNormalNegritaCaracter"/>
        </w:rPr>
        <w:t>Artículo 148.1.5.</w:t>
      </w:r>
      <w:r w:rsidRPr="0043655B">
        <w:rPr>
          <w:rStyle w:val="TextoNormalCaracter"/>
        </w:rPr>
        <w:t>-</w:t>
      </w:r>
      <w:r>
        <w:t xml:space="preserve"> Sentencia </w:t>
      </w:r>
      <w:hyperlink w:anchor="SENTENCIA_2012_112" w:history="1">
        <w:r w:rsidRPr="0043655B">
          <w:rPr>
            <w:rStyle w:val="TextoNormalCaracter"/>
          </w:rPr>
          <w:t>112/2012</w:t>
        </w:r>
      </w:hyperlink>
      <w:r>
        <w:t>, ff. 2, 3.</w:t>
      </w:r>
    </w:p>
    <w:p w:rsidR="0043655B" w:rsidRDefault="0043655B" w:rsidP="0043655B">
      <w:pPr>
        <w:pStyle w:val="SangriaFrancesaArticulo"/>
      </w:pPr>
      <w:r w:rsidRPr="0043655B">
        <w:rPr>
          <w:rStyle w:val="TextoNormalNegritaCaracter"/>
        </w:rPr>
        <w:t>Artículo 148.1.16.</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r w:rsidRPr="0043655B">
        <w:rPr>
          <w:rStyle w:val="TextoNormalNegritaCaracter"/>
        </w:rPr>
        <w:t>Artículo 148.1.19.</w:t>
      </w:r>
      <w:r w:rsidRPr="0043655B">
        <w:rPr>
          <w:rStyle w:val="TextoNormalCaracter"/>
        </w:rPr>
        <w:t>-</w:t>
      </w:r>
      <w:r>
        <w:t xml:space="preserve"> Sentencia </w:t>
      </w:r>
      <w:hyperlink w:anchor="SENTENCIA_2012_80" w:history="1">
        <w:r w:rsidRPr="0043655B">
          <w:rPr>
            <w:rStyle w:val="TextoNormalCaracter"/>
          </w:rPr>
          <w:t>80/2012</w:t>
        </w:r>
      </w:hyperlink>
      <w:r>
        <w:t>, f. 6.</w:t>
      </w:r>
    </w:p>
    <w:p w:rsidR="0043655B" w:rsidRDefault="0043655B" w:rsidP="0043655B">
      <w:pPr>
        <w:pStyle w:val="SangriaFrancesaArticulo"/>
      </w:pPr>
      <w:r w:rsidRPr="0043655B">
        <w:rPr>
          <w:rStyle w:val="TextoNormalNegritaCaracter"/>
        </w:rPr>
        <w:t>Artículo 148.1.20.</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IzquierdaArticulo"/>
      </w:pPr>
      <w:r>
        <w:t xml:space="preserve">Autos </w:t>
      </w:r>
      <w:hyperlink w:anchor="AUTO_2012_49" w:history="1">
        <w:r w:rsidRPr="0043655B">
          <w:rPr>
            <w:rStyle w:val="TextoNormalCaracter"/>
          </w:rPr>
          <w:t>49/2012</w:t>
        </w:r>
      </w:hyperlink>
      <w:r>
        <w:t xml:space="preserve">;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148.1.22.</w:t>
      </w:r>
      <w:r w:rsidRPr="0043655B">
        <w:rPr>
          <w:rStyle w:val="TextoNormalCaracter"/>
        </w:rPr>
        <w:t>-</w:t>
      </w:r>
      <w:r>
        <w:t xml:space="preserve"> Sentencia </w:t>
      </w:r>
      <w:hyperlink w:anchor="SENTENCIA_2012_2" w:history="1">
        <w:r w:rsidRPr="0043655B">
          <w:rPr>
            <w:rStyle w:val="TextoNormalCaracter"/>
          </w:rPr>
          <w:t>2/2012</w:t>
        </w:r>
      </w:hyperlink>
      <w:r>
        <w:t>, f. 2.</w:t>
      </w:r>
    </w:p>
    <w:p w:rsidR="0043655B" w:rsidRDefault="0043655B" w:rsidP="0043655B">
      <w:pPr>
        <w:pStyle w:val="SangriaFrancesaArticulo"/>
      </w:pPr>
      <w:r w:rsidRPr="0043655B">
        <w:rPr>
          <w:rStyle w:val="TextoNormalNegritaCaracter"/>
        </w:rPr>
        <w:t>Artículo 149.</w:t>
      </w:r>
      <w:r w:rsidRPr="0043655B">
        <w:rPr>
          <w:rStyle w:val="TextoNormalCaracter"/>
        </w:rPr>
        <w:t>-</w:t>
      </w:r>
      <w:r>
        <w:t xml:space="preserve"> Sentencias </w:t>
      </w:r>
      <w:hyperlink w:anchor="SENTENCIA_2012_36" w:history="1">
        <w:r w:rsidRPr="0043655B">
          <w:rPr>
            <w:rStyle w:val="TextoNormalCaracter"/>
          </w:rPr>
          <w:t>36/2012</w:t>
        </w:r>
      </w:hyperlink>
      <w:r>
        <w:t xml:space="preserve">, f. 7; </w:t>
      </w:r>
      <w:hyperlink w:anchor="SENTENCIA_2012_99" w:history="1">
        <w:r w:rsidRPr="0043655B">
          <w:rPr>
            <w:rStyle w:val="TextoNormalCaracter"/>
          </w:rPr>
          <w:t>99/2012</w:t>
        </w:r>
      </w:hyperlink>
      <w:r>
        <w:t xml:space="preserve">, f. 6; </w:t>
      </w:r>
      <w:hyperlink w:anchor="SENTENCIA_2012_110" w:history="1">
        <w:r w:rsidRPr="0043655B">
          <w:rPr>
            <w:rStyle w:val="TextoNormalCaracter"/>
          </w:rPr>
          <w:t>110/2012</w:t>
        </w:r>
      </w:hyperlink>
      <w:r>
        <w:t>, f. 4.</w:t>
      </w:r>
    </w:p>
    <w:p w:rsidR="0043655B" w:rsidRDefault="0043655B" w:rsidP="0043655B">
      <w:pPr>
        <w:pStyle w:val="SangriaFrancesaArticulo"/>
      </w:pPr>
      <w:r w:rsidRPr="0043655B">
        <w:rPr>
          <w:rStyle w:val="TextoNormalNegritaCaracter"/>
        </w:rPr>
        <w:t>Artículo 149.1.</w:t>
      </w:r>
      <w:r w:rsidRPr="0043655B">
        <w:rPr>
          <w:rStyle w:val="TextoNormalCaracter"/>
        </w:rPr>
        <w:t>-</w:t>
      </w:r>
      <w:r>
        <w:t xml:space="preserve"> Sentencias </w:t>
      </w:r>
      <w:hyperlink w:anchor="SENTENCIA_2012_6" w:history="1">
        <w:r w:rsidRPr="0043655B">
          <w:rPr>
            <w:rStyle w:val="TextoNormalCaracter"/>
          </w:rPr>
          <w:t>6/2012</w:t>
        </w:r>
      </w:hyperlink>
      <w:r>
        <w:t xml:space="preserve">, VP I; </w:t>
      </w:r>
      <w:hyperlink w:anchor="SENTENCIA_2012_19" w:history="1">
        <w:r w:rsidRPr="0043655B">
          <w:rPr>
            <w:rStyle w:val="TextoNormalCaracter"/>
          </w:rPr>
          <w:t>19/2012</w:t>
        </w:r>
      </w:hyperlink>
      <w:r>
        <w:t xml:space="preserve">, f. 3; </w:t>
      </w:r>
      <w:hyperlink w:anchor="SENTENCIA_2012_21" w:history="1">
        <w:r w:rsidRPr="0043655B">
          <w:rPr>
            <w:rStyle w:val="TextoNormalCaracter"/>
          </w:rPr>
          <w:t>21/2012</w:t>
        </w:r>
      </w:hyperlink>
      <w:r>
        <w:t xml:space="preserve">, VP; </w:t>
      </w:r>
      <w:hyperlink w:anchor="SENTENCIA_2012_26" w:history="1">
        <w:r w:rsidRPr="0043655B">
          <w:rPr>
            <w:rStyle w:val="TextoNormalCaracter"/>
          </w:rPr>
          <w:t>26/2012</w:t>
        </w:r>
      </w:hyperlink>
      <w:r>
        <w:t xml:space="preserve">, ff. 3, 6, 10; </w:t>
      </w:r>
      <w:hyperlink w:anchor="SENTENCIA_2012_32" w:history="1">
        <w:r w:rsidRPr="0043655B">
          <w:rPr>
            <w:rStyle w:val="TextoNormalCaracter"/>
          </w:rPr>
          <w:t>32/2012</w:t>
        </w:r>
      </w:hyperlink>
      <w:r>
        <w:t xml:space="preserve">, f. 3; </w:t>
      </w:r>
      <w:hyperlink w:anchor="SENTENCIA_2012_35" w:history="1">
        <w:r w:rsidRPr="0043655B">
          <w:rPr>
            <w:rStyle w:val="TextoNormalCaracter"/>
          </w:rPr>
          <w:t>35/2012</w:t>
        </w:r>
      </w:hyperlink>
      <w:r>
        <w:t xml:space="preserve">, f. 4; </w:t>
      </w:r>
      <w:hyperlink w:anchor="SENTENCIA_2012_36" w:history="1">
        <w:r w:rsidRPr="0043655B">
          <w:rPr>
            <w:rStyle w:val="TextoNormalCaracter"/>
          </w:rPr>
          <w:t>36/2012</w:t>
        </w:r>
      </w:hyperlink>
      <w:r>
        <w:t xml:space="preserve">, f. 4; </w:t>
      </w:r>
      <w:hyperlink w:anchor="SENTENCIA_2012_89" w:history="1">
        <w:r w:rsidRPr="0043655B">
          <w:rPr>
            <w:rStyle w:val="TextoNormalCaracter"/>
          </w:rPr>
          <w:t>89/2012</w:t>
        </w:r>
      </w:hyperlink>
      <w:r>
        <w:t xml:space="preserve">, f. 3; </w:t>
      </w:r>
      <w:hyperlink w:anchor="SENTENCIA_2012_111" w:history="1">
        <w:r w:rsidRPr="0043655B">
          <w:rPr>
            <w:rStyle w:val="TextoNormalCaracter"/>
          </w:rPr>
          <w:t>111/2012</w:t>
        </w:r>
      </w:hyperlink>
      <w:r>
        <w:t xml:space="preserve">, ff. 6, 8; </w:t>
      </w:r>
      <w:hyperlink w:anchor="SENTENCIA_2012_120" w:history="1">
        <w:r w:rsidRPr="0043655B">
          <w:rPr>
            <w:rStyle w:val="TextoNormalCaracter"/>
          </w:rPr>
          <w:t>120/2012</w:t>
        </w:r>
      </w:hyperlink>
      <w:r>
        <w:t xml:space="preserve">, f. 3; </w:t>
      </w:r>
      <w:hyperlink w:anchor="SENTENCIA_2012_123" w:history="1">
        <w:r w:rsidRPr="0043655B">
          <w:rPr>
            <w:rStyle w:val="TextoNormalCaracter"/>
          </w:rPr>
          <w:t>123/2012</w:t>
        </w:r>
      </w:hyperlink>
      <w:r>
        <w:t xml:space="preserve">, f. 4; </w:t>
      </w:r>
      <w:hyperlink w:anchor="SENTENCIA_2012_133" w:history="1">
        <w:r w:rsidRPr="0043655B">
          <w:rPr>
            <w:rStyle w:val="TextoNormalCaracter"/>
          </w:rPr>
          <w:t>133/2012</w:t>
        </w:r>
      </w:hyperlink>
      <w:r>
        <w:t xml:space="preserve">, f. 3; </w:t>
      </w:r>
      <w:hyperlink w:anchor="SENTENCIA_2012_134" w:history="1">
        <w:r w:rsidRPr="0043655B">
          <w:rPr>
            <w:rStyle w:val="TextoNormalCaracter"/>
          </w:rPr>
          <w:t>134/2012</w:t>
        </w:r>
      </w:hyperlink>
      <w:r>
        <w:t>, f. 4.</w:t>
      </w:r>
    </w:p>
    <w:p w:rsidR="0043655B" w:rsidRDefault="0043655B" w:rsidP="0043655B">
      <w:pPr>
        <w:pStyle w:val="SangriaFrancesaArticulo"/>
      </w:pPr>
      <w:r w:rsidRPr="0043655B">
        <w:rPr>
          <w:rStyle w:val="TextoNormalNegritaCaracter"/>
        </w:rPr>
        <w:t>Artículo 149.1.1.</w:t>
      </w:r>
      <w:r w:rsidRPr="0043655B">
        <w:rPr>
          <w:rStyle w:val="TextoNormalCaracter"/>
        </w:rPr>
        <w:t>-</w:t>
      </w:r>
      <w:r>
        <w:t xml:space="preserve"> Sentencias </w:t>
      </w:r>
      <w:hyperlink w:anchor="SENTENCIA_2012_8" w:history="1">
        <w:r w:rsidRPr="0043655B">
          <w:rPr>
            <w:rStyle w:val="TextoNormalCaracter"/>
          </w:rPr>
          <w:t>8/2012</w:t>
        </w:r>
      </w:hyperlink>
      <w:r>
        <w:t xml:space="preserve">, f. 11; </w:t>
      </w:r>
      <w:hyperlink w:anchor="SENTENCIA_2012_26" w:history="1">
        <w:r w:rsidRPr="0043655B">
          <w:rPr>
            <w:rStyle w:val="TextoNormalCaracter"/>
          </w:rPr>
          <w:t>26/2012</w:t>
        </w:r>
      </w:hyperlink>
      <w:r>
        <w:t xml:space="preserve">, ff. 1, 2, 13; </w:t>
      </w:r>
      <w:hyperlink w:anchor="SENTENCIA_2012_71" w:history="1">
        <w:r w:rsidRPr="0043655B">
          <w:rPr>
            <w:rStyle w:val="TextoNormalCaracter"/>
          </w:rPr>
          <w:t>71/2012</w:t>
        </w:r>
      </w:hyperlink>
      <w:r>
        <w:t xml:space="preserve">, f. 3; </w:t>
      </w:r>
      <w:hyperlink w:anchor="SENTENCIA_2012_81" w:history="1">
        <w:r w:rsidRPr="0043655B">
          <w:rPr>
            <w:rStyle w:val="TextoNormalCaracter"/>
          </w:rPr>
          <w:t>81/2012</w:t>
        </w:r>
      </w:hyperlink>
      <w:r>
        <w:t xml:space="preserve">, ff. 1, 3, VP; </w:t>
      </w:r>
      <w:hyperlink w:anchor="SENTENCIA_2012_87" w:history="1">
        <w:r w:rsidRPr="0043655B">
          <w:rPr>
            <w:rStyle w:val="TextoNormalCaracter"/>
          </w:rPr>
          <w:t>87/2012</w:t>
        </w:r>
      </w:hyperlink>
      <w:r>
        <w:t xml:space="preserve">, ff. 4, 5; </w:t>
      </w:r>
      <w:hyperlink w:anchor="SENTENCIA_2012_102" w:history="1">
        <w:r w:rsidRPr="0043655B">
          <w:rPr>
            <w:rStyle w:val="TextoNormalCaracter"/>
          </w:rPr>
          <w:t>102/2012</w:t>
        </w:r>
      </w:hyperlink>
      <w:r>
        <w:t xml:space="preserve">, f. 5; </w:t>
      </w:r>
      <w:hyperlink w:anchor="SENTENCIA_2012_111" w:history="1">
        <w:r w:rsidRPr="0043655B">
          <w:rPr>
            <w:rStyle w:val="TextoNormalCaracter"/>
          </w:rPr>
          <w:t>111/2012</w:t>
        </w:r>
      </w:hyperlink>
      <w:r>
        <w:t xml:space="preserve">, ff. 1, 4 a 6, 8, 12; </w:t>
      </w:r>
      <w:hyperlink w:anchor="SENTENCIA_2012_136" w:history="1">
        <w:r w:rsidRPr="0043655B">
          <w:rPr>
            <w:rStyle w:val="TextoNormalCaracter"/>
          </w:rPr>
          <w:t>136/2012</w:t>
        </w:r>
      </w:hyperlink>
      <w:r>
        <w:t xml:space="preserve">, ff. 1, 3; </w:t>
      </w:r>
      <w:hyperlink w:anchor="SENTENCIA_2012_137" w:history="1">
        <w:r w:rsidRPr="0043655B">
          <w:rPr>
            <w:rStyle w:val="TextoNormalCaracter"/>
          </w:rPr>
          <w:t>137/2012</w:t>
        </w:r>
      </w:hyperlink>
      <w:r>
        <w:t>, ff. 1, 2.</w:t>
      </w:r>
    </w:p>
    <w:p w:rsidR="0043655B" w:rsidRDefault="0043655B" w:rsidP="0043655B">
      <w:pPr>
        <w:pStyle w:val="SangriaFrancesaArticulo"/>
      </w:pPr>
      <w:r w:rsidRPr="0043655B">
        <w:rPr>
          <w:rStyle w:val="TextoNormalNegritaCaracter"/>
        </w:rPr>
        <w:t>Artículo 149.1.3.</w:t>
      </w:r>
      <w:r w:rsidRPr="0043655B">
        <w:rPr>
          <w:rStyle w:val="TextoNormalCaracter"/>
        </w:rPr>
        <w:t>-</w:t>
      </w:r>
      <w:r>
        <w:t xml:space="preserve"> Sentencias </w:t>
      </w:r>
      <w:hyperlink w:anchor="SENTENCIA_2012_80" w:history="1">
        <w:r w:rsidRPr="0043655B">
          <w:rPr>
            <w:rStyle w:val="TextoNormalCaracter"/>
          </w:rPr>
          <w:t>80/2012</w:t>
        </w:r>
      </w:hyperlink>
      <w:r>
        <w:t xml:space="preserve">, ff. 1 a 4, 10, VP; </w:t>
      </w:r>
      <w:hyperlink w:anchor="SENTENCIA_2012_110" w:history="1">
        <w:r w:rsidRPr="0043655B">
          <w:rPr>
            <w:rStyle w:val="TextoNormalCaracter"/>
          </w:rPr>
          <w:t>110/2012</w:t>
        </w:r>
      </w:hyperlink>
      <w:r>
        <w:t>, ff. 1, 3.</w:t>
      </w:r>
    </w:p>
    <w:p w:rsidR="0043655B" w:rsidRDefault="0043655B" w:rsidP="0043655B">
      <w:pPr>
        <w:pStyle w:val="SangriaFrancesaArticulo"/>
      </w:pPr>
      <w:r w:rsidRPr="0043655B">
        <w:rPr>
          <w:rStyle w:val="TextoNormalNegritaCaracter"/>
        </w:rPr>
        <w:t>Artículo 149.1.4.</w:t>
      </w:r>
      <w:r w:rsidRPr="0043655B">
        <w:rPr>
          <w:rStyle w:val="TextoNormalCaracter"/>
        </w:rPr>
        <w:t>-</w:t>
      </w:r>
      <w:r>
        <w:t xml:space="preserve"> Sentencia </w:t>
      </w:r>
      <w:hyperlink w:anchor="SENTENCIA_2012_82" w:history="1">
        <w:r w:rsidRPr="0043655B">
          <w:rPr>
            <w:rStyle w:val="TextoNormalCaracter"/>
          </w:rPr>
          <w:t>82/2012</w:t>
        </w:r>
      </w:hyperlink>
      <w:r>
        <w:t>, ff. 1, 3 a 5, VP I, VP II.</w:t>
      </w:r>
    </w:p>
    <w:p w:rsidR="0043655B" w:rsidRDefault="0043655B" w:rsidP="0043655B">
      <w:pPr>
        <w:pStyle w:val="SangriaIzquierdaArticulo"/>
      </w:pPr>
      <w:r>
        <w:t xml:space="preserve">Autos </w:t>
      </w:r>
      <w:hyperlink w:anchor="AUTO_2012_85" w:history="1">
        <w:r w:rsidRPr="0043655B">
          <w:rPr>
            <w:rStyle w:val="TextoNormalCaracter"/>
          </w:rPr>
          <w:t>85/2012</w:t>
        </w:r>
      </w:hyperlink>
      <w:r>
        <w:t xml:space="preserve">;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149.1.5.</w:t>
      </w:r>
      <w:r w:rsidRPr="0043655B">
        <w:rPr>
          <w:rStyle w:val="TextoNormalCaracter"/>
        </w:rPr>
        <w:t>-</w:t>
      </w:r>
      <w:r>
        <w:t xml:space="preserve"> Sentencia </w:t>
      </w:r>
      <w:hyperlink w:anchor="SENTENCIA_2012_7" w:history="1">
        <w:r w:rsidRPr="0043655B">
          <w:rPr>
            <w:rStyle w:val="TextoNormalCaracter"/>
          </w:rPr>
          <w:t>7/2012</w:t>
        </w:r>
      </w:hyperlink>
      <w:r>
        <w:t>, ff. 1, 2.</w:t>
      </w:r>
    </w:p>
    <w:p w:rsidR="0043655B" w:rsidRDefault="0043655B" w:rsidP="0043655B">
      <w:pPr>
        <w:pStyle w:val="SangriaFrancesaArticulo"/>
      </w:pPr>
      <w:r w:rsidRPr="0043655B">
        <w:rPr>
          <w:rStyle w:val="TextoNormalNegritaCaracter"/>
        </w:rPr>
        <w:t>Artículo 149.1.6.</w:t>
      </w:r>
      <w:r w:rsidRPr="0043655B">
        <w:rPr>
          <w:rStyle w:val="TextoNormalCaracter"/>
        </w:rPr>
        <w:t>-</w:t>
      </w:r>
      <w:r>
        <w:t xml:space="preserve"> Sentencias </w:t>
      </w:r>
      <w:hyperlink w:anchor="SENTENCIA_2012_6" w:history="1">
        <w:r w:rsidRPr="0043655B">
          <w:rPr>
            <w:rStyle w:val="TextoNormalCaracter"/>
          </w:rPr>
          <w:t>6/2012</w:t>
        </w:r>
      </w:hyperlink>
      <w:r>
        <w:t xml:space="preserve">, f. 5; </w:t>
      </w:r>
      <w:hyperlink w:anchor="SENTENCIA_2012_21" w:history="1">
        <w:r w:rsidRPr="0043655B">
          <w:rPr>
            <w:rStyle w:val="TextoNormalCaracter"/>
          </w:rPr>
          <w:t>21/2012</w:t>
        </w:r>
      </w:hyperlink>
      <w:r>
        <w:t xml:space="preserve">, ff. 1, 3, 4, 6, 8, 9, VP; </w:t>
      </w:r>
      <w:hyperlink w:anchor="SENTENCIA_2012_26" w:history="1">
        <w:r w:rsidRPr="0043655B">
          <w:rPr>
            <w:rStyle w:val="TextoNormalCaracter"/>
          </w:rPr>
          <w:t>26/2012</w:t>
        </w:r>
      </w:hyperlink>
      <w:r>
        <w:t xml:space="preserve">, ff. 1, 3, 4, 10, 12; </w:t>
      </w:r>
      <w:hyperlink w:anchor="SENTENCIA_2012_33" w:history="1">
        <w:r w:rsidRPr="0043655B">
          <w:rPr>
            <w:rStyle w:val="TextoNormalCaracter"/>
          </w:rPr>
          <w:t>33/2012</w:t>
        </w:r>
      </w:hyperlink>
      <w:r>
        <w:t>, ff. 1 a 3, 5 a 8.</w:t>
      </w:r>
    </w:p>
    <w:p w:rsidR="0043655B" w:rsidRDefault="0043655B" w:rsidP="0043655B">
      <w:pPr>
        <w:pStyle w:val="SangriaFrancesaArticulo"/>
      </w:pPr>
      <w:r w:rsidRPr="0043655B">
        <w:rPr>
          <w:rStyle w:val="TextoNormalNegritaCaracter"/>
        </w:rPr>
        <w:t>Artículo 149.1.7.</w:t>
      </w:r>
      <w:r w:rsidRPr="0043655B">
        <w:rPr>
          <w:rStyle w:val="TextoNormalCaracter"/>
        </w:rPr>
        <w:t>-</w:t>
      </w:r>
      <w:r>
        <w:t xml:space="preserve"> Sentencia </w:t>
      </w:r>
      <w:hyperlink w:anchor="SENTENCIA_2012_111" w:history="1">
        <w:r w:rsidRPr="0043655B">
          <w:rPr>
            <w:rStyle w:val="TextoNormalCaracter"/>
          </w:rPr>
          <w:t>111/2012</w:t>
        </w:r>
      </w:hyperlink>
      <w:r>
        <w:t>, ff. 1, 4, 7, 8, 10, 12.</w:t>
      </w:r>
    </w:p>
    <w:p w:rsidR="0043655B" w:rsidRDefault="0043655B" w:rsidP="0043655B">
      <w:pPr>
        <w:pStyle w:val="SangriaFrancesaArticulo"/>
      </w:pPr>
      <w:r w:rsidRPr="0043655B">
        <w:rPr>
          <w:rStyle w:val="TextoNormalNegritaCaracter"/>
        </w:rPr>
        <w:t>Artículo 149.1.8.</w:t>
      </w:r>
      <w:r w:rsidRPr="0043655B">
        <w:rPr>
          <w:rStyle w:val="TextoNormalCaracter"/>
        </w:rPr>
        <w:t>-</w:t>
      </w:r>
      <w:r>
        <w:t xml:space="preserve"> Sentencias </w:t>
      </w:r>
      <w:hyperlink w:anchor="SENTENCIA_2012_6" w:history="1">
        <w:r w:rsidRPr="0043655B">
          <w:rPr>
            <w:rStyle w:val="TextoNormalCaracter"/>
          </w:rPr>
          <w:t>6/2012</w:t>
        </w:r>
      </w:hyperlink>
      <w:r>
        <w:t xml:space="preserve">, f. 5; </w:t>
      </w:r>
      <w:hyperlink w:anchor="SENTENCIA_2012_26" w:history="1">
        <w:r w:rsidRPr="0043655B">
          <w:rPr>
            <w:rStyle w:val="TextoNormalCaracter"/>
          </w:rPr>
          <w:t>26/2012</w:t>
        </w:r>
      </w:hyperlink>
      <w:r>
        <w:t xml:space="preserve">, ff. 1, 4; </w:t>
      </w:r>
      <w:hyperlink w:anchor="SENTENCIA_2012_28" w:history="1">
        <w:r w:rsidRPr="0043655B">
          <w:rPr>
            <w:rStyle w:val="TextoNormalCaracter"/>
          </w:rPr>
          <w:t>28/2012</w:t>
        </w:r>
      </w:hyperlink>
      <w:r>
        <w:t xml:space="preserve">, ff. 1 a 6; </w:t>
      </w:r>
      <w:hyperlink w:anchor="SENTENCIA_2012_87" w:history="1">
        <w:r w:rsidRPr="0043655B">
          <w:rPr>
            <w:rStyle w:val="TextoNormalCaracter"/>
          </w:rPr>
          <w:t>87/2012</w:t>
        </w:r>
      </w:hyperlink>
      <w:r>
        <w:t xml:space="preserve">, f. 4; </w:t>
      </w:r>
      <w:hyperlink w:anchor="SENTENCIA_2012_102" w:history="1">
        <w:r w:rsidRPr="0043655B">
          <w:rPr>
            <w:rStyle w:val="TextoNormalCaracter"/>
          </w:rPr>
          <w:t>102/2012</w:t>
        </w:r>
      </w:hyperlink>
      <w:r>
        <w:t xml:space="preserve">, f. 5; </w:t>
      </w:r>
      <w:hyperlink w:anchor="SENTENCIA_2012_137" w:history="1">
        <w:r w:rsidRPr="0043655B">
          <w:rPr>
            <w:rStyle w:val="TextoNormalCaracter"/>
          </w:rPr>
          <w:t>137/2012</w:t>
        </w:r>
      </w:hyperlink>
      <w:r>
        <w:t>, f. 1.</w:t>
      </w:r>
    </w:p>
    <w:p w:rsidR="0043655B" w:rsidRDefault="0043655B" w:rsidP="0043655B">
      <w:pPr>
        <w:pStyle w:val="SangriaFrancesaArticulo"/>
      </w:pPr>
      <w:r w:rsidRPr="0043655B">
        <w:rPr>
          <w:rStyle w:val="TextoNormalNegritaCaracter"/>
        </w:rPr>
        <w:t>Artículo 149.1.9.</w:t>
      </w:r>
      <w:r w:rsidRPr="0043655B">
        <w:rPr>
          <w:rStyle w:val="TextoNormalCaracter"/>
        </w:rPr>
        <w:t>-</w:t>
      </w:r>
      <w:r>
        <w:t xml:space="preserve"> Sentencia </w:t>
      </w:r>
      <w:hyperlink w:anchor="SENTENCIA_2012_89" w:history="1">
        <w:r w:rsidRPr="0043655B">
          <w:rPr>
            <w:rStyle w:val="TextoNormalCaracter"/>
          </w:rPr>
          <w:t>89/2012</w:t>
        </w:r>
      </w:hyperlink>
      <w:r>
        <w:t>, f. 3.</w:t>
      </w:r>
    </w:p>
    <w:p w:rsidR="0043655B" w:rsidRDefault="0043655B" w:rsidP="0043655B">
      <w:pPr>
        <w:pStyle w:val="SangriaFrancesaArticulo"/>
      </w:pPr>
      <w:r w:rsidRPr="0043655B">
        <w:rPr>
          <w:rStyle w:val="TextoNormalNegritaCaracter"/>
        </w:rPr>
        <w:t>Artículo 149.1.10.</w:t>
      </w:r>
      <w:r w:rsidRPr="0043655B">
        <w:rPr>
          <w:rStyle w:val="TextoNormalCaracter"/>
        </w:rPr>
        <w:t>-</w:t>
      </w:r>
      <w:r>
        <w:t xml:space="preserve"> Sentencias </w:t>
      </w:r>
      <w:hyperlink w:anchor="SENTENCIA_2012_35" w:history="1">
        <w:r w:rsidRPr="0043655B">
          <w:rPr>
            <w:rStyle w:val="TextoNormalCaracter"/>
          </w:rPr>
          <w:t>35/2012</w:t>
        </w:r>
      </w:hyperlink>
      <w:r>
        <w:t xml:space="preserve">, f. 6; </w:t>
      </w:r>
      <w:hyperlink w:anchor="SENTENCIA_2012_80" w:history="1">
        <w:r w:rsidRPr="0043655B">
          <w:rPr>
            <w:rStyle w:val="TextoNormalCaracter"/>
          </w:rPr>
          <w:t>80/2012</w:t>
        </w:r>
      </w:hyperlink>
      <w:r>
        <w:t>, f. 7.</w:t>
      </w:r>
    </w:p>
    <w:p w:rsidR="0043655B" w:rsidRDefault="0043655B" w:rsidP="0043655B">
      <w:pPr>
        <w:pStyle w:val="SangriaFrancesaArticulo"/>
      </w:pPr>
      <w:r w:rsidRPr="0043655B">
        <w:rPr>
          <w:rStyle w:val="TextoNormalNegritaCaracter"/>
        </w:rPr>
        <w:t>Artículo 149.1.11.</w:t>
      </w:r>
      <w:r w:rsidRPr="0043655B">
        <w:rPr>
          <w:rStyle w:val="TextoNormalCaracter"/>
        </w:rPr>
        <w:t>-</w:t>
      </w:r>
      <w:r>
        <w:t xml:space="preserve"> Sentencias </w:t>
      </w:r>
      <w:hyperlink w:anchor="SENTENCIA_2012_26" w:history="1">
        <w:r w:rsidRPr="0043655B">
          <w:rPr>
            <w:rStyle w:val="TextoNormalCaracter"/>
          </w:rPr>
          <w:t>26/2012</w:t>
        </w:r>
      </w:hyperlink>
      <w:r>
        <w:t xml:space="preserve">, ff. 3, 4, 6, 10, 12; </w:t>
      </w:r>
      <w:hyperlink w:anchor="SENTENCIA_2012_71" w:history="1">
        <w:r w:rsidRPr="0043655B">
          <w:rPr>
            <w:rStyle w:val="TextoNormalCaracter"/>
          </w:rPr>
          <w:t>71/2012</w:t>
        </w:r>
      </w:hyperlink>
      <w:r>
        <w:t xml:space="preserve">, f. 3; </w:t>
      </w:r>
      <w:hyperlink w:anchor="SENTENCIA_2012_120" w:history="1">
        <w:r w:rsidRPr="0043655B">
          <w:rPr>
            <w:rStyle w:val="TextoNormalCaracter"/>
          </w:rPr>
          <w:t>120/2012</w:t>
        </w:r>
      </w:hyperlink>
      <w:r>
        <w:t>, ff. 4 a 7.</w:t>
      </w:r>
    </w:p>
    <w:p w:rsidR="0043655B" w:rsidRDefault="0043655B" w:rsidP="0043655B">
      <w:pPr>
        <w:pStyle w:val="SangriaFrancesaArticulo"/>
      </w:pPr>
      <w:r w:rsidRPr="0043655B">
        <w:rPr>
          <w:rStyle w:val="TextoNormalNegritaCaracter"/>
        </w:rPr>
        <w:t>Artículo 149.1.13.</w:t>
      </w:r>
      <w:r w:rsidRPr="0043655B">
        <w:rPr>
          <w:rStyle w:val="TextoNormalCaracter"/>
        </w:rPr>
        <w:t>-</w:t>
      </w:r>
      <w:r>
        <w:t xml:space="preserve"> Sentencias </w:t>
      </w:r>
      <w:hyperlink w:anchor="SENTENCIA_2012_19" w:history="1">
        <w:r w:rsidRPr="0043655B">
          <w:rPr>
            <w:rStyle w:val="TextoNormalCaracter"/>
          </w:rPr>
          <w:t>19/2012</w:t>
        </w:r>
      </w:hyperlink>
      <w:r>
        <w:t xml:space="preserve">, f. 3; </w:t>
      </w:r>
      <w:hyperlink w:anchor="SENTENCIA_2012_26" w:history="1">
        <w:r w:rsidRPr="0043655B">
          <w:rPr>
            <w:rStyle w:val="TextoNormalCaracter"/>
          </w:rPr>
          <w:t>26/2012</w:t>
        </w:r>
      </w:hyperlink>
      <w:r>
        <w:t xml:space="preserve">, ff. 1, 3, 5 a 7, 9 a 12; </w:t>
      </w:r>
      <w:hyperlink w:anchor="SENTENCIA_2012_36" w:history="1">
        <w:r w:rsidRPr="0043655B">
          <w:rPr>
            <w:rStyle w:val="TextoNormalCaracter"/>
          </w:rPr>
          <w:t>36/2012</w:t>
        </w:r>
      </w:hyperlink>
      <w:r>
        <w:t xml:space="preserve">, ff. 2 a 6, 11; </w:t>
      </w:r>
      <w:hyperlink w:anchor="SENTENCIA_2012_71" w:history="1">
        <w:r w:rsidRPr="0043655B">
          <w:rPr>
            <w:rStyle w:val="TextoNormalCaracter"/>
          </w:rPr>
          <w:t>71/2012</w:t>
        </w:r>
      </w:hyperlink>
      <w:r>
        <w:t xml:space="preserve">, f. 3; </w:t>
      </w:r>
      <w:hyperlink w:anchor="SENTENCIA_2012_72" w:history="1">
        <w:r w:rsidRPr="0043655B">
          <w:rPr>
            <w:rStyle w:val="TextoNormalCaracter"/>
          </w:rPr>
          <w:t>72/2012</w:t>
        </w:r>
      </w:hyperlink>
      <w:r>
        <w:t xml:space="preserve">, ff. 1, 3; </w:t>
      </w:r>
      <w:hyperlink w:anchor="SENTENCIA_2012_73" w:history="1">
        <w:r w:rsidRPr="0043655B">
          <w:rPr>
            <w:rStyle w:val="TextoNormalCaracter"/>
          </w:rPr>
          <w:t>73/2012</w:t>
        </w:r>
      </w:hyperlink>
      <w:r>
        <w:t xml:space="preserve">, ff. 1, 3; </w:t>
      </w:r>
      <w:hyperlink w:anchor="SENTENCIA_2012_77" w:history="1">
        <w:r w:rsidRPr="0043655B">
          <w:rPr>
            <w:rStyle w:val="TextoNormalCaracter"/>
          </w:rPr>
          <w:t>77/2012</w:t>
        </w:r>
      </w:hyperlink>
      <w:r>
        <w:t xml:space="preserve">, ff. 1, 3; </w:t>
      </w:r>
      <w:hyperlink w:anchor="SENTENCIA_2012_80" w:history="1">
        <w:r w:rsidRPr="0043655B">
          <w:rPr>
            <w:rStyle w:val="TextoNormalCaracter"/>
          </w:rPr>
          <w:t>80/2012</w:t>
        </w:r>
      </w:hyperlink>
      <w:r>
        <w:t xml:space="preserve">, </w:t>
      </w:r>
      <w:r>
        <w:lastRenderedPageBreak/>
        <w:t xml:space="preserve">f. 7; </w:t>
      </w:r>
      <w:hyperlink w:anchor="SENTENCIA_2012_82" w:history="1">
        <w:r w:rsidRPr="0043655B">
          <w:rPr>
            <w:rStyle w:val="TextoNormalCaracter"/>
          </w:rPr>
          <w:t>82/2012</w:t>
        </w:r>
      </w:hyperlink>
      <w:r>
        <w:t xml:space="preserve">, VP II; </w:t>
      </w:r>
      <w:hyperlink w:anchor="SENTENCIA_2012_86" w:history="1">
        <w:r w:rsidRPr="0043655B">
          <w:rPr>
            <w:rStyle w:val="TextoNormalCaracter"/>
          </w:rPr>
          <w:t>86/2012</w:t>
        </w:r>
      </w:hyperlink>
      <w:r>
        <w:t xml:space="preserve">, ff. 1, 3; </w:t>
      </w:r>
      <w:hyperlink w:anchor="SENTENCIA_2012_90" w:history="1">
        <w:r w:rsidRPr="0043655B">
          <w:rPr>
            <w:rStyle w:val="TextoNormalCaracter"/>
          </w:rPr>
          <w:t>90/2012</w:t>
        </w:r>
      </w:hyperlink>
      <w:r>
        <w:t xml:space="preserve">, f. 5; </w:t>
      </w:r>
      <w:hyperlink w:anchor="SENTENCIA_2012_99" w:history="1">
        <w:r w:rsidRPr="0043655B">
          <w:rPr>
            <w:rStyle w:val="TextoNormalCaracter"/>
          </w:rPr>
          <w:t>99/2012</w:t>
        </w:r>
      </w:hyperlink>
      <w:r>
        <w:t xml:space="preserve">, ff. 2, 3, 5, 6, 8; </w:t>
      </w:r>
      <w:hyperlink w:anchor="SENTENCIA_2012_109" w:history="1">
        <w:r w:rsidRPr="0043655B">
          <w:rPr>
            <w:rStyle w:val="TextoNormalCaracter"/>
          </w:rPr>
          <w:t>109/2012</w:t>
        </w:r>
      </w:hyperlink>
      <w:r>
        <w:t xml:space="preserve">, f. 3; </w:t>
      </w:r>
      <w:hyperlink w:anchor="SENTENCIA_2012_111" w:history="1">
        <w:r w:rsidRPr="0043655B">
          <w:rPr>
            <w:rStyle w:val="TextoNormalCaracter"/>
          </w:rPr>
          <w:t>111/2012</w:t>
        </w:r>
      </w:hyperlink>
      <w:r>
        <w:t xml:space="preserve">, ff. 7, 8; </w:t>
      </w:r>
      <w:hyperlink w:anchor="SENTENCIA_2012_120" w:history="1">
        <w:r w:rsidRPr="0043655B">
          <w:rPr>
            <w:rStyle w:val="TextoNormalCaracter"/>
          </w:rPr>
          <w:t>120/2012</w:t>
        </w:r>
      </w:hyperlink>
      <w:r>
        <w:t xml:space="preserve">, ff. 1, 4 a 7; </w:t>
      </w:r>
      <w:hyperlink w:anchor="SENTENCIA_2012_127" w:history="1">
        <w:r w:rsidRPr="0043655B">
          <w:rPr>
            <w:rStyle w:val="TextoNormalCaracter"/>
          </w:rPr>
          <w:t>127/2012</w:t>
        </w:r>
      </w:hyperlink>
      <w:r>
        <w:t xml:space="preserve">, f. 3; </w:t>
      </w:r>
      <w:hyperlink w:anchor="SENTENCIA_2012_135" w:history="1">
        <w:r w:rsidRPr="0043655B">
          <w:rPr>
            <w:rStyle w:val="TextoNormalCaracter"/>
          </w:rPr>
          <w:t>135/2012</w:t>
        </w:r>
      </w:hyperlink>
      <w:r>
        <w:t>, ff. 1, 2, 4.</w:t>
      </w:r>
    </w:p>
    <w:p w:rsidR="0043655B" w:rsidRDefault="0043655B" w:rsidP="0043655B">
      <w:pPr>
        <w:pStyle w:val="SangriaFrancesaArticulo"/>
      </w:pPr>
      <w:r w:rsidRPr="0043655B">
        <w:rPr>
          <w:rStyle w:val="TextoNormalNegritaCaracter"/>
        </w:rPr>
        <w:t>Artículo 149.1.14.</w:t>
      </w:r>
      <w:r w:rsidRPr="0043655B">
        <w:rPr>
          <w:rStyle w:val="TextoNormalCaracter"/>
        </w:rPr>
        <w:t>-</w:t>
      </w:r>
      <w:r>
        <w:t xml:space="preserve"> Sentencias </w:t>
      </w:r>
      <w:hyperlink w:anchor="SENTENCIA_2012_19" w:history="1">
        <w:r w:rsidRPr="0043655B">
          <w:rPr>
            <w:rStyle w:val="TextoNormalCaracter"/>
          </w:rPr>
          <w:t>19/2012</w:t>
        </w:r>
      </w:hyperlink>
      <w:r>
        <w:t xml:space="preserve">, ff. 3, 11; </w:t>
      </w:r>
      <w:hyperlink w:anchor="SENTENCIA_2012_32" w:history="1">
        <w:r w:rsidRPr="0043655B">
          <w:rPr>
            <w:rStyle w:val="TextoNormalCaracter"/>
          </w:rPr>
          <w:t>32/2012</w:t>
        </w:r>
      </w:hyperlink>
      <w:r>
        <w:t xml:space="preserve">, ff. 1, 3, 4, 6, 7; </w:t>
      </w:r>
      <w:hyperlink w:anchor="SENTENCIA_2012_35" w:history="1">
        <w:r w:rsidRPr="0043655B">
          <w:rPr>
            <w:rStyle w:val="TextoNormalCaracter"/>
          </w:rPr>
          <w:t>35/2012</w:t>
        </w:r>
      </w:hyperlink>
      <w:r>
        <w:t xml:space="preserve">, ff. 3, 4, 6, 7; </w:t>
      </w:r>
      <w:hyperlink w:anchor="SENTENCIA_2012_100" w:history="1">
        <w:r w:rsidRPr="0043655B">
          <w:rPr>
            <w:rStyle w:val="TextoNormalCaracter"/>
          </w:rPr>
          <w:t>100/2012</w:t>
        </w:r>
      </w:hyperlink>
      <w:r>
        <w:t xml:space="preserve">, f. 7; </w:t>
      </w:r>
      <w:hyperlink w:anchor="SENTENCIA_2012_120" w:history="1">
        <w:r w:rsidRPr="0043655B">
          <w:rPr>
            <w:rStyle w:val="TextoNormalCaracter"/>
          </w:rPr>
          <w:t>120/2012</w:t>
        </w:r>
      </w:hyperlink>
      <w:r>
        <w:t xml:space="preserve">, ff. 1, 4 a 6; </w:t>
      </w:r>
      <w:hyperlink w:anchor="SENTENCIA_2012_122" w:history="1">
        <w:r w:rsidRPr="0043655B">
          <w:rPr>
            <w:rStyle w:val="TextoNormalCaracter"/>
          </w:rPr>
          <w:t>122/2012</w:t>
        </w:r>
      </w:hyperlink>
      <w:r>
        <w:t xml:space="preserve">, f. 1; </w:t>
      </w:r>
      <w:hyperlink w:anchor="SENTENCIA_2012_123" w:history="1">
        <w:r w:rsidRPr="0043655B">
          <w:rPr>
            <w:rStyle w:val="TextoNormalCaracter"/>
          </w:rPr>
          <w:t>123/2012</w:t>
        </w:r>
      </w:hyperlink>
      <w:r>
        <w:t xml:space="preserve">, ff. 1, 4, 6, 7; </w:t>
      </w:r>
      <w:hyperlink w:anchor="SENTENCIA_2012_133" w:history="1">
        <w:r w:rsidRPr="0043655B">
          <w:rPr>
            <w:rStyle w:val="TextoNormalCaracter"/>
          </w:rPr>
          <w:t>133/2012</w:t>
        </w:r>
      </w:hyperlink>
      <w:r>
        <w:t xml:space="preserve">, ff. 1, 3, 4; </w:t>
      </w:r>
      <w:hyperlink w:anchor="SENTENCIA_2012_134" w:history="1">
        <w:r w:rsidRPr="0043655B">
          <w:rPr>
            <w:rStyle w:val="TextoNormalCaracter"/>
          </w:rPr>
          <w:t>134/2012</w:t>
        </w:r>
      </w:hyperlink>
      <w:r>
        <w:t xml:space="preserve">, f. 4; </w:t>
      </w:r>
      <w:hyperlink w:anchor="SENTENCIA_2012_136" w:history="1">
        <w:r w:rsidRPr="0043655B">
          <w:rPr>
            <w:rStyle w:val="TextoNormalCaracter"/>
          </w:rPr>
          <w:t>136/2012</w:t>
        </w:r>
      </w:hyperlink>
      <w:r>
        <w:t>, f. 1.</w:t>
      </w:r>
    </w:p>
    <w:p w:rsidR="0043655B" w:rsidRDefault="0043655B" w:rsidP="0043655B">
      <w:pPr>
        <w:pStyle w:val="SangriaFrancesaArticulo"/>
      </w:pPr>
      <w:r w:rsidRPr="0043655B">
        <w:rPr>
          <w:rStyle w:val="TextoNormalNegritaCaracter"/>
        </w:rPr>
        <w:t>Artículo 149.1.15.</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149.1.16.</w:t>
      </w:r>
      <w:r w:rsidRPr="0043655B">
        <w:rPr>
          <w:rStyle w:val="TextoNormalCaracter"/>
        </w:rPr>
        <w:t>-</w:t>
      </w:r>
      <w:r>
        <w:t xml:space="preserve"> Sentencias </w:t>
      </w:r>
      <w:hyperlink w:anchor="SENTENCIA_2012_8" w:history="1">
        <w:r w:rsidRPr="0043655B">
          <w:rPr>
            <w:rStyle w:val="TextoNormalCaracter"/>
          </w:rPr>
          <w:t>8/2012</w:t>
        </w:r>
      </w:hyperlink>
      <w:r>
        <w:t xml:space="preserve">, ff. 3, 6, 8, 9; </w:t>
      </w:r>
      <w:hyperlink w:anchor="SENTENCIA_2012_22" w:history="1">
        <w:r w:rsidRPr="0043655B">
          <w:rPr>
            <w:rStyle w:val="TextoNormalCaracter"/>
          </w:rPr>
          <w:t>22/2012</w:t>
        </w:r>
      </w:hyperlink>
      <w:r>
        <w:t xml:space="preserve">, ff. 3, 6; </w:t>
      </w:r>
      <w:hyperlink w:anchor="SENTENCIA_2012_26" w:history="1">
        <w:r w:rsidRPr="0043655B">
          <w:rPr>
            <w:rStyle w:val="TextoNormalCaracter"/>
          </w:rPr>
          <w:t>26/2012</w:t>
        </w:r>
      </w:hyperlink>
      <w:r>
        <w:t xml:space="preserve">, ff. 3, 10, 12; </w:t>
      </w:r>
      <w:hyperlink w:anchor="SENTENCIA_2012_111" w:history="1">
        <w:r w:rsidRPr="0043655B">
          <w:rPr>
            <w:rStyle w:val="TextoNormalCaracter"/>
          </w:rPr>
          <w:t>111/2012</w:t>
        </w:r>
      </w:hyperlink>
      <w:r>
        <w:t xml:space="preserve">, ff. 7, 8; </w:t>
      </w:r>
      <w:hyperlink w:anchor="SENTENCIA_2012_136" w:history="1">
        <w:r w:rsidRPr="0043655B">
          <w:rPr>
            <w:rStyle w:val="TextoNormalCaracter"/>
          </w:rPr>
          <w:t>136/2012</w:t>
        </w:r>
      </w:hyperlink>
      <w:r>
        <w:t>, ff. 1, 3 a 5, 8.</w:t>
      </w:r>
    </w:p>
    <w:p w:rsidR="0043655B" w:rsidRDefault="0043655B" w:rsidP="0043655B">
      <w:pPr>
        <w:pStyle w:val="SangriaFrancesaArticulo"/>
      </w:pPr>
      <w:r w:rsidRPr="0043655B">
        <w:rPr>
          <w:rStyle w:val="TextoNormalNegritaCaracter"/>
        </w:rPr>
        <w:t>Artículo 149.1.17.</w:t>
      </w:r>
      <w:r w:rsidRPr="0043655B">
        <w:rPr>
          <w:rStyle w:val="TextoNormalCaracter"/>
        </w:rPr>
        <w:t>-</w:t>
      </w:r>
      <w:r>
        <w:t xml:space="preserve"> Sentencia </w:t>
      </w:r>
      <w:hyperlink w:anchor="SENTENCIA_2012_136" w:history="1">
        <w:r w:rsidRPr="0043655B">
          <w:rPr>
            <w:rStyle w:val="TextoNormalCaracter"/>
          </w:rPr>
          <w:t>136/2012</w:t>
        </w:r>
      </w:hyperlink>
      <w:r>
        <w:t>, ff. 1, 3.</w:t>
      </w:r>
    </w:p>
    <w:p w:rsidR="0043655B" w:rsidRDefault="0043655B" w:rsidP="0043655B">
      <w:pPr>
        <w:pStyle w:val="SangriaIzquierdaArticulo"/>
      </w:pPr>
      <w:r>
        <w:t xml:space="preserve">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Artículo 149.1.18.</w:t>
      </w:r>
      <w:r w:rsidRPr="0043655B">
        <w:rPr>
          <w:rStyle w:val="TextoNormalCaracter"/>
        </w:rPr>
        <w:t>-</w:t>
      </w:r>
      <w:r>
        <w:t xml:space="preserve"> Sentencias </w:t>
      </w:r>
      <w:hyperlink w:anchor="SENTENCIA_2012_2" w:history="1">
        <w:r w:rsidRPr="0043655B">
          <w:rPr>
            <w:rStyle w:val="TextoNormalCaracter"/>
          </w:rPr>
          <w:t>2/2012</w:t>
        </w:r>
      </w:hyperlink>
      <w:r>
        <w:t xml:space="preserve">, ff. 2 a 4; </w:t>
      </w:r>
      <w:hyperlink w:anchor="SENTENCIA_2012_3" w:history="1">
        <w:r w:rsidRPr="0043655B">
          <w:rPr>
            <w:rStyle w:val="TextoNormalCaracter"/>
          </w:rPr>
          <w:t>3/2012</w:t>
        </w:r>
      </w:hyperlink>
      <w:r>
        <w:t xml:space="preserve">, ff. 1, 2, 4, 5; </w:t>
      </w:r>
      <w:hyperlink w:anchor="SENTENCIA_2012_4" w:history="1">
        <w:r w:rsidRPr="0043655B">
          <w:rPr>
            <w:rStyle w:val="TextoNormalCaracter"/>
          </w:rPr>
          <w:t>4/2012</w:t>
        </w:r>
      </w:hyperlink>
      <w:r>
        <w:t xml:space="preserve">, ff. 2, 5, 6; </w:t>
      </w:r>
      <w:hyperlink w:anchor="SENTENCIA_2012_26" w:history="1">
        <w:r w:rsidRPr="0043655B">
          <w:rPr>
            <w:rStyle w:val="TextoNormalCaracter"/>
          </w:rPr>
          <w:t>26/2012</w:t>
        </w:r>
      </w:hyperlink>
      <w:r>
        <w:t xml:space="preserve">, ff. 1, 13; </w:t>
      </w:r>
      <w:hyperlink w:anchor="SENTENCIA_2012_81" w:history="1">
        <w:r w:rsidRPr="0043655B">
          <w:rPr>
            <w:rStyle w:val="TextoNormalCaracter"/>
          </w:rPr>
          <w:t>81/2012</w:t>
        </w:r>
      </w:hyperlink>
      <w:r>
        <w:t xml:space="preserve">, ff. 2 a 4, VP; </w:t>
      </w:r>
      <w:hyperlink w:anchor="SENTENCIA_2012_111" w:history="1">
        <w:r w:rsidRPr="0043655B">
          <w:rPr>
            <w:rStyle w:val="TextoNormalCaracter"/>
          </w:rPr>
          <w:t>111/2012</w:t>
        </w:r>
      </w:hyperlink>
      <w:r>
        <w:t xml:space="preserve">, f. 7; </w:t>
      </w:r>
      <w:hyperlink w:anchor="SENTENCIA_2012_120" w:history="1">
        <w:r w:rsidRPr="0043655B">
          <w:rPr>
            <w:rStyle w:val="TextoNormalCaracter"/>
          </w:rPr>
          <w:t>120/2012</w:t>
        </w:r>
      </w:hyperlink>
      <w:r>
        <w:t xml:space="preserve">, ff. 1, 4 a 6; </w:t>
      </w:r>
      <w:hyperlink w:anchor="SENTENCIA_2012_132" w:history="1">
        <w:r w:rsidRPr="0043655B">
          <w:rPr>
            <w:rStyle w:val="TextoNormalCaracter"/>
          </w:rPr>
          <w:t>132/2012</w:t>
        </w:r>
      </w:hyperlink>
      <w:r>
        <w:t>, ff. 1, 7, VP.</w:t>
      </w:r>
    </w:p>
    <w:p w:rsidR="0043655B" w:rsidRDefault="0043655B" w:rsidP="0043655B">
      <w:pPr>
        <w:pStyle w:val="SangriaIzquierdaArticulo"/>
      </w:pPr>
      <w:r>
        <w:t xml:space="preserve">Autos </w:t>
      </w:r>
      <w:hyperlink w:anchor="AUTO_2012_4" w:history="1">
        <w:r w:rsidRPr="0043655B">
          <w:rPr>
            <w:rStyle w:val="TextoNormalCaracter"/>
          </w:rPr>
          <w:t>4/2012</w:t>
        </w:r>
      </w:hyperlink>
      <w:r>
        <w:t xml:space="preserve">; </w:t>
      </w:r>
      <w:hyperlink w:anchor="AUTO_2012_5" w:history="1">
        <w:r w:rsidRPr="0043655B">
          <w:rPr>
            <w:rStyle w:val="TextoNormalCaracter"/>
          </w:rPr>
          <w:t>5/2012</w:t>
        </w:r>
      </w:hyperlink>
      <w:r>
        <w:t xml:space="preserve">; </w:t>
      </w:r>
      <w:hyperlink w:anchor="AUTO_2012_6" w:history="1">
        <w:r w:rsidRPr="0043655B">
          <w:rPr>
            <w:rStyle w:val="TextoNormalCaracter"/>
          </w:rPr>
          <w:t>6/2012</w:t>
        </w:r>
      </w:hyperlink>
      <w:r>
        <w:t xml:space="preserve">;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149.1.20.</w:t>
      </w:r>
      <w:r w:rsidRPr="0043655B">
        <w:rPr>
          <w:rStyle w:val="TextoNormalCaracter"/>
        </w:rPr>
        <w:t>-</w:t>
      </w:r>
      <w:r>
        <w:t xml:space="preserve"> Sentencia </w:t>
      </w:r>
      <w:hyperlink w:anchor="SENTENCIA_2012_8" w:history="1">
        <w:r w:rsidRPr="0043655B">
          <w:rPr>
            <w:rStyle w:val="TextoNormalCaracter"/>
          </w:rPr>
          <w:t>8/2012</w:t>
        </w:r>
      </w:hyperlink>
      <w:r>
        <w:t>, ff. 1, 3, 5.</w:t>
      </w:r>
    </w:p>
    <w:p w:rsidR="0043655B" w:rsidRDefault="0043655B" w:rsidP="0043655B">
      <w:pPr>
        <w:pStyle w:val="SangriaFrancesaArticulo"/>
      </w:pPr>
      <w:r w:rsidRPr="0043655B">
        <w:rPr>
          <w:rStyle w:val="TextoNormalNegritaCaracter"/>
        </w:rPr>
        <w:t>Artículo 149.1.21.</w:t>
      </w:r>
      <w:r w:rsidRPr="0043655B">
        <w:rPr>
          <w:rStyle w:val="TextoNormalCaracter"/>
        </w:rPr>
        <w:t>-</w:t>
      </w:r>
      <w:r>
        <w:t xml:space="preserve"> Sentencias </w:t>
      </w:r>
      <w:hyperlink w:anchor="SENTENCIA_2012_5" w:history="1">
        <w:r w:rsidRPr="0043655B">
          <w:rPr>
            <w:rStyle w:val="TextoNormalCaracter"/>
          </w:rPr>
          <w:t>5/2012</w:t>
        </w:r>
      </w:hyperlink>
      <w:r>
        <w:t xml:space="preserve">, ff. 1, 5; </w:t>
      </w:r>
      <w:hyperlink w:anchor="SENTENCIA_2012_8" w:history="1">
        <w:r w:rsidRPr="0043655B">
          <w:rPr>
            <w:rStyle w:val="TextoNormalCaracter"/>
          </w:rPr>
          <w:t>8/2012</w:t>
        </w:r>
      </w:hyperlink>
      <w:r>
        <w:t>, ff. 1, 3 a 6, 8, 9, 11.</w:t>
      </w:r>
    </w:p>
    <w:p w:rsidR="0043655B" w:rsidRDefault="0043655B" w:rsidP="0043655B">
      <w:pPr>
        <w:pStyle w:val="SangriaFrancesaArticulo"/>
      </w:pPr>
      <w:r w:rsidRPr="0043655B">
        <w:rPr>
          <w:rStyle w:val="TextoNormalNegritaCaracter"/>
        </w:rPr>
        <w:t>Artículo 149.1.22.</w:t>
      </w:r>
      <w:r w:rsidRPr="0043655B">
        <w:rPr>
          <w:rStyle w:val="TextoNormalCaracter"/>
        </w:rPr>
        <w:t>-</w:t>
      </w:r>
      <w:r>
        <w:t xml:space="preserve"> Sentencia </w:t>
      </w:r>
      <w:hyperlink w:anchor="SENTENCIA_2012_102" w:history="1">
        <w:r w:rsidRPr="0043655B">
          <w:rPr>
            <w:rStyle w:val="TextoNormalCaracter"/>
          </w:rPr>
          <w:t>102/2012</w:t>
        </w:r>
      </w:hyperlink>
      <w:r>
        <w:t>, f. 5.</w:t>
      </w:r>
    </w:p>
    <w:p w:rsidR="0043655B" w:rsidRDefault="0043655B" w:rsidP="0043655B">
      <w:pPr>
        <w:pStyle w:val="SangriaIzquierdaArticulo"/>
      </w:pPr>
      <w:r>
        <w:t xml:space="preserve">Autos </w:t>
      </w:r>
      <w:hyperlink w:anchor="AUTO_2012_85" w:history="1">
        <w:r w:rsidRPr="0043655B">
          <w:rPr>
            <w:rStyle w:val="TextoNormalCaracter"/>
          </w:rPr>
          <w:t>85/2012</w:t>
        </w:r>
      </w:hyperlink>
      <w:r>
        <w:t xml:space="preserve">;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149.1.23.</w:t>
      </w:r>
      <w:r w:rsidRPr="0043655B">
        <w:rPr>
          <w:rStyle w:val="TextoNormalCaracter"/>
        </w:rPr>
        <w:t>-</w:t>
      </w:r>
      <w:r>
        <w:t xml:space="preserve"> Sentencias </w:t>
      </w:r>
      <w:hyperlink w:anchor="SENTENCIA_2012_1" w:history="1">
        <w:r w:rsidRPr="0043655B">
          <w:rPr>
            <w:rStyle w:val="TextoNormalCaracter"/>
          </w:rPr>
          <w:t>1/2012</w:t>
        </w:r>
      </w:hyperlink>
      <w:r>
        <w:t xml:space="preserve">, ff. 2, 12; </w:t>
      </w:r>
      <w:hyperlink w:anchor="SENTENCIA_2012_7" w:history="1">
        <w:r w:rsidRPr="0043655B">
          <w:rPr>
            <w:rStyle w:val="TextoNormalCaracter"/>
          </w:rPr>
          <w:t>7/2012</w:t>
        </w:r>
      </w:hyperlink>
      <w:r>
        <w:t xml:space="preserve">, ff. 1, 5, 6; </w:t>
      </w:r>
      <w:hyperlink w:anchor="SENTENCIA_2012_8" w:history="1">
        <w:r w:rsidRPr="0043655B">
          <w:rPr>
            <w:rStyle w:val="TextoNormalCaracter"/>
          </w:rPr>
          <w:t>8/2012</w:t>
        </w:r>
      </w:hyperlink>
      <w:r>
        <w:t xml:space="preserve">, ff. 6, 8, 9; </w:t>
      </w:r>
      <w:hyperlink w:anchor="SENTENCIA_2012_34" w:history="1">
        <w:r w:rsidRPr="0043655B">
          <w:rPr>
            <w:rStyle w:val="TextoNormalCaracter"/>
          </w:rPr>
          <w:t>34/2012</w:t>
        </w:r>
      </w:hyperlink>
      <w:r>
        <w:t xml:space="preserve">, ff. 1, 2, 4, 6; </w:t>
      </w:r>
      <w:hyperlink w:anchor="SENTENCIA_2012_38" w:history="1">
        <w:r w:rsidRPr="0043655B">
          <w:rPr>
            <w:rStyle w:val="TextoNormalCaracter"/>
          </w:rPr>
          <w:t>38/2012</w:t>
        </w:r>
      </w:hyperlink>
      <w:r>
        <w:t xml:space="preserve">, f. 3; </w:t>
      </w:r>
      <w:hyperlink w:anchor="SENTENCIA_2012_82" w:history="1">
        <w:r w:rsidRPr="0043655B">
          <w:rPr>
            <w:rStyle w:val="TextoNormalCaracter"/>
          </w:rPr>
          <w:t>82/2012</w:t>
        </w:r>
      </w:hyperlink>
      <w:r>
        <w:t xml:space="preserve">, f. 6, VP II; </w:t>
      </w:r>
      <w:hyperlink w:anchor="SENTENCIA_2012_87" w:history="1">
        <w:r w:rsidRPr="0043655B">
          <w:rPr>
            <w:rStyle w:val="TextoNormalCaracter"/>
          </w:rPr>
          <w:t>87/2012</w:t>
        </w:r>
      </w:hyperlink>
      <w:r>
        <w:t xml:space="preserve">, ff. 4, 5; </w:t>
      </w:r>
      <w:hyperlink w:anchor="SENTENCIA_2012_137" w:history="1">
        <w:r w:rsidRPr="0043655B">
          <w:rPr>
            <w:rStyle w:val="TextoNormalCaracter"/>
          </w:rPr>
          <w:t>137/2012</w:t>
        </w:r>
      </w:hyperlink>
      <w:r>
        <w:t>, ff. 1, 2.</w:t>
      </w:r>
    </w:p>
    <w:p w:rsidR="0043655B" w:rsidRDefault="0043655B" w:rsidP="0043655B">
      <w:pPr>
        <w:pStyle w:val="SangriaIzquierdaArticulo"/>
      </w:pPr>
      <w:r>
        <w:t xml:space="preserve">Autos </w:t>
      </w:r>
      <w:hyperlink w:anchor="AUTO_2012_85" w:history="1">
        <w:r w:rsidRPr="0043655B">
          <w:rPr>
            <w:rStyle w:val="TextoNormalCaracter"/>
          </w:rPr>
          <w:t>85/2012</w:t>
        </w:r>
      </w:hyperlink>
      <w:r>
        <w:t xml:space="preserve">;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149.1.24.</w:t>
      </w:r>
      <w:r w:rsidRPr="0043655B">
        <w:rPr>
          <w:rStyle w:val="TextoNormalCaracter"/>
        </w:rPr>
        <w:t>-</w:t>
      </w:r>
      <w:r>
        <w:t xml:space="preserve"> Sentencias </w:t>
      </w:r>
      <w:hyperlink w:anchor="SENTENCIA_2012_112" w:history="1">
        <w:r w:rsidRPr="0043655B">
          <w:rPr>
            <w:rStyle w:val="TextoNormalCaracter"/>
          </w:rPr>
          <w:t>112/2012</w:t>
        </w:r>
      </w:hyperlink>
      <w:r>
        <w:t xml:space="preserve">, f. 2; </w:t>
      </w:r>
      <w:hyperlink w:anchor="SENTENCIA_2012_124" w:history="1">
        <w:r w:rsidRPr="0043655B">
          <w:rPr>
            <w:rStyle w:val="TextoNormalCaracter"/>
          </w:rPr>
          <w:t>124/2012</w:t>
        </w:r>
      </w:hyperlink>
      <w:r>
        <w:t>, ff. 2, 3.</w:t>
      </w:r>
    </w:p>
    <w:p w:rsidR="0043655B" w:rsidRDefault="0043655B" w:rsidP="0043655B">
      <w:pPr>
        <w:pStyle w:val="SangriaIzquierdaArticulo"/>
      </w:pPr>
      <w:r>
        <w:t xml:space="preserve">Autos </w:t>
      </w:r>
      <w:hyperlink w:anchor="AUTO_2012_85" w:history="1">
        <w:r w:rsidRPr="0043655B">
          <w:rPr>
            <w:rStyle w:val="TextoNormalCaracter"/>
          </w:rPr>
          <w:t>85/2012</w:t>
        </w:r>
      </w:hyperlink>
      <w:r>
        <w:t xml:space="preserve">;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149.1.25.</w:t>
      </w:r>
      <w:r w:rsidRPr="0043655B">
        <w:rPr>
          <w:rStyle w:val="TextoNormalCaracter"/>
        </w:rPr>
        <w:t>-</w:t>
      </w:r>
      <w:r>
        <w:t xml:space="preserve"> Sentencia </w:t>
      </w:r>
      <w:hyperlink w:anchor="SENTENCIA_2012_135" w:history="1">
        <w:r w:rsidRPr="0043655B">
          <w:rPr>
            <w:rStyle w:val="TextoNormalCaracter"/>
          </w:rPr>
          <w:t>135/2012</w:t>
        </w:r>
      </w:hyperlink>
      <w:r>
        <w:t>, ff. 1, 2, 4.</w:t>
      </w:r>
    </w:p>
    <w:p w:rsidR="0043655B" w:rsidRDefault="0043655B" w:rsidP="0043655B">
      <w:pPr>
        <w:pStyle w:val="SangriaFrancesaArticulo"/>
      </w:pPr>
      <w:r w:rsidRPr="0043655B">
        <w:rPr>
          <w:rStyle w:val="TextoNormalNegritaCaracter"/>
        </w:rPr>
        <w:t>Artículo 149.1.27.</w:t>
      </w:r>
      <w:r w:rsidRPr="0043655B">
        <w:rPr>
          <w:rStyle w:val="TextoNormalCaracter"/>
        </w:rPr>
        <w:t>-</w:t>
      </w:r>
      <w:r>
        <w:t xml:space="preserve"> Sentencias </w:t>
      </w:r>
      <w:hyperlink w:anchor="SENTENCIA_2012_5" w:history="1">
        <w:r w:rsidRPr="0043655B">
          <w:rPr>
            <w:rStyle w:val="TextoNormalCaracter"/>
          </w:rPr>
          <w:t>5/2012</w:t>
        </w:r>
      </w:hyperlink>
      <w:r>
        <w:t xml:space="preserve">, ff. 1, 3 a 6; </w:t>
      </w:r>
      <w:hyperlink w:anchor="SENTENCIA_2012_8" w:history="1">
        <w:r w:rsidRPr="0043655B">
          <w:rPr>
            <w:rStyle w:val="TextoNormalCaracter"/>
          </w:rPr>
          <w:t>8/2012</w:t>
        </w:r>
      </w:hyperlink>
      <w:r>
        <w:t xml:space="preserve">, ff. 3, 4; </w:t>
      </w:r>
      <w:hyperlink w:anchor="SENTENCIA_2012_89" w:history="1">
        <w:r w:rsidRPr="0043655B">
          <w:rPr>
            <w:rStyle w:val="TextoNormalCaracter"/>
          </w:rPr>
          <w:t>89/2012</w:t>
        </w:r>
      </w:hyperlink>
      <w:r>
        <w:t>, f. 3.</w:t>
      </w:r>
    </w:p>
    <w:p w:rsidR="0043655B" w:rsidRDefault="0043655B" w:rsidP="0043655B">
      <w:pPr>
        <w:pStyle w:val="SangriaFrancesaArticulo"/>
      </w:pPr>
      <w:r w:rsidRPr="0043655B">
        <w:rPr>
          <w:rStyle w:val="TextoNormalNegritaCaracter"/>
        </w:rPr>
        <w:t>Artículo 149.1.28.</w:t>
      </w:r>
      <w:r w:rsidRPr="0043655B">
        <w:rPr>
          <w:rStyle w:val="TextoNormalCaracter"/>
        </w:rPr>
        <w:t>-</w:t>
      </w:r>
      <w:r>
        <w:t xml:space="preserve"> Sentencias </w:t>
      </w:r>
      <w:hyperlink w:anchor="SENTENCIA_2012_6" w:history="1">
        <w:r w:rsidRPr="0043655B">
          <w:rPr>
            <w:rStyle w:val="TextoNormalCaracter"/>
          </w:rPr>
          <w:t>6/2012</w:t>
        </w:r>
      </w:hyperlink>
      <w:r>
        <w:t xml:space="preserve">, ff. 5, 7; </w:t>
      </w:r>
      <w:hyperlink w:anchor="SENTENCIA_2012_89" w:history="1">
        <w:r w:rsidRPr="0043655B">
          <w:rPr>
            <w:rStyle w:val="TextoNormalCaracter"/>
          </w:rPr>
          <w:t>89/2012</w:t>
        </w:r>
      </w:hyperlink>
      <w:r>
        <w:t>, f. 3.</w:t>
      </w:r>
    </w:p>
    <w:p w:rsidR="0043655B" w:rsidRDefault="0043655B" w:rsidP="0043655B">
      <w:pPr>
        <w:pStyle w:val="SangriaFrancesaArticulo"/>
      </w:pPr>
      <w:r w:rsidRPr="0043655B">
        <w:rPr>
          <w:rStyle w:val="TextoNormalNegritaCaracter"/>
        </w:rPr>
        <w:t>Artículo 149.1.29.</w:t>
      </w:r>
      <w:r w:rsidRPr="0043655B">
        <w:rPr>
          <w:rStyle w:val="TextoNormalCaracter"/>
        </w:rPr>
        <w:t>-</w:t>
      </w:r>
      <w:r>
        <w:t xml:space="preserve"> Sentencias </w:t>
      </w:r>
      <w:hyperlink w:anchor="SENTENCIA_2012_2" w:history="1">
        <w:r w:rsidRPr="0043655B">
          <w:rPr>
            <w:rStyle w:val="TextoNormalCaracter"/>
          </w:rPr>
          <w:t>2/2012</w:t>
        </w:r>
      </w:hyperlink>
      <w:r>
        <w:t xml:space="preserve">, f. 3;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f. 5.</w:t>
      </w:r>
    </w:p>
    <w:p w:rsidR="0043655B" w:rsidRDefault="0043655B" w:rsidP="0043655B">
      <w:pPr>
        <w:pStyle w:val="SangriaFrancesaArticulo"/>
      </w:pPr>
      <w:r w:rsidRPr="0043655B">
        <w:rPr>
          <w:rStyle w:val="TextoNormalNegritaCaracter"/>
        </w:rPr>
        <w:t>Artículo 149.1.30.</w:t>
      </w:r>
      <w:r w:rsidRPr="0043655B">
        <w:rPr>
          <w:rStyle w:val="TextoNormalCaracter"/>
        </w:rPr>
        <w:t>-</w:t>
      </w:r>
      <w:r>
        <w:t xml:space="preserve"> Sentencias </w:t>
      </w:r>
      <w:hyperlink w:anchor="SENTENCIA_2012_2" w:history="1">
        <w:r w:rsidRPr="0043655B">
          <w:rPr>
            <w:rStyle w:val="TextoNormalCaracter"/>
          </w:rPr>
          <w:t>2/2012</w:t>
        </w:r>
      </w:hyperlink>
      <w:r>
        <w:t xml:space="preserve">, ff. 2, 4; </w:t>
      </w:r>
      <w:hyperlink w:anchor="SENTENCIA_2012_3" w:history="1">
        <w:r w:rsidRPr="0043655B">
          <w:rPr>
            <w:rStyle w:val="TextoNormalCaracter"/>
          </w:rPr>
          <w:t>3/2012</w:t>
        </w:r>
      </w:hyperlink>
      <w:r>
        <w:t xml:space="preserve">, ff. 1, 2, 5; </w:t>
      </w:r>
      <w:hyperlink w:anchor="SENTENCIA_2012_4" w:history="1">
        <w:r w:rsidRPr="0043655B">
          <w:rPr>
            <w:rStyle w:val="TextoNormalCaracter"/>
          </w:rPr>
          <w:t>4/2012</w:t>
        </w:r>
      </w:hyperlink>
      <w:r>
        <w:t xml:space="preserve">, ff. 2, 6; </w:t>
      </w:r>
      <w:hyperlink w:anchor="SENTENCIA_2012_33" w:history="1">
        <w:r w:rsidRPr="0043655B">
          <w:rPr>
            <w:rStyle w:val="TextoNormalCaracter"/>
          </w:rPr>
          <w:t>33/2012</w:t>
        </w:r>
      </w:hyperlink>
      <w:r>
        <w:t xml:space="preserve">, ff. 3, 7; </w:t>
      </w:r>
      <w:hyperlink w:anchor="SENTENCIA_2012_111" w:history="1">
        <w:r w:rsidRPr="0043655B">
          <w:rPr>
            <w:rStyle w:val="TextoNormalCaracter"/>
          </w:rPr>
          <w:t>111/2012</w:t>
        </w:r>
      </w:hyperlink>
      <w:r>
        <w:t>, ff. 1, 4, 5, 8 a 12.</w:t>
      </w:r>
    </w:p>
    <w:p w:rsidR="0043655B" w:rsidRDefault="0043655B" w:rsidP="0043655B">
      <w:pPr>
        <w:pStyle w:val="SangriaIzquierdaArticulo"/>
      </w:pPr>
      <w:r>
        <w:t xml:space="preserve">Auto </w:t>
      </w:r>
      <w:hyperlink w:anchor="AUTO_2012_6" w:history="1">
        <w:r w:rsidRPr="0043655B">
          <w:rPr>
            <w:rStyle w:val="TextoNormalCaracter"/>
          </w:rPr>
          <w:t>6/2012</w:t>
        </w:r>
      </w:hyperlink>
      <w:r>
        <w:t>.</w:t>
      </w:r>
    </w:p>
    <w:p w:rsidR="0043655B" w:rsidRDefault="0043655B" w:rsidP="0043655B">
      <w:pPr>
        <w:pStyle w:val="SangriaFrancesaArticulo"/>
      </w:pPr>
      <w:r w:rsidRPr="0043655B">
        <w:rPr>
          <w:rStyle w:val="TextoNormalNegritaCaracter"/>
        </w:rPr>
        <w:t>Artículo 149.2.</w:t>
      </w:r>
      <w:r w:rsidRPr="0043655B">
        <w:rPr>
          <w:rStyle w:val="TextoNormalCaracter"/>
        </w:rPr>
        <w:t>-</w:t>
      </w:r>
      <w:r>
        <w:t xml:space="preserve"> Sentencias </w:t>
      </w:r>
      <w:hyperlink w:anchor="SENTENCIA_2012_80" w:history="1">
        <w:r w:rsidRPr="0043655B">
          <w:rPr>
            <w:rStyle w:val="TextoNormalCaracter"/>
          </w:rPr>
          <w:t>80/2012</w:t>
        </w:r>
      </w:hyperlink>
      <w:r>
        <w:t xml:space="preserve">, ff. 1 a 3, 5, VP I; </w:t>
      </w:r>
      <w:hyperlink w:anchor="SENTENCIA_2012_89" w:history="1">
        <w:r w:rsidRPr="0043655B">
          <w:rPr>
            <w:rStyle w:val="TextoNormalCaracter"/>
          </w:rPr>
          <w:t>89/2012</w:t>
        </w:r>
      </w:hyperlink>
      <w:r>
        <w:t xml:space="preserve">, ff. 1, 3, 5, 6, 8; </w:t>
      </w:r>
      <w:hyperlink w:anchor="SENTENCIA_2012_110" w:history="1">
        <w:r w:rsidRPr="0043655B">
          <w:rPr>
            <w:rStyle w:val="TextoNormalCaracter"/>
          </w:rPr>
          <w:t>110/2012</w:t>
        </w:r>
      </w:hyperlink>
      <w:r>
        <w:t>, ff. 1, 3.</w:t>
      </w:r>
    </w:p>
    <w:p w:rsidR="0043655B" w:rsidRDefault="0043655B" w:rsidP="0043655B">
      <w:pPr>
        <w:pStyle w:val="SangriaFrancesaArticulo"/>
      </w:pPr>
      <w:r w:rsidRPr="0043655B">
        <w:rPr>
          <w:rStyle w:val="TextoNormalNegritaCaracter"/>
        </w:rPr>
        <w:t>Artículo 149.3.</w:t>
      </w:r>
      <w:r w:rsidRPr="0043655B">
        <w:rPr>
          <w:rStyle w:val="TextoNormalCaracter"/>
        </w:rPr>
        <w:t>-</w:t>
      </w:r>
      <w:r>
        <w:t xml:space="preserve"> Sentencias </w:t>
      </w:r>
      <w:hyperlink w:anchor="SENTENCIA_2012_19" w:history="1">
        <w:r w:rsidRPr="0043655B">
          <w:rPr>
            <w:rStyle w:val="TextoNormalCaracter"/>
          </w:rPr>
          <w:t>19/2012</w:t>
        </w:r>
      </w:hyperlink>
      <w:r>
        <w:t xml:space="preserve">, ff. 1, 11; </w:t>
      </w:r>
      <w:hyperlink w:anchor="SENTENCIA_2012_32" w:history="1">
        <w:r w:rsidRPr="0043655B">
          <w:rPr>
            <w:rStyle w:val="TextoNormalCaracter"/>
          </w:rPr>
          <w:t>32/2012</w:t>
        </w:r>
      </w:hyperlink>
      <w:r>
        <w:t xml:space="preserve">, f. 3; </w:t>
      </w:r>
      <w:hyperlink w:anchor="SENTENCIA_2012_35" w:history="1">
        <w:r w:rsidRPr="0043655B">
          <w:rPr>
            <w:rStyle w:val="TextoNormalCaracter"/>
          </w:rPr>
          <w:t>35/2012</w:t>
        </w:r>
      </w:hyperlink>
      <w:r>
        <w:t xml:space="preserve">, f. 4; </w:t>
      </w:r>
      <w:hyperlink w:anchor="SENTENCIA_2012_36" w:history="1">
        <w:r w:rsidRPr="0043655B">
          <w:rPr>
            <w:rStyle w:val="TextoNormalCaracter"/>
          </w:rPr>
          <w:t>36/2012</w:t>
        </w:r>
      </w:hyperlink>
      <w:r>
        <w:t xml:space="preserve">, f. 4; </w:t>
      </w:r>
      <w:hyperlink w:anchor="SENTENCIA_2012_82" w:history="1">
        <w:r w:rsidRPr="0043655B">
          <w:rPr>
            <w:rStyle w:val="TextoNormalCaracter"/>
          </w:rPr>
          <w:t>82/2012</w:t>
        </w:r>
      </w:hyperlink>
      <w:r>
        <w:t xml:space="preserve">, f. 4; </w:t>
      </w:r>
      <w:hyperlink w:anchor="SENTENCIA_2012_90" w:history="1">
        <w:r w:rsidRPr="0043655B">
          <w:rPr>
            <w:rStyle w:val="TextoNormalCaracter"/>
          </w:rPr>
          <w:t>90/2012</w:t>
        </w:r>
      </w:hyperlink>
      <w:r>
        <w:t xml:space="preserve">, ff. 3, 6; </w:t>
      </w:r>
      <w:hyperlink w:anchor="SENTENCIA_2012_110" w:history="1">
        <w:r w:rsidRPr="0043655B">
          <w:rPr>
            <w:rStyle w:val="TextoNormalCaracter"/>
          </w:rPr>
          <w:t>110/2012</w:t>
        </w:r>
      </w:hyperlink>
      <w:r>
        <w:t xml:space="preserve">, f. 1; </w:t>
      </w:r>
      <w:hyperlink w:anchor="SENTENCIA_2012_123" w:history="1">
        <w:r w:rsidRPr="0043655B">
          <w:rPr>
            <w:rStyle w:val="TextoNormalCaracter"/>
          </w:rPr>
          <w:t>123/2012</w:t>
        </w:r>
      </w:hyperlink>
      <w:r>
        <w:t xml:space="preserve">, f. 4; </w:t>
      </w:r>
      <w:hyperlink w:anchor="SENTENCIA_2012_133" w:history="1">
        <w:r w:rsidRPr="0043655B">
          <w:rPr>
            <w:rStyle w:val="TextoNormalCaracter"/>
          </w:rPr>
          <w:t>133/2012</w:t>
        </w:r>
      </w:hyperlink>
      <w:r>
        <w:t xml:space="preserve">, f. 3; </w:t>
      </w:r>
      <w:hyperlink w:anchor="SENTENCIA_2012_134" w:history="1">
        <w:r w:rsidRPr="0043655B">
          <w:rPr>
            <w:rStyle w:val="TextoNormalCaracter"/>
          </w:rPr>
          <w:t>134/2012</w:t>
        </w:r>
      </w:hyperlink>
      <w:r>
        <w:t>, ff. 1, 4.</w:t>
      </w:r>
    </w:p>
    <w:p w:rsidR="0043655B" w:rsidRDefault="0043655B" w:rsidP="0043655B">
      <w:pPr>
        <w:pStyle w:val="SangriaFrancesaArticulo"/>
      </w:pPr>
      <w:r w:rsidRPr="0043655B">
        <w:rPr>
          <w:rStyle w:val="TextoNormalNegritaCaracter"/>
        </w:rPr>
        <w:t>Artículo 150.1.</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r w:rsidRPr="0043655B">
        <w:rPr>
          <w:rStyle w:val="TextoNormalNegritaCaracter"/>
        </w:rPr>
        <w:t>Artículo 150.2.</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150.3.</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152.</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153 a).</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156.</w:t>
      </w:r>
      <w:r w:rsidRPr="0043655B">
        <w:rPr>
          <w:rStyle w:val="TextoNormalCaracter"/>
        </w:rPr>
        <w:t>-</w:t>
      </w:r>
      <w:r>
        <w:t xml:space="preserve"> Sentencias </w:t>
      </w:r>
      <w:hyperlink w:anchor="SENTENCIA_2012_32" w:history="1">
        <w:r w:rsidRPr="0043655B">
          <w:rPr>
            <w:rStyle w:val="TextoNormalCaracter"/>
          </w:rPr>
          <w:t>32/2012</w:t>
        </w:r>
      </w:hyperlink>
      <w:r>
        <w:t xml:space="preserve">, f. 7; </w:t>
      </w:r>
      <w:hyperlink w:anchor="SENTENCIA_2012_123" w:history="1">
        <w:r w:rsidRPr="0043655B">
          <w:rPr>
            <w:rStyle w:val="TextoNormalCaracter"/>
          </w:rPr>
          <w:t>123/2012</w:t>
        </w:r>
      </w:hyperlink>
      <w:r>
        <w:t>, ff. 1, 7.</w:t>
      </w:r>
    </w:p>
    <w:p w:rsidR="0043655B" w:rsidRDefault="0043655B" w:rsidP="0043655B">
      <w:pPr>
        <w:pStyle w:val="SangriaFrancesaArticulo"/>
      </w:pPr>
      <w:r w:rsidRPr="0043655B">
        <w:rPr>
          <w:rStyle w:val="TextoNormalNegritaCaracter"/>
        </w:rPr>
        <w:t>Artículo 156.1.</w:t>
      </w:r>
      <w:r w:rsidRPr="0043655B">
        <w:rPr>
          <w:rStyle w:val="TextoNormalCaracter"/>
        </w:rPr>
        <w:t>-</w:t>
      </w:r>
      <w:r>
        <w:t xml:space="preserve"> Sentencias </w:t>
      </w:r>
      <w:hyperlink w:anchor="SENTENCIA_2012_32" w:history="1">
        <w:r w:rsidRPr="0043655B">
          <w:rPr>
            <w:rStyle w:val="TextoNormalCaracter"/>
          </w:rPr>
          <w:t>32/2012</w:t>
        </w:r>
      </w:hyperlink>
      <w:r>
        <w:t xml:space="preserve">, ff. 1, 2, 5, 6; </w:t>
      </w:r>
      <w:hyperlink w:anchor="SENTENCIA_2012_36" w:history="1">
        <w:r w:rsidRPr="0043655B">
          <w:rPr>
            <w:rStyle w:val="TextoNormalCaracter"/>
          </w:rPr>
          <w:t>36/2012</w:t>
        </w:r>
      </w:hyperlink>
      <w:r>
        <w:t xml:space="preserve">, ff. 7, 10; </w:t>
      </w:r>
      <w:hyperlink w:anchor="SENTENCIA_2012_38" w:history="1">
        <w:r w:rsidRPr="0043655B">
          <w:rPr>
            <w:rStyle w:val="TextoNormalCaracter"/>
          </w:rPr>
          <w:t>38/2012</w:t>
        </w:r>
      </w:hyperlink>
      <w:r>
        <w:t xml:space="preserve">, f. 8; </w:t>
      </w:r>
      <w:hyperlink w:anchor="SENTENCIA_2012_73" w:history="1">
        <w:r w:rsidRPr="0043655B">
          <w:rPr>
            <w:rStyle w:val="TextoNormalCaracter"/>
          </w:rPr>
          <w:t>73/2012</w:t>
        </w:r>
      </w:hyperlink>
      <w:r>
        <w:t xml:space="preserve">, f. 4; </w:t>
      </w:r>
      <w:hyperlink w:anchor="SENTENCIA_2012_77" w:history="1">
        <w:r w:rsidRPr="0043655B">
          <w:rPr>
            <w:rStyle w:val="TextoNormalCaracter"/>
          </w:rPr>
          <w:t>77/2012</w:t>
        </w:r>
      </w:hyperlink>
      <w:r>
        <w:t xml:space="preserve">, f. 4; </w:t>
      </w:r>
      <w:hyperlink w:anchor="SENTENCIA_2012_123" w:history="1">
        <w:r w:rsidRPr="0043655B">
          <w:rPr>
            <w:rStyle w:val="TextoNormalCaracter"/>
          </w:rPr>
          <w:t>123/2012</w:t>
        </w:r>
      </w:hyperlink>
      <w:r>
        <w:t xml:space="preserve">, ff. 6, 7; </w:t>
      </w:r>
      <w:hyperlink w:anchor="SENTENCIA_2012_133" w:history="1">
        <w:r w:rsidRPr="0043655B">
          <w:rPr>
            <w:rStyle w:val="TextoNormalCaracter"/>
          </w:rPr>
          <w:t>133/2012</w:t>
        </w:r>
      </w:hyperlink>
      <w:r>
        <w:t>, f. 4.</w:t>
      </w:r>
    </w:p>
    <w:p w:rsidR="0043655B" w:rsidRDefault="0043655B" w:rsidP="0043655B">
      <w:pPr>
        <w:pStyle w:val="SangriaFrancesaArticulo"/>
      </w:pPr>
      <w:r w:rsidRPr="0043655B">
        <w:rPr>
          <w:rStyle w:val="TextoNormalNegritaCaracter"/>
        </w:rPr>
        <w:t>Artículo 156.2.</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157.</w:t>
      </w:r>
      <w:r w:rsidRPr="0043655B">
        <w:rPr>
          <w:rStyle w:val="TextoNormalCaracter"/>
        </w:rPr>
        <w:t>-</w:t>
      </w:r>
      <w:r>
        <w:t xml:space="preserve"> Sentencias </w:t>
      </w:r>
      <w:hyperlink w:anchor="SENTENCIA_2012_19" w:history="1">
        <w:r w:rsidRPr="0043655B">
          <w:rPr>
            <w:rStyle w:val="TextoNormalCaracter"/>
          </w:rPr>
          <w:t>19/2012</w:t>
        </w:r>
      </w:hyperlink>
      <w:r>
        <w:t xml:space="preserve">, f. 11; </w:t>
      </w:r>
      <w:hyperlink w:anchor="SENTENCIA_2012_123" w:history="1">
        <w:r w:rsidRPr="0043655B">
          <w:rPr>
            <w:rStyle w:val="TextoNormalCaracter"/>
          </w:rPr>
          <w:t>123/2012</w:t>
        </w:r>
      </w:hyperlink>
      <w:r>
        <w:t>, ff. 1, 6.</w:t>
      </w:r>
    </w:p>
    <w:p w:rsidR="0043655B" w:rsidRDefault="0043655B" w:rsidP="0043655B">
      <w:pPr>
        <w:pStyle w:val="SangriaFrancesaArticulo"/>
      </w:pPr>
      <w:r w:rsidRPr="0043655B">
        <w:rPr>
          <w:rStyle w:val="TextoNormalNegritaCaracter"/>
        </w:rPr>
        <w:t>Artículo 157.1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157.1 b).</w:t>
      </w:r>
      <w:r w:rsidRPr="0043655B">
        <w:rPr>
          <w:rStyle w:val="TextoNormalCaracter"/>
        </w:rPr>
        <w:t>-</w:t>
      </w:r>
      <w:r>
        <w:t xml:space="preserve"> Sentencia </w:t>
      </w:r>
      <w:hyperlink w:anchor="SENTENCIA_2012_122" w:history="1">
        <w:r w:rsidRPr="0043655B">
          <w:rPr>
            <w:rStyle w:val="TextoNormalCaracter"/>
          </w:rPr>
          <w:t>122/2012</w:t>
        </w:r>
      </w:hyperlink>
      <w:r>
        <w:t>, f. 2.</w:t>
      </w:r>
    </w:p>
    <w:p w:rsidR="0043655B" w:rsidRDefault="0043655B" w:rsidP="0043655B">
      <w:pPr>
        <w:pStyle w:val="SangriaFrancesaArticulo"/>
      </w:pPr>
      <w:r w:rsidRPr="0043655B">
        <w:rPr>
          <w:rStyle w:val="TextoNormalNegritaCaracter"/>
        </w:rPr>
        <w:lastRenderedPageBreak/>
        <w:t>Artículo 157.3.</w:t>
      </w:r>
      <w:r w:rsidRPr="0043655B">
        <w:rPr>
          <w:rStyle w:val="TextoNormalCaracter"/>
        </w:rPr>
        <w:t>-</w:t>
      </w:r>
      <w:r>
        <w:t xml:space="preserve"> Sentencias </w:t>
      </w:r>
      <w:hyperlink w:anchor="SENTENCIA_2012_19" w:history="1">
        <w:r w:rsidRPr="0043655B">
          <w:rPr>
            <w:rStyle w:val="TextoNormalCaracter"/>
          </w:rPr>
          <w:t>19/2012</w:t>
        </w:r>
      </w:hyperlink>
      <w:r>
        <w:t xml:space="preserve">, f. 11; </w:t>
      </w:r>
      <w:hyperlink w:anchor="SENTENCIA_2012_32" w:history="1">
        <w:r w:rsidRPr="0043655B">
          <w:rPr>
            <w:rStyle w:val="TextoNormalCaracter"/>
          </w:rPr>
          <w:t>32/2012</w:t>
        </w:r>
      </w:hyperlink>
      <w:r>
        <w:t xml:space="preserve">, f. 6; </w:t>
      </w:r>
      <w:hyperlink w:anchor="SENTENCIA_2012_100" w:history="1">
        <w:r w:rsidRPr="0043655B">
          <w:rPr>
            <w:rStyle w:val="TextoNormalCaracter"/>
          </w:rPr>
          <w:t>100/2012</w:t>
        </w:r>
      </w:hyperlink>
      <w:r>
        <w:t xml:space="preserve">, f. 7; </w:t>
      </w:r>
      <w:hyperlink w:anchor="SENTENCIA_2012_122" w:history="1">
        <w:r w:rsidRPr="0043655B">
          <w:rPr>
            <w:rStyle w:val="TextoNormalCaracter"/>
          </w:rPr>
          <w:t>122/2012</w:t>
        </w:r>
      </w:hyperlink>
      <w:r>
        <w:t xml:space="preserve">, f. 1; </w:t>
      </w:r>
      <w:hyperlink w:anchor="SENTENCIA_2012_123" w:history="1">
        <w:r w:rsidRPr="0043655B">
          <w:rPr>
            <w:rStyle w:val="TextoNormalCaracter"/>
          </w:rPr>
          <w:t>123/2012</w:t>
        </w:r>
      </w:hyperlink>
      <w:r>
        <w:t xml:space="preserve">, f. 7; </w:t>
      </w:r>
      <w:hyperlink w:anchor="SENTENCIA_2012_136" w:history="1">
        <w:r w:rsidRPr="0043655B">
          <w:rPr>
            <w:rStyle w:val="TextoNormalCaracter"/>
          </w:rPr>
          <w:t>136/2012</w:t>
        </w:r>
      </w:hyperlink>
      <w:r>
        <w:t>, f. 1.</w:t>
      </w:r>
    </w:p>
    <w:p w:rsidR="0043655B" w:rsidRDefault="0043655B" w:rsidP="0043655B">
      <w:pPr>
        <w:pStyle w:val="SangriaFrancesaArticulo"/>
      </w:pPr>
      <w:r w:rsidRPr="0043655B">
        <w:rPr>
          <w:rStyle w:val="TextoNormalNegritaCaracter"/>
        </w:rPr>
        <w:t>Artículo 161.1.</w:t>
      </w:r>
      <w:r w:rsidRPr="0043655B">
        <w:rPr>
          <w:rStyle w:val="TextoNormalCaracter"/>
        </w:rPr>
        <w:t>-</w:t>
      </w:r>
      <w:r>
        <w:t xml:space="preserve"> Sentencia </w:t>
      </w:r>
      <w:hyperlink w:anchor="SENTENCIA_2012_80" w:history="1">
        <w:r w:rsidRPr="0043655B">
          <w:rPr>
            <w:rStyle w:val="TextoNormalCaracter"/>
          </w:rPr>
          <w:t>80/2012</w:t>
        </w:r>
      </w:hyperlink>
      <w:r>
        <w:t>, VP II.</w:t>
      </w:r>
    </w:p>
    <w:p w:rsidR="0043655B" w:rsidRDefault="0043655B" w:rsidP="0043655B">
      <w:pPr>
        <w:pStyle w:val="SangriaFrancesaArticulo"/>
      </w:pPr>
      <w:r w:rsidRPr="0043655B">
        <w:rPr>
          <w:rStyle w:val="TextoNormalNegritaCaracter"/>
        </w:rPr>
        <w:t>Artículo 161.1 a).</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161.2.</w:t>
      </w:r>
      <w:r w:rsidRPr="0043655B">
        <w:rPr>
          <w:rStyle w:val="TextoNormalCaracter"/>
        </w:rPr>
        <w:t>-</w:t>
      </w:r>
      <w:r>
        <w:t xml:space="preserve"> Autos </w:t>
      </w:r>
      <w:hyperlink w:anchor="AUTO_2012_85" w:history="1">
        <w:r w:rsidRPr="0043655B">
          <w:rPr>
            <w:rStyle w:val="TextoNormalCaracter"/>
          </w:rPr>
          <w:t>85/2012</w:t>
        </w:r>
      </w:hyperlink>
      <w:r>
        <w:t xml:space="preserve">; </w:t>
      </w:r>
      <w:hyperlink w:anchor="AUTO_2012_86" w:history="1">
        <w:r w:rsidRPr="0043655B">
          <w:rPr>
            <w:rStyle w:val="TextoNormalCaracter"/>
          </w:rPr>
          <w:t>86/2012</w:t>
        </w:r>
      </w:hyperlink>
      <w:r>
        <w:t xml:space="preserve">;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162.1 b).</w:t>
      </w:r>
      <w:r w:rsidRPr="0043655B">
        <w:rPr>
          <w:rStyle w:val="TextoNormalCaracter"/>
        </w:rPr>
        <w:t>-</w:t>
      </w:r>
      <w:r>
        <w:t xml:space="preserve"> Sentencias </w:t>
      </w:r>
      <w:hyperlink w:anchor="SENTENCIA_2012_96" w:history="1">
        <w:r w:rsidRPr="0043655B">
          <w:rPr>
            <w:rStyle w:val="TextoNormalCaracter"/>
          </w:rPr>
          <w:t>96/2012</w:t>
        </w:r>
      </w:hyperlink>
      <w:r>
        <w:t xml:space="preserve">, f. 2; </w:t>
      </w:r>
      <w:hyperlink w:anchor="SENTENCIA_2012_118" w:history="1">
        <w:r w:rsidRPr="0043655B">
          <w:rPr>
            <w:rStyle w:val="TextoNormalCaracter"/>
          </w:rPr>
          <w:t>118/2012</w:t>
        </w:r>
      </w:hyperlink>
      <w:r>
        <w:t xml:space="preserve">, f. 2; </w:t>
      </w:r>
      <w:hyperlink w:anchor="SENTENCIA_2012_138" w:history="1">
        <w:r w:rsidRPr="0043655B">
          <w:rPr>
            <w:rStyle w:val="TextoNormalCaracter"/>
          </w:rPr>
          <w:t>138/2012</w:t>
        </w:r>
      </w:hyperlink>
      <w:r>
        <w:t>, f. 2.</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163.</w:t>
      </w:r>
      <w:r w:rsidRPr="0043655B">
        <w:rPr>
          <w:rStyle w:val="TextoNormalCaracter"/>
        </w:rPr>
        <w:t>-</w:t>
      </w:r>
      <w:r>
        <w:t xml:space="preserve"> Sentencias </w:t>
      </w:r>
      <w:hyperlink w:anchor="SENTENCIA_2012_20" w:history="1">
        <w:r w:rsidRPr="0043655B">
          <w:rPr>
            <w:rStyle w:val="TextoNormalCaracter"/>
          </w:rPr>
          <w:t>20/2012</w:t>
        </w:r>
      </w:hyperlink>
      <w:r>
        <w:t xml:space="preserve">, f. 4; </w:t>
      </w:r>
      <w:hyperlink w:anchor="SENTENCIA_2012_27" w:history="1">
        <w:r w:rsidRPr="0043655B">
          <w:rPr>
            <w:rStyle w:val="TextoNormalCaracter"/>
          </w:rPr>
          <w:t>27/2012</w:t>
        </w:r>
      </w:hyperlink>
      <w:r>
        <w:t xml:space="preserve">, f. 2; </w:t>
      </w:r>
      <w:hyperlink w:anchor="SENTENCIA_2012_37" w:history="1">
        <w:r w:rsidRPr="0043655B">
          <w:rPr>
            <w:rStyle w:val="TextoNormalCaracter"/>
          </w:rPr>
          <w:t>37/2012</w:t>
        </w:r>
      </w:hyperlink>
      <w:r>
        <w:t xml:space="preserve">, ff. 2, 7, VP I, VP II, VP IV; </w:t>
      </w:r>
      <w:hyperlink w:anchor="SENTENCIA_2012_75" w:history="1">
        <w:r w:rsidRPr="0043655B">
          <w:rPr>
            <w:rStyle w:val="TextoNormalCaracter"/>
          </w:rPr>
          <w:t>75/2012</w:t>
        </w:r>
      </w:hyperlink>
      <w:r>
        <w:t xml:space="preserve">, f. 3; </w:t>
      </w:r>
      <w:hyperlink w:anchor="SENTENCIA_2012_79" w:history="1">
        <w:r w:rsidRPr="0043655B">
          <w:rPr>
            <w:rStyle w:val="TextoNormalCaracter"/>
          </w:rPr>
          <w:t>79/2012</w:t>
        </w:r>
      </w:hyperlink>
      <w:r>
        <w:t xml:space="preserve">, ff. 2, 3; </w:t>
      </w:r>
      <w:hyperlink w:anchor="SENTENCIA_2012_84" w:history="1">
        <w:r w:rsidRPr="0043655B">
          <w:rPr>
            <w:rStyle w:val="TextoNormalCaracter"/>
          </w:rPr>
          <w:t>84/2012</w:t>
        </w:r>
      </w:hyperlink>
      <w:r>
        <w:t xml:space="preserve">, f. 2; </w:t>
      </w:r>
      <w:hyperlink w:anchor="SENTENCIA_2012_85" w:history="1">
        <w:r w:rsidRPr="0043655B">
          <w:rPr>
            <w:rStyle w:val="TextoNormalCaracter"/>
          </w:rPr>
          <w:t>85/2012</w:t>
        </w:r>
      </w:hyperlink>
      <w:r>
        <w:t xml:space="preserve">, f. 2; </w:t>
      </w:r>
      <w:hyperlink w:anchor="SENTENCIA_2012_86" w:history="1">
        <w:r w:rsidRPr="0043655B">
          <w:rPr>
            <w:rStyle w:val="TextoNormalCaracter"/>
          </w:rPr>
          <w:t>86/2012</w:t>
        </w:r>
      </w:hyperlink>
      <w:r>
        <w:t xml:space="preserve">, f. 3; </w:t>
      </w:r>
      <w:hyperlink w:anchor="SENTENCIA_2012_91" w:history="1">
        <w:r w:rsidRPr="0043655B">
          <w:rPr>
            <w:rStyle w:val="TextoNormalCaracter"/>
          </w:rPr>
          <w:t>91/2012</w:t>
        </w:r>
      </w:hyperlink>
      <w:r>
        <w:t xml:space="preserve">, f. 3; </w:t>
      </w:r>
      <w:hyperlink w:anchor="SENTENCIA_2012_94" w:history="1">
        <w:r w:rsidRPr="0043655B">
          <w:rPr>
            <w:rStyle w:val="TextoNormalCaracter"/>
          </w:rPr>
          <w:t>94/2012</w:t>
        </w:r>
      </w:hyperlink>
      <w:r>
        <w:t>, f. 3.</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31" w:history="1">
        <w:r w:rsidRPr="0043655B">
          <w:rPr>
            <w:rStyle w:val="TextoNormalCaracter"/>
          </w:rPr>
          <w:t>31/2012</w:t>
        </w:r>
      </w:hyperlink>
      <w:r>
        <w:t xml:space="preserve">; </w:t>
      </w:r>
      <w:hyperlink w:anchor="AUTO_2012_39" w:history="1">
        <w:r w:rsidRPr="0043655B">
          <w:rPr>
            <w:rStyle w:val="TextoNormalCaracter"/>
          </w:rPr>
          <w:t>39/2012</w:t>
        </w:r>
      </w:hyperlink>
      <w:r>
        <w:t xml:space="preserve">;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164.</w:t>
      </w:r>
      <w:r w:rsidRPr="0043655B">
        <w:rPr>
          <w:rStyle w:val="TextoNormalCaracter"/>
        </w:rPr>
        <w:t>-</w:t>
      </w:r>
      <w:r>
        <w:t xml:space="preserve"> Sentencia </w:t>
      </w:r>
      <w:hyperlink w:anchor="SENTENCIA_2012_119" w:history="1">
        <w:r w:rsidRPr="0043655B">
          <w:rPr>
            <w:rStyle w:val="TextoNormalCaracter"/>
          </w:rPr>
          <w:t>119/2012</w:t>
        </w:r>
      </w:hyperlink>
      <w:r>
        <w:t>, f. 9.</w:t>
      </w:r>
    </w:p>
    <w:p w:rsidR="0043655B" w:rsidRDefault="0043655B" w:rsidP="0043655B">
      <w:pPr>
        <w:pStyle w:val="SangriaFrancesaArticulo"/>
      </w:pPr>
      <w:r w:rsidRPr="0043655B">
        <w:rPr>
          <w:rStyle w:val="TextoNormalNegritaCaracter"/>
        </w:rPr>
        <w:t>Artículo 164.1.</w:t>
      </w:r>
      <w:r w:rsidRPr="0043655B">
        <w:rPr>
          <w:rStyle w:val="TextoNormalCaracter"/>
        </w:rPr>
        <w:t>-</w:t>
      </w:r>
      <w:r>
        <w:t xml:space="preserve"> Sentencias </w:t>
      </w:r>
      <w:hyperlink w:anchor="SENTENCIA_2012_85" w:history="1">
        <w:r w:rsidRPr="0043655B">
          <w:rPr>
            <w:rStyle w:val="TextoNormalCaracter"/>
          </w:rPr>
          <w:t>85/2012</w:t>
        </w:r>
      </w:hyperlink>
      <w:r>
        <w:t xml:space="preserve">, f. 3; </w:t>
      </w:r>
      <w:hyperlink w:anchor="SENTENCIA_2012_86" w:history="1">
        <w:r w:rsidRPr="0043655B">
          <w:rPr>
            <w:rStyle w:val="TextoNormalCaracter"/>
          </w:rPr>
          <w:t>86/2012</w:t>
        </w:r>
      </w:hyperlink>
      <w:r>
        <w:t xml:space="preserve">, ff. 2, 3; </w:t>
      </w:r>
      <w:hyperlink w:anchor="SENTENCIA_2012_104" w:history="1">
        <w:r w:rsidRPr="0043655B">
          <w:rPr>
            <w:rStyle w:val="TextoNormalCaracter"/>
          </w:rPr>
          <w:t>104/2012</w:t>
        </w:r>
      </w:hyperlink>
      <w:r>
        <w:t xml:space="preserve">, f. 3; </w:t>
      </w:r>
      <w:hyperlink w:anchor="SENTENCIA_2012_119" w:history="1">
        <w:r w:rsidRPr="0043655B">
          <w:rPr>
            <w:rStyle w:val="TextoNormalCaracter"/>
          </w:rPr>
          <w:t>119/2012</w:t>
        </w:r>
      </w:hyperlink>
      <w:r>
        <w:t>, f. 5.</w:t>
      </w:r>
    </w:p>
    <w:p w:rsidR="0043655B" w:rsidRDefault="0043655B" w:rsidP="0043655B">
      <w:pPr>
        <w:pStyle w:val="SangriaIzquierdaArticulo"/>
      </w:pPr>
      <w:r>
        <w:t xml:space="preserve">Autos </w:t>
      </w:r>
      <w:hyperlink w:anchor="AUTO_2012_4" w:history="1">
        <w:r w:rsidRPr="0043655B">
          <w:rPr>
            <w:rStyle w:val="TextoNormalCaracter"/>
          </w:rPr>
          <w:t>4/2012</w:t>
        </w:r>
      </w:hyperlink>
      <w:r>
        <w:t xml:space="preserve">; </w:t>
      </w:r>
      <w:hyperlink w:anchor="AUTO_2012_5" w:history="1">
        <w:r w:rsidRPr="0043655B">
          <w:rPr>
            <w:rStyle w:val="TextoNormalCaracter"/>
          </w:rPr>
          <w:t>5/2012</w:t>
        </w:r>
      </w:hyperlink>
      <w:r>
        <w:t xml:space="preserve">; </w:t>
      </w:r>
      <w:hyperlink w:anchor="AUTO_2012_6" w:history="1">
        <w:r w:rsidRPr="0043655B">
          <w:rPr>
            <w:rStyle w:val="TextoNormalCaracter"/>
          </w:rPr>
          <w:t>6/2012</w:t>
        </w:r>
      </w:hyperlink>
      <w:r>
        <w:t xml:space="preserve">; </w:t>
      </w:r>
      <w:hyperlink w:anchor="AUTO_2012_7" w:history="1">
        <w:r w:rsidRPr="0043655B">
          <w:rPr>
            <w:rStyle w:val="TextoNormalCaracter"/>
          </w:rPr>
          <w:t>7/2012</w:t>
        </w:r>
      </w:hyperlink>
      <w:r>
        <w:t xml:space="preserve">; </w:t>
      </w:r>
      <w:hyperlink w:anchor="AUTO_2012_47" w:history="1">
        <w:r w:rsidRPr="0043655B">
          <w:rPr>
            <w:rStyle w:val="TextoNormalCaracter"/>
          </w:rPr>
          <w:t>47/2012</w:t>
        </w:r>
      </w:hyperlink>
      <w:r>
        <w:t xml:space="preserve">; </w:t>
      </w:r>
      <w:hyperlink w:anchor="AUTO_2012_48" w:history="1">
        <w:r w:rsidRPr="0043655B">
          <w:rPr>
            <w:rStyle w:val="TextoNormalCaracter"/>
          </w:rPr>
          <w:t>48/2012</w:t>
        </w:r>
      </w:hyperlink>
      <w:r>
        <w:t xml:space="preserve">; </w:t>
      </w:r>
      <w:hyperlink w:anchor="AUTO_2012_50" w:history="1">
        <w:r w:rsidRPr="0043655B">
          <w:rPr>
            <w:rStyle w:val="TextoNormalCaracter"/>
          </w:rPr>
          <w:t>50/2012</w:t>
        </w:r>
      </w:hyperlink>
      <w:r>
        <w:t xml:space="preserve">; </w:t>
      </w:r>
      <w:hyperlink w:anchor="AUTO_2012_51" w:history="1">
        <w:r w:rsidRPr="0043655B">
          <w:rPr>
            <w:rStyle w:val="TextoNormalCaracter"/>
          </w:rPr>
          <w:t>51/2012</w:t>
        </w:r>
      </w:hyperlink>
      <w:r>
        <w:t xml:space="preserve">; </w:t>
      </w:r>
      <w:hyperlink w:anchor="AUTO_2012_126" w:history="1">
        <w:r w:rsidRPr="0043655B">
          <w:rPr>
            <w:rStyle w:val="TextoNormalCaracter"/>
          </w:rPr>
          <w:t>126/2012</w:t>
        </w:r>
      </w:hyperlink>
      <w:r>
        <w:t>.</w:t>
      </w:r>
    </w:p>
    <w:p w:rsidR="0043655B" w:rsidRDefault="0043655B" w:rsidP="0043655B">
      <w:pPr>
        <w:pStyle w:val="SangriaFrancesaArticulo"/>
      </w:pPr>
      <w:r w:rsidRPr="0043655B">
        <w:rPr>
          <w:rStyle w:val="TextoNormalNegritaCaracter"/>
        </w:rPr>
        <w:t>Artículo 167.</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168.</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00" w:history="1">
        <w:r w:rsidRPr="0043655B">
          <w:rPr>
            <w:rStyle w:val="TextoNormalCaracter"/>
          </w:rPr>
          <w:t>100/2012</w:t>
        </w:r>
      </w:hyperlink>
      <w:r>
        <w:t>, ff. 5, 6.</w:t>
      </w:r>
    </w:p>
    <w:p w:rsidR="0043655B" w:rsidRDefault="0043655B" w:rsidP="0043655B">
      <w:pPr>
        <w:pStyle w:val="SangriaFrancesaArticulo"/>
      </w:pPr>
      <w:r w:rsidRPr="0043655B">
        <w:rPr>
          <w:rStyle w:val="TextoNormalNegritaCaracter"/>
        </w:rPr>
        <w:t>Disposición derogatoria, apartado 3.</w:t>
      </w:r>
      <w:r w:rsidRPr="0043655B">
        <w:rPr>
          <w:rStyle w:val="TextoNormalCaracter"/>
        </w:rPr>
        <w:t>-</w:t>
      </w:r>
      <w:r>
        <w:t xml:space="preserve"> Sentencia </w:t>
      </w:r>
      <w:hyperlink w:anchor="SENTENCIA_2012_100" w:history="1">
        <w:r w:rsidRPr="0043655B">
          <w:rPr>
            <w:rStyle w:val="TextoNormalCaracter"/>
          </w:rPr>
          <w:t>100/2012</w:t>
        </w:r>
      </w:hyperlink>
      <w:r>
        <w:t>, ff. 1, 4.</w:t>
      </w:r>
    </w:p>
    <w:p w:rsidR="0043655B" w:rsidRDefault="0043655B" w:rsidP="0043655B">
      <w:pPr>
        <w:pStyle w:val="SangriaFrancesaArticulo"/>
      </w:pPr>
    </w:p>
    <w:p w:rsidR="0043655B" w:rsidRDefault="0043655B" w:rsidP="0043655B">
      <w:pPr>
        <w:pStyle w:val="TextoNormalNegritaCursivandice"/>
      </w:pPr>
      <w:r>
        <w:t>Constitución española. Reforma del artículo 135 CE, de 27 de septiembre de 2011</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135.</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r w:rsidRPr="0043655B">
        <w:rPr>
          <w:rStyle w:val="TextoNormalNegritaCaracter"/>
        </w:rPr>
        <w:t>Artículo 135.3.</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TextoNormal"/>
      </w:pPr>
    </w:p>
    <w:p w:rsidR="0043655B" w:rsidRDefault="0043655B" w:rsidP="0043655B">
      <w:pPr>
        <w:pStyle w:val="SangriaFrancesaArticulo"/>
      </w:pPr>
      <w:bookmarkStart w:id="282" w:name="INDICE22843"/>
    </w:p>
    <w:bookmarkEnd w:id="282"/>
    <w:p w:rsidR="0043655B" w:rsidRDefault="0043655B" w:rsidP="0043655B">
      <w:pPr>
        <w:pStyle w:val="TextoIndiceNivel2"/>
        <w:suppressAutoHyphens/>
      </w:pPr>
      <w:r>
        <w:t>B) Tribunal Constitucional</w:t>
      </w:r>
    </w:p>
    <w:p w:rsidR="0043655B" w:rsidRDefault="0043655B" w:rsidP="0043655B">
      <w:pPr>
        <w:pStyle w:val="TextoIndiceNivel2"/>
      </w:pPr>
    </w:p>
    <w:p w:rsidR="0043655B" w:rsidRDefault="0043655B" w:rsidP="0043655B">
      <w:pPr>
        <w:pStyle w:val="TextoNormalNegritaCursivandice"/>
      </w:pPr>
      <w:r>
        <w:t>Ley Orgánica 2/1979, de 3 de octubre. Tribunal Constitucional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3" w:history="1">
        <w:r w:rsidRPr="0043655B">
          <w:rPr>
            <w:rStyle w:val="TextoNormalCaracter"/>
          </w:rPr>
          <w:t>113/2012</w:t>
        </w:r>
      </w:hyperlink>
      <w:r>
        <w:t>, f. 2.</w:t>
      </w:r>
    </w:p>
    <w:p w:rsidR="0043655B" w:rsidRDefault="0043655B" w:rsidP="0043655B">
      <w:pPr>
        <w:pStyle w:val="SangriaFrancesaArticulo"/>
      </w:pPr>
      <w:r w:rsidRPr="0043655B">
        <w:rPr>
          <w:rStyle w:val="TextoNormalNegritaCaracter"/>
        </w:rPr>
        <w:t>Título IV, capítulo IV.</w:t>
      </w:r>
      <w:r w:rsidRPr="0043655B">
        <w:rPr>
          <w:rStyle w:val="TextoNormalCaracter"/>
        </w:rPr>
        <w:t>-</w:t>
      </w:r>
      <w:r>
        <w:t xml:space="preserve"> Sentencia </w:t>
      </w:r>
      <w:hyperlink w:anchor="SENTENCIA_2012_121" w:history="1">
        <w:r w:rsidRPr="0043655B">
          <w:rPr>
            <w:rStyle w:val="TextoNormalCaracter"/>
          </w:rPr>
          <w:t>121/2012</w:t>
        </w:r>
      </w:hyperlink>
      <w:r>
        <w:t>, f. 4.</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Sentencias </w:t>
      </w:r>
      <w:hyperlink w:anchor="SENTENCIA_2012_58" w:history="1">
        <w:r w:rsidRPr="0043655B">
          <w:rPr>
            <w:rStyle w:val="TextoNormalCaracter"/>
          </w:rPr>
          <w:t>58/2012</w:t>
        </w:r>
      </w:hyperlink>
      <w:r>
        <w:t xml:space="preserve">, f. 2; </w:t>
      </w:r>
      <w:hyperlink w:anchor="SENTENCIA_2012_60" w:history="1">
        <w:r w:rsidRPr="0043655B">
          <w:rPr>
            <w:rStyle w:val="TextoNormalCaracter"/>
          </w:rPr>
          <w:t>60/2012</w:t>
        </w:r>
      </w:hyperlink>
      <w:r>
        <w:t xml:space="preserve">, f. 2; </w:t>
      </w:r>
      <w:hyperlink w:anchor="SENTENCIA_2012_63" w:history="1">
        <w:r w:rsidRPr="0043655B">
          <w:rPr>
            <w:rStyle w:val="TextoNormalCaracter"/>
          </w:rPr>
          <w:t>63/2012</w:t>
        </w:r>
      </w:hyperlink>
      <w:r>
        <w:t xml:space="preserve">, f. 1; </w:t>
      </w:r>
      <w:hyperlink w:anchor="SENTENCIA_2012_128" w:history="1">
        <w:r w:rsidRPr="0043655B">
          <w:rPr>
            <w:rStyle w:val="TextoNormalCaracter"/>
          </w:rPr>
          <w:t>128/2012</w:t>
        </w:r>
      </w:hyperlink>
      <w:r>
        <w:t>, f. 2.</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Sentencias </w:t>
      </w:r>
      <w:hyperlink w:anchor="SENTENCIA_2012_37" w:history="1">
        <w:r w:rsidRPr="0043655B">
          <w:rPr>
            <w:rStyle w:val="TextoNormalCaracter"/>
          </w:rPr>
          <w:t>37/2012</w:t>
        </w:r>
      </w:hyperlink>
      <w:r>
        <w:t xml:space="preserve">, f. 12; </w:t>
      </w:r>
      <w:hyperlink w:anchor="SENTENCIA_2012_138" w:history="1">
        <w:r w:rsidRPr="0043655B">
          <w:rPr>
            <w:rStyle w:val="TextoNormalCaracter"/>
          </w:rPr>
          <w:t>138/2012</w:t>
        </w:r>
      </w:hyperlink>
      <w:r>
        <w:t>, f. 6.</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8" w:history="1">
        <w:r w:rsidRPr="0043655B">
          <w:rPr>
            <w:rStyle w:val="TextoNormalCaracter"/>
          </w:rPr>
          <w:t>18/2012</w:t>
        </w:r>
      </w:hyperlink>
      <w:r>
        <w:t>, f. 2.</w:t>
      </w:r>
    </w:p>
    <w:p w:rsidR="0043655B" w:rsidRDefault="0043655B" w:rsidP="0043655B">
      <w:pPr>
        <w:pStyle w:val="SangriaFrancesaArticulo"/>
      </w:pPr>
      <w:r w:rsidRPr="0043655B">
        <w:rPr>
          <w:rStyle w:val="TextoNormalNegritaCaracter"/>
        </w:rPr>
        <w:t>Artículo 2.1 a).</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6" w:history="1">
        <w:r w:rsidRPr="0043655B">
          <w:rPr>
            <w:rStyle w:val="TextoNormalCaracter"/>
          </w:rPr>
          <w:t>6/2012</w:t>
        </w:r>
      </w:hyperlink>
      <w:r>
        <w:t>, VP II.</w:t>
      </w:r>
    </w:p>
    <w:p w:rsidR="0043655B" w:rsidRDefault="0043655B" w:rsidP="0043655B">
      <w:pPr>
        <w:pStyle w:val="SangriaIzquierdaArticulo"/>
      </w:pPr>
      <w:r>
        <w:t xml:space="preserve">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6" w:history="1">
        <w:r w:rsidRPr="0043655B">
          <w:rPr>
            <w:rStyle w:val="TextoNormalCaracter"/>
          </w:rPr>
          <w:t>6/2012</w:t>
        </w:r>
      </w:hyperlink>
      <w:r>
        <w:t>, ff. 1, 2.</w:t>
      </w:r>
    </w:p>
    <w:p w:rsidR="0043655B" w:rsidRDefault="0043655B" w:rsidP="0043655B">
      <w:pPr>
        <w:pStyle w:val="SangriaFrancesaArticulo"/>
      </w:pPr>
      <w:r w:rsidRPr="0043655B">
        <w:rPr>
          <w:rStyle w:val="TextoNormalNegritaCaracter"/>
        </w:rPr>
        <w:t>Artículo 8.1.</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11.2.</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 </w:t>
      </w:r>
      <w:hyperlink w:anchor="SENTENCIA_2012_118" w:history="1">
        <w:r w:rsidRPr="0043655B">
          <w:rPr>
            <w:rStyle w:val="TextoNormalCaracter"/>
          </w:rPr>
          <w:t>118/2012</w:t>
        </w:r>
      </w:hyperlink>
      <w:r>
        <w:t>, f. 3.</w:t>
      </w:r>
    </w:p>
    <w:p w:rsidR="0043655B" w:rsidRDefault="0043655B" w:rsidP="0043655B">
      <w:pPr>
        <w:pStyle w:val="SangriaFrancesaArticulo"/>
      </w:pPr>
      <w:r w:rsidRPr="0043655B">
        <w:rPr>
          <w:rStyle w:val="TextoNormalNegritaCaracter"/>
        </w:rPr>
        <w:t>Artículo 27.</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27.1.</w:t>
      </w:r>
      <w:r w:rsidRPr="0043655B">
        <w:rPr>
          <w:rStyle w:val="TextoNormalCaracter"/>
        </w:rPr>
        <w:t>-</w:t>
      </w:r>
      <w:r>
        <w:t xml:space="preserve"> Sentencia </w:t>
      </w:r>
      <w:hyperlink w:anchor="SENTENCIA_2012_80" w:history="1">
        <w:r w:rsidRPr="0043655B">
          <w:rPr>
            <w:rStyle w:val="TextoNormalCaracter"/>
          </w:rPr>
          <w:t>80/2012</w:t>
        </w:r>
      </w:hyperlink>
      <w:r>
        <w:t>, VP II.</w:t>
      </w:r>
    </w:p>
    <w:p w:rsidR="0043655B" w:rsidRDefault="0043655B" w:rsidP="0043655B">
      <w:pPr>
        <w:pStyle w:val="SangriaFrancesaArticulo"/>
      </w:pPr>
      <w:r w:rsidRPr="0043655B">
        <w:rPr>
          <w:rStyle w:val="TextoNormalNegritaCaracter"/>
        </w:rPr>
        <w:t>Artículo 27.2.</w:t>
      </w:r>
      <w:r w:rsidRPr="0043655B">
        <w:rPr>
          <w:rStyle w:val="TextoNormalCaracter"/>
        </w:rPr>
        <w:t>-</w:t>
      </w:r>
      <w:r>
        <w:t xml:space="preserve"> Sentencia </w:t>
      </w:r>
      <w:hyperlink w:anchor="SENTENCIA_2012_37" w:history="1">
        <w:r w:rsidRPr="0043655B">
          <w:rPr>
            <w:rStyle w:val="TextoNormalCaracter"/>
          </w:rPr>
          <w:t>37/2012</w:t>
        </w:r>
      </w:hyperlink>
      <w:r>
        <w:t>, f. 2.</w:t>
      </w:r>
    </w:p>
    <w:p w:rsidR="0043655B" w:rsidRDefault="0043655B" w:rsidP="0043655B">
      <w:pPr>
        <w:pStyle w:val="SangriaFrancesaArticulo"/>
      </w:pPr>
      <w:r w:rsidRPr="0043655B">
        <w:rPr>
          <w:rStyle w:val="TextoNormalNegritaCaracter"/>
        </w:rPr>
        <w:t>Artículo 27.2 b).</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lastRenderedPageBreak/>
        <w:t>Artículo 27.2 e).</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28.1.</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r w:rsidRPr="0043655B">
        <w:rPr>
          <w:rStyle w:val="TextoNormalNegritaCaracter"/>
        </w:rPr>
        <w:t>Artículo 29.2.</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30.</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Sentencia </w:t>
      </w:r>
      <w:hyperlink w:anchor="SENTENCIA_2012_38" w:history="1">
        <w:r w:rsidRPr="0043655B">
          <w:rPr>
            <w:rStyle w:val="TextoNormalCaracter"/>
          </w:rPr>
          <w:t>38/2012</w:t>
        </w:r>
      </w:hyperlink>
      <w:r>
        <w:t>, f. 2.</w:t>
      </w:r>
    </w:p>
    <w:p w:rsidR="0043655B" w:rsidRDefault="0043655B" w:rsidP="0043655B">
      <w:pPr>
        <w:pStyle w:val="SangriaFrancesaArticulo"/>
      </w:pPr>
      <w:r w:rsidRPr="0043655B">
        <w:rPr>
          <w:rStyle w:val="TextoNormalNegritaCaracter"/>
        </w:rPr>
        <w:t>Artículo 33.1.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33.2</w:t>
      </w:r>
      <w:r>
        <w:t xml:space="preserve"> </w:t>
      </w:r>
      <w:r w:rsidRPr="0043655B">
        <w:rPr>
          <w:rStyle w:val="TextoNormalCaracter"/>
        </w:rPr>
        <w:t>(redactado por la Ley Orgánica 1/2000, de 7 de enero)</w:t>
      </w:r>
      <w:r w:rsidRPr="0043655B">
        <w:rPr>
          <w:rStyle w:val="TextoNormalNegritaCaracter"/>
        </w:rPr>
        <w:t>.</w:t>
      </w:r>
      <w:r w:rsidRPr="0043655B">
        <w:rPr>
          <w:rStyle w:val="TextoNormalCaracter"/>
        </w:rPr>
        <w:t>-</w:t>
      </w:r>
      <w:r>
        <w:t xml:space="preserve"> Sentencia </w:t>
      </w:r>
      <w:hyperlink w:anchor="SENTENCIA_2012_8" w:history="1">
        <w:r w:rsidRPr="0043655B">
          <w:rPr>
            <w:rStyle w:val="TextoNormalCaracter"/>
          </w:rPr>
          <w:t>8/2012</w:t>
        </w:r>
      </w:hyperlink>
      <w:r>
        <w:t>, f. 2.</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34.</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Sentencias </w:t>
      </w:r>
      <w:hyperlink w:anchor="SENTENCIA_2012_37" w:history="1">
        <w:r w:rsidRPr="0043655B">
          <w:rPr>
            <w:rStyle w:val="TextoNormalCaracter"/>
          </w:rPr>
          <w:t>37/2012</w:t>
        </w:r>
      </w:hyperlink>
      <w:r>
        <w:t xml:space="preserve">, f. 7, VP IV; </w:t>
      </w:r>
      <w:hyperlink w:anchor="SENTENCIA_2012_75" w:history="1">
        <w:r w:rsidRPr="0043655B">
          <w:rPr>
            <w:rStyle w:val="TextoNormalCaracter"/>
          </w:rPr>
          <w:t>75/2012</w:t>
        </w:r>
      </w:hyperlink>
      <w:r>
        <w:t xml:space="preserve">, f. 3; </w:t>
      </w:r>
      <w:hyperlink w:anchor="SENTENCIA_2012_84" w:history="1">
        <w:r w:rsidRPr="0043655B">
          <w:rPr>
            <w:rStyle w:val="TextoNormalCaracter"/>
          </w:rPr>
          <w:t>84/2012</w:t>
        </w:r>
      </w:hyperlink>
      <w:r>
        <w:t xml:space="preserve">, f. 2; </w:t>
      </w:r>
      <w:hyperlink w:anchor="SENTENCIA_2012_91" w:history="1">
        <w:r w:rsidRPr="0043655B">
          <w:rPr>
            <w:rStyle w:val="TextoNormalCaracter"/>
          </w:rPr>
          <w:t>91/2012</w:t>
        </w:r>
      </w:hyperlink>
      <w:r>
        <w:t xml:space="preserve">, f. 3; </w:t>
      </w:r>
      <w:hyperlink w:anchor="SENTENCIA_2012_94" w:history="1">
        <w:r w:rsidRPr="0043655B">
          <w:rPr>
            <w:rStyle w:val="TextoNormalCaracter"/>
          </w:rPr>
          <w:t>94/2012</w:t>
        </w:r>
      </w:hyperlink>
      <w:r>
        <w:t>, f. 3.</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39" w:history="1">
        <w:r w:rsidRPr="0043655B">
          <w:rPr>
            <w:rStyle w:val="TextoNormalCaracter"/>
          </w:rPr>
          <w:t>39/2012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35.1.</w:t>
      </w:r>
      <w:r w:rsidRPr="0043655B">
        <w:rPr>
          <w:rStyle w:val="TextoNormalCaracter"/>
        </w:rPr>
        <w:t>-</w:t>
      </w:r>
      <w:r>
        <w:t xml:space="preserve"> Sentencias </w:t>
      </w:r>
      <w:hyperlink w:anchor="SENTENCIA_2012_20" w:history="1">
        <w:r w:rsidRPr="0043655B">
          <w:rPr>
            <w:rStyle w:val="TextoNormalCaracter"/>
          </w:rPr>
          <w:t>20/2012</w:t>
        </w:r>
      </w:hyperlink>
      <w:r>
        <w:t xml:space="preserve">, f. 4; </w:t>
      </w:r>
      <w:hyperlink w:anchor="SENTENCIA_2012_37" w:history="1">
        <w:r w:rsidRPr="0043655B">
          <w:rPr>
            <w:rStyle w:val="TextoNormalCaracter"/>
          </w:rPr>
          <w:t>37/2012</w:t>
        </w:r>
      </w:hyperlink>
      <w:r>
        <w:t xml:space="preserve">, ff. 1, 2; </w:t>
      </w:r>
      <w:hyperlink w:anchor="SENTENCIA_2012_79" w:history="1">
        <w:r w:rsidRPr="0043655B">
          <w:rPr>
            <w:rStyle w:val="TextoNormalCaracter"/>
          </w:rPr>
          <w:t>79/2012</w:t>
        </w:r>
      </w:hyperlink>
      <w:r>
        <w:t xml:space="preserve">, f. 3; </w:t>
      </w:r>
      <w:hyperlink w:anchor="SENTENCIA_2012_84" w:history="1">
        <w:r w:rsidRPr="0043655B">
          <w:rPr>
            <w:rStyle w:val="TextoNormalCaracter"/>
          </w:rPr>
          <w:t>84/2012</w:t>
        </w:r>
      </w:hyperlink>
      <w:r>
        <w:t>, ff. 2, 3.</w:t>
      </w:r>
    </w:p>
    <w:p w:rsidR="0043655B" w:rsidRDefault="0043655B" w:rsidP="0043655B">
      <w:pPr>
        <w:pStyle w:val="SangriaIzquierdaArticulo"/>
      </w:pPr>
      <w:r>
        <w:t xml:space="preserve">Autos </w:t>
      </w:r>
      <w:hyperlink w:anchor="AUTO_2012_31" w:history="1">
        <w:r w:rsidRPr="0043655B">
          <w:rPr>
            <w:rStyle w:val="TextoNormalCaracter"/>
          </w:rPr>
          <w:t>31/2012</w:t>
        </w:r>
      </w:hyperlink>
      <w:r>
        <w:t xml:space="preserve">;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35.2.</w:t>
      </w:r>
      <w:r w:rsidRPr="0043655B">
        <w:rPr>
          <w:rStyle w:val="TextoNormalCaracter"/>
        </w:rPr>
        <w:t>-</w:t>
      </w:r>
      <w:r>
        <w:t xml:space="preserve"> Sentencias </w:t>
      </w:r>
      <w:hyperlink w:anchor="SENTENCIA_2012_3" w:history="1">
        <w:r w:rsidRPr="0043655B">
          <w:rPr>
            <w:rStyle w:val="TextoNormalCaracter"/>
          </w:rPr>
          <w:t>3/2012</w:t>
        </w:r>
      </w:hyperlink>
      <w:r>
        <w:t xml:space="preserve">, f. 3; </w:t>
      </w:r>
      <w:hyperlink w:anchor="SENTENCIA_2012_4" w:history="1">
        <w:r w:rsidRPr="0043655B">
          <w:rPr>
            <w:rStyle w:val="TextoNormalCaracter"/>
          </w:rPr>
          <w:t>4/2012</w:t>
        </w:r>
      </w:hyperlink>
      <w:r>
        <w:t xml:space="preserve">, f. 3; </w:t>
      </w:r>
      <w:hyperlink w:anchor="SENTENCIA_2012_27" w:history="1">
        <w:r w:rsidRPr="0043655B">
          <w:rPr>
            <w:rStyle w:val="TextoNormalCaracter"/>
          </w:rPr>
          <w:t>27/2012</w:t>
        </w:r>
      </w:hyperlink>
      <w:r>
        <w:t xml:space="preserve">, f. 2; </w:t>
      </w:r>
      <w:hyperlink w:anchor="SENTENCIA_2012_30" w:history="1">
        <w:r w:rsidRPr="0043655B">
          <w:rPr>
            <w:rStyle w:val="TextoNormalCaracter"/>
          </w:rPr>
          <w:t>30/2012</w:t>
        </w:r>
      </w:hyperlink>
      <w:r>
        <w:t xml:space="preserve">, f. 2; </w:t>
      </w:r>
      <w:hyperlink w:anchor="SENTENCIA_2012_79" w:history="1">
        <w:r w:rsidRPr="0043655B">
          <w:rPr>
            <w:rStyle w:val="TextoNormalCaracter"/>
          </w:rPr>
          <w:t>79/2012</w:t>
        </w:r>
      </w:hyperlink>
      <w:r>
        <w:t xml:space="preserve">, f. 2; </w:t>
      </w:r>
      <w:hyperlink w:anchor="SENTENCIA_2012_84" w:history="1">
        <w:r w:rsidRPr="0043655B">
          <w:rPr>
            <w:rStyle w:val="TextoNormalCaracter"/>
          </w:rPr>
          <w:t>84/2012</w:t>
        </w:r>
      </w:hyperlink>
      <w:r>
        <w:t xml:space="preserve">, ff. 2, 3; </w:t>
      </w:r>
      <w:hyperlink w:anchor="SENTENCIA_2012_85" w:history="1">
        <w:r w:rsidRPr="0043655B">
          <w:rPr>
            <w:rStyle w:val="TextoNormalCaracter"/>
          </w:rPr>
          <w:t>85/2012</w:t>
        </w:r>
      </w:hyperlink>
      <w:r>
        <w:t xml:space="preserve">, f. 2; </w:t>
      </w:r>
      <w:hyperlink w:anchor="SENTENCIA_2012_86" w:history="1">
        <w:r w:rsidRPr="0043655B">
          <w:rPr>
            <w:rStyle w:val="TextoNormalCaracter"/>
          </w:rPr>
          <w:t>86/2012</w:t>
        </w:r>
      </w:hyperlink>
      <w:r>
        <w:t xml:space="preserve">, f. 2; </w:t>
      </w:r>
      <w:hyperlink w:anchor="SENTENCIA_2012_93" w:history="1">
        <w:r w:rsidRPr="0043655B">
          <w:rPr>
            <w:rStyle w:val="TextoNormalCaracter"/>
          </w:rPr>
          <w:t>93/2012</w:t>
        </w:r>
      </w:hyperlink>
      <w:r>
        <w:t xml:space="preserve">, f. 4; </w:t>
      </w:r>
      <w:hyperlink w:anchor="SENTENCIA_2012_98" w:history="1">
        <w:r w:rsidRPr="0043655B">
          <w:rPr>
            <w:rStyle w:val="TextoNormalCaracter"/>
          </w:rPr>
          <w:t>98/2012</w:t>
        </w:r>
      </w:hyperlink>
      <w:r>
        <w:t>, f. 4.</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39" w:history="1">
        <w:r w:rsidRPr="0043655B">
          <w:rPr>
            <w:rStyle w:val="TextoNormalCaracter"/>
          </w:rPr>
          <w:t>39/2012</w:t>
        </w:r>
      </w:hyperlink>
      <w:r>
        <w:t xml:space="preserve">;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27" w:history="1">
        <w:r w:rsidRPr="0043655B">
          <w:rPr>
            <w:rStyle w:val="TextoNormalCaracter"/>
          </w:rPr>
          <w:t>127/2012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35.2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35.3.</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Sentencias </w:t>
      </w:r>
      <w:hyperlink w:anchor="SENTENCIA_2012_37" w:history="1">
        <w:r w:rsidRPr="0043655B">
          <w:rPr>
            <w:rStyle w:val="TextoNormalCaracter"/>
          </w:rPr>
          <w:t>37/2012</w:t>
        </w:r>
      </w:hyperlink>
      <w:r>
        <w:t xml:space="preserve">, f. 7, VP IV; </w:t>
      </w:r>
      <w:hyperlink w:anchor="SENTENCIA_2012_75" w:history="1">
        <w:r w:rsidRPr="0043655B">
          <w:rPr>
            <w:rStyle w:val="TextoNormalCaracter"/>
          </w:rPr>
          <w:t>75/2012</w:t>
        </w:r>
      </w:hyperlink>
      <w:r>
        <w:t xml:space="preserve">, f. 3; </w:t>
      </w:r>
      <w:hyperlink w:anchor="SENTENCIA_2012_91" w:history="1">
        <w:r w:rsidRPr="0043655B">
          <w:rPr>
            <w:rStyle w:val="TextoNormalCaracter"/>
          </w:rPr>
          <w:t>91/2012</w:t>
        </w:r>
      </w:hyperlink>
      <w:r>
        <w:t xml:space="preserve">, f. 3; </w:t>
      </w:r>
      <w:hyperlink w:anchor="SENTENCIA_2012_94" w:history="1">
        <w:r w:rsidRPr="0043655B">
          <w:rPr>
            <w:rStyle w:val="TextoNormalCaracter"/>
          </w:rPr>
          <w:t>94/2012</w:t>
        </w:r>
      </w:hyperlink>
      <w:r>
        <w:t>, f. 3.</w:t>
      </w:r>
    </w:p>
    <w:p w:rsidR="0043655B" w:rsidRDefault="0043655B" w:rsidP="0043655B">
      <w:pPr>
        <w:pStyle w:val="SangriaFrancesaArticulo"/>
      </w:pPr>
      <w:r w:rsidRPr="0043655B">
        <w:rPr>
          <w:rStyle w:val="TextoNormalNegritaCaracter"/>
        </w:rPr>
        <w:t>Artículo 37.</w:t>
      </w:r>
      <w:r w:rsidRPr="0043655B">
        <w:rPr>
          <w:rStyle w:val="TextoNormalCaracter"/>
        </w:rPr>
        <w:t>-</w:t>
      </w:r>
      <w:r>
        <w:t xml:space="preserve"> Sentencia </w:t>
      </w:r>
      <w:hyperlink w:anchor="SENTENCIA_2012_27" w:history="1">
        <w:r w:rsidRPr="0043655B">
          <w:rPr>
            <w:rStyle w:val="TextoNormalCaracter"/>
          </w:rPr>
          <w:t>27/2012</w:t>
        </w:r>
      </w:hyperlink>
      <w:r>
        <w:t>, f. 2.</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37.1.</w:t>
      </w:r>
      <w:r w:rsidRPr="0043655B">
        <w:rPr>
          <w:rStyle w:val="TextoNormalCaracter"/>
        </w:rPr>
        <w:t>-</w:t>
      </w:r>
      <w:r>
        <w:t xml:space="preserve"> Sentencia </w:t>
      </w:r>
      <w:hyperlink w:anchor="SENTENCIA_2012_84" w:history="1">
        <w:r w:rsidRPr="0043655B">
          <w:rPr>
            <w:rStyle w:val="TextoNormalCaracter"/>
          </w:rPr>
          <w:t>84/2012</w:t>
        </w:r>
      </w:hyperlink>
      <w:r>
        <w:t>, f. 2.</w:t>
      </w:r>
    </w:p>
    <w:p w:rsidR="0043655B" w:rsidRDefault="0043655B" w:rsidP="0043655B">
      <w:pPr>
        <w:pStyle w:val="SangriaIzquierdaArticulo"/>
      </w:pPr>
      <w:r>
        <w:t xml:space="preserve">Autos </w:t>
      </w:r>
      <w:hyperlink w:anchor="AUTO_2012_8" w:history="1">
        <w:r w:rsidRPr="0043655B">
          <w:rPr>
            <w:rStyle w:val="TextoNormalCaracter"/>
          </w:rPr>
          <w:t>8/2012</w:t>
        </w:r>
      </w:hyperlink>
      <w:r>
        <w:t xml:space="preserve">; </w:t>
      </w:r>
      <w:hyperlink w:anchor="AUTO_2012_34" w:history="1">
        <w:r w:rsidRPr="0043655B">
          <w:rPr>
            <w:rStyle w:val="TextoNormalCaracter"/>
          </w:rPr>
          <w:t>34/2012</w:t>
        </w:r>
      </w:hyperlink>
      <w:r>
        <w:t xml:space="preserve">;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 xml:space="preserve">; </w:t>
      </w:r>
      <w:hyperlink w:anchor="AUTO_2012_68" w:history="1">
        <w:r w:rsidRPr="0043655B">
          <w:rPr>
            <w:rStyle w:val="TextoNormalCaracter"/>
          </w:rPr>
          <w:t>68/2012</w:t>
        </w:r>
      </w:hyperlink>
      <w:r>
        <w:t xml:space="preserve">;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1" w:history="1">
        <w:r w:rsidRPr="0043655B">
          <w:rPr>
            <w:rStyle w:val="TextoNormalCaracter"/>
          </w:rPr>
          <w:t>111/2012</w:t>
        </w:r>
      </w:hyperlink>
      <w:r>
        <w:t xml:space="preserve">; </w:t>
      </w:r>
      <w:hyperlink w:anchor="AUTO_2012_119" w:history="1">
        <w:r w:rsidRPr="0043655B">
          <w:rPr>
            <w:rStyle w:val="TextoNormalCaracter"/>
          </w:rPr>
          <w:t>119/2012</w:t>
        </w:r>
      </w:hyperlink>
      <w:r>
        <w:t xml:space="preserve">; </w:t>
      </w:r>
      <w:hyperlink w:anchor="AUTO_2012_127" w:history="1">
        <w:r w:rsidRPr="0043655B">
          <w:rPr>
            <w:rStyle w:val="TextoNormalCaracter"/>
          </w:rPr>
          <w:t>127/2012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38.1.</w:t>
      </w:r>
      <w:r w:rsidRPr="0043655B">
        <w:rPr>
          <w:rStyle w:val="TextoNormalCaracter"/>
        </w:rPr>
        <w:t>-</w:t>
      </w:r>
      <w:r>
        <w:t xml:space="preserve"> Sentencia </w:t>
      </w:r>
      <w:hyperlink w:anchor="SENTENCIA_2012_86" w:history="1">
        <w:r w:rsidRPr="0043655B">
          <w:rPr>
            <w:rStyle w:val="TextoNormalCaracter"/>
          </w:rPr>
          <w:t>86/2012</w:t>
        </w:r>
      </w:hyperlink>
      <w:r>
        <w:t>, ff. 2, 3.</w:t>
      </w:r>
    </w:p>
    <w:p w:rsidR="0043655B" w:rsidRDefault="0043655B" w:rsidP="0043655B">
      <w:pPr>
        <w:pStyle w:val="SangriaIzquierdaArticulo"/>
      </w:pPr>
      <w:r>
        <w:t xml:space="preserve">Autos </w:t>
      </w:r>
      <w:hyperlink w:anchor="AUTO_2012_4" w:history="1">
        <w:r w:rsidRPr="0043655B">
          <w:rPr>
            <w:rStyle w:val="TextoNormalCaracter"/>
          </w:rPr>
          <w:t>4/2012</w:t>
        </w:r>
      </w:hyperlink>
      <w:r>
        <w:t xml:space="preserve">; </w:t>
      </w:r>
      <w:hyperlink w:anchor="AUTO_2012_5" w:history="1">
        <w:r w:rsidRPr="0043655B">
          <w:rPr>
            <w:rStyle w:val="TextoNormalCaracter"/>
          </w:rPr>
          <w:t>5/2012</w:t>
        </w:r>
      </w:hyperlink>
      <w:r>
        <w:t xml:space="preserve">; </w:t>
      </w:r>
      <w:hyperlink w:anchor="AUTO_2012_6" w:history="1">
        <w:r w:rsidRPr="0043655B">
          <w:rPr>
            <w:rStyle w:val="TextoNormalCaracter"/>
          </w:rPr>
          <w:t>6/2012</w:t>
        </w:r>
      </w:hyperlink>
      <w:r>
        <w:t xml:space="preserve">; </w:t>
      </w:r>
      <w:hyperlink w:anchor="AUTO_2012_47" w:history="1">
        <w:r w:rsidRPr="0043655B">
          <w:rPr>
            <w:rStyle w:val="TextoNormalCaracter"/>
          </w:rPr>
          <w:t>47/2012</w:t>
        </w:r>
      </w:hyperlink>
      <w:r>
        <w:t xml:space="preserve">; </w:t>
      </w:r>
      <w:hyperlink w:anchor="AUTO_2012_48" w:history="1">
        <w:r w:rsidRPr="0043655B">
          <w:rPr>
            <w:rStyle w:val="TextoNormalCaracter"/>
          </w:rPr>
          <w:t>48/2012</w:t>
        </w:r>
      </w:hyperlink>
      <w:r>
        <w:t xml:space="preserve">; </w:t>
      </w:r>
      <w:hyperlink w:anchor="AUTO_2012_50" w:history="1">
        <w:r w:rsidRPr="0043655B">
          <w:rPr>
            <w:rStyle w:val="TextoNormalCaracter"/>
          </w:rPr>
          <w:t>50/2012</w:t>
        </w:r>
      </w:hyperlink>
      <w:r>
        <w:t xml:space="preserve">; </w:t>
      </w:r>
      <w:hyperlink w:anchor="AUTO_2012_51" w:history="1">
        <w:r w:rsidRPr="0043655B">
          <w:rPr>
            <w:rStyle w:val="TextoNormalCaracter"/>
          </w:rPr>
          <w:t>51/2012</w:t>
        </w:r>
      </w:hyperlink>
      <w:r>
        <w:t xml:space="preserve">; </w:t>
      </w:r>
      <w:hyperlink w:anchor="AUTO_2012_126" w:history="1">
        <w:r w:rsidRPr="0043655B">
          <w:rPr>
            <w:rStyle w:val="TextoNormalCaracter"/>
          </w:rPr>
          <w:t>126/2012</w:t>
        </w:r>
      </w:hyperlink>
      <w:r>
        <w:t>.</w:t>
      </w:r>
    </w:p>
    <w:p w:rsidR="0043655B" w:rsidRDefault="0043655B" w:rsidP="0043655B">
      <w:pPr>
        <w:pStyle w:val="SangriaFrancesaArticulo"/>
      </w:pPr>
      <w:r w:rsidRPr="0043655B">
        <w:rPr>
          <w:rStyle w:val="TextoNormalNegritaCaracter"/>
        </w:rPr>
        <w:t>Artículo 39.1.</w:t>
      </w:r>
      <w:r w:rsidRPr="0043655B">
        <w:rPr>
          <w:rStyle w:val="TextoNormalCaracter"/>
        </w:rPr>
        <w:t>-</w:t>
      </w:r>
      <w:r>
        <w:t xml:space="preserve"> Sentencias </w:t>
      </w:r>
      <w:hyperlink w:anchor="SENTENCIA_2012_28" w:history="1">
        <w:r w:rsidRPr="0043655B">
          <w:rPr>
            <w:rStyle w:val="TextoNormalCaracter"/>
          </w:rPr>
          <w:t>28/2012</w:t>
        </w:r>
      </w:hyperlink>
      <w:r>
        <w:t xml:space="preserve">, f. 6; </w:t>
      </w:r>
      <w:hyperlink w:anchor="SENTENCIA_2012_80" w:history="1">
        <w:r w:rsidRPr="0043655B">
          <w:rPr>
            <w:rStyle w:val="TextoNormalCaracter"/>
          </w:rPr>
          <w:t>80/2012</w:t>
        </w:r>
      </w:hyperlink>
      <w:r>
        <w:t>, VP II.</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119" w:history="1">
        <w:r w:rsidRPr="0043655B">
          <w:rPr>
            <w:rStyle w:val="TextoNormalCaracter"/>
          </w:rPr>
          <w:t>119/2012</w:t>
        </w:r>
      </w:hyperlink>
      <w:r>
        <w:t>, ff. 6, 8.</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40.1.</w:t>
      </w:r>
      <w:r w:rsidRPr="0043655B">
        <w:rPr>
          <w:rStyle w:val="TextoNormalCaracter"/>
        </w:rPr>
        <w:t>-</w:t>
      </w:r>
      <w:r>
        <w:t xml:space="preserve"> Sentencias </w:t>
      </w:r>
      <w:hyperlink w:anchor="SENTENCIA_2012_1" w:history="1">
        <w:r w:rsidRPr="0043655B">
          <w:rPr>
            <w:rStyle w:val="TextoNormalCaracter"/>
          </w:rPr>
          <w:t>1/2012</w:t>
        </w:r>
      </w:hyperlink>
      <w:r>
        <w:t xml:space="preserve">, f. 3; </w:t>
      </w:r>
      <w:hyperlink w:anchor="SENTENCIA_2012_19" w:history="1">
        <w:r w:rsidRPr="0043655B">
          <w:rPr>
            <w:rStyle w:val="TextoNormalCaracter"/>
          </w:rPr>
          <w:t>19/2012</w:t>
        </w:r>
      </w:hyperlink>
      <w:r>
        <w:t xml:space="preserve">, f. 2; </w:t>
      </w:r>
      <w:hyperlink w:anchor="SENTENCIA_2012_27" w:history="1">
        <w:r w:rsidRPr="0043655B">
          <w:rPr>
            <w:rStyle w:val="TextoNormalCaracter"/>
          </w:rPr>
          <w:t>27/2012</w:t>
        </w:r>
      </w:hyperlink>
      <w:r>
        <w:t xml:space="preserve">, f. 10; </w:t>
      </w:r>
      <w:hyperlink w:anchor="SENTENCIA_2012_111" w:history="1">
        <w:r w:rsidRPr="0043655B">
          <w:rPr>
            <w:rStyle w:val="TextoNormalCaracter"/>
          </w:rPr>
          <w:t>111/2012</w:t>
        </w:r>
      </w:hyperlink>
      <w:r>
        <w:t>, f. 2.</w:t>
      </w:r>
    </w:p>
    <w:p w:rsidR="0043655B" w:rsidRDefault="0043655B" w:rsidP="0043655B">
      <w:pPr>
        <w:pStyle w:val="SangriaFrancesaArticulo"/>
      </w:pPr>
      <w:r w:rsidRPr="0043655B">
        <w:rPr>
          <w:rStyle w:val="TextoNormalNegritaCaracter"/>
        </w:rPr>
        <w:t>Artículo 40.2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 </w:t>
      </w:r>
      <w:hyperlink w:anchor="SENTENCIA_2012_119" w:history="1">
        <w:r w:rsidRPr="0043655B">
          <w:rPr>
            <w:rStyle w:val="TextoNormalCaracter"/>
          </w:rPr>
          <w:t>119/2012</w:t>
        </w:r>
      </w:hyperlink>
      <w:r>
        <w:t>, f. 5.</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18" w:history="1">
        <w:r w:rsidRPr="0043655B">
          <w:rPr>
            <w:rStyle w:val="TextoNormalCaracter"/>
          </w:rPr>
          <w:t>18/2012</w:t>
        </w:r>
      </w:hyperlink>
      <w:r>
        <w:t>, f. 2.</w:t>
      </w:r>
    </w:p>
    <w:p w:rsidR="0043655B" w:rsidRDefault="0043655B" w:rsidP="0043655B">
      <w:pPr>
        <w:pStyle w:val="SangriaIzquierdaArticulo"/>
      </w:pPr>
      <w:r>
        <w:t xml:space="preserve">Auto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41.1.</w:t>
      </w:r>
      <w:r w:rsidRPr="0043655B">
        <w:rPr>
          <w:rStyle w:val="TextoNormalCaracter"/>
        </w:rPr>
        <w:t>-</w:t>
      </w:r>
      <w:r>
        <w:t xml:space="preserve"> Sentencia </w:t>
      </w:r>
      <w:hyperlink w:anchor="SENTENCIA_2012_18" w:history="1">
        <w:r w:rsidRPr="0043655B">
          <w:rPr>
            <w:rStyle w:val="TextoNormalCaracter"/>
          </w:rPr>
          <w:t>18/2012</w:t>
        </w:r>
      </w:hyperlink>
      <w:r>
        <w:t>, f. 2.</w:t>
      </w:r>
    </w:p>
    <w:p w:rsidR="0043655B" w:rsidRDefault="0043655B" w:rsidP="0043655B">
      <w:pPr>
        <w:pStyle w:val="SangriaFrancesaArticulo"/>
      </w:pPr>
      <w:r w:rsidRPr="0043655B">
        <w:rPr>
          <w:rStyle w:val="TextoNormalNegritaCaracter"/>
        </w:rPr>
        <w:t>Artículo 41.2.</w:t>
      </w:r>
      <w:r w:rsidRPr="0043655B">
        <w:rPr>
          <w:rStyle w:val="TextoNormalCaracter"/>
        </w:rPr>
        <w:t>-</w:t>
      </w:r>
      <w:r>
        <w:t xml:space="preserve"> Sentencia </w:t>
      </w:r>
      <w:hyperlink w:anchor="SENTENCIA_2012_18" w:history="1">
        <w:r w:rsidRPr="0043655B">
          <w:rPr>
            <w:rStyle w:val="TextoNormalCaracter"/>
          </w:rPr>
          <w:t>18/2012</w:t>
        </w:r>
      </w:hyperlink>
      <w:r>
        <w:t>, f. 2.</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41.2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Artículos 41 a 46.</w:t>
      </w:r>
      <w:r w:rsidRPr="0043655B">
        <w:rPr>
          <w:rStyle w:val="TextoNormalCaracter"/>
        </w:rPr>
        <w:t>-</w:t>
      </w:r>
      <w:r>
        <w:t xml:space="preserve"> Auto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Sentencias </w:t>
      </w:r>
      <w:hyperlink w:anchor="SENTENCIA_2012_88" w:history="1">
        <w:r w:rsidRPr="0043655B">
          <w:rPr>
            <w:rStyle w:val="TextoNormalCaracter"/>
          </w:rPr>
          <w:t>88/2012</w:t>
        </w:r>
      </w:hyperlink>
      <w:r>
        <w:t xml:space="preserve">, f. 2; </w:t>
      </w:r>
      <w:hyperlink w:anchor="SENTENCIA_2012_107" w:history="1">
        <w:r w:rsidRPr="0043655B">
          <w:rPr>
            <w:rStyle w:val="TextoNormalCaracter"/>
          </w:rPr>
          <w:t>107/2012</w:t>
        </w:r>
      </w:hyperlink>
      <w:r>
        <w:t>, f. 2.</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9" w:history="1">
        <w:r w:rsidRPr="0043655B">
          <w:rPr>
            <w:rStyle w:val="TextoNormalCaracter"/>
          </w:rPr>
          <w:t>9/2012</w:t>
        </w:r>
      </w:hyperlink>
      <w:r>
        <w:t xml:space="preserve">;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lastRenderedPageBreak/>
        <w:t>Artículo 42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Artículos 42 a 44.</w:t>
      </w:r>
      <w:r w:rsidRPr="0043655B">
        <w:rPr>
          <w:rStyle w:val="TextoNormalCaracter"/>
        </w:rPr>
        <w:t>-</w:t>
      </w:r>
      <w:r>
        <w:t xml:space="preserve"> Auto </w:t>
      </w:r>
      <w:hyperlink w:anchor="AUTO_2012_11" w:history="1">
        <w:r w:rsidRPr="0043655B">
          <w:rPr>
            <w:rStyle w:val="TextoNormalCaracter"/>
          </w:rPr>
          <w:t>11/2012</w:t>
        </w:r>
      </w:hyperlink>
      <w:r>
        <w:t>.</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Sentencias </w:t>
      </w:r>
      <w:hyperlink w:anchor="SENTENCIA_2012_70" w:history="1">
        <w:r w:rsidRPr="0043655B">
          <w:rPr>
            <w:rStyle w:val="TextoNormalCaracter"/>
          </w:rPr>
          <w:t>70/2012</w:t>
        </w:r>
      </w:hyperlink>
      <w:r>
        <w:t xml:space="preserve">, f. 2; </w:t>
      </w:r>
      <w:hyperlink w:anchor="SENTENCIA_2012_90" w:history="1">
        <w:r w:rsidRPr="0043655B">
          <w:rPr>
            <w:rStyle w:val="TextoNormalCaracter"/>
          </w:rPr>
          <w:t>90/2012</w:t>
        </w:r>
      </w:hyperlink>
      <w:r>
        <w:t xml:space="preserve">, f. 2; </w:t>
      </w:r>
      <w:hyperlink w:anchor="SENTENCIA_2012_106" w:history="1">
        <w:r w:rsidRPr="0043655B">
          <w:rPr>
            <w:rStyle w:val="TextoNormalCaracter"/>
          </w:rPr>
          <w:t>106/2012</w:t>
        </w:r>
      </w:hyperlink>
      <w:r>
        <w:t xml:space="preserve">, f. 2; </w:t>
      </w:r>
      <w:hyperlink w:anchor="SENTENCIA_2012_107" w:history="1">
        <w:r w:rsidRPr="0043655B">
          <w:rPr>
            <w:rStyle w:val="TextoNormalCaracter"/>
          </w:rPr>
          <w:t>107/2012</w:t>
        </w:r>
      </w:hyperlink>
      <w:r>
        <w:t xml:space="preserve">, ff. 2, 3; </w:t>
      </w:r>
      <w:hyperlink w:anchor="SENTENCIA_2012_109" w:history="1">
        <w:r w:rsidRPr="0043655B">
          <w:rPr>
            <w:rStyle w:val="TextoNormalCaracter"/>
          </w:rPr>
          <w:t>109/2012</w:t>
        </w:r>
      </w:hyperlink>
      <w:r>
        <w:t xml:space="preserve">, f. 2; </w:t>
      </w:r>
      <w:hyperlink w:anchor="SENTENCIA_2012_118" w:history="1">
        <w:r w:rsidRPr="0043655B">
          <w:rPr>
            <w:rStyle w:val="TextoNormalCaracter"/>
          </w:rPr>
          <w:t>118/2012</w:t>
        </w:r>
      </w:hyperlink>
      <w:r>
        <w:t xml:space="preserve">, ff. 2, 3; </w:t>
      </w:r>
      <w:hyperlink w:anchor="SENTENCIA_2012_127" w:history="1">
        <w:r w:rsidRPr="0043655B">
          <w:rPr>
            <w:rStyle w:val="TextoNormalCaracter"/>
          </w:rPr>
          <w:t>127/2012</w:t>
        </w:r>
      </w:hyperlink>
      <w:r>
        <w:t xml:space="preserve">, f. 2; </w:t>
      </w:r>
      <w:hyperlink w:anchor="SENTENCIA_2012_138" w:history="1">
        <w:r w:rsidRPr="0043655B">
          <w:rPr>
            <w:rStyle w:val="TextoNormalCaracter"/>
          </w:rPr>
          <w:t>138/2012</w:t>
        </w:r>
      </w:hyperlink>
      <w:r>
        <w:t>, f. 2.</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42" w:history="1">
        <w:r w:rsidRPr="0043655B">
          <w:rPr>
            <w:rStyle w:val="TextoNormalCaracter"/>
          </w:rPr>
          <w:t>42/2012</w:t>
        </w:r>
      </w:hyperlink>
      <w:r>
        <w:t xml:space="preserve">;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43</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43.2.</w:t>
      </w:r>
      <w:r w:rsidRPr="0043655B">
        <w:rPr>
          <w:rStyle w:val="TextoNormalCaracter"/>
        </w:rPr>
        <w:t>-</w:t>
      </w:r>
      <w:r>
        <w:t xml:space="preserve"> Sentencias </w:t>
      </w:r>
      <w:hyperlink w:anchor="SENTENCIA_2012_55" w:history="1">
        <w:r w:rsidRPr="0043655B">
          <w:rPr>
            <w:rStyle w:val="TextoNormalCaracter"/>
          </w:rPr>
          <w:t>55/2012</w:t>
        </w:r>
      </w:hyperlink>
      <w:r>
        <w:t xml:space="preserve">, f. 2; </w:t>
      </w:r>
      <w:hyperlink w:anchor="SENTENCIA_2012_90" w:history="1">
        <w:r w:rsidRPr="0043655B">
          <w:rPr>
            <w:rStyle w:val="TextoNormalCaracter"/>
          </w:rPr>
          <w:t>90/2012</w:t>
        </w:r>
      </w:hyperlink>
      <w:r>
        <w:t xml:space="preserve">, f. 2; </w:t>
      </w:r>
      <w:hyperlink w:anchor="SENTENCIA_2012_109" w:history="1">
        <w:r w:rsidRPr="0043655B">
          <w:rPr>
            <w:rStyle w:val="TextoNormalCaracter"/>
          </w:rPr>
          <w:t>109/2012</w:t>
        </w:r>
      </w:hyperlink>
      <w:r>
        <w:t xml:space="preserve">, f. 2; </w:t>
      </w:r>
      <w:hyperlink w:anchor="SENTENCIA_2012_127" w:history="1">
        <w:r w:rsidRPr="0043655B">
          <w:rPr>
            <w:rStyle w:val="TextoNormalCaracter"/>
          </w:rPr>
          <w:t>127/2012</w:t>
        </w:r>
      </w:hyperlink>
      <w:r>
        <w:t>, f. 2.</w:t>
      </w:r>
    </w:p>
    <w:p w:rsidR="0043655B" w:rsidRDefault="0043655B" w:rsidP="0043655B">
      <w:pPr>
        <w:pStyle w:val="SangriaFrancesaArticulo"/>
      </w:pPr>
      <w:r w:rsidRPr="0043655B">
        <w:rPr>
          <w:rStyle w:val="TextoNormalNegritaCaracter"/>
        </w:rPr>
        <w:t>Artículo 44.</w:t>
      </w:r>
      <w:r w:rsidRPr="0043655B">
        <w:rPr>
          <w:rStyle w:val="TextoNormalCaracter"/>
        </w:rPr>
        <w:t>-</w:t>
      </w:r>
      <w:r>
        <w:t xml:space="preserve"> Sentencias </w:t>
      </w:r>
      <w:hyperlink w:anchor="SENTENCIA_2012_70" w:history="1">
        <w:r w:rsidRPr="0043655B">
          <w:rPr>
            <w:rStyle w:val="TextoNormalCaracter"/>
          </w:rPr>
          <w:t>70/2012</w:t>
        </w:r>
      </w:hyperlink>
      <w:r>
        <w:t xml:space="preserve">, f. 2; </w:t>
      </w:r>
      <w:hyperlink w:anchor="SENTENCIA_2012_106" w:history="1">
        <w:r w:rsidRPr="0043655B">
          <w:rPr>
            <w:rStyle w:val="TextoNormalCaracter"/>
          </w:rPr>
          <w:t>106/2012</w:t>
        </w:r>
      </w:hyperlink>
      <w:r>
        <w:t xml:space="preserve">, f. 2; </w:t>
      </w:r>
      <w:hyperlink w:anchor="SENTENCIA_2012_107" w:history="1">
        <w:r w:rsidRPr="0043655B">
          <w:rPr>
            <w:rStyle w:val="TextoNormalCaracter"/>
          </w:rPr>
          <w:t>107/2012</w:t>
        </w:r>
      </w:hyperlink>
      <w:r>
        <w:t xml:space="preserve">, ff. 2, 3; </w:t>
      </w:r>
      <w:hyperlink w:anchor="SENTENCIA_2012_118" w:history="1">
        <w:r w:rsidRPr="0043655B">
          <w:rPr>
            <w:rStyle w:val="TextoNormalCaracter"/>
          </w:rPr>
          <w:t>118/2012</w:t>
        </w:r>
      </w:hyperlink>
      <w:r>
        <w:t xml:space="preserve">, f. 2; </w:t>
      </w:r>
      <w:hyperlink w:anchor="SENTENCIA_2012_138" w:history="1">
        <w:r w:rsidRPr="0043655B">
          <w:rPr>
            <w:rStyle w:val="TextoNormalCaracter"/>
          </w:rPr>
          <w:t>138/2012</w:t>
        </w:r>
      </w:hyperlink>
      <w:r>
        <w:t>, f. 2.</w:t>
      </w:r>
    </w:p>
    <w:p w:rsidR="0043655B" w:rsidRDefault="0043655B" w:rsidP="0043655B">
      <w:pPr>
        <w:pStyle w:val="SangriaIzquierdaArticulo"/>
      </w:pPr>
      <w:r>
        <w:t xml:space="preserve">Autos </w:t>
      </w:r>
      <w:hyperlink w:anchor="AUTO_2012_7" w:history="1">
        <w:r w:rsidRPr="0043655B">
          <w:rPr>
            <w:rStyle w:val="TextoNormalCaracter"/>
          </w:rPr>
          <w:t>7/2012</w:t>
        </w:r>
      </w:hyperlink>
      <w:r>
        <w:t xml:space="preserve">; </w:t>
      </w:r>
      <w:hyperlink w:anchor="AUTO_2012_42" w:history="1">
        <w:r w:rsidRPr="0043655B">
          <w:rPr>
            <w:rStyle w:val="TextoNormalCaracter"/>
          </w:rPr>
          <w:t>42/2012</w:t>
        </w:r>
      </w:hyperlink>
      <w:r>
        <w:t xml:space="preserve">;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w:t>
      </w:r>
    </w:p>
    <w:p w:rsidR="0043655B" w:rsidRDefault="0043655B" w:rsidP="0043655B">
      <w:pPr>
        <w:pStyle w:val="SangriaFrancesaArticulo"/>
      </w:pPr>
      <w:r w:rsidRPr="0043655B">
        <w:rPr>
          <w:rStyle w:val="TextoNormalNegritaCaracter"/>
        </w:rPr>
        <w:t>Artículo 44</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9" w:history="1">
        <w:r w:rsidRPr="0043655B">
          <w:rPr>
            <w:rStyle w:val="TextoNormalCaracter"/>
          </w:rPr>
          <w:t>9/2012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44.1 a).</w:t>
      </w:r>
      <w:r w:rsidRPr="0043655B">
        <w:rPr>
          <w:rStyle w:val="TextoNormalCaracter"/>
        </w:rPr>
        <w:t>-</w:t>
      </w:r>
      <w:r>
        <w:t xml:space="preserve"> Sentencias </w:t>
      </w:r>
      <w:hyperlink w:anchor="SENTENCIA_2012_10" w:history="1">
        <w:r w:rsidRPr="0043655B">
          <w:rPr>
            <w:rStyle w:val="TextoNormalCaracter"/>
          </w:rPr>
          <w:t>10/2012</w:t>
        </w:r>
      </w:hyperlink>
      <w:r>
        <w:t xml:space="preserve">, f. 2; </w:t>
      </w:r>
      <w:hyperlink w:anchor="SENTENCIA_2012_55" w:history="1">
        <w:r w:rsidRPr="0043655B">
          <w:rPr>
            <w:rStyle w:val="TextoNormalCaracter"/>
          </w:rPr>
          <w:t>55/2012</w:t>
        </w:r>
      </w:hyperlink>
      <w:r>
        <w:t xml:space="preserve">, f. 2; </w:t>
      </w:r>
      <w:hyperlink w:anchor="SENTENCIA_2012_58" w:history="1">
        <w:r w:rsidRPr="0043655B">
          <w:rPr>
            <w:rStyle w:val="TextoNormalCaracter"/>
          </w:rPr>
          <w:t>58/2012</w:t>
        </w:r>
      </w:hyperlink>
      <w:r>
        <w:t xml:space="preserve">, f. 3; </w:t>
      </w:r>
      <w:hyperlink w:anchor="SENTENCIA_2012_60" w:history="1">
        <w:r w:rsidRPr="0043655B">
          <w:rPr>
            <w:rStyle w:val="TextoNormalCaracter"/>
          </w:rPr>
          <w:t>60/2012</w:t>
        </w:r>
      </w:hyperlink>
      <w:r>
        <w:t xml:space="preserve">, f. 3; </w:t>
      </w:r>
      <w:hyperlink w:anchor="SENTENCIA_2012_63" w:history="1">
        <w:r w:rsidRPr="0043655B">
          <w:rPr>
            <w:rStyle w:val="TextoNormalCaracter"/>
          </w:rPr>
          <w:t>63/2012</w:t>
        </w:r>
      </w:hyperlink>
      <w:r>
        <w:t xml:space="preserve">, ff. 2, 3; </w:t>
      </w:r>
      <w:hyperlink w:anchor="SENTENCIA_2012_76" w:history="1">
        <w:r w:rsidRPr="0043655B">
          <w:rPr>
            <w:rStyle w:val="TextoNormalCaracter"/>
          </w:rPr>
          <w:t>76/2012</w:t>
        </w:r>
      </w:hyperlink>
      <w:r>
        <w:t xml:space="preserve">, f. 2; </w:t>
      </w:r>
      <w:hyperlink w:anchor="SENTENCIA_2012_128" w:history="1">
        <w:r w:rsidRPr="0043655B">
          <w:rPr>
            <w:rStyle w:val="TextoNormalCaracter"/>
          </w:rPr>
          <w:t>128/2012</w:t>
        </w:r>
      </w:hyperlink>
      <w:r>
        <w:t>, passim.</w:t>
      </w:r>
    </w:p>
    <w:p w:rsidR="0043655B" w:rsidRDefault="0043655B" w:rsidP="0043655B">
      <w:pPr>
        <w:pStyle w:val="SangriaIzquierdaArticulo"/>
      </w:pPr>
      <w:r>
        <w:t xml:space="preserve">Autos </w:t>
      </w:r>
      <w:hyperlink w:anchor="AUTO_2012_11" w:history="1">
        <w:r w:rsidRPr="0043655B">
          <w:rPr>
            <w:rStyle w:val="TextoNormalCaracter"/>
          </w:rPr>
          <w:t>11/2012</w:t>
        </w:r>
      </w:hyperlink>
      <w:r>
        <w:t xml:space="preserve">; </w:t>
      </w:r>
      <w:hyperlink w:anchor="AUTO_2012_130" w:history="1">
        <w:r w:rsidRPr="0043655B">
          <w:rPr>
            <w:rStyle w:val="TextoNormalCaracter"/>
          </w:rPr>
          <w:t>130/2012</w:t>
        </w:r>
      </w:hyperlink>
      <w:r>
        <w:t xml:space="preserve">; </w:t>
      </w:r>
      <w:hyperlink w:anchor="AUTO_2012_131" w:history="1">
        <w:r w:rsidRPr="0043655B">
          <w:rPr>
            <w:rStyle w:val="TextoNormalCaracter"/>
          </w:rPr>
          <w:t>131/2012</w:t>
        </w:r>
      </w:hyperlink>
      <w:r>
        <w:t>.</w:t>
      </w:r>
    </w:p>
    <w:p w:rsidR="0043655B" w:rsidRDefault="0043655B" w:rsidP="0043655B">
      <w:pPr>
        <w:pStyle w:val="SangriaFrancesaArticulo"/>
      </w:pPr>
      <w:r w:rsidRPr="0043655B">
        <w:rPr>
          <w:rStyle w:val="TextoNormalNegritaCaracter"/>
        </w:rPr>
        <w:t>Artículo 44.1 b).</w:t>
      </w:r>
      <w:r w:rsidRPr="0043655B">
        <w:rPr>
          <w:rStyle w:val="TextoNormalCaracter"/>
        </w:rPr>
        <w:t>-</w:t>
      </w:r>
      <w:r>
        <w:t xml:space="preserve"> Sentencias </w:t>
      </w:r>
      <w:hyperlink w:anchor="SENTENCIA_2012_12" w:history="1">
        <w:r w:rsidRPr="0043655B">
          <w:rPr>
            <w:rStyle w:val="TextoNormalCaracter"/>
          </w:rPr>
          <w:t>12/2012</w:t>
        </w:r>
      </w:hyperlink>
      <w:r>
        <w:t xml:space="preserve">, f. 2; </w:t>
      </w:r>
      <w:hyperlink w:anchor="SENTENCIA_2012_138" w:history="1">
        <w:r w:rsidRPr="0043655B">
          <w:rPr>
            <w:rStyle w:val="TextoNormalCaracter"/>
          </w:rPr>
          <w:t>138/2012</w:t>
        </w:r>
      </w:hyperlink>
      <w:r>
        <w:t>, f. 1.</w:t>
      </w:r>
    </w:p>
    <w:p w:rsidR="0043655B" w:rsidRDefault="0043655B" w:rsidP="0043655B">
      <w:pPr>
        <w:pStyle w:val="SangriaFrancesaArticulo"/>
      </w:pPr>
      <w:r w:rsidRPr="0043655B">
        <w:rPr>
          <w:rStyle w:val="TextoNormalNegritaCaracter"/>
        </w:rPr>
        <w:t>Artículo 44.1 c).</w:t>
      </w:r>
      <w:r w:rsidRPr="0043655B">
        <w:rPr>
          <w:rStyle w:val="TextoNormalCaracter"/>
        </w:rPr>
        <w:t>-</w:t>
      </w:r>
      <w:r>
        <w:t xml:space="preserve"> Sentencias </w:t>
      </w:r>
      <w:hyperlink w:anchor="SENTENCIA_2012_13" w:history="1">
        <w:r w:rsidRPr="0043655B">
          <w:rPr>
            <w:rStyle w:val="TextoNormalCaracter"/>
          </w:rPr>
          <w:t>13/2012</w:t>
        </w:r>
      </w:hyperlink>
      <w:r>
        <w:t xml:space="preserve">, f. 2; </w:t>
      </w:r>
      <w:hyperlink w:anchor="SENTENCIA_2012_39" w:history="1">
        <w:r w:rsidRPr="0043655B">
          <w:rPr>
            <w:rStyle w:val="TextoNormalCaracter"/>
          </w:rPr>
          <w:t>39/2012</w:t>
        </w:r>
      </w:hyperlink>
      <w:r>
        <w:t xml:space="preserve">, f. 2; </w:t>
      </w:r>
      <w:hyperlink w:anchor="SENTENCIA_2012_40" w:history="1">
        <w:r w:rsidRPr="0043655B">
          <w:rPr>
            <w:rStyle w:val="TextoNormalCaracter"/>
          </w:rPr>
          <w:t>40/2012</w:t>
        </w:r>
      </w:hyperlink>
      <w:r>
        <w:t xml:space="preserve">, ff. 2, 3; </w:t>
      </w:r>
      <w:hyperlink w:anchor="SENTENCIA_2012_41" w:history="1">
        <w:r w:rsidRPr="0043655B">
          <w:rPr>
            <w:rStyle w:val="TextoNormalCaracter"/>
          </w:rPr>
          <w:t>41/2012</w:t>
        </w:r>
      </w:hyperlink>
      <w:r>
        <w:t xml:space="preserve">, ff. 3, 4; </w:t>
      </w:r>
      <w:hyperlink w:anchor="SENTENCIA_2012_42" w:history="1">
        <w:r w:rsidRPr="0043655B">
          <w:rPr>
            <w:rStyle w:val="TextoNormalCaracter"/>
          </w:rPr>
          <w:t>42/2012</w:t>
        </w:r>
      </w:hyperlink>
      <w:r>
        <w:t xml:space="preserve">, f. 3; </w:t>
      </w:r>
      <w:hyperlink w:anchor="SENTENCIA_2012_44" w:history="1">
        <w:r w:rsidRPr="0043655B">
          <w:rPr>
            <w:rStyle w:val="TextoNormalCaracter"/>
          </w:rPr>
          <w:t>44/2012</w:t>
        </w:r>
      </w:hyperlink>
      <w:r>
        <w:t xml:space="preserve">, f. 2; </w:t>
      </w:r>
      <w:hyperlink w:anchor="SENTENCIA_2012_45" w:history="1">
        <w:r w:rsidRPr="0043655B">
          <w:rPr>
            <w:rStyle w:val="TextoNormalCaracter"/>
          </w:rPr>
          <w:t>45/2012</w:t>
        </w:r>
      </w:hyperlink>
      <w:r>
        <w:t xml:space="preserve">, f. 2; </w:t>
      </w:r>
      <w:hyperlink w:anchor="SENTENCIA_2012_48" w:history="1">
        <w:r w:rsidRPr="0043655B">
          <w:rPr>
            <w:rStyle w:val="TextoNormalCaracter"/>
          </w:rPr>
          <w:t>48/2012</w:t>
        </w:r>
      </w:hyperlink>
      <w:r>
        <w:t xml:space="preserve">, f. 3; </w:t>
      </w:r>
      <w:hyperlink w:anchor="SENTENCIA_2012_49" w:history="1">
        <w:r w:rsidRPr="0043655B">
          <w:rPr>
            <w:rStyle w:val="TextoNormalCaracter"/>
          </w:rPr>
          <w:t>49/2012</w:t>
        </w:r>
      </w:hyperlink>
      <w:r>
        <w:t xml:space="preserve">, f. 2; </w:t>
      </w:r>
      <w:hyperlink w:anchor="SENTENCIA_2012_51" w:history="1">
        <w:r w:rsidRPr="0043655B">
          <w:rPr>
            <w:rStyle w:val="TextoNormalCaracter"/>
          </w:rPr>
          <w:t>51/2012</w:t>
        </w:r>
      </w:hyperlink>
      <w:r>
        <w:t xml:space="preserve">, f. 3; </w:t>
      </w:r>
      <w:hyperlink w:anchor="SENTENCIA_2012_52" w:history="1">
        <w:r w:rsidRPr="0043655B">
          <w:rPr>
            <w:rStyle w:val="TextoNormalCaracter"/>
          </w:rPr>
          <w:t>52/2012</w:t>
        </w:r>
      </w:hyperlink>
      <w:r>
        <w:t xml:space="preserve">, f. 2; </w:t>
      </w:r>
      <w:hyperlink w:anchor="SENTENCIA_2012_53" w:history="1">
        <w:r w:rsidRPr="0043655B">
          <w:rPr>
            <w:rStyle w:val="TextoNormalCaracter"/>
          </w:rPr>
          <w:t>53/2012</w:t>
        </w:r>
      </w:hyperlink>
      <w:r>
        <w:t xml:space="preserve">, f. 2; </w:t>
      </w:r>
      <w:hyperlink w:anchor="SENTENCIA_2012_61" w:history="1">
        <w:r w:rsidRPr="0043655B">
          <w:rPr>
            <w:rStyle w:val="TextoNormalCaracter"/>
          </w:rPr>
          <w:t>61/2012</w:t>
        </w:r>
      </w:hyperlink>
      <w:r>
        <w:t xml:space="preserve">, f. 5; </w:t>
      </w:r>
      <w:hyperlink w:anchor="SENTENCIA_2012_65" w:history="1">
        <w:r w:rsidRPr="0043655B">
          <w:rPr>
            <w:rStyle w:val="TextoNormalCaracter"/>
          </w:rPr>
          <w:t>65/2012</w:t>
        </w:r>
      </w:hyperlink>
      <w:r>
        <w:t xml:space="preserve">, f. 2; </w:t>
      </w:r>
      <w:hyperlink w:anchor="SENTENCIA_2012_69" w:history="1">
        <w:r w:rsidRPr="0043655B">
          <w:rPr>
            <w:rStyle w:val="TextoNormalCaracter"/>
          </w:rPr>
          <w:t>69/2012</w:t>
        </w:r>
      </w:hyperlink>
      <w:r>
        <w:t xml:space="preserve">, f. 2; </w:t>
      </w:r>
      <w:hyperlink w:anchor="SENTENCIA_2012_106" w:history="1">
        <w:r w:rsidRPr="0043655B">
          <w:rPr>
            <w:rStyle w:val="TextoNormalCaracter"/>
          </w:rPr>
          <w:t>106/2012</w:t>
        </w:r>
      </w:hyperlink>
      <w:r>
        <w:t xml:space="preserve">, ff. 1, 2; </w:t>
      </w:r>
      <w:hyperlink w:anchor="SENTENCIA_2012_113" w:history="1">
        <w:r w:rsidRPr="0043655B">
          <w:rPr>
            <w:rStyle w:val="TextoNormalCaracter"/>
          </w:rPr>
          <w:t>113/2012</w:t>
        </w:r>
      </w:hyperlink>
      <w:r>
        <w:t xml:space="preserve">, f. 4, VP III, VP IV; </w:t>
      </w:r>
      <w:hyperlink w:anchor="SENTENCIA_2012_116" w:history="1">
        <w:r w:rsidRPr="0043655B">
          <w:rPr>
            <w:rStyle w:val="TextoNormalCaracter"/>
          </w:rPr>
          <w:t>116/2012</w:t>
        </w:r>
      </w:hyperlink>
      <w:r>
        <w:t>, f. 2.</w:t>
      </w:r>
    </w:p>
    <w:p w:rsidR="0043655B" w:rsidRDefault="0043655B" w:rsidP="0043655B">
      <w:pPr>
        <w:pStyle w:val="SangriaFrancesaArticulo"/>
      </w:pPr>
      <w:r w:rsidRPr="0043655B">
        <w:rPr>
          <w:rStyle w:val="TextoNormalNegritaCaracter"/>
        </w:rPr>
        <w:t>Artículo 44.1 c)</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 </w:t>
      </w:r>
      <w:hyperlink w:anchor="SENTENCIA_2012_96" w:history="1">
        <w:r w:rsidRPr="0043655B">
          <w:rPr>
            <w:rStyle w:val="TextoNormalCaracter"/>
          </w:rPr>
          <w:t>96/2012</w:t>
        </w:r>
      </w:hyperlink>
      <w:r>
        <w:t>, ff. 1, 3.</w:t>
      </w:r>
    </w:p>
    <w:p w:rsidR="0043655B" w:rsidRDefault="0043655B" w:rsidP="0043655B">
      <w:pPr>
        <w:pStyle w:val="SangriaFrancesaArticulo"/>
      </w:pPr>
      <w:r w:rsidRPr="0043655B">
        <w:rPr>
          <w:rStyle w:val="TextoNormalNegritaCaracter"/>
        </w:rPr>
        <w:t>Artículo 44.2.</w:t>
      </w:r>
      <w:r w:rsidRPr="0043655B">
        <w:rPr>
          <w:rStyle w:val="TextoNormalCaracter"/>
        </w:rPr>
        <w:t>-</w:t>
      </w:r>
      <w:r>
        <w:t xml:space="preserve"> Sentencias </w:t>
      </w:r>
      <w:hyperlink w:anchor="SENTENCIA_2012_17" w:history="1">
        <w:r w:rsidRPr="0043655B">
          <w:rPr>
            <w:rStyle w:val="TextoNormalCaracter"/>
          </w:rPr>
          <w:t>17/2012</w:t>
        </w:r>
      </w:hyperlink>
      <w:r>
        <w:t xml:space="preserve">, ff. 3, 4; </w:t>
      </w:r>
      <w:hyperlink w:anchor="SENTENCIA_2012_23" w:history="1">
        <w:r w:rsidRPr="0043655B">
          <w:rPr>
            <w:rStyle w:val="TextoNormalCaracter"/>
          </w:rPr>
          <w:t>23/2012</w:t>
        </w:r>
      </w:hyperlink>
      <w:r>
        <w:t xml:space="preserve">, ff. 2, 4; </w:t>
      </w:r>
      <w:hyperlink w:anchor="SENTENCIA_2012_55" w:history="1">
        <w:r w:rsidRPr="0043655B">
          <w:rPr>
            <w:rStyle w:val="TextoNormalCaracter"/>
          </w:rPr>
          <w:t>55/2012</w:t>
        </w:r>
      </w:hyperlink>
      <w:r>
        <w:t>, f. 2.</w:t>
      </w:r>
    </w:p>
    <w:p w:rsidR="0043655B" w:rsidRDefault="0043655B" w:rsidP="0043655B">
      <w:pPr>
        <w:pStyle w:val="SangriaIzquierdaArticulo"/>
      </w:pPr>
      <w:r>
        <w:t xml:space="preserve">Auto </w:t>
      </w:r>
      <w:hyperlink w:anchor="AUTO_2012_24" w:history="1">
        <w:r w:rsidRPr="0043655B">
          <w:rPr>
            <w:rStyle w:val="TextoNormalCaracter"/>
          </w:rPr>
          <w:t>24/2012</w:t>
        </w:r>
      </w:hyperlink>
      <w:r>
        <w:t>.</w:t>
      </w:r>
    </w:p>
    <w:p w:rsidR="0043655B" w:rsidRDefault="0043655B" w:rsidP="0043655B">
      <w:pPr>
        <w:pStyle w:val="SangriaFrancesaArticulo"/>
      </w:pPr>
      <w:r w:rsidRPr="0043655B">
        <w:rPr>
          <w:rStyle w:val="TextoNormalNegritaCaracter"/>
        </w:rPr>
        <w:t>Artículo 44.2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Sentencias </w:t>
      </w:r>
      <w:hyperlink w:anchor="SENTENCIA_2012_113" w:history="1">
        <w:r w:rsidRPr="0043655B">
          <w:rPr>
            <w:rStyle w:val="TextoNormalCaracter"/>
          </w:rPr>
          <w:t>113/2012</w:t>
        </w:r>
      </w:hyperlink>
      <w:r>
        <w:t xml:space="preserve">, f. 2, VP I, VP II, VP III, VP IV; </w:t>
      </w:r>
      <w:hyperlink w:anchor="SENTENCIA_2012_119" w:history="1">
        <w:r w:rsidRPr="0043655B">
          <w:rPr>
            <w:rStyle w:val="TextoNormalCaracter"/>
          </w:rPr>
          <w:t>119/2012</w:t>
        </w:r>
      </w:hyperlink>
      <w:r>
        <w:t>, f. 2.</w:t>
      </w:r>
    </w:p>
    <w:p w:rsidR="0043655B" w:rsidRDefault="0043655B" w:rsidP="0043655B">
      <w:pPr>
        <w:pStyle w:val="SangriaIzquierdaArticulo"/>
      </w:pPr>
      <w:r>
        <w:t xml:space="preserve">Auto </w:t>
      </w:r>
      <w:hyperlink w:anchor="AUTO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45.</w:t>
      </w:r>
      <w:r w:rsidRPr="0043655B">
        <w:rPr>
          <w:rStyle w:val="TextoNormalCaracter"/>
        </w:rPr>
        <w:t>-</w:t>
      </w:r>
      <w:r>
        <w:t xml:space="preserve"> Auto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Auto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46.1 b).</w:t>
      </w:r>
      <w:r w:rsidRPr="0043655B">
        <w:rPr>
          <w:rStyle w:val="TextoNormalCaracter"/>
        </w:rPr>
        <w:t>-</w:t>
      </w:r>
      <w:r>
        <w:t xml:space="preserve"> Sentencias </w:t>
      </w:r>
      <w:hyperlink w:anchor="SENTENCIA_2012_96" w:history="1">
        <w:r w:rsidRPr="0043655B">
          <w:rPr>
            <w:rStyle w:val="TextoNormalCaracter"/>
          </w:rPr>
          <w:t>96/2012</w:t>
        </w:r>
      </w:hyperlink>
      <w:r>
        <w:t xml:space="preserve">, f. 2; </w:t>
      </w:r>
      <w:hyperlink w:anchor="SENTENCIA_2012_138" w:history="1">
        <w:r w:rsidRPr="0043655B">
          <w:rPr>
            <w:rStyle w:val="TextoNormalCaracter"/>
          </w:rPr>
          <w:t>138/2012</w:t>
        </w:r>
      </w:hyperlink>
      <w:r>
        <w:t>, f. 2.</w:t>
      </w:r>
    </w:p>
    <w:p w:rsidR="0043655B" w:rsidRDefault="0043655B" w:rsidP="0043655B">
      <w:pPr>
        <w:pStyle w:val="SangriaIzquierdaArticulo"/>
      </w:pPr>
      <w:r>
        <w:t xml:space="preserve">Auto </w:t>
      </w:r>
      <w:hyperlink w:anchor="AUTO_2012_30" w:history="1">
        <w:r w:rsidRPr="0043655B">
          <w:rPr>
            <w:rStyle w:val="TextoNormalCaracter"/>
          </w:rPr>
          <w:t>30/2012</w:t>
        </w:r>
      </w:hyperlink>
      <w:r>
        <w:t>.</w:t>
      </w:r>
    </w:p>
    <w:p w:rsidR="0043655B" w:rsidRDefault="0043655B" w:rsidP="0043655B">
      <w:pPr>
        <w:pStyle w:val="SangriaFrancesaArticulo"/>
      </w:pPr>
      <w:r w:rsidRPr="0043655B">
        <w:rPr>
          <w:rStyle w:val="TextoNormalNegritaCaracter"/>
        </w:rPr>
        <w:t>Artículo 48.</w:t>
      </w:r>
      <w:r w:rsidRPr="0043655B">
        <w:rPr>
          <w:rStyle w:val="TextoNormalCaracter"/>
        </w:rPr>
        <w:t>-</w:t>
      </w:r>
      <w:r>
        <w:t xml:space="preserve"> Sentencias </w:t>
      </w:r>
      <w:hyperlink w:anchor="SENTENCIA_2012_58" w:history="1">
        <w:r w:rsidRPr="0043655B">
          <w:rPr>
            <w:rStyle w:val="TextoNormalCaracter"/>
          </w:rPr>
          <w:t>58/2012</w:t>
        </w:r>
      </w:hyperlink>
      <w:r>
        <w:t xml:space="preserve">, f. 2; </w:t>
      </w:r>
      <w:hyperlink w:anchor="SENTENCIA_2012_60" w:history="1">
        <w:r w:rsidRPr="0043655B">
          <w:rPr>
            <w:rStyle w:val="TextoNormalCaracter"/>
          </w:rPr>
          <w:t>60/2012</w:t>
        </w:r>
      </w:hyperlink>
      <w:r>
        <w:t>, f. 2.</w:t>
      </w:r>
    </w:p>
    <w:p w:rsidR="0043655B" w:rsidRDefault="0043655B" w:rsidP="0043655B">
      <w:pPr>
        <w:pStyle w:val="SangriaFrancesaArticulo"/>
      </w:pPr>
      <w:r w:rsidRPr="0043655B">
        <w:rPr>
          <w:rStyle w:val="TextoNormalNegritaCaracter"/>
        </w:rPr>
        <w:t>Artículo 49.</w:t>
      </w:r>
      <w:r w:rsidRPr="0043655B">
        <w:rPr>
          <w:rStyle w:val="TextoNormalCaracter"/>
        </w:rPr>
        <w:t>-</w:t>
      </w:r>
      <w:r>
        <w:t xml:space="preserve"> Autos </w:t>
      </w:r>
      <w:hyperlink w:anchor="AUTO_2012_42" w:history="1">
        <w:r w:rsidRPr="0043655B">
          <w:rPr>
            <w:rStyle w:val="TextoNormalCaracter"/>
          </w:rPr>
          <w:t>42/2012</w:t>
        </w:r>
      </w:hyperlink>
      <w:r>
        <w:t xml:space="preserve">;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49.1.</w:t>
      </w:r>
      <w:r w:rsidRPr="0043655B">
        <w:rPr>
          <w:rStyle w:val="TextoNormalCaracter"/>
        </w:rPr>
        <w:t>-</w:t>
      </w:r>
      <w:r>
        <w:t xml:space="preserve"> Sentencias </w:t>
      </w:r>
      <w:hyperlink w:anchor="SENTENCIA_2012_10" w:history="1">
        <w:r w:rsidRPr="0043655B">
          <w:rPr>
            <w:rStyle w:val="TextoNormalCaracter"/>
          </w:rPr>
          <w:t>10/2012</w:t>
        </w:r>
      </w:hyperlink>
      <w:r>
        <w:t xml:space="preserve">, f. 1; </w:t>
      </w:r>
      <w:hyperlink w:anchor="SENTENCIA_2012_76" w:history="1">
        <w:r w:rsidRPr="0043655B">
          <w:rPr>
            <w:rStyle w:val="TextoNormalCaracter"/>
          </w:rPr>
          <w:t>76/2012</w:t>
        </w:r>
      </w:hyperlink>
      <w:r>
        <w:t xml:space="preserve">, f. 2; </w:t>
      </w:r>
      <w:hyperlink w:anchor="SENTENCIA_2012_105" w:history="1">
        <w:r w:rsidRPr="0043655B">
          <w:rPr>
            <w:rStyle w:val="TextoNormalCaracter"/>
          </w:rPr>
          <w:t>105/2012</w:t>
        </w:r>
      </w:hyperlink>
      <w:r>
        <w:t xml:space="preserve">, ff. 2, 3; </w:t>
      </w:r>
      <w:hyperlink w:anchor="SENTENCIA_2012_107" w:history="1">
        <w:r w:rsidRPr="0043655B">
          <w:rPr>
            <w:rStyle w:val="TextoNormalCaracter"/>
          </w:rPr>
          <w:t>107/2012</w:t>
        </w:r>
      </w:hyperlink>
      <w:r>
        <w:t xml:space="preserve">, f. 2; </w:t>
      </w:r>
      <w:hyperlink w:anchor="SENTENCIA_2012_138" w:history="1">
        <w:r w:rsidRPr="0043655B">
          <w:rPr>
            <w:rStyle w:val="TextoNormalCaracter"/>
          </w:rPr>
          <w:t>138/2012</w:t>
        </w:r>
      </w:hyperlink>
      <w:r>
        <w:t>, f. 3.</w:t>
      </w:r>
    </w:p>
    <w:p w:rsidR="0043655B" w:rsidRDefault="0043655B" w:rsidP="0043655B">
      <w:pPr>
        <w:pStyle w:val="SangriaIzquierdaArticulo"/>
      </w:pPr>
      <w:r>
        <w:t xml:space="preserve">Autos </w:t>
      </w:r>
      <w:hyperlink w:anchor="AUTO_2012_11" w:history="1">
        <w:r w:rsidRPr="0043655B">
          <w:rPr>
            <w:rStyle w:val="TextoNormalCaracter"/>
          </w:rPr>
          <w:t>11/2012</w:t>
        </w:r>
      </w:hyperlink>
      <w:r>
        <w:t xml:space="preserve">; </w:t>
      </w:r>
      <w:hyperlink w:anchor="AUTO_2012_24" w:history="1">
        <w:r w:rsidRPr="0043655B">
          <w:rPr>
            <w:rStyle w:val="TextoNormalCaracter"/>
          </w:rPr>
          <w:t>24/2012</w:t>
        </w:r>
      </w:hyperlink>
      <w:r>
        <w:t xml:space="preserve">; </w:t>
      </w:r>
      <w:hyperlink w:anchor="AUTO_2012_26" w:history="1">
        <w:r w:rsidRPr="0043655B">
          <w:rPr>
            <w:rStyle w:val="TextoNormalCaracter"/>
          </w:rPr>
          <w:t>26/2012</w:t>
        </w:r>
      </w:hyperlink>
      <w:r>
        <w:t xml:space="preserve">;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49.1</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1" w:history="1">
        <w:r w:rsidRPr="0043655B">
          <w:rPr>
            <w:rStyle w:val="TextoNormalCaracter"/>
          </w:rPr>
          <w:t>11/2012</w:t>
        </w:r>
      </w:hyperlink>
      <w:r>
        <w:t xml:space="preserve">; </w:t>
      </w:r>
      <w:hyperlink w:anchor="AUTO_2012_131" w:history="1">
        <w:r w:rsidRPr="0043655B">
          <w:rPr>
            <w:rStyle w:val="TextoNormalCaracter"/>
          </w:rPr>
          <w:t>131/2012</w:t>
        </w:r>
      </w:hyperlink>
      <w:r>
        <w:t>.</w:t>
      </w:r>
    </w:p>
    <w:p w:rsidR="0043655B" w:rsidRDefault="0043655B" w:rsidP="0043655B">
      <w:pPr>
        <w:pStyle w:val="SangriaFrancesaArticulo"/>
      </w:pPr>
      <w:r w:rsidRPr="0043655B">
        <w:rPr>
          <w:rStyle w:val="TextoNormalNegritaCaracter"/>
        </w:rPr>
        <w:t>Artículo 49.2 a).</w:t>
      </w:r>
      <w:r w:rsidRPr="0043655B">
        <w:rPr>
          <w:rStyle w:val="TextoNormalCaracter"/>
        </w:rPr>
        <w:t>-</w:t>
      </w:r>
      <w:r>
        <w:t xml:space="preserve"> Sentencia </w:t>
      </w:r>
      <w:hyperlink w:anchor="SENTENCIA_2012_118" w:history="1">
        <w:r w:rsidRPr="0043655B">
          <w:rPr>
            <w:rStyle w:val="TextoNormalCaracter"/>
          </w:rPr>
          <w:t>118/2012</w:t>
        </w:r>
      </w:hyperlink>
      <w:r>
        <w:t>, f. 2.</w:t>
      </w:r>
    </w:p>
    <w:p w:rsidR="0043655B" w:rsidRDefault="0043655B" w:rsidP="0043655B">
      <w:pPr>
        <w:pStyle w:val="SangriaFrancesaArticulo"/>
      </w:pPr>
      <w:r w:rsidRPr="0043655B">
        <w:rPr>
          <w:rStyle w:val="TextoNormalNegritaCaracter"/>
        </w:rPr>
        <w:t>Artículo 50.</w:t>
      </w:r>
      <w:r w:rsidRPr="0043655B">
        <w:rPr>
          <w:rStyle w:val="TextoNormalCaracter"/>
        </w:rPr>
        <w:t>-</w:t>
      </w:r>
      <w:r>
        <w:t xml:space="preserve"> Auto </w:t>
      </w:r>
      <w:hyperlink w:anchor="AUTO_2012_16" w:history="1">
        <w:r w:rsidRPr="0043655B">
          <w:rPr>
            <w:rStyle w:val="TextoNormalCaracter"/>
          </w:rPr>
          <w:t>16/2012</w:t>
        </w:r>
      </w:hyperlink>
      <w:r>
        <w:t>.</w:t>
      </w:r>
    </w:p>
    <w:p w:rsidR="0043655B" w:rsidRDefault="0043655B" w:rsidP="0043655B">
      <w:pPr>
        <w:pStyle w:val="SangriaFrancesaArticulo"/>
      </w:pPr>
      <w:r w:rsidRPr="0043655B">
        <w:rPr>
          <w:rStyle w:val="TextoNormalNegritaCaracter"/>
        </w:rPr>
        <w:t>Artículo 50.1.</w:t>
      </w:r>
      <w:r w:rsidRPr="0043655B">
        <w:rPr>
          <w:rStyle w:val="TextoNormalCaracter"/>
        </w:rPr>
        <w:t>-</w:t>
      </w:r>
      <w:r>
        <w:t xml:space="preserve"> Sentencia </w:t>
      </w:r>
      <w:hyperlink w:anchor="SENTENCIA_2012_105" w:history="1">
        <w:r w:rsidRPr="0043655B">
          <w:rPr>
            <w:rStyle w:val="TextoNormalCaracter"/>
          </w:rPr>
          <w:t>105/2012</w:t>
        </w:r>
      </w:hyperlink>
      <w:r>
        <w:t>, f. 3.</w:t>
      </w:r>
    </w:p>
    <w:p w:rsidR="0043655B" w:rsidRDefault="0043655B" w:rsidP="0043655B">
      <w:pPr>
        <w:pStyle w:val="SangriaIzquierdaArticulo"/>
      </w:pPr>
      <w:r>
        <w:t xml:space="preserve">Autos </w:t>
      </w:r>
      <w:hyperlink w:anchor="AUTO_2012_24" w:history="1">
        <w:r w:rsidRPr="0043655B">
          <w:rPr>
            <w:rStyle w:val="TextoNormalCaracter"/>
          </w:rPr>
          <w:t>24/2012</w:t>
        </w:r>
      </w:hyperlink>
      <w:r>
        <w:t xml:space="preserve">;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50.1 a).</w:t>
      </w:r>
      <w:r w:rsidRPr="0043655B">
        <w:rPr>
          <w:rStyle w:val="TextoNormalCaracter"/>
        </w:rPr>
        <w:t>-</w:t>
      </w:r>
      <w:r>
        <w:t xml:space="preserve"> Sentencias </w:t>
      </w:r>
      <w:hyperlink w:anchor="SENTENCIA_2012_13" w:history="1">
        <w:r w:rsidRPr="0043655B">
          <w:rPr>
            <w:rStyle w:val="TextoNormalCaracter"/>
          </w:rPr>
          <w:t>13/2012</w:t>
        </w:r>
      </w:hyperlink>
      <w:r>
        <w:t xml:space="preserve">, f. 2; </w:t>
      </w:r>
      <w:hyperlink w:anchor="SENTENCIA_2012_53" w:history="1">
        <w:r w:rsidRPr="0043655B">
          <w:rPr>
            <w:rStyle w:val="TextoNormalCaracter"/>
          </w:rPr>
          <w:t>53/2012</w:t>
        </w:r>
      </w:hyperlink>
      <w:r>
        <w:t xml:space="preserve">, f. 2; </w:t>
      </w:r>
      <w:hyperlink w:anchor="SENTENCIA_2012_106" w:history="1">
        <w:r w:rsidRPr="0043655B">
          <w:rPr>
            <w:rStyle w:val="TextoNormalCaracter"/>
          </w:rPr>
          <w:t>106/2012</w:t>
        </w:r>
      </w:hyperlink>
      <w:r>
        <w:t xml:space="preserve">, f. 2; </w:t>
      </w:r>
      <w:hyperlink w:anchor="SENTENCIA_2012_107" w:history="1">
        <w:r w:rsidRPr="0043655B">
          <w:rPr>
            <w:rStyle w:val="TextoNormalCaracter"/>
          </w:rPr>
          <w:t>107/2012</w:t>
        </w:r>
      </w:hyperlink>
      <w:r>
        <w:t xml:space="preserve">, f. 1; </w:t>
      </w:r>
      <w:hyperlink w:anchor="SENTENCIA_2012_113" w:history="1">
        <w:r w:rsidRPr="0043655B">
          <w:rPr>
            <w:rStyle w:val="TextoNormalCaracter"/>
          </w:rPr>
          <w:t>113/2012</w:t>
        </w:r>
      </w:hyperlink>
      <w:r>
        <w:t>, f. 2, VP II.</w:t>
      </w:r>
    </w:p>
    <w:p w:rsidR="0043655B" w:rsidRDefault="0043655B" w:rsidP="0043655B">
      <w:pPr>
        <w:pStyle w:val="SangriaIzquierdaArticulo"/>
      </w:pPr>
      <w:r>
        <w:t xml:space="preserve">Autos </w:t>
      </w:r>
      <w:hyperlink w:anchor="AUTO_2012_9" w:history="1">
        <w:r w:rsidRPr="0043655B">
          <w:rPr>
            <w:rStyle w:val="TextoNormalCaracter"/>
          </w:rPr>
          <w:t>9/2012</w:t>
        </w:r>
      </w:hyperlink>
      <w:r>
        <w:t xml:space="preserve">; </w:t>
      </w:r>
      <w:hyperlink w:anchor="AUTO_2012_11" w:history="1">
        <w:r w:rsidRPr="0043655B">
          <w:rPr>
            <w:rStyle w:val="TextoNormalCaracter"/>
          </w:rPr>
          <w:t>11/2012</w:t>
        </w:r>
      </w:hyperlink>
      <w:r>
        <w:t xml:space="preserve">; </w:t>
      </w:r>
      <w:hyperlink w:anchor="AUTO_2012_130" w:history="1">
        <w:r w:rsidRPr="0043655B">
          <w:rPr>
            <w:rStyle w:val="TextoNormalCaracter"/>
          </w:rPr>
          <w:t>130/2012</w:t>
        </w:r>
      </w:hyperlink>
      <w:r>
        <w:t xml:space="preserve">; </w:t>
      </w:r>
      <w:hyperlink w:anchor="AUTO_2012_131" w:history="1">
        <w:r w:rsidRPr="0043655B">
          <w:rPr>
            <w:rStyle w:val="TextoNormalCaracter"/>
          </w:rPr>
          <w:t>131/2012</w:t>
        </w:r>
      </w:hyperlink>
      <w:r>
        <w:t>.</w:t>
      </w:r>
    </w:p>
    <w:p w:rsidR="0043655B" w:rsidRDefault="0043655B" w:rsidP="0043655B">
      <w:pPr>
        <w:pStyle w:val="SangriaFrancesaArticulo"/>
      </w:pPr>
      <w:r w:rsidRPr="0043655B">
        <w:rPr>
          <w:rStyle w:val="TextoNormalNegritaCaracter"/>
        </w:rPr>
        <w:t>Artículo 50.1 a)</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 </w:t>
      </w:r>
      <w:hyperlink w:anchor="SENTENCIA_2012_119" w:history="1">
        <w:r w:rsidRPr="0043655B">
          <w:rPr>
            <w:rStyle w:val="TextoNormalCaracter"/>
          </w:rPr>
          <w:t>119/2012</w:t>
        </w:r>
      </w:hyperlink>
      <w:r>
        <w:t>, f. 2.</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lastRenderedPageBreak/>
        <w:t>Artículo 50.1 b).</w:t>
      </w:r>
      <w:r w:rsidRPr="0043655B">
        <w:rPr>
          <w:rStyle w:val="TextoNormalCaracter"/>
        </w:rPr>
        <w:t>-</w:t>
      </w:r>
      <w:r>
        <w:t xml:space="preserve"> Sentencias </w:t>
      </w:r>
      <w:hyperlink w:anchor="SENTENCIA_2012_10" w:history="1">
        <w:r w:rsidRPr="0043655B">
          <w:rPr>
            <w:rStyle w:val="TextoNormalCaracter"/>
          </w:rPr>
          <w:t>10/2012</w:t>
        </w:r>
      </w:hyperlink>
      <w:r>
        <w:t xml:space="preserve">, f. 1; </w:t>
      </w:r>
      <w:hyperlink w:anchor="SENTENCIA_2012_107" w:history="1">
        <w:r w:rsidRPr="0043655B">
          <w:rPr>
            <w:rStyle w:val="TextoNormalCaracter"/>
          </w:rPr>
          <w:t>107/2012</w:t>
        </w:r>
      </w:hyperlink>
      <w:r>
        <w:t>, f. 2.</w:t>
      </w:r>
    </w:p>
    <w:p w:rsidR="0043655B" w:rsidRDefault="0043655B" w:rsidP="0043655B">
      <w:pPr>
        <w:pStyle w:val="SangriaIzquierdaArticulo"/>
      </w:pPr>
      <w:r>
        <w:t xml:space="preserve">Autos </w:t>
      </w:r>
      <w:hyperlink w:anchor="AUTO_2012_11" w:history="1">
        <w:r w:rsidRPr="0043655B">
          <w:rPr>
            <w:rStyle w:val="TextoNormalCaracter"/>
          </w:rPr>
          <w:t>11/2012</w:t>
        </w:r>
      </w:hyperlink>
      <w:r>
        <w:t xml:space="preserve">; </w:t>
      </w:r>
      <w:hyperlink w:anchor="AUTO_2012_26" w:history="1">
        <w:r w:rsidRPr="0043655B">
          <w:rPr>
            <w:rStyle w:val="TextoNormalCaracter"/>
          </w:rPr>
          <w:t>26/2012</w:t>
        </w:r>
      </w:hyperlink>
      <w:r>
        <w:t xml:space="preserve">; </w:t>
      </w:r>
      <w:hyperlink w:anchor="AUTO_2012_42" w:history="1">
        <w:r w:rsidRPr="0043655B">
          <w:rPr>
            <w:rStyle w:val="TextoNormalCaracter"/>
          </w:rPr>
          <w:t>42/2012</w:t>
        </w:r>
      </w:hyperlink>
      <w:r>
        <w:t>.</w:t>
      </w:r>
    </w:p>
    <w:p w:rsidR="0043655B" w:rsidRDefault="0043655B" w:rsidP="0043655B">
      <w:pPr>
        <w:pStyle w:val="SangriaFrancesaArticulo"/>
      </w:pPr>
      <w:r w:rsidRPr="0043655B">
        <w:rPr>
          <w:rStyle w:val="TextoNormalNegritaCaracter"/>
        </w:rPr>
        <w:t>Artículo 50.1 b)</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Sentencias </w:t>
      </w:r>
      <w:hyperlink w:anchor="SENTENCIA_2012_96" w:history="1">
        <w:r w:rsidRPr="0043655B">
          <w:rPr>
            <w:rStyle w:val="TextoNormalCaracter"/>
          </w:rPr>
          <w:t>96/2012</w:t>
        </w:r>
      </w:hyperlink>
      <w:r>
        <w:t xml:space="preserve">, ff. 1, 4; </w:t>
      </w:r>
      <w:hyperlink w:anchor="SENTENCIA_2012_105" w:history="1">
        <w:r w:rsidRPr="0043655B">
          <w:rPr>
            <w:rStyle w:val="TextoNormalCaracter"/>
          </w:rPr>
          <w:t>105/2012</w:t>
        </w:r>
      </w:hyperlink>
      <w:r>
        <w:t>, f. 3.</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50.1 c).</w:t>
      </w:r>
      <w:r w:rsidRPr="0043655B">
        <w:rPr>
          <w:rStyle w:val="TextoNormalCaracter"/>
        </w:rPr>
        <w:t>-</w:t>
      </w:r>
      <w:r>
        <w:t xml:space="preserve"> Autos </w:t>
      </w:r>
      <w:hyperlink w:anchor="AUTO_2012_7" w:history="1">
        <w:r w:rsidRPr="0043655B">
          <w:rPr>
            <w:rStyle w:val="TextoNormalCaracter"/>
          </w:rPr>
          <w:t>7/2012</w:t>
        </w:r>
      </w:hyperlink>
      <w:r>
        <w:t xml:space="preserve">;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50.3</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51.2.</w:t>
      </w:r>
      <w:r w:rsidRPr="0043655B">
        <w:rPr>
          <w:rStyle w:val="TextoNormalCaracter"/>
        </w:rPr>
        <w:t>-</w:t>
      </w:r>
      <w:r>
        <w:t xml:space="preserve"> Sentencia </w:t>
      </w:r>
      <w:hyperlink w:anchor="SENTENCIA_2012_48" w:history="1">
        <w:r w:rsidRPr="0043655B">
          <w:rPr>
            <w:rStyle w:val="TextoNormalCaracter"/>
          </w:rPr>
          <w:t>48/2012</w:t>
        </w:r>
      </w:hyperlink>
      <w:r>
        <w:t>, f. 2.</w:t>
      </w:r>
    </w:p>
    <w:p w:rsidR="0043655B" w:rsidRDefault="0043655B" w:rsidP="0043655B">
      <w:pPr>
        <w:pStyle w:val="SangriaIzquierdaArticulo"/>
      </w:pPr>
      <w:r>
        <w:t xml:space="preserve">Autos </w:t>
      </w:r>
      <w:hyperlink w:anchor="AUTO_2012_18" w:history="1">
        <w:r w:rsidRPr="0043655B">
          <w:rPr>
            <w:rStyle w:val="TextoNormalCaracter"/>
          </w:rPr>
          <w:t>18/2012</w:t>
        </w:r>
      </w:hyperlink>
      <w:r>
        <w:t xml:space="preserve">; </w:t>
      </w:r>
      <w:hyperlink w:anchor="AUTO_2012_115" w:history="1">
        <w:r w:rsidRPr="0043655B">
          <w:rPr>
            <w:rStyle w:val="TextoNormalCaracter"/>
          </w:rPr>
          <w:t>115/2012</w:t>
        </w:r>
      </w:hyperlink>
      <w:r>
        <w:t>.</w:t>
      </w:r>
    </w:p>
    <w:p w:rsidR="0043655B" w:rsidRDefault="0043655B" w:rsidP="0043655B">
      <w:pPr>
        <w:pStyle w:val="SangriaFrancesaArticulo"/>
      </w:pPr>
      <w:r w:rsidRPr="0043655B">
        <w:rPr>
          <w:rStyle w:val="TextoNormalNegritaCaracter"/>
        </w:rPr>
        <w:t>Artículo 52.1.</w:t>
      </w:r>
      <w:r w:rsidRPr="0043655B">
        <w:rPr>
          <w:rStyle w:val="TextoNormalCaracter"/>
        </w:rPr>
        <w:t>-</w:t>
      </w:r>
      <w:r>
        <w:t xml:space="preserve"> Sentencia </w:t>
      </w:r>
      <w:hyperlink w:anchor="SENTENCIA_2012_116" w:history="1">
        <w:r w:rsidRPr="0043655B">
          <w:rPr>
            <w:rStyle w:val="TextoNormalCaracter"/>
          </w:rPr>
          <w:t>116/2012</w:t>
        </w:r>
      </w:hyperlink>
      <w:r>
        <w:t>, f. 2.</w:t>
      </w:r>
    </w:p>
    <w:p w:rsidR="0043655B" w:rsidRDefault="0043655B" w:rsidP="0043655B">
      <w:pPr>
        <w:pStyle w:val="SangriaFrancesaArticulo"/>
      </w:pPr>
      <w:r w:rsidRPr="0043655B">
        <w:rPr>
          <w:rStyle w:val="TextoNormalNegritaCaracter"/>
        </w:rPr>
        <w:t>Artículo 52.1</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 </w:t>
      </w:r>
      <w:hyperlink w:anchor="SENTENCIA_2012_92" w:history="1">
        <w:r w:rsidRPr="0043655B">
          <w:rPr>
            <w:rStyle w:val="TextoNormalCaracter"/>
          </w:rPr>
          <w:t>92/2012</w:t>
        </w:r>
      </w:hyperlink>
      <w:r>
        <w:t>, f. 2.</w:t>
      </w:r>
    </w:p>
    <w:p w:rsidR="0043655B" w:rsidRDefault="0043655B" w:rsidP="0043655B">
      <w:pPr>
        <w:pStyle w:val="SangriaFrancesaArticulo"/>
      </w:pPr>
      <w:r w:rsidRPr="0043655B">
        <w:rPr>
          <w:rStyle w:val="TextoNormalNegritaCaracter"/>
        </w:rPr>
        <w:t>Artículo 52.2.</w:t>
      </w:r>
      <w:r w:rsidRPr="0043655B">
        <w:rPr>
          <w:rStyle w:val="TextoNormalCaracter"/>
        </w:rPr>
        <w:t>-</w:t>
      </w:r>
      <w:r>
        <w:t xml:space="preserve"> Autos </w:t>
      </w:r>
      <w:hyperlink w:anchor="AUTO_2012_27" w:history="1">
        <w:r w:rsidRPr="0043655B">
          <w:rPr>
            <w:rStyle w:val="TextoNormalCaracter"/>
          </w:rPr>
          <w:t>27/2012</w:t>
        </w:r>
      </w:hyperlink>
      <w:r>
        <w:t xml:space="preserve">; </w:t>
      </w:r>
      <w:hyperlink w:anchor="AUTO_2012_44" w:history="1">
        <w:r w:rsidRPr="0043655B">
          <w:rPr>
            <w:rStyle w:val="TextoNormalCaracter"/>
          </w:rPr>
          <w:t>44/2012</w:t>
        </w:r>
      </w:hyperlink>
      <w:r>
        <w:t xml:space="preserve">; </w:t>
      </w:r>
      <w:hyperlink w:anchor="AUTO_2012_76" w:history="1">
        <w:r w:rsidRPr="0043655B">
          <w:rPr>
            <w:rStyle w:val="TextoNormalCaracter"/>
          </w:rPr>
          <w:t>76/2012</w:t>
        </w:r>
      </w:hyperlink>
      <w:r>
        <w:t xml:space="preserve">; </w:t>
      </w:r>
      <w:hyperlink w:anchor="AUTO_2012_88" w:history="1">
        <w:r w:rsidRPr="0043655B">
          <w:rPr>
            <w:rStyle w:val="TextoNormalCaracter"/>
          </w:rPr>
          <w:t>88/2012</w:t>
        </w:r>
      </w:hyperlink>
      <w:r>
        <w:t>.</w:t>
      </w:r>
    </w:p>
    <w:p w:rsidR="0043655B" w:rsidRDefault="0043655B" w:rsidP="0043655B">
      <w:pPr>
        <w:pStyle w:val="SangriaFrancesaArticulo"/>
      </w:pPr>
      <w:r w:rsidRPr="0043655B">
        <w:rPr>
          <w:rStyle w:val="TextoNormalNegritaCaracter"/>
        </w:rPr>
        <w:t>Artículo 52.2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2" w:history="1">
        <w:r w:rsidRPr="0043655B">
          <w:rPr>
            <w:rStyle w:val="TextoNormalCaracter"/>
          </w:rPr>
          <w:t>12/2012</w:t>
        </w:r>
      </w:hyperlink>
      <w:r>
        <w:t xml:space="preserve">; </w:t>
      </w:r>
      <w:hyperlink w:anchor="AUTO_2012_15" w:history="1">
        <w:r w:rsidRPr="0043655B">
          <w:rPr>
            <w:rStyle w:val="TextoNormalCaracter"/>
          </w:rPr>
          <w:t>15/2012</w:t>
        </w:r>
      </w:hyperlink>
      <w:r>
        <w:t xml:space="preserve">; </w:t>
      </w:r>
      <w:hyperlink w:anchor="AUTO_2012_16" w:history="1">
        <w:r w:rsidRPr="0043655B">
          <w:rPr>
            <w:rStyle w:val="TextoNormalCaracter"/>
          </w:rPr>
          <w:t>16/2012</w:t>
        </w:r>
      </w:hyperlink>
      <w:r>
        <w:t xml:space="preserve">; </w:t>
      </w:r>
      <w:hyperlink w:anchor="AUTO_2012_18" w:history="1">
        <w:r w:rsidRPr="0043655B">
          <w:rPr>
            <w:rStyle w:val="TextoNormalCaracter"/>
          </w:rPr>
          <w:t>18/2012</w:t>
        </w:r>
      </w:hyperlink>
      <w:r>
        <w:t xml:space="preserve">; </w:t>
      </w:r>
      <w:hyperlink w:anchor="AUTO_2012_25" w:history="1">
        <w:r w:rsidRPr="0043655B">
          <w:rPr>
            <w:rStyle w:val="TextoNormalCaracter"/>
          </w:rPr>
          <w:t>25/2012</w:t>
        </w:r>
      </w:hyperlink>
      <w:r>
        <w:t xml:space="preserve">; </w:t>
      </w:r>
      <w:hyperlink w:anchor="AUTO_2012_53" w:history="1">
        <w:r w:rsidRPr="0043655B">
          <w:rPr>
            <w:rStyle w:val="TextoNormalCaracter"/>
          </w:rPr>
          <w:t>53/2012</w:t>
        </w:r>
      </w:hyperlink>
      <w:r>
        <w:t xml:space="preserve">; </w:t>
      </w:r>
      <w:hyperlink w:anchor="AUTO_2012_58" w:history="1">
        <w:r w:rsidRPr="0043655B">
          <w:rPr>
            <w:rStyle w:val="TextoNormalCaracter"/>
          </w:rPr>
          <w:t>58/2012</w:t>
        </w:r>
      </w:hyperlink>
      <w:r>
        <w:t xml:space="preserve">; </w:t>
      </w:r>
      <w:hyperlink w:anchor="AUTO_2012_101" w:history="1">
        <w:r w:rsidRPr="0043655B">
          <w:rPr>
            <w:rStyle w:val="TextoNormalCaracter"/>
          </w:rPr>
          <w:t>101/2012</w:t>
        </w:r>
      </w:hyperlink>
      <w:r>
        <w:t xml:space="preserve">; </w:t>
      </w:r>
      <w:hyperlink w:anchor="AUTO_2012_102" w:history="1">
        <w:r w:rsidRPr="0043655B">
          <w:rPr>
            <w:rStyle w:val="TextoNormalCaracter"/>
          </w:rPr>
          <w:t>102/2012</w:t>
        </w:r>
      </w:hyperlink>
      <w:r>
        <w:t xml:space="preserve">; </w:t>
      </w:r>
      <w:hyperlink w:anchor="AUTO_2012_103" w:history="1">
        <w:r w:rsidRPr="0043655B">
          <w:rPr>
            <w:rStyle w:val="TextoNormalCaracter"/>
          </w:rPr>
          <w:t>103/2012</w:t>
        </w:r>
      </w:hyperlink>
      <w:r>
        <w:t xml:space="preserve">; </w:t>
      </w:r>
      <w:hyperlink w:anchor="AUTO_2012_115" w:history="1">
        <w:r w:rsidRPr="0043655B">
          <w:rPr>
            <w:rStyle w:val="TextoNormalCaracter"/>
          </w:rPr>
          <w:t>115/2012</w:t>
        </w:r>
      </w:hyperlink>
      <w:r>
        <w:t xml:space="preserve">; </w:t>
      </w:r>
      <w:hyperlink w:anchor="AUTO_2012_122" w:history="1">
        <w:r w:rsidRPr="0043655B">
          <w:rPr>
            <w:rStyle w:val="TextoNormalCaracter"/>
          </w:rPr>
          <w:t>122/2012</w:t>
        </w:r>
      </w:hyperlink>
      <w:r>
        <w:t xml:space="preserve">; </w:t>
      </w:r>
      <w:hyperlink w:anchor="AUTO_2012_124" w:history="1">
        <w:r w:rsidRPr="0043655B">
          <w:rPr>
            <w:rStyle w:val="TextoNormalCaracter"/>
          </w:rPr>
          <w:t>124/2012</w:t>
        </w:r>
      </w:hyperlink>
      <w:r>
        <w:t>.</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Sentencias </w:t>
      </w:r>
      <w:hyperlink w:anchor="SENTENCIA_2012_58" w:history="1">
        <w:r w:rsidRPr="0043655B">
          <w:rPr>
            <w:rStyle w:val="TextoNormalCaracter"/>
          </w:rPr>
          <w:t>58/2012</w:t>
        </w:r>
      </w:hyperlink>
      <w:r>
        <w:t xml:space="preserve">, f. 2; </w:t>
      </w:r>
      <w:hyperlink w:anchor="SENTENCIA_2012_60" w:history="1">
        <w:r w:rsidRPr="0043655B">
          <w:rPr>
            <w:rStyle w:val="TextoNormalCaracter"/>
          </w:rPr>
          <w:t>60/2012</w:t>
        </w:r>
      </w:hyperlink>
      <w:r>
        <w:t xml:space="preserve">, f. 2; </w:t>
      </w:r>
      <w:hyperlink w:anchor="SENTENCIA_2012_63" w:history="1">
        <w:r w:rsidRPr="0043655B">
          <w:rPr>
            <w:rStyle w:val="TextoNormalCaracter"/>
          </w:rPr>
          <w:t>63/2012</w:t>
        </w:r>
      </w:hyperlink>
      <w:r>
        <w:t xml:space="preserve">, f. 2; </w:t>
      </w:r>
      <w:hyperlink w:anchor="SENTENCIA_2012_113" w:history="1">
        <w:r w:rsidRPr="0043655B">
          <w:rPr>
            <w:rStyle w:val="TextoNormalCaracter"/>
          </w:rPr>
          <w:t>113/2012</w:t>
        </w:r>
      </w:hyperlink>
      <w:r>
        <w:t xml:space="preserve">, f. 2; </w:t>
      </w:r>
      <w:hyperlink w:anchor="SENTENCIA_2012_128" w:history="1">
        <w:r w:rsidRPr="0043655B">
          <w:rPr>
            <w:rStyle w:val="TextoNormalCaracter"/>
          </w:rPr>
          <w:t>128/2012</w:t>
        </w:r>
      </w:hyperlink>
      <w:r>
        <w:t>, f. 2.</w:t>
      </w:r>
    </w:p>
    <w:p w:rsidR="0043655B" w:rsidRDefault="0043655B" w:rsidP="0043655B">
      <w:pPr>
        <w:pStyle w:val="SangriaIzquierdaArticulo"/>
      </w:pPr>
      <w:r>
        <w:t xml:space="preserve">Auto </w:t>
      </w:r>
      <w:hyperlink w:anchor="AUTO_2012_127" w:history="1">
        <w:r w:rsidRPr="0043655B">
          <w:rPr>
            <w:rStyle w:val="TextoNormalCaracter"/>
          </w:rPr>
          <w:t>127/2012</w:t>
        </w:r>
      </w:hyperlink>
      <w:r>
        <w:t>.</w:t>
      </w:r>
    </w:p>
    <w:p w:rsidR="0043655B" w:rsidRDefault="0043655B" w:rsidP="0043655B">
      <w:pPr>
        <w:pStyle w:val="SangriaFrancesaArticulo"/>
      </w:pPr>
      <w:r w:rsidRPr="0043655B">
        <w:rPr>
          <w:rStyle w:val="TextoNormalNegritaCaracter"/>
        </w:rPr>
        <w:t>Artículo 53 a).</w:t>
      </w:r>
      <w:r w:rsidRPr="0043655B">
        <w:rPr>
          <w:rStyle w:val="TextoNormalCaracter"/>
        </w:rPr>
        <w:t>-</w:t>
      </w:r>
      <w:r>
        <w:t xml:space="preserve"> Sentencias </w:t>
      </w:r>
      <w:hyperlink w:anchor="SENTENCIA_2012_16" w:history="1">
        <w:r w:rsidRPr="0043655B">
          <w:rPr>
            <w:rStyle w:val="TextoNormalCaracter"/>
          </w:rPr>
          <w:t>16/2012</w:t>
        </w:r>
      </w:hyperlink>
      <w:r>
        <w:t xml:space="preserve">, f. 6; </w:t>
      </w:r>
      <w:hyperlink w:anchor="SENTENCIA_2012_18" w:history="1">
        <w:r w:rsidRPr="0043655B">
          <w:rPr>
            <w:rStyle w:val="TextoNormalCaracter"/>
          </w:rPr>
          <w:t>18/2012</w:t>
        </w:r>
      </w:hyperlink>
      <w:r>
        <w:t xml:space="preserve">, f. 2; </w:t>
      </w:r>
      <w:hyperlink w:anchor="SENTENCIA_2012_88" w:history="1">
        <w:r w:rsidRPr="0043655B">
          <w:rPr>
            <w:rStyle w:val="TextoNormalCaracter"/>
          </w:rPr>
          <w:t>88/2012</w:t>
        </w:r>
      </w:hyperlink>
      <w:r>
        <w:t>, f. 6.</w:t>
      </w:r>
    </w:p>
    <w:p w:rsidR="0043655B" w:rsidRDefault="0043655B" w:rsidP="0043655B">
      <w:pPr>
        <w:pStyle w:val="SangriaFrancesaArticulo"/>
      </w:pPr>
      <w:r w:rsidRPr="0043655B">
        <w:rPr>
          <w:rStyle w:val="TextoNormalNegritaCaracter"/>
        </w:rPr>
        <w:t>Artículo 53 b).</w:t>
      </w:r>
      <w:r w:rsidRPr="0043655B">
        <w:rPr>
          <w:rStyle w:val="TextoNormalCaracter"/>
        </w:rPr>
        <w:t>-</w:t>
      </w:r>
      <w:r>
        <w:t xml:space="preserve"> Sentencia </w:t>
      </w:r>
      <w:hyperlink w:anchor="SENTENCIA_2012_31" w:history="1">
        <w:r w:rsidRPr="0043655B">
          <w:rPr>
            <w:rStyle w:val="TextoNormalCaracter"/>
          </w:rPr>
          <w:t>31/2012</w:t>
        </w:r>
      </w:hyperlink>
      <w:r>
        <w:t>, f. 6.</w:t>
      </w:r>
    </w:p>
    <w:p w:rsidR="0043655B" w:rsidRDefault="0043655B" w:rsidP="0043655B">
      <w:pPr>
        <w:pStyle w:val="SangriaFrancesaArticulo"/>
      </w:pPr>
      <w:r w:rsidRPr="0043655B">
        <w:rPr>
          <w:rStyle w:val="TextoNormalNegritaCaracter"/>
        </w:rPr>
        <w:t>Artículo 53.2.</w:t>
      </w:r>
      <w:r w:rsidRPr="0043655B">
        <w:rPr>
          <w:rStyle w:val="TextoNormalCaracter"/>
        </w:rPr>
        <w:t>-</w:t>
      </w:r>
      <w:r>
        <w:t xml:space="preserve"> Auto </w:t>
      </w:r>
      <w:hyperlink w:anchor="AUTO_2012_127" w:history="1">
        <w:r w:rsidRPr="0043655B">
          <w:rPr>
            <w:rStyle w:val="TextoNormalCaracter"/>
          </w:rPr>
          <w:t>127/2012</w:t>
        </w:r>
      </w:hyperlink>
      <w:r>
        <w:t>.</w:t>
      </w:r>
    </w:p>
    <w:p w:rsidR="0043655B" w:rsidRDefault="0043655B" w:rsidP="0043655B">
      <w:pPr>
        <w:pStyle w:val="SangriaFrancesaArticulo"/>
      </w:pPr>
      <w:r w:rsidRPr="0043655B">
        <w:rPr>
          <w:rStyle w:val="TextoNormalNegritaCaracter"/>
        </w:rPr>
        <w:t>Artículo 54.</w:t>
      </w:r>
      <w:r w:rsidRPr="0043655B">
        <w:rPr>
          <w:rStyle w:val="TextoNormalCaracter"/>
        </w:rPr>
        <w:t>-</w:t>
      </w:r>
      <w:r>
        <w:t xml:space="preserve"> Sentencia </w:t>
      </w:r>
      <w:hyperlink w:anchor="SENTENCIA_2012_18" w:history="1">
        <w:r w:rsidRPr="0043655B">
          <w:rPr>
            <w:rStyle w:val="TextoNormalCaracter"/>
          </w:rPr>
          <w:t>18/2012</w:t>
        </w:r>
      </w:hyperlink>
      <w:r>
        <w:t>, f. 2.</w:t>
      </w:r>
    </w:p>
    <w:p w:rsidR="0043655B" w:rsidRDefault="0043655B" w:rsidP="0043655B">
      <w:pPr>
        <w:pStyle w:val="SangriaFrancesaArticulo"/>
      </w:pPr>
      <w:r w:rsidRPr="0043655B">
        <w:rPr>
          <w:rStyle w:val="TextoNormalNegritaCaracter"/>
        </w:rPr>
        <w:t>Artículo 55.</w:t>
      </w:r>
      <w:r w:rsidRPr="0043655B">
        <w:rPr>
          <w:rStyle w:val="TextoNormalCaracter"/>
        </w:rPr>
        <w:t>-</w:t>
      </w:r>
      <w:r>
        <w:t xml:space="preserve"> Sentencias </w:t>
      </w:r>
      <w:hyperlink w:anchor="SENTENCIA_2012_18" w:history="1">
        <w:r w:rsidRPr="0043655B">
          <w:rPr>
            <w:rStyle w:val="TextoNormalCaracter"/>
          </w:rPr>
          <w:t>18/2012</w:t>
        </w:r>
      </w:hyperlink>
      <w:r>
        <w:t xml:space="preserve">, f. 2; </w:t>
      </w:r>
      <w:hyperlink w:anchor="SENTENCIA_2012_92" w:history="1">
        <w:r w:rsidRPr="0043655B">
          <w:rPr>
            <w:rStyle w:val="TextoNormalCaracter"/>
          </w:rPr>
          <w:t>92/2012</w:t>
        </w:r>
      </w:hyperlink>
      <w:r>
        <w:t>, f. 6.</w:t>
      </w:r>
    </w:p>
    <w:p w:rsidR="0043655B" w:rsidRDefault="0043655B" w:rsidP="0043655B">
      <w:pPr>
        <w:pStyle w:val="SangriaFrancesaArticulo"/>
      </w:pPr>
      <w:r w:rsidRPr="0043655B">
        <w:rPr>
          <w:rStyle w:val="TextoNormalNegritaCaracter"/>
        </w:rPr>
        <w:t>Artículo 55.1 a).</w:t>
      </w:r>
      <w:r w:rsidRPr="0043655B">
        <w:rPr>
          <w:rStyle w:val="TextoNormalCaracter"/>
        </w:rPr>
        <w:t>-</w:t>
      </w:r>
      <w:r>
        <w:t xml:space="preserve"> Sentencia </w:t>
      </w:r>
      <w:hyperlink w:anchor="SENTENCIA_2012_18" w:history="1">
        <w:r w:rsidRPr="0043655B">
          <w:rPr>
            <w:rStyle w:val="TextoNormalCaracter"/>
          </w:rPr>
          <w:t>18/2012</w:t>
        </w:r>
      </w:hyperlink>
      <w:r>
        <w:t>, f. 2.</w:t>
      </w:r>
    </w:p>
    <w:p w:rsidR="0043655B" w:rsidRDefault="0043655B" w:rsidP="0043655B">
      <w:pPr>
        <w:pStyle w:val="SangriaFrancesaArticulo"/>
      </w:pPr>
      <w:r w:rsidRPr="0043655B">
        <w:rPr>
          <w:rStyle w:val="TextoNormalNegritaCaracter"/>
        </w:rPr>
        <w:t>Artículo 55.1 c).</w:t>
      </w:r>
      <w:r w:rsidRPr="0043655B">
        <w:rPr>
          <w:rStyle w:val="TextoNormalCaracter"/>
        </w:rPr>
        <w:t>-</w:t>
      </w:r>
      <w:r>
        <w:t xml:space="preserve"> Sentencia </w:t>
      </w:r>
      <w:hyperlink w:anchor="SENTENCIA_2012_15" w:history="1">
        <w:r w:rsidRPr="0043655B">
          <w:rPr>
            <w:rStyle w:val="TextoNormalCaracter"/>
          </w:rPr>
          <w:t>15/2012</w:t>
        </w:r>
      </w:hyperlink>
      <w:r>
        <w:t>, f. 4.</w:t>
      </w:r>
    </w:p>
    <w:p w:rsidR="0043655B" w:rsidRDefault="0043655B" w:rsidP="0043655B">
      <w:pPr>
        <w:pStyle w:val="SangriaFrancesaArticulo"/>
      </w:pPr>
      <w:r w:rsidRPr="0043655B">
        <w:rPr>
          <w:rStyle w:val="TextoNormalNegritaCaracter"/>
        </w:rPr>
        <w:t>Artículo 56.</w:t>
      </w:r>
      <w:r w:rsidRPr="0043655B">
        <w:rPr>
          <w:rStyle w:val="TextoNormalCaracter"/>
        </w:rPr>
        <w:t>-</w:t>
      </w:r>
      <w:r>
        <w:t xml:space="preserve"> Autos </w:t>
      </w:r>
      <w:hyperlink w:anchor="AUTO_2012_12" w:history="1">
        <w:r w:rsidRPr="0043655B">
          <w:rPr>
            <w:rStyle w:val="TextoNormalCaracter"/>
          </w:rPr>
          <w:t>12/2012</w:t>
        </w:r>
      </w:hyperlink>
      <w:r>
        <w:t xml:space="preserve">; </w:t>
      </w:r>
      <w:hyperlink w:anchor="AUTO_2012_18" w:history="1">
        <w:r w:rsidRPr="0043655B">
          <w:rPr>
            <w:rStyle w:val="TextoNormalCaracter"/>
          </w:rPr>
          <w:t>18/2012</w:t>
        </w:r>
      </w:hyperlink>
      <w:r>
        <w:t xml:space="preserve">; </w:t>
      </w:r>
      <w:hyperlink w:anchor="AUTO_2012_19" w:history="1">
        <w:r w:rsidRPr="0043655B">
          <w:rPr>
            <w:rStyle w:val="TextoNormalCaracter"/>
          </w:rPr>
          <w:t>19/2012</w:t>
        </w:r>
      </w:hyperlink>
      <w:r>
        <w:t xml:space="preserve">; </w:t>
      </w:r>
      <w:hyperlink w:anchor="AUTO_2012_115" w:history="1">
        <w:r w:rsidRPr="0043655B">
          <w:rPr>
            <w:rStyle w:val="TextoNormalCaracter"/>
          </w:rPr>
          <w:t>115/2012</w:t>
        </w:r>
      </w:hyperlink>
      <w:r>
        <w:t>.</w:t>
      </w:r>
    </w:p>
    <w:p w:rsidR="0043655B" w:rsidRDefault="0043655B" w:rsidP="0043655B">
      <w:pPr>
        <w:pStyle w:val="SangriaFrancesaArticulo"/>
      </w:pPr>
      <w:r w:rsidRPr="0043655B">
        <w:rPr>
          <w:rStyle w:val="TextoNormalNegritaCaracter"/>
        </w:rPr>
        <w:t>Artículo 56</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44" w:history="1">
        <w:r w:rsidRPr="0043655B">
          <w:rPr>
            <w:rStyle w:val="TextoNormalCaracter"/>
          </w:rPr>
          <w:t>44/2012</w:t>
        </w:r>
      </w:hyperlink>
      <w:r>
        <w:t xml:space="preserve">; </w:t>
      </w:r>
      <w:hyperlink w:anchor="AUTO_2012_102" w:history="1">
        <w:r w:rsidRPr="0043655B">
          <w:rPr>
            <w:rStyle w:val="TextoNormalCaracter"/>
          </w:rPr>
          <w:t>102/2012</w:t>
        </w:r>
      </w:hyperlink>
      <w:r>
        <w:t xml:space="preserve">; </w:t>
      </w:r>
      <w:hyperlink w:anchor="AUTO_2012_124" w:history="1">
        <w:r w:rsidRPr="0043655B">
          <w:rPr>
            <w:rStyle w:val="TextoNormalCaracter"/>
          </w:rPr>
          <w:t>124/2012</w:t>
        </w:r>
      </w:hyperlink>
      <w:r>
        <w:t>.</w:t>
      </w:r>
    </w:p>
    <w:p w:rsidR="0043655B" w:rsidRDefault="0043655B" w:rsidP="0043655B">
      <w:pPr>
        <w:pStyle w:val="SangriaFrancesaArticulo"/>
      </w:pPr>
      <w:r w:rsidRPr="0043655B">
        <w:rPr>
          <w:rStyle w:val="TextoNormalNegritaCaracter"/>
        </w:rPr>
        <w:t>Artículo 56.1.</w:t>
      </w:r>
      <w:r w:rsidRPr="0043655B">
        <w:rPr>
          <w:rStyle w:val="TextoNormalCaracter"/>
        </w:rPr>
        <w:t>-</w:t>
      </w:r>
      <w:r>
        <w:t xml:space="preserve"> Autos </w:t>
      </w:r>
      <w:hyperlink w:anchor="AUTO_2012_22" w:history="1">
        <w:r w:rsidRPr="0043655B">
          <w:rPr>
            <w:rStyle w:val="TextoNormalCaracter"/>
          </w:rPr>
          <w:t>22/2012</w:t>
        </w:r>
      </w:hyperlink>
      <w:r>
        <w:t xml:space="preserve">; </w:t>
      </w:r>
      <w:hyperlink w:anchor="AUTO_2012_23" w:history="1">
        <w:r w:rsidRPr="0043655B">
          <w:rPr>
            <w:rStyle w:val="TextoNormalCaracter"/>
          </w:rPr>
          <w:t>23/2012</w:t>
        </w:r>
      </w:hyperlink>
      <w:r>
        <w:t xml:space="preserve">; </w:t>
      </w:r>
      <w:hyperlink w:anchor="AUTO_2012_53" w:history="1">
        <w:r w:rsidRPr="0043655B">
          <w:rPr>
            <w:rStyle w:val="TextoNormalCaracter"/>
          </w:rPr>
          <w:t>53/2012</w:t>
        </w:r>
      </w:hyperlink>
      <w:r>
        <w:t xml:space="preserve">; </w:t>
      </w:r>
      <w:hyperlink w:anchor="AUTO_2012_55" w:history="1">
        <w:r w:rsidRPr="0043655B">
          <w:rPr>
            <w:rStyle w:val="TextoNormalCaracter"/>
          </w:rPr>
          <w:t>55/2012</w:t>
        </w:r>
      </w:hyperlink>
      <w:r>
        <w:t xml:space="preserve">; </w:t>
      </w:r>
      <w:hyperlink w:anchor="AUTO_2012_73" w:history="1">
        <w:r w:rsidRPr="0043655B">
          <w:rPr>
            <w:rStyle w:val="TextoNormalCaracter"/>
          </w:rPr>
          <w:t>73/2012</w:t>
        </w:r>
      </w:hyperlink>
      <w:r>
        <w:t xml:space="preserve">; </w:t>
      </w:r>
      <w:hyperlink w:anchor="AUTO_2012_74" w:history="1">
        <w:r w:rsidRPr="0043655B">
          <w:rPr>
            <w:rStyle w:val="TextoNormalCaracter"/>
          </w:rPr>
          <w:t>74/2012</w:t>
        </w:r>
      </w:hyperlink>
      <w:r>
        <w:t xml:space="preserve">; </w:t>
      </w:r>
      <w:hyperlink w:anchor="AUTO_2012_78" w:history="1">
        <w:r w:rsidRPr="0043655B">
          <w:rPr>
            <w:rStyle w:val="TextoNormalCaracter"/>
          </w:rPr>
          <w:t>78/2012</w:t>
        </w:r>
      </w:hyperlink>
      <w:r>
        <w:t xml:space="preserve">; </w:t>
      </w:r>
      <w:hyperlink w:anchor="AUTO_2012_79" w:history="1">
        <w:r w:rsidRPr="0043655B">
          <w:rPr>
            <w:rStyle w:val="TextoNormalCaracter"/>
          </w:rPr>
          <w:t>79/2012</w:t>
        </w:r>
      </w:hyperlink>
      <w:r>
        <w:t xml:space="preserve">; </w:t>
      </w:r>
      <w:hyperlink w:anchor="AUTO_2012_81" w:history="1">
        <w:r w:rsidRPr="0043655B">
          <w:rPr>
            <w:rStyle w:val="TextoNormalCaracter"/>
          </w:rPr>
          <w:t>81/2012</w:t>
        </w:r>
      </w:hyperlink>
      <w:r>
        <w:t>.</w:t>
      </w:r>
    </w:p>
    <w:p w:rsidR="0043655B" w:rsidRDefault="0043655B" w:rsidP="0043655B">
      <w:pPr>
        <w:pStyle w:val="SangriaFrancesaArticulo"/>
      </w:pPr>
      <w:r w:rsidRPr="0043655B">
        <w:rPr>
          <w:rStyle w:val="TextoNormalNegritaCaracter"/>
        </w:rPr>
        <w:t>Artículo 56.1</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6" w:history="1">
        <w:r w:rsidRPr="0043655B">
          <w:rPr>
            <w:rStyle w:val="TextoNormalCaracter"/>
          </w:rPr>
          <w:t>16/2012</w:t>
        </w:r>
      </w:hyperlink>
      <w:r>
        <w:t xml:space="preserve">; </w:t>
      </w:r>
      <w:hyperlink w:anchor="AUTO_2012_71" w:history="1">
        <w:r w:rsidRPr="0043655B">
          <w:rPr>
            <w:rStyle w:val="TextoNormalCaracter"/>
          </w:rPr>
          <w:t>71/2012</w:t>
        </w:r>
      </w:hyperlink>
      <w:r>
        <w:t xml:space="preserve">; </w:t>
      </w:r>
      <w:hyperlink w:anchor="AUTO_2012_102" w:history="1">
        <w:r w:rsidRPr="0043655B">
          <w:rPr>
            <w:rStyle w:val="TextoNormalCaracter"/>
          </w:rPr>
          <w:t>102/2012</w:t>
        </w:r>
      </w:hyperlink>
      <w:r>
        <w:t xml:space="preserve">; </w:t>
      </w:r>
      <w:hyperlink w:anchor="AUTO_2012_103" w:history="1">
        <w:r w:rsidRPr="0043655B">
          <w:rPr>
            <w:rStyle w:val="TextoNormalCaracter"/>
          </w:rPr>
          <w:t>103/2012</w:t>
        </w:r>
      </w:hyperlink>
      <w:r>
        <w:t xml:space="preserve">; </w:t>
      </w:r>
      <w:hyperlink w:anchor="AUTO_2012_124" w:history="1">
        <w:r w:rsidRPr="0043655B">
          <w:rPr>
            <w:rStyle w:val="TextoNormalCaracter"/>
          </w:rPr>
          <w:t>124/2012</w:t>
        </w:r>
      </w:hyperlink>
      <w:r>
        <w:t>.</w:t>
      </w:r>
    </w:p>
    <w:p w:rsidR="0043655B" w:rsidRDefault="0043655B" w:rsidP="0043655B">
      <w:pPr>
        <w:pStyle w:val="SangriaFrancesaArticulo"/>
      </w:pPr>
      <w:r w:rsidRPr="0043655B">
        <w:rPr>
          <w:rStyle w:val="TextoNormalNegritaCaracter"/>
        </w:rPr>
        <w:t>Artículo 56.2.</w:t>
      </w:r>
      <w:r w:rsidRPr="0043655B">
        <w:rPr>
          <w:rStyle w:val="TextoNormalCaracter"/>
        </w:rPr>
        <w:t>-</w:t>
      </w:r>
      <w:r>
        <w:t xml:space="preserve"> Auto </w:t>
      </w:r>
      <w:hyperlink w:anchor="AUTO_2012_81" w:history="1">
        <w:r w:rsidRPr="0043655B">
          <w:rPr>
            <w:rStyle w:val="TextoNormalCaracter"/>
          </w:rPr>
          <w:t>81/2012</w:t>
        </w:r>
      </w:hyperlink>
      <w:r>
        <w:t>.</w:t>
      </w:r>
    </w:p>
    <w:p w:rsidR="0043655B" w:rsidRDefault="0043655B" w:rsidP="0043655B">
      <w:pPr>
        <w:pStyle w:val="SangriaFrancesaArticulo"/>
      </w:pPr>
      <w:r w:rsidRPr="0043655B">
        <w:rPr>
          <w:rStyle w:val="TextoNormalNegritaCaracter"/>
        </w:rPr>
        <w:t>Artículo 56.2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2" w:history="1">
        <w:r w:rsidRPr="0043655B">
          <w:rPr>
            <w:rStyle w:val="TextoNormalCaracter"/>
          </w:rPr>
          <w:t>12/2012</w:t>
        </w:r>
      </w:hyperlink>
      <w:r>
        <w:t xml:space="preserve">; </w:t>
      </w:r>
      <w:hyperlink w:anchor="AUTO_2012_15" w:history="1">
        <w:r w:rsidRPr="0043655B">
          <w:rPr>
            <w:rStyle w:val="TextoNormalCaracter"/>
          </w:rPr>
          <w:t>15/2012</w:t>
        </w:r>
      </w:hyperlink>
      <w:r>
        <w:t xml:space="preserve">; </w:t>
      </w:r>
      <w:hyperlink w:anchor="AUTO_2012_16" w:history="1">
        <w:r w:rsidRPr="0043655B">
          <w:rPr>
            <w:rStyle w:val="TextoNormalCaracter"/>
          </w:rPr>
          <w:t>16/2012</w:t>
        </w:r>
      </w:hyperlink>
      <w:r>
        <w:t xml:space="preserve">; </w:t>
      </w:r>
      <w:hyperlink w:anchor="AUTO_2012_18" w:history="1">
        <w:r w:rsidRPr="0043655B">
          <w:rPr>
            <w:rStyle w:val="TextoNormalCaracter"/>
          </w:rPr>
          <w:t>18/2012</w:t>
        </w:r>
      </w:hyperlink>
      <w:r>
        <w:t xml:space="preserve">; </w:t>
      </w:r>
      <w:hyperlink w:anchor="AUTO_2012_25" w:history="1">
        <w:r w:rsidRPr="0043655B">
          <w:rPr>
            <w:rStyle w:val="TextoNormalCaracter"/>
          </w:rPr>
          <w:t>25/2012</w:t>
        </w:r>
      </w:hyperlink>
      <w:r>
        <w:t xml:space="preserve">; </w:t>
      </w:r>
      <w:hyperlink w:anchor="AUTO_2012_27" w:history="1">
        <w:r w:rsidRPr="0043655B">
          <w:rPr>
            <w:rStyle w:val="TextoNormalCaracter"/>
          </w:rPr>
          <w:t>27/2012</w:t>
        </w:r>
      </w:hyperlink>
      <w:r>
        <w:t xml:space="preserve">; </w:t>
      </w:r>
      <w:hyperlink w:anchor="AUTO_2012_44" w:history="1">
        <w:r w:rsidRPr="0043655B">
          <w:rPr>
            <w:rStyle w:val="TextoNormalCaracter"/>
          </w:rPr>
          <w:t>44/2012</w:t>
        </w:r>
      </w:hyperlink>
      <w:r>
        <w:t xml:space="preserve">; </w:t>
      </w:r>
      <w:hyperlink w:anchor="AUTO_2012_53" w:history="1">
        <w:r w:rsidRPr="0043655B">
          <w:rPr>
            <w:rStyle w:val="TextoNormalCaracter"/>
          </w:rPr>
          <w:t>53/2012</w:t>
        </w:r>
      </w:hyperlink>
      <w:r>
        <w:t xml:space="preserve">; </w:t>
      </w:r>
      <w:hyperlink w:anchor="AUTO_2012_55" w:history="1">
        <w:r w:rsidRPr="0043655B">
          <w:rPr>
            <w:rStyle w:val="TextoNormalCaracter"/>
          </w:rPr>
          <w:t>55/2012</w:t>
        </w:r>
      </w:hyperlink>
      <w:r>
        <w:t xml:space="preserve">; </w:t>
      </w:r>
      <w:hyperlink w:anchor="AUTO_2012_56" w:history="1">
        <w:r w:rsidRPr="0043655B">
          <w:rPr>
            <w:rStyle w:val="TextoNormalCaracter"/>
          </w:rPr>
          <w:t>56/2012</w:t>
        </w:r>
      </w:hyperlink>
      <w:r>
        <w:t xml:space="preserve">; </w:t>
      </w:r>
      <w:hyperlink w:anchor="AUTO_2012_58" w:history="1">
        <w:r w:rsidRPr="0043655B">
          <w:rPr>
            <w:rStyle w:val="TextoNormalCaracter"/>
          </w:rPr>
          <w:t>58/2012</w:t>
        </w:r>
      </w:hyperlink>
      <w:r>
        <w:t xml:space="preserve">; </w:t>
      </w:r>
      <w:hyperlink w:anchor="AUTO_2012_75" w:history="1">
        <w:r w:rsidRPr="0043655B">
          <w:rPr>
            <w:rStyle w:val="TextoNormalCaracter"/>
          </w:rPr>
          <w:t>75/2012</w:t>
        </w:r>
      </w:hyperlink>
      <w:r>
        <w:t xml:space="preserve">; </w:t>
      </w:r>
      <w:hyperlink w:anchor="AUTO_2012_76" w:history="1">
        <w:r w:rsidRPr="0043655B">
          <w:rPr>
            <w:rStyle w:val="TextoNormalCaracter"/>
          </w:rPr>
          <w:t>76/2012</w:t>
        </w:r>
      </w:hyperlink>
      <w:r>
        <w:t xml:space="preserve">; </w:t>
      </w:r>
      <w:hyperlink w:anchor="AUTO_2012_81" w:history="1">
        <w:r w:rsidRPr="0043655B">
          <w:rPr>
            <w:rStyle w:val="TextoNormalCaracter"/>
          </w:rPr>
          <w:t>81/2012</w:t>
        </w:r>
      </w:hyperlink>
      <w:r>
        <w:t xml:space="preserve">; </w:t>
      </w:r>
      <w:hyperlink w:anchor="AUTO_2012_88" w:history="1">
        <w:r w:rsidRPr="0043655B">
          <w:rPr>
            <w:rStyle w:val="TextoNormalCaracter"/>
          </w:rPr>
          <w:t>88/2012</w:t>
        </w:r>
      </w:hyperlink>
      <w:r>
        <w:t xml:space="preserve">; </w:t>
      </w:r>
      <w:hyperlink w:anchor="AUTO_2012_89" w:history="1">
        <w:r w:rsidRPr="0043655B">
          <w:rPr>
            <w:rStyle w:val="TextoNormalCaracter"/>
          </w:rPr>
          <w:t>89/2012</w:t>
        </w:r>
      </w:hyperlink>
      <w:r>
        <w:t xml:space="preserve">; </w:t>
      </w:r>
      <w:hyperlink w:anchor="AUTO_2012_101" w:history="1">
        <w:r w:rsidRPr="0043655B">
          <w:rPr>
            <w:rStyle w:val="TextoNormalCaracter"/>
          </w:rPr>
          <w:t>101/2012</w:t>
        </w:r>
      </w:hyperlink>
      <w:r>
        <w:t xml:space="preserve">; </w:t>
      </w:r>
      <w:hyperlink w:anchor="AUTO_2012_102" w:history="1">
        <w:r w:rsidRPr="0043655B">
          <w:rPr>
            <w:rStyle w:val="TextoNormalCaracter"/>
          </w:rPr>
          <w:t>102/2012</w:t>
        </w:r>
      </w:hyperlink>
      <w:r>
        <w:t xml:space="preserve">; </w:t>
      </w:r>
      <w:hyperlink w:anchor="AUTO_2012_103" w:history="1">
        <w:r w:rsidRPr="0043655B">
          <w:rPr>
            <w:rStyle w:val="TextoNormalCaracter"/>
          </w:rPr>
          <w:t>103/2012</w:t>
        </w:r>
      </w:hyperlink>
      <w:r>
        <w:t xml:space="preserve">; </w:t>
      </w:r>
      <w:hyperlink w:anchor="AUTO_2012_113" w:history="1">
        <w:r w:rsidRPr="0043655B">
          <w:rPr>
            <w:rStyle w:val="TextoNormalCaracter"/>
          </w:rPr>
          <w:t>113/2012</w:t>
        </w:r>
      </w:hyperlink>
      <w:r>
        <w:t xml:space="preserve">; </w:t>
      </w:r>
      <w:hyperlink w:anchor="AUTO_2012_115" w:history="1">
        <w:r w:rsidRPr="0043655B">
          <w:rPr>
            <w:rStyle w:val="TextoNormalCaracter"/>
          </w:rPr>
          <w:t>115/2012</w:t>
        </w:r>
      </w:hyperlink>
      <w:r>
        <w:t xml:space="preserve">; </w:t>
      </w:r>
      <w:hyperlink w:anchor="AUTO_2012_122" w:history="1">
        <w:r w:rsidRPr="0043655B">
          <w:rPr>
            <w:rStyle w:val="TextoNormalCaracter"/>
          </w:rPr>
          <w:t>122/2012</w:t>
        </w:r>
      </w:hyperlink>
      <w:r>
        <w:t>.</w:t>
      </w:r>
    </w:p>
    <w:p w:rsidR="0043655B" w:rsidRDefault="0043655B" w:rsidP="0043655B">
      <w:pPr>
        <w:pStyle w:val="SangriaFrancesaArticulo"/>
      </w:pPr>
      <w:r w:rsidRPr="0043655B">
        <w:rPr>
          <w:rStyle w:val="TextoNormalNegritaCaracter"/>
        </w:rPr>
        <w:t>Artículo 56.3</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8" w:history="1">
        <w:r w:rsidRPr="0043655B">
          <w:rPr>
            <w:rStyle w:val="TextoNormalCaracter"/>
          </w:rPr>
          <w:t>18/2012</w:t>
        </w:r>
      </w:hyperlink>
      <w:r>
        <w:t xml:space="preserve">; </w:t>
      </w:r>
      <w:hyperlink w:anchor="AUTO_2012_115" w:history="1">
        <w:r w:rsidRPr="0043655B">
          <w:rPr>
            <w:rStyle w:val="TextoNormalCaracter"/>
          </w:rPr>
          <w:t>115/2012</w:t>
        </w:r>
      </w:hyperlink>
      <w:r>
        <w:t>.</w:t>
      </w:r>
    </w:p>
    <w:p w:rsidR="0043655B" w:rsidRDefault="0043655B" w:rsidP="0043655B">
      <w:pPr>
        <w:pStyle w:val="SangriaFrancesaArticulo"/>
      </w:pPr>
      <w:r w:rsidRPr="0043655B">
        <w:rPr>
          <w:rStyle w:val="TextoNormalNegritaCaracter"/>
        </w:rPr>
        <w:t>Artículo 56.4</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8" w:history="1">
        <w:r w:rsidRPr="0043655B">
          <w:rPr>
            <w:rStyle w:val="TextoNormalCaracter"/>
          </w:rPr>
          <w:t>18/2012</w:t>
        </w:r>
      </w:hyperlink>
      <w:r>
        <w:t xml:space="preserve">; </w:t>
      </w:r>
      <w:hyperlink w:anchor="AUTO_2012_115" w:history="1">
        <w:r w:rsidRPr="0043655B">
          <w:rPr>
            <w:rStyle w:val="TextoNormalCaracter"/>
          </w:rPr>
          <w:t>115/2012</w:t>
        </w:r>
      </w:hyperlink>
      <w:r>
        <w:t xml:space="preserve">; </w:t>
      </w:r>
      <w:hyperlink w:anchor="AUTO_2012_122" w:history="1">
        <w:r w:rsidRPr="0043655B">
          <w:rPr>
            <w:rStyle w:val="TextoNormalCaracter"/>
          </w:rPr>
          <w:t>122/2012</w:t>
        </w:r>
      </w:hyperlink>
      <w:r>
        <w:t>.</w:t>
      </w:r>
    </w:p>
    <w:p w:rsidR="0043655B" w:rsidRDefault="0043655B" w:rsidP="0043655B">
      <w:pPr>
        <w:pStyle w:val="SangriaFrancesaArticulo"/>
      </w:pPr>
      <w:r w:rsidRPr="0043655B">
        <w:rPr>
          <w:rStyle w:val="TextoNormalNegritaCaracter"/>
        </w:rPr>
        <w:t>Artículo 56.5.</w:t>
      </w:r>
      <w:r w:rsidRPr="0043655B">
        <w:rPr>
          <w:rStyle w:val="TextoNormalCaracter"/>
        </w:rPr>
        <w:t>-</w:t>
      </w:r>
      <w:r>
        <w:t xml:space="preserve"> Auto </w:t>
      </w:r>
      <w:hyperlink w:anchor="AUTO_2012_104" w:history="1">
        <w:r w:rsidRPr="0043655B">
          <w:rPr>
            <w:rStyle w:val="TextoNormalCaracter"/>
          </w:rPr>
          <w:t>104/2012</w:t>
        </w:r>
      </w:hyperlink>
      <w:r>
        <w:t>.</w:t>
      </w:r>
    </w:p>
    <w:p w:rsidR="0043655B" w:rsidRDefault="0043655B" w:rsidP="0043655B">
      <w:pPr>
        <w:pStyle w:val="SangriaFrancesaArticulo"/>
      </w:pPr>
      <w:r w:rsidRPr="0043655B">
        <w:rPr>
          <w:rStyle w:val="TextoNormalNegritaCaracter"/>
        </w:rPr>
        <w:t>Artículo 56.5</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104" w:history="1">
        <w:r w:rsidRPr="0043655B">
          <w:rPr>
            <w:rStyle w:val="TextoNormalCaracter"/>
          </w:rPr>
          <w:t>104/2012</w:t>
        </w:r>
      </w:hyperlink>
      <w:r>
        <w:t>.</w:t>
      </w:r>
    </w:p>
    <w:p w:rsidR="0043655B" w:rsidRDefault="0043655B" w:rsidP="0043655B">
      <w:pPr>
        <w:pStyle w:val="SangriaFrancesaArticulo"/>
      </w:pPr>
      <w:r w:rsidRPr="0043655B">
        <w:rPr>
          <w:rStyle w:val="TextoNormalNegritaCaracter"/>
        </w:rPr>
        <w:t>Artículo 56.6.</w:t>
      </w:r>
      <w:r w:rsidRPr="0043655B">
        <w:rPr>
          <w:rStyle w:val="TextoNormalCaracter"/>
        </w:rPr>
        <w:t>-</w:t>
      </w:r>
      <w:r>
        <w:t xml:space="preserve"> Auto </w:t>
      </w:r>
      <w:hyperlink w:anchor="AUTO_2012_104" w:history="1">
        <w:r w:rsidRPr="0043655B">
          <w:rPr>
            <w:rStyle w:val="TextoNormalCaracter"/>
          </w:rPr>
          <w:t>104/2012</w:t>
        </w:r>
      </w:hyperlink>
      <w:r>
        <w:t>.</w:t>
      </w:r>
    </w:p>
    <w:p w:rsidR="0043655B" w:rsidRDefault="0043655B" w:rsidP="0043655B">
      <w:pPr>
        <w:pStyle w:val="SangriaFrancesaArticulo"/>
      </w:pPr>
      <w:r w:rsidRPr="0043655B">
        <w:rPr>
          <w:rStyle w:val="TextoNormalNegritaCaracter"/>
        </w:rPr>
        <w:t>Artículo 56.6</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Autos </w:t>
      </w:r>
      <w:hyperlink w:anchor="AUTO_2012_18" w:history="1">
        <w:r w:rsidRPr="0043655B">
          <w:rPr>
            <w:rStyle w:val="TextoNormalCaracter"/>
          </w:rPr>
          <w:t>18/2012</w:t>
        </w:r>
      </w:hyperlink>
      <w:r>
        <w:t xml:space="preserve">; </w:t>
      </w:r>
      <w:hyperlink w:anchor="AUTO_2012_19" w:history="1">
        <w:r w:rsidRPr="0043655B">
          <w:rPr>
            <w:rStyle w:val="TextoNormalCaracter"/>
          </w:rPr>
          <w:t>19/2012</w:t>
        </w:r>
      </w:hyperlink>
      <w:r>
        <w:t xml:space="preserve">; </w:t>
      </w:r>
      <w:hyperlink w:anchor="AUTO_2012_104" w:history="1">
        <w:r w:rsidRPr="0043655B">
          <w:rPr>
            <w:rStyle w:val="TextoNormalCaracter"/>
          </w:rPr>
          <w:t>104/2012</w:t>
        </w:r>
      </w:hyperlink>
      <w:r>
        <w:t xml:space="preserve">; </w:t>
      </w:r>
      <w:hyperlink w:anchor="AUTO_2012_115" w:history="1">
        <w:r w:rsidRPr="0043655B">
          <w:rPr>
            <w:rStyle w:val="TextoNormalCaracter"/>
          </w:rPr>
          <w:t>115/2012</w:t>
        </w:r>
      </w:hyperlink>
      <w:r>
        <w:t>.</w:t>
      </w:r>
    </w:p>
    <w:p w:rsidR="0043655B" w:rsidRDefault="0043655B" w:rsidP="0043655B">
      <w:pPr>
        <w:pStyle w:val="SangriaFrancesaArticulo"/>
      </w:pPr>
      <w:r w:rsidRPr="0043655B">
        <w:rPr>
          <w:rStyle w:val="TextoNormalNegritaCaracter"/>
        </w:rPr>
        <w:t>Artículo 57.</w:t>
      </w:r>
      <w:r w:rsidRPr="0043655B">
        <w:rPr>
          <w:rStyle w:val="TextoNormalCaracter"/>
        </w:rPr>
        <w:t>-</w:t>
      </w:r>
      <w:r>
        <w:t xml:space="preserve"> Autos </w:t>
      </w:r>
      <w:hyperlink w:anchor="AUTO_2012_76" w:history="1">
        <w:r w:rsidRPr="0043655B">
          <w:rPr>
            <w:rStyle w:val="TextoNormalCaracter"/>
          </w:rPr>
          <w:t>76/2012</w:t>
        </w:r>
      </w:hyperlink>
      <w:r>
        <w:t xml:space="preserve">; </w:t>
      </w:r>
      <w:hyperlink w:anchor="AUTO_2012_104" w:history="1">
        <w:r w:rsidRPr="0043655B">
          <w:rPr>
            <w:rStyle w:val="TextoNormalCaracter"/>
          </w:rPr>
          <w:t>104/2012</w:t>
        </w:r>
      </w:hyperlink>
      <w:r>
        <w:t>.</w:t>
      </w:r>
    </w:p>
    <w:p w:rsidR="0043655B" w:rsidRDefault="0043655B" w:rsidP="0043655B">
      <w:pPr>
        <w:pStyle w:val="SangriaFrancesaArticulo"/>
      </w:pPr>
      <w:r w:rsidRPr="0043655B">
        <w:rPr>
          <w:rStyle w:val="TextoNormalNegritaCaracter"/>
        </w:rPr>
        <w:lastRenderedPageBreak/>
        <w:t>Artículo 59.</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61.2.</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Sentencias </w:t>
      </w:r>
      <w:hyperlink w:anchor="SENTENCIA_2012_6" w:history="1">
        <w:r w:rsidRPr="0043655B">
          <w:rPr>
            <w:rStyle w:val="TextoNormalCaracter"/>
          </w:rPr>
          <w:t>6/2012</w:t>
        </w:r>
      </w:hyperlink>
      <w:r>
        <w:t xml:space="preserve">, f. 4; </w:t>
      </w:r>
      <w:hyperlink w:anchor="SENTENCIA_2012_38" w:history="1">
        <w:r w:rsidRPr="0043655B">
          <w:rPr>
            <w:rStyle w:val="TextoNormalCaracter"/>
          </w:rPr>
          <w:t>38/2012</w:t>
        </w:r>
      </w:hyperlink>
      <w:r>
        <w:t>, f. 2.</w:t>
      </w:r>
    </w:p>
    <w:p w:rsidR="0043655B" w:rsidRDefault="0043655B" w:rsidP="0043655B">
      <w:pPr>
        <w:pStyle w:val="SangriaFrancesaArticulo"/>
      </w:pPr>
      <w:r w:rsidRPr="0043655B">
        <w:rPr>
          <w:rStyle w:val="TextoNormalNegritaCaracter"/>
        </w:rPr>
        <w:t>Artículos 62 a 67.</w:t>
      </w:r>
      <w:r w:rsidRPr="0043655B">
        <w:rPr>
          <w:rStyle w:val="TextoNormalCaracter"/>
        </w:rPr>
        <w:t>-</w:t>
      </w:r>
      <w:r>
        <w:t xml:space="preserve"> Sentencia </w:t>
      </w:r>
      <w:hyperlink w:anchor="SENTENCIA_2012_6" w:history="1">
        <w:r w:rsidRPr="0043655B">
          <w:rPr>
            <w:rStyle w:val="TextoNormalCaracter"/>
          </w:rPr>
          <w:t>6/2012</w:t>
        </w:r>
      </w:hyperlink>
      <w:r>
        <w:t>, f. 3.</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22" w:history="1">
        <w:r w:rsidRPr="0043655B">
          <w:rPr>
            <w:rStyle w:val="TextoNormalCaracter"/>
          </w:rPr>
          <w:t>22/2012</w:t>
        </w:r>
      </w:hyperlink>
      <w:r>
        <w:t>, f. 2.</w:t>
      </w:r>
    </w:p>
    <w:p w:rsidR="0043655B" w:rsidRDefault="0043655B" w:rsidP="0043655B">
      <w:pPr>
        <w:pStyle w:val="SangriaFrancesaArticulo"/>
      </w:pPr>
      <w:r w:rsidRPr="0043655B">
        <w:rPr>
          <w:rStyle w:val="TextoNormalNegritaCaracter"/>
        </w:rPr>
        <w:t>Artículo 63 apartados 2 a 5.</w:t>
      </w:r>
      <w:r w:rsidRPr="0043655B">
        <w:rPr>
          <w:rStyle w:val="TextoNormalCaracter"/>
        </w:rPr>
        <w:t>-</w:t>
      </w:r>
      <w:r>
        <w:t xml:space="preserve"> Sentencia </w:t>
      </w:r>
      <w:hyperlink w:anchor="SENTENCIA_2012_22" w:history="1">
        <w:r w:rsidRPr="0043655B">
          <w:rPr>
            <w:rStyle w:val="TextoNormalCaracter"/>
          </w:rPr>
          <w:t>22/2012</w:t>
        </w:r>
      </w:hyperlink>
      <w:r>
        <w:t>, f. 2.</w:t>
      </w:r>
    </w:p>
    <w:p w:rsidR="0043655B" w:rsidRDefault="0043655B" w:rsidP="0043655B">
      <w:pPr>
        <w:pStyle w:val="SangriaFrancesaArticulo"/>
      </w:pPr>
      <w:r w:rsidRPr="0043655B">
        <w:rPr>
          <w:rStyle w:val="TextoNormalNegritaCaracter"/>
        </w:rPr>
        <w:t>Artículo 63.1.</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63.2.</w:t>
      </w:r>
      <w:r w:rsidRPr="0043655B">
        <w:rPr>
          <w:rStyle w:val="TextoNormalCaracter"/>
        </w:rPr>
        <w:t>-</w:t>
      </w:r>
      <w:r>
        <w:t xml:space="preserve"> Sentencia </w:t>
      </w:r>
      <w:hyperlink w:anchor="SENTENCIA_2012_22" w:history="1">
        <w:r w:rsidRPr="0043655B">
          <w:rPr>
            <w:rStyle w:val="TextoNormalCaracter"/>
          </w:rPr>
          <w:t>22/2012</w:t>
        </w:r>
      </w:hyperlink>
      <w:r>
        <w:t>, f. 2.</w:t>
      </w:r>
    </w:p>
    <w:p w:rsidR="0043655B" w:rsidRDefault="0043655B" w:rsidP="0043655B">
      <w:pPr>
        <w:pStyle w:val="SangriaFrancesaArticulo"/>
      </w:pPr>
      <w:r w:rsidRPr="0043655B">
        <w:rPr>
          <w:rStyle w:val="TextoNormalNegritaCaracter"/>
        </w:rPr>
        <w:t>Artículo 63.3.</w:t>
      </w:r>
      <w:r w:rsidRPr="0043655B">
        <w:rPr>
          <w:rStyle w:val="TextoNormalCaracter"/>
        </w:rPr>
        <w:t>-</w:t>
      </w:r>
      <w:r>
        <w:t xml:space="preserve"> Sentencia </w:t>
      </w:r>
      <w:hyperlink w:anchor="SENTENCIA_2012_22" w:history="1">
        <w:r w:rsidRPr="0043655B">
          <w:rPr>
            <w:rStyle w:val="TextoNormalCaracter"/>
          </w:rPr>
          <w:t>22/2012</w:t>
        </w:r>
      </w:hyperlink>
      <w:r>
        <w:t>, f. 2.</w:t>
      </w:r>
    </w:p>
    <w:p w:rsidR="0043655B" w:rsidRDefault="0043655B" w:rsidP="0043655B">
      <w:pPr>
        <w:pStyle w:val="SangriaFrancesaArticulo"/>
      </w:pPr>
      <w:r w:rsidRPr="0043655B">
        <w:rPr>
          <w:rStyle w:val="TextoNormalNegritaCaracter"/>
        </w:rPr>
        <w:t>Artículo 63.4.</w:t>
      </w:r>
      <w:r w:rsidRPr="0043655B">
        <w:rPr>
          <w:rStyle w:val="TextoNormalCaracter"/>
        </w:rPr>
        <w:t>-</w:t>
      </w:r>
      <w:r>
        <w:t xml:space="preserve"> Sentencia </w:t>
      </w:r>
      <w:hyperlink w:anchor="SENTENCIA_2012_22" w:history="1">
        <w:r w:rsidRPr="0043655B">
          <w:rPr>
            <w:rStyle w:val="TextoNormalCaracter"/>
          </w:rPr>
          <w:t>22/2012</w:t>
        </w:r>
      </w:hyperlink>
      <w:r>
        <w:t>, f. 2.</w:t>
      </w:r>
    </w:p>
    <w:p w:rsidR="0043655B" w:rsidRDefault="0043655B" w:rsidP="0043655B">
      <w:pPr>
        <w:pStyle w:val="SangriaFrancesaArticulo"/>
      </w:pPr>
      <w:r w:rsidRPr="0043655B">
        <w:rPr>
          <w:rStyle w:val="TextoNormalNegritaCaracter"/>
        </w:rPr>
        <w:t>Artículo 63.5.</w:t>
      </w:r>
      <w:r w:rsidRPr="0043655B">
        <w:rPr>
          <w:rStyle w:val="TextoNormalCaracter"/>
        </w:rPr>
        <w:t>-</w:t>
      </w:r>
      <w:r>
        <w:t xml:space="preserve"> Sentencia </w:t>
      </w:r>
      <w:hyperlink w:anchor="SENTENCIA_2012_22" w:history="1">
        <w:r w:rsidRPr="0043655B">
          <w:rPr>
            <w:rStyle w:val="TextoNormalCaracter"/>
          </w:rPr>
          <w:t>22/2012</w:t>
        </w:r>
      </w:hyperlink>
      <w:r>
        <w:t>, f. 2.</w:t>
      </w:r>
    </w:p>
    <w:p w:rsidR="0043655B" w:rsidRDefault="0043655B" w:rsidP="0043655B">
      <w:pPr>
        <w:pStyle w:val="SangriaFrancesaArticulo"/>
      </w:pPr>
      <w:r w:rsidRPr="0043655B">
        <w:rPr>
          <w:rStyle w:val="TextoNormalNegritaCaracter"/>
        </w:rPr>
        <w:t>Artículo 66.</w:t>
      </w:r>
      <w:r w:rsidRPr="0043655B">
        <w:rPr>
          <w:rStyle w:val="TextoNormalCaracter"/>
        </w:rPr>
        <w:t>-</w:t>
      </w:r>
      <w:r>
        <w:t xml:space="preserve"> Sentencias </w:t>
      </w:r>
      <w:hyperlink w:anchor="SENTENCIA_2012_6" w:history="1">
        <w:r w:rsidRPr="0043655B">
          <w:rPr>
            <w:rStyle w:val="TextoNormalCaracter"/>
          </w:rPr>
          <w:t>6/2012</w:t>
        </w:r>
      </w:hyperlink>
      <w:r>
        <w:t xml:space="preserve">, VP II; </w:t>
      </w:r>
      <w:hyperlink w:anchor="SENTENCIA_2012_32" w:history="1">
        <w:r w:rsidRPr="0043655B">
          <w:rPr>
            <w:rStyle w:val="TextoNormalCaracter"/>
          </w:rPr>
          <w:t>32/2012</w:t>
        </w:r>
      </w:hyperlink>
      <w:r>
        <w:t>, f. 2.</w:t>
      </w:r>
    </w:p>
    <w:p w:rsidR="0043655B" w:rsidRDefault="0043655B" w:rsidP="0043655B">
      <w:pPr>
        <w:pStyle w:val="SangriaFrancesaArticulo"/>
      </w:pPr>
      <w:r w:rsidRPr="0043655B">
        <w:rPr>
          <w:rStyle w:val="TextoNormalNegritaCaracter"/>
        </w:rPr>
        <w:t>Artículo 67.</w:t>
      </w:r>
      <w:r w:rsidRPr="0043655B">
        <w:rPr>
          <w:rStyle w:val="TextoNormalCaracter"/>
        </w:rPr>
        <w:t>-</w:t>
      </w:r>
      <w:r>
        <w:t xml:space="preserve"> Sentencias </w:t>
      </w:r>
      <w:hyperlink w:anchor="SENTENCIA_2012_6" w:history="1">
        <w:r w:rsidRPr="0043655B">
          <w:rPr>
            <w:rStyle w:val="TextoNormalCaracter"/>
          </w:rPr>
          <w:t>6/2012</w:t>
        </w:r>
      </w:hyperlink>
      <w:r>
        <w:t xml:space="preserve">, VP I; </w:t>
      </w:r>
      <w:hyperlink w:anchor="SENTENCIA_2012_33" w:history="1">
        <w:r w:rsidRPr="0043655B">
          <w:rPr>
            <w:rStyle w:val="TextoNormalCaracter"/>
          </w:rPr>
          <w:t>33/2012</w:t>
        </w:r>
      </w:hyperlink>
      <w:r>
        <w:t>, ff. 1 a 3, 6.</w:t>
      </w:r>
    </w:p>
    <w:p w:rsidR="0043655B" w:rsidRDefault="0043655B" w:rsidP="0043655B">
      <w:pPr>
        <w:pStyle w:val="SangriaFrancesaArticulo"/>
      </w:pPr>
      <w:r w:rsidRPr="0043655B">
        <w:rPr>
          <w:rStyle w:val="TextoNormalNegritaCaracter"/>
        </w:rPr>
        <w:t>Artículo 75 bis.</w:t>
      </w:r>
      <w:r w:rsidRPr="0043655B">
        <w:rPr>
          <w:rStyle w:val="TextoNormalCaracter"/>
        </w:rPr>
        <w:t>-</w:t>
      </w:r>
      <w:r>
        <w:t xml:space="preserve"> Sentencia </w:t>
      </w:r>
      <w:hyperlink w:anchor="SENTENCIA_2012_121" w:history="1">
        <w:r w:rsidRPr="0043655B">
          <w:rPr>
            <w:rStyle w:val="TextoNormalCaracter"/>
          </w:rPr>
          <w:t>121/2012</w:t>
        </w:r>
      </w:hyperlink>
      <w:r>
        <w:t>, ff. 3, 7.</w:t>
      </w:r>
    </w:p>
    <w:p w:rsidR="0043655B" w:rsidRDefault="0043655B" w:rsidP="0043655B">
      <w:pPr>
        <w:pStyle w:val="SangriaFrancesaArticulo"/>
      </w:pPr>
      <w:r w:rsidRPr="0043655B">
        <w:rPr>
          <w:rStyle w:val="TextoNormalNegritaCaracter"/>
        </w:rPr>
        <w:t>Artículo 75 bis 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bis, apartado 1.</w:t>
      </w:r>
      <w:r w:rsidRPr="0043655B">
        <w:rPr>
          <w:rStyle w:val="TextoNormalCaracter"/>
        </w:rPr>
        <w:t>-</w:t>
      </w:r>
      <w:r>
        <w:t xml:space="preserve"> Sentencia </w:t>
      </w:r>
      <w:hyperlink w:anchor="SENTENCIA_2012_121" w:history="1">
        <w:r w:rsidRPr="0043655B">
          <w:rPr>
            <w:rStyle w:val="TextoNormalCaracter"/>
          </w:rPr>
          <w:t>121/2012</w:t>
        </w:r>
      </w:hyperlink>
      <w:r>
        <w:t>, ff. 5, 9.</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quinquies, apartado 5.</w:t>
      </w:r>
      <w:r w:rsidRPr="0043655B">
        <w:rPr>
          <w:rStyle w:val="TextoNormalCaracter"/>
        </w:rPr>
        <w:t>-</w:t>
      </w:r>
      <w:r>
        <w:t xml:space="preserve"> Sentencia </w:t>
      </w:r>
      <w:hyperlink w:anchor="SENTENCIA_2012_121" w:history="1">
        <w:r w:rsidRPr="0043655B">
          <w:rPr>
            <w:rStyle w:val="TextoNormalCaracter"/>
          </w:rPr>
          <w:t>121/2012</w:t>
        </w:r>
      </w:hyperlink>
      <w:r>
        <w:t>, f. 5.</w:t>
      </w:r>
    </w:p>
    <w:p w:rsidR="0043655B" w:rsidRDefault="0043655B" w:rsidP="0043655B">
      <w:pPr>
        <w:pStyle w:val="SangriaFrancesaArticulo"/>
      </w:pPr>
      <w:r w:rsidRPr="0043655B">
        <w:rPr>
          <w:rStyle w:val="TextoNormalNegritaCaracter"/>
        </w:rPr>
        <w:t>Artículo 75 ter 1 b).</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ter 1 c).</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ter bis 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ter, apartado 1 a).</w:t>
      </w:r>
      <w:r w:rsidRPr="0043655B">
        <w:rPr>
          <w:rStyle w:val="TextoNormalCaracter"/>
        </w:rPr>
        <w:t>-</w:t>
      </w:r>
      <w:r>
        <w:t xml:space="preserve"> Sentencia </w:t>
      </w:r>
      <w:hyperlink w:anchor="SENTENCIA_2012_121" w:history="1">
        <w:r w:rsidRPr="0043655B">
          <w:rPr>
            <w:rStyle w:val="TextoNormalCaracter"/>
          </w:rPr>
          <w:t>121/2012</w:t>
        </w:r>
      </w:hyperlink>
      <w:r>
        <w:t>, ff. 3, 4.</w:t>
      </w:r>
    </w:p>
    <w:p w:rsidR="0043655B" w:rsidRDefault="0043655B" w:rsidP="0043655B">
      <w:pPr>
        <w:pStyle w:val="SangriaFrancesaArticulo"/>
      </w:pPr>
      <w:r w:rsidRPr="0043655B">
        <w:rPr>
          <w:rStyle w:val="TextoNormalNegritaCaracter"/>
        </w:rPr>
        <w:t>Artículo 75 ter, apartado 1 b).</w:t>
      </w:r>
      <w:r w:rsidRPr="0043655B">
        <w:rPr>
          <w:rStyle w:val="TextoNormalCaracter"/>
        </w:rPr>
        <w:t>-</w:t>
      </w:r>
      <w:r>
        <w:t xml:space="preserve"> Sentencia </w:t>
      </w:r>
      <w:hyperlink w:anchor="SENTENCIA_2012_121" w:history="1">
        <w:r w:rsidRPr="0043655B">
          <w:rPr>
            <w:rStyle w:val="TextoNormalCaracter"/>
          </w:rPr>
          <w:t>121/2012</w:t>
        </w:r>
      </w:hyperlink>
      <w:r>
        <w:t>, ff. 2, 3.</w:t>
      </w:r>
    </w:p>
    <w:p w:rsidR="0043655B" w:rsidRDefault="0043655B" w:rsidP="0043655B">
      <w:pPr>
        <w:pStyle w:val="SangriaIzquierdaArticulo"/>
      </w:pPr>
      <w:r>
        <w:t xml:space="preserve">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ter, apartado 1 c).</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75 ter, apartado 3.</w:t>
      </w:r>
      <w:r w:rsidRPr="0043655B">
        <w:rPr>
          <w:rStyle w:val="TextoNormalCaracter"/>
        </w:rPr>
        <w:t>-</w:t>
      </w:r>
      <w:r>
        <w:t xml:space="preserve"> Sentencias </w:t>
      </w:r>
      <w:hyperlink w:anchor="SENTENCIA_2012_121" w:history="1">
        <w:r w:rsidRPr="0043655B">
          <w:rPr>
            <w:rStyle w:val="TextoNormalCaracter"/>
          </w:rPr>
          <w:t>121/2012</w:t>
        </w:r>
      </w:hyperlink>
      <w:r>
        <w:t xml:space="preserve">, f. 2; </w:t>
      </w:r>
      <w:hyperlink w:anchor="SENTENCIA_2012_121" w:history="1">
        <w:r w:rsidRPr="0043655B">
          <w:rPr>
            <w:rStyle w:val="TextoNormalCaracter"/>
          </w:rPr>
          <w:t>121/2012</w:t>
        </w:r>
      </w:hyperlink>
      <w:r>
        <w:t>, f. 2.</w:t>
      </w:r>
    </w:p>
    <w:p w:rsidR="0043655B" w:rsidRDefault="0043655B" w:rsidP="0043655B">
      <w:pPr>
        <w:pStyle w:val="SangriaFrancesaArticulo"/>
      </w:pPr>
      <w:r w:rsidRPr="0043655B">
        <w:rPr>
          <w:rStyle w:val="TextoNormalNegritaCaracter"/>
        </w:rPr>
        <w:t>Artículo 80.</w:t>
      </w:r>
      <w:r w:rsidRPr="0043655B">
        <w:rPr>
          <w:rStyle w:val="TextoNormalCaracter"/>
        </w:rPr>
        <w:t>-</w:t>
      </w:r>
      <w:r>
        <w:t xml:space="preserve"> Sentencias </w:t>
      </w:r>
      <w:hyperlink w:anchor="SENTENCIA_2012_90" w:history="1">
        <w:r w:rsidRPr="0043655B">
          <w:rPr>
            <w:rStyle w:val="TextoNormalCaracter"/>
          </w:rPr>
          <w:t>90/2012</w:t>
        </w:r>
      </w:hyperlink>
      <w:r>
        <w:t xml:space="preserve">, f. 2; </w:t>
      </w:r>
      <w:hyperlink w:anchor="SENTENCIA_2012_121" w:history="1">
        <w:r w:rsidRPr="0043655B">
          <w:rPr>
            <w:rStyle w:val="TextoNormalCaracter"/>
          </w:rPr>
          <w:t>121/2012</w:t>
        </w:r>
      </w:hyperlink>
      <w:r>
        <w:t>, f. 4.</w:t>
      </w:r>
    </w:p>
    <w:p w:rsidR="0043655B" w:rsidRDefault="0043655B" w:rsidP="0043655B">
      <w:pPr>
        <w:pStyle w:val="SangriaIzquierdaArticulo"/>
      </w:pPr>
      <w:r>
        <w:t xml:space="preserve">Autos </w:t>
      </w:r>
      <w:hyperlink w:anchor="AUTO_2012_14" w:history="1">
        <w:r w:rsidRPr="0043655B">
          <w:rPr>
            <w:rStyle w:val="TextoNormalCaracter"/>
          </w:rPr>
          <w:t>14/2012</w:t>
        </w:r>
      </w:hyperlink>
      <w:r>
        <w:t xml:space="preserve">; </w:t>
      </w:r>
      <w:hyperlink w:anchor="AUTO_2012_33" w:history="1">
        <w:r w:rsidRPr="0043655B">
          <w:rPr>
            <w:rStyle w:val="TextoNormalCaracter"/>
          </w:rPr>
          <w:t>33/2012</w:t>
        </w:r>
      </w:hyperlink>
      <w:r>
        <w:t xml:space="preserve">; </w:t>
      </w:r>
      <w:hyperlink w:anchor="AUTO_2012_37" w:history="1">
        <w:r w:rsidRPr="0043655B">
          <w:rPr>
            <w:rStyle w:val="TextoNormalCaracter"/>
          </w:rPr>
          <w:t>37/2012</w:t>
        </w:r>
      </w:hyperlink>
      <w:r>
        <w:t xml:space="preserve">; </w:t>
      </w:r>
      <w:hyperlink w:anchor="AUTO_2012_38" w:history="1">
        <w:r w:rsidRPr="0043655B">
          <w:rPr>
            <w:rStyle w:val="TextoNormalCaracter"/>
          </w:rPr>
          <w:t>38/2012</w:t>
        </w:r>
      </w:hyperlink>
      <w:r>
        <w:t xml:space="preserve">; </w:t>
      </w:r>
      <w:hyperlink w:anchor="AUTO_2012_43" w:history="1">
        <w:r w:rsidRPr="0043655B">
          <w:rPr>
            <w:rStyle w:val="TextoNormalCaracter"/>
          </w:rPr>
          <w:t>43/2012</w:t>
        </w:r>
      </w:hyperlink>
      <w:r>
        <w:t xml:space="preserve">; </w:t>
      </w:r>
      <w:hyperlink w:anchor="AUTO_2012_45" w:history="1">
        <w:r w:rsidRPr="0043655B">
          <w:rPr>
            <w:rStyle w:val="TextoNormalCaracter"/>
          </w:rPr>
          <w:t>45/2012</w:t>
        </w:r>
      </w:hyperlink>
      <w:r>
        <w:t xml:space="preserve">; </w:t>
      </w:r>
      <w:hyperlink w:anchor="AUTO_2012_46" w:history="1">
        <w:r w:rsidRPr="0043655B">
          <w:rPr>
            <w:rStyle w:val="TextoNormalCaracter"/>
          </w:rPr>
          <w:t>46/2012</w:t>
        </w:r>
      </w:hyperlink>
      <w:r>
        <w:t xml:space="preserve">; </w:t>
      </w:r>
      <w:hyperlink w:anchor="AUTO_2012_60" w:history="1">
        <w:r w:rsidRPr="0043655B">
          <w:rPr>
            <w:rStyle w:val="TextoNormalCaracter"/>
          </w:rPr>
          <w:t>60/2012</w:t>
        </w:r>
      </w:hyperlink>
      <w:r>
        <w:t xml:space="preserve">, f. único; </w:t>
      </w:r>
      <w:hyperlink w:anchor="AUTO_2012_108" w:history="1">
        <w:r w:rsidRPr="0043655B">
          <w:rPr>
            <w:rStyle w:val="TextoNormalCaracter"/>
          </w:rPr>
          <w:t>108/2012</w:t>
        </w:r>
      </w:hyperlink>
      <w:r>
        <w:t>.</w:t>
      </w:r>
    </w:p>
    <w:p w:rsidR="0043655B" w:rsidRDefault="0043655B" w:rsidP="0043655B">
      <w:pPr>
        <w:pStyle w:val="SangriaFrancesaArticulo"/>
      </w:pPr>
      <w:r w:rsidRPr="0043655B">
        <w:rPr>
          <w:rStyle w:val="TextoNormalNegritaCaracter"/>
        </w:rPr>
        <w:t>Artículo 81.1.</w:t>
      </w:r>
      <w:r w:rsidRPr="0043655B">
        <w:rPr>
          <w:rStyle w:val="TextoNormalCaracter"/>
        </w:rPr>
        <w:t>-</w:t>
      </w:r>
      <w:r>
        <w:t xml:space="preserve"> Autos </w:t>
      </w:r>
      <w:hyperlink w:anchor="AUTO_2012_43" w:history="1">
        <w:r w:rsidRPr="0043655B">
          <w:rPr>
            <w:rStyle w:val="TextoNormalCaracter"/>
          </w:rPr>
          <w:t>43/2012</w:t>
        </w:r>
      </w:hyperlink>
      <w:r>
        <w:t xml:space="preserve">; </w:t>
      </w:r>
      <w:hyperlink w:anchor="AUTO_2012_120" w:history="1">
        <w:r w:rsidRPr="0043655B">
          <w:rPr>
            <w:rStyle w:val="TextoNormalCaracter"/>
          </w:rPr>
          <w:t>120/2012</w:t>
        </w:r>
      </w:hyperlink>
      <w:r>
        <w:t xml:space="preserve">; </w:t>
      </w:r>
      <w:hyperlink w:anchor="AUTO_2012_131" w:history="1">
        <w:r w:rsidRPr="0043655B">
          <w:rPr>
            <w:rStyle w:val="TextoNormalCaracter"/>
          </w:rPr>
          <w:t>131/2012</w:t>
        </w:r>
      </w:hyperlink>
      <w:r>
        <w:t>.</w:t>
      </w:r>
    </w:p>
    <w:p w:rsidR="0043655B" w:rsidRDefault="0043655B" w:rsidP="0043655B">
      <w:pPr>
        <w:pStyle w:val="SangriaFrancesaArticulo"/>
      </w:pPr>
      <w:r w:rsidRPr="0043655B">
        <w:rPr>
          <w:rStyle w:val="TextoNormalNegritaCaracter"/>
        </w:rPr>
        <w:t>Artículo 82.1.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83.</w:t>
      </w:r>
      <w:r w:rsidRPr="0043655B">
        <w:rPr>
          <w:rStyle w:val="TextoNormalCaracter"/>
        </w:rPr>
        <w:t>-</w:t>
      </w:r>
      <w:r>
        <w:t xml:space="preserve"> Autos </w:t>
      </w:r>
      <w:hyperlink w:anchor="AUTO_2012_100" w:history="1">
        <w:r w:rsidRPr="0043655B">
          <w:rPr>
            <w:rStyle w:val="TextoNormalCaracter"/>
          </w:rPr>
          <w:t>100/2012</w:t>
        </w:r>
      </w:hyperlink>
      <w:r>
        <w:t xml:space="preserve">;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Artículo 84.</w:t>
      </w:r>
      <w:r w:rsidRPr="0043655B">
        <w:rPr>
          <w:rStyle w:val="TextoNormalCaracter"/>
        </w:rPr>
        <w:t>-</w:t>
      </w:r>
      <w:r>
        <w:t xml:space="preserve"> Sentencias </w:t>
      </w:r>
      <w:hyperlink w:anchor="SENTENCIA_2012_1" w:history="1">
        <w:r w:rsidRPr="0043655B">
          <w:rPr>
            <w:rStyle w:val="TextoNormalCaracter"/>
          </w:rPr>
          <w:t>1/2012</w:t>
        </w:r>
      </w:hyperlink>
      <w:r>
        <w:t xml:space="preserve">, ff. 4, 13; </w:t>
      </w:r>
      <w:hyperlink w:anchor="SENTENCIA_2012_34" w:history="1">
        <w:r w:rsidRPr="0043655B">
          <w:rPr>
            <w:rStyle w:val="TextoNormalCaracter"/>
          </w:rPr>
          <w:t>34/2012</w:t>
        </w:r>
      </w:hyperlink>
      <w:r>
        <w:t xml:space="preserve">, f. 3; </w:t>
      </w:r>
      <w:hyperlink w:anchor="SENTENCIA_2012_113" w:history="1">
        <w:r w:rsidRPr="0043655B">
          <w:rPr>
            <w:rStyle w:val="TextoNormalCaracter"/>
          </w:rPr>
          <w:t>113/2012</w:t>
        </w:r>
      </w:hyperlink>
      <w:r>
        <w:t xml:space="preserve">, VP III; </w:t>
      </w:r>
      <w:hyperlink w:anchor="SENTENCIA_2012_118" w:history="1">
        <w:r w:rsidRPr="0043655B">
          <w:rPr>
            <w:rStyle w:val="TextoNormalCaracter"/>
          </w:rPr>
          <w:t>118/2012</w:t>
        </w:r>
      </w:hyperlink>
      <w:r>
        <w:t xml:space="preserve">, f. 3; </w:t>
      </w:r>
      <w:hyperlink w:anchor="SENTENCIA_2012_122" w:history="1">
        <w:r w:rsidRPr="0043655B">
          <w:rPr>
            <w:rStyle w:val="TextoNormalCaracter"/>
          </w:rPr>
          <w:t>122/2012</w:t>
        </w:r>
      </w:hyperlink>
      <w:r>
        <w:t>, f. 2.</w:t>
      </w:r>
    </w:p>
    <w:p w:rsidR="0043655B" w:rsidRDefault="0043655B" w:rsidP="0043655B">
      <w:pPr>
        <w:pStyle w:val="SangriaIzquierdaArticulo"/>
      </w:pPr>
      <w:r>
        <w:t xml:space="preserve">Autos </w:t>
      </w:r>
      <w:hyperlink w:anchor="AUTO_2012_9" w:history="1">
        <w:r w:rsidRPr="0043655B">
          <w:rPr>
            <w:rStyle w:val="TextoNormalCaracter"/>
          </w:rPr>
          <w:t>9/2012</w:t>
        </w:r>
      </w:hyperlink>
      <w:r>
        <w:t xml:space="preserve">; </w:t>
      </w:r>
      <w:hyperlink w:anchor="AUTO_2012_49" w:history="1">
        <w:r w:rsidRPr="0043655B">
          <w:rPr>
            <w:rStyle w:val="TextoNormalCaracter"/>
          </w:rPr>
          <w:t>49/2012</w:t>
        </w:r>
      </w:hyperlink>
      <w:r>
        <w:t xml:space="preserve">;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85.2.</w:t>
      </w:r>
      <w:r w:rsidRPr="0043655B">
        <w:rPr>
          <w:rStyle w:val="TextoNormalCaracter"/>
        </w:rPr>
        <w:t>-</w:t>
      </w:r>
      <w:r>
        <w:t xml:space="preserve"> Auto </w:t>
      </w:r>
      <w:hyperlink w:anchor="AUTO_2012_24" w:history="1">
        <w:r w:rsidRPr="0043655B">
          <w:rPr>
            <w:rStyle w:val="TextoNormalCaracter"/>
          </w:rPr>
          <w:t>24/2012</w:t>
        </w:r>
      </w:hyperlink>
      <w:r>
        <w:t>.</w:t>
      </w:r>
    </w:p>
    <w:p w:rsidR="0043655B" w:rsidRDefault="0043655B" w:rsidP="0043655B">
      <w:pPr>
        <w:pStyle w:val="SangriaFrancesaArticulo"/>
      </w:pPr>
      <w:r w:rsidRPr="0043655B">
        <w:rPr>
          <w:rStyle w:val="TextoNormalNegritaCaracter"/>
        </w:rPr>
        <w:t>Artículo 85.2</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Sentencias </w:t>
      </w:r>
      <w:hyperlink w:anchor="SENTENCIA_2012_90" w:history="1">
        <w:r w:rsidRPr="0043655B">
          <w:rPr>
            <w:rStyle w:val="TextoNormalCaracter"/>
          </w:rPr>
          <w:t>90/2012</w:t>
        </w:r>
      </w:hyperlink>
      <w:r>
        <w:t xml:space="preserve">, f. 2; </w:t>
      </w:r>
      <w:hyperlink w:anchor="SENTENCIA_2012_109" w:history="1">
        <w:r w:rsidRPr="0043655B">
          <w:rPr>
            <w:rStyle w:val="TextoNormalCaracter"/>
          </w:rPr>
          <w:t>109/2012</w:t>
        </w:r>
      </w:hyperlink>
      <w:r>
        <w:t xml:space="preserve">, f. 2; </w:t>
      </w:r>
      <w:hyperlink w:anchor="SENTENCIA_2012_127" w:history="1">
        <w:r w:rsidRPr="0043655B">
          <w:rPr>
            <w:rStyle w:val="TextoNormalCaracter"/>
          </w:rPr>
          <w:t>127/2012</w:t>
        </w:r>
      </w:hyperlink>
      <w:r>
        <w:t>, f. 2.</w:t>
      </w:r>
    </w:p>
    <w:p w:rsidR="0043655B" w:rsidRDefault="0043655B" w:rsidP="0043655B">
      <w:pPr>
        <w:pStyle w:val="SangriaFrancesaArticulo"/>
      </w:pPr>
      <w:r w:rsidRPr="0043655B">
        <w:rPr>
          <w:rStyle w:val="TextoNormalNegritaCaracter"/>
        </w:rPr>
        <w:t>Artículo 86.1.</w:t>
      </w:r>
      <w:r w:rsidRPr="0043655B">
        <w:rPr>
          <w:rStyle w:val="TextoNormalCaracter"/>
        </w:rPr>
        <w:t>-</w:t>
      </w:r>
      <w:r>
        <w:t xml:space="preserve"> Sentencias </w:t>
      </w:r>
      <w:hyperlink w:anchor="SENTENCIA_2012_101" w:history="1">
        <w:r w:rsidRPr="0043655B">
          <w:rPr>
            <w:rStyle w:val="TextoNormalCaracter"/>
          </w:rPr>
          <w:t>101/2012</w:t>
        </w:r>
      </w:hyperlink>
      <w:r>
        <w:t xml:space="preserve">, f. 2; </w:t>
      </w:r>
      <w:hyperlink w:anchor="SENTENCIA_2012_122" w:history="1">
        <w:r w:rsidRPr="0043655B">
          <w:rPr>
            <w:rStyle w:val="TextoNormalCaracter"/>
          </w:rPr>
          <w:t>122/2012</w:t>
        </w:r>
      </w:hyperlink>
      <w:r>
        <w:t>, f. 2.</w:t>
      </w:r>
    </w:p>
    <w:p w:rsidR="0043655B" w:rsidRDefault="0043655B" w:rsidP="0043655B">
      <w:pPr>
        <w:pStyle w:val="SangriaIzquierdaArticulo"/>
      </w:pPr>
      <w:r>
        <w:t xml:space="preserve">Autos </w:t>
      </w:r>
      <w:hyperlink w:anchor="AUTO_2012_60" w:history="1">
        <w:r w:rsidRPr="0043655B">
          <w:rPr>
            <w:rStyle w:val="TextoNormalCaracter"/>
          </w:rPr>
          <w:t>60/2012</w:t>
        </w:r>
      </w:hyperlink>
      <w:r>
        <w:t xml:space="preserve">, f. único; </w:t>
      </w:r>
      <w:hyperlink w:anchor="AUTO_2012_120" w:history="1">
        <w:r w:rsidRPr="0043655B">
          <w:rPr>
            <w:rStyle w:val="TextoNormalCaracter"/>
          </w:rPr>
          <w:t>120/2012</w:t>
        </w:r>
      </w:hyperlink>
      <w:r>
        <w:t>.</w:t>
      </w:r>
    </w:p>
    <w:p w:rsidR="0043655B" w:rsidRDefault="0043655B" w:rsidP="0043655B">
      <w:pPr>
        <w:pStyle w:val="SangriaFrancesaArticulo"/>
      </w:pPr>
      <w:r w:rsidRPr="0043655B">
        <w:rPr>
          <w:rStyle w:val="TextoNormalNegritaCaracter"/>
        </w:rPr>
        <w:t>Artículo 86.2.</w:t>
      </w:r>
      <w:r w:rsidRPr="0043655B">
        <w:rPr>
          <w:rStyle w:val="TextoNormalCaracter"/>
        </w:rPr>
        <w:t>-</w:t>
      </w:r>
      <w:r>
        <w:t xml:space="preserve"> Sentencias </w:t>
      </w:r>
      <w:hyperlink w:anchor="SENTENCIA_2012_85" w:history="1">
        <w:r w:rsidRPr="0043655B">
          <w:rPr>
            <w:rStyle w:val="TextoNormalCaracter"/>
          </w:rPr>
          <w:t>85/2012</w:t>
        </w:r>
      </w:hyperlink>
      <w:r>
        <w:t xml:space="preserve">, f. 3; </w:t>
      </w:r>
      <w:hyperlink w:anchor="SENTENCIA_2012_104" w:history="1">
        <w:r w:rsidRPr="0043655B">
          <w:rPr>
            <w:rStyle w:val="TextoNormalCaracter"/>
          </w:rPr>
          <w:t>104/2012</w:t>
        </w:r>
      </w:hyperlink>
      <w:r>
        <w:t>, f. 3.</w:t>
      </w:r>
    </w:p>
    <w:p w:rsidR="0043655B" w:rsidRDefault="0043655B" w:rsidP="0043655B">
      <w:pPr>
        <w:pStyle w:val="SangriaFrancesaArticulo"/>
      </w:pPr>
      <w:r w:rsidRPr="0043655B">
        <w:rPr>
          <w:rStyle w:val="TextoNormalNegritaCaracter"/>
        </w:rPr>
        <w:t>Artículo 87.1.</w:t>
      </w:r>
      <w:r w:rsidRPr="0043655B">
        <w:rPr>
          <w:rStyle w:val="TextoNormalCaracter"/>
        </w:rPr>
        <w:t>-</w:t>
      </w:r>
      <w:r>
        <w:t xml:space="preserve"> Sentencia </w:t>
      </w:r>
      <w:hyperlink w:anchor="SENTENCIA_2012_119" w:history="1">
        <w:r w:rsidRPr="0043655B">
          <w:rPr>
            <w:rStyle w:val="TextoNormalCaracter"/>
          </w:rPr>
          <w:t>119/2012</w:t>
        </w:r>
      </w:hyperlink>
      <w:r>
        <w:t>, f. 5.</w:t>
      </w:r>
    </w:p>
    <w:p w:rsidR="0043655B" w:rsidRDefault="0043655B" w:rsidP="0043655B">
      <w:pPr>
        <w:pStyle w:val="SangriaFrancesaArticulo"/>
      </w:pPr>
      <w:r w:rsidRPr="0043655B">
        <w:rPr>
          <w:rStyle w:val="TextoNormalNegritaCaracter"/>
        </w:rPr>
        <w:t>Artículo 90.2.</w:t>
      </w:r>
      <w:r w:rsidRPr="0043655B">
        <w:rPr>
          <w:rStyle w:val="TextoNormalCaracter"/>
        </w:rPr>
        <w:t>-</w:t>
      </w:r>
      <w:r>
        <w:t xml:space="preserve"> Sentencias </w:t>
      </w:r>
      <w:hyperlink w:anchor="SENTENCIA_2012_6" w:history="1">
        <w:r w:rsidRPr="0043655B">
          <w:rPr>
            <w:rStyle w:val="TextoNormalCaracter"/>
          </w:rPr>
          <w:t>6/2012</w:t>
        </w:r>
      </w:hyperlink>
      <w:r>
        <w:t xml:space="preserve">, VP I, VP II; </w:t>
      </w:r>
      <w:hyperlink w:anchor="SENTENCIA_2012_9" w:history="1">
        <w:r w:rsidRPr="0043655B">
          <w:rPr>
            <w:rStyle w:val="TextoNormalCaracter"/>
          </w:rPr>
          <w:t>9/2012</w:t>
        </w:r>
      </w:hyperlink>
      <w:r>
        <w:t xml:space="preserve">, VP; </w:t>
      </w:r>
      <w:hyperlink w:anchor="SENTENCIA_2012_36" w:history="1">
        <w:r w:rsidRPr="0043655B">
          <w:rPr>
            <w:rStyle w:val="TextoNormalCaracter"/>
          </w:rPr>
          <w:t>36/2012</w:t>
        </w:r>
      </w:hyperlink>
      <w:r>
        <w:t xml:space="preserve">, VP; </w:t>
      </w:r>
      <w:hyperlink w:anchor="SENTENCIA_2012_37" w:history="1">
        <w:r w:rsidRPr="0043655B">
          <w:rPr>
            <w:rStyle w:val="TextoNormalCaracter"/>
          </w:rPr>
          <w:t>37/2012</w:t>
        </w:r>
      </w:hyperlink>
      <w:r>
        <w:t xml:space="preserve">, VP I, VP III, VP IV;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1" w:history="1">
        <w:r w:rsidRPr="0043655B">
          <w:rPr>
            <w:rStyle w:val="TextoNormalCaracter"/>
          </w:rPr>
          <w:t>41/2012</w:t>
        </w:r>
      </w:hyperlink>
      <w:r>
        <w:t xml:space="preserve">, VP I, VP II, VP III; </w:t>
      </w:r>
      <w:hyperlink w:anchor="SENTENCIA_2012_42" w:history="1">
        <w:r w:rsidRPr="0043655B">
          <w:rPr>
            <w:rStyle w:val="TextoNormalCaracter"/>
          </w:rPr>
          <w:t>42/2012</w:t>
        </w:r>
      </w:hyperlink>
      <w:r>
        <w:t xml:space="preserve">, VP I; </w:t>
      </w:r>
      <w:hyperlink w:anchor="SENTENCIA_2012_43" w:history="1">
        <w:r w:rsidRPr="0043655B">
          <w:rPr>
            <w:rStyle w:val="TextoNormalCaracter"/>
          </w:rPr>
          <w:t>43/2012</w:t>
        </w:r>
      </w:hyperlink>
      <w:r>
        <w:t xml:space="preserve">, VP; </w:t>
      </w:r>
      <w:hyperlink w:anchor="SENTENCIA_2012_44" w:history="1">
        <w:r w:rsidRPr="0043655B">
          <w:rPr>
            <w:rStyle w:val="TextoNormalCaracter"/>
          </w:rPr>
          <w:t>44/2012</w:t>
        </w:r>
      </w:hyperlink>
      <w:r>
        <w:t xml:space="preserve">, VP; </w:t>
      </w:r>
      <w:hyperlink w:anchor="SENTENCIA_2012_45" w:history="1">
        <w:r w:rsidRPr="0043655B">
          <w:rPr>
            <w:rStyle w:val="TextoNormalCaracter"/>
          </w:rPr>
          <w:t>45/2012</w:t>
        </w:r>
      </w:hyperlink>
      <w:r>
        <w:t xml:space="preserve">, VP; </w:t>
      </w:r>
      <w:hyperlink w:anchor="SENTENCIA_2012_46" w:history="1">
        <w:r w:rsidRPr="0043655B">
          <w:rPr>
            <w:rStyle w:val="TextoNormalCaracter"/>
          </w:rPr>
          <w:t>46/2012</w:t>
        </w:r>
      </w:hyperlink>
      <w:r>
        <w:t xml:space="preserve">, VP; </w:t>
      </w:r>
      <w:hyperlink w:anchor="SENTENCIA_2012_47" w:history="1">
        <w:r w:rsidRPr="0043655B">
          <w:rPr>
            <w:rStyle w:val="TextoNormalCaracter"/>
          </w:rPr>
          <w:t>47/2012</w:t>
        </w:r>
      </w:hyperlink>
      <w:r>
        <w:t xml:space="preserve">, VP II; </w:t>
      </w:r>
      <w:hyperlink w:anchor="SENTENCIA_2012_48" w:history="1">
        <w:r w:rsidRPr="0043655B">
          <w:rPr>
            <w:rStyle w:val="TextoNormalCaracter"/>
          </w:rPr>
          <w:t>48/2012</w:t>
        </w:r>
      </w:hyperlink>
      <w:r>
        <w:t xml:space="preserve">, VP; </w:t>
      </w:r>
      <w:hyperlink w:anchor="SENTENCIA_2012_49" w:history="1">
        <w:r w:rsidRPr="0043655B">
          <w:rPr>
            <w:rStyle w:val="TextoNormalCaracter"/>
          </w:rPr>
          <w:t>49/2012</w:t>
        </w:r>
      </w:hyperlink>
      <w:r>
        <w:t xml:space="preserve">, VP; </w:t>
      </w:r>
      <w:hyperlink w:anchor="SENTENCIA_2012_50" w:history="1">
        <w:r w:rsidRPr="0043655B">
          <w:rPr>
            <w:rStyle w:val="TextoNormalCaracter"/>
          </w:rPr>
          <w:t>50/2012</w:t>
        </w:r>
      </w:hyperlink>
      <w:r>
        <w:t xml:space="preserve">, VP II; </w:t>
      </w:r>
      <w:hyperlink w:anchor="SENTENCIA_2012_51" w:history="1">
        <w:r w:rsidRPr="0043655B">
          <w:rPr>
            <w:rStyle w:val="TextoNormalCaracter"/>
          </w:rPr>
          <w:t>51/2012</w:t>
        </w:r>
      </w:hyperlink>
      <w:r>
        <w:t xml:space="preserve">, VP II; </w:t>
      </w:r>
      <w:hyperlink w:anchor="SENTENCIA_2012_52" w:history="1">
        <w:r w:rsidRPr="0043655B">
          <w:rPr>
            <w:rStyle w:val="TextoNormalCaracter"/>
          </w:rPr>
          <w:t>52/2012</w:t>
        </w:r>
      </w:hyperlink>
      <w:r>
        <w:t xml:space="preserve">, VP; </w:t>
      </w:r>
      <w:hyperlink w:anchor="SENTENCIA_2012_53" w:history="1">
        <w:r w:rsidRPr="0043655B">
          <w:rPr>
            <w:rStyle w:val="TextoNormalCaracter"/>
          </w:rPr>
          <w:t>53/2012</w:t>
        </w:r>
      </w:hyperlink>
      <w:r>
        <w:t xml:space="preserve">, VP; </w:t>
      </w:r>
      <w:hyperlink w:anchor="SENTENCIA_2012_54" w:history="1">
        <w:r w:rsidRPr="0043655B">
          <w:rPr>
            <w:rStyle w:val="TextoNormalCaracter"/>
          </w:rPr>
          <w:t>54/2012</w:t>
        </w:r>
      </w:hyperlink>
      <w:r>
        <w:t xml:space="preserve">, VP; </w:t>
      </w:r>
      <w:hyperlink w:anchor="SENTENCIA_2012_55" w:history="1">
        <w:r w:rsidRPr="0043655B">
          <w:rPr>
            <w:rStyle w:val="TextoNormalCaracter"/>
          </w:rPr>
          <w:t>55/2012</w:t>
        </w:r>
      </w:hyperlink>
      <w:r>
        <w:t xml:space="preserve">, VP; </w:t>
      </w:r>
      <w:hyperlink w:anchor="SENTENCIA_2012_56" w:history="1">
        <w:r w:rsidRPr="0043655B">
          <w:rPr>
            <w:rStyle w:val="TextoNormalCaracter"/>
          </w:rPr>
          <w:t>56/2012</w:t>
        </w:r>
      </w:hyperlink>
      <w:r>
        <w:t xml:space="preserve">, VP II; </w:t>
      </w:r>
      <w:hyperlink w:anchor="SENTENCIA_2012_57" w:history="1">
        <w:r w:rsidRPr="0043655B">
          <w:rPr>
            <w:rStyle w:val="TextoNormalCaracter"/>
          </w:rPr>
          <w:t>57/2012</w:t>
        </w:r>
      </w:hyperlink>
      <w:r>
        <w:t xml:space="preserve">, VP I, VP II; </w:t>
      </w:r>
      <w:hyperlink w:anchor="SENTENCIA_2012_59" w:history="1">
        <w:r w:rsidRPr="0043655B">
          <w:rPr>
            <w:rStyle w:val="TextoNormalCaracter"/>
          </w:rPr>
          <w:t>59/2012</w:t>
        </w:r>
      </w:hyperlink>
      <w:r>
        <w:t xml:space="preserve">, VP; </w:t>
      </w:r>
      <w:hyperlink w:anchor="SENTENCIA_2012_61" w:history="1">
        <w:r w:rsidRPr="0043655B">
          <w:rPr>
            <w:rStyle w:val="TextoNormalCaracter"/>
          </w:rPr>
          <w:t>61/2012</w:t>
        </w:r>
      </w:hyperlink>
      <w:r>
        <w:t xml:space="preserve">, VP; </w:t>
      </w:r>
      <w:hyperlink w:anchor="SENTENCIA_2012_64" w:history="1">
        <w:r w:rsidRPr="0043655B">
          <w:rPr>
            <w:rStyle w:val="TextoNormalCaracter"/>
          </w:rPr>
          <w:t>64/2012</w:t>
        </w:r>
      </w:hyperlink>
      <w:r>
        <w:t xml:space="preserve">, VP II; </w:t>
      </w:r>
      <w:hyperlink w:anchor="SENTENCIA_2012_65" w:history="1">
        <w:r w:rsidRPr="0043655B">
          <w:rPr>
            <w:rStyle w:val="TextoNormalCaracter"/>
          </w:rPr>
          <w:t>65/2012</w:t>
        </w:r>
      </w:hyperlink>
      <w:r>
        <w:t xml:space="preserve">, VP; </w:t>
      </w:r>
      <w:hyperlink w:anchor="SENTENCIA_2012_66" w:history="1">
        <w:r w:rsidRPr="0043655B">
          <w:rPr>
            <w:rStyle w:val="TextoNormalCaracter"/>
          </w:rPr>
          <w:t>66/2012</w:t>
        </w:r>
      </w:hyperlink>
      <w:r>
        <w:t xml:space="preserve">, VP II; </w:t>
      </w:r>
      <w:hyperlink w:anchor="SENTENCIA_2012_67" w:history="1">
        <w:r w:rsidRPr="0043655B">
          <w:rPr>
            <w:rStyle w:val="TextoNormalCaracter"/>
          </w:rPr>
          <w:t>67/2012</w:t>
        </w:r>
      </w:hyperlink>
      <w:r>
        <w:t xml:space="preserve">, VP I; </w:t>
      </w:r>
      <w:hyperlink w:anchor="SENTENCIA_2012_68" w:history="1">
        <w:r w:rsidRPr="0043655B">
          <w:rPr>
            <w:rStyle w:val="TextoNormalCaracter"/>
          </w:rPr>
          <w:t>68/2012</w:t>
        </w:r>
      </w:hyperlink>
      <w:r>
        <w:t xml:space="preserve">, VP; </w:t>
      </w:r>
      <w:hyperlink w:anchor="SENTENCIA_2012_69" w:history="1">
        <w:r w:rsidRPr="0043655B">
          <w:rPr>
            <w:rStyle w:val="TextoNormalCaracter"/>
          </w:rPr>
          <w:t>69/2012</w:t>
        </w:r>
      </w:hyperlink>
      <w:r>
        <w:t xml:space="preserve">, VP; </w:t>
      </w:r>
      <w:hyperlink w:anchor="SENTENCIA_2012_71" w:history="1">
        <w:r w:rsidRPr="0043655B">
          <w:rPr>
            <w:rStyle w:val="TextoNormalCaracter"/>
          </w:rPr>
          <w:t>71/2012</w:t>
        </w:r>
      </w:hyperlink>
      <w:r>
        <w:t xml:space="preserve">, VP; </w:t>
      </w:r>
      <w:hyperlink w:anchor="SENTENCIA_2012_72" w:history="1">
        <w:r w:rsidRPr="0043655B">
          <w:rPr>
            <w:rStyle w:val="TextoNormalCaracter"/>
          </w:rPr>
          <w:t>72/2012</w:t>
        </w:r>
      </w:hyperlink>
      <w:r>
        <w:t xml:space="preserve">, VP; </w:t>
      </w:r>
      <w:hyperlink w:anchor="SENTENCIA_2012_75" w:history="1">
        <w:r w:rsidRPr="0043655B">
          <w:rPr>
            <w:rStyle w:val="TextoNormalCaracter"/>
          </w:rPr>
          <w:t>75/2012</w:t>
        </w:r>
      </w:hyperlink>
      <w:r>
        <w:t xml:space="preserve">, VP; </w:t>
      </w:r>
      <w:hyperlink w:anchor="SENTENCIA_2012_80" w:history="1">
        <w:r w:rsidRPr="0043655B">
          <w:rPr>
            <w:rStyle w:val="TextoNormalCaracter"/>
          </w:rPr>
          <w:t>80/2012</w:t>
        </w:r>
      </w:hyperlink>
      <w:r>
        <w:t xml:space="preserve">, VP I, VP II; </w:t>
      </w:r>
      <w:hyperlink w:anchor="SENTENCIA_2012_81" w:history="1">
        <w:r w:rsidRPr="0043655B">
          <w:rPr>
            <w:rStyle w:val="TextoNormalCaracter"/>
          </w:rPr>
          <w:t>81/2012</w:t>
        </w:r>
      </w:hyperlink>
      <w:r>
        <w:t xml:space="preserve">, VP; </w:t>
      </w:r>
      <w:hyperlink w:anchor="SENTENCIA_2012_82" w:history="1">
        <w:r w:rsidRPr="0043655B">
          <w:rPr>
            <w:rStyle w:val="TextoNormalCaracter"/>
          </w:rPr>
          <w:t>82/2012</w:t>
        </w:r>
      </w:hyperlink>
      <w:r>
        <w:t xml:space="preserve">, VP I, VP II; </w:t>
      </w:r>
      <w:hyperlink w:anchor="SENTENCIA_2012_93" w:history="1">
        <w:r w:rsidRPr="0043655B">
          <w:rPr>
            <w:rStyle w:val="TextoNormalCaracter"/>
          </w:rPr>
          <w:t>93/2012</w:t>
        </w:r>
      </w:hyperlink>
      <w:r>
        <w:t xml:space="preserve">, VP; </w:t>
      </w:r>
      <w:hyperlink w:anchor="SENTENCIA_2012_98" w:history="1">
        <w:r w:rsidRPr="0043655B">
          <w:rPr>
            <w:rStyle w:val="TextoNormalCaracter"/>
          </w:rPr>
          <w:t>98/2012</w:t>
        </w:r>
      </w:hyperlink>
      <w:r>
        <w:t xml:space="preserve">, VP; </w:t>
      </w:r>
      <w:hyperlink w:anchor="SENTENCIA_2012_113" w:history="1">
        <w:r w:rsidRPr="0043655B">
          <w:rPr>
            <w:rStyle w:val="TextoNormalCaracter"/>
          </w:rPr>
          <w:t>113/2012</w:t>
        </w:r>
      </w:hyperlink>
      <w:r>
        <w:t xml:space="preserve">, VP II, VP III, VP IV; </w:t>
      </w:r>
      <w:hyperlink w:anchor="SENTENCIA_2012_114" w:history="1">
        <w:r w:rsidRPr="0043655B">
          <w:rPr>
            <w:rStyle w:val="TextoNormalCaracter"/>
          </w:rPr>
          <w:t>114/2012</w:t>
        </w:r>
      </w:hyperlink>
      <w:r>
        <w:t xml:space="preserve">, VP; </w:t>
      </w:r>
      <w:hyperlink w:anchor="SENTENCIA_2012_132" w:history="1">
        <w:r w:rsidRPr="0043655B">
          <w:rPr>
            <w:rStyle w:val="TextoNormalCaracter"/>
          </w:rPr>
          <w:t>132/2012</w:t>
        </w:r>
      </w:hyperlink>
      <w:r>
        <w:t xml:space="preserve">, VP; </w:t>
      </w:r>
      <w:hyperlink w:anchor="SENTENCIA_2012_138" w:history="1">
        <w:r w:rsidRPr="0043655B">
          <w:rPr>
            <w:rStyle w:val="TextoNormalCaracter"/>
          </w:rPr>
          <w:t>138/2012</w:t>
        </w:r>
      </w:hyperlink>
      <w:r>
        <w:t>, VP II, VP III.</w:t>
      </w:r>
    </w:p>
    <w:p w:rsidR="0043655B" w:rsidRDefault="0043655B" w:rsidP="0043655B">
      <w:pPr>
        <w:pStyle w:val="SangriaIzquierdaArticulo"/>
      </w:pPr>
      <w:r>
        <w:t xml:space="preserve">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93.1.</w:t>
      </w:r>
      <w:r w:rsidRPr="0043655B">
        <w:rPr>
          <w:rStyle w:val="TextoNormalCaracter"/>
        </w:rPr>
        <w:t>-</w:t>
      </w:r>
      <w:r>
        <w:t xml:space="preserve"> Auto </w:t>
      </w:r>
      <w:hyperlink w:anchor="AUTO_2012_108" w:history="1">
        <w:r w:rsidRPr="0043655B">
          <w:rPr>
            <w:rStyle w:val="TextoNormalCaracter"/>
          </w:rPr>
          <w:t>108/2012</w:t>
        </w:r>
      </w:hyperlink>
      <w:r>
        <w:t>.</w:t>
      </w:r>
    </w:p>
    <w:p w:rsidR="0043655B" w:rsidRDefault="0043655B" w:rsidP="0043655B">
      <w:pPr>
        <w:pStyle w:val="SangriaFrancesaArticulo"/>
      </w:pPr>
      <w:r w:rsidRPr="0043655B">
        <w:rPr>
          <w:rStyle w:val="TextoNormalNegritaCaracter"/>
        </w:rPr>
        <w:t>Artículo 93.2.</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94.</w:t>
      </w:r>
      <w:r w:rsidRPr="0043655B">
        <w:rPr>
          <w:rStyle w:val="TextoNormalCaracter"/>
        </w:rPr>
        <w:t>-</w:t>
      </w:r>
      <w:r>
        <w:t xml:space="preserve"> Auto </w:t>
      </w:r>
      <w:hyperlink w:anchor="AUTO_2012_30" w:history="1">
        <w:r w:rsidRPr="0043655B">
          <w:rPr>
            <w:rStyle w:val="TextoNormalCaracter"/>
          </w:rPr>
          <w:t>30/2012</w:t>
        </w:r>
      </w:hyperlink>
      <w:r>
        <w:t>.</w:t>
      </w:r>
    </w:p>
    <w:p w:rsidR="0043655B" w:rsidRDefault="0043655B" w:rsidP="0043655B">
      <w:pPr>
        <w:pStyle w:val="SangriaFrancesaArticulo"/>
      </w:pPr>
      <w:r w:rsidRPr="0043655B">
        <w:rPr>
          <w:rStyle w:val="TextoNormalNegritaCaracter"/>
        </w:rPr>
        <w:t>Disposición adicional tercera, apartado 2.</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Disposición adicional quinta, apartado 3.</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p>
    <w:p w:rsidR="0043655B" w:rsidRDefault="0043655B" w:rsidP="0043655B">
      <w:pPr>
        <w:pStyle w:val="TextoNormalNegritaCursivandice"/>
      </w:pPr>
      <w:r>
        <w:t>Acuerdo del Pleno del Tribunal Constitucional, de 18 de junio de 1996. Asistencia jurídica gratuita en los procesos de amparo constitucional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w:t>
      </w:r>
    </w:p>
    <w:p w:rsidR="0043655B" w:rsidRDefault="0043655B" w:rsidP="0043655B">
      <w:pPr>
        <w:pStyle w:val="SangriaFrancesaArticulo"/>
      </w:pPr>
      <w:r w:rsidRPr="0043655B">
        <w:rPr>
          <w:rStyle w:val="TextoNormalNegritaCaracter"/>
        </w:rPr>
        <w:t>Capítulo III, sección 1.</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Capítulo III, sección 2.</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Autos </w:t>
      </w:r>
      <w:hyperlink w:anchor="AUTO_2012_43" w:history="1">
        <w:r w:rsidRPr="0043655B">
          <w:rPr>
            <w:rStyle w:val="TextoNormalCaracter"/>
          </w:rPr>
          <w:t>43/2012</w:t>
        </w:r>
      </w:hyperlink>
      <w:r>
        <w:t xml:space="preserve">;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Disposición adicional primera.</w:t>
      </w:r>
      <w:r w:rsidRPr="0043655B">
        <w:rPr>
          <w:rStyle w:val="TextoNormalCaracter"/>
        </w:rPr>
        <w:t>-</w:t>
      </w:r>
      <w:r>
        <w:t xml:space="preserve"> Auto </w:t>
      </w:r>
      <w:hyperlink w:anchor="AUTO_2012_80" w:history="1">
        <w:r w:rsidRPr="0043655B">
          <w:rPr>
            <w:rStyle w:val="TextoNormalCaracter"/>
          </w:rPr>
          <w:t>80/2012</w:t>
        </w:r>
      </w:hyperlink>
      <w:r>
        <w:t>.</w:t>
      </w:r>
    </w:p>
    <w:p w:rsidR="0043655B" w:rsidRDefault="0043655B" w:rsidP="0043655B">
      <w:pPr>
        <w:pStyle w:val="SangriaFrancesaArticulo"/>
      </w:pPr>
      <w:r w:rsidRPr="0043655B">
        <w:rPr>
          <w:rStyle w:val="TextoNormalNegritaCaracter"/>
        </w:rPr>
        <w:t>Disposición adicional primera, apartado 4.</w:t>
      </w:r>
      <w:r w:rsidRPr="0043655B">
        <w:rPr>
          <w:rStyle w:val="TextoNormalCaracter"/>
        </w:rPr>
        <w:t>-</w:t>
      </w:r>
      <w:r>
        <w:t xml:space="preserve"> Auto </w:t>
      </w:r>
      <w:hyperlink w:anchor="AUTO_2012_80" w:history="1">
        <w:r w:rsidRPr="0043655B">
          <w:rPr>
            <w:rStyle w:val="TextoNormalCaracter"/>
          </w:rPr>
          <w:t>80/2012</w:t>
        </w:r>
      </w:hyperlink>
      <w:r>
        <w:t>.</w:t>
      </w:r>
    </w:p>
    <w:p w:rsidR="0043655B" w:rsidRDefault="0043655B" w:rsidP="0043655B">
      <w:pPr>
        <w:pStyle w:val="SangriaFrancesaArticulo"/>
      </w:pPr>
    </w:p>
    <w:p w:rsidR="0043655B" w:rsidRDefault="0043655B" w:rsidP="0043655B">
      <w:pPr>
        <w:pStyle w:val="TextoNormalNegritaCursivandice"/>
      </w:pPr>
      <w:r>
        <w:t>Ley Orgánica 7/1999, de 21 de abril. Modificación de la Ley Orgánica 2/1979, de 3 de octubre, del Tribunal Constitucional</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p>
    <w:p w:rsidR="0043655B" w:rsidRDefault="0043655B" w:rsidP="0043655B">
      <w:pPr>
        <w:pStyle w:val="TextoNormalNegritaCursivandice"/>
      </w:pPr>
      <w:r>
        <w:t>Acuerdo del Pleno del Tribunal Constitucional, de 20 de enero de 2000. Normas sobre tramitación de los recursos de amparo a que se refiere la Ley Orgánica 5/1985, de 19 de junio, de régimen electoral general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4" w:history="1">
        <w:r w:rsidRPr="0043655B">
          <w:rPr>
            <w:rStyle w:val="TextoNormalCaracter"/>
          </w:rPr>
          <w:t>84/2012</w:t>
        </w:r>
      </w:hyperlink>
      <w:r>
        <w:t>, f. único.</w:t>
      </w:r>
    </w:p>
    <w:p w:rsidR="0043655B" w:rsidRDefault="0043655B" w:rsidP="0043655B">
      <w:pPr>
        <w:pStyle w:val="SangriaFrancesaArticulo"/>
      </w:pPr>
    </w:p>
    <w:p w:rsidR="0043655B" w:rsidRDefault="0043655B" w:rsidP="0043655B">
      <w:pPr>
        <w:pStyle w:val="TextoNormalNegritaCursivandice"/>
      </w:pPr>
      <w:r>
        <w:t>Ley Orgánica 6/2007, de 24 de mayo. Modificación de la Ley Orgánica 2/1979, de 3 de octubre, del Tribunal Constitucional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0" w:history="1">
        <w:r w:rsidRPr="0043655B">
          <w:rPr>
            <w:rStyle w:val="TextoNormalCaracter"/>
          </w:rPr>
          <w:t>10/2012</w:t>
        </w:r>
      </w:hyperlink>
      <w:r>
        <w:t xml:space="preserve">, f. 1; </w:t>
      </w:r>
      <w:hyperlink w:anchor="SENTENCIA_2012_17" w:history="1">
        <w:r w:rsidRPr="0043655B">
          <w:rPr>
            <w:rStyle w:val="TextoNormalCaracter"/>
          </w:rPr>
          <w:t>17/2012</w:t>
        </w:r>
      </w:hyperlink>
      <w:r>
        <w:t xml:space="preserve">, f. 3; </w:t>
      </w:r>
      <w:hyperlink w:anchor="SENTENCIA_2012_18" w:history="1">
        <w:r w:rsidRPr="0043655B">
          <w:rPr>
            <w:rStyle w:val="TextoNormalCaracter"/>
          </w:rPr>
          <w:t>18/2012</w:t>
        </w:r>
      </w:hyperlink>
      <w:r>
        <w:t xml:space="preserve">, f. 2; </w:t>
      </w:r>
      <w:hyperlink w:anchor="SENTENCIA_2012_23" w:history="1">
        <w:r w:rsidRPr="0043655B">
          <w:rPr>
            <w:rStyle w:val="TextoNormalCaracter"/>
          </w:rPr>
          <w:t>23/2012</w:t>
        </w:r>
      </w:hyperlink>
      <w:r>
        <w:t xml:space="preserve">, f. 2; </w:t>
      </w:r>
      <w:hyperlink w:anchor="SENTENCIA_2012_25" w:history="1">
        <w:r w:rsidRPr="0043655B">
          <w:rPr>
            <w:rStyle w:val="TextoNormalCaracter"/>
          </w:rPr>
          <w:t>25/2012</w:t>
        </w:r>
      </w:hyperlink>
      <w:r>
        <w:t xml:space="preserve">, f. 5; </w:t>
      </w:r>
      <w:hyperlink w:anchor="SENTENCIA_2012_53" w:history="1">
        <w:r w:rsidRPr="0043655B">
          <w:rPr>
            <w:rStyle w:val="TextoNormalCaracter"/>
          </w:rPr>
          <w:t>53/2012</w:t>
        </w:r>
      </w:hyperlink>
      <w:r>
        <w:t xml:space="preserve">, f. 2; </w:t>
      </w:r>
      <w:hyperlink w:anchor="SENTENCIA_2012_90" w:history="1">
        <w:r w:rsidRPr="0043655B">
          <w:rPr>
            <w:rStyle w:val="TextoNormalCaracter"/>
          </w:rPr>
          <w:t>90/2012</w:t>
        </w:r>
      </w:hyperlink>
      <w:r>
        <w:t xml:space="preserve">, f. 2; </w:t>
      </w:r>
      <w:hyperlink w:anchor="SENTENCIA_2012_92" w:history="1">
        <w:r w:rsidRPr="0043655B">
          <w:rPr>
            <w:rStyle w:val="TextoNormalCaracter"/>
          </w:rPr>
          <w:t>92/2012</w:t>
        </w:r>
      </w:hyperlink>
      <w:r>
        <w:t xml:space="preserve">, f. 2; </w:t>
      </w:r>
      <w:hyperlink w:anchor="SENTENCIA_2012_96" w:history="1">
        <w:r w:rsidRPr="0043655B">
          <w:rPr>
            <w:rStyle w:val="TextoNormalCaracter"/>
          </w:rPr>
          <w:t>96/2012</w:t>
        </w:r>
      </w:hyperlink>
      <w:r>
        <w:t xml:space="preserve">, ff. 1, 3, 4; </w:t>
      </w:r>
      <w:hyperlink w:anchor="SENTENCIA_2012_105" w:history="1">
        <w:r w:rsidRPr="0043655B">
          <w:rPr>
            <w:rStyle w:val="TextoNormalCaracter"/>
          </w:rPr>
          <w:t>105/2012</w:t>
        </w:r>
      </w:hyperlink>
      <w:r>
        <w:t xml:space="preserve">, ff. 2, 3; </w:t>
      </w:r>
      <w:hyperlink w:anchor="SENTENCIA_2012_109" w:history="1">
        <w:r w:rsidRPr="0043655B">
          <w:rPr>
            <w:rStyle w:val="TextoNormalCaracter"/>
          </w:rPr>
          <w:t>109/2012</w:t>
        </w:r>
      </w:hyperlink>
      <w:r>
        <w:t xml:space="preserve">, f. 2; </w:t>
      </w:r>
      <w:hyperlink w:anchor="SENTENCIA_2012_113" w:history="1">
        <w:r w:rsidRPr="0043655B">
          <w:rPr>
            <w:rStyle w:val="TextoNormalCaracter"/>
          </w:rPr>
          <w:t>113/2012</w:t>
        </w:r>
      </w:hyperlink>
      <w:r>
        <w:t xml:space="preserve">, ff. 2, 11; </w:t>
      </w:r>
      <w:hyperlink w:anchor="SENTENCIA_2012_119" w:history="1">
        <w:r w:rsidRPr="0043655B">
          <w:rPr>
            <w:rStyle w:val="TextoNormalCaracter"/>
          </w:rPr>
          <w:t>119/2012</w:t>
        </w:r>
      </w:hyperlink>
      <w:r>
        <w:t xml:space="preserve">, ff. 2, 5; </w:t>
      </w:r>
      <w:hyperlink w:anchor="SENTENCIA_2012_127" w:history="1">
        <w:r w:rsidRPr="0043655B">
          <w:rPr>
            <w:rStyle w:val="TextoNormalCaracter"/>
          </w:rPr>
          <w:t>127/2012</w:t>
        </w:r>
      </w:hyperlink>
      <w:r>
        <w:t>, f. 2.</w:t>
      </w:r>
    </w:p>
    <w:p w:rsidR="0043655B" w:rsidRDefault="0043655B" w:rsidP="0043655B">
      <w:pPr>
        <w:pStyle w:val="SangriaIzquierdaArticulo"/>
      </w:pPr>
      <w:r>
        <w:t xml:space="preserve">Autos </w:t>
      </w:r>
      <w:hyperlink w:anchor="AUTO_2012_9" w:history="1">
        <w:r w:rsidRPr="0043655B">
          <w:rPr>
            <w:rStyle w:val="TextoNormalCaracter"/>
          </w:rPr>
          <w:t>9/2012</w:t>
        </w:r>
      </w:hyperlink>
      <w:r>
        <w:t xml:space="preserve">; </w:t>
      </w:r>
      <w:hyperlink w:anchor="AUTO_2012_11" w:history="1">
        <w:r w:rsidRPr="0043655B">
          <w:rPr>
            <w:rStyle w:val="TextoNormalCaracter"/>
          </w:rPr>
          <w:t>11/2012</w:t>
        </w:r>
      </w:hyperlink>
      <w:r>
        <w:t xml:space="preserve">; </w:t>
      </w:r>
      <w:hyperlink w:anchor="AUTO_2012_12" w:history="1">
        <w:r w:rsidRPr="0043655B">
          <w:rPr>
            <w:rStyle w:val="TextoNormalCaracter"/>
          </w:rPr>
          <w:t>12/2012</w:t>
        </w:r>
      </w:hyperlink>
      <w:r>
        <w:t xml:space="preserve">; </w:t>
      </w:r>
      <w:hyperlink w:anchor="AUTO_2012_15" w:history="1">
        <w:r w:rsidRPr="0043655B">
          <w:rPr>
            <w:rStyle w:val="TextoNormalCaracter"/>
          </w:rPr>
          <w:t>15/2012</w:t>
        </w:r>
      </w:hyperlink>
      <w:r>
        <w:t xml:space="preserve">; </w:t>
      </w:r>
      <w:hyperlink w:anchor="AUTO_2012_16" w:history="1">
        <w:r w:rsidRPr="0043655B">
          <w:rPr>
            <w:rStyle w:val="TextoNormalCaracter"/>
          </w:rPr>
          <w:t>16/2012</w:t>
        </w:r>
      </w:hyperlink>
      <w:r>
        <w:t xml:space="preserve">; </w:t>
      </w:r>
      <w:hyperlink w:anchor="AUTO_2012_18" w:history="1">
        <w:r w:rsidRPr="0043655B">
          <w:rPr>
            <w:rStyle w:val="TextoNormalCaracter"/>
          </w:rPr>
          <w:t>18/2012</w:t>
        </w:r>
      </w:hyperlink>
      <w:r>
        <w:t xml:space="preserve">; </w:t>
      </w:r>
      <w:hyperlink w:anchor="AUTO_2012_19" w:history="1">
        <w:r w:rsidRPr="0043655B">
          <w:rPr>
            <w:rStyle w:val="TextoNormalCaracter"/>
          </w:rPr>
          <w:t>19/2012</w:t>
        </w:r>
      </w:hyperlink>
      <w:r>
        <w:t xml:space="preserve">; </w:t>
      </w:r>
      <w:hyperlink w:anchor="AUTO_2012_22" w:history="1">
        <w:r w:rsidRPr="0043655B">
          <w:rPr>
            <w:rStyle w:val="TextoNormalCaracter"/>
          </w:rPr>
          <w:t>22/2012</w:t>
        </w:r>
      </w:hyperlink>
      <w:r>
        <w:t xml:space="preserve">; </w:t>
      </w:r>
      <w:hyperlink w:anchor="AUTO_2012_23" w:history="1">
        <w:r w:rsidRPr="0043655B">
          <w:rPr>
            <w:rStyle w:val="TextoNormalCaracter"/>
          </w:rPr>
          <w:t>23/2012</w:t>
        </w:r>
      </w:hyperlink>
      <w:r>
        <w:t xml:space="preserve">; </w:t>
      </w:r>
      <w:hyperlink w:anchor="AUTO_2012_25" w:history="1">
        <w:r w:rsidRPr="0043655B">
          <w:rPr>
            <w:rStyle w:val="TextoNormalCaracter"/>
          </w:rPr>
          <w:t>25/2012</w:t>
        </w:r>
      </w:hyperlink>
      <w:r>
        <w:t xml:space="preserve">; </w:t>
      </w:r>
      <w:hyperlink w:anchor="AUTO_2012_26" w:history="1">
        <w:r w:rsidRPr="0043655B">
          <w:rPr>
            <w:rStyle w:val="TextoNormalCaracter"/>
          </w:rPr>
          <w:t>26/2012</w:t>
        </w:r>
      </w:hyperlink>
      <w:r>
        <w:t xml:space="preserve">; </w:t>
      </w:r>
      <w:hyperlink w:anchor="AUTO_2012_27" w:history="1">
        <w:r w:rsidRPr="0043655B">
          <w:rPr>
            <w:rStyle w:val="TextoNormalCaracter"/>
          </w:rPr>
          <w:t>27/2012</w:t>
        </w:r>
      </w:hyperlink>
      <w:r>
        <w:t xml:space="preserve">; </w:t>
      </w:r>
      <w:hyperlink w:anchor="AUTO_2012_42" w:history="1">
        <w:r w:rsidRPr="0043655B">
          <w:rPr>
            <w:rStyle w:val="TextoNormalCaracter"/>
          </w:rPr>
          <w:t>42/2012</w:t>
        </w:r>
      </w:hyperlink>
      <w:r>
        <w:t xml:space="preserve">; </w:t>
      </w:r>
      <w:hyperlink w:anchor="AUTO_2012_71" w:history="1">
        <w:r w:rsidRPr="0043655B">
          <w:rPr>
            <w:rStyle w:val="TextoNormalCaracter"/>
          </w:rPr>
          <w:t>71/2012</w:t>
        </w:r>
      </w:hyperlink>
      <w:r>
        <w:t xml:space="preserve">; </w:t>
      </w:r>
      <w:hyperlink w:anchor="AUTO_2012_75" w:history="1">
        <w:r w:rsidRPr="0043655B">
          <w:rPr>
            <w:rStyle w:val="TextoNormalCaracter"/>
          </w:rPr>
          <w:t>75/2012</w:t>
        </w:r>
      </w:hyperlink>
      <w:r>
        <w:t xml:space="preserve">; </w:t>
      </w:r>
      <w:hyperlink w:anchor="AUTO_2012_76" w:history="1">
        <w:r w:rsidRPr="0043655B">
          <w:rPr>
            <w:rStyle w:val="TextoNormalCaracter"/>
          </w:rPr>
          <w:t>76/2012</w:t>
        </w:r>
      </w:hyperlink>
      <w:r>
        <w:t xml:space="preserve">; </w:t>
      </w:r>
      <w:hyperlink w:anchor="AUTO_2012_81" w:history="1">
        <w:r w:rsidRPr="0043655B">
          <w:rPr>
            <w:rStyle w:val="TextoNormalCaracter"/>
          </w:rPr>
          <w:t>81/2012</w:t>
        </w:r>
      </w:hyperlink>
      <w:r>
        <w:t xml:space="preserve">; </w:t>
      </w:r>
      <w:hyperlink w:anchor="AUTO_2012_88" w:history="1">
        <w:r w:rsidRPr="0043655B">
          <w:rPr>
            <w:rStyle w:val="TextoNormalCaracter"/>
          </w:rPr>
          <w:t>88/2012</w:t>
        </w:r>
      </w:hyperlink>
      <w:r>
        <w:t xml:space="preserve">; </w:t>
      </w:r>
      <w:hyperlink w:anchor="AUTO_2012_89" w:history="1">
        <w:r w:rsidRPr="0043655B">
          <w:rPr>
            <w:rStyle w:val="TextoNormalCaracter"/>
          </w:rPr>
          <w:t>89/2012</w:t>
        </w:r>
      </w:hyperlink>
      <w:r>
        <w:t xml:space="preserve">; </w:t>
      </w:r>
      <w:hyperlink w:anchor="AUTO_2012_101" w:history="1">
        <w:r w:rsidRPr="0043655B">
          <w:rPr>
            <w:rStyle w:val="TextoNormalCaracter"/>
          </w:rPr>
          <w:t>101/2012</w:t>
        </w:r>
      </w:hyperlink>
      <w:r>
        <w:t xml:space="preserve">; </w:t>
      </w:r>
      <w:hyperlink w:anchor="AUTO_2012_102" w:history="1">
        <w:r w:rsidRPr="0043655B">
          <w:rPr>
            <w:rStyle w:val="TextoNormalCaracter"/>
          </w:rPr>
          <w:t>102/2012</w:t>
        </w:r>
      </w:hyperlink>
      <w:r>
        <w:t xml:space="preserve">; </w:t>
      </w:r>
      <w:hyperlink w:anchor="AUTO_2012_103" w:history="1">
        <w:r w:rsidRPr="0043655B">
          <w:rPr>
            <w:rStyle w:val="TextoNormalCaracter"/>
          </w:rPr>
          <w:t>103/2012</w:t>
        </w:r>
      </w:hyperlink>
      <w:r>
        <w:t xml:space="preserve">; </w:t>
      </w:r>
      <w:hyperlink w:anchor="AUTO_2012_112" w:history="1">
        <w:r w:rsidRPr="0043655B">
          <w:rPr>
            <w:rStyle w:val="TextoNormalCaracter"/>
          </w:rPr>
          <w:t>112/2012</w:t>
        </w:r>
      </w:hyperlink>
      <w:r>
        <w:t xml:space="preserve">; </w:t>
      </w:r>
      <w:hyperlink w:anchor="AUTO_2012_115" w:history="1">
        <w:r w:rsidRPr="0043655B">
          <w:rPr>
            <w:rStyle w:val="TextoNormalCaracter"/>
          </w:rPr>
          <w:t>115/2012</w:t>
        </w:r>
      </w:hyperlink>
      <w:r>
        <w:t xml:space="preserve">; </w:t>
      </w:r>
      <w:hyperlink w:anchor="AUTO_2012_116" w:history="1">
        <w:r w:rsidRPr="0043655B">
          <w:rPr>
            <w:rStyle w:val="TextoNormalCaracter"/>
          </w:rPr>
          <w:t>116/2012</w:t>
        </w:r>
      </w:hyperlink>
      <w:r>
        <w:t xml:space="preserve">; </w:t>
      </w:r>
      <w:hyperlink w:anchor="AUTO_2012_122" w:history="1">
        <w:r w:rsidRPr="0043655B">
          <w:rPr>
            <w:rStyle w:val="TextoNormalCaracter"/>
          </w:rPr>
          <w:t>122/2012</w:t>
        </w:r>
      </w:hyperlink>
      <w:r>
        <w:t xml:space="preserve">; </w:t>
      </w:r>
      <w:hyperlink w:anchor="AUTO_2012_124" w:history="1">
        <w:r w:rsidRPr="0043655B">
          <w:rPr>
            <w:rStyle w:val="TextoNormalCaracter"/>
          </w:rPr>
          <w:t>124/2012</w:t>
        </w:r>
      </w:hyperlink>
      <w:r>
        <w:t xml:space="preserve">; </w:t>
      </w:r>
      <w:hyperlink w:anchor="AUTO_2012_127" w:history="1">
        <w:r w:rsidRPr="0043655B">
          <w:rPr>
            <w:rStyle w:val="TextoNormalCaracter"/>
          </w:rPr>
          <w:t>127/2012</w:t>
        </w:r>
      </w:hyperlink>
      <w:r>
        <w:t xml:space="preserve">; </w:t>
      </w:r>
      <w:hyperlink w:anchor="AUTO_2012_131" w:history="1">
        <w:r w:rsidRPr="0043655B">
          <w:rPr>
            <w:rStyle w:val="TextoNormalCaracter"/>
          </w:rPr>
          <w:t>131/2012</w:t>
        </w:r>
      </w:hyperlink>
      <w:r>
        <w:t xml:space="preserve">; </w:t>
      </w:r>
      <w:hyperlink w:anchor="AUTO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único, apartado 7.</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Artículos 42 a 44.</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50.1 a).</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50.1 b).</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52.2.</w:t>
      </w:r>
      <w:r w:rsidRPr="0043655B">
        <w:rPr>
          <w:rStyle w:val="TextoNormalCaracter"/>
        </w:rPr>
        <w:t>-</w:t>
      </w:r>
      <w:r>
        <w:t xml:space="preserve"> Auto </w:t>
      </w:r>
      <w:hyperlink w:anchor="AUTO_2012_58" w:history="1">
        <w:r w:rsidRPr="0043655B">
          <w:rPr>
            <w:rStyle w:val="TextoNormalCaracter"/>
          </w:rPr>
          <w:t>58/2012</w:t>
        </w:r>
      </w:hyperlink>
      <w:r>
        <w:t>.</w:t>
      </w:r>
    </w:p>
    <w:p w:rsidR="0043655B" w:rsidRDefault="0043655B" w:rsidP="0043655B">
      <w:pPr>
        <w:pStyle w:val="SangriaFrancesaArticulo"/>
      </w:pPr>
      <w:r w:rsidRPr="0043655B">
        <w:rPr>
          <w:rStyle w:val="TextoNormalNegritaCaracter"/>
        </w:rPr>
        <w:lastRenderedPageBreak/>
        <w:t>Artículo 56.</w:t>
      </w:r>
      <w:r w:rsidRPr="0043655B">
        <w:rPr>
          <w:rStyle w:val="TextoNormalCaracter"/>
        </w:rPr>
        <w:t>-</w:t>
      </w:r>
      <w:r>
        <w:t xml:space="preserve"> Auto </w:t>
      </w:r>
      <w:hyperlink w:anchor="AUTO_2012_44" w:history="1">
        <w:r w:rsidRPr="0043655B">
          <w:rPr>
            <w:rStyle w:val="TextoNormalCaracter"/>
          </w:rPr>
          <w:t>44/2012</w:t>
        </w:r>
      </w:hyperlink>
      <w:r>
        <w:t>.</w:t>
      </w:r>
    </w:p>
    <w:p w:rsidR="0043655B" w:rsidRDefault="0043655B" w:rsidP="0043655B">
      <w:pPr>
        <w:pStyle w:val="SangriaFrancesaArticulo"/>
      </w:pPr>
      <w:r w:rsidRPr="0043655B">
        <w:rPr>
          <w:rStyle w:val="TextoNormalNegritaCaracter"/>
        </w:rPr>
        <w:t>Artículo 56.2.</w:t>
      </w:r>
      <w:r w:rsidRPr="0043655B">
        <w:rPr>
          <w:rStyle w:val="TextoNormalCaracter"/>
        </w:rPr>
        <w:t>-</w:t>
      </w:r>
      <w:r>
        <w:t xml:space="preserve"> Autos </w:t>
      </w:r>
      <w:hyperlink w:anchor="AUTO_2012_44" w:history="1">
        <w:r w:rsidRPr="0043655B">
          <w:rPr>
            <w:rStyle w:val="TextoNormalCaracter"/>
          </w:rPr>
          <w:t>44/2012</w:t>
        </w:r>
      </w:hyperlink>
      <w:r>
        <w:t xml:space="preserve">; </w:t>
      </w:r>
      <w:hyperlink w:anchor="AUTO_2012_55" w:history="1">
        <w:r w:rsidRPr="0043655B">
          <w:rPr>
            <w:rStyle w:val="TextoNormalCaracter"/>
          </w:rPr>
          <w:t>55/2012</w:t>
        </w:r>
      </w:hyperlink>
      <w:r>
        <w:t xml:space="preserve">; </w:t>
      </w:r>
      <w:hyperlink w:anchor="AUTO_2012_56" w:history="1">
        <w:r w:rsidRPr="0043655B">
          <w:rPr>
            <w:rStyle w:val="TextoNormalCaracter"/>
          </w:rPr>
          <w:t>56/2012</w:t>
        </w:r>
      </w:hyperlink>
      <w:r>
        <w:t xml:space="preserve">; </w:t>
      </w:r>
      <w:hyperlink w:anchor="AUTO_2012_58" w:history="1">
        <w:r w:rsidRPr="0043655B">
          <w:rPr>
            <w:rStyle w:val="TextoNormalCaracter"/>
          </w:rPr>
          <w:t>58/2012</w:t>
        </w:r>
      </w:hyperlink>
      <w:r>
        <w:t>.</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Sentencia </w:t>
      </w:r>
      <w:hyperlink w:anchor="SENTENCIA_2012_10" w:history="1">
        <w:r w:rsidRPr="0043655B">
          <w:rPr>
            <w:rStyle w:val="TextoNormalCaracter"/>
          </w:rPr>
          <w:t>10/2012</w:t>
        </w:r>
      </w:hyperlink>
      <w:r>
        <w:t>, f. 1.</w:t>
      </w:r>
    </w:p>
    <w:p w:rsidR="0043655B" w:rsidRDefault="0043655B" w:rsidP="0043655B">
      <w:pPr>
        <w:pStyle w:val="TextoNormal"/>
      </w:pPr>
    </w:p>
    <w:p w:rsidR="0043655B" w:rsidRDefault="0043655B" w:rsidP="0043655B">
      <w:pPr>
        <w:pStyle w:val="SangriaFrancesaArticulo"/>
      </w:pPr>
      <w:bookmarkStart w:id="283" w:name="INDICE22844"/>
    </w:p>
    <w:bookmarkEnd w:id="283"/>
    <w:p w:rsidR="0043655B" w:rsidRDefault="0043655B" w:rsidP="0043655B">
      <w:pPr>
        <w:pStyle w:val="TextoIndiceNivel2"/>
        <w:suppressAutoHyphens/>
      </w:pPr>
      <w:r>
        <w:t>C) Cortes Generales</w:t>
      </w:r>
    </w:p>
    <w:p w:rsidR="0043655B" w:rsidRDefault="0043655B" w:rsidP="0043655B">
      <w:pPr>
        <w:pStyle w:val="TextoIndiceNivel2"/>
      </w:pPr>
    </w:p>
    <w:p w:rsidR="0043655B" w:rsidRDefault="0043655B" w:rsidP="0043655B">
      <w:pPr>
        <w:pStyle w:val="TextoNormalNegritaCursivandice"/>
      </w:pPr>
      <w:r>
        <w:t>Reglamento del Congreso de los Diputados, de 10 de febrero de 1982</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43.1.</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43.2.</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91.</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91.2.</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93.1.</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94.</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109.</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146.</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150.</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150.1.</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153.1.</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r w:rsidRPr="0043655B">
        <w:rPr>
          <w:rStyle w:val="TextoNormalNegritaCaracter"/>
        </w:rPr>
        <w:t>Artículo 154.</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r w:rsidRPr="0043655B">
        <w:rPr>
          <w:rStyle w:val="TextoNormalNegritaCaracter"/>
        </w:rPr>
        <w:t>Artículo 155.1.</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r w:rsidRPr="0043655B">
        <w:rPr>
          <w:rStyle w:val="TextoNormalNegritaCaracter"/>
        </w:rPr>
        <w:t>Artículo 155.4.</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p>
    <w:p w:rsidR="0043655B" w:rsidRDefault="0043655B" w:rsidP="0043655B">
      <w:pPr>
        <w:pStyle w:val="TextoNormalNegritaCursivandice"/>
      </w:pPr>
      <w:r>
        <w:t>Reglamento del Senado de 3 de mayo de 1994. Texto refundido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54.</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104.2.</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p>
    <w:p w:rsidR="0043655B" w:rsidRDefault="0043655B" w:rsidP="0043655B">
      <w:pPr>
        <w:pStyle w:val="TextoNormalNegritaCursivandice"/>
      </w:pPr>
      <w:r>
        <w:t>Acuerdo del Pleno del Congreso de los Diputados, de 16 de diciembre de 2010. Autorización de la prórroga del estado de alarma declarado por Real Decreto 1673/2010, de 4 de diciembre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p>
    <w:p w:rsidR="0043655B" w:rsidRDefault="0043655B" w:rsidP="0043655B">
      <w:pPr>
        <w:pStyle w:val="TextoNormalNegritaCursivandice"/>
      </w:pPr>
      <w:r>
        <w:t>Acuerdo de la Mesa del Congreso de los Diputados de 30 de agosto de 2011. Dispone la tramitación por el procedimiento de urgencia de la proposición de reforma del artículo 135 de la Constitución Española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p>
    <w:p w:rsidR="0043655B" w:rsidRDefault="0043655B" w:rsidP="0043655B">
      <w:pPr>
        <w:pStyle w:val="TextoNormalNegritaCursivandice"/>
      </w:pPr>
      <w:r>
        <w:t>Acuerdo del Pleno del Congreso de los Diputados de 30 de agosto de 2011. Toma en consideración la proposición de reforma del artículo 135 de la Constitución Española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TextoNormal"/>
      </w:pPr>
    </w:p>
    <w:p w:rsidR="0043655B" w:rsidRDefault="0043655B" w:rsidP="0043655B">
      <w:pPr>
        <w:pStyle w:val="SangriaFrancesaArticulo"/>
      </w:pPr>
      <w:bookmarkStart w:id="284" w:name="INDICE22845"/>
    </w:p>
    <w:bookmarkEnd w:id="284"/>
    <w:p w:rsidR="0043655B" w:rsidRDefault="0043655B" w:rsidP="0043655B">
      <w:pPr>
        <w:pStyle w:val="TextoIndiceNivel2"/>
        <w:suppressAutoHyphens/>
      </w:pPr>
      <w:r>
        <w:lastRenderedPageBreak/>
        <w:t>D) Leyes Orgánicas</w:t>
      </w:r>
    </w:p>
    <w:p w:rsidR="0043655B" w:rsidRDefault="0043655B" w:rsidP="0043655B">
      <w:pPr>
        <w:pStyle w:val="TextoIndiceNivel2"/>
      </w:pPr>
    </w:p>
    <w:p w:rsidR="0043655B" w:rsidRDefault="0043655B" w:rsidP="0043655B">
      <w:pPr>
        <w:pStyle w:val="TextoNormalNegritaCursivandice"/>
      </w:pPr>
      <w:r>
        <w:t>Ley Orgánica 1/1979, de 26 de septiembre. General penitenciaria</w:t>
      </w:r>
    </w:p>
    <w:p w:rsidR="0043655B" w:rsidRDefault="0043655B" w:rsidP="0043655B">
      <w:pPr>
        <w:pStyle w:val="SangriaFrancesaArticulo"/>
      </w:pPr>
      <w:r w:rsidRPr="0043655B">
        <w:rPr>
          <w:rStyle w:val="TextoNormalNegritaCaracter"/>
        </w:rPr>
        <w:t>Artículo 10.3.</w:t>
      </w:r>
      <w:r w:rsidRPr="0043655B">
        <w:rPr>
          <w:rStyle w:val="TextoNormalCaracter"/>
        </w:rPr>
        <w:t>-</w:t>
      </w:r>
      <w:r>
        <w:t xml:space="preserve"> Sentencia </w:t>
      </w:r>
      <w:hyperlink w:anchor="SENTENCIA_2012_106" w:history="1">
        <w:r w:rsidRPr="0043655B">
          <w:rPr>
            <w:rStyle w:val="TextoNormalCaracter"/>
          </w:rPr>
          <w:t>106/2012</w:t>
        </w:r>
      </w:hyperlink>
      <w:r>
        <w:t>, f. 4.</w:t>
      </w:r>
    </w:p>
    <w:p w:rsidR="0043655B" w:rsidRDefault="0043655B" w:rsidP="0043655B">
      <w:pPr>
        <w:pStyle w:val="SangriaFrancesaArticulo"/>
      </w:pPr>
      <w:r w:rsidRPr="0043655B">
        <w:rPr>
          <w:rStyle w:val="TextoNormalNegritaCaracter"/>
        </w:rPr>
        <w:t>Artículo 23.</w:t>
      </w:r>
      <w:r w:rsidRPr="0043655B">
        <w:rPr>
          <w:rStyle w:val="TextoNormalCaracter"/>
        </w:rPr>
        <w:t>-</w:t>
      </w:r>
      <w:r>
        <w:t xml:space="preserve"> Sentencia </w:t>
      </w:r>
      <w:hyperlink w:anchor="SENTENCIA_2012_106" w:history="1">
        <w:r w:rsidRPr="0043655B">
          <w:rPr>
            <w:rStyle w:val="TextoNormalCaracter"/>
          </w:rPr>
          <w:t>106/2012</w:t>
        </w:r>
      </w:hyperlink>
      <w:r>
        <w:t>, f. 1.</w:t>
      </w:r>
    </w:p>
    <w:p w:rsidR="0043655B" w:rsidRDefault="0043655B" w:rsidP="0043655B">
      <w:pPr>
        <w:pStyle w:val="SangriaFrancesaArticulo"/>
      </w:pPr>
      <w:r w:rsidRPr="0043655B">
        <w:rPr>
          <w:rStyle w:val="TextoNormalNegritaCaracter"/>
        </w:rPr>
        <w:t>Artículo 50.</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50.2.</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51.1.</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51.2.</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51.3.</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p>
    <w:p w:rsidR="0043655B" w:rsidRDefault="0043655B" w:rsidP="0043655B">
      <w:pPr>
        <w:pStyle w:val="TextoNormalNegritaCursivandice"/>
      </w:pPr>
      <w:r>
        <w:t>Ley Orgánica 8/1980, de 22 de septiembre. Financiación de las Comunidades Autónomas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9" w:history="1">
        <w:r w:rsidRPr="0043655B">
          <w:rPr>
            <w:rStyle w:val="TextoNormalCaracter"/>
          </w:rPr>
          <w:t>19/2012</w:t>
        </w:r>
      </w:hyperlink>
      <w:r>
        <w:t xml:space="preserve">, f. 11; </w:t>
      </w:r>
      <w:hyperlink w:anchor="SENTENCIA_2012_32" w:history="1">
        <w:r w:rsidRPr="0043655B">
          <w:rPr>
            <w:rStyle w:val="TextoNormalCaracter"/>
          </w:rPr>
          <w:t>32/2012</w:t>
        </w:r>
      </w:hyperlink>
      <w:r>
        <w:t xml:space="preserve">, ff. 1, 6; </w:t>
      </w:r>
      <w:hyperlink w:anchor="SENTENCIA_2012_35" w:history="1">
        <w:r w:rsidRPr="0043655B">
          <w:rPr>
            <w:rStyle w:val="TextoNormalCaracter"/>
          </w:rPr>
          <w:t>35/2012</w:t>
        </w:r>
      </w:hyperlink>
      <w:r>
        <w:t xml:space="preserve">, f. 9; </w:t>
      </w:r>
      <w:hyperlink w:anchor="SENTENCIA_2012_136" w:history="1">
        <w:r w:rsidRPr="0043655B">
          <w:rPr>
            <w:rStyle w:val="TextoNormalCaracter"/>
          </w:rPr>
          <w:t>136/2012</w:t>
        </w:r>
      </w:hyperlink>
      <w:r>
        <w:t>, f. 1.</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Sentencias </w:t>
      </w:r>
      <w:hyperlink w:anchor="SENTENCIA_2012_32" w:history="1">
        <w:r w:rsidRPr="0043655B">
          <w:rPr>
            <w:rStyle w:val="TextoNormalCaracter"/>
          </w:rPr>
          <w:t>32/2012</w:t>
        </w:r>
      </w:hyperlink>
      <w:r>
        <w:t xml:space="preserve">, f. 2; </w:t>
      </w:r>
      <w:hyperlink w:anchor="SENTENCIA_2012_36" w:history="1">
        <w:r w:rsidRPr="0043655B">
          <w:rPr>
            <w:rStyle w:val="TextoNormalCaracter"/>
          </w:rPr>
          <w:t>36/2012</w:t>
        </w:r>
      </w:hyperlink>
      <w:r>
        <w:t xml:space="preserve">, ff. 7, 10; </w:t>
      </w:r>
      <w:hyperlink w:anchor="SENTENCIA_2012_38" w:history="1">
        <w:r w:rsidRPr="0043655B">
          <w:rPr>
            <w:rStyle w:val="TextoNormalCaracter"/>
          </w:rPr>
          <w:t>38/2012</w:t>
        </w:r>
      </w:hyperlink>
      <w:r>
        <w:t xml:space="preserve">, f. 8; </w:t>
      </w:r>
      <w:hyperlink w:anchor="SENTENCIA_2012_123" w:history="1">
        <w:r w:rsidRPr="0043655B">
          <w:rPr>
            <w:rStyle w:val="TextoNormalCaracter"/>
          </w:rPr>
          <w:t>123/2012</w:t>
        </w:r>
      </w:hyperlink>
      <w:r>
        <w:t>, f. 7.</w:t>
      </w:r>
    </w:p>
    <w:p w:rsidR="0043655B" w:rsidRDefault="0043655B" w:rsidP="0043655B">
      <w:pPr>
        <w:pStyle w:val="SangriaFrancesaArticulo"/>
      </w:pPr>
      <w:r w:rsidRPr="0043655B">
        <w:rPr>
          <w:rStyle w:val="TextoNormalNegritaCaracter"/>
        </w:rPr>
        <w:t>Artículo 2.1 f).</w:t>
      </w:r>
      <w:r w:rsidRPr="0043655B">
        <w:rPr>
          <w:rStyle w:val="TextoNormalCaracter"/>
        </w:rPr>
        <w:t>-</w:t>
      </w:r>
      <w:r>
        <w:t xml:space="preserve"> Sentencia </w:t>
      </w:r>
      <w:hyperlink w:anchor="SENTENCIA_2012_123" w:history="1">
        <w:r w:rsidRPr="0043655B">
          <w:rPr>
            <w:rStyle w:val="TextoNormalCaracter"/>
          </w:rPr>
          <w:t>123/2012</w:t>
        </w:r>
      </w:hyperlink>
      <w:r>
        <w:t>, f. 7.</w:t>
      </w:r>
    </w:p>
    <w:p w:rsidR="0043655B" w:rsidRDefault="0043655B" w:rsidP="0043655B">
      <w:pPr>
        <w:pStyle w:val="SangriaFrancesaArticulo"/>
      </w:pPr>
      <w:r w:rsidRPr="0043655B">
        <w:rPr>
          <w:rStyle w:val="TextoNormalNegritaCaracter"/>
        </w:rPr>
        <w:t>Artículo 6</w:t>
      </w:r>
      <w:r>
        <w:t xml:space="preserve"> </w:t>
      </w:r>
      <w:r w:rsidRPr="0043655B">
        <w:rPr>
          <w:rStyle w:val="TextoNormalCaracter"/>
        </w:rPr>
        <w:t>(redactado por la Ley Orgánica 3/2009, de 18 de diciembre)</w:t>
      </w:r>
      <w:r w:rsidRPr="0043655B">
        <w:rPr>
          <w:rStyle w:val="TextoNormalNegritaCaracter"/>
        </w:rPr>
        <w:t>.</w:t>
      </w:r>
      <w:r w:rsidRPr="0043655B">
        <w:rPr>
          <w:rStyle w:val="TextoNormalCaracter"/>
        </w:rPr>
        <w:t>-</w:t>
      </w:r>
      <w:r>
        <w:t xml:space="preserve"> Sentencia </w:t>
      </w:r>
      <w:hyperlink w:anchor="SENTENCIA_2012_122" w:history="1">
        <w:r w:rsidRPr="0043655B">
          <w:rPr>
            <w:rStyle w:val="TextoNormalCaracter"/>
          </w:rPr>
          <w:t>122/2012</w:t>
        </w:r>
      </w:hyperlink>
      <w:r>
        <w:t>, f. 3.</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Sentencias </w:t>
      </w:r>
      <w:hyperlink w:anchor="SENTENCIA_2012_32" w:history="1">
        <w:r w:rsidRPr="0043655B">
          <w:rPr>
            <w:rStyle w:val="TextoNormalCaracter"/>
          </w:rPr>
          <w:t>32/2012</w:t>
        </w:r>
      </w:hyperlink>
      <w:r>
        <w:t xml:space="preserve">, f. 7; </w:t>
      </w:r>
      <w:hyperlink w:anchor="SENTENCIA_2012_35" w:history="1">
        <w:r w:rsidRPr="0043655B">
          <w:rPr>
            <w:rStyle w:val="TextoNormalCaracter"/>
          </w:rPr>
          <w:t>35/2012</w:t>
        </w:r>
      </w:hyperlink>
      <w:r>
        <w:t xml:space="preserve">, f. 6; </w:t>
      </w:r>
      <w:hyperlink w:anchor="SENTENCIA_2012_122" w:history="1">
        <w:r w:rsidRPr="0043655B">
          <w:rPr>
            <w:rStyle w:val="TextoNormalCaracter"/>
          </w:rPr>
          <w:t>122/2012</w:t>
        </w:r>
      </w:hyperlink>
      <w:r>
        <w:t>, f. 3.</w:t>
      </w:r>
    </w:p>
    <w:p w:rsidR="0043655B" w:rsidRDefault="0043655B" w:rsidP="0043655B">
      <w:pPr>
        <w:pStyle w:val="SangriaFrancesaArticulo"/>
      </w:pPr>
      <w:r w:rsidRPr="0043655B">
        <w:rPr>
          <w:rStyle w:val="TextoNormalNegritaCaracter"/>
        </w:rPr>
        <w:t>Artículo 6.2</w:t>
      </w:r>
      <w:r>
        <w:t xml:space="preserve"> </w:t>
      </w:r>
      <w:r w:rsidRPr="0043655B">
        <w:rPr>
          <w:rStyle w:val="TextoNormalCaracter"/>
        </w:rPr>
        <w:t>(redactado por la Ley Orgánica 3/2009, de 18 de diciembre)</w:t>
      </w:r>
      <w:r w:rsidRPr="0043655B">
        <w:rPr>
          <w:rStyle w:val="TextoNormalNegritaCaracter"/>
        </w:rPr>
        <w:t>.</w:t>
      </w:r>
      <w:r w:rsidRPr="0043655B">
        <w:rPr>
          <w:rStyle w:val="TextoNormalCaracter"/>
        </w:rPr>
        <w:t>-</w:t>
      </w:r>
      <w:r>
        <w:t xml:space="preserve"> Sentencia </w:t>
      </w:r>
      <w:hyperlink w:anchor="SENTENCIA_2012_122" w:history="1">
        <w:r w:rsidRPr="0043655B">
          <w:rPr>
            <w:rStyle w:val="TextoNormalCaracter"/>
          </w:rPr>
          <w:t>122/2012</w:t>
        </w:r>
      </w:hyperlink>
      <w:r>
        <w:t>, f. 3.</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22" w:history="1">
        <w:r w:rsidRPr="0043655B">
          <w:rPr>
            <w:rStyle w:val="TextoNormalCaracter"/>
          </w:rPr>
          <w:t>122/2012</w:t>
        </w:r>
      </w:hyperlink>
      <w:r>
        <w:t>, ff. 1, 6, 7.</w:t>
      </w:r>
    </w:p>
    <w:p w:rsidR="0043655B" w:rsidRDefault="0043655B" w:rsidP="0043655B">
      <w:pPr>
        <w:pStyle w:val="SangriaFrancesaArticulo"/>
      </w:pPr>
      <w:r w:rsidRPr="0043655B">
        <w:rPr>
          <w:rStyle w:val="TextoNormalNegritaCaracter"/>
        </w:rPr>
        <w:t>Artículo 6.3</w:t>
      </w:r>
      <w:r>
        <w:t xml:space="preserve"> </w:t>
      </w:r>
      <w:r w:rsidRPr="0043655B">
        <w:rPr>
          <w:rStyle w:val="TextoNormalCaracter"/>
        </w:rPr>
        <w:t>(redactado por la Ley Orgánica 3/2009, de 18 de diciembre)</w:t>
      </w:r>
      <w:r w:rsidRPr="0043655B">
        <w:rPr>
          <w:rStyle w:val="TextoNormalNegritaCaracter"/>
        </w:rPr>
        <w:t>.</w:t>
      </w:r>
      <w:r w:rsidRPr="0043655B">
        <w:rPr>
          <w:rStyle w:val="TextoNormalCaracter"/>
        </w:rPr>
        <w:t>-</w:t>
      </w:r>
      <w:r>
        <w:t xml:space="preserve"> Sentencia </w:t>
      </w:r>
      <w:hyperlink w:anchor="SENTENCIA_2012_122" w:history="1">
        <w:r w:rsidRPr="0043655B">
          <w:rPr>
            <w:rStyle w:val="TextoNormalCaracter"/>
          </w:rPr>
          <w:t>122/2012</w:t>
        </w:r>
      </w:hyperlink>
      <w:r>
        <w:t>, ff. 1 a 4.</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32" w:history="1">
        <w:r w:rsidRPr="0043655B">
          <w:rPr>
            <w:rStyle w:val="TextoNormalCaracter"/>
          </w:rPr>
          <w:t>32/2012</w:t>
        </w:r>
      </w:hyperlink>
      <w:r>
        <w:t>, f. 1.</w:t>
      </w:r>
    </w:p>
    <w:p w:rsidR="0043655B" w:rsidRDefault="0043655B" w:rsidP="0043655B">
      <w:pPr>
        <w:pStyle w:val="SangriaFrancesaArticulo"/>
      </w:pPr>
      <w:r w:rsidRPr="0043655B">
        <w:rPr>
          <w:rStyle w:val="TextoNormalNegritaCaracter"/>
        </w:rPr>
        <w:t>Artículo 6.4</w:t>
      </w:r>
      <w:r>
        <w:t xml:space="preserve"> </w:t>
      </w:r>
      <w:r w:rsidRPr="0043655B">
        <w:rPr>
          <w:rStyle w:val="TextoNormalCaracter"/>
        </w:rPr>
        <w:t>(redactado por la Ley Orgánica 3/2009, de 18 de diciembre)</w:t>
      </w:r>
      <w:r w:rsidRPr="0043655B">
        <w:rPr>
          <w:rStyle w:val="TextoNormalNegritaCaracter"/>
        </w:rPr>
        <w:t>.</w:t>
      </w:r>
      <w:r w:rsidRPr="0043655B">
        <w:rPr>
          <w:rStyle w:val="TextoNormalCaracter"/>
        </w:rPr>
        <w:t>-</w:t>
      </w:r>
      <w:r>
        <w:t xml:space="preserve"> Sentencia </w:t>
      </w:r>
      <w:hyperlink w:anchor="SENTENCIA_2012_32" w:history="1">
        <w:r w:rsidRPr="0043655B">
          <w:rPr>
            <w:rStyle w:val="TextoNormalCaracter"/>
          </w:rPr>
          <w:t>32/2012</w:t>
        </w:r>
      </w:hyperlink>
      <w:r>
        <w:t>, f. 5.</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Sentencias </w:t>
      </w:r>
      <w:hyperlink w:anchor="SENTENCIA_2012_19" w:history="1">
        <w:r w:rsidRPr="0043655B">
          <w:rPr>
            <w:rStyle w:val="TextoNormalCaracter"/>
          </w:rPr>
          <w:t>19/2012</w:t>
        </w:r>
      </w:hyperlink>
      <w:r>
        <w:t xml:space="preserve">, f. 11; </w:t>
      </w:r>
      <w:hyperlink w:anchor="SENTENCIA_2012_35" w:history="1">
        <w:r w:rsidRPr="0043655B">
          <w:rPr>
            <w:rStyle w:val="TextoNormalCaracter"/>
          </w:rPr>
          <w:t>35/2012</w:t>
        </w:r>
      </w:hyperlink>
      <w:r>
        <w:t>, f. 9.</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11 a)</w:t>
      </w:r>
      <w:r>
        <w:t xml:space="preserve"> </w:t>
      </w:r>
      <w:r w:rsidRPr="0043655B">
        <w:rPr>
          <w:rStyle w:val="TextoNormalCaracter"/>
        </w:rPr>
        <w:t>(redactado por la Ley Orgánica 3/1996, de 27 de diciembre)</w:t>
      </w:r>
      <w:r w:rsidRPr="0043655B">
        <w:rPr>
          <w:rStyle w:val="TextoNormalNegritaCaracter"/>
        </w:rPr>
        <w:t>.</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11 i).</w:t>
      </w:r>
      <w:r w:rsidRPr="0043655B">
        <w:rPr>
          <w:rStyle w:val="TextoNormalCaracter"/>
        </w:rPr>
        <w:t>-</w:t>
      </w:r>
      <w:r>
        <w:t xml:space="preserve"> Sentencia </w:t>
      </w:r>
      <w:hyperlink w:anchor="SENTENCIA_2012_32" w:history="1">
        <w:r w:rsidRPr="0043655B">
          <w:rPr>
            <w:rStyle w:val="TextoNormalCaracter"/>
          </w:rPr>
          <w:t>32/2012</w:t>
        </w:r>
      </w:hyperlink>
      <w:r>
        <w:t>, f. 7.</w:t>
      </w:r>
    </w:p>
    <w:p w:rsidR="0043655B" w:rsidRDefault="0043655B" w:rsidP="0043655B">
      <w:pPr>
        <w:pStyle w:val="SangriaFrancesaArticulo"/>
      </w:pPr>
      <w:r w:rsidRPr="0043655B">
        <w:rPr>
          <w:rStyle w:val="TextoNormalNegritaCaracter"/>
        </w:rPr>
        <w:t>Artículo 19.2 e).</w:t>
      </w:r>
      <w:r w:rsidRPr="0043655B">
        <w:rPr>
          <w:rStyle w:val="TextoNormalCaracter"/>
        </w:rPr>
        <w:t>-</w:t>
      </w:r>
      <w:r>
        <w:t xml:space="preserve"> Sentencia </w:t>
      </w:r>
      <w:hyperlink w:anchor="SENTENCIA_2012_32" w:history="1">
        <w:r w:rsidRPr="0043655B">
          <w:rPr>
            <w:rStyle w:val="TextoNormalCaracter"/>
          </w:rPr>
          <w:t>32/2012</w:t>
        </w:r>
      </w:hyperlink>
      <w:r>
        <w:t>, f. 7.</w:t>
      </w:r>
    </w:p>
    <w:p w:rsidR="0043655B" w:rsidRDefault="0043655B" w:rsidP="0043655B">
      <w:pPr>
        <w:pStyle w:val="SangriaFrancesaArticulo"/>
      </w:pPr>
    </w:p>
    <w:p w:rsidR="0043655B" w:rsidRDefault="0043655B" w:rsidP="0043655B">
      <w:pPr>
        <w:pStyle w:val="TextoNormalNegritaCursivandice"/>
      </w:pPr>
      <w:r>
        <w:t>Ley Orgánica 4/1981, de 1 de junio. Estados de alarma, excepción y sitio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Artículos 9 a 12.</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Artículos 16 a 30.</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Artículos 32 a 36.</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p>
    <w:p w:rsidR="0043655B" w:rsidRDefault="0043655B" w:rsidP="0043655B">
      <w:pPr>
        <w:pStyle w:val="TextoNormalNegritaCursivandice"/>
      </w:pPr>
      <w:r>
        <w:t>Ley Orgánica 6/1984, de 24 de mayo. Regula del procedimiento de Habeas Corpus.</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95" w:history="1">
        <w:r w:rsidRPr="0043655B">
          <w:rPr>
            <w:rStyle w:val="TextoNormalCaracter"/>
          </w:rPr>
          <w:t>95/2012</w:t>
        </w:r>
      </w:hyperlink>
      <w:r>
        <w:t>, ff. 5, 6.</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95" w:history="1">
        <w:r w:rsidRPr="0043655B">
          <w:rPr>
            <w:rStyle w:val="TextoNormalCaracter"/>
          </w:rPr>
          <w:t>95/2012</w:t>
        </w:r>
      </w:hyperlink>
      <w:r>
        <w:t>, f. 4.</w:t>
      </w:r>
    </w:p>
    <w:p w:rsidR="0043655B" w:rsidRDefault="0043655B" w:rsidP="0043655B">
      <w:pPr>
        <w:pStyle w:val="SangriaFrancesaArticulo"/>
      </w:pPr>
      <w:r w:rsidRPr="0043655B">
        <w:rPr>
          <w:rStyle w:val="TextoNormalNegritaCaracter"/>
        </w:rPr>
        <w:lastRenderedPageBreak/>
        <w:t>Artículo 7.</w:t>
      </w:r>
      <w:r w:rsidRPr="0043655B">
        <w:rPr>
          <w:rStyle w:val="TextoNormalCaracter"/>
        </w:rPr>
        <w:t>-</w:t>
      </w:r>
      <w:r>
        <w:t xml:space="preserve"> Sentencia </w:t>
      </w:r>
      <w:hyperlink w:anchor="SENTENCIA_2012_95" w:history="1">
        <w:r w:rsidRPr="0043655B">
          <w:rPr>
            <w:rStyle w:val="TextoNormalCaracter"/>
          </w:rPr>
          <w:t>95/2012</w:t>
        </w:r>
      </w:hyperlink>
      <w:r>
        <w:t>, f. 3.</w:t>
      </w:r>
    </w:p>
    <w:p w:rsidR="0043655B" w:rsidRDefault="0043655B" w:rsidP="0043655B">
      <w:pPr>
        <w:pStyle w:val="SangriaFrancesaArticulo"/>
      </w:pPr>
    </w:p>
    <w:p w:rsidR="0043655B" w:rsidRDefault="0043655B" w:rsidP="0043655B">
      <w:pPr>
        <w:pStyle w:val="TextoNormalNegritaCursivandice"/>
      </w:pPr>
      <w:r>
        <w:t>Ley Orgánica 5/1985, de 19 de junio. Régimen electoral general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1" w:history="1">
        <w:r w:rsidRPr="0043655B">
          <w:rPr>
            <w:rStyle w:val="TextoNormalCaracter"/>
          </w:rPr>
          <w:t>81/2012</w:t>
        </w:r>
      </w:hyperlink>
      <w:r>
        <w:t xml:space="preserve">, passim, VP; </w:t>
      </w:r>
      <w:hyperlink w:anchor="SENTENCIA_2012_105" w:history="1">
        <w:r w:rsidRPr="0043655B">
          <w:rPr>
            <w:rStyle w:val="TextoNormalCaracter"/>
          </w:rPr>
          <w:t>105/2012</w:t>
        </w:r>
      </w:hyperlink>
      <w:r>
        <w:t xml:space="preserve">, ff. 7, 13; </w:t>
      </w:r>
      <w:hyperlink w:anchor="SENTENCIA_2012_132" w:history="1">
        <w:r w:rsidRPr="0043655B">
          <w:rPr>
            <w:rStyle w:val="TextoNormalCaracter"/>
          </w:rPr>
          <w:t>132/2012</w:t>
        </w:r>
      </w:hyperlink>
      <w:r>
        <w:t>, f. 1.</w:t>
      </w:r>
    </w:p>
    <w:p w:rsidR="0043655B" w:rsidRDefault="0043655B" w:rsidP="0043655B">
      <w:pPr>
        <w:pStyle w:val="SangriaFrancesaArticulo"/>
      </w:pPr>
      <w:r w:rsidRPr="0043655B">
        <w:rPr>
          <w:rStyle w:val="TextoNormalNegritaCaracter"/>
        </w:rPr>
        <w:t>En general</w:t>
      </w:r>
      <w:r>
        <w:t xml:space="preserve"> </w:t>
      </w:r>
      <w:r w:rsidRPr="0043655B">
        <w:rPr>
          <w:rStyle w:val="TextoNormalCaracter"/>
        </w:rPr>
        <w:t>(redactada por la Ley Orgánica 3/2011, de 28 de enero)</w:t>
      </w:r>
      <w:r w:rsidRPr="0043655B">
        <w:rPr>
          <w:rStyle w:val="TextoNormalNegritaCaracter"/>
        </w:rPr>
        <w:t>.</w:t>
      </w:r>
      <w:r w:rsidRPr="0043655B">
        <w:rPr>
          <w:rStyle w:val="TextoNormalCaracter"/>
        </w:rPr>
        <w:t>-</w:t>
      </w:r>
      <w:r>
        <w:t xml:space="preserve"> Sentencia </w:t>
      </w:r>
      <w:hyperlink w:anchor="SENTENCIA_2012_138" w:history="1">
        <w:r w:rsidRPr="0043655B">
          <w:rPr>
            <w:rStyle w:val="TextoNormalCaracter"/>
          </w:rPr>
          <w:t>138/2012</w:t>
        </w:r>
      </w:hyperlink>
      <w:r>
        <w:t>, f. 14, VP III.</w:t>
      </w:r>
    </w:p>
    <w:p w:rsidR="0043655B" w:rsidRDefault="0043655B" w:rsidP="0043655B">
      <w:pPr>
        <w:pStyle w:val="SangriaFrancesaArticulo"/>
      </w:pPr>
      <w:r w:rsidRPr="0043655B">
        <w:rPr>
          <w:rStyle w:val="TextoNormalNegritaCaracter"/>
        </w:rPr>
        <w:t>Título III.</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05" w:history="1">
        <w:r w:rsidRPr="0043655B">
          <w:rPr>
            <w:rStyle w:val="TextoNormalCaracter"/>
          </w:rPr>
          <w:t>105/2012</w:t>
        </w:r>
      </w:hyperlink>
      <w:r>
        <w:t>, f. 12.</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38" w:history="1">
        <w:r w:rsidRPr="0043655B">
          <w:rPr>
            <w:rStyle w:val="TextoNormalCaracter"/>
          </w:rPr>
          <w:t>138/2012</w:t>
        </w:r>
      </w:hyperlink>
      <w:r>
        <w:t>, f. 14, VP I.</w:t>
      </w:r>
    </w:p>
    <w:p w:rsidR="0043655B" w:rsidRDefault="0043655B" w:rsidP="0043655B">
      <w:pPr>
        <w:pStyle w:val="SangriaFrancesaArticulo"/>
      </w:pPr>
      <w:r w:rsidRPr="0043655B">
        <w:rPr>
          <w:rStyle w:val="TextoNormalNegritaCaracter"/>
        </w:rPr>
        <w:t>Artículo 19.</w:t>
      </w:r>
      <w:r w:rsidRPr="0043655B">
        <w:rPr>
          <w:rStyle w:val="TextoNormalCaracter"/>
        </w:rPr>
        <w:t>-</w:t>
      </w:r>
      <w:r>
        <w:t xml:space="preserve"> Sentencia </w:t>
      </w:r>
      <w:hyperlink w:anchor="SENTENCIA_2012_105" w:history="1">
        <w:r w:rsidRPr="0043655B">
          <w:rPr>
            <w:rStyle w:val="TextoNormalCaracter"/>
          </w:rPr>
          <w:t>105/2012</w:t>
        </w:r>
      </w:hyperlink>
      <w:r>
        <w:t>, f. 14.</w:t>
      </w:r>
    </w:p>
    <w:p w:rsidR="0043655B" w:rsidRDefault="0043655B" w:rsidP="0043655B">
      <w:pPr>
        <w:pStyle w:val="SangriaFrancesaArticulo"/>
      </w:pPr>
      <w:r w:rsidRPr="0043655B">
        <w:rPr>
          <w:rStyle w:val="TextoNormalNegritaCaracter"/>
        </w:rPr>
        <w:t>Artículo 44.4.</w:t>
      </w:r>
      <w:r w:rsidRPr="0043655B">
        <w:rPr>
          <w:rStyle w:val="TextoNormalCaracter"/>
        </w:rPr>
        <w:t>-</w:t>
      </w:r>
      <w:r>
        <w:t xml:space="preserve"> Sentencia </w:t>
      </w:r>
      <w:hyperlink w:anchor="SENTENCIA_2012_138" w:history="1">
        <w:r w:rsidRPr="0043655B">
          <w:rPr>
            <w:rStyle w:val="TextoNormalCaracter"/>
          </w:rPr>
          <w:t>138/2012</w:t>
        </w:r>
      </w:hyperlink>
      <w:r>
        <w:t>, f. 9, VP II.</w:t>
      </w:r>
    </w:p>
    <w:p w:rsidR="0043655B" w:rsidRDefault="0043655B" w:rsidP="0043655B">
      <w:pPr>
        <w:pStyle w:val="SangriaFrancesaArticulo"/>
      </w:pPr>
      <w:r w:rsidRPr="0043655B">
        <w:rPr>
          <w:rStyle w:val="TextoNormalNegritaCaracter"/>
        </w:rPr>
        <w:t>Artículo 75.</w:t>
      </w:r>
      <w:r w:rsidRPr="0043655B">
        <w:rPr>
          <w:rStyle w:val="TextoNormalCaracter"/>
        </w:rPr>
        <w:t>-</w:t>
      </w:r>
      <w:r>
        <w:t xml:space="preserve"> Sentencia </w:t>
      </w:r>
      <w:hyperlink w:anchor="SENTENCIA_2012_105" w:history="1">
        <w:r w:rsidRPr="0043655B">
          <w:rPr>
            <w:rStyle w:val="TextoNormalCaracter"/>
          </w:rPr>
          <w:t>105/2012</w:t>
        </w:r>
      </w:hyperlink>
      <w:r>
        <w:t>, ff. 10, 13.</w:t>
      </w:r>
    </w:p>
    <w:p w:rsidR="0043655B" w:rsidRDefault="0043655B" w:rsidP="0043655B">
      <w:pPr>
        <w:pStyle w:val="SangriaFrancesaArticulo"/>
      </w:pPr>
      <w:r w:rsidRPr="0043655B">
        <w:rPr>
          <w:rStyle w:val="TextoNormalNegritaCaracter"/>
        </w:rPr>
        <w:t>Artículo 75</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ff. 3, 8 a 14, VP.</w:t>
      </w:r>
    </w:p>
    <w:p w:rsidR="0043655B" w:rsidRDefault="0043655B" w:rsidP="0043655B">
      <w:pPr>
        <w:pStyle w:val="SangriaFrancesaArticulo"/>
      </w:pPr>
      <w:r w:rsidRPr="0043655B">
        <w:rPr>
          <w:rStyle w:val="TextoNormalNegritaCaracter"/>
        </w:rPr>
        <w:t>Artículo 75.1</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 10.</w:t>
      </w:r>
    </w:p>
    <w:p w:rsidR="0043655B" w:rsidRDefault="0043655B" w:rsidP="0043655B">
      <w:pPr>
        <w:pStyle w:val="SangriaFrancesaArticulo"/>
      </w:pPr>
      <w:r w:rsidRPr="0043655B">
        <w:rPr>
          <w:rStyle w:val="TextoNormalNegritaCaracter"/>
        </w:rPr>
        <w:t>Artículo 75.2</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ff. 8, 10, 13, 14.</w:t>
      </w:r>
    </w:p>
    <w:p w:rsidR="0043655B" w:rsidRDefault="0043655B" w:rsidP="0043655B">
      <w:pPr>
        <w:pStyle w:val="SangriaFrancesaArticulo"/>
      </w:pPr>
      <w:r w:rsidRPr="0043655B">
        <w:rPr>
          <w:rStyle w:val="TextoNormalNegritaCaracter"/>
        </w:rPr>
        <w:t>Artículo 75.3</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 10.</w:t>
      </w:r>
    </w:p>
    <w:p w:rsidR="0043655B" w:rsidRDefault="0043655B" w:rsidP="0043655B">
      <w:pPr>
        <w:pStyle w:val="SangriaFrancesaArticulo"/>
      </w:pPr>
      <w:r w:rsidRPr="0043655B">
        <w:rPr>
          <w:rStyle w:val="TextoNormalNegritaCaracter"/>
        </w:rPr>
        <w:t>Artículo 75.4</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ff. 1, 2, 4 a 6, 8 a 14, VP.</w:t>
      </w:r>
    </w:p>
    <w:p w:rsidR="0043655B" w:rsidRDefault="0043655B" w:rsidP="0043655B">
      <w:pPr>
        <w:pStyle w:val="SangriaFrancesaArticulo"/>
      </w:pPr>
      <w:r w:rsidRPr="0043655B">
        <w:rPr>
          <w:rStyle w:val="TextoNormalNegritaCaracter"/>
        </w:rPr>
        <w:t>Artículo 75.4 in fine</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 11.</w:t>
      </w:r>
    </w:p>
    <w:p w:rsidR="0043655B" w:rsidRDefault="0043655B" w:rsidP="0043655B">
      <w:pPr>
        <w:pStyle w:val="SangriaFrancesaArticulo"/>
      </w:pPr>
      <w:r w:rsidRPr="0043655B">
        <w:rPr>
          <w:rStyle w:val="TextoNormalNegritaCaracter"/>
        </w:rPr>
        <w:t>Artículo 75.5</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 8.</w:t>
      </w:r>
    </w:p>
    <w:p w:rsidR="0043655B" w:rsidRDefault="0043655B" w:rsidP="0043655B">
      <w:pPr>
        <w:pStyle w:val="SangriaFrancesaArticulo"/>
      </w:pPr>
      <w:r w:rsidRPr="0043655B">
        <w:rPr>
          <w:rStyle w:val="TextoNormalNegritaCaracter"/>
        </w:rPr>
        <w:t>Artículo 75.8</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VP.</w:t>
      </w:r>
    </w:p>
    <w:p w:rsidR="0043655B" w:rsidRDefault="0043655B" w:rsidP="0043655B">
      <w:pPr>
        <w:pStyle w:val="SangriaFrancesaArticulo"/>
      </w:pPr>
      <w:r w:rsidRPr="0043655B">
        <w:rPr>
          <w:rStyle w:val="TextoNormalNegritaCaracter"/>
        </w:rPr>
        <w:t>Artículo 75.9</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ff. 10, 13, 14, VP.</w:t>
      </w:r>
    </w:p>
    <w:p w:rsidR="0043655B" w:rsidRDefault="0043655B" w:rsidP="0043655B">
      <w:pPr>
        <w:pStyle w:val="SangriaFrancesaArticulo"/>
      </w:pPr>
      <w:r w:rsidRPr="0043655B">
        <w:rPr>
          <w:rStyle w:val="TextoNormalNegritaCaracter"/>
        </w:rPr>
        <w:t>Artículo 75.11</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 11.</w:t>
      </w:r>
    </w:p>
    <w:p w:rsidR="0043655B" w:rsidRDefault="0043655B" w:rsidP="0043655B">
      <w:pPr>
        <w:pStyle w:val="SangriaFrancesaArticulo"/>
      </w:pPr>
      <w:r w:rsidRPr="0043655B">
        <w:rPr>
          <w:rStyle w:val="TextoNormalNegritaCaracter"/>
        </w:rPr>
        <w:t>Artículo 75.12</w:t>
      </w:r>
      <w:r>
        <w:t xml:space="preserve"> </w:t>
      </w:r>
      <w:r w:rsidRPr="0043655B">
        <w:rPr>
          <w:rStyle w:val="TextoNormalCaracter"/>
        </w:rPr>
        <w:t>(redactado por la Ley Orgánica 2/2011, de 28 de enero)</w:t>
      </w:r>
      <w:r w:rsidRPr="0043655B">
        <w:rPr>
          <w:rStyle w:val="TextoNormalNegritaCaracter"/>
        </w:rPr>
        <w:t>.</w:t>
      </w:r>
      <w:r w:rsidRPr="0043655B">
        <w:rPr>
          <w:rStyle w:val="TextoNormalCaracter"/>
        </w:rPr>
        <w:t>-</w:t>
      </w:r>
      <w:r>
        <w:t xml:space="preserve"> Sentencia </w:t>
      </w:r>
      <w:hyperlink w:anchor="SENTENCIA_2012_105" w:history="1">
        <w:r w:rsidRPr="0043655B">
          <w:rPr>
            <w:rStyle w:val="TextoNormalCaracter"/>
          </w:rPr>
          <w:t>105/2012</w:t>
        </w:r>
      </w:hyperlink>
      <w:r>
        <w:t>, f. 8.</w:t>
      </w:r>
    </w:p>
    <w:p w:rsidR="0043655B" w:rsidRDefault="0043655B" w:rsidP="0043655B">
      <w:pPr>
        <w:pStyle w:val="SangriaFrancesaArticulo"/>
      </w:pPr>
      <w:r w:rsidRPr="0043655B">
        <w:rPr>
          <w:rStyle w:val="TextoNormalNegritaCaracter"/>
        </w:rPr>
        <w:t>Artículo 96.</w:t>
      </w:r>
      <w:r w:rsidRPr="0043655B">
        <w:rPr>
          <w:rStyle w:val="TextoNormalCaracter"/>
        </w:rPr>
        <w:t>-</w:t>
      </w:r>
      <w:r>
        <w:t xml:space="preserve"> Sentencia </w:t>
      </w:r>
      <w:hyperlink w:anchor="SENTENCIA_2012_105" w:history="1">
        <w:r w:rsidRPr="0043655B">
          <w:rPr>
            <w:rStyle w:val="TextoNormalCaracter"/>
          </w:rPr>
          <w:t>105/2012</w:t>
        </w:r>
      </w:hyperlink>
      <w:r>
        <w:t>, f. 12.</w:t>
      </w:r>
    </w:p>
    <w:p w:rsidR="0043655B" w:rsidRDefault="0043655B" w:rsidP="0043655B">
      <w:pPr>
        <w:pStyle w:val="SangriaFrancesaArticulo"/>
      </w:pPr>
      <w:r w:rsidRPr="0043655B">
        <w:rPr>
          <w:rStyle w:val="TextoNormalNegritaCaracter"/>
        </w:rPr>
        <w:t>Artículo 108.</w:t>
      </w:r>
      <w:r w:rsidRPr="0043655B">
        <w:rPr>
          <w:rStyle w:val="TextoNormalCaracter"/>
        </w:rPr>
        <w:t>-</w:t>
      </w:r>
      <w:r>
        <w:t xml:space="preserve"> Sentencia </w:t>
      </w:r>
      <w:hyperlink w:anchor="SENTENCIA_2012_138" w:history="1">
        <w:r w:rsidRPr="0043655B">
          <w:rPr>
            <w:rStyle w:val="TextoNormalCaracter"/>
          </w:rPr>
          <w:t>138/2012</w:t>
        </w:r>
      </w:hyperlink>
      <w:r>
        <w:t>, f. 14.</w:t>
      </w:r>
    </w:p>
    <w:p w:rsidR="0043655B" w:rsidRDefault="0043655B" w:rsidP="0043655B">
      <w:pPr>
        <w:pStyle w:val="SangriaFrancesaArticulo"/>
      </w:pPr>
      <w:r w:rsidRPr="0043655B">
        <w:rPr>
          <w:rStyle w:val="TextoNormalNegritaCaracter"/>
        </w:rPr>
        <w:t>Artículo 109.</w:t>
      </w:r>
      <w:r w:rsidRPr="0043655B">
        <w:rPr>
          <w:rStyle w:val="TextoNormalCaracter"/>
        </w:rPr>
        <w:t>-</w:t>
      </w:r>
      <w:r>
        <w:t xml:space="preserve"> Sentencia </w:t>
      </w:r>
      <w:hyperlink w:anchor="SENTENCIA_2012_105" w:history="1">
        <w:r w:rsidRPr="0043655B">
          <w:rPr>
            <w:rStyle w:val="TextoNormalCaracter"/>
          </w:rPr>
          <w:t>105/2012</w:t>
        </w:r>
      </w:hyperlink>
      <w:r>
        <w:t>, f. 5.</w:t>
      </w:r>
    </w:p>
    <w:p w:rsidR="0043655B" w:rsidRDefault="0043655B" w:rsidP="0043655B">
      <w:pPr>
        <w:pStyle w:val="SangriaFrancesaArticulo"/>
      </w:pPr>
      <w:r w:rsidRPr="0043655B">
        <w:rPr>
          <w:rStyle w:val="TextoNormalNegritaCaracter"/>
        </w:rPr>
        <w:t>Artículo 112.</w:t>
      </w:r>
      <w:r w:rsidRPr="0043655B">
        <w:rPr>
          <w:rStyle w:val="TextoNormalCaracter"/>
        </w:rPr>
        <w:t>-</w:t>
      </w:r>
      <w:r>
        <w:t xml:space="preserve"> Sentencia </w:t>
      </w:r>
      <w:hyperlink w:anchor="SENTENCIA_2012_105" w:history="1">
        <w:r w:rsidRPr="0043655B">
          <w:rPr>
            <w:rStyle w:val="TextoNormalCaracter"/>
          </w:rPr>
          <w:t>105/2012</w:t>
        </w:r>
      </w:hyperlink>
      <w:r>
        <w:t>, f. 5.</w:t>
      </w:r>
    </w:p>
    <w:p w:rsidR="0043655B" w:rsidRDefault="0043655B" w:rsidP="0043655B">
      <w:pPr>
        <w:pStyle w:val="SangriaFrancesaArticulo"/>
      </w:pPr>
      <w:r w:rsidRPr="0043655B">
        <w:rPr>
          <w:rStyle w:val="TextoNormalNegritaCaracter"/>
        </w:rPr>
        <w:t>Artículo 113.</w:t>
      </w:r>
      <w:r w:rsidRPr="0043655B">
        <w:rPr>
          <w:rStyle w:val="TextoNormalCaracter"/>
        </w:rPr>
        <w:t>-</w:t>
      </w:r>
      <w:r>
        <w:t xml:space="preserve"> Sentencia </w:t>
      </w:r>
      <w:hyperlink w:anchor="SENTENCIA_2012_105" w:history="1">
        <w:r w:rsidRPr="0043655B">
          <w:rPr>
            <w:rStyle w:val="TextoNormalCaracter"/>
          </w:rPr>
          <w:t>105/2012</w:t>
        </w:r>
      </w:hyperlink>
      <w:r>
        <w:t>, ff. 5, 16.</w:t>
      </w:r>
    </w:p>
    <w:p w:rsidR="0043655B" w:rsidRDefault="0043655B" w:rsidP="0043655B">
      <w:pPr>
        <w:pStyle w:val="SangriaFrancesaArticulo"/>
      </w:pPr>
      <w:r w:rsidRPr="0043655B">
        <w:rPr>
          <w:rStyle w:val="TextoNormalNegritaCaracter"/>
        </w:rPr>
        <w:t>Artículo 113.2 d).</w:t>
      </w:r>
      <w:r w:rsidRPr="0043655B">
        <w:rPr>
          <w:rStyle w:val="TextoNormalCaracter"/>
        </w:rPr>
        <w:t>-</w:t>
      </w:r>
      <w:r>
        <w:t xml:space="preserve"> Sentencia </w:t>
      </w:r>
      <w:hyperlink w:anchor="SENTENCIA_2012_105" w:history="1">
        <w:r w:rsidRPr="0043655B">
          <w:rPr>
            <w:rStyle w:val="TextoNormalCaracter"/>
          </w:rPr>
          <w:t>105/2012</w:t>
        </w:r>
      </w:hyperlink>
      <w:r>
        <w:t>, ff. 15 a 17.</w:t>
      </w:r>
    </w:p>
    <w:p w:rsidR="0043655B" w:rsidRDefault="0043655B" w:rsidP="0043655B">
      <w:pPr>
        <w:pStyle w:val="SangriaFrancesaArticulo"/>
      </w:pPr>
      <w:r w:rsidRPr="0043655B">
        <w:rPr>
          <w:rStyle w:val="TextoNormalNegritaCaracter"/>
        </w:rPr>
        <w:t>Artículo 116.1.</w:t>
      </w:r>
      <w:r w:rsidRPr="0043655B">
        <w:rPr>
          <w:rStyle w:val="TextoNormalCaracter"/>
        </w:rPr>
        <w:t>-</w:t>
      </w:r>
      <w:r>
        <w:t xml:space="preserve"> Auto </w:t>
      </w:r>
      <w:hyperlink w:anchor="AUTO_2012_84" w:history="1">
        <w:r w:rsidRPr="0043655B">
          <w:rPr>
            <w:rStyle w:val="TextoNormalCaracter"/>
          </w:rPr>
          <w:t>84/2012</w:t>
        </w:r>
      </w:hyperlink>
      <w:r>
        <w:t>, f. único.</w:t>
      </w:r>
    </w:p>
    <w:p w:rsidR="0043655B" w:rsidRDefault="0043655B" w:rsidP="0043655B">
      <w:pPr>
        <w:pStyle w:val="SangriaFrancesaArticulo"/>
      </w:pPr>
      <w:r w:rsidRPr="0043655B">
        <w:rPr>
          <w:rStyle w:val="TextoNormalNegritaCaracter"/>
        </w:rPr>
        <w:t>Artículo 120.</w:t>
      </w:r>
      <w:r w:rsidRPr="0043655B">
        <w:rPr>
          <w:rStyle w:val="TextoNormalCaracter"/>
        </w:rPr>
        <w:t>-</w:t>
      </w:r>
      <w:r>
        <w:t xml:space="preserve"> Sentencia </w:t>
      </w:r>
      <w:hyperlink w:anchor="SENTENCIA_2012_105" w:history="1">
        <w:r w:rsidRPr="0043655B">
          <w:rPr>
            <w:rStyle w:val="TextoNormalCaracter"/>
          </w:rPr>
          <w:t>105/2012</w:t>
        </w:r>
      </w:hyperlink>
      <w:r>
        <w:t>, f. 8.</w:t>
      </w:r>
    </w:p>
    <w:p w:rsidR="0043655B" w:rsidRDefault="0043655B" w:rsidP="0043655B">
      <w:pPr>
        <w:pStyle w:val="SangriaFrancesaArticulo"/>
      </w:pPr>
      <w:r w:rsidRPr="0043655B">
        <w:rPr>
          <w:rStyle w:val="TextoNormalNegritaCaracter"/>
        </w:rPr>
        <w:t>Artículo 196 c).</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197.</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197 bis</w:t>
      </w:r>
      <w:r>
        <w:t xml:space="preserve"> </w:t>
      </w:r>
      <w:r w:rsidRPr="0043655B">
        <w:rPr>
          <w:rStyle w:val="TextoNormalCaracter"/>
        </w:rPr>
        <w:t>(redactado por la Ley Orgánica 8/1999, de 21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197 bis 8.</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197.1 a).</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lastRenderedPageBreak/>
        <w:t>Artículo 197.1 c).</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197.1 f).</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197.2.</w:t>
      </w:r>
      <w:r w:rsidRPr="0043655B">
        <w:rPr>
          <w:rStyle w:val="TextoNormalCaracter"/>
        </w:rPr>
        <w:t>-</w:t>
      </w:r>
      <w:r>
        <w:t xml:space="preserve"> Sentencia </w:t>
      </w:r>
      <w:hyperlink w:anchor="SENTENCIA_2012_81" w:history="1">
        <w:r w:rsidRPr="0043655B">
          <w:rPr>
            <w:rStyle w:val="TextoNormalCaracter"/>
          </w:rPr>
          <w:t>81/2012</w:t>
        </w:r>
      </w:hyperlink>
      <w:r>
        <w:t>, ff. 3, 4.</w:t>
      </w:r>
    </w:p>
    <w:p w:rsidR="0043655B" w:rsidRDefault="0043655B" w:rsidP="0043655B">
      <w:pPr>
        <w:pStyle w:val="SangriaFrancesaArticulo"/>
      </w:pPr>
      <w:r w:rsidRPr="0043655B">
        <w:rPr>
          <w:rStyle w:val="TextoNormalNegritaCaracter"/>
        </w:rPr>
        <w:t>Artículo 197.4.</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198 bis 8.</w:t>
      </w:r>
      <w:r w:rsidRPr="0043655B">
        <w:rPr>
          <w:rStyle w:val="TextoNormalCaracter"/>
        </w:rPr>
        <w:t>-</w:t>
      </w:r>
      <w:r>
        <w:t xml:space="preserve"> Sentencia </w:t>
      </w:r>
      <w:hyperlink w:anchor="SENTENCIA_2012_81" w:history="1">
        <w:r w:rsidRPr="0043655B">
          <w:rPr>
            <w:rStyle w:val="TextoNormalCaracter"/>
          </w:rPr>
          <w:t>81/2012</w:t>
        </w:r>
      </w:hyperlink>
      <w:r>
        <w:t>, f. 4.</w:t>
      </w:r>
    </w:p>
    <w:p w:rsidR="0043655B" w:rsidRDefault="0043655B" w:rsidP="0043655B">
      <w:pPr>
        <w:pStyle w:val="SangriaFrancesaArticulo"/>
      </w:pPr>
      <w:r w:rsidRPr="0043655B">
        <w:rPr>
          <w:rStyle w:val="TextoNormalNegritaCaracter"/>
        </w:rPr>
        <w:t>Artículo 207.4</w:t>
      </w:r>
      <w:r>
        <w:t xml:space="preserve"> </w:t>
      </w:r>
      <w:r w:rsidRPr="0043655B">
        <w:rPr>
          <w:rStyle w:val="TextoNormalCaracter"/>
        </w:rPr>
        <w:t>(redactado por la Ley Orgánica 8/1999, de 21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Disposición adicional primera, apartado 4.</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p>
    <w:p w:rsidR="0043655B" w:rsidRDefault="0043655B" w:rsidP="0043655B">
      <w:pPr>
        <w:pStyle w:val="TextoNormalNegritaCursivandice"/>
      </w:pPr>
      <w:r>
        <w:t>Ley Orgánica 6/1985, de 1 de julio. Poder judicial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7" w:history="1">
        <w:r w:rsidRPr="0043655B">
          <w:rPr>
            <w:rStyle w:val="TextoNormalCaracter"/>
          </w:rPr>
          <w:t>37/2012</w:t>
        </w:r>
      </w:hyperlink>
      <w:r>
        <w:t xml:space="preserve">, f. 6; </w:t>
      </w:r>
      <w:hyperlink w:anchor="SENTENCIA_2012_79" w:history="1">
        <w:r w:rsidRPr="0043655B">
          <w:rPr>
            <w:rStyle w:val="TextoNormalCaracter"/>
          </w:rPr>
          <w:t>79/2012</w:t>
        </w:r>
      </w:hyperlink>
      <w:r>
        <w:t xml:space="preserve">, f. 7;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IzquierdaArticulo"/>
      </w:pPr>
      <w:r>
        <w:t xml:space="preserve">Autos </w:t>
      </w:r>
      <w:hyperlink w:anchor="AUTO_2012_43" w:history="1">
        <w:r w:rsidRPr="0043655B">
          <w:rPr>
            <w:rStyle w:val="TextoNormalCaracter"/>
          </w:rPr>
          <w:t>43/2012</w:t>
        </w:r>
      </w:hyperlink>
      <w:r>
        <w:t xml:space="preserve">; </w:t>
      </w:r>
      <w:hyperlink w:anchor="AUTO_2012_87" w:history="1">
        <w:r w:rsidRPr="0043655B">
          <w:rPr>
            <w:rStyle w:val="TextoNormalCaracter"/>
          </w:rPr>
          <w:t>87/2012</w:t>
        </w:r>
      </w:hyperlink>
      <w:r>
        <w:t xml:space="preserve">; </w:t>
      </w:r>
      <w:hyperlink w:anchor="AUTO_2012_116" w:history="1">
        <w:r w:rsidRPr="0043655B">
          <w:rPr>
            <w:rStyle w:val="TextoNormalCaracter"/>
          </w:rPr>
          <w:t>116/2012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Sentencias </w:t>
      </w:r>
      <w:hyperlink w:anchor="SENTENCIA_2012_37" w:history="1">
        <w:r w:rsidRPr="0043655B">
          <w:rPr>
            <w:rStyle w:val="TextoNormalCaracter"/>
          </w:rPr>
          <w:t>37/2012</w:t>
        </w:r>
      </w:hyperlink>
      <w:r>
        <w:t xml:space="preserve">, f. 1; </w:t>
      </w:r>
      <w:hyperlink w:anchor="SENTENCIA_2012_75" w:history="1">
        <w:r w:rsidRPr="0043655B">
          <w:rPr>
            <w:rStyle w:val="TextoNormalCaracter"/>
          </w:rPr>
          <w:t>75/2012</w:t>
        </w:r>
      </w:hyperlink>
      <w:r>
        <w:t xml:space="preserve">, f. 1; </w:t>
      </w:r>
      <w:hyperlink w:anchor="SENTENCIA_2012_91" w:history="1">
        <w:r w:rsidRPr="0043655B">
          <w:rPr>
            <w:rStyle w:val="TextoNormalCaracter"/>
          </w:rPr>
          <w:t>91/2012</w:t>
        </w:r>
      </w:hyperlink>
      <w:r>
        <w:t xml:space="preserve">, f. 1; </w:t>
      </w:r>
      <w:hyperlink w:anchor="SENTENCIA_2012_94" w:history="1">
        <w:r w:rsidRPr="0043655B">
          <w:rPr>
            <w:rStyle w:val="TextoNormalCaracter"/>
          </w:rPr>
          <w:t>94/2012</w:t>
        </w:r>
      </w:hyperlink>
      <w:r>
        <w:t>, f. 1.</w:t>
      </w:r>
    </w:p>
    <w:p w:rsidR="0043655B" w:rsidRDefault="0043655B" w:rsidP="0043655B">
      <w:pPr>
        <w:pStyle w:val="SangriaFrancesaArticulo"/>
      </w:pPr>
      <w:r w:rsidRPr="0043655B">
        <w:rPr>
          <w:rStyle w:val="TextoNormalNegritaCaracter"/>
        </w:rPr>
        <w:t>Artículo 5.2.</w:t>
      </w:r>
      <w:r w:rsidRPr="0043655B">
        <w:rPr>
          <w:rStyle w:val="TextoNormalCaracter"/>
        </w:rPr>
        <w:t>-</w:t>
      </w:r>
      <w:r>
        <w:t xml:space="preserve"> Sentencias </w:t>
      </w:r>
      <w:hyperlink w:anchor="SENTENCIA_2012_37" w:history="1">
        <w:r w:rsidRPr="0043655B">
          <w:rPr>
            <w:rStyle w:val="TextoNormalCaracter"/>
          </w:rPr>
          <w:t>37/2012</w:t>
        </w:r>
      </w:hyperlink>
      <w:r>
        <w:t xml:space="preserve">, f. 7, VP IV; </w:t>
      </w:r>
      <w:hyperlink w:anchor="SENTENCIA_2012_75" w:history="1">
        <w:r w:rsidRPr="0043655B">
          <w:rPr>
            <w:rStyle w:val="TextoNormalCaracter"/>
          </w:rPr>
          <w:t>75/2012</w:t>
        </w:r>
      </w:hyperlink>
      <w:r>
        <w:t xml:space="preserve">, f. 3; </w:t>
      </w:r>
      <w:hyperlink w:anchor="SENTENCIA_2012_91" w:history="1">
        <w:r w:rsidRPr="0043655B">
          <w:rPr>
            <w:rStyle w:val="TextoNormalCaracter"/>
          </w:rPr>
          <w:t>91/2012</w:t>
        </w:r>
      </w:hyperlink>
      <w:r>
        <w:t xml:space="preserve">, f. 3; </w:t>
      </w:r>
      <w:hyperlink w:anchor="SENTENCIA_2012_94" w:history="1">
        <w:r w:rsidRPr="0043655B">
          <w:rPr>
            <w:rStyle w:val="TextoNormalCaracter"/>
          </w:rPr>
          <w:t>94/2012</w:t>
        </w:r>
      </w:hyperlink>
      <w:r>
        <w:t>, f. 3.</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11.3.</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Sentencias </w:t>
      </w:r>
      <w:hyperlink w:anchor="SENTENCIA_2012_37" w:history="1">
        <w:r w:rsidRPr="0043655B">
          <w:rPr>
            <w:rStyle w:val="TextoNormalCaracter"/>
          </w:rPr>
          <w:t>37/2012</w:t>
        </w:r>
      </w:hyperlink>
      <w:r>
        <w:t xml:space="preserve">, f. 1; </w:t>
      </w:r>
      <w:hyperlink w:anchor="SENTENCIA_2012_75" w:history="1">
        <w:r w:rsidRPr="0043655B">
          <w:rPr>
            <w:rStyle w:val="TextoNormalCaracter"/>
          </w:rPr>
          <w:t>75/2012</w:t>
        </w:r>
      </w:hyperlink>
      <w:r>
        <w:t xml:space="preserve">, f. 1; </w:t>
      </w:r>
      <w:hyperlink w:anchor="SENTENCIA_2012_91" w:history="1">
        <w:r w:rsidRPr="0043655B">
          <w:rPr>
            <w:rStyle w:val="TextoNormalCaracter"/>
          </w:rPr>
          <w:t>91/2012</w:t>
        </w:r>
      </w:hyperlink>
      <w:r>
        <w:t xml:space="preserve">, f. 1; </w:t>
      </w:r>
      <w:hyperlink w:anchor="SENTENCIA_2012_94" w:history="1">
        <w:r w:rsidRPr="0043655B">
          <w:rPr>
            <w:rStyle w:val="TextoNormalCaracter"/>
          </w:rPr>
          <w:t>94/2012</w:t>
        </w:r>
      </w:hyperlink>
      <w:r>
        <w:t>, f. 1.</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58.1.</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 </w:t>
      </w:r>
      <w:hyperlink w:anchor="SENTENCIA_2012_138" w:history="1">
        <w:r w:rsidRPr="0043655B">
          <w:rPr>
            <w:rStyle w:val="TextoNormalCaracter"/>
          </w:rPr>
          <w:t>138/2012</w:t>
        </w:r>
      </w:hyperlink>
      <w:r>
        <w:t>, VP I, VP II, VP III.</w:t>
      </w:r>
    </w:p>
    <w:p w:rsidR="0043655B" w:rsidRDefault="0043655B" w:rsidP="0043655B">
      <w:pPr>
        <w:pStyle w:val="SangriaIzquierdaArticulo"/>
      </w:pPr>
      <w:r>
        <w:t xml:space="preserve">Auto </w:t>
      </w:r>
      <w:hyperlink w:anchor="AUTO_2012_33" w:history="1">
        <w:r w:rsidRPr="0043655B">
          <w:rPr>
            <w:rStyle w:val="TextoNormalCaracter"/>
          </w:rPr>
          <w:t>33/2012</w:t>
        </w:r>
      </w:hyperlink>
      <w:r>
        <w:t>.</w:t>
      </w:r>
    </w:p>
    <w:p w:rsidR="0043655B" w:rsidRDefault="0043655B" w:rsidP="0043655B">
      <w:pPr>
        <w:pStyle w:val="SangriaFrancesaArticulo"/>
      </w:pPr>
      <w:r w:rsidRPr="0043655B">
        <w:rPr>
          <w:rStyle w:val="TextoNormalNegritaCaracter"/>
        </w:rPr>
        <w:t>Artículo 74.1 c).</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217.</w:t>
      </w:r>
      <w:r w:rsidRPr="0043655B">
        <w:rPr>
          <w:rStyle w:val="TextoNormalCaracter"/>
        </w:rPr>
        <w:t>-</w:t>
      </w:r>
      <w:r>
        <w:t xml:space="preserve"> Auto </w:t>
      </w:r>
      <w:hyperlink w:anchor="AUTO_2012_33" w:history="1">
        <w:r w:rsidRPr="0043655B">
          <w:rPr>
            <w:rStyle w:val="TextoNormalCaracter"/>
          </w:rPr>
          <w:t>33/2012</w:t>
        </w:r>
      </w:hyperlink>
      <w:r>
        <w:t>.</w:t>
      </w:r>
    </w:p>
    <w:p w:rsidR="0043655B" w:rsidRDefault="0043655B" w:rsidP="0043655B">
      <w:pPr>
        <w:pStyle w:val="SangriaFrancesaArticulo"/>
      </w:pPr>
      <w:r w:rsidRPr="0043655B">
        <w:rPr>
          <w:rStyle w:val="TextoNormalNegritaCaracter"/>
        </w:rPr>
        <w:t>Artículo 219.8.</w:t>
      </w:r>
      <w:r w:rsidRPr="0043655B">
        <w:rPr>
          <w:rStyle w:val="TextoNormalCaracter"/>
        </w:rPr>
        <w:t>-</w:t>
      </w:r>
      <w:r>
        <w:t xml:space="preserve"> Auto </w:t>
      </w:r>
      <w:hyperlink w:anchor="AUTO_2012_14" w:history="1">
        <w:r w:rsidRPr="0043655B">
          <w:rPr>
            <w:rStyle w:val="TextoNormalCaracter"/>
          </w:rPr>
          <w:t>14/2012</w:t>
        </w:r>
      </w:hyperlink>
      <w:r>
        <w:t>.</w:t>
      </w:r>
    </w:p>
    <w:p w:rsidR="0043655B" w:rsidRDefault="0043655B" w:rsidP="0043655B">
      <w:pPr>
        <w:pStyle w:val="SangriaFrancesaArticulo"/>
      </w:pPr>
      <w:r w:rsidRPr="0043655B">
        <w:rPr>
          <w:rStyle w:val="TextoNormalNegritaCaracter"/>
        </w:rPr>
        <w:t>Artículo 219.13.</w:t>
      </w:r>
      <w:r w:rsidRPr="0043655B">
        <w:rPr>
          <w:rStyle w:val="TextoNormalCaracter"/>
        </w:rPr>
        <w:t>-</w:t>
      </w:r>
      <w:r>
        <w:t xml:space="preserve"> Autos </w:t>
      </w:r>
      <w:hyperlink w:anchor="AUTO_2012_37" w:history="1">
        <w:r w:rsidRPr="0043655B">
          <w:rPr>
            <w:rStyle w:val="TextoNormalCaracter"/>
          </w:rPr>
          <w:t>37/2012</w:t>
        </w:r>
      </w:hyperlink>
      <w:r>
        <w:t xml:space="preserve">; </w:t>
      </w:r>
      <w:hyperlink w:anchor="AUTO_2012_38" w:history="1">
        <w:r w:rsidRPr="0043655B">
          <w:rPr>
            <w:rStyle w:val="TextoNormalCaracter"/>
          </w:rPr>
          <w:t>38/2012</w:t>
        </w:r>
      </w:hyperlink>
      <w:r>
        <w:t xml:space="preserve">; </w:t>
      </w:r>
      <w:hyperlink w:anchor="AUTO_2012_45" w:history="1">
        <w:r w:rsidRPr="0043655B">
          <w:rPr>
            <w:rStyle w:val="TextoNormalCaracter"/>
          </w:rPr>
          <w:t>45/2012</w:t>
        </w:r>
      </w:hyperlink>
      <w:r>
        <w:t xml:space="preserve">; </w:t>
      </w:r>
      <w:hyperlink w:anchor="AUTO_2012_46" w:history="1">
        <w:r w:rsidRPr="0043655B">
          <w:rPr>
            <w:rStyle w:val="TextoNormalCaracter"/>
          </w:rPr>
          <w:t>46/2012</w:t>
        </w:r>
      </w:hyperlink>
      <w:r>
        <w:t>.</w:t>
      </w:r>
    </w:p>
    <w:p w:rsidR="0043655B" w:rsidRDefault="0043655B" w:rsidP="0043655B">
      <w:pPr>
        <w:pStyle w:val="SangriaFrancesaArticulo"/>
      </w:pPr>
      <w:r w:rsidRPr="0043655B">
        <w:rPr>
          <w:rStyle w:val="TextoNormalNegritaCaracter"/>
        </w:rPr>
        <w:t>Artículo 219.16.</w:t>
      </w:r>
      <w:r w:rsidRPr="0043655B">
        <w:rPr>
          <w:rStyle w:val="TextoNormalCaracter"/>
        </w:rPr>
        <w:t>-</w:t>
      </w:r>
      <w:r>
        <w:t xml:space="preserve"> Autos </w:t>
      </w:r>
      <w:hyperlink w:anchor="AUTO_2012_37" w:history="1">
        <w:r w:rsidRPr="0043655B">
          <w:rPr>
            <w:rStyle w:val="TextoNormalCaracter"/>
          </w:rPr>
          <w:t>37/2012</w:t>
        </w:r>
      </w:hyperlink>
      <w:r>
        <w:t xml:space="preserve">; </w:t>
      </w:r>
      <w:hyperlink w:anchor="AUTO_2012_38" w:history="1">
        <w:r w:rsidRPr="0043655B">
          <w:rPr>
            <w:rStyle w:val="TextoNormalCaracter"/>
          </w:rPr>
          <w:t>38/2012</w:t>
        </w:r>
      </w:hyperlink>
      <w:r>
        <w:t xml:space="preserve">; </w:t>
      </w:r>
      <w:hyperlink w:anchor="AUTO_2012_45" w:history="1">
        <w:r w:rsidRPr="0043655B">
          <w:rPr>
            <w:rStyle w:val="TextoNormalCaracter"/>
          </w:rPr>
          <w:t>45/2012</w:t>
        </w:r>
      </w:hyperlink>
      <w:r>
        <w:t xml:space="preserve">; </w:t>
      </w:r>
      <w:hyperlink w:anchor="AUTO_2012_46" w:history="1">
        <w:r w:rsidRPr="0043655B">
          <w:rPr>
            <w:rStyle w:val="TextoNormalCaracter"/>
          </w:rPr>
          <w:t>46/2012</w:t>
        </w:r>
      </w:hyperlink>
      <w:r>
        <w:t>.</w:t>
      </w:r>
    </w:p>
    <w:p w:rsidR="0043655B" w:rsidRDefault="0043655B" w:rsidP="0043655B">
      <w:pPr>
        <w:pStyle w:val="SangriaFrancesaArticulo"/>
      </w:pPr>
      <w:r w:rsidRPr="0043655B">
        <w:rPr>
          <w:rStyle w:val="TextoNormalNegritaCaracter"/>
        </w:rPr>
        <w:t>Artículo 221.4.</w:t>
      </w:r>
      <w:r w:rsidRPr="0043655B">
        <w:rPr>
          <w:rStyle w:val="TextoNormalCaracter"/>
        </w:rPr>
        <w:t>-</w:t>
      </w:r>
      <w:r>
        <w:t xml:space="preserve"> Autos </w:t>
      </w:r>
      <w:hyperlink w:anchor="AUTO_2012_37" w:history="1">
        <w:r w:rsidRPr="0043655B">
          <w:rPr>
            <w:rStyle w:val="TextoNormalCaracter"/>
          </w:rPr>
          <w:t>37/2012</w:t>
        </w:r>
      </w:hyperlink>
      <w:r>
        <w:t xml:space="preserve">; </w:t>
      </w:r>
      <w:hyperlink w:anchor="AUTO_2012_38" w:history="1">
        <w:r w:rsidRPr="0043655B">
          <w:rPr>
            <w:rStyle w:val="TextoNormalCaracter"/>
          </w:rPr>
          <w:t>38/2012</w:t>
        </w:r>
      </w:hyperlink>
      <w:r>
        <w:t xml:space="preserve">; </w:t>
      </w:r>
      <w:hyperlink w:anchor="AUTO_2012_45" w:history="1">
        <w:r w:rsidRPr="0043655B">
          <w:rPr>
            <w:rStyle w:val="TextoNormalCaracter"/>
          </w:rPr>
          <w:t>45/2012</w:t>
        </w:r>
      </w:hyperlink>
      <w:r>
        <w:t xml:space="preserve">; </w:t>
      </w:r>
      <w:hyperlink w:anchor="AUTO_2012_46" w:history="1">
        <w:r w:rsidRPr="0043655B">
          <w:rPr>
            <w:rStyle w:val="TextoNormalCaracter"/>
          </w:rPr>
          <w:t>46/2012</w:t>
        </w:r>
      </w:hyperlink>
      <w:r>
        <w:t>.</w:t>
      </w:r>
    </w:p>
    <w:p w:rsidR="0043655B" w:rsidRDefault="0043655B" w:rsidP="0043655B">
      <w:pPr>
        <w:pStyle w:val="SangriaFrancesaArticulo"/>
      </w:pPr>
      <w:r w:rsidRPr="0043655B">
        <w:rPr>
          <w:rStyle w:val="TextoNormalNegritaCaracter"/>
        </w:rPr>
        <w:t>Artículo 238.</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238 a 243.</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Artículos 238 a 243.</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241.</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IzquierdaArticulo"/>
      </w:pPr>
      <w:r>
        <w:t xml:space="preserve">Auto </w:t>
      </w:r>
      <w:hyperlink w:anchor="AUTO_2012_11" w:history="1">
        <w:r w:rsidRPr="0043655B">
          <w:rPr>
            <w:rStyle w:val="TextoNormalCaracter"/>
          </w:rPr>
          <w:t>11/2012</w:t>
        </w:r>
      </w:hyperlink>
      <w:r>
        <w:t>.</w:t>
      </w:r>
    </w:p>
    <w:p w:rsidR="0043655B" w:rsidRDefault="0043655B" w:rsidP="0043655B">
      <w:pPr>
        <w:pStyle w:val="SangriaFrancesaArticulo"/>
      </w:pPr>
      <w:r w:rsidRPr="0043655B">
        <w:rPr>
          <w:rStyle w:val="TextoNormalNegritaCaracter"/>
        </w:rPr>
        <w:t>Artículo 241</w:t>
      </w:r>
      <w:r>
        <w:t xml:space="preserve"> </w:t>
      </w:r>
      <w:r w:rsidRPr="0043655B">
        <w:rPr>
          <w:rStyle w:val="TextoNormalCaracter"/>
        </w:rPr>
        <w:t>(redactado por la Ley Orgánica 19/2003, de 23 de diciembre)</w:t>
      </w:r>
      <w:r w:rsidRPr="0043655B">
        <w:rPr>
          <w:rStyle w:val="TextoNormalNegritaCaracter"/>
        </w:rPr>
        <w:t>.</w:t>
      </w:r>
      <w:r w:rsidRPr="0043655B">
        <w:rPr>
          <w:rStyle w:val="TextoNormalCaracter"/>
        </w:rPr>
        <w:t>-</w:t>
      </w:r>
      <w:r>
        <w:t xml:space="preserve"> Sentencia </w:t>
      </w:r>
      <w:hyperlink w:anchor="SENTENCIA_2012_11" w:history="1">
        <w:r w:rsidRPr="0043655B">
          <w:rPr>
            <w:rStyle w:val="TextoNormalCaracter"/>
          </w:rPr>
          <w:t>11/2012</w:t>
        </w:r>
      </w:hyperlink>
      <w:r>
        <w:t>, f. 2.</w:t>
      </w:r>
    </w:p>
    <w:p w:rsidR="0043655B" w:rsidRDefault="0043655B" w:rsidP="0043655B">
      <w:pPr>
        <w:pStyle w:val="SangriaFrancesaArticulo"/>
      </w:pPr>
      <w:r w:rsidRPr="0043655B">
        <w:rPr>
          <w:rStyle w:val="TextoNormalNegritaCaracter"/>
        </w:rPr>
        <w:t>Artículo 241.1.</w:t>
      </w:r>
      <w:r w:rsidRPr="0043655B">
        <w:rPr>
          <w:rStyle w:val="TextoNormalCaracter"/>
        </w:rPr>
        <w:t>-</w:t>
      </w:r>
      <w:r>
        <w:t xml:space="preserve"> Sentencias </w:t>
      </w:r>
      <w:hyperlink w:anchor="SENTENCIA_2012_23" w:history="1">
        <w:r w:rsidRPr="0043655B">
          <w:rPr>
            <w:rStyle w:val="TextoNormalCaracter"/>
          </w:rPr>
          <w:t>23/2012</w:t>
        </w:r>
      </w:hyperlink>
      <w:r>
        <w:t xml:space="preserve">, f. 4; </w:t>
      </w:r>
      <w:hyperlink w:anchor="SENTENCIA_2012_31" w:history="1">
        <w:r w:rsidRPr="0043655B">
          <w:rPr>
            <w:rStyle w:val="TextoNormalCaracter"/>
          </w:rPr>
          <w:t>31/2012</w:t>
        </w:r>
      </w:hyperlink>
      <w:r>
        <w:t>, f. 4.</w:t>
      </w:r>
    </w:p>
    <w:p w:rsidR="0043655B" w:rsidRDefault="0043655B" w:rsidP="0043655B">
      <w:pPr>
        <w:pStyle w:val="SangriaFrancesaArticulo"/>
      </w:pPr>
      <w:r w:rsidRPr="0043655B">
        <w:rPr>
          <w:rStyle w:val="TextoNormalNegritaCaracter"/>
        </w:rPr>
        <w:t>Artículo 241.1</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Sentencias </w:t>
      </w:r>
      <w:hyperlink w:anchor="SENTENCIA_2012_17" w:history="1">
        <w:r w:rsidRPr="0043655B">
          <w:rPr>
            <w:rStyle w:val="TextoNormalCaracter"/>
          </w:rPr>
          <w:t>17/2012</w:t>
        </w:r>
      </w:hyperlink>
      <w:r>
        <w:t xml:space="preserve">, ff. 3, 4; </w:t>
      </w:r>
      <w:hyperlink w:anchor="SENTENCIA_2012_23" w:history="1">
        <w:r w:rsidRPr="0043655B">
          <w:rPr>
            <w:rStyle w:val="TextoNormalCaracter"/>
          </w:rPr>
          <w:t>23/2012</w:t>
        </w:r>
      </w:hyperlink>
      <w:r>
        <w:t>, f. 2.</w:t>
      </w:r>
    </w:p>
    <w:p w:rsidR="0043655B" w:rsidRDefault="0043655B" w:rsidP="0043655B">
      <w:pPr>
        <w:pStyle w:val="SangriaIzquierdaArticulo"/>
      </w:pPr>
      <w:r>
        <w:t xml:space="preserve">Auto </w:t>
      </w:r>
      <w:hyperlink w:anchor="AUTO_2012_11" w:history="1">
        <w:r w:rsidRPr="0043655B">
          <w:rPr>
            <w:rStyle w:val="TextoNormalCaracter"/>
          </w:rPr>
          <w:t>11/2012</w:t>
        </w:r>
      </w:hyperlink>
      <w:r>
        <w:t>.</w:t>
      </w:r>
    </w:p>
    <w:p w:rsidR="0043655B" w:rsidRDefault="0043655B" w:rsidP="0043655B">
      <w:pPr>
        <w:pStyle w:val="SangriaFrancesaArticulo"/>
      </w:pPr>
      <w:r w:rsidRPr="0043655B">
        <w:rPr>
          <w:rStyle w:val="TextoNormalNegritaCaracter"/>
        </w:rPr>
        <w:t>Artículo 241.1 párrafo 1</w:t>
      </w:r>
      <w:r>
        <w:t xml:space="preserve"> </w:t>
      </w:r>
      <w:r w:rsidRPr="0043655B">
        <w:rPr>
          <w:rStyle w:val="TextoNormalCaracter"/>
        </w:rPr>
        <w:t>(redactado por la Ley Orgánica 6/2007, de 24 de mayo)</w:t>
      </w:r>
      <w:r w:rsidRPr="0043655B">
        <w:rPr>
          <w:rStyle w:val="TextoNormalNegritaCaracter"/>
        </w:rPr>
        <w:t>.</w:t>
      </w:r>
      <w:r w:rsidRPr="0043655B">
        <w:rPr>
          <w:rStyle w:val="TextoNormalCaracter"/>
        </w:rPr>
        <w:t>-</w:t>
      </w:r>
      <w:r>
        <w:t xml:space="preserve"> Auto </w:t>
      </w:r>
      <w:hyperlink w:anchor="AUTO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242.</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243.</w:t>
      </w:r>
      <w:r w:rsidRPr="0043655B">
        <w:rPr>
          <w:rStyle w:val="TextoNormalCaracter"/>
        </w:rPr>
        <w:t>-</w:t>
      </w:r>
      <w:r>
        <w:t xml:space="preserve"> Sentencias </w:t>
      </w:r>
      <w:hyperlink w:anchor="SENTENCIA_2012_129" w:history="1">
        <w:r w:rsidRPr="0043655B">
          <w:rPr>
            <w:rStyle w:val="TextoNormalCaracter"/>
          </w:rPr>
          <w:t>129/2012</w:t>
        </w:r>
      </w:hyperlink>
      <w:r>
        <w:t xml:space="preserve">, f. 2; </w:t>
      </w:r>
      <w:hyperlink w:anchor="SENTENCIA_2012_130" w:history="1">
        <w:r w:rsidRPr="0043655B">
          <w:rPr>
            <w:rStyle w:val="TextoNormalCaracter"/>
          </w:rPr>
          <w:t>130/2012</w:t>
        </w:r>
      </w:hyperlink>
      <w:r>
        <w:t>, f. 2.</w:t>
      </w:r>
    </w:p>
    <w:p w:rsidR="0043655B" w:rsidRDefault="0043655B" w:rsidP="0043655B">
      <w:pPr>
        <w:pStyle w:val="SangriaFrancesaArticulo"/>
      </w:pPr>
      <w:r w:rsidRPr="0043655B">
        <w:rPr>
          <w:rStyle w:val="TextoNormalNegritaCaracter"/>
        </w:rPr>
        <w:t>Artículo 245 b).</w:t>
      </w:r>
      <w:r w:rsidRPr="0043655B">
        <w:rPr>
          <w:rStyle w:val="TextoNormalCaracter"/>
        </w:rPr>
        <w:t>-</w:t>
      </w:r>
      <w:r>
        <w:t xml:space="preserve"> Auto </w:t>
      </w:r>
      <w:hyperlink w:anchor="AUTO_2012_33" w:history="1">
        <w:r w:rsidRPr="0043655B">
          <w:rPr>
            <w:rStyle w:val="TextoNormalCaracter"/>
          </w:rPr>
          <w:t>33/2012</w:t>
        </w:r>
      </w:hyperlink>
      <w:r>
        <w:t>.</w:t>
      </w:r>
    </w:p>
    <w:p w:rsidR="0043655B" w:rsidRDefault="0043655B" w:rsidP="0043655B">
      <w:pPr>
        <w:pStyle w:val="SangriaFrancesaArticulo"/>
      </w:pPr>
      <w:r w:rsidRPr="0043655B">
        <w:rPr>
          <w:rStyle w:val="TextoNormalNegritaCaracter"/>
        </w:rPr>
        <w:t>Artículo 267.</w:t>
      </w:r>
      <w:r w:rsidRPr="0043655B">
        <w:rPr>
          <w:rStyle w:val="TextoNormalCaracter"/>
        </w:rPr>
        <w:t>-</w:t>
      </w:r>
      <w:r>
        <w:t xml:space="preserve"> Auto </w:t>
      </w:r>
      <w:hyperlink w:anchor="AUTO_2012_108" w:history="1">
        <w:r w:rsidRPr="0043655B">
          <w:rPr>
            <w:rStyle w:val="TextoNormalCaracter"/>
          </w:rPr>
          <w:t>108/2012</w:t>
        </w:r>
      </w:hyperlink>
      <w:r>
        <w:t>.</w:t>
      </w:r>
    </w:p>
    <w:p w:rsidR="0043655B" w:rsidRDefault="0043655B" w:rsidP="0043655B">
      <w:pPr>
        <w:pStyle w:val="SangriaFrancesaArticulo"/>
      </w:pPr>
      <w:r w:rsidRPr="0043655B">
        <w:rPr>
          <w:rStyle w:val="TextoNormalNegritaCaracter"/>
        </w:rPr>
        <w:t>Artículo 271.</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285.</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lastRenderedPageBreak/>
        <w:t>Artículo 345.</w:t>
      </w:r>
      <w:r w:rsidRPr="0043655B">
        <w:rPr>
          <w:rStyle w:val="TextoNormalCaracter"/>
        </w:rPr>
        <w:t>-</w:t>
      </w:r>
      <w:r>
        <w:t xml:space="preserve"> Auto </w:t>
      </w:r>
      <w:hyperlink w:anchor="AUTO_2012_116" w:history="1">
        <w:r w:rsidRPr="0043655B">
          <w:rPr>
            <w:rStyle w:val="TextoNormalCaracter"/>
          </w:rPr>
          <w:t>116/2012</w:t>
        </w:r>
      </w:hyperlink>
      <w:r>
        <w:t>.</w:t>
      </w:r>
    </w:p>
    <w:p w:rsidR="0043655B" w:rsidRDefault="0043655B" w:rsidP="0043655B">
      <w:pPr>
        <w:pStyle w:val="SangriaFrancesaArticulo"/>
      </w:pPr>
      <w:r w:rsidRPr="0043655B">
        <w:rPr>
          <w:rStyle w:val="TextoNormalNegritaCaracter"/>
        </w:rPr>
        <w:t>Artículo 474.1.</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500.</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500.4.</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501.</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Disposición adicional quinta, apartado 7.</w:t>
      </w:r>
      <w:r w:rsidRPr="0043655B">
        <w:rPr>
          <w:rStyle w:val="TextoNormalCaracter"/>
        </w:rPr>
        <w:t>-</w:t>
      </w:r>
      <w:r>
        <w:t xml:space="preserve"> Sentencia </w:t>
      </w:r>
      <w:hyperlink w:anchor="SENTENCIA_2012_41" w:history="1">
        <w:r w:rsidRPr="0043655B">
          <w:rPr>
            <w:rStyle w:val="TextoNormalCaracter"/>
          </w:rPr>
          <w:t>41/2012</w:t>
        </w:r>
      </w:hyperlink>
      <w:r>
        <w:t>, f. 2.</w:t>
      </w:r>
    </w:p>
    <w:p w:rsidR="0043655B" w:rsidRDefault="0043655B" w:rsidP="0043655B">
      <w:pPr>
        <w:pStyle w:val="SangriaFrancesaArticulo"/>
      </w:pPr>
      <w:r w:rsidRPr="0043655B">
        <w:rPr>
          <w:rStyle w:val="TextoNormalNegritaCaracter"/>
        </w:rPr>
        <w:t>Disposición adicional decimoquinta.</w:t>
      </w:r>
      <w:r w:rsidRPr="0043655B">
        <w:rPr>
          <w:rStyle w:val="TextoNormalCaracter"/>
        </w:rPr>
        <w:t>-</w:t>
      </w:r>
      <w:r>
        <w:t xml:space="preserve"> Sentencias </w:t>
      </w:r>
      <w:hyperlink w:anchor="SENTENCIA_2012_129" w:history="1">
        <w:r w:rsidRPr="0043655B">
          <w:rPr>
            <w:rStyle w:val="TextoNormalCaracter"/>
          </w:rPr>
          <w:t>129/2012</w:t>
        </w:r>
      </w:hyperlink>
      <w:r>
        <w:t xml:space="preserve">, ff. 1, 4; </w:t>
      </w:r>
      <w:hyperlink w:anchor="SENTENCIA_2012_130" w:history="1">
        <w:r w:rsidRPr="0043655B">
          <w:rPr>
            <w:rStyle w:val="TextoNormalCaracter"/>
          </w:rPr>
          <w:t>130/2012</w:t>
        </w:r>
      </w:hyperlink>
      <w:r>
        <w:t>, f. 1.</w:t>
      </w:r>
    </w:p>
    <w:p w:rsidR="0043655B" w:rsidRDefault="0043655B" w:rsidP="0043655B">
      <w:pPr>
        <w:pStyle w:val="SangriaFrancesaArticulo"/>
      </w:pPr>
      <w:r w:rsidRPr="0043655B">
        <w:rPr>
          <w:rStyle w:val="TextoNormalNegritaCaracter"/>
        </w:rPr>
        <w:t>Disposición adicional decimoquinta, apartado 6.</w:t>
      </w:r>
      <w:r w:rsidRPr="0043655B">
        <w:rPr>
          <w:rStyle w:val="TextoNormalCaracter"/>
        </w:rPr>
        <w:t>-</w:t>
      </w:r>
      <w:r>
        <w:t xml:space="preserve"> Sentencia </w:t>
      </w:r>
      <w:hyperlink w:anchor="SENTENCIA_2012_129" w:history="1">
        <w:r w:rsidRPr="0043655B">
          <w:rPr>
            <w:rStyle w:val="TextoNormalCaracter"/>
          </w:rPr>
          <w:t>129/2012</w:t>
        </w:r>
      </w:hyperlink>
      <w:r>
        <w:t>, f. 1.</w:t>
      </w:r>
    </w:p>
    <w:p w:rsidR="0043655B" w:rsidRDefault="0043655B" w:rsidP="0043655B">
      <w:pPr>
        <w:pStyle w:val="SangriaFrancesaArticulo"/>
      </w:pPr>
      <w:r w:rsidRPr="0043655B">
        <w:rPr>
          <w:rStyle w:val="TextoNormalNegritaCaracter"/>
        </w:rPr>
        <w:t>Disposición adicional decimoquinta, apartado 6 inciso 2.</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r w:rsidRPr="0043655B">
        <w:rPr>
          <w:rStyle w:val="TextoNormalNegritaCaracter"/>
        </w:rPr>
        <w:t>Disposición adicional decimoquinta, apartado 6 párrafo 1 in fine.</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r w:rsidRPr="0043655B">
        <w:rPr>
          <w:rStyle w:val="TextoNormalNegritaCaracter"/>
        </w:rPr>
        <w:t>Disposición adicional decimoquinta, apartado 7.</w:t>
      </w:r>
      <w:r w:rsidRPr="0043655B">
        <w:rPr>
          <w:rStyle w:val="TextoNormalCaracter"/>
        </w:rPr>
        <w:t>-</w:t>
      </w:r>
      <w:r>
        <w:t xml:space="preserve"> Sentencias </w:t>
      </w:r>
      <w:hyperlink w:anchor="SENTENCIA_2012_129" w:history="1">
        <w:r w:rsidRPr="0043655B">
          <w:rPr>
            <w:rStyle w:val="TextoNormalCaracter"/>
          </w:rPr>
          <w:t>129/2012</w:t>
        </w:r>
      </w:hyperlink>
      <w:r>
        <w:t xml:space="preserve">, ff. 1, 4; </w:t>
      </w:r>
      <w:hyperlink w:anchor="SENTENCIA_2012_130" w:history="1">
        <w:r w:rsidRPr="0043655B">
          <w:rPr>
            <w:rStyle w:val="TextoNormalCaracter"/>
          </w:rPr>
          <w:t>130/2012</w:t>
        </w:r>
      </w:hyperlink>
      <w:r>
        <w:t>, f. 4.</w:t>
      </w:r>
    </w:p>
    <w:p w:rsidR="0043655B" w:rsidRDefault="0043655B" w:rsidP="0043655B">
      <w:pPr>
        <w:pStyle w:val="SangriaFrancesaArticulo"/>
      </w:pPr>
      <w:r w:rsidRPr="0043655B">
        <w:rPr>
          <w:rStyle w:val="TextoNormalNegritaCaracter"/>
        </w:rPr>
        <w:t>Disposición adicional decimoquinta, apartado 7 párrafo 1.</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r w:rsidRPr="0043655B">
        <w:rPr>
          <w:rStyle w:val="TextoNormalNegritaCaracter"/>
        </w:rPr>
        <w:t>Disposición adicional decimoquinta, apartado 7 párrafo 2.</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r w:rsidRPr="0043655B">
        <w:rPr>
          <w:rStyle w:val="TextoNormalNegritaCaracter"/>
        </w:rPr>
        <w:t>Disposición adicional decimoquinta, apartado 7 último párrafo.</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r w:rsidRPr="0043655B">
        <w:rPr>
          <w:rStyle w:val="TextoNormalNegritaCaracter"/>
        </w:rPr>
        <w:t>Disposición adicional decimoquinta</w:t>
      </w:r>
      <w:r>
        <w:t xml:space="preserve"> </w:t>
      </w:r>
      <w:r w:rsidRPr="0043655B">
        <w:rPr>
          <w:rStyle w:val="TextoNormalCaracter"/>
        </w:rPr>
        <w:t>(redactada por la Ley Orgánica 1/2009, de 3 de noviembre)</w:t>
      </w:r>
      <w:r w:rsidRPr="0043655B">
        <w:rPr>
          <w:rStyle w:val="TextoNormalNegritaCaracter"/>
        </w:rPr>
        <w:t>.</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p>
    <w:p w:rsidR="0043655B" w:rsidRDefault="0043655B" w:rsidP="0043655B">
      <w:pPr>
        <w:pStyle w:val="TextoNormalNegritaCursivandice"/>
      </w:pPr>
      <w:r>
        <w:t>Ley Orgánica 8/1985, de 3 de julio. Reguladora del derecho a la educación</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Disposición adicional primera, apartado 2.</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r w:rsidRPr="0043655B">
        <w:rPr>
          <w:rStyle w:val="TextoNormalNegritaCaracter"/>
        </w:rPr>
        <w:t>Disposición adicional primera, apartado 2 c).</w:t>
      </w:r>
      <w:r w:rsidRPr="0043655B">
        <w:rPr>
          <w:rStyle w:val="TextoNormalCaracter"/>
        </w:rPr>
        <w:t>-</w:t>
      </w:r>
      <w:r>
        <w:t xml:space="preserve"> Sentencia </w:t>
      </w:r>
      <w:hyperlink w:anchor="SENTENCIA_2012_111" w:history="1">
        <w:r w:rsidRPr="0043655B">
          <w:rPr>
            <w:rStyle w:val="TextoNormalCaracter"/>
          </w:rPr>
          <w:t>111/2012</w:t>
        </w:r>
      </w:hyperlink>
      <w:r>
        <w:t>, ff. 8, 10.</w:t>
      </w:r>
    </w:p>
    <w:p w:rsidR="0043655B" w:rsidRDefault="0043655B" w:rsidP="0043655B">
      <w:pPr>
        <w:pStyle w:val="SangriaFrancesaArticulo"/>
      </w:pPr>
      <w:r w:rsidRPr="0043655B">
        <w:rPr>
          <w:rStyle w:val="TextoNormalNegritaCaracter"/>
        </w:rPr>
        <w:t>Disposición final sexta.</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p>
    <w:p w:rsidR="0043655B" w:rsidRDefault="0043655B" w:rsidP="0043655B">
      <w:pPr>
        <w:pStyle w:val="TextoNormalNegritaCursivandice"/>
      </w:pPr>
      <w:r>
        <w:t>Ley Orgánica 10/1985, de 2 de agosto. Autoriza la adhesión de España a las Comunidades Europeas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p>
    <w:p w:rsidR="0043655B" w:rsidRDefault="0043655B" w:rsidP="0043655B">
      <w:pPr>
        <w:pStyle w:val="TextoNormalNegritaCursivandice"/>
      </w:pPr>
      <w:r>
        <w:t>Ley Orgánica 11/1985, de 2 de agosto. Libertad sindical</w:t>
      </w:r>
    </w:p>
    <w:p w:rsidR="0043655B" w:rsidRDefault="0043655B" w:rsidP="0043655B">
      <w:pPr>
        <w:pStyle w:val="SangriaFrancesaArticulo"/>
      </w:pPr>
      <w:r w:rsidRPr="0043655B">
        <w:rPr>
          <w:rStyle w:val="TextoNormalNegritaCaracter"/>
        </w:rPr>
        <w:t>Artículo 2.1 d).</w:t>
      </w:r>
      <w:r w:rsidRPr="0043655B">
        <w:rPr>
          <w:rStyle w:val="TextoNormalCaracter"/>
        </w:rPr>
        <w:t>-</w:t>
      </w:r>
      <w:r>
        <w:t xml:space="preserve"> Sentencia </w:t>
      </w:r>
      <w:hyperlink w:anchor="SENTENCIA_2012_118" w:history="1">
        <w:r w:rsidRPr="0043655B">
          <w:rPr>
            <w:rStyle w:val="TextoNormalCaracter"/>
          </w:rPr>
          <w:t>118/2012</w:t>
        </w:r>
      </w:hyperlink>
      <w:r>
        <w:t>, f. 4.</w:t>
      </w:r>
    </w:p>
    <w:p w:rsidR="0043655B" w:rsidRDefault="0043655B" w:rsidP="0043655B">
      <w:pPr>
        <w:pStyle w:val="SangriaFrancesaArticulo"/>
      </w:pPr>
      <w:r w:rsidRPr="0043655B">
        <w:rPr>
          <w:rStyle w:val="TextoNormalNegritaCaracter"/>
        </w:rPr>
        <w:t>Artículo 2.2 d).</w:t>
      </w:r>
      <w:r w:rsidRPr="0043655B">
        <w:rPr>
          <w:rStyle w:val="TextoNormalCaracter"/>
        </w:rPr>
        <w:t>-</w:t>
      </w:r>
      <w:r>
        <w:t xml:space="preserve"> Sentencia </w:t>
      </w:r>
      <w:hyperlink w:anchor="SENTENCIA_2012_118" w:history="1">
        <w:r w:rsidRPr="0043655B">
          <w:rPr>
            <w:rStyle w:val="TextoNormalCaracter"/>
          </w:rPr>
          <w:t>118/2012</w:t>
        </w:r>
      </w:hyperlink>
      <w:r>
        <w:t>, f. 4.</w:t>
      </w:r>
    </w:p>
    <w:p w:rsidR="0043655B" w:rsidRDefault="0043655B" w:rsidP="0043655B">
      <w:pPr>
        <w:pStyle w:val="SangriaFrancesaArticulo"/>
      </w:pPr>
      <w:r w:rsidRPr="0043655B">
        <w:rPr>
          <w:rStyle w:val="TextoNormalNegritaCaracter"/>
        </w:rPr>
        <w:t>Artículo 6.3 b) y c).</w:t>
      </w:r>
      <w:r w:rsidRPr="0043655B">
        <w:rPr>
          <w:rStyle w:val="TextoNormalCaracter"/>
        </w:rPr>
        <w:t>-</w:t>
      </w:r>
      <w:r>
        <w:t xml:space="preserve"> Sentencia </w:t>
      </w:r>
      <w:hyperlink w:anchor="SENTENCIA_2012_118" w:history="1">
        <w:r w:rsidRPr="0043655B">
          <w:rPr>
            <w:rStyle w:val="TextoNormalCaracter"/>
          </w:rPr>
          <w:t>118/2012</w:t>
        </w:r>
      </w:hyperlink>
      <w:r>
        <w:t>, f. 4.</w:t>
      </w:r>
    </w:p>
    <w:p w:rsidR="0043655B" w:rsidRDefault="0043655B" w:rsidP="0043655B">
      <w:pPr>
        <w:pStyle w:val="SangriaFrancesaArticulo"/>
      </w:pPr>
    </w:p>
    <w:p w:rsidR="0043655B" w:rsidRDefault="0043655B" w:rsidP="0043655B">
      <w:pPr>
        <w:pStyle w:val="TextoNormalNegritaCursivandice"/>
      </w:pPr>
      <w:r>
        <w:t>Ley Orgánica 13/1985, de 9 de diciembre. Código penal militar</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Autos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p>
    <w:p w:rsidR="0043655B" w:rsidRDefault="0043655B" w:rsidP="0043655B">
      <w:pPr>
        <w:pStyle w:val="TextoNormalNegritaCursivandice"/>
      </w:pPr>
      <w:r>
        <w:t>Ley Orgánica 2/1986, de 13 de marzo. Fuerzas y cuerpos de seguridad</w:t>
      </w:r>
    </w:p>
    <w:p w:rsidR="0043655B" w:rsidRDefault="0043655B" w:rsidP="0043655B">
      <w:pPr>
        <w:pStyle w:val="SangriaFrancesaArticulo"/>
      </w:pPr>
      <w:r w:rsidRPr="0043655B">
        <w:rPr>
          <w:rStyle w:val="TextoNormalNegritaCaracter"/>
        </w:rPr>
        <w:t>Artículo 39 c).</w:t>
      </w:r>
      <w:r w:rsidRPr="0043655B">
        <w:rPr>
          <w:rStyle w:val="TextoNormalCaracter"/>
        </w:rPr>
        <w:t>-</w:t>
      </w:r>
      <w:r>
        <w:t xml:space="preserve"> Sentencias </w:t>
      </w:r>
      <w:hyperlink w:anchor="SENTENCIA_2012_2" w:history="1">
        <w:r w:rsidRPr="0043655B">
          <w:rPr>
            <w:rStyle w:val="TextoNormalCaracter"/>
          </w:rPr>
          <w:t>2/2012</w:t>
        </w:r>
      </w:hyperlink>
      <w:r>
        <w:t xml:space="preserve">, f. 3;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f. 5.</w:t>
      </w:r>
    </w:p>
    <w:p w:rsidR="0043655B" w:rsidRDefault="0043655B" w:rsidP="0043655B">
      <w:pPr>
        <w:pStyle w:val="SangriaFrancesaArticulo"/>
      </w:pPr>
    </w:p>
    <w:p w:rsidR="0043655B" w:rsidRDefault="0043655B" w:rsidP="0043655B">
      <w:pPr>
        <w:pStyle w:val="TextoNormalNegritaCursivandice"/>
      </w:pPr>
      <w:r>
        <w:t>Ley Orgánica 4/1986, de 26 de noviembre. Autoriza la ratificación por España del Acta única europea firmada en Luxemburgo el 17 de febrero de 1986</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p>
    <w:p w:rsidR="0043655B" w:rsidRDefault="0043655B" w:rsidP="0043655B">
      <w:pPr>
        <w:pStyle w:val="TextoNormalNegritaCursivandice"/>
      </w:pPr>
      <w:r>
        <w:lastRenderedPageBreak/>
        <w:t>Ley Orgánica 4/1987, de 15 de julio. Competencia y organización de la jurisdicción militar</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p>
    <w:p w:rsidR="0043655B" w:rsidRDefault="0043655B" w:rsidP="0043655B">
      <w:pPr>
        <w:pStyle w:val="TextoNormalNegritaCursivandice"/>
      </w:pPr>
      <w:r>
        <w:t>Ley Orgánica 2/1989, de 13 de abril. Procesal militar</w:t>
      </w:r>
    </w:p>
    <w:p w:rsidR="0043655B" w:rsidRDefault="0043655B" w:rsidP="0043655B">
      <w:pPr>
        <w:pStyle w:val="SangriaFrancesaArticulo"/>
      </w:pPr>
      <w:r w:rsidRPr="0043655B">
        <w:rPr>
          <w:rStyle w:val="TextoNormalNegritaCaracter"/>
        </w:rPr>
        <w:t>Libro IV.</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454.</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463.</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463.2.</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w:t>
      </w:r>
    </w:p>
    <w:p w:rsidR="0043655B" w:rsidRDefault="0043655B" w:rsidP="0043655B">
      <w:pPr>
        <w:pStyle w:val="SangriaFrancesaArticulo"/>
      </w:pPr>
      <w:r w:rsidRPr="0043655B">
        <w:rPr>
          <w:rStyle w:val="TextoNormalNegritaCaracter"/>
        </w:rPr>
        <w:t>Artículo 469.</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495.</w:t>
      </w:r>
      <w:r w:rsidRPr="0043655B">
        <w:rPr>
          <w:rStyle w:val="TextoNormalCaracter"/>
        </w:rPr>
        <w:t>-</w:t>
      </w:r>
      <w:r>
        <w:t xml:space="preserve"> Auto </w:t>
      </w:r>
      <w:hyperlink w:anchor="AUTO_2012_109" w:history="1">
        <w:r w:rsidRPr="0043655B">
          <w:rPr>
            <w:rStyle w:val="TextoNormalCaracter"/>
          </w:rPr>
          <w:t>109/2012</w:t>
        </w:r>
      </w:hyperlink>
      <w:r>
        <w:t>.</w:t>
      </w:r>
    </w:p>
    <w:p w:rsidR="0043655B" w:rsidRDefault="0043655B" w:rsidP="0043655B">
      <w:pPr>
        <w:pStyle w:val="SangriaFrancesaArticulo"/>
      </w:pPr>
      <w:r w:rsidRPr="0043655B">
        <w:rPr>
          <w:rStyle w:val="TextoNormalNegritaCaracter"/>
        </w:rPr>
        <w:t>Artículo 495 b).</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p>
    <w:p w:rsidR="0043655B" w:rsidRDefault="0043655B" w:rsidP="0043655B">
      <w:pPr>
        <w:pStyle w:val="TextoNormalNegritaCursivandice"/>
      </w:pPr>
      <w:r>
        <w:t>Ley Orgánica 1/1990, de 3 de octubre. Ordenación general del sistema educativo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ff. 3, 8.</w:t>
      </w:r>
    </w:p>
    <w:p w:rsidR="0043655B" w:rsidRDefault="0043655B" w:rsidP="0043655B">
      <w:pPr>
        <w:pStyle w:val="SangriaFrancesaArticulo"/>
      </w:pPr>
      <w:r w:rsidRPr="0043655B">
        <w:rPr>
          <w:rStyle w:val="TextoNormalNegritaCaracter"/>
        </w:rPr>
        <w:t>Título I, capítulo IV.</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30.1.</w:t>
      </w:r>
      <w:r w:rsidRPr="0043655B">
        <w:rPr>
          <w:rStyle w:val="TextoNormalCaracter"/>
        </w:rPr>
        <w:t>-</w:t>
      </w:r>
      <w:r>
        <w:t xml:space="preserve"> Sentencia </w:t>
      </w:r>
      <w:hyperlink w:anchor="SENTENCIA_2012_111" w:history="1">
        <w:r w:rsidRPr="0043655B">
          <w:rPr>
            <w:rStyle w:val="TextoNormalCaracter"/>
          </w:rPr>
          <w:t>111/2012</w:t>
        </w:r>
      </w:hyperlink>
      <w:r>
        <w:t>, ff. 3, 7.</w:t>
      </w:r>
    </w:p>
    <w:p w:rsidR="0043655B" w:rsidRDefault="0043655B" w:rsidP="0043655B">
      <w:pPr>
        <w:pStyle w:val="SangriaFrancesaArticulo"/>
      </w:pPr>
      <w:r w:rsidRPr="0043655B">
        <w:rPr>
          <w:rStyle w:val="TextoNormalNegritaCaracter"/>
        </w:rPr>
        <w:t>Artículo 35.1.</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p>
    <w:p w:rsidR="0043655B" w:rsidRDefault="0043655B" w:rsidP="0043655B">
      <w:pPr>
        <w:pStyle w:val="TextoNormalNegritaCursivandice"/>
      </w:pPr>
      <w:r>
        <w:t>Ley Orgánica 10/1992, de 28 de diciembre. Autoriza la ratificación por España del Tratado de la Unión Europea, firmado en Maastricht, el 7 de febrero de 1992.</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 7.</w:t>
      </w:r>
    </w:p>
    <w:p w:rsidR="0043655B" w:rsidRDefault="0043655B" w:rsidP="0043655B">
      <w:pPr>
        <w:pStyle w:val="SangriaFrancesaArticulo"/>
      </w:pPr>
    </w:p>
    <w:p w:rsidR="0043655B" w:rsidRDefault="0043655B" w:rsidP="0043655B">
      <w:pPr>
        <w:pStyle w:val="TextoNormalNegritaCursivandice"/>
      </w:pPr>
      <w:r>
        <w:t>Ley Orgánica 10/1995, de 23 de noviembre. Código penal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ff. 3, 6, 7, VP II; </w:t>
      </w:r>
      <w:hyperlink w:anchor="SENTENCIA_2012_40" w:history="1">
        <w:r w:rsidRPr="0043655B">
          <w:rPr>
            <w:rStyle w:val="TextoNormalCaracter"/>
          </w:rPr>
          <w:t>40/2012</w:t>
        </w:r>
      </w:hyperlink>
      <w:r>
        <w:t xml:space="preserve">, ff. 6, 9, 10, VP II; </w:t>
      </w:r>
      <w:hyperlink w:anchor="SENTENCIA_2012_41" w:history="1">
        <w:r w:rsidRPr="0043655B">
          <w:rPr>
            <w:rStyle w:val="TextoNormalCaracter"/>
          </w:rPr>
          <w:t>41/2012</w:t>
        </w:r>
      </w:hyperlink>
      <w:r>
        <w:t xml:space="preserve">, ff. 6, 9, VP I, VP II, VP IV; </w:t>
      </w:r>
      <w:hyperlink w:anchor="SENTENCIA_2012_42" w:history="1">
        <w:r w:rsidRPr="0043655B">
          <w:rPr>
            <w:rStyle w:val="TextoNormalCaracter"/>
          </w:rPr>
          <w:t>42/2012</w:t>
        </w:r>
      </w:hyperlink>
      <w:r>
        <w:t xml:space="preserve">, ff. 3, 6, 7, 9; </w:t>
      </w:r>
      <w:hyperlink w:anchor="SENTENCIA_2012_43" w:history="1">
        <w:r w:rsidRPr="0043655B">
          <w:rPr>
            <w:rStyle w:val="TextoNormalCaracter"/>
          </w:rPr>
          <w:t>43/2012</w:t>
        </w:r>
      </w:hyperlink>
      <w:r>
        <w:t xml:space="preserve">, ff. 7, 8; </w:t>
      </w:r>
      <w:hyperlink w:anchor="SENTENCIA_2012_44" w:history="1">
        <w:r w:rsidRPr="0043655B">
          <w:rPr>
            <w:rStyle w:val="TextoNormalCaracter"/>
          </w:rPr>
          <w:t>44/2012</w:t>
        </w:r>
      </w:hyperlink>
      <w:r>
        <w:t xml:space="preserve">, ff. 3, 6; </w:t>
      </w:r>
      <w:hyperlink w:anchor="SENTENCIA_2012_45" w:history="1">
        <w:r w:rsidRPr="0043655B">
          <w:rPr>
            <w:rStyle w:val="TextoNormalCaracter"/>
          </w:rPr>
          <w:t>45/2012</w:t>
        </w:r>
      </w:hyperlink>
      <w:r>
        <w:t xml:space="preserve">, ff. 3, 5; </w:t>
      </w:r>
      <w:hyperlink w:anchor="SENTENCIA_2012_46" w:history="1">
        <w:r w:rsidRPr="0043655B">
          <w:rPr>
            <w:rStyle w:val="TextoNormalCaracter"/>
          </w:rPr>
          <w:t>46/2012</w:t>
        </w:r>
      </w:hyperlink>
      <w:r>
        <w:t xml:space="preserve">, ff. 4, 7, 8; </w:t>
      </w:r>
      <w:hyperlink w:anchor="SENTENCIA_2012_47" w:history="1">
        <w:r w:rsidRPr="0043655B">
          <w:rPr>
            <w:rStyle w:val="TextoNormalCaracter"/>
          </w:rPr>
          <w:t>47/2012</w:t>
        </w:r>
      </w:hyperlink>
      <w:r>
        <w:t xml:space="preserve">, f. 6, VP II;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ff. 4, 7;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ff. 4, 7;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ff. 4, 8; </w:t>
      </w:r>
      <w:hyperlink w:anchor="SENTENCIA_2012_55" w:history="1">
        <w:r w:rsidRPr="0043655B">
          <w:rPr>
            <w:rStyle w:val="TextoNormalCaracter"/>
          </w:rPr>
          <w:t>55/2012</w:t>
        </w:r>
      </w:hyperlink>
      <w:r>
        <w:t xml:space="preserve">, ff. 5, 8; </w:t>
      </w:r>
      <w:hyperlink w:anchor="SENTENCIA_2012_56" w:history="1">
        <w:r w:rsidRPr="0043655B">
          <w:rPr>
            <w:rStyle w:val="TextoNormalCaracter"/>
          </w:rPr>
          <w:t>56/2012</w:t>
        </w:r>
      </w:hyperlink>
      <w:r>
        <w:t xml:space="preserve">, ff. 2, 5; </w:t>
      </w:r>
      <w:hyperlink w:anchor="SENTENCIA_2012_57" w:history="1">
        <w:r w:rsidRPr="0043655B">
          <w:rPr>
            <w:rStyle w:val="TextoNormalCaracter"/>
          </w:rPr>
          <w:t>57/2012</w:t>
        </w:r>
      </w:hyperlink>
      <w:r>
        <w:t xml:space="preserve">, ff. 3, 6, 7;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ff. 3 a 6;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IzquierdaArticulo"/>
      </w:pPr>
      <w:r>
        <w:t xml:space="preserve">Auto </w:t>
      </w:r>
      <w:hyperlink w:anchor="AUTO_2012_126" w:history="1">
        <w:r w:rsidRPr="0043655B">
          <w:rPr>
            <w:rStyle w:val="TextoNormalCaracter"/>
          </w:rPr>
          <w:t>126/2012</w:t>
        </w:r>
      </w:hyperlink>
      <w:r>
        <w:t>.</w:t>
      </w:r>
    </w:p>
    <w:p w:rsidR="0043655B" w:rsidRDefault="0043655B" w:rsidP="0043655B">
      <w:pPr>
        <w:pStyle w:val="SangriaFrancesaArticulo"/>
      </w:pPr>
      <w:r w:rsidRPr="0043655B">
        <w:rPr>
          <w:rStyle w:val="TextoNormalNegritaCaracter"/>
        </w:rPr>
        <w:t>En general</w:t>
      </w:r>
      <w:r>
        <w:t xml:space="preserve"> </w:t>
      </w:r>
      <w:r w:rsidRPr="0043655B">
        <w:rPr>
          <w:rStyle w:val="TextoNormalCaracter"/>
        </w:rPr>
        <w:t>(redactado por la Ley Orgánica 5/2010, de 22 de junio)</w:t>
      </w:r>
      <w:r w:rsidRPr="0043655B">
        <w:rPr>
          <w:rStyle w:val="TextoNormalNegritaCaracter"/>
        </w:rPr>
        <w:t>.</w:t>
      </w:r>
      <w:r w:rsidRPr="0043655B">
        <w:rPr>
          <w:rStyle w:val="TextoNormalCaracter"/>
        </w:rPr>
        <w:t>-</w:t>
      </w:r>
      <w:r>
        <w:t xml:space="preserve"> Sentencia </w:t>
      </w:r>
      <w:hyperlink w:anchor="SENTENCIA_2012_70" w:history="1">
        <w:r w:rsidRPr="0043655B">
          <w:rPr>
            <w:rStyle w:val="TextoNormalCaracter"/>
          </w:rPr>
          <w:t>70/2012</w:t>
        </w:r>
      </w:hyperlink>
      <w:r>
        <w:t>, f. 3.</w:t>
      </w:r>
    </w:p>
    <w:p w:rsidR="0043655B" w:rsidRDefault="0043655B" w:rsidP="0043655B">
      <w:pPr>
        <w:pStyle w:val="SangriaFrancesaArticulo"/>
      </w:pPr>
      <w:r w:rsidRPr="0043655B">
        <w:rPr>
          <w:rStyle w:val="TextoNormalNegritaCaracter"/>
        </w:rPr>
        <w:t>Libro II, título XVI, capítulo IV.</w:t>
      </w:r>
      <w:r w:rsidRPr="0043655B">
        <w:rPr>
          <w:rStyle w:val="TextoNormalCaracter"/>
        </w:rPr>
        <w:t>-</w:t>
      </w:r>
      <w:r>
        <w:t xml:space="preserve"> Sentencia </w:t>
      </w:r>
      <w:hyperlink w:anchor="SENTENCIA_2012_101" w:history="1">
        <w:r w:rsidRPr="0043655B">
          <w:rPr>
            <w:rStyle w:val="TextoNormalCaracter"/>
          </w:rPr>
          <w:t>101/2012</w:t>
        </w:r>
      </w:hyperlink>
      <w:r>
        <w:t>, f. 5.</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Sentencias </w:t>
      </w:r>
      <w:hyperlink w:anchor="SENTENCIA_2012_40" w:history="1">
        <w:r w:rsidRPr="0043655B">
          <w:rPr>
            <w:rStyle w:val="TextoNormalCaracter"/>
          </w:rPr>
          <w:t>40/2012</w:t>
        </w:r>
      </w:hyperlink>
      <w:r>
        <w:t xml:space="preserve">, f. 9; </w:t>
      </w:r>
      <w:hyperlink w:anchor="SENTENCIA_2012_41" w:history="1">
        <w:r w:rsidRPr="0043655B">
          <w:rPr>
            <w:rStyle w:val="TextoNormalCaracter"/>
          </w:rPr>
          <w:t>41/2012</w:t>
        </w:r>
      </w:hyperlink>
      <w:r>
        <w:t xml:space="preserve">, f. 8; </w:t>
      </w:r>
      <w:hyperlink w:anchor="SENTENCIA_2012_44" w:history="1">
        <w:r w:rsidRPr="0043655B">
          <w:rPr>
            <w:rStyle w:val="TextoNormalCaracter"/>
          </w:rPr>
          <w:t>44/2012</w:t>
        </w:r>
      </w:hyperlink>
      <w:r>
        <w:t xml:space="preserve">, f. 5; </w:t>
      </w:r>
      <w:hyperlink w:anchor="SENTENCIA_2012_46" w:history="1">
        <w:r w:rsidRPr="0043655B">
          <w:rPr>
            <w:rStyle w:val="TextoNormalCaracter"/>
          </w:rPr>
          <w:t>46/2012</w:t>
        </w:r>
      </w:hyperlink>
      <w:r>
        <w:t xml:space="preserve">, f. 7; </w:t>
      </w:r>
      <w:hyperlink w:anchor="SENTENCIA_2012_51" w:history="1">
        <w:r w:rsidRPr="0043655B">
          <w:rPr>
            <w:rStyle w:val="TextoNormalCaracter"/>
          </w:rPr>
          <w:t>51/2012</w:t>
        </w:r>
      </w:hyperlink>
      <w:r>
        <w:t xml:space="preserve">, f. 6; </w:t>
      </w:r>
      <w:hyperlink w:anchor="SENTENCIA_2012_52" w:history="1">
        <w:r w:rsidRPr="0043655B">
          <w:rPr>
            <w:rStyle w:val="TextoNormalCaracter"/>
          </w:rPr>
          <w:t>52/2012</w:t>
        </w:r>
      </w:hyperlink>
      <w:r>
        <w:t xml:space="preserve">, f. 5; </w:t>
      </w:r>
      <w:hyperlink w:anchor="SENTENCIA_2012_56" w:history="1">
        <w:r w:rsidRPr="0043655B">
          <w:rPr>
            <w:rStyle w:val="TextoNormalCaracter"/>
          </w:rPr>
          <w:t>56/2012</w:t>
        </w:r>
      </w:hyperlink>
      <w:r>
        <w:t xml:space="preserve">, f. 4; </w:t>
      </w:r>
      <w:hyperlink w:anchor="SENTENCIA_2012_66" w:history="1">
        <w:r w:rsidRPr="0043655B">
          <w:rPr>
            <w:rStyle w:val="TextoNormalCaracter"/>
          </w:rPr>
          <w:t>66/2012</w:t>
        </w:r>
      </w:hyperlink>
      <w:r>
        <w:t xml:space="preserve">, f. 5; </w:t>
      </w:r>
      <w:hyperlink w:anchor="SENTENCIA_2012_101" w:history="1">
        <w:r w:rsidRPr="0043655B">
          <w:rPr>
            <w:rStyle w:val="TextoNormalCaracter"/>
          </w:rPr>
          <w:t>101/2012</w:t>
        </w:r>
      </w:hyperlink>
      <w:r>
        <w:t>, f. 2.</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Auto </w:t>
      </w:r>
      <w:hyperlink w:anchor="AUTO_2012_44" w:history="1">
        <w:r w:rsidRPr="0043655B">
          <w:rPr>
            <w:rStyle w:val="TextoNormalCaracter"/>
          </w:rPr>
          <w:t>44/2012</w:t>
        </w:r>
      </w:hyperlink>
      <w:r>
        <w:t>.</w:t>
      </w:r>
    </w:p>
    <w:p w:rsidR="0043655B" w:rsidRDefault="0043655B" w:rsidP="0043655B">
      <w:pPr>
        <w:pStyle w:val="SangriaFrancesaArticulo"/>
      </w:pPr>
      <w:r w:rsidRPr="0043655B">
        <w:rPr>
          <w:rStyle w:val="TextoNormalNegritaCaracter"/>
        </w:rPr>
        <w:t>Artículo 44.1 c).</w:t>
      </w:r>
      <w:r w:rsidRPr="0043655B">
        <w:rPr>
          <w:rStyle w:val="TextoNormalCaracter"/>
        </w:rPr>
        <w:t>-</w:t>
      </w:r>
      <w:r>
        <w:t xml:space="preserve"> Sentencia </w:t>
      </w:r>
      <w:hyperlink w:anchor="SENTENCIA_2012_46" w:history="1">
        <w:r w:rsidRPr="0043655B">
          <w:rPr>
            <w:rStyle w:val="TextoNormalCaracter"/>
          </w:rPr>
          <w:t>46/2012</w:t>
        </w:r>
      </w:hyperlink>
      <w:r>
        <w:t>, f. 2.</w:t>
      </w:r>
    </w:p>
    <w:p w:rsidR="0043655B" w:rsidRDefault="0043655B" w:rsidP="0043655B">
      <w:pPr>
        <w:pStyle w:val="SangriaFrancesaArticulo"/>
      </w:pPr>
      <w:r w:rsidRPr="0043655B">
        <w:rPr>
          <w:rStyle w:val="TextoNormalNegritaCaracter"/>
        </w:rPr>
        <w:t>Artículo 58.</w:t>
      </w:r>
      <w:r w:rsidRPr="0043655B">
        <w:rPr>
          <w:rStyle w:val="TextoNormalCaracter"/>
        </w:rPr>
        <w:t>-</w:t>
      </w:r>
      <w:r>
        <w:t xml:space="preserve"> Sentencia </w:t>
      </w:r>
      <w:hyperlink w:anchor="SENTENCIA_2012_92" w:history="1">
        <w:r w:rsidRPr="0043655B">
          <w:rPr>
            <w:rStyle w:val="TextoNormalCaracter"/>
          </w:rPr>
          <w:t>92/2012</w:t>
        </w:r>
      </w:hyperlink>
      <w:r>
        <w:t>, f. 3.</w:t>
      </w:r>
    </w:p>
    <w:p w:rsidR="0043655B" w:rsidRDefault="0043655B" w:rsidP="0043655B">
      <w:pPr>
        <w:pStyle w:val="SangriaFrancesaArticulo"/>
      </w:pPr>
      <w:r w:rsidRPr="0043655B">
        <w:rPr>
          <w:rStyle w:val="TextoNormalNegritaCaracter"/>
        </w:rPr>
        <w:t>Artículo 58.1</w:t>
      </w:r>
      <w:r>
        <w:t xml:space="preserve"> </w:t>
      </w:r>
      <w:r w:rsidRPr="0043655B">
        <w:rPr>
          <w:rStyle w:val="TextoNormalCaracter"/>
        </w:rPr>
        <w:t>(redactado por la Ley Orgánica 15/2003, de 25 de noviembre</w:t>
      </w:r>
      <w:r w:rsidRPr="0043655B">
        <w:rPr>
          <w:rStyle w:val="TextoNormalNegritaCaracter"/>
        </w:rPr>
        <w:t>.</w:t>
      </w:r>
      <w:r w:rsidRPr="0043655B">
        <w:rPr>
          <w:rStyle w:val="TextoNormalCaracter"/>
        </w:rPr>
        <w:t>-</w:t>
      </w:r>
      <w:r>
        <w:t xml:space="preserve"> Sentencia </w:t>
      </w:r>
      <w:hyperlink w:anchor="SENTENCIA_2012_92" w:history="1">
        <w:r w:rsidRPr="0043655B">
          <w:rPr>
            <w:rStyle w:val="TextoNormalCaracter"/>
          </w:rPr>
          <w:t>92/2012</w:t>
        </w:r>
      </w:hyperlink>
      <w:r>
        <w:t>, ff. 4, 5.</w:t>
      </w:r>
    </w:p>
    <w:p w:rsidR="0043655B" w:rsidRDefault="0043655B" w:rsidP="0043655B">
      <w:pPr>
        <w:pStyle w:val="SangriaFrancesaArticulo"/>
      </w:pPr>
      <w:r w:rsidRPr="0043655B">
        <w:rPr>
          <w:rStyle w:val="TextoNormalNegritaCaracter"/>
        </w:rPr>
        <w:t>Artículo 70.1.</w:t>
      </w:r>
      <w:r w:rsidRPr="0043655B">
        <w:rPr>
          <w:rStyle w:val="TextoNormalCaracter"/>
        </w:rPr>
        <w:t>-</w:t>
      </w:r>
      <w:r>
        <w:t xml:space="preserve"> Sentencia </w:t>
      </w:r>
      <w:hyperlink w:anchor="SENTENCIA_2012_61" w:history="1">
        <w:r w:rsidRPr="0043655B">
          <w:rPr>
            <w:rStyle w:val="TextoNormalCaracter"/>
          </w:rPr>
          <w:t>61/2012</w:t>
        </w:r>
      </w:hyperlink>
      <w:r>
        <w:t>, f. 6.</w:t>
      </w:r>
    </w:p>
    <w:p w:rsidR="0043655B" w:rsidRDefault="0043655B" w:rsidP="0043655B">
      <w:pPr>
        <w:pStyle w:val="SangriaFrancesaArticulo"/>
      </w:pPr>
      <w:r w:rsidRPr="0043655B">
        <w:rPr>
          <w:rStyle w:val="TextoNormalNegritaCaracter"/>
        </w:rPr>
        <w:t>Artículo 70.2.</w:t>
      </w:r>
      <w:r w:rsidRPr="0043655B">
        <w:rPr>
          <w:rStyle w:val="TextoNormalCaracter"/>
        </w:rPr>
        <w:t>-</w:t>
      </w:r>
      <w:r>
        <w:t xml:space="preserve"> Sentencia </w:t>
      </w:r>
      <w:hyperlink w:anchor="SENTENCIA_2012_61" w:history="1">
        <w:r w:rsidRPr="0043655B">
          <w:rPr>
            <w:rStyle w:val="TextoNormalCaracter"/>
          </w:rPr>
          <w:t>61/2012</w:t>
        </w:r>
      </w:hyperlink>
      <w:r>
        <w:t>, f. 6.</w:t>
      </w:r>
    </w:p>
    <w:p w:rsidR="0043655B" w:rsidRDefault="0043655B" w:rsidP="0043655B">
      <w:pPr>
        <w:pStyle w:val="SangriaFrancesaArticulo"/>
      </w:pPr>
      <w:r w:rsidRPr="0043655B">
        <w:rPr>
          <w:rStyle w:val="TextoNormalNegritaCaracter"/>
        </w:rPr>
        <w:t>Artículo 76.</w:t>
      </w:r>
      <w:r w:rsidRPr="0043655B">
        <w:rPr>
          <w:rStyle w:val="TextoNormalCaracter"/>
        </w:rPr>
        <w:t>-</w:t>
      </w:r>
      <w:r>
        <w:t xml:space="preserve"> Sentencias </w:t>
      </w:r>
      <w:hyperlink w:anchor="SENTENCIA_2012_39" w:history="1">
        <w:r w:rsidRPr="0043655B">
          <w:rPr>
            <w:rStyle w:val="TextoNormalCaracter"/>
          </w:rPr>
          <w:t>39/2012</w:t>
        </w:r>
      </w:hyperlink>
      <w:r>
        <w:t xml:space="preserve">, f. 7,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xml:space="preserve">, VP II; </w:t>
      </w:r>
      <w:hyperlink w:anchor="SENTENCIA_2012_57" w:history="1">
        <w:r w:rsidRPr="0043655B">
          <w:rPr>
            <w:rStyle w:val="TextoNormalCaracter"/>
          </w:rPr>
          <w:t>57/2012</w:t>
        </w:r>
      </w:hyperlink>
      <w:r>
        <w:t xml:space="preserve">, f. 7; </w:t>
      </w:r>
      <w:hyperlink w:anchor="SENTENCIA_2012_113" w:history="1">
        <w:r w:rsidRPr="0043655B">
          <w:rPr>
            <w:rStyle w:val="TextoNormalCaracter"/>
          </w:rPr>
          <w:t>113/2012</w:t>
        </w:r>
      </w:hyperlink>
      <w:r>
        <w:t>, ff. 10, 11.</w:t>
      </w:r>
    </w:p>
    <w:p w:rsidR="0043655B" w:rsidRDefault="0043655B" w:rsidP="0043655B">
      <w:pPr>
        <w:pStyle w:val="SangriaIzquierdaArticulo"/>
      </w:pPr>
      <w:r>
        <w:t xml:space="preserve">Auto </w:t>
      </w:r>
      <w:hyperlink w:anchor="AUTO_2012_44" w:history="1">
        <w:r w:rsidRPr="0043655B">
          <w:rPr>
            <w:rStyle w:val="TextoNormalCaracter"/>
          </w:rPr>
          <w:t>44/2012</w:t>
        </w:r>
      </w:hyperlink>
      <w:r>
        <w:t>.</w:t>
      </w:r>
    </w:p>
    <w:p w:rsidR="0043655B" w:rsidRDefault="0043655B" w:rsidP="0043655B">
      <w:pPr>
        <w:pStyle w:val="SangriaFrancesaArticulo"/>
      </w:pPr>
      <w:r w:rsidRPr="0043655B">
        <w:rPr>
          <w:rStyle w:val="TextoNormalNegritaCaracter"/>
        </w:rPr>
        <w:t>Artículo 76.1.</w:t>
      </w:r>
      <w:r w:rsidRPr="0043655B">
        <w:rPr>
          <w:rStyle w:val="TextoNormalCaracter"/>
        </w:rPr>
        <w:t>-</w:t>
      </w:r>
      <w:r>
        <w:t xml:space="preserve"> Sentencia </w:t>
      </w:r>
      <w:hyperlink w:anchor="SENTENCIA_2012_41" w:history="1">
        <w:r w:rsidRPr="0043655B">
          <w:rPr>
            <w:rStyle w:val="TextoNormalCaracter"/>
          </w:rPr>
          <w:t>41/2012</w:t>
        </w:r>
      </w:hyperlink>
      <w:r>
        <w:t>, VP II.</w:t>
      </w:r>
    </w:p>
    <w:p w:rsidR="0043655B" w:rsidRDefault="0043655B" w:rsidP="0043655B">
      <w:pPr>
        <w:pStyle w:val="SangriaFrancesaArticulo"/>
      </w:pPr>
      <w:r w:rsidRPr="0043655B">
        <w:rPr>
          <w:rStyle w:val="TextoNormalNegritaCaracter"/>
        </w:rPr>
        <w:lastRenderedPageBreak/>
        <w:t>Artículo 76.1 a)</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 </w:t>
      </w:r>
      <w:hyperlink w:anchor="SENTENCIA_2012_57" w:history="1">
        <w:r w:rsidRPr="0043655B">
          <w:rPr>
            <w:rStyle w:val="TextoNormalCaracter"/>
          </w:rPr>
          <w:t>57/2012</w:t>
        </w:r>
      </w:hyperlink>
      <w:r>
        <w:t>, f. 6.</w:t>
      </w:r>
    </w:p>
    <w:p w:rsidR="0043655B" w:rsidRDefault="0043655B" w:rsidP="0043655B">
      <w:pPr>
        <w:pStyle w:val="SangriaFrancesaArticulo"/>
      </w:pPr>
      <w:r w:rsidRPr="0043655B">
        <w:rPr>
          <w:rStyle w:val="TextoNormalNegritaCaracter"/>
        </w:rPr>
        <w:t>Artículo 76.1 b).</w:t>
      </w:r>
      <w:r w:rsidRPr="0043655B">
        <w:rPr>
          <w:rStyle w:val="TextoNormalCaracter"/>
        </w:rPr>
        <w:t>-</w:t>
      </w:r>
      <w:r>
        <w:t xml:space="preserve"> Sentencias </w:t>
      </w:r>
      <w:hyperlink w:anchor="SENTENCIA_2012_44" w:history="1">
        <w:r w:rsidRPr="0043655B">
          <w:rPr>
            <w:rStyle w:val="TextoNormalCaracter"/>
          </w:rPr>
          <w:t>44/2012</w:t>
        </w:r>
      </w:hyperlink>
      <w:r>
        <w:t xml:space="preserve">, f. 5; </w:t>
      </w:r>
      <w:hyperlink w:anchor="SENTENCIA_2012_49" w:history="1">
        <w:r w:rsidRPr="0043655B">
          <w:rPr>
            <w:rStyle w:val="TextoNormalCaracter"/>
          </w:rPr>
          <w:t>49/2012</w:t>
        </w:r>
      </w:hyperlink>
      <w:r>
        <w:t>, f. 7.</w:t>
      </w:r>
    </w:p>
    <w:p w:rsidR="0043655B" w:rsidRDefault="0043655B" w:rsidP="0043655B">
      <w:pPr>
        <w:pStyle w:val="SangriaFrancesaArticulo"/>
      </w:pPr>
      <w:r w:rsidRPr="0043655B">
        <w:rPr>
          <w:rStyle w:val="TextoNormalNegritaCaracter"/>
        </w:rPr>
        <w:t>Artículo 76.1 b)</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 </w:t>
      </w:r>
      <w:hyperlink w:anchor="SENTENCIA_2012_40" w:history="1">
        <w:r w:rsidRPr="0043655B">
          <w:rPr>
            <w:rStyle w:val="TextoNormalCaracter"/>
          </w:rPr>
          <w:t>40/2012</w:t>
        </w:r>
      </w:hyperlink>
      <w:r>
        <w:t>, f. 9.</w:t>
      </w:r>
    </w:p>
    <w:p w:rsidR="0043655B" w:rsidRDefault="0043655B" w:rsidP="0043655B">
      <w:pPr>
        <w:pStyle w:val="SangriaFrancesaArticulo"/>
      </w:pPr>
      <w:r w:rsidRPr="0043655B">
        <w:rPr>
          <w:rStyle w:val="TextoNormalNegritaCaracter"/>
        </w:rPr>
        <w:t>Artículo 76.2.</w:t>
      </w:r>
      <w:r w:rsidRPr="0043655B">
        <w:rPr>
          <w:rStyle w:val="TextoNormalCaracter"/>
        </w:rPr>
        <w:t>-</w:t>
      </w:r>
      <w:r>
        <w:t xml:space="preserve"> Sentencia </w:t>
      </w:r>
      <w:hyperlink w:anchor="SENTENCIA_2012_45" w:history="1">
        <w:r w:rsidRPr="0043655B">
          <w:rPr>
            <w:rStyle w:val="TextoNormalCaracter"/>
          </w:rPr>
          <w:t>45/2012</w:t>
        </w:r>
      </w:hyperlink>
      <w:r>
        <w:t>, f. 6.</w:t>
      </w:r>
    </w:p>
    <w:p w:rsidR="0043655B" w:rsidRDefault="0043655B" w:rsidP="0043655B">
      <w:pPr>
        <w:pStyle w:val="SangriaFrancesaArticulo"/>
      </w:pPr>
      <w:r w:rsidRPr="0043655B">
        <w:rPr>
          <w:rStyle w:val="TextoNormalNegritaCaracter"/>
        </w:rPr>
        <w:t>Artículo 78.</w:t>
      </w:r>
      <w:r w:rsidRPr="0043655B">
        <w:rPr>
          <w:rStyle w:val="TextoNormalCaracter"/>
        </w:rPr>
        <w:t>-</w:t>
      </w:r>
      <w:r>
        <w:t xml:space="preserve"> Sentencias </w:t>
      </w:r>
      <w:hyperlink w:anchor="SENTENCIA_2012_39" w:history="1">
        <w:r w:rsidRPr="0043655B">
          <w:rPr>
            <w:rStyle w:val="TextoNormalCaracter"/>
          </w:rPr>
          <w:t>39/2012</w:t>
        </w:r>
      </w:hyperlink>
      <w:r>
        <w:t xml:space="preserve">, f. 3, VP II; </w:t>
      </w:r>
      <w:hyperlink w:anchor="SENTENCIA_2012_40" w:history="1">
        <w:r w:rsidRPr="0043655B">
          <w:rPr>
            <w:rStyle w:val="TextoNormalCaracter"/>
          </w:rPr>
          <w:t>40/2012</w:t>
        </w:r>
      </w:hyperlink>
      <w:r>
        <w:t xml:space="preserve">, ff. 3, 6, VP II; </w:t>
      </w:r>
      <w:hyperlink w:anchor="SENTENCIA_2012_41" w:history="1">
        <w:r w:rsidRPr="0043655B">
          <w:rPr>
            <w:rStyle w:val="TextoNormalCaracter"/>
          </w:rPr>
          <w:t>41/2012</w:t>
        </w:r>
      </w:hyperlink>
      <w:r>
        <w:t xml:space="preserve">, ff. 4, 6;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VP II;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r w:rsidRPr="0043655B">
        <w:rPr>
          <w:rStyle w:val="TextoNormalNegritaCaracter"/>
        </w:rPr>
        <w:t>Artículo 78</w:t>
      </w:r>
      <w:r>
        <w:t xml:space="preserve"> </w:t>
      </w:r>
      <w:r w:rsidRPr="0043655B">
        <w:rPr>
          <w:rStyle w:val="TextoNormalCaracter"/>
        </w:rPr>
        <w:t>(redactado por la Ley Orgánica 2/2003, de 30 de junio)</w:t>
      </w:r>
      <w:r w:rsidRPr="0043655B">
        <w:rPr>
          <w:rStyle w:val="TextoNormalNegritaCaracter"/>
        </w:rPr>
        <w:t>.</w:t>
      </w:r>
      <w:r w:rsidRPr="0043655B">
        <w:rPr>
          <w:rStyle w:val="TextoNormalCaracter"/>
        </w:rPr>
        <w:t>-</w:t>
      </w:r>
      <w:r>
        <w:t xml:space="preserve"> Sentencia </w:t>
      </w:r>
      <w:hyperlink w:anchor="SENTENCIA_2012_50" w:history="1">
        <w:r w:rsidRPr="0043655B">
          <w:rPr>
            <w:rStyle w:val="TextoNormalCaracter"/>
          </w:rPr>
          <w:t>50/2012</w:t>
        </w:r>
      </w:hyperlink>
      <w:r>
        <w:t>, f. 4.</w:t>
      </w:r>
    </w:p>
    <w:p w:rsidR="0043655B" w:rsidRDefault="0043655B" w:rsidP="0043655B">
      <w:pPr>
        <w:pStyle w:val="SangriaFrancesaArticulo"/>
      </w:pPr>
      <w:r w:rsidRPr="0043655B">
        <w:rPr>
          <w:rStyle w:val="TextoNormalNegritaCaracter"/>
        </w:rPr>
        <w:t>Artículo 78</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Sentencias </w:t>
      </w:r>
      <w:hyperlink w:anchor="SENTENCIA_2012_39" w:history="1">
        <w:r w:rsidRPr="0043655B">
          <w:rPr>
            <w:rStyle w:val="TextoNormalCaracter"/>
          </w:rPr>
          <w:t>39/2012</w:t>
        </w:r>
      </w:hyperlink>
      <w:r>
        <w:t xml:space="preserve">, f. 3, VP I;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ff. 3, 6; </w:t>
      </w:r>
      <w:hyperlink w:anchor="SENTENCIA_2012_61" w:history="1">
        <w:r w:rsidRPr="0043655B">
          <w:rPr>
            <w:rStyle w:val="TextoNormalCaracter"/>
          </w:rPr>
          <w:t>61/2012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r w:rsidRPr="0043655B">
        <w:rPr>
          <w:rStyle w:val="TextoNormalNegritaCaracter"/>
        </w:rPr>
        <w:t>Artículo 78.1.</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13" w:history="1">
        <w:r w:rsidRPr="0043655B">
          <w:rPr>
            <w:rStyle w:val="TextoNormalCaracter"/>
          </w:rPr>
          <w:t>113/2012</w:t>
        </w:r>
      </w:hyperlink>
      <w:r>
        <w:t>, f. 6.</w:t>
      </w:r>
    </w:p>
    <w:p w:rsidR="0043655B" w:rsidRDefault="0043655B" w:rsidP="0043655B">
      <w:pPr>
        <w:pStyle w:val="SangriaFrancesaArticulo"/>
      </w:pPr>
      <w:r w:rsidRPr="0043655B">
        <w:rPr>
          <w:rStyle w:val="TextoNormalNegritaCaracter"/>
        </w:rPr>
        <w:t>Artículo 78.1</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Sentencias </w:t>
      </w:r>
      <w:hyperlink w:anchor="SENTENCIA_2012_108" w:history="1">
        <w:r w:rsidRPr="0043655B">
          <w:rPr>
            <w:rStyle w:val="TextoNormalCaracter"/>
          </w:rPr>
          <w:t>108/2012</w:t>
        </w:r>
      </w:hyperlink>
      <w:r>
        <w:t xml:space="preserve">, f. 4; </w:t>
      </w:r>
      <w:hyperlink w:anchor="SENTENCIA_2012_114" w:history="1">
        <w:r w:rsidRPr="0043655B">
          <w:rPr>
            <w:rStyle w:val="TextoNormalCaracter"/>
          </w:rPr>
          <w:t>114/2012</w:t>
        </w:r>
      </w:hyperlink>
      <w:r>
        <w:t>, f. 3.</w:t>
      </w:r>
    </w:p>
    <w:p w:rsidR="0043655B" w:rsidRDefault="0043655B" w:rsidP="0043655B">
      <w:pPr>
        <w:pStyle w:val="SangriaFrancesaArticulo"/>
      </w:pPr>
      <w:r w:rsidRPr="0043655B">
        <w:rPr>
          <w:rStyle w:val="TextoNormalNegritaCaracter"/>
        </w:rPr>
        <w:t>Artículo 78.2.</w:t>
      </w:r>
      <w:r w:rsidRPr="0043655B">
        <w:rPr>
          <w:rStyle w:val="TextoNormalCaracter"/>
        </w:rPr>
        <w:t>-</w:t>
      </w:r>
      <w:r>
        <w:t xml:space="preserve"> Sentencias </w:t>
      </w:r>
      <w:hyperlink w:anchor="SENTENCIA_2012_43" w:history="1">
        <w:r w:rsidRPr="0043655B">
          <w:rPr>
            <w:rStyle w:val="TextoNormalCaracter"/>
          </w:rPr>
          <w:t>43/2012</w:t>
        </w:r>
      </w:hyperlink>
      <w:r>
        <w:t xml:space="preserve">, f. 4; </w:t>
      </w:r>
      <w:hyperlink w:anchor="SENTENCIA_2012_46" w:history="1">
        <w:r w:rsidRPr="0043655B">
          <w:rPr>
            <w:rStyle w:val="TextoNormalCaracter"/>
          </w:rPr>
          <w:t>46/2012</w:t>
        </w:r>
      </w:hyperlink>
      <w:r>
        <w:t xml:space="preserve">, f. 4; </w:t>
      </w:r>
      <w:hyperlink w:anchor="SENTENCIA_2012_54" w:history="1">
        <w:r w:rsidRPr="0043655B">
          <w:rPr>
            <w:rStyle w:val="TextoNormalCaracter"/>
          </w:rPr>
          <w:t>54/2012</w:t>
        </w:r>
      </w:hyperlink>
      <w:r>
        <w:t xml:space="preserve">, f. 4; </w:t>
      </w:r>
      <w:hyperlink w:anchor="SENTENCIA_2012_113" w:history="1">
        <w:r w:rsidRPr="0043655B">
          <w:rPr>
            <w:rStyle w:val="TextoNormalCaracter"/>
          </w:rPr>
          <w:t>113/2012</w:t>
        </w:r>
      </w:hyperlink>
      <w:r>
        <w:t>, f. 6.</w:t>
      </w:r>
    </w:p>
    <w:p w:rsidR="0043655B" w:rsidRDefault="0043655B" w:rsidP="0043655B">
      <w:pPr>
        <w:pStyle w:val="SangriaFrancesaArticulo"/>
      </w:pPr>
      <w:r w:rsidRPr="0043655B">
        <w:rPr>
          <w:rStyle w:val="TextoNormalNegritaCaracter"/>
        </w:rPr>
        <w:t>Artículo 78.2</w:t>
      </w:r>
      <w:r>
        <w:t xml:space="preserve"> </w:t>
      </w:r>
      <w:r w:rsidRPr="0043655B">
        <w:rPr>
          <w:rStyle w:val="TextoNormalCaracter"/>
        </w:rPr>
        <w:t>(redactado por la Ley Orgánica 2/2003, de 30 de junio)</w:t>
      </w:r>
      <w:r w:rsidRPr="0043655B">
        <w:rPr>
          <w:rStyle w:val="TextoNormalNegritaCaracter"/>
        </w:rPr>
        <w:t>.</w:t>
      </w:r>
      <w:r w:rsidRPr="0043655B">
        <w:rPr>
          <w:rStyle w:val="TextoNormalCaracter"/>
        </w:rPr>
        <w:t>-</w:t>
      </w:r>
      <w:r>
        <w:t xml:space="preserve"> Sentencia </w:t>
      </w:r>
      <w:hyperlink w:anchor="SENTENCIA_2012_50" w:history="1">
        <w:r w:rsidRPr="0043655B">
          <w:rPr>
            <w:rStyle w:val="TextoNormalCaracter"/>
          </w:rPr>
          <w:t>50/2012</w:t>
        </w:r>
      </w:hyperlink>
      <w:r>
        <w:t>, f. 4.</w:t>
      </w:r>
    </w:p>
    <w:p w:rsidR="0043655B" w:rsidRDefault="0043655B" w:rsidP="0043655B">
      <w:pPr>
        <w:pStyle w:val="SangriaFrancesaArticulo"/>
      </w:pPr>
      <w:r w:rsidRPr="0043655B">
        <w:rPr>
          <w:rStyle w:val="TextoNormalNegritaCaracter"/>
        </w:rPr>
        <w:t>Artículo 78.2</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w:t>
      </w:r>
      <w:hyperlink w:anchor="SENTENCIA_2012_42" w:history="1">
        <w:r w:rsidRPr="0043655B">
          <w:rPr>
            <w:rStyle w:val="TextoNormalCaracter"/>
          </w:rPr>
          <w:t>42/2012</w:t>
        </w:r>
      </w:hyperlink>
      <w:r>
        <w:t xml:space="preserve">, f. 6;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4" w:history="1">
        <w:r w:rsidRPr="0043655B">
          <w:rPr>
            <w:rStyle w:val="TextoNormalCaracter"/>
          </w:rPr>
          <w:t>114/2012</w:t>
        </w:r>
      </w:hyperlink>
      <w:r>
        <w:t>, f. 3.</w:t>
      </w:r>
    </w:p>
    <w:p w:rsidR="0043655B" w:rsidRDefault="0043655B" w:rsidP="0043655B">
      <w:pPr>
        <w:pStyle w:val="SangriaFrancesaArticulo"/>
      </w:pPr>
      <w:r w:rsidRPr="0043655B">
        <w:rPr>
          <w:rStyle w:val="TextoNormalNegritaCaracter"/>
        </w:rPr>
        <w:t>Artículo 78.3.</w:t>
      </w:r>
      <w:r w:rsidRPr="0043655B">
        <w:rPr>
          <w:rStyle w:val="TextoNormalCaracter"/>
        </w:rPr>
        <w:t>-</w:t>
      </w:r>
      <w:r>
        <w:t xml:space="preserve"> Sentencias </w:t>
      </w:r>
      <w:hyperlink w:anchor="SENTENCIA_2012_43" w:history="1">
        <w:r w:rsidRPr="0043655B">
          <w:rPr>
            <w:rStyle w:val="TextoNormalCaracter"/>
          </w:rPr>
          <w:t>43/2012</w:t>
        </w:r>
      </w:hyperlink>
      <w:r>
        <w:t xml:space="preserve">, f. 4; </w:t>
      </w:r>
      <w:hyperlink w:anchor="SENTENCIA_2012_46" w:history="1">
        <w:r w:rsidRPr="0043655B">
          <w:rPr>
            <w:rStyle w:val="TextoNormalCaracter"/>
          </w:rPr>
          <w:t>46/2012</w:t>
        </w:r>
      </w:hyperlink>
      <w:r>
        <w:t xml:space="preserve">, f. 4; </w:t>
      </w:r>
      <w:hyperlink w:anchor="SENTENCIA_2012_54" w:history="1">
        <w:r w:rsidRPr="0043655B">
          <w:rPr>
            <w:rStyle w:val="TextoNormalCaracter"/>
          </w:rPr>
          <w:t>54/2012</w:t>
        </w:r>
      </w:hyperlink>
      <w:r>
        <w:t xml:space="preserve">, f. 4; </w:t>
      </w:r>
      <w:hyperlink w:anchor="SENTENCIA_2012_113" w:history="1">
        <w:r w:rsidRPr="0043655B">
          <w:rPr>
            <w:rStyle w:val="TextoNormalCaracter"/>
          </w:rPr>
          <w:t>113/2012</w:t>
        </w:r>
      </w:hyperlink>
      <w:r>
        <w:t>, f. 6.</w:t>
      </w:r>
    </w:p>
    <w:p w:rsidR="0043655B" w:rsidRDefault="0043655B" w:rsidP="0043655B">
      <w:pPr>
        <w:pStyle w:val="SangriaFrancesaArticulo"/>
      </w:pPr>
      <w:r w:rsidRPr="0043655B">
        <w:rPr>
          <w:rStyle w:val="TextoNormalNegritaCaracter"/>
        </w:rPr>
        <w:t>Artículo 78.3</w:t>
      </w:r>
      <w:r>
        <w:t xml:space="preserve"> </w:t>
      </w:r>
      <w:r w:rsidRPr="0043655B">
        <w:rPr>
          <w:rStyle w:val="TextoNormalCaracter"/>
        </w:rPr>
        <w:t>(redactado por la Ley Orgánica 2/2003, de 30 de junio)</w:t>
      </w:r>
      <w:r w:rsidRPr="0043655B">
        <w:rPr>
          <w:rStyle w:val="TextoNormalNegritaCaracter"/>
        </w:rPr>
        <w:t>.</w:t>
      </w:r>
      <w:r w:rsidRPr="0043655B">
        <w:rPr>
          <w:rStyle w:val="TextoNormalCaracter"/>
        </w:rPr>
        <w:t>-</w:t>
      </w:r>
      <w:r>
        <w:t xml:space="preserve"> Sentencia </w:t>
      </w:r>
      <w:hyperlink w:anchor="SENTENCIA_2012_50" w:history="1">
        <w:r w:rsidRPr="0043655B">
          <w:rPr>
            <w:rStyle w:val="TextoNormalCaracter"/>
          </w:rPr>
          <w:t>50/2012</w:t>
        </w:r>
      </w:hyperlink>
      <w:r>
        <w:t>, f. 4.</w:t>
      </w:r>
    </w:p>
    <w:p w:rsidR="0043655B" w:rsidRDefault="0043655B" w:rsidP="0043655B">
      <w:pPr>
        <w:pStyle w:val="SangriaFrancesaArticulo"/>
      </w:pPr>
      <w:r w:rsidRPr="0043655B">
        <w:rPr>
          <w:rStyle w:val="TextoNormalNegritaCaracter"/>
        </w:rPr>
        <w:t>Artículo 78.3</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w:t>
      </w:r>
      <w:hyperlink w:anchor="SENTENCIA_2012_42" w:history="1">
        <w:r w:rsidRPr="0043655B">
          <w:rPr>
            <w:rStyle w:val="TextoNormalCaracter"/>
          </w:rPr>
          <w:t>42/2012</w:t>
        </w:r>
      </w:hyperlink>
      <w:r>
        <w:t xml:space="preserve">, f. 6;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4" w:history="1">
        <w:r w:rsidRPr="0043655B">
          <w:rPr>
            <w:rStyle w:val="TextoNormalCaracter"/>
          </w:rPr>
          <w:t>114/2012</w:t>
        </w:r>
      </w:hyperlink>
      <w:r>
        <w:t>, f. 3.</w:t>
      </w:r>
    </w:p>
    <w:p w:rsidR="0043655B" w:rsidRDefault="0043655B" w:rsidP="0043655B">
      <w:pPr>
        <w:pStyle w:val="SangriaFrancesaArticulo"/>
      </w:pPr>
      <w:r w:rsidRPr="0043655B">
        <w:rPr>
          <w:rStyle w:val="TextoNormalNegritaCaracter"/>
        </w:rPr>
        <w:t>Artículo 79</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 </w:t>
      </w:r>
      <w:hyperlink w:anchor="SENTENCIA_2012_64" w:history="1">
        <w:r w:rsidRPr="0043655B">
          <w:rPr>
            <w:rStyle w:val="TextoNormalCaracter"/>
          </w:rPr>
          <w:t>64/2012</w:t>
        </w:r>
      </w:hyperlink>
      <w:r>
        <w:t>, f. 3.</w:t>
      </w:r>
    </w:p>
    <w:p w:rsidR="0043655B" w:rsidRDefault="0043655B" w:rsidP="0043655B">
      <w:pPr>
        <w:pStyle w:val="SangriaFrancesaArticulo"/>
      </w:pPr>
      <w:r w:rsidRPr="0043655B">
        <w:rPr>
          <w:rStyle w:val="TextoNormalNegritaCaracter"/>
        </w:rPr>
        <w:t>Artículo 100.</w:t>
      </w:r>
      <w:r w:rsidRPr="0043655B">
        <w:rPr>
          <w:rStyle w:val="TextoNormalCaracter"/>
        </w:rPr>
        <w:t>-</w:t>
      </w:r>
      <w:r>
        <w:t xml:space="preserve"> Sentencias </w:t>
      </w:r>
      <w:hyperlink w:anchor="SENTENCIA_2012_41" w:history="1">
        <w:r w:rsidRPr="0043655B">
          <w:rPr>
            <w:rStyle w:val="TextoNormalCaracter"/>
          </w:rPr>
          <w:t>41/2012</w:t>
        </w:r>
      </w:hyperlink>
      <w:r>
        <w:t xml:space="preserve">, f. 8, VP II, VP IV; </w:t>
      </w:r>
      <w:hyperlink w:anchor="SENTENCIA_2012_42" w:history="1">
        <w:r w:rsidRPr="0043655B">
          <w:rPr>
            <w:rStyle w:val="TextoNormalCaracter"/>
          </w:rPr>
          <w:t>42/2012</w:t>
        </w:r>
      </w:hyperlink>
      <w:r>
        <w:t xml:space="preserve">, f. 9; </w:t>
      </w:r>
      <w:hyperlink w:anchor="SENTENCIA_2012_66" w:history="1">
        <w:r w:rsidRPr="0043655B">
          <w:rPr>
            <w:rStyle w:val="TextoNormalCaracter"/>
          </w:rPr>
          <w:t>66/2012</w:t>
        </w:r>
      </w:hyperlink>
      <w:r>
        <w:t>, f. 5.</w:t>
      </w:r>
    </w:p>
    <w:p w:rsidR="0043655B" w:rsidRDefault="0043655B" w:rsidP="0043655B">
      <w:pPr>
        <w:pStyle w:val="SangriaFrancesaArticulo"/>
      </w:pPr>
      <w:r w:rsidRPr="0043655B">
        <w:rPr>
          <w:rStyle w:val="TextoNormalNegritaCaracter"/>
        </w:rPr>
        <w:lastRenderedPageBreak/>
        <w:t>Artículo 132.2.</w:t>
      </w:r>
      <w:r w:rsidRPr="0043655B">
        <w:rPr>
          <w:rStyle w:val="TextoNormalCaracter"/>
        </w:rPr>
        <w:t>-</w:t>
      </w:r>
      <w:r>
        <w:t xml:space="preserve"> Sentencia </w:t>
      </w:r>
      <w:hyperlink w:anchor="SENTENCIA_2012_37" w:history="1">
        <w:r w:rsidRPr="0043655B">
          <w:rPr>
            <w:rStyle w:val="TextoNormalCaracter"/>
          </w:rPr>
          <w:t>37/2012</w:t>
        </w:r>
      </w:hyperlink>
      <w:r>
        <w:t>, VP III.</w:t>
      </w:r>
    </w:p>
    <w:p w:rsidR="0043655B" w:rsidRDefault="0043655B" w:rsidP="0043655B">
      <w:pPr>
        <w:pStyle w:val="SangriaFrancesaArticulo"/>
      </w:pPr>
      <w:r w:rsidRPr="0043655B">
        <w:rPr>
          <w:rStyle w:val="TextoNormalNegritaCaracter"/>
        </w:rPr>
        <w:t>Artículo 163.</w:t>
      </w:r>
      <w:r w:rsidRPr="0043655B">
        <w:rPr>
          <w:rStyle w:val="TextoNormalCaracter"/>
        </w:rPr>
        <w:t>-</w:t>
      </w:r>
      <w:r>
        <w:t xml:space="preserve"> Sentencia </w:t>
      </w:r>
      <w:hyperlink w:anchor="SENTENCIA_2012_113" w:history="1">
        <w:r w:rsidRPr="0043655B">
          <w:rPr>
            <w:rStyle w:val="TextoNormalCaracter"/>
          </w:rPr>
          <w:t>113/2012</w:t>
        </w:r>
      </w:hyperlink>
      <w:r>
        <w:t>, f. 11.</w:t>
      </w:r>
    </w:p>
    <w:p w:rsidR="0043655B" w:rsidRDefault="0043655B" w:rsidP="0043655B">
      <w:pPr>
        <w:pStyle w:val="SangriaFrancesaArticulo"/>
      </w:pPr>
      <w:r w:rsidRPr="0043655B">
        <w:rPr>
          <w:rStyle w:val="TextoNormalNegritaCaracter"/>
        </w:rPr>
        <w:t>Artículo 173.2.</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242.</w:t>
      </w:r>
      <w:r w:rsidRPr="0043655B">
        <w:rPr>
          <w:rStyle w:val="TextoNormalCaracter"/>
        </w:rPr>
        <w:t>-</w:t>
      </w:r>
      <w:r>
        <w:t xml:space="preserve"> Sentencia </w:t>
      </w:r>
      <w:hyperlink w:anchor="SENTENCIA_2012_113" w:history="1">
        <w:r w:rsidRPr="0043655B">
          <w:rPr>
            <w:rStyle w:val="TextoNormalCaracter"/>
          </w:rPr>
          <w:t>113/2012</w:t>
        </w:r>
      </w:hyperlink>
      <w:r>
        <w:t>, f. 11.</w:t>
      </w:r>
    </w:p>
    <w:p w:rsidR="0043655B" w:rsidRDefault="0043655B" w:rsidP="0043655B">
      <w:pPr>
        <w:pStyle w:val="SangriaFrancesaArticulo"/>
      </w:pPr>
      <w:r w:rsidRPr="0043655B">
        <w:rPr>
          <w:rStyle w:val="TextoNormalNegritaCaracter"/>
        </w:rPr>
        <w:t>Artículo 244.</w:t>
      </w:r>
      <w:r w:rsidRPr="0043655B">
        <w:rPr>
          <w:rStyle w:val="TextoNormalCaracter"/>
        </w:rPr>
        <w:t>-</w:t>
      </w:r>
      <w:r>
        <w:t xml:space="preserve"> Sentencia </w:t>
      </w:r>
      <w:hyperlink w:anchor="SENTENCIA_2012_113" w:history="1">
        <w:r w:rsidRPr="0043655B">
          <w:rPr>
            <w:rStyle w:val="TextoNormalCaracter"/>
          </w:rPr>
          <w:t>113/2012</w:t>
        </w:r>
      </w:hyperlink>
      <w:r>
        <w:t>, f. 11.</w:t>
      </w:r>
    </w:p>
    <w:p w:rsidR="0043655B" w:rsidRDefault="0043655B" w:rsidP="0043655B">
      <w:pPr>
        <w:pStyle w:val="SangriaFrancesaArticulo"/>
      </w:pPr>
      <w:r w:rsidRPr="0043655B">
        <w:rPr>
          <w:rStyle w:val="TextoNormalNegritaCaracter"/>
        </w:rPr>
        <w:t>Artículo 332.</w:t>
      </w:r>
      <w:r w:rsidRPr="0043655B">
        <w:rPr>
          <w:rStyle w:val="TextoNormalCaracter"/>
        </w:rPr>
        <w:t>-</w:t>
      </w:r>
      <w:r>
        <w:t xml:space="preserve"> Sentencia </w:t>
      </w:r>
      <w:hyperlink w:anchor="SENTENCIA_2012_101" w:history="1">
        <w:r w:rsidRPr="0043655B">
          <w:rPr>
            <w:rStyle w:val="TextoNormalCaracter"/>
          </w:rPr>
          <w:t>101/2012</w:t>
        </w:r>
      </w:hyperlink>
      <w:r>
        <w:t>, f. 5.</w:t>
      </w:r>
    </w:p>
    <w:p w:rsidR="0043655B" w:rsidRDefault="0043655B" w:rsidP="0043655B">
      <w:pPr>
        <w:pStyle w:val="SangriaFrancesaArticulo"/>
      </w:pPr>
      <w:r w:rsidRPr="0043655B">
        <w:rPr>
          <w:rStyle w:val="TextoNormalNegritaCaracter"/>
        </w:rPr>
        <w:t>Artículo 333.</w:t>
      </w:r>
      <w:r w:rsidRPr="0043655B">
        <w:rPr>
          <w:rStyle w:val="TextoNormalCaracter"/>
        </w:rPr>
        <w:t>-</w:t>
      </w:r>
      <w:r>
        <w:t xml:space="preserve"> Sentencia </w:t>
      </w:r>
      <w:hyperlink w:anchor="SENTENCIA_2012_101" w:history="1">
        <w:r w:rsidRPr="0043655B">
          <w:rPr>
            <w:rStyle w:val="TextoNormalCaracter"/>
          </w:rPr>
          <w:t>101/2012</w:t>
        </w:r>
      </w:hyperlink>
      <w:r>
        <w:t>, f. 5.</w:t>
      </w:r>
    </w:p>
    <w:p w:rsidR="0043655B" w:rsidRDefault="0043655B" w:rsidP="0043655B">
      <w:pPr>
        <w:pStyle w:val="SangriaFrancesaArticulo"/>
      </w:pPr>
      <w:r w:rsidRPr="0043655B">
        <w:rPr>
          <w:rStyle w:val="TextoNormalNegritaCaracter"/>
        </w:rPr>
        <w:t>Artículo 334.</w:t>
      </w:r>
      <w:r w:rsidRPr="0043655B">
        <w:rPr>
          <w:rStyle w:val="TextoNormalCaracter"/>
        </w:rPr>
        <w:t>-</w:t>
      </w:r>
      <w:r>
        <w:t xml:space="preserve"> Sentencia </w:t>
      </w:r>
      <w:hyperlink w:anchor="SENTENCIA_2012_101" w:history="1">
        <w:r w:rsidRPr="0043655B">
          <w:rPr>
            <w:rStyle w:val="TextoNormalCaracter"/>
          </w:rPr>
          <w:t>101/2012</w:t>
        </w:r>
      </w:hyperlink>
      <w:r>
        <w:t>, f. 5.</w:t>
      </w:r>
    </w:p>
    <w:p w:rsidR="0043655B" w:rsidRDefault="0043655B" w:rsidP="0043655B">
      <w:pPr>
        <w:pStyle w:val="SangriaFrancesaArticulo"/>
      </w:pPr>
      <w:r w:rsidRPr="0043655B">
        <w:rPr>
          <w:rStyle w:val="TextoNormalNegritaCaracter"/>
        </w:rPr>
        <w:t>Artículo 335.</w:t>
      </w:r>
      <w:r w:rsidRPr="0043655B">
        <w:rPr>
          <w:rStyle w:val="TextoNormalCaracter"/>
        </w:rPr>
        <w:t>-</w:t>
      </w:r>
      <w:r>
        <w:t xml:space="preserve"> Sentencia </w:t>
      </w:r>
      <w:hyperlink w:anchor="SENTENCIA_2012_101" w:history="1">
        <w:r w:rsidRPr="0043655B">
          <w:rPr>
            <w:rStyle w:val="TextoNormalCaracter"/>
          </w:rPr>
          <w:t>101/2012</w:t>
        </w:r>
      </w:hyperlink>
      <w:r>
        <w:t>, passim.</w:t>
      </w:r>
    </w:p>
    <w:p w:rsidR="0043655B" w:rsidRDefault="0043655B" w:rsidP="0043655B">
      <w:pPr>
        <w:pStyle w:val="SangriaIzquierdaArticulo"/>
      </w:pPr>
      <w:r>
        <w:t xml:space="preserve">Auto </w:t>
      </w:r>
      <w:hyperlink w:anchor="AUTO_2012_126" w:history="1">
        <w:r w:rsidRPr="0043655B">
          <w:rPr>
            <w:rStyle w:val="TextoNormalCaracter"/>
          </w:rPr>
          <w:t>126/2012</w:t>
        </w:r>
      </w:hyperlink>
      <w:r>
        <w:t>.</w:t>
      </w:r>
    </w:p>
    <w:p w:rsidR="0043655B" w:rsidRDefault="0043655B" w:rsidP="0043655B">
      <w:pPr>
        <w:pStyle w:val="SangriaFrancesaArticulo"/>
      </w:pPr>
      <w:r w:rsidRPr="0043655B">
        <w:rPr>
          <w:rStyle w:val="TextoNormalNegritaCaracter"/>
        </w:rPr>
        <w:t>Artículo 335</w:t>
      </w:r>
      <w:r>
        <w:t xml:space="preserve"> </w:t>
      </w:r>
      <w:r w:rsidRPr="0043655B">
        <w:rPr>
          <w:rStyle w:val="TextoNormalCaracter"/>
        </w:rPr>
        <w:t>(redactado por la Ley Orgánica 15/2003, de 25 de noviembre)</w:t>
      </w:r>
      <w:r w:rsidRPr="0043655B">
        <w:rPr>
          <w:rStyle w:val="TextoNormalNegritaCaracter"/>
        </w:rPr>
        <w:t>.</w:t>
      </w:r>
      <w:r w:rsidRPr="0043655B">
        <w:rPr>
          <w:rStyle w:val="TextoNormalCaracter"/>
        </w:rPr>
        <w:t>-</w:t>
      </w:r>
      <w:r>
        <w:t xml:space="preserve"> Sentencia </w:t>
      </w:r>
      <w:hyperlink w:anchor="SENTENCIA_2012_101" w:history="1">
        <w:r w:rsidRPr="0043655B">
          <w:rPr>
            <w:rStyle w:val="TextoNormalCaracter"/>
          </w:rPr>
          <w:t>101/2012</w:t>
        </w:r>
      </w:hyperlink>
      <w:r>
        <w:t>, f. 2.</w:t>
      </w:r>
    </w:p>
    <w:p w:rsidR="0043655B" w:rsidRDefault="0043655B" w:rsidP="0043655B">
      <w:pPr>
        <w:pStyle w:val="SangriaFrancesaArticulo"/>
      </w:pPr>
      <w:r w:rsidRPr="0043655B">
        <w:rPr>
          <w:rStyle w:val="TextoNormalNegritaCaracter"/>
        </w:rPr>
        <w:t>Artículo 335.1</w:t>
      </w:r>
      <w:r>
        <w:t xml:space="preserve"> </w:t>
      </w:r>
      <w:r w:rsidRPr="0043655B">
        <w:rPr>
          <w:rStyle w:val="TextoNormalCaracter"/>
        </w:rPr>
        <w:t>(redactado por la Ley Orgánica 15/2003, de 25 de noviembre)</w:t>
      </w:r>
      <w:r w:rsidRPr="0043655B">
        <w:rPr>
          <w:rStyle w:val="TextoNormalNegritaCaracter"/>
        </w:rPr>
        <w:t>.</w:t>
      </w:r>
      <w:r w:rsidRPr="0043655B">
        <w:rPr>
          <w:rStyle w:val="TextoNormalCaracter"/>
        </w:rPr>
        <w:t>-</w:t>
      </w:r>
      <w:r>
        <w:t xml:space="preserve"> Sentencia </w:t>
      </w:r>
      <w:hyperlink w:anchor="SENTENCIA_2012_101" w:history="1">
        <w:r w:rsidRPr="0043655B">
          <w:rPr>
            <w:rStyle w:val="TextoNormalCaracter"/>
          </w:rPr>
          <w:t>101/2012</w:t>
        </w:r>
      </w:hyperlink>
      <w:r>
        <w:t>, f. 2.</w:t>
      </w:r>
    </w:p>
    <w:p w:rsidR="0043655B" w:rsidRDefault="0043655B" w:rsidP="0043655B">
      <w:pPr>
        <w:pStyle w:val="SangriaFrancesaArticulo"/>
      </w:pPr>
      <w:r w:rsidRPr="0043655B">
        <w:rPr>
          <w:rStyle w:val="TextoNormalNegritaCaracter"/>
        </w:rPr>
        <w:t>Artículo 336.</w:t>
      </w:r>
      <w:r w:rsidRPr="0043655B">
        <w:rPr>
          <w:rStyle w:val="TextoNormalCaracter"/>
        </w:rPr>
        <w:t>-</w:t>
      </w:r>
      <w:r>
        <w:t xml:space="preserve"> Sentencia </w:t>
      </w:r>
      <w:hyperlink w:anchor="SENTENCIA_2012_101" w:history="1">
        <w:r w:rsidRPr="0043655B">
          <w:rPr>
            <w:rStyle w:val="TextoNormalCaracter"/>
          </w:rPr>
          <w:t>101/2012</w:t>
        </w:r>
      </w:hyperlink>
      <w:r>
        <w:t>, f. 5.</w:t>
      </w:r>
    </w:p>
    <w:p w:rsidR="0043655B" w:rsidRDefault="0043655B" w:rsidP="0043655B">
      <w:pPr>
        <w:pStyle w:val="SangriaFrancesaArticulo"/>
      </w:pPr>
      <w:r w:rsidRPr="0043655B">
        <w:rPr>
          <w:rStyle w:val="TextoNormalNegritaCaracter"/>
        </w:rPr>
        <w:t>Artículo 468.2.</w:t>
      </w:r>
      <w:r w:rsidRPr="0043655B">
        <w:rPr>
          <w:rStyle w:val="TextoNormalCaracter"/>
        </w:rPr>
        <w:t>-</w:t>
      </w:r>
      <w:r>
        <w:t xml:space="preserve"> Sentencia </w:t>
      </w:r>
      <w:hyperlink w:anchor="SENTENCIA_2012_16" w:history="1">
        <w:r w:rsidRPr="0043655B">
          <w:rPr>
            <w:rStyle w:val="TextoNormalCaracter"/>
          </w:rPr>
          <w:t>16/2012</w:t>
        </w:r>
      </w:hyperlink>
      <w:r>
        <w:t>, ff. 1 a 3, 5, 6.</w:t>
      </w:r>
    </w:p>
    <w:p w:rsidR="0043655B" w:rsidRDefault="0043655B" w:rsidP="0043655B">
      <w:pPr>
        <w:pStyle w:val="SangriaFrancesaArticulo"/>
      </w:pPr>
      <w:r w:rsidRPr="0043655B">
        <w:rPr>
          <w:rStyle w:val="TextoNormalNegritaCaracter"/>
        </w:rPr>
        <w:t>Artículo 556.</w:t>
      </w:r>
      <w:r w:rsidRPr="0043655B">
        <w:rPr>
          <w:rStyle w:val="TextoNormalCaracter"/>
        </w:rPr>
        <w:t>-</w:t>
      </w:r>
      <w:r>
        <w:t xml:space="preserve"> Auto </w:t>
      </w:r>
      <w:hyperlink w:anchor="AUTO_2012_127" w:history="1">
        <w:r w:rsidRPr="0043655B">
          <w:rPr>
            <w:rStyle w:val="TextoNormalCaracter"/>
          </w:rPr>
          <w:t>127/2012</w:t>
        </w:r>
      </w:hyperlink>
      <w:r>
        <w:t>.</w:t>
      </w:r>
    </w:p>
    <w:p w:rsidR="0043655B" w:rsidRDefault="0043655B" w:rsidP="0043655B">
      <w:pPr>
        <w:pStyle w:val="SangriaFrancesaArticulo"/>
      </w:pPr>
      <w:r w:rsidRPr="0043655B">
        <w:rPr>
          <w:rStyle w:val="TextoNormalNegritaCaracter"/>
        </w:rPr>
        <w:t>Artículo 571.</w:t>
      </w:r>
      <w:r w:rsidRPr="0043655B">
        <w:rPr>
          <w:rStyle w:val="TextoNormalCaracter"/>
        </w:rPr>
        <w:t>-</w:t>
      </w:r>
      <w:r>
        <w:t xml:space="preserve"> Sentencia </w:t>
      </w:r>
      <w:hyperlink w:anchor="SENTENCIA_2012_113" w:history="1">
        <w:r w:rsidRPr="0043655B">
          <w:rPr>
            <w:rStyle w:val="TextoNormalCaracter"/>
          </w:rPr>
          <w:t>113/2012</w:t>
        </w:r>
      </w:hyperlink>
      <w:r>
        <w:t>, f. 11.</w:t>
      </w:r>
    </w:p>
    <w:p w:rsidR="0043655B" w:rsidRDefault="0043655B" w:rsidP="0043655B">
      <w:pPr>
        <w:pStyle w:val="SangriaFrancesaArticulo"/>
      </w:pPr>
      <w:r w:rsidRPr="0043655B">
        <w:rPr>
          <w:rStyle w:val="TextoNormalNegritaCaracter"/>
        </w:rPr>
        <w:t>Artículo 571</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 </w:t>
      </w:r>
      <w:hyperlink w:anchor="SENTENCIA_2012_57" w:history="1">
        <w:r w:rsidRPr="0043655B">
          <w:rPr>
            <w:rStyle w:val="TextoNormalCaracter"/>
          </w:rPr>
          <w:t>57/2012</w:t>
        </w:r>
      </w:hyperlink>
      <w:r>
        <w:t>, f. 6.</w:t>
      </w:r>
    </w:p>
    <w:p w:rsidR="0043655B" w:rsidRDefault="0043655B" w:rsidP="0043655B">
      <w:pPr>
        <w:pStyle w:val="SangriaFrancesaArticulo"/>
      </w:pPr>
      <w:r w:rsidRPr="0043655B">
        <w:rPr>
          <w:rStyle w:val="TextoNormalNegritaCaracter"/>
        </w:rPr>
        <w:t>Artículo 572.</w:t>
      </w:r>
      <w:r w:rsidRPr="0043655B">
        <w:rPr>
          <w:rStyle w:val="TextoNormalCaracter"/>
        </w:rPr>
        <w:t>-</w:t>
      </w:r>
      <w:r>
        <w:t xml:space="preserve"> Sentencias </w:t>
      </w:r>
      <w:hyperlink w:anchor="SENTENCIA_2012_41" w:history="1">
        <w:r w:rsidRPr="0043655B">
          <w:rPr>
            <w:rStyle w:val="TextoNormalCaracter"/>
          </w:rPr>
          <w:t>41/2012</w:t>
        </w:r>
      </w:hyperlink>
      <w:r>
        <w:t xml:space="preserve">, VP IV; </w:t>
      </w:r>
      <w:hyperlink w:anchor="SENTENCIA_2012_113" w:history="1">
        <w:r w:rsidRPr="0043655B">
          <w:rPr>
            <w:rStyle w:val="TextoNormalCaracter"/>
          </w:rPr>
          <w:t>113/2012</w:t>
        </w:r>
      </w:hyperlink>
      <w:r>
        <w:t>, f. 11.</w:t>
      </w:r>
    </w:p>
    <w:p w:rsidR="0043655B" w:rsidRDefault="0043655B" w:rsidP="0043655B">
      <w:pPr>
        <w:pStyle w:val="SangriaFrancesaArticulo"/>
      </w:pPr>
      <w:r w:rsidRPr="0043655B">
        <w:rPr>
          <w:rStyle w:val="TextoNormalNegritaCaracter"/>
        </w:rPr>
        <w:t>Artículo 572.1</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 </w:t>
      </w:r>
      <w:hyperlink w:anchor="SENTENCIA_2012_57" w:history="1">
        <w:r w:rsidRPr="0043655B">
          <w:rPr>
            <w:rStyle w:val="TextoNormalCaracter"/>
          </w:rPr>
          <w:t>57/2012</w:t>
        </w:r>
      </w:hyperlink>
      <w:r>
        <w:t>, f. 6.</w:t>
      </w:r>
    </w:p>
    <w:p w:rsidR="0043655B" w:rsidRDefault="0043655B" w:rsidP="0043655B">
      <w:pPr>
        <w:pStyle w:val="SangriaFrancesaArticulo"/>
      </w:pPr>
      <w:r w:rsidRPr="0043655B">
        <w:rPr>
          <w:rStyle w:val="TextoNormalNegritaCaracter"/>
        </w:rPr>
        <w:t>Artículo 572.2</w:t>
      </w:r>
      <w:r>
        <w:t xml:space="preserve"> </w:t>
      </w:r>
      <w:r w:rsidRPr="0043655B">
        <w:rPr>
          <w:rStyle w:val="TextoNormalCaracter"/>
        </w:rPr>
        <w:t>(redactado por la Ley Orgánica 7/2003, de 30 de junio)</w:t>
      </w:r>
      <w:r w:rsidRPr="0043655B">
        <w:rPr>
          <w:rStyle w:val="TextoNormalNegritaCaracter"/>
        </w:rPr>
        <w:t>.</w:t>
      </w:r>
      <w:r w:rsidRPr="0043655B">
        <w:rPr>
          <w:rStyle w:val="TextoNormalCaracter"/>
        </w:rPr>
        <w:t>-</w:t>
      </w:r>
      <w:r>
        <w:t xml:space="preserve"> Sentencia </w:t>
      </w:r>
      <w:hyperlink w:anchor="SENTENCIA_2012_57" w:history="1">
        <w:r w:rsidRPr="0043655B">
          <w:rPr>
            <w:rStyle w:val="TextoNormalCaracter"/>
          </w:rPr>
          <w:t>57/2012</w:t>
        </w:r>
      </w:hyperlink>
      <w:r>
        <w:t>, f. 6.</w:t>
      </w:r>
    </w:p>
    <w:p w:rsidR="0043655B" w:rsidRDefault="0043655B" w:rsidP="0043655B">
      <w:pPr>
        <w:pStyle w:val="SangriaFrancesaArticulo"/>
      </w:pPr>
      <w:r w:rsidRPr="0043655B">
        <w:rPr>
          <w:rStyle w:val="TextoNormalNegritaCaracter"/>
        </w:rPr>
        <w:t>Artículo 617.</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617.1.</w:t>
      </w:r>
      <w:r w:rsidRPr="0043655B">
        <w:rPr>
          <w:rStyle w:val="TextoNormalCaracter"/>
        </w:rPr>
        <w:t>-</w:t>
      </w:r>
      <w:r>
        <w:t xml:space="preserve"> Sentencia </w:t>
      </w:r>
      <w:hyperlink w:anchor="SENTENCIA_2012_97" w:history="1">
        <w:r w:rsidRPr="0043655B">
          <w:rPr>
            <w:rStyle w:val="TextoNormalCaracter"/>
          </w:rPr>
          <w:t>97/2012</w:t>
        </w:r>
      </w:hyperlink>
      <w:r>
        <w:t>, f. 1.</w:t>
      </w:r>
    </w:p>
    <w:p w:rsidR="0043655B" w:rsidRDefault="0043655B" w:rsidP="0043655B">
      <w:pPr>
        <w:pStyle w:val="SangriaFrancesaArticulo"/>
      </w:pPr>
      <w:r w:rsidRPr="0043655B">
        <w:rPr>
          <w:rStyle w:val="TextoNormalNegritaCaracter"/>
        </w:rPr>
        <w:t>Artículo 620.</w:t>
      </w:r>
      <w:r w:rsidRPr="0043655B">
        <w:rPr>
          <w:rStyle w:val="TextoNormalCaracter"/>
        </w:rPr>
        <w:t>-</w:t>
      </w:r>
      <w:r>
        <w:t xml:space="preserve"> Sentencia </w:t>
      </w:r>
      <w:hyperlink w:anchor="SENTENCIA_2012_97" w:history="1">
        <w:r w:rsidRPr="0043655B">
          <w:rPr>
            <w:rStyle w:val="TextoNormalCaracter"/>
          </w:rPr>
          <w:t>97/2012</w:t>
        </w:r>
      </w:hyperlink>
      <w:r>
        <w:t>, ff. 1, 4.</w:t>
      </w:r>
    </w:p>
    <w:p w:rsidR="0043655B" w:rsidRDefault="0043655B" w:rsidP="0043655B">
      <w:pPr>
        <w:pStyle w:val="SangriaFrancesaArticulo"/>
      </w:pPr>
      <w:r w:rsidRPr="0043655B">
        <w:rPr>
          <w:rStyle w:val="TextoNormalNegritaCaracter"/>
        </w:rPr>
        <w:t>Artículo 623.1.</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Disposiciones transitorias.</w:t>
      </w:r>
      <w:r w:rsidRPr="0043655B">
        <w:rPr>
          <w:rStyle w:val="TextoNormalCaracter"/>
        </w:rPr>
        <w:t>-</w:t>
      </w:r>
      <w:r>
        <w:t xml:space="preserve"> Sentencia </w:t>
      </w:r>
      <w:hyperlink w:anchor="SENTENCIA_2012_39" w:history="1">
        <w:r w:rsidRPr="0043655B">
          <w:rPr>
            <w:rStyle w:val="TextoNormalCaracter"/>
          </w:rPr>
          <w:t>39/2012</w:t>
        </w:r>
      </w:hyperlink>
      <w:r>
        <w:t>, f. 7, VP II.</w:t>
      </w:r>
    </w:p>
    <w:p w:rsidR="0043655B" w:rsidRDefault="0043655B" w:rsidP="0043655B">
      <w:pPr>
        <w:pStyle w:val="SangriaFrancesaArticulo"/>
      </w:pPr>
      <w:r w:rsidRPr="0043655B">
        <w:rPr>
          <w:rStyle w:val="TextoNormalNegritaCaracter"/>
        </w:rPr>
        <w:t>Disposición transitoria primera.</w:t>
      </w:r>
      <w:r w:rsidRPr="0043655B">
        <w:rPr>
          <w:rStyle w:val="TextoNormalCaracter"/>
        </w:rPr>
        <w:t>-</w:t>
      </w:r>
      <w:r>
        <w:t xml:space="preserve"> Sentencia </w:t>
      </w:r>
      <w:hyperlink w:anchor="SENTENCIA_2012_39" w:history="1">
        <w:r w:rsidRPr="0043655B">
          <w:rPr>
            <w:rStyle w:val="TextoNormalCaracter"/>
          </w:rPr>
          <w:t>39/2012</w:t>
        </w:r>
      </w:hyperlink>
      <w:r>
        <w:t>, f. 6.</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Sentencias </w:t>
      </w:r>
      <w:hyperlink w:anchor="SENTENCIA_2012_39" w:history="1">
        <w:r w:rsidRPr="0043655B">
          <w:rPr>
            <w:rStyle w:val="TextoNormalCaracter"/>
          </w:rPr>
          <w:t>39/2012</w:t>
        </w:r>
      </w:hyperlink>
      <w:r>
        <w:t xml:space="preserve">, f. 6; </w:t>
      </w:r>
      <w:hyperlink w:anchor="SENTENCIA_2012_41" w:history="1">
        <w:r w:rsidRPr="0043655B">
          <w:rPr>
            <w:rStyle w:val="TextoNormalCaracter"/>
          </w:rPr>
          <w:t>41/2012</w:t>
        </w:r>
      </w:hyperlink>
      <w:r>
        <w:t xml:space="preserve">, VP II, VP IV; </w:t>
      </w:r>
      <w:hyperlink w:anchor="SENTENCIA_2012_44" w:history="1">
        <w:r w:rsidRPr="0043655B">
          <w:rPr>
            <w:rStyle w:val="TextoNormalCaracter"/>
          </w:rPr>
          <w:t>44/2012</w:t>
        </w:r>
      </w:hyperlink>
      <w:r>
        <w:t xml:space="preserve">, f. 5; </w:t>
      </w:r>
      <w:hyperlink w:anchor="SENTENCIA_2012_49" w:history="1">
        <w:r w:rsidRPr="0043655B">
          <w:rPr>
            <w:rStyle w:val="TextoNormalCaracter"/>
          </w:rPr>
          <w:t>49/2012</w:t>
        </w:r>
      </w:hyperlink>
      <w:r>
        <w:t xml:space="preserve">, f. 7; </w:t>
      </w:r>
      <w:hyperlink w:anchor="SENTENCIA_2012_55" w:history="1">
        <w:r w:rsidRPr="0043655B">
          <w:rPr>
            <w:rStyle w:val="TextoNormalCaracter"/>
          </w:rPr>
          <w:t>55/2012</w:t>
        </w:r>
      </w:hyperlink>
      <w:r>
        <w:t xml:space="preserve">, f. 8; </w:t>
      </w:r>
      <w:hyperlink w:anchor="SENTENCIA_2012_66" w:history="1">
        <w:r w:rsidRPr="0043655B">
          <w:rPr>
            <w:rStyle w:val="TextoNormalCaracter"/>
          </w:rPr>
          <w:t>66/2012</w:t>
        </w:r>
      </w:hyperlink>
      <w:r>
        <w:t xml:space="preserve">, f. 5; </w:t>
      </w:r>
      <w:hyperlink w:anchor="SENTENCIA_2012_113" w:history="1">
        <w:r w:rsidRPr="0043655B">
          <w:rPr>
            <w:rStyle w:val="TextoNormalCaracter"/>
          </w:rPr>
          <w:t>113/2012</w:t>
        </w:r>
      </w:hyperlink>
      <w:r>
        <w:t>, f. 11.</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Sentencias </w:t>
      </w:r>
      <w:hyperlink w:anchor="SENTENCIA_2012_39" w:history="1">
        <w:r w:rsidRPr="0043655B">
          <w:rPr>
            <w:rStyle w:val="TextoNormalCaracter"/>
          </w:rPr>
          <w:t>39/2012</w:t>
        </w:r>
      </w:hyperlink>
      <w:r>
        <w:t xml:space="preserve">, f. 6; </w:t>
      </w:r>
      <w:hyperlink w:anchor="SENTENCIA_2012_42" w:history="1">
        <w:r w:rsidRPr="0043655B">
          <w:rPr>
            <w:rStyle w:val="TextoNormalCaracter"/>
          </w:rPr>
          <w:t>42/2012</w:t>
        </w:r>
      </w:hyperlink>
      <w:r>
        <w:t xml:space="preserve">, f. 9; </w:t>
      </w:r>
      <w:hyperlink w:anchor="SENTENCIA_2012_51" w:history="1">
        <w:r w:rsidRPr="0043655B">
          <w:rPr>
            <w:rStyle w:val="TextoNormalCaracter"/>
          </w:rPr>
          <w:t>51/2012</w:t>
        </w:r>
      </w:hyperlink>
      <w:r>
        <w:t xml:space="preserve">, f. 6; </w:t>
      </w:r>
      <w:hyperlink w:anchor="SENTENCIA_2012_55" w:history="1">
        <w:r w:rsidRPr="0043655B">
          <w:rPr>
            <w:rStyle w:val="TextoNormalCaracter"/>
          </w:rPr>
          <w:t>55/2012</w:t>
        </w:r>
      </w:hyperlink>
      <w:r>
        <w:t>, f. 8.</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Sentencia </w:t>
      </w:r>
      <w:hyperlink w:anchor="SENTENCIA_2012_39" w:history="1">
        <w:r w:rsidRPr="0043655B">
          <w:rPr>
            <w:rStyle w:val="TextoNormalCaracter"/>
          </w:rPr>
          <w:t>39/2012</w:t>
        </w:r>
      </w:hyperlink>
      <w:r>
        <w:t>, f. 6.</w:t>
      </w:r>
    </w:p>
    <w:p w:rsidR="0043655B" w:rsidRDefault="0043655B" w:rsidP="0043655B">
      <w:pPr>
        <w:pStyle w:val="SangriaFrancesaArticulo"/>
      </w:pPr>
      <w:r w:rsidRPr="0043655B">
        <w:rPr>
          <w:rStyle w:val="TextoNormalNegritaCaracter"/>
        </w:rPr>
        <w:t>Disposición transitoria quinta.</w:t>
      </w:r>
      <w:r w:rsidRPr="0043655B">
        <w:rPr>
          <w:rStyle w:val="TextoNormalCaracter"/>
        </w:rPr>
        <w:t>-</w:t>
      </w:r>
      <w:r>
        <w:t xml:space="preserve"> Sentencias </w:t>
      </w:r>
      <w:hyperlink w:anchor="SENTENCIA_2012_41" w:history="1">
        <w:r w:rsidRPr="0043655B">
          <w:rPr>
            <w:rStyle w:val="TextoNormalCaracter"/>
          </w:rPr>
          <w:t>41/2012</w:t>
        </w:r>
      </w:hyperlink>
      <w:r>
        <w:t xml:space="preserve">, VP IV; </w:t>
      </w:r>
      <w:hyperlink w:anchor="SENTENCIA_2012_44" w:history="1">
        <w:r w:rsidRPr="0043655B">
          <w:rPr>
            <w:rStyle w:val="TextoNormalCaracter"/>
          </w:rPr>
          <w:t>44/2012</w:t>
        </w:r>
      </w:hyperlink>
      <w:r>
        <w:t xml:space="preserve">, f. 5; </w:t>
      </w:r>
      <w:hyperlink w:anchor="SENTENCIA_2012_49" w:history="1">
        <w:r w:rsidRPr="0043655B">
          <w:rPr>
            <w:rStyle w:val="TextoNormalCaracter"/>
          </w:rPr>
          <w:t>49/2012</w:t>
        </w:r>
      </w:hyperlink>
      <w:r>
        <w:t xml:space="preserve">, f. 7; </w:t>
      </w:r>
      <w:hyperlink w:anchor="SENTENCIA_2012_55" w:history="1">
        <w:r w:rsidRPr="0043655B">
          <w:rPr>
            <w:rStyle w:val="TextoNormalCaracter"/>
          </w:rPr>
          <w:t>55/2012</w:t>
        </w:r>
      </w:hyperlink>
      <w:r>
        <w:t xml:space="preserve">, f. 8; </w:t>
      </w:r>
      <w:hyperlink w:anchor="SENTENCIA_2012_66" w:history="1">
        <w:r w:rsidRPr="0043655B">
          <w:rPr>
            <w:rStyle w:val="TextoNormalCaracter"/>
          </w:rPr>
          <w:t>66/2012</w:t>
        </w:r>
      </w:hyperlink>
      <w:r>
        <w:t>, f. 5.</w:t>
      </w:r>
    </w:p>
    <w:p w:rsidR="0043655B" w:rsidRDefault="0043655B" w:rsidP="0043655B">
      <w:pPr>
        <w:pStyle w:val="SangriaFrancesaArticulo"/>
      </w:pPr>
    </w:p>
    <w:p w:rsidR="0043655B" w:rsidRDefault="0043655B" w:rsidP="0043655B">
      <w:pPr>
        <w:pStyle w:val="TextoNormalNegritaCursivandice"/>
      </w:pPr>
      <w:r>
        <w:t>Ley Orgánica 3/1996, de 27 de diciembre. Modificación parcial de la Ley Orgánica 8/1980, de 22 de septiembre. Financiación de las Comunidades Autónomas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8/1998, de 2 de diciembre. Régimen disciplinario de las fuerzas armadas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p>
    <w:p w:rsidR="0043655B" w:rsidRDefault="0043655B" w:rsidP="0043655B">
      <w:pPr>
        <w:pStyle w:val="TextoNormalNegritaCursivandice"/>
      </w:pPr>
      <w:r>
        <w:lastRenderedPageBreak/>
        <w:t>Ley Orgánica 8/1999, de 21 de abril. Modificación de la Ley Orgánica 5/1985, de 19 de junio, del régimen electoral general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1" w:history="1">
        <w:r w:rsidRPr="0043655B">
          <w:rPr>
            <w:rStyle w:val="TextoNormalCaracter"/>
          </w:rPr>
          <w:t>81/2012</w:t>
        </w:r>
      </w:hyperlink>
      <w:r>
        <w:t xml:space="preserve">, f. 3; </w:t>
      </w:r>
      <w:hyperlink w:anchor="SENTENCIA_2012_132" w:history="1">
        <w:r w:rsidRPr="0043655B">
          <w:rPr>
            <w:rStyle w:val="TextoNormalCaracter"/>
          </w:rPr>
          <w:t>132/2012</w:t>
        </w:r>
      </w:hyperlink>
      <w:r>
        <w:t>, f. 7.</w:t>
      </w:r>
    </w:p>
    <w:p w:rsidR="0043655B" w:rsidRDefault="0043655B" w:rsidP="0043655B">
      <w:pPr>
        <w:pStyle w:val="SangriaFrancesaArticulo"/>
      </w:pPr>
    </w:p>
    <w:p w:rsidR="0043655B" w:rsidRDefault="0043655B" w:rsidP="0043655B">
      <w:pPr>
        <w:pStyle w:val="TextoNormalNegritaCursivandice"/>
      </w:pPr>
      <w:r>
        <w:t>Ley Orgánica 15/1999, de 13 de diciembre. Protección de datos de carácter personal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6" w:history="1">
        <w:r w:rsidRPr="0043655B">
          <w:rPr>
            <w:rStyle w:val="TextoNormalCaracter"/>
          </w:rPr>
          <w:t>96/2012</w:t>
        </w:r>
      </w:hyperlink>
      <w:r>
        <w:t>, f. 2.</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96" w:history="1">
        <w:r w:rsidRPr="0043655B">
          <w:rPr>
            <w:rStyle w:val="TextoNormalCaracter"/>
          </w:rPr>
          <w:t>96/2012</w:t>
        </w:r>
      </w:hyperlink>
      <w:r>
        <w:t>, f. 3.</w:t>
      </w:r>
    </w:p>
    <w:p w:rsidR="0043655B" w:rsidRDefault="0043655B" w:rsidP="0043655B">
      <w:pPr>
        <w:pStyle w:val="SangriaFrancesaArticulo"/>
      </w:pPr>
      <w:r w:rsidRPr="0043655B">
        <w:rPr>
          <w:rStyle w:val="TextoNormalNegritaCaracter"/>
        </w:rPr>
        <w:t>Artículo 11.1.</w:t>
      </w:r>
      <w:r w:rsidRPr="0043655B">
        <w:rPr>
          <w:rStyle w:val="TextoNormalCaracter"/>
        </w:rPr>
        <w:t>-</w:t>
      </w:r>
      <w:r>
        <w:t xml:space="preserve"> Sentencia </w:t>
      </w:r>
      <w:hyperlink w:anchor="SENTENCIA_2012_96" w:history="1">
        <w:r w:rsidRPr="0043655B">
          <w:rPr>
            <w:rStyle w:val="TextoNormalCaracter"/>
          </w:rPr>
          <w:t>96/2012</w:t>
        </w:r>
      </w:hyperlink>
      <w:r>
        <w:t>, f. 8.</w:t>
      </w:r>
    </w:p>
    <w:p w:rsidR="0043655B" w:rsidRDefault="0043655B" w:rsidP="0043655B">
      <w:pPr>
        <w:pStyle w:val="SangriaFrancesaArticulo"/>
      </w:pPr>
      <w:r w:rsidRPr="0043655B">
        <w:rPr>
          <w:rStyle w:val="TextoNormalNegritaCaracter"/>
        </w:rPr>
        <w:t>Artículo 11.2 d).</w:t>
      </w:r>
      <w:r w:rsidRPr="0043655B">
        <w:rPr>
          <w:rStyle w:val="TextoNormalCaracter"/>
        </w:rPr>
        <w:t>-</w:t>
      </w:r>
      <w:r>
        <w:t xml:space="preserve"> Sentencia </w:t>
      </w:r>
      <w:hyperlink w:anchor="SENTENCIA_2012_96" w:history="1">
        <w:r w:rsidRPr="0043655B">
          <w:rPr>
            <w:rStyle w:val="TextoNormalCaracter"/>
          </w:rPr>
          <w:t>96/2012</w:t>
        </w:r>
      </w:hyperlink>
      <w:r>
        <w:t>, f. 8.</w:t>
      </w:r>
    </w:p>
    <w:p w:rsidR="0043655B" w:rsidRDefault="0043655B" w:rsidP="0043655B">
      <w:pPr>
        <w:pStyle w:val="SangriaFrancesaArticulo"/>
      </w:pPr>
    </w:p>
    <w:p w:rsidR="0043655B" w:rsidRDefault="0043655B" w:rsidP="0043655B">
      <w:pPr>
        <w:pStyle w:val="TextoNormalNegritaCursivandice"/>
      </w:pPr>
      <w:r>
        <w:t>Ley Orgánica 6/2001, de 21 de diciembre. Universidades</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Auto </w:t>
      </w:r>
      <w:hyperlink w:anchor="AUTO_2012_116" w:history="1">
        <w:r w:rsidRPr="0043655B">
          <w:rPr>
            <w:rStyle w:val="TextoNormalCaracter"/>
          </w:rPr>
          <w:t>116/2012</w:t>
        </w:r>
      </w:hyperlink>
      <w:r>
        <w:t>.</w:t>
      </w:r>
    </w:p>
    <w:p w:rsidR="0043655B" w:rsidRDefault="0043655B" w:rsidP="0043655B">
      <w:pPr>
        <w:pStyle w:val="SangriaFrancesaArticulo"/>
      </w:pPr>
    </w:p>
    <w:p w:rsidR="0043655B" w:rsidRDefault="0043655B" w:rsidP="0043655B">
      <w:pPr>
        <w:pStyle w:val="TextoNormalNegritaCursivandice"/>
      </w:pPr>
      <w:r>
        <w:t>Ley Orgánica 5/2002, de 19 de junio. Cualificaciones y formación profesional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ff. 2, 3, 8, 12.</w:t>
      </w:r>
    </w:p>
    <w:p w:rsidR="0043655B" w:rsidRDefault="0043655B" w:rsidP="0043655B">
      <w:pPr>
        <w:pStyle w:val="SangriaIzquierdaArticulo"/>
      </w:pPr>
      <w:r>
        <w:t xml:space="preserve">Auto </w:t>
      </w:r>
      <w:hyperlink w:anchor="AUTO_2012_107" w:history="1">
        <w:r w:rsidRPr="0043655B">
          <w:rPr>
            <w:rStyle w:val="TextoNormalCaracter"/>
          </w:rPr>
          <w:t>107/2012</w:t>
        </w:r>
      </w:hyperlink>
      <w:r>
        <w:t>.</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11" w:history="1">
        <w:r w:rsidRPr="0043655B">
          <w:rPr>
            <w:rStyle w:val="TextoNormalCaracter"/>
          </w:rPr>
          <w:t>111/2012</w:t>
        </w:r>
      </w:hyperlink>
      <w:r>
        <w:t>, ff. 3, 8.</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11" w:history="1">
        <w:r w:rsidRPr="0043655B">
          <w:rPr>
            <w:rStyle w:val="TextoNormalCaracter"/>
          </w:rPr>
          <w:t>111/2012</w:t>
        </w:r>
      </w:hyperlink>
      <w:r>
        <w:t>, ff. 3, 12.</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2.3 b).</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Sentencias </w:t>
      </w:r>
      <w:hyperlink w:anchor="SENTENCIA_2012_111" w:history="1">
        <w:r w:rsidRPr="0043655B">
          <w:rPr>
            <w:rStyle w:val="TextoNormalCaracter"/>
          </w:rPr>
          <w:t>111/2012</w:t>
        </w:r>
      </w:hyperlink>
      <w:r>
        <w:t xml:space="preserve">, f. 12; </w:t>
      </w:r>
      <w:hyperlink w:anchor="SENTENCIA_2012_111" w:history="1">
        <w:r w:rsidRPr="0043655B">
          <w:rPr>
            <w:rStyle w:val="TextoNormalCaracter"/>
          </w:rPr>
          <w:t>111/2012</w:t>
        </w:r>
      </w:hyperlink>
      <w:r>
        <w:t>, ff. 8, 12.</w:t>
      </w:r>
    </w:p>
    <w:p w:rsidR="0043655B" w:rsidRDefault="0043655B" w:rsidP="0043655B">
      <w:pPr>
        <w:pStyle w:val="SangriaFrancesaArticulo"/>
      </w:pPr>
      <w:r w:rsidRPr="0043655B">
        <w:rPr>
          <w:rStyle w:val="TextoNormalNegritaCaracter"/>
        </w:rPr>
        <w:t>Artículo 4.1 a).</w:t>
      </w:r>
      <w:r w:rsidRPr="0043655B">
        <w:rPr>
          <w:rStyle w:val="TextoNormalCaracter"/>
        </w:rPr>
        <w:t>-</w:t>
      </w:r>
      <w:r>
        <w:t xml:space="preserve"> Sentencia </w:t>
      </w:r>
      <w:hyperlink w:anchor="SENTENCIA_2012_111" w:history="1">
        <w:r w:rsidRPr="0043655B">
          <w:rPr>
            <w:rStyle w:val="TextoNormalCaracter"/>
          </w:rPr>
          <w:t>111/2012</w:t>
        </w:r>
      </w:hyperlink>
      <w:r>
        <w:t>, ff. 3, 9, 12.</w:t>
      </w:r>
    </w:p>
    <w:p w:rsidR="0043655B" w:rsidRDefault="0043655B" w:rsidP="0043655B">
      <w:pPr>
        <w:pStyle w:val="SangriaFrancesaArticulo"/>
      </w:pPr>
      <w:r w:rsidRPr="0043655B">
        <w:rPr>
          <w:rStyle w:val="TextoNormalNegritaCaracter"/>
        </w:rPr>
        <w:t>Artículo 4.1 b).</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4.1 c).</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111" w:history="1">
        <w:r w:rsidRPr="0043655B">
          <w:rPr>
            <w:rStyle w:val="TextoNormalCaracter"/>
          </w:rPr>
          <w:t>111/2012</w:t>
        </w:r>
      </w:hyperlink>
      <w:r>
        <w:t>, ff. 1, 8, 9, 12.</w:t>
      </w:r>
    </w:p>
    <w:p w:rsidR="0043655B" w:rsidRDefault="0043655B" w:rsidP="0043655B">
      <w:pPr>
        <w:pStyle w:val="SangriaFrancesaArticulo"/>
      </w:pPr>
      <w:r w:rsidRPr="0043655B">
        <w:rPr>
          <w:rStyle w:val="TextoNormalNegritaCaracter"/>
        </w:rPr>
        <w:t>Artículo 5.2.</w:t>
      </w:r>
      <w:r w:rsidRPr="0043655B">
        <w:rPr>
          <w:rStyle w:val="TextoNormalCaracter"/>
        </w:rPr>
        <w:t>-</w:t>
      </w:r>
      <w:r>
        <w:t xml:space="preserve"> Sentencia </w:t>
      </w:r>
      <w:hyperlink w:anchor="SENTENCIA_2012_111" w:history="1">
        <w:r w:rsidRPr="0043655B">
          <w:rPr>
            <w:rStyle w:val="TextoNormalCaracter"/>
          </w:rPr>
          <w:t>111/2012</w:t>
        </w:r>
      </w:hyperlink>
      <w:r>
        <w:t>, f. 9.</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111" w:history="1">
        <w:r w:rsidRPr="0043655B">
          <w:rPr>
            <w:rStyle w:val="TextoNormalCaracter"/>
          </w:rPr>
          <w:t>111/2012</w:t>
        </w:r>
      </w:hyperlink>
      <w:r>
        <w:t>, ff. 1, 8, 9, 12.</w:t>
      </w:r>
    </w:p>
    <w:p w:rsidR="0043655B" w:rsidRDefault="0043655B" w:rsidP="0043655B">
      <w:pPr>
        <w:pStyle w:val="SangriaFrancesaArticulo"/>
      </w:pPr>
      <w:r w:rsidRPr="0043655B">
        <w:rPr>
          <w:rStyle w:val="TextoNormalNegritaCaracter"/>
        </w:rPr>
        <w:t>Artículo 7.2.</w:t>
      </w:r>
      <w:r w:rsidRPr="0043655B">
        <w:rPr>
          <w:rStyle w:val="TextoNormalCaracter"/>
        </w:rPr>
        <w:t>-</w:t>
      </w:r>
      <w:r>
        <w:t xml:space="preserve"> Sentencia </w:t>
      </w:r>
      <w:hyperlink w:anchor="SENTENCIA_2012_111" w:history="1">
        <w:r w:rsidRPr="0043655B">
          <w:rPr>
            <w:rStyle w:val="TextoNormalCaracter"/>
          </w:rPr>
          <w:t>111/2012</w:t>
        </w:r>
      </w:hyperlink>
      <w:r>
        <w:t>, f. 9.</w:t>
      </w:r>
    </w:p>
    <w:p w:rsidR="0043655B" w:rsidRDefault="0043655B" w:rsidP="0043655B">
      <w:pPr>
        <w:pStyle w:val="SangriaFrancesaArticulo"/>
      </w:pPr>
      <w:r w:rsidRPr="0043655B">
        <w:rPr>
          <w:rStyle w:val="TextoNormalNegritaCaracter"/>
        </w:rPr>
        <w:t>Artículo 7.3</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9.</w:t>
      </w:r>
    </w:p>
    <w:p w:rsidR="0043655B" w:rsidRDefault="0043655B" w:rsidP="0043655B">
      <w:pPr>
        <w:pStyle w:val="SangriaFrancesaArticulo"/>
      </w:pPr>
      <w:r w:rsidRPr="0043655B">
        <w:rPr>
          <w:rStyle w:val="TextoNormalNegritaCaracter"/>
        </w:rPr>
        <w:t>Artículo 7.3 a)</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7.3 b)</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7.4</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9.</w:t>
      </w:r>
    </w:p>
    <w:p w:rsidR="0043655B" w:rsidRDefault="0043655B" w:rsidP="0043655B">
      <w:pPr>
        <w:pStyle w:val="SangriaFrancesaArticulo"/>
      </w:pPr>
      <w:r w:rsidRPr="0043655B">
        <w:rPr>
          <w:rStyle w:val="TextoNormalNegritaCaracter"/>
        </w:rPr>
        <w:t>Artículo 7.4 a)</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7.4 b)</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111" w:history="1">
        <w:r w:rsidRPr="0043655B">
          <w:rPr>
            <w:rStyle w:val="TextoNormalCaracter"/>
          </w:rPr>
          <w:t>111/2012</w:t>
        </w:r>
      </w:hyperlink>
      <w:r>
        <w:t>, ff. 5, 8, 12.</w:t>
      </w:r>
    </w:p>
    <w:p w:rsidR="0043655B" w:rsidRDefault="0043655B" w:rsidP="0043655B">
      <w:pPr>
        <w:pStyle w:val="SangriaFrancesaArticulo"/>
      </w:pPr>
      <w:r w:rsidRPr="0043655B">
        <w:rPr>
          <w:rStyle w:val="TextoNormalNegritaCaracter"/>
        </w:rPr>
        <w:lastRenderedPageBreak/>
        <w:t>Artículo 8.4.</w:t>
      </w:r>
      <w:r w:rsidRPr="0043655B">
        <w:rPr>
          <w:rStyle w:val="TextoNormalCaracter"/>
        </w:rPr>
        <w:t>-</w:t>
      </w:r>
      <w:r>
        <w:t xml:space="preserve"> Sentencia </w:t>
      </w:r>
      <w:hyperlink w:anchor="SENTENCIA_2012_111" w:history="1">
        <w:r w:rsidRPr="0043655B">
          <w:rPr>
            <w:rStyle w:val="TextoNormalCaracter"/>
          </w:rPr>
          <w:t>111/2012</w:t>
        </w:r>
      </w:hyperlink>
      <w:r>
        <w:t>, ff. 1, 10, 12.</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10.1</w:t>
      </w:r>
      <w:r>
        <w:t xml:space="preserve"> </w:t>
      </w:r>
      <w:r w:rsidRPr="0043655B">
        <w:rPr>
          <w:rStyle w:val="TextoNormalCaracter"/>
        </w:rPr>
        <w:t>(redactado por la Ley Orgánica 4/2011, de 11 de marzo)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ff. 3, 12.</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111" w:history="1">
        <w:r w:rsidRPr="0043655B">
          <w:rPr>
            <w:rStyle w:val="TextoNormalCaracter"/>
          </w:rPr>
          <w:t>111/2012</w:t>
        </w:r>
      </w:hyperlink>
      <w:r>
        <w:t>, ff. 8, 12.</w:t>
      </w:r>
    </w:p>
    <w:p w:rsidR="0043655B" w:rsidRDefault="0043655B" w:rsidP="0043655B">
      <w:pPr>
        <w:pStyle w:val="SangriaFrancesaArticulo"/>
      </w:pPr>
      <w:r w:rsidRPr="0043655B">
        <w:rPr>
          <w:rStyle w:val="TextoNormalNegritaCaracter"/>
        </w:rPr>
        <w:t>Artículo 10.3.</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11.1.</w:t>
      </w:r>
      <w:r w:rsidRPr="0043655B">
        <w:rPr>
          <w:rStyle w:val="TextoNormalCaracter"/>
        </w:rPr>
        <w:t>-</w:t>
      </w:r>
      <w:r>
        <w:t xml:space="preserve"> Sentencia </w:t>
      </w:r>
      <w:hyperlink w:anchor="SENTENCIA_2012_111" w:history="1">
        <w:r w:rsidRPr="0043655B">
          <w:rPr>
            <w:rStyle w:val="TextoNormalCaracter"/>
          </w:rPr>
          <w:t>111/2012</w:t>
        </w:r>
      </w:hyperlink>
      <w:r>
        <w:t>, ff. 11, 12.</w:t>
      </w:r>
    </w:p>
    <w:p w:rsidR="0043655B" w:rsidRDefault="0043655B" w:rsidP="0043655B">
      <w:pPr>
        <w:pStyle w:val="SangriaFrancesaArticulo"/>
      </w:pPr>
      <w:r w:rsidRPr="0043655B">
        <w:rPr>
          <w:rStyle w:val="TextoNormalNegritaCaracter"/>
        </w:rPr>
        <w:t>Artículo 11.2.</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11.4.</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11.6.</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11.7.</w:t>
      </w:r>
      <w:r w:rsidRPr="0043655B">
        <w:rPr>
          <w:rStyle w:val="TextoNormalCaracter"/>
        </w:rPr>
        <w:t>-</w:t>
      </w:r>
      <w:r>
        <w:t xml:space="preserve"> Sentencia </w:t>
      </w:r>
      <w:hyperlink w:anchor="SENTENCIA_2012_111" w:history="1">
        <w:r w:rsidRPr="0043655B">
          <w:rPr>
            <w:rStyle w:val="TextoNormalCaracter"/>
          </w:rPr>
          <w:t>111/2012</w:t>
        </w:r>
      </w:hyperlink>
      <w:r>
        <w:t>, ff. 1, 11.</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Disposición final primera, apartado 1.</w:t>
      </w:r>
      <w:r w:rsidRPr="0043655B">
        <w:rPr>
          <w:rStyle w:val="TextoNormalCaracter"/>
        </w:rPr>
        <w:t>-</w:t>
      </w:r>
      <w:r>
        <w:t xml:space="preserve"> Sentencia </w:t>
      </w:r>
      <w:hyperlink w:anchor="SENTENCIA_2012_111" w:history="1">
        <w:r w:rsidRPr="0043655B">
          <w:rPr>
            <w:rStyle w:val="TextoNormalCaracter"/>
          </w:rPr>
          <w:t>111/2012</w:t>
        </w:r>
      </w:hyperlink>
      <w:r>
        <w:t>, f. 4.</w:t>
      </w:r>
    </w:p>
    <w:p w:rsidR="0043655B" w:rsidRDefault="0043655B" w:rsidP="0043655B">
      <w:pPr>
        <w:pStyle w:val="SangriaFrancesaArticulo"/>
      </w:pPr>
      <w:r w:rsidRPr="0043655B">
        <w:rPr>
          <w:rStyle w:val="TextoNormalNegritaCaracter"/>
        </w:rPr>
        <w:t>Disposición final primera, apartado 2.</w:t>
      </w:r>
      <w:r w:rsidRPr="0043655B">
        <w:rPr>
          <w:rStyle w:val="TextoNormalCaracter"/>
        </w:rPr>
        <w:t>-</w:t>
      </w:r>
      <w:r>
        <w:t xml:space="preserve"> Sentencia </w:t>
      </w:r>
      <w:hyperlink w:anchor="SENTENCIA_2012_111" w:history="1">
        <w:r w:rsidRPr="0043655B">
          <w:rPr>
            <w:rStyle w:val="TextoNormalCaracter"/>
          </w:rPr>
          <w:t>111/2012</w:t>
        </w:r>
      </w:hyperlink>
      <w:r>
        <w:t>, ff. 4, 8, 9, 12.</w:t>
      </w:r>
    </w:p>
    <w:p w:rsidR="0043655B" w:rsidRDefault="0043655B" w:rsidP="0043655B">
      <w:pPr>
        <w:pStyle w:val="SangriaFrancesaArticulo"/>
      </w:pPr>
      <w:r w:rsidRPr="0043655B">
        <w:rPr>
          <w:rStyle w:val="TextoNormalNegritaCaracter"/>
        </w:rPr>
        <w:t>Disposición final primera, apartado 2, párrafo 1.</w:t>
      </w:r>
      <w:r w:rsidRPr="0043655B">
        <w:rPr>
          <w:rStyle w:val="TextoNormalCaracter"/>
        </w:rPr>
        <w:t>-</w:t>
      </w:r>
      <w:r>
        <w:t xml:space="preserve"> Sentencia </w:t>
      </w:r>
      <w:hyperlink w:anchor="SENTENCIA_2012_111" w:history="1">
        <w:r w:rsidRPr="0043655B">
          <w:rPr>
            <w:rStyle w:val="TextoNormalCaracter"/>
          </w:rPr>
          <w:t>111/2012</w:t>
        </w:r>
      </w:hyperlink>
      <w:r>
        <w:t>, ff. 1, 9, 10, 12, 13.</w:t>
      </w:r>
    </w:p>
    <w:p w:rsidR="0043655B" w:rsidRDefault="0043655B" w:rsidP="0043655B">
      <w:pPr>
        <w:pStyle w:val="SangriaFrancesaArticulo"/>
      </w:pPr>
      <w:r w:rsidRPr="0043655B">
        <w:rPr>
          <w:rStyle w:val="TextoNormalNegritaCaracter"/>
        </w:rPr>
        <w:t>Disposición final primera, apartado 2, párrafo 2.</w:t>
      </w:r>
      <w:r w:rsidRPr="0043655B">
        <w:rPr>
          <w:rStyle w:val="TextoNormalCaracter"/>
        </w:rPr>
        <w:t>-</w:t>
      </w:r>
      <w:r>
        <w:t xml:space="preserve"> Sentencia </w:t>
      </w:r>
      <w:hyperlink w:anchor="SENTENCIA_2012_111" w:history="1">
        <w:r w:rsidRPr="0043655B">
          <w:rPr>
            <w:rStyle w:val="TextoNormalCaracter"/>
          </w:rPr>
          <w:t>111/2012</w:t>
        </w:r>
      </w:hyperlink>
      <w:r>
        <w:t>, ff. 1, 9, 10, 12, 13.</w:t>
      </w:r>
    </w:p>
    <w:p w:rsidR="0043655B" w:rsidRDefault="0043655B" w:rsidP="0043655B">
      <w:pPr>
        <w:pStyle w:val="SangriaFrancesaArticulo"/>
      </w:pPr>
      <w:r w:rsidRPr="0043655B">
        <w:rPr>
          <w:rStyle w:val="TextoNormalNegritaCaracter"/>
        </w:rPr>
        <w:t>Disposición final primera, apartado 3.</w:t>
      </w:r>
      <w:r w:rsidRPr="0043655B">
        <w:rPr>
          <w:rStyle w:val="TextoNormalCaracter"/>
        </w:rPr>
        <w:t>-</w:t>
      </w:r>
      <w:r>
        <w:t xml:space="preserve"> Sentencia </w:t>
      </w:r>
      <w:hyperlink w:anchor="SENTENCIA_2012_111" w:history="1">
        <w:r w:rsidRPr="0043655B">
          <w:rPr>
            <w:rStyle w:val="TextoNormalCaracter"/>
          </w:rPr>
          <w:t>111/2012</w:t>
        </w:r>
      </w:hyperlink>
      <w:r>
        <w:t>, ff. 4, 8.</w:t>
      </w:r>
    </w:p>
    <w:p w:rsidR="0043655B" w:rsidRDefault="0043655B" w:rsidP="0043655B">
      <w:pPr>
        <w:pStyle w:val="SangriaFrancesaArticulo"/>
      </w:pPr>
    </w:p>
    <w:p w:rsidR="0043655B" w:rsidRDefault="0043655B" w:rsidP="0043655B">
      <w:pPr>
        <w:pStyle w:val="TextoNormalNegritaCursivandice"/>
      </w:pPr>
      <w:r>
        <w:t>Ley Orgánica 6/2002, de 27 de junio. Partidos políticos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8" w:history="1">
        <w:r w:rsidRPr="0043655B">
          <w:rPr>
            <w:rStyle w:val="TextoNormalCaracter"/>
          </w:rPr>
          <w:t>138/2012</w:t>
        </w:r>
      </w:hyperlink>
      <w:r>
        <w:t>, ff. 14, 16, VP I, VP III.</w:t>
      </w:r>
    </w:p>
    <w:p w:rsidR="0043655B" w:rsidRDefault="0043655B" w:rsidP="0043655B">
      <w:pPr>
        <w:pStyle w:val="SangriaFrancesaArticulo"/>
      </w:pPr>
      <w:r w:rsidRPr="0043655B">
        <w:rPr>
          <w:rStyle w:val="TextoNormalNegritaCaracter"/>
        </w:rPr>
        <w:t>Capítulo preliminar, párrafo 3.</w:t>
      </w:r>
      <w:r w:rsidRPr="0043655B">
        <w:rPr>
          <w:rStyle w:val="TextoNormalCaracter"/>
        </w:rPr>
        <w:t>-</w:t>
      </w:r>
      <w:r>
        <w:t xml:space="preserve"> Sentencia </w:t>
      </w:r>
      <w:hyperlink w:anchor="SENTENCIA_2012_138" w:history="1">
        <w:r w:rsidRPr="0043655B">
          <w:rPr>
            <w:rStyle w:val="TextoNormalCaracter"/>
          </w:rPr>
          <w:t>138/2012</w:t>
        </w:r>
      </w:hyperlink>
      <w:r>
        <w:t>, f. 11.</w:t>
      </w:r>
    </w:p>
    <w:p w:rsidR="0043655B" w:rsidRDefault="0043655B" w:rsidP="0043655B">
      <w:pPr>
        <w:pStyle w:val="SangriaFrancesaArticulo"/>
      </w:pPr>
      <w:r w:rsidRPr="0043655B">
        <w:rPr>
          <w:rStyle w:val="TextoNormalNegritaCaracter"/>
        </w:rPr>
        <w:t>Capítulo II.</w:t>
      </w:r>
      <w:r w:rsidRPr="0043655B">
        <w:rPr>
          <w:rStyle w:val="TextoNormalCaracter"/>
        </w:rPr>
        <w:t>-</w:t>
      </w:r>
      <w:r>
        <w:t xml:space="preserve"> Sentencia </w:t>
      </w:r>
      <w:hyperlink w:anchor="SENTENCIA_2012_138" w:history="1">
        <w:r w:rsidRPr="0043655B">
          <w:rPr>
            <w:rStyle w:val="TextoNormalCaracter"/>
          </w:rPr>
          <w:t>138/2012</w:t>
        </w:r>
      </w:hyperlink>
      <w:r>
        <w:t>, f. 7.</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38" w:history="1">
        <w:r w:rsidRPr="0043655B">
          <w:rPr>
            <w:rStyle w:val="TextoNormalCaracter"/>
          </w:rPr>
          <w:t>138/2012</w:t>
        </w:r>
      </w:hyperlink>
      <w:r>
        <w:t>, ff. 6, 7.</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138" w:history="1">
        <w:r w:rsidRPr="0043655B">
          <w:rPr>
            <w:rStyle w:val="TextoNormalCaracter"/>
          </w:rPr>
          <w:t>138/2012</w:t>
        </w:r>
      </w:hyperlink>
      <w:r>
        <w:t>, f. 2.</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138" w:history="1">
        <w:r w:rsidRPr="0043655B">
          <w:rPr>
            <w:rStyle w:val="TextoNormalCaracter"/>
          </w:rPr>
          <w:t>138/2012</w:t>
        </w:r>
      </w:hyperlink>
      <w:r>
        <w:t>, f. 1.</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138" w:history="1">
        <w:r w:rsidRPr="0043655B">
          <w:rPr>
            <w:rStyle w:val="TextoNormalCaracter"/>
          </w:rPr>
          <w:t>138/2012</w:t>
        </w:r>
      </w:hyperlink>
      <w:r>
        <w:t>, ff. 1, 2.</w:t>
      </w:r>
    </w:p>
    <w:p w:rsidR="0043655B" w:rsidRDefault="0043655B" w:rsidP="0043655B">
      <w:pPr>
        <w:pStyle w:val="SangriaFrancesaArticulo"/>
      </w:pPr>
      <w:r w:rsidRPr="0043655B">
        <w:rPr>
          <w:rStyle w:val="TextoNormalNegritaCaracter"/>
        </w:rPr>
        <w:t>Artículo 5.6.</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138" w:history="1">
        <w:r w:rsidRPr="0043655B">
          <w:rPr>
            <w:rStyle w:val="TextoNormalCaracter"/>
          </w:rPr>
          <w:t>138/2012</w:t>
        </w:r>
      </w:hyperlink>
      <w:r>
        <w:t>, ff. 7, 10, VP III.</w:t>
      </w:r>
    </w:p>
    <w:p w:rsidR="0043655B" w:rsidRDefault="0043655B" w:rsidP="0043655B">
      <w:pPr>
        <w:pStyle w:val="SangriaFrancesaArticulo"/>
      </w:pPr>
      <w:r w:rsidRPr="0043655B">
        <w:rPr>
          <w:rStyle w:val="TextoNormalNegritaCaracter"/>
        </w:rPr>
        <w:t>Artículo 9.1.</w:t>
      </w:r>
      <w:r w:rsidRPr="0043655B">
        <w:rPr>
          <w:rStyle w:val="TextoNormalCaracter"/>
        </w:rPr>
        <w:t>-</w:t>
      </w:r>
      <w:r>
        <w:t xml:space="preserve"> Sentencia </w:t>
      </w:r>
      <w:hyperlink w:anchor="SENTENCIA_2012_138" w:history="1">
        <w:r w:rsidRPr="0043655B">
          <w:rPr>
            <w:rStyle w:val="TextoNormalCaracter"/>
          </w:rPr>
          <w:t>138/2012</w:t>
        </w:r>
      </w:hyperlink>
      <w:r>
        <w:t>, f. 15, VP III.</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138" w:history="1">
        <w:r w:rsidRPr="0043655B">
          <w:rPr>
            <w:rStyle w:val="TextoNormalCaracter"/>
          </w:rPr>
          <w:t>138/2012</w:t>
        </w:r>
      </w:hyperlink>
      <w:r>
        <w:t>, f. 14.</w:t>
      </w:r>
    </w:p>
    <w:p w:rsidR="0043655B" w:rsidRDefault="0043655B" w:rsidP="0043655B">
      <w:pPr>
        <w:pStyle w:val="SangriaFrancesaArticulo"/>
      </w:pPr>
      <w:r w:rsidRPr="0043655B">
        <w:rPr>
          <w:rStyle w:val="TextoNormalNegritaCaracter"/>
        </w:rPr>
        <w:t>Artículo 10.1.</w:t>
      </w:r>
      <w:r w:rsidRPr="0043655B">
        <w:rPr>
          <w:rStyle w:val="TextoNormalCaracter"/>
        </w:rPr>
        <w:t>-</w:t>
      </w:r>
      <w:r>
        <w:t xml:space="preserve"> Sentencia </w:t>
      </w:r>
      <w:hyperlink w:anchor="SENTENCIA_2012_138" w:history="1">
        <w:r w:rsidRPr="0043655B">
          <w:rPr>
            <w:rStyle w:val="TextoNormalCaracter"/>
          </w:rPr>
          <w:t>138/2012</w:t>
        </w:r>
      </w:hyperlink>
      <w:r>
        <w:t>, f. 2.</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38" w:history="1">
        <w:r w:rsidRPr="0043655B">
          <w:rPr>
            <w:rStyle w:val="TextoNormalCaracter"/>
          </w:rPr>
          <w:t>138/2012</w:t>
        </w:r>
      </w:hyperlink>
      <w:r>
        <w:t>, f. 14.</w:t>
      </w:r>
    </w:p>
    <w:p w:rsidR="0043655B" w:rsidRDefault="0043655B" w:rsidP="0043655B">
      <w:pPr>
        <w:pStyle w:val="SangriaFrancesaArticulo"/>
      </w:pPr>
      <w:r w:rsidRPr="0043655B">
        <w:rPr>
          <w:rStyle w:val="TextoNormalNegritaCaracter"/>
        </w:rPr>
        <w:t>Artículo 11.4.</w:t>
      </w:r>
      <w:r w:rsidRPr="0043655B">
        <w:rPr>
          <w:rStyle w:val="TextoNormalCaracter"/>
        </w:rPr>
        <w:t>-</w:t>
      </w:r>
      <w:r>
        <w:t xml:space="preserve"> Sentencia </w:t>
      </w:r>
      <w:hyperlink w:anchor="SENTENCIA_2012_138" w:history="1">
        <w:r w:rsidRPr="0043655B">
          <w:rPr>
            <w:rStyle w:val="TextoNormalCaracter"/>
          </w:rPr>
          <w:t>138/2012</w:t>
        </w:r>
      </w:hyperlink>
      <w:r>
        <w:t>, f. 7.</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38" w:history="1">
        <w:r w:rsidRPr="0043655B">
          <w:rPr>
            <w:rStyle w:val="TextoNormalCaracter"/>
          </w:rPr>
          <w:t>138/2012</w:t>
        </w:r>
      </w:hyperlink>
      <w:r>
        <w:t>, f. 14.</w:t>
      </w:r>
    </w:p>
    <w:p w:rsidR="0043655B" w:rsidRDefault="0043655B" w:rsidP="0043655B">
      <w:pPr>
        <w:pStyle w:val="SangriaFrancesaArticulo"/>
      </w:pPr>
      <w:r w:rsidRPr="0043655B">
        <w:rPr>
          <w:rStyle w:val="TextoNormalNegritaCaracter"/>
        </w:rPr>
        <w:t>Artículo 12.1 b).</w:t>
      </w:r>
      <w:r w:rsidRPr="0043655B">
        <w:rPr>
          <w:rStyle w:val="TextoNormalCaracter"/>
        </w:rPr>
        <w:t>-</w:t>
      </w:r>
      <w:r>
        <w:t xml:space="preserve"> Sentencia </w:t>
      </w:r>
      <w:hyperlink w:anchor="SENTENCIA_2012_138" w:history="1">
        <w:r w:rsidRPr="0043655B">
          <w:rPr>
            <w:rStyle w:val="TextoNormalCaracter"/>
          </w:rPr>
          <w:t>138/2012</w:t>
        </w:r>
      </w:hyperlink>
      <w:r>
        <w:t>, ff. 1, 4, 6, 10, 15, VP I, VP III.</w:t>
      </w:r>
    </w:p>
    <w:p w:rsidR="0043655B" w:rsidRDefault="0043655B" w:rsidP="0043655B">
      <w:pPr>
        <w:pStyle w:val="SangriaFrancesaArticulo"/>
      </w:pPr>
      <w:r w:rsidRPr="0043655B">
        <w:rPr>
          <w:rStyle w:val="TextoNormalNegritaCaracter"/>
        </w:rPr>
        <w:t>Artículo 12.3.</w:t>
      </w:r>
      <w:r w:rsidRPr="0043655B">
        <w:rPr>
          <w:rStyle w:val="TextoNormalCaracter"/>
        </w:rPr>
        <w:t>-</w:t>
      </w:r>
      <w:r>
        <w:t xml:space="preserve"> Sentencia </w:t>
      </w:r>
      <w:hyperlink w:anchor="SENTENCIA_2012_138" w:history="1">
        <w:r w:rsidRPr="0043655B">
          <w:rPr>
            <w:rStyle w:val="TextoNormalCaracter"/>
          </w:rPr>
          <w:t>138/2012</w:t>
        </w:r>
      </w:hyperlink>
      <w:r>
        <w:t>, ff. 1, 9, 11, 12, 14, VP II, VP III.</w:t>
      </w:r>
    </w:p>
    <w:p w:rsidR="0043655B" w:rsidRDefault="0043655B" w:rsidP="0043655B">
      <w:pPr>
        <w:pStyle w:val="SangriaFrancesaArticulo"/>
      </w:pPr>
    </w:p>
    <w:p w:rsidR="0043655B" w:rsidRDefault="0043655B" w:rsidP="0043655B">
      <w:pPr>
        <w:pStyle w:val="TextoNormalNegritaCursivandice"/>
      </w:pPr>
      <w:r>
        <w:t>Ley Orgánica 7/2003, de 30 de junio. Medidas de reforma para el cumplimiento íntegro y efectivo de las penas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ff. 6, 9; </w:t>
      </w:r>
      <w:hyperlink w:anchor="SENTENCIA_2012_41" w:history="1">
        <w:r w:rsidRPr="0043655B">
          <w:rPr>
            <w:rStyle w:val="TextoNormalCaracter"/>
          </w:rPr>
          <w:t>41/2012</w:t>
        </w:r>
      </w:hyperlink>
      <w:r>
        <w:t xml:space="preserve">, f. 6, VP I;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w:t>
      </w:r>
      <w:r>
        <w:lastRenderedPageBreak/>
        <w:t xml:space="preserve">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p>
    <w:p w:rsidR="0043655B" w:rsidRDefault="0043655B" w:rsidP="0043655B">
      <w:pPr>
        <w:pStyle w:val="TextoNormalNegritaCursivandice"/>
      </w:pPr>
      <w:r>
        <w:t>Ley Orgánica 15/2003, de 25 de noviembre. Modificación de la Ley Orgánica 10/1995, de 23 de noviembre, del Código penal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92" w:history="1">
        <w:r w:rsidRPr="0043655B">
          <w:rPr>
            <w:rStyle w:val="TextoNormalCaracter"/>
          </w:rPr>
          <w:t>92/2012</w:t>
        </w:r>
      </w:hyperlink>
      <w:r>
        <w:t xml:space="preserve">, ff. 4, 5; </w:t>
      </w:r>
      <w:hyperlink w:anchor="SENTENCIA_2012_101" w:history="1">
        <w:r w:rsidRPr="0043655B">
          <w:rPr>
            <w:rStyle w:val="TextoNormalCaracter"/>
          </w:rPr>
          <w:t>101/2012</w:t>
        </w:r>
      </w:hyperlink>
      <w:r>
        <w:t>, f. 3.</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39" w:history="1">
        <w:r w:rsidRPr="0043655B">
          <w:rPr>
            <w:rStyle w:val="TextoNormalCaracter"/>
          </w:rPr>
          <w:t>39/2012</w:t>
        </w:r>
      </w:hyperlink>
      <w:r>
        <w:t>, VP I.</w:t>
      </w:r>
    </w:p>
    <w:p w:rsidR="0043655B" w:rsidRDefault="0043655B" w:rsidP="0043655B">
      <w:pPr>
        <w:pStyle w:val="SangriaFrancesaArticulo"/>
      </w:pPr>
      <w:r w:rsidRPr="0043655B">
        <w:rPr>
          <w:rStyle w:val="TextoNormalNegritaCaracter"/>
        </w:rPr>
        <w:t>Artículo único apartado 124.</w:t>
      </w:r>
      <w:r w:rsidRPr="0043655B">
        <w:rPr>
          <w:rStyle w:val="TextoNormalCaracter"/>
        </w:rPr>
        <w:t>-</w:t>
      </w:r>
      <w:r>
        <w:t xml:space="preserve"> Sentencia </w:t>
      </w:r>
      <w:hyperlink w:anchor="SENTENCIA_2012_101" w:history="1">
        <w:r w:rsidRPr="0043655B">
          <w:rPr>
            <w:rStyle w:val="TextoNormalCaracter"/>
          </w:rPr>
          <w:t>101/2012</w:t>
        </w:r>
      </w:hyperlink>
      <w:r>
        <w:t>, f. 2.</w:t>
      </w:r>
    </w:p>
    <w:p w:rsidR="0043655B" w:rsidRDefault="0043655B" w:rsidP="0043655B">
      <w:pPr>
        <w:pStyle w:val="SangriaFrancesaArticulo"/>
      </w:pPr>
      <w:r w:rsidRPr="0043655B">
        <w:rPr>
          <w:rStyle w:val="TextoNormalNegritaCaracter"/>
        </w:rPr>
        <w:t>Artículo único.124.</w:t>
      </w:r>
      <w:r w:rsidRPr="0043655B">
        <w:rPr>
          <w:rStyle w:val="TextoNormalCaracter"/>
        </w:rPr>
        <w:t>-</w:t>
      </w:r>
      <w:r>
        <w:t xml:space="preserve"> Sentencia </w:t>
      </w:r>
      <w:hyperlink w:anchor="SENTENCIA_2012_101" w:history="1">
        <w:r w:rsidRPr="0043655B">
          <w:rPr>
            <w:rStyle w:val="TextoNormalCaracter"/>
          </w:rPr>
          <w:t>101/2012</w:t>
        </w:r>
      </w:hyperlink>
      <w:r>
        <w:t>, f. 2.</w:t>
      </w:r>
    </w:p>
    <w:p w:rsidR="0043655B" w:rsidRDefault="0043655B" w:rsidP="0043655B">
      <w:pPr>
        <w:pStyle w:val="SangriaFrancesaArticulo"/>
      </w:pPr>
      <w:r w:rsidRPr="0043655B">
        <w:rPr>
          <w:rStyle w:val="TextoNormalNegritaCaracter"/>
        </w:rPr>
        <w:t>Disposición transitoria primera.</w:t>
      </w:r>
      <w:r w:rsidRPr="0043655B">
        <w:rPr>
          <w:rStyle w:val="TextoNormalCaracter"/>
        </w:rPr>
        <w:t>-</w:t>
      </w:r>
      <w:r>
        <w:t xml:space="preserve"> Sentencia </w:t>
      </w:r>
      <w:hyperlink w:anchor="SENTENCIA_2012_101" w:history="1">
        <w:r w:rsidRPr="0043655B">
          <w:rPr>
            <w:rStyle w:val="TextoNormalCaracter"/>
          </w:rPr>
          <w:t>101/2012</w:t>
        </w:r>
      </w:hyperlink>
      <w:r>
        <w:t>, f. 2.</w:t>
      </w:r>
    </w:p>
    <w:p w:rsidR="0043655B" w:rsidRDefault="0043655B" w:rsidP="0043655B">
      <w:pPr>
        <w:pStyle w:val="SangriaFrancesaArticulo"/>
      </w:pPr>
    </w:p>
    <w:p w:rsidR="0043655B" w:rsidRDefault="0043655B" w:rsidP="0043655B">
      <w:pPr>
        <w:pStyle w:val="TextoNormalNegritaCursivandice"/>
      </w:pPr>
      <w:r>
        <w:t>Ley Orgánica 19/2003, de 23 de diciembre. Modificación de la Ley Orgánica 6/1985, de 1 de julio, del Poder Judicial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 w:history="1">
        <w:r w:rsidRPr="0043655B">
          <w:rPr>
            <w:rStyle w:val="TextoNormalCaracter"/>
          </w:rPr>
          <w:t>11/2012</w:t>
        </w:r>
      </w:hyperlink>
      <w:r>
        <w:t>, f. 2.</w:t>
      </w:r>
    </w:p>
    <w:p w:rsidR="0043655B" w:rsidRDefault="0043655B" w:rsidP="0043655B">
      <w:pPr>
        <w:pStyle w:val="SangriaFrancesaArticulo"/>
      </w:pPr>
    </w:p>
    <w:p w:rsidR="0043655B" w:rsidRDefault="0043655B" w:rsidP="0043655B">
      <w:pPr>
        <w:pStyle w:val="TextoNormalNegritaCursivandice"/>
      </w:pPr>
      <w:r>
        <w:t>Ley Orgánica 1/2004, de 28 de diciembre. Medidas de protección integral contra la violencia de género</w:t>
      </w:r>
    </w:p>
    <w:p w:rsidR="0043655B" w:rsidRDefault="0043655B" w:rsidP="0043655B">
      <w:pPr>
        <w:pStyle w:val="SangriaFrancesaArticulo"/>
      </w:pPr>
      <w:r w:rsidRPr="0043655B">
        <w:rPr>
          <w:rStyle w:val="TextoNormalNegritaCaracter"/>
        </w:rPr>
        <w:t>Artículo 64.3.</w:t>
      </w:r>
      <w:r w:rsidRPr="0043655B">
        <w:rPr>
          <w:rStyle w:val="TextoNormalCaracter"/>
        </w:rPr>
        <w:t>-</w:t>
      </w:r>
      <w:r>
        <w:t xml:space="preserve"> Sentencia </w:t>
      </w:r>
      <w:hyperlink w:anchor="SENTENCIA_2012_16" w:history="1">
        <w:r w:rsidRPr="0043655B">
          <w:rPr>
            <w:rStyle w:val="TextoNormalCaracter"/>
          </w:rPr>
          <w:t>16/2012</w:t>
        </w:r>
      </w:hyperlink>
      <w:r>
        <w:t>, f. 4.</w:t>
      </w:r>
    </w:p>
    <w:p w:rsidR="0043655B" w:rsidRDefault="0043655B" w:rsidP="0043655B">
      <w:pPr>
        <w:pStyle w:val="SangriaFrancesaArticulo"/>
      </w:pPr>
      <w:r w:rsidRPr="0043655B">
        <w:rPr>
          <w:rStyle w:val="TextoNormalNegritaCaracter"/>
        </w:rPr>
        <w:t>Artículo 69.</w:t>
      </w:r>
      <w:r w:rsidRPr="0043655B">
        <w:rPr>
          <w:rStyle w:val="TextoNormalCaracter"/>
        </w:rPr>
        <w:t>-</w:t>
      </w:r>
      <w:r>
        <w:t xml:space="preserve"> Sentencia </w:t>
      </w:r>
      <w:hyperlink w:anchor="SENTENCIA_2012_16" w:history="1">
        <w:r w:rsidRPr="0043655B">
          <w:rPr>
            <w:rStyle w:val="TextoNormalCaracter"/>
          </w:rPr>
          <w:t>16/2012</w:t>
        </w:r>
      </w:hyperlink>
      <w:r>
        <w:t>, ff. 1, 4, 5.</w:t>
      </w:r>
    </w:p>
    <w:p w:rsidR="0043655B" w:rsidRDefault="0043655B" w:rsidP="0043655B">
      <w:pPr>
        <w:pStyle w:val="SangriaFrancesaArticulo"/>
      </w:pPr>
    </w:p>
    <w:p w:rsidR="0043655B" w:rsidRDefault="0043655B" w:rsidP="0043655B">
      <w:pPr>
        <w:pStyle w:val="TextoNormalNegritaCursivandice"/>
      </w:pPr>
      <w:r>
        <w:t>Ley Orgánica 2/2006, de 3 de mayo. Educación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ff. 3, 5, 8.</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111" w:history="1">
        <w:r w:rsidRPr="0043655B">
          <w:rPr>
            <w:rStyle w:val="TextoNormalCaracter"/>
          </w:rPr>
          <w:t>111/2012</w:t>
        </w:r>
      </w:hyperlink>
      <w:r>
        <w:t>, ff. 8, 10.</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 39.1.</w:t>
      </w:r>
      <w:r w:rsidRPr="0043655B">
        <w:rPr>
          <w:rStyle w:val="TextoNormalCaracter"/>
        </w:rPr>
        <w:t>-</w:t>
      </w:r>
      <w:r>
        <w:t xml:space="preserve"> Sentencia </w:t>
      </w:r>
      <w:hyperlink w:anchor="SENTENCIA_2012_111" w:history="1">
        <w:r w:rsidRPr="0043655B">
          <w:rPr>
            <w:rStyle w:val="TextoNormalCaracter"/>
          </w:rPr>
          <w:t>111/2012</w:t>
        </w:r>
      </w:hyperlink>
      <w:r>
        <w:t>, ff. 3, 7.</w:t>
      </w:r>
    </w:p>
    <w:p w:rsidR="0043655B" w:rsidRDefault="0043655B" w:rsidP="0043655B">
      <w:pPr>
        <w:pStyle w:val="SangriaFrancesaArticulo"/>
      </w:pPr>
      <w:r w:rsidRPr="0043655B">
        <w:rPr>
          <w:rStyle w:val="TextoNormalNegritaCaracter"/>
        </w:rPr>
        <w:t>Artículo 39.5.</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39.6.</w:t>
      </w:r>
      <w:r w:rsidRPr="0043655B">
        <w:rPr>
          <w:rStyle w:val="TextoNormalCaracter"/>
        </w:rPr>
        <w:t>-</w:t>
      </w:r>
      <w:r>
        <w:t xml:space="preserve"> Sentencia </w:t>
      </w:r>
      <w:hyperlink w:anchor="SENTENCIA_2012_111" w:history="1">
        <w:r w:rsidRPr="0043655B">
          <w:rPr>
            <w:rStyle w:val="TextoNormalCaracter"/>
          </w:rPr>
          <w:t>111/2012</w:t>
        </w:r>
      </w:hyperlink>
      <w:r>
        <w:t>, f. 8.</w:t>
      </w:r>
    </w:p>
    <w:p w:rsidR="0043655B" w:rsidRDefault="0043655B" w:rsidP="0043655B">
      <w:pPr>
        <w:pStyle w:val="SangriaFrancesaArticulo"/>
      </w:pPr>
      <w:r w:rsidRPr="0043655B">
        <w:rPr>
          <w:rStyle w:val="TextoNormalNegritaCaracter"/>
        </w:rPr>
        <w:t>Artículos 39 a 44.</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42.2.</w:t>
      </w:r>
      <w:r w:rsidRPr="0043655B">
        <w:rPr>
          <w:rStyle w:val="TextoNormalCaracter"/>
        </w:rPr>
        <w:t>-</w:t>
      </w:r>
      <w:r>
        <w:t xml:space="preserve"> Sentencia </w:t>
      </w:r>
      <w:hyperlink w:anchor="SENTENCIA_2012_111" w:history="1">
        <w:r w:rsidRPr="0043655B">
          <w:rPr>
            <w:rStyle w:val="TextoNormalCaracter"/>
          </w:rPr>
          <w:t>111/2012</w:t>
        </w:r>
      </w:hyperlink>
      <w:r>
        <w:t>, f. 12.</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r w:rsidRPr="0043655B">
        <w:rPr>
          <w:rStyle w:val="TextoNormalNegritaCaracter"/>
        </w:rPr>
        <w:t>Disposición final quinta.</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p>
    <w:p w:rsidR="0043655B" w:rsidRDefault="0043655B" w:rsidP="0043655B">
      <w:pPr>
        <w:pStyle w:val="TextoNormalNegritaCursivandice"/>
      </w:pPr>
      <w:r>
        <w:t>Ley Orgánica 1/2009, de 3 de noviembre. Complementaria de la Ley de reforma de la legislación procesal para la implantación de la nueva oficina judicial, por la que se modifica la Ley Orgánica 6/1985, de 1 de julio, del Poder Judicial</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r w:rsidRPr="0043655B">
        <w:rPr>
          <w:rStyle w:val="TextoNormalNegritaCaracter"/>
        </w:rPr>
        <w:t>Artículo 1.19.</w:t>
      </w:r>
      <w:r w:rsidRPr="0043655B">
        <w:rPr>
          <w:rStyle w:val="TextoNormalCaracter"/>
        </w:rPr>
        <w:t>-</w:t>
      </w:r>
      <w:r>
        <w:t xml:space="preserve"> Sentencias </w:t>
      </w:r>
      <w:hyperlink w:anchor="SENTENCIA_2012_129" w:history="1">
        <w:r w:rsidRPr="0043655B">
          <w:rPr>
            <w:rStyle w:val="TextoNormalCaracter"/>
          </w:rPr>
          <w:t>129/2012</w:t>
        </w:r>
      </w:hyperlink>
      <w:r>
        <w:t xml:space="preserve">, f. 3; </w:t>
      </w:r>
      <w:hyperlink w:anchor="SENTENCIA_2012_130" w:history="1">
        <w:r w:rsidRPr="0043655B">
          <w:rPr>
            <w:rStyle w:val="TextoNormalCaracter"/>
          </w:rPr>
          <w:t>130/2012</w:t>
        </w:r>
      </w:hyperlink>
      <w:r>
        <w:t>, f. 3.</w:t>
      </w:r>
    </w:p>
    <w:p w:rsidR="0043655B" w:rsidRDefault="0043655B" w:rsidP="0043655B">
      <w:pPr>
        <w:pStyle w:val="SangriaFrancesaArticulo"/>
      </w:pPr>
    </w:p>
    <w:p w:rsidR="0043655B" w:rsidRDefault="0043655B" w:rsidP="0043655B">
      <w:pPr>
        <w:pStyle w:val="TextoNormalNegritaCursivandice"/>
      </w:pPr>
      <w:r>
        <w:t>Ley Orgánica 3/2009, de 18 de diciembre. Modificación de la Ley Orgánica 8/1980, de 22 de septiembre. Financiación de las Comunidades Autónomas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2" w:history="1">
        <w:r w:rsidRPr="0043655B">
          <w:rPr>
            <w:rStyle w:val="TextoNormalCaracter"/>
          </w:rPr>
          <w:t>32/2012</w:t>
        </w:r>
      </w:hyperlink>
      <w:r>
        <w:t xml:space="preserve">, f. 6; </w:t>
      </w:r>
      <w:hyperlink w:anchor="SENTENCIA_2012_122" w:history="1">
        <w:r w:rsidRPr="0043655B">
          <w:rPr>
            <w:rStyle w:val="TextoNormalCaracter"/>
          </w:rPr>
          <w:t>122/2012</w:t>
        </w:r>
      </w:hyperlink>
      <w:r>
        <w:t>, ff. 1 a 4.</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32" w:history="1">
        <w:r w:rsidRPr="0043655B">
          <w:rPr>
            <w:rStyle w:val="TextoNormalCaracter"/>
          </w:rPr>
          <w:t>32/2012</w:t>
        </w:r>
      </w:hyperlink>
      <w:r>
        <w:t>, f. 6.</w:t>
      </w:r>
    </w:p>
    <w:p w:rsidR="0043655B" w:rsidRDefault="0043655B" w:rsidP="0043655B">
      <w:pPr>
        <w:pStyle w:val="SangriaFrancesaArticulo"/>
      </w:pPr>
      <w:r w:rsidRPr="0043655B">
        <w:rPr>
          <w:rStyle w:val="TextoNormalNegritaCaracter"/>
        </w:rPr>
        <w:t>Artículo 2.1 f).</w:t>
      </w:r>
      <w:r w:rsidRPr="0043655B">
        <w:rPr>
          <w:rStyle w:val="TextoNormalCaracter"/>
        </w:rPr>
        <w:t>-</w:t>
      </w:r>
      <w:r>
        <w:t xml:space="preserve"> Sentencia </w:t>
      </w:r>
      <w:hyperlink w:anchor="SENTENCIA_2012_32" w:history="1">
        <w:r w:rsidRPr="0043655B">
          <w:rPr>
            <w:rStyle w:val="TextoNormalCaracter"/>
          </w:rPr>
          <w:t>32/2012</w:t>
        </w:r>
      </w:hyperlink>
      <w:r>
        <w:t>, f. 6.</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 </w:t>
      </w:r>
      <w:hyperlink w:anchor="SENTENCIA_2012_32" w:history="1">
        <w:r w:rsidRPr="0043655B">
          <w:rPr>
            <w:rStyle w:val="TextoNormalCaracter"/>
          </w:rPr>
          <w:t>32/2012</w:t>
        </w:r>
      </w:hyperlink>
      <w:r>
        <w:t>, f. 5.</w:t>
      </w:r>
    </w:p>
    <w:p w:rsidR="0043655B" w:rsidRDefault="0043655B" w:rsidP="0043655B">
      <w:pPr>
        <w:pStyle w:val="SangriaFrancesaArticulo"/>
      </w:pPr>
    </w:p>
    <w:p w:rsidR="0043655B" w:rsidRDefault="0043655B" w:rsidP="0043655B">
      <w:pPr>
        <w:pStyle w:val="TextoNormalNegritaCursivandice"/>
      </w:pPr>
      <w:r>
        <w:lastRenderedPageBreak/>
        <w:t>Ley Orgánica 5/2010, de 22 de junio. Modifica la Ley Orgánica 10/1995, de 23 de noviembre, del Código penal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0" w:history="1">
        <w:r w:rsidRPr="0043655B">
          <w:rPr>
            <w:rStyle w:val="TextoNormalCaracter"/>
          </w:rPr>
          <w:t>70/2012</w:t>
        </w:r>
      </w:hyperlink>
      <w:r>
        <w:t>, f. 3.</w:t>
      </w:r>
    </w:p>
    <w:p w:rsidR="0043655B" w:rsidRDefault="0043655B" w:rsidP="0043655B">
      <w:pPr>
        <w:pStyle w:val="SangriaFrancesaArticulo"/>
      </w:pPr>
    </w:p>
    <w:p w:rsidR="0043655B" w:rsidRDefault="0043655B" w:rsidP="0043655B">
      <w:pPr>
        <w:pStyle w:val="TextoNormalNegritaCursivandice"/>
      </w:pPr>
      <w:r>
        <w:t>Ley Orgánica 2/2011, de 28 de enero. Modificación de la Ley Orgánica 5/1985, de 19 de junio, del régimen electoral general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5" w:history="1">
        <w:r w:rsidRPr="0043655B">
          <w:rPr>
            <w:rStyle w:val="TextoNormalCaracter"/>
          </w:rPr>
          <w:t>105/2012</w:t>
        </w:r>
      </w:hyperlink>
      <w:r>
        <w:t>, ff. 1 a 6, 8 a 14, VP.</w:t>
      </w:r>
    </w:p>
    <w:p w:rsidR="0043655B" w:rsidRDefault="0043655B" w:rsidP="0043655B">
      <w:pPr>
        <w:pStyle w:val="SangriaFrancesaArticulo"/>
      </w:pPr>
    </w:p>
    <w:p w:rsidR="0043655B" w:rsidRDefault="0043655B" w:rsidP="0043655B">
      <w:pPr>
        <w:pStyle w:val="TextoNormalNegritaCursivandice"/>
      </w:pPr>
      <w:r>
        <w:t>Ley Orgánica 3/2011, de 28 de enero. Modificación de la Ley Orgánica 5/1985, de 19 de junio, del régimen electoral general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8" w:history="1">
        <w:r w:rsidRPr="0043655B">
          <w:rPr>
            <w:rStyle w:val="TextoNormalCaracter"/>
          </w:rPr>
          <w:t>138/2012</w:t>
        </w:r>
      </w:hyperlink>
      <w:r>
        <w:t>, f. 14, VP III.</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38" w:history="1">
        <w:r w:rsidRPr="0043655B">
          <w:rPr>
            <w:rStyle w:val="TextoNormalCaracter"/>
          </w:rPr>
          <w:t>138/2012</w:t>
        </w:r>
      </w:hyperlink>
      <w:r>
        <w:t>, f. 14.</w:t>
      </w:r>
    </w:p>
    <w:p w:rsidR="0043655B" w:rsidRDefault="0043655B" w:rsidP="0043655B">
      <w:pPr>
        <w:pStyle w:val="SangriaFrancesaArticulo"/>
      </w:pPr>
    </w:p>
    <w:p w:rsidR="0043655B" w:rsidRDefault="0043655B" w:rsidP="0043655B">
      <w:pPr>
        <w:pStyle w:val="TextoNormalNegritaCursivandice"/>
      </w:pPr>
      <w:r>
        <w:t>Ley Orgánica 4/2011, de 11 de marzo. Complementaria de la Ley de economía sostenible, por la que se modifican las Leyes Orgánicas 5/2002, de 19 de junio, 2/2006, de 3 de mayo, y 6/1985, de 1 de julio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ff. 2, 3, 8, 9.</w:t>
      </w:r>
    </w:p>
    <w:p w:rsidR="0043655B" w:rsidRDefault="0043655B" w:rsidP="0043655B">
      <w:pPr>
        <w:pStyle w:val="SangriaFrancesaArticulo"/>
      </w:pPr>
    </w:p>
    <w:p w:rsidR="0043655B" w:rsidRDefault="0043655B" w:rsidP="0043655B">
      <w:pPr>
        <w:pStyle w:val="TextoNormalNegritaCursivandice"/>
      </w:pPr>
      <w:r>
        <w:t>Ley Orgánica 2/2012, de 27 de abril. Estabilidad presupuestaria y sostenibilidad financiera</w:t>
      </w:r>
    </w:p>
    <w:p w:rsidR="0043655B" w:rsidRDefault="0043655B" w:rsidP="0043655B">
      <w:pPr>
        <w:pStyle w:val="SangriaFrancesaArticulo"/>
      </w:pPr>
      <w:r w:rsidRPr="0043655B">
        <w:rPr>
          <w:rStyle w:val="TextoNormalNegritaCaracter"/>
        </w:rPr>
        <w:t>Artículo 13.5.</w:t>
      </w:r>
      <w:r w:rsidRPr="0043655B">
        <w:rPr>
          <w:rStyle w:val="TextoNormalCaracter"/>
        </w:rPr>
        <w:t>-</w:t>
      </w:r>
      <w:r>
        <w:t xml:space="preserve"> Sentencia </w:t>
      </w:r>
      <w:hyperlink w:anchor="SENTENCIA_2012_120" w:history="1">
        <w:r w:rsidRPr="0043655B">
          <w:rPr>
            <w:rStyle w:val="TextoNormalCaracter"/>
          </w:rPr>
          <w:t>120/2012</w:t>
        </w:r>
      </w:hyperlink>
      <w:r>
        <w:t>, ff. 2, 5.</w:t>
      </w:r>
    </w:p>
    <w:p w:rsidR="0043655B" w:rsidRDefault="0043655B" w:rsidP="0043655B">
      <w:pPr>
        <w:pStyle w:val="TextoNormal"/>
      </w:pPr>
    </w:p>
    <w:p w:rsidR="0043655B" w:rsidRDefault="0043655B" w:rsidP="0043655B">
      <w:pPr>
        <w:pStyle w:val="SangriaFrancesaArticulo"/>
      </w:pPr>
      <w:bookmarkStart w:id="285" w:name="INDICE22846"/>
    </w:p>
    <w:bookmarkEnd w:id="285"/>
    <w:p w:rsidR="0043655B" w:rsidRDefault="0043655B" w:rsidP="0043655B">
      <w:pPr>
        <w:pStyle w:val="TextoIndiceNivel2"/>
        <w:suppressAutoHyphens/>
      </w:pPr>
      <w:r>
        <w:t>E) Leyes de las Cortes Generales</w:t>
      </w:r>
    </w:p>
    <w:p w:rsidR="0043655B" w:rsidRDefault="0043655B" w:rsidP="0043655B">
      <w:pPr>
        <w:pStyle w:val="TextoIndiceNivel2"/>
      </w:pPr>
    </w:p>
    <w:p w:rsidR="0043655B" w:rsidRDefault="0043655B" w:rsidP="0043655B">
      <w:pPr>
        <w:pStyle w:val="TextoNormalNegritaCursivandice"/>
      </w:pPr>
      <w:r>
        <w:t>Ley 30/1979, de 27 de octubre. Extracción y trasplante de órganos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 8.</w:t>
      </w:r>
    </w:p>
    <w:p w:rsidR="0043655B" w:rsidRDefault="0043655B" w:rsidP="0043655B">
      <w:pPr>
        <w:pStyle w:val="SangriaFrancesaArticulo"/>
      </w:pPr>
    </w:p>
    <w:p w:rsidR="0043655B" w:rsidRDefault="0043655B" w:rsidP="0043655B">
      <w:pPr>
        <w:pStyle w:val="TextoNormalNegritaCursivandice"/>
      </w:pPr>
      <w:r>
        <w:t>Ley 13/1980, de 31 de marzo. General de la cultura física y deporte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0" w:history="1">
        <w:r w:rsidRPr="0043655B">
          <w:rPr>
            <w:rStyle w:val="TextoNormalCaracter"/>
          </w:rPr>
          <w:t>80/2012</w:t>
        </w:r>
      </w:hyperlink>
      <w:r>
        <w:t xml:space="preserve">, ff. 7, 10; </w:t>
      </w:r>
      <w:hyperlink w:anchor="SENTENCIA_2012_110" w:history="1">
        <w:r w:rsidRPr="0043655B">
          <w:rPr>
            <w:rStyle w:val="TextoNormalCaracter"/>
          </w:rPr>
          <w:t>110/2012</w:t>
        </w:r>
      </w:hyperlink>
      <w:r>
        <w:t>, f. 5.</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80" w:history="1">
        <w:r w:rsidRPr="0043655B">
          <w:rPr>
            <w:rStyle w:val="TextoNormalCaracter"/>
          </w:rPr>
          <w:t>80/2012</w:t>
        </w:r>
      </w:hyperlink>
      <w:r>
        <w:t>, f. 8.</w:t>
      </w:r>
    </w:p>
    <w:p w:rsidR="0043655B" w:rsidRDefault="0043655B" w:rsidP="0043655B">
      <w:pPr>
        <w:pStyle w:val="SangriaFrancesaArticulo"/>
      </w:pPr>
    </w:p>
    <w:p w:rsidR="0043655B" w:rsidRDefault="0043655B" w:rsidP="0043655B">
      <w:pPr>
        <w:pStyle w:val="TextoNormalNegritaCursivandice"/>
      </w:pPr>
      <w:r>
        <w:t>Ley 50/1980, de 8 de octubre. Regulación del contrato de seguro</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 </w:t>
      </w:r>
      <w:hyperlink w:anchor="SENTENCIA_2012_10" w:history="1">
        <w:r w:rsidRPr="0043655B">
          <w:rPr>
            <w:rStyle w:val="TextoNormalCaracter"/>
          </w:rPr>
          <w:t>10/2012</w:t>
        </w:r>
      </w:hyperlink>
      <w:r>
        <w:t>, f. 3.</w:t>
      </w:r>
    </w:p>
    <w:p w:rsidR="0043655B" w:rsidRDefault="0043655B" w:rsidP="0043655B">
      <w:pPr>
        <w:pStyle w:val="SangriaFrancesaArticulo"/>
      </w:pPr>
    </w:p>
    <w:p w:rsidR="0043655B" w:rsidRDefault="0043655B" w:rsidP="0043655B">
      <w:pPr>
        <w:pStyle w:val="TextoNormalNegritaCursivandice"/>
      </w:pPr>
      <w:r>
        <w:t>Ley 51/1980, de 8 de octubre. Básica de empleo</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Ley 52/1980, de 16 de octubre. Regulación del régimen económico de la explotación del Acueducto Tajo-Segura</w:t>
      </w:r>
    </w:p>
    <w:p w:rsidR="0043655B" w:rsidRDefault="0043655B" w:rsidP="0043655B">
      <w:pPr>
        <w:pStyle w:val="SangriaFrancesaArticulo"/>
      </w:pPr>
      <w:r w:rsidRPr="0043655B">
        <w:rPr>
          <w:rStyle w:val="TextoNormalNegritaCaracter"/>
        </w:rPr>
        <w:t>En general</w:t>
      </w:r>
      <w:r>
        <w:t xml:space="preserve"> </w:t>
      </w:r>
      <w:r w:rsidRPr="0043655B">
        <w:rPr>
          <w:rStyle w:val="TextoNormalCaracter"/>
        </w:rPr>
        <w:t>(redactada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1.</w:t>
      </w:r>
    </w:p>
    <w:p w:rsidR="0043655B" w:rsidRDefault="0043655B" w:rsidP="0043655B">
      <w:pPr>
        <w:pStyle w:val="SangriaFrancesaArticulo"/>
      </w:pPr>
      <w:r w:rsidRPr="0043655B">
        <w:rPr>
          <w:rStyle w:val="TextoNormalNegritaCaracter"/>
        </w:rPr>
        <w:t>Artículo 7</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4.</w:t>
      </w:r>
    </w:p>
    <w:p w:rsidR="0043655B" w:rsidRDefault="0043655B" w:rsidP="0043655B">
      <w:pPr>
        <w:pStyle w:val="SangriaFrancesaArticulo"/>
      </w:pPr>
      <w:r w:rsidRPr="0043655B">
        <w:rPr>
          <w:rStyle w:val="TextoNormalNegritaCaracter"/>
        </w:rPr>
        <w:lastRenderedPageBreak/>
        <w:t>Artículo 7.1 a)</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1.</w:t>
      </w:r>
    </w:p>
    <w:p w:rsidR="0043655B" w:rsidRDefault="0043655B" w:rsidP="0043655B">
      <w:pPr>
        <w:pStyle w:val="SangriaFrancesaArticulo"/>
      </w:pPr>
      <w:r w:rsidRPr="0043655B">
        <w:rPr>
          <w:rStyle w:val="TextoNormalNegritaCaracter"/>
        </w:rPr>
        <w:t>Artículo 7.2 a)</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1.</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ff. 1, 4.</w:t>
      </w:r>
    </w:p>
    <w:p w:rsidR="0043655B" w:rsidRDefault="0043655B" w:rsidP="0043655B">
      <w:pPr>
        <w:pStyle w:val="SangriaFrancesaArticulo"/>
      </w:pPr>
      <w:r w:rsidRPr="0043655B">
        <w:rPr>
          <w:rStyle w:val="TextoNormalNegritaCaracter"/>
        </w:rPr>
        <w:t>Disposición adicional primera</w:t>
      </w:r>
      <w:r>
        <w:t xml:space="preserve"> </w:t>
      </w:r>
      <w:r w:rsidRPr="0043655B">
        <w:rPr>
          <w:rStyle w:val="TextoNormalCaracter"/>
        </w:rPr>
        <w:t>(redactada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4.</w:t>
      </w:r>
    </w:p>
    <w:p w:rsidR="0043655B" w:rsidRDefault="0043655B" w:rsidP="0043655B">
      <w:pPr>
        <w:pStyle w:val="SangriaFrancesaArticulo"/>
      </w:pPr>
      <w:r w:rsidRPr="0043655B">
        <w:rPr>
          <w:rStyle w:val="TextoNormalNegritaCaracter"/>
        </w:rPr>
        <w:t>Disposición adicional sexta</w:t>
      </w:r>
      <w:r>
        <w:t xml:space="preserve"> </w:t>
      </w:r>
      <w:r w:rsidRPr="0043655B">
        <w:rPr>
          <w:rStyle w:val="TextoNormalCaracter"/>
        </w:rPr>
        <w:t>(redactada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4.</w:t>
      </w:r>
    </w:p>
    <w:p w:rsidR="0043655B" w:rsidRDefault="0043655B" w:rsidP="0043655B">
      <w:pPr>
        <w:pStyle w:val="SangriaFrancesaArticulo"/>
      </w:pPr>
    </w:p>
    <w:p w:rsidR="0043655B" w:rsidRDefault="0043655B" w:rsidP="0043655B">
      <w:pPr>
        <w:pStyle w:val="TextoNormalNegritaCursivandice"/>
      </w:pPr>
      <w:r>
        <w:t>Ley 30/1981, de 7 de julio. Modificación de la regulación del matrimonio en el Código civil y determinación del procedimiento a seguir en las causas de nulidad, separación y divorcio</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110.</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111.</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142.</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143.</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146.</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p>
    <w:p w:rsidR="0043655B" w:rsidRDefault="0043655B" w:rsidP="0043655B">
      <w:pPr>
        <w:pStyle w:val="TextoNormalNegritaCursivandice"/>
      </w:pPr>
      <w:r>
        <w:t>Ley 30/1984, de 2 de agosto. Medidas para la reforma de la función pública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 w:history="1">
        <w:r w:rsidRPr="0043655B">
          <w:rPr>
            <w:rStyle w:val="TextoNormalCaracter"/>
          </w:rPr>
          <w:t>3/2012</w:t>
        </w:r>
      </w:hyperlink>
      <w:r>
        <w:t>, f. 5.</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Sentencias </w:t>
      </w:r>
      <w:hyperlink w:anchor="SENTENCIA_2012_2" w:history="1">
        <w:r w:rsidRPr="0043655B">
          <w:rPr>
            <w:rStyle w:val="TextoNormalCaracter"/>
          </w:rPr>
          <w:t>2/2012</w:t>
        </w:r>
      </w:hyperlink>
      <w:r>
        <w:t xml:space="preserve">, ff. 2, 3; </w:t>
      </w:r>
      <w:hyperlink w:anchor="SENTENCIA_2012_3" w:history="1">
        <w:r w:rsidRPr="0043655B">
          <w:rPr>
            <w:rStyle w:val="TextoNormalCaracter"/>
          </w:rPr>
          <w:t>3/2012</w:t>
        </w:r>
      </w:hyperlink>
      <w:r>
        <w:t xml:space="preserve">, ff. 2, 4; </w:t>
      </w:r>
      <w:hyperlink w:anchor="SENTENCIA_2012_4" w:history="1">
        <w:r w:rsidRPr="0043655B">
          <w:rPr>
            <w:rStyle w:val="TextoNormalCaracter"/>
          </w:rPr>
          <w:t>4/2012</w:t>
        </w:r>
      </w:hyperlink>
      <w:r>
        <w:t>, ff. 2, 5.</w:t>
      </w:r>
    </w:p>
    <w:p w:rsidR="0043655B" w:rsidRDefault="0043655B" w:rsidP="0043655B">
      <w:pPr>
        <w:pStyle w:val="SangriaFrancesaArticulo"/>
      </w:pPr>
      <w:r w:rsidRPr="0043655B">
        <w:rPr>
          <w:rStyle w:val="TextoNormalNegritaCaracter"/>
        </w:rPr>
        <w:t>Artículo 19.</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19.1.</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22.1.</w:t>
      </w:r>
      <w:r w:rsidRPr="0043655B">
        <w:rPr>
          <w:rStyle w:val="TextoNormalCaracter"/>
        </w:rPr>
        <w:t>-</w:t>
      </w:r>
      <w:r>
        <w:t xml:space="preserve"> Sentencias </w:t>
      </w:r>
      <w:hyperlink w:anchor="SENTENCIA_2012_2" w:history="1">
        <w:r w:rsidRPr="0043655B">
          <w:rPr>
            <w:rStyle w:val="TextoNormalCaracter"/>
          </w:rPr>
          <w:t>2/2012</w:t>
        </w:r>
      </w:hyperlink>
      <w:r>
        <w:t xml:space="preserve">, f. 2; </w:t>
      </w:r>
      <w:hyperlink w:anchor="SENTENCIA_2012_3" w:history="1">
        <w:r w:rsidRPr="0043655B">
          <w:rPr>
            <w:rStyle w:val="TextoNormalCaracter"/>
          </w:rPr>
          <w:t>3/2012</w:t>
        </w:r>
      </w:hyperlink>
      <w:r>
        <w:t xml:space="preserve">, ff. 2, 4; </w:t>
      </w:r>
      <w:hyperlink w:anchor="SENTENCIA_2012_4" w:history="1">
        <w:r w:rsidRPr="0043655B">
          <w:rPr>
            <w:rStyle w:val="TextoNormalCaracter"/>
          </w:rPr>
          <w:t>4/2012</w:t>
        </w:r>
      </w:hyperlink>
      <w:r>
        <w:t>, ff. 2, 4.</w:t>
      </w:r>
    </w:p>
    <w:p w:rsidR="0043655B" w:rsidRDefault="0043655B" w:rsidP="0043655B">
      <w:pPr>
        <w:pStyle w:val="SangriaIzquierdaArticulo"/>
      </w:pPr>
      <w:r>
        <w:t xml:space="preserve">Auto </w:t>
      </w:r>
      <w:hyperlink w:anchor="AUTO_2012_6" w:history="1">
        <w:r w:rsidRPr="0043655B">
          <w:rPr>
            <w:rStyle w:val="TextoNormalCaracter"/>
          </w:rPr>
          <w:t>6/2012</w:t>
        </w:r>
      </w:hyperlink>
      <w:r>
        <w:t>.</w:t>
      </w:r>
    </w:p>
    <w:p w:rsidR="0043655B" w:rsidRDefault="0043655B" w:rsidP="0043655B">
      <w:pPr>
        <w:pStyle w:val="SangriaFrancesaArticulo"/>
      </w:pPr>
      <w:r w:rsidRPr="0043655B">
        <w:rPr>
          <w:rStyle w:val="TextoNormalNegritaCaracter"/>
        </w:rPr>
        <w:t>Artículo 25.</w:t>
      </w:r>
      <w:r w:rsidRPr="0043655B">
        <w:rPr>
          <w:rStyle w:val="TextoNormalCaracter"/>
        </w:rPr>
        <w:t>-</w:t>
      </w:r>
      <w:r>
        <w:t xml:space="preserve"> Sentencias </w:t>
      </w:r>
      <w:hyperlink w:anchor="SENTENCIA_2012_2" w:history="1">
        <w:r w:rsidRPr="0043655B">
          <w:rPr>
            <w:rStyle w:val="TextoNormalCaracter"/>
          </w:rPr>
          <w:t>2/2012</w:t>
        </w:r>
      </w:hyperlink>
      <w:r>
        <w:t xml:space="preserve">, ff. 2, 3; </w:t>
      </w:r>
      <w:hyperlink w:anchor="SENTENCIA_2012_3" w:history="1">
        <w:r w:rsidRPr="0043655B">
          <w:rPr>
            <w:rStyle w:val="TextoNormalCaracter"/>
          </w:rPr>
          <w:t>3/2012</w:t>
        </w:r>
      </w:hyperlink>
      <w:r>
        <w:t xml:space="preserve">, ff. 2, 4; </w:t>
      </w:r>
      <w:hyperlink w:anchor="SENTENCIA_2012_4" w:history="1">
        <w:r w:rsidRPr="0043655B">
          <w:rPr>
            <w:rStyle w:val="TextoNormalCaracter"/>
          </w:rPr>
          <w:t>4/2012</w:t>
        </w:r>
      </w:hyperlink>
      <w:r>
        <w:t>, ff. 2 a 5.</w:t>
      </w:r>
    </w:p>
    <w:p w:rsidR="0043655B" w:rsidRDefault="0043655B" w:rsidP="0043655B">
      <w:pPr>
        <w:pStyle w:val="SangriaIzquierdaArticulo"/>
      </w:pPr>
      <w:r>
        <w:t xml:space="preserve">Auto </w:t>
      </w:r>
      <w:hyperlink w:anchor="AUTO_2012_6" w:history="1">
        <w:r w:rsidRPr="0043655B">
          <w:rPr>
            <w:rStyle w:val="TextoNormalCaracter"/>
          </w:rPr>
          <w:t>6/2012</w:t>
        </w:r>
      </w:hyperlink>
      <w:r>
        <w:t>.</w:t>
      </w:r>
    </w:p>
    <w:p w:rsidR="0043655B" w:rsidRDefault="0043655B" w:rsidP="0043655B">
      <w:pPr>
        <w:pStyle w:val="SangriaFrancesaArticulo"/>
      </w:pPr>
      <w:r w:rsidRPr="0043655B">
        <w:rPr>
          <w:rStyle w:val="TextoNormalNegritaCaracter"/>
        </w:rPr>
        <w:t>Disposición transitoria sexta.</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Disposición transitoria sexta, apartado 4.</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p>
    <w:p w:rsidR="0043655B" w:rsidRDefault="0043655B" w:rsidP="0043655B">
      <w:pPr>
        <w:pStyle w:val="TextoNormalNegritaCursivandice"/>
      </w:pPr>
      <w:r>
        <w:t>Ley 34/1984, de 6 de agosto. Reforma de la Ley de enjuiciamiento civil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0" w:history="1">
        <w:r w:rsidRPr="0043655B">
          <w:rPr>
            <w:rStyle w:val="TextoNormalCaracter"/>
          </w:rPr>
          <w:t>20/2012</w:t>
        </w:r>
      </w:hyperlink>
      <w:r>
        <w:t>, f. 8.</w:t>
      </w:r>
    </w:p>
    <w:p w:rsidR="0043655B" w:rsidRDefault="0043655B" w:rsidP="0043655B">
      <w:pPr>
        <w:pStyle w:val="SangriaFrancesaArticulo"/>
      </w:pPr>
    </w:p>
    <w:p w:rsidR="0043655B" w:rsidRDefault="0043655B" w:rsidP="0043655B">
      <w:pPr>
        <w:pStyle w:val="TextoNormalNegritaCursivandice"/>
      </w:pPr>
      <w:r>
        <w:t>Ley 7/1985, de 2 de abril. Reguladora de bases del régimen local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9" w:history="1">
        <w:r w:rsidRPr="0043655B">
          <w:rPr>
            <w:rStyle w:val="TextoNormalCaracter"/>
          </w:rPr>
          <w:t>9/2012</w:t>
        </w:r>
      </w:hyperlink>
      <w:r>
        <w:t xml:space="preserve">, VP; </w:t>
      </w:r>
      <w:hyperlink w:anchor="SENTENCIA_2012_81" w:history="1">
        <w:r w:rsidRPr="0043655B">
          <w:rPr>
            <w:rStyle w:val="TextoNormalCaracter"/>
          </w:rPr>
          <w:t>81/2012</w:t>
        </w:r>
      </w:hyperlink>
      <w:r>
        <w:t xml:space="preserve">, f. 3, VP; </w:t>
      </w:r>
      <w:hyperlink w:anchor="SENTENCIA_2012_132" w:history="1">
        <w:r w:rsidRPr="0043655B">
          <w:rPr>
            <w:rStyle w:val="TextoNormalCaracter"/>
          </w:rPr>
          <w:t>132/2012</w:t>
        </w:r>
      </w:hyperlink>
      <w:r>
        <w:t>, ff. 1, 2, 7, VP.</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3.1 c).</w:t>
      </w:r>
      <w:r w:rsidRPr="0043655B">
        <w:rPr>
          <w:rStyle w:val="TextoNormalCaracter"/>
        </w:rPr>
        <w:t>-</w:t>
      </w:r>
      <w:r>
        <w:t xml:space="preserve"> Sentencia </w:t>
      </w:r>
      <w:hyperlink w:anchor="SENTENCIA_2012_132" w:history="1">
        <w:r w:rsidRPr="0043655B">
          <w:rPr>
            <w:rStyle w:val="TextoNormalCaracter"/>
          </w:rPr>
          <w:t>132/2012</w:t>
        </w:r>
      </w:hyperlink>
      <w:r>
        <w:t>, f. 3, VP.</w:t>
      </w:r>
    </w:p>
    <w:p w:rsidR="0043655B" w:rsidRDefault="0043655B" w:rsidP="0043655B">
      <w:pPr>
        <w:pStyle w:val="SangriaFrancesaArticulo"/>
      </w:pPr>
      <w:r w:rsidRPr="0043655B">
        <w:rPr>
          <w:rStyle w:val="TextoNormalNegritaCaracter"/>
        </w:rPr>
        <w:t>Artículo 20.2.</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22.2.</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22.3.</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r w:rsidRPr="0043655B">
        <w:rPr>
          <w:rStyle w:val="TextoNormalNegritaCaracter"/>
        </w:rPr>
        <w:t>Artículo 23.1.</w:t>
      </w:r>
      <w:r w:rsidRPr="0043655B">
        <w:rPr>
          <w:rStyle w:val="TextoNormalCaracter"/>
        </w:rPr>
        <w:t>-</w:t>
      </w:r>
      <w:r>
        <w:t xml:space="preserve"> Sentencias </w:t>
      </w:r>
      <w:hyperlink w:anchor="SENTENCIA_2012_9" w:history="1">
        <w:r w:rsidRPr="0043655B">
          <w:rPr>
            <w:rStyle w:val="TextoNormalCaracter"/>
          </w:rPr>
          <w:t>9/2012</w:t>
        </w:r>
      </w:hyperlink>
      <w:r>
        <w:t xml:space="preserve">, f. 4, VP; </w:t>
      </w:r>
      <w:hyperlink w:anchor="SENTENCIA_2012_30" w:history="1">
        <w:r w:rsidRPr="0043655B">
          <w:rPr>
            <w:rStyle w:val="TextoNormalCaracter"/>
          </w:rPr>
          <w:t>30/2012</w:t>
        </w:r>
      </w:hyperlink>
      <w:r>
        <w:t>, f. 4.</w:t>
      </w:r>
    </w:p>
    <w:p w:rsidR="0043655B" w:rsidRDefault="0043655B" w:rsidP="0043655B">
      <w:pPr>
        <w:pStyle w:val="SangriaFrancesaArticulo"/>
      </w:pPr>
      <w:r w:rsidRPr="0043655B">
        <w:rPr>
          <w:rStyle w:val="TextoNormalNegritaCaracter"/>
        </w:rPr>
        <w:t>Artículo 23.3.</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23.4.</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lastRenderedPageBreak/>
        <w:t>Artículo 32.1</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32.2</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33.2 n)</w:t>
      </w:r>
      <w:r>
        <w:t xml:space="preserve"> </w:t>
      </w:r>
      <w:r w:rsidRPr="0043655B">
        <w:rPr>
          <w:rStyle w:val="TextoNormalCaracter"/>
        </w:rPr>
        <w:t>(redactado por la Ley 30/2007, de 30 de octubre)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33.2 ñ).</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33.3</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33.4</w:t>
      </w:r>
      <w:r>
        <w:t xml:space="preserve"> </w:t>
      </w:r>
      <w:r w:rsidRPr="0043655B">
        <w:rPr>
          <w:rStyle w:val="TextoNormalCaracter"/>
        </w:rPr>
        <w:t>(redactado por la Ley 11/1999, de 21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34.</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35</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ff. 1, 6, VP.</w:t>
      </w:r>
    </w:p>
    <w:p w:rsidR="0043655B" w:rsidRDefault="0043655B" w:rsidP="0043655B">
      <w:pPr>
        <w:pStyle w:val="SangriaFrancesaArticulo"/>
      </w:pPr>
      <w:r w:rsidRPr="0043655B">
        <w:rPr>
          <w:rStyle w:val="TextoNormalNegritaCaracter"/>
        </w:rPr>
        <w:t>Artículo 35.1</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r w:rsidRPr="0043655B">
        <w:rPr>
          <w:rStyle w:val="TextoNormalNegritaCaracter"/>
        </w:rPr>
        <w:t>Artículo 41.1</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4.</w:t>
      </w:r>
    </w:p>
    <w:p w:rsidR="0043655B" w:rsidRDefault="0043655B" w:rsidP="0043655B">
      <w:pPr>
        <w:pStyle w:val="SangriaFrancesaArticulo"/>
      </w:pPr>
      <w:r w:rsidRPr="0043655B">
        <w:rPr>
          <w:rStyle w:val="TextoNormalNegritaCaracter"/>
        </w:rPr>
        <w:t>Artículo 41.3</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ff. 3, 4, 6, 7, VP.</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Sentencia </w:t>
      </w:r>
      <w:hyperlink w:anchor="SENTENCIA_2012_121" w:history="1">
        <w:r w:rsidRPr="0043655B">
          <w:rPr>
            <w:rStyle w:val="TextoNormalCaracter"/>
          </w:rPr>
          <w:t>121/2012</w:t>
        </w:r>
      </w:hyperlink>
      <w:r>
        <w:t>, ff. 1, 6.</w:t>
      </w:r>
    </w:p>
    <w:p w:rsidR="0043655B" w:rsidRDefault="0043655B" w:rsidP="0043655B">
      <w:pPr>
        <w:pStyle w:val="SangriaFrancesaArticulo"/>
      </w:pPr>
      <w:r w:rsidRPr="0043655B">
        <w:rPr>
          <w:rStyle w:val="TextoNormalNegritaCaracter"/>
        </w:rPr>
        <w:t>Artículo 46.2 a)</w:t>
      </w:r>
      <w:r>
        <w:t xml:space="preserve"> </w:t>
      </w:r>
      <w:r w:rsidRPr="0043655B">
        <w:rPr>
          <w:rStyle w:val="TextoNormalCaracter"/>
        </w:rPr>
        <w:t>(redactado por la Ley 11/1999, de 21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 VP.</w:t>
      </w:r>
    </w:p>
    <w:p w:rsidR="0043655B" w:rsidRDefault="0043655B" w:rsidP="0043655B">
      <w:pPr>
        <w:pStyle w:val="SangriaFrancesaArticulo"/>
      </w:pPr>
      <w:r w:rsidRPr="0043655B">
        <w:rPr>
          <w:rStyle w:val="TextoNormalNegritaCaracter"/>
        </w:rPr>
        <w:t>Artículo 47</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47.2.</w:t>
      </w:r>
      <w:r w:rsidRPr="0043655B">
        <w:rPr>
          <w:rStyle w:val="TextoNormalCaracter"/>
        </w:rPr>
        <w:t>-</w:t>
      </w:r>
      <w:r>
        <w:t xml:space="preserve"> Sentencia </w:t>
      </w:r>
      <w:hyperlink w:anchor="SENTENCIA_2012_121" w:history="1">
        <w:r w:rsidRPr="0043655B">
          <w:rPr>
            <w:rStyle w:val="TextoNormalCaracter"/>
          </w:rPr>
          <w:t>121/2012</w:t>
        </w:r>
      </w:hyperlink>
      <w:r>
        <w:t>, f. 8.</w:t>
      </w:r>
    </w:p>
    <w:p w:rsidR="0043655B" w:rsidRDefault="0043655B" w:rsidP="0043655B">
      <w:pPr>
        <w:pStyle w:val="SangriaFrancesaArticulo"/>
      </w:pPr>
      <w:r w:rsidRPr="0043655B">
        <w:rPr>
          <w:rStyle w:val="TextoNormalNegritaCaracter"/>
        </w:rPr>
        <w:t>Artículo 47.2</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47.2 h)</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47.2 k)</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47.2 n)</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47.3</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73.3.</w:t>
      </w:r>
      <w:r w:rsidRPr="0043655B">
        <w:rPr>
          <w:rStyle w:val="TextoNormalCaracter"/>
        </w:rPr>
        <w:t>-</w:t>
      </w:r>
      <w:r>
        <w:t xml:space="preserve"> Sentencias </w:t>
      </w:r>
      <w:hyperlink w:anchor="SENTENCIA_2012_9" w:history="1">
        <w:r w:rsidRPr="0043655B">
          <w:rPr>
            <w:rStyle w:val="TextoNormalCaracter"/>
          </w:rPr>
          <w:t>9/2012</w:t>
        </w:r>
      </w:hyperlink>
      <w:r>
        <w:t xml:space="preserve">, passim, VP; </w:t>
      </w:r>
      <w:hyperlink w:anchor="SENTENCIA_2012_14" w:history="1">
        <w:r w:rsidRPr="0043655B">
          <w:rPr>
            <w:rStyle w:val="TextoNormalCaracter"/>
          </w:rPr>
          <w:t>14/2012</w:t>
        </w:r>
      </w:hyperlink>
      <w:r>
        <w:t xml:space="preserve">, f. 2; </w:t>
      </w:r>
      <w:hyperlink w:anchor="SENTENCIA_2012_117" w:history="1">
        <w:r w:rsidRPr="0043655B">
          <w:rPr>
            <w:rStyle w:val="TextoNormalCaracter"/>
          </w:rPr>
          <w:t>117/2012</w:t>
        </w:r>
      </w:hyperlink>
      <w:r>
        <w:t>, f. 4.</w:t>
      </w:r>
    </w:p>
    <w:p w:rsidR="0043655B" w:rsidRDefault="0043655B" w:rsidP="0043655B">
      <w:pPr>
        <w:pStyle w:val="SangriaFrancesaArticulo"/>
      </w:pPr>
      <w:r w:rsidRPr="0043655B">
        <w:rPr>
          <w:rStyle w:val="TextoNormalNegritaCaracter"/>
        </w:rPr>
        <w:t>Artículo 73.3</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9" w:history="1">
        <w:r w:rsidRPr="0043655B">
          <w:rPr>
            <w:rStyle w:val="TextoNormalCaracter"/>
          </w:rPr>
          <w:t>9/2012</w:t>
        </w:r>
      </w:hyperlink>
      <w:r>
        <w:t>, f. 2.</w:t>
      </w:r>
    </w:p>
    <w:p w:rsidR="0043655B" w:rsidRDefault="0043655B" w:rsidP="0043655B">
      <w:pPr>
        <w:pStyle w:val="SangriaFrancesaArticulo"/>
      </w:pPr>
      <w:r w:rsidRPr="0043655B">
        <w:rPr>
          <w:rStyle w:val="TextoNormalNegritaCaracter"/>
        </w:rPr>
        <w:t>Artículo 73.3 párrafo 2.</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73.3 párrafo 3.</w:t>
      </w:r>
      <w:r w:rsidRPr="0043655B">
        <w:rPr>
          <w:rStyle w:val="TextoNormalCaracter"/>
        </w:rPr>
        <w:t>-</w:t>
      </w:r>
      <w:r>
        <w:t xml:space="preserve"> Sentencias </w:t>
      </w:r>
      <w:hyperlink w:anchor="SENTENCIA_2012_9" w:history="1">
        <w:r w:rsidRPr="0043655B">
          <w:rPr>
            <w:rStyle w:val="TextoNormalCaracter"/>
          </w:rPr>
          <w:t>9/2012</w:t>
        </w:r>
      </w:hyperlink>
      <w:r>
        <w:t xml:space="preserve">, f. 4, VP; </w:t>
      </w:r>
      <w:hyperlink w:anchor="SENTENCIA_2012_30" w:history="1">
        <w:r w:rsidRPr="0043655B">
          <w:rPr>
            <w:rStyle w:val="TextoNormalCaracter"/>
          </w:rPr>
          <w:t>30/2012</w:t>
        </w:r>
      </w:hyperlink>
      <w:r>
        <w:t>, ff. 1 a 4.</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Sentencias </w:t>
      </w:r>
      <w:hyperlink w:anchor="SENTENCIA_2012_2" w:history="1">
        <w:r w:rsidRPr="0043655B">
          <w:rPr>
            <w:rStyle w:val="TextoNormalCaracter"/>
          </w:rPr>
          <w:t>2/2012</w:t>
        </w:r>
      </w:hyperlink>
      <w:r>
        <w:t xml:space="preserve">, f. 3;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f. 5.</w:t>
      </w:r>
    </w:p>
    <w:p w:rsidR="0043655B" w:rsidRDefault="0043655B" w:rsidP="0043655B">
      <w:pPr>
        <w:pStyle w:val="SangriaFrancesaArticulo"/>
      </w:pPr>
      <w:r w:rsidRPr="0043655B">
        <w:rPr>
          <w:rStyle w:val="TextoNormalNegritaCaracter"/>
        </w:rPr>
        <w:t>Artículo 92</w:t>
      </w:r>
      <w:r>
        <w:t xml:space="preserve"> </w:t>
      </w:r>
      <w:r w:rsidRPr="0043655B">
        <w:rPr>
          <w:rStyle w:val="TextoNormalCaracter"/>
        </w:rPr>
        <w:t>(redactado por la Ley 7/2007, de 12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92.2</w:t>
      </w:r>
      <w:r>
        <w:t xml:space="preserve"> </w:t>
      </w:r>
      <w:r w:rsidRPr="0043655B">
        <w:rPr>
          <w:rStyle w:val="TextoNormalCaracter"/>
        </w:rPr>
        <w:t>(redactado por la Ley 7/2007, de 12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92.3 a)</w:t>
      </w:r>
      <w:r>
        <w:t xml:space="preserve"> </w:t>
      </w:r>
      <w:r w:rsidRPr="0043655B">
        <w:rPr>
          <w:rStyle w:val="TextoNormalCaracter"/>
        </w:rPr>
        <w:t>(redactado por la Ley 7/2007, de 12 de abril)</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125.1.</w:t>
      </w:r>
      <w:r w:rsidRPr="0043655B">
        <w:rPr>
          <w:rStyle w:val="TextoNormalCaracter"/>
        </w:rPr>
        <w:t>-</w:t>
      </w:r>
      <w:r>
        <w:t xml:space="preserve"> Sentencias </w:t>
      </w:r>
      <w:hyperlink w:anchor="SENTENCIA_2012_9" w:history="1">
        <w:r w:rsidRPr="0043655B">
          <w:rPr>
            <w:rStyle w:val="TextoNormalCaracter"/>
          </w:rPr>
          <w:t>9/2012</w:t>
        </w:r>
      </w:hyperlink>
      <w:r>
        <w:t xml:space="preserve">, f. 4; </w:t>
      </w:r>
      <w:hyperlink w:anchor="SENTENCIA_2012_30" w:history="1">
        <w:r w:rsidRPr="0043655B">
          <w:rPr>
            <w:rStyle w:val="TextoNormalCaracter"/>
          </w:rPr>
          <w:t>30/2012</w:t>
        </w:r>
      </w:hyperlink>
      <w:r>
        <w:t>, f. 4.</w:t>
      </w:r>
    </w:p>
    <w:p w:rsidR="0043655B" w:rsidRDefault="0043655B" w:rsidP="0043655B">
      <w:pPr>
        <w:pStyle w:val="SangriaFrancesaArticulo"/>
      </w:pPr>
      <w:r w:rsidRPr="0043655B">
        <w:rPr>
          <w:rStyle w:val="TextoNormalNegritaCaracter"/>
        </w:rPr>
        <w:lastRenderedPageBreak/>
        <w:t>Artículo 126.2 párrafo 2</w:t>
      </w:r>
      <w:r>
        <w:t xml:space="preserve"> </w:t>
      </w:r>
      <w:r w:rsidRPr="0043655B">
        <w:rPr>
          <w:rStyle w:val="TextoNormalCaracter"/>
        </w:rPr>
        <w:t>(redactado por la Ley 57/2003, de 16 de diciembre)</w:t>
      </w:r>
      <w:r w:rsidRPr="0043655B">
        <w:rPr>
          <w:rStyle w:val="TextoNormalNegritaCaracter"/>
        </w:rPr>
        <w:t>.</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Disposición adicional segunda, apartado 1.1.</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Disposición final segunda, apartado 1.2.</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p>
    <w:p w:rsidR="0043655B" w:rsidRDefault="0043655B" w:rsidP="0043655B">
      <w:pPr>
        <w:pStyle w:val="TextoNormalNegritaCursivandice"/>
      </w:pPr>
      <w:r>
        <w:t>Ley 16/1985, de 25 de junio. Patrimonio histórico español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ff. 2, 5, 7, VP I.</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6" w:history="1">
        <w:r w:rsidRPr="0043655B">
          <w:rPr>
            <w:rStyle w:val="TextoNormalCaracter"/>
          </w:rPr>
          <w:t>6/2012</w:t>
        </w:r>
      </w:hyperlink>
      <w:r>
        <w:t>, f. 7, VP I.</w:t>
      </w:r>
    </w:p>
    <w:p w:rsidR="0043655B" w:rsidRDefault="0043655B" w:rsidP="0043655B">
      <w:pPr>
        <w:pStyle w:val="SangriaFrancesaArticulo"/>
      </w:pPr>
      <w:r w:rsidRPr="0043655B">
        <w:rPr>
          <w:rStyle w:val="TextoNormalNegritaCaracter"/>
        </w:rPr>
        <w:t>Artículo 6 a).</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6" w:history="1">
        <w:r w:rsidRPr="0043655B">
          <w:rPr>
            <w:rStyle w:val="TextoNormalCaracter"/>
          </w:rPr>
          <w:t>6/2012</w:t>
        </w:r>
      </w:hyperlink>
      <w:r>
        <w:t>, ff. 1, 4.</w:t>
      </w:r>
    </w:p>
    <w:p w:rsidR="0043655B" w:rsidRDefault="0043655B" w:rsidP="0043655B">
      <w:pPr>
        <w:pStyle w:val="SangriaFrancesaArticulo"/>
      </w:pPr>
      <w:r w:rsidRPr="0043655B">
        <w:rPr>
          <w:rStyle w:val="TextoNormalNegritaCaracter"/>
        </w:rPr>
        <w:t>Artículo 26.</w:t>
      </w:r>
      <w:r w:rsidRPr="0043655B">
        <w:rPr>
          <w:rStyle w:val="TextoNormalCaracter"/>
        </w:rPr>
        <w:t>-</w:t>
      </w:r>
      <w:r>
        <w:t xml:space="preserve"> Sentencia </w:t>
      </w:r>
      <w:hyperlink w:anchor="SENTENCIA_2012_6" w:history="1">
        <w:r w:rsidRPr="0043655B">
          <w:rPr>
            <w:rStyle w:val="TextoNormalCaracter"/>
          </w:rPr>
          <w:t>6/2012</w:t>
        </w:r>
      </w:hyperlink>
      <w:r>
        <w:t>, f. 2, VP II.</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6" w:history="1">
        <w:r w:rsidRPr="0043655B">
          <w:rPr>
            <w:rStyle w:val="TextoNormalCaracter"/>
          </w:rPr>
          <w:t>6/2012</w:t>
        </w:r>
      </w:hyperlink>
      <w:r>
        <w:t>, ff. 1, 2, VP II.</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Sentencia </w:t>
      </w:r>
      <w:hyperlink w:anchor="SENTENCIA_2012_6" w:history="1">
        <w:r w:rsidRPr="0043655B">
          <w:rPr>
            <w:rStyle w:val="TextoNormalCaracter"/>
          </w:rPr>
          <w:t>6/2012</w:t>
        </w:r>
      </w:hyperlink>
      <w:r>
        <w:t>, f. 7.</w:t>
      </w:r>
    </w:p>
    <w:p w:rsidR="0043655B" w:rsidRDefault="0043655B" w:rsidP="0043655B">
      <w:pPr>
        <w:pStyle w:val="SangriaFrancesaArticulo"/>
      </w:pPr>
      <w:r w:rsidRPr="0043655B">
        <w:rPr>
          <w:rStyle w:val="TextoNormalNegritaCaracter"/>
        </w:rPr>
        <w:t>Artículo 38.</w:t>
      </w:r>
      <w:r w:rsidRPr="0043655B">
        <w:rPr>
          <w:rStyle w:val="TextoNormalCaracter"/>
        </w:rPr>
        <w:t>-</w:t>
      </w:r>
      <w:r>
        <w:t xml:space="preserve"> Sentencia </w:t>
      </w:r>
      <w:hyperlink w:anchor="SENTENCIA_2012_6" w:history="1">
        <w:r w:rsidRPr="0043655B">
          <w:rPr>
            <w:rStyle w:val="TextoNormalCaracter"/>
          </w:rPr>
          <w:t>6/2012</w:t>
        </w:r>
      </w:hyperlink>
      <w:r>
        <w:t>, ff. 1, 4.</w:t>
      </w:r>
    </w:p>
    <w:p w:rsidR="0043655B" w:rsidRDefault="0043655B" w:rsidP="0043655B">
      <w:pPr>
        <w:pStyle w:val="SangriaFrancesaArticulo"/>
      </w:pPr>
      <w:r w:rsidRPr="0043655B">
        <w:rPr>
          <w:rStyle w:val="TextoNormalNegritaCaracter"/>
        </w:rPr>
        <w:t>Artículo 38.1.</w:t>
      </w:r>
      <w:r w:rsidRPr="0043655B">
        <w:rPr>
          <w:rStyle w:val="TextoNormalCaracter"/>
        </w:rPr>
        <w:t>-</w:t>
      </w:r>
      <w:r>
        <w:t xml:space="preserve"> Sentencia </w:t>
      </w:r>
      <w:hyperlink w:anchor="SENTENCIA_2012_6" w:history="1">
        <w:r w:rsidRPr="0043655B">
          <w:rPr>
            <w:rStyle w:val="TextoNormalCaracter"/>
          </w:rPr>
          <w:t>6/2012</w:t>
        </w:r>
      </w:hyperlink>
      <w:r>
        <w:t>, f. 2.</w:t>
      </w:r>
    </w:p>
    <w:p w:rsidR="0043655B" w:rsidRDefault="0043655B" w:rsidP="0043655B">
      <w:pPr>
        <w:pStyle w:val="SangriaFrancesaArticulo"/>
      </w:pPr>
      <w:r w:rsidRPr="0043655B">
        <w:rPr>
          <w:rStyle w:val="TextoNormalNegritaCaracter"/>
        </w:rPr>
        <w:t>Artículo 38.4.</w:t>
      </w:r>
      <w:r w:rsidRPr="0043655B">
        <w:rPr>
          <w:rStyle w:val="TextoNormalCaracter"/>
        </w:rPr>
        <w:t>-</w:t>
      </w:r>
      <w:r>
        <w:t xml:space="preserve"> Sentencia </w:t>
      </w:r>
      <w:hyperlink w:anchor="SENTENCIA_2012_6" w:history="1">
        <w:r w:rsidRPr="0043655B">
          <w:rPr>
            <w:rStyle w:val="TextoNormalCaracter"/>
          </w:rPr>
          <w:t>6/2012</w:t>
        </w:r>
      </w:hyperlink>
      <w:r>
        <w:t>, ff. 2, 4, 7, VP II.</w:t>
      </w:r>
    </w:p>
    <w:p w:rsidR="0043655B" w:rsidRDefault="0043655B" w:rsidP="0043655B">
      <w:pPr>
        <w:pStyle w:val="SangriaFrancesaArticulo"/>
      </w:pPr>
      <w:r w:rsidRPr="0043655B">
        <w:rPr>
          <w:rStyle w:val="TextoNormalNegritaCaracter"/>
        </w:rPr>
        <w:t>Disposición adicional primera.</w:t>
      </w:r>
      <w:r w:rsidRPr="0043655B">
        <w:rPr>
          <w:rStyle w:val="TextoNormalCaracter"/>
        </w:rPr>
        <w:t>-</w:t>
      </w:r>
      <w:r>
        <w:t xml:space="preserve"> Sentencia </w:t>
      </w:r>
      <w:hyperlink w:anchor="SENTENCIA_2012_6" w:history="1">
        <w:r w:rsidRPr="0043655B">
          <w:rPr>
            <w:rStyle w:val="TextoNormalCaracter"/>
          </w:rPr>
          <w:t>6/2012</w:t>
        </w:r>
      </w:hyperlink>
      <w:r>
        <w:t>, f. 2, VP II.</w:t>
      </w:r>
    </w:p>
    <w:p w:rsidR="0043655B" w:rsidRDefault="0043655B" w:rsidP="0043655B">
      <w:pPr>
        <w:pStyle w:val="SangriaFrancesaArticulo"/>
      </w:pPr>
      <w:r w:rsidRPr="0043655B">
        <w:rPr>
          <w:rStyle w:val="TextoNormalNegritaCaracter"/>
        </w:rPr>
        <w:t>Disposición transitoria quinta.</w:t>
      </w:r>
      <w:r w:rsidRPr="0043655B">
        <w:rPr>
          <w:rStyle w:val="TextoNormalCaracter"/>
        </w:rPr>
        <w:t>-</w:t>
      </w:r>
      <w:r>
        <w:t xml:space="preserve"> Sentencia </w:t>
      </w:r>
      <w:hyperlink w:anchor="SENTENCIA_2012_6" w:history="1">
        <w:r w:rsidRPr="0043655B">
          <w:rPr>
            <w:rStyle w:val="TextoNormalCaracter"/>
          </w:rPr>
          <w:t>6/2012</w:t>
        </w:r>
      </w:hyperlink>
      <w:r>
        <w:t>, f. 2, VP II.</w:t>
      </w:r>
    </w:p>
    <w:p w:rsidR="0043655B" w:rsidRDefault="0043655B" w:rsidP="0043655B">
      <w:pPr>
        <w:pStyle w:val="SangriaFrancesaArticulo"/>
      </w:pPr>
    </w:p>
    <w:p w:rsidR="0043655B" w:rsidRDefault="0043655B" w:rsidP="0043655B">
      <w:pPr>
        <w:pStyle w:val="TextoNormalNegritaCursivandice"/>
      </w:pPr>
      <w:r>
        <w:t>Ley 31/1985, de 2 de agosto. Órganos rectores de las cajas de ahorro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1" w:history="1">
        <w:r w:rsidRPr="0043655B">
          <w:rPr>
            <w:rStyle w:val="TextoNormalCaracter"/>
          </w:rPr>
          <w:t>121/2012</w:t>
        </w:r>
      </w:hyperlink>
      <w:r>
        <w:t>, f. 8.</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Sentencia </w:t>
      </w:r>
      <w:hyperlink w:anchor="SENTENCIA_2012_121" w:history="1">
        <w:r w:rsidRPr="0043655B">
          <w:rPr>
            <w:rStyle w:val="TextoNormalCaracter"/>
          </w:rPr>
          <w:t>121/2012</w:t>
        </w:r>
      </w:hyperlink>
      <w:r>
        <w:t>, ff. 6, 7.</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121" w:history="1">
        <w:r w:rsidRPr="0043655B">
          <w:rPr>
            <w:rStyle w:val="TextoNormalCaracter"/>
          </w:rPr>
          <w:t>121/2012</w:t>
        </w:r>
      </w:hyperlink>
      <w:r>
        <w:t>, ff. 1, 8.</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Disposición final cuarta, apartado 1 a).</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p>
    <w:p w:rsidR="0043655B" w:rsidRDefault="0043655B" w:rsidP="0043655B">
      <w:pPr>
        <w:pStyle w:val="TextoNormalNegritaCursivandice"/>
      </w:pPr>
      <w:r>
        <w:t>Ley 1/1986, de 7 de enero. Creación del Consejo general de formación profesional</w:t>
      </w:r>
    </w:p>
    <w:p w:rsidR="0043655B" w:rsidRDefault="0043655B" w:rsidP="0043655B">
      <w:pPr>
        <w:pStyle w:val="SangriaFrancesaArticulo"/>
      </w:pPr>
      <w:r w:rsidRPr="0043655B">
        <w:rPr>
          <w:rStyle w:val="TextoNormalNegritaCaracter"/>
        </w:rPr>
        <w:t>Artículo 1</w:t>
      </w:r>
      <w:r>
        <w:t xml:space="preserve"> </w:t>
      </w:r>
      <w:r w:rsidRPr="0043655B">
        <w:rPr>
          <w:rStyle w:val="TextoNormalCaracter"/>
        </w:rPr>
        <w:t>(redactado por la Ley 19/1997, de 9 de julio)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p>
    <w:p w:rsidR="0043655B" w:rsidRDefault="0043655B" w:rsidP="0043655B">
      <w:pPr>
        <w:pStyle w:val="TextoNormalNegritaCursivandice"/>
      </w:pPr>
      <w:r>
        <w:t>Ley 14/1986, de 25 de abril. General de sanidad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22" w:history="1">
        <w:r w:rsidRPr="0043655B">
          <w:rPr>
            <w:rStyle w:val="TextoNormalCaracter"/>
          </w:rPr>
          <w:t>22/2012</w:t>
        </w:r>
      </w:hyperlink>
      <w:r>
        <w:t>, f. 5.</w:t>
      </w:r>
    </w:p>
    <w:p w:rsidR="0043655B" w:rsidRDefault="0043655B" w:rsidP="0043655B">
      <w:pPr>
        <w:pStyle w:val="SangriaFrancesaArticulo"/>
      </w:pPr>
      <w:r w:rsidRPr="0043655B">
        <w:rPr>
          <w:rStyle w:val="TextoNormalNegritaCaracter"/>
        </w:rPr>
        <w:t>Artículo 83.</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r w:rsidRPr="0043655B">
        <w:rPr>
          <w:rStyle w:val="TextoNormalNegritaCaracter"/>
        </w:rPr>
        <w:t>Artículo 88.</w:t>
      </w:r>
      <w:r w:rsidRPr="0043655B">
        <w:rPr>
          <w:rStyle w:val="TextoNormalCaracter"/>
        </w:rPr>
        <w:t>-</w:t>
      </w:r>
      <w:r>
        <w:t xml:space="preserve"> Sentencia </w:t>
      </w:r>
      <w:hyperlink w:anchor="SENTENCIA_2012_78" w:history="1">
        <w:r w:rsidRPr="0043655B">
          <w:rPr>
            <w:rStyle w:val="TextoNormalCaracter"/>
          </w:rPr>
          <w:t>78/2012</w:t>
        </w:r>
      </w:hyperlink>
      <w:r>
        <w:t>, f. 1.</w:t>
      </w:r>
    </w:p>
    <w:p w:rsidR="0043655B" w:rsidRDefault="0043655B" w:rsidP="0043655B">
      <w:pPr>
        <w:pStyle w:val="SangriaFrancesaArticulo"/>
      </w:pPr>
      <w:r w:rsidRPr="0043655B">
        <w:rPr>
          <w:rStyle w:val="TextoNormalNegritaCaracter"/>
        </w:rPr>
        <w:t>Artículo 89.</w:t>
      </w:r>
      <w:r w:rsidRPr="0043655B">
        <w:rPr>
          <w:rStyle w:val="TextoNormalCaracter"/>
        </w:rPr>
        <w:t>-</w:t>
      </w:r>
      <w:r>
        <w:t xml:space="preserve"> Sentencia </w:t>
      </w:r>
      <w:hyperlink w:anchor="SENTENCIA_2012_78" w:history="1">
        <w:r w:rsidRPr="0043655B">
          <w:rPr>
            <w:rStyle w:val="TextoNormalCaracter"/>
          </w:rPr>
          <w:t>78/2012</w:t>
        </w:r>
      </w:hyperlink>
      <w:r>
        <w:t>, f. 1.</w:t>
      </w:r>
    </w:p>
    <w:p w:rsidR="0043655B" w:rsidRDefault="0043655B" w:rsidP="0043655B">
      <w:pPr>
        <w:pStyle w:val="SangriaFrancesaArticulo"/>
      </w:pPr>
    </w:p>
    <w:p w:rsidR="0043655B" w:rsidRDefault="0043655B" w:rsidP="0043655B">
      <w:pPr>
        <w:pStyle w:val="TextoNormalNegritaCursivandice"/>
      </w:pPr>
      <w:r>
        <w:t>Ley 25/1986, de 24 de diciembre. Gratuidad: Supresión de las tasas judiciales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0" w:history="1">
        <w:r w:rsidRPr="0043655B">
          <w:rPr>
            <w:rStyle w:val="TextoNormalCaracter"/>
          </w:rPr>
          <w:t>20/2012</w:t>
        </w:r>
      </w:hyperlink>
      <w:r>
        <w:t xml:space="preserve">, ff. 2, 8; </w:t>
      </w:r>
      <w:hyperlink w:anchor="SENTENCIA_2012_116" w:history="1">
        <w:r w:rsidRPr="0043655B">
          <w:rPr>
            <w:rStyle w:val="TextoNormalCaracter"/>
          </w:rPr>
          <w:t>116/2012</w:t>
        </w:r>
      </w:hyperlink>
      <w:r>
        <w:t>, f. 5.</w:t>
      </w:r>
    </w:p>
    <w:p w:rsidR="0043655B" w:rsidRDefault="0043655B" w:rsidP="0043655B">
      <w:pPr>
        <w:pStyle w:val="SangriaFrancesaArticulo"/>
      </w:pPr>
    </w:p>
    <w:p w:rsidR="0043655B" w:rsidRDefault="0043655B" w:rsidP="0043655B">
      <w:pPr>
        <w:pStyle w:val="TextoNormalNegritaCursivandice"/>
      </w:pPr>
      <w:r>
        <w:t>Ley 9/1987, de 12 de junio. Órganos de representación, determinación de las condiciones de trabajo y participación del personal al servicio de las   Administraciones públicas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8" w:history="1">
        <w:r w:rsidRPr="0043655B">
          <w:rPr>
            <w:rStyle w:val="TextoNormalCaracter"/>
          </w:rPr>
          <w:t>118/2012</w:t>
        </w:r>
      </w:hyperlink>
      <w:r>
        <w:t>, ff. 4, 6.</w:t>
      </w:r>
    </w:p>
    <w:p w:rsidR="0043655B" w:rsidRDefault="0043655B" w:rsidP="0043655B">
      <w:pPr>
        <w:pStyle w:val="SangriaFrancesaArticulo"/>
      </w:pPr>
      <w:r w:rsidRPr="0043655B">
        <w:rPr>
          <w:rStyle w:val="TextoNormalNegritaCaracter"/>
        </w:rPr>
        <w:t>Artículo 30.</w:t>
      </w:r>
      <w:r w:rsidRPr="0043655B">
        <w:rPr>
          <w:rStyle w:val="TextoNormalCaracter"/>
        </w:rPr>
        <w:t>-</w:t>
      </w:r>
      <w:r>
        <w:t xml:space="preserve"> Sentencia </w:t>
      </w:r>
      <w:hyperlink w:anchor="SENTENCIA_2012_118" w:history="1">
        <w:r w:rsidRPr="0043655B">
          <w:rPr>
            <w:rStyle w:val="TextoNormalCaracter"/>
          </w:rPr>
          <w:t>118/2012</w:t>
        </w:r>
      </w:hyperlink>
      <w:r>
        <w:t>, f. 6.</w:t>
      </w:r>
    </w:p>
    <w:p w:rsidR="0043655B" w:rsidRDefault="0043655B" w:rsidP="0043655B">
      <w:pPr>
        <w:pStyle w:val="SangriaFrancesaArticulo"/>
      </w:pPr>
    </w:p>
    <w:p w:rsidR="0043655B" w:rsidRDefault="0043655B" w:rsidP="0043655B">
      <w:pPr>
        <w:pStyle w:val="TextoNormalNegritaCursivandice"/>
      </w:pPr>
      <w:r>
        <w:t>Ley 31/1987, de 18 de diciembre. Ordenación de las telecomunicaciones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5" w:history="1">
        <w:r w:rsidRPr="0043655B">
          <w:rPr>
            <w:rStyle w:val="TextoNormalCaracter"/>
          </w:rPr>
          <w:t>5/2012</w:t>
        </w:r>
      </w:hyperlink>
      <w:r>
        <w:t>, f. 5.</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Sentencia </w:t>
      </w:r>
      <w:hyperlink w:anchor="SENTENCIA_2012_5" w:history="1">
        <w:r w:rsidRPr="0043655B">
          <w:rPr>
            <w:rStyle w:val="TextoNormalCaracter"/>
          </w:rPr>
          <w:t>5/2012</w:t>
        </w:r>
      </w:hyperlink>
      <w:r>
        <w:t>, f. 6.</w:t>
      </w:r>
    </w:p>
    <w:p w:rsidR="0043655B" w:rsidRDefault="0043655B" w:rsidP="0043655B">
      <w:pPr>
        <w:pStyle w:val="SangriaFrancesaArticulo"/>
      </w:pPr>
      <w:r w:rsidRPr="0043655B">
        <w:rPr>
          <w:rStyle w:val="TextoNormalNegritaCaracter"/>
        </w:rPr>
        <w:t>Artículo 33.2 a).</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p>
    <w:p w:rsidR="0043655B" w:rsidRDefault="0043655B" w:rsidP="0043655B">
      <w:pPr>
        <w:pStyle w:val="TextoNormalNegritaCursivandice"/>
      </w:pPr>
      <w:r>
        <w:t>Ley 19/1988, de 12 de julio. Auditoría de cuentas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ff. 1 a 5, 7.</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33" w:history="1">
        <w:r w:rsidRPr="0043655B">
          <w:rPr>
            <w:rStyle w:val="TextoNormalCaracter"/>
          </w:rPr>
          <w:t>33/2012</w:t>
        </w:r>
      </w:hyperlink>
      <w:r>
        <w:t>, f. 4.</w:t>
      </w:r>
    </w:p>
    <w:p w:rsidR="0043655B" w:rsidRDefault="0043655B" w:rsidP="0043655B">
      <w:pPr>
        <w:pStyle w:val="SangriaFrancesaArticulo"/>
      </w:pPr>
      <w:r w:rsidRPr="0043655B">
        <w:rPr>
          <w:rStyle w:val="TextoNormalNegritaCaracter"/>
        </w:rPr>
        <w:t>Artículo 5.2.</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15.2.</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p>
    <w:p w:rsidR="0043655B" w:rsidRDefault="0043655B" w:rsidP="0043655B">
      <w:pPr>
        <w:pStyle w:val="TextoNormalNegritaCursivandice"/>
      </w:pPr>
      <w:r>
        <w:t>Ley 22/1988, de 28 de julio. Costas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7" w:history="1">
        <w:r w:rsidRPr="0043655B">
          <w:rPr>
            <w:rStyle w:val="TextoNormalCaracter"/>
          </w:rPr>
          <w:t>137/2012</w:t>
        </w:r>
      </w:hyperlink>
      <w:r>
        <w:t>, f. 1.</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37" w:history="1">
        <w:r w:rsidRPr="0043655B">
          <w:rPr>
            <w:rStyle w:val="TextoNormalCaracter"/>
          </w:rPr>
          <w:t>137/2012</w:t>
        </w:r>
      </w:hyperlink>
      <w:r>
        <w:t>, f. 3.</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37" w:history="1">
        <w:r w:rsidRPr="0043655B">
          <w:rPr>
            <w:rStyle w:val="TextoNormalCaracter"/>
          </w:rPr>
          <w:t>137/2012</w:t>
        </w:r>
      </w:hyperlink>
      <w:r>
        <w:t>, f. 3.</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 </w:t>
      </w:r>
      <w:hyperlink w:anchor="SENTENCIA_2012_87" w:history="1">
        <w:r w:rsidRPr="0043655B">
          <w:rPr>
            <w:rStyle w:val="TextoNormalCaracter"/>
          </w:rPr>
          <w:t>87/2012</w:t>
        </w:r>
      </w:hyperlink>
      <w:r>
        <w:t>, f. 4.</w:t>
      </w:r>
    </w:p>
    <w:p w:rsidR="0043655B" w:rsidRDefault="0043655B" w:rsidP="0043655B">
      <w:pPr>
        <w:pStyle w:val="SangriaFrancesaArticulo"/>
      </w:pPr>
      <w:r w:rsidRPr="0043655B">
        <w:rPr>
          <w:rStyle w:val="TextoNormalNegritaCaracter"/>
        </w:rPr>
        <w:t>Artículo 21.1.</w:t>
      </w:r>
      <w:r w:rsidRPr="0043655B">
        <w:rPr>
          <w:rStyle w:val="TextoNormalCaracter"/>
        </w:rPr>
        <w:t>-</w:t>
      </w:r>
      <w:r>
        <w:t xml:space="preserve"> Sentencia </w:t>
      </w:r>
      <w:hyperlink w:anchor="SENTENCIA_2012_87" w:history="1">
        <w:r w:rsidRPr="0043655B">
          <w:rPr>
            <w:rStyle w:val="TextoNormalCaracter"/>
          </w:rPr>
          <w:t>87/2012</w:t>
        </w:r>
      </w:hyperlink>
      <w:r>
        <w:t>, f. 4.</w:t>
      </w:r>
    </w:p>
    <w:p w:rsidR="0043655B" w:rsidRDefault="0043655B" w:rsidP="0043655B">
      <w:pPr>
        <w:pStyle w:val="SangriaFrancesaArticulo"/>
      </w:pPr>
      <w:r w:rsidRPr="0043655B">
        <w:rPr>
          <w:rStyle w:val="TextoNormalNegritaCaracter"/>
        </w:rPr>
        <w:t>Artículo 23.</w:t>
      </w:r>
      <w:r w:rsidRPr="0043655B">
        <w:rPr>
          <w:rStyle w:val="TextoNormalCaracter"/>
        </w:rPr>
        <w:t>-</w:t>
      </w:r>
      <w:r>
        <w:t xml:space="preserve"> Sentencias </w:t>
      </w:r>
      <w:hyperlink w:anchor="SENTENCIA_2012_87" w:history="1">
        <w:r w:rsidRPr="0043655B">
          <w:rPr>
            <w:rStyle w:val="TextoNormalCaracter"/>
          </w:rPr>
          <w:t>87/2012</w:t>
        </w:r>
      </w:hyperlink>
      <w:r>
        <w:t xml:space="preserve">, f. 4; </w:t>
      </w:r>
      <w:hyperlink w:anchor="SENTENCIA_2012_137" w:history="1">
        <w:r w:rsidRPr="0043655B">
          <w:rPr>
            <w:rStyle w:val="TextoNormalCaracter"/>
          </w:rPr>
          <w:t>137/2012</w:t>
        </w:r>
      </w:hyperlink>
      <w:r>
        <w:t>, f. 1.</w:t>
      </w:r>
    </w:p>
    <w:p w:rsidR="0043655B" w:rsidRDefault="0043655B" w:rsidP="0043655B">
      <w:pPr>
        <w:pStyle w:val="SangriaFrancesaArticulo"/>
      </w:pPr>
      <w:r w:rsidRPr="0043655B">
        <w:rPr>
          <w:rStyle w:val="TextoNormalNegritaCaracter"/>
        </w:rPr>
        <w:t>Artículo 23.1.</w:t>
      </w:r>
      <w:r w:rsidRPr="0043655B">
        <w:rPr>
          <w:rStyle w:val="TextoNormalCaracter"/>
        </w:rPr>
        <w:t>-</w:t>
      </w:r>
      <w:r>
        <w:t xml:space="preserve"> Sentencias </w:t>
      </w:r>
      <w:hyperlink w:anchor="SENTENCIA_2012_87" w:history="1">
        <w:r w:rsidRPr="0043655B">
          <w:rPr>
            <w:rStyle w:val="TextoNormalCaracter"/>
          </w:rPr>
          <w:t>87/2012</w:t>
        </w:r>
      </w:hyperlink>
      <w:r>
        <w:t xml:space="preserve">, f. 4; </w:t>
      </w:r>
      <w:hyperlink w:anchor="SENTENCIA_2012_137" w:history="1">
        <w:r w:rsidRPr="0043655B">
          <w:rPr>
            <w:rStyle w:val="TextoNormalCaracter"/>
          </w:rPr>
          <w:t>137/2012</w:t>
        </w:r>
      </w:hyperlink>
      <w:r>
        <w:t>, f. 3.</w:t>
      </w:r>
    </w:p>
    <w:p w:rsidR="0043655B" w:rsidRDefault="0043655B" w:rsidP="0043655B">
      <w:pPr>
        <w:pStyle w:val="SangriaFrancesaArticulo"/>
      </w:pPr>
      <w:r w:rsidRPr="0043655B">
        <w:rPr>
          <w:rStyle w:val="TextoNormalNegritaCaracter"/>
        </w:rPr>
        <w:t>Disposición adicional tercera, apartado 3.</w:t>
      </w:r>
      <w:r w:rsidRPr="0043655B">
        <w:rPr>
          <w:rStyle w:val="TextoNormalCaracter"/>
        </w:rPr>
        <w:t>-</w:t>
      </w:r>
      <w:r>
        <w:t xml:space="preserve"> Sentencia </w:t>
      </w:r>
      <w:hyperlink w:anchor="SENTENCIA_2012_87" w:history="1">
        <w:r w:rsidRPr="0043655B">
          <w:rPr>
            <w:rStyle w:val="TextoNormalCaracter"/>
          </w:rPr>
          <w:t>87/2012</w:t>
        </w:r>
      </w:hyperlink>
      <w:r>
        <w:t>, passim.</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Sentencias </w:t>
      </w:r>
      <w:hyperlink w:anchor="SENTENCIA_2012_87" w:history="1">
        <w:r w:rsidRPr="0043655B">
          <w:rPr>
            <w:rStyle w:val="TextoNormalCaracter"/>
          </w:rPr>
          <w:t>87/2012</w:t>
        </w:r>
      </w:hyperlink>
      <w:r>
        <w:t xml:space="preserve">, ff. 1, 4; </w:t>
      </w:r>
      <w:hyperlink w:anchor="SENTENCIA_2012_137" w:history="1">
        <w:r w:rsidRPr="0043655B">
          <w:rPr>
            <w:rStyle w:val="TextoNormalCaracter"/>
          </w:rPr>
          <w:t>137/2012</w:t>
        </w:r>
      </w:hyperlink>
      <w:r>
        <w:t>, f. 1.</w:t>
      </w:r>
    </w:p>
    <w:p w:rsidR="0043655B" w:rsidRDefault="0043655B" w:rsidP="0043655B">
      <w:pPr>
        <w:pStyle w:val="SangriaFrancesaArticulo"/>
      </w:pPr>
      <w:r w:rsidRPr="0043655B">
        <w:rPr>
          <w:rStyle w:val="TextoNormalNegritaCaracter"/>
        </w:rPr>
        <w:t>Disposición transitoria tercera, apartado 3.</w:t>
      </w:r>
      <w:r w:rsidRPr="0043655B">
        <w:rPr>
          <w:rStyle w:val="TextoNormalCaracter"/>
        </w:rPr>
        <w:t>-</w:t>
      </w:r>
      <w:r>
        <w:t xml:space="preserve"> Sentencia </w:t>
      </w:r>
      <w:hyperlink w:anchor="SENTENCIA_2012_137" w:history="1">
        <w:r w:rsidRPr="0043655B">
          <w:rPr>
            <w:rStyle w:val="TextoNormalCaracter"/>
          </w:rPr>
          <w:t>137/2012</w:t>
        </w:r>
      </w:hyperlink>
      <w:r>
        <w:t>, ff. 1, 3.</w:t>
      </w:r>
    </w:p>
    <w:p w:rsidR="0043655B" w:rsidRDefault="0043655B" w:rsidP="0043655B">
      <w:pPr>
        <w:pStyle w:val="SangriaFrancesaArticulo"/>
      </w:pPr>
      <w:r w:rsidRPr="0043655B">
        <w:rPr>
          <w:rStyle w:val="TextoNormalNegritaCaracter"/>
        </w:rPr>
        <w:t>Disposición final tercera.</w:t>
      </w:r>
      <w:r w:rsidRPr="0043655B">
        <w:rPr>
          <w:rStyle w:val="TextoNormalCaracter"/>
        </w:rPr>
        <w:t>-</w:t>
      </w:r>
      <w:r>
        <w:t xml:space="preserve"> Sentencia </w:t>
      </w:r>
      <w:hyperlink w:anchor="SENTENCIA_2012_87" w:history="1">
        <w:r w:rsidRPr="0043655B">
          <w:rPr>
            <w:rStyle w:val="TextoNormalCaracter"/>
          </w:rPr>
          <w:t>87/2012</w:t>
        </w:r>
      </w:hyperlink>
      <w:r>
        <w:t>, f. 4.</w:t>
      </w:r>
    </w:p>
    <w:p w:rsidR="0043655B" w:rsidRDefault="0043655B" w:rsidP="0043655B">
      <w:pPr>
        <w:pStyle w:val="SangriaFrancesaArticulo"/>
      </w:pPr>
    </w:p>
    <w:p w:rsidR="0043655B" w:rsidRDefault="0043655B" w:rsidP="0043655B">
      <w:pPr>
        <w:pStyle w:val="TextoNormalNegritaCursivandice"/>
      </w:pPr>
      <w:r>
        <w:t>Ley 25/1988, de 29 de julio. Carreteras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2" w:history="1">
        <w:r w:rsidRPr="0043655B">
          <w:rPr>
            <w:rStyle w:val="TextoNormalCaracter"/>
          </w:rPr>
          <w:t>112/2012</w:t>
        </w:r>
      </w:hyperlink>
      <w:r>
        <w:t>, ff. 2, 5.</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12" w:history="1">
        <w:r w:rsidRPr="0043655B">
          <w:rPr>
            <w:rStyle w:val="TextoNormalCaracter"/>
          </w:rPr>
          <w:t>112/2012</w:t>
        </w:r>
      </w:hyperlink>
      <w:r>
        <w:t>, f. 3.</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12" w:history="1">
        <w:r w:rsidRPr="0043655B">
          <w:rPr>
            <w:rStyle w:val="TextoNormalCaracter"/>
          </w:rPr>
          <w:t>112/2012</w:t>
        </w:r>
      </w:hyperlink>
      <w:r>
        <w:t>, ff. 1, 5.</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112" w:history="1">
        <w:r w:rsidRPr="0043655B">
          <w:rPr>
            <w:rStyle w:val="TextoNormalCaracter"/>
          </w:rPr>
          <w:t>112/2012</w:t>
        </w:r>
      </w:hyperlink>
      <w:r>
        <w:t>, ff. 3, 4.</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112" w:history="1">
        <w:r w:rsidRPr="0043655B">
          <w:rPr>
            <w:rStyle w:val="TextoNormalCaracter"/>
          </w:rPr>
          <w:t>112/2012</w:t>
        </w:r>
      </w:hyperlink>
      <w:r>
        <w:t>, ff. 1, 3, 4.</w:t>
      </w:r>
    </w:p>
    <w:p w:rsidR="0043655B" w:rsidRDefault="0043655B" w:rsidP="0043655B">
      <w:pPr>
        <w:pStyle w:val="SangriaFrancesaArticulo"/>
      </w:pPr>
      <w:r w:rsidRPr="0043655B">
        <w:rPr>
          <w:rStyle w:val="TextoNormalNegritaCaracter"/>
        </w:rPr>
        <w:t>Artículo 4.2.1.</w:t>
      </w:r>
      <w:r w:rsidRPr="0043655B">
        <w:rPr>
          <w:rStyle w:val="TextoNormalCaracter"/>
        </w:rPr>
        <w:t>-</w:t>
      </w:r>
      <w:r>
        <w:t xml:space="preserve"> Sentencia </w:t>
      </w:r>
      <w:hyperlink w:anchor="SENTENCIA_2012_112" w:history="1">
        <w:r w:rsidRPr="0043655B">
          <w:rPr>
            <w:rStyle w:val="TextoNormalCaracter"/>
          </w:rPr>
          <w:t>112/2012</w:t>
        </w:r>
      </w:hyperlink>
      <w:r>
        <w:t>, f. 3.</w:t>
      </w:r>
    </w:p>
    <w:p w:rsidR="0043655B" w:rsidRDefault="0043655B" w:rsidP="0043655B">
      <w:pPr>
        <w:pStyle w:val="SangriaFrancesaArticulo"/>
      </w:pPr>
      <w:r w:rsidRPr="0043655B">
        <w:rPr>
          <w:rStyle w:val="TextoNormalNegritaCaracter"/>
        </w:rPr>
        <w:t>Artículo 4.2.2.</w:t>
      </w:r>
      <w:r w:rsidRPr="0043655B">
        <w:rPr>
          <w:rStyle w:val="TextoNormalCaracter"/>
        </w:rPr>
        <w:t>-</w:t>
      </w:r>
      <w:r>
        <w:t xml:space="preserve"> Sentencia </w:t>
      </w:r>
      <w:hyperlink w:anchor="SENTENCIA_2012_112" w:history="1">
        <w:r w:rsidRPr="0043655B">
          <w:rPr>
            <w:rStyle w:val="TextoNormalCaracter"/>
          </w:rPr>
          <w:t>112/2012</w:t>
        </w:r>
      </w:hyperlink>
      <w:r>
        <w:t>, f. 4.</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112" w:history="1">
        <w:r w:rsidRPr="0043655B">
          <w:rPr>
            <w:rStyle w:val="TextoNormalCaracter"/>
          </w:rPr>
          <w:t>112/2012</w:t>
        </w:r>
      </w:hyperlink>
      <w:r>
        <w:t>, ff. 3, 4.</w:t>
      </w:r>
    </w:p>
    <w:p w:rsidR="0043655B" w:rsidRDefault="0043655B" w:rsidP="0043655B">
      <w:pPr>
        <w:pStyle w:val="SangriaFrancesaArticulo"/>
      </w:pPr>
      <w:r w:rsidRPr="0043655B">
        <w:rPr>
          <w:rStyle w:val="TextoNormalNegritaCaracter"/>
        </w:rPr>
        <w:t>Artículo 4.3.1.</w:t>
      </w:r>
      <w:r w:rsidRPr="0043655B">
        <w:rPr>
          <w:rStyle w:val="TextoNormalCaracter"/>
        </w:rPr>
        <w:t>-</w:t>
      </w:r>
      <w:r>
        <w:t xml:space="preserve"> Sentencia </w:t>
      </w:r>
      <w:hyperlink w:anchor="SENTENCIA_2012_124" w:history="1">
        <w:r w:rsidRPr="0043655B">
          <w:rPr>
            <w:rStyle w:val="TextoNormalCaracter"/>
          </w:rPr>
          <w:t>124/2012</w:t>
        </w:r>
      </w:hyperlink>
      <w:r>
        <w:t>, f. 4.</w:t>
      </w:r>
    </w:p>
    <w:p w:rsidR="0043655B" w:rsidRDefault="0043655B" w:rsidP="0043655B">
      <w:pPr>
        <w:pStyle w:val="SangriaFrancesaArticulo"/>
      </w:pPr>
      <w:r w:rsidRPr="0043655B">
        <w:rPr>
          <w:rStyle w:val="TextoNormalNegritaCaracter"/>
        </w:rPr>
        <w:t>Artículo 4.3.4.</w:t>
      </w:r>
      <w:r w:rsidRPr="0043655B">
        <w:rPr>
          <w:rStyle w:val="TextoNormalCaracter"/>
        </w:rPr>
        <w:t>-</w:t>
      </w:r>
      <w:r>
        <w:t xml:space="preserve"> Sentencias </w:t>
      </w:r>
      <w:hyperlink w:anchor="SENTENCIA_2012_112" w:history="1">
        <w:r w:rsidRPr="0043655B">
          <w:rPr>
            <w:rStyle w:val="TextoNormalCaracter"/>
          </w:rPr>
          <w:t>112/2012</w:t>
        </w:r>
      </w:hyperlink>
      <w:r>
        <w:t xml:space="preserve">, f. 4; </w:t>
      </w:r>
      <w:hyperlink w:anchor="SENTENCIA_2012_124" w:history="1">
        <w:r w:rsidRPr="0043655B">
          <w:rPr>
            <w:rStyle w:val="TextoNormalCaracter"/>
          </w:rPr>
          <w:t>124/2012</w:t>
        </w:r>
      </w:hyperlink>
      <w:r>
        <w:t>, f. 4.</w:t>
      </w:r>
    </w:p>
    <w:p w:rsidR="0043655B" w:rsidRDefault="0043655B" w:rsidP="0043655B">
      <w:pPr>
        <w:pStyle w:val="SangriaFrancesaArticulo"/>
      </w:pPr>
      <w:r w:rsidRPr="0043655B">
        <w:rPr>
          <w:rStyle w:val="TextoNormalNegritaCaracter"/>
        </w:rPr>
        <w:t>Artículo 4.4.</w:t>
      </w:r>
      <w:r w:rsidRPr="0043655B">
        <w:rPr>
          <w:rStyle w:val="TextoNormalCaracter"/>
        </w:rPr>
        <w:t>-</w:t>
      </w:r>
      <w:r>
        <w:t xml:space="preserve"> Sentencia </w:t>
      </w:r>
      <w:hyperlink w:anchor="SENTENCIA_2012_112" w:history="1">
        <w:r w:rsidRPr="0043655B">
          <w:rPr>
            <w:rStyle w:val="TextoNormalCaracter"/>
          </w:rPr>
          <w:t>112/2012</w:t>
        </w:r>
      </w:hyperlink>
      <w:r>
        <w:t>, f. 5.</w:t>
      </w:r>
    </w:p>
    <w:p w:rsidR="0043655B" w:rsidRDefault="0043655B" w:rsidP="0043655B">
      <w:pPr>
        <w:pStyle w:val="SangriaFrancesaArticulo"/>
      </w:pPr>
    </w:p>
    <w:p w:rsidR="0043655B" w:rsidRDefault="0043655B" w:rsidP="0043655B">
      <w:pPr>
        <w:pStyle w:val="TextoNormalNegritaCursivandice"/>
      </w:pPr>
      <w:r>
        <w:t>Ley 26/1988, de 29 de julio. Disciplina e intervención de las entidades de crédito</w:t>
      </w:r>
    </w:p>
    <w:p w:rsidR="0043655B" w:rsidRDefault="0043655B" w:rsidP="0043655B">
      <w:pPr>
        <w:pStyle w:val="SangriaFrancesaArticulo"/>
      </w:pPr>
      <w:r w:rsidRPr="0043655B">
        <w:rPr>
          <w:rStyle w:val="TextoNormalNegritaCaracter"/>
        </w:rPr>
        <w:t>Artículo 28.1 b).</w:t>
      </w:r>
      <w:r w:rsidRPr="0043655B">
        <w:rPr>
          <w:rStyle w:val="TextoNormalCaracter"/>
        </w:rPr>
        <w:t>-</w:t>
      </w:r>
      <w:r>
        <w:t xml:space="preserve"> Sentencia </w:t>
      </w:r>
      <w:hyperlink w:anchor="SENTENCIA_2012_26" w:history="1">
        <w:r w:rsidRPr="0043655B">
          <w:rPr>
            <w:rStyle w:val="TextoNormalCaracter"/>
          </w:rPr>
          <w:t>26/2012</w:t>
        </w:r>
      </w:hyperlink>
      <w:r>
        <w:t>, f. 4.</w:t>
      </w:r>
    </w:p>
    <w:p w:rsidR="0043655B" w:rsidRDefault="0043655B" w:rsidP="0043655B">
      <w:pPr>
        <w:pStyle w:val="SangriaFrancesaArticulo"/>
      </w:pPr>
    </w:p>
    <w:p w:rsidR="0043655B" w:rsidRDefault="0043655B" w:rsidP="0043655B">
      <w:pPr>
        <w:pStyle w:val="TextoNormalNegritaCursivandice"/>
      </w:pPr>
      <w:r>
        <w:t>Ley 39/1988, de 28 de diciembre. Haciendas locales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ff. 2, 5.</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20" w:history="1">
        <w:r w:rsidRPr="0043655B">
          <w:rPr>
            <w:rStyle w:val="TextoNormalCaracter"/>
          </w:rPr>
          <w:t>120/2012</w:t>
        </w:r>
      </w:hyperlink>
      <w:r>
        <w:t>, f. 6.</w:t>
      </w:r>
    </w:p>
    <w:p w:rsidR="0043655B" w:rsidRDefault="0043655B" w:rsidP="0043655B">
      <w:pPr>
        <w:pStyle w:val="SangriaFrancesaArticulo"/>
      </w:pPr>
      <w:r w:rsidRPr="0043655B">
        <w:rPr>
          <w:rStyle w:val="TextoNormalNegritaCaracter"/>
        </w:rPr>
        <w:t>Artículo 33.2.</w:t>
      </w:r>
      <w:r w:rsidRPr="0043655B">
        <w:rPr>
          <w:rStyle w:val="TextoNormalCaracter"/>
        </w:rPr>
        <w:t>-</w:t>
      </w:r>
      <w:r>
        <w:t xml:space="preserve"> Sentencia </w:t>
      </w:r>
      <w:hyperlink w:anchor="SENTENCIA_2012_20" w:history="1">
        <w:r w:rsidRPr="0043655B">
          <w:rPr>
            <w:rStyle w:val="TextoNormalCaracter"/>
          </w:rPr>
          <w:t>20/2012</w:t>
        </w:r>
      </w:hyperlink>
      <w:r>
        <w:t>, f. 11.</w:t>
      </w:r>
    </w:p>
    <w:p w:rsidR="0043655B" w:rsidRDefault="0043655B" w:rsidP="0043655B">
      <w:pPr>
        <w:pStyle w:val="SangriaFrancesaArticulo"/>
      </w:pPr>
      <w:r w:rsidRPr="0043655B">
        <w:rPr>
          <w:rStyle w:val="TextoNormalNegritaCaracter"/>
        </w:rPr>
        <w:t>Artículo 49.</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r w:rsidRPr="0043655B">
        <w:rPr>
          <w:rStyle w:val="TextoNormalNegritaCaracter"/>
        </w:rPr>
        <w:t>Artículo 50.3.</w:t>
      </w:r>
      <w:r w:rsidRPr="0043655B">
        <w:rPr>
          <w:rStyle w:val="TextoNormalCaracter"/>
        </w:rPr>
        <w:t>-</w:t>
      </w:r>
      <w:r>
        <w:t xml:space="preserve"> Sentencia </w:t>
      </w:r>
      <w:hyperlink w:anchor="SENTENCIA_2012_120" w:history="1">
        <w:r w:rsidRPr="0043655B">
          <w:rPr>
            <w:rStyle w:val="TextoNormalCaracter"/>
          </w:rPr>
          <w:t>120/2012</w:t>
        </w:r>
      </w:hyperlink>
      <w:r>
        <w:t>, f. 8.</w:t>
      </w:r>
    </w:p>
    <w:p w:rsidR="0043655B" w:rsidRDefault="0043655B" w:rsidP="0043655B">
      <w:pPr>
        <w:pStyle w:val="SangriaFrancesaArticulo"/>
      </w:pPr>
      <w:r w:rsidRPr="0043655B">
        <w:rPr>
          <w:rStyle w:val="TextoNormalNegritaCaracter"/>
        </w:rPr>
        <w:t>Artículo 54.</w:t>
      </w:r>
      <w:r w:rsidRPr="0043655B">
        <w:rPr>
          <w:rStyle w:val="TextoNormalCaracter"/>
        </w:rPr>
        <w:t>-</w:t>
      </w:r>
      <w:r>
        <w:t xml:space="preserve"> Sentencia </w:t>
      </w:r>
      <w:hyperlink w:anchor="SENTENCIA_2012_120" w:history="1">
        <w:r w:rsidRPr="0043655B">
          <w:rPr>
            <w:rStyle w:val="TextoNormalCaracter"/>
          </w:rPr>
          <w:t>120/2012</w:t>
        </w:r>
      </w:hyperlink>
      <w:r>
        <w:t>, ff. 5, 6.</w:t>
      </w:r>
    </w:p>
    <w:p w:rsidR="0043655B" w:rsidRDefault="0043655B" w:rsidP="0043655B">
      <w:pPr>
        <w:pStyle w:val="SangriaFrancesaArticulo"/>
      </w:pPr>
      <w:r w:rsidRPr="0043655B">
        <w:rPr>
          <w:rStyle w:val="TextoNormalNegritaCaracter"/>
        </w:rPr>
        <w:lastRenderedPageBreak/>
        <w:t>Artículo 54</w:t>
      </w:r>
      <w:r>
        <w:t xml:space="preserve"> </w:t>
      </w:r>
      <w:r w:rsidRPr="0043655B">
        <w:rPr>
          <w:rStyle w:val="TextoNormalCaracter"/>
        </w:rPr>
        <w:t>(redactado por la Ley 50/1998, de 30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ff. 3, 6, 7.</w:t>
      </w:r>
    </w:p>
    <w:p w:rsidR="0043655B" w:rsidRDefault="0043655B" w:rsidP="0043655B">
      <w:pPr>
        <w:pStyle w:val="SangriaFrancesaArticulo"/>
      </w:pPr>
      <w:r w:rsidRPr="0043655B">
        <w:rPr>
          <w:rStyle w:val="TextoNormalNegritaCaracter"/>
        </w:rPr>
        <w:t>Artículo 54</w:t>
      </w:r>
      <w:r>
        <w:t xml:space="preserve"> </w:t>
      </w:r>
      <w:r w:rsidRPr="0043655B">
        <w:rPr>
          <w:rStyle w:val="TextoNormalCaracter"/>
        </w:rPr>
        <w:t>(redactado por la Ley 55/1999, de 29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r w:rsidRPr="0043655B">
        <w:rPr>
          <w:rStyle w:val="TextoNormalNegritaCaracter"/>
        </w:rPr>
        <w:t>Artículo 54.1.</w:t>
      </w:r>
      <w:r w:rsidRPr="0043655B">
        <w:rPr>
          <w:rStyle w:val="TextoNormalCaracter"/>
        </w:rPr>
        <w:t>-</w:t>
      </w:r>
      <w:r>
        <w:t xml:space="preserve"> Sentencia </w:t>
      </w:r>
      <w:hyperlink w:anchor="SENTENCIA_2012_120" w:history="1">
        <w:r w:rsidRPr="0043655B">
          <w:rPr>
            <w:rStyle w:val="TextoNormalCaracter"/>
          </w:rPr>
          <w:t>120/2012</w:t>
        </w:r>
      </w:hyperlink>
      <w:r>
        <w:t>, ff. 2, 3, 6.</w:t>
      </w:r>
    </w:p>
    <w:p w:rsidR="0043655B" w:rsidRDefault="0043655B" w:rsidP="0043655B">
      <w:pPr>
        <w:pStyle w:val="SangriaFrancesaArticulo"/>
      </w:pPr>
      <w:r w:rsidRPr="0043655B">
        <w:rPr>
          <w:rStyle w:val="TextoNormalNegritaCaracter"/>
        </w:rPr>
        <w:t>Artículo 54.1</w:t>
      </w:r>
      <w:r>
        <w:t xml:space="preserve"> </w:t>
      </w:r>
      <w:r w:rsidRPr="0043655B">
        <w:rPr>
          <w:rStyle w:val="TextoNormalCaracter"/>
        </w:rPr>
        <w:t>(redactado por la Ley 62/2003, de 30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ff. 2, 5.</w:t>
      </w:r>
    </w:p>
    <w:p w:rsidR="0043655B" w:rsidRDefault="0043655B" w:rsidP="0043655B">
      <w:pPr>
        <w:pStyle w:val="SangriaFrancesaArticulo"/>
      </w:pPr>
      <w:r w:rsidRPr="0043655B">
        <w:rPr>
          <w:rStyle w:val="TextoNormalNegritaCaracter"/>
        </w:rPr>
        <w:t>Artículo 54.1 párrafo 1</w:t>
      </w:r>
      <w:r>
        <w:t xml:space="preserve"> </w:t>
      </w:r>
      <w:r w:rsidRPr="0043655B">
        <w:rPr>
          <w:rStyle w:val="TextoNormalCaracter"/>
        </w:rPr>
        <w:t>(redactado por la Ley 50/1998, de 30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ff. 1, 7.</w:t>
      </w:r>
    </w:p>
    <w:p w:rsidR="0043655B" w:rsidRDefault="0043655B" w:rsidP="0043655B">
      <w:pPr>
        <w:pStyle w:val="SangriaFrancesaArticulo"/>
      </w:pPr>
      <w:r w:rsidRPr="0043655B">
        <w:rPr>
          <w:rStyle w:val="TextoNormalNegritaCaracter"/>
        </w:rPr>
        <w:t>Artículo 54.2.</w:t>
      </w:r>
      <w:r w:rsidRPr="0043655B">
        <w:rPr>
          <w:rStyle w:val="TextoNormalCaracter"/>
        </w:rPr>
        <w:t>-</w:t>
      </w:r>
      <w:r>
        <w:t xml:space="preserve"> Sentencia </w:t>
      </w:r>
      <w:hyperlink w:anchor="SENTENCIA_2012_120" w:history="1">
        <w:r w:rsidRPr="0043655B">
          <w:rPr>
            <w:rStyle w:val="TextoNormalCaracter"/>
          </w:rPr>
          <w:t>120/2012</w:t>
        </w:r>
      </w:hyperlink>
      <w:r>
        <w:t>, ff. 2, 6, 7.</w:t>
      </w:r>
    </w:p>
    <w:p w:rsidR="0043655B" w:rsidRDefault="0043655B" w:rsidP="0043655B">
      <w:pPr>
        <w:pStyle w:val="SangriaFrancesaArticulo"/>
      </w:pPr>
      <w:r w:rsidRPr="0043655B">
        <w:rPr>
          <w:rStyle w:val="TextoNormalNegritaCaracter"/>
        </w:rPr>
        <w:t>Artículo 54.3.</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r w:rsidRPr="0043655B">
        <w:rPr>
          <w:rStyle w:val="TextoNormalNegritaCaracter"/>
        </w:rPr>
        <w:t>Artículo 54.4.</w:t>
      </w:r>
      <w:r w:rsidRPr="0043655B">
        <w:rPr>
          <w:rStyle w:val="TextoNormalCaracter"/>
        </w:rPr>
        <w:t>-</w:t>
      </w:r>
      <w:r>
        <w:t xml:space="preserve"> Sentencia </w:t>
      </w:r>
      <w:hyperlink w:anchor="SENTENCIA_2012_120" w:history="1">
        <w:r w:rsidRPr="0043655B">
          <w:rPr>
            <w:rStyle w:val="TextoNormalCaracter"/>
          </w:rPr>
          <w:t>120/2012</w:t>
        </w:r>
      </w:hyperlink>
      <w:r>
        <w:t>, f. 3.</w:t>
      </w:r>
    </w:p>
    <w:p w:rsidR="0043655B" w:rsidRDefault="0043655B" w:rsidP="0043655B">
      <w:pPr>
        <w:pStyle w:val="SangriaFrancesaArticulo"/>
      </w:pPr>
      <w:r w:rsidRPr="0043655B">
        <w:rPr>
          <w:rStyle w:val="TextoNormalNegritaCaracter"/>
        </w:rPr>
        <w:t>Artículo 54.4 in fine</w:t>
      </w:r>
      <w:r>
        <w:t xml:space="preserve"> </w:t>
      </w:r>
      <w:r w:rsidRPr="0043655B">
        <w:rPr>
          <w:rStyle w:val="TextoNormalCaracter"/>
        </w:rPr>
        <w:t>(redactado por la Ley 50/1998, de 30 de diciembre)</w:t>
      </w:r>
      <w:r w:rsidRPr="0043655B">
        <w:rPr>
          <w:rStyle w:val="TextoNormalNegritaCaracter"/>
        </w:rPr>
        <w:t>.</w:t>
      </w:r>
      <w:r w:rsidRPr="0043655B">
        <w:rPr>
          <w:rStyle w:val="TextoNormalCaracter"/>
        </w:rPr>
        <w:t>-</w:t>
      </w:r>
      <w:r>
        <w:t xml:space="preserve"> Sentencia </w:t>
      </w:r>
      <w:hyperlink w:anchor="SENTENCIA_2012_120" w:history="1">
        <w:r w:rsidRPr="0043655B">
          <w:rPr>
            <w:rStyle w:val="TextoNormalCaracter"/>
          </w:rPr>
          <w:t>120/2012</w:t>
        </w:r>
      </w:hyperlink>
      <w:r>
        <w:t>, ff. 1, 7.</w:t>
      </w:r>
    </w:p>
    <w:p w:rsidR="0043655B" w:rsidRDefault="0043655B" w:rsidP="0043655B">
      <w:pPr>
        <w:pStyle w:val="SangriaFrancesaArticulo"/>
      </w:pPr>
      <w:r w:rsidRPr="0043655B">
        <w:rPr>
          <w:rStyle w:val="TextoNormalNegritaCaracter"/>
        </w:rPr>
        <w:t>Artículo 54.5.</w:t>
      </w:r>
      <w:r w:rsidRPr="0043655B">
        <w:rPr>
          <w:rStyle w:val="TextoNormalCaracter"/>
        </w:rPr>
        <w:t>-</w:t>
      </w:r>
      <w:r>
        <w:t xml:space="preserve"> Sentencia </w:t>
      </w:r>
      <w:hyperlink w:anchor="SENTENCIA_2012_120" w:history="1">
        <w:r w:rsidRPr="0043655B">
          <w:rPr>
            <w:rStyle w:val="TextoNormalCaracter"/>
          </w:rPr>
          <w:t>120/2012</w:t>
        </w:r>
      </w:hyperlink>
      <w:r>
        <w:t>, ff. 1, 7, 8.</w:t>
      </w:r>
    </w:p>
    <w:p w:rsidR="0043655B" w:rsidRDefault="0043655B" w:rsidP="0043655B">
      <w:pPr>
        <w:pStyle w:val="SangriaFrancesaArticulo"/>
      </w:pPr>
      <w:r w:rsidRPr="0043655B">
        <w:rPr>
          <w:rStyle w:val="TextoNormalNegritaCaracter"/>
        </w:rPr>
        <w:t>Artículo 54.5 a).</w:t>
      </w:r>
      <w:r w:rsidRPr="0043655B">
        <w:rPr>
          <w:rStyle w:val="TextoNormalCaracter"/>
        </w:rPr>
        <w:t>-</w:t>
      </w:r>
      <w:r>
        <w:t xml:space="preserve"> Sentencia </w:t>
      </w:r>
      <w:hyperlink w:anchor="SENTENCIA_2012_120" w:history="1">
        <w:r w:rsidRPr="0043655B">
          <w:rPr>
            <w:rStyle w:val="TextoNormalCaracter"/>
          </w:rPr>
          <w:t>120/2012</w:t>
        </w:r>
      </w:hyperlink>
      <w:r>
        <w:t>, f. 7.</w:t>
      </w:r>
    </w:p>
    <w:p w:rsidR="0043655B" w:rsidRDefault="0043655B" w:rsidP="0043655B">
      <w:pPr>
        <w:pStyle w:val="SangriaFrancesaArticulo"/>
      </w:pPr>
    </w:p>
    <w:p w:rsidR="0043655B" w:rsidRDefault="0043655B" w:rsidP="0043655B">
      <w:pPr>
        <w:pStyle w:val="TextoNormalNegritaCursivandice"/>
      </w:pPr>
      <w:r>
        <w:t>Ley 4/1989, de 27 de marzo. Conservación de los espacios naturales y de la flora y fauna silvestres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7" w:history="1">
        <w:r w:rsidRPr="0043655B">
          <w:rPr>
            <w:rStyle w:val="TextoNormalCaracter"/>
          </w:rPr>
          <w:t>7/2012</w:t>
        </w:r>
      </w:hyperlink>
      <w:r>
        <w:t xml:space="preserve">, f. 3; </w:t>
      </w:r>
      <w:hyperlink w:anchor="SENTENCIA_2012_18" w:history="1">
        <w:r w:rsidRPr="0043655B">
          <w:rPr>
            <w:rStyle w:val="TextoNormalCaracter"/>
          </w:rPr>
          <w:t>18/2012</w:t>
        </w:r>
      </w:hyperlink>
      <w:r>
        <w:t xml:space="preserve">, f. 1; </w:t>
      </w:r>
      <w:hyperlink w:anchor="SENTENCIA_2012_82" w:history="1">
        <w:r w:rsidRPr="0043655B">
          <w:rPr>
            <w:rStyle w:val="TextoNormalCaracter"/>
          </w:rPr>
          <w:t>82/2012</w:t>
        </w:r>
      </w:hyperlink>
      <w:r>
        <w:t>, ff. 1, 6.</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82" w:history="1">
        <w:r w:rsidRPr="0043655B">
          <w:rPr>
            <w:rStyle w:val="TextoNormalCaracter"/>
          </w:rPr>
          <w:t>82/2012</w:t>
        </w:r>
      </w:hyperlink>
      <w:r>
        <w:t>, f. 3.</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82" w:history="1">
        <w:r w:rsidRPr="0043655B">
          <w:rPr>
            <w:rStyle w:val="TextoNormalCaracter"/>
          </w:rPr>
          <w:t>82/2012</w:t>
        </w:r>
      </w:hyperlink>
      <w:r>
        <w:t>, f. 6, VP II.</w:t>
      </w:r>
    </w:p>
    <w:p w:rsidR="0043655B" w:rsidRDefault="0043655B" w:rsidP="0043655B">
      <w:pPr>
        <w:pStyle w:val="SangriaFrancesaArticulo"/>
      </w:pPr>
      <w:r w:rsidRPr="0043655B">
        <w:rPr>
          <w:rStyle w:val="TextoNormalNegritaCaracter"/>
        </w:rPr>
        <w:t>Artículos 29 a 34.</w:t>
      </w:r>
      <w:r w:rsidRPr="0043655B">
        <w:rPr>
          <w:rStyle w:val="TextoNormalCaracter"/>
        </w:rPr>
        <w:t>-</w:t>
      </w:r>
      <w:r>
        <w:t xml:space="preserve"> Sentencia </w:t>
      </w:r>
      <w:hyperlink w:anchor="SENTENCIA_2012_101" w:history="1">
        <w:r w:rsidRPr="0043655B">
          <w:rPr>
            <w:rStyle w:val="TextoNormalCaracter"/>
          </w:rPr>
          <w:t>101/2012</w:t>
        </w:r>
      </w:hyperlink>
      <w:r>
        <w:t>, f. 4.</w:t>
      </w:r>
    </w:p>
    <w:p w:rsidR="0043655B" w:rsidRDefault="0043655B" w:rsidP="0043655B">
      <w:pPr>
        <w:pStyle w:val="SangriaFrancesaArticulo"/>
      </w:pPr>
      <w:r w:rsidRPr="0043655B">
        <w:rPr>
          <w:rStyle w:val="TextoNormalNegritaCaracter"/>
        </w:rPr>
        <w:t>Artículo 35.2.</w:t>
      </w:r>
      <w:r w:rsidRPr="0043655B">
        <w:rPr>
          <w:rStyle w:val="TextoNormalCaracter"/>
        </w:rPr>
        <w:t>-</w:t>
      </w:r>
      <w:r>
        <w:t xml:space="preserve"> Sentencia </w:t>
      </w:r>
      <w:hyperlink w:anchor="SENTENCIA_2012_82" w:history="1">
        <w:r w:rsidRPr="0043655B">
          <w:rPr>
            <w:rStyle w:val="TextoNormalCaracter"/>
          </w:rPr>
          <w:t>82/2012</w:t>
        </w:r>
      </w:hyperlink>
      <w:r>
        <w:t>, VP II.</w:t>
      </w:r>
    </w:p>
    <w:p w:rsidR="0043655B" w:rsidRDefault="0043655B" w:rsidP="0043655B">
      <w:pPr>
        <w:pStyle w:val="SangriaFrancesaArticulo"/>
      </w:pPr>
      <w:r w:rsidRPr="0043655B">
        <w:rPr>
          <w:rStyle w:val="TextoNormalNegritaCaracter"/>
        </w:rPr>
        <w:t>Artículo 38.</w:t>
      </w:r>
      <w:r w:rsidRPr="0043655B">
        <w:rPr>
          <w:rStyle w:val="TextoNormalCaracter"/>
        </w:rPr>
        <w:t>-</w:t>
      </w:r>
      <w:r>
        <w:t xml:space="preserve"> Sentencia </w:t>
      </w:r>
      <w:hyperlink w:anchor="SENTENCIA_2012_7" w:history="1">
        <w:r w:rsidRPr="0043655B">
          <w:rPr>
            <w:rStyle w:val="TextoNormalCaracter"/>
          </w:rPr>
          <w:t>7/2012</w:t>
        </w:r>
      </w:hyperlink>
      <w:r>
        <w:t>, ff. 1, 3 a 5.</w:t>
      </w:r>
    </w:p>
    <w:p w:rsidR="0043655B" w:rsidRDefault="0043655B" w:rsidP="0043655B">
      <w:pPr>
        <w:pStyle w:val="SangriaFrancesaArticulo"/>
      </w:pPr>
      <w:r w:rsidRPr="0043655B">
        <w:rPr>
          <w:rStyle w:val="TextoNormalNegritaCaracter"/>
        </w:rPr>
        <w:t>Artículo 38.1.</w:t>
      </w:r>
      <w:r w:rsidRPr="0043655B">
        <w:rPr>
          <w:rStyle w:val="TextoNormalCaracter"/>
        </w:rPr>
        <w:t>-</w:t>
      </w:r>
      <w:r>
        <w:t xml:space="preserve"> Sentencia </w:t>
      </w:r>
      <w:hyperlink w:anchor="SENTENCIA_2012_7" w:history="1">
        <w:r w:rsidRPr="0043655B">
          <w:rPr>
            <w:rStyle w:val="TextoNormalCaracter"/>
          </w:rPr>
          <w:t>7/2012</w:t>
        </w:r>
      </w:hyperlink>
      <w:r>
        <w:t>, f. 4.</w:t>
      </w:r>
    </w:p>
    <w:p w:rsidR="0043655B" w:rsidRDefault="0043655B" w:rsidP="0043655B">
      <w:pPr>
        <w:pStyle w:val="SangriaFrancesaArticulo"/>
      </w:pPr>
      <w:r w:rsidRPr="0043655B">
        <w:rPr>
          <w:rStyle w:val="TextoNormalNegritaCaracter"/>
        </w:rPr>
        <w:t>Artículo 38.6.</w:t>
      </w:r>
      <w:r w:rsidRPr="0043655B">
        <w:rPr>
          <w:rStyle w:val="TextoNormalCaracter"/>
        </w:rPr>
        <w:t>-</w:t>
      </w:r>
      <w:r>
        <w:t xml:space="preserve"> Sentencia </w:t>
      </w:r>
      <w:hyperlink w:anchor="SENTENCIA_2012_7" w:history="1">
        <w:r w:rsidRPr="0043655B">
          <w:rPr>
            <w:rStyle w:val="TextoNormalCaracter"/>
          </w:rPr>
          <w:t>7/2012</w:t>
        </w:r>
      </w:hyperlink>
      <w:r>
        <w:t>, f. 4.</w:t>
      </w:r>
    </w:p>
    <w:p w:rsidR="0043655B" w:rsidRDefault="0043655B" w:rsidP="0043655B">
      <w:pPr>
        <w:pStyle w:val="SangriaFrancesaArticulo"/>
      </w:pPr>
      <w:r w:rsidRPr="0043655B">
        <w:rPr>
          <w:rStyle w:val="TextoNormalNegritaCaracter"/>
        </w:rPr>
        <w:t>Artículo 38.7.</w:t>
      </w:r>
      <w:r w:rsidRPr="0043655B">
        <w:rPr>
          <w:rStyle w:val="TextoNormalCaracter"/>
        </w:rPr>
        <w:t>-</w:t>
      </w:r>
      <w:r>
        <w:t xml:space="preserve"> Sentencia </w:t>
      </w:r>
      <w:hyperlink w:anchor="SENTENCIA_2012_7" w:history="1">
        <w:r w:rsidRPr="0043655B">
          <w:rPr>
            <w:rStyle w:val="TextoNormalCaracter"/>
          </w:rPr>
          <w:t>7/2012</w:t>
        </w:r>
      </w:hyperlink>
      <w:r>
        <w:t>, f. 4.</w:t>
      </w:r>
    </w:p>
    <w:p w:rsidR="0043655B" w:rsidRDefault="0043655B" w:rsidP="0043655B">
      <w:pPr>
        <w:pStyle w:val="SangriaFrancesaArticulo"/>
      </w:pPr>
      <w:r w:rsidRPr="0043655B">
        <w:rPr>
          <w:rStyle w:val="TextoNormalNegritaCaracter"/>
        </w:rPr>
        <w:t>Artículo 39.</w:t>
      </w:r>
      <w:r w:rsidRPr="0043655B">
        <w:rPr>
          <w:rStyle w:val="TextoNormalCaracter"/>
        </w:rPr>
        <w:t>-</w:t>
      </w:r>
      <w:r>
        <w:t xml:space="preserve"> Sentencia </w:t>
      </w:r>
      <w:hyperlink w:anchor="SENTENCIA_2012_7" w:history="1">
        <w:r w:rsidRPr="0043655B">
          <w:rPr>
            <w:rStyle w:val="TextoNormalCaracter"/>
          </w:rPr>
          <w:t>7/2012</w:t>
        </w:r>
      </w:hyperlink>
      <w:r>
        <w:t>, ff. 1, 3 a 5.</w:t>
      </w:r>
    </w:p>
    <w:p w:rsidR="0043655B" w:rsidRDefault="0043655B" w:rsidP="0043655B">
      <w:pPr>
        <w:pStyle w:val="SangriaFrancesaArticulo"/>
      </w:pPr>
      <w:r w:rsidRPr="0043655B">
        <w:rPr>
          <w:rStyle w:val="TextoNormalNegritaCaracter"/>
        </w:rPr>
        <w:t>Artículo 39.2.</w:t>
      </w:r>
      <w:r w:rsidRPr="0043655B">
        <w:rPr>
          <w:rStyle w:val="TextoNormalCaracter"/>
        </w:rPr>
        <w:t>-</w:t>
      </w:r>
      <w:r>
        <w:t xml:space="preserve"> Sentencia </w:t>
      </w:r>
      <w:hyperlink w:anchor="SENTENCIA_2012_7" w:history="1">
        <w:r w:rsidRPr="0043655B">
          <w:rPr>
            <w:rStyle w:val="TextoNormalCaracter"/>
          </w:rPr>
          <w:t>7/2012</w:t>
        </w:r>
      </w:hyperlink>
      <w:r>
        <w:t>, f. 4.</w:t>
      </w:r>
    </w:p>
    <w:p w:rsidR="0043655B" w:rsidRDefault="0043655B" w:rsidP="0043655B">
      <w:pPr>
        <w:pStyle w:val="SangriaFrancesaArticulo"/>
      </w:pPr>
    </w:p>
    <w:p w:rsidR="0043655B" w:rsidRDefault="0043655B" w:rsidP="0043655B">
      <w:pPr>
        <w:pStyle w:val="TextoNormalNegritaCursivandice"/>
      </w:pPr>
      <w:r>
        <w:t>Ley 8/1989, de 13 de abril. Tasas y precios públicos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0" w:history="1">
        <w:r w:rsidRPr="0043655B">
          <w:rPr>
            <w:rStyle w:val="TextoNormalCaracter"/>
          </w:rPr>
          <w:t>20/2012</w:t>
        </w:r>
      </w:hyperlink>
      <w:r>
        <w:t>, ff. 2, 11.</w:t>
      </w:r>
    </w:p>
    <w:p w:rsidR="0043655B" w:rsidRDefault="0043655B" w:rsidP="0043655B">
      <w:pPr>
        <w:pStyle w:val="SangriaFrancesaArticulo"/>
      </w:pPr>
      <w:r w:rsidRPr="0043655B">
        <w:rPr>
          <w:rStyle w:val="TextoNormalNegritaCaracter"/>
        </w:rPr>
        <w:t>Artículo 13 m).</w:t>
      </w:r>
      <w:r w:rsidRPr="0043655B">
        <w:rPr>
          <w:rStyle w:val="TextoNormalCaracter"/>
        </w:rPr>
        <w:t>-</w:t>
      </w:r>
      <w:r>
        <w:t xml:space="preserve"> Sentencia </w:t>
      </w:r>
      <w:hyperlink w:anchor="SENTENCIA_2012_20" w:history="1">
        <w:r w:rsidRPr="0043655B">
          <w:rPr>
            <w:rStyle w:val="TextoNormalCaracter"/>
          </w:rPr>
          <w:t>20/2012</w:t>
        </w:r>
      </w:hyperlink>
      <w:r>
        <w:t>, f. 2.</w:t>
      </w:r>
    </w:p>
    <w:p w:rsidR="0043655B" w:rsidRDefault="0043655B" w:rsidP="0043655B">
      <w:pPr>
        <w:pStyle w:val="SangriaFrancesaArticulo"/>
      </w:pPr>
    </w:p>
    <w:p w:rsidR="0043655B" w:rsidRDefault="0043655B" w:rsidP="0043655B">
      <w:pPr>
        <w:pStyle w:val="TextoNormalNegritaCursivandice"/>
      </w:pPr>
      <w:r>
        <w:t>Ley 16/1989, de 17 de julio. Defensa de la competencia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1" w:history="1">
        <w:r w:rsidRPr="0043655B">
          <w:rPr>
            <w:rStyle w:val="TextoNormalCaracter"/>
          </w:rPr>
          <w:t>71/2012</w:t>
        </w:r>
      </w:hyperlink>
      <w:r>
        <w:t>, f. 2.</w:t>
      </w:r>
    </w:p>
    <w:p w:rsidR="0043655B" w:rsidRDefault="0043655B" w:rsidP="0043655B">
      <w:pPr>
        <w:pStyle w:val="SangriaFrancesaArticulo"/>
      </w:pPr>
      <w:r w:rsidRPr="0043655B">
        <w:rPr>
          <w:rStyle w:val="TextoNormalNegritaCaracter"/>
        </w:rPr>
        <w:t>Artículo 6.2 c).</w:t>
      </w:r>
      <w:r w:rsidRPr="0043655B">
        <w:rPr>
          <w:rStyle w:val="TextoNormalCaracter"/>
        </w:rPr>
        <w:t>-</w:t>
      </w:r>
      <w:r>
        <w:t xml:space="preserve"> Sentencia </w:t>
      </w:r>
      <w:hyperlink w:anchor="SENTENCIA_2012_71" w:history="1">
        <w:r w:rsidRPr="0043655B">
          <w:rPr>
            <w:rStyle w:val="TextoNormalCaracter"/>
          </w:rPr>
          <w:t>71/2012</w:t>
        </w:r>
      </w:hyperlink>
      <w:r>
        <w:t>, ff. 1, 2.</w:t>
      </w:r>
    </w:p>
    <w:p w:rsidR="0043655B" w:rsidRDefault="0043655B" w:rsidP="0043655B">
      <w:pPr>
        <w:pStyle w:val="SangriaFrancesaArticulo"/>
      </w:pPr>
    </w:p>
    <w:p w:rsidR="0043655B" w:rsidRDefault="0043655B" w:rsidP="0043655B">
      <w:pPr>
        <w:pStyle w:val="TextoNormalNegritaCursivandice"/>
      </w:pPr>
      <w:r>
        <w:t>Ley 7/1990, de 19 de julio. Negociación colectiva y participación en la determinación de las condiciones de trabajo de los empleados públicos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8" w:history="1">
        <w:r w:rsidRPr="0043655B">
          <w:rPr>
            <w:rStyle w:val="TextoNormalCaracter"/>
          </w:rPr>
          <w:t>118/2012</w:t>
        </w:r>
      </w:hyperlink>
      <w:r>
        <w:t>, ff. 4, 6.</w:t>
      </w:r>
    </w:p>
    <w:p w:rsidR="0043655B" w:rsidRDefault="0043655B" w:rsidP="0043655B">
      <w:pPr>
        <w:pStyle w:val="SangriaFrancesaArticulo"/>
      </w:pPr>
    </w:p>
    <w:p w:rsidR="0043655B" w:rsidRDefault="0043655B" w:rsidP="0043655B">
      <w:pPr>
        <w:pStyle w:val="TextoNormalNegritaCursivandice"/>
      </w:pPr>
      <w:r>
        <w:t>Ley 10/1990, de 15 de octubre. Deporte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0" w:history="1">
        <w:r w:rsidRPr="0043655B">
          <w:rPr>
            <w:rStyle w:val="TextoNormalCaracter"/>
          </w:rPr>
          <w:t>80/2012</w:t>
        </w:r>
      </w:hyperlink>
      <w:r>
        <w:t xml:space="preserve">, ff. 7, 9; </w:t>
      </w:r>
      <w:hyperlink w:anchor="SENTENCIA_2012_110" w:history="1">
        <w:r w:rsidRPr="0043655B">
          <w:rPr>
            <w:rStyle w:val="TextoNormalCaracter"/>
          </w:rPr>
          <w:t>110/2012</w:t>
        </w:r>
      </w:hyperlink>
      <w:r>
        <w:t>, ff. 1, 5.</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Sentencias </w:t>
      </w:r>
      <w:hyperlink w:anchor="SENTENCIA_2012_80" w:history="1">
        <w:r w:rsidRPr="0043655B">
          <w:rPr>
            <w:rStyle w:val="TextoNormalCaracter"/>
          </w:rPr>
          <w:t>80/2012</w:t>
        </w:r>
      </w:hyperlink>
      <w:r>
        <w:t xml:space="preserve">, f. 7; </w:t>
      </w:r>
      <w:hyperlink w:anchor="SENTENCIA_2012_110" w:history="1">
        <w:r w:rsidRPr="0043655B">
          <w:rPr>
            <w:rStyle w:val="TextoNormalCaracter"/>
          </w:rPr>
          <w:t>110/2012</w:t>
        </w:r>
      </w:hyperlink>
      <w:r>
        <w:t>, f. 5.</w:t>
      </w:r>
    </w:p>
    <w:p w:rsidR="0043655B" w:rsidRDefault="0043655B" w:rsidP="0043655B">
      <w:pPr>
        <w:pStyle w:val="SangriaFrancesaArticulo"/>
      </w:pPr>
    </w:p>
    <w:p w:rsidR="0043655B" w:rsidRDefault="0043655B" w:rsidP="0043655B">
      <w:pPr>
        <w:pStyle w:val="TextoNormalNegritaCursivandice"/>
      </w:pPr>
      <w:r>
        <w:t>Ley 25/1990, de 20 de diciembre. Medicamento</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Sentencias </w:t>
      </w:r>
      <w:hyperlink w:anchor="SENTENCIA_2012_20" w:history="1">
        <w:r w:rsidRPr="0043655B">
          <w:rPr>
            <w:rStyle w:val="TextoNormalCaracter"/>
          </w:rPr>
          <w:t>20/2012</w:t>
        </w:r>
      </w:hyperlink>
      <w:r>
        <w:t xml:space="preserve">, f. 2; </w:t>
      </w:r>
      <w:hyperlink w:anchor="SENTENCIA_2012_70" w:history="1">
        <w:r w:rsidRPr="0043655B">
          <w:rPr>
            <w:rStyle w:val="TextoNormalCaracter"/>
          </w:rPr>
          <w:t>70/2012</w:t>
        </w:r>
      </w:hyperlink>
      <w:r>
        <w:t>, f. 1.</w:t>
      </w:r>
    </w:p>
    <w:p w:rsidR="0043655B" w:rsidRDefault="0043655B" w:rsidP="0043655B">
      <w:pPr>
        <w:pStyle w:val="SangriaFrancesaArticulo"/>
      </w:pPr>
      <w:r w:rsidRPr="0043655B">
        <w:rPr>
          <w:rStyle w:val="TextoNormalNegritaCaracter"/>
        </w:rPr>
        <w:t>Artículo 107.2.</w:t>
      </w:r>
      <w:r w:rsidRPr="0043655B">
        <w:rPr>
          <w:rStyle w:val="TextoNormalCaracter"/>
        </w:rPr>
        <w:t>-</w:t>
      </w:r>
      <w:r>
        <w:t xml:space="preserve"> Sentencia </w:t>
      </w:r>
      <w:hyperlink w:anchor="SENTENCIA_2012_70" w:history="1">
        <w:r w:rsidRPr="0043655B">
          <w:rPr>
            <w:rStyle w:val="TextoNormalCaracter"/>
          </w:rPr>
          <w:t>70/2012</w:t>
        </w:r>
      </w:hyperlink>
      <w:r>
        <w:t>, f. 3.</w:t>
      </w:r>
    </w:p>
    <w:p w:rsidR="0043655B" w:rsidRDefault="0043655B" w:rsidP="0043655B">
      <w:pPr>
        <w:pStyle w:val="SangriaFrancesaArticulo"/>
      </w:pPr>
      <w:r w:rsidRPr="0043655B">
        <w:rPr>
          <w:rStyle w:val="TextoNormalNegritaCaracter"/>
        </w:rPr>
        <w:t>Artículo 108.</w:t>
      </w:r>
      <w:r w:rsidRPr="0043655B">
        <w:rPr>
          <w:rStyle w:val="TextoNormalCaracter"/>
        </w:rPr>
        <w:t>-</w:t>
      </w:r>
      <w:r>
        <w:t xml:space="preserve"> Sentencia </w:t>
      </w:r>
      <w:hyperlink w:anchor="SENTENCIA_2012_70" w:history="1">
        <w:r w:rsidRPr="0043655B">
          <w:rPr>
            <w:rStyle w:val="TextoNormalCaracter"/>
          </w:rPr>
          <w:t>70/2012</w:t>
        </w:r>
      </w:hyperlink>
      <w:r>
        <w:t>, f. 5.</w:t>
      </w:r>
    </w:p>
    <w:p w:rsidR="0043655B" w:rsidRDefault="0043655B" w:rsidP="0043655B">
      <w:pPr>
        <w:pStyle w:val="SangriaFrancesaArticulo"/>
      </w:pPr>
      <w:r w:rsidRPr="0043655B">
        <w:rPr>
          <w:rStyle w:val="TextoNormalNegritaCaracter"/>
        </w:rPr>
        <w:t>Artículo 108.1.</w:t>
      </w:r>
      <w:r w:rsidRPr="0043655B">
        <w:rPr>
          <w:rStyle w:val="TextoNormalCaracter"/>
        </w:rPr>
        <w:t>-</w:t>
      </w:r>
      <w:r>
        <w:t xml:space="preserve"> Sentencia </w:t>
      </w:r>
      <w:hyperlink w:anchor="SENTENCIA_2012_70" w:history="1">
        <w:r w:rsidRPr="0043655B">
          <w:rPr>
            <w:rStyle w:val="TextoNormalCaracter"/>
          </w:rPr>
          <w:t>70/2012</w:t>
        </w:r>
      </w:hyperlink>
      <w:r>
        <w:t>, f. 5.</w:t>
      </w:r>
    </w:p>
    <w:p w:rsidR="0043655B" w:rsidRDefault="0043655B" w:rsidP="0043655B">
      <w:pPr>
        <w:pStyle w:val="SangriaFrancesaArticulo"/>
      </w:pPr>
      <w:r w:rsidRPr="0043655B">
        <w:rPr>
          <w:rStyle w:val="TextoNormalNegritaCaracter"/>
        </w:rPr>
        <w:t>Artículo 108.2.b.17.</w:t>
      </w:r>
      <w:r w:rsidRPr="0043655B">
        <w:rPr>
          <w:rStyle w:val="TextoNormalCaracter"/>
        </w:rPr>
        <w:t>-</w:t>
      </w:r>
      <w:r>
        <w:t xml:space="preserve"> Sentencia </w:t>
      </w:r>
      <w:hyperlink w:anchor="SENTENCIA_2012_70" w:history="1">
        <w:r w:rsidRPr="0043655B">
          <w:rPr>
            <w:rStyle w:val="TextoNormalCaracter"/>
          </w:rPr>
          <w:t>70/2012</w:t>
        </w:r>
      </w:hyperlink>
      <w:r>
        <w:t>, f. 4.</w:t>
      </w:r>
    </w:p>
    <w:p w:rsidR="0043655B" w:rsidRDefault="0043655B" w:rsidP="0043655B">
      <w:pPr>
        <w:pStyle w:val="SangriaFrancesaArticulo"/>
      </w:pPr>
      <w:r w:rsidRPr="0043655B">
        <w:rPr>
          <w:rStyle w:val="TextoNormalNegritaCaracter"/>
        </w:rPr>
        <w:t>Artículo 108.2.b.21.</w:t>
      </w:r>
      <w:r w:rsidRPr="0043655B">
        <w:rPr>
          <w:rStyle w:val="TextoNormalCaracter"/>
        </w:rPr>
        <w:t>-</w:t>
      </w:r>
      <w:r>
        <w:t xml:space="preserve"> Sentencia </w:t>
      </w:r>
      <w:hyperlink w:anchor="SENTENCIA_2012_70" w:history="1">
        <w:r w:rsidRPr="0043655B">
          <w:rPr>
            <w:rStyle w:val="TextoNormalCaracter"/>
          </w:rPr>
          <w:t>70/2012</w:t>
        </w:r>
      </w:hyperlink>
      <w:r>
        <w:t>, ff. 4, 5.</w:t>
      </w:r>
    </w:p>
    <w:p w:rsidR="0043655B" w:rsidRDefault="0043655B" w:rsidP="0043655B">
      <w:pPr>
        <w:pStyle w:val="SangriaFrancesaArticulo"/>
      </w:pPr>
      <w:r w:rsidRPr="0043655B">
        <w:rPr>
          <w:rStyle w:val="TextoNormalNegritaCaracter"/>
        </w:rPr>
        <w:t>Artículo 108.2.c.1.</w:t>
      </w:r>
      <w:r w:rsidRPr="0043655B">
        <w:rPr>
          <w:rStyle w:val="TextoNormalCaracter"/>
        </w:rPr>
        <w:t>-</w:t>
      </w:r>
      <w:r>
        <w:t xml:space="preserve"> Sentencia </w:t>
      </w:r>
      <w:hyperlink w:anchor="SENTENCIA_2012_70" w:history="1">
        <w:r w:rsidRPr="0043655B">
          <w:rPr>
            <w:rStyle w:val="TextoNormalCaracter"/>
          </w:rPr>
          <w:t>70/2012</w:t>
        </w:r>
      </w:hyperlink>
      <w:r>
        <w:t>, f. 4.</w:t>
      </w:r>
    </w:p>
    <w:p w:rsidR="0043655B" w:rsidRDefault="0043655B" w:rsidP="0043655B">
      <w:pPr>
        <w:pStyle w:val="SangriaFrancesaArticulo"/>
      </w:pPr>
    </w:p>
    <w:p w:rsidR="0043655B" w:rsidRDefault="0043655B" w:rsidP="0043655B">
      <w:pPr>
        <w:pStyle w:val="TextoNormalNegritaCursivandice"/>
      </w:pPr>
      <w:r>
        <w:t>Ley 18/1991, de 6 de junio. Impuesto sobre la renta de las personas físicas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ff. 3, 4, 7, 11.</w:t>
      </w:r>
    </w:p>
    <w:p w:rsidR="0043655B" w:rsidRDefault="0043655B" w:rsidP="0043655B">
      <w:pPr>
        <w:pStyle w:val="SangriaFrancesaArticulo"/>
      </w:pPr>
    </w:p>
    <w:p w:rsidR="0043655B" w:rsidRDefault="0043655B" w:rsidP="0043655B">
      <w:pPr>
        <w:pStyle w:val="TextoNormalNegritaCursivandice"/>
      </w:pPr>
      <w:r>
        <w:t>Ley 20/1991, de 7 de junio. Modificación de los aspectos fiscales de la Ley 30/1972, del régimen económico fiscal de Canarias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ff. 3, 5.</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100" w:history="1">
        <w:r w:rsidRPr="0043655B">
          <w:rPr>
            <w:rStyle w:val="TextoNormalCaracter"/>
          </w:rPr>
          <w:t>100/2012</w:t>
        </w:r>
      </w:hyperlink>
      <w:r>
        <w:t>, ff. 1, 2, 4, 5.</w:t>
      </w:r>
    </w:p>
    <w:p w:rsidR="0043655B" w:rsidRDefault="0043655B" w:rsidP="0043655B">
      <w:pPr>
        <w:pStyle w:val="SangriaFrancesaArticulo"/>
      </w:pPr>
    </w:p>
    <w:p w:rsidR="0043655B" w:rsidRDefault="0043655B" w:rsidP="0043655B">
      <w:pPr>
        <w:pStyle w:val="TextoNormalNegritaCursivandice"/>
      </w:pPr>
      <w:r>
        <w:t>Ley 30/1992, de 26 de noviembre. Régimen jurídico de las Administraciones públicas y del procedimiento administrativo común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9" w:history="1">
        <w:r w:rsidRPr="0043655B">
          <w:rPr>
            <w:rStyle w:val="TextoNormalCaracter"/>
          </w:rPr>
          <w:t>89/2012</w:t>
        </w:r>
      </w:hyperlink>
      <w:r>
        <w:t>, f. 9.</w:t>
      </w:r>
    </w:p>
    <w:p w:rsidR="0043655B" w:rsidRDefault="0043655B" w:rsidP="0043655B">
      <w:pPr>
        <w:pStyle w:val="SangriaFrancesaArticulo"/>
      </w:pPr>
      <w:r w:rsidRPr="0043655B">
        <w:rPr>
          <w:rStyle w:val="TextoNormalNegritaCaracter"/>
        </w:rPr>
        <w:t>Artículo 46.1.</w:t>
      </w:r>
      <w:r w:rsidRPr="0043655B">
        <w:rPr>
          <w:rStyle w:val="TextoNormalCaracter"/>
        </w:rPr>
        <w:t>-</w:t>
      </w:r>
      <w:r>
        <w:t xml:space="preserve"> Sentencia </w:t>
      </w:r>
      <w:hyperlink w:anchor="SENTENCIA_2012_37" w:history="1">
        <w:r w:rsidRPr="0043655B">
          <w:rPr>
            <w:rStyle w:val="TextoNormalCaracter"/>
          </w:rPr>
          <w:t>37/2012</w:t>
        </w:r>
      </w:hyperlink>
      <w:r>
        <w:t>, f. 11.</w:t>
      </w:r>
    </w:p>
    <w:p w:rsidR="0043655B" w:rsidRDefault="0043655B" w:rsidP="0043655B">
      <w:pPr>
        <w:pStyle w:val="SangriaFrancesaArticulo"/>
      </w:pPr>
      <w:r w:rsidRPr="0043655B">
        <w:rPr>
          <w:rStyle w:val="TextoNormalNegritaCaracter"/>
        </w:rPr>
        <w:t>Artículo 56.</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60.</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62.1.</w:t>
      </w:r>
      <w:r w:rsidRPr="0043655B">
        <w:rPr>
          <w:rStyle w:val="TextoNormalCaracter"/>
        </w:rPr>
        <w:t>-</w:t>
      </w:r>
      <w:r>
        <w:t xml:space="preserve"> Sentencia </w:t>
      </w:r>
      <w:hyperlink w:anchor="SENTENCIA_2012_105" w:history="1">
        <w:r w:rsidRPr="0043655B">
          <w:rPr>
            <w:rStyle w:val="TextoNormalCaracter"/>
          </w:rPr>
          <w:t>105/2012</w:t>
        </w:r>
      </w:hyperlink>
      <w:r>
        <w:t>, f. 8.</w:t>
      </w:r>
    </w:p>
    <w:p w:rsidR="0043655B" w:rsidRDefault="0043655B" w:rsidP="0043655B">
      <w:pPr>
        <w:pStyle w:val="SangriaFrancesaArticulo"/>
      </w:pPr>
      <w:r w:rsidRPr="0043655B">
        <w:rPr>
          <w:rStyle w:val="TextoNormalNegritaCaracter"/>
        </w:rPr>
        <w:t>Artículo 113.3.</w:t>
      </w:r>
      <w:r w:rsidRPr="0043655B">
        <w:rPr>
          <w:rStyle w:val="TextoNormalCaracter"/>
        </w:rPr>
        <w:t>-</w:t>
      </w:r>
      <w:r>
        <w:t xml:space="preserve"> Sentencia </w:t>
      </w:r>
      <w:hyperlink w:anchor="SENTENCIA_2012_37" w:history="1">
        <w:r w:rsidRPr="0043655B">
          <w:rPr>
            <w:rStyle w:val="TextoNormalCaracter"/>
          </w:rPr>
          <w:t>37/2012</w:t>
        </w:r>
      </w:hyperlink>
      <w:r>
        <w:t>, f. 11.</w:t>
      </w:r>
    </w:p>
    <w:p w:rsidR="0043655B" w:rsidRDefault="0043655B" w:rsidP="0043655B">
      <w:pPr>
        <w:pStyle w:val="SangriaFrancesaArticulo"/>
      </w:pPr>
      <w:r w:rsidRPr="0043655B">
        <w:rPr>
          <w:rStyle w:val="TextoNormalNegritaCaracter"/>
        </w:rPr>
        <w:t>Artículo 115.2.</w:t>
      </w:r>
      <w:r w:rsidRPr="0043655B">
        <w:rPr>
          <w:rStyle w:val="TextoNormalCaracter"/>
        </w:rPr>
        <w:t>-</w:t>
      </w:r>
      <w:r>
        <w:t xml:space="preserve"> Sentencia </w:t>
      </w:r>
      <w:hyperlink w:anchor="SENTENCIA_2012_37" w:history="1">
        <w:r w:rsidRPr="0043655B">
          <w:rPr>
            <w:rStyle w:val="TextoNormalCaracter"/>
          </w:rPr>
          <w:t>37/2012</w:t>
        </w:r>
      </w:hyperlink>
      <w:r>
        <w:t>, f. 11.</w:t>
      </w:r>
    </w:p>
    <w:p w:rsidR="0043655B" w:rsidRDefault="0043655B" w:rsidP="0043655B">
      <w:pPr>
        <w:pStyle w:val="SangriaFrancesaArticulo"/>
      </w:pPr>
      <w:r w:rsidRPr="0043655B">
        <w:rPr>
          <w:rStyle w:val="TextoNormalNegritaCaracter"/>
        </w:rPr>
        <w:t>Artículo 130.1.</w:t>
      </w:r>
      <w:r w:rsidRPr="0043655B">
        <w:rPr>
          <w:rStyle w:val="TextoNormalCaracter"/>
        </w:rPr>
        <w:t>-</w:t>
      </w:r>
      <w:r>
        <w:t xml:space="preserve"> Sentencia </w:t>
      </w:r>
      <w:hyperlink w:anchor="SENTENCIA_2012_70" w:history="1">
        <w:r w:rsidRPr="0043655B">
          <w:rPr>
            <w:rStyle w:val="TextoNormalCaracter"/>
          </w:rPr>
          <w:t>70/2012</w:t>
        </w:r>
      </w:hyperlink>
      <w:r>
        <w:t>, f. 3.</w:t>
      </w:r>
    </w:p>
    <w:p w:rsidR="0043655B" w:rsidRDefault="0043655B" w:rsidP="0043655B">
      <w:pPr>
        <w:pStyle w:val="SangriaFrancesaArticulo"/>
      </w:pPr>
      <w:r w:rsidRPr="0043655B">
        <w:rPr>
          <w:rStyle w:val="TextoNormalNegritaCaracter"/>
        </w:rPr>
        <w:t>Artículo 131.3 c).</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132.</w:t>
      </w:r>
      <w:r w:rsidRPr="0043655B">
        <w:rPr>
          <w:rStyle w:val="TextoNormalCaracter"/>
        </w:rPr>
        <w:t>-</w:t>
      </w:r>
      <w:r>
        <w:t xml:space="preserve"> Sentencias </w:t>
      </w:r>
      <w:hyperlink w:anchor="SENTENCIA_2012_37" w:history="1">
        <w:r w:rsidRPr="0043655B">
          <w:rPr>
            <w:rStyle w:val="TextoNormalCaracter"/>
          </w:rPr>
          <w:t>37/2012</w:t>
        </w:r>
      </w:hyperlink>
      <w:r>
        <w:t xml:space="preserve">, ff. 1 a 3, 8 a 12, VP I, VP II, VP III, VP IV; </w:t>
      </w:r>
      <w:hyperlink w:anchor="SENTENCIA_2012_75" w:history="1">
        <w:r w:rsidRPr="0043655B">
          <w:rPr>
            <w:rStyle w:val="TextoNormalCaracter"/>
          </w:rPr>
          <w:t>75/2012</w:t>
        </w:r>
      </w:hyperlink>
      <w:r>
        <w:t xml:space="preserve">, ff. 1, 2, 4; </w:t>
      </w:r>
      <w:hyperlink w:anchor="SENTENCIA_2012_91" w:history="1">
        <w:r w:rsidRPr="0043655B">
          <w:rPr>
            <w:rStyle w:val="TextoNormalCaracter"/>
          </w:rPr>
          <w:t>91/2012</w:t>
        </w:r>
      </w:hyperlink>
      <w:r>
        <w:t xml:space="preserve">, ff. 1, 2, 4; </w:t>
      </w:r>
      <w:hyperlink w:anchor="SENTENCIA_2012_93" w:history="1">
        <w:r w:rsidRPr="0043655B">
          <w:rPr>
            <w:rStyle w:val="TextoNormalCaracter"/>
          </w:rPr>
          <w:t>93/2012</w:t>
        </w:r>
      </w:hyperlink>
      <w:r>
        <w:t xml:space="preserve">, ff. 2, 3; </w:t>
      </w:r>
      <w:hyperlink w:anchor="SENTENCIA_2012_94" w:history="1">
        <w:r w:rsidRPr="0043655B">
          <w:rPr>
            <w:rStyle w:val="TextoNormalCaracter"/>
          </w:rPr>
          <w:t>94/2012</w:t>
        </w:r>
      </w:hyperlink>
      <w:r>
        <w:t xml:space="preserve">, ff. 1, 2, 4; </w:t>
      </w:r>
      <w:hyperlink w:anchor="SENTENCIA_2012_98" w:history="1">
        <w:r w:rsidRPr="0043655B">
          <w:rPr>
            <w:rStyle w:val="TextoNormalCaracter"/>
          </w:rPr>
          <w:t>98/2012</w:t>
        </w:r>
      </w:hyperlink>
      <w:r>
        <w:t>, ff. 2, 3.</w:t>
      </w:r>
    </w:p>
    <w:p w:rsidR="0043655B" w:rsidRDefault="0043655B" w:rsidP="0043655B">
      <w:pPr>
        <w:pStyle w:val="SangriaFrancesaArticulo"/>
      </w:pPr>
      <w:r w:rsidRPr="0043655B">
        <w:rPr>
          <w:rStyle w:val="TextoNormalNegritaCaracter"/>
        </w:rPr>
        <w:t>Artículo 132.2.</w:t>
      </w:r>
      <w:r w:rsidRPr="0043655B">
        <w:rPr>
          <w:rStyle w:val="TextoNormalCaracter"/>
        </w:rPr>
        <w:t>-</w:t>
      </w:r>
      <w:r>
        <w:t xml:space="preserve"> Sentencias </w:t>
      </w:r>
      <w:hyperlink w:anchor="SENTENCIA_2012_93" w:history="1">
        <w:r w:rsidRPr="0043655B">
          <w:rPr>
            <w:rStyle w:val="TextoNormalCaracter"/>
          </w:rPr>
          <w:t>93/2012</w:t>
        </w:r>
      </w:hyperlink>
      <w:r>
        <w:t xml:space="preserve">, ff. 1, 2, 4; </w:t>
      </w:r>
      <w:hyperlink w:anchor="SENTENCIA_2012_98" w:history="1">
        <w:r w:rsidRPr="0043655B">
          <w:rPr>
            <w:rStyle w:val="TextoNormalCaracter"/>
          </w:rPr>
          <w:t>98/2012</w:t>
        </w:r>
      </w:hyperlink>
      <w:r>
        <w:t>, ff. 1, 2, 4.</w:t>
      </w:r>
    </w:p>
    <w:p w:rsidR="0043655B" w:rsidRDefault="0043655B" w:rsidP="0043655B">
      <w:pPr>
        <w:pStyle w:val="SangriaFrancesaArticulo"/>
      </w:pPr>
      <w:r w:rsidRPr="0043655B">
        <w:rPr>
          <w:rStyle w:val="TextoNormalNegritaCaracter"/>
        </w:rPr>
        <w:t>Artículo 132.3.</w:t>
      </w:r>
      <w:r w:rsidRPr="0043655B">
        <w:rPr>
          <w:rStyle w:val="TextoNormalCaracter"/>
        </w:rPr>
        <w:t>-</w:t>
      </w:r>
      <w:r>
        <w:t xml:space="preserve"> Sentencias </w:t>
      </w:r>
      <w:hyperlink w:anchor="SENTENCIA_2012_93" w:history="1">
        <w:r w:rsidRPr="0043655B">
          <w:rPr>
            <w:rStyle w:val="TextoNormalCaracter"/>
          </w:rPr>
          <w:t>93/2012</w:t>
        </w:r>
      </w:hyperlink>
      <w:r>
        <w:t xml:space="preserve">, ff. 1, 2, 4; </w:t>
      </w:r>
      <w:hyperlink w:anchor="SENTENCIA_2012_98" w:history="1">
        <w:r w:rsidRPr="0043655B">
          <w:rPr>
            <w:rStyle w:val="TextoNormalCaracter"/>
          </w:rPr>
          <w:t>98/2012</w:t>
        </w:r>
      </w:hyperlink>
      <w:r>
        <w:t>, ff. 1, 2, 4.</w:t>
      </w:r>
    </w:p>
    <w:p w:rsidR="0043655B" w:rsidRDefault="0043655B" w:rsidP="0043655B">
      <w:pPr>
        <w:pStyle w:val="SangriaFrancesaArticulo"/>
      </w:pPr>
      <w:r w:rsidRPr="0043655B">
        <w:rPr>
          <w:rStyle w:val="TextoNormalNegritaCaracter"/>
        </w:rPr>
        <w:t>Artículo 138.3.</w:t>
      </w:r>
      <w:r w:rsidRPr="0043655B">
        <w:rPr>
          <w:rStyle w:val="TextoNormalCaracter"/>
        </w:rPr>
        <w:t>-</w:t>
      </w:r>
      <w:r>
        <w:t xml:space="preserve"> Sentencia </w:t>
      </w:r>
      <w:hyperlink w:anchor="SENTENCIA_2012_37" w:history="1">
        <w:r w:rsidRPr="0043655B">
          <w:rPr>
            <w:rStyle w:val="TextoNormalCaracter"/>
          </w:rPr>
          <w:t>37/2012</w:t>
        </w:r>
      </w:hyperlink>
      <w:r>
        <w:t>, VP III.</w:t>
      </w:r>
    </w:p>
    <w:p w:rsidR="0043655B" w:rsidRDefault="0043655B" w:rsidP="0043655B">
      <w:pPr>
        <w:pStyle w:val="SangriaFrancesaArticulo"/>
      </w:pPr>
      <w:r w:rsidRPr="0043655B">
        <w:rPr>
          <w:rStyle w:val="TextoNormalNegritaCaracter"/>
        </w:rPr>
        <w:t>Artículo 139.5</w:t>
      </w:r>
      <w:r>
        <w:t xml:space="preserve"> </w:t>
      </w:r>
      <w:r w:rsidRPr="0043655B">
        <w:rPr>
          <w:rStyle w:val="TextoNormalCaracter"/>
        </w:rPr>
        <w:t>(redactado por la Ley 13/2009, de 3 de noviembre)</w:t>
      </w:r>
      <w:r w:rsidRPr="0043655B">
        <w:rPr>
          <w:rStyle w:val="TextoNormalNegritaCaracter"/>
        </w:rPr>
        <w:t>.</w:t>
      </w:r>
      <w:r w:rsidRPr="0043655B">
        <w:rPr>
          <w:rStyle w:val="TextoNormalCaracter"/>
        </w:rPr>
        <w:t>-</w:t>
      </w:r>
      <w:r>
        <w:t xml:space="preserve"> Autos </w:t>
      </w:r>
      <w:hyperlink w:anchor="AUTO_2012_106" w:history="1">
        <w:r w:rsidRPr="0043655B">
          <w:rPr>
            <w:rStyle w:val="TextoNormalCaracter"/>
          </w:rPr>
          <w:t>106/2012</w:t>
        </w:r>
      </w:hyperlink>
      <w:r>
        <w:t xml:space="preserve">; </w:t>
      </w:r>
      <w:hyperlink w:anchor="AUTO_2012_120" w:history="1">
        <w:r w:rsidRPr="0043655B">
          <w:rPr>
            <w:rStyle w:val="TextoNormalCaracter"/>
          </w:rPr>
          <w:t>120/2012</w:t>
        </w:r>
      </w:hyperlink>
      <w:r>
        <w:t>.</w:t>
      </w:r>
    </w:p>
    <w:p w:rsidR="0043655B" w:rsidRDefault="0043655B" w:rsidP="0043655B">
      <w:pPr>
        <w:pStyle w:val="SangriaFrancesaArticulo"/>
      </w:pPr>
    </w:p>
    <w:p w:rsidR="0043655B" w:rsidRDefault="0043655B" w:rsidP="0043655B">
      <w:pPr>
        <w:pStyle w:val="TextoNormalNegritaCursivandice"/>
      </w:pPr>
      <w:r>
        <w:t>Ley 29/1994, de 24 de noviembre. Arrendamientos urbanos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9" w:history="1">
        <w:r w:rsidRPr="0043655B">
          <w:rPr>
            <w:rStyle w:val="TextoNormalCaracter"/>
          </w:rPr>
          <w:t>129/2012</w:t>
        </w:r>
      </w:hyperlink>
      <w:r>
        <w:t>, f. 2.</w:t>
      </w:r>
    </w:p>
    <w:p w:rsidR="0043655B" w:rsidRDefault="0043655B" w:rsidP="0043655B">
      <w:pPr>
        <w:pStyle w:val="SangriaFrancesaArticulo"/>
      </w:pPr>
      <w:r w:rsidRPr="0043655B">
        <w:rPr>
          <w:rStyle w:val="TextoNormalNegritaCaracter"/>
        </w:rPr>
        <w:t>Disposición adicional quinta.</w:t>
      </w:r>
      <w:r w:rsidRPr="0043655B">
        <w:rPr>
          <w:rStyle w:val="TextoNormalCaracter"/>
        </w:rPr>
        <w:t>-</w:t>
      </w:r>
      <w:r>
        <w:t xml:space="preserve"> Sentencias </w:t>
      </w:r>
      <w:hyperlink w:anchor="SENTENCIA_2012_129" w:history="1">
        <w:r w:rsidRPr="0043655B">
          <w:rPr>
            <w:rStyle w:val="TextoNormalCaracter"/>
          </w:rPr>
          <w:t>129/2012</w:t>
        </w:r>
      </w:hyperlink>
      <w:r>
        <w:t xml:space="preserve">, f. 2; </w:t>
      </w:r>
      <w:hyperlink w:anchor="SENTENCIA_2012_130" w:history="1">
        <w:r w:rsidRPr="0043655B">
          <w:rPr>
            <w:rStyle w:val="TextoNormalCaracter"/>
          </w:rPr>
          <w:t>130/2012</w:t>
        </w:r>
      </w:hyperlink>
      <w:r>
        <w:t>, f. 2.</w:t>
      </w:r>
    </w:p>
    <w:p w:rsidR="0043655B" w:rsidRDefault="0043655B" w:rsidP="0043655B">
      <w:pPr>
        <w:pStyle w:val="SangriaFrancesaArticulo"/>
      </w:pPr>
    </w:p>
    <w:p w:rsidR="0043655B" w:rsidRDefault="0043655B" w:rsidP="0043655B">
      <w:pPr>
        <w:pStyle w:val="TextoNormalNegritaCursivandice"/>
      </w:pPr>
      <w:r>
        <w:t>Ley 41/1995, de 22 de diciembre. Televisión local por ondas terrestres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5" w:history="1">
        <w:r w:rsidRPr="0043655B">
          <w:rPr>
            <w:rStyle w:val="TextoNormalCaracter"/>
          </w:rPr>
          <w:t>5/2012</w:t>
        </w:r>
      </w:hyperlink>
      <w:r>
        <w:t>, ff. 2, 4.</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lastRenderedPageBreak/>
        <w:t>Artículo 19.</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p>
    <w:p w:rsidR="0043655B" w:rsidRDefault="0043655B" w:rsidP="0043655B">
      <w:pPr>
        <w:pStyle w:val="TextoNormalNegritaCursivandice"/>
      </w:pPr>
      <w:r>
        <w:t>Ley 1/1996, de 10 de enero. Asistencia jurídica gratuita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0" w:history="1">
        <w:r w:rsidRPr="0043655B">
          <w:rPr>
            <w:rStyle w:val="TextoNormalCaracter"/>
          </w:rPr>
          <w:t>20/2012</w:t>
        </w:r>
      </w:hyperlink>
      <w:r>
        <w:t>, f. 9.</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Autos </w:t>
      </w:r>
      <w:hyperlink w:anchor="AUTO_2012_30" w:history="1">
        <w:r w:rsidRPr="0043655B">
          <w:rPr>
            <w:rStyle w:val="TextoNormalCaracter"/>
          </w:rPr>
          <w:t>30/2012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Artículos 2 a 5.</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Autos </w:t>
      </w:r>
      <w:hyperlink w:anchor="AUTO_2012_30" w:history="1">
        <w:r w:rsidRPr="0043655B">
          <w:rPr>
            <w:rStyle w:val="TextoNormalCaracter"/>
          </w:rPr>
          <w:t>30/2012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Auto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Auto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Autos </w:t>
      </w:r>
      <w:hyperlink w:anchor="AUTO_2012_54" w:history="1">
        <w:r w:rsidRPr="0043655B">
          <w:rPr>
            <w:rStyle w:val="TextoNormalCaracter"/>
          </w:rPr>
          <w:t>54/2012</w:t>
        </w:r>
      </w:hyperlink>
      <w:r>
        <w:t xml:space="preserve">; </w:t>
      </w:r>
      <w:hyperlink w:anchor="AUTO_2012_80" w:history="1">
        <w:r w:rsidRPr="0043655B">
          <w:rPr>
            <w:rStyle w:val="TextoNormalCaracter"/>
          </w:rPr>
          <w:t>80/2012</w:t>
        </w:r>
      </w:hyperlink>
      <w:r>
        <w:t xml:space="preserve">; </w:t>
      </w:r>
      <w:hyperlink w:anchor="AUTO_2012_112" w:history="1">
        <w:r w:rsidRPr="0043655B">
          <w:rPr>
            <w:rStyle w:val="TextoNormalCaracter"/>
          </w:rPr>
          <w:t>112/2012</w:t>
        </w:r>
      </w:hyperlink>
      <w:r>
        <w:t>.</w:t>
      </w:r>
    </w:p>
    <w:p w:rsidR="0043655B" w:rsidRDefault="0043655B" w:rsidP="0043655B">
      <w:pPr>
        <w:pStyle w:val="SangriaFrancesaArticulo"/>
      </w:pPr>
      <w:r w:rsidRPr="0043655B">
        <w:rPr>
          <w:rStyle w:val="TextoNormalNegritaCaracter"/>
        </w:rPr>
        <w:t>Artículo 27.</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p>
    <w:p w:rsidR="0043655B" w:rsidRDefault="0043655B" w:rsidP="0043655B">
      <w:pPr>
        <w:pStyle w:val="TextoNormalNegritaCursivandice"/>
      </w:pPr>
      <w:r>
        <w:t>Ley 7/1996, de 15 de enero. Ordenación del comercio minorista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6" w:history="1">
        <w:r w:rsidRPr="0043655B">
          <w:rPr>
            <w:rStyle w:val="TextoNormalCaracter"/>
          </w:rPr>
          <w:t>26/2012</w:t>
        </w:r>
      </w:hyperlink>
      <w:r>
        <w:t>, ff. 4, 5.</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26" w:history="1">
        <w:r w:rsidRPr="0043655B">
          <w:rPr>
            <w:rStyle w:val="TextoNormalCaracter"/>
          </w:rPr>
          <w:t>26/2012</w:t>
        </w:r>
      </w:hyperlink>
      <w:r>
        <w:t>, f. 4.</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Artículo 6</w:t>
      </w:r>
      <w:r>
        <w:t xml:space="preserve"> </w:t>
      </w:r>
      <w:r w:rsidRPr="0043655B">
        <w:rPr>
          <w:rStyle w:val="TextoNormalCaracter"/>
        </w:rPr>
        <w:t>(redactado por la Ley 1/2010, de 1 de marzo)</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26" w:history="1">
        <w:r w:rsidRPr="0043655B">
          <w:rPr>
            <w:rStyle w:val="TextoNormalCaracter"/>
          </w:rPr>
          <w:t>26/2012</w:t>
        </w:r>
      </w:hyperlink>
      <w:r>
        <w:t>, f. 12.</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26" w:history="1">
        <w:r w:rsidRPr="0043655B">
          <w:rPr>
            <w:rStyle w:val="TextoNormalCaracter"/>
          </w:rPr>
          <w:t>26/2012</w:t>
        </w:r>
      </w:hyperlink>
      <w:r>
        <w:t>, f. 12.</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26" w:history="1">
        <w:r w:rsidRPr="0043655B">
          <w:rPr>
            <w:rStyle w:val="TextoNormalCaracter"/>
          </w:rPr>
          <w:t>26/2012</w:t>
        </w:r>
      </w:hyperlink>
      <w:r>
        <w:t>, f. 10.</w:t>
      </w:r>
    </w:p>
    <w:p w:rsidR="0043655B" w:rsidRDefault="0043655B" w:rsidP="0043655B">
      <w:pPr>
        <w:pStyle w:val="SangriaFrancesaArticulo"/>
      </w:pPr>
      <w:r w:rsidRPr="0043655B">
        <w:rPr>
          <w:rStyle w:val="TextoNormalNegritaCaracter"/>
        </w:rPr>
        <w:t>Artículo 29.</w:t>
      </w:r>
      <w:r w:rsidRPr="0043655B">
        <w:rPr>
          <w:rStyle w:val="TextoNormalCaracter"/>
        </w:rPr>
        <w:t>-</w:t>
      </w:r>
      <w:r>
        <w:t xml:space="preserve"> Sentencia </w:t>
      </w:r>
      <w:hyperlink w:anchor="SENTENCIA_2012_26" w:history="1">
        <w:r w:rsidRPr="0043655B">
          <w:rPr>
            <w:rStyle w:val="TextoNormalCaracter"/>
          </w:rPr>
          <w:t>26/2012</w:t>
        </w:r>
      </w:hyperlink>
      <w:r>
        <w:t>, f. 10.</w:t>
      </w:r>
    </w:p>
    <w:p w:rsidR="0043655B" w:rsidRDefault="0043655B" w:rsidP="0043655B">
      <w:pPr>
        <w:pStyle w:val="SangriaFrancesaArticulo"/>
      </w:pPr>
      <w:r w:rsidRPr="0043655B">
        <w:rPr>
          <w:rStyle w:val="TextoNormalNegritaCaracter"/>
        </w:rPr>
        <w:t>Artículo 67.</w:t>
      </w:r>
      <w:r w:rsidRPr="0043655B">
        <w:rPr>
          <w:rStyle w:val="TextoNormalCaracter"/>
        </w:rPr>
        <w:t>-</w:t>
      </w:r>
      <w:r>
        <w:t xml:space="preserve"> Sentencia </w:t>
      </w:r>
      <w:hyperlink w:anchor="SENTENCIA_2012_26" w:history="1">
        <w:r w:rsidRPr="0043655B">
          <w:rPr>
            <w:rStyle w:val="TextoNormalCaracter"/>
          </w:rPr>
          <w:t>26/2012</w:t>
        </w:r>
      </w:hyperlink>
      <w:r>
        <w:t>, f. 13.</w:t>
      </w:r>
    </w:p>
    <w:p w:rsidR="0043655B" w:rsidRDefault="0043655B" w:rsidP="0043655B">
      <w:pPr>
        <w:pStyle w:val="SangriaFrancesaArticulo"/>
      </w:pPr>
      <w:r w:rsidRPr="0043655B">
        <w:rPr>
          <w:rStyle w:val="TextoNormalNegritaCaracter"/>
        </w:rPr>
        <w:t>Artículo 69.1.</w:t>
      </w:r>
      <w:r w:rsidRPr="0043655B">
        <w:rPr>
          <w:rStyle w:val="TextoNormalCaracter"/>
        </w:rPr>
        <w:t>-</w:t>
      </w:r>
      <w:r>
        <w:t xml:space="preserve"> Sentencia </w:t>
      </w:r>
      <w:hyperlink w:anchor="SENTENCIA_2012_26" w:history="1">
        <w:r w:rsidRPr="0043655B">
          <w:rPr>
            <w:rStyle w:val="TextoNormalCaracter"/>
          </w:rPr>
          <w:t>26/2012</w:t>
        </w:r>
      </w:hyperlink>
      <w:r>
        <w:t>, f. 13.</w:t>
      </w:r>
    </w:p>
    <w:p w:rsidR="0043655B" w:rsidRDefault="0043655B" w:rsidP="0043655B">
      <w:pPr>
        <w:pStyle w:val="SangriaFrancesaArticulo"/>
      </w:pPr>
    </w:p>
    <w:p w:rsidR="0043655B" w:rsidRDefault="0043655B" w:rsidP="0043655B">
      <w:pPr>
        <w:pStyle w:val="TextoNormalNegritaCursivandice"/>
      </w:pPr>
      <w:r>
        <w:t>Ley 13/1996, de 30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p>
    <w:p w:rsidR="0043655B" w:rsidRDefault="0043655B" w:rsidP="0043655B">
      <w:pPr>
        <w:pStyle w:val="TextoNormalNegritaCursivandice"/>
      </w:pPr>
      <w:r>
        <w:t>Ley 14/1996, de 30 de diciembre. Cesión de tributos del Estado a las  Comunidades Autónomas y medidas fiscales complementarias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9" w:history="1">
        <w:r w:rsidRPr="0043655B">
          <w:rPr>
            <w:rStyle w:val="TextoNormalCaracter"/>
          </w:rPr>
          <w:t>19/2012</w:t>
        </w:r>
      </w:hyperlink>
      <w:r>
        <w:t xml:space="preserve">, f. 11; </w:t>
      </w:r>
      <w:hyperlink w:anchor="SENTENCIA_2012_35" w:history="1">
        <w:r w:rsidRPr="0043655B">
          <w:rPr>
            <w:rStyle w:val="TextoNormalCaracter"/>
          </w:rPr>
          <w:t>35/2012</w:t>
        </w:r>
      </w:hyperlink>
      <w:r>
        <w:t>, ff. 1, 7 a 9.</w:t>
      </w:r>
    </w:p>
    <w:p w:rsidR="0043655B" w:rsidRDefault="0043655B" w:rsidP="0043655B">
      <w:pPr>
        <w:pStyle w:val="SangriaFrancesaArticulo"/>
      </w:pPr>
      <w:r w:rsidRPr="0043655B">
        <w:rPr>
          <w:rStyle w:val="TextoNormalNegritaCaracter"/>
        </w:rPr>
        <w:t>Artículo 2.1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10.3.</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13.1.1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13.1.1 b).</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13.6.</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 </w:t>
      </w:r>
      <w:hyperlink w:anchor="SENTENCIA_2012_35" w:history="1">
        <w:r w:rsidRPr="0043655B">
          <w:rPr>
            <w:rStyle w:val="TextoNormalCaracter"/>
          </w:rPr>
          <w:t>35/2012</w:t>
        </w:r>
      </w:hyperlink>
      <w:r>
        <w:t>, f. 6.</w:t>
      </w:r>
    </w:p>
    <w:p w:rsidR="0043655B" w:rsidRDefault="0043655B" w:rsidP="0043655B">
      <w:pPr>
        <w:pStyle w:val="SangriaFrancesaArticulo"/>
      </w:pPr>
    </w:p>
    <w:p w:rsidR="0043655B" w:rsidRDefault="0043655B" w:rsidP="0043655B">
      <w:pPr>
        <w:pStyle w:val="TextoNormalNegritaCursivandice"/>
      </w:pPr>
      <w:r>
        <w:t>Ley 19/1997, de 9 de junio. Modificación la Ley 1/1986, de 7 de enero, por la que se crea el Consejo general de formación profesional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p>
    <w:p w:rsidR="0043655B" w:rsidRDefault="0043655B" w:rsidP="0043655B">
      <w:pPr>
        <w:pStyle w:val="TextoNormalNegritaCursivandice"/>
      </w:pPr>
      <w:r>
        <w:lastRenderedPageBreak/>
        <w:t>Ley 25/1997, de 4 de agosto. Modifica el régimen de cesión de tributos del Estado a Aragón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26/1997, de 4 de agosto. Modifica el régimen de cesión de tributos del Estado al Principado de Asturias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27/1997, de 4 de agosto. Modifica el régimen de cesión de tributos del Estado a las Illes Balears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28/1997, de 4 de agosto. Modifica el régimen de cesión de tributos de Estado a Canarias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29/1997, de 4 de agosto. Modifica el régimen de cesión de tributos del Estado a Cantabria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30/1997, de 4 de agosto. Modifica el régimen de cesión de tributos del Estado a Castilla y León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31/1997, de 4 de agosto. Modifica el régimen de cesión de tributos del Estado a Cataluña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9" w:history="1">
        <w:r w:rsidRPr="0043655B">
          <w:rPr>
            <w:rStyle w:val="TextoNormalCaracter"/>
          </w:rPr>
          <w:t>19/2012</w:t>
        </w:r>
      </w:hyperlink>
      <w:r>
        <w:t xml:space="preserve">, f. 11; </w:t>
      </w:r>
      <w:hyperlink w:anchor="SENTENCIA_2012_35" w:history="1">
        <w:r w:rsidRPr="0043655B">
          <w:rPr>
            <w:rStyle w:val="TextoNormalCaracter"/>
          </w:rPr>
          <w:t>35/2012</w:t>
        </w:r>
      </w:hyperlink>
      <w:r>
        <w:t>, ff. 1, 9.</w:t>
      </w:r>
    </w:p>
    <w:p w:rsidR="0043655B" w:rsidRDefault="0043655B" w:rsidP="0043655B">
      <w:pPr>
        <w:pStyle w:val="SangriaFrancesaArticulo"/>
      </w:pPr>
    </w:p>
    <w:p w:rsidR="0043655B" w:rsidRDefault="0043655B" w:rsidP="0043655B">
      <w:pPr>
        <w:pStyle w:val="TextoNormalNegritaCursivandice"/>
      </w:pPr>
      <w:r>
        <w:t>Ley 32/1997, de 4 de agosto. Modifica el régimén de cesión de tributos del Estado a Galicia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33/1997, de 4 de agosto. Modifica el régimen de cesión de tributos del Estado a la Comunidad de Madrid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34/1997, de 4 de agosto. Régimen de cesión de tributos del Estado a la Comunidad Autónoma de Murcia de 1997.</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35/1997, de 4 de agosto. Modifica el régimen de cesión de tributos del Estado a la Rioja y fija 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36/1997, de 4 de agosto. Modifica el régimen de cesión de tributos del Estado a la Comunidad Valenciana y fija el alcance y condiciones de dicha cesión.</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66/1997, de 30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p>
    <w:p w:rsidR="0043655B" w:rsidRDefault="0043655B" w:rsidP="0043655B">
      <w:pPr>
        <w:pStyle w:val="TextoNormalNegritaCursivandice"/>
      </w:pPr>
      <w:r>
        <w:t>Ley 11/1998, de 24 de abril. General de telecomunicaciones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5" w:history="1">
        <w:r w:rsidRPr="0043655B">
          <w:rPr>
            <w:rStyle w:val="TextoNormalCaracter"/>
          </w:rPr>
          <w:t>5/2012</w:t>
        </w:r>
      </w:hyperlink>
      <w:r>
        <w:t xml:space="preserve">, f. 4; </w:t>
      </w:r>
      <w:hyperlink w:anchor="SENTENCIA_2012_8" w:history="1">
        <w:r w:rsidRPr="0043655B">
          <w:rPr>
            <w:rStyle w:val="TextoNormalCaracter"/>
          </w:rPr>
          <w:t>8/2012</w:t>
        </w:r>
      </w:hyperlink>
      <w:r>
        <w:t>, ff. 2, 6, 8.</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8" w:history="1">
        <w:r w:rsidRPr="0043655B">
          <w:rPr>
            <w:rStyle w:val="TextoNormalCaracter"/>
          </w:rPr>
          <w:t>8/2012</w:t>
        </w:r>
      </w:hyperlink>
      <w:r>
        <w:t>, f. 5.</w:t>
      </w:r>
    </w:p>
    <w:p w:rsidR="0043655B" w:rsidRDefault="0043655B" w:rsidP="0043655B">
      <w:pPr>
        <w:pStyle w:val="SangriaFrancesaArticulo"/>
      </w:pPr>
      <w:r w:rsidRPr="0043655B">
        <w:rPr>
          <w:rStyle w:val="TextoNormalNegritaCaracter"/>
        </w:rPr>
        <w:t>Artículo 47.</w:t>
      </w:r>
      <w:r w:rsidRPr="0043655B">
        <w:rPr>
          <w:rStyle w:val="TextoNormalCaracter"/>
        </w:rPr>
        <w:t>-</w:t>
      </w:r>
      <w:r>
        <w:t xml:space="preserve"> Sentencia </w:t>
      </w:r>
      <w:hyperlink w:anchor="SENTENCIA_2012_8" w:history="1">
        <w:r w:rsidRPr="0043655B">
          <w:rPr>
            <w:rStyle w:val="TextoNormalCaracter"/>
          </w:rPr>
          <w:t>8/2012</w:t>
        </w:r>
      </w:hyperlink>
      <w:r>
        <w:t>, ff. 8, 9.</w:t>
      </w:r>
    </w:p>
    <w:p w:rsidR="0043655B" w:rsidRDefault="0043655B" w:rsidP="0043655B">
      <w:pPr>
        <w:pStyle w:val="SangriaFrancesaArticulo"/>
      </w:pPr>
      <w:r w:rsidRPr="0043655B">
        <w:rPr>
          <w:rStyle w:val="TextoNormalNegritaCaracter"/>
        </w:rPr>
        <w:t>Artículo 79.1.</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Disposiciones adicionales quinta, sexta, séptima.</w:t>
      </w:r>
      <w:r w:rsidRPr="0043655B">
        <w:rPr>
          <w:rStyle w:val="TextoNormalCaracter"/>
        </w:rPr>
        <w:t>-</w:t>
      </w:r>
      <w:r>
        <w:t xml:space="preserve"> Sentencia </w:t>
      </w:r>
      <w:hyperlink w:anchor="SENTENCIA_2012_8" w:history="1">
        <w:r w:rsidRPr="0043655B">
          <w:rPr>
            <w:rStyle w:val="TextoNormalCaracter"/>
          </w:rPr>
          <w:t>8/2012</w:t>
        </w:r>
      </w:hyperlink>
      <w:r>
        <w:t>, f. 2.</w:t>
      </w:r>
    </w:p>
    <w:p w:rsidR="0043655B" w:rsidRDefault="0043655B" w:rsidP="0043655B">
      <w:pPr>
        <w:pStyle w:val="SangriaFrancesaArticulo"/>
      </w:pPr>
      <w:r w:rsidRPr="0043655B">
        <w:rPr>
          <w:rStyle w:val="TextoNormalNegritaCaracter"/>
        </w:rPr>
        <w:t>Disposiciones transitorias sexta, séptima y duodécima.</w:t>
      </w:r>
      <w:r w:rsidRPr="0043655B">
        <w:rPr>
          <w:rStyle w:val="TextoNormalCaracter"/>
        </w:rPr>
        <w:t>-</w:t>
      </w:r>
      <w:r>
        <w:t xml:space="preserve"> Sentencia </w:t>
      </w:r>
      <w:hyperlink w:anchor="SENTENCIA_2012_8" w:history="1">
        <w:r w:rsidRPr="0043655B">
          <w:rPr>
            <w:rStyle w:val="TextoNormalCaracter"/>
          </w:rPr>
          <w:t>8/2012</w:t>
        </w:r>
      </w:hyperlink>
      <w:r>
        <w:t>, f. 2.</w:t>
      </w:r>
    </w:p>
    <w:p w:rsidR="0043655B" w:rsidRDefault="0043655B" w:rsidP="0043655B">
      <w:pPr>
        <w:pStyle w:val="SangriaFrancesaArticulo"/>
      </w:pPr>
    </w:p>
    <w:p w:rsidR="0043655B" w:rsidRDefault="0043655B" w:rsidP="0043655B">
      <w:pPr>
        <w:pStyle w:val="TextoNormalNegritaCursivandice"/>
      </w:pPr>
      <w:r>
        <w:t>Ley 25/1998, de 13 de julio. Modificación del régimen legal de las tasas estatales y locales y reordenación de las prestaciones patrimoniales de carácter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0" w:history="1">
        <w:r w:rsidRPr="0043655B">
          <w:rPr>
            <w:rStyle w:val="TextoNormalCaracter"/>
          </w:rPr>
          <w:t>20/2012</w:t>
        </w:r>
      </w:hyperlink>
      <w:r>
        <w:t>, f. 11.</w:t>
      </w:r>
    </w:p>
    <w:p w:rsidR="0043655B" w:rsidRDefault="0043655B" w:rsidP="0043655B">
      <w:pPr>
        <w:pStyle w:val="SangriaFrancesaArticulo"/>
      </w:pPr>
    </w:p>
    <w:p w:rsidR="0043655B" w:rsidRDefault="0043655B" w:rsidP="0043655B">
      <w:pPr>
        <w:pStyle w:val="TextoNormalNegritaCursivandice"/>
      </w:pPr>
      <w:r>
        <w:t>Ley 29/1998, de 13 de julio. Jurisdicción contencioso-administrativa</w:t>
      </w:r>
    </w:p>
    <w:p w:rsidR="0043655B" w:rsidRDefault="0043655B" w:rsidP="0043655B">
      <w:pPr>
        <w:pStyle w:val="SangriaFrancesaArticulo"/>
      </w:pPr>
      <w:r w:rsidRPr="0043655B">
        <w:rPr>
          <w:rStyle w:val="TextoNormalNegritaCaracter"/>
        </w:rPr>
        <w:t>Artículo 1.3 a).</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10.1 c).</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12.1 c).</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45.3.</w:t>
      </w:r>
      <w:r w:rsidRPr="0043655B">
        <w:rPr>
          <w:rStyle w:val="TextoNormalCaracter"/>
        </w:rPr>
        <w:t>-</w:t>
      </w:r>
      <w:r>
        <w:t xml:space="preserve"> Sentencia </w:t>
      </w:r>
      <w:hyperlink w:anchor="SENTENCIA_2012_116" w:history="1">
        <w:r w:rsidRPr="0043655B">
          <w:rPr>
            <w:rStyle w:val="TextoNormalCaracter"/>
          </w:rPr>
          <w:t>116/2012</w:t>
        </w:r>
      </w:hyperlink>
      <w:r>
        <w:t>, f. 7.</w:t>
      </w:r>
    </w:p>
    <w:p w:rsidR="0043655B" w:rsidRDefault="0043655B" w:rsidP="0043655B">
      <w:pPr>
        <w:pStyle w:val="SangriaFrancesaArticulo"/>
      </w:pPr>
      <w:r w:rsidRPr="0043655B">
        <w:rPr>
          <w:rStyle w:val="TextoNormalNegritaCaracter"/>
        </w:rPr>
        <w:t>Artículo 80.1 c).</w:t>
      </w:r>
      <w:r w:rsidRPr="0043655B">
        <w:rPr>
          <w:rStyle w:val="TextoNormalCaracter"/>
        </w:rPr>
        <w:t>-</w:t>
      </w:r>
      <w:r>
        <w:t xml:space="preserve"> Sentencia </w:t>
      </w:r>
      <w:hyperlink w:anchor="SENTENCIA_2012_116" w:history="1">
        <w:r w:rsidRPr="0043655B">
          <w:rPr>
            <w:rStyle w:val="TextoNormalCaracter"/>
          </w:rPr>
          <w:t>116/2012</w:t>
        </w:r>
      </w:hyperlink>
      <w:r>
        <w:t>, f. 3.</w:t>
      </w:r>
    </w:p>
    <w:p w:rsidR="0043655B" w:rsidRDefault="0043655B" w:rsidP="0043655B">
      <w:pPr>
        <w:pStyle w:val="SangriaFrancesaArticulo"/>
      </w:pPr>
      <w:r w:rsidRPr="0043655B">
        <w:rPr>
          <w:rStyle w:val="TextoNormalNegritaCaracter"/>
        </w:rPr>
        <w:t>Artículo 81.1 a).</w:t>
      </w:r>
      <w:r w:rsidRPr="0043655B">
        <w:rPr>
          <w:rStyle w:val="TextoNormalCaracter"/>
        </w:rPr>
        <w:t>-</w:t>
      </w:r>
      <w:r>
        <w:t xml:space="preserve"> Sentencia </w:t>
      </w:r>
      <w:hyperlink w:anchor="SENTENCIA_2012_116" w:history="1">
        <w:r w:rsidRPr="0043655B">
          <w:rPr>
            <w:rStyle w:val="TextoNormalCaracter"/>
          </w:rPr>
          <w:t>116/2012</w:t>
        </w:r>
      </w:hyperlink>
      <w:r>
        <w:t>, f. 3.</w:t>
      </w:r>
    </w:p>
    <w:p w:rsidR="0043655B" w:rsidRDefault="0043655B" w:rsidP="0043655B">
      <w:pPr>
        <w:pStyle w:val="SangriaFrancesaArticulo"/>
      </w:pPr>
      <w:r w:rsidRPr="0043655B">
        <w:rPr>
          <w:rStyle w:val="TextoNormalNegritaCaracter"/>
        </w:rPr>
        <w:t>Artículo 81.2 a).</w:t>
      </w:r>
      <w:r w:rsidRPr="0043655B">
        <w:rPr>
          <w:rStyle w:val="TextoNormalCaracter"/>
        </w:rPr>
        <w:t>-</w:t>
      </w:r>
      <w:r>
        <w:t xml:space="preserve"> Sentencia </w:t>
      </w:r>
      <w:hyperlink w:anchor="SENTENCIA_2012_116" w:history="1">
        <w:r w:rsidRPr="0043655B">
          <w:rPr>
            <w:rStyle w:val="TextoNormalCaracter"/>
          </w:rPr>
          <w:t>116/2012</w:t>
        </w:r>
      </w:hyperlink>
      <w:r>
        <w:t>, f. 3.</w:t>
      </w:r>
    </w:p>
    <w:p w:rsidR="0043655B" w:rsidRDefault="0043655B" w:rsidP="0043655B">
      <w:pPr>
        <w:pStyle w:val="SangriaFrancesaArticulo"/>
      </w:pPr>
      <w:r w:rsidRPr="0043655B">
        <w:rPr>
          <w:rStyle w:val="TextoNormalNegritaCaracter"/>
        </w:rPr>
        <w:t>Artículo 86.2 b).</w:t>
      </w:r>
      <w:r w:rsidRPr="0043655B">
        <w:rPr>
          <w:rStyle w:val="TextoNormalCaracter"/>
        </w:rPr>
        <w:t>-</w:t>
      </w:r>
      <w:r>
        <w:t xml:space="preserve"> Sentencia </w:t>
      </w:r>
      <w:hyperlink w:anchor="SENTENCIA_2012_37" w:history="1">
        <w:r w:rsidRPr="0043655B">
          <w:rPr>
            <w:rStyle w:val="TextoNormalCaracter"/>
          </w:rPr>
          <w:t>37/2012</w:t>
        </w:r>
      </w:hyperlink>
      <w:r>
        <w:t>, VP III.</w:t>
      </w:r>
    </w:p>
    <w:p w:rsidR="0043655B" w:rsidRDefault="0043655B" w:rsidP="0043655B">
      <w:pPr>
        <w:pStyle w:val="SangriaFrancesaArticulo"/>
      </w:pPr>
      <w:r w:rsidRPr="0043655B">
        <w:rPr>
          <w:rStyle w:val="TextoNormalNegritaCaracter"/>
        </w:rPr>
        <w:t>Artículo 100.1.</w:t>
      </w:r>
      <w:r w:rsidRPr="0043655B">
        <w:rPr>
          <w:rStyle w:val="TextoNormalCaracter"/>
        </w:rPr>
        <w:t>-</w:t>
      </w:r>
      <w:r>
        <w:t xml:space="preserve"> Sentencia </w:t>
      </w:r>
      <w:hyperlink w:anchor="SENTENCIA_2012_37" w:history="1">
        <w:r w:rsidRPr="0043655B">
          <w:rPr>
            <w:rStyle w:val="TextoNormalCaracter"/>
          </w:rPr>
          <w:t>37/2012</w:t>
        </w:r>
      </w:hyperlink>
      <w:r>
        <w:t>, VP III.</w:t>
      </w:r>
    </w:p>
    <w:p w:rsidR="0043655B" w:rsidRDefault="0043655B" w:rsidP="0043655B">
      <w:pPr>
        <w:pStyle w:val="SangriaFrancesaArticulo"/>
      </w:pPr>
      <w:r w:rsidRPr="0043655B">
        <w:rPr>
          <w:rStyle w:val="TextoNormalNegritaCaracter"/>
        </w:rPr>
        <w:t>Artículo 100.2.</w:t>
      </w:r>
      <w:r w:rsidRPr="0043655B">
        <w:rPr>
          <w:rStyle w:val="TextoNormalCaracter"/>
        </w:rPr>
        <w:t>-</w:t>
      </w:r>
      <w:r>
        <w:t xml:space="preserve"> Sentencia </w:t>
      </w:r>
      <w:hyperlink w:anchor="SENTENCIA_2012_37" w:history="1">
        <w:r w:rsidRPr="0043655B">
          <w:rPr>
            <w:rStyle w:val="TextoNormalCaracter"/>
          </w:rPr>
          <w:t>37/2012</w:t>
        </w:r>
      </w:hyperlink>
      <w:r>
        <w:t>, VP II.</w:t>
      </w:r>
    </w:p>
    <w:p w:rsidR="0043655B" w:rsidRDefault="0043655B" w:rsidP="0043655B">
      <w:pPr>
        <w:pStyle w:val="SangriaFrancesaArticulo"/>
      </w:pPr>
      <w:r w:rsidRPr="0043655B">
        <w:rPr>
          <w:rStyle w:val="TextoNormalNegritaCaracter"/>
        </w:rPr>
        <w:t>Artículo 100.7.</w:t>
      </w:r>
      <w:r w:rsidRPr="0043655B">
        <w:rPr>
          <w:rStyle w:val="TextoNormalCaracter"/>
        </w:rPr>
        <w:t>-</w:t>
      </w:r>
      <w:r>
        <w:t xml:space="preserve"> Sentencias </w:t>
      </w:r>
      <w:hyperlink w:anchor="SENTENCIA_2012_37" w:history="1">
        <w:r w:rsidRPr="0043655B">
          <w:rPr>
            <w:rStyle w:val="TextoNormalCaracter"/>
          </w:rPr>
          <w:t>37/2012</w:t>
        </w:r>
      </w:hyperlink>
      <w:r>
        <w:t xml:space="preserve">, ff. 1 a 3, 7, 8, 10, 12, VP II, VP III, VP IV; </w:t>
      </w:r>
      <w:hyperlink w:anchor="SENTENCIA_2012_75" w:history="1">
        <w:r w:rsidRPr="0043655B">
          <w:rPr>
            <w:rStyle w:val="TextoNormalCaracter"/>
          </w:rPr>
          <w:t>75/2012</w:t>
        </w:r>
      </w:hyperlink>
      <w:r>
        <w:t xml:space="preserve">, passim; </w:t>
      </w:r>
      <w:hyperlink w:anchor="SENTENCIA_2012_91" w:history="1">
        <w:r w:rsidRPr="0043655B">
          <w:rPr>
            <w:rStyle w:val="TextoNormalCaracter"/>
          </w:rPr>
          <w:t>91/2012</w:t>
        </w:r>
      </w:hyperlink>
      <w:r>
        <w:t xml:space="preserve">, ff. 1 a 4; </w:t>
      </w:r>
      <w:hyperlink w:anchor="SENTENCIA_2012_93" w:history="1">
        <w:r w:rsidRPr="0043655B">
          <w:rPr>
            <w:rStyle w:val="TextoNormalCaracter"/>
          </w:rPr>
          <w:t>93/2012</w:t>
        </w:r>
      </w:hyperlink>
      <w:r>
        <w:t xml:space="preserve">, ff. 1, 2; </w:t>
      </w:r>
      <w:hyperlink w:anchor="SENTENCIA_2012_94" w:history="1">
        <w:r w:rsidRPr="0043655B">
          <w:rPr>
            <w:rStyle w:val="TextoNormalCaracter"/>
          </w:rPr>
          <w:t>94/2012</w:t>
        </w:r>
      </w:hyperlink>
      <w:r>
        <w:t xml:space="preserve">, ff. 1 a 4; </w:t>
      </w:r>
      <w:hyperlink w:anchor="SENTENCIA_2012_98" w:history="1">
        <w:r w:rsidRPr="0043655B">
          <w:rPr>
            <w:rStyle w:val="TextoNormalCaracter"/>
          </w:rPr>
          <w:t>98/2012</w:t>
        </w:r>
      </w:hyperlink>
      <w:r>
        <w:t>, ff. 1, 2.</w:t>
      </w:r>
    </w:p>
    <w:p w:rsidR="0043655B" w:rsidRDefault="0043655B" w:rsidP="0043655B">
      <w:pPr>
        <w:pStyle w:val="SangriaFrancesaArticulo"/>
      </w:pPr>
      <w:r w:rsidRPr="0043655B">
        <w:rPr>
          <w:rStyle w:val="TextoNormalNegritaCaracter"/>
        </w:rPr>
        <w:t>Artículo 101.</w:t>
      </w:r>
      <w:r w:rsidRPr="0043655B">
        <w:rPr>
          <w:rStyle w:val="TextoNormalCaracter"/>
        </w:rPr>
        <w:t>-</w:t>
      </w:r>
      <w:r>
        <w:t xml:space="preserve"> Sentencia </w:t>
      </w:r>
      <w:hyperlink w:anchor="SENTENCIA_2012_37" w:history="1">
        <w:r w:rsidRPr="0043655B">
          <w:rPr>
            <w:rStyle w:val="TextoNormalCaracter"/>
          </w:rPr>
          <w:t>37/2012</w:t>
        </w:r>
      </w:hyperlink>
      <w:r>
        <w:t>, f. 3.</w:t>
      </w:r>
    </w:p>
    <w:p w:rsidR="0043655B" w:rsidRDefault="0043655B" w:rsidP="0043655B">
      <w:pPr>
        <w:pStyle w:val="SangriaFrancesaArticulo"/>
      </w:pPr>
      <w:r w:rsidRPr="0043655B">
        <w:rPr>
          <w:rStyle w:val="TextoNormalNegritaCaracter"/>
        </w:rPr>
        <w:t>Artículo 128.</w:t>
      </w:r>
      <w:r w:rsidRPr="0043655B">
        <w:rPr>
          <w:rStyle w:val="TextoNormalCaracter"/>
        </w:rPr>
        <w:t>-</w:t>
      </w:r>
      <w:r>
        <w:t xml:space="preserve"> Sentencia </w:t>
      </w:r>
      <w:hyperlink w:anchor="SENTENCIA_2012_116" w:history="1">
        <w:r w:rsidRPr="0043655B">
          <w:rPr>
            <w:rStyle w:val="TextoNormalCaracter"/>
          </w:rPr>
          <w:t>116/2012</w:t>
        </w:r>
      </w:hyperlink>
      <w:r>
        <w:t>, f. 7.</w:t>
      </w:r>
    </w:p>
    <w:p w:rsidR="0043655B" w:rsidRDefault="0043655B" w:rsidP="0043655B">
      <w:pPr>
        <w:pStyle w:val="SangriaFrancesaArticulo"/>
      </w:pPr>
      <w:r w:rsidRPr="0043655B">
        <w:rPr>
          <w:rStyle w:val="TextoNormalNegritaCaracter"/>
        </w:rPr>
        <w:t>Artículo 128.1.</w:t>
      </w:r>
      <w:r w:rsidRPr="0043655B">
        <w:rPr>
          <w:rStyle w:val="TextoNormalCaracter"/>
        </w:rPr>
        <w:t>-</w:t>
      </w:r>
      <w:r>
        <w:t xml:space="preserve"> Sentencia </w:t>
      </w:r>
      <w:hyperlink w:anchor="SENTENCIA_2012_116" w:history="1">
        <w:r w:rsidRPr="0043655B">
          <w:rPr>
            <w:rStyle w:val="TextoNormalCaracter"/>
          </w:rPr>
          <w:t>116/2012</w:t>
        </w:r>
      </w:hyperlink>
      <w:r>
        <w:t>, f. 6.</w:t>
      </w:r>
    </w:p>
    <w:p w:rsidR="0043655B" w:rsidRDefault="0043655B" w:rsidP="0043655B">
      <w:pPr>
        <w:pStyle w:val="SangriaFrancesaArticulo"/>
      </w:pPr>
      <w:r w:rsidRPr="0043655B">
        <w:rPr>
          <w:rStyle w:val="TextoNormalNegritaCaracter"/>
        </w:rPr>
        <w:t>Artículo 139.</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139.1.</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Artículo 139.1.2.</w:t>
      </w:r>
      <w:r w:rsidRPr="0043655B">
        <w:rPr>
          <w:rStyle w:val="TextoNormalCaracter"/>
        </w:rPr>
        <w:t>-</w:t>
      </w:r>
      <w:r>
        <w:t xml:space="preserve"> Auto </w:t>
      </w:r>
      <w:hyperlink w:anchor="AUTO_2012_110" w:history="1">
        <w:r w:rsidRPr="0043655B">
          <w:rPr>
            <w:rStyle w:val="TextoNormalCaracter"/>
          </w:rPr>
          <w:t>110/2012</w:t>
        </w:r>
      </w:hyperlink>
      <w:r>
        <w:t>.</w:t>
      </w:r>
    </w:p>
    <w:p w:rsidR="0043655B" w:rsidRDefault="0043655B" w:rsidP="0043655B">
      <w:pPr>
        <w:pStyle w:val="SangriaFrancesaArticulo"/>
      </w:pPr>
      <w:r w:rsidRPr="0043655B">
        <w:rPr>
          <w:rStyle w:val="TextoNormalNegritaCaracter"/>
        </w:rPr>
        <w:t>Artículo 139.2.</w:t>
      </w:r>
      <w:r w:rsidRPr="0043655B">
        <w:rPr>
          <w:rStyle w:val="TextoNormalCaracter"/>
        </w:rPr>
        <w:t>-</w:t>
      </w:r>
      <w:r>
        <w:t xml:space="preserve"> Autos </w:t>
      </w:r>
      <w:hyperlink w:anchor="AUTO_2012_109" w:history="1">
        <w:r w:rsidRPr="0043655B">
          <w:rPr>
            <w:rStyle w:val="TextoNormalCaracter"/>
          </w:rPr>
          <w:t>109/2012</w:t>
        </w:r>
      </w:hyperlink>
      <w:r>
        <w:t xml:space="preserve">; </w:t>
      </w:r>
      <w:hyperlink w:anchor="AUTO_2012_110" w:history="1">
        <w:r w:rsidRPr="0043655B">
          <w:rPr>
            <w:rStyle w:val="TextoNormalCaracter"/>
          </w:rPr>
          <w:t>110/2012</w:t>
        </w:r>
      </w:hyperlink>
      <w:r>
        <w:t xml:space="preserve">; </w:t>
      </w:r>
      <w:hyperlink w:anchor="AUTO_2012_119" w:history="1">
        <w:r w:rsidRPr="0043655B">
          <w:rPr>
            <w:rStyle w:val="TextoNormalCaracter"/>
          </w:rPr>
          <w:t>119/2012</w:t>
        </w:r>
      </w:hyperlink>
      <w:r>
        <w:t>.</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116" w:history="1">
        <w:r w:rsidRPr="0043655B">
          <w:rPr>
            <w:rStyle w:val="TextoNormalCaracter"/>
          </w:rPr>
          <w:t>116/2012</w:t>
        </w:r>
      </w:hyperlink>
      <w:r>
        <w:t>, f. 7.</w:t>
      </w:r>
    </w:p>
    <w:p w:rsidR="0043655B" w:rsidRDefault="0043655B" w:rsidP="0043655B">
      <w:pPr>
        <w:pStyle w:val="SangriaFrancesaArticulo"/>
      </w:pPr>
    </w:p>
    <w:p w:rsidR="0043655B" w:rsidRDefault="0043655B" w:rsidP="0043655B">
      <w:pPr>
        <w:pStyle w:val="TextoNormalNegritaCursivandice"/>
      </w:pPr>
      <w:r>
        <w:t>Ley 34/1998, de 7 de octubre. Sector de hidrocarburos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Título IV.</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Título IV, capítulo VII.</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Título IV, capítulo VII</w:t>
      </w:r>
      <w:r>
        <w:t xml:space="preserve"> </w:t>
      </w:r>
      <w:r w:rsidRPr="0043655B">
        <w:rPr>
          <w:rStyle w:val="TextoNormalCaracter"/>
        </w:rPr>
        <w:t>(redactado por el Real Decreto 949/2001, de 3 de agosto)</w:t>
      </w:r>
      <w:r w:rsidRPr="0043655B">
        <w:rPr>
          <w:rStyle w:val="TextoNormalNegritaCaracter"/>
        </w:rPr>
        <w:t>.</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Capítulo V.</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lastRenderedPageBreak/>
        <w:t>Artículo 73.1.</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Artículo 73.7</w:t>
      </w:r>
      <w:r>
        <w:t xml:space="preserve"> </w:t>
      </w:r>
      <w:r w:rsidRPr="0043655B">
        <w:rPr>
          <w:rStyle w:val="TextoNormalCaracter"/>
        </w:rPr>
        <w:t>(redactado por la Ley 12/2007, de 2 de julio)</w:t>
      </w:r>
      <w:r w:rsidRPr="0043655B">
        <w:rPr>
          <w:rStyle w:val="TextoNormalNegritaCaracter"/>
        </w:rPr>
        <w:t>.</w:t>
      </w:r>
      <w:r w:rsidRPr="0043655B">
        <w:rPr>
          <w:rStyle w:val="TextoNormalCaracter"/>
        </w:rPr>
        <w:t>-</w:t>
      </w:r>
      <w:r>
        <w:t xml:space="preserve"> Sentencia </w:t>
      </w:r>
      <w:hyperlink w:anchor="SENTENCIA_2012_135" w:history="1">
        <w:r w:rsidRPr="0043655B">
          <w:rPr>
            <w:rStyle w:val="TextoNormalCaracter"/>
          </w:rPr>
          <w:t>135/2012</w:t>
        </w:r>
      </w:hyperlink>
      <w:r>
        <w:t>, ff. 1, 3 a 6.</w:t>
      </w:r>
    </w:p>
    <w:p w:rsidR="0043655B" w:rsidRDefault="0043655B" w:rsidP="0043655B">
      <w:pPr>
        <w:pStyle w:val="SangriaFrancesaArticulo"/>
      </w:pPr>
      <w:r w:rsidRPr="0043655B">
        <w:rPr>
          <w:rStyle w:val="TextoNormalNegritaCaracter"/>
        </w:rPr>
        <w:t>Artículo 78.</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Artículo 89.2 d).</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Artículo 92.1 c).</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Artículo 92.5.</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Disposición adicional vigésimo tercera</w:t>
      </w:r>
      <w:r>
        <w:t xml:space="preserve"> </w:t>
      </w:r>
      <w:r w:rsidRPr="0043655B">
        <w:rPr>
          <w:rStyle w:val="TextoNormalCaracter"/>
        </w:rPr>
        <w:t>(redactada por el Real Decretro-ley 5/2005, de 11 de marzo)</w:t>
      </w:r>
      <w:r w:rsidRPr="0043655B">
        <w:rPr>
          <w:rStyle w:val="TextoNormalNegritaCaracter"/>
        </w:rPr>
        <w:t>.</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Disposición adicional vigesimotercera</w:t>
      </w:r>
      <w:r>
        <w:t xml:space="preserve"> </w:t>
      </w:r>
      <w:r w:rsidRPr="0043655B">
        <w:rPr>
          <w:rStyle w:val="TextoNormalCaracter"/>
        </w:rPr>
        <w:t>(redactada por el Real Decreto-ley 5/2005, de 11 de marzo)</w:t>
      </w:r>
      <w:r w:rsidRPr="0043655B">
        <w:rPr>
          <w:rStyle w:val="TextoNormalNegritaCaracter"/>
        </w:rPr>
        <w:t>.</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p>
    <w:p w:rsidR="0043655B" w:rsidRDefault="0043655B" w:rsidP="0043655B">
      <w:pPr>
        <w:pStyle w:val="TextoNormalNegritaCursivandice"/>
      </w:pPr>
      <w:r>
        <w:t>Ley 40/1998, de 9 de diciembre. Impuesto sobre la renta de las personas físicas y otras normas tributarias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ff. 2 a 8, 10, 11.</w:t>
      </w:r>
    </w:p>
    <w:p w:rsidR="0043655B" w:rsidRDefault="0043655B" w:rsidP="0043655B">
      <w:pPr>
        <w:pStyle w:val="SangriaFrancesaArticulo"/>
      </w:pPr>
      <w:r w:rsidRPr="0043655B">
        <w:rPr>
          <w:rStyle w:val="TextoNormalNegritaCaracter"/>
        </w:rPr>
        <w:t>Exposición de motivos, apartado II párrafo 1.</w:t>
      </w:r>
      <w:r w:rsidRPr="0043655B">
        <w:rPr>
          <w:rStyle w:val="TextoNormalCaracter"/>
        </w:rPr>
        <w:t>-</w:t>
      </w:r>
      <w:r>
        <w:t xml:space="preserve"> Sentencia </w:t>
      </w:r>
      <w:hyperlink w:anchor="SENTENCIA_2012_19" w:history="1">
        <w:r w:rsidRPr="0043655B">
          <w:rPr>
            <w:rStyle w:val="TextoNormalCaracter"/>
          </w:rPr>
          <w:t>19/2012</w:t>
        </w:r>
      </w:hyperlink>
      <w:r>
        <w:t>, f. 7.</w:t>
      </w:r>
    </w:p>
    <w:p w:rsidR="0043655B" w:rsidRDefault="0043655B" w:rsidP="0043655B">
      <w:pPr>
        <w:pStyle w:val="SangriaFrancesaArticulo"/>
      </w:pPr>
      <w:r w:rsidRPr="0043655B">
        <w:rPr>
          <w:rStyle w:val="TextoNormalNegritaCaracter"/>
        </w:rPr>
        <w:t>Exposición de motivos, apartado IV párrafo 7.</w:t>
      </w:r>
      <w:r w:rsidRPr="0043655B">
        <w:rPr>
          <w:rStyle w:val="TextoNormalCaracter"/>
        </w:rPr>
        <w:t>-</w:t>
      </w:r>
      <w:r>
        <w:t xml:space="preserve"> Sentencia </w:t>
      </w:r>
      <w:hyperlink w:anchor="SENTENCIA_2012_19" w:history="1">
        <w:r w:rsidRPr="0043655B">
          <w:rPr>
            <w:rStyle w:val="TextoNormalCaracter"/>
          </w:rPr>
          <w:t>19/2012</w:t>
        </w:r>
      </w:hyperlink>
      <w:r>
        <w:t>, f. 6.</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19" w:history="1">
        <w:r w:rsidRPr="0043655B">
          <w:rPr>
            <w:rStyle w:val="TextoNormalCaracter"/>
          </w:rPr>
          <w:t>19/2012</w:t>
        </w:r>
      </w:hyperlink>
      <w:r>
        <w:t>, ff. 1, 4, 12.</w:t>
      </w:r>
    </w:p>
    <w:p w:rsidR="0043655B" w:rsidRDefault="0043655B" w:rsidP="0043655B">
      <w:pPr>
        <w:pStyle w:val="SangriaFrancesaArticulo"/>
      </w:pPr>
      <w:r w:rsidRPr="0043655B">
        <w:rPr>
          <w:rStyle w:val="TextoNormalNegritaCaracter"/>
        </w:rPr>
        <w:t>Artículo 15.1.</w:t>
      </w:r>
      <w:r w:rsidRPr="0043655B">
        <w:rPr>
          <w:rStyle w:val="TextoNormalCaracter"/>
        </w:rPr>
        <w:t>-</w:t>
      </w:r>
      <w:r>
        <w:t xml:space="preserve"> Sentencia </w:t>
      </w:r>
      <w:hyperlink w:anchor="SENTENCIA_2012_19" w:history="1">
        <w:r w:rsidRPr="0043655B">
          <w:rPr>
            <w:rStyle w:val="TextoNormalCaracter"/>
          </w:rPr>
          <w:t>19/2012</w:t>
        </w:r>
      </w:hyperlink>
      <w:r>
        <w:t>, ff. 1, 4, 12.</w:t>
      </w:r>
    </w:p>
    <w:p w:rsidR="0043655B" w:rsidRDefault="0043655B" w:rsidP="0043655B">
      <w:pPr>
        <w:pStyle w:val="SangriaFrancesaArticulo"/>
      </w:pPr>
      <w:r w:rsidRPr="0043655B">
        <w:rPr>
          <w:rStyle w:val="TextoNormalNegritaCaracter"/>
        </w:rPr>
        <w:t>Artículo 15.3.4.</w:t>
      </w:r>
      <w:r w:rsidRPr="0043655B">
        <w:rPr>
          <w:rStyle w:val="TextoNormalCaracter"/>
        </w:rPr>
        <w:t>-</w:t>
      </w:r>
      <w:r>
        <w:t xml:space="preserve"> Sentencia </w:t>
      </w:r>
      <w:hyperlink w:anchor="SENTENCIA_2012_19" w:history="1">
        <w:r w:rsidRPr="0043655B">
          <w:rPr>
            <w:rStyle w:val="TextoNormalCaracter"/>
          </w:rPr>
          <w:t>19/2012</w:t>
        </w:r>
      </w:hyperlink>
      <w:r>
        <w:t>, ff. 1, 4, 12.</w:t>
      </w:r>
    </w:p>
    <w:p w:rsidR="0043655B" w:rsidRDefault="0043655B" w:rsidP="0043655B">
      <w:pPr>
        <w:pStyle w:val="SangriaFrancesaArticulo"/>
      </w:pPr>
      <w:r w:rsidRPr="0043655B">
        <w:rPr>
          <w:rStyle w:val="TextoNormalNegritaCaracter"/>
        </w:rPr>
        <w:t>Artículo 17.2 c).</w:t>
      </w:r>
      <w:r w:rsidRPr="0043655B">
        <w:rPr>
          <w:rStyle w:val="TextoNormalCaracter"/>
        </w:rPr>
        <w:t>-</w:t>
      </w:r>
      <w:r>
        <w:t xml:space="preserve"> Sentencia </w:t>
      </w:r>
      <w:hyperlink w:anchor="SENTENCIA_2012_19" w:history="1">
        <w:r w:rsidRPr="0043655B">
          <w:rPr>
            <w:rStyle w:val="TextoNormalCaracter"/>
          </w:rPr>
          <w:t>19/2012</w:t>
        </w:r>
      </w:hyperlink>
      <w:r>
        <w:t>, ff. 1, 6, 12.</w:t>
      </w:r>
    </w:p>
    <w:p w:rsidR="0043655B" w:rsidRDefault="0043655B" w:rsidP="0043655B">
      <w:pPr>
        <w:pStyle w:val="SangriaFrancesaArticulo"/>
      </w:pPr>
      <w:r w:rsidRPr="0043655B">
        <w:rPr>
          <w:rStyle w:val="TextoNormalNegritaCaracter"/>
        </w:rPr>
        <w:t>Artículo 17.2 d).</w:t>
      </w:r>
      <w:r w:rsidRPr="0043655B">
        <w:rPr>
          <w:rStyle w:val="TextoNormalCaracter"/>
        </w:rPr>
        <w:t>-</w:t>
      </w:r>
      <w:r>
        <w:t xml:space="preserve"> Sentencia </w:t>
      </w:r>
      <w:hyperlink w:anchor="SENTENCIA_2012_19" w:history="1">
        <w:r w:rsidRPr="0043655B">
          <w:rPr>
            <w:rStyle w:val="TextoNormalCaracter"/>
          </w:rPr>
          <w:t>19/2012</w:t>
        </w:r>
      </w:hyperlink>
      <w:r>
        <w:t>, ff. 1, 6, 12.</w:t>
      </w:r>
    </w:p>
    <w:p w:rsidR="0043655B" w:rsidRDefault="0043655B" w:rsidP="0043655B">
      <w:pPr>
        <w:pStyle w:val="SangriaFrancesaArticulo"/>
      </w:pPr>
      <w:r w:rsidRPr="0043655B">
        <w:rPr>
          <w:rStyle w:val="TextoNormalNegritaCaracter"/>
        </w:rPr>
        <w:t>Artículo 24.2 b).</w:t>
      </w:r>
      <w:r w:rsidRPr="0043655B">
        <w:rPr>
          <w:rStyle w:val="TextoNormalCaracter"/>
        </w:rPr>
        <w:t>-</w:t>
      </w:r>
      <w:r>
        <w:t xml:space="preserve"> Sentencia </w:t>
      </w:r>
      <w:hyperlink w:anchor="SENTENCIA_2012_19" w:history="1">
        <w:r w:rsidRPr="0043655B">
          <w:rPr>
            <w:rStyle w:val="TextoNormalCaracter"/>
          </w:rPr>
          <w:t>19/2012</w:t>
        </w:r>
      </w:hyperlink>
      <w:r>
        <w:t>, ff. 6, 12.</w:t>
      </w:r>
    </w:p>
    <w:p w:rsidR="0043655B" w:rsidRDefault="0043655B" w:rsidP="0043655B">
      <w:pPr>
        <w:pStyle w:val="SangriaFrancesaArticulo"/>
      </w:pPr>
      <w:r w:rsidRPr="0043655B">
        <w:rPr>
          <w:rStyle w:val="TextoNormalNegritaCaracter"/>
        </w:rPr>
        <w:t>Artículo 24.2 c).</w:t>
      </w:r>
      <w:r w:rsidRPr="0043655B">
        <w:rPr>
          <w:rStyle w:val="TextoNormalCaracter"/>
        </w:rPr>
        <w:t>-</w:t>
      </w:r>
      <w:r>
        <w:t xml:space="preserve"> Sentencia </w:t>
      </w:r>
      <w:hyperlink w:anchor="SENTENCIA_2012_19" w:history="1">
        <w:r w:rsidRPr="0043655B">
          <w:rPr>
            <w:rStyle w:val="TextoNormalCaracter"/>
          </w:rPr>
          <w:t>19/2012</w:t>
        </w:r>
      </w:hyperlink>
      <w:r>
        <w:t>, ff. 6, 12.</w:t>
      </w:r>
    </w:p>
    <w:p w:rsidR="0043655B" w:rsidRDefault="0043655B" w:rsidP="0043655B">
      <w:pPr>
        <w:pStyle w:val="SangriaFrancesaArticulo"/>
      </w:pPr>
      <w:r w:rsidRPr="0043655B">
        <w:rPr>
          <w:rStyle w:val="TextoNormalNegritaCaracter"/>
        </w:rPr>
        <w:t>Artículo 39.</w:t>
      </w:r>
      <w:r w:rsidRPr="0043655B">
        <w:rPr>
          <w:rStyle w:val="TextoNormalCaracter"/>
        </w:rPr>
        <w:t>-</w:t>
      </w:r>
      <w:r>
        <w:t xml:space="preserve"> Sentencia </w:t>
      </w:r>
      <w:hyperlink w:anchor="SENTENCIA_2012_19" w:history="1">
        <w:r w:rsidRPr="0043655B">
          <w:rPr>
            <w:rStyle w:val="TextoNormalCaracter"/>
          </w:rPr>
          <w:t>19/2012</w:t>
        </w:r>
      </w:hyperlink>
      <w:r>
        <w:t>, ff. 1, 7, 12.</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19" w:history="1">
        <w:r w:rsidRPr="0043655B">
          <w:rPr>
            <w:rStyle w:val="TextoNormalCaracter"/>
          </w:rPr>
          <w:t>19/2012</w:t>
        </w:r>
      </w:hyperlink>
      <w:r>
        <w:t>, ff. 1, 4, 5, 11, 12.</w:t>
      </w:r>
    </w:p>
    <w:p w:rsidR="0043655B" w:rsidRDefault="0043655B" w:rsidP="0043655B">
      <w:pPr>
        <w:pStyle w:val="SangriaFrancesaArticulo"/>
      </w:pPr>
      <w:r w:rsidRPr="0043655B">
        <w:rPr>
          <w:rStyle w:val="TextoNormalNegritaCaracter"/>
        </w:rPr>
        <w:t>Artículo 40.2.</w:t>
      </w:r>
      <w:r w:rsidRPr="0043655B">
        <w:rPr>
          <w:rStyle w:val="TextoNormalCaracter"/>
        </w:rPr>
        <w:t>-</w:t>
      </w:r>
      <w:r>
        <w:t xml:space="preserve"> Sentencia </w:t>
      </w:r>
      <w:hyperlink w:anchor="SENTENCIA_2012_19" w:history="1">
        <w:r w:rsidRPr="0043655B">
          <w:rPr>
            <w:rStyle w:val="TextoNormalCaracter"/>
          </w:rPr>
          <w:t>19/2012</w:t>
        </w:r>
      </w:hyperlink>
      <w:r>
        <w:t>, f. 4.</w:t>
      </w:r>
    </w:p>
    <w:p w:rsidR="0043655B" w:rsidRDefault="0043655B" w:rsidP="0043655B">
      <w:pPr>
        <w:pStyle w:val="SangriaFrancesaArticulo"/>
      </w:pPr>
      <w:r w:rsidRPr="0043655B">
        <w:rPr>
          <w:rStyle w:val="TextoNormalNegritaCaracter"/>
        </w:rPr>
        <w:t>Artículo 40.3 b).</w:t>
      </w:r>
      <w:r w:rsidRPr="0043655B">
        <w:rPr>
          <w:rStyle w:val="TextoNormalCaracter"/>
        </w:rPr>
        <w:t>-</w:t>
      </w:r>
      <w:r>
        <w:t xml:space="preserve"> Sentencia </w:t>
      </w:r>
      <w:hyperlink w:anchor="SENTENCIA_2012_19" w:history="1">
        <w:r w:rsidRPr="0043655B">
          <w:rPr>
            <w:rStyle w:val="TextoNormalCaracter"/>
          </w:rPr>
          <w:t>19/2012</w:t>
        </w:r>
      </w:hyperlink>
      <w:r>
        <w:t>, f. 5.</w:t>
      </w:r>
    </w:p>
    <w:p w:rsidR="0043655B" w:rsidRDefault="0043655B" w:rsidP="0043655B">
      <w:pPr>
        <w:pStyle w:val="SangriaFrancesaArticulo"/>
      </w:pPr>
      <w:r w:rsidRPr="0043655B">
        <w:rPr>
          <w:rStyle w:val="TextoNormalNegritaCaracter"/>
        </w:rPr>
        <w:t>Artículo 40.3.1 b).</w:t>
      </w:r>
      <w:r w:rsidRPr="0043655B">
        <w:rPr>
          <w:rStyle w:val="TextoNormalCaracter"/>
        </w:rPr>
        <w:t>-</w:t>
      </w:r>
      <w:r>
        <w:t xml:space="preserve"> Sentencia </w:t>
      </w:r>
      <w:hyperlink w:anchor="SENTENCIA_2012_19" w:history="1">
        <w:r w:rsidRPr="0043655B">
          <w:rPr>
            <w:rStyle w:val="TextoNormalCaracter"/>
          </w:rPr>
          <w:t>19/2012</w:t>
        </w:r>
      </w:hyperlink>
      <w:r>
        <w:t>, ff. 5, 12.</w:t>
      </w:r>
    </w:p>
    <w:p w:rsidR="0043655B" w:rsidRDefault="0043655B" w:rsidP="0043655B">
      <w:pPr>
        <w:pStyle w:val="SangriaFrancesaArticulo"/>
      </w:pPr>
      <w:r w:rsidRPr="0043655B">
        <w:rPr>
          <w:rStyle w:val="TextoNormalNegritaCaracter"/>
        </w:rPr>
        <w:t>Artículo 43.2 f).</w:t>
      </w:r>
      <w:r w:rsidRPr="0043655B">
        <w:rPr>
          <w:rStyle w:val="TextoNormalCaracter"/>
        </w:rPr>
        <w:t>-</w:t>
      </w:r>
      <w:r>
        <w:t xml:space="preserve"> Sentencia </w:t>
      </w:r>
      <w:hyperlink w:anchor="SENTENCIA_2012_19" w:history="1">
        <w:r w:rsidRPr="0043655B">
          <w:rPr>
            <w:rStyle w:val="TextoNormalCaracter"/>
          </w:rPr>
          <w:t>19/2012</w:t>
        </w:r>
      </w:hyperlink>
      <w:r>
        <w:t>, ff. 1, 8, 12.</w:t>
      </w:r>
    </w:p>
    <w:p w:rsidR="0043655B" w:rsidRDefault="0043655B" w:rsidP="0043655B">
      <w:pPr>
        <w:pStyle w:val="SangriaFrancesaArticulo"/>
      </w:pPr>
      <w:r w:rsidRPr="0043655B">
        <w:rPr>
          <w:rStyle w:val="TextoNormalNegritaCaracter"/>
        </w:rPr>
        <w:t>Artículo 44.1.1 a).</w:t>
      </w:r>
      <w:r w:rsidRPr="0043655B">
        <w:rPr>
          <w:rStyle w:val="TextoNormalCaracter"/>
        </w:rPr>
        <w:t>-</w:t>
      </w:r>
      <w:r>
        <w:t xml:space="preserve"> Sentencias </w:t>
      </w:r>
      <w:hyperlink w:anchor="SENTENCIA_2012_19" w:history="1">
        <w:r w:rsidRPr="0043655B">
          <w:rPr>
            <w:rStyle w:val="TextoNormalCaracter"/>
          </w:rPr>
          <w:t>19/2012</w:t>
        </w:r>
      </w:hyperlink>
      <w:r>
        <w:t xml:space="preserve">, ff. 1, 8, 12; </w:t>
      </w:r>
      <w:hyperlink w:anchor="SENTENCIA_2012_19" w:history="1">
        <w:r w:rsidRPr="0043655B">
          <w:rPr>
            <w:rStyle w:val="TextoNormalCaracter"/>
          </w:rPr>
          <w:t>19/2012</w:t>
        </w:r>
      </w:hyperlink>
      <w:r>
        <w:t>, f. 8.</w:t>
      </w:r>
    </w:p>
    <w:p w:rsidR="0043655B" w:rsidRDefault="0043655B" w:rsidP="0043655B">
      <w:pPr>
        <w:pStyle w:val="SangriaFrancesaArticulo"/>
      </w:pPr>
      <w:r w:rsidRPr="0043655B">
        <w:rPr>
          <w:rStyle w:val="TextoNormalNegritaCaracter"/>
        </w:rPr>
        <w:t>Artículo 48.</w:t>
      </w:r>
      <w:r w:rsidRPr="0043655B">
        <w:rPr>
          <w:rStyle w:val="TextoNormalCaracter"/>
        </w:rPr>
        <w:t>-</w:t>
      </w:r>
      <w:r>
        <w:t xml:space="preserve"> Sentencia </w:t>
      </w:r>
      <w:hyperlink w:anchor="SENTENCIA_2012_19" w:history="1">
        <w:r w:rsidRPr="0043655B">
          <w:rPr>
            <w:rStyle w:val="TextoNormalCaracter"/>
          </w:rPr>
          <w:t>19/2012</w:t>
        </w:r>
      </w:hyperlink>
      <w:r>
        <w:t>, ff. 1, 7, 12.</w:t>
      </w:r>
    </w:p>
    <w:p w:rsidR="0043655B" w:rsidRDefault="0043655B" w:rsidP="0043655B">
      <w:pPr>
        <w:pStyle w:val="SangriaFrancesaArticulo"/>
      </w:pPr>
      <w:r w:rsidRPr="0043655B">
        <w:rPr>
          <w:rStyle w:val="TextoNormalNegritaCaracter"/>
        </w:rPr>
        <w:t>Artículo 50.1.</w:t>
      </w:r>
      <w:r w:rsidRPr="0043655B">
        <w:rPr>
          <w:rStyle w:val="TextoNormalCaracter"/>
        </w:rPr>
        <w:t>-</w:t>
      </w:r>
      <w:r>
        <w:t xml:space="preserve"> Sentencia </w:t>
      </w:r>
      <w:hyperlink w:anchor="SENTENCIA_2012_19" w:history="1">
        <w:r w:rsidRPr="0043655B">
          <w:rPr>
            <w:rStyle w:val="TextoNormalCaracter"/>
          </w:rPr>
          <w:t>19/2012</w:t>
        </w:r>
      </w:hyperlink>
      <w:r>
        <w:t>, f. 4.</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19" w:history="1">
        <w:r w:rsidRPr="0043655B">
          <w:rPr>
            <w:rStyle w:val="TextoNormalCaracter"/>
          </w:rPr>
          <w:t>19/2012</w:t>
        </w:r>
      </w:hyperlink>
      <w:r>
        <w:t>, ff. 1, 4, 5, 12.</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19" w:history="1">
        <w:r w:rsidRPr="0043655B">
          <w:rPr>
            <w:rStyle w:val="TextoNormalCaracter"/>
          </w:rPr>
          <w:t>19/2012</w:t>
        </w:r>
      </w:hyperlink>
      <w:r>
        <w:t>, ff. 1, 7, 12.</w:t>
      </w:r>
    </w:p>
    <w:p w:rsidR="0043655B" w:rsidRDefault="0043655B" w:rsidP="0043655B">
      <w:pPr>
        <w:pStyle w:val="SangriaFrancesaArticulo"/>
      </w:pPr>
      <w:r w:rsidRPr="0043655B">
        <w:rPr>
          <w:rStyle w:val="TextoNormalNegritaCaracter"/>
        </w:rPr>
        <w:t>Artículo 55.</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56.</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57.</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58.</w:t>
      </w:r>
      <w:r w:rsidRPr="0043655B">
        <w:rPr>
          <w:rStyle w:val="TextoNormalCaracter"/>
        </w:rPr>
        <w:t>-</w:t>
      </w:r>
      <w:r>
        <w:t xml:space="preserve"> Sentencia </w:t>
      </w:r>
      <w:hyperlink w:anchor="SENTENCIA_2012_19" w:history="1">
        <w:r w:rsidRPr="0043655B">
          <w:rPr>
            <w:rStyle w:val="TextoNormalCaracter"/>
          </w:rPr>
          <w:t>19/2012</w:t>
        </w:r>
      </w:hyperlink>
      <w:r>
        <w:t>, ff. 1, 11, 12.</w:t>
      </w:r>
    </w:p>
    <w:p w:rsidR="0043655B" w:rsidRDefault="0043655B" w:rsidP="0043655B">
      <w:pPr>
        <w:pStyle w:val="SangriaFrancesaArticulo"/>
      </w:pPr>
      <w:r w:rsidRPr="0043655B">
        <w:rPr>
          <w:rStyle w:val="TextoNormalNegritaCaracter"/>
        </w:rPr>
        <w:t>Artículo 60.</w:t>
      </w:r>
      <w:r w:rsidRPr="0043655B">
        <w:rPr>
          <w:rStyle w:val="TextoNormalCaracter"/>
        </w:rPr>
        <w:t>-</w:t>
      </w:r>
      <w:r>
        <w:t xml:space="preserve"> Sentencia </w:t>
      </w:r>
      <w:hyperlink w:anchor="SENTENCIA_2012_19" w:history="1">
        <w:r w:rsidRPr="0043655B">
          <w:rPr>
            <w:rStyle w:val="TextoNormalCaracter"/>
          </w:rPr>
          <w:t>19/2012</w:t>
        </w:r>
      </w:hyperlink>
      <w:r>
        <w:t>, ff. 1, 11, 12.</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 </w:t>
      </w:r>
      <w:hyperlink w:anchor="SENTENCIA_2012_19" w:history="1">
        <w:r w:rsidRPr="0043655B">
          <w:rPr>
            <w:rStyle w:val="TextoNormalCaracter"/>
          </w:rPr>
          <w:t>19/2012</w:t>
        </w:r>
      </w:hyperlink>
      <w:r>
        <w:t>, ff. 1, 11, 12.</w:t>
      </w:r>
    </w:p>
    <w:p w:rsidR="0043655B" w:rsidRDefault="0043655B" w:rsidP="0043655B">
      <w:pPr>
        <w:pStyle w:val="SangriaFrancesaArticulo"/>
      </w:pPr>
      <w:r w:rsidRPr="0043655B">
        <w:rPr>
          <w:rStyle w:val="TextoNormalNegritaCaracter"/>
        </w:rPr>
        <w:t>Artículo 61.1.</w:t>
      </w:r>
      <w:r w:rsidRPr="0043655B">
        <w:rPr>
          <w:rStyle w:val="TextoNormalCaracter"/>
        </w:rPr>
        <w:t>-</w:t>
      </w:r>
      <w:r>
        <w:t xml:space="preserve"> Sentencia </w:t>
      </w:r>
      <w:hyperlink w:anchor="SENTENCIA_2012_19" w:history="1">
        <w:r w:rsidRPr="0043655B">
          <w:rPr>
            <w:rStyle w:val="TextoNormalCaracter"/>
          </w:rPr>
          <w:t>19/2012</w:t>
        </w:r>
      </w:hyperlink>
      <w:r>
        <w:t>, ff. 4, 11.</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 </w:t>
      </w:r>
      <w:hyperlink w:anchor="SENTENCIA_2012_19" w:history="1">
        <w:r w:rsidRPr="0043655B">
          <w:rPr>
            <w:rStyle w:val="TextoNormalCaracter"/>
          </w:rPr>
          <w:t>19/2012</w:t>
        </w:r>
      </w:hyperlink>
      <w:r>
        <w:t>, ff. 1, 4, 5, 12.</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9" w:history="1">
        <w:r w:rsidRPr="0043655B">
          <w:rPr>
            <w:rStyle w:val="TextoNormalCaracter"/>
          </w:rPr>
          <w:t>19/2012</w:t>
        </w:r>
      </w:hyperlink>
      <w:r>
        <w:t>, ff. 1, 7, 12.</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9" w:history="1">
        <w:r w:rsidRPr="0043655B">
          <w:rPr>
            <w:rStyle w:val="TextoNormalCaracter"/>
          </w:rPr>
          <w:t>19/2012</w:t>
        </w:r>
      </w:hyperlink>
      <w:r>
        <w:t>, ff. 1, 11, 12.</w:t>
      </w:r>
    </w:p>
    <w:p w:rsidR="0043655B" w:rsidRDefault="0043655B" w:rsidP="0043655B">
      <w:pPr>
        <w:pStyle w:val="SangriaFrancesaArticulo"/>
      </w:pPr>
      <w:r w:rsidRPr="0043655B">
        <w:rPr>
          <w:rStyle w:val="TextoNormalNegritaCaracter"/>
        </w:rPr>
        <w:t>Artículo 64.1.</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81.1.</w:t>
      </w:r>
      <w:r w:rsidRPr="0043655B">
        <w:rPr>
          <w:rStyle w:val="TextoNormalCaracter"/>
        </w:rPr>
        <w:t>-</w:t>
      </w:r>
      <w:r>
        <w:t xml:space="preserve"> Sentencia </w:t>
      </w:r>
      <w:hyperlink w:anchor="SENTENCIA_2012_19" w:history="1">
        <w:r w:rsidRPr="0043655B">
          <w:rPr>
            <w:rStyle w:val="TextoNormalCaracter"/>
          </w:rPr>
          <w:t>19/2012</w:t>
        </w:r>
      </w:hyperlink>
      <w:r>
        <w:t>, ff. 1, 10, 12.</w:t>
      </w:r>
    </w:p>
    <w:p w:rsidR="0043655B" w:rsidRDefault="0043655B" w:rsidP="0043655B">
      <w:pPr>
        <w:pStyle w:val="SangriaFrancesaArticulo"/>
      </w:pPr>
      <w:r w:rsidRPr="0043655B">
        <w:rPr>
          <w:rStyle w:val="TextoNormalNegritaCaracter"/>
        </w:rPr>
        <w:t>Artículo 81.2.</w:t>
      </w:r>
      <w:r w:rsidRPr="0043655B">
        <w:rPr>
          <w:rStyle w:val="TextoNormalCaracter"/>
        </w:rPr>
        <w:t>-</w:t>
      </w:r>
      <w:r>
        <w:t xml:space="preserve"> Sentencia </w:t>
      </w:r>
      <w:hyperlink w:anchor="SENTENCIA_2012_19" w:history="1">
        <w:r w:rsidRPr="0043655B">
          <w:rPr>
            <w:rStyle w:val="TextoNormalCaracter"/>
          </w:rPr>
          <w:t>19/2012</w:t>
        </w:r>
      </w:hyperlink>
      <w:r>
        <w:t>, ff. 1, 10, 12.</w:t>
      </w:r>
    </w:p>
    <w:p w:rsidR="0043655B" w:rsidRDefault="0043655B" w:rsidP="0043655B">
      <w:pPr>
        <w:pStyle w:val="SangriaFrancesaArticulo"/>
      </w:pPr>
      <w:r w:rsidRPr="0043655B">
        <w:rPr>
          <w:rStyle w:val="TextoNormalNegritaCaracter"/>
        </w:rPr>
        <w:lastRenderedPageBreak/>
        <w:t>Artículo 81.3.</w:t>
      </w:r>
      <w:r w:rsidRPr="0043655B">
        <w:rPr>
          <w:rStyle w:val="TextoNormalCaracter"/>
        </w:rPr>
        <w:t>-</w:t>
      </w:r>
      <w:r>
        <w:t xml:space="preserve"> Sentencia </w:t>
      </w:r>
      <w:hyperlink w:anchor="SENTENCIA_2012_19" w:history="1">
        <w:r w:rsidRPr="0043655B">
          <w:rPr>
            <w:rStyle w:val="TextoNormalCaracter"/>
          </w:rPr>
          <w:t>19/2012</w:t>
        </w:r>
      </w:hyperlink>
      <w:r>
        <w:t>, ff. 1, 10, 12.</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Sentencia </w:t>
      </w:r>
      <w:hyperlink w:anchor="SENTENCIA_2012_19" w:history="1">
        <w:r w:rsidRPr="0043655B">
          <w:rPr>
            <w:rStyle w:val="TextoNormalCaracter"/>
          </w:rPr>
          <w:t>19/2012</w:t>
        </w:r>
      </w:hyperlink>
      <w:r>
        <w:t>, ff. 1, 9, 10, 12.</w:t>
      </w:r>
    </w:p>
    <w:p w:rsidR="0043655B" w:rsidRDefault="0043655B" w:rsidP="0043655B">
      <w:pPr>
        <w:pStyle w:val="SangriaFrancesaArticulo"/>
      </w:pPr>
      <w:r w:rsidRPr="0043655B">
        <w:rPr>
          <w:rStyle w:val="TextoNormalNegritaCaracter"/>
        </w:rPr>
        <w:t>Disposición transitoria cuarta, apartado 1 a).</w:t>
      </w:r>
      <w:r w:rsidRPr="0043655B">
        <w:rPr>
          <w:rStyle w:val="TextoNormalCaracter"/>
        </w:rPr>
        <w:t>-</w:t>
      </w:r>
      <w:r>
        <w:t xml:space="preserve"> Sentencia </w:t>
      </w:r>
      <w:hyperlink w:anchor="SENTENCIA_2012_19" w:history="1">
        <w:r w:rsidRPr="0043655B">
          <w:rPr>
            <w:rStyle w:val="TextoNormalCaracter"/>
          </w:rPr>
          <w:t>19/2012</w:t>
        </w:r>
      </w:hyperlink>
      <w:r>
        <w:t>, f. 10.</w:t>
      </w:r>
    </w:p>
    <w:p w:rsidR="0043655B" w:rsidRDefault="0043655B" w:rsidP="0043655B">
      <w:pPr>
        <w:pStyle w:val="SangriaFrancesaArticulo"/>
      </w:pPr>
      <w:r w:rsidRPr="0043655B">
        <w:rPr>
          <w:rStyle w:val="TextoNormalNegritaCaracter"/>
        </w:rPr>
        <w:t>Disposición transitoria cuarta, apartado 1 b).</w:t>
      </w:r>
      <w:r w:rsidRPr="0043655B">
        <w:rPr>
          <w:rStyle w:val="TextoNormalCaracter"/>
        </w:rPr>
        <w:t>-</w:t>
      </w:r>
      <w:r>
        <w:t xml:space="preserve"> Sentencia </w:t>
      </w:r>
      <w:hyperlink w:anchor="SENTENCIA_2012_19" w:history="1">
        <w:r w:rsidRPr="0043655B">
          <w:rPr>
            <w:rStyle w:val="TextoNormalCaracter"/>
          </w:rPr>
          <w:t>19/2012</w:t>
        </w:r>
      </w:hyperlink>
      <w:r>
        <w:t>, f. 10.</w:t>
      </w:r>
    </w:p>
    <w:p w:rsidR="0043655B" w:rsidRDefault="0043655B" w:rsidP="0043655B">
      <w:pPr>
        <w:pStyle w:val="SangriaFrancesaArticulo"/>
      </w:pPr>
      <w:r w:rsidRPr="0043655B">
        <w:rPr>
          <w:rStyle w:val="TextoNormalNegritaCaracter"/>
        </w:rPr>
        <w:t>Disposición transitoria quinta.</w:t>
      </w:r>
      <w:r w:rsidRPr="0043655B">
        <w:rPr>
          <w:rStyle w:val="TextoNormalCaracter"/>
        </w:rPr>
        <w:t>-</w:t>
      </w:r>
      <w:r>
        <w:t xml:space="preserve"> Sentencia </w:t>
      </w:r>
      <w:hyperlink w:anchor="SENTENCIA_2012_19" w:history="1">
        <w:r w:rsidRPr="0043655B">
          <w:rPr>
            <w:rStyle w:val="TextoNormalCaracter"/>
          </w:rPr>
          <w:t>19/2012</w:t>
        </w:r>
      </w:hyperlink>
      <w:r>
        <w:t>, f. 10.</w:t>
      </w:r>
    </w:p>
    <w:p w:rsidR="0043655B" w:rsidRDefault="0043655B" w:rsidP="0043655B">
      <w:pPr>
        <w:pStyle w:val="SangriaFrancesaArticulo"/>
      </w:pPr>
      <w:r w:rsidRPr="0043655B">
        <w:rPr>
          <w:rStyle w:val="TextoNormalNegritaCaracter"/>
        </w:rPr>
        <w:t>Disposición transitoria quinta, apartado 2.</w:t>
      </w:r>
      <w:r w:rsidRPr="0043655B">
        <w:rPr>
          <w:rStyle w:val="TextoNormalCaracter"/>
        </w:rPr>
        <w:t>-</w:t>
      </w:r>
      <w:r>
        <w:t xml:space="preserve"> Sentencia </w:t>
      </w:r>
      <w:hyperlink w:anchor="SENTENCIA_2012_19" w:history="1">
        <w:r w:rsidRPr="0043655B">
          <w:rPr>
            <w:rStyle w:val="TextoNormalCaracter"/>
          </w:rPr>
          <w:t>19/2012</w:t>
        </w:r>
      </w:hyperlink>
      <w:r>
        <w:t>, ff. 1, 7, 12.</w:t>
      </w:r>
    </w:p>
    <w:p w:rsidR="0043655B" w:rsidRDefault="0043655B" w:rsidP="0043655B">
      <w:pPr>
        <w:pStyle w:val="SangriaFrancesaArticulo"/>
      </w:pPr>
      <w:r w:rsidRPr="0043655B">
        <w:rPr>
          <w:rStyle w:val="TextoNormalNegritaCaracter"/>
        </w:rPr>
        <w:t>Disposición transitoria sexta.</w:t>
      </w:r>
      <w:r w:rsidRPr="0043655B">
        <w:rPr>
          <w:rStyle w:val="TextoNormalCaracter"/>
        </w:rPr>
        <w:t>-</w:t>
      </w:r>
      <w:r>
        <w:t xml:space="preserve"> Sentencia </w:t>
      </w:r>
      <w:hyperlink w:anchor="SENTENCIA_2012_19" w:history="1">
        <w:r w:rsidRPr="0043655B">
          <w:rPr>
            <w:rStyle w:val="TextoNormalCaracter"/>
          </w:rPr>
          <w:t>19/2012</w:t>
        </w:r>
      </w:hyperlink>
      <w:r>
        <w:t>, ff. 1, 6, 12.</w:t>
      </w:r>
    </w:p>
    <w:p w:rsidR="0043655B" w:rsidRDefault="0043655B" w:rsidP="0043655B">
      <w:pPr>
        <w:pStyle w:val="SangriaFrancesaArticulo"/>
      </w:pPr>
      <w:r w:rsidRPr="0043655B">
        <w:rPr>
          <w:rStyle w:val="TextoNormalNegritaCaracter"/>
        </w:rPr>
        <w:t>Disposición transitoria séptima.</w:t>
      </w:r>
      <w:r w:rsidRPr="0043655B">
        <w:rPr>
          <w:rStyle w:val="TextoNormalCaracter"/>
        </w:rPr>
        <w:t>-</w:t>
      </w:r>
      <w:r>
        <w:t xml:space="preserve"> Sentencia </w:t>
      </w:r>
      <w:hyperlink w:anchor="SENTENCIA_2012_19" w:history="1">
        <w:r w:rsidRPr="0043655B">
          <w:rPr>
            <w:rStyle w:val="TextoNormalCaracter"/>
          </w:rPr>
          <w:t>19/2012</w:t>
        </w:r>
      </w:hyperlink>
      <w:r>
        <w:t>, ff. 1, 6, 12.</w:t>
      </w:r>
    </w:p>
    <w:p w:rsidR="0043655B" w:rsidRDefault="0043655B" w:rsidP="0043655B">
      <w:pPr>
        <w:pStyle w:val="SangriaFrancesaArticulo"/>
      </w:pPr>
      <w:r w:rsidRPr="0043655B">
        <w:rPr>
          <w:rStyle w:val="TextoNormalNegritaCaracter"/>
        </w:rPr>
        <w:t>Disposición final séptima.</w:t>
      </w:r>
      <w:r w:rsidRPr="0043655B">
        <w:rPr>
          <w:rStyle w:val="TextoNormalCaracter"/>
        </w:rPr>
        <w:t>-</w:t>
      </w:r>
      <w:r>
        <w:t xml:space="preserve"> Sentencia </w:t>
      </w:r>
      <w:hyperlink w:anchor="SENTENCIA_2012_19" w:history="1">
        <w:r w:rsidRPr="0043655B">
          <w:rPr>
            <w:rStyle w:val="TextoNormalCaracter"/>
          </w:rPr>
          <w:t>19/2012</w:t>
        </w:r>
      </w:hyperlink>
      <w:r>
        <w:t>, f. 10.</w:t>
      </w:r>
    </w:p>
    <w:p w:rsidR="0043655B" w:rsidRDefault="0043655B" w:rsidP="0043655B">
      <w:pPr>
        <w:pStyle w:val="SangriaFrancesaArticulo"/>
      </w:pPr>
    </w:p>
    <w:p w:rsidR="0043655B" w:rsidRDefault="0043655B" w:rsidP="0043655B">
      <w:pPr>
        <w:pStyle w:val="TextoNormalNegritaCursivandice"/>
      </w:pPr>
      <w:r>
        <w:t>Ley 49/1998, de 30 de diciembre. Presupuestos generales del Estado para 1999</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10.</w:t>
      </w:r>
    </w:p>
    <w:p w:rsidR="0043655B" w:rsidRDefault="0043655B" w:rsidP="0043655B">
      <w:pPr>
        <w:pStyle w:val="SangriaFrancesaArticulo"/>
      </w:pPr>
    </w:p>
    <w:p w:rsidR="0043655B" w:rsidRDefault="0043655B" w:rsidP="0043655B">
      <w:pPr>
        <w:pStyle w:val="TextoNormalNegritaCursivandice"/>
      </w:pPr>
      <w:r>
        <w:t>Ley 50/1998, de 30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ff. 1, 2, 3, 5, 7.</w:t>
      </w:r>
    </w:p>
    <w:p w:rsidR="0043655B" w:rsidRDefault="0043655B" w:rsidP="0043655B">
      <w:pPr>
        <w:pStyle w:val="SangriaFrancesaArticulo"/>
      </w:pPr>
      <w:r w:rsidRPr="0043655B">
        <w:rPr>
          <w:rStyle w:val="TextoNormalNegritaCaracter"/>
        </w:rPr>
        <w:t>Artículo 50.4.</w:t>
      </w:r>
      <w:r w:rsidRPr="0043655B">
        <w:rPr>
          <w:rStyle w:val="TextoNormalCaracter"/>
        </w:rPr>
        <w:t>-</w:t>
      </w:r>
      <w:r>
        <w:t xml:space="preserve"> Sentencia </w:t>
      </w:r>
      <w:hyperlink w:anchor="SENTENCIA_2012_120" w:history="1">
        <w:r w:rsidRPr="0043655B">
          <w:rPr>
            <w:rStyle w:val="TextoNormalCaracter"/>
          </w:rPr>
          <w:t>120/2012</w:t>
        </w:r>
      </w:hyperlink>
      <w:r>
        <w:t>, f. 8.</w:t>
      </w:r>
    </w:p>
    <w:p w:rsidR="0043655B" w:rsidRDefault="0043655B" w:rsidP="0043655B">
      <w:pPr>
        <w:pStyle w:val="SangriaFrancesaArticulo"/>
      </w:pPr>
      <w:r w:rsidRPr="0043655B">
        <w:rPr>
          <w:rStyle w:val="TextoNormalNegritaCaracter"/>
        </w:rPr>
        <w:t>Artículo 54.1.</w:t>
      </w:r>
      <w:r w:rsidRPr="0043655B">
        <w:rPr>
          <w:rStyle w:val="TextoNormalCaracter"/>
        </w:rPr>
        <w:t>-</w:t>
      </w:r>
      <w:r>
        <w:t xml:space="preserve"> Sentencia </w:t>
      </w:r>
      <w:hyperlink w:anchor="SENTENCIA_2012_120" w:history="1">
        <w:r w:rsidRPr="0043655B">
          <w:rPr>
            <w:rStyle w:val="TextoNormalCaracter"/>
          </w:rPr>
          <w:t>120/2012</w:t>
        </w:r>
      </w:hyperlink>
      <w:r>
        <w:t>, ff. 6, 7.</w:t>
      </w:r>
    </w:p>
    <w:p w:rsidR="0043655B" w:rsidRDefault="0043655B" w:rsidP="0043655B">
      <w:pPr>
        <w:pStyle w:val="SangriaFrancesaArticulo"/>
      </w:pPr>
      <w:r w:rsidRPr="0043655B">
        <w:rPr>
          <w:rStyle w:val="TextoNormalNegritaCaracter"/>
        </w:rPr>
        <w:t>Artículo 54.2.</w:t>
      </w:r>
      <w:r w:rsidRPr="0043655B">
        <w:rPr>
          <w:rStyle w:val="TextoNormalCaracter"/>
        </w:rPr>
        <w:t>-</w:t>
      </w:r>
      <w:r>
        <w:t xml:space="preserve"> Sentencia </w:t>
      </w:r>
      <w:hyperlink w:anchor="SENTENCIA_2012_120" w:history="1">
        <w:r w:rsidRPr="0043655B">
          <w:rPr>
            <w:rStyle w:val="TextoNormalCaracter"/>
          </w:rPr>
          <w:t>120/2012</w:t>
        </w:r>
      </w:hyperlink>
      <w:r>
        <w:t>, ff. 6, 7.</w:t>
      </w:r>
    </w:p>
    <w:p w:rsidR="0043655B" w:rsidRDefault="0043655B" w:rsidP="0043655B">
      <w:pPr>
        <w:pStyle w:val="SangriaFrancesaArticulo"/>
      </w:pPr>
      <w:r w:rsidRPr="0043655B">
        <w:rPr>
          <w:rStyle w:val="TextoNormalNegritaCaracter"/>
        </w:rPr>
        <w:t>Artículo 54.4.</w:t>
      </w:r>
      <w:r w:rsidRPr="0043655B">
        <w:rPr>
          <w:rStyle w:val="TextoNormalCaracter"/>
        </w:rPr>
        <w:t>-</w:t>
      </w:r>
      <w:r>
        <w:t xml:space="preserve"> Sentencia </w:t>
      </w:r>
      <w:hyperlink w:anchor="SENTENCIA_2012_120" w:history="1">
        <w:r w:rsidRPr="0043655B">
          <w:rPr>
            <w:rStyle w:val="TextoNormalCaracter"/>
          </w:rPr>
          <w:t>120/2012</w:t>
        </w:r>
      </w:hyperlink>
      <w:r>
        <w:t>, ff. 6, 7.</w:t>
      </w:r>
    </w:p>
    <w:p w:rsidR="0043655B" w:rsidRDefault="0043655B" w:rsidP="0043655B">
      <w:pPr>
        <w:pStyle w:val="SangriaFrancesaArticulo"/>
      </w:pPr>
      <w:r w:rsidRPr="0043655B">
        <w:rPr>
          <w:rStyle w:val="TextoNormalNegritaCaracter"/>
        </w:rPr>
        <w:t>Artículo 54.5.</w:t>
      </w:r>
      <w:r w:rsidRPr="0043655B">
        <w:rPr>
          <w:rStyle w:val="TextoNormalCaracter"/>
        </w:rPr>
        <w:t>-</w:t>
      </w:r>
      <w:r>
        <w:t xml:space="preserve"> Sentencia </w:t>
      </w:r>
      <w:hyperlink w:anchor="SENTENCIA_2012_120" w:history="1">
        <w:r w:rsidRPr="0043655B">
          <w:rPr>
            <w:rStyle w:val="TextoNormalCaracter"/>
          </w:rPr>
          <w:t>120/2012</w:t>
        </w:r>
      </w:hyperlink>
      <w:r>
        <w:t>, f. 6.</w:t>
      </w:r>
    </w:p>
    <w:p w:rsidR="0043655B" w:rsidRDefault="0043655B" w:rsidP="0043655B">
      <w:pPr>
        <w:pStyle w:val="SangriaFrancesaArticulo"/>
      </w:pPr>
      <w:r w:rsidRPr="0043655B">
        <w:rPr>
          <w:rStyle w:val="TextoNormalNegritaCaracter"/>
        </w:rPr>
        <w:t>Artículo 59.1.</w:t>
      </w:r>
      <w:r w:rsidRPr="0043655B">
        <w:rPr>
          <w:rStyle w:val="TextoNormalCaracter"/>
        </w:rPr>
        <w:t>-</w:t>
      </w:r>
      <w:r>
        <w:t xml:space="preserve"> Sentencia </w:t>
      </w:r>
      <w:hyperlink w:anchor="SENTENCIA_2012_120" w:history="1">
        <w:r w:rsidRPr="0043655B">
          <w:rPr>
            <w:rStyle w:val="TextoNormalCaracter"/>
          </w:rPr>
          <w:t>120/2012</w:t>
        </w:r>
      </w:hyperlink>
      <w:r>
        <w:t>, f. 1.</w:t>
      </w:r>
    </w:p>
    <w:p w:rsidR="0043655B" w:rsidRDefault="0043655B" w:rsidP="0043655B">
      <w:pPr>
        <w:pStyle w:val="SangriaFrancesaArticulo"/>
      </w:pPr>
    </w:p>
    <w:p w:rsidR="0043655B" w:rsidRDefault="0043655B" w:rsidP="0043655B">
      <w:pPr>
        <w:pStyle w:val="TextoNormalNegritaCursivandice"/>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p>
    <w:p w:rsidR="0043655B" w:rsidRDefault="0043655B" w:rsidP="0043655B">
      <w:pPr>
        <w:pStyle w:val="TextoNormalNegritaCursivandice"/>
      </w:pPr>
      <w:r>
        <w:t>Ley 54/1999, de 29 de diciembre. Presupuestos generales del Estado para el año 2000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10.</w:t>
      </w:r>
    </w:p>
    <w:p w:rsidR="0043655B" w:rsidRDefault="0043655B" w:rsidP="0043655B">
      <w:pPr>
        <w:pStyle w:val="SangriaFrancesaArticulo"/>
      </w:pPr>
    </w:p>
    <w:p w:rsidR="0043655B" w:rsidRDefault="0043655B" w:rsidP="0043655B">
      <w:pPr>
        <w:pStyle w:val="TextoNormalNegritaCursivandice"/>
      </w:pPr>
      <w:r>
        <w:t>Ley 55/1999, de 29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p>
    <w:p w:rsidR="0043655B" w:rsidRDefault="0043655B" w:rsidP="0043655B">
      <w:pPr>
        <w:pStyle w:val="TextoNormalNegritaCursivandice"/>
      </w:pPr>
      <w:r>
        <w:t>Ley 1/2000, de 7 de enero. Enjuiciamiento civil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1" w:history="1">
        <w:r w:rsidRPr="0043655B">
          <w:rPr>
            <w:rStyle w:val="TextoNormalCaracter"/>
          </w:rPr>
          <w:t>21/2012</w:t>
        </w:r>
      </w:hyperlink>
      <w:r>
        <w:t xml:space="preserve">, f. 5; </w:t>
      </w:r>
      <w:hyperlink w:anchor="SENTENCIA_2012_79" w:history="1">
        <w:r w:rsidRPr="0043655B">
          <w:rPr>
            <w:rStyle w:val="TextoNormalCaracter"/>
          </w:rPr>
          <w:t>79/2012</w:t>
        </w:r>
      </w:hyperlink>
      <w:r>
        <w:t>, f. 7.</w:t>
      </w:r>
    </w:p>
    <w:p w:rsidR="0043655B" w:rsidRDefault="0043655B" w:rsidP="0043655B">
      <w:pPr>
        <w:pStyle w:val="SangriaIzquierdaArticulo"/>
      </w:pPr>
      <w:r>
        <w:t xml:space="preserve">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21" w:history="1">
        <w:r w:rsidRPr="0043655B">
          <w:rPr>
            <w:rStyle w:val="TextoNormalCaracter"/>
          </w:rPr>
          <w:t>21/2012</w:t>
        </w:r>
      </w:hyperlink>
      <w:r>
        <w:t>, f. 5.</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76" w:history="1">
        <w:r w:rsidRPr="0043655B">
          <w:rPr>
            <w:rStyle w:val="TextoNormalCaracter"/>
          </w:rPr>
          <w:t>76/2012</w:t>
        </w:r>
      </w:hyperlink>
      <w:r>
        <w:t>, f. 5.</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96" w:history="1">
        <w:r w:rsidRPr="0043655B">
          <w:rPr>
            <w:rStyle w:val="TextoNormalCaracter"/>
          </w:rPr>
          <w:t>96/2012</w:t>
        </w:r>
      </w:hyperlink>
      <w:r>
        <w:t>, f. 9.</w:t>
      </w:r>
    </w:p>
    <w:p w:rsidR="0043655B" w:rsidRDefault="0043655B" w:rsidP="0043655B">
      <w:pPr>
        <w:pStyle w:val="SangriaFrancesaArticulo"/>
      </w:pPr>
      <w:r w:rsidRPr="0043655B">
        <w:rPr>
          <w:rStyle w:val="TextoNormalNegritaCaracter"/>
        </w:rPr>
        <w:t>Artículo 15.4.</w:t>
      </w:r>
      <w:r w:rsidRPr="0043655B">
        <w:rPr>
          <w:rStyle w:val="TextoNormalCaracter"/>
        </w:rPr>
        <w:t>-</w:t>
      </w:r>
      <w:r>
        <w:t xml:space="preserve"> Sentencia </w:t>
      </w:r>
      <w:hyperlink w:anchor="SENTENCIA_2012_96" w:history="1">
        <w:r w:rsidRPr="0043655B">
          <w:rPr>
            <w:rStyle w:val="TextoNormalCaracter"/>
          </w:rPr>
          <w:t>96/2012</w:t>
        </w:r>
      </w:hyperlink>
      <w:r>
        <w:t>, f. 9.</w:t>
      </w:r>
    </w:p>
    <w:p w:rsidR="0043655B" w:rsidRDefault="0043655B" w:rsidP="0043655B">
      <w:pPr>
        <w:pStyle w:val="SangriaFrancesaArticulo"/>
      </w:pPr>
      <w:r w:rsidRPr="0043655B">
        <w:rPr>
          <w:rStyle w:val="TextoNormalNegritaCaracter"/>
        </w:rPr>
        <w:t>Artículo 19.1.</w:t>
      </w:r>
      <w:r w:rsidRPr="0043655B">
        <w:rPr>
          <w:rStyle w:val="TextoNormalCaracter"/>
        </w:rPr>
        <w:t>-</w:t>
      </w:r>
      <w:r>
        <w:t xml:space="preserve"> Auto </w:t>
      </w:r>
      <w:hyperlink w:anchor="AUTO_2012_60" w:history="1">
        <w:r w:rsidRPr="0043655B">
          <w:rPr>
            <w:rStyle w:val="TextoNormalCaracter"/>
          </w:rPr>
          <w:t>60/2012</w:t>
        </w:r>
      </w:hyperlink>
      <w:r>
        <w:t>, f. único.</w:t>
      </w:r>
    </w:p>
    <w:p w:rsidR="0043655B" w:rsidRDefault="0043655B" w:rsidP="0043655B">
      <w:pPr>
        <w:pStyle w:val="SangriaFrancesaArticulo"/>
      </w:pPr>
      <w:r w:rsidRPr="0043655B">
        <w:rPr>
          <w:rStyle w:val="TextoNormalNegritaCaracter"/>
        </w:rPr>
        <w:t>Artículo 20.2.</w:t>
      </w:r>
      <w:r w:rsidRPr="0043655B">
        <w:rPr>
          <w:rStyle w:val="TextoNormalCaracter"/>
        </w:rPr>
        <w:t>-</w:t>
      </w:r>
      <w:r>
        <w:t xml:space="preserve"> Auto </w:t>
      </w:r>
      <w:hyperlink w:anchor="AUTO_2012_60" w:history="1">
        <w:r w:rsidRPr="0043655B">
          <w:rPr>
            <w:rStyle w:val="TextoNormalCaracter"/>
          </w:rPr>
          <w:t>60/2012</w:t>
        </w:r>
      </w:hyperlink>
      <w:r>
        <w:t>, f. único.</w:t>
      </w:r>
    </w:p>
    <w:p w:rsidR="0043655B" w:rsidRDefault="0043655B" w:rsidP="0043655B">
      <w:pPr>
        <w:pStyle w:val="SangriaFrancesaArticulo"/>
      </w:pPr>
      <w:r w:rsidRPr="0043655B">
        <w:rPr>
          <w:rStyle w:val="TextoNormalNegritaCaracter"/>
        </w:rPr>
        <w:t>Artículo 20.3.</w:t>
      </w:r>
      <w:r w:rsidRPr="0043655B">
        <w:rPr>
          <w:rStyle w:val="TextoNormalCaracter"/>
        </w:rPr>
        <w:t>-</w:t>
      </w:r>
      <w:r>
        <w:t xml:space="preserve"> Auto </w:t>
      </w:r>
      <w:hyperlink w:anchor="AUTO_2012_60" w:history="1">
        <w:r w:rsidRPr="0043655B">
          <w:rPr>
            <w:rStyle w:val="TextoNormalCaracter"/>
          </w:rPr>
          <w:t>60/2012</w:t>
        </w:r>
      </w:hyperlink>
      <w:r>
        <w:t>, f. único.</w:t>
      </w:r>
    </w:p>
    <w:p w:rsidR="0043655B" w:rsidRDefault="0043655B" w:rsidP="0043655B">
      <w:pPr>
        <w:pStyle w:val="SangriaFrancesaArticulo"/>
      </w:pPr>
      <w:r w:rsidRPr="0043655B">
        <w:rPr>
          <w:rStyle w:val="TextoNormalNegritaCaracter"/>
        </w:rPr>
        <w:lastRenderedPageBreak/>
        <w:t>Artículo 71.</w:t>
      </w:r>
      <w:r w:rsidRPr="0043655B">
        <w:rPr>
          <w:rStyle w:val="TextoNormalCaracter"/>
        </w:rPr>
        <w:t>-</w:t>
      </w:r>
      <w:r>
        <w:t xml:space="preserve"> Sentencia </w:t>
      </w:r>
      <w:hyperlink w:anchor="SENTENCIA_2012_121" w:history="1">
        <w:r w:rsidRPr="0043655B">
          <w:rPr>
            <w:rStyle w:val="TextoNormalCaracter"/>
          </w:rPr>
          <w:t>121/2012</w:t>
        </w:r>
      </w:hyperlink>
      <w:r>
        <w:t>, f. 4.</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121" w:history="1">
        <w:r w:rsidRPr="0043655B">
          <w:rPr>
            <w:rStyle w:val="TextoNormalCaracter"/>
          </w:rPr>
          <w:t>121/2012</w:t>
        </w:r>
      </w:hyperlink>
      <w:r>
        <w:t>, f. 4.</w:t>
      </w:r>
    </w:p>
    <w:p w:rsidR="0043655B" w:rsidRDefault="0043655B" w:rsidP="0043655B">
      <w:pPr>
        <w:pStyle w:val="SangriaFrancesaArticulo"/>
      </w:pPr>
      <w:r w:rsidRPr="0043655B">
        <w:rPr>
          <w:rStyle w:val="TextoNormalNegritaCaracter"/>
        </w:rPr>
        <w:t>Artículo 73.1.2.</w:t>
      </w:r>
      <w:r w:rsidRPr="0043655B">
        <w:rPr>
          <w:rStyle w:val="TextoNormalCaracter"/>
        </w:rPr>
        <w:t>-</w:t>
      </w:r>
      <w:r>
        <w:t xml:space="preserve"> Sentencia </w:t>
      </w:r>
      <w:hyperlink w:anchor="SENTENCIA_2012_21" w:history="1">
        <w:r w:rsidRPr="0043655B">
          <w:rPr>
            <w:rStyle w:val="TextoNormalCaracter"/>
          </w:rPr>
          <w:t>21/2012</w:t>
        </w:r>
      </w:hyperlink>
      <w:r>
        <w:t>, f. 5.</w:t>
      </w:r>
    </w:p>
    <w:p w:rsidR="0043655B" w:rsidRDefault="0043655B" w:rsidP="0043655B">
      <w:pPr>
        <w:pStyle w:val="SangriaFrancesaArticulo"/>
      </w:pPr>
      <w:r w:rsidRPr="0043655B">
        <w:rPr>
          <w:rStyle w:val="TextoNormalNegritaCaracter"/>
        </w:rPr>
        <w:t>Artículo 133.</w:t>
      </w:r>
      <w:r w:rsidRPr="0043655B">
        <w:rPr>
          <w:rStyle w:val="TextoNormalCaracter"/>
        </w:rPr>
        <w:t>-</w:t>
      </w:r>
      <w:r>
        <w:t xml:space="preserve"> Sentencia </w:t>
      </w:r>
      <w:hyperlink w:anchor="SENTENCIA_2012_76" w:history="1">
        <w:r w:rsidRPr="0043655B">
          <w:rPr>
            <w:rStyle w:val="TextoNormalCaracter"/>
          </w:rPr>
          <w:t>76/2012</w:t>
        </w:r>
      </w:hyperlink>
      <w:r>
        <w:t>, f. 4.</w:t>
      </w:r>
    </w:p>
    <w:p w:rsidR="0043655B" w:rsidRDefault="0043655B" w:rsidP="0043655B">
      <w:pPr>
        <w:pStyle w:val="SangriaFrancesaArticulo"/>
      </w:pPr>
      <w:r w:rsidRPr="0043655B">
        <w:rPr>
          <w:rStyle w:val="TextoNormalNegritaCaracter"/>
        </w:rPr>
        <w:t>Artículo 134.</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135.</w:t>
      </w:r>
      <w:r w:rsidRPr="0043655B">
        <w:rPr>
          <w:rStyle w:val="TextoNormalCaracter"/>
        </w:rPr>
        <w:t>-</w:t>
      </w:r>
      <w:r>
        <w:t xml:space="preserve"> Sentencia </w:t>
      </w:r>
      <w:hyperlink w:anchor="SENTENCIA_2012_76" w:history="1">
        <w:r w:rsidRPr="0043655B">
          <w:rPr>
            <w:rStyle w:val="TextoNormalCaracter"/>
          </w:rPr>
          <w:t>76/2012</w:t>
        </w:r>
      </w:hyperlink>
      <w:r>
        <w:t>, ff. 2 a 5.</w:t>
      </w:r>
    </w:p>
    <w:p w:rsidR="0043655B" w:rsidRDefault="0043655B" w:rsidP="0043655B">
      <w:pPr>
        <w:pStyle w:val="SangriaFrancesaArticulo"/>
      </w:pPr>
      <w:r w:rsidRPr="0043655B">
        <w:rPr>
          <w:rStyle w:val="TextoNormalNegritaCaracter"/>
        </w:rPr>
        <w:t>Artículo 135.1.</w:t>
      </w:r>
      <w:r w:rsidRPr="0043655B">
        <w:rPr>
          <w:rStyle w:val="TextoNormalCaracter"/>
        </w:rPr>
        <w:t>-</w:t>
      </w:r>
      <w:r>
        <w:t xml:space="preserve"> Sentencias </w:t>
      </w:r>
      <w:hyperlink w:anchor="SENTENCIA_2012_76" w:history="1">
        <w:r w:rsidRPr="0043655B">
          <w:rPr>
            <w:rStyle w:val="TextoNormalCaracter"/>
          </w:rPr>
          <w:t>76/2012</w:t>
        </w:r>
      </w:hyperlink>
      <w:r>
        <w:t xml:space="preserve">, ff. 1, 5; </w:t>
      </w:r>
      <w:hyperlink w:anchor="SENTENCIA_2012_90" w:history="1">
        <w:r w:rsidRPr="0043655B">
          <w:rPr>
            <w:rStyle w:val="TextoNormalCaracter"/>
          </w:rPr>
          <w:t>90/2012</w:t>
        </w:r>
      </w:hyperlink>
      <w:r>
        <w:t>, f. 2.</w:t>
      </w:r>
    </w:p>
    <w:p w:rsidR="0043655B" w:rsidRDefault="0043655B" w:rsidP="0043655B">
      <w:pPr>
        <w:pStyle w:val="SangriaFrancesaArticulo"/>
      </w:pPr>
      <w:r w:rsidRPr="0043655B">
        <w:rPr>
          <w:rStyle w:val="TextoNormalNegritaCaracter"/>
        </w:rPr>
        <w:t>Artículo 135.2.</w:t>
      </w:r>
      <w:r w:rsidRPr="0043655B">
        <w:rPr>
          <w:rStyle w:val="TextoNormalCaracter"/>
        </w:rPr>
        <w:t>-</w:t>
      </w:r>
      <w:r>
        <w:t xml:space="preserve"> Sentencia </w:t>
      </w:r>
      <w:hyperlink w:anchor="SENTENCIA_2012_76" w:history="1">
        <w:r w:rsidRPr="0043655B">
          <w:rPr>
            <w:rStyle w:val="TextoNormalCaracter"/>
          </w:rPr>
          <w:t>76/2012</w:t>
        </w:r>
      </w:hyperlink>
      <w:r>
        <w:t>, f. 5.</w:t>
      </w:r>
    </w:p>
    <w:p w:rsidR="0043655B" w:rsidRDefault="0043655B" w:rsidP="0043655B">
      <w:pPr>
        <w:pStyle w:val="SangriaFrancesaArticulo"/>
      </w:pPr>
      <w:r w:rsidRPr="0043655B">
        <w:rPr>
          <w:rStyle w:val="TextoNormalNegritaCaracter"/>
        </w:rPr>
        <w:t>Artículo 152.</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162.</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206.2.2.</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214.</w:t>
      </w:r>
      <w:r w:rsidRPr="0043655B">
        <w:rPr>
          <w:rStyle w:val="TextoNormalCaracter"/>
        </w:rPr>
        <w:t>-</w:t>
      </w:r>
      <w:r>
        <w:t xml:space="preserve"> Auto </w:t>
      </w:r>
      <w:hyperlink w:anchor="AUTO_2012_108" w:history="1">
        <w:r w:rsidRPr="0043655B">
          <w:rPr>
            <w:rStyle w:val="TextoNormalCaracter"/>
          </w:rPr>
          <w:t>108/2012</w:t>
        </w:r>
      </w:hyperlink>
      <w:r>
        <w:t>.</w:t>
      </w:r>
    </w:p>
    <w:p w:rsidR="0043655B" w:rsidRDefault="0043655B" w:rsidP="0043655B">
      <w:pPr>
        <w:pStyle w:val="SangriaFrancesaArticulo"/>
      </w:pPr>
      <w:r w:rsidRPr="0043655B">
        <w:rPr>
          <w:rStyle w:val="TextoNormalNegritaCaracter"/>
        </w:rPr>
        <w:t>Artículo 215.</w:t>
      </w:r>
      <w:r w:rsidRPr="0043655B">
        <w:rPr>
          <w:rStyle w:val="TextoNormalCaracter"/>
        </w:rPr>
        <w:t>-</w:t>
      </w:r>
      <w:r>
        <w:t xml:space="preserve"> Auto </w:t>
      </w:r>
      <w:hyperlink w:anchor="AUTO_2012_132" w:history="1">
        <w:r w:rsidRPr="0043655B">
          <w:rPr>
            <w:rStyle w:val="TextoNormalCaracter"/>
          </w:rPr>
          <w:t>132/2012</w:t>
        </w:r>
      </w:hyperlink>
      <w:r>
        <w:t>.</w:t>
      </w:r>
    </w:p>
    <w:p w:rsidR="0043655B" w:rsidRDefault="0043655B" w:rsidP="0043655B">
      <w:pPr>
        <w:pStyle w:val="SangriaFrancesaArticulo"/>
      </w:pPr>
      <w:r w:rsidRPr="0043655B">
        <w:rPr>
          <w:rStyle w:val="TextoNormalNegritaCaracter"/>
        </w:rPr>
        <w:t>Artículo 223.</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231.</w:t>
      </w:r>
      <w:r w:rsidRPr="0043655B">
        <w:rPr>
          <w:rStyle w:val="TextoNormalCaracter"/>
        </w:rPr>
        <w:t>-</w:t>
      </w:r>
      <w:r>
        <w:t xml:space="preserve"> Sentencias </w:t>
      </w:r>
      <w:hyperlink w:anchor="SENTENCIA_2012_20" w:history="1">
        <w:r w:rsidRPr="0043655B">
          <w:rPr>
            <w:rStyle w:val="TextoNormalCaracter"/>
          </w:rPr>
          <w:t>20/2012</w:t>
        </w:r>
      </w:hyperlink>
      <w:r>
        <w:t xml:space="preserve">, f. 6;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237.</w:t>
      </w:r>
      <w:r w:rsidRPr="0043655B">
        <w:rPr>
          <w:rStyle w:val="TextoNormalCaracter"/>
        </w:rPr>
        <w:t>-</w:t>
      </w:r>
      <w:r>
        <w:t xml:space="preserve"> Sentencias </w:t>
      </w:r>
      <w:hyperlink w:anchor="SENTENCIA_2012_20" w:history="1">
        <w:r w:rsidRPr="0043655B">
          <w:rPr>
            <w:rStyle w:val="TextoNormalCaracter"/>
          </w:rPr>
          <w:t>20/2012</w:t>
        </w:r>
      </w:hyperlink>
      <w:r>
        <w:t xml:space="preserve">, f. 6; </w:t>
      </w:r>
      <w:hyperlink w:anchor="SENTENCIA_2012_116" w:history="1">
        <w:r w:rsidRPr="0043655B">
          <w:rPr>
            <w:rStyle w:val="TextoNormalCaracter"/>
          </w:rPr>
          <w:t>116/2012</w:t>
        </w:r>
      </w:hyperlink>
      <w:r>
        <w:t>, f. 7.</w:t>
      </w:r>
    </w:p>
    <w:p w:rsidR="0043655B" w:rsidRDefault="0043655B" w:rsidP="0043655B">
      <w:pPr>
        <w:pStyle w:val="SangriaFrancesaArticulo"/>
      </w:pPr>
      <w:r w:rsidRPr="0043655B">
        <w:rPr>
          <w:rStyle w:val="TextoNormalNegritaCaracter"/>
        </w:rPr>
        <w:t>Artículo 249.2.</w:t>
      </w:r>
      <w:r w:rsidRPr="0043655B">
        <w:rPr>
          <w:rStyle w:val="TextoNormalCaracter"/>
        </w:rPr>
        <w:t>-</w:t>
      </w:r>
      <w:r>
        <w:t xml:space="preserve"> Sentencia </w:t>
      </w:r>
      <w:hyperlink w:anchor="SENTENCIA_2012_21" w:history="1">
        <w:r w:rsidRPr="0043655B">
          <w:rPr>
            <w:rStyle w:val="TextoNormalCaracter"/>
          </w:rPr>
          <w:t>21/2012</w:t>
        </w:r>
      </w:hyperlink>
      <w:r>
        <w:t>, f. 5.</w:t>
      </w:r>
    </w:p>
    <w:p w:rsidR="0043655B" w:rsidRDefault="0043655B" w:rsidP="0043655B">
      <w:pPr>
        <w:pStyle w:val="SangriaFrancesaArticulo"/>
      </w:pPr>
      <w:r w:rsidRPr="0043655B">
        <w:rPr>
          <w:rStyle w:val="TextoNormalNegritaCaracter"/>
        </w:rPr>
        <w:t>Artículo 251.2.</w:t>
      </w:r>
      <w:r w:rsidRPr="0043655B">
        <w:rPr>
          <w:rStyle w:val="TextoNormalCaracter"/>
        </w:rPr>
        <w:t>-</w:t>
      </w:r>
      <w:r>
        <w:t xml:space="preserve"> Sentencia </w:t>
      </w:r>
      <w:hyperlink w:anchor="SENTENCIA_2012_21" w:history="1">
        <w:r w:rsidRPr="0043655B">
          <w:rPr>
            <w:rStyle w:val="TextoNormalCaracter"/>
          </w:rPr>
          <w:t>21/2012</w:t>
        </w:r>
      </w:hyperlink>
      <w:r>
        <w:t>, f. 5.</w:t>
      </w:r>
    </w:p>
    <w:p w:rsidR="0043655B" w:rsidRDefault="0043655B" w:rsidP="0043655B">
      <w:pPr>
        <w:pStyle w:val="SangriaFrancesaArticulo"/>
      </w:pPr>
      <w:r w:rsidRPr="0043655B">
        <w:rPr>
          <w:rStyle w:val="TextoNormalNegritaCaracter"/>
        </w:rPr>
        <w:t>Artículo 256.1.6.</w:t>
      </w:r>
      <w:r w:rsidRPr="0043655B">
        <w:rPr>
          <w:rStyle w:val="TextoNormalCaracter"/>
        </w:rPr>
        <w:t>-</w:t>
      </w:r>
      <w:r>
        <w:t xml:space="preserve"> Sentencia </w:t>
      </w:r>
      <w:hyperlink w:anchor="SENTENCIA_2012_96" w:history="1">
        <w:r w:rsidRPr="0043655B">
          <w:rPr>
            <w:rStyle w:val="TextoNormalCaracter"/>
          </w:rPr>
          <w:t>96/2012</w:t>
        </w:r>
      </w:hyperlink>
      <w:r>
        <w:t>, ff. 1, 3, 4, 6, 8 a 11.</w:t>
      </w:r>
    </w:p>
    <w:p w:rsidR="0043655B" w:rsidRDefault="0043655B" w:rsidP="0043655B">
      <w:pPr>
        <w:pStyle w:val="SangriaFrancesaArticulo"/>
      </w:pPr>
      <w:r w:rsidRPr="0043655B">
        <w:rPr>
          <w:rStyle w:val="TextoNormalNegritaCaracter"/>
        </w:rPr>
        <w:t>Artículo 258.</w:t>
      </w:r>
      <w:r w:rsidRPr="0043655B">
        <w:rPr>
          <w:rStyle w:val="TextoNormalCaracter"/>
        </w:rPr>
        <w:t>-</w:t>
      </w:r>
      <w:r>
        <w:t xml:space="preserve"> Sentencia </w:t>
      </w:r>
      <w:hyperlink w:anchor="SENTENCIA_2012_96" w:history="1">
        <w:r w:rsidRPr="0043655B">
          <w:rPr>
            <w:rStyle w:val="TextoNormalCaracter"/>
          </w:rPr>
          <w:t>96/2012</w:t>
        </w:r>
      </w:hyperlink>
      <w:r>
        <w:t>, f. 8.</w:t>
      </w:r>
    </w:p>
    <w:p w:rsidR="0043655B" w:rsidRDefault="0043655B" w:rsidP="0043655B">
      <w:pPr>
        <w:pStyle w:val="SangriaFrancesaArticulo"/>
      </w:pPr>
      <w:r w:rsidRPr="0043655B">
        <w:rPr>
          <w:rStyle w:val="TextoNormalNegritaCaracter"/>
        </w:rPr>
        <w:t>Artículo 266.5.</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269.2.</w:t>
      </w:r>
      <w:r w:rsidRPr="0043655B">
        <w:rPr>
          <w:rStyle w:val="TextoNormalCaracter"/>
        </w:rPr>
        <w:t>-</w:t>
      </w:r>
      <w:r>
        <w:t xml:space="preserve"> Sentencia </w:t>
      </w:r>
      <w:hyperlink w:anchor="SENTENCIA_2012_20" w:history="1">
        <w:r w:rsidRPr="0043655B">
          <w:rPr>
            <w:rStyle w:val="TextoNormalCaracter"/>
          </w:rPr>
          <w:t>20/2012</w:t>
        </w:r>
      </w:hyperlink>
      <w:r>
        <w:t>, f. 2.</w:t>
      </w:r>
    </w:p>
    <w:p w:rsidR="0043655B" w:rsidRDefault="0043655B" w:rsidP="0043655B">
      <w:pPr>
        <w:pStyle w:val="SangriaFrancesaArticulo"/>
      </w:pPr>
      <w:r w:rsidRPr="0043655B">
        <w:rPr>
          <w:rStyle w:val="TextoNormalNegritaCaracter"/>
        </w:rPr>
        <w:t>Artículo 410.</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411.</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438.3.</w:t>
      </w:r>
      <w:r w:rsidRPr="0043655B">
        <w:rPr>
          <w:rStyle w:val="TextoNormalCaracter"/>
        </w:rPr>
        <w:t>-</w:t>
      </w:r>
      <w:r>
        <w:t xml:space="preserve"> Sentencia </w:t>
      </w:r>
      <w:hyperlink w:anchor="SENTENCIA_2012_21" w:history="1">
        <w:r w:rsidRPr="0043655B">
          <w:rPr>
            <w:rStyle w:val="TextoNormalCaracter"/>
          </w:rPr>
          <w:t>21/2012</w:t>
        </w:r>
      </w:hyperlink>
      <w:r>
        <w:t>, ff. 2, 5.</w:t>
      </w:r>
    </w:p>
    <w:p w:rsidR="0043655B" w:rsidRDefault="0043655B" w:rsidP="0043655B">
      <w:pPr>
        <w:pStyle w:val="SangriaFrancesaArticulo"/>
      </w:pPr>
      <w:r w:rsidRPr="0043655B">
        <w:rPr>
          <w:rStyle w:val="TextoNormalNegritaCaracter"/>
        </w:rPr>
        <w:t>Artículo 449.</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451.</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452.</w:t>
      </w:r>
      <w:r w:rsidRPr="0043655B">
        <w:rPr>
          <w:rStyle w:val="TextoNormalCaracter"/>
        </w:rPr>
        <w:t>-</w:t>
      </w:r>
      <w:r>
        <w:t xml:space="preserve"> Auto </w:t>
      </w:r>
      <w:hyperlink w:anchor="AUTO_2012_43" w:history="1">
        <w:r w:rsidRPr="0043655B">
          <w:rPr>
            <w:rStyle w:val="TextoNormalCaracter"/>
          </w:rPr>
          <w:t>43/2012</w:t>
        </w:r>
      </w:hyperlink>
      <w:r>
        <w:t>.</w:t>
      </w:r>
    </w:p>
    <w:p w:rsidR="0043655B" w:rsidRDefault="0043655B" w:rsidP="0043655B">
      <w:pPr>
        <w:pStyle w:val="SangriaFrancesaArticulo"/>
      </w:pPr>
      <w:r w:rsidRPr="0043655B">
        <w:rPr>
          <w:rStyle w:val="TextoNormalNegritaCaracter"/>
        </w:rPr>
        <w:t>Artículo 477.2.2.</w:t>
      </w:r>
      <w:r w:rsidRPr="0043655B">
        <w:rPr>
          <w:rStyle w:val="TextoNormalCaracter"/>
        </w:rPr>
        <w:t>-</w:t>
      </w:r>
      <w:r>
        <w:t xml:space="preserve"> Sentencia </w:t>
      </w:r>
      <w:hyperlink w:anchor="SENTENCIA_2012_10" w:history="1">
        <w:r w:rsidRPr="0043655B">
          <w:rPr>
            <w:rStyle w:val="TextoNormalCaracter"/>
          </w:rPr>
          <w:t>10/2012</w:t>
        </w:r>
      </w:hyperlink>
      <w:r>
        <w:t>, f. 2.</w:t>
      </w:r>
    </w:p>
    <w:p w:rsidR="0043655B" w:rsidRDefault="0043655B" w:rsidP="0043655B">
      <w:pPr>
        <w:pStyle w:val="SangriaFrancesaArticulo"/>
      </w:pPr>
      <w:r w:rsidRPr="0043655B">
        <w:rPr>
          <w:rStyle w:val="TextoNormalNegritaCaracter"/>
        </w:rPr>
        <w:t>Artículo 770.1.</w:t>
      </w:r>
      <w:r w:rsidRPr="0043655B">
        <w:rPr>
          <w:rStyle w:val="TextoNormalCaracter"/>
        </w:rPr>
        <w:t>-</w:t>
      </w:r>
      <w:r>
        <w:t xml:space="preserve"> Sentencia </w:t>
      </w:r>
      <w:hyperlink w:anchor="SENTENCIA_2012_21" w:history="1">
        <w:r w:rsidRPr="0043655B">
          <w:rPr>
            <w:rStyle w:val="TextoNormalCaracter"/>
          </w:rPr>
          <w:t>21/2012</w:t>
        </w:r>
      </w:hyperlink>
      <w:r>
        <w:t>, ff. 2, 5.</w:t>
      </w:r>
    </w:p>
    <w:p w:rsidR="0043655B" w:rsidRDefault="0043655B" w:rsidP="0043655B">
      <w:pPr>
        <w:pStyle w:val="SangriaFrancesaArticulo"/>
      </w:pPr>
      <w:r w:rsidRPr="0043655B">
        <w:rPr>
          <w:rStyle w:val="TextoNormalNegritaCaracter"/>
        </w:rPr>
        <w:t>Artículo 810.</w:t>
      </w:r>
      <w:r w:rsidRPr="0043655B">
        <w:rPr>
          <w:rStyle w:val="TextoNormalCaracter"/>
        </w:rPr>
        <w:t>-</w:t>
      </w:r>
      <w:r>
        <w:t xml:space="preserve"> Sentencia </w:t>
      </w:r>
      <w:hyperlink w:anchor="SENTENCIA_2012_21" w:history="1">
        <w:r w:rsidRPr="0043655B">
          <w:rPr>
            <w:rStyle w:val="TextoNormalCaracter"/>
          </w:rPr>
          <w:t>21/2012</w:t>
        </w:r>
      </w:hyperlink>
      <w:r>
        <w:t>, f. 5.</w:t>
      </w:r>
    </w:p>
    <w:p w:rsidR="0043655B" w:rsidRDefault="0043655B" w:rsidP="0043655B">
      <w:pPr>
        <w:pStyle w:val="SangriaFrancesaArticulo"/>
      </w:pPr>
      <w:r w:rsidRPr="0043655B">
        <w:rPr>
          <w:rStyle w:val="TextoNormalNegritaCaracter"/>
        </w:rPr>
        <w:t>Artículo 811.</w:t>
      </w:r>
      <w:r w:rsidRPr="0043655B">
        <w:rPr>
          <w:rStyle w:val="TextoNormalCaracter"/>
        </w:rPr>
        <w:t>-</w:t>
      </w:r>
      <w:r>
        <w:t xml:space="preserve"> Sentencia </w:t>
      </w:r>
      <w:hyperlink w:anchor="SENTENCIA_2012_21" w:history="1">
        <w:r w:rsidRPr="0043655B">
          <w:rPr>
            <w:rStyle w:val="TextoNormalCaracter"/>
          </w:rPr>
          <w:t>21/2012</w:t>
        </w:r>
      </w:hyperlink>
      <w:r>
        <w:t>, f. 5.</w:t>
      </w:r>
    </w:p>
    <w:p w:rsidR="0043655B" w:rsidRDefault="0043655B" w:rsidP="0043655B">
      <w:pPr>
        <w:pStyle w:val="SangriaFrancesaArticulo"/>
      </w:pPr>
      <w:r w:rsidRPr="0043655B">
        <w:rPr>
          <w:rStyle w:val="TextoNormalNegritaCaracter"/>
        </w:rPr>
        <w:t>Disposición final decimosexta, apartado 1.</w:t>
      </w:r>
      <w:r w:rsidRPr="0043655B">
        <w:rPr>
          <w:rStyle w:val="TextoNormalCaracter"/>
        </w:rPr>
        <w:t>-</w:t>
      </w:r>
      <w:r>
        <w:t xml:space="preserve"> Sentencia </w:t>
      </w:r>
      <w:hyperlink w:anchor="SENTENCIA_2012_10" w:history="1">
        <w:r w:rsidRPr="0043655B">
          <w:rPr>
            <w:rStyle w:val="TextoNormalCaracter"/>
          </w:rPr>
          <w:t>10/2012</w:t>
        </w:r>
      </w:hyperlink>
      <w:r>
        <w:t>, f. 2.</w:t>
      </w:r>
    </w:p>
    <w:p w:rsidR="0043655B" w:rsidRDefault="0043655B" w:rsidP="0043655B">
      <w:pPr>
        <w:pStyle w:val="SangriaFrancesaArticulo"/>
      </w:pPr>
    </w:p>
    <w:p w:rsidR="0043655B" w:rsidRDefault="0043655B" w:rsidP="0043655B">
      <w:pPr>
        <w:pStyle w:val="TextoNormalNegritaCursivandice"/>
      </w:pPr>
      <w:r>
        <w:t>Ley 14/2000, de 29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p>
    <w:p w:rsidR="0043655B" w:rsidRDefault="0043655B" w:rsidP="0043655B">
      <w:pPr>
        <w:pStyle w:val="TextoNormalNegritaCursivandice"/>
      </w:pPr>
      <w:r>
        <w:t>Ley 6/2001, de 8 de mayo. Modificación del Real Decreto Legislativo 1302/1986, de 28 de junio, de evaluación de impacto ambiental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 w:history="1">
        <w:r w:rsidRPr="0043655B">
          <w:rPr>
            <w:rStyle w:val="TextoNormalCaracter"/>
          </w:rPr>
          <w:t>1/2012</w:t>
        </w:r>
      </w:hyperlink>
      <w:r>
        <w:t xml:space="preserve">, ff. 12, 14; </w:t>
      </w:r>
      <w:hyperlink w:anchor="SENTENCIA_2012_34" w:history="1">
        <w:r w:rsidRPr="0043655B">
          <w:rPr>
            <w:rStyle w:val="TextoNormalCaracter"/>
          </w:rPr>
          <w:t>34/2012</w:t>
        </w:r>
      </w:hyperlink>
      <w:r>
        <w:t>, ff. 2, 3, 5.</w:t>
      </w:r>
    </w:p>
    <w:p w:rsidR="0043655B" w:rsidRDefault="0043655B" w:rsidP="0043655B">
      <w:pPr>
        <w:pStyle w:val="SangriaIzquierdaArticulo"/>
      </w:pPr>
      <w:r>
        <w:t xml:space="preserve">Auto </w:t>
      </w:r>
      <w:hyperlink w:anchor="AUTO_2012_46" w:history="1">
        <w:r w:rsidRPr="0043655B">
          <w:rPr>
            <w:rStyle w:val="TextoNormalCaracter"/>
          </w:rPr>
          <w:t>46/2012</w:t>
        </w:r>
      </w:hyperlink>
      <w:r>
        <w:t>.</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Sentencias </w:t>
      </w:r>
      <w:hyperlink w:anchor="SENTENCIA_2012_1" w:history="1">
        <w:r w:rsidRPr="0043655B">
          <w:rPr>
            <w:rStyle w:val="TextoNormalCaracter"/>
          </w:rPr>
          <w:t>1/2012</w:t>
        </w:r>
      </w:hyperlink>
      <w:r>
        <w:t xml:space="preserve">, f. 14;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único, cardinal 1.</w:t>
      </w:r>
      <w:r w:rsidRPr="0043655B">
        <w:rPr>
          <w:rStyle w:val="TextoNormalCaracter"/>
        </w:rPr>
        <w:t>-</w:t>
      </w:r>
      <w:r>
        <w:t xml:space="preserve"> Sentencia </w:t>
      </w:r>
      <w:hyperlink w:anchor="SENTENCIA_2012_34" w:history="1">
        <w:r w:rsidRPr="0043655B">
          <w:rPr>
            <w:rStyle w:val="TextoNormalCaracter"/>
          </w:rPr>
          <w:t>34/2012</w:t>
        </w:r>
      </w:hyperlink>
      <w:r>
        <w:t>, ff. 2, 5.</w:t>
      </w:r>
    </w:p>
    <w:p w:rsidR="0043655B" w:rsidRDefault="0043655B" w:rsidP="0043655B">
      <w:pPr>
        <w:pStyle w:val="SangriaFrancesaArticulo"/>
      </w:pPr>
      <w:r w:rsidRPr="0043655B">
        <w:rPr>
          <w:rStyle w:val="TextoNormalNegritaCaracter"/>
        </w:rPr>
        <w:t>Artículo único, cardinales 1, 2.</w:t>
      </w:r>
      <w:r w:rsidRPr="0043655B">
        <w:rPr>
          <w:rStyle w:val="TextoNormalCaracter"/>
        </w:rPr>
        <w:t>-</w:t>
      </w:r>
      <w:r>
        <w:t xml:space="preserve"> Sentencia </w:t>
      </w:r>
      <w:hyperlink w:anchor="SENTENCIA_2012_34" w:history="1">
        <w:r w:rsidRPr="0043655B">
          <w:rPr>
            <w:rStyle w:val="TextoNormalCaracter"/>
          </w:rPr>
          <w:t>34/2012</w:t>
        </w:r>
      </w:hyperlink>
      <w:r>
        <w:t>, f. 1.</w:t>
      </w:r>
    </w:p>
    <w:p w:rsidR="0043655B" w:rsidRDefault="0043655B" w:rsidP="0043655B">
      <w:pPr>
        <w:pStyle w:val="SangriaFrancesaArticulo"/>
      </w:pPr>
      <w:r w:rsidRPr="0043655B">
        <w:rPr>
          <w:rStyle w:val="TextoNormalNegritaCaracter"/>
        </w:rPr>
        <w:t>Artículo único, cardinal 2.</w:t>
      </w:r>
      <w:r w:rsidRPr="0043655B">
        <w:rPr>
          <w:rStyle w:val="TextoNormalCaracter"/>
        </w:rPr>
        <w:t>-</w:t>
      </w:r>
      <w:r>
        <w:t xml:space="preserve"> Sentencia </w:t>
      </w:r>
      <w:hyperlink w:anchor="SENTENCIA_2012_34" w:history="1">
        <w:r w:rsidRPr="0043655B">
          <w:rPr>
            <w:rStyle w:val="TextoNormalCaracter"/>
          </w:rPr>
          <w:t>34/2012</w:t>
        </w:r>
      </w:hyperlink>
      <w:r>
        <w:t>, ff. 2, 5, 6.</w:t>
      </w:r>
    </w:p>
    <w:p w:rsidR="0043655B" w:rsidRDefault="0043655B" w:rsidP="0043655B">
      <w:pPr>
        <w:pStyle w:val="SangriaFrancesaArticulo"/>
      </w:pPr>
    </w:p>
    <w:p w:rsidR="0043655B" w:rsidRDefault="0043655B" w:rsidP="0043655B">
      <w:pPr>
        <w:pStyle w:val="TextoNormalNegritaCursivandice"/>
      </w:pPr>
      <w:r>
        <w:t>Ley 10/2001, de 5 de julio. Plan hidrológico nacional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p>
    <w:p w:rsidR="0043655B" w:rsidRDefault="0043655B" w:rsidP="0043655B">
      <w:pPr>
        <w:pStyle w:val="TextoNormalNegritaCursivandice"/>
      </w:pPr>
      <w:r>
        <w:t>Ley 18/2001, de 12 de diciembre. General de estabilidad presupuestaria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r w:rsidRPr="0043655B">
        <w:rPr>
          <w:rStyle w:val="TextoNormalNegritaCaracter"/>
        </w:rPr>
        <w:t>Artículo 23.2.</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p>
    <w:p w:rsidR="0043655B" w:rsidRDefault="0043655B" w:rsidP="0043655B">
      <w:pPr>
        <w:pStyle w:val="TextoNormalNegritaCursivandice"/>
      </w:pPr>
      <w:r>
        <w:t>Ley 21/2001, de 27 de diciembre.  Medidas fiscales y administrativas del nuevo sistema de financiación de las Comunidades Autónomas de régimen común y ciudades con estatuto de autonomía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5" w:history="1">
        <w:r w:rsidRPr="0043655B">
          <w:rPr>
            <w:rStyle w:val="TextoNormalCaracter"/>
          </w:rPr>
          <w:t>35/2012</w:t>
        </w:r>
      </w:hyperlink>
      <w:r>
        <w:t xml:space="preserve">, ff. 8, 9; </w:t>
      </w:r>
      <w:hyperlink w:anchor="SENTENCIA_2012_136" w:history="1">
        <w:r w:rsidRPr="0043655B">
          <w:rPr>
            <w:rStyle w:val="TextoNormalCaracter"/>
          </w:rPr>
          <w:t>136/2012</w:t>
        </w:r>
      </w:hyperlink>
      <w:r>
        <w:t>, f. 3.</w:t>
      </w:r>
    </w:p>
    <w:p w:rsidR="0043655B" w:rsidRDefault="0043655B" w:rsidP="0043655B">
      <w:pPr>
        <w:pStyle w:val="SangriaFrancesaArticulo"/>
      </w:pPr>
      <w:r w:rsidRPr="0043655B">
        <w:rPr>
          <w:rStyle w:val="TextoNormalNegritaCaracter"/>
        </w:rPr>
        <w:t>Artículo 26.</w:t>
      </w:r>
      <w:r w:rsidRPr="0043655B">
        <w:rPr>
          <w:rStyle w:val="TextoNormalCaracter"/>
        </w:rPr>
        <w:t>-</w:t>
      </w:r>
      <w:r>
        <w:t xml:space="preserve"> Sentencia </w:t>
      </w:r>
      <w:hyperlink w:anchor="SENTENCIA_2012_35" w:history="1">
        <w:r w:rsidRPr="0043655B">
          <w:rPr>
            <w:rStyle w:val="TextoNormalCaracter"/>
          </w:rPr>
          <w:t>35/2012</w:t>
        </w:r>
      </w:hyperlink>
      <w:r>
        <w:t>, f. 8.</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35" w:history="1">
        <w:r w:rsidRPr="0043655B">
          <w:rPr>
            <w:rStyle w:val="TextoNormalCaracter"/>
          </w:rPr>
          <w:t>35/2012</w:t>
        </w:r>
      </w:hyperlink>
      <w:r>
        <w:t>, ff. 7, 8.</w:t>
      </w:r>
    </w:p>
    <w:p w:rsidR="0043655B" w:rsidRDefault="0043655B" w:rsidP="0043655B">
      <w:pPr>
        <w:pStyle w:val="SangriaFrancesaArticulo"/>
      </w:pPr>
    </w:p>
    <w:p w:rsidR="0043655B" w:rsidRDefault="0043655B" w:rsidP="0043655B">
      <w:pPr>
        <w:pStyle w:val="TextoNormalNegritaCursivandice"/>
      </w:pPr>
      <w:r>
        <w:t>Ley 24/2001, de 27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5" w:history="1">
        <w:r w:rsidRPr="0043655B">
          <w:rPr>
            <w:rStyle w:val="TextoNormalCaracter"/>
          </w:rPr>
          <w:t>35/2012</w:t>
        </w:r>
      </w:hyperlink>
      <w:r>
        <w:t xml:space="preserve">, f. 8; </w:t>
      </w:r>
      <w:hyperlink w:anchor="SENTENCIA_2012_100" w:history="1">
        <w:r w:rsidRPr="0043655B">
          <w:rPr>
            <w:rStyle w:val="TextoNormalCaracter"/>
          </w:rPr>
          <w:t>100/2012</w:t>
        </w:r>
      </w:hyperlink>
      <w:r>
        <w:t xml:space="preserve">, f. 3; </w:t>
      </w:r>
      <w:hyperlink w:anchor="SENTENCIA_2012_102" w:history="1">
        <w:r w:rsidRPr="0043655B">
          <w:rPr>
            <w:rStyle w:val="TextoNormalCaracter"/>
          </w:rPr>
          <w:t>102/2012</w:t>
        </w:r>
      </w:hyperlink>
      <w:r>
        <w:t xml:space="preserve">, ff. 3, 4; </w:t>
      </w:r>
      <w:hyperlink w:anchor="SENTENCIA_2012_123" w:history="1">
        <w:r w:rsidRPr="0043655B">
          <w:rPr>
            <w:rStyle w:val="TextoNormalCaracter"/>
          </w:rPr>
          <w:t>123/2012</w:t>
        </w:r>
      </w:hyperlink>
      <w:r>
        <w:t>, f. 2.</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Sentencias </w:t>
      </w:r>
      <w:hyperlink w:anchor="SENTENCIA_2012_35" w:history="1">
        <w:r w:rsidRPr="0043655B">
          <w:rPr>
            <w:rStyle w:val="TextoNormalCaracter"/>
          </w:rPr>
          <w:t>35/2012</w:t>
        </w:r>
      </w:hyperlink>
      <w:r>
        <w:t xml:space="preserve">, ff. 1, 4, 7, 8, 10; </w:t>
      </w:r>
      <w:hyperlink w:anchor="SENTENCIA_2012_83" w:history="1">
        <w:r w:rsidRPr="0043655B">
          <w:rPr>
            <w:rStyle w:val="TextoNormalCaracter"/>
          </w:rPr>
          <w:t>83/2012</w:t>
        </w:r>
      </w:hyperlink>
      <w:r>
        <w:t>, f. 1.</w:t>
      </w:r>
    </w:p>
    <w:p w:rsidR="0043655B" w:rsidRDefault="0043655B" w:rsidP="0043655B">
      <w:pPr>
        <w:pStyle w:val="SangriaFrancesaArticulo"/>
      </w:pPr>
      <w:r w:rsidRPr="0043655B">
        <w:rPr>
          <w:rStyle w:val="TextoNormalNegritaCaracter"/>
        </w:rPr>
        <w:t>Artículo 89.</w:t>
      </w:r>
      <w:r w:rsidRPr="0043655B">
        <w:rPr>
          <w:rStyle w:val="TextoNormalCaracter"/>
        </w:rPr>
        <w:t>-</w:t>
      </w:r>
      <w:r>
        <w:t xml:space="preserve"> Sentencia </w:t>
      </w:r>
      <w:hyperlink w:anchor="SENTENCIA_2012_102" w:history="1">
        <w:r w:rsidRPr="0043655B">
          <w:rPr>
            <w:rStyle w:val="TextoNormalCaracter"/>
          </w:rPr>
          <w:t>102/2012</w:t>
        </w:r>
      </w:hyperlink>
      <w:r>
        <w:t>, ff. 1, 3.</w:t>
      </w:r>
    </w:p>
    <w:p w:rsidR="0043655B" w:rsidRDefault="0043655B" w:rsidP="0043655B">
      <w:pPr>
        <w:pStyle w:val="SangriaFrancesaArticulo"/>
      </w:pPr>
      <w:r w:rsidRPr="0043655B">
        <w:rPr>
          <w:rStyle w:val="TextoNormalNegritaCaracter"/>
        </w:rPr>
        <w:t>Artículo 90.</w:t>
      </w:r>
      <w:r w:rsidRPr="0043655B">
        <w:rPr>
          <w:rStyle w:val="TextoNormalCaracter"/>
        </w:rPr>
        <w:t>-</w:t>
      </w:r>
      <w:r>
        <w:t xml:space="preserve"> Sentencia </w:t>
      </w:r>
      <w:hyperlink w:anchor="SENTENCIA_2012_102" w:history="1">
        <w:r w:rsidRPr="0043655B">
          <w:rPr>
            <w:rStyle w:val="TextoNormalCaracter"/>
          </w:rPr>
          <w:t>102/2012</w:t>
        </w:r>
      </w:hyperlink>
      <w:r>
        <w:t>, ff. 1, 3.</w:t>
      </w:r>
    </w:p>
    <w:p w:rsidR="0043655B" w:rsidRDefault="0043655B" w:rsidP="0043655B">
      <w:pPr>
        <w:pStyle w:val="SangriaFrancesaArticulo"/>
      </w:pPr>
      <w:r w:rsidRPr="0043655B">
        <w:rPr>
          <w:rStyle w:val="TextoNormalNegritaCaracter"/>
        </w:rPr>
        <w:t>Disposición adicional vigésima.</w:t>
      </w:r>
      <w:r w:rsidRPr="0043655B">
        <w:rPr>
          <w:rStyle w:val="TextoNormalCaracter"/>
        </w:rPr>
        <w:t>-</w:t>
      </w:r>
      <w:r>
        <w:t xml:space="preserve"> Sentencias </w:t>
      </w:r>
      <w:hyperlink w:anchor="SENTENCIA_2012_35" w:history="1">
        <w:r w:rsidRPr="0043655B">
          <w:rPr>
            <w:rStyle w:val="TextoNormalCaracter"/>
          </w:rPr>
          <w:t>35/2012</w:t>
        </w:r>
      </w:hyperlink>
      <w:r>
        <w:t xml:space="preserve">, ff. 1, 2, 4, 5; </w:t>
      </w:r>
      <w:hyperlink w:anchor="SENTENCIA_2012_83" w:history="1">
        <w:r w:rsidRPr="0043655B">
          <w:rPr>
            <w:rStyle w:val="TextoNormalCaracter"/>
          </w:rPr>
          <w:t>83/2012</w:t>
        </w:r>
      </w:hyperlink>
      <w:r>
        <w:t>, ff. 1, 3.</w:t>
      </w:r>
    </w:p>
    <w:p w:rsidR="0043655B" w:rsidRDefault="0043655B" w:rsidP="0043655B">
      <w:pPr>
        <w:pStyle w:val="SangriaFrancesaArticulo"/>
      </w:pPr>
      <w:r w:rsidRPr="0043655B">
        <w:rPr>
          <w:rStyle w:val="TextoNormalNegritaCaracter"/>
        </w:rPr>
        <w:t>Disposición adicional vigésima</w:t>
      </w:r>
      <w:r>
        <w:t xml:space="preserve"> </w:t>
      </w:r>
      <w:r w:rsidRPr="0043655B">
        <w:rPr>
          <w:rStyle w:val="TextoNormalCaracter"/>
        </w:rPr>
        <w:t>(derogada por la Ley 13/2011, de 27 de mayo)</w:t>
      </w:r>
      <w:r w:rsidRPr="0043655B">
        <w:rPr>
          <w:rStyle w:val="TextoNormalNegritaCaracter"/>
        </w:rPr>
        <w:t>.</w:t>
      </w:r>
      <w:r w:rsidRPr="0043655B">
        <w:rPr>
          <w:rStyle w:val="TextoNormalCaracter"/>
        </w:rPr>
        <w:t>-</w:t>
      </w:r>
      <w:r>
        <w:t xml:space="preserve"> Sentencia </w:t>
      </w:r>
      <w:hyperlink w:anchor="SENTENCIA_2012_35" w:history="1">
        <w:r w:rsidRPr="0043655B">
          <w:rPr>
            <w:rStyle w:val="TextoNormalCaracter"/>
          </w:rPr>
          <w:t>35/2012</w:t>
        </w:r>
      </w:hyperlink>
      <w:r>
        <w:t>, ff. 1, 2, 4, 5.</w:t>
      </w:r>
    </w:p>
    <w:p w:rsidR="0043655B" w:rsidRDefault="0043655B" w:rsidP="0043655B">
      <w:pPr>
        <w:pStyle w:val="SangriaFrancesaArticulo"/>
      </w:pPr>
    </w:p>
    <w:p w:rsidR="0043655B" w:rsidRDefault="0043655B" w:rsidP="0043655B">
      <w:pPr>
        <w:pStyle w:val="TextoNormalNegritaCursivandice"/>
      </w:pPr>
      <w:r>
        <w:t>Ley 1/2002, de 21 de febrero. Coordinación de las competencias del Estado y las Comunidades Autónomas en materia de defensa de la competencia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1" w:history="1">
        <w:r w:rsidRPr="0043655B">
          <w:rPr>
            <w:rStyle w:val="TextoNormalCaracter"/>
          </w:rPr>
          <w:t>71/2012</w:t>
        </w:r>
      </w:hyperlink>
      <w:r>
        <w:t>, ff. 1, 2, VP.</w:t>
      </w:r>
    </w:p>
    <w:p w:rsidR="0043655B" w:rsidRDefault="0043655B" w:rsidP="0043655B">
      <w:pPr>
        <w:pStyle w:val="SangriaFrancesaArticulo"/>
      </w:pPr>
    </w:p>
    <w:p w:rsidR="0043655B" w:rsidRDefault="0043655B" w:rsidP="0043655B">
      <w:pPr>
        <w:pStyle w:val="TextoNormalNegritaCursivandice"/>
      </w:pPr>
      <w:r>
        <w:t>Ley 17/2002, de 1 de julio. Régimen de cesión de tributos del Estado a la Generalidad de Cataluña y de fijación del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p>
    <w:p w:rsidR="0043655B" w:rsidRDefault="0043655B" w:rsidP="0043655B">
      <w:pPr>
        <w:pStyle w:val="TextoNormalNegritaCursivandice"/>
      </w:pPr>
      <w:r>
        <w:t>Ley 46/2002, de 18 de diciembre. Reforma parcial del impuesto sobre la renta de las personas físicas y modificación de las leyes de los impuestos sobre sociedades y sobre la renta de no residentes</w:t>
      </w:r>
    </w:p>
    <w:p w:rsidR="0043655B" w:rsidRDefault="0043655B" w:rsidP="0043655B">
      <w:pPr>
        <w:pStyle w:val="SangriaFrancesaArticulo"/>
      </w:pPr>
      <w:r w:rsidRPr="0043655B">
        <w:rPr>
          <w:rStyle w:val="TextoNormalNegritaCaracter"/>
        </w:rPr>
        <w:t>Exposición de motivos, apartado I.</w:t>
      </w:r>
      <w:r w:rsidRPr="0043655B">
        <w:rPr>
          <w:rStyle w:val="TextoNormalCaracter"/>
        </w:rPr>
        <w:t>-</w:t>
      </w:r>
      <w:r>
        <w:t xml:space="preserve"> Sentencia </w:t>
      </w:r>
      <w:hyperlink w:anchor="SENTENCIA_2012_19" w:history="1">
        <w:r w:rsidRPr="0043655B">
          <w:rPr>
            <w:rStyle w:val="TextoNormalCaracter"/>
          </w:rPr>
          <w:t>19/2012</w:t>
        </w:r>
      </w:hyperlink>
      <w:r>
        <w:t>, f. 3.</w:t>
      </w:r>
    </w:p>
    <w:p w:rsidR="0043655B" w:rsidRDefault="0043655B" w:rsidP="0043655B">
      <w:pPr>
        <w:pStyle w:val="SangriaFrancesaArticulo"/>
      </w:pPr>
    </w:p>
    <w:p w:rsidR="0043655B" w:rsidRDefault="0043655B" w:rsidP="0043655B">
      <w:pPr>
        <w:pStyle w:val="TextoNormalNegritaCursivandice"/>
      </w:pPr>
      <w:r>
        <w:t>Ley 53/2002, de 30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5" w:history="1">
        <w:r w:rsidRPr="0043655B">
          <w:rPr>
            <w:rStyle w:val="TextoNormalCaracter"/>
          </w:rPr>
          <w:t>5/2012</w:t>
        </w:r>
      </w:hyperlink>
      <w:r>
        <w:t xml:space="preserve">, f. 4; </w:t>
      </w:r>
      <w:hyperlink w:anchor="SENTENCIA_2012_20" w:history="1">
        <w:r w:rsidRPr="0043655B">
          <w:rPr>
            <w:rStyle w:val="TextoNormalCaracter"/>
          </w:rPr>
          <w:t>20/2012</w:t>
        </w:r>
      </w:hyperlink>
      <w:r>
        <w:t xml:space="preserve">, ff. 2, 10 a 12; </w:t>
      </w:r>
      <w:hyperlink w:anchor="SENTENCIA_2012_79" w:history="1">
        <w:r w:rsidRPr="0043655B">
          <w:rPr>
            <w:rStyle w:val="TextoNormalCaracter"/>
          </w:rPr>
          <w:t>79/2012</w:t>
        </w:r>
      </w:hyperlink>
      <w:r>
        <w:t xml:space="preserve">, ff. 3, 5, 7; </w:t>
      </w:r>
      <w:hyperlink w:anchor="SENTENCIA_2012_116" w:history="1">
        <w:r w:rsidRPr="0043655B">
          <w:rPr>
            <w:rStyle w:val="TextoNormalCaracter"/>
          </w:rPr>
          <w:t>116/2012</w:t>
        </w:r>
      </w:hyperlink>
      <w:r>
        <w:t xml:space="preserve">, f. 5; </w:t>
      </w:r>
      <w:hyperlink w:anchor="SENTENCIA_2012_125" w:history="1">
        <w:r w:rsidRPr="0043655B">
          <w:rPr>
            <w:rStyle w:val="TextoNormalCaracter"/>
          </w:rPr>
          <w:t>125/2012</w:t>
        </w:r>
      </w:hyperlink>
      <w:r>
        <w:t>, f. 4.</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20" w:history="1">
        <w:r w:rsidRPr="0043655B">
          <w:rPr>
            <w:rStyle w:val="TextoNormalCaracter"/>
          </w:rPr>
          <w:t>20/2012</w:t>
        </w:r>
      </w:hyperlink>
      <w:r>
        <w:t>, f. 2.</w:t>
      </w:r>
    </w:p>
    <w:p w:rsidR="0043655B" w:rsidRDefault="0043655B" w:rsidP="0043655B">
      <w:pPr>
        <w:pStyle w:val="SangriaFrancesaArticulo"/>
      </w:pPr>
      <w:r w:rsidRPr="0043655B">
        <w:rPr>
          <w:rStyle w:val="TextoNormalNegritaCaracter"/>
        </w:rPr>
        <w:t>Artículo 12.1.</w:t>
      </w:r>
      <w:r w:rsidRPr="0043655B">
        <w:rPr>
          <w:rStyle w:val="TextoNormalCaracter"/>
        </w:rPr>
        <w:t>-</w:t>
      </w:r>
      <w:r>
        <w:t xml:space="preserve"> Sentencia </w:t>
      </w:r>
      <w:hyperlink w:anchor="SENTENCIA_2012_35" w:history="1">
        <w:r w:rsidRPr="0043655B">
          <w:rPr>
            <w:rStyle w:val="TextoNormalCaracter"/>
          </w:rPr>
          <w:t>35/2012</w:t>
        </w:r>
      </w:hyperlink>
      <w:r>
        <w:t>, ff. 2, 7.</w:t>
      </w:r>
    </w:p>
    <w:p w:rsidR="0043655B" w:rsidRDefault="0043655B" w:rsidP="0043655B">
      <w:pPr>
        <w:pStyle w:val="SangriaFrancesaArticulo"/>
      </w:pPr>
      <w:r w:rsidRPr="0043655B">
        <w:rPr>
          <w:rStyle w:val="TextoNormalNegritaCaracter"/>
        </w:rPr>
        <w:t>Artículos 12 a 36.</w:t>
      </w:r>
      <w:r w:rsidRPr="0043655B">
        <w:rPr>
          <w:rStyle w:val="TextoNormalCaracter"/>
        </w:rPr>
        <w:t>-</w:t>
      </w:r>
      <w:r>
        <w:t xml:space="preserve"> Sentencia </w:t>
      </w:r>
      <w:hyperlink w:anchor="SENTENCIA_2012_20" w:history="1">
        <w:r w:rsidRPr="0043655B">
          <w:rPr>
            <w:rStyle w:val="TextoNormalCaracter"/>
          </w:rPr>
          <w:t>20/2012</w:t>
        </w:r>
      </w:hyperlink>
      <w:r>
        <w:t>, f. 2.</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Sentencias </w:t>
      </w:r>
      <w:hyperlink w:anchor="SENTENCIA_2012_20" w:history="1">
        <w:r w:rsidRPr="0043655B">
          <w:rPr>
            <w:rStyle w:val="TextoNormalCaracter"/>
          </w:rPr>
          <w:t>20/2012</w:t>
        </w:r>
      </w:hyperlink>
      <w:r>
        <w:t xml:space="preserve">, ff. 1 a 3, 6, 9, 11; </w:t>
      </w:r>
      <w:hyperlink w:anchor="SENTENCIA_2012_79" w:history="1">
        <w:r w:rsidRPr="0043655B">
          <w:rPr>
            <w:rStyle w:val="TextoNormalCaracter"/>
          </w:rPr>
          <w:t>79/2012</w:t>
        </w:r>
      </w:hyperlink>
      <w:r>
        <w:t xml:space="preserve">, ff. 3 a 5, 7; </w:t>
      </w:r>
      <w:hyperlink w:anchor="SENTENCIA_2012_103" w:history="1">
        <w:r w:rsidRPr="0043655B">
          <w:rPr>
            <w:rStyle w:val="TextoNormalCaracter"/>
          </w:rPr>
          <w:t>103/2012</w:t>
        </w:r>
      </w:hyperlink>
      <w:r>
        <w:t xml:space="preserve">, ff. 1, 3, 5; </w:t>
      </w:r>
      <w:hyperlink w:anchor="SENTENCIA_2012_115" w:history="1">
        <w:r w:rsidRPr="0043655B">
          <w:rPr>
            <w:rStyle w:val="TextoNormalCaracter"/>
          </w:rPr>
          <w:t>115/2012</w:t>
        </w:r>
      </w:hyperlink>
      <w:r>
        <w:t xml:space="preserve">, ff. 1, 3; </w:t>
      </w:r>
      <w:hyperlink w:anchor="SENTENCIA_2012_116" w:history="1">
        <w:r w:rsidRPr="0043655B">
          <w:rPr>
            <w:rStyle w:val="TextoNormalCaracter"/>
          </w:rPr>
          <w:t>116/2012</w:t>
        </w:r>
      </w:hyperlink>
      <w:r>
        <w:t xml:space="preserve">, ff. 1, 4 a 7; </w:t>
      </w:r>
      <w:hyperlink w:anchor="SENTENCIA_2012_125" w:history="1">
        <w:r w:rsidRPr="0043655B">
          <w:rPr>
            <w:rStyle w:val="TextoNormalCaracter"/>
          </w:rPr>
          <w:t>125/2012</w:t>
        </w:r>
      </w:hyperlink>
      <w:r>
        <w:t>, f. 4.</w:t>
      </w:r>
    </w:p>
    <w:p w:rsidR="0043655B" w:rsidRDefault="0043655B" w:rsidP="0043655B">
      <w:pPr>
        <w:pStyle w:val="SangriaFrancesaArticulo"/>
      </w:pPr>
      <w:r w:rsidRPr="0043655B">
        <w:rPr>
          <w:rStyle w:val="TextoNormalNegritaCaracter"/>
        </w:rPr>
        <w:t>Artículo 35.1.</w:t>
      </w:r>
      <w:r w:rsidRPr="0043655B">
        <w:rPr>
          <w:rStyle w:val="TextoNormalCaracter"/>
        </w:rPr>
        <w:t>-</w:t>
      </w:r>
      <w:r>
        <w:t xml:space="preserve"> Sentencias </w:t>
      </w:r>
      <w:hyperlink w:anchor="SENTENCIA_2012_20" w:history="1">
        <w:r w:rsidRPr="0043655B">
          <w:rPr>
            <w:rStyle w:val="TextoNormalCaracter"/>
          </w:rPr>
          <w:t>20/2012</w:t>
        </w:r>
      </w:hyperlink>
      <w:r>
        <w:t xml:space="preserve">, f. 3; </w:t>
      </w:r>
      <w:hyperlink w:anchor="SENTENCIA_2012_115" w:history="1">
        <w:r w:rsidRPr="0043655B">
          <w:rPr>
            <w:rStyle w:val="TextoNormalCaracter"/>
          </w:rPr>
          <w:t>115/2012</w:t>
        </w:r>
      </w:hyperlink>
      <w:r>
        <w:t>, f. 4.</w:t>
      </w:r>
    </w:p>
    <w:p w:rsidR="0043655B" w:rsidRDefault="0043655B" w:rsidP="0043655B">
      <w:pPr>
        <w:pStyle w:val="SangriaFrancesaArticulo"/>
      </w:pPr>
      <w:r w:rsidRPr="0043655B">
        <w:rPr>
          <w:rStyle w:val="TextoNormalNegritaCaracter"/>
        </w:rPr>
        <w:t>Artículo 35.1 a).</w:t>
      </w:r>
      <w:r w:rsidRPr="0043655B">
        <w:rPr>
          <w:rStyle w:val="TextoNormalCaracter"/>
        </w:rPr>
        <w:t>-</w:t>
      </w:r>
      <w:r>
        <w:t xml:space="preserve"> Sentencia </w:t>
      </w:r>
      <w:hyperlink w:anchor="SENTENCIA_2012_20" w:history="1">
        <w:r w:rsidRPr="0043655B">
          <w:rPr>
            <w:rStyle w:val="TextoNormalCaracter"/>
          </w:rPr>
          <w:t>20/2012</w:t>
        </w:r>
      </w:hyperlink>
      <w:r>
        <w:t>, ff. 5, 7.</w:t>
      </w:r>
    </w:p>
    <w:p w:rsidR="0043655B" w:rsidRDefault="0043655B" w:rsidP="0043655B">
      <w:pPr>
        <w:pStyle w:val="SangriaFrancesaArticulo"/>
      </w:pPr>
      <w:r w:rsidRPr="0043655B">
        <w:rPr>
          <w:rStyle w:val="TextoNormalNegritaCaracter"/>
        </w:rPr>
        <w:t>Artículo 35.1 b).</w:t>
      </w:r>
      <w:r w:rsidRPr="0043655B">
        <w:rPr>
          <w:rStyle w:val="TextoNormalCaracter"/>
        </w:rPr>
        <w:t>-</w:t>
      </w:r>
      <w:r>
        <w:t xml:space="preserve"> Sentencias </w:t>
      </w:r>
      <w:hyperlink w:anchor="SENTENCIA_2012_20" w:history="1">
        <w:r w:rsidRPr="0043655B">
          <w:rPr>
            <w:rStyle w:val="TextoNormalCaracter"/>
          </w:rPr>
          <w:t>20/2012</w:t>
        </w:r>
      </w:hyperlink>
      <w:r>
        <w:t xml:space="preserve">, f. 5; </w:t>
      </w:r>
      <w:hyperlink w:anchor="SENTENCIA_2012_79" w:history="1">
        <w:r w:rsidRPr="0043655B">
          <w:rPr>
            <w:rStyle w:val="TextoNormalCaracter"/>
          </w:rPr>
          <w:t>79/2012</w:t>
        </w:r>
      </w:hyperlink>
      <w:r>
        <w:t xml:space="preserve">, f. 3; </w:t>
      </w:r>
      <w:hyperlink w:anchor="SENTENCIA_2012_115" w:history="1">
        <w:r w:rsidRPr="0043655B">
          <w:rPr>
            <w:rStyle w:val="TextoNormalCaracter"/>
          </w:rPr>
          <w:t>115/2012</w:t>
        </w:r>
      </w:hyperlink>
      <w:r>
        <w:t>, f. 3.</w:t>
      </w:r>
    </w:p>
    <w:p w:rsidR="0043655B" w:rsidRDefault="0043655B" w:rsidP="0043655B">
      <w:pPr>
        <w:pStyle w:val="SangriaFrancesaArticulo"/>
      </w:pPr>
      <w:r w:rsidRPr="0043655B">
        <w:rPr>
          <w:rStyle w:val="TextoNormalNegritaCaracter"/>
        </w:rPr>
        <w:lastRenderedPageBreak/>
        <w:t>Artículo 35.1.1 b).</w:t>
      </w:r>
      <w:r w:rsidRPr="0043655B">
        <w:rPr>
          <w:rStyle w:val="TextoNormalCaracter"/>
        </w:rPr>
        <w:t>-</w:t>
      </w:r>
      <w:r>
        <w:t xml:space="preserve"> Sentencia </w:t>
      </w:r>
      <w:hyperlink w:anchor="SENTENCIA_2012_115" w:history="1">
        <w:r w:rsidRPr="0043655B">
          <w:rPr>
            <w:rStyle w:val="TextoNormalCaracter"/>
          </w:rPr>
          <w:t>115/2012</w:t>
        </w:r>
      </w:hyperlink>
      <w:r>
        <w:t>, f. 3.</w:t>
      </w:r>
    </w:p>
    <w:p w:rsidR="0043655B" w:rsidRDefault="0043655B" w:rsidP="0043655B">
      <w:pPr>
        <w:pStyle w:val="SangriaFrancesaArticulo"/>
      </w:pPr>
      <w:r w:rsidRPr="0043655B">
        <w:rPr>
          <w:rStyle w:val="TextoNormalNegritaCaracter"/>
        </w:rPr>
        <w:t>Artículo 35.2.</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SangriaFrancesaArticulo"/>
      </w:pPr>
      <w:r w:rsidRPr="0043655B">
        <w:rPr>
          <w:rStyle w:val="TextoNormalNegritaCaracter"/>
        </w:rPr>
        <w:t>Artículo 35.3.</w:t>
      </w:r>
      <w:r w:rsidRPr="0043655B">
        <w:rPr>
          <w:rStyle w:val="TextoNormalCaracter"/>
        </w:rPr>
        <w:t>-</w:t>
      </w:r>
      <w:r>
        <w:t xml:space="preserve"> Sentencia </w:t>
      </w:r>
      <w:hyperlink w:anchor="SENTENCIA_2012_20" w:history="1">
        <w:r w:rsidRPr="0043655B">
          <w:rPr>
            <w:rStyle w:val="TextoNormalCaracter"/>
          </w:rPr>
          <w:t>20/2012</w:t>
        </w:r>
      </w:hyperlink>
      <w:r>
        <w:t>, ff. 3, 9.</w:t>
      </w:r>
    </w:p>
    <w:p w:rsidR="0043655B" w:rsidRDefault="0043655B" w:rsidP="0043655B">
      <w:pPr>
        <w:pStyle w:val="SangriaFrancesaArticulo"/>
      </w:pPr>
      <w:r w:rsidRPr="0043655B">
        <w:rPr>
          <w:rStyle w:val="TextoNormalNegritaCaracter"/>
        </w:rPr>
        <w:t>Artículo 35.4.</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SangriaFrancesaArticulo"/>
      </w:pPr>
      <w:r w:rsidRPr="0043655B">
        <w:rPr>
          <w:rStyle w:val="TextoNormalNegritaCaracter"/>
        </w:rPr>
        <w:t>Artículo 35.5</w:t>
      </w:r>
      <w:r>
        <w:t xml:space="preserve"> </w:t>
      </w:r>
      <w:r w:rsidRPr="0043655B">
        <w:rPr>
          <w:rStyle w:val="TextoNormalCaracter"/>
        </w:rPr>
        <w:t>(redactado por la Ley 37/2011, de 10 de octubre)</w:t>
      </w:r>
      <w:r w:rsidRPr="0043655B">
        <w:rPr>
          <w:rStyle w:val="TextoNormalNegritaCaracter"/>
        </w:rPr>
        <w:t>.</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SangriaFrancesaArticulo"/>
      </w:pPr>
      <w:r w:rsidRPr="0043655B">
        <w:rPr>
          <w:rStyle w:val="TextoNormalNegritaCaracter"/>
        </w:rPr>
        <w:t>Artículo 35.6</w:t>
      </w:r>
      <w:r>
        <w:t xml:space="preserve"> </w:t>
      </w:r>
      <w:r w:rsidRPr="0043655B">
        <w:rPr>
          <w:rStyle w:val="TextoNormalCaracter"/>
        </w:rPr>
        <w:t>(redactado por la Ley 37/2011, de 10 de octubre)</w:t>
      </w:r>
      <w:r w:rsidRPr="0043655B">
        <w:rPr>
          <w:rStyle w:val="TextoNormalNegritaCaracter"/>
        </w:rPr>
        <w:t>.</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SangriaFrancesaArticulo"/>
      </w:pPr>
      <w:r w:rsidRPr="0043655B">
        <w:rPr>
          <w:rStyle w:val="TextoNormalNegritaCaracter"/>
        </w:rPr>
        <w:t>Artículo 35.7.</w:t>
      </w:r>
      <w:r w:rsidRPr="0043655B">
        <w:rPr>
          <w:rStyle w:val="TextoNormalCaracter"/>
        </w:rPr>
        <w:t>-</w:t>
      </w:r>
      <w:r>
        <w:t xml:space="preserve"> Sentencias </w:t>
      </w:r>
      <w:hyperlink w:anchor="SENTENCIA_2012_20" w:history="1">
        <w:r w:rsidRPr="0043655B">
          <w:rPr>
            <w:rStyle w:val="TextoNormalCaracter"/>
          </w:rPr>
          <w:t>20/2012</w:t>
        </w:r>
      </w:hyperlink>
      <w:r>
        <w:t xml:space="preserve">, ff. 1, 3 a 7, 12; </w:t>
      </w:r>
      <w:hyperlink w:anchor="SENTENCIA_2012_79" w:history="1">
        <w:r w:rsidRPr="0043655B">
          <w:rPr>
            <w:rStyle w:val="TextoNormalCaracter"/>
          </w:rPr>
          <w:t>79/2012</w:t>
        </w:r>
      </w:hyperlink>
      <w:r>
        <w:t xml:space="preserve">, ff. 1, 3; </w:t>
      </w:r>
      <w:hyperlink w:anchor="SENTENCIA_2012_85" w:history="1">
        <w:r w:rsidRPr="0043655B">
          <w:rPr>
            <w:rStyle w:val="TextoNormalCaracter"/>
          </w:rPr>
          <w:t>85/2012</w:t>
        </w:r>
      </w:hyperlink>
      <w:r>
        <w:t xml:space="preserve">, f. 1; </w:t>
      </w:r>
      <w:hyperlink w:anchor="SENTENCIA_2012_116" w:history="1">
        <w:r w:rsidRPr="0043655B">
          <w:rPr>
            <w:rStyle w:val="TextoNormalCaracter"/>
          </w:rPr>
          <w:t>116/2012</w:t>
        </w:r>
      </w:hyperlink>
      <w:r>
        <w:t>, ff. 6, 7.</w:t>
      </w:r>
    </w:p>
    <w:p w:rsidR="0043655B" w:rsidRDefault="0043655B" w:rsidP="0043655B">
      <w:pPr>
        <w:pStyle w:val="SangriaFrancesaArticulo"/>
      </w:pPr>
      <w:r w:rsidRPr="0043655B">
        <w:rPr>
          <w:rStyle w:val="TextoNormalNegritaCaracter"/>
        </w:rPr>
        <w:t>Artículo 35.7 párrafo 2.</w:t>
      </w:r>
      <w:r w:rsidRPr="0043655B">
        <w:rPr>
          <w:rStyle w:val="TextoNormalCaracter"/>
        </w:rPr>
        <w:t>-</w:t>
      </w:r>
      <w:r>
        <w:t xml:space="preserve"> Sentencias </w:t>
      </w:r>
      <w:hyperlink w:anchor="SENTENCIA_2012_20" w:history="1">
        <w:r w:rsidRPr="0043655B">
          <w:rPr>
            <w:rStyle w:val="TextoNormalCaracter"/>
          </w:rPr>
          <w:t>20/2012</w:t>
        </w:r>
      </w:hyperlink>
      <w:r>
        <w:t xml:space="preserve">, ff. 1, 3 a 7, 12; </w:t>
      </w:r>
      <w:hyperlink w:anchor="SENTENCIA_2012_85" w:history="1">
        <w:r w:rsidRPr="0043655B">
          <w:rPr>
            <w:rStyle w:val="TextoNormalCaracter"/>
          </w:rPr>
          <w:t>85/2012</w:t>
        </w:r>
      </w:hyperlink>
      <w:r>
        <w:t>, f. 2.</w:t>
      </w:r>
    </w:p>
    <w:p w:rsidR="0043655B" w:rsidRDefault="0043655B" w:rsidP="0043655B">
      <w:pPr>
        <w:pStyle w:val="SangriaFrancesaArticulo"/>
      </w:pPr>
      <w:r w:rsidRPr="0043655B">
        <w:rPr>
          <w:rStyle w:val="TextoNormalNegritaCaracter"/>
        </w:rPr>
        <w:t>Artículo 35.7.1.</w:t>
      </w:r>
      <w:r w:rsidRPr="0043655B">
        <w:rPr>
          <w:rStyle w:val="TextoNormalCaracter"/>
        </w:rPr>
        <w:t>-</w:t>
      </w:r>
      <w:r>
        <w:t xml:space="preserve"> Sentencia </w:t>
      </w:r>
      <w:hyperlink w:anchor="SENTENCIA_2012_116" w:history="1">
        <w:r w:rsidRPr="0043655B">
          <w:rPr>
            <w:rStyle w:val="TextoNormalCaracter"/>
          </w:rPr>
          <w:t>116/2012</w:t>
        </w:r>
      </w:hyperlink>
      <w:r>
        <w:t>, f. 7.</w:t>
      </w:r>
    </w:p>
    <w:p w:rsidR="0043655B" w:rsidRDefault="0043655B" w:rsidP="0043655B">
      <w:pPr>
        <w:pStyle w:val="SangriaFrancesaArticulo"/>
      </w:pPr>
      <w:r w:rsidRPr="0043655B">
        <w:rPr>
          <w:rStyle w:val="TextoNormalNegritaCaracter"/>
        </w:rPr>
        <w:t>Artículo 35.7.2.</w:t>
      </w:r>
      <w:r w:rsidRPr="0043655B">
        <w:rPr>
          <w:rStyle w:val="TextoNormalCaracter"/>
        </w:rPr>
        <w:t>-</w:t>
      </w:r>
      <w:r>
        <w:t xml:space="preserve"> Sentencias </w:t>
      </w:r>
      <w:hyperlink w:anchor="SENTENCIA_2012_79" w:history="1">
        <w:r w:rsidRPr="0043655B">
          <w:rPr>
            <w:rStyle w:val="TextoNormalCaracter"/>
          </w:rPr>
          <w:t>79/2012</w:t>
        </w:r>
      </w:hyperlink>
      <w:r>
        <w:t xml:space="preserve">, ff. 2, 4, 6, 8; </w:t>
      </w:r>
      <w:hyperlink w:anchor="SENTENCIA_2012_103" w:history="1">
        <w:r w:rsidRPr="0043655B">
          <w:rPr>
            <w:rStyle w:val="TextoNormalCaracter"/>
          </w:rPr>
          <w:t>103/2012</w:t>
        </w:r>
      </w:hyperlink>
      <w:r>
        <w:t xml:space="preserve">, ff. 1, 4; </w:t>
      </w:r>
      <w:hyperlink w:anchor="SENTENCIA_2012_104" w:history="1">
        <w:r w:rsidRPr="0043655B">
          <w:rPr>
            <w:rStyle w:val="TextoNormalCaracter"/>
          </w:rPr>
          <w:t>104/2012</w:t>
        </w:r>
      </w:hyperlink>
      <w:r>
        <w:t xml:space="preserve">, f. 1; </w:t>
      </w:r>
      <w:hyperlink w:anchor="SENTENCIA_2012_115" w:history="1">
        <w:r w:rsidRPr="0043655B">
          <w:rPr>
            <w:rStyle w:val="TextoNormalCaracter"/>
          </w:rPr>
          <w:t>115/2012</w:t>
        </w:r>
      </w:hyperlink>
      <w:r>
        <w:t xml:space="preserve">, f. 3; </w:t>
      </w:r>
      <w:hyperlink w:anchor="SENTENCIA_2012_116" w:history="1">
        <w:r w:rsidRPr="0043655B">
          <w:rPr>
            <w:rStyle w:val="TextoNormalCaracter"/>
          </w:rPr>
          <w:t>116/2012</w:t>
        </w:r>
      </w:hyperlink>
      <w:r>
        <w:t xml:space="preserve">, ff. 6, 7; </w:t>
      </w:r>
      <w:hyperlink w:anchor="SENTENCIA_2012_125" w:history="1">
        <w:r w:rsidRPr="0043655B">
          <w:rPr>
            <w:rStyle w:val="TextoNormalCaracter"/>
          </w:rPr>
          <w:t>125/2012</w:t>
        </w:r>
      </w:hyperlink>
      <w:r>
        <w:t>, ff. 1 a 3, 5.</w:t>
      </w:r>
    </w:p>
    <w:p w:rsidR="0043655B" w:rsidRDefault="0043655B" w:rsidP="0043655B">
      <w:pPr>
        <w:pStyle w:val="SangriaFrancesaArticulo"/>
      </w:pPr>
      <w:r w:rsidRPr="0043655B">
        <w:rPr>
          <w:rStyle w:val="TextoNormalNegritaCaracter"/>
        </w:rPr>
        <w:t>Artículo 35.8.</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SangriaFrancesaArticulo"/>
      </w:pPr>
      <w:r w:rsidRPr="0043655B">
        <w:rPr>
          <w:rStyle w:val="TextoNormalNegritaCaracter"/>
        </w:rPr>
        <w:t>Artículo 35.9.</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SangriaFrancesaArticulo"/>
      </w:pPr>
      <w:r w:rsidRPr="0043655B">
        <w:rPr>
          <w:rStyle w:val="TextoNormalNegritaCaracter"/>
        </w:rPr>
        <w:t>Artículo 120.7.</w:t>
      </w:r>
      <w:r w:rsidRPr="0043655B">
        <w:rPr>
          <w:rStyle w:val="TextoNormalCaracter"/>
        </w:rPr>
        <w:t>-</w:t>
      </w:r>
      <w:r>
        <w:t xml:space="preserve"> Sentencia </w:t>
      </w:r>
      <w:hyperlink w:anchor="SENTENCIA_2012_87" w:history="1">
        <w:r w:rsidRPr="0043655B">
          <w:rPr>
            <w:rStyle w:val="TextoNormalCaracter"/>
          </w:rPr>
          <w:t>87/2012</w:t>
        </w:r>
      </w:hyperlink>
      <w:r>
        <w:t>, f. 4.</w:t>
      </w:r>
    </w:p>
    <w:p w:rsidR="0043655B" w:rsidRDefault="0043655B" w:rsidP="0043655B">
      <w:pPr>
        <w:pStyle w:val="SangriaFrancesaArticulo"/>
      </w:pPr>
    </w:p>
    <w:p w:rsidR="0043655B" w:rsidRDefault="0043655B" w:rsidP="0043655B">
      <w:pPr>
        <w:pStyle w:val="TextoNormalNegritaCursivandice"/>
      </w:pPr>
      <w:r>
        <w:t>Ley 16/2003, de 28 de mayo. Cohesión y calidad del sistema nacional de salud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2" w:history="1">
        <w:r w:rsidRPr="0043655B">
          <w:rPr>
            <w:rStyle w:val="TextoNormalCaracter"/>
          </w:rPr>
          <w:t>22/2012</w:t>
        </w:r>
      </w:hyperlink>
      <w:r>
        <w:t xml:space="preserve">, f. 5; </w:t>
      </w:r>
      <w:hyperlink w:anchor="SENTENCIA_2012_136" w:history="1">
        <w:r w:rsidRPr="0043655B">
          <w:rPr>
            <w:rStyle w:val="TextoNormalCaracter"/>
          </w:rPr>
          <w:t>136/2012</w:t>
        </w:r>
      </w:hyperlink>
      <w:r>
        <w:t>, ff. 1, 2, 4, 6.</w:t>
      </w:r>
    </w:p>
    <w:p w:rsidR="0043655B" w:rsidRDefault="0043655B" w:rsidP="0043655B">
      <w:pPr>
        <w:pStyle w:val="SangriaFrancesaArticulo"/>
      </w:pPr>
      <w:r w:rsidRPr="0043655B">
        <w:rPr>
          <w:rStyle w:val="TextoNormalNegritaCaracter"/>
        </w:rPr>
        <w:t>Capítulo XI.</w:t>
      </w:r>
      <w:r w:rsidRPr="0043655B">
        <w:rPr>
          <w:rStyle w:val="TextoNormalCaracter"/>
        </w:rPr>
        <w:t>-</w:t>
      </w:r>
      <w:r>
        <w:t xml:space="preserve"> Sentencia </w:t>
      </w:r>
      <w:hyperlink w:anchor="SENTENCIA_2012_22" w:history="1">
        <w:r w:rsidRPr="0043655B">
          <w:rPr>
            <w:rStyle w:val="TextoNormalCaracter"/>
          </w:rPr>
          <w:t>22/2012</w:t>
        </w:r>
      </w:hyperlink>
      <w:r>
        <w:t>, f. 3.</w:t>
      </w:r>
    </w:p>
    <w:p w:rsidR="0043655B" w:rsidRDefault="0043655B" w:rsidP="0043655B">
      <w:pPr>
        <w:pStyle w:val="SangriaFrancesaArticulo"/>
      </w:pPr>
      <w:r w:rsidRPr="0043655B">
        <w:rPr>
          <w:rStyle w:val="TextoNormalNegritaCaracter"/>
        </w:rPr>
        <w:t>Artículo 2 e).</w:t>
      </w:r>
      <w:r w:rsidRPr="0043655B">
        <w:rPr>
          <w:rStyle w:val="TextoNormalCaracter"/>
        </w:rPr>
        <w:t>-</w:t>
      </w:r>
      <w:r>
        <w:t xml:space="preserve"> Sentencia </w:t>
      </w:r>
      <w:hyperlink w:anchor="SENTENCIA_2012_136" w:history="1">
        <w:r w:rsidRPr="0043655B">
          <w:rPr>
            <w:rStyle w:val="TextoNormalCaracter"/>
          </w:rPr>
          <w:t>136/2012</w:t>
        </w:r>
      </w:hyperlink>
      <w:r>
        <w:t>, ff. 4, 5.</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36" w:history="1">
        <w:r w:rsidRPr="0043655B">
          <w:rPr>
            <w:rStyle w:val="TextoNormalCaracter"/>
          </w:rPr>
          <w:t>136/2012</w:t>
        </w:r>
      </w:hyperlink>
      <w:r>
        <w:t>, ff. 4, 5, 7.</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3.6 párrafo 2.</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136" w:history="1">
        <w:r w:rsidRPr="0043655B">
          <w:rPr>
            <w:rStyle w:val="TextoNormalCaracter"/>
          </w:rPr>
          <w:t>136/2012</w:t>
        </w:r>
      </w:hyperlink>
      <w:r>
        <w:t>, ff. 4, 5, 7.</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136" w:history="1">
        <w:r w:rsidRPr="0043655B">
          <w:rPr>
            <w:rStyle w:val="TextoNormalCaracter"/>
          </w:rPr>
          <w:t>136/2012</w:t>
        </w:r>
      </w:hyperlink>
      <w:r>
        <w:t>, ff. 4, 5, 7.</w:t>
      </w:r>
    </w:p>
    <w:p w:rsidR="0043655B" w:rsidRDefault="0043655B" w:rsidP="0043655B">
      <w:pPr>
        <w:pStyle w:val="SangriaFrancesaArticulo"/>
      </w:pPr>
      <w:r w:rsidRPr="0043655B">
        <w:rPr>
          <w:rStyle w:val="TextoNormalNegritaCaracter"/>
        </w:rPr>
        <w:t>Artículo 8 bis.</w:t>
      </w:r>
      <w:r w:rsidRPr="0043655B">
        <w:rPr>
          <w:rStyle w:val="TextoNormalCaracter"/>
        </w:rPr>
        <w:t>-</w:t>
      </w:r>
      <w:r>
        <w:t xml:space="preserve"> Sentencia </w:t>
      </w:r>
      <w:hyperlink w:anchor="SENTENCIA_2012_136" w:history="1">
        <w:r w:rsidRPr="0043655B">
          <w:rPr>
            <w:rStyle w:val="TextoNormalCaracter"/>
          </w:rPr>
          <w:t>136/2012</w:t>
        </w:r>
      </w:hyperlink>
      <w:r>
        <w:t>, ff. 4, 5, 7.</w:t>
      </w:r>
    </w:p>
    <w:p w:rsidR="0043655B" w:rsidRDefault="0043655B" w:rsidP="0043655B">
      <w:pPr>
        <w:pStyle w:val="SangriaFrancesaArticulo"/>
      </w:pPr>
      <w:r w:rsidRPr="0043655B">
        <w:rPr>
          <w:rStyle w:val="TextoNormalNegritaCaracter"/>
        </w:rPr>
        <w:t>Artículo 8 bis 1.</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8 quater.</w:t>
      </w:r>
      <w:r w:rsidRPr="0043655B">
        <w:rPr>
          <w:rStyle w:val="TextoNormalCaracter"/>
        </w:rPr>
        <w:t>-</w:t>
      </w:r>
      <w:r>
        <w:t xml:space="preserve"> Sentencia </w:t>
      </w:r>
      <w:hyperlink w:anchor="SENTENCIA_2012_136" w:history="1">
        <w:r w:rsidRPr="0043655B">
          <w:rPr>
            <w:rStyle w:val="TextoNormalCaracter"/>
          </w:rPr>
          <w:t>136/2012</w:t>
        </w:r>
      </w:hyperlink>
      <w:r>
        <w:t>, ff. 4, 5, 7.</w:t>
      </w:r>
    </w:p>
    <w:p w:rsidR="0043655B" w:rsidRDefault="0043655B" w:rsidP="0043655B">
      <w:pPr>
        <w:pStyle w:val="SangriaFrancesaArticulo"/>
      </w:pPr>
      <w:r w:rsidRPr="0043655B">
        <w:rPr>
          <w:rStyle w:val="TextoNormalNegritaCaracter"/>
        </w:rPr>
        <w:t>Artículo 8 quinquies.</w:t>
      </w:r>
      <w:r w:rsidRPr="0043655B">
        <w:rPr>
          <w:rStyle w:val="TextoNormalCaracter"/>
        </w:rPr>
        <w:t>-</w:t>
      </w:r>
      <w:r>
        <w:t xml:space="preserve"> Sentencia </w:t>
      </w:r>
      <w:hyperlink w:anchor="SENTENCIA_2012_136" w:history="1">
        <w:r w:rsidRPr="0043655B">
          <w:rPr>
            <w:rStyle w:val="TextoNormalCaracter"/>
          </w:rPr>
          <w:t>136/2012</w:t>
        </w:r>
      </w:hyperlink>
      <w:r>
        <w:t>, f. 5.</w:t>
      </w:r>
    </w:p>
    <w:p w:rsidR="0043655B" w:rsidRDefault="0043655B" w:rsidP="0043655B">
      <w:pPr>
        <w:pStyle w:val="SangriaFrancesaArticulo"/>
      </w:pPr>
      <w:r w:rsidRPr="0043655B">
        <w:rPr>
          <w:rStyle w:val="TextoNormalNegritaCaracter"/>
        </w:rPr>
        <w:t>Artículo 8 quinquies 1.</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8 ter.</w:t>
      </w:r>
      <w:r w:rsidRPr="0043655B">
        <w:rPr>
          <w:rStyle w:val="TextoNormalCaracter"/>
        </w:rPr>
        <w:t>-</w:t>
      </w:r>
      <w:r>
        <w:t xml:space="preserve"> Sentencia </w:t>
      </w:r>
      <w:hyperlink w:anchor="SENTENCIA_2012_136" w:history="1">
        <w:r w:rsidRPr="0043655B">
          <w:rPr>
            <w:rStyle w:val="TextoNormalCaracter"/>
          </w:rPr>
          <w:t>136/2012</w:t>
        </w:r>
      </w:hyperlink>
      <w:r>
        <w:t>, ff. 4, 5, 7.</w:t>
      </w:r>
    </w:p>
    <w:p w:rsidR="0043655B" w:rsidRDefault="0043655B" w:rsidP="0043655B">
      <w:pPr>
        <w:pStyle w:val="SangriaFrancesaArticulo"/>
      </w:pPr>
      <w:r w:rsidRPr="0043655B">
        <w:rPr>
          <w:rStyle w:val="TextoNormalNegritaCaracter"/>
        </w:rPr>
        <w:t>Artículo 8.3.</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10.1.</w:t>
      </w:r>
      <w:r w:rsidRPr="0043655B">
        <w:rPr>
          <w:rStyle w:val="TextoNormalCaracter"/>
        </w:rPr>
        <w:t>-</w:t>
      </w:r>
      <w:r>
        <w:t xml:space="preserve"> Sentencia </w:t>
      </w:r>
      <w:hyperlink w:anchor="SENTENCIA_2012_136" w:history="1">
        <w:r w:rsidRPr="0043655B">
          <w:rPr>
            <w:rStyle w:val="TextoNormalCaracter"/>
          </w:rPr>
          <w:t>136/2012</w:t>
        </w:r>
      </w:hyperlink>
      <w:r>
        <w:t>, ff. 6, 8.</w:t>
      </w:r>
    </w:p>
    <w:p w:rsidR="0043655B" w:rsidRDefault="0043655B" w:rsidP="0043655B">
      <w:pPr>
        <w:pStyle w:val="SangriaFrancesaArticulo"/>
      </w:pPr>
      <w:r w:rsidRPr="0043655B">
        <w:rPr>
          <w:rStyle w:val="TextoNormalNegritaCaracter"/>
        </w:rPr>
        <w:t>Disposición adicional cuarta.</w:t>
      </w:r>
      <w:r w:rsidRPr="0043655B">
        <w:rPr>
          <w:rStyle w:val="TextoNormalCaracter"/>
        </w:rPr>
        <w:t>-</w:t>
      </w:r>
      <w:r>
        <w:t xml:space="preserve"> Sentencia </w:t>
      </w:r>
      <w:hyperlink w:anchor="SENTENCIA_2012_136" w:history="1">
        <w:r w:rsidRPr="0043655B">
          <w:rPr>
            <w:rStyle w:val="TextoNormalCaracter"/>
          </w:rPr>
          <w:t>136/2012</w:t>
        </w:r>
      </w:hyperlink>
      <w:r>
        <w:t>, f. 5.</w:t>
      </w:r>
    </w:p>
    <w:p w:rsidR="0043655B" w:rsidRDefault="0043655B" w:rsidP="0043655B">
      <w:pPr>
        <w:pStyle w:val="SangriaFrancesaArticulo"/>
      </w:pPr>
      <w:r w:rsidRPr="0043655B">
        <w:rPr>
          <w:rStyle w:val="TextoNormalNegritaCaracter"/>
        </w:rPr>
        <w:t>Disposición adicional cuarta, apartado 1</w:t>
      </w:r>
      <w:r>
        <w:t xml:space="preserve"> </w:t>
      </w:r>
      <w:r w:rsidRPr="0043655B">
        <w:rPr>
          <w:rStyle w:val="TextoNormalCaracter"/>
        </w:rPr>
        <w:t>(redactada por la Ley 33/2011, de 4 de octubre)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p>
    <w:p w:rsidR="0043655B" w:rsidRDefault="0043655B" w:rsidP="0043655B">
      <w:pPr>
        <w:pStyle w:val="TextoNormalNegritaCursivandice"/>
      </w:pPr>
      <w:r>
        <w:t>Ley 24/2003, de 10 de julio. De la viña y del vino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r w:rsidRPr="0043655B">
        <w:rPr>
          <w:rStyle w:val="TextoNormalNegritaCaracter"/>
        </w:rPr>
        <w:t>Artículo 40.2 d).</w:t>
      </w:r>
      <w:r w:rsidRPr="0043655B">
        <w:rPr>
          <w:rStyle w:val="TextoNormalCaracter"/>
        </w:rPr>
        <w:t>-</w:t>
      </w:r>
      <w:r>
        <w:t xml:space="preserve"> Sentencias </w:t>
      </w:r>
      <w:hyperlink w:anchor="SENTENCIA_2012_90" w:history="1">
        <w:r w:rsidRPr="0043655B">
          <w:rPr>
            <w:rStyle w:val="TextoNormalCaracter"/>
          </w:rPr>
          <w:t>90/2012</w:t>
        </w:r>
      </w:hyperlink>
      <w:r>
        <w:t xml:space="preserve">, ff. 1, 3, 5, 6; </w:t>
      </w:r>
      <w:hyperlink w:anchor="SENTENCIA_2012_109" w:history="1">
        <w:r w:rsidRPr="0043655B">
          <w:rPr>
            <w:rStyle w:val="TextoNormalCaracter"/>
          </w:rPr>
          <w:t>109/2012</w:t>
        </w:r>
      </w:hyperlink>
      <w:r>
        <w:t xml:space="preserve">, ff. 1, 3; </w:t>
      </w:r>
      <w:hyperlink w:anchor="SENTENCIA_2012_127" w:history="1">
        <w:r w:rsidRPr="0043655B">
          <w:rPr>
            <w:rStyle w:val="TextoNormalCaracter"/>
          </w:rPr>
          <w:t>127/2012</w:t>
        </w:r>
      </w:hyperlink>
      <w:r>
        <w:t>, ff. 1, 3.</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Sentencias </w:t>
      </w:r>
      <w:hyperlink w:anchor="SENTENCIA_2012_90" w:history="1">
        <w:r w:rsidRPr="0043655B">
          <w:rPr>
            <w:rStyle w:val="TextoNormalCaracter"/>
          </w:rPr>
          <w:t>90/2012</w:t>
        </w:r>
      </w:hyperlink>
      <w:r>
        <w:t xml:space="preserve">, f. 5; </w:t>
      </w:r>
      <w:hyperlink w:anchor="SENTENCIA_2012_109" w:history="1">
        <w:r w:rsidRPr="0043655B">
          <w:rPr>
            <w:rStyle w:val="TextoNormalCaracter"/>
          </w:rPr>
          <w:t>109/2012</w:t>
        </w:r>
      </w:hyperlink>
      <w:r>
        <w:t xml:space="preserve">, f. 3; </w:t>
      </w:r>
      <w:hyperlink w:anchor="SENTENCIA_2012_127" w:history="1">
        <w:r w:rsidRPr="0043655B">
          <w:rPr>
            <w:rStyle w:val="TextoNormalCaracter"/>
          </w:rPr>
          <w:t>127/2012</w:t>
        </w:r>
      </w:hyperlink>
      <w:r>
        <w:t>, f. 3.</w:t>
      </w:r>
    </w:p>
    <w:p w:rsidR="0043655B" w:rsidRDefault="0043655B" w:rsidP="0043655B">
      <w:pPr>
        <w:pStyle w:val="SangriaFrancesaArticulo"/>
      </w:pPr>
      <w:r w:rsidRPr="0043655B">
        <w:rPr>
          <w:rStyle w:val="TextoNormalNegritaCaracter"/>
        </w:rPr>
        <w:t>Disposición final segunda apartado 2.</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p>
    <w:p w:rsidR="0043655B" w:rsidRDefault="0043655B" w:rsidP="0043655B">
      <w:pPr>
        <w:pStyle w:val="TextoNormalNegritaCursivandice"/>
      </w:pPr>
      <w:r>
        <w:lastRenderedPageBreak/>
        <w:t>Ley 32/2003, de 3 de noviembre. General de telecomunicaciones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5" w:history="1">
        <w:r w:rsidRPr="0043655B">
          <w:rPr>
            <w:rStyle w:val="TextoNormalCaracter"/>
          </w:rPr>
          <w:t>5/2012</w:t>
        </w:r>
      </w:hyperlink>
      <w:r>
        <w:t xml:space="preserve">, f. 4; </w:t>
      </w:r>
      <w:hyperlink w:anchor="SENTENCIA_2012_8" w:history="1">
        <w:r w:rsidRPr="0043655B">
          <w:rPr>
            <w:rStyle w:val="TextoNormalCaracter"/>
          </w:rPr>
          <w:t>8/2012</w:t>
        </w:r>
      </w:hyperlink>
      <w:r>
        <w:t>, ff. 2, 6, 9.</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3 f).</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8" w:history="1">
        <w:r w:rsidRPr="0043655B">
          <w:rPr>
            <w:rStyle w:val="TextoNormalCaracter"/>
          </w:rPr>
          <w:t>8/2012</w:t>
        </w:r>
      </w:hyperlink>
      <w:r>
        <w:t>, f. 5.</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26.</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27.</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8" w:history="1">
        <w:r w:rsidRPr="0043655B">
          <w:rPr>
            <w:rStyle w:val="TextoNormalCaracter"/>
          </w:rPr>
          <w:t>8/2012</w:t>
        </w:r>
      </w:hyperlink>
      <w:r>
        <w:t>, ff. 7, 8.</w:t>
      </w:r>
    </w:p>
    <w:p w:rsidR="0043655B" w:rsidRDefault="0043655B" w:rsidP="0043655B">
      <w:pPr>
        <w:pStyle w:val="SangriaFrancesaArticulo"/>
      </w:pPr>
      <w:r w:rsidRPr="0043655B">
        <w:rPr>
          <w:rStyle w:val="TextoNormalNegritaCaracter"/>
        </w:rPr>
        <w:t>Artículo 29.</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29.1.</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29.2 d).</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30.</w:t>
      </w:r>
      <w:r w:rsidRPr="0043655B">
        <w:rPr>
          <w:rStyle w:val="TextoNormalCaracter"/>
        </w:rPr>
        <w:t>-</w:t>
      </w:r>
      <w:r>
        <w:t xml:space="preserve"> Sentencia </w:t>
      </w:r>
      <w:hyperlink w:anchor="SENTENCIA_2012_8" w:history="1">
        <w:r w:rsidRPr="0043655B">
          <w:rPr>
            <w:rStyle w:val="TextoNormalCaracter"/>
          </w:rPr>
          <w:t>8/2012</w:t>
        </w:r>
      </w:hyperlink>
      <w:r>
        <w:t>, f. 9.</w:t>
      </w:r>
    </w:p>
    <w:p w:rsidR="0043655B" w:rsidRDefault="0043655B" w:rsidP="0043655B">
      <w:pPr>
        <w:pStyle w:val="SangriaFrancesaArticulo"/>
      </w:pPr>
      <w:r w:rsidRPr="0043655B">
        <w:rPr>
          <w:rStyle w:val="TextoNormalNegritaCaracter"/>
        </w:rPr>
        <w:t>Artículo 30.1.</w:t>
      </w:r>
      <w:r w:rsidRPr="0043655B">
        <w:rPr>
          <w:rStyle w:val="TextoNormalCaracter"/>
        </w:rPr>
        <w:t>-</w:t>
      </w:r>
      <w:r>
        <w:t xml:space="preserve"> Sentencia </w:t>
      </w:r>
      <w:hyperlink w:anchor="SENTENCIA_2012_8" w:history="1">
        <w:r w:rsidRPr="0043655B">
          <w:rPr>
            <w:rStyle w:val="TextoNormalCaracter"/>
          </w:rPr>
          <w:t>8/2012</w:t>
        </w:r>
      </w:hyperlink>
      <w:r>
        <w:t>, f. 9.</w:t>
      </w:r>
    </w:p>
    <w:p w:rsidR="0043655B" w:rsidRDefault="0043655B" w:rsidP="0043655B">
      <w:pPr>
        <w:pStyle w:val="SangriaFrancesaArticulo"/>
      </w:pPr>
      <w:r w:rsidRPr="0043655B">
        <w:rPr>
          <w:rStyle w:val="TextoNormalNegritaCaracter"/>
        </w:rPr>
        <w:t>Artículo 30.2.</w:t>
      </w:r>
      <w:r w:rsidRPr="0043655B">
        <w:rPr>
          <w:rStyle w:val="TextoNormalCaracter"/>
        </w:rPr>
        <w:t>-</w:t>
      </w:r>
      <w:r>
        <w:t xml:space="preserve"> Sentencia </w:t>
      </w:r>
      <w:hyperlink w:anchor="SENTENCIA_2012_8" w:history="1">
        <w:r w:rsidRPr="0043655B">
          <w:rPr>
            <w:rStyle w:val="TextoNormalCaracter"/>
          </w:rPr>
          <w:t>8/2012</w:t>
        </w:r>
      </w:hyperlink>
      <w:r>
        <w:t>, f. 9.</w:t>
      </w:r>
    </w:p>
    <w:p w:rsidR="0043655B" w:rsidRDefault="0043655B" w:rsidP="0043655B">
      <w:pPr>
        <w:pStyle w:val="SangriaFrancesaArticulo"/>
      </w:pPr>
      <w:r w:rsidRPr="0043655B">
        <w:rPr>
          <w:rStyle w:val="TextoNormalNegritaCaracter"/>
        </w:rPr>
        <w:t>Artículo 30.3.</w:t>
      </w:r>
      <w:r w:rsidRPr="0043655B">
        <w:rPr>
          <w:rStyle w:val="TextoNormalCaracter"/>
        </w:rPr>
        <w:t>-</w:t>
      </w:r>
      <w:r>
        <w:t xml:space="preserve"> Sentencia </w:t>
      </w:r>
      <w:hyperlink w:anchor="SENTENCIA_2012_8" w:history="1">
        <w:r w:rsidRPr="0043655B">
          <w:rPr>
            <w:rStyle w:val="TextoNormalCaracter"/>
          </w:rPr>
          <w:t>8/2012</w:t>
        </w:r>
      </w:hyperlink>
      <w:r>
        <w:t>, f. 9.</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44.1.</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44.1 c).</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50.</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50.2.</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53 a).</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65.</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p>
    <w:p w:rsidR="0043655B" w:rsidRDefault="0043655B" w:rsidP="0043655B">
      <w:pPr>
        <w:pStyle w:val="TextoNormalNegritaCursivandice"/>
      </w:pPr>
      <w:r>
        <w:t>Ley 33/2003, de 3 de noviembre. Patrimonio de las Administraciones públicas</w:t>
      </w:r>
    </w:p>
    <w:p w:rsidR="0043655B" w:rsidRDefault="0043655B" w:rsidP="0043655B">
      <w:pPr>
        <w:pStyle w:val="SangriaFrancesaArticulo"/>
      </w:pPr>
      <w:r w:rsidRPr="0043655B">
        <w:rPr>
          <w:rStyle w:val="TextoNormalNegritaCaracter"/>
        </w:rPr>
        <w:t>Artículo 190 bis.</w:t>
      </w:r>
      <w:r w:rsidRPr="0043655B">
        <w:rPr>
          <w:rStyle w:val="TextoNormalCaracter"/>
        </w:rPr>
        <w:t>-</w:t>
      </w:r>
      <w:r>
        <w:t xml:space="preserve"> Sentencia </w:t>
      </w:r>
      <w:hyperlink w:anchor="SENTENCIA_2012_82" w:history="1">
        <w:r w:rsidRPr="0043655B">
          <w:rPr>
            <w:rStyle w:val="TextoNormalCaracter"/>
          </w:rPr>
          <w:t>82/2012</w:t>
        </w:r>
      </w:hyperlink>
      <w:r>
        <w:t>, f. 5, VP II.</w:t>
      </w:r>
    </w:p>
    <w:p w:rsidR="0043655B" w:rsidRDefault="0043655B" w:rsidP="0043655B">
      <w:pPr>
        <w:pStyle w:val="SangriaFrancesaArticulo"/>
      </w:pPr>
      <w:r w:rsidRPr="0043655B">
        <w:rPr>
          <w:rStyle w:val="TextoNormalNegritaCaracter"/>
        </w:rPr>
        <w:t>Artículo 191.</w:t>
      </w:r>
      <w:r w:rsidRPr="0043655B">
        <w:rPr>
          <w:rStyle w:val="TextoNormalCaracter"/>
        </w:rPr>
        <w:t>-</w:t>
      </w:r>
      <w:r>
        <w:t xml:space="preserve"> Sentencia </w:t>
      </w:r>
      <w:hyperlink w:anchor="SENTENCIA_2012_82" w:history="1">
        <w:r w:rsidRPr="0043655B">
          <w:rPr>
            <w:rStyle w:val="TextoNormalCaracter"/>
          </w:rPr>
          <w:t>82/2012</w:t>
        </w:r>
      </w:hyperlink>
      <w:r>
        <w:t>, f. 5, VP II.</w:t>
      </w:r>
    </w:p>
    <w:p w:rsidR="0043655B" w:rsidRDefault="0043655B" w:rsidP="0043655B">
      <w:pPr>
        <w:pStyle w:val="SangriaFrancesaArticulo"/>
      </w:pPr>
    </w:p>
    <w:p w:rsidR="0043655B" w:rsidRDefault="0043655B" w:rsidP="0043655B">
      <w:pPr>
        <w:pStyle w:val="TextoNormalNegritaCursivandice"/>
      </w:pPr>
      <w:r>
        <w:t>Ley 36/2003, de 11 de noviembre. Medidas de reforma económica</w:t>
      </w:r>
    </w:p>
    <w:p w:rsidR="0043655B" w:rsidRDefault="0043655B" w:rsidP="0043655B">
      <w:pPr>
        <w:pStyle w:val="SangriaFrancesaArticulo"/>
      </w:pPr>
      <w:r w:rsidRPr="0043655B">
        <w:rPr>
          <w:rStyle w:val="TextoNormalNegritaCaracter"/>
        </w:rPr>
        <w:t>Artículo 19.</w:t>
      </w:r>
      <w:r w:rsidRPr="0043655B">
        <w:rPr>
          <w:rStyle w:val="TextoNormalCaracter"/>
        </w:rPr>
        <w:t>-</w:t>
      </w:r>
      <w:r>
        <w:t xml:space="preserve"> Sentencia </w:t>
      </w:r>
      <w:hyperlink w:anchor="SENTENCIA_2012_96" w:history="1">
        <w:r w:rsidRPr="0043655B">
          <w:rPr>
            <w:rStyle w:val="TextoNormalCaracter"/>
          </w:rPr>
          <w:t>96/2012</w:t>
        </w:r>
      </w:hyperlink>
      <w:r>
        <w:t>, f. 5.</w:t>
      </w:r>
    </w:p>
    <w:p w:rsidR="0043655B" w:rsidRDefault="0043655B" w:rsidP="0043655B">
      <w:pPr>
        <w:pStyle w:val="SangriaFrancesaArticulo"/>
      </w:pPr>
    </w:p>
    <w:p w:rsidR="0043655B" w:rsidRDefault="0043655B" w:rsidP="0043655B">
      <w:pPr>
        <w:pStyle w:val="TextoNormalNegritaCursivandice"/>
      </w:pPr>
      <w:r>
        <w:t>Ley 38/2003, de 17 de noviembre. General de subvenciones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8.3 a).</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18.</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23.2.</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Sentencia </w:t>
      </w:r>
      <w:hyperlink w:anchor="SENTENCIA_2012_89" w:history="1">
        <w:r w:rsidRPr="0043655B">
          <w:rPr>
            <w:rStyle w:val="TextoNormalCaracter"/>
          </w:rPr>
          <w:t>89/2012</w:t>
        </w:r>
      </w:hyperlink>
      <w:r>
        <w:t>, f. 8.</w:t>
      </w:r>
    </w:p>
    <w:p w:rsidR="0043655B" w:rsidRDefault="0043655B" w:rsidP="0043655B">
      <w:pPr>
        <w:pStyle w:val="SangriaFrancesaArticulo"/>
      </w:pPr>
      <w:r w:rsidRPr="0043655B">
        <w:rPr>
          <w:rStyle w:val="TextoNormalNegritaCaracter"/>
        </w:rPr>
        <w:t>Artículo 31.3.</w:t>
      </w:r>
      <w:r w:rsidRPr="0043655B">
        <w:rPr>
          <w:rStyle w:val="TextoNormalCaracter"/>
        </w:rPr>
        <w:t>-</w:t>
      </w:r>
      <w:r>
        <w:t xml:space="preserve"> Sentencia </w:t>
      </w:r>
      <w:hyperlink w:anchor="SENTENCIA_2012_89" w:history="1">
        <w:r w:rsidRPr="0043655B">
          <w:rPr>
            <w:rStyle w:val="TextoNormalCaracter"/>
          </w:rPr>
          <w:t>89/2012</w:t>
        </w:r>
      </w:hyperlink>
      <w:r>
        <w:t>, f. 8.</w:t>
      </w:r>
    </w:p>
    <w:p w:rsidR="0043655B" w:rsidRDefault="0043655B" w:rsidP="0043655B">
      <w:pPr>
        <w:pStyle w:val="SangriaFrancesaArticulo"/>
      </w:pPr>
      <w:r w:rsidRPr="0043655B">
        <w:rPr>
          <w:rStyle w:val="TextoNormalNegritaCaracter"/>
        </w:rPr>
        <w:t>Artículo 31.4.</w:t>
      </w:r>
      <w:r w:rsidRPr="0043655B">
        <w:rPr>
          <w:rStyle w:val="TextoNormalCaracter"/>
        </w:rPr>
        <w:t>-</w:t>
      </w:r>
      <w:r>
        <w:t xml:space="preserve"> Sentencia </w:t>
      </w:r>
      <w:hyperlink w:anchor="SENTENCIA_2012_89" w:history="1">
        <w:r w:rsidRPr="0043655B">
          <w:rPr>
            <w:rStyle w:val="TextoNormalCaracter"/>
          </w:rPr>
          <w:t>89/2012</w:t>
        </w:r>
      </w:hyperlink>
      <w:r>
        <w:t>, f. 8.</w:t>
      </w:r>
    </w:p>
    <w:p w:rsidR="0043655B" w:rsidRDefault="0043655B" w:rsidP="0043655B">
      <w:pPr>
        <w:pStyle w:val="SangriaFrancesaArticulo"/>
      </w:pPr>
      <w:r w:rsidRPr="0043655B">
        <w:rPr>
          <w:rStyle w:val="TextoNormalNegritaCaracter"/>
        </w:rPr>
        <w:t>Artículo 37.</w:t>
      </w:r>
      <w:r w:rsidRPr="0043655B">
        <w:rPr>
          <w:rStyle w:val="TextoNormalCaracter"/>
        </w:rPr>
        <w:t>-</w:t>
      </w:r>
      <w:r>
        <w:t xml:space="preserve"> Sentencia </w:t>
      </w:r>
      <w:hyperlink w:anchor="SENTENCIA_2012_89" w:history="1">
        <w:r w:rsidRPr="0043655B">
          <w:rPr>
            <w:rStyle w:val="TextoNormalCaracter"/>
          </w:rPr>
          <w:t>89/2012</w:t>
        </w:r>
      </w:hyperlink>
      <w:r>
        <w:t>, f. 9.</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p>
    <w:p w:rsidR="0043655B" w:rsidRDefault="0043655B" w:rsidP="0043655B">
      <w:pPr>
        <w:pStyle w:val="TextoNormalNegritaCursivandice"/>
      </w:pPr>
      <w:r>
        <w:t>Ley 43/2003, de 21 de noviembre. Montes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8" w:history="1">
        <w:r w:rsidRPr="0043655B">
          <w:rPr>
            <w:rStyle w:val="TextoNormalCaracter"/>
          </w:rPr>
          <w:t>38/2012</w:t>
        </w:r>
      </w:hyperlink>
      <w:r>
        <w:t>, ff. 1, 3.</w:t>
      </w:r>
    </w:p>
    <w:p w:rsidR="0043655B" w:rsidRDefault="0043655B" w:rsidP="0043655B">
      <w:pPr>
        <w:pStyle w:val="SangriaFrancesaArticulo"/>
      </w:pPr>
    </w:p>
    <w:p w:rsidR="0043655B" w:rsidRDefault="0043655B" w:rsidP="0043655B">
      <w:pPr>
        <w:pStyle w:val="TextoNormalNegritaCursivandice"/>
      </w:pPr>
      <w:r>
        <w:t>Ley 47/2003, de 26 de noviembre. General presupuestaria</w:t>
      </w:r>
    </w:p>
    <w:p w:rsidR="0043655B" w:rsidRDefault="0043655B" w:rsidP="0043655B">
      <w:pPr>
        <w:pStyle w:val="SangriaFrancesaArticulo"/>
      </w:pPr>
      <w:r w:rsidRPr="0043655B">
        <w:rPr>
          <w:rStyle w:val="TextoNormalNegritaCaracter"/>
        </w:rPr>
        <w:t>Artículo 86.</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p>
    <w:p w:rsidR="0043655B" w:rsidRDefault="0043655B" w:rsidP="0043655B">
      <w:pPr>
        <w:pStyle w:val="TextoNormalNegritaCursivandice"/>
      </w:pPr>
      <w:r>
        <w:t>Ley 52/2003, de 10 de diciembre. Disposiciones específicas en materia de seguridad social</w:t>
      </w:r>
    </w:p>
    <w:p w:rsidR="0043655B" w:rsidRDefault="0043655B" w:rsidP="0043655B">
      <w:pPr>
        <w:pStyle w:val="SangriaFrancesaArticulo"/>
      </w:pPr>
      <w:r w:rsidRPr="0043655B">
        <w:rPr>
          <w:rStyle w:val="TextoNormalNegritaCaracter"/>
        </w:rPr>
        <w:t>Artículo 1 apartados 1, 2.</w:t>
      </w:r>
      <w:r w:rsidRPr="0043655B">
        <w:rPr>
          <w:rStyle w:val="TextoNormalCaracter"/>
        </w:rPr>
        <w:t>-</w:t>
      </w:r>
      <w:r>
        <w:t xml:space="preserve"> Auto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Auto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Autos </w:t>
      </w:r>
      <w:hyperlink w:anchor="AUTO_2012_49" w:history="1">
        <w:r w:rsidRPr="0043655B">
          <w:rPr>
            <w:rStyle w:val="TextoNormalCaracter"/>
          </w:rPr>
          <w:t>49/2012</w:t>
        </w:r>
      </w:hyperlink>
      <w:r>
        <w:t xml:space="preserve">;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Artículo 19.3.</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p>
    <w:p w:rsidR="0043655B" w:rsidRDefault="0043655B" w:rsidP="0043655B">
      <w:pPr>
        <w:pStyle w:val="TextoNormalNegritaCursivandice"/>
      </w:pPr>
      <w:r>
        <w:t>Ley 56/2003, de 16 de diciembre. Empleo</w:t>
      </w:r>
    </w:p>
    <w:p w:rsidR="0043655B" w:rsidRDefault="0043655B" w:rsidP="0043655B">
      <w:pPr>
        <w:pStyle w:val="SangriaFrancesaArticulo"/>
      </w:pPr>
      <w:r w:rsidRPr="0043655B">
        <w:rPr>
          <w:rStyle w:val="TextoNormalNegritaCaracter"/>
        </w:rPr>
        <w:t>Artículo 26.1.</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26.2.</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Ley 57/2003, de 16 de diciembre. Medidas para la modernización del gobierno local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9" w:history="1">
        <w:r w:rsidRPr="0043655B">
          <w:rPr>
            <w:rStyle w:val="TextoNormalCaracter"/>
          </w:rPr>
          <w:t>9/2012</w:t>
        </w:r>
      </w:hyperlink>
      <w:r>
        <w:t xml:space="preserve">, f. 2; </w:t>
      </w:r>
      <w:hyperlink w:anchor="SENTENCIA_2012_132" w:history="1">
        <w:r w:rsidRPr="0043655B">
          <w:rPr>
            <w:rStyle w:val="TextoNormalCaracter"/>
          </w:rPr>
          <w:t>132/2012</w:t>
        </w:r>
      </w:hyperlink>
      <w:r>
        <w:t>, ff. 2 a 4, 6, 7.</w:t>
      </w:r>
    </w:p>
    <w:p w:rsidR="0043655B" w:rsidRDefault="0043655B" w:rsidP="0043655B">
      <w:pPr>
        <w:pStyle w:val="SangriaFrancesaArticulo"/>
      </w:pPr>
    </w:p>
    <w:p w:rsidR="0043655B" w:rsidRDefault="0043655B" w:rsidP="0043655B">
      <w:pPr>
        <w:pStyle w:val="TextoNormalNegritaCursivandice"/>
      </w:pPr>
      <w:r>
        <w:t>Ley 58/2003, de 17 de diciembre. General tributaria</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9" w:history="1">
        <w:r w:rsidRPr="0043655B">
          <w:rPr>
            <w:rStyle w:val="TextoNormalCaracter"/>
          </w:rPr>
          <w:t>19/2012</w:t>
        </w:r>
      </w:hyperlink>
      <w:r>
        <w:t>, f. 3.</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r w:rsidRPr="0043655B">
        <w:rPr>
          <w:rStyle w:val="TextoNormalNegritaCaracter"/>
        </w:rPr>
        <w:t>Artículo 35.4.</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r w:rsidRPr="0043655B">
        <w:rPr>
          <w:rStyle w:val="TextoNormalNegritaCaracter"/>
        </w:rPr>
        <w:t>Artículo 36.3.</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r w:rsidRPr="0043655B">
        <w:rPr>
          <w:rStyle w:val="TextoNormalNegritaCaracter"/>
        </w:rPr>
        <w:t>Artículo 94.3.</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p>
    <w:p w:rsidR="0043655B" w:rsidRDefault="0043655B" w:rsidP="0043655B">
      <w:pPr>
        <w:pStyle w:val="TextoNormalNegritaCursivandice"/>
      </w:pPr>
      <w:r>
        <w:t>Ley 60/2003, de 23 diciembre. Arbitraje</w:t>
      </w:r>
    </w:p>
    <w:p w:rsidR="0043655B" w:rsidRDefault="0043655B" w:rsidP="0043655B">
      <w:pPr>
        <w:pStyle w:val="SangriaFrancesaArticulo"/>
      </w:pPr>
      <w:r w:rsidRPr="0043655B">
        <w:rPr>
          <w:rStyle w:val="TextoNormalNegritaCaracter"/>
        </w:rPr>
        <w:t>Artículo 41.4.</w:t>
      </w:r>
      <w:r w:rsidRPr="0043655B">
        <w:rPr>
          <w:rStyle w:val="TextoNormalCaracter"/>
        </w:rPr>
        <w:t>-</w:t>
      </w:r>
      <w:r>
        <w:t xml:space="preserve"> Sentencia </w:t>
      </w:r>
      <w:hyperlink w:anchor="SENTENCIA_2012_76" w:history="1">
        <w:r w:rsidRPr="0043655B">
          <w:rPr>
            <w:rStyle w:val="TextoNormalCaracter"/>
          </w:rPr>
          <w:t>76/2012</w:t>
        </w:r>
      </w:hyperlink>
      <w:r>
        <w:t>, ff. 4, 5.</w:t>
      </w:r>
    </w:p>
    <w:p w:rsidR="0043655B" w:rsidRDefault="0043655B" w:rsidP="0043655B">
      <w:pPr>
        <w:pStyle w:val="SangriaFrancesaArticulo"/>
      </w:pPr>
    </w:p>
    <w:p w:rsidR="0043655B" w:rsidRDefault="0043655B" w:rsidP="0043655B">
      <w:pPr>
        <w:pStyle w:val="TextoNormalNegritaCursivandice"/>
      </w:pPr>
      <w:r>
        <w:t>Ley 62/2003, de 30 de diciembre.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r w:rsidRPr="0043655B">
        <w:rPr>
          <w:rStyle w:val="TextoNormalNegritaCaracter"/>
        </w:rPr>
        <w:t>Artículo 64.3.</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p>
    <w:p w:rsidR="0043655B" w:rsidRDefault="0043655B" w:rsidP="0043655B">
      <w:pPr>
        <w:pStyle w:val="TextoNormalNegritaCursivandice"/>
      </w:pPr>
      <w:r>
        <w:t>Ley 1/2004, de 21 de diciembre. Horarios comerciales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6" w:history="1">
        <w:r w:rsidRPr="0043655B">
          <w:rPr>
            <w:rStyle w:val="TextoNormalCaracter"/>
          </w:rPr>
          <w:t>26/2012</w:t>
        </w:r>
      </w:hyperlink>
      <w:r>
        <w:t>, ff. 6, 7.</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26" w:history="1">
        <w:r w:rsidRPr="0043655B">
          <w:rPr>
            <w:rStyle w:val="TextoNormalCaracter"/>
          </w:rPr>
          <w:t>26/2012</w:t>
        </w:r>
      </w:hyperlink>
      <w:r>
        <w:t>, f. 7.</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26" w:history="1">
        <w:r w:rsidRPr="0043655B">
          <w:rPr>
            <w:rStyle w:val="TextoNormalCaracter"/>
          </w:rPr>
          <w:t>26/2012</w:t>
        </w:r>
      </w:hyperlink>
      <w:r>
        <w:t>, f. 7.</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26" w:history="1">
        <w:r w:rsidRPr="0043655B">
          <w:rPr>
            <w:rStyle w:val="TextoNormalCaracter"/>
          </w:rPr>
          <w:t>26/2012</w:t>
        </w:r>
      </w:hyperlink>
      <w:r>
        <w:t>, f. 7.</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26" w:history="1">
        <w:r w:rsidRPr="0043655B">
          <w:rPr>
            <w:rStyle w:val="TextoNormalCaracter"/>
          </w:rPr>
          <w:t>26/2012</w:t>
        </w:r>
      </w:hyperlink>
      <w:r>
        <w:t>, f. 7.</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26" w:history="1">
        <w:r w:rsidRPr="0043655B">
          <w:rPr>
            <w:rStyle w:val="TextoNormalCaracter"/>
          </w:rPr>
          <w:t>26/2012</w:t>
        </w:r>
      </w:hyperlink>
      <w:r>
        <w:t>, f. 8.</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26" w:history="1">
        <w:r w:rsidRPr="0043655B">
          <w:rPr>
            <w:rStyle w:val="TextoNormalCaracter"/>
          </w:rPr>
          <w:t>26/2012</w:t>
        </w:r>
      </w:hyperlink>
      <w:r>
        <w:t>, f. 9.</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26" w:history="1">
        <w:r w:rsidRPr="0043655B">
          <w:rPr>
            <w:rStyle w:val="TextoNormalCaracter"/>
          </w:rPr>
          <w:t>26/2012</w:t>
        </w:r>
      </w:hyperlink>
      <w:r>
        <w:t>, f. 9.</w:t>
      </w:r>
    </w:p>
    <w:p w:rsidR="0043655B" w:rsidRDefault="0043655B" w:rsidP="0043655B">
      <w:pPr>
        <w:pStyle w:val="SangriaFrancesaArticulo"/>
      </w:pPr>
      <w:r w:rsidRPr="0043655B">
        <w:rPr>
          <w:rStyle w:val="TextoNormalNegritaCaracter"/>
        </w:rPr>
        <w:t>Artículo 5.5.</w:t>
      </w:r>
      <w:r w:rsidRPr="0043655B">
        <w:rPr>
          <w:rStyle w:val="TextoNormalCaracter"/>
        </w:rPr>
        <w:t>-</w:t>
      </w:r>
      <w:r>
        <w:t xml:space="preserve"> Sentencia </w:t>
      </w:r>
      <w:hyperlink w:anchor="SENTENCIA_2012_26" w:history="1">
        <w:r w:rsidRPr="0043655B">
          <w:rPr>
            <w:rStyle w:val="TextoNormalCaracter"/>
          </w:rPr>
          <w:t>26/2012</w:t>
        </w:r>
      </w:hyperlink>
      <w:r>
        <w:t>, f. 9.</w:t>
      </w:r>
    </w:p>
    <w:p w:rsidR="0043655B" w:rsidRDefault="0043655B" w:rsidP="0043655B">
      <w:pPr>
        <w:pStyle w:val="SangriaFrancesaArticulo"/>
      </w:pPr>
    </w:p>
    <w:p w:rsidR="0043655B" w:rsidRDefault="0043655B" w:rsidP="0043655B">
      <w:pPr>
        <w:pStyle w:val="TextoNormalNegritaCursivandice"/>
      </w:pPr>
      <w:r>
        <w:lastRenderedPageBreak/>
        <w:t>Ley 4/2005, de 22 de abril. Efectos en las pensiones no contributivas de los complementos otorgados por las Comunidades Autónomas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Autos </w:t>
      </w:r>
      <w:hyperlink w:anchor="AUTO_2012_49" w:history="1">
        <w:r w:rsidRPr="0043655B">
          <w:rPr>
            <w:rStyle w:val="TextoNormalCaracter"/>
          </w:rPr>
          <w:t>49/2012</w:t>
        </w:r>
      </w:hyperlink>
      <w:r>
        <w:t xml:space="preserve">;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Auto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Auto </w:t>
      </w:r>
      <w:hyperlink w:anchor="AUTO_2012_118" w:history="1">
        <w:r w:rsidRPr="0043655B">
          <w:rPr>
            <w:rStyle w:val="TextoNormalCaracter"/>
          </w:rPr>
          <w:t>118/2012</w:t>
        </w:r>
      </w:hyperlink>
      <w:r>
        <w:t>.</w:t>
      </w:r>
    </w:p>
    <w:p w:rsidR="0043655B" w:rsidRDefault="0043655B" w:rsidP="0043655B">
      <w:pPr>
        <w:pStyle w:val="SangriaFrancesaArticulo"/>
      </w:pPr>
    </w:p>
    <w:p w:rsidR="0043655B" w:rsidRDefault="0043655B" w:rsidP="0043655B">
      <w:pPr>
        <w:pStyle w:val="TextoNormalNegritaCursivandice"/>
      </w:pPr>
      <w:r>
        <w:t>Ley 35/2006, de 28 de noviembre. Impuesto sobre la renta de las personas físicas y modificación parcial de las leyes de los impuestos sobre sociedades, sobre la renta de no residentes y sobre el patrimonio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SangriaFrancesaArticulo"/>
      </w:pPr>
      <w:r w:rsidRPr="0043655B">
        <w:rPr>
          <w:rStyle w:val="TextoNormalNegritaCaracter"/>
        </w:rPr>
        <w:t>Exposición de motivos, apartado I.</w:t>
      </w:r>
      <w:r w:rsidRPr="0043655B">
        <w:rPr>
          <w:rStyle w:val="TextoNormalCaracter"/>
        </w:rPr>
        <w:t>-</w:t>
      </w:r>
      <w:r>
        <w:t xml:space="preserve"> Sentencia </w:t>
      </w:r>
      <w:hyperlink w:anchor="SENTENCIA_2012_19" w:history="1">
        <w:r w:rsidRPr="0043655B">
          <w:rPr>
            <w:rStyle w:val="TextoNormalCaracter"/>
          </w:rPr>
          <w:t>19/2012</w:t>
        </w:r>
      </w:hyperlink>
      <w:r>
        <w:t>, f. 3.</w:t>
      </w:r>
    </w:p>
    <w:p w:rsidR="0043655B" w:rsidRDefault="0043655B" w:rsidP="0043655B">
      <w:pPr>
        <w:pStyle w:val="SangriaFrancesaArticulo"/>
      </w:pPr>
      <w:r w:rsidRPr="0043655B">
        <w:rPr>
          <w:rStyle w:val="TextoNormalNegritaCaracter"/>
        </w:rPr>
        <w:t>Disposición derogatoria primera.</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SangriaFrancesaArticulo"/>
      </w:pPr>
    </w:p>
    <w:p w:rsidR="0043655B" w:rsidRDefault="0043655B" w:rsidP="0043655B">
      <w:pPr>
        <w:pStyle w:val="TextoNormalNegritaCursivandice"/>
      </w:pPr>
      <w:r>
        <w:t>Ley 42/2006, de 28 de diciembre. Presupuestos generales del Estado para 2007</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21.3.</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p>
    <w:p w:rsidR="0043655B" w:rsidRDefault="0043655B" w:rsidP="0043655B">
      <w:pPr>
        <w:pStyle w:val="TextoNormalNegritaCursivandice"/>
      </w:pPr>
      <w:r>
        <w:t>Ley 7/2007, de 12 de abril. Estatuto básico del empleado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xml:space="preserve">, f. 4; </w:t>
      </w:r>
      <w:hyperlink w:anchor="SENTENCIA_2012_132" w:history="1">
        <w:r w:rsidRPr="0043655B">
          <w:rPr>
            <w:rStyle w:val="TextoNormalCaracter"/>
          </w:rPr>
          <w:t>132/2012</w:t>
        </w:r>
      </w:hyperlink>
      <w:r>
        <w:t>, f. 7.</w:t>
      </w:r>
    </w:p>
    <w:p w:rsidR="0043655B" w:rsidRDefault="0043655B" w:rsidP="0043655B">
      <w:pPr>
        <w:pStyle w:val="SangriaIzquierdaArticulo"/>
      </w:pPr>
      <w:r>
        <w:t xml:space="preserve">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47.</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55.</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p>
    <w:p w:rsidR="0043655B" w:rsidRDefault="0043655B" w:rsidP="0043655B">
      <w:pPr>
        <w:pStyle w:val="TextoNormalNegritaCursivandice"/>
      </w:pPr>
      <w:r>
        <w:t>Ley 12/2007, de 2 de julio. Modificación de la Ley 34/1998, de 7 de octubre, del sector de hidrocarburos, con el fin de adaptarla a lo dispuesto en la Directiva 2003/55/CE del Parlamento Europeo y del Consejo, de 26 de junio de 2003, sobre normas comunes para el mercado interior del gas natural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35" w:history="1">
        <w:r w:rsidRPr="0043655B">
          <w:rPr>
            <w:rStyle w:val="TextoNormalCaracter"/>
          </w:rPr>
          <w:t>135/2012</w:t>
        </w:r>
      </w:hyperlink>
      <w:r>
        <w:t>, ff. 3, 4.</w:t>
      </w:r>
    </w:p>
    <w:p w:rsidR="0043655B" w:rsidRDefault="0043655B" w:rsidP="0043655B">
      <w:pPr>
        <w:pStyle w:val="SangriaFrancesaArticulo"/>
      </w:pPr>
      <w:r w:rsidRPr="0043655B">
        <w:rPr>
          <w:rStyle w:val="TextoNormalNegritaCaracter"/>
        </w:rPr>
        <w:t>Artículo único, apartado 20.</w:t>
      </w:r>
      <w:r w:rsidRPr="0043655B">
        <w:rPr>
          <w:rStyle w:val="TextoNormalCaracter"/>
        </w:rPr>
        <w:t>-</w:t>
      </w:r>
      <w:r>
        <w:t xml:space="preserve"> Sentencia </w:t>
      </w:r>
      <w:hyperlink w:anchor="SENTENCIA_2012_135" w:history="1">
        <w:r w:rsidRPr="0043655B">
          <w:rPr>
            <w:rStyle w:val="TextoNormalCaracter"/>
          </w:rPr>
          <w:t>135/2012</w:t>
        </w:r>
      </w:hyperlink>
      <w:r>
        <w:t>, f. 1.</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135" w:history="1">
        <w:r w:rsidRPr="0043655B">
          <w:rPr>
            <w:rStyle w:val="TextoNormalCaracter"/>
          </w:rPr>
          <w:t>135/2012</w:t>
        </w:r>
      </w:hyperlink>
      <w:r>
        <w:t>, ff. 1, 4.</w:t>
      </w:r>
    </w:p>
    <w:p w:rsidR="0043655B" w:rsidRDefault="0043655B" w:rsidP="0043655B">
      <w:pPr>
        <w:pStyle w:val="SangriaFrancesaArticulo"/>
      </w:pPr>
    </w:p>
    <w:p w:rsidR="0043655B" w:rsidRDefault="0043655B" w:rsidP="0043655B">
      <w:pPr>
        <w:pStyle w:val="TextoNormalNegritaCursivandice"/>
      </w:pPr>
      <w:r>
        <w:t>Ley 15/2007, de 3 de julio. Defensa de la competencia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1" w:history="1">
        <w:r w:rsidRPr="0043655B">
          <w:rPr>
            <w:rStyle w:val="TextoNormalCaracter"/>
          </w:rPr>
          <w:t>71/2012</w:t>
        </w:r>
      </w:hyperlink>
      <w:r>
        <w:t>, ff. 1, 2.</w:t>
      </w:r>
    </w:p>
    <w:p w:rsidR="0043655B" w:rsidRDefault="0043655B" w:rsidP="0043655B">
      <w:pPr>
        <w:pStyle w:val="SangriaFrancesaArticulo"/>
      </w:pPr>
      <w:r w:rsidRPr="0043655B">
        <w:rPr>
          <w:rStyle w:val="TextoNormalNegritaCaracter"/>
        </w:rPr>
        <w:t>Artículo 2.2 c).</w:t>
      </w:r>
      <w:r w:rsidRPr="0043655B">
        <w:rPr>
          <w:rStyle w:val="TextoNormalCaracter"/>
        </w:rPr>
        <w:t>-</w:t>
      </w:r>
      <w:r>
        <w:t xml:space="preserve"> Sentencia </w:t>
      </w:r>
      <w:hyperlink w:anchor="SENTENCIA_2012_71" w:history="1">
        <w:r w:rsidRPr="0043655B">
          <w:rPr>
            <w:rStyle w:val="TextoNormalCaracter"/>
          </w:rPr>
          <w:t>71/2012</w:t>
        </w:r>
      </w:hyperlink>
      <w:r>
        <w:t>, f. 2, VP.</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71" w:history="1">
        <w:r w:rsidRPr="0043655B">
          <w:rPr>
            <w:rStyle w:val="TextoNormalCaracter"/>
          </w:rPr>
          <w:t>71/2012</w:t>
        </w:r>
      </w:hyperlink>
      <w:r>
        <w:t>, f. 2.</w:t>
      </w:r>
    </w:p>
    <w:p w:rsidR="0043655B" w:rsidRDefault="0043655B" w:rsidP="0043655B">
      <w:pPr>
        <w:pStyle w:val="SangriaFrancesaArticulo"/>
      </w:pPr>
      <w:r w:rsidRPr="0043655B">
        <w:rPr>
          <w:rStyle w:val="TextoNormalNegritaCaracter"/>
        </w:rPr>
        <w:t>Disposición adicional quinta.</w:t>
      </w:r>
      <w:r w:rsidRPr="0043655B">
        <w:rPr>
          <w:rStyle w:val="TextoNormalCaracter"/>
        </w:rPr>
        <w:t>-</w:t>
      </w:r>
      <w:r>
        <w:t xml:space="preserve"> Sentencia </w:t>
      </w:r>
      <w:hyperlink w:anchor="SENTENCIA_2012_71" w:history="1">
        <w:r w:rsidRPr="0043655B">
          <w:rPr>
            <w:rStyle w:val="TextoNormalCaracter"/>
          </w:rPr>
          <w:t>71/2012</w:t>
        </w:r>
      </w:hyperlink>
      <w:r>
        <w:t>, f. 2.</w:t>
      </w:r>
    </w:p>
    <w:p w:rsidR="0043655B" w:rsidRDefault="0043655B" w:rsidP="0043655B">
      <w:pPr>
        <w:pStyle w:val="SangriaFrancesaArticulo"/>
      </w:pPr>
      <w:r w:rsidRPr="0043655B">
        <w:rPr>
          <w:rStyle w:val="TextoNormalNegritaCaracter"/>
        </w:rPr>
        <w:t>Disposición adicional sexta.</w:t>
      </w:r>
      <w:r w:rsidRPr="0043655B">
        <w:rPr>
          <w:rStyle w:val="TextoNormalCaracter"/>
        </w:rPr>
        <w:t>-</w:t>
      </w:r>
      <w:r>
        <w:t xml:space="preserve"> Sentencia </w:t>
      </w:r>
      <w:hyperlink w:anchor="SENTENCIA_2012_71" w:history="1">
        <w:r w:rsidRPr="0043655B">
          <w:rPr>
            <w:rStyle w:val="TextoNormalCaracter"/>
          </w:rPr>
          <w:t>71/2012</w:t>
        </w:r>
      </w:hyperlink>
      <w:r>
        <w:t>, f. 2.</w:t>
      </w:r>
    </w:p>
    <w:p w:rsidR="0043655B" w:rsidRDefault="0043655B" w:rsidP="0043655B">
      <w:pPr>
        <w:pStyle w:val="SangriaFrancesaArticulo"/>
      </w:pPr>
    </w:p>
    <w:p w:rsidR="0043655B" w:rsidRDefault="0043655B" w:rsidP="0043655B">
      <w:pPr>
        <w:pStyle w:val="TextoNormalNegritaCursivandice"/>
      </w:pPr>
      <w:r>
        <w:t>Ley 26/2007, de 23 de octubre. Responsabilidad medioambiental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 w:history="1">
        <w:r w:rsidRPr="0043655B">
          <w:rPr>
            <w:rStyle w:val="TextoNormalCaracter"/>
          </w:rPr>
          <w:t>7/2012</w:t>
        </w:r>
      </w:hyperlink>
      <w:r>
        <w:t>, f. 7.</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7" w:history="1">
        <w:r w:rsidRPr="0043655B">
          <w:rPr>
            <w:rStyle w:val="TextoNormalCaracter"/>
          </w:rPr>
          <w:t>7/2012</w:t>
        </w:r>
      </w:hyperlink>
      <w:r>
        <w:t>, f. 4.</w:t>
      </w:r>
    </w:p>
    <w:p w:rsidR="0043655B" w:rsidRDefault="0043655B" w:rsidP="0043655B">
      <w:pPr>
        <w:pStyle w:val="SangriaFrancesaArticulo"/>
      </w:pPr>
    </w:p>
    <w:p w:rsidR="0043655B" w:rsidRDefault="0043655B" w:rsidP="0043655B">
      <w:pPr>
        <w:pStyle w:val="TextoNormalNegritaCursivandice"/>
      </w:pPr>
      <w:r>
        <w:t>Ley 30/2007, de 30 de octubre. Contratos del sector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p>
    <w:p w:rsidR="0043655B" w:rsidRDefault="0043655B" w:rsidP="0043655B">
      <w:pPr>
        <w:pStyle w:val="TextoNormalNegritaCursivandice"/>
      </w:pPr>
      <w:r>
        <w:lastRenderedPageBreak/>
        <w:t>Ley 42/2007, de 13 de diciembre. Patrimonio natural y de la biodiversidad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7" w:history="1">
        <w:r w:rsidRPr="0043655B">
          <w:rPr>
            <w:rStyle w:val="TextoNormalCaracter"/>
          </w:rPr>
          <w:t>7/2012</w:t>
        </w:r>
      </w:hyperlink>
      <w:r>
        <w:t xml:space="preserve">, ff. 3, 4; </w:t>
      </w:r>
      <w:hyperlink w:anchor="SENTENCIA_2012_38" w:history="1">
        <w:r w:rsidRPr="0043655B">
          <w:rPr>
            <w:rStyle w:val="TextoNormalCaracter"/>
          </w:rPr>
          <w:t>38/2012</w:t>
        </w:r>
      </w:hyperlink>
      <w:r>
        <w:t xml:space="preserve">, ff. 1, 3; </w:t>
      </w:r>
      <w:hyperlink w:anchor="SENTENCIA_2012_82" w:history="1">
        <w:r w:rsidRPr="0043655B">
          <w:rPr>
            <w:rStyle w:val="TextoNormalCaracter"/>
          </w:rPr>
          <w:t>82/2012</w:t>
        </w:r>
      </w:hyperlink>
      <w:r>
        <w:t>, f. 6.</w:t>
      </w:r>
    </w:p>
    <w:p w:rsidR="0043655B" w:rsidRDefault="0043655B" w:rsidP="0043655B">
      <w:pPr>
        <w:pStyle w:val="SangriaFrancesaArticulo"/>
      </w:pPr>
      <w:r w:rsidRPr="0043655B">
        <w:rPr>
          <w:rStyle w:val="TextoNormalNegritaCaracter"/>
        </w:rPr>
        <w:t>Artículo 3.10.</w:t>
      </w:r>
      <w:r w:rsidRPr="0043655B">
        <w:rPr>
          <w:rStyle w:val="TextoNormalCaracter"/>
        </w:rPr>
        <w:t>-</w:t>
      </w:r>
      <w:r>
        <w:t xml:space="preserve"> Sentencia </w:t>
      </w:r>
      <w:hyperlink w:anchor="SENTENCIA_2012_7" w:history="1">
        <w:r w:rsidRPr="0043655B">
          <w:rPr>
            <w:rStyle w:val="TextoNormalCaracter"/>
          </w:rPr>
          <w:t>7/2012</w:t>
        </w:r>
      </w:hyperlink>
      <w:r>
        <w:t>, f. 7.</w:t>
      </w:r>
    </w:p>
    <w:p w:rsidR="0043655B" w:rsidRDefault="0043655B" w:rsidP="0043655B">
      <w:pPr>
        <w:pStyle w:val="SangriaFrancesaArticulo"/>
      </w:pPr>
      <w:r w:rsidRPr="0043655B">
        <w:rPr>
          <w:rStyle w:val="TextoNormalNegritaCaracter"/>
        </w:rPr>
        <w:t>Artículo 34.</w:t>
      </w:r>
      <w:r w:rsidRPr="0043655B">
        <w:rPr>
          <w:rStyle w:val="TextoNormalCaracter"/>
        </w:rPr>
        <w:t>-</w:t>
      </w:r>
      <w:r>
        <w:t xml:space="preserve"> Sentencia </w:t>
      </w:r>
      <w:hyperlink w:anchor="SENTENCIA_2012_82" w:history="1">
        <w:r w:rsidRPr="0043655B">
          <w:rPr>
            <w:rStyle w:val="TextoNormalCaracter"/>
          </w:rPr>
          <w:t>82/2012</w:t>
        </w:r>
      </w:hyperlink>
      <w:r>
        <w:t>, f. 6.</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Sentencia </w:t>
      </w:r>
      <w:hyperlink w:anchor="SENTENCIA_2012_82" w:history="1">
        <w:r w:rsidRPr="0043655B">
          <w:rPr>
            <w:rStyle w:val="TextoNormalCaracter"/>
          </w:rPr>
          <w:t>82/2012</w:t>
        </w:r>
      </w:hyperlink>
      <w:r>
        <w:t>, f. 6.</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53.4.</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55.</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55.3.</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55.4.</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 </w:t>
      </w:r>
      <w:hyperlink w:anchor="SENTENCIA_2012_38" w:history="1">
        <w:r w:rsidRPr="0043655B">
          <w:rPr>
            <w:rStyle w:val="TextoNormalCaracter"/>
          </w:rPr>
          <w:t>38/2012</w:t>
        </w:r>
      </w:hyperlink>
      <w:r>
        <w:t>, f. 2.</w:t>
      </w:r>
    </w:p>
    <w:p w:rsidR="0043655B" w:rsidRDefault="0043655B" w:rsidP="0043655B">
      <w:pPr>
        <w:pStyle w:val="SangriaFrancesaArticulo"/>
      </w:pPr>
      <w:r w:rsidRPr="0043655B">
        <w:rPr>
          <w:rStyle w:val="TextoNormalNegritaCaracter"/>
        </w:rPr>
        <w:t>Artículo 76.</w:t>
      </w:r>
      <w:r w:rsidRPr="0043655B">
        <w:rPr>
          <w:rStyle w:val="TextoNormalCaracter"/>
        </w:rPr>
        <w:t>-</w:t>
      </w:r>
      <w:r>
        <w:t xml:space="preserve"> Sentencia </w:t>
      </w:r>
      <w:hyperlink w:anchor="SENTENCIA_2012_7" w:history="1">
        <w:r w:rsidRPr="0043655B">
          <w:rPr>
            <w:rStyle w:val="TextoNormalCaracter"/>
          </w:rPr>
          <w:t>7/2012</w:t>
        </w:r>
      </w:hyperlink>
      <w:r>
        <w:t>, ff. 3, 4, 6.</w:t>
      </w:r>
    </w:p>
    <w:p w:rsidR="0043655B" w:rsidRDefault="0043655B" w:rsidP="0043655B">
      <w:pPr>
        <w:pStyle w:val="SangriaFrancesaArticulo"/>
      </w:pPr>
      <w:r w:rsidRPr="0043655B">
        <w:rPr>
          <w:rStyle w:val="TextoNormalNegritaCaracter"/>
        </w:rPr>
        <w:t>Artículo 76.1.</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a).</w:t>
      </w:r>
      <w:r w:rsidRPr="0043655B">
        <w:rPr>
          <w:rStyle w:val="TextoNormalCaracter"/>
        </w:rPr>
        <w:t>-</w:t>
      </w:r>
      <w:r>
        <w:t xml:space="preserve"> Sentencia </w:t>
      </w:r>
      <w:hyperlink w:anchor="SENTENCIA_2012_7" w:history="1">
        <w:r w:rsidRPr="0043655B">
          <w:rPr>
            <w:rStyle w:val="TextoNormalCaracter"/>
          </w:rPr>
          <w:t>7/2012</w:t>
        </w:r>
      </w:hyperlink>
      <w:r>
        <w:t>, ff. 6, 7.</w:t>
      </w:r>
    </w:p>
    <w:p w:rsidR="0043655B" w:rsidRDefault="0043655B" w:rsidP="0043655B">
      <w:pPr>
        <w:pStyle w:val="SangriaFrancesaArticulo"/>
      </w:pPr>
      <w:r w:rsidRPr="0043655B">
        <w:rPr>
          <w:rStyle w:val="TextoNormalNegritaCaracter"/>
        </w:rPr>
        <w:t>Artículo 76.1 b).</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c).</w:t>
      </w:r>
      <w:r w:rsidRPr="0043655B">
        <w:rPr>
          <w:rStyle w:val="TextoNormalCaracter"/>
        </w:rPr>
        <w:t>-</w:t>
      </w:r>
      <w:r>
        <w:t xml:space="preserve"> Sentencia </w:t>
      </w:r>
      <w:hyperlink w:anchor="SENTENCIA_2012_7" w:history="1">
        <w:r w:rsidRPr="0043655B">
          <w:rPr>
            <w:rStyle w:val="TextoNormalCaracter"/>
          </w:rPr>
          <w:t>7/2012</w:t>
        </w:r>
      </w:hyperlink>
      <w:r>
        <w:t>, ff. 6, 7.</w:t>
      </w:r>
    </w:p>
    <w:p w:rsidR="0043655B" w:rsidRDefault="0043655B" w:rsidP="0043655B">
      <w:pPr>
        <w:pStyle w:val="SangriaFrancesaArticulo"/>
      </w:pPr>
      <w:r w:rsidRPr="0043655B">
        <w:rPr>
          <w:rStyle w:val="TextoNormalNegritaCaracter"/>
        </w:rPr>
        <w:t>Artículo 76.1 d).</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e).</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f).</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g).</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i).</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j).</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k).</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m).</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n).</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76.1 p).</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r w:rsidRPr="0043655B">
        <w:rPr>
          <w:rStyle w:val="TextoNormalNegritaCaracter"/>
        </w:rPr>
        <w:t>Artículo 76.2.</w:t>
      </w:r>
      <w:r w:rsidRPr="0043655B">
        <w:rPr>
          <w:rStyle w:val="TextoNormalCaracter"/>
        </w:rPr>
        <w:t>-</w:t>
      </w:r>
      <w:r>
        <w:t xml:space="preserve"> Sentencia </w:t>
      </w:r>
      <w:hyperlink w:anchor="SENTENCIA_2012_7" w:history="1">
        <w:r w:rsidRPr="0043655B">
          <w:rPr>
            <w:rStyle w:val="TextoNormalCaracter"/>
          </w:rPr>
          <w:t>7/2012</w:t>
        </w:r>
      </w:hyperlink>
      <w:r>
        <w:t>, ff. 4, 6, 7.</w:t>
      </w:r>
    </w:p>
    <w:p w:rsidR="0043655B" w:rsidRDefault="0043655B" w:rsidP="0043655B">
      <w:pPr>
        <w:pStyle w:val="SangriaFrancesaArticulo"/>
      </w:pPr>
      <w:r w:rsidRPr="0043655B">
        <w:rPr>
          <w:rStyle w:val="TextoNormalNegritaCaracter"/>
        </w:rPr>
        <w:t>Artículo 77.</w:t>
      </w:r>
      <w:r w:rsidRPr="0043655B">
        <w:rPr>
          <w:rStyle w:val="TextoNormalCaracter"/>
        </w:rPr>
        <w:t>-</w:t>
      </w:r>
      <w:r>
        <w:t xml:space="preserve"> Sentencia </w:t>
      </w:r>
      <w:hyperlink w:anchor="SENTENCIA_2012_7" w:history="1">
        <w:r w:rsidRPr="0043655B">
          <w:rPr>
            <w:rStyle w:val="TextoNormalCaracter"/>
          </w:rPr>
          <w:t>7/2012</w:t>
        </w:r>
      </w:hyperlink>
      <w:r>
        <w:t>, ff. 3, 4, 6, 7.</w:t>
      </w:r>
    </w:p>
    <w:p w:rsidR="0043655B" w:rsidRDefault="0043655B" w:rsidP="0043655B">
      <w:pPr>
        <w:pStyle w:val="SangriaFrancesaArticulo"/>
      </w:pPr>
      <w:r w:rsidRPr="0043655B">
        <w:rPr>
          <w:rStyle w:val="TextoNormalNegritaCaracter"/>
        </w:rPr>
        <w:t>Artículo 77.1 c).</w:t>
      </w:r>
      <w:r w:rsidRPr="0043655B">
        <w:rPr>
          <w:rStyle w:val="TextoNormalCaracter"/>
        </w:rPr>
        <w:t>-</w:t>
      </w:r>
      <w:r>
        <w:t xml:space="preserve"> Sentencia </w:t>
      </w:r>
      <w:hyperlink w:anchor="SENTENCIA_2012_7" w:history="1">
        <w:r w:rsidRPr="0043655B">
          <w:rPr>
            <w:rStyle w:val="TextoNormalCaracter"/>
          </w:rPr>
          <w:t>7/2012</w:t>
        </w:r>
      </w:hyperlink>
      <w:r>
        <w:t>, f. 6.</w:t>
      </w:r>
    </w:p>
    <w:p w:rsidR="0043655B" w:rsidRDefault="0043655B" w:rsidP="0043655B">
      <w:pPr>
        <w:pStyle w:val="SangriaFrancesaArticulo"/>
      </w:pPr>
    </w:p>
    <w:p w:rsidR="0043655B" w:rsidRDefault="0043655B" w:rsidP="0043655B">
      <w:pPr>
        <w:pStyle w:val="TextoNormalNegritaCursivandice"/>
      </w:pPr>
      <w:r>
        <w:t>Ley 2/2008, de 23 de diciembre. Presupuestos Generales del Estado para el año 2009</w:t>
      </w:r>
    </w:p>
    <w:p w:rsidR="0043655B" w:rsidRDefault="0043655B" w:rsidP="0043655B">
      <w:pPr>
        <w:pStyle w:val="SangriaFrancesaArticulo"/>
      </w:pPr>
      <w:r w:rsidRPr="0043655B">
        <w:rPr>
          <w:rStyle w:val="TextoNormalNegritaCaracter"/>
        </w:rPr>
        <w:t>Artículo 22.2.</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p>
    <w:p w:rsidR="0043655B" w:rsidRDefault="0043655B" w:rsidP="0043655B">
      <w:pPr>
        <w:pStyle w:val="TextoNormalNegritaCursivandice"/>
      </w:pPr>
      <w:r>
        <w:t>Ley 13/2009, de 3 de noviembre. Reforma de la legislación procesal para la implantación de la nueva oficina judicial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IzquierdaArticulo"/>
      </w:pPr>
      <w:r>
        <w:t xml:space="preserve">Autos </w:t>
      </w:r>
      <w:hyperlink w:anchor="AUTO_2012_106" w:history="1">
        <w:r w:rsidRPr="0043655B">
          <w:rPr>
            <w:rStyle w:val="TextoNormalCaracter"/>
          </w:rPr>
          <w:t>106/2012</w:t>
        </w:r>
      </w:hyperlink>
      <w:r>
        <w:t xml:space="preserve">; </w:t>
      </w:r>
      <w:hyperlink w:anchor="AUTO_2012_120" w:history="1">
        <w:r w:rsidRPr="0043655B">
          <w:rPr>
            <w:rStyle w:val="TextoNormalCaracter"/>
          </w:rPr>
          <w:t>120/2012</w:t>
        </w:r>
      </w:hyperlink>
      <w:r>
        <w:t>.</w:t>
      </w:r>
    </w:p>
    <w:p w:rsidR="0043655B" w:rsidRDefault="0043655B" w:rsidP="0043655B">
      <w:pPr>
        <w:pStyle w:val="SangriaIzquierdaArticulo"/>
      </w:pPr>
    </w:p>
    <w:p w:rsidR="0043655B" w:rsidRDefault="0043655B" w:rsidP="0043655B">
      <w:pPr>
        <w:pStyle w:val="TextoNormalNegritaCursivandice"/>
      </w:pPr>
      <w:r>
        <w:t>Ley 17/2009, de 23 de noviembre. Libre acceso a las actividades de servicios y su ejercicio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Artículo 5 c).</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r w:rsidRPr="0043655B">
        <w:rPr>
          <w:rStyle w:val="TextoNormalNegritaCaracter"/>
        </w:rPr>
        <w:t>Artículo 11 a).</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p>
    <w:p w:rsidR="0043655B" w:rsidRDefault="0043655B" w:rsidP="0043655B">
      <w:pPr>
        <w:pStyle w:val="TextoNormalNegritaCursivandice"/>
      </w:pPr>
      <w:r>
        <w:lastRenderedPageBreak/>
        <w:t>Ley 18/2009, de 23 de noviembre. Modificación del texto articulado de la Ley sobre tráfico, circulación de vehículos a motor y seguridad vial, aprobado por el Real Decreto Legislativo 339/1990, de 2 de marzo, en materia sancionadora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7" w:history="1">
        <w:r w:rsidRPr="0043655B">
          <w:rPr>
            <w:rStyle w:val="TextoNormalCaracter"/>
          </w:rPr>
          <w:t>37/2012</w:t>
        </w:r>
      </w:hyperlink>
      <w:r>
        <w:t>, VP III.</w:t>
      </w:r>
    </w:p>
    <w:p w:rsidR="0043655B" w:rsidRDefault="0043655B" w:rsidP="0043655B">
      <w:pPr>
        <w:pStyle w:val="SangriaFrancesaArticulo"/>
      </w:pPr>
    </w:p>
    <w:p w:rsidR="0043655B" w:rsidRDefault="0043655B" w:rsidP="0043655B">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5" w:history="1">
        <w:r w:rsidRPr="0043655B">
          <w:rPr>
            <w:rStyle w:val="TextoNormalCaracter"/>
          </w:rPr>
          <w:t>35/2012</w:t>
        </w:r>
      </w:hyperlink>
      <w:r>
        <w:t>, ff. 7, 9.</w:t>
      </w:r>
    </w:p>
    <w:p w:rsidR="0043655B" w:rsidRDefault="0043655B" w:rsidP="0043655B">
      <w:pPr>
        <w:pStyle w:val="SangriaFrancesaArticulo"/>
      </w:pPr>
      <w:r w:rsidRPr="0043655B">
        <w:rPr>
          <w:rStyle w:val="TextoNormalNegritaCaracter"/>
        </w:rPr>
        <w:t>Artículo 45.</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p>
    <w:p w:rsidR="0043655B" w:rsidRDefault="0043655B" w:rsidP="0043655B">
      <w:pPr>
        <w:pStyle w:val="TextoNormalNegritaCursivandice"/>
      </w:pPr>
      <w:r>
        <w:t>Ley 25/2009, de 22 de diciembre. Modificación de diversas leyes para su adaptación a la Ley sobre el libre acceso a las actividades de servicios y su ejercicio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p>
    <w:p w:rsidR="0043655B" w:rsidRDefault="0043655B" w:rsidP="0043655B">
      <w:pPr>
        <w:pStyle w:val="TextoNormalNegritaCursivandice"/>
      </w:pPr>
      <w:r>
        <w:t>Ley 26/2009, de 23 de diciembre. Presupuestos generales del Estado para 2010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Autos </w:t>
      </w:r>
      <w:hyperlink w:anchor="AUTO_2012_35" w:history="1">
        <w:r w:rsidRPr="0043655B">
          <w:rPr>
            <w:rStyle w:val="TextoNormalCaracter"/>
          </w:rPr>
          <w:t>35/2012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18</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Auto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22</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22.1.</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22.1 a).</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22.2</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22.2 a).</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22.2 b).</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22.Dos.A</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22.Dos.B</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22.Dos.B.4</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22.4</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22.5.</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22.5</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22.5 b).</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Auto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24</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24.1</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24.1 b).</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24.Uno</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24.2</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Artículos 24 a 33</w:t>
      </w:r>
      <w:r>
        <w:t xml:space="preserve"> </w:t>
      </w:r>
      <w:r w:rsidRPr="0043655B">
        <w:rPr>
          <w:rStyle w:val="TextoNormalCaracter"/>
        </w:rPr>
        <w:t>(redactados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25</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lastRenderedPageBreak/>
        <w:t>Artículo 25.Dos.B</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26.Dos.B</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Auto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28</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36.1</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Anexo X</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Anexo X bis</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Anexo XI</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p>
    <w:p w:rsidR="0043655B" w:rsidRDefault="0043655B" w:rsidP="0043655B">
      <w:pPr>
        <w:pStyle w:val="TextoNormalNegritaCursivandice"/>
      </w:pPr>
      <w:r>
        <w:t>Ley 1/2010, de 1 de marzo. Reforma de la Ley 7/1996 de ordenación del comercio minorista</w:t>
      </w:r>
    </w:p>
    <w:p w:rsidR="0043655B" w:rsidRDefault="0043655B" w:rsidP="0043655B">
      <w:pPr>
        <w:pStyle w:val="SangriaFrancesaArticulo"/>
      </w:pPr>
      <w:r w:rsidRPr="0043655B">
        <w:rPr>
          <w:rStyle w:val="TextoNormalNegritaCaracter"/>
        </w:rPr>
        <w:t>Artículo único, apartado 2.</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p>
    <w:p w:rsidR="0043655B" w:rsidRDefault="0043655B" w:rsidP="0043655B">
      <w:pPr>
        <w:pStyle w:val="TextoNormalNegritaCursivandice"/>
      </w:pPr>
      <w:r>
        <w:t>Ley 6/2010, de 24 de marzo. Modificación del texto refundido de la Ley de evaluación de impacto ambiental de proyectos, aprobado por el Real Decreto Legislativo 1/2008, de 11 de enero.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 w:history="1">
        <w:r w:rsidRPr="0043655B">
          <w:rPr>
            <w:rStyle w:val="TextoNormalCaracter"/>
          </w:rPr>
          <w:t>1/2012</w:t>
        </w:r>
      </w:hyperlink>
      <w:r>
        <w:t xml:space="preserve">, ff. 2, 13;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Disposición derogatoria única, apartado d).</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Disposición derogatoria única, apartado d)</w:t>
      </w:r>
      <w:r>
        <w:t xml:space="preserve"> </w:t>
      </w:r>
      <w:r w:rsidRPr="0043655B">
        <w:rPr>
          <w:rStyle w:val="TextoNormalCaracter"/>
        </w:rPr>
        <w:t>(redactada por la Ley 6/2010, de 24 de marzo)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p>
    <w:p w:rsidR="0043655B" w:rsidRDefault="0043655B" w:rsidP="0043655B">
      <w:pPr>
        <w:pStyle w:val="TextoNormalNegritaCursivandice"/>
      </w:pPr>
      <w:r>
        <w:t>Ley 7/2010, de 31 de marzo. General de la comunicación audiovisual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5" w:history="1">
        <w:r w:rsidRPr="0043655B">
          <w:rPr>
            <w:rStyle w:val="TextoNormalCaracter"/>
          </w:rPr>
          <w:t>5/2012</w:t>
        </w:r>
      </w:hyperlink>
      <w:r>
        <w:t>, f. 6.</w:t>
      </w:r>
    </w:p>
    <w:p w:rsidR="0043655B" w:rsidRDefault="0043655B" w:rsidP="0043655B">
      <w:pPr>
        <w:pStyle w:val="SangriaFrancesaArticulo"/>
      </w:pPr>
      <w:r w:rsidRPr="0043655B">
        <w:rPr>
          <w:rStyle w:val="TextoNormalNegritaCaracter"/>
        </w:rPr>
        <w:t>Artículo 22.3.</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22.4 in fine.</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24.2.</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56.</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Artículo 57.6.</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r w:rsidRPr="0043655B">
        <w:rPr>
          <w:rStyle w:val="TextoNormalNegritaCaracter"/>
        </w:rPr>
        <w:t>Disposición final sexta.</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p>
    <w:p w:rsidR="0043655B" w:rsidRDefault="0043655B" w:rsidP="0043655B">
      <w:pPr>
        <w:pStyle w:val="TextoNormalNegritaCursivandice"/>
      </w:pPr>
      <w:r>
        <w:t>Ley 16/2010, de 16 de julio. Régimen de cesión de tributos del Estado a la Comunidad Autónoma de Cataluña y de fijación del alcance y condiciones de dicha cesión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p>
    <w:p w:rsidR="0043655B" w:rsidRDefault="0043655B" w:rsidP="0043655B">
      <w:pPr>
        <w:pStyle w:val="TextoNormalNegritaCursivandice"/>
      </w:pPr>
      <w:r>
        <w:t>Ley 2/2011, de 4 de marzo. Economía sostenible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71" w:history="1">
        <w:r w:rsidRPr="0043655B">
          <w:rPr>
            <w:rStyle w:val="TextoNormalCaracter"/>
          </w:rPr>
          <w:t>71/2012</w:t>
        </w:r>
      </w:hyperlink>
      <w:r>
        <w:t xml:space="preserve">, f. 2; </w:t>
      </w:r>
      <w:hyperlink w:anchor="SENTENCIA_2012_111" w:history="1">
        <w:r w:rsidRPr="0043655B">
          <w:rPr>
            <w:rStyle w:val="TextoNormalCaracter"/>
          </w:rPr>
          <w:t>111/2012</w:t>
        </w:r>
      </w:hyperlink>
      <w:r>
        <w:t>, f. 2.</w:t>
      </w:r>
    </w:p>
    <w:p w:rsidR="0043655B" w:rsidRDefault="0043655B" w:rsidP="0043655B">
      <w:pPr>
        <w:pStyle w:val="SangriaFrancesaArticulo"/>
      </w:pPr>
    </w:p>
    <w:p w:rsidR="0043655B" w:rsidRDefault="0043655B" w:rsidP="0043655B">
      <w:pPr>
        <w:pStyle w:val="TextoNormalNegritaCursivandice"/>
      </w:pPr>
      <w:r>
        <w:t>Ley 13/2011, de 27 de mayo. Regulación del juego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5" w:history="1">
        <w:r w:rsidRPr="0043655B">
          <w:rPr>
            <w:rStyle w:val="TextoNormalCaracter"/>
          </w:rPr>
          <w:t>35/2012</w:t>
        </w:r>
      </w:hyperlink>
      <w:r>
        <w:t>, f. 7.</w:t>
      </w:r>
    </w:p>
    <w:p w:rsidR="0043655B" w:rsidRDefault="0043655B" w:rsidP="0043655B">
      <w:pPr>
        <w:pStyle w:val="SangriaFrancesaArticulo"/>
      </w:pPr>
      <w:r w:rsidRPr="0043655B">
        <w:rPr>
          <w:rStyle w:val="TextoNormalNegritaCaracter"/>
        </w:rPr>
        <w:t>Artículo 2.2 b).</w:t>
      </w:r>
      <w:r w:rsidRPr="0043655B">
        <w:rPr>
          <w:rStyle w:val="TextoNormalCaracter"/>
        </w:rPr>
        <w:t>-</w:t>
      </w:r>
      <w:r>
        <w:t xml:space="preserve"> Sentencia </w:t>
      </w:r>
      <w:hyperlink w:anchor="SENTENCIA_2012_35" w:history="1">
        <w:r w:rsidRPr="0043655B">
          <w:rPr>
            <w:rStyle w:val="TextoNormalCaracter"/>
          </w:rPr>
          <w:t>35/2012</w:t>
        </w:r>
      </w:hyperlink>
      <w:r>
        <w:t>, f. 10.</w:t>
      </w:r>
    </w:p>
    <w:p w:rsidR="0043655B" w:rsidRDefault="0043655B" w:rsidP="0043655B">
      <w:pPr>
        <w:pStyle w:val="SangriaFrancesaArticulo"/>
      </w:pPr>
      <w:r w:rsidRPr="0043655B">
        <w:rPr>
          <w:rStyle w:val="TextoNormalNegritaCaracter"/>
        </w:rPr>
        <w:t>Artículo 3 h).</w:t>
      </w:r>
      <w:r w:rsidRPr="0043655B">
        <w:rPr>
          <w:rStyle w:val="TextoNormalCaracter"/>
        </w:rPr>
        <w:t>-</w:t>
      </w:r>
      <w:r>
        <w:t xml:space="preserve"> Sentencia </w:t>
      </w:r>
      <w:hyperlink w:anchor="SENTENCIA_2012_35" w:history="1">
        <w:r w:rsidRPr="0043655B">
          <w:rPr>
            <w:rStyle w:val="TextoNormalCaracter"/>
          </w:rPr>
          <w:t>35/2012</w:t>
        </w:r>
      </w:hyperlink>
      <w:r>
        <w:t>, f. 2.</w:t>
      </w:r>
    </w:p>
    <w:p w:rsidR="0043655B" w:rsidRDefault="0043655B" w:rsidP="0043655B">
      <w:pPr>
        <w:pStyle w:val="SangriaFrancesaArticulo"/>
      </w:pPr>
      <w:r w:rsidRPr="0043655B">
        <w:rPr>
          <w:rStyle w:val="TextoNormalNegritaCaracter"/>
        </w:rPr>
        <w:t>Artículo 48.</w:t>
      </w:r>
      <w:r w:rsidRPr="0043655B">
        <w:rPr>
          <w:rStyle w:val="TextoNormalCaracter"/>
        </w:rPr>
        <w:t>-</w:t>
      </w:r>
      <w:r>
        <w:t xml:space="preserve"> Sentencia </w:t>
      </w:r>
      <w:hyperlink w:anchor="SENTENCIA_2012_35" w:history="1">
        <w:r w:rsidRPr="0043655B">
          <w:rPr>
            <w:rStyle w:val="TextoNormalCaracter"/>
          </w:rPr>
          <w:t>35/2012</w:t>
        </w:r>
      </w:hyperlink>
      <w:r>
        <w:t>, f. 2.</w:t>
      </w:r>
    </w:p>
    <w:p w:rsidR="0043655B" w:rsidRDefault="0043655B" w:rsidP="0043655B">
      <w:pPr>
        <w:pStyle w:val="SangriaFrancesaArticulo"/>
      </w:pPr>
      <w:r w:rsidRPr="0043655B">
        <w:rPr>
          <w:rStyle w:val="TextoNormalNegritaCaracter"/>
        </w:rPr>
        <w:t>Artículo 48.7.</w:t>
      </w:r>
      <w:r w:rsidRPr="0043655B">
        <w:rPr>
          <w:rStyle w:val="TextoNormalCaracter"/>
        </w:rPr>
        <w:t>-</w:t>
      </w:r>
      <w:r>
        <w:t xml:space="preserve"> Sentencia </w:t>
      </w:r>
      <w:hyperlink w:anchor="SENTENCIA_2012_35" w:history="1">
        <w:r w:rsidRPr="0043655B">
          <w:rPr>
            <w:rStyle w:val="TextoNormalCaracter"/>
          </w:rPr>
          <w:t>35/2012</w:t>
        </w:r>
      </w:hyperlink>
      <w:r>
        <w:t>, f. 2.</w:t>
      </w:r>
    </w:p>
    <w:p w:rsidR="0043655B" w:rsidRDefault="0043655B" w:rsidP="0043655B">
      <w:pPr>
        <w:pStyle w:val="SangriaFrancesaArticulo"/>
      </w:pPr>
      <w:r w:rsidRPr="0043655B">
        <w:rPr>
          <w:rStyle w:val="TextoNormalNegritaCaracter"/>
        </w:rPr>
        <w:t>Artículo 48.11.</w:t>
      </w:r>
      <w:r w:rsidRPr="0043655B">
        <w:rPr>
          <w:rStyle w:val="TextoNormalCaracter"/>
        </w:rPr>
        <w:t>-</w:t>
      </w:r>
      <w:r>
        <w:t xml:space="preserve"> Sentencia </w:t>
      </w:r>
      <w:hyperlink w:anchor="SENTENCIA_2012_35" w:history="1">
        <w:r w:rsidRPr="0043655B">
          <w:rPr>
            <w:rStyle w:val="TextoNormalCaracter"/>
          </w:rPr>
          <w:t>35/2012</w:t>
        </w:r>
      </w:hyperlink>
      <w:r>
        <w:t>, f. 2.</w:t>
      </w:r>
    </w:p>
    <w:p w:rsidR="0043655B" w:rsidRDefault="0043655B" w:rsidP="0043655B">
      <w:pPr>
        <w:pStyle w:val="SangriaFrancesaArticulo"/>
      </w:pPr>
      <w:r w:rsidRPr="0043655B">
        <w:rPr>
          <w:rStyle w:val="TextoNormalNegritaCaracter"/>
        </w:rPr>
        <w:lastRenderedPageBreak/>
        <w:t>Disposición transitoria sexta.</w:t>
      </w:r>
      <w:r w:rsidRPr="0043655B">
        <w:rPr>
          <w:rStyle w:val="TextoNormalCaracter"/>
        </w:rPr>
        <w:t>-</w:t>
      </w:r>
      <w:r>
        <w:t xml:space="preserve"> Sentencia </w:t>
      </w:r>
      <w:hyperlink w:anchor="SENTENCIA_2012_35" w:history="1">
        <w:r w:rsidRPr="0043655B">
          <w:rPr>
            <w:rStyle w:val="TextoNormalCaracter"/>
          </w:rPr>
          <w:t>35/2012</w:t>
        </w:r>
      </w:hyperlink>
      <w:r>
        <w:t>, f. 2.</w:t>
      </w:r>
    </w:p>
    <w:p w:rsidR="0043655B" w:rsidRDefault="0043655B" w:rsidP="0043655B">
      <w:pPr>
        <w:pStyle w:val="SangriaFrancesaArticulo"/>
      </w:pPr>
      <w:r w:rsidRPr="0043655B">
        <w:rPr>
          <w:rStyle w:val="TextoNormalNegritaCaracter"/>
        </w:rPr>
        <w:t>Disposición derogatoria, apartado 2, inciso 14.</w:t>
      </w:r>
      <w:r w:rsidRPr="0043655B">
        <w:rPr>
          <w:rStyle w:val="TextoNormalCaracter"/>
        </w:rPr>
        <w:t>-</w:t>
      </w:r>
      <w:r>
        <w:t xml:space="preserve"> Sentencias </w:t>
      </w:r>
      <w:hyperlink w:anchor="SENTENCIA_2012_35" w:history="1">
        <w:r w:rsidRPr="0043655B">
          <w:rPr>
            <w:rStyle w:val="TextoNormalCaracter"/>
          </w:rPr>
          <w:t>35/2012</w:t>
        </w:r>
      </w:hyperlink>
      <w:r>
        <w:t xml:space="preserve">, ff. 2, 5; </w:t>
      </w:r>
      <w:hyperlink w:anchor="SENTENCIA_2012_83" w:history="1">
        <w:r w:rsidRPr="0043655B">
          <w:rPr>
            <w:rStyle w:val="TextoNormalCaracter"/>
          </w:rPr>
          <w:t>83/2012</w:t>
        </w:r>
      </w:hyperlink>
      <w:r>
        <w:t>, f. 3.</w:t>
      </w:r>
    </w:p>
    <w:p w:rsidR="0043655B" w:rsidRDefault="0043655B" w:rsidP="0043655B">
      <w:pPr>
        <w:pStyle w:val="SangriaFrancesaArticulo"/>
      </w:pPr>
      <w:r w:rsidRPr="0043655B">
        <w:rPr>
          <w:rStyle w:val="TextoNormalNegritaCaracter"/>
        </w:rPr>
        <w:t>Disposición final quinta, apartado 2.</w:t>
      </w:r>
      <w:r w:rsidRPr="0043655B">
        <w:rPr>
          <w:rStyle w:val="TextoNormalCaracter"/>
        </w:rPr>
        <w:t>-</w:t>
      </w:r>
      <w:r>
        <w:t xml:space="preserve"> Sentencia </w:t>
      </w:r>
      <w:hyperlink w:anchor="SENTENCIA_2012_35" w:history="1">
        <w:r w:rsidRPr="0043655B">
          <w:rPr>
            <w:rStyle w:val="TextoNormalCaracter"/>
          </w:rPr>
          <w:t>35/2012</w:t>
        </w:r>
      </w:hyperlink>
      <w:r>
        <w:t>, ff. 2, 7.</w:t>
      </w:r>
    </w:p>
    <w:p w:rsidR="0043655B" w:rsidRDefault="0043655B" w:rsidP="0043655B">
      <w:pPr>
        <w:pStyle w:val="SangriaFrancesaArticulo"/>
      </w:pPr>
    </w:p>
    <w:p w:rsidR="0043655B" w:rsidRDefault="0043655B" w:rsidP="0043655B">
      <w:pPr>
        <w:pStyle w:val="TextoNormalNegritaCursivandice"/>
      </w:pPr>
      <w:r>
        <w:t>Ley 29/2011, de 22 de septiembre. Reconocimiento y protección integral a las víctimas del terrorismo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8" w:history="1">
        <w:r w:rsidRPr="0043655B">
          <w:rPr>
            <w:rStyle w:val="TextoNormalCaracter"/>
          </w:rPr>
          <w:t>138/2012</w:t>
        </w:r>
      </w:hyperlink>
      <w:r>
        <w:t>, VP II.</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38" w:history="1">
        <w:r w:rsidRPr="0043655B">
          <w:rPr>
            <w:rStyle w:val="TextoNormalCaracter"/>
          </w:rPr>
          <w:t>138/2012</w:t>
        </w:r>
      </w:hyperlink>
      <w:r>
        <w:t>, f. 15.</w:t>
      </w:r>
    </w:p>
    <w:p w:rsidR="0043655B" w:rsidRDefault="0043655B" w:rsidP="0043655B">
      <w:pPr>
        <w:pStyle w:val="SangriaFrancesaArticulo"/>
      </w:pPr>
    </w:p>
    <w:p w:rsidR="0043655B" w:rsidRDefault="0043655B" w:rsidP="0043655B">
      <w:pPr>
        <w:pStyle w:val="TextoNormalNegritaCursivandice"/>
      </w:pPr>
      <w:r>
        <w:t>Ley 33/2011, de 4 de octubre. General de salud pública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p>
    <w:p w:rsidR="0043655B" w:rsidRDefault="0043655B" w:rsidP="0043655B">
      <w:pPr>
        <w:pStyle w:val="TextoNormalNegritaCursivandice"/>
      </w:pPr>
      <w:r>
        <w:t>Ley 36/2011, de 10 de octubre. Reguladora de la jurisdicción social</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Sentencia </w:t>
      </w:r>
      <w:hyperlink w:anchor="SENTENCIA_2012_84" w:history="1">
        <w:r w:rsidRPr="0043655B">
          <w:rPr>
            <w:rStyle w:val="TextoNormalCaracter"/>
          </w:rPr>
          <w:t>84/2012</w:t>
        </w:r>
      </w:hyperlink>
      <w:r>
        <w:t>, f. 4.</w:t>
      </w:r>
    </w:p>
    <w:p w:rsidR="0043655B" w:rsidRDefault="0043655B" w:rsidP="0043655B">
      <w:pPr>
        <w:pStyle w:val="SangriaFrancesaArticulo"/>
      </w:pPr>
      <w:r w:rsidRPr="0043655B">
        <w:rPr>
          <w:rStyle w:val="TextoNormalNegritaCaracter"/>
        </w:rPr>
        <w:t>Disposición transitoria segunda, apartado 2.</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Disposición transitoria segunda, apartado 3.</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Disposición derogatoria única.</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p>
    <w:p w:rsidR="0043655B" w:rsidRDefault="0043655B" w:rsidP="0043655B">
      <w:pPr>
        <w:pStyle w:val="TextoNormalNegritaCursivandice"/>
      </w:pPr>
      <w:r>
        <w:t>Ley 37/2011, de 10 de octubre. Medidas de agilización procesal</w:t>
      </w:r>
    </w:p>
    <w:p w:rsidR="0043655B" w:rsidRDefault="0043655B" w:rsidP="0043655B">
      <w:pPr>
        <w:pStyle w:val="SangriaFrancesaArticulo"/>
      </w:pPr>
      <w:r w:rsidRPr="0043655B">
        <w:rPr>
          <w:rStyle w:val="TextoNormalNegritaCaracter"/>
        </w:rPr>
        <w:t>Disposición final segunda.</w:t>
      </w:r>
      <w:r w:rsidRPr="0043655B">
        <w:rPr>
          <w:rStyle w:val="TextoNormalCaracter"/>
        </w:rPr>
        <w:t>-</w:t>
      </w:r>
      <w:r>
        <w:t xml:space="preserve"> Sentencia </w:t>
      </w:r>
      <w:hyperlink w:anchor="SENTENCIA_2012_20" w:history="1">
        <w:r w:rsidRPr="0043655B">
          <w:rPr>
            <w:rStyle w:val="TextoNormalCaracter"/>
          </w:rPr>
          <w:t>20/2012</w:t>
        </w:r>
      </w:hyperlink>
      <w:r>
        <w:t>, f. 3.</w:t>
      </w:r>
    </w:p>
    <w:p w:rsidR="0043655B" w:rsidRDefault="0043655B" w:rsidP="0043655B">
      <w:pPr>
        <w:pStyle w:val="TextoNormal"/>
      </w:pPr>
    </w:p>
    <w:p w:rsidR="0043655B" w:rsidRDefault="0043655B" w:rsidP="0043655B">
      <w:pPr>
        <w:pStyle w:val="SangriaFrancesaArticulo"/>
      </w:pPr>
      <w:bookmarkStart w:id="286" w:name="INDICE22847"/>
    </w:p>
    <w:bookmarkEnd w:id="286"/>
    <w:p w:rsidR="0043655B" w:rsidRDefault="0043655B" w:rsidP="0043655B">
      <w:pPr>
        <w:pStyle w:val="TextoIndiceNivel2"/>
        <w:suppressAutoHyphens/>
      </w:pPr>
      <w:r>
        <w:t>F) Reales Decretos Legislativos</w:t>
      </w:r>
    </w:p>
    <w:p w:rsidR="0043655B" w:rsidRDefault="0043655B" w:rsidP="0043655B">
      <w:pPr>
        <w:pStyle w:val="TextoIndiceNivel2"/>
      </w:pPr>
    </w:p>
    <w:p w:rsidR="0043655B" w:rsidRDefault="0043655B" w:rsidP="0043655B">
      <w:pPr>
        <w:pStyle w:val="TextoNormalNegritaCursivandice"/>
      </w:pPr>
      <w:r>
        <w:t>Real Decreto Legislativo 3050/1980, de 30 de diciembre. Texto refundido de la Ley del impuesto sobre transmisiones patrimoniales y actos jurídicos documentados</w:t>
      </w:r>
    </w:p>
    <w:p w:rsidR="0043655B" w:rsidRDefault="0043655B" w:rsidP="0043655B">
      <w:pPr>
        <w:pStyle w:val="SangriaFrancesaArticulo"/>
      </w:pPr>
      <w:r w:rsidRPr="0043655B">
        <w:rPr>
          <w:rStyle w:val="TextoNormalNegritaCaracter"/>
        </w:rPr>
        <w:t>Artículo 57.1.</w:t>
      </w:r>
      <w:r w:rsidRPr="0043655B">
        <w:rPr>
          <w:rStyle w:val="TextoNormalCaracter"/>
        </w:rPr>
        <w:t>-</w:t>
      </w:r>
      <w:r>
        <w:t xml:space="preserve"> Sentencia </w:t>
      </w:r>
      <w:hyperlink w:anchor="SENTENCIA_2012_20" w:history="1">
        <w:r w:rsidRPr="0043655B">
          <w:rPr>
            <w:rStyle w:val="TextoNormalCaracter"/>
          </w:rPr>
          <w:t>20/2012</w:t>
        </w:r>
      </w:hyperlink>
      <w:r>
        <w:t>, f. 12.</w:t>
      </w:r>
    </w:p>
    <w:p w:rsidR="0043655B" w:rsidRDefault="0043655B" w:rsidP="0043655B">
      <w:pPr>
        <w:pStyle w:val="SangriaFrancesaArticulo"/>
      </w:pPr>
    </w:p>
    <w:p w:rsidR="0043655B" w:rsidRDefault="0043655B" w:rsidP="0043655B">
      <w:pPr>
        <w:pStyle w:val="TextoNormalNegritaCursivandice"/>
      </w:pPr>
      <w:r>
        <w:t>Real Decreto Legislativo 781/1986, de 18 de abril. Texto refundido de las disposiciones legales vigentes en materia de régimen local</w:t>
      </w:r>
    </w:p>
    <w:p w:rsidR="0043655B" w:rsidRDefault="0043655B" w:rsidP="0043655B">
      <w:pPr>
        <w:pStyle w:val="SangriaFrancesaArticulo"/>
      </w:pPr>
      <w:r w:rsidRPr="0043655B">
        <w:rPr>
          <w:rStyle w:val="TextoNormalNegritaCaracter"/>
        </w:rPr>
        <w:t>Artículo 135 b) in fine.</w:t>
      </w:r>
      <w:r w:rsidRPr="0043655B">
        <w:rPr>
          <w:rStyle w:val="TextoNormalCaracter"/>
        </w:rPr>
        <w:t>-</w:t>
      </w:r>
      <w:r>
        <w:t xml:space="preserve"> Sentencia </w:t>
      </w:r>
      <w:hyperlink w:anchor="SENTENCIA_2012_29" w:history="1">
        <w:r w:rsidRPr="0043655B">
          <w:rPr>
            <w:rStyle w:val="TextoNormalCaracter"/>
          </w:rPr>
          <w:t>29/2012</w:t>
        </w:r>
      </w:hyperlink>
      <w:r>
        <w:t>, f. 5.</w:t>
      </w:r>
    </w:p>
    <w:p w:rsidR="0043655B" w:rsidRDefault="0043655B" w:rsidP="0043655B">
      <w:pPr>
        <w:pStyle w:val="SangriaFrancesaArticulo"/>
      </w:pPr>
    </w:p>
    <w:p w:rsidR="0043655B" w:rsidRDefault="0043655B" w:rsidP="0043655B">
      <w:pPr>
        <w:pStyle w:val="TextoNormalNegritaCursivandice"/>
      </w:pPr>
      <w:r>
        <w:t>Real Decreto Legislativo 1302/1986, de 28 de junio. Evaluación de impacto ambiental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 w:history="1">
        <w:r w:rsidRPr="0043655B">
          <w:rPr>
            <w:rStyle w:val="TextoNormalCaracter"/>
          </w:rPr>
          <w:t>1/2012</w:t>
        </w:r>
      </w:hyperlink>
      <w:r>
        <w:t xml:space="preserve">, ff. 5, 7, 10, 12; </w:t>
      </w:r>
      <w:hyperlink w:anchor="SENTENCIA_2012_34" w:history="1">
        <w:r w:rsidRPr="0043655B">
          <w:rPr>
            <w:rStyle w:val="TextoNormalCaracter"/>
          </w:rPr>
          <w:t>34/2012</w:t>
        </w:r>
      </w:hyperlink>
      <w:r>
        <w:t>, ff. 1, 5, 6.</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1</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2</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2.1</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2.2 párrafo 2</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lastRenderedPageBreak/>
        <w:t>Artículo 2.3</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5</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Sentencias </w:t>
      </w:r>
      <w:hyperlink w:anchor="SENTENCIA_2012_1" w:history="1">
        <w:r w:rsidRPr="0043655B">
          <w:rPr>
            <w:rStyle w:val="TextoNormalCaracter"/>
          </w:rPr>
          <w:t>1/2012</w:t>
        </w:r>
      </w:hyperlink>
      <w:r>
        <w:t xml:space="preserve">, ff. 1, 2, 5, 7, 12 a 14;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5</w:t>
      </w:r>
      <w:r>
        <w:t xml:space="preserve"> </w:t>
      </w:r>
      <w:r w:rsidRPr="0043655B">
        <w:rPr>
          <w:rStyle w:val="TextoNormalCaracter"/>
        </w:rPr>
        <w:t>(redactado por la Ley 6/2001, de 8 de mayo)</w:t>
      </w:r>
      <w:r w:rsidRPr="0043655B">
        <w:rPr>
          <w:rStyle w:val="TextoNormalNegritaCaracter"/>
        </w:rPr>
        <w:t>.</w:t>
      </w:r>
      <w:r w:rsidRPr="0043655B">
        <w:rPr>
          <w:rStyle w:val="TextoNormalCaracter"/>
        </w:rPr>
        <w:t>-</w:t>
      </w:r>
      <w:r>
        <w:t xml:space="preserve"> Sentencia </w:t>
      </w:r>
      <w:hyperlink w:anchor="SENTENCIA_2012_34" w:history="1">
        <w:r w:rsidRPr="0043655B">
          <w:rPr>
            <w:rStyle w:val="TextoNormalCaracter"/>
          </w:rPr>
          <w:t>34/2012</w:t>
        </w:r>
      </w:hyperlink>
      <w:r>
        <w:t>, ff. 1, 2, 5.</w:t>
      </w:r>
    </w:p>
    <w:p w:rsidR="0043655B" w:rsidRDefault="0043655B" w:rsidP="0043655B">
      <w:pPr>
        <w:pStyle w:val="SangriaFrancesaArticulo"/>
      </w:pPr>
      <w:r w:rsidRPr="0043655B">
        <w:rPr>
          <w:rStyle w:val="TextoNormalNegritaCaracter"/>
        </w:rPr>
        <w:t>Artículo 5.3</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6</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6.1</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7</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Sentencias </w:t>
      </w:r>
      <w:hyperlink w:anchor="SENTENCIA_2012_1" w:history="1">
        <w:r w:rsidRPr="0043655B">
          <w:rPr>
            <w:rStyle w:val="TextoNormalCaracter"/>
          </w:rPr>
          <w:t>1/2012</w:t>
        </w:r>
      </w:hyperlink>
      <w:r>
        <w:t xml:space="preserve">, ff. 1, 2, 7, 12 a 14;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7</w:t>
      </w:r>
      <w:r>
        <w:t xml:space="preserve"> </w:t>
      </w:r>
      <w:r w:rsidRPr="0043655B">
        <w:rPr>
          <w:rStyle w:val="TextoNormalCaracter"/>
        </w:rPr>
        <w:t>(redactado por la Ley 6/2001, de 8 de mayo)</w:t>
      </w:r>
      <w:r w:rsidRPr="0043655B">
        <w:rPr>
          <w:rStyle w:val="TextoNormalNegritaCaracter"/>
        </w:rPr>
        <w:t>.</w:t>
      </w:r>
      <w:r w:rsidRPr="0043655B">
        <w:rPr>
          <w:rStyle w:val="TextoNormalCaracter"/>
        </w:rPr>
        <w:t>-</w:t>
      </w:r>
      <w:r>
        <w:t xml:space="preserve"> Sentencia </w:t>
      </w:r>
      <w:hyperlink w:anchor="SENTENCIA_2012_34" w:history="1">
        <w:r w:rsidRPr="0043655B">
          <w:rPr>
            <w:rStyle w:val="TextoNormalCaracter"/>
          </w:rPr>
          <w:t>34/2012</w:t>
        </w:r>
      </w:hyperlink>
      <w:r>
        <w:t>, ff. 1, 2, 5.</w:t>
      </w:r>
    </w:p>
    <w:p w:rsidR="0043655B" w:rsidRDefault="0043655B" w:rsidP="0043655B">
      <w:pPr>
        <w:pStyle w:val="SangriaFrancesaArticulo"/>
      </w:pPr>
      <w:r w:rsidRPr="0043655B">
        <w:rPr>
          <w:rStyle w:val="TextoNormalNegritaCaracter"/>
        </w:rPr>
        <w:t>Disposición adicional tercera</w:t>
      </w:r>
      <w:r>
        <w:t xml:space="preserve"> </w:t>
      </w:r>
      <w:r w:rsidRPr="0043655B">
        <w:rPr>
          <w:rStyle w:val="TextoNormalCaracter"/>
        </w:rPr>
        <w:t>(redactada por el Real Decreto-ley 9/2000, de 6 de octubre)</w:t>
      </w:r>
      <w:r w:rsidRPr="0043655B">
        <w:rPr>
          <w:rStyle w:val="TextoNormalNegritaCaracter"/>
        </w:rPr>
        <w:t>.</w:t>
      </w:r>
      <w:r w:rsidRPr="0043655B">
        <w:rPr>
          <w:rStyle w:val="TextoNormalCaracter"/>
        </w:rPr>
        <w:t>-</w:t>
      </w:r>
      <w:r>
        <w:t xml:space="preserve"> Sentencias </w:t>
      </w:r>
      <w:hyperlink w:anchor="SENTENCIA_2012_1" w:history="1">
        <w:r w:rsidRPr="0043655B">
          <w:rPr>
            <w:rStyle w:val="TextoNormalCaracter"/>
          </w:rPr>
          <w:t>1/2012</w:t>
        </w:r>
      </w:hyperlink>
      <w:r>
        <w:t xml:space="preserve">, ff. 1, 2, 7, 12;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Disposición adicional tercera</w:t>
      </w:r>
      <w:r>
        <w:t xml:space="preserve"> </w:t>
      </w:r>
      <w:r w:rsidRPr="0043655B">
        <w:rPr>
          <w:rStyle w:val="TextoNormalCaracter"/>
        </w:rPr>
        <w:t>(redactada por la Ley 6/2001, de 8 de mayo)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12.</w:t>
      </w:r>
    </w:p>
    <w:p w:rsidR="0043655B" w:rsidRDefault="0043655B" w:rsidP="0043655B">
      <w:pPr>
        <w:pStyle w:val="SangriaFrancesaArticulo"/>
      </w:pPr>
      <w:r w:rsidRPr="0043655B">
        <w:rPr>
          <w:rStyle w:val="TextoNormalNegritaCaracter"/>
        </w:rPr>
        <w:t>Disposición adicional tercera</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Sentencias </w:t>
      </w:r>
      <w:hyperlink w:anchor="SENTENCIA_2012_1" w:history="1">
        <w:r w:rsidRPr="0043655B">
          <w:rPr>
            <w:rStyle w:val="TextoNormalCaracter"/>
          </w:rPr>
          <w:t>1/2012</w:t>
        </w:r>
      </w:hyperlink>
      <w:r>
        <w:t xml:space="preserve">, ff. 1, 2, 7, 12;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Disposición final tercera.</w:t>
      </w:r>
      <w:r w:rsidRPr="0043655B">
        <w:rPr>
          <w:rStyle w:val="TextoNormalCaracter"/>
        </w:rPr>
        <w:t>-</w:t>
      </w:r>
      <w:r>
        <w:t xml:space="preserve"> Sentencia </w:t>
      </w:r>
      <w:hyperlink w:anchor="SENTENCIA_2012_34" w:history="1">
        <w:r w:rsidRPr="0043655B">
          <w:rPr>
            <w:rStyle w:val="TextoNormalCaracter"/>
          </w:rPr>
          <w:t>34/2012</w:t>
        </w:r>
      </w:hyperlink>
      <w:r>
        <w:t>, ff. 5, 6.</w:t>
      </w:r>
    </w:p>
    <w:p w:rsidR="0043655B" w:rsidRDefault="0043655B" w:rsidP="0043655B">
      <w:pPr>
        <w:pStyle w:val="SangriaFrancesaArticulo"/>
      </w:pPr>
      <w:r w:rsidRPr="0043655B">
        <w:rPr>
          <w:rStyle w:val="TextoNormalNegritaCaracter"/>
        </w:rPr>
        <w:t>Disposición final tercera</w:t>
      </w:r>
      <w:r>
        <w:t xml:space="preserve"> </w:t>
      </w:r>
      <w:r w:rsidRPr="0043655B">
        <w:rPr>
          <w:rStyle w:val="TextoNormalCaracter"/>
        </w:rPr>
        <w:t>(redactada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ff. 1, 2, 15.</w:t>
      </w:r>
    </w:p>
    <w:p w:rsidR="0043655B" w:rsidRDefault="0043655B" w:rsidP="0043655B">
      <w:pPr>
        <w:pStyle w:val="SangriaFrancesaArticulo"/>
      </w:pPr>
      <w:r w:rsidRPr="0043655B">
        <w:rPr>
          <w:rStyle w:val="TextoNormalNegritaCaracter"/>
        </w:rPr>
        <w:t>Disposición final tercera</w:t>
      </w:r>
      <w:r>
        <w:t xml:space="preserve"> </w:t>
      </w:r>
      <w:r w:rsidRPr="0043655B">
        <w:rPr>
          <w:rStyle w:val="TextoNormalCaracter"/>
        </w:rPr>
        <w:t>(redactada por la Ley 6/2001, de 8 de mayo)</w:t>
      </w:r>
      <w:r w:rsidRPr="0043655B">
        <w:rPr>
          <w:rStyle w:val="TextoNormalNegritaCaracter"/>
        </w:rPr>
        <w:t>.</w:t>
      </w:r>
      <w:r w:rsidRPr="0043655B">
        <w:rPr>
          <w:rStyle w:val="TextoNormalCaracter"/>
        </w:rPr>
        <w:t>-</w:t>
      </w:r>
      <w:r>
        <w:t xml:space="preserve"> Sentencia </w:t>
      </w:r>
      <w:hyperlink w:anchor="SENTENCIA_2012_34" w:history="1">
        <w:r w:rsidRPr="0043655B">
          <w:rPr>
            <w:rStyle w:val="TextoNormalCaracter"/>
          </w:rPr>
          <w:t>34/2012</w:t>
        </w:r>
      </w:hyperlink>
      <w:r>
        <w:t>, ff. 1, 2, 5, 6.</w:t>
      </w:r>
    </w:p>
    <w:p w:rsidR="0043655B" w:rsidRDefault="0043655B" w:rsidP="0043655B">
      <w:pPr>
        <w:pStyle w:val="SangriaFrancesaArticulo"/>
      </w:pPr>
      <w:r w:rsidRPr="0043655B">
        <w:rPr>
          <w:rStyle w:val="TextoNormalNegritaCaracter"/>
        </w:rPr>
        <w:t>Disposición final tercera</w:t>
      </w:r>
      <w:r>
        <w:t xml:space="preserve"> </w:t>
      </w:r>
      <w:r w:rsidRPr="0043655B">
        <w:rPr>
          <w:rStyle w:val="TextoNormalCaracter"/>
        </w:rPr>
        <w:t>(redactado por el Real Decreto-ley 9/2000, de 6 de octubre)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ff. 1, 2, 15.</w:t>
      </w:r>
    </w:p>
    <w:p w:rsidR="0043655B" w:rsidRDefault="0043655B" w:rsidP="0043655B">
      <w:pPr>
        <w:pStyle w:val="SangriaFrancesaArticulo"/>
      </w:pPr>
      <w:r w:rsidRPr="0043655B">
        <w:rPr>
          <w:rStyle w:val="TextoNormalNegritaCaracter"/>
        </w:rPr>
        <w:t>Anexo.</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p>
    <w:p w:rsidR="0043655B" w:rsidRDefault="0043655B" w:rsidP="0043655B">
      <w:pPr>
        <w:pStyle w:val="TextoNormalNegritaCursivandice"/>
      </w:pPr>
      <w:r>
        <w:t>Real Decreto Legislativo 339/1990, de 2 de marzo. Texto articulado de la Ley de bases sobre tráfico, circulación de vehículos a motor y seguridad vial</w:t>
      </w:r>
    </w:p>
    <w:p w:rsidR="0043655B" w:rsidRDefault="0043655B" w:rsidP="0043655B">
      <w:pPr>
        <w:pStyle w:val="SangriaFrancesaArticulo"/>
      </w:pPr>
      <w:r w:rsidRPr="0043655B">
        <w:rPr>
          <w:rStyle w:val="TextoNormalNegritaCaracter"/>
        </w:rPr>
        <w:t>Artículo 81.</w:t>
      </w:r>
      <w:r w:rsidRPr="0043655B">
        <w:rPr>
          <w:rStyle w:val="TextoNormalCaracter"/>
        </w:rPr>
        <w:t>-</w:t>
      </w:r>
      <w:r>
        <w:t xml:space="preserve"> Sentencias </w:t>
      </w:r>
      <w:hyperlink w:anchor="SENTENCIA_2012_37" w:history="1">
        <w:r w:rsidRPr="0043655B">
          <w:rPr>
            <w:rStyle w:val="TextoNormalCaracter"/>
          </w:rPr>
          <w:t>37/2012</w:t>
        </w:r>
      </w:hyperlink>
      <w:r>
        <w:t xml:space="preserve">, ff. 1 a 3, 8 a 12, VP I, VP II, VP III, VP IV; </w:t>
      </w:r>
      <w:hyperlink w:anchor="SENTENCIA_2012_75" w:history="1">
        <w:r w:rsidRPr="0043655B">
          <w:rPr>
            <w:rStyle w:val="TextoNormalCaracter"/>
          </w:rPr>
          <w:t>75/2012</w:t>
        </w:r>
      </w:hyperlink>
      <w:r>
        <w:t xml:space="preserve">, ff. 1, 2, 4; </w:t>
      </w:r>
      <w:hyperlink w:anchor="SENTENCIA_2012_91" w:history="1">
        <w:r w:rsidRPr="0043655B">
          <w:rPr>
            <w:rStyle w:val="TextoNormalCaracter"/>
          </w:rPr>
          <w:t>91/2012</w:t>
        </w:r>
      </w:hyperlink>
      <w:r>
        <w:t xml:space="preserve">, ff. 1, 2, 4; </w:t>
      </w:r>
      <w:hyperlink w:anchor="SENTENCIA_2012_93" w:history="1">
        <w:r w:rsidRPr="0043655B">
          <w:rPr>
            <w:rStyle w:val="TextoNormalCaracter"/>
          </w:rPr>
          <w:t>93/2012</w:t>
        </w:r>
      </w:hyperlink>
      <w:r>
        <w:t xml:space="preserve">, ff. 2, 3; </w:t>
      </w:r>
      <w:hyperlink w:anchor="SENTENCIA_2012_94" w:history="1">
        <w:r w:rsidRPr="0043655B">
          <w:rPr>
            <w:rStyle w:val="TextoNormalCaracter"/>
          </w:rPr>
          <w:t>94/2012</w:t>
        </w:r>
      </w:hyperlink>
      <w:r>
        <w:t xml:space="preserve">, ff. 1, 2, 4; </w:t>
      </w:r>
      <w:hyperlink w:anchor="SENTENCIA_2012_98" w:history="1">
        <w:r w:rsidRPr="0043655B">
          <w:rPr>
            <w:rStyle w:val="TextoNormalCaracter"/>
          </w:rPr>
          <w:t>98/2012</w:t>
        </w:r>
      </w:hyperlink>
      <w:r>
        <w:t>, ff. 2, 3.</w:t>
      </w:r>
    </w:p>
    <w:p w:rsidR="0043655B" w:rsidRDefault="0043655B" w:rsidP="0043655B">
      <w:pPr>
        <w:pStyle w:val="SangriaFrancesaArticulo"/>
      </w:pPr>
      <w:r w:rsidRPr="0043655B">
        <w:rPr>
          <w:rStyle w:val="TextoNormalNegritaCaracter"/>
        </w:rPr>
        <w:t>Artículo 92.4</w:t>
      </w:r>
      <w:r>
        <w:t xml:space="preserve"> </w:t>
      </w:r>
      <w:r w:rsidRPr="0043655B">
        <w:rPr>
          <w:rStyle w:val="TextoNormalCaracter"/>
        </w:rPr>
        <w:t>(redactado por la Ley 18/2009, de 23 de noviembre)</w:t>
      </w:r>
      <w:r w:rsidRPr="0043655B">
        <w:rPr>
          <w:rStyle w:val="TextoNormalNegritaCaracter"/>
        </w:rPr>
        <w:t>.</w:t>
      </w:r>
      <w:r w:rsidRPr="0043655B">
        <w:rPr>
          <w:rStyle w:val="TextoNormalCaracter"/>
        </w:rPr>
        <w:t>-</w:t>
      </w:r>
      <w:r>
        <w:t xml:space="preserve"> Sentencia </w:t>
      </w:r>
      <w:hyperlink w:anchor="SENTENCIA_2012_37" w:history="1">
        <w:r w:rsidRPr="0043655B">
          <w:rPr>
            <w:rStyle w:val="TextoNormalCaracter"/>
          </w:rPr>
          <w:t>37/2012</w:t>
        </w:r>
      </w:hyperlink>
      <w:r>
        <w:t>, VP III.</w:t>
      </w:r>
    </w:p>
    <w:p w:rsidR="0043655B" w:rsidRDefault="0043655B" w:rsidP="0043655B">
      <w:pPr>
        <w:pStyle w:val="SangriaFrancesaArticulo"/>
      </w:pPr>
    </w:p>
    <w:p w:rsidR="0043655B" w:rsidRDefault="0043655B" w:rsidP="0043655B">
      <w:pPr>
        <w:pStyle w:val="TextoNormalNegritaCursivandice"/>
      </w:pPr>
      <w:r>
        <w:t>Real Decreto Legislativo 1175/1990, de 28 de septiembre. Tarifas e instrucción del impuesto sobre actividades económicas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2" w:history="1">
        <w:r w:rsidRPr="0043655B">
          <w:rPr>
            <w:rStyle w:val="TextoNormalCaracter"/>
          </w:rPr>
          <w:t>122/2012</w:t>
        </w:r>
      </w:hyperlink>
      <w:r>
        <w:t>, f. 6.</w:t>
      </w:r>
    </w:p>
    <w:p w:rsidR="0043655B" w:rsidRDefault="0043655B" w:rsidP="0043655B">
      <w:pPr>
        <w:pStyle w:val="SangriaFrancesaArticulo"/>
      </w:pPr>
      <w:r w:rsidRPr="0043655B">
        <w:rPr>
          <w:rStyle w:val="TextoNormalNegritaCaracter"/>
        </w:rPr>
        <w:t>Grupo 661.1.</w:t>
      </w:r>
      <w:r w:rsidRPr="0043655B">
        <w:rPr>
          <w:rStyle w:val="TextoNormalCaracter"/>
        </w:rPr>
        <w:t>-</w:t>
      </w:r>
      <w:r>
        <w:t xml:space="preserve"> Sentencia </w:t>
      </w:r>
      <w:hyperlink w:anchor="SENTENCIA_2012_122" w:history="1">
        <w:r w:rsidRPr="0043655B">
          <w:rPr>
            <w:rStyle w:val="TextoNormalCaracter"/>
          </w:rPr>
          <w:t>122/2012</w:t>
        </w:r>
      </w:hyperlink>
      <w:r>
        <w:t>, f. 6.</w:t>
      </w:r>
    </w:p>
    <w:p w:rsidR="0043655B" w:rsidRDefault="0043655B" w:rsidP="0043655B">
      <w:pPr>
        <w:pStyle w:val="SangriaFrancesaArticulo"/>
      </w:pPr>
      <w:r w:rsidRPr="0043655B">
        <w:rPr>
          <w:rStyle w:val="TextoNormalNegritaCaracter"/>
        </w:rPr>
        <w:t>Artículo 661.2.</w:t>
      </w:r>
      <w:r w:rsidRPr="0043655B">
        <w:rPr>
          <w:rStyle w:val="TextoNormalCaracter"/>
        </w:rPr>
        <w:t>-</w:t>
      </w:r>
      <w:r>
        <w:t xml:space="preserve"> Sentencia </w:t>
      </w:r>
      <w:hyperlink w:anchor="SENTENCIA_2012_122" w:history="1">
        <w:r w:rsidRPr="0043655B">
          <w:rPr>
            <w:rStyle w:val="TextoNormalCaracter"/>
          </w:rPr>
          <w:t>122/2012</w:t>
        </w:r>
      </w:hyperlink>
      <w:r>
        <w:t>, f. 6.</w:t>
      </w:r>
    </w:p>
    <w:p w:rsidR="0043655B" w:rsidRDefault="0043655B" w:rsidP="0043655B">
      <w:pPr>
        <w:pStyle w:val="SangriaFrancesaArticulo"/>
      </w:pPr>
    </w:p>
    <w:p w:rsidR="0043655B" w:rsidRDefault="0043655B" w:rsidP="0043655B">
      <w:pPr>
        <w:pStyle w:val="TextoNormalNegritaCursivandice"/>
      </w:pPr>
      <w:r>
        <w:t>Real Decreto Legislativo 1/1994, de 20 de junio. Texto refundido de la Ley general de la Seguridad Social</w:t>
      </w:r>
    </w:p>
    <w:p w:rsidR="0043655B" w:rsidRDefault="0043655B" w:rsidP="0043655B">
      <w:pPr>
        <w:pStyle w:val="SangriaFrancesaArticulo"/>
      </w:pPr>
      <w:r w:rsidRPr="0043655B">
        <w:rPr>
          <w:rStyle w:val="TextoNormalNegritaCaracter"/>
        </w:rPr>
        <w:t>Artículo 2</w:t>
      </w:r>
      <w:r>
        <w:t xml:space="preserve"> </w:t>
      </w:r>
      <w:r w:rsidRPr="0043655B">
        <w:rPr>
          <w:rStyle w:val="TextoNormalCaracter"/>
        </w:rPr>
        <w:t>(redactado por la Ley 52/2003, de 10 de diciembre)</w:t>
      </w:r>
      <w:r w:rsidRPr="0043655B">
        <w:rPr>
          <w:rStyle w:val="TextoNormalNegritaCaracter"/>
        </w:rPr>
        <w:t>.</w:t>
      </w:r>
      <w:r w:rsidRPr="0043655B">
        <w:rPr>
          <w:rStyle w:val="TextoNormalCaracter"/>
        </w:rPr>
        <w:t>-</w:t>
      </w:r>
      <w:r>
        <w:t xml:space="preserve"> Auto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136" w:history="1">
        <w:r w:rsidRPr="0043655B">
          <w:rPr>
            <w:rStyle w:val="TextoNormalCaracter"/>
          </w:rPr>
          <w:t>136/2012</w:t>
        </w:r>
      </w:hyperlink>
      <w:r>
        <w:t>, f. 3.</w:t>
      </w:r>
    </w:p>
    <w:p w:rsidR="0043655B" w:rsidRDefault="0043655B" w:rsidP="0043655B">
      <w:pPr>
        <w:pStyle w:val="SangriaFrancesaArticulo"/>
      </w:pPr>
      <w:r w:rsidRPr="0043655B">
        <w:rPr>
          <w:rStyle w:val="TextoNormalNegritaCaracter"/>
        </w:rPr>
        <w:lastRenderedPageBreak/>
        <w:t>Artículo 38.4.</w:t>
      </w:r>
      <w:r w:rsidRPr="0043655B">
        <w:rPr>
          <w:rStyle w:val="TextoNormalCaracter"/>
        </w:rPr>
        <w:t>-</w:t>
      </w:r>
      <w:r>
        <w:t xml:space="preserve"> Auto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38.4</w:t>
      </w:r>
      <w:r>
        <w:t xml:space="preserve"> </w:t>
      </w:r>
      <w:r w:rsidRPr="0043655B">
        <w:rPr>
          <w:rStyle w:val="TextoNormalCaracter"/>
        </w:rPr>
        <w:t>(redactado por la Ley 4/2005, de 22 de abril)</w:t>
      </w:r>
      <w:r w:rsidRPr="0043655B">
        <w:rPr>
          <w:rStyle w:val="TextoNormalNegritaCaracter"/>
        </w:rPr>
        <w:t>.</w:t>
      </w:r>
      <w:r w:rsidRPr="0043655B">
        <w:rPr>
          <w:rStyle w:val="TextoNormalCaracter"/>
        </w:rPr>
        <w:t>-</w:t>
      </w:r>
      <w:r>
        <w:t xml:space="preserve"> Autos </w:t>
      </w:r>
      <w:hyperlink w:anchor="AUTO_2012_49" w:history="1">
        <w:r w:rsidRPr="0043655B">
          <w:rPr>
            <w:rStyle w:val="TextoNormalCaracter"/>
          </w:rPr>
          <w:t>49/2012</w:t>
        </w:r>
      </w:hyperlink>
      <w:r>
        <w:t xml:space="preserve">; </w:t>
      </w:r>
      <w:hyperlink w:anchor="AUTO_2012_118" w:history="1">
        <w:r w:rsidRPr="0043655B">
          <w:rPr>
            <w:rStyle w:val="TextoNormalCaracter"/>
          </w:rPr>
          <w:t>118/2012</w:t>
        </w:r>
      </w:hyperlink>
      <w:r>
        <w:t>.</w:t>
      </w:r>
    </w:p>
    <w:p w:rsidR="0043655B" w:rsidRDefault="0043655B" w:rsidP="0043655B">
      <w:pPr>
        <w:pStyle w:val="SangriaFrancesaArticulo"/>
      </w:pPr>
      <w:r w:rsidRPr="0043655B">
        <w:rPr>
          <w:rStyle w:val="TextoNormalNegritaCaracter"/>
        </w:rPr>
        <w:t>Artículo 38.4</w:t>
      </w:r>
      <w:r>
        <w:t xml:space="preserve"> </w:t>
      </w:r>
      <w:r w:rsidRPr="0043655B">
        <w:rPr>
          <w:rStyle w:val="TextoNormalCaracter"/>
        </w:rPr>
        <w:t>(redactado por la Ley 52/2003, de 10 de diciembre)</w:t>
      </w:r>
      <w:r w:rsidRPr="0043655B">
        <w:rPr>
          <w:rStyle w:val="TextoNormalNegritaCaracter"/>
        </w:rPr>
        <w:t>.</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Artículo 132.1.</w:t>
      </w:r>
      <w:r w:rsidRPr="0043655B">
        <w:rPr>
          <w:rStyle w:val="TextoNormalCaracter"/>
        </w:rPr>
        <w:t>-</w:t>
      </w:r>
      <w:r>
        <w:t xml:space="preserve"> Sentencia </w:t>
      </w:r>
      <w:hyperlink w:anchor="SENTENCIA_2012_31" w:history="1">
        <w:r w:rsidRPr="0043655B">
          <w:rPr>
            <w:rStyle w:val="TextoNormalCaracter"/>
          </w:rPr>
          <w:t>31/2012</w:t>
        </w:r>
      </w:hyperlink>
      <w:r>
        <w:t>, f. 3.</w:t>
      </w:r>
    </w:p>
    <w:p w:rsidR="0043655B" w:rsidRDefault="0043655B" w:rsidP="0043655B">
      <w:pPr>
        <w:pStyle w:val="SangriaFrancesaArticulo"/>
      </w:pPr>
      <w:r w:rsidRPr="0043655B">
        <w:rPr>
          <w:rStyle w:val="TextoNormalNegritaCaracter"/>
        </w:rPr>
        <w:t>Artículo 132.1 b).</w:t>
      </w:r>
      <w:r w:rsidRPr="0043655B">
        <w:rPr>
          <w:rStyle w:val="TextoNormalCaracter"/>
        </w:rPr>
        <w:t>-</w:t>
      </w:r>
      <w:r>
        <w:t xml:space="preserve"> Sentencia </w:t>
      </w:r>
      <w:hyperlink w:anchor="SENTENCIA_2012_31" w:history="1">
        <w:r w:rsidRPr="0043655B">
          <w:rPr>
            <w:rStyle w:val="TextoNormalCaracter"/>
          </w:rPr>
          <w:t>31/2012</w:t>
        </w:r>
      </w:hyperlink>
      <w:r>
        <w:t>, f. 5.</w:t>
      </w:r>
    </w:p>
    <w:p w:rsidR="0043655B" w:rsidRDefault="0043655B" w:rsidP="0043655B">
      <w:pPr>
        <w:pStyle w:val="SangriaFrancesaArticulo"/>
      </w:pPr>
      <w:r w:rsidRPr="0043655B">
        <w:rPr>
          <w:rStyle w:val="TextoNormalNegritaCaracter"/>
        </w:rPr>
        <w:t>Artículo 133 quinquies.</w:t>
      </w:r>
      <w:r w:rsidRPr="0043655B">
        <w:rPr>
          <w:rStyle w:val="TextoNormalCaracter"/>
        </w:rPr>
        <w:t>-</w:t>
      </w:r>
      <w:r>
        <w:t xml:space="preserve"> Sentencia </w:t>
      </w:r>
      <w:hyperlink w:anchor="SENTENCIA_2012_31" w:history="1">
        <w:r w:rsidRPr="0043655B">
          <w:rPr>
            <w:rStyle w:val="TextoNormalCaracter"/>
          </w:rPr>
          <w:t>31/2012</w:t>
        </w:r>
      </w:hyperlink>
      <w:r>
        <w:t>, ff. 3, 5.</w:t>
      </w:r>
    </w:p>
    <w:p w:rsidR="0043655B" w:rsidRDefault="0043655B" w:rsidP="0043655B">
      <w:pPr>
        <w:pStyle w:val="SangriaFrancesaArticulo"/>
      </w:pPr>
      <w:r w:rsidRPr="0043655B">
        <w:rPr>
          <w:rStyle w:val="TextoNormalNegritaCaracter"/>
        </w:rPr>
        <w:t>Artículo 189.2 párrafo 1</w:t>
      </w:r>
      <w:r>
        <w:t xml:space="preserve"> </w:t>
      </w:r>
      <w:r w:rsidRPr="0043655B">
        <w:rPr>
          <w:rStyle w:val="TextoNormalCaracter"/>
        </w:rPr>
        <w:t>(redactado por la Ley 52/2003, de 10 de diciembre)</w:t>
      </w:r>
      <w:r w:rsidRPr="0043655B">
        <w:rPr>
          <w:rStyle w:val="TextoNormalNegritaCaracter"/>
        </w:rPr>
        <w:t>.</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Disposición adicional vigesimosegunda.</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p>
    <w:p w:rsidR="0043655B" w:rsidRDefault="0043655B" w:rsidP="0043655B">
      <w:pPr>
        <w:pStyle w:val="TextoNormalNegritaCursivandice"/>
      </w:pPr>
      <w:r>
        <w:t>Real Decreto Legislativo 1/1995, de 24 de marzo. Texto refundido de la Ley del estatuto de los trabajadores</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4.2 b)</w:t>
      </w:r>
      <w:r>
        <w:t xml:space="preserve"> </w:t>
      </w:r>
      <w:r w:rsidRPr="0043655B">
        <w:rPr>
          <w:rStyle w:val="TextoNormalCaracter"/>
        </w:rPr>
        <w:t>(redactado por el real Decreto-ley 3/2012, de 10 de febrero)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23.</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23</w:t>
      </w:r>
      <w:r>
        <w:t xml:space="preserve"> </w:t>
      </w:r>
      <w:r w:rsidRPr="0043655B">
        <w:rPr>
          <w:rStyle w:val="TextoNormalCaracter"/>
        </w:rPr>
        <w:t>(redactado por el real Decreto-ley 3/2012, de 10 de febrero)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23.1</w:t>
      </w:r>
      <w:r>
        <w:t xml:space="preserve"> </w:t>
      </w:r>
      <w:r w:rsidRPr="0043655B">
        <w:rPr>
          <w:rStyle w:val="TextoNormalCaracter"/>
        </w:rPr>
        <w:t>(redactado por el real Decreto-ley 3/2012, de 10 de febrero)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23.2</w:t>
      </w:r>
      <w:r>
        <w:t xml:space="preserve"> </w:t>
      </w:r>
      <w:r w:rsidRPr="0043655B">
        <w:rPr>
          <w:rStyle w:val="TextoNormalCaracter"/>
        </w:rPr>
        <w:t>(redactado por el real Decreto-ley 3/2012, de 10 de febrero)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26.1.</w:t>
      </w:r>
      <w:r w:rsidRPr="0043655B">
        <w:rPr>
          <w:rStyle w:val="TextoNormalCaracter"/>
        </w:rPr>
        <w:t>-</w:t>
      </w:r>
      <w:r>
        <w:t xml:space="preserve"> Sentencia </w:t>
      </w:r>
      <w:hyperlink w:anchor="SENTENCIA_2012_19" w:history="1">
        <w:r w:rsidRPr="0043655B">
          <w:rPr>
            <w:rStyle w:val="TextoNormalCaracter"/>
          </w:rPr>
          <w:t>19/2012</w:t>
        </w:r>
      </w:hyperlink>
      <w:r>
        <w:t>, f. 8.</w:t>
      </w:r>
    </w:p>
    <w:p w:rsidR="0043655B" w:rsidRDefault="0043655B" w:rsidP="0043655B">
      <w:pPr>
        <w:pStyle w:val="SangriaFrancesaArticulo"/>
      </w:pPr>
      <w:r w:rsidRPr="0043655B">
        <w:rPr>
          <w:rStyle w:val="TextoNormalNegritaCaracter"/>
        </w:rPr>
        <w:t>Artículo 40.1 in fine.</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41.3 in fine.</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50.1 c).</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p>
    <w:p w:rsidR="0043655B" w:rsidRDefault="0043655B" w:rsidP="0043655B">
      <w:pPr>
        <w:pStyle w:val="TextoNormalNegritaCursivandice"/>
      </w:pPr>
      <w:r>
        <w:t>Real Decreto Legislativo 2/1995, de 7 de abril. Texto refundido de la Ley de  procedimiento laboral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4" w:history="1">
        <w:r w:rsidRPr="0043655B">
          <w:rPr>
            <w:rStyle w:val="TextoNormalCaracter"/>
          </w:rPr>
          <w:t>84/2012</w:t>
        </w:r>
      </w:hyperlink>
      <w:r>
        <w:t>, ff. 1, 4.</w:t>
      </w:r>
    </w:p>
    <w:p w:rsidR="0043655B" w:rsidRDefault="0043655B" w:rsidP="0043655B">
      <w:pPr>
        <w:pStyle w:val="SangriaFrancesaArticulo"/>
      </w:pPr>
      <w:r w:rsidRPr="0043655B">
        <w:rPr>
          <w:rStyle w:val="TextoNormalNegritaCaracter"/>
        </w:rPr>
        <w:t>Artículo 138.</w:t>
      </w:r>
      <w:r w:rsidRPr="0043655B">
        <w:rPr>
          <w:rStyle w:val="TextoNormalCaracter"/>
        </w:rPr>
        <w:t>-</w:t>
      </w:r>
      <w:r>
        <w:t xml:space="preserve"> Sentencia </w:t>
      </w:r>
      <w:hyperlink w:anchor="SENTENCIA_2012_84" w:history="1">
        <w:r w:rsidRPr="0043655B">
          <w:rPr>
            <w:rStyle w:val="TextoNormalCaracter"/>
          </w:rPr>
          <w:t>84/2012</w:t>
        </w:r>
      </w:hyperlink>
      <w:r>
        <w:t>, ff. 1, 4.</w:t>
      </w:r>
    </w:p>
    <w:p w:rsidR="0043655B" w:rsidRDefault="0043655B" w:rsidP="0043655B">
      <w:pPr>
        <w:pStyle w:val="SangriaFrancesaArticulo"/>
      </w:pPr>
      <w:r w:rsidRPr="0043655B">
        <w:rPr>
          <w:rStyle w:val="TextoNormalNegritaCaracter"/>
        </w:rPr>
        <w:t>Artículo 138.4.</w:t>
      </w:r>
      <w:r w:rsidRPr="0043655B">
        <w:rPr>
          <w:rStyle w:val="TextoNormalCaracter"/>
        </w:rPr>
        <w:t>-</w:t>
      </w:r>
      <w:r>
        <w:t xml:space="preserve"> Sentencia </w:t>
      </w:r>
      <w:hyperlink w:anchor="SENTENCIA_2012_84" w:history="1">
        <w:r w:rsidRPr="0043655B">
          <w:rPr>
            <w:rStyle w:val="TextoNormalCaracter"/>
          </w:rPr>
          <w:t>84/2012</w:t>
        </w:r>
      </w:hyperlink>
      <w:r>
        <w:t>, ff. 1, 3, 4, 5.</w:t>
      </w:r>
    </w:p>
    <w:p w:rsidR="0043655B" w:rsidRDefault="0043655B" w:rsidP="0043655B">
      <w:pPr>
        <w:pStyle w:val="SangriaFrancesaArticulo"/>
      </w:pPr>
      <w:r w:rsidRPr="0043655B">
        <w:rPr>
          <w:rStyle w:val="TextoNormalNegritaCaracter"/>
        </w:rPr>
        <w:t>Artículo 138.5.</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138.6.</w:t>
      </w:r>
      <w:r w:rsidRPr="0043655B">
        <w:rPr>
          <w:rStyle w:val="TextoNormalCaracter"/>
        </w:rPr>
        <w:t>-</w:t>
      </w:r>
      <w:r>
        <w:t xml:space="preserve"> Sentencia </w:t>
      </w:r>
      <w:hyperlink w:anchor="SENTENCIA_2012_84" w:history="1">
        <w:r w:rsidRPr="0043655B">
          <w:rPr>
            <w:rStyle w:val="TextoNormalCaracter"/>
          </w:rPr>
          <w:t>84/2012</w:t>
        </w:r>
      </w:hyperlink>
      <w:r>
        <w:t>, ff. 1, 3, 4.</w:t>
      </w:r>
    </w:p>
    <w:p w:rsidR="0043655B" w:rsidRDefault="0043655B" w:rsidP="0043655B">
      <w:pPr>
        <w:pStyle w:val="SangriaFrancesaArticulo"/>
      </w:pPr>
      <w:r w:rsidRPr="0043655B">
        <w:rPr>
          <w:rStyle w:val="TextoNormalNegritaCaracter"/>
        </w:rPr>
        <w:t>Artículo 138.7.</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170.</w:t>
      </w:r>
      <w:r w:rsidRPr="0043655B">
        <w:rPr>
          <w:rStyle w:val="TextoNormalCaracter"/>
        </w:rPr>
        <w:t>-</w:t>
      </w:r>
      <w:r>
        <w:t xml:space="preserve"> Sentencia </w:t>
      </w:r>
      <w:hyperlink w:anchor="SENTENCIA_2012_103" w:history="1">
        <w:r w:rsidRPr="0043655B">
          <w:rPr>
            <w:rStyle w:val="TextoNormalCaracter"/>
          </w:rPr>
          <w:t>103/2012</w:t>
        </w:r>
      </w:hyperlink>
      <w:r>
        <w:t>, f. 4.</w:t>
      </w:r>
    </w:p>
    <w:p w:rsidR="0043655B" w:rsidRDefault="0043655B" w:rsidP="0043655B">
      <w:pPr>
        <w:pStyle w:val="SangriaFrancesaArticulo"/>
      </w:pPr>
      <w:r w:rsidRPr="0043655B">
        <w:rPr>
          <w:rStyle w:val="TextoNormalNegritaCaracter"/>
        </w:rPr>
        <w:t>Artículo 189.2.</w:t>
      </w:r>
      <w:r w:rsidRPr="0043655B">
        <w:rPr>
          <w:rStyle w:val="TextoNormalCaracter"/>
        </w:rPr>
        <w:t>-</w:t>
      </w:r>
      <w:r>
        <w:t xml:space="preserve"> Sentencia </w:t>
      </w:r>
      <w:hyperlink w:anchor="SENTENCIA_2012_84" w:history="1">
        <w:r w:rsidRPr="0043655B">
          <w:rPr>
            <w:rStyle w:val="TextoNormalCaracter"/>
          </w:rPr>
          <w:t>84/2012</w:t>
        </w:r>
      </w:hyperlink>
      <w:r>
        <w:t>, ff. 3, 4, 5.</w:t>
      </w:r>
    </w:p>
    <w:p w:rsidR="0043655B" w:rsidRDefault="0043655B" w:rsidP="0043655B">
      <w:pPr>
        <w:pStyle w:val="SangriaFrancesaArticulo"/>
      </w:pPr>
      <w:r w:rsidRPr="0043655B">
        <w:rPr>
          <w:rStyle w:val="TextoNormalNegritaCaracter"/>
        </w:rPr>
        <w:t>Artículo 277.</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278.</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r w:rsidRPr="0043655B">
        <w:rPr>
          <w:rStyle w:val="TextoNormalNegritaCaracter"/>
        </w:rPr>
        <w:t>Artículo 279.</w:t>
      </w:r>
      <w:r w:rsidRPr="0043655B">
        <w:rPr>
          <w:rStyle w:val="TextoNormalCaracter"/>
        </w:rPr>
        <w:t>-</w:t>
      </w:r>
      <w:r>
        <w:t xml:space="preserve"> Sentencia </w:t>
      </w:r>
      <w:hyperlink w:anchor="SENTENCIA_2012_84" w:history="1">
        <w:r w:rsidRPr="0043655B">
          <w:rPr>
            <w:rStyle w:val="TextoNormalCaracter"/>
          </w:rPr>
          <w:t>84/2012</w:t>
        </w:r>
      </w:hyperlink>
      <w:r>
        <w:t>, f. 1.</w:t>
      </w:r>
    </w:p>
    <w:p w:rsidR="0043655B" w:rsidRDefault="0043655B" w:rsidP="0043655B">
      <w:pPr>
        <w:pStyle w:val="SangriaFrancesaArticulo"/>
      </w:pPr>
    </w:p>
    <w:p w:rsidR="0043655B" w:rsidRDefault="0043655B" w:rsidP="0043655B">
      <w:pPr>
        <w:pStyle w:val="TextoNormalNegritaCursivandice"/>
      </w:pPr>
      <w:r>
        <w:t>Real Decreto Legislativo 1/2001, de 20 de julio. Texto refundido de la Ley de aguas</w:t>
      </w:r>
    </w:p>
    <w:p w:rsidR="0043655B" w:rsidRDefault="0043655B" w:rsidP="0043655B">
      <w:pPr>
        <w:pStyle w:val="SangriaFrancesaArticulo"/>
      </w:pPr>
      <w:r w:rsidRPr="0043655B">
        <w:rPr>
          <w:rStyle w:val="TextoNormalNegritaCaracter"/>
        </w:rPr>
        <w:t>Artículo 116.</w:t>
      </w:r>
      <w:r w:rsidRPr="0043655B">
        <w:rPr>
          <w:rStyle w:val="TextoNormalCaracter"/>
        </w:rPr>
        <w:t>-</w:t>
      </w:r>
      <w:r>
        <w:t xml:space="preserve"> Auto </w:t>
      </w:r>
      <w:hyperlink w:anchor="AUTO_2012_34" w:history="1">
        <w:r w:rsidRPr="0043655B">
          <w:rPr>
            <w:rStyle w:val="TextoNormalCaracter"/>
          </w:rPr>
          <w:t>34/2012</w:t>
        </w:r>
      </w:hyperlink>
      <w:r>
        <w:t>.</w:t>
      </w:r>
    </w:p>
    <w:p w:rsidR="0043655B" w:rsidRDefault="0043655B" w:rsidP="0043655B">
      <w:pPr>
        <w:pStyle w:val="SangriaFrancesaArticulo"/>
      </w:pPr>
      <w:r w:rsidRPr="0043655B">
        <w:rPr>
          <w:rStyle w:val="TextoNormalNegritaCaracter"/>
        </w:rPr>
        <w:t>Artículo 116.3 c).</w:t>
      </w:r>
      <w:r w:rsidRPr="0043655B">
        <w:rPr>
          <w:rStyle w:val="TextoNormalCaracter"/>
        </w:rPr>
        <w:t>-</w:t>
      </w:r>
      <w:r>
        <w:t xml:space="preserve"> Auto </w:t>
      </w:r>
      <w:hyperlink w:anchor="AUTO_2012_34" w:history="1">
        <w:r w:rsidRPr="0043655B">
          <w:rPr>
            <w:rStyle w:val="TextoNormalCaracter"/>
          </w:rPr>
          <w:t>34/2012</w:t>
        </w:r>
      </w:hyperlink>
      <w:r>
        <w:t>.</w:t>
      </w:r>
    </w:p>
    <w:p w:rsidR="0043655B" w:rsidRDefault="0043655B" w:rsidP="0043655B">
      <w:pPr>
        <w:pStyle w:val="SangriaFrancesaArticulo"/>
      </w:pPr>
      <w:r w:rsidRPr="0043655B">
        <w:rPr>
          <w:rStyle w:val="TextoNormalNegritaCaracter"/>
        </w:rPr>
        <w:t>Artículo 117.1.</w:t>
      </w:r>
      <w:r w:rsidRPr="0043655B">
        <w:rPr>
          <w:rStyle w:val="TextoNormalCaracter"/>
        </w:rPr>
        <w:t>-</w:t>
      </w:r>
      <w:r>
        <w:t xml:space="preserve"> Autos </w:t>
      </w:r>
      <w:hyperlink w:anchor="AUTO_2012_34" w:history="1">
        <w:r w:rsidRPr="0043655B">
          <w:rPr>
            <w:rStyle w:val="TextoNormalCaracter"/>
          </w:rPr>
          <w:t>34/2012</w:t>
        </w:r>
      </w:hyperlink>
      <w:r>
        <w:t xml:space="preserve">; </w:t>
      </w:r>
      <w:hyperlink w:anchor="AUTO_2012_111" w:history="1">
        <w:r w:rsidRPr="0043655B">
          <w:rPr>
            <w:rStyle w:val="TextoNormalCaracter"/>
          </w:rPr>
          <w:t>111/2012</w:t>
        </w:r>
      </w:hyperlink>
      <w:r>
        <w:t>.</w:t>
      </w:r>
    </w:p>
    <w:p w:rsidR="0043655B" w:rsidRDefault="0043655B" w:rsidP="0043655B">
      <w:pPr>
        <w:pStyle w:val="SangriaFrancesaArticulo"/>
      </w:pPr>
    </w:p>
    <w:p w:rsidR="0043655B" w:rsidRDefault="0043655B" w:rsidP="0043655B">
      <w:pPr>
        <w:pStyle w:val="TextoNormalNegritaCursivandice"/>
      </w:pPr>
      <w:r>
        <w:t>Real Decreto Legislativo 2/2004, de 5 de marzo. Texto refundido de la Ley reguladora de las haciendas locales</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 </w:t>
      </w:r>
      <w:hyperlink w:anchor="SENTENCIA_2012_120" w:history="1">
        <w:r w:rsidRPr="0043655B">
          <w:rPr>
            <w:rStyle w:val="TextoNormalCaracter"/>
          </w:rPr>
          <w:t>120/2012</w:t>
        </w:r>
      </w:hyperlink>
      <w:r>
        <w:t>, ff. 2, 5.</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120" w:history="1">
        <w:r w:rsidRPr="0043655B">
          <w:rPr>
            <w:rStyle w:val="TextoNormalCaracter"/>
          </w:rPr>
          <w:t>120/2012</w:t>
        </w:r>
      </w:hyperlink>
      <w:r>
        <w:t>, ff. 2, 5.</w:t>
      </w:r>
    </w:p>
    <w:p w:rsidR="0043655B" w:rsidRDefault="0043655B" w:rsidP="0043655B">
      <w:pPr>
        <w:pStyle w:val="SangriaFrancesaArticulo"/>
      </w:pPr>
      <w:r w:rsidRPr="0043655B">
        <w:rPr>
          <w:rStyle w:val="TextoNormalNegritaCaracter"/>
        </w:rPr>
        <w:t>Artículo 53.1 párrafo 1.</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r w:rsidRPr="0043655B">
        <w:rPr>
          <w:rStyle w:val="TextoNormalNegritaCaracter"/>
        </w:rPr>
        <w:t>Artículo 53.4 in fine.</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r w:rsidRPr="0043655B">
        <w:rPr>
          <w:rStyle w:val="TextoNormalNegritaCaracter"/>
        </w:rPr>
        <w:t>Artículo 53.5.</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r w:rsidRPr="0043655B">
        <w:rPr>
          <w:rStyle w:val="TextoNormalNegritaCaracter"/>
        </w:rPr>
        <w:t>Artículo 78.1.</w:t>
      </w:r>
      <w:r w:rsidRPr="0043655B">
        <w:rPr>
          <w:rStyle w:val="TextoNormalCaracter"/>
        </w:rPr>
        <w:t>-</w:t>
      </w:r>
      <w:r>
        <w:t xml:space="preserve"> Sentencia </w:t>
      </w:r>
      <w:hyperlink w:anchor="SENTENCIA_2012_122" w:history="1">
        <w:r w:rsidRPr="0043655B">
          <w:rPr>
            <w:rStyle w:val="TextoNormalCaracter"/>
          </w:rPr>
          <w:t>122/2012</w:t>
        </w:r>
      </w:hyperlink>
      <w:r>
        <w:t>, ff. 5, 6.</w:t>
      </w:r>
    </w:p>
    <w:p w:rsidR="0043655B" w:rsidRDefault="0043655B" w:rsidP="0043655B">
      <w:pPr>
        <w:pStyle w:val="SangriaFrancesaArticulo"/>
      </w:pPr>
      <w:r w:rsidRPr="0043655B">
        <w:rPr>
          <w:rStyle w:val="TextoNormalNegritaCaracter"/>
        </w:rPr>
        <w:t>Artículo 84.</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85.</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85.1.4.</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p>
    <w:p w:rsidR="0043655B" w:rsidRDefault="0043655B" w:rsidP="0043655B">
      <w:pPr>
        <w:pStyle w:val="TextoNormalNegritaCursivandice"/>
      </w:pPr>
      <w:r>
        <w:t>Real Decreto Legislativo 3/2004, de 5 de marzo. Texto refundido de la Ley del impuesto sobre la renta de las personas físicas</w:t>
      </w:r>
    </w:p>
    <w:p w:rsidR="0043655B" w:rsidRDefault="0043655B" w:rsidP="0043655B">
      <w:pPr>
        <w:pStyle w:val="SangriaFrancesaArticulo"/>
      </w:pPr>
      <w:r w:rsidRPr="0043655B">
        <w:rPr>
          <w:rStyle w:val="TextoNormalNegritaCaracter"/>
        </w:rPr>
        <w:t>Disposición derogatoria única.</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SangriaFrancesaArticulo"/>
      </w:pPr>
    </w:p>
    <w:p w:rsidR="0043655B" w:rsidRDefault="0043655B" w:rsidP="0043655B">
      <w:pPr>
        <w:pStyle w:val="TextoNormalNegritaCursivandice"/>
      </w:pPr>
      <w:r>
        <w:t>Real Decreto Legislativo 1/2007, de 16 de noviembre. Texto refundido de la Ley general para la defensa de los consumidores y usuarios y otras leyes complementarias</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96" w:history="1">
        <w:r w:rsidRPr="0043655B">
          <w:rPr>
            <w:rStyle w:val="TextoNormalCaracter"/>
          </w:rPr>
          <w:t>96/2012</w:t>
        </w:r>
      </w:hyperlink>
      <w:r>
        <w:t>, f. 9.</w:t>
      </w:r>
    </w:p>
    <w:p w:rsidR="0043655B" w:rsidRDefault="0043655B" w:rsidP="0043655B">
      <w:pPr>
        <w:pStyle w:val="SangriaFrancesaArticulo"/>
      </w:pPr>
    </w:p>
    <w:p w:rsidR="0043655B" w:rsidRDefault="0043655B" w:rsidP="0043655B">
      <w:pPr>
        <w:pStyle w:val="TextoNormalNegritaCursivandice"/>
      </w:pPr>
      <w:r>
        <w:t>Real Decreto Legislativo 2/2007, de 28 de diciembre. Texto refundido de la Ley general de estabilidad presupuestaria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p>
    <w:p w:rsidR="0043655B" w:rsidRDefault="0043655B" w:rsidP="0043655B">
      <w:pPr>
        <w:pStyle w:val="TextoNormalNegritaCursivandice"/>
      </w:pPr>
      <w:r>
        <w:t>Real Decreto Legislativo 1/2008, de 11 de enero. Texto refundido de la Ley de evaluación de impacto ambiental de proyectos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4" w:history="1">
        <w:r w:rsidRPr="0043655B">
          <w:rPr>
            <w:rStyle w:val="TextoNormalCaracter"/>
          </w:rPr>
          <w:t>34/2012</w:t>
        </w:r>
      </w:hyperlink>
      <w:r>
        <w:t>, ff. 2, 3.</w:t>
      </w:r>
    </w:p>
    <w:p w:rsidR="0043655B" w:rsidRDefault="0043655B" w:rsidP="0043655B">
      <w:pPr>
        <w:pStyle w:val="SangriaFrancesaArticulo"/>
      </w:pPr>
      <w:r w:rsidRPr="0043655B">
        <w:rPr>
          <w:rStyle w:val="TextoNormalNegritaCaracter"/>
        </w:rPr>
        <w:t>En general</w:t>
      </w:r>
      <w:r>
        <w:t xml:space="preserve"> </w:t>
      </w:r>
      <w:r w:rsidRPr="0043655B">
        <w:rPr>
          <w:rStyle w:val="TextoNormalCaracter"/>
        </w:rPr>
        <w:t>(redactado por la Ley 6/2010, de 24 de marzo)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ff. 2, 13.</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Sentencias </w:t>
      </w:r>
      <w:hyperlink w:anchor="SENTENCIA_2012_1" w:history="1">
        <w:r w:rsidRPr="0043655B">
          <w:rPr>
            <w:rStyle w:val="TextoNormalCaracter"/>
          </w:rPr>
          <w:t>1/2012</w:t>
        </w:r>
      </w:hyperlink>
      <w:r>
        <w:t xml:space="preserve">, f. 2;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Sentencias </w:t>
      </w:r>
      <w:hyperlink w:anchor="SENTENCIA_2012_1" w:history="1">
        <w:r w:rsidRPr="0043655B">
          <w:rPr>
            <w:rStyle w:val="TextoNormalCaracter"/>
          </w:rPr>
          <w:t>1/2012</w:t>
        </w:r>
      </w:hyperlink>
      <w:r>
        <w:t xml:space="preserve">, f. 2;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Sentencias </w:t>
      </w:r>
      <w:hyperlink w:anchor="SENTENCIA_2012_1" w:history="1">
        <w:r w:rsidRPr="0043655B">
          <w:rPr>
            <w:rStyle w:val="TextoNormalCaracter"/>
          </w:rPr>
          <w:t>1/2012</w:t>
        </w:r>
      </w:hyperlink>
      <w:r>
        <w:t xml:space="preserve">, f. 2;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9</w:t>
      </w:r>
      <w:r>
        <w:t xml:space="preserve"> </w:t>
      </w:r>
      <w:r w:rsidRPr="0043655B">
        <w:rPr>
          <w:rStyle w:val="TextoNormalCaracter"/>
        </w:rPr>
        <w:t>(redactado por la Ley 6/2010, de 24 de marzo)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Artículo 17.2.</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18.</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Artículo 18.2.</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 w:history="1">
        <w:r w:rsidRPr="0043655B">
          <w:rPr>
            <w:rStyle w:val="TextoNormalCaracter"/>
          </w:rPr>
          <w:t>1/2012</w:t>
        </w:r>
      </w:hyperlink>
      <w:r>
        <w:t>, ff. 2, 12.</w:t>
      </w:r>
    </w:p>
    <w:p w:rsidR="0043655B" w:rsidRDefault="0043655B" w:rsidP="0043655B">
      <w:pPr>
        <w:pStyle w:val="SangriaFrancesaArticulo"/>
      </w:pPr>
      <w:r w:rsidRPr="0043655B">
        <w:rPr>
          <w:rStyle w:val="TextoNormalNegritaCaracter"/>
        </w:rPr>
        <w:t>Disposición derogatoria única, apartados d), e).</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Disposición final primera, apartado 2.</w:t>
      </w:r>
      <w:r w:rsidRPr="0043655B">
        <w:rPr>
          <w:rStyle w:val="TextoNormalCaracter"/>
        </w:rPr>
        <w:t>-</w:t>
      </w:r>
      <w:r>
        <w:t xml:space="preserve"> Sentencia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t>Disposición final primera</w:t>
      </w:r>
      <w:r>
        <w:t xml:space="preserve"> </w:t>
      </w:r>
      <w:r w:rsidRPr="0043655B">
        <w:rPr>
          <w:rStyle w:val="TextoNormalCaracter"/>
        </w:rPr>
        <w:t>(redactada por la Ley 6/2010, de 24 de marzo)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Disposición final primera</w:t>
      </w:r>
      <w:r>
        <w:t xml:space="preserve"> </w:t>
      </w:r>
      <w:r w:rsidRPr="0043655B">
        <w:rPr>
          <w:rStyle w:val="TextoNormalCaracter"/>
        </w:rPr>
        <w:t>(redactado por la Ley 6/2010, de 24 de marzo)</w:t>
      </w:r>
      <w:r w:rsidRPr="0043655B">
        <w:rPr>
          <w:rStyle w:val="TextoNormalNegritaCaracter"/>
        </w:rPr>
        <w:t>.</w:t>
      </w:r>
      <w:r w:rsidRPr="0043655B">
        <w:rPr>
          <w:rStyle w:val="TextoNormalCaracter"/>
        </w:rPr>
        <w:t>-</w:t>
      </w:r>
      <w:r>
        <w:t xml:space="preserve"> Sentencias </w:t>
      </w:r>
      <w:hyperlink w:anchor="SENTENCIA_2012_1" w:history="1">
        <w:r w:rsidRPr="0043655B">
          <w:rPr>
            <w:rStyle w:val="TextoNormalCaracter"/>
          </w:rPr>
          <w:t>1/2012</w:t>
        </w:r>
      </w:hyperlink>
      <w:r>
        <w:t xml:space="preserve">, f. 2; </w:t>
      </w:r>
      <w:hyperlink w:anchor="SENTENCIA_2012_34" w:history="1">
        <w:r w:rsidRPr="0043655B">
          <w:rPr>
            <w:rStyle w:val="TextoNormalCaracter"/>
          </w:rPr>
          <w:t>34/2012</w:t>
        </w:r>
      </w:hyperlink>
      <w:r>
        <w:t>, f. 2.</w:t>
      </w:r>
    </w:p>
    <w:p w:rsidR="0043655B" w:rsidRDefault="0043655B" w:rsidP="0043655B">
      <w:pPr>
        <w:pStyle w:val="SangriaFrancesaArticulo"/>
      </w:pPr>
      <w:r w:rsidRPr="0043655B">
        <w:rPr>
          <w:rStyle w:val="TextoNormalNegritaCaracter"/>
        </w:rPr>
        <w:lastRenderedPageBreak/>
        <w:t>Disposición final primera, apartado 2</w:t>
      </w:r>
      <w:r>
        <w:t xml:space="preserve"> </w:t>
      </w:r>
      <w:r w:rsidRPr="0043655B">
        <w:rPr>
          <w:rStyle w:val="TextoNormalCaracter"/>
        </w:rPr>
        <w:t>(redactada por la Ley 6/2010, de 24 de marzo)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Disposición final primera, apartado 2</w:t>
      </w:r>
      <w:r>
        <w:t xml:space="preserve"> </w:t>
      </w:r>
      <w:r w:rsidRPr="0043655B">
        <w:rPr>
          <w:rStyle w:val="TextoNormalCaracter"/>
        </w:rPr>
        <w:t>(redactado por la Ley 6/2010, de 24 de marzo)</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Anexo I, grupo 9 d).</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r w:rsidRPr="0043655B">
        <w:rPr>
          <w:rStyle w:val="TextoNormalNegritaCaracter"/>
        </w:rPr>
        <w:t>Anexo II, grupo 9.n 2).</w:t>
      </w:r>
      <w:r w:rsidRPr="0043655B">
        <w:rPr>
          <w:rStyle w:val="TextoNormalCaracter"/>
        </w:rPr>
        <w:t>-</w:t>
      </w:r>
      <w:r>
        <w:t xml:space="preserve"> Sentencia </w:t>
      </w:r>
      <w:hyperlink w:anchor="SENTENCIA_2012_1" w:history="1">
        <w:r w:rsidRPr="0043655B">
          <w:rPr>
            <w:rStyle w:val="TextoNormalCaracter"/>
          </w:rPr>
          <w:t>1/2012</w:t>
        </w:r>
      </w:hyperlink>
      <w:r>
        <w:t>, f. 2.</w:t>
      </w:r>
    </w:p>
    <w:p w:rsidR="0043655B" w:rsidRDefault="0043655B" w:rsidP="0043655B">
      <w:pPr>
        <w:pStyle w:val="SangriaFrancesaArticulo"/>
      </w:pPr>
    </w:p>
    <w:p w:rsidR="0043655B" w:rsidRDefault="0043655B" w:rsidP="0043655B">
      <w:pPr>
        <w:pStyle w:val="TextoNormalNegritaCursivandice"/>
      </w:pPr>
      <w:r>
        <w:t>Real Decreto Legislativo 2/2008, de 20 de junio. Texto refundido de la Ley de suelo</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p>
    <w:p w:rsidR="0043655B" w:rsidRDefault="0043655B" w:rsidP="0043655B">
      <w:pPr>
        <w:pStyle w:val="TextoNormalNegritaCursivandice"/>
      </w:pPr>
      <w:r>
        <w:t>Real Decreto Legislativo 1/2011, de 1 de julio. Texto refundido de la Ley de auditoría de cuentas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ff. 3, 5 a 8.</w:t>
      </w:r>
    </w:p>
    <w:p w:rsidR="0043655B" w:rsidRDefault="0043655B" w:rsidP="0043655B">
      <w:pPr>
        <w:pStyle w:val="SangriaFrancesaArticulo"/>
      </w:pPr>
      <w:r w:rsidRPr="0043655B">
        <w:rPr>
          <w:rStyle w:val="TextoNormalNegritaCaracter"/>
        </w:rPr>
        <w:t>Artículo 23.</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TextoNormal"/>
      </w:pPr>
    </w:p>
    <w:p w:rsidR="0043655B" w:rsidRDefault="0043655B" w:rsidP="0043655B">
      <w:pPr>
        <w:pStyle w:val="SangriaFrancesaArticulo"/>
      </w:pPr>
      <w:bookmarkStart w:id="287" w:name="INDICE22848"/>
    </w:p>
    <w:bookmarkEnd w:id="287"/>
    <w:p w:rsidR="0043655B" w:rsidRDefault="0043655B" w:rsidP="0043655B">
      <w:pPr>
        <w:pStyle w:val="TextoIndiceNivel2"/>
        <w:suppressAutoHyphens/>
      </w:pPr>
      <w:r>
        <w:t>G) Reales Decretos-leyes</w:t>
      </w:r>
    </w:p>
    <w:p w:rsidR="0043655B" w:rsidRDefault="0043655B" w:rsidP="0043655B">
      <w:pPr>
        <w:pStyle w:val="TextoIndiceNivel2"/>
      </w:pPr>
    </w:p>
    <w:p w:rsidR="0043655B" w:rsidRDefault="0043655B" w:rsidP="0043655B">
      <w:pPr>
        <w:pStyle w:val="TextoNormalNegritaCursivandice"/>
      </w:pPr>
      <w:r>
        <w:t>Real Decreto-ley 7/1993, de 21 de mayo. Medidas urgentes de adaptación y modificación del impuesto sobre el valor añadido, del impuesto especial sobre determinados medios de transporte, del impuesto general indirecto canario, del arbitrio sobre la producción e importación en las Islas Canarias y de la tarifa especial del arbitrio insular a la entrada de mercancías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ff. 3, 8, 10.</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00" w:history="1">
        <w:r w:rsidRPr="0043655B">
          <w:rPr>
            <w:rStyle w:val="TextoNormalCaracter"/>
          </w:rPr>
          <w:t>100/2012</w:t>
        </w:r>
      </w:hyperlink>
      <w:r>
        <w:t>, f. 8.</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00" w:history="1">
        <w:r w:rsidRPr="0043655B">
          <w:rPr>
            <w:rStyle w:val="TextoNormalCaracter"/>
          </w:rPr>
          <w:t>100/2012</w:t>
        </w:r>
      </w:hyperlink>
      <w:r>
        <w:t>, ff. 1, 2, 4, 8, 9, 10.</w:t>
      </w:r>
    </w:p>
    <w:p w:rsidR="0043655B" w:rsidRDefault="0043655B" w:rsidP="0043655B">
      <w:pPr>
        <w:pStyle w:val="SangriaFrancesaArticulo"/>
      </w:pPr>
      <w:r w:rsidRPr="0043655B">
        <w:rPr>
          <w:rStyle w:val="TextoNormalNegritaCaracter"/>
        </w:rPr>
        <w:t>Disposición final única.</w:t>
      </w:r>
      <w:r w:rsidRPr="0043655B">
        <w:rPr>
          <w:rStyle w:val="TextoNormalCaracter"/>
        </w:rPr>
        <w:t>-</w:t>
      </w:r>
      <w:r>
        <w:t xml:space="preserve"> Sentencia </w:t>
      </w:r>
      <w:hyperlink w:anchor="SENTENCIA_2012_100" w:history="1">
        <w:r w:rsidRPr="0043655B">
          <w:rPr>
            <w:rStyle w:val="TextoNormalCaracter"/>
          </w:rPr>
          <w:t>100/2012</w:t>
        </w:r>
      </w:hyperlink>
      <w:r>
        <w:t>, ff. 3, 10.</w:t>
      </w:r>
    </w:p>
    <w:p w:rsidR="0043655B" w:rsidRDefault="0043655B" w:rsidP="0043655B">
      <w:pPr>
        <w:pStyle w:val="SangriaFrancesaArticulo"/>
      </w:pPr>
    </w:p>
    <w:p w:rsidR="0043655B" w:rsidRDefault="0043655B" w:rsidP="0043655B">
      <w:pPr>
        <w:pStyle w:val="TextoNormalNegritaCursivandice"/>
      </w:pPr>
      <w:r>
        <w:t>Real Decreto-ley 8/1994, de 5 de agosto. Supresión de las Cámaras Oficiales de la Propiedad Urbana y su Consejo Superior como Corporaciones de derecho público y régimen y destino de su patrimonio</w:t>
      </w:r>
    </w:p>
    <w:p w:rsidR="0043655B" w:rsidRDefault="0043655B" w:rsidP="0043655B">
      <w:pPr>
        <w:pStyle w:val="SangriaFrancesaArticulo"/>
      </w:pPr>
      <w:r w:rsidRPr="0043655B">
        <w:rPr>
          <w:rStyle w:val="TextoNormalNegritaCaracter"/>
        </w:rPr>
        <w:t>Disposición adicional única.</w:t>
      </w:r>
      <w:r w:rsidRPr="0043655B">
        <w:rPr>
          <w:rStyle w:val="TextoNormalCaracter"/>
        </w:rPr>
        <w:t>-</w:t>
      </w:r>
      <w:r>
        <w:t xml:space="preserve"> Sentencia </w:t>
      </w:r>
      <w:hyperlink w:anchor="SENTENCIA_2012_1" w:history="1">
        <w:r w:rsidRPr="0043655B">
          <w:rPr>
            <w:rStyle w:val="TextoNormalCaracter"/>
          </w:rPr>
          <w:t>1/2012</w:t>
        </w:r>
      </w:hyperlink>
      <w:r>
        <w:t>, f. 12.</w:t>
      </w:r>
    </w:p>
    <w:p w:rsidR="0043655B" w:rsidRDefault="0043655B" w:rsidP="0043655B">
      <w:pPr>
        <w:pStyle w:val="SangriaFrancesaArticulo"/>
      </w:pPr>
    </w:p>
    <w:p w:rsidR="0043655B" w:rsidRDefault="0043655B" w:rsidP="0043655B">
      <w:pPr>
        <w:pStyle w:val="TextoNormalNegritaCursivandice"/>
      </w:pPr>
      <w:r>
        <w:t>Real Decreto-ley 8/1995, de 4 de agosto. Medidas urgentes de mejora del aprovechamiento del trasvase Tajo-Segura</w:t>
      </w:r>
    </w:p>
    <w:p w:rsidR="0043655B" w:rsidRDefault="0043655B" w:rsidP="0043655B">
      <w:pPr>
        <w:pStyle w:val="SangriaFrancesaArticulo"/>
      </w:pPr>
      <w:r w:rsidRPr="0043655B">
        <w:rPr>
          <w:rStyle w:val="TextoNormalNegritaCaracter"/>
        </w:rPr>
        <w:t>Artículo 5</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ff. 1, 4.</w:t>
      </w:r>
    </w:p>
    <w:p w:rsidR="0043655B" w:rsidRDefault="0043655B" w:rsidP="0043655B">
      <w:pPr>
        <w:pStyle w:val="SangriaFrancesaArticulo"/>
      </w:pPr>
    </w:p>
    <w:p w:rsidR="0043655B" w:rsidRDefault="0043655B" w:rsidP="0043655B">
      <w:pPr>
        <w:pStyle w:val="TextoNormalNegritaCursivandice"/>
      </w:pPr>
      <w:r>
        <w:t>Real Decreto-ley 1/1997, de 31 de enero. Incorporación al Derecho español de la Directiva 95/47/CE, de 24 de octubre, de la Comisión Europea, sobre el uso de normas para la transmisión de señales de televisión, y se aprueban medidas adicionales para la liberalización del sector</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 w:history="1">
        <w:r w:rsidRPr="0043655B">
          <w:rPr>
            <w:rStyle w:val="TextoNormalCaracter"/>
          </w:rPr>
          <w:t>1/2012</w:t>
        </w:r>
      </w:hyperlink>
      <w:r>
        <w:t>, f. 9.</w:t>
      </w:r>
    </w:p>
    <w:p w:rsidR="0043655B" w:rsidRDefault="0043655B" w:rsidP="0043655B">
      <w:pPr>
        <w:pStyle w:val="SangriaFrancesaArticulo"/>
      </w:pPr>
    </w:p>
    <w:p w:rsidR="0043655B" w:rsidRDefault="0043655B" w:rsidP="0043655B">
      <w:pPr>
        <w:pStyle w:val="TextoNormalNegritaCursivandice"/>
      </w:pPr>
      <w:r>
        <w:lastRenderedPageBreak/>
        <w:t>Real Decreto-ley 6/2000, de 23 de junio.  Medidas urgentes de intensificación de la competencia en mercados de bienes y servicios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 w:history="1">
        <w:r w:rsidRPr="0043655B">
          <w:rPr>
            <w:rStyle w:val="TextoNormalCaracter"/>
          </w:rPr>
          <w:t>1/2012</w:t>
        </w:r>
      </w:hyperlink>
      <w:r>
        <w:t>, f. 11.</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Sentencias </w:t>
      </w:r>
      <w:hyperlink w:anchor="SENTENCIA_2012_26" w:history="1">
        <w:r w:rsidRPr="0043655B">
          <w:rPr>
            <w:rStyle w:val="TextoNormalCaracter"/>
          </w:rPr>
          <w:t>26/2012</w:t>
        </w:r>
      </w:hyperlink>
      <w:r>
        <w:t xml:space="preserve">, f. 6; </w:t>
      </w:r>
      <w:hyperlink w:anchor="SENTENCIA_2012_86" w:history="1">
        <w:r w:rsidRPr="0043655B">
          <w:rPr>
            <w:rStyle w:val="TextoNormalCaracter"/>
          </w:rPr>
          <w:t>86/2012</w:t>
        </w:r>
      </w:hyperlink>
      <w:r>
        <w:t>, ff. 1, 3.</w:t>
      </w:r>
    </w:p>
    <w:p w:rsidR="0043655B" w:rsidRDefault="0043655B" w:rsidP="0043655B">
      <w:pPr>
        <w:pStyle w:val="SangriaFrancesaArticulo"/>
      </w:pPr>
    </w:p>
    <w:p w:rsidR="0043655B" w:rsidRDefault="0043655B" w:rsidP="0043655B">
      <w:pPr>
        <w:pStyle w:val="TextoNormalNegritaCursivandice"/>
      </w:pPr>
      <w:r>
        <w:t>Real Decreto-ley 9/2000, de 6 de octubre. Modificación del Real Decreto Legislativo 1302/1986, de 28 de junio, de evaluación de impacto ambiental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 w:history="1">
        <w:r w:rsidRPr="0043655B">
          <w:rPr>
            <w:rStyle w:val="TextoNormalCaracter"/>
          </w:rPr>
          <w:t>1/2012</w:t>
        </w:r>
      </w:hyperlink>
      <w:r>
        <w:t xml:space="preserve">, ff. 2, 4, 5, 7, 9, 10, 12 a 15; </w:t>
      </w:r>
      <w:hyperlink w:anchor="SENTENCIA_2012_34" w:history="1">
        <w:r w:rsidRPr="0043655B">
          <w:rPr>
            <w:rStyle w:val="TextoNormalCaracter"/>
          </w:rPr>
          <w:t>34/2012</w:t>
        </w:r>
      </w:hyperlink>
      <w:r>
        <w:t>, ff. 2, 5.</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 w:history="1">
        <w:r w:rsidRPr="0043655B">
          <w:rPr>
            <w:rStyle w:val="TextoNormalCaracter"/>
          </w:rPr>
          <w:t>1/2012</w:t>
        </w:r>
      </w:hyperlink>
      <w:r>
        <w:t>, ff. 7, 11.</w:t>
      </w:r>
    </w:p>
    <w:p w:rsidR="0043655B" w:rsidRDefault="0043655B" w:rsidP="0043655B">
      <w:pPr>
        <w:pStyle w:val="SangriaFrancesaArticulo"/>
      </w:pPr>
      <w:r w:rsidRPr="0043655B">
        <w:rPr>
          <w:rStyle w:val="TextoNormalNegritaCaracter"/>
        </w:rPr>
        <w:t>Artículo único, apartado 1.</w:t>
      </w:r>
      <w:r w:rsidRPr="0043655B">
        <w:rPr>
          <w:rStyle w:val="TextoNormalCaracter"/>
        </w:rPr>
        <w:t>-</w:t>
      </w:r>
      <w:r>
        <w:t xml:space="preserve"> Sentencia </w:t>
      </w:r>
      <w:hyperlink w:anchor="SENTENCIA_2012_1" w:history="1">
        <w:r w:rsidRPr="0043655B">
          <w:rPr>
            <w:rStyle w:val="TextoNormalCaracter"/>
          </w:rPr>
          <w:t>1/2012</w:t>
        </w:r>
      </w:hyperlink>
      <w:r>
        <w:t>, ff. 1, 13, 14.</w:t>
      </w:r>
    </w:p>
    <w:p w:rsidR="0043655B" w:rsidRDefault="0043655B" w:rsidP="0043655B">
      <w:pPr>
        <w:pStyle w:val="SangriaFrancesaArticulo"/>
      </w:pPr>
      <w:r w:rsidRPr="0043655B">
        <w:rPr>
          <w:rStyle w:val="TextoNormalNegritaCaracter"/>
        </w:rPr>
        <w:t>Artículo único.</w:t>
      </w:r>
      <w:r w:rsidRPr="0043655B">
        <w:rPr>
          <w:rStyle w:val="TextoNormalCaracter"/>
        </w:rPr>
        <w:t>-</w:t>
      </w:r>
      <w:r>
        <w:t xml:space="preserve"> Sentencia </w:t>
      </w:r>
      <w:hyperlink w:anchor="SENTENCIA_2012_1" w:history="1">
        <w:r w:rsidRPr="0043655B">
          <w:rPr>
            <w:rStyle w:val="TextoNormalCaracter"/>
          </w:rPr>
          <w:t>1/2012</w:t>
        </w:r>
      </w:hyperlink>
      <w:r>
        <w:t>, f. 12.</w:t>
      </w:r>
    </w:p>
    <w:p w:rsidR="0043655B" w:rsidRDefault="0043655B" w:rsidP="0043655B">
      <w:pPr>
        <w:pStyle w:val="SangriaFrancesaArticulo"/>
      </w:pPr>
      <w:r w:rsidRPr="0043655B">
        <w:rPr>
          <w:rStyle w:val="TextoNormalNegritaCaracter"/>
        </w:rPr>
        <w:t>Artículo único, apartado 1.</w:t>
      </w:r>
      <w:r w:rsidRPr="0043655B">
        <w:rPr>
          <w:rStyle w:val="TextoNormalCaracter"/>
        </w:rPr>
        <w:t>-</w:t>
      </w:r>
      <w:r>
        <w:t xml:space="preserve"> Sentencia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único, apartado 2.</w:t>
      </w:r>
      <w:r w:rsidRPr="0043655B">
        <w:rPr>
          <w:rStyle w:val="TextoNormalCaracter"/>
        </w:rPr>
        <w:t>-</w:t>
      </w:r>
      <w:r>
        <w:t xml:space="preserve"> Sentencia </w:t>
      </w:r>
      <w:hyperlink w:anchor="SENTENCIA_2012_1" w:history="1">
        <w:r w:rsidRPr="0043655B">
          <w:rPr>
            <w:rStyle w:val="TextoNormalCaracter"/>
          </w:rPr>
          <w:t>1/2012</w:t>
        </w:r>
      </w:hyperlink>
      <w:r>
        <w:t>, ff. 1, 12.</w:t>
      </w:r>
    </w:p>
    <w:p w:rsidR="0043655B" w:rsidRDefault="0043655B" w:rsidP="0043655B">
      <w:pPr>
        <w:pStyle w:val="SangriaFrancesaArticulo"/>
      </w:pPr>
      <w:r w:rsidRPr="0043655B">
        <w:rPr>
          <w:rStyle w:val="TextoNormalNegritaCaracter"/>
        </w:rPr>
        <w:t>Artículo único, apartado 3.</w:t>
      </w:r>
      <w:r w:rsidRPr="0043655B">
        <w:rPr>
          <w:rStyle w:val="TextoNormalCaracter"/>
        </w:rPr>
        <w:t>-</w:t>
      </w:r>
      <w:r>
        <w:t xml:space="preserve"> Sentencia </w:t>
      </w:r>
      <w:hyperlink w:anchor="SENTENCIA_2012_1" w:history="1">
        <w:r w:rsidRPr="0043655B">
          <w:rPr>
            <w:rStyle w:val="TextoNormalCaracter"/>
          </w:rPr>
          <w:t>1/2012</w:t>
        </w:r>
      </w:hyperlink>
      <w:r>
        <w:t>, ff. 1, 13, 15.</w:t>
      </w:r>
    </w:p>
    <w:p w:rsidR="0043655B" w:rsidRDefault="0043655B" w:rsidP="0043655B">
      <w:pPr>
        <w:pStyle w:val="SangriaFrancesaArticulo"/>
      </w:pPr>
      <w:r w:rsidRPr="0043655B">
        <w:rPr>
          <w:rStyle w:val="TextoNormalNegritaCaracter"/>
        </w:rPr>
        <w:t>Artículo único, apartado 2.</w:t>
      </w:r>
      <w:r w:rsidRPr="0043655B">
        <w:rPr>
          <w:rStyle w:val="TextoNormalCaracter"/>
        </w:rPr>
        <w:t>-</w:t>
      </w:r>
      <w:r>
        <w:t xml:space="preserve"> Sentencia </w:t>
      </w:r>
      <w:hyperlink w:anchor="SENTENCIA_2012_34" w:history="1">
        <w:r w:rsidRPr="0043655B">
          <w:rPr>
            <w:rStyle w:val="TextoNormalCaracter"/>
          </w:rPr>
          <w:t>34/2012</w:t>
        </w:r>
      </w:hyperlink>
      <w:r>
        <w:t>, f. 5.</w:t>
      </w:r>
    </w:p>
    <w:p w:rsidR="0043655B" w:rsidRDefault="0043655B" w:rsidP="0043655B">
      <w:pPr>
        <w:pStyle w:val="SangriaFrancesaArticulo"/>
      </w:pPr>
      <w:r w:rsidRPr="0043655B">
        <w:rPr>
          <w:rStyle w:val="TextoNormalNegritaCaracter"/>
        </w:rPr>
        <w:t>Artículo único, apartado 3.</w:t>
      </w:r>
      <w:r w:rsidRPr="0043655B">
        <w:rPr>
          <w:rStyle w:val="TextoNormalCaracter"/>
        </w:rPr>
        <w:t>-</w:t>
      </w:r>
      <w:r>
        <w:t xml:space="preserve"> Sentencia </w:t>
      </w:r>
      <w:hyperlink w:anchor="SENTENCIA_2012_34" w:history="1">
        <w:r w:rsidRPr="0043655B">
          <w:rPr>
            <w:rStyle w:val="TextoNormalCaracter"/>
          </w:rPr>
          <w:t>34/2012</w:t>
        </w:r>
      </w:hyperlink>
      <w:r>
        <w:t>, ff. 5, 6.</w:t>
      </w:r>
    </w:p>
    <w:p w:rsidR="0043655B" w:rsidRDefault="0043655B" w:rsidP="0043655B">
      <w:pPr>
        <w:pStyle w:val="SangriaFrancesaArticulo"/>
      </w:pPr>
    </w:p>
    <w:p w:rsidR="0043655B" w:rsidRDefault="0043655B" w:rsidP="0043655B">
      <w:pPr>
        <w:pStyle w:val="TextoNormalNegritaCursivandice"/>
      </w:pPr>
      <w:r>
        <w:t>Real Decreto-ley 5/2005, de 11 de marzo. Reformas urgentes para el impulso a la productividad y para la mejora de la contratación pública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p>
    <w:p w:rsidR="0043655B" w:rsidRDefault="0043655B" w:rsidP="0043655B">
      <w:pPr>
        <w:pStyle w:val="TextoNormalNegritaCursivandice"/>
      </w:pPr>
      <w:r>
        <w:t>Real Decreto-ley 8/2010, de 20 de mayo. Medidas extraordinarias para la reducción del déficit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 xml:space="preserve">; </w:t>
      </w:r>
      <w:hyperlink w:anchor="AUTO_2012_39" w:history="1">
        <w:r w:rsidRPr="0043655B">
          <w:rPr>
            <w:rStyle w:val="TextoNormalCaracter"/>
          </w:rPr>
          <w:t>39/2012</w:t>
        </w:r>
      </w:hyperlink>
      <w:r>
        <w:t xml:space="preserve">; </w:t>
      </w:r>
      <w:hyperlink w:anchor="AUTO_2012_128" w:history="1">
        <w:r w:rsidRPr="0043655B">
          <w:rPr>
            <w:rStyle w:val="TextoNormalCaracter"/>
          </w:rPr>
          <w:t>128/2012</w:t>
        </w:r>
      </w:hyperlink>
      <w:r>
        <w:t>.</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Autos </w:t>
      </w:r>
      <w:hyperlink w:anchor="AUTO_2012_8" w:history="1">
        <w:r w:rsidRPr="0043655B">
          <w:rPr>
            <w:rStyle w:val="TextoNormalCaracter"/>
          </w:rPr>
          <w:t>8/2012</w:t>
        </w:r>
      </w:hyperlink>
      <w:r>
        <w:t xml:space="preserve">;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p>
    <w:p w:rsidR="0043655B" w:rsidRDefault="0043655B" w:rsidP="0043655B">
      <w:pPr>
        <w:pStyle w:val="TextoNormalNegritaCursivandice"/>
      </w:pPr>
      <w:r>
        <w:t>Real Decreto-ley 11/2010, de 9 de julio. Órganos de gobierno y otros aspectos del régimen jurídico de las Cajas de Ahorros</w:t>
      </w:r>
    </w:p>
    <w:p w:rsidR="0043655B" w:rsidRDefault="0043655B" w:rsidP="0043655B">
      <w:pPr>
        <w:pStyle w:val="SangriaFrancesaArticulo"/>
      </w:pPr>
      <w:r w:rsidRPr="0043655B">
        <w:rPr>
          <w:rStyle w:val="TextoNormalNegritaCaracter"/>
        </w:rPr>
        <w:t>Artículo 3.3.</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p>
    <w:p w:rsidR="0043655B" w:rsidRDefault="0043655B" w:rsidP="0043655B">
      <w:pPr>
        <w:pStyle w:val="TextoNormalNegritaCursivandice"/>
      </w:pPr>
      <w:r>
        <w:t>Real Decreto-ley 20/2011, de 30 de diciembre. Medidas urgentes en materia presupuestaria, tributaria y financiera para la corrección del déficit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6" w:history="1">
        <w:r w:rsidRPr="0043655B">
          <w:rPr>
            <w:rStyle w:val="TextoNormalCaracter"/>
          </w:rPr>
          <w:t>36/2012</w:t>
        </w:r>
      </w:hyperlink>
      <w:r>
        <w:t xml:space="preserve">, f. 2; </w:t>
      </w:r>
      <w:hyperlink w:anchor="SENTENCIA_2012_72" w:history="1">
        <w:r w:rsidRPr="0043655B">
          <w:rPr>
            <w:rStyle w:val="TextoNormalCaracter"/>
          </w:rPr>
          <w:t>72/2012</w:t>
        </w:r>
      </w:hyperlink>
      <w:r>
        <w:t xml:space="preserve">, f. 2; </w:t>
      </w:r>
      <w:hyperlink w:anchor="SENTENCIA_2012_73" w:history="1">
        <w:r w:rsidRPr="0043655B">
          <w:rPr>
            <w:rStyle w:val="TextoNormalCaracter"/>
          </w:rPr>
          <w:t>73/2012</w:t>
        </w:r>
      </w:hyperlink>
      <w:r>
        <w:t xml:space="preserve">, f. 2; </w:t>
      </w:r>
      <w:hyperlink w:anchor="SENTENCIA_2012_77" w:history="1">
        <w:r w:rsidRPr="0043655B">
          <w:rPr>
            <w:rStyle w:val="TextoNormalCaracter"/>
          </w:rPr>
          <w:t>77/2012</w:t>
        </w:r>
      </w:hyperlink>
      <w:r>
        <w:t>, f. 1.</w:t>
      </w:r>
    </w:p>
    <w:p w:rsidR="0043655B" w:rsidRDefault="0043655B" w:rsidP="0043655B">
      <w:pPr>
        <w:pStyle w:val="SangriaFrancesaArticulo"/>
      </w:pPr>
      <w:r w:rsidRPr="0043655B">
        <w:rPr>
          <w:rStyle w:val="TextoNormalNegritaCaracter"/>
        </w:rPr>
        <w:t>Disposición derogatoria primera, apartado 2.</w:t>
      </w:r>
      <w:r w:rsidRPr="0043655B">
        <w:rPr>
          <w:rStyle w:val="TextoNormalCaracter"/>
        </w:rPr>
        <w:t>-</w:t>
      </w:r>
      <w:r>
        <w:t xml:space="preserve"> Sentencia </w:t>
      </w:r>
      <w:hyperlink w:anchor="SENTENCIA_2012_36" w:history="1">
        <w:r w:rsidRPr="0043655B">
          <w:rPr>
            <w:rStyle w:val="TextoNormalCaracter"/>
          </w:rPr>
          <w:t>36/2012</w:t>
        </w:r>
      </w:hyperlink>
      <w:r>
        <w:t>, f. 12.</w:t>
      </w:r>
    </w:p>
    <w:p w:rsidR="0043655B" w:rsidRDefault="0043655B" w:rsidP="0043655B">
      <w:pPr>
        <w:pStyle w:val="SangriaFrancesaArticulo"/>
      </w:pPr>
      <w:r w:rsidRPr="0043655B">
        <w:rPr>
          <w:rStyle w:val="TextoNormalNegritaCaracter"/>
        </w:rPr>
        <w:t>Disposición final segunda.</w:t>
      </w:r>
      <w:r w:rsidRPr="0043655B">
        <w:rPr>
          <w:rStyle w:val="TextoNormalCaracter"/>
        </w:rPr>
        <w:t>-</w:t>
      </w:r>
      <w:r>
        <w:t xml:space="preserve"> Sentencia </w:t>
      </w:r>
      <w:hyperlink w:anchor="SENTENCIA_2012_36" w:history="1">
        <w:r w:rsidRPr="0043655B">
          <w:rPr>
            <w:rStyle w:val="TextoNormalCaracter"/>
          </w:rPr>
          <w:t>36/2012</w:t>
        </w:r>
      </w:hyperlink>
      <w:r>
        <w:t>, f. 11.</w:t>
      </w:r>
    </w:p>
    <w:p w:rsidR="0043655B" w:rsidRDefault="0043655B" w:rsidP="0043655B">
      <w:pPr>
        <w:pStyle w:val="SangriaFrancesaArticulo"/>
      </w:pPr>
    </w:p>
    <w:p w:rsidR="0043655B" w:rsidRDefault="0043655B" w:rsidP="0043655B">
      <w:pPr>
        <w:pStyle w:val="TextoNormalNegritaCursivandice"/>
      </w:pPr>
      <w:r>
        <w:t>Real Decreto-ley 3/2012, de 10 de febrero. Medidas urgentes para la reforma del mercado laboral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Real Decreto-ley 16/2012, de 20 de abril. Medidas urgentes para garantizar la sostenibilidad del sistema nacional de salud y mejorar la calidad y seguridad de sus prestaciones</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 </w:t>
      </w:r>
      <w:hyperlink w:anchor="SENTENCIA_2012_136" w:history="1">
        <w:r w:rsidRPr="0043655B">
          <w:rPr>
            <w:rStyle w:val="TextoNormalCaracter"/>
          </w:rPr>
          <w:t>136/2012</w:t>
        </w:r>
      </w:hyperlink>
      <w:r>
        <w:t>, f. 2.</w:t>
      </w:r>
    </w:p>
    <w:p w:rsidR="0043655B" w:rsidRDefault="0043655B" w:rsidP="0043655B">
      <w:pPr>
        <w:pStyle w:val="TextoNormal"/>
      </w:pPr>
    </w:p>
    <w:p w:rsidR="0043655B" w:rsidRDefault="0043655B" w:rsidP="0043655B">
      <w:pPr>
        <w:pStyle w:val="SangriaFrancesaArticulo"/>
      </w:pPr>
      <w:bookmarkStart w:id="288" w:name="INDICE22849"/>
    </w:p>
    <w:bookmarkEnd w:id="288"/>
    <w:p w:rsidR="0043655B" w:rsidRDefault="0043655B" w:rsidP="0043655B">
      <w:pPr>
        <w:pStyle w:val="TextoIndiceNivel2"/>
        <w:suppressAutoHyphens/>
      </w:pPr>
      <w:r>
        <w:t>H) Reales Decretos y otras disposiciones generales del Estado</w:t>
      </w:r>
    </w:p>
    <w:p w:rsidR="0043655B" w:rsidRDefault="0043655B" w:rsidP="0043655B">
      <w:pPr>
        <w:pStyle w:val="TextoIndiceNivel2"/>
      </w:pPr>
    </w:p>
    <w:p w:rsidR="0043655B" w:rsidRDefault="0043655B" w:rsidP="0043655B">
      <w:pPr>
        <w:pStyle w:val="TextoNormalNegritaCursivandice"/>
      </w:pPr>
      <w:r>
        <w:t>Orden 82/1983, de 14 de noviembre. Señala la zona de seguridad de la red de instalaciones radioeléctricas existentes en la Segunda Región Aérea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p>
    <w:p w:rsidR="0043655B" w:rsidRDefault="0043655B" w:rsidP="0043655B">
      <w:pPr>
        <w:pStyle w:val="TextoNormalNegritaCursivandice"/>
      </w:pPr>
      <w:r>
        <w:t>Real Decreto 652/1985, de 19 de abril. Traspaso de funciones y servicios del Estado a la Comunidad Autónoma de La Rioja, en materia de asistencia y servicios sociales</w:t>
      </w:r>
    </w:p>
    <w:p w:rsidR="0043655B" w:rsidRDefault="0043655B" w:rsidP="0043655B">
      <w:pPr>
        <w:pStyle w:val="SangriaFrancesaArticulo"/>
      </w:pPr>
      <w:r w:rsidRPr="0043655B">
        <w:rPr>
          <w:rStyle w:val="TextoNormalNegritaCaracter"/>
        </w:rPr>
        <w:t>Anexo I, cláusula b), apartado b).</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p>
    <w:p w:rsidR="0043655B" w:rsidRDefault="0043655B" w:rsidP="0043655B">
      <w:pPr>
        <w:pStyle w:val="TextoNormalNegritaCursivandice"/>
      </w:pPr>
      <w:r>
        <w:t>Acuerdo del Consejo de Ministros, de 30 de abril de 1985. Bases del Plan nacional de formación e inserción profesional y se regulan los cursos de formación profesional a las necesidades de empresas y trabajadores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Real Decreto 111/1986, de 10 de enero. Desarrolla parcialmente la Ley 16/1985, de 25 de junio, del patrimonio histórico español</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6" w:history="1">
        <w:r w:rsidRPr="0043655B">
          <w:rPr>
            <w:rStyle w:val="TextoNormalCaracter"/>
          </w:rPr>
          <w:t>6/2012</w:t>
        </w:r>
      </w:hyperlink>
      <w:r>
        <w:t>, ff. 2, 4, VP II.</w:t>
      </w:r>
    </w:p>
    <w:p w:rsidR="0043655B" w:rsidRDefault="0043655B" w:rsidP="0043655B">
      <w:pPr>
        <w:pStyle w:val="SangriaFrancesaArticulo"/>
      </w:pPr>
      <w:r w:rsidRPr="0043655B">
        <w:rPr>
          <w:rStyle w:val="TextoNormalNegritaCaracter"/>
        </w:rPr>
        <w:t>Artículo 40.3.</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6" w:history="1">
        <w:r w:rsidRPr="0043655B">
          <w:rPr>
            <w:rStyle w:val="TextoNormalCaracter"/>
          </w:rPr>
          <w:t>6/2012</w:t>
        </w:r>
      </w:hyperlink>
      <w:r>
        <w:t>, f. 4.</w:t>
      </w:r>
    </w:p>
    <w:p w:rsidR="0043655B" w:rsidRDefault="0043655B" w:rsidP="0043655B">
      <w:pPr>
        <w:pStyle w:val="SangriaFrancesaArticulo"/>
      </w:pPr>
    </w:p>
    <w:p w:rsidR="0043655B" w:rsidRDefault="0043655B" w:rsidP="0043655B">
      <w:pPr>
        <w:pStyle w:val="TextoNormalNegritaCursivandice"/>
      </w:pPr>
      <w:r>
        <w:t>Real Decreto 849/1986, de 11 de abril. Reglamento del dominio público hidráulico</w:t>
      </w:r>
    </w:p>
    <w:p w:rsidR="0043655B" w:rsidRDefault="0043655B" w:rsidP="0043655B">
      <w:pPr>
        <w:pStyle w:val="SangriaFrancesaArticulo"/>
      </w:pPr>
      <w:r w:rsidRPr="0043655B">
        <w:rPr>
          <w:rStyle w:val="TextoNormalNegritaCaracter"/>
        </w:rPr>
        <w:t>Artículo 316 b).</w:t>
      </w:r>
      <w:r w:rsidRPr="0043655B">
        <w:rPr>
          <w:rStyle w:val="TextoNormalCaracter"/>
        </w:rPr>
        <w:t>-</w:t>
      </w:r>
      <w:r>
        <w:t xml:space="preserve"> Auto </w:t>
      </w:r>
      <w:hyperlink w:anchor="AUTO_2012_34" w:history="1">
        <w:r w:rsidRPr="0043655B">
          <w:rPr>
            <w:rStyle w:val="TextoNormalCaracter"/>
          </w:rPr>
          <w:t>34/2012</w:t>
        </w:r>
      </w:hyperlink>
      <w:r>
        <w:t>.</w:t>
      </w:r>
    </w:p>
    <w:p w:rsidR="0043655B" w:rsidRDefault="0043655B" w:rsidP="0043655B">
      <w:pPr>
        <w:pStyle w:val="SangriaFrancesaArticulo"/>
      </w:pPr>
    </w:p>
    <w:p w:rsidR="0043655B" w:rsidRDefault="0043655B" w:rsidP="0043655B">
      <w:pPr>
        <w:pStyle w:val="TextoNormalNegritaCursivandice"/>
      </w:pPr>
      <w:r>
        <w:t>Real Decreto 942/1986, de 9 de mayo. Normas generales para la realización de experimentaciones educativas en centros docentes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p>
    <w:p w:rsidR="0043655B" w:rsidRDefault="0043655B" w:rsidP="0043655B">
      <w:pPr>
        <w:pStyle w:val="TextoNormalNegritaCursivandice"/>
      </w:pPr>
      <w:r>
        <w:t>Real Decreto 2568/1986, de 28 de noviembre. Reglamento de organización, funcionamiento y régimen jurídico de las entidades locales</w:t>
      </w:r>
    </w:p>
    <w:p w:rsidR="0043655B" w:rsidRDefault="0043655B" w:rsidP="0043655B">
      <w:pPr>
        <w:pStyle w:val="SangriaFrancesaArticulo"/>
      </w:pPr>
      <w:r w:rsidRPr="0043655B">
        <w:rPr>
          <w:rStyle w:val="TextoNormalNegritaCaracter"/>
        </w:rPr>
        <w:t>Artículo 27.</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p>
    <w:p w:rsidR="0043655B" w:rsidRDefault="0043655B" w:rsidP="0043655B">
      <w:pPr>
        <w:pStyle w:val="TextoNormalNegritaCursivandice"/>
      </w:pPr>
      <w:r>
        <w:t>Real Decreto 811/1988, de 20 de julio. Ejército del Aire. Declaración de una zona de interés para la defensa nacional en la provincia de Ciudad Real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2" w:history="1">
        <w:r w:rsidRPr="0043655B">
          <w:rPr>
            <w:rStyle w:val="TextoNormalCaracter"/>
          </w:rPr>
          <w:t>82/2012</w:t>
        </w:r>
      </w:hyperlink>
      <w:r>
        <w:t>, f. 3.</w:t>
      </w:r>
    </w:p>
    <w:p w:rsidR="0043655B" w:rsidRDefault="0043655B" w:rsidP="0043655B">
      <w:pPr>
        <w:pStyle w:val="SangriaFrancesaArticulo"/>
      </w:pPr>
    </w:p>
    <w:p w:rsidR="0043655B" w:rsidRDefault="0043655B" w:rsidP="0043655B">
      <w:pPr>
        <w:pStyle w:val="TextoNormalNegritaCursivandice"/>
      </w:pPr>
      <w:r>
        <w:lastRenderedPageBreak/>
        <w:t>Real Decreto 1131/1988, de 30 de septiembre. Reglamento  para la ejecución del Real Decreto Legislativo 1302/1986, de 28 de junio, de evaluación de impacto ambiental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 w:history="1">
        <w:r w:rsidRPr="0043655B">
          <w:rPr>
            <w:rStyle w:val="TextoNormalCaracter"/>
          </w:rPr>
          <w:t>1/2012</w:t>
        </w:r>
      </w:hyperlink>
      <w:r>
        <w:t xml:space="preserve">, f. 14; </w:t>
      </w:r>
      <w:hyperlink w:anchor="SENTENCIA_2012_34" w:history="1">
        <w:r w:rsidRPr="0043655B">
          <w:rPr>
            <w:rStyle w:val="TextoNormalCaracter"/>
          </w:rPr>
          <w:t>34/2012</w:t>
        </w:r>
      </w:hyperlink>
      <w:r>
        <w:t>, f. 5.</w:t>
      </w:r>
    </w:p>
    <w:p w:rsidR="0043655B" w:rsidRDefault="0043655B" w:rsidP="0043655B">
      <w:pPr>
        <w:pStyle w:val="SangriaFrancesaArticulo"/>
      </w:pPr>
    </w:p>
    <w:p w:rsidR="0043655B" w:rsidRDefault="0043655B" w:rsidP="0043655B">
      <w:pPr>
        <w:pStyle w:val="TextoNormalNegritaCursivandice"/>
      </w:pPr>
      <w:r>
        <w:t>Real Decreto 1095/1989, de 8 de septiembre. Declara las especies objeto de caza y pesca y se establecen normas para su protección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1" w:history="1">
        <w:r w:rsidRPr="0043655B">
          <w:rPr>
            <w:rStyle w:val="TextoNormalCaracter"/>
          </w:rPr>
          <w:t>101/2012</w:t>
        </w:r>
      </w:hyperlink>
      <w:r>
        <w:t>, f. 4.</w:t>
      </w:r>
    </w:p>
    <w:p w:rsidR="0043655B" w:rsidRDefault="0043655B" w:rsidP="0043655B">
      <w:pPr>
        <w:pStyle w:val="SangriaFrancesaArticulo"/>
      </w:pPr>
    </w:p>
    <w:p w:rsidR="0043655B" w:rsidRDefault="0043655B" w:rsidP="0043655B">
      <w:pPr>
        <w:pStyle w:val="TextoNormalNegritaCursivandice"/>
      </w:pPr>
      <w:r>
        <w:t>Real Decreto 1471/1989, de 1 de diciembre. Reglamento general para desarrollo y ejecución de la Ley 22/1988, de 28 de julio, de costas</w:t>
      </w:r>
    </w:p>
    <w:p w:rsidR="0043655B" w:rsidRDefault="0043655B" w:rsidP="0043655B">
      <w:pPr>
        <w:pStyle w:val="SangriaFrancesaArticulo"/>
      </w:pPr>
      <w:r w:rsidRPr="0043655B">
        <w:rPr>
          <w:rStyle w:val="TextoNormalNegritaCaracter"/>
        </w:rPr>
        <w:t>Artículo 18.</w:t>
      </w:r>
      <w:r w:rsidRPr="0043655B">
        <w:rPr>
          <w:rStyle w:val="TextoNormalCaracter"/>
        </w:rPr>
        <w:t>-</w:t>
      </w:r>
      <w:r>
        <w:t xml:space="preserve"> Sentencia </w:t>
      </w:r>
      <w:hyperlink w:anchor="SENTENCIA_2012_137" w:history="1">
        <w:r w:rsidRPr="0043655B">
          <w:rPr>
            <w:rStyle w:val="TextoNormalCaracter"/>
          </w:rPr>
          <w:t>137/2012</w:t>
        </w:r>
      </w:hyperlink>
      <w:r>
        <w:t>, f. 3.</w:t>
      </w:r>
    </w:p>
    <w:p w:rsidR="0043655B" w:rsidRDefault="0043655B" w:rsidP="0043655B">
      <w:pPr>
        <w:pStyle w:val="SangriaFrancesaArticulo"/>
      </w:pPr>
      <w:r w:rsidRPr="0043655B">
        <w:rPr>
          <w:rStyle w:val="TextoNormalNegritaCaracter"/>
        </w:rPr>
        <w:t>Disposición transitoria séptima, apartado 3.</w:t>
      </w:r>
      <w:r w:rsidRPr="0043655B">
        <w:rPr>
          <w:rStyle w:val="TextoNormalCaracter"/>
        </w:rPr>
        <w:t>-</w:t>
      </w:r>
      <w:r>
        <w:t xml:space="preserve"> Sentencias </w:t>
      </w:r>
      <w:hyperlink w:anchor="SENTENCIA_2012_87" w:history="1">
        <w:r w:rsidRPr="0043655B">
          <w:rPr>
            <w:rStyle w:val="TextoNormalCaracter"/>
          </w:rPr>
          <w:t>87/2012</w:t>
        </w:r>
      </w:hyperlink>
      <w:r>
        <w:t xml:space="preserve">, passim; </w:t>
      </w:r>
      <w:hyperlink w:anchor="SENTENCIA_2012_137" w:history="1">
        <w:r w:rsidRPr="0043655B">
          <w:rPr>
            <w:rStyle w:val="TextoNormalCaracter"/>
          </w:rPr>
          <w:t>137/2012</w:t>
        </w:r>
      </w:hyperlink>
      <w:r>
        <w:t>, ff. 1, 3.</w:t>
      </w:r>
    </w:p>
    <w:p w:rsidR="0043655B" w:rsidRDefault="0043655B" w:rsidP="0043655B">
      <w:pPr>
        <w:pStyle w:val="SangriaFrancesaArticulo"/>
      </w:pPr>
      <w:r w:rsidRPr="0043655B">
        <w:rPr>
          <w:rStyle w:val="TextoNormalNegritaCaracter"/>
        </w:rPr>
        <w:t>Disposición transitoria novena, apartado 1.</w:t>
      </w:r>
      <w:r w:rsidRPr="0043655B">
        <w:rPr>
          <w:rStyle w:val="TextoNormalCaracter"/>
        </w:rPr>
        <w:t>-</w:t>
      </w:r>
      <w:r>
        <w:t xml:space="preserve"> Sentencias </w:t>
      </w:r>
      <w:hyperlink w:anchor="SENTENCIA_2012_87" w:history="1">
        <w:r w:rsidRPr="0043655B">
          <w:rPr>
            <w:rStyle w:val="TextoNormalCaracter"/>
          </w:rPr>
          <w:t>87/2012</w:t>
        </w:r>
      </w:hyperlink>
      <w:r>
        <w:t xml:space="preserve">, passim; </w:t>
      </w:r>
      <w:hyperlink w:anchor="SENTENCIA_2012_137" w:history="1">
        <w:r w:rsidRPr="0043655B">
          <w:rPr>
            <w:rStyle w:val="TextoNormalCaracter"/>
          </w:rPr>
          <w:t>137/2012</w:t>
        </w:r>
      </w:hyperlink>
      <w:r>
        <w:t>, ff. 1, 3.</w:t>
      </w:r>
    </w:p>
    <w:p w:rsidR="0043655B" w:rsidRDefault="0043655B" w:rsidP="0043655B">
      <w:pPr>
        <w:pStyle w:val="SangriaFrancesaArticulo"/>
      </w:pPr>
      <w:r w:rsidRPr="0043655B">
        <w:rPr>
          <w:rStyle w:val="TextoNormalNegritaCaracter"/>
        </w:rPr>
        <w:t>Disposición transitoria novena, apartado 3.</w:t>
      </w:r>
      <w:r w:rsidRPr="0043655B">
        <w:rPr>
          <w:rStyle w:val="TextoNormalCaracter"/>
        </w:rPr>
        <w:t>-</w:t>
      </w:r>
      <w:r>
        <w:t xml:space="preserve"> Sentencias </w:t>
      </w:r>
      <w:hyperlink w:anchor="SENTENCIA_2012_87" w:history="1">
        <w:r w:rsidRPr="0043655B">
          <w:rPr>
            <w:rStyle w:val="TextoNormalCaracter"/>
          </w:rPr>
          <w:t>87/2012</w:t>
        </w:r>
      </w:hyperlink>
      <w:r>
        <w:t xml:space="preserve">, passim; </w:t>
      </w:r>
      <w:hyperlink w:anchor="SENTENCIA_2012_137" w:history="1">
        <w:r w:rsidRPr="0043655B">
          <w:rPr>
            <w:rStyle w:val="TextoNormalCaracter"/>
          </w:rPr>
          <w:t>137/2012</w:t>
        </w:r>
      </w:hyperlink>
      <w:r>
        <w:t>, ff. 1, 3.</w:t>
      </w:r>
    </w:p>
    <w:p w:rsidR="0043655B" w:rsidRDefault="0043655B" w:rsidP="0043655B">
      <w:pPr>
        <w:pStyle w:val="SangriaFrancesaArticulo"/>
      </w:pPr>
    </w:p>
    <w:p w:rsidR="0043655B" w:rsidRDefault="0043655B" w:rsidP="0043655B">
      <w:pPr>
        <w:pStyle w:val="TextoNormalNegritaCursivandice"/>
      </w:pPr>
      <w:r>
        <w:t>Real Decreto 439/1990, de 30 de marzo. Catálogo nacional de especies amenazadas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1" w:history="1">
        <w:r w:rsidRPr="0043655B">
          <w:rPr>
            <w:rStyle w:val="TextoNormalCaracter"/>
          </w:rPr>
          <w:t>101/2012</w:t>
        </w:r>
      </w:hyperlink>
      <w:r>
        <w:t>, f. 4.</w:t>
      </w:r>
    </w:p>
    <w:p w:rsidR="0043655B" w:rsidRDefault="0043655B" w:rsidP="0043655B">
      <w:pPr>
        <w:pStyle w:val="SangriaFrancesaArticulo"/>
      </w:pPr>
    </w:p>
    <w:p w:rsidR="0043655B" w:rsidRDefault="0043655B" w:rsidP="0043655B">
      <w:pPr>
        <w:pStyle w:val="TextoNormalNegritaCursivandice"/>
      </w:pPr>
      <w:r>
        <w:t>Real Decreto 1618/1990, de 14 de diciembre. Regulación del plan nacional de formación e inserción profesional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Real Decreto 1636/1990, de 20 de diciembre. Reglamento de desarrollo de la Ley 19/1988, de 12 de julio, de auditoría de cuentas</w:t>
      </w:r>
    </w:p>
    <w:p w:rsidR="0043655B" w:rsidRDefault="0043655B" w:rsidP="0043655B">
      <w:pPr>
        <w:pStyle w:val="SangriaFrancesaArticulo"/>
      </w:pPr>
      <w:r w:rsidRPr="0043655B">
        <w:rPr>
          <w:rStyle w:val="TextoNormalNegritaCaracter"/>
        </w:rPr>
        <w:t>Artículo 74.</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75.</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104.</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p>
    <w:p w:rsidR="0043655B" w:rsidRDefault="0043655B" w:rsidP="0043655B">
      <w:pPr>
        <w:pStyle w:val="TextoNormalNegritaCursivandice"/>
      </w:pPr>
      <w:r>
        <w:t>Real Decreto 358/1991, de 15 de marzo. Reordena la Organización Nacional de Ciegos Españoles</w:t>
      </w:r>
    </w:p>
    <w:p w:rsidR="0043655B" w:rsidRDefault="0043655B" w:rsidP="0043655B">
      <w:pPr>
        <w:pStyle w:val="SangriaFrancesaArticulo"/>
      </w:pPr>
      <w:r w:rsidRPr="0043655B">
        <w:rPr>
          <w:rStyle w:val="TextoNormalNegritaCaracter"/>
        </w:rPr>
        <w:t>Artículo 1.1</w:t>
      </w:r>
      <w:r>
        <w:t xml:space="preserve"> </w:t>
      </w:r>
      <w:r w:rsidRPr="0043655B">
        <w:rPr>
          <w:rStyle w:val="TextoNormalCaracter"/>
        </w:rPr>
        <w:t>(redactado por el Real Decreto 1359/2005, de 18 de noviembre)</w:t>
      </w:r>
      <w:r w:rsidRPr="0043655B">
        <w:rPr>
          <w:rStyle w:val="TextoNormalNegritaCaracter"/>
        </w:rPr>
        <w:t>.</w:t>
      </w:r>
      <w:r w:rsidRPr="0043655B">
        <w:rPr>
          <w:rStyle w:val="TextoNormalCaracter"/>
        </w:rPr>
        <w:t>-</w:t>
      </w:r>
      <w:r>
        <w:t xml:space="preserve"> Sentencias </w:t>
      </w:r>
      <w:hyperlink w:anchor="SENTENCIA_2012_32" w:history="1">
        <w:r w:rsidRPr="0043655B">
          <w:rPr>
            <w:rStyle w:val="TextoNormalCaracter"/>
          </w:rPr>
          <w:t>32/2012</w:t>
        </w:r>
      </w:hyperlink>
      <w:r>
        <w:t xml:space="preserve">, f. 8; </w:t>
      </w:r>
      <w:hyperlink w:anchor="SENTENCIA_2012_133" w:history="1">
        <w:r w:rsidRPr="0043655B">
          <w:rPr>
            <w:rStyle w:val="TextoNormalCaracter"/>
          </w:rPr>
          <w:t>133/2012</w:t>
        </w:r>
      </w:hyperlink>
      <w:r>
        <w:t>, f. 5.</w:t>
      </w:r>
    </w:p>
    <w:p w:rsidR="0043655B" w:rsidRDefault="0043655B" w:rsidP="0043655B">
      <w:pPr>
        <w:pStyle w:val="SangriaFrancesaArticulo"/>
      </w:pPr>
    </w:p>
    <w:p w:rsidR="0043655B" w:rsidRDefault="0043655B" w:rsidP="0043655B">
      <w:pPr>
        <w:pStyle w:val="TextoNormalNegritaCursivandice"/>
      </w:pPr>
      <w:r>
        <w:t>Real Decreto 1577/1991, de 18 de octubre. Traspaso de la gestión de la formación profesional ocupacional a la Generalidad de Cataluña</w:t>
      </w:r>
    </w:p>
    <w:p w:rsidR="0043655B" w:rsidRDefault="0043655B" w:rsidP="0043655B">
      <w:pPr>
        <w:pStyle w:val="SangriaFrancesaArticulo"/>
      </w:pPr>
      <w:r w:rsidRPr="0043655B">
        <w:rPr>
          <w:rStyle w:val="TextoNormalNegritaCaracter"/>
        </w:rPr>
        <w:t>Anexo b)</w:t>
      </w:r>
      <w:r>
        <w:t xml:space="preserve"> </w:t>
      </w:r>
      <w:r w:rsidRPr="0043655B">
        <w:rPr>
          <w:rStyle w:val="TextoNormalCaracter"/>
        </w:rPr>
        <w:t>(redactado por Real Decreto 47/1993, de 15 de enero)</w:t>
      </w:r>
      <w:r w:rsidRPr="0043655B">
        <w:rPr>
          <w:rStyle w:val="TextoNormalNegritaCaracter"/>
        </w:rPr>
        <w:t>.</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Anexo b.5.</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Anexo c).</w:t>
      </w:r>
      <w:r w:rsidRPr="0043655B">
        <w:rPr>
          <w:rStyle w:val="TextoNormalCaracter"/>
        </w:rPr>
        <w:t>-</w:t>
      </w:r>
      <w:r>
        <w:t xml:space="preserve"> Sentencia </w:t>
      </w:r>
      <w:hyperlink w:anchor="SENTENCIA_2012_111" w:history="1">
        <w:r w:rsidRPr="0043655B">
          <w:rPr>
            <w:rStyle w:val="TextoNormalCaracter"/>
          </w:rPr>
          <w:t>111/2012</w:t>
        </w:r>
      </w:hyperlink>
      <w:r>
        <w:t>.</w:t>
      </w:r>
    </w:p>
    <w:p w:rsidR="0043655B" w:rsidRDefault="0043655B" w:rsidP="0043655B">
      <w:pPr>
        <w:pStyle w:val="SangriaFrancesaArticulo"/>
      </w:pPr>
    </w:p>
    <w:p w:rsidR="0043655B" w:rsidRDefault="0043655B" w:rsidP="0043655B">
      <w:pPr>
        <w:pStyle w:val="TextoNormalNegritaCursivandice"/>
      </w:pPr>
      <w:r>
        <w:t xml:space="preserve">Real Decreto 47/1993, de 15 de enero. Ampliación y modificación de medios adscritos a los servicios de la Administración de Estado traspasados a la Generalidad </w:t>
      </w:r>
      <w:r>
        <w:lastRenderedPageBreak/>
        <w:t>de Cataluña por el Real Decreto 1577/1991, de 18 de octubre, en materia de gestión de la formación profesional ocupacional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p>
    <w:p w:rsidR="0043655B" w:rsidRDefault="0043655B" w:rsidP="0043655B">
      <w:pPr>
        <w:pStyle w:val="TextoNormalNegritaCursivandice"/>
      </w:pPr>
      <w:r>
        <w:t>Real Decreto 631/1993, de 3 de mayo. Plan nacional de formación e inserción profesional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p>
    <w:p w:rsidR="0043655B" w:rsidRDefault="0043655B" w:rsidP="0043655B">
      <w:pPr>
        <w:pStyle w:val="TextoNormalNegritaCursivandice"/>
      </w:pPr>
      <w:r>
        <w:t>Real Decreto 1812/1994, de 2 de septiembre. Reglamento general de carreteras</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 </w:t>
      </w:r>
      <w:hyperlink w:anchor="SENTENCIA_2012_112" w:history="1">
        <w:r w:rsidRPr="0043655B">
          <w:rPr>
            <w:rStyle w:val="TextoNormalCaracter"/>
          </w:rPr>
          <w:t>112/2012</w:t>
        </w:r>
      </w:hyperlink>
      <w:r>
        <w:t>, f. 4.</w:t>
      </w:r>
    </w:p>
    <w:p w:rsidR="0043655B" w:rsidRDefault="0043655B" w:rsidP="0043655B">
      <w:pPr>
        <w:pStyle w:val="SangriaFrancesaArticulo"/>
      </w:pPr>
    </w:p>
    <w:p w:rsidR="0043655B" w:rsidRDefault="0043655B" w:rsidP="0043655B">
      <w:pPr>
        <w:pStyle w:val="TextoNormalNegritaCursivandice"/>
      </w:pPr>
      <w:r>
        <w:t>Real Decreto 2208/1994, de 16 de noviembre. Regulación de medicamentos homeopáticos de uso humano de fabricación industrial</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Sentencia </w:t>
      </w:r>
      <w:hyperlink w:anchor="SENTENCIA_2012_70" w:history="1">
        <w:r w:rsidRPr="0043655B">
          <w:rPr>
            <w:rStyle w:val="TextoNormalCaracter"/>
          </w:rPr>
          <w:t>70/2012</w:t>
        </w:r>
      </w:hyperlink>
      <w:r>
        <w:t>, f. 4.</w:t>
      </w:r>
    </w:p>
    <w:p w:rsidR="0043655B" w:rsidRDefault="0043655B" w:rsidP="0043655B">
      <w:pPr>
        <w:pStyle w:val="SangriaFrancesaArticulo"/>
      </w:pPr>
    </w:p>
    <w:p w:rsidR="0043655B" w:rsidRDefault="0043655B" w:rsidP="0043655B">
      <w:pPr>
        <w:pStyle w:val="TextoNormalNegritaCursivandice"/>
      </w:pPr>
      <w:r>
        <w:t>Real Decreto 633/1995, de 21 de abril. Regulación del sistema de gestión de las ayudas comunitarias relativas a la mejora de las condiciones de comercialización y transformación de los productos agrícolas y silvícolas contempladas en los Reglamentos (CEE) 866/90 y 867/90</w:t>
      </w:r>
    </w:p>
    <w:p w:rsidR="0043655B" w:rsidRDefault="0043655B" w:rsidP="0043655B">
      <w:pPr>
        <w:pStyle w:val="SangriaFrancesaArticulo"/>
      </w:pPr>
      <w:r w:rsidRPr="0043655B">
        <w:rPr>
          <w:rStyle w:val="TextoNormalNegritaCaracter"/>
        </w:rPr>
        <w:t>Artículo 4.4.</w:t>
      </w:r>
      <w:r w:rsidRPr="0043655B">
        <w:rPr>
          <w:rStyle w:val="TextoNormalCaracter"/>
        </w:rPr>
        <w:t>-</w:t>
      </w:r>
      <w:r>
        <w:t xml:space="preserve"> Sentencia </w:t>
      </w:r>
      <w:hyperlink w:anchor="SENTENCIA_2012_99" w:history="1">
        <w:r w:rsidRPr="0043655B">
          <w:rPr>
            <w:rStyle w:val="TextoNormalCaracter"/>
          </w:rPr>
          <w:t>99/2012</w:t>
        </w:r>
      </w:hyperlink>
      <w:r>
        <w:t>, f. 7.</w:t>
      </w:r>
    </w:p>
    <w:p w:rsidR="0043655B" w:rsidRDefault="0043655B" w:rsidP="0043655B">
      <w:pPr>
        <w:pStyle w:val="SangriaFrancesaArticulo"/>
      </w:pPr>
    </w:p>
    <w:p w:rsidR="0043655B" w:rsidRDefault="0043655B" w:rsidP="0043655B">
      <w:pPr>
        <w:pStyle w:val="TextoNormalNegritaCursivandice"/>
      </w:pPr>
      <w:r>
        <w:t>Real Decreto 190/1996, de 9 de febrero. Reglamento penitenciario</w:t>
      </w:r>
    </w:p>
    <w:p w:rsidR="0043655B" w:rsidRDefault="0043655B" w:rsidP="0043655B">
      <w:pPr>
        <w:pStyle w:val="SangriaFrancesaArticulo"/>
      </w:pPr>
      <w:r w:rsidRPr="0043655B">
        <w:rPr>
          <w:rStyle w:val="TextoNormalNegritaCaracter"/>
        </w:rPr>
        <w:t>Artículo 49.2.</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54.1.</w:t>
      </w:r>
      <w:r w:rsidRPr="0043655B">
        <w:rPr>
          <w:rStyle w:val="TextoNormalCaracter"/>
        </w:rPr>
        <w:t>-</w:t>
      </w:r>
      <w:r>
        <w:t xml:space="preserve"> Sentencia </w:t>
      </w:r>
      <w:hyperlink w:anchor="SENTENCIA_2012_107" w:history="1">
        <w:r w:rsidRPr="0043655B">
          <w:rPr>
            <w:rStyle w:val="TextoNormalCaracter"/>
          </w:rPr>
          <w:t>107/2012</w:t>
        </w:r>
      </w:hyperlink>
      <w:r>
        <w:t>, f. 5.</w:t>
      </w:r>
    </w:p>
    <w:p w:rsidR="0043655B" w:rsidRDefault="0043655B" w:rsidP="0043655B">
      <w:pPr>
        <w:pStyle w:val="SangriaFrancesaArticulo"/>
      </w:pPr>
      <w:r w:rsidRPr="0043655B">
        <w:rPr>
          <w:rStyle w:val="TextoNormalNegritaCaracter"/>
        </w:rPr>
        <w:t>Artículo 90.2.</w:t>
      </w:r>
      <w:r w:rsidRPr="0043655B">
        <w:rPr>
          <w:rStyle w:val="TextoNormalCaracter"/>
        </w:rPr>
        <w:t>-</w:t>
      </w:r>
      <w:r>
        <w:t xml:space="preserve"> Sentencia </w:t>
      </w:r>
      <w:hyperlink w:anchor="SENTENCIA_2012_106" w:history="1">
        <w:r w:rsidRPr="0043655B">
          <w:rPr>
            <w:rStyle w:val="TextoNormalCaracter"/>
          </w:rPr>
          <w:t>106/2012</w:t>
        </w:r>
      </w:hyperlink>
      <w:r>
        <w:t>, f. 4.</w:t>
      </w:r>
    </w:p>
    <w:p w:rsidR="0043655B" w:rsidRDefault="0043655B" w:rsidP="0043655B">
      <w:pPr>
        <w:pStyle w:val="SangriaFrancesaArticulo"/>
      </w:pPr>
      <w:r w:rsidRPr="0043655B">
        <w:rPr>
          <w:rStyle w:val="TextoNormalNegritaCaracter"/>
        </w:rPr>
        <w:t>Artículo 93.1.2.</w:t>
      </w:r>
      <w:r w:rsidRPr="0043655B">
        <w:rPr>
          <w:rStyle w:val="TextoNormalCaracter"/>
        </w:rPr>
        <w:t>-</w:t>
      </w:r>
      <w:r>
        <w:t xml:space="preserve"> Sentencia </w:t>
      </w:r>
      <w:hyperlink w:anchor="SENTENCIA_2012_106" w:history="1">
        <w:r w:rsidRPr="0043655B">
          <w:rPr>
            <w:rStyle w:val="TextoNormalCaracter"/>
          </w:rPr>
          <w:t>106/2012</w:t>
        </w:r>
      </w:hyperlink>
      <w:r>
        <w:t>, ff. 1 a 4.</w:t>
      </w:r>
    </w:p>
    <w:p w:rsidR="0043655B" w:rsidRDefault="0043655B" w:rsidP="0043655B">
      <w:pPr>
        <w:pStyle w:val="SangriaFrancesaArticulo"/>
      </w:pPr>
      <w:r w:rsidRPr="0043655B">
        <w:rPr>
          <w:rStyle w:val="TextoNormalNegritaCaracter"/>
        </w:rPr>
        <w:t>Artículo 202.</w:t>
      </w:r>
      <w:r w:rsidRPr="0043655B">
        <w:rPr>
          <w:rStyle w:val="TextoNormalCaracter"/>
        </w:rPr>
        <w:t>-</w:t>
      </w:r>
      <w:r>
        <w:t xml:space="preserve"> Sentencias </w:t>
      </w:r>
      <w:hyperlink w:anchor="SENTENCIA_2012_43" w:history="1">
        <w:r w:rsidRPr="0043655B">
          <w:rPr>
            <w:rStyle w:val="TextoNormalCaracter"/>
          </w:rPr>
          <w:t>43/2012</w:t>
        </w:r>
      </w:hyperlink>
      <w:r>
        <w:t xml:space="preserve">, f. 4; </w:t>
      </w:r>
      <w:hyperlink w:anchor="SENTENCIA_2012_46" w:history="1">
        <w:r w:rsidRPr="0043655B">
          <w:rPr>
            <w:rStyle w:val="TextoNormalCaracter"/>
          </w:rPr>
          <w:t>46/2012</w:t>
        </w:r>
      </w:hyperlink>
      <w:r>
        <w:t xml:space="preserve">, f. 4; </w:t>
      </w:r>
      <w:hyperlink w:anchor="SENTENCIA_2012_54" w:history="1">
        <w:r w:rsidRPr="0043655B">
          <w:rPr>
            <w:rStyle w:val="TextoNormalCaracter"/>
          </w:rPr>
          <w:t>54/2012</w:t>
        </w:r>
      </w:hyperlink>
      <w:r>
        <w:t xml:space="preserve">, f. 4; </w:t>
      </w:r>
      <w:hyperlink w:anchor="SENTENCIA_2012_57" w:history="1">
        <w:r w:rsidRPr="0043655B">
          <w:rPr>
            <w:rStyle w:val="TextoNormalCaracter"/>
          </w:rPr>
          <w:t>57/2012</w:t>
        </w:r>
      </w:hyperlink>
      <w:r>
        <w:t>, f. 3.</w:t>
      </w:r>
    </w:p>
    <w:p w:rsidR="0043655B" w:rsidRDefault="0043655B" w:rsidP="0043655B">
      <w:pPr>
        <w:pStyle w:val="SangriaFrancesaArticulo"/>
      </w:pPr>
    </w:p>
    <w:p w:rsidR="0043655B" w:rsidRDefault="0043655B" w:rsidP="0043655B">
      <w:pPr>
        <w:pStyle w:val="TextoNormalNegritaCursivandice"/>
      </w:pPr>
      <w:r>
        <w:t>Orden del Ministerio de Sanidad y Consumo de 14 de febrero de 1997. Prescripción y dispensación de fórmulas magistrales y preparados oficinales para tratamientos peculiares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0" w:history="1">
        <w:r w:rsidRPr="0043655B">
          <w:rPr>
            <w:rStyle w:val="TextoNormalCaracter"/>
          </w:rPr>
          <w:t>70/2012</w:t>
        </w:r>
      </w:hyperlink>
      <w:r>
        <w:t>, ff. 4, 6.</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70" w:history="1">
        <w:r w:rsidRPr="0043655B">
          <w:rPr>
            <w:rStyle w:val="TextoNormalCaracter"/>
          </w:rPr>
          <w:t>70/2012</w:t>
        </w:r>
      </w:hyperlink>
      <w:r>
        <w:t>, f. 5.</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70" w:history="1">
        <w:r w:rsidRPr="0043655B">
          <w:rPr>
            <w:rStyle w:val="TextoNormalCaracter"/>
          </w:rPr>
          <w:t>70/2012</w:t>
        </w:r>
      </w:hyperlink>
      <w:r>
        <w:t>, f. 5.</w:t>
      </w:r>
    </w:p>
    <w:p w:rsidR="0043655B" w:rsidRDefault="0043655B" w:rsidP="0043655B">
      <w:pPr>
        <w:pStyle w:val="SangriaFrancesaArticulo"/>
      </w:pPr>
    </w:p>
    <w:p w:rsidR="0043655B" w:rsidRDefault="0043655B" w:rsidP="0043655B">
      <w:pPr>
        <w:pStyle w:val="TextoNormalNegritaCursivandice"/>
      </w:pPr>
      <w:r>
        <w:t>Real Decreto 1050/1997, de 27 de junio. Traspaso a la Generalidad de Cataluña de la gestión realizada por el Instituto Nacional de Empleo, en el ámbito del trabajo, el empleo y la formación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p>
    <w:p w:rsidR="0043655B" w:rsidRDefault="0043655B" w:rsidP="0043655B">
      <w:pPr>
        <w:pStyle w:val="TextoNormalNegritaCursivandice"/>
      </w:pPr>
      <w:r>
        <w:t>Real Decreto 844/1999, de 21 de mayo. Autorización de explotación de una lotería instantánea o presorteada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2" w:history="1">
        <w:r w:rsidRPr="0043655B">
          <w:rPr>
            <w:rStyle w:val="TextoNormalCaracter"/>
          </w:rPr>
          <w:t>32/2012</w:t>
        </w:r>
      </w:hyperlink>
      <w:r>
        <w:t xml:space="preserve">, ff. 1, 2, 4, 5, 7; </w:t>
      </w:r>
      <w:hyperlink w:anchor="SENTENCIA_2012_133" w:history="1">
        <w:r w:rsidRPr="0043655B">
          <w:rPr>
            <w:rStyle w:val="TextoNormalCaracter"/>
          </w:rPr>
          <w:t>133/2012</w:t>
        </w:r>
      </w:hyperlink>
      <w:r>
        <w:t>, f. 3.</w:t>
      </w:r>
    </w:p>
    <w:p w:rsidR="0043655B" w:rsidRDefault="0043655B" w:rsidP="0043655B">
      <w:pPr>
        <w:pStyle w:val="SangriaIzquierdaArticulo"/>
      </w:pPr>
      <w:r>
        <w:t xml:space="preserve">Auto </w:t>
      </w:r>
      <w:hyperlink w:anchor="AUTO_2012_45" w:history="1">
        <w:r w:rsidRPr="0043655B">
          <w:rPr>
            <w:rStyle w:val="TextoNormalCaracter"/>
          </w:rPr>
          <w:t>45/2012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32" w:history="1">
        <w:r w:rsidRPr="0043655B">
          <w:rPr>
            <w:rStyle w:val="TextoNormalCaracter"/>
          </w:rPr>
          <w:t>32/2012</w:t>
        </w:r>
      </w:hyperlink>
      <w:r>
        <w:t>, f. 4.</w:t>
      </w:r>
    </w:p>
    <w:p w:rsidR="0043655B" w:rsidRDefault="0043655B" w:rsidP="0043655B">
      <w:pPr>
        <w:pStyle w:val="SangriaFrancesaArticulo"/>
      </w:pPr>
    </w:p>
    <w:p w:rsidR="0043655B" w:rsidRDefault="0043655B" w:rsidP="0043655B">
      <w:pPr>
        <w:pStyle w:val="TextoNormalNegritaCursivandice"/>
      </w:pPr>
      <w:r>
        <w:lastRenderedPageBreak/>
        <w:t>Real Decreto 2070/1999, de 30 de diciembre. Regulación de las actividades de obtención y utilización clínica de órganos humanos y la coordinación territorial en materia de donación y trasplante de órganos y tejidos</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 </w:t>
      </w:r>
      <w:hyperlink w:anchor="SENTENCIA_2012_22" w:history="1">
        <w:r w:rsidRPr="0043655B">
          <w:rPr>
            <w:rStyle w:val="TextoNormalCaracter"/>
          </w:rPr>
          <w:t>22/2012</w:t>
        </w:r>
      </w:hyperlink>
      <w:r>
        <w:t>, f. 9.</w:t>
      </w:r>
    </w:p>
    <w:p w:rsidR="0043655B" w:rsidRDefault="0043655B" w:rsidP="0043655B">
      <w:pPr>
        <w:pStyle w:val="SangriaFrancesaArticulo"/>
      </w:pPr>
    </w:p>
    <w:p w:rsidR="0043655B" w:rsidRDefault="0043655B" w:rsidP="0043655B">
      <w:pPr>
        <w:pStyle w:val="TextoNormalNegritaCursivandice"/>
      </w:pPr>
      <w:r>
        <w:t>Real Decreto 1943/2000, de 1 de diciembre. Declara zona de interés para la Defensa Nacional el campo de entrenamiento de las Fuerzas Armadas de las Bárdenas Reales (Navarra).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2" w:history="1">
        <w:r w:rsidRPr="0043655B">
          <w:rPr>
            <w:rStyle w:val="TextoNormalCaracter"/>
          </w:rPr>
          <w:t>82/2012</w:t>
        </w:r>
      </w:hyperlink>
      <w:r>
        <w:t>, ff. 1, 4, 5, VP II.</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82" w:history="1">
        <w:r w:rsidRPr="0043655B">
          <w:rPr>
            <w:rStyle w:val="TextoNormalCaracter"/>
          </w:rPr>
          <w:t>82/2012</w:t>
        </w:r>
      </w:hyperlink>
      <w:r>
        <w:t>, f. 2.</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r w:rsidRPr="0043655B">
        <w:rPr>
          <w:rStyle w:val="TextoNormalNegritaCaracter"/>
        </w:rPr>
        <w:t>Artículo 2 c).</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p>
    <w:p w:rsidR="0043655B" w:rsidRDefault="0043655B" w:rsidP="0043655B">
      <w:pPr>
        <w:pStyle w:val="TextoNormalNegritaCursivandice"/>
      </w:pPr>
      <w:r>
        <w:t>Real Decreto 117/2001, de 9 de febrero. Normativa básica de fomento de las inversiones para la mejora de las condiciones de transformación y comercialización de los productos agrarios, silvícolas y de la alimentación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9" w:history="1">
        <w:r w:rsidRPr="0043655B">
          <w:rPr>
            <w:rStyle w:val="TextoNormalCaracter"/>
          </w:rPr>
          <w:t>99/2012</w:t>
        </w:r>
      </w:hyperlink>
      <w:r>
        <w:t>, ff. 2 a 6, 8.</w:t>
      </w:r>
    </w:p>
    <w:p w:rsidR="0043655B" w:rsidRDefault="0043655B" w:rsidP="0043655B">
      <w:pPr>
        <w:pStyle w:val="SangriaFrancesaArticulo"/>
      </w:pPr>
      <w:r w:rsidRPr="0043655B">
        <w:rPr>
          <w:rStyle w:val="TextoNormalNegritaCaracter"/>
        </w:rPr>
        <w:t>Preámbulo, párrafo 13.</w:t>
      </w:r>
      <w:r w:rsidRPr="0043655B">
        <w:rPr>
          <w:rStyle w:val="TextoNormalCaracter"/>
        </w:rPr>
        <w:t>-</w:t>
      </w:r>
      <w:r>
        <w:t xml:space="preserve"> Sentencia </w:t>
      </w:r>
      <w:hyperlink w:anchor="SENTENCIA_2012_99" w:history="1">
        <w:r w:rsidRPr="0043655B">
          <w:rPr>
            <w:rStyle w:val="TextoNormalCaracter"/>
          </w:rPr>
          <w:t>99/2012</w:t>
        </w:r>
      </w:hyperlink>
      <w:r>
        <w:t>, ff. 1, 2.</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99" w:history="1">
        <w:r w:rsidRPr="0043655B">
          <w:rPr>
            <w:rStyle w:val="TextoNormalCaracter"/>
          </w:rPr>
          <w:t>99/2012</w:t>
        </w:r>
      </w:hyperlink>
      <w:r>
        <w:t>, ff. 1, 4.</w:t>
      </w:r>
    </w:p>
    <w:p w:rsidR="0043655B" w:rsidRDefault="0043655B" w:rsidP="0043655B">
      <w:pPr>
        <w:pStyle w:val="SangriaFrancesaArticulo"/>
      </w:pPr>
      <w:r w:rsidRPr="0043655B">
        <w:rPr>
          <w:rStyle w:val="TextoNormalNegritaCaracter"/>
        </w:rPr>
        <w:t>Artículo 6</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2, 5 a 7.</w:t>
      </w:r>
    </w:p>
    <w:p w:rsidR="0043655B" w:rsidRDefault="0043655B" w:rsidP="0043655B">
      <w:pPr>
        <w:pStyle w:val="SangriaFrancesaArticulo"/>
      </w:pPr>
      <w:r w:rsidRPr="0043655B">
        <w:rPr>
          <w:rStyle w:val="TextoNormalNegritaCaracter"/>
        </w:rPr>
        <w:t>Artículo 6.2</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 6.</w:t>
      </w:r>
    </w:p>
    <w:p w:rsidR="0043655B" w:rsidRDefault="0043655B" w:rsidP="0043655B">
      <w:pPr>
        <w:pStyle w:val="SangriaFrancesaArticulo"/>
      </w:pPr>
      <w:r w:rsidRPr="0043655B">
        <w:rPr>
          <w:rStyle w:val="TextoNormalNegritaCaracter"/>
        </w:rPr>
        <w:t>Artículo 6.3</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 6.</w:t>
      </w:r>
    </w:p>
    <w:p w:rsidR="0043655B" w:rsidRDefault="0043655B" w:rsidP="0043655B">
      <w:pPr>
        <w:pStyle w:val="SangriaFrancesaArticulo"/>
      </w:pPr>
      <w:r w:rsidRPr="0043655B">
        <w:rPr>
          <w:rStyle w:val="TextoNormalNegritaCaracter"/>
        </w:rPr>
        <w:t>Artículo 7</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7.4</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2, 5 a 7.</w:t>
      </w:r>
    </w:p>
    <w:p w:rsidR="0043655B" w:rsidRDefault="0043655B" w:rsidP="0043655B">
      <w:pPr>
        <w:pStyle w:val="SangriaFrancesaArticulo"/>
      </w:pPr>
      <w:r w:rsidRPr="0043655B">
        <w:rPr>
          <w:rStyle w:val="TextoNormalNegritaCaracter"/>
        </w:rPr>
        <w:t>Artículo 8.1</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2, 6, 8.</w:t>
      </w:r>
    </w:p>
    <w:p w:rsidR="0043655B" w:rsidRDefault="0043655B" w:rsidP="0043655B">
      <w:pPr>
        <w:pStyle w:val="SangriaFrancesaArticulo"/>
      </w:pPr>
      <w:r w:rsidRPr="0043655B">
        <w:rPr>
          <w:rStyle w:val="TextoNormalNegritaCaracter"/>
        </w:rPr>
        <w:t>Artículo 8.2</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6, 8.</w:t>
      </w:r>
    </w:p>
    <w:p w:rsidR="0043655B" w:rsidRDefault="0043655B" w:rsidP="0043655B">
      <w:pPr>
        <w:pStyle w:val="SangriaFrancesaArticulo"/>
      </w:pPr>
      <w:r w:rsidRPr="0043655B">
        <w:rPr>
          <w:rStyle w:val="TextoNormalNegritaCaracter"/>
        </w:rPr>
        <w:t>Artículo 8.4</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6, 8.</w:t>
      </w:r>
    </w:p>
    <w:p w:rsidR="0043655B" w:rsidRDefault="0043655B" w:rsidP="0043655B">
      <w:pPr>
        <w:pStyle w:val="SangriaFrancesaArticulo"/>
      </w:pPr>
      <w:r w:rsidRPr="0043655B">
        <w:rPr>
          <w:rStyle w:val="TextoNormalNegritaCaracter"/>
        </w:rPr>
        <w:t>Artículo 8.6</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6, 8.</w:t>
      </w:r>
    </w:p>
    <w:p w:rsidR="0043655B" w:rsidRDefault="0043655B" w:rsidP="0043655B">
      <w:pPr>
        <w:pStyle w:val="SangriaFrancesaArticulo"/>
      </w:pPr>
      <w:r w:rsidRPr="0043655B">
        <w:rPr>
          <w:rStyle w:val="TextoNormalNegritaCaracter"/>
        </w:rPr>
        <w:t>Disposición adicional cuarta.</w:t>
      </w:r>
      <w:r w:rsidRPr="0043655B">
        <w:rPr>
          <w:rStyle w:val="TextoNormalCaracter"/>
        </w:rPr>
        <w:t>-</w:t>
      </w:r>
      <w:r>
        <w:t xml:space="preserve"> Sentencia </w:t>
      </w:r>
      <w:hyperlink w:anchor="SENTENCIA_2012_99" w:history="1">
        <w:r w:rsidRPr="0043655B">
          <w:rPr>
            <w:rStyle w:val="TextoNormalCaracter"/>
          </w:rPr>
          <w:t>99/2012</w:t>
        </w:r>
      </w:hyperlink>
      <w:r>
        <w:t>, f. 1.</w:t>
      </w:r>
    </w:p>
    <w:p w:rsidR="0043655B" w:rsidRDefault="0043655B" w:rsidP="0043655B">
      <w:pPr>
        <w:pStyle w:val="SangriaFrancesaArticulo"/>
      </w:pPr>
      <w:r w:rsidRPr="0043655B">
        <w:rPr>
          <w:rStyle w:val="TextoNormalNegritaCaracter"/>
        </w:rPr>
        <w:t>Disposición adicional quinta.</w:t>
      </w:r>
      <w:r w:rsidRPr="0043655B">
        <w:rPr>
          <w:rStyle w:val="TextoNormalCaracter"/>
        </w:rPr>
        <w:t>-</w:t>
      </w:r>
      <w:r>
        <w:t xml:space="preserve"> Sentencia </w:t>
      </w:r>
      <w:hyperlink w:anchor="SENTENCIA_2012_99" w:history="1">
        <w:r w:rsidRPr="0043655B">
          <w:rPr>
            <w:rStyle w:val="TextoNormalCaracter"/>
          </w:rPr>
          <w:t>99/2012</w:t>
        </w:r>
      </w:hyperlink>
      <w:r>
        <w:t>, ff. 1, 6, 8.</w:t>
      </w:r>
    </w:p>
    <w:p w:rsidR="0043655B" w:rsidRDefault="0043655B" w:rsidP="0043655B">
      <w:pPr>
        <w:pStyle w:val="SangriaFrancesaArticulo"/>
      </w:pPr>
      <w:r w:rsidRPr="0043655B">
        <w:rPr>
          <w:rStyle w:val="TextoNormalNegritaCaracter"/>
        </w:rPr>
        <w:t>Anexo I.</w:t>
      </w:r>
      <w:r w:rsidRPr="0043655B">
        <w:rPr>
          <w:rStyle w:val="TextoNormalCaracter"/>
        </w:rPr>
        <w:t>-</w:t>
      </w:r>
      <w:r>
        <w:t xml:space="preserve"> Sentencia </w:t>
      </w:r>
      <w:hyperlink w:anchor="SENTENCIA_2012_99" w:history="1">
        <w:r w:rsidRPr="0043655B">
          <w:rPr>
            <w:rStyle w:val="TextoNormalCaracter"/>
          </w:rPr>
          <w:t>99/2012</w:t>
        </w:r>
      </w:hyperlink>
      <w:r>
        <w:t xml:space="preserve">, ff. 1, 2, 6, 7 (redactado por el Real Decreto </w:t>
      </w:r>
      <w:hyperlink w:anchor="SENTENCIA_2003_326" w:history="1">
        <w:r w:rsidRPr="0043655B">
          <w:rPr>
            <w:rStyle w:val="TextoNormalCaracter"/>
          </w:rPr>
          <w:t>326/2003</w:t>
        </w:r>
      </w:hyperlink>
      <w:r>
        <w:t>, de 14 de marzo).</w:t>
      </w:r>
    </w:p>
    <w:p w:rsidR="0043655B" w:rsidRDefault="0043655B" w:rsidP="0043655B">
      <w:pPr>
        <w:pStyle w:val="SangriaFrancesaArticulo"/>
      </w:pPr>
      <w:r w:rsidRPr="0043655B">
        <w:rPr>
          <w:rStyle w:val="TextoNormalNegritaCaracter"/>
        </w:rPr>
        <w:t>Anexo I</w:t>
      </w:r>
      <w:r>
        <w:t xml:space="preserve"> </w:t>
      </w:r>
      <w:r w:rsidRPr="0043655B">
        <w:rPr>
          <w:rStyle w:val="TextoNormalCaracter"/>
        </w:rPr>
        <w:t>(redactado por el Real Decreto 326/2003, de 14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ff. 1, 2, 6, 7.</w:t>
      </w:r>
    </w:p>
    <w:p w:rsidR="0043655B" w:rsidRDefault="0043655B" w:rsidP="0043655B">
      <w:pPr>
        <w:pStyle w:val="SangriaFrancesaArticulo"/>
      </w:pPr>
      <w:r w:rsidRPr="0043655B">
        <w:rPr>
          <w:rStyle w:val="TextoNormalNegritaCaracter"/>
        </w:rPr>
        <w:t>Anexo II.</w:t>
      </w:r>
      <w:r w:rsidRPr="0043655B">
        <w:rPr>
          <w:rStyle w:val="TextoNormalCaracter"/>
        </w:rPr>
        <w:t>-</w:t>
      </w:r>
      <w:r>
        <w:t xml:space="preserve"> Sentencia </w:t>
      </w:r>
      <w:hyperlink w:anchor="SENTENCIA_2012_99" w:history="1">
        <w:r w:rsidRPr="0043655B">
          <w:rPr>
            <w:rStyle w:val="TextoNormalCaracter"/>
          </w:rPr>
          <w:t>99/2012</w:t>
        </w:r>
      </w:hyperlink>
      <w:r>
        <w:t>, ff. 1, 6, 7.</w:t>
      </w:r>
    </w:p>
    <w:p w:rsidR="0043655B" w:rsidRDefault="0043655B" w:rsidP="0043655B">
      <w:pPr>
        <w:pStyle w:val="SangriaFrancesaArticulo"/>
      </w:pPr>
    </w:p>
    <w:p w:rsidR="0043655B" w:rsidRDefault="0043655B" w:rsidP="0043655B">
      <w:pPr>
        <w:pStyle w:val="TextoNormalNegritaCursivandice"/>
      </w:pPr>
      <w:r>
        <w:lastRenderedPageBreak/>
        <w:t>Real Decreto 949/2001, de 3 de agosto. Regulación del acceso de terceros a las instalaciones gasistas y se establece un sistema económico integrado del sector de gas natural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135" w:history="1">
        <w:r w:rsidRPr="0043655B">
          <w:rPr>
            <w:rStyle w:val="TextoNormalCaracter"/>
          </w:rPr>
          <w:t>135/2012</w:t>
        </w:r>
      </w:hyperlink>
      <w:r>
        <w:t>, f. 4.</w:t>
      </w:r>
    </w:p>
    <w:p w:rsidR="0043655B" w:rsidRDefault="0043655B" w:rsidP="0043655B">
      <w:pPr>
        <w:pStyle w:val="SangriaFrancesaArticulo"/>
      </w:pPr>
    </w:p>
    <w:p w:rsidR="0043655B" w:rsidRDefault="0043655B" w:rsidP="0043655B">
      <w:pPr>
        <w:pStyle w:val="TextoNormalNegritaCursivandice"/>
      </w:pPr>
      <w:r>
        <w:t>Real Decreto 1066/2001, de 28 de septiembre. Aprueba el Reglamento que establece condiciones de protección del dominio público radioeléctrico, restricciones a las emisiones radioeléctricas y medidas de protección sanitaria frente a emisiones radioeléctricas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Anexo II.</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p>
    <w:p w:rsidR="0043655B" w:rsidRDefault="0043655B" w:rsidP="0043655B">
      <w:pPr>
        <w:pStyle w:val="TextoNormalNegritaCursivandice"/>
      </w:pPr>
      <w:r>
        <w:t>Real Decreto 191/2002, de 15 de febrero. Declara zona de interés para la defensa nacional el asentamiento de la estación de vigilancia aérea número 14 del Ejército del Aire y el acceso a la misma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p>
    <w:p w:rsidR="0043655B" w:rsidRDefault="0043655B" w:rsidP="0043655B">
      <w:pPr>
        <w:pStyle w:val="TextoNormalNegritaCursivandice"/>
      </w:pPr>
      <w:r>
        <w:t>Real Decreto 326/2003, de 14 de marzo. Modificación del Real Decreto 117/2001, de 9 de febrero, por el que se establece la normativa básica de fomento de las inversiones para la mejora de las condiciones de transformación y comercialización de los productos agrarios, silvícolas y de la alimentación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9" w:history="1">
        <w:r w:rsidRPr="0043655B">
          <w:rPr>
            <w:rStyle w:val="TextoNormalCaracter"/>
          </w:rPr>
          <w:t>99/2012</w:t>
        </w:r>
      </w:hyperlink>
      <w:r>
        <w:t>, ff. 1, 2, 5 a 8.</w:t>
      </w:r>
    </w:p>
    <w:p w:rsidR="0043655B" w:rsidRDefault="0043655B" w:rsidP="0043655B">
      <w:pPr>
        <w:pStyle w:val="SangriaFrancesaArticulo"/>
      </w:pPr>
    </w:p>
    <w:p w:rsidR="0043655B" w:rsidRDefault="0043655B" w:rsidP="0043655B">
      <w:pPr>
        <w:pStyle w:val="TextoNormalNegritaCursivandice"/>
      </w:pPr>
      <w:r>
        <w:t>Real Decreto 1231/2003, de 26 de septiembre. Modificación de la nomenclatura y el catálogo de las autopistas y autovías de la Red de Carreteras del Estado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2" w:history="1">
        <w:r w:rsidRPr="0043655B">
          <w:rPr>
            <w:rStyle w:val="TextoNormalCaracter"/>
          </w:rPr>
          <w:t>112/2012</w:t>
        </w:r>
      </w:hyperlink>
      <w:r>
        <w:t>, ff. 1, 4, 5.</w:t>
      </w:r>
    </w:p>
    <w:p w:rsidR="0043655B" w:rsidRDefault="0043655B" w:rsidP="0043655B">
      <w:pPr>
        <w:pStyle w:val="SangriaFrancesaArticulo"/>
      </w:pPr>
      <w:r w:rsidRPr="0043655B">
        <w:rPr>
          <w:rStyle w:val="TextoNormalNegritaCaracter"/>
        </w:rPr>
        <w:t>Anexo II.</w:t>
      </w:r>
      <w:r w:rsidRPr="0043655B">
        <w:rPr>
          <w:rStyle w:val="TextoNormalCaracter"/>
        </w:rPr>
        <w:t>-</w:t>
      </w:r>
      <w:r>
        <w:t xml:space="preserve"> Sentencia </w:t>
      </w:r>
      <w:hyperlink w:anchor="SENTENCIA_2012_112" w:history="1">
        <w:r w:rsidRPr="0043655B">
          <w:rPr>
            <w:rStyle w:val="TextoNormalCaracter"/>
          </w:rPr>
          <w:t>112/2012</w:t>
        </w:r>
      </w:hyperlink>
      <w:r>
        <w:t>, ff. 1, 4.</w:t>
      </w:r>
    </w:p>
    <w:p w:rsidR="0043655B" w:rsidRDefault="0043655B" w:rsidP="0043655B">
      <w:pPr>
        <w:pStyle w:val="SangriaFrancesaArticulo"/>
      </w:pPr>
    </w:p>
    <w:p w:rsidR="0043655B" w:rsidRDefault="0043655B" w:rsidP="0043655B">
      <w:pPr>
        <w:pStyle w:val="TextoNormalNegritaCursivandice"/>
      </w:pPr>
      <w:r>
        <w:t>Real Decreto 1277/2003, de 10 de octubre. Establecimiento de las bases generales sobre autorización de centros, servicios y establecimientos sanitarios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Anexo I, apartado 2.</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Anexo I, apartado 4.</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p>
    <w:p w:rsidR="0043655B" w:rsidRDefault="0043655B" w:rsidP="0043655B">
      <w:pPr>
        <w:pStyle w:val="TextoNormalNegritaCursivandice"/>
      </w:pPr>
      <w:r>
        <w:t>Real Decreto 439/2004, de 12 de marzo. Aprobación del plan técnico nacional de la televisión digital local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5" w:history="1">
        <w:r w:rsidRPr="0043655B">
          <w:rPr>
            <w:rStyle w:val="TextoNormalCaracter"/>
          </w:rPr>
          <w:t>5/2012</w:t>
        </w:r>
      </w:hyperlink>
      <w:r>
        <w:t>, f. 4.</w:t>
      </w:r>
    </w:p>
    <w:p w:rsidR="0043655B" w:rsidRDefault="0043655B" w:rsidP="0043655B">
      <w:pPr>
        <w:pStyle w:val="SangriaFrancesaArticulo"/>
      </w:pPr>
    </w:p>
    <w:p w:rsidR="0043655B" w:rsidRDefault="0043655B" w:rsidP="0043655B">
      <w:pPr>
        <w:pStyle w:val="TextoNormalNegritaCursivandice"/>
      </w:pPr>
      <w:r>
        <w:t>Real Decreto 424/2005, de 15 de abril. Aprueba el Reglamento sobre las condiciones para la prestación de servicios de comunicaciones electrónicas, el servicio universal y la protección de los usuarios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 w:history="1">
        <w:r w:rsidRPr="0043655B">
          <w:rPr>
            <w:rStyle w:val="TextoNormalCaracter"/>
          </w:rPr>
          <w:t>8/2012</w:t>
        </w:r>
      </w:hyperlink>
      <w:r>
        <w:t xml:space="preserve">, f. 7; </w:t>
      </w:r>
      <w:hyperlink w:anchor="SENTENCIA_2012_8" w:history="1">
        <w:r w:rsidRPr="0043655B">
          <w:rPr>
            <w:rStyle w:val="TextoNormalCaracter"/>
          </w:rPr>
          <w:t>8/2012</w:t>
        </w:r>
      </w:hyperlink>
      <w:r>
        <w:t>, ff. 6, 7.</w:t>
      </w:r>
    </w:p>
    <w:p w:rsidR="0043655B" w:rsidRDefault="0043655B" w:rsidP="0043655B">
      <w:pPr>
        <w:pStyle w:val="SangriaFrancesaArticulo"/>
      </w:pPr>
      <w:r w:rsidRPr="0043655B">
        <w:rPr>
          <w:rStyle w:val="TextoNormalNegritaCaracter"/>
        </w:rPr>
        <w:t>Artículo 18 b).</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18 e).</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r w:rsidRPr="0043655B">
        <w:rPr>
          <w:rStyle w:val="TextoNormalNegritaCaracter"/>
        </w:rPr>
        <w:t>Disposición final sexta.</w:t>
      </w:r>
      <w:r w:rsidRPr="0043655B">
        <w:rPr>
          <w:rStyle w:val="TextoNormalCaracter"/>
        </w:rPr>
        <w:t>-</w:t>
      </w:r>
      <w:r>
        <w:t xml:space="preserve"> Sentencia </w:t>
      </w:r>
      <w:hyperlink w:anchor="SENTENCIA_2012_8" w:history="1">
        <w:r w:rsidRPr="0043655B">
          <w:rPr>
            <w:rStyle w:val="TextoNormalCaracter"/>
          </w:rPr>
          <w:t>8/2012</w:t>
        </w:r>
      </w:hyperlink>
      <w:r>
        <w:t>, f. 6.</w:t>
      </w:r>
    </w:p>
    <w:p w:rsidR="0043655B" w:rsidRDefault="0043655B" w:rsidP="0043655B">
      <w:pPr>
        <w:pStyle w:val="SangriaFrancesaArticulo"/>
      </w:pPr>
    </w:p>
    <w:p w:rsidR="0043655B" w:rsidRDefault="0043655B" w:rsidP="0043655B">
      <w:pPr>
        <w:pStyle w:val="TextoNormalNegritaCursivandice"/>
      </w:pPr>
      <w:r>
        <w:t>Real Decreto 716/2005, de 20 de junio. Funcionamiento de apuestas hípicas externas de ámbito nacional y autoriza su explotación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3" w:history="1">
        <w:r w:rsidRPr="0043655B">
          <w:rPr>
            <w:rStyle w:val="TextoNormalCaracter"/>
          </w:rPr>
          <w:t>123/2012</w:t>
        </w:r>
      </w:hyperlink>
      <w:r>
        <w:t>, f. 7.</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23" w:history="1">
        <w:r w:rsidRPr="0043655B">
          <w:rPr>
            <w:rStyle w:val="TextoNormalCaracter"/>
          </w:rPr>
          <w:t>123/2012</w:t>
        </w:r>
      </w:hyperlink>
      <w:r>
        <w:t>, f. 2.</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23" w:history="1">
        <w:r w:rsidRPr="0043655B">
          <w:rPr>
            <w:rStyle w:val="TextoNormalCaracter"/>
          </w:rPr>
          <w:t>123/2012</w:t>
        </w:r>
      </w:hyperlink>
      <w:r>
        <w:t>, ff. 1 a 3.</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23" w:history="1">
        <w:r w:rsidRPr="0043655B">
          <w:rPr>
            <w:rStyle w:val="TextoNormalCaracter"/>
          </w:rPr>
          <w:t>123/2012</w:t>
        </w:r>
      </w:hyperlink>
      <w:r>
        <w:t>, f. 5.</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23" w:history="1">
        <w:r w:rsidRPr="0043655B">
          <w:rPr>
            <w:rStyle w:val="TextoNormalCaracter"/>
          </w:rPr>
          <w:t>123/2012</w:t>
        </w:r>
      </w:hyperlink>
      <w:r>
        <w:t>, ff. 1 a 3.</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123" w:history="1">
        <w:r w:rsidRPr="0043655B">
          <w:rPr>
            <w:rStyle w:val="TextoNormalCaracter"/>
          </w:rPr>
          <w:t>123/2012</w:t>
        </w:r>
      </w:hyperlink>
      <w:r>
        <w:t>, f. 5.</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23" w:history="1">
        <w:r w:rsidRPr="0043655B">
          <w:rPr>
            <w:rStyle w:val="TextoNormalCaracter"/>
          </w:rPr>
          <w:t>123/2012</w:t>
        </w:r>
      </w:hyperlink>
      <w:r>
        <w:t>, ff. 1 a 3.</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23" w:history="1">
        <w:r w:rsidRPr="0043655B">
          <w:rPr>
            <w:rStyle w:val="TextoNormalCaracter"/>
          </w:rPr>
          <w:t>123/2012</w:t>
        </w:r>
      </w:hyperlink>
      <w:r>
        <w:t>, ff. 1 a 3.</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123" w:history="1">
        <w:r w:rsidRPr="0043655B">
          <w:rPr>
            <w:rStyle w:val="TextoNormalCaracter"/>
          </w:rPr>
          <w:t>123/2012</w:t>
        </w:r>
      </w:hyperlink>
      <w:r>
        <w:t>, ff. 1 a 3.</w:t>
      </w:r>
    </w:p>
    <w:p w:rsidR="0043655B" w:rsidRDefault="0043655B" w:rsidP="0043655B">
      <w:pPr>
        <w:pStyle w:val="SangriaFrancesaArticulo"/>
      </w:pPr>
      <w:r w:rsidRPr="0043655B">
        <w:rPr>
          <w:rStyle w:val="TextoNormalNegritaCaracter"/>
        </w:rPr>
        <w:t>Disposición final segunda.</w:t>
      </w:r>
      <w:r w:rsidRPr="0043655B">
        <w:rPr>
          <w:rStyle w:val="TextoNormalCaracter"/>
        </w:rPr>
        <w:t>-</w:t>
      </w:r>
      <w:r>
        <w:t xml:space="preserve"> Sentencia </w:t>
      </w:r>
      <w:hyperlink w:anchor="SENTENCIA_2012_123" w:history="1">
        <w:r w:rsidRPr="0043655B">
          <w:rPr>
            <w:rStyle w:val="TextoNormalCaracter"/>
          </w:rPr>
          <w:t>123/2012</w:t>
        </w:r>
      </w:hyperlink>
      <w:r>
        <w:t>, f. 3.</w:t>
      </w:r>
    </w:p>
    <w:p w:rsidR="0043655B" w:rsidRDefault="0043655B" w:rsidP="0043655B">
      <w:pPr>
        <w:pStyle w:val="SangriaFrancesaArticulo"/>
      </w:pPr>
    </w:p>
    <w:p w:rsidR="0043655B" w:rsidRDefault="0043655B" w:rsidP="0043655B">
      <w:pPr>
        <w:pStyle w:val="TextoNormalNegritaCursivandice"/>
      </w:pPr>
      <w:r>
        <w:t>Real Decreto 1088/2005, de 16 de septiembre. Establecimiento de requisitos técnicos y condiciones mínimas de la hemodonación y de los centros y servicios de transfusión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 8.</w:t>
      </w:r>
    </w:p>
    <w:p w:rsidR="0043655B" w:rsidRDefault="0043655B" w:rsidP="0043655B">
      <w:pPr>
        <w:pStyle w:val="SangriaFrancesaArticulo"/>
      </w:pPr>
    </w:p>
    <w:p w:rsidR="0043655B" w:rsidRDefault="0043655B" w:rsidP="0043655B">
      <w:pPr>
        <w:pStyle w:val="TextoNormalNegritaCursivandice"/>
      </w:pPr>
      <w:r>
        <w:t>Real Decreto 1336/2005, de 11 de noviembre. Autorización a la Organización Nacional de Ciegos Españoles de la explotación de una lotería instantánea o presorteada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2" w:history="1">
        <w:r w:rsidRPr="0043655B">
          <w:rPr>
            <w:rStyle w:val="TextoNormalCaracter"/>
          </w:rPr>
          <w:t>32/2012</w:t>
        </w:r>
      </w:hyperlink>
      <w:r>
        <w:t xml:space="preserve">, ff. 1, 2, 5, 8; </w:t>
      </w:r>
      <w:hyperlink w:anchor="SENTENCIA_2012_133" w:history="1">
        <w:r w:rsidRPr="0043655B">
          <w:rPr>
            <w:rStyle w:val="TextoNormalCaracter"/>
          </w:rPr>
          <w:t>133/2012</w:t>
        </w:r>
      </w:hyperlink>
      <w:r>
        <w:t xml:space="preserve">, ff. 1 a 3, 5; </w:t>
      </w:r>
      <w:hyperlink w:anchor="SENTENCIA_2012_134" w:history="1">
        <w:r w:rsidRPr="0043655B">
          <w:rPr>
            <w:rStyle w:val="TextoNormalCaracter"/>
          </w:rPr>
          <w:t>134/2012</w:t>
        </w:r>
      </w:hyperlink>
      <w:r>
        <w:t>, ff. 2, 4, 5.</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Sentencias </w:t>
      </w:r>
      <w:hyperlink w:anchor="SENTENCIA_2012_133" w:history="1">
        <w:r w:rsidRPr="0043655B">
          <w:rPr>
            <w:rStyle w:val="TextoNormalCaracter"/>
          </w:rPr>
          <w:t>133/2012</w:t>
        </w:r>
      </w:hyperlink>
      <w:r>
        <w:t xml:space="preserve">, f. 5; </w:t>
      </w:r>
      <w:hyperlink w:anchor="SENTENCIA_2012_134" w:history="1">
        <w:r w:rsidRPr="0043655B">
          <w:rPr>
            <w:rStyle w:val="TextoNormalCaracter"/>
          </w:rPr>
          <w:t>134/2012</w:t>
        </w:r>
      </w:hyperlink>
      <w:r>
        <w:t>, ff. 1, 5.</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34" w:history="1">
        <w:r w:rsidRPr="0043655B">
          <w:rPr>
            <w:rStyle w:val="TextoNormalCaracter"/>
          </w:rPr>
          <w:t>134/2012</w:t>
        </w:r>
      </w:hyperlink>
      <w:r>
        <w:t>, f. 1.</w:t>
      </w:r>
    </w:p>
    <w:p w:rsidR="0043655B" w:rsidRDefault="0043655B" w:rsidP="0043655B">
      <w:pPr>
        <w:pStyle w:val="SangriaFrancesaArticulo"/>
      </w:pPr>
      <w:r w:rsidRPr="0043655B">
        <w:rPr>
          <w:rStyle w:val="TextoNormalNegritaCaracter"/>
        </w:rPr>
        <w:t>Artículo 2</w:t>
      </w:r>
      <w:r>
        <w:t xml:space="preserve"> </w:t>
      </w:r>
      <w:r w:rsidRPr="0043655B">
        <w:rPr>
          <w:rStyle w:val="TextoNormalCaracter"/>
        </w:rPr>
        <w:t>(redactado por el Real Decreto 1706/2011, de 18 de noviembre)</w:t>
      </w:r>
      <w:r w:rsidRPr="0043655B">
        <w:rPr>
          <w:rStyle w:val="TextoNormalNegritaCaracter"/>
        </w:rPr>
        <w:t>.</w:t>
      </w:r>
      <w:r w:rsidRPr="0043655B">
        <w:rPr>
          <w:rStyle w:val="TextoNormalCaracter"/>
        </w:rPr>
        <w:t>-</w:t>
      </w:r>
      <w:r>
        <w:t xml:space="preserve"> Sentencias </w:t>
      </w:r>
      <w:hyperlink w:anchor="SENTENCIA_2012_133" w:history="1">
        <w:r w:rsidRPr="0043655B">
          <w:rPr>
            <w:rStyle w:val="TextoNormalCaracter"/>
          </w:rPr>
          <w:t>133/2012</w:t>
        </w:r>
      </w:hyperlink>
      <w:r>
        <w:t xml:space="preserve">, ff. 2, 3, 5; </w:t>
      </w:r>
      <w:hyperlink w:anchor="SENTENCIA_2012_134" w:history="1">
        <w:r w:rsidRPr="0043655B">
          <w:rPr>
            <w:rStyle w:val="TextoNormalCaracter"/>
          </w:rPr>
          <w:t>134/2012</w:t>
        </w:r>
      </w:hyperlink>
      <w:r>
        <w:t>, f. 2.</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34" w:history="1">
        <w:r w:rsidRPr="0043655B">
          <w:rPr>
            <w:rStyle w:val="TextoNormalCaracter"/>
          </w:rPr>
          <w:t>134/2012</w:t>
        </w:r>
      </w:hyperlink>
      <w:r>
        <w:t>, f. 1.</w:t>
      </w:r>
    </w:p>
    <w:p w:rsidR="0043655B" w:rsidRDefault="0043655B" w:rsidP="0043655B">
      <w:pPr>
        <w:pStyle w:val="SangriaFrancesaArticulo"/>
      </w:pPr>
      <w:r w:rsidRPr="0043655B">
        <w:rPr>
          <w:rStyle w:val="TextoNormalNegritaCaracter"/>
        </w:rPr>
        <w:t>Artículo 3 apartados 3, 4 y 6</w:t>
      </w:r>
      <w:r>
        <w:t xml:space="preserve"> </w:t>
      </w:r>
      <w:r w:rsidRPr="0043655B">
        <w:rPr>
          <w:rStyle w:val="TextoNormalCaracter"/>
        </w:rPr>
        <w:t>(redactado por el Real Decreto 1706/2011, de 18 de noviembre)</w:t>
      </w:r>
      <w:r w:rsidRPr="0043655B">
        <w:rPr>
          <w:rStyle w:val="TextoNormalNegritaCaracter"/>
        </w:rPr>
        <w:t>.</w:t>
      </w:r>
      <w:r w:rsidRPr="0043655B">
        <w:rPr>
          <w:rStyle w:val="TextoNormalCaracter"/>
        </w:rPr>
        <w:t>-</w:t>
      </w:r>
      <w:r>
        <w:t xml:space="preserve"> Sentencias </w:t>
      </w:r>
      <w:hyperlink w:anchor="SENTENCIA_2012_133" w:history="1">
        <w:r w:rsidRPr="0043655B">
          <w:rPr>
            <w:rStyle w:val="TextoNormalCaracter"/>
          </w:rPr>
          <w:t>133/2012</w:t>
        </w:r>
      </w:hyperlink>
      <w:r>
        <w:t xml:space="preserve">, f. 2; </w:t>
      </w:r>
      <w:hyperlink w:anchor="SENTENCIA_2012_134" w:history="1">
        <w:r w:rsidRPr="0043655B">
          <w:rPr>
            <w:rStyle w:val="TextoNormalCaracter"/>
          </w:rPr>
          <w:t>134/2012</w:t>
        </w:r>
      </w:hyperlink>
      <w:r>
        <w:t>, f. 2.</w:t>
      </w:r>
    </w:p>
    <w:p w:rsidR="0043655B" w:rsidRDefault="0043655B" w:rsidP="0043655B">
      <w:pPr>
        <w:pStyle w:val="SangriaFrancesaArticulo"/>
      </w:pPr>
      <w:r w:rsidRPr="0043655B">
        <w:rPr>
          <w:rStyle w:val="TextoNormalNegritaCaracter"/>
        </w:rPr>
        <w:t>Artículo 3 apartados 3, 4, 6</w:t>
      </w:r>
      <w:r>
        <w:t xml:space="preserve"> </w:t>
      </w:r>
      <w:r w:rsidRPr="0043655B">
        <w:rPr>
          <w:rStyle w:val="TextoNormalCaracter"/>
        </w:rPr>
        <w:t>(redactado por el Real Decreto 1706/2011, de 18 de noviembre)</w:t>
      </w:r>
      <w:r w:rsidRPr="0043655B">
        <w:rPr>
          <w:rStyle w:val="TextoNormalNegritaCaracter"/>
        </w:rPr>
        <w:t>.</w:t>
      </w:r>
      <w:r w:rsidRPr="0043655B">
        <w:rPr>
          <w:rStyle w:val="TextoNormalCaracter"/>
        </w:rPr>
        <w:t>-</w:t>
      </w:r>
      <w:r>
        <w:t xml:space="preserve"> Sentencias </w:t>
      </w:r>
      <w:hyperlink w:anchor="SENTENCIA_2012_133" w:history="1">
        <w:r w:rsidRPr="0043655B">
          <w:rPr>
            <w:rStyle w:val="TextoNormalCaracter"/>
          </w:rPr>
          <w:t>133/2012</w:t>
        </w:r>
      </w:hyperlink>
      <w:r>
        <w:t xml:space="preserve">, f. 2; </w:t>
      </w:r>
      <w:hyperlink w:anchor="SENTENCIA_2012_134" w:history="1">
        <w:r w:rsidRPr="0043655B">
          <w:rPr>
            <w:rStyle w:val="TextoNormalCaracter"/>
          </w:rPr>
          <w:t>134/2012</w:t>
        </w:r>
      </w:hyperlink>
      <w:r>
        <w:t>, f. 2.</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34" w:history="1">
        <w:r w:rsidRPr="0043655B">
          <w:rPr>
            <w:rStyle w:val="TextoNormalCaracter"/>
          </w:rPr>
          <w:t>134/2012</w:t>
        </w:r>
      </w:hyperlink>
      <w:r>
        <w:t>, f. 1.</w:t>
      </w:r>
    </w:p>
    <w:p w:rsidR="0043655B" w:rsidRDefault="0043655B" w:rsidP="0043655B">
      <w:pPr>
        <w:pStyle w:val="SangriaFrancesaArticulo"/>
      </w:pPr>
    </w:p>
    <w:p w:rsidR="0043655B" w:rsidRDefault="0043655B" w:rsidP="0043655B">
      <w:pPr>
        <w:pStyle w:val="TextoNormalNegritaCursivandice"/>
      </w:pPr>
      <w:r>
        <w:t>Real Decreto 1359/2005, de 18 de noviembre. Modificación del Real Decreto 358/1991, de 15 de marzo, por el que se reordena la Organización Nacional de Ciegos Españoles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2" w:history="1">
        <w:r w:rsidRPr="0043655B">
          <w:rPr>
            <w:rStyle w:val="TextoNormalCaracter"/>
          </w:rPr>
          <w:t>32/2012</w:t>
        </w:r>
      </w:hyperlink>
      <w:r>
        <w:t xml:space="preserve">, f. 8; </w:t>
      </w:r>
      <w:hyperlink w:anchor="SENTENCIA_2012_133" w:history="1">
        <w:r w:rsidRPr="0043655B">
          <w:rPr>
            <w:rStyle w:val="TextoNormalCaracter"/>
          </w:rPr>
          <w:t>133/2012</w:t>
        </w:r>
      </w:hyperlink>
      <w:r>
        <w:t>, f. 5.</w:t>
      </w:r>
    </w:p>
    <w:p w:rsidR="0043655B" w:rsidRDefault="0043655B" w:rsidP="0043655B">
      <w:pPr>
        <w:pStyle w:val="SangriaFrancesaArticulo"/>
      </w:pPr>
    </w:p>
    <w:p w:rsidR="0043655B" w:rsidRDefault="0043655B" w:rsidP="0043655B">
      <w:pPr>
        <w:pStyle w:val="TextoNormalNegritaCursivandice"/>
      </w:pPr>
      <w:r>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ff. 2 a 5, 9.</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22" w:history="1">
        <w:r w:rsidRPr="0043655B">
          <w:rPr>
            <w:rStyle w:val="TextoNormalCaracter"/>
          </w:rPr>
          <w:t>22/2012</w:t>
        </w:r>
      </w:hyperlink>
      <w:r>
        <w:t>, f. 4.</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Sentencia </w:t>
      </w:r>
      <w:hyperlink w:anchor="SENTENCIA_2012_22" w:history="1">
        <w:r w:rsidRPr="0043655B">
          <w:rPr>
            <w:rStyle w:val="TextoNormalCaracter"/>
          </w:rPr>
          <w:t>22/2012</w:t>
        </w:r>
      </w:hyperlink>
      <w:r>
        <w:t>, ff. 1, 2, 4, 8.</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22" w:history="1">
        <w:r w:rsidRPr="0043655B">
          <w:rPr>
            <w:rStyle w:val="TextoNormalCaracter"/>
          </w:rPr>
          <w:t>22/2012</w:t>
        </w:r>
      </w:hyperlink>
      <w:r>
        <w:t>, ff. 1, 2, 4, 9.</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Artículo 14.2.</w:t>
      </w:r>
      <w:r w:rsidRPr="0043655B">
        <w:rPr>
          <w:rStyle w:val="TextoNormalCaracter"/>
        </w:rPr>
        <w:t>-</w:t>
      </w:r>
      <w:r>
        <w:t xml:space="preserve"> Sentencia </w:t>
      </w:r>
      <w:hyperlink w:anchor="SENTENCIA_2012_22" w:history="1">
        <w:r w:rsidRPr="0043655B">
          <w:rPr>
            <w:rStyle w:val="TextoNormalCaracter"/>
          </w:rPr>
          <w:t>22/2012</w:t>
        </w:r>
      </w:hyperlink>
      <w:r>
        <w:t>, ff. 1, 2, 4, 6.</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 </w:t>
      </w:r>
      <w:hyperlink w:anchor="SENTENCIA_2012_22" w:history="1">
        <w:r w:rsidRPr="0043655B">
          <w:rPr>
            <w:rStyle w:val="TextoNormalCaracter"/>
          </w:rPr>
          <w:t>22/2012</w:t>
        </w:r>
      </w:hyperlink>
      <w:r>
        <w:t>, f. 7.</w:t>
      </w:r>
    </w:p>
    <w:p w:rsidR="0043655B" w:rsidRDefault="0043655B" w:rsidP="0043655B">
      <w:pPr>
        <w:pStyle w:val="SangriaFrancesaArticulo"/>
      </w:pPr>
      <w:r w:rsidRPr="0043655B">
        <w:rPr>
          <w:rStyle w:val="TextoNormalNegritaCaracter"/>
        </w:rPr>
        <w:t>Artículo 25.</w:t>
      </w:r>
      <w:r w:rsidRPr="0043655B">
        <w:rPr>
          <w:rStyle w:val="TextoNormalCaracter"/>
        </w:rPr>
        <w:t>-</w:t>
      </w:r>
      <w:r>
        <w:t xml:space="preserve"> Sentencia </w:t>
      </w:r>
      <w:hyperlink w:anchor="SENTENCIA_2012_22" w:history="1">
        <w:r w:rsidRPr="0043655B">
          <w:rPr>
            <w:rStyle w:val="TextoNormalCaracter"/>
          </w:rPr>
          <w:t>22/2012</w:t>
        </w:r>
      </w:hyperlink>
      <w:r>
        <w:t>, ff. 1, 2, 4.</w:t>
      </w:r>
    </w:p>
    <w:p w:rsidR="0043655B" w:rsidRDefault="0043655B" w:rsidP="0043655B">
      <w:pPr>
        <w:pStyle w:val="SangriaFrancesaArticulo"/>
      </w:pPr>
      <w:r w:rsidRPr="0043655B">
        <w:rPr>
          <w:rStyle w:val="TextoNormalNegritaCaracter"/>
        </w:rPr>
        <w:t>Artículo 26.</w:t>
      </w:r>
      <w:r w:rsidRPr="0043655B">
        <w:rPr>
          <w:rStyle w:val="TextoNormalCaracter"/>
        </w:rPr>
        <w:t>-</w:t>
      </w:r>
      <w:r>
        <w:t xml:space="preserve"> Sentencia </w:t>
      </w:r>
      <w:hyperlink w:anchor="SENTENCIA_2012_22" w:history="1">
        <w:r w:rsidRPr="0043655B">
          <w:rPr>
            <w:rStyle w:val="TextoNormalCaracter"/>
          </w:rPr>
          <w:t>22/2012</w:t>
        </w:r>
      </w:hyperlink>
      <w:r>
        <w:t>, f. 6.</w:t>
      </w:r>
    </w:p>
    <w:p w:rsidR="0043655B" w:rsidRDefault="0043655B" w:rsidP="0043655B">
      <w:pPr>
        <w:pStyle w:val="SangriaFrancesaArticulo"/>
      </w:pPr>
      <w:r w:rsidRPr="0043655B">
        <w:rPr>
          <w:rStyle w:val="TextoNormalNegritaCaracter"/>
        </w:rPr>
        <w:t>Artículo 26.2.</w:t>
      </w:r>
      <w:r w:rsidRPr="0043655B">
        <w:rPr>
          <w:rStyle w:val="TextoNormalCaracter"/>
        </w:rPr>
        <w:t>-</w:t>
      </w:r>
      <w:r>
        <w:t xml:space="preserve"> Sentencia </w:t>
      </w:r>
      <w:hyperlink w:anchor="SENTENCIA_2012_22" w:history="1">
        <w:r w:rsidRPr="0043655B">
          <w:rPr>
            <w:rStyle w:val="TextoNormalCaracter"/>
          </w:rPr>
          <w:t>22/2012</w:t>
        </w:r>
      </w:hyperlink>
      <w:r>
        <w:t>, ff. 1, 2, 4, 6.</w:t>
      </w:r>
    </w:p>
    <w:p w:rsidR="0043655B" w:rsidRDefault="0043655B" w:rsidP="0043655B">
      <w:pPr>
        <w:pStyle w:val="SangriaFrancesaArticulo"/>
      </w:pPr>
      <w:r w:rsidRPr="0043655B">
        <w:rPr>
          <w:rStyle w:val="TextoNormalNegritaCaracter"/>
        </w:rPr>
        <w:t>Artículo 26.4.</w:t>
      </w:r>
      <w:r w:rsidRPr="0043655B">
        <w:rPr>
          <w:rStyle w:val="TextoNormalCaracter"/>
        </w:rPr>
        <w:t>-</w:t>
      </w:r>
      <w:r>
        <w:t xml:space="preserve"> Sentencia </w:t>
      </w:r>
      <w:hyperlink w:anchor="SENTENCIA_2012_22" w:history="1">
        <w:r w:rsidRPr="0043655B">
          <w:rPr>
            <w:rStyle w:val="TextoNormalCaracter"/>
          </w:rPr>
          <w:t>22/2012</w:t>
        </w:r>
      </w:hyperlink>
      <w:r>
        <w:t>, ff. 1, 2, 4, 9.</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22" w:history="1">
        <w:r w:rsidRPr="0043655B">
          <w:rPr>
            <w:rStyle w:val="TextoNormalCaracter"/>
          </w:rPr>
          <w:t>22/2012</w:t>
        </w:r>
      </w:hyperlink>
      <w:r>
        <w:t>, ff. 1, 2, 4, 9.</w:t>
      </w:r>
    </w:p>
    <w:p w:rsidR="0043655B" w:rsidRDefault="0043655B" w:rsidP="0043655B">
      <w:pPr>
        <w:pStyle w:val="SangriaFrancesaArticulo"/>
      </w:pPr>
      <w:r w:rsidRPr="0043655B">
        <w:rPr>
          <w:rStyle w:val="TextoNormalNegritaCaracter"/>
        </w:rPr>
        <w:t>Artículo 30.2.</w:t>
      </w:r>
      <w:r w:rsidRPr="0043655B">
        <w:rPr>
          <w:rStyle w:val="TextoNormalCaracter"/>
        </w:rPr>
        <w:t>-</w:t>
      </w:r>
      <w:r>
        <w:t xml:space="preserve"> Sentencia </w:t>
      </w:r>
      <w:hyperlink w:anchor="SENTENCIA_2012_22" w:history="1">
        <w:r w:rsidRPr="0043655B">
          <w:rPr>
            <w:rStyle w:val="TextoNormalCaracter"/>
          </w:rPr>
          <w:t>22/2012</w:t>
        </w:r>
      </w:hyperlink>
      <w:r>
        <w:t>, ff. 1, 2, 4, 9.</w:t>
      </w:r>
    </w:p>
    <w:p w:rsidR="0043655B" w:rsidRDefault="0043655B" w:rsidP="0043655B">
      <w:pPr>
        <w:pStyle w:val="SangriaFrancesaArticulo"/>
      </w:pPr>
      <w:r w:rsidRPr="0043655B">
        <w:rPr>
          <w:rStyle w:val="TextoNormalNegritaCaracter"/>
        </w:rPr>
        <w:t>Artículo 35.1.</w:t>
      </w:r>
      <w:r w:rsidRPr="0043655B">
        <w:rPr>
          <w:rStyle w:val="TextoNormalCaracter"/>
        </w:rPr>
        <w:t>-</w:t>
      </w:r>
      <w:r>
        <w:t xml:space="preserve"> Sentencia </w:t>
      </w:r>
      <w:hyperlink w:anchor="SENTENCIA_2012_22" w:history="1">
        <w:r w:rsidRPr="0043655B">
          <w:rPr>
            <w:rStyle w:val="TextoNormalCaracter"/>
          </w:rPr>
          <w:t>22/2012</w:t>
        </w:r>
      </w:hyperlink>
      <w:r>
        <w:t>, f. 5.</w:t>
      </w:r>
    </w:p>
    <w:p w:rsidR="0043655B" w:rsidRDefault="0043655B" w:rsidP="0043655B">
      <w:pPr>
        <w:pStyle w:val="SangriaFrancesaArticulo"/>
      </w:pPr>
      <w:r w:rsidRPr="0043655B">
        <w:rPr>
          <w:rStyle w:val="TextoNormalNegritaCaracter"/>
        </w:rPr>
        <w:t>Artículo 35.4.</w:t>
      </w:r>
      <w:r w:rsidRPr="0043655B">
        <w:rPr>
          <w:rStyle w:val="TextoNormalCaracter"/>
        </w:rPr>
        <w:t>-</w:t>
      </w:r>
      <w:r>
        <w:t xml:space="preserve"> Sentencia </w:t>
      </w:r>
      <w:hyperlink w:anchor="SENTENCIA_2012_22" w:history="1">
        <w:r w:rsidRPr="0043655B">
          <w:rPr>
            <w:rStyle w:val="TextoNormalCaracter"/>
          </w:rPr>
          <w:t>22/2012</w:t>
        </w:r>
      </w:hyperlink>
      <w:r>
        <w:t>, ff. 1, 2, 4 a 6.</w:t>
      </w:r>
    </w:p>
    <w:p w:rsidR="0043655B" w:rsidRDefault="0043655B" w:rsidP="0043655B">
      <w:pPr>
        <w:pStyle w:val="SangriaFrancesaArticulo"/>
      </w:pPr>
      <w:r w:rsidRPr="0043655B">
        <w:rPr>
          <w:rStyle w:val="TextoNormalNegritaCaracter"/>
        </w:rPr>
        <w:t>Artículo 35.6.</w:t>
      </w:r>
      <w:r w:rsidRPr="0043655B">
        <w:rPr>
          <w:rStyle w:val="TextoNormalCaracter"/>
        </w:rPr>
        <w:t>-</w:t>
      </w:r>
      <w:r>
        <w:t xml:space="preserve"> Sentencia </w:t>
      </w:r>
      <w:hyperlink w:anchor="SENTENCIA_2012_22" w:history="1">
        <w:r w:rsidRPr="0043655B">
          <w:rPr>
            <w:rStyle w:val="TextoNormalCaracter"/>
          </w:rPr>
          <w:t>22/2012</w:t>
        </w:r>
      </w:hyperlink>
      <w:r>
        <w:t>, ff. 1, 2, 4, 6, 7.</w:t>
      </w:r>
    </w:p>
    <w:p w:rsidR="0043655B" w:rsidRDefault="0043655B" w:rsidP="0043655B">
      <w:pPr>
        <w:pStyle w:val="SangriaFrancesaArticulo"/>
      </w:pPr>
    </w:p>
    <w:p w:rsidR="0043655B" w:rsidRDefault="0043655B" w:rsidP="0043655B">
      <w:pPr>
        <w:pStyle w:val="TextoNormalNegritaCursivandice"/>
      </w:pPr>
      <w:r>
        <w:t>Real Decreto 395/2007, de 23 de marzo. Regula el subsistema de formación profesional para el empleo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Real Decreto 1472/2007, de 2 de noviembre. Regulación de la renta básica de emancipación de los jóvenes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6" w:history="1">
        <w:r w:rsidRPr="0043655B">
          <w:rPr>
            <w:rStyle w:val="TextoNormalCaracter"/>
          </w:rPr>
          <w:t>36/2012</w:t>
        </w:r>
      </w:hyperlink>
      <w:r>
        <w:t xml:space="preserve">, ff. 1, 2, 4 a 8, 10, 11; </w:t>
      </w:r>
      <w:hyperlink w:anchor="SENTENCIA_2012_72" w:history="1">
        <w:r w:rsidRPr="0043655B">
          <w:rPr>
            <w:rStyle w:val="TextoNormalCaracter"/>
          </w:rPr>
          <w:t>72/2012</w:t>
        </w:r>
      </w:hyperlink>
      <w:r>
        <w:t xml:space="preserve">, ff. 1 a 4; </w:t>
      </w:r>
      <w:hyperlink w:anchor="SENTENCIA_2012_73" w:history="1">
        <w:r w:rsidRPr="0043655B">
          <w:rPr>
            <w:rStyle w:val="TextoNormalCaracter"/>
          </w:rPr>
          <w:t>73/2012</w:t>
        </w:r>
      </w:hyperlink>
      <w:r>
        <w:t xml:space="preserve">, ff. 1 a 4; </w:t>
      </w:r>
      <w:hyperlink w:anchor="SENTENCIA_2012_77" w:history="1">
        <w:r w:rsidRPr="0043655B">
          <w:rPr>
            <w:rStyle w:val="TextoNormalCaracter"/>
          </w:rPr>
          <w:t>77/2012</w:t>
        </w:r>
      </w:hyperlink>
      <w:r>
        <w:t>, ff. 1 a 4.</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36" w:history="1">
        <w:r w:rsidRPr="0043655B">
          <w:rPr>
            <w:rStyle w:val="TextoNormalCaracter"/>
          </w:rPr>
          <w:t>36/2012</w:t>
        </w:r>
      </w:hyperlink>
      <w:r>
        <w:t>, f. 5.</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Sentencias </w:t>
      </w:r>
      <w:hyperlink w:anchor="SENTENCIA_2012_36" w:history="1">
        <w:r w:rsidRPr="0043655B">
          <w:rPr>
            <w:rStyle w:val="TextoNormalCaracter"/>
          </w:rPr>
          <w:t>36/2012</w:t>
        </w:r>
      </w:hyperlink>
      <w:r>
        <w:t xml:space="preserve">, ff. 1, 5, 8, 9; </w:t>
      </w:r>
      <w:hyperlink w:anchor="SENTENCIA_2012_72" w:history="1">
        <w:r w:rsidRPr="0043655B">
          <w:rPr>
            <w:rStyle w:val="TextoNormalCaracter"/>
          </w:rPr>
          <w:t>72/2012</w:t>
        </w:r>
      </w:hyperlink>
      <w:r>
        <w:t>, ff. 1, 4, 5.</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Sentencias </w:t>
      </w:r>
      <w:hyperlink w:anchor="SENTENCIA_2012_36" w:history="1">
        <w:r w:rsidRPr="0043655B">
          <w:rPr>
            <w:rStyle w:val="TextoNormalCaracter"/>
          </w:rPr>
          <w:t>36/2012</w:t>
        </w:r>
      </w:hyperlink>
      <w:r>
        <w:t xml:space="preserve">, ff. 5, 9 a 11; </w:t>
      </w:r>
      <w:hyperlink w:anchor="SENTENCIA_2012_72" w:history="1">
        <w:r w:rsidRPr="0043655B">
          <w:rPr>
            <w:rStyle w:val="TextoNormalCaracter"/>
          </w:rPr>
          <w:t>72/2012</w:t>
        </w:r>
      </w:hyperlink>
      <w:r>
        <w:t>, f. 5.</w:t>
      </w:r>
    </w:p>
    <w:p w:rsidR="0043655B" w:rsidRDefault="0043655B" w:rsidP="0043655B">
      <w:pPr>
        <w:pStyle w:val="SangriaFrancesaArticulo"/>
      </w:pPr>
      <w:r w:rsidRPr="0043655B">
        <w:rPr>
          <w:rStyle w:val="TextoNormalNegritaCaracter"/>
        </w:rPr>
        <w:t>Artículo 2</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2.2 b).</w:t>
      </w:r>
      <w:r w:rsidRPr="0043655B">
        <w:rPr>
          <w:rStyle w:val="TextoNormalCaracter"/>
        </w:rPr>
        <w:t>-</w:t>
      </w:r>
      <w:r>
        <w:t xml:space="preserve"> Sentencia </w:t>
      </w:r>
      <w:hyperlink w:anchor="SENTENCIA_2012_36" w:history="1">
        <w:r w:rsidRPr="0043655B">
          <w:rPr>
            <w:rStyle w:val="TextoNormalCaracter"/>
          </w:rPr>
          <w:t>36/2012</w:t>
        </w:r>
      </w:hyperlink>
      <w:r>
        <w:t>, f. 11.</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36" w:history="1">
        <w:r w:rsidRPr="0043655B">
          <w:rPr>
            <w:rStyle w:val="TextoNormalCaracter"/>
          </w:rPr>
          <w:t>36/2012</w:t>
        </w:r>
      </w:hyperlink>
      <w:r>
        <w:t>, f. 9.</w:t>
      </w:r>
    </w:p>
    <w:p w:rsidR="0043655B" w:rsidRDefault="0043655B" w:rsidP="0043655B">
      <w:pPr>
        <w:pStyle w:val="SangriaFrancesaArticulo"/>
      </w:pPr>
      <w:r w:rsidRPr="0043655B">
        <w:rPr>
          <w:rStyle w:val="TextoNormalNegritaCaracter"/>
        </w:rPr>
        <w:t>Artículo 3.1 a).</w:t>
      </w:r>
      <w:r w:rsidRPr="0043655B">
        <w:rPr>
          <w:rStyle w:val="TextoNormalCaracter"/>
        </w:rPr>
        <w:t>-</w:t>
      </w:r>
      <w:r>
        <w:t xml:space="preserve"> Sentencia </w:t>
      </w:r>
      <w:hyperlink w:anchor="SENTENCIA_2012_36" w:history="1">
        <w:r w:rsidRPr="0043655B">
          <w:rPr>
            <w:rStyle w:val="TextoNormalCaracter"/>
          </w:rPr>
          <w:t>36/2012</w:t>
        </w:r>
      </w:hyperlink>
      <w:r>
        <w:t>, f. 5.</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36" w:history="1">
        <w:r w:rsidRPr="0043655B">
          <w:rPr>
            <w:rStyle w:val="TextoNormalCaracter"/>
          </w:rPr>
          <w:t>36/2012</w:t>
        </w:r>
      </w:hyperlink>
      <w:r>
        <w:t>, f. 12.</w:t>
      </w:r>
    </w:p>
    <w:p w:rsidR="0043655B" w:rsidRDefault="0043655B" w:rsidP="0043655B">
      <w:pPr>
        <w:pStyle w:val="SangriaFrancesaArticulo"/>
      </w:pPr>
      <w:r w:rsidRPr="0043655B">
        <w:rPr>
          <w:rStyle w:val="TextoNormalNegritaCaracter"/>
        </w:rPr>
        <w:t>Artículo 3.3 a).</w:t>
      </w:r>
      <w:r w:rsidRPr="0043655B">
        <w:rPr>
          <w:rStyle w:val="TextoNormalCaracter"/>
        </w:rPr>
        <w:t>-</w:t>
      </w:r>
      <w:r>
        <w:t xml:space="preserve"> Sentencias </w:t>
      </w:r>
      <w:hyperlink w:anchor="SENTENCIA_2012_36" w:history="1">
        <w:r w:rsidRPr="0043655B">
          <w:rPr>
            <w:rStyle w:val="TextoNormalCaracter"/>
          </w:rPr>
          <w:t>36/2012</w:t>
        </w:r>
      </w:hyperlink>
      <w:r>
        <w:t xml:space="preserve">, ff. 1, 8 a 11; </w:t>
      </w:r>
      <w:hyperlink w:anchor="SENTENCIA_2012_72" w:history="1">
        <w:r w:rsidRPr="0043655B">
          <w:rPr>
            <w:rStyle w:val="TextoNormalCaracter"/>
          </w:rPr>
          <w:t>72/2012</w:t>
        </w:r>
      </w:hyperlink>
      <w:r>
        <w:t>, ff. 1, 4.</w:t>
      </w:r>
    </w:p>
    <w:p w:rsidR="0043655B" w:rsidRDefault="0043655B" w:rsidP="0043655B">
      <w:pPr>
        <w:pStyle w:val="SangriaFrancesaArticulo"/>
      </w:pPr>
      <w:r w:rsidRPr="0043655B">
        <w:rPr>
          <w:rStyle w:val="TextoNormalNegritaCaracter"/>
        </w:rPr>
        <w:t>Artículo 3.3 a)</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f. 7.</w:t>
      </w:r>
    </w:p>
    <w:p w:rsidR="0043655B" w:rsidRDefault="0043655B" w:rsidP="0043655B">
      <w:pPr>
        <w:pStyle w:val="SangriaFrancesaArticulo"/>
      </w:pPr>
      <w:r w:rsidRPr="0043655B">
        <w:rPr>
          <w:rStyle w:val="TextoNormalNegritaCaracter"/>
        </w:rPr>
        <w:t>Artículo 3.4.</w:t>
      </w:r>
      <w:r w:rsidRPr="0043655B">
        <w:rPr>
          <w:rStyle w:val="TextoNormalCaracter"/>
        </w:rPr>
        <w:t>-</w:t>
      </w:r>
      <w:r>
        <w:t xml:space="preserve"> Sentencia </w:t>
      </w:r>
      <w:hyperlink w:anchor="SENTENCIA_2012_36" w:history="1">
        <w:r w:rsidRPr="0043655B">
          <w:rPr>
            <w:rStyle w:val="TextoNormalCaracter"/>
          </w:rPr>
          <w:t>36/2012</w:t>
        </w:r>
      </w:hyperlink>
      <w:r>
        <w:t>, f. 9.</w:t>
      </w:r>
    </w:p>
    <w:p w:rsidR="0043655B" w:rsidRDefault="0043655B" w:rsidP="0043655B">
      <w:pPr>
        <w:pStyle w:val="SangriaFrancesaArticulo"/>
      </w:pPr>
      <w:r w:rsidRPr="0043655B">
        <w:rPr>
          <w:rStyle w:val="TextoNormalNegritaCaracter"/>
        </w:rPr>
        <w:t>Artículo 3.6</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ff. 1, 5.</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lastRenderedPageBreak/>
        <w:t>Artículo 4 apartados 1, 5, 6.</w:t>
      </w:r>
      <w:r w:rsidRPr="0043655B">
        <w:rPr>
          <w:rStyle w:val="TextoNormalCaracter"/>
        </w:rPr>
        <w:t>-</w:t>
      </w:r>
      <w:r>
        <w:t xml:space="preserve"> Sentencia </w:t>
      </w:r>
      <w:hyperlink w:anchor="SENTENCIA_2012_72" w:history="1">
        <w:r w:rsidRPr="0043655B">
          <w:rPr>
            <w:rStyle w:val="TextoNormalCaracter"/>
          </w:rPr>
          <w:t>72/2012</w:t>
        </w:r>
      </w:hyperlink>
      <w:r>
        <w:t>, ff. 1, 4.</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Sentencias </w:t>
      </w:r>
      <w:hyperlink w:anchor="SENTENCIA_2012_36" w:history="1">
        <w:r w:rsidRPr="0043655B">
          <w:rPr>
            <w:rStyle w:val="TextoNormalCaracter"/>
          </w:rPr>
          <w:t>36/2012</w:t>
        </w:r>
      </w:hyperlink>
      <w:r>
        <w:t xml:space="preserve">, ff. 1, 8, 10, 11; </w:t>
      </w:r>
      <w:hyperlink w:anchor="SENTENCIA_2012_72" w:history="1">
        <w:r w:rsidRPr="0043655B">
          <w:rPr>
            <w:rStyle w:val="TextoNormalCaracter"/>
          </w:rPr>
          <w:t>72/2012</w:t>
        </w:r>
      </w:hyperlink>
      <w:r>
        <w:t>, ff. 1, 4.</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72" w:history="1">
        <w:r w:rsidRPr="0043655B">
          <w:rPr>
            <w:rStyle w:val="TextoNormalCaracter"/>
          </w:rPr>
          <w:t>72/2012</w:t>
        </w:r>
      </w:hyperlink>
      <w:r>
        <w:t>, ff. 1, 4, 5.</w:t>
      </w:r>
    </w:p>
    <w:p w:rsidR="0043655B" w:rsidRDefault="0043655B" w:rsidP="0043655B">
      <w:pPr>
        <w:pStyle w:val="SangriaFrancesaArticulo"/>
      </w:pPr>
      <w:r w:rsidRPr="0043655B">
        <w:rPr>
          <w:rStyle w:val="TextoNormalNegritaCaracter"/>
        </w:rPr>
        <w:t>Artículo 4.2</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ff. 1, 5, 6.</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72" w:history="1">
        <w:r w:rsidRPr="0043655B">
          <w:rPr>
            <w:rStyle w:val="TextoNormalCaracter"/>
          </w:rPr>
          <w:t>72/2012</w:t>
        </w:r>
      </w:hyperlink>
      <w:r>
        <w:t>, ff. 1, 4, 5.</w:t>
      </w:r>
    </w:p>
    <w:p w:rsidR="0043655B" w:rsidRDefault="0043655B" w:rsidP="0043655B">
      <w:pPr>
        <w:pStyle w:val="SangriaFrancesaArticulo"/>
      </w:pPr>
      <w:r w:rsidRPr="0043655B">
        <w:rPr>
          <w:rStyle w:val="TextoNormalNegritaCaracter"/>
        </w:rPr>
        <w:t>Artículo 4.3</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4.4</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4.5.</w:t>
      </w:r>
      <w:r w:rsidRPr="0043655B">
        <w:rPr>
          <w:rStyle w:val="TextoNormalCaracter"/>
        </w:rPr>
        <w:t>-</w:t>
      </w:r>
      <w:r>
        <w:t xml:space="preserve"> Sentencias </w:t>
      </w:r>
      <w:hyperlink w:anchor="SENTENCIA_2012_36" w:history="1">
        <w:r w:rsidRPr="0043655B">
          <w:rPr>
            <w:rStyle w:val="TextoNormalCaracter"/>
          </w:rPr>
          <w:t>36/2012</w:t>
        </w:r>
      </w:hyperlink>
      <w:r>
        <w:t xml:space="preserve">, ff. 1, 8, 11; </w:t>
      </w:r>
      <w:hyperlink w:anchor="SENTENCIA_2012_72" w:history="1">
        <w:r w:rsidRPr="0043655B">
          <w:rPr>
            <w:rStyle w:val="TextoNormalCaracter"/>
          </w:rPr>
          <w:t>72/2012</w:t>
        </w:r>
      </w:hyperlink>
      <w:r>
        <w:t>, ff. 1, 4.</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Sentencias </w:t>
      </w:r>
      <w:hyperlink w:anchor="SENTENCIA_2012_36" w:history="1">
        <w:r w:rsidRPr="0043655B">
          <w:rPr>
            <w:rStyle w:val="TextoNormalCaracter"/>
          </w:rPr>
          <w:t>36/2012</w:t>
        </w:r>
      </w:hyperlink>
      <w:r>
        <w:t xml:space="preserve">, ff. 1, 8; </w:t>
      </w:r>
      <w:hyperlink w:anchor="SENTENCIA_2012_72" w:history="1">
        <w:r w:rsidRPr="0043655B">
          <w:rPr>
            <w:rStyle w:val="TextoNormalCaracter"/>
          </w:rPr>
          <w:t>72/2012</w:t>
        </w:r>
      </w:hyperlink>
      <w:r>
        <w:t>, ff, 14.</w:t>
      </w:r>
    </w:p>
    <w:p w:rsidR="0043655B" w:rsidRDefault="0043655B" w:rsidP="0043655B">
      <w:pPr>
        <w:pStyle w:val="SangriaFrancesaArticulo"/>
      </w:pPr>
      <w:r w:rsidRPr="0043655B">
        <w:rPr>
          <w:rStyle w:val="TextoNormalNegritaCaracter"/>
        </w:rPr>
        <w:t>Artículo 4.6</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ff. 1, 7.</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5</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6</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Sentencias </w:t>
      </w:r>
      <w:hyperlink w:anchor="SENTENCIA_2012_36" w:history="1">
        <w:r w:rsidRPr="0043655B">
          <w:rPr>
            <w:rStyle w:val="TextoNormalCaracter"/>
          </w:rPr>
          <w:t>36/2012</w:t>
        </w:r>
      </w:hyperlink>
      <w:r>
        <w:t xml:space="preserve">, f. 10; </w:t>
      </w:r>
      <w:hyperlink w:anchor="SENTENCIA_2012_72" w:history="1">
        <w:r w:rsidRPr="0043655B">
          <w:rPr>
            <w:rStyle w:val="TextoNormalCaracter"/>
          </w:rPr>
          <w:t>72/2012</w:t>
        </w:r>
      </w:hyperlink>
      <w:r>
        <w:t>, f. 4.</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Sentencias </w:t>
      </w:r>
      <w:hyperlink w:anchor="SENTENCIA_2012_36" w:history="1">
        <w:r w:rsidRPr="0043655B">
          <w:rPr>
            <w:rStyle w:val="TextoNormalCaracter"/>
          </w:rPr>
          <w:t>36/2012</w:t>
        </w:r>
      </w:hyperlink>
      <w:r>
        <w:t xml:space="preserve">, ff. 1, 8, 10, 11; </w:t>
      </w:r>
      <w:hyperlink w:anchor="SENTENCIA_2012_72" w:history="1">
        <w:r w:rsidRPr="0043655B">
          <w:rPr>
            <w:rStyle w:val="TextoNormalCaracter"/>
          </w:rPr>
          <w:t>72/2012</w:t>
        </w:r>
      </w:hyperlink>
      <w:r>
        <w:t>, f. 1.</w:t>
      </w:r>
    </w:p>
    <w:p w:rsidR="0043655B" w:rsidRDefault="0043655B" w:rsidP="0043655B">
      <w:pPr>
        <w:pStyle w:val="SangriaFrancesaArticulo"/>
      </w:pPr>
      <w:r w:rsidRPr="0043655B">
        <w:rPr>
          <w:rStyle w:val="TextoNormalNegritaCaracter"/>
        </w:rPr>
        <w:t>Artículo 7.2.</w:t>
      </w:r>
      <w:r w:rsidRPr="0043655B">
        <w:rPr>
          <w:rStyle w:val="TextoNormalCaracter"/>
        </w:rPr>
        <w:t>-</w:t>
      </w:r>
      <w:r>
        <w:t xml:space="preserve"> Sentencias </w:t>
      </w:r>
      <w:hyperlink w:anchor="SENTENCIA_2012_36" w:history="1">
        <w:r w:rsidRPr="0043655B">
          <w:rPr>
            <w:rStyle w:val="TextoNormalCaracter"/>
          </w:rPr>
          <w:t>36/2012</w:t>
        </w:r>
      </w:hyperlink>
      <w:r>
        <w:t xml:space="preserve">, f. 10; </w:t>
      </w:r>
      <w:hyperlink w:anchor="SENTENCIA_2012_36" w:history="1">
        <w:r w:rsidRPr="0043655B">
          <w:rPr>
            <w:rStyle w:val="TextoNormalCaracter"/>
          </w:rPr>
          <w:t>36/2012</w:t>
        </w:r>
      </w:hyperlink>
      <w:r>
        <w:t>, ff. 1, 10, 11.</w:t>
      </w:r>
    </w:p>
    <w:p w:rsidR="0043655B" w:rsidRDefault="0043655B" w:rsidP="0043655B">
      <w:pPr>
        <w:pStyle w:val="SangriaFrancesaArticulo"/>
      </w:pPr>
      <w:r w:rsidRPr="0043655B">
        <w:rPr>
          <w:rStyle w:val="TextoNormalNegritaCaracter"/>
        </w:rPr>
        <w:t>Artículo 7.2 a).</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7.2 c).</w:t>
      </w:r>
      <w:r w:rsidRPr="0043655B">
        <w:rPr>
          <w:rStyle w:val="TextoNormalCaracter"/>
        </w:rPr>
        <w:t>-</w:t>
      </w:r>
      <w:r>
        <w:t xml:space="preserve"> Sentencia </w:t>
      </w:r>
      <w:hyperlink w:anchor="SENTENCIA_2012_36" w:history="1">
        <w:r w:rsidRPr="0043655B">
          <w:rPr>
            <w:rStyle w:val="TextoNormalCaracter"/>
          </w:rPr>
          <w:t>36/2012</w:t>
        </w:r>
      </w:hyperlink>
      <w:r>
        <w:t>, f. 9.</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7.4.</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7.5.</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7.6.</w:t>
      </w:r>
      <w:r w:rsidRPr="0043655B">
        <w:rPr>
          <w:rStyle w:val="TextoNormalCaracter"/>
        </w:rPr>
        <w:t>-</w:t>
      </w:r>
      <w:r>
        <w:t xml:space="preserve"> Sentencia </w:t>
      </w:r>
      <w:hyperlink w:anchor="SENTENCIA_2012_36" w:history="1">
        <w:r w:rsidRPr="0043655B">
          <w:rPr>
            <w:rStyle w:val="TextoNormalCaracter"/>
          </w:rPr>
          <w:t>36/2012</w:t>
        </w:r>
      </w:hyperlink>
      <w:r>
        <w:t>, f. 10.</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Sentencias </w:t>
      </w:r>
      <w:hyperlink w:anchor="SENTENCIA_2012_36" w:history="1">
        <w:r w:rsidRPr="0043655B">
          <w:rPr>
            <w:rStyle w:val="TextoNormalCaracter"/>
          </w:rPr>
          <w:t>36/2012</w:t>
        </w:r>
      </w:hyperlink>
      <w:r>
        <w:t xml:space="preserve">, ff. 1, 8 a 11; </w:t>
      </w:r>
      <w:hyperlink w:anchor="SENTENCIA_2012_72" w:history="1">
        <w:r w:rsidRPr="0043655B">
          <w:rPr>
            <w:rStyle w:val="TextoNormalCaracter"/>
          </w:rPr>
          <w:t>72/2012</w:t>
        </w:r>
      </w:hyperlink>
      <w:r>
        <w:t>, ff. 1, 4.</w:t>
      </w:r>
    </w:p>
    <w:p w:rsidR="0043655B" w:rsidRDefault="0043655B" w:rsidP="0043655B">
      <w:pPr>
        <w:pStyle w:val="SangriaFrancesaArticulo"/>
      </w:pPr>
      <w:r w:rsidRPr="0043655B">
        <w:rPr>
          <w:rStyle w:val="TextoNormalNegritaCaracter"/>
        </w:rPr>
        <w:t>Artículo 8</w:t>
      </w:r>
      <w:r>
        <w:t xml:space="preserve"> </w:t>
      </w:r>
      <w:r w:rsidRPr="0043655B">
        <w:rPr>
          <w:rStyle w:val="TextoNormalCaracter"/>
        </w:rPr>
        <w:t>(redactado por el Real Decreto 1260/2010, de 8 de octubre)</w:t>
      </w:r>
      <w:r w:rsidRPr="0043655B">
        <w:rPr>
          <w:rStyle w:val="TextoNormalNegritaCaracter"/>
        </w:rPr>
        <w:t>.</w:t>
      </w:r>
      <w:r w:rsidRPr="0043655B">
        <w:rPr>
          <w:rStyle w:val="TextoNormalCaracter"/>
        </w:rPr>
        <w:t>-</w:t>
      </w:r>
      <w:r>
        <w:t xml:space="preserve"> Sentencia </w:t>
      </w:r>
      <w:hyperlink w:anchor="SENTENCIA_2012_77" w:history="1">
        <w:r w:rsidRPr="0043655B">
          <w:rPr>
            <w:rStyle w:val="TextoNormalCaracter"/>
          </w:rPr>
          <w:t>77/2012</w:t>
        </w:r>
      </w:hyperlink>
      <w:r>
        <w:t>, f. 7.</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Sentencias </w:t>
      </w:r>
      <w:hyperlink w:anchor="SENTENCIA_2012_36" w:history="1">
        <w:r w:rsidRPr="0043655B">
          <w:rPr>
            <w:rStyle w:val="TextoNormalCaracter"/>
          </w:rPr>
          <w:t>36/2012</w:t>
        </w:r>
      </w:hyperlink>
      <w:r>
        <w:t xml:space="preserve">, f. 8; </w:t>
      </w:r>
      <w:hyperlink w:anchor="SENTENCIA_2012_72" w:history="1">
        <w:r w:rsidRPr="0043655B">
          <w:rPr>
            <w:rStyle w:val="TextoNormalCaracter"/>
          </w:rPr>
          <w:t>72/2012</w:t>
        </w:r>
      </w:hyperlink>
      <w:r>
        <w:t>, ff. 1, 4, 5.</w:t>
      </w:r>
    </w:p>
    <w:p w:rsidR="0043655B" w:rsidRDefault="0043655B" w:rsidP="0043655B">
      <w:pPr>
        <w:pStyle w:val="SangriaFrancesaArticulo"/>
      </w:pPr>
      <w:r w:rsidRPr="0043655B">
        <w:rPr>
          <w:rStyle w:val="TextoNormalNegritaCaracter"/>
        </w:rPr>
        <w:t>Artículo 9.1.</w:t>
      </w:r>
      <w:r w:rsidRPr="0043655B">
        <w:rPr>
          <w:rStyle w:val="TextoNormalCaracter"/>
        </w:rPr>
        <w:t>-</w:t>
      </w:r>
      <w:r>
        <w:t xml:space="preserve"> Sentencia </w:t>
      </w:r>
      <w:hyperlink w:anchor="SENTENCIA_2012_36" w:history="1">
        <w:r w:rsidRPr="0043655B">
          <w:rPr>
            <w:rStyle w:val="TextoNormalCaracter"/>
          </w:rPr>
          <w:t>36/2012</w:t>
        </w:r>
      </w:hyperlink>
      <w:r>
        <w:t>, f. 1.</w:t>
      </w:r>
    </w:p>
    <w:p w:rsidR="0043655B" w:rsidRDefault="0043655B" w:rsidP="0043655B">
      <w:pPr>
        <w:pStyle w:val="SangriaFrancesaArticulo"/>
      </w:pPr>
      <w:r w:rsidRPr="0043655B">
        <w:rPr>
          <w:rStyle w:val="TextoNormalNegritaCaracter"/>
        </w:rPr>
        <w:t>Artículo 9.1 párrafo 2.</w:t>
      </w:r>
      <w:r w:rsidRPr="0043655B">
        <w:rPr>
          <w:rStyle w:val="TextoNormalCaracter"/>
        </w:rPr>
        <w:t>-</w:t>
      </w:r>
      <w:r>
        <w:t xml:space="preserve"> Sentencias </w:t>
      </w:r>
      <w:hyperlink w:anchor="SENTENCIA_2012_36" w:history="1">
        <w:r w:rsidRPr="0043655B">
          <w:rPr>
            <w:rStyle w:val="TextoNormalCaracter"/>
          </w:rPr>
          <w:t>36/2012</w:t>
        </w:r>
      </w:hyperlink>
      <w:r>
        <w:t xml:space="preserve">, f. 11; </w:t>
      </w:r>
      <w:hyperlink w:anchor="SENTENCIA_2012_72" w:history="1">
        <w:r w:rsidRPr="0043655B">
          <w:rPr>
            <w:rStyle w:val="TextoNormalCaracter"/>
          </w:rPr>
          <w:t>72/2012</w:t>
        </w:r>
      </w:hyperlink>
      <w:r>
        <w:t>, f. 5.</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 </w:t>
      </w:r>
      <w:hyperlink w:anchor="SENTENCIA_2012_36" w:history="1">
        <w:r w:rsidRPr="0043655B">
          <w:rPr>
            <w:rStyle w:val="TextoNormalCaracter"/>
          </w:rPr>
          <w:t>36/2012</w:t>
        </w:r>
      </w:hyperlink>
      <w:r>
        <w:t>, f. 11.</w:t>
      </w:r>
    </w:p>
    <w:p w:rsidR="0043655B" w:rsidRDefault="0043655B" w:rsidP="0043655B">
      <w:pPr>
        <w:pStyle w:val="SangriaFrancesaArticulo"/>
      </w:pPr>
      <w:r w:rsidRPr="0043655B">
        <w:rPr>
          <w:rStyle w:val="TextoNormalNegritaCaracter"/>
        </w:rPr>
        <w:t>Artículo 9.2</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 </w:t>
      </w:r>
      <w:hyperlink w:anchor="SENTENCIA_2012_36" w:history="1">
        <w:r w:rsidRPr="0043655B">
          <w:rPr>
            <w:rStyle w:val="TextoNormalCaracter"/>
          </w:rPr>
          <w:t>36/2012</w:t>
        </w:r>
      </w:hyperlink>
      <w:r>
        <w:t>, f. 11.</w:t>
      </w:r>
    </w:p>
    <w:p w:rsidR="0043655B" w:rsidRDefault="0043655B" w:rsidP="0043655B">
      <w:pPr>
        <w:pStyle w:val="SangriaFrancesaArticulo"/>
      </w:pPr>
      <w:r w:rsidRPr="0043655B">
        <w:rPr>
          <w:rStyle w:val="TextoNormalNegritaCaracter"/>
        </w:rPr>
        <w:t>Artículo 9.3</w:t>
      </w:r>
      <w:r>
        <w:t xml:space="preserve"> </w:t>
      </w:r>
      <w:r w:rsidRPr="0043655B">
        <w:rPr>
          <w:rStyle w:val="TextoNormalCaracter"/>
        </w:rPr>
        <w:t>(redactado por el Real Decreto 366/2009, de 20 de marzo)</w:t>
      </w:r>
      <w:r w:rsidRPr="0043655B">
        <w:rPr>
          <w:rStyle w:val="TextoNormalNegritaCaracter"/>
        </w:rPr>
        <w:t>.</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Sentencias </w:t>
      </w:r>
      <w:hyperlink w:anchor="SENTENCIA_2012_36" w:history="1">
        <w:r w:rsidRPr="0043655B">
          <w:rPr>
            <w:rStyle w:val="TextoNormalCaracter"/>
          </w:rPr>
          <w:t>36/2012</w:t>
        </w:r>
      </w:hyperlink>
      <w:r>
        <w:t xml:space="preserve">, ff. 1, 8; </w:t>
      </w:r>
      <w:hyperlink w:anchor="SENTENCIA_2012_72" w:history="1">
        <w:r w:rsidRPr="0043655B">
          <w:rPr>
            <w:rStyle w:val="TextoNormalCaracter"/>
          </w:rPr>
          <w:t>72/2012</w:t>
        </w:r>
      </w:hyperlink>
      <w:r>
        <w:t>, ff. 1, 4.</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Disposición transitoria única.</w:t>
      </w:r>
      <w:r w:rsidRPr="0043655B">
        <w:rPr>
          <w:rStyle w:val="TextoNormalCaracter"/>
        </w:rPr>
        <w:t>-</w:t>
      </w:r>
      <w:r>
        <w:t xml:space="preserve"> Sentencia </w:t>
      </w:r>
      <w:hyperlink w:anchor="SENTENCIA_2012_36" w:history="1">
        <w:r w:rsidRPr="0043655B">
          <w:rPr>
            <w:rStyle w:val="TextoNormalCaracter"/>
          </w:rPr>
          <w:t>36/2012</w:t>
        </w:r>
      </w:hyperlink>
      <w:r>
        <w:t>, f. 5.</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36" w:history="1">
        <w:r w:rsidRPr="0043655B">
          <w:rPr>
            <w:rStyle w:val="TextoNormalCaracter"/>
          </w:rPr>
          <w:t>36/2012</w:t>
        </w:r>
      </w:hyperlink>
      <w:r>
        <w:t>, f. 11.</w:t>
      </w:r>
    </w:p>
    <w:p w:rsidR="0043655B" w:rsidRDefault="0043655B" w:rsidP="0043655B">
      <w:pPr>
        <w:pStyle w:val="SangriaFrancesaArticulo"/>
      </w:pPr>
    </w:p>
    <w:p w:rsidR="0043655B" w:rsidRDefault="0043655B" w:rsidP="0043655B">
      <w:pPr>
        <w:pStyle w:val="TextoNormalNegritaCursivandice"/>
      </w:pPr>
      <w:r>
        <w:lastRenderedPageBreak/>
        <w:t>Resolución de 13 de marzo de 2008, del Instituto Nacional de las Artes Escénicas y de la Música. Convocatoria de ayudas para 2008, dentro del programa de espacios escénicos de nueva generación</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89" w:history="1">
        <w:r w:rsidRPr="0043655B">
          <w:rPr>
            <w:rStyle w:val="TextoNormalCaracter"/>
          </w:rPr>
          <w:t>89/2012</w:t>
        </w:r>
      </w:hyperlink>
      <w:r>
        <w:t>, ff. 2, 7.</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89" w:history="1">
        <w:r w:rsidRPr="0043655B">
          <w:rPr>
            <w:rStyle w:val="TextoNormalCaracter"/>
          </w:rPr>
          <w:t>89/2012</w:t>
        </w:r>
      </w:hyperlink>
      <w:r>
        <w:t>, ff. 2, 7, 8.</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89" w:history="1">
        <w:r w:rsidRPr="0043655B">
          <w:rPr>
            <w:rStyle w:val="TextoNormalCaracter"/>
          </w:rPr>
          <w:t>89/2012</w:t>
        </w:r>
      </w:hyperlink>
      <w:r>
        <w:t>, ff. 2, 8.</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89" w:history="1">
        <w:r w:rsidRPr="0043655B">
          <w:rPr>
            <w:rStyle w:val="TextoNormalCaracter"/>
          </w:rPr>
          <w:t>89/2012</w:t>
        </w:r>
      </w:hyperlink>
      <w:r>
        <w:t>, ff. 2, 8.</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89" w:history="1">
        <w:r w:rsidRPr="0043655B">
          <w:rPr>
            <w:rStyle w:val="TextoNormalCaracter"/>
          </w:rPr>
          <w:t>89/2012</w:t>
        </w:r>
      </w:hyperlink>
      <w:r>
        <w:t>, ff. 1, 2, 8, 9, 11.</w:t>
      </w:r>
    </w:p>
    <w:p w:rsidR="0043655B" w:rsidRDefault="0043655B" w:rsidP="0043655B">
      <w:pPr>
        <w:pStyle w:val="SangriaFrancesaArticulo"/>
      </w:pPr>
      <w:r w:rsidRPr="0043655B">
        <w:rPr>
          <w:rStyle w:val="TextoNormalNegritaCaracter"/>
        </w:rPr>
        <w:t>Artículo 5 b).</w:t>
      </w:r>
      <w:r w:rsidRPr="0043655B">
        <w:rPr>
          <w:rStyle w:val="TextoNormalCaracter"/>
        </w:rPr>
        <w:t>-</w:t>
      </w:r>
      <w:r>
        <w:t xml:space="preserve"> Sentencia </w:t>
      </w:r>
      <w:hyperlink w:anchor="SENTENCIA_2012_89" w:history="1">
        <w:r w:rsidRPr="0043655B">
          <w:rPr>
            <w:rStyle w:val="TextoNormalCaracter"/>
          </w:rPr>
          <w:t>89/2012</w:t>
        </w:r>
      </w:hyperlink>
      <w:r>
        <w:t>, ff. 8, 11.</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89" w:history="1">
        <w:r w:rsidRPr="0043655B">
          <w:rPr>
            <w:rStyle w:val="TextoNormalCaracter"/>
          </w:rPr>
          <w:t>89/2012</w:t>
        </w:r>
      </w:hyperlink>
      <w:r>
        <w:t>, ff. 2, 8.</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89" w:history="1">
        <w:r w:rsidRPr="0043655B">
          <w:rPr>
            <w:rStyle w:val="TextoNormalCaracter"/>
          </w:rPr>
          <w:t>89/2012</w:t>
        </w:r>
      </w:hyperlink>
      <w:r>
        <w:t>, ff. 1, 2, 8, 9.</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89" w:history="1">
        <w:r w:rsidRPr="0043655B">
          <w:rPr>
            <w:rStyle w:val="TextoNormalCaracter"/>
          </w:rPr>
          <w:t>89/2012</w:t>
        </w:r>
      </w:hyperlink>
      <w:r>
        <w:t>, ff. 1, 2, 8, 9, 11.</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89" w:history="1">
        <w:r w:rsidRPr="0043655B">
          <w:rPr>
            <w:rStyle w:val="TextoNormalCaracter"/>
          </w:rPr>
          <w:t>89/2012</w:t>
        </w:r>
      </w:hyperlink>
      <w:r>
        <w:t>, ff. 1, 2, 8, 9, 11.</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89" w:history="1">
        <w:r w:rsidRPr="0043655B">
          <w:rPr>
            <w:rStyle w:val="TextoNormalCaracter"/>
          </w:rPr>
          <w:t>89/2012</w:t>
        </w:r>
      </w:hyperlink>
      <w:r>
        <w:t>, ff. 2, 8.</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89" w:history="1">
        <w:r w:rsidRPr="0043655B">
          <w:rPr>
            <w:rStyle w:val="TextoNormalCaracter"/>
          </w:rPr>
          <w:t>89/2012</w:t>
        </w:r>
      </w:hyperlink>
      <w:r>
        <w:t>, ff. 2, 11.</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89" w:history="1">
        <w:r w:rsidRPr="0043655B">
          <w:rPr>
            <w:rStyle w:val="TextoNormalCaracter"/>
          </w:rPr>
          <w:t>89/2012</w:t>
        </w:r>
      </w:hyperlink>
      <w:r>
        <w:t>, ff. 8, 11.</w:t>
      </w:r>
    </w:p>
    <w:p w:rsidR="0043655B" w:rsidRDefault="0043655B" w:rsidP="0043655B">
      <w:pPr>
        <w:pStyle w:val="SangriaFrancesaArticulo"/>
      </w:pPr>
      <w:r w:rsidRPr="0043655B">
        <w:rPr>
          <w:rStyle w:val="TextoNormalNegritaCaracter"/>
        </w:rPr>
        <w:t>Artículo 12 apartados 5 a 7.</w:t>
      </w:r>
      <w:r w:rsidRPr="0043655B">
        <w:rPr>
          <w:rStyle w:val="TextoNormalCaracter"/>
        </w:rPr>
        <w:t>-</w:t>
      </w:r>
      <w:r>
        <w:t xml:space="preserve"> Sentencia </w:t>
      </w:r>
      <w:hyperlink w:anchor="SENTENCIA_2012_89" w:history="1">
        <w:r w:rsidRPr="0043655B">
          <w:rPr>
            <w:rStyle w:val="TextoNormalCaracter"/>
          </w:rPr>
          <w:t>89/2012</w:t>
        </w:r>
      </w:hyperlink>
      <w:r>
        <w:t>, ff. 8, 9, 11.</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89" w:history="1">
        <w:r w:rsidRPr="0043655B">
          <w:rPr>
            <w:rStyle w:val="TextoNormalCaracter"/>
          </w:rPr>
          <w:t>89/2012</w:t>
        </w:r>
      </w:hyperlink>
      <w:r>
        <w:t>, f. 8.</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89" w:history="1">
        <w:r w:rsidRPr="0043655B">
          <w:rPr>
            <w:rStyle w:val="TextoNormalCaracter"/>
          </w:rPr>
          <w:t>89/2012</w:t>
        </w:r>
      </w:hyperlink>
      <w:r>
        <w:t>, f. 11.</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89" w:history="1">
        <w:r w:rsidRPr="0043655B">
          <w:rPr>
            <w:rStyle w:val="TextoNormalCaracter"/>
          </w:rPr>
          <w:t>89/2012</w:t>
        </w:r>
      </w:hyperlink>
      <w:r>
        <w:t>, f. 11.</w:t>
      </w:r>
    </w:p>
    <w:p w:rsidR="0043655B" w:rsidRDefault="0043655B" w:rsidP="0043655B">
      <w:pPr>
        <w:pStyle w:val="SangriaFrancesaArticulo"/>
      </w:pPr>
      <w:r w:rsidRPr="0043655B">
        <w:rPr>
          <w:rStyle w:val="TextoNormalNegritaCaracter"/>
        </w:rPr>
        <w:t>Anexo II.</w:t>
      </w:r>
      <w:r w:rsidRPr="0043655B">
        <w:rPr>
          <w:rStyle w:val="TextoNormalCaracter"/>
        </w:rPr>
        <w:t>-</w:t>
      </w:r>
      <w:r>
        <w:t xml:space="preserve"> Sentencia </w:t>
      </w:r>
      <w:hyperlink w:anchor="SENTENCIA_2012_89" w:history="1">
        <w:r w:rsidRPr="0043655B">
          <w:rPr>
            <w:rStyle w:val="TextoNormalCaracter"/>
          </w:rPr>
          <w:t>89/2012</w:t>
        </w:r>
      </w:hyperlink>
      <w:r>
        <w:t>, ff. 8, 9.</w:t>
      </w:r>
    </w:p>
    <w:p w:rsidR="0043655B" w:rsidRDefault="0043655B" w:rsidP="0043655B">
      <w:pPr>
        <w:pStyle w:val="SangriaFrancesaArticulo"/>
      </w:pPr>
    </w:p>
    <w:p w:rsidR="0043655B" w:rsidRDefault="0043655B" w:rsidP="0043655B">
      <w:pPr>
        <w:pStyle w:val="TextoNormalNegritaCursivandice"/>
      </w:pPr>
      <w:r>
        <w:t>Real Decreto 863/2008, de 23 de mayo. Aprueba el Reglamento de desarrollo de la Ley 32/2003, de 3 de noviembre de 2003, General de Telecomunicaciones, en lo relativo al uso del dominio público radioeléctrico.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19.</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20.1 b).</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20.3.</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25.1.</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p>
    <w:p w:rsidR="0043655B" w:rsidRDefault="0043655B" w:rsidP="0043655B">
      <w:pPr>
        <w:pStyle w:val="TextoNormalNegritaCursivandice"/>
      </w:pPr>
      <w:r>
        <w:t>Real Decreto 366/2009, de 20 de marzo. Modificación del Real Decreto 1472/2007, de 2 de noviembre, por el que se regula la renta básica de emancipación de los jóvenes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6" w:history="1">
        <w:r w:rsidRPr="0043655B">
          <w:rPr>
            <w:rStyle w:val="TextoNormalCaracter"/>
          </w:rPr>
          <w:t>36/2012</w:t>
        </w:r>
      </w:hyperlink>
      <w:r>
        <w:t xml:space="preserve">, f. 2; </w:t>
      </w:r>
      <w:hyperlink w:anchor="SENTENCIA_2012_72" w:history="1">
        <w:r w:rsidRPr="0043655B">
          <w:rPr>
            <w:rStyle w:val="TextoNormalCaracter"/>
          </w:rPr>
          <w:t>72/2012</w:t>
        </w:r>
      </w:hyperlink>
      <w:r>
        <w:t xml:space="preserve">, f. 2; </w:t>
      </w:r>
      <w:hyperlink w:anchor="SENTENCIA_2012_73" w:history="1">
        <w:r w:rsidRPr="0043655B">
          <w:rPr>
            <w:rStyle w:val="TextoNormalCaracter"/>
          </w:rPr>
          <w:t>73/2012</w:t>
        </w:r>
      </w:hyperlink>
      <w:r>
        <w:t xml:space="preserve">, ff. 1, 2; </w:t>
      </w:r>
      <w:hyperlink w:anchor="SENTENCIA_2012_77" w:history="1">
        <w:r w:rsidRPr="0043655B">
          <w:rPr>
            <w:rStyle w:val="TextoNormalCaracter"/>
          </w:rPr>
          <w:t>77/2012</w:t>
        </w:r>
      </w:hyperlink>
      <w:r>
        <w:t>, ff. 2, 3.</w:t>
      </w:r>
    </w:p>
    <w:p w:rsidR="0043655B" w:rsidRDefault="0043655B" w:rsidP="0043655B">
      <w:pPr>
        <w:pStyle w:val="SangriaFrancesaArticulo"/>
      </w:pPr>
      <w:r w:rsidRPr="0043655B">
        <w:rPr>
          <w:rStyle w:val="TextoNormalNegritaCaracter"/>
        </w:rPr>
        <w:t>Artículo único, apartado 1.</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único, apartado 2.</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único, apartado 3.</w:t>
      </w:r>
      <w:r w:rsidRPr="0043655B">
        <w:rPr>
          <w:rStyle w:val="TextoNormalCaracter"/>
        </w:rPr>
        <w:t>-</w:t>
      </w:r>
      <w:r>
        <w:t xml:space="preserve"> Sentencia </w:t>
      </w:r>
      <w:hyperlink w:anchor="SENTENCIA_2012_73" w:history="1">
        <w:r w:rsidRPr="0043655B">
          <w:rPr>
            <w:rStyle w:val="TextoNormalCaracter"/>
          </w:rPr>
          <w:t>73/2012</w:t>
        </w:r>
      </w:hyperlink>
      <w:r>
        <w:t>, ff. 1, 5.</w:t>
      </w:r>
    </w:p>
    <w:p w:rsidR="0043655B" w:rsidRDefault="0043655B" w:rsidP="0043655B">
      <w:pPr>
        <w:pStyle w:val="SangriaFrancesaArticulo"/>
      </w:pPr>
      <w:r w:rsidRPr="0043655B">
        <w:rPr>
          <w:rStyle w:val="TextoNormalNegritaCaracter"/>
        </w:rPr>
        <w:t>Artículo único, apartado 4.</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único, apartado 5.</w:t>
      </w:r>
      <w:r w:rsidRPr="0043655B">
        <w:rPr>
          <w:rStyle w:val="TextoNormalCaracter"/>
        </w:rPr>
        <w:t>-</w:t>
      </w:r>
      <w:r>
        <w:t xml:space="preserve"> Sentencias </w:t>
      </w:r>
      <w:hyperlink w:anchor="SENTENCIA_2012_73" w:history="1">
        <w:r w:rsidRPr="0043655B">
          <w:rPr>
            <w:rStyle w:val="TextoNormalCaracter"/>
          </w:rPr>
          <w:t>73/2012</w:t>
        </w:r>
      </w:hyperlink>
      <w:r>
        <w:t xml:space="preserve">, f. 1;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único, apartado 6.</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r w:rsidRPr="0043655B">
        <w:rPr>
          <w:rStyle w:val="TextoNormalNegritaCaracter"/>
        </w:rPr>
        <w:t>Artículo único.</w:t>
      </w:r>
      <w:r w:rsidRPr="0043655B">
        <w:rPr>
          <w:rStyle w:val="TextoNormalCaracter"/>
        </w:rPr>
        <w:t>-</w:t>
      </w:r>
      <w:r>
        <w:t xml:space="preserve"> Sentencia </w:t>
      </w:r>
      <w:hyperlink w:anchor="SENTENCIA_2012_73" w:history="1">
        <w:r w:rsidRPr="0043655B">
          <w:rPr>
            <w:rStyle w:val="TextoNormalCaracter"/>
          </w:rPr>
          <w:t>73/2012</w:t>
        </w:r>
      </w:hyperlink>
      <w:r>
        <w:t>, f. 5.</w:t>
      </w:r>
    </w:p>
    <w:p w:rsidR="0043655B" w:rsidRDefault="0043655B" w:rsidP="0043655B">
      <w:pPr>
        <w:pStyle w:val="SangriaFrancesaArticulo"/>
      </w:pPr>
    </w:p>
    <w:p w:rsidR="0043655B" w:rsidRDefault="0043655B" w:rsidP="0043655B">
      <w:pPr>
        <w:pStyle w:val="TextoNormalNegritaCursivandice"/>
      </w:pPr>
      <w:r>
        <w:lastRenderedPageBreak/>
        <w:t>Acuerdo 6/2009 del Consejo de Política Fiscal y Financiera, de 15 de julio. Reforma el sistema de financiación de las Comunidades Autónomas de régimen común y ciudades con estatuto de autonomía.</w:t>
      </w:r>
    </w:p>
    <w:p w:rsidR="0043655B" w:rsidRDefault="0043655B" w:rsidP="0043655B">
      <w:pPr>
        <w:pStyle w:val="SangriaFrancesaArticulo"/>
      </w:pPr>
      <w:r w:rsidRPr="0043655B">
        <w:rPr>
          <w:rStyle w:val="TextoNormalNegritaCaracter"/>
        </w:rPr>
        <w:t>Artículo 4.4.9.</w:t>
      </w:r>
      <w:r w:rsidRPr="0043655B">
        <w:rPr>
          <w:rStyle w:val="TextoNormalCaracter"/>
        </w:rPr>
        <w:t>-</w:t>
      </w:r>
      <w:r>
        <w:t xml:space="preserve"> Sentencia </w:t>
      </w:r>
      <w:hyperlink w:anchor="SENTENCIA_2012_122" w:history="1">
        <w:r w:rsidRPr="0043655B">
          <w:rPr>
            <w:rStyle w:val="TextoNormalCaracter"/>
          </w:rPr>
          <w:t>122/2012</w:t>
        </w:r>
      </w:hyperlink>
      <w:r>
        <w:t>, f. 3.</w:t>
      </w:r>
    </w:p>
    <w:p w:rsidR="0043655B" w:rsidRDefault="0043655B" w:rsidP="0043655B">
      <w:pPr>
        <w:pStyle w:val="SangriaFrancesaArticulo"/>
      </w:pPr>
    </w:p>
    <w:p w:rsidR="0043655B" w:rsidRDefault="0043655B" w:rsidP="0043655B">
      <w:pPr>
        <w:pStyle w:val="TextoNormalNegritaCursivandice"/>
      </w:pPr>
      <w:r>
        <w:t>Real Decreto 1825/2009, de 27 de noviembre. Estatuto de la Organización Nacional de Trasplantes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 9.</w:t>
      </w:r>
    </w:p>
    <w:p w:rsidR="0043655B" w:rsidRDefault="0043655B" w:rsidP="0043655B">
      <w:pPr>
        <w:pStyle w:val="SangriaFrancesaArticulo"/>
      </w:pPr>
    </w:p>
    <w:p w:rsidR="0043655B" w:rsidRDefault="0043655B" w:rsidP="0043655B">
      <w:pPr>
        <w:pStyle w:val="TextoNormalNegritaCursivandice"/>
      </w:pPr>
      <w:r>
        <w:t>Real Decreto 2030/2009, de 30 de diciembre. Salario mínimo interprofesional para 2010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p>
    <w:p w:rsidR="0043655B" w:rsidRDefault="0043655B" w:rsidP="0043655B">
      <w:pPr>
        <w:pStyle w:val="TextoNormalNegritaCursivandice"/>
      </w:pPr>
      <w:r>
        <w:t>Real Decreto 1260/2010, de 8 de octubre. Modificación del Real Decreto 1472/2007, de 2 de noviembre, por el que se regula la renta básica de emancipación de los jóvenes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6" w:history="1">
        <w:r w:rsidRPr="0043655B">
          <w:rPr>
            <w:rStyle w:val="TextoNormalCaracter"/>
          </w:rPr>
          <w:t>36/2012</w:t>
        </w:r>
      </w:hyperlink>
      <w:r>
        <w:t xml:space="preserve">, f. 2; </w:t>
      </w:r>
      <w:hyperlink w:anchor="SENTENCIA_2012_72" w:history="1">
        <w:r w:rsidRPr="0043655B">
          <w:rPr>
            <w:rStyle w:val="TextoNormalCaracter"/>
          </w:rPr>
          <w:t>72/2012</w:t>
        </w:r>
      </w:hyperlink>
      <w:r>
        <w:t xml:space="preserve">, f. 2; </w:t>
      </w:r>
      <w:hyperlink w:anchor="SENTENCIA_2012_77" w:history="1">
        <w:r w:rsidRPr="0043655B">
          <w:rPr>
            <w:rStyle w:val="TextoNormalCaracter"/>
          </w:rPr>
          <w:t>77/2012</w:t>
        </w:r>
      </w:hyperlink>
      <w:r>
        <w:t>, ff. 1, 2.</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77" w:history="1">
        <w:r w:rsidRPr="0043655B">
          <w:rPr>
            <w:rStyle w:val="TextoNormalCaracter"/>
          </w:rPr>
          <w:t>77/2012</w:t>
        </w:r>
      </w:hyperlink>
      <w:r>
        <w:t>, f. 5.</w:t>
      </w:r>
    </w:p>
    <w:p w:rsidR="0043655B" w:rsidRDefault="0043655B" w:rsidP="0043655B">
      <w:pPr>
        <w:pStyle w:val="SangriaFrancesaArticulo"/>
      </w:pPr>
    </w:p>
    <w:p w:rsidR="0043655B" w:rsidRDefault="0043655B" w:rsidP="0043655B">
      <w:pPr>
        <w:pStyle w:val="TextoNormalNegritaCursivandice"/>
      </w:pPr>
      <w:r>
        <w:t>Real Decreto 1673/2010, de 4 de diciembre. Declaración del estado de alarma para la normalización del servicio público esencial del transporte aéreo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Auto </w:t>
      </w:r>
      <w:hyperlink w:anchor="AUTO_2012_7" w:history="1">
        <w:r w:rsidRPr="0043655B">
          <w:rPr>
            <w:rStyle w:val="TextoNormalCaracter"/>
          </w:rPr>
          <w:t>7/2012</w:t>
        </w:r>
      </w:hyperlink>
      <w:r>
        <w:t>.</w:t>
      </w:r>
    </w:p>
    <w:p w:rsidR="0043655B" w:rsidRDefault="0043655B" w:rsidP="0043655B">
      <w:pPr>
        <w:pStyle w:val="SangriaFrancesaArticulo"/>
      </w:pPr>
    </w:p>
    <w:p w:rsidR="0043655B" w:rsidRDefault="0043655B" w:rsidP="0043655B">
      <w:pPr>
        <w:pStyle w:val="TextoNormalNegritaCursivandice"/>
      </w:pPr>
      <w:r>
        <w:t>Real Decreto 1517/2011, de 31 de octubre. Reglamento que desarrolla el texto refundido de la Ley de auditoría de cuentas, aprobado por el Real Decreto Legislativo 1/2011, de 1 de julio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ff. 3, 7.</w:t>
      </w:r>
    </w:p>
    <w:p w:rsidR="0043655B" w:rsidRDefault="0043655B" w:rsidP="0043655B">
      <w:pPr>
        <w:pStyle w:val="SangriaFrancesaArticulo"/>
      </w:pPr>
      <w:r w:rsidRPr="0043655B">
        <w:rPr>
          <w:rStyle w:val="TextoNormalNegritaCaracter"/>
        </w:rPr>
        <w:t>Artículo 30.1.</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104.</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Disposición adicional.</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Disposición final única.</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p>
    <w:p w:rsidR="0043655B" w:rsidRDefault="0043655B" w:rsidP="0043655B">
      <w:pPr>
        <w:pStyle w:val="TextoNormalNegritaCursivandice"/>
      </w:pPr>
      <w:r>
        <w:t>Real Decreto 1706/2011, de 18 de noviembre. Modifica el Real Decreto 1336/2005, de 11 de noviembre, por el que se autoriza a la Organización Nacional de Ciegos Españoles la explotación de una lotería instantánea o presorteada.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3" w:history="1">
        <w:r w:rsidRPr="0043655B">
          <w:rPr>
            <w:rStyle w:val="TextoNormalCaracter"/>
          </w:rPr>
          <w:t>133/2012</w:t>
        </w:r>
      </w:hyperlink>
      <w:r>
        <w:t>, ff. 2, 3, 5.</w:t>
      </w:r>
    </w:p>
    <w:p w:rsidR="0043655B" w:rsidRDefault="0043655B" w:rsidP="0043655B">
      <w:pPr>
        <w:pStyle w:val="TextoNormal"/>
      </w:pPr>
    </w:p>
    <w:p w:rsidR="0043655B" w:rsidRDefault="0043655B" w:rsidP="0043655B">
      <w:pPr>
        <w:pStyle w:val="SangriaFrancesaArticulo"/>
      </w:pPr>
      <w:bookmarkStart w:id="289" w:name="INDICE22850"/>
    </w:p>
    <w:bookmarkEnd w:id="289"/>
    <w:p w:rsidR="0043655B" w:rsidRDefault="0043655B" w:rsidP="0043655B">
      <w:pPr>
        <w:pStyle w:val="TextoIndiceNivel2"/>
        <w:suppressAutoHyphens/>
      </w:pPr>
      <w:r>
        <w:t>I) Legislación preconstitucional</w:t>
      </w:r>
    </w:p>
    <w:p w:rsidR="0043655B" w:rsidRDefault="0043655B" w:rsidP="0043655B">
      <w:pPr>
        <w:pStyle w:val="TextoIndiceNivel2"/>
      </w:pPr>
    </w:p>
    <w:p w:rsidR="0043655B" w:rsidRDefault="0043655B" w:rsidP="0043655B">
      <w:pPr>
        <w:pStyle w:val="TextoNormalNegritaCursivandice"/>
      </w:pPr>
      <w:r>
        <w:t>Ley de 2 de diciembre de 1872. Creación del Banco Hipotecario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9" w:history="1">
        <w:r w:rsidRPr="0043655B">
          <w:rPr>
            <w:rStyle w:val="TextoNormalCaracter"/>
          </w:rPr>
          <w:t>119/2012</w:t>
        </w:r>
      </w:hyperlink>
      <w:r>
        <w:t>, ff. 1, 4, 7 a 9.</w:t>
      </w:r>
    </w:p>
    <w:p w:rsidR="0043655B" w:rsidRDefault="0043655B" w:rsidP="0043655B">
      <w:pPr>
        <w:pStyle w:val="SangriaFrancesaArticulo"/>
      </w:pPr>
      <w:r w:rsidRPr="0043655B">
        <w:rPr>
          <w:rStyle w:val="TextoNormalNegritaCaracter"/>
        </w:rPr>
        <w:t>Artículos 33 a 35.</w:t>
      </w:r>
      <w:r w:rsidRPr="0043655B">
        <w:rPr>
          <w:rStyle w:val="TextoNormalCaracter"/>
        </w:rPr>
        <w:t>-</w:t>
      </w:r>
      <w:r>
        <w:t xml:space="preserve"> Sentencia </w:t>
      </w:r>
      <w:hyperlink w:anchor="SENTENCIA_2012_119" w:history="1">
        <w:r w:rsidRPr="0043655B">
          <w:rPr>
            <w:rStyle w:val="TextoNormalCaracter"/>
          </w:rPr>
          <w:t>119/2012</w:t>
        </w:r>
      </w:hyperlink>
      <w:r>
        <w:t>, ff. 1, 6.</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119" w:history="1">
        <w:r w:rsidRPr="0043655B">
          <w:rPr>
            <w:rStyle w:val="TextoNormalCaracter"/>
          </w:rPr>
          <w:t>119/2012</w:t>
        </w:r>
      </w:hyperlink>
      <w:r>
        <w:t>, ff. 1, 4, 6 a 8.</w:t>
      </w:r>
    </w:p>
    <w:p w:rsidR="0043655B" w:rsidRDefault="0043655B" w:rsidP="0043655B">
      <w:pPr>
        <w:pStyle w:val="SangriaFrancesaArticulo"/>
      </w:pPr>
    </w:p>
    <w:p w:rsidR="0043655B" w:rsidRDefault="0043655B" w:rsidP="0043655B">
      <w:pPr>
        <w:pStyle w:val="TextoNormalNegritaCursivandice"/>
      </w:pPr>
      <w:r>
        <w:t>Real Decreto de 3 de febrero de 1881. Ley de enjuiciamiento civil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79" w:history="1">
        <w:r w:rsidRPr="0043655B">
          <w:rPr>
            <w:rStyle w:val="TextoNormalCaracter"/>
          </w:rPr>
          <w:t>79/2012</w:t>
        </w:r>
      </w:hyperlink>
      <w:r>
        <w:t>, f. 7.</w:t>
      </w:r>
    </w:p>
    <w:p w:rsidR="0043655B" w:rsidRDefault="0043655B" w:rsidP="0043655B">
      <w:pPr>
        <w:pStyle w:val="SangriaFrancesaArticulo"/>
      </w:pPr>
      <w:r w:rsidRPr="0043655B">
        <w:rPr>
          <w:rStyle w:val="TextoNormalNegritaCaracter"/>
        </w:rPr>
        <w:t>Artículo 449.</w:t>
      </w:r>
      <w:r w:rsidRPr="0043655B">
        <w:rPr>
          <w:rStyle w:val="TextoNormalCaracter"/>
        </w:rPr>
        <w:t>-</w:t>
      </w:r>
      <w:r>
        <w:t xml:space="preserve"> Sentencias </w:t>
      </w:r>
      <w:hyperlink w:anchor="SENTENCIA_2012_129" w:history="1">
        <w:r w:rsidRPr="0043655B">
          <w:rPr>
            <w:rStyle w:val="TextoNormalCaracter"/>
          </w:rPr>
          <w:t>129/2012</w:t>
        </w:r>
      </w:hyperlink>
      <w:r>
        <w:t xml:space="preserve">, f. 2; </w:t>
      </w:r>
      <w:hyperlink w:anchor="SENTENCIA_2012_130" w:history="1">
        <w:r w:rsidRPr="0043655B">
          <w:rPr>
            <w:rStyle w:val="TextoNormalCaracter"/>
          </w:rPr>
          <w:t>130/2012</w:t>
        </w:r>
      </w:hyperlink>
      <w:r>
        <w:t>, f. 2.</w:t>
      </w:r>
    </w:p>
    <w:p w:rsidR="0043655B" w:rsidRDefault="0043655B" w:rsidP="0043655B">
      <w:pPr>
        <w:pStyle w:val="SangriaFrancesaArticulo"/>
      </w:pPr>
      <w:r w:rsidRPr="0043655B">
        <w:rPr>
          <w:rStyle w:val="TextoNormalNegritaCaracter"/>
        </w:rPr>
        <w:t>Artículo 449.6.</w:t>
      </w:r>
      <w:r w:rsidRPr="0043655B">
        <w:rPr>
          <w:rStyle w:val="TextoNormalCaracter"/>
        </w:rPr>
        <w:t>-</w:t>
      </w:r>
      <w:r>
        <w:t xml:space="preserve"> Sentencias </w:t>
      </w:r>
      <w:hyperlink w:anchor="SENTENCIA_2012_129" w:history="1">
        <w:r w:rsidRPr="0043655B">
          <w:rPr>
            <w:rStyle w:val="TextoNormalCaracter"/>
          </w:rPr>
          <w:t>129/2012</w:t>
        </w:r>
      </w:hyperlink>
      <w:r>
        <w:t xml:space="preserve">, f. 2; </w:t>
      </w:r>
      <w:hyperlink w:anchor="SENTENCIA_2012_130" w:history="1">
        <w:r w:rsidRPr="0043655B">
          <w:rPr>
            <w:rStyle w:val="TextoNormalCaracter"/>
          </w:rPr>
          <w:t>130/2012</w:t>
        </w:r>
      </w:hyperlink>
      <w:r>
        <w:t>, f. 2.</w:t>
      </w:r>
    </w:p>
    <w:p w:rsidR="0043655B" w:rsidRDefault="0043655B" w:rsidP="0043655B">
      <w:pPr>
        <w:pStyle w:val="SangriaFrancesaArticulo"/>
      </w:pPr>
      <w:r w:rsidRPr="0043655B">
        <w:rPr>
          <w:rStyle w:val="TextoNormalNegritaCaracter"/>
        </w:rPr>
        <w:t>Artículo 1567.1</w:t>
      </w:r>
      <w:r>
        <w:t xml:space="preserve"> </w:t>
      </w:r>
      <w:r w:rsidRPr="0043655B">
        <w:rPr>
          <w:rStyle w:val="TextoNormalCaracter"/>
        </w:rPr>
        <w:t>(redactado por la Ley 29/1994, de 24 de noviembre)</w:t>
      </w:r>
      <w:r w:rsidRPr="0043655B">
        <w:rPr>
          <w:rStyle w:val="TextoNormalNegritaCaracter"/>
        </w:rPr>
        <w:t>.</w:t>
      </w:r>
      <w:r w:rsidRPr="0043655B">
        <w:rPr>
          <w:rStyle w:val="TextoNormalCaracter"/>
        </w:rPr>
        <w:t>-</w:t>
      </w:r>
      <w:r>
        <w:t xml:space="preserve"> Sentencias </w:t>
      </w:r>
      <w:hyperlink w:anchor="SENTENCIA_2012_129" w:history="1">
        <w:r w:rsidRPr="0043655B">
          <w:rPr>
            <w:rStyle w:val="TextoNormalCaracter"/>
          </w:rPr>
          <w:t>129/2012</w:t>
        </w:r>
      </w:hyperlink>
      <w:r>
        <w:t xml:space="preserve">, f. 2; </w:t>
      </w:r>
      <w:hyperlink w:anchor="SENTENCIA_2012_130" w:history="1">
        <w:r w:rsidRPr="0043655B">
          <w:rPr>
            <w:rStyle w:val="TextoNormalCaracter"/>
          </w:rPr>
          <w:t>130/2012</w:t>
        </w:r>
      </w:hyperlink>
      <w:r>
        <w:t>, f. 2.</w:t>
      </w:r>
    </w:p>
    <w:p w:rsidR="0043655B" w:rsidRDefault="0043655B" w:rsidP="0043655B">
      <w:pPr>
        <w:pStyle w:val="SangriaFrancesaArticulo"/>
      </w:pPr>
      <w:r w:rsidRPr="0043655B">
        <w:rPr>
          <w:rStyle w:val="TextoNormalNegritaCaracter"/>
        </w:rPr>
        <w:t>Artículo 1817.</w:t>
      </w:r>
      <w:r w:rsidRPr="0043655B">
        <w:rPr>
          <w:rStyle w:val="TextoNormalCaracter"/>
        </w:rPr>
        <w:t>-</w:t>
      </w:r>
      <w:r>
        <w:t xml:space="preserve"> Sentencia </w:t>
      </w:r>
      <w:hyperlink w:anchor="SENTENCIA_2012_11" w:history="1">
        <w:r w:rsidRPr="0043655B">
          <w:rPr>
            <w:rStyle w:val="TextoNormalCaracter"/>
          </w:rPr>
          <w:t>11/2012</w:t>
        </w:r>
      </w:hyperlink>
      <w:r>
        <w:t>, f. 4.</w:t>
      </w:r>
    </w:p>
    <w:p w:rsidR="0043655B" w:rsidRDefault="0043655B" w:rsidP="0043655B">
      <w:pPr>
        <w:pStyle w:val="SangriaFrancesaArticulo"/>
      </w:pPr>
    </w:p>
    <w:p w:rsidR="0043655B" w:rsidRDefault="0043655B" w:rsidP="0043655B">
      <w:pPr>
        <w:pStyle w:val="TextoNormalNegritaCursivandice"/>
      </w:pPr>
      <w:r>
        <w:t>Real Decreto de 14 de septiembre de 1882. Ley de enjuiciamiento criminal</w:t>
      </w:r>
    </w:p>
    <w:p w:rsidR="0043655B" w:rsidRDefault="0043655B" w:rsidP="0043655B">
      <w:pPr>
        <w:pStyle w:val="SangriaFrancesaArticulo"/>
      </w:pPr>
      <w:r w:rsidRPr="0043655B">
        <w:rPr>
          <w:rStyle w:val="TextoNormalNegritaCaracter"/>
        </w:rPr>
        <w:t>Artículo 17.5.</w:t>
      </w:r>
      <w:r w:rsidRPr="0043655B">
        <w:rPr>
          <w:rStyle w:val="TextoNormalCaracter"/>
        </w:rPr>
        <w:t>-</w:t>
      </w:r>
      <w:r>
        <w:t xml:space="preserve"> Sentencias </w:t>
      </w:r>
      <w:hyperlink w:anchor="SENTENCIA_2012_40" w:history="1">
        <w:r w:rsidRPr="0043655B">
          <w:rPr>
            <w:rStyle w:val="TextoNormalCaracter"/>
          </w:rPr>
          <w:t>40/2012</w:t>
        </w:r>
      </w:hyperlink>
      <w:r>
        <w:t xml:space="preserve">, f. 9; </w:t>
      </w:r>
      <w:hyperlink w:anchor="SENTENCIA_2012_43" w:history="1">
        <w:r w:rsidRPr="0043655B">
          <w:rPr>
            <w:rStyle w:val="TextoNormalCaracter"/>
          </w:rPr>
          <w:t>43/2012</w:t>
        </w:r>
      </w:hyperlink>
      <w:r>
        <w:t xml:space="preserve">, f. 7; </w:t>
      </w:r>
      <w:hyperlink w:anchor="SENTENCIA_2012_44" w:history="1">
        <w:r w:rsidRPr="0043655B">
          <w:rPr>
            <w:rStyle w:val="TextoNormalCaracter"/>
          </w:rPr>
          <w:t>44/2012</w:t>
        </w:r>
      </w:hyperlink>
      <w:r>
        <w:t xml:space="preserve">, f. 5; </w:t>
      </w:r>
      <w:hyperlink w:anchor="SENTENCIA_2012_46" w:history="1">
        <w:r w:rsidRPr="0043655B">
          <w:rPr>
            <w:rStyle w:val="TextoNormalCaracter"/>
          </w:rPr>
          <w:t>46/2012</w:t>
        </w:r>
      </w:hyperlink>
      <w:r>
        <w:t xml:space="preserve">, f. 7; </w:t>
      </w:r>
      <w:hyperlink w:anchor="SENTENCIA_2012_51" w:history="1">
        <w:r w:rsidRPr="0043655B">
          <w:rPr>
            <w:rStyle w:val="TextoNormalCaracter"/>
          </w:rPr>
          <w:t>51/2012</w:t>
        </w:r>
      </w:hyperlink>
      <w:r>
        <w:t xml:space="preserve">, f. 6; </w:t>
      </w:r>
      <w:hyperlink w:anchor="SENTENCIA_2012_69" w:history="1">
        <w:r w:rsidRPr="0043655B">
          <w:rPr>
            <w:rStyle w:val="TextoNormalCaracter"/>
          </w:rPr>
          <w:t>69/2012</w:t>
        </w:r>
      </w:hyperlink>
      <w:r>
        <w:t xml:space="preserve">, f. 7; </w:t>
      </w:r>
      <w:hyperlink w:anchor="SENTENCIA_2012_92" w:history="1">
        <w:r w:rsidRPr="0043655B">
          <w:rPr>
            <w:rStyle w:val="TextoNormalCaracter"/>
          </w:rPr>
          <w:t>92/2012</w:t>
        </w:r>
      </w:hyperlink>
      <w:r>
        <w:t>, f. 5.</w:t>
      </w:r>
    </w:p>
    <w:p w:rsidR="0043655B" w:rsidRDefault="0043655B" w:rsidP="0043655B">
      <w:pPr>
        <w:pStyle w:val="SangriaFrancesaArticulo"/>
      </w:pPr>
      <w:r w:rsidRPr="0043655B">
        <w:rPr>
          <w:rStyle w:val="TextoNormalNegritaCaracter"/>
        </w:rPr>
        <w:t>Artículo 109.</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110.</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 </w:t>
      </w:r>
      <w:hyperlink w:anchor="SENTENCIA_2012_61" w:history="1">
        <w:r w:rsidRPr="0043655B">
          <w:rPr>
            <w:rStyle w:val="TextoNormalCaracter"/>
          </w:rPr>
          <w:t>61/2012</w:t>
        </w:r>
      </w:hyperlink>
      <w:r>
        <w:t>, f. 6.</w:t>
      </w:r>
    </w:p>
    <w:p w:rsidR="0043655B" w:rsidRDefault="0043655B" w:rsidP="0043655B">
      <w:pPr>
        <w:pStyle w:val="SangriaFrancesaArticulo"/>
      </w:pPr>
      <w:r w:rsidRPr="0043655B">
        <w:rPr>
          <w:rStyle w:val="TextoNormalNegritaCaracter"/>
        </w:rPr>
        <w:t>Artículo 166.</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166.1.</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166.2.</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175.</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544 ter.</w:t>
      </w:r>
      <w:r w:rsidRPr="0043655B">
        <w:rPr>
          <w:rStyle w:val="TextoNormalCaracter"/>
        </w:rPr>
        <w:t>-</w:t>
      </w:r>
      <w:r>
        <w:t xml:space="preserve"> Sentencia </w:t>
      </w:r>
      <w:hyperlink w:anchor="SENTENCIA_2012_16" w:history="1">
        <w:r w:rsidRPr="0043655B">
          <w:rPr>
            <w:rStyle w:val="TextoNormalCaracter"/>
          </w:rPr>
          <w:t>16/2012</w:t>
        </w:r>
      </w:hyperlink>
      <w:r>
        <w:t>, f. 5.</w:t>
      </w:r>
    </w:p>
    <w:p w:rsidR="0043655B" w:rsidRDefault="0043655B" w:rsidP="0043655B">
      <w:pPr>
        <w:pStyle w:val="SangriaFrancesaArticulo"/>
      </w:pPr>
      <w:r w:rsidRPr="0043655B">
        <w:rPr>
          <w:rStyle w:val="TextoNormalNegritaCaracter"/>
        </w:rPr>
        <w:t>Artículo 764.4.</w:t>
      </w:r>
      <w:r w:rsidRPr="0043655B">
        <w:rPr>
          <w:rStyle w:val="TextoNormalCaracter"/>
        </w:rPr>
        <w:t>-</w:t>
      </w:r>
      <w:r>
        <w:t xml:space="preserve"> Auto </w:t>
      </w:r>
      <w:hyperlink w:anchor="AUTO_2012_127" w:history="1">
        <w:r w:rsidRPr="0043655B">
          <w:rPr>
            <w:rStyle w:val="TextoNormalCaracter"/>
          </w:rPr>
          <w:t>127/2012</w:t>
        </w:r>
      </w:hyperlink>
      <w:r>
        <w:t>.</w:t>
      </w:r>
    </w:p>
    <w:p w:rsidR="0043655B" w:rsidRDefault="0043655B" w:rsidP="0043655B">
      <w:pPr>
        <w:pStyle w:val="SangriaFrancesaArticulo"/>
      </w:pPr>
      <w:r w:rsidRPr="0043655B">
        <w:rPr>
          <w:rStyle w:val="TextoNormalNegritaCaracter"/>
        </w:rPr>
        <w:t>Artículo 796.3.</w:t>
      </w:r>
      <w:r w:rsidRPr="0043655B">
        <w:rPr>
          <w:rStyle w:val="TextoNormalCaracter"/>
        </w:rPr>
        <w:t>-</w:t>
      </w:r>
      <w:r>
        <w:t xml:space="preserve"> Sentencia </w:t>
      </w:r>
      <w:hyperlink w:anchor="SENTENCIA_2012_97" w:history="1">
        <w:r w:rsidRPr="0043655B">
          <w:rPr>
            <w:rStyle w:val="TextoNormalCaracter"/>
          </w:rPr>
          <w:t>97/2012</w:t>
        </w:r>
      </w:hyperlink>
      <w:r>
        <w:t>, f. 3.</w:t>
      </w:r>
    </w:p>
    <w:p w:rsidR="0043655B" w:rsidRDefault="0043655B" w:rsidP="0043655B">
      <w:pPr>
        <w:pStyle w:val="SangriaFrancesaArticulo"/>
      </w:pPr>
      <w:r w:rsidRPr="0043655B">
        <w:rPr>
          <w:rStyle w:val="TextoNormalNegritaCaracter"/>
        </w:rPr>
        <w:t>Artículo 849.1.</w:t>
      </w:r>
      <w:r w:rsidRPr="0043655B">
        <w:rPr>
          <w:rStyle w:val="TextoNormalCaracter"/>
        </w:rPr>
        <w:t>-</w:t>
      </w:r>
      <w:r>
        <w:t xml:space="preserve"> Sentencia </w:t>
      </w:r>
      <w:hyperlink w:anchor="SENTENCIA_2012_61" w:history="1">
        <w:r w:rsidRPr="0043655B">
          <w:rPr>
            <w:rStyle w:val="TextoNormalCaracter"/>
          </w:rPr>
          <w:t>61/2012</w:t>
        </w:r>
      </w:hyperlink>
      <w:r>
        <w:t>, f. 6.</w:t>
      </w:r>
    </w:p>
    <w:p w:rsidR="0043655B" w:rsidRDefault="0043655B" w:rsidP="0043655B">
      <w:pPr>
        <w:pStyle w:val="SangriaFrancesaArticulo"/>
      </w:pPr>
      <w:r w:rsidRPr="0043655B">
        <w:rPr>
          <w:rStyle w:val="TextoNormalNegritaCaracter"/>
        </w:rPr>
        <w:t>Artículo 962.</w:t>
      </w:r>
      <w:r w:rsidRPr="0043655B">
        <w:rPr>
          <w:rStyle w:val="TextoNormalCaracter"/>
        </w:rPr>
        <w:t>-</w:t>
      </w:r>
      <w:r>
        <w:t xml:space="preserve"> Sentencia </w:t>
      </w:r>
      <w:hyperlink w:anchor="SENTENCIA_2012_97" w:history="1">
        <w:r w:rsidRPr="0043655B">
          <w:rPr>
            <w:rStyle w:val="TextoNormalCaracter"/>
          </w:rPr>
          <w:t>97/2012</w:t>
        </w:r>
      </w:hyperlink>
      <w:r>
        <w:t>, ff. 2 a 4.</w:t>
      </w:r>
    </w:p>
    <w:p w:rsidR="0043655B" w:rsidRDefault="0043655B" w:rsidP="0043655B">
      <w:pPr>
        <w:pStyle w:val="SangriaFrancesaArticulo"/>
      </w:pPr>
      <w:r w:rsidRPr="0043655B">
        <w:rPr>
          <w:rStyle w:val="TextoNormalNegritaCaracter"/>
        </w:rPr>
        <w:t>Artículo 962.2.</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967.1.</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967.2.</w:t>
      </w:r>
      <w:r w:rsidRPr="0043655B">
        <w:rPr>
          <w:rStyle w:val="TextoNormalCaracter"/>
        </w:rPr>
        <w:t>-</w:t>
      </w:r>
      <w:r>
        <w:t xml:space="preserve"> Sentencia </w:t>
      </w:r>
      <w:hyperlink w:anchor="SENTENCIA_2012_97" w:history="1">
        <w:r w:rsidRPr="0043655B">
          <w:rPr>
            <w:rStyle w:val="TextoNormalCaracter"/>
          </w:rPr>
          <w:t>97/2012</w:t>
        </w:r>
      </w:hyperlink>
      <w:r>
        <w:t>, f. 4.</w:t>
      </w:r>
    </w:p>
    <w:p w:rsidR="0043655B" w:rsidRDefault="0043655B" w:rsidP="0043655B">
      <w:pPr>
        <w:pStyle w:val="SangriaFrancesaArticulo"/>
      </w:pPr>
      <w:r w:rsidRPr="0043655B">
        <w:rPr>
          <w:rStyle w:val="TextoNormalNegritaCaracter"/>
        </w:rPr>
        <w:t>Artículo 988.</w:t>
      </w:r>
      <w:r w:rsidRPr="0043655B">
        <w:rPr>
          <w:rStyle w:val="TextoNormalCaracter"/>
        </w:rPr>
        <w:t>-</w:t>
      </w:r>
      <w:r>
        <w:t xml:space="preserve"> Sentencias </w:t>
      </w:r>
      <w:hyperlink w:anchor="SENTENCIA_2012_40" w:history="1">
        <w:r w:rsidRPr="0043655B">
          <w:rPr>
            <w:rStyle w:val="TextoNormalCaracter"/>
          </w:rPr>
          <w:t>40/2012</w:t>
        </w:r>
      </w:hyperlink>
      <w:r>
        <w:t xml:space="preserve">, ff. 9, 10; </w:t>
      </w:r>
      <w:hyperlink w:anchor="SENTENCIA_2012_41" w:history="1">
        <w:r w:rsidRPr="0043655B">
          <w:rPr>
            <w:rStyle w:val="TextoNormalCaracter"/>
          </w:rPr>
          <w:t>41/2012</w:t>
        </w:r>
      </w:hyperlink>
      <w:r>
        <w:t xml:space="preserve">, ff. 2, 6, 9;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ff. 4, 7, 8; </w:t>
      </w:r>
      <w:hyperlink w:anchor="SENTENCIA_2012_44" w:history="1">
        <w:r w:rsidRPr="0043655B">
          <w:rPr>
            <w:rStyle w:val="TextoNormalCaracter"/>
          </w:rPr>
          <w:t>44/2012</w:t>
        </w:r>
      </w:hyperlink>
      <w:r>
        <w:t xml:space="preserve">, ff. 3, 5, 6; </w:t>
      </w:r>
      <w:hyperlink w:anchor="SENTENCIA_2012_45" w:history="1">
        <w:r w:rsidRPr="0043655B">
          <w:rPr>
            <w:rStyle w:val="TextoNormalCaracter"/>
          </w:rPr>
          <w:t>45/2012</w:t>
        </w:r>
      </w:hyperlink>
      <w:r>
        <w:t xml:space="preserve">, ff. 3, 6; </w:t>
      </w:r>
      <w:hyperlink w:anchor="SENTENCIA_2012_46" w:history="1">
        <w:r w:rsidRPr="0043655B">
          <w:rPr>
            <w:rStyle w:val="TextoNormalCaracter"/>
          </w:rPr>
          <w:t>46/2012</w:t>
        </w:r>
      </w:hyperlink>
      <w:r>
        <w:t xml:space="preserve">, ff. 4, 7, 8; </w:t>
      </w:r>
      <w:hyperlink w:anchor="SENTENCIA_2012_48" w:history="1">
        <w:r w:rsidRPr="0043655B">
          <w:rPr>
            <w:rStyle w:val="TextoNormalCaracter"/>
          </w:rPr>
          <w:t>48/2012</w:t>
        </w:r>
      </w:hyperlink>
      <w:r>
        <w:t xml:space="preserve">, f. 7; </w:t>
      </w:r>
      <w:hyperlink w:anchor="SENTENCIA_2012_50" w:history="1">
        <w:r w:rsidRPr="0043655B">
          <w:rPr>
            <w:rStyle w:val="TextoNormalCaracter"/>
          </w:rPr>
          <w:t>50/2012</w:t>
        </w:r>
      </w:hyperlink>
      <w:r>
        <w:t xml:space="preserve">, f. 6; </w:t>
      </w:r>
      <w:hyperlink w:anchor="SENTENCIA_2012_51" w:history="1">
        <w:r w:rsidRPr="0043655B">
          <w:rPr>
            <w:rStyle w:val="TextoNormalCaracter"/>
          </w:rPr>
          <w:t>51/2012</w:t>
        </w:r>
      </w:hyperlink>
      <w:r>
        <w:t xml:space="preserve">, ff. 4, 6, 7; </w:t>
      </w:r>
      <w:hyperlink w:anchor="SENTENCIA_2012_52" w:history="1">
        <w:r w:rsidRPr="0043655B">
          <w:rPr>
            <w:rStyle w:val="TextoNormalCaracter"/>
          </w:rPr>
          <w:t>52/2012</w:t>
        </w:r>
      </w:hyperlink>
      <w:r>
        <w:t xml:space="preserve">, ff. 3, 6;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ff. 4, 8; </w:t>
      </w:r>
      <w:hyperlink w:anchor="SENTENCIA_2012_55" w:history="1">
        <w:r w:rsidRPr="0043655B">
          <w:rPr>
            <w:rStyle w:val="TextoNormalCaracter"/>
          </w:rPr>
          <w:t>55/2012</w:t>
        </w:r>
      </w:hyperlink>
      <w:r>
        <w:t xml:space="preserve">, f. 2; </w:t>
      </w:r>
      <w:hyperlink w:anchor="SENTENCIA_2012_56" w:history="1">
        <w:r w:rsidRPr="0043655B">
          <w:rPr>
            <w:rStyle w:val="TextoNormalCaracter"/>
          </w:rPr>
          <w:t>56/2012</w:t>
        </w:r>
      </w:hyperlink>
      <w:r>
        <w:t xml:space="preserve">, ff. 2, 5; </w:t>
      </w:r>
      <w:hyperlink w:anchor="SENTENCIA_2012_58" w:history="1">
        <w:r w:rsidRPr="0043655B">
          <w:rPr>
            <w:rStyle w:val="TextoNormalCaracter"/>
          </w:rPr>
          <w:t>58/2012</w:t>
        </w:r>
      </w:hyperlink>
      <w:r>
        <w:t xml:space="preserve">, f. 3; </w:t>
      </w:r>
      <w:hyperlink w:anchor="SENTENCIA_2012_59" w:history="1">
        <w:r w:rsidRPr="0043655B">
          <w:rPr>
            <w:rStyle w:val="TextoNormalCaracter"/>
          </w:rPr>
          <w:t>59/2012</w:t>
        </w:r>
      </w:hyperlink>
      <w:r>
        <w:t xml:space="preserve">, ff. 4, 5; </w:t>
      </w:r>
      <w:hyperlink w:anchor="SENTENCIA_2012_60" w:history="1">
        <w:r w:rsidRPr="0043655B">
          <w:rPr>
            <w:rStyle w:val="TextoNormalCaracter"/>
          </w:rPr>
          <w:t>60/2012</w:t>
        </w:r>
      </w:hyperlink>
      <w:r>
        <w:t xml:space="preserve">, f. 3; </w:t>
      </w:r>
      <w:hyperlink w:anchor="SENTENCIA_2012_61" w:history="1">
        <w:r w:rsidRPr="0043655B">
          <w:rPr>
            <w:rStyle w:val="TextoNormalCaracter"/>
          </w:rPr>
          <w:t>61/2012</w:t>
        </w:r>
      </w:hyperlink>
      <w:r>
        <w:t xml:space="preserve">, f. 6; </w:t>
      </w:r>
      <w:hyperlink w:anchor="SENTENCIA_2012_63" w:history="1">
        <w:r w:rsidRPr="0043655B">
          <w:rPr>
            <w:rStyle w:val="TextoNormalCaracter"/>
          </w:rPr>
          <w:t>63/2012</w:t>
        </w:r>
      </w:hyperlink>
      <w:r>
        <w:t xml:space="preserve">, f. 3; </w:t>
      </w:r>
      <w:hyperlink w:anchor="SENTENCIA_2012_64" w:history="1">
        <w:r w:rsidRPr="0043655B">
          <w:rPr>
            <w:rStyle w:val="TextoNormalCaracter"/>
          </w:rPr>
          <w:t>64/2012</w:t>
        </w:r>
      </w:hyperlink>
      <w:r>
        <w:t xml:space="preserve">, ff. 6, 7; </w:t>
      </w:r>
      <w:hyperlink w:anchor="SENTENCIA_2012_66" w:history="1">
        <w:r w:rsidRPr="0043655B">
          <w:rPr>
            <w:rStyle w:val="TextoNormalCaracter"/>
          </w:rPr>
          <w:t>66/2012</w:t>
        </w:r>
      </w:hyperlink>
      <w:r>
        <w:t xml:space="preserve">, ff. 3, 5; </w:t>
      </w:r>
      <w:hyperlink w:anchor="SENTENCIA_2012_67" w:history="1">
        <w:r w:rsidRPr="0043655B">
          <w:rPr>
            <w:rStyle w:val="TextoNormalCaracter"/>
          </w:rPr>
          <w:t>67/2012</w:t>
        </w:r>
      </w:hyperlink>
      <w:r>
        <w:t xml:space="preserve">, f. 7; </w:t>
      </w:r>
      <w:hyperlink w:anchor="SENTENCIA_2012_68" w:history="1">
        <w:r w:rsidRPr="0043655B">
          <w:rPr>
            <w:rStyle w:val="TextoNormalCaracter"/>
          </w:rPr>
          <w:t>68/2012</w:t>
        </w:r>
      </w:hyperlink>
      <w:r>
        <w:t xml:space="preserve">, ff. 3, 6; </w:t>
      </w:r>
      <w:hyperlink w:anchor="SENTENCIA_2012_69" w:history="1">
        <w:r w:rsidRPr="0043655B">
          <w:rPr>
            <w:rStyle w:val="TextoNormalCaracter"/>
          </w:rPr>
          <w:t>69/2012</w:t>
        </w:r>
      </w:hyperlink>
      <w:r>
        <w:t xml:space="preserve">, f. 7; </w:t>
      </w:r>
      <w:hyperlink w:anchor="SENTENCIA_2012_108" w:history="1">
        <w:r w:rsidRPr="0043655B">
          <w:rPr>
            <w:rStyle w:val="TextoNormalCaracter"/>
          </w:rPr>
          <w:t>108/2012</w:t>
        </w:r>
      </w:hyperlink>
      <w:r>
        <w:t xml:space="preserve">, ff. 3, 4; </w:t>
      </w:r>
      <w:hyperlink w:anchor="SENTENCIA_2012_128" w:history="1">
        <w:r w:rsidRPr="0043655B">
          <w:rPr>
            <w:rStyle w:val="TextoNormalCaracter"/>
          </w:rPr>
          <w:t>128/2012</w:t>
        </w:r>
      </w:hyperlink>
      <w:r>
        <w:t>, f. 3.</w:t>
      </w:r>
    </w:p>
    <w:p w:rsidR="0043655B" w:rsidRDefault="0043655B" w:rsidP="0043655B">
      <w:pPr>
        <w:pStyle w:val="SangriaFrancesaArticulo"/>
      </w:pPr>
    </w:p>
    <w:p w:rsidR="0043655B" w:rsidRDefault="0043655B" w:rsidP="0043655B">
      <w:pPr>
        <w:pStyle w:val="TextoNormalNegritaCursivandice"/>
      </w:pPr>
      <w:r>
        <w:t>Real Decreto de 22 de agosto de 1885. Código de comercio</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26" w:history="1">
        <w:r w:rsidRPr="0043655B">
          <w:rPr>
            <w:rStyle w:val="TextoNormalCaracter"/>
          </w:rPr>
          <w:t>26/2012</w:t>
        </w:r>
      </w:hyperlink>
      <w:r>
        <w:t>, f. 4.</w:t>
      </w:r>
    </w:p>
    <w:p w:rsidR="0043655B" w:rsidRDefault="0043655B" w:rsidP="0043655B">
      <w:pPr>
        <w:pStyle w:val="SangriaFrancesaArticulo"/>
      </w:pPr>
      <w:r w:rsidRPr="0043655B">
        <w:rPr>
          <w:rStyle w:val="TextoNormalNegritaCaracter"/>
        </w:rPr>
        <w:t>Artículo 175.</w:t>
      </w:r>
      <w:r w:rsidRPr="0043655B">
        <w:rPr>
          <w:rStyle w:val="TextoNormalCaracter"/>
        </w:rPr>
        <w:t>-</w:t>
      </w:r>
      <w:r>
        <w:t xml:space="preserve"> Sentencia </w:t>
      </w:r>
      <w:hyperlink w:anchor="SENTENCIA_2012_26" w:history="1">
        <w:r w:rsidRPr="0043655B">
          <w:rPr>
            <w:rStyle w:val="TextoNormalCaracter"/>
          </w:rPr>
          <w:t>26/2012</w:t>
        </w:r>
      </w:hyperlink>
      <w:r>
        <w:t>, f. 4.</w:t>
      </w:r>
    </w:p>
    <w:p w:rsidR="0043655B" w:rsidRDefault="0043655B" w:rsidP="0043655B">
      <w:pPr>
        <w:pStyle w:val="SangriaFrancesaArticulo"/>
      </w:pPr>
    </w:p>
    <w:p w:rsidR="0043655B" w:rsidRDefault="0043655B" w:rsidP="0043655B">
      <w:pPr>
        <w:pStyle w:val="TextoNormalNegritaCursivandice"/>
      </w:pPr>
      <w:r>
        <w:t>Real Decreto de 24 de julio de 1889. Código civil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1" w:history="1">
        <w:r w:rsidRPr="0043655B">
          <w:rPr>
            <w:rStyle w:val="TextoNormalCaracter"/>
          </w:rPr>
          <w:t>21/2012</w:t>
        </w:r>
      </w:hyperlink>
      <w:r>
        <w:t xml:space="preserve">, f. 4; </w:t>
      </w:r>
      <w:hyperlink w:anchor="SENTENCIA_2012_28" w:history="1">
        <w:r w:rsidRPr="0043655B">
          <w:rPr>
            <w:rStyle w:val="TextoNormalCaracter"/>
          </w:rPr>
          <w:t>28/2012</w:t>
        </w:r>
      </w:hyperlink>
      <w:r>
        <w:t>, f. 1.</w:t>
      </w:r>
    </w:p>
    <w:p w:rsidR="0043655B" w:rsidRDefault="0043655B" w:rsidP="0043655B">
      <w:pPr>
        <w:pStyle w:val="SangriaFrancesaArticulo"/>
      </w:pPr>
      <w:r w:rsidRPr="0043655B">
        <w:rPr>
          <w:rStyle w:val="TextoNormalNegritaCaracter"/>
        </w:rPr>
        <w:t>Artículo 1.6.</w:t>
      </w:r>
      <w:r w:rsidRPr="0043655B">
        <w:rPr>
          <w:rStyle w:val="TextoNormalCaracter"/>
        </w:rPr>
        <w:t>-</w:t>
      </w:r>
      <w:r>
        <w:t xml:space="preserve"> Sentencias </w:t>
      </w:r>
      <w:hyperlink w:anchor="SENTENCIA_2012_37" w:history="1">
        <w:r w:rsidRPr="0043655B">
          <w:rPr>
            <w:rStyle w:val="TextoNormalCaracter"/>
          </w:rPr>
          <w:t>37/2012</w:t>
        </w:r>
      </w:hyperlink>
      <w:r>
        <w:t xml:space="preserve">, ff. 2 a 4, 7; </w:t>
      </w:r>
      <w:hyperlink w:anchor="SENTENCIA_2012_75" w:history="1">
        <w:r w:rsidRPr="0043655B">
          <w:rPr>
            <w:rStyle w:val="TextoNormalCaracter"/>
          </w:rPr>
          <w:t>75/2012</w:t>
        </w:r>
      </w:hyperlink>
      <w:r>
        <w:t xml:space="preserve">, f. 3; </w:t>
      </w:r>
      <w:hyperlink w:anchor="SENTENCIA_2012_91" w:history="1">
        <w:r w:rsidRPr="0043655B">
          <w:rPr>
            <w:rStyle w:val="TextoNormalCaracter"/>
          </w:rPr>
          <w:t>91/2012</w:t>
        </w:r>
      </w:hyperlink>
      <w:r>
        <w:t xml:space="preserve">, f. 3; </w:t>
      </w:r>
      <w:hyperlink w:anchor="SENTENCIA_2012_94" w:history="1">
        <w:r w:rsidRPr="0043655B">
          <w:rPr>
            <w:rStyle w:val="TextoNormalCaracter"/>
          </w:rPr>
          <w:t>94/2012</w:t>
        </w:r>
      </w:hyperlink>
      <w:r>
        <w:t>, f. 3.</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76" w:history="1">
        <w:r w:rsidRPr="0043655B">
          <w:rPr>
            <w:rStyle w:val="TextoNormalCaracter"/>
          </w:rPr>
          <w:t>76/2012</w:t>
        </w:r>
      </w:hyperlink>
      <w:r>
        <w:t>, f. 4.</w:t>
      </w:r>
    </w:p>
    <w:p w:rsidR="0043655B" w:rsidRDefault="0043655B" w:rsidP="0043655B">
      <w:pPr>
        <w:pStyle w:val="SangriaFrancesaArticulo"/>
      </w:pPr>
      <w:r w:rsidRPr="0043655B">
        <w:rPr>
          <w:rStyle w:val="TextoNormalNegritaCaracter"/>
        </w:rPr>
        <w:t>Artículo 92.5.</w:t>
      </w:r>
      <w:r w:rsidRPr="0043655B">
        <w:rPr>
          <w:rStyle w:val="TextoNormalCaracter"/>
        </w:rPr>
        <w:t>-</w:t>
      </w:r>
      <w:r>
        <w:t xml:space="preserve"> Auto </w:t>
      </w:r>
      <w:hyperlink w:anchor="AUTO_2012_31" w:history="1">
        <w:r w:rsidRPr="0043655B">
          <w:rPr>
            <w:rStyle w:val="TextoNormalCaracter"/>
          </w:rPr>
          <w:t>31/2012</w:t>
        </w:r>
      </w:hyperlink>
      <w:r>
        <w:t>.</w:t>
      </w:r>
    </w:p>
    <w:p w:rsidR="0043655B" w:rsidRDefault="0043655B" w:rsidP="0043655B">
      <w:pPr>
        <w:pStyle w:val="SangriaFrancesaArticulo"/>
      </w:pPr>
      <w:r w:rsidRPr="0043655B">
        <w:rPr>
          <w:rStyle w:val="TextoNormalNegritaCaracter"/>
        </w:rPr>
        <w:t>Artículo 92.8.</w:t>
      </w:r>
      <w:r w:rsidRPr="0043655B">
        <w:rPr>
          <w:rStyle w:val="TextoNormalCaracter"/>
        </w:rPr>
        <w:t>-</w:t>
      </w:r>
      <w:r>
        <w:t xml:space="preserve"> Auto </w:t>
      </w:r>
      <w:hyperlink w:anchor="AUTO_2012_31" w:history="1">
        <w:r w:rsidRPr="0043655B">
          <w:rPr>
            <w:rStyle w:val="TextoNormalCaracter"/>
          </w:rPr>
          <w:t>31/2012</w:t>
        </w:r>
      </w:hyperlink>
      <w:r>
        <w:t>.</w:t>
      </w:r>
    </w:p>
    <w:p w:rsidR="0043655B" w:rsidRDefault="0043655B" w:rsidP="0043655B">
      <w:pPr>
        <w:pStyle w:val="SangriaFrancesaArticulo"/>
      </w:pPr>
      <w:r w:rsidRPr="0043655B">
        <w:rPr>
          <w:rStyle w:val="TextoNormalNegritaCaracter"/>
        </w:rPr>
        <w:t>Artículo 396 párrafo 3.</w:t>
      </w:r>
      <w:r w:rsidRPr="0043655B">
        <w:rPr>
          <w:rStyle w:val="TextoNormalCaracter"/>
        </w:rPr>
        <w:t>-</w:t>
      </w:r>
      <w:r>
        <w:t xml:space="preserve"> Sentencia </w:t>
      </w:r>
      <w:hyperlink w:anchor="SENTENCIA_2012_28" w:history="1">
        <w:r w:rsidRPr="0043655B">
          <w:rPr>
            <w:rStyle w:val="TextoNormalCaracter"/>
          </w:rPr>
          <w:t>28/2012</w:t>
        </w:r>
      </w:hyperlink>
      <w:r>
        <w:t>, f. 5.</w:t>
      </w:r>
    </w:p>
    <w:p w:rsidR="0043655B" w:rsidRDefault="0043655B" w:rsidP="0043655B">
      <w:pPr>
        <w:pStyle w:val="SangriaFrancesaArticulo"/>
      </w:pPr>
      <w:r w:rsidRPr="0043655B">
        <w:rPr>
          <w:rStyle w:val="TextoNormalNegritaCaracter"/>
        </w:rPr>
        <w:t>Artículo 396, párrafo 3.</w:t>
      </w:r>
      <w:r w:rsidRPr="0043655B">
        <w:rPr>
          <w:rStyle w:val="TextoNormalCaracter"/>
        </w:rPr>
        <w:t>-</w:t>
      </w:r>
      <w:r>
        <w:t xml:space="preserve"> Sentencia </w:t>
      </w:r>
      <w:hyperlink w:anchor="SENTENCIA_2012_28" w:history="1">
        <w:r w:rsidRPr="0043655B">
          <w:rPr>
            <w:rStyle w:val="TextoNormalCaracter"/>
          </w:rPr>
          <w:t>28/2012</w:t>
        </w:r>
      </w:hyperlink>
      <w:r>
        <w:t>, f. 5.</w:t>
      </w:r>
    </w:p>
    <w:p w:rsidR="0043655B" w:rsidRDefault="0043655B" w:rsidP="0043655B">
      <w:pPr>
        <w:pStyle w:val="SangriaFrancesaArticulo"/>
      </w:pPr>
      <w:r w:rsidRPr="0043655B">
        <w:rPr>
          <w:rStyle w:val="TextoNormalNegritaCaracter"/>
        </w:rPr>
        <w:t>Artículo 1176.</w:t>
      </w:r>
      <w:r w:rsidRPr="0043655B">
        <w:rPr>
          <w:rStyle w:val="TextoNormalCaracter"/>
        </w:rPr>
        <w:t>-</w:t>
      </w:r>
      <w:r>
        <w:t xml:space="preserve"> Sentencia </w:t>
      </w:r>
      <w:hyperlink w:anchor="SENTENCIA_2012_11" w:history="1">
        <w:r w:rsidRPr="0043655B">
          <w:rPr>
            <w:rStyle w:val="TextoNormalCaracter"/>
          </w:rPr>
          <w:t>11/2012</w:t>
        </w:r>
      </w:hyperlink>
      <w:r>
        <w:t>, ff. 1, 4.</w:t>
      </w:r>
    </w:p>
    <w:p w:rsidR="0043655B" w:rsidRDefault="0043655B" w:rsidP="0043655B">
      <w:pPr>
        <w:pStyle w:val="SangriaFrancesaArticulo"/>
      </w:pPr>
      <w:r w:rsidRPr="0043655B">
        <w:rPr>
          <w:rStyle w:val="TextoNormalNegritaCaracter"/>
        </w:rPr>
        <w:lastRenderedPageBreak/>
        <w:t>Artículo 1176 párrafo 1.</w:t>
      </w:r>
      <w:r w:rsidRPr="0043655B">
        <w:rPr>
          <w:rStyle w:val="TextoNormalCaracter"/>
        </w:rPr>
        <w:t>-</w:t>
      </w:r>
      <w:r>
        <w:t xml:space="preserve"> Sentencia </w:t>
      </w:r>
      <w:hyperlink w:anchor="SENTENCIA_2012_11" w:history="1">
        <w:r w:rsidRPr="0043655B">
          <w:rPr>
            <w:rStyle w:val="TextoNormalCaracter"/>
          </w:rPr>
          <w:t>11/2012</w:t>
        </w:r>
      </w:hyperlink>
      <w:r>
        <w:t>, f. 4.</w:t>
      </w:r>
    </w:p>
    <w:p w:rsidR="0043655B" w:rsidRDefault="0043655B" w:rsidP="0043655B">
      <w:pPr>
        <w:pStyle w:val="SangriaFrancesaArticulo"/>
      </w:pPr>
      <w:r w:rsidRPr="0043655B">
        <w:rPr>
          <w:rStyle w:val="TextoNormalNegritaCaracter"/>
        </w:rPr>
        <w:t>Artículo 1176 párrafo 2.</w:t>
      </w:r>
      <w:r w:rsidRPr="0043655B">
        <w:rPr>
          <w:rStyle w:val="TextoNormalCaracter"/>
        </w:rPr>
        <w:t>-</w:t>
      </w:r>
      <w:r>
        <w:t xml:space="preserve"> Sentencia </w:t>
      </w:r>
      <w:hyperlink w:anchor="SENTENCIA_2012_11" w:history="1">
        <w:r w:rsidRPr="0043655B">
          <w:rPr>
            <w:rStyle w:val="TextoNormalCaracter"/>
          </w:rPr>
          <w:t>11/2012</w:t>
        </w:r>
      </w:hyperlink>
      <w:r>
        <w:t>, ff. 1, 4.</w:t>
      </w:r>
    </w:p>
    <w:p w:rsidR="0043655B" w:rsidRDefault="0043655B" w:rsidP="0043655B">
      <w:pPr>
        <w:pStyle w:val="SangriaFrancesaArticulo"/>
      </w:pPr>
      <w:r w:rsidRPr="0043655B">
        <w:rPr>
          <w:rStyle w:val="TextoNormalNegritaCaracter"/>
        </w:rPr>
        <w:t>Artículo 1274.</w:t>
      </w:r>
      <w:r w:rsidRPr="0043655B">
        <w:rPr>
          <w:rStyle w:val="TextoNormalCaracter"/>
        </w:rPr>
        <w:t>-</w:t>
      </w:r>
      <w:r>
        <w:t xml:space="preserve"> Sentencia </w:t>
      </w:r>
      <w:hyperlink w:anchor="SENTENCIA_2012_10" w:history="1">
        <w:r w:rsidRPr="0043655B">
          <w:rPr>
            <w:rStyle w:val="TextoNormalCaracter"/>
          </w:rPr>
          <w:t>10/2012</w:t>
        </w:r>
      </w:hyperlink>
      <w:r>
        <w:t>, ff. 3, 4.</w:t>
      </w:r>
    </w:p>
    <w:p w:rsidR="0043655B" w:rsidRDefault="0043655B" w:rsidP="0043655B">
      <w:pPr>
        <w:pStyle w:val="SangriaFrancesaArticulo"/>
      </w:pPr>
      <w:r w:rsidRPr="0043655B">
        <w:rPr>
          <w:rStyle w:val="TextoNormalNegritaCaracter"/>
        </w:rPr>
        <w:t>Artículo 1275.</w:t>
      </w:r>
      <w:r w:rsidRPr="0043655B">
        <w:rPr>
          <w:rStyle w:val="TextoNormalCaracter"/>
        </w:rPr>
        <w:t>-</w:t>
      </w:r>
      <w:r>
        <w:t xml:space="preserve"> Sentencia </w:t>
      </w:r>
      <w:hyperlink w:anchor="SENTENCIA_2012_10" w:history="1">
        <w:r w:rsidRPr="0043655B">
          <w:rPr>
            <w:rStyle w:val="TextoNormalCaracter"/>
          </w:rPr>
          <w:t>10/2012</w:t>
        </w:r>
      </w:hyperlink>
      <w:r>
        <w:t>, ff. 3, 4.</w:t>
      </w:r>
    </w:p>
    <w:p w:rsidR="0043655B" w:rsidRDefault="0043655B" w:rsidP="0043655B">
      <w:pPr>
        <w:pStyle w:val="SangriaFrancesaArticulo"/>
      </w:pPr>
      <w:r w:rsidRPr="0043655B">
        <w:rPr>
          <w:rStyle w:val="TextoNormalNegritaCaracter"/>
        </w:rPr>
        <w:t>Artículo 1316.</w:t>
      </w:r>
      <w:r w:rsidRPr="0043655B">
        <w:rPr>
          <w:rStyle w:val="TextoNormalCaracter"/>
        </w:rPr>
        <w:t>-</w:t>
      </w:r>
      <w:r>
        <w:t xml:space="preserve"> Sentencia </w:t>
      </w:r>
      <w:hyperlink w:anchor="SENTENCIA_2012_21" w:history="1">
        <w:r w:rsidRPr="0043655B">
          <w:rPr>
            <w:rStyle w:val="TextoNormalCaracter"/>
          </w:rPr>
          <w:t>21/2012</w:t>
        </w:r>
      </w:hyperlink>
      <w:r>
        <w:t>, f. 4.</w:t>
      </w:r>
    </w:p>
    <w:p w:rsidR="0043655B" w:rsidRDefault="0043655B" w:rsidP="0043655B">
      <w:pPr>
        <w:pStyle w:val="SangriaFrancesaArticulo"/>
      </w:pPr>
      <w:r w:rsidRPr="0043655B">
        <w:rPr>
          <w:rStyle w:val="TextoNormalNegritaCaracter"/>
        </w:rPr>
        <w:t>Artículo 1435.</w:t>
      </w:r>
      <w:r w:rsidRPr="0043655B">
        <w:rPr>
          <w:rStyle w:val="TextoNormalCaracter"/>
        </w:rPr>
        <w:t>-</w:t>
      </w:r>
      <w:r>
        <w:t xml:space="preserve"> Sentencia </w:t>
      </w:r>
      <w:hyperlink w:anchor="SENTENCIA_2012_21" w:history="1">
        <w:r w:rsidRPr="0043655B">
          <w:rPr>
            <w:rStyle w:val="TextoNormalCaracter"/>
          </w:rPr>
          <w:t>21/2012</w:t>
        </w:r>
      </w:hyperlink>
      <w:r>
        <w:t>, f. 4.</w:t>
      </w:r>
    </w:p>
    <w:p w:rsidR="0043655B" w:rsidRDefault="0043655B" w:rsidP="0043655B">
      <w:pPr>
        <w:pStyle w:val="SangriaFrancesaArticulo"/>
      </w:pPr>
      <w:r w:rsidRPr="0043655B">
        <w:rPr>
          <w:rStyle w:val="TextoNormalNegritaCaracter"/>
        </w:rPr>
        <w:t>Artículo 1911.</w:t>
      </w:r>
      <w:r w:rsidRPr="0043655B">
        <w:rPr>
          <w:rStyle w:val="TextoNormalCaracter"/>
        </w:rPr>
        <w:t>-</w:t>
      </w:r>
      <w:r>
        <w:t xml:space="preserve"> Sentencia </w:t>
      </w:r>
      <w:hyperlink w:anchor="SENTENCIA_2012_119" w:history="1">
        <w:r w:rsidRPr="0043655B">
          <w:rPr>
            <w:rStyle w:val="TextoNormalCaracter"/>
          </w:rPr>
          <w:t>119/2012</w:t>
        </w:r>
      </w:hyperlink>
      <w:r>
        <w:t>, f. 4.</w:t>
      </w:r>
    </w:p>
    <w:p w:rsidR="0043655B" w:rsidRDefault="0043655B" w:rsidP="0043655B">
      <w:pPr>
        <w:pStyle w:val="SangriaFrancesaArticulo"/>
      </w:pPr>
      <w:r w:rsidRPr="0043655B">
        <w:rPr>
          <w:rStyle w:val="TextoNormalNegritaCaracter"/>
        </w:rPr>
        <w:t>Artículo 1968.2.</w:t>
      </w:r>
      <w:r w:rsidRPr="0043655B">
        <w:rPr>
          <w:rStyle w:val="TextoNormalCaracter"/>
        </w:rPr>
        <w:t>-</w:t>
      </w:r>
      <w:r>
        <w:t xml:space="preserve"> Sentencia </w:t>
      </w:r>
      <w:hyperlink w:anchor="SENTENCIA_2012_25" w:history="1">
        <w:r w:rsidRPr="0043655B">
          <w:rPr>
            <w:rStyle w:val="TextoNormalCaracter"/>
          </w:rPr>
          <w:t>25/2012</w:t>
        </w:r>
      </w:hyperlink>
      <w:r>
        <w:t>, f. 4.</w:t>
      </w:r>
    </w:p>
    <w:p w:rsidR="0043655B" w:rsidRDefault="0043655B" w:rsidP="0043655B">
      <w:pPr>
        <w:pStyle w:val="SangriaFrancesaArticulo"/>
      </w:pPr>
      <w:r w:rsidRPr="0043655B">
        <w:rPr>
          <w:rStyle w:val="TextoNormalNegritaCaracter"/>
        </w:rPr>
        <w:t>Artículo 1969.</w:t>
      </w:r>
      <w:r w:rsidRPr="0043655B">
        <w:rPr>
          <w:rStyle w:val="TextoNormalCaracter"/>
        </w:rPr>
        <w:t>-</w:t>
      </w:r>
      <w:r>
        <w:t xml:space="preserve"> Sentencia </w:t>
      </w:r>
      <w:hyperlink w:anchor="SENTENCIA_2012_25" w:history="1">
        <w:r w:rsidRPr="0043655B">
          <w:rPr>
            <w:rStyle w:val="TextoNormalCaracter"/>
          </w:rPr>
          <w:t>25/2012</w:t>
        </w:r>
      </w:hyperlink>
      <w:r>
        <w:t>, f. 4.</w:t>
      </w:r>
    </w:p>
    <w:p w:rsidR="0043655B" w:rsidRDefault="0043655B" w:rsidP="0043655B">
      <w:pPr>
        <w:pStyle w:val="SangriaFrancesaArticulo"/>
      </w:pPr>
      <w:r w:rsidRPr="0043655B">
        <w:rPr>
          <w:rStyle w:val="TextoNormalNegritaCaracter"/>
        </w:rPr>
        <w:t>Artículo 1973.</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r w:rsidRPr="0043655B">
        <w:rPr>
          <w:rStyle w:val="TextoNormalNegritaCaracter"/>
        </w:rPr>
        <w:t>Artículo 1974.</w:t>
      </w:r>
      <w:r w:rsidRPr="0043655B">
        <w:rPr>
          <w:rStyle w:val="TextoNormalCaracter"/>
        </w:rPr>
        <w:t>-</w:t>
      </w:r>
      <w:r>
        <w:t xml:space="preserve"> Sentencia </w:t>
      </w:r>
      <w:hyperlink w:anchor="SENTENCIA_2012_25" w:history="1">
        <w:r w:rsidRPr="0043655B">
          <w:rPr>
            <w:rStyle w:val="TextoNormalCaracter"/>
          </w:rPr>
          <w:t>25/2012</w:t>
        </w:r>
      </w:hyperlink>
      <w:r>
        <w:t>, f. 4.</w:t>
      </w:r>
    </w:p>
    <w:p w:rsidR="0043655B" w:rsidRDefault="0043655B" w:rsidP="0043655B">
      <w:pPr>
        <w:pStyle w:val="SangriaFrancesaArticulo"/>
      </w:pPr>
    </w:p>
    <w:p w:rsidR="0043655B" w:rsidRDefault="0043655B" w:rsidP="0043655B">
      <w:pPr>
        <w:pStyle w:val="TextoNormalNegritaCursivandice"/>
      </w:pPr>
      <w:r>
        <w:t>Real Orden de 28 de marzo de 1923. Declaración monumento nacional el Real Monasterio de Sijena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 2, VP II.</w:t>
      </w:r>
    </w:p>
    <w:p w:rsidR="0043655B" w:rsidRDefault="0043655B" w:rsidP="0043655B">
      <w:pPr>
        <w:pStyle w:val="SangriaFrancesaArticulo"/>
      </w:pPr>
    </w:p>
    <w:p w:rsidR="0043655B" w:rsidRDefault="0043655B" w:rsidP="0043655B">
      <w:pPr>
        <w:pStyle w:val="TextoNormalNegritaCursivandice"/>
      </w:pPr>
      <w:r>
        <w:t>Real Decreto-ley 1404/1928, de 4 de agosto. Estatuto orgánico del Banco Hipotecario y de la Caja para el Fomento de la Pequeña Propiedad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9" w:history="1">
        <w:r w:rsidRPr="0043655B">
          <w:rPr>
            <w:rStyle w:val="TextoNormalCaracter"/>
          </w:rPr>
          <w:t>119/2012</w:t>
        </w:r>
      </w:hyperlink>
      <w:r>
        <w:t>, f. 9.</w:t>
      </w:r>
    </w:p>
    <w:p w:rsidR="0043655B" w:rsidRDefault="0043655B" w:rsidP="0043655B">
      <w:pPr>
        <w:pStyle w:val="SangriaFrancesaArticulo"/>
      </w:pPr>
      <w:r w:rsidRPr="0043655B">
        <w:rPr>
          <w:rStyle w:val="TextoNormalNegritaCaracter"/>
        </w:rPr>
        <w:t>Artículos 10 a 13.</w:t>
      </w:r>
      <w:r w:rsidRPr="0043655B">
        <w:rPr>
          <w:rStyle w:val="TextoNormalCaracter"/>
        </w:rPr>
        <w:t>-</w:t>
      </w:r>
      <w:r>
        <w:t xml:space="preserve"> Sentencia </w:t>
      </w:r>
      <w:hyperlink w:anchor="SENTENCIA_2012_119" w:history="1">
        <w:r w:rsidRPr="0043655B">
          <w:rPr>
            <w:rStyle w:val="TextoNormalCaracter"/>
          </w:rPr>
          <w:t>119/2012</w:t>
        </w:r>
      </w:hyperlink>
      <w:r>
        <w:t>, ff. 1, 6.</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119" w:history="1">
        <w:r w:rsidRPr="0043655B">
          <w:rPr>
            <w:rStyle w:val="TextoNormalCaracter"/>
          </w:rPr>
          <w:t>119/2012</w:t>
        </w:r>
      </w:hyperlink>
      <w:r>
        <w:t>, f. 6.</w:t>
      </w:r>
    </w:p>
    <w:p w:rsidR="0043655B" w:rsidRDefault="0043655B" w:rsidP="0043655B">
      <w:pPr>
        <w:pStyle w:val="SangriaFrancesaArticulo"/>
      </w:pPr>
    </w:p>
    <w:p w:rsidR="0043655B" w:rsidRDefault="0043655B" w:rsidP="0043655B">
      <w:pPr>
        <w:pStyle w:val="TextoNormalNegritaCursivandice"/>
      </w:pPr>
      <w:r>
        <w:t>Real Decreto de 3 de noviembre de 1928. Estatutos del Banco Hipotecario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9" w:history="1">
        <w:r w:rsidRPr="0043655B">
          <w:rPr>
            <w:rStyle w:val="TextoNormalCaracter"/>
          </w:rPr>
          <w:t>119/2012</w:t>
        </w:r>
      </w:hyperlink>
      <w:r>
        <w:t>, ff. 4, 7.</w:t>
      </w:r>
    </w:p>
    <w:p w:rsidR="0043655B" w:rsidRDefault="0043655B" w:rsidP="0043655B">
      <w:pPr>
        <w:pStyle w:val="SangriaFrancesaArticulo"/>
      </w:pPr>
    </w:p>
    <w:p w:rsidR="0043655B" w:rsidRDefault="0043655B" w:rsidP="0043655B">
      <w:pPr>
        <w:pStyle w:val="TextoNormalNegritaCursivandice"/>
      </w:pPr>
      <w:r>
        <w:t>Real Decreto, de 21 de diciembre de 1928. Estatuto de formación profesional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Decreto de 8 de mayo de 1931. El límite de 20.000 pesetas establecido en lo  civil para los juicios de menor cuantía, se extiende a la jurisdicción  contencioso-administrativa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7" w:history="1">
        <w:r w:rsidRPr="0043655B">
          <w:rPr>
            <w:rStyle w:val="TextoNormalCaracter"/>
          </w:rPr>
          <w:t>37/2012</w:t>
        </w:r>
      </w:hyperlink>
      <w:r>
        <w:t>, f. 3.</w:t>
      </w:r>
    </w:p>
    <w:p w:rsidR="0043655B" w:rsidRDefault="0043655B" w:rsidP="0043655B">
      <w:pPr>
        <w:pStyle w:val="SangriaFrancesaArticulo"/>
      </w:pPr>
    </w:p>
    <w:p w:rsidR="0043655B" w:rsidRDefault="0043655B" w:rsidP="0043655B">
      <w:pPr>
        <w:pStyle w:val="TextoNormalNegritaCursivandice"/>
      </w:pPr>
      <w:r>
        <w:t>Ley de 20 de diciembre de 1932. Establece contribución general sobre la renta</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19" w:history="1">
        <w:r w:rsidRPr="0043655B">
          <w:rPr>
            <w:rStyle w:val="TextoNormalCaracter"/>
          </w:rPr>
          <w:t>19/2012</w:t>
        </w:r>
      </w:hyperlink>
      <w:r>
        <w:t>, f. 8.</w:t>
      </w:r>
    </w:p>
    <w:p w:rsidR="0043655B" w:rsidRDefault="0043655B" w:rsidP="0043655B">
      <w:pPr>
        <w:pStyle w:val="SangriaFrancesaArticulo"/>
      </w:pPr>
    </w:p>
    <w:p w:rsidR="0043655B" w:rsidRDefault="0043655B" w:rsidP="0043655B">
      <w:pPr>
        <w:pStyle w:val="TextoNormalNegritaCursivandice"/>
      </w:pPr>
      <w:r>
        <w:t>Ley de 19 de julio de 1944. Texto refundido del Código penal de 1932</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f. 7; </w:t>
      </w:r>
      <w:hyperlink w:anchor="SENTENCIA_2012_41" w:history="1">
        <w:r w:rsidRPr="0043655B">
          <w:rPr>
            <w:rStyle w:val="TextoNormalCaracter"/>
          </w:rPr>
          <w:t>41/2012</w:t>
        </w:r>
      </w:hyperlink>
      <w:r>
        <w:t xml:space="preserve">, VP IV; </w:t>
      </w:r>
      <w:hyperlink w:anchor="SENTENCIA_2012_57" w:history="1">
        <w:r w:rsidRPr="0043655B">
          <w:rPr>
            <w:rStyle w:val="TextoNormalCaracter"/>
          </w:rPr>
          <w:t>57/2012</w:t>
        </w:r>
      </w:hyperlink>
      <w:r>
        <w:t>, f. 7.</w:t>
      </w:r>
    </w:p>
    <w:p w:rsidR="0043655B" w:rsidRDefault="0043655B" w:rsidP="0043655B">
      <w:pPr>
        <w:pStyle w:val="SangriaFrancesaArticulo"/>
      </w:pPr>
    </w:p>
    <w:p w:rsidR="0043655B" w:rsidRDefault="0043655B" w:rsidP="0043655B">
      <w:pPr>
        <w:pStyle w:val="TextoNormalNegritaCursivandice"/>
      </w:pPr>
      <w:r>
        <w:t>Decreto de 8 de febrero de 1946. Texto refundido de la Ley hipotecaria</w:t>
      </w:r>
    </w:p>
    <w:p w:rsidR="0043655B" w:rsidRDefault="0043655B" w:rsidP="0043655B">
      <w:pPr>
        <w:pStyle w:val="SangriaFrancesaArticulo"/>
      </w:pPr>
      <w:r w:rsidRPr="0043655B">
        <w:rPr>
          <w:rStyle w:val="TextoNormalNegritaCaracter"/>
        </w:rPr>
        <w:t>Artículo 118.</w:t>
      </w:r>
      <w:r w:rsidRPr="0043655B">
        <w:rPr>
          <w:rStyle w:val="TextoNormalCaracter"/>
        </w:rPr>
        <w:t>-</w:t>
      </w:r>
      <w:r>
        <w:t xml:space="preserve"> Sentencia </w:t>
      </w:r>
      <w:hyperlink w:anchor="SENTENCIA_2012_119" w:history="1">
        <w:r w:rsidRPr="0043655B">
          <w:rPr>
            <w:rStyle w:val="TextoNormalCaracter"/>
          </w:rPr>
          <w:t>119/2012</w:t>
        </w:r>
      </w:hyperlink>
      <w:r>
        <w:t>, ff. 4, 7, 8.</w:t>
      </w:r>
    </w:p>
    <w:p w:rsidR="0043655B" w:rsidRDefault="0043655B" w:rsidP="0043655B">
      <w:pPr>
        <w:pStyle w:val="SangriaFrancesaArticulo"/>
      </w:pPr>
    </w:p>
    <w:p w:rsidR="0043655B" w:rsidRDefault="0043655B" w:rsidP="0043655B">
      <w:pPr>
        <w:pStyle w:val="TextoNormalNegritaCursivandice"/>
      </w:pPr>
      <w:r>
        <w:t>Decreto de 2 de febrero de 1956. Reglamento de servicios de prisiones</w:t>
      </w:r>
    </w:p>
    <w:p w:rsidR="0043655B" w:rsidRDefault="0043655B" w:rsidP="0043655B">
      <w:pPr>
        <w:pStyle w:val="SangriaFrancesaArticulo"/>
      </w:pPr>
      <w:r w:rsidRPr="0043655B">
        <w:rPr>
          <w:rStyle w:val="TextoNormalNegritaCaracter"/>
        </w:rPr>
        <w:t>Artículo 66.</w:t>
      </w:r>
      <w:r w:rsidRPr="0043655B">
        <w:rPr>
          <w:rStyle w:val="TextoNormalCaracter"/>
        </w:rPr>
        <w:t>-</w:t>
      </w:r>
      <w:r>
        <w:t xml:space="preserve"> Sentencias </w:t>
      </w:r>
      <w:hyperlink w:anchor="SENTENCIA_2012_43" w:history="1">
        <w:r w:rsidRPr="0043655B">
          <w:rPr>
            <w:rStyle w:val="TextoNormalCaracter"/>
          </w:rPr>
          <w:t>43/2012</w:t>
        </w:r>
      </w:hyperlink>
      <w:r>
        <w:t xml:space="preserve">, f. 4; </w:t>
      </w:r>
      <w:hyperlink w:anchor="SENTENCIA_2012_46" w:history="1">
        <w:r w:rsidRPr="0043655B">
          <w:rPr>
            <w:rStyle w:val="TextoNormalCaracter"/>
          </w:rPr>
          <w:t>46/2012</w:t>
        </w:r>
      </w:hyperlink>
      <w:r>
        <w:t xml:space="preserve">, f. 4; </w:t>
      </w:r>
      <w:hyperlink w:anchor="SENTENCIA_2012_54" w:history="1">
        <w:r w:rsidRPr="0043655B">
          <w:rPr>
            <w:rStyle w:val="TextoNormalCaracter"/>
          </w:rPr>
          <w:t>54/2012</w:t>
        </w:r>
      </w:hyperlink>
      <w:r>
        <w:t xml:space="preserve">, f. 4; </w:t>
      </w:r>
      <w:hyperlink w:anchor="SENTENCIA_2012_57" w:history="1">
        <w:r w:rsidRPr="0043655B">
          <w:rPr>
            <w:rStyle w:val="TextoNormalCaracter"/>
          </w:rPr>
          <w:t>57/2012</w:t>
        </w:r>
      </w:hyperlink>
      <w:r>
        <w:t>, f. 3.</w:t>
      </w:r>
    </w:p>
    <w:p w:rsidR="0043655B" w:rsidRDefault="0043655B" w:rsidP="0043655B">
      <w:pPr>
        <w:pStyle w:val="SangriaFrancesaArticulo"/>
      </w:pPr>
    </w:p>
    <w:p w:rsidR="0043655B" w:rsidRDefault="0043655B" w:rsidP="0043655B">
      <w:pPr>
        <w:pStyle w:val="TextoNormalNegritaCursivandice"/>
      </w:pPr>
      <w:r>
        <w:t>Decreto de 23 de marzo de 1956. Instrucción general de loterías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3" w:history="1">
        <w:r w:rsidRPr="0043655B">
          <w:rPr>
            <w:rStyle w:val="TextoNormalCaracter"/>
          </w:rPr>
          <w:t>123/2012</w:t>
        </w:r>
      </w:hyperlink>
      <w:r>
        <w:t>, f. 6.</w:t>
      </w:r>
    </w:p>
    <w:p w:rsidR="0043655B" w:rsidRDefault="0043655B" w:rsidP="0043655B">
      <w:pPr>
        <w:pStyle w:val="SangriaFrancesaArticulo"/>
      </w:pPr>
    </w:p>
    <w:p w:rsidR="0043655B" w:rsidRDefault="0043655B" w:rsidP="0043655B">
      <w:pPr>
        <w:pStyle w:val="TextoNormalNegritaCursivandice"/>
      </w:pPr>
      <w:r>
        <w:t>Decreto de 27 de junio de 1957. Pago, renta y conservación del Hipódromo de Madrid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3" w:history="1">
        <w:r w:rsidRPr="0043655B">
          <w:rPr>
            <w:rStyle w:val="TextoNormalCaracter"/>
          </w:rPr>
          <w:t>123/2012</w:t>
        </w:r>
      </w:hyperlink>
      <w:r>
        <w:t>, f. 2.</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23" w:history="1">
        <w:r w:rsidRPr="0043655B">
          <w:rPr>
            <w:rStyle w:val="TextoNormalCaracter"/>
          </w:rPr>
          <w:t>123/2012</w:t>
        </w:r>
      </w:hyperlink>
      <w:r>
        <w:t>, f. 2.</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23" w:history="1">
        <w:r w:rsidRPr="0043655B">
          <w:rPr>
            <w:rStyle w:val="TextoNormalCaracter"/>
          </w:rPr>
          <w:t>123/2012</w:t>
        </w:r>
      </w:hyperlink>
      <w:r>
        <w:t>, f. 2.</w:t>
      </w:r>
    </w:p>
    <w:p w:rsidR="0043655B" w:rsidRDefault="0043655B" w:rsidP="0043655B">
      <w:pPr>
        <w:pStyle w:val="SangriaFrancesaArticulo"/>
      </w:pPr>
    </w:p>
    <w:p w:rsidR="0043655B" w:rsidRDefault="0043655B" w:rsidP="0043655B">
      <w:pPr>
        <w:pStyle w:val="TextoNormalNegritaCursivandice"/>
      </w:pPr>
      <w:r>
        <w:t>Ley de 26 de diciembre de 1958. Tasas y exacciones parafiscales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0" w:history="1">
        <w:r w:rsidRPr="0043655B">
          <w:rPr>
            <w:rStyle w:val="TextoNormalCaracter"/>
          </w:rPr>
          <w:t>20/2012</w:t>
        </w:r>
      </w:hyperlink>
      <w:r>
        <w:t>, f. 2.</w:t>
      </w:r>
    </w:p>
    <w:p w:rsidR="0043655B" w:rsidRDefault="0043655B" w:rsidP="0043655B">
      <w:pPr>
        <w:pStyle w:val="SangriaFrancesaArticulo"/>
      </w:pPr>
    </w:p>
    <w:p w:rsidR="0043655B" w:rsidRDefault="0043655B" w:rsidP="0043655B">
      <w:pPr>
        <w:pStyle w:val="TextoNormalNegritaCursivandice"/>
      </w:pPr>
      <w:r>
        <w:t>Decreto 1035/1959, de 18 de junio. Regulación de las tasas judiciales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0" w:history="1">
        <w:r w:rsidRPr="0043655B">
          <w:rPr>
            <w:rStyle w:val="TextoNormalCaracter"/>
          </w:rPr>
          <w:t>20/2012</w:t>
        </w:r>
      </w:hyperlink>
      <w:r>
        <w:t>, f. 2.</w:t>
      </w:r>
    </w:p>
    <w:p w:rsidR="0043655B" w:rsidRDefault="0043655B" w:rsidP="0043655B">
      <w:pPr>
        <w:pStyle w:val="SangriaFrancesaArticulo"/>
      </w:pPr>
    </w:p>
    <w:p w:rsidR="0043655B" w:rsidRDefault="0043655B" w:rsidP="0043655B">
      <w:pPr>
        <w:pStyle w:val="TextoNormalNegritaCursivandice"/>
      </w:pPr>
      <w:r>
        <w:t>Ley 230/1963, de 28 de diciembre. General tributaria</w:t>
      </w:r>
    </w:p>
    <w:p w:rsidR="0043655B" w:rsidRDefault="0043655B" w:rsidP="0043655B">
      <w:pPr>
        <w:pStyle w:val="SangriaFrancesaArticulo"/>
      </w:pPr>
      <w:r w:rsidRPr="0043655B">
        <w:rPr>
          <w:rStyle w:val="TextoNormalNegritaCaracter"/>
        </w:rPr>
        <w:t>Artículo 6</w:t>
      </w:r>
      <w:r>
        <w:t xml:space="preserve"> </w:t>
      </w:r>
      <w:r w:rsidRPr="0043655B">
        <w:rPr>
          <w:rStyle w:val="TextoNormalCaracter"/>
        </w:rPr>
        <w:t>(redactado por la Ley 58/2003, de 17 de diciembre)</w:t>
      </w:r>
      <w:r w:rsidRPr="0043655B">
        <w:rPr>
          <w:rStyle w:val="TextoNormalNegritaCaracter"/>
        </w:rPr>
        <w:t>.</w:t>
      </w:r>
      <w:r w:rsidRPr="0043655B">
        <w:rPr>
          <w:rStyle w:val="TextoNormalCaracter"/>
        </w:rPr>
        <w:t>-</w:t>
      </w:r>
      <w:r>
        <w:t xml:space="preserve"> Sentencia </w:t>
      </w:r>
      <w:hyperlink w:anchor="SENTENCIA_2012_20" w:history="1">
        <w:r w:rsidRPr="0043655B">
          <w:rPr>
            <w:rStyle w:val="TextoNormalCaracter"/>
          </w:rPr>
          <w:t>20/2012</w:t>
        </w:r>
      </w:hyperlink>
      <w:r>
        <w:t>, f. 11.</w:t>
      </w:r>
    </w:p>
    <w:p w:rsidR="0043655B" w:rsidRDefault="0043655B" w:rsidP="0043655B">
      <w:pPr>
        <w:pStyle w:val="SangriaFrancesaArticulo"/>
      </w:pPr>
      <w:r w:rsidRPr="0043655B">
        <w:rPr>
          <w:rStyle w:val="TextoNormalNegritaCaracter"/>
        </w:rPr>
        <w:t>Artículo 15.1</w:t>
      </w:r>
      <w:r>
        <w:t xml:space="preserve"> </w:t>
      </w:r>
      <w:r w:rsidRPr="0043655B">
        <w:rPr>
          <w:rStyle w:val="TextoNormalCaracter"/>
        </w:rPr>
        <w:t>(redactado por la Ley 58/2003, de 17 de diciembre)</w:t>
      </w:r>
      <w:r w:rsidRPr="0043655B">
        <w:rPr>
          <w:rStyle w:val="TextoNormalNegritaCaracter"/>
        </w:rPr>
        <w:t>.</w:t>
      </w:r>
      <w:r w:rsidRPr="0043655B">
        <w:rPr>
          <w:rStyle w:val="TextoNormalCaracter"/>
        </w:rPr>
        <w:t>-</w:t>
      </w:r>
      <w:r>
        <w:t xml:space="preserve"> Sentencia </w:t>
      </w:r>
      <w:hyperlink w:anchor="SENTENCIA_2012_20" w:history="1">
        <w:r w:rsidRPr="0043655B">
          <w:rPr>
            <w:rStyle w:val="TextoNormalCaracter"/>
          </w:rPr>
          <w:t>20/2012</w:t>
        </w:r>
      </w:hyperlink>
      <w:r>
        <w:t>, f. 11.</w:t>
      </w:r>
    </w:p>
    <w:p w:rsidR="0043655B" w:rsidRDefault="0043655B" w:rsidP="0043655B">
      <w:pPr>
        <w:pStyle w:val="SangriaFrancesaArticulo"/>
      </w:pPr>
      <w:r w:rsidRPr="0043655B">
        <w:rPr>
          <w:rStyle w:val="TextoNormalNegritaCaracter"/>
        </w:rPr>
        <w:t>Artículo 47.</w:t>
      </w:r>
      <w:r w:rsidRPr="0043655B">
        <w:rPr>
          <w:rStyle w:val="TextoNormalCaracter"/>
        </w:rPr>
        <w:t>-</w:t>
      </w:r>
      <w:r>
        <w:t xml:space="preserve"> Sentencia </w:t>
      </w:r>
      <w:hyperlink w:anchor="SENTENCIA_2012_35" w:history="1">
        <w:r w:rsidRPr="0043655B">
          <w:rPr>
            <w:rStyle w:val="TextoNormalCaracter"/>
          </w:rPr>
          <w:t>35/2012</w:t>
        </w:r>
      </w:hyperlink>
      <w:r>
        <w:t>, f. 10.</w:t>
      </w:r>
    </w:p>
    <w:p w:rsidR="0043655B" w:rsidRDefault="0043655B" w:rsidP="0043655B">
      <w:pPr>
        <w:pStyle w:val="SangriaFrancesaArticulo"/>
      </w:pPr>
      <w:r w:rsidRPr="0043655B">
        <w:rPr>
          <w:rStyle w:val="TextoNormalNegritaCaracter"/>
        </w:rPr>
        <w:t>Artículo 112</w:t>
      </w:r>
      <w:r>
        <w:t xml:space="preserve"> </w:t>
      </w:r>
      <w:r w:rsidRPr="0043655B">
        <w:rPr>
          <w:rStyle w:val="TextoNormalCaracter"/>
        </w:rPr>
        <w:t>(redactado por la Ley 58/2003, de 17 de diciembre)</w:t>
      </w:r>
      <w:r w:rsidRPr="0043655B">
        <w:rPr>
          <w:rStyle w:val="TextoNormalNegritaCaracter"/>
        </w:rPr>
        <w:t>.</w:t>
      </w:r>
      <w:r w:rsidRPr="0043655B">
        <w:rPr>
          <w:rStyle w:val="TextoNormalCaracter"/>
        </w:rPr>
        <w:t>-</w:t>
      </w:r>
      <w:r>
        <w:t xml:space="preserve"> Sentencia </w:t>
      </w:r>
      <w:hyperlink w:anchor="SENTENCIA_2012_20" w:history="1">
        <w:r w:rsidRPr="0043655B">
          <w:rPr>
            <w:rStyle w:val="TextoNormalCaracter"/>
          </w:rPr>
          <w:t>20/2012</w:t>
        </w:r>
      </w:hyperlink>
      <w:r>
        <w:t>, f. 6.</w:t>
      </w:r>
    </w:p>
    <w:p w:rsidR="0043655B" w:rsidRDefault="0043655B" w:rsidP="0043655B">
      <w:pPr>
        <w:pStyle w:val="SangriaFrancesaArticulo"/>
      </w:pPr>
    </w:p>
    <w:p w:rsidR="0043655B" w:rsidRDefault="0043655B" w:rsidP="0043655B">
      <w:pPr>
        <w:pStyle w:val="TextoNormalNegritaCursivandice"/>
      </w:pPr>
      <w:r>
        <w:t>Decreto 3059/1966, de 1 de diciembre. Texto refundido de tasas fiscales</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35" w:history="1">
        <w:r w:rsidRPr="0043655B">
          <w:rPr>
            <w:rStyle w:val="TextoNormalCaracter"/>
          </w:rPr>
          <w:t>35/2012</w:t>
        </w:r>
      </w:hyperlink>
      <w:r>
        <w:t>, ff. 6 a 8.</w:t>
      </w:r>
    </w:p>
    <w:p w:rsidR="0043655B" w:rsidRDefault="0043655B" w:rsidP="0043655B">
      <w:pPr>
        <w:pStyle w:val="SangriaFrancesaArticulo"/>
      </w:pPr>
      <w:r w:rsidRPr="0043655B">
        <w:rPr>
          <w:rStyle w:val="TextoNormalNegritaCaracter"/>
        </w:rPr>
        <w:t>Artículo 36</w:t>
      </w:r>
      <w:r>
        <w:t xml:space="preserve"> </w:t>
      </w:r>
      <w:r w:rsidRPr="0043655B">
        <w:rPr>
          <w:rStyle w:val="TextoNormalCaracter"/>
        </w:rPr>
        <w:t>(redactado por la Ley 13/2011, de 27 de mayo)</w:t>
      </w:r>
      <w:r w:rsidRPr="0043655B">
        <w:rPr>
          <w:rStyle w:val="TextoNormalNegritaCaracter"/>
        </w:rPr>
        <w:t>.</w:t>
      </w:r>
      <w:r w:rsidRPr="0043655B">
        <w:rPr>
          <w:rStyle w:val="TextoNormalCaracter"/>
        </w:rPr>
        <w:t>-</w:t>
      </w:r>
      <w:r>
        <w:t xml:space="preserve"> Sentencia </w:t>
      </w:r>
      <w:hyperlink w:anchor="SENTENCIA_2012_35" w:history="1">
        <w:r w:rsidRPr="0043655B">
          <w:rPr>
            <w:rStyle w:val="TextoNormalCaracter"/>
          </w:rPr>
          <w:t>35/2012</w:t>
        </w:r>
      </w:hyperlink>
      <w:r>
        <w:t>, ff. 2, 7.</w:t>
      </w:r>
    </w:p>
    <w:p w:rsidR="0043655B" w:rsidRDefault="0043655B" w:rsidP="0043655B">
      <w:pPr>
        <w:pStyle w:val="SangriaFrancesaArticulo"/>
      </w:pPr>
      <w:r w:rsidRPr="0043655B">
        <w:rPr>
          <w:rStyle w:val="TextoNormalNegritaCaracter"/>
        </w:rPr>
        <w:t>Artículo 36</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35" w:history="1">
        <w:r w:rsidRPr="0043655B">
          <w:rPr>
            <w:rStyle w:val="TextoNormalCaracter"/>
          </w:rPr>
          <w:t>35/2012</w:t>
        </w:r>
      </w:hyperlink>
      <w:r>
        <w:t>, ff. 1, 7, 10.</w:t>
      </w:r>
    </w:p>
    <w:p w:rsidR="0043655B" w:rsidRDefault="0043655B" w:rsidP="0043655B">
      <w:pPr>
        <w:pStyle w:val="SangriaFrancesaArticulo"/>
      </w:pPr>
      <w:r w:rsidRPr="0043655B">
        <w:rPr>
          <w:rStyle w:val="TextoNormalNegritaCaracter"/>
        </w:rPr>
        <w:t>Artículo 36</w:t>
      </w:r>
      <w:r>
        <w:t xml:space="preserve"> </w:t>
      </w:r>
      <w:r w:rsidRPr="0043655B">
        <w:rPr>
          <w:rStyle w:val="TextoNormalCaracter"/>
        </w:rPr>
        <w:t>(redactado por la Ley 53/2002, de 30 de diciembre)</w:t>
      </w:r>
      <w:r w:rsidRPr="0043655B">
        <w:rPr>
          <w:rStyle w:val="TextoNormalNegritaCaracter"/>
        </w:rPr>
        <w:t>.</w:t>
      </w:r>
      <w:r w:rsidRPr="0043655B">
        <w:rPr>
          <w:rStyle w:val="TextoNormalCaracter"/>
        </w:rPr>
        <w:t>-</w:t>
      </w:r>
      <w:r>
        <w:t xml:space="preserve"> Sentencia </w:t>
      </w:r>
      <w:hyperlink w:anchor="SENTENCIA_2012_35" w:history="1">
        <w:r w:rsidRPr="0043655B">
          <w:rPr>
            <w:rStyle w:val="TextoNormalCaracter"/>
          </w:rPr>
          <w:t>35/2012</w:t>
        </w:r>
      </w:hyperlink>
      <w:r>
        <w:t>, ff. 2, 7.</w:t>
      </w:r>
    </w:p>
    <w:p w:rsidR="0043655B" w:rsidRDefault="0043655B" w:rsidP="0043655B">
      <w:pPr>
        <w:pStyle w:val="SangriaFrancesaArticulo"/>
      </w:pPr>
      <w:r w:rsidRPr="0043655B">
        <w:rPr>
          <w:rStyle w:val="TextoNormalNegritaCaracter"/>
        </w:rPr>
        <w:t>Artículo 38.</w:t>
      </w:r>
      <w:r w:rsidRPr="0043655B">
        <w:rPr>
          <w:rStyle w:val="TextoNormalCaracter"/>
        </w:rPr>
        <w:t>-</w:t>
      </w:r>
      <w:r>
        <w:t xml:space="preserve"> Sentencia </w:t>
      </w:r>
      <w:hyperlink w:anchor="SENTENCIA_2012_35" w:history="1">
        <w:r w:rsidRPr="0043655B">
          <w:rPr>
            <w:rStyle w:val="TextoNormalCaracter"/>
          </w:rPr>
          <w:t>35/2012</w:t>
        </w:r>
      </w:hyperlink>
      <w:r>
        <w:t>, f. 8.</w:t>
      </w:r>
    </w:p>
    <w:p w:rsidR="0043655B" w:rsidRDefault="0043655B" w:rsidP="0043655B">
      <w:pPr>
        <w:pStyle w:val="SangriaFrancesaArticulo"/>
      </w:pPr>
      <w:r w:rsidRPr="0043655B">
        <w:rPr>
          <w:rStyle w:val="TextoNormalNegritaCaracter"/>
        </w:rPr>
        <w:t>Artículo 38.2.</w:t>
      </w:r>
      <w:r w:rsidRPr="0043655B">
        <w:rPr>
          <w:rStyle w:val="TextoNormalCaracter"/>
        </w:rPr>
        <w:t>-</w:t>
      </w:r>
      <w:r>
        <w:t xml:space="preserve"> Sentencia </w:t>
      </w:r>
      <w:hyperlink w:anchor="SENTENCIA_2012_35" w:history="1">
        <w:r w:rsidRPr="0043655B">
          <w:rPr>
            <w:rStyle w:val="TextoNormalCaracter"/>
          </w:rPr>
          <w:t>35/2012</w:t>
        </w:r>
      </w:hyperlink>
      <w:r>
        <w:t>, f. 1.</w:t>
      </w:r>
    </w:p>
    <w:p w:rsidR="0043655B" w:rsidRDefault="0043655B" w:rsidP="0043655B">
      <w:pPr>
        <w:pStyle w:val="SangriaFrancesaArticulo"/>
      </w:pPr>
      <w:r w:rsidRPr="0043655B">
        <w:rPr>
          <w:rStyle w:val="TextoNormalNegritaCaracter"/>
        </w:rPr>
        <w:t>Artículo 38.2</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35" w:history="1">
        <w:r w:rsidRPr="0043655B">
          <w:rPr>
            <w:rStyle w:val="TextoNormalCaracter"/>
          </w:rPr>
          <w:t>35/2012</w:t>
        </w:r>
      </w:hyperlink>
      <w:r>
        <w:t>, f. 10.</w:t>
      </w:r>
    </w:p>
    <w:p w:rsidR="0043655B" w:rsidRDefault="0043655B" w:rsidP="0043655B">
      <w:pPr>
        <w:pStyle w:val="SangriaFrancesaArticulo"/>
      </w:pPr>
      <w:r w:rsidRPr="0043655B">
        <w:rPr>
          <w:rStyle w:val="TextoNormalNegritaCaracter"/>
        </w:rPr>
        <w:t>Artículo 38.4.</w:t>
      </w:r>
      <w:r w:rsidRPr="0043655B">
        <w:rPr>
          <w:rStyle w:val="TextoNormalCaracter"/>
        </w:rPr>
        <w:t>-</w:t>
      </w:r>
      <w:r>
        <w:t xml:space="preserve"> Sentencia </w:t>
      </w:r>
      <w:hyperlink w:anchor="SENTENCIA_2012_35" w:history="1">
        <w:r w:rsidRPr="0043655B">
          <w:rPr>
            <w:rStyle w:val="TextoNormalCaracter"/>
          </w:rPr>
          <w:t>35/2012</w:t>
        </w:r>
      </w:hyperlink>
      <w:r>
        <w:t>, f. 1.</w:t>
      </w:r>
    </w:p>
    <w:p w:rsidR="0043655B" w:rsidRDefault="0043655B" w:rsidP="0043655B">
      <w:pPr>
        <w:pStyle w:val="SangriaFrancesaArticulo"/>
      </w:pPr>
      <w:r w:rsidRPr="0043655B">
        <w:rPr>
          <w:rStyle w:val="TextoNormalNegritaCaracter"/>
        </w:rPr>
        <w:t>Artículo 38.4</w:t>
      </w:r>
      <w:r>
        <w:t xml:space="preserve"> </w:t>
      </w:r>
      <w:r w:rsidRPr="0043655B">
        <w:rPr>
          <w:rStyle w:val="TextoNormalCaracter"/>
        </w:rPr>
        <w:t>(redactado por la Ley 24/2001, de 27 de diciembre)</w:t>
      </w:r>
      <w:r w:rsidRPr="0043655B">
        <w:rPr>
          <w:rStyle w:val="TextoNormalNegritaCaracter"/>
        </w:rPr>
        <w:t>.</w:t>
      </w:r>
      <w:r w:rsidRPr="0043655B">
        <w:rPr>
          <w:rStyle w:val="TextoNormalCaracter"/>
        </w:rPr>
        <w:t>-</w:t>
      </w:r>
      <w:r>
        <w:t xml:space="preserve"> Sentencia </w:t>
      </w:r>
      <w:hyperlink w:anchor="SENTENCIA_2012_35" w:history="1">
        <w:r w:rsidRPr="0043655B">
          <w:rPr>
            <w:rStyle w:val="TextoNormalCaracter"/>
          </w:rPr>
          <w:t>35/2012</w:t>
        </w:r>
      </w:hyperlink>
      <w:r>
        <w:t>, f. 10.</w:t>
      </w:r>
    </w:p>
    <w:p w:rsidR="0043655B" w:rsidRDefault="0043655B" w:rsidP="0043655B">
      <w:pPr>
        <w:pStyle w:val="SangriaFrancesaArticulo"/>
      </w:pPr>
      <w:r w:rsidRPr="0043655B">
        <w:rPr>
          <w:rStyle w:val="TextoNormalNegritaCaracter"/>
        </w:rPr>
        <w:t>Artículo 40.</w:t>
      </w:r>
      <w:r w:rsidRPr="0043655B">
        <w:rPr>
          <w:rStyle w:val="TextoNormalCaracter"/>
        </w:rPr>
        <w:t>-</w:t>
      </w:r>
      <w:r>
        <w:t xml:space="preserve"> Sentencia </w:t>
      </w:r>
      <w:hyperlink w:anchor="SENTENCIA_2012_35" w:history="1">
        <w:r w:rsidRPr="0043655B">
          <w:rPr>
            <w:rStyle w:val="TextoNormalCaracter"/>
          </w:rPr>
          <w:t>35/2012</w:t>
        </w:r>
      </w:hyperlink>
      <w:r>
        <w:t>, f. 6.</w:t>
      </w:r>
    </w:p>
    <w:p w:rsidR="0043655B" w:rsidRDefault="0043655B" w:rsidP="0043655B">
      <w:pPr>
        <w:pStyle w:val="SangriaFrancesaArticulo"/>
      </w:pPr>
    </w:p>
    <w:p w:rsidR="0043655B" w:rsidRDefault="0043655B" w:rsidP="0043655B">
      <w:pPr>
        <w:pStyle w:val="TextoNormalNegritaCursivandice"/>
      </w:pPr>
      <w:r>
        <w:t>Ley 14/1970, de 4 de agosto. General de educación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1" w:history="1">
        <w:r w:rsidRPr="0043655B">
          <w:rPr>
            <w:rStyle w:val="TextoNormalCaracter"/>
          </w:rPr>
          <w:t>111/2012</w:t>
        </w:r>
      </w:hyperlink>
      <w:r>
        <w:t>, f. 3.</w:t>
      </w:r>
    </w:p>
    <w:p w:rsidR="0043655B" w:rsidRDefault="0043655B" w:rsidP="0043655B">
      <w:pPr>
        <w:pStyle w:val="SangriaFrancesaArticulo"/>
      </w:pPr>
    </w:p>
    <w:p w:rsidR="0043655B" w:rsidRDefault="0043655B" w:rsidP="0043655B">
      <w:pPr>
        <w:pStyle w:val="TextoNormalNegritaCursivandice"/>
      </w:pPr>
      <w:r>
        <w:t>Ley 30/1972, de 22 de julio. Régimen económico fiscal de Canarias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ff. 3, 5, 7, 9.</w:t>
      </w:r>
    </w:p>
    <w:p w:rsidR="0043655B" w:rsidRDefault="0043655B" w:rsidP="0043655B">
      <w:pPr>
        <w:pStyle w:val="SangriaFrancesaArticulo"/>
      </w:pPr>
      <w:r w:rsidRPr="0043655B">
        <w:rPr>
          <w:rStyle w:val="TextoNormalNegritaCaracter"/>
        </w:rPr>
        <w:t>Título II, capítulo II.</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Exposición de motivos, apartado I.</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Exposición de motivos, apartado II.</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100" w:history="1">
        <w:r w:rsidRPr="0043655B">
          <w:rPr>
            <w:rStyle w:val="TextoNormalCaracter"/>
          </w:rPr>
          <w:t>100/2012</w:t>
        </w:r>
      </w:hyperlink>
      <w:r>
        <w:t>, f. 8.</w:t>
      </w:r>
    </w:p>
    <w:p w:rsidR="0043655B" w:rsidRDefault="0043655B" w:rsidP="0043655B">
      <w:pPr>
        <w:pStyle w:val="SangriaFrancesaArticulo"/>
      </w:pPr>
      <w:r w:rsidRPr="0043655B">
        <w:rPr>
          <w:rStyle w:val="TextoNormalNegritaCaracter"/>
        </w:rPr>
        <w:lastRenderedPageBreak/>
        <w:t>Artículo 22.2 a).</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Artículo 22.2.f.1.</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Artículo 22.2.f.2.</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p>
    <w:p w:rsidR="0043655B" w:rsidRDefault="0043655B" w:rsidP="0043655B">
      <w:pPr>
        <w:pStyle w:val="TextoNormalNegritaCursivandice"/>
      </w:pPr>
      <w:r>
        <w:t>Decreto 3096/1973, de 14 de septiembre. Texto refundido del Código penal conforme a la Ley 44/1971, de 15 de noviembre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VP I, VP II; </w:t>
      </w:r>
      <w:hyperlink w:anchor="SENTENCIA_2012_40" w:history="1">
        <w:r w:rsidRPr="0043655B">
          <w:rPr>
            <w:rStyle w:val="TextoNormalCaracter"/>
          </w:rPr>
          <w:t>40/2012</w:t>
        </w:r>
      </w:hyperlink>
      <w:r>
        <w:t xml:space="preserve">, ff. 3, 9, 10, VP II; </w:t>
      </w:r>
      <w:hyperlink w:anchor="SENTENCIA_2012_41" w:history="1">
        <w:r w:rsidRPr="0043655B">
          <w:rPr>
            <w:rStyle w:val="TextoNormalCaracter"/>
          </w:rPr>
          <w:t>41/2012</w:t>
        </w:r>
      </w:hyperlink>
      <w:r>
        <w:t xml:space="preserve">, ff. 4, 8, VP I, VP II; </w:t>
      </w:r>
      <w:hyperlink w:anchor="SENTENCIA_2012_42" w:history="1">
        <w:r w:rsidRPr="0043655B">
          <w:rPr>
            <w:rStyle w:val="TextoNormalCaracter"/>
          </w:rPr>
          <w:t>42/2012</w:t>
        </w:r>
      </w:hyperlink>
      <w:r>
        <w:t xml:space="preserve">, f. 9; </w:t>
      </w:r>
      <w:hyperlink w:anchor="SENTENCIA_2012_43" w:history="1">
        <w:r w:rsidRPr="0043655B">
          <w:rPr>
            <w:rStyle w:val="TextoNormalCaracter"/>
          </w:rPr>
          <w:t>43/2012</w:t>
        </w:r>
      </w:hyperlink>
      <w:r>
        <w:t xml:space="preserve">, f. 8; </w:t>
      </w:r>
      <w:hyperlink w:anchor="SENTENCIA_2012_44" w:history="1">
        <w:r w:rsidRPr="0043655B">
          <w:rPr>
            <w:rStyle w:val="TextoNormalCaracter"/>
          </w:rPr>
          <w:t>44/2012</w:t>
        </w:r>
      </w:hyperlink>
      <w:r>
        <w:t xml:space="preserve">, ff. 5, 6; </w:t>
      </w:r>
      <w:hyperlink w:anchor="SENTENCIA_2012_46" w:history="1">
        <w:r w:rsidRPr="0043655B">
          <w:rPr>
            <w:rStyle w:val="TextoNormalCaracter"/>
          </w:rPr>
          <w:t>46/2012</w:t>
        </w:r>
      </w:hyperlink>
      <w:r>
        <w:t xml:space="preserve">, f. 7; </w:t>
      </w:r>
      <w:hyperlink w:anchor="SENTENCIA_2012_47" w:history="1">
        <w:r w:rsidRPr="0043655B">
          <w:rPr>
            <w:rStyle w:val="TextoNormalCaracter"/>
          </w:rPr>
          <w:t>47/2012</w:t>
        </w:r>
      </w:hyperlink>
      <w:r>
        <w:t xml:space="preserve">, f. 6, VP II; </w:t>
      </w:r>
      <w:hyperlink w:anchor="SENTENCIA_2012_48" w:history="1">
        <w:r w:rsidRPr="0043655B">
          <w:rPr>
            <w:rStyle w:val="TextoNormalCaracter"/>
          </w:rPr>
          <w:t>48/2012</w:t>
        </w:r>
      </w:hyperlink>
      <w:r>
        <w:t xml:space="preserve">, f. 7; </w:t>
      </w:r>
      <w:hyperlink w:anchor="SENTENCIA_2012_49" w:history="1">
        <w:r w:rsidRPr="0043655B">
          <w:rPr>
            <w:rStyle w:val="TextoNormalCaracter"/>
          </w:rPr>
          <w:t>49/2012</w:t>
        </w:r>
      </w:hyperlink>
      <w:r>
        <w:t xml:space="preserve">, f. 7; </w:t>
      </w:r>
      <w:hyperlink w:anchor="SENTENCIA_2012_51" w:history="1">
        <w:r w:rsidRPr="0043655B">
          <w:rPr>
            <w:rStyle w:val="TextoNormalCaracter"/>
          </w:rPr>
          <w:t>51/2012</w:t>
        </w:r>
      </w:hyperlink>
      <w:r>
        <w:t xml:space="preserve">, ff. 6, 7; </w:t>
      </w:r>
      <w:hyperlink w:anchor="SENTENCIA_2012_54" w:history="1">
        <w:r w:rsidRPr="0043655B">
          <w:rPr>
            <w:rStyle w:val="TextoNormalCaracter"/>
          </w:rPr>
          <w:t>54/2012</w:t>
        </w:r>
      </w:hyperlink>
      <w:r>
        <w:t xml:space="preserve">, f. 8; </w:t>
      </w:r>
      <w:hyperlink w:anchor="SENTENCIA_2012_55" w:history="1">
        <w:r w:rsidRPr="0043655B">
          <w:rPr>
            <w:rStyle w:val="TextoNormalCaracter"/>
          </w:rPr>
          <w:t>55/2012</w:t>
        </w:r>
      </w:hyperlink>
      <w:r>
        <w:t xml:space="preserve">, f. 8; </w:t>
      </w:r>
      <w:hyperlink w:anchor="SENTENCIA_2012_56" w:history="1">
        <w:r w:rsidRPr="0043655B">
          <w:rPr>
            <w:rStyle w:val="TextoNormalCaracter"/>
          </w:rPr>
          <w:t>56/2012</w:t>
        </w:r>
      </w:hyperlink>
      <w:r>
        <w:t xml:space="preserve">, f. 5; </w:t>
      </w:r>
      <w:hyperlink w:anchor="SENTENCIA_2012_57" w:history="1">
        <w:r w:rsidRPr="0043655B">
          <w:rPr>
            <w:rStyle w:val="TextoNormalCaracter"/>
          </w:rPr>
          <w:t>57/2012</w:t>
        </w:r>
      </w:hyperlink>
      <w:r>
        <w:t xml:space="preserve">, f. 3; </w:t>
      </w:r>
      <w:hyperlink w:anchor="SENTENCIA_2012_65" w:history="1">
        <w:r w:rsidRPr="0043655B">
          <w:rPr>
            <w:rStyle w:val="TextoNormalCaracter"/>
          </w:rPr>
          <w:t>65/2012</w:t>
        </w:r>
      </w:hyperlink>
      <w:r>
        <w:t xml:space="preserve">, f. 7; </w:t>
      </w:r>
      <w:hyperlink w:anchor="SENTENCIA_2012_66" w:history="1">
        <w:r w:rsidRPr="0043655B">
          <w:rPr>
            <w:rStyle w:val="TextoNormalCaracter"/>
          </w:rPr>
          <w:t>66/2012</w:t>
        </w:r>
      </w:hyperlink>
      <w:r>
        <w:t xml:space="preserve">, ff. 5, 6; </w:t>
      </w:r>
      <w:hyperlink w:anchor="SENTENCIA_2012_67" w:history="1">
        <w:r w:rsidRPr="0043655B">
          <w:rPr>
            <w:rStyle w:val="TextoNormalCaracter"/>
          </w:rPr>
          <w:t>67/2012</w:t>
        </w:r>
      </w:hyperlink>
      <w:r>
        <w:t xml:space="preserve">, f. 7; </w:t>
      </w:r>
      <w:hyperlink w:anchor="SENTENCIA_2012_68" w:history="1">
        <w:r w:rsidRPr="0043655B">
          <w:rPr>
            <w:rStyle w:val="TextoNormalCaracter"/>
          </w:rPr>
          <w:t>68/2012</w:t>
        </w:r>
      </w:hyperlink>
      <w:r>
        <w:t xml:space="preserve">, f. 5; </w:t>
      </w:r>
      <w:hyperlink w:anchor="SENTENCIA_2012_113" w:history="1">
        <w:r w:rsidRPr="0043655B">
          <w:rPr>
            <w:rStyle w:val="TextoNormalCaracter"/>
          </w:rPr>
          <w:t>113/2012</w:t>
        </w:r>
      </w:hyperlink>
      <w:r>
        <w:t>, f. 6, VP III.</w:t>
      </w:r>
    </w:p>
    <w:p w:rsidR="0043655B" w:rsidRDefault="0043655B" w:rsidP="0043655B">
      <w:pPr>
        <w:pStyle w:val="SangriaFrancesaArticulo"/>
      </w:pPr>
      <w:r w:rsidRPr="0043655B">
        <w:rPr>
          <w:rStyle w:val="TextoNormalNegritaCaracter"/>
        </w:rPr>
        <w:t>Artículo 70.</w:t>
      </w:r>
      <w:r w:rsidRPr="0043655B">
        <w:rPr>
          <w:rStyle w:val="TextoNormalCaracter"/>
        </w:rPr>
        <w:t>-</w:t>
      </w:r>
      <w:r>
        <w:t xml:space="preserve"> Sentencias </w:t>
      </w:r>
      <w:hyperlink w:anchor="SENTENCIA_2012_39" w:history="1">
        <w:r w:rsidRPr="0043655B">
          <w:rPr>
            <w:rStyle w:val="TextoNormalCaracter"/>
          </w:rPr>
          <w:t>39/2012</w:t>
        </w:r>
      </w:hyperlink>
      <w:r>
        <w:t xml:space="preserve">, ff. 4, 7; </w:t>
      </w:r>
      <w:hyperlink w:anchor="SENTENCIA_2012_40" w:history="1">
        <w:r w:rsidRPr="0043655B">
          <w:rPr>
            <w:rStyle w:val="TextoNormalCaracter"/>
          </w:rPr>
          <w:t>40/2012</w:t>
        </w:r>
      </w:hyperlink>
      <w:r>
        <w:t xml:space="preserve">, f. 7; </w:t>
      </w:r>
      <w:hyperlink w:anchor="SENTENCIA_2012_41" w:history="1">
        <w:r w:rsidRPr="0043655B">
          <w:rPr>
            <w:rStyle w:val="TextoNormalCaracter"/>
          </w:rPr>
          <w:t>41/2012</w:t>
        </w:r>
      </w:hyperlink>
      <w:r>
        <w:t xml:space="preserve">, f. 7; </w:t>
      </w:r>
      <w:hyperlink w:anchor="SENTENCIA_2012_42" w:history="1">
        <w:r w:rsidRPr="0043655B">
          <w:rPr>
            <w:rStyle w:val="TextoNormalCaracter"/>
          </w:rPr>
          <w:t>42/2012</w:t>
        </w:r>
      </w:hyperlink>
      <w:r>
        <w:t xml:space="preserve">, ff. 8, 9; </w:t>
      </w:r>
      <w:hyperlink w:anchor="SENTENCIA_2012_44" w:history="1">
        <w:r w:rsidRPr="0043655B">
          <w:rPr>
            <w:rStyle w:val="TextoNormalCaracter"/>
          </w:rPr>
          <w:t>44/2012</w:t>
        </w:r>
      </w:hyperlink>
      <w:r>
        <w:t xml:space="preserve">, f. 4; </w:t>
      </w:r>
      <w:hyperlink w:anchor="SENTENCIA_2012_45" w:history="1">
        <w:r w:rsidRPr="0043655B">
          <w:rPr>
            <w:rStyle w:val="TextoNormalCaracter"/>
          </w:rPr>
          <w:t>45/2012</w:t>
        </w:r>
      </w:hyperlink>
      <w:r>
        <w:t xml:space="preserve">, f. 4; </w:t>
      </w:r>
      <w:hyperlink w:anchor="SENTENCIA_2012_47" w:history="1">
        <w:r w:rsidRPr="0043655B">
          <w:rPr>
            <w:rStyle w:val="TextoNormalCaracter"/>
          </w:rPr>
          <w:t>47/2012</w:t>
        </w:r>
      </w:hyperlink>
      <w:r>
        <w:t xml:space="preserve">, f. 5; </w:t>
      </w:r>
      <w:hyperlink w:anchor="SENTENCIA_2012_48" w:history="1">
        <w:r w:rsidRPr="0043655B">
          <w:rPr>
            <w:rStyle w:val="TextoNormalCaracter"/>
          </w:rPr>
          <w:t>48/2012</w:t>
        </w:r>
      </w:hyperlink>
      <w:r>
        <w:t xml:space="preserve">, f. 5;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ff. 3, 5; </w:t>
      </w:r>
      <w:hyperlink w:anchor="SENTENCIA_2012_51" w:history="1">
        <w:r w:rsidRPr="0043655B">
          <w:rPr>
            <w:rStyle w:val="TextoNormalCaracter"/>
          </w:rPr>
          <w:t>51/2012</w:t>
        </w:r>
      </w:hyperlink>
      <w:r>
        <w:t xml:space="preserve">, ff. 4, 5;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ff. 3, 5; </w:t>
      </w:r>
      <w:hyperlink w:anchor="SENTENCIA_2012_54" w:history="1">
        <w:r w:rsidRPr="0043655B">
          <w:rPr>
            <w:rStyle w:val="TextoNormalCaracter"/>
          </w:rPr>
          <w:t>54/2012</w:t>
        </w:r>
      </w:hyperlink>
      <w:r>
        <w:t xml:space="preserve">, ff. 1, 6; </w:t>
      </w:r>
      <w:hyperlink w:anchor="SENTENCIA_2012_55" w:history="1">
        <w:r w:rsidRPr="0043655B">
          <w:rPr>
            <w:rStyle w:val="TextoNormalCaracter"/>
          </w:rPr>
          <w:t>55/2012</w:t>
        </w:r>
      </w:hyperlink>
      <w:r>
        <w:t xml:space="preserve">, f. 6; </w:t>
      </w:r>
      <w:hyperlink w:anchor="SENTENCIA_2012_56" w:history="1">
        <w:r w:rsidRPr="0043655B">
          <w:rPr>
            <w:rStyle w:val="TextoNormalCaracter"/>
          </w:rPr>
          <w:t>56/2012</w:t>
        </w:r>
      </w:hyperlink>
      <w:r>
        <w:t xml:space="preserve">, f. 3; </w:t>
      </w:r>
      <w:hyperlink w:anchor="SENTENCIA_2012_57" w:history="1">
        <w:r w:rsidRPr="0043655B">
          <w:rPr>
            <w:rStyle w:val="TextoNormalCaracter"/>
          </w:rPr>
          <w:t>57/2012</w:t>
        </w:r>
      </w:hyperlink>
      <w:r>
        <w:t xml:space="preserve">, f. 7; </w:t>
      </w:r>
      <w:hyperlink w:anchor="SENTENCIA_2012_59" w:history="1">
        <w:r w:rsidRPr="0043655B">
          <w:rPr>
            <w:rStyle w:val="TextoNormalCaracter"/>
          </w:rPr>
          <w:t>59/2012</w:t>
        </w:r>
      </w:hyperlink>
      <w:r>
        <w:t xml:space="preserve">, f. 3; </w:t>
      </w:r>
      <w:hyperlink w:anchor="SENTENCIA_2012_61" w:history="1">
        <w:r w:rsidRPr="0043655B">
          <w:rPr>
            <w:rStyle w:val="TextoNormalCaracter"/>
          </w:rPr>
          <w:t>61/2012</w:t>
        </w:r>
      </w:hyperlink>
      <w:r>
        <w:t xml:space="preserve">, f. 4; </w:t>
      </w:r>
      <w:hyperlink w:anchor="SENTENCIA_2012_64" w:history="1">
        <w:r w:rsidRPr="0043655B">
          <w:rPr>
            <w:rStyle w:val="TextoNormalCaracter"/>
          </w:rPr>
          <w:t>64/2012</w:t>
        </w:r>
      </w:hyperlink>
      <w:r>
        <w:t xml:space="preserve">, f. 4; </w:t>
      </w:r>
      <w:hyperlink w:anchor="SENTENCIA_2012_65" w:history="1">
        <w:r w:rsidRPr="0043655B">
          <w:rPr>
            <w:rStyle w:val="TextoNormalCaracter"/>
          </w:rPr>
          <w:t>65/2012</w:t>
        </w:r>
      </w:hyperlink>
      <w:r>
        <w:t xml:space="preserve">, ff. 3, 5; </w:t>
      </w:r>
      <w:hyperlink w:anchor="SENTENCIA_2012_66" w:history="1">
        <w:r w:rsidRPr="0043655B">
          <w:rPr>
            <w:rStyle w:val="TextoNormalCaracter"/>
          </w:rPr>
          <w:t>66/2012</w:t>
        </w:r>
      </w:hyperlink>
      <w:r>
        <w:t xml:space="preserve">, f. 4; </w:t>
      </w:r>
      <w:hyperlink w:anchor="SENTENCIA_2012_67" w:history="1">
        <w:r w:rsidRPr="0043655B">
          <w:rPr>
            <w:rStyle w:val="TextoNormalCaracter"/>
          </w:rPr>
          <w:t>67/2012</w:t>
        </w:r>
      </w:hyperlink>
      <w:r>
        <w:t xml:space="preserve">, f. 4; </w:t>
      </w:r>
      <w:hyperlink w:anchor="SENTENCIA_2012_68" w:history="1">
        <w:r w:rsidRPr="0043655B">
          <w:rPr>
            <w:rStyle w:val="TextoNormalCaracter"/>
          </w:rPr>
          <w:t>68/2012</w:t>
        </w:r>
      </w:hyperlink>
      <w:r>
        <w:t xml:space="preserve">, f. 4; </w:t>
      </w:r>
      <w:hyperlink w:anchor="SENTENCIA_2012_69" w:history="1">
        <w:r w:rsidRPr="0043655B">
          <w:rPr>
            <w:rStyle w:val="TextoNormalCaracter"/>
          </w:rPr>
          <w:t>69/2012</w:t>
        </w:r>
      </w:hyperlink>
      <w:r>
        <w:t xml:space="preserve">, f. 5; </w:t>
      </w:r>
      <w:hyperlink w:anchor="SENTENCIA_2012_108" w:history="1">
        <w:r w:rsidRPr="0043655B">
          <w:rPr>
            <w:rStyle w:val="TextoNormalCaracter"/>
          </w:rPr>
          <w:t>108/2012</w:t>
        </w:r>
      </w:hyperlink>
      <w:r>
        <w:t xml:space="preserve">, f. 2; </w:t>
      </w:r>
      <w:hyperlink w:anchor="SENTENCIA_2012_113" w:history="1">
        <w:r w:rsidRPr="0043655B">
          <w:rPr>
            <w:rStyle w:val="TextoNormalCaracter"/>
          </w:rPr>
          <w:t>113/2012</w:t>
        </w:r>
      </w:hyperlink>
      <w:r>
        <w:t xml:space="preserve">, f. 8; </w:t>
      </w:r>
      <w:hyperlink w:anchor="SENTENCIA_2012_114" w:history="1">
        <w:r w:rsidRPr="0043655B">
          <w:rPr>
            <w:rStyle w:val="TextoNormalCaracter"/>
          </w:rPr>
          <w:t>114/2012</w:t>
        </w:r>
      </w:hyperlink>
      <w:r>
        <w:t>, f. 4.</w:t>
      </w:r>
    </w:p>
    <w:p w:rsidR="0043655B" w:rsidRDefault="0043655B" w:rsidP="0043655B">
      <w:pPr>
        <w:pStyle w:val="SangriaFrancesaArticulo"/>
      </w:pPr>
      <w:r w:rsidRPr="0043655B">
        <w:rPr>
          <w:rStyle w:val="TextoNormalNegritaCaracter"/>
        </w:rPr>
        <w:t>Artículo 70.2.</w:t>
      </w:r>
      <w:r w:rsidRPr="0043655B">
        <w:rPr>
          <w:rStyle w:val="TextoNormalCaracter"/>
        </w:rPr>
        <w:t>-</w:t>
      </w:r>
      <w:r>
        <w:t xml:space="preserve"> Sentencias </w:t>
      </w:r>
      <w:hyperlink w:anchor="SENTENCIA_2012_39" w:history="1">
        <w:r w:rsidRPr="0043655B">
          <w:rPr>
            <w:rStyle w:val="TextoNormalCaracter"/>
          </w:rPr>
          <w:t>39/2012</w:t>
        </w:r>
      </w:hyperlink>
      <w:r>
        <w:t xml:space="preserve">, ff. 3, 6, 7, VP II; </w:t>
      </w:r>
      <w:hyperlink w:anchor="SENTENCIA_2012_40" w:history="1">
        <w:r w:rsidRPr="0043655B">
          <w:rPr>
            <w:rStyle w:val="TextoNormalCaracter"/>
          </w:rPr>
          <w:t>40/2012</w:t>
        </w:r>
      </w:hyperlink>
      <w:r>
        <w:t xml:space="preserve">, ff. 3, 5, 6, 9, 10, VP II; </w:t>
      </w:r>
      <w:hyperlink w:anchor="SENTENCIA_2012_41" w:history="1">
        <w:r w:rsidRPr="0043655B">
          <w:rPr>
            <w:rStyle w:val="TextoNormalCaracter"/>
          </w:rPr>
          <w:t>41/2012</w:t>
        </w:r>
      </w:hyperlink>
      <w:r>
        <w:t xml:space="preserve">, ff. 2, 4, 6, 8, 9, VP I, VP IV; </w:t>
      </w:r>
      <w:hyperlink w:anchor="SENTENCIA_2012_42" w:history="1">
        <w:r w:rsidRPr="0043655B">
          <w:rPr>
            <w:rStyle w:val="TextoNormalCaracter"/>
          </w:rPr>
          <w:t>42/2012</w:t>
        </w:r>
      </w:hyperlink>
      <w:r>
        <w:t xml:space="preserve">, ff. 5, 6; </w:t>
      </w:r>
      <w:hyperlink w:anchor="SENTENCIA_2012_43" w:history="1">
        <w:r w:rsidRPr="0043655B">
          <w:rPr>
            <w:rStyle w:val="TextoNormalCaracter"/>
          </w:rPr>
          <w:t>43/2012</w:t>
        </w:r>
      </w:hyperlink>
      <w:r>
        <w:t xml:space="preserve">, ff. 1, 3, 4, 6 a 8; </w:t>
      </w:r>
      <w:hyperlink w:anchor="SENTENCIA_2012_44" w:history="1">
        <w:r w:rsidRPr="0043655B">
          <w:rPr>
            <w:rStyle w:val="TextoNormalCaracter"/>
          </w:rPr>
          <w:t>44/2012</w:t>
        </w:r>
      </w:hyperlink>
      <w:r>
        <w:t xml:space="preserve">, ff. 3, 5, 6; </w:t>
      </w:r>
      <w:hyperlink w:anchor="SENTENCIA_2012_45" w:history="1">
        <w:r w:rsidRPr="0043655B">
          <w:rPr>
            <w:rStyle w:val="TextoNormalCaracter"/>
          </w:rPr>
          <w:t>45/2012</w:t>
        </w:r>
      </w:hyperlink>
      <w:r>
        <w:t xml:space="preserve">, ff. 3, 6; </w:t>
      </w:r>
      <w:hyperlink w:anchor="SENTENCIA_2012_46" w:history="1">
        <w:r w:rsidRPr="0043655B">
          <w:rPr>
            <w:rStyle w:val="TextoNormalCaracter"/>
          </w:rPr>
          <w:t>46/2012</w:t>
        </w:r>
      </w:hyperlink>
      <w:r>
        <w:t xml:space="preserve">, ff. 3, 4, 6 a 8; </w:t>
      </w:r>
      <w:hyperlink w:anchor="SENTENCIA_2012_47" w:history="1">
        <w:r w:rsidRPr="0043655B">
          <w:rPr>
            <w:rStyle w:val="TextoNormalCaracter"/>
          </w:rPr>
          <w:t>47/2012</w:t>
        </w:r>
      </w:hyperlink>
      <w:r>
        <w:t xml:space="preserve">, ff. 3, 4, 6, VP II; </w:t>
      </w:r>
      <w:hyperlink w:anchor="SENTENCIA_2012_48" w:history="1">
        <w:r w:rsidRPr="0043655B">
          <w:rPr>
            <w:rStyle w:val="TextoNormalCaracter"/>
          </w:rPr>
          <w:t>48/2012</w:t>
        </w:r>
      </w:hyperlink>
      <w:r>
        <w:t xml:space="preserve">, ff. 4, 7; </w:t>
      </w:r>
      <w:hyperlink w:anchor="SENTENCIA_2012_49" w:history="1">
        <w:r w:rsidRPr="0043655B">
          <w:rPr>
            <w:rStyle w:val="TextoNormalCaracter"/>
          </w:rPr>
          <w:t>49/2012</w:t>
        </w:r>
      </w:hyperlink>
      <w:r>
        <w:t xml:space="preserve">, ff. 3 a 5, 7; </w:t>
      </w:r>
      <w:hyperlink w:anchor="SENTENCIA_2012_50" w:history="1">
        <w:r w:rsidRPr="0043655B">
          <w:rPr>
            <w:rStyle w:val="TextoNormalCaracter"/>
          </w:rPr>
          <w:t>50/2012</w:t>
        </w:r>
      </w:hyperlink>
      <w:r>
        <w:t xml:space="preserve">, ff. 3 a 6; </w:t>
      </w:r>
      <w:hyperlink w:anchor="SENTENCIA_2012_51" w:history="1">
        <w:r w:rsidRPr="0043655B">
          <w:rPr>
            <w:rStyle w:val="TextoNormalCaracter"/>
          </w:rPr>
          <w:t>51/2012</w:t>
        </w:r>
      </w:hyperlink>
      <w:r>
        <w:t xml:space="preserve">, ff. 4, 6, 7; </w:t>
      </w:r>
      <w:hyperlink w:anchor="SENTENCIA_2012_52" w:history="1">
        <w:r w:rsidRPr="0043655B">
          <w:rPr>
            <w:rStyle w:val="TextoNormalCaracter"/>
          </w:rPr>
          <w:t>52/2012</w:t>
        </w:r>
      </w:hyperlink>
      <w:r>
        <w:t xml:space="preserve">, ff. 3, 5, 6; </w:t>
      </w:r>
      <w:hyperlink w:anchor="SENTENCIA_2012_53" w:history="1">
        <w:r w:rsidRPr="0043655B">
          <w:rPr>
            <w:rStyle w:val="TextoNormalCaracter"/>
          </w:rPr>
          <w:t>53/2012</w:t>
        </w:r>
      </w:hyperlink>
      <w:r>
        <w:t xml:space="preserve">, ff. 1 a 3, 6; </w:t>
      </w:r>
      <w:hyperlink w:anchor="SENTENCIA_2012_54" w:history="1">
        <w:r w:rsidRPr="0043655B">
          <w:rPr>
            <w:rStyle w:val="TextoNormalCaracter"/>
          </w:rPr>
          <w:t>54/2012</w:t>
        </w:r>
      </w:hyperlink>
      <w:r>
        <w:t xml:space="preserve">, ff. 1, 4, 7, 8; </w:t>
      </w:r>
      <w:hyperlink w:anchor="SENTENCIA_2012_55" w:history="1">
        <w:r w:rsidRPr="0043655B">
          <w:rPr>
            <w:rStyle w:val="TextoNormalCaracter"/>
          </w:rPr>
          <w:t>55/2012</w:t>
        </w:r>
      </w:hyperlink>
      <w:r>
        <w:t xml:space="preserve">, ff. 4, 5, 8; </w:t>
      </w:r>
      <w:hyperlink w:anchor="SENTENCIA_2012_56" w:history="1">
        <w:r w:rsidRPr="0043655B">
          <w:rPr>
            <w:rStyle w:val="TextoNormalCaracter"/>
          </w:rPr>
          <w:t>56/2012</w:t>
        </w:r>
      </w:hyperlink>
      <w:r>
        <w:t xml:space="preserve">, ff. 1, 2, 4, 5; </w:t>
      </w:r>
      <w:hyperlink w:anchor="SENTENCIA_2012_57" w:history="1">
        <w:r w:rsidRPr="0043655B">
          <w:rPr>
            <w:rStyle w:val="TextoNormalCaracter"/>
          </w:rPr>
          <w:t>57/2012</w:t>
        </w:r>
      </w:hyperlink>
      <w:r>
        <w:t xml:space="preserve">, ff. 3, 6, 7; </w:t>
      </w:r>
      <w:hyperlink w:anchor="SENTENCIA_2012_58" w:history="1">
        <w:r w:rsidRPr="0043655B">
          <w:rPr>
            <w:rStyle w:val="TextoNormalCaracter"/>
          </w:rPr>
          <w:t>58/2012</w:t>
        </w:r>
      </w:hyperlink>
      <w:r>
        <w:t xml:space="preserve">, f. 3; </w:t>
      </w:r>
      <w:hyperlink w:anchor="SENTENCIA_2012_59" w:history="1">
        <w:r w:rsidRPr="0043655B">
          <w:rPr>
            <w:rStyle w:val="TextoNormalCaracter"/>
          </w:rPr>
          <w:t>59/2012</w:t>
        </w:r>
      </w:hyperlink>
      <w:r>
        <w:t xml:space="preserve">, ff. 1, 4, 5; </w:t>
      </w:r>
      <w:hyperlink w:anchor="SENTENCIA_2012_60" w:history="1">
        <w:r w:rsidRPr="0043655B">
          <w:rPr>
            <w:rStyle w:val="TextoNormalCaracter"/>
          </w:rPr>
          <w:t>60/2012</w:t>
        </w:r>
      </w:hyperlink>
      <w:r>
        <w:t xml:space="preserve">, f. 3; </w:t>
      </w:r>
      <w:hyperlink w:anchor="SENTENCIA_2012_61" w:history="1">
        <w:r w:rsidRPr="0043655B">
          <w:rPr>
            <w:rStyle w:val="TextoNormalCaracter"/>
          </w:rPr>
          <w:t>61/2012</w:t>
        </w:r>
      </w:hyperlink>
      <w:r>
        <w:t xml:space="preserve">, ff. 2 a 4; </w:t>
      </w:r>
      <w:hyperlink w:anchor="SENTENCIA_2012_63" w:history="1">
        <w:r w:rsidRPr="0043655B">
          <w:rPr>
            <w:rStyle w:val="TextoNormalCaracter"/>
          </w:rPr>
          <w:t>63/2012</w:t>
        </w:r>
      </w:hyperlink>
      <w:r>
        <w:t xml:space="preserve">, f. 3; </w:t>
      </w:r>
      <w:hyperlink w:anchor="SENTENCIA_2012_64" w:history="1">
        <w:r w:rsidRPr="0043655B">
          <w:rPr>
            <w:rStyle w:val="TextoNormalCaracter"/>
          </w:rPr>
          <w:t>64/2012</w:t>
        </w:r>
      </w:hyperlink>
      <w:r>
        <w:t xml:space="preserve">, ff. 2, 3, 6, 7; </w:t>
      </w:r>
      <w:hyperlink w:anchor="SENTENCIA_2012_65" w:history="1">
        <w:r w:rsidRPr="0043655B">
          <w:rPr>
            <w:rStyle w:val="TextoNormalCaracter"/>
          </w:rPr>
          <w:t>65/2012</w:t>
        </w:r>
      </w:hyperlink>
      <w:r>
        <w:t xml:space="preserve">, ff. 3, 4; </w:t>
      </w:r>
      <w:hyperlink w:anchor="SENTENCIA_2012_66" w:history="1">
        <w:r w:rsidRPr="0043655B">
          <w:rPr>
            <w:rStyle w:val="TextoNormalCaracter"/>
          </w:rPr>
          <w:t>66/2012</w:t>
        </w:r>
      </w:hyperlink>
      <w:r>
        <w:t xml:space="preserve">, ff. 3 a 5; </w:t>
      </w:r>
      <w:hyperlink w:anchor="SENTENCIA_2012_67" w:history="1">
        <w:r w:rsidRPr="0043655B">
          <w:rPr>
            <w:rStyle w:val="TextoNormalCaracter"/>
          </w:rPr>
          <w:t>67/2012</w:t>
        </w:r>
      </w:hyperlink>
      <w:r>
        <w:t xml:space="preserve">, ff. 2, 3, 6, 7; </w:t>
      </w:r>
      <w:hyperlink w:anchor="SENTENCIA_2012_68" w:history="1">
        <w:r w:rsidRPr="0043655B">
          <w:rPr>
            <w:rStyle w:val="TextoNormalCaracter"/>
          </w:rPr>
          <w:t>68/2012</w:t>
        </w:r>
      </w:hyperlink>
      <w:r>
        <w:t xml:space="preserve">, ff. 1, 3, 5, 6; </w:t>
      </w:r>
      <w:hyperlink w:anchor="SENTENCIA_2012_69" w:history="1">
        <w:r w:rsidRPr="0043655B">
          <w:rPr>
            <w:rStyle w:val="TextoNormalCaracter"/>
          </w:rPr>
          <w:t>69/2012</w:t>
        </w:r>
      </w:hyperlink>
      <w:r>
        <w:t xml:space="preserve">, ff. 1, 3, 4, 7; </w:t>
      </w:r>
      <w:hyperlink w:anchor="SENTENCIA_2012_108" w:history="1">
        <w:r w:rsidRPr="0043655B">
          <w:rPr>
            <w:rStyle w:val="TextoNormalCaracter"/>
          </w:rPr>
          <w:t>108/2012</w:t>
        </w:r>
      </w:hyperlink>
      <w:r>
        <w:t xml:space="preserve">, ff. 3, 4; </w:t>
      </w:r>
      <w:hyperlink w:anchor="SENTENCIA_2012_113" w:history="1">
        <w:r w:rsidRPr="0043655B">
          <w:rPr>
            <w:rStyle w:val="TextoNormalCaracter"/>
          </w:rPr>
          <w:t>113/2012</w:t>
        </w:r>
      </w:hyperlink>
      <w:r>
        <w:t xml:space="preserve">, ff. 2, 5, 6, 10, 11, VP I, VP III; </w:t>
      </w:r>
      <w:hyperlink w:anchor="SENTENCIA_2012_114" w:history="1">
        <w:r w:rsidRPr="0043655B">
          <w:rPr>
            <w:rStyle w:val="TextoNormalCaracter"/>
          </w:rPr>
          <w:t>114/2012</w:t>
        </w:r>
      </w:hyperlink>
      <w:r>
        <w:t xml:space="preserve">, ff. 2, 3, 6; </w:t>
      </w:r>
      <w:hyperlink w:anchor="SENTENCIA_2012_128" w:history="1">
        <w:r w:rsidRPr="0043655B">
          <w:rPr>
            <w:rStyle w:val="TextoNormalCaracter"/>
          </w:rPr>
          <w:t>128/2012</w:t>
        </w:r>
      </w:hyperlink>
      <w:r>
        <w:t>, f. 3.</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r w:rsidRPr="0043655B">
        <w:rPr>
          <w:rStyle w:val="TextoNormalNegritaCaracter"/>
        </w:rPr>
        <w:t>Artículo 100.</w:t>
      </w:r>
      <w:r w:rsidRPr="0043655B">
        <w:rPr>
          <w:rStyle w:val="TextoNormalCaracter"/>
        </w:rPr>
        <w:t>-</w:t>
      </w:r>
      <w:r>
        <w:t xml:space="preserve"> Sentencias </w:t>
      </w:r>
      <w:hyperlink w:anchor="SENTENCIA_2012_39" w:history="1">
        <w:r w:rsidRPr="0043655B">
          <w:rPr>
            <w:rStyle w:val="TextoNormalCaracter"/>
          </w:rPr>
          <w:t>39/2012</w:t>
        </w:r>
      </w:hyperlink>
      <w:r>
        <w:t xml:space="preserve">, ff. 3, 4, 6, VP II; </w:t>
      </w:r>
      <w:hyperlink w:anchor="SENTENCIA_2012_40" w:history="1">
        <w:r w:rsidRPr="0043655B">
          <w:rPr>
            <w:rStyle w:val="TextoNormalCaracter"/>
          </w:rPr>
          <w:t>40/2012</w:t>
        </w:r>
      </w:hyperlink>
      <w:r>
        <w:t xml:space="preserve">, ff. 5 a 7, VP II; </w:t>
      </w:r>
      <w:hyperlink w:anchor="SENTENCIA_2012_41" w:history="1">
        <w:r w:rsidRPr="0043655B">
          <w:rPr>
            <w:rStyle w:val="TextoNormalCaracter"/>
          </w:rPr>
          <w:t>41/2012</w:t>
        </w:r>
      </w:hyperlink>
      <w:r>
        <w:t xml:space="preserve">, ff. 4, 6, 7, VP I, VP IV; </w:t>
      </w:r>
      <w:hyperlink w:anchor="SENTENCIA_2012_42" w:history="1">
        <w:r w:rsidRPr="0043655B">
          <w:rPr>
            <w:rStyle w:val="TextoNormalCaracter"/>
          </w:rPr>
          <w:t>42/2012</w:t>
        </w:r>
      </w:hyperlink>
      <w:r>
        <w:t xml:space="preserve">, ff. 5, 6; </w:t>
      </w:r>
      <w:hyperlink w:anchor="SENTENCIA_2012_43" w:history="1">
        <w:r w:rsidRPr="0043655B">
          <w:rPr>
            <w:rStyle w:val="TextoNormalCaracter"/>
          </w:rPr>
          <w:t>43/2012</w:t>
        </w:r>
      </w:hyperlink>
      <w:r>
        <w:t xml:space="preserve">, ff. 3, 4, 6; </w:t>
      </w:r>
      <w:hyperlink w:anchor="SENTENCIA_2012_44" w:history="1">
        <w:r w:rsidRPr="0043655B">
          <w:rPr>
            <w:rStyle w:val="TextoNormalCaracter"/>
          </w:rPr>
          <w:t>44/2012</w:t>
        </w:r>
      </w:hyperlink>
      <w:r>
        <w:t xml:space="preserve">, ff. 3, 4; </w:t>
      </w:r>
      <w:hyperlink w:anchor="SENTENCIA_2012_45" w:history="1">
        <w:r w:rsidRPr="0043655B">
          <w:rPr>
            <w:rStyle w:val="TextoNormalCaracter"/>
          </w:rPr>
          <w:t>45/2012</w:t>
        </w:r>
      </w:hyperlink>
      <w:r>
        <w:t xml:space="preserve">, ff. 3, 4; </w:t>
      </w:r>
      <w:hyperlink w:anchor="SENTENCIA_2012_46" w:history="1">
        <w:r w:rsidRPr="0043655B">
          <w:rPr>
            <w:rStyle w:val="TextoNormalCaracter"/>
          </w:rPr>
          <w:t>46/2012</w:t>
        </w:r>
      </w:hyperlink>
      <w:r>
        <w:t xml:space="preserve">, ff. 3, 4, 6; </w:t>
      </w:r>
      <w:hyperlink w:anchor="SENTENCIA_2012_47" w:history="1">
        <w:r w:rsidRPr="0043655B">
          <w:rPr>
            <w:rStyle w:val="TextoNormalCaracter"/>
          </w:rPr>
          <w:t>47/2012</w:t>
        </w:r>
      </w:hyperlink>
      <w:r>
        <w:t xml:space="preserve">, ff. 3 a 5, VP II; </w:t>
      </w:r>
      <w:hyperlink w:anchor="SENTENCIA_2012_48" w:history="1">
        <w:r w:rsidRPr="0043655B">
          <w:rPr>
            <w:rStyle w:val="TextoNormalCaracter"/>
          </w:rPr>
          <w:t>48/2012</w:t>
        </w:r>
      </w:hyperlink>
      <w:r>
        <w:t xml:space="preserve">, ff. 4, 5; </w:t>
      </w:r>
      <w:hyperlink w:anchor="SENTENCIA_2012_49" w:history="1">
        <w:r w:rsidRPr="0043655B">
          <w:rPr>
            <w:rStyle w:val="TextoNormalCaracter"/>
          </w:rPr>
          <w:t>49/2012</w:t>
        </w:r>
      </w:hyperlink>
      <w:r>
        <w:t xml:space="preserve">, ff. 3 a 5; </w:t>
      </w:r>
      <w:hyperlink w:anchor="SENTENCIA_2012_50" w:history="1">
        <w:r w:rsidRPr="0043655B">
          <w:rPr>
            <w:rStyle w:val="TextoNormalCaracter"/>
          </w:rPr>
          <w:t>50/2012</w:t>
        </w:r>
      </w:hyperlink>
      <w:r>
        <w:t xml:space="preserve">, ff. 3 a 5; </w:t>
      </w:r>
      <w:hyperlink w:anchor="SENTENCIA_2012_51" w:history="1">
        <w:r w:rsidRPr="0043655B">
          <w:rPr>
            <w:rStyle w:val="TextoNormalCaracter"/>
          </w:rPr>
          <w:t>51/2012</w:t>
        </w:r>
      </w:hyperlink>
      <w:r>
        <w:t xml:space="preserve">, ff. 4, 5; </w:t>
      </w:r>
      <w:hyperlink w:anchor="SENTENCIA_2012_52" w:history="1">
        <w:r w:rsidRPr="0043655B">
          <w:rPr>
            <w:rStyle w:val="TextoNormalCaracter"/>
          </w:rPr>
          <w:t>52/2012</w:t>
        </w:r>
      </w:hyperlink>
      <w:r>
        <w:t xml:space="preserve">, ff. 3 a 5; </w:t>
      </w:r>
      <w:hyperlink w:anchor="SENTENCIA_2012_53" w:history="1">
        <w:r w:rsidRPr="0043655B">
          <w:rPr>
            <w:rStyle w:val="TextoNormalCaracter"/>
          </w:rPr>
          <w:t>53/2012</w:t>
        </w:r>
      </w:hyperlink>
      <w:r>
        <w:t xml:space="preserve">, ff. 1 a 3, 5; </w:t>
      </w:r>
      <w:hyperlink w:anchor="SENTENCIA_2012_54" w:history="1">
        <w:r w:rsidRPr="0043655B">
          <w:rPr>
            <w:rStyle w:val="TextoNormalCaracter"/>
          </w:rPr>
          <w:t>54/2012</w:t>
        </w:r>
      </w:hyperlink>
      <w:r>
        <w:t xml:space="preserve">, ff. 1, 4, 6, 7; </w:t>
      </w:r>
      <w:hyperlink w:anchor="SENTENCIA_2012_55" w:history="1">
        <w:r w:rsidRPr="0043655B">
          <w:rPr>
            <w:rStyle w:val="TextoNormalCaracter"/>
          </w:rPr>
          <w:t>55/2012</w:t>
        </w:r>
      </w:hyperlink>
      <w:r>
        <w:t xml:space="preserve">, ff. 4 a 6, 8; </w:t>
      </w:r>
      <w:hyperlink w:anchor="SENTENCIA_2012_56" w:history="1">
        <w:r w:rsidRPr="0043655B">
          <w:rPr>
            <w:rStyle w:val="TextoNormalCaracter"/>
          </w:rPr>
          <w:t>56/2012</w:t>
        </w:r>
      </w:hyperlink>
      <w:r>
        <w:t xml:space="preserve">, ff. 1 a 4; </w:t>
      </w:r>
      <w:hyperlink w:anchor="SENTENCIA_2012_57" w:history="1">
        <w:r w:rsidRPr="0043655B">
          <w:rPr>
            <w:rStyle w:val="TextoNormalCaracter"/>
          </w:rPr>
          <w:t>57/2012</w:t>
        </w:r>
      </w:hyperlink>
      <w:r>
        <w:t xml:space="preserve">, ff. 3, 6, 7; </w:t>
      </w:r>
      <w:hyperlink w:anchor="SENTENCIA_2012_59" w:history="1">
        <w:r w:rsidRPr="0043655B">
          <w:rPr>
            <w:rStyle w:val="TextoNormalCaracter"/>
          </w:rPr>
          <w:t>59/2012</w:t>
        </w:r>
      </w:hyperlink>
      <w:r>
        <w:t xml:space="preserve">, ff. 1, 3; </w:t>
      </w:r>
      <w:hyperlink w:anchor="SENTENCIA_2012_61" w:history="1">
        <w:r w:rsidRPr="0043655B">
          <w:rPr>
            <w:rStyle w:val="TextoNormalCaracter"/>
          </w:rPr>
          <w:t>61/2012</w:t>
        </w:r>
      </w:hyperlink>
      <w:r>
        <w:t xml:space="preserve">, ff. 2 a 4; </w:t>
      </w:r>
      <w:hyperlink w:anchor="SENTENCIA_2012_64" w:history="1">
        <w:r w:rsidRPr="0043655B">
          <w:rPr>
            <w:rStyle w:val="TextoNormalCaracter"/>
          </w:rPr>
          <w:t>64/2012</w:t>
        </w:r>
      </w:hyperlink>
      <w:r>
        <w:t xml:space="preserve">, ff. 2 a 4; </w:t>
      </w:r>
      <w:hyperlink w:anchor="SENTENCIA_2012_65" w:history="1">
        <w:r w:rsidRPr="0043655B">
          <w:rPr>
            <w:rStyle w:val="TextoNormalCaracter"/>
          </w:rPr>
          <w:t>65/2012</w:t>
        </w:r>
      </w:hyperlink>
      <w:r>
        <w:t xml:space="preserve">, ff. 3 a 5; </w:t>
      </w:r>
      <w:hyperlink w:anchor="SENTENCIA_2012_66" w:history="1">
        <w:r w:rsidRPr="0043655B">
          <w:rPr>
            <w:rStyle w:val="TextoNormalCaracter"/>
          </w:rPr>
          <w:t>66/2012</w:t>
        </w:r>
      </w:hyperlink>
      <w:r>
        <w:t xml:space="preserve">, ff. 3, 4; </w:t>
      </w:r>
      <w:hyperlink w:anchor="SENTENCIA_2012_67" w:history="1">
        <w:r w:rsidRPr="0043655B">
          <w:rPr>
            <w:rStyle w:val="TextoNormalCaracter"/>
          </w:rPr>
          <w:t>67/2012</w:t>
        </w:r>
      </w:hyperlink>
      <w:r>
        <w:t xml:space="preserve">, ff. 2 a 4; </w:t>
      </w:r>
      <w:hyperlink w:anchor="SENTENCIA_2012_68" w:history="1">
        <w:r w:rsidRPr="0043655B">
          <w:rPr>
            <w:rStyle w:val="TextoNormalCaracter"/>
          </w:rPr>
          <w:t>68/2012</w:t>
        </w:r>
      </w:hyperlink>
      <w:r>
        <w:t xml:space="preserve">, ff. 1, 3, 4; </w:t>
      </w:r>
      <w:hyperlink w:anchor="SENTENCIA_2012_69" w:history="1">
        <w:r w:rsidRPr="0043655B">
          <w:rPr>
            <w:rStyle w:val="TextoNormalCaracter"/>
          </w:rPr>
          <w:t>69/2012</w:t>
        </w:r>
      </w:hyperlink>
      <w:r>
        <w:t xml:space="preserve">, ff. 3 a 5; </w:t>
      </w:r>
      <w:hyperlink w:anchor="SENTENCIA_2012_108" w:history="1">
        <w:r w:rsidRPr="0043655B">
          <w:rPr>
            <w:rStyle w:val="TextoNormalCaracter"/>
          </w:rPr>
          <w:t>108/2012</w:t>
        </w:r>
      </w:hyperlink>
      <w:r>
        <w:t xml:space="preserve">, ff. 2, 4; </w:t>
      </w:r>
      <w:hyperlink w:anchor="SENTENCIA_2012_113" w:history="1">
        <w:r w:rsidRPr="0043655B">
          <w:rPr>
            <w:rStyle w:val="TextoNormalCaracter"/>
          </w:rPr>
          <w:t>113/2012</w:t>
        </w:r>
      </w:hyperlink>
      <w:r>
        <w:t xml:space="preserve">, ff. 5 a 7, 11; </w:t>
      </w:r>
      <w:hyperlink w:anchor="SENTENCIA_2012_114" w:history="1">
        <w:r w:rsidRPr="0043655B">
          <w:rPr>
            <w:rStyle w:val="TextoNormalCaracter"/>
          </w:rPr>
          <w:t>114/2012</w:t>
        </w:r>
      </w:hyperlink>
      <w:r>
        <w:t>, ff. 2 a 4, 6.</w:t>
      </w:r>
    </w:p>
    <w:p w:rsidR="0043655B" w:rsidRDefault="0043655B" w:rsidP="0043655B">
      <w:pPr>
        <w:pStyle w:val="SangriaFrancesaArticulo"/>
      </w:pPr>
    </w:p>
    <w:p w:rsidR="0043655B" w:rsidRDefault="0043655B" w:rsidP="0043655B">
      <w:pPr>
        <w:pStyle w:val="TextoNormalNegritaCursivandice"/>
      </w:pPr>
      <w:r>
        <w:t>Ley 2/1974, de 13 de febrero. Colegios profesionales</w:t>
      </w:r>
    </w:p>
    <w:p w:rsidR="0043655B" w:rsidRDefault="0043655B" w:rsidP="0043655B">
      <w:pPr>
        <w:pStyle w:val="SangriaFrancesaArticulo"/>
      </w:pPr>
      <w:r w:rsidRPr="0043655B">
        <w:rPr>
          <w:rStyle w:val="TextoNormalNegritaCaracter"/>
        </w:rPr>
        <w:t>Artículo 5 i).</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p>
    <w:p w:rsidR="0043655B" w:rsidRDefault="0043655B" w:rsidP="0043655B">
      <w:pPr>
        <w:pStyle w:val="TextoNormalNegritaCursivandice"/>
      </w:pPr>
      <w:r>
        <w:t>Ley 8/1975, de 12 de marzo. Zonas e instalaciones de interés para la Defensa Nacional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2" w:history="1">
        <w:r w:rsidRPr="0043655B">
          <w:rPr>
            <w:rStyle w:val="TextoNormalCaracter"/>
          </w:rPr>
          <w:t>82/2012</w:t>
        </w:r>
      </w:hyperlink>
      <w:r>
        <w:t>, f. 3.</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82" w:history="1">
        <w:r w:rsidRPr="0043655B">
          <w:rPr>
            <w:rStyle w:val="TextoNormalCaracter"/>
          </w:rPr>
          <w:t>82/2012</w:t>
        </w:r>
      </w:hyperlink>
      <w:r>
        <w:t>, f. 1.</w:t>
      </w:r>
    </w:p>
    <w:p w:rsidR="0043655B" w:rsidRDefault="0043655B" w:rsidP="0043655B">
      <w:pPr>
        <w:pStyle w:val="SangriaFrancesaArticulo"/>
      </w:pPr>
    </w:p>
    <w:p w:rsidR="0043655B" w:rsidRDefault="0043655B" w:rsidP="0043655B">
      <w:pPr>
        <w:pStyle w:val="TextoNormalNegritaCursivandice"/>
      </w:pPr>
      <w:r>
        <w:t>Real Decreto-ley 16/1977, de 25 de febrero. Aspectos penales, administrativos y fiscales de los juegos de suerte, envite o azar y apuestas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5" w:history="1">
        <w:r w:rsidRPr="0043655B">
          <w:rPr>
            <w:rStyle w:val="TextoNormalCaracter"/>
          </w:rPr>
          <w:t>35/2012</w:t>
        </w:r>
      </w:hyperlink>
      <w:r>
        <w:t>, f. 2.</w:t>
      </w:r>
    </w:p>
    <w:p w:rsidR="0043655B" w:rsidRDefault="0043655B" w:rsidP="0043655B">
      <w:pPr>
        <w:pStyle w:val="SangriaFrancesaArticulo"/>
      </w:pPr>
    </w:p>
    <w:p w:rsidR="0043655B" w:rsidRDefault="0043655B" w:rsidP="0043655B">
      <w:pPr>
        <w:pStyle w:val="TextoNormalNegritaCursivandice"/>
      </w:pPr>
      <w:r>
        <w:t>Real Decreto 689/1978, de 10 de febrero. Aprueba el Reglamento de zonas e instalaciones de interés para la Defensa Nacional, que desarrolla la Ley 8/1975, de 12 de marzo, de zonas e instalaciones de interés para la Defensa Nacional</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p>
    <w:p w:rsidR="0043655B" w:rsidRDefault="0043655B" w:rsidP="0043655B">
      <w:pPr>
        <w:pStyle w:val="TextoNormalNegritaCursivandice"/>
      </w:pPr>
      <w:r>
        <w:t>Real Decreto 997/1978, de 12 de mayo.  Aprueba la ordenanza fiscal reguladora de la tarifa especial del arbitrio insular a la entrada de mercancías en las islas Canarias, se dictan normas para su modificación, suspensión y revisión y se transfieren a la Junta de Canarias las facultades ostentadas por la Junta Económica Interprovincial de Canarias, en orden a dicha ordenanza</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Anexo.</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p>
    <w:p w:rsidR="0043655B" w:rsidRDefault="0043655B" w:rsidP="0043655B">
      <w:pPr>
        <w:pStyle w:val="TextoNormalNegritaCursivandice"/>
      </w:pPr>
      <w:r>
        <w:t>Ley 39/1978, de 17 de julio. Elecciones locales</w:t>
      </w:r>
    </w:p>
    <w:p w:rsidR="0043655B" w:rsidRDefault="0043655B" w:rsidP="0043655B">
      <w:pPr>
        <w:pStyle w:val="SangriaFrancesaArticulo"/>
      </w:pPr>
      <w:r w:rsidRPr="0043655B">
        <w:rPr>
          <w:rStyle w:val="TextoNormalNegritaCaracter"/>
        </w:rPr>
        <w:t>Artículo 23.2.</w:t>
      </w:r>
      <w:r w:rsidRPr="0043655B">
        <w:rPr>
          <w:rStyle w:val="TextoNormalCaracter"/>
        </w:rPr>
        <w:t>-</w:t>
      </w:r>
      <w:r>
        <w:t xml:space="preserve"> Sentencia </w:t>
      </w:r>
      <w:hyperlink w:anchor="SENTENCIA_2012_81" w:history="1">
        <w:r w:rsidRPr="0043655B">
          <w:rPr>
            <w:rStyle w:val="TextoNormalCaracter"/>
          </w:rPr>
          <w:t>81/2012</w:t>
        </w:r>
      </w:hyperlink>
      <w:r>
        <w:t>, f. 3.</w:t>
      </w:r>
    </w:p>
    <w:p w:rsidR="0043655B" w:rsidRDefault="0043655B" w:rsidP="0043655B">
      <w:pPr>
        <w:pStyle w:val="SangriaFrancesaArticulo"/>
      </w:pPr>
    </w:p>
    <w:p w:rsidR="0043655B" w:rsidRDefault="0043655B" w:rsidP="0043655B">
      <w:pPr>
        <w:pStyle w:val="TextoNormalNegritaCursivandice"/>
      </w:pPr>
      <w:r>
        <w:t>Ley 62/1978, de 26 de diciembre. Protección jurisdiccional de los derechos fundamentales de la persona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7" w:history="1">
        <w:r w:rsidRPr="0043655B">
          <w:rPr>
            <w:rStyle w:val="TextoNormalCaracter"/>
          </w:rPr>
          <w:t>27/2012</w:t>
        </w:r>
      </w:hyperlink>
      <w:r>
        <w:t>, f. 2.</w:t>
      </w:r>
    </w:p>
    <w:p w:rsidR="0043655B" w:rsidRDefault="0043655B" w:rsidP="0043655B">
      <w:pPr>
        <w:pStyle w:val="TextoNormal"/>
      </w:pPr>
    </w:p>
    <w:p w:rsidR="0043655B" w:rsidRDefault="0043655B" w:rsidP="0043655B">
      <w:pPr>
        <w:pStyle w:val="SangriaFrancesaArticulo"/>
      </w:pPr>
      <w:bookmarkStart w:id="290" w:name="INDICE22851"/>
    </w:p>
    <w:bookmarkEnd w:id="290"/>
    <w:p w:rsidR="0043655B" w:rsidRDefault="0043655B" w:rsidP="0043655B">
      <w:pPr>
        <w:pStyle w:val="TextoIndiceNivel2"/>
        <w:suppressAutoHyphens/>
      </w:pPr>
      <w:r>
        <w:t>J) Comunidades y Ciudades Autónomas</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 Andalucía</w:t>
      </w:r>
    </w:p>
    <w:p w:rsidR="0043655B" w:rsidRDefault="0043655B" w:rsidP="0043655B">
      <w:pPr>
        <w:pStyle w:val="TextoNormal"/>
      </w:pPr>
    </w:p>
    <w:p w:rsidR="0043655B" w:rsidRDefault="0043655B" w:rsidP="0043655B">
      <w:pPr>
        <w:pStyle w:val="TextoNormalNegritaCentradoSubrayado"/>
        <w:suppressAutoHyphens/>
      </w:pPr>
      <w:r>
        <w:t>J.1.a) Estatuto de Autonomía</w:t>
      </w:r>
    </w:p>
    <w:p w:rsidR="0043655B" w:rsidRDefault="0043655B" w:rsidP="0043655B">
      <w:pPr>
        <w:pStyle w:val="TextoNormalNegritaCentradoSubrayado"/>
      </w:pPr>
    </w:p>
    <w:p w:rsidR="0043655B" w:rsidRDefault="0043655B" w:rsidP="0043655B">
      <w:pPr>
        <w:pStyle w:val="TextoNormalNegritaCursivandice"/>
      </w:pPr>
      <w:r>
        <w:t>Ley Orgánica 6/1981, de 30 de diciembre. Estatuto de Autonomía de Andalucía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f. 4.</w:t>
      </w:r>
    </w:p>
    <w:p w:rsidR="0043655B" w:rsidRDefault="0043655B" w:rsidP="0043655B">
      <w:pPr>
        <w:pStyle w:val="SangriaFrancesaArticulo"/>
      </w:pPr>
      <w:r w:rsidRPr="0043655B">
        <w:rPr>
          <w:rStyle w:val="TextoNormalNegritaCaracter"/>
        </w:rPr>
        <w:t>Artículo 13.4.</w:t>
      </w:r>
      <w:r w:rsidRPr="0043655B">
        <w:rPr>
          <w:rStyle w:val="TextoNormalCaracter"/>
        </w:rPr>
        <w:t>-</w:t>
      </w:r>
      <w:r>
        <w:t xml:space="preserve"> Sentencia </w:t>
      </w:r>
      <w:hyperlink w:anchor="SENTENCIA_2012_34" w:history="1">
        <w:r w:rsidRPr="0043655B">
          <w:rPr>
            <w:rStyle w:val="TextoNormalCaracter"/>
          </w:rPr>
          <w:t>34/2012</w:t>
        </w:r>
      </w:hyperlink>
      <w:r>
        <w:t>, ff. 1, 4.</w:t>
      </w:r>
    </w:p>
    <w:p w:rsidR="0043655B" w:rsidRDefault="0043655B" w:rsidP="0043655B">
      <w:pPr>
        <w:pStyle w:val="SangriaFrancesaArticulo"/>
      </w:pPr>
      <w:r w:rsidRPr="0043655B">
        <w:rPr>
          <w:rStyle w:val="TextoNormalNegritaCaracter"/>
        </w:rPr>
        <w:t>Artículo 13.33.</w:t>
      </w:r>
      <w:r w:rsidRPr="0043655B">
        <w:rPr>
          <w:rStyle w:val="TextoNormalCaracter"/>
        </w:rPr>
        <w:t>-</w:t>
      </w:r>
      <w:r>
        <w:t xml:space="preserve"> Sentencias </w:t>
      </w:r>
      <w:hyperlink w:anchor="SENTENCIA_2012_32" w:history="1">
        <w:r w:rsidRPr="0043655B">
          <w:rPr>
            <w:rStyle w:val="TextoNormalCaracter"/>
          </w:rPr>
          <w:t>32/2012</w:t>
        </w:r>
      </w:hyperlink>
      <w:r>
        <w:t xml:space="preserve">, f. 1; </w:t>
      </w:r>
      <w:hyperlink w:anchor="SENTENCIA_2012_123" w:history="1">
        <w:r w:rsidRPr="0043655B">
          <w:rPr>
            <w:rStyle w:val="TextoNormalCaracter"/>
          </w:rPr>
          <w:t>123/2012</w:t>
        </w:r>
      </w:hyperlink>
      <w:r>
        <w:t xml:space="preserve">, ff. 1, 4; </w:t>
      </w:r>
      <w:hyperlink w:anchor="SENTENCIA_2012_134" w:history="1">
        <w:r w:rsidRPr="0043655B">
          <w:rPr>
            <w:rStyle w:val="TextoNormalCaracter"/>
          </w:rPr>
          <w:t>134/2012</w:t>
        </w:r>
      </w:hyperlink>
      <w:r>
        <w:t>, f. 1.</w:t>
      </w:r>
    </w:p>
    <w:p w:rsidR="0043655B" w:rsidRDefault="0043655B" w:rsidP="0043655B">
      <w:pPr>
        <w:pStyle w:val="SangriaFrancesaArticulo"/>
      </w:pPr>
      <w:r w:rsidRPr="0043655B">
        <w:rPr>
          <w:rStyle w:val="TextoNormalNegritaCaracter"/>
        </w:rPr>
        <w:t>Artículo 14.2.</w:t>
      </w:r>
      <w:r w:rsidRPr="0043655B">
        <w:rPr>
          <w:rStyle w:val="TextoNormalCaracter"/>
        </w:rPr>
        <w:t>-</w:t>
      </w:r>
      <w:r>
        <w:t xml:space="preserve"> Sentencias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f. 5.</w:t>
      </w:r>
    </w:p>
    <w:p w:rsidR="0043655B" w:rsidRDefault="0043655B" w:rsidP="0043655B">
      <w:pPr>
        <w:pStyle w:val="SangriaFrancesaArticulo"/>
      </w:pPr>
      <w:r w:rsidRPr="0043655B">
        <w:rPr>
          <w:rStyle w:val="TextoNormalNegritaCaracter"/>
        </w:rPr>
        <w:t>Artículo 15.1.7.</w:t>
      </w:r>
      <w:r w:rsidRPr="0043655B">
        <w:rPr>
          <w:rStyle w:val="TextoNormalCaracter"/>
        </w:rPr>
        <w:t>-</w:t>
      </w:r>
      <w:r>
        <w:t xml:space="preserve"> Sentencia </w:t>
      </w:r>
      <w:hyperlink w:anchor="SENTENCIA_2012_34" w:history="1">
        <w:r w:rsidRPr="0043655B">
          <w:rPr>
            <w:rStyle w:val="TextoNormalCaracter"/>
          </w:rPr>
          <w:t>34/2012</w:t>
        </w:r>
      </w:hyperlink>
      <w:r>
        <w:t>, ff. 1, 4.</w:t>
      </w:r>
    </w:p>
    <w:p w:rsidR="0043655B" w:rsidRDefault="0043655B" w:rsidP="0043655B">
      <w:pPr>
        <w:pStyle w:val="SangriaFrancesaArticulo"/>
      </w:pPr>
      <w:r w:rsidRPr="0043655B">
        <w:rPr>
          <w:rStyle w:val="TextoNormalNegritaCaracter"/>
        </w:rPr>
        <w:t>Artículo 57.1 f).</w:t>
      </w:r>
      <w:r w:rsidRPr="0043655B">
        <w:rPr>
          <w:rStyle w:val="TextoNormalCaracter"/>
        </w:rPr>
        <w:t>-</w:t>
      </w:r>
      <w:r>
        <w:t xml:space="preserve"> Sentencia </w:t>
      </w:r>
      <w:hyperlink w:anchor="SENTENCIA_2012_32" w:history="1">
        <w:r w:rsidRPr="0043655B">
          <w:rPr>
            <w:rStyle w:val="TextoNormalCaracter"/>
          </w:rPr>
          <w:t>32/2012</w:t>
        </w:r>
      </w:hyperlink>
      <w:r>
        <w:t>, f. 1.</w:t>
      </w:r>
    </w:p>
    <w:p w:rsidR="0043655B" w:rsidRDefault="0043655B" w:rsidP="0043655B">
      <w:pPr>
        <w:pStyle w:val="SangriaFrancesaArticulo"/>
      </w:pPr>
    </w:p>
    <w:p w:rsidR="0043655B" w:rsidRDefault="0043655B" w:rsidP="0043655B">
      <w:pPr>
        <w:pStyle w:val="TextoNormalNegritaCursivandice"/>
      </w:pPr>
      <w:r>
        <w:t>Ley Orgánica 2/2007, de 19 de marzo. Reforma del Estatuto de Autonomía de Andalucía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 w:history="1">
        <w:r w:rsidRPr="0043655B">
          <w:rPr>
            <w:rStyle w:val="TextoNormalCaracter"/>
          </w:rPr>
          <w:t>3/2012</w:t>
        </w:r>
      </w:hyperlink>
      <w:r>
        <w:t xml:space="preserve">, f. 4; </w:t>
      </w:r>
      <w:hyperlink w:anchor="SENTENCIA_2012_4" w:history="1">
        <w:r w:rsidRPr="0043655B">
          <w:rPr>
            <w:rStyle w:val="TextoNormalCaracter"/>
          </w:rPr>
          <w:t>4/2012</w:t>
        </w:r>
      </w:hyperlink>
      <w:r>
        <w:t xml:space="preserve">, f. 4; </w:t>
      </w:r>
      <w:hyperlink w:anchor="SENTENCIA_2012_32" w:history="1">
        <w:r w:rsidRPr="0043655B">
          <w:rPr>
            <w:rStyle w:val="TextoNormalCaracter"/>
          </w:rPr>
          <w:t>32/2012</w:t>
        </w:r>
      </w:hyperlink>
      <w:r>
        <w:t xml:space="preserve">, f. 3; </w:t>
      </w:r>
      <w:hyperlink w:anchor="SENTENCIA_2012_34" w:history="1">
        <w:r w:rsidRPr="0043655B">
          <w:rPr>
            <w:rStyle w:val="TextoNormalCaracter"/>
          </w:rPr>
          <w:t>34/2012</w:t>
        </w:r>
      </w:hyperlink>
      <w:r>
        <w:t xml:space="preserve">, f. 4; </w:t>
      </w:r>
      <w:hyperlink w:anchor="SENTENCIA_2012_83" w:history="1">
        <w:r w:rsidRPr="0043655B">
          <w:rPr>
            <w:rStyle w:val="TextoNormalCaracter"/>
          </w:rPr>
          <w:t>83/2012</w:t>
        </w:r>
      </w:hyperlink>
      <w:r>
        <w:t xml:space="preserve">, f. 2; </w:t>
      </w:r>
      <w:hyperlink w:anchor="SENTENCIA_2012_123" w:history="1">
        <w:r w:rsidRPr="0043655B">
          <w:rPr>
            <w:rStyle w:val="TextoNormalCaracter"/>
          </w:rPr>
          <w:t>123/2012</w:t>
        </w:r>
      </w:hyperlink>
      <w:r>
        <w:t xml:space="preserve">, f. 3; </w:t>
      </w:r>
      <w:hyperlink w:anchor="SENTENCIA_2012_134" w:history="1">
        <w:r w:rsidRPr="0043655B">
          <w:rPr>
            <w:rStyle w:val="TextoNormalCaracter"/>
          </w:rPr>
          <w:t>134/2012</w:t>
        </w:r>
      </w:hyperlink>
      <w:r>
        <w:t>, f. 3.</w:t>
      </w:r>
    </w:p>
    <w:p w:rsidR="0043655B" w:rsidRDefault="0043655B" w:rsidP="0043655B">
      <w:pPr>
        <w:pStyle w:val="SangriaFrancesaArticulo"/>
      </w:pPr>
      <w:r w:rsidRPr="0043655B">
        <w:rPr>
          <w:rStyle w:val="TextoNormalNegritaCaracter"/>
        </w:rPr>
        <w:t>Título IX.</w:t>
      </w:r>
      <w:r w:rsidRPr="0043655B">
        <w:rPr>
          <w:rStyle w:val="TextoNormalCaracter"/>
        </w:rPr>
        <w:t>-</w:t>
      </w:r>
      <w:r>
        <w:t xml:space="preserve"> Sentencias </w:t>
      </w:r>
      <w:hyperlink w:anchor="SENTENCIA_2012_123" w:history="1">
        <w:r w:rsidRPr="0043655B">
          <w:rPr>
            <w:rStyle w:val="TextoNormalCaracter"/>
          </w:rPr>
          <w:t>123/2012</w:t>
        </w:r>
      </w:hyperlink>
      <w:r>
        <w:t xml:space="preserve">, f. 4; </w:t>
      </w:r>
      <w:hyperlink w:anchor="SENTENCIA_2012_134" w:history="1">
        <w:r w:rsidRPr="0043655B">
          <w:rPr>
            <w:rStyle w:val="TextoNormalCaracter"/>
          </w:rPr>
          <w:t>134/2012</w:t>
        </w:r>
      </w:hyperlink>
      <w:r>
        <w:t>, f. 4.</w:t>
      </w:r>
    </w:p>
    <w:p w:rsidR="0043655B" w:rsidRDefault="0043655B" w:rsidP="0043655B">
      <w:pPr>
        <w:pStyle w:val="SangriaFrancesaArticulo"/>
      </w:pPr>
      <w:r w:rsidRPr="0043655B">
        <w:rPr>
          <w:rStyle w:val="TextoNormalNegritaCaracter"/>
        </w:rPr>
        <w:t>Artículo 42.22.</w:t>
      </w:r>
      <w:r w:rsidRPr="0043655B">
        <w:rPr>
          <w:rStyle w:val="TextoNormalCaracter"/>
        </w:rPr>
        <w:t>-</w:t>
      </w:r>
      <w:r>
        <w:t xml:space="preserve"> Sentencia </w:t>
      </w:r>
      <w:hyperlink w:anchor="SENTENCIA_2012_34" w:history="1">
        <w:r w:rsidRPr="0043655B">
          <w:rPr>
            <w:rStyle w:val="TextoNormalCaracter"/>
          </w:rPr>
          <w:t>34/2012</w:t>
        </w:r>
      </w:hyperlink>
      <w:r>
        <w:t>, f. 4.</w:t>
      </w:r>
    </w:p>
    <w:p w:rsidR="0043655B" w:rsidRDefault="0043655B" w:rsidP="0043655B">
      <w:pPr>
        <w:pStyle w:val="SangriaFrancesaArticulo"/>
      </w:pPr>
      <w:r w:rsidRPr="0043655B">
        <w:rPr>
          <w:rStyle w:val="TextoNormalNegritaCaracter"/>
        </w:rPr>
        <w:t>Artículo 47.1.1.</w:t>
      </w:r>
      <w:r w:rsidRPr="0043655B">
        <w:rPr>
          <w:rStyle w:val="TextoNormalCaracter"/>
        </w:rPr>
        <w:t>-</w:t>
      </w:r>
      <w:r>
        <w:t xml:space="preserve"> Sentencia </w:t>
      </w:r>
      <w:hyperlink w:anchor="SENTENCIA_2012_34" w:history="1">
        <w:r w:rsidRPr="0043655B">
          <w:rPr>
            <w:rStyle w:val="TextoNormalCaracter"/>
          </w:rPr>
          <w:t>34/2012</w:t>
        </w:r>
      </w:hyperlink>
      <w:r>
        <w:t>, f. 4.</w:t>
      </w:r>
    </w:p>
    <w:p w:rsidR="0043655B" w:rsidRDefault="0043655B" w:rsidP="0043655B">
      <w:pPr>
        <w:pStyle w:val="SangriaFrancesaArticulo"/>
      </w:pPr>
      <w:r w:rsidRPr="0043655B">
        <w:rPr>
          <w:rStyle w:val="TextoNormalNegritaCaracter"/>
        </w:rPr>
        <w:lastRenderedPageBreak/>
        <w:t>Artículo 57.1 g).</w:t>
      </w:r>
      <w:r w:rsidRPr="0043655B">
        <w:rPr>
          <w:rStyle w:val="TextoNormalCaracter"/>
        </w:rPr>
        <w:t>-</w:t>
      </w:r>
      <w:r>
        <w:t xml:space="preserve"> Sentencia </w:t>
      </w:r>
      <w:hyperlink w:anchor="SENTENCIA_2012_34" w:history="1">
        <w:r w:rsidRPr="0043655B">
          <w:rPr>
            <w:rStyle w:val="TextoNormalCaracter"/>
          </w:rPr>
          <w:t>34/2012</w:t>
        </w:r>
      </w:hyperlink>
      <w:r>
        <w:t>, f. 4.</w:t>
      </w:r>
    </w:p>
    <w:p w:rsidR="0043655B" w:rsidRDefault="0043655B" w:rsidP="0043655B">
      <w:pPr>
        <w:pStyle w:val="SangriaFrancesaArticulo"/>
      </w:pPr>
      <w:r w:rsidRPr="0043655B">
        <w:rPr>
          <w:rStyle w:val="TextoNormalNegritaCaracter"/>
        </w:rPr>
        <w:t>Artículo 57.3.</w:t>
      </w:r>
      <w:r w:rsidRPr="0043655B">
        <w:rPr>
          <w:rStyle w:val="TextoNormalCaracter"/>
        </w:rPr>
        <w:t>-</w:t>
      </w:r>
      <w:r>
        <w:t xml:space="preserve"> Sentencia </w:t>
      </w:r>
      <w:hyperlink w:anchor="SENTENCIA_2012_34" w:history="1">
        <w:r w:rsidRPr="0043655B">
          <w:rPr>
            <w:rStyle w:val="TextoNormalCaracter"/>
          </w:rPr>
          <w:t>34/2012</w:t>
        </w:r>
      </w:hyperlink>
      <w:r>
        <w:t>, f. 4.</w:t>
      </w:r>
    </w:p>
    <w:p w:rsidR="0043655B" w:rsidRDefault="0043655B" w:rsidP="0043655B">
      <w:pPr>
        <w:pStyle w:val="SangriaFrancesaArticulo"/>
      </w:pPr>
      <w:r w:rsidRPr="0043655B">
        <w:rPr>
          <w:rStyle w:val="TextoNormalNegritaCaracter"/>
        </w:rPr>
        <w:t>Artículo 81.1.</w:t>
      </w:r>
      <w:r w:rsidRPr="0043655B">
        <w:rPr>
          <w:rStyle w:val="TextoNormalCaracter"/>
        </w:rPr>
        <w:t>-</w:t>
      </w:r>
      <w:r>
        <w:t xml:space="preserve"> Sentencias </w:t>
      </w:r>
      <w:hyperlink w:anchor="SENTENCIA_2012_32" w:history="1">
        <w:r w:rsidRPr="0043655B">
          <w:rPr>
            <w:rStyle w:val="TextoNormalCaracter"/>
          </w:rPr>
          <w:t>32/2012</w:t>
        </w:r>
      </w:hyperlink>
      <w:r>
        <w:t xml:space="preserve">, f. 3; </w:t>
      </w:r>
      <w:hyperlink w:anchor="SENTENCIA_2012_83" w:history="1">
        <w:r w:rsidRPr="0043655B">
          <w:rPr>
            <w:rStyle w:val="TextoNormalCaracter"/>
          </w:rPr>
          <w:t>83/2012</w:t>
        </w:r>
      </w:hyperlink>
      <w:r>
        <w:t xml:space="preserve">, f. 3; </w:t>
      </w:r>
      <w:hyperlink w:anchor="SENTENCIA_2012_123" w:history="1">
        <w:r w:rsidRPr="0043655B">
          <w:rPr>
            <w:rStyle w:val="TextoNormalCaracter"/>
          </w:rPr>
          <w:t>123/2012</w:t>
        </w:r>
      </w:hyperlink>
      <w:r>
        <w:t xml:space="preserve">, f. 4; </w:t>
      </w:r>
      <w:hyperlink w:anchor="SENTENCIA_2012_134" w:history="1">
        <w:r w:rsidRPr="0043655B">
          <w:rPr>
            <w:rStyle w:val="TextoNormalCaracter"/>
          </w:rPr>
          <w:t>134/2012</w:t>
        </w:r>
      </w:hyperlink>
      <w:r>
        <w:t>, f. 4.</w:t>
      </w:r>
    </w:p>
    <w:p w:rsidR="0043655B" w:rsidRDefault="0043655B" w:rsidP="0043655B">
      <w:pPr>
        <w:pStyle w:val="SangriaFrancesaArticulo"/>
      </w:pPr>
      <w:r w:rsidRPr="0043655B">
        <w:rPr>
          <w:rStyle w:val="TextoNormalNegritaCaracter"/>
        </w:rPr>
        <w:t>Artículo 81.2.</w:t>
      </w:r>
      <w:r w:rsidRPr="0043655B">
        <w:rPr>
          <w:rStyle w:val="TextoNormalCaracter"/>
        </w:rPr>
        <w:t>-</w:t>
      </w:r>
      <w:r>
        <w:t xml:space="preserve"> Sentencias </w:t>
      </w:r>
      <w:hyperlink w:anchor="SENTENCIA_2012_32" w:history="1">
        <w:r w:rsidRPr="0043655B">
          <w:rPr>
            <w:rStyle w:val="TextoNormalCaracter"/>
          </w:rPr>
          <w:t>32/2012</w:t>
        </w:r>
      </w:hyperlink>
      <w:r>
        <w:t xml:space="preserve">, f. 3; </w:t>
      </w:r>
      <w:hyperlink w:anchor="SENTENCIA_2012_123" w:history="1">
        <w:r w:rsidRPr="0043655B">
          <w:rPr>
            <w:rStyle w:val="TextoNormalCaracter"/>
          </w:rPr>
          <w:t>123/2012</w:t>
        </w:r>
      </w:hyperlink>
      <w:r>
        <w:t>, f. 4.</w:t>
      </w:r>
    </w:p>
    <w:p w:rsidR="0043655B" w:rsidRDefault="0043655B" w:rsidP="0043655B">
      <w:pPr>
        <w:pStyle w:val="SangriaFrancesaArticulo"/>
      </w:pPr>
      <w:r w:rsidRPr="0043655B">
        <w:rPr>
          <w:rStyle w:val="TextoNormalNegritaCaracter"/>
        </w:rPr>
        <w:t>Artículo 178.1.</w:t>
      </w:r>
      <w:r w:rsidRPr="0043655B">
        <w:rPr>
          <w:rStyle w:val="TextoNormalCaracter"/>
        </w:rPr>
        <w:t>-</w:t>
      </w:r>
      <w:r>
        <w:t xml:space="preserve"> Sentencia </w:t>
      </w:r>
      <w:hyperlink w:anchor="SENTENCIA_2012_32" w:history="1">
        <w:r w:rsidRPr="0043655B">
          <w:rPr>
            <w:rStyle w:val="TextoNormalCaracter"/>
          </w:rPr>
          <w:t>32/2012</w:t>
        </w:r>
      </w:hyperlink>
      <w:r>
        <w:t>, f. 7.</w:t>
      </w:r>
    </w:p>
    <w:p w:rsidR="0043655B" w:rsidRDefault="0043655B" w:rsidP="0043655B">
      <w:pPr>
        <w:pStyle w:val="TextoNormal"/>
      </w:pPr>
    </w:p>
    <w:p w:rsidR="0043655B" w:rsidRDefault="0043655B" w:rsidP="0043655B">
      <w:pPr>
        <w:pStyle w:val="TextoNormalNegritaCentradoSubrayado"/>
        <w:suppressAutoHyphens/>
      </w:pPr>
      <w:r>
        <w:t>J.1.b)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del Parlamento de Andalucía 6/1985, de 28 de noviembre. Ordenación de la función pública de la Junta de Andalucía</w:t>
      </w:r>
    </w:p>
    <w:p w:rsidR="0043655B" w:rsidRDefault="0043655B" w:rsidP="0043655B">
      <w:pPr>
        <w:pStyle w:val="SangriaFrancesaArticulo"/>
      </w:pPr>
      <w:r w:rsidRPr="0043655B">
        <w:rPr>
          <w:rStyle w:val="TextoNormalNegritaCaracter"/>
        </w:rPr>
        <w:t>Disposición transitoria sexta, apartado 2.1</w:t>
      </w:r>
      <w:r>
        <w:t xml:space="preserve"> </w:t>
      </w:r>
      <w:r w:rsidRPr="0043655B">
        <w:rPr>
          <w:rStyle w:val="TextoNormalCaracter"/>
        </w:rPr>
        <w:t>(redactada por la Ley del Parlamento de Andalucía 6/1988, de 17 de octubre)</w:t>
      </w:r>
      <w:r w:rsidRPr="0043655B">
        <w:rPr>
          <w:rStyle w:val="TextoNormalNegritaCaracter"/>
        </w:rPr>
        <w:t>.</w:t>
      </w:r>
      <w:r w:rsidRPr="0043655B">
        <w:rPr>
          <w:rStyle w:val="TextoNormalCaracter"/>
        </w:rPr>
        <w:t>-</w:t>
      </w:r>
      <w:r>
        <w:t xml:space="preserve"> Sentencia </w:t>
      </w:r>
      <w:hyperlink w:anchor="SENTENCIA_2012_27" w:history="1">
        <w:r w:rsidRPr="0043655B">
          <w:rPr>
            <w:rStyle w:val="TextoNormalCaracter"/>
          </w:rPr>
          <w:t>27/2012</w:t>
        </w:r>
      </w:hyperlink>
      <w:r>
        <w:t>, f. 9.</w:t>
      </w:r>
    </w:p>
    <w:p w:rsidR="0043655B" w:rsidRDefault="0043655B" w:rsidP="0043655B">
      <w:pPr>
        <w:pStyle w:val="SangriaFrancesaArticulo"/>
      </w:pPr>
    </w:p>
    <w:p w:rsidR="0043655B" w:rsidRDefault="0043655B" w:rsidP="0043655B">
      <w:pPr>
        <w:pStyle w:val="TextoNormalNegritaCursivandice"/>
      </w:pPr>
      <w:r>
        <w:t>Ley del Parlamento de Andalucía 6/1988, de 17 de octubre. Modificación de la disposición transitoria sexta de la Ley del Parlamento de Andalucía 6/1985, de 28 de noviembre. Ordenación de la función pública de la Junta de Andalucía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7" w:history="1">
        <w:r w:rsidRPr="0043655B">
          <w:rPr>
            <w:rStyle w:val="TextoNormalCaracter"/>
          </w:rPr>
          <w:t>27/2012</w:t>
        </w:r>
      </w:hyperlink>
      <w:r>
        <w:t>, f. 9.</w:t>
      </w:r>
    </w:p>
    <w:p w:rsidR="0043655B" w:rsidRDefault="0043655B" w:rsidP="0043655B">
      <w:pPr>
        <w:pStyle w:val="SangriaFrancesaArticulo"/>
      </w:pPr>
    </w:p>
    <w:p w:rsidR="0043655B" w:rsidRDefault="0043655B" w:rsidP="0043655B">
      <w:pPr>
        <w:pStyle w:val="TextoNormalNegritaCursivandice"/>
      </w:pPr>
      <w:r>
        <w:t>Ley del Parlamento de Andalucía 8/1997, de 23 de diciembre. Medidas en materia tributaria, presupuestaria, de empresas de la Junta de Andalucía y otras entidades, de recaudación, de contratación, de función pública y de fianzas de arrendamientos y suministros</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Sentencia </w:t>
      </w:r>
      <w:hyperlink w:anchor="SENTENCIA_2012_27" w:history="1">
        <w:r w:rsidRPr="0043655B">
          <w:rPr>
            <w:rStyle w:val="TextoNormalCaracter"/>
          </w:rPr>
          <w:t>27/2012</w:t>
        </w:r>
      </w:hyperlink>
      <w:r>
        <w:t>, ff. 1, 2, 4.</w:t>
      </w:r>
    </w:p>
    <w:p w:rsidR="0043655B" w:rsidRDefault="0043655B" w:rsidP="0043655B">
      <w:pPr>
        <w:pStyle w:val="SangriaFrancesaArticulo"/>
      </w:pPr>
      <w:r w:rsidRPr="0043655B">
        <w:rPr>
          <w:rStyle w:val="TextoNormalNegritaCaracter"/>
        </w:rPr>
        <w:t>Disposición transitoria cuarta, apartado 1.</w:t>
      </w:r>
      <w:r w:rsidRPr="0043655B">
        <w:rPr>
          <w:rStyle w:val="TextoNormalCaracter"/>
        </w:rPr>
        <w:t>-</w:t>
      </w:r>
      <w:r>
        <w:t xml:space="preserve"> Sentencia </w:t>
      </w:r>
      <w:hyperlink w:anchor="SENTENCIA_2012_27" w:history="1">
        <w:r w:rsidRPr="0043655B">
          <w:rPr>
            <w:rStyle w:val="TextoNormalCaracter"/>
          </w:rPr>
          <w:t>27/2012</w:t>
        </w:r>
      </w:hyperlink>
      <w:r>
        <w:t>, ff. 3, 10.</w:t>
      </w:r>
    </w:p>
    <w:p w:rsidR="0043655B" w:rsidRDefault="0043655B" w:rsidP="0043655B">
      <w:pPr>
        <w:pStyle w:val="SangriaFrancesaArticulo"/>
      </w:pPr>
      <w:r w:rsidRPr="0043655B">
        <w:rPr>
          <w:rStyle w:val="TextoNormalNegritaCaracter"/>
        </w:rPr>
        <w:t>Anexo.</w:t>
      </w:r>
      <w:r w:rsidRPr="0043655B">
        <w:rPr>
          <w:rStyle w:val="TextoNormalCaracter"/>
        </w:rPr>
        <w:t>-</w:t>
      </w:r>
      <w:r>
        <w:t xml:space="preserve"> Sentencia </w:t>
      </w:r>
      <w:hyperlink w:anchor="SENTENCIA_2012_27" w:history="1">
        <w:r w:rsidRPr="0043655B">
          <w:rPr>
            <w:rStyle w:val="TextoNormalCaracter"/>
          </w:rPr>
          <w:t>27/2012</w:t>
        </w:r>
      </w:hyperlink>
      <w:r>
        <w:t>, ff. 1, 2, 4, 10.</w:t>
      </w:r>
    </w:p>
    <w:p w:rsidR="0043655B" w:rsidRDefault="0043655B" w:rsidP="0043655B">
      <w:pPr>
        <w:pStyle w:val="SangriaFrancesaArticulo"/>
      </w:pPr>
    </w:p>
    <w:p w:rsidR="0043655B" w:rsidRDefault="0043655B" w:rsidP="0043655B">
      <w:pPr>
        <w:pStyle w:val="TextoNormalNegritaCursivandice"/>
      </w:pPr>
      <w:r>
        <w:t>Ley del Parlamento de Andalucía 13/2001, de 11 de diciembre. Regula la coordinación de policías locales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4" w:history="1">
        <w:r w:rsidRPr="0043655B">
          <w:rPr>
            <w:rStyle w:val="TextoNormalCaracter"/>
          </w:rPr>
          <w:t>4/2012</w:t>
        </w:r>
      </w:hyperlink>
      <w:r>
        <w:t>, f. 3.</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18.</w:t>
      </w:r>
      <w:r w:rsidRPr="0043655B">
        <w:rPr>
          <w:rStyle w:val="TextoNormalCaracter"/>
        </w:rPr>
        <w:t>-</w:t>
      </w:r>
      <w:r>
        <w:t xml:space="preserve"> Sentencia </w:t>
      </w:r>
      <w:hyperlink w:anchor="SENTENCIA_2012_4" w:history="1">
        <w:r w:rsidRPr="0043655B">
          <w:rPr>
            <w:rStyle w:val="TextoNormalCaracter"/>
          </w:rPr>
          <w:t>4/2012</w:t>
        </w:r>
      </w:hyperlink>
      <w:r>
        <w:t>, f. 3.</w:t>
      </w:r>
    </w:p>
    <w:p w:rsidR="0043655B" w:rsidRDefault="0043655B" w:rsidP="0043655B">
      <w:pPr>
        <w:pStyle w:val="SangriaFrancesaArticulo"/>
      </w:pPr>
      <w:r w:rsidRPr="0043655B">
        <w:rPr>
          <w:rStyle w:val="TextoNormalNegritaCaracter"/>
        </w:rPr>
        <w:t>Artículo 19.</w:t>
      </w:r>
      <w:r w:rsidRPr="0043655B">
        <w:rPr>
          <w:rStyle w:val="TextoNormalCaracter"/>
        </w:rPr>
        <w:t>-</w:t>
      </w:r>
      <w:r>
        <w:t xml:space="preserve"> Sentencia </w:t>
      </w:r>
      <w:hyperlink w:anchor="SENTENCIA_2012_4" w:history="1">
        <w:r w:rsidRPr="0043655B">
          <w:rPr>
            <w:rStyle w:val="TextoNormalCaracter"/>
          </w:rPr>
          <w:t>4/2012</w:t>
        </w:r>
      </w:hyperlink>
      <w:r>
        <w:t>, f. 3.</w:t>
      </w:r>
    </w:p>
    <w:p w:rsidR="0043655B" w:rsidRDefault="0043655B" w:rsidP="0043655B">
      <w:pPr>
        <w:pStyle w:val="SangriaFrancesaArticulo"/>
      </w:pPr>
      <w:r w:rsidRPr="0043655B">
        <w:rPr>
          <w:rStyle w:val="TextoNormalNegritaCaracter"/>
        </w:rPr>
        <w:t>Artículo 25.</w:t>
      </w:r>
      <w:r w:rsidRPr="0043655B">
        <w:rPr>
          <w:rStyle w:val="TextoNormalCaracter"/>
        </w:rPr>
        <w:t>-</w:t>
      </w:r>
      <w:r>
        <w:t xml:space="preserve"> Sentencia </w:t>
      </w:r>
      <w:hyperlink w:anchor="SENTENCIA_2012_4" w:history="1">
        <w:r w:rsidRPr="0043655B">
          <w:rPr>
            <w:rStyle w:val="TextoNormalCaracter"/>
          </w:rPr>
          <w:t>4/2012</w:t>
        </w:r>
      </w:hyperlink>
      <w:r>
        <w:t>, f. 3.</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28.1.</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28.2.</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29.</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30.1.</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30.2.</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SangriaFrancesaArticulo"/>
      </w:pPr>
      <w:r w:rsidRPr="0043655B">
        <w:rPr>
          <w:rStyle w:val="TextoNormalNegritaCaracter"/>
        </w:rPr>
        <w:t>Artículo 38.</w:t>
      </w:r>
      <w:r w:rsidRPr="0043655B">
        <w:rPr>
          <w:rStyle w:val="TextoNormalCaracter"/>
        </w:rPr>
        <w:t>-</w:t>
      </w:r>
      <w:r>
        <w:t xml:space="preserve"> Sentencia </w:t>
      </w:r>
      <w:hyperlink w:anchor="SENTENCIA_2012_4" w:history="1">
        <w:r w:rsidRPr="0043655B">
          <w:rPr>
            <w:rStyle w:val="TextoNormalCaracter"/>
          </w:rPr>
          <w:t>4/2012</w:t>
        </w:r>
      </w:hyperlink>
      <w:r>
        <w:t>, ff. 1, 3.</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Sentencia </w:t>
      </w:r>
      <w:hyperlink w:anchor="SENTENCIA_2012_29" w:history="1">
        <w:r w:rsidRPr="0043655B">
          <w:rPr>
            <w:rStyle w:val="TextoNormalCaracter"/>
          </w:rPr>
          <w:t>29/2012</w:t>
        </w:r>
      </w:hyperlink>
      <w:r>
        <w:t>, ff. 1, 2, 6.</w:t>
      </w:r>
    </w:p>
    <w:p w:rsidR="0043655B" w:rsidRDefault="0043655B" w:rsidP="0043655B">
      <w:pPr>
        <w:pStyle w:val="SangriaFrancesaArticulo"/>
      </w:pPr>
      <w:r w:rsidRPr="0043655B">
        <w:rPr>
          <w:rStyle w:val="TextoNormalNegritaCaracter"/>
        </w:rPr>
        <w:t>Artículo 46.1.</w:t>
      </w:r>
      <w:r w:rsidRPr="0043655B">
        <w:rPr>
          <w:rStyle w:val="TextoNormalCaracter"/>
        </w:rPr>
        <w:t>-</w:t>
      </w:r>
      <w:r>
        <w:t xml:space="preserve"> Sentencia </w:t>
      </w:r>
      <w:hyperlink w:anchor="SENTENCIA_2012_29" w:history="1">
        <w:r w:rsidRPr="0043655B">
          <w:rPr>
            <w:rStyle w:val="TextoNormalCaracter"/>
          </w:rPr>
          <w:t>29/2012</w:t>
        </w:r>
      </w:hyperlink>
      <w:r>
        <w:t>, f. 3.</w:t>
      </w:r>
    </w:p>
    <w:p w:rsidR="0043655B" w:rsidRDefault="0043655B" w:rsidP="0043655B">
      <w:pPr>
        <w:pStyle w:val="SangriaFrancesaArticulo"/>
      </w:pPr>
      <w:r w:rsidRPr="0043655B">
        <w:rPr>
          <w:rStyle w:val="TextoNormalNegritaCaracter"/>
        </w:rPr>
        <w:t>Artículo 46.1 b).</w:t>
      </w:r>
      <w:r w:rsidRPr="0043655B">
        <w:rPr>
          <w:rStyle w:val="TextoNormalCaracter"/>
        </w:rPr>
        <w:t>-</w:t>
      </w:r>
      <w:r>
        <w:t xml:space="preserve"> Sentencia </w:t>
      </w:r>
      <w:hyperlink w:anchor="SENTENCIA_2012_29" w:history="1">
        <w:r w:rsidRPr="0043655B">
          <w:rPr>
            <w:rStyle w:val="TextoNormalCaracter"/>
          </w:rPr>
          <w:t>29/2012</w:t>
        </w:r>
      </w:hyperlink>
      <w:r>
        <w:t>, f. 3.</w:t>
      </w:r>
    </w:p>
    <w:p w:rsidR="0043655B" w:rsidRDefault="0043655B" w:rsidP="0043655B">
      <w:pPr>
        <w:pStyle w:val="SangriaFrancesaArticulo"/>
      </w:pPr>
      <w:r w:rsidRPr="0043655B">
        <w:rPr>
          <w:rStyle w:val="TextoNormalNegritaCaracter"/>
        </w:rPr>
        <w:t>Artículo 46.2.</w:t>
      </w:r>
      <w:r w:rsidRPr="0043655B">
        <w:rPr>
          <w:rStyle w:val="TextoNormalCaracter"/>
        </w:rPr>
        <w:t>-</w:t>
      </w:r>
      <w:r>
        <w:t xml:space="preserve"> Sentencia </w:t>
      </w:r>
      <w:hyperlink w:anchor="SENTENCIA_2012_29" w:history="1">
        <w:r w:rsidRPr="0043655B">
          <w:rPr>
            <w:rStyle w:val="TextoNormalCaracter"/>
          </w:rPr>
          <w:t>29/2012</w:t>
        </w:r>
      </w:hyperlink>
      <w:r>
        <w:t>, ff. 3, 4.</w:t>
      </w:r>
    </w:p>
    <w:p w:rsidR="0043655B" w:rsidRDefault="0043655B" w:rsidP="0043655B">
      <w:pPr>
        <w:pStyle w:val="SangriaFrancesaArticulo"/>
      </w:pPr>
      <w:r w:rsidRPr="0043655B">
        <w:rPr>
          <w:rStyle w:val="TextoNormalNegritaCaracter"/>
        </w:rPr>
        <w:t>Artículo 46.2 in fine.</w:t>
      </w:r>
      <w:r w:rsidRPr="0043655B">
        <w:rPr>
          <w:rStyle w:val="TextoNormalCaracter"/>
        </w:rPr>
        <w:t>-</w:t>
      </w:r>
      <w:r>
        <w:t xml:space="preserve"> Sentencia </w:t>
      </w:r>
      <w:hyperlink w:anchor="SENTENCIA_2012_29" w:history="1">
        <w:r w:rsidRPr="0043655B">
          <w:rPr>
            <w:rStyle w:val="TextoNormalCaracter"/>
          </w:rPr>
          <w:t>29/2012</w:t>
        </w:r>
      </w:hyperlink>
      <w:r>
        <w:t>, f. 3.</w:t>
      </w:r>
    </w:p>
    <w:p w:rsidR="0043655B" w:rsidRDefault="0043655B" w:rsidP="0043655B">
      <w:pPr>
        <w:pStyle w:val="SangriaFrancesaArticulo"/>
      </w:pPr>
      <w:r w:rsidRPr="0043655B">
        <w:rPr>
          <w:rStyle w:val="TextoNormalNegritaCaracter"/>
        </w:rPr>
        <w:t>Disposición transitoria primera, apartado 2.</w:t>
      </w:r>
      <w:r w:rsidRPr="0043655B">
        <w:rPr>
          <w:rStyle w:val="TextoNormalCaracter"/>
        </w:rPr>
        <w:t>-</w:t>
      </w:r>
      <w:r>
        <w:t xml:space="preserve"> Sentencia </w:t>
      </w:r>
      <w:hyperlink w:anchor="SENTENCIA_2012_4" w:history="1">
        <w:r w:rsidRPr="0043655B">
          <w:rPr>
            <w:rStyle w:val="TextoNormalCaracter"/>
          </w:rPr>
          <w:t>4/2012</w:t>
        </w:r>
      </w:hyperlink>
      <w:r>
        <w:t>, ff. 1 a 4, 6.</w:t>
      </w:r>
    </w:p>
    <w:p w:rsidR="0043655B" w:rsidRDefault="0043655B" w:rsidP="0043655B">
      <w:pPr>
        <w:pStyle w:val="SangriaFrancesaArticulo"/>
      </w:pPr>
      <w:r w:rsidRPr="0043655B">
        <w:rPr>
          <w:rStyle w:val="TextoNormalNegritaCaracter"/>
        </w:rPr>
        <w:t>Disposición transitoria primera, apartado 3.</w:t>
      </w:r>
      <w:r w:rsidRPr="0043655B">
        <w:rPr>
          <w:rStyle w:val="TextoNormalCaracter"/>
        </w:rPr>
        <w:t>-</w:t>
      </w:r>
      <w:r>
        <w:t xml:space="preserve"> Sentencia </w:t>
      </w:r>
      <w:hyperlink w:anchor="SENTENCIA_2012_4" w:history="1">
        <w:r w:rsidRPr="0043655B">
          <w:rPr>
            <w:rStyle w:val="TextoNormalCaracter"/>
          </w:rPr>
          <w:t>4/2012</w:t>
        </w:r>
      </w:hyperlink>
      <w:r>
        <w:t>, f. 3.</w:t>
      </w:r>
    </w:p>
    <w:p w:rsidR="0043655B" w:rsidRDefault="0043655B" w:rsidP="0043655B">
      <w:pPr>
        <w:pStyle w:val="SangriaFrancesaArticulo"/>
      </w:pPr>
      <w:r w:rsidRPr="0043655B">
        <w:rPr>
          <w:rStyle w:val="TextoNormalNegritaCaracter"/>
        </w:rPr>
        <w:lastRenderedPageBreak/>
        <w:t>Disposición transitoria tercera.</w:t>
      </w:r>
      <w:r w:rsidRPr="0043655B">
        <w:rPr>
          <w:rStyle w:val="TextoNormalCaracter"/>
        </w:rPr>
        <w:t>-</w:t>
      </w:r>
      <w:r>
        <w:t xml:space="preserve"> Sentencia </w:t>
      </w:r>
      <w:hyperlink w:anchor="SENTENCIA_2012_4" w:history="1">
        <w:r w:rsidRPr="0043655B">
          <w:rPr>
            <w:rStyle w:val="TextoNormalCaracter"/>
          </w:rPr>
          <w:t>4/2012</w:t>
        </w:r>
      </w:hyperlink>
      <w:r>
        <w:t>, f. 3.</w:t>
      </w:r>
    </w:p>
    <w:p w:rsidR="0043655B" w:rsidRDefault="0043655B" w:rsidP="0043655B">
      <w:pPr>
        <w:pStyle w:val="SangriaFrancesaArticulo"/>
      </w:pPr>
      <w:r w:rsidRPr="0043655B">
        <w:rPr>
          <w:rStyle w:val="TextoNormalNegritaCaracter"/>
        </w:rPr>
        <w:t>Disposición transitoria cuarta.</w:t>
      </w:r>
      <w:r w:rsidRPr="0043655B">
        <w:rPr>
          <w:rStyle w:val="TextoNormalCaracter"/>
        </w:rPr>
        <w:t>-</w:t>
      </w:r>
      <w:r>
        <w:t xml:space="preserve"> Sentencia </w:t>
      </w:r>
      <w:hyperlink w:anchor="SENTENCIA_2012_3" w:history="1">
        <w:r w:rsidRPr="0043655B">
          <w:rPr>
            <w:rStyle w:val="TextoNormalCaracter"/>
          </w:rPr>
          <w:t>3/2012</w:t>
        </w:r>
      </w:hyperlink>
      <w:r>
        <w:t>, ff. 1 a 3.</w:t>
      </w:r>
    </w:p>
    <w:p w:rsidR="0043655B" w:rsidRDefault="0043655B" w:rsidP="0043655B">
      <w:pPr>
        <w:pStyle w:val="SangriaFrancesaArticulo"/>
      </w:pPr>
      <w:r w:rsidRPr="0043655B">
        <w:rPr>
          <w:rStyle w:val="TextoNormalNegritaCaracter"/>
        </w:rPr>
        <w:t>Disposición transitoria novena.</w:t>
      </w:r>
      <w:r w:rsidRPr="0043655B">
        <w:rPr>
          <w:rStyle w:val="TextoNormalCaracter"/>
        </w:rPr>
        <w:t>-</w:t>
      </w:r>
      <w:r>
        <w:t xml:space="preserve"> Sentencia </w:t>
      </w:r>
      <w:hyperlink w:anchor="SENTENCIA_2012_29" w:history="1">
        <w:r w:rsidRPr="0043655B">
          <w:rPr>
            <w:rStyle w:val="TextoNormalCaracter"/>
          </w:rPr>
          <w:t>29/2012</w:t>
        </w:r>
      </w:hyperlink>
      <w:r>
        <w:t>, f. 6.</w:t>
      </w:r>
    </w:p>
    <w:p w:rsidR="0043655B" w:rsidRDefault="0043655B" w:rsidP="0043655B">
      <w:pPr>
        <w:pStyle w:val="TextoNormal"/>
      </w:pPr>
    </w:p>
    <w:p w:rsidR="0043655B" w:rsidRDefault="0043655B" w:rsidP="0043655B">
      <w:pPr>
        <w:pStyle w:val="TextoNormalNegritaCentradoSubrayado"/>
        <w:suppressAutoHyphens/>
      </w:pPr>
      <w:r>
        <w:t>J.1.c)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Decreto de la Junta de Andalucía 264/1989, de 27 de diciembre. Regulación del procedimiento de acceso a la condición de funcionario de la Administración de la Junta de Andalucía en las tres primeras ofertas de empleo público, incluida la de 1988</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7" w:history="1">
        <w:r w:rsidRPr="0043655B">
          <w:rPr>
            <w:rStyle w:val="TextoNormalCaracter"/>
          </w:rPr>
          <w:t>27/2012</w:t>
        </w:r>
      </w:hyperlink>
      <w:r>
        <w:t>, ff. 4, 9.</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J.2) Aragón</w:t>
      </w:r>
    </w:p>
    <w:p w:rsidR="0043655B" w:rsidRDefault="0043655B" w:rsidP="0043655B">
      <w:pPr>
        <w:pStyle w:val="TextoNormal"/>
      </w:pPr>
    </w:p>
    <w:p w:rsidR="0043655B" w:rsidRDefault="0043655B" w:rsidP="0043655B">
      <w:pPr>
        <w:pStyle w:val="TextoNormalNegritaCentradoSubrayado"/>
        <w:suppressAutoHyphens/>
      </w:pPr>
      <w:r>
        <w:t>J.2.a) Estatuto de Autonomía</w:t>
      </w:r>
    </w:p>
    <w:p w:rsidR="0043655B" w:rsidRDefault="0043655B" w:rsidP="0043655B">
      <w:pPr>
        <w:pStyle w:val="TextoNormalNegritaCentradoSubrayado"/>
      </w:pPr>
    </w:p>
    <w:p w:rsidR="0043655B" w:rsidRDefault="0043655B" w:rsidP="0043655B">
      <w:pPr>
        <w:pStyle w:val="TextoNormalNegritaCursivandice"/>
      </w:pPr>
      <w:r>
        <w:t>Ley Orgánica 8/1982, de 10 de agosto. Estatuto de Autonomía de Aragón</w:t>
      </w:r>
    </w:p>
    <w:p w:rsidR="0043655B" w:rsidRDefault="0043655B" w:rsidP="0043655B">
      <w:pPr>
        <w:pStyle w:val="SangriaFrancesaArticulo"/>
      </w:pPr>
      <w:r w:rsidRPr="0043655B">
        <w:rPr>
          <w:rStyle w:val="TextoNormalNegritaCaracter"/>
        </w:rPr>
        <w:t>Artículo 22</w:t>
      </w:r>
      <w:r>
        <w:t xml:space="preserve"> </w:t>
      </w:r>
      <w:r w:rsidRPr="0043655B">
        <w:rPr>
          <w:rStyle w:val="TextoNormalCaracter"/>
        </w:rPr>
        <w:t>(redactado por la Ley Orgánica 5/1996, de 30 de diciembre)</w:t>
      </w:r>
      <w:r w:rsidRPr="0043655B">
        <w:rPr>
          <w:rStyle w:val="TextoNormalNegritaCaracter"/>
        </w:rPr>
        <w:t>.</w:t>
      </w:r>
      <w:r w:rsidRPr="0043655B">
        <w:rPr>
          <w:rStyle w:val="TextoNormalCaracter"/>
        </w:rPr>
        <w:t>-</w:t>
      </w:r>
      <w:r>
        <w:t xml:space="preserve"> Sentencia </w:t>
      </w:r>
      <w:hyperlink w:anchor="SENTENCIA_2012_6" w:history="1">
        <w:r w:rsidRPr="0043655B">
          <w:rPr>
            <w:rStyle w:val="TextoNormalCaracter"/>
          </w:rPr>
          <w:t>6/2012</w:t>
        </w:r>
      </w:hyperlink>
      <w:r>
        <w:t>, f. 5, VP I.</w:t>
      </w:r>
    </w:p>
    <w:p w:rsidR="0043655B" w:rsidRDefault="0043655B" w:rsidP="0043655B">
      <w:pPr>
        <w:pStyle w:val="SangriaFrancesaArticulo"/>
      </w:pPr>
      <w:r w:rsidRPr="0043655B">
        <w:rPr>
          <w:rStyle w:val="TextoNormalNegritaCaracter"/>
        </w:rPr>
        <w:t>Artículo 22.2</w:t>
      </w:r>
      <w:r>
        <w:t xml:space="preserve"> </w:t>
      </w:r>
      <w:r w:rsidRPr="0043655B">
        <w:rPr>
          <w:rStyle w:val="TextoNormalCaracter"/>
        </w:rPr>
        <w:t>(redactado por la Ley Orgánica 5/1996, de 30 de diciembre)</w:t>
      </w:r>
      <w:r w:rsidRPr="0043655B">
        <w:rPr>
          <w:rStyle w:val="TextoNormalNegritaCaracter"/>
        </w:rPr>
        <w:t>.</w:t>
      </w:r>
      <w:r w:rsidRPr="0043655B">
        <w:rPr>
          <w:rStyle w:val="TextoNormalCaracter"/>
        </w:rPr>
        <w:t>-</w:t>
      </w:r>
      <w:r>
        <w:t xml:space="preserve"> Sentencia </w:t>
      </w:r>
      <w:hyperlink w:anchor="SENTENCIA_2012_6" w:history="1">
        <w:r w:rsidRPr="0043655B">
          <w:rPr>
            <w:rStyle w:val="TextoNormalCaracter"/>
          </w:rPr>
          <w:t>6/2012</w:t>
        </w:r>
      </w:hyperlink>
      <w:r>
        <w:t>, ff. 6, 8, VP II.</w:t>
      </w:r>
    </w:p>
    <w:p w:rsidR="0043655B" w:rsidRDefault="0043655B" w:rsidP="0043655B">
      <w:pPr>
        <w:pStyle w:val="SangriaFrancesaArticulo"/>
      </w:pPr>
      <w:r w:rsidRPr="0043655B">
        <w:rPr>
          <w:rStyle w:val="TextoNormalNegritaCaracter"/>
        </w:rPr>
        <w:t>Artículo 35.1.33</w:t>
      </w:r>
      <w:r>
        <w:t xml:space="preserve"> </w:t>
      </w:r>
      <w:r w:rsidRPr="0043655B">
        <w:rPr>
          <w:rStyle w:val="TextoNormalCaracter"/>
        </w:rPr>
        <w:t>(redactado por la Ley Orgánica 5/1996, de 30 de diciembre)</w:t>
      </w:r>
      <w:r w:rsidRPr="0043655B">
        <w:rPr>
          <w:rStyle w:val="TextoNormalNegritaCaracter"/>
        </w:rPr>
        <w:t>.</w:t>
      </w:r>
      <w:r w:rsidRPr="0043655B">
        <w:rPr>
          <w:rStyle w:val="TextoNormalCaracter"/>
        </w:rPr>
        <w:t>-</w:t>
      </w:r>
      <w:r>
        <w:t xml:space="preserve"> Sentencia </w:t>
      </w:r>
      <w:hyperlink w:anchor="SENTENCIA_2012_6" w:history="1">
        <w:r w:rsidRPr="0043655B">
          <w:rPr>
            <w:rStyle w:val="TextoNormalCaracter"/>
          </w:rPr>
          <w:t>6/2012</w:t>
        </w:r>
      </w:hyperlink>
      <w:r>
        <w:t>, ff. 1, 3 a 5, VP I.</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r w:rsidRPr="0043655B">
        <w:rPr>
          <w:rStyle w:val="TextoNormalNegritaCaracter"/>
        </w:rPr>
        <w:t>Artículo 36.1 g)</w:t>
      </w:r>
      <w:r>
        <w:t xml:space="preserve"> </w:t>
      </w:r>
      <w:r w:rsidRPr="0043655B">
        <w:rPr>
          <w:rStyle w:val="TextoNormalCaracter"/>
        </w:rPr>
        <w:t>(redactado por la Ley Orgánica 5/1996, de 30 de diciembre)</w:t>
      </w:r>
      <w:r w:rsidRPr="0043655B">
        <w:rPr>
          <w:rStyle w:val="TextoNormalNegritaCaracter"/>
        </w:rPr>
        <w:t>.</w:t>
      </w:r>
      <w:r w:rsidRPr="0043655B">
        <w:rPr>
          <w:rStyle w:val="TextoNormalCaracter"/>
        </w:rPr>
        <w:t>-</w:t>
      </w:r>
      <w:r>
        <w:t xml:space="preserve"> Sentencia </w:t>
      </w:r>
      <w:hyperlink w:anchor="SENTENCIA_2012_6" w:history="1">
        <w:r w:rsidRPr="0043655B">
          <w:rPr>
            <w:rStyle w:val="TextoNormalCaracter"/>
          </w:rPr>
          <w:t>6/2012</w:t>
        </w:r>
      </w:hyperlink>
      <w:r>
        <w:t>, ff. 1, 3 a 5, VP I.</w:t>
      </w:r>
    </w:p>
    <w:p w:rsidR="0043655B" w:rsidRDefault="0043655B" w:rsidP="0043655B">
      <w:pPr>
        <w:pStyle w:val="SangriaFrancesaArticulo"/>
      </w:pPr>
      <w:r w:rsidRPr="0043655B">
        <w:rPr>
          <w:rStyle w:val="TextoNormalNegritaCaracter"/>
        </w:rPr>
        <w:t>Artículo 36.1.3</w:t>
      </w:r>
      <w:r>
        <w:t xml:space="preserve"> </w:t>
      </w:r>
      <w:r w:rsidRPr="0043655B">
        <w:rPr>
          <w:rStyle w:val="TextoNormalCaracter"/>
        </w:rPr>
        <w:t>(redactado por la Ley Orgánica 5/1996, de 30 de diciembre)</w:t>
      </w:r>
      <w:r w:rsidRPr="0043655B">
        <w:rPr>
          <w:rStyle w:val="TextoNormalNegritaCaracter"/>
        </w:rPr>
        <w:t>.</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r w:rsidRPr="0043655B">
        <w:rPr>
          <w:rStyle w:val="TextoNormalNegritaCaracter"/>
        </w:rPr>
        <w:t>Artículo 71.45</w:t>
      </w:r>
      <w:r>
        <w:t xml:space="preserve"> </w:t>
      </w:r>
      <w:r w:rsidRPr="0043655B">
        <w:rPr>
          <w:rStyle w:val="TextoNormalCaracter"/>
        </w:rPr>
        <w:t>(redactado por la Ley Orgánica 5/1996, de 30 de diciembre)</w:t>
      </w:r>
      <w:r w:rsidRPr="0043655B">
        <w:rPr>
          <w:rStyle w:val="TextoNormalNegritaCaracter"/>
        </w:rPr>
        <w:t>.</w:t>
      </w:r>
      <w:r w:rsidRPr="0043655B">
        <w:rPr>
          <w:rStyle w:val="TextoNormalCaracter"/>
        </w:rPr>
        <w:t>-</w:t>
      </w:r>
      <w:r>
        <w:t xml:space="preserve"> Sentencia </w:t>
      </w:r>
      <w:hyperlink w:anchor="SENTENCIA_2012_6" w:history="1">
        <w:r w:rsidRPr="0043655B">
          <w:rPr>
            <w:rStyle w:val="TextoNormalCaracter"/>
          </w:rPr>
          <w:t>6/2012</w:t>
        </w:r>
      </w:hyperlink>
      <w:r>
        <w:t>, ff. 5 a 8, VP I, VP II.</w:t>
      </w:r>
    </w:p>
    <w:p w:rsidR="0043655B" w:rsidRDefault="0043655B" w:rsidP="0043655B">
      <w:pPr>
        <w:pStyle w:val="SangriaFrancesaArticulo"/>
      </w:pPr>
      <w:r w:rsidRPr="0043655B">
        <w:rPr>
          <w:rStyle w:val="TextoNormalNegritaCaracter"/>
        </w:rPr>
        <w:t>Disposición adicional segunda,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segunda, apartado 3.</w:t>
      </w:r>
      <w:r w:rsidRPr="0043655B">
        <w:rPr>
          <w:rStyle w:val="TextoNormalCaracter"/>
        </w:rPr>
        <w:t>-</w:t>
      </w:r>
      <w:r>
        <w:t xml:space="preserve"> Sentencia </w:t>
      </w:r>
      <w:hyperlink w:anchor="SENTENCIA_2012_19" w:history="1">
        <w:r w:rsidRPr="0043655B">
          <w:rPr>
            <w:rStyle w:val="TextoNormalCaracter"/>
          </w:rPr>
          <w:t>19/2012</w:t>
        </w:r>
      </w:hyperlink>
      <w:r>
        <w:t>, ff. 2, 11.</w:t>
      </w:r>
    </w:p>
    <w:p w:rsidR="0043655B" w:rsidRDefault="0043655B" w:rsidP="0043655B">
      <w:pPr>
        <w:pStyle w:val="SangriaFrancesaArticulo"/>
      </w:pPr>
    </w:p>
    <w:p w:rsidR="0043655B" w:rsidRDefault="0043655B" w:rsidP="0043655B">
      <w:pPr>
        <w:pStyle w:val="TextoNormalNegritaCursivandice"/>
      </w:pPr>
      <w:r>
        <w:t>Ley Orgánica 6/1994, de 24 de marzo. Reforma del Estatuto de Autonomía de Aragón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p>
    <w:p w:rsidR="0043655B" w:rsidRDefault="0043655B" w:rsidP="0043655B">
      <w:pPr>
        <w:pStyle w:val="TextoNormalNegritaCursivandice"/>
      </w:pPr>
      <w:r>
        <w:t>Ley Orgánica 5/1996, de 30 de diciembre. Reforma de la Ley Orgánica 8/1982, de 10 de agosto, de Estatuto de Autonomía de Aragón, modificada por la Ley Orgánica 6/1994, de 24 de marzo, de reforma de dicho Estatuto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ff. 1, 5.</w:t>
      </w:r>
    </w:p>
    <w:p w:rsidR="0043655B" w:rsidRDefault="0043655B" w:rsidP="0043655B">
      <w:pPr>
        <w:pStyle w:val="SangriaFrancesaArticulo"/>
      </w:pPr>
      <w:r w:rsidRPr="0043655B">
        <w:rPr>
          <w:rStyle w:val="TextoNormalNegritaCaracter"/>
        </w:rPr>
        <w:t>Disposición adicional segunda, apartado 1 b).</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5/2007, de 20 de abril. Reforma del Estatuto de Autonomía de Aragón</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 </w:t>
      </w:r>
      <w:hyperlink w:anchor="SENTENCIA_2012_6" w:history="1">
        <w:r w:rsidRPr="0043655B">
          <w:rPr>
            <w:rStyle w:val="TextoNormalCaracter"/>
          </w:rPr>
          <w:t>6/2012</w:t>
        </w:r>
      </w:hyperlink>
      <w:r>
        <w:t>, ff. 3 a 8, VP I, VP II.</w:t>
      </w:r>
    </w:p>
    <w:p w:rsidR="0043655B" w:rsidRDefault="0043655B" w:rsidP="0043655B">
      <w:pPr>
        <w:pStyle w:val="SangriaFrancesaArticulo"/>
      </w:pPr>
      <w:r w:rsidRPr="0043655B">
        <w:rPr>
          <w:rStyle w:val="TextoNormalNegritaCaracter"/>
        </w:rPr>
        <w:t>Disposición adicional segunda, apartado 3.</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TextoNormal"/>
      </w:pPr>
    </w:p>
    <w:p w:rsidR="0043655B" w:rsidRDefault="0043655B" w:rsidP="0043655B">
      <w:pPr>
        <w:pStyle w:val="TextoNormalNegritaCentradoSubrayado"/>
        <w:suppressAutoHyphens/>
      </w:pPr>
      <w:r>
        <w:t>J.2.b)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las Cortes de Aragón 3/1999, de 10 de marzo. Patrimonio cultural aragonés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p>
    <w:p w:rsidR="0043655B" w:rsidRDefault="0043655B" w:rsidP="0043655B">
      <w:pPr>
        <w:pStyle w:val="TextoNormalNegritaCursivandice"/>
      </w:pPr>
      <w:r>
        <w:t>Ley de las Cortes de Aragón 4/1999, de 25 de marzo. Ordenación farmacéutica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8" w:history="1">
        <w:r w:rsidRPr="0043655B">
          <w:rPr>
            <w:rStyle w:val="TextoNormalCaracter"/>
          </w:rPr>
          <w:t>78/2012</w:t>
        </w:r>
      </w:hyperlink>
      <w:r>
        <w:t>, f. 2.</w:t>
      </w:r>
    </w:p>
    <w:p w:rsidR="0043655B" w:rsidRDefault="0043655B" w:rsidP="0043655B">
      <w:pPr>
        <w:pStyle w:val="SangriaFrancesaArticulo"/>
      </w:pPr>
    </w:p>
    <w:p w:rsidR="0043655B" w:rsidRDefault="0043655B" w:rsidP="0043655B">
      <w:pPr>
        <w:pStyle w:val="TextoNormalNegritaCursivandice"/>
      </w:pPr>
      <w:r>
        <w:t>Ley de las Cortes de Aragón 26/2001, de 28 de diciembre. Medidas tributarias y administrativas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 las Cortes de Aragón 12/2009, de 30 de diciembre. Presupuestos de la Comunidad para el ejercicio 2010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16.1</w:t>
      </w:r>
      <w:r>
        <w:t xml:space="preserve"> </w:t>
      </w:r>
      <w:r w:rsidRPr="0043655B">
        <w:rPr>
          <w:rStyle w:val="TextoNormalCaracter"/>
        </w:rPr>
        <w:t>(redactado por la Ley de las Cortes de Aragón 5/2010, de 24 de junio)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16.3</w:t>
      </w:r>
      <w:r>
        <w:t xml:space="preserve"> </w:t>
      </w:r>
      <w:r w:rsidRPr="0043655B">
        <w:rPr>
          <w:rStyle w:val="TextoNormalCaracter"/>
        </w:rPr>
        <w:t>(redactado por la Ley de las Cortes de Aragón 5/2010, de 24 de junio)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18</w:t>
      </w:r>
      <w:r>
        <w:t xml:space="preserve"> </w:t>
      </w:r>
      <w:r w:rsidRPr="0043655B">
        <w:rPr>
          <w:rStyle w:val="TextoNormalCaracter"/>
        </w:rPr>
        <w:t>(redactado por la Ley de las Cortes de Aragón 5/2010, de 24 de junio)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24</w:t>
      </w:r>
      <w:r>
        <w:t xml:space="preserve"> </w:t>
      </w:r>
      <w:r w:rsidRPr="0043655B">
        <w:rPr>
          <w:rStyle w:val="TextoNormalCaracter"/>
        </w:rPr>
        <w:t>(redactado por la Ley de las Cortes de Aragón 5/2010, de 24 de junio)</w:t>
      </w:r>
      <w:r w:rsidRPr="0043655B">
        <w:rPr>
          <w:rStyle w:val="TextoNormalNegritaCaracter"/>
        </w:rPr>
        <w:t>.</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p>
    <w:p w:rsidR="0043655B" w:rsidRDefault="0043655B" w:rsidP="0043655B">
      <w:pPr>
        <w:pStyle w:val="TextoNormalNegritaCursivandice"/>
      </w:pPr>
      <w:r>
        <w:t>Ley de las Cortes de Aragón 5/2010, de 24 de junio. Medidas extraordinarias en el sector público de la Comunidad Autónoma de Aragón para la reducción del déficit público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1 apartados 1, 2, 4, 6.</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Auto </w:t>
      </w:r>
      <w:hyperlink w:anchor="AUTO_2012_35" w:history="1">
        <w:r w:rsidRPr="0043655B">
          <w:rPr>
            <w:rStyle w:val="TextoNormalCaracter"/>
          </w:rPr>
          <w:t>35/2012</w:t>
        </w:r>
      </w:hyperlink>
      <w:r>
        <w:t>.</w:t>
      </w:r>
    </w:p>
    <w:p w:rsidR="0043655B" w:rsidRDefault="0043655B" w:rsidP="0043655B">
      <w:pPr>
        <w:pStyle w:val="TextoNormal"/>
      </w:pPr>
    </w:p>
    <w:p w:rsidR="0043655B" w:rsidRDefault="0043655B" w:rsidP="0043655B">
      <w:pPr>
        <w:pStyle w:val="TextoNormalNegritaCentradoSubrayado"/>
        <w:suppressAutoHyphens/>
      </w:pPr>
      <w:r>
        <w:t>J.2.c)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Orden del Consejero de Educación y Cultura de la Diputación General de Aragón, de 8 de agosto de 1997. Derecho de retracto sobre determinados bienes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ff. 1, 4.</w:t>
      </w:r>
    </w:p>
    <w:p w:rsidR="0043655B" w:rsidRDefault="0043655B" w:rsidP="0043655B">
      <w:pPr>
        <w:pStyle w:val="SangriaFrancesaArticulo"/>
      </w:pPr>
    </w:p>
    <w:p w:rsidR="0043655B" w:rsidRDefault="0043655B" w:rsidP="0043655B">
      <w:pPr>
        <w:pStyle w:val="TextoNormalNegritaCursivandice"/>
      </w:pPr>
      <w:r>
        <w:lastRenderedPageBreak/>
        <w:t>Orden del Consejero de Educación y Cultura de la Diputación General de Aragón, de 10 de febrero de 1998. Derecho de retracto sobre determinados bienes adquiridos por la Generalidad de Cataluña</w:t>
      </w:r>
    </w:p>
    <w:p w:rsidR="0043655B" w:rsidRDefault="0043655B" w:rsidP="0043655B">
      <w:pPr>
        <w:pStyle w:val="SangriaFrancesaArticulo"/>
      </w:pPr>
      <w:r w:rsidRPr="0043655B">
        <w:rPr>
          <w:rStyle w:val="TextoNormalNegritaCaracter"/>
        </w:rPr>
        <w:t>Anexo.</w:t>
      </w:r>
      <w:r w:rsidRPr="0043655B">
        <w:rPr>
          <w:rStyle w:val="TextoNormalCaracter"/>
        </w:rPr>
        <w:t>-</w:t>
      </w:r>
      <w:r>
        <w:t xml:space="preserve"> Sentencia </w:t>
      </w:r>
      <w:hyperlink w:anchor="SENTENCIA_2012_6" w:history="1">
        <w:r w:rsidRPr="0043655B">
          <w:rPr>
            <w:rStyle w:val="TextoNormalCaracter"/>
          </w:rPr>
          <w:t>6/2012</w:t>
        </w:r>
      </w:hyperlink>
      <w:r>
        <w:t>, f. 1.</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J.3) Asturias</w:t>
      </w:r>
    </w:p>
    <w:p w:rsidR="0043655B" w:rsidRDefault="0043655B" w:rsidP="0043655B">
      <w:pPr>
        <w:pStyle w:val="TextoNormal"/>
      </w:pPr>
    </w:p>
    <w:p w:rsidR="0043655B" w:rsidRDefault="0043655B" w:rsidP="0043655B">
      <w:pPr>
        <w:pStyle w:val="TextoNormalNegritaCentradoSubrayado"/>
        <w:suppressAutoHyphens/>
      </w:pPr>
      <w:r>
        <w:t>J.3.a) Estatuto de Autonomía</w:t>
      </w:r>
    </w:p>
    <w:p w:rsidR="0043655B" w:rsidRDefault="0043655B" w:rsidP="0043655B">
      <w:pPr>
        <w:pStyle w:val="TextoNormalNegritaCentradoSubrayado"/>
      </w:pPr>
    </w:p>
    <w:p w:rsidR="0043655B" w:rsidRDefault="0043655B" w:rsidP="0043655B">
      <w:pPr>
        <w:pStyle w:val="TextoNormalNegritaCursivandice"/>
      </w:pPr>
      <w:r>
        <w:t>Ley Orgánica 7/1981, de 30 de diciembre. Estatuto de Autonomía de Asturias</w:t>
      </w:r>
    </w:p>
    <w:p w:rsidR="0043655B" w:rsidRDefault="0043655B" w:rsidP="0043655B">
      <w:pPr>
        <w:pStyle w:val="SangriaFrancesaArticulo"/>
      </w:pPr>
      <w:r w:rsidRPr="0043655B">
        <w:rPr>
          <w:rStyle w:val="TextoNormalNegritaCaracter"/>
        </w:rPr>
        <w:t>Disposición adicional primera, apartado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1/1999, de 5 de enero. Reforma de la Ley Orgánica 7/1981, de Estatuto de Autonomía del Principado de Asturias</w:t>
      </w:r>
    </w:p>
    <w:p w:rsidR="0043655B" w:rsidRDefault="0043655B" w:rsidP="0043655B">
      <w:pPr>
        <w:pStyle w:val="SangriaFrancesaArticulo"/>
      </w:pPr>
      <w:r w:rsidRPr="0043655B">
        <w:rPr>
          <w:rStyle w:val="TextoNormalNegritaCaracter"/>
        </w:rPr>
        <w:t>Artículo 10.1.36.</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11.10.</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49.1.</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TextoNormal"/>
      </w:pPr>
    </w:p>
    <w:p w:rsidR="0043655B" w:rsidRDefault="0043655B" w:rsidP="0043655B">
      <w:pPr>
        <w:pStyle w:val="TextoNormalNegritaCentradoSubrayado"/>
        <w:suppressAutoHyphens/>
      </w:pPr>
      <w:r>
        <w:t>J.3.b)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 Junta General del Principado de Asturias 2/2000, de 23 de junio. Cajas de Ahorro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11.2.</w:t>
      </w:r>
      <w:r w:rsidRPr="0043655B">
        <w:rPr>
          <w:rStyle w:val="TextoNormalCaracter"/>
        </w:rPr>
        <w:t>-</w:t>
      </w:r>
      <w:r>
        <w:t xml:space="preserve"> Sentencia </w:t>
      </w:r>
      <w:hyperlink w:anchor="SENTENCIA_2012_121" w:history="1">
        <w:r w:rsidRPr="0043655B">
          <w:rPr>
            <w:rStyle w:val="TextoNormalCaracter"/>
          </w:rPr>
          <w:t>121/2012</w:t>
        </w:r>
      </w:hyperlink>
      <w:r>
        <w:t>, f. 7.</w:t>
      </w:r>
    </w:p>
    <w:p w:rsidR="0043655B" w:rsidRDefault="0043655B" w:rsidP="0043655B">
      <w:pPr>
        <w:pStyle w:val="SangriaFrancesaArticulo"/>
      </w:pPr>
      <w:r w:rsidRPr="0043655B">
        <w:rPr>
          <w:rStyle w:val="TextoNormalNegritaCaracter"/>
        </w:rPr>
        <w:t>Artículo 21.3.</w:t>
      </w:r>
      <w:r w:rsidRPr="0043655B">
        <w:rPr>
          <w:rStyle w:val="TextoNormalCaracter"/>
        </w:rPr>
        <w:t>-</w:t>
      </w:r>
      <w:r>
        <w:t xml:space="preserve"> Sentencia </w:t>
      </w:r>
      <w:hyperlink w:anchor="SENTENCIA_2012_121" w:history="1">
        <w:r w:rsidRPr="0043655B">
          <w:rPr>
            <w:rStyle w:val="TextoNormalCaracter"/>
          </w:rPr>
          <w:t>121/2012</w:t>
        </w:r>
      </w:hyperlink>
      <w:r>
        <w:t>, f. 9.</w:t>
      </w:r>
    </w:p>
    <w:p w:rsidR="0043655B" w:rsidRDefault="0043655B" w:rsidP="0043655B">
      <w:pPr>
        <w:pStyle w:val="SangriaFrancesaArticulo"/>
      </w:pPr>
      <w:r w:rsidRPr="0043655B">
        <w:rPr>
          <w:rStyle w:val="TextoNormalNegritaCaracter"/>
        </w:rPr>
        <w:t>Artículo 22.1 d)</w:t>
      </w:r>
      <w:r>
        <w:t xml:space="preserve"> </w:t>
      </w:r>
      <w:r w:rsidRPr="0043655B">
        <w:rPr>
          <w:rStyle w:val="TextoNormalCaracter"/>
        </w:rPr>
        <w:t>(redactado por la Ley de la Junta General del Principado de Asturias 1/2005, de 9 de mayo)</w:t>
      </w:r>
      <w:r w:rsidRPr="0043655B">
        <w:rPr>
          <w:rStyle w:val="TextoNormalNegritaCaracter"/>
        </w:rPr>
        <w:t>.</w:t>
      </w:r>
      <w:r w:rsidRPr="0043655B">
        <w:rPr>
          <w:rStyle w:val="TextoNormalCaracter"/>
        </w:rPr>
        <w:t>-</w:t>
      </w:r>
      <w:r>
        <w:t xml:space="preserve"> Sentencia </w:t>
      </w:r>
      <w:hyperlink w:anchor="SENTENCIA_2012_121" w:history="1">
        <w:r w:rsidRPr="0043655B">
          <w:rPr>
            <w:rStyle w:val="TextoNormalCaracter"/>
          </w:rPr>
          <w:t>121/2012</w:t>
        </w:r>
      </w:hyperlink>
      <w:r>
        <w:t>, f. 6.</w:t>
      </w:r>
    </w:p>
    <w:p w:rsidR="0043655B" w:rsidRDefault="0043655B" w:rsidP="0043655B">
      <w:pPr>
        <w:pStyle w:val="SangriaFrancesaArticulo"/>
      </w:pPr>
      <w:r w:rsidRPr="0043655B">
        <w:rPr>
          <w:rStyle w:val="TextoNormalNegritaCaracter"/>
        </w:rPr>
        <w:t>Artículo 22.2</w:t>
      </w:r>
      <w:r>
        <w:t xml:space="preserve"> </w:t>
      </w:r>
      <w:r w:rsidRPr="0043655B">
        <w:rPr>
          <w:rStyle w:val="TextoNormalCaracter"/>
        </w:rPr>
        <w:t>(redactado por la Ley de la Junta General del Principado de Asturias 1/2005, de 9 de mayo)</w:t>
      </w:r>
      <w:r w:rsidRPr="0043655B">
        <w:rPr>
          <w:rStyle w:val="TextoNormalNegritaCaracter"/>
        </w:rPr>
        <w:t>.</w:t>
      </w:r>
      <w:r w:rsidRPr="0043655B">
        <w:rPr>
          <w:rStyle w:val="TextoNormalCaracter"/>
        </w:rPr>
        <w:t>-</w:t>
      </w:r>
      <w:r>
        <w:t xml:space="preserve"> Sentencia </w:t>
      </w:r>
      <w:hyperlink w:anchor="SENTENCIA_2012_121" w:history="1">
        <w:r w:rsidRPr="0043655B">
          <w:rPr>
            <w:rStyle w:val="TextoNormalCaracter"/>
          </w:rPr>
          <w:t>121/2012</w:t>
        </w:r>
      </w:hyperlink>
      <w:r>
        <w:t>, ff. 1, 3 a 8.</w:t>
      </w:r>
    </w:p>
    <w:p w:rsidR="0043655B" w:rsidRDefault="0043655B" w:rsidP="0043655B">
      <w:pPr>
        <w:pStyle w:val="SangriaFrancesaArticulo"/>
      </w:pPr>
      <w:r w:rsidRPr="0043655B">
        <w:rPr>
          <w:rStyle w:val="TextoNormalNegritaCaracter"/>
        </w:rPr>
        <w:t>Artículo 24.2.</w:t>
      </w:r>
      <w:r w:rsidRPr="0043655B">
        <w:rPr>
          <w:rStyle w:val="TextoNormalCaracter"/>
        </w:rPr>
        <w:t>-</w:t>
      </w:r>
      <w:r>
        <w:t xml:space="preserve"> Sentencia </w:t>
      </w:r>
      <w:hyperlink w:anchor="SENTENCIA_2012_121" w:history="1">
        <w:r w:rsidRPr="0043655B">
          <w:rPr>
            <w:rStyle w:val="TextoNormalCaracter"/>
          </w:rPr>
          <w:t>121/2012</w:t>
        </w:r>
      </w:hyperlink>
      <w:r>
        <w:t>, ff. 1, 3 a 5, 8.</w:t>
      </w:r>
    </w:p>
    <w:p w:rsidR="0043655B" w:rsidRDefault="0043655B" w:rsidP="0043655B">
      <w:pPr>
        <w:pStyle w:val="SangriaFrancesaArticulo"/>
      </w:pPr>
      <w:r w:rsidRPr="0043655B">
        <w:rPr>
          <w:rStyle w:val="TextoNormalNegritaCaracter"/>
        </w:rPr>
        <w:t>Artículo 46.1.</w:t>
      </w:r>
      <w:r w:rsidRPr="0043655B">
        <w:rPr>
          <w:rStyle w:val="TextoNormalCaracter"/>
        </w:rPr>
        <w:t>-</w:t>
      </w:r>
      <w:r>
        <w:t xml:space="preserve"> Sentencia </w:t>
      </w:r>
      <w:hyperlink w:anchor="SENTENCIA_2012_121" w:history="1">
        <w:r w:rsidRPr="0043655B">
          <w:rPr>
            <w:rStyle w:val="TextoNormalCaracter"/>
          </w:rPr>
          <w:t>121/2012</w:t>
        </w:r>
      </w:hyperlink>
      <w:r>
        <w:t>, ff. 1, 3, 4.</w:t>
      </w:r>
    </w:p>
    <w:p w:rsidR="0043655B" w:rsidRDefault="0043655B" w:rsidP="0043655B">
      <w:pPr>
        <w:pStyle w:val="SangriaFrancesaArticulo"/>
      </w:pPr>
      <w:r w:rsidRPr="0043655B">
        <w:rPr>
          <w:rStyle w:val="TextoNormalNegritaCaracter"/>
        </w:rPr>
        <w:t>Artículo 46.2.</w:t>
      </w:r>
      <w:r w:rsidRPr="0043655B">
        <w:rPr>
          <w:rStyle w:val="TextoNormalCaracter"/>
        </w:rPr>
        <w:t>-</w:t>
      </w:r>
      <w:r>
        <w:t xml:space="preserve"> Sentencia </w:t>
      </w:r>
      <w:hyperlink w:anchor="SENTENCIA_2012_121" w:history="1">
        <w:r w:rsidRPr="0043655B">
          <w:rPr>
            <w:rStyle w:val="TextoNormalCaracter"/>
          </w:rPr>
          <w:t>121/2012</w:t>
        </w:r>
      </w:hyperlink>
      <w:r>
        <w:t>, f. 3.</w:t>
      </w:r>
    </w:p>
    <w:p w:rsidR="0043655B" w:rsidRDefault="0043655B" w:rsidP="0043655B">
      <w:pPr>
        <w:pStyle w:val="SangriaFrancesaArticulo"/>
      </w:pPr>
      <w:r w:rsidRPr="0043655B">
        <w:rPr>
          <w:rStyle w:val="TextoNormalNegritaCaracter"/>
        </w:rPr>
        <w:t>Disposición adicional primera.</w:t>
      </w:r>
      <w:r w:rsidRPr="0043655B">
        <w:rPr>
          <w:rStyle w:val="TextoNormalCaracter"/>
        </w:rPr>
        <w:t>-</w:t>
      </w:r>
      <w:r>
        <w:t xml:space="preserve"> Sentencia </w:t>
      </w:r>
      <w:hyperlink w:anchor="SENTENCIA_2012_121" w:history="1">
        <w:r w:rsidRPr="0043655B">
          <w:rPr>
            <w:rStyle w:val="TextoNormalCaracter"/>
          </w:rPr>
          <w:t>121/2012</w:t>
        </w:r>
      </w:hyperlink>
      <w:r>
        <w:t>, ff. 1, 3 a 5, 8, 9.</w:t>
      </w:r>
    </w:p>
    <w:p w:rsidR="0043655B" w:rsidRDefault="0043655B" w:rsidP="0043655B">
      <w:pPr>
        <w:pStyle w:val="SangriaFrancesaArticulo"/>
      </w:pPr>
    </w:p>
    <w:p w:rsidR="0043655B" w:rsidRDefault="0043655B" w:rsidP="0043655B">
      <w:pPr>
        <w:pStyle w:val="TextoNormalNegritaCursivandice"/>
      </w:pPr>
      <w:r>
        <w:t>Ley de la Junta General del Principado de Asturias 15/2002, de 27 de diciembre. Medidas presupuestarias, administrativas y fiscales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 la Junta General del Principado de Asturias 16/2002, de 30 de diciembre. Modificación de la Ley del Principado de Asturias 2/2000, de 23 de junio, de Cajas de Ahorro, para adaptarla a la Ley 44/2000, de 22 de noviembre, de medidas de reforma del sistema financiero</w:t>
      </w:r>
    </w:p>
    <w:p w:rsidR="0043655B" w:rsidRDefault="0043655B" w:rsidP="0043655B">
      <w:pPr>
        <w:pStyle w:val="SangriaFrancesaArticulo"/>
      </w:pPr>
      <w:r w:rsidRPr="0043655B">
        <w:rPr>
          <w:rStyle w:val="TextoNormalNegritaCaracter"/>
        </w:rPr>
        <w:t>Artículo único, apartado 16.</w:t>
      </w:r>
      <w:r w:rsidRPr="0043655B">
        <w:rPr>
          <w:rStyle w:val="TextoNormalCaracter"/>
        </w:rPr>
        <w:t>-</w:t>
      </w:r>
      <w:r>
        <w:t xml:space="preserve"> Sentencia </w:t>
      </w:r>
      <w:hyperlink w:anchor="SENTENCIA_2012_121" w:history="1">
        <w:r w:rsidRPr="0043655B">
          <w:rPr>
            <w:rStyle w:val="TextoNormalCaracter"/>
          </w:rPr>
          <w:t>121/2012</w:t>
        </w:r>
      </w:hyperlink>
      <w:r>
        <w:t>, f. 9.</w:t>
      </w:r>
    </w:p>
    <w:p w:rsidR="0043655B" w:rsidRDefault="0043655B" w:rsidP="0043655B">
      <w:pPr>
        <w:pStyle w:val="SangriaFrancesaArticulo"/>
      </w:pPr>
    </w:p>
    <w:p w:rsidR="0043655B" w:rsidRDefault="0043655B" w:rsidP="0043655B">
      <w:pPr>
        <w:pStyle w:val="TextoNormalNegritaCursivandice"/>
      </w:pPr>
      <w:r>
        <w:lastRenderedPageBreak/>
        <w:t>Ley de la Junta General del Principado de Asturias 1/2005, de 9 de mayo. Modificación de la Ley 2/2000, de 23 de junio, de Cajas de Ahorro, para adaptarla a disposiciones básicas de las Leyes 44/2002, de 23 de noviembre, de medidas de reforma del sistema financiero, y 62/2003, de 30 de diciembre, de medidas fiscales, administrativas y del orden social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1" w:history="1">
        <w:r w:rsidRPr="0043655B">
          <w:rPr>
            <w:rStyle w:val="TextoNormalCaracter"/>
          </w:rPr>
          <w:t>121/2012</w:t>
        </w:r>
      </w:hyperlink>
      <w:r>
        <w:t>, ff. 1, 3 a 7.</w:t>
      </w:r>
    </w:p>
    <w:p w:rsidR="0043655B" w:rsidRDefault="0043655B" w:rsidP="0043655B">
      <w:pPr>
        <w:pStyle w:val="SangriaFrancesaArticulo"/>
      </w:pPr>
      <w:r w:rsidRPr="0043655B">
        <w:rPr>
          <w:rStyle w:val="TextoNormalNegritaCaracter"/>
        </w:rPr>
        <w:t>Artículo único, apartado 4.</w:t>
      </w:r>
      <w:r w:rsidRPr="0043655B">
        <w:rPr>
          <w:rStyle w:val="TextoNormalCaracter"/>
        </w:rPr>
        <w:t>-</w:t>
      </w:r>
      <w:r>
        <w:t xml:space="preserve"> Sentencia </w:t>
      </w:r>
      <w:hyperlink w:anchor="SENTENCIA_2012_121" w:history="1">
        <w:r w:rsidRPr="0043655B">
          <w:rPr>
            <w:rStyle w:val="TextoNormalCaracter"/>
          </w:rPr>
          <w:t>121/2012</w:t>
        </w:r>
      </w:hyperlink>
      <w:r>
        <w:t>, f. 6.</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J.4) Baleares</w:t>
      </w:r>
    </w:p>
    <w:p w:rsidR="0043655B" w:rsidRDefault="0043655B" w:rsidP="0043655B">
      <w:pPr>
        <w:pStyle w:val="TextoNormal"/>
      </w:pPr>
    </w:p>
    <w:p w:rsidR="0043655B" w:rsidRDefault="0043655B" w:rsidP="0043655B">
      <w:pPr>
        <w:pStyle w:val="TextoNormalNegritaCentradoSubrayado"/>
        <w:suppressAutoHyphens/>
      </w:pPr>
      <w:r>
        <w:t>J.4.a) Estatuto de Autonomía</w:t>
      </w:r>
    </w:p>
    <w:p w:rsidR="0043655B" w:rsidRDefault="0043655B" w:rsidP="0043655B">
      <w:pPr>
        <w:pStyle w:val="TextoNormalNegritaCentradoSubrayado"/>
      </w:pPr>
    </w:p>
    <w:p w:rsidR="0043655B" w:rsidRDefault="0043655B" w:rsidP="0043655B">
      <w:pPr>
        <w:pStyle w:val="TextoNormalNegritaCursivandice"/>
      </w:pPr>
      <w:r>
        <w:t>Ley Orgánica 2/1983, de 25 de febrero. Estatuto de Autonomía de las Illes Balears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2" w:history="1">
        <w:r w:rsidRPr="0043655B">
          <w:rPr>
            <w:rStyle w:val="TextoNormalCaracter"/>
          </w:rPr>
          <w:t>132/2012</w:t>
        </w:r>
      </w:hyperlink>
      <w:r>
        <w:t>, ff. 2, 3.</w:t>
      </w:r>
    </w:p>
    <w:p w:rsidR="0043655B" w:rsidRDefault="0043655B" w:rsidP="0043655B">
      <w:pPr>
        <w:pStyle w:val="SangriaFrancesaArticulo"/>
      </w:pPr>
      <w:r w:rsidRPr="0043655B">
        <w:rPr>
          <w:rStyle w:val="TextoNormalNegritaCaracter"/>
        </w:rPr>
        <w:t>Artículo 10.32.</w:t>
      </w:r>
      <w:r w:rsidRPr="0043655B">
        <w:rPr>
          <w:rStyle w:val="TextoNormalCaracter"/>
        </w:rPr>
        <w:t>-</w:t>
      </w:r>
      <w:r>
        <w:t xml:space="preserve"> Sentencia </w:t>
      </w:r>
      <w:hyperlink w:anchor="SENTENCIA_2012_132" w:history="1">
        <w:r w:rsidRPr="0043655B">
          <w:rPr>
            <w:rStyle w:val="TextoNormalCaracter"/>
          </w:rPr>
          <w:t>132/2012</w:t>
        </w:r>
      </w:hyperlink>
      <w:r>
        <w:t>, f. 5.</w:t>
      </w:r>
    </w:p>
    <w:p w:rsidR="0043655B" w:rsidRDefault="0043655B" w:rsidP="0043655B">
      <w:pPr>
        <w:pStyle w:val="SangriaFrancesaArticulo"/>
      </w:pPr>
      <w:r w:rsidRPr="0043655B">
        <w:rPr>
          <w:rStyle w:val="TextoNormalNegritaCaracter"/>
        </w:rPr>
        <w:t>Artículo 30</w:t>
      </w:r>
      <w:r>
        <w:t xml:space="preserve"> </w:t>
      </w:r>
      <w:r w:rsidRPr="0043655B">
        <w:rPr>
          <w:rStyle w:val="TextoNormalCaracter"/>
        </w:rPr>
        <w:t>(redactado por la Ley Orgánica 1/2007, de 28 de febrero)</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 10.</w:t>
      </w:r>
    </w:p>
    <w:p w:rsidR="0043655B" w:rsidRDefault="0043655B" w:rsidP="0043655B">
      <w:pPr>
        <w:pStyle w:val="SangriaFrancesaArticulo"/>
      </w:pPr>
      <w:r w:rsidRPr="0043655B">
        <w:rPr>
          <w:rStyle w:val="TextoNormalNegritaCaracter"/>
        </w:rPr>
        <w:t>Artículo 30.42</w:t>
      </w:r>
      <w:r>
        <w:t xml:space="preserve"> </w:t>
      </w:r>
      <w:r w:rsidRPr="0043655B">
        <w:rPr>
          <w:rStyle w:val="TextoNormalCaracter"/>
        </w:rPr>
        <w:t>(redactado por la Ley Orgánica 1/2007, de 28 de febrero)</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ff. 3, 4, 6, 10, 11.</w:t>
      </w:r>
    </w:p>
    <w:p w:rsidR="0043655B" w:rsidRDefault="0043655B" w:rsidP="0043655B">
      <w:pPr>
        <w:pStyle w:val="SangriaFrancesaArticulo"/>
      </w:pPr>
      <w:r w:rsidRPr="0043655B">
        <w:rPr>
          <w:rStyle w:val="TextoNormalNegritaCaracter"/>
        </w:rPr>
        <w:t>Artículo 30.47</w:t>
      </w:r>
      <w:r>
        <w:t xml:space="preserve"> </w:t>
      </w:r>
      <w:r w:rsidRPr="0043655B">
        <w:rPr>
          <w:rStyle w:val="TextoNormalCaracter"/>
        </w:rPr>
        <w:t>(redactado por la Ley Orgánica 1/2007, de 28 de febrero)</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ff. 3, 12.</w:t>
      </w:r>
    </w:p>
    <w:p w:rsidR="0043655B" w:rsidRDefault="0043655B" w:rsidP="0043655B">
      <w:pPr>
        <w:pStyle w:val="SangriaFrancesaArticulo"/>
      </w:pPr>
      <w:r w:rsidRPr="0043655B">
        <w:rPr>
          <w:rStyle w:val="TextoNormalNegritaCaracter"/>
        </w:rPr>
        <w:t>Disposición adicional tercera,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tercera, apartado 2.</w:t>
      </w:r>
      <w:r w:rsidRPr="0043655B">
        <w:rPr>
          <w:rStyle w:val="TextoNormalCaracter"/>
        </w:rPr>
        <w:t>-</w:t>
      </w:r>
      <w:r>
        <w:t xml:space="preserve"> Sentencia </w:t>
      </w:r>
      <w:hyperlink w:anchor="SENTENCIA_2012_19" w:history="1">
        <w:r w:rsidRPr="0043655B">
          <w:rPr>
            <w:rStyle w:val="TextoNormalCaracter"/>
          </w:rPr>
          <w:t>19/2012</w:t>
        </w:r>
      </w:hyperlink>
      <w:r>
        <w:t>, ff. 2, 11.</w:t>
      </w:r>
    </w:p>
    <w:p w:rsidR="0043655B" w:rsidRDefault="0043655B" w:rsidP="0043655B">
      <w:pPr>
        <w:pStyle w:val="SangriaFrancesaArticulo"/>
      </w:pPr>
    </w:p>
    <w:p w:rsidR="0043655B" w:rsidRDefault="0043655B" w:rsidP="0043655B">
      <w:pPr>
        <w:pStyle w:val="TextoNormalNegritaCursivandice"/>
      </w:pPr>
      <w:r>
        <w:t>Ley Orgánica 3/1999, de 8 de enero. Reforma la Ley Orgánica 2/1983, de Estatuto de Autonomía de las Illes Balears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p>
    <w:p w:rsidR="0043655B" w:rsidRDefault="0043655B" w:rsidP="0043655B">
      <w:pPr>
        <w:pStyle w:val="TextoNormalNegritaCursivandice"/>
      </w:pPr>
      <w:r>
        <w:t>Ley Orgánica 1/2007, de 28 de febrero. Reforma del Estatuto de Autonomía de las Illes Balears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6" w:history="1">
        <w:r w:rsidRPr="0043655B">
          <w:rPr>
            <w:rStyle w:val="TextoNormalCaracter"/>
          </w:rPr>
          <w:t>26/2012</w:t>
        </w:r>
      </w:hyperlink>
      <w:r>
        <w:t xml:space="preserve">, ff. 2 a 4, 6, 10;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13.3.</w:t>
      </w:r>
      <w:r w:rsidRPr="0043655B">
        <w:rPr>
          <w:rStyle w:val="TextoNormalCaracter"/>
        </w:rPr>
        <w:t>-</w:t>
      </w:r>
      <w:r>
        <w:t xml:space="preserve"> Sentencia </w:t>
      </w:r>
      <w:hyperlink w:anchor="SENTENCIA_2012_132" w:history="1">
        <w:r w:rsidRPr="0043655B">
          <w:rPr>
            <w:rStyle w:val="TextoNormalCaracter"/>
          </w:rPr>
          <w:t>132/2012</w:t>
        </w:r>
      </w:hyperlink>
      <w:r>
        <w:t>, f. 4.</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18.2.</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30.1.</w:t>
      </w:r>
      <w:r w:rsidRPr="0043655B">
        <w:rPr>
          <w:rStyle w:val="TextoNormalCaracter"/>
        </w:rPr>
        <w:t>-</w:t>
      </w:r>
      <w:r>
        <w:t xml:space="preserve"> Sentencia </w:t>
      </w:r>
      <w:hyperlink w:anchor="SENTENCIA_2012_132" w:history="1">
        <w:r w:rsidRPr="0043655B">
          <w:rPr>
            <w:rStyle w:val="TextoNormalCaracter"/>
          </w:rPr>
          <w:t>132/2012</w:t>
        </w:r>
      </w:hyperlink>
      <w:r>
        <w:t>, ff. 4, 7.</w:t>
      </w:r>
    </w:p>
    <w:p w:rsidR="0043655B" w:rsidRDefault="0043655B" w:rsidP="0043655B">
      <w:pPr>
        <w:pStyle w:val="SangriaFrancesaArticulo"/>
      </w:pPr>
      <w:r w:rsidRPr="0043655B">
        <w:rPr>
          <w:rStyle w:val="TextoNormalNegritaCaracter"/>
        </w:rPr>
        <w:t>Artículo 30.36.</w:t>
      </w:r>
      <w:r w:rsidRPr="0043655B">
        <w:rPr>
          <w:rStyle w:val="TextoNormalCaracter"/>
        </w:rPr>
        <w:t>-</w:t>
      </w:r>
      <w:r>
        <w:t xml:space="preserve"> Sentencia </w:t>
      </w:r>
      <w:hyperlink w:anchor="SENTENCIA_2012_132" w:history="1">
        <w:r w:rsidRPr="0043655B">
          <w:rPr>
            <w:rStyle w:val="TextoNormalCaracter"/>
          </w:rPr>
          <w:t>132/2012</w:t>
        </w:r>
      </w:hyperlink>
      <w:r>
        <w:t>, ff. 4, 5, 7, VP.</w:t>
      </w:r>
    </w:p>
    <w:p w:rsidR="0043655B" w:rsidRDefault="0043655B" w:rsidP="0043655B">
      <w:pPr>
        <w:pStyle w:val="SangriaFrancesaArticulo"/>
      </w:pPr>
      <w:r w:rsidRPr="0043655B">
        <w:rPr>
          <w:rStyle w:val="TextoNormalNegritaCaracter"/>
        </w:rPr>
        <w:t>Artículo 31.13.</w:t>
      </w:r>
      <w:r w:rsidRPr="0043655B">
        <w:rPr>
          <w:rStyle w:val="TextoNormalCaracter"/>
        </w:rPr>
        <w:t>-</w:t>
      </w:r>
      <w:r>
        <w:t xml:space="preserve"> Sentencia </w:t>
      </w:r>
      <w:hyperlink w:anchor="SENTENCIA_2012_132" w:history="1">
        <w:r w:rsidRPr="0043655B">
          <w:rPr>
            <w:rStyle w:val="TextoNormalCaracter"/>
          </w:rPr>
          <w:t>132/2012</w:t>
        </w:r>
      </w:hyperlink>
      <w:r>
        <w:t>, ff. 4, 7.</w:t>
      </w:r>
    </w:p>
    <w:p w:rsidR="0043655B" w:rsidRDefault="0043655B" w:rsidP="0043655B">
      <w:pPr>
        <w:pStyle w:val="SangriaFrancesaArticulo"/>
      </w:pPr>
      <w:r w:rsidRPr="0043655B">
        <w:rPr>
          <w:rStyle w:val="TextoNormalNegritaCaracter"/>
        </w:rPr>
        <w:t>Artículo 36.</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37.</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39.</w:t>
      </w:r>
      <w:r w:rsidRPr="0043655B">
        <w:rPr>
          <w:rStyle w:val="TextoNormalCaracter"/>
        </w:rPr>
        <w:t>-</w:t>
      </w:r>
      <w:r>
        <w:t xml:space="preserve"> Sentencia </w:t>
      </w:r>
      <w:hyperlink w:anchor="SENTENCIA_2012_132" w:history="1">
        <w:r w:rsidRPr="0043655B">
          <w:rPr>
            <w:rStyle w:val="TextoNormalCaracter"/>
          </w:rPr>
          <w:t>132/2012</w:t>
        </w:r>
      </w:hyperlink>
      <w:r>
        <w:t>, ff. 2, 3.</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61.1.</w:t>
      </w:r>
      <w:r w:rsidRPr="0043655B">
        <w:rPr>
          <w:rStyle w:val="TextoNormalCaracter"/>
        </w:rPr>
        <w:t>-</w:t>
      </w:r>
      <w:r>
        <w:t xml:space="preserve"> Sentencia </w:t>
      </w:r>
      <w:hyperlink w:anchor="SENTENCIA_2012_132" w:history="1">
        <w:r w:rsidRPr="0043655B">
          <w:rPr>
            <w:rStyle w:val="TextoNormalCaracter"/>
          </w:rPr>
          <w:t>132/2012</w:t>
        </w:r>
      </w:hyperlink>
      <w:r>
        <w:t>, ff. 3, 4.</w:t>
      </w:r>
    </w:p>
    <w:p w:rsidR="0043655B" w:rsidRDefault="0043655B" w:rsidP="0043655B">
      <w:pPr>
        <w:pStyle w:val="SangriaFrancesaArticulo"/>
      </w:pPr>
      <w:r w:rsidRPr="0043655B">
        <w:rPr>
          <w:rStyle w:val="TextoNormalNegritaCaracter"/>
        </w:rPr>
        <w:t>Artículo 61.3.</w:t>
      </w:r>
      <w:r w:rsidRPr="0043655B">
        <w:rPr>
          <w:rStyle w:val="TextoNormalCaracter"/>
        </w:rPr>
        <w:t>-</w:t>
      </w:r>
      <w:r>
        <w:t xml:space="preserve"> Sentencia </w:t>
      </w:r>
      <w:hyperlink w:anchor="SENTENCIA_2012_132" w:history="1">
        <w:r w:rsidRPr="0043655B">
          <w:rPr>
            <w:rStyle w:val="TextoNormalCaracter"/>
          </w:rPr>
          <w:t>132/2012</w:t>
        </w:r>
      </w:hyperlink>
      <w:r>
        <w:t>, ff. 3 a 7.</w:t>
      </w:r>
    </w:p>
    <w:p w:rsidR="0043655B" w:rsidRDefault="0043655B" w:rsidP="0043655B">
      <w:pPr>
        <w:pStyle w:val="SangriaFrancesaArticulo"/>
      </w:pPr>
      <w:r w:rsidRPr="0043655B">
        <w:rPr>
          <w:rStyle w:val="TextoNormalNegritaCaracter"/>
        </w:rPr>
        <w:t>Artículo 62.</w:t>
      </w:r>
      <w:r w:rsidRPr="0043655B">
        <w:rPr>
          <w:rStyle w:val="TextoNormalCaracter"/>
        </w:rPr>
        <w:t>-</w:t>
      </w:r>
      <w:r>
        <w:t xml:space="preserve"> Sentencia </w:t>
      </w:r>
      <w:hyperlink w:anchor="SENTENCIA_2012_132" w:history="1">
        <w:r w:rsidRPr="0043655B">
          <w:rPr>
            <w:rStyle w:val="TextoNormalCaracter"/>
          </w:rPr>
          <w:t>132/2012</w:t>
        </w:r>
      </w:hyperlink>
      <w:r>
        <w:t>, ff. 2 a 4.</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32" w:history="1">
        <w:r w:rsidRPr="0043655B">
          <w:rPr>
            <w:rStyle w:val="TextoNormalCaracter"/>
          </w:rPr>
          <w:t>132/2012</w:t>
        </w:r>
      </w:hyperlink>
      <w:r>
        <w:t>, f. 6, VP.</w:t>
      </w:r>
    </w:p>
    <w:p w:rsidR="0043655B" w:rsidRDefault="0043655B" w:rsidP="0043655B">
      <w:pPr>
        <w:pStyle w:val="SangriaFrancesaArticulo"/>
      </w:pPr>
      <w:r w:rsidRPr="0043655B">
        <w:rPr>
          <w:rStyle w:val="TextoNormalNegritaCaracter"/>
        </w:rPr>
        <w:t>Artículo 63.1.</w:t>
      </w:r>
      <w:r w:rsidRPr="0043655B">
        <w:rPr>
          <w:rStyle w:val="TextoNormalCaracter"/>
        </w:rPr>
        <w:t>-</w:t>
      </w:r>
      <w:r>
        <w:t xml:space="preserve"> Sentencia </w:t>
      </w:r>
      <w:hyperlink w:anchor="SENTENCIA_2012_132" w:history="1">
        <w:r w:rsidRPr="0043655B">
          <w:rPr>
            <w:rStyle w:val="TextoNormalCaracter"/>
          </w:rPr>
          <w:t>132/2012</w:t>
        </w:r>
      </w:hyperlink>
      <w:r>
        <w:t>, ff. 2, 3, 5, 6.</w:t>
      </w:r>
    </w:p>
    <w:p w:rsidR="0043655B" w:rsidRDefault="0043655B" w:rsidP="0043655B">
      <w:pPr>
        <w:pStyle w:val="SangriaFrancesaArticulo"/>
      </w:pPr>
      <w:r w:rsidRPr="0043655B">
        <w:rPr>
          <w:rStyle w:val="TextoNormalNegritaCaracter"/>
        </w:rPr>
        <w:lastRenderedPageBreak/>
        <w:t>Artículo 63.2.</w:t>
      </w:r>
      <w:r w:rsidRPr="0043655B">
        <w:rPr>
          <w:rStyle w:val="TextoNormalCaracter"/>
        </w:rPr>
        <w:t>-</w:t>
      </w:r>
      <w:r>
        <w:t xml:space="preserve"> Sentencia </w:t>
      </w:r>
      <w:hyperlink w:anchor="SENTENCIA_2012_132" w:history="1">
        <w:r w:rsidRPr="0043655B">
          <w:rPr>
            <w:rStyle w:val="TextoNormalCaracter"/>
          </w:rPr>
          <w:t>132/2012</w:t>
        </w:r>
      </w:hyperlink>
      <w:r>
        <w:t>, ff. 2, 5, 6.</w:t>
      </w:r>
    </w:p>
    <w:p w:rsidR="0043655B" w:rsidRDefault="0043655B" w:rsidP="0043655B">
      <w:pPr>
        <w:pStyle w:val="SangriaFrancesaArticulo"/>
      </w:pPr>
      <w:r w:rsidRPr="0043655B">
        <w:rPr>
          <w:rStyle w:val="TextoNormalNegritaCaracter"/>
        </w:rPr>
        <w:t>Artículo 63.2 in fine.</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64.1.</w:t>
      </w:r>
      <w:r w:rsidRPr="0043655B">
        <w:rPr>
          <w:rStyle w:val="TextoNormalCaracter"/>
        </w:rPr>
        <w:t>-</w:t>
      </w:r>
      <w:r>
        <w:t xml:space="preserve"> Sentencia </w:t>
      </w:r>
      <w:hyperlink w:anchor="SENTENCIA_2012_132" w:history="1">
        <w:r w:rsidRPr="0043655B">
          <w:rPr>
            <w:rStyle w:val="TextoNormalCaracter"/>
          </w:rPr>
          <w:t>132/2012</w:t>
        </w:r>
      </w:hyperlink>
      <w:r>
        <w:t>, f. 2, VP.</w:t>
      </w:r>
    </w:p>
    <w:p w:rsidR="0043655B" w:rsidRDefault="0043655B" w:rsidP="0043655B">
      <w:pPr>
        <w:pStyle w:val="SangriaFrancesaArticulo"/>
      </w:pPr>
      <w:r w:rsidRPr="0043655B">
        <w:rPr>
          <w:rStyle w:val="TextoNormalNegritaCaracter"/>
        </w:rPr>
        <w:t>Artículo 65.</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65.1.</w:t>
      </w:r>
      <w:r w:rsidRPr="0043655B">
        <w:rPr>
          <w:rStyle w:val="TextoNormalCaracter"/>
        </w:rPr>
        <w:t>-</w:t>
      </w:r>
      <w:r>
        <w:t xml:space="preserve"> Sentencia </w:t>
      </w:r>
      <w:hyperlink w:anchor="SENTENCIA_2012_132" w:history="1">
        <w:r w:rsidRPr="0043655B">
          <w:rPr>
            <w:rStyle w:val="TextoNormalCaracter"/>
          </w:rPr>
          <w:t>132/2012</w:t>
        </w:r>
      </w:hyperlink>
      <w:r>
        <w:t>, f. 4.</w:t>
      </w:r>
    </w:p>
    <w:p w:rsidR="0043655B" w:rsidRDefault="0043655B" w:rsidP="0043655B">
      <w:pPr>
        <w:pStyle w:val="SangriaFrancesaArticulo"/>
      </w:pPr>
      <w:r w:rsidRPr="0043655B">
        <w:rPr>
          <w:rStyle w:val="TextoNormalNegritaCaracter"/>
        </w:rPr>
        <w:t>Artículo 65.5.</w:t>
      </w:r>
      <w:r w:rsidRPr="0043655B">
        <w:rPr>
          <w:rStyle w:val="TextoNormalCaracter"/>
        </w:rPr>
        <w:t>-</w:t>
      </w:r>
      <w:r>
        <w:t xml:space="preserve"> Sentencia </w:t>
      </w:r>
      <w:hyperlink w:anchor="SENTENCIA_2012_132" w:history="1">
        <w:r w:rsidRPr="0043655B">
          <w:rPr>
            <w:rStyle w:val="TextoNormalCaracter"/>
          </w:rPr>
          <w:t>132/2012</w:t>
        </w:r>
      </w:hyperlink>
      <w:r>
        <w:t>, ff. 4, 5.</w:t>
      </w:r>
    </w:p>
    <w:p w:rsidR="0043655B" w:rsidRDefault="0043655B" w:rsidP="0043655B">
      <w:pPr>
        <w:pStyle w:val="SangriaFrancesaArticulo"/>
      </w:pPr>
      <w:r w:rsidRPr="0043655B">
        <w:rPr>
          <w:rStyle w:val="TextoNormalNegritaCaracter"/>
        </w:rPr>
        <w:t>Artículo 66.</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66.1.</w:t>
      </w:r>
      <w:r w:rsidRPr="0043655B">
        <w:rPr>
          <w:rStyle w:val="TextoNormalCaracter"/>
        </w:rPr>
        <w:t>-</w:t>
      </w:r>
      <w:r>
        <w:t xml:space="preserve"> Sentencia </w:t>
      </w:r>
      <w:hyperlink w:anchor="SENTENCIA_2012_132" w:history="1">
        <w:r w:rsidRPr="0043655B">
          <w:rPr>
            <w:rStyle w:val="TextoNormalCaracter"/>
          </w:rPr>
          <w:t>132/2012</w:t>
        </w:r>
      </w:hyperlink>
      <w:r>
        <w:t>, f. 5.</w:t>
      </w:r>
    </w:p>
    <w:p w:rsidR="0043655B" w:rsidRDefault="0043655B" w:rsidP="0043655B">
      <w:pPr>
        <w:pStyle w:val="SangriaFrancesaArticulo"/>
      </w:pPr>
      <w:r w:rsidRPr="0043655B">
        <w:rPr>
          <w:rStyle w:val="TextoNormalNegritaCaracter"/>
        </w:rPr>
        <w:t>Artículo 66.2.</w:t>
      </w:r>
      <w:r w:rsidRPr="0043655B">
        <w:rPr>
          <w:rStyle w:val="TextoNormalCaracter"/>
        </w:rPr>
        <w:t>-</w:t>
      </w:r>
      <w:r>
        <w:t xml:space="preserve"> Sentencia </w:t>
      </w:r>
      <w:hyperlink w:anchor="SENTENCIA_2012_132" w:history="1">
        <w:r w:rsidRPr="0043655B">
          <w:rPr>
            <w:rStyle w:val="TextoNormalCaracter"/>
          </w:rPr>
          <w:t>132/2012</w:t>
        </w:r>
      </w:hyperlink>
      <w:r>
        <w:t>, f. 5, VP.</w:t>
      </w:r>
    </w:p>
    <w:p w:rsidR="0043655B" w:rsidRDefault="0043655B" w:rsidP="0043655B">
      <w:pPr>
        <w:pStyle w:val="SangriaFrancesaArticulo"/>
      </w:pPr>
      <w:r w:rsidRPr="0043655B">
        <w:rPr>
          <w:rStyle w:val="TextoNormalNegritaCaracter"/>
        </w:rPr>
        <w:t>Artículo 66.3.</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67.</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67.1.</w:t>
      </w:r>
      <w:r w:rsidRPr="0043655B">
        <w:rPr>
          <w:rStyle w:val="TextoNormalCaracter"/>
        </w:rPr>
        <w:t>-</w:t>
      </w:r>
      <w:r>
        <w:t xml:space="preserve"> Sentencia </w:t>
      </w:r>
      <w:hyperlink w:anchor="SENTENCIA_2012_132" w:history="1">
        <w:r w:rsidRPr="0043655B">
          <w:rPr>
            <w:rStyle w:val="TextoNormalCaracter"/>
          </w:rPr>
          <w:t>132/2012</w:t>
        </w:r>
      </w:hyperlink>
      <w:r>
        <w:t>, f. 4, VP.</w:t>
      </w:r>
    </w:p>
    <w:p w:rsidR="0043655B" w:rsidRDefault="0043655B" w:rsidP="0043655B">
      <w:pPr>
        <w:pStyle w:val="SangriaFrancesaArticulo"/>
      </w:pPr>
      <w:r w:rsidRPr="0043655B">
        <w:rPr>
          <w:rStyle w:val="TextoNormalNegritaCaracter"/>
        </w:rPr>
        <w:t>Artículo 67.2.</w:t>
      </w:r>
      <w:r w:rsidRPr="0043655B">
        <w:rPr>
          <w:rStyle w:val="TextoNormalCaracter"/>
        </w:rPr>
        <w:t>-</w:t>
      </w:r>
      <w:r>
        <w:t xml:space="preserve"> Sentencia </w:t>
      </w:r>
      <w:hyperlink w:anchor="SENTENCIA_2012_132" w:history="1">
        <w:r w:rsidRPr="0043655B">
          <w:rPr>
            <w:rStyle w:val="TextoNormalCaracter"/>
          </w:rPr>
          <w:t>132/2012</w:t>
        </w:r>
      </w:hyperlink>
      <w:r>
        <w:t>, f. 4, VP.</w:t>
      </w:r>
    </w:p>
    <w:p w:rsidR="0043655B" w:rsidRDefault="0043655B" w:rsidP="0043655B">
      <w:pPr>
        <w:pStyle w:val="SangriaFrancesaArticulo"/>
      </w:pPr>
      <w:r w:rsidRPr="0043655B">
        <w:rPr>
          <w:rStyle w:val="TextoNormalNegritaCaracter"/>
        </w:rPr>
        <w:t>Artículo 67.3.</w:t>
      </w:r>
      <w:r w:rsidRPr="0043655B">
        <w:rPr>
          <w:rStyle w:val="TextoNormalCaracter"/>
        </w:rPr>
        <w:t>-</w:t>
      </w:r>
      <w:r>
        <w:t xml:space="preserve"> Sentencia </w:t>
      </w:r>
      <w:hyperlink w:anchor="SENTENCIA_2012_132" w:history="1">
        <w:r w:rsidRPr="0043655B">
          <w:rPr>
            <w:rStyle w:val="TextoNormalCaracter"/>
          </w:rPr>
          <w:t>132/2012</w:t>
        </w:r>
      </w:hyperlink>
      <w:r>
        <w:t>, ff. 4, 5.</w:t>
      </w:r>
    </w:p>
    <w:p w:rsidR="0043655B" w:rsidRDefault="0043655B" w:rsidP="0043655B">
      <w:pPr>
        <w:pStyle w:val="SangriaFrancesaArticulo"/>
      </w:pPr>
      <w:r w:rsidRPr="0043655B">
        <w:rPr>
          <w:rStyle w:val="TextoNormalNegritaCaracter"/>
        </w:rPr>
        <w:t>Artículo 67.4.</w:t>
      </w:r>
      <w:r w:rsidRPr="0043655B">
        <w:rPr>
          <w:rStyle w:val="TextoNormalCaracter"/>
        </w:rPr>
        <w:t>-</w:t>
      </w:r>
      <w:r>
        <w:t xml:space="preserve"> Sentencia </w:t>
      </w:r>
      <w:hyperlink w:anchor="SENTENCIA_2012_132" w:history="1">
        <w:r w:rsidRPr="0043655B">
          <w:rPr>
            <w:rStyle w:val="TextoNormalCaracter"/>
          </w:rPr>
          <w:t>132/2012</w:t>
        </w:r>
      </w:hyperlink>
      <w:r>
        <w:t>, ff. 3, 4.</w:t>
      </w:r>
    </w:p>
    <w:p w:rsidR="0043655B" w:rsidRDefault="0043655B" w:rsidP="0043655B">
      <w:pPr>
        <w:pStyle w:val="SangriaFrancesaArticulo"/>
      </w:pPr>
      <w:r w:rsidRPr="0043655B">
        <w:rPr>
          <w:rStyle w:val="TextoNormalNegritaCaracter"/>
        </w:rPr>
        <w:t>Artículo 68.</w:t>
      </w:r>
      <w:r w:rsidRPr="0043655B">
        <w:rPr>
          <w:rStyle w:val="TextoNormalCaracter"/>
        </w:rPr>
        <w:t>-</w:t>
      </w:r>
      <w:r>
        <w:t xml:space="preserve"> Sentencia </w:t>
      </w:r>
      <w:hyperlink w:anchor="SENTENCIA_2012_132" w:history="1">
        <w:r w:rsidRPr="0043655B">
          <w:rPr>
            <w:rStyle w:val="TextoNormalCaracter"/>
          </w:rPr>
          <w:t>132/2012</w:t>
        </w:r>
      </w:hyperlink>
      <w:r>
        <w:t>, ff. 2 a 4.</w:t>
      </w:r>
    </w:p>
    <w:p w:rsidR="0043655B" w:rsidRDefault="0043655B" w:rsidP="0043655B">
      <w:pPr>
        <w:pStyle w:val="SangriaFrancesaArticulo"/>
      </w:pPr>
      <w:r w:rsidRPr="0043655B">
        <w:rPr>
          <w:rStyle w:val="TextoNormalNegritaCaracter"/>
        </w:rPr>
        <w:t>Artículo 69.</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70.</w:t>
      </w:r>
      <w:r w:rsidRPr="0043655B">
        <w:rPr>
          <w:rStyle w:val="TextoNormalCaracter"/>
        </w:rPr>
        <w:t>-</w:t>
      </w:r>
      <w:r>
        <w:t xml:space="preserve"> Sentencia </w:t>
      </w:r>
      <w:hyperlink w:anchor="SENTENCIA_2012_132" w:history="1">
        <w:r w:rsidRPr="0043655B">
          <w:rPr>
            <w:rStyle w:val="TextoNormalCaracter"/>
          </w:rPr>
          <w:t>132/2012</w:t>
        </w:r>
      </w:hyperlink>
      <w:r>
        <w:t>, ff. 2, 5.</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 </w:t>
      </w:r>
      <w:hyperlink w:anchor="SENTENCIA_2012_132" w:history="1">
        <w:r w:rsidRPr="0043655B">
          <w:rPr>
            <w:rStyle w:val="TextoNormalCaracter"/>
          </w:rPr>
          <w:t>132/2012</w:t>
        </w:r>
      </w:hyperlink>
      <w:r>
        <w:t>, ff. 2, 5.</w:t>
      </w:r>
    </w:p>
    <w:p w:rsidR="0043655B" w:rsidRDefault="0043655B" w:rsidP="0043655B">
      <w:pPr>
        <w:pStyle w:val="SangriaFrancesaArticulo"/>
      </w:pPr>
      <w:r w:rsidRPr="0043655B">
        <w:rPr>
          <w:rStyle w:val="TextoNormalNegritaCaracter"/>
        </w:rPr>
        <w:t>Artículo 72.</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132" w:history="1">
        <w:r w:rsidRPr="0043655B">
          <w:rPr>
            <w:rStyle w:val="TextoNormalCaracter"/>
          </w:rPr>
          <w:t>132/2012</w:t>
        </w:r>
      </w:hyperlink>
      <w:r>
        <w:t>, f. 2.</w:t>
      </w:r>
    </w:p>
    <w:p w:rsidR="0043655B" w:rsidRDefault="0043655B" w:rsidP="0043655B">
      <w:pPr>
        <w:pStyle w:val="SangriaFrancesaArticulo"/>
      </w:pPr>
      <w:r w:rsidRPr="0043655B">
        <w:rPr>
          <w:rStyle w:val="TextoNormalNegritaCaracter"/>
        </w:rPr>
        <w:t>Disposición adicional cuarta, apartado 1 b).</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cuarta, apartado 3.</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TextoNormal"/>
      </w:pPr>
    </w:p>
    <w:p w:rsidR="0043655B" w:rsidRDefault="0043655B" w:rsidP="0043655B">
      <w:pPr>
        <w:pStyle w:val="TextoNormalNegritaCentradoSubrayado"/>
        <w:suppressAutoHyphens/>
      </w:pPr>
      <w:r>
        <w:t>J.4.b)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del Parlamento de las Illes Balears 12/1991, de 20 de diciembre. Regulación del impuesto sobre instalaciones que incidan en el medio ambiente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 w:history="1">
        <w:r w:rsidRPr="0043655B">
          <w:rPr>
            <w:rStyle w:val="TextoNormalCaracter"/>
          </w:rPr>
          <w:t>13/2012</w:t>
        </w:r>
      </w:hyperlink>
      <w:r>
        <w:t>, f. 4.</w:t>
      </w:r>
    </w:p>
    <w:p w:rsidR="0043655B" w:rsidRDefault="0043655B" w:rsidP="0043655B">
      <w:pPr>
        <w:pStyle w:val="SangriaFrancesaArticulo"/>
      </w:pPr>
    </w:p>
    <w:p w:rsidR="0043655B" w:rsidRDefault="0043655B" w:rsidP="0043655B">
      <w:pPr>
        <w:pStyle w:val="TextoNormalNegritaCursivandice"/>
      </w:pPr>
      <w:r>
        <w:t>Ley del Parlamento de las Illes Balears 9/1997, de 22 de diciembre. Medidas tributarias y administrativas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del Parlamento de las Illes Balears 6/1999, de 3 de abril. Directrices de ordenación territorial de las Illes Balears y de medidas tributarias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del Parlamento de las Illes Balears 12/1999, de 23 de diciembre. Medidas tributarias, administrativas y de función pública y económicas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del Parlamento de las Illes Balears 8/2000, de 27 de octubre. Consejos insulares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2" w:history="1">
        <w:r w:rsidRPr="0043655B">
          <w:rPr>
            <w:rStyle w:val="TextoNormalCaracter"/>
          </w:rPr>
          <w:t>132/2012</w:t>
        </w:r>
      </w:hyperlink>
      <w:r>
        <w:t>, ff. 1, 2, 4, 6, 7.</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lastRenderedPageBreak/>
        <w:t>Artículo 7.</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7.2.</w:t>
      </w:r>
      <w:r w:rsidRPr="0043655B">
        <w:rPr>
          <w:rStyle w:val="TextoNormalCaracter"/>
        </w:rPr>
        <w:t>-</w:t>
      </w:r>
      <w:r>
        <w:t xml:space="preserve"> Sentencia </w:t>
      </w:r>
      <w:hyperlink w:anchor="SENTENCIA_2012_132" w:history="1">
        <w:r w:rsidRPr="0043655B">
          <w:rPr>
            <w:rStyle w:val="TextoNormalCaracter"/>
          </w:rPr>
          <w:t>132/2012</w:t>
        </w:r>
      </w:hyperlink>
      <w:r>
        <w:t>, f. 5.</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132" w:history="1">
        <w:r w:rsidRPr="0043655B">
          <w:rPr>
            <w:rStyle w:val="TextoNormalCaracter"/>
          </w:rPr>
          <w:t>132/2012</w:t>
        </w:r>
      </w:hyperlink>
      <w:r>
        <w:t>, ff. 1, 4 a 6.</w:t>
      </w:r>
    </w:p>
    <w:p w:rsidR="0043655B" w:rsidRDefault="0043655B" w:rsidP="0043655B">
      <w:pPr>
        <w:pStyle w:val="SangriaFrancesaArticulo"/>
      </w:pPr>
      <w:r w:rsidRPr="0043655B">
        <w:rPr>
          <w:rStyle w:val="TextoNormalNegritaCaracter"/>
        </w:rPr>
        <w:t>Artículo 7.3 párrafo 2.</w:t>
      </w:r>
      <w:r w:rsidRPr="0043655B">
        <w:rPr>
          <w:rStyle w:val="TextoNormalCaracter"/>
        </w:rPr>
        <w:t>-</w:t>
      </w:r>
      <w:r>
        <w:t xml:space="preserve"> Sentencia </w:t>
      </w:r>
      <w:hyperlink w:anchor="SENTENCIA_2012_132" w:history="1">
        <w:r w:rsidRPr="0043655B">
          <w:rPr>
            <w:rStyle w:val="TextoNormalCaracter"/>
          </w:rPr>
          <w:t>132/2012</w:t>
        </w:r>
      </w:hyperlink>
      <w:r>
        <w:t>, ff. 1, 6.</w:t>
      </w:r>
    </w:p>
    <w:p w:rsidR="0043655B" w:rsidRDefault="0043655B" w:rsidP="0043655B">
      <w:pPr>
        <w:pStyle w:val="SangriaFrancesaArticulo"/>
      </w:pPr>
      <w:r w:rsidRPr="0043655B">
        <w:rPr>
          <w:rStyle w:val="TextoNormalNegritaCaracter"/>
        </w:rPr>
        <w:t>Artículo 7.5.</w:t>
      </w:r>
      <w:r w:rsidRPr="0043655B">
        <w:rPr>
          <w:rStyle w:val="TextoNormalCaracter"/>
        </w:rPr>
        <w:t>-</w:t>
      </w:r>
      <w:r>
        <w:t xml:space="preserve"> Sentencia </w:t>
      </w:r>
      <w:hyperlink w:anchor="SENTENCIA_2012_132" w:history="1">
        <w:r w:rsidRPr="0043655B">
          <w:rPr>
            <w:rStyle w:val="TextoNormalCaracter"/>
          </w:rPr>
          <w:t>132/2012</w:t>
        </w:r>
      </w:hyperlink>
      <w:r>
        <w:t>, ff. 1, 4, 5, VP.</w:t>
      </w:r>
    </w:p>
    <w:p w:rsidR="0043655B" w:rsidRDefault="0043655B" w:rsidP="0043655B">
      <w:pPr>
        <w:pStyle w:val="SangriaFrancesaArticulo"/>
      </w:pPr>
      <w:r w:rsidRPr="0043655B">
        <w:rPr>
          <w:rStyle w:val="TextoNormalNegritaCaracter"/>
        </w:rPr>
        <w:t>Artículo 8.1.</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b).</w:t>
      </w:r>
      <w:r w:rsidRPr="0043655B">
        <w:rPr>
          <w:rStyle w:val="TextoNormalCaracter"/>
        </w:rPr>
        <w:t>-</w:t>
      </w:r>
      <w:r>
        <w:t xml:space="preserve"> Sentencia </w:t>
      </w:r>
      <w:hyperlink w:anchor="SENTENCIA_2012_132" w:history="1">
        <w:r w:rsidRPr="0043655B">
          <w:rPr>
            <w:rStyle w:val="TextoNormalCaracter"/>
          </w:rPr>
          <w:t>132/2012</w:t>
        </w:r>
      </w:hyperlink>
      <w:r>
        <w:t>, f. 4.</w:t>
      </w:r>
    </w:p>
    <w:p w:rsidR="0043655B" w:rsidRDefault="0043655B" w:rsidP="0043655B">
      <w:pPr>
        <w:pStyle w:val="SangriaFrancesaArticulo"/>
      </w:pPr>
      <w:r w:rsidRPr="0043655B">
        <w:rPr>
          <w:rStyle w:val="TextoNormalNegritaCaracter"/>
        </w:rPr>
        <w:t>Artículo 8.1 e).</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h).</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8.1 i).</w:t>
      </w:r>
      <w:r w:rsidRPr="0043655B">
        <w:rPr>
          <w:rStyle w:val="TextoNormalCaracter"/>
        </w:rPr>
        <w:t>-</w:t>
      </w:r>
      <w:r>
        <w:t xml:space="preserve"> Sentencia </w:t>
      </w:r>
      <w:hyperlink w:anchor="SENTENCIA_2012_132" w:history="1">
        <w:r w:rsidRPr="0043655B">
          <w:rPr>
            <w:rStyle w:val="TextoNormalCaracter"/>
          </w:rPr>
          <w:t>132/2012</w:t>
        </w:r>
      </w:hyperlink>
      <w:r>
        <w:t>, f. 4, VP.</w:t>
      </w:r>
    </w:p>
    <w:p w:rsidR="0043655B" w:rsidRDefault="0043655B" w:rsidP="0043655B">
      <w:pPr>
        <w:pStyle w:val="SangriaFrancesaArticulo"/>
      </w:pPr>
      <w:r w:rsidRPr="0043655B">
        <w:rPr>
          <w:rStyle w:val="TextoNormalNegritaCaracter"/>
        </w:rPr>
        <w:t>Artículo 8.1 k).</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m).</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n).</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o).</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q).</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s).</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t).</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u).</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8.1 v).</w:t>
      </w:r>
      <w:r w:rsidRPr="0043655B">
        <w:rPr>
          <w:rStyle w:val="TextoNormalCaracter"/>
        </w:rPr>
        <w:t>-</w:t>
      </w:r>
      <w:r>
        <w:t xml:space="preserve"> Sentencia </w:t>
      </w:r>
      <w:hyperlink w:anchor="SENTENCIA_2012_132" w:history="1">
        <w:r w:rsidRPr="0043655B">
          <w:rPr>
            <w:rStyle w:val="TextoNormalCaracter"/>
          </w:rPr>
          <w:t>132/2012</w:t>
        </w:r>
      </w:hyperlink>
      <w:r>
        <w:t>, ff. 1, 4, 5, 7.</w:t>
      </w:r>
    </w:p>
    <w:p w:rsidR="0043655B" w:rsidRDefault="0043655B" w:rsidP="0043655B">
      <w:pPr>
        <w:pStyle w:val="SangriaFrancesaArticulo"/>
      </w:pPr>
      <w:r w:rsidRPr="0043655B">
        <w:rPr>
          <w:rStyle w:val="TextoNormalNegritaCaracter"/>
        </w:rPr>
        <w:t>Artículo 8.2.</w:t>
      </w:r>
      <w:r w:rsidRPr="0043655B">
        <w:rPr>
          <w:rStyle w:val="TextoNormalCaracter"/>
        </w:rPr>
        <w:t>-</w:t>
      </w:r>
      <w:r>
        <w:t xml:space="preserve"> Sentencia </w:t>
      </w:r>
      <w:hyperlink w:anchor="SENTENCIA_2012_132" w:history="1">
        <w:r w:rsidRPr="0043655B">
          <w:rPr>
            <w:rStyle w:val="TextoNormalCaracter"/>
          </w:rPr>
          <w:t>132/2012</w:t>
        </w:r>
      </w:hyperlink>
      <w:r>
        <w:t>, ff. 1, 7.</w:t>
      </w:r>
    </w:p>
    <w:p w:rsidR="0043655B" w:rsidRDefault="0043655B" w:rsidP="0043655B">
      <w:pPr>
        <w:pStyle w:val="SangriaFrancesaArticulo"/>
      </w:pPr>
      <w:r w:rsidRPr="0043655B">
        <w:rPr>
          <w:rStyle w:val="TextoNormalNegritaCaracter"/>
        </w:rPr>
        <w:t>Artículo 8.3.</w:t>
      </w:r>
      <w:r w:rsidRPr="0043655B">
        <w:rPr>
          <w:rStyle w:val="TextoNormalCaracter"/>
        </w:rPr>
        <w:t>-</w:t>
      </w:r>
      <w:r>
        <w:t xml:space="preserve"> Sentencia </w:t>
      </w:r>
      <w:hyperlink w:anchor="SENTENCIA_2012_132" w:history="1">
        <w:r w:rsidRPr="0043655B">
          <w:rPr>
            <w:rStyle w:val="TextoNormalCaracter"/>
          </w:rPr>
          <w:t>132/2012</w:t>
        </w:r>
      </w:hyperlink>
      <w:r>
        <w:t>, ff. 1, 6.</w:t>
      </w:r>
    </w:p>
    <w:p w:rsidR="0043655B" w:rsidRDefault="0043655B" w:rsidP="0043655B">
      <w:pPr>
        <w:pStyle w:val="SangriaFrancesaArticulo"/>
      </w:pPr>
      <w:r w:rsidRPr="0043655B">
        <w:rPr>
          <w:rStyle w:val="TextoNormalNegritaCaracter"/>
        </w:rPr>
        <w:t>Artículo 9.2 g).</w:t>
      </w:r>
      <w:r w:rsidRPr="0043655B">
        <w:rPr>
          <w:rStyle w:val="TextoNormalCaracter"/>
        </w:rPr>
        <w:t>-</w:t>
      </w:r>
      <w:r>
        <w:t xml:space="preserve"> Sentencia </w:t>
      </w:r>
      <w:hyperlink w:anchor="SENTENCIA_2012_132" w:history="1">
        <w:r w:rsidRPr="0043655B">
          <w:rPr>
            <w:rStyle w:val="TextoNormalCaracter"/>
          </w:rPr>
          <w:t>132/2012</w:t>
        </w:r>
      </w:hyperlink>
      <w:r>
        <w:t>, f. 5.</w:t>
      </w:r>
    </w:p>
    <w:p w:rsidR="0043655B" w:rsidRDefault="0043655B" w:rsidP="0043655B">
      <w:pPr>
        <w:pStyle w:val="SangriaFrancesaArticulo"/>
      </w:pPr>
      <w:r w:rsidRPr="0043655B">
        <w:rPr>
          <w:rStyle w:val="TextoNormalNegritaCaracter"/>
        </w:rPr>
        <w:t>Artículo 9.2 u).</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132" w:history="1">
        <w:r w:rsidRPr="0043655B">
          <w:rPr>
            <w:rStyle w:val="TextoNormalCaracter"/>
          </w:rPr>
          <w:t>132/2012</w:t>
        </w:r>
      </w:hyperlink>
      <w:r>
        <w:t>, ff. 1, 6.</w:t>
      </w:r>
    </w:p>
    <w:p w:rsidR="0043655B" w:rsidRDefault="0043655B" w:rsidP="0043655B">
      <w:pPr>
        <w:pStyle w:val="SangriaFrancesaArticulo"/>
      </w:pPr>
      <w:r w:rsidRPr="0043655B">
        <w:rPr>
          <w:rStyle w:val="TextoNormalNegritaCaracter"/>
        </w:rPr>
        <w:t>Artículo 10.2 a).</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r w:rsidRPr="0043655B">
        <w:rPr>
          <w:rStyle w:val="TextoNormalNegritaCaracter"/>
        </w:rPr>
        <w:t>Artículo 10.2 b).</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12 a).</w:t>
      </w:r>
      <w:r w:rsidRPr="0043655B">
        <w:rPr>
          <w:rStyle w:val="TextoNormalCaracter"/>
        </w:rPr>
        <w:t>-</w:t>
      </w:r>
      <w:r>
        <w:t xml:space="preserve"> Sentencia </w:t>
      </w:r>
      <w:hyperlink w:anchor="SENTENCIA_2012_132" w:history="1">
        <w:r w:rsidRPr="0043655B">
          <w:rPr>
            <w:rStyle w:val="TextoNormalCaracter"/>
          </w:rPr>
          <w:t>132/2012</w:t>
        </w:r>
      </w:hyperlink>
      <w:r>
        <w:t>, f. 5.</w:t>
      </w:r>
    </w:p>
    <w:p w:rsidR="0043655B" w:rsidRDefault="0043655B" w:rsidP="0043655B">
      <w:pPr>
        <w:pStyle w:val="SangriaFrancesaArticulo"/>
      </w:pPr>
      <w:r w:rsidRPr="0043655B">
        <w:rPr>
          <w:rStyle w:val="TextoNormalNegritaCaracter"/>
        </w:rPr>
        <w:t>Artículo 12 b).</w:t>
      </w:r>
      <w:r w:rsidRPr="0043655B">
        <w:rPr>
          <w:rStyle w:val="TextoNormalCaracter"/>
        </w:rPr>
        <w:t>-</w:t>
      </w:r>
      <w:r>
        <w:t xml:space="preserve"> Sentencia </w:t>
      </w:r>
      <w:hyperlink w:anchor="SENTENCIA_2012_132" w:history="1">
        <w:r w:rsidRPr="0043655B">
          <w:rPr>
            <w:rStyle w:val="TextoNormalCaracter"/>
          </w:rPr>
          <w:t>132/2012</w:t>
        </w:r>
      </w:hyperlink>
      <w:r>
        <w:t>, f. 5.</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13.3.</w:t>
      </w:r>
      <w:r w:rsidRPr="0043655B">
        <w:rPr>
          <w:rStyle w:val="TextoNormalCaracter"/>
        </w:rPr>
        <w:t>-</w:t>
      </w:r>
      <w:r>
        <w:t xml:space="preserve"> Sentencia </w:t>
      </w:r>
      <w:hyperlink w:anchor="SENTENCIA_2012_132" w:history="1">
        <w:r w:rsidRPr="0043655B">
          <w:rPr>
            <w:rStyle w:val="TextoNormalCaracter"/>
          </w:rPr>
          <w:t>132/2012</w:t>
        </w:r>
      </w:hyperlink>
      <w:r>
        <w:t>, f. 4, VP.</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15.1.</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15.1 a).</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15.2.</w:t>
      </w:r>
      <w:r w:rsidRPr="0043655B">
        <w:rPr>
          <w:rStyle w:val="TextoNormalCaracter"/>
        </w:rPr>
        <w:t>-</w:t>
      </w:r>
      <w:r>
        <w:t xml:space="preserve"> Sentencia </w:t>
      </w:r>
      <w:hyperlink w:anchor="SENTENCIA_2012_132" w:history="1">
        <w:r w:rsidRPr="0043655B">
          <w:rPr>
            <w:rStyle w:val="TextoNormalCaracter"/>
          </w:rPr>
          <w:t>132/2012</w:t>
        </w:r>
      </w:hyperlink>
      <w:r>
        <w:t>, ff. 1, 7.</w:t>
      </w:r>
    </w:p>
    <w:p w:rsidR="0043655B" w:rsidRDefault="0043655B" w:rsidP="0043655B">
      <w:pPr>
        <w:pStyle w:val="SangriaFrancesaArticulo"/>
      </w:pPr>
      <w:r w:rsidRPr="0043655B">
        <w:rPr>
          <w:rStyle w:val="TextoNormalNegritaCaracter"/>
        </w:rPr>
        <w:t>Artículo 16.1.</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16.3.</w:t>
      </w:r>
      <w:r w:rsidRPr="0043655B">
        <w:rPr>
          <w:rStyle w:val="TextoNormalCaracter"/>
        </w:rPr>
        <w:t>-</w:t>
      </w:r>
      <w:r>
        <w:t xml:space="preserve"> Sentencia </w:t>
      </w:r>
      <w:hyperlink w:anchor="SENTENCIA_2012_132" w:history="1">
        <w:r w:rsidRPr="0043655B">
          <w:rPr>
            <w:rStyle w:val="TextoNormalCaracter"/>
          </w:rPr>
          <w:t>132/2012</w:t>
        </w:r>
      </w:hyperlink>
      <w:r>
        <w:t>, ff. 1, 7.</w:t>
      </w:r>
    </w:p>
    <w:p w:rsidR="0043655B" w:rsidRDefault="0043655B" w:rsidP="0043655B">
      <w:pPr>
        <w:pStyle w:val="SangriaFrancesaArticulo"/>
      </w:pPr>
      <w:r w:rsidRPr="0043655B">
        <w:rPr>
          <w:rStyle w:val="TextoNormalNegritaCaracter"/>
        </w:rPr>
        <w:t>Artículo 17.2.</w:t>
      </w:r>
      <w:r w:rsidRPr="0043655B">
        <w:rPr>
          <w:rStyle w:val="TextoNormalCaracter"/>
        </w:rPr>
        <w:t>-</w:t>
      </w:r>
      <w:r>
        <w:t xml:space="preserve"> Sentencia </w:t>
      </w:r>
      <w:hyperlink w:anchor="SENTENCIA_2012_132" w:history="1">
        <w:r w:rsidRPr="0043655B">
          <w:rPr>
            <w:rStyle w:val="TextoNormalCaracter"/>
          </w:rPr>
          <w:t>132/2012</w:t>
        </w:r>
      </w:hyperlink>
      <w:r>
        <w:t>, ff. 1, 7, VP.</w:t>
      </w:r>
    </w:p>
    <w:p w:rsidR="0043655B" w:rsidRDefault="0043655B" w:rsidP="0043655B">
      <w:pPr>
        <w:pStyle w:val="SangriaFrancesaArticulo"/>
      </w:pPr>
      <w:r w:rsidRPr="0043655B">
        <w:rPr>
          <w:rStyle w:val="TextoNormalNegritaCaracter"/>
        </w:rPr>
        <w:t>Artículo 17.3.</w:t>
      </w:r>
      <w:r w:rsidRPr="0043655B">
        <w:rPr>
          <w:rStyle w:val="TextoNormalCaracter"/>
        </w:rPr>
        <w:t>-</w:t>
      </w:r>
      <w:r>
        <w:t xml:space="preserve"> Sentencia </w:t>
      </w:r>
      <w:hyperlink w:anchor="SENTENCIA_2012_132" w:history="1">
        <w:r w:rsidRPr="0043655B">
          <w:rPr>
            <w:rStyle w:val="TextoNormalCaracter"/>
          </w:rPr>
          <w:t>132/2012</w:t>
        </w:r>
      </w:hyperlink>
      <w:r>
        <w:t>, f. 7.</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20.4.</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20.5.</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20.6.</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22.2.</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r w:rsidRPr="0043655B">
        <w:rPr>
          <w:rStyle w:val="TextoNormalNegritaCaracter"/>
        </w:rPr>
        <w:t>Artículo 22.3.</w:t>
      </w:r>
      <w:r w:rsidRPr="0043655B">
        <w:rPr>
          <w:rStyle w:val="TextoNormalCaracter"/>
        </w:rPr>
        <w:t>-</w:t>
      </w:r>
      <w:r>
        <w:t xml:space="preserve"> Sentencia </w:t>
      </w:r>
      <w:hyperlink w:anchor="SENTENCIA_2012_132" w:history="1">
        <w:r w:rsidRPr="0043655B">
          <w:rPr>
            <w:rStyle w:val="TextoNormalCaracter"/>
          </w:rPr>
          <w:t>132/2012</w:t>
        </w:r>
      </w:hyperlink>
      <w:r>
        <w:t>, ff. 1, 4, 5.</w:t>
      </w:r>
    </w:p>
    <w:p w:rsidR="0043655B" w:rsidRDefault="0043655B" w:rsidP="0043655B">
      <w:pPr>
        <w:pStyle w:val="SangriaFrancesaArticulo"/>
      </w:pPr>
    </w:p>
    <w:p w:rsidR="0043655B" w:rsidRDefault="0043655B" w:rsidP="0043655B">
      <w:pPr>
        <w:pStyle w:val="TextoNormalNegritaCursivandice"/>
      </w:pPr>
      <w:r>
        <w:lastRenderedPageBreak/>
        <w:t>Ley del Parlamento de las Illes Balears 11/2001, de 15 de junio. Ordenación de la actividad comercial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6" w:history="1">
        <w:r w:rsidRPr="0043655B">
          <w:rPr>
            <w:rStyle w:val="TextoNormalCaracter"/>
          </w:rPr>
          <w:t>86/2012</w:t>
        </w:r>
      </w:hyperlink>
      <w:r>
        <w:t>, f. 2.</w:t>
      </w:r>
    </w:p>
    <w:p w:rsidR="0043655B" w:rsidRDefault="0043655B" w:rsidP="0043655B">
      <w:pPr>
        <w:pStyle w:val="SangriaFrancesaArticulo"/>
      </w:pPr>
      <w:r w:rsidRPr="0043655B">
        <w:rPr>
          <w:rStyle w:val="TextoNormalNegritaCaracter"/>
        </w:rPr>
        <w:t>En general</w:t>
      </w:r>
      <w:r>
        <w:t xml:space="preserve"> </w:t>
      </w:r>
      <w:r w:rsidRPr="0043655B">
        <w:rPr>
          <w:rStyle w:val="TextoNormalCaracter"/>
        </w:rPr>
        <w:t>(redactado por la Ley del Parlamento de las Illes Balears 8/2009, de 16 de diciembre)</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26" w:history="1">
        <w:r w:rsidRPr="0043655B">
          <w:rPr>
            <w:rStyle w:val="TextoNormalCaracter"/>
          </w:rPr>
          <w:t>26/2012</w:t>
        </w:r>
      </w:hyperlink>
      <w:r>
        <w:t>, f. 4.</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26" w:history="1">
        <w:r w:rsidRPr="0043655B">
          <w:rPr>
            <w:rStyle w:val="TextoNormalCaracter"/>
          </w:rPr>
          <w:t>26/2012</w:t>
        </w:r>
      </w:hyperlink>
      <w:r>
        <w:t>, ff. 1, 4, 8.</w:t>
      </w:r>
    </w:p>
    <w:p w:rsidR="0043655B" w:rsidRDefault="0043655B" w:rsidP="0043655B">
      <w:pPr>
        <w:pStyle w:val="SangriaFrancesaArticulo"/>
      </w:pPr>
      <w:r w:rsidRPr="0043655B">
        <w:rPr>
          <w:rStyle w:val="TextoNormalNegritaCaracter"/>
        </w:rPr>
        <w:t>Artículo 4.5.</w:t>
      </w:r>
      <w:r w:rsidRPr="0043655B">
        <w:rPr>
          <w:rStyle w:val="TextoNormalCaracter"/>
        </w:rPr>
        <w:t>-</w:t>
      </w:r>
      <w:r>
        <w:t xml:space="preserve"> Sentencia </w:t>
      </w:r>
      <w:hyperlink w:anchor="SENTENCIA_2012_26" w:history="1">
        <w:r w:rsidRPr="0043655B">
          <w:rPr>
            <w:rStyle w:val="TextoNormalCaracter"/>
          </w:rPr>
          <w:t>26/2012</w:t>
        </w:r>
      </w:hyperlink>
      <w:r>
        <w:t>, f. 8.</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(redactado por la Ley del Parlamento de las Illes Balears 8/2009, de 16 de diciembre)</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 </w:t>
      </w:r>
      <w:hyperlink w:anchor="SENTENCIA_2012_26" w:history="1">
        <w:r w:rsidRPr="0043655B">
          <w:rPr>
            <w:rStyle w:val="TextoNormalCaracter"/>
          </w:rPr>
          <w:t>26/2012</w:t>
        </w:r>
      </w:hyperlink>
      <w:r>
        <w:t>, ff. 1, 2, 4, 5.</w:t>
      </w:r>
    </w:p>
    <w:p w:rsidR="0043655B" w:rsidRDefault="0043655B" w:rsidP="0043655B">
      <w:pPr>
        <w:pStyle w:val="SangriaFrancesaArticulo"/>
      </w:pPr>
      <w:r w:rsidRPr="0043655B">
        <w:rPr>
          <w:rStyle w:val="TextoNormalNegritaCaracter"/>
        </w:rPr>
        <w:t>Artículo 18.</w:t>
      </w:r>
      <w:r w:rsidRPr="0043655B">
        <w:rPr>
          <w:rStyle w:val="TextoNormalCaracter"/>
        </w:rPr>
        <w:t>-</w:t>
      </w:r>
      <w:r>
        <w:t xml:space="preserve"> Sentencias </w:t>
      </w:r>
      <w:hyperlink w:anchor="SENTENCIA_2012_26" w:history="1">
        <w:r w:rsidRPr="0043655B">
          <w:rPr>
            <w:rStyle w:val="TextoNormalCaracter"/>
          </w:rPr>
          <w:t>26/2012</w:t>
        </w:r>
      </w:hyperlink>
      <w:r>
        <w:t xml:space="preserve">, ff. 1, 6, 7; </w:t>
      </w:r>
      <w:hyperlink w:anchor="SENTENCIA_2012_86" w:history="1">
        <w:r w:rsidRPr="0043655B">
          <w:rPr>
            <w:rStyle w:val="TextoNormalCaracter"/>
          </w:rPr>
          <w:t>86/2012</w:t>
        </w:r>
      </w:hyperlink>
      <w:r>
        <w:t>, ff. 1, 2.</w:t>
      </w:r>
    </w:p>
    <w:p w:rsidR="0043655B" w:rsidRDefault="0043655B" w:rsidP="0043655B">
      <w:pPr>
        <w:pStyle w:val="SangriaFrancesaArticulo"/>
      </w:pPr>
      <w:r w:rsidRPr="0043655B">
        <w:rPr>
          <w:rStyle w:val="TextoNormalNegritaCaracter"/>
        </w:rPr>
        <w:t>Artículo 18.1.</w:t>
      </w:r>
      <w:r w:rsidRPr="0043655B">
        <w:rPr>
          <w:rStyle w:val="TextoNormalCaracter"/>
        </w:rPr>
        <w:t>-</w:t>
      </w:r>
      <w:r>
        <w:t xml:space="preserve"> Sentencias </w:t>
      </w:r>
      <w:hyperlink w:anchor="SENTENCIA_2012_26" w:history="1">
        <w:r w:rsidRPr="0043655B">
          <w:rPr>
            <w:rStyle w:val="TextoNormalCaracter"/>
          </w:rPr>
          <w:t>26/2012</w:t>
        </w:r>
      </w:hyperlink>
      <w:r>
        <w:t xml:space="preserve">, f. 7; </w:t>
      </w:r>
      <w:hyperlink w:anchor="SENTENCIA_2012_86" w:history="1">
        <w:r w:rsidRPr="0043655B">
          <w:rPr>
            <w:rStyle w:val="TextoNormalCaracter"/>
          </w:rPr>
          <w:t>86/2012</w:t>
        </w:r>
      </w:hyperlink>
      <w:r>
        <w:t>, ff. 1, 3.</w:t>
      </w:r>
    </w:p>
    <w:p w:rsidR="0043655B" w:rsidRDefault="0043655B" w:rsidP="0043655B">
      <w:pPr>
        <w:pStyle w:val="SangriaFrancesaArticulo"/>
      </w:pPr>
      <w:r w:rsidRPr="0043655B">
        <w:rPr>
          <w:rStyle w:val="TextoNormalNegritaCaracter"/>
        </w:rPr>
        <w:t>Artículo 18.2.</w:t>
      </w:r>
      <w:r w:rsidRPr="0043655B">
        <w:rPr>
          <w:rStyle w:val="TextoNormalCaracter"/>
        </w:rPr>
        <w:t>-</w:t>
      </w:r>
      <w:r>
        <w:t xml:space="preserve"> Sentencias </w:t>
      </w:r>
      <w:hyperlink w:anchor="SENTENCIA_2012_26" w:history="1">
        <w:r w:rsidRPr="0043655B">
          <w:rPr>
            <w:rStyle w:val="TextoNormalCaracter"/>
          </w:rPr>
          <w:t>26/2012</w:t>
        </w:r>
      </w:hyperlink>
      <w:r>
        <w:t xml:space="preserve">, ff. 7, 9; </w:t>
      </w:r>
      <w:hyperlink w:anchor="SENTENCIA_2012_86" w:history="1">
        <w:r w:rsidRPr="0043655B">
          <w:rPr>
            <w:rStyle w:val="TextoNormalCaracter"/>
          </w:rPr>
          <w:t>86/2012</w:t>
        </w:r>
      </w:hyperlink>
      <w:r>
        <w:t>, ff. 1, 2.</w:t>
      </w:r>
    </w:p>
    <w:p w:rsidR="0043655B" w:rsidRDefault="0043655B" w:rsidP="0043655B">
      <w:pPr>
        <w:pStyle w:val="SangriaFrancesaArticulo"/>
      </w:pPr>
      <w:r w:rsidRPr="0043655B">
        <w:rPr>
          <w:rStyle w:val="TextoNormalNegritaCaracter"/>
        </w:rPr>
        <w:t>Artículo 18.3.</w:t>
      </w:r>
      <w:r w:rsidRPr="0043655B">
        <w:rPr>
          <w:rStyle w:val="TextoNormalCaracter"/>
        </w:rPr>
        <w:t>-</w:t>
      </w:r>
      <w:r>
        <w:t xml:space="preserve"> Sentencia </w:t>
      </w:r>
      <w:hyperlink w:anchor="SENTENCIA_2012_26" w:history="1">
        <w:r w:rsidRPr="0043655B">
          <w:rPr>
            <w:rStyle w:val="TextoNormalCaracter"/>
          </w:rPr>
          <w:t>26/2012</w:t>
        </w:r>
      </w:hyperlink>
      <w:r>
        <w:t>, f. 7.</w:t>
      </w:r>
    </w:p>
    <w:p w:rsidR="0043655B" w:rsidRDefault="0043655B" w:rsidP="0043655B">
      <w:pPr>
        <w:pStyle w:val="SangriaFrancesaArticulo"/>
      </w:pPr>
      <w:r w:rsidRPr="0043655B">
        <w:rPr>
          <w:rStyle w:val="TextoNormalNegritaCaracter"/>
        </w:rPr>
        <w:t>Artículo 20.</w:t>
      </w:r>
      <w:r w:rsidRPr="0043655B">
        <w:rPr>
          <w:rStyle w:val="TextoNormalCaracter"/>
        </w:rPr>
        <w:t>-</w:t>
      </w:r>
      <w:r>
        <w:t xml:space="preserve"> Sentencia </w:t>
      </w:r>
      <w:hyperlink w:anchor="SENTENCIA_2012_26" w:history="1">
        <w:r w:rsidRPr="0043655B">
          <w:rPr>
            <w:rStyle w:val="TextoNormalCaracter"/>
          </w:rPr>
          <w:t>26/2012</w:t>
        </w:r>
      </w:hyperlink>
      <w:r>
        <w:t>, ff. 1, 6, 8.</w:t>
      </w:r>
    </w:p>
    <w:p w:rsidR="0043655B" w:rsidRDefault="0043655B" w:rsidP="0043655B">
      <w:pPr>
        <w:pStyle w:val="SangriaFrancesaArticulo"/>
      </w:pPr>
      <w:r w:rsidRPr="0043655B">
        <w:rPr>
          <w:rStyle w:val="TextoNormalNegritaCaracter"/>
        </w:rPr>
        <w:t>Artículo 20</w:t>
      </w:r>
      <w:r>
        <w:t xml:space="preserve"> </w:t>
      </w:r>
      <w:r w:rsidRPr="0043655B">
        <w:rPr>
          <w:rStyle w:val="TextoNormalCaracter"/>
        </w:rPr>
        <w:t>(redactado por la Ley del Parlamento de las Illes Balears 25/2006, de 27 de diciembre)</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21.1 b).</w:t>
      </w:r>
      <w:r w:rsidRPr="0043655B">
        <w:rPr>
          <w:rStyle w:val="TextoNormalCaracter"/>
        </w:rPr>
        <w:t>-</w:t>
      </w:r>
      <w:r>
        <w:t xml:space="preserve"> Sentencia </w:t>
      </w:r>
      <w:hyperlink w:anchor="SENTENCIA_2012_26" w:history="1">
        <w:r w:rsidRPr="0043655B">
          <w:rPr>
            <w:rStyle w:val="TextoNormalCaracter"/>
          </w:rPr>
          <w:t>26/2012</w:t>
        </w:r>
      </w:hyperlink>
      <w:r>
        <w:t>, ff. 6, 9.</w:t>
      </w:r>
    </w:p>
    <w:p w:rsidR="0043655B" w:rsidRDefault="0043655B" w:rsidP="0043655B">
      <w:pPr>
        <w:pStyle w:val="SangriaFrancesaArticulo"/>
      </w:pPr>
      <w:r w:rsidRPr="0043655B">
        <w:rPr>
          <w:rStyle w:val="TextoNormalNegritaCaracter"/>
        </w:rPr>
        <w:t>Artículo 21.1 b) inciso 2.</w:t>
      </w:r>
      <w:r w:rsidRPr="0043655B">
        <w:rPr>
          <w:rStyle w:val="TextoNormalCaracter"/>
        </w:rPr>
        <w:t>-</w:t>
      </w:r>
      <w:r>
        <w:t xml:space="preserve"> Sentencia </w:t>
      </w:r>
      <w:hyperlink w:anchor="SENTENCIA_2012_26" w:history="1">
        <w:r w:rsidRPr="0043655B">
          <w:rPr>
            <w:rStyle w:val="TextoNormalCaracter"/>
          </w:rPr>
          <w:t>26/2012</w:t>
        </w:r>
      </w:hyperlink>
      <w:r>
        <w:t>, ff. 1, 2.</w:t>
      </w:r>
    </w:p>
    <w:p w:rsidR="0043655B" w:rsidRDefault="0043655B" w:rsidP="0043655B">
      <w:pPr>
        <w:pStyle w:val="SangriaFrancesaArticulo"/>
      </w:pPr>
      <w:r w:rsidRPr="0043655B">
        <w:rPr>
          <w:rStyle w:val="TextoNormalNegritaCaracter"/>
        </w:rPr>
        <w:t>Artículo 21.1 b) inciso 2</w:t>
      </w:r>
      <w:r>
        <w:t xml:space="preserve"> </w:t>
      </w:r>
      <w:r w:rsidRPr="0043655B">
        <w:rPr>
          <w:rStyle w:val="TextoNormalCaracter"/>
        </w:rPr>
        <w:t>(derogado por la Ley del Parlamento de las Illes Balears 8/2009, de 16 de diciembre)</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ff. 1, 2.</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26" w:history="1">
        <w:r w:rsidRPr="0043655B">
          <w:rPr>
            <w:rStyle w:val="TextoNormalCaracter"/>
          </w:rPr>
          <w:t>26/2012</w:t>
        </w:r>
      </w:hyperlink>
      <w:r>
        <w:t>, ff. 6, 9.</w:t>
      </w:r>
    </w:p>
    <w:p w:rsidR="0043655B" w:rsidRDefault="0043655B" w:rsidP="0043655B">
      <w:pPr>
        <w:pStyle w:val="SangriaFrancesaArticulo"/>
      </w:pPr>
      <w:r w:rsidRPr="0043655B">
        <w:rPr>
          <w:rStyle w:val="TextoNormalNegritaCaracter"/>
        </w:rPr>
        <w:t>Artículo 22.1 in fine.</w:t>
      </w:r>
      <w:r w:rsidRPr="0043655B">
        <w:rPr>
          <w:rStyle w:val="TextoNormalCaracter"/>
        </w:rPr>
        <w:t>-</w:t>
      </w:r>
      <w:r>
        <w:t xml:space="preserve"> Sentencia </w:t>
      </w:r>
      <w:hyperlink w:anchor="SENTENCIA_2012_26" w:history="1">
        <w:r w:rsidRPr="0043655B">
          <w:rPr>
            <w:rStyle w:val="TextoNormalCaracter"/>
          </w:rPr>
          <w:t>26/2012</w:t>
        </w:r>
      </w:hyperlink>
      <w:r>
        <w:t>, ff. 1, 2.</w:t>
      </w:r>
    </w:p>
    <w:p w:rsidR="0043655B" w:rsidRDefault="0043655B" w:rsidP="0043655B">
      <w:pPr>
        <w:pStyle w:val="SangriaFrancesaArticulo"/>
      </w:pPr>
      <w:r w:rsidRPr="0043655B">
        <w:rPr>
          <w:rStyle w:val="TextoNormalNegritaCaracter"/>
        </w:rPr>
        <w:t>Artículo 22.1 in fine</w:t>
      </w:r>
      <w:r>
        <w:t xml:space="preserve"> </w:t>
      </w:r>
      <w:r w:rsidRPr="0043655B">
        <w:rPr>
          <w:rStyle w:val="TextoNormalCaracter"/>
        </w:rPr>
        <w:t xml:space="preserve">(derogado por la Ley del Parlamento de las Illes </w:t>
      </w:r>
      <w:r w:rsidR="00294D44">
        <w:rPr>
          <w:rStyle w:val="TextoNormalCaracter"/>
        </w:rPr>
        <w:fldChar w:fldCharType="begin"/>
      </w:r>
      <w:r w:rsidR="00294D44">
        <w:rPr>
          <w:rStyle w:val="TextoNormalCaracter"/>
        </w:rPr>
        <w:instrText xml:space="preserve"> PAGEREF SUMARIOSINDICES \h </w:instrText>
      </w:r>
      <w:r w:rsidR="00294D44">
        <w:rPr>
          <w:rStyle w:val="TextoNormalCaracter"/>
        </w:rPr>
      </w:r>
      <w:r w:rsidR="00294D44">
        <w:rPr>
          <w:rStyle w:val="TextoNormalCaracter"/>
        </w:rPr>
        <w:fldChar w:fldCharType="separate"/>
      </w:r>
      <w:r w:rsidR="00A6693A">
        <w:rPr>
          <w:rStyle w:val="TextoNormalCaracter"/>
          <w:noProof/>
        </w:rPr>
        <w:t>2</w:t>
      </w:r>
      <w:r w:rsidR="00294D44">
        <w:rPr>
          <w:rStyle w:val="TextoNormalCaracter"/>
        </w:rPr>
        <w:fldChar w:fldCharType="end"/>
      </w:r>
      <w:r w:rsidRPr="0043655B">
        <w:rPr>
          <w:rStyle w:val="TextoNormalCaracter"/>
        </w:rPr>
        <w:t>Balears 8/2009, de 16 de diciembre)</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ff. 1, 2.</w:t>
      </w:r>
    </w:p>
    <w:p w:rsidR="0043655B" w:rsidRDefault="0043655B" w:rsidP="0043655B">
      <w:pPr>
        <w:pStyle w:val="SangriaFrancesaArticulo"/>
      </w:pPr>
      <w:r w:rsidRPr="0043655B">
        <w:rPr>
          <w:rStyle w:val="TextoNormalNegritaCaracter"/>
        </w:rPr>
        <w:t>Artículo 27 a).</w:t>
      </w:r>
      <w:r w:rsidRPr="0043655B">
        <w:rPr>
          <w:rStyle w:val="TextoNormalCaracter"/>
        </w:rPr>
        <w:t>-</w:t>
      </w:r>
      <w:r>
        <w:t xml:space="preserve"> Sentencia </w:t>
      </w:r>
      <w:hyperlink w:anchor="SENTENCIA_2012_26" w:history="1">
        <w:r w:rsidRPr="0043655B">
          <w:rPr>
            <w:rStyle w:val="TextoNormalCaracter"/>
          </w:rPr>
          <w:t>26/2012</w:t>
        </w:r>
      </w:hyperlink>
      <w:r>
        <w:t>, ff. 1, 10.</w:t>
      </w:r>
    </w:p>
    <w:p w:rsidR="0043655B" w:rsidRDefault="0043655B" w:rsidP="0043655B">
      <w:pPr>
        <w:pStyle w:val="SangriaFrancesaArticulo"/>
      </w:pPr>
      <w:r w:rsidRPr="0043655B">
        <w:rPr>
          <w:rStyle w:val="TextoNormalNegritaCaracter"/>
        </w:rPr>
        <w:t>Artículo 28.</w:t>
      </w:r>
      <w:r w:rsidRPr="0043655B">
        <w:rPr>
          <w:rStyle w:val="TextoNormalCaracter"/>
        </w:rPr>
        <w:t>-</w:t>
      </w:r>
      <w:r>
        <w:t xml:space="preserve"> Sentencia </w:t>
      </w:r>
      <w:hyperlink w:anchor="SENTENCIA_2012_26" w:history="1">
        <w:r w:rsidRPr="0043655B">
          <w:rPr>
            <w:rStyle w:val="TextoNormalCaracter"/>
          </w:rPr>
          <w:t>26/2012</w:t>
        </w:r>
      </w:hyperlink>
      <w:r>
        <w:t>, ff. 1, 11.</w:t>
      </w:r>
    </w:p>
    <w:p w:rsidR="0043655B" w:rsidRDefault="0043655B" w:rsidP="0043655B">
      <w:pPr>
        <w:pStyle w:val="SangriaFrancesaArticulo"/>
      </w:pPr>
      <w:r w:rsidRPr="0043655B">
        <w:rPr>
          <w:rStyle w:val="TextoNormalNegritaCaracter"/>
        </w:rPr>
        <w:t>Artículo 35.2.</w:t>
      </w:r>
      <w:r w:rsidRPr="0043655B">
        <w:rPr>
          <w:rStyle w:val="TextoNormalCaracter"/>
        </w:rPr>
        <w:t>-</w:t>
      </w:r>
      <w:r>
        <w:t xml:space="preserve"> Sentencia </w:t>
      </w:r>
      <w:hyperlink w:anchor="SENTENCIA_2012_26" w:history="1">
        <w:r w:rsidRPr="0043655B">
          <w:rPr>
            <w:rStyle w:val="TextoNormalCaracter"/>
          </w:rPr>
          <w:t>26/2012</w:t>
        </w:r>
      </w:hyperlink>
      <w:r>
        <w:t>, ff. 1, 12.</w:t>
      </w:r>
    </w:p>
    <w:p w:rsidR="0043655B" w:rsidRDefault="0043655B" w:rsidP="0043655B">
      <w:pPr>
        <w:pStyle w:val="SangriaFrancesaArticulo"/>
      </w:pPr>
      <w:r w:rsidRPr="0043655B">
        <w:rPr>
          <w:rStyle w:val="TextoNormalNegritaCaracter"/>
        </w:rPr>
        <w:t>Artículo 48 c).</w:t>
      </w:r>
      <w:r w:rsidRPr="0043655B">
        <w:rPr>
          <w:rStyle w:val="TextoNormalCaracter"/>
        </w:rPr>
        <w:t>-</w:t>
      </w:r>
      <w:r>
        <w:t xml:space="preserve"> Sentencia </w:t>
      </w:r>
      <w:hyperlink w:anchor="SENTENCIA_2012_86" w:history="1">
        <w:r w:rsidRPr="0043655B">
          <w:rPr>
            <w:rStyle w:val="TextoNormalCaracter"/>
          </w:rPr>
          <w:t>86/2012</w:t>
        </w:r>
      </w:hyperlink>
      <w:r>
        <w:t>, f. 2.</w:t>
      </w:r>
    </w:p>
    <w:p w:rsidR="0043655B" w:rsidRDefault="0043655B" w:rsidP="0043655B">
      <w:pPr>
        <w:pStyle w:val="SangriaFrancesaArticulo"/>
      </w:pPr>
      <w:r w:rsidRPr="0043655B">
        <w:rPr>
          <w:rStyle w:val="TextoNormalNegritaCaracter"/>
        </w:rPr>
        <w:t>Artículo 49 s).</w:t>
      </w:r>
      <w:r w:rsidRPr="0043655B">
        <w:rPr>
          <w:rStyle w:val="TextoNormalCaracter"/>
        </w:rPr>
        <w:t>-</w:t>
      </w:r>
      <w:r>
        <w:t xml:space="preserve"> Sentencia </w:t>
      </w:r>
      <w:hyperlink w:anchor="SENTENCIA_2012_26" w:history="1">
        <w:r w:rsidRPr="0043655B">
          <w:rPr>
            <w:rStyle w:val="TextoNormalCaracter"/>
          </w:rPr>
          <w:t>26/2012</w:t>
        </w:r>
      </w:hyperlink>
      <w:r>
        <w:t>, f. 13.</w:t>
      </w:r>
    </w:p>
    <w:p w:rsidR="0043655B" w:rsidRDefault="0043655B" w:rsidP="0043655B">
      <w:pPr>
        <w:pStyle w:val="SangriaFrancesaArticulo"/>
      </w:pPr>
      <w:r w:rsidRPr="0043655B">
        <w:rPr>
          <w:rStyle w:val="TextoNormalNegritaCaracter"/>
        </w:rPr>
        <w:t>Artículo 50 d).</w:t>
      </w:r>
      <w:r w:rsidRPr="0043655B">
        <w:rPr>
          <w:rStyle w:val="TextoNormalCaracter"/>
        </w:rPr>
        <w:t>-</w:t>
      </w:r>
      <w:r>
        <w:t xml:space="preserve"> Sentencia </w:t>
      </w:r>
      <w:hyperlink w:anchor="SENTENCIA_2012_26" w:history="1">
        <w:r w:rsidRPr="0043655B">
          <w:rPr>
            <w:rStyle w:val="TextoNormalCaracter"/>
          </w:rPr>
          <w:t>26/2012</w:t>
        </w:r>
      </w:hyperlink>
      <w:r>
        <w:t>, f. 13.</w:t>
      </w:r>
    </w:p>
    <w:p w:rsidR="0043655B" w:rsidRDefault="0043655B" w:rsidP="0043655B">
      <w:pPr>
        <w:pStyle w:val="SangriaFrancesaArticulo"/>
      </w:pPr>
      <w:r w:rsidRPr="0043655B">
        <w:rPr>
          <w:rStyle w:val="TextoNormalNegritaCaracter"/>
        </w:rPr>
        <w:t>Artículo 53 a).</w:t>
      </w:r>
      <w:r w:rsidRPr="0043655B">
        <w:rPr>
          <w:rStyle w:val="TextoNormalCaracter"/>
        </w:rPr>
        <w:t>-</w:t>
      </w:r>
      <w:r>
        <w:t xml:space="preserve"> Sentencia </w:t>
      </w:r>
      <w:hyperlink w:anchor="SENTENCIA_2012_86" w:history="1">
        <w:r w:rsidRPr="0043655B">
          <w:rPr>
            <w:rStyle w:val="TextoNormalCaracter"/>
          </w:rPr>
          <w:t>86/2012</w:t>
        </w:r>
      </w:hyperlink>
      <w:r>
        <w:t>, f. 2.</w:t>
      </w:r>
    </w:p>
    <w:p w:rsidR="0043655B" w:rsidRDefault="0043655B" w:rsidP="0043655B">
      <w:pPr>
        <w:pStyle w:val="SangriaFrancesaArticulo"/>
      </w:pPr>
      <w:r w:rsidRPr="0043655B">
        <w:rPr>
          <w:rStyle w:val="TextoNormalNegritaCaracter"/>
        </w:rPr>
        <w:t>Artículo 54.1.</w:t>
      </w:r>
      <w:r w:rsidRPr="0043655B">
        <w:rPr>
          <w:rStyle w:val="TextoNormalCaracter"/>
        </w:rPr>
        <w:t>-</w:t>
      </w:r>
      <w:r>
        <w:t xml:space="preserve"> Sentencia </w:t>
      </w:r>
      <w:hyperlink w:anchor="SENTENCIA_2012_26" w:history="1">
        <w:r w:rsidRPr="0043655B">
          <w:rPr>
            <w:rStyle w:val="TextoNormalCaracter"/>
          </w:rPr>
          <w:t>26/2012</w:t>
        </w:r>
      </w:hyperlink>
      <w:r>
        <w:t>, ff. 1, 2, 13.</w:t>
      </w:r>
    </w:p>
    <w:p w:rsidR="0043655B" w:rsidRDefault="0043655B" w:rsidP="0043655B">
      <w:pPr>
        <w:pStyle w:val="SangriaFrancesaArticulo"/>
      </w:pPr>
      <w:r w:rsidRPr="0043655B">
        <w:rPr>
          <w:rStyle w:val="TextoNormalNegritaCaracter"/>
        </w:rPr>
        <w:t>Artículo 54.1</w:t>
      </w:r>
      <w:r>
        <w:t xml:space="preserve"> </w:t>
      </w:r>
      <w:r w:rsidRPr="0043655B">
        <w:rPr>
          <w:rStyle w:val="TextoNormalCaracter"/>
        </w:rPr>
        <w:t>(redactado por la Ley del Parlamento de las Illes Balears 8/2004, de 23 de diciembre)</w:t>
      </w:r>
      <w:r w:rsidRPr="0043655B">
        <w:rPr>
          <w:rStyle w:val="TextoNormalNegritaCaracter"/>
        </w:rPr>
        <w:t>.</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p>
    <w:p w:rsidR="0043655B" w:rsidRDefault="0043655B" w:rsidP="0043655B">
      <w:pPr>
        <w:pStyle w:val="TextoNormalNegritaCursivandice"/>
      </w:pPr>
      <w:r>
        <w:t>Ley del Parlamento de las Illes Balears 8/2004, de 23 de diciembre. Medidas tributarias, administrativas y de función pública</w:t>
      </w:r>
    </w:p>
    <w:p w:rsidR="0043655B" w:rsidRDefault="0043655B" w:rsidP="0043655B">
      <w:pPr>
        <w:pStyle w:val="SangriaFrancesaArticulo"/>
      </w:pPr>
      <w:r w:rsidRPr="0043655B">
        <w:rPr>
          <w:rStyle w:val="TextoNormalNegritaCaracter"/>
        </w:rPr>
        <w:t>Artículo 32.4.</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p>
    <w:p w:rsidR="0043655B" w:rsidRDefault="0043655B" w:rsidP="0043655B">
      <w:pPr>
        <w:pStyle w:val="TextoNormalNegritaCursivandice"/>
      </w:pPr>
      <w:r>
        <w:t>Ley del Parlamento de las Illes Balears 25/2006, de 27 de diciembre. Medidas tributarias y administrativas</w:t>
      </w:r>
    </w:p>
    <w:p w:rsidR="0043655B" w:rsidRDefault="0043655B" w:rsidP="0043655B">
      <w:pPr>
        <w:pStyle w:val="SangriaFrancesaArticulo"/>
      </w:pPr>
      <w:r w:rsidRPr="0043655B">
        <w:rPr>
          <w:rStyle w:val="TextoNormalNegritaCaracter"/>
        </w:rPr>
        <w:t>Artículo 14.2.</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p>
    <w:p w:rsidR="0043655B" w:rsidRDefault="0043655B" w:rsidP="0043655B">
      <w:pPr>
        <w:pStyle w:val="TextoNormalNegritaCursivandice"/>
      </w:pPr>
      <w:r>
        <w:t xml:space="preserve">Ley del Parlamento de las Illes Balears 8/2009, de 16 de diciembre. Reforma de la Ley 11/2001, de 15 de junio, de ordenación de la actividad comercial en las Illes </w:t>
      </w:r>
      <w:r>
        <w:lastRenderedPageBreak/>
        <w:t>Balears para la transposición de la Directiva 2006/123/CE del Parlamento Europeo y del Consejo, de 12 de diciembre de 2006, relativa a los servicios en el mercado interior</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26" w:history="1">
        <w:r w:rsidRPr="0043655B">
          <w:rPr>
            <w:rStyle w:val="TextoNormalCaracter"/>
          </w:rPr>
          <w:t>26/2012</w:t>
        </w:r>
      </w:hyperlink>
      <w:r>
        <w:t>, f. 2.</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J.5) Canarias</w:t>
      </w:r>
    </w:p>
    <w:p w:rsidR="0043655B" w:rsidRDefault="0043655B" w:rsidP="0043655B">
      <w:pPr>
        <w:pStyle w:val="TextoNormal"/>
      </w:pPr>
    </w:p>
    <w:p w:rsidR="0043655B" w:rsidRDefault="0043655B" w:rsidP="0043655B">
      <w:pPr>
        <w:pStyle w:val="TextoNormalNegritaCentradoSubrayado"/>
        <w:suppressAutoHyphens/>
      </w:pPr>
      <w:r>
        <w:t>J.5.a) Estatuto de Autonomía</w:t>
      </w:r>
    </w:p>
    <w:p w:rsidR="0043655B" w:rsidRDefault="0043655B" w:rsidP="0043655B">
      <w:pPr>
        <w:pStyle w:val="TextoNormalNegritaCentradoSubrayado"/>
      </w:pPr>
    </w:p>
    <w:p w:rsidR="0043655B" w:rsidRDefault="0043655B" w:rsidP="0043655B">
      <w:pPr>
        <w:pStyle w:val="TextoNormalNegritaCursivandice"/>
      </w:pPr>
      <w:r>
        <w:t>Ley Orgánica 10/1982, de 10 de agosto. Estatuto de Autonomía de Canarias</w:t>
      </w:r>
    </w:p>
    <w:p w:rsidR="0043655B" w:rsidRDefault="0043655B" w:rsidP="0043655B">
      <w:pPr>
        <w:pStyle w:val="SangriaFrancesaArticulo"/>
      </w:pPr>
      <w:r w:rsidRPr="0043655B">
        <w:rPr>
          <w:rStyle w:val="TextoNormalNegritaCaracter"/>
        </w:rPr>
        <w:t>Artículo 30.28</w:t>
      </w:r>
      <w:r>
        <w:t xml:space="preserve"> </w:t>
      </w:r>
      <w:r w:rsidRPr="0043655B">
        <w:rPr>
          <w:rStyle w:val="TextoNormalCaracter"/>
        </w:rPr>
        <w:t>(redactado por la Ley Orgánica 4/1996, de 30 de diciembre)</w:t>
      </w:r>
      <w:r w:rsidRPr="0043655B">
        <w:rPr>
          <w:rStyle w:val="TextoNormalNegritaCaracter"/>
        </w:rPr>
        <w:t>.</w:t>
      </w:r>
      <w:r w:rsidRPr="0043655B">
        <w:rPr>
          <w:rStyle w:val="TextoNormalCaracter"/>
        </w:rPr>
        <w:t>-</w:t>
      </w:r>
      <w:r>
        <w:t xml:space="preserve"> Sentencia </w:t>
      </w:r>
      <w:hyperlink w:anchor="SENTENCIA_2012_133" w:history="1">
        <w:r w:rsidRPr="0043655B">
          <w:rPr>
            <w:rStyle w:val="TextoNormalCaracter"/>
          </w:rPr>
          <w:t>133/2012</w:t>
        </w:r>
      </w:hyperlink>
      <w:r>
        <w:t>, ff. 1, 3.</w:t>
      </w:r>
    </w:p>
    <w:p w:rsidR="0043655B" w:rsidRDefault="0043655B" w:rsidP="0043655B">
      <w:pPr>
        <w:pStyle w:val="SangriaFrancesaArticulo"/>
      </w:pPr>
      <w:r w:rsidRPr="0043655B">
        <w:rPr>
          <w:rStyle w:val="TextoNormalNegritaCaracter"/>
        </w:rPr>
        <w:t>Artículo 34.1</w:t>
      </w:r>
      <w:r>
        <w:t xml:space="preserve"> </w:t>
      </w:r>
      <w:r w:rsidRPr="0043655B">
        <w:rPr>
          <w:rStyle w:val="TextoNormalCaracter"/>
        </w:rPr>
        <w:t>(redactado por la Ley Orgánica 4/1996, de 30 de diciembre)</w:t>
      </w:r>
      <w:r w:rsidRPr="0043655B">
        <w:rPr>
          <w:rStyle w:val="TextoNormalNegritaCaracter"/>
        </w:rPr>
        <w:t>.</w:t>
      </w:r>
      <w:r w:rsidRPr="0043655B">
        <w:rPr>
          <w:rStyle w:val="TextoNormalCaracter"/>
        </w:rPr>
        <w:t>-</w:t>
      </w:r>
      <w:r>
        <w:t xml:space="preserve"> Sentencia </w:t>
      </w:r>
      <w:hyperlink w:anchor="SENTENCIA_2012_2" w:history="1">
        <w:r w:rsidRPr="0043655B">
          <w:rPr>
            <w:rStyle w:val="TextoNormalCaracter"/>
          </w:rPr>
          <w:t>2/2012</w:t>
        </w:r>
      </w:hyperlink>
      <w:r>
        <w:t>, f. 3.</w:t>
      </w:r>
    </w:p>
    <w:p w:rsidR="0043655B" w:rsidRDefault="0043655B" w:rsidP="0043655B">
      <w:pPr>
        <w:pStyle w:val="SangriaFrancesaArticulo"/>
      </w:pPr>
      <w:r w:rsidRPr="0043655B">
        <w:rPr>
          <w:rStyle w:val="TextoNormalNegritaCaracter"/>
        </w:rPr>
        <w:t>Artículo 46.</w:t>
      </w:r>
      <w:r w:rsidRPr="0043655B">
        <w:rPr>
          <w:rStyle w:val="TextoNormalCaracter"/>
        </w:rPr>
        <w:t>-</w:t>
      </w:r>
      <w:r>
        <w:t xml:space="preserve"> Sentencia </w:t>
      </w:r>
      <w:hyperlink w:anchor="SENTENCIA_2012_100" w:history="1">
        <w:r w:rsidRPr="0043655B">
          <w:rPr>
            <w:rStyle w:val="TextoNormalCaracter"/>
          </w:rPr>
          <w:t>100/2012</w:t>
        </w:r>
      </w:hyperlink>
      <w:r>
        <w:t>, f. 6.</w:t>
      </w:r>
    </w:p>
    <w:p w:rsidR="0043655B" w:rsidRDefault="0043655B" w:rsidP="0043655B">
      <w:pPr>
        <w:pStyle w:val="SangriaFrancesaArticulo"/>
      </w:pPr>
      <w:r w:rsidRPr="0043655B">
        <w:rPr>
          <w:rStyle w:val="TextoNormalNegritaCaracter"/>
        </w:rPr>
        <w:t>Artículo 46.1.</w:t>
      </w:r>
      <w:r w:rsidRPr="0043655B">
        <w:rPr>
          <w:rStyle w:val="TextoNormalCaracter"/>
        </w:rPr>
        <w:t>-</w:t>
      </w:r>
      <w:r>
        <w:t xml:space="preserve"> Sentencia </w:t>
      </w:r>
      <w:hyperlink w:anchor="SENTENCIA_2012_100" w:history="1">
        <w:r w:rsidRPr="0043655B">
          <w:rPr>
            <w:rStyle w:val="TextoNormalCaracter"/>
          </w:rPr>
          <w:t>100/2012</w:t>
        </w:r>
      </w:hyperlink>
      <w:r>
        <w:t>, ff. 1, 4, 6.</w:t>
      </w:r>
    </w:p>
    <w:p w:rsidR="0043655B" w:rsidRDefault="0043655B" w:rsidP="0043655B">
      <w:pPr>
        <w:pStyle w:val="SangriaFrancesaArticulo"/>
      </w:pPr>
      <w:r w:rsidRPr="0043655B">
        <w:rPr>
          <w:rStyle w:val="TextoNormalNegritaCaracter"/>
        </w:rPr>
        <w:t>Artículo 46.2.</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100" w:history="1">
        <w:r w:rsidRPr="0043655B">
          <w:rPr>
            <w:rStyle w:val="TextoNormalCaracter"/>
          </w:rPr>
          <w:t>100/2012</w:t>
        </w:r>
      </w:hyperlink>
      <w:r>
        <w:t>, f. 6.</w:t>
      </w:r>
    </w:p>
    <w:p w:rsidR="0043655B" w:rsidRDefault="0043655B" w:rsidP="0043655B">
      <w:pPr>
        <w:pStyle w:val="SangriaFrancesaArticulo"/>
      </w:pPr>
      <w:r w:rsidRPr="0043655B">
        <w:rPr>
          <w:rStyle w:val="TextoNormalNegritaCaracter"/>
        </w:rPr>
        <w:t>Disposición adicional segunda, apartado 2.</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4/1996, de 30 de diciembre. Reforma de la Ley Orgánica 10/1982, de 10 de agosto, de Estatuto de Autonomía de Canarias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 w:history="1">
        <w:r w:rsidRPr="0043655B">
          <w:rPr>
            <w:rStyle w:val="TextoNormalCaracter"/>
          </w:rPr>
          <w:t>2/2012</w:t>
        </w:r>
      </w:hyperlink>
      <w:r>
        <w:t xml:space="preserve">, f. 3; </w:t>
      </w:r>
      <w:hyperlink w:anchor="SENTENCIA_2012_133" w:history="1">
        <w:r w:rsidRPr="0043655B">
          <w:rPr>
            <w:rStyle w:val="TextoNormalCaracter"/>
          </w:rPr>
          <w:t>133/2012</w:t>
        </w:r>
      </w:hyperlink>
      <w:r>
        <w:t>, ff. 1, 3.</w:t>
      </w:r>
    </w:p>
    <w:p w:rsidR="0043655B" w:rsidRDefault="0043655B" w:rsidP="0043655B">
      <w:pPr>
        <w:pStyle w:val="SangriaFrancesaArticulo"/>
      </w:pPr>
      <w:r w:rsidRPr="0043655B">
        <w:rPr>
          <w:rStyle w:val="TextoNormalNegritaCaracter"/>
        </w:rPr>
        <w:t>Artículo 30.21.</w:t>
      </w:r>
      <w:r w:rsidRPr="0043655B">
        <w:rPr>
          <w:rStyle w:val="TextoNormalCaracter"/>
        </w:rPr>
        <w:t>-</w:t>
      </w:r>
      <w:r>
        <w:t xml:space="preserve"> Sentencia </w:t>
      </w:r>
      <w:hyperlink w:anchor="SENTENCIA_2012_28" w:history="1">
        <w:r w:rsidRPr="0043655B">
          <w:rPr>
            <w:rStyle w:val="TextoNormalCaracter"/>
          </w:rPr>
          <w:t>28/2012</w:t>
        </w:r>
      </w:hyperlink>
      <w:r>
        <w:t>, f. 3.</w:t>
      </w:r>
    </w:p>
    <w:p w:rsidR="0043655B" w:rsidRDefault="0043655B" w:rsidP="0043655B">
      <w:pPr>
        <w:pStyle w:val="SangriaFrancesaArticulo"/>
      </w:pPr>
      <w:r w:rsidRPr="0043655B">
        <w:rPr>
          <w:rStyle w:val="TextoNormalNegritaCaracter"/>
        </w:rPr>
        <w:t>Disposición adicional segunda,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Subrayado"/>
        <w:suppressAutoHyphens/>
      </w:pPr>
      <w:r>
        <w:t>J.5.b)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del Parlamento de Canarias 7/1995, de 6 de abril.  Ordenación del turismo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8" w:history="1">
        <w:r w:rsidRPr="0043655B">
          <w:rPr>
            <w:rStyle w:val="TextoNormalCaracter"/>
          </w:rPr>
          <w:t>28/2012</w:t>
        </w:r>
      </w:hyperlink>
      <w:r>
        <w:t>, ff. 1, 3.</w:t>
      </w:r>
    </w:p>
    <w:p w:rsidR="0043655B" w:rsidRDefault="0043655B" w:rsidP="0043655B">
      <w:pPr>
        <w:pStyle w:val="SangriaIzquierdaArticulo"/>
      </w:pPr>
      <w:r>
        <w:t xml:space="preserve">Autos </w:t>
      </w:r>
      <w:hyperlink w:anchor="AUTO_2012_47" w:history="1">
        <w:r w:rsidRPr="0043655B">
          <w:rPr>
            <w:rStyle w:val="TextoNormalCaracter"/>
          </w:rPr>
          <w:t>47/2012</w:t>
        </w:r>
      </w:hyperlink>
      <w:r>
        <w:t xml:space="preserve">; </w:t>
      </w:r>
      <w:hyperlink w:anchor="AUTO_2012_48" w:history="1">
        <w:r w:rsidRPr="0043655B">
          <w:rPr>
            <w:rStyle w:val="TextoNormalCaracter"/>
          </w:rPr>
          <w:t>48/2012</w:t>
        </w:r>
      </w:hyperlink>
      <w:r>
        <w:t xml:space="preserve">; </w:t>
      </w:r>
      <w:hyperlink w:anchor="AUTO_2012_50" w:history="1">
        <w:r w:rsidRPr="0043655B">
          <w:rPr>
            <w:rStyle w:val="TextoNormalCaracter"/>
          </w:rPr>
          <w:t>50/2012</w:t>
        </w:r>
      </w:hyperlink>
      <w:r>
        <w:t xml:space="preserve">; </w:t>
      </w:r>
      <w:hyperlink w:anchor="AUTO_2012_51" w:history="1">
        <w:r w:rsidRPr="0043655B">
          <w:rPr>
            <w:rStyle w:val="TextoNormalCaracter"/>
          </w:rPr>
          <w:t>51/2012</w:t>
        </w:r>
      </w:hyperlink>
      <w:r>
        <w:t>.</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Sentencia </w:t>
      </w:r>
      <w:hyperlink w:anchor="SENTENCIA_2012_28" w:history="1">
        <w:r w:rsidRPr="0043655B">
          <w:rPr>
            <w:rStyle w:val="TextoNormalCaracter"/>
          </w:rPr>
          <w:t>28/2012</w:t>
        </w:r>
      </w:hyperlink>
      <w:r>
        <w:t>, f. 3.</w:t>
      </w:r>
    </w:p>
    <w:p w:rsidR="0043655B" w:rsidRDefault="0043655B" w:rsidP="0043655B">
      <w:pPr>
        <w:pStyle w:val="SangriaFrancesaArticulo"/>
      </w:pPr>
      <w:r w:rsidRPr="0043655B">
        <w:rPr>
          <w:rStyle w:val="TextoNormalNegritaCaracter"/>
        </w:rPr>
        <w:t>Artículo 38</w:t>
      </w:r>
      <w:r>
        <w:t xml:space="preserve"> </w:t>
      </w:r>
      <w:r w:rsidRPr="0043655B">
        <w:rPr>
          <w:rStyle w:val="TextoNormalCaracter"/>
        </w:rPr>
        <w:t>(redactado por la Ley del Parlamento de Canarias 5/1999, de 15 de marzo)</w:t>
      </w:r>
      <w:r w:rsidRPr="0043655B">
        <w:rPr>
          <w:rStyle w:val="TextoNormalNegritaCaracter"/>
        </w:rPr>
        <w:t>.</w:t>
      </w:r>
      <w:r w:rsidRPr="0043655B">
        <w:rPr>
          <w:rStyle w:val="TextoNormalCaracter"/>
        </w:rPr>
        <w:t>-</w:t>
      </w:r>
      <w:r>
        <w:t xml:space="preserve"> Sentencia </w:t>
      </w:r>
      <w:hyperlink w:anchor="SENTENCIA_2012_28" w:history="1">
        <w:r w:rsidRPr="0043655B">
          <w:rPr>
            <w:rStyle w:val="TextoNormalCaracter"/>
          </w:rPr>
          <w:t>28/2012</w:t>
        </w:r>
      </w:hyperlink>
      <w:r>
        <w:t>, f. 3.</w:t>
      </w:r>
    </w:p>
    <w:p w:rsidR="0043655B" w:rsidRDefault="0043655B" w:rsidP="0043655B">
      <w:pPr>
        <w:pStyle w:val="SangriaFrancesaArticulo"/>
      </w:pPr>
      <w:r w:rsidRPr="0043655B">
        <w:rPr>
          <w:rStyle w:val="TextoNormalNegritaCaracter"/>
        </w:rPr>
        <w:t>Artículo 38.2.</w:t>
      </w:r>
      <w:r w:rsidRPr="0043655B">
        <w:rPr>
          <w:rStyle w:val="TextoNormalCaracter"/>
        </w:rPr>
        <w:t>-</w:t>
      </w:r>
      <w:r>
        <w:t xml:space="preserve"> Sentencia </w:t>
      </w:r>
      <w:hyperlink w:anchor="SENTENCIA_2012_28" w:history="1">
        <w:r w:rsidRPr="0043655B">
          <w:rPr>
            <w:rStyle w:val="TextoNormalCaracter"/>
          </w:rPr>
          <w:t>28/2012</w:t>
        </w:r>
      </w:hyperlink>
      <w:r>
        <w:t>, f. 3.</w:t>
      </w:r>
    </w:p>
    <w:p w:rsidR="0043655B" w:rsidRDefault="0043655B" w:rsidP="0043655B">
      <w:pPr>
        <w:pStyle w:val="SangriaFrancesaArticulo"/>
      </w:pPr>
    </w:p>
    <w:p w:rsidR="0043655B" w:rsidRDefault="0043655B" w:rsidP="0043655B">
      <w:pPr>
        <w:pStyle w:val="TextoNormalNegritaCursivandice"/>
      </w:pPr>
      <w:r>
        <w:t>Ley del Parlamento de Canarias 6/1997, de 4 de julio. Coordinación de policías locales</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Autos </w:t>
      </w:r>
      <w:hyperlink w:anchor="AUTO_2012_4" w:history="1">
        <w:r w:rsidRPr="0043655B">
          <w:rPr>
            <w:rStyle w:val="TextoNormalCaracter"/>
          </w:rPr>
          <w:t>4/2012</w:t>
        </w:r>
      </w:hyperlink>
      <w:r>
        <w:t xml:space="preserve">; </w:t>
      </w:r>
      <w:hyperlink w:anchor="AUTO_2012_5" w:history="1">
        <w:r w:rsidRPr="0043655B">
          <w:rPr>
            <w:rStyle w:val="TextoNormalCaracter"/>
          </w:rPr>
          <w:t>5/2012</w:t>
        </w:r>
      </w:hyperlink>
      <w:r>
        <w:t xml:space="preserve">; </w:t>
      </w:r>
      <w:hyperlink w:anchor="AUTO_2012_6" w:history="1">
        <w:r w:rsidRPr="0043655B">
          <w:rPr>
            <w:rStyle w:val="TextoNormalCaracter"/>
          </w:rPr>
          <w:t>6/2012</w:t>
        </w:r>
      </w:hyperlink>
      <w:r>
        <w:t>.</w:t>
      </w:r>
    </w:p>
    <w:p w:rsidR="0043655B" w:rsidRDefault="0043655B" w:rsidP="0043655B">
      <w:pPr>
        <w:pStyle w:val="SangriaFrancesaArticulo"/>
      </w:pPr>
      <w:r w:rsidRPr="0043655B">
        <w:rPr>
          <w:rStyle w:val="TextoNormalNegritaCaracter"/>
        </w:rPr>
        <w:t>Dispopsición transitoria segunda.</w:t>
      </w:r>
      <w:r w:rsidRPr="0043655B">
        <w:rPr>
          <w:rStyle w:val="TextoNormalCaracter"/>
        </w:rPr>
        <w:t>-</w:t>
      </w:r>
      <w:r>
        <w:t xml:space="preserve"> Auto </w:t>
      </w:r>
      <w:hyperlink w:anchor="AUTO_2012_6" w:history="1">
        <w:r w:rsidRPr="0043655B">
          <w:rPr>
            <w:rStyle w:val="TextoNormalCaracter"/>
          </w:rPr>
          <w:t>6/2012</w:t>
        </w:r>
      </w:hyperlink>
      <w:r>
        <w:t>.</w:t>
      </w:r>
    </w:p>
    <w:p w:rsidR="0043655B" w:rsidRDefault="0043655B" w:rsidP="0043655B">
      <w:pPr>
        <w:pStyle w:val="SangriaFrancesaArticulo"/>
      </w:pPr>
      <w:r w:rsidRPr="0043655B">
        <w:rPr>
          <w:rStyle w:val="TextoNormalNegritaCaracter"/>
        </w:rPr>
        <w:t>Disposición transitoria segunda.</w:t>
      </w:r>
      <w:r w:rsidRPr="0043655B">
        <w:rPr>
          <w:rStyle w:val="TextoNormalCaracter"/>
        </w:rPr>
        <w:t>-</w:t>
      </w:r>
      <w:r>
        <w:t xml:space="preserve"> Sentencia </w:t>
      </w:r>
      <w:hyperlink w:anchor="SENTENCIA_2012_2" w:history="1">
        <w:r w:rsidRPr="0043655B">
          <w:rPr>
            <w:rStyle w:val="TextoNormalCaracter"/>
          </w:rPr>
          <w:t>2/2012</w:t>
        </w:r>
      </w:hyperlink>
      <w:r>
        <w:t>, ff. 1 a 4.</w:t>
      </w:r>
    </w:p>
    <w:p w:rsidR="0043655B" w:rsidRDefault="0043655B" w:rsidP="0043655B">
      <w:pPr>
        <w:pStyle w:val="SangriaFrancesaArticulo"/>
      </w:pPr>
    </w:p>
    <w:p w:rsidR="0043655B" w:rsidRDefault="0043655B" w:rsidP="0043655B">
      <w:pPr>
        <w:pStyle w:val="TextoNormalNegritaCursivandice"/>
      </w:pPr>
      <w:r>
        <w:lastRenderedPageBreak/>
        <w:t>Ley del Parlamento de Canarias 5/1999, de 15 de marzo. Ordenación del turismo</w:t>
      </w:r>
    </w:p>
    <w:p w:rsidR="0043655B" w:rsidRDefault="0043655B" w:rsidP="0043655B">
      <w:pPr>
        <w:pStyle w:val="SangriaFrancesaArticulo"/>
      </w:pPr>
      <w:r w:rsidRPr="0043655B">
        <w:rPr>
          <w:rStyle w:val="TextoNormalNegritaCaracter"/>
        </w:rPr>
        <w:t>Disposición transitoria única.</w:t>
      </w:r>
      <w:r w:rsidRPr="0043655B">
        <w:rPr>
          <w:rStyle w:val="TextoNormalCaracter"/>
        </w:rPr>
        <w:t>-</w:t>
      </w:r>
      <w:r>
        <w:t xml:space="preserve"> Auto </w:t>
      </w:r>
      <w:hyperlink w:anchor="AUTO_2012_47" w:history="1">
        <w:r w:rsidRPr="0043655B">
          <w:rPr>
            <w:rStyle w:val="TextoNormalCaracter"/>
          </w:rPr>
          <w:t>47/2012</w:t>
        </w:r>
      </w:hyperlink>
      <w:r>
        <w:t>.</w:t>
      </w:r>
    </w:p>
    <w:p w:rsidR="0043655B" w:rsidRDefault="0043655B" w:rsidP="0043655B">
      <w:pPr>
        <w:pStyle w:val="SangriaFrancesaArticulo"/>
      </w:pPr>
      <w:r w:rsidRPr="0043655B">
        <w:rPr>
          <w:rStyle w:val="TextoNormalNegritaCaracter"/>
        </w:rPr>
        <w:t>Disposición transitoria única, apartado 4.</w:t>
      </w:r>
      <w:r w:rsidRPr="0043655B">
        <w:rPr>
          <w:rStyle w:val="TextoNormalCaracter"/>
        </w:rPr>
        <w:t>-</w:t>
      </w:r>
      <w:r>
        <w:t xml:space="preserve"> Sentencia </w:t>
      </w:r>
      <w:hyperlink w:anchor="SENTENCIA_2012_28" w:history="1">
        <w:r w:rsidRPr="0043655B">
          <w:rPr>
            <w:rStyle w:val="TextoNormalCaracter"/>
          </w:rPr>
          <w:t>28/2012</w:t>
        </w:r>
      </w:hyperlink>
      <w:r>
        <w:t>, ff. 1, 3, 5, 6.</w:t>
      </w:r>
    </w:p>
    <w:p w:rsidR="0043655B" w:rsidRDefault="0043655B" w:rsidP="0043655B">
      <w:pPr>
        <w:pStyle w:val="SangriaIzquierdaArticulo"/>
      </w:pPr>
      <w:r>
        <w:t xml:space="preserve">Autos </w:t>
      </w:r>
      <w:hyperlink w:anchor="AUTO_2012_47" w:history="1">
        <w:r w:rsidRPr="0043655B">
          <w:rPr>
            <w:rStyle w:val="TextoNormalCaracter"/>
          </w:rPr>
          <w:t>47/2012</w:t>
        </w:r>
      </w:hyperlink>
      <w:r>
        <w:t xml:space="preserve">; </w:t>
      </w:r>
      <w:hyperlink w:anchor="AUTO_2012_48" w:history="1">
        <w:r w:rsidRPr="0043655B">
          <w:rPr>
            <w:rStyle w:val="TextoNormalCaracter"/>
          </w:rPr>
          <w:t>48/2012</w:t>
        </w:r>
      </w:hyperlink>
      <w:r>
        <w:t xml:space="preserve">; </w:t>
      </w:r>
      <w:hyperlink w:anchor="AUTO_2012_50" w:history="1">
        <w:r w:rsidRPr="0043655B">
          <w:rPr>
            <w:rStyle w:val="TextoNormalCaracter"/>
          </w:rPr>
          <w:t>50/2012</w:t>
        </w:r>
      </w:hyperlink>
      <w:r>
        <w:t xml:space="preserve">; </w:t>
      </w:r>
      <w:hyperlink w:anchor="AUTO_2012_51" w:history="1">
        <w:r w:rsidRPr="0043655B">
          <w:rPr>
            <w:rStyle w:val="TextoNormalCaracter"/>
          </w:rPr>
          <w:t>51/2012</w:t>
        </w:r>
      </w:hyperlink>
      <w:r>
        <w:t>.</w:t>
      </w:r>
    </w:p>
    <w:p w:rsidR="0043655B" w:rsidRDefault="0043655B" w:rsidP="0043655B">
      <w:pPr>
        <w:pStyle w:val="SangriaIzquierdaArticulo"/>
      </w:pPr>
    </w:p>
    <w:p w:rsidR="0043655B" w:rsidRDefault="0043655B" w:rsidP="0043655B">
      <w:pPr>
        <w:pStyle w:val="TextoNormalNegritaCursivandice"/>
      </w:pPr>
      <w:r>
        <w:t>Ley del Parlamento de Canarias 9/1999, de 13 de mayo. Ordenación del territorio</w:t>
      </w:r>
    </w:p>
    <w:p w:rsidR="0043655B" w:rsidRDefault="0043655B" w:rsidP="0043655B">
      <w:pPr>
        <w:pStyle w:val="SangriaFrancesaArticulo"/>
      </w:pPr>
      <w:r w:rsidRPr="0043655B">
        <w:rPr>
          <w:rStyle w:val="TextoNormalNegritaCaracter"/>
        </w:rPr>
        <w:t>Artículo 217</w:t>
      </w:r>
      <w:r>
        <w:t xml:space="preserve"> </w:t>
      </w:r>
      <w:r w:rsidRPr="0043655B">
        <w:rPr>
          <w:rStyle w:val="TextoNormalCaracter"/>
        </w:rPr>
        <w:t>(redactado por el Decreto Legislativo del Parlamento de Canarias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 f. 1.</w:t>
      </w:r>
    </w:p>
    <w:p w:rsidR="0043655B" w:rsidRDefault="0043655B" w:rsidP="0043655B">
      <w:pPr>
        <w:pStyle w:val="SangriaFrancesaArticulo"/>
      </w:pPr>
      <w:r w:rsidRPr="0043655B">
        <w:rPr>
          <w:rStyle w:val="TextoNormalNegritaCaracter"/>
        </w:rPr>
        <w:t>Artículo 220.2</w:t>
      </w:r>
      <w:r>
        <w:t xml:space="preserve"> </w:t>
      </w:r>
      <w:r w:rsidRPr="0043655B">
        <w:rPr>
          <w:rStyle w:val="TextoNormalCaracter"/>
        </w:rPr>
        <w:t>(redactado por el Decreto Legislativo del Parlamento de Canarias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 f. 1.</w:t>
      </w:r>
    </w:p>
    <w:p w:rsidR="0043655B" w:rsidRDefault="0043655B" w:rsidP="0043655B">
      <w:pPr>
        <w:pStyle w:val="SangriaFrancesaArticulo"/>
      </w:pPr>
      <w:r w:rsidRPr="0043655B">
        <w:rPr>
          <w:rStyle w:val="TextoNormalNegritaCaracter"/>
        </w:rPr>
        <w:t>Artículo 224.1 a)</w:t>
      </w:r>
      <w:r>
        <w:t xml:space="preserve"> </w:t>
      </w:r>
      <w:r w:rsidRPr="0043655B">
        <w:rPr>
          <w:rStyle w:val="TextoNormalCaracter"/>
        </w:rPr>
        <w:t>(redactado por el Decreto Legislativo del Parlamento de Canarias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 f. 1.</w:t>
      </w:r>
    </w:p>
    <w:p w:rsidR="0043655B" w:rsidRDefault="0043655B" w:rsidP="0043655B">
      <w:pPr>
        <w:pStyle w:val="SangriaFrancesaArticulo"/>
      </w:pPr>
      <w:r w:rsidRPr="0043655B">
        <w:rPr>
          <w:rStyle w:val="TextoNormalNegritaCaracter"/>
        </w:rPr>
        <w:t>Artículo 228.3</w:t>
      </w:r>
      <w:r>
        <w:t xml:space="preserve"> </w:t>
      </w:r>
      <w:r w:rsidRPr="0043655B">
        <w:rPr>
          <w:rStyle w:val="TextoNormalCaracter"/>
        </w:rPr>
        <w:t>(redactado por la Ley del Parlamento de Canarias 2/2000, de 17 de julio)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 f. 1.</w:t>
      </w:r>
    </w:p>
    <w:p w:rsidR="0043655B" w:rsidRDefault="0043655B" w:rsidP="0043655B">
      <w:pPr>
        <w:pStyle w:val="SangriaFrancesaArticulo"/>
      </w:pPr>
      <w:r w:rsidRPr="0043655B">
        <w:rPr>
          <w:rStyle w:val="TextoNormalNegritaCaracter"/>
        </w:rPr>
        <w:t>Artículo 228.3 a).</w:t>
      </w:r>
      <w:r w:rsidRPr="0043655B">
        <w:rPr>
          <w:rStyle w:val="TextoNormalCaracter"/>
        </w:rPr>
        <w:t>-</w:t>
      </w:r>
      <w:r>
        <w:t xml:space="preserve"> Sentencia </w:t>
      </w:r>
      <w:hyperlink w:anchor="SENTENCIA_2012_7" w:history="1">
        <w:r w:rsidRPr="0043655B">
          <w:rPr>
            <w:rStyle w:val="TextoNormalCaracter"/>
          </w:rPr>
          <w:t>7/2012</w:t>
        </w:r>
      </w:hyperlink>
      <w:r>
        <w:t>, f. 2.</w:t>
      </w:r>
    </w:p>
    <w:p w:rsidR="0043655B" w:rsidRDefault="0043655B" w:rsidP="0043655B">
      <w:pPr>
        <w:pStyle w:val="SangriaFrancesaArticulo"/>
      </w:pPr>
      <w:r w:rsidRPr="0043655B">
        <w:rPr>
          <w:rStyle w:val="TextoNormalNegritaCaracter"/>
        </w:rPr>
        <w:t>Artículo 228.3 a)</w:t>
      </w:r>
      <w:r>
        <w:t xml:space="preserve"> </w:t>
      </w:r>
      <w:r w:rsidRPr="0043655B">
        <w:rPr>
          <w:rStyle w:val="TextoNormalCaracter"/>
        </w:rPr>
        <w:t>(redactado por el Decreto Legislativo del Parlamento de Canarias 1/2000, de 8 de mayo)</w:t>
      </w:r>
      <w:r w:rsidRPr="0043655B">
        <w:rPr>
          <w:rStyle w:val="TextoNormalNegritaCaracter"/>
        </w:rPr>
        <w:t>.</w:t>
      </w:r>
      <w:r w:rsidRPr="0043655B">
        <w:rPr>
          <w:rStyle w:val="TextoNormalCaracter"/>
        </w:rPr>
        <w:t>-</w:t>
      </w:r>
      <w:r>
        <w:t xml:space="preserve"> Sentencia </w:t>
      </w:r>
      <w:hyperlink w:anchor="SENTENCIA_2012_7" w:history="1">
        <w:r w:rsidRPr="0043655B">
          <w:rPr>
            <w:rStyle w:val="TextoNormalCaracter"/>
          </w:rPr>
          <w:t>7/2012</w:t>
        </w:r>
      </w:hyperlink>
      <w:r>
        <w:t>, f. 2.</w:t>
      </w:r>
    </w:p>
    <w:p w:rsidR="0043655B" w:rsidRDefault="0043655B" w:rsidP="0043655B">
      <w:pPr>
        <w:pStyle w:val="SangriaFrancesaArticulo"/>
      </w:pPr>
    </w:p>
    <w:p w:rsidR="0043655B" w:rsidRDefault="0043655B" w:rsidP="0043655B">
      <w:pPr>
        <w:pStyle w:val="TextoNormalNegritaCursivandice"/>
      </w:pPr>
      <w:r>
        <w:t>Decreto Legislativo del Gobierno de Canarias 1/2000, de 8 mayo. Texto refundido de las leyes de ordenación del territorio y de espacios naturales protegidos</w:t>
      </w:r>
    </w:p>
    <w:p w:rsidR="0043655B" w:rsidRDefault="0043655B" w:rsidP="0043655B">
      <w:pPr>
        <w:pStyle w:val="SangriaFrancesaArticulo"/>
      </w:pPr>
      <w:r w:rsidRPr="0043655B">
        <w:rPr>
          <w:rStyle w:val="TextoNormalNegritaCaracter"/>
        </w:rPr>
        <w:t>Artículo 48.</w:t>
      </w:r>
      <w:r w:rsidRPr="0043655B">
        <w:rPr>
          <w:rStyle w:val="TextoNormalCaracter"/>
        </w:rPr>
        <w:t>-</w:t>
      </w:r>
      <w:r>
        <w:t xml:space="preserve"> Sentencia </w:t>
      </w:r>
      <w:hyperlink w:anchor="SENTENCIA_2012_7" w:history="1">
        <w:r w:rsidRPr="0043655B">
          <w:rPr>
            <w:rStyle w:val="TextoNormalCaracter"/>
          </w:rPr>
          <w:t>7/2012</w:t>
        </w:r>
      </w:hyperlink>
      <w:r>
        <w:t>, f. 7.</w:t>
      </w:r>
    </w:p>
    <w:p w:rsidR="0043655B" w:rsidRDefault="0043655B" w:rsidP="0043655B">
      <w:pPr>
        <w:pStyle w:val="SangriaFrancesaArticulo"/>
      </w:pPr>
      <w:r w:rsidRPr="0043655B">
        <w:rPr>
          <w:rStyle w:val="TextoNormalNegritaCaracter"/>
        </w:rPr>
        <w:t>Artículo 217.</w:t>
      </w:r>
      <w:r w:rsidRPr="0043655B">
        <w:rPr>
          <w:rStyle w:val="TextoNormalCaracter"/>
        </w:rPr>
        <w:t>-</w:t>
      </w:r>
      <w:r>
        <w:t xml:space="preserve"> Sentencia </w:t>
      </w:r>
      <w:hyperlink w:anchor="SENTENCIA_2012_7" w:history="1">
        <w:r w:rsidRPr="0043655B">
          <w:rPr>
            <w:rStyle w:val="TextoNormalCaracter"/>
          </w:rPr>
          <w:t>7/2012</w:t>
        </w:r>
      </w:hyperlink>
      <w:r>
        <w:t>, ff. 1, 6, 7.</w:t>
      </w:r>
    </w:p>
    <w:p w:rsidR="0043655B" w:rsidRDefault="0043655B" w:rsidP="0043655B">
      <w:pPr>
        <w:pStyle w:val="SangriaFrancesaArticulo"/>
      </w:pPr>
      <w:r w:rsidRPr="0043655B">
        <w:rPr>
          <w:rStyle w:val="TextoNormalNegritaCaracter"/>
        </w:rPr>
        <w:t>Artículo 220.1.</w:t>
      </w:r>
      <w:r w:rsidRPr="0043655B">
        <w:rPr>
          <w:rStyle w:val="TextoNormalCaracter"/>
        </w:rPr>
        <w:t>-</w:t>
      </w:r>
      <w:r>
        <w:t xml:space="preserve"> Sentencia </w:t>
      </w:r>
      <w:hyperlink w:anchor="SENTENCIA_2012_7" w:history="1">
        <w:r w:rsidRPr="0043655B">
          <w:rPr>
            <w:rStyle w:val="TextoNormalCaracter"/>
          </w:rPr>
          <w:t>7/2012</w:t>
        </w:r>
      </w:hyperlink>
      <w:r>
        <w:t>, f. 7.</w:t>
      </w:r>
    </w:p>
    <w:p w:rsidR="0043655B" w:rsidRDefault="0043655B" w:rsidP="0043655B">
      <w:pPr>
        <w:pStyle w:val="SangriaFrancesaArticulo"/>
      </w:pPr>
      <w:r w:rsidRPr="0043655B">
        <w:rPr>
          <w:rStyle w:val="TextoNormalNegritaCaracter"/>
        </w:rPr>
        <w:t>Artículo 220.2.</w:t>
      </w:r>
      <w:r w:rsidRPr="0043655B">
        <w:rPr>
          <w:rStyle w:val="TextoNormalCaracter"/>
        </w:rPr>
        <w:t>-</w:t>
      </w:r>
      <w:r>
        <w:t xml:space="preserve"> Sentencia </w:t>
      </w:r>
      <w:hyperlink w:anchor="SENTENCIA_2012_7" w:history="1">
        <w:r w:rsidRPr="0043655B">
          <w:rPr>
            <w:rStyle w:val="TextoNormalCaracter"/>
          </w:rPr>
          <w:t>7/2012</w:t>
        </w:r>
      </w:hyperlink>
      <w:r>
        <w:t>, ff. 1, 7.</w:t>
      </w:r>
    </w:p>
    <w:p w:rsidR="0043655B" w:rsidRDefault="0043655B" w:rsidP="0043655B">
      <w:pPr>
        <w:pStyle w:val="SangriaFrancesaArticulo"/>
      </w:pPr>
      <w:r w:rsidRPr="0043655B">
        <w:rPr>
          <w:rStyle w:val="TextoNormalNegritaCaracter"/>
        </w:rPr>
        <w:t>Artículo 224.</w:t>
      </w:r>
      <w:r w:rsidRPr="0043655B">
        <w:rPr>
          <w:rStyle w:val="TextoNormalCaracter"/>
        </w:rPr>
        <w:t>-</w:t>
      </w:r>
      <w:r>
        <w:t xml:space="preserve"> Sentencia </w:t>
      </w:r>
      <w:hyperlink w:anchor="SENTENCIA_2012_7" w:history="1">
        <w:r w:rsidRPr="0043655B">
          <w:rPr>
            <w:rStyle w:val="TextoNormalCaracter"/>
          </w:rPr>
          <w:t>7/2012</w:t>
        </w:r>
      </w:hyperlink>
      <w:r>
        <w:t>, f. 7.</w:t>
      </w:r>
    </w:p>
    <w:p w:rsidR="0043655B" w:rsidRDefault="0043655B" w:rsidP="0043655B">
      <w:pPr>
        <w:pStyle w:val="SangriaFrancesaArticulo"/>
      </w:pPr>
      <w:r w:rsidRPr="0043655B">
        <w:rPr>
          <w:rStyle w:val="TextoNormalNegritaCaracter"/>
        </w:rPr>
        <w:t>Artículo 224.1 a).</w:t>
      </w:r>
      <w:r w:rsidRPr="0043655B">
        <w:rPr>
          <w:rStyle w:val="TextoNormalCaracter"/>
        </w:rPr>
        <w:t>-</w:t>
      </w:r>
      <w:r>
        <w:t xml:space="preserve"> Sentencia </w:t>
      </w:r>
      <w:hyperlink w:anchor="SENTENCIA_2012_7" w:history="1">
        <w:r w:rsidRPr="0043655B">
          <w:rPr>
            <w:rStyle w:val="TextoNormalCaracter"/>
          </w:rPr>
          <w:t>7/2012</w:t>
        </w:r>
      </w:hyperlink>
      <w:r>
        <w:t>, ff. 1, 7.</w:t>
      </w:r>
    </w:p>
    <w:p w:rsidR="0043655B" w:rsidRDefault="0043655B" w:rsidP="0043655B">
      <w:pPr>
        <w:pStyle w:val="SangriaFrancesaArticulo"/>
      </w:pPr>
      <w:r w:rsidRPr="0043655B">
        <w:rPr>
          <w:rStyle w:val="TextoNormalNegritaCaracter"/>
        </w:rPr>
        <w:t>Artículo 228.3 a).</w:t>
      </w:r>
      <w:r w:rsidRPr="0043655B">
        <w:rPr>
          <w:rStyle w:val="TextoNormalCaracter"/>
        </w:rPr>
        <w:t>-</w:t>
      </w:r>
      <w:r>
        <w:t xml:space="preserve"> Sentencia </w:t>
      </w:r>
      <w:hyperlink w:anchor="SENTENCIA_2012_7" w:history="1">
        <w:r w:rsidRPr="0043655B">
          <w:rPr>
            <w:rStyle w:val="TextoNormalCaracter"/>
          </w:rPr>
          <w:t>7/2012</w:t>
        </w:r>
      </w:hyperlink>
      <w:r>
        <w:t>, ff. 1, 2.</w:t>
      </w:r>
    </w:p>
    <w:p w:rsidR="0043655B" w:rsidRDefault="0043655B" w:rsidP="0043655B">
      <w:pPr>
        <w:pStyle w:val="SangriaFrancesaArticulo"/>
      </w:pPr>
    </w:p>
    <w:p w:rsidR="0043655B" w:rsidRDefault="0043655B" w:rsidP="0043655B">
      <w:pPr>
        <w:pStyle w:val="TextoNormalNegritaCursivandice"/>
      </w:pPr>
      <w:r>
        <w:t>Ley del Parlamento de Canarias 2/2000, de 17 de julio. Medidas económicas en materia de organización administrativa y gestión relativas al personal de la Comunidad Autónoma de Canarias y de establecimiento de normas tributarias</w:t>
      </w:r>
    </w:p>
    <w:p w:rsidR="0043655B" w:rsidRDefault="0043655B" w:rsidP="0043655B">
      <w:pPr>
        <w:pStyle w:val="SangriaFrancesaArticulo"/>
      </w:pPr>
      <w:r w:rsidRPr="0043655B">
        <w:rPr>
          <w:rStyle w:val="TextoNormalNegritaCaracter"/>
        </w:rPr>
        <w:t>Artículo 7.2.</w:t>
      </w:r>
      <w:r w:rsidRPr="0043655B">
        <w:rPr>
          <w:rStyle w:val="TextoNormalCaracter"/>
        </w:rPr>
        <w:t>-</w:t>
      </w:r>
      <w:r>
        <w:t xml:space="preserve"> Sentencia </w:t>
      </w:r>
      <w:hyperlink w:anchor="SENTENCIA_2012_7" w:history="1">
        <w:r w:rsidRPr="0043655B">
          <w:rPr>
            <w:rStyle w:val="TextoNormalCaracter"/>
          </w:rPr>
          <w:t>7/2012</w:t>
        </w:r>
      </w:hyperlink>
      <w:r>
        <w:t>, f. 2.</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28" w:history="1">
        <w:r w:rsidRPr="0043655B">
          <w:rPr>
            <w:rStyle w:val="TextoNormalCaracter"/>
          </w:rPr>
          <w:t>28/2012</w:t>
        </w:r>
      </w:hyperlink>
      <w:r>
        <w:t>, f. 2.</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J.6) Cantabria</w:t>
      </w:r>
    </w:p>
    <w:p w:rsidR="0043655B" w:rsidRDefault="0043655B" w:rsidP="0043655B">
      <w:pPr>
        <w:pStyle w:val="TextoNormal"/>
      </w:pPr>
    </w:p>
    <w:p w:rsidR="0043655B" w:rsidRDefault="0043655B" w:rsidP="0043655B">
      <w:pPr>
        <w:pStyle w:val="TextoNormalNegritaCentradoSubrayado"/>
        <w:suppressAutoHyphens/>
      </w:pPr>
      <w:r>
        <w:t>J.6.a) Estatuto de Autonomía</w:t>
      </w:r>
    </w:p>
    <w:p w:rsidR="0043655B" w:rsidRDefault="0043655B" w:rsidP="0043655B">
      <w:pPr>
        <w:pStyle w:val="TextoNormalNegritaCentradoSubrayado"/>
      </w:pPr>
    </w:p>
    <w:p w:rsidR="0043655B" w:rsidRDefault="0043655B" w:rsidP="0043655B">
      <w:pPr>
        <w:pStyle w:val="TextoNormalNegritaCursivandice"/>
      </w:pPr>
      <w:r>
        <w:t>Ley Orgánica 8/1981, de 30 de diciembre. Estatuto de Autonomía de Cantabria</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11/1998, de 30 de diciembre. Reforma de la Ley Orgánica 8/1981,  de 30 de diciembre, del Estatuto de Autonomía de Cantabria</w:t>
      </w:r>
    </w:p>
    <w:p w:rsidR="0043655B" w:rsidRDefault="0043655B" w:rsidP="0043655B">
      <w:pPr>
        <w:pStyle w:val="SangriaFrancesaArticulo"/>
      </w:pPr>
      <w:r w:rsidRPr="0043655B">
        <w:rPr>
          <w:rStyle w:val="TextoNormalNegritaCaracter"/>
        </w:rPr>
        <w:t>Disposición adicional primera,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lastRenderedPageBreak/>
        <w:t>J.7) Castilla-La Mancha</w:t>
      </w:r>
    </w:p>
    <w:p w:rsidR="0043655B" w:rsidRDefault="0043655B" w:rsidP="0043655B">
      <w:pPr>
        <w:pStyle w:val="TextoNormal"/>
      </w:pPr>
    </w:p>
    <w:p w:rsidR="0043655B" w:rsidRDefault="0043655B" w:rsidP="0043655B">
      <w:pPr>
        <w:pStyle w:val="TextoNormalNegritaCentradoSubrayado"/>
        <w:suppressAutoHyphens/>
      </w:pPr>
      <w:r>
        <w:t>J.7.a) Estatuto de Autonomía</w:t>
      </w:r>
    </w:p>
    <w:p w:rsidR="0043655B" w:rsidRDefault="0043655B" w:rsidP="0043655B">
      <w:pPr>
        <w:pStyle w:val="TextoNormalNegritaCentradoSubrayado"/>
      </w:pPr>
    </w:p>
    <w:p w:rsidR="0043655B" w:rsidRDefault="0043655B" w:rsidP="0043655B">
      <w:pPr>
        <w:pStyle w:val="TextoNormalNegritaCursivandice"/>
      </w:pPr>
      <w:r>
        <w:t>Ley Orgánica 9/1982, de 10 de agosto. Estatuto de Autonomía de Castilla-La Mancha</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82" w:history="1">
        <w:r w:rsidRPr="0043655B">
          <w:rPr>
            <w:rStyle w:val="TextoNormalCaracter"/>
          </w:rPr>
          <w:t>82/2012</w:t>
        </w:r>
      </w:hyperlink>
      <w:r>
        <w:t>, f. 3.</w:t>
      </w:r>
    </w:p>
    <w:p w:rsidR="0043655B" w:rsidRDefault="0043655B" w:rsidP="0043655B">
      <w:pPr>
        <w:pStyle w:val="SangriaFrancesaArticulo"/>
      </w:pPr>
      <w:r w:rsidRPr="0043655B">
        <w:rPr>
          <w:rStyle w:val="TextoNormalNegritaCaracter"/>
        </w:rPr>
        <w:t>Artículo 31.1.2</w:t>
      </w:r>
      <w:r>
        <w:t xml:space="preserve"> </w:t>
      </w:r>
      <w:r w:rsidRPr="0043655B">
        <w:rPr>
          <w:rStyle w:val="TextoNormalCaracter"/>
        </w:rPr>
        <w:t>(redactado por la Ley Orgánica 7/1994, de 24 de marzo)</w:t>
      </w:r>
      <w:r w:rsidRPr="0043655B">
        <w:rPr>
          <w:rStyle w:val="TextoNormalNegritaCaracter"/>
        </w:rPr>
        <w:t>.</w:t>
      </w:r>
      <w:r w:rsidRPr="0043655B">
        <w:rPr>
          <w:rStyle w:val="TextoNormalCaracter"/>
        </w:rPr>
        <w:t>-</w:t>
      </w:r>
      <w:r>
        <w:t xml:space="preserve"> Sentencia </w:t>
      </w:r>
      <w:hyperlink w:anchor="SENTENCIA_2012_102" w:history="1">
        <w:r w:rsidRPr="0043655B">
          <w:rPr>
            <w:rStyle w:val="TextoNormalCaracter"/>
          </w:rPr>
          <w:t>102/2012</w:t>
        </w:r>
      </w:hyperlink>
      <w:r>
        <w:t>, f. 3.</w:t>
      </w:r>
    </w:p>
    <w:p w:rsidR="0043655B" w:rsidRDefault="0043655B" w:rsidP="0043655B">
      <w:pPr>
        <w:pStyle w:val="SangriaFrancesaArticulo"/>
      </w:pPr>
      <w:r w:rsidRPr="0043655B">
        <w:rPr>
          <w:rStyle w:val="TextoNormalNegritaCaracter"/>
        </w:rPr>
        <w:t>Artículo 31.1.6</w:t>
      </w:r>
      <w:r>
        <w:t xml:space="preserve"> </w:t>
      </w:r>
      <w:r w:rsidRPr="0043655B">
        <w:rPr>
          <w:rStyle w:val="TextoNormalCaracter"/>
        </w:rPr>
        <w:t>(redactado por la Ley Orgánica 7/1994, de 24 de marzo)</w:t>
      </w:r>
      <w:r w:rsidRPr="0043655B">
        <w:rPr>
          <w:rStyle w:val="TextoNormalNegritaCaracter"/>
        </w:rPr>
        <w:t>.</w:t>
      </w:r>
      <w:r w:rsidRPr="0043655B">
        <w:rPr>
          <w:rStyle w:val="TextoNormalCaracter"/>
        </w:rPr>
        <w:t>-</w:t>
      </w:r>
      <w:r>
        <w:t xml:space="preserve"> Sentencia </w:t>
      </w:r>
      <w:hyperlink w:anchor="SENTENCIA_2012_99" w:history="1">
        <w:r w:rsidRPr="0043655B">
          <w:rPr>
            <w:rStyle w:val="TextoNormalCaracter"/>
          </w:rPr>
          <w:t>99/2012</w:t>
        </w:r>
      </w:hyperlink>
      <w:r>
        <w:t>, f. 2.</w:t>
      </w:r>
    </w:p>
    <w:p w:rsidR="0043655B" w:rsidRDefault="0043655B" w:rsidP="0043655B">
      <w:pPr>
        <w:pStyle w:val="SangriaFrancesaArticulo"/>
      </w:pPr>
    </w:p>
    <w:p w:rsidR="0043655B" w:rsidRDefault="0043655B" w:rsidP="0043655B">
      <w:pPr>
        <w:pStyle w:val="TextoNormalNegritaCursivandice"/>
      </w:pPr>
      <w:r>
        <w:t>Ley Orgánica 7/1994, de 24 de marzo. Reforma del Estatuto de Autonomía de Castilla-La Mancha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99" w:history="1">
        <w:r w:rsidRPr="0043655B">
          <w:rPr>
            <w:rStyle w:val="TextoNormalCaracter"/>
          </w:rPr>
          <w:t>99/2012</w:t>
        </w:r>
      </w:hyperlink>
      <w:r>
        <w:t xml:space="preserve">, f. 2; </w:t>
      </w:r>
      <w:hyperlink w:anchor="SENTENCIA_2012_102" w:history="1">
        <w:r w:rsidRPr="0043655B">
          <w:rPr>
            <w:rStyle w:val="TextoNormalCaracter"/>
          </w:rPr>
          <w:t>102/2012</w:t>
        </w:r>
      </w:hyperlink>
      <w:r>
        <w:t>, f. 3.</w:t>
      </w:r>
    </w:p>
    <w:p w:rsidR="0043655B" w:rsidRDefault="0043655B" w:rsidP="0043655B">
      <w:pPr>
        <w:pStyle w:val="SangriaFrancesaArticulo"/>
      </w:pPr>
    </w:p>
    <w:p w:rsidR="0043655B" w:rsidRDefault="0043655B" w:rsidP="0043655B">
      <w:pPr>
        <w:pStyle w:val="TextoNormalNegritaCursivandice"/>
      </w:pPr>
      <w:r>
        <w:t>Ley Orgánica 3/1997, de 3 de julio. Reforma de la Ley Orgánica 9/1982, de 10 de agosto, de Estatuto de Autonomía de Castilla-La Mancha</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Sentencia </w:t>
      </w:r>
      <w:hyperlink w:anchor="SENTENCIA_2012_8" w:history="1">
        <w:r w:rsidRPr="0043655B">
          <w:rPr>
            <w:rStyle w:val="TextoNormalCaracter"/>
          </w:rPr>
          <w:t>8/2012</w:t>
        </w:r>
      </w:hyperlink>
      <w:r>
        <w:t>, f. 1.</w:t>
      </w:r>
    </w:p>
    <w:p w:rsidR="0043655B" w:rsidRDefault="0043655B" w:rsidP="0043655B">
      <w:pPr>
        <w:pStyle w:val="SangriaFrancesaArticulo"/>
      </w:pPr>
      <w:r w:rsidRPr="0043655B">
        <w:rPr>
          <w:rStyle w:val="TextoNormalNegritaCaracter"/>
        </w:rPr>
        <w:t>Artículo 31.1.2.</w:t>
      </w:r>
      <w:r w:rsidRPr="0043655B">
        <w:rPr>
          <w:rStyle w:val="TextoNormalCaracter"/>
        </w:rPr>
        <w:t>-</w:t>
      </w:r>
      <w:r>
        <w:t xml:space="preserve"> Sentencia </w:t>
      </w:r>
      <w:hyperlink w:anchor="SENTENCIA_2012_8" w:history="1">
        <w:r w:rsidRPr="0043655B">
          <w:rPr>
            <w:rStyle w:val="TextoNormalCaracter"/>
          </w:rPr>
          <w:t>8/2012</w:t>
        </w:r>
      </w:hyperlink>
      <w:r>
        <w:t>, ff. 3, 6, 8.</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8" w:history="1">
        <w:r w:rsidRPr="0043655B">
          <w:rPr>
            <w:rStyle w:val="TextoNormalCaracter"/>
          </w:rPr>
          <w:t>8/2012</w:t>
        </w:r>
      </w:hyperlink>
      <w:r>
        <w:t>, f. 1.</w:t>
      </w:r>
    </w:p>
    <w:p w:rsidR="0043655B" w:rsidRDefault="0043655B" w:rsidP="0043655B">
      <w:pPr>
        <w:pStyle w:val="SangriaFrancesaArticulo"/>
      </w:pPr>
      <w:r w:rsidRPr="0043655B">
        <w:rPr>
          <w:rStyle w:val="TextoNormalNegritaCaracter"/>
        </w:rPr>
        <w:t>Artículo 32.1.2.</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32.3.</w:t>
      </w:r>
      <w:r w:rsidRPr="0043655B">
        <w:rPr>
          <w:rStyle w:val="TextoNormalCaracter"/>
        </w:rPr>
        <w:t>-</w:t>
      </w:r>
      <w:r>
        <w:t xml:space="preserve"> Sentencia </w:t>
      </w:r>
      <w:hyperlink w:anchor="SENTENCIA_2012_8" w:history="1">
        <w:r w:rsidRPr="0043655B">
          <w:rPr>
            <w:rStyle w:val="TextoNormalCaracter"/>
          </w:rPr>
          <w:t>8/2012</w:t>
        </w:r>
      </w:hyperlink>
      <w:r>
        <w:t>, ff. 3, 6, 8.</w:t>
      </w:r>
    </w:p>
    <w:p w:rsidR="0043655B" w:rsidRDefault="0043655B" w:rsidP="0043655B">
      <w:pPr>
        <w:pStyle w:val="SangriaFrancesaArticulo"/>
      </w:pPr>
      <w:r w:rsidRPr="0043655B">
        <w:rPr>
          <w:rStyle w:val="TextoNormalNegritaCaracter"/>
        </w:rPr>
        <w:t>Artículo 32.7.</w:t>
      </w:r>
      <w:r w:rsidRPr="0043655B">
        <w:rPr>
          <w:rStyle w:val="TextoNormalCaracter"/>
        </w:rPr>
        <w:t>-</w:t>
      </w:r>
      <w:r>
        <w:t xml:space="preserve"> Sentencia </w:t>
      </w:r>
      <w:hyperlink w:anchor="SENTENCIA_2012_8" w:history="1">
        <w:r w:rsidRPr="0043655B">
          <w:rPr>
            <w:rStyle w:val="TextoNormalCaracter"/>
          </w:rPr>
          <w:t>8/2012</w:t>
        </w:r>
      </w:hyperlink>
      <w:r>
        <w:t>, ff. 3, 6, 8.</w:t>
      </w:r>
    </w:p>
    <w:p w:rsidR="0043655B" w:rsidRDefault="0043655B" w:rsidP="0043655B">
      <w:pPr>
        <w:pStyle w:val="TextoNormal"/>
      </w:pPr>
    </w:p>
    <w:p w:rsidR="0043655B" w:rsidRDefault="0043655B" w:rsidP="0043655B">
      <w:pPr>
        <w:pStyle w:val="TextoNormalNegritaCentradoSubrayado"/>
        <w:suppressAutoHyphens/>
      </w:pPr>
      <w:r>
        <w:t>J.7.b)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las Cortes de Castilla-La Mancha 4/1996, de 26 de diciembre. Ordenación del servicio farmacéutico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8" w:history="1">
        <w:r w:rsidRPr="0043655B">
          <w:rPr>
            <w:rStyle w:val="TextoNormalCaracter"/>
          </w:rPr>
          <w:t>78/2012</w:t>
        </w:r>
      </w:hyperlink>
      <w:r>
        <w:t>, f. 2.</w:t>
      </w:r>
    </w:p>
    <w:p w:rsidR="0043655B" w:rsidRDefault="0043655B" w:rsidP="0043655B">
      <w:pPr>
        <w:pStyle w:val="SangriaFrancesaArticulo"/>
      </w:pPr>
    </w:p>
    <w:p w:rsidR="0043655B" w:rsidRDefault="0043655B" w:rsidP="0043655B">
      <w:pPr>
        <w:pStyle w:val="TextoNormalNegritaCursivandice"/>
      </w:pPr>
      <w:r>
        <w:t>Ley de las Cortes de Castilla-La Mancha 6/1997, de 10 de julio. Hacienda de Castilla-La Mancha</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p>
    <w:p w:rsidR="0043655B" w:rsidRDefault="0043655B" w:rsidP="0043655B">
      <w:pPr>
        <w:pStyle w:val="TextoNormalNegritaCursivandice"/>
      </w:pPr>
      <w:r>
        <w:t>Ley de las Cortes de Castilla-La Mancha 8/2001, de 28 de junio.  Ordenación de las instalaciones de radiocomunicación</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8" w:history="1">
        <w:r w:rsidRPr="0043655B">
          <w:rPr>
            <w:rStyle w:val="TextoNormalCaracter"/>
          </w:rPr>
          <w:t>8/2012</w:t>
        </w:r>
      </w:hyperlink>
      <w:r>
        <w:t>, ff. 1, 5.</w:t>
      </w:r>
    </w:p>
    <w:p w:rsidR="0043655B" w:rsidRDefault="0043655B" w:rsidP="0043655B">
      <w:pPr>
        <w:pStyle w:val="SangriaFrancesaArticulo"/>
      </w:pPr>
      <w:r w:rsidRPr="0043655B">
        <w:rPr>
          <w:rStyle w:val="TextoNormalNegritaCaracter"/>
        </w:rPr>
        <w:t>Artículo 2.2 subapartado 1.</w:t>
      </w:r>
      <w:r w:rsidRPr="0043655B">
        <w:rPr>
          <w:rStyle w:val="TextoNormalCaracter"/>
        </w:rPr>
        <w:t>-</w:t>
      </w:r>
      <w:r>
        <w:t xml:space="preserve"> Sentencia </w:t>
      </w:r>
      <w:hyperlink w:anchor="SENTENCIA_2012_8" w:history="1">
        <w:r w:rsidRPr="0043655B">
          <w:rPr>
            <w:rStyle w:val="TextoNormalCaracter"/>
          </w:rPr>
          <w:t>8/2012</w:t>
        </w:r>
      </w:hyperlink>
      <w:r>
        <w:t>, f. 5.</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8" w:history="1">
        <w:r w:rsidRPr="0043655B">
          <w:rPr>
            <w:rStyle w:val="TextoNormalCaracter"/>
          </w:rPr>
          <w:t>8/2012</w:t>
        </w:r>
      </w:hyperlink>
      <w:r>
        <w:t>, ff. 1, 6, 7.</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7.2.</w:t>
      </w:r>
      <w:r w:rsidRPr="0043655B">
        <w:rPr>
          <w:rStyle w:val="TextoNormalCaracter"/>
        </w:rPr>
        <w:t>-</w:t>
      </w:r>
      <w:r>
        <w:t xml:space="preserve"> Sentencia </w:t>
      </w:r>
      <w:hyperlink w:anchor="SENTENCIA_2012_8" w:history="1">
        <w:r w:rsidRPr="0043655B">
          <w:rPr>
            <w:rStyle w:val="TextoNormalCaracter"/>
          </w:rPr>
          <w:t>8/2012</w:t>
        </w:r>
      </w:hyperlink>
      <w:r>
        <w:t>, ff. 7, 11.</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7.4.</w:t>
      </w:r>
      <w:r w:rsidRPr="0043655B">
        <w:rPr>
          <w:rStyle w:val="TextoNormalCaracter"/>
        </w:rPr>
        <w:t>-</w:t>
      </w:r>
      <w:r>
        <w:t xml:space="preserve"> Sentencia </w:t>
      </w:r>
      <w:hyperlink w:anchor="SENTENCIA_2012_8" w:history="1">
        <w:r w:rsidRPr="0043655B">
          <w:rPr>
            <w:rStyle w:val="TextoNormalCaracter"/>
          </w:rPr>
          <w:t>8/2012</w:t>
        </w:r>
      </w:hyperlink>
      <w:r>
        <w:t>, f. 7.</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lastRenderedPageBreak/>
        <w:t>Artículo 10.</w:t>
      </w:r>
      <w:r w:rsidRPr="0043655B">
        <w:rPr>
          <w:rStyle w:val="TextoNormalCaracter"/>
        </w:rPr>
        <w:t>-</w:t>
      </w:r>
      <w:r>
        <w:t xml:space="preserve"> Sentencia </w:t>
      </w:r>
      <w:hyperlink w:anchor="SENTENCIA_2012_8" w:history="1">
        <w:r w:rsidRPr="0043655B">
          <w:rPr>
            <w:rStyle w:val="TextoNormalCaracter"/>
          </w:rPr>
          <w:t>8/2012</w:t>
        </w:r>
      </w:hyperlink>
      <w:r>
        <w:t>, ff. 1, 2, 8.</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8" w:history="1">
        <w:r w:rsidRPr="0043655B">
          <w:rPr>
            <w:rStyle w:val="TextoNormalCaracter"/>
          </w:rPr>
          <w:t>8/2012</w:t>
        </w:r>
      </w:hyperlink>
      <w:r>
        <w:t>, f. 2.</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12.1.</w:t>
      </w:r>
      <w:r w:rsidRPr="0043655B">
        <w:rPr>
          <w:rStyle w:val="TextoNormalCaracter"/>
        </w:rPr>
        <w:t>-</w:t>
      </w:r>
      <w:r>
        <w:t xml:space="preserve"> Sentencia </w:t>
      </w:r>
      <w:hyperlink w:anchor="SENTENCIA_2012_8" w:history="1">
        <w:r w:rsidRPr="0043655B">
          <w:rPr>
            <w:rStyle w:val="TextoNormalCaracter"/>
          </w:rPr>
          <w:t>8/2012</w:t>
        </w:r>
      </w:hyperlink>
      <w:r>
        <w:t>, f. 8.</w:t>
      </w:r>
    </w:p>
    <w:p w:rsidR="0043655B" w:rsidRDefault="0043655B" w:rsidP="0043655B">
      <w:pPr>
        <w:pStyle w:val="SangriaFrancesaArticulo"/>
      </w:pPr>
      <w:r w:rsidRPr="0043655B">
        <w:rPr>
          <w:rStyle w:val="TextoNormalNegritaCaracter"/>
        </w:rPr>
        <w:t>Artículo 12.1 párrafo 1.</w:t>
      </w:r>
      <w:r w:rsidRPr="0043655B">
        <w:rPr>
          <w:rStyle w:val="TextoNormalCaracter"/>
        </w:rPr>
        <w:t>-</w:t>
      </w:r>
      <w:r>
        <w:t xml:space="preserve"> Sentencia </w:t>
      </w:r>
      <w:hyperlink w:anchor="SENTENCIA_2012_8" w:history="1">
        <w:r w:rsidRPr="0043655B">
          <w:rPr>
            <w:rStyle w:val="TextoNormalCaracter"/>
          </w:rPr>
          <w:t>8/2012</w:t>
        </w:r>
      </w:hyperlink>
      <w:r>
        <w:t>, ff. 1, 2, 8.</w:t>
      </w:r>
    </w:p>
    <w:p w:rsidR="0043655B" w:rsidRDefault="0043655B" w:rsidP="0043655B">
      <w:pPr>
        <w:pStyle w:val="SangriaFrancesaArticulo"/>
      </w:pPr>
      <w:r w:rsidRPr="0043655B">
        <w:rPr>
          <w:rStyle w:val="TextoNormalNegritaCaracter"/>
        </w:rPr>
        <w:t>Artículo 12.1 párrafo 3.</w:t>
      </w:r>
      <w:r w:rsidRPr="0043655B">
        <w:rPr>
          <w:rStyle w:val="TextoNormalCaracter"/>
        </w:rPr>
        <w:t>-</w:t>
      </w:r>
      <w:r>
        <w:t xml:space="preserve"> Sentencia </w:t>
      </w:r>
      <w:hyperlink w:anchor="SENTENCIA_2012_8" w:history="1">
        <w:r w:rsidRPr="0043655B">
          <w:rPr>
            <w:rStyle w:val="TextoNormalCaracter"/>
          </w:rPr>
          <w:t>8/2012</w:t>
        </w:r>
      </w:hyperlink>
      <w:r>
        <w:t>, ff. 1, 2, 8.</w:t>
      </w:r>
    </w:p>
    <w:p w:rsidR="0043655B" w:rsidRDefault="0043655B" w:rsidP="0043655B">
      <w:pPr>
        <w:pStyle w:val="SangriaFrancesaArticulo"/>
      </w:pPr>
      <w:r w:rsidRPr="0043655B">
        <w:rPr>
          <w:rStyle w:val="TextoNormalNegritaCaracter"/>
        </w:rPr>
        <w:t>Artículo 12.1 párrafo 4.</w:t>
      </w:r>
      <w:r w:rsidRPr="0043655B">
        <w:rPr>
          <w:rStyle w:val="TextoNormalCaracter"/>
        </w:rPr>
        <w:t>-</w:t>
      </w:r>
      <w:r>
        <w:t xml:space="preserve"> Sentencia </w:t>
      </w:r>
      <w:hyperlink w:anchor="SENTENCIA_2012_8" w:history="1">
        <w:r w:rsidRPr="0043655B">
          <w:rPr>
            <w:rStyle w:val="TextoNormalCaracter"/>
          </w:rPr>
          <w:t>8/2012</w:t>
        </w:r>
      </w:hyperlink>
      <w:r>
        <w:t>, ff. 1, 2, 8.</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8" w:history="1">
        <w:r w:rsidRPr="0043655B">
          <w:rPr>
            <w:rStyle w:val="TextoNormalCaracter"/>
          </w:rPr>
          <w:t>8/2012</w:t>
        </w:r>
      </w:hyperlink>
      <w:r>
        <w:t>, ff. 1, 9, 10.</w:t>
      </w:r>
    </w:p>
    <w:p w:rsidR="0043655B" w:rsidRDefault="0043655B" w:rsidP="0043655B">
      <w:pPr>
        <w:pStyle w:val="SangriaFrancesaArticulo"/>
      </w:pPr>
      <w:r w:rsidRPr="0043655B">
        <w:rPr>
          <w:rStyle w:val="TextoNormalNegritaCaracter"/>
        </w:rPr>
        <w:t>Artículo 19 apartado 2.</w:t>
      </w:r>
      <w:r w:rsidRPr="0043655B">
        <w:rPr>
          <w:rStyle w:val="TextoNormalCaracter"/>
        </w:rPr>
        <w:t>-</w:t>
      </w:r>
      <w:r>
        <w:t xml:space="preserve"> Sentencia </w:t>
      </w:r>
      <w:hyperlink w:anchor="SENTENCIA_2012_8" w:history="1">
        <w:r w:rsidRPr="0043655B">
          <w:rPr>
            <w:rStyle w:val="TextoNormalCaracter"/>
          </w:rPr>
          <w:t>8/2012</w:t>
        </w:r>
      </w:hyperlink>
      <w:r>
        <w:t>, ff. 1, 11.</w:t>
      </w:r>
    </w:p>
    <w:p w:rsidR="0043655B" w:rsidRDefault="0043655B" w:rsidP="0043655B">
      <w:pPr>
        <w:pStyle w:val="SangriaFrancesaArticulo"/>
      </w:pPr>
      <w:r w:rsidRPr="0043655B">
        <w:rPr>
          <w:rStyle w:val="TextoNormalNegritaCaracter"/>
        </w:rPr>
        <w:t>Artículo 19 apartado 3.</w:t>
      </w:r>
      <w:r w:rsidRPr="0043655B">
        <w:rPr>
          <w:rStyle w:val="TextoNormalCaracter"/>
        </w:rPr>
        <w:t>-</w:t>
      </w:r>
      <w:r>
        <w:t xml:space="preserve"> Sentencia </w:t>
      </w:r>
      <w:hyperlink w:anchor="SENTENCIA_2012_8" w:history="1">
        <w:r w:rsidRPr="0043655B">
          <w:rPr>
            <w:rStyle w:val="TextoNormalCaracter"/>
          </w:rPr>
          <w:t>8/2012</w:t>
        </w:r>
      </w:hyperlink>
      <w:r>
        <w:t>, ff. 1, 11.</w:t>
      </w:r>
    </w:p>
    <w:p w:rsidR="0043655B" w:rsidRDefault="0043655B" w:rsidP="0043655B">
      <w:pPr>
        <w:pStyle w:val="SangriaFrancesaArticulo"/>
      </w:pPr>
      <w:r w:rsidRPr="0043655B">
        <w:rPr>
          <w:rStyle w:val="TextoNormalNegritaCaracter"/>
        </w:rPr>
        <w:t>Artículo 20.1.</w:t>
      </w:r>
      <w:r w:rsidRPr="0043655B">
        <w:rPr>
          <w:rStyle w:val="TextoNormalCaracter"/>
        </w:rPr>
        <w:t>-</w:t>
      </w:r>
      <w:r>
        <w:t xml:space="preserve"> Sentencia </w:t>
      </w:r>
      <w:hyperlink w:anchor="SENTENCIA_2012_8" w:history="1">
        <w:r w:rsidRPr="0043655B">
          <w:rPr>
            <w:rStyle w:val="TextoNormalCaracter"/>
          </w:rPr>
          <w:t>8/2012</w:t>
        </w:r>
      </w:hyperlink>
      <w:r>
        <w:t>, ff. 1, 11.</w:t>
      </w:r>
    </w:p>
    <w:p w:rsidR="0043655B" w:rsidRDefault="0043655B" w:rsidP="0043655B">
      <w:pPr>
        <w:pStyle w:val="SangriaFrancesaArticulo"/>
      </w:pPr>
    </w:p>
    <w:p w:rsidR="0043655B" w:rsidRDefault="0043655B" w:rsidP="0043655B">
      <w:pPr>
        <w:pStyle w:val="TextoNormalNegritaCursivandice"/>
      </w:pPr>
      <w:r>
        <w:t>Ley de las Cortes de Castilla-La Mancha 5/2011, de 10 de marzo. Declaración de Parque Natural de la Sierra Norte de Guadalajara</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Anejo 1.</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Anejo 2, apartado 2.1.4.</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Anejo 2, apartado 2.1.4 incisos 9, 13, 23.</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r w:rsidRPr="0043655B">
        <w:rPr>
          <w:rStyle w:val="TextoNormalNegritaCaracter"/>
        </w:rPr>
        <w:t>Anejo 2, apartado 2.2.4 incisos 27, 29, 30, 31, 36.</w:t>
      </w:r>
      <w:r w:rsidRPr="0043655B">
        <w:rPr>
          <w:rStyle w:val="TextoNormalCaracter"/>
        </w:rPr>
        <w:t>-</w:t>
      </w:r>
      <w:r>
        <w:t xml:space="preserve"> Auto </w:t>
      </w:r>
      <w:hyperlink w:anchor="AUTO_2012_86" w:history="1">
        <w:r w:rsidRPr="0043655B">
          <w:rPr>
            <w:rStyle w:val="TextoNormalCaracter"/>
          </w:rPr>
          <w:t>86/2012</w:t>
        </w:r>
      </w:hyperlink>
      <w:r>
        <w:t>.</w:t>
      </w:r>
    </w:p>
    <w:p w:rsidR="0043655B" w:rsidRDefault="0043655B" w:rsidP="0043655B">
      <w:pPr>
        <w:pStyle w:val="SangriaFrancesaArticulo"/>
      </w:pPr>
    </w:p>
    <w:p w:rsidR="0043655B" w:rsidRDefault="0043655B" w:rsidP="0043655B">
      <w:pPr>
        <w:pStyle w:val="TextoNormalNegritaCursivandice"/>
      </w:pPr>
      <w:r>
        <w:t>Ley de las Cortes de Castilla-La Mancha 6/2011, de 10 de marzo. Declaración de Parque Natural del Valle de Alcudia y Sierra Madrona</w:t>
      </w:r>
    </w:p>
    <w:p w:rsidR="0043655B" w:rsidRDefault="0043655B" w:rsidP="0043655B">
      <w:pPr>
        <w:pStyle w:val="SangriaFrancesaArticulo"/>
      </w:pPr>
      <w:r w:rsidRPr="0043655B">
        <w:rPr>
          <w:rStyle w:val="TextoNormalNegritaCaracter"/>
        </w:rPr>
        <w:t>Anejo 1.</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Anejo 2 apartado 2.1.9.</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Anejo 2 apartado 2.5 inciso 21.</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Anejo 2 apartado 2.5 incisos 1, 5, 6 y 21.</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SangriaFrancesaArticulo"/>
      </w:pPr>
      <w:r w:rsidRPr="0043655B">
        <w:rPr>
          <w:rStyle w:val="TextoNormalNegritaCaracter"/>
        </w:rPr>
        <w:t>Anejo 2 apartado 2.5 incisos 1, 5, 6, 21.</w:t>
      </w:r>
      <w:r w:rsidRPr="0043655B">
        <w:rPr>
          <w:rStyle w:val="TextoNormalCaracter"/>
        </w:rPr>
        <w:t>-</w:t>
      </w:r>
      <w:r>
        <w:t xml:space="preserve"> Auto </w:t>
      </w:r>
      <w:hyperlink w:anchor="AUTO_2012_85" w:history="1">
        <w:r w:rsidRPr="0043655B">
          <w:rPr>
            <w:rStyle w:val="TextoNormalCaracter"/>
          </w:rPr>
          <w:t>85/2012</w:t>
        </w:r>
      </w:hyperlink>
      <w:r>
        <w:t>.</w:t>
      </w:r>
    </w:p>
    <w:p w:rsidR="0043655B" w:rsidRDefault="0043655B" w:rsidP="0043655B">
      <w:pPr>
        <w:pStyle w:val="TextoNormal"/>
      </w:pPr>
    </w:p>
    <w:p w:rsidR="0043655B" w:rsidRDefault="0043655B" w:rsidP="0043655B">
      <w:pPr>
        <w:pStyle w:val="TextoNormalNegritaCentradoSubrayado"/>
        <w:suppressAutoHyphens/>
      </w:pPr>
      <w:r>
        <w:t>J.7.c)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Decreto Legislativo de la Junta de Comunidades de Castilla-La Mancha 1/2002, de 19 de noviembre de 2002. Texto refundido de la Ley de Hacienda de Castilla-La Mancha</w:t>
      </w:r>
    </w:p>
    <w:p w:rsidR="0043655B" w:rsidRDefault="0043655B" w:rsidP="0043655B">
      <w:pPr>
        <w:pStyle w:val="SangriaFrancesaArticulo"/>
      </w:pPr>
      <w:r w:rsidRPr="0043655B">
        <w:rPr>
          <w:rStyle w:val="TextoNormalNegritaCaracter"/>
        </w:rPr>
        <w:t>Artículo 73.3 m).</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SangriaFrancesaArticulo"/>
      </w:pPr>
      <w:r w:rsidRPr="0043655B">
        <w:rPr>
          <w:rStyle w:val="TextoNormalNegritaCaracter"/>
        </w:rPr>
        <w:t>Artículo 76.</w:t>
      </w:r>
      <w:r w:rsidRPr="0043655B">
        <w:rPr>
          <w:rStyle w:val="TextoNormalCaracter"/>
        </w:rPr>
        <w:t>-</w:t>
      </w:r>
      <w:r>
        <w:t xml:space="preserve"> Sentencia </w:t>
      </w:r>
      <w:hyperlink w:anchor="SENTENCIA_2012_99" w:history="1">
        <w:r w:rsidRPr="0043655B">
          <w:rPr>
            <w:rStyle w:val="TextoNormalCaracter"/>
          </w:rPr>
          <w:t>99/2012</w:t>
        </w:r>
      </w:hyperlink>
      <w:r>
        <w:t>, f. 8.</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J.8) Castilla y León</w:t>
      </w:r>
    </w:p>
    <w:p w:rsidR="0043655B" w:rsidRDefault="0043655B" w:rsidP="0043655B">
      <w:pPr>
        <w:pStyle w:val="TextoNormal"/>
      </w:pPr>
    </w:p>
    <w:p w:rsidR="0043655B" w:rsidRDefault="0043655B" w:rsidP="0043655B">
      <w:pPr>
        <w:pStyle w:val="TextoNormalNegritaCentradoSubrayado"/>
        <w:suppressAutoHyphens/>
      </w:pPr>
      <w:r>
        <w:t>J.8.a) Estatuto de Autonomía</w:t>
      </w:r>
    </w:p>
    <w:p w:rsidR="0043655B" w:rsidRDefault="0043655B" w:rsidP="0043655B">
      <w:pPr>
        <w:pStyle w:val="TextoNormalNegritaCentradoSubrayado"/>
      </w:pPr>
    </w:p>
    <w:p w:rsidR="0043655B" w:rsidRDefault="0043655B" w:rsidP="0043655B">
      <w:pPr>
        <w:pStyle w:val="TextoNormalNegritaCursivandice"/>
      </w:pPr>
      <w:r>
        <w:t>Ley Orgánica 4/1983, de 25 de febrero. Estatuto de Autonomía de Castilla y León</w:t>
      </w:r>
    </w:p>
    <w:p w:rsidR="0043655B" w:rsidRDefault="0043655B" w:rsidP="0043655B">
      <w:pPr>
        <w:pStyle w:val="SangriaFrancesaArticulo"/>
      </w:pPr>
      <w:r w:rsidRPr="0043655B">
        <w:rPr>
          <w:rStyle w:val="TextoNormalNegritaCaracter"/>
        </w:rPr>
        <w:lastRenderedPageBreak/>
        <w:t>Artículo 32.1.7</w:t>
      </w:r>
      <w:r>
        <w:t xml:space="preserve"> </w:t>
      </w:r>
      <w:r w:rsidRPr="0043655B">
        <w:rPr>
          <w:rStyle w:val="TextoNormalCaracter"/>
        </w:rPr>
        <w:t>(redactado por la Ley Orgánica 4 /1999, de 8 de enero)</w:t>
      </w:r>
      <w:r w:rsidRPr="0043655B">
        <w:rPr>
          <w:rStyle w:val="TextoNormalNegritaCaracter"/>
        </w:rPr>
        <w:t>.</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r w:rsidRPr="0043655B">
        <w:rPr>
          <w:rStyle w:val="TextoNormalNegritaCaracter"/>
        </w:rPr>
        <w:t>Artículo 32.1.7</w:t>
      </w:r>
      <w:r>
        <w:t xml:space="preserve"> </w:t>
      </w:r>
      <w:r w:rsidRPr="0043655B">
        <w:rPr>
          <w:rStyle w:val="TextoNormalCaracter"/>
        </w:rPr>
        <w:t>(redactado por la Ley Orgánica 4/1999, de 8 de enero)</w:t>
      </w:r>
      <w:r w:rsidRPr="0043655B">
        <w:rPr>
          <w:rStyle w:val="TextoNormalNegritaCaracter"/>
        </w:rPr>
        <w:t>.</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r w:rsidRPr="0043655B">
        <w:rPr>
          <w:rStyle w:val="TextoNormalNegritaCaracter"/>
        </w:rPr>
        <w:t>Artículo 32.1.32</w:t>
      </w:r>
      <w:r>
        <w:t xml:space="preserve"> </w:t>
      </w:r>
      <w:r w:rsidRPr="0043655B">
        <w:rPr>
          <w:rStyle w:val="TextoNormalCaracter"/>
        </w:rPr>
        <w:t>(redactado por la Ley Orgánica 4 /1999, de 8 de enero)</w:t>
      </w:r>
      <w:r w:rsidRPr="0043655B">
        <w:rPr>
          <w:rStyle w:val="TextoNormalNegritaCaracter"/>
        </w:rPr>
        <w:t>.</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r w:rsidRPr="0043655B">
        <w:rPr>
          <w:rStyle w:val="TextoNormalNegritaCaracter"/>
        </w:rPr>
        <w:t>Artículo 32.1.32</w:t>
      </w:r>
      <w:r>
        <w:t xml:space="preserve"> </w:t>
      </w:r>
      <w:r w:rsidRPr="0043655B">
        <w:rPr>
          <w:rStyle w:val="TextoNormalCaracter"/>
        </w:rPr>
        <w:t>(redactado por la Ley Orgánica 4/1999, de 8 de enero)</w:t>
      </w:r>
      <w:r w:rsidRPr="0043655B">
        <w:rPr>
          <w:rStyle w:val="TextoNormalNegritaCaracter"/>
        </w:rPr>
        <w:t>.</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r w:rsidRPr="0043655B">
        <w:rPr>
          <w:rStyle w:val="TextoNormalNegritaCaracter"/>
        </w:rPr>
        <w:t>Disposición adicional primera, apartado 3.</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4/1999, de 8 de enero. Reforma de la Ley Orgánica 4/1983, de Estatuto de Autonomía de Castilla y León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p>
    <w:p w:rsidR="0043655B" w:rsidRDefault="0043655B" w:rsidP="0043655B">
      <w:pPr>
        <w:pStyle w:val="TextoNormalNegritaCursivandice"/>
      </w:pPr>
      <w:r>
        <w:t>Ley Orgánica 14/2007, de 30 de noviembre. Reforma del Estatuto de Autonomía de Castilla y León</w:t>
      </w:r>
    </w:p>
    <w:p w:rsidR="0043655B" w:rsidRDefault="0043655B" w:rsidP="0043655B">
      <w:pPr>
        <w:pStyle w:val="SangriaFrancesaArticulo"/>
      </w:pPr>
      <w:r w:rsidRPr="0043655B">
        <w:rPr>
          <w:rStyle w:val="TextoNormalNegritaCaracter"/>
        </w:rPr>
        <w:t>Disposición adicional primera,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Subrayado"/>
        <w:suppressAutoHyphens/>
      </w:pPr>
      <w:r>
        <w:t>J.8.b)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las Cortes de Castilla y León 13/1998, de 23 de diciembre.  Medidas económicas, fiscales y administrativas.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 las Cortes de Castilla y León 6/1999, de 27 de diciembre. Medidas económicas, fiscales y administrativas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 las Cortes de Castilla y León 8/2005, de 10 de junio. Viña y del vino de Castilla y León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0" w:history="1">
        <w:r w:rsidRPr="0043655B">
          <w:rPr>
            <w:rStyle w:val="TextoNormalCaracter"/>
          </w:rPr>
          <w:t>90/2012</w:t>
        </w:r>
      </w:hyperlink>
      <w:r>
        <w:t>, ff. 3, 5.</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Sentencias </w:t>
      </w:r>
      <w:hyperlink w:anchor="SENTENCIA_2012_90" w:history="1">
        <w:r w:rsidRPr="0043655B">
          <w:rPr>
            <w:rStyle w:val="TextoNormalCaracter"/>
          </w:rPr>
          <w:t>90/2012</w:t>
        </w:r>
      </w:hyperlink>
      <w:r>
        <w:t xml:space="preserve">, ff. 3, 5; </w:t>
      </w:r>
      <w:hyperlink w:anchor="SENTENCIA_2012_109" w:history="1">
        <w:r w:rsidRPr="0043655B">
          <w:rPr>
            <w:rStyle w:val="TextoNormalCaracter"/>
          </w:rPr>
          <w:t>109/2012</w:t>
        </w:r>
      </w:hyperlink>
      <w:r>
        <w:t xml:space="preserve">, f. 3; </w:t>
      </w:r>
      <w:hyperlink w:anchor="SENTENCIA_2012_127" w:history="1">
        <w:r w:rsidRPr="0043655B">
          <w:rPr>
            <w:rStyle w:val="TextoNormalCaracter"/>
          </w:rPr>
          <w:t>127/2012</w:t>
        </w:r>
      </w:hyperlink>
      <w:r>
        <w:t>, f. 3.</w:t>
      </w:r>
    </w:p>
    <w:p w:rsidR="0043655B" w:rsidRDefault="0043655B" w:rsidP="0043655B">
      <w:pPr>
        <w:pStyle w:val="SangriaFrancesaArticulo"/>
      </w:pPr>
      <w:r w:rsidRPr="0043655B">
        <w:rPr>
          <w:rStyle w:val="TextoNormalNegritaCaracter"/>
        </w:rPr>
        <w:t>Artículo 45.</w:t>
      </w:r>
      <w:r w:rsidRPr="0043655B">
        <w:rPr>
          <w:rStyle w:val="TextoNormalCaracter"/>
        </w:rPr>
        <w:t>-</w:t>
      </w:r>
      <w:r>
        <w:t xml:space="preserve"> Sentencia </w:t>
      </w:r>
      <w:hyperlink w:anchor="SENTENCIA_2012_90" w:history="1">
        <w:r w:rsidRPr="0043655B">
          <w:rPr>
            <w:rStyle w:val="TextoNormalCaracter"/>
          </w:rPr>
          <w:t>90/2012</w:t>
        </w:r>
      </w:hyperlink>
      <w:r>
        <w:t>, f. 3.</w:t>
      </w:r>
    </w:p>
    <w:p w:rsidR="0043655B" w:rsidRDefault="0043655B" w:rsidP="0043655B">
      <w:pPr>
        <w:pStyle w:val="SangriaFrancesaArticulo"/>
      </w:pPr>
    </w:p>
    <w:p w:rsidR="0043655B" w:rsidRDefault="0043655B" w:rsidP="0043655B">
      <w:pPr>
        <w:pStyle w:val="TextoNormalNegritaCursivandice"/>
      </w:pPr>
      <w:r>
        <w:t>Ley de las Cortes de Castilla y León 11/2009, de 22 de diciembre. Presupuestos Generales para 2010</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(redactado por el Decreto-ley de la Junta de Castilla y León 1/2010, de 3 de junio)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r w:rsidRPr="0043655B">
        <w:rPr>
          <w:rStyle w:val="TextoNormalNegritaCaracter"/>
        </w:rPr>
        <w:t>Artículo 14</w:t>
      </w:r>
      <w:r>
        <w:t xml:space="preserve"> </w:t>
      </w:r>
      <w:r w:rsidRPr="0043655B">
        <w:rPr>
          <w:rStyle w:val="TextoNormalCaracter"/>
        </w:rPr>
        <w:t>(redactado por el Real Decreto-ley 8/2010, de 20 de mayo)</w:t>
      </w:r>
      <w:r w:rsidRPr="0043655B">
        <w:rPr>
          <w:rStyle w:val="TextoNormalNegritaCaracter"/>
        </w:rPr>
        <w:t>.</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SangriaFrancesaArticulo"/>
      </w:pPr>
    </w:p>
    <w:p w:rsidR="0043655B" w:rsidRDefault="0043655B" w:rsidP="0043655B">
      <w:pPr>
        <w:pStyle w:val="TextoNormalNegritaCursivandice"/>
      </w:pPr>
      <w:r>
        <w:t>Decreto-ley de la Junta de Castilla y León 1/2010, de 3 de junio. Medidas urgentes de adaptación al Real Decreto-Ley 8/2010, de 20 de mayo, del Gobierno de la Nación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39" w:history="1">
        <w:r w:rsidRPr="0043655B">
          <w:rPr>
            <w:rStyle w:val="TextoNormalCaracter"/>
          </w:rPr>
          <w:t>39/2012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lastRenderedPageBreak/>
        <w:t>J.9) Cataluña</w:t>
      </w:r>
    </w:p>
    <w:p w:rsidR="0043655B" w:rsidRDefault="0043655B" w:rsidP="0043655B">
      <w:pPr>
        <w:pStyle w:val="TextoNormal"/>
      </w:pPr>
    </w:p>
    <w:p w:rsidR="0043655B" w:rsidRDefault="0043655B" w:rsidP="0043655B">
      <w:pPr>
        <w:pStyle w:val="TextoNormalNegritaCentradoSubrayado"/>
        <w:suppressAutoHyphens/>
      </w:pPr>
      <w:r>
        <w:t>J.9.a) Estatuto de Autonomía</w:t>
      </w:r>
    </w:p>
    <w:p w:rsidR="0043655B" w:rsidRDefault="0043655B" w:rsidP="0043655B">
      <w:pPr>
        <w:pStyle w:val="TextoNormalNegritaCentradoSubrayado"/>
      </w:pPr>
    </w:p>
    <w:p w:rsidR="0043655B" w:rsidRDefault="0043655B" w:rsidP="0043655B">
      <w:pPr>
        <w:pStyle w:val="TextoNormalNegritaCursivandice"/>
      </w:pPr>
      <w:r>
        <w:t>Ley Orgánica 4/1979, de 18 de diciembre. Estatuto de Autonomía de Cataluña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1" w:history="1">
        <w:r w:rsidRPr="0043655B">
          <w:rPr>
            <w:rStyle w:val="TextoNormalCaracter"/>
          </w:rPr>
          <w:t>21/2012</w:t>
        </w:r>
      </w:hyperlink>
      <w:r>
        <w:t xml:space="preserve">, f. 2; </w:t>
      </w:r>
      <w:hyperlink w:anchor="SENTENCIA_2012_81" w:history="1">
        <w:r w:rsidRPr="0043655B">
          <w:rPr>
            <w:rStyle w:val="TextoNormalCaracter"/>
          </w:rPr>
          <w:t>81/2012</w:t>
        </w:r>
      </w:hyperlink>
      <w:r>
        <w:t xml:space="preserve">, VP; </w:t>
      </w:r>
      <w:hyperlink w:anchor="SENTENCIA_2012_111" w:history="1">
        <w:r w:rsidRPr="0043655B">
          <w:rPr>
            <w:rStyle w:val="TextoNormalCaracter"/>
          </w:rPr>
          <w:t>111/2012</w:t>
        </w:r>
      </w:hyperlink>
      <w:r>
        <w:t>, f. 2.</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 </w:t>
      </w:r>
      <w:hyperlink w:anchor="SENTENCIA_2012_21" w:history="1">
        <w:r w:rsidRPr="0043655B">
          <w:rPr>
            <w:rStyle w:val="TextoNormalCaracter"/>
          </w:rPr>
          <w:t>21/2012</w:t>
        </w:r>
      </w:hyperlink>
      <w:r>
        <w:t>, f. 2.</w:t>
      </w:r>
    </w:p>
    <w:p w:rsidR="0043655B" w:rsidRDefault="0043655B" w:rsidP="0043655B">
      <w:pPr>
        <w:pStyle w:val="SangriaFrancesaArticulo"/>
      </w:pPr>
      <w:r w:rsidRPr="0043655B">
        <w:rPr>
          <w:rStyle w:val="TextoNormalNegritaCaracter"/>
        </w:rPr>
        <w:t>Artículo 9.4.</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r w:rsidRPr="0043655B">
        <w:rPr>
          <w:rStyle w:val="TextoNormalNegritaCaracter"/>
        </w:rPr>
        <w:t>Artículo 9.5.</w:t>
      </w:r>
      <w:r w:rsidRPr="0043655B">
        <w:rPr>
          <w:rStyle w:val="TextoNormalCaracter"/>
        </w:rPr>
        <w:t>-</w:t>
      </w:r>
      <w:r>
        <w:t xml:space="preserve"> Sentencia </w:t>
      </w:r>
      <w:hyperlink w:anchor="SENTENCIA_2012_6" w:history="1">
        <w:r w:rsidRPr="0043655B">
          <w:rPr>
            <w:rStyle w:val="TextoNormalCaracter"/>
          </w:rPr>
          <w:t>6/2012</w:t>
        </w:r>
      </w:hyperlink>
      <w:r>
        <w:t>, ff. 1, 3 a 5.</w:t>
      </w:r>
    </w:p>
    <w:p w:rsidR="0043655B" w:rsidRDefault="0043655B" w:rsidP="0043655B">
      <w:pPr>
        <w:pStyle w:val="SangriaFrancesaArticulo"/>
      </w:pPr>
      <w:r w:rsidRPr="0043655B">
        <w:rPr>
          <w:rStyle w:val="TextoNormalNegritaCaracter"/>
        </w:rPr>
        <w:t>Artículo 9.6.</w:t>
      </w:r>
      <w:r w:rsidRPr="0043655B">
        <w:rPr>
          <w:rStyle w:val="TextoNormalCaracter"/>
        </w:rPr>
        <w:t>-</w:t>
      </w:r>
      <w:r>
        <w:t xml:space="preserve"> Sentencia </w:t>
      </w:r>
      <w:hyperlink w:anchor="SENTENCIA_2012_6" w:history="1">
        <w:r w:rsidRPr="0043655B">
          <w:rPr>
            <w:rStyle w:val="TextoNormalCaracter"/>
          </w:rPr>
          <w:t>6/2012</w:t>
        </w:r>
      </w:hyperlink>
      <w:r>
        <w:t>, ff. 1, 3 a 5.</w:t>
      </w:r>
    </w:p>
    <w:p w:rsidR="0043655B" w:rsidRDefault="0043655B" w:rsidP="0043655B">
      <w:pPr>
        <w:pStyle w:val="SangriaFrancesaArticulo"/>
      </w:pPr>
      <w:r w:rsidRPr="0043655B">
        <w:rPr>
          <w:rStyle w:val="TextoNormalNegritaCaracter"/>
        </w:rPr>
        <w:t>Artículo 9.8.</w:t>
      </w:r>
      <w:r w:rsidRPr="0043655B">
        <w:rPr>
          <w:rStyle w:val="TextoNormalCaracter"/>
        </w:rPr>
        <w:t>-</w:t>
      </w:r>
      <w:r>
        <w:t xml:space="preserve"> Sentencia </w:t>
      </w:r>
      <w:hyperlink w:anchor="SENTENCIA_2012_120" w:history="1">
        <w:r w:rsidRPr="0043655B">
          <w:rPr>
            <w:rStyle w:val="TextoNormalCaracter"/>
          </w:rPr>
          <w:t>120/2012</w:t>
        </w:r>
      </w:hyperlink>
      <w:r>
        <w:t>, f. 4.</w:t>
      </w:r>
    </w:p>
    <w:p w:rsidR="0043655B" w:rsidRDefault="0043655B" w:rsidP="0043655B">
      <w:pPr>
        <w:pStyle w:val="SangriaFrancesaArticulo"/>
      </w:pPr>
      <w:r w:rsidRPr="0043655B">
        <w:rPr>
          <w:rStyle w:val="TextoNormalNegritaCaracter"/>
        </w:rPr>
        <w:t>Artículo 9.23.</w:t>
      </w:r>
      <w:r w:rsidRPr="0043655B">
        <w:rPr>
          <w:rStyle w:val="TextoNormalCaracter"/>
        </w:rPr>
        <w:t>-</w:t>
      </w:r>
      <w:r>
        <w:t xml:space="preserve"> Sentencia </w:t>
      </w:r>
      <w:hyperlink w:anchor="SENTENCIA_2012_33" w:history="1">
        <w:r w:rsidRPr="0043655B">
          <w:rPr>
            <w:rStyle w:val="TextoNormalCaracter"/>
          </w:rPr>
          <w:t>33/2012</w:t>
        </w:r>
      </w:hyperlink>
      <w:r>
        <w:t>, ff. 1, 5.</w:t>
      </w:r>
    </w:p>
    <w:p w:rsidR="0043655B" w:rsidRDefault="0043655B" w:rsidP="0043655B">
      <w:pPr>
        <w:pStyle w:val="SangriaFrancesaArticulo"/>
      </w:pPr>
      <w:r w:rsidRPr="0043655B">
        <w:rPr>
          <w:rStyle w:val="TextoNormalNegritaCaracter"/>
        </w:rPr>
        <w:t>Artículo 9.25.</w:t>
      </w:r>
      <w:r w:rsidRPr="0043655B">
        <w:rPr>
          <w:rStyle w:val="TextoNormalCaracter"/>
        </w:rPr>
        <w:t>-</w:t>
      </w:r>
      <w:r>
        <w:t xml:space="preserve"> Auto </w:t>
      </w:r>
      <w:hyperlink w:anchor="AUTO_2012_49" w:history="1">
        <w:r w:rsidRPr="0043655B">
          <w:rPr>
            <w:rStyle w:val="TextoNormalCaracter"/>
          </w:rPr>
          <w:t>49/2012</w:t>
        </w:r>
      </w:hyperlink>
      <w:r>
        <w:t>.</w:t>
      </w:r>
    </w:p>
    <w:p w:rsidR="0043655B" w:rsidRDefault="0043655B" w:rsidP="0043655B">
      <w:pPr>
        <w:pStyle w:val="SangriaFrancesaArticulo"/>
      </w:pPr>
      <w:r w:rsidRPr="0043655B">
        <w:rPr>
          <w:rStyle w:val="TextoNormalNegritaCaracter"/>
        </w:rPr>
        <w:t>Artículo 9.29.</w:t>
      </w:r>
      <w:r w:rsidRPr="0043655B">
        <w:rPr>
          <w:rStyle w:val="TextoNormalCaracter"/>
        </w:rPr>
        <w:t>-</w:t>
      </w:r>
      <w:r>
        <w:t xml:space="preserve"> Sentencia </w:t>
      </w:r>
      <w:hyperlink w:anchor="SENTENCIA_2012_110" w:history="1">
        <w:r w:rsidRPr="0043655B">
          <w:rPr>
            <w:rStyle w:val="TextoNormalCaracter"/>
          </w:rPr>
          <w:t>110/2012</w:t>
        </w:r>
      </w:hyperlink>
      <w:r>
        <w:t>, ff. 1, 3, 4.</w:t>
      </w:r>
    </w:p>
    <w:p w:rsidR="0043655B" w:rsidRDefault="0043655B" w:rsidP="0043655B">
      <w:pPr>
        <w:pStyle w:val="SangriaFrancesaArticulo"/>
      </w:pPr>
      <w:r w:rsidRPr="0043655B">
        <w:rPr>
          <w:rStyle w:val="TextoNormalNegritaCaracter"/>
        </w:rPr>
        <w:t>Artículo 9.32.</w:t>
      </w:r>
      <w:r w:rsidRPr="0043655B">
        <w:rPr>
          <w:rStyle w:val="TextoNormalCaracter"/>
        </w:rPr>
        <w:t>-</w:t>
      </w:r>
      <w:r>
        <w:t xml:space="preserve"> Sentencias </w:t>
      </w:r>
      <w:hyperlink w:anchor="SENTENCIA_2012_32" w:history="1">
        <w:r w:rsidRPr="0043655B">
          <w:rPr>
            <w:rStyle w:val="TextoNormalCaracter"/>
          </w:rPr>
          <w:t>32/2012</w:t>
        </w:r>
      </w:hyperlink>
      <w:r>
        <w:t xml:space="preserve">, f. 1; </w:t>
      </w:r>
      <w:hyperlink w:anchor="SENTENCIA_2012_35" w:history="1">
        <w:r w:rsidRPr="0043655B">
          <w:rPr>
            <w:rStyle w:val="TextoNormalCaracter"/>
          </w:rPr>
          <w:t>35/2012</w:t>
        </w:r>
      </w:hyperlink>
      <w:r>
        <w:t>, f. 4.</w:t>
      </w:r>
    </w:p>
    <w:p w:rsidR="0043655B" w:rsidRDefault="0043655B" w:rsidP="0043655B">
      <w:pPr>
        <w:pStyle w:val="SangriaFrancesaArticulo"/>
      </w:pPr>
      <w:r w:rsidRPr="0043655B">
        <w:rPr>
          <w:rStyle w:val="TextoNormalNegritaCaracter"/>
        </w:rPr>
        <w:t>Artículo 11.7.</w:t>
      </w:r>
      <w:r w:rsidRPr="0043655B">
        <w:rPr>
          <w:rStyle w:val="TextoNormalCaracter"/>
        </w:rPr>
        <w:t>-</w:t>
      </w:r>
      <w:r>
        <w:t xml:space="preserve"> Sentencia </w:t>
      </w:r>
      <w:hyperlink w:anchor="SENTENCIA_2012_6" w:history="1">
        <w:r w:rsidRPr="0043655B">
          <w:rPr>
            <w:rStyle w:val="TextoNormalCaracter"/>
          </w:rPr>
          <w:t>6/2012</w:t>
        </w:r>
      </w:hyperlink>
      <w:r>
        <w:t>, f. 1.</w:t>
      </w:r>
    </w:p>
    <w:p w:rsidR="0043655B" w:rsidRDefault="0043655B" w:rsidP="0043655B">
      <w:pPr>
        <w:pStyle w:val="SangriaFrancesaArticulo"/>
      </w:pPr>
      <w:r w:rsidRPr="0043655B">
        <w:rPr>
          <w:rStyle w:val="TextoNormalNegritaCaracter"/>
        </w:rPr>
        <w:t>Artículo 16.</w:t>
      </w:r>
      <w:r w:rsidRPr="0043655B">
        <w:rPr>
          <w:rStyle w:val="TextoNormalCaracter"/>
        </w:rPr>
        <w:t>-</w:t>
      </w:r>
      <w:r>
        <w:t xml:space="preserve"> Sentencia </w:t>
      </w:r>
      <w:hyperlink w:anchor="SENTENCIA_2012_5" w:history="1">
        <w:r w:rsidRPr="0043655B">
          <w:rPr>
            <w:rStyle w:val="TextoNormalCaracter"/>
          </w:rPr>
          <w:t>5/2012</w:t>
        </w:r>
      </w:hyperlink>
      <w:r>
        <w:t>, f. 3.</w:t>
      </w:r>
    </w:p>
    <w:p w:rsidR="0043655B" w:rsidRDefault="0043655B" w:rsidP="0043655B">
      <w:pPr>
        <w:pStyle w:val="SangriaFrancesaArticulo"/>
      </w:pPr>
      <w:r w:rsidRPr="0043655B">
        <w:rPr>
          <w:rStyle w:val="TextoNormalNegritaCaracter"/>
        </w:rPr>
        <w:t>Artículo 44.1.</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48.1.</w:t>
      </w:r>
      <w:r w:rsidRPr="0043655B">
        <w:rPr>
          <w:rStyle w:val="TextoNormalCaracter"/>
        </w:rPr>
        <w:t>-</w:t>
      </w:r>
      <w:r>
        <w:t xml:space="preserve"> Sentencia </w:t>
      </w:r>
      <w:hyperlink w:anchor="SENTENCIA_2012_120" w:history="1">
        <w:r w:rsidRPr="0043655B">
          <w:rPr>
            <w:rStyle w:val="TextoNormalCaracter"/>
          </w:rPr>
          <w:t>120/2012</w:t>
        </w:r>
      </w:hyperlink>
      <w:r>
        <w:t>, ff. 1, 4 a 6.</w:t>
      </w:r>
    </w:p>
    <w:p w:rsidR="0043655B" w:rsidRDefault="0043655B" w:rsidP="0043655B">
      <w:pPr>
        <w:pStyle w:val="SangriaFrancesaArticulo"/>
      </w:pPr>
      <w:r w:rsidRPr="0043655B">
        <w:rPr>
          <w:rStyle w:val="TextoNormalNegritaCaracter"/>
        </w:rPr>
        <w:t>Artículo 50.</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115.</w:t>
      </w:r>
      <w:r w:rsidRPr="0043655B">
        <w:rPr>
          <w:rStyle w:val="TextoNormalCaracter"/>
        </w:rPr>
        <w:t>-</w:t>
      </w:r>
      <w:r>
        <w:t xml:space="preserve"> Sentencia </w:t>
      </w:r>
      <w:hyperlink w:anchor="SENTENCIA_2012_6" w:history="1">
        <w:r w:rsidRPr="0043655B">
          <w:rPr>
            <w:rStyle w:val="TextoNormalCaracter"/>
          </w:rPr>
          <w:t>6/2012</w:t>
        </w:r>
      </w:hyperlink>
      <w:r>
        <w:t>, VP II.</w:t>
      </w:r>
    </w:p>
    <w:p w:rsidR="0043655B" w:rsidRDefault="0043655B" w:rsidP="0043655B">
      <w:pPr>
        <w:pStyle w:val="SangriaFrancesaArticulo"/>
      </w:pPr>
      <w:r w:rsidRPr="0043655B">
        <w:rPr>
          <w:rStyle w:val="TextoNormalNegritaCaracter"/>
        </w:rPr>
        <w:t>Artículo 127.</w:t>
      </w:r>
      <w:r w:rsidRPr="0043655B">
        <w:rPr>
          <w:rStyle w:val="TextoNormalCaracter"/>
        </w:rPr>
        <w:t>-</w:t>
      </w:r>
      <w:r>
        <w:t xml:space="preserve"> Sentencia </w:t>
      </w:r>
      <w:hyperlink w:anchor="SENTENCIA_2012_6" w:history="1">
        <w:r w:rsidRPr="0043655B">
          <w:rPr>
            <w:rStyle w:val="TextoNormalCaracter"/>
          </w:rPr>
          <w:t>6/2012</w:t>
        </w:r>
      </w:hyperlink>
      <w:r>
        <w:t>, ff. 6, 8, VP II.</w:t>
      </w:r>
    </w:p>
    <w:p w:rsidR="0043655B" w:rsidRDefault="0043655B" w:rsidP="0043655B">
      <w:pPr>
        <w:pStyle w:val="SangriaFrancesaArticulo"/>
      </w:pPr>
      <w:r w:rsidRPr="0043655B">
        <w:rPr>
          <w:rStyle w:val="TextoNormalNegritaCaracter"/>
        </w:rPr>
        <w:t>Artículo 127.1.</w:t>
      </w:r>
      <w:r w:rsidRPr="0043655B">
        <w:rPr>
          <w:rStyle w:val="TextoNormalCaracter"/>
        </w:rPr>
        <w:t>-</w:t>
      </w:r>
      <w:r>
        <w:t xml:space="preserve"> Sentencia </w:t>
      </w:r>
      <w:hyperlink w:anchor="SENTENCIA_2012_6" w:history="1">
        <w:r w:rsidRPr="0043655B">
          <w:rPr>
            <w:rStyle w:val="TextoNormalCaracter"/>
          </w:rPr>
          <w:t>6/2012</w:t>
        </w:r>
      </w:hyperlink>
      <w:r>
        <w:t>, VP I.</w:t>
      </w:r>
    </w:p>
    <w:p w:rsidR="0043655B" w:rsidRDefault="0043655B" w:rsidP="0043655B">
      <w:pPr>
        <w:pStyle w:val="SangriaFrancesaArticulo"/>
      </w:pPr>
      <w:r w:rsidRPr="0043655B">
        <w:rPr>
          <w:rStyle w:val="TextoNormalNegritaCaracter"/>
        </w:rPr>
        <w:t>Disposición adicional sexta.</w:t>
      </w:r>
      <w:r w:rsidRPr="0043655B">
        <w:rPr>
          <w:rStyle w:val="TextoNormalCaracter"/>
        </w:rPr>
        <w:t>-</w:t>
      </w:r>
      <w:r>
        <w:t xml:space="preserve"> Sentencia </w:t>
      </w:r>
      <w:hyperlink w:anchor="SENTENCIA_2012_35" w:history="1">
        <w:r w:rsidRPr="0043655B">
          <w:rPr>
            <w:rStyle w:val="TextoNormalCaracter"/>
          </w:rPr>
          <w:t>35/2012</w:t>
        </w:r>
      </w:hyperlink>
      <w:r>
        <w:t>, f. 1.</w:t>
      </w:r>
    </w:p>
    <w:p w:rsidR="0043655B" w:rsidRDefault="0043655B" w:rsidP="0043655B">
      <w:pPr>
        <w:pStyle w:val="SangriaFrancesaArticulo"/>
      </w:pPr>
      <w:r w:rsidRPr="0043655B">
        <w:rPr>
          <w:rStyle w:val="TextoNormalNegritaCaracter"/>
        </w:rPr>
        <w:t>Disposición adicional sexta,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sexta, apartado 1 g).</w:t>
      </w:r>
      <w:r w:rsidRPr="0043655B">
        <w:rPr>
          <w:rStyle w:val="TextoNormalCaracter"/>
        </w:rPr>
        <w:t>-</w:t>
      </w:r>
      <w:r>
        <w:t xml:space="preserve"> Sentencia </w:t>
      </w:r>
      <w:hyperlink w:anchor="SENTENCIA_2012_35" w:history="1">
        <w:r w:rsidRPr="0043655B">
          <w:rPr>
            <w:rStyle w:val="TextoNormalCaracter"/>
          </w:rPr>
          <w:t>35/2012</w:t>
        </w:r>
      </w:hyperlink>
      <w:r>
        <w:t>, f. 9.</w:t>
      </w:r>
    </w:p>
    <w:p w:rsidR="0043655B" w:rsidRDefault="0043655B" w:rsidP="0043655B">
      <w:pPr>
        <w:pStyle w:val="SangriaFrancesaArticulo"/>
      </w:pPr>
      <w:r w:rsidRPr="0043655B">
        <w:rPr>
          <w:rStyle w:val="TextoNormalNegritaCaracter"/>
        </w:rPr>
        <w:t>Disposición adicional sexta, apartado 3.</w:t>
      </w:r>
      <w:r w:rsidRPr="0043655B">
        <w:rPr>
          <w:rStyle w:val="TextoNormalCaracter"/>
        </w:rPr>
        <w:t>-</w:t>
      </w:r>
      <w:r>
        <w:t xml:space="preserve"> Sentencia </w:t>
      </w:r>
      <w:hyperlink w:anchor="SENTENCIA_2012_19" w:history="1">
        <w:r w:rsidRPr="0043655B">
          <w:rPr>
            <w:rStyle w:val="TextoNormalCaracter"/>
          </w:rPr>
          <w:t>19/2012</w:t>
        </w:r>
      </w:hyperlink>
      <w:r>
        <w:t>, ff. 2, 11.</w:t>
      </w:r>
    </w:p>
    <w:p w:rsidR="0043655B" w:rsidRDefault="0043655B" w:rsidP="0043655B">
      <w:pPr>
        <w:pStyle w:val="SangriaFrancesaArticulo"/>
      </w:pPr>
    </w:p>
    <w:p w:rsidR="0043655B" w:rsidRDefault="0043655B" w:rsidP="0043655B">
      <w:pPr>
        <w:pStyle w:val="TextoNormalNegritaCursivandice"/>
      </w:pPr>
      <w:r>
        <w:t>Ley Orgánica 6/2006, de 19 de julio. Reforma del Estatuto de Autonomía de Cataluña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5" w:history="1">
        <w:r w:rsidRPr="0043655B">
          <w:rPr>
            <w:rStyle w:val="TextoNormalCaracter"/>
          </w:rPr>
          <w:t>5/2012</w:t>
        </w:r>
      </w:hyperlink>
      <w:r>
        <w:t xml:space="preserve">, f. 3; </w:t>
      </w:r>
      <w:hyperlink w:anchor="SENTENCIA_2012_32" w:history="1">
        <w:r w:rsidRPr="0043655B">
          <w:rPr>
            <w:rStyle w:val="TextoNormalCaracter"/>
          </w:rPr>
          <w:t>32/2012</w:t>
        </w:r>
      </w:hyperlink>
      <w:r>
        <w:t xml:space="preserve">, f. 3; </w:t>
      </w:r>
      <w:hyperlink w:anchor="SENTENCIA_2012_35" w:history="1">
        <w:r w:rsidRPr="0043655B">
          <w:rPr>
            <w:rStyle w:val="TextoNormalCaracter"/>
          </w:rPr>
          <w:t>35/2012</w:t>
        </w:r>
      </w:hyperlink>
      <w:r>
        <w:t xml:space="preserve">, f. 2; </w:t>
      </w:r>
      <w:hyperlink w:anchor="SENTENCIA_2012_83" w:history="1">
        <w:r w:rsidRPr="0043655B">
          <w:rPr>
            <w:rStyle w:val="TextoNormalCaracter"/>
          </w:rPr>
          <w:t>83/2012</w:t>
        </w:r>
      </w:hyperlink>
      <w:r>
        <w:t xml:space="preserve">, f. 3; </w:t>
      </w:r>
      <w:hyperlink w:anchor="SENTENCIA_2012_89" w:history="1">
        <w:r w:rsidRPr="0043655B">
          <w:rPr>
            <w:rStyle w:val="TextoNormalCaracter"/>
          </w:rPr>
          <w:t>89/2012</w:t>
        </w:r>
      </w:hyperlink>
      <w:r>
        <w:t xml:space="preserve">, f. 9; </w:t>
      </w:r>
      <w:hyperlink w:anchor="SENTENCIA_2012_110" w:history="1">
        <w:r w:rsidRPr="0043655B">
          <w:rPr>
            <w:rStyle w:val="TextoNormalCaracter"/>
          </w:rPr>
          <w:t>110/2012</w:t>
        </w:r>
      </w:hyperlink>
      <w:r>
        <w:t xml:space="preserve">, f. 2; </w:t>
      </w:r>
      <w:hyperlink w:anchor="SENTENCIA_2012_111" w:history="1">
        <w:r w:rsidRPr="0043655B">
          <w:rPr>
            <w:rStyle w:val="TextoNormalCaracter"/>
          </w:rPr>
          <w:t>111/2012</w:t>
        </w:r>
      </w:hyperlink>
      <w:r>
        <w:t xml:space="preserve">, ff. 2, 11; </w:t>
      </w:r>
      <w:hyperlink w:anchor="SENTENCIA_2012_120" w:history="1">
        <w:r w:rsidRPr="0043655B">
          <w:rPr>
            <w:rStyle w:val="TextoNormalCaracter"/>
          </w:rPr>
          <w:t>120/2012</w:t>
        </w:r>
      </w:hyperlink>
      <w:r>
        <w:t>, ff. 2, 4.</w:t>
      </w:r>
    </w:p>
    <w:p w:rsidR="0043655B" w:rsidRDefault="0043655B" w:rsidP="0043655B">
      <w:pPr>
        <w:pStyle w:val="SangriaFrancesaArticulo"/>
      </w:pPr>
      <w:r w:rsidRPr="0043655B">
        <w:rPr>
          <w:rStyle w:val="TextoNormalNegritaCaracter"/>
        </w:rPr>
        <w:t>Título V.</w:t>
      </w:r>
      <w:r w:rsidRPr="0043655B">
        <w:rPr>
          <w:rStyle w:val="TextoNormalCaracter"/>
        </w:rPr>
        <w:t>-</w:t>
      </w:r>
      <w:r>
        <w:t xml:space="preserve"> Sentencia </w:t>
      </w:r>
      <w:hyperlink w:anchor="SENTENCIA_2012_35" w:history="1">
        <w:r w:rsidRPr="0043655B">
          <w:rPr>
            <w:rStyle w:val="TextoNormalCaracter"/>
          </w:rPr>
          <w:t>35/2012</w:t>
        </w:r>
      </w:hyperlink>
      <w:r>
        <w:t>, f. 4.</w:t>
      </w:r>
    </w:p>
    <w:p w:rsidR="0043655B" w:rsidRDefault="0043655B" w:rsidP="0043655B">
      <w:pPr>
        <w:pStyle w:val="SangriaFrancesaArticulo"/>
      </w:pPr>
      <w:r w:rsidRPr="0043655B">
        <w:rPr>
          <w:rStyle w:val="TextoNormalNegritaCaracter"/>
        </w:rPr>
        <w:t>Artículo 9.8.</w:t>
      </w:r>
      <w:r w:rsidRPr="0043655B">
        <w:rPr>
          <w:rStyle w:val="TextoNormalCaracter"/>
        </w:rPr>
        <w:t>-</w:t>
      </w:r>
      <w:r>
        <w:t xml:space="preserve"> Sentencia </w:t>
      </w:r>
      <w:hyperlink w:anchor="SENTENCIA_2012_81" w:history="1">
        <w:r w:rsidRPr="0043655B">
          <w:rPr>
            <w:rStyle w:val="TextoNormalCaracter"/>
          </w:rPr>
          <w:t>81/2012</w:t>
        </w:r>
      </w:hyperlink>
      <w:r>
        <w:t>, f. 1, VP.</w:t>
      </w:r>
    </w:p>
    <w:p w:rsidR="0043655B" w:rsidRDefault="0043655B" w:rsidP="0043655B">
      <w:pPr>
        <w:pStyle w:val="SangriaFrancesaArticulo"/>
      </w:pPr>
      <w:r w:rsidRPr="0043655B">
        <w:rPr>
          <w:rStyle w:val="TextoNormalNegritaCaracter"/>
        </w:rPr>
        <w:t>Artículo 25.1.</w:t>
      </w:r>
      <w:r w:rsidRPr="0043655B">
        <w:rPr>
          <w:rStyle w:val="TextoNormalCaracter"/>
        </w:rPr>
        <w:t>-</w:t>
      </w:r>
      <w:r>
        <w:t xml:space="preserve"> Sentencia </w:t>
      </w:r>
      <w:hyperlink w:anchor="SENTENCIA_2012_80" w:history="1">
        <w:r w:rsidRPr="0043655B">
          <w:rPr>
            <w:rStyle w:val="TextoNormalCaracter"/>
          </w:rPr>
          <w:t>80/2012</w:t>
        </w:r>
      </w:hyperlink>
      <w:r>
        <w:t>, f. 8.</w:t>
      </w:r>
    </w:p>
    <w:p w:rsidR="0043655B" w:rsidRDefault="0043655B" w:rsidP="0043655B">
      <w:pPr>
        <w:pStyle w:val="SangriaFrancesaArticulo"/>
      </w:pPr>
      <w:r w:rsidRPr="0043655B">
        <w:rPr>
          <w:rStyle w:val="TextoNormalNegritaCaracter"/>
        </w:rPr>
        <w:t>Artículo 91.1.</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91.2.</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111.</w:t>
      </w:r>
      <w:r w:rsidRPr="0043655B">
        <w:rPr>
          <w:rStyle w:val="TextoNormalCaracter"/>
        </w:rPr>
        <w:t>-</w:t>
      </w:r>
      <w:r>
        <w:t xml:space="preserve"> Sentencia </w:t>
      </w:r>
      <w:hyperlink w:anchor="SENTENCIA_2012_111" w:history="1">
        <w:r w:rsidRPr="0043655B">
          <w:rPr>
            <w:rStyle w:val="TextoNormalCaracter"/>
          </w:rPr>
          <w:t>111/2012</w:t>
        </w:r>
      </w:hyperlink>
      <w:r>
        <w:t>, ff. 5, 7.</w:t>
      </w:r>
    </w:p>
    <w:p w:rsidR="0043655B" w:rsidRDefault="0043655B" w:rsidP="0043655B">
      <w:pPr>
        <w:pStyle w:val="SangriaFrancesaArticulo"/>
      </w:pPr>
      <w:r w:rsidRPr="0043655B">
        <w:rPr>
          <w:rStyle w:val="TextoNormalNegritaCaracter"/>
        </w:rPr>
        <w:t>Artículo 112.</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115.</w:t>
      </w:r>
      <w:r w:rsidRPr="0043655B">
        <w:rPr>
          <w:rStyle w:val="TextoNormalCaracter"/>
        </w:rPr>
        <w:t>-</w:t>
      </w:r>
      <w:r>
        <w:t xml:space="preserve"> Sentencia </w:t>
      </w:r>
      <w:hyperlink w:anchor="SENTENCIA_2012_110" w:history="1">
        <w:r w:rsidRPr="0043655B">
          <w:rPr>
            <w:rStyle w:val="TextoNormalCaracter"/>
          </w:rPr>
          <w:t>110/2012</w:t>
        </w:r>
      </w:hyperlink>
      <w:r>
        <w:t>, f. 5.</w:t>
      </w:r>
    </w:p>
    <w:p w:rsidR="0043655B" w:rsidRDefault="0043655B" w:rsidP="0043655B">
      <w:pPr>
        <w:pStyle w:val="SangriaFrancesaArticulo"/>
      </w:pPr>
      <w:r w:rsidRPr="0043655B">
        <w:rPr>
          <w:rStyle w:val="TextoNormalNegritaCaracter"/>
        </w:rPr>
        <w:t>Artículo 125.</w:t>
      </w:r>
      <w:r w:rsidRPr="0043655B">
        <w:rPr>
          <w:rStyle w:val="TextoNormalCaracter"/>
        </w:rPr>
        <w:t>-</w:t>
      </w:r>
      <w:r>
        <w:t xml:space="preserve"> Sentencia </w:t>
      </w:r>
      <w:hyperlink w:anchor="SENTENCIA_2012_33" w:history="1">
        <w:r w:rsidRPr="0043655B">
          <w:rPr>
            <w:rStyle w:val="TextoNormalCaracter"/>
          </w:rPr>
          <w:t>33/2012</w:t>
        </w:r>
      </w:hyperlink>
      <w:r>
        <w:t>, ff. 3, 5, 7.</w:t>
      </w:r>
    </w:p>
    <w:p w:rsidR="0043655B" w:rsidRDefault="0043655B" w:rsidP="0043655B">
      <w:pPr>
        <w:pStyle w:val="SangriaFrancesaArticulo"/>
      </w:pPr>
      <w:r w:rsidRPr="0043655B">
        <w:rPr>
          <w:rStyle w:val="TextoNormalNegritaCaracter"/>
        </w:rPr>
        <w:t>Artículo 125.1.</w:t>
      </w:r>
      <w:r w:rsidRPr="0043655B">
        <w:rPr>
          <w:rStyle w:val="TextoNormalCaracter"/>
        </w:rPr>
        <w:t>-</w:t>
      </w:r>
      <w:r>
        <w:t xml:space="preserve"> Sentencia </w:t>
      </w:r>
      <w:hyperlink w:anchor="SENTENCIA_2012_33" w:history="1">
        <w:r w:rsidRPr="0043655B">
          <w:rPr>
            <w:rStyle w:val="TextoNormalCaracter"/>
          </w:rPr>
          <w:t>33/2012</w:t>
        </w:r>
      </w:hyperlink>
      <w:r>
        <w:t>, f. 3.</w:t>
      </w:r>
    </w:p>
    <w:p w:rsidR="0043655B" w:rsidRDefault="0043655B" w:rsidP="0043655B">
      <w:pPr>
        <w:pStyle w:val="SangriaFrancesaArticulo"/>
      </w:pPr>
      <w:r w:rsidRPr="0043655B">
        <w:rPr>
          <w:rStyle w:val="TextoNormalNegritaCaracter"/>
        </w:rPr>
        <w:t>Artículo 125.2.</w:t>
      </w:r>
      <w:r w:rsidRPr="0043655B">
        <w:rPr>
          <w:rStyle w:val="TextoNormalCaracter"/>
        </w:rPr>
        <w:t>-</w:t>
      </w:r>
      <w:r>
        <w:t xml:space="preserve"> Sentencia </w:t>
      </w:r>
      <w:hyperlink w:anchor="SENTENCIA_2012_33" w:history="1">
        <w:r w:rsidRPr="0043655B">
          <w:rPr>
            <w:rStyle w:val="TextoNormalCaracter"/>
          </w:rPr>
          <w:t>33/2012</w:t>
        </w:r>
      </w:hyperlink>
      <w:r>
        <w:t>, f. 3.</w:t>
      </w:r>
    </w:p>
    <w:p w:rsidR="0043655B" w:rsidRDefault="0043655B" w:rsidP="0043655B">
      <w:pPr>
        <w:pStyle w:val="SangriaFrancesaArticulo"/>
      </w:pPr>
      <w:r w:rsidRPr="0043655B">
        <w:rPr>
          <w:rStyle w:val="TextoNormalNegritaCaracter"/>
        </w:rPr>
        <w:t>Artículo 125.3.</w:t>
      </w:r>
      <w:r w:rsidRPr="0043655B">
        <w:rPr>
          <w:rStyle w:val="TextoNormalCaracter"/>
        </w:rPr>
        <w:t>-</w:t>
      </w:r>
      <w:r>
        <w:t xml:space="preserve"> Sentencia </w:t>
      </w:r>
      <w:hyperlink w:anchor="SENTENCIA_2012_33" w:history="1">
        <w:r w:rsidRPr="0043655B">
          <w:rPr>
            <w:rStyle w:val="TextoNormalCaracter"/>
          </w:rPr>
          <w:t>33/2012</w:t>
        </w:r>
      </w:hyperlink>
      <w:r>
        <w:t>, f. 3.</w:t>
      </w:r>
    </w:p>
    <w:p w:rsidR="0043655B" w:rsidRDefault="0043655B" w:rsidP="0043655B">
      <w:pPr>
        <w:pStyle w:val="SangriaFrancesaArticulo"/>
      </w:pPr>
      <w:r w:rsidRPr="0043655B">
        <w:rPr>
          <w:rStyle w:val="TextoNormalNegritaCaracter"/>
        </w:rPr>
        <w:t>Artículo 125.4.</w:t>
      </w:r>
      <w:r w:rsidRPr="0043655B">
        <w:rPr>
          <w:rStyle w:val="TextoNormalCaracter"/>
        </w:rPr>
        <w:t>-</w:t>
      </w:r>
      <w:r>
        <w:t xml:space="preserve"> Sentencia </w:t>
      </w:r>
      <w:hyperlink w:anchor="SENTENCIA_2012_33" w:history="1">
        <w:r w:rsidRPr="0043655B">
          <w:rPr>
            <w:rStyle w:val="TextoNormalCaracter"/>
          </w:rPr>
          <w:t>33/2012</w:t>
        </w:r>
      </w:hyperlink>
      <w:r>
        <w:t>, f. 3.</w:t>
      </w:r>
    </w:p>
    <w:p w:rsidR="0043655B" w:rsidRDefault="0043655B" w:rsidP="0043655B">
      <w:pPr>
        <w:pStyle w:val="SangriaFrancesaArticulo"/>
      </w:pPr>
      <w:r w:rsidRPr="0043655B">
        <w:rPr>
          <w:rStyle w:val="TextoNormalNegritaCaracter"/>
        </w:rPr>
        <w:t>Artículo 127.1.</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r w:rsidRPr="0043655B">
        <w:rPr>
          <w:rStyle w:val="TextoNormalNegritaCaracter"/>
        </w:rPr>
        <w:t>Artículo 127.1 a).</w:t>
      </w:r>
      <w:r w:rsidRPr="0043655B">
        <w:rPr>
          <w:rStyle w:val="TextoNormalCaracter"/>
        </w:rPr>
        <w:t>-</w:t>
      </w:r>
      <w:r>
        <w:t xml:space="preserve"> Sentencia </w:t>
      </w:r>
      <w:hyperlink w:anchor="SENTENCIA_2012_89" w:history="1">
        <w:r w:rsidRPr="0043655B">
          <w:rPr>
            <w:rStyle w:val="TextoNormalCaracter"/>
          </w:rPr>
          <w:t>89/2012</w:t>
        </w:r>
      </w:hyperlink>
      <w:r>
        <w:t>, f. 3.</w:t>
      </w:r>
    </w:p>
    <w:p w:rsidR="0043655B" w:rsidRDefault="0043655B" w:rsidP="0043655B">
      <w:pPr>
        <w:pStyle w:val="SangriaFrancesaArticulo"/>
      </w:pPr>
      <w:r w:rsidRPr="0043655B">
        <w:rPr>
          <w:rStyle w:val="TextoNormalNegritaCaracter"/>
        </w:rPr>
        <w:lastRenderedPageBreak/>
        <w:t>Artículo 127.1 d).</w:t>
      </w:r>
      <w:r w:rsidRPr="0043655B">
        <w:rPr>
          <w:rStyle w:val="TextoNormalCaracter"/>
        </w:rPr>
        <w:t>-</w:t>
      </w:r>
      <w:r>
        <w:t xml:space="preserve"> Sentencia </w:t>
      </w:r>
      <w:hyperlink w:anchor="SENTENCIA_2012_80" w:history="1">
        <w:r w:rsidRPr="0043655B">
          <w:rPr>
            <w:rStyle w:val="TextoNormalCaracter"/>
          </w:rPr>
          <w:t>80/2012</w:t>
        </w:r>
      </w:hyperlink>
      <w:r>
        <w:t>, f. 4.</w:t>
      </w:r>
    </w:p>
    <w:p w:rsidR="0043655B" w:rsidRDefault="0043655B" w:rsidP="0043655B">
      <w:pPr>
        <w:pStyle w:val="SangriaFrancesaArticulo"/>
      </w:pPr>
      <w:r w:rsidRPr="0043655B">
        <w:rPr>
          <w:rStyle w:val="TextoNormalNegritaCaracter"/>
        </w:rPr>
        <w:t>Artículo 127.1 d) apartado 1.</w:t>
      </w:r>
      <w:r w:rsidRPr="0043655B">
        <w:rPr>
          <w:rStyle w:val="TextoNormalCaracter"/>
        </w:rPr>
        <w:t>-</w:t>
      </w:r>
      <w:r>
        <w:t xml:space="preserve"> Sentencia </w:t>
      </w:r>
      <w:hyperlink w:anchor="SENTENCIA_2012_89" w:history="1">
        <w:r w:rsidRPr="0043655B">
          <w:rPr>
            <w:rStyle w:val="TextoNormalCaracter"/>
          </w:rPr>
          <w:t>89/2012</w:t>
        </w:r>
      </w:hyperlink>
      <w:r>
        <w:t>, f. 3.</w:t>
      </w:r>
    </w:p>
    <w:p w:rsidR="0043655B" w:rsidRDefault="0043655B" w:rsidP="0043655B">
      <w:pPr>
        <w:pStyle w:val="SangriaFrancesaArticulo"/>
      </w:pPr>
      <w:r w:rsidRPr="0043655B">
        <w:rPr>
          <w:rStyle w:val="TextoNormalNegritaCaracter"/>
        </w:rPr>
        <w:t>Artículo 127.1 d) apartado 2.</w:t>
      </w:r>
      <w:r w:rsidRPr="0043655B">
        <w:rPr>
          <w:rStyle w:val="TextoNormalCaracter"/>
        </w:rPr>
        <w:t>-</w:t>
      </w:r>
      <w:r>
        <w:t xml:space="preserve"> Sentencia </w:t>
      </w:r>
      <w:hyperlink w:anchor="SENTENCIA_2012_89" w:history="1">
        <w:r w:rsidRPr="0043655B">
          <w:rPr>
            <w:rStyle w:val="TextoNormalCaracter"/>
          </w:rPr>
          <w:t>89/2012</w:t>
        </w:r>
      </w:hyperlink>
      <w:r>
        <w:t>, f-3.</w:t>
      </w:r>
    </w:p>
    <w:p w:rsidR="0043655B" w:rsidRDefault="0043655B" w:rsidP="0043655B">
      <w:pPr>
        <w:pStyle w:val="SangriaFrancesaArticulo"/>
      </w:pPr>
      <w:r w:rsidRPr="0043655B">
        <w:rPr>
          <w:rStyle w:val="TextoNormalNegritaCaracter"/>
        </w:rPr>
        <w:t>Artículo 130.</w:t>
      </w:r>
      <w:r w:rsidRPr="0043655B">
        <w:rPr>
          <w:rStyle w:val="TextoNormalCaracter"/>
        </w:rPr>
        <w:t>-</w:t>
      </w:r>
      <w:r>
        <w:t xml:space="preserve"> Sentencia </w:t>
      </w:r>
      <w:hyperlink w:anchor="SENTENCIA_2012_21" w:history="1">
        <w:r w:rsidRPr="0043655B">
          <w:rPr>
            <w:rStyle w:val="TextoNormalCaracter"/>
          </w:rPr>
          <w:t>21/2012</w:t>
        </w:r>
      </w:hyperlink>
      <w:r>
        <w:t>, f. 2.</w:t>
      </w:r>
    </w:p>
    <w:p w:rsidR="0043655B" w:rsidRDefault="0043655B" w:rsidP="0043655B">
      <w:pPr>
        <w:pStyle w:val="SangriaFrancesaArticulo"/>
      </w:pPr>
      <w:r w:rsidRPr="0043655B">
        <w:rPr>
          <w:rStyle w:val="TextoNormalNegritaCaracter"/>
        </w:rPr>
        <w:t>Artículo 131.</w:t>
      </w:r>
      <w:r w:rsidRPr="0043655B">
        <w:rPr>
          <w:rStyle w:val="TextoNormalCaracter"/>
        </w:rPr>
        <w:t>-</w:t>
      </w:r>
      <w:r>
        <w:t xml:space="preserve"> Sentencia </w:t>
      </w:r>
      <w:hyperlink w:anchor="SENTENCIA_2012_111" w:history="1">
        <w:r w:rsidRPr="0043655B">
          <w:rPr>
            <w:rStyle w:val="TextoNormalCaracter"/>
          </w:rPr>
          <w:t>111/2012</w:t>
        </w:r>
      </w:hyperlink>
      <w:r>
        <w:t>, f. 10.</w:t>
      </w:r>
    </w:p>
    <w:p w:rsidR="0043655B" w:rsidRDefault="0043655B" w:rsidP="0043655B">
      <w:pPr>
        <w:pStyle w:val="SangriaFrancesaArticulo"/>
      </w:pPr>
      <w:r w:rsidRPr="0043655B">
        <w:rPr>
          <w:rStyle w:val="TextoNormalNegritaCaracter"/>
        </w:rPr>
        <w:t>Artículo 131.1.</w:t>
      </w:r>
      <w:r w:rsidRPr="0043655B">
        <w:rPr>
          <w:rStyle w:val="TextoNormalCaracter"/>
        </w:rPr>
        <w:t>-</w:t>
      </w:r>
      <w:r>
        <w:t xml:space="preserve"> Sentencia </w:t>
      </w:r>
      <w:hyperlink w:anchor="SENTENCIA_2012_111" w:history="1">
        <w:r w:rsidRPr="0043655B">
          <w:rPr>
            <w:rStyle w:val="TextoNormalCaracter"/>
          </w:rPr>
          <w:t>111/2012</w:t>
        </w:r>
      </w:hyperlink>
      <w:r>
        <w:t>, f. 5.</w:t>
      </w:r>
    </w:p>
    <w:p w:rsidR="0043655B" w:rsidRDefault="0043655B" w:rsidP="0043655B">
      <w:pPr>
        <w:pStyle w:val="SangriaFrancesaArticulo"/>
      </w:pPr>
      <w:r w:rsidRPr="0043655B">
        <w:rPr>
          <w:rStyle w:val="TextoNormalNegritaCaracter"/>
        </w:rPr>
        <w:t>Artículo 131.2.</w:t>
      </w:r>
      <w:r w:rsidRPr="0043655B">
        <w:rPr>
          <w:rStyle w:val="TextoNormalCaracter"/>
        </w:rPr>
        <w:t>-</w:t>
      </w:r>
      <w:r>
        <w:t xml:space="preserve"> Sentencia </w:t>
      </w:r>
      <w:hyperlink w:anchor="SENTENCIA_2012_111" w:history="1">
        <w:r w:rsidRPr="0043655B">
          <w:rPr>
            <w:rStyle w:val="TextoNormalCaracter"/>
          </w:rPr>
          <w:t>111/2012</w:t>
        </w:r>
      </w:hyperlink>
      <w:r>
        <w:t>, f. 5.</w:t>
      </w:r>
    </w:p>
    <w:p w:rsidR="0043655B" w:rsidRDefault="0043655B" w:rsidP="0043655B">
      <w:pPr>
        <w:pStyle w:val="SangriaFrancesaArticulo"/>
      </w:pPr>
      <w:r w:rsidRPr="0043655B">
        <w:rPr>
          <w:rStyle w:val="TextoNormalNegritaCaracter"/>
        </w:rPr>
        <w:t>Artículo 131.4.</w:t>
      </w:r>
      <w:r w:rsidRPr="0043655B">
        <w:rPr>
          <w:rStyle w:val="TextoNormalCaracter"/>
        </w:rPr>
        <w:t>-</w:t>
      </w:r>
      <w:r>
        <w:t xml:space="preserve"> Sentencia </w:t>
      </w:r>
      <w:hyperlink w:anchor="SENTENCIA_2012_111" w:history="1">
        <w:r w:rsidRPr="0043655B">
          <w:rPr>
            <w:rStyle w:val="TextoNormalCaracter"/>
          </w:rPr>
          <w:t>111/2012</w:t>
        </w:r>
      </w:hyperlink>
      <w:r>
        <w:t>, f. 5.</w:t>
      </w:r>
    </w:p>
    <w:p w:rsidR="0043655B" w:rsidRDefault="0043655B" w:rsidP="0043655B">
      <w:pPr>
        <w:pStyle w:val="SangriaFrancesaArticulo"/>
      </w:pPr>
      <w:r w:rsidRPr="0043655B">
        <w:rPr>
          <w:rStyle w:val="TextoNormalNegritaCaracter"/>
        </w:rPr>
        <w:t>Artículo 134.</w:t>
      </w:r>
      <w:r w:rsidRPr="0043655B">
        <w:rPr>
          <w:rStyle w:val="TextoNormalCaracter"/>
        </w:rPr>
        <w:t>-</w:t>
      </w:r>
      <w:r>
        <w:t xml:space="preserve"> Sentencia </w:t>
      </w:r>
      <w:hyperlink w:anchor="SENTENCIA_2012_110" w:history="1">
        <w:r w:rsidRPr="0043655B">
          <w:rPr>
            <w:rStyle w:val="TextoNormalCaracter"/>
          </w:rPr>
          <w:t>110/2012</w:t>
        </w:r>
      </w:hyperlink>
      <w:r>
        <w:t>, ff. 2 a 4.</w:t>
      </w:r>
    </w:p>
    <w:p w:rsidR="0043655B" w:rsidRDefault="0043655B" w:rsidP="0043655B">
      <w:pPr>
        <w:pStyle w:val="SangriaFrancesaArticulo"/>
      </w:pPr>
      <w:r w:rsidRPr="0043655B">
        <w:rPr>
          <w:rStyle w:val="TextoNormalNegritaCaracter"/>
        </w:rPr>
        <w:t>Artículo 134.2.</w:t>
      </w:r>
      <w:r w:rsidRPr="0043655B">
        <w:rPr>
          <w:rStyle w:val="TextoNormalCaracter"/>
        </w:rPr>
        <w:t>-</w:t>
      </w:r>
      <w:r>
        <w:t xml:space="preserve"> Sentencia </w:t>
      </w:r>
      <w:hyperlink w:anchor="SENTENCIA_2012_80" w:history="1">
        <w:r w:rsidRPr="0043655B">
          <w:rPr>
            <w:rStyle w:val="TextoNormalCaracter"/>
          </w:rPr>
          <w:t>80/2012</w:t>
        </w:r>
      </w:hyperlink>
      <w:r>
        <w:t>, f. 4.</w:t>
      </w:r>
    </w:p>
    <w:p w:rsidR="0043655B" w:rsidRDefault="0043655B" w:rsidP="0043655B">
      <w:pPr>
        <w:pStyle w:val="SangriaFrancesaArticulo"/>
      </w:pPr>
      <w:r w:rsidRPr="0043655B">
        <w:rPr>
          <w:rStyle w:val="TextoNormalNegritaCaracter"/>
        </w:rPr>
        <w:t>Artículo 136 a).</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136 b).</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 </w:t>
      </w:r>
      <w:hyperlink w:anchor="SENTENCIA_2012_35" w:history="1">
        <w:r w:rsidRPr="0043655B">
          <w:rPr>
            <w:rStyle w:val="TextoNormalCaracter"/>
          </w:rPr>
          <w:t>35/2012</w:t>
        </w:r>
      </w:hyperlink>
      <w:r>
        <w:t>, f. 4.</w:t>
      </w:r>
    </w:p>
    <w:p w:rsidR="0043655B" w:rsidRDefault="0043655B" w:rsidP="0043655B">
      <w:pPr>
        <w:pStyle w:val="SangriaFrancesaArticulo"/>
      </w:pPr>
      <w:r w:rsidRPr="0043655B">
        <w:rPr>
          <w:rStyle w:val="TextoNormalNegritaCaracter"/>
        </w:rPr>
        <w:t>Artículo 141.1.</w:t>
      </w:r>
      <w:r w:rsidRPr="0043655B">
        <w:rPr>
          <w:rStyle w:val="TextoNormalCaracter"/>
        </w:rPr>
        <w:t>-</w:t>
      </w:r>
      <w:r>
        <w:t xml:space="preserve"> Sentencia </w:t>
      </w:r>
      <w:hyperlink w:anchor="SENTENCIA_2012_32" w:history="1">
        <w:r w:rsidRPr="0043655B">
          <w:rPr>
            <w:rStyle w:val="TextoNormalCaracter"/>
          </w:rPr>
          <w:t>32/2012</w:t>
        </w:r>
      </w:hyperlink>
      <w:r>
        <w:t>, f. 3.</w:t>
      </w:r>
    </w:p>
    <w:p w:rsidR="0043655B" w:rsidRDefault="0043655B" w:rsidP="0043655B">
      <w:pPr>
        <w:pStyle w:val="SangriaFrancesaArticulo"/>
      </w:pPr>
      <w:r w:rsidRPr="0043655B">
        <w:rPr>
          <w:rStyle w:val="TextoNormalNegritaCaracter"/>
        </w:rPr>
        <w:t>Artículo 141.2.</w:t>
      </w:r>
      <w:r w:rsidRPr="0043655B">
        <w:rPr>
          <w:rStyle w:val="TextoNormalCaracter"/>
        </w:rPr>
        <w:t>-</w:t>
      </w:r>
      <w:r>
        <w:t xml:space="preserve"> Sentencias </w:t>
      </w:r>
      <w:hyperlink w:anchor="SENTENCIA_2012_32" w:history="1">
        <w:r w:rsidRPr="0043655B">
          <w:rPr>
            <w:rStyle w:val="TextoNormalCaracter"/>
          </w:rPr>
          <w:t>32/2012</w:t>
        </w:r>
      </w:hyperlink>
      <w:r>
        <w:t xml:space="preserve">, ff. 3, 8; </w:t>
      </w:r>
      <w:hyperlink w:anchor="SENTENCIA_2012_35" w:history="1">
        <w:r w:rsidRPr="0043655B">
          <w:rPr>
            <w:rStyle w:val="TextoNormalCaracter"/>
          </w:rPr>
          <w:t>35/2012</w:t>
        </w:r>
      </w:hyperlink>
      <w:r>
        <w:t xml:space="preserve">, f. 4; </w:t>
      </w:r>
      <w:hyperlink w:anchor="SENTENCIA_2012_123" w:history="1">
        <w:r w:rsidRPr="0043655B">
          <w:rPr>
            <w:rStyle w:val="TextoNormalCaracter"/>
          </w:rPr>
          <w:t>123/2012</w:t>
        </w:r>
      </w:hyperlink>
      <w:r>
        <w:t>, f. 4.</w:t>
      </w:r>
    </w:p>
    <w:p w:rsidR="0043655B" w:rsidRDefault="0043655B" w:rsidP="0043655B">
      <w:pPr>
        <w:pStyle w:val="SangriaFrancesaArticulo"/>
      </w:pPr>
      <w:r w:rsidRPr="0043655B">
        <w:rPr>
          <w:rStyle w:val="TextoNormalNegritaCaracter"/>
        </w:rPr>
        <w:t>Artículo 146.</w:t>
      </w:r>
      <w:r w:rsidRPr="0043655B">
        <w:rPr>
          <w:rStyle w:val="TextoNormalCaracter"/>
        </w:rPr>
        <w:t>-</w:t>
      </w:r>
      <w:r>
        <w:t xml:space="preserve"> Sentencia </w:t>
      </w:r>
      <w:hyperlink w:anchor="SENTENCIA_2012_5" w:history="1">
        <w:r w:rsidRPr="0043655B">
          <w:rPr>
            <w:rStyle w:val="TextoNormalCaracter"/>
          </w:rPr>
          <w:t>5/2012</w:t>
        </w:r>
      </w:hyperlink>
      <w:r>
        <w:t>, f. 3.</w:t>
      </w:r>
    </w:p>
    <w:p w:rsidR="0043655B" w:rsidRDefault="0043655B" w:rsidP="0043655B">
      <w:pPr>
        <w:pStyle w:val="SangriaFrancesaArticulo"/>
      </w:pPr>
      <w:r w:rsidRPr="0043655B">
        <w:rPr>
          <w:rStyle w:val="TextoNormalNegritaCaracter"/>
        </w:rPr>
        <w:t>Artículo 146.1 b).</w:t>
      </w:r>
      <w:r w:rsidRPr="0043655B">
        <w:rPr>
          <w:rStyle w:val="TextoNormalCaracter"/>
        </w:rPr>
        <w:t>-</w:t>
      </w:r>
      <w:r>
        <w:t xml:space="preserve"> Sentencia </w:t>
      </w:r>
      <w:hyperlink w:anchor="SENTENCIA_2012_5" w:history="1">
        <w:r w:rsidRPr="0043655B">
          <w:rPr>
            <w:rStyle w:val="TextoNormalCaracter"/>
          </w:rPr>
          <w:t>5/2012</w:t>
        </w:r>
      </w:hyperlink>
      <w:r>
        <w:t>, f. 3.</w:t>
      </w:r>
    </w:p>
    <w:p w:rsidR="0043655B" w:rsidRDefault="0043655B" w:rsidP="0043655B">
      <w:pPr>
        <w:pStyle w:val="SangriaFrancesaArticulo"/>
      </w:pPr>
      <w:r w:rsidRPr="0043655B">
        <w:rPr>
          <w:rStyle w:val="TextoNormalNegritaCaracter"/>
        </w:rPr>
        <w:t>Artículo 160.</w:t>
      </w:r>
      <w:r w:rsidRPr="0043655B">
        <w:rPr>
          <w:rStyle w:val="TextoNormalCaracter"/>
        </w:rPr>
        <w:t>-</w:t>
      </w:r>
      <w:r>
        <w:t xml:space="preserve"> Sentencia </w:t>
      </w:r>
      <w:hyperlink w:anchor="SENTENCIA_2012_132" w:history="1">
        <w:r w:rsidRPr="0043655B">
          <w:rPr>
            <w:rStyle w:val="TextoNormalCaracter"/>
          </w:rPr>
          <w:t>132/2012</w:t>
        </w:r>
      </w:hyperlink>
      <w:r>
        <w:t>, VP.</w:t>
      </w:r>
    </w:p>
    <w:p w:rsidR="0043655B" w:rsidRDefault="0043655B" w:rsidP="0043655B">
      <w:pPr>
        <w:pStyle w:val="SangriaFrancesaArticulo"/>
      </w:pPr>
      <w:r w:rsidRPr="0043655B">
        <w:rPr>
          <w:rStyle w:val="TextoNormalNegritaCaracter"/>
        </w:rPr>
        <w:t>Artículo 162.3 d).</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162.3 e).</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170.1.</w:t>
      </w:r>
      <w:r w:rsidRPr="0043655B">
        <w:rPr>
          <w:rStyle w:val="TextoNormalCaracter"/>
        </w:rPr>
        <w:t>-</w:t>
      </w:r>
      <w:r>
        <w:t xml:space="preserve"> Sentencia </w:t>
      </w:r>
      <w:hyperlink w:anchor="SENTENCIA_2012_111" w:history="1">
        <w:r w:rsidRPr="0043655B">
          <w:rPr>
            <w:rStyle w:val="TextoNormalCaracter"/>
          </w:rPr>
          <w:t>111/2012</w:t>
        </w:r>
      </w:hyperlink>
      <w:r>
        <w:t>, f. 7.</w:t>
      </w:r>
    </w:p>
    <w:p w:rsidR="0043655B" w:rsidRDefault="0043655B" w:rsidP="0043655B">
      <w:pPr>
        <w:pStyle w:val="SangriaFrancesaArticulo"/>
      </w:pPr>
      <w:r w:rsidRPr="0043655B">
        <w:rPr>
          <w:rStyle w:val="TextoNormalNegritaCaracter"/>
        </w:rPr>
        <w:t>Artículo 170.1 b).</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170.1 c).</w:t>
      </w:r>
      <w:r w:rsidRPr="0043655B">
        <w:rPr>
          <w:rStyle w:val="TextoNormalCaracter"/>
        </w:rPr>
        <w:t>-</w:t>
      </w:r>
      <w:r>
        <w:t xml:space="preserve"> Sentencia </w:t>
      </w:r>
      <w:hyperlink w:anchor="SENTENCIA_2012_111" w:history="1">
        <w:r w:rsidRPr="0043655B">
          <w:rPr>
            <w:rStyle w:val="TextoNormalCaracter"/>
          </w:rPr>
          <w:t>111/2012</w:t>
        </w:r>
      </w:hyperlink>
      <w:r>
        <w:t>, f. 11.</w:t>
      </w:r>
    </w:p>
    <w:p w:rsidR="0043655B" w:rsidRDefault="0043655B" w:rsidP="0043655B">
      <w:pPr>
        <w:pStyle w:val="SangriaFrancesaArticulo"/>
      </w:pPr>
      <w:r w:rsidRPr="0043655B">
        <w:rPr>
          <w:rStyle w:val="TextoNormalNegritaCaracter"/>
        </w:rPr>
        <w:t>Artículo 202.3 a).</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203.1.</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203.5.</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210.</w:t>
      </w:r>
      <w:r w:rsidRPr="0043655B">
        <w:rPr>
          <w:rStyle w:val="TextoNormalCaracter"/>
        </w:rPr>
        <w:t>-</w:t>
      </w:r>
      <w:r>
        <w:t xml:space="preserve"> Sentencia </w:t>
      </w:r>
      <w:hyperlink w:anchor="SENTENCIA_2012_35" w:history="1">
        <w:r w:rsidRPr="0043655B">
          <w:rPr>
            <w:rStyle w:val="TextoNormalCaracter"/>
          </w:rPr>
          <w:t>35/2012</w:t>
        </w:r>
      </w:hyperlink>
      <w:r>
        <w:t>, f. 9.</w:t>
      </w:r>
    </w:p>
    <w:p w:rsidR="0043655B" w:rsidRDefault="0043655B" w:rsidP="0043655B">
      <w:pPr>
        <w:pStyle w:val="SangriaFrancesaArticulo"/>
      </w:pPr>
      <w:r w:rsidRPr="0043655B">
        <w:rPr>
          <w:rStyle w:val="TextoNormalNegritaCaracter"/>
        </w:rPr>
        <w:t>Artículo 210.2 a).</w:t>
      </w:r>
      <w:r w:rsidRPr="0043655B">
        <w:rPr>
          <w:rStyle w:val="TextoNormalCaracter"/>
        </w:rPr>
        <w:t>-</w:t>
      </w:r>
      <w:r>
        <w:t xml:space="preserve"> Sentencia </w:t>
      </w:r>
      <w:hyperlink w:anchor="SENTENCIA_2012_35" w:history="1">
        <w:r w:rsidRPr="0043655B">
          <w:rPr>
            <w:rStyle w:val="TextoNormalCaracter"/>
          </w:rPr>
          <w:t>35/2012</w:t>
        </w:r>
      </w:hyperlink>
      <w:r>
        <w:t>, f. 9.</w:t>
      </w:r>
    </w:p>
    <w:p w:rsidR="0043655B" w:rsidRDefault="0043655B" w:rsidP="0043655B">
      <w:pPr>
        <w:pStyle w:val="SangriaFrancesaArticulo"/>
      </w:pPr>
      <w:r w:rsidRPr="0043655B">
        <w:rPr>
          <w:rStyle w:val="TextoNormalNegritaCaracter"/>
        </w:rPr>
        <w:t>Artículo 218.2.</w:t>
      </w:r>
      <w:r w:rsidRPr="0043655B">
        <w:rPr>
          <w:rStyle w:val="TextoNormalCaracter"/>
        </w:rPr>
        <w:t>-</w:t>
      </w:r>
      <w:r>
        <w:t xml:space="preserve"> Sentencia </w:t>
      </w:r>
      <w:hyperlink w:anchor="SENTENCIA_2012_120" w:history="1">
        <w:r w:rsidRPr="0043655B">
          <w:rPr>
            <w:rStyle w:val="TextoNormalCaracter"/>
          </w:rPr>
          <w:t>120/2012</w:t>
        </w:r>
      </w:hyperlink>
      <w:r>
        <w:t>, f. 5.</w:t>
      </w:r>
    </w:p>
    <w:p w:rsidR="0043655B" w:rsidRDefault="0043655B" w:rsidP="0043655B">
      <w:pPr>
        <w:pStyle w:val="SangriaFrancesaArticulo"/>
      </w:pPr>
      <w:r w:rsidRPr="0043655B">
        <w:rPr>
          <w:rStyle w:val="TextoNormalNegritaCaracter"/>
        </w:rPr>
        <w:t>Artículo 218.5.</w:t>
      </w:r>
      <w:r w:rsidRPr="0043655B">
        <w:rPr>
          <w:rStyle w:val="TextoNormalCaracter"/>
        </w:rPr>
        <w:t>-</w:t>
      </w:r>
      <w:r>
        <w:t xml:space="preserve"> Sentencia </w:t>
      </w:r>
      <w:hyperlink w:anchor="SENTENCIA_2012_120" w:history="1">
        <w:r w:rsidRPr="0043655B">
          <w:rPr>
            <w:rStyle w:val="TextoNormalCaracter"/>
          </w:rPr>
          <w:t>120/2012</w:t>
        </w:r>
      </w:hyperlink>
      <w:r>
        <w:t>, ff. 1, 4, 5, 7.</w:t>
      </w:r>
    </w:p>
    <w:p w:rsidR="0043655B" w:rsidRDefault="0043655B" w:rsidP="0043655B">
      <w:pPr>
        <w:pStyle w:val="SangriaFrancesaArticulo"/>
      </w:pPr>
      <w:r w:rsidRPr="0043655B">
        <w:rPr>
          <w:rStyle w:val="TextoNormalNegritaCaracter"/>
        </w:rPr>
        <w:t>Disposición adicional séptima.</w:t>
      </w:r>
      <w:r w:rsidRPr="0043655B">
        <w:rPr>
          <w:rStyle w:val="TextoNormalCaracter"/>
        </w:rPr>
        <w:t>-</w:t>
      </w:r>
      <w:r>
        <w:t xml:space="preserve"> Sentencia </w:t>
      </w:r>
      <w:hyperlink w:anchor="SENTENCIA_2012_32" w:history="1">
        <w:r w:rsidRPr="0043655B">
          <w:rPr>
            <w:rStyle w:val="TextoNormalCaracter"/>
          </w:rPr>
          <w:t>32/2012</w:t>
        </w:r>
      </w:hyperlink>
      <w:r>
        <w:t>, f. 7.</w:t>
      </w:r>
    </w:p>
    <w:p w:rsidR="0043655B" w:rsidRDefault="0043655B" w:rsidP="0043655B">
      <w:pPr>
        <w:pStyle w:val="SangriaFrancesaArticulo"/>
      </w:pPr>
      <w:r w:rsidRPr="0043655B">
        <w:rPr>
          <w:rStyle w:val="TextoNormalNegritaCaracter"/>
        </w:rPr>
        <w:t>Disposición adicional séptima, apartado 3.</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SangriaFrancesaArticulo"/>
      </w:pPr>
      <w:r w:rsidRPr="0043655B">
        <w:rPr>
          <w:rStyle w:val="TextoNormalNegritaCaracter"/>
        </w:rPr>
        <w:t>Disposición adicional séptima, apartado b).</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decimocuarta.</w:t>
      </w:r>
      <w:r w:rsidRPr="0043655B">
        <w:rPr>
          <w:rStyle w:val="TextoNormalCaracter"/>
        </w:rPr>
        <w:t>-</w:t>
      </w:r>
      <w:r>
        <w:t xml:space="preserve"> Sentencia </w:t>
      </w:r>
      <w:hyperlink w:anchor="SENTENCIA_2012_32" w:history="1">
        <w:r w:rsidRPr="0043655B">
          <w:rPr>
            <w:rStyle w:val="TextoNormalCaracter"/>
          </w:rPr>
          <w:t>32/2012</w:t>
        </w:r>
      </w:hyperlink>
      <w:r>
        <w:t>, f. 8.</w:t>
      </w:r>
    </w:p>
    <w:p w:rsidR="0043655B" w:rsidRDefault="0043655B" w:rsidP="0043655B">
      <w:pPr>
        <w:pStyle w:val="TextoNormal"/>
      </w:pPr>
    </w:p>
    <w:p w:rsidR="0043655B" w:rsidRDefault="0043655B" w:rsidP="0043655B">
      <w:pPr>
        <w:pStyle w:val="TextoNormalNegritaCentradoSubrayado"/>
        <w:suppressAutoHyphens/>
      </w:pPr>
      <w:r>
        <w:t>J.9.b)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del Parlamento de Cataluña 8/1987, de 15 de abril. Municipal y de régimen local de Cataluña</w:t>
      </w:r>
    </w:p>
    <w:p w:rsidR="0043655B" w:rsidRDefault="0043655B" w:rsidP="0043655B">
      <w:pPr>
        <w:pStyle w:val="SangriaFrancesaArticulo"/>
      </w:pPr>
      <w:r w:rsidRPr="0043655B">
        <w:rPr>
          <w:rStyle w:val="TextoNormalNegritaCaracter"/>
        </w:rPr>
        <w:t>Artículo 110.1 g).</w:t>
      </w:r>
      <w:r w:rsidRPr="0043655B">
        <w:rPr>
          <w:rStyle w:val="TextoNormalCaracter"/>
        </w:rPr>
        <w:t>-</w:t>
      </w:r>
      <w:r>
        <w:t xml:space="preserve"> Sentencia </w:t>
      </w:r>
      <w:hyperlink w:anchor="SENTENCIA_2012_81" w:history="1">
        <w:r w:rsidRPr="0043655B">
          <w:rPr>
            <w:rStyle w:val="TextoNormalCaracter"/>
          </w:rPr>
          <w:t>81/2012</w:t>
        </w:r>
      </w:hyperlink>
      <w:r>
        <w:t>, ff. 1, 4.</w:t>
      </w:r>
    </w:p>
    <w:p w:rsidR="0043655B" w:rsidRDefault="0043655B" w:rsidP="0043655B">
      <w:pPr>
        <w:pStyle w:val="SangriaFrancesaArticulo"/>
      </w:pPr>
    </w:p>
    <w:p w:rsidR="0043655B" w:rsidRDefault="0043655B" w:rsidP="0043655B">
      <w:pPr>
        <w:pStyle w:val="TextoNormalNegritaCursivandice"/>
      </w:pPr>
      <w:r>
        <w:t>Ley del Parlamento de Cataluña 8/1988, de 7 de abril. Deporte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0" w:history="1">
        <w:r w:rsidRPr="0043655B">
          <w:rPr>
            <w:rStyle w:val="TextoNormalCaracter"/>
          </w:rPr>
          <w:t>110/2012</w:t>
        </w:r>
      </w:hyperlink>
      <w:r>
        <w:t>, ff. 2, 4.</w:t>
      </w:r>
    </w:p>
    <w:p w:rsidR="0043655B" w:rsidRDefault="0043655B" w:rsidP="0043655B">
      <w:pPr>
        <w:pStyle w:val="SangriaFrancesaArticulo"/>
      </w:pPr>
      <w:r w:rsidRPr="0043655B">
        <w:rPr>
          <w:rStyle w:val="TextoNormalNegritaCaracter"/>
        </w:rPr>
        <w:t>Artículo 19.1.</w:t>
      </w:r>
      <w:r w:rsidRPr="0043655B">
        <w:rPr>
          <w:rStyle w:val="TextoNormalCaracter"/>
        </w:rPr>
        <w:t>-</w:t>
      </w:r>
      <w:r>
        <w:t xml:space="preserve"> Sentencia </w:t>
      </w:r>
      <w:hyperlink w:anchor="SENTENCIA_2012_110" w:history="1">
        <w:r w:rsidRPr="0043655B">
          <w:rPr>
            <w:rStyle w:val="TextoNormalCaracter"/>
          </w:rPr>
          <w:t>110/2012</w:t>
        </w:r>
      </w:hyperlink>
      <w:r>
        <w:t>, f. 6.</w:t>
      </w:r>
    </w:p>
    <w:p w:rsidR="0043655B" w:rsidRDefault="0043655B" w:rsidP="0043655B">
      <w:pPr>
        <w:pStyle w:val="SangriaFrancesaArticulo"/>
      </w:pPr>
      <w:r w:rsidRPr="0043655B">
        <w:rPr>
          <w:rStyle w:val="TextoNormalNegritaCaracter"/>
        </w:rPr>
        <w:t>Artículo 19.2 inciso 1.</w:t>
      </w:r>
      <w:r w:rsidRPr="0043655B">
        <w:rPr>
          <w:rStyle w:val="TextoNormalCaracter"/>
        </w:rPr>
        <w:t>-</w:t>
      </w:r>
      <w:r>
        <w:t xml:space="preserve"> Sentencia </w:t>
      </w:r>
      <w:hyperlink w:anchor="SENTENCIA_2012_110" w:history="1">
        <w:r w:rsidRPr="0043655B">
          <w:rPr>
            <w:rStyle w:val="TextoNormalCaracter"/>
          </w:rPr>
          <w:t>110/2012</w:t>
        </w:r>
      </w:hyperlink>
      <w:r>
        <w:t>, ff. 6, 7.</w:t>
      </w:r>
    </w:p>
    <w:p w:rsidR="0043655B" w:rsidRDefault="0043655B" w:rsidP="0043655B">
      <w:pPr>
        <w:pStyle w:val="SangriaFrancesaArticulo"/>
      </w:pPr>
      <w:r w:rsidRPr="0043655B">
        <w:rPr>
          <w:rStyle w:val="TextoNormalNegritaCaracter"/>
        </w:rPr>
        <w:t>Artículo 19.2 inciso 1</w:t>
      </w:r>
      <w:r>
        <w:t xml:space="preserve"> </w:t>
      </w:r>
      <w:r w:rsidRPr="0043655B">
        <w:rPr>
          <w:rStyle w:val="TextoNormalCaracter"/>
        </w:rPr>
        <w:t>(redactado por la Ley del Parlamento de Cataluña 9/1999, de 30 de julio)</w:t>
      </w:r>
      <w:r w:rsidRPr="0043655B">
        <w:rPr>
          <w:rStyle w:val="TextoNormalNegritaCaracter"/>
        </w:rPr>
        <w:t>.</w:t>
      </w:r>
      <w:r w:rsidRPr="0043655B">
        <w:rPr>
          <w:rStyle w:val="TextoNormalCaracter"/>
        </w:rPr>
        <w:t>-</w:t>
      </w:r>
      <w:r>
        <w:t xml:space="preserve"> Sentencia </w:t>
      </w:r>
      <w:hyperlink w:anchor="SENTENCIA_2012_110" w:history="1">
        <w:r w:rsidRPr="0043655B">
          <w:rPr>
            <w:rStyle w:val="TextoNormalCaracter"/>
          </w:rPr>
          <w:t>110/2012</w:t>
        </w:r>
      </w:hyperlink>
      <w:r>
        <w:t>, f. 1.</w:t>
      </w:r>
    </w:p>
    <w:p w:rsidR="0043655B" w:rsidRDefault="0043655B" w:rsidP="0043655B">
      <w:pPr>
        <w:pStyle w:val="SangriaFrancesaArticulo"/>
      </w:pPr>
    </w:p>
    <w:p w:rsidR="0043655B" w:rsidRDefault="0043655B" w:rsidP="0043655B">
      <w:pPr>
        <w:pStyle w:val="TextoNormalNegritaCursivandice"/>
      </w:pPr>
      <w:r>
        <w:t>Ley del Parlamento de Cataluña 9/1993, de 30 de septiembre. Patrimonio cultural catalán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6" w:history="1">
        <w:r w:rsidRPr="0043655B">
          <w:rPr>
            <w:rStyle w:val="TextoNormalCaracter"/>
          </w:rPr>
          <w:t>6/2012</w:t>
        </w:r>
      </w:hyperlink>
      <w:r>
        <w:t>, f. 5.</w:t>
      </w:r>
    </w:p>
    <w:p w:rsidR="0043655B" w:rsidRDefault="0043655B" w:rsidP="0043655B">
      <w:pPr>
        <w:pStyle w:val="SangriaFrancesaArticulo"/>
      </w:pPr>
    </w:p>
    <w:p w:rsidR="0043655B" w:rsidRDefault="0043655B" w:rsidP="0043655B">
      <w:pPr>
        <w:pStyle w:val="TextoNormalNegritaCursivandice"/>
      </w:pPr>
      <w:r>
        <w:t>Ley del Parlamento de Cataluña 7/1995, de 28 de junio. Creación del Colegio de censores jurados de cuentas de Cataluña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ff. 1 a 3, 5 a 8.</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33" w:history="1">
        <w:r w:rsidRPr="0043655B">
          <w:rPr>
            <w:rStyle w:val="TextoNormalCaracter"/>
          </w:rPr>
          <w:t>33/2012</w:t>
        </w:r>
      </w:hyperlink>
      <w:r>
        <w:t>, ff. 1, 6.</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33" w:history="1">
        <w:r w:rsidRPr="0043655B">
          <w:rPr>
            <w:rStyle w:val="TextoNormalCaracter"/>
          </w:rPr>
          <w:t>33/2012</w:t>
        </w:r>
      </w:hyperlink>
      <w:r>
        <w:t>, ff. 1, 6, 7.</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33" w:history="1">
        <w:r w:rsidRPr="0043655B">
          <w:rPr>
            <w:rStyle w:val="TextoNormalCaracter"/>
          </w:rPr>
          <w:t>33/2012</w:t>
        </w:r>
      </w:hyperlink>
      <w:r>
        <w:t>, ff. 1, 6.</w:t>
      </w:r>
    </w:p>
    <w:p w:rsidR="0043655B" w:rsidRDefault="0043655B" w:rsidP="0043655B">
      <w:pPr>
        <w:pStyle w:val="SangriaFrancesaArticulo"/>
      </w:pPr>
      <w:r w:rsidRPr="0043655B">
        <w:rPr>
          <w:rStyle w:val="TextoNormalNegritaCaracter"/>
        </w:rPr>
        <w:t>Artículo 3.1.</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48.</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49.</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57.</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75.</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Disposición adicional.</w:t>
      </w:r>
      <w:r w:rsidRPr="0043655B">
        <w:rPr>
          <w:rStyle w:val="TextoNormalCaracter"/>
        </w:rPr>
        <w:t>-</w:t>
      </w:r>
      <w:r>
        <w:t xml:space="preserve"> Sentencia </w:t>
      </w:r>
      <w:hyperlink w:anchor="SENTENCIA_2012_33" w:history="1">
        <w:r w:rsidRPr="0043655B">
          <w:rPr>
            <w:rStyle w:val="TextoNormalCaracter"/>
          </w:rPr>
          <w:t>33/2012</w:t>
        </w:r>
      </w:hyperlink>
      <w:r>
        <w:t>, ff. 1, 6.</w:t>
      </w:r>
    </w:p>
    <w:p w:rsidR="0043655B" w:rsidRDefault="0043655B" w:rsidP="0043655B">
      <w:pPr>
        <w:pStyle w:val="SangriaFrancesaArticulo"/>
      </w:pPr>
      <w:r w:rsidRPr="0043655B">
        <w:rPr>
          <w:rStyle w:val="TextoNormalNegritaCaracter"/>
        </w:rPr>
        <w:t>Disposiciones transitorias.</w:t>
      </w:r>
      <w:r w:rsidRPr="0043655B">
        <w:rPr>
          <w:rStyle w:val="TextoNormalCaracter"/>
        </w:rPr>
        <w:t>-</w:t>
      </w:r>
      <w:r>
        <w:t xml:space="preserve"> Sentencia </w:t>
      </w:r>
      <w:hyperlink w:anchor="SENTENCIA_2012_33" w:history="1">
        <w:r w:rsidRPr="0043655B">
          <w:rPr>
            <w:rStyle w:val="TextoNormalCaracter"/>
          </w:rPr>
          <w:t>33/2012</w:t>
        </w:r>
      </w:hyperlink>
      <w:r>
        <w:t>, ff. 1, 6.</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Sentencia </w:t>
      </w:r>
      <w:hyperlink w:anchor="SENTENCIA_2012_33" w:history="1">
        <w:r w:rsidRPr="0043655B">
          <w:rPr>
            <w:rStyle w:val="TextoNormalCaracter"/>
          </w:rPr>
          <w:t>33/2012</w:t>
        </w:r>
      </w:hyperlink>
      <w:r>
        <w:t>, f. 1.</w:t>
      </w:r>
    </w:p>
    <w:p w:rsidR="0043655B" w:rsidRDefault="0043655B" w:rsidP="0043655B">
      <w:pPr>
        <w:pStyle w:val="SangriaFrancesaArticulo"/>
      </w:pPr>
    </w:p>
    <w:p w:rsidR="0043655B" w:rsidRDefault="0043655B" w:rsidP="0043655B">
      <w:pPr>
        <w:pStyle w:val="TextoNormalNegritaCursivandice"/>
      </w:pPr>
      <w:r>
        <w:t>Ley del Parlamento de Cataluña 9/1998, de 15 de julio. Código de familia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1" w:history="1">
        <w:r w:rsidRPr="0043655B">
          <w:rPr>
            <w:rStyle w:val="TextoNormalCaracter"/>
          </w:rPr>
          <w:t>21/2012</w:t>
        </w:r>
      </w:hyperlink>
      <w:r>
        <w:t>, f. 2.</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21" w:history="1">
        <w:r w:rsidRPr="0043655B">
          <w:rPr>
            <w:rStyle w:val="TextoNormalCaracter"/>
          </w:rPr>
          <w:t>21/2012</w:t>
        </w:r>
      </w:hyperlink>
      <w:r>
        <w:t>, f. 7.</w:t>
      </w:r>
    </w:p>
    <w:p w:rsidR="0043655B" w:rsidRDefault="0043655B" w:rsidP="0043655B">
      <w:pPr>
        <w:pStyle w:val="SangriaFrancesaArticulo"/>
      </w:pPr>
      <w:r w:rsidRPr="0043655B">
        <w:rPr>
          <w:rStyle w:val="TextoNormalNegritaCaracter"/>
        </w:rPr>
        <w:t>Artículo 10.1.</w:t>
      </w:r>
      <w:r w:rsidRPr="0043655B">
        <w:rPr>
          <w:rStyle w:val="TextoNormalCaracter"/>
        </w:rPr>
        <w:t>-</w:t>
      </w:r>
      <w:r>
        <w:t xml:space="preserve"> Sentencia </w:t>
      </w:r>
      <w:hyperlink w:anchor="SENTENCIA_2012_21" w:history="1">
        <w:r w:rsidRPr="0043655B">
          <w:rPr>
            <w:rStyle w:val="TextoNormalCaracter"/>
          </w:rPr>
          <w:t>21/2012</w:t>
        </w:r>
      </w:hyperlink>
      <w:r>
        <w:t>, f. 4.</w:t>
      </w:r>
    </w:p>
    <w:p w:rsidR="0043655B" w:rsidRDefault="0043655B" w:rsidP="0043655B">
      <w:pPr>
        <w:pStyle w:val="SangriaFrancesaArticulo"/>
      </w:pPr>
      <w:r w:rsidRPr="0043655B">
        <w:rPr>
          <w:rStyle w:val="TextoNormalNegritaCaracter"/>
        </w:rPr>
        <w:t>Artículo 10.2.</w:t>
      </w:r>
      <w:r w:rsidRPr="0043655B">
        <w:rPr>
          <w:rStyle w:val="TextoNormalCaracter"/>
        </w:rPr>
        <w:t>-</w:t>
      </w:r>
      <w:r>
        <w:t xml:space="preserve"> Sentencia </w:t>
      </w:r>
      <w:hyperlink w:anchor="SENTENCIA_2012_21" w:history="1">
        <w:r w:rsidRPr="0043655B">
          <w:rPr>
            <w:rStyle w:val="TextoNormalCaracter"/>
          </w:rPr>
          <w:t>21/2012</w:t>
        </w:r>
      </w:hyperlink>
      <w:r>
        <w:t>, f. 4.</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21" w:history="1">
        <w:r w:rsidRPr="0043655B">
          <w:rPr>
            <w:rStyle w:val="TextoNormalCaracter"/>
          </w:rPr>
          <w:t>21/2012</w:t>
        </w:r>
      </w:hyperlink>
      <w:r>
        <w:t>, f. 4.</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21" w:history="1">
        <w:r w:rsidRPr="0043655B">
          <w:rPr>
            <w:rStyle w:val="TextoNormalCaracter"/>
          </w:rPr>
          <w:t>21/2012</w:t>
        </w:r>
      </w:hyperlink>
      <w:r>
        <w:t>, ff. 1, 5, VP.</w:t>
      </w:r>
    </w:p>
    <w:p w:rsidR="0043655B" w:rsidRDefault="0043655B" w:rsidP="0043655B">
      <w:pPr>
        <w:pStyle w:val="SangriaFrancesaArticulo"/>
      </w:pPr>
      <w:r w:rsidRPr="0043655B">
        <w:rPr>
          <w:rStyle w:val="TextoNormalNegritaCaracter"/>
        </w:rPr>
        <w:t>Artículo 42.2.</w:t>
      </w:r>
      <w:r w:rsidRPr="0043655B">
        <w:rPr>
          <w:rStyle w:val="TextoNormalCaracter"/>
        </w:rPr>
        <w:t>-</w:t>
      </w:r>
      <w:r>
        <w:t xml:space="preserve"> Sentencia </w:t>
      </w:r>
      <w:hyperlink w:anchor="SENTENCIA_2012_21" w:history="1">
        <w:r w:rsidRPr="0043655B">
          <w:rPr>
            <w:rStyle w:val="TextoNormalCaracter"/>
          </w:rPr>
          <w:t>21/2012</w:t>
        </w:r>
      </w:hyperlink>
      <w:r>
        <w:t>, f. 4.</w:t>
      </w:r>
    </w:p>
    <w:p w:rsidR="0043655B" w:rsidRDefault="0043655B" w:rsidP="0043655B">
      <w:pPr>
        <w:pStyle w:val="SangriaFrancesaArticulo"/>
      </w:pPr>
      <w:r w:rsidRPr="0043655B">
        <w:rPr>
          <w:rStyle w:val="TextoNormalNegritaCaracter"/>
        </w:rPr>
        <w:t>Artículo 43.1.</w:t>
      </w:r>
      <w:r w:rsidRPr="0043655B">
        <w:rPr>
          <w:rStyle w:val="TextoNormalCaracter"/>
        </w:rPr>
        <w:t>-</w:t>
      </w:r>
      <w:r>
        <w:t xml:space="preserve"> Sentencia </w:t>
      </w:r>
      <w:hyperlink w:anchor="SENTENCIA_2012_21" w:history="1">
        <w:r w:rsidRPr="0043655B">
          <w:rPr>
            <w:rStyle w:val="TextoNormalCaracter"/>
          </w:rPr>
          <w:t>21/2012</w:t>
        </w:r>
      </w:hyperlink>
      <w:r>
        <w:t>, ff. 1 a 3, 5, 7, 8, VP.</w:t>
      </w:r>
    </w:p>
    <w:p w:rsidR="0043655B" w:rsidRDefault="0043655B" w:rsidP="0043655B">
      <w:pPr>
        <w:pStyle w:val="SangriaFrancesaArticulo"/>
      </w:pPr>
    </w:p>
    <w:p w:rsidR="0043655B" w:rsidRDefault="0043655B" w:rsidP="0043655B">
      <w:pPr>
        <w:pStyle w:val="TextoNormalNegritaCursivandice"/>
      </w:pPr>
      <w:r>
        <w:t>Ley del Parlamento de Cataluña 25/1998, de 31 diciembre. Medidas administrativas, fiscales y de adaptación al euro.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del Parlamento de Cataluña 9/1999, de 30 de julio. Apoyo a las selecciones catalanas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0" w:history="1">
        <w:r w:rsidRPr="0043655B">
          <w:rPr>
            <w:rStyle w:val="TextoNormalCaracter"/>
          </w:rPr>
          <w:t>110/2012</w:t>
        </w:r>
      </w:hyperlink>
      <w:r>
        <w:t>, f. 2.</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10" w:history="1">
        <w:r w:rsidRPr="0043655B">
          <w:rPr>
            <w:rStyle w:val="TextoNormalCaracter"/>
          </w:rPr>
          <w:t>110/2012</w:t>
        </w:r>
      </w:hyperlink>
      <w:r>
        <w:t>, ff. 4, 6.</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10" w:history="1">
        <w:r w:rsidRPr="0043655B">
          <w:rPr>
            <w:rStyle w:val="TextoNormalCaracter"/>
          </w:rPr>
          <w:t>110/2012</w:t>
        </w:r>
      </w:hyperlink>
      <w:r>
        <w:t>, f. 1.</w:t>
      </w:r>
    </w:p>
    <w:p w:rsidR="0043655B" w:rsidRDefault="0043655B" w:rsidP="0043655B">
      <w:pPr>
        <w:pStyle w:val="SangriaFrancesaArticulo"/>
      </w:pPr>
    </w:p>
    <w:p w:rsidR="0043655B" w:rsidRDefault="0043655B" w:rsidP="0043655B">
      <w:pPr>
        <w:pStyle w:val="TextoNormalNegritaCursivandice"/>
      </w:pPr>
      <w:r>
        <w:t>Ley del Parlamento de Cataluña 4/2000, de 26 de mayo. Medidas fiscales y administrativas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lastRenderedPageBreak/>
        <w:t>Decreto Legislativo de la Generalidad de Cataluña 1/2000, de 31 de julio. Aprueba el texto único de la Ley del deporte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0" w:history="1">
        <w:r w:rsidRPr="0043655B">
          <w:rPr>
            <w:rStyle w:val="TextoNormalCaracter"/>
          </w:rPr>
          <w:t>110/2012</w:t>
        </w:r>
      </w:hyperlink>
      <w:r>
        <w:t>, f. 2.</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110" w:history="1">
        <w:r w:rsidRPr="0043655B">
          <w:rPr>
            <w:rStyle w:val="TextoNormalCaracter"/>
          </w:rPr>
          <w:t>110/2012</w:t>
        </w:r>
      </w:hyperlink>
      <w:r>
        <w:t>, f. 4.</w:t>
      </w:r>
    </w:p>
    <w:p w:rsidR="0043655B" w:rsidRDefault="0043655B" w:rsidP="0043655B">
      <w:pPr>
        <w:pStyle w:val="SangriaFrancesaArticulo"/>
      </w:pPr>
      <w:r w:rsidRPr="0043655B">
        <w:rPr>
          <w:rStyle w:val="TextoNormalNegritaCaracter"/>
        </w:rPr>
        <w:t>Artículo 19.2.</w:t>
      </w:r>
      <w:r w:rsidRPr="0043655B">
        <w:rPr>
          <w:rStyle w:val="TextoNormalCaracter"/>
        </w:rPr>
        <w:t>-</w:t>
      </w:r>
      <w:r>
        <w:t xml:space="preserve"> Sentencia </w:t>
      </w:r>
      <w:hyperlink w:anchor="SENTENCIA_2012_110" w:history="1">
        <w:r w:rsidRPr="0043655B">
          <w:rPr>
            <w:rStyle w:val="TextoNormalCaracter"/>
          </w:rPr>
          <w:t>110/2012</w:t>
        </w:r>
      </w:hyperlink>
      <w:r>
        <w:t>, f. 2.</w:t>
      </w:r>
    </w:p>
    <w:p w:rsidR="0043655B" w:rsidRDefault="0043655B" w:rsidP="0043655B">
      <w:pPr>
        <w:pStyle w:val="SangriaFrancesaArticulo"/>
      </w:pPr>
      <w:r w:rsidRPr="0043655B">
        <w:rPr>
          <w:rStyle w:val="TextoNormalNegritaCaracter"/>
        </w:rPr>
        <w:t>Artículo 19.2 inciso 1.</w:t>
      </w:r>
      <w:r w:rsidRPr="0043655B">
        <w:rPr>
          <w:rStyle w:val="TextoNormalCaracter"/>
        </w:rPr>
        <w:t>-</w:t>
      </w:r>
      <w:r>
        <w:t xml:space="preserve"> Sentencia </w:t>
      </w:r>
      <w:hyperlink w:anchor="SENTENCIA_2012_110" w:history="1">
        <w:r w:rsidRPr="0043655B">
          <w:rPr>
            <w:rStyle w:val="TextoNormalCaracter"/>
          </w:rPr>
          <w:t>110/2012</w:t>
        </w:r>
      </w:hyperlink>
      <w:r>
        <w:t>, f. 2.</w:t>
      </w:r>
    </w:p>
    <w:p w:rsidR="0043655B" w:rsidRDefault="0043655B" w:rsidP="0043655B">
      <w:pPr>
        <w:pStyle w:val="SangriaFrancesaArticulo"/>
      </w:pPr>
    </w:p>
    <w:p w:rsidR="0043655B" w:rsidRDefault="0043655B" w:rsidP="0043655B">
      <w:pPr>
        <w:pStyle w:val="TextoNormalNegritaCursivandice"/>
      </w:pPr>
      <w:r>
        <w:t>Ley del Parlamento de Cataluña 16/2000, de 29 de diciembre.  Impuesto sobre grandes establecimientos comerciales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22" w:history="1">
        <w:r w:rsidRPr="0043655B">
          <w:rPr>
            <w:rStyle w:val="TextoNormalCaracter"/>
          </w:rPr>
          <w:t>122/2012</w:t>
        </w:r>
      </w:hyperlink>
      <w:r>
        <w:t>, f. 1.</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22" w:history="1">
        <w:r w:rsidRPr="0043655B">
          <w:rPr>
            <w:rStyle w:val="TextoNormalCaracter"/>
          </w:rPr>
          <w:t>122/2012</w:t>
        </w:r>
      </w:hyperlink>
      <w:r>
        <w:t>, f. 7.</w:t>
      </w:r>
    </w:p>
    <w:p w:rsidR="0043655B" w:rsidRDefault="0043655B" w:rsidP="0043655B">
      <w:pPr>
        <w:pStyle w:val="SangriaFrancesaArticulo"/>
      </w:pPr>
      <w:r w:rsidRPr="0043655B">
        <w:rPr>
          <w:rStyle w:val="TextoNormalNegritaCaracter"/>
        </w:rPr>
        <w:t>Artículo 4.</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4.1.</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4.2.</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4.3.</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122" w:history="1">
        <w:r w:rsidRPr="0043655B">
          <w:rPr>
            <w:rStyle w:val="TextoNormalCaracter"/>
          </w:rPr>
          <w:t>122/2012</w:t>
        </w:r>
      </w:hyperlink>
      <w:r>
        <w:t>, f. 5.</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 </w:t>
      </w:r>
      <w:hyperlink w:anchor="SENTENCIA_2012_122" w:history="1">
        <w:r w:rsidRPr="0043655B">
          <w:rPr>
            <w:rStyle w:val="TextoNormalCaracter"/>
          </w:rPr>
          <w:t>122/2012</w:t>
        </w:r>
      </w:hyperlink>
      <w:r>
        <w:t>, f. 7.</w:t>
      </w:r>
    </w:p>
    <w:p w:rsidR="0043655B" w:rsidRDefault="0043655B" w:rsidP="0043655B">
      <w:pPr>
        <w:pStyle w:val="SangriaFrancesaArticulo"/>
      </w:pPr>
      <w:r w:rsidRPr="0043655B">
        <w:rPr>
          <w:rStyle w:val="TextoNormalNegritaCaracter"/>
        </w:rPr>
        <w:t>Artículo 8.</w:t>
      </w:r>
      <w:r w:rsidRPr="0043655B">
        <w:rPr>
          <w:rStyle w:val="TextoNormalCaracter"/>
        </w:rPr>
        <w:t>-</w:t>
      </w:r>
      <w:r>
        <w:t xml:space="preserve"> Sentencia </w:t>
      </w:r>
      <w:hyperlink w:anchor="SENTENCIA_2012_122" w:history="1">
        <w:r w:rsidRPr="0043655B">
          <w:rPr>
            <w:rStyle w:val="TextoNormalCaracter"/>
          </w:rPr>
          <w:t>122/2012</w:t>
        </w:r>
      </w:hyperlink>
      <w:r>
        <w:t>, f. 7.</w:t>
      </w:r>
    </w:p>
    <w:p w:rsidR="0043655B" w:rsidRDefault="0043655B" w:rsidP="0043655B">
      <w:pPr>
        <w:pStyle w:val="SangriaFrancesaArticulo"/>
      </w:pPr>
    </w:p>
    <w:p w:rsidR="0043655B" w:rsidRDefault="0043655B" w:rsidP="0043655B">
      <w:pPr>
        <w:pStyle w:val="TextoNormalNegritaCursivandice"/>
      </w:pPr>
      <w:r>
        <w:t>Ley del Parlamento de Cataluña 31/2002, de 30 de diciembre. Medidas fiscales y administrativas</w:t>
      </w:r>
    </w:p>
    <w:p w:rsidR="0043655B" w:rsidRDefault="0043655B" w:rsidP="0043655B">
      <w:pPr>
        <w:pStyle w:val="SangriaFrancesaArticulo"/>
      </w:pPr>
      <w:r w:rsidRPr="0043655B">
        <w:rPr>
          <w:rStyle w:val="TextoNormalNegritaCaracter"/>
        </w:rPr>
        <w:t>Artículo 79.</w:t>
      </w:r>
      <w:r w:rsidRPr="0043655B">
        <w:rPr>
          <w:rStyle w:val="TextoNormalCaracter"/>
        </w:rPr>
        <w:t>-</w:t>
      </w:r>
      <w:r>
        <w:t xml:space="preserve"> Auto </w:t>
      </w:r>
      <w:hyperlink w:anchor="AUTO_2012_3" w:history="1">
        <w:r w:rsidRPr="0043655B">
          <w:rPr>
            <w:rStyle w:val="TextoNormalCaracter"/>
          </w:rPr>
          <w:t>3/2012</w:t>
        </w:r>
      </w:hyperlink>
      <w:r>
        <w:t>, f. 1.</w:t>
      </w:r>
    </w:p>
    <w:p w:rsidR="0043655B" w:rsidRDefault="0043655B" w:rsidP="0043655B">
      <w:pPr>
        <w:pStyle w:val="SangriaFrancesaArticulo"/>
      </w:pPr>
    </w:p>
    <w:p w:rsidR="0043655B" w:rsidRDefault="0043655B" w:rsidP="0043655B">
      <w:pPr>
        <w:pStyle w:val="TextoNormalNegritaCursivandice"/>
      </w:pPr>
      <w:r>
        <w:t>Ley del Parlamento de Cataluña 4/2006, de 31 de marzo. Ferroviaria</w:t>
      </w:r>
    </w:p>
    <w:p w:rsidR="0043655B" w:rsidRDefault="0043655B" w:rsidP="0043655B">
      <w:pPr>
        <w:pStyle w:val="SangriaFrancesaArticulo"/>
      </w:pPr>
      <w:r w:rsidRPr="0043655B">
        <w:rPr>
          <w:rStyle w:val="TextoNormalNegritaCaracter"/>
        </w:rPr>
        <w:t>Artículo 37.</w:t>
      </w:r>
      <w:r w:rsidRPr="0043655B">
        <w:rPr>
          <w:rStyle w:val="TextoNormalCaracter"/>
        </w:rPr>
        <w:t>-</w:t>
      </w:r>
      <w:r>
        <w:t xml:space="preserve"> Auto </w:t>
      </w:r>
      <w:hyperlink w:anchor="AUTO_2012_3" w:history="1">
        <w:r w:rsidRPr="0043655B">
          <w:rPr>
            <w:rStyle w:val="TextoNormalCaracter"/>
          </w:rPr>
          <w:t>3/2012</w:t>
        </w:r>
      </w:hyperlink>
      <w:r>
        <w:t>.</w:t>
      </w:r>
    </w:p>
    <w:p w:rsidR="0043655B" w:rsidRDefault="0043655B" w:rsidP="0043655B">
      <w:pPr>
        <w:pStyle w:val="SangriaFrancesaArticulo"/>
      </w:pPr>
    </w:p>
    <w:p w:rsidR="0043655B" w:rsidRDefault="0043655B" w:rsidP="0043655B">
      <w:pPr>
        <w:pStyle w:val="TextoNormalNegritaCursivandice"/>
      </w:pPr>
      <w:r>
        <w:t>Ley del Parlamento de Cataluña 7/2006, de 31 de mayo. Ejercicio de profesiones tituladas y de los colegios profesionales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 3.</w:t>
      </w:r>
    </w:p>
    <w:p w:rsidR="0043655B" w:rsidRDefault="0043655B" w:rsidP="0043655B">
      <w:pPr>
        <w:pStyle w:val="SangriaFrancesaArticulo"/>
      </w:pPr>
    </w:p>
    <w:p w:rsidR="0043655B" w:rsidRDefault="0043655B" w:rsidP="0043655B">
      <w:pPr>
        <w:pStyle w:val="TextoNormalNegritaCursivandice"/>
      </w:pPr>
      <w:r>
        <w:t>Ley del Parlamento de Cataluña 3/2008, de 23 de abril. Ejercicio de las profesiones del deporte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0" w:history="1">
        <w:r w:rsidRPr="0043655B">
          <w:rPr>
            <w:rStyle w:val="TextoNormalCaracter"/>
          </w:rPr>
          <w:t>110/2012</w:t>
        </w:r>
      </w:hyperlink>
      <w:r>
        <w:t>, f. 2.</w:t>
      </w:r>
    </w:p>
    <w:p w:rsidR="0043655B" w:rsidRDefault="0043655B" w:rsidP="0043655B">
      <w:pPr>
        <w:pStyle w:val="SangriaFrancesaArticulo"/>
      </w:pPr>
    </w:p>
    <w:p w:rsidR="0043655B" w:rsidRDefault="0043655B" w:rsidP="0043655B">
      <w:pPr>
        <w:pStyle w:val="TextoNormalNegritaCursivandice"/>
      </w:pPr>
      <w:r>
        <w:t>Ley del Parlamento de Cataluña 25/2010, de 29 de julio. Código civil de Cataluña, libro segundo relativo a la persona y la familia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1" w:history="1">
        <w:r w:rsidRPr="0043655B">
          <w:rPr>
            <w:rStyle w:val="TextoNormalCaracter"/>
          </w:rPr>
          <w:t>21/2012</w:t>
        </w:r>
      </w:hyperlink>
      <w:r>
        <w:t>, f. 2.</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Sentencia </w:t>
      </w:r>
      <w:hyperlink w:anchor="SENTENCIA_2012_21" w:history="1">
        <w:r w:rsidRPr="0043655B">
          <w:rPr>
            <w:rStyle w:val="TextoNormalCaracter"/>
          </w:rPr>
          <w:t>21/2012</w:t>
        </w:r>
      </w:hyperlink>
      <w:r>
        <w:t>, f. 2.</w:t>
      </w:r>
    </w:p>
    <w:p w:rsidR="0043655B" w:rsidRDefault="0043655B" w:rsidP="0043655B">
      <w:pPr>
        <w:pStyle w:val="SangriaFrancesaArticulo"/>
      </w:pPr>
    </w:p>
    <w:p w:rsidR="0043655B" w:rsidRDefault="0043655B" w:rsidP="0043655B">
      <w:pPr>
        <w:pStyle w:val="TextoNormalNegritaCursivandice"/>
      </w:pPr>
      <w:r>
        <w:t>Ley del Parlamento de Cataluña 31/2010, de 3 de agosto. Área metropolitana de Barcelona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3" w:history="1">
        <w:r w:rsidRPr="0043655B">
          <w:rPr>
            <w:rStyle w:val="TextoNormalCaracter"/>
          </w:rPr>
          <w:t>3/2012</w:t>
        </w:r>
      </w:hyperlink>
      <w:r>
        <w:t>.</w:t>
      </w:r>
    </w:p>
    <w:p w:rsidR="0043655B" w:rsidRDefault="0043655B" w:rsidP="0043655B">
      <w:pPr>
        <w:pStyle w:val="SangriaFrancesaArticulo"/>
      </w:pPr>
    </w:p>
    <w:p w:rsidR="0043655B" w:rsidRDefault="0043655B" w:rsidP="0043655B">
      <w:pPr>
        <w:pStyle w:val="TextoNormalNegritaCursivandice"/>
      </w:pPr>
      <w:r>
        <w:t>Decreto Legislativo de la Generalidad de Cataluña 1/2010, de 3 de agosto. Texto refundido de la Ley de urbanismo de Cataluña 2010</w:t>
      </w:r>
    </w:p>
    <w:p w:rsidR="0043655B" w:rsidRDefault="0043655B" w:rsidP="0043655B">
      <w:pPr>
        <w:pStyle w:val="SangriaFrancesaArticulo"/>
      </w:pPr>
      <w:r w:rsidRPr="0043655B">
        <w:rPr>
          <w:rStyle w:val="TextoNormalNegritaCaracter"/>
        </w:rPr>
        <w:lastRenderedPageBreak/>
        <w:t>Artículo 207.</w:t>
      </w:r>
      <w:r w:rsidRPr="0043655B">
        <w:rPr>
          <w:rStyle w:val="TextoNormalCaracter"/>
        </w:rPr>
        <w:t>-</w:t>
      </w:r>
      <w:r>
        <w:t xml:space="preserve"> Autos </w:t>
      </w:r>
      <w:hyperlink w:anchor="AUTO_2012_122" w:history="1">
        <w:r w:rsidRPr="0043655B">
          <w:rPr>
            <w:rStyle w:val="TextoNormalCaracter"/>
          </w:rPr>
          <w:t>122/2012</w:t>
        </w:r>
      </w:hyperlink>
      <w:r>
        <w:t xml:space="preserve">; </w:t>
      </w:r>
      <w:hyperlink w:anchor="AUTO_2012_122" w:history="1">
        <w:r w:rsidRPr="0043655B">
          <w:rPr>
            <w:rStyle w:val="TextoNormalCaracter"/>
          </w:rPr>
          <w:t>122/2012</w:t>
        </w:r>
      </w:hyperlink>
      <w:r>
        <w:t>.</w:t>
      </w:r>
    </w:p>
    <w:p w:rsidR="0043655B" w:rsidRDefault="0043655B" w:rsidP="0043655B">
      <w:pPr>
        <w:pStyle w:val="SangriaFrancesaArticulo"/>
      </w:pPr>
      <w:r w:rsidRPr="0043655B">
        <w:rPr>
          <w:rStyle w:val="TextoNormalNegritaCaracter"/>
        </w:rPr>
        <w:t>Artículo 208.1.</w:t>
      </w:r>
      <w:r w:rsidRPr="0043655B">
        <w:rPr>
          <w:rStyle w:val="TextoNormalCaracter"/>
        </w:rPr>
        <w:t>-</w:t>
      </w:r>
      <w:r>
        <w:t xml:space="preserve"> Autos </w:t>
      </w:r>
      <w:hyperlink w:anchor="AUTO_2012_122" w:history="1">
        <w:r w:rsidRPr="0043655B">
          <w:rPr>
            <w:rStyle w:val="TextoNormalCaracter"/>
          </w:rPr>
          <w:t>122/2012</w:t>
        </w:r>
      </w:hyperlink>
      <w:r>
        <w:t xml:space="preserve">; </w:t>
      </w:r>
      <w:hyperlink w:anchor="AUTO_2012_122" w:history="1">
        <w:r w:rsidRPr="0043655B">
          <w:rPr>
            <w:rStyle w:val="TextoNormalCaracter"/>
          </w:rPr>
          <w:t>122/2012</w:t>
        </w:r>
      </w:hyperlink>
      <w:r>
        <w:t>.</w:t>
      </w:r>
    </w:p>
    <w:p w:rsidR="0043655B" w:rsidRDefault="0043655B" w:rsidP="0043655B">
      <w:pPr>
        <w:pStyle w:val="SangriaFrancesaArticulo"/>
      </w:pPr>
      <w:r w:rsidRPr="0043655B">
        <w:rPr>
          <w:rStyle w:val="TextoNormalNegritaCaracter"/>
        </w:rPr>
        <w:t>Artículo 210.</w:t>
      </w:r>
      <w:r w:rsidRPr="0043655B">
        <w:rPr>
          <w:rStyle w:val="TextoNormalCaracter"/>
        </w:rPr>
        <w:t>-</w:t>
      </w:r>
      <w:r>
        <w:t xml:space="preserve"> Autos </w:t>
      </w:r>
      <w:hyperlink w:anchor="AUTO_2012_122" w:history="1">
        <w:r w:rsidRPr="0043655B">
          <w:rPr>
            <w:rStyle w:val="TextoNormalCaracter"/>
          </w:rPr>
          <w:t>122/2012</w:t>
        </w:r>
      </w:hyperlink>
      <w:r>
        <w:t xml:space="preserve">; </w:t>
      </w:r>
      <w:hyperlink w:anchor="AUTO_2012_122" w:history="1">
        <w:r w:rsidRPr="0043655B">
          <w:rPr>
            <w:rStyle w:val="TextoNormalCaracter"/>
          </w:rPr>
          <w:t>122/2012</w:t>
        </w:r>
      </w:hyperlink>
      <w:r>
        <w:t>.</w:t>
      </w:r>
    </w:p>
    <w:p w:rsidR="0043655B" w:rsidRDefault="0043655B" w:rsidP="0043655B">
      <w:pPr>
        <w:pStyle w:val="SangriaFrancesaArticulo"/>
      </w:pPr>
    </w:p>
    <w:p w:rsidR="0043655B" w:rsidRDefault="0043655B" w:rsidP="0043655B">
      <w:pPr>
        <w:pStyle w:val="TextoNormalNegritaCursivandice"/>
      </w:pPr>
      <w:r>
        <w:t>Ley del Parlamento de Cataluña 10/2011, de 29 de diciembre. Simplificación y mejora de la regulación normativa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0" w:history="1">
        <w:r w:rsidRPr="0043655B">
          <w:rPr>
            <w:rStyle w:val="TextoNormalCaracter"/>
          </w:rPr>
          <w:t>110/2012</w:t>
        </w:r>
      </w:hyperlink>
      <w:r>
        <w:t>, f. 2.</w:t>
      </w:r>
    </w:p>
    <w:p w:rsidR="0043655B" w:rsidRDefault="0043655B" w:rsidP="0043655B">
      <w:pPr>
        <w:pStyle w:val="TextoNormal"/>
      </w:pPr>
    </w:p>
    <w:p w:rsidR="0043655B" w:rsidRDefault="0043655B" w:rsidP="0043655B">
      <w:pPr>
        <w:pStyle w:val="TextoNormalNegritaCentradoSubrayado"/>
        <w:suppressAutoHyphens/>
      </w:pPr>
      <w:r>
        <w:t>J.9.c)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Decreto de la Generalidad de Cataluña 270/1985, de 19 de septiembre. Regulación de las actividades relativas a la televisión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5" w:history="1">
        <w:r w:rsidRPr="0043655B">
          <w:rPr>
            <w:rStyle w:val="TextoNormalCaracter"/>
          </w:rPr>
          <w:t>5/2012</w:t>
        </w:r>
      </w:hyperlink>
      <w:r>
        <w:t>, f. 5.</w:t>
      </w:r>
    </w:p>
    <w:p w:rsidR="0043655B" w:rsidRDefault="0043655B" w:rsidP="0043655B">
      <w:pPr>
        <w:pStyle w:val="SangriaFrancesaArticulo"/>
      </w:pPr>
    </w:p>
    <w:p w:rsidR="0043655B" w:rsidRDefault="0043655B" w:rsidP="0043655B">
      <w:pPr>
        <w:pStyle w:val="TextoNormalNegritaCursivandice"/>
      </w:pPr>
      <w:r>
        <w:t>Estatutos del Colegio de censores jurados de cuentas de Cataluña aprobados en asamblea general extraordinaria de 1 de septiembre de 1999</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ff. 1 a 3.</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49.</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75.</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r w:rsidRPr="0043655B">
        <w:rPr>
          <w:rStyle w:val="TextoNormalNegritaCaracter"/>
        </w:rPr>
        <w:t>Artículo 80.</w:t>
      </w:r>
      <w:r w:rsidRPr="0043655B">
        <w:rPr>
          <w:rStyle w:val="TextoNormalCaracter"/>
        </w:rPr>
        <w:t>-</w:t>
      </w:r>
      <w:r>
        <w:t xml:space="preserve"> Sentencia </w:t>
      </w:r>
      <w:hyperlink w:anchor="SENTENCIA_2012_33" w:history="1">
        <w:r w:rsidRPr="0043655B">
          <w:rPr>
            <w:rStyle w:val="TextoNormalCaracter"/>
          </w:rPr>
          <w:t>33/2012</w:t>
        </w:r>
      </w:hyperlink>
      <w:r>
        <w:t>, f. 7.</w:t>
      </w:r>
    </w:p>
    <w:p w:rsidR="0043655B" w:rsidRDefault="0043655B" w:rsidP="0043655B">
      <w:pPr>
        <w:pStyle w:val="SangriaFrancesaArticulo"/>
      </w:pPr>
    </w:p>
    <w:p w:rsidR="0043655B" w:rsidRDefault="0043655B" w:rsidP="0043655B">
      <w:pPr>
        <w:pStyle w:val="TextoNormalNegritaCursivandice"/>
      </w:pPr>
      <w:r>
        <w:t>Resolución del Departamento de Justicia de la Generalidad de Cataluña, de 13 de octubre de 1999. Inscripción en el Registro de colegios profesionales de la Generalidad de Cataluña de los estatutos del Colegio de censores jurados de cuentas de Cataluña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ff. 1 a 3, 6, 8.</w:t>
      </w:r>
    </w:p>
    <w:p w:rsidR="0043655B" w:rsidRDefault="0043655B" w:rsidP="0043655B">
      <w:pPr>
        <w:pStyle w:val="SangriaFrancesaArticulo"/>
      </w:pPr>
    </w:p>
    <w:p w:rsidR="0043655B" w:rsidRDefault="0043655B" w:rsidP="0043655B">
      <w:pPr>
        <w:pStyle w:val="TextoNormalNegritaCursivandice"/>
      </w:pPr>
      <w:r>
        <w:t>Estatutos del Colegio de censores jurados de cuentas de Cataluña aprobados en asamblea general extraordinaria de 17 de septiembre de 2009</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3" w:history="1">
        <w:r w:rsidRPr="0043655B">
          <w:rPr>
            <w:rStyle w:val="TextoNormalCaracter"/>
          </w:rPr>
          <w:t>33/2012</w:t>
        </w:r>
      </w:hyperlink>
      <w:r>
        <w:t>, f. 3.</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J.10) Extremadura</w:t>
      </w:r>
    </w:p>
    <w:p w:rsidR="0043655B" w:rsidRDefault="0043655B" w:rsidP="0043655B">
      <w:pPr>
        <w:pStyle w:val="TextoNormal"/>
      </w:pPr>
    </w:p>
    <w:p w:rsidR="0043655B" w:rsidRDefault="0043655B" w:rsidP="0043655B">
      <w:pPr>
        <w:pStyle w:val="TextoNormalNegritaCentradoSubrayado"/>
        <w:suppressAutoHyphens/>
      </w:pPr>
      <w:r>
        <w:t>J.10.b)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 Asamblea de Extremadura 2/1986, de 23 de mayo. Regulación de la función pública de Extremadura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p>
    <w:p w:rsidR="0043655B" w:rsidRDefault="0043655B" w:rsidP="0043655B">
      <w:pPr>
        <w:pStyle w:val="TextoNormalNegritaCursivandice"/>
      </w:pPr>
      <w:r>
        <w:t>Ley de la Asamblea de Extremadura 3/1990, de 24 de mayo. Modifica la Ley 2/1986, de 23 de mayo, de la función pública de Extremadura</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p>
    <w:p w:rsidR="0043655B" w:rsidRDefault="0043655B" w:rsidP="0043655B">
      <w:pPr>
        <w:pStyle w:val="TextoNormalNegritaCursivandice"/>
      </w:pPr>
      <w:r>
        <w:lastRenderedPageBreak/>
        <w:t>Decreto Legislativo de la Junta de Extremadura 1/1990, de 26 de julio.  Texto refundido de la Ley de la función pública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19.</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Artículo 34 a).</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Disposición transitoria tercera.</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Disposición transitoria tercera, apartado 1.</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r w:rsidRPr="0043655B">
        <w:rPr>
          <w:rStyle w:val="TextoNormalNegritaCaracter"/>
        </w:rPr>
        <w:t>Disposición transitoria tercera, apartado 2.</w:t>
      </w:r>
      <w:r w:rsidRPr="0043655B">
        <w:rPr>
          <w:rStyle w:val="TextoNormalCaracter"/>
        </w:rPr>
        <w:t>-</w:t>
      </w:r>
      <w:r>
        <w:t xml:space="preserve"> Auto </w:t>
      </w:r>
      <w:hyperlink w:anchor="AUTO_2012_68" w:history="1">
        <w:r w:rsidRPr="0043655B">
          <w:rPr>
            <w:rStyle w:val="TextoNormalCaracter"/>
          </w:rPr>
          <w:t>68/2012</w:t>
        </w:r>
      </w:hyperlink>
      <w:r>
        <w:t>.</w:t>
      </w:r>
    </w:p>
    <w:p w:rsidR="0043655B" w:rsidRDefault="0043655B" w:rsidP="0043655B">
      <w:pPr>
        <w:pStyle w:val="SangriaFrancesaArticulo"/>
      </w:pPr>
    </w:p>
    <w:p w:rsidR="0043655B" w:rsidRDefault="0043655B" w:rsidP="0043655B">
      <w:pPr>
        <w:pStyle w:val="TextoNormalNegritaCursivandice"/>
      </w:pPr>
      <w:r>
        <w:t>Ley de la Asamblea de Extremadura 3/1996, de 25 de junio. Atención farmacéutica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8" w:history="1">
        <w:r w:rsidRPr="0043655B">
          <w:rPr>
            <w:rStyle w:val="TextoNormalCaracter"/>
          </w:rPr>
          <w:t>78/2012</w:t>
        </w:r>
      </w:hyperlink>
      <w:r>
        <w:t>, f. 2.</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J.11) Galicia</w:t>
      </w:r>
    </w:p>
    <w:p w:rsidR="0043655B" w:rsidRDefault="0043655B" w:rsidP="0043655B">
      <w:pPr>
        <w:pStyle w:val="TextoNormal"/>
      </w:pPr>
    </w:p>
    <w:p w:rsidR="0043655B" w:rsidRDefault="0043655B" w:rsidP="0043655B">
      <w:pPr>
        <w:pStyle w:val="TextoNormalNegritaCentradoSubrayado"/>
        <w:suppressAutoHyphens/>
      </w:pPr>
      <w:r>
        <w:t>J.11.a) Estatuto de Autonomía</w:t>
      </w:r>
    </w:p>
    <w:p w:rsidR="0043655B" w:rsidRDefault="0043655B" w:rsidP="0043655B">
      <w:pPr>
        <w:pStyle w:val="TextoNormalNegritaCentradoSubrayado"/>
      </w:pPr>
    </w:p>
    <w:p w:rsidR="0043655B" w:rsidRDefault="0043655B" w:rsidP="0043655B">
      <w:pPr>
        <w:pStyle w:val="TextoNormalNegritaCursivandice"/>
      </w:pPr>
      <w:r>
        <w:t>Ley Orgánica 1/1981, de 6 de abril. Estatuto de Autonomía de Galicia</w:t>
      </w:r>
    </w:p>
    <w:p w:rsidR="0043655B" w:rsidRDefault="0043655B" w:rsidP="0043655B">
      <w:pPr>
        <w:pStyle w:val="SangriaFrancesaArticulo"/>
      </w:pPr>
      <w:r w:rsidRPr="0043655B">
        <w:rPr>
          <w:rStyle w:val="TextoNormalNegritaCaracter"/>
        </w:rPr>
        <w:t>Artículo 27.10.</w:t>
      </w:r>
      <w:r w:rsidRPr="0043655B">
        <w:rPr>
          <w:rStyle w:val="TextoNormalCaracter"/>
        </w:rPr>
        <w:t>-</w:t>
      </w:r>
      <w:r>
        <w:t xml:space="preserve"> Sentencia </w:t>
      </w:r>
      <w:hyperlink w:anchor="SENTENCIA_2012_38" w:history="1">
        <w:r w:rsidRPr="0043655B">
          <w:rPr>
            <w:rStyle w:val="TextoNormalCaracter"/>
          </w:rPr>
          <w:t>38/2012</w:t>
        </w:r>
      </w:hyperlink>
      <w:r>
        <w:t>, f. 3.</w:t>
      </w:r>
    </w:p>
    <w:p w:rsidR="0043655B" w:rsidRDefault="0043655B" w:rsidP="0043655B">
      <w:pPr>
        <w:pStyle w:val="SangriaFrancesaArticulo"/>
      </w:pPr>
      <w:r w:rsidRPr="0043655B">
        <w:rPr>
          <w:rStyle w:val="TextoNormalNegritaCaracter"/>
        </w:rPr>
        <w:t>Artículo 27.30.</w:t>
      </w:r>
      <w:r w:rsidRPr="0043655B">
        <w:rPr>
          <w:rStyle w:val="TextoNormalCaracter"/>
        </w:rPr>
        <w:t>-</w:t>
      </w:r>
      <w:r>
        <w:t xml:space="preserve"> Sentencia </w:t>
      </w:r>
      <w:hyperlink w:anchor="SENTENCIA_2012_38" w:history="1">
        <w:r w:rsidRPr="0043655B">
          <w:rPr>
            <w:rStyle w:val="TextoNormalCaracter"/>
          </w:rPr>
          <w:t>38/2012</w:t>
        </w:r>
      </w:hyperlink>
      <w:r>
        <w:t>, f. 3.</w:t>
      </w:r>
    </w:p>
    <w:p w:rsidR="0043655B" w:rsidRDefault="0043655B" w:rsidP="0043655B">
      <w:pPr>
        <w:pStyle w:val="SangriaFrancesaArticulo"/>
      </w:pPr>
      <w:r w:rsidRPr="0043655B">
        <w:rPr>
          <w:rStyle w:val="TextoNormalNegritaCaracter"/>
        </w:rPr>
        <w:t>Disposición adicional primera,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Disposición adicional primera, apartado 3.</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Subrayado"/>
        <w:suppressAutoHyphens/>
      </w:pPr>
      <w:r>
        <w:t>J.11.b)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del Parlamento de Galicia 11/1985, de 22 de agosto. Adaptación de la del suelo a Galicia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7" w:history="1">
        <w:r w:rsidRPr="0043655B">
          <w:rPr>
            <w:rStyle w:val="TextoNormalCaracter"/>
          </w:rPr>
          <w:t>87/2012</w:t>
        </w:r>
      </w:hyperlink>
      <w:r>
        <w:t xml:space="preserve">, passim; </w:t>
      </w:r>
      <w:hyperlink w:anchor="SENTENCIA_2012_137" w:history="1">
        <w:r w:rsidRPr="0043655B">
          <w:rPr>
            <w:rStyle w:val="TextoNormalCaracter"/>
          </w:rPr>
          <w:t>137/2012</w:t>
        </w:r>
      </w:hyperlink>
      <w:r>
        <w:t>, ff. 1, 3.</w:t>
      </w:r>
    </w:p>
    <w:p w:rsidR="0043655B" w:rsidRDefault="0043655B" w:rsidP="0043655B">
      <w:pPr>
        <w:pStyle w:val="SangriaFrancesaArticulo"/>
      </w:pPr>
    </w:p>
    <w:p w:rsidR="0043655B" w:rsidRDefault="0043655B" w:rsidP="0043655B">
      <w:pPr>
        <w:pStyle w:val="TextoNormalNegritaCursivandice"/>
      </w:pPr>
      <w:r>
        <w:t>Ley del Parlamento de Galicia 5/1999, de 21 de mayo. Ordenación farmacéutica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8" w:history="1">
        <w:r w:rsidRPr="0043655B">
          <w:rPr>
            <w:rStyle w:val="TextoNormalCaracter"/>
          </w:rPr>
          <w:t>78/2012</w:t>
        </w:r>
      </w:hyperlink>
      <w:r>
        <w:t>, f. 2.</w:t>
      </w:r>
    </w:p>
    <w:p w:rsidR="0043655B" w:rsidRDefault="0043655B" w:rsidP="0043655B">
      <w:pPr>
        <w:pStyle w:val="SangriaFrancesaArticulo"/>
      </w:pPr>
    </w:p>
    <w:p w:rsidR="0043655B" w:rsidRDefault="0043655B" w:rsidP="0043655B">
      <w:pPr>
        <w:pStyle w:val="TextoNormalNegritaCursivandice"/>
      </w:pPr>
      <w:r>
        <w:t>Ley del Parlamento de Galicia 9/2002, de 30 de diciembre. Ordenación urbanística y protección del medio rural de Galicia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7" w:history="1">
        <w:r w:rsidRPr="0043655B">
          <w:rPr>
            <w:rStyle w:val="TextoNormalCaracter"/>
          </w:rPr>
          <w:t>87/2012</w:t>
        </w:r>
      </w:hyperlink>
      <w:r>
        <w:t>, f. 4.</w:t>
      </w:r>
    </w:p>
    <w:p w:rsidR="0043655B" w:rsidRDefault="0043655B" w:rsidP="0043655B">
      <w:pPr>
        <w:pStyle w:val="SangriaFrancesaArticulo"/>
      </w:pPr>
      <w:r w:rsidRPr="0043655B">
        <w:rPr>
          <w:rStyle w:val="TextoNormalNegritaCaracter"/>
        </w:rPr>
        <w:t>Disposición adicional tercera.</w:t>
      </w:r>
      <w:r w:rsidRPr="0043655B">
        <w:rPr>
          <w:rStyle w:val="TextoNormalCaracter"/>
        </w:rPr>
        <w:t>-</w:t>
      </w:r>
      <w:r>
        <w:t xml:space="preserve"> Sentencia </w:t>
      </w:r>
      <w:hyperlink w:anchor="SENTENCIA_2012_87" w:history="1">
        <w:r w:rsidRPr="0043655B">
          <w:rPr>
            <w:rStyle w:val="TextoNormalCaracter"/>
          </w:rPr>
          <w:t>87/2012</w:t>
        </w:r>
      </w:hyperlink>
      <w:r>
        <w:t>, ff. 1, 3, 4.</w:t>
      </w:r>
    </w:p>
    <w:p w:rsidR="0043655B" w:rsidRDefault="0043655B" w:rsidP="0043655B">
      <w:pPr>
        <w:pStyle w:val="SangriaFrancesaArticulo"/>
      </w:pPr>
      <w:r w:rsidRPr="0043655B">
        <w:rPr>
          <w:rStyle w:val="TextoNormalNegritaCaracter"/>
        </w:rPr>
        <w:t>Disposición adicional tercera</w:t>
      </w:r>
      <w:r>
        <w:t xml:space="preserve"> </w:t>
      </w:r>
      <w:r w:rsidRPr="0043655B">
        <w:rPr>
          <w:rStyle w:val="TextoNormalCaracter"/>
        </w:rPr>
        <w:t>(redactada por la Ley del Parlamento de Galicia 18/2008, de 29 de diciembre)</w:t>
      </w:r>
      <w:r w:rsidRPr="0043655B">
        <w:rPr>
          <w:rStyle w:val="TextoNormalNegritaCaracter"/>
        </w:rPr>
        <w:t>.</w:t>
      </w:r>
      <w:r w:rsidRPr="0043655B">
        <w:rPr>
          <w:rStyle w:val="TextoNormalCaracter"/>
        </w:rPr>
        <w:t>-</w:t>
      </w:r>
      <w:r>
        <w:t xml:space="preserve"> Sentencias </w:t>
      </w:r>
      <w:hyperlink w:anchor="SENTENCIA_2012_87" w:history="1">
        <w:r w:rsidRPr="0043655B">
          <w:rPr>
            <w:rStyle w:val="TextoNormalCaracter"/>
          </w:rPr>
          <w:t>87/2012</w:t>
        </w:r>
      </w:hyperlink>
      <w:r>
        <w:t xml:space="preserve">, f. 3; </w:t>
      </w:r>
      <w:hyperlink w:anchor="SENTENCIA_2012_137" w:history="1">
        <w:r w:rsidRPr="0043655B">
          <w:rPr>
            <w:rStyle w:val="TextoNormalCaracter"/>
          </w:rPr>
          <w:t>137/2012</w:t>
        </w:r>
      </w:hyperlink>
      <w:r>
        <w:t>, passim.</w:t>
      </w:r>
    </w:p>
    <w:p w:rsidR="0043655B" w:rsidRDefault="0043655B" w:rsidP="0043655B">
      <w:pPr>
        <w:pStyle w:val="SangriaFrancesaArticulo"/>
      </w:pPr>
    </w:p>
    <w:p w:rsidR="0043655B" w:rsidRDefault="0043655B" w:rsidP="0043655B">
      <w:pPr>
        <w:pStyle w:val="TextoNormalNegritaCursivandice"/>
      </w:pPr>
      <w:r>
        <w:t>Ley del Parlamento de Galicia 18/2008, de 29 de diciembre. Vivienda de Galicia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7" w:history="1">
        <w:r w:rsidRPr="0043655B">
          <w:rPr>
            <w:rStyle w:val="TextoNormalCaracter"/>
          </w:rPr>
          <w:t>87/2012</w:t>
        </w:r>
      </w:hyperlink>
      <w:r>
        <w:t>, ff. 1, 3.</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Sentencias </w:t>
      </w:r>
      <w:hyperlink w:anchor="SENTENCIA_2012_87" w:history="1">
        <w:r w:rsidRPr="0043655B">
          <w:rPr>
            <w:rStyle w:val="TextoNormalCaracter"/>
          </w:rPr>
          <w:t>87/2012</w:t>
        </w:r>
      </w:hyperlink>
      <w:r>
        <w:t xml:space="preserve">, f. 3; </w:t>
      </w:r>
      <w:hyperlink w:anchor="SENTENCIA_2012_137" w:history="1">
        <w:r w:rsidRPr="0043655B">
          <w:rPr>
            <w:rStyle w:val="TextoNormalCaracter"/>
          </w:rPr>
          <w:t>137/2012</w:t>
        </w:r>
      </w:hyperlink>
      <w:r>
        <w:t>, ff. 1, 3.</w:t>
      </w:r>
    </w:p>
    <w:p w:rsidR="0043655B" w:rsidRDefault="0043655B" w:rsidP="0043655B">
      <w:pPr>
        <w:pStyle w:val="SangriaFrancesaArticulo"/>
      </w:pPr>
      <w:r w:rsidRPr="0043655B">
        <w:rPr>
          <w:rStyle w:val="TextoNormalNegritaCaracter"/>
        </w:rPr>
        <w:t>Disposición adicional segunda, apartado a).</w:t>
      </w:r>
      <w:r w:rsidRPr="0043655B">
        <w:rPr>
          <w:rStyle w:val="TextoNormalCaracter"/>
        </w:rPr>
        <w:t>-</w:t>
      </w:r>
      <w:r>
        <w:t xml:space="preserve"> Sentencia </w:t>
      </w:r>
      <w:hyperlink w:anchor="SENTENCIA_2012_137" w:history="1">
        <w:r w:rsidRPr="0043655B">
          <w:rPr>
            <w:rStyle w:val="TextoNormalCaracter"/>
          </w:rPr>
          <w:t>137/2012</w:t>
        </w:r>
      </w:hyperlink>
      <w:r>
        <w:t>, f. 2.</w:t>
      </w:r>
    </w:p>
    <w:p w:rsidR="0043655B" w:rsidRDefault="0043655B" w:rsidP="0043655B">
      <w:pPr>
        <w:pStyle w:val="SangriaFrancesaArticulo"/>
      </w:pPr>
      <w:r w:rsidRPr="0043655B">
        <w:rPr>
          <w:rStyle w:val="TextoNormalNegritaCaracter"/>
        </w:rPr>
        <w:t>Disposición adicional segunda, apartado b), párrafo 1.</w:t>
      </w:r>
      <w:r w:rsidRPr="0043655B">
        <w:rPr>
          <w:rStyle w:val="TextoNormalCaracter"/>
        </w:rPr>
        <w:t>-</w:t>
      </w:r>
      <w:r>
        <w:t xml:space="preserve"> Sentencia </w:t>
      </w:r>
      <w:hyperlink w:anchor="SENTENCIA_2012_137" w:history="1">
        <w:r w:rsidRPr="0043655B">
          <w:rPr>
            <w:rStyle w:val="TextoNormalCaracter"/>
          </w:rPr>
          <w:t>137/2012</w:t>
        </w:r>
      </w:hyperlink>
      <w:r>
        <w:t>, f. 2.</w:t>
      </w:r>
    </w:p>
    <w:p w:rsidR="0043655B" w:rsidRDefault="0043655B" w:rsidP="0043655B">
      <w:pPr>
        <w:pStyle w:val="SangriaFrancesaArticulo"/>
      </w:pPr>
      <w:r w:rsidRPr="0043655B">
        <w:rPr>
          <w:rStyle w:val="TextoNormalNegritaCaracter"/>
        </w:rPr>
        <w:t>Disposición adicional segunda, apartado b), párrafo 2.</w:t>
      </w:r>
      <w:r w:rsidRPr="0043655B">
        <w:rPr>
          <w:rStyle w:val="TextoNormalCaracter"/>
        </w:rPr>
        <w:t>-</w:t>
      </w:r>
      <w:r>
        <w:t xml:space="preserve"> Sentencia </w:t>
      </w:r>
      <w:hyperlink w:anchor="SENTENCIA_2012_137" w:history="1">
        <w:r w:rsidRPr="0043655B">
          <w:rPr>
            <w:rStyle w:val="TextoNormalCaracter"/>
          </w:rPr>
          <w:t>137/2012</w:t>
        </w:r>
      </w:hyperlink>
      <w:r>
        <w:t>, f. 2.</w:t>
      </w:r>
    </w:p>
    <w:p w:rsidR="0043655B" w:rsidRDefault="0043655B" w:rsidP="0043655B">
      <w:pPr>
        <w:pStyle w:val="SangriaFrancesaArticulo"/>
      </w:pPr>
      <w:r w:rsidRPr="0043655B">
        <w:rPr>
          <w:rStyle w:val="TextoNormalNegritaCaracter"/>
        </w:rPr>
        <w:lastRenderedPageBreak/>
        <w:t>Disposición adicional segunda, apartado b), párrafo 3.</w:t>
      </w:r>
      <w:r w:rsidRPr="0043655B">
        <w:rPr>
          <w:rStyle w:val="TextoNormalCaracter"/>
        </w:rPr>
        <w:t>-</w:t>
      </w:r>
      <w:r>
        <w:t xml:space="preserve"> Sentencia </w:t>
      </w:r>
      <w:hyperlink w:anchor="SENTENCIA_2012_137" w:history="1">
        <w:r w:rsidRPr="0043655B">
          <w:rPr>
            <w:rStyle w:val="TextoNormalCaracter"/>
          </w:rPr>
          <w:t>137/2012</w:t>
        </w:r>
      </w:hyperlink>
      <w:r>
        <w:t>, f. 2.</w:t>
      </w:r>
    </w:p>
    <w:p w:rsidR="0043655B" w:rsidRDefault="0043655B" w:rsidP="0043655B">
      <w:pPr>
        <w:pStyle w:val="SangriaFrancesaArticulo"/>
      </w:pPr>
    </w:p>
    <w:p w:rsidR="0043655B" w:rsidRDefault="0043655B" w:rsidP="0043655B">
      <w:pPr>
        <w:pStyle w:val="TextoNormalNegritaCursivandice"/>
      </w:pPr>
      <w:r>
        <w:t>Ley del Parlamento de Galicia 9/2009, de 23 de diciembre. Presupuestos generales para el año 2010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SangriaFrancesaArticulo"/>
      </w:pPr>
    </w:p>
    <w:p w:rsidR="0043655B" w:rsidRDefault="0043655B" w:rsidP="0043655B">
      <w:pPr>
        <w:pStyle w:val="TextoNormalNegritaCursivandice"/>
      </w:pPr>
      <w:r>
        <w:t>Ley del Parlamento de Galicia 3/2010, de 23 de junio. Modificación de la Ley 9/2009, de 23 de diciembre, de presupuestos generales de la Comunidad Autónoma de Galicia para el año 2010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 w:history="1">
        <w:r w:rsidRPr="0043655B">
          <w:rPr>
            <w:rStyle w:val="TextoNormalCaracter"/>
          </w:rPr>
          <w:t>8/2012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J.12) La Rioja</w:t>
      </w:r>
    </w:p>
    <w:p w:rsidR="0043655B" w:rsidRDefault="0043655B" w:rsidP="0043655B">
      <w:pPr>
        <w:pStyle w:val="TextoNormal"/>
      </w:pPr>
    </w:p>
    <w:p w:rsidR="0043655B" w:rsidRDefault="0043655B" w:rsidP="0043655B">
      <w:pPr>
        <w:pStyle w:val="TextoNormalNegritaCentradoSubrayado"/>
        <w:suppressAutoHyphens/>
      </w:pPr>
      <w:r>
        <w:t>J.12.a) Estatuto de Autonomía</w:t>
      </w:r>
    </w:p>
    <w:p w:rsidR="0043655B" w:rsidRDefault="0043655B" w:rsidP="0043655B">
      <w:pPr>
        <w:pStyle w:val="TextoNormalNegritaCentradoSubrayado"/>
      </w:pPr>
    </w:p>
    <w:p w:rsidR="0043655B" w:rsidRDefault="0043655B" w:rsidP="0043655B">
      <w:pPr>
        <w:pStyle w:val="TextoNormalNegritaCursivandice"/>
      </w:pPr>
      <w:r>
        <w:t>Ley Orgánica 3/1982, de 9 de junio. Estatuto de Autonomía de La Rioja</w:t>
      </w:r>
    </w:p>
    <w:p w:rsidR="0043655B" w:rsidRDefault="0043655B" w:rsidP="0043655B">
      <w:pPr>
        <w:pStyle w:val="SangriaFrancesaArticulo"/>
      </w:pPr>
      <w:r w:rsidRPr="0043655B">
        <w:rPr>
          <w:rStyle w:val="TextoNormalNegritaCaracter"/>
        </w:rPr>
        <w:t>Artículo 8.1.16</w:t>
      </w:r>
      <w:r>
        <w:t xml:space="preserve"> </w:t>
      </w:r>
      <w:r w:rsidRPr="0043655B">
        <w:rPr>
          <w:rStyle w:val="TextoNormalCaracter"/>
        </w:rPr>
        <w:t>(redactado por la Ley Orgánica 2/1999, de 7 de enero)</w:t>
      </w:r>
      <w:r w:rsidRPr="0043655B">
        <w:rPr>
          <w:rStyle w:val="TextoNormalNegritaCaracter"/>
        </w:rPr>
        <w:t>.</w:t>
      </w:r>
      <w:r w:rsidRPr="0043655B">
        <w:rPr>
          <w:rStyle w:val="TextoNormalCaracter"/>
        </w:rPr>
        <w:t>-</w:t>
      </w:r>
      <w:r>
        <w:t xml:space="preserve"> Sentencia </w:t>
      </w:r>
      <w:hyperlink w:anchor="SENTENCIA_2012_36" w:history="1">
        <w:r w:rsidRPr="0043655B">
          <w:rPr>
            <w:rStyle w:val="TextoNormalCaracter"/>
          </w:rPr>
          <w:t>36/2012</w:t>
        </w:r>
      </w:hyperlink>
      <w:r>
        <w:t>, ff. 4, 5.</w:t>
      </w:r>
    </w:p>
    <w:p w:rsidR="0043655B" w:rsidRDefault="0043655B" w:rsidP="0043655B">
      <w:pPr>
        <w:pStyle w:val="SangriaFrancesaArticulo"/>
      </w:pPr>
      <w:r w:rsidRPr="0043655B">
        <w:rPr>
          <w:rStyle w:val="TextoNormalNegritaCaracter"/>
        </w:rPr>
        <w:t>Artículo 8.1.18.</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8.1.30</w:t>
      </w:r>
      <w:r>
        <w:t xml:space="preserve"> </w:t>
      </w:r>
      <w:r w:rsidRPr="0043655B">
        <w:rPr>
          <w:rStyle w:val="TextoNormalCaracter"/>
        </w:rPr>
        <w:t>(redactado por la Ley Orgánica 2/1999, de 7 de enero)</w:t>
      </w:r>
      <w:r w:rsidRPr="0043655B">
        <w:rPr>
          <w:rStyle w:val="TextoNormalNegritaCaracter"/>
        </w:rPr>
        <w:t>.</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8.1.31</w:t>
      </w:r>
      <w:r>
        <w:t xml:space="preserve"> </w:t>
      </w:r>
      <w:r w:rsidRPr="0043655B">
        <w:rPr>
          <w:rStyle w:val="TextoNormalCaracter"/>
        </w:rPr>
        <w:t>(redactado por la Ley Orgánica 2/1999, de 7 de enero)</w:t>
      </w:r>
      <w:r w:rsidRPr="0043655B">
        <w:rPr>
          <w:rStyle w:val="TextoNormalNegritaCaracter"/>
        </w:rPr>
        <w:t>.</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8.1.32</w:t>
      </w:r>
      <w:r>
        <w:t xml:space="preserve"> </w:t>
      </w:r>
      <w:r w:rsidRPr="0043655B">
        <w:rPr>
          <w:rStyle w:val="TextoNormalCaracter"/>
        </w:rPr>
        <w:t>(redactado por la Ley Orgánica 2/1999, de 7 de enero)</w:t>
      </w:r>
      <w:r w:rsidRPr="0043655B">
        <w:rPr>
          <w:rStyle w:val="TextoNormalNegritaCaracter"/>
        </w:rPr>
        <w:t>.</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Artículo 8.2</w:t>
      </w:r>
      <w:r>
        <w:t xml:space="preserve"> </w:t>
      </w:r>
      <w:r w:rsidRPr="0043655B">
        <w:rPr>
          <w:rStyle w:val="TextoNormalCaracter"/>
        </w:rPr>
        <w:t>(redactado por la Ley Orgánica 2/1999, de 7 de enero)</w:t>
      </w:r>
      <w:r w:rsidRPr="0043655B">
        <w:rPr>
          <w:rStyle w:val="TextoNormalNegritaCaracter"/>
        </w:rPr>
        <w:t>.</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r w:rsidRPr="0043655B">
        <w:rPr>
          <w:rStyle w:val="TextoNormalNegritaCaracter"/>
        </w:rPr>
        <w:t>Disposición adicional primera, apartado 3.</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2/1999, de 7 de enero. Reforma la Ley Orgánica 3/1982, de Estatuto de Autonomía de La Rioja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6" w:history="1">
        <w:r w:rsidRPr="0043655B">
          <w:rPr>
            <w:rStyle w:val="TextoNormalCaracter"/>
          </w:rPr>
          <w:t>36/2012</w:t>
        </w:r>
      </w:hyperlink>
      <w:r>
        <w:t>, ff. 4, 5.</w:t>
      </w:r>
    </w:p>
    <w:p w:rsidR="0043655B" w:rsidRDefault="0043655B" w:rsidP="0043655B">
      <w:pPr>
        <w:pStyle w:val="SangriaFrancesaArticulo"/>
      </w:pPr>
      <w:r w:rsidRPr="0043655B">
        <w:rPr>
          <w:rStyle w:val="TextoNormalNegritaCaracter"/>
        </w:rPr>
        <w:t>Disposición adicional primera,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J.13) Madrid</w:t>
      </w:r>
    </w:p>
    <w:p w:rsidR="0043655B" w:rsidRDefault="0043655B" w:rsidP="0043655B">
      <w:pPr>
        <w:pStyle w:val="TextoNormal"/>
      </w:pPr>
    </w:p>
    <w:p w:rsidR="0043655B" w:rsidRDefault="0043655B" w:rsidP="0043655B">
      <w:pPr>
        <w:pStyle w:val="TextoNormalNegritaCentradoSubrayado"/>
        <w:suppressAutoHyphens/>
      </w:pPr>
      <w:r>
        <w:t>J.13.a) Estatuto de Autonomía</w:t>
      </w:r>
    </w:p>
    <w:p w:rsidR="0043655B" w:rsidRDefault="0043655B" w:rsidP="0043655B">
      <w:pPr>
        <w:pStyle w:val="TextoNormalNegritaCentradoSubrayado"/>
      </w:pPr>
    </w:p>
    <w:p w:rsidR="0043655B" w:rsidRDefault="0043655B" w:rsidP="0043655B">
      <w:pPr>
        <w:pStyle w:val="TextoNormalNegritaCursivandice"/>
      </w:pPr>
      <w:r>
        <w:t>Ley Orgánica 3/1983, de 25 de febrero. Estatuto de Autonomía de la Comunidad de Madrid</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112" w:history="1">
        <w:r w:rsidRPr="0043655B">
          <w:rPr>
            <w:rStyle w:val="TextoNormalCaracter"/>
          </w:rPr>
          <w:t>112/2012</w:t>
        </w:r>
      </w:hyperlink>
      <w:r>
        <w:t>, f. 3.</w:t>
      </w:r>
    </w:p>
    <w:p w:rsidR="0043655B" w:rsidRDefault="0043655B" w:rsidP="0043655B">
      <w:pPr>
        <w:pStyle w:val="SangriaFrancesaArticulo"/>
      </w:pPr>
      <w:r w:rsidRPr="0043655B">
        <w:rPr>
          <w:rStyle w:val="TextoNormalNegritaCaracter"/>
        </w:rPr>
        <w:t>Artículo 1.6.</w:t>
      </w:r>
      <w:r w:rsidRPr="0043655B">
        <w:rPr>
          <w:rStyle w:val="TextoNormalCaracter"/>
        </w:rPr>
        <w:t>-</w:t>
      </w:r>
      <w:r>
        <w:t xml:space="preserve"> Sentencia </w:t>
      </w:r>
      <w:hyperlink w:anchor="SENTENCIA_2012_112" w:history="1">
        <w:r w:rsidRPr="0043655B">
          <w:rPr>
            <w:rStyle w:val="TextoNormalCaracter"/>
          </w:rPr>
          <w:t>112/2012</w:t>
        </w:r>
      </w:hyperlink>
      <w:r>
        <w:t>, f. 3.</w:t>
      </w:r>
    </w:p>
    <w:p w:rsidR="0043655B" w:rsidRDefault="0043655B" w:rsidP="0043655B">
      <w:pPr>
        <w:pStyle w:val="SangriaFrancesaArticulo"/>
      </w:pPr>
      <w:r w:rsidRPr="0043655B">
        <w:rPr>
          <w:rStyle w:val="TextoNormalNegritaCaracter"/>
        </w:rPr>
        <w:t>Artículo 26.</w:t>
      </w:r>
      <w:r w:rsidRPr="0043655B">
        <w:rPr>
          <w:rStyle w:val="TextoNormalCaracter"/>
        </w:rPr>
        <w:t>-</w:t>
      </w:r>
      <w:r>
        <w:t xml:space="preserve"> Sentencia </w:t>
      </w:r>
      <w:hyperlink w:anchor="SENTENCIA_2012_112" w:history="1">
        <w:r w:rsidRPr="0043655B">
          <w:rPr>
            <w:rStyle w:val="TextoNormalCaracter"/>
          </w:rPr>
          <w:t>112/2012</w:t>
        </w:r>
      </w:hyperlink>
      <w:r>
        <w:t>, f. 3.</w:t>
      </w:r>
    </w:p>
    <w:p w:rsidR="0043655B" w:rsidRDefault="0043655B" w:rsidP="0043655B">
      <w:pPr>
        <w:pStyle w:val="SangriaFrancesaArticulo"/>
      </w:pPr>
      <w:r w:rsidRPr="0043655B">
        <w:rPr>
          <w:rStyle w:val="TextoNormalNegritaCaracter"/>
        </w:rPr>
        <w:lastRenderedPageBreak/>
        <w:t>Artículo 28.1.1.1</w:t>
      </w:r>
      <w:r>
        <w:t xml:space="preserve"> </w:t>
      </w:r>
      <w:r w:rsidRPr="0043655B">
        <w:rPr>
          <w:rStyle w:val="TextoNormalCaracter"/>
        </w:rPr>
        <w:t>(redactado por la Ley Orgánica 5/1998, de 7 de julio)</w:t>
      </w:r>
      <w:r w:rsidRPr="0043655B">
        <w:rPr>
          <w:rStyle w:val="TextoNormalNegritaCaracter"/>
        </w:rPr>
        <w:t>.</w:t>
      </w:r>
      <w:r w:rsidRPr="0043655B">
        <w:rPr>
          <w:rStyle w:val="TextoNormalCaracter"/>
        </w:rPr>
        <w:t>-</w:t>
      </w:r>
      <w:r>
        <w:t xml:space="preserve"> Sentencia </w:t>
      </w:r>
      <w:hyperlink w:anchor="SENTENCIA_2012_22" w:history="1">
        <w:r w:rsidRPr="0043655B">
          <w:rPr>
            <w:rStyle w:val="TextoNormalCaracter"/>
          </w:rPr>
          <w:t>22/2012</w:t>
        </w:r>
      </w:hyperlink>
      <w:r>
        <w:t>, f. 3.</w:t>
      </w:r>
    </w:p>
    <w:p w:rsidR="0043655B" w:rsidRDefault="0043655B" w:rsidP="0043655B">
      <w:pPr>
        <w:pStyle w:val="SangriaFrancesaArticulo"/>
      </w:pPr>
      <w:r w:rsidRPr="0043655B">
        <w:rPr>
          <w:rStyle w:val="TextoNormalNegritaCaracter"/>
        </w:rPr>
        <w:t>Disposición adicional primera, apartado 3.</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5/1998, de 7 de julio. Reforma de la Ley Orgánica 3/1983, de 25 de febrero, de Estatuto de Autonomía de la Comunidad de Madrid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 3.</w:t>
      </w:r>
    </w:p>
    <w:p w:rsidR="0043655B" w:rsidRDefault="0043655B" w:rsidP="0043655B">
      <w:pPr>
        <w:pStyle w:val="SangriaFrancesaArticulo"/>
      </w:pPr>
      <w:r w:rsidRPr="0043655B">
        <w:rPr>
          <w:rStyle w:val="TextoNormalNegritaCaracter"/>
        </w:rPr>
        <w:t>Artículo 26.1.6.</w:t>
      </w:r>
      <w:r w:rsidRPr="0043655B">
        <w:rPr>
          <w:rStyle w:val="TextoNormalCaracter"/>
        </w:rPr>
        <w:t>-</w:t>
      </w:r>
      <w:r>
        <w:t xml:space="preserve"> Sentencias </w:t>
      </w:r>
      <w:hyperlink w:anchor="SENTENCIA_2012_88" w:history="1">
        <w:r w:rsidRPr="0043655B">
          <w:rPr>
            <w:rStyle w:val="TextoNormalCaracter"/>
          </w:rPr>
          <w:t>88/2012</w:t>
        </w:r>
      </w:hyperlink>
      <w:r>
        <w:t xml:space="preserve">, f. 5; </w:t>
      </w:r>
      <w:hyperlink w:anchor="SENTENCIA_2012_124" w:history="1">
        <w:r w:rsidRPr="0043655B">
          <w:rPr>
            <w:rStyle w:val="TextoNormalCaracter"/>
          </w:rPr>
          <w:t>124/2012</w:t>
        </w:r>
      </w:hyperlink>
      <w:r>
        <w:t>, f. 2.</w:t>
      </w:r>
    </w:p>
    <w:p w:rsidR="0043655B" w:rsidRDefault="0043655B" w:rsidP="0043655B">
      <w:pPr>
        <w:pStyle w:val="SangriaFrancesaArticulo"/>
      </w:pPr>
      <w:r w:rsidRPr="0043655B">
        <w:rPr>
          <w:rStyle w:val="TextoNormalNegritaCaracter"/>
        </w:rPr>
        <w:t>Artículo 26.1.24.</w:t>
      </w:r>
      <w:r w:rsidRPr="0043655B">
        <w:rPr>
          <w:rStyle w:val="TextoNormalCaracter"/>
        </w:rPr>
        <w:t>-</w:t>
      </w:r>
      <w:r>
        <w:t xml:space="preserve"> Sentencia </w:t>
      </w:r>
      <w:hyperlink w:anchor="SENTENCIA_2012_73" w:history="1">
        <w:r w:rsidRPr="0043655B">
          <w:rPr>
            <w:rStyle w:val="TextoNormalCaracter"/>
          </w:rPr>
          <w:t>73/2012</w:t>
        </w:r>
      </w:hyperlink>
      <w:r>
        <w:t>, f. 3.</w:t>
      </w:r>
    </w:p>
    <w:p w:rsidR="0043655B" w:rsidRDefault="0043655B" w:rsidP="0043655B">
      <w:pPr>
        <w:pStyle w:val="SangriaFrancesaArticulo"/>
      </w:pPr>
      <w:r w:rsidRPr="0043655B">
        <w:rPr>
          <w:rStyle w:val="TextoNormalNegritaCaracter"/>
        </w:rPr>
        <w:t>Artículo 26.3.1.</w:t>
      </w:r>
      <w:r w:rsidRPr="0043655B">
        <w:rPr>
          <w:rStyle w:val="TextoNormalCaracter"/>
        </w:rPr>
        <w:t>-</w:t>
      </w:r>
      <w:r>
        <w:t xml:space="preserve"> Sentencia </w:t>
      </w:r>
      <w:hyperlink w:anchor="SENTENCIA_2012_71" w:history="1">
        <w:r w:rsidRPr="0043655B">
          <w:rPr>
            <w:rStyle w:val="TextoNormalCaracter"/>
          </w:rPr>
          <w:t>71/2012</w:t>
        </w:r>
      </w:hyperlink>
      <w:r>
        <w:t>, f. 3.</w:t>
      </w:r>
    </w:p>
    <w:p w:rsidR="0043655B" w:rsidRDefault="0043655B" w:rsidP="0043655B">
      <w:pPr>
        <w:pStyle w:val="SangriaFrancesaArticulo"/>
      </w:pPr>
      <w:r w:rsidRPr="0043655B">
        <w:rPr>
          <w:rStyle w:val="TextoNormalNegritaCaracter"/>
        </w:rPr>
        <w:t>Disposición adicional primera,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Subrayado"/>
        <w:suppressAutoHyphens/>
      </w:pPr>
      <w:r>
        <w:t>J.13.b)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 Asamblea de Madrid 3/1991, de 7 de marzo. Carreteras de la Comunidad de Madrid</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12" w:history="1">
        <w:r w:rsidRPr="0043655B">
          <w:rPr>
            <w:rStyle w:val="TextoNormalCaracter"/>
          </w:rPr>
          <w:t>112/2012</w:t>
        </w:r>
      </w:hyperlink>
      <w:r>
        <w:t>, f. 3.</w:t>
      </w:r>
    </w:p>
    <w:p w:rsidR="0043655B" w:rsidRDefault="0043655B" w:rsidP="0043655B">
      <w:pPr>
        <w:pStyle w:val="SangriaFrancesaArticulo"/>
      </w:pPr>
    </w:p>
    <w:p w:rsidR="0043655B" w:rsidRDefault="0043655B" w:rsidP="0043655B">
      <w:pPr>
        <w:pStyle w:val="TextoNormalNegritaCursivandice"/>
      </w:pPr>
      <w:r>
        <w:t>Ley de la Asamblea de Madrid 6/2011, de 28 de diciembre. Medidas fiscales y administrativas</w:t>
      </w:r>
    </w:p>
    <w:p w:rsidR="0043655B" w:rsidRDefault="0043655B" w:rsidP="0043655B">
      <w:pPr>
        <w:pStyle w:val="SangriaFrancesaArticulo"/>
      </w:pPr>
      <w:r w:rsidRPr="0043655B">
        <w:rPr>
          <w:rStyle w:val="TextoNormalNegritaCaracter"/>
        </w:rPr>
        <w:t>Artículo 9.</w:t>
      </w:r>
      <w:r w:rsidRPr="0043655B">
        <w:rPr>
          <w:rStyle w:val="TextoNormalCaracter"/>
        </w:rPr>
        <w:t>-</w:t>
      </w:r>
      <w:r>
        <w:t xml:space="preserve"> Sentencia </w:t>
      </w:r>
      <w:hyperlink w:anchor="SENTENCIA_2012_71" w:history="1">
        <w:r w:rsidRPr="0043655B">
          <w:rPr>
            <w:rStyle w:val="TextoNormalCaracter"/>
          </w:rPr>
          <w:t>71/2012</w:t>
        </w:r>
      </w:hyperlink>
      <w:r>
        <w:t>, f. 2.</w:t>
      </w:r>
    </w:p>
    <w:p w:rsidR="0043655B" w:rsidRDefault="0043655B" w:rsidP="0043655B">
      <w:pPr>
        <w:pStyle w:val="SangriaFrancesaArticulo"/>
      </w:pPr>
      <w:r w:rsidRPr="0043655B">
        <w:rPr>
          <w:rStyle w:val="TextoNormalNegritaCaracter"/>
        </w:rPr>
        <w:t>Artículo 9.2.</w:t>
      </w:r>
      <w:r w:rsidRPr="0043655B">
        <w:rPr>
          <w:rStyle w:val="TextoNormalCaracter"/>
        </w:rPr>
        <w:t>-</w:t>
      </w:r>
      <w:r>
        <w:t xml:space="preserve"> Sentencia </w:t>
      </w:r>
      <w:hyperlink w:anchor="SENTENCIA_2012_71" w:history="1">
        <w:r w:rsidRPr="0043655B">
          <w:rPr>
            <w:rStyle w:val="TextoNormalCaracter"/>
          </w:rPr>
          <w:t>71/2012</w:t>
        </w:r>
      </w:hyperlink>
      <w:r>
        <w:t>, f. 2.</w:t>
      </w:r>
    </w:p>
    <w:p w:rsidR="0043655B" w:rsidRDefault="0043655B" w:rsidP="0043655B">
      <w:pPr>
        <w:pStyle w:val="TextoNormal"/>
      </w:pPr>
    </w:p>
    <w:p w:rsidR="0043655B" w:rsidRDefault="0043655B" w:rsidP="0043655B">
      <w:pPr>
        <w:pStyle w:val="TextoNormalNegritaCentradoSubrayado"/>
        <w:suppressAutoHyphens/>
      </w:pPr>
      <w:r>
        <w:t>J.13.c)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Resoluciones de la Consejería de Transportes e Infraestructuras de la Comunidad de Madrid, de 17 de noviembre de 2005. Concurso para contratar la consultoría y asistencia del anteproyecto de la nueva carretera R-1 y "Cierre norte de la M-50"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2" w:history="1">
        <w:r w:rsidRPr="0043655B">
          <w:rPr>
            <w:rStyle w:val="TextoNormalCaracter"/>
          </w:rPr>
          <w:t>112/2012</w:t>
        </w:r>
      </w:hyperlink>
      <w:r>
        <w:t>, ff. 1, 4.</w:t>
      </w:r>
    </w:p>
    <w:p w:rsidR="0043655B" w:rsidRDefault="0043655B" w:rsidP="0043655B">
      <w:pPr>
        <w:pStyle w:val="SangriaFrancesaArticulo"/>
      </w:pPr>
    </w:p>
    <w:p w:rsidR="0043655B" w:rsidRDefault="0043655B" w:rsidP="0043655B">
      <w:pPr>
        <w:pStyle w:val="TextoNormalNegritaCursivandice"/>
      </w:pPr>
      <w:r>
        <w:t>Resoluciones de la Consejería de Transportes e Infraestructuras de la Comunidad de Madrid, de 9 de febrero de 2006. Concurso para contratar la nueva carretera R-1 y "Cierre norte de la M-50"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4" w:history="1">
        <w:r w:rsidRPr="0043655B">
          <w:rPr>
            <w:rStyle w:val="TextoNormalCaracter"/>
          </w:rPr>
          <w:t>124/2012</w:t>
        </w:r>
      </w:hyperlink>
      <w:r>
        <w:t>, ff. 1, 3.</w:t>
      </w:r>
    </w:p>
    <w:p w:rsidR="0043655B" w:rsidRDefault="0043655B" w:rsidP="0043655B">
      <w:pPr>
        <w:pStyle w:val="TextoNormal"/>
      </w:pPr>
    </w:p>
    <w:p w:rsidR="0043655B" w:rsidRDefault="0043655B" w:rsidP="0043655B">
      <w:pPr>
        <w:pStyle w:val="TextoNormalNegritaCentradoSubrayado"/>
        <w:suppressAutoHyphens/>
      </w:pPr>
      <w:r>
        <w:t>J.13.d) Normas parlamentarias autonómicas</w:t>
      </w:r>
    </w:p>
    <w:p w:rsidR="0043655B" w:rsidRDefault="0043655B" w:rsidP="0043655B">
      <w:pPr>
        <w:pStyle w:val="TextoNormalNegritaCentradoSubrayado"/>
      </w:pPr>
    </w:p>
    <w:p w:rsidR="0043655B" w:rsidRDefault="0043655B" w:rsidP="0043655B">
      <w:pPr>
        <w:pStyle w:val="TextoNormalNegritaCursivandice"/>
      </w:pPr>
      <w:r>
        <w:t>Reglamento de la Asamblea de Madrid, de 18 de febrero de 1984</w:t>
      </w:r>
    </w:p>
    <w:p w:rsidR="0043655B" w:rsidRDefault="0043655B" w:rsidP="0043655B">
      <w:pPr>
        <w:pStyle w:val="SangriaFrancesaArticulo"/>
      </w:pPr>
      <w:r w:rsidRPr="0043655B">
        <w:rPr>
          <w:rStyle w:val="TextoNormalNegritaCaracter"/>
        </w:rPr>
        <w:t>Artículo 75.1.</w:t>
      </w:r>
      <w:r w:rsidRPr="0043655B">
        <w:rPr>
          <w:rStyle w:val="TextoNormalCaracter"/>
        </w:rPr>
        <w:t>-</w:t>
      </w:r>
      <w:r>
        <w:t xml:space="preserve"> Sentencia </w:t>
      </w:r>
      <w:hyperlink w:anchor="SENTENCIA_2012_88" w:history="1">
        <w:r w:rsidRPr="0043655B">
          <w:rPr>
            <w:rStyle w:val="TextoNormalCaracter"/>
          </w:rPr>
          <w:t>88/2012</w:t>
        </w:r>
      </w:hyperlink>
      <w:r>
        <w:t>, ff. 1, 4 a 6.</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J.14) Murcia</w:t>
      </w:r>
    </w:p>
    <w:p w:rsidR="0043655B" w:rsidRDefault="0043655B" w:rsidP="0043655B">
      <w:pPr>
        <w:pStyle w:val="TextoNormal"/>
      </w:pPr>
    </w:p>
    <w:p w:rsidR="0043655B" w:rsidRDefault="0043655B" w:rsidP="0043655B">
      <w:pPr>
        <w:pStyle w:val="TextoNormalNegritaCentradoSubrayado"/>
        <w:suppressAutoHyphens/>
      </w:pPr>
      <w:r>
        <w:t>J.14.a) Estatuto de Autonomía</w:t>
      </w:r>
    </w:p>
    <w:p w:rsidR="0043655B" w:rsidRDefault="0043655B" w:rsidP="0043655B">
      <w:pPr>
        <w:pStyle w:val="TextoNormalNegritaCentradoSubrayado"/>
      </w:pPr>
    </w:p>
    <w:p w:rsidR="0043655B" w:rsidRDefault="0043655B" w:rsidP="0043655B">
      <w:pPr>
        <w:pStyle w:val="TextoNormalNegritaCursivandice"/>
      </w:pPr>
      <w:r>
        <w:t>Ley Orgánica 4/1982, de 9 de junio. Estatuto de Autonomía de la Región de Murcia</w:t>
      </w:r>
    </w:p>
    <w:p w:rsidR="0043655B" w:rsidRDefault="0043655B" w:rsidP="0043655B">
      <w:pPr>
        <w:pStyle w:val="SangriaFrancesaArticulo"/>
      </w:pPr>
      <w:r w:rsidRPr="0043655B">
        <w:rPr>
          <w:rStyle w:val="TextoNormalNegritaCaracter"/>
        </w:rPr>
        <w:t>Disposición adicional primera, apartado 2.</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p>
    <w:p w:rsidR="0043655B" w:rsidRDefault="0043655B" w:rsidP="0043655B">
      <w:pPr>
        <w:pStyle w:val="TextoNormalNegritaCursivandice"/>
      </w:pPr>
      <w:r>
        <w:t>Ley Orgánica 1/1998, de 15 de junio. Reforma de la Ley Orgánica 4/1982, de 9 de junio, del Estatuto de Autonomía de la Región de Murcia</w:t>
      </w:r>
    </w:p>
    <w:p w:rsidR="0043655B" w:rsidRDefault="0043655B" w:rsidP="0043655B">
      <w:pPr>
        <w:pStyle w:val="SangriaFrancesaArticulo"/>
      </w:pPr>
      <w:r w:rsidRPr="0043655B">
        <w:rPr>
          <w:rStyle w:val="TextoNormalNegritaCaracter"/>
        </w:rPr>
        <w:t>Disposición adicional primera, apartado 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J.15) Navarra</w:t>
      </w:r>
    </w:p>
    <w:p w:rsidR="0043655B" w:rsidRDefault="0043655B" w:rsidP="0043655B">
      <w:pPr>
        <w:pStyle w:val="TextoNormal"/>
      </w:pPr>
    </w:p>
    <w:p w:rsidR="0043655B" w:rsidRDefault="0043655B" w:rsidP="0043655B">
      <w:pPr>
        <w:pStyle w:val="TextoNormalNegritaCentradoSubrayado"/>
        <w:suppressAutoHyphens/>
      </w:pPr>
      <w:r>
        <w:t>J.15.a) Estatuto de Autonomía</w:t>
      </w:r>
    </w:p>
    <w:p w:rsidR="0043655B" w:rsidRDefault="0043655B" w:rsidP="0043655B">
      <w:pPr>
        <w:pStyle w:val="TextoNormalNegritaCentradoSubrayado"/>
      </w:pPr>
    </w:p>
    <w:p w:rsidR="0043655B" w:rsidRDefault="0043655B" w:rsidP="0043655B">
      <w:pPr>
        <w:pStyle w:val="TextoNormalNegritaCursivandice"/>
      </w:pPr>
      <w:r>
        <w:t>Ley Orgánica 13/1982, de 10 de agosto. Reintegración y amejoramiento del régimen foral de Navarra</w:t>
      </w:r>
    </w:p>
    <w:p w:rsidR="0043655B" w:rsidRDefault="0043655B" w:rsidP="0043655B">
      <w:pPr>
        <w:pStyle w:val="SangriaFrancesaArticulo"/>
      </w:pPr>
      <w:r w:rsidRPr="0043655B">
        <w:rPr>
          <w:rStyle w:val="TextoNormalNegritaCaracter"/>
        </w:rPr>
        <w:t>Artículo 50.1 d).</w:t>
      </w:r>
      <w:r w:rsidRPr="0043655B">
        <w:rPr>
          <w:rStyle w:val="TextoNormalCaracter"/>
        </w:rPr>
        <w:t>-</w:t>
      </w:r>
      <w:r>
        <w:t xml:space="preserve"> Sentencia </w:t>
      </w:r>
      <w:hyperlink w:anchor="SENTENCIA_2012_82" w:history="1">
        <w:r w:rsidRPr="0043655B">
          <w:rPr>
            <w:rStyle w:val="TextoNormalCaracter"/>
          </w:rPr>
          <w:t>82/2012</w:t>
        </w:r>
      </w:hyperlink>
      <w:r>
        <w:t>, ff. 1, 4, 6, VP II.</w:t>
      </w:r>
    </w:p>
    <w:p w:rsidR="0043655B" w:rsidRDefault="0043655B" w:rsidP="0043655B">
      <w:pPr>
        <w:pStyle w:val="TextoNormal"/>
      </w:pPr>
    </w:p>
    <w:p w:rsidR="0043655B" w:rsidRDefault="0043655B" w:rsidP="0043655B">
      <w:pPr>
        <w:pStyle w:val="TextoNormalNegritaCentradoSubrayado"/>
        <w:suppressAutoHyphens/>
      </w:pPr>
      <w:r>
        <w:t>J.15.b) Leyes y disposiciones con fuerza de Ley</w:t>
      </w:r>
    </w:p>
    <w:p w:rsidR="0043655B" w:rsidRDefault="0043655B" w:rsidP="0043655B">
      <w:pPr>
        <w:pStyle w:val="TextoNormalNegritaCentradoSubrayado"/>
      </w:pPr>
    </w:p>
    <w:p w:rsidR="0043655B" w:rsidRDefault="0043655B" w:rsidP="0043655B">
      <w:pPr>
        <w:pStyle w:val="TextoNormalNegritaCursivandice"/>
      </w:pPr>
      <w:r>
        <w:t>Decreto Foral  Legislativo del Gobierno de Navarra 251/1993, de 30 de agosto. Texto refundido del Estatuto del personal al servicio de las Administraciones públicas de la Comunidad foral</w:t>
      </w:r>
    </w:p>
    <w:p w:rsidR="0043655B" w:rsidRDefault="0043655B" w:rsidP="0043655B">
      <w:pPr>
        <w:pStyle w:val="SangriaFrancesaArticulo"/>
      </w:pPr>
      <w:r w:rsidRPr="0043655B">
        <w:rPr>
          <w:rStyle w:val="TextoNormalNegritaCaracter"/>
        </w:rPr>
        <w:t>Artículo 109.</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114.</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115.</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115 inciso in fine.</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115 último inciso.</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116.</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117.</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p>
    <w:p w:rsidR="0043655B" w:rsidRDefault="0043655B" w:rsidP="0043655B">
      <w:pPr>
        <w:pStyle w:val="TextoNormalNegritaCursivandice"/>
      </w:pPr>
      <w:r>
        <w:t>Ley Foral del Parlamento de Navarra 9/1996, de 17 de junio. Regulación de los espacios naturales protegidos de Navarra</w:t>
      </w:r>
    </w:p>
    <w:p w:rsidR="0043655B" w:rsidRDefault="0043655B" w:rsidP="0043655B">
      <w:pPr>
        <w:pStyle w:val="SangriaFrancesaArticulo"/>
      </w:pPr>
      <w:r w:rsidRPr="0043655B">
        <w:rPr>
          <w:rStyle w:val="TextoNormalNegritaCaracter"/>
        </w:rPr>
        <w:t>Artículo 4.1 d).</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r w:rsidRPr="0043655B">
        <w:rPr>
          <w:rStyle w:val="TextoNormalNegritaCaracter"/>
        </w:rPr>
        <w:t>Artículo 17.</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r w:rsidRPr="0043655B">
        <w:rPr>
          <w:rStyle w:val="TextoNormalNegritaCaracter"/>
        </w:rPr>
        <w:t>Artículo 22.1.</w:t>
      </w:r>
      <w:r w:rsidRPr="0043655B">
        <w:rPr>
          <w:rStyle w:val="TextoNormalCaracter"/>
        </w:rPr>
        <w:t>-</w:t>
      </w:r>
      <w:r>
        <w:t xml:space="preserve"> Sentencia </w:t>
      </w:r>
      <w:hyperlink w:anchor="SENTENCIA_2012_82" w:history="1">
        <w:r w:rsidRPr="0043655B">
          <w:rPr>
            <w:rStyle w:val="TextoNormalCaracter"/>
          </w:rPr>
          <w:t>82/2012</w:t>
        </w:r>
      </w:hyperlink>
      <w:r>
        <w:t>, f. 5.</w:t>
      </w:r>
    </w:p>
    <w:p w:rsidR="0043655B" w:rsidRDefault="0043655B" w:rsidP="0043655B">
      <w:pPr>
        <w:pStyle w:val="SangriaFrancesaArticulo"/>
      </w:pPr>
    </w:p>
    <w:p w:rsidR="0043655B" w:rsidRDefault="0043655B" w:rsidP="0043655B">
      <w:pPr>
        <w:pStyle w:val="TextoNormalNegritaCursivandice"/>
      </w:pPr>
      <w:r>
        <w:t>Ley Foral del Parlamento de Navarra 10/1999, de 6 de abril. Declara Parque Natural las Bardenas Reales de Navarra.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2" w:history="1">
        <w:r w:rsidRPr="0043655B">
          <w:rPr>
            <w:rStyle w:val="TextoNormalCaracter"/>
          </w:rPr>
          <w:t>82/2012</w:t>
        </w:r>
      </w:hyperlink>
      <w:r>
        <w:t>, ff. 1, 2, 5.</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82" w:history="1">
        <w:r w:rsidRPr="0043655B">
          <w:rPr>
            <w:rStyle w:val="TextoNormalCaracter"/>
          </w:rPr>
          <w:t>82/2012</w:t>
        </w:r>
      </w:hyperlink>
      <w:r>
        <w:t>, ff. 2, 5.</w:t>
      </w:r>
    </w:p>
    <w:p w:rsidR="0043655B" w:rsidRDefault="0043655B" w:rsidP="0043655B">
      <w:pPr>
        <w:pStyle w:val="SangriaFrancesaArticulo"/>
      </w:pPr>
    </w:p>
    <w:p w:rsidR="0043655B" w:rsidRDefault="0043655B" w:rsidP="0043655B">
      <w:pPr>
        <w:pStyle w:val="TextoNormalNegritaCursivandice"/>
      </w:pPr>
      <w:r>
        <w:t>Ley Foral del Parlamento de Navarra 16/2000, de 29 de diciembre. Modifica la Ley Foral 10/1999, de 6 de abril, por la que se declara Parque natural las Bardenas Reales de Navarra</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 </w:t>
      </w:r>
      <w:hyperlink w:anchor="SENTENCIA_2012_82" w:history="1">
        <w:r w:rsidRPr="0043655B">
          <w:rPr>
            <w:rStyle w:val="TextoNormalCaracter"/>
          </w:rPr>
          <w:t>82/2012</w:t>
        </w:r>
      </w:hyperlink>
      <w:r>
        <w:t>, ff. 1, 2, 5, 6, VP I.</w:t>
      </w:r>
    </w:p>
    <w:p w:rsidR="0043655B" w:rsidRDefault="0043655B" w:rsidP="0043655B">
      <w:pPr>
        <w:pStyle w:val="SangriaFrancesaArticulo"/>
      </w:pPr>
      <w:r w:rsidRPr="0043655B">
        <w:rPr>
          <w:rStyle w:val="TextoNormalNegritaCaracter"/>
        </w:rPr>
        <w:t>Exposición de motivos.</w:t>
      </w:r>
      <w:r w:rsidRPr="0043655B">
        <w:rPr>
          <w:rStyle w:val="TextoNormalCaracter"/>
        </w:rPr>
        <w:t>-</w:t>
      </w:r>
      <w:r>
        <w:t xml:space="preserve"> Sentencia </w:t>
      </w:r>
      <w:hyperlink w:anchor="SENTENCIA_2012_82" w:history="1">
        <w:r w:rsidRPr="0043655B">
          <w:rPr>
            <w:rStyle w:val="TextoNormalCaracter"/>
          </w:rPr>
          <w:t>82/2012</w:t>
        </w:r>
      </w:hyperlink>
      <w:r>
        <w:t>, f. 2, VP II.</w:t>
      </w:r>
    </w:p>
    <w:p w:rsidR="0043655B" w:rsidRDefault="0043655B" w:rsidP="0043655B">
      <w:pPr>
        <w:pStyle w:val="SangriaFrancesaArticulo"/>
      </w:pPr>
      <w:r w:rsidRPr="0043655B">
        <w:rPr>
          <w:rStyle w:val="TextoNormalNegritaCaracter"/>
        </w:rPr>
        <w:t>Disposición final primera.</w:t>
      </w:r>
      <w:r w:rsidRPr="0043655B">
        <w:rPr>
          <w:rStyle w:val="TextoNormalCaracter"/>
        </w:rPr>
        <w:t>-</w:t>
      </w:r>
      <w:r>
        <w:t xml:space="preserve"> Sentencia </w:t>
      </w:r>
      <w:hyperlink w:anchor="SENTENCIA_2012_82" w:history="1">
        <w:r w:rsidRPr="0043655B">
          <w:rPr>
            <w:rStyle w:val="TextoNormalCaracter"/>
          </w:rPr>
          <w:t>82/2012</w:t>
        </w:r>
      </w:hyperlink>
      <w:r>
        <w:t>, VP II.</w:t>
      </w:r>
    </w:p>
    <w:p w:rsidR="0043655B" w:rsidRDefault="0043655B" w:rsidP="0043655B">
      <w:pPr>
        <w:pStyle w:val="SangriaFrancesaArticulo"/>
      </w:pPr>
      <w:r w:rsidRPr="0043655B">
        <w:rPr>
          <w:rStyle w:val="TextoNormalNegritaCaracter"/>
        </w:rPr>
        <w:t>Disposición final tercera.</w:t>
      </w:r>
      <w:r w:rsidRPr="0043655B">
        <w:rPr>
          <w:rStyle w:val="TextoNormalCaracter"/>
        </w:rPr>
        <w:t>-</w:t>
      </w:r>
      <w:r>
        <w:t xml:space="preserve"> Sentencia </w:t>
      </w:r>
      <w:hyperlink w:anchor="SENTENCIA_2012_82" w:history="1">
        <w:r w:rsidRPr="0043655B">
          <w:rPr>
            <w:rStyle w:val="TextoNormalCaracter"/>
          </w:rPr>
          <w:t>82/2012</w:t>
        </w:r>
      </w:hyperlink>
      <w:r>
        <w:t>, ff. 2, 5, VP I, VP II.</w:t>
      </w:r>
    </w:p>
    <w:p w:rsidR="0043655B" w:rsidRDefault="0043655B" w:rsidP="0043655B">
      <w:pPr>
        <w:pStyle w:val="SangriaFrancesaArticulo"/>
      </w:pPr>
    </w:p>
    <w:p w:rsidR="0043655B" w:rsidRDefault="0043655B" w:rsidP="0043655B">
      <w:pPr>
        <w:pStyle w:val="TextoNormalNegritaCursivandice"/>
      </w:pPr>
      <w:r>
        <w:t>Ley Foral del Parlamento de Navarra 17/2001, de 12 de julio. Regulación del comercio en Navarra</w:t>
      </w:r>
    </w:p>
    <w:p w:rsidR="0043655B" w:rsidRDefault="0043655B" w:rsidP="0043655B">
      <w:pPr>
        <w:pStyle w:val="SangriaFrancesaArticulo"/>
      </w:pPr>
      <w:r w:rsidRPr="0043655B">
        <w:rPr>
          <w:rStyle w:val="TextoNormalNegritaCaracter"/>
        </w:rPr>
        <w:t>Artículo 69.3 l).</w:t>
      </w:r>
      <w:r w:rsidRPr="0043655B">
        <w:rPr>
          <w:rStyle w:val="TextoNormalCaracter"/>
        </w:rPr>
        <w:t>-</w:t>
      </w:r>
      <w:r>
        <w:t xml:space="preserve"> Sentencia </w:t>
      </w:r>
      <w:hyperlink w:anchor="SENTENCIA_2012_26" w:history="1">
        <w:r w:rsidRPr="0043655B">
          <w:rPr>
            <w:rStyle w:val="TextoNormalCaracter"/>
          </w:rPr>
          <w:t>26/2012</w:t>
        </w:r>
      </w:hyperlink>
      <w:r>
        <w:t>, f. 13.</w:t>
      </w:r>
    </w:p>
    <w:p w:rsidR="0043655B" w:rsidRDefault="0043655B" w:rsidP="0043655B">
      <w:pPr>
        <w:pStyle w:val="SangriaFrancesaArticulo"/>
      </w:pPr>
      <w:r w:rsidRPr="0043655B">
        <w:rPr>
          <w:rStyle w:val="TextoNormalNegritaCaracter"/>
        </w:rPr>
        <w:t>Artículo 69.4 e).</w:t>
      </w:r>
      <w:r w:rsidRPr="0043655B">
        <w:rPr>
          <w:rStyle w:val="TextoNormalCaracter"/>
        </w:rPr>
        <w:t>-</w:t>
      </w:r>
      <w:r>
        <w:t xml:space="preserve"> Sentencia </w:t>
      </w:r>
      <w:hyperlink w:anchor="SENTENCIA_2012_26" w:history="1">
        <w:r w:rsidRPr="0043655B">
          <w:rPr>
            <w:rStyle w:val="TextoNormalCaracter"/>
          </w:rPr>
          <w:t>26/2012</w:t>
        </w:r>
      </w:hyperlink>
      <w:r>
        <w:t>, f. 13.</w:t>
      </w:r>
    </w:p>
    <w:p w:rsidR="0043655B" w:rsidRDefault="0043655B" w:rsidP="0043655B">
      <w:pPr>
        <w:pStyle w:val="SangriaFrancesaArticulo"/>
      </w:pPr>
    </w:p>
    <w:p w:rsidR="0043655B" w:rsidRDefault="0043655B" w:rsidP="0043655B">
      <w:pPr>
        <w:pStyle w:val="TextoNormalNegritaCursivandice"/>
      </w:pPr>
      <w:r>
        <w:t>Ley Foral del Parlamento de Navarra 7/2011, de 24 de marzo. Modifica el texto refundido del Estatuto del Personal al servicio de las Administraciones Públicas de Navarra.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único, apartado 1.</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Artículo único, apartado 4.</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Disposición adicional única.</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SangriaFrancesaArticulo"/>
      </w:pPr>
      <w:r w:rsidRPr="0043655B">
        <w:rPr>
          <w:rStyle w:val="TextoNormalNegritaCaracter"/>
        </w:rPr>
        <w:t>Disposición transitoria primera.</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TextoNormal"/>
      </w:pPr>
    </w:p>
    <w:p w:rsidR="0043655B" w:rsidRDefault="0043655B" w:rsidP="0043655B">
      <w:pPr>
        <w:pStyle w:val="TextoNormalNegritaCentradoSubrayado"/>
        <w:suppressAutoHyphens/>
      </w:pPr>
      <w:r>
        <w:t>J.15.c)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Decreto Foral del Gobierno de Navarra 266/1998, de 7 de septiembre. Aprueba el plan de ordenación de los recursos naturales de Bardenas Reales de Navarra.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2" w:history="1">
        <w:r w:rsidRPr="0043655B">
          <w:rPr>
            <w:rStyle w:val="TextoNormalCaracter"/>
          </w:rPr>
          <w:t>82/2012</w:t>
        </w:r>
      </w:hyperlink>
      <w:r>
        <w:t>, ff. 2, 5.</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J.16) País Vasco</w:t>
      </w:r>
    </w:p>
    <w:p w:rsidR="0043655B" w:rsidRDefault="0043655B" w:rsidP="0043655B">
      <w:pPr>
        <w:pStyle w:val="TextoNormal"/>
      </w:pPr>
    </w:p>
    <w:p w:rsidR="0043655B" w:rsidRDefault="0043655B" w:rsidP="0043655B">
      <w:pPr>
        <w:pStyle w:val="TextoNormalNegritaCentradoSubrayado"/>
        <w:suppressAutoHyphens/>
      </w:pPr>
      <w:r>
        <w:t>J.16.a) Estatuto de Autonomía</w:t>
      </w:r>
    </w:p>
    <w:p w:rsidR="0043655B" w:rsidRDefault="0043655B" w:rsidP="0043655B">
      <w:pPr>
        <w:pStyle w:val="TextoNormalNegritaCentradoSubrayado"/>
      </w:pPr>
    </w:p>
    <w:p w:rsidR="0043655B" w:rsidRDefault="0043655B" w:rsidP="0043655B">
      <w:pPr>
        <w:pStyle w:val="TextoNormalNegritaCursivandice"/>
      </w:pPr>
      <w:r>
        <w:t>Ley Orgánica 3/1979, de 18 de diciembre. Estatuto de Autonomía del País Vasco</w:t>
      </w:r>
    </w:p>
    <w:p w:rsidR="0043655B" w:rsidRDefault="0043655B" w:rsidP="0043655B">
      <w:pPr>
        <w:pStyle w:val="SangriaFrancesaArticulo"/>
      </w:pPr>
      <w:r w:rsidRPr="0043655B">
        <w:rPr>
          <w:rStyle w:val="TextoNormalNegritaCaracter"/>
        </w:rPr>
        <w:t>Artículo 10.17.</w:t>
      </w:r>
      <w:r w:rsidRPr="0043655B">
        <w:rPr>
          <w:rStyle w:val="TextoNormalCaracter"/>
        </w:rPr>
        <w:t>-</w:t>
      </w:r>
      <w:r>
        <w:t xml:space="preserve"> Sentencia </w:t>
      </w:r>
      <w:hyperlink w:anchor="SENTENCIA_2012_80" w:history="1">
        <w:r w:rsidRPr="0043655B">
          <w:rPr>
            <w:rStyle w:val="TextoNormalCaracter"/>
          </w:rPr>
          <w:t>80/2012</w:t>
        </w:r>
      </w:hyperlink>
      <w:r>
        <w:t>, ff. 1, 3, 5.</w:t>
      </w:r>
    </w:p>
    <w:p w:rsidR="0043655B" w:rsidRDefault="0043655B" w:rsidP="0043655B">
      <w:pPr>
        <w:pStyle w:val="SangriaFrancesaArticulo"/>
      </w:pPr>
      <w:r w:rsidRPr="0043655B">
        <w:rPr>
          <w:rStyle w:val="TextoNormalNegritaCaracter"/>
        </w:rPr>
        <w:t>Artículo 10.36.</w:t>
      </w:r>
      <w:r w:rsidRPr="0043655B">
        <w:rPr>
          <w:rStyle w:val="TextoNormalCaracter"/>
        </w:rPr>
        <w:t>-</w:t>
      </w:r>
      <w:r>
        <w:t xml:space="preserve"> Sentencia </w:t>
      </w:r>
      <w:hyperlink w:anchor="SENTENCIA_2012_80" w:history="1">
        <w:r w:rsidRPr="0043655B">
          <w:rPr>
            <w:rStyle w:val="TextoNormalCaracter"/>
          </w:rPr>
          <w:t>80/2012</w:t>
        </w:r>
      </w:hyperlink>
      <w:r>
        <w:t>, ff. 1 a 3, 6, 7, 9.</w:t>
      </w:r>
    </w:p>
    <w:p w:rsidR="0043655B" w:rsidRDefault="0043655B" w:rsidP="0043655B">
      <w:pPr>
        <w:pStyle w:val="SangriaFrancesaArticulo"/>
      </w:pPr>
      <w:r w:rsidRPr="0043655B">
        <w:rPr>
          <w:rStyle w:val="TextoNormalNegritaCaracter"/>
        </w:rPr>
        <w:t>Artículo 20.6.</w:t>
      </w:r>
      <w:r w:rsidRPr="0043655B">
        <w:rPr>
          <w:rStyle w:val="TextoNormalCaracter"/>
        </w:rPr>
        <w:t>-</w:t>
      </w:r>
      <w:r>
        <w:t xml:space="preserve"> Sentencia </w:t>
      </w:r>
      <w:hyperlink w:anchor="SENTENCIA_2012_80" w:history="1">
        <w:r w:rsidRPr="0043655B">
          <w:rPr>
            <w:rStyle w:val="TextoNormalCaracter"/>
          </w:rPr>
          <w:t>80/2012</w:t>
        </w:r>
      </w:hyperlink>
      <w:r>
        <w:t>, f. 7.</w:t>
      </w:r>
    </w:p>
    <w:p w:rsidR="0043655B" w:rsidRDefault="0043655B" w:rsidP="0043655B">
      <w:pPr>
        <w:pStyle w:val="TextoNormal"/>
      </w:pPr>
    </w:p>
    <w:p w:rsidR="0043655B" w:rsidRDefault="0043655B" w:rsidP="0043655B">
      <w:pPr>
        <w:pStyle w:val="TextoNormalNegritaCentradoSubrayado"/>
        <w:suppressAutoHyphens/>
      </w:pPr>
      <w:r>
        <w:t>J.16.b)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del Parlamento Vasco 2/1989, de 30 de mayo. Plan general de carreteras del País Vasco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12" w:history="1">
        <w:r w:rsidRPr="0043655B">
          <w:rPr>
            <w:rStyle w:val="TextoNormalCaracter"/>
          </w:rPr>
          <w:t>112/2012</w:t>
        </w:r>
      </w:hyperlink>
      <w:r>
        <w:t>, f. 2.</w:t>
      </w:r>
    </w:p>
    <w:p w:rsidR="0043655B" w:rsidRDefault="0043655B" w:rsidP="0043655B">
      <w:pPr>
        <w:pStyle w:val="SangriaFrancesaArticulo"/>
      </w:pPr>
    </w:p>
    <w:p w:rsidR="0043655B" w:rsidRDefault="0043655B" w:rsidP="0043655B">
      <w:pPr>
        <w:pStyle w:val="TextoNormalNegritaCursivandice"/>
      </w:pPr>
      <w:r>
        <w:t>Ley del Parlamento Vasco 11/1994, de 17 de junio. Ordenación Farmacéutica de la Comunidad Autónoma del País Vasco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8" w:history="1">
        <w:r w:rsidRPr="0043655B">
          <w:rPr>
            <w:rStyle w:val="TextoNormalCaracter"/>
          </w:rPr>
          <w:t>78/2012</w:t>
        </w:r>
      </w:hyperlink>
      <w:r>
        <w:t>, f. 3.</w:t>
      </w:r>
    </w:p>
    <w:p w:rsidR="0043655B" w:rsidRDefault="0043655B" w:rsidP="0043655B">
      <w:pPr>
        <w:pStyle w:val="SangriaFrancesaArticulo"/>
      </w:pPr>
      <w:r w:rsidRPr="0043655B">
        <w:rPr>
          <w:rStyle w:val="TextoNormalNegritaCaracter"/>
        </w:rPr>
        <w:t>Artículo 6.6.</w:t>
      </w:r>
      <w:r w:rsidRPr="0043655B">
        <w:rPr>
          <w:rStyle w:val="TextoNormalCaracter"/>
        </w:rPr>
        <w:t>-</w:t>
      </w:r>
      <w:r>
        <w:t xml:space="preserve"> Sentencia </w:t>
      </w:r>
      <w:hyperlink w:anchor="SENTENCIA_2012_78" w:history="1">
        <w:r w:rsidRPr="0043655B">
          <w:rPr>
            <w:rStyle w:val="TextoNormalCaracter"/>
          </w:rPr>
          <w:t>78/2012</w:t>
        </w:r>
      </w:hyperlink>
      <w:r>
        <w:t>, f. 3.</w:t>
      </w:r>
    </w:p>
    <w:p w:rsidR="0043655B" w:rsidRDefault="0043655B" w:rsidP="0043655B">
      <w:pPr>
        <w:pStyle w:val="SangriaFrancesaArticulo"/>
      </w:pPr>
      <w:r w:rsidRPr="0043655B">
        <w:rPr>
          <w:rStyle w:val="TextoNormalNegritaCaracter"/>
        </w:rPr>
        <w:lastRenderedPageBreak/>
        <w:t>Artículo 17.</w:t>
      </w:r>
      <w:r w:rsidRPr="0043655B">
        <w:rPr>
          <w:rStyle w:val="TextoNormalCaracter"/>
        </w:rPr>
        <w:t>-</w:t>
      </w:r>
      <w:r>
        <w:t xml:space="preserve"> Sentencia </w:t>
      </w:r>
      <w:hyperlink w:anchor="SENTENCIA_2012_78" w:history="1">
        <w:r w:rsidRPr="0043655B">
          <w:rPr>
            <w:rStyle w:val="TextoNormalCaracter"/>
          </w:rPr>
          <w:t>78/2012</w:t>
        </w:r>
      </w:hyperlink>
      <w:r>
        <w:t>, f. 3.</w:t>
      </w:r>
    </w:p>
    <w:p w:rsidR="0043655B" w:rsidRDefault="0043655B" w:rsidP="0043655B">
      <w:pPr>
        <w:pStyle w:val="SangriaFrancesaArticulo"/>
      </w:pPr>
      <w:r w:rsidRPr="0043655B">
        <w:rPr>
          <w:rStyle w:val="TextoNormalNegritaCaracter"/>
        </w:rPr>
        <w:t>Artículo 17.1.</w:t>
      </w:r>
      <w:r w:rsidRPr="0043655B">
        <w:rPr>
          <w:rStyle w:val="TextoNormalCaracter"/>
        </w:rPr>
        <w:t>-</w:t>
      </w:r>
      <w:r>
        <w:t xml:space="preserve"> Sentencia </w:t>
      </w:r>
      <w:hyperlink w:anchor="SENTENCIA_2012_78" w:history="1">
        <w:r w:rsidRPr="0043655B">
          <w:rPr>
            <w:rStyle w:val="TextoNormalCaracter"/>
          </w:rPr>
          <w:t>78/2012</w:t>
        </w:r>
      </w:hyperlink>
      <w:r>
        <w:t>, f. 3.</w:t>
      </w:r>
    </w:p>
    <w:p w:rsidR="0043655B" w:rsidRDefault="0043655B" w:rsidP="0043655B">
      <w:pPr>
        <w:pStyle w:val="SangriaFrancesaArticulo"/>
      </w:pPr>
      <w:r w:rsidRPr="0043655B">
        <w:rPr>
          <w:rStyle w:val="TextoNormalNegritaCaracter"/>
        </w:rPr>
        <w:t>Artículo 34.2 párrafo 2.</w:t>
      </w:r>
      <w:r w:rsidRPr="0043655B">
        <w:rPr>
          <w:rStyle w:val="TextoNormalCaracter"/>
        </w:rPr>
        <w:t>-</w:t>
      </w:r>
      <w:r>
        <w:t xml:space="preserve"> Sentencia </w:t>
      </w:r>
      <w:hyperlink w:anchor="SENTENCIA_2012_78" w:history="1">
        <w:r w:rsidRPr="0043655B">
          <w:rPr>
            <w:rStyle w:val="TextoNormalCaracter"/>
          </w:rPr>
          <w:t>78/2012</w:t>
        </w:r>
      </w:hyperlink>
      <w:r>
        <w:t>, ff. 1, 2.</w:t>
      </w:r>
    </w:p>
    <w:p w:rsidR="0043655B" w:rsidRDefault="0043655B" w:rsidP="0043655B">
      <w:pPr>
        <w:pStyle w:val="SangriaFrancesaArticulo"/>
      </w:pPr>
    </w:p>
    <w:p w:rsidR="0043655B" w:rsidRDefault="0043655B" w:rsidP="0043655B">
      <w:pPr>
        <w:pStyle w:val="TextoNormalNegritaCursivandice"/>
      </w:pPr>
      <w:r>
        <w:t>Ley del Parlamento Vasco 3/1998, de 27 de febrero. Protección del medio ambiente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1" w:history="1">
        <w:r w:rsidRPr="0043655B">
          <w:rPr>
            <w:rStyle w:val="TextoNormalCaracter"/>
          </w:rPr>
          <w:t>1/2012</w:t>
        </w:r>
      </w:hyperlink>
      <w:r>
        <w:t xml:space="preserve">, f. 14; </w:t>
      </w:r>
      <w:hyperlink w:anchor="SENTENCIA_2012_34" w:history="1">
        <w:r w:rsidRPr="0043655B">
          <w:rPr>
            <w:rStyle w:val="TextoNormalCaracter"/>
          </w:rPr>
          <w:t>34/2012</w:t>
        </w:r>
      </w:hyperlink>
      <w:r>
        <w:t>, f. 5.</w:t>
      </w:r>
    </w:p>
    <w:p w:rsidR="0043655B" w:rsidRDefault="0043655B" w:rsidP="0043655B">
      <w:pPr>
        <w:pStyle w:val="SangriaFrancesaArticulo"/>
      </w:pPr>
    </w:p>
    <w:p w:rsidR="0043655B" w:rsidRDefault="0043655B" w:rsidP="0043655B">
      <w:pPr>
        <w:pStyle w:val="TextoNormalNegritaCursivandice"/>
      </w:pPr>
      <w:r>
        <w:t>Ley del Parlamento Vasco 14/1998, de 11 de junio. Deporte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80" w:history="1">
        <w:r w:rsidRPr="0043655B">
          <w:rPr>
            <w:rStyle w:val="TextoNormalCaracter"/>
          </w:rPr>
          <w:t>80/2012</w:t>
        </w:r>
      </w:hyperlink>
      <w:r>
        <w:t xml:space="preserve">, ff. 9, 10; </w:t>
      </w:r>
      <w:hyperlink w:anchor="SENTENCIA_2012_110" w:history="1">
        <w:r w:rsidRPr="0043655B">
          <w:rPr>
            <w:rStyle w:val="TextoNormalCaracter"/>
          </w:rPr>
          <w:t>110/2012</w:t>
        </w:r>
      </w:hyperlink>
      <w:r>
        <w:t>, f. 5.</w:t>
      </w:r>
    </w:p>
    <w:p w:rsidR="0043655B" w:rsidRDefault="0043655B" w:rsidP="0043655B">
      <w:pPr>
        <w:pStyle w:val="SangriaFrancesaArticulo"/>
      </w:pPr>
      <w:r w:rsidRPr="0043655B">
        <w:rPr>
          <w:rStyle w:val="TextoNormalNegritaCaracter"/>
        </w:rPr>
        <w:t>Preámbulo.</w:t>
      </w:r>
      <w:r w:rsidRPr="0043655B">
        <w:rPr>
          <w:rStyle w:val="TextoNormalCaracter"/>
        </w:rPr>
        <w:t>-</w:t>
      </w:r>
      <w:r>
        <w:t xml:space="preserve"> Sentencia </w:t>
      </w:r>
      <w:hyperlink w:anchor="SENTENCIA_2012_80" w:history="1">
        <w:r w:rsidRPr="0043655B">
          <w:rPr>
            <w:rStyle w:val="TextoNormalCaracter"/>
          </w:rPr>
          <w:t>80/2012</w:t>
        </w:r>
      </w:hyperlink>
      <w:r>
        <w:t>, f. 6.</w:t>
      </w:r>
    </w:p>
    <w:p w:rsidR="0043655B" w:rsidRDefault="0043655B" w:rsidP="0043655B">
      <w:pPr>
        <w:pStyle w:val="SangriaFrancesaArticulo"/>
      </w:pPr>
      <w:r w:rsidRPr="0043655B">
        <w:rPr>
          <w:rStyle w:val="TextoNormalNegritaCaracter"/>
        </w:rPr>
        <w:t>Artículo 2.1.</w:t>
      </w:r>
      <w:r w:rsidRPr="0043655B">
        <w:rPr>
          <w:rStyle w:val="TextoNormalCaracter"/>
        </w:rPr>
        <w:t>-</w:t>
      </w:r>
      <w:r>
        <w:t xml:space="preserve"> Sentencia </w:t>
      </w:r>
      <w:hyperlink w:anchor="SENTENCIA_2012_80" w:history="1">
        <w:r w:rsidRPr="0043655B">
          <w:rPr>
            <w:rStyle w:val="TextoNormalCaracter"/>
          </w:rPr>
          <w:t>80/2012</w:t>
        </w:r>
      </w:hyperlink>
      <w:r>
        <w:t>, f. 6.</w:t>
      </w:r>
    </w:p>
    <w:p w:rsidR="0043655B" w:rsidRDefault="0043655B" w:rsidP="0043655B">
      <w:pPr>
        <w:pStyle w:val="SangriaFrancesaArticulo"/>
      </w:pPr>
      <w:r w:rsidRPr="0043655B">
        <w:rPr>
          <w:rStyle w:val="TextoNormalNegritaCaracter"/>
        </w:rPr>
        <w:t>Artículo 2.2.</w:t>
      </w:r>
      <w:r w:rsidRPr="0043655B">
        <w:rPr>
          <w:rStyle w:val="TextoNormalCaracter"/>
        </w:rPr>
        <w:t>-</w:t>
      </w:r>
      <w:r>
        <w:t xml:space="preserve"> Sentencia </w:t>
      </w:r>
      <w:hyperlink w:anchor="SENTENCIA_2012_80" w:history="1">
        <w:r w:rsidRPr="0043655B">
          <w:rPr>
            <w:rStyle w:val="TextoNormalCaracter"/>
          </w:rPr>
          <w:t>80/2012</w:t>
        </w:r>
      </w:hyperlink>
      <w:r>
        <w:t>, f. 6.</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15.3.</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16.</w:t>
      </w:r>
      <w:r w:rsidRPr="0043655B">
        <w:rPr>
          <w:rStyle w:val="TextoNormalCaracter"/>
        </w:rPr>
        <w:t>-</w:t>
      </w:r>
      <w:r>
        <w:t xml:space="preserve"> Sentencia </w:t>
      </w:r>
      <w:hyperlink w:anchor="SENTENCIA_2012_110" w:history="1">
        <w:r w:rsidRPr="0043655B">
          <w:rPr>
            <w:rStyle w:val="TextoNormalCaracter"/>
          </w:rPr>
          <w:t>110/2012</w:t>
        </w:r>
      </w:hyperlink>
      <w:r>
        <w:t>, f. 5.</w:t>
      </w:r>
    </w:p>
    <w:p w:rsidR="0043655B" w:rsidRDefault="0043655B" w:rsidP="0043655B">
      <w:pPr>
        <w:pStyle w:val="SangriaFrancesaArticulo"/>
      </w:pPr>
      <w:r w:rsidRPr="0043655B">
        <w:rPr>
          <w:rStyle w:val="TextoNormalNegritaCaracter"/>
        </w:rPr>
        <w:t>Artículo 16.1 inciso 1.</w:t>
      </w:r>
      <w:r w:rsidRPr="0043655B">
        <w:rPr>
          <w:rStyle w:val="TextoNormalCaracter"/>
        </w:rPr>
        <w:t>-</w:t>
      </w:r>
      <w:r>
        <w:t xml:space="preserve"> Sentencia </w:t>
      </w:r>
      <w:hyperlink w:anchor="SENTENCIA_2012_80" w:history="1">
        <w:r w:rsidRPr="0043655B">
          <w:rPr>
            <w:rStyle w:val="TextoNormalCaracter"/>
          </w:rPr>
          <w:t>80/2012</w:t>
        </w:r>
      </w:hyperlink>
      <w:r>
        <w:t>, f. 10.</w:t>
      </w:r>
    </w:p>
    <w:p w:rsidR="0043655B" w:rsidRDefault="0043655B" w:rsidP="0043655B">
      <w:pPr>
        <w:pStyle w:val="SangriaFrancesaArticulo"/>
      </w:pPr>
      <w:r w:rsidRPr="0043655B">
        <w:rPr>
          <w:rStyle w:val="TextoNormalNegritaCaracter"/>
        </w:rPr>
        <w:t>Artículo 16.3.</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16.6.</w:t>
      </w:r>
      <w:r w:rsidRPr="0043655B">
        <w:rPr>
          <w:rStyle w:val="TextoNormalCaracter"/>
        </w:rPr>
        <w:t>-</w:t>
      </w:r>
      <w:r>
        <w:t xml:space="preserve"> Sentencias </w:t>
      </w:r>
      <w:hyperlink w:anchor="SENTENCIA_2012_80" w:history="1">
        <w:r w:rsidRPr="0043655B">
          <w:rPr>
            <w:rStyle w:val="TextoNormalCaracter"/>
          </w:rPr>
          <w:t>80/2012</w:t>
        </w:r>
      </w:hyperlink>
      <w:r>
        <w:t xml:space="preserve">, ff. 1, 2, 9, 10, VP I, VP II; </w:t>
      </w:r>
      <w:hyperlink w:anchor="SENTENCIA_2012_110" w:history="1">
        <w:r w:rsidRPr="0043655B">
          <w:rPr>
            <w:rStyle w:val="TextoNormalCaracter"/>
          </w:rPr>
          <w:t>110/2012</w:t>
        </w:r>
      </w:hyperlink>
      <w:r>
        <w:t>, f. 2.</w:t>
      </w:r>
    </w:p>
    <w:p w:rsidR="0043655B" w:rsidRDefault="0043655B" w:rsidP="0043655B">
      <w:pPr>
        <w:pStyle w:val="SangriaFrancesaArticulo"/>
      </w:pPr>
      <w:r w:rsidRPr="0043655B">
        <w:rPr>
          <w:rStyle w:val="TextoNormalNegritaCaracter"/>
        </w:rPr>
        <w:t>Artículo 16.6 inciso 1.</w:t>
      </w:r>
      <w:r w:rsidRPr="0043655B">
        <w:rPr>
          <w:rStyle w:val="TextoNormalCaracter"/>
        </w:rPr>
        <w:t>-</w:t>
      </w:r>
      <w:r>
        <w:t xml:space="preserve"> Sentencias </w:t>
      </w:r>
      <w:hyperlink w:anchor="SENTENCIA_2012_80" w:history="1">
        <w:r w:rsidRPr="0043655B">
          <w:rPr>
            <w:rStyle w:val="TextoNormalCaracter"/>
          </w:rPr>
          <w:t>80/2012</w:t>
        </w:r>
      </w:hyperlink>
      <w:r>
        <w:t xml:space="preserve">, ff. 10, 11, VP I; </w:t>
      </w:r>
      <w:hyperlink w:anchor="SENTENCIA_2012_110" w:history="1">
        <w:r w:rsidRPr="0043655B">
          <w:rPr>
            <w:rStyle w:val="TextoNormalCaracter"/>
          </w:rPr>
          <w:t>110/2012</w:t>
        </w:r>
      </w:hyperlink>
      <w:r>
        <w:t>, f. 5.</w:t>
      </w:r>
    </w:p>
    <w:p w:rsidR="0043655B" w:rsidRDefault="0043655B" w:rsidP="0043655B">
      <w:pPr>
        <w:pStyle w:val="SangriaFrancesaArticulo"/>
      </w:pPr>
      <w:r w:rsidRPr="0043655B">
        <w:rPr>
          <w:rStyle w:val="TextoNormalNegritaCaracter"/>
        </w:rPr>
        <w:t>Artículo 16.6 inciso 2.</w:t>
      </w:r>
      <w:r w:rsidRPr="0043655B">
        <w:rPr>
          <w:rStyle w:val="TextoNormalCaracter"/>
        </w:rPr>
        <w:t>-</w:t>
      </w:r>
      <w:r>
        <w:t xml:space="preserve"> Sentencia </w:t>
      </w:r>
      <w:hyperlink w:anchor="SENTENCIA_2012_80" w:history="1">
        <w:r w:rsidRPr="0043655B">
          <w:rPr>
            <w:rStyle w:val="TextoNormalCaracter"/>
          </w:rPr>
          <w:t>80/2012</w:t>
        </w:r>
      </w:hyperlink>
      <w:r>
        <w:t>, ff. 9, 10.</w:t>
      </w:r>
    </w:p>
    <w:p w:rsidR="0043655B" w:rsidRDefault="0043655B" w:rsidP="0043655B">
      <w:pPr>
        <w:pStyle w:val="SangriaFrancesaArticulo"/>
      </w:pPr>
      <w:r w:rsidRPr="0043655B">
        <w:rPr>
          <w:rStyle w:val="TextoNormalNegritaCaracter"/>
        </w:rPr>
        <w:t>Artículo 16.7.</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24.1.</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27.</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33.2.</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34.</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SangriaFrancesaArticulo"/>
      </w:pPr>
      <w:r w:rsidRPr="0043655B">
        <w:rPr>
          <w:rStyle w:val="TextoNormalNegritaCaracter"/>
        </w:rPr>
        <w:t>Artículo 37.</w:t>
      </w:r>
      <w:r w:rsidRPr="0043655B">
        <w:rPr>
          <w:rStyle w:val="TextoNormalCaracter"/>
        </w:rPr>
        <w:t>-</w:t>
      </w:r>
      <w:r>
        <w:t xml:space="preserve"> Sentencia </w:t>
      </w:r>
      <w:hyperlink w:anchor="SENTENCIA_2012_80" w:history="1">
        <w:r w:rsidRPr="0043655B">
          <w:rPr>
            <w:rStyle w:val="TextoNormalCaracter"/>
          </w:rPr>
          <w:t>80/2012</w:t>
        </w:r>
      </w:hyperlink>
      <w:r>
        <w:t>, ff. 9, 10.</w:t>
      </w:r>
    </w:p>
    <w:p w:rsidR="0043655B" w:rsidRDefault="0043655B" w:rsidP="0043655B">
      <w:pPr>
        <w:pStyle w:val="SangriaFrancesaArticulo"/>
      </w:pPr>
      <w:r w:rsidRPr="0043655B">
        <w:rPr>
          <w:rStyle w:val="TextoNormalNegritaCaracter"/>
        </w:rPr>
        <w:t>Artículo 45.1 inciso 2.</w:t>
      </w:r>
      <w:r w:rsidRPr="0043655B">
        <w:rPr>
          <w:rStyle w:val="TextoNormalCaracter"/>
        </w:rPr>
        <w:t>-</w:t>
      </w:r>
      <w:r>
        <w:t xml:space="preserve"> Sentencia </w:t>
      </w:r>
      <w:hyperlink w:anchor="SENTENCIA_2012_80" w:history="1">
        <w:r w:rsidRPr="0043655B">
          <w:rPr>
            <w:rStyle w:val="TextoNormalCaracter"/>
          </w:rPr>
          <w:t>80/2012</w:t>
        </w:r>
      </w:hyperlink>
      <w:r>
        <w:t>, f. 9.</w:t>
      </w:r>
    </w:p>
    <w:p w:rsidR="0043655B" w:rsidRDefault="0043655B" w:rsidP="0043655B">
      <w:pPr>
        <w:pStyle w:val="TextoNormal"/>
      </w:pPr>
    </w:p>
    <w:p w:rsidR="0043655B" w:rsidRDefault="0043655B" w:rsidP="0043655B">
      <w:pPr>
        <w:pStyle w:val="TextoNormalNegritaCentradoSubrayado"/>
        <w:suppressAutoHyphens/>
      </w:pPr>
      <w:r>
        <w:t>J.16.c)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Decreto del Gobierno Vasco 129/1997, de 3 de junio Dotación de medios humanos de las oficinas de farmacia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8" w:history="1">
        <w:r w:rsidRPr="0043655B">
          <w:rPr>
            <w:rStyle w:val="TextoNormalCaracter"/>
          </w:rPr>
          <w:t>78/2012</w:t>
        </w:r>
      </w:hyperlink>
      <w:r>
        <w:t>, f. 3.</w:t>
      </w:r>
    </w:p>
    <w:p w:rsidR="0043655B" w:rsidRDefault="0043655B" w:rsidP="0043655B">
      <w:pPr>
        <w:pStyle w:val="SangriaFrancesaArticulo"/>
      </w:pPr>
    </w:p>
    <w:p w:rsidR="0043655B" w:rsidRDefault="0043655B" w:rsidP="0043655B">
      <w:pPr>
        <w:pStyle w:val="TextoNormalNegritaCursivandice"/>
      </w:pPr>
      <w:r>
        <w:t>Decreto del Gobierno Vasco 63/1998, de 31 de marzo. Acuerdo entre el Departamento de justicia y las organizaciones sindicales sobre la modernización en la prestación del servicio público de la justicia y su repercusión en las condiciones de trabajo del personal al servicio de la Administración de justicia en el País Vasco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87" w:history="1">
        <w:r w:rsidRPr="0043655B">
          <w:rPr>
            <w:rStyle w:val="TextoNormalCaracter"/>
          </w:rPr>
          <w:t>87/2012</w:t>
        </w:r>
      </w:hyperlink>
      <w:r>
        <w:t>.</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J.17) Valencia</w:t>
      </w:r>
    </w:p>
    <w:p w:rsidR="0043655B" w:rsidRDefault="0043655B" w:rsidP="0043655B">
      <w:pPr>
        <w:pStyle w:val="TextoNormal"/>
      </w:pPr>
    </w:p>
    <w:p w:rsidR="0043655B" w:rsidRDefault="0043655B" w:rsidP="0043655B">
      <w:pPr>
        <w:pStyle w:val="TextoNormalNegritaCentradoSubrayado"/>
        <w:suppressAutoHyphens/>
      </w:pPr>
      <w:r>
        <w:t>J.17.a) Estatuto de Autonomía</w:t>
      </w:r>
    </w:p>
    <w:p w:rsidR="0043655B" w:rsidRDefault="0043655B" w:rsidP="0043655B">
      <w:pPr>
        <w:pStyle w:val="TextoNormalNegritaCentradoSubrayado"/>
      </w:pPr>
    </w:p>
    <w:p w:rsidR="0043655B" w:rsidRDefault="0043655B" w:rsidP="0043655B">
      <w:pPr>
        <w:pStyle w:val="TextoNormalNegritaCursivandice"/>
      </w:pPr>
      <w:r>
        <w:lastRenderedPageBreak/>
        <w:t>Ley Orgánica 5/1982, de 1 de julio. Estatuto de Autonomía de la Comunidad Valenciana</w:t>
      </w:r>
    </w:p>
    <w:p w:rsidR="0043655B" w:rsidRDefault="0043655B" w:rsidP="0043655B">
      <w:pPr>
        <w:pStyle w:val="SangriaFrancesaArticulo"/>
      </w:pPr>
      <w:r w:rsidRPr="0043655B">
        <w:rPr>
          <w:rStyle w:val="TextoNormalNegritaCaracter"/>
        </w:rPr>
        <w:t>Artículo 49.1.24</w:t>
      </w:r>
      <w:r>
        <w:t xml:space="preserve"> </w:t>
      </w:r>
      <w:r w:rsidRPr="0043655B">
        <w:rPr>
          <w:rStyle w:val="TextoNormalCaracter"/>
        </w:rPr>
        <w:t>(redactado por la Ley Orgánica 1/2006, de 10 de abril)</w:t>
      </w:r>
      <w:r w:rsidRPr="0043655B">
        <w:rPr>
          <w:rStyle w:val="TextoNormalNegritaCaracter"/>
        </w:rPr>
        <w:t>.</w:t>
      </w:r>
      <w:r w:rsidRPr="0043655B">
        <w:rPr>
          <w:rStyle w:val="TextoNormalCaracter"/>
        </w:rPr>
        <w:t>-</w:t>
      </w:r>
      <w:r>
        <w:t xml:space="preserve"> Sentencia </w:t>
      </w:r>
      <w:hyperlink w:anchor="SENTENCIA_2012_72" w:history="1">
        <w:r w:rsidRPr="0043655B">
          <w:rPr>
            <w:rStyle w:val="TextoNormalCaracter"/>
          </w:rPr>
          <w:t>72/2012</w:t>
        </w:r>
      </w:hyperlink>
      <w:r>
        <w:t>, f. 4.</w:t>
      </w:r>
    </w:p>
    <w:p w:rsidR="0043655B" w:rsidRDefault="0043655B" w:rsidP="0043655B">
      <w:pPr>
        <w:pStyle w:val="SangriaFrancesaArticulo"/>
      </w:pPr>
      <w:r w:rsidRPr="0043655B">
        <w:rPr>
          <w:rStyle w:val="TextoNormalNegritaCaracter"/>
        </w:rPr>
        <w:t>Artículo 52.1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52.5.</w:t>
      </w:r>
      <w:r w:rsidRPr="0043655B">
        <w:rPr>
          <w:rStyle w:val="TextoNormalCaracter"/>
        </w:rPr>
        <w:t>-</w:t>
      </w:r>
      <w:r>
        <w:t xml:space="preserve"> Sentencia </w:t>
      </w:r>
      <w:hyperlink w:anchor="SENTENCIA_2012_19" w:history="1">
        <w:r w:rsidRPr="0043655B">
          <w:rPr>
            <w:rStyle w:val="TextoNormalCaracter"/>
          </w:rPr>
          <w:t>19/2012</w:t>
        </w:r>
      </w:hyperlink>
      <w:r>
        <w:t>, ff. 2, 11.</w:t>
      </w:r>
    </w:p>
    <w:p w:rsidR="0043655B" w:rsidRDefault="0043655B" w:rsidP="0043655B">
      <w:pPr>
        <w:pStyle w:val="SangriaFrancesaArticulo"/>
      </w:pPr>
    </w:p>
    <w:p w:rsidR="0043655B" w:rsidRDefault="0043655B" w:rsidP="0043655B">
      <w:pPr>
        <w:pStyle w:val="TextoNormalNegritaCursivandice"/>
      </w:pPr>
      <w:r>
        <w:t>Ley Orgánica 1/2006, de 10 de abril. Reforma de la Ley Orgánica 5/1982, de 1 de julio, de Estatuto de Autonomía de la Comunidad Valenciana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72" w:history="1">
        <w:r w:rsidRPr="0043655B">
          <w:rPr>
            <w:rStyle w:val="TextoNormalCaracter"/>
          </w:rPr>
          <w:t>72/2012</w:t>
        </w:r>
      </w:hyperlink>
      <w:r>
        <w:t>, f. 4.</w:t>
      </w:r>
    </w:p>
    <w:p w:rsidR="0043655B" w:rsidRDefault="0043655B" w:rsidP="0043655B">
      <w:pPr>
        <w:pStyle w:val="SangriaFrancesaArticulo"/>
      </w:pPr>
      <w:r w:rsidRPr="0043655B">
        <w:rPr>
          <w:rStyle w:val="TextoNormalNegritaCaracter"/>
        </w:rPr>
        <w:t>Artículo 12.1.</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12.2.</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13.</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35.</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47.4.</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49.1.24.</w:t>
      </w:r>
      <w:r w:rsidRPr="0043655B">
        <w:rPr>
          <w:rStyle w:val="TextoNormalCaracter"/>
        </w:rPr>
        <w:t>-</w:t>
      </w:r>
      <w:r>
        <w:t xml:space="preserve"> Sentencia </w:t>
      </w:r>
      <w:hyperlink w:anchor="SENTENCIA_2012_77" w:history="1">
        <w:r w:rsidRPr="0043655B">
          <w:rPr>
            <w:rStyle w:val="TextoNormalCaracter"/>
          </w:rPr>
          <w:t>77/2012</w:t>
        </w:r>
      </w:hyperlink>
      <w:r>
        <w:t>, f. 3.</w:t>
      </w:r>
    </w:p>
    <w:p w:rsidR="0043655B" w:rsidRDefault="0043655B" w:rsidP="0043655B">
      <w:pPr>
        <w:pStyle w:val="SangriaFrancesaArticulo"/>
      </w:pPr>
      <w:r w:rsidRPr="0043655B">
        <w:rPr>
          <w:rStyle w:val="TextoNormalNegritaCaracter"/>
        </w:rPr>
        <w:t>Artículo 49.1.25.</w:t>
      </w:r>
      <w:r w:rsidRPr="0043655B">
        <w:rPr>
          <w:rStyle w:val="TextoNormalCaracter"/>
        </w:rPr>
        <w:t>-</w:t>
      </w:r>
      <w:r>
        <w:t xml:space="preserve"> Sentencia </w:t>
      </w:r>
      <w:hyperlink w:anchor="SENTENCIA_2012_77" w:history="1">
        <w:r w:rsidRPr="0043655B">
          <w:rPr>
            <w:rStyle w:val="TextoNormalCaracter"/>
          </w:rPr>
          <w:t>77/2012</w:t>
        </w:r>
      </w:hyperlink>
      <w:r>
        <w:t>, f. 3.</w:t>
      </w:r>
    </w:p>
    <w:p w:rsidR="0043655B" w:rsidRDefault="0043655B" w:rsidP="0043655B">
      <w:pPr>
        <w:pStyle w:val="SangriaFrancesaArticulo"/>
      </w:pPr>
      <w:r w:rsidRPr="0043655B">
        <w:rPr>
          <w:rStyle w:val="TextoNormalNegritaCaracter"/>
        </w:rPr>
        <w:t>Artículo 54.1.</w:t>
      </w:r>
      <w:r w:rsidRPr="0043655B">
        <w:rPr>
          <w:rStyle w:val="TextoNormalCaracter"/>
        </w:rPr>
        <w:t>-</w:t>
      </w:r>
      <w:r>
        <w:t xml:space="preserve"> Sentencia </w:t>
      </w:r>
      <w:hyperlink w:anchor="SENTENCIA_2012_136" w:history="1">
        <w:r w:rsidRPr="0043655B">
          <w:rPr>
            <w:rStyle w:val="TextoNormalCaracter"/>
          </w:rPr>
          <w:t>136/2012</w:t>
        </w:r>
      </w:hyperlink>
      <w:r>
        <w:t>, f. 4.</w:t>
      </w:r>
    </w:p>
    <w:p w:rsidR="0043655B" w:rsidRDefault="0043655B" w:rsidP="0043655B">
      <w:pPr>
        <w:pStyle w:val="SangriaFrancesaArticulo"/>
      </w:pPr>
      <w:r w:rsidRPr="0043655B">
        <w:rPr>
          <w:rStyle w:val="TextoNormalNegritaCaracter"/>
        </w:rPr>
        <w:t>Artículo 61.1.</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SangriaFrancesaArticulo"/>
      </w:pPr>
      <w:r w:rsidRPr="0043655B">
        <w:rPr>
          <w:rStyle w:val="TextoNormalNegritaCaracter"/>
        </w:rPr>
        <w:t>Artículo 73.1 a).</w:t>
      </w:r>
      <w:r w:rsidRPr="0043655B">
        <w:rPr>
          <w:rStyle w:val="TextoNormalCaracter"/>
        </w:rPr>
        <w:t>-</w:t>
      </w:r>
      <w:r>
        <w:t xml:space="preserve"> Sentencia </w:t>
      </w:r>
      <w:hyperlink w:anchor="SENTENCIA_2012_19" w:history="1">
        <w:r w:rsidRPr="0043655B">
          <w:rPr>
            <w:rStyle w:val="TextoNormalCaracter"/>
          </w:rPr>
          <w:t>19/2012</w:t>
        </w:r>
      </w:hyperlink>
      <w:r>
        <w:t>, f. 11.</w:t>
      </w:r>
    </w:p>
    <w:p w:rsidR="0043655B" w:rsidRDefault="0043655B" w:rsidP="0043655B">
      <w:pPr>
        <w:pStyle w:val="SangriaFrancesaArticulo"/>
      </w:pPr>
      <w:r w:rsidRPr="0043655B">
        <w:rPr>
          <w:rStyle w:val="TextoNormalNegritaCaracter"/>
        </w:rPr>
        <w:t>Artículo 73.3.</w:t>
      </w:r>
      <w:r w:rsidRPr="0043655B">
        <w:rPr>
          <w:rStyle w:val="TextoNormalCaracter"/>
        </w:rPr>
        <w:t>-</w:t>
      </w:r>
      <w:r>
        <w:t xml:space="preserve"> Sentencia </w:t>
      </w:r>
      <w:hyperlink w:anchor="SENTENCIA_2012_19" w:history="1">
        <w:r w:rsidRPr="0043655B">
          <w:rPr>
            <w:rStyle w:val="TextoNormalCaracter"/>
          </w:rPr>
          <w:t>19/2012</w:t>
        </w:r>
      </w:hyperlink>
      <w:r>
        <w:t>, f. 2.</w:t>
      </w:r>
    </w:p>
    <w:p w:rsidR="0043655B" w:rsidRDefault="0043655B" w:rsidP="0043655B">
      <w:pPr>
        <w:pStyle w:val="SangriaFrancesaArticulo"/>
      </w:pPr>
      <w:r w:rsidRPr="0043655B">
        <w:rPr>
          <w:rStyle w:val="TextoNormalNegritaCaracter"/>
        </w:rPr>
        <w:t>Disposición transitoria séptima.</w:t>
      </w:r>
      <w:r w:rsidRPr="0043655B">
        <w:rPr>
          <w:rStyle w:val="TextoNormalCaracter"/>
        </w:rPr>
        <w:t>-</w:t>
      </w:r>
      <w:r>
        <w:t xml:space="preserve"> Auto </w:t>
      </w:r>
      <w:hyperlink w:anchor="AUTO_2012_9" w:history="1">
        <w:r w:rsidRPr="0043655B">
          <w:rPr>
            <w:rStyle w:val="TextoNormalCaracter"/>
          </w:rPr>
          <w:t>9/2012</w:t>
        </w:r>
      </w:hyperlink>
      <w:r>
        <w:t>.</w:t>
      </w:r>
    </w:p>
    <w:p w:rsidR="0043655B" w:rsidRDefault="0043655B" w:rsidP="0043655B">
      <w:pPr>
        <w:pStyle w:val="TextoNormal"/>
      </w:pPr>
    </w:p>
    <w:p w:rsidR="0043655B" w:rsidRDefault="0043655B" w:rsidP="0043655B">
      <w:pPr>
        <w:pStyle w:val="TextoNormalNegritaCentradoSubrayado"/>
        <w:suppressAutoHyphens/>
      </w:pPr>
      <w:r>
        <w:t>J.17.b) Leyes y disposiciones con fuerza de Ley</w:t>
      </w:r>
    </w:p>
    <w:p w:rsidR="0043655B" w:rsidRDefault="0043655B" w:rsidP="0043655B">
      <w:pPr>
        <w:pStyle w:val="TextoNormalNegritaCentradoSubrayado"/>
      </w:pPr>
    </w:p>
    <w:p w:rsidR="0043655B" w:rsidRDefault="0043655B" w:rsidP="0043655B">
      <w:pPr>
        <w:pStyle w:val="TextoNormalNegritaCursivandice"/>
      </w:pPr>
      <w:r>
        <w:t>Ley de las Cortes Valencianas 11/1994, de 27 de diciembre. Espacios naturales protegidos de la Comunidad Valenciana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8" w:history="1">
        <w:r w:rsidRPr="0043655B">
          <w:rPr>
            <w:rStyle w:val="TextoNormalCaracter"/>
          </w:rPr>
          <w:t>18/2012</w:t>
        </w:r>
      </w:hyperlink>
      <w:r>
        <w:t>, f. 1.</w:t>
      </w:r>
    </w:p>
    <w:p w:rsidR="0043655B" w:rsidRDefault="0043655B" w:rsidP="0043655B">
      <w:pPr>
        <w:pStyle w:val="SangriaFrancesaArticulo"/>
      </w:pPr>
    </w:p>
    <w:p w:rsidR="0043655B" w:rsidRDefault="0043655B" w:rsidP="0043655B">
      <w:pPr>
        <w:pStyle w:val="TextoNormalNegritaCursivandice"/>
      </w:pPr>
      <w:r>
        <w:t>Decreto Legislativo de la Generalidad Valenciana 1/2005, de 25 de febrero. Texto refundido de la Ley de tasas de la Generalidad</w:t>
      </w:r>
    </w:p>
    <w:p w:rsidR="0043655B" w:rsidRDefault="0043655B" w:rsidP="0043655B">
      <w:pPr>
        <w:pStyle w:val="SangriaFrancesaArticulo"/>
      </w:pPr>
      <w:r w:rsidRPr="0043655B">
        <w:rPr>
          <w:rStyle w:val="TextoNormalNegritaCaracter"/>
        </w:rPr>
        <w:t>Artículo 171 apartados 2 a 7.</w:t>
      </w:r>
      <w:r w:rsidRPr="0043655B">
        <w:rPr>
          <w:rStyle w:val="TextoNormalCaracter"/>
        </w:rPr>
        <w:t>-</w:t>
      </w:r>
      <w:r>
        <w:t xml:space="preserve"> Sentencia </w:t>
      </w:r>
      <w:hyperlink w:anchor="SENTENCIA_2012_136" w:history="1">
        <w:r w:rsidRPr="0043655B">
          <w:rPr>
            <w:rStyle w:val="TextoNormalCaracter"/>
          </w:rPr>
          <w:t>136/2012</w:t>
        </w:r>
      </w:hyperlink>
      <w:r>
        <w:t>, f. 7.</w:t>
      </w:r>
    </w:p>
    <w:p w:rsidR="0043655B" w:rsidRDefault="0043655B" w:rsidP="0043655B">
      <w:pPr>
        <w:pStyle w:val="SangriaFrancesaArticulo"/>
      </w:pPr>
      <w:r w:rsidRPr="0043655B">
        <w:rPr>
          <w:rStyle w:val="TextoNormalNegritaCaracter"/>
        </w:rPr>
        <w:t>Artículo 172</w:t>
      </w:r>
      <w:r>
        <w:t xml:space="preserve"> </w:t>
      </w:r>
      <w:r w:rsidRPr="0043655B">
        <w:rPr>
          <w:rStyle w:val="TextoNormalCaracter"/>
        </w:rPr>
        <w:t>(redactado por la Ley de las Cortes Valencianas 16/2008, de 22 de diciembre)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 2.</w:t>
      </w:r>
    </w:p>
    <w:p w:rsidR="0043655B" w:rsidRDefault="0043655B" w:rsidP="0043655B">
      <w:pPr>
        <w:pStyle w:val="SangriaFrancesaArticulo"/>
      </w:pPr>
      <w:r w:rsidRPr="0043655B">
        <w:rPr>
          <w:rStyle w:val="TextoNormalNegritaCaracter"/>
        </w:rPr>
        <w:t>tículo 172.2</w:t>
      </w:r>
      <w:r>
        <w:t xml:space="preserve"> </w:t>
      </w:r>
      <w:r w:rsidRPr="0043655B">
        <w:rPr>
          <w:rStyle w:val="TextoNormalCaracter"/>
        </w:rPr>
        <w:t>(redactado por la Ley de las Cortes Valencianas 16/2008, de 22 de diciembre)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ff. 1, 2, 6.</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r w:rsidRPr="0043655B">
        <w:rPr>
          <w:rStyle w:val="TextoNormalNegritaCaracter"/>
        </w:rPr>
        <w:t>Artículo 171</w:t>
      </w:r>
      <w:r>
        <w:t xml:space="preserve"> </w:t>
      </w:r>
      <w:r w:rsidRPr="0043655B">
        <w:rPr>
          <w:rStyle w:val="TextoNormalCaracter"/>
        </w:rPr>
        <w:t>(redactado por la Ley de las Cortes Valencianas 16/2008, de 22 de diciembre)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ff. 1, 2.</w:t>
      </w:r>
    </w:p>
    <w:p w:rsidR="0043655B" w:rsidRDefault="0043655B" w:rsidP="0043655B">
      <w:pPr>
        <w:pStyle w:val="SangriaFrancesaArticulo"/>
      </w:pPr>
      <w:r w:rsidRPr="0043655B">
        <w:rPr>
          <w:rStyle w:val="TextoNormalNegritaCaracter"/>
        </w:rPr>
        <w:t>Artículo 171.1</w:t>
      </w:r>
      <w:r>
        <w:t xml:space="preserve"> </w:t>
      </w:r>
      <w:r w:rsidRPr="0043655B">
        <w:rPr>
          <w:rStyle w:val="TextoNormalCaracter"/>
        </w:rPr>
        <w:t>(redactado por la Ley de las Cortes Valencianas 16/2008, de 22 de diciembre)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ff. 2, 6, 8.</w:t>
      </w:r>
    </w:p>
    <w:p w:rsidR="0043655B" w:rsidRDefault="0043655B" w:rsidP="0043655B">
      <w:pPr>
        <w:pStyle w:val="SangriaFrancesaArticulo"/>
      </w:pPr>
      <w:r w:rsidRPr="0043655B">
        <w:rPr>
          <w:rStyle w:val="TextoNormalNegritaCaracter"/>
        </w:rPr>
        <w:t>Artículo 172.1.</w:t>
      </w:r>
      <w:r w:rsidRPr="0043655B">
        <w:rPr>
          <w:rStyle w:val="TextoNormalCaracter"/>
        </w:rPr>
        <w:t>-</w:t>
      </w:r>
      <w:r>
        <w:t xml:space="preserve"> Sentencia </w:t>
      </w:r>
      <w:hyperlink w:anchor="SENTENCIA_2012_136" w:history="1">
        <w:r w:rsidRPr="0043655B">
          <w:rPr>
            <w:rStyle w:val="TextoNormalCaracter"/>
          </w:rPr>
          <w:t>136/2012</w:t>
        </w:r>
      </w:hyperlink>
      <w:r>
        <w:t>, f. 8.</w:t>
      </w:r>
    </w:p>
    <w:p w:rsidR="0043655B" w:rsidRDefault="0043655B" w:rsidP="0043655B">
      <w:pPr>
        <w:pStyle w:val="SangriaFrancesaArticulo"/>
      </w:pPr>
      <w:r w:rsidRPr="0043655B">
        <w:rPr>
          <w:rStyle w:val="TextoNormalNegritaCaracter"/>
        </w:rPr>
        <w:t>Artículo 172.2</w:t>
      </w:r>
      <w:r>
        <w:t xml:space="preserve"> </w:t>
      </w:r>
      <w:r w:rsidRPr="0043655B">
        <w:rPr>
          <w:rStyle w:val="TextoNormalCaracter"/>
        </w:rPr>
        <w:t>(redactado por la Ley de las Cortes Valencianas 16/2008, de 22 de diciembre)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ff. 1, 2, 6.</w:t>
      </w:r>
    </w:p>
    <w:p w:rsidR="0043655B" w:rsidRDefault="0043655B" w:rsidP="0043655B">
      <w:pPr>
        <w:pStyle w:val="SangriaFrancesaArticulo"/>
      </w:pPr>
      <w:r w:rsidRPr="0043655B">
        <w:rPr>
          <w:rStyle w:val="TextoNormalNegritaCaracter"/>
        </w:rPr>
        <w:t>Artículo 172.2.1 inciso 2</w:t>
      </w:r>
      <w:r>
        <w:t xml:space="preserve"> </w:t>
      </w:r>
      <w:r w:rsidRPr="0043655B">
        <w:rPr>
          <w:rStyle w:val="TextoNormalCaracter"/>
        </w:rPr>
        <w:t>(redactado por la Ley de las Cortes Valencianas 16/2008, de 22 de diciembre)</w:t>
      </w:r>
      <w:r w:rsidRPr="0043655B">
        <w:rPr>
          <w:rStyle w:val="TextoNormalNegritaCaracter"/>
        </w:rPr>
        <w:t>.</w:t>
      </w:r>
      <w:r w:rsidRPr="0043655B">
        <w:rPr>
          <w:rStyle w:val="TextoNormalCaracter"/>
        </w:rPr>
        <w:t>-</w:t>
      </w:r>
      <w:r>
        <w:t xml:space="preserve"> Sentencia </w:t>
      </w:r>
      <w:hyperlink w:anchor="SENTENCIA_2012_136" w:history="1">
        <w:r w:rsidRPr="0043655B">
          <w:rPr>
            <w:rStyle w:val="TextoNormalCaracter"/>
          </w:rPr>
          <w:t>136/2012</w:t>
        </w:r>
      </w:hyperlink>
      <w:r>
        <w:t>, ff. 2, 8.</w:t>
      </w:r>
    </w:p>
    <w:p w:rsidR="0043655B" w:rsidRDefault="0043655B" w:rsidP="0043655B">
      <w:pPr>
        <w:pStyle w:val="SangriaFrancesaArticulo"/>
      </w:pPr>
      <w:r w:rsidRPr="0043655B">
        <w:rPr>
          <w:rStyle w:val="TextoNormalNegritaCaracter"/>
        </w:rPr>
        <w:lastRenderedPageBreak/>
        <w:t>Artículo 173.</w:t>
      </w:r>
      <w:r w:rsidRPr="0043655B">
        <w:rPr>
          <w:rStyle w:val="TextoNormalCaracter"/>
        </w:rPr>
        <w:t>-</w:t>
      </w:r>
      <w:r>
        <w:t xml:space="preserve"> Sentencia </w:t>
      </w:r>
      <w:hyperlink w:anchor="SENTENCIA_2012_136" w:history="1">
        <w:r w:rsidRPr="0043655B">
          <w:rPr>
            <w:rStyle w:val="TextoNormalCaracter"/>
          </w:rPr>
          <w:t>136/2012</w:t>
        </w:r>
      </w:hyperlink>
      <w:r>
        <w:t>, f. 7.</w:t>
      </w:r>
    </w:p>
    <w:p w:rsidR="0043655B" w:rsidRDefault="0043655B" w:rsidP="0043655B">
      <w:pPr>
        <w:pStyle w:val="SangriaFrancesaArticulo"/>
      </w:pPr>
      <w:r w:rsidRPr="0043655B">
        <w:rPr>
          <w:rStyle w:val="TextoNormalNegritaCaracter"/>
        </w:rPr>
        <w:t>Artículo 173.1.1.</w:t>
      </w:r>
      <w:r w:rsidRPr="0043655B">
        <w:rPr>
          <w:rStyle w:val="TextoNormalCaracter"/>
        </w:rPr>
        <w:t>-</w:t>
      </w:r>
      <w:r>
        <w:t xml:space="preserve"> Sentencia </w:t>
      </w:r>
      <w:hyperlink w:anchor="SENTENCIA_2012_136" w:history="1">
        <w:r w:rsidRPr="0043655B">
          <w:rPr>
            <w:rStyle w:val="TextoNormalCaracter"/>
          </w:rPr>
          <w:t>136/2012</w:t>
        </w:r>
      </w:hyperlink>
      <w:r>
        <w:t>, f. 7.</w:t>
      </w:r>
    </w:p>
    <w:p w:rsidR="0043655B" w:rsidRDefault="0043655B" w:rsidP="0043655B">
      <w:pPr>
        <w:pStyle w:val="SangriaFrancesaArticulo"/>
      </w:pPr>
    </w:p>
    <w:p w:rsidR="0043655B" w:rsidRDefault="0043655B" w:rsidP="0043655B">
      <w:pPr>
        <w:pStyle w:val="TextoNormalNegritaCursivandice"/>
      </w:pPr>
      <w:r>
        <w:t>Ley de las Cortes Valencianas 16/2008, de 22 de diciembre. Medidas fiscales, de gestión administrativa y financiera y de organización de la Generalidad</w:t>
      </w:r>
    </w:p>
    <w:p w:rsidR="0043655B" w:rsidRDefault="0043655B" w:rsidP="0043655B">
      <w:pPr>
        <w:pStyle w:val="SangriaFrancesaArticulo"/>
      </w:pPr>
      <w:r w:rsidRPr="0043655B">
        <w:rPr>
          <w:rStyle w:val="TextoNormalNegritaCaracter"/>
        </w:rPr>
        <w:t>Artículo 14.</w:t>
      </w:r>
      <w:r w:rsidRPr="0043655B">
        <w:rPr>
          <w:rStyle w:val="TextoNormalCaracter"/>
        </w:rPr>
        <w:t>-</w:t>
      </w:r>
      <w:r>
        <w:t xml:space="preserve"> Sentencia </w:t>
      </w:r>
      <w:hyperlink w:anchor="SENTENCIA_2012_136" w:history="1">
        <w:r w:rsidRPr="0043655B">
          <w:rPr>
            <w:rStyle w:val="TextoNormalCaracter"/>
          </w:rPr>
          <w:t>136/2012</w:t>
        </w:r>
      </w:hyperlink>
      <w:r>
        <w:t>, ff. 1, 2, 6, 8.</w:t>
      </w:r>
    </w:p>
    <w:p w:rsidR="0043655B" w:rsidRDefault="0043655B" w:rsidP="0043655B">
      <w:pPr>
        <w:pStyle w:val="SangriaFrancesaArticulo"/>
      </w:pPr>
      <w:r w:rsidRPr="0043655B">
        <w:rPr>
          <w:rStyle w:val="TextoNormalNegritaCaracter"/>
        </w:rPr>
        <w:t>Artículo 15.</w:t>
      </w:r>
      <w:r w:rsidRPr="0043655B">
        <w:rPr>
          <w:rStyle w:val="TextoNormalCaracter"/>
        </w:rPr>
        <w:t>-</w:t>
      </w:r>
      <w:r>
        <w:t xml:space="preserve"> Sentencia </w:t>
      </w:r>
      <w:hyperlink w:anchor="SENTENCIA_2012_136" w:history="1">
        <w:r w:rsidRPr="0043655B">
          <w:rPr>
            <w:rStyle w:val="TextoNormalCaracter"/>
          </w:rPr>
          <w:t>136/2012</w:t>
        </w:r>
      </w:hyperlink>
      <w:r>
        <w:t>, ff. 1, 2, 6, 8.</w:t>
      </w:r>
    </w:p>
    <w:p w:rsidR="0043655B" w:rsidRDefault="0043655B" w:rsidP="0043655B">
      <w:pPr>
        <w:pStyle w:val="SangriaFrancesaArticulo"/>
      </w:pPr>
    </w:p>
    <w:p w:rsidR="0043655B" w:rsidRDefault="0043655B" w:rsidP="0043655B">
      <w:pPr>
        <w:pStyle w:val="TextoNormalNegritaCursivandice"/>
      </w:pPr>
      <w:r>
        <w:t>Ley de las Cortes Valencianas 8/2010, de 23 de junio. Régimen local</w:t>
      </w:r>
    </w:p>
    <w:p w:rsidR="0043655B" w:rsidRDefault="0043655B" w:rsidP="0043655B">
      <w:pPr>
        <w:pStyle w:val="SangriaFrancesaArticulo"/>
      </w:pPr>
      <w:r w:rsidRPr="0043655B">
        <w:rPr>
          <w:rStyle w:val="TextoNormalNegritaCaracter"/>
        </w:rPr>
        <w:t>Artículo 114.</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116.</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118.</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134.4.</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135.</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135.3.</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SangriaFrancesaArticulo"/>
      </w:pPr>
      <w:r w:rsidRPr="0043655B">
        <w:rPr>
          <w:rStyle w:val="TextoNormalNegritaCaracter"/>
        </w:rPr>
        <w:t>Artículo 136.</w:t>
      </w:r>
      <w:r w:rsidRPr="0043655B">
        <w:rPr>
          <w:rStyle w:val="TextoNormalCaracter"/>
        </w:rPr>
        <w:t>-</w:t>
      </w:r>
      <w:r>
        <w:t xml:space="preserve"> Sentencia </w:t>
      </w:r>
      <w:hyperlink w:anchor="SENTENCIA_2012_9" w:history="1">
        <w:r w:rsidRPr="0043655B">
          <w:rPr>
            <w:rStyle w:val="TextoNormalCaracter"/>
          </w:rPr>
          <w:t>9/2012</w:t>
        </w:r>
      </w:hyperlink>
      <w:r>
        <w:t>, VP.</w:t>
      </w:r>
    </w:p>
    <w:p w:rsidR="0043655B" w:rsidRDefault="0043655B" w:rsidP="0043655B">
      <w:pPr>
        <w:pStyle w:val="TextoNormal"/>
      </w:pPr>
    </w:p>
    <w:p w:rsidR="0043655B" w:rsidRDefault="0043655B" w:rsidP="0043655B">
      <w:pPr>
        <w:pStyle w:val="TextoNormalNegritaCentradoSubrayado"/>
        <w:suppressAutoHyphens/>
      </w:pPr>
      <w:r>
        <w:t>J.17.c) Decretos y otras disposiciones reglamentarias</w:t>
      </w:r>
    </w:p>
    <w:p w:rsidR="0043655B" w:rsidRDefault="0043655B" w:rsidP="0043655B">
      <w:pPr>
        <w:pStyle w:val="TextoNormalNegritaCentradoSubrayado"/>
      </w:pPr>
    </w:p>
    <w:p w:rsidR="0043655B" w:rsidRDefault="0043655B" w:rsidP="0043655B">
      <w:pPr>
        <w:pStyle w:val="TextoNormalNegritaCursivandice"/>
      </w:pPr>
      <w:r>
        <w:t>Decreto de la Generalidad Valenciana 60/2003, de 13 de mayo. Ordenación de las zonas periféricas de protección del sistema de zonas húmedas del sur de Alicante (salinas de Santa Pola, lagunas de La Mata y Torrevieja y el Fondó)</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8" w:history="1">
        <w:r w:rsidRPr="0043655B">
          <w:rPr>
            <w:rStyle w:val="TextoNormalCaracter"/>
          </w:rPr>
          <w:t>18/2012</w:t>
        </w:r>
      </w:hyperlink>
      <w:r>
        <w:t>, ff. 1, 2.</w:t>
      </w:r>
    </w:p>
    <w:p w:rsidR="0043655B" w:rsidRDefault="0043655B" w:rsidP="0043655B">
      <w:pPr>
        <w:pStyle w:val="TextoNormal"/>
      </w:pPr>
    </w:p>
    <w:p w:rsidR="0043655B" w:rsidRDefault="0043655B" w:rsidP="0043655B">
      <w:pPr>
        <w:pStyle w:val="SangriaFrancesaArticulo"/>
      </w:pPr>
      <w:bookmarkStart w:id="291" w:name="INDICE22869"/>
    </w:p>
    <w:bookmarkEnd w:id="291"/>
    <w:p w:rsidR="0043655B" w:rsidRDefault="0043655B" w:rsidP="0043655B">
      <w:pPr>
        <w:pStyle w:val="TextoIndiceNivel2"/>
        <w:suppressAutoHyphens/>
      </w:pPr>
      <w:r>
        <w:t>K) Territorios históricos y corporaciones locales</w:t>
      </w:r>
    </w:p>
    <w:p w:rsidR="0043655B" w:rsidRDefault="0043655B" w:rsidP="0043655B">
      <w:pPr>
        <w:pStyle w:val="TextoNormal"/>
      </w:pPr>
    </w:p>
    <w:p w:rsidR="0043655B" w:rsidRDefault="0043655B" w:rsidP="0043655B">
      <w:pPr>
        <w:pStyle w:val="TextoNormalNegritaCentrado"/>
        <w:suppressAutoHyphens/>
      </w:pPr>
      <w:r w:rsidRPr="0043655B">
        <w:rPr>
          <w:rStyle w:val="TextoNormalNegritaCentradoSombreado"/>
        </w:rPr>
        <w:t>K.18) Corporaciones locales</w:t>
      </w:r>
    </w:p>
    <w:p w:rsidR="0043655B" w:rsidRDefault="0043655B" w:rsidP="0043655B">
      <w:pPr>
        <w:pStyle w:val="TextoNormalNegritaCentrado"/>
      </w:pPr>
    </w:p>
    <w:p w:rsidR="0043655B" w:rsidRDefault="0043655B" w:rsidP="0043655B">
      <w:pPr>
        <w:pStyle w:val="TextoNormalNegritaCursivandice"/>
      </w:pPr>
      <w:r>
        <w:t>Reglamento orgánico de funcionamiento del Consell Insular de Mallorca, de 6 de agosto de 2001</w:t>
      </w:r>
    </w:p>
    <w:p w:rsidR="0043655B" w:rsidRDefault="0043655B" w:rsidP="0043655B">
      <w:pPr>
        <w:pStyle w:val="SangriaFrancesaArticulo"/>
      </w:pPr>
      <w:r w:rsidRPr="0043655B">
        <w:rPr>
          <w:rStyle w:val="TextoNormalNegritaCaracter"/>
        </w:rPr>
        <w:t>Artículo 25.</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p>
    <w:p w:rsidR="0043655B" w:rsidRDefault="0043655B" w:rsidP="0043655B">
      <w:pPr>
        <w:pStyle w:val="TextoNormalNegritaCursivandice"/>
      </w:pPr>
      <w:r>
        <w:t>Reglamento orgánico de funcionamiento del Consell Insular de Menorca, de 7 de abril de 2003</w:t>
      </w:r>
    </w:p>
    <w:p w:rsidR="0043655B" w:rsidRDefault="0043655B" w:rsidP="0043655B">
      <w:pPr>
        <w:pStyle w:val="SangriaFrancesaArticulo"/>
      </w:pPr>
      <w:r w:rsidRPr="0043655B">
        <w:rPr>
          <w:rStyle w:val="TextoNormalNegritaCaracter"/>
        </w:rPr>
        <w:t>Artículo 63.</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p>
    <w:p w:rsidR="0043655B" w:rsidRDefault="0043655B" w:rsidP="0043655B">
      <w:pPr>
        <w:pStyle w:val="TextoNormalNegritaCursivandice"/>
      </w:pPr>
      <w:r>
        <w:t>Reglamento orgánico de funcionamiento del Consell Insular de Formentera, de 13 de abril de 2010</w:t>
      </w:r>
    </w:p>
    <w:p w:rsidR="0043655B" w:rsidRDefault="0043655B" w:rsidP="0043655B">
      <w:pPr>
        <w:pStyle w:val="SangriaFrancesaArticulo"/>
      </w:pPr>
      <w:r w:rsidRPr="0043655B">
        <w:rPr>
          <w:rStyle w:val="TextoNormalNegritaCaracter"/>
        </w:rPr>
        <w:t>Artículo 143.</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SangriaFrancesaArticulo"/>
      </w:pPr>
    </w:p>
    <w:p w:rsidR="0043655B" w:rsidRDefault="0043655B" w:rsidP="0043655B">
      <w:pPr>
        <w:pStyle w:val="TextoNormalNegritaCursivandice"/>
      </w:pPr>
      <w:r>
        <w:t>Reglamento orgánico de funcionamiento del Consell Insular de Ibiza, de 24 de agosto de 2010</w:t>
      </w:r>
    </w:p>
    <w:p w:rsidR="0043655B" w:rsidRDefault="0043655B" w:rsidP="0043655B">
      <w:pPr>
        <w:pStyle w:val="SangriaFrancesaArticulo"/>
      </w:pPr>
      <w:r w:rsidRPr="0043655B">
        <w:rPr>
          <w:rStyle w:val="TextoNormalNegritaCaracter"/>
        </w:rPr>
        <w:t>Artículo 59.</w:t>
      </w:r>
      <w:r w:rsidRPr="0043655B">
        <w:rPr>
          <w:rStyle w:val="TextoNormalCaracter"/>
        </w:rPr>
        <w:t>-</w:t>
      </w:r>
      <w:r>
        <w:t xml:space="preserve"> Sentencia </w:t>
      </w:r>
      <w:hyperlink w:anchor="SENTENCIA_2012_132" w:history="1">
        <w:r w:rsidRPr="0043655B">
          <w:rPr>
            <w:rStyle w:val="TextoNormalCaracter"/>
          </w:rPr>
          <w:t>132/2012</w:t>
        </w:r>
      </w:hyperlink>
      <w:r>
        <w:t>, f. 6.</w:t>
      </w:r>
    </w:p>
    <w:p w:rsidR="0043655B" w:rsidRDefault="0043655B" w:rsidP="0043655B">
      <w:pPr>
        <w:pStyle w:val="TextoNormal"/>
      </w:pPr>
    </w:p>
    <w:p w:rsidR="0043655B" w:rsidRDefault="0043655B" w:rsidP="0043655B">
      <w:pPr>
        <w:pStyle w:val="SangriaFrancesaArticulo"/>
      </w:pPr>
      <w:bookmarkStart w:id="292" w:name="INDICE22870"/>
    </w:p>
    <w:bookmarkEnd w:id="292"/>
    <w:p w:rsidR="0043655B" w:rsidRDefault="0043655B" w:rsidP="0043655B">
      <w:pPr>
        <w:pStyle w:val="TextoIndiceNivel2"/>
        <w:suppressAutoHyphens/>
      </w:pPr>
      <w:r>
        <w:t>L) Tratados y acuerdos internacionales</w:t>
      </w:r>
    </w:p>
    <w:p w:rsidR="0043655B" w:rsidRDefault="0043655B" w:rsidP="0043655B">
      <w:pPr>
        <w:pStyle w:val="TextoIndiceNivel2"/>
      </w:pPr>
    </w:p>
    <w:p w:rsidR="0043655B" w:rsidRDefault="0043655B" w:rsidP="0043655B">
      <w:pPr>
        <w:pStyle w:val="TextoNormalNegritaCursivandice"/>
      </w:pPr>
      <w:r>
        <w:t>Pacto internacional de derechos civiles y políticos. Nueva York, 16 de diciembre de 1966, ratificado por Instrumento de 13 de abril de 1977</w:t>
      </w:r>
    </w:p>
    <w:p w:rsidR="0043655B" w:rsidRDefault="0043655B" w:rsidP="0043655B">
      <w:pPr>
        <w:pStyle w:val="SangriaFrancesaArticulo"/>
      </w:pPr>
      <w:r w:rsidRPr="0043655B">
        <w:rPr>
          <w:rStyle w:val="TextoNormalNegritaCaracter"/>
        </w:rPr>
        <w:t>Artículo 9.3.</w:t>
      </w:r>
      <w:r w:rsidRPr="0043655B">
        <w:rPr>
          <w:rStyle w:val="TextoNormalCaracter"/>
        </w:rPr>
        <w:t>-</w:t>
      </w:r>
      <w:r>
        <w:t xml:space="preserve"> Sentencia </w:t>
      </w:r>
      <w:hyperlink w:anchor="SENTENCIA_2012_95" w:history="1">
        <w:r w:rsidRPr="0043655B">
          <w:rPr>
            <w:rStyle w:val="TextoNormalCaracter"/>
          </w:rPr>
          <w:t>95/2012</w:t>
        </w:r>
      </w:hyperlink>
      <w:r>
        <w:t>, f. 2.</w:t>
      </w:r>
    </w:p>
    <w:p w:rsidR="0043655B" w:rsidRDefault="0043655B" w:rsidP="0043655B">
      <w:pPr>
        <w:pStyle w:val="SangriaFrancesaArticulo"/>
      </w:pPr>
      <w:r w:rsidRPr="0043655B">
        <w:rPr>
          <w:rStyle w:val="TextoNormalNegritaCaracter"/>
        </w:rPr>
        <w:t>Artículo 14.1.</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r w:rsidRPr="0043655B">
        <w:rPr>
          <w:rStyle w:val="TextoNormalNegritaCaracter"/>
        </w:rPr>
        <w:t>Artículo 14.5.</w:t>
      </w:r>
      <w:r w:rsidRPr="0043655B">
        <w:rPr>
          <w:rStyle w:val="TextoNormalCaracter"/>
        </w:rPr>
        <w:t>-</w:t>
      </w:r>
      <w:r>
        <w:t xml:space="preserve"> Sentencias </w:t>
      </w:r>
      <w:hyperlink w:anchor="SENTENCIA_2012_39" w:history="1">
        <w:r w:rsidRPr="0043655B">
          <w:rPr>
            <w:rStyle w:val="TextoNormalCaracter"/>
          </w:rPr>
          <w:t>39/2012</w:t>
        </w:r>
      </w:hyperlink>
      <w:r>
        <w:t xml:space="preserve">, f. 2; </w:t>
      </w:r>
      <w:hyperlink w:anchor="SENTENCIA_2012_40" w:history="1">
        <w:r w:rsidRPr="0043655B">
          <w:rPr>
            <w:rStyle w:val="TextoNormalCaracter"/>
          </w:rPr>
          <w:t>40/2012</w:t>
        </w:r>
      </w:hyperlink>
      <w:r>
        <w:t xml:space="preserve">, f. 4; </w:t>
      </w:r>
      <w:hyperlink w:anchor="SENTENCIA_2012_41" w:history="1">
        <w:r w:rsidRPr="0043655B">
          <w:rPr>
            <w:rStyle w:val="TextoNormalCaracter"/>
          </w:rPr>
          <w:t>41/2012</w:t>
        </w:r>
      </w:hyperlink>
      <w:r>
        <w:t xml:space="preserve">, f. 5; </w:t>
      </w:r>
      <w:hyperlink w:anchor="SENTENCIA_2012_42" w:history="1">
        <w:r w:rsidRPr="0043655B">
          <w:rPr>
            <w:rStyle w:val="TextoNormalCaracter"/>
          </w:rPr>
          <w:t>42/2012</w:t>
        </w:r>
      </w:hyperlink>
      <w:r>
        <w:t xml:space="preserve">, f. 4; </w:t>
      </w:r>
      <w:hyperlink w:anchor="SENTENCIA_2012_44" w:history="1">
        <w:r w:rsidRPr="0043655B">
          <w:rPr>
            <w:rStyle w:val="TextoNormalCaracter"/>
          </w:rPr>
          <w:t>44/2012</w:t>
        </w:r>
      </w:hyperlink>
      <w:r>
        <w:t xml:space="preserve">, f. 2; </w:t>
      </w:r>
      <w:hyperlink w:anchor="SENTENCIA_2012_45" w:history="1">
        <w:r w:rsidRPr="0043655B">
          <w:rPr>
            <w:rStyle w:val="TextoNormalCaracter"/>
          </w:rPr>
          <w:t>45/2012</w:t>
        </w:r>
      </w:hyperlink>
      <w:r>
        <w:t xml:space="preserve">, f. 2; </w:t>
      </w:r>
      <w:hyperlink w:anchor="SENTENCIA_2012_46" w:history="1">
        <w:r w:rsidRPr="0043655B">
          <w:rPr>
            <w:rStyle w:val="TextoNormalCaracter"/>
          </w:rPr>
          <w:t>46/2012</w:t>
        </w:r>
      </w:hyperlink>
      <w:r>
        <w:t xml:space="preserve">, f. 2; </w:t>
      </w:r>
      <w:hyperlink w:anchor="SENTENCIA_2012_47" w:history="1">
        <w:r w:rsidRPr="0043655B">
          <w:rPr>
            <w:rStyle w:val="TextoNormalCaracter"/>
          </w:rPr>
          <w:t>47/2012</w:t>
        </w:r>
      </w:hyperlink>
      <w:r>
        <w:t xml:space="preserve">, f. 2; </w:t>
      </w:r>
      <w:hyperlink w:anchor="SENTENCIA_2012_48" w:history="1">
        <w:r w:rsidRPr="0043655B">
          <w:rPr>
            <w:rStyle w:val="TextoNormalCaracter"/>
          </w:rPr>
          <w:t>48/2012</w:t>
        </w:r>
      </w:hyperlink>
      <w:r>
        <w:t xml:space="preserve">, f. 3; </w:t>
      </w:r>
      <w:hyperlink w:anchor="SENTENCIA_2012_49" w:history="1">
        <w:r w:rsidRPr="0043655B">
          <w:rPr>
            <w:rStyle w:val="TextoNormalCaracter"/>
          </w:rPr>
          <w:t>49/2012</w:t>
        </w:r>
      </w:hyperlink>
      <w:r>
        <w:t xml:space="preserve">, f. 2; </w:t>
      </w:r>
      <w:hyperlink w:anchor="SENTENCIA_2012_50" w:history="1">
        <w:r w:rsidRPr="0043655B">
          <w:rPr>
            <w:rStyle w:val="TextoNormalCaracter"/>
          </w:rPr>
          <w:t>50/2012</w:t>
        </w:r>
      </w:hyperlink>
      <w:r>
        <w:t xml:space="preserve">, f. 2; </w:t>
      </w:r>
      <w:hyperlink w:anchor="SENTENCIA_2012_51" w:history="1">
        <w:r w:rsidRPr="0043655B">
          <w:rPr>
            <w:rStyle w:val="TextoNormalCaracter"/>
          </w:rPr>
          <w:t>51/2012</w:t>
        </w:r>
      </w:hyperlink>
      <w:r>
        <w:t xml:space="preserve">, f. 3; </w:t>
      </w:r>
      <w:hyperlink w:anchor="SENTENCIA_2012_52" w:history="1">
        <w:r w:rsidRPr="0043655B">
          <w:rPr>
            <w:rStyle w:val="TextoNormalCaracter"/>
          </w:rPr>
          <w:t>52/2012</w:t>
        </w:r>
      </w:hyperlink>
      <w:r>
        <w:t xml:space="preserve">, f. 2; </w:t>
      </w:r>
      <w:hyperlink w:anchor="SENTENCIA_2012_55" w:history="1">
        <w:r w:rsidRPr="0043655B">
          <w:rPr>
            <w:rStyle w:val="TextoNormalCaracter"/>
          </w:rPr>
          <w:t>55/2012</w:t>
        </w:r>
      </w:hyperlink>
      <w:r>
        <w:t xml:space="preserve">, f. 3; </w:t>
      </w:r>
      <w:hyperlink w:anchor="SENTENCIA_2012_108" w:history="1">
        <w:r w:rsidRPr="0043655B">
          <w:rPr>
            <w:rStyle w:val="TextoNormalCaracter"/>
          </w:rPr>
          <w:t>108/2012</w:t>
        </w:r>
      </w:hyperlink>
      <w:r>
        <w:t xml:space="preserve">, f. 5; </w:t>
      </w:r>
      <w:hyperlink w:anchor="SENTENCIA_2012_113" w:history="1">
        <w:r w:rsidRPr="0043655B">
          <w:rPr>
            <w:rStyle w:val="TextoNormalCaracter"/>
          </w:rPr>
          <w:t>113/2012</w:t>
        </w:r>
      </w:hyperlink>
      <w:r>
        <w:t>, f. 4.</w:t>
      </w:r>
    </w:p>
    <w:p w:rsidR="0043655B" w:rsidRDefault="0043655B" w:rsidP="0043655B">
      <w:pPr>
        <w:pStyle w:val="TextoNormal"/>
      </w:pPr>
    </w:p>
    <w:p w:rsidR="0043655B" w:rsidRDefault="0043655B" w:rsidP="0043655B">
      <w:pPr>
        <w:pStyle w:val="SangriaFrancesaArticulo"/>
      </w:pPr>
      <w:bookmarkStart w:id="293" w:name="INDICE22871"/>
    </w:p>
    <w:bookmarkEnd w:id="293"/>
    <w:p w:rsidR="0043655B" w:rsidRDefault="0043655B" w:rsidP="0043655B">
      <w:pPr>
        <w:pStyle w:val="TextoIndiceNivel2"/>
        <w:suppressAutoHyphens/>
      </w:pPr>
      <w:r>
        <w:t>M) Unión Europea</w:t>
      </w:r>
    </w:p>
    <w:p w:rsidR="0043655B" w:rsidRDefault="0043655B" w:rsidP="0043655B">
      <w:pPr>
        <w:pStyle w:val="TextoIndiceNivel2"/>
      </w:pPr>
    </w:p>
    <w:p w:rsidR="0043655B" w:rsidRDefault="0043655B" w:rsidP="0043655B">
      <w:pPr>
        <w:pStyle w:val="TextoNormalNegritaCursivandice"/>
      </w:pPr>
      <w:r>
        <w:t>Directiva 73/183/CEE del Consejo, de 28 de junio de 1973. Supresión de las restricciones a la libertad de establecimiento y a la libre prestación de servicios en materia de actividades por cuenta propia de los bancos y otras entidades financieras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p>
    <w:p w:rsidR="0043655B" w:rsidRDefault="0043655B" w:rsidP="0043655B">
      <w:pPr>
        <w:pStyle w:val="TextoNormalNegritaCursivandice"/>
      </w:pPr>
      <w:r>
        <w:t>Directiva 77/780/CEE del Consejo, de 12 de diciembre de 1977. Coordinación de las disposiciones legales, reglamentarias y administrativas referentes al acceso a la actividad de las entidades de crédito y a su ejercicio (primera Directiva)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p>
    <w:p w:rsidR="0043655B" w:rsidRDefault="0043655B" w:rsidP="0043655B">
      <w:pPr>
        <w:pStyle w:val="TextoNormalNegritaCursivandice"/>
      </w:pPr>
      <w:r>
        <w:t>Acta relativa a las condiciones de adhesión del Reino de España y de la República portuguesa y a las adaptaciones de los Tratados de las Comunidades Europeas, de 12 de junio de 1985</w:t>
      </w:r>
    </w:p>
    <w:p w:rsidR="0043655B" w:rsidRDefault="0043655B" w:rsidP="0043655B">
      <w:pPr>
        <w:pStyle w:val="SangriaFrancesaArticulo"/>
      </w:pPr>
      <w:r w:rsidRPr="0043655B">
        <w:rPr>
          <w:rStyle w:val="TextoNormalNegritaCaracter"/>
        </w:rPr>
        <w:t>Artículo 25.4.</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p>
    <w:p w:rsidR="0043655B" w:rsidRDefault="0043655B" w:rsidP="0043655B">
      <w:pPr>
        <w:pStyle w:val="TextoNormalNegritaCursivandice"/>
      </w:pPr>
      <w:r>
        <w:t>Tratado de adhesión de España a las Comunidades Europeas, de 12 de junio de 1985</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 8.</w:t>
      </w:r>
    </w:p>
    <w:p w:rsidR="0043655B" w:rsidRDefault="0043655B" w:rsidP="0043655B">
      <w:pPr>
        <w:pStyle w:val="SangriaFrancesaArticulo"/>
      </w:pPr>
      <w:r w:rsidRPr="0043655B">
        <w:rPr>
          <w:rStyle w:val="TextoNormalNegritaCaracter"/>
        </w:rPr>
        <w:t>Exposición de motivos, apartado III.</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Artículo 299.1.</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Disposición adicional segunda.</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Protocolo 2, artículo 6.</w:t>
      </w:r>
      <w:r w:rsidRPr="0043655B">
        <w:rPr>
          <w:rStyle w:val="TextoNormalCaracter"/>
        </w:rPr>
        <w:t>-</w:t>
      </w:r>
      <w:r>
        <w:t xml:space="preserve"> Sentencia </w:t>
      </w:r>
      <w:hyperlink w:anchor="SENTENCIA_2012_100" w:history="1">
        <w:r w:rsidRPr="0043655B">
          <w:rPr>
            <w:rStyle w:val="TextoNormalCaracter"/>
          </w:rPr>
          <w:t>100/2012</w:t>
        </w:r>
      </w:hyperlink>
      <w:r>
        <w:t>, ff. 3, 5.</w:t>
      </w:r>
    </w:p>
    <w:p w:rsidR="0043655B" w:rsidRDefault="0043655B" w:rsidP="0043655B">
      <w:pPr>
        <w:pStyle w:val="SangriaFrancesaArticulo"/>
      </w:pPr>
      <w:r w:rsidRPr="0043655B">
        <w:rPr>
          <w:rStyle w:val="TextoNormalNegritaCaracter"/>
        </w:rPr>
        <w:t>Protocolo 2, artículo 6.3.</w:t>
      </w:r>
      <w:r w:rsidRPr="0043655B">
        <w:rPr>
          <w:rStyle w:val="TextoNormalCaracter"/>
        </w:rPr>
        <w:t>-</w:t>
      </w:r>
      <w:r>
        <w:t xml:space="preserve"> Sentencia </w:t>
      </w:r>
      <w:hyperlink w:anchor="SENTENCIA_2012_100" w:history="1">
        <w:r w:rsidRPr="0043655B">
          <w:rPr>
            <w:rStyle w:val="TextoNormalCaracter"/>
          </w:rPr>
          <w:t>100/2012</w:t>
        </w:r>
      </w:hyperlink>
      <w:r>
        <w:t>, ff. 2, 3, 8, 10.</w:t>
      </w:r>
    </w:p>
    <w:p w:rsidR="0043655B" w:rsidRDefault="0043655B" w:rsidP="0043655B">
      <w:pPr>
        <w:pStyle w:val="SangriaFrancesaArticulo"/>
      </w:pPr>
    </w:p>
    <w:p w:rsidR="0043655B" w:rsidRDefault="0043655B" w:rsidP="0043655B">
      <w:pPr>
        <w:pStyle w:val="TextoNormalNegritaCursivandice"/>
      </w:pPr>
      <w:r>
        <w:t>Directiva 85/337/CEE del Consejo, de 27 de junio de 1985. Evaluación de las repercusiones de determinados proyectos públicos y privados sobre el medio ambiente</w:t>
      </w:r>
    </w:p>
    <w:p w:rsidR="0043655B" w:rsidRDefault="0043655B" w:rsidP="0043655B">
      <w:pPr>
        <w:pStyle w:val="SangriaFrancesaArticulo"/>
      </w:pPr>
      <w:r w:rsidRPr="0043655B">
        <w:rPr>
          <w:rStyle w:val="TextoNormalNegritaCaracter"/>
        </w:rPr>
        <w:lastRenderedPageBreak/>
        <w:t>En general</w:t>
      </w:r>
      <w:r>
        <w:t xml:space="preserve"> </w:t>
      </w:r>
      <w:r w:rsidRPr="0043655B">
        <w:rPr>
          <w:rStyle w:val="TextoNormalCaracter"/>
        </w:rPr>
        <w:t>(redactada por la Directiva 97/11/CE)</w:t>
      </w:r>
      <w:r w:rsidRPr="0043655B">
        <w:rPr>
          <w:rStyle w:val="TextoNormalNegritaCaracter"/>
        </w:rPr>
        <w:t>.</w:t>
      </w:r>
      <w:r w:rsidRPr="0043655B">
        <w:rPr>
          <w:rStyle w:val="TextoNormalCaracter"/>
        </w:rPr>
        <w:t>-</w:t>
      </w:r>
      <w:r>
        <w:t xml:space="preserve"> Sentencia </w:t>
      </w:r>
      <w:hyperlink w:anchor="SENTENCIA_2012_1" w:history="1">
        <w:r w:rsidRPr="0043655B">
          <w:rPr>
            <w:rStyle w:val="TextoNormalCaracter"/>
          </w:rPr>
          <w:t>1/2012</w:t>
        </w:r>
      </w:hyperlink>
      <w:r>
        <w:t>, ff. 7, 9, 10.</w:t>
      </w:r>
    </w:p>
    <w:p w:rsidR="0043655B" w:rsidRDefault="0043655B" w:rsidP="0043655B">
      <w:pPr>
        <w:pStyle w:val="SangriaFrancesaArticulo"/>
      </w:pPr>
    </w:p>
    <w:p w:rsidR="0043655B" w:rsidRDefault="0043655B" w:rsidP="0043655B">
      <w:pPr>
        <w:pStyle w:val="TextoNormalNegritaCursivandice"/>
      </w:pPr>
      <w:r>
        <w:t>Directiva 89/646/CEE del Consejo, de 15 de diciembre de 1989. Coordinación de las disposiciones legales, reglamentarias y administrativas relativas al acceso a la actividad de las entidades de crédito y a su ejercicio, y por la que se modifica la Directiva 77/780/CEE (segunda directiva)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0" w:history="1">
        <w:r w:rsidRPr="0043655B">
          <w:rPr>
            <w:rStyle w:val="TextoNormalCaracter"/>
          </w:rPr>
          <w:t>120/2012</w:t>
        </w:r>
      </w:hyperlink>
      <w:r>
        <w:t>, f. 2.</w:t>
      </w:r>
    </w:p>
    <w:p w:rsidR="0043655B" w:rsidRDefault="0043655B" w:rsidP="0043655B">
      <w:pPr>
        <w:pStyle w:val="SangriaFrancesaArticulo"/>
      </w:pPr>
    </w:p>
    <w:p w:rsidR="0043655B" w:rsidRDefault="0043655B" w:rsidP="0043655B">
      <w:pPr>
        <w:pStyle w:val="TextoNormalNegritaCursivandice"/>
      </w:pPr>
      <w:r>
        <w:t>Reglamento (CEE) núm. 1911/91 del Consejo, de 26 de junio de 1991. Aplicación de las disposiciones del  Derecho comunitario en las islas Canarias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ff. 3, 7 a 10.</w:t>
      </w:r>
    </w:p>
    <w:p w:rsidR="0043655B" w:rsidRDefault="0043655B" w:rsidP="0043655B">
      <w:pPr>
        <w:pStyle w:val="SangriaFrancesaArticulo"/>
      </w:pPr>
      <w:r w:rsidRPr="0043655B">
        <w:rPr>
          <w:rStyle w:val="TextoNormalNegritaCaracter"/>
        </w:rPr>
        <w:t>Considerando cuarto.</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Considerando séptimo.</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Considerando octavo.</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Considerando noveno.</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Artículo 5.1.</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r w:rsidRPr="0043655B">
        <w:rPr>
          <w:rStyle w:val="TextoNormalNegritaCaracter"/>
        </w:rPr>
        <w:t>Artículo 6.4.</w:t>
      </w:r>
      <w:r w:rsidRPr="0043655B">
        <w:rPr>
          <w:rStyle w:val="TextoNormalCaracter"/>
        </w:rPr>
        <w:t>-</w:t>
      </w:r>
      <w:r>
        <w:t xml:space="preserve"> Sentencia </w:t>
      </w:r>
      <w:hyperlink w:anchor="SENTENCIA_2012_100" w:history="1">
        <w:r w:rsidRPr="0043655B">
          <w:rPr>
            <w:rStyle w:val="TextoNormalCaracter"/>
          </w:rPr>
          <w:t>100/2012</w:t>
        </w:r>
      </w:hyperlink>
      <w:r>
        <w:t>, ff. 3, 5, 8, 10.</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00" w:history="1">
        <w:r w:rsidRPr="0043655B">
          <w:rPr>
            <w:rStyle w:val="TextoNormalCaracter"/>
          </w:rPr>
          <w:t>100/2012</w:t>
        </w:r>
      </w:hyperlink>
      <w:r>
        <w:t>, f. 2.</w:t>
      </w:r>
    </w:p>
    <w:p w:rsidR="0043655B" w:rsidRDefault="0043655B" w:rsidP="0043655B">
      <w:pPr>
        <w:pStyle w:val="SangriaFrancesaArticulo"/>
      </w:pPr>
    </w:p>
    <w:p w:rsidR="0043655B" w:rsidRDefault="0043655B" w:rsidP="0043655B">
      <w:pPr>
        <w:pStyle w:val="TextoNormalNegritaCursivandice"/>
      </w:pPr>
      <w:r>
        <w:t>Tratado de Maastricht, de 7 de febrero de 1992. Título II Modificación del Tratado constitutivo de la Comunidad Económica Europea</w:t>
      </w:r>
    </w:p>
    <w:p w:rsidR="0043655B" w:rsidRDefault="0043655B" w:rsidP="0043655B">
      <w:pPr>
        <w:pStyle w:val="SangriaFrancesaArticulo"/>
      </w:pPr>
      <w:r w:rsidRPr="0043655B">
        <w:rPr>
          <w:rStyle w:val="TextoNormalNegritaCaracter"/>
        </w:rPr>
        <w:t>Artículo 249.</w:t>
      </w:r>
      <w:r w:rsidRPr="0043655B">
        <w:rPr>
          <w:rStyle w:val="TextoNormalCaracter"/>
        </w:rPr>
        <w:t>-</w:t>
      </w:r>
      <w:r>
        <w:t xml:space="preserve"> Sentencia </w:t>
      </w:r>
      <w:hyperlink w:anchor="SENTENCIA_2012_100" w:history="1">
        <w:r w:rsidRPr="0043655B">
          <w:rPr>
            <w:rStyle w:val="TextoNormalCaracter"/>
          </w:rPr>
          <w:t>100/2012</w:t>
        </w:r>
      </w:hyperlink>
      <w:r>
        <w:t>, f. 2.</w:t>
      </w:r>
    </w:p>
    <w:p w:rsidR="0043655B" w:rsidRDefault="0043655B" w:rsidP="0043655B">
      <w:pPr>
        <w:pStyle w:val="SangriaFrancesaArticulo"/>
      </w:pPr>
    </w:p>
    <w:p w:rsidR="0043655B" w:rsidRDefault="0043655B" w:rsidP="0043655B">
      <w:pPr>
        <w:pStyle w:val="TextoNormalNegritaCursivandice"/>
      </w:pPr>
      <w:r>
        <w:t>Reglamento (CEE) núm. 564/93 del Consejo, de 8 de marzo de 1993. Prorroga la aplicación del "arbitrio insular - tarifa especial" de las islas Canarias con ocasión de la introducción en estas islas de determinados productos sensibles procedentes de otras partes de la Comunidad</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ff. 3, 7 a 10.</w:t>
      </w:r>
    </w:p>
    <w:p w:rsidR="0043655B" w:rsidRDefault="0043655B" w:rsidP="0043655B">
      <w:pPr>
        <w:pStyle w:val="SangriaFrancesaArticulo"/>
      </w:pPr>
      <w:r w:rsidRPr="0043655B">
        <w:rPr>
          <w:rStyle w:val="TextoNormalNegritaCaracter"/>
        </w:rPr>
        <w:t>Considerando tercero.</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Considerando cuarto.</w:t>
      </w:r>
      <w:r w:rsidRPr="0043655B">
        <w:rPr>
          <w:rStyle w:val="TextoNormalCaracter"/>
        </w:rPr>
        <w:t>-</w:t>
      </w:r>
      <w:r>
        <w:t xml:space="preserve"> Sentencia </w:t>
      </w:r>
      <w:hyperlink w:anchor="SENTENCIA_2012_100" w:history="1">
        <w:r w:rsidRPr="0043655B">
          <w:rPr>
            <w:rStyle w:val="TextoNormalCaracter"/>
          </w:rPr>
          <w:t>100/2012</w:t>
        </w:r>
      </w:hyperlink>
      <w:r>
        <w:t>, f. 5.</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00" w:history="1">
        <w:r w:rsidRPr="0043655B">
          <w:rPr>
            <w:rStyle w:val="TextoNormalCaracter"/>
          </w:rPr>
          <w:t>100/2012</w:t>
        </w:r>
      </w:hyperlink>
      <w:r>
        <w:t>, ff. 2, 3, 8.</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 </w:t>
      </w:r>
      <w:hyperlink w:anchor="SENTENCIA_2012_100" w:history="1">
        <w:r w:rsidRPr="0043655B">
          <w:rPr>
            <w:rStyle w:val="TextoNormalCaracter"/>
          </w:rPr>
          <w:t>100/2012</w:t>
        </w:r>
      </w:hyperlink>
      <w:r>
        <w:t>, ff. 2, 3.</w:t>
      </w:r>
    </w:p>
    <w:p w:rsidR="0043655B" w:rsidRDefault="0043655B" w:rsidP="0043655B">
      <w:pPr>
        <w:pStyle w:val="SangriaFrancesaArticulo"/>
      </w:pPr>
      <w:r w:rsidRPr="0043655B">
        <w:rPr>
          <w:rStyle w:val="TextoNormalNegritaCaracter"/>
        </w:rPr>
        <w:t>Artículo 2 párrafo 1.</w:t>
      </w:r>
      <w:r w:rsidRPr="0043655B">
        <w:rPr>
          <w:rStyle w:val="TextoNormalCaracter"/>
        </w:rPr>
        <w:t>-</w:t>
      </w:r>
      <w:r>
        <w:t xml:space="preserve"> Sentencia </w:t>
      </w:r>
      <w:hyperlink w:anchor="SENTENCIA_2012_100" w:history="1">
        <w:r w:rsidRPr="0043655B">
          <w:rPr>
            <w:rStyle w:val="TextoNormalCaracter"/>
          </w:rPr>
          <w:t>100/2012</w:t>
        </w:r>
      </w:hyperlink>
      <w:r>
        <w:t>, f. 10.</w:t>
      </w:r>
    </w:p>
    <w:p w:rsidR="0043655B" w:rsidRDefault="0043655B" w:rsidP="0043655B">
      <w:pPr>
        <w:pStyle w:val="SangriaFrancesaArticulo"/>
      </w:pPr>
      <w:r w:rsidRPr="0043655B">
        <w:rPr>
          <w:rStyle w:val="TextoNormalNegritaCaracter"/>
        </w:rPr>
        <w:t>Artículo 2 párrafo 2.</w:t>
      </w:r>
      <w:r w:rsidRPr="0043655B">
        <w:rPr>
          <w:rStyle w:val="TextoNormalCaracter"/>
        </w:rPr>
        <w:t>-</w:t>
      </w:r>
      <w:r>
        <w:t xml:space="preserve"> Sentencia </w:t>
      </w:r>
      <w:hyperlink w:anchor="SENTENCIA_2012_100" w:history="1">
        <w:r w:rsidRPr="0043655B">
          <w:rPr>
            <w:rStyle w:val="TextoNormalCaracter"/>
          </w:rPr>
          <w:t>100/2012</w:t>
        </w:r>
      </w:hyperlink>
      <w:r>
        <w:t>, ff. 8, 10.</w:t>
      </w:r>
    </w:p>
    <w:p w:rsidR="0043655B" w:rsidRDefault="0043655B" w:rsidP="0043655B">
      <w:pPr>
        <w:pStyle w:val="SangriaFrancesaArticulo"/>
      </w:pPr>
    </w:p>
    <w:p w:rsidR="0043655B" w:rsidRDefault="0043655B" w:rsidP="0043655B">
      <w:pPr>
        <w:pStyle w:val="TextoNormalNegritaCursivandice"/>
      </w:pPr>
      <w:r>
        <w:t>Directiva 95/47/CE del Parlamento Europeo y del Consejo, de 24 de octubre de 1995. Uso de normas para la transmisión de señales de televisión</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 w:history="1">
        <w:r w:rsidRPr="0043655B">
          <w:rPr>
            <w:rStyle w:val="TextoNormalCaracter"/>
          </w:rPr>
          <w:t>1/2012</w:t>
        </w:r>
      </w:hyperlink>
      <w:r>
        <w:t>, ff. 9, 10.</w:t>
      </w:r>
    </w:p>
    <w:p w:rsidR="0043655B" w:rsidRDefault="0043655B" w:rsidP="0043655B">
      <w:pPr>
        <w:pStyle w:val="SangriaFrancesaArticulo"/>
      </w:pPr>
    </w:p>
    <w:p w:rsidR="0043655B" w:rsidRDefault="0043655B" w:rsidP="0043655B">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 w:history="1">
        <w:r w:rsidRPr="0043655B">
          <w:rPr>
            <w:rStyle w:val="TextoNormalCaracter"/>
          </w:rPr>
          <w:t>1/2012</w:t>
        </w:r>
      </w:hyperlink>
      <w:r>
        <w:t>, ff. 7, 9, 10.</w:t>
      </w:r>
    </w:p>
    <w:p w:rsidR="0043655B" w:rsidRDefault="0043655B" w:rsidP="0043655B">
      <w:pPr>
        <w:pStyle w:val="SangriaFrancesaArticulo"/>
      </w:pPr>
      <w:r w:rsidRPr="0043655B">
        <w:rPr>
          <w:rStyle w:val="TextoNormalNegritaCaracter"/>
        </w:rPr>
        <w:t>Artículo 3.</w:t>
      </w:r>
      <w:r w:rsidRPr="0043655B">
        <w:rPr>
          <w:rStyle w:val="TextoNormalCaracter"/>
        </w:rPr>
        <w:t>-</w:t>
      </w:r>
      <w:r>
        <w:t xml:space="preserve"> Sentencia </w:t>
      </w:r>
      <w:hyperlink w:anchor="SENTENCIA_2012_1" w:history="1">
        <w:r w:rsidRPr="0043655B">
          <w:rPr>
            <w:rStyle w:val="TextoNormalCaracter"/>
          </w:rPr>
          <w:t>1/2012</w:t>
        </w:r>
      </w:hyperlink>
      <w:r>
        <w:t>, f. 10.</w:t>
      </w:r>
    </w:p>
    <w:p w:rsidR="0043655B" w:rsidRDefault="0043655B" w:rsidP="0043655B">
      <w:pPr>
        <w:pStyle w:val="SangriaFrancesaArticulo"/>
      </w:pPr>
    </w:p>
    <w:p w:rsidR="0043655B" w:rsidRDefault="0043655B" w:rsidP="0043655B">
      <w:pPr>
        <w:pStyle w:val="TextoNormalNegritaCursivandice"/>
      </w:pPr>
      <w:r>
        <w:t xml:space="preserve">Directiva 1997/33/CE del Parlamento Europeo y del Consejo de 30 de junio de 1997. Interconexión en las telecomunicaciones en lo que respecta a garantizar el </w:t>
      </w:r>
      <w:r>
        <w:lastRenderedPageBreak/>
        <w:t>servicio universal y la interoperabilidad mediante la aplicación de los principios de la oferta de red abierta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8" w:history="1">
        <w:r w:rsidRPr="0043655B">
          <w:rPr>
            <w:rStyle w:val="TextoNormalCaracter"/>
          </w:rPr>
          <w:t>8/2012</w:t>
        </w:r>
      </w:hyperlink>
      <w:r>
        <w:t>, f. 9.</w:t>
      </w:r>
    </w:p>
    <w:p w:rsidR="0043655B" w:rsidRDefault="0043655B" w:rsidP="0043655B">
      <w:pPr>
        <w:pStyle w:val="SangriaFrancesaArticulo"/>
      </w:pPr>
    </w:p>
    <w:p w:rsidR="0043655B" w:rsidRDefault="0043655B" w:rsidP="0043655B">
      <w:pPr>
        <w:pStyle w:val="TextoNormalNegritaCursivandice"/>
      </w:pPr>
      <w:r>
        <w:t>Directiva 1998/30/CE del Parlamento Europeo y del Consejo, de 22 de junio de 1998. Normas comunes para el mercado interior del gas natural</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p>
    <w:p w:rsidR="0043655B" w:rsidRDefault="0043655B" w:rsidP="0043655B">
      <w:pPr>
        <w:pStyle w:val="TextoNormalNegritaCursivandice"/>
      </w:pPr>
      <w:r>
        <w:t>Reglamento (CE) núm. 1257/1999 del Consejo, de 17 de mayo de 1999. Ayuda al desarrollo rural a cargo del Fondo Europeo de Orientación y de Garantía Agrícola (FEOGA) y por el que se modifican y derogan determinados Reglamentos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9" w:history="1">
        <w:r w:rsidRPr="0043655B">
          <w:rPr>
            <w:rStyle w:val="TextoNormalCaracter"/>
          </w:rPr>
          <w:t>99/2012</w:t>
        </w:r>
      </w:hyperlink>
      <w:r>
        <w:t>, f. 3.</w:t>
      </w:r>
    </w:p>
    <w:p w:rsidR="0043655B" w:rsidRDefault="0043655B" w:rsidP="0043655B">
      <w:pPr>
        <w:pStyle w:val="SangriaFrancesaArticulo"/>
      </w:pPr>
      <w:r w:rsidRPr="0043655B">
        <w:rPr>
          <w:rStyle w:val="TextoNormalNegritaCaracter"/>
        </w:rPr>
        <w:t>Artículo 25.2.</w:t>
      </w:r>
      <w:r w:rsidRPr="0043655B">
        <w:rPr>
          <w:rStyle w:val="TextoNormalCaracter"/>
        </w:rPr>
        <w:t>-</w:t>
      </w:r>
      <w:r>
        <w:t xml:space="preserve"> Sentencia </w:t>
      </w:r>
      <w:hyperlink w:anchor="SENTENCIA_2012_99" w:history="1">
        <w:r w:rsidRPr="0043655B">
          <w:rPr>
            <w:rStyle w:val="TextoNormalCaracter"/>
          </w:rPr>
          <w:t>99/2012</w:t>
        </w:r>
      </w:hyperlink>
      <w:r>
        <w:t>, f. 6.</w:t>
      </w:r>
    </w:p>
    <w:p w:rsidR="0043655B" w:rsidRDefault="0043655B" w:rsidP="0043655B">
      <w:pPr>
        <w:pStyle w:val="SangriaFrancesaArticulo"/>
      </w:pPr>
      <w:r w:rsidRPr="0043655B">
        <w:rPr>
          <w:rStyle w:val="TextoNormalNegritaCaracter"/>
        </w:rPr>
        <w:t>Artículo 27.2.</w:t>
      </w:r>
      <w:r w:rsidRPr="0043655B">
        <w:rPr>
          <w:rStyle w:val="TextoNormalCaracter"/>
        </w:rPr>
        <w:t>-</w:t>
      </w:r>
      <w:r>
        <w:t xml:space="preserve"> Sentencia </w:t>
      </w:r>
      <w:hyperlink w:anchor="SENTENCIA_2012_99" w:history="1">
        <w:r w:rsidRPr="0043655B">
          <w:rPr>
            <w:rStyle w:val="TextoNormalCaracter"/>
          </w:rPr>
          <w:t>99/2012</w:t>
        </w:r>
      </w:hyperlink>
      <w:r>
        <w:t>, f. 6.</w:t>
      </w:r>
    </w:p>
    <w:p w:rsidR="0043655B" w:rsidRDefault="0043655B" w:rsidP="0043655B">
      <w:pPr>
        <w:pStyle w:val="SangriaFrancesaArticulo"/>
      </w:pPr>
    </w:p>
    <w:p w:rsidR="0043655B" w:rsidRDefault="0043655B" w:rsidP="0043655B">
      <w:pPr>
        <w:pStyle w:val="TextoNormalNegritaCursivandice"/>
      </w:pPr>
      <w:r>
        <w:t>Reglamento (CE) núm. 1260/1999 del Consejo, de 21 de junio de 1999. Se establecen disposiciones generales sobre los Fondos Estructurales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99" w:history="1">
        <w:r w:rsidRPr="0043655B">
          <w:rPr>
            <w:rStyle w:val="TextoNormalCaracter"/>
          </w:rPr>
          <w:t>99/2012</w:t>
        </w:r>
      </w:hyperlink>
      <w:r>
        <w:t>, ff. 3, 7.</w:t>
      </w:r>
    </w:p>
    <w:p w:rsidR="0043655B" w:rsidRDefault="0043655B" w:rsidP="0043655B">
      <w:pPr>
        <w:pStyle w:val="SangriaFrancesaArticulo"/>
      </w:pPr>
      <w:r w:rsidRPr="0043655B">
        <w:rPr>
          <w:rStyle w:val="TextoNormalNegritaCaracter"/>
        </w:rPr>
        <w:t>Título II.</w:t>
      </w:r>
      <w:r w:rsidRPr="0043655B">
        <w:rPr>
          <w:rStyle w:val="TextoNormalCaracter"/>
        </w:rPr>
        <w:t>-</w:t>
      </w:r>
      <w:r>
        <w:t xml:space="preserve"> Sentencia </w:t>
      </w:r>
      <w:hyperlink w:anchor="SENTENCIA_2012_99" w:history="1">
        <w:r w:rsidRPr="0043655B">
          <w:rPr>
            <w:rStyle w:val="TextoNormalCaracter"/>
          </w:rPr>
          <w:t>99/2012</w:t>
        </w:r>
      </w:hyperlink>
      <w:r>
        <w:t>, f. 6.</w:t>
      </w:r>
    </w:p>
    <w:p w:rsidR="0043655B" w:rsidRDefault="0043655B" w:rsidP="0043655B">
      <w:pPr>
        <w:pStyle w:val="SangriaFrancesaArticulo"/>
      </w:pPr>
      <w:r w:rsidRPr="0043655B">
        <w:rPr>
          <w:rStyle w:val="TextoNormalNegritaCaracter"/>
        </w:rPr>
        <w:t>Artículo 17.2 c).</w:t>
      </w:r>
      <w:r w:rsidRPr="0043655B">
        <w:rPr>
          <w:rStyle w:val="TextoNormalCaracter"/>
        </w:rPr>
        <w:t>-</w:t>
      </w:r>
      <w:r>
        <w:t xml:space="preserve"> Sentencia </w:t>
      </w:r>
      <w:hyperlink w:anchor="SENTENCIA_2012_99" w:history="1">
        <w:r w:rsidRPr="0043655B">
          <w:rPr>
            <w:rStyle w:val="TextoNormalCaracter"/>
          </w:rPr>
          <w:t>99/2012</w:t>
        </w:r>
      </w:hyperlink>
      <w:r>
        <w:t>, f. 7.</w:t>
      </w:r>
    </w:p>
    <w:p w:rsidR="0043655B" w:rsidRDefault="0043655B" w:rsidP="0043655B">
      <w:pPr>
        <w:pStyle w:val="SangriaFrancesaArticulo"/>
      </w:pPr>
      <w:r w:rsidRPr="0043655B">
        <w:rPr>
          <w:rStyle w:val="TextoNormalNegritaCaracter"/>
        </w:rPr>
        <w:t>Artículo 18.2 c).</w:t>
      </w:r>
      <w:r w:rsidRPr="0043655B">
        <w:rPr>
          <w:rStyle w:val="TextoNormalCaracter"/>
        </w:rPr>
        <w:t>-</w:t>
      </w:r>
      <w:r>
        <w:t xml:space="preserve"> Sentencia </w:t>
      </w:r>
      <w:hyperlink w:anchor="SENTENCIA_2012_99" w:history="1">
        <w:r w:rsidRPr="0043655B">
          <w:rPr>
            <w:rStyle w:val="TextoNormalCaracter"/>
          </w:rPr>
          <w:t>99/2012</w:t>
        </w:r>
      </w:hyperlink>
      <w:r>
        <w:t>, f. 7.</w:t>
      </w:r>
    </w:p>
    <w:p w:rsidR="0043655B" w:rsidRDefault="0043655B" w:rsidP="0043655B">
      <w:pPr>
        <w:pStyle w:val="SangriaFrancesaArticulo"/>
      </w:pPr>
    </w:p>
    <w:p w:rsidR="0043655B" w:rsidRDefault="0043655B" w:rsidP="0043655B">
      <w:pPr>
        <w:pStyle w:val="TextoNormalNegritaCursivandice"/>
      </w:pPr>
      <w:r>
        <w:t>Posición común 2000/25/CE del Consejo, de 30 de marzo. Aprobada de conformidad con el procedimiento establecido en el artículo 251 del Tratado constitutivo de la Comunidad Europea, con vistas a la adopción de una Directiva del Parlamento Europeo y del Consejo relativa a la evaluación de los efectos de determinados planes y programas en el medio ambiente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 w:history="1">
        <w:r w:rsidRPr="0043655B">
          <w:rPr>
            <w:rStyle w:val="TextoNormalCaracter"/>
          </w:rPr>
          <w:t>1/2012</w:t>
        </w:r>
      </w:hyperlink>
      <w:r>
        <w:t>, f. 7.</w:t>
      </w:r>
    </w:p>
    <w:p w:rsidR="0043655B" w:rsidRDefault="0043655B" w:rsidP="0043655B">
      <w:pPr>
        <w:pStyle w:val="SangriaFrancesaArticulo"/>
      </w:pPr>
    </w:p>
    <w:p w:rsidR="0043655B" w:rsidRDefault="0043655B" w:rsidP="0043655B">
      <w:pPr>
        <w:pStyle w:val="TextoNormalNegritaCursivandice"/>
      </w:pPr>
      <w:r>
        <w:t>Carta de los derechos fundamentales de la Unión Europea, firmada en Niza el 7 de diciembre de 2000</w:t>
      </w:r>
    </w:p>
    <w:p w:rsidR="0043655B" w:rsidRDefault="0043655B" w:rsidP="0043655B">
      <w:pPr>
        <w:pStyle w:val="SangriaFrancesaArticulo"/>
      </w:pPr>
      <w:r w:rsidRPr="0043655B">
        <w:rPr>
          <w:rStyle w:val="TextoNormalNegritaCaracter"/>
        </w:rPr>
        <w:t>Artículo 47.</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p>
    <w:p w:rsidR="0043655B" w:rsidRDefault="0043655B" w:rsidP="0043655B">
      <w:pPr>
        <w:pStyle w:val="TextoNormalNegritaCursivandice"/>
      </w:pPr>
      <w:r>
        <w:t>Reglamento (CE) núm. 1105/2001 del Consejo, de 30 de mayo de 2001. Modificación del Reglamento (CEE) 1911/91 relativo a la aplicación de las disposiciones del Derecho comunitario en las islas Canarias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p>
    <w:p w:rsidR="0043655B" w:rsidRDefault="0043655B" w:rsidP="0043655B">
      <w:pPr>
        <w:pStyle w:val="TextoNormalNegritaCursivandice"/>
      </w:pPr>
      <w:r>
        <w:t>Directiva 2002/21/CE del Parlamento Europeo y del Consejo, de 7 de marzo de 2002. Marco regulador común de las redes y los servicios de comunicaciones electrónicas (Directiva marco)</w:t>
      </w:r>
    </w:p>
    <w:p w:rsidR="0043655B" w:rsidRDefault="0043655B" w:rsidP="0043655B">
      <w:pPr>
        <w:pStyle w:val="SangriaFrancesaArticulo"/>
      </w:pPr>
      <w:r w:rsidRPr="0043655B">
        <w:rPr>
          <w:rStyle w:val="TextoNormalNegritaCaracter"/>
        </w:rPr>
        <w:t>Artículo 12.</w:t>
      </w:r>
      <w:r w:rsidRPr="0043655B">
        <w:rPr>
          <w:rStyle w:val="TextoNormalCaracter"/>
        </w:rPr>
        <w:t>-</w:t>
      </w:r>
      <w:r>
        <w:t xml:space="preserve"> Sentencia </w:t>
      </w:r>
      <w:hyperlink w:anchor="SENTENCIA_2012_8" w:history="1">
        <w:r w:rsidRPr="0043655B">
          <w:rPr>
            <w:rStyle w:val="TextoNormalCaracter"/>
          </w:rPr>
          <w:t>8/2012</w:t>
        </w:r>
      </w:hyperlink>
      <w:r>
        <w:t>, f. 9.</w:t>
      </w:r>
    </w:p>
    <w:p w:rsidR="0043655B" w:rsidRDefault="0043655B" w:rsidP="0043655B">
      <w:pPr>
        <w:pStyle w:val="SangriaFrancesaArticulo"/>
      </w:pPr>
    </w:p>
    <w:p w:rsidR="0043655B" w:rsidRDefault="0043655B" w:rsidP="0043655B">
      <w:pPr>
        <w:pStyle w:val="TextoNormalNegritaCursivandice"/>
      </w:pPr>
      <w:r>
        <w:t>Decisión 2002/546/CE del Consejo, de 20 de junio de 2002. Régimen del impuesto AIEM aplicable en las Islas Canarias</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SangriaFrancesaArticulo"/>
      </w:pPr>
    </w:p>
    <w:p w:rsidR="0043655B" w:rsidRDefault="0043655B" w:rsidP="0043655B">
      <w:pPr>
        <w:pStyle w:val="TextoNormalNegritaCursivandice"/>
      </w:pPr>
      <w:r>
        <w:t>Directiva 2003/55/CE del Parlamento Europeo y del Consejo, de 26 de junio de 2003. Normas comunes para el mercado interior del gas natural y derogación de la Directiva 1998/30/CE</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5" w:history="1">
        <w:r w:rsidRPr="0043655B">
          <w:rPr>
            <w:rStyle w:val="TextoNormalCaracter"/>
          </w:rPr>
          <w:t>135/2012</w:t>
        </w:r>
      </w:hyperlink>
      <w:r>
        <w:t>, ff. 3, 4.</w:t>
      </w:r>
    </w:p>
    <w:p w:rsidR="0043655B" w:rsidRDefault="0043655B" w:rsidP="0043655B">
      <w:pPr>
        <w:pStyle w:val="SangriaFrancesaArticulo"/>
      </w:pPr>
      <w:r w:rsidRPr="0043655B">
        <w:rPr>
          <w:rStyle w:val="TextoNormalNegritaCaracter"/>
        </w:rPr>
        <w:t>Artículo 4.4.</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 </w:t>
      </w:r>
      <w:hyperlink w:anchor="SENTENCIA_2012_135" w:history="1">
        <w:r w:rsidRPr="0043655B">
          <w:rPr>
            <w:rStyle w:val="TextoNormalCaracter"/>
          </w:rPr>
          <w:t>135/2012</w:t>
        </w:r>
      </w:hyperlink>
      <w:r>
        <w:t>, f. 3.</w:t>
      </w:r>
    </w:p>
    <w:p w:rsidR="0043655B" w:rsidRDefault="0043655B" w:rsidP="0043655B">
      <w:pPr>
        <w:pStyle w:val="SangriaFrancesaArticulo"/>
      </w:pPr>
    </w:p>
    <w:p w:rsidR="0043655B" w:rsidRDefault="0043655B" w:rsidP="0043655B">
      <w:pPr>
        <w:pStyle w:val="TextoNormalNegritaCursivandice"/>
      </w:pPr>
      <w:r>
        <w:t>Directiva 2004/23/CE del Parlamento Europeo y del Consejo, de 31 de marzo de 2004. Establecimiento de normas de calidad y de seguridad para la donación, la obtención, la evaluación, el procesamiento, la preservación, el almacenamiento y la distribución de células y tejidos humanos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ff. 4, 8.</w:t>
      </w:r>
    </w:p>
    <w:p w:rsidR="0043655B" w:rsidRDefault="0043655B" w:rsidP="0043655B">
      <w:pPr>
        <w:pStyle w:val="SangriaFrancesaArticulo"/>
      </w:pPr>
      <w:r w:rsidRPr="0043655B">
        <w:rPr>
          <w:rStyle w:val="TextoNormalNegritaCaracter"/>
        </w:rPr>
        <w:t>Artículo 7.3.</w:t>
      </w:r>
      <w:r w:rsidRPr="0043655B">
        <w:rPr>
          <w:rStyle w:val="TextoNormalCaracter"/>
        </w:rPr>
        <w:t>-</w:t>
      </w:r>
      <w:r>
        <w:t xml:space="preserve"> Sentencia </w:t>
      </w:r>
      <w:hyperlink w:anchor="SENTENCIA_2012_22" w:history="1">
        <w:r w:rsidRPr="0043655B">
          <w:rPr>
            <w:rStyle w:val="TextoNormalCaracter"/>
          </w:rPr>
          <w:t>22/2012</w:t>
        </w:r>
      </w:hyperlink>
      <w:r>
        <w:t>, f. 5.</w:t>
      </w:r>
    </w:p>
    <w:p w:rsidR="0043655B" w:rsidRDefault="0043655B" w:rsidP="0043655B">
      <w:pPr>
        <w:pStyle w:val="SangriaFrancesaArticulo"/>
      </w:pPr>
      <w:r w:rsidRPr="0043655B">
        <w:rPr>
          <w:rStyle w:val="TextoNormalNegritaCaracter"/>
        </w:rPr>
        <w:t>Artículo 24.</w:t>
      </w:r>
      <w:r w:rsidRPr="0043655B">
        <w:rPr>
          <w:rStyle w:val="TextoNormalCaracter"/>
        </w:rPr>
        <w:t>-</w:t>
      </w:r>
      <w:r>
        <w:t xml:space="preserve"> Sentencia </w:t>
      </w:r>
      <w:hyperlink w:anchor="SENTENCIA_2012_22" w:history="1">
        <w:r w:rsidRPr="0043655B">
          <w:rPr>
            <w:rStyle w:val="TextoNormalCaracter"/>
          </w:rPr>
          <w:t>22/2012</w:t>
        </w:r>
      </w:hyperlink>
      <w:r>
        <w:t>, f. 7.</w:t>
      </w:r>
    </w:p>
    <w:p w:rsidR="0043655B" w:rsidRDefault="0043655B" w:rsidP="0043655B">
      <w:pPr>
        <w:pStyle w:val="SangriaFrancesaArticulo"/>
      </w:pPr>
    </w:p>
    <w:p w:rsidR="0043655B" w:rsidRDefault="0043655B" w:rsidP="0043655B">
      <w:pPr>
        <w:pStyle w:val="TextoNormalNegritaCursivandice"/>
      </w:pPr>
      <w:r>
        <w:t>Reglamento (CE) núm. 1698/2005 del Consejo, de 20 de septiembre de 2005. Ayuda al desarrollo rural a través del Fondo Europeo Agrícola de Desarrollo Rural (FEADER)</w:t>
      </w:r>
    </w:p>
    <w:p w:rsidR="0043655B" w:rsidRDefault="0043655B" w:rsidP="0043655B">
      <w:pPr>
        <w:pStyle w:val="SangriaFrancesaArticulo"/>
      </w:pPr>
      <w:r w:rsidRPr="0043655B">
        <w:rPr>
          <w:rStyle w:val="TextoNormalNegritaCaracter"/>
        </w:rPr>
        <w:t>Artículos 69 a 72.</w:t>
      </w:r>
      <w:r w:rsidRPr="0043655B">
        <w:rPr>
          <w:rStyle w:val="TextoNormalCaracter"/>
        </w:rPr>
        <w:t>-</w:t>
      </w:r>
      <w:r>
        <w:t xml:space="preserve"> Sentencia </w:t>
      </w:r>
      <w:hyperlink w:anchor="SENTENCIA_2012_99" w:history="1">
        <w:r w:rsidRPr="0043655B">
          <w:rPr>
            <w:rStyle w:val="TextoNormalCaracter"/>
          </w:rPr>
          <w:t>99/2012</w:t>
        </w:r>
      </w:hyperlink>
      <w:r>
        <w:t>, f. 6.</w:t>
      </w:r>
    </w:p>
    <w:p w:rsidR="0043655B" w:rsidRDefault="0043655B" w:rsidP="0043655B">
      <w:pPr>
        <w:pStyle w:val="SangriaFrancesaArticulo"/>
      </w:pPr>
    </w:p>
    <w:p w:rsidR="0043655B" w:rsidRDefault="0043655B" w:rsidP="0043655B">
      <w:pPr>
        <w:pStyle w:val="TextoNormalNegritaCursivandice"/>
      </w:pPr>
      <w:r>
        <w:t>Directiva 2006/17/CE de la Comisión, de 8 de febrero de 2006. Se aplica la Directiva 2004/23/CE del Parlamento Europeo y del Consejo en lo relativo a determinados requisitos técnicos para la donación, la obtención y la evaluación de células y tejidos humanos</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2" w:history="1">
        <w:r w:rsidRPr="0043655B">
          <w:rPr>
            <w:rStyle w:val="TextoNormalCaracter"/>
          </w:rPr>
          <w:t>22/2012</w:t>
        </w:r>
      </w:hyperlink>
      <w:r>
        <w:t>, f. 4.</w:t>
      </w:r>
    </w:p>
    <w:p w:rsidR="0043655B" w:rsidRDefault="0043655B" w:rsidP="0043655B">
      <w:pPr>
        <w:pStyle w:val="SangriaFrancesaArticulo"/>
      </w:pPr>
    </w:p>
    <w:p w:rsidR="0043655B" w:rsidRDefault="0043655B" w:rsidP="0043655B">
      <w:pPr>
        <w:pStyle w:val="TextoNormalNegritaCursivandice"/>
      </w:pPr>
      <w:r>
        <w:t>Directiva 2006/123/CE del Parlamento Europeo y del Consejo, de 12 de diciembre de 2006. Servicios en el mercado interior</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26" w:history="1">
        <w:r w:rsidRPr="0043655B">
          <w:rPr>
            <w:rStyle w:val="TextoNormalCaracter"/>
          </w:rPr>
          <w:t>26/2012</w:t>
        </w:r>
      </w:hyperlink>
      <w:r>
        <w:t>, f. 5.</w:t>
      </w:r>
    </w:p>
    <w:p w:rsidR="0043655B" w:rsidRDefault="0043655B" w:rsidP="0043655B">
      <w:pPr>
        <w:pStyle w:val="SangriaFrancesaArticulo"/>
      </w:pPr>
    </w:p>
    <w:p w:rsidR="0043655B" w:rsidRDefault="0043655B" w:rsidP="0043655B">
      <w:pPr>
        <w:pStyle w:val="TextoNormalNegritaCursivandice"/>
      </w:pPr>
      <w:r>
        <w:t>Carta de los derechos fundamentales de la Unión Europea. Estrasburgo, 12 de diciembre de 2007 (versión consolidada)</w:t>
      </w:r>
    </w:p>
    <w:p w:rsidR="0043655B" w:rsidRDefault="0043655B" w:rsidP="0043655B">
      <w:pPr>
        <w:pStyle w:val="SangriaFrancesaArticulo"/>
      </w:pPr>
      <w:r w:rsidRPr="0043655B">
        <w:rPr>
          <w:rStyle w:val="TextoNormalNegritaCaracter"/>
        </w:rPr>
        <w:t>Artículo 47.</w:t>
      </w:r>
      <w:r w:rsidRPr="0043655B">
        <w:rPr>
          <w:rStyle w:val="TextoNormalCaracter"/>
        </w:rPr>
        <w:t>-</w:t>
      </w:r>
      <w:r>
        <w:t xml:space="preserve"> Sentencia </w:t>
      </w:r>
      <w:hyperlink w:anchor="SENTENCIA_2012_37" w:history="1">
        <w:r w:rsidRPr="0043655B">
          <w:rPr>
            <w:rStyle w:val="TextoNormalCaracter"/>
          </w:rPr>
          <w:t>37/2012</w:t>
        </w:r>
      </w:hyperlink>
      <w:r>
        <w:t>, f. 6.</w:t>
      </w:r>
    </w:p>
    <w:p w:rsidR="0043655B" w:rsidRDefault="0043655B" w:rsidP="0043655B">
      <w:pPr>
        <w:pStyle w:val="SangriaFrancesaArticulo"/>
      </w:pPr>
    </w:p>
    <w:p w:rsidR="0043655B" w:rsidRDefault="0043655B" w:rsidP="0043655B">
      <w:pPr>
        <w:pStyle w:val="TextoNormalNegritaCursivandice"/>
      </w:pPr>
      <w:r>
        <w:t>Tratado de Lisboa, de 13 de diciembre de 2007. Tratado de funcionamiento de la Unión Europea</w:t>
      </w:r>
    </w:p>
    <w:p w:rsidR="0043655B" w:rsidRDefault="0043655B" w:rsidP="0043655B">
      <w:pPr>
        <w:pStyle w:val="SangriaFrancesaArticulo"/>
      </w:pPr>
      <w:r w:rsidRPr="0043655B">
        <w:rPr>
          <w:rStyle w:val="TextoNormalNegritaCaracter"/>
        </w:rPr>
        <w:t>Artículo 258.</w:t>
      </w:r>
      <w:r w:rsidRPr="0043655B">
        <w:rPr>
          <w:rStyle w:val="TextoNormalCaracter"/>
        </w:rPr>
        <w:t>-</w:t>
      </w:r>
      <w:r>
        <w:t xml:space="preserve"> Sentencia </w:t>
      </w:r>
      <w:hyperlink w:anchor="SENTENCIA_2012_1" w:history="1">
        <w:r w:rsidRPr="0043655B">
          <w:rPr>
            <w:rStyle w:val="TextoNormalCaracter"/>
          </w:rPr>
          <w:t>1/2012</w:t>
        </w:r>
      </w:hyperlink>
      <w:r>
        <w:t>, f. 10.</w:t>
      </w:r>
    </w:p>
    <w:p w:rsidR="0043655B" w:rsidRDefault="0043655B" w:rsidP="0043655B">
      <w:pPr>
        <w:pStyle w:val="SangriaFrancesaArticulo"/>
      </w:pPr>
      <w:r w:rsidRPr="0043655B">
        <w:rPr>
          <w:rStyle w:val="TextoNormalNegritaCaracter"/>
        </w:rPr>
        <w:t>Artículo 288.</w:t>
      </w:r>
      <w:r w:rsidRPr="0043655B">
        <w:rPr>
          <w:rStyle w:val="TextoNormalCaracter"/>
        </w:rPr>
        <w:t>-</w:t>
      </w:r>
      <w:r>
        <w:t xml:space="preserve"> Sentencia </w:t>
      </w:r>
      <w:hyperlink w:anchor="SENTENCIA_2012_100" w:history="1">
        <w:r w:rsidRPr="0043655B">
          <w:rPr>
            <w:rStyle w:val="TextoNormalCaracter"/>
          </w:rPr>
          <w:t>100/2012</w:t>
        </w:r>
      </w:hyperlink>
      <w:r>
        <w:t>, ff. 2, 8.</w:t>
      </w:r>
    </w:p>
    <w:p w:rsidR="0043655B" w:rsidRDefault="0043655B" w:rsidP="0043655B">
      <w:pPr>
        <w:pStyle w:val="SangriaFrancesaArticulo"/>
      </w:pPr>
    </w:p>
    <w:p w:rsidR="0043655B" w:rsidRDefault="0043655B" w:rsidP="0043655B">
      <w:pPr>
        <w:pStyle w:val="TextoNormalNegritaCursivandice"/>
      </w:pPr>
      <w:r>
        <w:t>Decisión 895/2011/UE del Consejo, de 19 de diciembre de 2011. Modifica la Decisión 2002/546/CE respecto a su período de aplicación</w:t>
      </w:r>
    </w:p>
    <w:p w:rsidR="0043655B" w:rsidRDefault="0043655B" w:rsidP="0043655B">
      <w:pPr>
        <w:pStyle w:val="SangriaFrancesaArticulo"/>
      </w:pPr>
      <w:r w:rsidRPr="0043655B">
        <w:rPr>
          <w:rStyle w:val="TextoNormalNegritaCaracter"/>
        </w:rPr>
        <w:t>Artículo 1.</w:t>
      </w:r>
      <w:r w:rsidRPr="0043655B">
        <w:rPr>
          <w:rStyle w:val="TextoNormalCaracter"/>
        </w:rPr>
        <w:t>-</w:t>
      </w:r>
      <w:r>
        <w:t xml:space="preserve"> Sentencia </w:t>
      </w:r>
      <w:hyperlink w:anchor="SENTENCIA_2012_100" w:history="1">
        <w:r w:rsidRPr="0043655B">
          <w:rPr>
            <w:rStyle w:val="TextoNormalCaracter"/>
          </w:rPr>
          <w:t>100/2012</w:t>
        </w:r>
      </w:hyperlink>
      <w:r>
        <w:t>, f. 3.</w:t>
      </w:r>
    </w:p>
    <w:p w:rsidR="0043655B" w:rsidRDefault="0043655B" w:rsidP="0043655B">
      <w:pPr>
        <w:pStyle w:val="TextoNormal"/>
      </w:pPr>
    </w:p>
    <w:p w:rsidR="0043655B" w:rsidRDefault="0043655B" w:rsidP="0043655B">
      <w:pPr>
        <w:pStyle w:val="SangriaFrancesaArticulo"/>
      </w:pPr>
      <w:bookmarkStart w:id="294" w:name="INDICE27994"/>
    </w:p>
    <w:bookmarkEnd w:id="294"/>
    <w:p w:rsidR="0043655B" w:rsidRDefault="0043655B" w:rsidP="0043655B">
      <w:pPr>
        <w:pStyle w:val="TextoIndiceNivel2"/>
        <w:suppressAutoHyphens/>
      </w:pPr>
      <w:r>
        <w:lastRenderedPageBreak/>
        <w:t>N) Consejo de Europa</w:t>
      </w:r>
    </w:p>
    <w:p w:rsidR="0043655B" w:rsidRDefault="0043655B" w:rsidP="0043655B">
      <w:pPr>
        <w:pStyle w:val="TextoIndiceNivel2"/>
      </w:pPr>
    </w:p>
    <w:p w:rsidR="0043655B" w:rsidRDefault="0043655B" w:rsidP="0043655B">
      <w:pPr>
        <w:pStyle w:val="TextoNormalNegritaCursivandice"/>
      </w:pPr>
      <w:r>
        <w:t>Convenio europeo para la protección de los derechos humanos y de las libertades fundamentales. Hecho en Roma el 4 de noviembre de 1950, ratificado por Instrumento de 26 de septiembre de 1979</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r w:rsidRPr="0043655B">
        <w:rPr>
          <w:rStyle w:val="TextoNormalNegritaCaracter"/>
        </w:rPr>
        <w:t>Artículo 5.</w:t>
      </w:r>
      <w:r w:rsidRPr="0043655B">
        <w:rPr>
          <w:rStyle w:val="TextoNormalCaracter"/>
        </w:rPr>
        <w:t>-</w:t>
      </w:r>
      <w:r>
        <w:t xml:space="preserve"> Sentencias </w:t>
      </w:r>
      <w:hyperlink w:anchor="SENTENCIA_2012_39" w:history="1">
        <w:r w:rsidRPr="0043655B">
          <w:rPr>
            <w:rStyle w:val="TextoNormalCaracter"/>
          </w:rPr>
          <w:t>39/2012</w:t>
        </w:r>
      </w:hyperlink>
      <w:r>
        <w:t xml:space="preserve">, f. 4; </w:t>
      </w:r>
      <w:hyperlink w:anchor="SENTENCIA_2012_40" w:history="1">
        <w:r w:rsidRPr="0043655B">
          <w:rPr>
            <w:rStyle w:val="TextoNormalCaracter"/>
          </w:rPr>
          <w:t>40/2012</w:t>
        </w:r>
      </w:hyperlink>
      <w:r>
        <w:t xml:space="preserve">, f. 7; </w:t>
      </w:r>
      <w:hyperlink w:anchor="SENTENCIA_2012_41" w:history="1">
        <w:r w:rsidRPr="0043655B">
          <w:rPr>
            <w:rStyle w:val="TextoNormalCaracter"/>
          </w:rPr>
          <w:t>41/2012</w:t>
        </w:r>
      </w:hyperlink>
      <w:r>
        <w:t xml:space="preserve">, VP I; </w:t>
      </w:r>
      <w:hyperlink w:anchor="SENTENCIA_2012_47" w:history="1">
        <w:r w:rsidRPr="0043655B">
          <w:rPr>
            <w:rStyle w:val="TextoNormalCaracter"/>
          </w:rPr>
          <w:t>47/2012</w:t>
        </w:r>
      </w:hyperlink>
      <w:r>
        <w:t xml:space="preserve">, f. 5; </w:t>
      </w:r>
      <w:hyperlink w:anchor="SENTENCIA_2012_48" w:history="1">
        <w:r w:rsidRPr="0043655B">
          <w:rPr>
            <w:rStyle w:val="TextoNormalCaracter"/>
          </w:rPr>
          <w:t>48/2012</w:t>
        </w:r>
      </w:hyperlink>
      <w:r>
        <w:t xml:space="preserve">, f. 5; </w:t>
      </w:r>
      <w:hyperlink w:anchor="SENTENCIA_2012_49" w:history="1">
        <w:r w:rsidRPr="0043655B">
          <w:rPr>
            <w:rStyle w:val="TextoNormalCaracter"/>
          </w:rPr>
          <w:t>49/2012</w:t>
        </w:r>
      </w:hyperlink>
      <w:r>
        <w:t xml:space="preserve">, f. 5; </w:t>
      </w:r>
      <w:hyperlink w:anchor="SENTENCIA_2012_50" w:history="1">
        <w:r w:rsidRPr="0043655B">
          <w:rPr>
            <w:rStyle w:val="TextoNormalCaracter"/>
          </w:rPr>
          <w:t>50/2012</w:t>
        </w:r>
      </w:hyperlink>
      <w:r>
        <w:t xml:space="preserve">, f. 5; </w:t>
      </w:r>
      <w:hyperlink w:anchor="SENTENCIA_2012_61" w:history="1">
        <w:r w:rsidRPr="0043655B">
          <w:rPr>
            <w:rStyle w:val="TextoNormalCaracter"/>
          </w:rPr>
          <w:t>61/2012</w:t>
        </w:r>
      </w:hyperlink>
      <w:r>
        <w:t xml:space="preserve">, f. 4; </w:t>
      </w:r>
      <w:hyperlink w:anchor="SENTENCIA_2012_64" w:history="1">
        <w:r w:rsidRPr="0043655B">
          <w:rPr>
            <w:rStyle w:val="TextoNormalCaracter"/>
          </w:rPr>
          <w:t>64/2012</w:t>
        </w:r>
      </w:hyperlink>
      <w:r>
        <w:t xml:space="preserve">, f. 4; </w:t>
      </w:r>
      <w:hyperlink w:anchor="SENTENCIA_2012_65" w:history="1">
        <w:r w:rsidRPr="0043655B">
          <w:rPr>
            <w:rStyle w:val="TextoNormalCaracter"/>
          </w:rPr>
          <w:t>65/2012</w:t>
        </w:r>
      </w:hyperlink>
      <w:r>
        <w:t xml:space="preserve">, f. 5; </w:t>
      </w:r>
      <w:hyperlink w:anchor="SENTENCIA_2012_67" w:history="1">
        <w:r w:rsidRPr="0043655B">
          <w:rPr>
            <w:rStyle w:val="TextoNormalCaracter"/>
          </w:rPr>
          <w:t>67/2012</w:t>
        </w:r>
      </w:hyperlink>
      <w:r>
        <w:t xml:space="preserve">, f. 4; </w:t>
      </w:r>
      <w:hyperlink w:anchor="SENTENCIA_2012_69" w:history="1">
        <w:r w:rsidRPr="0043655B">
          <w:rPr>
            <w:rStyle w:val="TextoNormalCaracter"/>
          </w:rPr>
          <w:t>69/2012</w:t>
        </w:r>
      </w:hyperlink>
      <w:r>
        <w:t xml:space="preserve">, f. 5; </w:t>
      </w:r>
      <w:hyperlink w:anchor="SENTENCIA_2012_113" w:history="1">
        <w:r w:rsidRPr="0043655B">
          <w:rPr>
            <w:rStyle w:val="TextoNormalCaracter"/>
          </w:rPr>
          <w:t>113/2012</w:t>
        </w:r>
      </w:hyperlink>
      <w:r>
        <w:t xml:space="preserve">, f. 8; </w:t>
      </w:r>
      <w:hyperlink w:anchor="SENTENCIA_2012_114" w:history="1">
        <w:r w:rsidRPr="0043655B">
          <w:rPr>
            <w:rStyle w:val="TextoNormalCaracter"/>
          </w:rPr>
          <w:t>114/2012</w:t>
        </w:r>
      </w:hyperlink>
      <w:r>
        <w:t>, f. 4.</w:t>
      </w:r>
    </w:p>
    <w:p w:rsidR="0043655B" w:rsidRDefault="0043655B" w:rsidP="0043655B">
      <w:pPr>
        <w:pStyle w:val="SangriaFrancesaArticulo"/>
      </w:pPr>
      <w:r w:rsidRPr="0043655B">
        <w:rPr>
          <w:rStyle w:val="TextoNormalNegritaCaracter"/>
        </w:rPr>
        <w:t>Artículo 5.2.</w:t>
      </w:r>
      <w:r w:rsidRPr="0043655B">
        <w:rPr>
          <w:rStyle w:val="TextoNormalCaracter"/>
        </w:rPr>
        <w:t>-</w:t>
      </w:r>
      <w:r>
        <w:t xml:space="preserve"> Sentencia </w:t>
      </w:r>
      <w:hyperlink w:anchor="SENTENCIA_2012_95" w:history="1">
        <w:r w:rsidRPr="0043655B">
          <w:rPr>
            <w:rStyle w:val="TextoNormalCaracter"/>
          </w:rPr>
          <w:t>95/2012</w:t>
        </w:r>
      </w:hyperlink>
      <w:r>
        <w:t>, f. 2.</w:t>
      </w:r>
    </w:p>
    <w:p w:rsidR="0043655B" w:rsidRDefault="0043655B" w:rsidP="0043655B">
      <w:pPr>
        <w:pStyle w:val="SangriaFrancesaArticulo"/>
      </w:pPr>
      <w:r w:rsidRPr="0043655B">
        <w:rPr>
          <w:rStyle w:val="TextoNormalNegritaCaracter"/>
        </w:rPr>
        <w:t>Artículo 5.3.</w:t>
      </w:r>
      <w:r w:rsidRPr="0043655B">
        <w:rPr>
          <w:rStyle w:val="TextoNormalCaracter"/>
        </w:rPr>
        <w:t>-</w:t>
      </w:r>
      <w:r>
        <w:t xml:space="preserve"> Sentencia </w:t>
      </w:r>
      <w:hyperlink w:anchor="SENTENCIA_2012_95" w:history="1">
        <w:r w:rsidRPr="0043655B">
          <w:rPr>
            <w:rStyle w:val="TextoNormalCaracter"/>
          </w:rPr>
          <w:t>95/2012</w:t>
        </w:r>
      </w:hyperlink>
      <w:r>
        <w:t>, f. 2.</w:t>
      </w:r>
    </w:p>
    <w:p w:rsidR="0043655B" w:rsidRDefault="0043655B" w:rsidP="0043655B">
      <w:pPr>
        <w:pStyle w:val="SangriaFrancesaArticulo"/>
      </w:pPr>
      <w:r w:rsidRPr="0043655B">
        <w:rPr>
          <w:rStyle w:val="TextoNormalNegritaCaracter"/>
        </w:rPr>
        <w:t>Artículo 6.</w:t>
      </w:r>
      <w:r w:rsidRPr="0043655B">
        <w:rPr>
          <w:rStyle w:val="TextoNormalCaracter"/>
        </w:rPr>
        <w:t>-</w:t>
      </w:r>
      <w:r>
        <w:t xml:space="preserve"> Auto </w:t>
      </w:r>
      <w:hyperlink w:anchor="AUTO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Artículo 6.1.</w:t>
      </w:r>
      <w:r w:rsidRPr="0043655B">
        <w:rPr>
          <w:rStyle w:val="TextoNormalCaracter"/>
        </w:rPr>
        <w:t>-</w:t>
      </w:r>
      <w:r>
        <w:t xml:space="preserve"> Sentencias </w:t>
      </w:r>
      <w:hyperlink w:anchor="SENTENCIA_2012_20" w:history="1">
        <w:r w:rsidRPr="0043655B">
          <w:rPr>
            <w:rStyle w:val="TextoNormalCaracter"/>
          </w:rPr>
          <w:t>20/2012</w:t>
        </w:r>
      </w:hyperlink>
      <w:r>
        <w:t xml:space="preserve">, ff. 9, 10; </w:t>
      </w:r>
      <w:hyperlink w:anchor="SENTENCIA_2012_37" w:history="1">
        <w:r w:rsidRPr="0043655B">
          <w:rPr>
            <w:rStyle w:val="TextoNormalCaracter"/>
          </w:rPr>
          <w:t>37/2012</w:t>
        </w:r>
      </w:hyperlink>
      <w:r>
        <w:t xml:space="preserve">, f. 6;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Artículo 7.</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f. 6, VP II; </w:t>
      </w:r>
      <w:hyperlink w:anchor="SENTENCIA_2012_41" w:history="1">
        <w:r w:rsidRPr="0043655B">
          <w:rPr>
            <w:rStyle w:val="TextoNormalCaracter"/>
          </w:rPr>
          <w:t>41/2012</w:t>
        </w:r>
      </w:hyperlink>
      <w:r>
        <w:t xml:space="preserve">, ff. 5, 6;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VP II;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5;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ff. 4, 5; </w:t>
      </w:r>
      <w:hyperlink w:anchor="SENTENCIA_2012_113" w:history="1">
        <w:r w:rsidRPr="0043655B">
          <w:rPr>
            <w:rStyle w:val="TextoNormalCaracter"/>
          </w:rPr>
          <w:t>113/2012</w:t>
        </w:r>
      </w:hyperlink>
      <w:r>
        <w:t>, f. 6.</w:t>
      </w:r>
    </w:p>
    <w:p w:rsidR="0043655B" w:rsidRDefault="0043655B" w:rsidP="0043655B">
      <w:pPr>
        <w:pStyle w:val="SangriaFrancesaArticulo"/>
      </w:pPr>
      <w:r w:rsidRPr="0043655B">
        <w:rPr>
          <w:rStyle w:val="TextoNormalNegritaCaracter"/>
        </w:rPr>
        <w:t>Artículo 7.1.</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VP I;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r w:rsidRPr="0043655B">
        <w:rPr>
          <w:rStyle w:val="TextoNormalNegritaCaracter"/>
        </w:rPr>
        <w:t>Artículo 8.1.</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r w:rsidRPr="0043655B">
        <w:rPr>
          <w:rStyle w:val="TextoNormalNegritaCaracter"/>
        </w:rPr>
        <w:t>Artículo 10.</w:t>
      </w:r>
      <w:r w:rsidRPr="0043655B">
        <w:rPr>
          <w:rStyle w:val="TextoNormalCaracter"/>
        </w:rPr>
        <w:t>-</w:t>
      </w:r>
      <w:r>
        <w:t xml:space="preserve"> Sentencia </w:t>
      </w:r>
      <w:hyperlink w:anchor="SENTENCIA_2012_138" w:history="1">
        <w:r w:rsidRPr="0043655B">
          <w:rPr>
            <w:rStyle w:val="TextoNormalCaracter"/>
          </w:rPr>
          <w:t>138/2012</w:t>
        </w:r>
      </w:hyperlink>
      <w:r>
        <w:t>, ff. 1, 3, 14.</w:t>
      </w:r>
    </w:p>
    <w:p w:rsidR="0043655B" w:rsidRDefault="0043655B" w:rsidP="0043655B">
      <w:pPr>
        <w:pStyle w:val="SangriaFrancesaArticulo"/>
      </w:pPr>
      <w:r w:rsidRPr="0043655B">
        <w:rPr>
          <w:rStyle w:val="TextoNormalNegritaCaracter"/>
        </w:rPr>
        <w:t>Artículo 11.</w:t>
      </w:r>
      <w:r w:rsidRPr="0043655B">
        <w:rPr>
          <w:rStyle w:val="TextoNormalCaracter"/>
        </w:rPr>
        <w:t>-</w:t>
      </w:r>
      <w:r>
        <w:t xml:space="preserve"> Sentencia </w:t>
      </w:r>
      <w:hyperlink w:anchor="SENTENCIA_2012_138" w:history="1">
        <w:r w:rsidRPr="0043655B">
          <w:rPr>
            <w:rStyle w:val="TextoNormalCaracter"/>
          </w:rPr>
          <w:t>138/2012</w:t>
        </w:r>
      </w:hyperlink>
      <w:r>
        <w:t>, ff. 1, 3, 4, 14.</w:t>
      </w:r>
    </w:p>
    <w:p w:rsidR="0043655B" w:rsidRDefault="0043655B" w:rsidP="0043655B">
      <w:pPr>
        <w:pStyle w:val="SangriaFrancesaArticulo"/>
      </w:pPr>
    </w:p>
    <w:p w:rsidR="0043655B" w:rsidRDefault="0043655B" w:rsidP="0043655B">
      <w:pPr>
        <w:pStyle w:val="TextoNormalNegritaCursivandice"/>
      </w:pPr>
      <w:r>
        <w:t>Carta social europea de 18 de octubre de 1961, ratificada por Instrumento de 29 de abril de 1980</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36" w:history="1">
        <w:r w:rsidRPr="0043655B">
          <w:rPr>
            <w:rStyle w:val="TextoNormalCaracter"/>
          </w:rPr>
          <w:t>36/2012</w:t>
        </w:r>
      </w:hyperlink>
      <w:r>
        <w:t>, f. 4.</w:t>
      </w:r>
    </w:p>
    <w:p w:rsidR="0043655B" w:rsidRDefault="0043655B" w:rsidP="0043655B">
      <w:pPr>
        <w:pStyle w:val="SangriaFrancesaArticulo"/>
      </w:pPr>
    </w:p>
    <w:p w:rsidR="0043655B" w:rsidRDefault="0043655B" w:rsidP="0043655B">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43655B" w:rsidRDefault="0043655B" w:rsidP="0043655B">
      <w:pPr>
        <w:pStyle w:val="SangriaFrancesaArticulo"/>
      </w:pPr>
      <w:r w:rsidRPr="0043655B">
        <w:rPr>
          <w:rStyle w:val="TextoNormalNegritaCaracter"/>
        </w:rPr>
        <w:t>Artículo 2.</w:t>
      </w:r>
      <w:r w:rsidRPr="0043655B">
        <w:rPr>
          <w:rStyle w:val="TextoNormalCaracter"/>
        </w:rPr>
        <w:t>-</w:t>
      </w:r>
      <w:r>
        <w:t xml:space="preserve"> Sentencias </w:t>
      </w:r>
      <w:hyperlink w:anchor="SENTENCIA_2012_39" w:history="1">
        <w:r w:rsidRPr="0043655B">
          <w:rPr>
            <w:rStyle w:val="TextoNormalCaracter"/>
          </w:rPr>
          <w:t>39/2012</w:t>
        </w:r>
      </w:hyperlink>
      <w:r>
        <w:t xml:space="preserve">, f. 2; </w:t>
      </w:r>
      <w:hyperlink w:anchor="SENTENCIA_2012_40" w:history="1">
        <w:r w:rsidRPr="0043655B">
          <w:rPr>
            <w:rStyle w:val="TextoNormalCaracter"/>
          </w:rPr>
          <w:t>40/2012</w:t>
        </w:r>
      </w:hyperlink>
      <w:r>
        <w:t xml:space="preserve">, f. 4; </w:t>
      </w:r>
      <w:hyperlink w:anchor="SENTENCIA_2012_44" w:history="1">
        <w:r w:rsidRPr="0043655B">
          <w:rPr>
            <w:rStyle w:val="TextoNormalCaracter"/>
          </w:rPr>
          <w:t>44/2012</w:t>
        </w:r>
      </w:hyperlink>
      <w:r>
        <w:t xml:space="preserve">, f. 2; </w:t>
      </w:r>
      <w:hyperlink w:anchor="SENTENCIA_2012_45" w:history="1">
        <w:r w:rsidRPr="0043655B">
          <w:rPr>
            <w:rStyle w:val="TextoNormalCaracter"/>
          </w:rPr>
          <w:t>45/2012</w:t>
        </w:r>
      </w:hyperlink>
      <w:r>
        <w:t xml:space="preserve">, f. 2; </w:t>
      </w:r>
      <w:hyperlink w:anchor="SENTENCIA_2012_46" w:history="1">
        <w:r w:rsidRPr="0043655B">
          <w:rPr>
            <w:rStyle w:val="TextoNormalCaracter"/>
          </w:rPr>
          <w:t>46/2012</w:t>
        </w:r>
      </w:hyperlink>
      <w:r>
        <w:t xml:space="preserve">, f. 2; </w:t>
      </w:r>
      <w:hyperlink w:anchor="SENTENCIA_2012_47" w:history="1">
        <w:r w:rsidRPr="0043655B">
          <w:rPr>
            <w:rStyle w:val="TextoNormalCaracter"/>
          </w:rPr>
          <w:t>47/2012</w:t>
        </w:r>
      </w:hyperlink>
      <w:r>
        <w:t xml:space="preserve">, f. 2; </w:t>
      </w:r>
      <w:hyperlink w:anchor="SENTENCIA_2012_48" w:history="1">
        <w:r w:rsidRPr="0043655B">
          <w:rPr>
            <w:rStyle w:val="TextoNormalCaracter"/>
          </w:rPr>
          <w:t>48/2012</w:t>
        </w:r>
      </w:hyperlink>
      <w:r>
        <w:t xml:space="preserve">, f. 3; </w:t>
      </w:r>
      <w:hyperlink w:anchor="SENTENCIA_2012_49" w:history="1">
        <w:r w:rsidRPr="0043655B">
          <w:rPr>
            <w:rStyle w:val="TextoNormalCaracter"/>
          </w:rPr>
          <w:t>49/2012</w:t>
        </w:r>
      </w:hyperlink>
      <w:r>
        <w:t xml:space="preserve">, f. 2; </w:t>
      </w:r>
      <w:hyperlink w:anchor="SENTENCIA_2012_50" w:history="1">
        <w:r w:rsidRPr="0043655B">
          <w:rPr>
            <w:rStyle w:val="TextoNormalCaracter"/>
          </w:rPr>
          <w:t>50/2012</w:t>
        </w:r>
      </w:hyperlink>
      <w:r>
        <w:t xml:space="preserve">, f. 2; </w:t>
      </w:r>
      <w:hyperlink w:anchor="SENTENCIA_2012_51" w:history="1">
        <w:r w:rsidRPr="0043655B">
          <w:rPr>
            <w:rStyle w:val="TextoNormalCaracter"/>
          </w:rPr>
          <w:t>51/2012</w:t>
        </w:r>
      </w:hyperlink>
      <w:r>
        <w:t xml:space="preserve">, f. 3; </w:t>
      </w:r>
      <w:hyperlink w:anchor="SENTENCIA_2012_52" w:history="1">
        <w:r w:rsidRPr="0043655B">
          <w:rPr>
            <w:rStyle w:val="TextoNormalCaracter"/>
          </w:rPr>
          <w:t>52/2012</w:t>
        </w:r>
      </w:hyperlink>
      <w:r>
        <w:t xml:space="preserve">, f. 2; </w:t>
      </w:r>
      <w:hyperlink w:anchor="SENTENCIA_2012_55" w:history="1">
        <w:r w:rsidRPr="0043655B">
          <w:rPr>
            <w:rStyle w:val="TextoNormalCaracter"/>
          </w:rPr>
          <w:t>55/2012</w:t>
        </w:r>
      </w:hyperlink>
      <w:r>
        <w:t xml:space="preserve">, f. 3; </w:t>
      </w:r>
      <w:hyperlink w:anchor="SENTENCIA_2012_108" w:history="1">
        <w:r w:rsidRPr="0043655B">
          <w:rPr>
            <w:rStyle w:val="TextoNormalCaracter"/>
          </w:rPr>
          <w:t>108/2012</w:t>
        </w:r>
      </w:hyperlink>
      <w:r>
        <w:t xml:space="preserve">, f. 5; </w:t>
      </w:r>
      <w:hyperlink w:anchor="SENTENCIA_2012_113" w:history="1">
        <w:r w:rsidRPr="0043655B">
          <w:rPr>
            <w:rStyle w:val="TextoNormalCaracter"/>
          </w:rPr>
          <w:t>113/2012</w:t>
        </w:r>
      </w:hyperlink>
      <w:r>
        <w:t>, f. 4.</w:t>
      </w:r>
    </w:p>
    <w:p w:rsidR="0043655B" w:rsidRDefault="0043655B" w:rsidP="0043655B">
      <w:pPr>
        <w:pStyle w:val="SangriaFrancesaArticulo"/>
      </w:pPr>
    </w:p>
    <w:p w:rsidR="0043655B" w:rsidRDefault="0043655B" w:rsidP="0043655B">
      <w:pPr>
        <w:pStyle w:val="TextoNormalNegritaCursivandice"/>
      </w:pPr>
      <w:r>
        <w:t>Carta europea de autonomía local, hecha en Estrasburgo, de 15 de octubre de 1985. Ratificada por Instrumento de 20 de enero de 1988</w:t>
      </w:r>
    </w:p>
    <w:p w:rsidR="0043655B" w:rsidRDefault="0043655B" w:rsidP="0043655B">
      <w:pPr>
        <w:pStyle w:val="SangriaFrancesaArticulo"/>
      </w:pPr>
      <w:r w:rsidRPr="0043655B">
        <w:rPr>
          <w:rStyle w:val="TextoNormalNegritaCaracter"/>
        </w:rPr>
        <w:t>Artículo 3.2.</w:t>
      </w:r>
      <w:r w:rsidRPr="0043655B">
        <w:rPr>
          <w:rStyle w:val="TextoNormalCaracter"/>
        </w:rPr>
        <w:t>-</w:t>
      </w:r>
      <w:r>
        <w:t xml:space="preserve"> Sentencia </w:t>
      </w:r>
      <w:hyperlink w:anchor="SENTENCIA_2012_132" w:history="1">
        <w:r w:rsidRPr="0043655B">
          <w:rPr>
            <w:rStyle w:val="TextoNormalCaracter"/>
          </w:rPr>
          <w:t>132/2012</w:t>
        </w:r>
      </w:hyperlink>
      <w:r>
        <w:t>, f. 4.</w:t>
      </w:r>
    </w:p>
    <w:p w:rsidR="0043655B" w:rsidRDefault="0043655B">
      <w:pPr>
        <w:spacing w:after="160" w:line="259" w:lineRule="auto"/>
        <w:rPr>
          <w:rFonts w:ascii="Times New Roman" w:eastAsia="Times New Roman" w:hAnsi="Times New Roman" w:cs="Times New Roman"/>
          <w:sz w:val="24"/>
          <w:szCs w:val="24"/>
          <w:lang w:eastAsia="es-ES"/>
        </w:rPr>
      </w:pPr>
      <w:r>
        <w:br w:type="page"/>
      </w:r>
    </w:p>
    <w:p w:rsidR="0043655B" w:rsidRDefault="0043655B" w:rsidP="0043655B">
      <w:pPr>
        <w:pStyle w:val="SangriaFrancesaArticulo"/>
      </w:pPr>
    </w:p>
    <w:p w:rsidR="0043655B" w:rsidRDefault="0043655B" w:rsidP="0043655B">
      <w:pPr>
        <w:pStyle w:val="TextoNormal"/>
      </w:pPr>
    </w:p>
    <w:p w:rsidR="0043655B" w:rsidRDefault="0043655B" w:rsidP="0043655B">
      <w:pPr>
        <w:pStyle w:val="TextoNormal"/>
      </w:pPr>
    </w:p>
    <w:p w:rsidR="0043655B" w:rsidRDefault="0043655B" w:rsidP="0043655B">
      <w:pPr>
        <w:pStyle w:val="TextoNormal"/>
      </w:pPr>
    </w:p>
    <w:p w:rsidR="00970E95" w:rsidRDefault="0043655B" w:rsidP="0043655B">
      <w:pPr>
        <w:pStyle w:val="Ttulondice"/>
        <w:suppressAutoHyphens/>
      </w:pPr>
      <w:r>
        <w:t xml:space="preserve">6. ÍNDICE DE </w:t>
      </w:r>
      <w:r w:rsidR="00970E95" w:rsidRPr="00970E95">
        <w:t xml:space="preserve">RESOLUCIONES </w:t>
      </w:r>
    </w:p>
    <w:p w:rsidR="0043655B" w:rsidRDefault="00970E95" w:rsidP="0043655B">
      <w:pPr>
        <w:pStyle w:val="Ttulondice"/>
        <w:suppressAutoHyphens/>
      </w:pPr>
      <w:r w:rsidRPr="00970E95">
        <w:t>JUDICIALES DE OTROS TRIBUNALES</w:t>
      </w: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suppressAutoHyphens/>
      </w:pPr>
    </w:p>
    <w:p w:rsidR="0043655B" w:rsidRDefault="0043655B" w:rsidP="0043655B">
      <w:pPr>
        <w:pStyle w:val="TextoNormal"/>
      </w:pPr>
    </w:p>
    <w:p w:rsidR="0043655B" w:rsidRDefault="0043655B" w:rsidP="0043655B">
      <w:pPr>
        <w:pStyle w:val="TextoNormal"/>
      </w:pPr>
      <w:bookmarkStart w:id="295" w:name="INDICE22805"/>
      <w:bookmarkEnd w:id="295"/>
    </w:p>
    <w:p w:rsidR="0043655B" w:rsidRDefault="0043655B" w:rsidP="0043655B">
      <w:pPr>
        <w:pStyle w:val="TextoIndiceNivel2"/>
        <w:suppressAutoHyphens/>
      </w:pPr>
      <w:r>
        <w:t>A) Tribunal Europeo de Derechos Humanos</w:t>
      </w:r>
    </w:p>
    <w:p w:rsidR="0043655B" w:rsidRDefault="0043655B" w:rsidP="0043655B">
      <w:pPr>
        <w:pStyle w:val="TextoIndiceNivel2"/>
      </w:pPr>
    </w:p>
    <w:p w:rsidR="0043655B" w:rsidRDefault="0043655B" w:rsidP="0043655B">
      <w:pPr>
        <w:pStyle w:val="TextoNormalNegritaCursivandice"/>
      </w:pPr>
      <w:r>
        <w:t>Decisión de la Comisión Europea de Derechos Humanos 11653/1985, de 3 de marzo de 1986 (Hogben c. Reino Unido)</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VP I;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16 de diciembre de 1992 (Niemietz c. Alemania)</w:t>
      </w:r>
    </w:p>
    <w:p w:rsidR="0043655B" w:rsidRDefault="0043655B" w:rsidP="0043655B">
      <w:pPr>
        <w:pStyle w:val="SangriaFrancesaArticulo"/>
      </w:pPr>
      <w:r w:rsidRPr="0043655B">
        <w:rPr>
          <w:rStyle w:val="TextoNormalNegritaCaracter"/>
        </w:rPr>
        <w:t>§ 29.</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22 de febrero de 1994 (Burghartz c. Suiza)</w:t>
      </w:r>
    </w:p>
    <w:p w:rsidR="0043655B" w:rsidRDefault="0043655B" w:rsidP="0043655B">
      <w:pPr>
        <w:pStyle w:val="SangriaFrancesaArticulo"/>
      </w:pPr>
      <w:r w:rsidRPr="0043655B">
        <w:rPr>
          <w:rStyle w:val="TextoNormalNegritaCaracter"/>
        </w:rPr>
        <w:t>§ 24.</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23 de septiembre de 1994 (Jersild c. Dinamarca)</w:t>
      </w:r>
    </w:p>
    <w:p w:rsidR="0043655B" w:rsidRDefault="0043655B" w:rsidP="0043655B">
      <w:pPr>
        <w:pStyle w:val="SangriaFrancesaArticulo"/>
      </w:pPr>
      <w:r w:rsidRPr="0043655B">
        <w:rPr>
          <w:rStyle w:val="TextoNormalNegritaCaracter"/>
        </w:rPr>
        <w:t>§ 31.</w:t>
      </w:r>
      <w:r w:rsidRPr="0043655B">
        <w:rPr>
          <w:rStyle w:val="TextoNormalCaracter"/>
        </w:rPr>
        <w:t>-</w:t>
      </w:r>
      <w:r>
        <w:t xml:space="preserve"> Sentencia </w:t>
      </w:r>
      <w:hyperlink w:anchor="SENTENCIA_2012_12" w:history="1">
        <w:r w:rsidRPr="0043655B">
          <w:rPr>
            <w:rStyle w:val="TextoNormalCaracter"/>
          </w:rPr>
          <w:t>12/2012</w:t>
        </w:r>
      </w:hyperlink>
      <w:r>
        <w:t>, f. 6.</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3 de febrero de 1995 [Partidul Comunistilor (Nepeceristi) y Ungureanu c. Rumanía]</w:t>
      </w:r>
    </w:p>
    <w:p w:rsidR="0043655B" w:rsidRDefault="0043655B" w:rsidP="0043655B">
      <w:pPr>
        <w:pStyle w:val="SangriaFrancesaArticulo"/>
      </w:pPr>
      <w:r w:rsidRPr="0043655B">
        <w:rPr>
          <w:rStyle w:val="TextoNormalNegritaCaracter"/>
        </w:rPr>
        <w:t>§§ 56, 57.</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p>
    <w:p w:rsidR="0043655B" w:rsidRDefault="0043655B" w:rsidP="0043655B">
      <w:pPr>
        <w:pStyle w:val="TextoNormalNegritaCursivandice"/>
      </w:pPr>
      <w:r>
        <w:lastRenderedPageBreak/>
        <w:t>Sentencia del Tribunal Europeo de Derechos Humanos de 30 de enero de 1998 (Partido Comunista Unificado de Turquía y otros c. Turquía)</w:t>
      </w:r>
    </w:p>
    <w:p w:rsidR="0043655B" w:rsidRDefault="0043655B" w:rsidP="0043655B">
      <w:pPr>
        <w:pStyle w:val="SangriaFrancesaArticulo"/>
      </w:pPr>
      <w:r w:rsidRPr="0043655B">
        <w:rPr>
          <w:rStyle w:val="TextoNormalNegritaCaracter"/>
        </w:rPr>
        <w:t>§ 58.</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25 de mayo de 1998 (Partido Socialista y otros c. Turquía)</w:t>
      </w:r>
    </w:p>
    <w:p w:rsidR="0043655B" w:rsidRDefault="0043655B" w:rsidP="0043655B">
      <w:pPr>
        <w:pStyle w:val="SangriaFrancesaArticulo"/>
      </w:pPr>
      <w:r w:rsidRPr="0043655B">
        <w:rPr>
          <w:rStyle w:val="TextoNormalNegritaCaracter"/>
        </w:rPr>
        <w:t>§ 29.</w:t>
      </w:r>
      <w:r w:rsidRPr="0043655B">
        <w:rPr>
          <w:rStyle w:val="TextoNormalCaracter"/>
        </w:rPr>
        <w:t>-</w:t>
      </w:r>
      <w:r>
        <w:t xml:space="preserve"> Sentencia </w:t>
      </w:r>
      <w:hyperlink w:anchor="SENTENCIA_2012_138" w:history="1">
        <w:r w:rsidRPr="0043655B">
          <w:rPr>
            <w:rStyle w:val="TextoNormalCaracter"/>
          </w:rPr>
          <w:t>138/2012</w:t>
        </w:r>
      </w:hyperlink>
      <w:r>
        <w:t>, f. 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10 de julio de 1998 (Sidiropoulos y otros c. Grecia)</w:t>
      </w:r>
    </w:p>
    <w:p w:rsidR="0043655B" w:rsidRDefault="0043655B" w:rsidP="0043655B">
      <w:pPr>
        <w:pStyle w:val="SangriaFrancesaArticulo"/>
      </w:pPr>
      <w:r w:rsidRPr="0043655B">
        <w:rPr>
          <w:rStyle w:val="TextoNormalNegritaCaracter"/>
        </w:rPr>
        <w:t>§§ 38 a 40.</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8 de diciembre de 1999 (Partido de la Libertad y la Democracia c. Turquía)</w:t>
      </w:r>
    </w:p>
    <w:p w:rsidR="0043655B" w:rsidRDefault="0043655B" w:rsidP="0043655B">
      <w:pPr>
        <w:pStyle w:val="SangriaFrancesaArticulo"/>
      </w:pPr>
      <w:r w:rsidRPr="0043655B">
        <w:rPr>
          <w:rStyle w:val="TextoNormalNegritaCaracter"/>
        </w:rPr>
        <w:t>§§ 40 a 42.</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28 de marzo de 2000 (Baranowski c. Polonia)</w:t>
      </w:r>
    </w:p>
    <w:p w:rsidR="0043655B" w:rsidRDefault="0043655B" w:rsidP="0043655B">
      <w:pPr>
        <w:pStyle w:val="SangriaFrancesaArticulo"/>
      </w:pPr>
      <w:r w:rsidRPr="0043655B">
        <w:rPr>
          <w:rStyle w:val="TextoNormalNegritaCaracter"/>
        </w:rPr>
        <w:t>§ 51.</w:t>
      </w:r>
      <w:r w:rsidRPr="0043655B">
        <w:rPr>
          <w:rStyle w:val="TextoNormalCaracter"/>
        </w:rPr>
        <w:t>-</w:t>
      </w:r>
      <w:r>
        <w:t xml:space="preserve"> Sentencia </w:t>
      </w:r>
      <w:hyperlink w:anchor="SENTENCIA_2012_39" w:history="1">
        <w:r w:rsidRPr="0043655B">
          <w:rPr>
            <w:rStyle w:val="TextoNormalCaracter"/>
          </w:rPr>
          <w:t>39/2012</w:t>
        </w:r>
      </w:hyperlink>
      <w:r>
        <w:t>, VP I.</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4 de mayo de 2000 (Rotaru c. Rumania)</w:t>
      </w:r>
    </w:p>
    <w:p w:rsidR="0043655B" w:rsidRDefault="0043655B" w:rsidP="0043655B">
      <w:pPr>
        <w:pStyle w:val="SangriaFrancesaArticulo"/>
      </w:pPr>
      <w:r w:rsidRPr="0043655B">
        <w:rPr>
          <w:rStyle w:val="TextoNormalNegritaCaracter"/>
        </w:rPr>
        <w:t>§ 43.</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27 de junio de 2000 (Constantinescu c. Rumania)</w:t>
      </w:r>
    </w:p>
    <w:p w:rsidR="0043655B" w:rsidRDefault="0043655B" w:rsidP="0043655B">
      <w:pPr>
        <w:pStyle w:val="SangriaFrancesaArticulo"/>
      </w:pPr>
      <w:r w:rsidRPr="0043655B">
        <w:rPr>
          <w:rStyle w:val="TextoNormalNegritaCaracter"/>
        </w:rPr>
        <w:t>§ 53.</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55.</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58.</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59.</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19 de junio de 2001 (Kreuz c. Polonia)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0" w:history="1">
        <w:r w:rsidRPr="0043655B">
          <w:rPr>
            <w:rStyle w:val="TextoNormalCaracter"/>
          </w:rPr>
          <w:t>20/2012</w:t>
        </w:r>
      </w:hyperlink>
      <w:r>
        <w:t xml:space="preserve">, f. 10; </w:t>
      </w:r>
      <w:hyperlink w:anchor="SENTENCIA_2012_103" w:history="1">
        <w:r w:rsidRPr="0043655B">
          <w:rPr>
            <w:rStyle w:val="TextoNormalCaracter"/>
          </w:rPr>
          <w:t>103/2012</w:t>
        </w:r>
      </w:hyperlink>
      <w:r>
        <w:t>, f. 3.</w:t>
      </w:r>
    </w:p>
    <w:p w:rsidR="0043655B" w:rsidRDefault="0043655B" w:rsidP="0043655B">
      <w:pPr>
        <w:pStyle w:val="SangriaFrancesaArticulo"/>
      </w:pPr>
      <w:r w:rsidRPr="0043655B">
        <w:rPr>
          <w:rStyle w:val="TextoNormalNegritaCaracter"/>
        </w:rPr>
        <w:t>§ 60.</w:t>
      </w:r>
      <w:r w:rsidRPr="0043655B">
        <w:rPr>
          <w:rStyle w:val="TextoNormalCaracter"/>
        </w:rPr>
        <w:t>-</w:t>
      </w:r>
      <w:r>
        <w:t xml:space="preserve"> Sentencia </w:t>
      </w:r>
      <w:hyperlink w:anchor="SENTENCIA_2012_20" w:history="1">
        <w:r w:rsidRPr="0043655B">
          <w:rPr>
            <w:rStyle w:val="TextoNormalCaracter"/>
          </w:rPr>
          <w:t>20/2012</w:t>
        </w:r>
      </w:hyperlink>
      <w:r>
        <w:t>, f. 10.</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25 de septiembre de 2001 (P.G. y J.H. c. Reino Unido)</w:t>
      </w:r>
    </w:p>
    <w:p w:rsidR="0043655B" w:rsidRDefault="0043655B" w:rsidP="0043655B">
      <w:pPr>
        <w:pStyle w:val="SangriaFrancesaArticulo"/>
      </w:pPr>
      <w:r w:rsidRPr="0043655B">
        <w:rPr>
          <w:rStyle w:val="TextoNormalNegritaCaracter"/>
        </w:rPr>
        <w:t>§ 57.</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28 de enero de 2003 (Peck c. Reino Unido)</w:t>
      </w:r>
    </w:p>
    <w:p w:rsidR="0043655B" w:rsidRDefault="0043655B" w:rsidP="0043655B">
      <w:pPr>
        <w:pStyle w:val="SangriaFrancesaArticulo"/>
      </w:pPr>
      <w:r w:rsidRPr="0043655B">
        <w:rPr>
          <w:rStyle w:val="TextoNormalNegritaCaracter"/>
        </w:rPr>
        <w:t>§ 58.</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13 de febrero de 2003 (Refah Partisi-Partido de la Prosperidad y otros c. Turquía)</w:t>
      </w:r>
    </w:p>
    <w:p w:rsidR="0043655B" w:rsidRDefault="0043655B" w:rsidP="0043655B">
      <w:pPr>
        <w:pStyle w:val="SangriaFrancesaArticulo"/>
      </w:pPr>
      <w:r w:rsidRPr="0043655B">
        <w:rPr>
          <w:rStyle w:val="TextoNormalNegritaCaracter"/>
        </w:rPr>
        <w:lastRenderedPageBreak/>
        <w:t>§ 87.</w:t>
      </w:r>
      <w:r w:rsidRPr="0043655B">
        <w:rPr>
          <w:rStyle w:val="TextoNormalCaracter"/>
        </w:rPr>
        <w:t>-</w:t>
      </w:r>
      <w:r>
        <w:t xml:space="preserve"> Sentencia </w:t>
      </w:r>
      <w:hyperlink w:anchor="SENTENCIA_2012_138" w:history="1">
        <w:r w:rsidRPr="0043655B">
          <w:rPr>
            <w:rStyle w:val="TextoNormalCaracter"/>
          </w:rPr>
          <w:t>138/2012</w:t>
        </w:r>
      </w:hyperlink>
      <w:r>
        <w:t>, f. 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10 de julio de 2003 (Grava c. Italia)</w:t>
      </w:r>
    </w:p>
    <w:p w:rsidR="0043655B" w:rsidRDefault="0043655B" w:rsidP="0043655B">
      <w:pPr>
        <w:pStyle w:val="SangriaFrancesaArticulo"/>
      </w:pPr>
      <w:r w:rsidRPr="0043655B">
        <w:rPr>
          <w:rStyle w:val="TextoNormalNegritaCaracter"/>
        </w:rPr>
        <w:t>§ 44.</w:t>
      </w:r>
      <w:r w:rsidRPr="0043655B">
        <w:rPr>
          <w:rStyle w:val="TextoNormalCaracter"/>
        </w:rPr>
        <w:t>-</w:t>
      </w:r>
      <w:r>
        <w:t xml:space="preserve"> Sentencias </w:t>
      </w:r>
      <w:hyperlink w:anchor="SENTENCIA_2012_39" w:history="1">
        <w:r w:rsidRPr="0043655B">
          <w:rPr>
            <w:rStyle w:val="TextoNormalCaracter"/>
          </w:rPr>
          <w:t>39/2012</w:t>
        </w:r>
      </w:hyperlink>
      <w:r>
        <w:t xml:space="preserve">, f. 8; </w:t>
      </w:r>
      <w:hyperlink w:anchor="SENTENCIA_2012_41" w:history="1">
        <w:r w:rsidRPr="0043655B">
          <w:rPr>
            <w:rStyle w:val="TextoNormalCaracter"/>
          </w:rPr>
          <w:t>41/2012</w:t>
        </w:r>
      </w:hyperlink>
      <w:r>
        <w:t xml:space="preserve">, VP IV; </w:t>
      </w:r>
      <w:hyperlink w:anchor="SENTENCIA_2012_57" w:history="1">
        <w:r w:rsidRPr="0043655B">
          <w:rPr>
            <w:rStyle w:val="TextoNormalCaracter"/>
          </w:rPr>
          <w:t>57/2012</w:t>
        </w:r>
      </w:hyperlink>
      <w:r>
        <w:t xml:space="preserve">, f. 8; </w:t>
      </w:r>
      <w:hyperlink w:anchor="SENTENCIA_2012_113" w:history="1">
        <w:r w:rsidRPr="0043655B">
          <w:rPr>
            <w:rStyle w:val="TextoNormalCaracter"/>
          </w:rPr>
          <w:t>113/2012</w:t>
        </w:r>
      </w:hyperlink>
      <w:r>
        <w:t>, f. 12.</w:t>
      </w:r>
    </w:p>
    <w:p w:rsidR="0043655B" w:rsidRDefault="0043655B" w:rsidP="0043655B">
      <w:pPr>
        <w:pStyle w:val="SangriaFrancesaArticulo"/>
      </w:pPr>
      <w:r w:rsidRPr="0043655B">
        <w:rPr>
          <w:rStyle w:val="TextoNormalNegritaCaracter"/>
        </w:rPr>
        <w:t>§ 45.</w:t>
      </w:r>
      <w:r w:rsidRPr="0043655B">
        <w:rPr>
          <w:rStyle w:val="TextoNormalCaracter"/>
        </w:rPr>
        <w:t>-</w:t>
      </w:r>
      <w:r>
        <w:t xml:space="preserve"> Sentencias </w:t>
      </w:r>
      <w:hyperlink w:anchor="SENTENCIA_2012_39" w:history="1">
        <w:r w:rsidRPr="0043655B">
          <w:rPr>
            <w:rStyle w:val="TextoNormalCaracter"/>
          </w:rPr>
          <w:t>39/2012</w:t>
        </w:r>
      </w:hyperlink>
      <w:r>
        <w:t xml:space="preserve">, ff. 4, 8; </w:t>
      </w:r>
      <w:hyperlink w:anchor="SENTENCIA_2012_40" w:history="1">
        <w:r w:rsidRPr="0043655B">
          <w:rPr>
            <w:rStyle w:val="TextoNormalCaracter"/>
          </w:rPr>
          <w:t>40/2012</w:t>
        </w:r>
      </w:hyperlink>
      <w:r>
        <w:t xml:space="preserve">, f. 7; </w:t>
      </w:r>
      <w:hyperlink w:anchor="SENTENCIA_2012_41" w:history="1">
        <w:r w:rsidRPr="0043655B">
          <w:rPr>
            <w:rStyle w:val="TextoNormalCaracter"/>
          </w:rPr>
          <w:t>41/2012</w:t>
        </w:r>
      </w:hyperlink>
      <w:r>
        <w:t xml:space="preserve">, VP I, VP IV; </w:t>
      </w:r>
      <w:hyperlink w:anchor="SENTENCIA_2012_47" w:history="1">
        <w:r w:rsidRPr="0043655B">
          <w:rPr>
            <w:rStyle w:val="TextoNormalCaracter"/>
          </w:rPr>
          <w:t>47/2012</w:t>
        </w:r>
      </w:hyperlink>
      <w:r>
        <w:t xml:space="preserve">, f. 5; </w:t>
      </w:r>
      <w:hyperlink w:anchor="SENTENCIA_2012_48" w:history="1">
        <w:r w:rsidRPr="0043655B">
          <w:rPr>
            <w:rStyle w:val="TextoNormalCaracter"/>
          </w:rPr>
          <w:t>48/2012</w:t>
        </w:r>
      </w:hyperlink>
      <w:r>
        <w:t xml:space="preserve">, f. 5; </w:t>
      </w:r>
      <w:hyperlink w:anchor="SENTENCIA_2012_49" w:history="1">
        <w:r w:rsidRPr="0043655B">
          <w:rPr>
            <w:rStyle w:val="TextoNormalCaracter"/>
          </w:rPr>
          <w:t>49/2012</w:t>
        </w:r>
      </w:hyperlink>
      <w:r>
        <w:t xml:space="preserve">, f. 5; </w:t>
      </w:r>
      <w:hyperlink w:anchor="SENTENCIA_2012_50" w:history="1">
        <w:r w:rsidRPr="0043655B">
          <w:rPr>
            <w:rStyle w:val="TextoNormalCaracter"/>
          </w:rPr>
          <w:t>50/2012</w:t>
        </w:r>
      </w:hyperlink>
      <w:r>
        <w:t xml:space="preserve">, f. 5; </w:t>
      </w:r>
      <w:hyperlink w:anchor="SENTENCIA_2012_55" w:history="1">
        <w:r w:rsidRPr="0043655B">
          <w:rPr>
            <w:rStyle w:val="TextoNormalCaracter"/>
          </w:rPr>
          <w:t>55/2012</w:t>
        </w:r>
      </w:hyperlink>
      <w:r>
        <w:t xml:space="preserve">, f. 6; </w:t>
      </w:r>
      <w:hyperlink w:anchor="SENTENCIA_2012_57" w:history="1">
        <w:r w:rsidRPr="0043655B">
          <w:rPr>
            <w:rStyle w:val="TextoNormalCaracter"/>
          </w:rPr>
          <w:t>57/2012</w:t>
        </w:r>
      </w:hyperlink>
      <w:r>
        <w:t xml:space="preserve">, f. 8; </w:t>
      </w:r>
      <w:hyperlink w:anchor="SENTENCIA_2012_61" w:history="1">
        <w:r w:rsidRPr="0043655B">
          <w:rPr>
            <w:rStyle w:val="TextoNormalCaracter"/>
          </w:rPr>
          <w:t>61/2012</w:t>
        </w:r>
      </w:hyperlink>
      <w:r>
        <w:t xml:space="preserve">, f. 4; </w:t>
      </w:r>
      <w:hyperlink w:anchor="SENTENCIA_2012_64" w:history="1">
        <w:r w:rsidRPr="0043655B">
          <w:rPr>
            <w:rStyle w:val="TextoNormalCaracter"/>
          </w:rPr>
          <w:t>64/2012</w:t>
        </w:r>
      </w:hyperlink>
      <w:r>
        <w:t xml:space="preserve">, f. 4; </w:t>
      </w:r>
      <w:hyperlink w:anchor="SENTENCIA_2012_65" w:history="1">
        <w:r w:rsidRPr="0043655B">
          <w:rPr>
            <w:rStyle w:val="TextoNormalCaracter"/>
          </w:rPr>
          <w:t>65/2012</w:t>
        </w:r>
      </w:hyperlink>
      <w:r>
        <w:t xml:space="preserve">, f. 5; </w:t>
      </w:r>
      <w:hyperlink w:anchor="SENTENCIA_2012_67" w:history="1">
        <w:r w:rsidRPr="0043655B">
          <w:rPr>
            <w:rStyle w:val="TextoNormalCaracter"/>
          </w:rPr>
          <w:t>67/2012</w:t>
        </w:r>
      </w:hyperlink>
      <w:r>
        <w:t xml:space="preserve">, f. 4; </w:t>
      </w:r>
      <w:hyperlink w:anchor="SENTENCIA_2012_69" w:history="1">
        <w:r w:rsidRPr="0043655B">
          <w:rPr>
            <w:rStyle w:val="TextoNormalCaracter"/>
          </w:rPr>
          <w:t>69/2012</w:t>
        </w:r>
      </w:hyperlink>
      <w:r>
        <w:t xml:space="preserve">, f. 5; </w:t>
      </w:r>
      <w:hyperlink w:anchor="SENTENCIA_2012_113" w:history="1">
        <w:r w:rsidRPr="0043655B">
          <w:rPr>
            <w:rStyle w:val="TextoNormalCaracter"/>
          </w:rPr>
          <w:t>113/2012</w:t>
        </w:r>
      </w:hyperlink>
      <w:r>
        <w:t xml:space="preserve">, ff. 8, 12; </w:t>
      </w:r>
      <w:hyperlink w:anchor="SENTENCIA_2012_114" w:history="1">
        <w:r w:rsidRPr="0043655B">
          <w:rPr>
            <w:rStyle w:val="TextoNormalCaracter"/>
          </w:rPr>
          <w:t>114/2012</w:t>
        </w:r>
      </w:hyperlink>
      <w:r>
        <w:t>, f. 4.</w:t>
      </w:r>
    </w:p>
    <w:p w:rsidR="0043655B" w:rsidRDefault="0043655B" w:rsidP="0043655B">
      <w:pPr>
        <w:pStyle w:val="SangriaFrancesaArticulo"/>
      </w:pPr>
      <w:r w:rsidRPr="0043655B">
        <w:rPr>
          <w:rStyle w:val="TextoNormalNegritaCaracter"/>
        </w:rPr>
        <w:t>§ 51.</w:t>
      </w:r>
      <w:r w:rsidRPr="0043655B">
        <w:rPr>
          <w:rStyle w:val="TextoNormalCaracter"/>
        </w:rPr>
        <w:t>-</w:t>
      </w:r>
      <w:r>
        <w:t xml:space="preserve"> Sentencias </w:t>
      </w:r>
      <w:hyperlink w:anchor="SENTENCIA_2012_39" w:history="1">
        <w:r w:rsidRPr="0043655B">
          <w:rPr>
            <w:rStyle w:val="TextoNormalCaracter"/>
          </w:rPr>
          <w:t>39/2012</w:t>
        </w:r>
      </w:hyperlink>
      <w:r>
        <w:t xml:space="preserve">, f. 3; </w:t>
      </w:r>
      <w:hyperlink w:anchor="SENTENCIA_2012_40" w:history="1">
        <w:r w:rsidRPr="0043655B">
          <w:rPr>
            <w:rStyle w:val="TextoNormalCaracter"/>
          </w:rPr>
          <w:t>40/2012</w:t>
        </w:r>
      </w:hyperlink>
      <w:r>
        <w:t xml:space="preserve">, f. 6; </w:t>
      </w:r>
      <w:hyperlink w:anchor="SENTENCIA_2012_41" w:history="1">
        <w:r w:rsidRPr="0043655B">
          <w:rPr>
            <w:rStyle w:val="TextoNormalCaracter"/>
          </w:rPr>
          <w:t>41/2012</w:t>
        </w:r>
      </w:hyperlink>
      <w:r>
        <w:t xml:space="preserve">, f. 6, VP I;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16 de diciembre de 2003 (Kmetty c. Hungría)</w:t>
      </w:r>
    </w:p>
    <w:p w:rsidR="0043655B" w:rsidRDefault="0043655B" w:rsidP="0043655B">
      <w:pPr>
        <w:pStyle w:val="SangriaFrancesaArticulo"/>
      </w:pPr>
      <w:r w:rsidRPr="0043655B">
        <w:rPr>
          <w:rStyle w:val="TextoNormalNegritaCaracter"/>
        </w:rPr>
        <w:t>§ 37.</w:t>
      </w:r>
      <w:r w:rsidRPr="0043655B">
        <w:rPr>
          <w:rStyle w:val="TextoNormalCaracter"/>
        </w:rPr>
        <w:t>-</w:t>
      </w:r>
      <w:r>
        <w:t xml:space="preserve"> Sentencia </w:t>
      </w:r>
      <w:hyperlink w:anchor="SENTENCIA_2012_131" w:history="1">
        <w:r w:rsidRPr="0043655B">
          <w:rPr>
            <w:rStyle w:val="TextoNormalCaracter"/>
          </w:rPr>
          <w:t>131/2012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24 de junio de 2004 (Von Hannover c. Alemania)</w:t>
      </w:r>
    </w:p>
    <w:p w:rsidR="0043655B" w:rsidRDefault="0043655B" w:rsidP="0043655B">
      <w:pPr>
        <w:pStyle w:val="SangriaFrancesaArticulo"/>
      </w:pPr>
      <w:r w:rsidRPr="0043655B">
        <w:rPr>
          <w:rStyle w:val="TextoNormalNegritaCaracter"/>
        </w:rPr>
        <w:t>§ 65.</w:t>
      </w:r>
      <w:r w:rsidRPr="0043655B">
        <w:rPr>
          <w:rStyle w:val="TextoNormalCaracter"/>
        </w:rPr>
        <w:t>-</w:t>
      </w:r>
      <w:r>
        <w:t xml:space="preserve"> Sentencia </w:t>
      </w:r>
      <w:hyperlink w:anchor="SENTENCIA_2012_12" w:history="1">
        <w:r w:rsidRPr="0043655B">
          <w:rPr>
            <w:rStyle w:val="TextoNormalCaracter"/>
          </w:rPr>
          <w:t>12/2012</w:t>
        </w:r>
      </w:hyperlink>
      <w:r>
        <w:t>, f. 4.</w:t>
      </w:r>
    </w:p>
    <w:p w:rsidR="0043655B" w:rsidRDefault="0043655B" w:rsidP="0043655B">
      <w:pPr>
        <w:pStyle w:val="SangriaFrancesaArticulo"/>
      </w:pPr>
      <w:r w:rsidRPr="0043655B">
        <w:rPr>
          <w:rStyle w:val="TextoNormalNegritaCaracter"/>
        </w:rPr>
        <w:t>§ 68.</w:t>
      </w:r>
      <w:r w:rsidRPr="0043655B">
        <w:rPr>
          <w:rStyle w:val="TextoNormalCaracter"/>
        </w:rPr>
        <w:t>-</w:t>
      </w:r>
      <w:r>
        <w:t xml:space="preserve"> Sentencia </w:t>
      </w:r>
      <w:hyperlink w:anchor="SENTENCIA_2012_12" w:history="1">
        <w:r w:rsidRPr="0043655B">
          <w:rPr>
            <w:rStyle w:val="TextoNormalCaracter"/>
          </w:rPr>
          <w:t>12/2012</w:t>
        </w:r>
      </w:hyperlink>
      <w:r>
        <w:t>, f. 6.</w:t>
      </w:r>
    </w:p>
    <w:p w:rsidR="0043655B" w:rsidRDefault="0043655B" w:rsidP="0043655B">
      <w:pPr>
        <w:pStyle w:val="SangriaFrancesaArticulo"/>
      </w:pPr>
      <w:r w:rsidRPr="0043655B">
        <w:rPr>
          <w:rStyle w:val="TextoNormalNegritaCaracter"/>
        </w:rPr>
        <w:t>§ 69.</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r w:rsidRPr="0043655B">
        <w:rPr>
          <w:rStyle w:val="TextoNormalNegritaCaracter"/>
        </w:rPr>
        <w:t>§ 70.</w:t>
      </w:r>
      <w:r w:rsidRPr="0043655B">
        <w:rPr>
          <w:rStyle w:val="TextoNormalCaracter"/>
        </w:rPr>
        <w:t>-</w:t>
      </w:r>
      <w:r>
        <w:t xml:space="preserve"> Sentencia </w:t>
      </w:r>
      <w:hyperlink w:anchor="SENTENCIA_2012_12" w:history="1">
        <w:r w:rsidRPr="0043655B">
          <w:rPr>
            <w:rStyle w:val="TextoNormalCaracter"/>
          </w:rPr>
          <w:t>12/2012</w:t>
        </w:r>
      </w:hyperlink>
      <w:r>
        <w:t>, f. 6.</w:t>
      </w:r>
    </w:p>
    <w:p w:rsidR="0043655B" w:rsidRDefault="0043655B" w:rsidP="0043655B">
      <w:pPr>
        <w:pStyle w:val="SangriaFrancesaArticulo"/>
      </w:pPr>
      <w:r w:rsidRPr="0043655B">
        <w:rPr>
          <w:rStyle w:val="TextoNormalNegritaCaracter"/>
        </w:rPr>
        <w:t>§ 76.</w:t>
      </w:r>
      <w:r w:rsidRPr="0043655B">
        <w:rPr>
          <w:rStyle w:val="TextoNormalCaracter"/>
        </w:rPr>
        <w:t>-</w:t>
      </w:r>
      <w:r>
        <w:t xml:space="preserve"> Sentencia </w:t>
      </w:r>
      <w:hyperlink w:anchor="SENTENCIA_2012_12" w:history="1">
        <w:r w:rsidRPr="0043655B">
          <w:rPr>
            <w:rStyle w:val="TextoNormalCaracter"/>
          </w:rPr>
          <w:t>12/2012</w:t>
        </w:r>
      </w:hyperlink>
      <w:r>
        <w:t>, f. 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27 de julio de 2004 (Sidabras y Dziautas c. Lituania)</w:t>
      </w:r>
    </w:p>
    <w:p w:rsidR="0043655B" w:rsidRDefault="0043655B" w:rsidP="0043655B">
      <w:pPr>
        <w:pStyle w:val="SangriaFrancesaArticulo"/>
      </w:pPr>
      <w:r w:rsidRPr="0043655B">
        <w:rPr>
          <w:rStyle w:val="TextoNormalNegritaCaracter"/>
        </w:rPr>
        <w:t>§ 44.</w:t>
      </w:r>
      <w:r w:rsidRPr="0043655B">
        <w:rPr>
          <w:rStyle w:val="TextoNormalCaracter"/>
        </w:rPr>
        <w:t>-</w:t>
      </w:r>
      <w:r>
        <w:t xml:space="preserve"> Sentencia </w:t>
      </w:r>
      <w:hyperlink w:anchor="SENTENCIA_2012_12" w:history="1">
        <w:r w:rsidRPr="0043655B">
          <w:rPr>
            <w:rStyle w:val="TextoNormalCaracter"/>
          </w:rPr>
          <w:t>12/2012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 de noviembre de 2004 (Martínez Sala y otros c. España)</w:t>
      </w:r>
    </w:p>
    <w:p w:rsidR="0043655B" w:rsidRDefault="0043655B" w:rsidP="0043655B">
      <w:pPr>
        <w:pStyle w:val="SangriaFrancesaArticulo"/>
      </w:pPr>
      <w:r w:rsidRPr="0043655B">
        <w:rPr>
          <w:rStyle w:val="TextoNormalNegritaCaracter"/>
        </w:rPr>
        <w:t>§ 156.</w:t>
      </w:r>
      <w:r w:rsidRPr="0043655B">
        <w:rPr>
          <w:rStyle w:val="TextoNormalCaracter"/>
        </w:rPr>
        <w:t>-</w:t>
      </w:r>
      <w:r>
        <w:t xml:space="preserve"> Sentencia </w:t>
      </w:r>
      <w:hyperlink w:anchor="SENTENCIA_2012_131" w:history="1">
        <w:r w:rsidRPr="0043655B">
          <w:rPr>
            <w:rStyle w:val="TextoNormalCaracter"/>
          </w:rPr>
          <w:t>131/2012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26 de julio de 2005 (Kniat c. Polonia)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0" w:history="1">
        <w:r w:rsidRPr="0043655B">
          <w:rPr>
            <w:rStyle w:val="TextoNormalCaracter"/>
          </w:rPr>
          <w:t>20/2012</w:t>
        </w:r>
      </w:hyperlink>
      <w:r>
        <w:t xml:space="preserve">, f. 10; </w:t>
      </w:r>
      <w:hyperlink w:anchor="SENTENCIA_2012_103" w:history="1">
        <w:r w:rsidRPr="0043655B">
          <w:rPr>
            <w:rStyle w:val="TextoNormalCaracter"/>
          </w:rPr>
          <w:t>103/2012</w:t>
        </w:r>
      </w:hyperlink>
      <w:r>
        <w:t>, f. 3.</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 de diciembre de 2005 (Ilisescu y Chiforec c. Rumania)</w:t>
      </w:r>
    </w:p>
    <w:p w:rsidR="0043655B" w:rsidRDefault="0043655B" w:rsidP="0043655B">
      <w:pPr>
        <w:pStyle w:val="SangriaFrancesaArticulo"/>
      </w:pPr>
      <w:r w:rsidRPr="0043655B">
        <w:rPr>
          <w:rStyle w:val="TextoNormalNegritaCaracter"/>
        </w:rPr>
        <w:t>§ 39.</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18 de octubre de 2006 (Hermi c. Italia)</w:t>
      </w:r>
    </w:p>
    <w:p w:rsidR="0043655B" w:rsidRDefault="0043655B" w:rsidP="0043655B">
      <w:pPr>
        <w:pStyle w:val="SangriaFrancesaArticulo"/>
      </w:pPr>
      <w:r w:rsidRPr="0043655B">
        <w:rPr>
          <w:rStyle w:val="TextoNormalNegritaCaracter"/>
        </w:rPr>
        <w:t>§ 64.</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28 de noviembre de 2006 (Apostol c. Georgia)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0" w:history="1">
        <w:r w:rsidRPr="0043655B">
          <w:rPr>
            <w:rStyle w:val="TextoNormalCaracter"/>
          </w:rPr>
          <w:t>20/2012</w:t>
        </w:r>
      </w:hyperlink>
      <w:r>
        <w:t xml:space="preserve">, f. 10; </w:t>
      </w:r>
      <w:hyperlink w:anchor="SENTENCIA_2012_103" w:history="1">
        <w:r w:rsidRPr="0043655B">
          <w:rPr>
            <w:rStyle w:val="TextoNormalCaracter"/>
          </w:rPr>
          <w:t>103/2012</w:t>
        </w:r>
      </w:hyperlink>
      <w:r>
        <w:t>, f. 3.</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7 de diciembre de 2006 (Linkov c. República Checa)</w:t>
      </w:r>
    </w:p>
    <w:p w:rsidR="0043655B" w:rsidRDefault="0043655B" w:rsidP="0043655B">
      <w:pPr>
        <w:pStyle w:val="SangriaFrancesaArticulo"/>
      </w:pPr>
      <w:r w:rsidRPr="0043655B">
        <w:rPr>
          <w:rStyle w:val="TextoNormalNegritaCaracter"/>
        </w:rPr>
        <w:t>§ 35.</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r w:rsidRPr="0043655B">
        <w:rPr>
          <w:rStyle w:val="TextoNormalNegritaCaracter"/>
        </w:rPr>
        <w:t>§ 44.</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12 de febrero de 2008 (Kafkaris c. Chipre)</w:t>
      </w:r>
    </w:p>
    <w:p w:rsidR="0043655B" w:rsidRDefault="0043655B" w:rsidP="0043655B">
      <w:pPr>
        <w:pStyle w:val="SangriaFrancesaArticulo"/>
      </w:pPr>
      <w:r w:rsidRPr="0043655B">
        <w:rPr>
          <w:rStyle w:val="TextoNormalNegritaCaracter"/>
        </w:rPr>
        <w:t>§ 140.</w:t>
      </w:r>
      <w:r w:rsidRPr="0043655B">
        <w:rPr>
          <w:rStyle w:val="TextoNormalCaracter"/>
        </w:rPr>
        <w:t>-</w:t>
      </w:r>
      <w:r>
        <w:t xml:space="preserve"> Sentencia </w:t>
      </w:r>
      <w:hyperlink w:anchor="SENTENCIA_2012_39" w:history="1">
        <w:r w:rsidRPr="0043655B">
          <w:rPr>
            <w:rStyle w:val="TextoNormalCaracter"/>
          </w:rPr>
          <w:t>39/2012</w:t>
        </w:r>
      </w:hyperlink>
      <w:r>
        <w:t>, VP I.</w:t>
      </w:r>
    </w:p>
    <w:p w:rsidR="0043655B" w:rsidRDefault="0043655B" w:rsidP="0043655B">
      <w:pPr>
        <w:pStyle w:val="SangriaFrancesaArticulo"/>
      </w:pPr>
      <w:r w:rsidRPr="0043655B">
        <w:rPr>
          <w:rStyle w:val="TextoNormalNegritaCaracter"/>
        </w:rPr>
        <w:t>§ 142.</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r w:rsidRPr="0043655B">
        <w:rPr>
          <w:rStyle w:val="TextoNormalNegritaCaracter"/>
        </w:rPr>
        <w:t>§ 150.</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16 de diciembre de 2008 (Bazo González c. España)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26" w:history="1">
        <w:r w:rsidRPr="0043655B">
          <w:rPr>
            <w:rStyle w:val="TextoNormalCaracter"/>
          </w:rPr>
          <w:t>126/2012</w:t>
        </w:r>
      </w:hyperlink>
      <w:r>
        <w:t>, f. 4.</w:t>
      </w:r>
    </w:p>
    <w:p w:rsidR="0043655B" w:rsidRDefault="0043655B" w:rsidP="0043655B">
      <w:pPr>
        <w:pStyle w:val="SangriaFrancesaArticulo"/>
      </w:pPr>
      <w:r w:rsidRPr="0043655B">
        <w:rPr>
          <w:rStyle w:val="TextoNormalNegritaCaracter"/>
        </w:rPr>
        <w:t>§ 30.</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36.</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10 de marzo de 2009 (Igual Coll c. España)</w:t>
      </w:r>
    </w:p>
    <w:p w:rsidR="0043655B" w:rsidRDefault="0043655B" w:rsidP="0043655B">
      <w:pPr>
        <w:pStyle w:val="SangriaFrancesaArticulo"/>
      </w:pPr>
      <w:r w:rsidRPr="0043655B">
        <w:rPr>
          <w:rStyle w:val="TextoNormalNegritaCaracter"/>
        </w:rPr>
        <w:t>§ 27.</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36.</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13 de abril de 2009 (Tsonev c. Bulgaria)</w:t>
      </w:r>
    </w:p>
    <w:p w:rsidR="0043655B" w:rsidRDefault="0043655B" w:rsidP="0043655B">
      <w:pPr>
        <w:pStyle w:val="SangriaFrancesaArticulo"/>
      </w:pPr>
      <w:r w:rsidRPr="0043655B">
        <w:rPr>
          <w:rStyle w:val="TextoNormalNegritaCaracter"/>
        </w:rPr>
        <w:t>§ 60.</w:t>
      </w:r>
      <w:r w:rsidRPr="0043655B">
        <w:rPr>
          <w:rStyle w:val="TextoNormalCaracter"/>
        </w:rPr>
        <w:t>-</w:t>
      </w:r>
      <w:r>
        <w:t xml:space="preserve"> Sentencia </w:t>
      </w:r>
      <w:hyperlink w:anchor="SENTENCIA_2012_138" w:history="1">
        <w:r w:rsidRPr="0043655B">
          <w:rPr>
            <w:rStyle w:val="TextoNormalCaracter"/>
          </w:rPr>
          <w:t>138/2012</w:t>
        </w:r>
      </w:hyperlink>
      <w:r>
        <w:t>, f. 5.</w:t>
      </w:r>
    </w:p>
    <w:p w:rsidR="0043655B" w:rsidRDefault="0043655B" w:rsidP="0043655B">
      <w:pPr>
        <w:pStyle w:val="SangriaFrancesaArticulo"/>
      </w:pPr>
      <w:r w:rsidRPr="0043655B">
        <w:rPr>
          <w:rStyle w:val="TextoNormalNegritaCaracter"/>
        </w:rPr>
        <w:t>§§ 61 a 63.</w:t>
      </w:r>
      <w:r w:rsidRPr="0043655B">
        <w:rPr>
          <w:rStyle w:val="TextoNormalCaracter"/>
        </w:rPr>
        <w:t>-</w:t>
      </w:r>
      <w:r>
        <w:t xml:space="preserve"> Sentencia </w:t>
      </w:r>
      <w:hyperlink w:anchor="SENTENCIA_2012_138" w:history="1">
        <w:r w:rsidRPr="0043655B">
          <w:rPr>
            <w:rStyle w:val="TextoNormalCaracter"/>
          </w:rPr>
          <w:t>138/2012</w:t>
        </w:r>
      </w:hyperlink>
      <w:r>
        <w:t>, f. 14.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30 de junio de 2009 (Herri Batasuna y Batasuna c. España)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r w:rsidRPr="0043655B">
        <w:rPr>
          <w:rStyle w:val="TextoNormalNegritaCaracter"/>
        </w:rPr>
        <w:t>§ 80.</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r w:rsidRPr="0043655B">
        <w:rPr>
          <w:rStyle w:val="TextoNormalNegritaCaracter"/>
        </w:rPr>
        <w:t>§ 88.</w:t>
      </w:r>
      <w:r w:rsidRPr="0043655B">
        <w:rPr>
          <w:rStyle w:val="TextoNormalCaracter"/>
        </w:rPr>
        <w:t>-</w:t>
      </w:r>
      <w:r>
        <w:t xml:space="preserve"> Sentencia </w:t>
      </w:r>
      <w:hyperlink w:anchor="SENTENCIA_2012_138" w:history="1">
        <w:r w:rsidRPr="0043655B">
          <w:rPr>
            <w:rStyle w:val="TextoNormalCaracter"/>
          </w:rPr>
          <w:t>138/2012</w:t>
        </w:r>
      </w:hyperlink>
      <w:r>
        <w:t>, VP III.</w:t>
      </w:r>
    </w:p>
    <w:p w:rsidR="0043655B" w:rsidRDefault="0043655B" w:rsidP="0043655B">
      <w:pPr>
        <w:pStyle w:val="SangriaFrancesaArticulo"/>
      </w:pPr>
    </w:p>
    <w:p w:rsidR="0043655B" w:rsidRDefault="0043655B" w:rsidP="0043655B">
      <w:pPr>
        <w:pStyle w:val="TextoNormalNegritaCursivandice"/>
      </w:pPr>
      <w:r>
        <w:t>Auto del Tribunal Europeo de Derechos Humanos de 24 de noviembre de 2009 (O Limo c. España)</w:t>
      </w:r>
    </w:p>
    <w:p w:rsidR="0043655B" w:rsidRDefault="0043655B" w:rsidP="0043655B">
      <w:pPr>
        <w:pStyle w:val="SangriaFrancesaArticulo"/>
      </w:pPr>
      <w:r w:rsidRPr="0043655B">
        <w:rPr>
          <w:rStyle w:val="TextoNormalNegritaCaracter"/>
        </w:rPr>
        <w:t>§§ 25, 26.</w:t>
      </w:r>
      <w:r w:rsidRPr="0043655B">
        <w:rPr>
          <w:rStyle w:val="TextoNormalCaracter"/>
        </w:rPr>
        <w:t>-</w:t>
      </w:r>
      <w:r>
        <w:t xml:space="preserve"> Sentencia </w:t>
      </w:r>
      <w:hyperlink w:anchor="SENTENCIA_2012_20" w:history="1">
        <w:r w:rsidRPr="0043655B">
          <w:rPr>
            <w:rStyle w:val="TextoNormalCaracter"/>
          </w:rPr>
          <w:t>20/2012</w:t>
        </w:r>
      </w:hyperlink>
      <w:r>
        <w:t>, f. 9.</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15 de diciembre de 2009 (Gurguchiani c. España)</w:t>
      </w:r>
    </w:p>
    <w:p w:rsidR="0043655B" w:rsidRDefault="0043655B" w:rsidP="0043655B">
      <w:pPr>
        <w:pStyle w:val="SangriaFrancesaArticulo"/>
      </w:pPr>
      <w:r w:rsidRPr="0043655B">
        <w:rPr>
          <w:rStyle w:val="TextoNormalNegritaCaracter"/>
        </w:rPr>
        <w:t>§ 31.</w:t>
      </w:r>
      <w:r w:rsidRPr="0043655B">
        <w:rPr>
          <w:rStyle w:val="TextoNormalCaracter"/>
        </w:rPr>
        <w:t>-</w:t>
      </w:r>
      <w:r>
        <w:t xml:space="preserve"> Sentencias </w:t>
      </w:r>
      <w:hyperlink w:anchor="SENTENCIA_2012_39" w:history="1">
        <w:r w:rsidRPr="0043655B">
          <w:rPr>
            <w:rStyle w:val="TextoNormalCaracter"/>
          </w:rPr>
          <w:t>39/2012</w:t>
        </w:r>
      </w:hyperlink>
      <w:r>
        <w:t xml:space="preserve">, f. 3, VP II; </w:t>
      </w:r>
      <w:hyperlink w:anchor="SENTENCIA_2012_40" w:history="1">
        <w:r w:rsidRPr="0043655B">
          <w:rPr>
            <w:rStyle w:val="TextoNormalCaracter"/>
          </w:rPr>
          <w:t>40/2012</w:t>
        </w:r>
      </w:hyperlink>
      <w:r>
        <w:t xml:space="preserve">, f. 6, VP II; </w:t>
      </w:r>
      <w:hyperlink w:anchor="SENTENCIA_2012_41" w:history="1">
        <w:r w:rsidRPr="0043655B">
          <w:rPr>
            <w:rStyle w:val="TextoNormalCaracter"/>
          </w:rPr>
          <w:t>41/2012</w:t>
        </w:r>
      </w:hyperlink>
      <w:r>
        <w:t xml:space="preserve">, f. 6; </w:t>
      </w:r>
      <w:hyperlink w:anchor="SENTENCIA_2012_42" w:history="1">
        <w:r w:rsidRPr="0043655B">
          <w:rPr>
            <w:rStyle w:val="TextoNormalCaracter"/>
          </w:rPr>
          <w:t>42/2012</w:t>
        </w:r>
      </w:hyperlink>
      <w:r>
        <w:t xml:space="preserve">, f. 6; </w:t>
      </w:r>
      <w:hyperlink w:anchor="SENTENCIA_2012_43" w:history="1">
        <w:r w:rsidRPr="0043655B">
          <w:rPr>
            <w:rStyle w:val="TextoNormalCaracter"/>
          </w:rPr>
          <w:t>43/2012</w:t>
        </w:r>
      </w:hyperlink>
      <w:r>
        <w:t xml:space="preserve">, f. 4; </w:t>
      </w:r>
      <w:hyperlink w:anchor="SENTENCIA_2012_44" w:history="1">
        <w:r w:rsidRPr="0043655B">
          <w:rPr>
            <w:rStyle w:val="TextoNormalCaracter"/>
          </w:rPr>
          <w:t>44/2012</w:t>
        </w:r>
      </w:hyperlink>
      <w:r>
        <w:t xml:space="preserve">, f. 3; </w:t>
      </w:r>
      <w:hyperlink w:anchor="SENTENCIA_2012_45" w:history="1">
        <w:r w:rsidRPr="0043655B">
          <w:rPr>
            <w:rStyle w:val="TextoNormalCaracter"/>
          </w:rPr>
          <w:t>45/2012</w:t>
        </w:r>
      </w:hyperlink>
      <w:r>
        <w:t xml:space="preserve">, f. 3; </w:t>
      </w:r>
      <w:hyperlink w:anchor="SENTENCIA_2012_46" w:history="1">
        <w:r w:rsidRPr="0043655B">
          <w:rPr>
            <w:rStyle w:val="TextoNormalCaracter"/>
          </w:rPr>
          <w:t>46/2012</w:t>
        </w:r>
      </w:hyperlink>
      <w:r>
        <w:t xml:space="preserve">, f. 4; </w:t>
      </w:r>
      <w:hyperlink w:anchor="SENTENCIA_2012_47" w:history="1">
        <w:r w:rsidRPr="0043655B">
          <w:rPr>
            <w:rStyle w:val="TextoNormalCaracter"/>
          </w:rPr>
          <w:t>47/2012</w:t>
        </w:r>
      </w:hyperlink>
      <w:r>
        <w:t xml:space="preserve">, f. 4, VP II; </w:t>
      </w:r>
      <w:hyperlink w:anchor="SENTENCIA_2012_48" w:history="1">
        <w:r w:rsidRPr="0043655B">
          <w:rPr>
            <w:rStyle w:val="TextoNormalCaracter"/>
          </w:rPr>
          <w:t>48/2012</w:t>
        </w:r>
      </w:hyperlink>
      <w:r>
        <w:t xml:space="preserve">, f. 4; </w:t>
      </w:r>
      <w:hyperlink w:anchor="SENTENCIA_2012_49" w:history="1">
        <w:r w:rsidRPr="0043655B">
          <w:rPr>
            <w:rStyle w:val="TextoNormalCaracter"/>
          </w:rPr>
          <w:t>49/2012</w:t>
        </w:r>
      </w:hyperlink>
      <w:r>
        <w:t xml:space="preserve">, f. 4; </w:t>
      </w:r>
      <w:hyperlink w:anchor="SENTENCIA_2012_50" w:history="1">
        <w:r w:rsidRPr="0043655B">
          <w:rPr>
            <w:rStyle w:val="TextoNormalCaracter"/>
          </w:rPr>
          <w:t>50/2012</w:t>
        </w:r>
      </w:hyperlink>
      <w:r>
        <w:t xml:space="preserve">, f. 4; </w:t>
      </w:r>
      <w:hyperlink w:anchor="SENTENCIA_2012_51" w:history="1">
        <w:r w:rsidRPr="0043655B">
          <w:rPr>
            <w:rStyle w:val="TextoNormalCaracter"/>
          </w:rPr>
          <w:t>51/2012</w:t>
        </w:r>
      </w:hyperlink>
      <w:r>
        <w:t xml:space="preserve">, f. 4; </w:t>
      </w:r>
      <w:hyperlink w:anchor="SENTENCIA_2012_52" w:history="1">
        <w:r w:rsidRPr="0043655B">
          <w:rPr>
            <w:rStyle w:val="TextoNormalCaracter"/>
          </w:rPr>
          <w:t>52/2012</w:t>
        </w:r>
      </w:hyperlink>
      <w:r>
        <w:t xml:space="preserve">, f. 3; </w:t>
      </w:r>
      <w:hyperlink w:anchor="SENTENCIA_2012_53" w:history="1">
        <w:r w:rsidRPr="0043655B">
          <w:rPr>
            <w:rStyle w:val="TextoNormalCaracter"/>
          </w:rPr>
          <w:t>53/2012</w:t>
        </w:r>
      </w:hyperlink>
      <w:r>
        <w:t xml:space="preserve">, f. 3; </w:t>
      </w:r>
      <w:hyperlink w:anchor="SENTENCIA_2012_54" w:history="1">
        <w:r w:rsidRPr="0043655B">
          <w:rPr>
            <w:rStyle w:val="TextoNormalCaracter"/>
          </w:rPr>
          <w:t>54/2012</w:t>
        </w:r>
      </w:hyperlink>
      <w:r>
        <w:t xml:space="preserve">, </w:t>
      </w:r>
      <w:r>
        <w:lastRenderedPageBreak/>
        <w:t xml:space="preserve">f. 4; </w:t>
      </w:r>
      <w:hyperlink w:anchor="SENTENCIA_2012_55" w:history="1">
        <w:r w:rsidRPr="0043655B">
          <w:rPr>
            <w:rStyle w:val="TextoNormalCaracter"/>
          </w:rPr>
          <w:t>55/2012</w:t>
        </w:r>
      </w:hyperlink>
      <w:r>
        <w:t xml:space="preserve">, f. 5; </w:t>
      </w:r>
      <w:hyperlink w:anchor="SENTENCIA_2012_56" w:history="1">
        <w:r w:rsidRPr="0043655B">
          <w:rPr>
            <w:rStyle w:val="TextoNormalCaracter"/>
          </w:rPr>
          <w:t>56/2012</w:t>
        </w:r>
      </w:hyperlink>
      <w:r>
        <w:t xml:space="preserve">, f. 2; </w:t>
      </w:r>
      <w:hyperlink w:anchor="SENTENCIA_2012_57" w:history="1">
        <w:r w:rsidRPr="0043655B">
          <w:rPr>
            <w:rStyle w:val="TextoNormalCaracter"/>
          </w:rPr>
          <w:t>57/2012</w:t>
        </w:r>
      </w:hyperlink>
      <w:r>
        <w:t xml:space="preserve">, f. 3; </w:t>
      </w:r>
      <w:hyperlink w:anchor="SENTENCIA_2012_61" w:history="1">
        <w:r w:rsidRPr="0043655B">
          <w:rPr>
            <w:rStyle w:val="TextoNormalCaracter"/>
          </w:rPr>
          <w:t>61/2012</w:t>
        </w:r>
      </w:hyperlink>
      <w:r>
        <w:t xml:space="preserve">, f. 3; </w:t>
      </w:r>
      <w:hyperlink w:anchor="SENTENCIA_2012_64" w:history="1">
        <w:r w:rsidRPr="0043655B">
          <w:rPr>
            <w:rStyle w:val="TextoNormalCaracter"/>
          </w:rPr>
          <w:t>64/2012</w:t>
        </w:r>
      </w:hyperlink>
      <w:r>
        <w:t xml:space="preserve">, f. 3; </w:t>
      </w:r>
      <w:hyperlink w:anchor="SENTENCIA_2012_65" w:history="1">
        <w:r w:rsidRPr="0043655B">
          <w:rPr>
            <w:rStyle w:val="TextoNormalCaracter"/>
          </w:rPr>
          <w:t>65/2012</w:t>
        </w:r>
      </w:hyperlink>
      <w:r>
        <w:t xml:space="preserve">, f. 4; </w:t>
      </w:r>
      <w:hyperlink w:anchor="SENTENCIA_2012_66" w:history="1">
        <w:r w:rsidRPr="0043655B">
          <w:rPr>
            <w:rStyle w:val="TextoNormalCaracter"/>
          </w:rPr>
          <w:t>66/2012</w:t>
        </w:r>
      </w:hyperlink>
      <w:r>
        <w:t xml:space="preserve">, f. 3; </w:t>
      </w:r>
      <w:hyperlink w:anchor="SENTENCIA_2012_67" w:history="1">
        <w:r w:rsidRPr="0043655B">
          <w:rPr>
            <w:rStyle w:val="TextoNormalCaracter"/>
          </w:rPr>
          <w:t>67/2012</w:t>
        </w:r>
      </w:hyperlink>
      <w:r>
        <w:t xml:space="preserve">, f. 3; </w:t>
      </w:r>
      <w:hyperlink w:anchor="SENTENCIA_2012_68" w:history="1">
        <w:r w:rsidRPr="0043655B">
          <w:rPr>
            <w:rStyle w:val="TextoNormalCaracter"/>
          </w:rPr>
          <w:t>68/2012</w:t>
        </w:r>
      </w:hyperlink>
      <w:r>
        <w:t xml:space="preserve">, f. 3; </w:t>
      </w:r>
      <w:hyperlink w:anchor="SENTENCIA_2012_69" w:history="1">
        <w:r w:rsidRPr="0043655B">
          <w:rPr>
            <w:rStyle w:val="TextoNormalCaracter"/>
          </w:rPr>
          <w:t>69/2012</w:t>
        </w:r>
      </w:hyperlink>
      <w:r>
        <w:t xml:space="preserve">, f. 4; </w:t>
      </w:r>
      <w:hyperlink w:anchor="SENTENCIA_2012_108" w:history="1">
        <w:r w:rsidRPr="0043655B">
          <w:rPr>
            <w:rStyle w:val="TextoNormalCaracter"/>
          </w:rPr>
          <w:t>108/2012</w:t>
        </w:r>
      </w:hyperlink>
      <w:r>
        <w:t xml:space="preserve">, f. 4; </w:t>
      </w:r>
      <w:hyperlink w:anchor="SENTENCIA_2012_113" w:history="1">
        <w:r w:rsidRPr="0043655B">
          <w:rPr>
            <w:rStyle w:val="TextoNormalCaracter"/>
          </w:rPr>
          <w:t>113/2012</w:t>
        </w:r>
      </w:hyperlink>
      <w:r>
        <w:t xml:space="preserve">, f. 6; </w:t>
      </w:r>
      <w:hyperlink w:anchor="SENTENCIA_2012_114" w:history="1">
        <w:r w:rsidRPr="0043655B">
          <w:rPr>
            <w:rStyle w:val="TextoNormalCaracter"/>
          </w:rPr>
          <w:t>114/2012</w:t>
        </w:r>
      </w:hyperlink>
      <w:r>
        <w:t>, f. 3.</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17 de diciembre de 2009 (M. c. Alemania)</w:t>
      </w:r>
    </w:p>
    <w:p w:rsidR="0043655B" w:rsidRDefault="0043655B" w:rsidP="0043655B">
      <w:pPr>
        <w:pStyle w:val="SangriaFrancesaArticulo"/>
      </w:pPr>
      <w:r w:rsidRPr="0043655B">
        <w:rPr>
          <w:rStyle w:val="TextoNormalNegritaCaracter"/>
        </w:rPr>
        <w:t>§ 90.</w:t>
      </w:r>
      <w:r w:rsidRPr="0043655B">
        <w:rPr>
          <w:rStyle w:val="TextoNormalCaracter"/>
        </w:rPr>
        <w:t>-</w:t>
      </w:r>
      <w:r>
        <w:t xml:space="preserve"> Sentencia </w:t>
      </w:r>
      <w:hyperlink w:anchor="SENTENCIA_2012_39" w:history="1">
        <w:r w:rsidRPr="0043655B">
          <w:rPr>
            <w:rStyle w:val="TextoNormalCaracter"/>
          </w:rPr>
          <w:t>39/2012</w:t>
        </w:r>
      </w:hyperlink>
      <w:r>
        <w:t>, VP I.</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21 de septiembre de 2010 (Marcos Barrios c. España)</w:t>
      </w:r>
    </w:p>
    <w:p w:rsidR="0043655B" w:rsidRDefault="0043655B" w:rsidP="0043655B">
      <w:pPr>
        <w:pStyle w:val="SangriaFrancesaArticulo"/>
      </w:pPr>
      <w:r w:rsidRPr="0043655B">
        <w:rPr>
          <w:rStyle w:val="TextoNormalNegritaCaracter"/>
        </w:rPr>
        <w:t>§ 32.</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28 de septiembre de 2010 (San Argimiro Isasa c. España)</w:t>
      </w:r>
    </w:p>
    <w:p w:rsidR="0043655B" w:rsidRDefault="0043655B" w:rsidP="0043655B">
      <w:pPr>
        <w:pStyle w:val="SangriaFrancesaArticulo"/>
      </w:pPr>
      <w:r w:rsidRPr="0043655B">
        <w:rPr>
          <w:rStyle w:val="TextoNormalNegritaCaracter"/>
        </w:rPr>
        <w:t>§ 41.</w:t>
      </w:r>
      <w:r w:rsidRPr="0043655B">
        <w:rPr>
          <w:rStyle w:val="TextoNormalCaracter"/>
        </w:rPr>
        <w:t>-</w:t>
      </w:r>
      <w:r>
        <w:t xml:space="preserve"> Sentencia </w:t>
      </w:r>
      <w:hyperlink w:anchor="SENTENCIA_2012_131" w:history="1">
        <w:r w:rsidRPr="0043655B">
          <w:rPr>
            <w:rStyle w:val="TextoNormalCaracter"/>
          </w:rPr>
          <w:t>131/2012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16 de noviembre de 2010 (García Hernández c. España)</w:t>
      </w:r>
    </w:p>
    <w:p w:rsidR="0043655B" w:rsidRDefault="0043655B" w:rsidP="0043655B">
      <w:pPr>
        <w:pStyle w:val="SangriaFrancesaArticulo"/>
      </w:pPr>
      <w:r w:rsidRPr="0043655B">
        <w:rPr>
          <w:rStyle w:val="TextoNormalNegritaCaracter"/>
        </w:rPr>
        <w:t>§ 24.</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25.</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16 de noviembre de 2010 (Perdigâo c. Portugal)</w:t>
      </w:r>
    </w:p>
    <w:p w:rsidR="0043655B" w:rsidRDefault="0043655B" w:rsidP="0043655B">
      <w:pPr>
        <w:pStyle w:val="SangriaFrancesaArticulo"/>
      </w:pPr>
      <w:r w:rsidRPr="0043655B">
        <w:rPr>
          <w:rStyle w:val="TextoNormalNegritaCaracter"/>
        </w:rPr>
        <w:t>§ 72.</w:t>
      </w:r>
      <w:r w:rsidRPr="0043655B">
        <w:rPr>
          <w:rStyle w:val="TextoNormalCaracter"/>
        </w:rPr>
        <w:t>-</w:t>
      </w:r>
      <w:r>
        <w:t xml:space="preserve"> Sentencia </w:t>
      </w:r>
      <w:hyperlink w:anchor="SENTENCIA_2012_20" w:history="1">
        <w:r w:rsidRPr="0043655B">
          <w:rPr>
            <w:rStyle w:val="TextoNormalCaracter"/>
          </w:rPr>
          <w:t>20/2012</w:t>
        </w:r>
      </w:hyperlink>
      <w:r>
        <w:t>, f. 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9 de diciembre de 2010 (Urbanek c. Austria)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20" w:history="1">
        <w:r w:rsidRPr="0043655B">
          <w:rPr>
            <w:rStyle w:val="TextoNormalCaracter"/>
          </w:rPr>
          <w:t>20/2012</w:t>
        </w:r>
      </w:hyperlink>
      <w:r>
        <w:t xml:space="preserve">, f. 10; </w:t>
      </w:r>
      <w:hyperlink w:anchor="SENTENCIA_2012_103" w:history="1">
        <w:r w:rsidRPr="0043655B">
          <w:rPr>
            <w:rStyle w:val="TextoNormalCaracter"/>
          </w:rPr>
          <w:t>103/2012</w:t>
        </w:r>
      </w:hyperlink>
      <w:r>
        <w:t>, f. 3.</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18 de enero de 2011 (MGN Limited c. Reino Unido)</w:t>
      </w:r>
    </w:p>
    <w:p w:rsidR="0043655B" w:rsidRDefault="0043655B" w:rsidP="0043655B">
      <w:pPr>
        <w:pStyle w:val="SangriaFrancesaArticulo"/>
      </w:pPr>
      <w:r w:rsidRPr="0043655B">
        <w:rPr>
          <w:rStyle w:val="TextoNormalNegritaCaracter"/>
        </w:rPr>
        <w:t>§ 141.</w:t>
      </w:r>
      <w:r w:rsidRPr="0043655B">
        <w:rPr>
          <w:rStyle w:val="TextoNormalCaracter"/>
        </w:rPr>
        <w:t>-</w:t>
      </w:r>
      <w:r>
        <w:t xml:space="preserve"> Sentencia </w:t>
      </w:r>
      <w:hyperlink w:anchor="SENTENCIA_2012_12" w:history="1">
        <w:r w:rsidRPr="0043655B">
          <w:rPr>
            <w:rStyle w:val="TextoNormalCaracter"/>
          </w:rPr>
          <w:t>12/2012</w:t>
        </w:r>
      </w:hyperlink>
      <w:r>
        <w:t>, f. 6.</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8 de marzo de 2011 (Beristain Ukar c. España)</w:t>
      </w:r>
    </w:p>
    <w:p w:rsidR="0043655B" w:rsidRDefault="0043655B" w:rsidP="0043655B">
      <w:pPr>
        <w:pStyle w:val="SangriaFrancesaArticulo"/>
      </w:pPr>
      <w:r w:rsidRPr="0043655B">
        <w:rPr>
          <w:rStyle w:val="TextoNormalNegritaCaracter"/>
        </w:rPr>
        <w:t>§ 28.</w:t>
      </w:r>
      <w:r w:rsidRPr="0043655B">
        <w:rPr>
          <w:rStyle w:val="TextoNormalCaracter"/>
        </w:rPr>
        <w:t>-</w:t>
      </w:r>
      <w:r>
        <w:t xml:space="preserve"> Sentencia </w:t>
      </w:r>
      <w:hyperlink w:anchor="SENTENCIA_2012_131" w:history="1">
        <w:r w:rsidRPr="0043655B">
          <w:rPr>
            <w:rStyle w:val="TextoNormalCaracter"/>
          </w:rPr>
          <w:t>131/2012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10 de mayo de 2011 (Mosley c. Reino Unido)</w:t>
      </w:r>
    </w:p>
    <w:p w:rsidR="0043655B" w:rsidRDefault="0043655B" w:rsidP="0043655B">
      <w:pPr>
        <w:pStyle w:val="SangriaFrancesaArticulo"/>
      </w:pPr>
      <w:r w:rsidRPr="0043655B">
        <w:rPr>
          <w:rStyle w:val="TextoNormalNegritaCaracter"/>
        </w:rPr>
        <w:t>§ 11.</w:t>
      </w:r>
      <w:r w:rsidRPr="0043655B">
        <w:rPr>
          <w:rStyle w:val="TextoNormalCaracter"/>
        </w:rPr>
        <w:t>-</w:t>
      </w:r>
      <w:r>
        <w:t xml:space="preserve"> Sentencia </w:t>
      </w:r>
      <w:hyperlink w:anchor="SENTENCIA_2012_12" w:history="1">
        <w:r w:rsidRPr="0043655B">
          <w:rPr>
            <w:rStyle w:val="TextoNormalCaracter"/>
          </w:rPr>
          <w:t>12/2012</w:t>
        </w:r>
      </w:hyperlink>
      <w:r>
        <w:t>, f. 6.</w:t>
      </w:r>
    </w:p>
    <w:p w:rsidR="0043655B" w:rsidRDefault="0043655B" w:rsidP="0043655B">
      <w:pPr>
        <w:pStyle w:val="SangriaFrancesaArticulo"/>
      </w:pPr>
      <w:r w:rsidRPr="0043655B">
        <w:rPr>
          <w:rStyle w:val="TextoNormalNegritaCaracter"/>
        </w:rPr>
        <w:t>§ 113.</w:t>
      </w:r>
      <w:r w:rsidRPr="0043655B">
        <w:rPr>
          <w:rStyle w:val="TextoNormalCaracter"/>
        </w:rPr>
        <w:t>-</w:t>
      </w:r>
      <w:r>
        <w:t xml:space="preserve"> Sentencia </w:t>
      </w:r>
      <w:hyperlink w:anchor="SENTENCIA_2012_12" w:history="1">
        <w:r w:rsidRPr="0043655B">
          <w:rPr>
            <w:rStyle w:val="TextoNormalCaracter"/>
          </w:rPr>
          <w:t>12/2012</w:t>
        </w:r>
      </w:hyperlink>
      <w:r>
        <w:t>, f. 6.</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8 de septiembre de 2011 (Oshurko c. Ucrania)</w:t>
      </w:r>
    </w:p>
    <w:p w:rsidR="0043655B" w:rsidRDefault="0043655B" w:rsidP="0043655B">
      <w:pPr>
        <w:pStyle w:val="SangriaFrancesaArticulo"/>
      </w:pPr>
      <w:r w:rsidRPr="0043655B">
        <w:rPr>
          <w:rStyle w:val="TextoNormalNegritaCaracter"/>
        </w:rPr>
        <w:t>§ 98.</w:t>
      </w:r>
      <w:r w:rsidRPr="0043655B">
        <w:rPr>
          <w:rStyle w:val="TextoNormalCaracter"/>
        </w:rPr>
        <w:t>-</w:t>
      </w:r>
      <w:r>
        <w:t xml:space="preserve"> Sentencia </w:t>
      </w:r>
      <w:hyperlink w:anchor="SENTENCIA_2012_39" w:history="1">
        <w:r w:rsidRPr="0043655B">
          <w:rPr>
            <w:rStyle w:val="TextoNormalCaracter"/>
          </w:rPr>
          <w:t>39/2012</w:t>
        </w:r>
      </w:hyperlink>
      <w:r>
        <w:t>, VP I.</w:t>
      </w:r>
    </w:p>
    <w:p w:rsidR="0043655B" w:rsidRDefault="0043655B" w:rsidP="0043655B">
      <w:pPr>
        <w:pStyle w:val="SangriaFrancesaArticulo"/>
      </w:pPr>
    </w:p>
    <w:p w:rsidR="0043655B" w:rsidRDefault="0043655B" w:rsidP="0043655B">
      <w:pPr>
        <w:pStyle w:val="TextoNormalNegritaCursivandice"/>
      </w:pPr>
      <w:r>
        <w:lastRenderedPageBreak/>
        <w:t>Sentencia del Tribunal Europeo de Derechos Humanos de 25 de octubre de 2011 (Almenara Álvarez c. España)</w:t>
      </w:r>
    </w:p>
    <w:p w:rsidR="0043655B" w:rsidRDefault="0043655B" w:rsidP="0043655B">
      <w:pPr>
        <w:pStyle w:val="SangriaFrancesaArticulo"/>
      </w:pPr>
      <w:r w:rsidRPr="0043655B">
        <w:rPr>
          <w:rStyle w:val="TextoNormalNegritaCaracter"/>
        </w:rPr>
        <w:t>§ 39.</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22 de noviembre de 2011 (Lacadena Calero c. España)</w:t>
      </w:r>
    </w:p>
    <w:p w:rsidR="0043655B" w:rsidRDefault="0043655B" w:rsidP="0043655B">
      <w:pPr>
        <w:pStyle w:val="SangriaFrancesaArticulo"/>
      </w:pPr>
      <w:r w:rsidRPr="0043655B">
        <w:rPr>
          <w:rStyle w:val="TextoNormalNegritaCaracter"/>
        </w:rPr>
        <w:t>§ 38.</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47.</w:t>
      </w:r>
      <w:r w:rsidRPr="0043655B">
        <w:rPr>
          <w:rStyle w:val="TextoNormalCaracter"/>
        </w:rPr>
        <w:t>-</w:t>
      </w:r>
      <w:r>
        <w:t xml:space="preserve"> Sentencia </w:t>
      </w:r>
      <w:hyperlink w:anchor="SENTENCIA_2012_126" w:history="1">
        <w:r w:rsidRPr="0043655B">
          <w:rPr>
            <w:rStyle w:val="TextoNormalCaracter"/>
          </w:rPr>
          <w:t>126/2012</w:t>
        </w:r>
      </w:hyperlink>
      <w:r>
        <w:t>, f. 4.</w:t>
      </w:r>
    </w:p>
    <w:p w:rsidR="0043655B" w:rsidRDefault="0043655B" w:rsidP="0043655B">
      <w:pPr>
        <w:pStyle w:val="SangriaFrancesaArticulo"/>
      </w:pPr>
      <w:r w:rsidRPr="0043655B">
        <w:rPr>
          <w:rStyle w:val="TextoNormalNegritaCaracter"/>
        </w:rPr>
        <w:t>§ 49.</w:t>
      </w:r>
      <w:r w:rsidRPr="0043655B">
        <w:rPr>
          <w:rStyle w:val="TextoNormalCaracter"/>
        </w:rPr>
        <w:t>-</w:t>
      </w:r>
      <w:r>
        <w:t xml:space="preserve"> Sentencia </w:t>
      </w:r>
      <w:hyperlink w:anchor="SENTENCIA_2012_126" w:history="1">
        <w:r w:rsidRPr="0043655B">
          <w:rPr>
            <w:rStyle w:val="TextoNormalCaracter"/>
          </w:rPr>
          <w:t>126/2012</w:t>
        </w:r>
      </w:hyperlink>
      <w:r>
        <w:t>, f. 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13 de diciembre de 2011 (Valbuena Redondo c. España)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Auto </w:t>
      </w:r>
      <w:hyperlink w:anchor="AUTO_2012_123" w:history="1">
        <w:r w:rsidRPr="0043655B">
          <w:rPr>
            <w:rStyle w:val="TextoNormalCaracter"/>
          </w:rPr>
          <w:t>123/2012</w:t>
        </w:r>
      </w:hyperlink>
      <w:r>
        <w:t>.</w:t>
      </w:r>
    </w:p>
    <w:p w:rsidR="0043655B" w:rsidRDefault="0043655B" w:rsidP="0043655B">
      <w:pPr>
        <w:pStyle w:val="SangriaFrancesaArticulo"/>
      </w:pPr>
      <w:r w:rsidRPr="0043655B">
        <w:rPr>
          <w:rStyle w:val="TextoNormalNegritaCaracter"/>
        </w:rPr>
        <w:t>§ 29.</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32.</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SangriaFrancesaArticulo"/>
      </w:pPr>
      <w:r w:rsidRPr="0043655B">
        <w:rPr>
          <w:rStyle w:val="TextoNormalNegritaCaracter"/>
        </w:rPr>
        <w:t>§ 37.</w:t>
      </w:r>
      <w:r w:rsidRPr="0043655B">
        <w:rPr>
          <w:rStyle w:val="TextoNormalCaracter"/>
        </w:rPr>
        <w:t>-</w:t>
      </w:r>
      <w:r>
        <w:t xml:space="preserve"> Sentencia </w:t>
      </w:r>
      <w:hyperlink w:anchor="SENTENCIA_2012_126" w:history="1">
        <w:r w:rsidRPr="0043655B">
          <w:rPr>
            <w:rStyle w:val="TextoNormalCaracter"/>
          </w:rPr>
          <w:t>126/2012</w:t>
        </w:r>
      </w:hyperlink>
      <w:r>
        <w:t>, f. 4.</w:t>
      </w:r>
    </w:p>
    <w:p w:rsidR="0043655B" w:rsidRDefault="0043655B" w:rsidP="0043655B">
      <w:pPr>
        <w:pStyle w:val="SangriaFrancesaArticulo"/>
      </w:pPr>
      <w:r w:rsidRPr="0043655B">
        <w:rPr>
          <w:rStyle w:val="TextoNormalNegritaCaracter"/>
        </w:rPr>
        <w:t>§ 39.</w:t>
      </w:r>
      <w:r w:rsidRPr="0043655B">
        <w:rPr>
          <w:rStyle w:val="TextoNormalCaracter"/>
        </w:rPr>
        <w:t>-</w:t>
      </w:r>
      <w:r>
        <w:t xml:space="preserve"> Sentencia </w:t>
      </w:r>
      <w:hyperlink w:anchor="SENTENCIA_2012_126" w:history="1">
        <w:r w:rsidRPr="0043655B">
          <w:rPr>
            <w:rStyle w:val="TextoNormalCaracter"/>
          </w:rPr>
          <w:t>126/2012</w:t>
        </w:r>
      </w:hyperlink>
      <w:r>
        <w:t>, f. 4.</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24 de enero de 2012 (Mihai Toma c. Rumanía)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7 de febrero de 2012 (Alimuçaj c. Albania)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6 de marzo de 2012 (Huhtamäki c. Finlandia)</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Sentencias </w:t>
      </w:r>
      <w:hyperlink w:anchor="SENTENCIA_2012_39" w:history="1">
        <w:r w:rsidRPr="0043655B">
          <w:rPr>
            <w:rStyle w:val="TextoNormalCaracter"/>
          </w:rPr>
          <w:t>39/2012</w:t>
        </w:r>
      </w:hyperlink>
      <w:r>
        <w:t xml:space="preserve">, VP II; </w:t>
      </w:r>
      <w:hyperlink w:anchor="SENTENCIA_2012_40" w:history="1">
        <w:r w:rsidRPr="0043655B">
          <w:rPr>
            <w:rStyle w:val="TextoNormalCaracter"/>
          </w:rPr>
          <w:t>40/2012</w:t>
        </w:r>
      </w:hyperlink>
      <w:r>
        <w:t xml:space="preserve">, VP II; </w:t>
      </w:r>
      <w:hyperlink w:anchor="SENTENCIA_2012_47" w:history="1">
        <w:r w:rsidRPr="0043655B">
          <w:rPr>
            <w:rStyle w:val="TextoNormalCaracter"/>
          </w:rPr>
          <w:t>47/2012</w:t>
        </w:r>
      </w:hyperlink>
      <w:r>
        <w:t>, VP II.</w:t>
      </w:r>
    </w:p>
    <w:p w:rsidR="0043655B" w:rsidRDefault="0043655B" w:rsidP="0043655B">
      <w:pPr>
        <w:pStyle w:val="SangriaFrancesaArticulo"/>
      </w:pPr>
    </w:p>
    <w:p w:rsidR="0043655B" w:rsidRDefault="0043655B" w:rsidP="0043655B">
      <w:pPr>
        <w:pStyle w:val="TextoNormalNegritaCursivandice"/>
      </w:pPr>
      <w:r>
        <w:t>Sentencia del Tribunal Europeo de Derechos Humanos de 20 de marzo de 2012 (Serrano Contreras c. España)</w:t>
      </w:r>
    </w:p>
    <w:p w:rsidR="0043655B" w:rsidRDefault="0043655B" w:rsidP="0043655B">
      <w:pPr>
        <w:pStyle w:val="SangriaFrancesaArticulo"/>
      </w:pPr>
      <w:r w:rsidRPr="0043655B">
        <w:rPr>
          <w:rStyle w:val="TextoNormalNegritaCaracter"/>
        </w:rPr>
        <w:t>§ 31.</w:t>
      </w:r>
      <w:r w:rsidRPr="0043655B">
        <w:rPr>
          <w:rStyle w:val="TextoNormalCaracter"/>
        </w:rPr>
        <w:t>-</w:t>
      </w:r>
      <w:r>
        <w:t xml:space="preserve"> Sentencia </w:t>
      </w:r>
      <w:hyperlink w:anchor="SENTENCIA_2012_126" w:history="1">
        <w:r w:rsidRPr="0043655B">
          <w:rPr>
            <w:rStyle w:val="TextoNormalCaracter"/>
          </w:rPr>
          <w:t>126/2012</w:t>
        </w:r>
      </w:hyperlink>
      <w:r>
        <w:t>, f. 2.</w:t>
      </w:r>
    </w:p>
    <w:p w:rsidR="0043655B" w:rsidRDefault="0043655B" w:rsidP="0043655B">
      <w:pPr>
        <w:pStyle w:val="TextoNormal"/>
      </w:pPr>
    </w:p>
    <w:p w:rsidR="0043655B" w:rsidRDefault="0043655B" w:rsidP="0043655B">
      <w:pPr>
        <w:pStyle w:val="SangriaFrancesaArticulo"/>
      </w:pPr>
      <w:bookmarkStart w:id="296" w:name="INDICE22924"/>
    </w:p>
    <w:bookmarkEnd w:id="296"/>
    <w:p w:rsidR="0043655B" w:rsidRDefault="0043655B" w:rsidP="0043655B">
      <w:pPr>
        <w:pStyle w:val="TextoIndiceNivel2"/>
        <w:suppressAutoHyphens/>
      </w:pPr>
      <w:r>
        <w:t>B) Tribunales de Justicia de las Comunidades Europeas y de la Unión Europea</w:t>
      </w:r>
    </w:p>
    <w:p w:rsidR="0043655B" w:rsidRDefault="0043655B" w:rsidP="0043655B">
      <w:pPr>
        <w:pStyle w:val="TextoIndiceNivel2"/>
      </w:pPr>
    </w:p>
    <w:p w:rsidR="0043655B" w:rsidRDefault="0043655B" w:rsidP="0043655B">
      <w:pPr>
        <w:pStyle w:val="TextoNormalNegritaCursivandice"/>
      </w:pPr>
      <w:r>
        <w:t>Sentencia del Tribunal de Justicia de las Comunidades Europeas de 13 de junio de 2002 (Comisión c. Reino de España, asunto C-474/99)</w:t>
      </w:r>
    </w:p>
    <w:p w:rsidR="0043655B" w:rsidRDefault="0043655B" w:rsidP="0043655B">
      <w:pPr>
        <w:pStyle w:val="SangriaFrancesaArticulo"/>
      </w:pPr>
      <w:r w:rsidRPr="0043655B">
        <w:rPr>
          <w:rStyle w:val="TextoNormalNegritaCaracter"/>
        </w:rPr>
        <w:t>En general.</w:t>
      </w:r>
      <w:r w:rsidRPr="0043655B">
        <w:rPr>
          <w:rStyle w:val="TextoNormalCaracter"/>
        </w:rPr>
        <w:t>-</w:t>
      </w:r>
      <w:r>
        <w:t xml:space="preserve"> Sentencia </w:t>
      </w:r>
      <w:hyperlink w:anchor="SENTENCIA_2012_1" w:history="1">
        <w:r w:rsidRPr="0043655B">
          <w:rPr>
            <w:rStyle w:val="TextoNormalCaracter"/>
          </w:rPr>
          <w:t>1/2012</w:t>
        </w:r>
      </w:hyperlink>
      <w:r>
        <w:t>, f. 10.</w:t>
      </w:r>
    </w:p>
    <w:p w:rsidR="0043655B" w:rsidRDefault="0043655B" w:rsidP="0043655B">
      <w:pPr>
        <w:pStyle w:val="SangriaFrancesaArticulo"/>
      </w:pPr>
    </w:p>
    <w:p w:rsidR="0043655B" w:rsidRDefault="0043655B" w:rsidP="0043655B">
      <w:pPr>
        <w:pStyle w:val="TextoNormalNegritaCursivandice"/>
      </w:pPr>
      <w:r>
        <w:t>Sentencia del Tribunal de Justicia de la Unión Europea de 22 de diciembre de 2010 (DEB Deutsche Energiehandels- und Beratungsgesellschaft mbH c. Bundesrepublik Deutschland, asunto C-279/09)</w:t>
      </w:r>
    </w:p>
    <w:p w:rsidR="0043655B" w:rsidRDefault="0043655B" w:rsidP="0043655B">
      <w:pPr>
        <w:pStyle w:val="SangriaFrancesaArticulo"/>
      </w:pPr>
      <w:r w:rsidRPr="0043655B">
        <w:rPr>
          <w:rStyle w:val="TextoNormalNegritaCaracter"/>
        </w:rPr>
        <w:lastRenderedPageBreak/>
        <w:t>En general.</w:t>
      </w:r>
      <w:r w:rsidRPr="0043655B">
        <w:rPr>
          <w:rStyle w:val="TextoNormalCaracter"/>
        </w:rPr>
        <w:t>-</w:t>
      </w:r>
      <w:r>
        <w:t xml:space="preserve"> Sentencia </w:t>
      </w:r>
      <w:hyperlink w:anchor="SENTENCIA_2012_20" w:history="1">
        <w:r w:rsidRPr="0043655B">
          <w:rPr>
            <w:rStyle w:val="TextoNormalCaracter"/>
          </w:rPr>
          <w:t>20/2012</w:t>
        </w:r>
      </w:hyperlink>
      <w:r>
        <w:t>, f. 10.</w:t>
      </w:r>
    </w:p>
    <w:p w:rsidR="0043655B" w:rsidRDefault="0043655B" w:rsidP="0043655B">
      <w:pPr>
        <w:pStyle w:val="TextoNormal"/>
      </w:pPr>
    </w:p>
    <w:p w:rsidR="0043655B" w:rsidRDefault="0043655B" w:rsidP="0043655B">
      <w:pPr>
        <w:pStyle w:val="SangriaFrancesaArticulo"/>
      </w:pPr>
      <w:bookmarkStart w:id="297" w:name="INDICE22925"/>
    </w:p>
    <w:bookmarkEnd w:id="297"/>
    <w:p w:rsidR="0043655B" w:rsidRDefault="0043655B" w:rsidP="0043655B">
      <w:pPr>
        <w:pStyle w:val="TextoIndiceNivel2"/>
        <w:suppressAutoHyphens/>
      </w:pPr>
      <w:r>
        <w:t>C) Tribunal Supremo</w:t>
      </w:r>
    </w:p>
    <w:p w:rsidR="0043655B" w:rsidRDefault="0043655B" w:rsidP="0043655B">
      <w:pPr>
        <w:pStyle w:val="TextoIndiceNivel2"/>
      </w:pPr>
    </w:p>
    <w:p w:rsidR="0043655B" w:rsidRDefault="0043655B" w:rsidP="0043655B">
      <w:pPr>
        <w:pStyle w:val="TextoNormalNegritaCursivandice"/>
      </w:pPr>
      <w:r>
        <w:t>Auto de la Sala de lo Penal del Tribunal Supremo de 22 de octubre de 2009</w:t>
      </w:r>
    </w:p>
    <w:p w:rsidR="0043655B" w:rsidRDefault="0043655B" w:rsidP="0043655B">
      <w:pPr>
        <w:pStyle w:val="SangriaFrancesaArticulo"/>
      </w:pPr>
      <w:r>
        <w:t xml:space="preserve">Sentencia </w:t>
      </w:r>
      <w:hyperlink w:anchor="SENTENCIA_2012_62" w:history="1">
        <w:r w:rsidRPr="0043655B">
          <w:rPr>
            <w:rStyle w:val="TextoNormalCaracter"/>
          </w:rPr>
          <w:t>62/2012</w:t>
        </w:r>
      </w:hyperlink>
      <w:r>
        <w:t xml:space="preserve"> (anula).</w:t>
      </w:r>
    </w:p>
    <w:p w:rsidR="0043655B" w:rsidRDefault="0043655B" w:rsidP="0043655B">
      <w:pPr>
        <w:pStyle w:val="SangriaFrancesaArticulo"/>
      </w:pPr>
    </w:p>
    <w:p w:rsidR="0043655B" w:rsidRDefault="0043655B" w:rsidP="0043655B">
      <w:pPr>
        <w:pStyle w:val="TextoNormalNegritaCursivandice"/>
      </w:pPr>
      <w:r>
        <w:t>Auto de la Sala Especial del Tribunal Supremo del artículo 61 de la Ley Orgánica del Poder Judicial, de 30 de marzo de 2011</w:t>
      </w:r>
    </w:p>
    <w:p w:rsidR="0043655B" w:rsidRDefault="0043655B" w:rsidP="0043655B">
      <w:pPr>
        <w:pStyle w:val="SangriaFrancesaArticulo"/>
      </w:pPr>
      <w:r>
        <w:t xml:space="preserve">Sentencia </w:t>
      </w:r>
      <w:hyperlink w:anchor="SENTENCIA_2012_138" w:history="1">
        <w:r w:rsidRPr="0043655B">
          <w:rPr>
            <w:rStyle w:val="TextoNormalCaracter"/>
          </w:rPr>
          <w:t>138/2012</w:t>
        </w:r>
      </w:hyperlink>
      <w:r>
        <w:t xml:space="preserve"> (anula).</w:t>
      </w:r>
    </w:p>
    <w:p w:rsidR="0043655B" w:rsidRDefault="0043655B">
      <w:pPr>
        <w:spacing w:after="160" w:line="259" w:lineRule="auto"/>
        <w:rPr>
          <w:rFonts w:ascii="Times New Roman" w:eastAsia="Times New Roman" w:hAnsi="Times New Roman" w:cs="Times New Roman"/>
          <w:sz w:val="24"/>
          <w:szCs w:val="24"/>
          <w:lang w:eastAsia="es-ES"/>
        </w:rPr>
      </w:pPr>
      <w:r>
        <w:br w:type="page"/>
      </w:r>
    </w:p>
    <w:p w:rsidR="0043655B" w:rsidRDefault="0043655B" w:rsidP="0043655B">
      <w:pPr>
        <w:pStyle w:val="SangriaFrancesaArticulo"/>
      </w:pPr>
      <w:bookmarkStart w:id="298" w:name="DESCRIPTOR1"/>
      <w:bookmarkStart w:id="299" w:name="DESCRIPTOR2"/>
      <w:bookmarkStart w:id="300" w:name="DESCRIPTOR3"/>
      <w:bookmarkStart w:id="301" w:name="DESCRIPTOR4"/>
      <w:bookmarkStart w:id="302" w:name="DESCRIPTOR5"/>
      <w:bookmarkStart w:id="303" w:name="DESCRIPTOR6"/>
      <w:bookmarkStart w:id="304" w:name="DESCRIPTOR7"/>
      <w:bookmarkStart w:id="305" w:name="DESCRIPTOR8"/>
      <w:bookmarkStart w:id="306" w:name="DESCRIPTOR9"/>
      <w:bookmarkStart w:id="307" w:name="DESCRIPTOR10"/>
      <w:bookmarkStart w:id="308" w:name="DESCRIPTOR11"/>
      <w:bookmarkStart w:id="309" w:name="DESCRIPTOR12"/>
      <w:bookmarkStart w:id="310" w:name="DESCRIPTOR13"/>
      <w:bookmarkStart w:id="311" w:name="DESCRIPTOR14"/>
      <w:bookmarkStart w:id="312" w:name="DESCRIPTOR15"/>
      <w:bookmarkStart w:id="313" w:name="DESCRIPTOR16"/>
      <w:bookmarkStart w:id="314" w:name="DESCRIPTOR17"/>
      <w:bookmarkStart w:id="315" w:name="DESCRIPTOR18"/>
      <w:bookmarkStart w:id="316" w:name="DESCRIPTOR19"/>
      <w:bookmarkStart w:id="317" w:name="DESCRIPTOR20"/>
      <w:bookmarkStart w:id="318" w:name="DESCRIPTOR21"/>
      <w:bookmarkStart w:id="319" w:name="DESCRIPTOR22"/>
      <w:bookmarkStart w:id="320" w:name="DESCRIPTOR23"/>
      <w:bookmarkStart w:id="321" w:name="DESCRIPTOR24"/>
      <w:bookmarkStart w:id="322" w:name="DESCRIPTOR25"/>
      <w:bookmarkStart w:id="323" w:name="DESCRIPTOR26"/>
      <w:bookmarkStart w:id="324" w:name="DESCRIPTOR27"/>
      <w:bookmarkStart w:id="325" w:name="DESCRIPTOR28"/>
      <w:bookmarkStart w:id="326" w:name="DESCRIPTOR29"/>
      <w:bookmarkStart w:id="327" w:name="DESCRIPTOR30"/>
      <w:bookmarkStart w:id="328" w:name="DESCRIPTOR31"/>
      <w:bookmarkStart w:id="329" w:name="DESCRIPTOR32"/>
      <w:bookmarkStart w:id="330" w:name="DESCRIPTOR33"/>
      <w:bookmarkStart w:id="331" w:name="DESCRIPTOR34"/>
      <w:bookmarkStart w:id="332" w:name="DESCRIPTOR35"/>
      <w:bookmarkStart w:id="333" w:name="DESCRIPTOR36"/>
      <w:bookmarkStart w:id="334" w:name="DESCRIPTOR37"/>
      <w:bookmarkStart w:id="335" w:name="DESCRIPTOR38"/>
      <w:bookmarkStart w:id="336" w:name="DESCRIPTOR39"/>
      <w:bookmarkStart w:id="337" w:name="DESCRIPTOR40"/>
      <w:bookmarkStart w:id="338" w:name="DESCRIPTOR41"/>
      <w:bookmarkStart w:id="339" w:name="DESCRIPTOR42"/>
      <w:bookmarkStart w:id="340" w:name="DESCRIPTOR43"/>
      <w:bookmarkStart w:id="341" w:name="DESCRIPTOR44"/>
      <w:bookmarkStart w:id="342" w:name="DESCRIPTOR45"/>
      <w:bookmarkStart w:id="343" w:name="DESCRIPTOR46"/>
      <w:bookmarkStart w:id="344" w:name="DESCRIPTOR47"/>
      <w:bookmarkStart w:id="345" w:name="DESCRIPTOR48"/>
      <w:bookmarkStart w:id="346" w:name="DESCRIPTOR49"/>
      <w:bookmarkStart w:id="347" w:name="DESCRIPTOR50"/>
      <w:bookmarkStart w:id="348" w:name="DESCRIPTOR51"/>
      <w:bookmarkStart w:id="349" w:name="DESCRIPTOR52"/>
      <w:bookmarkStart w:id="350" w:name="DESCRIPTOR53"/>
      <w:bookmarkStart w:id="351" w:name="DESCRIPTOR54"/>
      <w:bookmarkStart w:id="352" w:name="DESCRIPTOR55"/>
      <w:bookmarkStart w:id="353" w:name="DESCRIPTOR56"/>
      <w:bookmarkStart w:id="354" w:name="DESCRIPTOR57"/>
      <w:bookmarkStart w:id="355" w:name="DESCRIPTOR58"/>
      <w:bookmarkStart w:id="356" w:name="DESCRIPTOR59"/>
      <w:bookmarkStart w:id="357" w:name="DESCRIPTOR60"/>
      <w:bookmarkStart w:id="358" w:name="DESCRIPTOR61"/>
      <w:bookmarkStart w:id="359" w:name="DESCRIPTOR62"/>
      <w:bookmarkStart w:id="360" w:name="DESCRIPTOR63"/>
      <w:bookmarkStart w:id="361" w:name="DESCRIPTOR64"/>
      <w:bookmarkStart w:id="362" w:name="DESCRIPTOR65"/>
      <w:bookmarkStart w:id="363" w:name="DESCRIPTOR66"/>
      <w:bookmarkStart w:id="364" w:name="DESCRIPTOR67"/>
      <w:bookmarkStart w:id="365" w:name="DESCRIPTOR68"/>
      <w:bookmarkStart w:id="366" w:name="DESCRIPTOR69"/>
      <w:bookmarkStart w:id="367" w:name="DESCRIPTOR70"/>
      <w:bookmarkStart w:id="368" w:name="DESCRIPTOR71"/>
      <w:bookmarkStart w:id="369" w:name="DESCRIPTOR72"/>
      <w:bookmarkStart w:id="370" w:name="DESCRIPTOR73"/>
      <w:bookmarkStart w:id="371" w:name="DESCRIPTOR74"/>
      <w:bookmarkStart w:id="372" w:name="DESCRIPTOR75"/>
      <w:bookmarkStart w:id="373" w:name="DESCRIPTOR76"/>
      <w:bookmarkStart w:id="374" w:name="DESCRIPTOR77"/>
      <w:bookmarkStart w:id="375" w:name="DESCRIPTOR78"/>
      <w:bookmarkStart w:id="376" w:name="DESCRIPTOR79"/>
      <w:bookmarkStart w:id="377" w:name="DESCRIPTOR80"/>
      <w:bookmarkStart w:id="378" w:name="DESCRIPTOR81"/>
      <w:bookmarkStart w:id="379" w:name="DESCRIPTOR82"/>
      <w:bookmarkStart w:id="380" w:name="DESCRIPTOR83"/>
      <w:bookmarkStart w:id="381" w:name="DESCRIPTOR84"/>
      <w:bookmarkStart w:id="382" w:name="DESCRIPTOR85"/>
      <w:bookmarkStart w:id="383" w:name="DESCRIPTOR86"/>
      <w:bookmarkStart w:id="384" w:name="DESCRIPTOR87"/>
      <w:bookmarkStart w:id="385" w:name="DESCRIPTOR88"/>
      <w:bookmarkStart w:id="386" w:name="DESCRIPTOR89"/>
      <w:bookmarkStart w:id="387" w:name="DESCRIPTOR90"/>
      <w:bookmarkStart w:id="388" w:name="DESCRIPTOR91"/>
      <w:bookmarkStart w:id="389" w:name="DESCRIPTOR92"/>
      <w:bookmarkStart w:id="390" w:name="DESCRIPTOR93"/>
      <w:bookmarkStart w:id="391" w:name="DESCRIPTOR94"/>
      <w:bookmarkStart w:id="392" w:name="DESCRIPTOR95"/>
      <w:bookmarkStart w:id="393" w:name="DESCRIPTOR96"/>
      <w:bookmarkStart w:id="394" w:name="DESCRIPTOR97"/>
      <w:bookmarkStart w:id="395" w:name="DESCRIPTOR98"/>
      <w:bookmarkStart w:id="396" w:name="DESCRIPTOR99"/>
      <w:bookmarkStart w:id="397" w:name="DESCRIPTOR100"/>
      <w:bookmarkStart w:id="398" w:name="DESCRIPTOR101"/>
      <w:bookmarkStart w:id="399" w:name="DESCRIPTOR102"/>
      <w:bookmarkStart w:id="400" w:name="DESCRIPTOR103"/>
      <w:bookmarkStart w:id="401" w:name="DESCRIPTOR104"/>
      <w:bookmarkStart w:id="402" w:name="DESCRIPTOR105"/>
      <w:bookmarkStart w:id="403" w:name="DESCRIPTOR106"/>
      <w:bookmarkStart w:id="404" w:name="DESCRIPTOR107"/>
      <w:bookmarkStart w:id="405" w:name="DESCRIPTOR108"/>
      <w:bookmarkStart w:id="406" w:name="DESCRIPTOR109"/>
      <w:bookmarkStart w:id="407" w:name="DESCRIPTOR110"/>
      <w:bookmarkStart w:id="408" w:name="DESCRIPTOR111"/>
      <w:bookmarkStart w:id="409" w:name="DESCRIPTOR112"/>
      <w:bookmarkStart w:id="410" w:name="DESCRIPTOR113"/>
      <w:bookmarkStart w:id="411" w:name="DESCRIPTOR114"/>
      <w:bookmarkStart w:id="412" w:name="DESCRIPTOR115"/>
      <w:bookmarkStart w:id="413" w:name="DESCRIPTOR116"/>
      <w:bookmarkStart w:id="414" w:name="DESCRIPTOR117"/>
      <w:bookmarkStart w:id="415" w:name="DESCRIPTOR118"/>
      <w:bookmarkStart w:id="416" w:name="DESCRIPTOR119"/>
      <w:bookmarkStart w:id="417" w:name="DESCRIPTOR120"/>
      <w:bookmarkStart w:id="418" w:name="DESCRIPTOR121"/>
      <w:bookmarkStart w:id="419" w:name="DESCRIPTOR122"/>
      <w:bookmarkStart w:id="420" w:name="DESCRIPTOR123"/>
      <w:bookmarkStart w:id="421" w:name="DESCRIPTOR124"/>
      <w:bookmarkStart w:id="422" w:name="DESCRIPTOR125"/>
      <w:bookmarkStart w:id="423" w:name="DESCRIPTOR126"/>
      <w:bookmarkStart w:id="424" w:name="DESCRIPTOR127"/>
      <w:bookmarkStart w:id="425" w:name="DESCRIPTOR128"/>
      <w:bookmarkStart w:id="426" w:name="DESCRIPTOR129"/>
      <w:bookmarkStart w:id="427" w:name="DESCRIPTOR130"/>
      <w:bookmarkStart w:id="428" w:name="DESCRIPTOR131"/>
      <w:bookmarkStart w:id="429" w:name="DESCRIPTOR132"/>
      <w:bookmarkStart w:id="430" w:name="DESCRIPTOR133"/>
      <w:bookmarkStart w:id="431" w:name="DESCRIPTOR134"/>
      <w:bookmarkStart w:id="432" w:name="DESCRIPTOR135"/>
      <w:bookmarkStart w:id="433" w:name="DESCRIPTOR136"/>
      <w:bookmarkStart w:id="434" w:name="DESCRIPTOR137"/>
      <w:bookmarkStart w:id="435" w:name="DESCRIPTOR138"/>
      <w:bookmarkStart w:id="436" w:name="DESCRIPTOR139"/>
      <w:bookmarkStart w:id="437" w:name="DESCRIPTOR140"/>
      <w:bookmarkStart w:id="438" w:name="DESCRIPTOR141"/>
      <w:bookmarkStart w:id="439" w:name="DESCRIPTOR142"/>
      <w:bookmarkStart w:id="440" w:name="DESCRIPTOR143"/>
      <w:bookmarkStart w:id="441" w:name="DESCRIPTOR144"/>
      <w:bookmarkStart w:id="442" w:name="DESCRIPTOR145"/>
      <w:bookmarkStart w:id="443" w:name="DESCRIPTOR146"/>
      <w:bookmarkStart w:id="444" w:name="DESCRIPTOR147"/>
      <w:bookmarkStart w:id="445" w:name="DESCRIPTOR148"/>
      <w:bookmarkStart w:id="446" w:name="DESCRIPTOR149"/>
      <w:bookmarkStart w:id="447" w:name="DESCRIPTOR150"/>
      <w:bookmarkStart w:id="448" w:name="DESCRIPTOR151"/>
      <w:bookmarkStart w:id="449" w:name="DESCRIPTOR152"/>
      <w:bookmarkStart w:id="450" w:name="DESCRIPTOR153"/>
      <w:bookmarkStart w:id="451" w:name="DESCRIPTOR154"/>
      <w:bookmarkStart w:id="452" w:name="DESCRIPTOR155"/>
      <w:bookmarkStart w:id="453" w:name="DESCRIPTOR156"/>
      <w:bookmarkStart w:id="454" w:name="DESCRIPTOR157"/>
      <w:bookmarkStart w:id="455" w:name="DESCRIPTOR158"/>
      <w:bookmarkStart w:id="456" w:name="DESCRIPTOR159"/>
      <w:bookmarkStart w:id="457" w:name="DESCRIPTOR160"/>
      <w:bookmarkStart w:id="458" w:name="DESCRIPTOR161"/>
      <w:bookmarkStart w:id="459" w:name="DESCRIPTOR162"/>
      <w:bookmarkStart w:id="460" w:name="DESCRIPTOR163"/>
      <w:bookmarkStart w:id="461" w:name="DESCRIPTOR164"/>
      <w:bookmarkStart w:id="462" w:name="DESCRIPTOR165"/>
      <w:bookmarkStart w:id="463" w:name="DESCRIPTOR166"/>
      <w:bookmarkStart w:id="464" w:name="DESCRIPTOR167"/>
      <w:bookmarkStart w:id="465" w:name="DESCRIPTOR168"/>
      <w:bookmarkStart w:id="466" w:name="DESCRIPTOR169"/>
      <w:bookmarkStart w:id="467" w:name="DESCRIPTOR170"/>
      <w:bookmarkStart w:id="468" w:name="DESCRIPTOR171"/>
      <w:bookmarkStart w:id="469" w:name="DESCRIPTOR172"/>
      <w:bookmarkStart w:id="470" w:name="DESCRIPTOR173"/>
      <w:bookmarkStart w:id="471" w:name="DESCRIPTOR174"/>
      <w:bookmarkStart w:id="472" w:name="DESCRIPTOR175"/>
      <w:bookmarkStart w:id="473" w:name="DESCRIPTOR176"/>
      <w:bookmarkStart w:id="474" w:name="DESCRIPTOR177"/>
      <w:bookmarkStart w:id="475" w:name="DESCRIPTOR178"/>
      <w:bookmarkStart w:id="476" w:name="DESCRIPTOR179"/>
      <w:bookmarkStart w:id="477" w:name="DESCRIPTOR180"/>
      <w:bookmarkStart w:id="478" w:name="DESCRIPTOR181"/>
      <w:bookmarkStart w:id="479" w:name="DESCRIPTOR182"/>
      <w:bookmarkStart w:id="480" w:name="DESCRIPTOR183"/>
      <w:bookmarkStart w:id="481" w:name="DESCRIPTOR184"/>
      <w:bookmarkStart w:id="482" w:name="DESCRIPTOR185"/>
      <w:bookmarkStart w:id="483" w:name="DESCRIPTOR186"/>
      <w:bookmarkStart w:id="484" w:name="DESCRIPTOR187"/>
      <w:bookmarkStart w:id="485" w:name="DESCRIPTOR188"/>
      <w:bookmarkStart w:id="486" w:name="DESCRIPTOR189"/>
      <w:bookmarkStart w:id="487" w:name="DESCRIPTOR190"/>
      <w:bookmarkStart w:id="488" w:name="DESCRIPTOR191"/>
      <w:bookmarkStart w:id="489" w:name="DESCRIPTOR192"/>
      <w:bookmarkStart w:id="490" w:name="DESCRIPTOR193"/>
      <w:bookmarkStart w:id="491" w:name="DESCRIPTOR194"/>
      <w:bookmarkStart w:id="492" w:name="DESCRIPTOR195"/>
      <w:bookmarkStart w:id="493" w:name="DESCRIPTOR196"/>
      <w:bookmarkStart w:id="494" w:name="DESCRIPTOR197"/>
      <w:bookmarkStart w:id="495" w:name="DESCRIPTOR198"/>
      <w:bookmarkStart w:id="496" w:name="DESCRIPTOR199"/>
      <w:bookmarkStart w:id="497" w:name="DESCRIPTOR200"/>
      <w:bookmarkStart w:id="498" w:name="DESCRIPTOR201"/>
      <w:bookmarkStart w:id="499" w:name="DESCRIPTOR202"/>
      <w:bookmarkStart w:id="500" w:name="DESCRIPTOR203"/>
      <w:bookmarkStart w:id="501" w:name="DESCRIPTOR204"/>
      <w:bookmarkStart w:id="502" w:name="DESCRIPTOR205"/>
      <w:bookmarkStart w:id="503" w:name="DESCRIPTOR206"/>
      <w:bookmarkStart w:id="504" w:name="DESCRIPTOR207"/>
      <w:bookmarkStart w:id="505" w:name="DESCRIPTOR208"/>
      <w:bookmarkStart w:id="506" w:name="DESCRIPTOR209"/>
      <w:bookmarkStart w:id="507" w:name="DESCRIPTOR210"/>
      <w:bookmarkStart w:id="508" w:name="DESCRIPTOR211"/>
      <w:bookmarkStart w:id="509" w:name="DESCRIPTOR212"/>
      <w:bookmarkStart w:id="510" w:name="DESCRIPTOR213"/>
      <w:bookmarkStart w:id="511" w:name="DESCRIPTOR214"/>
      <w:bookmarkStart w:id="512" w:name="DESCRIPTOR215"/>
      <w:bookmarkStart w:id="513" w:name="DESCRIPTOR216"/>
      <w:bookmarkStart w:id="514" w:name="DESCRIPTOR217"/>
      <w:bookmarkStart w:id="515" w:name="DESCRIPTOR218"/>
      <w:bookmarkStart w:id="516" w:name="DESCRIPTOR219"/>
      <w:bookmarkStart w:id="517" w:name="DESCRIPTOR220"/>
      <w:bookmarkStart w:id="518" w:name="DESCRIPTOR221"/>
      <w:bookmarkStart w:id="519" w:name="DESCRIPTOR222"/>
      <w:bookmarkStart w:id="520" w:name="DESCRIPTOR223"/>
      <w:bookmarkStart w:id="521" w:name="DESCRIPTOR224"/>
      <w:bookmarkStart w:id="522" w:name="DESCRIPTOR225"/>
      <w:bookmarkStart w:id="523" w:name="DESCRIPTOR226"/>
      <w:bookmarkStart w:id="524" w:name="DESCRIPTOR227"/>
      <w:bookmarkStart w:id="525" w:name="DESCRIPTOR228"/>
      <w:bookmarkStart w:id="526" w:name="DESCRIPTOR229"/>
      <w:bookmarkStart w:id="527" w:name="DESCRIPTOR230"/>
      <w:bookmarkStart w:id="528" w:name="DESCRIPTOR231"/>
      <w:bookmarkStart w:id="529" w:name="DESCRIPTOR232"/>
      <w:bookmarkStart w:id="530" w:name="DESCRIPTOR233"/>
      <w:bookmarkStart w:id="531" w:name="DESCRIPTOR234"/>
      <w:bookmarkStart w:id="532" w:name="DESCRIPTOR235"/>
      <w:bookmarkStart w:id="533" w:name="DESCRIPTOR236"/>
      <w:bookmarkStart w:id="534" w:name="DESCRIPTOR237"/>
      <w:bookmarkStart w:id="535" w:name="DESCRIPTOR238"/>
      <w:bookmarkStart w:id="536" w:name="DESCRIPTOR239"/>
      <w:bookmarkStart w:id="537" w:name="DESCRIPTOR240"/>
      <w:bookmarkStart w:id="538" w:name="DESCRIPTOR241"/>
      <w:bookmarkStart w:id="539" w:name="DESCRIPTOR242"/>
      <w:bookmarkStart w:id="540" w:name="DESCRIPTOR243"/>
      <w:bookmarkStart w:id="541" w:name="DESCRIPTOR244"/>
      <w:bookmarkStart w:id="542" w:name="DESCRIPTOR245"/>
      <w:bookmarkStart w:id="543" w:name="DESCRIPTOR246"/>
      <w:bookmarkStart w:id="544" w:name="DESCRIPTOR247"/>
      <w:bookmarkStart w:id="545" w:name="DESCRIPTOR248"/>
      <w:bookmarkStart w:id="546" w:name="DESCRIPTOR249"/>
      <w:bookmarkStart w:id="547" w:name="DESCRIPTOR250"/>
      <w:bookmarkStart w:id="548" w:name="DESCRIPTOR251"/>
      <w:bookmarkStart w:id="549" w:name="DESCRIPTOR252"/>
      <w:bookmarkStart w:id="550" w:name="DESCRIPTOR253"/>
      <w:bookmarkStart w:id="551" w:name="DESCRIPTOR254"/>
      <w:bookmarkStart w:id="552" w:name="DESCRIPTOR255"/>
      <w:bookmarkStart w:id="553" w:name="DESCRIPTOR256"/>
      <w:bookmarkStart w:id="554" w:name="DESCRIPTOR257"/>
      <w:bookmarkStart w:id="555" w:name="DESCRIPTOR258"/>
      <w:bookmarkStart w:id="556" w:name="DESCRIPTOR259"/>
      <w:bookmarkStart w:id="557" w:name="DESCRIPTOR260"/>
      <w:bookmarkStart w:id="558" w:name="DESCRIPTOR261"/>
      <w:bookmarkStart w:id="559" w:name="DESCRIPTOR262"/>
      <w:bookmarkStart w:id="560" w:name="DESCRIPTOR263"/>
      <w:bookmarkStart w:id="561" w:name="DESCRIPTOR264"/>
      <w:bookmarkStart w:id="562" w:name="DESCRIPTOR265"/>
      <w:bookmarkStart w:id="563" w:name="DESCRIPTOR266"/>
      <w:bookmarkStart w:id="564" w:name="DESCRIPTOR267"/>
      <w:bookmarkStart w:id="565" w:name="DESCRIPTOR268"/>
      <w:bookmarkStart w:id="566" w:name="DESCRIPTOR269"/>
      <w:bookmarkStart w:id="567" w:name="DESCRIPTOR270"/>
      <w:bookmarkStart w:id="568" w:name="DESCRIPTOR271"/>
      <w:bookmarkStart w:id="569" w:name="DESCRIPTOR272"/>
      <w:bookmarkStart w:id="570" w:name="DESCRIPTOR273"/>
      <w:bookmarkStart w:id="571" w:name="DESCRIPTOR274"/>
      <w:bookmarkStart w:id="572" w:name="DESCRIPTOR275"/>
      <w:bookmarkStart w:id="573" w:name="DESCRIPTOR276"/>
      <w:bookmarkStart w:id="574" w:name="DESCRIPTOR277"/>
      <w:bookmarkStart w:id="575" w:name="DESCRIPTOR278"/>
      <w:bookmarkStart w:id="576" w:name="DESCRIPTOR279"/>
      <w:bookmarkStart w:id="577" w:name="DESCRIPTOR280"/>
      <w:bookmarkStart w:id="578" w:name="DESCRIPTOR281"/>
      <w:bookmarkStart w:id="579" w:name="DESCRIPTOR282"/>
      <w:bookmarkStart w:id="580" w:name="DESCRIPTOR283"/>
      <w:bookmarkStart w:id="581" w:name="DESCRIPTOR284"/>
      <w:bookmarkStart w:id="582" w:name="DESCRIPTOR285"/>
      <w:bookmarkStart w:id="583" w:name="DESCRIPTOR286"/>
      <w:bookmarkStart w:id="584" w:name="DESCRIPTOR287"/>
      <w:bookmarkStart w:id="585" w:name="DESCRIPTOR288"/>
      <w:bookmarkStart w:id="586" w:name="DESCRIPTOR289"/>
      <w:bookmarkStart w:id="587" w:name="DESCRIPTOR290"/>
      <w:bookmarkStart w:id="588" w:name="DESCRIPTOR291"/>
      <w:bookmarkStart w:id="589" w:name="DESCRIPTOR292"/>
      <w:bookmarkStart w:id="590" w:name="DESCRIPTOR293"/>
      <w:bookmarkStart w:id="591" w:name="DESCRIPTOR294"/>
      <w:bookmarkStart w:id="592" w:name="DESCRIPTOR295"/>
      <w:bookmarkStart w:id="593" w:name="DESCRIPTOR296"/>
      <w:bookmarkStart w:id="594" w:name="DESCRIPTOR297"/>
      <w:bookmarkStart w:id="595" w:name="DESCRIPTOR298"/>
      <w:bookmarkStart w:id="596" w:name="DESCRIPTOR299"/>
      <w:bookmarkStart w:id="597" w:name="DESCRIPTOR300"/>
      <w:bookmarkStart w:id="598" w:name="DESCRIPTOR301"/>
      <w:bookmarkStart w:id="599" w:name="DESCRIPTOR302"/>
      <w:bookmarkStart w:id="600" w:name="DESCRIPTOR303"/>
      <w:bookmarkStart w:id="601" w:name="DESCRIPTOR304"/>
      <w:bookmarkStart w:id="602" w:name="DESCRIPTOR305"/>
      <w:bookmarkStart w:id="603" w:name="DESCRIPTOR306"/>
      <w:bookmarkStart w:id="604" w:name="DESCRIPTOR307"/>
      <w:bookmarkStart w:id="605" w:name="DESCRIPTOR308"/>
      <w:bookmarkStart w:id="606" w:name="DESCRIPTOR309"/>
      <w:bookmarkStart w:id="607" w:name="DESCRIPTOR310"/>
      <w:bookmarkStart w:id="608" w:name="DESCRIPTOR311"/>
      <w:bookmarkStart w:id="609" w:name="DESCRIPTOR312"/>
      <w:bookmarkStart w:id="610" w:name="DESCRIPTOR313"/>
      <w:bookmarkStart w:id="611" w:name="DESCRIPTOR314"/>
      <w:bookmarkStart w:id="612" w:name="DESCRIPTOR315"/>
      <w:bookmarkStart w:id="613" w:name="DESCRIPTOR316"/>
      <w:bookmarkStart w:id="614" w:name="DESCRIPTOR317"/>
      <w:bookmarkStart w:id="615" w:name="DESCRIPTOR318"/>
      <w:bookmarkStart w:id="616" w:name="DESCRIPTOR319"/>
      <w:bookmarkStart w:id="617" w:name="DESCRIPTOR320"/>
      <w:bookmarkStart w:id="618" w:name="DESCRIPTOR321"/>
      <w:bookmarkStart w:id="619" w:name="DESCRIPTOR322"/>
      <w:bookmarkStart w:id="620" w:name="DESCRIPTOR323"/>
      <w:bookmarkStart w:id="621" w:name="DESCRIPTOR324"/>
      <w:bookmarkStart w:id="622" w:name="DESCRIPTOR325"/>
      <w:bookmarkStart w:id="623" w:name="DESCRIPTOR326"/>
      <w:bookmarkStart w:id="624" w:name="DESCRIPTOR327"/>
      <w:bookmarkStart w:id="625" w:name="DESCRIPTOR328"/>
      <w:bookmarkStart w:id="626" w:name="DESCRIPTOR329"/>
      <w:bookmarkStart w:id="627" w:name="DESCRIPTOR330"/>
      <w:bookmarkStart w:id="628" w:name="DESCRIPTOR331"/>
      <w:bookmarkStart w:id="629" w:name="DESCRIPTOR332"/>
      <w:bookmarkStart w:id="630" w:name="DESCRIPTOR333"/>
      <w:bookmarkStart w:id="631" w:name="DESCRIPTOR334"/>
      <w:bookmarkStart w:id="632" w:name="DESCRIPTOR335"/>
      <w:bookmarkStart w:id="633" w:name="DESCRIPTOR336"/>
      <w:bookmarkStart w:id="634" w:name="DESCRIPTOR337"/>
      <w:bookmarkStart w:id="635" w:name="DESCRIPTOR338"/>
      <w:bookmarkStart w:id="636" w:name="DESCRIPTOR339"/>
      <w:bookmarkStart w:id="637" w:name="DESCRIPTOR340"/>
      <w:bookmarkStart w:id="638" w:name="DESCRIPTOR341"/>
      <w:bookmarkStart w:id="639" w:name="DESCRIPTOR342"/>
      <w:bookmarkStart w:id="640" w:name="DESCRIPTOR343"/>
      <w:bookmarkStart w:id="641" w:name="DESCRIPTOR344"/>
      <w:bookmarkStart w:id="642" w:name="DESCRIPTOR345"/>
      <w:bookmarkStart w:id="643" w:name="DESCRIPTOR346"/>
      <w:bookmarkStart w:id="644" w:name="DESCRIPTOR347"/>
      <w:bookmarkStart w:id="645" w:name="DESCRIPTOR348"/>
      <w:bookmarkStart w:id="646" w:name="DESCRIPTOR349"/>
      <w:bookmarkStart w:id="647" w:name="DESCRIPTOR350"/>
      <w:bookmarkStart w:id="648" w:name="DESCRIPTOR351"/>
      <w:bookmarkStart w:id="649" w:name="DESCRIPTOR352"/>
      <w:bookmarkStart w:id="650" w:name="DESCRIPTOR353"/>
      <w:bookmarkStart w:id="651" w:name="DESCRIPTOR354"/>
      <w:bookmarkStart w:id="652" w:name="DESCRIPTOR355"/>
      <w:bookmarkStart w:id="653" w:name="DESCRIPTOR356"/>
      <w:bookmarkStart w:id="654" w:name="DESCRIPTOR357"/>
      <w:bookmarkStart w:id="655" w:name="DESCRIPTOR358"/>
      <w:bookmarkStart w:id="656" w:name="DESCRIPTOR359"/>
      <w:bookmarkStart w:id="657" w:name="DESCRIPTOR360"/>
      <w:bookmarkStart w:id="658" w:name="DESCRIPTOR361"/>
      <w:bookmarkStart w:id="659" w:name="DESCRIPTOR362"/>
      <w:bookmarkStart w:id="660" w:name="DESCRIPTOR363"/>
      <w:bookmarkStart w:id="661" w:name="DESCRIPTOR364"/>
      <w:bookmarkStart w:id="662" w:name="DESCRIPTOR365"/>
      <w:bookmarkStart w:id="663" w:name="DESCRIPTOR366"/>
      <w:bookmarkStart w:id="664" w:name="DESCRIPTOR367"/>
      <w:bookmarkStart w:id="665" w:name="DESCRIPTOR368"/>
      <w:bookmarkStart w:id="666" w:name="DESCRIPTOR369"/>
      <w:bookmarkStart w:id="667" w:name="DESCRIPTOR370"/>
      <w:bookmarkStart w:id="668" w:name="DESCRIPTOR371"/>
      <w:bookmarkStart w:id="669" w:name="DESCRIPTOR372"/>
      <w:bookmarkStart w:id="670" w:name="DESCRIPTOR373"/>
      <w:bookmarkStart w:id="671" w:name="DESCRIPTOR374"/>
      <w:bookmarkStart w:id="672" w:name="DESCRIPTOR375"/>
      <w:bookmarkStart w:id="673" w:name="DESCRIPTOR376"/>
      <w:bookmarkStart w:id="674" w:name="DESCRIPTOR377"/>
      <w:bookmarkStart w:id="675" w:name="DESCRIPTOR378"/>
      <w:bookmarkStart w:id="676" w:name="DESCRIPTOR379"/>
      <w:bookmarkStart w:id="677" w:name="DESCRIPTOR380"/>
      <w:bookmarkStart w:id="678" w:name="DESCRIPTOR381"/>
      <w:bookmarkStart w:id="679" w:name="DESCRIPTOR382"/>
      <w:bookmarkStart w:id="680" w:name="DESCRIPTOR383"/>
      <w:bookmarkStart w:id="681" w:name="DESCRIPTOR384"/>
      <w:bookmarkStart w:id="682" w:name="DESCRIPTOR385"/>
      <w:bookmarkStart w:id="683" w:name="DESCRIPTOR386"/>
      <w:bookmarkStart w:id="684" w:name="DESCRIPTOR387"/>
      <w:bookmarkStart w:id="685" w:name="DESCRIPTOR388"/>
      <w:bookmarkStart w:id="686" w:name="DESCRIPTOR389"/>
      <w:bookmarkStart w:id="687" w:name="DESCRIPTOR390"/>
      <w:bookmarkStart w:id="688" w:name="DESCRIPTOR391"/>
      <w:bookmarkStart w:id="689" w:name="DESCRIPTOR392"/>
      <w:bookmarkStart w:id="690" w:name="DESCRIPTOR393"/>
      <w:bookmarkStart w:id="691" w:name="DESCRIPTOR394"/>
      <w:bookmarkStart w:id="692" w:name="DESCRIPTOR395"/>
      <w:bookmarkStart w:id="693" w:name="DESCRIPTOR396"/>
      <w:bookmarkStart w:id="694" w:name="DESCRIPTOR397"/>
      <w:bookmarkStart w:id="695" w:name="DESCRIPTOR398"/>
      <w:bookmarkStart w:id="696" w:name="DESCRIPTOR399"/>
      <w:bookmarkStart w:id="697" w:name="DESCRIPTOR400"/>
      <w:bookmarkStart w:id="698" w:name="DESCRIPTOR401"/>
      <w:bookmarkStart w:id="699" w:name="DESCRIPTOR402"/>
      <w:bookmarkStart w:id="700" w:name="DESCRIPTOR403"/>
      <w:bookmarkStart w:id="701" w:name="DESCRIPTOR404"/>
      <w:bookmarkStart w:id="702" w:name="DESCRIPTOR405"/>
      <w:bookmarkStart w:id="703" w:name="DESCRIPTOR406"/>
      <w:bookmarkStart w:id="704" w:name="DESCRIPTOR407"/>
      <w:bookmarkStart w:id="705" w:name="DESCRIPTOR408"/>
      <w:bookmarkStart w:id="706" w:name="DESCRIPTOR409"/>
      <w:bookmarkStart w:id="707" w:name="DESCRIPTOR410"/>
      <w:bookmarkStart w:id="708" w:name="DESCRIPTOR411"/>
      <w:bookmarkStart w:id="709" w:name="DESCRIPTOR412"/>
      <w:bookmarkStart w:id="710" w:name="DESCRIPTOR413"/>
      <w:bookmarkStart w:id="711" w:name="DESCRIPTOR414"/>
      <w:bookmarkStart w:id="712" w:name="DESCRIPTOR415"/>
      <w:bookmarkStart w:id="713" w:name="DESCRIPTOR416"/>
      <w:bookmarkStart w:id="714" w:name="DESCRIPTOR417"/>
      <w:bookmarkStart w:id="715" w:name="DESCRIPTOR418"/>
      <w:bookmarkStart w:id="716" w:name="DESCRIPTOR419"/>
      <w:bookmarkStart w:id="717" w:name="DESCRIPTOR420"/>
      <w:bookmarkStart w:id="718" w:name="DESCRIPTOR421"/>
      <w:bookmarkStart w:id="719" w:name="DESCRIPTOR422"/>
      <w:bookmarkStart w:id="720" w:name="DESCRIPTOR423"/>
      <w:bookmarkStart w:id="721" w:name="DESCRIPTOR424"/>
      <w:bookmarkStart w:id="722" w:name="DESCRIPTOR425"/>
      <w:bookmarkStart w:id="723" w:name="DESCRIPTOR426"/>
      <w:bookmarkStart w:id="724" w:name="DESCRIPTOR427"/>
      <w:bookmarkStart w:id="725" w:name="DESCRIPTOR428"/>
      <w:bookmarkStart w:id="726" w:name="DESCRIPTOR429"/>
      <w:bookmarkStart w:id="727" w:name="DESCRIPTOR430"/>
      <w:bookmarkStart w:id="728" w:name="DESCRIPTOR431"/>
      <w:bookmarkStart w:id="729" w:name="DESCRIPTOR432"/>
      <w:bookmarkStart w:id="730" w:name="DESCRIPTOR433"/>
      <w:bookmarkStart w:id="731" w:name="DESCRIPTOR434"/>
      <w:bookmarkStart w:id="732" w:name="DESCRIPTOR435"/>
      <w:bookmarkStart w:id="733" w:name="DESCRIPTOR436"/>
      <w:bookmarkStart w:id="734" w:name="DESCRIPTOR437"/>
      <w:bookmarkStart w:id="735" w:name="DESCRIPTOR438"/>
      <w:bookmarkStart w:id="736" w:name="DESCRIPTOR439"/>
      <w:bookmarkStart w:id="737" w:name="DESCRIPTOR440"/>
      <w:bookmarkStart w:id="738" w:name="DESCRIPTOR441"/>
      <w:bookmarkStart w:id="739" w:name="DESCRIPTOR442"/>
      <w:bookmarkStart w:id="740" w:name="DESCRIPTOR443"/>
      <w:bookmarkStart w:id="741" w:name="DESCRIPTOR444"/>
      <w:bookmarkStart w:id="742" w:name="DESCRIPTOR445"/>
      <w:bookmarkStart w:id="743" w:name="DESCRIPTOR446"/>
      <w:bookmarkStart w:id="744" w:name="DESCRIPTOR447"/>
      <w:bookmarkStart w:id="745" w:name="DESCRIPTOR448"/>
      <w:bookmarkStart w:id="746" w:name="DESCRIPTOR449"/>
      <w:bookmarkStart w:id="747" w:name="DESCRIPTOR450"/>
      <w:bookmarkStart w:id="748" w:name="DESCRIPTOR451"/>
      <w:bookmarkStart w:id="749" w:name="DESCRIPTOR452"/>
      <w:bookmarkStart w:id="750" w:name="DESCRIPTOR453"/>
      <w:bookmarkStart w:id="751" w:name="DESCRIPTOR454"/>
      <w:bookmarkStart w:id="752" w:name="DESCRIPTOR455"/>
      <w:bookmarkStart w:id="753" w:name="DESCRIPTOR456"/>
      <w:bookmarkStart w:id="754" w:name="DESCRIPTOR457"/>
      <w:bookmarkStart w:id="755" w:name="DESCRIPTOR458"/>
      <w:bookmarkStart w:id="756" w:name="DESCRIPTOR459"/>
      <w:bookmarkStart w:id="757" w:name="DESCRIPTOR460"/>
      <w:bookmarkStart w:id="758" w:name="DESCRIPTOR461"/>
      <w:bookmarkStart w:id="759" w:name="DESCRIPTOR462"/>
      <w:bookmarkStart w:id="760" w:name="DESCRIPTOR463"/>
      <w:bookmarkStart w:id="761" w:name="DESCRIPTOR464"/>
      <w:bookmarkStart w:id="762" w:name="DESCRIPTOR465"/>
      <w:bookmarkStart w:id="763" w:name="DESCRIPTOR466"/>
      <w:bookmarkStart w:id="764" w:name="DESCRIPTOR467"/>
      <w:bookmarkStart w:id="765" w:name="DESCRIPTOR468"/>
      <w:bookmarkStart w:id="766" w:name="DESCRIPTOR469"/>
      <w:bookmarkStart w:id="767" w:name="DESCRIPTOR470"/>
      <w:bookmarkStart w:id="768" w:name="DESCRIPTOR471"/>
      <w:bookmarkStart w:id="769" w:name="DESCRIPTOR472"/>
      <w:bookmarkStart w:id="770" w:name="DESCRIPTOR473"/>
      <w:bookmarkStart w:id="771" w:name="DESCRIPTOR474"/>
      <w:bookmarkStart w:id="772" w:name="DESCRIPTOR475"/>
      <w:bookmarkStart w:id="773" w:name="DESCRIPTOR476"/>
      <w:bookmarkStart w:id="774" w:name="DESCRIPTOR477"/>
      <w:bookmarkStart w:id="775" w:name="DESCRIPTOR478"/>
      <w:bookmarkStart w:id="776" w:name="DESCRIPTOR479"/>
      <w:bookmarkStart w:id="777" w:name="DESCRIPTOR480"/>
      <w:bookmarkStart w:id="778" w:name="DESCRIPTOR481"/>
      <w:bookmarkStart w:id="779" w:name="DESCRIPTOR482"/>
      <w:bookmarkStart w:id="780" w:name="DESCRIPTOR483"/>
      <w:bookmarkStart w:id="781" w:name="DESCRIPTOR484"/>
      <w:bookmarkStart w:id="782" w:name="DESCRIPTOR485"/>
      <w:bookmarkStart w:id="783" w:name="DESCRIPTOR486"/>
      <w:bookmarkStart w:id="784" w:name="DESCRIPTOR487"/>
      <w:bookmarkStart w:id="785" w:name="DESCRIPTOR488"/>
      <w:bookmarkStart w:id="786" w:name="DESCRIPTOR489"/>
      <w:bookmarkStart w:id="787" w:name="DESCRIPTOR490"/>
      <w:bookmarkStart w:id="788" w:name="DESCRIPTOR491"/>
      <w:bookmarkStart w:id="789" w:name="DESCRIPTOR492"/>
      <w:bookmarkStart w:id="790" w:name="DESCRIPTOR493"/>
      <w:bookmarkStart w:id="791" w:name="DESCRIPTOR494"/>
      <w:bookmarkStart w:id="792" w:name="DESCRIPTOR495"/>
      <w:bookmarkStart w:id="793" w:name="DESCRIPTOR496"/>
      <w:bookmarkStart w:id="794" w:name="DESCRIPTOR497"/>
      <w:bookmarkStart w:id="795" w:name="DESCRIPTOR498"/>
      <w:bookmarkStart w:id="796" w:name="DESCRIPTOR499"/>
      <w:bookmarkStart w:id="797" w:name="DESCRIPTOR500"/>
      <w:bookmarkStart w:id="798" w:name="DESCRIPTOR501"/>
      <w:bookmarkStart w:id="799" w:name="DESCRIPTOR502"/>
      <w:bookmarkStart w:id="800" w:name="DESCRIPTOR503"/>
      <w:bookmarkStart w:id="801" w:name="DESCRIPTOR504"/>
      <w:bookmarkStart w:id="802" w:name="DESCRIPTOR505"/>
      <w:bookmarkStart w:id="803" w:name="DESCRIPTOR506"/>
      <w:bookmarkStart w:id="804" w:name="DESCRIPTOR507"/>
      <w:bookmarkStart w:id="805" w:name="DESCRIPTOR508"/>
      <w:bookmarkStart w:id="806" w:name="DESCRIPTOR509"/>
      <w:bookmarkStart w:id="807" w:name="DESCRIPTOR510"/>
      <w:bookmarkStart w:id="808" w:name="DESCRIPTOR511"/>
      <w:bookmarkStart w:id="809" w:name="DESCRIPTOR512"/>
      <w:bookmarkStart w:id="810" w:name="DESCRIPTOR513"/>
      <w:bookmarkStart w:id="811" w:name="DESCRIPTOR514"/>
      <w:bookmarkStart w:id="812" w:name="DESCRIPTOR515"/>
      <w:bookmarkStart w:id="813" w:name="DESCRIPTOR516"/>
      <w:bookmarkStart w:id="814" w:name="DESCRIPTOR517"/>
      <w:bookmarkStart w:id="815" w:name="DESCRIPTOR518"/>
      <w:bookmarkStart w:id="816" w:name="DESCRIPTOR519"/>
      <w:bookmarkStart w:id="817" w:name="DESCRIPTOR520"/>
      <w:bookmarkStart w:id="818" w:name="DESCRIPTOR521"/>
      <w:bookmarkStart w:id="819" w:name="DESCRIPTOR522"/>
      <w:bookmarkStart w:id="820" w:name="DESCRIPTOR523"/>
      <w:bookmarkStart w:id="821" w:name="DESCRIPTOR524"/>
      <w:bookmarkStart w:id="822" w:name="DESCRIPTOR525"/>
      <w:bookmarkStart w:id="823" w:name="DESCRIPTOR526"/>
      <w:bookmarkStart w:id="824" w:name="DESCRIPTOR527"/>
      <w:bookmarkStart w:id="825" w:name="DESCRIPTOR528"/>
      <w:bookmarkStart w:id="826" w:name="DESCRIPTOR529"/>
      <w:bookmarkStart w:id="827" w:name="DESCRIPTOR530"/>
      <w:bookmarkStart w:id="828" w:name="DESCRIPTOR531"/>
      <w:bookmarkStart w:id="829" w:name="DESCRIPTOR532"/>
      <w:bookmarkStart w:id="830" w:name="DESCRIPTOR533"/>
      <w:bookmarkStart w:id="831" w:name="DESCRIPTOR534"/>
      <w:bookmarkStart w:id="832" w:name="DESCRIPTOR535"/>
      <w:bookmarkStart w:id="833" w:name="DESCRIPTOR536"/>
      <w:bookmarkStart w:id="834" w:name="DESCRIPTOR537"/>
      <w:bookmarkStart w:id="835" w:name="DESCRIPTOR538"/>
      <w:bookmarkStart w:id="836" w:name="DESCRIPTOR539"/>
      <w:bookmarkStart w:id="837" w:name="DESCRIPTOR540"/>
      <w:bookmarkStart w:id="838" w:name="DESCRIPTOR541"/>
      <w:bookmarkStart w:id="839" w:name="DESCRIPTOR542"/>
      <w:bookmarkStart w:id="840" w:name="DESCRIPTOR543"/>
      <w:bookmarkStart w:id="841" w:name="DESCRIPTOR544"/>
      <w:bookmarkStart w:id="842" w:name="DESCRIPTOR545"/>
      <w:bookmarkStart w:id="843" w:name="DESCRIPTOR546"/>
      <w:bookmarkStart w:id="844" w:name="DESCRIPTOR547"/>
      <w:bookmarkStart w:id="845" w:name="DESCRIPTOR548"/>
      <w:bookmarkStart w:id="846" w:name="DESCRIPTOR549"/>
      <w:bookmarkStart w:id="847" w:name="DESCRIPTOR550"/>
      <w:bookmarkStart w:id="848" w:name="DESCRIPTOR551"/>
      <w:bookmarkStart w:id="849" w:name="DESCRIPTOR552"/>
      <w:bookmarkStart w:id="850" w:name="DESCRIPTOR553"/>
      <w:bookmarkStart w:id="851" w:name="DESCRIPTOR554"/>
      <w:bookmarkStart w:id="852" w:name="DESCRIPTOR555"/>
      <w:bookmarkStart w:id="853" w:name="DESCRIPTOR556"/>
      <w:bookmarkStart w:id="854" w:name="DESCRIPTOR557"/>
      <w:bookmarkStart w:id="855" w:name="DESCRIPTOR558"/>
      <w:bookmarkStart w:id="856" w:name="DESCRIPTOR559"/>
      <w:bookmarkStart w:id="857" w:name="DESCRIPTOR560"/>
      <w:bookmarkStart w:id="858" w:name="DESCRIPTOR561"/>
      <w:bookmarkStart w:id="859" w:name="DESCRIPTOR562"/>
      <w:bookmarkStart w:id="860" w:name="DESCRIPTOR563"/>
      <w:bookmarkStart w:id="861" w:name="DESCRIPTOR564"/>
      <w:bookmarkStart w:id="862" w:name="DESCRIPTOR565"/>
      <w:bookmarkStart w:id="863" w:name="DESCRIPTOR566"/>
      <w:bookmarkStart w:id="864" w:name="DESCRIPTOR567"/>
      <w:bookmarkStart w:id="865" w:name="DESCRIPTOR568"/>
      <w:bookmarkStart w:id="866" w:name="DESCRIPTOR569"/>
      <w:bookmarkStart w:id="867" w:name="DESCRIPTOR570"/>
      <w:bookmarkStart w:id="868" w:name="DESCRIPTOR571"/>
      <w:bookmarkStart w:id="869" w:name="DESCRIPTOR572"/>
      <w:bookmarkStart w:id="870" w:name="DESCRIPTOR573"/>
      <w:bookmarkStart w:id="871" w:name="DESCRIPTOR574"/>
      <w:bookmarkStart w:id="872" w:name="DESCRIPTOR575"/>
      <w:bookmarkStart w:id="873" w:name="DESCRIPTOR576"/>
      <w:bookmarkStart w:id="874" w:name="DESCRIPTOR577"/>
      <w:bookmarkStart w:id="875" w:name="DESCRIPTOR578"/>
      <w:bookmarkStart w:id="876" w:name="DESCRIPTOR579"/>
      <w:bookmarkStart w:id="877" w:name="DESCRIPTOR580"/>
      <w:bookmarkStart w:id="878" w:name="DESCRIPTOR581"/>
      <w:bookmarkStart w:id="879" w:name="DESCRIPTOR582"/>
      <w:bookmarkStart w:id="880" w:name="DESCRIPTOR583"/>
      <w:bookmarkStart w:id="881" w:name="DESCRIPTOR584"/>
      <w:bookmarkStart w:id="882" w:name="DESCRIPTOR585"/>
      <w:bookmarkStart w:id="883" w:name="DESCRIPTOR586"/>
      <w:bookmarkStart w:id="884" w:name="DESCRIPTOR587"/>
      <w:bookmarkStart w:id="885" w:name="DESCRIPTOR588"/>
      <w:bookmarkStart w:id="886" w:name="DESCRIPTOR589"/>
      <w:bookmarkStart w:id="887" w:name="DESCRIPTOR590"/>
      <w:bookmarkStart w:id="888" w:name="DESCRIPTOR591"/>
      <w:bookmarkStart w:id="889" w:name="DESCRIPTOR592"/>
      <w:bookmarkStart w:id="890" w:name="DESCRIPTOR593"/>
      <w:bookmarkStart w:id="891" w:name="DESCRIPTOR594"/>
      <w:bookmarkStart w:id="892" w:name="DESCRIPTOR595"/>
      <w:bookmarkStart w:id="893" w:name="DESCRIPTOR596"/>
      <w:bookmarkStart w:id="894" w:name="DESCRIPTOR597"/>
      <w:bookmarkStart w:id="895" w:name="DESCRIPTOR598"/>
      <w:bookmarkStart w:id="896" w:name="DESCRIPTOR599"/>
      <w:bookmarkStart w:id="897" w:name="DESCRIPTOR600"/>
      <w:bookmarkStart w:id="898" w:name="DESCRIPTOR601"/>
      <w:bookmarkStart w:id="899" w:name="DESCRIPTOR602"/>
      <w:bookmarkStart w:id="900" w:name="DESCRIPTOR603"/>
      <w:bookmarkStart w:id="901" w:name="DESCRIPTOR604"/>
      <w:bookmarkStart w:id="902" w:name="DESCRIPTOR605"/>
      <w:bookmarkStart w:id="903" w:name="DESCRIPTOR606"/>
      <w:bookmarkStart w:id="904" w:name="DESCRIPTOR607"/>
      <w:bookmarkStart w:id="905" w:name="DESCRIPTOR608"/>
      <w:bookmarkStart w:id="906" w:name="DESCRIPTOR609"/>
      <w:bookmarkStart w:id="907" w:name="DESCRIPTOR610"/>
      <w:bookmarkStart w:id="908" w:name="DESCRIPTOR611"/>
      <w:bookmarkStart w:id="909" w:name="DESCRIPTOR612"/>
      <w:bookmarkStart w:id="910" w:name="DESCRIPTOR613"/>
      <w:bookmarkStart w:id="911" w:name="DESCRIPTOR614"/>
      <w:bookmarkStart w:id="912" w:name="DESCRIPTOR615"/>
      <w:bookmarkStart w:id="913" w:name="DESCRIPTOR616"/>
      <w:bookmarkStart w:id="914" w:name="DESCRIPTOR617"/>
      <w:bookmarkStart w:id="915" w:name="DESCRIPTOR618"/>
      <w:bookmarkStart w:id="916" w:name="DESCRIPTOR619"/>
      <w:bookmarkStart w:id="917" w:name="DESCRIPTOR620"/>
      <w:bookmarkStart w:id="918" w:name="DESCRIPTOR621"/>
      <w:bookmarkStart w:id="919" w:name="DESCRIPTOR622"/>
      <w:bookmarkStart w:id="920" w:name="DESCRIPTOR623"/>
      <w:bookmarkStart w:id="921" w:name="DESCRIPTOR624"/>
      <w:bookmarkStart w:id="922" w:name="DESCRIPTOR625"/>
      <w:bookmarkStart w:id="923" w:name="DESCRIPTOR626"/>
      <w:bookmarkStart w:id="924" w:name="DESCRIPTOR627"/>
      <w:bookmarkStart w:id="925" w:name="DESCRIPTOR628"/>
      <w:bookmarkStart w:id="926" w:name="DESCRIPTOR629"/>
      <w:bookmarkStart w:id="927" w:name="DESCRIPTOR630"/>
      <w:bookmarkStart w:id="928" w:name="DESCRIPTOR631"/>
      <w:bookmarkStart w:id="929" w:name="DESCRIPTOR632"/>
      <w:bookmarkStart w:id="930" w:name="DESCRIPTOR633"/>
      <w:bookmarkStart w:id="931" w:name="DESCRIPTOR634"/>
      <w:bookmarkStart w:id="932" w:name="DESCRIPTOR635"/>
      <w:bookmarkStart w:id="933" w:name="DESCRIPTOR636"/>
      <w:bookmarkStart w:id="934" w:name="DESCRIPTOR637"/>
      <w:bookmarkStart w:id="935" w:name="DESCRIPTOR638"/>
      <w:bookmarkStart w:id="936" w:name="DESCRIPTOR639"/>
      <w:bookmarkStart w:id="937" w:name="DESCRIPTOR640"/>
      <w:bookmarkStart w:id="938" w:name="DESCRIPTOR641"/>
      <w:bookmarkStart w:id="939" w:name="DESCRIPTOR642"/>
      <w:bookmarkStart w:id="940" w:name="DESCRIPTOR643"/>
      <w:bookmarkStart w:id="941" w:name="DESCRIPTOR644"/>
      <w:bookmarkStart w:id="942" w:name="DESCRIPTOR645"/>
      <w:bookmarkStart w:id="943" w:name="DESCRIPTOR646"/>
      <w:bookmarkStart w:id="944" w:name="DESCRIPTOR647"/>
      <w:bookmarkStart w:id="945" w:name="DESCRIPTOR648"/>
      <w:bookmarkStart w:id="946" w:name="DESCRIPTOR649"/>
      <w:bookmarkStart w:id="947" w:name="DESCRIPTOR650"/>
      <w:bookmarkStart w:id="948" w:name="DESCRIPTOR651"/>
      <w:bookmarkStart w:id="949" w:name="DESCRIPTOR652"/>
      <w:bookmarkStart w:id="950" w:name="DESCRIPTOR653"/>
      <w:bookmarkStart w:id="951" w:name="DESCRIPTOR654"/>
      <w:bookmarkStart w:id="952" w:name="DESCRIPTOR655"/>
      <w:bookmarkStart w:id="953" w:name="DESCRIPTOR656"/>
      <w:bookmarkStart w:id="954" w:name="DESCRIPTOR657"/>
      <w:bookmarkStart w:id="955" w:name="DESCRIPTOR658"/>
      <w:bookmarkStart w:id="956" w:name="DESCRIPTOR659"/>
      <w:bookmarkStart w:id="957" w:name="DESCRIPTOR660"/>
      <w:bookmarkStart w:id="958" w:name="DESCRIPTOR661"/>
      <w:bookmarkStart w:id="959" w:name="DESCRIPTOR662"/>
      <w:bookmarkStart w:id="960" w:name="DESCRIPTOR663"/>
      <w:bookmarkStart w:id="961" w:name="DESCRIPTOR664"/>
      <w:bookmarkStart w:id="962" w:name="DESCRIPTOR665"/>
      <w:bookmarkStart w:id="963" w:name="DESCRIPTOR666"/>
      <w:bookmarkStart w:id="964" w:name="DESCRIPTOR667"/>
      <w:bookmarkStart w:id="965" w:name="DESCRIPTOR668"/>
      <w:bookmarkStart w:id="966" w:name="DESCRIPTOR669"/>
      <w:bookmarkStart w:id="967" w:name="DESCRIPTOR670"/>
      <w:bookmarkStart w:id="968" w:name="DESCRIPTOR671"/>
      <w:bookmarkStart w:id="969" w:name="DESCRIPTOR672"/>
      <w:bookmarkStart w:id="970" w:name="DESCRIPTOR673"/>
      <w:bookmarkStart w:id="971" w:name="DESCRIPTOR674"/>
      <w:bookmarkStart w:id="972" w:name="DESCRIPTOR675"/>
      <w:bookmarkStart w:id="973" w:name="DESCRIPTOR676"/>
      <w:bookmarkStart w:id="974" w:name="DESCRIPTOR677"/>
      <w:bookmarkStart w:id="975" w:name="DESCRIPTOR678"/>
      <w:bookmarkStart w:id="976" w:name="DESCRIPTOR679"/>
      <w:bookmarkStart w:id="977" w:name="DESCRIPTOR680"/>
      <w:bookmarkStart w:id="978" w:name="DESCRIPTOR681"/>
      <w:bookmarkStart w:id="979" w:name="DESCRIPTOR682"/>
      <w:bookmarkStart w:id="980" w:name="DESCRIPTOR683"/>
      <w:bookmarkStart w:id="981" w:name="DESCRIPTOR684"/>
      <w:bookmarkStart w:id="982" w:name="DESCRIPTOR685"/>
      <w:bookmarkStart w:id="983" w:name="DESCRIPTOR686"/>
      <w:bookmarkStart w:id="984" w:name="DESCRIPTOR687"/>
      <w:bookmarkStart w:id="985" w:name="DESCRIPTOR688"/>
      <w:bookmarkStart w:id="986" w:name="DESCRIPTOR689"/>
      <w:bookmarkStart w:id="987" w:name="DESCRIPTOR690"/>
      <w:bookmarkStart w:id="988" w:name="DESCRIPTOR691"/>
      <w:bookmarkStart w:id="989" w:name="DESCRIPTOR692"/>
      <w:bookmarkStart w:id="990" w:name="DESCRIPTOR693"/>
      <w:bookmarkStart w:id="991" w:name="DESCRIPTOR694"/>
      <w:bookmarkStart w:id="992" w:name="DESCRIPTOR695"/>
      <w:bookmarkStart w:id="993" w:name="DESCRIPTOR696"/>
      <w:bookmarkStart w:id="994" w:name="DESCRIPTOR697"/>
      <w:bookmarkStart w:id="995" w:name="DESCRIPTOR698"/>
      <w:bookmarkStart w:id="996" w:name="DESCRIPTOR699"/>
      <w:bookmarkStart w:id="997" w:name="DESCRIPTOR700"/>
      <w:bookmarkStart w:id="998" w:name="DESCRIPTOR701"/>
      <w:bookmarkStart w:id="999" w:name="DESCRIPTOR702"/>
      <w:bookmarkStart w:id="1000" w:name="DESCRIPTOR703"/>
      <w:bookmarkStart w:id="1001" w:name="DESCRIPTOR704"/>
      <w:bookmarkStart w:id="1002" w:name="DESCRIPTOR705"/>
      <w:bookmarkStart w:id="1003" w:name="DESCRIPTOR706"/>
      <w:bookmarkStart w:id="1004" w:name="DESCRIPTOR707"/>
      <w:bookmarkStart w:id="1005" w:name="DESCRIPTOR708"/>
      <w:bookmarkStart w:id="1006" w:name="DESCRIPTOR709"/>
      <w:bookmarkStart w:id="1007" w:name="DESCRIPTOR710"/>
      <w:bookmarkStart w:id="1008" w:name="DESCRIPTOR711"/>
      <w:bookmarkStart w:id="1009" w:name="DESCRIPTOR712"/>
      <w:bookmarkStart w:id="1010" w:name="DESCRIPTOR713"/>
      <w:bookmarkStart w:id="1011" w:name="DESCRIPTOR714"/>
      <w:bookmarkStart w:id="1012" w:name="DESCRIPTOR715"/>
      <w:bookmarkStart w:id="1013" w:name="DESCRIPTOR716"/>
      <w:bookmarkStart w:id="1014" w:name="DESCRIPTOR717"/>
      <w:bookmarkStart w:id="1015" w:name="DESCRIPTOR718"/>
      <w:bookmarkStart w:id="1016" w:name="DESCRIPTOR719"/>
      <w:bookmarkStart w:id="1017" w:name="DESCRIPTOR720"/>
      <w:bookmarkStart w:id="1018" w:name="DESCRIPTOR721"/>
      <w:bookmarkStart w:id="1019" w:name="DESCRIPTOR722"/>
      <w:bookmarkStart w:id="1020" w:name="DESCRIPTOR723"/>
      <w:bookmarkStart w:id="1021" w:name="DESCRIPTOR724"/>
      <w:bookmarkStart w:id="1022" w:name="DESCRIPTOR725"/>
      <w:bookmarkStart w:id="1023" w:name="DESCRIPTOR726"/>
      <w:bookmarkStart w:id="1024" w:name="DESCRIPTOR727"/>
      <w:bookmarkStart w:id="1025" w:name="DESCRIPTOR728"/>
      <w:bookmarkStart w:id="1026" w:name="DESCRIPTOR729"/>
      <w:bookmarkStart w:id="1027" w:name="DESCRIPTOR730"/>
      <w:bookmarkStart w:id="1028" w:name="DESCRIPTOR731"/>
      <w:bookmarkStart w:id="1029" w:name="DESCRIPTOR732"/>
      <w:bookmarkStart w:id="1030" w:name="DESCRIPTOR733"/>
      <w:bookmarkStart w:id="1031" w:name="DESCRIPTOR734"/>
      <w:bookmarkStart w:id="1032" w:name="DESCRIPTOR735"/>
      <w:bookmarkStart w:id="1033" w:name="DESCRIPTOR736"/>
      <w:bookmarkStart w:id="1034" w:name="DESCRIPTOR737"/>
      <w:bookmarkStart w:id="1035" w:name="DESCRIPTOR738"/>
      <w:bookmarkStart w:id="1036" w:name="DESCRIPTOR739"/>
      <w:bookmarkStart w:id="1037" w:name="DESCRIPTOR740"/>
      <w:bookmarkStart w:id="1038" w:name="DESCRIPTOR741"/>
      <w:bookmarkStart w:id="1039" w:name="DESCRIPTOR742"/>
      <w:bookmarkStart w:id="1040" w:name="DESCRIPTOR743"/>
      <w:bookmarkStart w:id="1041" w:name="DESCRIPTOR744"/>
      <w:bookmarkStart w:id="1042" w:name="DESCRIPTOR745"/>
      <w:bookmarkStart w:id="1043" w:name="DESCRIPTOR746"/>
      <w:bookmarkStart w:id="1044" w:name="DESCRIPTOR747"/>
      <w:bookmarkStart w:id="1045" w:name="DESCRIPTOR748"/>
      <w:bookmarkStart w:id="1046" w:name="DESCRIPTOR749"/>
      <w:bookmarkStart w:id="1047" w:name="DESCRIPTOR750"/>
      <w:bookmarkStart w:id="1048" w:name="DESCRIPTOR751"/>
      <w:bookmarkStart w:id="1049" w:name="DESCRIPTOR752"/>
      <w:bookmarkStart w:id="1050" w:name="DESCRIPTOR753"/>
      <w:bookmarkStart w:id="1051" w:name="DESCRIPTOR754"/>
      <w:bookmarkStart w:id="1052" w:name="DESCRIPTOR755"/>
      <w:bookmarkStart w:id="1053" w:name="DESCRIPTOR756"/>
      <w:bookmarkStart w:id="1054" w:name="DESCRIPTOR757"/>
      <w:bookmarkStart w:id="1055" w:name="DESCRIPTOR758"/>
      <w:bookmarkStart w:id="1056" w:name="DESCRIPTOR759"/>
      <w:bookmarkStart w:id="1057" w:name="DESCRIPTOR760"/>
      <w:bookmarkStart w:id="1058" w:name="DESCRIPTOR761"/>
      <w:bookmarkStart w:id="1059" w:name="DESCRIPTOR762"/>
      <w:bookmarkStart w:id="1060" w:name="DESCRIPTOR763"/>
      <w:bookmarkStart w:id="1061" w:name="DESCRIPTOR764"/>
      <w:bookmarkStart w:id="1062" w:name="DESCRIPTOR765"/>
      <w:bookmarkStart w:id="1063" w:name="DESCRIPTOR766"/>
      <w:bookmarkStart w:id="1064" w:name="DESCRIPTOR767"/>
      <w:bookmarkStart w:id="1065" w:name="DESCRIPTOR768"/>
      <w:bookmarkStart w:id="1066" w:name="DESCRIPTOR769"/>
      <w:bookmarkStart w:id="1067" w:name="DESCRIPTOR770"/>
      <w:bookmarkStart w:id="1068" w:name="DESCRIPTOR771"/>
      <w:bookmarkStart w:id="1069" w:name="DESCRIPTOR772"/>
      <w:bookmarkStart w:id="1070" w:name="DESCRIPTOR773"/>
      <w:bookmarkStart w:id="1071" w:name="DESCRIPTOR774"/>
      <w:bookmarkStart w:id="1072" w:name="DESCRIPTOR775"/>
      <w:bookmarkStart w:id="1073" w:name="DESCRIPTOR776"/>
      <w:bookmarkStart w:id="1074" w:name="DESCRIPTOR777"/>
      <w:bookmarkStart w:id="1075" w:name="DESCRIPTOR778"/>
      <w:bookmarkStart w:id="1076" w:name="DESCRIPTOR779"/>
      <w:bookmarkStart w:id="1077" w:name="DESCRIPTOR780"/>
      <w:bookmarkStart w:id="1078" w:name="DESCRIPTOR781"/>
      <w:bookmarkStart w:id="1079" w:name="DESCRIPTOR782"/>
      <w:bookmarkStart w:id="1080" w:name="DESCRIPTOR783"/>
      <w:bookmarkStart w:id="1081" w:name="DESCRIPTOR784"/>
      <w:bookmarkStart w:id="1082" w:name="DESCRIPTOR785"/>
      <w:bookmarkStart w:id="1083" w:name="DESCRIPTOR786"/>
      <w:bookmarkStart w:id="1084" w:name="DESCRIPTOR787"/>
      <w:bookmarkStart w:id="1085" w:name="DESCRIPTOR788"/>
      <w:bookmarkStart w:id="1086" w:name="DESCRIPTOR789"/>
      <w:bookmarkStart w:id="1087" w:name="DESCRIPTOR790"/>
      <w:bookmarkStart w:id="1088" w:name="DESCRIPTOR791"/>
      <w:bookmarkStart w:id="1089" w:name="DESCRIPTOR792"/>
      <w:bookmarkStart w:id="1090" w:name="DESCRIPTOR793"/>
      <w:bookmarkStart w:id="1091" w:name="DESCRIPTOR794"/>
      <w:bookmarkStart w:id="1092" w:name="DESCRIPTOR795"/>
      <w:bookmarkStart w:id="1093" w:name="DESCRIPTOR796"/>
      <w:bookmarkStart w:id="1094" w:name="DESCRIPTOR797"/>
      <w:bookmarkStart w:id="1095" w:name="DESCRIPTOR798"/>
      <w:bookmarkStart w:id="1096" w:name="DESCRIPTOR799"/>
      <w:bookmarkStart w:id="1097" w:name="DESCRIPTOR800"/>
      <w:bookmarkStart w:id="1098" w:name="DESCRIPTOR801"/>
      <w:bookmarkStart w:id="1099" w:name="DESCRIPTOR802"/>
      <w:bookmarkStart w:id="1100" w:name="DESCRIPTOR803"/>
      <w:bookmarkStart w:id="1101" w:name="DESCRIPTOR804"/>
      <w:bookmarkStart w:id="1102" w:name="DESCRIPTOR805"/>
      <w:bookmarkStart w:id="1103" w:name="DESCRIPTOR806"/>
      <w:bookmarkStart w:id="1104" w:name="DESCRIPTOR807"/>
      <w:bookmarkStart w:id="1105" w:name="DESCRIPTOR808"/>
      <w:bookmarkStart w:id="1106" w:name="DESCRIPTOR809"/>
      <w:bookmarkStart w:id="1107" w:name="DESCRIPTOR810"/>
      <w:bookmarkStart w:id="1108" w:name="DESCRIPTOR811"/>
      <w:bookmarkStart w:id="1109" w:name="DESCRIPTOR812"/>
      <w:bookmarkStart w:id="1110" w:name="DESCRIPTOR813"/>
      <w:bookmarkStart w:id="1111" w:name="DESCRIPTOR814"/>
      <w:bookmarkStart w:id="1112" w:name="DESCRIPTOR815"/>
      <w:bookmarkStart w:id="1113" w:name="DESCRIPTOR816"/>
      <w:bookmarkStart w:id="1114" w:name="DESCRIPTOR817"/>
      <w:bookmarkStart w:id="1115" w:name="DESCRIPTOR818"/>
      <w:bookmarkStart w:id="1116" w:name="DESCRIPTOR819"/>
      <w:bookmarkStart w:id="1117" w:name="DESCRIPTOR820"/>
      <w:bookmarkStart w:id="1118" w:name="DESCRIPTOR821"/>
      <w:bookmarkStart w:id="1119" w:name="DESCRIPTOR822"/>
      <w:bookmarkStart w:id="1120" w:name="DESCRIPTOR823"/>
      <w:bookmarkStart w:id="1121" w:name="DESCRIPTOR824"/>
      <w:bookmarkStart w:id="1122" w:name="DESCRIPTOR825"/>
      <w:bookmarkStart w:id="1123" w:name="DESCRIPTOR826"/>
      <w:bookmarkStart w:id="1124" w:name="DESCRIPTOR827"/>
      <w:bookmarkStart w:id="1125" w:name="DESCRIPTOR828"/>
      <w:bookmarkStart w:id="1126" w:name="DESCRIPTOR829"/>
      <w:bookmarkStart w:id="1127" w:name="DESCRIPTOR830"/>
      <w:bookmarkStart w:id="1128" w:name="DESCRIPTOR831"/>
      <w:bookmarkStart w:id="1129" w:name="DESCRIPTOR832"/>
      <w:bookmarkStart w:id="1130" w:name="DESCRIPTOR833"/>
      <w:bookmarkStart w:id="1131" w:name="DESCRIPTOR834"/>
      <w:bookmarkStart w:id="1132" w:name="DESCRIPTOR835"/>
      <w:bookmarkStart w:id="1133" w:name="DESCRIPTOR836"/>
      <w:bookmarkStart w:id="1134" w:name="DESCRIPTOR837"/>
      <w:bookmarkStart w:id="1135" w:name="DESCRIPTOR838"/>
      <w:bookmarkStart w:id="1136" w:name="DESCRIPTOR839"/>
      <w:bookmarkStart w:id="1137" w:name="DESCRIPTOR840"/>
      <w:bookmarkStart w:id="1138" w:name="DESCRIPTOR841"/>
      <w:bookmarkStart w:id="1139" w:name="DESCRIPTOR842"/>
      <w:bookmarkStart w:id="1140" w:name="DESCRIPTOR843"/>
      <w:bookmarkStart w:id="1141" w:name="DESCRIPTOR844"/>
      <w:bookmarkStart w:id="1142" w:name="DESCRIPTOR845"/>
      <w:bookmarkStart w:id="1143" w:name="DESCRIPTOR846"/>
      <w:bookmarkStart w:id="1144" w:name="DESCRIPTOR847"/>
      <w:bookmarkStart w:id="1145" w:name="DESCRIPTOR848"/>
      <w:bookmarkStart w:id="1146" w:name="DESCRIPTOR849"/>
      <w:bookmarkStart w:id="1147" w:name="DESCRIPTOR850"/>
      <w:bookmarkStart w:id="1148" w:name="DESCRIPTOR851"/>
      <w:bookmarkStart w:id="1149" w:name="DESCRIPTOR852"/>
      <w:bookmarkStart w:id="1150" w:name="DESCRIPTOR853"/>
      <w:bookmarkStart w:id="1151" w:name="DESCRIPTOR854"/>
      <w:bookmarkStart w:id="1152" w:name="DESCRIPTOR855"/>
      <w:bookmarkStart w:id="1153" w:name="DESCRIPTOR856"/>
      <w:bookmarkStart w:id="1154" w:name="DESCRIPTOR857"/>
      <w:bookmarkStart w:id="1155" w:name="DESCRIPTOR858"/>
      <w:bookmarkStart w:id="1156" w:name="DESCRIPTOR859"/>
      <w:bookmarkStart w:id="1157" w:name="DESCRIPTOR860"/>
      <w:bookmarkStart w:id="1158" w:name="DESCRIPTOR861"/>
      <w:bookmarkStart w:id="1159" w:name="DESCRIPTOR862"/>
      <w:bookmarkStart w:id="1160" w:name="DESCRIPTOR863"/>
      <w:bookmarkStart w:id="1161" w:name="DESCRIPTOR864"/>
      <w:bookmarkStart w:id="1162" w:name="DESCRIPTOR865"/>
      <w:bookmarkStart w:id="1163" w:name="DESCRIPTOR866"/>
      <w:bookmarkStart w:id="1164" w:name="DESCRIPTOR867"/>
      <w:bookmarkStart w:id="1165" w:name="DESCRIPTOR868"/>
      <w:bookmarkStart w:id="1166" w:name="DESCRIPTOR869"/>
      <w:bookmarkStart w:id="1167" w:name="DESCRIPTOR870"/>
      <w:bookmarkStart w:id="1168" w:name="DESCRIPTOR871"/>
      <w:bookmarkStart w:id="1169" w:name="DESCRIPTOR872"/>
      <w:bookmarkStart w:id="1170" w:name="DESCRIPTOR873"/>
      <w:bookmarkStart w:id="1171" w:name="DESCRIPTOR874"/>
      <w:bookmarkStart w:id="1172" w:name="DESCRIPTOR875"/>
      <w:bookmarkStart w:id="1173" w:name="DESCRIPTOR876"/>
      <w:bookmarkStart w:id="1174" w:name="DESCRIPTOR877"/>
      <w:bookmarkStart w:id="1175" w:name="DESCRIPTOR878"/>
      <w:bookmarkStart w:id="1176" w:name="DESCRIPTOR879"/>
      <w:bookmarkStart w:id="1177" w:name="DESCRIPTOR880"/>
      <w:bookmarkStart w:id="1178" w:name="DESCRIPTOR881"/>
      <w:bookmarkStart w:id="1179" w:name="DESCRIPTOR882"/>
      <w:bookmarkStart w:id="1180" w:name="DESCRIPTOR883"/>
      <w:bookmarkStart w:id="1181" w:name="DESCRIPTOR884"/>
      <w:bookmarkStart w:id="1182" w:name="DESCRIPTOR885"/>
      <w:bookmarkStart w:id="1183" w:name="DESCRIPTOR886"/>
      <w:bookmarkStart w:id="1184" w:name="DESCRIPTOR887"/>
      <w:bookmarkStart w:id="1185" w:name="DESCRIPTOR888"/>
      <w:bookmarkStart w:id="1186" w:name="DESCRIPTOR889"/>
      <w:bookmarkStart w:id="1187" w:name="DESCRIPTOR890"/>
      <w:bookmarkStart w:id="1188" w:name="DESCRIPTOR891"/>
      <w:bookmarkStart w:id="1189" w:name="DESCRIPTOR892"/>
      <w:bookmarkStart w:id="1190" w:name="DESCRIPTOR893"/>
      <w:bookmarkStart w:id="1191" w:name="DESCRIPTOR894"/>
      <w:bookmarkStart w:id="1192" w:name="DESCRIPTOR895"/>
      <w:bookmarkStart w:id="1193" w:name="DESCRIPTOR896"/>
      <w:bookmarkStart w:id="1194" w:name="DESCRIPTOR897"/>
      <w:bookmarkStart w:id="1195" w:name="DESCRIPTOR898"/>
      <w:bookmarkStart w:id="1196" w:name="DESCRIPTOR899"/>
      <w:bookmarkStart w:id="1197" w:name="DESCRIPTOR900"/>
      <w:bookmarkStart w:id="1198" w:name="DESCRIPTOR901"/>
      <w:bookmarkStart w:id="1199" w:name="DESCRIPTOR902"/>
      <w:bookmarkStart w:id="1200" w:name="DESCRIPTOR903"/>
      <w:bookmarkStart w:id="1201" w:name="DESCRIPTOR904"/>
      <w:bookmarkStart w:id="1202" w:name="DESCRIPTOR905"/>
      <w:bookmarkStart w:id="1203" w:name="DESCRIPTOR906"/>
      <w:bookmarkStart w:id="1204" w:name="DESCRIPTOR907"/>
      <w:bookmarkStart w:id="1205" w:name="DESCRIPTOR908"/>
      <w:bookmarkStart w:id="1206" w:name="DESCRIPTOR909"/>
      <w:bookmarkStart w:id="1207" w:name="DESCRIPTOR910"/>
      <w:bookmarkStart w:id="1208" w:name="DESCRIPTOR911"/>
      <w:bookmarkStart w:id="1209" w:name="DESCRIPTOR912"/>
      <w:bookmarkStart w:id="1210" w:name="DESCRIPTOR913"/>
      <w:bookmarkStart w:id="1211" w:name="DESCRIPTOR914"/>
      <w:bookmarkStart w:id="1212" w:name="DESCRIPTOR915"/>
      <w:bookmarkStart w:id="1213" w:name="DESCRIPTOR916"/>
      <w:bookmarkStart w:id="1214" w:name="DESCRIPTOR917"/>
      <w:bookmarkStart w:id="1215" w:name="DESCRIPTOR918"/>
      <w:bookmarkStart w:id="1216" w:name="DESCRIPTOR919"/>
      <w:bookmarkStart w:id="1217" w:name="DESCRIPTOR920"/>
      <w:bookmarkStart w:id="1218" w:name="DESCRIPTOR921"/>
      <w:bookmarkStart w:id="1219" w:name="DESCRIPTOR922"/>
      <w:bookmarkStart w:id="1220" w:name="DESCRIPTOR923"/>
      <w:bookmarkStart w:id="1221" w:name="DESCRIPTOR924"/>
      <w:bookmarkStart w:id="1222" w:name="DESCRIPTOR925"/>
      <w:bookmarkStart w:id="1223" w:name="DESCRIPTOR926"/>
      <w:bookmarkStart w:id="1224" w:name="DESCRIPTOR927"/>
      <w:bookmarkStart w:id="1225" w:name="DESCRIPTOR928"/>
      <w:bookmarkStart w:id="1226" w:name="DESCRIPTOR929"/>
      <w:bookmarkStart w:id="1227" w:name="DESCRIPTOR930"/>
      <w:bookmarkStart w:id="1228" w:name="DESCRIPTOR931"/>
      <w:bookmarkStart w:id="1229" w:name="DESCRIPTOR932"/>
      <w:bookmarkStart w:id="1230" w:name="DESCRIPTOR933"/>
      <w:bookmarkStart w:id="1231" w:name="DESCRIPTOR934"/>
      <w:bookmarkStart w:id="1232" w:name="DESCRIPTOR935"/>
      <w:bookmarkStart w:id="1233" w:name="DESCRIPTOR936"/>
      <w:bookmarkStart w:id="1234" w:name="DESCRIPTOR937"/>
      <w:bookmarkStart w:id="1235" w:name="DESCRIPTOR938"/>
      <w:bookmarkStart w:id="1236" w:name="DESCRIPTOR939"/>
      <w:bookmarkStart w:id="1237" w:name="DESCRIPTOR940"/>
      <w:bookmarkStart w:id="1238" w:name="DESCRIPTOR941"/>
      <w:bookmarkStart w:id="1239" w:name="DESCRIPTOR942"/>
      <w:bookmarkStart w:id="1240" w:name="DESCRIPTOR943"/>
      <w:bookmarkStart w:id="1241" w:name="DESCRIPTOR944"/>
      <w:bookmarkStart w:id="1242" w:name="DESCRIPTOR945"/>
      <w:bookmarkStart w:id="1243" w:name="DESCRIPTOR946"/>
      <w:bookmarkStart w:id="1244" w:name="DESCRIPTOR947"/>
      <w:bookmarkStart w:id="1245" w:name="DESCRIPTOR948"/>
      <w:bookmarkStart w:id="1246" w:name="DESCRIPTOR949"/>
      <w:bookmarkStart w:id="1247" w:name="DESCRIPTOR950"/>
      <w:bookmarkStart w:id="1248" w:name="DESCRIPTOR951"/>
      <w:bookmarkStart w:id="1249" w:name="DESCRIPTOR952"/>
      <w:bookmarkStart w:id="1250" w:name="DESCRIPTOR953"/>
      <w:bookmarkStart w:id="1251" w:name="DESCRIPTOR954"/>
      <w:bookmarkStart w:id="1252" w:name="DESCRIPTOR955"/>
      <w:bookmarkStart w:id="1253" w:name="DESCRIPTOR956"/>
      <w:bookmarkStart w:id="1254" w:name="DESCRIPTOR957"/>
      <w:bookmarkStart w:id="1255" w:name="DESCRIPTOR958"/>
      <w:bookmarkStart w:id="1256" w:name="DESCRIPTOR959"/>
      <w:bookmarkStart w:id="1257" w:name="DESCRIPTOR960"/>
      <w:bookmarkStart w:id="1258" w:name="DESCRIPTOR961"/>
      <w:bookmarkStart w:id="1259" w:name="DESCRIPTOR962"/>
      <w:bookmarkStart w:id="1260" w:name="DESCRIPTOR963"/>
      <w:bookmarkStart w:id="1261" w:name="DESCRIPTOR964"/>
      <w:bookmarkStart w:id="1262" w:name="DESCRIPTOR965"/>
      <w:bookmarkStart w:id="1263" w:name="DESCRIPTOR966"/>
      <w:bookmarkStart w:id="1264" w:name="DESCRIPTOR967"/>
      <w:bookmarkStart w:id="1265" w:name="DESCRIPTOR968"/>
      <w:bookmarkStart w:id="1266" w:name="DESCRIPTOR969"/>
      <w:bookmarkStart w:id="1267" w:name="DESCRIPTOR970"/>
      <w:bookmarkStart w:id="1268" w:name="DESCRIPTOR971"/>
      <w:bookmarkStart w:id="1269" w:name="DESCRIPTOR972"/>
      <w:bookmarkStart w:id="1270" w:name="DESCRIPTOR973"/>
      <w:bookmarkStart w:id="1271" w:name="DESCRIPTOR974"/>
      <w:bookmarkStart w:id="1272" w:name="DESCRIPTOR975"/>
      <w:bookmarkStart w:id="1273" w:name="DESCRIPTOR976"/>
      <w:bookmarkStart w:id="1274" w:name="DESCRIPTOR977"/>
      <w:bookmarkStart w:id="1275" w:name="DESCRIPTOR978"/>
      <w:bookmarkStart w:id="1276" w:name="DESCRIPTOR979"/>
      <w:bookmarkStart w:id="1277" w:name="DESCRIPTOR980"/>
      <w:bookmarkStart w:id="1278" w:name="DESCRIPTOR981"/>
      <w:bookmarkStart w:id="1279" w:name="DESCRIPTOR982"/>
      <w:bookmarkStart w:id="1280" w:name="DESCRIPTOR983"/>
      <w:bookmarkStart w:id="1281" w:name="DESCRIPTOR984"/>
      <w:bookmarkStart w:id="1282" w:name="DESCRIPTOR985"/>
      <w:bookmarkStart w:id="1283" w:name="DESCRIPTOR986"/>
      <w:bookmarkStart w:id="1284" w:name="DESCRIPTOR987"/>
      <w:bookmarkStart w:id="1285" w:name="DESCRIPTOR988"/>
      <w:bookmarkStart w:id="1286" w:name="DESCRIPTOR989"/>
      <w:bookmarkStart w:id="1287" w:name="DESCRIPTOR990"/>
      <w:bookmarkStart w:id="1288" w:name="DESCRIPTOR991"/>
      <w:bookmarkStart w:id="1289" w:name="DESCRIPTOR992"/>
      <w:bookmarkStart w:id="1290" w:name="DESCRIPTOR993"/>
      <w:bookmarkStart w:id="1291" w:name="DESCRIPTOR994"/>
      <w:bookmarkStart w:id="1292" w:name="DESCRIPTOR995"/>
      <w:bookmarkStart w:id="1293" w:name="DESCRIPTOR996"/>
      <w:bookmarkStart w:id="1294" w:name="DESCRIPTOR997"/>
      <w:bookmarkStart w:id="1295" w:name="DESCRIPTOR998"/>
      <w:bookmarkStart w:id="1296" w:name="DESCRIPTOR999"/>
      <w:bookmarkStart w:id="1297" w:name="DESCRIPTOR1000"/>
      <w:bookmarkStart w:id="1298" w:name="DESCRIPTOR1001"/>
      <w:bookmarkStart w:id="1299" w:name="DESCRIPTOR1002"/>
      <w:bookmarkStart w:id="1300" w:name="DESCRIPTOR1003"/>
      <w:bookmarkStart w:id="1301" w:name="DESCRIPTOR1004"/>
      <w:bookmarkStart w:id="1302" w:name="DESCRIPTOR1005"/>
      <w:bookmarkStart w:id="1303" w:name="DESCRIPTOR1006"/>
      <w:bookmarkStart w:id="1304" w:name="INDICE5ALFABETICO"/>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rsidR="00BA1B56" w:rsidRDefault="00BA1B56" w:rsidP="00BA1B56">
      <w:pPr>
        <w:pStyle w:val="TextoNormal"/>
      </w:pPr>
    </w:p>
    <w:p w:rsidR="00BA1B56" w:rsidRDefault="00BA1B56" w:rsidP="00BA1B56">
      <w:pPr>
        <w:pStyle w:val="TextoNormal"/>
      </w:pPr>
    </w:p>
    <w:p w:rsidR="00BA1B56" w:rsidRDefault="00BA1B56" w:rsidP="00BA1B56">
      <w:pPr>
        <w:pStyle w:val="TextoNormal"/>
      </w:pPr>
    </w:p>
    <w:p w:rsidR="00BA1B56" w:rsidRDefault="00BA1B56" w:rsidP="00BA1B56">
      <w:pPr>
        <w:pStyle w:val="Ttulondice"/>
      </w:pPr>
      <w:r>
        <w:t>7. ÍNDICE ANALÍTICO</w:t>
      </w:r>
    </w:p>
    <w:p w:rsidR="00BA1B56" w:rsidRDefault="00BA1B56" w:rsidP="00BA1B56">
      <w:pPr>
        <w:pStyle w:val="TextoNormal"/>
      </w:pPr>
    </w:p>
    <w:p w:rsidR="00BA1B56" w:rsidRDefault="00BA1B56" w:rsidP="00BA1B56">
      <w:pPr>
        <w:pStyle w:val="Ttulondice"/>
      </w:pPr>
    </w:p>
    <w:p w:rsidR="00BA1B56" w:rsidRDefault="00BA1B56" w:rsidP="00BA1B56">
      <w:pPr>
        <w:pStyle w:val="Ttulondice"/>
      </w:pPr>
    </w:p>
    <w:p w:rsidR="00BA1B56" w:rsidRDefault="00BA1B56" w:rsidP="00BA1B56">
      <w:pPr>
        <w:pStyle w:val="Ttulondice"/>
      </w:pPr>
    </w:p>
    <w:p w:rsidR="00BA1B56" w:rsidRDefault="00BA1B56" w:rsidP="00BA1B56">
      <w:pPr>
        <w:pStyle w:val="Ttulondice"/>
      </w:pPr>
    </w:p>
    <w:p w:rsidR="00BA1B56" w:rsidRDefault="00BA1B56" w:rsidP="00BA1B56">
      <w:pPr>
        <w:pStyle w:val="Ttulondice"/>
      </w:pPr>
    </w:p>
    <w:p w:rsidR="00BA1B56" w:rsidRDefault="00BA1B56" w:rsidP="00BA1B56">
      <w:pPr>
        <w:pStyle w:val="Ttulondice"/>
      </w:pPr>
    </w:p>
    <w:p w:rsidR="00BA1B56" w:rsidRDefault="00BA1B56" w:rsidP="00BA1B56">
      <w:pPr>
        <w:pStyle w:val="Ttulondice"/>
      </w:pPr>
    </w:p>
    <w:p w:rsidR="00BA1B56" w:rsidRDefault="00BA1B56" w:rsidP="00BA1B56">
      <w:pPr>
        <w:pStyle w:val="TextoNormalNegritaCentrado"/>
      </w:pPr>
      <w:r>
        <w:t>A</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305" w:name="DESCRIPTORALFABETICO984"/>
      <w:r w:rsidRPr="00BA1B56">
        <w:rPr>
          <w:rStyle w:val="TextoNormalNegritaCaracter"/>
        </w:rPr>
        <w:t>Abono de prisión provisional</w:t>
      </w:r>
      <w:bookmarkEnd w:id="1305"/>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ff. 1, 3, 5, 6.</w:t>
      </w:r>
    </w:p>
    <w:p w:rsidR="00BA1B56" w:rsidRPr="00BA1B56" w:rsidRDefault="00BA1B56" w:rsidP="00BA1B56">
      <w:pPr>
        <w:pStyle w:val="TextoNormalSangraFrancesa"/>
        <w:rPr>
          <w:rStyle w:val="TextoNormalCaracter"/>
        </w:rPr>
      </w:pPr>
      <w:bookmarkStart w:id="1306" w:name="DESCRIPTORALFABETICO295"/>
      <w:r w:rsidRPr="00BA1B56">
        <w:rPr>
          <w:rStyle w:val="TextoNormalNegritaCaracter"/>
        </w:rPr>
        <w:t>Abstención de magistrados del Tribunal Constitucional</w:t>
      </w:r>
      <w:bookmarkEnd w:id="1306"/>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Acepta, </w:t>
      </w:r>
      <w:r w:rsidRPr="00BA1B56">
        <w:rPr>
          <w:rStyle w:val="TextoNormalCaracter"/>
        </w:rPr>
        <w:t xml:space="preserve">Autos </w:t>
      </w:r>
      <w:hyperlink w:anchor="AUTO_2012_14" w:history="1">
        <w:r w:rsidRPr="00BA1B56">
          <w:rPr>
            <w:rStyle w:val="TextoNormalCaracter"/>
          </w:rPr>
          <w:t>14/2012</w:t>
        </w:r>
      </w:hyperlink>
      <w:r w:rsidRPr="00BA1B56">
        <w:rPr>
          <w:rStyle w:val="TextoNormalCaracter"/>
        </w:rPr>
        <w:t xml:space="preserve">, f. único; </w:t>
      </w:r>
      <w:hyperlink w:anchor="AUTO_2012_37" w:history="1">
        <w:r w:rsidRPr="00BA1B56">
          <w:rPr>
            <w:rStyle w:val="TextoNormalCaracter"/>
          </w:rPr>
          <w:t>37/2012</w:t>
        </w:r>
      </w:hyperlink>
      <w:r w:rsidRPr="00BA1B56">
        <w:rPr>
          <w:rStyle w:val="TextoNormalCaracter"/>
        </w:rPr>
        <w:t xml:space="preserve">, f. único; </w:t>
      </w:r>
      <w:hyperlink w:anchor="AUTO_2012_38" w:history="1">
        <w:r w:rsidRPr="00BA1B56">
          <w:rPr>
            <w:rStyle w:val="TextoNormalCaracter"/>
          </w:rPr>
          <w:t>38/2012</w:t>
        </w:r>
      </w:hyperlink>
      <w:r w:rsidRPr="00BA1B56">
        <w:rPr>
          <w:rStyle w:val="TextoNormalCaracter"/>
        </w:rPr>
        <w:t xml:space="preserve">, f. único; </w:t>
      </w:r>
      <w:hyperlink w:anchor="AUTO_2012_45" w:history="1">
        <w:r w:rsidRPr="00BA1B56">
          <w:rPr>
            <w:rStyle w:val="TextoNormalCaracter"/>
          </w:rPr>
          <w:t>45/2012</w:t>
        </w:r>
      </w:hyperlink>
      <w:r w:rsidRPr="00BA1B56">
        <w:rPr>
          <w:rStyle w:val="TextoNormalCaracter"/>
        </w:rPr>
        <w:t xml:space="preserve">, f. único; </w:t>
      </w:r>
      <w:hyperlink w:anchor="AUTO_2012_46" w:history="1">
        <w:r w:rsidRPr="00BA1B56">
          <w:rPr>
            <w:rStyle w:val="TextoNormalCaracter"/>
          </w:rPr>
          <w:t>46/2012</w:t>
        </w:r>
      </w:hyperlink>
      <w:r w:rsidRPr="00BA1B56">
        <w:rPr>
          <w:rStyle w:val="TextoNormalCaracter"/>
        </w:rPr>
        <w:t>, f. único.</w:t>
      </w:r>
    </w:p>
    <w:p w:rsidR="00BA1B56" w:rsidRPr="00BA1B56" w:rsidRDefault="00BA1B56" w:rsidP="00BA1B56">
      <w:pPr>
        <w:pStyle w:val="TextoNormalSangraFrancesa"/>
        <w:rPr>
          <w:rStyle w:val="TextoNormalCaracter"/>
        </w:rPr>
      </w:pPr>
      <w:r w:rsidRPr="00BA1B56">
        <w:rPr>
          <w:rStyle w:val="TextoNormalCursivaCaracter"/>
        </w:rPr>
        <w:t xml:space="preserve">    Deniega, </w:t>
      </w:r>
      <w:r w:rsidRPr="00BA1B56">
        <w:rPr>
          <w:rStyle w:val="TextoNormalCaracter"/>
        </w:rPr>
        <w:t xml:space="preserve">Auto </w:t>
      </w:r>
      <w:hyperlink w:anchor="AUTO_2012_33" w:history="1">
        <w:r w:rsidRPr="00BA1B56">
          <w:rPr>
            <w:rStyle w:val="TextoNormalCaracter"/>
          </w:rPr>
          <w:t>33/2012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07" w:name="DESCRIPTORALFABETICO628"/>
      <w:r w:rsidRPr="00BA1B56">
        <w:rPr>
          <w:rStyle w:val="TextoNormalNegritaCaracter"/>
        </w:rPr>
        <w:t>Acceso a la función pública</w:t>
      </w:r>
      <w:bookmarkEnd w:id="1307"/>
      <w:r w:rsidRPr="00BA1B56">
        <w:rPr>
          <w:rStyle w:val="TextoNormalCaracter"/>
        </w:rPr>
        <w:t xml:space="preserve">, Sentencias </w:t>
      </w:r>
      <w:hyperlink w:anchor="SENTENCIA_2012_27" w:history="1">
        <w:r w:rsidRPr="00BA1B56">
          <w:rPr>
            <w:rStyle w:val="TextoNormalCaracter"/>
          </w:rPr>
          <w:t>27/2012</w:t>
        </w:r>
      </w:hyperlink>
      <w:r w:rsidRPr="00BA1B56">
        <w:rPr>
          <w:rStyle w:val="TextoNormalCaracter"/>
        </w:rPr>
        <w:t xml:space="preserve">, f. 3; </w:t>
      </w:r>
      <w:hyperlink w:anchor="SENTENCIA_2012_29" w:history="1">
        <w:r w:rsidRPr="00BA1B56">
          <w:rPr>
            <w:rStyle w:val="TextoNormalCaracter"/>
          </w:rPr>
          <w:t>29/2012</w:t>
        </w:r>
      </w:hyperlink>
      <w:r w:rsidRPr="00BA1B56">
        <w:rPr>
          <w:rStyle w:val="TextoNormalCaracter"/>
        </w:rPr>
        <w:t>, ff. 4, 6.</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68" w:history="1">
        <w:r w:rsidRPr="00BA1B56">
          <w:rPr>
            <w:rStyle w:val="TextoNormalCaracter"/>
          </w:rPr>
          <w:t>68/2012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08" w:name="DESCRIPTORALFABETICO190"/>
      <w:r w:rsidRPr="00BA1B56">
        <w:rPr>
          <w:rStyle w:val="TextoNormalNegritaCaracter"/>
        </w:rPr>
        <w:t>Acceso a la justicia</w:t>
      </w:r>
      <w:bookmarkEnd w:id="1308"/>
      <w:r w:rsidRPr="00BA1B56">
        <w:rPr>
          <w:rStyle w:val="TextoNormalCaracter"/>
        </w:rPr>
        <w:t xml:space="preserve">, Sentencias </w:t>
      </w:r>
      <w:hyperlink w:anchor="SENTENCIA_2012_10" w:history="1">
        <w:r w:rsidRPr="00BA1B56">
          <w:rPr>
            <w:rStyle w:val="TextoNormalCaracter"/>
          </w:rPr>
          <w:t>10/2012</w:t>
        </w:r>
      </w:hyperlink>
      <w:r w:rsidRPr="00BA1B56">
        <w:rPr>
          <w:rStyle w:val="TextoNormalCaracter"/>
        </w:rPr>
        <w:t xml:space="preserve">, ff. 3, 4; </w:t>
      </w:r>
      <w:hyperlink w:anchor="SENTENCIA_2012_20" w:history="1">
        <w:r w:rsidRPr="00BA1B56">
          <w:rPr>
            <w:rStyle w:val="TextoNormalCaracter"/>
          </w:rPr>
          <w:t>20/2012</w:t>
        </w:r>
      </w:hyperlink>
      <w:r w:rsidRPr="00BA1B56">
        <w:rPr>
          <w:rStyle w:val="TextoNormalCaracter"/>
        </w:rPr>
        <w:t xml:space="preserve">, ff. 3, 5, 6, 7, 8, 9, 10, 11; </w:t>
      </w:r>
      <w:hyperlink w:anchor="SENTENCIA_2012_76" w:history="1">
        <w:r w:rsidRPr="00BA1B56">
          <w:rPr>
            <w:rStyle w:val="TextoNormalCaracter"/>
          </w:rPr>
          <w:t>76/2012</w:t>
        </w:r>
      </w:hyperlink>
      <w:r w:rsidRPr="00BA1B56">
        <w:rPr>
          <w:rStyle w:val="TextoNormalCaracter"/>
        </w:rPr>
        <w:t xml:space="preserve">, ff. 3 a 5; </w:t>
      </w:r>
      <w:hyperlink w:anchor="SENTENCIA_2012_116" w:history="1">
        <w:r w:rsidRPr="00BA1B56">
          <w:rPr>
            <w:rStyle w:val="TextoNormalCaracter"/>
          </w:rPr>
          <w:t>116/2012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Sentencias </w:t>
      </w:r>
      <w:hyperlink w:anchor="SENTENCIA_2012_20" w:history="1">
        <w:r w:rsidRPr="00BA1B56">
          <w:rPr>
            <w:rStyle w:val="TextoNormalCaracter"/>
          </w:rPr>
          <w:t>20/2012</w:t>
        </w:r>
      </w:hyperlink>
      <w:r w:rsidRPr="00BA1B56">
        <w:rPr>
          <w:rStyle w:val="TextoNormalCaracter"/>
        </w:rPr>
        <w:t xml:space="preserve">, ff. 1, 4, 5, 7, 9 a 12; </w:t>
      </w:r>
      <w:hyperlink w:anchor="SENTENCIA_2012_116" w:history="1">
        <w:r w:rsidRPr="00BA1B56">
          <w:rPr>
            <w:rStyle w:val="TextoNormalCaracter"/>
          </w:rPr>
          <w:t>116/2012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10" w:history="1">
        <w:r w:rsidRPr="00BA1B56">
          <w:rPr>
            <w:rStyle w:val="TextoNormalCaracter"/>
          </w:rPr>
          <w:t>10/2012</w:t>
        </w:r>
      </w:hyperlink>
      <w:r w:rsidRPr="00BA1B56">
        <w:rPr>
          <w:rStyle w:val="TextoNormalCaracter"/>
        </w:rPr>
        <w:t xml:space="preserve">, ff. 1 a 5; </w:t>
      </w:r>
      <w:hyperlink w:anchor="SENTENCIA_2012_76" w:history="1">
        <w:r w:rsidRPr="00BA1B56">
          <w:rPr>
            <w:rStyle w:val="TextoNormalCaracter"/>
          </w:rPr>
          <w:t>76/2012</w:t>
        </w:r>
      </w:hyperlink>
      <w:r w:rsidRPr="00BA1B56">
        <w:rPr>
          <w:rStyle w:val="TextoNormalCaracter"/>
        </w:rPr>
        <w:t>, ff. 1, 3 a 5.</w:t>
      </w:r>
    </w:p>
    <w:p w:rsidR="00BA1B56" w:rsidRPr="00BA1B56" w:rsidRDefault="00BA1B56" w:rsidP="00BA1B56">
      <w:pPr>
        <w:pStyle w:val="TextoNormalSangraFrancesa"/>
        <w:rPr>
          <w:rStyle w:val="TextoNormalCaracter"/>
        </w:rPr>
      </w:pPr>
      <w:bookmarkStart w:id="1309" w:name="DESCRIPTORALFABETICO191"/>
      <w:r w:rsidRPr="00BA1B56">
        <w:rPr>
          <w:rStyle w:val="TextoNormalNegritaCaracter"/>
        </w:rPr>
        <w:t xml:space="preserve">Acceso a la justicia </w:t>
      </w:r>
      <w:r w:rsidRPr="00BA1B56">
        <w:rPr>
          <w:rStyle w:val="TextoNormalNegritaCaracter"/>
          <w:i/>
        </w:rPr>
        <w:t>versus</w:t>
      </w:r>
      <w:r w:rsidRPr="00BA1B56">
        <w:rPr>
          <w:rStyle w:val="TextoNormalNegritaCaracter"/>
        </w:rPr>
        <w:t xml:space="preserve"> acceso a los recursos</w:t>
      </w:r>
      <w:bookmarkEnd w:id="1309"/>
      <w:r w:rsidRPr="00BA1B56">
        <w:rPr>
          <w:rStyle w:val="TextoNormalCaracter"/>
        </w:rPr>
        <w:t xml:space="preserve">, Sentencias </w:t>
      </w:r>
      <w:hyperlink w:anchor="SENTENCIA_2012_129" w:history="1">
        <w:r w:rsidRPr="00BA1B56">
          <w:rPr>
            <w:rStyle w:val="TextoNormalCaracter"/>
          </w:rPr>
          <w:t>129/2012</w:t>
        </w:r>
      </w:hyperlink>
      <w:r w:rsidRPr="00BA1B56">
        <w:rPr>
          <w:rStyle w:val="TextoNormalCaracter"/>
        </w:rPr>
        <w:t xml:space="preserve">, f. 2; </w:t>
      </w:r>
      <w:hyperlink w:anchor="SENTENCIA_2012_130" w:history="1">
        <w:r w:rsidRPr="00BA1B56">
          <w:rPr>
            <w:rStyle w:val="TextoNormalCaracter"/>
          </w:rPr>
          <w:t>130/2012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10" w:name="DESCRIPTORALFABETICO147"/>
      <w:r w:rsidRPr="00BA1B56">
        <w:rPr>
          <w:rStyle w:val="TextoNormalNegritaCaracter"/>
        </w:rPr>
        <w:t>Acceso a los cargos públicos de representación política</w:t>
      </w:r>
      <w:bookmarkEnd w:id="1310"/>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 16.</w:t>
      </w:r>
    </w:p>
    <w:p w:rsidR="00BA1B56" w:rsidRPr="00BA1B56" w:rsidRDefault="00BA1B56" w:rsidP="00BA1B56">
      <w:pPr>
        <w:pStyle w:val="TextoNormalSangraFrancesa"/>
        <w:rPr>
          <w:rStyle w:val="TextoNormalCaracter"/>
        </w:rPr>
      </w:pPr>
      <w:bookmarkStart w:id="1311" w:name="DESCRIPTORALFABETICO192"/>
      <w:r w:rsidRPr="00BA1B56">
        <w:rPr>
          <w:rStyle w:val="TextoNormalNegritaCaracter"/>
        </w:rPr>
        <w:t>Acceso al proceso</w:t>
      </w:r>
      <w:bookmarkEnd w:id="1311"/>
      <w:r w:rsidRPr="00BA1B56">
        <w:rPr>
          <w:rStyle w:val="TextoNormalCaracter"/>
        </w:rPr>
        <w:t xml:space="preserve">, Sentencia </w:t>
      </w:r>
      <w:hyperlink w:anchor="SENTENCIA_2012_15" w:history="1">
        <w:r w:rsidRPr="00BA1B56">
          <w:rPr>
            <w:rStyle w:val="TextoNormalCaracter"/>
          </w:rPr>
          <w:t>15/2012</w:t>
        </w:r>
      </w:hyperlink>
      <w:r w:rsidRPr="00BA1B56">
        <w:rPr>
          <w:rStyle w:val="TextoNormalCaracter"/>
        </w:rPr>
        <w:t>, ff. 3, 4.</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 </w:t>
      </w:r>
      <w:hyperlink w:anchor="SENTENCIA_2012_15" w:history="1">
        <w:r w:rsidRPr="00BA1B56">
          <w:rPr>
            <w:rStyle w:val="TextoNormalCaracter"/>
          </w:rPr>
          <w:t>15/2012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Acceso al proceso legalmente debido</w:t>
      </w:r>
      <w:r>
        <w:t xml:space="preserve"> véase </w:t>
      </w:r>
      <w:hyperlink w:anchor="DESCRIPTORALFABETICO192" w:history="1">
        <w:r w:rsidRPr="00BA1B56">
          <w:rPr>
            <w:rStyle w:val="TextoNormalNegritaCaracter"/>
          </w:rPr>
          <w:t>Acceso al proceso</w:t>
        </w:r>
      </w:hyperlink>
    </w:p>
    <w:p w:rsidR="00BA1B56" w:rsidRPr="00BA1B56" w:rsidRDefault="00BA1B56" w:rsidP="00BA1B56">
      <w:pPr>
        <w:pStyle w:val="TextoNormalSangraFrancesa"/>
        <w:rPr>
          <w:rStyle w:val="TextoNormalCaracter"/>
        </w:rPr>
      </w:pPr>
      <w:bookmarkStart w:id="1312" w:name="DESCRIPTORALFABETICO193"/>
      <w:r w:rsidRPr="00BA1B56">
        <w:rPr>
          <w:rStyle w:val="TextoNormalNegritaCaracter"/>
        </w:rPr>
        <w:t>Acceso al recurso legal</w:t>
      </w:r>
      <w:bookmarkEnd w:id="1312"/>
      <w:r w:rsidRPr="00BA1B56">
        <w:rPr>
          <w:rStyle w:val="TextoNormalCaracter"/>
        </w:rPr>
        <w:t xml:space="preserve">, Sentencias </w:t>
      </w:r>
      <w:hyperlink w:anchor="SENTENCIA_2012_79" w:history="1">
        <w:r w:rsidRPr="00BA1B56">
          <w:rPr>
            <w:rStyle w:val="TextoNormalCaracter"/>
          </w:rPr>
          <w:t>79/2012</w:t>
        </w:r>
      </w:hyperlink>
      <w:r w:rsidRPr="00BA1B56">
        <w:rPr>
          <w:rStyle w:val="TextoNormalCaracter"/>
        </w:rPr>
        <w:t xml:space="preserve">, ff. 3, 6; </w:t>
      </w:r>
      <w:hyperlink w:anchor="SENTENCIA_2012_85" w:history="1">
        <w:r w:rsidRPr="00BA1B56">
          <w:rPr>
            <w:rStyle w:val="TextoNormalCaracter"/>
          </w:rPr>
          <w:t>85/2012</w:t>
        </w:r>
      </w:hyperlink>
      <w:r w:rsidRPr="00BA1B56">
        <w:rPr>
          <w:rStyle w:val="TextoNormalCaracter"/>
        </w:rPr>
        <w:t xml:space="preserve">, f. 3; </w:t>
      </w:r>
      <w:hyperlink w:anchor="SENTENCIA_2012_103" w:history="1">
        <w:r w:rsidRPr="00BA1B56">
          <w:rPr>
            <w:rStyle w:val="TextoNormalCaracter"/>
          </w:rPr>
          <w:t>103/2012</w:t>
        </w:r>
      </w:hyperlink>
      <w:r w:rsidRPr="00BA1B56">
        <w:rPr>
          <w:rStyle w:val="TextoNormalCaracter"/>
        </w:rPr>
        <w:t xml:space="preserve">, ff. 3, 4; </w:t>
      </w:r>
      <w:hyperlink w:anchor="SENTENCIA_2012_104" w:history="1">
        <w:r w:rsidRPr="00BA1B56">
          <w:rPr>
            <w:rStyle w:val="TextoNormalCaracter"/>
          </w:rPr>
          <w:t>104/2012</w:t>
        </w:r>
      </w:hyperlink>
      <w:r w:rsidRPr="00BA1B56">
        <w:rPr>
          <w:rStyle w:val="TextoNormalCaracter"/>
        </w:rPr>
        <w:t xml:space="preserve">, ff. 2, 3; </w:t>
      </w:r>
      <w:hyperlink w:anchor="SENTENCIA_2012_115" w:history="1">
        <w:r w:rsidRPr="00BA1B56">
          <w:rPr>
            <w:rStyle w:val="TextoNormalCaracter"/>
          </w:rPr>
          <w:t>115/2012</w:t>
        </w:r>
      </w:hyperlink>
      <w:r w:rsidRPr="00BA1B56">
        <w:rPr>
          <w:rStyle w:val="TextoNormalCaracter"/>
        </w:rPr>
        <w:t xml:space="preserve">, ff. 2, 3; </w:t>
      </w:r>
      <w:hyperlink w:anchor="SENTENCIA_2012_125" w:history="1">
        <w:r w:rsidRPr="00BA1B56">
          <w:rPr>
            <w:rStyle w:val="TextoNormalCaracter"/>
          </w:rPr>
          <w:t>125/2012</w:t>
        </w:r>
      </w:hyperlink>
      <w:r w:rsidRPr="00BA1B56">
        <w:rPr>
          <w:rStyle w:val="TextoNormalCaracter"/>
        </w:rPr>
        <w:t xml:space="preserve">, f. 4; </w:t>
      </w:r>
      <w:hyperlink w:anchor="SENTENCIA_2012_129" w:history="1">
        <w:r w:rsidRPr="00BA1B56">
          <w:rPr>
            <w:rStyle w:val="TextoNormalCaracter"/>
          </w:rPr>
          <w:t>129/2012</w:t>
        </w:r>
      </w:hyperlink>
      <w:r w:rsidRPr="00BA1B56">
        <w:rPr>
          <w:rStyle w:val="TextoNormalCaracter"/>
        </w:rPr>
        <w:t xml:space="preserve">, ff. 2, 3; </w:t>
      </w:r>
      <w:hyperlink w:anchor="SENTENCIA_2012_130" w:history="1">
        <w:r w:rsidRPr="00BA1B56">
          <w:rPr>
            <w:rStyle w:val="TextoNormalCaracter"/>
          </w:rPr>
          <w:t>130/2012</w:t>
        </w:r>
      </w:hyperlink>
      <w:r w:rsidRPr="00BA1B56">
        <w:rPr>
          <w:rStyle w:val="TextoNormalCaracter"/>
        </w:rPr>
        <w:t>, ff. 1, 2, 3.</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Sentencias </w:t>
      </w:r>
      <w:hyperlink w:anchor="SENTENCIA_2012_79" w:history="1">
        <w:r w:rsidRPr="00BA1B56">
          <w:rPr>
            <w:rStyle w:val="TextoNormalCaracter"/>
          </w:rPr>
          <w:t>79/2012</w:t>
        </w:r>
      </w:hyperlink>
      <w:r w:rsidRPr="00BA1B56">
        <w:rPr>
          <w:rStyle w:val="TextoNormalCaracter"/>
        </w:rPr>
        <w:t xml:space="preserve">, ff. 4, 6; </w:t>
      </w:r>
      <w:hyperlink w:anchor="SENTENCIA_2012_85" w:history="1">
        <w:r w:rsidRPr="00BA1B56">
          <w:rPr>
            <w:rStyle w:val="TextoNormalCaracter"/>
          </w:rPr>
          <w:t>85/2012</w:t>
        </w:r>
      </w:hyperlink>
      <w:r w:rsidRPr="00BA1B56">
        <w:rPr>
          <w:rStyle w:val="TextoNormalCaracter"/>
        </w:rPr>
        <w:t xml:space="preserve">, f. 3; </w:t>
      </w:r>
      <w:hyperlink w:anchor="SENTENCIA_2012_103" w:history="1">
        <w:r w:rsidRPr="00BA1B56">
          <w:rPr>
            <w:rStyle w:val="TextoNormalCaracter"/>
          </w:rPr>
          <w:t>103/2012</w:t>
        </w:r>
      </w:hyperlink>
      <w:r w:rsidRPr="00BA1B56">
        <w:rPr>
          <w:rStyle w:val="TextoNormalCaracter"/>
        </w:rPr>
        <w:t xml:space="preserve">, ff. 3 a 5; </w:t>
      </w:r>
      <w:hyperlink w:anchor="SENTENCIA_2012_104" w:history="1">
        <w:r w:rsidRPr="00BA1B56">
          <w:rPr>
            <w:rStyle w:val="TextoNormalCaracter"/>
          </w:rPr>
          <w:t>104/2012</w:t>
        </w:r>
      </w:hyperlink>
      <w:r w:rsidRPr="00BA1B56">
        <w:rPr>
          <w:rStyle w:val="TextoNormalCaracter"/>
        </w:rPr>
        <w:t xml:space="preserve">, ff. 2, 3; </w:t>
      </w:r>
      <w:hyperlink w:anchor="SENTENCIA_2012_115" w:history="1">
        <w:r w:rsidRPr="00BA1B56">
          <w:rPr>
            <w:rStyle w:val="TextoNormalCaracter"/>
          </w:rPr>
          <w:t>115/2012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125" w:history="1">
        <w:r w:rsidRPr="00BA1B56">
          <w:rPr>
            <w:rStyle w:val="TextoNormalCaracter"/>
          </w:rPr>
          <w:t>125/2012</w:t>
        </w:r>
      </w:hyperlink>
      <w:r w:rsidRPr="00BA1B56">
        <w:rPr>
          <w:rStyle w:val="TextoNormalCaracter"/>
        </w:rPr>
        <w:t xml:space="preserve">, f. 4; </w:t>
      </w:r>
      <w:hyperlink w:anchor="SENTENCIA_2012_129" w:history="1">
        <w:r w:rsidRPr="00BA1B56">
          <w:rPr>
            <w:rStyle w:val="TextoNormalCaracter"/>
          </w:rPr>
          <w:t>129/2012</w:t>
        </w:r>
      </w:hyperlink>
      <w:r w:rsidRPr="00BA1B56">
        <w:rPr>
          <w:rStyle w:val="TextoNormalCaracter"/>
        </w:rPr>
        <w:t xml:space="preserve">, ff. 1 a 4; </w:t>
      </w:r>
      <w:hyperlink w:anchor="SENTENCIA_2012_130" w:history="1">
        <w:r w:rsidRPr="00BA1B56">
          <w:rPr>
            <w:rStyle w:val="TextoNormalCaracter"/>
          </w:rPr>
          <w:t>130/2012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313" w:name="DESCRIPTORALFABETICO194"/>
      <w:r w:rsidRPr="00BA1B56">
        <w:rPr>
          <w:rStyle w:val="TextoNormalNegritaCaracter"/>
        </w:rPr>
        <w:t>Acceso al recurso penal</w:t>
      </w:r>
      <w:bookmarkEnd w:id="1313"/>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2; </w:t>
      </w:r>
      <w:hyperlink w:anchor="SENTENCIA_2012_40" w:history="1">
        <w:r w:rsidRPr="00BA1B56">
          <w:rPr>
            <w:rStyle w:val="TextoNormalCaracter"/>
          </w:rPr>
          <w:t>40/2012</w:t>
        </w:r>
      </w:hyperlink>
      <w:r w:rsidRPr="00BA1B56">
        <w:rPr>
          <w:rStyle w:val="TextoNormalCaracter"/>
        </w:rPr>
        <w:t xml:space="preserve">, f. 4; </w:t>
      </w:r>
      <w:hyperlink w:anchor="SENTENCIA_2012_41" w:history="1">
        <w:r w:rsidRPr="00BA1B56">
          <w:rPr>
            <w:rStyle w:val="TextoNormalCaracter"/>
          </w:rPr>
          <w:t>41/2012</w:t>
        </w:r>
      </w:hyperlink>
      <w:r w:rsidRPr="00BA1B56">
        <w:rPr>
          <w:rStyle w:val="TextoNormalCaracter"/>
        </w:rPr>
        <w:t xml:space="preserve">, f. 5; </w:t>
      </w:r>
      <w:hyperlink w:anchor="SENTENCIA_2012_42" w:history="1">
        <w:r w:rsidRPr="00BA1B56">
          <w:rPr>
            <w:rStyle w:val="TextoNormalCaracter"/>
          </w:rPr>
          <w:t>42/2012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2; </w:t>
      </w:r>
      <w:hyperlink w:anchor="SENTENCIA_2012_45" w:history="1">
        <w:r w:rsidRPr="00BA1B56">
          <w:rPr>
            <w:rStyle w:val="TextoNormalCaracter"/>
          </w:rPr>
          <w:t>45/2012</w:t>
        </w:r>
      </w:hyperlink>
      <w:r w:rsidRPr="00BA1B56">
        <w:rPr>
          <w:rStyle w:val="TextoNormalCaracter"/>
        </w:rPr>
        <w:t xml:space="preserve">, f. 2; </w:t>
      </w:r>
      <w:hyperlink w:anchor="SENTENCIA_2012_46" w:history="1">
        <w:r w:rsidRPr="00BA1B56">
          <w:rPr>
            <w:rStyle w:val="TextoNormalCaracter"/>
          </w:rPr>
          <w:t>46/2012</w:t>
        </w:r>
      </w:hyperlink>
      <w:r w:rsidRPr="00BA1B56">
        <w:rPr>
          <w:rStyle w:val="TextoNormalCaracter"/>
        </w:rPr>
        <w:t xml:space="preserve">, f. 2; </w:t>
      </w:r>
      <w:hyperlink w:anchor="SENTENCIA_2012_48" w:history="1">
        <w:r w:rsidRPr="00BA1B56">
          <w:rPr>
            <w:rStyle w:val="TextoNormalCaracter"/>
          </w:rPr>
          <w:t>48/2012</w:t>
        </w:r>
      </w:hyperlink>
      <w:r w:rsidRPr="00BA1B56">
        <w:rPr>
          <w:rStyle w:val="TextoNormalCaracter"/>
        </w:rPr>
        <w:t xml:space="preserve">, f. 3; </w:t>
      </w:r>
      <w:hyperlink w:anchor="SENTENCIA_2012_49" w:history="1">
        <w:r w:rsidRPr="00BA1B56">
          <w:rPr>
            <w:rStyle w:val="TextoNormalCaracter"/>
          </w:rPr>
          <w:t>49/2012</w:t>
        </w:r>
      </w:hyperlink>
      <w:r w:rsidRPr="00BA1B56">
        <w:rPr>
          <w:rStyle w:val="TextoNormalCaracter"/>
        </w:rPr>
        <w:t xml:space="preserve">, f. 2; </w:t>
      </w:r>
      <w:hyperlink w:anchor="SENTENCIA_2012_50" w:history="1">
        <w:r w:rsidRPr="00BA1B56">
          <w:rPr>
            <w:rStyle w:val="TextoNormalCaracter"/>
          </w:rPr>
          <w:t>50/2012</w:t>
        </w:r>
      </w:hyperlink>
      <w:r w:rsidRPr="00BA1B56">
        <w:rPr>
          <w:rStyle w:val="TextoNormalCaracter"/>
        </w:rPr>
        <w:t xml:space="preserve">, f. 2; </w:t>
      </w:r>
      <w:hyperlink w:anchor="SENTENCIA_2012_51" w:history="1">
        <w:r w:rsidRPr="00BA1B56">
          <w:rPr>
            <w:rStyle w:val="TextoNormalCaracter"/>
          </w:rPr>
          <w:t>51/2012</w:t>
        </w:r>
      </w:hyperlink>
      <w:r w:rsidRPr="00BA1B56">
        <w:rPr>
          <w:rStyle w:val="TextoNormalCaracter"/>
        </w:rPr>
        <w:t xml:space="preserve">, f. 3; </w:t>
      </w:r>
      <w:hyperlink w:anchor="SENTENCIA_2012_52" w:history="1">
        <w:r w:rsidRPr="00BA1B56">
          <w:rPr>
            <w:rStyle w:val="TextoNormalCaracter"/>
          </w:rPr>
          <w:t>52/2012</w:t>
        </w:r>
      </w:hyperlink>
      <w:r w:rsidRPr="00BA1B56">
        <w:rPr>
          <w:rStyle w:val="TextoNormalCaracter"/>
        </w:rPr>
        <w:t xml:space="preserve">, f. 2; </w:t>
      </w:r>
      <w:hyperlink w:anchor="SENTENCIA_2012_54" w:history="1">
        <w:r w:rsidRPr="00BA1B56">
          <w:rPr>
            <w:rStyle w:val="TextoNormalCaracter"/>
          </w:rPr>
          <w:t>54/2012</w:t>
        </w:r>
      </w:hyperlink>
      <w:r w:rsidRPr="00BA1B56">
        <w:rPr>
          <w:rStyle w:val="TextoNormalCaracter"/>
        </w:rPr>
        <w:t xml:space="preserve">, f. 3; </w:t>
      </w:r>
      <w:hyperlink w:anchor="SENTENCIA_2012_55" w:history="1">
        <w:r w:rsidRPr="00BA1B56">
          <w:rPr>
            <w:rStyle w:val="TextoNormalCaracter"/>
          </w:rPr>
          <w:t>55/2012</w:t>
        </w:r>
      </w:hyperlink>
      <w:r w:rsidRPr="00BA1B56">
        <w:rPr>
          <w:rStyle w:val="TextoNormalCaracter"/>
        </w:rPr>
        <w:t xml:space="preserve">, f. 3; </w:t>
      </w:r>
      <w:hyperlink w:anchor="SENTENCIA_2012_59" w:history="1">
        <w:r w:rsidRPr="00BA1B56">
          <w:rPr>
            <w:rStyle w:val="TextoNormalCaracter"/>
          </w:rPr>
          <w:t>59/2012</w:t>
        </w:r>
      </w:hyperlink>
      <w:r w:rsidRPr="00BA1B56">
        <w:rPr>
          <w:rStyle w:val="TextoNormalCaracter"/>
        </w:rPr>
        <w:t xml:space="preserve">, f. 6; </w:t>
      </w:r>
      <w:hyperlink w:anchor="SENTENCIA_2012_108" w:history="1">
        <w:r w:rsidRPr="00BA1B56">
          <w:rPr>
            <w:rStyle w:val="TextoNormalCaracter"/>
          </w:rPr>
          <w:t>108/2012</w:t>
        </w:r>
      </w:hyperlink>
      <w:r w:rsidRPr="00BA1B56">
        <w:rPr>
          <w:rStyle w:val="TextoNormalCaracter"/>
        </w:rPr>
        <w:t xml:space="preserve">, f. 5; </w:t>
      </w:r>
      <w:hyperlink w:anchor="SENTENCIA_2012_113" w:history="1">
        <w:r w:rsidRPr="00BA1B56">
          <w:rPr>
            <w:rStyle w:val="TextoNormalCaracter"/>
          </w:rPr>
          <w:t>113/2012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14" w:name="DESCRIPTORALFABETICO848"/>
      <w:r w:rsidRPr="00BA1B56">
        <w:rPr>
          <w:rStyle w:val="TextoNormalNegritaCaracter"/>
        </w:rPr>
        <w:t>Accidentes de tráfico</w:t>
      </w:r>
      <w:bookmarkEnd w:id="1314"/>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15" w:name="DESCRIPTORALFABETICO942"/>
      <w:r w:rsidRPr="00BA1B56">
        <w:rPr>
          <w:rStyle w:val="TextoNormalNegritaCaracter"/>
        </w:rPr>
        <w:t>Acción civil por daños</w:t>
      </w:r>
      <w:bookmarkEnd w:id="1315"/>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16" w:name="DESCRIPTORALFABETICO864"/>
      <w:r w:rsidRPr="00BA1B56">
        <w:rPr>
          <w:rStyle w:val="TextoNormalNegritaCaracter"/>
        </w:rPr>
        <w:t>Acción de anulación de laudo arbitral</w:t>
      </w:r>
      <w:bookmarkEnd w:id="1316"/>
      <w:r w:rsidRPr="00BA1B56">
        <w:rPr>
          <w:rStyle w:val="TextoNormalCaracter"/>
        </w:rPr>
        <w:t xml:space="preserve">, Sentencia </w:t>
      </w:r>
      <w:hyperlink w:anchor="SENTENCIA_2012_76" w:history="1">
        <w:r w:rsidRPr="00BA1B56">
          <w:rPr>
            <w:rStyle w:val="TextoNormalCaracter"/>
          </w:rPr>
          <w:t>76/2012</w:t>
        </w:r>
      </w:hyperlink>
      <w:r w:rsidRPr="00BA1B56">
        <w:rPr>
          <w:rStyle w:val="TextoNormalCaracter"/>
        </w:rPr>
        <w:t>, ff. 3 a 5.</w:t>
      </w:r>
    </w:p>
    <w:p w:rsidR="00BA1B56" w:rsidRPr="00BA1B56" w:rsidRDefault="00BA1B56" w:rsidP="00BA1B56">
      <w:pPr>
        <w:pStyle w:val="TextoNormalSangraFrancesa"/>
        <w:rPr>
          <w:rStyle w:val="TextoNormalCaracter"/>
        </w:rPr>
      </w:pPr>
      <w:bookmarkStart w:id="1317" w:name="DESCRIPTORALFABETICO820"/>
      <w:r w:rsidRPr="00BA1B56">
        <w:rPr>
          <w:rStyle w:val="TextoNormalNegritaCaracter"/>
        </w:rPr>
        <w:t>Acción sindical</w:t>
      </w:r>
      <w:bookmarkEnd w:id="1317"/>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18" w:name="DESCRIPTORALFABETICO381"/>
      <w:r w:rsidRPr="00BA1B56">
        <w:rPr>
          <w:rStyle w:val="TextoNormalNegritaCaracter"/>
        </w:rPr>
        <w:t>Aclaración de doctrina constitucional</w:t>
      </w:r>
      <w:bookmarkEnd w:id="1318"/>
      <w:r w:rsidRPr="00BA1B56">
        <w:rPr>
          <w:rStyle w:val="TextoNormalCaracter"/>
        </w:rPr>
        <w:t xml:space="preserve">, Sentencias </w:t>
      </w:r>
      <w:hyperlink w:anchor="SENTENCIA_2012_105" w:history="1">
        <w:r w:rsidRPr="00BA1B56">
          <w:rPr>
            <w:rStyle w:val="TextoNormalCaracter"/>
          </w:rPr>
          <w:t>105/2012</w:t>
        </w:r>
      </w:hyperlink>
      <w:r w:rsidRPr="00BA1B56">
        <w:rPr>
          <w:rStyle w:val="TextoNormalCaracter"/>
        </w:rPr>
        <w:t xml:space="preserve">, f. 3; </w:t>
      </w:r>
      <w:hyperlink w:anchor="SENTENCIA_2012_107" w:history="1">
        <w:r w:rsidRPr="00BA1B56">
          <w:rPr>
            <w:rStyle w:val="TextoNormalCaracter"/>
          </w:rPr>
          <w:t>107/2012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19" w:name="DESCRIPTORALFABETICO395"/>
      <w:r w:rsidRPr="00BA1B56">
        <w:rPr>
          <w:rStyle w:val="TextoNormalNegritaCaracter"/>
        </w:rPr>
        <w:t>Aclaración de sentencias del Tribunal Constitucional</w:t>
      </w:r>
      <w:bookmarkEnd w:id="1319"/>
      <w:r w:rsidRPr="00BA1B56">
        <w:rPr>
          <w:rStyle w:val="TextoNormalCaracter"/>
        </w:rPr>
        <w:t xml:space="preserve">, Auto </w:t>
      </w:r>
      <w:hyperlink w:anchor="AUTO_2012_108" w:history="1">
        <w:r w:rsidRPr="00BA1B56">
          <w:rPr>
            <w:rStyle w:val="TextoNormalCaracter"/>
          </w:rPr>
          <w:t>108/2012</w:t>
        </w:r>
      </w:hyperlink>
      <w:r w:rsidRPr="00BA1B56">
        <w:rPr>
          <w:rStyle w:val="TextoNormalCaracter"/>
        </w:rPr>
        <w:t>.</w:t>
      </w:r>
    </w:p>
    <w:p w:rsidR="00BA1B56" w:rsidRPr="00BA1B56" w:rsidRDefault="00BA1B56" w:rsidP="00BA1B56">
      <w:pPr>
        <w:pStyle w:val="TextoNormalSangraFrancesa"/>
        <w:rPr>
          <w:rStyle w:val="TextoNormalCaracter"/>
        </w:rPr>
      </w:pPr>
      <w:bookmarkStart w:id="1320" w:name="DESCRIPTORALFABETICO396"/>
      <w:r w:rsidRPr="00BA1B56">
        <w:rPr>
          <w:rStyle w:val="TextoNormalNegritaCaracter"/>
        </w:rPr>
        <w:t>Aclaración improcedente</w:t>
      </w:r>
      <w:bookmarkEnd w:id="1320"/>
      <w:r w:rsidRPr="00BA1B56">
        <w:rPr>
          <w:rStyle w:val="TextoNormalCaracter"/>
        </w:rPr>
        <w:t xml:space="preserve">, Auto </w:t>
      </w:r>
      <w:hyperlink w:anchor="AUTO_2012_108" w:history="1">
        <w:r w:rsidRPr="00BA1B56">
          <w:rPr>
            <w:rStyle w:val="TextoNormalCaracter"/>
          </w:rPr>
          <w:t>108/2012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21" w:name="DESCRIPTORALFABETICO941"/>
      <w:r w:rsidRPr="00BA1B56">
        <w:rPr>
          <w:rStyle w:val="TextoNormalNegritaCaracter"/>
        </w:rPr>
        <w:t>Acreditación del pago de tasas judiciales</w:t>
      </w:r>
      <w:bookmarkEnd w:id="1321"/>
      <w:r w:rsidRPr="00BA1B56">
        <w:rPr>
          <w:rStyle w:val="TextoNormalCaracter"/>
        </w:rPr>
        <w:t xml:space="preserve">, Sentencias </w:t>
      </w:r>
      <w:hyperlink w:anchor="SENTENCIA_2012_20" w:history="1">
        <w:r w:rsidRPr="00BA1B56">
          <w:rPr>
            <w:rStyle w:val="TextoNormalCaracter"/>
          </w:rPr>
          <w:t>20/2012</w:t>
        </w:r>
      </w:hyperlink>
      <w:r w:rsidRPr="00BA1B56">
        <w:rPr>
          <w:rStyle w:val="TextoNormalCaracter"/>
        </w:rPr>
        <w:t xml:space="preserve">, ff. 6 a 9; </w:t>
      </w:r>
      <w:hyperlink w:anchor="SENTENCIA_2012_79" w:history="1">
        <w:r w:rsidRPr="00BA1B56">
          <w:rPr>
            <w:rStyle w:val="TextoNormalCaracter"/>
          </w:rPr>
          <w:t>79/2012</w:t>
        </w:r>
      </w:hyperlink>
      <w:r w:rsidRPr="00BA1B56">
        <w:rPr>
          <w:rStyle w:val="TextoNormalCaracter"/>
        </w:rPr>
        <w:t xml:space="preserve">, ff. 4, 6; </w:t>
      </w:r>
      <w:hyperlink w:anchor="SENTENCIA_2012_85" w:history="1">
        <w:r w:rsidRPr="00BA1B56">
          <w:rPr>
            <w:rStyle w:val="TextoNormalCaracter"/>
          </w:rPr>
          <w:t>85/2012</w:t>
        </w:r>
      </w:hyperlink>
      <w:r w:rsidRPr="00BA1B56">
        <w:rPr>
          <w:rStyle w:val="TextoNormalCaracter"/>
        </w:rPr>
        <w:t xml:space="preserve">, f. 3; </w:t>
      </w:r>
      <w:hyperlink w:anchor="SENTENCIA_2012_116" w:history="1">
        <w:r w:rsidRPr="00BA1B56">
          <w:rPr>
            <w:rStyle w:val="TextoNormalCaracter"/>
          </w:rPr>
          <w:t>116/2012</w:t>
        </w:r>
      </w:hyperlink>
      <w:r w:rsidRPr="00BA1B56">
        <w:rPr>
          <w:rStyle w:val="TextoNormalCaracter"/>
        </w:rPr>
        <w:t xml:space="preserve">, f. 7; </w:t>
      </w:r>
      <w:hyperlink w:anchor="SENTENCIA_2012_125" w:history="1">
        <w:r w:rsidRPr="00BA1B56">
          <w:rPr>
            <w:rStyle w:val="TextoNormalCaracter"/>
          </w:rPr>
          <w:t>125/2012</w:t>
        </w:r>
      </w:hyperlink>
      <w:r w:rsidRPr="00BA1B56">
        <w:rPr>
          <w:rStyle w:val="TextoNormalCaracter"/>
        </w:rPr>
        <w:t>, ff. 7, 8.</w:t>
      </w:r>
    </w:p>
    <w:p w:rsidR="00BA1B56" w:rsidRPr="00BA1B56" w:rsidRDefault="00BA1B56" w:rsidP="00BA1B56">
      <w:pPr>
        <w:pStyle w:val="TextoNormalSangraFrancesa"/>
        <w:rPr>
          <w:rStyle w:val="TextoNormalCaracter"/>
        </w:rPr>
      </w:pPr>
      <w:bookmarkStart w:id="1322" w:name="DESCRIPTORALFABETICO815"/>
      <w:r w:rsidRPr="00BA1B56">
        <w:rPr>
          <w:rStyle w:val="TextoNormalNegritaCaracter"/>
        </w:rPr>
        <w:t>Actividad durante baja por incapacidad laboral</w:t>
      </w:r>
      <w:bookmarkEnd w:id="1322"/>
      <w:r w:rsidRPr="00BA1B56">
        <w:rPr>
          <w:rStyle w:val="TextoNormalCaracter"/>
        </w:rPr>
        <w:t xml:space="preserve">, Sentencia </w:t>
      </w:r>
      <w:hyperlink w:anchor="SENTENCIA_2012_31" w:history="1">
        <w:r w:rsidRPr="00BA1B56">
          <w:rPr>
            <w:rStyle w:val="TextoNormalCaracter"/>
          </w:rPr>
          <w:t>31/2012</w:t>
        </w:r>
      </w:hyperlink>
      <w:r w:rsidRPr="00BA1B56">
        <w:rPr>
          <w:rStyle w:val="TextoNormalCaracter"/>
        </w:rPr>
        <w:t>, ff. 1, 3, 5.</w:t>
      </w:r>
    </w:p>
    <w:p w:rsidR="00BA1B56" w:rsidRPr="00BA1B56" w:rsidRDefault="00BA1B56" w:rsidP="00BA1B56">
      <w:pPr>
        <w:pStyle w:val="TextoNormalSangraFrancesa"/>
        <w:rPr>
          <w:rStyle w:val="TextoNormalCaracter"/>
        </w:rPr>
      </w:pPr>
      <w:bookmarkStart w:id="1323" w:name="DESCRIPTORALFABETICO738"/>
      <w:r w:rsidRPr="00BA1B56">
        <w:rPr>
          <w:rStyle w:val="TextoNormalNegritaCaracter"/>
        </w:rPr>
        <w:t>Actos con fuerza de ley</w:t>
      </w:r>
      <w:bookmarkEnd w:id="1323"/>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 ff. 2, 3, VP.</w:t>
      </w:r>
    </w:p>
    <w:p w:rsidR="00BA1B56" w:rsidRPr="00BA1B56" w:rsidRDefault="00BA1B56" w:rsidP="00BA1B56">
      <w:pPr>
        <w:pStyle w:val="TextoNormalSangraFrancesa"/>
        <w:rPr>
          <w:rStyle w:val="TextoNormalNegritaCaracter"/>
        </w:rPr>
      </w:pPr>
      <w:r w:rsidRPr="00BA1B56">
        <w:rPr>
          <w:rStyle w:val="TextoNormalCursivaCaracter"/>
        </w:rPr>
        <w:t>Actos no recurribles en amparo</w:t>
      </w:r>
      <w:r>
        <w:t xml:space="preserve"> véase </w:t>
      </w:r>
      <w:hyperlink w:anchor="DESCRIPTORALFABETICO370" w:history="1">
        <w:r w:rsidRPr="00BA1B56">
          <w:rPr>
            <w:rStyle w:val="TextoNormalNegritaCaracter"/>
          </w:rPr>
          <w:t>Actos no susceptibles de amparo</w:t>
        </w:r>
      </w:hyperlink>
    </w:p>
    <w:p w:rsidR="00BA1B56" w:rsidRPr="00BA1B56" w:rsidRDefault="00BA1B56" w:rsidP="00BA1B56">
      <w:pPr>
        <w:pStyle w:val="TextoNormalSangraFrancesa"/>
        <w:rPr>
          <w:rStyle w:val="TextoNormalCaracter"/>
        </w:rPr>
      </w:pPr>
      <w:bookmarkStart w:id="1324" w:name="DESCRIPTORALFABETICO370"/>
      <w:r w:rsidRPr="00BA1B56">
        <w:rPr>
          <w:rStyle w:val="TextoNormalNegritaCaracter"/>
        </w:rPr>
        <w:t>Actos no susceptibles de amparo</w:t>
      </w:r>
      <w:bookmarkEnd w:id="1324"/>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25" w:name="DESCRIPTORALFABETICO461"/>
      <w:r w:rsidRPr="00BA1B56">
        <w:rPr>
          <w:rStyle w:val="TextoNormalNegritaCaracter"/>
        </w:rPr>
        <w:t>Acuerdo de la Mesa desestimando solicitud de varios diputados</w:t>
      </w:r>
      <w:bookmarkEnd w:id="1325"/>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2 a 6.</w:t>
      </w:r>
    </w:p>
    <w:p w:rsidR="00BA1B56" w:rsidRPr="00BA1B56" w:rsidRDefault="00BA1B56" w:rsidP="00BA1B56">
      <w:pPr>
        <w:pStyle w:val="TextoNormalSangraFrancesa"/>
        <w:rPr>
          <w:rStyle w:val="TextoNormalNegritaCaracter"/>
        </w:rPr>
      </w:pPr>
      <w:r w:rsidRPr="00BA1B56">
        <w:rPr>
          <w:rStyle w:val="TextoNormalCursivaCaracter"/>
        </w:rPr>
        <w:t>Acuerdos de corporaciones locales</w:t>
      </w:r>
      <w:r>
        <w:t xml:space="preserve"> véase </w:t>
      </w:r>
      <w:hyperlink w:anchor="DESCRIPTORALFABETICO424" w:history="1">
        <w:r w:rsidRPr="00BA1B56">
          <w:rPr>
            <w:rStyle w:val="TextoNormalNegritaCaracter"/>
          </w:rPr>
          <w:t>Acuerdos municipales</w:t>
        </w:r>
      </w:hyperlink>
    </w:p>
    <w:p w:rsidR="00BA1B56" w:rsidRPr="00BA1B56" w:rsidRDefault="00BA1B56" w:rsidP="00BA1B56">
      <w:pPr>
        <w:pStyle w:val="TextoNormalSangraFrancesa"/>
        <w:rPr>
          <w:rStyle w:val="TextoNormalCaracter"/>
        </w:rPr>
      </w:pPr>
      <w:bookmarkStart w:id="1326" w:name="DESCRIPTORALFABETICO424"/>
      <w:r w:rsidRPr="00BA1B56">
        <w:rPr>
          <w:rStyle w:val="TextoNormalNegritaCaracter"/>
        </w:rPr>
        <w:t>Acuerdos municipales</w:t>
      </w:r>
      <w:bookmarkEnd w:id="1326"/>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 7.</w:t>
      </w:r>
    </w:p>
    <w:p w:rsidR="00BA1B56" w:rsidRPr="00BA1B56" w:rsidRDefault="00BA1B56" w:rsidP="00BA1B56">
      <w:pPr>
        <w:pStyle w:val="TextoNormalSangraFrancesa"/>
        <w:rPr>
          <w:rStyle w:val="TextoNormalCaracter"/>
        </w:rPr>
      </w:pPr>
      <w:bookmarkStart w:id="1327" w:name="DESCRIPTORALFABETICO859"/>
      <w:r w:rsidRPr="00BA1B56">
        <w:rPr>
          <w:rStyle w:val="TextoNormalNegritaCaracter"/>
        </w:rPr>
        <w:t>Acumulación de acciones</w:t>
      </w:r>
      <w:bookmarkEnd w:id="1327"/>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2, 5, VP I.</w:t>
      </w:r>
    </w:p>
    <w:p w:rsidR="00BA1B56" w:rsidRPr="00BA1B56" w:rsidRDefault="00BA1B56" w:rsidP="00BA1B56">
      <w:pPr>
        <w:pStyle w:val="TextoNormalSangraFrancesa"/>
        <w:rPr>
          <w:rStyle w:val="TextoNormalCaracter"/>
        </w:rPr>
      </w:pPr>
      <w:bookmarkStart w:id="1328" w:name="DESCRIPTORALFABETICO979"/>
      <w:r w:rsidRPr="00BA1B56">
        <w:rPr>
          <w:rStyle w:val="TextoNormalNegritaCaracter"/>
        </w:rPr>
        <w:t>Acumulación de condenas</w:t>
      </w:r>
      <w:bookmarkEnd w:id="1328"/>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8, VP II; </w:t>
      </w:r>
      <w:hyperlink w:anchor="SENTENCIA_2012_40" w:history="1">
        <w:r w:rsidRPr="00BA1B56">
          <w:rPr>
            <w:rStyle w:val="TextoNormalCaracter"/>
          </w:rPr>
          <w:t>40/2012</w:t>
        </w:r>
      </w:hyperlink>
      <w:r w:rsidRPr="00BA1B56">
        <w:rPr>
          <w:rStyle w:val="TextoNormalCaracter"/>
        </w:rPr>
        <w:t xml:space="preserve">, ff. 5, 6, VP II; </w:t>
      </w:r>
      <w:hyperlink w:anchor="SENTENCIA_2012_41" w:history="1">
        <w:r w:rsidRPr="00BA1B56">
          <w:rPr>
            <w:rStyle w:val="TextoNormalCaracter"/>
          </w:rPr>
          <w:t>41/2012</w:t>
        </w:r>
      </w:hyperlink>
      <w:r w:rsidRPr="00BA1B56">
        <w:rPr>
          <w:rStyle w:val="TextoNormalCaracter"/>
        </w:rPr>
        <w:t xml:space="preserve">, f. 6, VP I; </w:t>
      </w:r>
      <w:hyperlink w:anchor="SENTENCIA_2012_42" w:history="1">
        <w:r w:rsidRPr="00BA1B56">
          <w:rPr>
            <w:rStyle w:val="TextoNormalCaracter"/>
          </w:rPr>
          <w:t>42/2012</w:t>
        </w:r>
      </w:hyperlink>
      <w:r w:rsidRPr="00BA1B56">
        <w:rPr>
          <w:rStyle w:val="TextoNormalCaracter"/>
        </w:rPr>
        <w:t xml:space="preserve">, f. 5; </w:t>
      </w:r>
      <w:hyperlink w:anchor="SENTENCIA_2012_43" w:history="1">
        <w:r w:rsidRPr="00BA1B56">
          <w:rPr>
            <w:rStyle w:val="TextoNormalCaracter"/>
          </w:rPr>
          <w:t>43/2012</w:t>
        </w:r>
      </w:hyperlink>
      <w:r w:rsidRPr="00BA1B56">
        <w:rPr>
          <w:rStyle w:val="TextoNormalCaracter"/>
        </w:rPr>
        <w:t xml:space="preserve">, f. 3; </w:t>
      </w:r>
      <w:hyperlink w:anchor="SENTENCIA_2012_44" w:history="1">
        <w:r w:rsidRPr="00BA1B56">
          <w:rPr>
            <w:rStyle w:val="TextoNormalCaracter"/>
          </w:rPr>
          <w:t>44/2012</w:t>
        </w:r>
      </w:hyperlink>
      <w:r w:rsidRPr="00BA1B56">
        <w:rPr>
          <w:rStyle w:val="TextoNormalCaracter"/>
        </w:rPr>
        <w:t xml:space="preserve">, ff. 3, 6; </w:t>
      </w:r>
      <w:hyperlink w:anchor="SENTENCIA_2012_45" w:history="1">
        <w:r w:rsidRPr="00BA1B56">
          <w:rPr>
            <w:rStyle w:val="TextoNormalCaracter"/>
          </w:rPr>
          <w:t>45/2012</w:t>
        </w:r>
      </w:hyperlink>
      <w:r w:rsidRPr="00BA1B56">
        <w:rPr>
          <w:rStyle w:val="TextoNormalCaracter"/>
        </w:rPr>
        <w:t xml:space="preserve">, ff. 3, 6; </w:t>
      </w:r>
      <w:hyperlink w:anchor="SENTENCIA_2012_46" w:history="1">
        <w:r w:rsidRPr="00BA1B56">
          <w:rPr>
            <w:rStyle w:val="TextoNormalCaracter"/>
          </w:rPr>
          <w:t>46/2012</w:t>
        </w:r>
      </w:hyperlink>
      <w:r w:rsidRPr="00BA1B56">
        <w:rPr>
          <w:rStyle w:val="TextoNormalCaracter"/>
        </w:rPr>
        <w:t xml:space="preserve">, f. 3; </w:t>
      </w:r>
      <w:hyperlink w:anchor="SENTENCIA_2012_47" w:history="1">
        <w:r w:rsidRPr="00BA1B56">
          <w:rPr>
            <w:rStyle w:val="TextoNormalCaracter"/>
          </w:rPr>
          <w:t>47/2012</w:t>
        </w:r>
      </w:hyperlink>
      <w:r w:rsidRPr="00BA1B56">
        <w:rPr>
          <w:rStyle w:val="TextoNormalCaracter"/>
        </w:rPr>
        <w:t xml:space="preserve">, ff. 3, 4, VP II;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ff. 3, 4;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 3; </w:t>
      </w:r>
      <w:hyperlink w:anchor="SENTENCIA_2012_54" w:history="1">
        <w:r w:rsidRPr="00BA1B56">
          <w:rPr>
            <w:rStyle w:val="TextoNormalCaracter"/>
          </w:rPr>
          <w:t>54/2012</w:t>
        </w:r>
      </w:hyperlink>
      <w:r w:rsidRPr="00BA1B56">
        <w:rPr>
          <w:rStyle w:val="TextoNormalCaracter"/>
        </w:rPr>
        <w:t xml:space="preserve">, ff. 7, 8; </w:t>
      </w:r>
      <w:hyperlink w:anchor="SENTENCIA_2012_55" w:history="1">
        <w:r w:rsidRPr="00BA1B56">
          <w:rPr>
            <w:rStyle w:val="TextoNormalCaracter"/>
          </w:rPr>
          <w:t>55/2012</w:t>
        </w:r>
      </w:hyperlink>
      <w:r w:rsidRPr="00BA1B56">
        <w:rPr>
          <w:rStyle w:val="TextoNormalCaracter"/>
        </w:rPr>
        <w:t xml:space="preserve">, f. 5; </w:t>
      </w:r>
      <w:hyperlink w:anchor="SENTENCIA_2012_56" w:history="1">
        <w:r w:rsidRPr="00BA1B56">
          <w:rPr>
            <w:rStyle w:val="TextoNormalCaracter"/>
          </w:rPr>
          <w:t>56/2012</w:t>
        </w:r>
      </w:hyperlink>
      <w:r w:rsidRPr="00BA1B56">
        <w:rPr>
          <w:rStyle w:val="TextoNormalCaracter"/>
        </w:rPr>
        <w:t xml:space="preserve">, ff. 4, 5; </w:t>
      </w:r>
      <w:hyperlink w:anchor="SENTENCIA_2012_57" w:history="1">
        <w:r w:rsidRPr="00BA1B56">
          <w:rPr>
            <w:rStyle w:val="TextoNormalCaracter"/>
          </w:rPr>
          <w:t>57/2012</w:t>
        </w:r>
      </w:hyperlink>
      <w:r w:rsidRPr="00BA1B56">
        <w:rPr>
          <w:rStyle w:val="TextoNormalCaracter"/>
        </w:rPr>
        <w:t xml:space="preserve">, ff. 3, 8; </w:t>
      </w:r>
      <w:hyperlink w:anchor="SENTENCIA_2012_58" w:history="1">
        <w:r w:rsidRPr="00BA1B56">
          <w:rPr>
            <w:rStyle w:val="TextoNormalCaracter"/>
          </w:rPr>
          <w:t>58/2012</w:t>
        </w:r>
      </w:hyperlink>
      <w:r w:rsidRPr="00BA1B56">
        <w:rPr>
          <w:rStyle w:val="TextoNormalCaracter"/>
        </w:rPr>
        <w:t xml:space="preserve">, f. 3; </w:t>
      </w:r>
      <w:hyperlink w:anchor="SENTENCIA_2012_59" w:history="1">
        <w:r w:rsidRPr="00BA1B56">
          <w:rPr>
            <w:rStyle w:val="TextoNormalCaracter"/>
          </w:rPr>
          <w:t>59/2012</w:t>
        </w:r>
      </w:hyperlink>
      <w:r w:rsidRPr="00BA1B56">
        <w:rPr>
          <w:rStyle w:val="TextoNormalCaracter"/>
        </w:rPr>
        <w:t xml:space="preserve">, ff. 4, 5; </w:t>
      </w:r>
      <w:hyperlink w:anchor="SENTENCIA_2012_60" w:history="1">
        <w:r w:rsidRPr="00BA1B56">
          <w:rPr>
            <w:rStyle w:val="TextoNormalCaracter"/>
          </w:rPr>
          <w:t>60/2012</w:t>
        </w:r>
      </w:hyperlink>
      <w:r w:rsidRPr="00BA1B56">
        <w:rPr>
          <w:rStyle w:val="TextoNormalCaracter"/>
        </w:rPr>
        <w:t xml:space="preserve">, f. 3; </w:t>
      </w:r>
      <w:hyperlink w:anchor="SENTENCIA_2012_61" w:history="1">
        <w:r w:rsidRPr="00BA1B56">
          <w:rPr>
            <w:rStyle w:val="TextoNormalCaracter"/>
          </w:rPr>
          <w:t>61/2012</w:t>
        </w:r>
      </w:hyperlink>
      <w:r w:rsidRPr="00BA1B56">
        <w:rPr>
          <w:rStyle w:val="TextoNormalCaracter"/>
        </w:rPr>
        <w:t xml:space="preserve">, f. 3; </w:t>
      </w:r>
      <w:hyperlink w:anchor="SENTENCIA_2012_63" w:history="1">
        <w:r w:rsidRPr="00BA1B56">
          <w:rPr>
            <w:rStyle w:val="TextoNormalCaracter"/>
          </w:rPr>
          <w:t>63/2012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 4; </w:t>
      </w:r>
      <w:hyperlink w:anchor="SENTENCIA_2012_65" w:history="1">
        <w:r w:rsidRPr="00BA1B56">
          <w:rPr>
            <w:rStyle w:val="TextoNormalCaracter"/>
          </w:rPr>
          <w:t>65/2012</w:t>
        </w:r>
      </w:hyperlink>
      <w:r w:rsidRPr="00BA1B56">
        <w:rPr>
          <w:rStyle w:val="TextoNormalCaracter"/>
        </w:rPr>
        <w:t xml:space="preserve">, f. 5; </w:t>
      </w:r>
      <w:hyperlink w:anchor="SENTENCIA_2012_66" w:history="1">
        <w:r w:rsidRPr="00BA1B56">
          <w:rPr>
            <w:rStyle w:val="TextoNormalCaracter"/>
          </w:rPr>
          <w:t>66/2012</w:t>
        </w:r>
      </w:hyperlink>
      <w:r w:rsidRPr="00BA1B56">
        <w:rPr>
          <w:rStyle w:val="TextoNormalCaracter"/>
        </w:rPr>
        <w:t xml:space="preserve">, ff. 3 a 5; </w:t>
      </w:r>
      <w:hyperlink w:anchor="SENTENCIA_2012_67" w:history="1">
        <w:r w:rsidRPr="00BA1B56">
          <w:rPr>
            <w:rStyle w:val="TextoNormalCaracter"/>
          </w:rPr>
          <w:t>67/2012</w:t>
        </w:r>
      </w:hyperlink>
      <w:r w:rsidRPr="00BA1B56">
        <w:rPr>
          <w:rStyle w:val="TextoNormalCaracter"/>
        </w:rPr>
        <w:t xml:space="preserve">, f. 4; </w:t>
      </w:r>
      <w:hyperlink w:anchor="SENTENCIA_2012_68" w:history="1">
        <w:r w:rsidRPr="00BA1B56">
          <w:rPr>
            <w:rStyle w:val="TextoNormalCaracter"/>
          </w:rPr>
          <w:t>68/2012</w:t>
        </w:r>
      </w:hyperlink>
      <w:r w:rsidRPr="00BA1B56">
        <w:rPr>
          <w:rStyle w:val="TextoNormalCaracter"/>
        </w:rPr>
        <w:t xml:space="preserve">, ff. 5, 6; </w:t>
      </w:r>
      <w:hyperlink w:anchor="SENTENCIA_2012_69" w:history="1">
        <w:r w:rsidRPr="00BA1B56">
          <w:rPr>
            <w:rStyle w:val="TextoNormalCaracter"/>
          </w:rPr>
          <w:t>69/2012</w:t>
        </w:r>
      </w:hyperlink>
      <w:r w:rsidRPr="00BA1B56">
        <w:rPr>
          <w:rStyle w:val="TextoNormalCaracter"/>
        </w:rPr>
        <w:t xml:space="preserve">, f. 5; </w:t>
      </w:r>
      <w:hyperlink w:anchor="SENTENCIA_2012_108" w:history="1">
        <w:r w:rsidRPr="00BA1B56">
          <w:rPr>
            <w:rStyle w:val="TextoNormalCaracter"/>
          </w:rPr>
          <w:t>108/2012</w:t>
        </w:r>
      </w:hyperlink>
      <w:r w:rsidRPr="00BA1B56">
        <w:rPr>
          <w:rStyle w:val="TextoNormalCaracter"/>
        </w:rPr>
        <w:t xml:space="preserve">, ff. 2, 3; </w:t>
      </w:r>
      <w:hyperlink w:anchor="SENTENCIA_2012_113" w:history="1">
        <w:r w:rsidRPr="00BA1B56">
          <w:rPr>
            <w:rStyle w:val="TextoNormalCaracter"/>
          </w:rPr>
          <w:t>113/2012</w:t>
        </w:r>
      </w:hyperlink>
      <w:r w:rsidRPr="00BA1B56">
        <w:rPr>
          <w:rStyle w:val="TextoNormalCaracter"/>
        </w:rPr>
        <w:t xml:space="preserve">, ff. 8, 12; </w:t>
      </w:r>
      <w:hyperlink w:anchor="SENTENCIA_2012_114" w:history="1">
        <w:r w:rsidRPr="00BA1B56">
          <w:rPr>
            <w:rStyle w:val="TextoNormalCaracter"/>
          </w:rPr>
          <w:t>114/2012</w:t>
        </w:r>
      </w:hyperlink>
      <w:r w:rsidRPr="00BA1B56">
        <w:rPr>
          <w:rStyle w:val="TextoNormalCaracter"/>
        </w:rPr>
        <w:t xml:space="preserve">, f. 4;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29" w:name="DESCRIPTORALFABETICO296"/>
      <w:r w:rsidRPr="00BA1B56">
        <w:rPr>
          <w:rStyle w:val="TextoNormalNegritaCaracter"/>
        </w:rPr>
        <w:t>Acumulación de conflictos en defensa de la autonomía local</w:t>
      </w:r>
      <w:bookmarkEnd w:id="1329"/>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Improcedencia, </w:t>
      </w:r>
      <w:r w:rsidRPr="00BA1B56">
        <w:rPr>
          <w:rStyle w:val="TextoNormalCaracter"/>
        </w:rPr>
        <w:t xml:space="preserve">Sentencia </w:t>
      </w:r>
      <w:hyperlink w:anchor="SENTENCIA_2012_121" w:history="1">
        <w:r w:rsidRPr="00BA1B56">
          <w:rPr>
            <w:rStyle w:val="TextoNormalCaracter"/>
          </w:rPr>
          <w:t>121/2012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330" w:name="DESCRIPTORALFABETICO297"/>
      <w:r w:rsidRPr="00BA1B56">
        <w:rPr>
          <w:rStyle w:val="TextoNormalNegritaCaracter"/>
        </w:rPr>
        <w:t>Acumulación de recursos de amparo</w:t>
      </w:r>
      <w:bookmarkEnd w:id="1330"/>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Improcedencia, </w:t>
      </w:r>
      <w:r w:rsidRPr="00BA1B56">
        <w:rPr>
          <w:rStyle w:val="TextoNormalCaracter"/>
        </w:rPr>
        <w:t xml:space="preserve">Auto </w:t>
      </w:r>
      <w:hyperlink w:anchor="AUTO_2012_100" w:history="1">
        <w:r w:rsidRPr="00BA1B56">
          <w:rPr>
            <w:rStyle w:val="TextoNormalCaracter"/>
          </w:rPr>
          <w:t>100/2012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331" w:name="DESCRIPTORALFABETICO298"/>
      <w:r w:rsidRPr="00BA1B56">
        <w:rPr>
          <w:rStyle w:val="TextoNormalNegritaCaracter"/>
        </w:rPr>
        <w:t>Acumulación de recursos de amparo electoral</w:t>
      </w:r>
      <w:bookmarkEnd w:id="1331"/>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Procedencia, </w:t>
      </w:r>
      <w:r w:rsidRPr="00BA1B56">
        <w:rPr>
          <w:rStyle w:val="TextoNormalCaracter"/>
        </w:rPr>
        <w:t xml:space="preserve">Auto </w:t>
      </w:r>
      <w:hyperlink w:anchor="AUTO_2012_84" w:history="1">
        <w:r w:rsidRPr="00BA1B56">
          <w:rPr>
            <w:rStyle w:val="TextoNormalCaracter"/>
          </w:rPr>
          <w:t>84/2012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332" w:name="DESCRIPTORALFABETICO299"/>
      <w:r w:rsidRPr="00BA1B56">
        <w:rPr>
          <w:rStyle w:val="TextoNormalNegritaCaracter"/>
        </w:rPr>
        <w:t>Acumulación de recursos de inconstitucionalidad</w:t>
      </w:r>
      <w:bookmarkEnd w:id="1332"/>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Procedencia, </w:t>
      </w:r>
      <w:r w:rsidRPr="00BA1B56">
        <w:rPr>
          <w:rStyle w:val="TextoNormalCaracter"/>
        </w:rPr>
        <w:t xml:space="preserve">Auto </w:t>
      </w:r>
      <w:hyperlink w:anchor="AUTO_2012_107" w:history="1">
        <w:r w:rsidRPr="00BA1B56">
          <w:rPr>
            <w:rStyle w:val="TextoNormalCaracter"/>
          </w:rPr>
          <w:t>107/2012</w:t>
        </w:r>
      </w:hyperlink>
      <w:r w:rsidRPr="00BA1B56">
        <w:rPr>
          <w:rStyle w:val="TextoNormalCaracter"/>
        </w:rPr>
        <w:t>, f. único.</w:t>
      </w:r>
    </w:p>
    <w:p w:rsidR="00BA1B56" w:rsidRPr="00BA1B56" w:rsidRDefault="00BA1B56" w:rsidP="00BA1B56">
      <w:pPr>
        <w:pStyle w:val="TextoNormalSangraFrancesa"/>
        <w:rPr>
          <w:rStyle w:val="TextoNormalNegritaCaracter"/>
        </w:rPr>
      </w:pPr>
      <w:r w:rsidRPr="00BA1B56">
        <w:rPr>
          <w:rStyle w:val="TextoNormalCursivaCaracter"/>
        </w:rPr>
        <w:t>Adjudicación de escaños</w:t>
      </w:r>
      <w:r>
        <w:t xml:space="preserve"> véase </w:t>
      </w:r>
      <w:hyperlink w:anchor="DESCRIPTORALFABETICO142" w:history="1">
        <w:r w:rsidRPr="00BA1B56">
          <w:rPr>
            <w:rStyle w:val="TextoNormalNegritaCaracter"/>
          </w:rPr>
          <w:t>Atribución de escaños</w:t>
        </w:r>
      </w:hyperlink>
    </w:p>
    <w:p w:rsidR="00BA1B56" w:rsidRPr="00BA1B56" w:rsidRDefault="00BA1B56" w:rsidP="00BA1B56">
      <w:pPr>
        <w:pStyle w:val="TextoNormalSangraFrancesa"/>
        <w:rPr>
          <w:rStyle w:val="TextoNormalCaracter"/>
        </w:rPr>
      </w:pPr>
      <w:bookmarkStart w:id="1333" w:name="DESCRIPTORALFABETICO423"/>
      <w:r w:rsidRPr="00BA1B56">
        <w:rPr>
          <w:rStyle w:val="TextoNormalNegritaCaracter"/>
        </w:rPr>
        <w:t>Administración local</w:t>
      </w:r>
      <w:bookmarkEnd w:id="1333"/>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ff. 2, 4, 5.</w:t>
      </w:r>
    </w:p>
    <w:p w:rsidR="00BA1B56" w:rsidRPr="00BA1B56" w:rsidRDefault="00BA1B56" w:rsidP="00BA1B56">
      <w:pPr>
        <w:pStyle w:val="TextoNormalSangraFrancesa"/>
        <w:rPr>
          <w:rStyle w:val="TextoNormalCaracter"/>
        </w:rPr>
      </w:pPr>
      <w:bookmarkStart w:id="1334" w:name="DESCRIPTORALFABETICO420"/>
      <w:r w:rsidRPr="00BA1B56">
        <w:rPr>
          <w:rStyle w:val="TextoNormalNegritaCaracter"/>
        </w:rPr>
        <w:t>Administración pública</w:t>
      </w:r>
      <w:bookmarkEnd w:id="1334"/>
      <w:r w:rsidRPr="00BA1B56">
        <w:rPr>
          <w:rStyle w:val="TextoNormalCaracter"/>
        </w:rPr>
        <w:t xml:space="preserve">, Sentencias </w:t>
      </w:r>
      <w:hyperlink w:anchor="SENTENCIA_2012_93" w:history="1">
        <w:r w:rsidRPr="00BA1B56">
          <w:rPr>
            <w:rStyle w:val="TextoNormalCaracter"/>
          </w:rPr>
          <w:t>93/2012</w:t>
        </w:r>
      </w:hyperlink>
      <w:r w:rsidRPr="00BA1B56">
        <w:rPr>
          <w:rStyle w:val="TextoNormalCaracter"/>
        </w:rPr>
        <w:t xml:space="preserve">, f. 3; </w:t>
      </w:r>
      <w:hyperlink w:anchor="SENTENCIA_2012_98" w:history="1">
        <w:r w:rsidRPr="00BA1B56">
          <w:rPr>
            <w:rStyle w:val="TextoNormalCaracter"/>
          </w:rPr>
          <w:t>98/2012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35" w:name="DESCRIPTORALFABETICO957"/>
      <w:r w:rsidRPr="00BA1B56">
        <w:rPr>
          <w:rStyle w:val="TextoNormalNegritaCaracter"/>
        </w:rPr>
        <w:t>Admisión de recurso de suplicación</w:t>
      </w:r>
      <w:bookmarkEnd w:id="1335"/>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ff. 3 a 5.</w:t>
      </w:r>
    </w:p>
    <w:p w:rsidR="00BA1B56" w:rsidRPr="00BA1B56" w:rsidRDefault="00BA1B56" w:rsidP="00BA1B56">
      <w:pPr>
        <w:pStyle w:val="TextoNormalSangraFrancesa"/>
        <w:rPr>
          <w:rStyle w:val="TextoNormalCaracter"/>
        </w:rPr>
      </w:pPr>
      <w:bookmarkStart w:id="1336" w:name="DESCRIPTORALFABETICO379"/>
      <w:r w:rsidRPr="00BA1B56">
        <w:rPr>
          <w:rStyle w:val="TextoNormalNegritaCaracter"/>
        </w:rPr>
        <w:t>Agotamiento de la vía judicial</w:t>
      </w:r>
      <w:bookmarkEnd w:id="1336"/>
      <w:r w:rsidRPr="00BA1B56">
        <w:rPr>
          <w:rStyle w:val="TextoNormalCaracter"/>
        </w:rPr>
        <w:t xml:space="preserve">, Sentencias </w:t>
      </w:r>
      <w:hyperlink w:anchor="SENTENCIA_2012_10" w:history="1">
        <w:r w:rsidRPr="00BA1B56">
          <w:rPr>
            <w:rStyle w:val="TextoNormalCaracter"/>
          </w:rPr>
          <w:t>10/2012</w:t>
        </w:r>
      </w:hyperlink>
      <w:r w:rsidRPr="00BA1B56">
        <w:rPr>
          <w:rStyle w:val="TextoNormalCaracter"/>
        </w:rPr>
        <w:t xml:space="preserve">, f. 2; </w:t>
      </w:r>
      <w:hyperlink w:anchor="SENTENCIA_2012_11" w:history="1">
        <w:r w:rsidRPr="00BA1B56">
          <w:rPr>
            <w:rStyle w:val="TextoNormalCaracter"/>
          </w:rPr>
          <w:t>11/2012</w:t>
        </w:r>
      </w:hyperlink>
      <w:r w:rsidRPr="00BA1B56">
        <w:rPr>
          <w:rStyle w:val="TextoNormalCaracter"/>
        </w:rPr>
        <w:t xml:space="preserve">, f. 2; </w:t>
      </w:r>
      <w:hyperlink w:anchor="SENTENCIA_2012_17" w:history="1">
        <w:r w:rsidRPr="00BA1B56">
          <w:rPr>
            <w:rStyle w:val="TextoNormalCaracter"/>
          </w:rPr>
          <w:t>17/2012</w:t>
        </w:r>
      </w:hyperlink>
      <w:r w:rsidRPr="00BA1B56">
        <w:rPr>
          <w:rStyle w:val="TextoNormalCaracter"/>
        </w:rPr>
        <w:t xml:space="preserve">, ff. 3, 4; </w:t>
      </w:r>
      <w:hyperlink w:anchor="SENTENCIA_2012_23" w:history="1">
        <w:r w:rsidRPr="00BA1B56">
          <w:rPr>
            <w:rStyle w:val="TextoNormalCaracter"/>
          </w:rPr>
          <w:t>23/2012</w:t>
        </w:r>
      </w:hyperlink>
      <w:r w:rsidRPr="00BA1B56">
        <w:rPr>
          <w:rStyle w:val="TextoNormalCaracter"/>
        </w:rPr>
        <w:t xml:space="preserve">, ff. 2, 4; </w:t>
      </w:r>
      <w:hyperlink w:anchor="SENTENCIA_2012_41" w:history="1">
        <w:r w:rsidRPr="00BA1B56">
          <w:rPr>
            <w:rStyle w:val="TextoNormalCaracter"/>
          </w:rPr>
          <w:t>41/2012</w:t>
        </w:r>
      </w:hyperlink>
      <w:r w:rsidRPr="00BA1B56">
        <w:rPr>
          <w:rStyle w:val="TextoNormalCaracter"/>
        </w:rPr>
        <w:t xml:space="preserve">, f. 2; </w:t>
      </w:r>
      <w:hyperlink w:anchor="SENTENCIA_2012_55" w:history="1">
        <w:r w:rsidRPr="00BA1B56">
          <w:rPr>
            <w:rStyle w:val="TextoNormalCaracter"/>
          </w:rPr>
          <w:t>55/2012</w:t>
        </w:r>
      </w:hyperlink>
      <w:r w:rsidRPr="00BA1B56">
        <w:rPr>
          <w:rStyle w:val="TextoNormalCaracter"/>
        </w:rPr>
        <w:t xml:space="preserve">, f. 2; </w:t>
      </w:r>
      <w:hyperlink w:anchor="SENTENCIA_2012_58" w:history="1">
        <w:r w:rsidRPr="00BA1B56">
          <w:rPr>
            <w:rStyle w:val="TextoNormalCaracter"/>
          </w:rPr>
          <w:t>58/2012</w:t>
        </w:r>
      </w:hyperlink>
      <w:r w:rsidRPr="00BA1B56">
        <w:rPr>
          <w:rStyle w:val="TextoNormalCaracter"/>
        </w:rPr>
        <w:t xml:space="preserve">, f. 3; </w:t>
      </w:r>
      <w:hyperlink w:anchor="SENTENCIA_2012_60" w:history="1">
        <w:r w:rsidRPr="00BA1B56">
          <w:rPr>
            <w:rStyle w:val="TextoNormalCaracter"/>
          </w:rPr>
          <w:t>60/2012</w:t>
        </w:r>
      </w:hyperlink>
      <w:r w:rsidRPr="00BA1B56">
        <w:rPr>
          <w:rStyle w:val="TextoNormalCaracter"/>
        </w:rPr>
        <w:t xml:space="preserve">, f. 3; </w:t>
      </w:r>
      <w:hyperlink w:anchor="SENTENCIA_2012_63" w:history="1">
        <w:r w:rsidRPr="00BA1B56">
          <w:rPr>
            <w:rStyle w:val="TextoNormalCaracter"/>
          </w:rPr>
          <w:t>63/2012</w:t>
        </w:r>
      </w:hyperlink>
      <w:r w:rsidRPr="00BA1B56">
        <w:rPr>
          <w:rStyle w:val="TextoNormalCaracter"/>
        </w:rPr>
        <w:t xml:space="preserve">, f. 3; </w:t>
      </w:r>
      <w:hyperlink w:anchor="SENTENCIA_2012_76" w:history="1">
        <w:r w:rsidRPr="00BA1B56">
          <w:rPr>
            <w:rStyle w:val="TextoNormalCaracter"/>
          </w:rPr>
          <w:t>76/2012</w:t>
        </w:r>
      </w:hyperlink>
      <w:r w:rsidRPr="00BA1B56">
        <w:rPr>
          <w:rStyle w:val="TextoNormalCaracter"/>
        </w:rPr>
        <w:t xml:space="preserve">, f. 2;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130" w:history="1">
        <w:r w:rsidRPr="00BA1B56">
          <w:rPr>
            <w:rStyle w:val="TextoNormalCaracter"/>
          </w:rPr>
          <w:t>130/2012</w:t>
        </w:r>
      </w:hyperlink>
      <w:r w:rsidRPr="00BA1B56">
        <w:rPr>
          <w:rStyle w:val="TextoNormalCaracter"/>
        </w:rPr>
        <w:t xml:space="preserve">, f. único; </w:t>
      </w:r>
      <w:hyperlink w:anchor="AUTO_2012_131" w:history="1">
        <w:r w:rsidRPr="00BA1B56">
          <w:rPr>
            <w:rStyle w:val="TextoNormalCaracter"/>
          </w:rPr>
          <w:t>131/2012</w:t>
        </w:r>
      </w:hyperlink>
      <w:r w:rsidRPr="00BA1B56">
        <w:rPr>
          <w:rStyle w:val="TextoNormalCaracter"/>
        </w:rPr>
        <w:t>, ff. 1, 2.</w:t>
      </w:r>
    </w:p>
    <w:p w:rsidR="00BA1B56" w:rsidRPr="00BA1B56" w:rsidRDefault="00BA1B56" w:rsidP="00BA1B56">
      <w:pPr>
        <w:pStyle w:val="TextoNormalSangraFrancesa"/>
        <w:rPr>
          <w:rStyle w:val="TextoNormalNegritaCaracter"/>
        </w:rPr>
      </w:pPr>
      <w:r w:rsidRPr="00BA1B56">
        <w:rPr>
          <w:rStyle w:val="TextoNormalCursivaCaracter"/>
        </w:rPr>
        <w:t>Agotamiento de recursos en la vía judicial</w:t>
      </w:r>
      <w:r>
        <w:t xml:space="preserve"> véase </w:t>
      </w:r>
      <w:hyperlink w:anchor="DESCRIPTORALFABETICO379" w:history="1">
        <w:r w:rsidRPr="00BA1B56">
          <w:rPr>
            <w:rStyle w:val="TextoNormalNegritaCaracter"/>
          </w:rPr>
          <w:t>Agotamiento de la vía judicial</w:t>
        </w:r>
      </w:hyperlink>
    </w:p>
    <w:p w:rsidR="00BA1B56" w:rsidRPr="00BA1B56" w:rsidRDefault="00BA1B56" w:rsidP="00BA1B56">
      <w:pPr>
        <w:pStyle w:val="TextoNormalSangraFrancesa"/>
        <w:rPr>
          <w:rStyle w:val="TextoNormalCaracter"/>
        </w:rPr>
      </w:pPr>
      <w:bookmarkStart w:id="1337" w:name="DESCRIPTORALFABETICO532"/>
      <w:r w:rsidRPr="00BA1B56">
        <w:rPr>
          <w:rStyle w:val="TextoNormalNegritaCaracter"/>
        </w:rPr>
        <w:t>Agricultura</w:t>
      </w:r>
      <w:bookmarkEnd w:id="1337"/>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ff. 2, 5, 6, 8.</w:t>
      </w:r>
    </w:p>
    <w:p w:rsidR="00BA1B56" w:rsidRPr="00BA1B56" w:rsidRDefault="00BA1B56" w:rsidP="00BA1B56">
      <w:pPr>
        <w:pStyle w:val="TextoNormalSangraFrancesa"/>
        <w:rPr>
          <w:rStyle w:val="TextoNormalCaracter"/>
        </w:rPr>
      </w:pPr>
      <w:bookmarkStart w:id="1338" w:name="DESCRIPTORALFABETICO534"/>
      <w:r w:rsidRPr="00BA1B56">
        <w:rPr>
          <w:rStyle w:val="TextoNormalNegritaCaracter"/>
        </w:rPr>
        <w:t>Aguas</w:t>
      </w:r>
      <w:bookmarkEnd w:id="1338"/>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39" w:name="DESCRIPTORALFABETICO596"/>
      <w:r w:rsidRPr="00BA1B56">
        <w:rPr>
          <w:rStyle w:val="TextoNormalNegritaCaracter"/>
        </w:rPr>
        <w:t>Aguas continentales</w:t>
      </w:r>
      <w:bookmarkEnd w:id="1339"/>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40" w:name="DESCRIPTORALFABETICO536"/>
      <w:r w:rsidRPr="00BA1B56">
        <w:rPr>
          <w:rStyle w:val="TextoNormalNegritaCaracter"/>
        </w:rPr>
        <w:t>Aguas interautonómicas</w:t>
      </w:r>
      <w:bookmarkEnd w:id="1340"/>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41" w:name="DESCRIPTORALFABETICO277"/>
      <w:r w:rsidRPr="00BA1B56">
        <w:rPr>
          <w:rStyle w:val="TextoNormalNegritaCaracter"/>
        </w:rPr>
        <w:lastRenderedPageBreak/>
        <w:t>Alcance de la suspensión</w:t>
      </w:r>
      <w:bookmarkEnd w:id="1341"/>
      <w:r w:rsidRPr="00BA1B56">
        <w:rPr>
          <w:rStyle w:val="TextoNormalCaracter"/>
        </w:rPr>
        <w:t xml:space="preserve">, Auto </w:t>
      </w:r>
      <w:hyperlink w:anchor="AUTO_2012_58" w:history="1">
        <w:r w:rsidRPr="00BA1B56">
          <w:rPr>
            <w:rStyle w:val="TextoNormalCaracter"/>
          </w:rPr>
          <w:t>58/2012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42" w:name="DESCRIPTORALFABETICO321"/>
      <w:r w:rsidRPr="00BA1B56">
        <w:rPr>
          <w:rStyle w:val="TextoNormalNegritaCaracter"/>
        </w:rPr>
        <w:t>Alcance del fallo en conflictos positivos de competencia</w:t>
      </w:r>
      <w:bookmarkEnd w:id="1342"/>
      <w:r w:rsidRPr="00BA1B56">
        <w:rPr>
          <w:rStyle w:val="TextoNormalCaracter"/>
        </w:rPr>
        <w:t xml:space="preserve">, Sentencia </w:t>
      </w:r>
      <w:hyperlink w:anchor="SENTENCIA_2012_89" w:history="1">
        <w:r w:rsidRPr="00BA1B56">
          <w:rPr>
            <w:rStyle w:val="TextoNormalCaracter"/>
          </w:rPr>
          <w:t>89/2012</w:t>
        </w:r>
      </w:hyperlink>
      <w:r w:rsidRPr="00BA1B56">
        <w:rPr>
          <w:rStyle w:val="TextoNormalCaracter"/>
        </w:rPr>
        <w:t>, f. 10.</w:t>
      </w:r>
    </w:p>
    <w:p w:rsidR="00BA1B56" w:rsidRPr="00BA1B56" w:rsidRDefault="00BA1B56" w:rsidP="00BA1B56">
      <w:pPr>
        <w:pStyle w:val="TextoNormalSangraFrancesa"/>
        <w:rPr>
          <w:rStyle w:val="TextoNormalCaracter"/>
        </w:rPr>
      </w:pPr>
      <w:bookmarkStart w:id="1343" w:name="DESCRIPTORALFABETICO394"/>
      <w:r w:rsidRPr="00BA1B56">
        <w:rPr>
          <w:rStyle w:val="TextoNormalNegritaCaracter"/>
        </w:rPr>
        <w:t>Alegación retórica</w:t>
      </w:r>
      <w:bookmarkEnd w:id="1343"/>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44" w:name="DESCRIPTORALFABETICO427"/>
      <w:r w:rsidRPr="00BA1B56">
        <w:rPr>
          <w:rStyle w:val="TextoNormalNegritaCaracter"/>
        </w:rPr>
        <w:t>Alta inspección del Estado</w:t>
      </w:r>
      <w:bookmarkEnd w:id="1344"/>
      <w:r w:rsidRPr="00BA1B56">
        <w:rPr>
          <w:rStyle w:val="TextoNormalCaracter"/>
        </w:rPr>
        <w:t xml:space="preserve">, Sentencia </w:t>
      </w:r>
      <w:hyperlink w:anchor="SENTENCIA_2012_22" w:history="1">
        <w:r w:rsidRPr="00BA1B56">
          <w:rPr>
            <w:rStyle w:val="TextoNormalCaracter"/>
          </w:rPr>
          <w:t>22/2012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45" w:name="DESCRIPTORALFABETICO6"/>
      <w:r w:rsidRPr="00BA1B56">
        <w:rPr>
          <w:rStyle w:val="TextoNormalNegritaCaracter"/>
        </w:rPr>
        <w:t>Ámbito territorial autonómico</w:t>
      </w:r>
      <w:bookmarkEnd w:id="1345"/>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ff. 1, 2, 6, VP I; </w:t>
      </w:r>
      <w:hyperlink w:anchor="SENTENCIA_2012_71" w:history="1">
        <w:r w:rsidRPr="00BA1B56">
          <w:rPr>
            <w:rStyle w:val="TextoNormalCaracter"/>
          </w:rPr>
          <w:t>71/2012</w:t>
        </w:r>
      </w:hyperlink>
      <w:r w:rsidRPr="00BA1B56">
        <w:rPr>
          <w:rStyle w:val="TextoNormalCaracter"/>
        </w:rPr>
        <w:t>, ff. 3, 5, VP.</w:t>
      </w:r>
    </w:p>
    <w:p w:rsidR="00BA1B56" w:rsidRPr="00BA1B56" w:rsidRDefault="00BA1B56" w:rsidP="00BA1B56">
      <w:pPr>
        <w:pStyle w:val="TextoNormalSangraFrancesa"/>
        <w:rPr>
          <w:rStyle w:val="TextoNormalNegritaCaracter"/>
        </w:rPr>
      </w:pPr>
      <w:r w:rsidRPr="00BA1B56">
        <w:rPr>
          <w:rStyle w:val="TextoNormalCursivaCaracter"/>
        </w:rPr>
        <w:t>Ámbito territorial infraautonómico</w:t>
      </w:r>
      <w:r>
        <w:t xml:space="preserve"> véase </w:t>
      </w:r>
      <w:hyperlink w:anchor="DESCRIPTORALFABETICO6" w:history="1">
        <w:r w:rsidRPr="00BA1B56">
          <w:rPr>
            <w:rStyle w:val="TextoNormalNegritaCaracter"/>
          </w:rPr>
          <w:t>Ámbito territorial autonómico</w:t>
        </w:r>
      </w:hyperlink>
    </w:p>
    <w:p w:rsidR="00BA1B56" w:rsidRPr="00BA1B56" w:rsidRDefault="00BA1B56" w:rsidP="00BA1B56">
      <w:pPr>
        <w:pStyle w:val="TextoNormalSangraFrancesa"/>
        <w:rPr>
          <w:rStyle w:val="TextoNormalNegritaCaracter"/>
        </w:rPr>
      </w:pPr>
      <w:r w:rsidRPr="00BA1B56">
        <w:rPr>
          <w:rStyle w:val="TextoNormalCursivaCaracter"/>
        </w:rPr>
        <w:t>Ámbito territorial interautonómico</w:t>
      </w:r>
      <w:r>
        <w:t xml:space="preserve"> véase </w:t>
      </w:r>
      <w:hyperlink w:anchor="DESCRIPTORALFABETICO7" w:history="1">
        <w:r w:rsidRPr="00BA1B56">
          <w:rPr>
            <w:rStyle w:val="TextoNormalNegritaCaracter"/>
          </w:rPr>
          <w:t>Ámbito territorial supraautonómico</w:t>
        </w:r>
      </w:hyperlink>
    </w:p>
    <w:p w:rsidR="00BA1B56" w:rsidRPr="00BA1B56" w:rsidRDefault="00BA1B56" w:rsidP="00BA1B56">
      <w:pPr>
        <w:pStyle w:val="TextoNormalSangraFrancesa"/>
        <w:rPr>
          <w:rStyle w:val="TextoNormalNegritaCaracter"/>
        </w:rPr>
      </w:pPr>
      <w:r w:rsidRPr="00BA1B56">
        <w:rPr>
          <w:rStyle w:val="TextoNormalCursivaCaracter"/>
        </w:rPr>
        <w:t>Ámbito territorial intrraautonómico</w:t>
      </w:r>
      <w:r>
        <w:t xml:space="preserve"> véase </w:t>
      </w:r>
      <w:hyperlink w:anchor="DESCRIPTORALFABETICO6" w:history="1">
        <w:r w:rsidRPr="00BA1B56">
          <w:rPr>
            <w:rStyle w:val="TextoNormalNegritaCaracter"/>
          </w:rPr>
          <w:t>Ámbito territorial autonómico</w:t>
        </w:r>
      </w:hyperlink>
    </w:p>
    <w:p w:rsidR="00BA1B56" w:rsidRPr="00BA1B56" w:rsidRDefault="00BA1B56" w:rsidP="00BA1B56">
      <w:pPr>
        <w:pStyle w:val="TextoNormalSangraFrancesa"/>
        <w:rPr>
          <w:rStyle w:val="TextoNormalCaracter"/>
        </w:rPr>
      </w:pPr>
      <w:bookmarkStart w:id="1346" w:name="DESCRIPTORALFABETICO7"/>
      <w:r w:rsidRPr="00BA1B56">
        <w:rPr>
          <w:rStyle w:val="TextoNormalNegritaCaracter"/>
        </w:rPr>
        <w:t>Ámbito territorial supraautonómico</w:t>
      </w:r>
      <w:bookmarkEnd w:id="1346"/>
      <w:r w:rsidRPr="00BA1B56">
        <w:rPr>
          <w:rStyle w:val="TextoNormalCaracter"/>
        </w:rPr>
        <w:t xml:space="preserve">, Sentencias </w:t>
      </w:r>
      <w:hyperlink w:anchor="SENTENCIA_2012_35" w:history="1">
        <w:r w:rsidRPr="00BA1B56">
          <w:rPr>
            <w:rStyle w:val="TextoNormalCaracter"/>
          </w:rPr>
          <w:t>35/2012</w:t>
        </w:r>
      </w:hyperlink>
      <w:r w:rsidRPr="00BA1B56">
        <w:rPr>
          <w:rStyle w:val="TextoNormalCaracter"/>
        </w:rPr>
        <w:t xml:space="preserve">, ff. 4, 5; </w:t>
      </w:r>
      <w:hyperlink w:anchor="SENTENCIA_2012_83" w:history="1">
        <w:r w:rsidRPr="00BA1B56">
          <w:rPr>
            <w:rStyle w:val="TextoNormalCaracter"/>
          </w:rPr>
          <w:t>83/2012</w:t>
        </w:r>
      </w:hyperlink>
      <w:r w:rsidRPr="00BA1B56">
        <w:rPr>
          <w:rStyle w:val="TextoNormalCaracter"/>
        </w:rPr>
        <w:t>, ff. 1, 3.</w:t>
      </w:r>
    </w:p>
    <w:p w:rsidR="00BA1B56" w:rsidRPr="00BA1B56" w:rsidRDefault="00BA1B56" w:rsidP="00BA1B56">
      <w:pPr>
        <w:pStyle w:val="TextoNormalSangraFrancesa"/>
        <w:rPr>
          <w:rStyle w:val="TextoNormalCaracter"/>
        </w:rPr>
      </w:pPr>
      <w:bookmarkStart w:id="1347" w:name="DESCRIPTORALFABETICO278"/>
      <w:r w:rsidRPr="00BA1B56">
        <w:rPr>
          <w:rStyle w:val="TextoNormalNegritaCaracter"/>
        </w:rPr>
        <w:t>Amparo anticipado</w:t>
      </w:r>
      <w:bookmarkEnd w:id="1347"/>
      <w:r w:rsidRPr="00BA1B56">
        <w:rPr>
          <w:rStyle w:val="TextoNormalCaracter"/>
        </w:rPr>
        <w:t xml:space="preserve">, Autos </w:t>
      </w:r>
      <w:hyperlink w:anchor="AUTO_2012_78" w:history="1">
        <w:r w:rsidRPr="00BA1B56">
          <w:rPr>
            <w:rStyle w:val="TextoNormalCaracter"/>
          </w:rPr>
          <w:t>78/2012</w:t>
        </w:r>
      </w:hyperlink>
      <w:r w:rsidRPr="00BA1B56">
        <w:rPr>
          <w:rStyle w:val="TextoNormalCaracter"/>
        </w:rPr>
        <w:t xml:space="preserve">, f. único; </w:t>
      </w:r>
      <w:hyperlink w:anchor="AUTO_2012_79" w:history="1">
        <w:r w:rsidRPr="00BA1B56">
          <w:rPr>
            <w:rStyle w:val="TextoNormalCaracter"/>
          </w:rPr>
          <w:t>79/2012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348" w:name="DESCRIPTORALFABETICO359"/>
      <w:r w:rsidRPr="00BA1B56">
        <w:rPr>
          <w:rStyle w:val="TextoNormalNegritaCaracter"/>
        </w:rPr>
        <w:t>Ampliación de la demanda de amparo</w:t>
      </w:r>
      <w:bookmarkEnd w:id="1348"/>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49" w:name="DESCRIPTORALFABETICO103"/>
      <w:r w:rsidRPr="00BA1B56">
        <w:rPr>
          <w:rStyle w:val="TextoNormalNegritaCaracter"/>
        </w:rPr>
        <w:t>Análisis de la estructura del impuesto</w:t>
      </w:r>
      <w:bookmarkEnd w:id="1349"/>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50" w:name="DESCRIPTORALFABETICO722"/>
      <w:r w:rsidRPr="00BA1B56">
        <w:rPr>
          <w:rStyle w:val="TextoNormalNegritaCaracter"/>
        </w:rPr>
        <w:t xml:space="preserve">Analogía </w:t>
      </w:r>
      <w:r w:rsidRPr="00BA1B56">
        <w:rPr>
          <w:rStyle w:val="TextoNormalNegritaCaracter"/>
          <w:i/>
        </w:rPr>
        <w:t>in malam partem</w:t>
      </w:r>
      <w:bookmarkEnd w:id="1350"/>
      <w:r w:rsidRPr="00BA1B56">
        <w:rPr>
          <w:rStyle w:val="TextoNormalCaracter"/>
        </w:rPr>
        <w:t xml:space="preserve">, Sentencia </w:t>
      </w:r>
      <w:hyperlink w:anchor="SENTENCIA_2012_90" w:history="1">
        <w:r w:rsidRPr="00BA1B56">
          <w:rPr>
            <w:rStyle w:val="TextoNormalCaracter"/>
          </w:rPr>
          <w:t>90/2012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51" w:name="DESCRIPTORALFABETICO992"/>
      <w:r w:rsidRPr="00BA1B56">
        <w:rPr>
          <w:rStyle w:val="TextoNormalNegritaCaracter"/>
        </w:rPr>
        <w:t>Andalucía</w:t>
      </w:r>
      <w:bookmarkEnd w:id="1351"/>
      <w:r w:rsidRPr="00BA1B56">
        <w:rPr>
          <w:rStyle w:val="TextoNormalCaracter"/>
        </w:rPr>
        <w:t xml:space="preserve">, Sentencias </w:t>
      </w:r>
      <w:hyperlink w:anchor="SENTENCIA_2012_3" w:history="1">
        <w:r w:rsidRPr="00BA1B56">
          <w:rPr>
            <w:rStyle w:val="TextoNormalCaracter"/>
          </w:rPr>
          <w:t>3/2012</w:t>
        </w:r>
      </w:hyperlink>
      <w:r w:rsidRPr="00BA1B56">
        <w:rPr>
          <w:rStyle w:val="TextoNormalCaracter"/>
        </w:rPr>
        <w:t xml:space="preserve">, f. 4; </w:t>
      </w:r>
      <w:hyperlink w:anchor="SENTENCIA_2012_4" w:history="1">
        <w:r w:rsidRPr="00BA1B56">
          <w:rPr>
            <w:rStyle w:val="TextoNormalCaracter"/>
          </w:rPr>
          <w:t>4/2012</w:t>
        </w:r>
      </w:hyperlink>
      <w:r w:rsidRPr="00BA1B56">
        <w:rPr>
          <w:rStyle w:val="TextoNormalCaracter"/>
        </w:rPr>
        <w:t xml:space="preserve">, f. 5; </w:t>
      </w:r>
      <w:hyperlink w:anchor="SENTENCIA_2012_27" w:history="1">
        <w:r w:rsidRPr="00BA1B56">
          <w:rPr>
            <w:rStyle w:val="TextoNormalCaracter"/>
          </w:rPr>
          <w:t>27/2012</w:t>
        </w:r>
      </w:hyperlink>
      <w:r w:rsidRPr="00BA1B56">
        <w:rPr>
          <w:rStyle w:val="TextoNormalCaracter"/>
        </w:rPr>
        <w:t xml:space="preserve">, f. 9; </w:t>
      </w:r>
      <w:hyperlink w:anchor="SENTENCIA_2012_29" w:history="1">
        <w:r w:rsidRPr="00BA1B56">
          <w:rPr>
            <w:rStyle w:val="TextoNormalCaracter"/>
          </w:rPr>
          <w:t>29/2012</w:t>
        </w:r>
      </w:hyperlink>
      <w:r w:rsidRPr="00BA1B56">
        <w:rPr>
          <w:rStyle w:val="TextoNormalCaracter"/>
        </w:rPr>
        <w:t xml:space="preserve">, ff. 1 a 6; </w:t>
      </w:r>
      <w:hyperlink w:anchor="SENTENCIA_2012_32" w:history="1">
        <w:r w:rsidRPr="00BA1B56">
          <w:rPr>
            <w:rStyle w:val="TextoNormalCaracter"/>
          </w:rPr>
          <w:t>32/2012</w:t>
        </w:r>
      </w:hyperlink>
      <w:r w:rsidRPr="00BA1B56">
        <w:rPr>
          <w:rStyle w:val="TextoNormalCaracter"/>
        </w:rPr>
        <w:t xml:space="preserve">, ff. 3, 4; </w:t>
      </w:r>
      <w:hyperlink w:anchor="SENTENCIA_2012_34" w:history="1">
        <w:r w:rsidRPr="00BA1B56">
          <w:rPr>
            <w:rStyle w:val="TextoNormalCaracter"/>
          </w:rPr>
          <w:t>34/2012</w:t>
        </w:r>
      </w:hyperlink>
      <w:r w:rsidRPr="00BA1B56">
        <w:rPr>
          <w:rStyle w:val="TextoNormalCaracter"/>
        </w:rPr>
        <w:t xml:space="preserve">, f. 4; </w:t>
      </w:r>
      <w:hyperlink w:anchor="SENTENCIA_2012_83" w:history="1">
        <w:r w:rsidRPr="00BA1B56">
          <w:rPr>
            <w:rStyle w:val="TextoNormalCaracter"/>
          </w:rPr>
          <w:t>83/2012</w:t>
        </w:r>
      </w:hyperlink>
      <w:r w:rsidRPr="00BA1B56">
        <w:rPr>
          <w:rStyle w:val="TextoNormalCaracter"/>
        </w:rPr>
        <w:t xml:space="preserve">, ff. 1, 3; </w:t>
      </w:r>
      <w:hyperlink w:anchor="SENTENCIA_2012_123" w:history="1">
        <w:r w:rsidRPr="00BA1B56">
          <w:rPr>
            <w:rStyle w:val="TextoNormalCaracter"/>
          </w:rPr>
          <w:t>123/2012</w:t>
        </w:r>
      </w:hyperlink>
      <w:r w:rsidRPr="00BA1B56">
        <w:rPr>
          <w:rStyle w:val="TextoNormalCaracter"/>
        </w:rPr>
        <w:t xml:space="preserve">, f. 5; </w:t>
      </w:r>
      <w:hyperlink w:anchor="SENTENCIA_2012_134" w:history="1">
        <w:r w:rsidRPr="00BA1B56">
          <w:rPr>
            <w:rStyle w:val="TextoNormalCaracter"/>
          </w:rPr>
          <w:t>134/2012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352" w:name="DESCRIPTORALFABETICO128"/>
      <w:r w:rsidRPr="00BA1B56">
        <w:rPr>
          <w:rStyle w:val="TextoNormalNegritaCaracter"/>
        </w:rPr>
        <w:t>Anulación de elecciones en una circunscripción</w:t>
      </w:r>
      <w:bookmarkEnd w:id="1352"/>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 16.</w:t>
      </w:r>
    </w:p>
    <w:p w:rsidR="00BA1B56" w:rsidRPr="00BA1B56" w:rsidRDefault="00BA1B56" w:rsidP="00BA1B56">
      <w:pPr>
        <w:pStyle w:val="TextoNormalSangraFrancesa"/>
        <w:rPr>
          <w:rStyle w:val="TextoNormalNegritaCaracter"/>
        </w:rPr>
      </w:pPr>
      <w:r w:rsidRPr="00BA1B56">
        <w:rPr>
          <w:rStyle w:val="TextoNormalCursivaCaracter"/>
        </w:rPr>
        <w:t>Aplicabilidad de la norma cuestionada</w:t>
      </w:r>
      <w:r>
        <w:t xml:space="preserve"> véase </w:t>
      </w:r>
      <w:hyperlink w:anchor="DESCRIPTORALFABETICO337" w:history="1">
        <w:r w:rsidRPr="00BA1B56">
          <w:rPr>
            <w:rStyle w:val="TextoNormalNegritaCaracter"/>
          </w:rPr>
          <w:t>Juicio de aplicabilidad</w:t>
        </w:r>
      </w:hyperlink>
    </w:p>
    <w:p w:rsidR="00BA1B56" w:rsidRPr="00BA1B56" w:rsidRDefault="00BA1B56" w:rsidP="00BA1B56">
      <w:pPr>
        <w:pStyle w:val="TextoNormalSangraFrancesa"/>
        <w:rPr>
          <w:rStyle w:val="TextoNormalCaracter"/>
        </w:rPr>
      </w:pPr>
      <w:bookmarkStart w:id="1353" w:name="DESCRIPTORALFABETICO723"/>
      <w:r w:rsidRPr="00BA1B56">
        <w:rPr>
          <w:rStyle w:val="TextoNormalNegritaCaracter"/>
        </w:rPr>
        <w:t>Aplicación de normas declaradas inconstitucionales</w:t>
      </w:r>
      <w:bookmarkEnd w:id="1353"/>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3, 5, 9.</w:t>
      </w:r>
    </w:p>
    <w:p w:rsidR="00BA1B56" w:rsidRPr="00BA1B56" w:rsidRDefault="00BA1B56" w:rsidP="00BA1B56">
      <w:pPr>
        <w:pStyle w:val="TextoNormalSangraFrancesa"/>
        <w:rPr>
          <w:rStyle w:val="TextoNormalCaracter"/>
        </w:rPr>
      </w:pPr>
      <w:bookmarkStart w:id="1354" w:name="DESCRIPTORALFABETICO724"/>
      <w:r w:rsidRPr="00BA1B56">
        <w:rPr>
          <w:rStyle w:val="TextoNormalNegritaCaracter"/>
        </w:rPr>
        <w:t>Aplicación de normas derogadas</w:t>
      </w:r>
      <w:bookmarkEnd w:id="1354"/>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55" w:name="DESCRIPTORALFABETICO682"/>
      <w:r w:rsidRPr="00BA1B56">
        <w:rPr>
          <w:rStyle w:val="TextoNormalNegritaCaracter"/>
        </w:rPr>
        <w:t>Aplicación del Derecho de la Unión Europea</w:t>
      </w:r>
      <w:bookmarkEnd w:id="1355"/>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7.</w:t>
      </w:r>
    </w:p>
    <w:p w:rsidR="00BA1B56" w:rsidRPr="00BA1B56" w:rsidRDefault="00BA1B56" w:rsidP="00BA1B56">
      <w:pPr>
        <w:pStyle w:val="TextoNormalSangraFrancesa"/>
        <w:rPr>
          <w:rStyle w:val="TextoNormalCaracter"/>
        </w:rPr>
      </w:pPr>
      <w:bookmarkStart w:id="1356" w:name="DESCRIPTORALFABETICO535"/>
      <w:r w:rsidRPr="00BA1B56">
        <w:rPr>
          <w:rStyle w:val="TextoNormalNegritaCaracter"/>
        </w:rPr>
        <w:t>Aprovechamientos hidráulicos</w:t>
      </w:r>
      <w:bookmarkEnd w:id="1356"/>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ff. 1 a 5.</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4" w:history="1">
        <w:r w:rsidRPr="00BA1B56">
          <w:rPr>
            <w:rStyle w:val="TextoNormalCaracter"/>
          </w:rPr>
          <w:t>34/2012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57" w:name="DESCRIPTORALFABETICO993"/>
      <w:r w:rsidRPr="00BA1B56">
        <w:rPr>
          <w:rStyle w:val="TextoNormalNegritaCaracter"/>
        </w:rPr>
        <w:t>Aragón</w:t>
      </w:r>
      <w:bookmarkEnd w:id="1357"/>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69" w:history="1">
        <w:r w:rsidRPr="00BA1B56">
          <w:rPr>
            <w:rStyle w:val="TextoNormalCaracter"/>
          </w:rPr>
          <w:t>69/2012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358" w:name="DESCRIPTORALFABETICO476"/>
      <w:r w:rsidRPr="00BA1B56">
        <w:rPr>
          <w:rStyle w:val="TextoNormalNegritaCaracter"/>
        </w:rPr>
        <w:t>Arbitrariedad del legislador</w:t>
      </w:r>
      <w:bookmarkEnd w:id="1358"/>
      <w:r w:rsidRPr="00BA1B56">
        <w:rPr>
          <w:rStyle w:val="TextoNormalCaracter"/>
        </w:rPr>
        <w:t xml:space="preserve">, Sentencias </w:t>
      </w:r>
      <w:hyperlink w:anchor="SENTENCIA_2012_102" w:history="1">
        <w:r w:rsidRPr="00BA1B56">
          <w:rPr>
            <w:rStyle w:val="TextoNormalCaracter"/>
          </w:rPr>
          <w:t>102/2012</w:t>
        </w:r>
      </w:hyperlink>
      <w:r w:rsidRPr="00BA1B56">
        <w:rPr>
          <w:rStyle w:val="TextoNormalCaracter"/>
        </w:rPr>
        <w:t xml:space="preserve">, f. 4; </w:t>
      </w:r>
      <w:hyperlink w:anchor="SENTENCIA_2012_135" w:history="1">
        <w:r w:rsidRPr="00BA1B56">
          <w:rPr>
            <w:rStyle w:val="TextoNormalCaracter"/>
          </w:rPr>
          <w:t>135/2012</w:t>
        </w:r>
      </w:hyperlink>
      <w:r w:rsidRPr="00BA1B56">
        <w:rPr>
          <w:rStyle w:val="TextoNormalCaracter"/>
        </w:rPr>
        <w:t>, f. 6.</w:t>
      </w:r>
    </w:p>
    <w:p w:rsidR="00BA1B56" w:rsidRPr="00BA1B56" w:rsidRDefault="00BA1B56" w:rsidP="00BA1B56">
      <w:pPr>
        <w:pStyle w:val="TextoNormalSangraFrancesa"/>
        <w:rPr>
          <w:rStyle w:val="TextoNormalCaracter"/>
        </w:rPr>
      </w:pPr>
      <w:bookmarkStart w:id="1359" w:name="DESCRIPTORALFABETICO466"/>
      <w:r w:rsidRPr="00BA1B56">
        <w:rPr>
          <w:rStyle w:val="TextoNormalNegritaCaracter"/>
        </w:rPr>
        <w:t>Asamblea de Madrid</w:t>
      </w:r>
      <w:bookmarkEnd w:id="1359"/>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2, 4.</w:t>
      </w:r>
    </w:p>
    <w:p w:rsidR="00BA1B56" w:rsidRPr="00BA1B56" w:rsidRDefault="00BA1B56" w:rsidP="00BA1B56">
      <w:pPr>
        <w:pStyle w:val="TextoNormalSangraFrancesa"/>
        <w:rPr>
          <w:rStyle w:val="TextoNormalNegritaCaracter"/>
        </w:rPr>
      </w:pPr>
      <w:r w:rsidRPr="00BA1B56">
        <w:rPr>
          <w:rStyle w:val="TextoNormalCursivaCaracter"/>
        </w:rPr>
        <w:t>Asistencia jurídica gratuita</w:t>
      </w:r>
      <w:r>
        <w:t xml:space="preserve"> véase </w:t>
      </w:r>
      <w:hyperlink w:anchor="DESCRIPTORALFABETICO913" w:history="1">
        <w:r w:rsidRPr="00BA1B56">
          <w:rPr>
            <w:rStyle w:val="TextoNormalNegritaCaracter"/>
          </w:rPr>
          <w:t>Justicia gratuita</w:t>
        </w:r>
      </w:hyperlink>
    </w:p>
    <w:p w:rsidR="00BA1B56" w:rsidRPr="00BA1B56" w:rsidRDefault="00BA1B56" w:rsidP="00BA1B56">
      <w:pPr>
        <w:pStyle w:val="TextoNormalSangraFrancesa"/>
        <w:rPr>
          <w:rStyle w:val="TextoNormalCaracter"/>
        </w:rPr>
      </w:pPr>
      <w:bookmarkStart w:id="1360" w:name="DESCRIPTORALFABETICO785"/>
      <w:r w:rsidRPr="00BA1B56">
        <w:rPr>
          <w:rStyle w:val="TextoNormalNegritaCaracter"/>
        </w:rPr>
        <w:t>Asistencia social</w:t>
      </w:r>
      <w:bookmarkEnd w:id="1360"/>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 7, VP; </w:t>
      </w:r>
      <w:hyperlink w:anchor="SENTENCIA_2012_72" w:history="1">
        <w:r w:rsidRPr="00BA1B56">
          <w:rPr>
            <w:rStyle w:val="TextoNormalCaracter"/>
          </w:rPr>
          <w:t>72/2012</w:t>
        </w:r>
      </w:hyperlink>
      <w:r w:rsidRPr="00BA1B56">
        <w:rPr>
          <w:rStyle w:val="TextoNormalCaracter"/>
        </w:rPr>
        <w:t xml:space="preserve">, ff. 4, 5; </w:t>
      </w:r>
      <w:hyperlink w:anchor="SENTENCIA_2012_73" w:history="1">
        <w:r w:rsidRPr="00BA1B56">
          <w:rPr>
            <w:rStyle w:val="TextoNormalCaracter"/>
          </w:rPr>
          <w:t>73/2012</w:t>
        </w:r>
      </w:hyperlink>
      <w:r w:rsidRPr="00BA1B56">
        <w:rPr>
          <w:rStyle w:val="TextoNormalCaracter"/>
        </w:rPr>
        <w:t xml:space="preserve">, f. 4; </w:t>
      </w:r>
      <w:hyperlink w:anchor="SENTENCIA_2012_77" w:history="1">
        <w:r w:rsidRPr="00BA1B56">
          <w:rPr>
            <w:rStyle w:val="TextoNormalCaracter"/>
          </w:rPr>
          <w:t>77/2012</w:t>
        </w:r>
      </w:hyperlink>
      <w:r w:rsidRPr="00BA1B56">
        <w:rPr>
          <w:rStyle w:val="TextoNormalCaracter"/>
        </w:rPr>
        <w:t>, ff. 4, 7.</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49" w:history="1">
        <w:r w:rsidRPr="00BA1B56">
          <w:rPr>
            <w:rStyle w:val="TextoNormalCaracter"/>
          </w:rPr>
          <w:t>49/2012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361" w:name="DESCRIPTORALFABETICO771"/>
      <w:r w:rsidRPr="00BA1B56">
        <w:rPr>
          <w:rStyle w:val="TextoNormalNegritaCaracter"/>
        </w:rPr>
        <w:t>Asociaciones de consumidores</w:t>
      </w:r>
      <w:bookmarkEnd w:id="1361"/>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1 a 11.</w:t>
      </w:r>
    </w:p>
    <w:p w:rsidR="00BA1B56" w:rsidRPr="00BA1B56" w:rsidRDefault="00BA1B56" w:rsidP="00BA1B56">
      <w:pPr>
        <w:pStyle w:val="TextoNormalSangraFrancesa"/>
        <w:rPr>
          <w:rStyle w:val="TextoNormalCaracter"/>
        </w:rPr>
      </w:pPr>
      <w:bookmarkStart w:id="1362" w:name="DESCRIPTORALFABETICO994"/>
      <w:r w:rsidRPr="00BA1B56">
        <w:rPr>
          <w:rStyle w:val="TextoNormalNegritaCaracter"/>
        </w:rPr>
        <w:t>Asturias</w:t>
      </w:r>
      <w:bookmarkEnd w:id="1362"/>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 a 20.</w:t>
      </w:r>
    </w:p>
    <w:p w:rsidR="00BA1B56" w:rsidRPr="00BA1B56" w:rsidRDefault="00BA1B56" w:rsidP="00BA1B56">
      <w:pPr>
        <w:pStyle w:val="TextoNormalSangraFrancesa"/>
        <w:rPr>
          <w:rStyle w:val="TextoNormalCaracter"/>
        </w:rPr>
      </w:pPr>
      <w:bookmarkStart w:id="1363" w:name="DESCRIPTORALFABETICO809"/>
      <w:r w:rsidRPr="00BA1B56">
        <w:rPr>
          <w:rStyle w:val="TextoNormalNegritaCaracter"/>
        </w:rPr>
        <w:t>Atención farmacéutica</w:t>
      </w:r>
      <w:bookmarkEnd w:id="1363"/>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64" w:name="DESCRIPTORALFABETICO3"/>
      <w:r w:rsidRPr="00BA1B56">
        <w:rPr>
          <w:rStyle w:val="TextoNormalNegritaCaracter"/>
        </w:rPr>
        <w:t xml:space="preserve">Atribución de competencias </w:t>
      </w:r>
      <w:r w:rsidRPr="00BA1B56">
        <w:rPr>
          <w:rStyle w:val="TextoNormalNegritaCaracter"/>
          <w:i/>
        </w:rPr>
        <w:t>ratione materiae</w:t>
      </w:r>
      <w:bookmarkEnd w:id="1364"/>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1.</w:t>
      </w:r>
    </w:p>
    <w:p w:rsidR="00BA1B56" w:rsidRPr="00BA1B56" w:rsidRDefault="00BA1B56" w:rsidP="00BA1B56">
      <w:pPr>
        <w:pStyle w:val="TextoNormalSangraFrancesa"/>
        <w:rPr>
          <w:rStyle w:val="TextoNormalCaracter"/>
        </w:rPr>
      </w:pPr>
      <w:bookmarkStart w:id="1365" w:name="DESCRIPTORALFABETICO142"/>
      <w:r w:rsidRPr="00BA1B56">
        <w:rPr>
          <w:rStyle w:val="TextoNormalNegritaCaracter"/>
        </w:rPr>
        <w:t>Atribución de escaños</w:t>
      </w:r>
      <w:bookmarkEnd w:id="1365"/>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18 a 20.</w:t>
      </w:r>
    </w:p>
    <w:p w:rsidR="00BA1B56" w:rsidRPr="00BA1B56" w:rsidRDefault="00BA1B56" w:rsidP="00BA1B56">
      <w:pPr>
        <w:pStyle w:val="TextoNormalSangraFrancesa"/>
        <w:rPr>
          <w:rStyle w:val="TextoNormalCaracter"/>
        </w:rPr>
      </w:pPr>
      <w:bookmarkStart w:id="1366" w:name="DESCRIPTORALFABETICO327"/>
      <w:r w:rsidRPr="00BA1B56">
        <w:rPr>
          <w:rStyle w:val="TextoNormalNegritaCaracter"/>
        </w:rPr>
        <w:t>Audiencia previa a las partes</w:t>
      </w:r>
      <w:bookmarkEnd w:id="1366"/>
      <w:r w:rsidRPr="00BA1B56">
        <w:rPr>
          <w:rStyle w:val="TextoNormalCaracter"/>
        </w:rPr>
        <w:t xml:space="preserve">, Sentencia </w:t>
      </w:r>
      <w:hyperlink w:anchor="SENTENCIA_2012_30" w:history="1">
        <w:r w:rsidRPr="00BA1B56">
          <w:rPr>
            <w:rStyle w:val="TextoNormalCaracter"/>
          </w:rPr>
          <w:t>30/2012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67" w:name="DESCRIPTORALFABETICO556"/>
      <w:r w:rsidRPr="00BA1B56">
        <w:rPr>
          <w:rStyle w:val="TextoNormalNegritaCaracter"/>
        </w:rPr>
        <w:t>Auditoría de cuentas</w:t>
      </w:r>
      <w:bookmarkEnd w:id="1367"/>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Régimen jurídico, </w:t>
      </w:r>
      <w:r w:rsidRPr="00BA1B56">
        <w:rPr>
          <w:rStyle w:val="TextoNormalCaracter"/>
        </w:rPr>
        <w:t xml:space="preserve">Sentencia </w:t>
      </w:r>
      <w:hyperlink w:anchor="SENTENCIA_2012_33" w:history="1">
        <w:r w:rsidRPr="00BA1B56">
          <w:rPr>
            <w:rStyle w:val="TextoNormalCaracter"/>
          </w:rPr>
          <w:t>33/2012</w:t>
        </w:r>
      </w:hyperlink>
      <w:r w:rsidRPr="00BA1B56">
        <w:rPr>
          <w:rStyle w:val="TextoNormalCaracter"/>
        </w:rPr>
        <w:t>, f. 6.</w:t>
      </w:r>
    </w:p>
    <w:p w:rsidR="00BA1B56" w:rsidRPr="00BA1B56" w:rsidRDefault="00BA1B56" w:rsidP="00BA1B56">
      <w:pPr>
        <w:pStyle w:val="TextoNormalSangraFrancesa"/>
        <w:rPr>
          <w:rStyle w:val="TextoNormalCaracter"/>
        </w:rPr>
      </w:pPr>
      <w:bookmarkStart w:id="1368" w:name="DESCRIPTORALFABETICO382"/>
      <w:r w:rsidRPr="00BA1B56">
        <w:rPr>
          <w:rStyle w:val="TextoNormalNegritaCaracter"/>
        </w:rPr>
        <w:t>Ausencia de doctrina constitucional</w:t>
      </w:r>
      <w:bookmarkEnd w:id="1368"/>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69" w:name="DESCRIPTORALFABETICO71"/>
      <w:r w:rsidRPr="00BA1B56">
        <w:rPr>
          <w:rStyle w:val="TextoNormalNegritaCaracter"/>
        </w:rPr>
        <w:t>Autonomía financiera</w:t>
      </w:r>
      <w:bookmarkEnd w:id="1369"/>
      <w:r w:rsidRPr="00BA1B56">
        <w:rPr>
          <w:rStyle w:val="TextoNormalCaracter"/>
        </w:rPr>
        <w:t xml:space="preserve">, Sentencias </w:t>
      </w:r>
      <w:hyperlink w:anchor="SENTENCIA_2012_77" w:history="1">
        <w:r w:rsidRPr="00BA1B56">
          <w:rPr>
            <w:rStyle w:val="TextoNormalCaracter"/>
          </w:rPr>
          <w:t>77/2012</w:t>
        </w:r>
      </w:hyperlink>
      <w:r w:rsidRPr="00BA1B56">
        <w:rPr>
          <w:rStyle w:val="TextoNormalCaracter"/>
        </w:rPr>
        <w:t xml:space="preserve">, f. 5; </w:t>
      </w:r>
      <w:hyperlink w:anchor="SENTENCIA_2012_123" w:history="1">
        <w:r w:rsidRPr="00BA1B56">
          <w:rPr>
            <w:rStyle w:val="TextoNormalCaracter"/>
          </w:rPr>
          <w:t>123/2012</w:t>
        </w:r>
      </w:hyperlink>
      <w:r w:rsidRPr="00BA1B56">
        <w:rPr>
          <w:rStyle w:val="TextoNormalCaracter"/>
        </w:rPr>
        <w:t>, f. 7.</w:t>
      </w:r>
    </w:p>
    <w:p w:rsidR="00BA1B56" w:rsidRPr="00BA1B56" w:rsidRDefault="00BA1B56" w:rsidP="00BA1B56">
      <w:pPr>
        <w:pStyle w:val="TextoNormalSangraFrancesa"/>
        <w:rPr>
          <w:rStyle w:val="TextoNormalCaracter"/>
        </w:rPr>
      </w:pPr>
      <w:bookmarkStart w:id="1370" w:name="DESCRIPTORALFABETICO472"/>
      <w:r w:rsidRPr="00BA1B56">
        <w:rPr>
          <w:rStyle w:val="TextoNormalNegritaCaracter"/>
        </w:rPr>
        <w:t>Autonomía local</w:t>
      </w:r>
      <w:bookmarkEnd w:id="1370"/>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ff. 2, 3, 4, 5, 6, 7.</w:t>
      </w:r>
    </w:p>
    <w:p w:rsidR="00BA1B56" w:rsidRPr="00BA1B56" w:rsidRDefault="00BA1B56" w:rsidP="00BA1B56">
      <w:pPr>
        <w:pStyle w:val="TextoNormalSangraFrancesa"/>
        <w:rPr>
          <w:rStyle w:val="TextoNormalCaracter"/>
        </w:rPr>
      </w:pPr>
      <w:bookmarkStart w:id="1371" w:name="DESCRIPTORALFABETICO453"/>
      <w:r w:rsidRPr="00BA1B56">
        <w:rPr>
          <w:rStyle w:val="TextoNormalNegritaCaracter"/>
        </w:rPr>
        <w:t>Autonomía parlamentaria</w:t>
      </w:r>
      <w:bookmarkEnd w:id="1371"/>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72" w:name="DESCRIPTORALFABETICO82"/>
      <w:r w:rsidRPr="00BA1B56">
        <w:rPr>
          <w:rStyle w:val="TextoNormalNegritaCaracter"/>
        </w:rPr>
        <w:t>Autonomía presupuestaria del Estado</w:t>
      </w:r>
      <w:bookmarkEnd w:id="1372"/>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ff. 6, 7.</w:t>
      </w:r>
    </w:p>
    <w:p w:rsidR="00BA1B56" w:rsidRPr="00BA1B56" w:rsidRDefault="00BA1B56" w:rsidP="00BA1B56">
      <w:pPr>
        <w:pStyle w:val="TextoNormalSangraFrancesa"/>
        <w:rPr>
          <w:rStyle w:val="TextoNormalCaracter"/>
        </w:rPr>
      </w:pPr>
      <w:bookmarkStart w:id="1373" w:name="DESCRIPTORALFABETICO810"/>
      <w:r w:rsidRPr="00BA1B56">
        <w:rPr>
          <w:rStyle w:val="TextoNormalNegritaCaracter"/>
        </w:rPr>
        <w:t>Autorización de apertura de farmacia</w:t>
      </w:r>
      <w:bookmarkEnd w:id="1373"/>
      <w:r w:rsidRPr="00BA1B56">
        <w:rPr>
          <w:rStyle w:val="TextoNormalCaracter"/>
        </w:rPr>
        <w:t xml:space="preserve">, Sentencia </w:t>
      </w:r>
      <w:hyperlink w:anchor="SENTENCIA_2012_78" w:history="1">
        <w:r w:rsidRPr="00BA1B56">
          <w:rPr>
            <w:rStyle w:val="TextoNormalCaracter"/>
          </w:rPr>
          <w:t>78/2012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374" w:name="DESCRIPTORALFABETICO546"/>
      <w:r w:rsidRPr="00BA1B56">
        <w:rPr>
          <w:rStyle w:val="TextoNormalNegritaCaracter"/>
        </w:rPr>
        <w:t>Autorizaciones de operaciones de crédito</w:t>
      </w:r>
      <w:bookmarkEnd w:id="1374"/>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5 a 7.</w:t>
      </w:r>
    </w:p>
    <w:p w:rsidR="00BA1B56" w:rsidRPr="00BA1B56" w:rsidRDefault="00BA1B56" w:rsidP="00BA1B56">
      <w:pPr>
        <w:pStyle w:val="TextoNormalSangraFrancesa"/>
        <w:rPr>
          <w:rStyle w:val="TextoNormalCaracter"/>
        </w:rPr>
      </w:pPr>
      <w:bookmarkStart w:id="1375" w:name="DESCRIPTORALFABETICO612"/>
      <w:r w:rsidRPr="00BA1B56">
        <w:rPr>
          <w:rStyle w:val="TextoNormalNegritaCaracter"/>
        </w:rPr>
        <w:t>Ayudas al alquiler de viviendas</w:t>
      </w:r>
      <w:bookmarkEnd w:id="1375"/>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8 a 10; </w:t>
      </w:r>
      <w:hyperlink w:anchor="SENTENCIA_2012_72" w:history="1">
        <w:r w:rsidRPr="00BA1B56">
          <w:rPr>
            <w:rStyle w:val="TextoNormalCaracter"/>
          </w:rPr>
          <w:t>72/2012</w:t>
        </w:r>
      </w:hyperlink>
      <w:r w:rsidRPr="00BA1B56">
        <w:rPr>
          <w:rStyle w:val="TextoNormalCaracter"/>
        </w:rPr>
        <w:t xml:space="preserve">, ff. 3 a 5; </w:t>
      </w:r>
      <w:hyperlink w:anchor="SENTENCIA_2012_73" w:history="1">
        <w:r w:rsidRPr="00BA1B56">
          <w:rPr>
            <w:rStyle w:val="TextoNormalCaracter"/>
          </w:rPr>
          <w:t>73/2012</w:t>
        </w:r>
      </w:hyperlink>
      <w:r w:rsidRPr="00BA1B56">
        <w:rPr>
          <w:rStyle w:val="TextoNormalCaracter"/>
        </w:rPr>
        <w:t xml:space="preserve">, ff. 3, 5; </w:t>
      </w:r>
      <w:hyperlink w:anchor="SENTENCIA_2012_77" w:history="1">
        <w:r w:rsidRPr="00BA1B56">
          <w:rPr>
            <w:rStyle w:val="TextoNormalCaracter"/>
          </w:rPr>
          <w:t>77/2012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76" w:name="DESCRIPTORALFABETICO513"/>
      <w:r w:rsidRPr="00BA1B56">
        <w:rPr>
          <w:rStyle w:val="TextoNormalNegritaCaracter"/>
        </w:rPr>
        <w:t>Ayuntamientos</w:t>
      </w:r>
      <w:bookmarkEnd w:id="1376"/>
      <w:r w:rsidRPr="00BA1B56">
        <w:rPr>
          <w:rStyle w:val="TextoNormalCaracter"/>
        </w:rPr>
        <w:t xml:space="preserve">, Sentencia </w:t>
      </w:r>
      <w:hyperlink w:anchor="SENTENCIA_2012_117" w:history="1">
        <w:r w:rsidRPr="00BA1B56">
          <w:rPr>
            <w:rStyle w:val="TextoNormalCaracter"/>
          </w:rPr>
          <w:t>117/2012</w:t>
        </w:r>
      </w:hyperlink>
      <w:r w:rsidRPr="00BA1B56">
        <w:rPr>
          <w:rStyle w:val="TextoNormalCaracter"/>
        </w:rPr>
        <w:t>, f. 4.</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B</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377" w:name="DESCRIPTORALFABETICO412"/>
      <w:r w:rsidRPr="00BA1B56">
        <w:rPr>
          <w:rStyle w:val="TextoNormalNegritaCaracter"/>
        </w:rPr>
        <w:t>Baja voluntaria en el partido político</w:t>
      </w:r>
      <w:bookmarkEnd w:id="1377"/>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ff. 2, 4; </w:t>
      </w:r>
      <w:hyperlink w:anchor="SENTENCIA_2012_30" w:history="1">
        <w:r w:rsidRPr="00BA1B56">
          <w:rPr>
            <w:rStyle w:val="TextoNormalCaracter"/>
          </w:rPr>
          <w:t>30/2012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78" w:name="DESCRIPTORALFABETICO995"/>
      <w:r w:rsidRPr="00BA1B56">
        <w:rPr>
          <w:rStyle w:val="TextoNormalNegritaCaracter"/>
        </w:rPr>
        <w:t>Baleares</w:t>
      </w:r>
      <w:bookmarkEnd w:id="1378"/>
      <w:r w:rsidRPr="00BA1B56">
        <w:rPr>
          <w:rStyle w:val="TextoNormalCaracter"/>
        </w:rPr>
        <w:t xml:space="preserve">, Sentencias </w:t>
      </w:r>
      <w:hyperlink w:anchor="SENTENCIA_2012_13" w:history="1">
        <w:r w:rsidRPr="00BA1B56">
          <w:rPr>
            <w:rStyle w:val="TextoNormalCaracter"/>
          </w:rPr>
          <w:t>13/2012</w:t>
        </w:r>
      </w:hyperlink>
      <w:r w:rsidRPr="00BA1B56">
        <w:rPr>
          <w:rStyle w:val="TextoNormalCaracter"/>
        </w:rPr>
        <w:t xml:space="preserve">, ff. 3 a 5; </w:t>
      </w:r>
      <w:hyperlink w:anchor="SENTENCIA_2012_26" w:history="1">
        <w:r w:rsidRPr="00BA1B56">
          <w:rPr>
            <w:rStyle w:val="TextoNormalCaracter"/>
          </w:rPr>
          <w:t>26/2012</w:t>
        </w:r>
      </w:hyperlink>
      <w:r w:rsidRPr="00BA1B56">
        <w:rPr>
          <w:rStyle w:val="TextoNormalCaracter"/>
        </w:rPr>
        <w:t xml:space="preserve">, ff. 2, 3, 4, 6, 7, 8, 9, 10; </w:t>
      </w:r>
      <w:hyperlink w:anchor="SENTENCIA_2012_86" w:history="1">
        <w:r w:rsidRPr="00BA1B56">
          <w:rPr>
            <w:rStyle w:val="TextoNormalCaracter"/>
          </w:rPr>
          <w:t>86/2012</w:t>
        </w:r>
      </w:hyperlink>
      <w:r w:rsidRPr="00BA1B56">
        <w:rPr>
          <w:rStyle w:val="TextoNormalCaracter"/>
        </w:rPr>
        <w:t xml:space="preserve">, f. 1; </w:t>
      </w:r>
      <w:hyperlink w:anchor="SENTENCIA_2012_132" w:history="1">
        <w:r w:rsidRPr="00BA1B56">
          <w:rPr>
            <w:rStyle w:val="TextoNormalCaracter"/>
          </w:rPr>
          <w:t>132/2012</w:t>
        </w:r>
      </w:hyperlink>
      <w:r w:rsidRPr="00BA1B56">
        <w:rPr>
          <w:rStyle w:val="TextoNormalCaracter"/>
        </w:rPr>
        <w:t>, ff. 2 a 7.</w:t>
      </w:r>
    </w:p>
    <w:p w:rsidR="00BA1B56" w:rsidRPr="00BA1B56" w:rsidRDefault="00BA1B56" w:rsidP="00BA1B56">
      <w:pPr>
        <w:pStyle w:val="TextoNormalSangraFrancesa"/>
        <w:rPr>
          <w:rStyle w:val="TextoNormalCaracter"/>
        </w:rPr>
      </w:pPr>
      <w:bookmarkStart w:id="1379" w:name="DESCRIPTORALFABETICO988"/>
      <w:r w:rsidRPr="00BA1B56">
        <w:rPr>
          <w:rStyle w:val="TextoNormalNegritaCaracter"/>
        </w:rPr>
        <w:t>Banco Hipotecario</w:t>
      </w:r>
      <w:bookmarkEnd w:id="1379"/>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6.</w:t>
      </w:r>
    </w:p>
    <w:p w:rsidR="00BA1B56" w:rsidRPr="00BA1B56" w:rsidRDefault="00BA1B56" w:rsidP="00BA1B56">
      <w:pPr>
        <w:pStyle w:val="TextoNormalSangraFrancesa"/>
        <w:rPr>
          <w:rStyle w:val="TextoNormalNegritaCaracter"/>
        </w:rPr>
      </w:pPr>
      <w:r w:rsidRPr="00BA1B56">
        <w:rPr>
          <w:rStyle w:val="TextoNormalCursivaCaracter"/>
        </w:rPr>
        <w:t>Bases</w:t>
      </w:r>
      <w:r>
        <w:t xml:space="preserve"> véase </w:t>
      </w:r>
      <w:hyperlink w:anchor="DESCRIPTORALFABETICO699" w:history="1">
        <w:r w:rsidRPr="00BA1B56">
          <w:rPr>
            <w:rStyle w:val="TextoNormalNegritaCaracter"/>
          </w:rPr>
          <w:t>Legislación básica</w:t>
        </w:r>
      </w:hyperlink>
    </w:p>
    <w:p w:rsidR="00BA1B56" w:rsidRPr="00BA1B56" w:rsidRDefault="00BA1B56" w:rsidP="00BA1B56">
      <w:pPr>
        <w:pStyle w:val="TextoNormalSangraFrancesa"/>
        <w:rPr>
          <w:rStyle w:val="TextoNormalCaracter"/>
        </w:rPr>
      </w:pPr>
      <w:bookmarkStart w:id="1380" w:name="DESCRIPTORALFABETICO615"/>
      <w:r w:rsidRPr="00BA1B56">
        <w:rPr>
          <w:rStyle w:val="TextoNormalNegritaCaracter"/>
        </w:rPr>
        <w:t>Beneficiarios de subvenciones</w:t>
      </w:r>
      <w:bookmarkEnd w:id="1380"/>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5, 8, 11, 12; </w:t>
      </w:r>
      <w:hyperlink w:anchor="SENTENCIA_2012_73" w:history="1">
        <w:r w:rsidRPr="00BA1B56">
          <w:rPr>
            <w:rStyle w:val="TextoNormalCaracter"/>
          </w:rPr>
          <w:t>73/2012</w:t>
        </w:r>
      </w:hyperlink>
      <w:r w:rsidRPr="00BA1B56">
        <w:rPr>
          <w:rStyle w:val="TextoNormalCaracter"/>
        </w:rPr>
        <w:t xml:space="preserve">, f. 5; </w:t>
      </w:r>
      <w:hyperlink w:anchor="SENTENCIA_2012_89" w:history="1">
        <w:r w:rsidRPr="00BA1B56">
          <w:rPr>
            <w:rStyle w:val="TextoNormalCaracter"/>
          </w:rPr>
          <w:t>89/2012</w:t>
        </w:r>
      </w:hyperlink>
      <w:r w:rsidRPr="00BA1B56">
        <w:rPr>
          <w:rStyle w:val="TextoNormalCaracter"/>
        </w:rPr>
        <w:t>, f. 9.</w:t>
      </w:r>
    </w:p>
    <w:p w:rsidR="00BA1B56" w:rsidRPr="00BA1B56" w:rsidRDefault="00BA1B56" w:rsidP="00BA1B56">
      <w:pPr>
        <w:pStyle w:val="TextoNormalSangraFrancesa"/>
        <w:rPr>
          <w:rStyle w:val="TextoNormalCaracter"/>
        </w:rPr>
      </w:pPr>
      <w:bookmarkStart w:id="1381" w:name="DESCRIPTORALFABETICO657"/>
      <w:r w:rsidRPr="00BA1B56">
        <w:rPr>
          <w:rStyle w:val="TextoNormalNegritaCaracter"/>
        </w:rPr>
        <w:t>Biodiversidad</w:t>
      </w:r>
      <w:bookmarkEnd w:id="1381"/>
      <w:r w:rsidRPr="00BA1B56">
        <w:rPr>
          <w:rStyle w:val="TextoNormalCaracter"/>
        </w:rPr>
        <w:t xml:space="preserve">, Sentencia </w:t>
      </w:r>
      <w:hyperlink w:anchor="SENTENCIA_2012_38" w:history="1">
        <w:r w:rsidRPr="00BA1B56">
          <w:rPr>
            <w:rStyle w:val="TextoNormalCaracter"/>
          </w:rPr>
          <w:t>38/2012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82" w:name="DESCRIPTORALFABETICO1"/>
      <w:r w:rsidRPr="00BA1B56">
        <w:rPr>
          <w:rStyle w:val="TextoNormalNegritaCaracter"/>
        </w:rPr>
        <w:t>Bloque de la constitucionalidad</w:t>
      </w:r>
      <w:bookmarkEnd w:id="1382"/>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 11; </w:t>
      </w:r>
      <w:hyperlink w:anchor="SENTENCIA_2012_132" w:history="1">
        <w:r w:rsidRPr="00BA1B56">
          <w:rPr>
            <w:rStyle w:val="TextoNormalCaracter"/>
          </w:rPr>
          <w:t>132/2012</w:t>
        </w:r>
      </w:hyperlink>
      <w:r w:rsidRPr="00BA1B56">
        <w:rPr>
          <w:rStyle w:val="TextoNormalCaracter"/>
        </w:rPr>
        <w:t>, ff. 2, 4, 5.</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C</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383" w:name="DESCRIPTORALFABETICO861"/>
      <w:r w:rsidRPr="00BA1B56">
        <w:rPr>
          <w:rStyle w:val="TextoNormalNegritaCaracter"/>
        </w:rPr>
        <w:t>Caducidad de la acción</w:t>
      </w:r>
      <w:bookmarkEnd w:id="1383"/>
      <w:r w:rsidRPr="00BA1B56">
        <w:rPr>
          <w:rStyle w:val="TextoNormalCaracter"/>
        </w:rPr>
        <w:t xml:space="preserve">, Sentencia </w:t>
      </w:r>
      <w:hyperlink w:anchor="SENTENCIA_2012_76" w:history="1">
        <w:r w:rsidRPr="00BA1B56">
          <w:rPr>
            <w:rStyle w:val="TextoNormalCaracter"/>
          </w:rPr>
          <w:t>76/2012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84" w:name="DESCRIPTORALFABETICO539"/>
      <w:r w:rsidRPr="00BA1B56">
        <w:rPr>
          <w:rStyle w:val="TextoNormalNegritaCaracter"/>
        </w:rPr>
        <w:t>Cajas de ahorros</w:t>
      </w:r>
      <w:bookmarkEnd w:id="1384"/>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7, 8, 9.</w:t>
      </w:r>
    </w:p>
    <w:p w:rsidR="00BA1B56" w:rsidRPr="00BA1B56" w:rsidRDefault="00BA1B56" w:rsidP="00BA1B56">
      <w:pPr>
        <w:pStyle w:val="TextoNormalSangraFrancesa"/>
        <w:rPr>
          <w:rStyle w:val="TextoNormalCaracter"/>
        </w:rPr>
      </w:pPr>
      <w:bookmarkStart w:id="1385" w:name="DESCRIPTORALFABETICO784"/>
      <w:r w:rsidRPr="00BA1B56">
        <w:rPr>
          <w:rStyle w:val="TextoNormalNegritaCaracter"/>
        </w:rPr>
        <w:t>Calificación del concurso</w:t>
      </w:r>
      <w:bookmarkEnd w:id="1385"/>
      <w:r w:rsidRPr="00BA1B56">
        <w:rPr>
          <w:rStyle w:val="TextoNormalCaracter"/>
        </w:rPr>
        <w:t xml:space="preserve">, Sentencia </w:t>
      </w:r>
      <w:hyperlink w:anchor="SENTENCIA_2012_15" w:history="1">
        <w:r w:rsidRPr="00BA1B56">
          <w:rPr>
            <w:rStyle w:val="TextoNormalCaracter"/>
          </w:rPr>
          <w:t>15/2012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Cámaras ocultas</w:t>
      </w:r>
      <w:r>
        <w:t xml:space="preserve"> véase </w:t>
      </w:r>
      <w:hyperlink w:anchor="DESCRIPTORALFABETICO824" w:history="1">
        <w:r w:rsidRPr="00BA1B56">
          <w:rPr>
            <w:rStyle w:val="TextoNormalNegritaCaracter"/>
          </w:rPr>
          <w:t>Grabaciones audiovisuales ocultas</w:t>
        </w:r>
      </w:hyperlink>
    </w:p>
    <w:p w:rsidR="00BA1B56" w:rsidRPr="00BA1B56" w:rsidRDefault="00BA1B56" w:rsidP="00BA1B56">
      <w:pPr>
        <w:pStyle w:val="TextoNormalSangraFrancesa"/>
        <w:rPr>
          <w:rStyle w:val="TextoNormalCaracter"/>
        </w:rPr>
      </w:pPr>
      <w:bookmarkStart w:id="1386" w:name="DESCRIPTORALFABETICO153"/>
      <w:r w:rsidRPr="00BA1B56">
        <w:rPr>
          <w:rStyle w:val="TextoNormalNegritaCaracter"/>
        </w:rPr>
        <w:t>Cambio de criterio del órgano judicial</w:t>
      </w:r>
      <w:bookmarkEnd w:id="1386"/>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4, 7, VP I, VP II; </w:t>
      </w:r>
      <w:hyperlink w:anchor="SENTENCIA_2012_40" w:history="1">
        <w:r w:rsidRPr="00BA1B56">
          <w:rPr>
            <w:rStyle w:val="TextoNormalCaracter"/>
          </w:rPr>
          <w:t>40/2012</w:t>
        </w:r>
      </w:hyperlink>
      <w:r w:rsidRPr="00BA1B56">
        <w:rPr>
          <w:rStyle w:val="TextoNormalCaracter"/>
        </w:rPr>
        <w:t xml:space="preserve">, ff. 5, 6, VP II; </w:t>
      </w:r>
      <w:hyperlink w:anchor="SENTENCIA_2012_41" w:history="1">
        <w:r w:rsidRPr="00BA1B56">
          <w:rPr>
            <w:rStyle w:val="TextoNormalCaracter"/>
          </w:rPr>
          <w:t>41/2012</w:t>
        </w:r>
      </w:hyperlink>
      <w:r w:rsidRPr="00BA1B56">
        <w:rPr>
          <w:rStyle w:val="TextoNormalCaracter"/>
        </w:rPr>
        <w:t xml:space="preserve">, f. 6; </w:t>
      </w:r>
      <w:hyperlink w:anchor="SENTENCIA_2012_42" w:history="1">
        <w:r w:rsidRPr="00BA1B56">
          <w:rPr>
            <w:rStyle w:val="TextoNormalCaracter"/>
          </w:rPr>
          <w:t>42/2012</w:t>
        </w:r>
      </w:hyperlink>
      <w:r w:rsidRPr="00BA1B56">
        <w:rPr>
          <w:rStyle w:val="TextoNormalCaracter"/>
        </w:rPr>
        <w:t xml:space="preserve">, ff. 4, 6, 7; </w:t>
      </w:r>
      <w:hyperlink w:anchor="SENTENCIA_2012_43" w:history="1">
        <w:r w:rsidRPr="00BA1B56">
          <w:rPr>
            <w:rStyle w:val="TextoNormalCaracter"/>
          </w:rPr>
          <w:t>43/2012</w:t>
        </w:r>
      </w:hyperlink>
      <w:r w:rsidRPr="00BA1B56">
        <w:rPr>
          <w:rStyle w:val="TextoNormalCaracter"/>
        </w:rPr>
        <w:t xml:space="preserve">, ff. 4, 5;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ff. 4, 5; </w:t>
      </w:r>
      <w:hyperlink w:anchor="SENTENCIA_2012_47" w:history="1">
        <w:r w:rsidRPr="00BA1B56">
          <w:rPr>
            <w:rStyle w:val="TextoNormalCaracter"/>
          </w:rPr>
          <w:t>47/2012</w:t>
        </w:r>
      </w:hyperlink>
      <w:r w:rsidRPr="00BA1B56">
        <w:rPr>
          <w:rStyle w:val="TextoNormalCaracter"/>
        </w:rPr>
        <w:t xml:space="preserve">, f. 4, VP II;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 4;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ff. 3, 4; </w:t>
      </w:r>
      <w:hyperlink w:anchor="SENTENCIA_2012_54" w:history="1">
        <w:r w:rsidRPr="00BA1B56">
          <w:rPr>
            <w:rStyle w:val="TextoNormalCaracter"/>
          </w:rPr>
          <w:t>54/2012</w:t>
        </w:r>
      </w:hyperlink>
      <w:r w:rsidRPr="00BA1B56">
        <w:rPr>
          <w:rStyle w:val="TextoNormalCaracter"/>
        </w:rPr>
        <w:t xml:space="preserve">, f. 5; </w:t>
      </w:r>
      <w:hyperlink w:anchor="SENTENCIA_2012_55" w:history="1">
        <w:r w:rsidRPr="00BA1B56">
          <w:rPr>
            <w:rStyle w:val="TextoNormalCaracter"/>
          </w:rPr>
          <w:t>55/2012</w:t>
        </w:r>
      </w:hyperlink>
      <w:r w:rsidRPr="00BA1B56">
        <w:rPr>
          <w:rStyle w:val="TextoNormalCaracter"/>
        </w:rPr>
        <w:t xml:space="preserve">, f. 5; </w:t>
      </w:r>
      <w:hyperlink w:anchor="SENTENCIA_2012_56" w:history="1">
        <w:r w:rsidRPr="00BA1B56">
          <w:rPr>
            <w:rStyle w:val="TextoNormalCaracter"/>
          </w:rPr>
          <w:t>56/2012</w:t>
        </w:r>
      </w:hyperlink>
      <w:r w:rsidRPr="00BA1B56">
        <w:rPr>
          <w:rStyle w:val="TextoNormalCaracter"/>
        </w:rPr>
        <w:t xml:space="preserve">, f. 2; </w:t>
      </w:r>
      <w:hyperlink w:anchor="SENTENCIA_2012_57" w:history="1">
        <w:r w:rsidRPr="00BA1B56">
          <w:rPr>
            <w:rStyle w:val="TextoNormalCaracter"/>
          </w:rPr>
          <w:t>57/2012</w:t>
        </w:r>
      </w:hyperlink>
      <w:r w:rsidRPr="00BA1B56">
        <w:rPr>
          <w:rStyle w:val="TextoNormalCaracter"/>
        </w:rPr>
        <w:t xml:space="preserve">, ff. 3, 7; </w:t>
      </w:r>
      <w:hyperlink w:anchor="SENTENCIA_2012_61" w:history="1">
        <w:r w:rsidRPr="00BA1B56">
          <w:rPr>
            <w:rStyle w:val="TextoNormalCaracter"/>
          </w:rPr>
          <w:t>61/2012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 3; </w:t>
      </w:r>
      <w:hyperlink w:anchor="SENTENCIA_2012_65" w:history="1">
        <w:r w:rsidRPr="00BA1B56">
          <w:rPr>
            <w:rStyle w:val="TextoNormalCaracter"/>
          </w:rPr>
          <w:t>65/2012</w:t>
        </w:r>
      </w:hyperlink>
      <w:r w:rsidRPr="00BA1B56">
        <w:rPr>
          <w:rStyle w:val="TextoNormalCaracter"/>
        </w:rPr>
        <w:t xml:space="preserve">, f. 4; </w:t>
      </w:r>
      <w:hyperlink w:anchor="SENTENCIA_2012_66" w:history="1">
        <w:r w:rsidRPr="00BA1B56">
          <w:rPr>
            <w:rStyle w:val="TextoNormalCaracter"/>
          </w:rPr>
          <w:t>66/2012</w:t>
        </w:r>
      </w:hyperlink>
      <w:r w:rsidRPr="00BA1B56">
        <w:rPr>
          <w:rStyle w:val="TextoNormalCaracter"/>
        </w:rPr>
        <w:t xml:space="preserve">, f. 3; </w:t>
      </w:r>
      <w:hyperlink w:anchor="SENTENCIA_2012_67" w:history="1">
        <w:r w:rsidRPr="00BA1B56">
          <w:rPr>
            <w:rStyle w:val="TextoNormalCaracter"/>
          </w:rPr>
          <w:t>67/2012</w:t>
        </w:r>
      </w:hyperlink>
      <w:r w:rsidRPr="00BA1B56">
        <w:rPr>
          <w:rStyle w:val="TextoNormalCaracter"/>
        </w:rPr>
        <w:t xml:space="preserve">, f. 3; </w:t>
      </w:r>
      <w:hyperlink w:anchor="SENTENCIA_2012_68" w:history="1">
        <w:r w:rsidRPr="00BA1B56">
          <w:rPr>
            <w:rStyle w:val="TextoNormalCaracter"/>
          </w:rPr>
          <w:t>68/2012</w:t>
        </w:r>
      </w:hyperlink>
      <w:r w:rsidRPr="00BA1B56">
        <w:rPr>
          <w:rStyle w:val="TextoNormalCaracter"/>
        </w:rPr>
        <w:t xml:space="preserve">, f. 3; </w:t>
      </w:r>
      <w:hyperlink w:anchor="SENTENCIA_2012_69" w:history="1">
        <w:r w:rsidRPr="00BA1B56">
          <w:rPr>
            <w:rStyle w:val="TextoNormalCaracter"/>
          </w:rPr>
          <w:t>69/2012</w:t>
        </w:r>
      </w:hyperlink>
      <w:r w:rsidRPr="00BA1B56">
        <w:rPr>
          <w:rStyle w:val="TextoNormalCaracter"/>
        </w:rPr>
        <w:t xml:space="preserve">, f. 4; </w:t>
      </w:r>
      <w:hyperlink w:anchor="SENTENCIA_2012_108" w:history="1">
        <w:r w:rsidRPr="00BA1B56">
          <w:rPr>
            <w:rStyle w:val="TextoNormalCaracter"/>
          </w:rPr>
          <w:t>108/2012</w:t>
        </w:r>
      </w:hyperlink>
      <w:r w:rsidRPr="00BA1B56">
        <w:rPr>
          <w:rStyle w:val="TextoNormalCaracter"/>
        </w:rPr>
        <w:t xml:space="preserve">, f. 4; </w:t>
      </w:r>
      <w:hyperlink w:anchor="SENTENCIA_2012_113" w:history="1">
        <w:r w:rsidRPr="00BA1B56">
          <w:rPr>
            <w:rStyle w:val="TextoNormalCaracter"/>
          </w:rPr>
          <w:t>113/2012</w:t>
        </w:r>
      </w:hyperlink>
      <w:r w:rsidRPr="00BA1B56">
        <w:rPr>
          <w:rStyle w:val="TextoNormalCaracter"/>
        </w:rPr>
        <w:t xml:space="preserve">, ff. 7, 11; </w:t>
      </w:r>
      <w:hyperlink w:anchor="SENTENCIA_2012_114" w:history="1">
        <w:r w:rsidRPr="00BA1B56">
          <w:rPr>
            <w:rStyle w:val="TextoNormalCaracter"/>
          </w:rPr>
          <w:t>114/2012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87" w:name="DESCRIPTORALFABETICO24"/>
      <w:r w:rsidRPr="00BA1B56">
        <w:rPr>
          <w:rStyle w:val="TextoNormalNegritaCaracter"/>
        </w:rPr>
        <w:t>Cambio de encuadramiento competencial</w:t>
      </w:r>
      <w:bookmarkEnd w:id="1387"/>
      <w:r w:rsidRPr="00BA1B56">
        <w:rPr>
          <w:rStyle w:val="TextoNormalCaracter"/>
        </w:rPr>
        <w:t xml:space="preserve">, Sentencia </w:t>
      </w:r>
      <w:hyperlink w:anchor="SENTENCIA_2012_36" w:history="1">
        <w:r w:rsidRPr="00BA1B56">
          <w:rPr>
            <w:rStyle w:val="TextoNormalCaracter"/>
          </w:rPr>
          <w:t>36/2012</w:t>
        </w:r>
      </w:hyperlink>
      <w:r w:rsidRPr="00BA1B56">
        <w:rPr>
          <w:rStyle w:val="TextoNormalCaracter"/>
        </w:rPr>
        <w:t>, f. 5.</w:t>
      </w:r>
    </w:p>
    <w:p w:rsidR="00BA1B56" w:rsidRPr="00BA1B56" w:rsidRDefault="00BA1B56" w:rsidP="00BA1B56">
      <w:pPr>
        <w:pStyle w:val="TextoNormalSangraFrancesa"/>
        <w:rPr>
          <w:rStyle w:val="TextoNormalCaracter"/>
        </w:rPr>
      </w:pPr>
      <w:bookmarkStart w:id="1388" w:name="DESCRIPTORALFABETICO720"/>
      <w:r w:rsidRPr="00BA1B56">
        <w:rPr>
          <w:rStyle w:val="TextoNormalNegritaCaracter"/>
        </w:rPr>
        <w:t>Cambio jurisprudencial</w:t>
      </w:r>
      <w:bookmarkEnd w:id="1388"/>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4, 7, VP I, VP II; </w:t>
      </w:r>
      <w:hyperlink w:anchor="SENTENCIA_2012_40" w:history="1">
        <w:r w:rsidRPr="00BA1B56">
          <w:rPr>
            <w:rStyle w:val="TextoNormalCaracter"/>
          </w:rPr>
          <w:t>40/2012</w:t>
        </w:r>
      </w:hyperlink>
      <w:r w:rsidRPr="00BA1B56">
        <w:rPr>
          <w:rStyle w:val="TextoNormalCaracter"/>
        </w:rPr>
        <w:t xml:space="preserve">, ff. 5, 6, VP II; </w:t>
      </w:r>
      <w:hyperlink w:anchor="SENTENCIA_2012_41" w:history="1">
        <w:r w:rsidRPr="00BA1B56">
          <w:rPr>
            <w:rStyle w:val="TextoNormalCaracter"/>
          </w:rPr>
          <w:t>41/2012</w:t>
        </w:r>
      </w:hyperlink>
      <w:r w:rsidRPr="00BA1B56">
        <w:rPr>
          <w:rStyle w:val="TextoNormalCaracter"/>
        </w:rPr>
        <w:t xml:space="preserve">, f. 6; </w:t>
      </w:r>
      <w:hyperlink w:anchor="SENTENCIA_2012_42" w:history="1">
        <w:r w:rsidRPr="00BA1B56">
          <w:rPr>
            <w:rStyle w:val="TextoNormalCaracter"/>
          </w:rPr>
          <w:t>42/2012</w:t>
        </w:r>
      </w:hyperlink>
      <w:r w:rsidRPr="00BA1B56">
        <w:rPr>
          <w:rStyle w:val="TextoNormalCaracter"/>
        </w:rPr>
        <w:t xml:space="preserve">, ff. 4, 6, 7; </w:t>
      </w:r>
      <w:hyperlink w:anchor="SENTENCIA_2012_43" w:history="1">
        <w:r w:rsidRPr="00BA1B56">
          <w:rPr>
            <w:rStyle w:val="TextoNormalCaracter"/>
          </w:rPr>
          <w:t>43/2012</w:t>
        </w:r>
      </w:hyperlink>
      <w:r w:rsidRPr="00BA1B56">
        <w:rPr>
          <w:rStyle w:val="TextoNormalCaracter"/>
        </w:rPr>
        <w:t xml:space="preserve">, ff. 4, 5;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ff. 4, 5; </w:t>
      </w:r>
      <w:hyperlink w:anchor="SENTENCIA_2012_47" w:history="1">
        <w:r w:rsidRPr="00BA1B56">
          <w:rPr>
            <w:rStyle w:val="TextoNormalCaracter"/>
          </w:rPr>
          <w:t>47/2012</w:t>
        </w:r>
      </w:hyperlink>
      <w:r w:rsidRPr="00BA1B56">
        <w:rPr>
          <w:rStyle w:val="TextoNormalCaracter"/>
        </w:rPr>
        <w:t xml:space="preserve">, f. 4, VP II;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 4;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ff. 3, 4; </w:t>
      </w:r>
      <w:hyperlink w:anchor="SENTENCIA_2012_54" w:history="1">
        <w:r w:rsidRPr="00BA1B56">
          <w:rPr>
            <w:rStyle w:val="TextoNormalCaracter"/>
          </w:rPr>
          <w:t>54/2012</w:t>
        </w:r>
      </w:hyperlink>
      <w:r w:rsidRPr="00BA1B56">
        <w:rPr>
          <w:rStyle w:val="TextoNormalCaracter"/>
        </w:rPr>
        <w:t xml:space="preserve">, f. 5; </w:t>
      </w:r>
      <w:hyperlink w:anchor="SENTENCIA_2012_55" w:history="1">
        <w:r w:rsidRPr="00BA1B56">
          <w:rPr>
            <w:rStyle w:val="TextoNormalCaracter"/>
          </w:rPr>
          <w:t>55/2012</w:t>
        </w:r>
      </w:hyperlink>
      <w:r w:rsidRPr="00BA1B56">
        <w:rPr>
          <w:rStyle w:val="TextoNormalCaracter"/>
        </w:rPr>
        <w:t xml:space="preserve">, f. 5; </w:t>
      </w:r>
      <w:hyperlink w:anchor="SENTENCIA_2012_56" w:history="1">
        <w:r w:rsidRPr="00BA1B56">
          <w:rPr>
            <w:rStyle w:val="TextoNormalCaracter"/>
          </w:rPr>
          <w:t>56/2012</w:t>
        </w:r>
      </w:hyperlink>
      <w:r w:rsidRPr="00BA1B56">
        <w:rPr>
          <w:rStyle w:val="TextoNormalCaracter"/>
        </w:rPr>
        <w:t xml:space="preserve">, f. 2; </w:t>
      </w:r>
      <w:hyperlink w:anchor="SENTENCIA_2012_57" w:history="1">
        <w:r w:rsidRPr="00BA1B56">
          <w:rPr>
            <w:rStyle w:val="TextoNormalCaracter"/>
          </w:rPr>
          <w:t>57/2012</w:t>
        </w:r>
      </w:hyperlink>
      <w:r w:rsidRPr="00BA1B56">
        <w:rPr>
          <w:rStyle w:val="TextoNormalCaracter"/>
        </w:rPr>
        <w:t xml:space="preserve">, ff. 3, 7; </w:t>
      </w:r>
      <w:hyperlink w:anchor="SENTENCIA_2012_61" w:history="1">
        <w:r w:rsidRPr="00BA1B56">
          <w:rPr>
            <w:rStyle w:val="TextoNormalCaracter"/>
          </w:rPr>
          <w:t>61/2012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 3; </w:t>
      </w:r>
      <w:hyperlink w:anchor="SENTENCIA_2012_65" w:history="1">
        <w:r w:rsidRPr="00BA1B56">
          <w:rPr>
            <w:rStyle w:val="TextoNormalCaracter"/>
          </w:rPr>
          <w:t>65/2012</w:t>
        </w:r>
      </w:hyperlink>
      <w:r w:rsidRPr="00BA1B56">
        <w:rPr>
          <w:rStyle w:val="TextoNormalCaracter"/>
        </w:rPr>
        <w:t xml:space="preserve">, f. 4; </w:t>
      </w:r>
      <w:hyperlink w:anchor="SENTENCIA_2012_66" w:history="1">
        <w:r w:rsidRPr="00BA1B56">
          <w:rPr>
            <w:rStyle w:val="TextoNormalCaracter"/>
          </w:rPr>
          <w:t>66/2012</w:t>
        </w:r>
      </w:hyperlink>
      <w:r w:rsidRPr="00BA1B56">
        <w:rPr>
          <w:rStyle w:val="TextoNormalCaracter"/>
        </w:rPr>
        <w:t xml:space="preserve">, f. 3; </w:t>
      </w:r>
      <w:hyperlink w:anchor="SENTENCIA_2012_67" w:history="1">
        <w:r w:rsidRPr="00BA1B56">
          <w:rPr>
            <w:rStyle w:val="TextoNormalCaracter"/>
          </w:rPr>
          <w:t>67/2012</w:t>
        </w:r>
      </w:hyperlink>
      <w:r w:rsidRPr="00BA1B56">
        <w:rPr>
          <w:rStyle w:val="TextoNormalCaracter"/>
        </w:rPr>
        <w:t xml:space="preserve">, f. 3; </w:t>
      </w:r>
      <w:hyperlink w:anchor="SENTENCIA_2012_68" w:history="1">
        <w:r w:rsidRPr="00BA1B56">
          <w:rPr>
            <w:rStyle w:val="TextoNormalCaracter"/>
          </w:rPr>
          <w:t>68/2012</w:t>
        </w:r>
      </w:hyperlink>
      <w:r w:rsidRPr="00BA1B56">
        <w:rPr>
          <w:rStyle w:val="TextoNormalCaracter"/>
        </w:rPr>
        <w:t xml:space="preserve">, f. 3; </w:t>
      </w:r>
      <w:hyperlink w:anchor="SENTENCIA_2012_69" w:history="1">
        <w:r w:rsidRPr="00BA1B56">
          <w:rPr>
            <w:rStyle w:val="TextoNormalCaracter"/>
          </w:rPr>
          <w:t>69/2012</w:t>
        </w:r>
      </w:hyperlink>
      <w:r w:rsidRPr="00BA1B56">
        <w:rPr>
          <w:rStyle w:val="TextoNormalCaracter"/>
        </w:rPr>
        <w:t xml:space="preserve">, f. 4; </w:t>
      </w:r>
      <w:hyperlink w:anchor="SENTENCIA_2012_108" w:history="1">
        <w:r w:rsidRPr="00BA1B56">
          <w:rPr>
            <w:rStyle w:val="TextoNormalCaracter"/>
          </w:rPr>
          <w:t>108/2012</w:t>
        </w:r>
      </w:hyperlink>
      <w:r w:rsidRPr="00BA1B56">
        <w:rPr>
          <w:rStyle w:val="TextoNormalCaracter"/>
        </w:rPr>
        <w:t xml:space="preserve">, f. 4; </w:t>
      </w:r>
      <w:hyperlink w:anchor="SENTENCIA_2012_113" w:history="1">
        <w:r w:rsidRPr="00BA1B56">
          <w:rPr>
            <w:rStyle w:val="TextoNormalCaracter"/>
          </w:rPr>
          <w:t>113/2012</w:t>
        </w:r>
      </w:hyperlink>
      <w:r w:rsidRPr="00BA1B56">
        <w:rPr>
          <w:rStyle w:val="TextoNormalCaracter"/>
        </w:rPr>
        <w:t xml:space="preserve">, ff. 7, 11; </w:t>
      </w:r>
      <w:hyperlink w:anchor="SENTENCIA_2012_114" w:history="1">
        <w:r w:rsidRPr="00BA1B56">
          <w:rPr>
            <w:rStyle w:val="TextoNormalCaracter"/>
          </w:rPr>
          <w:t>114/2012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89" w:name="DESCRIPTORALFABETICO996"/>
      <w:r w:rsidRPr="00BA1B56">
        <w:rPr>
          <w:rStyle w:val="TextoNormalNegritaCaracter"/>
        </w:rPr>
        <w:t>Canarias</w:t>
      </w:r>
      <w:bookmarkEnd w:id="1389"/>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7" w:history="1">
        <w:r w:rsidRPr="00BA1B56">
          <w:rPr>
            <w:rStyle w:val="TextoNormalCaracter"/>
          </w:rPr>
          <w:t>7/2012</w:t>
        </w:r>
      </w:hyperlink>
      <w:r w:rsidRPr="00BA1B56">
        <w:rPr>
          <w:rStyle w:val="TextoNormalCaracter"/>
        </w:rPr>
        <w:t xml:space="preserve">, ff. 2, 6, 7; </w:t>
      </w:r>
      <w:hyperlink w:anchor="SENTENCIA_2012_28" w:history="1">
        <w:r w:rsidRPr="00BA1B56">
          <w:rPr>
            <w:rStyle w:val="TextoNormalCaracter"/>
          </w:rPr>
          <w:t>28/2012</w:t>
        </w:r>
      </w:hyperlink>
      <w:r w:rsidRPr="00BA1B56">
        <w:rPr>
          <w:rStyle w:val="TextoNormalCaracter"/>
        </w:rPr>
        <w:t xml:space="preserve">, f. 3; </w:t>
      </w:r>
      <w:hyperlink w:anchor="SENTENCIA_2012_100" w:history="1">
        <w:r w:rsidRPr="00BA1B56">
          <w:rPr>
            <w:rStyle w:val="TextoNormalCaracter"/>
          </w:rPr>
          <w:t>100/2012</w:t>
        </w:r>
      </w:hyperlink>
      <w:r w:rsidRPr="00BA1B56">
        <w:rPr>
          <w:rStyle w:val="TextoNormalCaracter"/>
        </w:rPr>
        <w:t xml:space="preserve">, ff. 3, 4, 5, 6, 7; </w:t>
      </w:r>
      <w:hyperlink w:anchor="SENTENCIA_2012_133" w:history="1">
        <w:r w:rsidRPr="00BA1B56">
          <w:rPr>
            <w:rStyle w:val="TextoNormalCaracter"/>
          </w:rPr>
          <w:t>133/2012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390" w:name="DESCRIPTORALFABETICO328"/>
      <w:r w:rsidRPr="00BA1B56">
        <w:rPr>
          <w:rStyle w:val="TextoNormalNegritaCaracter"/>
        </w:rPr>
        <w:t>Canon de enjuiciamiento de la cuestión de inconstitucionalidad</w:t>
      </w:r>
      <w:bookmarkEnd w:id="1390"/>
      <w:r w:rsidRPr="00BA1B56">
        <w:rPr>
          <w:rStyle w:val="TextoNormalCaracter"/>
        </w:rPr>
        <w:t xml:space="preserve">, Sentencias </w:t>
      </w:r>
      <w:hyperlink w:anchor="SENTENCIA_2012_3" w:history="1">
        <w:r w:rsidRPr="00BA1B56">
          <w:rPr>
            <w:rStyle w:val="TextoNormalCaracter"/>
          </w:rPr>
          <w:t>3/2012</w:t>
        </w:r>
      </w:hyperlink>
      <w:r w:rsidRPr="00BA1B56">
        <w:rPr>
          <w:rStyle w:val="TextoNormalCaracter"/>
        </w:rPr>
        <w:t xml:space="preserve">, f. 4; </w:t>
      </w:r>
      <w:hyperlink w:anchor="SENTENCIA_2012_4" w:history="1">
        <w:r w:rsidRPr="00BA1B56">
          <w:rPr>
            <w:rStyle w:val="TextoNormalCaracter"/>
          </w:rPr>
          <w:t>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391" w:name="DESCRIPTORALFABETICO207"/>
      <w:r w:rsidRPr="00BA1B56">
        <w:rPr>
          <w:rStyle w:val="TextoNormalNegritaCaracter"/>
        </w:rPr>
        <w:t>Canon de motivación reforzado</w:t>
      </w:r>
      <w:bookmarkEnd w:id="1391"/>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5.</w:t>
      </w:r>
    </w:p>
    <w:p w:rsidR="00BA1B56" w:rsidRPr="00BA1B56" w:rsidRDefault="00BA1B56" w:rsidP="00BA1B56">
      <w:pPr>
        <w:pStyle w:val="TextoNormalSangraFrancesa"/>
        <w:rPr>
          <w:rStyle w:val="TextoNormalCaracter"/>
        </w:rPr>
      </w:pPr>
      <w:bookmarkStart w:id="1392" w:name="DESCRIPTORALFABETICO208"/>
      <w:r w:rsidRPr="00BA1B56">
        <w:rPr>
          <w:rStyle w:val="TextoNormalNegritaCaracter"/>
        </w:rPr>
        <w:t>Canon de motivación reforzado cuando afecta a derechos fundamentales</w:t>
      </w:r>
      <w:bookmarkEnd w:id="1392"/>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9.</w:t>
      </w:r>
    </w:p>
    <w:p w:rsidR="00BA1B56" w:rsidRPr="00BA1B56" w:rsidRDefault="00BA1B56" w:rsidP="00BA1B56">
      <w:pPr>
        <w:pStyle w:val="TextoNormalSangraFrancesa"/>
        <w:rPr>
          <w:rStyle w:val="TextoNormalCaracter"/>
        </w:rPr>
      </w:pPr>
      <w:bookmarkStart w:id="1393" w:name="DESCRIPTORALFABETICO159"/>
      <w:r w:rsidRPr="00BA1B56">
        <w:rPr>
          <w:rStyle w:val="TextoNormalNegritaCaracter"/>
        </w:rPr>
        <w:t>Canon reforzado de investigación</w:t>
      </w:r>
      <w:bookmarkEnd w:id="1393"/>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1394" w:name="DESCRIPTORALFABETICO700"/>
      <w:r w:rsidRPr="00BA1B56">
        <w:rPr>
          <w:rStyle w:val="TextoNormalNegritaCaracter"/>
        </w:rPr>
        <w:lastRenderedPageBreak/>
        <w:t>Carácter básico de las normas jurídicas</w:t>
      </w:r>
      <w:bookmarkEnd w:id="1394"/>
      <w:r w:rsidRPr="00BA1B56">
        <w:rPr>
          <w:rStyle w:val="TextoNormalCaracter"/>
        </w:rPr>
        <w:t xml:space="preserve">, Sentencias </w:t>
      </w:r>
      <w:hyperlink w:anchor="SENTENCIA_2012_82" w:history="1">
        <w:r w:rsidRPr="00BA1B56">
          <w:rPr>
            <w:rStyle w:val="TextoNormalCaracter"/>
          </w:rPr>
          <w:t>82/2012</w:t>
        </w:r>
      </w:hyperlink>
      <w:r w:rsidRPr="00BA1B56">
        <w:rPr>
          <w:rStyle w:val="TextoNormalCaracter"/>
        </w:rPr>
        <w:t xml:space="preserve">, f. 6; </w:t>
      </w:r>
      <w:hyperlink w:anchor="SENTENCIA_2012_90" w:history="1">
        <w:r w:rsidRPr="00BA1B56">
          <w:rPr>
            <w:rStyle w:val="TextoNormalCaracter"/>
          </w:rPr>
          <w:t>90/2012</w:t>
        </w:r>
      </w:hyperlink>
      <w:r w:rsidRPr="00BA1B56">
        <w:rPr>
          <w:rStyle w:val="TextoNormalCaracter"/>
        </w:rPr>
        <w:t xml:space="preserve">, f. 3; </w:t>
      </w:r>
      <w:hyperlink w:anchor="SENTENCIA_2012_109" w:history="1">
        <w:r w:rsidRPr="00BA1B56">
          <w:rPr>
            <w:rStyle w:val="TextoNormalCaracter"/>
          </w:rPr>
          <w:t>109/2012</w:t>
        </w:r>
      </w:hyperlink>
      <w:r w:rsidRPr="00BA1B56">
        <w:rPr>
          <w:rStyle w:val="TextoNormalCaracter"/>
        </w:rPr>
        <w:t xml:space="preserve">, f. 3; </w:t>
      </w:r>
      <w:hyperlink w:anchor="SENTENCIA_2012_127" w:history="1">
        <w:r w:rsidRPr="00BA1B56">
          <w:rPr>
            <w:rStyle w:val="TextoNormalCaracter"/>
          </w:rPr>
          <w:t>127/2012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95" w:name="DESCRIPTORALFABETICO388"/>
      <w:r w:rsidRPr="00BA1B56">
        <w:rPr>
          <w:rStyle w:val="TextoNormalNegritaCaracter"/>
        </w:rPr>
        <w:t>Carencia de especial trascendencia constitucional</w:t>
      </w:r>
      <w:bookmarkEnd w:id="1395"/>
      <w:r w:rsidRPr="00BA1B56">
        <w:rPr>
          <w:rStyle w:val="TextoNormalCaracter"/>
        </w:rPr>
        <w:t xml:space="preserve">, Auto </w:t>
      </w:r>
      <w:hyperlink w:anchor="AUTO_2012_26" w:history="1">
        <w:r w:rsidRPr="00BA1B56">
          <w:rPr>
            <w:rStyle w:val="TextoNormalCaracter"/>
          </w:rPr>
          <w:t>26/2012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396" w:name="DESCRIPTORALFABETICO264"/>
      <w:r w:rsidRPr="00BA1B56">
        <w:rPr>
          <w:rStyle w:val="TextoNormalNegritaCaracter"/>
        </w:rPr>
        <w:t>Carencia de jurisdicción para controlar la adecuación de los actos de los poderes públicos nacionales al Derecho de la Unión Europea</w:t>
      </w:r>
      <w:bookmarkEnd w:id="1396"/>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f. 9; </w:t>
      </w:r>
      <w:hyperlink w:anchor="SENTENCIA_2012_135" w:history="1">
        <w:r w:rsidRPr="00BA1B56">
          <w:rPr>
            <w:rStyle w:val="TextoNormalCaracter"/>
          </w:rPr>
          <w:t>135/2012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97" w:name="DESCRIPTORALFABETICO265"/>
      <w:r w:rsidRPr="00BA1B56">
        <w:rPr>
          <w:rStyle w:val="TextoNormalNegritaCaracter"/>
        </w:rPr>
        <w:t>Carencia de jurisdicción para enjuiciar la técnica legislativa</w:t>
      </w:r>
      <w:bookmarkEnd w:id="1397"/>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98" w:name="DESCRIPTORALFABETICO389"/>
      <w:r w:rsidRPr="00BA1B56">
        <w:rPr>
          <w:rStyle w:val="TextoNormalNegritaCaracter"/>
        </w:rPr>
        <w:t>Carencia de justificación de la especial trascendencia constitucional</w:t>
      </w:r>
      <w:bookmarkEnd w:id="1398"/>
      <w:r w:rsidRPr="00BA1B56">
        <w:rPr>
          <w:rStyle w:val="TextoNormalCaracter"/>
        </w:rPr>
        <w:t xml:space="preserve">, Auto </w:t>
      </w:r>
      <w:hyperlink w:anchor="AUTO_2012_11" w:history="1">
        <w:r w:rsidRPr="00BA1B56">
          <w:rPr>
            <w:rStyle w:val="TextoNormalCaracter"/>
          </w:rPr>
          <w:t>11/2012</w:t>
        </w:r>
      </w:hyperlink>
      <w:r w:rsidRPr="00BA1B56">
        <w:rPr>
          <w:rStyle w:val="TextoNormalCaracter"/>
        </w:rPr>
        <w:t>, f. 2.</w:t>
      </w:r>
    </w:p>
    <w:p w:rsidR="00BA1B56" w:rsidRPr="00BA1B56" w:rsidRDefault="00BA1B56" w:rsidP="00BA1B56">
      <w:pPr>
        <w:pStyle w:val="TextoNormalSangraFrancesa"/>
        <w:rPr>
          <w:rStyle w:val="TextoNormalCaracter"/>
        </w:rPr>
      </w:pPr>
      <w:bookmarkStart w:id="1399" w:name="DESCRIPTORALFABETICO148"/>
      <w:r w:rsidRPr="00BA1B56">
        <w:rPr>
          <w:rStyle w:val="TextoNormalNegritaCaracter"/>
        </w:rPr>
        <w:t>Cargos públicos de representación política</w:t>
      </w:r>
      <w:bookmarkEnd w:id="1399"/>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ff. 3, 4, VP I; </w:t>
      </w:r>
      <w:hyperlink w:anchor="SENTENCIA_2012_30" w:history="1">
        <w:r w:rsidRPr="00BA1B56">
          <w:rPr>
            <w:rStyle w:val="TextoNormalCaracter"/>
          </w:rPr>
          <w:t>30/2012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00" w:name="DESCRIPTORALFABETICO672"/>
      <w:r w:rsidRPr="00BA1B56">
        <w:rPr>
          <w:rStyle w:val="TextoNormalNegritaCaracter"/>
        </w:rPr>
        <w:t>Carreteras</w:t>
      </w:r>
      <w:bookmarkEnd w:id="1400"/>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ff. 2, 5; </w:t>
      </w:r>
      <w:hyperlink w:anchor="SENTENCIA_2012_124" w:history="1">
        <w:r w:rsidRPr="00BA1B56">
          <w:rPr>
            <w:rStyle w:val="TextoNormalCaracter"/>
          </w:rPr>
          <w:t>124/2012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401" w:name="DESCRIPTORALFABETICO673"/>
      <w:r w:rsidRPr="00BA1B56">
        <w:rPr>
          <w:rStyle w:val="TextoNormalNegritaCaracter"/>
        </w:rPr>
        <w:t>Carreteras de circunvalación</w:t>
      </w:r>
      <w:bookmarkEnd w:id="1401"/>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 4; </w:t>
      </w:r>
      <w:hyperlink w:anchor="SENTENCIA_2012_124" w:history="1">
        <w:r w:rsidRPr="00BA1B56">
          <w:rPr>
            <w:rStyle w:val="TextoNormalCaracter"/>
          </w:rPr>
          <w:t>124/2012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02" w:name="DESCRIPTORALFABETICO674"/>
      <w:r w:rsidRPr="00BA1B56">
        <w:rPr>
          <w:rStyle w:val="TextoNormalNegritaCaracter"/>
        </w:rPr>
        <w:t>Carreteras de interés general</w:t>
      </w:r>
      <w:bookmarkEnd w:id="1402"/>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ff. 2 a 5; </w:t>
      </w:r>
      <w:hyperlink w:anchor="SENTENCIA_2012_124" w:history="1">
        <w:r w:rsidRPr="00BA1B56">
          <w:rPr>
            <w:rStyle w:val="TextoNormalCaracter"/>
          </w:rPr>
          <w:t>124/2012</w:t>
        </w:r>
      </w:hyperlink>
      <w:r w:rsidRPr="00BA1B56">
        <w:rPr>
          <w:rStyle w:val="TextoNormalCaracter"/>
        </w:rPr>
        <w:t>, f. 4.</w:t>
      </w:r>
    </w:p>
    <w:p w:rsidR="00BA1B56" w:rsidRPr="00BA1B56" w:rsidRDefault="00BA1B56" w:rsidP="00BA1B56">
      <w:pPr>
        <w:pStyle w:val="TextoNormalSangraFrancesa"/>
        <w:rPr>
          <w:rStyle w:val="TextoNormalNegritaCaracter"/>
        </w:rPr>
      </w:pPr>
      <w:r w:rsidRPr="00BA1B56">
        <w:rPr>
          <w:rStyle w:val="TextoNormalCursivaCaracter"/>
        </w:rPr>
        <w:t>Casinos, juegos y apuestas</w:t>
      </w:r>
      <w:r>
        <w:t xml:space="preserve"> véase </w:t>
      </w:r>
      <w:hyperlink w:anchor="DESCRIPTORALFABETICO653" w:history="1">
        <w:r w:rsidRPr="00BA1B56">
          <w:rPr>
            <w:rStyle w:val="TextoNormalNegritaCaracter"/>
          </w:rPr>
          <w:t>Juegos de azar</w:t>
        </w:r>
      </w:hyperlink>
    </w:p>
    <w:p w:rsidR="00BA1B56" w:rsidRPr="00BA1B56" w:rsidRDefault="00BA1B56" w:rsidP="00BA1B56">
      <w:pPr>
        <w:pStyle w:val="TextoNormalSangraFrancesa"/>
        <w:rPr>
          <w:rStyle w:val="TextoNormalCaracter"/>
        </w:rPr>
      </w:pPr>
      <w:bookmarkStart w:id="1403" w:name="DESCRIPTORALFABETICO997"/>
      <w:r w:rsidRPr="00BA1B56">
        <w:rPr>
          <w:rStyle w:val="TextoNormalNegritaCaracter"/>
        </w:rPr>
        <w:t>Castilla y León</w:t>
      </w:r>
      <w:bookmarkEnd w:id="1403"/>
      <w:r w:rsidRPr="00BA1B56">
        <w:rPr>
          <w:rStyle w:val="TextoNormalCaracter"/>
        </w:rPr>
        <w:t xml:space="preserve">, Sentencias </w:t>
      </w:r>
      <w:hyperlink w:anchor="SENTENCIA_2012_90" w:history="1">
        <w:r w:rsidRPr="00BA1B56">
          <w:rPr>
            <w:rStyle w:val="TextoNormalCaracter"/>
          </w:rPr>
          <w:t>90/2012</w:t>
        </w:r>
      </w:hyperlink>
      <w:r w:rsidRPr="00BA1B56">
        <w:rPr>
          <w:rStyle w:val="TextoNormalCaracter"/>
        </w:rPr>
        <w:t xml:space="preserve">, ff. 1 a 6; </w:t>
      </w:r>
      <w:hyperlink w:anchor="SENTENCIA_2012_109" w:history="1">
        <w:r w:rsidRPr="00BA1B56">
          <w:rPr>
            <w:rStyle w:val="TextoNormalCaracter"/>
          </w:rPr>
          <w:t>109/2012</w:t>
        </w:r>
      </w:hyperlink>
      <w:r w:rsidRPr="00BA1B56">
        <w:rPr>
          <w:rStyle w:val="TextoNormalCaracter"/>
        </w:rPr>
        <w:t xml:space="preserve">, ff. 1 a 3; </w:t>
      </w:r>
      <w:hyperlink w:anchor="SENTENCIA_2012_127" w:history="1">
        <w:r w:rsidRPr="00BA1B56">
          <w:rPr>
            <w:rStyle w:val="TextoNormalCaracter"/>
          </w:rPr>
          <w:t>127/2012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404" w:name="DESCRIPTORALFABETICO998"/>
      <w:r w:rsidRPr="00BA1B56">
        <w:rPr>
          <w:rStyle w:val="TextoNormalNegritaCaracter"/>
        </w:rPr>
        <w:t>Castilla-La Mancha</w:t>
      </w:r>
      <w:bookmarkEnd w:id="1404"/>
      <w:r w:rsidRPr="00BA1B56">
        <w:rPr>
          <w:rStyle w:val="TextoNormalCaracter"/>
        </w:rPr>
        <w:t xml:space="preserve">, Sentencias </w:t>
      </w:r>
      <w:hyperlink w:anchor="SENTENCIA_2012_8" w:history="1">
        <w:r w:rsidRPr="00BA1B56">
          <w:rPr>
            <w:rStyle w:val="TextoNormalCaracter"/>
          </w:rPr>
          <w:t>8/2012</w:t>
        </w:r>
      </w:hyperlink>
      <w:r w:rsidRPr="00BA1B56">
        <w:rPr>
          <w:rStyle w:val="TextoNormalCaracter"/>
        </w:rPr>
        <w:t xml:space="preserve">, ff. 3, 4, 5, 6, 8, 9; </w:t>
      </w:r>
      <w:hyperlink w:anchor="SENTENCIA_2012_99" w:history="1">
        <w:r w:rsidRPr="00BA1B56">
          <w:rPr>
            <w:rStyle w:val="TextoNormalCaracter"/>
          </w:rPr>
          <w:t>99/2012</w:t>
        </w:r>
      </w:hyperlink>
      <w:r w:rsidRPr="00BA1B56">
        <w:rPr>
          <w:rStyle w:val="TextoNormalCaracter"/>
        </w:rPr>
        <w:t xml:space="preserve">, ff. 2, 3; </w:t>
      </w:r>
      <w:hyperlink w:anchor="SENTENCIA_2012_102" w:history="1">
        <w:r w:rsidRPr="00BA1B56">
          <w:rPr>
            <w:rStyle w:val="TextoNormalCaracter"/>
          </w:rPr>
          <w:t>102/2012</w:t>
        </w:r>
      </w:hyperlink>
      <w:r w:rsidRPr="00BA1B56">
        <w:rPr>
          <w:rStyle w:val="TextoNormalCaracter"/>
        </w:rPr>
        <w:t>, ff. 1 a 5.</w:t>
      </w:r>
    </w:p>
    <w:p w:rsidR="00BA1B56" w:rsidRPr="00BA1B56" w:rsidRDefault="00BA1B56" w:rsidP="00BA1B56">
      <w:pPr>
        <w:pStyle w:val="TextoNormalSangraFrancesa"/>
        <w:rPr>
          <w:rStyle w:val="TextoNormalCaracter"/>
        </w:rPr>
      </w:pPr>
      <w:bookmarkStart w:id="1405" w:name="DESCRIPTORALFABETICO833"/>
      <w:r w:rsidRPr="00BA1B56">
        <w:rPr>
          <w:rStyle w:val="TextoNormalNegritaCaracter"/>
        </w:rPr>
        <w:t>Catálogo nacional de cualificaciones profesionales</w:t>
      </w:r>
      <w:bookmarkEnd w:id="1405"/>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3, 9.</w:t>
      </w:r>
    </w:p>
    <w:p w:rsidR="00BA1B56" w:rsidRPr="00BA1B56" w:rsidRDefault="00BA1B56" w:rsidP="00BA1B56">
      <w:pPr>
        <w:pStyle w:val="TextoNormalSangraFrancesa"/>
        <w:rPr>
          <w:rStyle w:val="TextoNormalCaracter"/>
        </w:rPr>
      </w:pPr>
      <w:bookmarkStart w:id="1406" w:name="DESCRIPTORALFABETICO999"/>
      <w:r w:rsidRPr="00BA1B56">
        <w:rPr>
          <w:rStyle w:val="TextoNormalNegritaCaracter"/>
        </w:rPr>
        <w:t>Cataluña</w:t>
      </w:r>
      <w:bookmarkEnd w:id="1406"/>
      <w:r w:rsidRPr="00BA1B56">
        <w:rPr>
          <w:rStyle w:val="TextoNormalCaracter"/>
        </w:rPr>
        <w:t xml:space="preserve">, Sentencias </w:t>
      </w:r>
      <w:hyperlink w:anchor="SENTENCIA_2012_5" w:history="1">
        <w:r w:rsidRPr="00BA1B56">
          <w:rPr>
            <w:rStyle w:val="TextoNormalCaracter"/>
          </w:rPr>
          <w:t>5/2012</w:t>
        </w:r>
      </w:hyperlink>
      <w:r w:rsidRPr="00BA1B56">
        <w:rPr>
          <w:rStyle w:val="TextoNormalCaracter"/>
        </w:rPr>
        <w:t xml:space="preserve">, ff. 2, 3, 4, 5, 6; </w:t>
      </w:r>
      <w:hyperlink w:anchor="SENTENCIA_2012_6" w:history="1">
        <w:r w:rsidRPr="00BA1B56">
          <w:rPr>
            <w:rStyle w:val="TextoNormalCaracter"/>
          </w:rPr>
          <w:t>6/2012</w:t>
        </w:r>
      </w:hyperlink>
      <w:r w:rsidRPr="00BA1B56">
        <w:rPr>
          <w:rStyle w:val="TextoNormalCaracter"/>
        </w:rPr>
        <w:t xml:space="preserve">, f. 5; </w:t>
      </w:r>
      <w:hyperlink w:anchor="SENTENCIA_2012_21" w:history="1">
        <w:r w:rsidRPr="00BA1B56">
          <w:rPr>
            <w:rStyle w:val="TextoNormalCaracter"/>
          </w:rPr>
          <w:t>21/2012</w:t>
        </w:r>
      </w:hyperlink>
      <w:r w:rsidRPr="00BA1B56">
        <w:rPr>
          <w:rStyle w:val="TextoNormalCaracter"/>
        </w:rPr>
        <w:t xml:space="preserve">, ff. 1 a 9; </w:t>
      </w:r>
      <w:hyperlink w:anchor="SENTENCIA_2012_32" w:history="1">
        <w:r w:rsidRPr="00BA1B56">
          <w:rPr>
            <w:rStyle w:val="TextoNormalCaracter"/>
          </w:rPr>
          <w:t>32/2012</w:t>
        </w:r>
      </w:hyperlink>
      <w:r w:rsidRPr="00BA1B56">
        <w:rPr>
          <w:rStyle w:val="TextoNormalCaracter"/>
        </w:rPr>
        <w:t xml:space="preserve">, ff. 3, 7, 8; </w:t>
      </w:r>
      <w:hyperlink w:anchor="SENTENCIA_2012_33" w:history="1">
        <w:r w:rsidRPr="00BA1B56">
          <w:rPr>
            <w:rStyle w:val="TextoNormalCaracter"/>
          </w:rPr>
          <w:t>33/2012</w:t>
        </w:r>
      </w:hyperlink>
      <w:r w:rsidRPr="00BA1B56">
        <w:rPr>
          <w:rStyle w:val="TextoNormalCaracter"/>
        </w:rPr>
        <w:t xml:space="preserve">, ff. 5 a 8; </w:t>
      </w:r>
      <w:hyperlink w:anchor="SENTENCIA_2012_35" w:history="1">
        <w:r w:rsidRPr="00BA1B56">
          <w:rPr>
            <w:rStyle w:val="TextoNormalCaracter"/>
          </w:rPr>
          <w:t>35/2012</w:t>
        </w:r>
      </w:hyperlink>
      <w:r w:rsidRPr="00BA1B56">
        <w:rPr>
          <w:rStyle w:val="TextoNormalCaracter"/>
        </w:rPr>
        <w:t xml:space="preserve">, ff. 3, 4; </w:t>
      </w:r>
      <w:hyperlink w:anchor="SENTENCIA_2012_89" w:history="1">
        <w:r w:rsidRPr="00BA1B56">
          <w:rPr>
            <w:rStyle w:val="TextoNormalCaracter"/>
          </w:rPr>
          <w:t>89/2012</w:t>
        </w:r>
      </w:hyperlink>
      <w:r w:rsidRPr="00BA1B56">
        <w:rPr>
          <w:rStyle w:val="TextoNormalCaracter"/>
        </w:rPr>
        <w:t xml:space="preserve">, ff. 3, 4, 5, 6, 8, 10; </w:t>
      </w:r>
      <w:hyperlink w:anchor="SENTENCIA_2012_110" w:history="1">
        <w:r w:rsidRPr="00BA1B56">
          <w:rPr>
            <w:rStyle w:val="TextoNormalCaracter"/>
          </w:rPr>
          <w:t>110/2012</w:t>
        </w:r>
      </w:hyperlink>
      <w:r w:rsidRPr="00BA1B56">
        <w:rPr>
          <w:rStyle w:val="TextoNormalCaracter"/>
        </w:rPr>
        <w:t xml:space="preserve">, ff. 3 a 7; </w:t>
      </w:r>
      <w:hyperlink w:anchor="SENTENCIA_2012_111" w:history="1">
        <w:r w:rsidRPr="00BA1B56">
          <w:rPr>
            <w:rStyle w:val="TextoNormalCaracter"/>
          </w:rPr>
          <w:t>111/2012</w:t>
        </w:r>
      </w:hyperlink>
      <w:r w:rsidRPr="00BA1B56">
        <w:rPr>
          <w:rStyle w:val="TextoNormalCaracter"/>
        </w:rPr>
        <w:t xml:space="preserve">, f. 7; </w:t>
      </w:r>
      <w:hyperlink w:anchor="SENTENCIA_2012_120" w:history="1">
        <w:r w:rsidRPr="00BA1B56">
          <w:rPr>
            <w:rStyle w:val="TextoNormalCaracter"/>
          </w:rPr>
          <w:t>120/2012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407" w:name="DESCRIPTORALFABETICO417"/>
      <w:r w:rsidRPr="00BA1B56">
        <w:rPr>
          <w:rStyle w:val="TextoNormalNegritaCaracter"/>
        </w:rPr>
        <w:t>Causas de ilegalización</w:t>
      </w:r>
      <w:bookmarkEnd w:id="1407"/>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6, 9, 12 a 16, VP I, VP III.</w:t>
      </w:r>
    </w:p>
    <w:p w:rsidR="00BA1B56" w:rsidRPr="00BA1B56" w:rsidRDefault="00BA1B56" w:rsidP="00BA1B56">
      <w:pPr>
        <w:pStyle w:val="TextoNormalSangraFrancesa"/>
        <w:rPr>
          <w:rStyle w:val="TextoNormalCaracter"/>
        </w:rPr>
      </w:pPr>
      <w:bookmarkStart w:id="1408" w:name="DESCRIPTORALFABETICO547"/>
      <w:r w:rsidRPr="00BA1B56">
        <w:rPr>
          <w:rStyle w:val="TextoNormalNegritaCaracter"/>
        </w:rPr>
        <w:t>Caza ilegal</w:t>
      </w:r>
      <w:bookmarkEnd w:id="1408"/>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409" w:name="DESCRIPTORALFABETICO126"/>
      <w:r w:rsidRPr="00BA1B56">
        <w:rPr>
          <w:rStyle w:val="TextoNormalNegritaCaracter"/>
        </w:rPr>
        <w:t>Censo electoral de residentes ausentes</w:t>
      </w:r>
      <w:bookmarkEnd w:id="1409"/>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7, 8, 10.</w:t>
      </w:r>
    </w:p>
    <w:p w:rsidR="00BA1B56" w:rsidRPr="00BA1B56" w:rsidRDefault="00BA1B56" w:rsidP="00BA1B56">
      <w:pPr>
        <w:pStyle w:val="TextoNormalSangraFrancesa"/>
        <w:rPr>
          <w:rStyle w:val="TextoNormalNegritaCaracter"/>
        </w:rPr>
      </w:pPr>
      <w:r w:rsidRPr="00BA1B56">
        <w:rPr>
          <w:rStyle w:val="TextoNormalCursivaCaracter"/>
        </w:rPr>
        <w:t>Certeza de la norma</w:t>
      </w:r>
      <w:r>
        <w:t xml:space="preserve"> véase </w:t>
      </w:r>
      <w:hyperlink w:anchor="DESCRIPTORALFABETICO482" w:history="1">
        <w:r w:rsidRPr="00BA1B56">
          <w:rPr>
            <w:rStyle w:val="TextoNormalNegritaCaracter"/>
          </w:rPr>
          <w:t>Principio de taxatividad</w:t>
        </w:r>
      </w:hyperlink>
    </w:p>
    <w:p w:rsidR="00BA1B56" w:rsidRPr="00BA1B56" w:rsidRDefault="00BA1B56" w:rsidP="00BA1B56">
      <w:pPr>
        <w:pStyle w:val="TextoNormalSangraFrancesa"/>
        <w:rPr>
          <w:rStyle w:val="TextoNormalNegritaCaracter"/>
        </w:rPr>
      </w:pPr>
      <w:r w:rsidRPr="00BA1B56">
        <w:rPr>
          <w:rStyle w:val="TextoNormalCursivaCaracter"/>
        </w:rPr>
        <w:t>Cesión de tributos del Estado</w:t>
      </w:r>
      <w:r>
        <w:t xml:space="preserve"> véase </w:t>
      </w:r>
      <w:hyperlink w:anchor="DESCRIPTORALFABETICO124" w:history="1">
        <w:r w:rsidRPr="00BA1B56">
          <w:rPr>
            <w:rStyle w:val="TextoNormalNegritaCaracter"/>
          </w:rPr>
          <w:t>Tributos cedidos</w:t>
        </w:r>
      </w:hyperlink>
    </w:p>
    <w:p w:rsidR="00BA1B56" w:rsidRPr="00BA1B56" w:rsidRDefault="00BA1B56" w:rsidP="00BA1B56">
      <w:pPr>
        <w:pStyle w:val="TextoNormalSangraFrancesa"/>
        <w:rPr>
          <w:rStyle w:val="TextoNormalCaracter"/>
        </w:rPr>
      </w:pPr>
      <w:bookmarkStart w:id="1410" w:name="DESCRIPTORALFABETICO12"/>
      <w:r w:rsidRPr="00BA1B56">
        <w:rPr>
          <w:rStyle w:val="TextoNormalNegritaCaracter"/>
        </w:rPr>
        <w:t>Cesión del ejercicio de competencias a la Unión Europea</w:t>
      </w:r>
      <w:bookmarkEnd w:id="1410"/>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7.</w:t>
      </w:r>
    </w:p>
    <w:p w:rsidR="00BA1B56" w:rsidRPr="00BA1B56" w:rsidRDefault="00BA1B56" w:rsidP="00BA1B56">
      <w:pPr>
        <w:pStyle w:val="TextoNormalSangraFrancesa"/>
        <w:rPr>
          <w:rStyle w:val="TextoNormalCaracter"/>
        </w:rPr>
      </w:pPr>
      <w:bookmarkStart w:id="1411" w:name="DESCRIPTORALFABETICO360"/>
      <w:r w:rsidRPr="00BA1B56">
        <w:rPr>
          <w:rStyle w:val="TextoNormalNegritaCaracter"/>
        </w:rPr>
        <w:t>Cita numérica de los artículos de la Constitución no exigible</w:t>
      </w:r>
      <w:bookmarkEnd w:id="1411"/>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12" w:name="DESCRIPTORALFABETICO866"/>
      <w:r w:rsidRPr="00BA1B56">
        <w:rPr>
          <w:rStyle w:val="TextoNormalNegritaCaracter"/>
        </w:rPr>
        <w:t>Citación del denunciado</w:t>
      </w:r>
      <w:bookmarkEnd w:id="1412"/>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413" w:name="DESCRIPTORALFABETICO865"/>
      <w:r w:rsidRPr="00BA1B56">
        <w:rPr>
          <w:rStyle w:val="TextoNormalNegritaCaracter"/>
        </w:rPr>
        <w:t>Citación judicial</w:t>
      </w:r>
      <w:bookmarkEnd w:id="1413"/>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414" w:name="DESCRIPTORALFABETICO867"/>
      <w:r w:rsidRPr="00BA1B56">
        <w:rPr>
          <w:rStyle w:val="TextoNormalNegritaCaracter"/>
        </w:rPr>
        <w:t>Citación por teléfono</w:t>
      </w:r>
      <w:bookmarkEnd w:id="1414"/>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415" w:name="DESCRIPTORALFABETICO557"/>
      <w:r w:rsidRPr="00BA1B56">
        <w:rPr>
          <w:rStyle w:val="TextoNormalNegritaCaracter"/>
        </w:rPr>
        <w:t>Cláusulas contractuales</w:t>
      </w:r>
      <w:bookmarkEnd w:id="1415"/>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416" w:name="DESCRIPTORALFABETICO490"/>
      <w:r w:rsidRPr="00BA1B56">
        <w:rPr>
          <w:rStyle w:val="TextoNormalNegritaCaracter"/>
        </w:rPr>
        <w:t>Cobertura legal</w:t>
      </w:r>
      <w:bookmarkEnd w:id="1416"/>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5.</w:t>
      </w:r>
    </w:p>
    <w:p w:rsidR="00BA1B56" w:rsidRPr="00BA1B56" w:rsidRDefault="00BA1B56" w:rsidP="00BA1B56">
      <w:pPr>
        <w:pStyle w:val="TextoNormalSangraFrancesa"/>
        <w:rPr>
          <w:rStyle w:val="TextoNormalCaracter"/>
        </w:rPr>
      </w:pPr>
      <w:bookmarkStart w:id="1417" w:name="DESCRIPTORALFABETICO254"/>
      <w:r w:rsidRPr="00BA1B56">
        <w:rPr>
          <w:rStyle w:val="TextoNormalNegritaCaracter"/>
        </w:rPr>
        <w:t>Cobertura legal de medidas limitativas de derechos fundamentales</w:t>
      </w:r>
      <w:bookmarkEnd w:id="1417"/>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18" w:name="DESCRIPTORALFABETICO772"/>
      <w:r w:rsidRPr="00BA1B56">
        <w:rPr>
          <w:rStyle w:val="TextoNormalNegritaCaracter"/>
        </w:rPr>
        <w:t>Colegio de censores jurados de cuentas</w:t>
      </w:r>
      <w:bookmarkEnd w:id="1418"/>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ff. 1, 8.</w:t>
      </w:r>
    </w:p>
    <w:p w:rsidR="00BA1B56" w:rsidRPr="00BA1B56" w:rsidRDefault="00BA1B56" w:rsidP="00BA1B56">
      <w:pPr>
        <w:pStyle w:val="TextoNormalSangraFrancesa"/>
        <w:rPr>
          <w:rStyle w:val="TextoNormalCaracter"/>
        </w:rPr>
      </w:pPr>
      <w:bookmarkStart w:id="1419" w:name="DESCRIPTORALFABETICO352"/>
      <w:r w:rsidRPr="00BA1B56">
        <w:rPr>
          <w:rStyle w:val="TextoNormalNegritaCaracter"/>
        </w:rPr>
        <w:t>Colisión con normas básicas</w:t>
      </w:r>
      <w:bookmarkEnd w:id="1419"/>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 3; </w:t>
      </w:r>
      <w:hyperlink w:anchor="SENTENCIA_2012_82" w:history="1">
        <w:r w:rsidRPr="00BA1B56">
          <w:rPr>
            <w:rStyle w:val="TextoNormalCaracter"/>
          </w:rPr>
          <w:t>82/2012</w:t>
        </w:r>
      </w:hyperlink>
      <w:r w:rsidRPr="00BA1B56">
        <w:rPr>
          <w:rStyle w:val="TextoNormalCaracter"/>
        </w:rPr>
        <w:t xml:space="preserve">, f. 6; </w:t>
      </w:r>
      <w:hyperlink w:anchor="SENTENCIA_2012_86" w:history="1">
        <w:r w:rsidRPr="00BA1B56">
          <w:rPr>
            <w:rStyle w:val="TextoNormalCaracter"/>
          </w:rPr>
          <w:t>86/2012</w:t>
        </w:r>
      </w:hyperlink>
      <w:r w:rsidRPr="00BA1B56">
        <w:rPr>
          <w:rStyle w:val="TextoNormalCaracter"/>
        </w:rPr>
        <w:t xml:space="preserve">, ff. 1, 3; </w:t>
      </w:r>
      <w:hyperlink w:anchor="SENTENCIA_2012_136" w:history="1">
        <w:r w:rsidRPr="00BA1B56">
          <w:rPr>
            <w:rStyle w:val="TextoNormalCaracter"/>
          </w:rPr>
          <w:t>136/2012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20" w:name="DESCRIPTORALFABETICO548"/>
      <w:r w:rsidRPr="00BA1B56">
        <w:rPr>
          <w:rStyle w:val="TextoNormalNegritaCaracter"/>
        </w:rPr>
        <w:t>Comercio minorista</w:t>
      </w:r>
      <w:bookmarkEnd w:id="1420"/>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ff. 4, 7.</w:t>
      </w:r>
    </w:p>
    <w:p w:rsidR="00BA1B56" w:rsidRPr="00BA1B56" w:rsidRDefault="00BA1B56" w:rsidP="00BA1B56">
      <w:pPr>
        <w:pStyle w:val="TextoNormalSangraFrancesa"/>
        <w:rPr>
          <w:rStyle w:val="TextoNormalCaracter"/>
        </w:rPr>
      </w:pPr>
      <w:bookmarkStart w:id="1421" w:name="DESCRIPTORALFABETICO839"/>
      <w:r w:rsidRPr="00BA1B56">
        <w:rPr>
          <w:rStyle w:val="TextoNormalNegritaCaracter"/>
        </w:rPr>
        <w:t>Comisiones creadas por los convenios colectivos</w:t>
      </w:r>
      <w:bookmarkEnd w:id="1421"/>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6.</w:t>
      </w:r>
    </w:p>
    <w:p w:rsidR="00BA1B56" w:rsidRPr="00BA1B56" w:rsidRDefault="00BA1B56" w:rsidP="00BA1B56">
      <w:pPr>
        <w:pStyle w:val="TextoNormalSangraFrancesa"/>
        <w:rPr>
          <w:rStyle w:val="TextoNormalCaracter"/>
        </w:rPr>
      </w:pPr>
      <w:bookmarkStart w:id="1422" w:name="DESCRIPTORALFABETICO459"/>
      <w:r w:rsidRPr="00BA1B56">
        <w:rPr>
          <w:rStyle w:val="TextoNormalNegritaCaracter"/>
        </w:rPr>
        <w:t>Comisiones de investigación</w:t>
      </w:r>
      <w:bookmarkEnd w:id="1422"/>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423" w:name="DESCRIPTORALFABETICO514"/>
      <w:r w:rsidRPr="00BA1B56">
        <w:rPr>
          <w:rStyle w:val="TextoNormalNegritaCaracter"/>
        </w:rPr>
        <w:t>Comisiones informativas locales</w:t>
      </w:r>
      <w:bookmarkEnd w:id="1423"/>
      <w:r w:rsidRPr="00BA1B56">
        <w:rPr>
          <w:rStyle w:val="TextoNormalCaracter"/>
        </w:rPr>
        <w:t xml:space="preserve">, Sentencia </w:t>
      </w:r>
      <w:hyperlink w:anchor="SENTENCIA_2012_117" w:history="1">
        <w:r w:rsidRPr="00BA1B56">
          <w:rPr>
            <w:rStyle w:val="TextoNormalCaracter"/>
          </w:rPr>
          <w:t>117/2012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24" w:name="DESCRIPTORALFABETICO458"/>
      <w:r w:rsidRPr="00BA1B56">
        <w:rPr>
          <w:rStyle w:val="TextoNormalNegritaCaracter"/>
        </w:rPr>
        <w:t>Comisiones parlamentarias</w:t>
      </w:r>
      <w:bookmarkEnd w:id="1424"/>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425" w:name="DESCRIPTORALFABETICO897"/>
      <w:r w:rsidRPr="00BA1B56">
        <w:rPr>
          <w:rStyle w:val="TextoNormalNegritaCaracter"/>
        </w:rPr>
        <w:t>Comparecencia en forma</w:t>
      </w:r>
      <w:bookmarkEnd w:id="1425"/>
      <w:r w:rsidRPr="00BA1B56">
        <w:rPr>
          <w:rStyle w:val="TextoNormalCaracter"/>
        </w:rPr>
        <w:t xml:space="preserve">, Auto </w:t>
      </w:r>
      <w:hyperlink w:anchor="AUTO_2012_120" w:history="1">
        <w:r w:rsidRPr="00BA1B56">
          <w:rPr>
            <w:rStyle w:val="TextoNormalCaracter"/>
          </w:rPr>
          <w:t>120/2012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426" w:name="DESCRIPTORALFABETICO78"/>
      <w:r w:rsidRPr="00BA1B56">
        <w:rPr>
          <w:rStyle w:val="TextoNormalNegritaCaracter"/>
        </w:rPr>
        <w:t>Compensaciones a los municipios por tributos de las Comunidades Autónomas</w:t>
      </w:r>
      <w:bookmarkEnd w:id="1426"/>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11.</w:t>
      </w:r>
    </w:p>
    <w:p w:rsidR="00BA1B56" w:rsidRPr="00BA1B56" w:rsidRDefault="00BA1B56" w:rsidP="00BA1B56">
      <w:pPr>
        <w:pStyle w:val="TextoNormalSangraFrancesa"/>
        <w:rPr>
          <w:rStyle w:val="TextoNormalNegritaCaracter"/>
        </w:rPr>
      </w:pPr>
      <w:r w:rsidRPr="00BA1B56">
        <w:rPr>
          <w:rStyle w:val="TextoNormalCursivaCaracter"/>
        </w:rPr>
        <w:lastRenderedPageBreak/>
        <w:t>Compensaciones por tributos autonómicos</w:t>
      </w:r>
      <w:r>
        <w:t xml:space="preserve"> véase </w:t>
      </w:r>
      <w:hyperlink w:anchor="DESCRIPTORALFABETICO78" w:history="1">
        <w:r w:rsidRPr="00BA1B56">
          <w:rPr>
            <w:rStyle w:val="TextoNormalNegritaCaracter"/>
          </w:rPr>
          <w:t>Compensaciones a los municipios por tributos de las Comunidades Autónomas</w:t>
        </w:r>
      </w:hyperlink>
    </w:p>
    <w:p w:rsidR="00BA1B56" w:rsidRPr="00BA1B56" w:rsidRDefault="00BA1B56" w:rsidP="00BA1B56">
      <w:pPr>
        <w:pStyle w:val="TextoNormalSangraFrancesa"/>
        <w:rPr>
          <w:rStyle w:val="TextoNormalCaracter"/>
        </w:rPr>
      </w:pPr>
      <w:bookmarkStart w:id="1427" w:name="DESCRIPTORALFABETICO266"/>
      <w:r w:rsidRPr="00BA1B56">
        <w:rPr>
          <w:rStyle w:val="TextoNormalNegritaCaracter"/>
        </w:rPr>
        <w:t>Competencia en materia de extradiciones</w:t>
      </w:r>
      <w:bookmarkEnd w:id="1427"/>
      <w:r w:rsidRPr="00BA1B56">
        <w:rPr>
          <w:rStyle w:val="TextoNormalCaracter"/>
        </w:rPr>
        <w:t xml:space="preserve">, Auto </w:t>
      </w:r>
      <w:hyperlink w:anchor="AUTO_2012_115" w:history="1">
        <w:r w:rsidRPr="00BA1B56">
          <w:rPr>
            <w:rStyle w:val="TextoNormalCaracter"/>
          </w:rPr>
          <w:t>115/2012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428" w:name="DESCRIPTORALFABETICO267"/>
      <w:r w:rsidRPr="00BA1B56">
        <w:rPr>
          <w:rStyle w:val="TextoNormalNegritaCaracter"/>
        </w:rPr>
        <w:t>Competencia en materia de interpretación de las normas jurídicas</w:t>
      </w:r>
      <w:bookmarkEnd w:id="1428"/>
      <w:r w:rsidRPr="00BA1B56">
        <w:rPr>
          <w:rStyle w:val="TextoNormalCaracter"/>
        </w:rPr>
        <w:t xml:space="preserve">, Sentencia </w:t>
      </w:r>
      <w:hyperlink w:anchor="SENTENCIA_2012_116" w:history="1">
        <w:r w:rsidRPr="00BA1B56">
          <w:rPr>
            <w:rStyle w:val="TextoNormalCaracter"/>
          </w:rPr>
          <w:t>116/2012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29" w:name="DESCRIPTORALFABETICO570"/>
      <w:r w:rsidRPr="00BA1B56">
        <w:rPr>
          <w:rStyle w:val="TextoNormalNegritaCaracter"/>
        </w:rPr>
        <w:t>Competencia para la declaración de bienes de interés cultural</w:t>
      </w:r>
      <w:bookmarkEnd w:id="1429"/>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30" w:name="DESCRIPTORALFABETICO268"/>
      <w:r w:rsidRPr="00BA1B56">
        <w:rPr>
          <w:rStyle w:val="TextoNormalNegritaCaracter"/>
        </w:rPr>
        <w:t>Competencia para la definición de las bases</w:t>
      </w:r>
      <w:bookmarkEnd w:id="1430"/>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31" w:name="DESCRIPTORALFABETICO5"/>
      <w:r w:rsidRPr="00BA1B56">
        <w:rPr>
          <w:rStyle w:val="TextoNormalNegritaCaracter"/>
        </w:rPr>
        <w:t>Competencias</w:t>
      </w:r>
      <w:bookmarkEnd w:id="1431"/>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xml:space="preserve">, ff. 5, 6; </w:t>
      </w:r>
      <w:hyperlink w:anchor="SENTENCIA_2012_5" w:history="1">
        <w:r w:rsidRPr="00BA1B56">
          <w:rPr>
            <w:rStyle w:val="TextoNormalCaracter"/>
          </w:rPr>
          <w:t>5/2012</w:t>
        </w:r>
      </w:hyperlink>
      <w:r w:rsidRPr="00BA1B56">
        <w:rPr>
          <w:rStyle w:val="TextoNormalCaracter"/>
        </w:rPr>
        <w:t xml:space="preserve">, f. 5; </w:t>
      </w:r>
      <w:hyperlink w:anchor="SENTENCIA_2012_8" w:history="1">
        <w:r w:rsidRPr="00BA1B56">
          <w:rPr>
            <w:rStyle w:val="TextoNormalCaracter"/>
          </w:rPr>
          <w:t>8/2012</w:t>
        </w:r>
      </w:hyperlink>
      <w:r w:rsidRPr="00BA1B56">
        <w:rPr>
          <w:rStyle w:val="TextoNormalCaracter"/>
        </w:rPr>
        <w:t xml:space="preserve">, f. 3; </w:t>
      </w:r>
      <w:hyperlink w:anchor="SENTENCIA_2012_35" w:history="1">
        <w:r w:rsidRPr="00BA1B56">
          <w:rPr>
            <w:rStyle w:val="TextoNormalCaracter"/>
          </w:rPr>
          <w:t>35/2012</w:t>
        </w:r>
      </w:hyperlink>
      <w:r w:rsidRPr="00BA1B56">
        <w:rPr>
          <w:rStyle w:val="TextoNormalCaracter"/>
        </w:rPr>
        <w:t xml:space="preserve">, f. 5; </w:t>
      </w:r>
      <w:hyperlink w:anchor="SENTENCIA_2012_36" w:history="1">
        <w:r w:rsidRPr="00BA1B56">
          <w:rPr>
            <w:rStyle w:val="TextoNormalCaracter"/>
          </w:rPr>
          <w:t>36/2012</w:t>
        </w:r>
      </w:hyperlink>
      <w:r w:rsidRPr="00BA1B56">
        <w:rPr>
          <w:rStyle w:val="TextoNormalCaracter"/>
        </w:rPr>
        <w:t xml:space="preserve">, ff. 5, 7; </w:t>
      </w:r>
      <w:hyperlink w:anchor="SENTENCIA_2012_38" w:history="1">
        <w:r w:rsidRPr="00BA1B56">
          <w:rPr>
            <w:rStyle w:val="TextoNormalCaracter"/>
          </w:rPr>
          <w:t>38/2012</w:t>
        </w:r>
      </w:hyperlink>
      <w:r w:rsidRPr="00BA1B56">
        <w:rPr>
          <w:rStyle w:val="TextoNormalCaracter"/>
        </w:rPr>
        <w:t xml:space="preserve">, f. 5; </w:t>
      </w:r>
      <w:hyperlink w:anchor="SENTENCIA_2012_82" w:history="1">
        <w:r w:rsidRPr="00BA1B56">
          <w:rPr>
            <w:rStyle w:val="TextoNormalCaracter"/>
          </w:rPr>
          <w:t>82/2012</w:t>
        </w:r>
      </w:hyperlink>
      <w:r w:rsidRPr="00BA1B56">
        <w:rPr>
          <w:rStyle w:val="TextoNormalCaracter"/>
        </w:rPr>
        <w:t xml:space="preserve">, ff. 4, 5 VP II; </w:t>
      </w:r>
      <w:hyperlink w:anchor="SENTENCIA_2012_132" w:history="1">
        <w:r w:rsidRPr="00BA1B56">
          <w:rPr>
            <w:rStyle w:val="TextoNormalCaracter"/>
          </w:rPr>
          <w:t>132/2012</w:t>
        </w:r>
      </w:hyperlink>
      <w:r w:rsidRPr="00BA1B56">
        <w:rPr>
          <w:rStyle w:val="TextoNormalCaracter"/>
        </w:rPr>
        <w:t>, ff. 5 a 7.</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87" w:history="1">
        <w:r w:rsidRPr="00BA1B56">
          <w:rPr>
            <w:rStyle w:val="TextoNormalCaracter"/>
          </w:rPr>
          <w:t>87/2012</w:t>
        </w:r>
      </w:hyperlink>
      <w:r w:rsidRPr="00BA1B56">
        <w:rPr>
          <w:rStyle w:val="TextoNormalCaracter"/>
        </w:rPr>
        <w:t>, ff. 3, 6.</w:t>
      </w:r>
    </w:p>
    <w:p w:rsidR="00BA1B56" w:rsidRPr="00BA1B56" w:rsidRDefault="00BA1B56" w:rsidP="00BA1B56">
      <w:pPr>
        <w:pStyle w:val="TextoNormalSangraFrancesa"/>
        <w:rPr>
          <w:rStyle w:val="TextoNormalNegritaCaracter"/>
        </w:rPr>
      </w:pPr>
      <w:r w:rsidRPr="00BA1B56">
        <w:rPr>
          <w:rStyle w:val="TextoNormalCursivaCaracter"/>
        </w:rPr>
        <w:t>Competencias autonómicas</w:t>
      </w:r>
      <w:r>
        <w:t xml:space="preserve"> véase </w:t>
      </w:r>
      <w:hyperlink w:anchor="DESCRIPTORALFABETICO9" w:history="1">
        <w:r w:rsidRPr="00BA1B56">
          <w:rPr>
            <w:rStyle w:val="TextoNormalNegritaCaracter"/>
          </w:rPr>
          <w:t>Competencias de las Comunidades Autónomas</w:t>
        </w:r>
      </w:hyperlink>
    </w:p>
    <w:p w:rsidR="00BA1B56" w:rsidRPr="00BA1B56" w:rsidRDefault="00BA1B56" w:rsidP="00BA1B56">
      <w:pPr>
        <w:pStyle w:val="TextoNormalSangraFrancesa"/>
        <w:rPr>
          <w:rStyle w:val="TextoNormalCaracter"/>
        </w:rPr>
      </w:pPr>
      <w:bookmarkStart w:id="1432" w:name="DESCRIPTORALFABETICO10"/>
      <w:r w:rsidRPr="00BA1B56">
        <w:rPr>
          <w:rStyle w:val="TextoNormalNegritaCaracter"/>
        </w:rPr>
        <w:t>Competencias autonómicas de ejecución</w:t>
      </w:r>
      <w:bookmarkEnd w:id="1432"/>
      <w:r w:rsidRPr="00BA1B56">
        <w:rPr>
          <w:rStyle w:val="TextoNormalCaracter"/>
        </w:rPr>
        <w:t xml:space="preserve">, Sentencia </w:t>
      </w:r>
      <w:hyperlink w:anchor="SENTENCIA_2012_5" w:history="1">
        <w:r w:rsidRPr="00BA1B56">
          <w:rPr>
            <w:rStyle w:val="TextoNormalCaracter"/>
          </w:rPr>
          <w:t>5/2012</w:t>
        </w:r>
      </w:hyperlink>
      <w:r w:rsidRPr="00BA1B56">
        <w:rPr>
          <w:rStyle w:val="TextoNormalCaracter"/>
        </w:rPr>
        <w:t>, ff. 3, 6.</w:t>
      </w:r>
    </w:p>
    <w:p w:rsidR="00BA1B56" w:rsidRPr="00BA1B56" w:rsidRDefault="00BA1B56" w:rsidP="00BA1B56">
      <w:pPr>
        <w:pStyle w:val="TextoNormalSangraFrancesa"/>
        <w:rPr>
          <w:rStyle w:val="TextoNormalNegritaCaracter"/>
        </w:rPr>
      </w:pPr>
      <w:r w:rsidRPr="00BA1B56">
        <w:rPr>
          <w:rStyle w:val="TextoNormalCursivaCaracter"/>
        </w:rPr>
        <w:t>Competencias concurrentes</w:t>
      </w:r>
      <w:r>
        <w:t xml:space="preserve"> véase </w:t>
      </w:r>
      <w:hyperlink w:anchor="DESCRIPTORALFABETICO14" w:history="1">
        <w:r w:rsidRPr="00BA1B56">
          <w:rPr>
            <w:rStyle w:val="TextoNormalNegritaCaracter"/>
          </w:rPr>
          <w:t>Concurrencia de competencias sobre el mismo espacio físico</w:t>
        </w:r>
      </w:hyperlink>
    </w:p>
    <w:p w:rsidR="00BA1B56" w:rsidRPr="00BA1B56" w:rsidRDefault="00BA1B56" w:rsidP="00BA1B56">
      <w:pPr>
        <w:pStyle w:val="TextoNormalSangraFrancesa"/>
        <w:rPr>
          <w:rStyle w:val="TextoNormalCaracter"/>
        </w:rPr>
      </w:pPr>
      <w:bookmarkStart w:id="1433" w:name="DESCRIPTORALFABETICO8"/>
      <w:r w:rsidRPr="00BA1B56">
        <w:rPr>
          <w:rStyle w:val="TextoNormalNegritaCaracter"/>
        </w:rPr>
        <w:t>Competencias de coordinación</w:t>
      </w:r>
      <w:bookmarkEnd w:id="1433"/>
      <w:r w:rsidRPr="00BA1B56">
        <w:rPr>
          <w:rStyle w:val="TextoNormalCaracter"/>
        </w:rPr>
        <w:t xml:space="preserve">, Sentencia </w:t>
      </w:r>
      <w:hyperlink w:anchor="SENTENCIA_2012_77" w:history="1">
        <w:r w:rsidRPr="00BA1B56">
          <w:rPr>
            <w:rStyle w:val="TextoNormalCaracter"/>
          </w:rPr>
          <w:t>77/2012</w:t>
        </w:r>
      </w:hyperlink>
      <w:r w:rsidRPr="00BA1B56">
        <w:rPr>
          <w:rStyle w:val="TextoNormalCaracter"/>
        </w:rPr>
        <w:t>, f. 6.</w:t>
      </w:r>
    </w:p>
    <w:p w:rsidR="00BA1B56" w:rsidRPr="00BA1B56" w:rsidRDefault="00BA1B56" w:rsidP="00BA1B56">
      <w:pPr>
        <w:pStyle w:val="TextoNormalSangraFrancesa"/>
        <w:rPr>
          <w:rStyle w:val="TextoNormalCaracter"/>
        </w:rPr>
      </w:pPr>
      <w:bookmarkStart w:id="1434" w:name="DESCRIPTORALFABETICO9"/>
      <w:r w:rsidRPr="00BA1B56">
        <w:rPr>
          <w:rStyle w:val="TextoNormalNegritaCaracter"/>
        </w:rPr>
        <w:t>Competencias de las Comunidades Autónomas</w:t>
      </w:r>
      <w:bookmarkEnd w:id="1434"/>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xml:space="preserve">, ff. 5, 6; </w:t>
      </w:r>
      <w:hyperlink w:anchor="SENTENCIA_2012_6" w:history="1">
        <w:r w:rsidRPr="00BA1B56">
          <w:rPr>
            <w:rStyle w:val="TextoNormalCaracter"/>
          </w:rPr>
          <w:t>6/2012</w:t>
        </w:r>
      </w:hyperlink>
      <w:r w:rsidRPr="00BA1B56">
        <w:rPr>
          <w:rStyle w:val="TextoNormalCaracter"/>
        </w:rPr>
        <w:t xml:space="preserve">, ff. 1, 2, 3, 4, 6, VP I; </w:t>
      </w:r>
      <w:hyperlink w:anchor="SENTENCIA_2012_8" w:history="1">
        <w:r w:rsidRPr="00BA1B56">
          <w:rPr>
            <w:rStyle w:val="TextoNormalCaracter"/>
          </w:rPr>
          <w:t>8/2012</w:t>
        </w:r>
      </w:hyperlink>
      <w:r w:rsidRPr="00BA1B56">
        <w:rPr>
          <w:rStyle w:val="TextoNormalCaracter"/>
        </w:rPr>
        <w:t xml:space="preserve">, f. 11; </w:t>
      </w:r>
      <w:hyperlink w:anchor="SENTENCIA_2012_21" w:history="1">
        <w:r w:rsidRPr="00BA1B56">
          <w:rPr>
            <w:rStyle w:val="TextoNormalCaracter"/>
          </w:rPr>
          <w:t>21/2012</w:t>
        </w:r>
      </w:hyperlink>
      <w:r w:rsidRPr="00BA1B56">
        <w:rPr>
          <w:rStyle w:val="TextoNormalCaracter"/>
        </w:rPr>
        <w:t xml:space="preserve">, ff. 1, 2, 3, 4, 5, 6, 7, 8, 9, VP I; </w:t>
      </w:r>
      <w:hyperlink w:anchor="SENTENCIA_2012_26" w:history="1">
        <w:r w:rsidRPr="00BA1B56">
          <w:rPr>
            <w:rStyle w:val="TextoNormalCaracter"/>
          </w:rPr>
          <w:t>26/2012</w:t>
        </w:r>
      </w:hyperlink>
      <w:r w:rsidRPr="00BA1B56">
        <w:rPr>
          <w:rStyle w:val="TextoNormalCaracter"/>
        </w:rPr>
        <w:t xml:space="preserve">, ff. 3, 10 a 12; </w:t>
      </w:r>
      <w:hyperlink w:anchor="SENTENCIA_2012_28" w:history="1">
        <w:r w:rsidRPr="00BA1B56">
          <w:rPr>
            <w:rStyle w:val="TextoNormalCaracter"/>
          </w:rPr>
          <w:t>28/2012</w:t>
        </w:r>
      </w:hyperlink>
      <w:r w:rsidRPr="00BA1B56">
        <w:rPr>
          <w:rStyle w:val="TextoNormalCaracter"/>
        </w:rPr>
        <w:t xml:space="preserve">, ff. 3, 4, 6; </w:t>
      </w:r>
      <w:hyperlink w:anchor="SENTENCIA_2012_36" w:history="1">
        <w:r w:rsidRPr="00BA1B56">
          <w:rPr>
            <w:rStyle w:val="TextoNormalCaracter"/>
          </w:rPr>
          <w:t>36/2012</w:t>
        </w:r>
      </w:hyperlink>
      <w:r w:rsidRPr="00BA1B56">
        <w:rPr>
          <w:rStyle w:val="TextoNormalCaracter"/>
        </w:rPr>
        <w:t xml:space="preserve">, f. 4; </w:t>
      </w:r>
      <w:hyperlink w:anchor="SENTENCIA_2012_38" w:history="1">
        <w:r w:rsidRPr="00BA1B56">
          <w:rPr>
            <w:rStyle w:val="TextoNormalCaracter"/>
          </w:rPr>
          <w:t>38/2012</w:t>
        </w:r>
      </w:hyperlink>
      <w:r w:rsidRPr="00BA1B56">
        <w:rPr>
          <w:rStyle w:val="TextoNormalCaracter"/>
        </w:rPr>
        <w:t xml:space="preserve">, f. 3; </w:t>
      </w:r>
      <w:hyperlink w:anchor="SENTENCIA_2012_71" w:history="1">
        <w:r w:rsidRPr="00BA1B56">
          <w:rPr>
            <w:rStyle w:val="TextoNormalCaracter"/>
          </w:rPr>
          <w:t>71/2012</w:t>
        </w:r>
      </w:hyperlink>
      <w:r w:rsidRPr="00BA1B56">
        <w:rPr>
          <w:rStyle w:val="TextoNormalCaracter"/>
        </w:rPr>
        <w:t xml:space="preserve">, ff. 3, 5, VP;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ff. 3, 6; </w:t>
      </w:r>
      <w:hyperlink w:anchor="SENTENCIA_2012_77" w:history="1">
        <w:r w:rsidRPr="00BA1B56">
          <w:rPr>
            <w:rStyle w:val="TextoNormalCaracter"/>
          </w:rPr>
          <w:t>77/2012</w:t>
        </w:r>
      </w:hyperlink>
      <w:r w:rsidRPr="00BA1B56">
        <w:rPr>
          <w:rStyle w:val="TextoNormalCaracter"/>
        </w:rPr>
        <w:t xml:space="preserve">, f. 3; </w:t>
      </w:r>
      <w:hyperlink w:anchor="SENTENCIA_2012_80" w:history="1">
        <w:r w:rsidRPr="00BA1B56">
          <w:rPr>
            <w:rStyle w:val="TextoNormalCaracter"/>
          </w:rPr>
          <w:t>80/2012</w:t>
        </w:r>
      </w:hyperlink>
      <w:r w:rsidRPr="00BA1B56">
        <w:rPr>
          <w:rStyle w:val="TextoNormalCaracter"/>
        </w:rPr>
        <w:t xml:space="preserve">, ff. 5, 6, 7, 8; </w:t>
      </w:r>
      <w:hyperlink w:anchor="SENTENCIA_2012_99" w:history="1">
        <w:r w:rsidRPr="00BA1B56">
          <w:rPr>
            <w:rStyle w:val="TextoNormalCaracter"/>
          </w:rPr>
          <w:t>99/2012</w:t>
        </w:r>
      </w:hyperlink>
      <w:r w:rsidRPr="00BA1B56">
        <w:rPr>
          <w:rStyle w:val="TextoNormalCaracter"/>
        </w:rPr>
        <w:t xml:space="preserve">, ff. 2, 3, 6; </w:t>
      </w:r>
      <w:hyperlink w:anchor="SENTENCIA_2012_110" w:history="1">
        <w:r w:rsidRPr="00BA1B56">
          <w:rPr>
            <w:rStyle w:val="TextoNormalCaracter"/>
          </w:rPr>
          <w:t>110/2012</w:t>
        </w:r>
      </w:hyperlink>
      <w:r w:rsidRPr="00BA1B56">
        <w:rPr>
          <w:rStyle w:val="TextoNormalCaracter"/>
        </w:rPr>
        <w:t xml:space="preserve">, ff. 3, 4, 5, 6, 7; </w:t>
      </w:r>
      <w:hyperlink w:anchor="SENTENCIA_2012_111" w:history="1">
        <w:r w:rsidRPr="00BA1B56">
          <w:rPr>
            <w:rStyle w:val="TextoNormalCaracter"/>
          </w:rPr>
          <w:t>111/2012</w:t>
        </w:r>
      </w:hyperlink>
      <w:r w:rsidRPr="00BA1B56">
        <w:rPr>
          <w:rStyle w:val="TextoNormalCaracter"/>
        </w:rPr>
        <w:t xml:space="preserve">, ff. 5, 7, 12; </w:t>
      </w:r>
      <w:hyperlink w:anchor="SENTENCIA_2012_112" w:history="1">
        <w:r w:rsidRPr="00BA1B56">
          <w:rPr>
            <w:rStyle w:val="TextoNormalCaracter"/>
          </w:rPr>
          <w:t>112/2012</w:t>
        </w:r>
      </w:hyperlink>
      <w:r w:rsidRPr="00BA1B56">
        <w:rPr>
          <w:rStyle w:val="TextoNormalCaracter"/>
        </w:rPr>
        <w:t xml:space="preserve">, ff. 2 a 4; </w:t>
      </w:r>
      <w:hyperlink w:anchor="SENTENCIA_2012_120" w:history="1">
        <w:r w:rsidRPr="00BA1B56">
          <w:rPr>
            <w:rStyle w:val="TextoNormalCaracter"/>
          </w:rPr>
          <w:t>120/2012</w:t>
        </w:r>
      </w:hyperlink>
      <w:r w:rsidRPr="00BA1B56">
        <w:rPr>
          <w:rStyle w:val="TextoNormalCaracter"/>
        </w:rPr>
        <w:t xml:space="preserve">, f. 5; </w:t>
      </w:r>
      <w:hyperlink w:anchor="SENTENCIA_2012_123" w:history="1">
        <w:r w:rsidRPr="00BA1B56">
          <w:rPr>
            <w:rStyle w:val="TextoNormalCaracter"/>
          </w:rPr>
          <w:t>123/2012</w:t>
        </w:r>
      </w:hyperlink>
      <w:r w:rsidRPr="00BA1B56">
        <w:rPr>
          <w:rStyle w:val="TextoNormalCaracter"/>
        </w:rPr>
        <w:t xml:space="preserve">, f. 5; </w:t>
      </w:r>
      <w:hyperlink w:anchor="SENTENCIA_2012_124" w:history="1">
        <w:r w:rsidRPr="00BA1B56">
          <w:rPr>
            <w:rStyle w:val="TextoNormalCaracter"/>
          </w:rPr>
          <w:t>124/2012</w:t>
        </w:r>
      </w:hyperlink>
      <w:r w:rsidRPr="00BA1B56">
        <w:rPr>
          <w:rStyle w:val="TextoNormalCaracter"/>
        </w:rPr>
        <w:t xml:space="preserve">, ff. 3, 4; </w:t>
      </w:r>
      <w:hyperlink w:anchor="SENTENCIA_2012_133" w:history="1">
        <w:r w:rsidRPr="00BA1B56">
          <w:rPr>
            <w:rStyle w:val="TextoNormalCaracter"/>
          </w:rPr>
          <w:t>133/2012</w:t>
        </w:r>
      </w:hyperlink>
      <w:r w:rsidRPr="00BA1B56">
        <w:rPr>
          <w:rStyle w:val="TextoNormalCaracter"/>
        </w:rPr>
        <w:t xml:space="preserve">, ff. 3, 4; </w:t>
      </w:r>
      <w:hyperlink w:anchor="SENTENCIA_2012_134" w:history="1">
        <w:r w:rsidRPr="00BA1B56">
          <w:rPr>
            <w:rStyle w:val="TextoNormalCaracter"/>
          </w:rPr>
          <w:t>134/2012</w:t>
        </w:r>
      </w:hyperlink>
      <w:r w:rsidRPr="00BA1B56">
        <w:rPr>
          <w:rStyle w:val="TextoNormalCaracter"/>
        </w:rPr>
        <w:t xml:space="preserve">, ff. 4, 5; </w:t>
      </w:r>
      <w:hyperlink w:anchor="SENTENCIA_2012_135" w:history="1">
        <w:r w:rsidRPr="00BA1B56">
          <w:rPr>
            <w:rStyle w:val="TextoNormalCaracter"/>
          </w:rPr>
          <w:t>135/2012</w:t>
        </w:r>
      </w:hyperlink>
      <w:r w:rsidRPr="00BA1B56">
        <w:rPr>
          <w:rStyle w:val="TextoNormalCaracter"/>
        </w:rPr>
        <w:t xml:space="preserve">, ff. 2 a 6; </w:t>
      </w:r>
      <w:hyperlink w:anchor="SENTENCIA_2012_136" w:history="1">
        <w:r w:rsidRPr="00BA1B56">
          <w:rPr>
            <w:rStyle w:val="TextoNormalCaracter"/>
          </w:rPr>
          <w:t>136/2012</w:t>
        </w:r>
      </w:hyperlink>
      <w:r w:rsidRPr="00BA1B56">
        <w:rPr>
          <w:rStyle w:val="TextoNormalCaracter"/>
        </w:rPr>
        <w:t>, ff. 3, 4, 5, 8.</w:t>
      </w:r>
    </w:p>
    <w:p w:rsidR="00BA1B56" w:rsidRPr="00BA1B56" w:rsidRDefault="00BA1B56" w:rsidP="00BA1B56">
      <w:pPr>
        <w:pStyle w:val="TextoNormalSangraFrancesa"/>
        <w:rPr>
          <w:rStyle w:val="TextoNormalCaracter"/>
        </w:rPr>
      </w:pPr>
      <w:bookmarkStart w:id="1435" w:name="DESCRIPTORALFABETICO11"/>
      <w:r w:rsidRPr="00BA1B56">
        <w:rPr>
          <w:rStyle w:val="TextoNormalNegritaCaracter"/>
        </w:rPr>
        <w:t>Competencias del Estado</w:t>
      </w:r>
      <w:bookmarkEnd w:id="1435"/>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xml:space="preserve">, ff. 5, 6; </w:t>
      </w:r>
      <w:hyperlink w:anchor="SENTENCIA_2012_7" w:history="1">
        <w:r w:rsidRPr="00BA1B56">
          <w:rPr>
            <w:rStyle w:val="TextoNormalCaracter"/>
          </w:rPr>
          <w:t>7/2012</w:t>
        </w:r>
      </w:hyperlink>
      <w:r w:rsidRPr="00BA1B56">
        <w:rPr>
          <w:rStyle w:val="TextoNormalCaracter"/>
        </w:rPr>
        <w:t xml:space="preserve">, ff. 2, 4, 5; </w:t>
      </w:r>
      <w:hyperlink w:anchor="SENTENCIA_2012_8" w:history="1">
        <w:r w:rsidRPr="00BA1B56">
          <w:rPr>
            <w:rStyle w:val="TextoNormalCaracter"/>
          </w:rPr>
          <w:t>8/2012</w:t>
        </w:r>
      </w:hyperlink>
      <w:r w:rsidRPr="00BA1B56">
        <w:rPr>
          <w:rStyle w:val="TextoNormalCaracter"/>
        </w:rPr>
        <w:t xml:space="preserve">, ff. 3, 6; </w:t>
      </w:r>
      <w:hyperlink w:anchor="SENTENCIA_2012_19" w:history="1">
        <w:r w:rsidRPr="00BA1B56">
          <w:rPr>
            <w:rStyle w:val="TextoNormalCaracter"/>
          </w:rPr>
          <w:t>19/2012</w:t>
        </w:r>
      </w:hyperlink>
      <w:r w:rsidRPr="00BA1B56">
        <w:rPr>
          <w:rStyle w:val="TextoNormalCaracter"/>
        </w:rPr>
        <w:t xml:space="preserve">, f. 11; </w:t>
      </w:r>
      <w:hyperlink w:anchor="SENTENCIA_2012_21" w:history="1">
        <w:r w:rsidRPr="00BA1B56">
          <w:rPr>
            <w:rStyle w:val="TextoNormalCaracter"/>
          </w:rPr>
          <w:t>21/2012</w:t>
        </w:r>
      </w:hyperlink>
      <w:r w:rsidRPr="00BA1B56">
        <w:rPr>
          <w:rStyle w:val="TextoNormalCaracter"/>
        </w:rPr>
        <w:t xml:space="preserve">, ff. 1, 3, 6 a 8, VP I; </w:t>
      </w:r>
      <w:hyperlink w:anchor="SENTENCIA_2012_22" w:history="1">
        <w:r w:rsidRPr="00BA1B56">
          <w:rPr>
            <w:rStyle w:val="TextoNormalCaracter"/>
          </w:rPr>
          <w:t>22/2012</w:t>
        </w:r>
      </w:hyperlink>
      <w:r w:rsidRPr="00BA1B56">
        <w:rPr>
          <w:rStyle w:val="TextoNormalCaracter"/>
        </w:rPr>
        <w:t xml:space="preserve">, ff. 3, 5 a 7; </w:t>
      </w:r>
      <w:hyperlink w:anchor="SENTENCIA_2012_26" w:history="1">
        <w:r w:rsidRPr="00BA1B56">
          <w:rPr>
            <w:rStyle w:val="TextoNormalCaracter"/>
          </w:rPr>
          <w:t>26/2012</w:t>
        </w:r>
      </w:hyperlink>
      <w:r w:rsidRPr="00BA1B56">
        <w:rPr>
          <w:rStyle w:val="TextoNormalCaracter"/>
        </w:rPr>
        <w:t xml:space="preserve">, ff. 4, 10, 11, 12; </w:t>
      </w:r>
      <w:hyperlink w:anchor="SENTENCIA_2012_28" w:history="1">
        <w:r w:rsidRPr="00BA1B56">
          <w:rPr>
            <w:rStyle w:val="TextoNormalCaracter"/>
          </w:rPr>
          <w:t>28/2012</w:t>
        </w:r>
      </w:hyperlink>
      <w:r w:rsidRPr="00BA1B56">
        <w:rPr>
          <w:rStyle w:val="TextoNormalCaracter"/>
        </w:rPr>
        <w:t xml:space="preserve">, ff. 3, 4; </w:t>
      </w:r>
      <w:hyperlink w:anchor="SENTENCIA_2012_33" w:history="1">
        <w:r w:rsidRPr="00BA1B56">
          <w:rPr>
            <w:rStyle w:val="TextoNormalCaracter"/>
          </w:rPr>
          <w:t>33/2012</w:t>
        </w:r>
      </w:hyperlink>
      <w:r w:rsidRPr="00BA1B56">
        <w:rPr>
          <w:rStyle w:val="TextoNormalCaracter"/>
        </w:rPr>
        <w:t xml:space="preserve">, ff. 5 a 8; </w:t>
      </w:r>
      <w:hyperlink w:anchor="SENTENCIA_2012_34" w:history="1">
        <w:r w:rsidRPr="00BA1B56">
          <w:rPr>
            <w:rStyle w:val="TextoNormalCaracter"/>
          </w:rPr>
          <w:t>34/2012</w:t>
        </w:r>
      </w:hyperlink>
      <w:r w:rsidRPr="00BA1B56">
        <w:rPr>
          <w:rStyle w:val="TextoNormalCaracter"/>
        </w:rPr>
        <w:t xml:space="preserve">, f. 4; </w:t>
      </w:r>
      <w:hyperlink w:anchor="SENTENCIA_2012_35" w:history="1">
        <w:r w:rsidRPr="00BA1B56">
          <w:rPr>
            <w:rStyle w:val="TextoNormalCaracter"/>
          </w:rPr>
          <w:t>35/2012</w:t>
        </w:r>
      </w:hyperlink>
      <w:r w:rsidRPr="00BA1B56">
        <w:rPr>
          <w:rStyle w:val="TextoNormalCaracter"/>
        </w:rPr>
        <w:t xml:space="preserve">, ff. 4, 5; </w:t>
      </w:r>
      <w:hyperlink w:anchor="SENTENCIA_2012_36" w:history="1">
        <w:r w:rsidRPr="00BA1B56">
          <w:rPr>
            <w:rStyle w:val="TextoNormalCaracter"/>
          </w:rPr>
          <w:t>36/2012</w:t>
        </w:r>
      </w:hyperlink>
      <w:r w:rsidRPr="00BA1B56">
        <w:rPr>
          <w:rStyle w:val="TextoNormalCaracter"/>
        </w:rPr>
        <w:t xml:space="preserve">, ff. 4, 5, 7; </w:t>
      </w:r>
      <w:hyperlink w:anchor="SENTENCIA_2012_38" w:history="1">
        <w:r w:rsidRPr="00BA1B56">
          <w:rPr>
            <w:rStyle w:val="TextoNormalCaracter"/>
          </w:rPr>
          <w:t>38/2012</w:t>
        </w:r>
      </w:hyperlink>
      <w:r w:rsidRPr="00BA1B56">
        <w:rPr>
          <w:rStyle w:val="TextoNormalCaracter"/>
        </w:rPr>
        <w:t xml:space="preserve">, f. 3; </w:t>
      </w:r>
      <w:hyperlink w:anchor="SENTENCIA_2012_71" w:history="1">
        <w:r w:rsidRPr="00BA1B56">
          <w:rPr>
            <w:rStyle w:val="TextoNormalCaracter"/>
          </w:rPr>
          <w:t>71/2012</w:t>
        </w:r>
      </w:hyperlink>
      <w:r w:rsidRPr="00BA1B56">
        <w:rPr>
          <w:rStyle w:val="TextoNormalCaracter"/>
        </w:rPr>
        <w:t xml:space="preserve">, ff. 3, 5, 6, VP;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 5; </w:t>
      </w:r>
      <w:hyperlink w:anchor="SENTENCIA_2012_77" w:history="1">
        <w:r w:rsidRPr="00BA1B56">
          <w:rPr>
            <w:rStyle w:val="TextoNormalCaracter"/>
          </w:rPr>
          <w:t>77/2012</w:t>
        </w:r>
      </w:hyperlink>
      <w:r w:rsidRPr="00BA1B56">
        <w:rPr>
          <w:rStyle w:val="TextoNormalCaracter"/>
        </w:rPr>
        <w:t xml:space="preserve">, ff. 3, 5, 6; </w:t>
      </w:r>
      <w:hyperlink w:anchor="SENTENCIA_2012_80" w:history="1">
        <w:r w:rsidRPr="00BA1B56">
          <w:rPr>
            <w:rStyle w:val="TextoNormalCaracter"/>
          </w:rPr>
          <w:t>80/2012</w:t>
        </w:r>
      </w:hyperlink>
      <w:r w:rsidRPr="00BA1B56">
        <w:rPr>
          <w:rStyle w:val="TextoNormalCaracter"/>
        </w:rPr>
        <w:t xml:space="preserve">, ff. 4, 7, 10, VP I; </w:t>
      </w:r>
      <w:hyperlink w:anchor="SENTENCIA_2012_81" w:history="1">
        <w:r w:rsidRPr="00BA1B56">
          <w:rPr>
            <w:rStyle w:val="TextoNormalCaracter"/>
          </w:rPr>
          <w:t>81/2012</w:t>
        </w:r>
      </w:hyperlink>
      <w:r w:rsidRPr="00BA1B56">
        <w:rPr>
          <w:rStyle w:val="TextoNormalCaracter"/>
        </w:rPr>
        <w:t xml:space="preserve">, ff. 3, 4; </w:t>
      </w:r>
      <w:hyperlink w:anchor="SENTENCIA_2012_83" w:history="1">
        <w:r w:rsidRPr="00BA1B56">
          <w:rPr>
            <w:rStyle w:val="TextoNormalCaracter"/>
          </w:rPr>
          <w:t>83/2012</w:t>
        </w:r>
      </w:hyperlink>
      <w:r w:rsidRPr="00BA1B56">
        <w:rPr>
          <w:rStyle w:val="TextoNormalCaracter"/>
        </w:rPr>
        <w:t xml:space="preserve">, ff. 1, 3; </w:t>
      </w:r>
      <w:hyperlink w:anchor="SENTENCIA_2012_87" w:history="1">
        <w:r w:rsidRPr="00BA1B56">
          <w:rPr>
            <w:rStyle w:val="TextoNormalCaracter"/>
          </w:rPr>
          <w:t>87/2012</w:t>
        </w:r>
      </w:hyperlink>
      <w:r w:rsidRPr="00BA1B56">
        <w:rPr>
          <w:rStyle w:val="TextoNormalCaracter"/>
        </w:rPr>
        <w:t xml:space="preserve">, ff. 4, 5; </w:t>
      </w:r>
      <w:hyperlink w:anchor="SENTENCIA_2012_99" w:history="1">
        <w:r w:rsidRPr="00BA1B56">
          <w:rPr>
            <w:rStyle w:val="TextoNormalCaracter"/>
          </w:rPr>
          <w:t>99/2012</w:t>
        </w:r>
      </w:hyperlink>
      <w:r w:rsidRPr="00BA1B56">
        <w:rPr>
          <w:rStyle w:val="TextoNormalCaracter"/>
        </w:rPr>
        <w:t xml:space="preserve">, ff. 2, 3, 6, 7; </w:t>
      </w:r>
      <w:hyperlink w:anchor="SENTENCIA_2012_110" w:history="1">
        <w:r w:rsidRPr="00BA1B56">
          <w:rPr>
            <w:rStyle w:val="TextoNormalCaracter"/>
          </w:rPr>
          <w:t>110/2012</w:t>
        </w:r>
      </w:hyperlink>
      <w:r w:rsidRPr="00BA1B56">
        <w:rPr>
          <w:rStyle w:val="TextoNormalCaracter"/>
        </w:rPr>
        <w:t xml:space="preserve">, ff. 3 a 7; </w:t>
      </w:r>
      <w:hyperlink w:anchor="SENTENCIA_2012_111" w:history="1">
        <w:r w:rsidRPr="00BA1B56">
          <w:rPr>
            <w:rStyle w:val="TextoNormalCaracter"/>
          </w:rPr>
          <w:t>111/2012</w:t>
        </w:r>
      </w:hyperlink>
      <w:r w:rsidRPr="00BA1B56">
        <w:rPr>
          <w:rStyle w:val="TextoNormalCaracter"/>
        </w:rPr>
        <w:t xml:space="preserve">, ff. 5, 7, 12; </w:t>
      </w:r>
      <w:hyperlink w:anchor="SENTENCIA_2012_112" w:history="1">
        <w:r w:rsidRPr="00BA1B56">
          <w:rPr>
            <w:rStyle w:val="TextoNormalCaracter"/>
          </w:rPr>
          <w:t>112/2012</w:t>
        </w:r>
      </w:hyperlink>
      <w:r w:rsidRPr="00BA1B56">
        <w:rPr>
          <w:rStyle w:val="TextoNormalCaracter"/>
        </w:rPr>
        <w:t xml:space="preserve">, ff. 2, 3; </w:t>
      </w:r>
      <w:hyperlink w:anchor="SENTENCIA_2012_120" w:history="1">
        <w:r w:rsidRPr="00BA1B56">
          <w:rPr>
            <w:rStyle w:val="TextoNormalCaracter"/>
          </w:rPr>
          <w:t>120/2012</w:t>
        </w:r>
      </w:hyperlink>
      <w:r w:rsidRPr="00BA1B56">
        <w:rPr>
          <w:rStyle w:val="TextoNormalCaracter"/>
        </w:rPr>
        <w:t xml:space="preserve">, ff. 4, 5; </w:t>
      </w:r>
      <w:hyperlink w:anchor="SENTENCIA_2012_123" w:history="1">
        <w:r w:rsidRPr="00BA1B56">
          <w:rPr>
            <w:rStyle w:val="TextoNormalCaracter"/>
          </w:rPr>
          <w:t>123/2012</w:t>
        </w:r>
      </w:hyperlink>
      <w:r w:rsidRPr="00BA1B56">
        <w:rPr>
          <w:rStyle w:val="TextoNormalCaracter"/>
        </w:rPr>
        <w:t xml:space="preserve">, ff. 4 a 6; </w:t>
      </w:r>
      <w:hyperlink w:anchor="SENTENCIA_2012_124" w:history="1">
        <w:r w:rsidRPr="00BA1B56">
          <w:rPr>
            <w:rStyle w:val="TextoNormalCaracter"/>
          </w:rPr>
          <w:t>124/2012</w:t>
        </w:r>
      </w:hyperlink>
      <w:r w:rsidRPr="00BA1B56">
        <w:rPr>
          <w:rStyle w:val="TextoNormalCaracter"/>
        </w:rPr>
        <w:t xml:space="preserve">, ff. 3, 4; </w:t>
      </w:r>
      <w:hyperlink w:anchor="SENTENCIA_2012_133" w:history="1">
        <w:r w:rsidRPr="00BA1B56">
          <w:rPr>
            <w:rStyle w:val="TextoNormalCaracter"/>
          </w:rPr>
          <w:t>133/2012</w:t>
        </w:r>
      </w:hyperlink>
      <w:r w:rsidRPr="00BA1B56">
        <w:rPr>
          <w:rStyle w:val="TextoNormalCaracter"/>
        </w:rPr>
        <w:t xml:space="preserve">, ff. 3 a 5; </w:t>
      </w:r>
      <w:hyperlink w:anchor="SENTENCIA_2012_134" w:history="1">
        <w:r w:rsidRPr="00BA1B56">
          <w:rPr>
            <w:rStyle w:val="TextoNormalCaracter"/>
          </w:rPr>
          <w:t>134/2012</w:t>
        </w:r>
      </w:hyperlink>
      <w:r w:rsidRPr="00BA1B56">
        <w:rPr>
          <w:rStyle w:val="TextoNormalCaracter"/>
        </w:rPr>
        <w:t xml:space="preserve">, ff. 4, 5; </w:t>
      </w:r>
      <w:hyperlink w:anchor="SENTENCIA_2012_135" w:history="1">
        <w:r w:rsidRPr="00BA1B56">
          <w:rPr>
            <w:rStyle w:val="TextoNormalCaracter"/>
          </w:rPr>
          <w:t>135/2012</w:t>
        </w:r>
      </w:hyperlink>
      <w:r w:rsidRPr="00BA1B56">
        <w:rPr>
          <w:rStyle w:val="TextoNormalCaracter"/>
        </w:rPr>
        <w:t xml:space="preserve">, f. 2; </w:t>
      </w:r>
      <w:hyperlink w:anchor="SENTENCIA_2012_136" w:history="1">
        <w:r w:rsidRPr="00BA1B56">
          <w:rPr>
            <w:rStyle w:val="TextoNormalCaracter"/>
          </w:rPr>
          <w:t>136/2012</w:t>
        </w:r>
      </w:hyperlink>
      <w:r w:rsidRPr="00BA1B56">
        <w:rPr>
          <w:rStyle w:val="TextoNormalCaracter"/>
        </w:rPr>
        <w:t xml:space="preserve">, ff. 3, 4;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436" w:name="DESCRIPTORALFABETICO25"/>
      <w:r w:rsidRPr="00BA1B56">
        <w:rPr>
          <w:rStyle w:val="TextoNormalNegritaCaracter"/>
        </w:rPr>
        <w:t>Competencias en materia de Administración de justicia</w:t>
      </w:r>
      <w:bookmarkEnd w:id="1436"/>
      <w:r w:rsidRPr="00BA1B56">
        <w:rPr>
          <w:rStyle w:val="TextoNormalCaracter"/>
        </w:rPr>
        <w:t xml:space="preserve">, Sentencia </w:t>
      </w:r>
      <w:hyperlink w:anchor="SENTENCIA_2012_7" w:history="1">
        <w:r w:rsidRPr="00BA1B56">
          <w:rPr>
            <w:rStyle w:val="TextoNormalCaracter"/>
          </w:rPr>
          <w:t>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37" w:name="DESCRIPTORALFABETICO26"/>
      <w:r w:rsidRPr="00BA1B56">
        <w:rPr>
          <w:rStyle w:val="TextoNormalNegritaCaracter"/>
        </w:rPr>
        <w:t>Competencias en materia de agricultura</w:t>
      </w:r>
      <w:bookmarkEnd w:id="1437"/>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ff. 2, 3, 6.</w:t>
      </w:r>
    </w:p>
    <w:p w:rsidR="00BA1B56" w:rsidRPr="00BA1B56" w:rsidRDefault="00BA1B56" w:rsidP="00BA1B56">
      <w:pPr>
        <w:pStyle w:val="TextoNormalSangraFrancesa"/>
        <w:rPr>
          <w:rStyle w:val="TextoNormalCaracter"/>
        </w:rPr>
      </w:pPr>
      <w:bookmarkStart w:id="1438" w:name="DESCRIPTORALFABETICO27"/>
      <w:r w:rsidRPr="00BA1B56">
        <w:rPr>
          <w:rStyle w:val="TextoNormalNegritaCaracter"/>
        </w:rPr>
        <w:t>Competencias en materia de aguas</w:t>
      </w:r>
      <w:bookmarkEnd w:id="1438"/>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ff. 1 a 5.</w:t>
      </w:r>
    </w:p>
    <w:p w:rsidR="00BA1B56" w:rsidRPr="00BA1B56" w:rsidRDefault="00BA1B56" w:rsidP="00BA1B56">
      <w:pPr>
        <w:pStyle w:val="TextoNormalSangraFrancesa"/>
        <w:rPr>
          <w:rStyle w:val="TextoNormalCaracter"/>
        </w:rPr>
      </w:pPr>
      <w:bookmarkStart w:id="1439" w:name="DESCRIPTORALFABETICO28"/>
      <w:r w:rsidRPr="00BA1B56">
        <w:rPr>
          <w:rStyle w:val="TextoNormalNegritaCaracter"/>
        </w:rPr>
        <w:t>Competencias en materia de asistencia social</w:t>
      </w:r>
      <w:bookmarkEnd w:id="1439"/>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 4;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ff. 3, 6; </w:t>
      </w:r>
      <w:hyperlink w:anchor="SENTENCIA_2012_77" w:history="1">
        <w:r w:rsidRPr="00BA1B56">
          <w:rPr>
            <w:rStyle w:val="TextoNormalCaracter"/>
          </w:rPr>
          <w:t>77/2012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40" w:name="DESCRIPTORALFABETICO29"/>
      <w:r w:rsidRPr="00BA1B56">
        <w:rPr>
          <w:rStyle w:val="TextoNormalNegritaCaracter"/>
        </w:rPr>
        <w:t>Competencias en materia de carreteras</w:t>
      </w:r>
      <w:bookmarkEnd w:id="1440"/>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ff. 2, 3, 4, 5; </w:t>
      </w:r>
      <w:hyperlink w:anchor="SENTENCIA_2012_124" w:history="1">
        <w:r w:rsidRPr="00BA1B56">
          <w:rPr>
            <w:rStyle w:val="TextoNormalCaracter"/>
          </w:rPr>
          <w:t>124/2012</w:t>
        </w:r>
      </w:hyperlink>
      <w:r w:rsidRPr="00BA1B56">
        <w:rPr>
          <w:rStyle w:val="TextoNormalCaracter"/>
        </w:rPr>
        <w:t>, ff. 3, 4.</w:t>
      </w:r>
    </w:p>
    <w:p w:rsidR="00BA1B56" w:rsidRPr="00BA1B56" w:rsidRDefault="00BA1B56" w:rsidP="00BA1B56">
      <w:pPr>
        <w:pStyle w:val="TextoNormalSangraFrancesa"/>
        <w:rPr>
          <w:rStyle w:val="TextoNormalNegritaCaracter"/>
        </w:rPr>
      </w:pPr>
      <w:r w:rsidRPr="00BA1B56">
        <w:rPr>
          <w:rStyle w:val="TextoNormalCursivaCaracter"/>
        </w:rPr>
        <w:t>Competencias en materia de casinos, juegos y apuestas</w:t>
      </w:r>
      <w:r>
        <w:t xml:space="preserve"> véase </w:t>
      </w:r>
      <w:hyperlink w:anchor="DESCRIPTORALFABETICO45" w:history="1">
        <w:r w:rsidRPr="00BA1B56">
          <w:rPr>
            <w:rStyle w:val="TextoNormalNegritaCaracter"/>
          </w:rPr>
          <w:t>Competencias en materia de juegos de azar</w:t>
        </w:r>
      </w:hyperlink>
    </w:p>
    <w:p w:rsidR="00BA1B56" w:rsidRPr="00BA1B56" w:rsidRDefault="00BA1B56" w:rsidP="00BA1B56">
      <w:pPr>
        <w:pStyle w:val="TextoNormalSangraFrancesa"/>
        <w:rPr>
          <w:rStyle w:val="TextoNormalCaracter"/>
        </w:rPr>
      </w:pPr>
      <w:bookmarkStart w:id="1441" w:name="DESCRIPTORALFABETICO30"/>
      <w:r w:rsidRPr="00BA1B56">
        <w:rPr>
          <w:rStyle w:val="TextoNormalNegritaCaracter"/>
        </w:rPr>
        <w:t>Competencias en materia de colegios profesionales</w:t>
      </w:r>
      <w:bookmarkEnd w:id="1441"/>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ff. 5 a 8.</w:t>
      </w:r>
    </w:p>
    <w:p w:rsidR="00BA1B56" w:rsidRPr="00BA1B56" w:rsidRDefault="00BA1B56" w:rsidP="00BA1B56">
      <w:pPr>
        <w:pStyle w:val="TextoNormalSangraFrancesa"/>
        <w:rPr>
          <w:rStyle w:val="TextoNormalCaracter"/>
        </w:rPr>
      </w:pPr>
      <w:bookmarkStart w:id="1442" w:name="DESCRIPTORALFABETICO31"/>
      <w:r w:rsidRPr="00BA1B56">
        <w:rPr>
          <w:rStyle w:val="TextoNormalNegritaCaracter"/>
        </w:rPr>
        <w:t>Competencias en materia de comercio interior</w:t>
      </w:r>
      <w:bookmarkEnd w:id="1442"/>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ff. 3, 4, 6, 7, 9, 10.</w:t>
      </w:r>
    </w:p>
    <w:p w:rsidR="00BA1B56" w:rsidRPr="00BA1B56" w:rsidRDefault="00BA1B56" w:rsidP="00BA1B56">
      <w:pPr>
        <w:pStyle w:val="TextoNormalSangraFrancesa"/>
        <w:rPr>
          <w:rStyle w:val="TextoNormalCaracter"/>
        </w:rPr>
      </w:pPr>
      <w:bookmarkStart w:id="1443" w:name="DESCRIPTORALFABETICO32"/>
      <w:r w:rsidRPr="00BA1B56">
        <w:rPr>
          <w:rStyle w:val="TextoNormalNegritaCaracter"/>
        </w:rPr>
        <w:t>Competencias en materia de control del espacio aéreo</w:t>
      </w:r>
      <w:bookmarkEnd w:id="1443"/>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5.</w:t>
      </w:r>
    </w:p>
    <w:p w:rsidR="00BA1B56" w:rsidRPr="00BA1B56" w:rsidRDefault="00BA1B56" w:rsidP="00BA1B56">
      <w:pPr>
        <w:pStyle w:val="TextoNormalSangraFrancesa"/>
        <w:rPr>
          <w:rStyle w:val="TextoNormalCaracter"/>
        </w:rPr>
      </w:pPr>
      <w:bookmarkStart w:id="1444" w:name="DESCRIPTORALFABETICO33"/>
      <w:r w:rsidRPr="00BA1B56">
        <w:rPr>
          <w:rStyle w:val="TextoNormalNegritaCaracter"/>
        </w:rPr>
        <w:t>Competencias en materia de cultura</w:t>
      </w:r>
      <w:bookmarkEnd w:id="1444"/>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 5; </w:t>
      </w:r>
      <w:hyperlink w:anchor="SENTENCIA_2012_89" w:history="1">
        <w:r w:rsidRPr="00BA1B56">
          <w:rPr>
            <w:rStyle w:val="TextoNormalCaracter"/>
          </w:rPr>
          <w:t>89/2012</w:t>
        </w:r>
      </w:hyperlink>
      <w:r w:rsidRPr="00BA1B56">
        <w:rPr>
          <w:rStyle w:val="TextoNormalCaracter"/>
        </w:rPr>
        <w:t xml:space="preserve">, ff. 3 a 6, 8, 10; </w:t>
      </w:r>
      <w:hyperlink w:anchor="SENTENCIA_2012_110" w:history="1">
        <w:r w:rsidRPr="00BA1B56">
          <w:rPr>
            <w:rStyle w:val="TextoNormalCaracter"/>
          </w:rPr>
          <w:t>110/2012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45" w:name="DESCRIPTORALFABETICO34"/>
      <w:r w:rsidRPr="00BA1B56">
        <w:rPr>
          <w:rStyle w:val="TextoNormalNegritaCaracter"/>
        </w:rPr>
        <w:t>Competencias en materia de defensa de la competencia</w:t>
      </w:r>
      <w:bookmarkEnd w:id="1445"/>
      <w:r w:rsidRPr="00BA1B56">
        <w:rPr>
          <w:rStyle w:val="TextoNormalCaracter"/>
        </w:rPr>
        <w:t xml:space="preserve">, Sentencias </w:t>
      </w:r>
      <w:hyperlink w:anchor="SENTENCIA_2012_26" w:history="1">
        <w:r w:rsidRPr="00BA1B56">
          <w:rPr>
            <w:rStyle w:val="TextoNormalCaracter"/>
          </w:rPr>
          <w:t>26/2012</w:t>
        </w:r>
      </w:hyperlink>
      <w:r w:rsidRPr="00BA1B56">
        <w:rPr>
          <w:rStyle w:val="TextoNormalCaracter"/>
        </w:rPr>
        <w:t xml:space="preserve">, ff. 10 a 12; </w:t>
      </w:r>
      <w:hyperlink w:anchor="SENTENCIA_2012_71" w:history="1">
        <w:r w:rsidRPr="00BA1B56">
          <w:rPr>
            <w:rStyle w:val="TextoNormalCaracter"/>
          </w:rPr>
          <w:t>71/2012</w:t>
        </w:r>
      </w:hyperlink>
      <w:r w:rsidRPr="00BA1B56">
        <w:rPr>
          <w:rStyle w:val="TextoNormalCaracter"/>
        </w:rPr>
        <w:t>, ff. 3, 5, 6, VP.</w:t>
      </w:r>
    </w:p>
    <w:p w:rsidR="00BA1B56" w:rsidRPr="00BA1B56" w:rsidRDefault="00BA1B56" w:rsidP="00BA1B56">
      <w:pPr>
        <w:pStyle w:val="TextoNormalSangraFrancesa"/>
        <w:rPr>
          <w:rStyle w:val="TextoNormalCaracter"/>
        </w:rPr>
      </w:pPr>
      <w:bookmarkStart w:id="1446" w:name="DESCRIPTORALFABETICO35"/>
      <w:r w:rsidRPr="00BA1B56">
        <w:rPr>
          <w:rStyle w:val="TextoNormalNegritaCaracter"/>
        </w:rPr>
        <w:lastRenderedPageBreak/>
        <w:t>Competencias en materia de defensa de los consumidores</w:t>
      </w:r>
      <w:bookmarkEnd w:id="1446"/>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ff. 3, 10 a 12.</w:t>
      </w:r>
    </w:p>
    <w:p w:rsidR="00BA1B56" w:rsidRPr="00BA1B56" w:rsidRDefault="00BA1B56" w:rsidP="00BA1B56">
      <w:pPr>
        <w:pStyle w:val="TextoNormalSangraFrancesa"/>
        <w:rPr>
          <w:rStyle w:val="TextoNormalCaracter"/>
        </w:rPr>
      </w:pPr>
      <w:bookmarkStart w:id="1447" w:name="DESCRIPTORALFABETICO36"/>
      <w:r w:rsidRPr="00BA1B56">
        <w:rPr>
          <w:rStyle w:val="TextoNormalNegritaCaracter"/>
        </w:rPr>
        <w:t>Competencias en materia de deportes</w:t>
      </w:r>
      <w:bookmarkEnd w:id="1447"/>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ff. 6, 7, 8, 9, 10, 11; </w:t>
      </w:r>
      <w:hyperlink w:anchor="SENTENCIA_2012_110" w:history="1">
        <w:r w:rsidRPr="00BA1B56">
          <w:rPr>
            <w:rStyle w:val="TextoNormalCaracter"/>
          </w:rPr>
          <w:t>110/2012</w:t>
        </w:r>
      </w:hyperlink>
      <w:r w:rsidRPr="00BA1B56">
        <w:rPr>
          <w:rStyle w:val="TextoNormalCaracter"/>
        </w:rPr>
        <w:t>, ff. 3 a 7.</w:t>
      </w:r>
    </w:p>
    <w:p w:rsidR="00BA1B56" w:rsidRPr="00BA1B56" w:rsidRDefault="00BA1B56" w:rsidP="00BA1B56">
      <w:pPr>
        <w:pStyle w:val="TextoNormalSangraFrancesa"/>
        <w:rPr>
          <w:rStyle w:val="TextoNormalCaracter"/>
        </w:rPr>
      </w:pPr>
      <w:bookmarkStart w:id="1448" w:name="DESCRIPTORALFABETICO37"/>
      <w:r w:rsidRPr="00BA1B56">
        <w:rPr>
          <w:rStyle w:val="TextoNormalNegritaCaracter"/>
        </w:rPr>
        <w:t>Competencias en materia de Derechos civiles especiales</w:t>
      </w:r>
      <w:bookmarkEnd w:id="1448"/>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ff. 3, 4, 6.</w:t>
      </w:r>
    </w:p>
    <w:p w:rsidR="00BA1B56" w:rsidRPr="00BA1B56" w:rsidRDefault="00BA1B56" w:rsidP="00BA1B56">
      <w:pPr>
        <w:pStyle w:val="TextoNormalSangraFrancesa"/>
        <w:rPr>
          <w:rStyle w:val="TextoNormalCaracter"/>
        </w:rPr>
      </w:pPr>
      <w:bookmarkStart w:id="1449" w:name="DESCRIPTORALFABETICO38"/>
      <w:r w:rsidRPr="00BA1B56">
        <w:rPr>
          <w:rStyle w:val="TextoNormalNegritaCaracter"/>
        </w:rPr>
        <w:t>Competencias en materia de Derechos forales</w:t>
      </w:r>
      <w:bookmarkEnd w:id="1449"/>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1 a 9.</w:t>
      </w:r>
    </w:p>
    <w:p w:rsidR="00BA1B56" w:rsidRPr="00BA1B56" w:rsidRDefault="00BA1B56" w:rsidP="00BA1B56">
      <w:pPr>
        <w:pStyle w:val="TextoNormalSangraFrancesa"/>
        <w:rPr>
          <w:rStyle w:val="TextoNormalCaracter"/>
        </w:rPr>
      </w:pPr>
      <w:bookmarkStart w:id="1450" w:name="DESCRIPTORALFABETICO39"/>
      <w:r w:rsidRPr="00BA1B56">
        <w:rPr>
          <w:rStyle w:val="TextoNormalNegritaCaracter"/>
        </w:rPr>
        <w:t>Competencias en materia de educación</w:t>
      </w:r>
      <w:bookmarkEnd w:id="1450"/>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5, 7, 12.</w:t>
      </w:r>
    </w:p>
    <w:p w:rsidR="00BA1B56" w:rsidRPr="00BA1B56" w:rsidRDefault="00BA1B56" w:rsidP="00BA1B56">
      <w:pPr>
        <w:pStyle w:val="TextoNormalSangraFrancesa"/>
        <w:rPr>
          <w:rStyle w:val="TextoNormalNegritaCaracter"/>
        </w:rPr>
      </w:pPr>
      <w:r w:rsidRPr="00BA1B56">
        <w:rPr>
          <w:rStyle w:val="TextoNormalCursivaCaracter"/>
        </w:rPr>
        <w:t>Competencias en materia de enseñanza</w:t>
      </w:r>
      <w:r>
        <w:t xml:space="preserve"> véase </w:t>
      </w:r>
      <w:hyperlink w:anchor="DESCRIPTORALFABETICO39" w:history="1">
        <w:r w:rsidRPr="00BA1B56">
          <w:rPr>
            <w:rStyle w:val="TextoNormalNegritaCaracter"/>
          </w:rPr>
          <w:t>Competencias en materia de educación</w:t>
        </w:r>
      </w:hyperlink>
    </w:p>
    <w:p w:rsidR="00BA1B56" w:rsidRPr="00BA1B56" w:rsidRDefault="00BA1B56" w:rsidP="00BA1B56">
      <w:pPr>
        <w:pStyle w:val="TextoNormalSangraFrancesa"/>
        <w:rPr>
          <w:rStyle w:val="TextoNormalCaracter"/>
        </w:rPr>
      </w:pPr>
      <w:bookmarkStart w:id="1451" w:name="DESCRIPTORALFABETICO40"/>
      <w:r w:rsidRPr="00BA1B56">
        <w:rPr>
          <w:rStyle w:val="TextoNormalNegritaCaracter"/>
        </w:rPr>
        <w:t>Competencias en materia de espacios naturales protegidos</w:t>
      </w:r>
      <w:bookmarkEnd w:id="1451"/>
      <w:r w:rsidRPr="00BA1B56">
        <w:rPr>
          <w:rStyle w:val="TextoNormalCaracter"/>
        </w:rPr>
        <w:t xml:space="preserve">, Sentencia </w:t>
      </w:r>
      <w:hyperlink w:anchor="SENTENCIA_2012_18" w:history="1">
        <w:r w:rsidRPr="00BA1B56">
          <w:rPr>
            <w:rStyle w:val="TextoNormalCaracter"/>
          </w:rPr>
          <w:t>18/2012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52" w:name="DESCRIPTORALFABETICO41"/>
      <w:r w:rsidRPr="00BA1B56">
        <w:rPr>
          <w:rStyle w:val="TextoNormalNegritaCaracter"/>
        </w:rPr>
        <w:t>Competencias en materia de formación continua</w:t>
      </w:r>
      <w:bookmarkEnd w:id="1452"/>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7.</w:t>
      </w:r>
    </w:p>
    <w:p w:rsidR="00BA1B56" w:rsidRPr="00BA1B56" w:rsidRDefault="00BA1B56" w:rsidP="00BA1B56">
      <w:pPr>
        <w:pStyle w:val="TextoNormalSangraFrancesa"/>
        <w:rPr>
          <w:rStyle w:val="TextoNormalCaracter"/>
        </w:rPr>
      </w:pPr>
      <w:bookmarkStart w:id="1453" w:name="DESCRIPTORALFABETICO42"/>
      <w:r w:rsidRPr="00BA1B56">
        <w:rPr>
          <w:rStyle w:val="TextoNormalNegritaCaracter"/>
        </w:rPr>
        <w:t>Competencias en materia de función pública</w:t>
      </w:r>
      <w:bookmarkEnd w:id="1453"/>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 9.</w:t>
      </w:r>
    </w:p>
    <w:p w:rsidR="00BA1B56" w:rsidRPr="00BA1B56" w:rsidRDefault="00BA1B56" w:rsidP="00BA1B56">
      <w:pPr>
        <w:pStyle w:val="TextoNormalSangraFrancesa"/>
        <w:rPr>
          <w:rStyle w:val="TextoNormalCaracter"/>
        </w:rPr>
      </w:pPr>
      <w:bookmarkStart w:id="1454" w:name="DESCRIPTORALFABETICO43"/>
      <w:r w:rsidRPr="00BA1B56">
        <w:rPr>
          <w:rStyle w:val="TextoNormalNegritaCaracter"/>
        </w:rPr>
        <w:t>Competencias en materia de ganadería</w:t>
      </w:r>
      <w:bookmarkEnd w:id="1454"/>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ff. 2, 3, 6.</w:t>
      </w:r>
    </w:p>
    <w:p w:rsidR="00BA1B56" w:rsidRPr="00BA1B56" w:rsidRDefault="00BA1B56" w:rsidP="00BA1B56">
      <w:pPr>
        <w:pStyle w:val="TextoNormalSangraFrancesa"/>
        <w:rPr>
          <w:rStyle w:val="TextoNormalCaracter"/>
        </w:rPr>
      </w:pPr>
      <w:bookmarkStart w:id="1455" w:name="DESCRIPTORALFABETICO44"/>
      <w:r w:rsidRPr="00BA1B56">
        <w:rPr>
          <w:rStyle w:val="TextoNormalNegritaCaracter"/>
        </w:rPr>
        <w:t>Competencias en materia de horarios comerciales</w:t>
      </w:r>
      <w:bookmarkEnd w:id="1455"/>
      <w:r w:rsidRPr="00BA1B56">
        <w:rPr>
          <w:rStyle w:val="TextoNormalCaracter"/>
        </w:rPr>
        <w:t xml:space="preserve">, Sentencias </w:t>
      </w:r>
      <w:hyperlink w:anchor="SENTENCIA_2012_26" w:history="1">
        <w:r w:rsidRPr="00BA1B56">
          <w:rPr>
            <w:rStyle w:val="TextoNormalCaracter"/>
          </w:rPr>
          <w:t>26/2012</w:t>
        </w:r>
      </w:hyperlink>
      <w:r w:rsidRPr="00BA1B56">
        <w:rPr>
          <w:rStyle w:val="TextoNormalCaracter"/>
        </w:rPr>
        <w:t xml:space="preserve">, ff. 2, 6 a 9; </w:t>
      </w:r>
      <w:hyperlink w:anchor="SENTENCIA_2012_86" w:history="1">
        <w:r w:rsidRPr="00BA1B56">
          <w:rPr>
            <w:rStyle w:val="TextoNormalCaracter"/>
          </w:rPr>
          <w:t>86/2012</w:t>
        </w:r>
      </w:hyperlink>
      <w:r w:rsidRPr="00BA1B56">
        <w:rPr>
          <w:rStyle w:val="TextoNormalCaracter"/>
        </w:rPr>
        <w:t>, f. 1.</w:t>
      </w:r>
    </w:p>
    <w:p w:rsidR="00BA1B56" w:rsidRPr="00BA1B56" w:rsidRDefault="00BA1B56" w:rsidP="00BA1B56">
      <w:pPr>
        <w:pStyle w:val="TextoNormalSangraFrancesa"/>
        <w:rPr>
          <w:rStyle w:val="TextoNormalCaracter"/>
        </w:rPr>
      </w:pPr>
      <w:bookmarkStart w:id="1456" w:name="DESCRIPTORALFABETICO45"/>
      <w:r w:rsidRPr="00BA1B56">
        <w:rPr>
          <w:rStyle w:val="TextoNormalNegritaCaracter"/>
        </w:rPr>
        <w:t>Competencias en materia de juegos de azar</w:t>
      </w:r>
      <w:bookmarkEnd w:id="1456"/>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ff. 3, 4, 7, 8; </w:t>
      </w:r>
      <w:hyperlink w:anchor="SENTENCIA_2012_35" w:history="1">
        <w:r w:rsidRPr="00BA1B56">
          <w:rPr>
            <w:rStyle w:val="TextoNormalCaracter"/>
          </w:rPr>
          <w:t>35/2012</w:t>
        </w:r>
      </w:hyperlink>
      <w:r w:rsidRPr="00BA1B56">
        <w:rPr>
          <w:rStyle w:val="TextoNormalCaracter"/>
        </w:rPr>
        <w:t xml:space="preserve">, ff. 3, 4; </w:t>
      </w:r>
      <w:hyperlink w:anchor="SENTENCIA_2012_83" w:history="1">
        <w:r w:rsidRPr="00BA1B56">
          <w:rPr>
            <w:rStyle w:val="TextoNormalCaracter"/>
          </w:rPr>
          <w:t>83/2012</w:t>
        </w:r>
      </w:hyperlink>
      <w:r w:rsidRPr="00BA1B56">
        <w:rPr>
          <w:rStyle w:val="TextoNormalCaracter"/>
        </w:rPr>
        <w:t xml:space="preserve">, ff. 1, 3; </w:t>
      </w:r>
      <w:hyperlink w:anchor="SENTENCIA_2012_123" w:history="1">
        <w:r w:rsidRPr="00BA1B56">
          <w:rPr>
            <w:rStyle w:val="TextoNormalCaracter"/>
          </w:rPr>
          <w:t>123/2012</w:t>
        </w:r>
      </w:hyperlink>
      <w:r w:rsidRPr="00BA1B56">
        <w:rPr>
          <w:rStyle w:val="TextoNormalCaracter"/>
        </w:rPr>
        <w:t xml:space="preserve">, ff. 4, 5, 6; </w:t>
      </w:r>
      <w:hyperlink w:anchor="SENTENCIA_2012_133" w:history="1">
        <w:r w:rsidRPr="00BA1B56">
          <w:rPr>
            <w:rStyle w:val="TextoNormalCaracter"/>
          </w:rPr>
          <w:t>133/2012</w:t>
        </w:r>
      </w:hyperlink>
      <w:r w:rsidRPr="00BA1B56">
        <w:rPr>
          <w:rStyle w:val="TextoNormalCaracter"/>
        </w:rPr>
        <w:t xml:space="preserve">, ff. 3, 4, 5; </w:t>
      </w:r>
      <w:hyperlink w:anchor="SENTENCIA_2012_134" w:history="1">
        <w:r w:rsidRPr="00BA1B56">
          <w:rPr>
            <w:rStyle w:val="TextoNormalCaracter"/>
          </w:rPr>
          <w:t>134/2012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457" w:name="DESCRIPTORALFABETICO46"/>
      <w:r w:rsidRPr="00BA1B56">
        <w:rPr>
          <w:rStyle w:val="TextoNormalNegritaCaracter"/>
        </w:rPr>
        <w:t>Competencias en materia de legislación civil</w:t>
      </w:r>
      <w:bookmarkEnd w:id="1457"/>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458" w:name="DESCRIPTORALFABETICO47"/>
      <w:r w:rsidRPr="00BA1B56">
        <w:rPr>
          <w:rStyle w:val="TextoNormalNegritaCaracter"/>
        </w:rPr>
        <w:t>Competencias en materia de legislación mercantil</w:t>
      </w:r>
      <w:bookmarkEnd w:id="1458"/>
      <w:r w:rsidRPr="00BA1B56">
        <w:rPr>
          <w:rStyle w:val="TextoNormalCaracter"/>
        </w:rPr>
        <w:t xml:space="preserve">, Sentencias </w:t>
      </w:r>
      <w:hyperlink w:anchor="SENTENCIA_2012_26" w:history="1">
        <w:r w:rsidRPr="00BA1B56">
          <w:rPr>
            <w:rStyle w:val="TextoNormalCaracter"/>
          </w:rPr>
          <w:t>26/2012</w:t>
        </w:r>
      </w:hyperlink>
      <w:r w:rsidRPr="00BA1B56">
        <w:rPr>
          <w:rStyle w:val="TextoNormalCaracter"/>
        </w:rPr>
        <w:t xml:space="preserve">, ff. 4, 10, 12; </w:t>
      </w:r>
      <w:hyperlink w:anchor="SENTENCIA_2012_33" w:history="1">
        <w:r w:rsidRPr="00BA1B56">
          <w:rPr>
            <w:rStyle w:val="TextoNormalCaracter"/>
          </w:rPr>
          <w:t>33/2012</w:t>
        </w:r>
      </w:hyperlink>
      <w:r w:rsidRPr="00BA1B56">
        <w:rPr>
          <w:rStyle w:val="TextoNormalCaracter"/>
        </w:rPr>
        <w:t>, ff. 5 a 8.</w:t>
      </w:r>
    </w:p>
    <w:p w:rsidR="00BA1B56" w:rsidRPr="00BA1B56" w:rsidRDefault="00BA1B56" w:rsidP="00BA1B56">
      <w:pPr>
        <w:pStyle w:val="TextoNormalSangraFrancesa"/>
        <w:rPr>
          <w:rStyle w:val="TextoNormalCaracter"/>
        </w:rPr>
      </w:pPr>
      <w:bookmarkStart w:id="1459" w:name="DESCRIPTORALFABETICO48"/>
      <w:r w:rsidRPr="00BA1B56">
        <w:rPr>
          <w:rStyle w:val="TextoNormalNegritaCaracter"/>
        </w:rPr>
        <w:t>Competencias en materia de legislación procesal</w:t>
      </w:r>
      <w:bookmarkEnd w:id="1459"/>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1, 3, 6 a 8, VP I.</w:t>
      </w:r>
    </w:p>
    <w:p w:rsidR="00BA1B56" w:rsidRPr="00BA1B56" w:rsidRDefault="00BA1B56" w:rsidP="00BA1B56">
      <w:pPr>
        <w:pStyle w:val="TextoNormalSangraFrancesa"/>
        <w:rPr>
          <w:rStyle w:val="TextoNormalCaracter"/>
        </w:rPr>
      </w:pPr>
      <w:bookmarkStart w:id="1460" w:name="DESCRIPTORALFABETICO49"/>
      <w:r w:rsidRPr="00BA1B56">
        <w:rPr>
          <w:rStyle w:val="TextoNormalNegritaCaracter"/>
        </w:rPr>
        <w:t>Competencias en materia de medio ambiente</w:t>
      </w:r>
      <w:bookmarkEnd w:id="1460"/>
      <w:r w:rsidRPr="00BA1B56">
        <w:rPr>
          <w:rStyle w:val="TextoNormalCaracter"/>
        </w:rPr>
        <w:t xml:space="preserve">, Sentencias </w:t>
      </w:r>
      <w:hyperlink w:anchor="SENTENCIA_2012_34" w:history="1">
        <w:r w:rsidRPr="00BA1B56">
          <w:rPr>
            <w:rStyle w:val="TextoNormalCaracter"/>
          </w:rPr>
          <w:t>34/2012</w:t>
        </w:r>
      </w:hyperlink>
      <w:r w:rsidRPr="00BA1B56">
        <w:rPr>
          <w:rStyle w:val="TextoNormalCaracter"/>
        </w:rPr>
        <w:t xml:space="preserve">, f. 4; </w:t>
      </w:r>
      <w:hyperlink w:anchor="SENTENCIA_2012_38" w:history="1">
        <w:r w:rsidRPr="00BA1B56">
          <w:rPr>
            <w:rStyle w:val="TextoNormalCaracter"/>
          </w:rPr>
          <w:t>38/2012</w:t>
        </w:r>
      </w:hyperlink>
      <w:r w:rsidRPr="00BA1B56">
        <w:rPr>
          <w:rStyle w:val="TextoNormalCaracter"/>
        </w:rPr>
        <w:t xml:space="preserve">, ff. 3, 9;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461" w:name="DESCRIPTORALFABETICO50"/>
      <w:r w:rsidRPr="00BA1B56">
        <w:rPr>
          <w:rStyle w:val="TextoNormalNegritaCaracter"/>
        </w:rPr>
        <w:t>Competencias en materia de medios de comunicación</w:t>
      </w:r>
      <w:bookmarkEnd w:id="1461"/>
      <w:r w:rsidRPr="00BA1B56">
        <w:rPr>
          <w:rStyle w:val="TextoNormalCaracter"/>
        </w:rPr>
        <w:t xml:space="preserve">, Sentencia </w:t>
      </w:r>
      <w:hyperlink w:anchor="SENTENCIA_2012_5" w:history="1">
        <w:r w:rsidRPr="00BA1B56">
          <w:rPr>
            <w:rStyle w:val="TextoNormalCaracter"/>
          </w:rPr>
          <w:t>5/2012</w:t>
        </w:r>
      </w:hyperlink>
      <w:r w:rsidRPr="00BA1B56">
        <w:rPr>
          <w:rStyle w:val="TextoNormalCaracter"/>
        </w:rPr>
        <w:t>, ff. 2 a 6.</w:t>
      </w:r>
    </w:p>
    <w:p w:rsidR="00BA1B56" w:rsidRPr="00BA1B56" w:rsidRDefault="00BA1B56" w:rsidP="00BA1B56">
      <w:pPr>
        <w:pStyle w:val="TextoNormalSangraFrancesa"/>
        <w:rPr>
          <w:rStyle w:val="TextoNormalCaracter"/>
        </w:rPr>
      </w:pPr>
      <w:bookmarkStart w:id="1462" w:name="DESCRIPTORALFABETICO51"/>
      <w:r w:rsidRPr="00BA1B56">
        <w:rPr>
          <w:rStyle w:val="TextoNormalNegritaCaracter"/>
        </w:rPr>
        <w:t>Competencias en materia de obras públicas de interés general</w:t>
      </w:r>
      <w:bookmarkEnd w:id="1462"/>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ff. 2, 3; </w:t>
      </w:r>
      <w:hyperlink w:anchor="SENTENCIA_2012_124" w:history="1">
        <w:r w:rsidRPr="00BA1B56">
          <w:rPr>
            <w:rStyle w:val="TextoNormalCaracter"/>
          </w:rPr>
          <w:t>124/2012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463" w:name="DESCRIPTORALFABETICO52"/>
      <w:r w:rsidRPr="00BA1B56">
        <w:rPr>
          <w:rStyle w:val="TextoNormalNegritaCaracter"/>
        </w:rPr>
        <w:t>Competencias en materia de ordenación del crédito</w:t>
      </w:r>
      <w:bookmarkEnd w:id="1463"/>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464" w:name="DESCRIPTORALFABETICO53"/>
      <w:r w:rsidRPr="00BA1B56">
        <w:rPr>
          <w:rStyle w:val="TextoNormalNegritaCaracter"/>
        </w:rPr>
        <w:t>Competencias en materia de ordenación del territorio</w:t>
      </w:r>
      <w:bookmarkEnd w:id="1464"/>
      <w:r w:rsidRPr="00BA1B56">
        <w:rPr>
          <w:rStyle w:val="TextoNormalCaracter"/>
        </w:rPr>
        <w:t xml:space="preserve">, Sentencias </w:t>
      </w:r>
      <w:hyperlink w:anchor="SENTENCIA_2012_8" w:history="1">
        <w:r w:rsidRPr="00BA1B56">
          <w:rPr>
            <w:rStyle w:val="TextoNormalCaracter"/>
          </w:rPr>
          <w:t>8/2012</w:t>
        </w:r>
      </w:hyperlink>
      <w:r w:rsidRPr="00BA1B56">
        <w:rPr>
          <w:rStyle w:val="TextoNormalCaracter"/>
        </w:rPr>
        <w:t xml:space="preserve">, ff. 3, 8;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65" w:name="DESCRIPTORALFABETICO54"/>
      <w:r w:rsidRPr="00BA1B56">
        <w:rPr>
          <w:rStyle w:val="TextoNormalNegritaCaracter"/>
        </w:rPr>
        <w:t>Competencias en materia de patrimonio histórico y cultural</w:t>
      </w:r>
      <w:bookmarkEnd w:id="1465"/>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5.</w:t>
      </w:r>
    </w:p>
    <w:p w:rsidR="00BA1B56" w:rsidRPr="00BA1B56" w:rsidRDefault="00BA1B56" w:rsidP="00BA1B56">
      <w:pPr>
        <w:pStyle w:val="TextoNormalSangraFrancesa"/>
        <w:rPr>
          <w:rStyle w:val="TextoNormalCaracter"/>
        </w:rPr>
      </w:pPr>
      <w:bookmarkStart w:id="1466" w:name="DESCRIPTORALFABETICO55"/>
      <w:r w:rsidRPr="00BA1B56">
        <w:rPr>
          <w:rStyle w:val="TextoNormalNegritaCaracter"/>
        </w:rPr>
        <w:t>Competencias en materia de planificación económica</w:t>
      </w:r>
      <w:bookmarkEnd w:id="1466"/>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4, 5, 7;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 5; </w:t>
      </w:r>
      <w:hyperlink w:anchor="SENTENCIA_2012_77" w:history="1">
        <w:r w:rsidRPr="00BA1B56">
          <w:rPr>
            <w:rStyle w:val="TextoNormalCaracter"/>
          </w:rPr>
          <w:t>77/2012</w:t>
        </w:r>
      </w:hyperlink>
      <w:r w:rsidRPr="00BA1B56">
        <w:rPr>
          <w:rStyle w:val="TextoNormalCaracter"/>
        </w:rPr>
        <w:t xml:space="preserve">, f. 3; </w:t>
      </w:r>
      <w:hyperlink w:anchor="SENTENCIA_2012_135" w:history="1">
        <w:r w:rsidRPr="00BA1B56">
          <w:rPr>
            <w:rStyle w:val="TextoNormalCaracter"/>
          </w:rPr>
          <w:t>135/2012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67" w:name="DESCRIPTORALFABETICO56"/>
      <w:r w:rsidRPr="00BA1B56">
        <w:rPr>
          <w:rStyle w:val="TextoNormalNegritaCaracter"/>
        </w:rPr>
        <w:t>Competencias en materia de régimen energético</w:t>
      </w:r>
      <w:bookmarkEnd w:id="1467"/>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ff. 2, 3, 4, 5, 6.</w:t>
      </w:r>
    </w:p>
    <w:p w:rsidR="00BA1B56" w:rsidRPr="00BA1B56" w:rsidRDefault="00BA1B56" w:rsidP="00BA1B56">
      <w:pPr>
        <w:pStyle w:val="TextoNormalSangraFrancesa"/>
        <w:rPr>
          <w:rStyle w:val="TextoNormalCaracter"/>
        </w:rPr>
      </w:pPr>
      <w:bookmarkStart w:id="1468" w:name="DESCRIPTORALFABETICO57"/>
      <w:r w:rsidRPr="00BA1B56">
        <w:rPr>
          <w:rStyle w:val="TextoNormalNegritaCaracter"/>
        </w:rPr>
        <w:t>Competencias en materia de regulación de condiciones básicas de igualdad</w:t>
      </w:r>
      <w:bookmarkEnd w:id="1468"/>
      <w:r w:rsidRPr="00BA1B56">
        <w:rPr>
          <w:rStyle w:val="TextoNormalCaracter"/>
        </w:rPr>
        <w:t xml:space="preserve">, Sentencias </w:t>
      </w:r>
      <w:hyperlink w:anchor="SENTENCIA_2012_87" w:history="1">
        <w:r w:rsidRPr="00BA1B56">
          <w:rPr>
            <w:rStyle w:val="TextoNormalCaracter"/>
          </w:rPr>
          <w:t>87/2012</w:t>
        </w:r>
      </w:hyperlink>
      <w:r w:rsidRPr="00BA1B56">
        <w:rPr>
          <w:rStyle w:val="TextoNormalCaracter"/>
        </w:rPr>
        <w:t xml:space="preserve">, f. 5; </w:t>
      </w:r>
      <w:hyperlink w:anchor="SENTENCIA_2012_111" w:history="1">
        <w:r w:rsidRPr="00BA1B56">
          <w:rPr>
            <w:rStyle w:val="TextoNormalCaracter"/>
          </w:rPr>
          <w:t>111/2012</w:t>
        </w:r>
      </w:hyperlink>
      <w:r w:rsidRPr="00BA1B56">
        <w:rPr>
          <w:rStyle w:val="TextoNormalCaracter"/>
        </w:rPr>
        <w:t xml:space="preserve">, ff. 5, 6; </w:t>
      </w:r>
      <w:hyperlink w:anchor="SENTENCIA_2012_136" w:history="1">
        <w:r w:rsidRPr="00BA1B56">
          <w:rPr>
            <w:rStyle w:val="TextoNormalCaracter"/>
          </w:rPr>
          <w:t>136/2012</w:t>
        </w:r>
      </w:hyperlink>
      <w:r w:rsidRPr="00BA1B56">
        <w:rPr>
          <w:rStyle w:val="TextoNormalCaracter"/>
        </w:rPr>
        <w:t xml:space="preserve">, f. 3;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69" w:name="DESCRIPTORALFABETICO58"/>
      <w:r w:rsidRPr="00BA1B56">
        <w:rPr>
          <w:rStyle w:val="TextoNormalNegritaCaracter"/>
        </w:rPr>
        <w:t>Competencias en materia de relaciones internacionales</w:t>
      </w:r>
      <w:bookmarkEnd w:id="1469"/>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ff. 4, 7, 10, VP I; </w:t>
      </w:r>
      <w:hyperlink w:anchor="SENTENCIA_2012_110" w:history="1">
        <w:r w:rsidRPr="00BA1B56">
          <w:rPr>
            <w:rStyle w:val="TextoNormalCaracter"/>
          </w:rPr>
          <w:t>110/2012</w:t>
        </w:r>
      </w:hyperlink>
      <w:r w:rsidRPr="00BA1B56">
        <w:rPr>
          <w:rStyle w:val="TextoNormalCaracter"/>
        </w:rPr>
        <w:t>, ff. 3 a 7.</w:t>
      </w:r>
    </w:p>
    <w:p w:rsidR="00BA1B56" w:rsidRPr="00BA1B56" w:rsidRDefault="00BA1B56" w:rsidP="00BA1B56">
      <w:pPr>
        <w:pStyle w:val="TextoNormalSangraFrancesa"/>
        <w:rPr>
          <w:rStyle w:val="TextoNormalCaracter"/>
        </w:rPr>
      </w:pPr>
      <w:bookmarkStart w:id="1470" w:name="DESCRIPTORALFABETICO59"/>
      <w:r w:rsidRPr="00BA1B56">
        <w:rPr>
          <w:rStyle w:val="TextoNormalNegritaCaracter"/>
        </w:rPr>
        <w:t>Competencias en materia de sanidad</w:t>
      </w:r>
      <w:bookmarkEnd w:id="1470"/>
      <w:r w:rsidRPr="00BA1B56">
        <w:rPr>
          <w:rStyle w:val="TextoNormalCaracter"/>
        </w:rPr>
        <w:t xml:space="preserve">, Sentencias </w:t>
      </w:r>
      <w:hyperlink w:anchor="SENTENCIA_2012_22" w:history="1">
        <w:r w:rsidRPr="00BA1B56">
          <w:rPr>
            <w:rStyle w:val="TextoNormalCaracter"/>
          </w:rPr>
          <w:t>22/2012</w:t>
        </w:r>
      </w:hyperlink>
      <w:r w:rsidRPr="00BA1B56">
        <w:rPr>
          <w:rStyle w:val="TextoNormalCaracter"/>
        </w:rPr>
        <w:t xml:space="preserve">, ff. 2, 3, 4, 5, 6, 7, 8, 9; </w:t>
      </w:r>
      <w:hyperlink w:anchor="SENTENCIA_2012_136" w:history="1">
        <w:r w:rsidRPr="00BA1B56">
          <w:rPr>
            <w:rStyle w:val="TextoNormalCaracter"/>
          </w:rPr>
          <w:t>136/2012</w:t>
        </w:r>
      </w:hyperlink>
      <w:r w:rsidRPr="00BA1B56">
        <w:rPr>
          <w:rStyle w:val="TextoNormalCaracter"/>
        </w:rPr>
        <w:t>, ff. 1, 2, 3, 4, 5, 6, 7, 8.</w:t>
      </w:r>
    </w:p>
    <w:p w:rsidR="00BA1B56" w:rsidRPr="00BA1B56" w:rsidRDefault="00BA1B56" w:rsidP="00BA1B56">
      <w:pPr>
        <w:pStyle w:val="TextoNormalSangraFrancesa"/>
        <w:rPr>
          <w:rStyle w:val="TextoNormalCaracter"/>
        </w:rPr>
      </w:pPr>
      <w:bookmarkStart w:id="1471" w:name="DESCRIPTORALFABETICO60"/>
      <w:r w:rsidRPr="00BA1B56">
        <w:rPr>
          <w:rStyle w:val="TextoNormalNegritaCaracter"/>
        </w:rPr>
        <w:t>Competencias en materia de seguridad pública</w:t>
      </w:r>
      <w:bookmarkEnd w:id="1471"/>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ff. 5, 6.</w:t>
      </w:r>
    </w:p>
    <w:p w:rsidR="00BA1B56" w:rsidRPr="00BA1B56" w:rsidRDefault="00BA1B56" w:rsidP="00BA1B56">
      <w:pPr>
        <w:pStyle w:val="TextoNormalSangraFrancesa"/>
        <w:rPr>
          <w:rStyle w:val="TextoNormalNegritaCaracter"/>
        </w:rPr>
      </w:pPr>
      <w:r w:rsidRPr="00BA1B56">
        <w:rPr>
          <w:rStyle w:val="TextoNormalCursivaCaracter"/>
        </w:rPr>
        <w:t>Competencias en materia de servicios sociales</w:t>
      </w:r>
      <w:r>
        <w:t xml:space="preserve"> véase </w:t>
      </w:r>
      <w:hyperlink w:anchor="DESCRIPTORALFABETICO28" w:history="1">
        <w:r w:rsidRPr="00BA1B56">
          <w:rPr>
            <w:rStyle w:val="TextoNormalNegritaCaracter"/>
          </w:rPr>
          <w:t>Competencias en materia de asistencia social</w:t>
        </w:r>
      </w:hyperlink>
    </w:p>
    <w:p w:rsidR="00BA1B56" w:rsidRPr="00BA1B56" w:rsidRDefault="00BA1B56" w:rsidP="00BA1B56">
      <w:pPr>
        <w:pStyle w:val="TextoNormalSangraFrancesa"/>
        <w:rPr>
          <w:rStyle w:val="TextoNormalCaracter"/>
        </w:rPr>
      </w:pPr>
      <w:bookmarkStart w:id="1472" w:name="DESCRIPTORALFABETICO61"/>
      <w:r w:rsidRPr="00BA1B56">
        <w:rPr>
          <w:rStyle w:val="TextoNormalNegritaCaracter"/>
        </w:rPr>
        <w:t>Competencias en materia de telecomunicaciones</w:t>
      </w:r>
      <w:bookmarkEnd w:id="1472"/>
      <w:r w:rsidRPr="00BA1B56">
        <w:rPr>
          <w:rStyle w:val="TextoNormalCaracter"/>
        </w:rPr>
        <w:t xml:space="preserve">, Sentencias </w:t>
      </w:r>
      <w:hyperlink w:anchor="SENTENCIA_2012_5" w:history="1">
        <w:r w:rsidRPr="00BA1B56">
          <w:rPr>
            <w:rStyle w:val="TextoNormalCaracter"/>
          </w:rPr>
          <w:t>5/2012</w:t>
        </w:r>
      </w:hyperlink>
      <w:r w:rsidRPr="00BA1B56">
        <w:rPr>
          <w:rStyle w:val="TextoNormalCaracter"/>
        </w:rPr>
        <w:t xml:space="preserve">, ff. 2, 4 a 6; </w:t>
      </w:r>
      <w:hyperlink w:anchor="SENTENCIA_2012_8" w:history="1">
        <w:r w:rsidRPr="00BA1B56">
          <w:rPr>
            <w:rStyle w:val="TextoNormalCaracter"/>
          </w:rPr>
          <w:t>8/2012</w:t>
        </w:r>
      </w:hyperlink>
      <w:r w:rsidRPr="00BA1B56">
        <w:rPr>
          <w:rStyle w:val="TextoNormalCaracter"/>
        </w:rPr>
        <w:t>, ff. 5, 9.</w:t>
      </w:r>
    </w:p>
    <w:p w:rsidR="00BA1B56" w:rsidRPr="00BA1B56" w:rsidRDefault="00BA1B56" w:rsidP="00BA1B56">
      <w:pPr>
        <w:pStyle w:val="TextoNormalSangraFrancesa"/>
        <w:rPr>
          <w:rStyle w:val="TextoNormalCaracter"/>
        </w:rPr>
      </w:pPr>
      <w:bookmarkStart w:id="1473" w:name="DESCRIPTORALFABETICO62"/>
      <w:r w:rsidRPr="00BA1B56">
        <w:rPr>
          <w:rStyle w:val="TextoNormalNegritaCaracter"/>
        </w:rPr>
        <w:t>Competencias en materia de títulos académicos y profesionales</w:t>
      </w:r>
      <w:bookmarkEnd w:id="1473"/>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5.</w:t>
      </w:r>
    </w:p>
    <w:p w:rsidR="00BA1B56" w:rsidRPr="00BA1B56" w:rsidRDefault="00BA1B56" w:rsidP="00BA1B56">
      <w:pPr>
        <w:pStyle w:val="TextoNormalSangraFrancesa"/>
        <w:rPr>
          <w:rStyle w:val="TextoNormalCaracter"/>
        </w:rPr>
      </w:pPr>
      <w:bookmarkStart w:id="1474" w:name="DESCRIPTORALFABETICO63"/>
      <w:r w:rsidRPr="00BA1B56">
        <w:rPr>
          <w:rStyle w:val="TextoNormalNegritaCaracter"/>
        </w:rPr>
        <w:t>Competencias en materia de transporte</w:t>
      </w:r>
      <w:bookmarkEnd w:id="1474"/>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 5.</w:t>
      </w:r>
    </w:p>
    <w:p w:rsidR="00BA1B56" w:rsidRPr="00BA1B56" w:rsidRDefault="00BA1B56" w:rsidP="00BA1B56">
      <w:pPr>
        <w:pStyle w:val="TextoNormalSangraFrancesa"/>
        <w:rPr>
          <w:rStyle w:val="TextoNormalCaracter"/>
        </w:rPr>
      </w:pPr>
      <w:bookmarkStart w:id="1475" w:name="DESCRIPTORALFABETICO64"/>
      <w:r w:rsidRPr="00BA1B56">
        <w:rPr>
          <w:rStyle w:val="TextoNormalNegritaCaracter"/>
        </w:rPr>
        <w:lastRenderedPageBreak/>
        <w:t>Competencias en materia de turismo</w:t>
      </w:r>
      <w:bookmarkEnd w:id="1475"/>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76" w:name="DESCRIPTORALFABETICO65"/>
      <w:r w:rsidRPr="00BA1B56">
        <w:rPr>
          <w:rStyle w:val="TextoNormalNegritaCaracter"/>
        </w:rPr>
        <w:t>Competencias en materia de tutela financiera de Entes Locales</w:t>
      </w:r>
      <w:bookmarkEnd w:id="1476"/>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477" w:name="DESCRIPTORALFABETICO66"/>
      <w:r w:rsidRPr="00BA1B56">
        <w:rPr>
          <w:rStyle w:val="TextoNormalNegritaCaracter"/>
        </w:rPr>
        <w:t>Competencias en materia de vivienda</w:t>
      </w:r>
      <w:bookmarkEnd w:id="1477"/>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 4;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ff. 3, 6; </w:t>
      </w:r>
      <w:hyperlink w:anchor="SENTENCIA_2012_77" w:history="1">
        <w:r w:rsidRPr="00BA1B56">
          <w:rPr>
            <w:rStyle w:val="TextoNormalCaracter"/>
          </w:rPr>
          <w:t>77/2012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Competencias en materia energética</w:t>
      </w:r>
      <w:r>
        <w:t xml:space="preserve"> véase </w:t>
      </w:r>
      <w:hyperlink w:anchor="DESCRIPTORALFABETICO56" w:history="1">
        <w:r w:rsidRPr="00BA1B56">
          <w:rPr>
            <w:rStyle w:val="TextoNormalNegritaCaracter"/>
          </w:rPr>
          <w:t>Competencias en materia de régimen energético</w:t>
        </w:r>
      </w:hyperlink>
    </w:p>
    <w:p w:rsidR="00BA1B56" w:rsidRPr="00BA1B56" w:rsidRDefault="00BA1B56" w:rsidP="00BA1B56">
      <w:pPr>
        <w:pStyle w:val="TextoNormalSangraFrancesa"/>
        <w:rPr>
          <w:rStyle w:val="TextoNormalCaracter"/>
        </w:rPr>
      </w:pPr>
      <w:bookmarkStart w:id="1478" w:name="DESCRIPTORALFABETICO13"/>
      <w:r w:rsidRPr="00BA1B56">
        <w:rPr>
          <w:rStyle w:val="TextoNormalNegritaCaracter"/>
        </w:rPr>
        <w:t>Competencias exclusivas del Estado</w:t>
      </w:r>
      <w:bookmarkEnd w:id="1478"/>
      <w:r w:rsidRPr="00BA1B56">
        <w:rPr>
          <w:rStyle w:val="TextoNormalCaracter"/>
        </w:rPr>
        <w:t xml:space="preserve">, Sentencias </w:t>
      </w:r>
      <w:hyperlink w:anchor="SENTENCIA_2012_82" w:history="1">
        <w:r w:rsidRPr="00BA1B56">
          <w:rPr>
            <w:rStyle w:val="TextoNormalCaracter"/>
          </w:rPr>
          <w:t>82/2012</w:t>
        </w:r>
      </w:hyperlink>
      <w:r w:rsidRPr="00BA1B56">
        <w:rPr>
          <w:rStyle w:val="TextoNormalCaracter"/>
        </w:rPr>
        <w:t xml:space="preserve">, ff. 1, 4, 5; </w:t>
      </w:r>
      <w:hyperlink w:anchor="SENTENCIA_2012_87" w:history="1">
        <w:r w:rsidRPr="00BA1B56">
          <w:rPr>
            <w:rStyle w:val="TextoNormalCaracter"/>
          </w:rPr>
          <w:t>87/2012</w:t>
        </w:r>
      </w:hyperlink>
      <w:r w:rsidRPr="00BA1B56">
        <w:rPr>
          <w:rStyle w:val="TextoNormalCaracter"/>
        </w:rPr>
        <w:t xml:space="preserve">, f. 5;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Competencias intrraautonómicas</w:t>
      </w:r>
      <w:r>
        <w:t xml:space="preserve"> véase </w:t>
      </w:r>
      <w:hyperlink w:anchor="DESCRIPTORALFABETICO6" w:history="1">
        <w:r w:rsidRPr="00BA1B56">
          <w:rPr>
            <w:rStyle w:val="TextoNormalNegritaCaracter"/>
          </w:rPr>
          <w:t>Ámbito territorial autonómico</w:t>
        </w:r>
      </w:hyperlink>
    </w:p>
    <w:p w:rsidR="00BA1B56" w:rsidRPr="00BA1B56" w:rsidRDefault="00BA1B56" w:rsidP="00BA1B56">
      <w:pPr>
        <w:pStyle w:val="TextoNormalSangraFrancesa"/>
        <w:rPr>
          <w:rStyle w:val="TextoNormalNegritaCaracter"/>
        </w:rPr>
      </w:pPr>
      <w:r w:rsidRPr="00BA1B56">
        <w:rPr>
          <w:rStyle w:val="TextoNormalCursivaCaracter"/>
        </w:rPr>
        <w:t>Competencias supraautonómicas</w:t>
      </w:r>
      <w:r>
        <w:t xml:space="preserve"> véase </w:t>
      </w:r>
      <w:hyperlink w:anchor="DESCRIPTORALFABETICO7" w:history="1">
        <w:r w:rsidRPr="00BA1B56">
          <w:rPr>
            <w:rStyle w:val="TextoNormalNegritaCaracter"/>
          </w:rPr>
          <w:t>Ámbito territorial supraautonómico</w:t>
        </w:r>
      </w:hyperlink>
    </w:p>
    <w:p w:rsidR="00BA1B56" w:rsidRPr="00BA1B56" w:rsidRDefault="00BA1B56" w:rsidP="00BA1B56">
      <w:pPr>
        <w:pStyle w:val="TextoNormalSangraFrancesa"/>
        <w:rPr>
          <w:rStyle w:val="TextoNormalCaracter"/>
        </w:rPr>
      </w:pPr>
      <w:bookmarkStart w:id="1479" w:name="DESCRIPTORALFABETICO269"/>
      <w:r w:rsidRPr="00BA1B56">
        <w:rPr>
          <w:rStyle w:val="TextoNormalNegritaCaracter"/>
        </w:rPr>
        <w:t>Competencias tasadas</w:t>
      </w:r>
      <w:bookmarkEnd w:id="1479"/>
      <w:r w:rsidRPr="00BA1B56">
        <w:rPr>
          <w:rStyle w:val="TextoNormalCaracter"/>
        </w:rPr>
        <w:t xml:space="preserve">, Auto </w:t>
      </w:r>
      <w:hyperlink w:anchor="AUTO_2012_80" w:history="1">
        <w:r w:rsidRPr="00BA1B56">
          <w:rPr>
            <w:rStyle w:val="TextoNormalCaracter"/>
          </w:rPr>
          <w:t>80/2012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80" w:name="DESCRIPTORALFABETICO579"/>
      <w:r w:rsidRPr="00BA1B56">
        <w:rPr>
          <w:rStyle w:val="TextoNormalNegritaCaracter"/>
        </w:rPr>
        <w:t>Competiciones deportivas</w:t>
      </w:r>
      <w:bookmarkEnd w:id="1480"/>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 7; </w:t>
      </w:r>
      <w:hyperlink w:anchor="SENTENCIA_2012_110" w:history="1">
        <w:r w:rsidRPr="00BA1B56">
          <w:rPr>
            <w:rStyle w:val="TextoNormalCaracter"/>
          </w:rPr>
          <w:t>110/2012</w:t>
        </w:r>
      </w:hyperlink>
      <w:r w:rsidRPr="00BA1B56">
        <w:rPr>
          <w:rStyle w:val="TextoNormalCaracter"/>
        </w:rPr>
        <w:t>, ff. 3 a 7.</w:t>
      </w:r>
    </w:p>
    <w:p w:rsidR="00BA1B56" w:rsidRPr="00BA1B56" w:rsidRDefault="00BA1B56" w:rsidP="00BA1B56">
      <w:pPr>
        <w:pStyle w:val="TextoNormalSangraFrancesa"/>
        <w:rPr>
          <w:rStyle w:val="TextoNormalCaracter"/>
        </w:rPr>
      </w:pPr>
      <w:bookmarkStart w:id="1481" w:name="DESCRIPTORALFABETICO580"/>
      <w:r w:rsidRPr="00BA1B56">
        <w:rPr>
          <w:rStyle w:val="TextoNormalNegritaCaracter"/>
        </w:rPr>
        <w:t>Competiciones internacionales</w:t>
      </w:r>
      <w:bookmarkEnd w:id="1481"/>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ff. 10, 11, VP I; </w:t>
      </w:r>
      <w:hyperlink w:anchor="SENTENCIA_2012_110" w:history="1">
        <w:r w:rsidRPr="00BA1B56">
          <w:rPr>
            <w:rStyle w:val="TextoNormalCaracter"/>
          </w:rPr>
          <w:t>110/2012</w:t>
        </w:r>
      </w:hyperlink>
      <w:r w:rsidRPr="00BA1B56">
        <w:rPr>
          <w:rStyle w:val="TextoNormalCaracter"/>
        </w:rPr>
        <w:t>, ff. 3 a 7.</w:t>
      </w:r>
    </w:p>
    <w:p w:rsidR="00BA1B56" w:rsidRPr="00BA1B56" w:rsidRDefault="00BA1B56" w:rsidP="00BA1B56">
      <w:pPr>
        <w:pStyle w:val="TextoNormalSangraFrancesa"/>
        <w:rPr>
          <w:rStyle w:val="TextoNormalCaracter"/>
        </w:rPr>
      </w:pPr>
      <w:bookmarkStart w:id="1482" w:name="DESCRIPTORALFABETICO515"/>
      <w:r w:rsidRPr="00BA1B56">
        <w:rPr>
          <w:rStyle w:val="TextoNormalNegritaCaracter"/>
        </w:rPr>
        <w:t>Composición de las comisiones informativas locales</w:t>
      </w:r>
      <w:bookmarkEnd w:id="1482"/>
      <w:r w:rsidRPr="00BA1B56">
        <w:rPr>
          <w:rStyle w:val="TextoNormalCaracter"/>
        </w:rPr>
        <w:t xml:space="preserve">, Sentencia </w:t>
      </w:r>
      <w:hyperlink w:anchor="SENTENCIA_2012_14" w:history="1">
        <w:r w:rsidRPr="00BA1B56">
          <w:rPr>
            <w:rStyle w:val="TextoNormalCaracter"/>
          </w:rPr>
          <w:t>14/2012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83" w:name="DESCRIPTORALFABETICO558"/>
      <w:r w:rsidRPr="00BA1B56">
        <w:rPr>
          <w:rStyle w:val="TextoNormalNegritaCaracter"/>
        </w:rPr>
        <w:t>Compraventa</w:t>
      </w:r>
      <w:bookmarkEnd w:id="1483"/>
      <w:r w:rsidRPr="00BA1B56">
        <w:rPr>
          <w:rStyle w:val="TextoNormalCaracter"/>
        </w:rPr>
        <w:t xml:space="preserve">, Auto </w:t>
      </w:r>
      <w:hyperlink w:anchor="AUTO_2012_55" w:history="1">
        <w:r w:rsidRPr="00BA1B56">
          <w:rPr>
            <w:rStyle w:val="TextoNormalCaracter"/>
          </w:rPr>
          <w:t>55/2012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84" w:name="DESCRIPTORALFABETICO925"/>
      <w:r w:rsidRPr="00BA1B56">
        <w:rPr>
          <w:rStyle w:val="TextoNormalNegritaCaracter"/>
        </w:rPr>
        <w:t>Cómputo de plazos procesales</w:t>
      </w:r>
      <w:bookmarkEnd w:id="1484"/>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 3; </w:t>
      </w:r>
      <w:hyperlink w:anchor="SENTENCIA_2012_23" w:history="1">
        <w:r w:rsidRPr="00BA1B56">
          <w:rPr>
            <w:rStyle w:val="TextoNormalCaracter"/>
          </w:rPr>
          <w:t>23/2012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85" w:name="DESCRIPTORALFABETICO765"/>
      <w:r w:rsidRPr="00BA1B56">
        <w:rPr>
          <w:rStyle w:val="TextoNormalNegritaCaracter"/>
        </w:rPr>
        <w:t>Cómputo de redención sobre cada una de las penas</w:t>
      </w:r>
      <w:bookmarkEnd w:id="1485"/>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7, 8, VP I, VP II; </w:t>
      </w:r>
      <w:hyperlink w:anchor="SENTENCIA_2012_40" w:history="1">
        <w:r w:rsidRPr="00BA1B56">
          <w:rPr>
            <w:rStyle w:val="TextoNormalCaracter"/>
          </w:rPr>
          <w:t>40/2012</w:t>
        </w:r>
      </w:hyperlink>
      <w:r w:rsidRPr="00BA1B56">
        <w:rPr>
          <w:rStyle w:val="TextoNormalCaracter"/>
        </w:rPr>
        <w:t xml:space="preserve">, ff. 3, 5, 7, VP II; </w:t>
      </w:r>
      <w:hyperlink w:anchor="SENTENCIA_2012_41" w:history="1">
        <w:r w:rsidRPr="00BA1B56">
          <w:rPr>
            <w:rStyle w:val="TextoNormalCaracter"/>
          </w:rPr>
          <w:t>41/2012</w:t>
        </w:r>
      </w:hyperlink>
      <w:r w:rsidRPr="00BA1B56">
        <w:rPr>
          <w:rStyle w:val="TextoNormalCaracter"/>
        </w:rPr>
        <w:t xml:space="preserve">, ff. 4, 7, VP II, VP IV; </w:t>
      </w:r>
      <w:hyperlink w:anchor="SENTENCIA_2012_42" w:history="1">
        <w:r w:rsidRPr="00BA1B56">
          <w:rPr>
            <w:rStyle w:val="TextoNormalCaracter"/>
          </w:rPr>
          <w:t>42/2012</w:t>
        </w:r>
      </w:hyperlink>
      <w:r w:rsidRPr="00BA1B56">
        <w:rPr>
          <w:rStyle w:val="TextoNormalCaracter"/>
        </w:rPr>
        <w:t xml:space="preserve">, ff. 3, 5, 8; </w:t>
      </w:r>
      <w:hyperlink w:anchor="SENTENCIA_2012_43" w:history="1">
        <w:r w:rsidRPr="00BA1B56">
          <w:rPr>
            <w:rStyle w:val="TextoNormalCaracter"/>
          </w:rPr>
          <w:t>43/2012</w:t>
        </w:r>
      </w:hyperlink>
      <w:r w:rsidRPr="00BA1B56">
        <w:rPr>
          <w:rStyle w:val="TextoNormalCaracter"/>
        </w:rPr>
        <w:t xml:space="preserve">, ff. 2, 6, 7; </w:t>
      </w:r>
      <w:hyperlink w:anchor="SENTENCIA_2012_44" w:history="1">
        <w:r w:rsidRPr="00BA1B56">
          <w:rPr>
            <w:rStyle w:val="TextoNormalCaracter"/>
          </w:rPr>
          <w:t>44/2012</w:t>
        </w:r>
      </w:hyperlink>
      <w:r w:rsidRPr="00BA1B56">
        <w:rPr>
          <w:rStyle w:val="TextoNormalCaracter"/>
        </w:rPr>
        <w:t xml:space="preserve">, ff. 2 a 7; </w:t>
      </w:r>
      <w:hyperlink w:anchor="SENTENCIA_2012_45" w:history="1">
        <w:r w:rsidRPr="00BA1B56">
          <w:rPr>
            <w:rStyle w:val="TextoNormalCaracter"/>
          </w:rPr>
          <w:t>45/2012</w:t>
        </w:r>
      </w:hyperlink>
      <w:r w:rsidRPr="00BA1B56">
        <w:rPr>
          <w:rStyle w:val="TextoNormalCaracter"/>
        </w:rPr>
        <w:t xml:space="preserve">, ff. 2 a 6; </w:t>
      </w:r>
      <w:hyperlink w:anchor="SENTENCIA_2012_46" w:history="1">
        <w:r w:rsidRPr="00BA1B56">
          <w:rPr>
            <w:rStyle w:val="TextoNormalCaracter"/>
          </w:rPr>
          <w:t>46/2012</w:t>
        </w:r>
      </w:hyperlink>
      <w:r w:rsidRPr="00BA1B56">
        <w:rPr>
          <w:rStyle w:val="TextoNormalCaracter"/>
        </w:rPr>
        <w:t xml:space="preserve">, ff. 2, 6, 7; </w:t>
      </w:r>
      <w:hyperlink w:anchor="SENTENCIA_2012_47" w:history="1">
        <w:r w:rsidRPr="00BA1B56">
          <w:rPr>
            <w:rStyle w:val="TextoNormalCaracter"/>
          </w:rPr>
          <w:t>47/2012</w:t>
        </w:r>
      </w:hyperlink>
      <w:r w:rsidRPr="00BA1B56">
        <w:rPr>
          <w:rStyle w:val="TextoNormalCaracter"/>
        </w:rPr>
        <w:t xml:space="preserve">, ff. 2 a 6; </w:t>
      </w:r>
      <w:hyperlink w:anchor="SENTENCIA_2012_48" w:history="1">
        <w:r w:rsidRPr="00BA1B56">
          <w:rPr>
            <w:rStyle w:val="TextoNormalCaracter"/>
          </w:rPr>
          <w:t>48/2012</w:t>
        </w:r>
      </w:hyperlink>
      <w:r w:rsidRPr="00BA1B56">
        <w:rPr>
          <w:rStyle w:val="TextoNormalCaracter"/>
        </w:rPr>
        <w:t xml:space="preserve">, ff. 2 a 7; </w:t>
      </w:r>
      <w:hyperlink w:anchor="SENTENCIA_2012_49" w:history="1">
        <w:r w:rsidRPr="00BA1B56">
          <w:rPr>
            <w:rStyle w:val="TextoNormalCaracter"/>
          </w:rPr>
          <w:t>49/2012</w:t>
        </w:r>
      </w:hyperlink>
      <w:r w:rsidRPr="00BA1B56">
        <w:rPr>
          <w:rStyle w:val="TextoNormalCaracter"/>
        </w:rPr>
        <w:t xml:space="preserve">, ff. 2 a 7; </w:t>
      </w:r>
      <w:hyperlink w:anchor="SENTENCIA_2012_50" w:history="1">
        <w:r w:rsidRPr="00BA1B56">
          <w:rPr>
            <w:rStyle w:val="TextoNormalCaracter"/>
          </w:rPr>
          <w:t>50/2012</w:t>
        </w:r>
      </w:hyperlink>
      <w:r w:rsidRPr="00BA1B56">
        <w:rPr>
          <w:rStyle w:val="TextoNormalCaracter"/>
        </w:rPr>
        <w:t xml:space="preserve">, ff. 2 a 6; </w:t>
      </w:r>
      <w:hyperlink w:anchor="SENTENCIA_2012_51" w:history="1">
        <w:r w:rsidRPr="00BA1B56">
          <w:rPr>
            <w:rStyle w:val="TextoNormalCaracter"/>
          </w:rPr>
          <w:t>51/2012</w:t>
        </w:r>
      </w:hyperlink>
      <w:r w:rsidRPr="00BA1B56">
        <w:rPr>
          <w:rStyle w:val="TextoNormalCaracter"/>
        </w:rPr>
        <w:t xml:space="preserve">, ff. 3, 5, 6; </w:t>
      </w:r>
      <w:hyperlink w:anchor="SENTENCIA_2012_52" w:history="1">
        <w:r w:rsidRPr="00BA1B56">
          <w:rPr>
            <w:rStyle w:val="TextoNormalCaracter"/>
          </w:rPr>
          <w:t>52/2012</w:t>
        </w:r>
      </w:hyperlink>
      <w:r w:rsidRPr="00BA1B56">
        <w:rPr>
          <w:rStyle w:val="TextoNormalCaracter"/>
        </w:rPr>
        <w:t xml:space="preserve">, ff. 2, 4, 5; </w:t>
      </w:r>
      <w:hyperlink w:anchor="SENTENCIA_2012_53" w:history="1">
        <w:r w:rsidRPr="00BA1B56">
          <w:rPr>
            <w:rStyle w:val="TextoNormalCaracter"/>
          </w:rPr>
          <w:t>53/2012</w:t>
        </w:r>
      </w:hyperlink>
      <w:r w:rsidRPr="00BA1B56">
        <w:rPr>
          <w:rStyle w:val="TextoNormalCaracter"/>
        </w:rPr>
        <w:t xml:space="preserve">, ff. 3 a 7; </w:t>
      </w:r>
      <w:hyperlink w:anchor="SENTENCIA_2012_54" w:history="1">
        <w:r w:rsidRPr="00BA1B56">
          <w:rPr>
            <w:rStyle w:val="TextoNormalCaracter"/>
          </w:rPr>
          <w:t>54/2012</w:t>
        </w:r>
      </w:hyperlink>
      <w:r w:rsidRPr="00BA1B56">
        <w:rPr>
          <w:rStyle w:val="TextoNormalCaracter"/>
        </w:rPr>
        <w:t xml:space="preserve">, ff. 2 a 4, 6, 8; </w:t>
      </w:r>
      <w:hyperlink w:anchor="SENTENCIA_2012_55" w:history="1">
        <w:r w:rsidRPr="00BA1B56">
          <w:rPr>
            <w:rStyle w:val="TextoNormalCaracter"/>
          </w:rPr>
          <w:t>55/2012</w:t>
        </w:r>
      </w:hyperlink>
      <w:r w:rsidRPr="00BA1B56">
        <w:rPr>
          <w:rStyle w:val="TextoNormalCaracter"/>
        </w:rPr>
        <w:t xml:space="preserve">, ff. 3 a 8; </w:t>
      </w:r>
      <w:hyperlink w:anchor="SENTENCIA_2012_56" w:history="1">
        <w:r w:rsidRPr="00BA1B56">
          <w:rPr>
            <w:rStyle w:val="TextoNormalCaracter"/>
          </w:rPr>
          <w:t>56/2012</w:t>
        </w:r>
      </w:hyperlink>
      <w:r w:rsidRPr="00BA1B56">
        <w:rPr>
          <w:rStyle w:val="TextoNormalCaracter"/>
        </w:rPr>
        <w:t xml:space="preserve">, ff. 2, 3, 5; </w:t>
      </w:r>
      <w:hyperlink w:anchor="SENTENCIA_2012_57" w:history="1">
        <w:r w:rsidRPr="00BA1B56">
          <w:rPr>
            <w:rStyle w:val="TextoNormalCaracter"/>
          </w:rPr>
          <w:t>57/2012</w:t>
        </w:r>
      </w:hyperlink>
      <w:r w:rsidRPr="00BA1B56">
        <w:rPr>
          <w:rStyle w:val="TextoNormalCaracter"/>
        </w:rPr>
        <w:t xml:space="preserve">, ff. 3, 4, 7, 8; </w:t>
      </w:r>
      <w:hyperlink w:anchor="SENTENCIA_2012_59" w:history="1">
        <w:r w:rsidRPr="00BA1B56">
          <w:rPr>
            <w:rStyle w:val="TextoNormalCaracter"/>
          </w:rPr>
          <w:t>59/2012</w:t>
        </w:r>
      </w:hyperlink>
      <w:r w:rsidRPr="00BA1B56">
        <w:rPr>
          <w:rStyle w:val="TextoNormalCaracter"/>
        </w:rPr>
        <w:t xml:space="preserve">, ff. 2, 3, 5; </w:t>
      </w:r>
      <w:hyperlink w:anchor="SENTENCIA_2012_61" w:history="1">
        <w:r w:rsidRPr="00BA1B56">
          <w:rPr>
            <w:rStyle w:val="TextoNormalCaracter"/>
          </w:rPr>
          <w:t>61/2012</w:t>
        </w:r>
      </w:hyperlink>
      <w:r w:rsidRPr="00BA1B56">
        <w:rPr>
          <w:rStyle w:val="TextoNormalCaracter"/>
        </w:rPr>
        <w:t xml:space="preserve">, ff. 3, 4; </w:t>
      </w:r>
      <w:hyperlink w:anchor="SENTENCIA_2012_64" w:history="1">
        <w:r w:rsidRPr="00BA1B56">
          <w:rPr>
            <w:rStyle w:val="TextoNormalCaracter"/>
          </w:rPr>
          <w:t>64/2012</w:t>
        </w:r>
      </w:hyperlink>
      <w:r w:rsidRPr="00BA1B56">
        <w:rPr>
          <w:rStyle w:val="TextoNormalCaracter"/>
        </w:rPr>
        <w:t xml:space="preserve">, ff. 3, 4, 6 a 8; </w:t>
      </w:r>
      <w:hyperlink w:anchor="SENTENCIA_2012_65" w:history="1">
        <w:r w:rsidRPr="00BA1B56">
          <w:rPr>
            <w:rStyle w:val="TextoNormalCaracter"/>
          </w:rPr>
          <w:t>65/2012</w:t>
        </w:r>
      </w:hyperlink>
      <w:r w:rsidRPr="00BA1B56">
        <w:rPr>
          <w:rStyle w:val="TextoNormalCaracter"/>
        </w:rPr>
        <w:t xml:space="preserve">, ff. 4, 5, 7 a 9; </w:t>
      </w:r>
      <w:hyperlink w:anchor="SENTENCIA_2012_66" w:history="1">
        <w:r w:rsidRPr="00BA1B56">
          <w:rPr>
            <w:rStyle w:val="TextoNormalCaracter"/>
          </w:rPr>
          <w:t>66/2012</w:t>
        </w:r>
      </w:hyperlink>
      <w:r w:rsidRPr="00BA1B56">
        <w:rPr>
          <w:rStyle w:val="TextoNormalCaracter"/>
        </w:rPr>
        <w:t xml:space="preserve">, ff. 2 a 6; </w:t>
      </w:r>
      <w:hyperlink w:anchor="SENTENCIA_2012_67" w:history="1">
        <w:r w:rsidRPr="00BA1B56">
          <w:rPr>
            <w:rStyle w:val="TextoNormalCaracter"/>
          </w:rPr>
          <w:t>67/2012</w:t>
        </w:r>
      </w:hyperlink>
      <w:r w:rsidRPr="00BA1B56">
        <w:rPr>
          <w:rStyle w:val="TextoNormalCaracter"/>
        </w:rPr>
        <w:t xml:space="preserve">, ff. 3, 4, 6 a 8; </w:t>
      </w:r>
      <w:hyperlink w:anchor="SENTENCIA_2012_68" w:history="1">
        <w:r w:rsidRPr="00BA1B56">
          <w:rPr>
            <w:rStyle w:val="TextoNormalCaracter"/>
          </w:rPr>
          <w:t>68/2012</w:t>
        </w:r>
      </w:hyperlink>
      <w:r w:rsidRPr="00BA1B56">
        <w:rPr>
          <w:rStyle w:val="TextoNormalCaracter"/>
        </w:rPr>
        <w:t xml:space="preserve">, ff. 2 a 5; </w:t>
      </w:r>
      <w:hyperlink w:anchor="SENTENCIA_2012_69" w:history="1">
        <w:r w:rsidRPr="00BA1B56">
          <w:rPr>
            <w:rStyle w:val="TextoNormalCaracter"/>
          </w:rPr>
          <w:t>69/2012</w:t>
        </w:r>
      </w:hyperlink>
      <w:r w:rsidRPr="00BA1B56">
        <w:rPr>
          <w:rStyle w:val="TextoNormalCaracter"/>
        </w:rPr>
        <w:t xml:space="preserve">, ff. 4, 5, 7 a 9; </w:t>
      </w:r>
      <w:hyperlink w:anchor="SENTENCIA_2012_108" w:history="1">
        <w:r w:rsidRPr="00BA1B56">
          <w:rPr>
            <w:rStyle w:val="TextoNormalCaracter"/>
          </w:rPr>
          <w:t>108/2012</w:t>
        </w:r>
      </w:hyperlink>
      <w:r w:rsidRPr="00BA1B56">
        <w:rPr>
          <w:rStyle w:val="TextoNormalCaracter"/>
        </w:rPr>
        <w:t xml:space="preserve">, ff. 2 a 4, 6; </w:t>
      </w:r>
      <w:hyperlink w:anchor="SENTENCIA_2012_113" w:history="1">
        <w:r w:rsidRPr="00BA1B56">
          <w:rPr>
            <w:rStyle w:val="TextoNormalCaracter"/>
          </w:rPr>
          <w:t>113/2012</w:t>
        </w:r>
      </w:hyperlink>
      <w:r w:rsidRPr="00BA1B56">
        <w:rPr>
          <w:rStyle w:val="TextoNormalCaracter"/>
        </w:rPr>
        <w:t xml:space="preserve">, ff. 7, 8, 11, 12; </w:t>
      </w:r>
      <w:hyperlink w:anchor="SENTENCIA_2012_114" w:history="1">
        <w:r w:rsidRPr="00BA1B56">
          <w:rPr>
            <w:rStyle w:val="TextoNormalCaracter"/>
          </w:rPr>
          <w:t>114/2012</w:t>
        </w:r>
      </w:hyperlink>
      <w:r w:rsidRPr="00BA1B56">
        <w:rPr>
          <w:rStyle w:val="TextoNormalCaracter"/>
        </w:rPr>
        <w:t>, ff. 3, 4, 6, 7.</w:t>
      </w:r>
    </w:p>
    <w:p w:rsidR="00BA1B56" w:rsidRPr="00BA1B56" w:rsidRDefault="00BA1B56" w:rsidP="00BA1B56">
      <w:pPr>
        <w:pStyle w:val="TextoNormalSangraFrancesa"/>
        <w:rPr>
          <w:rStyle w:val="TextoNormalCaracter"/>
        </w:rPr>
      </w:pPr>
      <w:bookmarkStart w:id="1486" w:name="DESCRIPTORALFABETICO129"/>
      <w:r w:rsidRPr="00BA1B56">
        <w:rPr>
          <w:rStyle w:val="TextoNormalNegritaCaracter"/>
        </w:rPr>
        <w:t>Cómputo de votos</w:t>
      </w:r>
      <w:bookmarkEnd w:id="1486"/>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12, 14, 18, 20.</w:t>
      </w:r>
    </w:p>
    <w:p w:rsidR="00BA1B56" w:rsidRPr="00BA1B56" w:rsidRDefault="00BA1B56" w:rsidP="00BA1B56">
      <w:pPr>
        <w:pStyle w:val="TextoNormalSangraFrancesa"/>
        <w:rPr>
          <w:rStyle w:val="TextoNormalCaracter"/>
        </w:rPr>
      </w:pPr>
      <w:bookmarkStart w:id="1487" w:name="DESCRIPTORALFABETICO310"/>
      <w:r w:rsidRPr="00BA1B56">
        <w:rPr>
          <w:rStyle w:val="TextoNormalNegritaCaracter"/>
        </w:rPr>
        <w:t>Comunicación de la existencia de motivos distintos de los alegados</w:t>
      </w:r>
      <w:bookmarkEnd w:id="1487"/>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 2.</w:t>
      </w:r>
    </w:p>
    <w:p w:rsidR="00BA1B56" w:rsidRPr="00BA1B56" w:rsidRDefault="00BA1B56" w:rsidP="00BA1B56">
      <w:pPr>
        <w:pStyle w:val="TextoNormalSangraFrancesa"/>
        <w:rPr>
          <w:rStyle w:val="TextoNormalCaracter"/>
        </w:rPr>
      </w:pPr>
      <w:bookmarkStart w:id="1488" w:name="DESCRIPTORALFABETICO788"/>
      <w:r w:rsidRPr="00BA1B56">
        <w:rPr>
          <w:rStyle w:val="TextoNormalNegritaCaracter"/>
        </w:rPr>
        <w:t>Comunicaciones de los reclusos</w:t>
      </w:r>
      <w:bookmarkEnd w:id="1488"/>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5.</w:t>
      </w:r>
    </w:p>
    <w:p w:rsidR="00BA1B56" w:rsidRPr="00BA1B56" w:rsidRDefault="00BA1B56" w:rsidP="00BA1B56">
      <w:pPr>
        <w:pStyle w:val="TextoNormalSangraFrancesa"/>
        <w:rPr>
          <w:rStyle w:val="TextoNormalCaracter"/>
        </w:rPr>
      </w:pPr>
      <w:bookmarkStart w:id="1489" w:name="DESCRIPTORALFABETICO1000"/>
      <w:r w:rsidRPr="00BA1B56">
        <w:rPr>
          <w:rStyle w:val="TextoNormalNegritaCaracter"/>
        </w:rPr>
        <w:t>Comunidad de Madrid</w:t>
      </w:r>
      <w:bookmarkEnd w:id="1489"/>
      <w:r w:rsidRPr="00BA1B56">
        <w:rPr>
          <w:rStyle w:val="TextoNormalCaracter"/>
        </w:rPr>
        <w:t xml:space="preserve">, Sentencias </w:t>
      </w:r>
      <w:hyperlink w:anchor="SENTENCIA_2012_22" w:history="1">
        <w:r w:rsidRPr="00BA1B56">
          <w:rPr>
            <w:rStyle w:val="TextoNormalCaracter"/>
          </w:rPr>
          <w:t>22/2012</w:t>
        </w:r>
      </w:hyperlink>
      <w:r w:rsidRPr="00BA1B56">
        <w:rPr>
          <w:rStyle w:val="TextoNormalCaracter"/>
        </w:rPr>
        <w:t xml:space="preserve">, ff. 2 a 9; </w:t>
      </w:r>
      <w:hyperlink w:anchor="SENTENCIA_2012_71" w:history="1">
        <w:r w:rsidRPr="00BA1B56">
          <w:rPr>
            <w:rStyle w:val="TextoNormalCaracter"/>
          </w:rPr>
          <w:t>71/2012</w:t>
        </w:r>
      </w:hyperlink>
      <w:r w:rsidRPr="00BA1B56">
        <w:rPr>
          <w:rStyle w:val="TextoNormalCaracter"/>
        </w:rPr>
        <w:t xml:space="preserve">, ff. 3, 5, VP; </w:t>
      </w:r>
      <w:hyperlink w:anchor="SENTENCIA_2012_73" w:history="1">
        <w:r w:rsidRPr="00BA1B56">
          <w:rPr>
            <w:rStyle w:val="TextoNormalCaracter"/>
          </w:rPr>
          <w:t>73/2012</w:t>
        </w:r>
      </w:hyperlink>
      <w:r w:rsidRPr="00BA1B56">
        <w:rPr>
          <w:rStyle w:val="TextoNormalCaracter"/>
        </w:rPr>
        <w:t xml:space="preserve">, ff. 3, 6; </w:t>
      </w:r>
      <w:hyperlink w:anchor="SENTENCIA_2012_88" w:history="1">
        <w:r w:rsidRPr="00BA1B56">
          <w:rPr>
            <w:rStyle w:val="TextoNormalCaracter"/>
          </w:rPr>
          <w:t>88/2012</w:t>
        </w:r>
      </w:hyperlink>
      <w:r w:rsidRPr="00BA1B56">
        <w:rPr>
          <w:rStyle w:val="TextoNormalCaracter"/>
        </w:rPr>
        <w:t xml:space="preserve">, f. 5; </w:t>
      </w:r>
      <w:hyperlink w:anchor="SENTENCIA_2012_112" w:history="1">
        <w:r w:rsidRPr="00BA1B56">
          <w:rPr>
            <w:rStyle w:val="TextoNormalCaracter"/>
          </w:rPr>
          <w:t>112/2012</w:t>
        </w:r>
      </w:hyperlink>
      <w:r w:rsidRPr="00BA1B56">
        <w:rPr>
          <w:rStyle w:val="TextoNormalCaracter"/>
        </w:rPr>
        <w:t xml:space="preserve">, ff. 3 a 5; </w:t>
      </w:r>
      <w:hyperlink w:anchor="SENTENCIA_2012_124" w:history="1">
        <w:r w:rsidRPr="00BA1B56">
          <w:rPr>
            <w:rStyle w:val="TextoNormalCaracter"/>
          </w:rPr>
          <w:t>124/2012</w:t>
        </w:r>
      </w:hyperlink>
      <w:r w:rsidRPr="00BA1B56">
        <w:rPr>
          <w:rStyle w:val="TextoNormalCaracter"/>
        </w:rPr>
        <w:t xml:space="preserve">, ff. 3, 4; </w:t>
      </w:r>
      <w:hyperlink w:anchor="SENTENCIA_2012_135" w:history="1">
        <w:r w:rsidRPr="00BA1B56">
          <w:rPr>
            <w:rStyle w:val="TextoNormalCaracter"/>
          </w:rPr>
          <w:t>135/2012</w:t>
        </w:r>
      </w:hyperlink>
      <w:r w:rsidRPr="00BA1B56">
        <w:rPr>
          <w:rStyle w:val="TextoNormalCaracter"/>
        </w:rPr>
        <w:t>, ff. 2, 4 a 6.</w:t>
      </w:r>
    </w:p>
    <w:p w:rsidR="00BA1B56" w:rsidRPr="00BA1B56" w:rsidRDefault="00BA1B56" w:rsidP="00BA1B56">
      <w:pPr>
        <w:pStyle w:val="TextoNormalSangraFrancesa"/>
        <w:rPr>
          <w:rStyle w:val="TextoNormalCaracter"/>
        </w:rPr>
      </w:pPr>
      <w:bookmarkStart w:id="1490" w:name="DESCRIPTORALFABETICO1001"/>
      <w:r w:rsidRPr="00BA1B56">
        <w:rPr>
          <w:rStyle w:val="TextoNormalNegritaCaracter"/>
        </w:rPr>
        <w:t>Comunidad Valenciana</w:t>
      </w:r>
      <w:bookmarkEnd w:id="1490"/>
      <w:r w:rsidRPr="00BA1B56">
        <w:rPr>
          <w:rStyle w:val="TextoNormalCaracter"/>
        </w:rPr>
        <w:t xml:space="preserve">, Sentencias </w:t>
      </w:r>
      <w:hyperlink w:anchor="SENTENCIA_2012_18" w:history="1">
        <w:r w:rsidRPr="00BA1B56">
          <w:rPr>
            <w:rStyle w:val="TextoNormalCaracter"/>
          </w:rPr>
          <w:t>18/2012</w:t>
        </w:r>
      </w:hyperlink>
      <w:r w:rsidRPr="00BA1B56">
        <w:rPr>
          <w:rStyle w:val="TextoNormalCaracter"/>
        </w:rPr>
        <w:t xml:space="preserve">, f. 2; </w:t>
      </w:r>
      <w:hyperlink w:anchor="SENTENCIA_2012_72" w:history="1">
        <w:r w:rsidRPr="00BA1B56">
          <w:rPr>
            <w:rStyle w:val="TextoNormalCaracter"/>
          </w:rPr>
          <w:t>72/2012</w:t>
        </w:r>
      </w:hyperlink>
      <w:r w:rsidRPr="00BA1B56">
        <w:rPr>
          <w:rStyle w:val="TextoNormalCaracter"/>
        </w:rPr>
        <w:t xml:space="preserve">, f. 3; </w:t>
      </w:r>
      <w:hyperlink w:anchor="SENTENCIA_2012_77" w:history="1">
        <w:r w:rsidRPr="00BA1B56">
          <w:rPr>
            <w:rStyle w:val="TextoNormalCaracter"/>
          </w:rPr>
          <w:t>77/2012</w:t>
        </w:r>
      </w:hyperlink>
      <w:r w:rsidRPr="00BA1B56">
        <w:rPr>
          <w:rStyle w:val="TextoNormalCaracter"/>
        </w:rPr>
        <w:t xml:space="preserve">, f. 3; </w:t>
      </w:r>
      <w:hyperlink w:anchor="SENTENCIA_2012_136" w:history="1">
        <w:r w:rsidRPr="00BA1B56">
          <w:rPr>
            <w:rStyle w:val="TextoNormalCaracter"/>
          </w:rPr>
          <w:t>136/2012</w:t>
        </w:r>
      </w:hyperlink>
      <w:r w:rsidRPr="00BA1B56">
        <w:rPr>
          <w:rStyle w:val="TextoNormalCaracter"/>
        </w:rPr>
        <w:t>, ff. 1, 2, 6 a 8.</w:t>
      </w:r>
    </w:p>
    <w:p w:rsidR="00BA1B56" w:rsidRPr="00BA1B56" w:rsidRDefault="00BA1B56" w:rsidP="00BA1B56">
      <w:pPr>
        <w:pStyle w:val="TextoNormalSangraFrancesa"/>
        <w:rPr>
          <w:rStyle w:val="TextoNormalCaracter"/>
        </w:rPr>
      </w:pPr>
      <w:bookmarkStart w:id="1491" w:name="DESCRIPTORALFABETICO506"/>
      <w:r w:rsidRPr="00BA1B56">
        <w:rPr>
          <w:rStyle w:val="TextoNormalNegritaCaracter"/>
        </w:rPr>
        <w:t>Comunidades Autónomas</w:t>
      </w:r>
      <w:bookmarkEnd w:id="1491"/>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 7; </w:t>
      </w:r>
      <w:hyperlink w:anchor="SENTENCIA_2012_123" w:history="1">
        <w:r w:rsidRPr="00BA1B56">
          <w:rPr>
            <w:rStyle w:val="TextoNormalCaracter"/>
          </w:rPr>
          <w:t>123/2012</w:t>
        </w:r>
      </w:hyperlink>
      <w:r w:rsidRPr="00BA1B56">
        <w:rPr>
          <w:rStyle w:val="TextoNormalCaracter"/>
        </w:rPr>
        <w:t xml:space="preserve">, f. 7; </w:t>
      </w:r>
      <w:hyperlink w:anchor="SENTENCIA_2012_133" w:history="1">
        <w:r w:rsidRPr="00BA1B56">
          <w:rPr>
            <w:rStyle w:val="TextoNormalCaracter"/>
          </w:rPr>
          <w:t>133/2012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92" w:name="DESCRIPTORALFABETICO516"/>
      <w:r w:rsidRPr="00BA1B56">
        <w:rPr>
          <w:rStyle w:val="TextoNormalNegritaCaracter"/>
        </w:rPr>
        <w:t>Concejales</w:t>
      </w:r>
      <w:bookmarkEnd w:id="1492"/>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ff. 2, 4; </w:t>
      </w:r>
      <w:hyperlink w:anchor="SENTENCIA_2012_30" w:history="1">
        <w:r w:rsidRPr="00BA1B56">
          <w:rPr>
            <w:rStyle w:val="TextoNormalCaracter"/>
          </w:rPr>
          <w:t>30/2012</w:t>
        </w:r>
      </w:hyperlink>
      <w:r w:rsidRPr="00BA1B56">
        <w:rPr>
          <w:rStyle w:val="TextoNormalCaracter"/>
        </w:rPr>
        <w:t xml:space="preserve">, f. 4; </w:t>
      </w:r>
      <w:hyperlink w:anchor="SENTENCIA_2012_81" w:history="1">
        <w:r w:rsidRPr="00BA1B56">
          <w:rPr>
            <w:rStyle w:val="TextoNormalCaracter"/>
          </w:rPr>
          <w:t>81/2012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93" w:name="DESCRIPTORALFABETICO517"/>
      <w:r w:rsidRPr="00BA1B56">
        <w:rPr>
          <w:rStyle w:val="TextoNormalNegritaCaracter"/>
        </w:rPr>
        <w:t>Concejales no adscritos</w:t>
      </w:r>
      <w:bookmarkEnd w:id="1493"/>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ff. 2, 4, VP I; </w:t>
      </w:r>
      <w:hyperlink w:anchor="SENTENCIA_2012_14" w:history="1">
        <w:r w:rsidRPr="00BA1B56">
          <w:rPr>
            <w:rStyle w:val="TextoNormalCaracter"/>
          </w:rPr>
          <w:t>14/2012</w:t>
        </w:r>
      </w:hyperlink>
      <w:r w:rsidRPr="00BA1B56">
        <w:rPr>
          <w:rStyle w:val="TextoNormalCaracter"/>
        </w:rPr>
        <w:t xml:space="preserve">, f. 2; </w:t>
      </w:r>
      <w:hyperlink w:anchor="SENTENCIA_2012_30" w:history="1">
        <w:r w:rsidRPr="00BA1B56">
          <w:rPr>
            <w:rStyle w:val="TextoNormalCaracter"/>
          </w:rPr>
          <w:t>30/2012</w:t>
        </w:r>
      </w:hyperlink>
      <w:r w:rsidRPr="00BA1B56">
        <w:rPr>
          <w:rStyle w:val="TextoNormalCaracter"/>
        </w:rPr>
        <w:t xml:space="preserve">, f. 4; </w:t>
      </w:r>
      <w:hyperlink w:anchor="SENTENCIA_2012_117" w:history="1">
        <w:r w:rsidRPr="00BA1B56">
          <w:rPr>
            <w:rStyle w:val="TextoNormalCaracter"/>
          </w:rPr>
          <w:t>117/2012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494" w:name="DESCRIPTORALFABETICO701"/>
      <w:r w:rsidRPr="00BA1B56">
        <w:rPr>
          <w:rStyle w:val="TextoNormalNegritaCaracter"/>
        </w:rPr>
        <w:t>Concepto de normas básicas</w:t>
      </w:r>
      <w:bookmarkEnd w:id="1494"/>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1495" w:name="DESCRIPTORALFABETICO787"/>
      <w:r w:rsidRPr="00BA1B56">
        <w:rPr>
          <w:rStyle w:val="TextoNormalNegritaCaracter"/>
        </w:rPr>
        <w:t>Concesión condicionada de beneficios penitenciarios</w:t>
      </w:r>
      <w:bookmarkEnd w:id="1495"/>
      <w:r w:rsidRPr="00BA1B56">
        <w:rPr>
          <w:rStyle w:val="TextoNormalCaracter"/>
        </w:rPr>
        <w:t xml:space="preserve">, Sentencia </w:t>
      </w:r>
      <w:hyperlink w:anchor="SENTENCIA_2012_62" w:history="1">
        <w:r w:rsidRPr="00BA1B56">
          <w:rPr>
            <w:rStyle w:val="TextoNormalCaracter"/>
          </w:rPr>
          <w:t>62/2012</w:t>
        </w:r>
      </w:hyperlink>
      <w:r w:rsidRPr="00BA1B56">
        <w:rPr>
          <w:rStyle w:val="TextoNormalCaracter"/>
        </w:rPr>
        <w:t>, f. 3.</w:t>
      </w:r>
    </w:p>
    <w:p w:rsidR="00BA1B56" w:rsidRPr="00BA1B56" w:rsidRDefault="00BA1B56" w:rsidP="00BA1B56">
      <w:pPr>
        <w:pStyle w:val="TextoNormalSangraFrancesa"/>
        <w:rPr>
          <w:rStyle w:val="TextoNormalCaracter"/>
        </w:rPr>
      </w:pPr>
      <w:bookmarkStart w:id="1496" w:name="DESCRIPTORALFABETICO525"/>
      <w:r w:rsidRPr="00BA1B56">
        <w:rPr>
          <w:rStyle w:val="TextoNormalNegritaCaracter"/>
        </w:rPr>
        <w:t>Concesión preferente de autorizaciones administrativas</w:t>
      </w:r>
      <w:bookmarkEnd w:id="1496"/>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ff. 3 a 5.</w:t>
      </w:r>
    </w:p>
    <w:p w:rsidR="00BA1B56" w:rsidRPr="00BA1B56" w:rsidRDefault="00BA1B56" w:rsidP="00BA1B56">
      <w:pPr>
        <w:pStyle w:val="TextoNormalSangraFrancesa"/>
        <w:rPr>
          <w:rStyle w:val="TextoNormalCaracter"/>
        </w:rPr>
      </w:pPr>
      <w:bookmarkStart w:id="1497" w:name="DESCRIPTORALFABETICO526"/>
      <w:r w:rsidRPr="00BA1B56">
        <w:rPr>
          <w:rStyle w:val="TextoNormalNegritaCaracter"/>
        </w:rPr>
        <w:t>Concesiones administrativas</w:t>
      </w:r>
      <w:bookmarkEnd w:id="1497"/>
      <w:r w:rsidRPr="00BA1B56">
        <w:rPr>
          <w:rStyle w:val="TextoNormalCaracter"/>
        </w:rPr>
        <w:t xml:space="preserve">, Sentencia </w:t>
      </w:r>
      <w:hyperlink w:anchor="SENTENCIA_2012_5" w:history="1">
        <w:r w:rsidRPr="00BA1B56">
          <w:rPr>
            <w:rStyle w:val="TextoNormalCaracter"/>
          </w:rPr>
          <w:t>5/2012</w:t>
        </w:r>
      </w:hyperlink>
      <w:r w:rsidRPr="00BA1B56">
        <w:rPr>
          <w:rStyle w:val="TextoNormalCaracter"/>
        </w:rPr>
        <w:t>, ff. 3 a 6.</w:t>
      </w:r>
    </w:p>
    <w:p w:rsidR="00BA1B56" w:rsidRPr="00BA1B56" w:rsidRDefault="00BA1B56" w:rsidP="00BA1B56">
      <w:pPr>
        <w:pStyle w:val="TextoNormalSangraFrancesa"/>
        <w:rPr>
          <w:rStyle w:val="TextoNormalCaracter"/>
        </w:rPr>
      </w:pPr>
      <w:bookmarkStart w:id="1498" w:name="DESCRIPTORALFABETICO14"/>
      <w:r w:rsidRPr="00BA1B56">
        <w:rPr>
          <w:rStyle w:val="TextoNormalNegritaCaracter"/>
        </w:rPr>
        <w:t>Concurrencia de competencias sobre el mismo espacio físico</w:t>
      </w:r>
      <w:bookmarkEnd w:id="1498"/>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ff. 3 a 6, 8, VP II; </w:t>
      </w:r>
      <w:hyperlink w:anchor="SENTENCIA_2012_8" w:history="1">
        <w:r w:rsidRPr="00BA1B56">
          <w:rPr>
            <w:rStyle w:val="TextoNormalCaracter"/>
          </w:rPr>
          <w:t>8/2012</w:t>
        </w:r>
      </w:hyperlink>
      <w:r w:rsidRPr="00BA1B56">
        <w:rPr>
          <w:rStyle w:val="TextoNormalCaracter"/>
        </w:rPr>
        <w:t xml:space="preserve">, ff. 3, 8; </w:t>
      </w:r>
      <w:hyperlink w:anchor="SENTENCIA_2012_82" w:history="1">
        <w:r w:rsidRPr="00BA1B56">
          <w:rPr>
            <w:rStyle w:val="TextoNormalCaracter"/>
          </w:rPr>
          <w:t>82/2012</w:t>
        </w:r>
      </w:hyperlink>
      <w:r w:rsidRPr="00BA1B56">
        <w:rPr>
          <w:rStyle w:val="TextoNormalCaracter"/>
        </w:rPr>
        <w:t xml:space="preserve">, ff. 3, 4; </w:t>
      </w:r>
      <w:hyperlink w:anchor="SENTENCIA_2012_112" w:history="1">
        <w:r w:rsidRPr="00BA1B56">
          <w:rPr>
            <w:rStyle w:val="TextoNormalCaracter"/>
          </w:rPr>
          <w:t>112/2012</w:t>
        </w:r>
      </w:hyperlink>
      <w:r w:rsidRPr="00BA1B56">
        <w:rPr>
          <w:rStyle w:val="TextoNormalCaracter"/>
        </w:rPr>
        <w:t xml:space="preserve">, f. 4; </w:t>
      </w:r>
      <w:hyperlink w:anchor="SENTENCIA_2012_124" w:history="1">
        <w:r w:rsidRPr="00BA1B56">
          <w:rPr>
            <w:rStyle w:val="TextoNormalCaracter"/>
          </w:rPr>
          <w:t>124/2012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499" w:name="DESCRIPTORALFABETICO22"/>
      <w:r w:rsidRPr="00BA1B56">
        <w:rPr>
          <w:rStyle w:val="TextoNormalNegritaCaracter"/>
        </w:rPr>
        <w:t>Concurrencia de títulos competenciales</w:t>
      </w:r>
      <w:bookmarkEnd w:id="1499"/>
      <w:r w:rsidRPr="00BA1B56">
        <w:rPr>
          <w:rStyle w:val="TextoNormalCaracter"/>
        </w:rPr>
        <w:t xml:space="preserve">, Sentencias </w:t>
      </w:r>
      <w:hyperlink w:anchor="SENTENCIA_2012_8" w:history="1">
        <w:r w:rsidRPr="00BA1B56">
          <w:rPr>
            <w:rStyle w:val="TextoNormalCaracter"/>
          </w:rPr>
          <w:t>8/2012</w:t>
        </w:r>
      </w:hyperlink>
      <w:r w:rsidRPr="00BA1B56">
        <w:rPr>
          <w:rStyle w:val="TextoNormalCaracter"/>
        </w:rPr>
        <w:t xml:space="preserve">, f. 3; </w:t>
      </w:r>
      <w:hyperlink w:anchor="SENTENCIA_2012_36" w:history="1">
        <w:r w:rsidRPr="00BA1B56">
          <w:rPr>
            <w:rStyle w:val="TextoNormalCaracter"/>
          </w:rPr>
          <w:t>36/2012</w:t>
        </w:r>
      </w:hyperlink>
      <w:r w:rsidRPr="00BA1B56">
        <w:rPr>
          <w:rStyle w:val="TextoNormalCaracter"/>
        </w:rPr>
        <w:t xml:space="preserve">, f. 7; </w:t>
      </w:r>
      <w:hyperlink w:anchor="SENTENCIA_2012_80" w:history="1">
        <w:r w:rsidRPr="00BA1B56">
          <w:rPr>
            <w:rStyle w:val="TextoNormalCaracter"/>
          </w:rPr>
          <w:t>80/2012</w:t>
        </w:r>
      </w:hyperlink>
      <w:r w:rsidRPr="00BA1B56">
        <w:rPr>
          <w:rStyle w:val="TextoNormalCaracter"/>
        </w:rPr>
        <w:t xml:space="preserve">, ff. 5, 7; </w:t>
      </w:r>
      <w:hyperlink w:anchor="SENTENCIA_2012_89" w:history="1">
        <w:r w:rsidRPr="00BA1B56">
          <w:rPr>
            <w:rStyle w:val="TextoNormalCaracter"/>
          </w:rPr>
          <w:t>89/2012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00" w:name="DESCRIPTORALFABETICO564"/>
      <w:r w:rsidRPr="00BA1B56">
        <w:rPr>
          <w:rStyle w:val="TextoNormalNegritaCaracter"/>
        </w:rPr>
        <w:t>Concurso restringido</w:t>
      </w:r>
      <w:bookmarkEnd w:id="1500"/>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ff. 5, 8.</w:t>
      </w:r>
    </w:p>
    <w:p w:rsidR="00BA1B56" w:rsidRPr="00BA1B56" w:rsidRDefault="00BA1B56" w:rsidP="00BA1B56">
      <w:pPr>
        <w:pStyle w:val="TextoNormalSangraFrancesa"/>
        <w:rPr>
          <w:rStyle w:val="TextoNormalCaracter"/>
        </w:rPr>
      </w:pPr>
      <w:bookmarkStart w:id="1501" w:name="DESCRIPTORALFABETICO641"/>
      <w:r w:rsidRPr="00BA1B56">
        <w:rPr>
          <w:rStyle w:val="TextoNormalNegritaCaracter"/>
        </w:rPr>
        <w:t>Concurso-oposición</w:t>
      </w:r>
      <w:bookmarkEnd w:id="1501"/>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ff. 4 a 10.</w:t>
      </w:r>
    </w:p>
    <w:p w:rsidR="00BA1B56" w:rsidRPr="00BA1B56" w:rsidRDefault="00BA1B56" w:rsidP="00BA1B56">
      <w:pPr>
        <w:pStyle w:val="TextoNormalSangraFrancesa"/>
        <w:rPr>
          <w:rStyle w:val="TextoNormalCaracter"/>
        </w:rPr>
      </w:pPr>
      <w:bookmarkStart w:id="1502" w:name="DESCRIPTORALFABETICO651"/>
      <w:r w:rsidRPr="00BA1B56">
        <w:rPr>
          <w:rStyle w:val="TextoNormalNegritaCaracter"/>
        </w:rPr>
        <w:lastRenderedPageBreak/>
        <w:t>Condena del terrorismo</w:t>
      </w:r>
      <w:bookmarkEnd w:id="1502"/>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7 a 11, 14, 15, VP I, VP II, VP III.</w:t>
      </w:r>
    </w:p>
    <w:p w:rsidR="00BA1B56" w:rsidRPr="00BA1B56" w:rsidRDefault="00BA1B56" w:rsidP="00BA1B56">
      <w:pPr>
        <w:pStyle w:val="TextoNormalSangraFrancesa"/>
        <w:rPr>
          <w:rStyle w:val="TextoNormalCaracter"/>
        </w:rPr>
      </w:pPr>
      <w:bookmarkStart w:id="1503" w:name="DESCRIPTORALFABETICO881"/>
      <w:r w:rsidRPr="00BA1B56">
        <w:rPr>
          <w:rStyle w:val="TextoNormalNegritaCaracter"/>
        </w:rPr>
        <w:t>Condena en costas procesales</w:t>
      </w:r>
      <w:bookmarkEnd w:id="1503"/>
      <w:r w:rsidRPr="00BA1B56">
        <w:rPr>
          <w:rStyle w:val="TextoNormalCaracter"/>
        </w:rPr>
        <w:t xml:space="preserve">, Auto </w:t>
      </w:r>
      <w:hyperlink w:anchor="AUTO_2012_65" w:history="1">
        <w:r w:rsidRPr="00BA1B56">
          <w:rPr>
            <w:rStyle w:val="TextoNormalCaracter"/>
          </w:rPr>
          <w:t>65/2012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04" w:name="DESCRIPTORALFABETICO357"/>
      <w:r w:rsidRPr="00BA1B56">
        <w:rPr>
          <w:rStyle w:val="TextoNormalNegritaCaracter"/>
        </w:rPr>
        <w:t>Condena en costas procesales en el recurso de amparo</w:t>
      </w:r>
      <w:bookmarkEnd w:id="1504"/>
      <w:r w:rsidRPr="00BA1B56">
        <w:rPr>
          <w:rStyle w:val="TextoNormalCaracter"/>
        </w:rPr>
        <w:t xml:space="preserve">, Auto </w:t>
      </w:r>
      <w:hyperlink w:anchor="AUTO_2012_16" w:history="1">
        <w:r w:rsidRPr="00BA1B56">
          <w:rPr>
            <w:rStyle w:val="TextoNormalCaracter"/>
          </w:rPr>
          <w:t>16/2012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05" w:name="DESCRIPTORALFABETICO980"/>
      <w:r w:rsidRPr="00BA1B56">
        <w:rPr>
          <w:rStyle w:val="TextoNormalNegritaCaracter"/>
        </w:rPr>
        <w:t>Condena penal en apelación</w:t>
      </w:r>
      <w:bookmarkEnd w:id="1505"/>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ff. 3, 4, 5.</w:t>
      </w:r>
    </w:p>
    <w:p w:rsidR="00BA1B56" w:rsidRPr="00BA1B56" w:rsidRDefault="00BA1B56" w:rsidP="00BA1B56">
      <w:pPr>
        <w:pStyle w:val="TextoNormalSangraFrancesa"/>
        <w:rPr>
          <w:rStyle w:val="TextoNormalCaracter"/>
        </w:rPr>
      </w:pPr>
      <w:bookmarkStart w:id="1506" w:name="DESCRIPTORALFABETICO981"/>
      <w:r w:rsidRPr="00BA1B56">
        <w:rPr>
          <w:rStyle w:val="TextoNormalNegritaCaracter"/>
        </w:rPr>
        <w:t>Condena penal en apelación sin vista pública</w:t>
      </w:r>
      <w:bookmarkEnd w:id="1506"/>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ff. 3 a 5.</w:t>
      </w:r>
    </w:p>
    <w:p w:rsidR="00BA1B56" w:rsidRPr="00BA1B56" w:rsidRDefault="00BA1B56" w:rsidP="00BA1B56">
      <w:pPr>
        <w:pStyle w:val="TextoNormalSangraFrancesa"/>
        <w:rPr>
          <w:rStyle w:val="TextoNormalCaracter"/>
        </w:rPr>
      </w:pPr>
      <w:bookmarkStart w:id="1507" w:name="DESCRIPTORALFABETICO442"/>
      <w:r w:rsidRPr="00BA1B56">
        <w:rPr>
          <w:rStyle w:val="TextoNormalNegritaCaracter"/>
        </w:rPr>
        <w:t>Conducción de detenidos</w:t>
      </w:r>
      <w:bookmarkEnd w:id="1507"/>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08" w:name="DESCRIPTORALFABETICO695"/>
      <w:r w:rsidRPr="00BA1B56">
        <w:rPr>
          <w:rStyle w:val="TextoNormalNegritaCaracter"/>
        </w:rPr>
        <w:t>Conexión de sentido entre la situación de urgencia y las medidas adoptadas</w:t>
      </w:r>
      <w:bookmarkEnd w:id="1508"/>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 12.</w:t>
      </w:r>
    </w:p>
    <w:p w:rsidR="00BA1B56" w:rsidRPr="00BA1B56" w:rsidRDefault="00BA1B56" w:rsidP="00BA1B56">
      <w:pPr>
        <w:pStyle w:val="TextoNormalSangraFrancesa"/>
        <w:rPr>
          <w:rStyle w:val="TextoNormalNegritaCaracter"/>
        </w:rPr>
      </w:pPr>
      <w:r w:rsidRPr="00BA1B56">
        <w:rPr>
          <w:rStyle w:val="TextoNormalCursivaCaracter"/>
        </w:rPr>
        <w:t>Confesión ante el Juez</w:t>
      </w:r>
      <w:r>
        <w:t xml:space="preserve"> véase </w:t>
      </w:r>
      <w:hyperlink w:anchor="DESCRIPTORALFABETICO971" w:history="1">
        <w:r w:rsidRPr="00BA1B56">
          <w:rPr>
            <w:rStyle w:val="TextoNormalNegritaCaracter"/>
          </w:rPr>
          <w:t>Declaración ante el Juez de instrucción</w:t>
        </w:r>
      </w:hyperlink>
    </w:p>
    <w:p w:rsidR="00BA1B56" w:rsidRPr="00BA1B56" w:rsidRDefault="00BA1B56" w:rsidP="00BA1B56">
      <w:pPr>
        <w:pStyle w:val="TextoNormalSangraFrancesa"/>
        <w:rPr>
          <w:rStyle w:val="TextoNormalCaracter"/>
        </w:rPr>
      </w:pPr>
      <w:bookmarkStart w:id="1509" w:name="DESCRIPTORALFABETICO318"/>
      <w:r w:rsidRPr="00BA1B56">
        <w:rPr>
          <w:rStyle w:val="TextoNormalNegritaCaracter"/>
        </w:rPr>
        <w:t>Conflictos en defensa de la autonomía local</w:t>
      </w:r>
      <w:bookmarkEnd w:id="1509"/>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2 a 9.</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 w:history="1">
        <w:r w:rsidRPr="00BA1B56">
          <w:rPr>
            <w:rStyle w:val="TextoNormalCaracter"/>
          </w:rPr>
          <w:t>3/2012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510" w:name="DESCRIPTORALFABETICO320"/>
      <w:r w:rsidRPr="00BA1B56">
        <w:rPr>
          <w:rStyle w:val="TextoNormalNegritaCaracter"/>
        </w:rPr>
        <w:t>Conflictos positivos de competencia</w:t>
      </w:r>
      <w:bookmarkEnd w:id="1510"/>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ff. 3, 5; </w:t>
      </w:r>
      <w:hyperlink w:anchor="SENTENCIA_2012_33" w:history="1">
        <w:r w:rsidRPr="00BA1B56">
          <w:rPr>
            <w:rStyle w:val="TextoNormalCaracter"/>
          </w:rPr>
          <w:t>33/2012</w:t>
        </w:r>
      </w:hyperlink>
      <w:r w:rsidRPr="00BA1B56">
        <w:rPr>
          <w:rStyle w:val="TextoNormalCaracter"/>
        </w:rPr>
        <w:t xml:space="preserve">, ff. 2, 3; </w:t>
      </w:r>
      <w:hyperlink w:anchor="SENTENCIA_2012_36" w:history="1">
        <w:r w:rsidRPr="00BA1B56">
          <w:rPr>
            <w:rStyle w:val="TextoNormalCaracter"/>
          </w:rPr>
          <w:t>36/2012</w:t>
        </w:r>
      </w:hyperlink>
      <w:r w:rsidRPr="00BA1B56">
        <w:rPr>
          <w:rStyle w:val="TextoNormalCaracter"/>
        </w:rPr>
        <w:t xml:space="preserve">, f. 2; </w:t>
      </w:r>
      <w:hyperlink w:anchor="SENTENCIA_2012_38" w:history="1">
        <w:r w:rsidRPr="00BA1B56">
          <w:rPr>
            <w:rStyle w:val="TextoNormalCaracter"/>
          </w:rPr>
          <w:t>38/2012</w:t>
        </w:r>
      </w:hyperlink>
      <w:r w:rsidRPr="00BA1B56">
        <w:rPr>
          <w:rStyle w:val="TextoNormalCaracter"/>
        </w:rPr>
        <w:t xml:space="preserve">, f. 9; </w:t>
      </w:r>
      <w:hyperlink w:anchor="SENTENCIA_2012_72" w:history="1">
        <w:r w:rsidRPr="00BA1B56">
          <w:rPr>
            <w:rStyle w:val="TextoNormalCaracter"/>
          </w:rPr>
          <w:t>72/2012</w:t>
        </w:r>
      </w:hyperlink>
      <w:r w:rsidRPr="00BA1B56">
        <w:rPr>
          <w:rStyle w:val="TextoNormalCaracter"/>
        </w:rPr>
        <w:t xml:space="preserve">, f. 2; </w:t>
      </w:r>
      <w:hyperlink w:anchor="SENTENCIA_2012_73" w:history="1">
        <w:r w:rsidRPr="00BA1B56">
          <w:rPr>
            <w:rStyle w:val="TextoNormalCaracter"/>
          </w:rPr>
          <w:t>73/2012</w:t>
        </w:r>
      </w:hyperlink>
      <w:r w:rsidRPr="00BA1B56">
        <w:rPr>
          <w:rStyle w:val="TextoNormalCaracter"/>
        </w:rPr>
        <w:t xml:space="preserve">, f. 2; </w:t>
      </w:r>
      <w:hyperlink w:anchor="SENTENCIA_2012_77" w:history="1">
        <w:r w:rsidRPr="00BA1B56">
          <w:rPr>
            <w:rStyle w:val="TextoNormalCaracter"/>
          </w:rPr>
          <w:t>77/2012</w:t>
        </w:r>
      </w:hyperlink>
      <w:r w:rsidRPr="00BA1B56">
        <w:rPr>
          <w:rStyle w:val="TextoNormalCaracter"/>
        </w:rPr>
        <w:t xml:space="preserve">, f. 2; </w:t>
      </w:r>
      <w:hyperlink w:anchor="SENTENCIA_2012_99" w:history="1">
        <w:r w:rsidRPr="00BA1B56">
          <w:rPr>
            <w:rStyle w:val="TextoNormalCaracter"/>
          </w:rPr>
          <w:t>99/2012</w:t>
        </w:r>
      </w:hyperlink>
      <w:r w:rsidRPr="00BA1B56">
        <w:rPr>
          <w:rStyle w:val="TextoNormalCaracter"/>
        </w:rPr>
        <w:t xml:space="preserve">, ff. 2, 8; </w:t>
      </w:r>
      <w:hyperlink w:anchor="SENTENCIA_2012_134" w:history="1">
        <w:r w:rsidRPr="00BA1B56">
          <w:rPr>
            <w:rStyle w:val="TextoNormalCaracter"/>
          </w:rPr>
          <w:t>134/2012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511" w:name="DESCRIPTORALFABETICO929"/>
      <w:r w:rsidRPr="00BA1B56">
        <w:rPr>
          <w:rStyle w:val="TextoNormalNegritaCaracter"/>
        </w:rPr>
        <w:t>Congruencia entre acusación y fallo</w:t>
      </w:r>
      <w:bookmarkEnd w:id="1511"/>
      <w:r w:rsidRPr="00BA1B56">
        <w:rPr>
          <w:rStyle w:val="TextoNormalCaracter"/>
        </w:rPr>
        <w:t xml:space="preserve">, Sentencia </w:t>
      </w:r>
      <w:hyperlink w:anchor="SENTENCIA_2012_57" w:history="1">
        <w:r w:rsidRPr="00BA1B56">
          <w:rPr>
            <w:rStyle w:val="TextoNormalCaracter"/>
          </w:rPr>
          <w:t>57/2012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12" w:name="DESCRIPTORALFABETICO541"/>
      <w:r w:rsidRPr="00BA1B56">
        <w:rPr>
          <w:rStyle w:val="TextoNormalNegritaCaracter"/>
        </w:rPr>
        <w:t>Consejeros designados por las corporaciones locales</w:t>
      </w:r>
      <w:bookmarkEnd w:id="1512"/>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6 a 8.</w:t>
      </w:r>
    </w:p>
    <w:p w:rsidR="00BA1B56" w:rsidRPr="00BA1B56" w:rsidRDefault="00BA1B56" w:rsidP="00BA1B56">
      <w:pPr>
        <w:pStyle w:val="TextoNormalSangraFrancesa"/>
        <w:rPr>
          <w:rStyle w:val="TextoNormalCaracter"/>
        </w:rPr>
      </w:pPr>
      <w:bookmarkStart w:id="1513" w:name="DESCRIPTORALFABETICO509"/>
      <w:r w:rsidRPr="00BA1B56">
        <w:rPr>
          <w:rStyle w:val="TextoNormalNegritaCaracter"/>
        </w:rPr>
        <w:t>Consejos insulares</w:t>
      </w:r>
      <w:bookmarkEnd w:id="1513"/>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ff. 2, 3, 4, 5, 6, 7, VP I.</w:t>
      </w:r>
    </w:p>
    <w:p w:rsidR="00BA1B56" w:rsidRPr="00BA1B56" w:rsidRDefault="00BA1B56" w:rsidP="00BA1B56">
      <w:pPr>
        <w:pStyle w:val="TextoNormalSangraFrancesa"/>
        <w:rPr>
          <w:rStyle w:val="TextoNormalCaracter"/>
        </w:rPr>
      </w:pPr>
      <w:bookmarkStart w:id="1514" w:name="DESCRIPTORALFABETICO872"/>
      <w:r w:rsidRPr="00BA1B56">
        <w:rPr>
          <w:rStyle w:val="TextoNormalNegritaCaracter"/>
        </w:rPr>
        <w:t>Consignación de depósito para recurrir</w:t>
      </w:r>
      <w:bookmarkEnd w:id="1514"/>
      <w:r w:rsidRPr="00BA1B56">
        <w:rPr>
          <w:rStyle w:val="TextoNormalCaracter"/>
        </w:rPr>
        <w:t xml:space="preserve">, Sentencias </w:t>
      </w:r>
      <w:hyperlink w:anchor="SENTENCIA_2012_129" w:history="1">
        <w:r w:rsidRPr="00BA1B56">
          <w:rPr>
            <w:rStyle w:val="TextoNormalCaracter"/>
          </w:rPr>
          <w:t>129/2012</w:t>
        </w:r>
      </w:hyperlink>
      <w:r w:rsidRPr="00BA1B56">
        <w:rPr>
          <w:rStyle w:val="TextoNormalCaracter"/>
        </w:rPr>
        <w:t xml:space="preserve">, ff. 1 a 4; </w:t>
      </w:r>
      <w:hyperlink w:anchor="SENTENCIA_2012_130" w:history="1">
        <w:r w:rsidRPr="00BA1B56">
          <w:rPr>
            <w:rStyle w:val="TextoNormalCaracter"/>
          </w:rPr>
          <w:t>130/2012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515" w:name="DESCRIPTORALFABETICO873"/>
      <w:r w:rsidRPr="00BA1B56">
        <w:rPr>
          <w:rStyle w:val="TextoNormalNegritaCaracter"/>
        </w:rPr>
        <w:t>Consignación en plazo de subsanación</w:t>
      </w:r>
      <w:bookmarkEnd w:id="1515"/>
      <w:r w:rsidRPr="00BA1B56">
        <w:rPr>
          <w:rStyle w:val="TextoNormalCaracter"/>
        </w:rPr>
        <w:t xml:space="preserve">, Sentencias </w:t>
      </w:r>
      <w:hyperlink w:anchor="SENTENCIA_2012_129" w:history="1">
        <w:r w:rsidRPr="00BA1B56">
          <w:rPr>
            <w:rStyle w:val="TextoNormalCaracter"/>
          </w:rPr>
          <w:t>129/2012</w:t>
        </w:r>
      </w:hyperlink>
      <w:r w:rsidRPr="00BA1B56">
        <w:rPr>
          <w:rStyle w:val="TextoNormalCaracter"/>
        </w:rPr>
        <w:t xml:space="preserve">, ff. 2, 3; </w:t>
      </w:r>
      <w:hyperlink w:anchor="SENTENCIA_2012_130" w:history="1">
        <w:r w:rsidRPr="00BA1B56">
          <w:rPr>
            <w:rStyle w:val="TextoNormalCaracter"/>
          </w:rPr>
          <w:t>130/2012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1516" w:name="DESCRIPTORALFABETICO874"/>
      <w:r w:rsidRPr="00BA1B56">
        <w:rPr>
          <w:rStyle w:val="TextoNormalNegritaCaracter"/>
        </w:rPr>
        <w:t>Consignación en recurso de apelación civil</w:t>
      </w:r>
      <w:bookmarkEnd w:id="1516"/>
      <w:r w:rsidRPr="00BA1B56">
        <w:rPr>
          <w:rStyle w:val="TextoNormalCaracter"/>
        </w:rPr>
        <w:t xml:space="preserve">, Sentencias </w:t>
      </w:r>
      <w:hyperlink w:anchor="SENTENCIA_2012_129" w:history="1">
        <w:r w:rsidRPr="00BA1B56">
          <w:rPr>
            <w:rStyle w:val="TextoNormalCaracter"/>
          </w:rPr>
          <w:t>129/2012</w:t>
        </w:r>
      </w:hyperlink>
      <w:r w:rsidRPr="00BA1B56">
        <w:rPr>
          <w:rStyle w:val="TextoNormalCaracter"/>
        </w:rPr>
        <w:t xml:space="preserve">, f. 2; </w:t>
      </w:r>
      <w:hyperlink w:anchor="SENTENCIA_2012_130" w:history="1">
        <w:r w:rsidRPr="00BA1B56">
          <w:rPr>
            <w:rStyle w:val="TextoNormalCaracter"/>
          </w:rPr>
          <w:t>130/2012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17" w:name="DESCRIPTORALFABETICO518"/>
      <w:r w:rsidRPr="00BA1B56">
        <w:rPr>
          <w:rStyle w:val="TextoNormalNegritaCaracter"/>
        </w:rPr>
        <w:t>Constitución de corporaciones locales</w:t>
      </w:r>
      <w:bookmarkEnd w:id="1517"/>
      <w:r w:rsidRPr="00BA1B56">
        <w:rPr>
          <w:rStyle w:val="TextoNormalCaracter"/>
        </w:rPr>
        <w:t xml:space="preserve">, Sentencia </w:t>
      </w:r>
      <w:hyperlink w:anchor="SENTENCIA_2012_9" w:history="1">
        <w:r w:rsidRPr="00BA1B56">
          <w:rPr>
            <w:rStyle w:val="TextoNormalCaracter"/>
          </w:rPr>
          <w:t>9/2012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18" w:name="DESCRIPTORALFABETICO496"/>
      <w:r w:rsidRPr="00BA1B56">
        <w:rPr>
          <w:rStyle w:val="TextoNormalNegritaCaracter"/>
        </w:rPr>
        <w:t>Constitución española</w:t>
      </w:r>
      <w:bookmarkEnd w:id="1518"/>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519" w:name="DESCRIPTORALFABETICO675"/>
      <w:r w:rsidRPr="00BA1B56">
        <w:rPr>
          <w:rStyle w:val="TextoNormalNegritaCaracter"/>
        </w:rPr>
        <w:t>Construcción de carreteras</w:t>
      </w:r>
      <w:bookmarkEnd w:id="1519"/>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 3; </w:t>
      </w:r>
      <w:hyperlink w:anchor="SENTENCIA_2012_124" w:history="1">
        <w:r w:rsidRPr="00BA1B56">
          <w:rPr>
            <w:rStyle w:val="TextoNormalCaracter"/>
          </w:rPr>
          <w:t>124/2012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520" w:name="DESCRIPTORALFABETICO247"/>
      <w:r w:rsidRPr="00BA1B56">
        <w:rPr>
          <w:rStyle w:val="TextoNormalNegritaCaracter"/>
        </w:rPr>
        <w:t>Contenido adicional de la libertad sindical</w:t>
      </w:r>
      <w:bookmarkEnd w:id="1520"/>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4.</w:t>
      </w:r>
    </w:p>
    <w:p w:rsidR="00BA1B56" w:rsidRPr="00BA1B56" w:rsidRDefault="00BA1B56" w:rsidP="00BA1B56">
      <w:pPr>
        <w:pStyle w:val="TextoNormalSangraFrancesa"/>
        <w:rPr>
          <w:rStyle w:val="TextoNormalCaracter"/>
        </w:rPr>
      </w:pPr>
      <w:bookmarkStart w:id="1521" w:name="DESCRIPTORALFABETICO162"/>
      <w:r w:rsidRPr="00BA1B56">
        <w:rPr>
          <w:rStyle w:val="TextoNormalNegritaCaracter"/>
        </w:rPr>
        <w:t>Contenido del derecho a la intimidad</w:t>
      </w:r>
      <w:bookmarkEnd w:id="1521"/>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 5; </w:t>
      </w:r>
      <w:hyperlink w:anchor="SENTENCIA_2012_106" w:history="1">
        <w:r w:rsidRPr="00BA1B56">
          <w:rPr>
            <w:rStyle w:val="TextoNormalCaracter"/>
          </w:rPr>
          <w:t>106/2012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22" w:name="DESCRIPTORALFABETICO176"/>
      <w:r w:rsidRPr="00BA1B56">
        <w:rPr>
          <w:rStyle w:val="TextoNormalNegritaCaracter"/>
        </w:rPr>
        <w:t>Contenido del derecho a la participación en los asuntos públicos</w:t>
      </w:r>
      <w:bookmarkEnd w:id="1522"/>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f. 3; </w:t>
      </w:r>
      <w:hyperlink w:anchor="SENTENCIA_2012_30" w:history="1">
        <w:r w:rsidRPr="00BA1B56">
          <w:rPr>
            <w:rStyle w:val="TextoNormalCaracter"/>
          </w:rPr>
          <w:t>30/2012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523" w:name="DESCRIPTORALFABETICO183"/>
      <w:r w:rsidRPr="00BA1B56">
        <w:rPr>
          <w:rStyle w:val="TextoNormalNegritaCaracter"/>
        </w:rPr>
        <w:t>Contenido del derecho a la protección de datos personales</w:t>
      </w:r>
      <w:bookmarkEnd w:id="1523"/>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6.</w:t>
      </w:r>
    </w:p>
    <w:p w:rsidR="00BA1B56" w:rsidRPr="00BA1B56" w:rsidRDefault="00BA1B56" w:rsidP="00BA1B56">
      <w:pPr>
        <w:pStyle w:val="TextoNormalSangraFrancesa"/>
        <w:rPr>
          <w:rStyle w:val="TextoNormalCaracter"/>
        </w:rPr>
      </w:pPr>
      <w:bookmarkStart w:id="1524" w:name="DESCRIPTORALFABETICO216"/>
      <w:r w:rsidRPr="00BA1B56">
        <w:rPr>
          <w:rStyle w:val="TextoNormalNegritaCaracter"/>
        </w:rPr>
        <w:t>Contenido del derecho a la tutela judicial sin indefensión</w:t>
      </w:r>
      <w:bookmarkEnd w:id="1524"/>
      <w:r w:rsidRPr="00BA1B56">
        <w:rPr>
          <w:rStyle w:val="TextoNormalCaracter"/>
        </w:rPr>
        <w:t xml:space="preserve">, Sentencia </w:t>
      </w:r>
      <w:hyperlink w:anchor="SENTENCIA_2012_57" w:history="1">
        <w:r w:rsidRPr="00BA1B56">
          <w:rPr>
            <w:rStyle w:val="TextoNormalCaracter"/>
          </w:rPr>
          <w:t>57/2012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25" w:name="DESCRIPTORALFABETICO279"/>
      <w:r w:rsidRPr="00BA1B56">
        <w:rPr>
          <w:rStyle w:val="TextoNormalNegritaCaracter"/>
        </w:rPr>
        <w:t>Contenido patrimonial</w:t>
      </w:r>
      <w:bookmarkEnd w:id="1525"/>
      <w:r w:rsidRPr="00BA1B56">
        <w:rPr>
          <w:rStyle w:val="TextoNormalCaracter"/>
        </w:rPr>
        <w:t xml:space="preserve">, Autos </w:t>
      </w:r>
      <w:hyperlink w:anchor="AUTO_2012_53" w:history="1">
        <w:r w:rsidRPr="00BA1B56">
          <w:rPr>
            <w:rStyle w:val="TextoNormalCaracter"/>
          </w:rPr>
          <w:t>53/2012</w:t>
        </w:r>
      </w:hyperlink>
      <w:r w:rsidRPr="00BA1B56">
        <w:rPr>
          <w:rStyle w:val="TextoNormalCaracter"/>
        </w:rPr>
        <w:t xml:space="preserve">, ff. 1, 2; </w:t>
      </w:r>
      <w:hyperlink w:anchor="AUTO_2012_56" w:history="1">
        <w:r w:rsidRPr="00BA1B56">
          <w:rPr>
            <w:rStyle w:val="TextoNormalCaracter"/>
          </w:rPr>
          <w:t>56/2012</w:t>
        </w:r>
      </w:hyperlink>
      <w:r w:rsidRPr="00BA1B56">
        <w:rPr>
          <w:rStyle w:val="TextoNormalCaracter"/>
        </w:rPr>
        <w:t xml:space="preserve">, f. 3; </w:t>
      </w:r>
      <w:hyperlink w:anchor="AUTO_2012_64" w:history="1">
        <w:r w:rsidRPr="00BA1B56">
          <w:rPr>
            <w:rStyle w:val="TextoNormalCaracter"/>
          </w:rPr>
          <w:t>64/2012</w:t>
        </w:r>
      </w:hyperlink>
      <w:r w:rsidRPr="00BA1B56">
        <w:rPr>
          <w:rStyle w:val="TextoNormalCaracter"/>
        </w:rPr>
        <w:t xml:space="preserve">, ff. 2 a 4; </w:t>
      </w:r>
      <w:hyperlink w:anchor="AUTO_2012_65" w:history="1">
        <w:r w:rsidRPr="00BA1B56">
          <w:rPr>
            <w:rStyle w:val="TextoNormalCaracter"/>
          </w:rPr>
          <w:t>65/2012</w:t>
        </w:r>
      </w:hyperlink>
      <w:r w:rsidRPr="00BA1B56">
        <w:rPr>
          <w:rStyle w:val="TextoNormalCaracter"/>
        </w:rPr>
        <w:t xml:space="preserve">, ff. 2 a 4; </w:t>
      </w:r>
      <w:hyperlink w:anchor="AUTO_2012_101" w:history="1">
        <w:r w:rsidRPr="00BA1B56">
          <w:rPr>
            <w:rStyle w:val="TextoNormalCaracter"/>
          </w:rPr>
          <w:t>101/2012</w:t>
        </w:r>
      </w:hyperlink>
      <w:r w:rsidRPr="00BA1B56">
        <w:rPr>
          <w:rStyle w:val="TextoNormalCaracter"/>
        </w:rPr>
        <w:t xml:space="preserve">, ff. 1, 2; </w:t>
      </w:r>
      <w:hyperlink w:anchor="AUTO_2012_103" w:history="1">
        <w:r w:rsidRPr="00BA1B56">
          <w:rPr>
            <w:rStyle w:val="TextoNormalCaracter"/>
          </w:rPr>
          <w:t>103/2012</w:t>
        </w:r>
      </w:hyperlink>
      <w:r w:rsidRPr="00BA1B56">
        <w:rPr>
          <w:rStyle w:val="TextoNormalCaracter"/>
        </w:rPr>
        <w:t>, f. 1.</w:t>
      </w:r>
    </w:p>
    <w:p w:rsidR="00BA1B56" w:rsidRPr="00BA1B56" w:rsidRDefault="00BA1B56" w:rsidP="00BA1B56">
      <w:pPr>
        <w:pStyle w:val="TextoNormalSangraFrancesa"/>
        <w:rPr>
          <w:rStyle w:val="TextoNormalCaracter"/>
        </w:rPr>
      </w:pPr>
      <w:bookmarkStart w:id="1526" w:name="DESCRIPTORALFABETICO970"/>
      <w:r w:rsidRPr="00BA1B56">
        <w:rPr>
          <w:rStyle w:val="TextoNormalNegritaCaracter"/>
        </w:rPr>
        <w:t>Contraindicios</w:t>
      </w:r>
      <w:bookmarkEnd w:id="1526"/>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9 a 11, VP I, VP II, VP III.</w:t>
      </w:r>
    </w:p>
    <w:p w:rsidR="00BA1B56" w:rsidRPr="00BA1B56" w:rsidRDefault="00BA1B56" w:rsidP="00BA1B56">
      <w:pPr>
        <w:pStyle w:val="TextoNormalSangraFrancesa"/>
        <w:rPr>
          <w:rStyle w:val="TextoNormalCaracter"/>
        </w:rPr>
      </w:pPr>
      <w:bookmarkStart w:id="1527" w:name="DESCRIPTORALFABETICO565"/>
      <w:r w:rsidRPr="00BA1B56">
        <w:rPr>
          <w:rStyle w:val="TextoNormalNegritaCaracter"/>
        </w:rPr>
        <w:t>Contratos administrativos</w:t>
      </w:r>
      <w:bookmarkEnd w:id="1527"/>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1 a 6.</w:t>
      </w:r>
    </w:p>
    <w:p w:rsidR="00BA1B56" w:rsidRPr="00BA1B56" w:rsidRDefault="00BA1B56" w:rsidP="00BA1B56">
      <w:pPr>
        <w:pStyle w:val="TextoNormalSangraFrancesa"/>
        <w:rPr>
          <w:rStyle w:val="TextoNormalCaracter"/>
        </w:rPr>
      </w:pPr>
      <w:bookmarkStart w:id="1528" w:name="DESCRIPTORALFABETICO566"/>
      <w:r w:rsidRPr="00BA1B56">
        <w:rPr>
          <w:rStyle w:val="TextoNormalNegritaCaracter"/>
        </w:rPr>
        <w:t>Contratos de las Comunidades Autónomas</w:t>
      </w:r>
      <w:bookmarkEnd w:id="1528"/>
      <w:r w:rsidRPr="00BA1B56">
        <w:rPr>
          <w:rStyle w:val="TextoNormalCaracter"/>
        </w:rPr>
        <w:t xml:space="preserve">, Auto </w:t>
      </w:r>
      <w:hyperlink w:anchor="AUTO_2012_69" w:history="1">
        <w:r w:rsidRPr="00BA1B56">
          <w:rPr>
            <w:rStyle w:val="TextoNormalCaracter"/>
          </w:rPr>
          <w:t>69/2012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529" w:name="DESCRIPTORALFABETICO563"/>
      <w:r w:rsidRPr="00BA1B56">
        <w:rPr>
          <w:rStyle w:val="TextoNormalNegritaCaracter"/>
        </w:rPr>
        <w:t>Contratos del sector público</w:t>
      </w:r>
      <w:bookmarkEnd w:id="1529"/>
      <w:r w:rsidRPr="00BA1B56">
        <w:rPr>
          <w:rStyle w:val="TextoNormalCaracter"/>
        </w:rPr>
        <w:t xml:space="preserve">, Auto </w:t>
      </w:r>
      <w:hyperlink w:anchor="AUTO_2012_69" w:history="1">
        <w:r w:rsidRPr="00BA1B56">
          <w:rPr>
            <w:rStyle w:val="TextoNormalCaracter"/>
          </w:rPr>
          <w:t>69/2012</w:t>
        </w:r>
      </w:hyperlink>
      <w:r w:rsidRPr="00BA1B56">
        <w:rPr>
          <w:rStyle w:val="TextoNormalCaracter"/>
        </w:rPr>
        <w:t>, ff. 1 a 3.</w:t>
      </w:r>
    </w:p>
    <w:p w:rsidR="00BA1B56" w:rsidRPr="00BA1B56" w:rsidRDefault="00BA1B56" w:rsidP="00BA1B56">
      <w:pPr>
        <w:pStyle w:val="TextoNormalSangraFrancesa"/>
        <w:rPr>
          <w:rStyle w:val="TextoNormalNegritaCaracter"/>
        </w:rPr>
      </w:pPr>
      <w:r w:rsidRPr="00BA1B56">
        <w:rPr>
          <w:rStyle w:val="TextoNormalCursivaCaracter"/>
        </w:rPr>
        <w:t>Contratos públicos</w:t>
      </w:r>
      <w:r>
        <w:t xml:space="preserve"> véase </w:t>
      </w:r>
      <w:hyperlink w:anchor="DESCRIPTORALFABETICO563" w:history="1">
        <w:r w:rsidRPr="00BA1B56">
          <w:rPr>
            <w:rStyle w:val="TextoNormalNegritaCaracter"/>
          </w:rPr>
          <w:t>Contratos del sector público</w:t>
        </w:r>
      </w:hyperlink>
    </w:p>
    <w:p w:rsidR="00BA1B56" w:rsidRPr="00BA1B56" w:rsidRDefault="00BA1B56" w:rsidP="00BA1B56">
      <w:pPr>
        <w:pStyle w:val="TextoNormalSangraFrancesa"/>
        <w:rPr>
          <w:rStyle w:val="TextoNormalCaracter"/>
        </w:rPr>
      </w:pPr>
      <w:bookmarkStart w:id="1530" w:name="DESCRIPTORALFABETICO261"/>
      <w:r w:rsidRPr="00BA1B56">
        <w:rPr>
          <w:rStyle w:val="TextoNormalNegritaCaracter"/>
        </w:rPr>
        <w:t>Control concreto de constitucionalidad</w:t>
      </w:r>
      <w:bookmarkEnd w:id="1530"/>
      <w:r w:rsidRPr="00BA1B56">
        <w:rPr>
          <w:rStyle w:val="TextoNormalCaracter"/>
        </w:rPr>
        <w:t xml:space="preserve">, Sentencia </w:t>
      </w:r>
      <w:hyperlink w:anchor="SENTENCIA_2012_86" w:history="1">
        <w:r w:rsidRPr="00BA1B56">
          <w:rPr>
            <w:rStyle w:val="TextoNormalCaracter"/>
          </w:rPr>
          <w:t>86/2012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31" w:name="DESCRIPTORALFABETICO259"/>
      <w:r w:rsidRPr="00BA1B56">
        <w:rPr>
          <w:rStyle w:val="TextoNormalNegritaCaracter"/>
        </w:rPr>
        <w:t>Control constitucional de las resoluciones judiciales</w:t>
      </w:r>
      <w:bookmarkEnd w:id="1531"/>
      <w:r w:rsidRPr="00BA1B56">
        <w:rPr>
          <w:rStyle w:val="TextoNormalCaracter"/>
        </w:rPr>
        <w:t xml:space="preserve">, Sentencias </w:t>
      </w:r>
      <w:hyperlink w:anchor="SENTENCIA_2012_96" w:history="1">
        <w:r w:rsidRPr="00BA1B56">
          <w:rPr>
            <w:rStyle w:val="TextoNormalCaracter"/>
          </w:rPr>
          <w:t>96/2012</w:t>
        </w:r>
      </w:hyperlink>
      <w:r w:rsidRPr="00BA1B56">
        <w:rPr>
          <w:rStyle w:val="TextoNormalCaracter"/>
        </w:rPr>
        <w:t xml:space="preserve">, ff. 8 a 11; </w:t>
      </w:r>
      <w:hyperlink w:anchor="SENTENCIA_2012_129" w:history="1">
        <w:r w:rsidRPr="00BA1B56">
          <w:rPr>
            <w:rStyle w:val="TextoNormalCaracter"/>
          </w:rPr>
          <w:t>129/2012</w:t>
        </w:r>
      </w:hyperlink>
      <w:r w:rsidRPr="00BA1B56">
        <w:rPr>
          <w:rStyle w:val="TextoNormalCaracter"/>
        </w:rPr>
        <w:t xml:space="preserve">, f. 2; </w:t>
      </w:r>
      <w:hyperlink w:anchor="SENTENCIA_2012_130" w:history="1">
        <w:r w:rsidRPr="00BA1B56">
          <w:rPr>
            <w:rStyle w:val="TextoNormalCaracter"/>
          </w:rPr>
          <w:t>130/2012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32" w:name="DESCRIPTORALFABETICO260"/>
      <w:r w:rsidRPr="00BA1B56">
        <w:rPr>
          <w:rStyle w:val="TextoNormalNegritaCaracter"/>
        </w:rPr>
        <w:t>Control de constitucionalidad de las normas jurídicas</w:t>
      </w:r>
      <w:bookmarkEnd w:id="1532"/>
      <w:r w:rsidRPr="00BA1B56">
        <w:rPr>
          <w:rStyle w:val="TextoNormalCaracter"/>
        </w:rPr>
        <w:t xml:space="preserve">, Sentencias </w:t>
      </w:r>
      <w:hyperlink w:anchor="SENTENCIA_2012_93" w:history="1">
        <w:r w:rsidRPr="00BA1B56">
          <w:rPr>
            <w:rStyle w:val="TextoNormalCaracter"/>
          </w:rPr>
          <w:t>93/2012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xml:space="preserve">, f. 4; </w:t>
      </w:r>
      <w:hyperlink w:anchor="SENTENCIA_2012_102" w:history="1">
        <w:r w:rsidRPr="00BA1B56">
          <w:rPr>
            <w:rStyle w:val="TextoNormalCaracter"/>
          </w:rPr>
          <w:t>102/2012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533" w:name="DESCRIPTORALFABETICO845"/>
      <w:r w:rsidRPr="00BA1B56">
        <w:rPr>
          <w:rStyle w:val="TextoNormalNegritaCaracter"/>
        </w:rPr>
        <w:t>Control del espacio aéreo</w:t>
      </w:r>
      <w:bookmarkEnd w:id="1533"/>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5.</w:t>
      </w:r>
    </w:p>
    <w:p w:rsidR="00BA1B56" w:rsidRPr="00BA1B56" w:rsidRDefault="00BA1B56" w:rsidP="00BA1B56">
      <w:pPr>
        <w:pStyle w:val="TextoNormalSangraFrancesa"/>
        <w:rPr>
          <w:rStyle w:val="TextoNormalNegritaCaracter"/>
        </w:rPr>
      </w:pPr>
      <w:r w:rsidRPr="00BA1B56">
        <w:rPr>
          <w:rStyle w:val="TextoNormalCursivaCaracter"/>
        </w:rPr>
        <w:t>Control del Gobierno</w:t>
      </w:r>
      <w:r>
        <w:t xml:space="preserve"> véase </w:t>
      </w:r>
      <w:hyperlink w:anchor="DESCRIPTORALFABETICO454" w:history="1">
        <w:r w:rsidRPr="00BA1B56">
          <w:rPr>
            <w:rStyle w:val="TextoNormalNegritaCaracter"/>
          </w:rPr>
          <w:t>Control político</w:t>
        </w:r>
      </w:hyperlink>
    </w:p>
    <w:p w:rsidR="00BA1B56" w:rsidRPr="00BA1B56" w:rsidRDefault="00BA1B56" w:rsidP="00BA1B56">
      <w:pPr>
        <w:pStyle w:val="TextoNormalSangraFrancesa"/>
        <w:rPr>
          <w:rStyle w:val="TextoNormalCaracter"/>
        </w:rPr>
      </w:pPr>
      <w:bookmarkStart w:id="1534" w:name="DESCRIPTORALFABETICO454"/>
      <w:r w:rsidRPr="00BA1B56">
        <w:rPr>
          <w:rStyle w:val="TextoNormalNegritaCaracter"/>
        </w:rPr>
        <w:t>Control político</w:t>
      </w:r>
      <w:bookmarkEnd w:id="1534"/>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2, 3, 5.</w:t>
      </w:r>
    </w:p>
    <w:p w:rsidR="00BA1B56" w:rsidRPr="00BA1B56" w:rsidRDefault="00BA1B56" w:rsidP="00BA1B56">
      <w:pPr>
        <w:pStyle w:val="TextoNormalSangraFrancesa"/>
        <w:rPr>
          <w:rStyle w:val="TextoNormalCaracter"/>
        </w:rPr>
      </w:pPr>
      <w:bookmarkStart w:id="1535" w:name="DESCRIPTORALFABETICO311"/>
      <w:r w:rsidRPr="00BA1B56">
        <w:rPr>
          <w:rStyle w:val="TextoNormalNegritaCaracter"/>
        </w:rPr>
        <w:t>Controversias de contenido competencial</w:t>
      </w:r>
      <w:bookmarkEnd w:id="1535"/>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3, 13.</w:t>
      </w:r>
    </w:p>
    <w:p w:rsidR="00BA1B56" w:rsidRPr="00BA1B56" w:rsidRDefault="00BA1B56" w:rsidP="00BA1B56">
      <w:pPr>
        <w:pStyle w:val="TextoNormalSangraFrancesa"/>
        <w:rPr>
          <w:rStyle w:val="TextoNormalCaracter"/>
        </w:rPr>
      </w:pPr>
      <w:bookmarkStart w:id="1536" w:name="DESCRIPTORALFABETICO840"/>
      <w:r w:rsidRPr="00BA1B56">
        <w:rPr>
          <w:rStyle w:val="TextoNormalNegritaCaracter"/>
        </w:rPr>
        <w:t>Convenios colectivos</w:t>
      </w:r>
      <w:bookmarkEnd w:id="1536"/>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6.</w:t>
      </w:r>
    </w:p>
    <w:p w:rsidR="00BA1B56" w:rsidRPr="00BA1B56" w:rsidRDefault="00BA1B56" w:rsidP="00BA1B56">
      <w:pPr>
        <w:pStyle w:val="TextoNormalSangraFrancesa"/>
        <w:rPr>
          <w:rStyle w:val="TextoNormalCaracter"/>
        </w:rPr>
      </w:pPr>
      <w:bookmarkStart w:id="1537" w:name="DESCRIPTORALFABETICO134"/>
      <w:r w:rsidRPr="00BA1B56">
        <w:rPr>
          <w:rStyle w:val="TextoNormalNegritaCaracter"/>
        </w:rPr>
        <w:t>Convocatoria de elecciones</w:t>
      </w:r>
      <w:bookmarkEnd w:id="1537"/>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538" w:name="DESCRIPTORALFABETICO464"/>
      <w:r w:rsidRPr="00BA1B56">
        <w:rPr>
          <w:rStyle w:val="TextoNormalNegritaCaracter"/>
        </w:rPr>
        <w:lastRenderedPageBreak/>
        <w:t>Convocatoria de Plenos extraordinarios</w:t>
      </w:r>
      <w:bookmarkEnd w:id="1538"/>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7, VP I.</w:t>
      </w:r>
    </w:p>
    <w:p w:rsidR="00BA1B56" w:rsidRPr="00BA1B56" w:rsidRDefault="00BA1B56" w:rsidP="00BA1B56">
      <w:pPr>
        <w:pStyle w:val="TextoNormalSangraFrancesa"/>
        <w:rPr>
          <w:rStyle w:val="TextoNormalCaracter"/>
        </w:rPr>
      </w:pPr>
      <w:bookmarkStart w:id="1539" w:name="DESCRIPTORALFABETICO617"/>
      <w:r w:rsidRPr="00BA1B56">
        <w:rPr>
          <w:rStyle w:val="TextoNormalNegritaCaracter"/>
        </w:rPr>
        <w:t>Convocatoria de subvenciones públicas</w:t>
      </w:r>
      <w:bookmarkEnd w:id="1539"/>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8.</w:t>
      </w:r>
    </w:p>
    <w:p w:rsidR="00BA1B56" w:rsidRPr="00BA1B56" w:rsidRDefault="00BA1B56" w:rsidP="00BA1B56">
      <w:pPr>
        <w:pStyle w:val="TextoNormalSangraFrancesa"/>
        <w:rPr>
          <w:rStyle w:val="TextoNormalCaracter"/>
        </w:rPr>
      </w:pPr>
      <w:bookmarkStart w:id="1540" w:name="DESCRIPTORALFABETICO430"/>
      <w:r w:rsidRPr="00BA1B56">
        <w:rPr>
          <w:rStyle w:val="TextoNormalNegritaCaracter"/>
        </w:rPr>
        <w:t>Cooperación en el ejercicio de competencias compartidas</w:t>
      </w:r>
      <w:bookmarkEnd w:id="1540"/>
      <w:r w:rsidRPr="00BA1B56">
        <w:rPr>
          <w:rStyle w:val="TextoNormalCaracter"/>
        </w:rPr>
        <w:t xml:space="preserve">, Sentencia </w:t>
      </w:r>
      <w:hyperlink w:anchor="SENTENCIA_2012_38" w:history="1">
        <w:r w:rsidRPr="00BA1B56">
          <w:rPr>
            <w:rStyle w:val="TextoNormalCaracter"/>
          </w:rPr>
          <w:t>38/2012</w:t>
        </w:r>
      </w:hyperlink>
      <w:r w:rsidRPr="00BA1B56">
        <w:rPr>
          <w:rStyle w:val="TextoNormalCaracter"/>
        </w:rPr>
        <w:t>, ff. 6, 8.</w:t>
      </w:r>
    </w:p>
    <w:p w:rsidR="00BA1B56" w:rsidRPr="00BA1B56" w:rsidRDefault="00BA1B56" w:rsidP="00BA1B56">
      <w:pPr>
        <w:pStyle w:val="TextoNormalSangraFrancesa"/>
        <w:rPr>
          <w:rStyle w:val="TextoNormalCaracter"/>
        </w:rPr>
      </w:pPr>
      <w:bookmarkStart w:id="1541" w:name="DESCRIPTORALFABETICO626"/>
      <w:r w:rsidRPr="00BA1B56">
        <w:rPr>
          <w:rStyle w:val="TextoNormalNegritaCaracter"/>
        </w:rPr>
        <w:t>Coordinación de policías locales</w:t>
      </w:r>
      <w:bookmarkEnd w:id="1541"/>
      <w:r w:rsidRPr="00BA1B56">
        <w:rPr>
          <w:rStyle w:val="TextoNormalCaracter"/>
        </w:rPr>
        <w:t xml:space="preserve">, Auto </w:t>
      </w:r>
      <w:hyperlink w:anchor="AUTO_2012_4" w:history="1">
        <w:r w:rsidRPr="00BA1B56">
          <w:rPr>
            <w:rStyle w:val="TextoNormalCaracter"/>
          </w:rPr>
          <w:t>4/2012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542" w:name="DESCRIPTORALFABETICO431"/>
      <w:r w:rsidRPr="00BA1B56">
        <w:rPr>
          <w:rStyle w:val="TextoNormalNegritaCaracter"/>
        </w:rPr>
        <w:t>Coordinación entre el Estado y las Comunidades Autónomas</w:t>
      </w:r>
      <w:bookmarkEnd w:id="1542"/>
      <w:r w:rsidRPr="00BA1B56">
        <w:rPr>
          <w:rStyle w:val="TextoNormalCaracter"/>
        </w:rPr>
        <w:t xml:space="preserve">, Sentencias </w:t>
      </w:r>
      <w:hyperlink w:anchor="SENTENCIA_2012_22" w:history="1">
        <w:r w:rsidRPr="00BA1B56">
          <w:rPr>
            <w:rStyle w:val="TextoNormalCaracter"/>
          </w:rPr>
          <w:t>22/2012</w:t>
        </w:r>
      </w:hyperlink>
      <w:r w:rsidRPr="00BA1B56">
        <w:rPr>
          <w:rStyle w:val="TextoNormalCaracter"/>
        </w:rPr>
        <w:t xml:space="preserve">, f. 3; </w:t>
      </w:r>
      <w:hyperlink w:anchor="SENTENCIA_2012_38" w:history="1">
        <w:r w:rsidRPr="00BA1B56">
          <w:rPr>
            <w:rStyle w:val="TextoNormalCaracter"/>
          </w:rPr>
          <w:t>38/2012</w:t>
        </w:r>
      </w:hyperlink>
      <w:r w:rsidRPr="00BA1B56">
        <w:rPr>
          <w:rStyle w:val="TextoNormalCaracter"/>
        </w:rPr>
        <w:t xml:space="preserve">, f. 4; </w:t>
      </w:r>
      <w:hyperlink w:anchor="SENTENCIA_2012_71" w:history="1">
        <w:r w:rsidRPr="00BA1B56">
          <w:rPr>
            <w:rStyle w:val="TextoNormalCaracter"/>
          </w:rPr>
          <w:t>71/2012</w:t>
        </w:r>
      </w:hyperlink>
      <w:r w:rsidRPr="00BA1B56">
        <w:rPr>
          <w:rStyle w:val="TextoNormalCaracter"/>
        </w:rPr>
        <w:t xml:space="preserve">, ff. 1 a 3; </w:t>
      </w:r>
      <w:hyperlink w:anchor="SENTENCIA_2012_89" w:history="1">
        <w:r w:rsidRPr="00BA1B56">
          <w:rPr>
            <w:rStyle w:val="TextoNormalCaracter"/>
          </w:rPr>
          <w:t>89/2012</w:t>
        </w:r>
      </w:hyperlink>
      <w:r w:rsidRPr="00BA1B56">
        <w:rPr>
          <w:rStyle w:val="TextoNormalCaracter"/>
        </w:rPr>
        <w:t xml:space="preserve">, ff. 4, 6, 7; </w:t>
      </w:r>
      <w:hyperlink w:anchor="SENTENCIA_2012_99" w:history="1">
        <w:r w:rsidRPr="00BA1B56">
          <w:rPr>
            <w:rStyle w:val="TextoNormalCaracter"/>
          </w:rPr>
          <w:t>99/2012</w:t>
        </w:r>
      </w:hyperlink>
      <w:r w:rsidRPr="00BA1B56">
        <w:rPr>
          <w:rStyle w:val="TextoNormalCaracter"/>
        </w:rPr>
        <w:t>, ff. 3, 8.</w:t>
      </w:r>
    </w:p>
    <w:p w:rsidR="00BA1B56" w:rsidRPr="00BA1B56" w:rsidRDefault="00BA1B56" w:rsidP="00BA1B56">
      <w:pPr>
        <w:pStyle w:val="TextoNormalSangraFrancesa"/>
        <w:rPr>
          <w:rStyle w:val="TextoNormalCaracter"/>
        </w:rPr>
      </w:pPr>
      <w:bookmarkStart w:id="1543" w:name="DESCRIPTORALFABETICO511"/>
      <w:r w:rsidRPr="00BA1B56">
        <w:rPr>
          <w:rStyle w:val="TextoNormalNegritaCaracter"/>
        </w:rPr>
        <w:t>Corporaciones locales</w:t>
      </w:r>
      <w:bookmarkEnd w:id="1543"/>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 7.</w:t>
      </w:r>
    </w:p>
    <w:p w:rsidR="00BA1B56" w:rsidRPr="00BA1B56" w:rsidRDefault="00BA1B56" w:rsidP="00BA1B56">
      <w:pPr>
        <w:pStyle w:val="TextoNormalSangraFrancesa"/>
        <w:rPr>
          <w:rStyle w:val="TextoNormalCaracter"/>
        </w:rPr>
      </w:pPr>
      <w:bookmarkStart w:id="1544" w:name="DESCRIPTORALFABETICO421"/>
      <w:r w:rsidRPr="00BA1B56">
        <w:rPr>
          <w:rStyle w:val="TextoNormalNegritaCaracter"/>
        </w:rPr>
        <w:t>Corporaciones representativas de intereses económicos y profesionales</w:t>
      </w:r>
      <w:bookmarkEnd w:id="1544"/>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 7.</w:t>
      </w:r>
    </w:p>
    <w:p w:rsidR="00BA1B56" w:rsidRPr="00BA1B56" w:rsidRDefault="00BA1B56" w:rsidP="00BA1B56">
      <w:pPr>
        <w:pStyle w:val="TextoNormalSangraFrancesa"/>
        <w:rPr>
          <w:rStyle w:val="TextoNormalCaracter"/>
        </w:rPr>
      </w:pPr>
      <w:bookmarkStart w:id="1545" w:name="DESCRIPTORALFABETICO399"/>
      <w:r w:rsidRPr="00BA1B56">
        <w:rPr>
          <w:rStyle w:val="TextoNormalNegritaCaracter"/>
        </w:rPr>
        <w:t>Cosa juzgada de las sentencias del Tribunal Constitucional</w:t>
      </w:r>
      <w:bookmarkEnd w:id="1545"/>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5, 9.</w:t>
      </w:r>
    </w:p>
    <w:p w:rsidR="00BA1B56" w:rsidRPr="00BA1B56" w:rsidRDefault="00BA1B56" w:rsidP="00BA1B56">
      <w:pPr>
        <w:pStyle w:val="TextoNormalSangraFrancesa"/>
        <w:rPr>
          <w:rStyle w:val="TextoNormalCaracter"/>
        </w:rPr>
      </w:pPr>
      <w:bookmarkStart w:id="1546" w:name="DESCRIPTORALFABETICO878"/>
      <w:r w:rsidRPr="00BA1B56">
        <w:rPr>
          <w:rStyle w:val="TextoNormalNegritaCaracter"/>
        </w:rPr>
        <w:t>Cosa juzgada material</w:t>
      </w:r>
      <w:bookmarkEnd w:id="1546"/>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547" w:name="DESCRIPTORALFABETICO598"/>
      <w:r w:rsidRPr="00BA1B56">
        <w:rPr>
          <w:rStyle w:val="TextoNormalNegritaCaracter"/>
        </w:rPr>
        <w:t>Costas</w:t>
      </w:r>
      <w:bookmarkEnd w:id="1547"/>
      <w:r w:rsidRPr="00BA1B56">
        <w:rPr>
          <w:rStyle w:val="TextoNormalCaracter"/>
        </w:rPr>
        <w:t xml:space="preserve">, Sentencias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548" w:name="DESCRIPTORALFABETICO880"/>
      <w:r w:rsidRPr="00BA1B56">
        <w:rPr>
          <w:rStyle w:val="TextoNormalNegritaCaracter"/>
        </w:rPr>
        <w:t>Costas procesales</w:t>
      </w:r>
      <w:bookmarkEnd w:id="1548"/>
      <w:r w:rsidRPr="00BA1B56">
        <w:rPr>
          <w:rStyle w:val="TextoNormalCaracter"/>
        </w:rPr>
        <w:t xml:space="preserve">, Autos </w:t>
      </w:r>
      <w:hyperlink w:anchor="AUTO_2012_16" w:history="1">
        <w:r w:rsidRPr="00BA1B56">
          <w:rPr>
            <w:rStyle w:val="TextoNormalCaracter"/>
          </w:rPr>
          <w:t>16/2012</w:t>
        </w:r>
      </w:hyperlink>
      <w:r w:rsidRPr="00BA1B56">
        <w:rPr>
          <w:rStyle w:val="TextoNormalCaracter"/>
        </w:rPr>
        <w:t xml:space="preserve">, ff. 1 a 3; </w:t>
      </w:r>
      <w:hyperlink w:anchor="AUTO_2012_53" w:history="1">
        <w:r w:rsidRPr="00BA1B56">
          <w:rPr>
            <w:rStyle w:val="TextoNormalCaracter"/>
          </w:rPr>
          <w:t>53/2012</w:t>
        </w:r>
      </w:hyperlink>
      <w:r w:rsidRPr="00BA1B56">
        <w:rPr>
          <w:rStyle w:val="TextoNormalCaracter"/>
        </w:rPr>
        <w:t xml:space="preserve">, f. 2; </w:t>
      </w:r>
      <w:hyperlink w:anchor="AUTO_2012_64" w:history="1">
        <w:r w:rsidRPr="00BA1B56">
          <w:rPr>
            <w:rStyle w:val="TextoNormalCaracter"/>
          </w:rPr>
          <w:t>64/2012</w:t>
        </w:r>
      </w:hyperlink>
      <w:r w:rsidRPr="00BA1B56">
        <w:rPr>
          <w:rStyle w:val="TextoNormalCaracter"/>
        </w:rPr>
        <w:t xml:space="preserve">, ff. 3, 4; </w:t>
      </w:r>
      <w:hyperlink w:anchor="AUTO_2012_65" w:history="1">
        <w:r w:rsidRPr="00BA1B56">
          <w:rPr>
            <w:rStyle w:val="TextoNormalCaracter"/>
          </w:rPr>
          <w:t>65/2012</w:t>
        </w:r>
      </w:hyperlink>
      <w:r w:rsidRPr="00BA1B56">
        <w:rPr>
          <w:rStyle w:val="TextoNormalCaracter"/>
        </w:rPr>
        <w:t xml:space="preserve">, ff. 2 a 4; </w:t>
      </w:r>
      <w:hyperlink w:anchor="AUTO_2012_101" w:history="1">
        <w:r w:rsidRPr="00BA1B56">
          <w:rPr>
            <w:rStyle w:val="TextoNormalCaracter"/>
          </w:rPr>
          <w:t>101/2012</w:t>
        </w:r>
      </w:hyperlink>
      <w:r w:rsidRPr="00BA1B56">
        <w:rPr>
          <w:rStyle w:val="TextoNormalCaracter"/>
        </w:rPr>
        <w:t xml:space="preserve">, f. 2; </w:t>
      </w:r>
      <w:hyperlink w:anchor="AUTO_2012_102" w:history="1">
        <w:r w:rsidRPr="00BA1B56">
          <w:rPr>
            <w:rStyle w:val="TextoNormalCaracter"/>
          </w:rPr>
          <w:t>102/2012</w:t>
        </w:r>
      </w:hyperlink>
      <w:r w:rsidRPr="00BA1B56">
        <w:rPr>
          <w:rStyle w:val="TextoNormalCaracter"/>
        </w:rPr>
        <w:t xml:space="preserve">, f. 4; </w:t>
      </w:r>
      <w:hyperlink w:anchor="AUTO_2012_103" w:history="1">
        <w:r w:rsidRPr="00BA1B56">
          <w:rPr>
            <w:rStyle w:val="TextoNormalCaracter"/>
          </w:rPr>
          <w:t>103/2012</w:t>
        </w:r>
      </w:hyperlink>
      <w:r w:rsidRPr="00BA1B56">
        <w:rPr>
          <w:rStyle w:val="TextoNormalCaracter"/>
        </w:rPr>
        <w:t xml:space="preserve">, f. 2; </w:t>
      </w:r>
      <w:hyperlink w:anchor="AUTO_2012_109" w:history="1">
        <w:r w:rsidRPr="00BA1B56">
          <w:rPr>
            <w:rStyle w:val="TextoNormalCaracter"/>
          </w:rPr>
          <w:t>109/2012</w:t>
        </w:r>
      </w:hyperlink>
      <w:r w:rsidRPr="00BA1B56">
        <w:rPr>
          <w:rStyle w:val="TextoNormalCaracter"/>
        </w:rPr>
        <w:t xml:space="preserve">, ff. 1 a 5; </w:t>
      </w:r>
      <w:hyperlink w:anchor="AUTO_2012_110" w:history="1">
        <w:r w:rsidRPr="00BA1B56">
          <w:rPr>
            <w:rStyle w:val="TextoNormalCaracter"/>
          </w:rPr>
          <w:t>110/2012</w:t>
        </w:r>
      </w:hyperlink>
      <w:r w:rsidRPr="00BA1B56">
        <w:rPr>
          <w:rStyle w:val="TextoNormalCaracter"/>
        </w:rPr>
        <w:t>, ff. 1 a 5.</w:t>
      </w:r>
    </w:p>
    <w:p w:rsidR="00BA1B56" w:rsidRPr="00BA1B56" w:rsidRDefault="00BA1B56" w:rsidP="00BA1B56">
      <w:pPr>
        <w:pStyle w:val="TextoNormalSangraFrancesa"/>
        <w:rPr>
          <w:rStyle w:val="TextoNormalCaracter"/>
        </w:rPr>
      </w:pPr>
      <w:bookmarkStart w:id="1549" w:name="DESCRIPTORALFABETICO413"/>
      <w:r w:rsidRPr="00BA1B56">
        <w:rPr>
          <w:rStyle w:val="TextoNormalNegritaCaracter"/>
        </w:rPr>
        <w:t>Creación de partidos políticos</w:t>
      </w:r>
      <w:bookmarkEnd w:id="1549"/>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3 a 6, 14, 16, VP II.</w:t>
      </w:r>
    </w:p>
    <w:p w:rsidR="00BA1B56" w:rsidRPr="00BA1B56" w:rsidRDefault="00BA1B56" w:rsidP="00BA1B56">
      <w:pPr>
        <w:pStyle w:val="TextoNormalSangraFrancesa"/>
        <w:rPr>
          <w:rStyle w:val="TextoNormalNegritaCaracter"/>
        </w:rPr>
      </w:pPr>
      <w:r w:rsidRPr="00BA1B56">
        <w:rPr>
          <w:rStyle w:val="TextoNormalCursivaCaracter"/>
        </w:rPr>
        <w:t>Crédito de horas sindicales</w:t>
      </w:r>
      <w:r>
        <w:t xml:space="preserve"> véase </w:t>
      </w:r>
      <w:hyperlink w:anchor="DESCRIPTORALFABETICO837" w:history="1">
        <w:r w:rsidRPr="00BA1B56">
          <w:rPr>
            <w:rStyle w:val="TextoNormalNegritaCaracter"/>
          </w:rPr>
          <w:t>Crédito horario</w:t>
        </w:r>
      </w:hyperlink>
    </w:p>
    <w:p w:rsidR="00BA1B56" w:rsidRPr="00BA1B56" w:rsidRDefault="00BA1B56" w:rsidP="00BA1B56">
      <w:pPr>
        <w:pStyle w:val="TextoNormalSangraFrancesa"/>
        <w:rPr>
          <w:rStyle w:val="TextoNormalCaracter"/>
        </w:rPr>
      </w:pPr>
      <w:bookmarkStart w:id="1550" w:name="DESCRIPTORALFABETICO837"/>
      <w:r w:rsidRPr="00BA1B56">
        <w:rPr>
          <w:rStyle w:val="TextoNormalNegritaCaracter"/>
        </w:rPr>
        <w:t>Crédito horario</w:t>
      </w:r>
      <w:bookmarkEnd w:id="1550"/>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5, 7.</w:t>
      </w:r>
    </w:p>
    <w:p w:rsidR="00BA1B56" w:rsidRPr="00BA1B56" w:rsidRDefault="00BA1B56" w:rsidP="00BA1B56">
      <w:pPr>
        <w:pStyle w:val="TextoNormalSangraFrancesa"/>
        <w:rPr>
          <w:rStyle w:val="TextoNormalNegritaCaracter"/>
        </w:rPr>
      </w:pPr>
      <w:r w:rsidRPr="00BA1B56">
        <w:rPr>
          <w:rStyle w:val="TextoNormalCursivaCaracter"/>
        </w:rPr>
        <w:t>Crédito público</w:t>
      </w:r>
      <w:r>
        <w:t xml:space="preserve"> véase </w:t>
      </w:r>
      <w:hyperlink w:anchor="DESCRIPTORALFABETICO67" w:history="1">
        <w:r w:rsidRPr="00BA1B56">
          <w:rPr>
            <w:rStyle w:val="TextoNormalNegritaCaracter"/>
          </w:rPr>
          <w:t>Deuda pública</w:t>
        </w:r>
      </w:hyperlink>
    </w:p>
    <w:p w:rsidR="00BA1B56" w:rsidRPr="00BA1B56" w:rsidRDefault="00BA1B56" w:rsidP="00BA1B56">
      <w:pPr>
        <w:pStyle w:val="TextoNormalSangraFrancesa"/>
        <w:rPr>
          <w:rStyle w:val="TextoNormalCaracter"/>
        </w:rPr>
      </w:pPr>
      <w:bookmarkStart w:id="1551" w:name="DESCRIPTORALFABETICO544"/>
      <w:r w:rsidRPr="00BA1B56">
        <w:rPr>
          <w:rStyle w:val="TextoNormalNegritaCaracter"/>
        </w:rPr>
        <w:t>Créditos hipotecarios</w:t>
      </w:r>
      <w:bookmarkEnd w:id="1551"/>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1552" w:name="DESCRIPTORALFABETICO545"/>
      <w:r w:rsidRPr="00BA1B56">
        <w:rPr>
          <w:rStyle w:val="TextoNormalNegritaCaracter"/>
        </w:rPr>
        <w:t>Créditos privilegiados</w:t>
      </w:r>
      <w:bookmarkEnd w:id="1552"/>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6.</w:t>
      </w:r>
    </w:p>
    <w:p w:rsidR="00BA1B56" w:rsidRPr="00BA1B56" w:rsidRDefault="00BA1B56" w:rsidP="00BA1B56">
      <w:pPr>
        <w:pStyle w:val="TextoNormalSangraFrancesa"/>
        <w:rPr>
          <w:rStyle w:val="TextoNormalCaracter"/>
        </w:rPr>
      </w:pPr>
      <w:bookmarkStart w:id="1553" w:name="DESCRIPTORALFABETICO16"/>
      <w:r w:rsidRPr="00BA1B56">
        <w:rPr>
          <w:rStyle w:val="TextoNormalNegritaCaracter"/>
        </w:rPr>
        <w:t>Criterio territorial de distribución de competencias</w:t>
      </w:r>
      <w:bookmarkEnd w:id="1553"/>
      <w:r w:rsidRPr="00BA1B56">
        <w:rPr>
          <w:rStyle w:val="TextoNormalCaracter"/>
        </w:rPr>
        <w:t xml:space="preserve">, Sentencia </w:t>
      </w:r>
      <w:hyperlink w:anchor="SENTENCIA_2012_38" w:history="1">
        <w:r w:rsidRPr="00BA1B56">
          <w:rPr>
            <w:rStyle w:val="TextoNormalCaracter"/>
          </w:rPr>
          <w:t>38/2012</w:t>
        </w:r>
      </w:hyperlink>
      <w:r w:rsidRPr="00BA1B56">
        <w:rPr>
          <w:rStyle w:val="TextoNormalCaracter"/>
        </w:rPr>
        <w:t>, f. 5.</w:t>
      </w:r>
    </w:p>
    <w:p w:rsidR="00BA1B56" w:rsidRPr="00BA1B56" w:rsidRDefault="00BA1B56" w:rsidP="00BA1B56">
      <w:pPr>
        <w:pStyle w:val="TextoNormalSangraFrancesa"/>
        <w:rPr>
          <w:rStyle w:val="TextoNormalCaracter"/>
        </w:rPr>
      </w:pPr>
      <w:bookmarkStart w:id="1554" w:name="DESCRIPTORALFABETICO883"/>
      <w:r w:rsidRPr="00BA1B56">
        <w:rPr>
          <w:rStyle w:val="TextoNormalNegritaCaracter"/>
        </w:rPr>
        <w:t>Criterios para la fijación de costas procesales</w:t>
      </w:r>
      <w:bookmarkEnd w:id="1554"/>
      <w:r w:rsidRPr="00BA1B56">
        <w:rPr>
          <w:rStyle w:val="TextoNormalCaracter"/>
        </w:rPr>
        <w:t xml:space="preserve">, Auto </w:t>
      </w:r>
      <w:hyperlink w:anchor="AUTO_2012_119" w:history="1">
        <w:r w:rsidRPr="00BA1B56">
          <w:rPr>
            <w:rStyle w:val="TextoNormalCaracter"/>
          </w:rPr>
          <w:t>119/2012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55" w:name="DESCRIPTORALFABETICO618"/>
      <w:r w:rsidRPr="00BA1B56">
        <w:rPr>
          <w:rStyle w:val="TextoNormalNegritaCaracter"/>
        </w:rPr>
        <w:t>Cuantía de las subvenciones públicas</w:t>
      </w:r>
      <w:bookmarkEnd w:id="1555"/>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8.</w:t>
      </w:r>
    </w:p>
    <w:p w:rsidR="00BA1B56" w:rsidRPr="00BA1B56" w:rsidRDefault="00BA1B56" w:rsidP="00BA1B56">
      <w:pPr>
        <w:pStyle w:val="TextoNormalSangraFrancesa"/>
        <w:rPr>
          <w:rStyle w:val="TextoNormalCaracter"/>
        </w:rPr>
      </w:pPr>
      <w:bookmarkStart w:id="1556" w:name="DESCRIPTORALFABETICO117"/>
      <w:r w:rsidRPr="00BA1B56">
        <w:rPr>
          <w:rStyle w:val="TextoNormalNegritaCaracter"/>
        </w:rPr>
        <w:t>Cuantía de las tasas</w:t>
      </w:r>
      <w:bookmarkEnd w:id="1556"/>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557" w:name="DESCRIPTORALFABETICO884"/>
      <w:r w:rsidRPr="00BA1B56">
        <w:rPr>
          <w:rStyle w:val="TextoNormalNegritaCaracter"/>
        </w:rPr>
        <w:t>Cuantía litigiosa</w:t>
      </w:r>
      <w:bookmarkEnd w:id="1557"/>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58" w:name="DESCRIPTORALFABETICO800"/>
      <w:r w:rsidRPr="00BA1B56">
        <w:rPr>
          <w:rStyle w:val="TextoNormalNegritaCaracter"/>
        </w:rPr>
        <w:t>Cuantificación de la indemnización</w:t>
      </w:r>
      <w:bookmarkEnd w:id="1558"/>
      <w:r w:rsidRPr="00BA1B56">
        <w:rPr>
          <w:rStyle w:val="TextoNormalCaracter"/>
        </w:rPr>
        <w:t xml:space="preserve">, Auto </w:t>
      </w:r>
      <w:hyperlink w:anchor="AUTO_2012_119" w:history="1">
        <w:r w:rsidRPr="00BA1B56">
          <w:rPr>
            <w:rStyle w:val="TextoNormalCaracter"/>
          </w:rPr>
          <w:t>119/2012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59" w:name="DESCRIPTORALFABETICO455"/>
      <w:r w:rsidRPr="00BA1B56">
        <w:rPr>
          <w:rStyle w:val="TextoNormalNegritaCaracter"/>
        </w:rPr>
        <w:t>Cuestión de confianza</w:t>
      </w:r>
      <w:bookmarkEnd w:id="1559"/>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7.</w:t>
      </w:r>
    </w:p>
    <w:p w:rsidR="00BA1B56" w:rsidRPr="00BA1B56" w:rsidRDefault="00BA1B56" w:rsidP="00BA1B56">
      <w:pPr>
        <w:pStyle w:val="TextoNormalSangraFrancesa"/>
        <w:rPr>
          <w:rStyle w:val="TextoNormalCaracter"/>
        </w:rPr>
      </w:pPr>
      <w:bookmarkStart w:id="1560" w:name="DESCRIPTORALFABETICO326"/>
      <w:r w:rsidRPr="00BA1B56">
        <w:rPr>
          <w:rStyle w:val="TextoNormalNegritaCaracter"/>
        </w:rPr>
        <w:t>Cuestión de inconstitucionalidad</w:t>
      </w:r>
      <w:bookmarkEnd w:id="1560"/>
      <w:r w:rsidRPr="00BA1B56">
        <w:rPr>
          <w:rStyle w:val="TextoNormalCaracter"/>
        </w:rPr>
        <w:t xml:space="preserve">, Sentencias </w:t>
      </w:r>
      <w:hyperlink w:anchor="SENTENCIA_2012_21" w:history="1">
        <w:r w:rsidRPr="00BA1B56">
          <w:rPr>
            <w:rStyle w:val="TextoNormalCaracter"/>
          </w:rPr>
          <w:t>21/2012</w:t>
        </w:r>
      </w:hyperlink>
      <w:r w:rsidRPr="00BA1B56">
        <w:rPr>
          <w:rStyle w:val="TextoNormalCaracter"/>
        </w:rPr>
        <w:t xml:space="preserve">, f. 2; </w:t>
      </w:r>
      <w:hyperlink w:anchor="SENTENCIA_2012_27" w:history="1">
        <w:r w:rsidRPr="00BA1B56">
          <w:rPr>
            <w:rStyle w:val="TextoNormalCaracter"/>
          </w:rPr>
          <w:t>27/2012</w:t>
        </w:r>
      </w:hyperlink>
      <w:r w:rsidRPr="00BA1B56">
        <w:rPr>
          <w:rStyle w:val="TextoNormalCaracter"/>
        </w:rPr>
        <w:t xml:space="preserve">, f. 10; </w:t>
      </w:r>
      <w:hyperlink w:anchor="SENTENCIA_2012_86" w:history="1">
        <w:r w:rsidRPr="00BA1B56">
          <w:rPr>
            <w:rStyle w:val="TextoNormalCaracter"/>
          </w:rPr>
          <w:t>86/2012</w:t>
        </w:r>
      </w:hyperlink>
      <w:r w:rsidRPr="00BA1B56">
        <w:rPr>
          <w:rStyle w:val="TextoNormalCaracter"/>
        </w:rPr>
        <w:t xml:space="preserve">, f. 3; </w:t>
      </w:r>
      <w:hyperlink w:anchor="SENTENCIA_2012_87" w:history="1">
        <w:r w:rsidRPr="00BA1B56">
          <w:rPr>
            <w:rStyle w:val="TextoNormalCaracter"/>
          </w:rPr>
          <w:t>87/2012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5" w:history="1">
        <w:r w:rsidRPr="00BA1B56">
          <w:rPr>
            <w:rStyle w:val="TextoNormalCaracter"/>
          </w:rPr>
          <w:t>5/2012</w:t>
        </w:r>
      </w:hyperlink>
      <w:r w:rsidRPr="00BA1B56">
        <w:rPr>
          <w:rStyle w:val="TextoNormalCaracter"/>
        </w:rPr>
        <w:t xml:space="preserve">, f. único; </w:t>
      </w:r>
      <w:hyperlink w:anchor="AUTO_2012_6" w:history="1">
        <w:r w:rsidRPr="00BA1B56">
          <w:rPr>
            <w:rStyle w:val="TextoNormalCaracter"/>
          </w:rPr>
          <w:t>6/2012</w:t>
        </w:r>
      </w:hyperlink>
      <w:r w:rsidRPr="00BA1B56">
        <w:rPr>
          <w:rStyle w:val="TextoNormalCaracter"/>
        </w:rPr>
        <w:t xml:space="preserve">, f. único; </w:t>
      </w:r>
      <w:hyperlink w:anchor="AUTO_2012_31" w:history="1">
        <w:r w:rsidRPr="00BA1B56">
          <w:rPr>
            <w:rStyle w:val="TextoNormalCaracter"/>
          </w:rPr>
          <w:t>31/2012</w:t>
        </w:r>
      </w:hyperlink>
      <w:r w:rsidRPr="00BA1B56">
        <w:rPr>
          <w:rStyle w:val="TextoNormalCaracter"/>
        </w:rPr>
        <w:t xml:space="preserve">, ff. 4, 5; </w:t>
      </w:r>
      <w:hyperlink w:anchor="AUTO_2012_47" w:history="1">
        <w:r w:rsidRPr="00BA1B56">
          <w:rPr>
            <w:rStyle w:val="TextoNormalCaracter"/>
          </w:rPr>
          <w:t>47/2012</w:t>
        </w:r>
      </w:hyperlink>
      <w:r w:rsidRPr="00BA1B56">
        <w:rPr>
          <w:rStyle w:val="TextoNormalCaracter"/>
        </w:rPr>
        <w:t xml:space="preserve">, f. único; </w:t>
      </w:r>
      <w:hyperlink w:anchor="AUTO_2012_48" w:history="1">
        <w:r w:rsidRPr="00BA1B56">
          <w:rPr>
            <w:rStyle w:val="TextoNormalCaracter"/>
          </w:rPr>
          <w:t>48/2012</w:t>
        </w:r>
      </w:hyperlink>
      <w:r w:rsidRPr="00BA1B56">
        <w:rPr>
          <w:rStyle w:val="TextoNormalCaracter"/>
        </w:rPr>
        <w:t xml:space="preserve">, f. único; </w:t>
      </w:r>
      <w:hyperlink w:anchor="AUTO_2012_50" w:history="1">
        <w:r w:rsidRPr="00BA1B56">
          <w:rPr>
            <w:rStyle w:val="TextoNormalCaracter"/>
          </w:rPr>
          <w:t>50/2012</w:t>
        </w:r>
      </w:hyperlink>
      <w:r w:rsidRPr="00BA1B56">
        <w:rPr>
          <w:rStyle w:val="TextoNormalCaracter"/>
        </w:rPr>
        <w:t xml:space="preserve">, f. único; </w:t>
      </w:r>
      <w:hyperlink w:anchor="AUTO_2012_51" w:history="1">
        <w:r w:rsidRPr="00BA1B56">
          <w:rPr>
            <w:rStyle w:val="TextoNormalCaracter"/>
          </w:rPr>
          <w:t>51/2012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561" w:name="DESCRIPTORALFABETICO331"/>
      <w:r w:rsidRPr="00BA1B56">
        <w:rPr>
          <w:rStyle w:val="TextoNormalNegritaCaracter"/>
        </w:rPr>
        <w:t>Cuestión de inconstitucionalidad notoriamente infundada</w:t>
      </w:r>
      <w:bookmarkEnd w:id="1561"/>
      <w:r w:rsidRPr="00BA1B56">
        <w:rPr>
          <w:rStyle w:val="TextoNormalCaracter"/>
        </w:rPr>
        <w:t xml:space="preserve">, Autos </w:t>
      </w:r>
      <w:hyperlink w:anchor="AUTO_2012_8" w:history="1">
        <w:r w:rsidRPr="00BA1B56">
          <w:rPr>
            <w:rStyle w:val="TextoNormalCaracter"/>
          </w:rPr>
          <w:t>8/2012</w:t>
        </w:r>
      </w:hyperlink>
      <w:r w:rsidRPr="00BA1B56">
        <w:rPr>
          <w:rStyle w:val="TextoNormalCaracter"/>
        </w:rPr>
        <w:t xml:space="preserve">, f. 3; </w:t>
      </w:r>
      <w:hyperlink w:anchor="AUTO_2012_34" w:history="1">
        <w:r w:rsidRPr="00BA1B56">
          <w:rPr>
            <w:rStyle w:val="TextoNormalCaracter"/>
          </w:rPr>
          <w:t>34/2012</w:t>
        </w:r>
      </w:hyperlink>
      <w:r w:rsidRPr="00BA1B56">
        <w:rPr>
          <w:rStyle w:val="TextoNormalCaracter"/>
        </w:rPr>
        <w:t xml:space="preserve">, f. 2; </w:t>
      </w:r>
      <w:hyperlink w:anchor="AUTO_2012_35" w:history="1">
        <w:r w:rsidRPr="00BA1B56">
          <w:rPr>
            <w:rStyle w:val="TextoNormalCaracter"/>
          </w:rPr>
          <w:t>35/2012</w:t>
        </w:r>
      </w:hyperlink>
      <w:r w:rsidRPr="00BA1B56">
        <w:rPr>
          <w:rStyle w:val="TextoNormalCaracter"/>
        </w:rPr>
        <w:t xml:space="preserve">, f. 3; </w:t>
      </w:r>
      <w:hyperlink w:anchor="AUTO_2012_39" w:history="1">
        <w:r w:rsidRPr="00BA1B56">
          <w:rPr>
            <w:rStyle w:val="TextoNormalCaracter"/>
          </w:rPr>
          <w:t>39/2012</w:t>
        </w:r>
      </w:hyperlink>
      <w:r w:rsidRPr="00BA1B56">
        <w:rPr>
          <w:rStyle w:val="TextoNormalCaracter"/>
        </w:rPr>
        <w:t xml:space="preserve">, f. 6; </w:t>
      </w:r>
      <w:hyperlink w:anchor="AUTO_2012_68" w:history="1">
        <w:r w:rsidRPr="00BA1B56">
          <w:rPr>
            <w:rStyle w:val="TextoNormalCaracter"/>
          </w:rPr>
          <w:t>68/2012</w:t>
        </w:r>
      </w:hyperlink>
      <w:r w:rsidRPr="00BA1B56">
        <w:rPr>
          <w:rStyle w:val="TextoNormalCaracter"/>
        </w:rPr>
        <w:t xml:space="preserve">, f. 4; </w:t>
      </w:r>
      <w:hyperlink w:anchor="AUTO_2012_109" w:history="1">
        <w:r w:rsidRPr="00BA1B56">
          <w:rPr>
            <w:rStyle w:val="TextoNormalCaracter"/>
          </w:rPr>
          <w:t>109/2012</w:t>
        </w:r>
      </w:hyperlink>
      <w:r w:rsidRPr="00BA1B56">
        <w:rPr>
          <w:rStyle w:val="TextoNormalCaracter"/>
        </w:rPr>
        <w:t xml:space="preserve">, f. 5; </w:t>
      </w:r>
      <w:hyperlink w:anchor="AUTO_2012_110" w:history="1">
        <w:r w:rsidRPr="00BA1B56">
          <w:rPr>
            <w:rStyle w:val="TextoNormalCaracter"/>
          </w:rPr>
          <w:t>110/2012</w:t>
        </w:r>
      </w:hyperlink>
      <w:r w:rsidRPr="00BA1B56">
        <w:rPr>
          <w:rStyle w:val="TextoNormalCaracter"/>
        </w:rPr>
        <w:t xml:space="preserve">, f. 5; </w:t>
      </w:r>
      <w:hyperlink w:anchor="AUTO_2012_111" w:history="1">
        <w:r w:rsidRPr="00BA1B56">
          <w:rPr>
            <w:rStyle w:val="TextoNormalCaracter"/>
          </w:rPr>
          <w:t>111/2012</w:t>
        </w:r>
      </w:hyperlink>
      <w:r w:rsidRPr="00BA1B56">
        <w:rPr>
          <w:rStyle w:val="TextoNormalCaracter"/>
        </w:rPr>
        <w:t xml:space="preserve">, ff. 2, 3; </w:t>
      </w:r>
      <w:hyperlink w:anchor="AUTO_2012_119" w:history="1">
        <w:r w:rsidRPr="00BA1B56">
          <w:rPr>
            <w:rStyle w:val="TextoNormalCaracter"/>
          </w:rPr>
          <w:t>119/2012</w:t>
        </w:r>
      </w:hyperlink>
      <w:r w:rsidRPr="00BA1B56">
        <w:rPr>
          <w:rStyle w:val="TextoNormalCaracter"/>
        </w:rPr>
        <w:t xml:space="preserve">, f. 5; </w:t>
      </w:r>
      <w:hyperlink w:anchor="AUTO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62" w:name="DESCRIPTORALFABETICO332"/>
      <w:r w:rsidRPr="00BA1B56">
        <w:rPr>
          <w:rStyle w:val="TextoNormalNegritaCaracter"/>
        </w:rPr>
        <w:t>Cuestión de inconstitucionalidad resuelta previamente</w:t>
      </w:r>
      <w:bookmarkEnd w:id="1562"/>
      <w:r w:rsidRPr="00BA1B56">
        <w:rPr>
          <w:rStyle w:val="TextoNormalCaracter"/>
        </w:rPr>
        <w:t xml:space="preserve">, Autos </w:t>
      </w:r>
      <w:hyperlink w:anchor="AUTO_2012_111" w:history="1">
        <w:r w:rsidRPr="00BA1B56">
          <w:rPr>
            <w:rStyle w:val="TextoNormalCaracter"/>
          </w:rPr>
          <w:t>111/2012</w:t>
        </w:r>
      </w:hyperlink>
      <w:r w:rsidRPr="00BA1B56">
        <w:rPr>
          <w:rStyle w:val="TextoNormalCaracter"/>
        </w:rPr>
        <w:t xml:space="preserve">, f. 3; </w:t>
      </w:r>
      <w:hyperlink w:anchor="AUTO_2012_126" w:history="1">
        <w:r w:rsidRPr="00BA1B56">
          <w:rPr>
            <w:rStyle w:val="TextoNormalCaracter"/>
          </w:rPr>
          <w:t>126/2012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563" w:name="DESCRIPTORALFABETICO885"/>
      <w:r w:rsidRPr="00BA1B56">
        <w:rPr>
          <w:rStyle w:val="TextoNormalNegritaCaracter"/>
        </w:rPr>
        <w:t>Cuestión de legalidad ordinaria</w:t>
      </w:r>
      <w:bookmarkEnd w:id="1563"/>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2, VP I, VP II.</w:t>
      </w:r>
    </w:p>
    <w:p w:rsidR="00BA1B56" w:rsidRPr="00BA1B56" w:rsidRDefault="00BA1B56" w:rsidP="00BA1B56">
      <w:pPr>
        <w:pStyle w:val="TextoNormalSangraFrancesa"/>
        <w:rPr>
          <w:rStyle w:val="TextoNormalCaracter"/>
        </w:rPr>
      </w:pPr>
      <w:bookmarkStart w:id="1564" w:name="DESCRIPTORALFABETICO342"/>
      <w:r w:rsidRPr="00BA1B56">
        <w:rPr>
          <w:rStyle w:val="TextoNormalNegritaCaracter"/>
        </w:rPr>
        <w:t>Cuestionamiento de la doctrina legal vinculante del Tribunal Supremo</w:t>
      </w:r>
      <w:bookmarkEnd w:id="1564"/>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1 a 12, VP I, VP II, VP III, VP IV; </w:t>
      </w:r>
      <w:hyperlink w:anchor="SENTENCIA_2012_75" w:history="1">
        <w:r w:rsidRPr="00BA1B56">
          <w:rPr>
            <w:rStyle w:val="TextoNormalCaracter"/>
          </w:rPr>
          <w:t>75/2012</w:t>
        </w:r>
      </w:hyperlink>
      <w:r w:rsidRPr="00BA1B56">
        <w:rPr>
          <w:rStyle w:val="TextoNormalCaracter"/>
        </w:rPr>
        <w:t xml:space="preserve">, ff. 2 a 4; </w:t>
      </w:r>
      <w:hyperlink w:anchor="SENTENCIA_2012_91" w:history="1">
        <w:r w:rsidRPr="00BA1B56">
          <w:rPr>
            <w:rStyle w:val="TextoNormalCaracter"/>
          </w:rPr>
          <w:t>91/2012</w:t>
        </w:r>
      </w:hyperlink>
      <w:r w:rsidRPr="00BA1B56">
        <w:rPr>
          <w:rStyle w:val="TextoNormalCaracter"/>
        </w:rPr>
        <w:t xml:space="preserve">, ff. 2 a 4; </w:t>
      </w:r>
      <w:hyperlink w:anchor="SENTENCIA_2012_93" w:history="1">
        <w:r w:rsidRPr="00BA1B56">
          <w:rPr>
            <w:rStyle w:val="TextoNormalCaracter"/>
          </w:rPr>
          <w:t>93/2012</w:t>
        </w:r>
      </w:hyperlink>
      <w:r w:rsidRPr="00BA1B56">
        <w:rPr>
          <w:rStyle w:val="TextoNormalCaracter"/>
        </w:rPr>
        <w:t xml:space="preserve">, ff. 2 a 4; </w:t>
      </w:r>
      <w:hyperlink w:anchor="SENTENCIA_2012_94" w:history="1">
        <w:r w:rsidRPr="00BA1B56">
          <w:rPr>
            <w:rStyle w:val="TextoNormalCaracter"/>
          </w:rPr>
          <w:t>94/2012</w:t>
        </w:r>
      </w:hyperlink>
      <w:r w:rsidRPr="00BA1B56">
        <w:rPr>
          <w:rStyle w:val="TextoNormalCaracter"/>
        </w:rPr>
        <w:t xml:space="preserve">, ff. 2 a 4; </w:t>
      </w:r>
      <w:hyperlink w:anchor="SENTENCIA_2012_98" w:history="1">
        <w:r w:rsidRPr="00BA1B56">
          <w:rPr>
            <w:rStyle w:val="TextoNormalCaracter"/>
          </w:rPr>
          <w:t>98/2012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1565" w:name="DESCRIPTORALFABETICO568"/>
      <w:r w:rsidRPr="00BA1B56">
        <w:rPr>
          <w:rStyle w:val="TextoNormalNegritaCaracter"/>
        </w:rPr>
        <w:t>Cultura</w:t>
      </w:r>
      <w:bookmarkEnd w:id="1565"/>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ff. 5, 7; </w:t>
      </w:r>
      <w:hyperlink w:anchor="SENTENCIA_2012_89" w:history="1">
        <w:r w:rsidRPr="00BA1B56">
          <w:rPr>
            <w:rStyle w:val="TextoNormalCaracter"/>
          </w:rPr>
          <w:t>89/2012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Concepto, </w:t>
      </w:r>
      <w:r w:rsidRPr="00BA1B56">
        <w:rPr>
          <w:rStyle w:val="TextoNormalCaracter"/>
        </w:rPr>
        <w:t xml:space="preserve">Sentencia </w:t>
      </w:r>
      <w:hyperlink w:anchor="SENTENCIA_2012_80" w:history="1">
        <w:r w:rsidRPr="00BA1B56">
          <w:rPr>
            <w:rStyle w:val="TextoNormalCaracter"/>
          </w:rPr>
          <w:t>80/2012</w:t>
        </w:r>
      </w:hyperlink>
      <w:r w:rsidRPr="00BA1B56">
        <w:rPr>
          <w:rStyle w:val="TextoNormalCaracter"/>
        </w:rPr>
        <w:t>, f. 5.</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D</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NegritaCaracter"/>
        </w:rPr>
      </w:pPr>
      <w:r w:rsidRPr="00BA1B56">
        <w:rPr>
          <w:rStyle w:val="TextoNormalCursivaCaracter"/>
        </w:rPr>
        <w:t>Daños no acreditados</w:t>
      </w:r>
      <w:r>
        <w:t xml:space="preserve"> véase </w:t>
      </w:r>
      <w:hyperlink w:anchor="DESCRIPTORALFABETICO275" w:history="1">
        <w:r w:rsidRPr="00BA1B56">
          <w:rPr>
            <w:rStyle w:val="TextoNormalNegritaCaracter"/>
          </w:rPr>
          <w:t>Prueba del perjuicio</w:t>
        </w:r>
      </w:hyperlink>
    </w:p>
    <w:p w:rsidR="00BA1B56" w:rsidRPr="00BA1B56" w:rsidRDefault="00BA1B56" w:rsidP="00BA1B56">
      <w:pPr>
        <w:pStyle w:val="TextoNormalSangraFrancesa"/>
        <w:rPr>
          <w:rStyle w:val="TextoNormalCaracter"/>
        </w:rPr>
      </w:pPr>
      <w:bookmarkStart w:id="1566" w:name="DESCRIPTORALFABETICO185"/>
      <w:r w:rsidRPr="00BA1B56">
        <w:rPr>
          <w:rStyle w:val="TextoNormalNegritaCaracter"/>
        </w:rPr>
        <w:t>Datos bancarios</w:t>
      </w:r>
      <w:bookmarkEnd w:id="1566"/>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2 a 11.</w:t>
      </w:r>
    </w:p>
    <w:p w:rsidR="00BA1B56" w:rsidRPr="00BA1B56" w:rsidRDefault="00BA1B56" w:rsidP="00BA1B56">
      <w:pPr>
        <w:pStyle w:val="TextoNormalSangraFrancesa"/>
        <w:rPr>
          <w:rStyle w:val="TextoNormalCaracter"/>
        </w:rPr>
      </w:pPr>
      <w:bookmarkStart w:id="1567" w:name="DESCRIPTORALFABETICO184"/>
      <w:r w:rsidRPr="00BA1B56">
        <w:rPr>
          <w:rStyle w:val="TextoNormalNegritaCaracter"/>
        </w:rPr>
        <w:t>Datos personales</w:t>
      </w:r>
      <w:bookmarkEnd w:id="1567"/>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1 a 11.</w:t>
      </w:r>
    </w:p>
    <w:p w:rsidR="00BA1B56" w:rsidRPr="00BA1B56" w:rsidRDefault="00BA1B56" w:rsidP="00BA1B56">
      <w:pPr>
        <w:pStyle w:val="TextoNormalSangraFrancesa"/>
        <w:rPr>
          <w:rStyle w:val="TextoNormalCaracter"/>
        </w:rPr>
      </w:pPr>
      <w:bookmarkStart w:id="1568" w:name="DESCRIPTORALFABETICO125"/>
      <w:r w:rsidRPr="00BA1B56">
        <w:rPr>
          <w:rStyle w:val="TextoNormalNegritaCaracter"/>
        </w:rPr>
        <w:t>Deber de contribución al gasto público</w:t>
      </w:r>
      <w:bookmarkEnd w:id="1568"/>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9.</w:t>
      </w:r>
    </w:p>
    <w:p w:rsidR="00BA1B56" w:rsidRPr="00BA1B56" w:rsidRDefault="00BA1B56" w:rsidP="00BA1B56">
      <w:pPr>
        <w:pStyle w:val="TextoNormalSangraFrancesa"/>
        <w:rPr>
          <w:rStyle w:val="TextoNormalCaracter"/>
        </w:rPr>
      </w:pPr>
      <w:bookmarkStart w:id="1569" w:name="DESCRIPTORALFABETICO971"/>
      <w:r w:rsidRPr="00BA1B56">
        <w:rPr>
          <w:rStyle w:val="TextoNormalNegritaCaracter"/>
        </w:rPr>
        <w:t>Declaración ante el Juez de instrucción</w:t>
      </w:r>
      <w:bookmarkEnd w:id="1569"/>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5.</w:t>
      </w:r>
    </w:p>
    <w:p w:rsidR="00BA1B56" w:rsidRPr="00BA1B56" w:rsidRDefault="00BA1B56" w:rsidP="00BA1B56">
      <w:pPr>
        <w:pStyle w:val="TextoNormalSangraFrancesa"/>
        <w:rPr>
          <w:rStyle w:val="TextoNormalCaracter"/>
        </w:rPr>
      </w:pPr>
      <w:bookmarkStart w:id="1570" w:name="DESCRIPTORALFABETICO659"/>
      <w:r w:rsidRPr="00BA1B56">
        <w:rPr>
          <w:rStyle w:val="TextoNormalNegritaCaracter"/>
        </w:rPr>
        <w:t>Declaración de espacio natural protegido</w:t>
      </w:r>
      <w:bookmarkEnd w:id="1570"/>
      <w:r w:rsidRPr="00BA1B56">
        <w:rPr>
          <w:rStyle w:val="TextoNormalCaracter"/>
        </w:rPr>
        <w:t xml:space="preserve">, Sentencia </w:t>
      </w:r>
      <w:hyperlink w:anchor="SENTENCIA_2012_82" w:history="1">
        <w:r w:rsidRPr="00BA1B56">
          <w:rPr>
            <w:rStyle w:val="TextoNormalCaracter"/>
          </w:rPr>
          <w:t>82/2012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1571" w:name="DESCRIPTORALFABETICO270"/>
      <w:r w:rsidRPr="00BA1B56">
        <w:rPr>
          <w:rStyle w:val="TextoNormalNegritaCaracter"/>
        </w:rPr>
        <w:t>Declaración de incompetencia del Tribunal Constitucional</w:t>
      </w:r>
      <w:bookmarkEnd w:id="1571"/>
      <w:r w:rsidRPr="00BA1B56">
        <w:rPr>
          <w:rStyle w:val="TextoNormalCaracter"/>
        </w:rPr>
        <w:t xml:space="preserve">, Autos </w:t>
      </w:r>
      <w:hyperlink w:anchor="AUTO_2012_54" w:history="1">
        <w:r w:rsidRPr="00BA1B56">
          <w:rPr>
            <w:rStyle w:val="TextoNormalCaracter"/>
          </w:rPr>
          <w:t>54/2012</w:t>
        </w:r>
      </w:hyperlink>
      <w:r w:rsidRPr="00BA1B56">
        <w:rPr>
          <w:rStyle w:val="TextoNormalCaracter"/>
        </w:rPr>
        <w:t xml:space="preserve">, f. 3; </w:t>
      </w:r>
      <w:hyperlink w:anchor="AUTO_2012_80" w:history="1">
        <w:r w:rsidRPr="00BA1B56">
          <w:rPr>
            <w:rStyle w:val="TextoNormalCaracter"/>
          </w:rPr>
          <w:t>80/2012</w:t>
        </w:r>
      </w:hyperlink>
      <w:r w:rsidRPr="00BA1B56">
        <w:rPr>
          <w:rStyle w:val="TextoNormalCaracter"/>
        </w:rPr>
        <w:t xml:space="preserve">, f. 3; </w:t>
      </w:r>
      <w:hyperlink w:anchor="AUTO_2012_112" w:history="1">
        <w:r w:rsidRPr="00BA1B56">
          <w:rPr>
            <w:rStyle w:val="TextoNormalCaracter"/>
          </w:rPr>
          <w:t>112/2012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572" w:name="DESCRIPTORALFABETICO348"/>
      <w:r w:rsidRPr="00BA1B56">
        <w:rPr>
          <w:rStyle w:val="TextoNormalNegritaCaracter"/>
        </w:rPr>
        <w:t>Declaración de inconstitucionalidad</w:t>
      </w:r>
      <w:bookmarkEnd w:id="1572"/>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13.</w:t>
      </w:r>
    </w:p>
    <w:p w:rsidR="00BA1B56" w:rsidRPr="00BA1B56" w:rsidRDefault="00BA1B56" w:rsidP="00BA1B56">
      <w:pPr>
        <w:pStyle w:val="TextoNormalSangraFrancesa"/>
        <w:rPr>
          <w:rStyle w:val="TextoNormalNegritaCaracter"/>
        </w:rPr>
      </w:pPr>
      <w:r w:rsidRPr="00BA1B56">
        <w:rPr>
          <w:rStyle w:val="TextoNormalCursivaCaracter"/>
        </w:rPr>
        <w:t>Declaración del imputado ante el Juez de instrucción</w:t>
      </w:r>
      <w:r>
        <w:t xml:space="preserve"> véase </w:t>
      </w:r>
      <w:hyperlink w:anchor="DESCRIPTORALFABETICO971" w:history="1">
        <w:r w:rsidRPr="00BA1B56">
          <w:rPr>
            <w:rStyle w:val="TextoNormalNegritaCaracter"/>
          </w:rPr>
          <w:t>Declaración ante el Juez de instrucción</w:t>
        </w:r>
      </w:hyperlink>
    </w:p>
    <w:p w:rsidR="00BA1B56" w:rsidRPr="00BA1B56" w:rsidRDefault="00BA1B56" w:rsidP="00BA1B56">
      <w:pPr>
        <w:pStyle w:val="TextoNormalSangraFrancesa"/>
        <w:rPr>
          <w:rStyle w:val="TextoNormalCaracter"/>
        </w:rPr>
      </w:pPr>
      <w:bookmarkStart w:id="1573" w:name="DESCRIPTORALFABETICO322"/>
      <w:r w:rsidRPr="00BA1B56">
        <w:rPr>
          <w:rStyle w:val="TextoNormalNegritaCaracter"/>
        </w:rPr>
        <w:t>Declaraciones interpretativas</w:t>
      </w:r>
      <w:bookmarkEnd w:id="1573"/>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 8.</w:t>
      </w:r>
    </w:p>
    <w:p w:rsidR="00BA1B56" w:rsidRPr="00BA1B56" w:rsidRDefault="00BA1B56" w:rsidP="00BA1B56">
      <w:pPr>
        <w:pStyle w:val="TextoNormalSangraFrancesa"/>
        <w:rPr>
          <w:rStyle w:val="TextoNormalCaracter"/>
        </w:rPr>
      </w:pPr>
      <w:bookmarkStart w:id="1574" w:name="DESCRIPTORALFABETICO397"/>
      <w:r w:rsidRPr="00BA1B56">
        <w:rPr>
          <w:rStyle w:val="TextoNormalNegritaCaracter"/>
        </w:rPr>
        <w:t>Declaraciones jurisdiccionales del Tribunal Constitucional</w:t>
      </w:r>
      <w:bookmarkEnd w:id="1574"/>
      <w:r w:rsidRPr="00BA1B56">
        <w:rPr>
          <w:rStyle w:val="TextoNormalCaracter"/>
        </w:rPr>
        <w:t xml:space="preserve">, Auto </w:t>
      </w:r>
      <w:hyperlink w:anchor="AUTO_2012_106" w:history="1">
        <w:r w:rsidRPr="00BA1B56">
          <w:rPr>
            <w:rStyle w:val="TextoNormalCaracter"/>
          </w:rPr>
          <w:t>106/2012</w:t>
        </w:r>
      </w:hyperlink>
      <w:r w:rsidRPr="00BA1B56">
        <w:rPr>
          <w:rStyle w:val="TextoNormalCaracter"/>
        </w:rPr>
        <w:t>, ff. 4, 2.</w:t>
      </w:r>
    </w:p>
    <w:p w:rsidR="00BA1B56" w:rsidRPr="00BA1B56" w:rsidRDefault="00BA1B56" w:rsidP="00BA1B56">
      <w:pPr>
        <w:pStyle w:val="TextoNormalSangraFrancesa"/>
        <w:rPr>
          <w:rStyle w:val="TextoNormalCaracter"/>
        </w:rPr>
      </w:pPr>
      <w:bookmarkStart w:id="1575" w:name="DESCRIPTORALFABETICO727"/>
      <w:r w:rsidRPr="00BA1B56">
        <w:rPr>
          <w:rStyle w:val="TextoNormalNegritaCaracter"/>
        </w:rPr>
        <w:t>Decretos autonómicos</w:t>
      </w:r>
      <w:bookmarkEnd w:id="1575"/>
      <w:r w:rsidRPr="00BA1B56">
        <w:rPr>
          <w:rStyle w:val="TextoNormalCaracter"/>
        </w:rPr>
        <w:t xml:space="preserve">, Sentencia </w:t>
      </w:r>
      <w:hyperlink w:anchor="SENTENCIA_2012_18" w:history="1">
        <w:r w:rsidRPr="00BA1B56">
          <w:rPr>
            <w:rStyle w:val="TextoNormalCaracter"/>
          </w:rPr>
          <w:t>18/2012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76" w:name="DESCRIPTORALFABETICO728"/>
      <w:r w:rsidRPr="00BA1B56">
        <w:rPr>
          <w:rStyle w:val="TextoNormalNegritaCaracter"/>
        </w:rPr>
        <w:t>Decretos de transferencia</w:t>
      </w:r>
      <w:bookmarkEnd w:id="1576"/>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11.</w:t>
      </w:r>
    </w:p>
    <w:p w:rsidR="00BA1B56" w:rsidRPr="00BA1B56" w:rsidRDefault="00BA1B56" w:rsidP="00BA1B56">
      <w:pPr>
        <w:pStyle w:val="TextoNormalSangraFrancesa"/>
        <w:rPr>
          <w:rStyle w:val="TextoNormalCaracter"/>
        </w:rPr>
      </w:pPr>
      <w:bookmarkStart w:id="1577" w:name="DESCRIPTORALFABETICO692"/>
      <w:r w:rsidRPr="00BA1B56">
        <w:rPr>
          <w:rStyle w:val="TextoNormalNegritaCaracter"/>
        </w:rPr>
        <w:t>Decretos-leyes</w:t>
      </w:r>
      <w:bookmarkEnd w:id="1577"/>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ff. 11, 12, VP I; </w:t>
      </w:r>
      <w:hyperlink w:anchor="SENTENCIA_2012_100" w:history="1">
        <w:r w:rsidRPr="00BA1B56">
          <w:rPr>
            <w:rStyle w:val="TextoNormalCaracter"/>
          </w:rPr>
          <w:t>100/2012</w:t>
        </w:r>
      </w:hyperlink>
      <w:r w:rsidRPr="00BA1B56">
        <w:rPr>
          <w:rStyle w:val="TextoNormalCaracter"/>
        </w:rPr>
        <w:t>, ff. 8, 9.</w:t>
      </w:r>
    </w:p>
    <w:p w:rsidR="00BA1B56" w:rsidRPr="00BA1B56" w:rsidRDefault="00BA1B56" w:rsidP="00BA1B56">
      <w:pPr>
        <w:pStyle w:val="TextoNormalSangraFrancesa"/>
        <w:rPr>
          <w:rStyle w:val="TextoNormalNegritaCaracter"/>
        </w:rPr>
      </w:pPr>
      <w:r w:rsidRPr="00BA1B56">
        <w:rPr>
          <w:rStyle w:val="TextoNormalCursivaCaracter"/>
        </w:rPr>
        <w:t>Decretos-leyes ómnibus</w:t>
      </w:r>
      <w:r>
        <w:t xml:space="preserve"> véase </w:t>
      </w:r>
      <w:hyperlink w:anchor="DESCRIPTORALFABETICO739" w:history="1">
        <w:r w:rsidRPr="00BA1B56">
          <w:rPr>
            <w:rStyle w:val="TextoNormalNegritaCaracter"/>
          </w:rPr>
          <w:t>Normas de contenido heterogéneo</w:t>
        </w:r>
      </w:hyperlink>
    </w:p>
    <w:p w:rsidR="00BA1B56" w:rsidRPr="00BA1B56" w:rsidRDefault="00BA1B56" w:rsidP="00BA1B56">
      <w:pPr>
        <w:pStyle w:val="TextoNormalSangraFrancesa"/>
        <w:rPr>
          <w:rStyle w:val="TextoNormalNegritaCaracter"/>
        </w:rPr>
      </w:pPr>
      <w:r w:rsidRPr="00BA1B56">
        <w:rPr>
          <w:rStyle w:val="TextoNormalCursivaCaracter"/>
        </w:rPr>
        <w:t>Decretos-leyes transversales</w:t>
      </w:r>
      <w:r>
        <w:t xml:space="preserve"> véase </w:t>
      </w:r>
      <w:hyperlink w:anchor="DESCRIPTORALFABETICO739" w:history="1">
        <w:r w:rsidRPr="00BA1B56">
          <w:rPr>
            <w:rStyle w:val="TextoNormalNegritaCaracter"/>
          </w:rPr>
          <w:t>Normas de contenido heterogéneo</w:t>
        </w:r>
      </w:hyperlink>
    </w:p>
    <w:p w:rsidR="00BA1B56" w:rsidRPr="00BA1B56" w:rsidRDefault="00BA1B56" w:rsidP="00BA1B56">
      <w:pPr>
        <w:pStyle w:val="TextoNormalSangraFrancesa"/>
        <w:rPr>
          <w:rStyle w:val="TextoNormalCaracter"/>
        </w:rPr>
      </w:pPr>
      <w:bookmarkStart w:id="1578" w:name="DESCRIPTORALFABETICO109"/>
      <w:r w:rsidRPr="00BA1B56">
        <w:rPr>
          <w:rStyle w:val="TextoNormalNegritaCaracter"/>
        </w:rPr>
        <w:t>Deducción por adquisición y arrendamiento de vivienda</w:t>
      </w:r>
      <w:bookmarkEnd w:id="1578"/>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9, 10.</w:t>
      </w:r>
    </w:p>
    <w:p w:rsidR="00BA1B56" w:rsidRPr="00BA1B56" w:rsidRDefault="00BA1B56" w:rsidP="00BA1B56">
      <w:pPr>
        <w:pStyle w:val="TextoNormalSangraFrancesa"/>
        <w:rPr>
          <w:rStyle w:val="TextoNormalCaracter"/>
        </w:rPr>
      </w:pPr>
      <w:bookmarkStart w:id="1579" w:name="DESCRIPTORALFABETICO110"/>
      <w:r w:rsidRPr="00BA1B56">
        <w:rPr>
          <w:rStyle w:val="TextoNormalNegritaCaracter"/>
        </w:rPr>
        <w:t>Deducción por prestaciones derivadas de contratos de seguros</w:t>
      </w:r>
      <w:bookmarkEnd w:id="1579"/>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6, 8.</w:t>
      </w:r>
    </w:p>
    <w:p w:rsidR="00BA1B56" w:rsidRPr="00BA1B56" w:rsidRDefault="00BA1B56" w:rsidP="00BA1B56">
      <w:pPr>
        <w:pStyle w:val="TextoNormalSangraFrancesa"/>
        <w:rPr>
          <w:rStyle w:val="TextoNormalCaracter"/>
        </w:rPr>
      </w:pPr>
      <w:bookmarkStart w:id="1580" w:name="DESCRIPTORALFABETICO575"/>
      <w:r w:rsidRPr="00BA1B56">
        <w:rPr>
          <w:rStyle w:val="TextoNormalNegritaCaracter"/>
        </w:rPr>
        <w:t>Defensa de la competencia</w:t>
      </w:r>
      <w:bookmarkEnd w:id="1580"/>
      <w:r w:rsidRPr="00BA1B56">
        <w:rPr>
          <w:rStyle w:val="TextoNormalCaracter"/>
        </w:rPr>
        <w:t xml:space="preserve">, Sentencias </w:t>
      </w:r>
      <w:hyperlink w:anchor="SENTENCIA_2012_26" w:history="1">
        <w:r w:rsidRPr="00BA1B56">
          <w:rPr>
            <w:rStyle w:val="TextoNormalCaracter"/>
          </w:rPr>
          <w:t>26/2012</w:t>
        </w:r>
      </w:hyperlink>
      <w:r w:rsidRPr="00BA1B56">
        <w:rPr>
          <w:rStyle w:val="TextoNormalCaracter"/>
        </w:rPr>
        <w:t xml:space="preserve">, ff. 10 a 12; </w:t>
      </w:r>
      <w:hyperlink w:anchor="SENTENCIA_2012_71" w:history="1">
        <w:r w:rsidRPr="00BA1B56">
          <w:rPr>
            <w:rStyle w:val="TextoNormalCaracter"/>
          </w:rPr>
          <w:t>71/2012</w:t>
        </w:r>
      </w:hyperlink>
      <w:r w:rsidRPr="00BA1B56">
        <w:rPr>
          <w:rStyle w:val="TextoNormalCaracter"/>
        </w:rPr>
        <w:t>, ff. 1, 2, 3, 5, VP.</w:t>
      </w:r>
    </w:p>
    <w:p w:rsidR="00BA1B56" w:rsidRPr="00BA1B56" w:rsidRDefault="00BA1B56" w:rsidP="00BA1B56">
      <w:pPr>
        <w:pStyle w:val="TextoNormalSangraFrancesa"/>
        <w:rPr>
          <w:rStyle w:val="TextoNormalCaracter"/>
        </w:rPr>
      </w:pPr>
      <w:bookmarkStart w:id="1581" w:name="DESCRIPTORALFABETICO578"/>
      <w:r w:rsidRPr="00BA1B56">
        <w:rPr>
          <w:rStyle w:val="TextoNormalNegritaCaracter"/>
        </w:rPr>
        <w:t>Defensa de los consumidores</w:t>
      </w:r>
      <w:bookmarkEnd w:id="1581"/>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1 a 11.</w:t>
      </w:r>
    </w:p>
    <w:p w:rsidR="00BA1B56" w:rsidRPr="00BA1B56" w:rsidRDefault="00BA1B56" w:rsidP="00BA1B56">
      <w:pPr>
        <w:pStyle w:val="TextoNormalSangraFrancesa"/>
        <w:rPr>
          <w:rStyle w:val="TextoNormalCaracter"/>
        </w:rPr>
      </w:pPr>
      <w:bookmarkStart w:id="1582" w:name="DESCRIPTORALFABETICO502"/>
      <w:r w:rsidRPr="00BA1B56">
        <w:rPr>
          <w:rStyle w:val="TextoNormalNegritaCaracter"/>
        </w:rPr>
        <w:t>Defensa nacional</w:t>
      </w:r>
      <w:bookmarkEnd w:id="1582"/>
      <w:r w:rsidRPr="00BA1B56">
        <w:rPr>
          <w:rStyle w:val="TextoNormalCaracter"/>
        </w:rPr>
        <w:t xml:space="preserve">, Sentencia </w:t>
      </w:r>
      <w:hyperlink w:anchor="SENTENCIA_2012_82" w:history="1">
        <w:r w:rsidRPr="00BA1B56">
          <w:rPr>
            <w:rStyle w:val="TextoNormalCaracter"/>
          </w:rPr>
          <w:t>82/2012</w:t>
        </w:r>
      </w:hyperlink>
      <w:r w:rsidRPr="00BA1B56">
        <w:rPr>
          <w:rStyle w:val="TextoNormalCaracter"/>
        </w:rPr>
        <w:t>, ff. 1, 4, 5.</w:t>
      </w:r>
    </w:p>
    <w:p w:rsidR="00BA1B56" w:rsidRPr="00BA1B56" w:rsidRDefault="00BA1B56" w:rsidP="00BA1B56">
      <w:pPr>
        <w:pStyle w:val="TextoNormalSangraFrancesa"/>
        <w:rPr>
          <w:rStyle w:val="TextoNormalCaracter"/>
        </w:rPr>
      </w:pPr>
      <w:bookmarkStart w:id="1583" w:name="DESCRIPTORALFABETICO83"/>
      <w:r w:rsidRPr="00BA1B56">
        <w:rPr>
          <w:rStyle w:val="TextoNormalNegritaCaracter"/>
        </w:rPr>
        <w:t>Déficit público</w:t>
      </w:r>
      <w:bookmarkEnd w:id="1583"/>
      <w:r w:rsidRPr="00BA1B56">
        <w:rPr>
          <w:rStyle w:val="TextoNormalCaracter"/>
        </w:rPr>
        <w:t xml:space="preserve">, Auto </w:t>
      </w:r>
      <w:hyperlink w:anchor="AUTO_2012_8" w:history="1">
        <w:r w:rsidRPr="00BA1B56">
          <w:rPr>
            <w:rStyle w:val="TextoNormalCaracter"/>
          </w:rPr>
          <w:t>8/2012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584" w:name="DESCRIPTORALFABETICO649"/>
      <w:r w:rsidRPr="00BA1B56">
        <w:rPr>
          <w:rStyle w:val="TextoNormalNegritaCaracter"/>
        </w:rPr>
        <w:t>Delitos contra la flora y la fauna</w:t>
      </w:r>
      <w:bookmarkEnd w:id="1584"/>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585" w:name="DESCRIPTORALFABETICO358"/>
      <w:r w:rsidRPr="00BA1B56">
        <w:rPr>
          <w:rStyle w:val="TextoNormalNegritaCaracter"/>
        </w:rPr>
        <w:t>Demanda de amparo</w:t>
      </w:r>
      <w:bookmarkEnd w:id="1585"/>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Demora procesal</w:t>
      </w:r>
      <w:r>
        <w:t xml:space="preserve"> véase </w:t>
      </w:r>
      <w:hyperlink w:anchor="DESCRIPTORALFABETICO889" w:history="1">
        <w:r w:rsidRPr="00BA1B56">
          <w:rPr>
            <w:rStyle w:val="TextoNormalNegritaCaracter"/>
          </w:rPr>
          <w:t>Dilaciones indebidas en el procedimiento</w:t>
        </w:r>
      </w:hyperlink>
    </w:p>
    <w:p w:rsidR="00BA1B56" w:rsidRPr="00BA1B56" w:rsidRDefault="00BA1B56" w:rsidP="00BA1B56">
      <w:pPr>
        <w:pStyle w:val="TextoNormalSangraFrancesa"/>
        <w:rPr>
          <w:rStyle w:val="TextoNormalCaracter"/>
        </w:rPr>
      </w:pPr>
      <w:bookmarkStart w:id="1586" w:name="DESCRIPTORALFABETICO914"/>
      <w:r w:rsidRPr="00BA1B56">
        <w:rPr>
          <w:rStyle w:val="TextoNormalNegritaCaracter"/>
        </w:rPr>
        <w:t>Denegación de abogado de oficio</w:t>
      </w:r>
      <w:bookmarkEnd w:id="1586"/>
      <w:r w:rsidRPr="00BA1B56">
        <w:rPr>
          <w:rStyle w:val="TextoNormalCaracter"/>
        </w:rPr>
        <w:t xml:space="preserve">, Auto </w:t>
      </w:r>
      <w:hyperlink w:anchor="AUTO_2012_54" w:history="1">
        <w:r w:rsidRPr="00BA1B56">
          <w:rPr>
            <w:rStyle w:val="TextoNormalCaracter"/>
          </w:rPr>
          <w:t>54/2012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Denegación de asistencia jurídica gratuita</w:t>
      </w:r>
      <w:r>
        <w:t xml:space="preserve"> véase </w:t>
      </w:r>
      <w:hyperlink w:anchor="DESCRIPTORALFABETICO916" w:history="1">
        <w:r w:rsidRPr="00BA1B56">
          <w:rPr>
            <w:rStyle w:val="TextoNormalNegritaCaracter"/>
          </w:rPr>
          <w:t>Denegación de justicia gratuita</w:t>
        </w:r>
      </w:hyperlink>
    </w:p>
    <w:p w:rsidR="00BA1B56" w:rsidRPr="00BA1B56" w:rsidRDefault="00BA1B56" w:rsidP="00BA1B56">
      <w:pPr>
        <w:pStyle w:val="TextoNormalSangraFrancesa"/>
        <w:rPr>
          <w:rStyle w:val="TextoNormalCaracter"/>
        </w:rPr>
      </w:pPr>
      <w:bookmarkStart w:id="1587" w:name="DESCRIPTORALFABETICO500"/>
      <w:r w:rsidRPr="00BA1B56">
        <w:rPr>
          <w:rStyle w:val="TextoNormalNegritaCaracter"/>
        </w:rPr>
        <w:t>Denegación de entrada en territorio nacional</w:t>
      </w:r>
      <w:bookmarkEnd w:id="1587"/>
      <w:r w:rsidRPr="00BA1B56">
        <w:rPr>
          <w:rStyle w:val="TextoNormalCaracter"/>
        </w:rPr>
        <w:t xml:space="preserve">, Auto </w:t>
      </w:r>
      <w:hyperlink w:anchor="AUTO_2012_66" w:history="1">
        <w:r w:rsidRPr="00BA1B56">
          <w:rPr>
            <w:rStyle w:val="TextoNormalCaracter"/>
          </w:rPr>
          <w:t>66/2012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88" w:name="DESCRIPTORALFABETICO419"/>
      <w:r w:rsidRPr="00BA1B56">
        <w:rPr>
          <w:rStyle w:val="TextoNormalNegritaCaracter"/>
        </w:rPr>
        <w:t>Denegación de inscripción de partidos políticos</w:t>
      </w:r>
      <w:bookmarkEnd w:id="1588"/>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4, 6, 14.</w:t>
      </w:r>
    </w:p>
    <w:p w:rsidR="00BA1B56" w:rsidRPr="00BA1B56" w:rsidRDefault="00BA1B56" w:rsidP="00BA1B56">
      <w:pPr>
        <w:pStyle w:val="TextoNormalSangraFrancesa"/>
        <w:rPr>
          <w:rStyle w:val="TextoNormalCaracter"/>
        </w:rPr>
      </w:pPr>
      <w:bookmarkStart w:id="1589" w:name="DESCRIPTORALFABETICO916"/>
      <w:r w:rsidRPr="00BA1B56">
        <w:rPr>
          <w:rStyle w:val="TextoNormalNegritaCaracter"/>
        </w:rPr>
        <w:t>Denegación de justicia gratuita</w:t>
      </w:r>
      <w:bookmarkEnd w:id="1589"/>
      <w:r w:rsidRPr="00BA1B56">
        <w:rPr>
          <w:rStyle w:val="TextoNormalCaracter"/>
        </w:rPr>
        <w:t xml:space="preserve">, Auto </w:t>
      </w:r>
      <w:hyperlink w:anchor="AUTO_2012_80" w:history="1">
        <w:r w:rsidRPr="00BA1B56">
          <w:rPr>
            <w:rStyle w:val="TextoNormalCaracter"/>
          </w:rPr>
          <w:t>80/2012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90" w:name="DESCRIPTORALFABETICO749"/>
      <w:r w:rsidRPr="00BA1B56">
        <w:rPr>
          <w:rStyle w:val="TextoNormalNegritaCaracter"/>
        </w:rPr>
        <w:t>Denegación de la suspensión de la ejecución de la pena</w:t>
      </w:r>
      <w:bookmarkEnd w:id="1590"/>
      <w:r w:rsidRPr="00BA1B56">
        <w:rPr>
          <w:rStyle w:val="TextoNormalCaracter"/>
        </w:rPr>
        <w:t xml:space="preserve">, Auto </w:t>
      </w:r>
      <w:hyperlink w:anchor="AUTO_2012_25" w:history="1">
        <w:r w:rsidRPr="00BA1B56">
          <w:rPr>
            <w:rStyle w:val="TextoNormalCaracter"/>
          </w:rPr>
          <w:t>25/2012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91" w:name="DESCRIPTORALFABETICO282"/>
      <w:r w:rsidRPr="00BA1B56">
        <w:rPr>
          <w:rStyle w:val="TextoNormalNegritaCaracter"/>
        </w:rPr>
        <w:t>Denegación de la suspensión del acto administrativo</w:t>
      </w:r>
      <w:bookmarkEnd w:id="1591"/>
      <w:r w:rsidRPr="00BA1B56">
        <w:rPr>
          <w:rStyle w:val="TextoNormalCaracter"/>
        </w:rPr>
        <w:t xml:space="preserve">, Auto </w:t>
      </w:r>
      <w:hyperlink w:anchor="AUTO_2012_81" w:history="1">
        <w:r w:rsidRPr="00BA1B56">
          <w:rPr>
            <w:rStyle w:val="TextoNormalCaracter"/>
          </w:rPr>
          <w:t>81/2012</w:t>
        </w:r>
      </w:hyperlink>
      <w:r w:rsidRPr="00BA1B56">
        <w:rPr>
          <w:rStyle w:val="TextoNormalCaracter"/>
        </w:rPr>
        <w:t>, f. 4.</w:t>
      </w:r>
    </w:p>
    <w:p w:rsidR="00BA1B56" w:rsidRPr="00BA1B56" w:rsidRDefault="00BA1B56" w:rsidP="00BA1B56">
      <w:pPr>
        <w:pStyle w:val="TextoNormalSangraFrancesa"/>
        <w:rPr>
          <w:rStyle w:val="TextoNormalCaracter"/>
        </w:rPr>
      </w:pPr>
      <w:bookmarkStart w:id="1592" w:name="DESCRIPTORALFABETICO918"/>
      <w:r w:rsidRPr="00BA1B56">
        <w:rPr>
          <w:rStyle w:val="TextoNormalNegritaCaracter"/>
        </w:rPr>
        <w:t>Denegación de medidas cautelares</w:t>
      </w:r>
      <w:bookmarkEnd w:id="1592"/>
      <w:r w:rsidRPr="00BA1B56">
        <w:rPr>
          <w:rStyle w:val="TextoNormalCaracter"/>
        </w:rPr>
        <w:t xml:space="preserve">, Auto </w:t>
      </w:r>
      <w:hyperlink w:anchor="AUTO_2012_27" w:history="1">
        <w:r w:rsidRPr="00BA1B56">
          <w:rPr>
            <w:rStyle w:val="TextoNormalCaracter"/>
          </w:rPr>
          <w:t>27/2012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593" w:name="DESCRIPTORALFABETICO899"/>
      <w:r w:rsidRPr="00BA1B56">
        <w:rPr>
          <w:rStyle w:val="TextoNormalNegritaCaracter"/>
        </w:rPr>
        <w:t>Denegación de personación</w:t>
      </w:r>
      <w:bookmarkEnd w:id="1593"/>
      <w:r w:rsidRPr="00BA1B56">
        <w:rPr>
          <w:rStyle w:val="TextoNormalCaracter"/>
        </w:rPr>
        <w:t xml:space="preserve">, Sentencia </w:t>
      </w:r>
      <w:hyperlink w:anchor="SENTENCIA_2012_48" w:history="1">
        <w:r w:rsidRPr="00BA1B56">
          <w:rPr>
            <w:rStyle w:val="TextoNormalCaracter"/>
          </w:rPr>
          <w:t>48/2012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594" w:name="DESCRIPTORALFABETICO900"/>
      <w:r w:rsidRPr="00BA1B56">
        <w:rPr>
          <w:rStyle w:val="TextoNormalNegritaCaracter"/>
        </w:rPr>
        <w:t>Denegación de personación a terceros</w:t>
      </w:r>
      <w:bookmarkEnd w:id="1594"/>
      <w:r w:rsidRPr="00BA1B56">
        <w:rPr>
          <w:rStyle w:val="TextoNormalCaracter"/>
        </w:rPr>
        <w:t xml:space="preserve">, Sentencia </w:t>
      </w:r>
      <w:hyperlink w:anchor="SENTENCIA_2012_15" w:history="1">
        <w:r w:rsidRPr="00BA1B56">
          <w:rPr>
            <w:rStyle w:val="TextoNormalCaracter"/>
          </w:rPr>
          <w:t>15/2012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595" w:name="DESCRIPTORALFABETICO766"/>
      <w:r w:rsidRPr="00BA1B56">
        <w:rPr>
          <w:rStyle w:val="TextoNormalNegritaCaracter"/>
        </w:rPr>
        <w:t>Denegación fundada por la sucesión de Códigos</w:t>
      </w:r>
      <w:bookmarkEnd w:id="1595"/>
      <w:r w:rsidRPr="00BA1B56">
        <w:rPr>
          <w:rStyle w:val="TextoNormalCaracter"/>
        </w:rPr>
        <w:t xml:space="preserve">, Sentencias </w:t>
      </w:r>
      <w:hyperlink w:anchor="SENTENCIA_2012_40" w:history="1">
        <w:r w:rsidRPr="00BA1B56">
          <w:rPr>
            <w:rStyle w:val="TextoNormalCaracter"/>
          </w:rPr>
          <w:t>40/2012</w:t>
        </w:r>
      </w:hyperlink>
      <w:r w:rsidRPr="00BA1B56">
        <w:rPr>
          <w:rStyle w:val="TextoNormalCaracter"/>
        </w:rPr>
        <w:t xml:space="preserve">, f. 5; </w:t>
      </w:r>
      <w:hyperlink w:anchor="SENTENCIA_2012_42" w:history="1">
        <w:r w:rsidRPr="00BA1B56">
          <w:rPr>
            <w:rStyle w:val="TextoNormalCaracter"/>
          </w:rPr>
          <w:t>42/2012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596" w:name="DESCRIPTORALFABETICO167"/>
      <w:r w:rsidRPr="00BA1B56">
        <w:rPr>
          <w:rStyle w:val="TextoNormalNegritaCaracter"/>
        </w:rPr>
        <w:t>Denegación lesiva del derecho a la libertad</w:t>
      </w:r>
      <w:bookmarkEnd w:id="1596"/>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597" w:name="DESCRIPTORALFABETICO168"/>
      <w:r w:rsidRPr="00BA1B56">
        <w:rPr>
          <w:rStyle w:val="TextoNormalNegritaCaracter"/>
        </w:rPr>
        <w:t xml:space="preserve">Denegación no motivada de </w:t>
      </w:r>
      <w:r w:rsidRPr="00BA1B56">
        <w:rPr>
          <w:rStyle w:val="TextoNormalNegritaCaracter"/>
          <w:i/>
        </w:rPr>
        <w:t>habeas corpus</w:t>
      </w:r>
      <w:bookmarkEnd w:id="1597"/>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 6.</w:t>
      </w:r>
    </w:p>
    <w:p w:rsidR="00BA1B56" w:rsidRPr="00BA1B56" w:rsidRDefault="00BA1B56" w:rsidP="00BA1B56">
      <w:pPr>
        <w:pStyle w:val="TextoNormalSangraFrancesa"/>
        <w:rPr>
          <w:rStyle w:val="TextoNormalCaracter"/>
        </w:rPr>
      </w:pPr>
      <w:bookmarkStart w:id="1598" w:name="DESCRIPTORALFABETICO676"/>
      <w:r w:rsidRPr="00BA1B56">
        <w:rPr>
          <w:rStyle w:val="TextoNormalNegritaCaracter"/>
        </w:rPr>
        <w:t>Denominación de carreteras</w:t>
      </w:r>
      <w:bookmarkEnd w:id="1598"/>
      <w:r w:rsidRPr="00BA1B56">
        <w:rPr>
          <w:rStyle w:val="TextoNormalCaracter"/>
        </w:rPr>
        <w:t xml:space="preserve">, Sentencia </w:t>
      </w:r>
      <w:hyperlink w:anchor="SENTENCIA_2012_112" w:history="1">
        <w:r w:rsidRPr="00BA1B56">
          <w:rPr>
            <w:rStyle w:val="TextoNormalCaracter"/>
          </w:rPr>
          <w:t>112/2012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599" w:name="DESCRIPTORALFABETICO144"/>
      <w:r w:rsidRPr="00BA1B56">
        <w:rPr>
          <w:rStyle w:val="TextoNormalNegritaCaracter"/>
        </w:rPr>
        <w:t>Derecho a acceder a las funciones públicas</w:t>
      </w:r>
      <w:bookmarkEnd w:id="1599"/>
      <w:r w:rsidRPr="00BA1B56">
        <w:rPr>
          <w:rStyle w:val="TextoNormalCaracter"/>
        </w:rPr>
        <w:t xml:space="preserve">, Auto </w:t>
      </w:r>
      <w:hyperlink w:anchor="AUTO_2012_116" w:history="1">
        <w:r w:rsidRPr="00BA1B56">
          <w:rPr>
            <w:rStyle w:val="TextoNormalCaracter"/>
          </w:rPr>
          <w:t>116/2012</w:t>
        </w:r>
      </w:hyperlink>
      <w:r w:rsidRPr="00BA1B56">
        <w:rPr>
          <w:rStyle w:val="TextoNormalCaracter"/>
        </w:rPr>
        <w:t>, f. 1.</w:t>
      </w:r>
    </w:p>
    <w:p w:rsidR="00BA1B56" w:rsidRPr="00BA1B56" w:rsidRDefault="00BA1B56" w:rsidP="00BA1B56">
      <w:pPr>
        <w:pStyle w:val="TextoNormalSangraFrancesa"/>
        <w:rPr>
          <w:rStyle w:val="TextoNormalCaracter"/>
        </w:rPr>
      </w:pPr>
      <w:bookmarkStart w:id="1600" w:name="DESCRIPTORALFABETICO146"/>
      <w:r w:rsidRPr="00BA1B56">
        <w:rPr>
          <w:rStyle w:val="TextoNormalNegritaCaracter"/>
        </w:rPr>
        <w:t>Derecho a acceder a los cargos públicos</w:t>
      </w:r>
      <w:bookmarkEnd w:id="1600"/>
      <w:r w:rsidRPr="00BA1B56">
        <w:rPr>
          <w:rStyle w:val="TextoNormalCaracter"/>
        </w:rPr>
        <w:t xml:space="preserve">, Sentencias </w:t>
      </w:r>
      <w:hyperlink w:anchor="SENTENCIA_2012_27" w:history="1">
        <w:r w:rsidRPr="00BA1B56">
          <w:rPr>
            <w:rStyle w:val="TextoNormalCaracter"/>
          </w:rPr>
          <w:t>27/2012</w:t>
        </w:r>
      </w:hyperlink>
      <w:r w:rsidRPr="00BA1B56">
        <w:rPr>
          <w:rStyle w:val="TextoNormalCaracter"/>
        </w:rPr>
        <w:t xml:space="preserve">, ff. 5, 8; </w:t>
      </w:r>
      <w:hyperlink w:anchor="SENTENCIA_2012_81" w:history="1">
        <w:r w:rsidRPr="00BA1B56">
          <w:rPr>
            <w:rStyle w:val="TextoNormalCaracter"/>
          </w:rPr>
          <w:t>81/2012</w:t>
        </w:r>
      </w:hyperlink>
      <w:r w:rsidRPr="00BA1B56">
        <w:rPr>
          <w:rStyle w:val="TextoNormalCaracter"/>
        </w:rPr>
        <w:t xml:space="preserve">, f. 3; </w:t>
      </w:r>
      <w:hyperlink w:anchor="SENTENCIA_2012_88" w:history="1">
        <w:r w:rsidRPr="00BA1B56">
          <w:rPr>
            <w:rStyle w:val="TextoNormalCaracter"/>
          </w:rPr>
          <w:t>88/2012</w:t>
        </w:r>
      </w:hyperlink>
      <w:r w:rsidRPr="00BA1B56">
        <w:rPr>
          <w:rStyle w:val="TextoNormalCaracter"/>
        </w:rPr>
        <w:t xml:space="preserve">, f. 2; </w:t>
      </w:r>
      <w:hyperlink w:anchor="SENTENCIA_2012_105" w:history="1">
        <w:r w:rsidRPr="00BA1B56">
          <w:rPr>
            <w:rStyle w:val="TextoNormalCaracter"/>
          </w:rPr>
          <w:t>105/2012</w:t>
        </w:r>
      </w:hyperlink>
      <w:r w:rsidRPr="00BA1B56">
        <w:rPr>
          <w:rStyle w:val="TextoNormalCaracter"/>
        </w:rPr>
        <w:t>, ff. 2, 6, 8, 10, 12, 13, 14, 20, VP.</w:t>
      </w:r>
    </w:p>
    <w:p w:rsidR="00BA1B56" w:rsidRPr="00BA1B56" w:rsidRDefault="00BA1B56" w:rsidP="00BA1B56">
      <w:pPr>
        <w:pStyle w:val="TextoNormalSangraFrancesa"/>
        <w:rPr>
          <w:rStyle w:val="TextoNormalNegritaCaracter"/>
        </w:rPr>
      </w:pPr>
      <w:r w:rsidRPr="00BA1B56">
        <w:rPr>
          <w:rStyle w:val="TextoNormalCursivaCaracter"/>
        </w:rPr>
        <w:t>Derecho a crear partidos políticos</w:t>
      </w:r>
      <w:r>
        <w:t xml:space="preserve"> véase </w:t>
      </w:r>
      <w:hyperlink w:anchor="DESCRIPTORALFABETICO233" w:history="1">
        <w:r w:rsidRPr="00BA1B56">
          <w:rPr>
            <w:rStyle w:val="TextoNormalNegritaCaracter"/>
          </w:rPr>
          <w:t>Libertad de creación de partidos políticos</w:t>
        </w:r>
      </w:hyperlink>
    </w:p>
    <w:p w:rsidR="00BA1B56" w:rsidRPr="00BA1B56" w:rsidRDefault="00BA1B56" w:rsidP="00BA1B56">
      <w:pPr>
        <w:pStyle w:val="TextoNormalSangraFrancesa"/>
        <w:rPr>
          <w:rStyle w:val="TextoNormalCaracter"/>
        </w:rPr>
      </w:pPr>
      <w:bookmarkStart w:id="1601" w:name="DESCRIPTORALFABETICO223"/>
      <w:r w:rsidRPr="00BA1B56">
        <w:rPr>
          <w:rStyle w:val="TextoNormalNegritaCaracter"/>
        </w:rPr>
        <w:lastRenderedPageBreak/>
        <w:t>Derecho a la asistencia letrada</w:t>
      </w:r>
      <w:bookmarkEnd w:id="1601"/>
      <w:r w:rsidRPr="00BA1B56">
        <w:rPr>
          <w:rStyle w:val="TextoNormalCaracter"/>
        </w:rPr>
        <w:t xml:space="preserve">, Auto </w:t>
      </w:r>
      <w:hyperlink w:anchor="AUTO_2012_54" w:history="1">
        <w:r w:rsidRPr="00BA1B56">
          <w:rPr>
            <w:rStyle w:val="TextoNormalCaracter"/>
          </w:rPr>
          <w:t>54/2012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602" w:name="DESCRIPTORALFABETICO222"/>
      <w:r w:rsidRPr="00BA1B56">
        <w:rPr>
          <w:rStyle w:val="TextoNormalNegritaCaracter"/>
        </w:rPr>
        <w:t>Derecho a la defensa</w:t>
      </w:r>
      <w:bookmarkEnd w:id="1602"/>
      <w:r w:rsidRPr="00BA1B56">
        <w:rPr>
          <w:rStyle w:val="TextoNormalCaracter"/>
        </w:rPr>
        <w:t xml:space="preserve">, Sentencias </w:t>
      </w:r>
      <w:hyperlink w:anchor="SENTENCIA_2012_70" w:history="1">
        <w:r w:rsidRPr="00BA1B56">
          <w:rPr>
            <w:rStyle w:val="TextoNormalCaracter"/>
          </w:rPr>
          <w:t>70/2012</w:t>
        </w:r>
      </w:hyperlink>
      <w:r w:rsidRPr="00BA1B56">
        <w:rPr>
          <w:rStyle w:val="TextoNormalCaracter"/>
        </w:rPr>
        <w:t xml:space="preserve">, f. 2;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603" w:name="DESCRIPTORALFABETICO158"/>
      <w:r w:rsidRPr="00BA1B56">
        <w:rPr>
          <w:rStyle w:val="TextoNormalNegritaCaracter"/>
        </w:rPr>
        <w:t>Derecho a la integridad física y moral</w:t>
      </w:r>
      <w:bookmarkEnd w:id="1603"/>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6.</w:t>
      </w:r>
    </w:p>
    <w:p w:rsidR="00BA1B56" w:rsidRPr="00BA1B56" w:rsidRDefault="00BA1B56" w:rsidP="00BA1B56">
      <w:pPr>
        <w:pStyle w:val="TextoNormalSangraFrancesa"/>
        <w:rPr>
          <w:rStyle w:val="TextoNormalCaracter"/>
        </w:rPr>
      </w:pPr>
      <w:bookmarkStart w:id="1604" w:name="DESCRIPTORALFABETICO161"/>
      <w:r w:rsidRPr="00BA1B56">
        <w:rPr>
          <w:rStyle w:val="TextoNormalNegritaCaracter"/>
        </w:rPr>
        <w:t>Derecho a la intimidad</w:t>
      </w:r>
      <w:bookmarkEnd w:id="1604"/>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 5; </w:t>
      </w:r>
      <w:hyperlink w:anchor="SENTENCIA_2012_96" w:history="1">
        <w:r w:rsidRPr="00BA1B56">
          <w:rPr>
            <w:rStyle w:val="TextoNormalCaracter"/>
          </w:rPr>
          <w:t>96/2012</w:t>
        </w:r>
      </w:hyperlink>
      <w:r w:rsidRPr="00BA1B56">
        <w:rPr>
          <w:rStyle w:val="TextoNormalCaracter"/>
        </w:rPr>
        <w:t xml:space="preserve">, ff. 2 a 11; </w:t>
      </w:r>
      <w:hyperlink w:anchor="SENTENCIA_2012_106" w:history="1">
        <w:r w:rsidRPr="00BA1B56">
          <w:rPr>
            <w:rStyle w:val="TextoNormalCaracter"/>
          </w:rPr>
          <w:t>106/2012</w:t>
        </w:r>
      </w:hyperlink>
      <w:r w:rsidRPr="00BA1B56">
        <w:rPr>
          <w:rStyle w:val="TextoNormalCaracter"/>
        </w:rPr>
        <w:t>, ff. 2 a 4.</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12" w:history="1">
        <w:r w:rsidRPr="00BA1B56">
          <w:rPr>
            <w:rStyle w:val="TextoNormalCaracter"/>
          </w:rPr>
          <w:t>12/2012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 </w:t>
      </w:r>
      <w:hyperlink w:anchor="SENTENCIA_2012_106" w:history="1">
        <w:r w:rsidRPr="00BA1B56">
          <w:rPr>
            <w:rStyle w:val="TextoNormalCaracter"/>
          </w:rPr>
          <w:t>106/2012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1605" w:name="DESCRIPTORALFABETICO163"/>
      <w:r w:rsidRPr="00BA1B56">
        <w:rPr>
          <w:rStyle w:val="TextoNormalNegritaCaracter"/>
        </w:rPr>
        <w:t>Derecho a la intimidad en el ámbito penitenciario</w:t>
      </w:r>
      <w:bookmarkEnd w:id="1605"/>
      <w:r w:rsidRPr="00BA1B56">
        <w:rPr>
          <w:rStyle w:val="TextoNormalCaracter"/>
        </w:rPr>
        <w:t xml:space="preserve">, Sentencia </w:t>
      </w:r>
      <w:hyperlink w:anchor="SENTENCIA_2012_106" w:history="1">
        <w:r w:rsidRPr="00BA1B56">
          <w:rPr>
            <w:rStyle w:val="TextoNormalCaracter"/>
          </w:rPr>
          <w:t>106/2012</w:t>
        </w:r>
      </w:hyperlink>
      <w:r w:rsidRPr="00BA1B56">
        <w:rPr>
          <w:rStyle w:val="TextoNormalCaracter"/>
        </w:rPr>
        <w:t>, ff. 2 a 4.</w:t>
      </w:r>
    </w:p>
    <w:p w:rsidR="00BA1B56" w:rsidRPr="00BA1B56" w:rsidRDefault="00BA1B56" w:rsidP="00BA1B56">
      <w:pPr>
        <w:pStyle w:val="TextoNormalSangraFrancesa"/>
        <w:rPr>
          <w:rStyle w:val="TextoNormalNegritaCaracter"/>
        </w:rPr>
      </w:pPr>
      <w:r w:rsidRPr="00BA1B56">
        <w:rPr>
          <w:rStyle w:val="TextoNormalCursivaCaracter"/>
        </w:rPr>
        <w:t>Derecho a la intimidad personal</w:t>
      </w:r>
      <w:r>
        <w:t xml:space="preserve"> véase </w:t>
      </w:r>
      <w:hyperlink w:anchor="DESCRIPTORALFABETICO161" w:history="1">
        <w:r w:rsidRPr="00BA1B56">
          <w:rPr>
            <w:rStyle w:val="TextoNormalNegritaCaracter"/>
          </w:rPr>
          <w:t>Derecho a la intimidad</w:t>
        </w:r>
      </w:hyperlink>
    </w:p>
    <w:p w:rsidR="00BA1B56" w:rsidRPr="00BA1B56" w:rsidRDefault="00BA1B56" w:rsidP="00BA1B56">
      <w:pPr>
        <w:pStyle w:val="TextoNormalSangraFrancesa"/>
        <w:rPr>
          <w:rStyle w:val="TextoNormalNegritaCaracter"/>
        </w:rPr>
      </w:pPr>
      <w:r w:rsidRPr="00BA1B56">
        <w:rPr>
          <w:rStyle w:val="TextoNormalCursivaCaracter"/>
        </w:rPr>
        <w:t>Derecho a la intimidad personal y familiar</w:t>
      </w:r>
      <w:r>
        <w:t xml:space="preserve"> véase </w:t>
      </w:r>
      <w:hyperlink w:anchor="DESCRIPTORALFABETICO161" w:history="1">
        <w:r w:rsidRPr="00BA1B56">
          <w:rPr>
            <w:rStyle w:val="TextoNormalNegritaCaracter"/>
          </w:rPr>
          <w:t>Derecho a la intimidad</w:t>
        </w:r>
      </w:hyperlink>
    </w:p>
    <w:p w:rsidR="00BA1B56" w:rsidRPr="00BA1B56" w:rsidRDefault="00BA1B56" w:rsidP="00BA1B56">
      <w:pPr>
        <w:pStyle w:val="TextoNormalSangraFrancesa"/>
        <w:rPr>
          <w:rStyle w:val="TextoNormalCaracter"/>
        </w:rPr>
      </w:pPr>
      <w:bookmarkStart w:id="1606" w:name="DESCRIPTORALFABETICO165"/>
      <w:r w:rsidRPr="00BA1B56">
        <w:rPr>
          <w:rStyle w:val="TextoNormalNegritaCaracter"/>
        </w:rPr>
        <w:t>Derecho a la libertad personal</w:t>
      </w:r>
      <w:bookmarkEnd w:id="1606"/>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7, 8, VP I, VP II; </w:t>
      </w:r>
      <w:hyperlink w:anchor="SENTENCIA_2012_40" w:history="1">
        <w:r w:rsidRPr="00BA1B56">
          <w:rPr>
            <w:rStyle w:val="TextoNormalCaracter"/>
          </w:rPr>
          <w:t>40/2012</w:t>
        </w:r>
      </w:hyperlink>
      <w:r w:rsidRPr="00BA1B56">
        <w:rPr>
          <w:rStyle w:val="TextoNormalCaracter"/>
        </w:rPr>
        <w:t xml:space="preserve">, ff. 6, 10, VP I, VP II; </w:t>
      </w:r>
      <w:hyperlink w:anchor="SENTENCIA_2012_41" w:history="1">
        <w:r w:rsidRPr="00BA1B56">
          <w:rPr>
            <w:rStyle w:val="TextoNormalCaracter"/>
          </w:rPr>
          <w:t>41/2012</w:t>
        </w:r>
      </w:hyperlink>
      <w:r w:rsidRPr="00BA1B56">
        <w:rPr>
          <w:rStyle w:val="TextoNormalCaracter"/>
        </w:rPr>
        <w:t xml:space="preserve">, ff. 6, 9, VP I, VP IV; </w:t>
      </w:r>
      <w:hyperlink w:anchor="SENTENCIA_2012_42" w:history="1">
        <w:r w:rsidRPr="00BA1B56">
          <w:rPr>
            <w:rStyle w:val="TextoNormalCaracter"/>
          </w:rPr>
          <w:t>42/2012</w:t>
        </w:r>
      </w:hyperlink>
      <w:r w:rsidRPr="00BA1B56">
        <w:rPr>
          <w:rStyle w:val="TextoNormalCaracter"/>
        </w:rPr>
        <w:t xml:space="preserve">, ff. 6, 9; </w:t>
      </w:r>
      <w:hyperlink w:anchor="SENTENCIA_2012_43" w:history="1">
        <w:r w:rsidRPr="00BA1B56">
          <w:rPr>
            <w:rStyle w:val="TextoNormalCaracter"/>
          </w:rPr>
          <w:t>43/2012</w:t>
        </w:r>
      </w:hyperlink>
      <w:r w:rsidRPr="00BA1B56">
        <w:rPr>
          <w:rStyle w:val="TextoNormalCaracter"/>
        </w:rPr>
        <w:t xml:space="preserve">, ff. 4, 8; </w:t>
      </w:r>
      <w:hyperlink w:anchor="SENTENCIA_2012_44" w:history="1">
        <w:r w:rsidRPr="00BA1B56">
          <w:rPr>
            <w:rStyle w:val="TextoNormalCaracter"/>
          </w:rPr>
          <w:t>44/2012</w:t>
        </w:r>
      </w:hyperlink>
      <w:r w:rsidRPr="00BA1B56">
        <w:rPr>
          <w:rStyle w:val="TextoNormalCaracter"/>
        </w:rPr>
        <w:t xml:space="preserve">, ff. 3, 6; </w:t>
      </w:r>
      <w:hyperlink w:anchor="SENTENCIA_2012_45" w:history="1">
        <w:r w:rsidRPr="00BA1B56">
          <w:rPr>
            <w:rStyle w:val="TextoNormalCaracter"/>
          </w:rPr>
          <w:t>45/2012</w:t>
        </w:r>
      </w:hyperlink>
      <w:r w:rsidRPr="00BA1B56">
        <w:rPr>
          <w:rStyle w:val="TextoNormalCaracter"/>
        </w:rPr>
        <w:t xml:space="preserve">, ff. 3, 6; </w:t>
      </w:r>
      <w:hyperlink w:anchor="SENTENCIA_2012_46" w:history="1">
        <w:r w:rsidRPr="00BA1B56">
          <w:rPr>
            <w:rStyle w:val="TextoNormalCaracter"/>
          </w:rPr>
          <w:t>46/2012</w:t>
        </w:r>
      </w:hyperlink>
      <w:r w:rsidRPr="00BA1B56">
        <w:rPr>
          <w:rStyle w:val="TextoNormalCaracter"/>
        </w:rPr>
        <w:t xml:space="preserve">, ff. 4, 8; </w:t>
      </w:r>
      <w:hyperlink w:anchor="SENTENCIA_2012_47" w:history="1">
        <w:r w:rsidRPr="00BA1B56">
          <w:rPr>
            <w:rStyle w:val="TextoNormalCaracter"/>
          </w:rPr>
          <w:t>47/2012</w:t>
        </w:r>
      </w:hyperlink>
      <w:r w:rsidRPr="00BA1B56">
        <w:rPr>
          <w:rStyle w:val="TextoNormalCaracter"/>
        </w:rPr>
        <w:t xml:space="preserve">, ff. 4 a 6, VP II; </w:t>
      </w:r>
      <w:hyperlink w:anchor="SENTENCIA_2012_48" w:history="1">
        <w:r w:rsidRPr="00BA1B56">
          <w:rPr>
            <w:rStyle w:val="TextoNormalCaracter"/>
          </w:rPr>
          <w:t>48/2012</w:t>
        </w:r>
      </w:hyperlink>
      <w:r w:rsidRPr="00BA1B56">
        <w:rPr>
          <w:rStyle w:val="TextoNormalCaracter"/>
        </w:rPr>
        <w:t xml:space="preserve">, ff. 4, 5, 7; </w:t>
      </w:r>
      <w:hyperlink w:anchor="SENTENCIA_2012_49" w:history="1">
        <w:r w:rsidRPr="00BA1B56">
          <w:rPr>
            <w:rStyle w:val="TextoNormalCaracter"/>
          </w:rPr>
          <w:t>49/2012</w:t>
        </w:r>
      </w:hyperlink>
      <w:r w:rsidRPr="00BA1B56">
        <w:rPr>
          <w:rStyle w:val="TextoNormalCaracter"/>
        </w:rPr>
        <w:t xml:space="preserve">, ff. 4, 5, 7; </w:t>
      </w:r>
      <w:hyperlink w:anchor="SENTENCIA_2012_50" w:history="1">
        <w:r w:rsidRPr="00BA1B56">
          <w:rPr>
            <w:rStyle w:val="TextoNormalCaracter"/>
          </w:rPr>
          <w:t>50/2012</w:t>
        </w:r>
      </w:hyperlink>
      <w:r w:rsidRPr="00BA1B56">
        <w:rPr>
          <w:rStyle w:val="TextoNormalCaracter"/>
        </w:rPr>
        <w:t xml:space="preserve">, ff. 4 a 6; </w:t>
      </w:r>
      <w:hyperlink w:anchor="SENTENCIA_2012_51" w:history="1">
        <w:r w:rsidRPr="00BA1B56">
          <w:rPr>
            <w:rStyle w:val="TextoNormalCaracter"/>
          </w:rPr>
          <w:t>51/2012</w:t>
        </w:r>
      </w:hyperlink>
      <w:r w:rsidRPr="00BA1B56">
        <w:rPr>
          <w:rStyle w:val="TextoNormalCaracter"/>
        </w:rPr>
        <w:t xml:space="preserve">, ff. 4, 7; </w:t>
      </w:r>
      <w:hyperlink w:anchor="SENTENCIA_2012_52" w:history="1">
        <w:r w:rsidRPr="00BA1B56">
          <w:rPr>
            <w:rStyle w:val="TextoNormalCaracter"/>
          </w:rPr>
          <w:t>52/2012</w:t>
        </w:r>
      </w:hyperlink>
      <w:r w:rsidRPr="00BA1B56">
        <w:rPr>
          <w:rStyle w:val="TextoNormalCaracter"/>
        </w:rPr>
        <w:t xml:space="preserve">, ff. 3, 6; </w:t>
      </w:r>
      <w:hyperlink w:anchor="SENTENCIA_2012_53" w:history="1">
        <w:r w:rsidRPr="00BA1B56">
          <w:rPr>
            <w:rStyle w:val="TextoNormalCaracter"/>
          </w:rPr>
          <w:t>53/2012</w:t>
        </w:r>
      </w:hyperlink>
      <w:r w:rsidRPr="00BA1B56">
        <w:rPr>
          <w:rStyle w:val="TextoNormalCaracter"/>
        </w:rPr>
        <w:t xml:space="preserve">, ff. 3, 6; </w:t>
      </w:r>
      <w:hyperlink w:anchor="SENTENCIA_2012_54" w:history="1">
        <w:r w:rsidRPr="00BA1B56">
          <w:rPr>
            <w:rStyle w:val="TextoNormalCaracter"/>
          </w:rPr>
          <w:t>54/2012</w:t>
        </w:r>
      </w:hyperlink>
      <w:r w:rsidRPr="00BA1B56">
        <w:rPr>
          <w:rStyle w:val="TextoNormalCaracter"/>
        </w:rPr>
        <w:t xml:space="preserve">, ff. 4, 8; </w:t>
      </w:r>
      <w:hyperlink w:anchor="SENTENCIA_2012_55" w:history="1">
        <w:r w:rsidRPr="00BA1B56">
          <w:rPr>
            <w:rStyle w:val="TextoNormalCaracter"/>
          </w:rPr>
          <w:t>55/2012</w:t>
        </w:r>
      </w:hyperlink>
      <w:r w:rsidRPr="00BA1B56">
        <w:rPr>
          <w:rStyle w:val="TextoNormalCaracter"/>
        </w:rPr>
        <w:t xml:space="preserve">, ff. 5, 6, 8; </w:t>
      </w:r>
      <w:hyperlink w:anchor="SENTENCIA_2012_56" w:history="1">
        <w:r w:rsidRPr="00BA1B56">
          <w:rPr>
            <w:rStyle w:val="TextoNormalCaracter"/>
          </w:rPr>
          <w:t>56/2012</w:t>
        </w:r>
      </w:hyperlink>
      <w:r w:rsidRPr="00BA1B56">
        <w:rPr>
          <w:rStyle w:val="TextoNormalCaracter"/>
        </w:rPr>
        <w:t xml:space="preserve">, ff. 2, 5; </w:t>
      </w:r>
      <w:hyperlink w:anchor="SENTENCIA_2012_57" w:history="1">
        <w:r w:rsidRPr="00BA1B56">
          <w:rPr>
            <w:rStyle w:val="TextoNormalCaracter"/>
          </w:rPr>
          <w:t>57/2012</w:t>
        </w:r>
      </w:hyperlink>
      <w:r w:rsidRPr="00BA1B56">
        <w:rPr>
          <w:rStyle w:val="TextoNormalCaracter"/>
        </w:rPr>
        <w:t xml:space="preserve">, ff. 3, 7, 8; </w:t>
      </w:r>
      <w:hyperlink w:anchor="SENTENCIA_2012_59" w:history="1">
        <w:r w:rsidRPr="00BA1B56">
          <w:rPr>
            <w:rStyle w:val="TextoNormalCaracter"/>
          </w:rPr>
          <w:t>59/2012</w:t>
        </w:r>
      </w:hyperlink>
      <w:r w:rsidRPr="00BA1B56">
        <w:rPr>
          <w:rStyle w:val="TextoNormalCaracter"/>
        </w:rPr>
        <w:t xml:space="preserve">, f. 5; </w:t>
      </w:r>
      <w:hyperlink w:anchor="SENTENCIA_2012_61" w:history="1">
        <w:r w:rsidRPr="00BA1B56">
          <w:rPr>
            <w:rStyle w:val="TextoNormalCaracter"/>
          </w:rPr>
          <w:t>61/2012</w:t>
        </w:r>
      </w:hyperlink>
      <w:r w:rsidRPr="00BA1B56">
        <w:rPr>
          <w:rStyle w:val="TextoNormalCaracter"/>
        </w:rPr>
        <w:t xml:space="preserve">, ff. 3, 4, 6; </w:t>
      </w:r>
      <w:hyperlink w:anchor="SENTENCIA_2012_64" w:history="1">
        <w:r w:rsidRPr="00BA1B56">
          <w:rPr>
            <w:rStyle w:val="TextoNormalCaracter"/>
          </w:rPr>
          <w:t>64/2012</w:t>
        </w:r>
      </w:hyperlink>
      <w:r w:rsidRPr="00BA1B56">
        <w:rPr>
          <w:rStyle w:val="TextoNormalCaracter"/>
        </w:rPr>
        <w:t xml:space="preserve">, ff. 3, 4, 6, 7; </w:t>
      </w:r>
      <w:hyperlink w:anchor="SENTENCIA_2012_65" w:history="1">
        <w:r w:rsidRPr="00BA1B56">
          <w:rPr>
            <w:rStyle w:val="TextoNormalCaracter"/>
          </w:rPr>
          <w:t>65/2012</w:t>
        </w:r>
      </w:hyperlink>
      <w:r w:rsidRPr="00BA1B56">
        <w:rPr>
          <w:rStyle w:val="TextoNormalCaracter"/>
        </w:rPr>
        <w:t xml:space="preserve">, ff. 4, 5, 7, 8; </w:t>
      </w:r>
      <w:hyperlink w:anchor="SENTENCIA_2012_66" w:history="1">
        <w:r w:rsidRPr="00BA1B56">
          <w:rPr>
            <w:rStyle w:val="TextoNormalCaracter"/>
          </w:rPr>
          <w:t>66/2012</w:t>
        </w:r>
      </w:hyperlink>
      <w:r w:rsidRPr="00BA1B56">
        <w:rPr>
          <w:rStyle w:val="TextoNormalCaracter"/>
        </w:rPr>
        <w:t xml:space="preserve">, ff. 3 a 6; </w:t>
      </w:r>
      <w:hyperlink w:anchor="SENTENCIA_2012_67" w:history="1">
        <w:r w:rsidRPr="00BA1B56">
          <w:rPr>
            <w:rStyle w:val="TextoNormalCaracter"/>
          </w:rPr>
          <w:t>67/2012</w:t>
        </w:r>
      </w:hyperlink>
      <w:r w:rsidRPr="00BA1B56">
        <w:rPr>
          <w:rStyle w:val="TextoNormalCaracter"/>
        </w:rPr>
        <w:t xml:space="preserve">, ff. 3, 4, 6, 7; </w:t>
      </w:r>
      <w:hyperlink w:anchor="SENTENCIA_2012_68" w:history="1">
        <w:r w:rsidRPr="00BA1B56">
          <w:rPr>
            <w:rStyle w:val="TextoNormalCaracter"/>
          </w:rPr>
          <w:t>68/2012</w:t>
        </w:r>
      </w:hyperlink>
      <w:r w:rsidRPr="00BA1B56">
        <w:rPr>
          <w:rStyle w:val="TextoNormalCaracter"/>
        </w:rPr>
        <w:t xml:space="preserve">, ff. 3, 6; </w:t>
      </w:r>
      <w:hyperlink w:anchor="SENTENCIA_2012_69" w:history="1">
        <w:r w:rsidRPr="00BA1B56">
          <w:rPr>
            <w:rStyle w:val="TextoNormalCaracter"/>
          </w:rPr>
          <w:t>69/2012</w:t>
        </w:r>
      </w:hyperlink>
      <w:r w:rsidRPr="00BA1B56">
        <w:rPr>
          <w:rStyle w:val="TextoNormalCaracter"/>
        </w:rPr>
        <w:t xml:space="preserve">, ff. 4, 5, 7, 8; </w:t>
      </w:r>
      <w:hyperlink w:anchor="SENTENCIA_2012_92" w:history="1">
        <w:r w:rsidRPr="00BA1B56">
          <w:rPr>
            <w:rStyle w:val="TextoNormalCaracter"/>
          </w:rPr>
          <w:t>92/2012</w:t>
        </w:r>
      </w:hyperlink>
      <w:r w:rsidRPr="00BA1B56">
        <w:rPr>
          <w:rStyle w:val="TextoNormalCaracter"/>
        </w:rPr>
        <w:t xml:space="preserve">, ff. 3, 5; </w:t>
      </w:r>
      <w:hyperlink w:anchor="SENTENCIA_2012_108" w:history="1">
        <w:r w:rsidRPr="00BA1B56">
          <w:rPr>
            <w:rStyle w:val="TextoNormalCaracter"/>
          </w:rPr>
          <w:t>108/2012</w:t>
        </w:r>
      </w:hyperlink>
      <w:r w:rsidRPr="00BA1B56">
        <w:rPr>
          <w:rStyle w:val="TextoNormalCaracter"/>
        </w:rPr>
        <w:t xml:space="preserve">, ff. 2 a 4; </w:t>
      </w:r>
      <w:hyperlink w:anchor="SENTENCIA_2012_113" w:history="1">
        <w:r w:rsidRPr="00BA1B56">
          <w:rPr>
            <w:rStyle w:val="TextoNormalCaracter"/>
          </w:rPr>
          <w:t>113/2012</w:t>
        </w:r>
      </w:hyperlink>
      <w:r w:rsidRPr="00BA1B56">
        <w:rPr>
          <w:rStyle w:val="TextoNormalCaracter"/>
        </w:rPr>
        <w:t xml:space="preserve">, ff. 2, 6, 8, 11, 12; </w:t>
      </w:r>
      <w:hyperlink w:anchor="SENTENCIA_2012_114" w:history="1">
        <w:r w:rsidRPr="00BA1B56">
          <w:rPr>
            <w:rStyle w:val="TextoNormalCaracter"/>
          </w:rPr>
          <w:t>114/2012</w:t>
        </w:r>
      </w:hyperlink>
      <w:r w:rsidRPr="00BA1B56">
        <w:rPr>
          <w:rStyle w:val="TextoNormalCaracter"/>
        </w:rPr>
        <w:t>, ff. 3, 4, 6.</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92" w:history="1">
        <w:r w:rsidRPr="00BA1B56">
          <w:rPr>
            <w:rStyle w:val="TextoNormalCaracter"/>
          </w:rPr>
          <w:t>92/2012</w:t>
        </w:r>
      </w:hyperlink>
      <w:r w:rsidRPr="00BA1B56">
        <w:rPr>
          <w:rStyle w:val="TextoNormalCaracter"/>
        </w:rPr>
        <w:t xml:space="preserve">, ff. 1, 3 a 6; </w:t>
      </w:r>
      <w:hyperlink w:anchor="SENTENCIA_2012_95" w:history="1">
        <w:r w:rsidRPr="00BA1B56">
          <w:rPr>
            <w:rStyle w:val="TextoNormalCaracter"/>
          </w:rPr>
          <w:t>95/2012</w:t>
        </w:r>
      </w:hyperlink>
      <w:r w:rsidRPr="00BA1B56">
        <w:rPr>
          <w:rStyle w:val="TextoNormalCaracter"/>
        </w:rPr>
        <w:t>, ff. 1 a 7.</w:t>
      </w:r>
    </w:p>
    <w:p w:rsidR="00BA1B56" w:rsidRPr="00BA1B56" w:rsidRDefault="00BA1B56" w:rsidP="00BA1B56">
      <w:pPr>
        <w:pStyle w:val="TextoNormalSangraFrancesa"/>
        <w:rPr>
          <w:rStyle w:val="TextoNormalNegritaCaracter"/>
        </w:rPr>
      </w:pPr>
      <w:r w:rsidRPr="00BA1B56">
        <w:rPr>
          <w:rStyle w:val="TextoNormalCursivaCaracter"/>
        </w:rPr>
        <w:t>Derecho a la libre circulación</w:t>
      </w:r>
      <w:r>
        <w:t xml:space="preserve"> véase </w:t>
      </w:r>
      <w:hyperlink w:anchor="DESCRIPTORALFABETICO237" w:history="1">
        <w:r w:rsidRPr="00BA1B56">
          <w:rPr>
            <w:rStyle w:val="TextoNormalNegritaCaracter"/>
          </w:rPr>
          <w:t>Libertad de circulación</w:t>
        </w:r>
      </w:hyperlink>
    </w:p>
    <w:p w:rsidR="00BA1B56" w:rsidRPr="00BA1B56" w:rsidRDefault="00BA1B56" w:rsidP="00BA1B56">
      <w:pPr>
        <w:pStyle w:val="TextoNormalSangraFrancesa"/>
        <w:rPr>
          <w:rStyle w:val="TextoNormalNegritaCaracter"/>
        </w:rPr>
      </w:pPr>
      <w:r w:rsidRPr="00BA1B56">
        <w:rPr>
          <w:rStyle w:val="TextoNormalCursivaCaracter"/>
        </w:rPr>
        <w:t>Derecho a la libre información</w:t>
      </w:r>
      <w:r>
        <w:t xml:space="preserve"> véase </w:t>
      </w:r>
      <w:hyperlink w:anchor="DESCRIPTORALFABETICO242" w:history="1">
        <w:r w:rsidRPr="00BA1B56">
          <w:rPr>
            <w:rStyle w:val="TextoNormalNegritaCaracter"/>
          </w:rPr>
          <w:t>Libertad de información</w:t>
        </w:r>
      </w:hyperlink>
    </w:p>
    <w:p w:rsidR="00BA1B56" w:rsidRPr="00BA1B56" w:rsidRDefault="00BA1B56" w:rsidP="00BA1B56">
      <w:pPr>
        <w:pStyle w:val="TextoNormalSangraFrancesa"/>
        <w:rPr>
          <w:rStyle w:val="TextoNormalCaracter"/>
        </w:rPr>
      </w:pPr>
      <w:bookmarkStart w:id="1607" w:name="DESCRIPTORALFABETICO172"/>
      <w:r w:rsidRPr="00BA1B56">
        <w:rPr>
          <w:rStyle w:val="TextoNormalNegritaCaracter"/>
        </w:rPr>
        <w:t>Derecho a la negociación colectiva</w:t>
      </w:r>
      <w:bookmarkEnd w:id="1607"/>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08" w:name="DESCRIPTORALFABETICO173"/>
      <w:r w:rsidRPr="00BA1B56">
        <w:rPr>
          <w:rStyle w:val="TextoNormalNegritaCaracter"/>
        </w:rPr>
        <w:t>Derecho a la negociación colectiva en la función pública</w:t>
      </w:r>
      <w:bookmarkEnd w:id="1608"/>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609" w:name="DESCRIPTORALFABETICO175"/>
      <w:r w:rsidRPr="00BA1B56">
        <w:rPr>
          <w:rStyle w:val="TextoNormalNegritaCaracter"/>
        </w:rPr>
        <w:t>Derecho a la participación en los asuntos públicos</w:t>
      </w:r>
      <w:bookmarkEnd w:id="1609"/>
      <w:r w:rsidRPr="00BA1B56">
        <w:rPr>
          <w:rStyle w:val="TextoNormalCaracter"/>
        </w:rPr>
        <w:t xml:space="preserve">, Sentencias </w:t>
      </w:r>
      <w:hyperlink w:anchor="SENTENCIA_2012_14" w:history="1">
        <w:r w:rsidRPr="00BA1B56">
          <w:rPr>
            <w:rStyle w:val="TextoNormalCaracter"/>
          </w:rPr>
          <w:t>14/2012</w:t>
        </w:r>
      </w:hyperlink>
      <w:r w:rsidRPr="00BA1B56">
        <w:rPr>
          <w:rStyle w:val="TextoNormalCaracter"/>
        </w:rPr>
        <w:t xml:space="preserve">, f. 2; </w:t>
      </w:r>
      <w:hyperlink w:anchor="SENTENCIA_2012_88" w:history="1">
        <w:r w:rsidRPr="00BA1B56">
          <w:rPr>
            <w:rStyle w:val="TextoNormalCaracter"/>
          </w:rPr>
          <w:t>88/2012</w:t>
        </w:r>
      </w:hyperlink>
      <w:r w:rsidRPr="00BA1B56">
        <w:rPr>
          <w:rStyle w:val="TextoNormalCaracter"/>
        </w:rPr>
        <w:t xml:space="preserve">, f. 2; </w:t>
      </w:r>
      <w:hyperlink w:anchor="SENTENCIA_2012_117" w:history="1">
        <w:r w:rsidRPr="00BA1B56">
          <w:rPr>
            <w:rStyle w:val="TextoNormalCaracter"/>
          </w:rPr>
          <w:t>117/2012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610" w:name="DESCRIPTORALFABETICO178"/>
      <w:r w:rsidRPr="00BA1B56">
        <w:rPr>
          <w:rStyle w:val="TextoNormalNegritaCaracter"/>
        </w:rPr>
        <w:t>Derecho a la presunción de inocencia</w:t>
      </w:r>
      <w:bookmarkEnd w:id="1610"/>
      <w:r w:rsidRPr="00BA1B56">
        <w:rPr>
          <w:rStyle w:val="TextoNormalCaracter"/>
        </w:rPr>
        <w:t xml:space="preserve">, Sentencias </w:t>
      </w:r>
      <w:hyperlink w:anchor="SENTENCIA_2012_16" w:history="1">
        <w:r w:rsidRPr="00BA1B56">
          <w:rPr>
            <w:rStyle w:val="TextoNormalCaracter"/>
          </w:rPr>
          <w:t>16/2012</w:t>
        </w:r>
      </w:hyperlink>
      <w:r w:rsidRPr="00BA1B56">
        <w:rPr>
          <w:rStyle w:val="TextoNormalCaracter"/>
        </w:rPr>
        <w:t xml:space="preserve">, ff. 3, 4; </w:t>
      </w:r>
      <w:hyperlink w:anchor="SENTENCIA_2012_70" w:history="1">
        <w:r w:rsidRPr="00BA1B56">
          <w:rPr>
            <w:rStyle w:val="TextoNormalCaracter"/>
          </w:rPr>
          <w:t>70/2012</w:t>
        </w:r>
      </w:hyperlink>
      <w:r w:rsidRPr="00BA1B56">
        <w:rPr>
          <w:rStyle w:val="TextoNormalCaracter"/>
        </w:rPr>
        <w:t xml:space="preserve">, f. 4; </w:t>
      </w:r>
      <w:hyperlink w:anchor="SENTENCIA_2012_107" w:history="1">
        <w:r w:rsidRPr="00BA1B56">
          <w:rPr>
            <w:rStyle w:val="TextoNormalCaracter"/>
          </w:rPr>
          <w:t>107/2012</w:t>
        </w:r>
      </w:hyperlink>
      <w:r w:rsidRPr="00BA1B56">
        <w:rPr>
          <w:rStyle w:val="TextoNormalCaracter"/>
        </w:rPr>
        <w:t xml:space="preserve">, f. 6; </w:t>
      </w:r>
      <w:hyperlink w:anchor="SENTENCIA_2012_126" w:history="1">
        <w:r w:rsidRPr="00BA1B56">
          <w:rPr>
            <w:rStyle w:val="TextoNormalCaracter"/>
          </w:rPr>
          <w:t>126/2012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107" w:history="1">
        <w:r w:rsidRPr="00BA1B56">
          <w:rPr>
            <w:rStyle w:val="TextoNormalCaracter"/>
          </w:rPr>
          <w:t>107/2012</w:t>
        </w:r>
      </w:hyperlink>
      <w:r w:rsidRPr="00BA1B56">
        <w:rPr>
          <w:rStyle w:val="TextoNormalCaracter"/>
        </w:rPr>
        <w:t xml:space="preserve">, f. 6; </w:t>
      </w:r>
      <w:hyperlink w:anchor="SENTENCIA_2012_126" w:history="1">
        <w:r w:rsidRPr="00BA1B56">
          <w:rPr>
            <w:rStyle w:val="TextoNormalCaracter"/>
          </w:rPr>
          <w:t>126/2012</w:t>
        </w:r>
      </w:hyperlink>
      <w:r w:rsidRPr="00BA1B56">
        <w:rPr>
          <w:rStyle w:val="TextoNormalCaracter"/>
        </w:rPr>
        <w:t>, f. 5.</w:t>
      </w:r>
    </w:p>
    <w:p w:rsidR="00BA1B56" w:rsidRPr="00BA1B56" w:rsidRDefault="00BA1B56" w:rsidP="00BA1B56">
      <w:pPr>
        <w:pStyle w:val="TextoNormalSangraFrancesa"/>
        <w:rPr>
          <w:rStyle w:val="TextoNormalCaracter"/>
        </w:rPr>
      </w:pPr>
      <w:bookmarkStart w:id="1611" w:name="DESCRIPTORALFABETICO179"/>
      <w:r w:rsidRPr="00BA1B56">
        <w:rPr>
          <w:rStyle w:val="TextoNormalNegritaCaracter"/>
        </w:rPr>
        <w:t>Derecho a la propia imagen</w:t>
      </w:r>
      <w:bookmarkEnd w:id="1611"/>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12" w:history="1">
        <w:r w:rsidRPr="00BA1B56">
          <w:rPr>
            <w:rStyle w:val="TextoNormalCaracter"/>
          </w:rPr>
          <w:t>12/2012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12" w:name="DESCRIPTORALFABETICO182"/>
      <w:r w:rsidRPr="00BA1B56">
        <w:rPr>
          <w:rStyle w:val="TextoNormalNegritaCaracter"/>
        </w:rPr>
        <w:t>Derecho a la protección de datos personales</w:t>
      </w:r>
      <w:bookmarkEnd w:id="1612"/>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2, 3, 4, 5, 6, 7, 8, 9, 10, 11.</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96" w:history="1">
        <w:r w:rsidRPr="00BA1B56">
          <w:rPr>
            <w:rStyle w:val="TextoNormalCaracter"/>
          </w:rPr>
          <w:t>96/2012</w:t>
        </w:r>
      </w:hyperlink>
      <w:r w:rsidRPr="00BA1B56">
        <w:rPr>
          <w:rStyle w:val="TextoNormalCaracter"/>
        </w:rPr>
        <w:t>, f. 6.</w:t>
      </w:r>
    </w:p>
    <w:p w:rsidR="00BA1B56" w:rsidRPr="00BA1B56" w:rsidRDefault="00BA1B56" w:rsidP="00BA1B56">
      <w:pPr>
        <w:pStyle w:val="TextoNormalSangraFrancesa"/>
        <w:rPr>
          <w:rStyle w:val="TextoNormalCaracter"/>
        </w:rPr>
      </w:pPr>
      <w:bookmarkStart w:id="1613" w:name="DESCRIPTORALFABETICO188"/>
      <w:r w:rsidRPr="00BA1B56">
        <w:rPr>
          <w:rStyle w:val="TextoNormalNegritaCaracter"/>
        </w:rPr>
        <w:t>Derecho a la protección de la salud</w:t>
      </w:r>
      <w:bookmarkEnd w:id="1613"/>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14" w:name="DESCRIPTORALFABETICO189"/>
      <w:r w:rsidRPr="00BA1B56">
        <w:rPr>
          <w:rStyle w:val="TextoNormalNegritaCaracter"/>
        </w:rPr>
        <w:t>Derecho a la tutela judicial efectiva</w:t>
      </w:r>
      <w:bookmarkEnd w:id="1614"/>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15" w:name="DESCRIPTORALFABETICO215"/>
      <w:r w:rsidRPr="00BA1B56">
        <w:rPr>
          <w:rStyle w:val="TextoNormalNegritaCaracter"/>
        </w:rPr>
        <w:t>Derecho a la tutela judicial sin indefensión</w:t>
      </w:r>
      <w:bookmarkEnd w:id="1615"/>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57" w:history="1">
        <w:r w:rsidRPr="00BA1B56">
          <w:rPr>
            <w:rStyle w:val="TextoNormalCaracter"/>
          </w:rPr>
          <w:t>57/2012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Sentencias </w:t>
      </w:r>
      <w:hyperlink w:anchor="SENTENCIA_2012_13" w:history="1">
        <w:r w:rsidRPr="00BA1B56">
          <w:rPr>
            <w:rStyle w:val="TextoNormalCaracter"/>
          </w:rPr>
          <w:t>13/2012</w:t>
        </w:r>
      </w:hyperlink>
      <w:r w:rsidRPr="00BA1B56">
        <w:rPr>
          <w:rStyle w:val="TextoNormalCaracter"/>
        </w:rPr>
        <w:t xml:space="preserve">, ff. 4, 5; </w:t>
      </w:r>
      <w:hyperlink w:anchor="SENTENCIA_2012_70" w:history="1">
        <w:r w:rsidRPr="00BA1B56">
          <w:rPr>
            <w:rStyle w:val="TextoNormalCaracter"/>
          </w:rPr>
          <w:t>70/2012</w:t>
        </w:r>
      </w:hyperlink>
      <w:r w:rsidRPr="00BA1B56">
        <w:rPr>
          <w:rStyle w:val="TextoNormalCaracter"/>
        </w:rPr>
        <w:t>, f. 1.</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616" w:name="DESCRIPTORALFABETICO224"/>
      <w:r w:rsidRPr="00BA1B56">
        <w:rPr>
          <w:rStyle w:val="TextoNormalNegritaCaracter"/>
        </w:rPr>
        <w:t>Derecho a ser oído</w:t>
      </w:r>
      <w:bookmarkEnd w:id="1616"/>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 4.</w:t>
      </w:r>
    </w:p>
    <w:p w:rsidR="00BA1B56" w:rsidRPr="00BA1B56" w:rsidRDefault="00BA1B56" w:rsidP="00BA1B56">
      <w:pPr>
        <w:pStyle w:val="TextoNormalSangraFrancesa"/>
        <w:rPr>
          <w:rStyle w:val="TextoNormalNegritaCaracter"/>
        </w:rPr>
      </w:pPr>
      <w:r w:rsidRPr="00BA1B56">
        <w:rPr>
          <w:rStyle w:val="TextoNormalCursivaCaracter"/>
        </w:rPr>
        <w:t>Derecho a ser oído del absuelto en recurso de apelación</w:t>
      </w:r>
      <w:r>
        <w:t xml:space="preserve"> véase </w:t>
      </w:r>
      <w:hyperlink w:anchor="DESCRIPTORALFABETICO225" w:history="1">
        <w:r w:rsidRPr="00BA1B56">
          <w:rPr>
            <w:rStyle w:val="TextoNormalNegritaCaracter"/>
          </w:rPr>
          <w:t>Derecho a ser oído del absuelto en segunda instancia</w:t>
        </w:r>
      </w:hyperlink>
    </w:p>
    <w:p w:rsidR="00BA1B56" w:rsidRPr="00BA1B56" w:rsidRDefault="00BA1B56" w:rsidP="00BA1B56">
      <w:pPr>
        <w:pStyle w:val="TextoNormalSangraFrancesa"/>
        <w:rPr>
          <w:rStyle w:val="TextoNormalCaracter"/>
        </w:rPr>
      </w:pPr>
      <w:bookmarkStart w:id="1617" w:name="DESCRIPTORALFABETICO225"/>
      <w:r w:rsidRPr="00BA1B56">
        <w:rPr>
          <w:rStyle w:val="TextoNormalNegritaCaracter"/>
        </w:rPr>
        <w:t>Derecho a ser oído del absuelto en segunda instancia</w:t>
      </w:r>
      <w:bookmarkEnd w:id="1617"/>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18" w:name="DESCRIPTORALFABETICO221"/>
      <w:r w:rsidRPr="00BA1B56">
        <w:rPr>
          <w:rStyle w:val="TextoNormalNegritaCaracter"/>
        </w:rPr>
        <w:t>Derecho a un proceso con todas las garantías</w:t>
      </w:r>
      <w:bookmarkEnd w:id="1618"/>
      <w:r w:rsidRPr="00BA1B56">
        <w:rPr>
          <w:rStyle w:val="TextoNormalCaracter"/>
        </w:rPr>
        <w:t xml:space="preserve">, Sentencias </w:t>
      </w:r>
      <w:hyperlink w:anchor="SENTENCIA_2012_107" w:history="1">
        <w:r w:rsidRPr="00BA1B56">
          <w:rPr>
            <w:rStyle w:val="TextoNormalCaracter"/>
          </w:rPr>
          <w:t>107/2012</w:t>
        </w:r>
      </w:hyperlink>
      <w:r w:rsidRPr="00BA1B56">
        <w:rPr>
          <w:rStyle w:val="TextoNormalCaracter"/>
        </w:rPr>
        <w:t xml:space="preserve">, f. 6; </w:t>
      </w:r>
      <w:hyperlink w:anchor="SENTENCIA_2012_126" w:history="1">
        <w:r w:rsidRPr="00BA1B56">
          <w:rPr>
            <w:rStyle w:val="TextoNormalCaracter"/>
          </w:rPr>
          <w:t>126/2012</w:t>
        </w:r>
      </w:hyperlink>
      <w:r w:rsidRPr="00BA1B56">
        <w:rPr>
          <w:rStyle w:val="TextoNormalCaracter"/>
        </w:rPr>
        <w:t>, ff. 2, 3,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1" w:history="1">
        <w:r w:rsidRPr="00BA1B56">
          <w:rPr>
            <w:rStyle w:val="TextoNormalCaracter"/>
          </w:rPr>
          <w:t>11/2012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 </w:t>
      </w:r>
      <w:hyperlink w:anchor="SENTENCIA_2012_126" w:history="1">
        <w:r w:rsidRPr="00BA1B56">
          <w:rPr>
            <w:rStyle w:val="TextoNormalCaracter"/>
          </w:rPr>
          <w:t>126/2012</w:t>
        </w:r>
      </w:hyperlink>
      <w:r w:rsidRPr="00BA1B56">
        <w:rPr>
          <w:rStyle w:val="TextoNormalCaracter"/>
        </w:rPr>
        <w:t>, ff. 3,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23" w:history="1">
        <w:r w:rsidRPr="00BA1B56">
          <w:rPr>
            <w:rStyle w:val="TextoNormalCaracter"/>
          </w:rPr>
          <w:t>123/2012</w:t>
        </w:r>
      </w:hyperlink>
      <w:r w:rsidRPr="00BA1B56">
        <w:rPr>
          <w:rStyle w:val="TextoNormalCaracter"/>
        </w:rPr>
        <w:t>, f. 2.</w:t>
      </w:r>
    </w:p>
    <w:p w:rsidR="00BA1B56" w:rsidRPr="00BA1B56" w:rsidRDefault="00BA1B56" w:rsidP="00BA1B56">
      <w:pPr>
        <w:pStyle w:val="TextoNormalSangraFrancesa"/>
        <w:rPr>
          <w:rStyle w:val="TextoNormalCaracter"/>
        </w:rPr>
      </w:pPr>
      <w:bookmarkStart w:id="1619" w:name="DESCRIPTORALFABETICO226"/>
      <w:r w:rsidRPr="00BA1B56">
        <w:rPr>
          <w:rStyle w:val="TextoNormalNegritaCaracter"/>
        </w:rPr>
        <w:t>Derecho a un proceso sin dilaciones indebidas</w:t>
      </w:r>
      <w:bookmarkEnd w:id="1619"/>
      <w:r w:rsidRPr="00BA1B56">
        <w:rPr>
          <w:rStyle w:val="TextoNormalCaracter"/>
        </w:rPr>
        <w:t xml:space="preserve">, Auto </w:t>
      </w:r>
      <w:hyperlink w:anchor="AUTO_2012_106" w:history="1">
        <w:r w:rsidRPr="00BA1B56">
          <w:rPr>
            <w:rStyle w:val="TextoNormalCaracter"/>
          </w:rPr>
          <w:t>106/2012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620" w:name="DESCRIPTORALFABETICO230"/>
      <w:r w:rsidRPr="00BA1B56">
        <w:rPr>
          <w:rStyle w:val="TextoNormalNegritaCaracter"/>
        </w:rPr>
        <w:lastRenderedPageBreak/>
        <w:t>Derecho al secreto de las comunicaciones</w:t>
      </w:r>
      <w:bookmarkEnd w:id="1620"/>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ff. 3, 4, 5, 6.</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 </w:t>
      </w:r>
      <w:hyperlink w:anchor="SENTENCIA_2012_107" w:history="1">
        <w:r w:rsidRPr="00BA1B56">
          <w:rPr>
            <w:rStyle w:val="TextoNormalCaracter"/>
          </w:rPr>
          <w:t>107/2012</w:t>
        </w:r>
      </w:hyperlink>
      <w:r w:rsidRPr="00BA1B56">
        <w:rPr>
          <w:rStyle w:val="TextoNormalCaracter"/>
        </w:rPr>
        <w:t>, f. 5.</w:t>
      </w:r>
    </w:p>
    <w:p w:rsidR="00BA1B56" w:rsidRPr="00BA1B56" w:rsidRDefault="00BA1B56" w:rsidP="00BA1B56">
      <w:pPr>
        <w:pStyle w:val="TextoNormalSangraFrancesa"/>
        <w:rPr>
          <w:rStyle w:val="TextoNormalNegritaCaracter"/>
        </w:rPr>
      </w:pPr>
      <w:r w:rsidRPr="00BA1B56">
        <w:rPr>
          <w:rStyle w:val="TextoNormalCursivaCaracter"/>
        </w:rPr>
        <w:t>Derecho comunitario</w:t>
      </w:r>
      <w:r>
        <w:t xml:space="preserve"> véase </w:t>
      </w:r>
      <w:hyperlink w:anchor="DESCRIPTORALFABETICO681" w:history="1">
        <w:r w:rsidRPr="00BA1B56">
          <w:rPr>
            <w:rStyle w:val="TextoNormalNegritaCaracter"/>
          </w:rPr>
          <w:t>Derecho de la Unión Europea</w:t>
        </w:r>
      </w:hyperlink>
    </w:p>
    <w:p w:rsidR="00BA1B56" w:rsidRPr="00BA1B56" w:rsidRDefault="00BA1B56" w:rsidP="00BA1B56">
      <w:pPr>
        <w:pStyle w:val="TextoNormalSangraFrancesa"/>
        <w:rPr>
          <w:rStyle w:val="TextoNormalCaracter"/>
        </w:rPr>
      </w:pPr>
      <w:bookmarkStart w:id="1621" w:name="DESCRIPTORALFABETICO232"/>
      <w:r w:rsidRPr="00BA1B56">
        <w:rPr>
          <w:rStyle w:val="TextoNormalNegritaCaracter"/>
        </w:rPr>
        <w:t>Derecho de asociación</w:t>
      </w:r>
      <w:bookmarkEnd w:id="1621"/>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3 a 5, 12, 16.</w:t>
      </w:r>
    </w:p>
    <w:p w:rsidR="00BA1B56" w:rsidRPr="00BA1B56" w:rsidRDefault="00BA1B56" w:rsidP="00BA1B56">
      <w:pPr>
        <w:pStyle w:val="TextoNormalSangraFrancesa"/>
        <w:rPr>
          <w:rStyle w:val="TextoNormalCaracter"/>
        </w:rPr>
      </w:pPr>
      <w:bookmarkStart w:id="1622" w:name="DESCRIPTORALFABETICO681"/>
      <w:r w:rsidRPr="00BA1B56">
        <w:rPr>
          <w:rStyle w:val="TextoNormalNegritaCaracter"/>
        </w:rPr>
        <w:t>Derecho de la Unión Europea</w:t>
      </w:r>
      <w:bookmarkEnd w:id="1622"/>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23" w:name="DESCRIPTORALFABETICO683"/>
      <w:r w:rsidRPr="00BA1B56">
        <w:rPr>
          <w:rStyle w:val="TextoNormalNegritaCaracter"/>
        </w:rPr>
        <w:t>Derecho de la Unión Europea no es canon de constitucionalidad autónomo</w:t>
      </w:r>
      <w:bookmarkEnd w:id="1623"/>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24" w:name="DESCRIPTORALFABETICO592"/>
      <w:r w:rsidRPr="00BA1B56">
        <w:rPr>
          <w:rStyle w:val="TextoNormalNegritaCaracter"/>
        </w:rPr>
        <w:t>Derecho de retracto</w:t>
      </w:r>
      <w:bookmarkEnd w:id="1624"/>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 7; </w:t>
      </w:r>
      <w:hyperlink w:anchor="SENTENCIA_2012_28" w:history="1">
        <w:r w:rsidRPr="00BA1B56">
          <w:rPr>
            <w:rStyle w:val="TextoNormalCaracter"/>
          </w:rPr>
          <w:t>28/2012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625" w:name="DESCRIPTORALFABETICO593"/>
      <w:r w:rsidRPr="00BA1B56">
        <w:rPr>
          <w:rStyle w:val="TextoNormalNegritaCaracter"/>
        </w:rPr>
        <w:t>Derecho de retracto en favor de la Administración Pública</w:t>
      </w:r>
      <w:bookmarkEnd w:id="1625"/>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 5.</w:t>
      </w:r>
    </w:p>
    <w:p w:rsidR="00BA1B56" w:rsidRPr="00BA1B56" w:rsidRDefault="00BA1B56" w:rsidP="00BA1B56">
      <w:pPr>
        <w:pStyle w:val="TextoNormalSangraFrancesa"/>
        <w:rPr>
          <w:rStyle w:val="TextoNormalCaracter"/>
        </w:rPr>
      </w:pPr>
      <w:bookmarkStart w:id="1626" w:name="DESCRIPTORALFABETICO234"/>
      <w:r w:rsidRPr="00BA1B56">
        <w:rPr>
          <w:rStyle w:val="TextoNormalNegritaCaracter"/>
        </w:rPr>
        <w:t>Derecho de sufragio</w:t>
      </w:r>
      <w:bookmarkEnd w:id="1626"/>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 6.</w:t>
      </w:r>
    </w:p>
    <w:p w:rsidR="00BA1B56" w:rsidRPr="00BA1B56" w:rsidRDefault="00BA1B56" w:rsidP="00BA1B56">
      <w:pPr>
        <w:pStyle w:val="TextoNormalSangraFrancesa"/>
        <w:rPr>
          <w:rStyle w:val="TextoNormalCaracter"/>
        </w:rPr>
      </w:pPr>
      <w:bookmarkStart w:id="1627" w:name="DESCRIPTORALFABETICO595"/>
      <w:r w:rsidRPr="00BA1B56">
        <w:rPr>
          <w:rStyle w:val="TextoNormalNegritaCaracter"/>
        </w:rPr>
        <w:t>Derecho de tanteo</w:t>
      </w:r>
      <w:bookmarkEnd w:id="1627"/>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7.</w:t>
      </w:r>
    </w:p>
    <w:p w:rsidR="00BA1B56" w:rsidRPr="00BA1B56" w:rsidRDefault="00BA1B56" w:rsidP="00BA1B56">
      <w:pPr>
        <w:pStyle w:val="TextoNormalSangraFrancesa"/>
        <w:rPr>
          <w:rStyle w:val="TextoNormalNegritaCaracter"/>
        </w:rPr>
      </w:pPr>
      <w:r w:rsidRPr="00BA1B56">
        <w:rPr>
          <w:rStyle w:val="TextoNormalCursivaCaracter"/>
        </w:rPr>
        <w:t>Derecho del acusado a ser oído</w:t>
      </w:r>
      <w:r>
        <w:t xml:space="preserve"> véase </w:t>
      </w:r>
      <w:hyperlink w:anchor="DESCRIPTORALFABETICO224" w:history="1">
        <w:r w:rsidRPr="00BA1B56">
          <w:rPr>
            <w:rStyle w:val="TextoNormalNegritaCaracter"/>
          </w:rPr>
          <w:t>Derecho a ser oído</w:t>
        </w:r>
      </w:hyperlink>
    </w:p>
    <w:p w:rsidR="00BA1B56" w:rsidRPr="00BA1B56" w:rsidRDefault="00BA1B56" w:rsidP="00BA1B56">
      <w:pPr>
        <w:pStyle w:val="TextoNormalSangraFrancesa"/>
        <w:rPr>
          <w:rStyle w:val="TextoNormalCaracter"/>
        </w:rPr>
      </w:pPr>
      <w:bookmarkStart w:id="1628" w:name="DESCRIPTORALFABETICO725"/>
      <w:r w:rsidRPr="00BA1B56">
        <w:rPr>
          <w:rStyle w:val="TextoNormalNegritaCaracter"/>
        </w:rPr>
        <w:t>Derecho supletorio</w:t>
      </w:r>
      <w:bookmarkEnd w:id="1628"/>
      <w:r w:rsidRPr="00BA1B56">
        <w:rPr>
          <w:rStyle w:val="TextoNormalCaracter"/>
        </w:rPr>
        <w:t xml:space="preserve">, Sentencia </w:t>
      </w:r>
      <w:hyperlink w:anchor="SENTENCIA_2012_90" w:history="1">
        <w:r w:rsidRPr="00BA1B56">
          <w:rPr>
            <w:rStyle w:val="TextoNormalCaracter"/>
          </w:rPr>
          <w:t>90/2012</w:t>
        </w:r>
      </w:hyperlink>
      <w:r w:rsidRPr="00BA1B56">
        <w:rPr>
          <w:rStyle w:val="TextoNormalCaracter"/>
        </w:rPr>
        <w:t>, f. 6.</w:t>
      </w:r>
    </w:p>
    <w:p w:rsidR="00BA1B56" w:rsidRPr="00BA1B56" w:rsidRDefault="00BA1B56" w:rsidP="00BA1B56">
      <w:pPr>
        <w:pStyle w:val="TextoNormalSangraFrancesa"/>
        <w:rPr>
          <w:rStyle w:val="TextoNormalCaracter"/>
        </w:rPr>
      </w:pPr>
      <w:bookmarkStart w:id="1629" w:name="DESCRIPTORALFABETICO680"/>
      <w:r w:rsidRPr="00BA1B56">
        <w:rPr>
          <w:rStyle w:val="TextoNormalNegritaCaracter"/>
        </w:rPr>
        <w:t>Derechos civiles especiales</w:t>
      </w:r>
      <w:bookmarkEnd w:id="1629"/>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1 a 9.</w:t>
      </w:r>
    </w:p>
    <w:p w:rsidR="00BA1B56" w:rsidRPr="00BA1B56" w:rsidRDefault="00BA1B56" w:rsidP="00BA1B56">
      <w:pPr>
        <w:pStyle w:val="TextoNormalSangraFrancesa"/>
        <w:rPr>
          <w:rStyle w:val="TextoNormalCaracter"/>
        </w:rPr>
      </w:pPr>
      <w:bookmarkStart w:id="1630" w:name="DESCRIPTORALFABETICO251"/>
      <w:r w:rsidRPr="00BA1B56">
        <w:rPr>
          <w:rStyle w:val="TextoNormalNegritaCaracter"/>
        </w:rPr>
        <w:t>Derechos de carácter reaccional</w:t>
      </w:r>
      <w:bookmarkEnd w:id="1630"/>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 5.</w:t>
      </w:r>
    </w:p>
    <w:p w:rsidR="00BA1B56" w:rsidRPr="00BA1B56" w:rsidRDefault="00BA1B56" w:rsidP="00BA1B56">
      <w:pPr>
        <w:pStyle w:val="TextoNormalSangraFrancesa"/>
        <w:rPr>
          <w:rStyle w:val="TextoNormalCaracter"/>
        </w:rPr>
      </w:pPr>
      <w:bookmarkStart w:id="1631" w:name="DESCRIPTORALFABETICO149"/>
      <w:r w:rsidRPr="00BA1B56">
        <w:rPr>
          <w:rStyle w:val="TextoNormalNegritaCaracter"/>
        </w:rPr>
        <w:t>Derechos de los titulares de cargos públicos de representación política</w:t>
      </w:r>
      <w:bookmarkEnd w:id="1631"/>
      <w:r w:rsidRPr="00BA1B56">
        <w:rPr>
          <w:rStyle w:val="TextoNormalCaracter"/>
        </w:rPr>
        <w:t xml:space="preserve">, Sentencias </w:t>
      </w:r>
      <w:hyperlink w:anchor="SENTENCIA_2012_14" w:history="1">
        <w:r w:rsidRPr="00BA1B56">
          <w:rPr>
            <w:rStyle w:val="TextoNormalCaracter"/>
          </w:rPr>
          <w:t>14/2012</w:t>
        </w:r>
      </w:hyperlink>
      <w:r w:rsidRPr="00BA1B56">
        <w:rPr>
          <w:rStyle w:val="TextoNormalCaracter"/>
        </w:rPr>
        <w:t xml:space="preserve">, f. 2; </w:t>
      </w:r>
      <w:hyperlink w:anchor="SENTENCIA_2012_117" w:history="1">
        <w:r w:rsidRPr="00BA1B56">
          <w:rPr>
            <w:rStyle w:val="TextoNormalCaracter"/>
          </w:rPr>
          <w:t>117/2012</w:t>
        </w:r>
      </w:hyperlink>
      <w:r w:rsidRPr="00BA1B56">
        <w:rPr>
          <w:rStyle w:val="TextoNormalCaracter"/>
        </w:rPr>
        <w:t>, f. 4.</w:t>
      </w:r>
    </w:p>
    <w:p w:rsidR="00BA1B56" w:rsidRPr="00BA1B56" w:rsidRDefault="00BA1B56" w:rsidP="00BA1B56">
      <w:pPr>
        <w:pStyle w:val="TextoNormalSangraFrancesa"/>
        <w:rPr>
          <w:rStyle w:val="TextoNormalNegritaCaracter"/>
        </w:rPr>
      </w:pPr>
      <w:r w:rsidRPr="00BA1B56">
        <w:rPr>
          <w:rStyle w:val="TextoNormalCursivaCaracter"/>
        </w:rPr>
        <w:t>Derechos y libertades fundamentales</w:t>
      </w:r>
      <w:r>
        <w:t xml:space="preserve"> véase </w:t>
      </w:r>
      <w:hyperlink w:anchor="DESCRIPTORALFABETICO250" w:history="1">
        <w:r w:rsidRPr="00BA1B56">
          <w:rPr>
            <w:rStyle w:val="TextoNormalNegritaCaracter"/>
          </w:rPr>
          <w:t>Teoría general de los derechos fundamentales</w:t>
        </w:r>
      </w:hyperlink>
    </w:p>
    <w:p w:rsidR="00BA1B56" w:rsidRPr="00BA1B56" w:rsidRDefault="00BA1B56" w:rsidP="00BA1B56">
      <w:pPr>
        <w:pStyle w:val="TextoNormalSangraFrancesa"/>
        <w:rPr>
          <w:rStyle w:val="TextoNormalCaracter"/>
        </w:rPr>
      </w:pPr>
      <w:bookmarkStart w:id="1632" w:name="DESCRIPTORALFABETICO366"/>
      <w:r w:rsidRPr="00BA1B56">
        <w:rPr>
          <w:rStyle w:val="TextoNormalNegritaCaracter"/>
        </w:rPr>
        <w:t>Derechos y libertades no susceptibles de amparo</w:t>
      </w:r>
      <w:bookmarkEnd w:id="1632"/>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4; </w:t>
      </w:r>
      <w:hyperlink w:anchor="SENTENCIA_2012_40" w:history="1">
        <w:r w:rsidRPr="00BA1B56">
          <w:rPr>
            <w:rStyle w:val="TextoNormalCaracter"/>
          </w:rPr>
          <w:t>40/2012</w:t>
        </w:r>
      </w:hyperlink>
      <w:r w:rsidRPr="00BA1B56">
        <w:rPr>
          <w:rStyle w:val="TextoNormalCaracter"/>
        </w:rPr>
        <w:t xml:space="preserve">, f. 7; </w:t>
      </w:r>
      <w:hyperlink w:anchor="SENTENCIA_2012_41" w:history="1">
        <w:r w:rsidRPr="00BA1B56">
          <w:rPr>
            <w:rStyle w:val="TextoNormalCaracter"/>
          </w:rPr>
          <w:t>41/2012</w:t>
        </w:r>
      </w:hyperlink>
      <w:r w:rsidRPr="00BA1B56">
        <w:rPr>
          <w:rStyle w:val="TextoNormalCaracter"/>
        </w:rPr>
        <w:t xml:space="preserve">, f. 10; </w:t>
      </w:r>
      <w:hyperlink w:anchor="SENTENCIA_2012_42" w:history="1">
        <w:r w:rsidRPr="00BA1B56">
          <w:rPr>
            <w:rStyle w:val="TextoNormalCaracter"/>
          </w:rPr>
          <w:t>42/2012</w:t>
        </w:r>
      </w:hyperlink>
      <w:r w:rsidRPr="00BA1B56">
        <w:rPr>
          <w:rStyle w:val="TextoNormalCaracter"/>
        </w:rPr>
        <w:t xml:space="preserve">, f. 10; </w:t>
      </w:r>
      <w:hyperlink w:anchor="SENTENCIA_2012_43" w:history="1">
        <w:r w:rsidRPr="00BA1B56">
          <w:rPr>
            <w:rStyle w:val="TextoNormalCaracter"/>
          </w:rPr>
          <w:t>43/2012</w:t>
        </w:r>
      </w:hyperlink>
      <w:r w:rsidRPr="00BA1B56">
        <w:rPr>
          <w:rStyle w:val="TextoNormalCaracter"/>
        </w:rPr>
        <w:t xml:space="preserve">, f. 9; </w:t>
      </w:r>
      <w:hyperlink w:anchor="SENTENCIA_2012_44" w:history="1">
        <w:r w:rsidRPr="00BA1B56">
          <w:rPr>
            <w:rStyle w:val="TextoNormalCaracter"/>
          </w:rPr>
          <w:t>44/2012</w:t>
        </w:r>
      </w:hyperlink>
      <w:r w:rsidRPr="00BA1B56">
        <w:rPr>
          <w:rStyle w:val="TextoNormalCaracter"/>
        </w:rPr>
        <w:t xml:space="preserve">, f. 7; </w:t>
      </w:r>
      <w:hyperlink w:anchor="SENTENCIA_2012_46" w:history="1">
        <w:r w:rsidRPr="00BA1B56">
          <w:rPr>
            <w:rStyle w:val="TextoNormalCaracter"/>
          </w:rPr>
          <w:t>46/2012</w:t>
        </w:r>
      </w:hyperlink>
      <w:r w:rsidRPr="00BA1B56">
        <w:rPr>
          <w:rStyle w:val="TextoNormalCaracter"/>
        </w:rPr>
        <w:t xml:space="preserve">, f. 9; </w:t>
      </w:r>
      <w:hyperlink w:anchor="SENTENCIA_2012_47" w:history="1">
        <w:r w:rsidRPr="00BA1B56">
          <w:rPr>
            <w:rStyle w:val="TextoNormalCaracter"/>
          </w:rPr>
          <w:t>47/2012</w:t>
        </w:r>
      </w:hyperlink>
      <w:r w:rsidRPr="00BA1B56">
        <w:rPr>
          <w:rStyle w:val="TextoNormalCaracter"/>
        </w:rPr>
        <w:t xml:space="preserve">, f. 5; </w:t>
      </w:r>
      <w:hyperlink w:anchor="SENTENCIA_2012_48" w:history="1">
        <w:r w:rsidRPr="00BA1B56">
          <w:rPr>
            <w:rStyle w:val="TextoNormalCaracter"/>
          </w:rPr>
          <w:t>48/2012</w:t>
        </w:r>
      </w:hyperlink>
      <w:r w:rsidRPr="00BA1B56">
        <w:rPr>
          <w:rStyle w:val="TextoNormalCaracter"/>
        </w:rPr>
        <w:t xml:space="preserve">, f. 5; </w:t>
      </w:r>
      <w:hyperlink w:anchor="SENTENCIA_2012_49" w:history="1">
        <w:r w:rsidRPr="00BA1B56">
          <w:rPr>
            <w:rStyle w:val="TextoNormalCaracter"/>
          </w:rPr>
          <w:t>49/2012</w:t>
        </w:r>
      </w:hyperlink>
      <w:r w:rsidRPr="00BA1B56">
        <w:rPr>
          <w:rStyle w:val="TextoNormalCaracter"/>
        </w:rPr>
        <w:t xml:space="preserve">, f. 5; </w:t>
      </w:r>
      <w:hyperlink w:anchor="SENTENCIA_2012_50" w:history="1">
        <w:r w:rsidRPr="00BA1B56">
          <w:rPr>
            <w:rStyle w:val="TextoNormalCaracter"/>
          </w:rPr>
          <w:t>50/2012</w:t>
        </w:r>
      </w:hyperlink>
      <w:r w:rsidRPr="00BA1B56">
        <w:rPr>
          <w:rStyle w:val="TextoNormalCaracter"/>
        </w:rPr>
        <w:t xml:space="preserve">, f. 5; </w:t>
      </w:r>
      <w:hyperlink w:anchor="SENTENCIA_2012_51" w:history="1">
        <w:r w:rsidRPr="00BA1B56">
          <w:rPr>
            <w:rStyle w:val="TextoNormalCaracter"/>
          </w:rPr>
          <w:t>51/2012</w:t>
        </w:r>
      </w:hyperlink>
      <w:r w:rsidRPr="00BA1B56">
        <w:rPr>
          <w:rStyle w:val="TextoNormalCaracter"/>
        </w:rPr>
        <w:t xml:space="preserve">, f. 8; </w:t>
      </w:r>
      <w:hyperlink w:anchor="SENTENCIA_2012_52" w:history="1">
        <w:r w:rsidRPr="00BA1B56">
          <w:rPr>
            <w:rStyle w:val="TextoNormalCaracter"/>
          </w:rPr>
          <w:t>52/2012</w:t>
        </w:r>
      </w:hyperlink>
      <w:r w:rsidRPr="00BA1B56">
        <w:rPr>
          <w:rStyle w:val="TextoNormalCaracter"/>
        </w:rPr>
        <w:t xml:space="preserve">, f. 7; </w:t>
      </w:r>
      <w:hyperlink w:anchor="SENTENCIA_2012_55" w:history="1">
        <w:r w:rsidRPr="00BA1B56">
          <w:rPr>
            <w:rStyle w:val="TextoNormalCaracter"/>
          </w:rPr>
          <w:t>55/2012</w:t>
        </w:r>
      </w:hyperlink>
      <w:r w:rsidRPr="00BA1B56">
        <w:rPr>
          <w:rStyle w:val="TextoNormalCaracter"/>
        </w:rPr>
        <w:t xml:space="preserve">, f. 6; </w:t>
      </w:r>
      <w:hyperlink w:anchor="SENTENCIA_2012_56" w:history="1">
        <w:r w:rsidRPr="00BA1B56">
          <w:rPr>
            <w:rStyle w:val="TextoNormalCaracter"/>
          </w:rPr>
          <w:t>56/2012</w:t>
        </w:r>
      </w:hyperlink>
      <w:r w:rsidRPr="00BA1B56">
        <w:rPr>
          <w:rStyle w:val="TextoNormalCaracter"/>
        </w:rPr>
        <w:t xml:space="preserve">, f. 6; </w:t>
      </w:r>
      <w:hyperlink w:anchor="SENTENCIA_2012_61" w:history="1">
        <w:r w:rsidRPr="00BA1B56">
          <w:rPr>
            <w:rStyle w:val="TextoNormalCaracter"/>
          </w:rPr>
          <w:t>61/2012</w:t>
        </w:r>
      </w:hyperlink>
      <w:r w:rsidRPr="00BA1B56">
        <w:rPr>
          <w:rStyle w:val="TextoNormalCaracter"/>
        </w:rPr>
        <w:t xml:space="preserve">, f. 4; </w:t>
      </w:r>
      <w:hyperlink w:anchor="SENTENCIA_2012_64" w:history="1">
        <w:r w:rsidRPr="00BA1B56">
          <w:rPr>
            <w:rStyle w:val="TextoNormalCaracter"/>
          </w:rPr>
          <w:t>64/2012</w:t>
        </w:r>
      </w:hyperlink>
      <w:r w:rsidRPr="00BA1B56">
        <w:rPr>
          <w:rStyle w:val="TextoNormalCaracter"/>
        </w:rPr>
        <w:t xml:space="preserve">, ff. 4, 8; </w:t>
      </w:r>
      <w:hyperlink w:anchor="SENTENCIA_2012_65" w:history="1">
        <w:r w:rsidRPr="00BA1B56">
          <w:rPr>
            <w:rStyle w:val="TextoNormalCaracter"/>
          </w:rPr>
          <w:t>65/2012</w:t>
        </w:r>
      </w:hyperlink>
      <w:r w:rsidRPr="00BA1B56">
        <w:rPr>
          <w:rStyle w:val="TextoNormalCaracter"/>
        </w:rPr>
        <w:t xml:space="preserve">, ff. 5, 9; </w:t>
      </w:r>
      <w:hyperlink w:anchor="SENTENCIA_2012_66" w:history="1">
        <w:r w:rsidRPr="00BA1B56">
          <w:rPr>
            <w:rStyle w:val="TextoNormalCaracter"/>
          </w:rPr>
          <w:t>66/2012</w:t>
        </w:r>
      </w:hyperlink>
      <w:r w:rsidRPr="00BA1B56">
        <w:rPr>
          <w:rStyle w:val="TextoNormalCaracter"/>
        </w:rPr>
        <w:t xml:space="preserve">, f. 7; </w:t>
      </w:r>
      <w:hyperlink w:anchor="SENTENCIA_2012_67" w:history="1">
        <w:r w:rsidRPr="00BA1B56">
          <w:rPr>
            <w:rStyle w:val="TextoNormalCaracter"/>
          </w:rPr>
          <w:t>67/2012</w:t>
        </w:r>
      </w:hyperlink>
      <w:r w:rsidRPr="00BA1B56">
        <w:rPr>
          <w:rStyle w:val="TextoNormalCaracter"/>
        </w:rPr>
        <w:t xml:space="preserve">, ff. 4, 8; </w:t>
      </w:r>
      <w:hyperlink w:anchor="SENTENCIA_2012_69" w:history="1">
        <w:r w:rsidRPr="00BA1B56">
          <w:rPr>
            <w:rStyle w:val="TextoNormalCaracter"/>
          </w:rPr>
          <w:t>69/2012</w:t>
        </w:r>
      </w:hyperlink>
      <w:r w:rsidRPr="00BA1B56">
        <w:rPr>
          <w:rStyle w:val="TextoNormalCaracter"/>
        </w:rPr>
        <w:t xml:space="preserve">, ff. 5, 9; </w:t>
      </w:r>
      <w:hyperlink w:anchor="SENTENCIA_2012_108" w:history="1">
        <w:r w:rsidRPr="00BA1B56">
          <w:rPr>
            <w:rStyle w:val="TextoNormalCaracter"/>
          </w:rPr>
          <w:t>108/2012</w:t>
        </w:r>
      </w:hyperlink>
      <w:r w:rsidRPr="00BA1B56">
        <w:rPr>
          <w:rStyle w:val="TextoNormalCaracter"/>
        </w:rPr>
        <w:t xml:space="preserve">, f. 6; </w:t>
      </w:r>
      <w:hyperlink w:anchor="SENTENCIA_2012_113" w:history="1">
        <w:r w:rsidRPr="00BA1B56">
          <w:rPr>
            <w:rStyle w:val="TextoNormalCaracter"/>
          </w:rPr>
          <w:t>113/2012</w:t>
        </w:r>
      </w:hyperlink>
      <w:r w:rsidRPr="00BA1B56">
        <w:rPr>
          <w:rStyle w:val="TextoNormalCaracter"/>
        </w:rPr>
        <w:t xml:space="preserve">, f. 6; </w:t>
      </w:r>
      <w:hyperlink w:anchor="SENTENCIA_2012_114" w:history="1">
        <w:r w:rsidRPr="00BA1B56">
          <w:rPr>
            <w:rStyle w:val="TextoNormalCaracter"/>
          </w:rPr>
          <w:t>114/2012</w:t>
        </w:r>
      </w:hyperlink>
      <w:r w:rsidRPr="00BA1B56">
        <w:rPr>
          <w:rStyle w:val="TextoNormalCaracter"/>
        </w:rPr>
        <w:t xml:space="preserve">, ff. 4, 7; </w:t>
      </w:r>
      <w:hyperlink w:anchor="SENTENCIA_2012_118" w:history="1">
        <w:r w:rsidRPr="00BA1B56">
          <w:rPr>
            <w:rStyle w:val="TextoNormalCaracter"/>
          </w:rPr>
          <w:t>118/2012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33" w:name="DESCRIPTORALFABETICO726"/>
      <w:r w:rsidRPr="00BA1B56">
        <w:rPr>
          <w:rStyle w:val="TextoNormalNegritaCaracter"/>
        </w:rPr>
        <w:t>Derogación de normas jurídicas</w:t>
      </w:r>
      <w:bookmarkEnd w:id="1633"/>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3, 13.</w:t>
      </w:r>
    </w:p>
    <w:p w:rsidR="00BA1B56" w:rsidRPr="00BA1B56" w:rsidRDefault="00BA1B56" w:rsidP="00BA1B56">
      <w:pPr>
        <w:pStyle w:val="TextoNormalSangraFrancesa"/>
        <w:rPr>
          <w:rStyle w:val="TextoNormalCaracter"/>
        </w:rPr>
      </w:pPr>
      <w:bookmarkStart w:id="1634" w:name="DESCRIPTORALFABETICO707"/>
      <w:r w:rsidRPr="00BA1B56">
        <w:rPr>
          <w:rStyle w:val="TextoNormalNegritaCaracter"/>
        </w:rPr>
        <w:t>Desarrollo legislativo de normas básicas</w:t>
      </w:r>
      <w:bookmarkEnd w:id="1634"/>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635" w:name="DESCRIPTORALFABETICO936"/>
      <w:r w:rsidRPr="00BA1B56">
        <w:rPr>
          <w:rStyle w:val="TextoNormalNegritaCaracter"/>
        </w:rPr>
        <w:t>Desestimación de recurso de súplica</w:t>
      </w:r>
      <w:bookmarkEnd w:id="1635"/>
      <w:r w:rsidRPr="00BA1B56">
        <w:rPr>
          <w:rStyle w:val="TextoNormalCaracter"/>
        </w:rPr>
        <w:t xml:space="preserve">, Autos </w:t>
      </w:r>
      <w:hyperlink w:anchor="AUTO_2012_42" w:history="1">
        <w:r w:rsidRPr="00BA1B56">
          <w:rPr>
            <w:rStyle w:val="TextoNormalCaracter"/>
          </w:rPr>
          <w:t>42/2012</w:t>
        </w:r>
      </w:hyperlink>
      <w:r w:rsidRPr="00BA1B56">
        <w:rPr>
          <w:rStyle w:val="TextoNormalCaracter"/>
        </w:rPr>
        <w:t xml:space="preserve">, f. 3; </w:t>
      </w:r>
      <w:hyperlink w:anchor="AUTO_2012_131" w:history="1">
        <w:r w:rsidRPr="00BA1B56">
          <w:rPr>
            <w:rStyle w:val="TextoNormalCaracter"/>
          </w:rPr>
          <w:t>131/2012</w:t>
        </w:r>
      </w:hyperlink>
      <w:r w:rsidRPr="00BA1B56">
        <w:rPr>
          <w:rStyle w:val="TextoNormalCaracter"/>
        </w:rPr>
        <w:t>, f. 1.</w:t>
      </w:r>
    </w:p>
    <w:p w:rsidR="00BA1B56" w:rsidRPr="00BA1B56" w:rsidRDefault="00BA1B56" w:rsidP="00BA1B56">
      <w:pPr>
        <w:pStyle w:val="TextoNormalSangraFrancesa"/>
        <w:rPr>
          <w:rStyle w:val="TextoNormalCaracter"/>
        </w:rPr>
      </w:pPr>
      <w:bookmarkStart w:id="1636" w:name="DESCRIPTORALFABETICO312"/>
      <w:r w:rsidRPr="00BA1B56">
        <w:rPr>
          <w:rStyle w:val="TextoNormalNegritaCaracter"/>
        </w:rPr>
        <w:t>Desestimación de recurso de súplica contra providencias de inadmisión del Tribunal Constitucional</w:t>
      </w:r>
      <w:bookmarkEnd w:id="1636"/>
      <w:r w:rsidRPr="00BA1B56">
        <w:rPr>
          <w:rStyle w:val="TextoNormalCaracter"/>
        </w:rPr>
        <w:t xml:space="preserve">, Autos </w:t>
      </w:r>
      <w:hyperlink w:anchor="AUTO_2012_33" w:history="1">
        <w:r w:rsidRPr="00BA1B56">
          <w:rPr>
            <w:rStyle w:val="TextoNormalCaracter"/>
          </w:rPr>
          <w:t>33/2012</w:t>
        </w:r>
      </w:hyperlink>
      <w:r w:rsidRPr="00BA1B56">
        <w:rPr>
          <w:rStyle w:val="TextoNormalCaracter"/>
        </w:rPr>
        <w:t xml:space="preserve">, f. 3; </w:t>
      </w:r>
      <w:hyperlink w:anchor="AUTO_2012_116" w:history="1">
        <w:r w:rsidRPr="00BA1B56">
          <w:rPr>
            <w:rStyle w:val="TextoNormalCaracter"/>
          </w:rPr>
          <w:t>116/2012</w:t>
        </w:r>
      </w:hyperlink>
      <w:r w:rsidRPr="00BA1B56">
        <w:rPr>
          <w:rStyle w:val="TextoNormalCaracter"/>
        </w:rPr>
        <w:t xml:space="preserve">, ff. 1, 2; </w:t>
      </w:r>
      <w:hyperlink w:anchor="AUTO_2012_130" w:history="1">
        <w:r w:rsidRPr="00BA1B56">
          <w:rPr>
            <w:rStyle w:val="TextoNormalCaracter"/>
          </w:rPr>
          <w:t>130/2012</w:t>
        </w:r>
      </w:hyperlink>
      <w:r w:rsidRPr="00BA1B56">
        <w:rPr>
          <w:rStyle w:val="TextoNormalCaracter"/>
        </w:rPr>
        <w:t xml:space="preserve">, f. único; </w:t>
      </w:r>
      <w:hyperlink w:anchor="AUTO_2012_132" w:history="1">
        <w:r w:rsidRPr="00BA1B56">
          <w:rPr>
            <w:rStyle w:val="TextoNormalCaracter"/>
          </w:rPr>
          <w:t>132/2012</w:t>
        </w:r>
      </w:hyperlink>
      <w:r w:rsidRPr="00BA1B56">
        <w:rPr>
          <w:rStyle w:val="TextoNormalCaracter"/>
        </w:rPr>
        <w:t>, f. 2.</w:t>
      </w:r>
    </w:p>
    <w:p w:rsidR="00BA1B56" w:rsidRPr="00BA1B56" w:rsidRDefault="00BA1B56" w:rsidP="00BA1B56">
      <w:pPr>
        <w:pStyle w:val="TextoNormalSangraFrancesa"/>
        <w:rPr>
          <w:rStyle w:val="TextoNormalCaracter"/>
        </w:rPr>
      </w:pPr>
      <w:bookmarkStart w:id="1637" w:name="DESCRIPTORALFABETICO542"/>
      <w:r w:rsidRPr="00BA1B56">
        <w:rPr>
          <w:rStyle w:val="TextoNormalNegritaCaracter"/>
        </w:rPr>
        <w:t>Designación de consejeros de cajas de ahorros</w:t>
      </w:r>
      <w:bookmarkEnd w:id="1637"/>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6 a 8.</w:t>
      </w:r>
    </w:p>
    <w:p w:rsidR="00BA1B56" w:rsidRPr="00BA1B56" w:rsidRDefault="00BA1B56" w:rsidP="00BA1B56">
      <w:pPr>
        <w:pStyle w:val="TextoNormalSangraFrancesa"/>
        <w:rPr>
          <w:rStyle w:val="TextoNormalCaracter"/>
        </w:rPr>
      </w:pPr>
      <w:bookmarkStart w:id="1638" w:name="DESCRIPTORALFABETICO437"/>
      <w:r w:rsidRPr="00BA1B56">
        <w:rPr>
          <w:rStyle w:val="TextoNormalNegritaCaracter"/>
        </w:rPr>
        <w:t>Designación de magistrados del Tribunal Supremo</w:t>
      </w:r>
      <w:bookmarkEnd w:id="1638"/>
      <w:r w:rsidRPr="00BA1B56">
        <w:rPr>
          <w:rStyle w:val="TextoNormalCaracter"/>
        </w:rPr>
        <w:t xml:space="preserve">, Auto </w:t>
      </w:r>
      <w:hyperlink w:anchor="AUTO_2012_116" w:history="1">
        <w:r w:rsidRPr="00BA1B56">
          <w:rPr>
            <w:rStyle w:val="TextoNormalCaracter"/>
          </w:rPr>
          <w:t>116/2012</w:t>
        </w:r>
      </w:hyperlink>
      <w:r w:rsidRPr="00BA1B56">
        <w:rPr>
          <w:rStyle w:val="TextoNormalCaracter"/>
        </w:rPr>
        <w:t>, f. 1.</w:t>
      </w:r>
    </w:p>
    <w:p w:rsidR="00BA1B56" w:rsidRPr="00BA1B56" w:rsidRDefault="00BA1B56" w:rsidP="00BA1B56">
      <w:pPr>
        <w:pStyle w:val="TextoNormalSangraFrancesa"/>
        <w:rPr>
          <w:rStyle w:val="TextoNormalCaracter"/>
        </w:rPr>
      </w:pPr>
      <w:bookmarkStart w:id="1639" w:name="DESCRIPTORALFABETICO314"/>
      <w:r w:rsidRPr="00BA1B56">
        <w:rPr>
          <w:rStyle w:val="TextoNormalNegritaCaracter"/>
        </w:rPr>
        <w:t>Desistimiento en el conflicto positivo de competencia</w:t>
      </w:r>
      <w:bookmarkEnd w:id="1639"/>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Procedencia, </w:t>
      </w:r>
      <w:r w:rsidRPr="00BA1B56">
        <w:rPr>
          <w:rStyle w:val="TextoNormalCaracter"/>
        </w:rPr>
        <w:t xml:space="preserve">Auto </w:t>
      </w:r>
      <w:hyperlink w:anchor="AUTO_2012_67" w:history="1">
        <w:r w:rsidRPr="00BA1B56">
          <w:rPr>
            <w:rStyle w:val="TextoNormalCaracter"/>
          </w:rPr>
          <w:t>67/2012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640" w:name="DESCRIPTORALFABETICO315"/>
      <w:r w:rsidRPr="00BA1B56">
        <w:rPr>
          <w:rStyle w:val="TextoNormalNegritaCaracter"/>
        </w:rPr>
        <w:t>Desistimiento en el recurso de amparo</w:t>
      </w:r>
      <w:bookmarkEnd w:id="1640"/>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Procedencia, </w:t>
      </w:r>
      <w:r w:rsidRPr="00BA1B56">
        <w:rPr>
          <w:rStyle w:val="TextoNormalCaracter"/>
        </w:rPr>
        <w:t xml:space="preserve">Autos </w:t>
      </w:r>
      <w:hyperlink w:anchor="AUTO_2012_60" w:history="1">
        <w:r w:rsidRPr="00BA1B56">
          <w:rPr>
            <w:rStyle w:val="TextoNormalCaracter"/>
          </w:rPr>
          <w:t>60/2012</w:t>
        </w:r>
      </w:hyperlink>
      <w:r w:rsidRPr="00BA1B56">
        <w:rPr>
          <w:rStyle w:val="TextoNormalCaracter"/>
        </w:rPr>
        <w:t xml:space="preserve">, f. único; </w:t>
      </w:r>
      <w:hyperlink w:anchor="AUTO_2012_61" w:history="1">
        <w:r w:rsidRPr="00BA1B56">
          <w:rPr>
            <w:rStyle w:val="TextoNormalCaracter"/>
          </w:rPr>
          <w:t>61/2012</w:t>
        </w:r>
      </w:hyperlink>
      <w:r w:rsidRPr="00BA1B56">
        <w:rPr>
          <w:rStyle w:val="TextoNormalCaracter"/>
        </w:rPr>
        <w:t xml:space="preserve">, f. único; </w:t>
      </w:r>
      <w:hyperlink w:anchor="AUTO_2012_62" w:history="1">
        <w:r w:rsidRPr="00BA1B56">
          <w:rPr>
            <w:rStyle w:val="TextoNormalCaracter"/>
          </w:rPr>
          <w:t>62/2012</w:t>
        </w:r>
      </w:hyperlink>
      <w:r w:rsidRPr="00BA1B56">
        <w:rPr>
          <w:rStyle w:val="TextoNormalCaracter"/>
        </w:rPr>
        <w:t xml:space="preserve">, f. único; </w:t>
      </w:r>
      <w:hyperlink w:anchor="AUTO_2012_63" w:history="1">
        <w:r w:rsidRPr="00BA1B56">
          <w:rPr>
            <w:rStyle w:val="TextoNormalCaracter"/>
          </w:rPr>
          <w:t>63/2012</w:t>
        </w:r>
      </w:hyperlink>
      <w:r w:rsidRPr="00BA1B56">
        <w:rPr>
          <w:rStyle w:val="TextoNormalCaracter"/>
        </w:rPr>
        <w:t xml:space="preserve">, f. único; </w:t>
      </w:r>
      <w:hyperlink w:anchor="AUTO_2012_82" w:history="1">
        <w:r w:rsidRPr="00BA1B56">
          <w:rPr>
            <w:rStyle w:val="TextoNormalCaracter"/>
          </w:rPr>
          <w:t>82/2012</w:t>
        </w:r>
      </w:hyperlink>
      <w:r w:rsidRPr="00BA1B56">
        <w:rPr>
          <w:rStyle w:val="TextoNormalCaracter"/>
        </w:rPr>
        <w:t xml:space="preserve">, f. único; </w:t>
      </w:r>
      <w:hyperlink w:anchor="AUTO_2012_83" w:history="1">
        <w:r w:rsidRPr="00BA1B56">
          <w:rPr>
            <w:rStyle w:val="TextoNormalCaracter"/>
          </w:rPr>
          <w:t>83/2012</w:t>
        </w:r>
      </w:hyperlink>
      <w:r w:rsidRPr="00BA1B56">
        <w:rPr>
          <w:rStyle w:val="TextoNormalCaracter"/>
        </w:rPr>
        <w:t xml:space="preserve">, f. único; </w:t>
      </w:r>
      <w:hyperlink w:anchor="AUTO_2012_105" w:history="1">
        <w:r w:rsidRPr="00BA1B56">
          <w:rPr>
            <w:rStyle w:val="TextoNormalCaracter"/>
          </w:rPr>
          <w:t>105/2012</w:t>
        </w:r>
      </w:hyperlink>
      <w:r w:rsidRPr="00BA1B56">
        <w:rPr>
          <w:rStyle w:val="TextoNormalCaracter"/>
        </w:rPr>
        <w:t xml:space="preserve">, f. único; </w:t>
      </w:r>
      <w:hyperlink w:anchor="AUTO_2012_114" w:history="1">
        <w:r w:rsidRPr="00BA1B56">
          <w:rPr>
            <w:rStyle w:val="TextoNormalCaracter"/>
          </w:rPr>
          <w:t>114/2012</w:t>
        </w:r>
      </w:hyperlink>
      <w:r w:rsidRPr="00BA1B56">
        <w:rPr>
          <w:rStyle w:val="TextoNormalCaracter"/>
        </w:rPr>
        <w:t xml:space="preserve">, f. único; </w:t>
      </w:r>
      <w:hyperlink w:anchor="AUTO_2012_117" w:history="1">
        <w:r w:rsidRPr="00BA1B56">
          <w:rPr>
            <w:rStyle w:val="TextoNormalCaracter"/>
          </w:rPr>
          <w:t>117/2012</w:t>
        </w:r>
      </w:hyperlink>
      <w:r w:rsidRPr="00BA1B56">
        <w:rPr>
          <w:rStyle w:val="TextoNormalCaracter"/>
        </w:rPr>
        <w:t xml:space="preserve">, f. único; </w:t>
      </w:r>
      <w:hyperlink w:anchor="AUTO_2012_121" w:history="1">
        <w:r w:rsidRPr="00BA1B56">
          <w:rPr>
            <w:rStyle w:val="TextoNormalCaracter"/>
          </w:rPr>
          <w:t>121/2012</w:t>
        </w:r>
      </w:hyperlink>
      <w:r w:rsidRPr="00BA1B56">
        <w:rPr>
          <w:rStyle w:val="TextoNormalCaracter"/>
        </w:rPr>
        <w:t xml:space="preserve">, f. único; </w:t>
      </w:r>
      <w:hyperlink w:anchor="AUTO_2012_125" w:history="1">
        <w:r w:rsidRPr="00BA1B56">
          <w:rPr>
            <w:rStyle w:val="TextoNormalCaracter"/>
          </w:rPr>
          <w:t>125/2012</w:t>
        </w:r>
      </w:hyperlink>
      <w:r w:rsidRPr="00BA1B56">
        <w:rPr>
          <w:rStyle w:val="TextoNormalCaracter"/>
        </w:rPr>
        <w:t xml:space="preserve">, f. único; </w:t>
      </w:r>
      <w:hyperlink w:anchor="AUTO_2012_129" w:history="1">
        <w:r w:rsidRPr="00BA1B56">
          <w:rPr>
            <w:rStyle w:val="TextoNormalCaracter"/>
          </w:rPr>
          <w:t>129/2012</w:t>
        </w:r>
      </w:hyperlink>
      <w:r w:rsidRPr="00BA1B56">
        <w:rPr>
          <w:rStyle w:val="TextoNormalCaracter"/>
        </w:rPr>
        <w:t xml:space="preserve">, f. único; </w:t>
      </w:r>
      <w:hyperlink w:anchor="AUTO_2012_133" w:history="1">
        <w:r w:rsidRPr="00BA1B56">
          <w:rPr>
            <w:rStyle w:val="TextoNormalCaracter"/>
          </w:rPr>
          <w:t>133/2012</w:t>
        </w:r>
      </w:hyperlink>
      <w:r w:rsidRPr="00BA1B56">
        <w:rPr>
          <w:rStyle w:val="TextoNormalCaracter"/>
        </w:rPr>
        <w:t xml:space="preserve">, f. único; </w:t>
      </w:r>
      <w:hyperlink w:anchor="AUTO_2012_134" w:history="1">
        <w:r w:rsidRPr="00BA1B56">
          <w:rPr>
            <w:rStyle w:val="TextoNormalCaracter"/>
          </w:rPr>
          <w:t>134/2012</w:t>
        </w:r>
      </w:hyperlink>
      <w:r w:rsidRPr="00BA1B56">
        <w:rPr>
          <w:rStyle w:val="TextoNormalCaracter"/>
        </w:rPr>
        <w:t xml:space="preserve">, f. único; </w:t>
      </w:r>
      <w:hyperlink w:anchor="AUTO_2012_135" w:history="1">
        <w:r w:rsidRPr="00BA1B56">
          <w:rPr>
            <w:rStyle w:val="TextoNormalCaracter"/>
          </w:rPr>
          <w:t>135/2012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641" w:name="DESCRIPTORALFABETICO316"/>
      <w:r w:rsidRPr="00BA1B56">
        <w:rPr>
          <w:rStyle w:val="TextoNormalNegritaCaracter"/>
        </w:rPr>
        <w:t>Desistimiento parcial en el recurso de amparo</w:t>
      </w:r>
      <w:bookmarkEnd w:id="1641"/>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Procedencia, </w:t>
      </w:r>
      <w:r w:rsidRPr="00BA1B56">
        <w:rPr>
          <w:rStyle w:val="TextoNormalCaracter"/>
        </w:rPr>
        <w:t xml:space="preserve">Auto </w:t>
      </w:r>
      <w:hyperlink w:anchor="AUTO_2012_77" w:history="1">
        <w:r w:rsidRPr="00BA1B56">
          <w:rPr>
            <w:rStyle w:val="TextoNormalCaracter"/>
          </w:rPr>
          <w:t>77/2012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642" w:name="DESCRIPTORALFABETICO742"/>
      <w:r w:rsidRPr="00BA1B56">
        <w:rPr>
          <w:rStyle w:val="TextoNormalNegritaCaracter"/>
        </w:rPr>
        <w:t>Deslegalización</w:t>
      </w:r>
      <w:bookmarkEnd w:id="1642"/>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11, 12, VP I.</w:t>
      </w:r>
    </w:p>
    <w:p w:rsidR="00BA1B56" w:rsidRPr="00BA1B56" w:rsidRDefault="00BA1B56" w:rsidP="00BA1B56">
      <w:pPr>
        <w:pStyle w:val="TextoNormalSangraFrancesa"/>
        <w:rPr>
          <w:rStyle w:val="TextoNormalCaracter"/>
        </w:rPr>
      </w:pPr>
      <w:bookmarkStart w:id="1643" w:name="DESCRIPTORALFABETICO959"/>
      <w:r w:rsidRPr="00BA1B56">
        <w:rPr>
          <w:rStyle w:val="TextoNormalNegritaCaracter"/>
        </w:rPr>
        <w:t>Detención preventiva</w:t>
      </w:r>
      <w:bookmarkEnd w:id="1643"/>
      <w:r w:rsidRPr="00BA1B56">
        <w:rPr>
          <w:rStyle w:val="TextoNormalCaracter"/>
        </w:rPr>
        <w:t xml:space="preserve">, Sentencias </w:t>
      </w:r>
      <w:hyperlink w:anchor="SENTENCIA_2012_95" w:history="1">
        <w:r w:rsidRPr="00BA1B56">
          <w:rPr>
            <w:rStyle w:val="TextoNormalCaracter"/>
          </w:rPr>
          <w:t>95/2012</w:t>
        </w:r>
      </w:hyperlink>
      <w:r w:rsidRPr="00BA1B56">
        <w:rPr>
          <w:rStyle w:val="TextoNormalCaracter"/>
        </w:rPr>
        <w:t xml:space="preserve">, ff. 1 a 7; </w:t>
      </w:r>
      <w:hyperlink w:anchor="SENTENCIA_2012_131" w:history="1">
        <w:r w:rsidRPr="00BA1B56">
          <w:rPr>
            <w:rStyle w:val="TextoNormalCaracter"/>
          </w:rPr>
          <w:t>131/2012</w:t>
        </w:r>
      </w:hyperlink>
      <w:r w:rsidRPr="00BA1B56">
        <w:rPr>
          <w:rStyle w:val="TextoNormalCaracter"/>
        </w:rPr>
        <w:t>, ff. 2, 3, 4, 5, 6.</w:t>
      </w:r>
    </w:p>
    <w:p w:rsidR="00BA1B56" w:rsidRPr="00BA1B56" w:rsidRDefault="00BA1B56" w:rsidP="00BA1B56">
      <w:pPr>
        <w:pStyle w:val="TextoNormalSangraFrancesa"/>
        <w:rPr>
          <w:rStyle w:val="TextoNormalCaracter"/>
        </w:rPr>
      </w:pPr>
      <w:bookmarkStart w:id="1644" w:name="DESCRIPTORALFABETICO67"/>
      <w:r w:rsidRPr="00BA1B56">
        <w:rPr>
          <w:rStyle w:val="TextoNormalNegritaCaracter"/>
        </w:rPr>
        <w:t>Deuda pública</w:t>
      </w:r>
      <w:bookmarkEnd w:id="1644"/>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6, 7.</w:t>
      </w:r>
    </w:p>
    <w:p w:rsidR="00BA1B56" w:rsidRPr="00BA1B56" w:rsidRDefault="00BA1B56" w:rsidP="00BA1B56">
      <w:pPr>
        <w:pStyle w:val="TextoNormalSangraFrancesa"/>
        <w:rPr>
          <w:rStyle w:val="TextoNormalCaracter"/>
        </w:rPr>
      </w:pPr>
      <w:bookmarkStart w:id="1645" w:name="DESCRIPTORALFABETICO90"/>
      <w:r w:rsidRPr="00BA1B56">
        <w:rPr>
          <w:rStyle w:val="TextoNormalNegritaCaracter"/>
        </w:rPr>
        <w:t>Devoluciones tributarias</w:t>
      </w:r>
      <w:bookmarkEnd w:id="1645"/>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10.</w:t>
      </w:r>
    </w:p>
    <w:p w:rsidR="00BA1B56" w:rsidRPr="00BA1B56" w:rsidRDefault="00BA1B56" w:rsidP="00BA1B56">
      <w:pPr>
        <w:pStyle w:val="TextoNormalSangraFrancesa"/>
        <w:rPr>
          <w:rStyle w:val="TextoNormalNegritaCaracter"/>
        </w:rPr>
      </w:pPr>
      <w:r w:rsidRPr="00BA1B56">
        <w:rPr>
          <w:rStyle w:val="TextoNormalCursivaCaracter"/>
        </w:rPr>
        <w:t>Dictámenes preceptivos</w:t>
      </w:r>
      <w:r>
        <w:t xml:space="preserve"> véase </w:t>
      </w:r>
      <w:hyperlink w:anchor="DESCRIPTORALFABETICO527" w:history="1">
        <w:r w:rsidRPr="00BA1B56">
          <w:rPr>
            <w:rStyle w:val="TextoNormalNegritaCaracter"/>
          </w:rPr>
          <w:t>Informes preceptivos</w:t>
        </w:r>
      </w:hyperlink>
    </w:p>
    <w:p w:rsidR="00BA1B56" w:rsidRPr="00BA1B56" w:rsidRDefault="00BA1B56" w:rsidP="00BA1B56">
      <w:pPr>
        <w:pStyle w:val="TextoNormalSangraFrancesa"/>
        <w:rPr>
          <w:rStyle w:val="TextoNormalNegritaCaracter"/>
        </w:rPr>
      </w:pPr>
      <w:r w:rsidRPr="00BA1B56">
        <w:rPr>
          <w:rStyle w:val="TextoNormalCursivaCaracter"/>
        </w:rPr>
        <w:t>Dies a quo</w:t>
      </w:r>
      <w:r>
        <w:t xml:space="preserve"> véase </w:t>
      </w:r>
      <w:hyperlink w:anchor="DESCRIPTORALFABETICO926" w:history="1">
        <w:r w:rsidRPr="00BA1B56">
          <w:rPr>
            <w:rStyle w:val="TextoNormalNegritaCaracter"/>
          </w:rPr>
          <w:t>Término inicial</w:t>
        </w:r>
      </w:hyperlink>
    </w:p>
    <w:p w:rsidR="00BA1B56" w:rsidRPr="00BA1B56" w:rsidRDefault="00BA1B56" w:rsidP="00BA1B56">
      <w:pPr>
        <w:pStyle w:val="TextoNormalSangraFrancesa"/>
        <w:rPr>
          <w:rStyle w:val="TextoNormalNegritaCaracter"/>
        </w:rPr>
      </w:pPr>
      <w:r w:rsidRPr="00BA1B56">
        <w:rPr>
          <w:rStyle w:val="TextoNormalCursivaCaracter"/>
        </w:rPr>
        <w:t>Diferencia de trato</w:t>
      </w:r>
      <w:r>
        <w:t xml:space="preserve"> véase </w:t>
      </w:r>
      <w:hyperlink w:anchor="DESCRIPTORALFABETICO155" w:history="1">
        <w:r w:rsidRPr="00BA1B56">
          <w:rPr>
            <w:rStyle w:val="TextoNormalNegritaCaracter"/>
          </w:rPr>
          <w:t>Tratamiento diferenciado</w:t>
        </w:r>
      </w:hyperlink>
    </w:p>
    <w:p w:rsidR="00BA1B56" w:rsidRPr="00BA1B56" w:rsidRDefault="00BA1B56" w:rsidP="00BA1B56">
      <w:pPr>
        <w:pStyle w:val="TextoNormalSangraFrancesa"/>
        <w:rPr>
          <w:rStyle w:val="TextoNormalCaracter"/>
        </w:rPr>
      </w:pPr>
      <w:bookmarkStart w:id="1646" w:name="DESCRIPTORALFABETICO100"/>
      <w:r w:rsidRPr="00BA1B56">
        <w:rPr>
          <w:rStyle w:val="TextoNormalNegritaCaracter"/>
        </w:rPr>
        <w:lastRenderedPageBreak/>
        <w:t>Diferencias entre tasas e impuestos</w:t>
      </w:r>
      <w:bookmarkEnd w:id="1646"/>
      <w:r w:rsidRPr="00BA1B56">
        <w:rPr>
          <w:rStyle w:val="TextoNormalCaracter"/>
        </w:rPr>
        <w:t xml:space="preserve">, Sentencia </w:t>
      </w:r>
      <w:hyperlink w:anchor="SENTENCIA_2012_35" w:history="1">
        <w:r w:rsidRPr="00BA1B56">
          <w:rPr>
            <w:rStyle w:val="TextoNormalCaracter"/>
          </w:rPr>
          <w:t>35/2012</w:t>
        </w:r>
      </w:hyperlink>
      <w:r w:rsidRPr="00BA1B56">
        <w:rPr>
          <w:rStyle w:val="TextoNormalCaracter"/>
        </w:rPr>
        <w:t>, f. 6.</w:t>
      </w:r>
    </w:p>
    <w:p w:rsidR="00BA1B56" w:rsidRPr="00BA1B56" w:rsidRDefault="00BA1B56" w:rsidP="00BA1B56">
      <w:pPr>
        <w:pStyle w:val="TextoNormalSangraFrancesa"/>
        <w:rPr>
          <w:rStyle w:val="TextoNormalCaracter"/>
        </w:rPr>
      </w:pPr>
      <w:bookmarkStart w:id="1647" w:name="DESCRIPTORALFABETICO666"/>
      <w:r w:rsidRPr="00BA1B56">
        <w:rPr>
          <w:rStyle w:val="TextoNormalNegritaCaracter"/>
        </w:rPr>
        <w:t>Difusión informativa</w:t>
      </w:r>
      <w:bookmarkEnd w:id="1647"/>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 6.</w:t>
      </w:r>
    </w:p>
    <w:p w:rsidR="00BA1B56" w:rsidRPr="00BA1B56" w:rsidRDefault="00BA1B56" w:rsidP="00BA1B56">
      <w:pPr>
        <w:pStyle w:val="TextoNormalSangraFrancesa"/>
        <w:rPr>
          <w:rStyle w:val="TextoNormalCaracter"/>
        </w:rPr>
      </w:pPr>
      <w:bookmarkStart w:id="1648" w:name="DESCRIPTORALFABETICO889"/>
      <w:r w:rsidRPr="00BA1B56">
        <w:rPr>
          <w:rStyle w:val="TextoNormalNegritaCaracter"/>
        </w:rPr>
        <w:t>Dilaciones indebidas en el procedimiento</w:t>
      </w:r>
      <w:bookmarkEnd w:id="1648"/>
      <w:r w:rsidRPr="00BA1B56">
        <w:rPr>
          <w:rStyle w:val="TextoNormalCaracter"/>
        </w:rPr>
        <w:t xml:space="preserve">, Auto </w:t>
      </w:r>
      <w:hyperlink w:anchor="AUTO_2012_106" w:history="1">
        <w:r w:rsidRPr="00BA1B56">
          <w:rPr>
            <w:rStyle w:val="TextoNormalCaracter"/>
          </w:rPr>
          <w:t>106/2012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49" w:name="DESCRIPTORALFABETICO876"/>
      <w:r w:rsidRPr="00BA1B56">
        <w:rPr>
          <w:rStyle w:val="TextoNormalNegritaCaracter"/>
        </w:rPr>
        <w:t>Diligencias preliminares</w:t>
      </w:r>
      <w:bookmarkEnd w:id="1649"/>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1 a 11.</w:t>
      </w:r>
    </w:p>
    <w:p w:rsidR="00BA1B56" w:rsidRPr="00BA1B56" w:rsidRDefault="00BA1B56" w:rsidP="00BA1B56">
      <w:pPr>
        <w:pStyle w:val="TextoNormalSangraFrancesa"/>
        <w:rPr>
          <w:rStyle w:val="TextoNormalCaracter"/>
        </w:rPr>
      </w:pPr>
      <w:bookmarkStart w:id="1650" w:name="DESCRIPTORALFABETICO181"/>
      <w:r w:rsidRPr="00BA1B56">
        <w:rPr>
          <w:rStyle w:val="TextoNormalNegritaCaracter"/>
        </w:rPr>
        <w:t>Dimensión personal del derecho a la propia imagen</w:t>
      </w:r>
      <w:bookmarkEnd w:id="1650"/>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651" w:name="DESCRIPTORALFABETICO219"/>
      <w:r w:rsidRPr="00BA1B56">
        <w:rPr>
          <w:rStyle w:val="TextoNormalNegritaCaracter"/>
        </w:rPr>
        <w:t>Discriminación por razón de edad</w:t>
      </w:r>
      <w:bookmarkEnd w:id="1651"/>
      <w:r w:rsidRPr="00BA1B56">
        <w:rPr>
          <w:rStyle w:val="TextoNormalCaracter"/>
        </w:rPr>
        <w:t xml:space="preserve">, Sentencias </w:t>
      </w:r>
      <w:hyperlink w:anchor="SENTENCIA_2012_29" w:history="1">
        <w:r w:rsidRPr="00BA1B56">
          <w:rPr>
            <w:rStyle w:val="TextoNormalCaracter"/>
          </w:rPr>
          <w:t>29/2012</w:t>
        </w:r>
      </w:hyperlink>
      <w:r w:rsidRPr="00BA1B56">
        <w:rPr>
          <w:rStyle w:val="TextoNormalCaracter"/>
        </w:rPr>
        <w:t xml:space="preserve">, f. 5; </w:t>
      </w:r>
      <w:hyperlink w:anchor="SENTENCIA_2012_78" w:history="1">
        <w:r w:rsidRPr="00BA1B56">
          <w:rPr>
            <w:rStyle w:val="TextoNormalCaracter"/>
          </w:rPr>
          <w:t>78/2012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1652" w:name="DESCRIPTORALFABETICO220"/>
      <w:r w:rsidRPr="00BA1B56">
        <w:rPr>
          <w:rStyle w:val="TextoNormalNegritaCaracter"/>
        </w:rPr>
        <w:t>Discriminación positiva</w:t>
      </w:r>
      <w:bookmarkEnd w:id="1652"/>
      <w:r w:rsidRPr="00BA1B56">
        <w:rPr>
          <w:rStyle w:val="TextoNormalCaracter"/>
        </w:rPr>
        <w:t xml:space="preserve">, Sentencia </w:t>
      </w:r>
      <w:hyperlink w:anchor="SENTENCIA_2012_78" w:history="1">
        <w:r w:rsidRPr="00BA1B56">
          <w:rPr>
            <w:rStyle w:val="TextoNormalCaracter"/>
          </w:rPr>
          <w:t>78/2012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53" w:name="DESCRIPTORALFABETICO248"/>
      <w:r w:rsidRPr="00BA1B56">
        <w:rPr>
          <w:rStyle w:val="TextoNormalNegritaCaracter"/>
        </w:rPr>
        <w:t>Discriminación sindical</w:t>
      </w:r>
      <w:bookmarkEnd w:id="1653"/>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7.</w:t>
      </w:r>
    </w:p>
    <w:p w:rsidR="00BA1B56" w:rsidRPr="00BA1B56" w:rsidRDefault="00BA1B56" w:rsidP="00BA1B56">
      <w:pPr>
        <w:pStyle w:val="TextoNormalSangraFrancesa"/>
        <w:rPr>
          <w:rStyle w:val="TextoNormalNegritaCaracter"/>
        </w:rPr>
      </w:pPr>
      <w:r w:rsidRPr="00BA1B56">
        <w:rPr>
          <w:rStyle w:val="TextoNormalCursivaCaracter"/>
        </w:rPr>
        <w:t>Disolución judicial de partidos políticos</w:t>
      </w:r>
      <w:r>
        <w:t xml:space="preserve"> véase </w:t>
      </w:r>
      <w:hyperlink w:anchor="DESCRIPTORALFABETICO416" w:history="1">
        <w:r w:rsidRPr="00BA1B56">
          <w:rPr>
            <w:rStyle w:val="TextoNormalNegritaCaracter"/>
          </w:rPr>
          <w:t>Ilegalización de partidos políticos</w:t>
        </w:r>
      </w:hyperlink>
    </w:p>
    <w:p w:rsidR="00BA1B56" w:rsidRPr="00BA1B56" w:rsidRDefault="00BA1B56" w:rsidP="00BA1B56">
      <w:pPr>
        <w:pStyle w:val="TextoNormalSangraFrancesa"/>
        <w:rPr>
          <w:rStyle w:val="TextoNormalCaracter"/>
        </w:rPr>
      </w:pPr>
      <w:bookmarkStart w:id="1654" w:name="DESCRIPTORALFABETICO647"/>
      <w:r w:rsidRPr="00BA1B56">
        <w:rPr>
          <w:rStyle w:val="TextoNormalNegritaCaracter"/>
        </w:rPr>
        <w:t>Dispensa de titulación en la promoción interna</w:t>
      </w:r>
      <w:bookmarkEnd w:id="1654"/>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2, 4; </w:t>
      </w:r>
      <w:hyperlink w:anchor="SENTENCIA_2012_3" w:history="1">
        <w:r w:rsidRPr="00BA1B56">
          <w:rPr>
            <w:rStyle w:val="TextoNormalCaracter"/>
          </w:rPr>
          <w:t>3/2012</w:t>
        </w:r>
      </w:hyperlink>
      <w:r w:rsidRPr="00BA1B56">
        <w:rPr>
          <w:rStyle w:val="TextoNormalCaracter"/>
        </w:rPr>
        <w:t xml:space="preserve">, ff. 2 a 5; </w:t>
      </w:r>
      <w:hyperlink w:anchor="SENTENCIA_2012_4" w:history="1">
        <w:r w:rsidRPr="00BA1B56">
          <w:rPr>
            <w:rStyle w:val="TextoNormalCaracter"/>
          </w:rPr>
          <w:t>4/2012</w:t>
        </w:r>
      </w:hyperlink>
      <w:r w:rsidRPr="00BA1B56">
        <w:rPr>
          <w:rStyle w:val="TextoNormalCaracter"/>
        </w:rPr>
        <w:t>, ff. 1 a 6.</w:t>
      </w:r>
    </w:p>
    <w:p w:rsidR="00BA1B56" w:rsidRPr="00BA1B56" w:rsidRDefault="00BA1B56" w:rsidP="00BA1B56">
      <w:pPr>
        <w:pStyle w:val="TextoNormalSangraFrancesa"/>
        <w:rPr>
          <w:rStyle w:val="TextoNormalNegritaCaracter"/>
        </w:rPr>
      </w:pPr>
      <w:r w:rsidRPr="00BA1B56">
        <w:rPr>
          <w:rStyle w:val="TextoNormalCursivaCaracter"/>
        </w:rPr>
        <w:t>Distribución de competencias</w:t>
      </w:r>
      <w:r>
        <w:t xml:space="preserve"> véase </w:t>
      </w:r>
      <w:hyperlink w:anchor="DESCRIPTORALFABETICO2" w:history="1">
        <w:r w:rsidRPr="00BA1B56">
          <w:rPr>
            <w:rStyle w:val="TextoNormalNegritaCaracter"/>
          </w:rPr>
          <w:t>Orden constitucional de competencias</w:t>
        </w:r>
      </w:hyperlink>
    </w:p>
    <w:p w:rsidR="00BA1B56" w:rsidRPr="00BA1B56" w:rsidRDefault="00BA1B56" w:rsidP="00BA1B56">
      <w:pPr>
        <w:pStyle w:val="TextoNormalSangraFrancesa"/>
        <w:rPr>
          <w:rStyle w:val="TextoNormalNegritaCaracter"/>
        </w:rPr>
      </w:pPr>
      <w:r w:rsidRPr="00BA1B56">
        <w:rPr>
          <w:rStyle w:val="TextoNormalCursivaCaracter"/>
        </w:rPr>
        <w:t>Distribución de escaños</w:t>
      </w:r>
      <w:r>
        <w:t xml:space="preserve"> véase </w:t>
      </w:r>
      <w:hyperlink w:anchor="DESCRIPTORALFABETICO142" w:history="1">
        <w:r w:rsidRPr="00BA1B56">
          <w:rPr>
            <w:rStyle w:val="TextoNormalNegritaCaracter"/>
          </w:rPr>
          <w:t>Atribución de escaños</w:t>
        </w:r>
      </w:hyperlink>
    </w:p>
    <w:p w:rsidR="00BA1B56" w:rsidRPr="00BA1B56" w:rsidRDefault="00BA1B56" w:rsidP="00BA1B56">
      <w:pPr>
        <w:pStyle w:val="TextoNormalSangraFrancesa"/>
        <w:rPr>
          <w:rStyle w:val="TextoNormalCaracter"/>
        </w:rPr>
      </w:pPr>
      <w:bookmarkStart w:id="1655" w:name="DESCRIPTORALFABETICO608"/>
      <w:r w:rsidRPr="00BA1B56">
        <w:rPr>
          <w:rStyle w:val="TextoNormalNegritaCaracter"/>
        </w:rPr>
        <w:t>Distribución de gas</w:t>
      </w:r>
      <w:bookmarkEnd w:id="1655"/>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ff. 2 a 5.</w:t>
      </w:r>
    </w:p>
    <w:p w:rsidR="00BA1B56" w:rsidRPr="00BA1B56" w:rsidRDefault="00BA1B56" w:rsidP="00BA1B56">
      <w:pPr>
        <w:pStyle w:val="TextoNormalSangraFrancesa"/>
        <w:rPr>
          <w:rStyle w:val="TextoNormalCaracter"/>
        </w:rPr>
      </w:pPr>
      <w:bookmarkStart w:id="1656" w:name="DESCRIPTORALFABETICO619"/>
      <w:r w:rsidRPr="00BA1B56">
        <w:rPr>
          <w:rStyle w:val="TextoNormalNegritaCaracter"/>
        </w:rPr>
        <w:t>Distribución territorial de subvenciones estatales</w:t>
      </w:r>
      <w:bookmarkEnd w:id="1656"/>
      <w:r w:rsidRPr="00BA1B56">
        <w:rPr>
          <w:rStyle w:val="TextoNormalCaracter"/>
        </w:rPr>
        <w:t xml:space="preserve">, Sentencias </w:t>
      </w:r>
      <w:hyperlink w:anchor="SENTENCIA_2012_89" w:history="1">
        <w:r w:rsidRPr="00BA1B56">
          <w:rPr>
            <w:rStyle w:val="TextoNormalCaracter"/>
          </w:rPr>
          <w:t>89/2012</w:t>
        </w:r>
      </w:hyperlink>
      <w:r w:rsidRPr="00BA1B56">
        <w:rPr>
          <w:rStyle w:val="TextoNormalCaracter"/>
        </w:rPr>
        <w:t xml:space="preserve">, ff. 3, 4, 7 a 9; </w:t>
      </w:r>
      <w:hyperlink w:anchor="SENTENCIA_2012_99" w:history="1">
        <w:r w:rsidRPr="00BA1B56">
          <w:rPr>
            <w:rStyle w:val="TextoNormalCaracter"/>
          </w:rPr>
          <w:t>99/2012</w:t>
        </w:r>
      </w:hyperlink>
      <w:r w:rsidRPr="00BA1B56">
        <w:rPr>
          <w:rStyle w:val="TextoNormalCaracter"/>
        </w:rPr>
        <w:t>, ff. 3, 6, 8.</w:t>
      </w:r>
    </w:p>
    <w:p w:rsidR="00BA1B56" w:rsidRPr="00BA1B56" w:rsidRDefault="00BA1B56" w:rsidP="00BA1B56">
      <w:pPr>
        <w:pStyle w:val="TextoNormalSangraFrancesa"/>
        <w:rPr>
          <w:rStyle w:val="TextoNormalCaracter"/>
        </w:rPr>
      </w:pPr>
      <w:bookmarkStart w:id="1657" w:name="DESCRIPTORALFABETICO590"/>
      <w:r w:rsidRPr="00BA1B56">
        <w:rPr>
          <w:rStyle w:val="TextoNormalNegritaCaracter"/>
        </w:rPr>
        <w:t>División de cosa común</w:t>
      </w:r>
      <w:bookmarkEnd w:id="1657"/>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1, 2, 4, 5, 8.</w:t>
      </w:r>
    </w:p>
    <w:p w:rsidR="00BA1B56" w:rsidRPr="00BA1B56" w:rsidRDefault="00BA1B56" w:rsidP="00BA1B56">
      <w:pPr>
        <w:pStyle w:val="TextoNormalSangraFrancesa"/>
        <w:rPr>
          <w:rStyle w:val="TextoNormalCaracter"/>
        </w:rPr>
      </w:pPr>
      <w:bookmarkStart w:id="1658" w:name="DESCRIPTORALFABETICO101"/>
      <w:r w:rsidRPr="00BA1B56">
        <w:rPr>
          <w:rStyle w:val="TextoNormalNegritaCaracter"/>
        </w:rPr>
        <w:t>Doble imposición</w:t>
      </w:r>
      <w:bookmarkEnd w:id="1658"/>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59" w:name="DESCRIPTORALFABETICO195"/>
      <w:r w:rsidRPr="00BA1B56">
        <w:rPr>
          <w:rStyle w:val="TextoNormalNegritaCaracter"/>
        </w:rPr>
        <w:t>Doble instancia</w:t>
      </w:r>
      <w:bookmarkEnd w:id="1659"/>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2; </w:t>
      </w:r>
      <w:hyperlink w:anchor="SENTENCIA_2012_40" w:history="1">
        <w:r w:rsidRPr="00BA1B56">
          <w:rPr>
            <w:rStyle w:val="TextoNormalCaracter"/>
          </w:rPr>
          <w:t>40/2012</w:t>
        </w:r>
      </w:hyperlink>
      <w:r w:rsidRPr="00BA1B56">
        <w:rPr>
          <w:rStyle w:val="TextoNormalCaracter"/>
        </w:rPr>
        <w:t xml:space="preserve">, f. 4; </w:t>
      </w:r>
      <w:hyperlink w:anchor="SENTENCIA_2012_41" w:history="1">
        <w:r w:rsidRPr="00BA1B56">
          <w:rPr>
            <w:rStyle w:val="TextoNormalCaracter"/>
          </w:rPr>
          <w:t>41/2012</w:t>
        </w:r>
      </w:hyperlink>
      <w:r w:rsidRPr="00BA1B56">
        <w:rPr>
          <w:rStyle w:val="TextoNormalCaracter"/>
        </w:rPr>
        <w:t xml:space="preserve">, f. 5; </w:t>
      </w:r>
      <w:hyperlink w:anchor="SENTENCIA_2012_42" w:history="1">
        <w:r w:rsidRPr="00BA1B56">
          <w:rPr>
            <w:rStyle w:val="TextoNormalCaracter"/>
          </w:rPr>
          <w:t>42/2012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2; </w:t>
      </w:r>
      <w:hyperlink w:anchor="SENTENCIA_2012_45" w:history="1">
        <w:r w:rsidRPr="00BA1B56">
          <w:rPr>
            <w:rStyle w:val="TextoNormalCaracter"/>
          </w:rPr>
          <w:t>45/2012</w:t>
        </w:r>
      </w:hyperlink>
      <w:r w:rsidRPr="00BA1B56">
        <w:rPr>
          <w:rStyle w:val="TextoNormalCaracter"/>
        </w:rPr>
        <w:t xml:space="preserve">, f. 2; </w:t>
      </w:r>
      <w:hyperlink w:anchor="SENTENCIA_2012_46" w:history="1">
        <w:r w:rsidRPr="00BA1B56">
          <w:rPr>
            <w:rStyle w:val="TextoNormalCaracter"/>
          </w:rPr>
          <w:t>46/2012</w:t>
        </w:r>
      </w:hyperlink>
      <w:r w:rsidRPr="00BA1B56">
        <w:rPr>
          <w:rStyle w:val="TextoNormalCaracter"/>
        </w:rPr>
        <w:t xml:space="preserve">, f. 2; </w:t>
      </w:r>
      <w:hyperlink w:anchor="SENTENCIA_2012_47" w:history="1">
        <w:r w:rsidRPr="00BA1B56">
          <w:rPr>
            <w:rStyle w:val="TextoNormalCaracter"/>
          </w:rPr>
          <w:t>47/2012</w:t>
        </w:r>
      </w:hyperlink>
      <w:r w:rsidRPr="00BA1B56">
        <w:rPr>
          <w:rStyle w:val="TextoNormalCaracter"/>
        </w:rPr>
        <w:t xml:space="preserve">, f. 2; </w:t>
      </w:r>
      <w:hyperlink w:anchor="SENTENCIA_2012_48" w:history="1">
        <w:r w:rsidRPr="00BA1B56">
          <w:rPr>
            <w:rStyle w:val="TextoNormalCaracter"/>
          </w:rPr>
          <w:t>48/2012</w:t>
        </w:r>
      </w:hyperlink>
      <w:r w:rsidRPr="00BA1B56">
        <w:rPr>
          <w:rStyle w:val="TextoNormalCaracter"/>
        </w:rPr>
        <w:t xml:space="preserve">, f. 3; </w:t>
      </w:r>
      <w:hyperlink w:anchor="SENTENCIA_2012_49" w:history="1">
        <w:r w:rsidRPr="00BA1B56">
          <w:rPr>
            <w:rStyle w:val="TextoNormalCaracter"/>
          </w:rPr>
          <w:t>49/2012</w:t>
        </w:r>
      </w:hyperlink>
      <w:r w:rsidRPr="00BA1B56">
        <w:rPr>
          <w:rStyle w:val="TextoNormalCaracter"/>
        </w:rPr>
        <w:t xml:space="preserve">, f. 2; </w:t>
      </w:r>
      <w:hyperlink w:anchor="SENTENCIA_2012_50" w:history="1">
        <w:r w:rsidRPr="00BA1B56">
          <w:rPr>
            <w:rStyle w:val="TextoNormalCaracter"/>
          </w:rPr>
          <w:t>50/2012</w:t>
        </w:r>
      </w:hyperlink>
      <w:r w:rsidRPr="00BA1B56">
        <w:rPr>
          <w:rStyle w:val="TextoNormalCaracter"/>
        </w:rPr>
        <w:t xml:space="preserve">, f. 2; </w:t>
      </w:r>
      <w:hyperlink w:anchor="SENTENCIA_2012_51" w:history="1">
        <w:r w:rsidRPr="00BA1B56">
          <w:rPr>
            <w:rStyle w:val="TextoNormalCaracter"/>
          </w:rPr>
          <w:t>51/2012</w:t>
        </w:r>
      </w:hyperlink>
      <w:r w:rsidRPr="00BA1B56">
        <w:rPr>
          <w:rStyle w:val="TextoNormalCaracter"/>
        </w:rPr>
        <w:t xml:space="preserve">, f. 3; </w:t>
      </w:r>
      <w:hyperlink w:anchor="SENTENCIA_2012_52" w:history="1">
        <w:r w:rsidRPr="00BA1B56">
          <w:rPr>
            <w:rStyle w:val="TextoNormalCaracter"/>
          </w:rPr>
          <w:t>52/2012</w:t>
        </w:r>
      </w:hyperlink>
      <w:r w:rsidRPr="00BA1B56">
        <w:rPr>
          <w:rStyle w:val="TextoNormalCaracter"/>
        </w:rPr>
        <w:t xml:space="preserve">, f. 2; </w:t>
      </w:r>
      <w:hyperlink w:anchor="SENTENCIA_2012_54" w:history="1">
        <w:r w:rsidRPr="00BA1B56">
          <w:rPr>
            <w:rStyle w:val="TextoNormalCaracter"/>
          </w:rPr>
          <w:t>54/2012</w:t>
        </w:r>
      </w:hyperlink>
      <w:r w:rsidRPr="00BA1B56">
        <w:rPr>
          <w:rStyle w:val="TextoNormalCaracter"/>
        </w:rPr>
        <w:t xml:space="preserve">, f. 3; </w:t>
      </w:r>
      <w:hyperlink w:anchor="SENTENCIA_2012_55" w:history="1">
        <w:r w:rsidRPr="00BA1B56">
          <w:rPr>
            <w:rStyle w:val="TextoNormalCaracter"/>
          </w:rPr>
          <w:t>55/2012</w:t>
        </w:r>
      </w:hyperlink>
      <w:r w:rsidRPr="00BA1B56">
        <w:rPr>
          <w:rStyle w:val="TextoNormalCaracter"/>
        </w:rPr>
        <w:t xml:space="preserve">, f. 3; </w:t>
      </w:r>
      <w:hyperlink w:anchor="SENTENCIA_2012_108" w:history="1">
        <w:r w:rsidRPr="00BA1B56">
          <w:rPr>
            <w:rStyle w:val="TextoNormalCaracter"/>
          </w:rPr>
          <w:t>108/2012</w:t>
        </w:r>
      </w:hyperlink>
      <w:r w:rsidRPr="00BA1B56">
        <w:rPr>
          <w:rStyle w:val="TextoNormalCaracter"/>
        </w:rPr>
        <w:t xml:space="preserve">, f. 5; </w:t>
      </w:r>
      <w:hyperlink w:anchor="SENTENCIA_2012_113" w:history="1">
        <w:r w:rsidRPr="00BA1B56">
          <w:rPr>
            <w:rStyle w:val="TextoNormalCaracter"/>
          </w:rPr>
          <w:t>113/2012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60" w:name="DESCRIPTORALFABETICO689"/>
      <w:r w:rsidRPr="00BA1B56">
        <w:rPr>
          <w:rStyle w:val="TextoNormalNegritaCaracter"/>
        </w:rPr>
        <w:t>Doctrina del Tribunal Europeo de Derechos Humanos</w:t>
      </w:r>
      <w:bookmarkEnd w:id="1660"/>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ff. 4, 5, 6; </w:t>
      </w:r>
      <w:hyperlink w:anchor="SENTENCIA_2012_20" w:history="1">
        <w:r w:rsidRPr="00BA1B56">
          <w:rPr>
            <w:rStyle w:val="TextoNormalCaracter"/>
          </w:rPr>
          <w:t>20/2012</w:t>
        </w:r>
      </w:hyperlink>
      <w:r w:rsidRPr="00BA1B56">
        <w:rPr>
          <w:rStyle w:val="TextoNormalCaracter"/>
        </w:rPr>
        <w:t xml:space="preserve">, ff. 9, 10; </w:t>
      </w:r>
      <w:hyperlink w:anchor="SENTENCIA_2012_126" w:history="1">
        <w:r w:rsidRPr="00BA1B56">
          <w:rPr>
            <w:rStyle w:val="TextoNormalCaracter"/>
          </w:rPr>
          <w:t>126/2012</w:t>
        </w:r>
      </w:hyperlink>
      <w:r w:rsidRPr="00BA1B56">
        <w:rPr>
          <w:rStyle w:val="TextoNormalCaracter"/>
        </w:rPr>
        <w:t xml:space="preserve">, f. 2; </w:t>
      </w:r>
      <w:hyperlink w:anchor="SENTENCIA_2012_131" w:history="1">
        <w:r w:rsidRPr="00BA1B56">
          <w:rPr>
            <w:rStyle w:val="TextoNormalCaracter"/>
          </w:rPr>
          <w:t>131/2012</w:t>
        </w:r>
      </w:hyperlink>
      <w:r w:rsidRPr="00BA1B56">
        <w:rPr>
          <w:rStyle w:val="TextoNormalCaracter"/>
        </w:rPr>
        <w:t xml:space="preserve">, f. 2; </w:t>
      </w:r>
      <w:hyperlink w:anchor="SENTENCIA_2012_138" w:history="1">
        <w:r w:rsidRPr="00BA1B56">
          <w:rPr>
            <w:rStyle w:val="TextoNormalCaracter"/>
          </w:rPr>
          <w:t>138/2012</w:t>
        </w:r>
      </w:hyperlink>
      <w:r w:rsidRPr="00BA1B56">
        <w:rPr>
          <w:rStyle w:val="TextoNormalCaracter"/>
        </w:rPr>
        <w:t>, ff. 3 a 5, 14.</w:t>
      </w:r>
    </w:p>
    <w:p w:rsidR="00BA1B56" w:rsidRPr="00BA1B56" w:rsidRDefault="00BA1B56" w:rsidP="00BA1B56">
      <w:pPr>
        <w:pStyle w:val="TextoNormalSangraFrancesa"/>
        <w:rPr>
          <w:rStyle w:val="TextoNormalCaracter"/>
        </w:rPr>
      </w:pPr>
      <w:bookmarkStart w:id="1661" w:name="DESCRIPTORALFABETICO443"/>
      <w:r w:rsidRPr="00BA1B56">
        <w:rPr>
          <w:rStyle w:val="TextoNormalNegritaCaracter"/>
        </w:rPr>
        <w:t>Doctrina del Tribunal Supremo</w:t>
      </w:r>
      <w:bookmarkEnd w:id="1661"/>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1 a 12; </w:t>
      </w:r>
      <w:hyperlink w:anchor="SENTENCIA_2012_75" w:history="1">
        <w:r w:rsidRPr="00BA1B56">
          <w:rPr>
            <w:rStyle w:val="TextoNormalCaracter"/>
          </w:rPr>
          <w:t>75/2012</w:t>
        </w:r>
      </w:hyperlink>
      <w:r w:rsidRPr="00BA1B56">
        <w:rPr>
          <w:rStyle w:val="TextoNormalCaracter"/>
        </w:rPr>
        <w:t xml:space="preserve">, ff. 2 a 4; </w:t>
      </w:r>
      <w:hyperlink w:anchor="SENTENCIA_2012_91" w:history="1">
        <w:r w:rsidRPr="00BA1B56">
          <w:rPr>
            <w:rStyle w:val="TextoNormalCaracter"/>
          </w:rPr>
          <w:t>91/2012</w:t>
        </w:r>
      </w:hyperlink>
      <w:r w:rsidRPr="00BA1B56">
        <w:rPr>
          <w:rStyle w:val="TextoNormalCaracter"/>
        </w:rPr>
        <w:t xml:space="preserve">, ff. 2 a 4; </w:t>
      </w:r>
      <w:hyperlink w:anchor="SENTENCIA_2012_93" w:history="1">
        <w:r w:rsidRPr="00BA1B56">
          <w:rPr>
            <w:rStyle w:val="TextoNormalCaracter"/>
          </w:rPr>
          <w:t>93/2012</w:t>
        </w:r>
      </w:hyperlink>
      <w:r w:rsidRPr="00BA1B56">
        <w:rPr>
          <w:rStyle w:val="TextoNormalCaracter"/>
        </w:rPr>
        <w:t xml:space="preserve">, ff. 2 a 4; </w:t>
      </w:r>
      <w:hyperlink w:anchor="SENTENCIA_2012_94" w:history="1">
        <w:r w:rsidRPr="00BA1B56">
          <w:rPr>
            <w:rStyle w:val="TextoNormalCaracter"/>
          </w:rPr>
          <w:t>94/2012</w:t>
        </w:r>
      </w:hyperlink>
      <w:r w:rsidRPr="00BA1B56">
        <w:rPr>
          <w:rStyle w:val="TextoNormalCaracter"/>
        </w:rPr>
        <w:t xml:space="preserve">, ff. 3, 4; </w:t>
      </w:r>
      <w:hyperlink w:anchor="SENTENCIA_2012_98" w:history="1">
        <w:r w:rsidRPr="00BA1B56">
          <w:rPr>
            <w:rStyle w:val="TextoNormalCaracter"/>
          </w:rPr>
          <w:t>98/2012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1662" w:name="DESCRIPTORALFABETICO907"/>
      <w:r w:rsidRPr="00BA1B56">
        <w:rPr>
          <w:rStyle w:val="TextoNormalNegritaCaracter"/>
        </w:rPr>
        <w:t>Doctrina legal aplicable en incidente de ejecución de sentencia</w:t>
      </w:r>
      <w:bookmarkEnd w:id="1662"/>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10.</w:t>
      </w:r>
    </w:p>
    <w:p w:rsidR="00BA1B56" w:rsidRPr="00BA1B56" w:rsidRDefault="00BA1B56" w:rsidP="00BA1B56">
      <w:pPr>
        <w:pStyle w:val="TextoNormalSangraFrancesa"/>
        <w:rPr>
          <w:rStyle w:val="TextoNormalCaracter"/>
        </w:rPr>
      </w:pPr>
      <w:bookmarkStart w:id="1663" w:name="DESCRIPTORALFABETICO599"/>
      <w:r w:rsidRPr="00BA1B56">
        <w:rPr>
          <w:rStyle w:val="TextoNormalNegritaCaracter"/>
        </w:rPr>
        <w:t>Dominio público marítimo terrestre</w:t>
      </w:r>
      <w:bookmarkEnd w:id="1663"/>
      <w:r w:rsidRPr="00BA1B56">
        <w:rPr>
          <w:rStyle w:val="TextoNormalCaracter"/>
        </w:rPr>
        <w:t xml:space="preserve">, Sentencias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664" w:name="DESCRIPTORALFABETICO600"/>
      <w:r w:rsidRPr="00BA1B56">
        <w:rPr>
          <w:rStyle w:val="TextoNormalNegritaCaracter"/>
        </w:rPr>
        <w:t>Dominio público radioeléctrico</w:t>
      </w:r>
      <w:bookmarkEnd w:id="1664"/>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6.</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E</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665" w:name="DESCRIPTORALFABETICO601"/>
      <w:r w:rsidRPr="00BA1B56">
        <w:rPr>
          <w:rStyle w:val="TextoNormalNegritaCaracter"/>
        </w:rPr>
        <w:t>Educación</w:t>
      </w:r>
      <w:bookmarkEnd w:id="1665"/>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1666" w:name="DESCRIPTORALFABETICO354"/>
      <w:r w:rsidRPr="00BA1B56">
        <w:rPr>
          <w:rStyle w:val="TextoNormalNegritaCaracter"/>
        </w:rPr>
        <w:t>Efectos de la anulación de una ley tributaria</w:t>
      </w:r>
      <w:bookmarkEnd w:id="1666"/>
      <w:r w:rsidRPr="00BA1B56">
        <w:rPr>
          <w:rStyle w:val="TextoNormalCaracter"/>
        </w:rPr>
        <w:t xml:space="preserve">, Sentencia </w:t>
      </w:r>
      <w:hyperlink w:anchor="SENTENCIA_2012_13" w:history="1">
        <w:r w:rsidRPr="00BA1B56">
          <w:rPr>
            <w:rStyle w:val="TextoNormalCaracter"/>
          </w:rPr>
          <w:t>13/2012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67" w:name="DESCRIPTORALFABETICO350"/>
      <w:r w:rsidRPr="00BA1B56">
        <w:rPr>
          <w:rStyle w:val="TextoNormalNegritaCaracter"/>
        </w:rPr>
        <w:t>Efectos de la declaración de inconstitucionalidad</w:t>
      </w:r>
      <w:bookmarkEnd w:id="1667"/>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 10.</w:t>
      </w:r>
    </w:p>
    <w:p w:rsidR="00BA1B56" w:rsidRPr="00BA1B56" w:rsidRDefault="00BA1B56" w:rsidP="00BA1B56">
      <w:pPr>
        <w:pStyle w:val="TextoNormalSangraFrancesa"/>
        <w:rPr>
          <w:rStyle w:val="TextoNormalCaracter"/>
        </w:rPr>
      </w:pPr>
      <w:bookmarkStart w:id="1668" w:name="DESCRIPTORALFABETICO401"/>
      <w:r w:rsidRPr="00BA1B56">
        <w:rPr>
          <w:rStyle w:val="TextoNormalNegritaCaracter"/>
        </w:rPr>
        <w:t>Efectos de la sentencia de amparo</w:t>
      </w:r>
      <w:bookmarkEnd w:id="1668"/>
      <w:r w:rsidRPr="00BA1B56">
        <w:rPr>
          <w:rStyle w:val="TextoNormalCaracter"/>
        </w:rPr>
        <w:t xml:space="preserve">, Sentencia </w:t>
      </w:r>
      <w:hyperlink w:anchor="SENTENCIA_2012_18" w:history="1">
        <w:r w:rsidRPr="00BA1B56">
          <w:rPr>
            <w:rStyle w:val="TextoNormalCaracter"/>
          </w:rPr>
          <w:t>18/2012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669" w:name="DESCRIPTORALFABETICO351"/>
      <w:r w:rsidRPr="00BA1B56">
        <w:rPr>
          <w:rStyle w:val="TextoNormalNegritaCaracter"/>
        </w:rPr>
        <w:t>Efectos temporales de la declaración de inconstitucionalidad</w:t>
      </w:r>
      <w:bookmarkEnd w:id="1669"/>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1.</w:t>
      </w:r>
    </w:p>
    <w:p w:rsidR="00BA1B56" w:rsidRPr="00BA1B56" w:rsidRDefault="00BA1B56" w:rsidP="00BA1B56">
      <w:pPr>
        <w:pStyle w:val="TextoNormalSangraFrancesa"/>
        <w:rPr>
          <w:rStyle w:val="TextoNormalCaracter"/>
        </w:rPr>
      </w:pPr>
      <w:bookmarkStart w:id="1670" w:name="DESCRIPTORALFABETICO729"/>
      <w:r w:rsidRPr="00BA1B56">
        <w:rPr>
          <w:rStyle w:val="TextoNormalNegritaCaracter"/>
        </w:rPr>
        <w:t>Eficacia temporal de las normas jurídicas</w:t>
      </w:r>
      <w:bookmarkEnd w:id="1670"/>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VP I.</w:t>
      </w:r>
    </w:p>
    <w:p w:rsidR="00BA1B56" w:rsidRPr="00BA1B56" w:rsidRDefault="00BA1B56" w:rsidP="00BA1B56">
      <w:pPr>
        <w:pStyle w:val="TextoNormalSangraFrancesa"/>
        <w:rPr>
          <w:rStyle w:val="TextoNormalCaracter"/>
        </w:rPr>
      </w:pPr>
      <w:bookmarkStart w:id="1671" w:name="DESCRIPTORALFABETICO892"/>
      <w:r w:rsidRPr="00BA1B56">
        <w:rPr>
          <w:rStyle w:val="TextoNormalNegritaCaracter"/>
        </w:rPr>
        <w:t>Ejecución de resoluciones judiciales</w:t>
      </w:r>
      <w:bookmarkEnd w:id="1671"/>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72" w:name="DESCRIPTORALFABETICO893"/>
      <w:r w:rsidRPr="00BA1B56">
        <w:rPr>
          <w:rStyle w:val="TextoNormalNegritaCaracter"/>
        </w:rPr>
        <w:t>Ejecución de sentencia penal</w:t>
      </w:r>
      <w:bookmarkEnd w:id="1672"/>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7, 8, VP I, VP II; </w:t>
      </w:r>
      <w:hyperlink w:anchor="SENTENCIA_2012_40" w:history="1">
        <w:r w:rsidRPr="00BA1B56">
          <w:rPr>
            <w:rStyle w:val="TextoNormalCaracter"/>
          </w:rPr>
          <w:t>40/2012</w:t>
        </w:r>
      </w:hyperlink>
      <w:r w:rsidRPr="00BA1B56">
        <w:rPr>
          <w:rStyle w:val="TextoNormalCaracter"/>
        </w:rPr>
        <w:t xml:space="preserve">, ff. 6, 10, VP I, VP II; </w:t>
      </w:r>
      <w:hyperlink w:anchor="SENTENCIA_2012_41" w:history="1">
        <w:r w:rsidRPr="00BA1B56">
          <w:rPr>
            <w:rStyle w:val="TextoNormalCaracter"/>
          </w:rPr>
          <w:t>41/2012</w:t>
        </w:r>
      </w:hyperlink>
      <w:r w:rsidRPr="00BA1B56">
        <w:rPr>
          <w:rStyle w:val="TextoNormalCaracter"/>
        </w:rPr>
        <w:t xml:space="preserve">, ff. 6, 9, VP I, VP IV; </w:t>
      </w:r>
      <w:hyperlink w:anchor="SENTENCIA_2012_42" w:history="1">
        <w:r w:rsidRPr="00BA1B56">
          <w:rPr>
            <w:rStyle w:val="TextoNormalCaracter"/>
          </w:rPr>
          <w:t>42/2012</w:t>
        </w:r>
      </w:hyperlink>
      <w:r w:rsidRPr="00BA1B56">
        <w:rPr>
          <w:rStyle w:val="TextoNormalCaracter"/>
        </w:rPr>
        <w:t xml:space="preserve">, ff. 6, 9; </w:t>
      </w:r>
      <w:hyperlink w:anchor="SENTENCIA_2012_43" w:history="1">
        <w:r w:rsidRPr="00BA1B56">
          <w:rPr>
            <w:rStyle w:val="TextoNormalCaracter"/>
          </w:rPr>
          <w:t>43/2012</w:t>
        </w:r>
      </w:hyperlink>
      <w:r w:rsidRPr="00BA1B56">
        <w:rPr>
          <w:rStyle w:val="TextoNormalCaracter"/>
        </w:rPr>
        <w:t xml:space="preserve">, ff. 4, 8; </w:t>
      </w:r>
      <w:hyperlink w:anchor="SENTENCIA_2012_44" w:history="1">
        <w:r w:rsidRPr="00BA1B56">
          <w:rPr>
            <w:rStyle w:val="TextoNormalCaracter"/>
          </w:rPr>
          <w:t>44/2012</w:t>
        </w:r>
      </w:hyperlink>
      <w:r w:rsidRPr="00BA1B56">
        <w:rPr>
          <w:rStyle w:val="TextoNormalCaracter"/>
        </w:rPr>
        <w:t xml:space="preserve">, ff. 3, 6; </w:t>
      </w:r>
      <w:hyperlink w:anchor="SENTENCIA_2012_45" w:history="1">
        <w:r w:rsidRPr="00BA1B56">
          <w:rPr>
            <w:rStyle w:val="TextoNormalCaracter"/>
          </w:rPr>
          <w:t>45/2012</w:t>
        </w:r>
      </w:hyperlink>
      <w:r w:rsidRPr="00BA1B56">
        <w:rPr>
          <w:rStyle w:val="TextoNormalCaracter"/>
        </w:rPr>
        <w:t xml:space="preserve">, ff. 3, 6; </w:t>
      </w:r>
      <w:hyperlink w:anchor="SENTENCIA_2012_46" w:history="1">
        <w:r w:rsidRPr="00BA1B56">
          <w:rPr>
            <w:rStyle w:val="TextoNormalCaracter"/>
          </w:rPr>
          <w:t>46/2012</w:t>
        </w:r>
      </w:hyperlink>
      <w:r w:rsidRPr="00BA1B56">
        <w:rPr>
          <w:rStyle w:val="TextoNormalCaracter"/>
        </w:rPr>
        <w:t xml:space="preserve">, ff. 4, 8; </w:t>
      </w:r>
      <w:hyperlink w:anchor="SENTENCIA_2012_47" w:history="1">
        <w:r w:rsidRPr="00BA1B56">
          <w:rPr>
            <w:rStyle w:val="TextoNormalCaracter"/>
          </w:rPr>
          <w:t>47/2012</w:t>
        </w:r>
      </w:hyperlink>
      <w:r w:rsidRPr="00BA1B56">
        <w:rPr>
          <w:rStyle w:val="TextoNormalCaracter"/>
        </w:rPr>
        <w:t xml:space="preserve">, ff. 4 a 6, VP II; </w:t>
      </w:r>
      <w:hyperlink w:anchor="SENTENCIA_2012_48" w:history="1">
        <w:r w:rsidRPr="00BA1B56">
          <w:rPr>
            <w:rStyle w:val="TextoNormalCaracter"/>
          </w:rPr>
          <w:t>48/2012</w:t>
        </w:r>
      </w:hyperlink>
      <w:r w:rsidRPr="00BA1B56">
        <w:rPr>
          <w:rStyle w:val="TextoNormalCaracter"/>
        </w:rPr>
        <w:t xml:space="preserve">, ff. 4, 5, 7; </w:t>
      </w:r>
      <w:hyperlink w:anchor="SENTENCIA_2012_49" w:history="1">
        <w:r w:rsidRPr="00BA1B56">
          <w:rPr>
            <w:rStyle w:val="TextoNormalCaracter"/>
          </w:rPr>
          <w:t>49/2012</w:t>
        </w:r>
      </w:hyperlink>
      <w:r w:rsidRPr="00BA1B56">
        <w:rPr>
          <w:rStyle w:val="TextoNormalCaracter"/>
        </w:rPr>
        <w:t xml:space="preserve">, ff. 4, 5, 7; </w:t>
      </w:r>
      <w:hyperlink w:anchor="SENTENCIA_2012_50" w:history="1">
        <w:r w:rsidRPr="00BA1B56">
          <w:rPr>
            <w:rStyle w:val="TextoNormalCaracter"/>
          </w:rPr>
          <w:t>50/2012</w:t>
        </w:r>
      </w:hyperlink>
      <w:r w:rsidRPr="00BA1B56">
        <w:rPr>
          <w:rStyle w:val="TextoNormalCaracter"/>
        </w:rPr>
        <w:t xml:space="preserve">, ff. 4 a 6; </w:t>
      </w:r>
      <w:hyperlink w:anchor="SENTENCIA_2012_51" w:history="1">
        <w:r w:rsidRPr="00BA1B56">
          <w:rPr>
            <w:rStyle w:val="TextoNormalCaracter"/>
          </w:rPr>
          <w:t>51/2012</w:t>
        </w:r>
      </w:hyperlink>
      <w:r w:rsidRPr="00BA1B56">
        <w:rPr>
          <w:rStyle w:val="TextoNormalCaracter"/>
        </w:rPr>
        <w:t xml:space="preserve">, ff. 4, 7; </w:t>
      </w:r>
      <w:hyperlink w:anchor="SENTENCIA_2012_52" w:history="1">
        <w:r w:rsidRPr="00BA1B56">
          <w:rPr>
            <w:rStyle w:val="TextoNormalCaracter"/>
          </w:rPr>
          <w:t>52/2012</w:t>
        </w:r>
      </w:hyperlink>
      <w:r w:rsidRPr="00BA1B56">
        <w:rPr>
          <w:rStyle w:val="TextoNormalCaracter"/>
        </w:rPr>
        <w:t xml:space="preserve">, ff. 3, 6; </w:t>
      </w:r>
      <w:hyperlink w:anchor="SENTENCIA_2012_53" w:history="1">
        <w:r w:rsidRPr="00BA1B56">
          <w:rPr>
            <w:rStyle w:val="TextoNormalCaracter"/>
          </w:rPr>
          <w:t>53/2012</w:t>
        </w:r>
      </w:hyperlink>
      <w:r w:rsidRPr="00BA1B56">
        <w:rPr>
          <w:rStyle w:val="TextoNormalCaracter"/>
        </w:rPr>
        <w:t xml:space="preserve">, ff. 3, 6; </w:t>
      </w:r>
      <w:hyperlink w:anchor="SENTENCIA_2012_54" w:history="1">
        <w:r w:rsidRPr="00BA1B56">
          <w:rPr>
            <w:rStyle w:val="TextoNormalCaracter"/>
          </w:rPr>
          <w:t>54/2012</w:t>
        </w:r>
      </w:hyperlink>
      <w:r w:rsidRPr="00BA1B56">
        <w:rPr>
          <w:rStyle w:val="TextoNormalCaracter"/>
        </w:rPr>
        <w:t xml:space="preserve">, ff. 4, 8; </w:t>
      </w:r>
      <w:hyperlink w:anchor="SENTENCIA_2012_55" w:history="1">
        <w:r w:rsidRPr="00BA1B56">
          <w:rPr>
            <w:rStyle w:val="TextoNormalCaracter"/>
          </w:rPr>
          <w:t>55/2012</w:t>
        </w:r>
      </w:hyperlink>
      <w:r w:rsidRPr="00BA1B56">
        <w:rPr>
          <w:rStyle w:val="TextoNormalCaracter"/>
        </w:rPr>
        <w:t xml:space="preserve">, ff. 5, 6, 8; </w:t>
      </w:r>
      <w:hyperlink w:anchor="SENTENCIA_2012_56" w:history="1">
        <w:r w:rsidRPr="00BA1B56">
          <w:rPr>
            <w:rStyle w:val="TextoNormalCaracter"/>
          </w:rPr>
          <w:t>56/2012</w:t>
        </w:r>
      </w:hyperlink>
      <w:r w:rsidRPr="00BA1B56">
        <w:rPr>
          <w:rStyle w:val="TextoNormalCaracter"/>
        </w:rPr>
        <w:t xml:space="preserve">, ff. 2, 5; </w:t>
      </w:r>
      <w:hyperlink w:anchor="SENTENCIA_2012_57" w:history="1">
        <w:r w:rsidRPr="00BA1B56">
          <w:rPr>
            <w:rStyle w:val="TextoNormalCaracter"/>
          </w:rPr>
          <w:t>57/2012</w:t>
        </w:r>
      </w:hyperlink>
      <w:r w:rsidRPr="00BA1B56">
        <w:rPr>
          <w:rStyle w:val="TextoNormalCaracter"/>
        </w:rPr>
        <w:t xml:space="preserve">, ff. 3, 7, 8; </w:t>
      </w:r>
      <w:hyperlink w:anchor="SENTENCIA_2012_59" w:history="1">
        <w:r w:rsidRPr="00BA1B56">
          <w:rPr>
            <w:rStyle w:val="TextoNormalCaracter"/>
          </w:rPr>
          <w:t>59/2012</w:t>
        </w:r>
      </w:hyperlink>
      <w:r w:rsidRPr="00BA1B56">
        <w:rPr>
          <w:rStyle w:val="TextoNormalCaracter"/>
        </w:rPr>
        <w:t xml:space="preserve">, f. </w:t>
      </w:r>
      <w:r w:rsidRPr="00BA1B56">
        <w:rPr>
          <w:rStyle w:val="TextoNormalCaracter"/>
        </w:rPr>
        <w:lastRenderedPageBreak/>
        <w:t xml:space="preserve">5; </w:t>
      </w:r>
      <w:hyperlink w:anchor="SENTENCIA_2012_61" w:history="1">
        <w:r w:rsidRPr="00BA1B56">
          <w:rPr>
            <w:rStyle w:val="TextoNormalCaracter"/>
          </w:rPr>
          <w:t>61/2012</w:t>
        </w:r>
      </w:hyperlink>
      <w:r w:rsidRPr="00BA1B56">
        <w:rPr>
          <w:rStyle w:val="TextoNormalCaracter"/>
        </w:rPr>
        <w:t xml:space="preserve">, ff. 3, 4, 6; </w:t>
      </w:r>
      <w:hyperlink w:anchor="SENTENCIA_2012_64" w:history="1">
        <w:r w:rsidRPr="00BA1B56">
          <w:rPr>
            <w:rStyle w:val="TextoNormalCaracter"/>
          </w:rPr>
          <w:t>64/2012</w:t>
        </w:r>
      </w:hyperlink>
      <w:r w:rsidRPr="00BA1B56">
        <w:rPr>
          <w:rStyle w:val="TextoNormalCaracter"/>
        </w:rPr>
        <w:t xml:space="preserve">, ff. 3, 4, 6, 7; </w:t>
      </w:r>
      <w:hyperlink w:anchor="SENTENCIA_2012_65" w:history="1">
        <w:r w:rsidRPr="00BA1B56">
          <w:rPr>
            <w:rStyle w:val="TextoNormalCaracter"/>
          </w:rPr>
          <w:t>65/2012</w:t>
        </w:r>
      </w:hyperlink>
      <w:r w:rsidRPr="00BA1B56">
        <w:rPr>
          <w:rStyle w:val="TextoNormalCaracter"/>
        </w:rPr>
        <w:t xml:space="preserve">, ff. 4, 5, 7, 8; </w:t>
      </w:r>
      <w:hyperlink w:anchor="SENTENCIA_2012_66" w:history="1">
        <w:r w:rsidRPr="00BA1B56">
          <w:rPr>
            <w:rStyle w:val="TextoNormalCaracter"/>
          </w:rPr>
          <w:t>66/2012</w:t>
        </w:r>
      </w:hyperlink>
      <w:r w:rsidRPr="00BA1B56">
        <w:rPr>
          <w:rStyle w:val="TextoNormalCaracter"/>
        </w:rPr>
        <w:t xml:space="preserve">, ff. 3 a 6; </w:t>
      </w:r>
      <w:hyperlink w:anchor="SENTENCIA_2012_67" w:history="1">
        <w:r w:rsidRPr="00BA1B56">
          <w:rPr>
            <w:rStyle w:val="TextoNormalCaracter"/>
          </w:rPr>
          <w:t>67/2012</w:t>
        </w:r>
      </w:hyperlink>
      <w:r w:rsidRPr="00BA1B56">
        <w:rPr>
          <w:rStyle w:val="TextoNormalCaracter"/>
        </w:rPr>
        <w:t xml:space="preserve">, ff. 3, 4, 6, 7; </w:t>
      </w:r>
      <w:hyperlink w:anchor="SENTENCIA_2012_68" w:history="1">
        <w:r w:rsidRPr="00BA1B56">
          <w:rPr>
            <w:rStyle w:val="TextoNormalCaracter"/>
          </w:rPr>
          <w:t>68/2012</w:t>
        </w:r>
      </w:hyperlink>
      <w:r w:rsidRPr="00BA1B56">
        <w:rPr>
          <w:rStyle w:val="TextoNormalCaracter"/>
        </w:rPr>
        <w:t xml:space="preserve">, ff. 3, 6; </w:t>
      </w:r>
      <w:hyperlink w:anchor="SENTENCIA_2012_69" w:history="1">
        <w:r w:rsidRPr="00BA1B56">
          <w:rPr>
            <w:rStyle w:val="TextoNormalCaracter"/>
          </w:rPr>
          <w:t>69/2012</w:t>
        </w:r>
      </w:hyperlink>
      <w:r w:rsidRPr="00BA1B56">
        <w:rPr>
          <w:rStyle w:val="TextoNormalCaracter"/>
        </w:rPr>
        <w:t xml:space="preserve">, ff. 4, 5, 7, 8; </w:t>
      </w:r>
      <w:hyperlink w:anchor="SENTENCIA_2012_108" w:history="1">
        <w:r w:rsidRPr="00BA1B56">
          <w:rPr>
            <w:rStyle w:val="TextoNormalCaracter"/>
          </w:rPr>
          <w:t>108/2012</w:t>
        </w:r>
      </w:hyperlink>
      <w:r w:rsidRPr="00BA1B56">
        <w:rPr>
          <w:rStyle w:val="TextoNormalCaracter"/>
        </w:rPr>
        <w:t xml:space="preserve">, ff. 2 a 4; </w:t>
      </w:r>
      <w:hyperlink w:anchor="SENTENCIA_2012_113" w:history="1">
        <w:r w:rsidRPr="00BA1B56">
          <w:rPr>
            <w:rStyle w:val="TextoNormalCaracter"/>
          </w:rPr>
          <w:t>113/2012</w:t>
        </w:r>
      </w:hyperlink>
      <w:r w:rsidRPr="00BA1B56">
        <w:rPr>
          <w:rStyle w:val="TextoNormalCaracter"/>
        </w:rPr>
        <w:t xml:space="preserve">, ff. 2, 6, 8, 11, 12; </w:t>
      </w:r>
      <w:hyperlink w:anchor="SENTENCIA_2012_114" w:history="1">
        <w:r w:rsidRPr="00BA1B56">
          <w:rPr>
            <w:rStyle w:val="TextoNormalCaracter"/>
          </w:rPr>
          <w:t>114/2012</w:t>
        </w:r>
      </w:hyperlink>
      <w:r w:rsidRPr="00BA1B56">
        <w:rPr>
          <w:rStyle w:val="TextoNormalCaracter"/>
        </w:rPr>
        <w:t>, ff. 3, 4, 6.</w:t>
      </w:r>
    </w:p>
    <w:p w:rsidR="00BA1B56" w:rsidRPr="00BA1B56" w:rsidRDefault="00BA1B56" w:rsidP="00BA1B56">
      <w:pPr>
        <w:pStyle w:val="TextoNormalSangraFrancesa"/>
        <w:rPr>
          <w:rStyle w:val="TextoNormalNegritaCaracter"/>
        </w:rPr>
      </w:pPr>
      <w:r w:rsidRPr="00BA1B56">
        <w:rPr>
          <w:rStyle w:val="TextoNormalCursivaCaracter"/>
        </w:rPr>
        <w:t>Ejecución del Derecho de la Unión Europea</w:t>
      </w:r>
      <w:r>
        <w:t xml:space="preserve"> véase </w:t>
      </w:r>
      <w:hyperlink w:anchor="DESCRIPTORALFABETICO682" w:history="1">
        <w:r w:rsidRPr="00BA1B56">
          <w:rPr>
            <w:rStyle w:val="TextoNormalNegritaCaracter"/>
          </w:rPr>
          <w:t>Aplicación del Derecho de la Unión Europea</w:t>
        </w:r>
      </w:hyperlink>
    </w:p>
    <w:p w:rsidR="00BA1B56" w:rsidRPr="00BA1B56" w:rsidRDefault="00BA1B56" w:rsidP="00BA1B56">
      <w:pPr>
        <w:pStyle w:val="TextoNormalSangraFrancesa"/>
        <w:rPr>
          <w:rStyle w:val="TextoNormalCaracter"/>
        </w:rPr>
      </w:pPr>
      <w:bookmarkStart w:id="1673" w:name="DESCRIPTORALFABETICO18"/>
      <w:r w:rsidRPr="00BA1B56">
        <w:rPr>
          <w:rStyle w:val="TextoNormalNegritaCaracter"/>
        </w:rPr>
        <w:t>Ejercicio de competencias</w:t>
      </w:r>
      <w:bookmarkEnd w:id="1673"/>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ff. 1, 3, 4; </w:t>
      </w:r>
      <w:hyperlink w:anchor="SENTENCIA_2012_132" w:history="1">
        <w:r w:rsidRPr="00BA1B56">
          <w:rPr>
            <w:rStyle w:val="TextoNormalCaracter"/>
          </w:rPr>
          <w:t>132/2012</w:t>
        </w:r>
      </w:hyperlink>
      <w:r w:rsidRPr="00BA1B56">
        <w:rPr>
          <w:rStyle w:val="TextoNormalCaracter"/>
        </w:rPr>
        <w:t>, ff. 5 a 7.</w:t>
      </w:r>
    </w:p>
    <w:p w:rsidR="00BA1B56" w:rsidRPr="00BA1B56" w:rsidRDefault="00BA1B56" w:rsidP="00BA1B56">
      <w:pPr>
        <w:pStyle w:val="TextoNormalSangraFrancesa"/>
        <w:rPr>
          <w:rStyle w:val="TextoNormalCaracter"/>
        </w:rPr>
      </w:pPr>
      <w:bookmarkStart w:id="1674" w:name="DESCRIPTORALFABETICO252"/>
      <w:r w:rsidRPr="00BA1B56">
        <w:rPr>
          <w:rStyle w:val="TextoNormalNegritaCaracter"/>
        </w:rPr>
        <w:t>Ejercicio de derechos fundamentales</w:t>
      </w:r>
      <w:bookmarkEnd w:id="1674"/>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7 a 9.</w:t>
      </w:r>
    </w:p>
    <w:p w:rsidR="00BA1B56" w:rsidRPr="00BA1B56" w:rsidRDefault="00BA1B56" w:rsidP="00BA1B56">
      <w:pPr>
        <w:pStyle w:val="TextoNormalSangraFrancesa"/>
        <w:rPr>
          <w:rStyle w:val="TextoNormalNegritaCaracter"/>
        </w:rPr>
      </w:pPr>
      <w:r w:rsidRPr="00BA1B56">
        <w:rPr>
          <w:rStyle w:val="TextoNormalCursivaCaracter"/>
        </w:rPr>
        <w:t>Ejercicio de los derechos y libertades públicas</w:t>
      </w:r>
      <w:r>
        <w:t xml:space="preserve"> véase </w:t>
      </w:r>
      <w:hyperlink w:anchor="DESCRIPTORALFABETICO252" w:history="1">
        <w:r w:rsidRPr="00BA1B56">
          <w:rPr>
            <w:rStyle w:val="TextoNormalNegritaCaracter"/>
          </w:rPr>
          <w:t>Ejercicio de derechos fundamentales</w:t>
        </w:r>
      </w:hyperlink>
    </w:p>
    <w:p w:rsidR="00BA1B56" w:rsidRPr="00BA1B56" w:rsidRDefault="00BA1B56" w:rsidP="00BA1B56">
      <w:pPr>
        <w:pStyle w:val="TextoNormalSangraFrancesa"/>
        <w:rPr>
          <w:rStyle w:val="TextoNormalCaracter"/>
        </w:rPr>
      </w:pPr>
      <w:bookmarkStart w:id="1675" w:name="DESCRIPTORALFABETICO512"/>
      <w:r w:rsidRPr="00BA1B56">
        <w:rPr>
          <w:rStyle w:val="TextoNormalNegritaCaracter"/>
        </w:rPr>
        <w:t>Elección de alcalde</w:t>
      </w:r>
      <w:bookmarkEnd w:id="1675"/>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1676" w:name="DESCRIPTORALFABETICO127"/>
      <w:r w:rsidRPr="00BA1B56">
        <w:rPr>
          <w:rStyle w:val="TextoNormalNegritaCaracter"/>
        </w:rPr>
        <w:t>Elecciones</w:t>
      </w:r>
      <w:bookmarkEnd w:id="1676"/>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 2, 3, 4, 5, 6, 7, 8, 9, 10, 11, 12, 13, 14, 15, 16, 17, 18, 19, 20, VP.</w:t>
      </w:r>
    </w:p>
    <w:p w:rsidR="00BA1B56" w:rsidRPr="00BA1B56" w:rsidRDefault="00BA1B56" w:rsidP="00BA1B56">
      <w:pPr>
        <w:pStyle w:val="TextoNormalSangraFrancesa"/>
        <w:rPr>
          <w:rStyle w:val="TextoNormalCaracter"/>
        </w:rPr>
      </w:pPr>
      <w:bookmarkStart w:id="1677" w:name="DESCRIPTORALFABETICO605"/>
      <w:r w:rsidRPr="00BA1B56">
        <w:rPr>
          <w:rStyle w:val="TextoNormalNegritaCaracter"/>
        </w:rPr>
        <w:t>Elecciones a miembros del claustro</w:t>
      </w:r>
      <w:bookmarkEnd w:id="1677"/>
      <w:r w:rsidRPr="00BA1B56">
        <w:rPr>
          <w:rStyle w:val="TextoNormalCaracter"/>
        </w:rPr>
        <w:t xml:space="preserve">, Autos </w:t>
      </w:r>
      <w:hyperlink w:anchor="AUTO_2012_19" w:history="1">
        <w:r w:rsidRPr="00BA1B56">
          <w:rPr>
            <w:rStyle w:val="TextoNormalCaracter"/>
          </w:rPr>
          <w:t>19/2012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678" w:name="DESCRIPTORALFABETICO131"/>
      <w:r w:rsidRPr="00BA1B56">
        <w:rPr>
          <w:rStyle w:val="TextoNormalNegritaCaracter"/>
        </w:rPr>
        <w:t>Elecciones autonómicas</w:t>
      </w:r>
      <w:bookmarkEnd w:id="1678"/>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7, 8, 10, 14, 15, 16, 17, 20, VP.</w:t>
      </w:r>
    </w:p>
    <w:p w:rsidR="00BA1B56" w:rsidRPr="00BA1B56" w:rsidRDefault="00BA1B56" w:rsidP="00BA1B56">
      <w:pPr>
        <w:pStyle w:val="TextoNormalSangraFrancesa"/>
        <w:rPr>
          <w:rStyle w:val="TextoNormalCaracter"/>
        </w:rPr>
      </w:pPr>
      <w:bookmarkStart w:id="1679" w:name="DESCRIPTORALFABETICO132"/>
      <w:r w:rsidRPr="00BA1B56">
        <w:rPr>
          <w:rStyle w:val="TextoNormalNegritaCaracter"/>
        </w:rPr>
        <w:t>Elecciones locales</w:t>
      </w:r>
      <w:bookmarkEnd w:id="1679"/>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2, 3, 4.</w:t>
      </w:r>
    </w:p>
    <w:p w:rsidR="00BA1B56" w:rsidRPr="00BA1B56" w:rsidRDefault="00BA1B56" w:rsidP="00BA1B56">
      <w:pPr>
        <w:pStyle w:val="TextoNormalSangraFrancesa"/>
        <w:rPr>
          <w:rStyle w:val="TextoNormalNegritaCaracter"/>
        </w:rPr>
      </w:pPr>
      <w:r w:rsidRPr="00BA1B56">
        <w:rPr>
          <w:rStyle w:val="TextoNormalCursivaCaracter"/>
        </w:rPr>
        <w:t>Elecciones municipales</w:t>
      </w:r>
      <w:r>
        <w:t xml:space="preserve"> véase </w:t>
      </w:r>
      <w:hyperlink w:anchor="DESCRIPTORALFABETICO132" w:history="1">
        <w:r w:rsidRPr="00BA1B56">
          <w:rPr>
            <w:rStyle w:val="TextoNormalNegritaCaracter"/>
          </w:rPr>
          <w:t>Elecciones locales</w:t>
        </w:r>
      </w:hyperlink>
    </w:p>
    <w:p w:rsidR="00BA1B56" w:rsidRPr="00BA1B56" w:rsidRDefault="00BA1B56" w:rsidP="00BA1B56">
      <w:pPr>
        <w:pStyle w:val="TextoNormalSangraFrancesa"/>
        <w:rPr>
          <w:rStyle w:val="TextoNormalCaracter"/>
        </w:rPr>
      </w:pPr>
      <w:bookmarkStart w:id="1680" w:name="DESCRIPTORALFABETICO86"/>
      <w:r w:rsidRPr="00BA1B56">
        <w:rPr>
          <w:rStyle w:val="TextoNormalNegritaCaracter"/>
        </w:rPr>
        <w:t>Elementos del tributo</w:t>
      </w:r>
      <w:bookmarkEnd w:id="1680"/>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81" w:name="DESCRIPTORALFABETICO668"/>
      <w:r w:rsidRPr="00BA1B56">
        <w:rPr>
          <w:rStyle w:val="TextoNormalNegritaCaracter"/>
        </w:rPr>
        <w:t>Emisiones clandestinas</w:t>
      </w:r>
      <w:bookmarkEnd w:id="1681"/>
      <w:r w:rsidRPr="00BA1B56">
        <w:rPr>
          <w:rStyle w:val="TextoNormalCaracter"/>
        </w:rPr>
        <w:t xml:space="preserve">, Sentencia </w:t>
      </w:r>
      <w:hyperlink w:anchor="SENTENCIA_2012_5" w:history="1">
        <w:r w:rsidRPr="00BA1B56">
          <w:rPr>
            <w:rStyle w:val="TextoNormalCaracter"/>
          </w:rPr>
          <w:t>5/2012</w:t>
        </w:r>
      </w:hyperlink>
      <w:r w:rsidRPr="00BA1B56">
        <w:rPr>
          <w:rStyle w:val="TextoNormalCaracter"/>
        </w:rPr>
        <w:t>, ff. 2, 5, 7.</w:t>
      </w:r>
    </w:p>
    <w:p w:rsidR="00BA1B56" w:rsidRPr="00BA1B56" w:rsidRDefault="00BA1B56" w:rsidP="00BA1B56">
      <w:pPr>
        <w:pStyle w:val="TextoNormalSangraFrancesa"/>
        <w:rPr>
          <w:rStyle w:val="TextoNormalCaracter"/>
        </w:rPr>
      </w:pPr>
      <w:bookmarkStart w:id="1682" w:name="DESCRIPTORALFABETICO826"/>
      <w:r w:rsidRPr="00BA1B56">
        <w:rPr>
          <w:rStyle w:val="TextoNormalNegritaCaracter"/>
        </w:rPr>
        <w:t>Emisiones radioeléctricas</w:t>
      </w:r>
      <w:bookmarkEnd w:id="1682"/>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6.</w:t>
      </w:r>
    </w:p>
    <w:p w:rsidR="00BA1B56" w:rsidRPr="00BA1B56" w:rsidRDefault="00BA1B56" w:rsidP="00BA1B56">
      <w:pPr>
        <w:pStyle w:val="TextoNormalSangraFrancesa"/>
        <w:rPr>
          <w:rStyle w:val="TextoNormalCaracter"/>
        </w:rPr>
      </w:pPr>
      <w:bookmarkStart w:id="1683" w:name="DESCRIPTORALFABETICO868"/>
      <w:r w:rsidRPr="00BA1B56">
        <w:rPr>
          <w:rStyle w:val="TextoNormalNegritaCaracter"/>
        </w:rPr>
        <w:t>Emplazamiento</w:t>
      </w:r>
      <w:bookmarkEnd w:id="1683"/>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1.</w:t>
      </w:r>
    </w:p>
    <w:p w:rsidR="00BA1B56" w:rsidRPr="00BA1B56" w:rsidRDefault="00BA1B56" w:rsidP="00BA1B56">
      <w:pPr>
        <w:pStyle w:val="TextoNormalSangraFrancesa"/>
        <w:rPr>
          <w:rStyle w:val="TextoNormalCaracter"/>
        </w:rPr>
      </w:pPr>
      <w:bookmarkStart w:id="1684" w:name="DESCRIPTORALFABETICO869"/>
      <w:r w:rsidRPr="00BA1B56">
        <w:rPr>
          <w:rStyle w:val="TextoNormalNegritaCaracter"/>
        </w:rPr>
        <w:t>Emplazamiento personal</w:t>
      </w:r>
      <w:bookmarkEnd w:id="1684"/>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 4.</w:t>
      </w:r>
    </w:p>
    <w:p w:rsidR="00BA1B56" w:rsidRPr="00BA1B56" w:rsidRDefault="00BA1B56" w:rsidP="00BA1B56">
      <w:pPr>
        <w:pStyle w:val="TextoNormalSangraFrancesa"/>
        <w:rPr>
          <w:rStyle w:val="TextoNormalNegritaCaracter"/>
        </w:rPr>
      </w:pPr>
      <w:r w:rsidRPr="00BA1B56">
        <w:rPr>
          <w:rStyle w:val="TextoNormalCursivaCaracter"/>
        </w:rPr>
        <w:t>Empleados laborales</w:t>
      </w:r>
      <w:r>
        <w:t xml:space="preserve"> véase </w:t>
      </w:r>
      <w:hyperlink w:anchor="DESCRIPTORALFABETICO844" w:history="1">
        <w:r w:rsidRPr="00BA1B56">
          <w:rPr>
            <w:rStyle w:val="TextoNormalNegritaCaracter"/>
          </w:rPr>
          <w:t>Trabajadores</w:t>
        </w:r>
      </w:hyperlink>
    </w:p>
    <w:p w:rsidR="00BA1B56" w:rsidRPr="00BA1B56" w:rsidRDefault="00BA1B56" w:rsidP="00BA1B56">
      <w:pPr>
        <w:pStyle w:val="TextoNormalSangraFrancesa"/>
        <w:rPr>
          <w:rStyle w:val="TextoNormalCaracter"/>
        </w:rPr>
      </w:pPr>
      <w:bookmarkStart w:id="1685" w:name="DESCRIPTORALFABETICO23"/>
      <w:r w:rsidRPr="00BA1B56">
        <w:rPr>
          <w:rStyle w:val="TextoNormalNegritaCaracter"/>
        </w:rPr>
        <w:t>Encuadramiento competencial</w:t>
      </w:r>
      <w:bookmarkEnd w:id="1685"/>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xml:space="preserve">, ff. 5, 6; </w:t>
      </w:r>
      <w:hyperlink w:anchor="SENTENCIA_2012_8" w:history="1">
        <w:r w:rsidRPr="00BA1B56">
          <w:rPr>
            <w:rStyle w:val="TextoNormalCaracter"/>
          </w:rPr>
          <w:t>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86" w:name="DESCRIPTORALFABETICO508"/>
      <w:r w:rsidRPr="00BA1B56">
        <w:rPr>
          <w:rStyle w:val="TextoNormalNegritaCaracter"/>
        </w:rPr>
        <w:t>Entes locales</w:t>
      </w:r>
      <w:bookmarkEnd w:id="1686"/>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5, 6, 7.</w:t>
      </w:r>
    </w:p>
    <w:p w:rsidR="00BA1B56" w:rsidRPr="00BA1B56" w:rsidRDefault="00BA1B56" w:rsidP="00BA1B56">
      <w:pPr>
        <w:pStyle w:val="TextoNormalSangraFrancesa"/>
        <w:rPr>
          <w:rStyle w:val="TextoNormalCaracter"/>
        </w:rPr>
      </w:pPr>
      <w:bookmarkStart w:id="1687" w:name="DESCRIPTORALFABETICO965"/>
      <w:r w:rsidRPr="00BA1B56">
        <w:rPr>
          <w:rStyle w:val="TextoNormalNegritaCaracter"/>
        </w:rPr>
        <w:t>Entrega del reclamado para cumplimiento de condena en rebeldía</w:t>
      </w:r>
      <w:bookmarkEnd w:id="1687"/>
      <w:r w:rsidRPr="00BA1B56">
        <w:rPr>
          <w:rStyle w:val="TextoNormalCaracter"/>
        </w:rPr>
        <w:t xml:space="preserve">, Auto </w:t>
      </w:r>
      <w:hyperlink w:anchor="AUTO_2012_11" w:history="1">
        <w:r w:rsidRPr="00BA1B56">
          <w:rPr>
            <w:rStyle w:val="TextoNormalCaracter"/>
          </w:rPr>
          <w:t>11/2012</w:t>
        </w:r>
      </w:hyperlink>
      <w:r w:rsidRPr="00BA1B56">
        <w:rPr>
          <w:rStyle w:val="TextoNormalCaracter"/>
        </w:rPr>
        <w:t>, f. 3.</w:t>
      </w:r>
    </w:p>
    <w:p w:rsidR="00BA1B56" w:rsidRPr="00BA1B56" w:rsidRDefault="00BA1B56" w:rsidP="00BA1B56">
      <w:pPr>
        <w:pStyle w:val="TextoNormalSangraFrancesa"/>
        <w:rPr>
          <w:rStyle w:val="TextoNormalCaracter"/>
        </w:rPr>
      </w:pPr>
      <w:bookmarkStart w:id="1688" w:name="DESCRIPTORALFABETICO894"/>
      <w:r w:rsidRPr="00BA1B56">
        <w:rPr>
          <w:rStyle w:val="TextoNormalNegritaCaracter"/>
        </w:rPr>
        <w:t>Error de derecho</w:t>
      </w:r>
      <w:bookmarkEnd w:id="1688"/>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89" w:name="DESCRIPTORALFABETICO895"/>
      <w:r w:rsidRPr="00BA1B56">
        <w:rPr>
          <w:rStyle w:val="TextoNormalNegritaCaracter"/>
        </w:rPr>
        <w:t>Error de hecho</w:t>
      </w:r>
      <w:bookmarkEnd w:id="1689"/>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 4.</w:t>
      </w:r>
    </w:p>
    <w:p w:rsidR="00BA1B56" w:rsidRPr="00BA1B56" w:rsidRDefault="00BA1B56" w:rsidP="00BA1B56">
      <w:pPr>
        <w:pStyle w:val="TextoNormalSangraFrancesa"/>
        <w:rPr>
          <w:rStyle w:val="TextoNormalCaracter"/>
        </w:rPr>
      </w:pPr>
      <w:bookmarkStart w:id="1690" w:name="DESCRIPTORALFABETICO196"/>
      <w:r w:rsidRPr="00BA1B56">
        <w:rPr>
          <w:rStyle w:val="TextoNormalNegritaCaracter"/>
        </w:rPr>
        <w:t>Error patente</w:t>
      </w:r>
      <w:bookmarkEnd w:id="1690"/>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 </w:t>
      </w:r>
      <w:hyperlink w:anchor="SENTENCIA_2012_31" w:history="1">
        <w:r w:rsidRPr="00BA1B56">
          <w:rPr>
            <w:rStyle w:val="TextoNormalCaracter"/>
          </w:rPr>
          <w:t>31/2012</w:t>
        </w:r>
      </w:hyperlink>
      <w:r w:rsidRPr="00BA1B56">
        <w:rPr>
          <w:rStyle w:val="TextoNormalCaracter"/>
        </w:rPr>
        <w:t>, ff. 2, 5, 6.</w:t>
      </w:r>
    </w:p>
    <w:p w:rsidR="00BA1B56" w:rsidRPr="00BA1B56" w:rsidRDefault="00BA1B56" w:rsidP="00BA1B56">
      <w:pPr>
        <w:pStyle w:val="TextoNormalSangraFrancesa"/>
        <w:rPr>
          <w:rStyle w:val="TextoNormalCaracter"/>
        </w:rPr>
      </w:pPr>
      <w:bookmarkStart w:id="1691" w:name="DESCRIPTORALFABETICO197"/>
      <w:r w:rsidRPr="00BA1B56">
        <w:rPr>
          <w:rStyle w:val="TextoNormalNegritaCaracter"/>
        </w:rPr>
        <w:t>Error patente inexistente</w:t>
      </w:r>
      <w:bookmarkEnd w:id="1691"/>
      <w:r w:rsidRPr="00BA1B56">
        <w:rPr>
          <w:rStyle w:val="TextoNormalCaracter"/>
        </w:rPr>
        <w:t xml:space="preserve">, Sentencia </w:t>
      </w:r>
      <w:hyperlink w:anchor="SENTENCIA_2012_31" w:history="1">
        <w:r w:rsidRPr="00BA1B56">
          <w:rPr>
            <w:rStyle w:val="TextoNormalCaracter"/>
          </w:rPr>
          <w:t>31/2012</w:t>
        </w:r>
      </w:hyperlink>
      <w:r w:rsidRPr="00BA1B56">
        <w:rPr>
          <w:rStyle w:val="TextoNormalCaracter"/>
        </w:rPr>
        <w:t>, ff. 2, 6.</w:t>
      </w:r>
    </w:p>
    <w:p w:rsidR="00BA1B56" w:rsidRPr="00BA1B56" w:rsidRDefault="00BA1B56" w:rsidP="00BA1B56">
      <w:pPr>
        <w:pStyle w:val="TextoNormalSangraFrancesa"/>
        <w:rPr>
          <w:rStyle w:val="TextoNormalCaracter"/>
        </w:rPr>
      </w:pPr>
      <w:bookmarkStart w:id="1692" w:name="DESCRIPTORALFABETICO658"/>
      <w:r w:rsidRPr="00BA1B56">
        <w:rPr>
          <w:rStyle w:val="TextoNormalNegritaCaracter"/>
        </w:rPr>
        <w:t>Espacios naturales protegidos</w:t>
      </w:r>
      <w:bookmarkEnd w:id="1692"/>
      <w:r w:rsidRPr="00BA1B56">
        <w:rPr>
          <w:rStyle w:val="TextoNormalCaracter"/>
        </w:rPr>
        <w:t xml:space="preserve">, Sentencia </w:t>
      </w:r>
      <w:hyperlink w:anchor="SENTENCIA_2012_82" w:history="1">
        <w:r w:rsidRPr="00BA1B56">
          <w:rPr>
            <w:rStyle w:val="TextoNormalCaracter"/>
          </w:rPr>
          <w:t>82/2012</w:t>
        </w:r>
      </w:hyperlink>
      <w:r w:rsidRPr="00BA1B56">
        <w:rPr>
          <w:rStyle w:val="TextoNormalCaracter"/>
        </w:rPr>
        <w:t>, ff. 1, 2, VP I, VP II.</w:t>
      </w:r>
    </w:p>
    <w:p w:rsidR="00BA1B56" w:rsidRPr="00BA1B56" w:rsidRDefault="00BA1B56" w:rsidP="00BA1B56">
      <w:pPr>
        <w:pStyle w:val="TextoNormalSangraFrancesa"/>
        <w:rPr>
          <w:rStyle w:val="TextoNormalCaracter"/>
        </w:rPr>
      </w:pPr>
      <w:bookmarkStart w:id="1693" w:name="DESCRIPTORALFABETICO661"/>
      <w:r w:rsidRPr="00BA1B56">
        <w:rPr>
          <w:rStyle w:val="TextoNormalNegritaCaracter"/>
        </w:rPr>
        <w:t>Especies protegidas</w:t>
      </w:r>
      <w:bookmarkEnd w:id="1693"/>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694" w:name="DESCRIPTORALFABETICO549"/>
      <w:r w:rsidRPr="00BA1B56">
        <w:rPr>
          <w:rStyle w:val="TextoNormalNegritaCaracter"/>
        </w:rPr>
        <w:t>Establecimientos comerciales</w:t>
      </w:r>
      <w:bookmarkEnd w:id="1694"/>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ff. 1, 2, 5 a 7.</w:t>
      </w:r>
    </w:p>
    <w:p w:rsidR="00BA1B56" w:rsidRPr="00BA1B56" w:rsidRDefault="00BA1B56" w:rsidP="00BA1B56">
      <w:pPr>
        <w:pStyle w:val="TextoNormalSangraFrancesa"/>
        <w:rPr>
          <w:rStyle w:val="TextoNormalCaracter"/>
        </w:rPr>
      </w:pPr>
      <w:bookmarkStart w:id="1695" w:name="DESCRIPTORALFABETICO806"/>
      <w:r w:rsidRPr="00BA1B56">
        <w:rPr>
          <w:rStyle w:val="TextoNormalNegritaCaracter"/>
        </w:rPr>
        <w:t>Establecimientos de tejidos humanos</w:t>
      </w:r>
      <w:bookmarkEnd w:id="1695"/>
      <w:r w:rsidRPr="00BA1B56">
        <w:rPr>
          <w:rStyle w:val="TextoNormalCaracter"/>
        </w:rPr>
        <w:t xml:space="preserve">, Sentencia </w:t>
      </w:r>
      <w:hyperlink w:anchor="SENTENCIA_2012_22" w:history="1">
        <w:r w:rsidRPr="00BA1B56">
          <w:rPr>
            <w:rStyle w:val="TextoNormalCaracter"/>
          </w:rPr>
          <w:t>22/2012</w:t>
        </w:r>
      </w:hyperlink>
      <w:r w:rsidRPr="00BA1B56">
        <w:rPr>
          <w:rStyle w:val="TextoNormalCaracter"/>
        </w:rPr>
        <w:t>, ff. 4, 5, 7 a 9.</w:t>
      </w:r>
    </w:p>
    <w:p w:rsidR="00BA1B56" w:rsidRPr="00BA1B56" w:rsidRDefault="00BA1B56" w:rsidP="00BA1B56">
      <w:pPr>
        <w:pStyle w:val="TextoNormalSangraFrancesa"/>
        <w:rPr>
          <w:rStyle w:val="TextoNormalCaracter"/>
        </w:rPr>
      </w:pPr>
      <w:bookmarkStart w:id="1696" w:name="DESCRIPTORALFABETICO503"/>
      <w:r w:rsidRPr="00BA1B56">
        <w:rPr>
          <w:rStyle w:val="TextoNormalNegritaCaracter"/>
        </w:rPr>
        <w:t>Estado de Derecho</w:t>
      </w:r>
      <w:bookmarkEnd w:id="1696"/>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 5.</w:t>
      </w:r>
    </w:p>
    <w:p w:rsidR="00BA1B56" w:rsidRPr="00BA1B56" w:rsidRDefault="00BA1B56" w:rsidP="00BA1B56">
      <w:pPr>
        <w:pStyle w:val="TextoNormalSangraFrancesa"/>
        <w:rPr>
          <w:rStyle w:val="TextoNormalCaracter"/>
        </w:rPr>
      </w:pPr>
      <w:bookmarkStart w:id="1697" w:name="DESCRIPTORALFABETICO505"/>
      <w:r w:rsidRPr="00BA1B56">
        <w:rPr>
          <w:rStyle w:val="TextoNormalNegritaCaracter"/>
        </w:rPr>
        <w:t>Estado de las autonomías</w:t>
      </w:r>
      <w:bookmarkEnd w:id="1697"/>
      <w:r w:rsidRPr="00BA1B56">
        <w:rPr>
          <w:rStyle w:val="TextoNormalCaracter"/>
        </w:rPr>
        <w:t xml:space="preserve">, Sentencia </w:t>
      </w:r>
      <w:hyperlink w:anchor="SENTENCIA_2012_123" w:history="1">
        <w:r w:rsidRPr="00BA1B56">
          <w:rPr>
            <w:rStyle w:val="TextoNormalCaracter"/>
          </w:rPr>
          <w:t>123/2012</w:t>
        </w:r>
      </w:hyperlink>
      <w:r w:rsidRPr="00BA1B56">
        <w:rPr>
          <w:rStyle w:val="TextoNormalCaracter"/>
        </w:rPr>
        <w:t>, f. 8.</w:t>
      </w:r>
    </w:p>
    <w:p w:rsidR="00BA1B56" w:rsidRPr="00BA1B56" w:rsidRDefault="00BA1B56" w:rsidP="00BA1B56">
      <w:pPr>
        <w:pStyle w:val="TextoNormalSangraFrancesa"/>
        <w:rPr>
          <w:rStyle w:val="TextoNormalCaracter"/>
        </w:rPr>
      </w:pPr>
      <w:bookmarkStart w:id="1698" w:name="DESCRIPTORALFABETICO773"/>
      <w:r w:rsidRPr="00BA1B56">
        <w:rPr>
          <w:rStyle w:val="TextoNormalNegritaCaracter"/>
        </w:rPr>
        <w:t>Estatutos de los colegios profesionales</w:t>
      </w:r>
      <w:bookmarkEnd w:id="1698"/>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ff. 1 a 8.</w:t>
      </w:r>
    </w:p>
    <w:p w:rsidR="00BA1B56" w:rsidRPr="00BA1B56" w:rsidRDefault="00BA1B56" w:rsidP="00BA1B56">
      <w:pPr>
        <w:pStyle w:val="TextoNormalSangraFrancesa"/>
        <w:rPr>
          <w:rStyle w:val="TextoNormalCaracter"/>
        </w:rPr>
      </w:pPr>
      <w:bookmarkStart w:id="1699" w:name="DESCRIPTORALFABETICO415"/>
      <w:r w:rsidRPr="00BA1B56">
        <w:rPr>
          <w:rStyle w:val="TextoNormalNegritaCaracter"/>
        </w:rPr>
        <w:t>Estatutos de partidos políticos</w:t>
      </w:r>
      <w:bookmarkEnd w:id="1699"/>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6 a 11, VP I, VP II, VP III.</w:t>
      </w:r>
    </w:p>
    <w:p w:rsidR="00BA1B56" w:rsidRPr="00BA1B56" w:rsidRDefault="00BA1B56" w:rsidP="00BA1B56">
      <w:pPr>
        <w:pStyle w:val="TextoNormalSangraFrancesa"/>
        <w:rPr>
          <w:rStyle w:val="TextoNormalCaracter"/>
        </w:rPr>
      </w:pPr>
      <w:bookmarkStart w:id="1700" w:name="DESCRIPTORALFABETICO313"/>
      <w:r w:rsidRPr="00BA1B56">
        <w:rPr>
          <w:rStyle w:val="TextoNormalNegritaCaracter"/>
        </w:rPr>
        <w:t>Estimación de recurso de súplica contra providencias de inadmisión del Tribunal Constitucional</w:t>
      </w:r>
      <w:bookmarkEnd w:id="1700"/>
      <w:r w:rsidRPr="00BA1B56">
        <w:rPr>
          <w:rStyle w:val="TextoNormalCaracter"/>
        </w:rPr>
        <w:t xml:space="preserve">, Auto </w:t>
      </w:r>
      <w:hyperlink w:anchor="AUTO_2012_24" w:history="1">
        <w:r w:rsidRPr="00BA1B56">
          <w:rPr>
            <w:rStyle w:val="TextoNormalCaracter"/>
          </w:rPr>
          <w:t>24/2012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01" w:name="DESCRIPTORALFABETICO663"/>
      <w:r w:rsidRPr="00BA1B56">
        <w:rPr>
          <w:rStyle w:val="TextoNormalNegritaCaracter"/>
        </w:rPr>
        <w:t>Evaluación de impacto ambiental</w:t>
      </w:r>
      <w:bookmarkEnd w:id="1701"/>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ff. 7, 12; </w:t>
      </w:r>
      <w:hyperlink w:anchor="SENTENCIA_2012_34" w:history="1">
        <w:r w:rsidRPr="00BA1B56">
          <w:rPr>
            <w:rStyle w:val="TextoNormalCaracter"/>
          </w:rPr>
          <w:t>34/2012</w:t>
        </w:r>
      </w:hyperlink>
      <w:r w:rsidRPr="00BA1B56">
        <w:rPr>
          <w:rStyle w:val="TextoNormalCaracter"/>
        </w:rPr>
        <w:t>, ff. 2, 4, 6.</w:t>
      </w:r>
    </w:p>
    <w:p w:rsidR="00BA1B56" w:rsidRPr="00BA1B56" w:rsidRDefault="00BA1B56" w:rsidP="00BA1B56">
      <w:pPr>
        <w:pStyle w:val="TextoNormalSangraFrancesa"/>
        <w:rPr>
          <w:rStyle w:val="TextoNormalCaracter"/>
        </w:rPr>
      </w:pPr>
      <w:bookmarkStart w:id="1702" w:name="DESCRIPTORALFABETICO365"/>
      <w:r w:rsidRPr="00BA1B56">
        <w:rPr>
          <w:rStyle w:val="TextoNormalNegritaCaracter"/>
        </w:rPr>
        <w:t>Examen de oficio de requisitos procesales de la demanda de amparo</w:t>
      </w:r>
      <w:bookmarkEnd w:id="1702"/>
      <w:r w:rsidRPr="00BA1B56">
        <w:rPr>
          <w:rStyle w:val="TextoNormalCaracter"/>
        </w:rPr>
        <w:t xml:space="preserve">, Sentencias </w:t>
      </w:r>
      <w:hyperlink w:anchor="SENTENCIA_2012_58" w:history="1">
        <w:r w:rsidRPr="00BA1B56">
          <w:rPr>
            <w:rStyle w:val="TextoNormalCaracter"/>
          </w:rPr>
          <w:t>58/2012</w:t>
        </w:r>
      </w:hyperlink>
      <w:r w:rsidRPr="00BA1B56">
        <w:rPr>
          <w:rStyle w:val="TextoNormalCaracter"/>
        </w:rPr>
        <w:t xml:space="preserve">, f. 2; </w:t>
      </w:r>
      <w:hyperlink w:anchor="SENTENCIA_2012_60" w:history="1">
        <w:r w:rsidRPr="00BA1B56">
          <w:rPr>
            <w:rStyle w:val="TextoNormalCaracter"/>
          </w:rPr>
          <w:t>60/2012</w:t>
        </w:r>
      </w:hyperlink>
      <w:r w:rsidRPr="00BA1B56">
        <w:rPr>
          <w:rStyle w:val="TextoNormalCaracter"/>
        </w:rPr>
        <w:t xml:space="preserve">, f. 2; </w:t>
      </w:r>
      <w:hyperlink w:anchor="SENTENCIA_2012_63" w:history="1">
        <w:r w:rsidRPr="00BA1B56">
          <w:rPr>
            <w:rStyle w:val="TextoNormalCaracter"/>
          </w:rPr>
          <w:t>63/2012</w:t>
        </w:r>
      </w:hyperlink>
      <w:r w:rsidRPr="00BA1B56">
        <w:rPr>
          <w:rStyle w:val="TextoNormalCaracter"/>
        </w:rPr>
        <w:t xml:space="preserve">, f. 2; </w:t>
      </w:r>
      <w:hyperlink w:anchor="SENTENCIA_2012_128" w:history="1">
        <w:r w:rsidRPr="00BA1B56">
          <w:rPr>
            <w:rStyle w:val="TextoNormalCaracter"/>
          </w:rPr>
          <w:t>128/2012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03" w:name="DESCRIPTORALFABETICO896"/>
      <w:r w:rsidRPr="00BA1B56">
        <w:rPr>
          <w:rStyle w:val="TextoNormalNegritaCaracter"/>
        </w:rPr>
        <w:t>Excepciones procesales</w:t>
      </w:r>
      <w:bookmarkEnd w:id="1703"/>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704" w:name="DESCRIPTORALFABETICO985"/>
      <w:r w:rsidRPr="00BA1B56">
        <w:rPr>
          <w:rStyle w:val="TextoNormalNegritaCaracter"/>
        </w:rPr>
        <w:t>Exclusión de doble abono de prisión provisional</w:t>
      </w:r>
      <w:bookmarkEnd w:id="1704"/>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ff. 1 a 6.</w:t>
      </w:r>
    </w:p>
    <w:p w:rsidR="00BA1B56" w:rsidRPr="00BA1B56" w:rsidRDefault="00BA1B56" w:rsidP="00BA1B56">
      <w:pPr>
        <w:pStyle w:val="TextoNormalSangraFrancesa"/>
        <w:rPr>
          <w:rStyle w:val="TextoNormalCaracter"/>
        </w:rPr>
      </w:pPr>
      <w:bookmarkStart w:id="1705" w:name="DESCRIPTORALFABETICO915"/>
      <w:r w:rsidRPr="00BA1B56">
        <w:rPr>
          <w:rStyle w:val="TextoNormalNegritaCaracter"/>
        </w:rPr>
        <w:t>Exclusión de la justicia gratuita a las sociedades mercantiles</w:t>
      </w:r>
      <w:bookmarkEnd w:id="1705"/>
      <w:r w:rsidRPr="00BA1B56">
        <w:rPr>
          <w:rStyle w:val="TextoNormalCaracter"/>
        </w:rPr>
        <w:t xml:space="preserve">, Sentencia </w:t>
      </w:r>
      <w:hyperlink w:anchor="SENTENCIA_2012_20" w:history="1">
        <w:r w:rsidRPr="00BA1B56">
          <w:rPr>
            <w:rStyle w:val="TextoNormalCaracter"/>
          </w:rPr>
          <w:t>20/2012</w:t>
        </w:r>
      </w:hyperlink>
      <w:r w:rsidRPr="00BA1B56">
        <w:rPr>
          <w:rStyle w:val="TextoNormalCaracter"/>
        </w:rPr>
        <w:t>, ff. 8, 9.</w:t>
      </w:r>
    </w:p>
    <w:p w:rsidR="00BA1B56" w:rsidRPr="00BA1B56" w:rsidRDefault="00BA1B56" w:rsidP="00BA1B56">
      <w:pPr>
        <w:pStyle w:val="TextoNormalSangraFrancesa"/>
        <w:rPr>
          <w:rStyle w:val="TextoNormalCaracter"/>
        </w:rPr>
      </w:pPr>
      <w:bookmarkStart w:id="1706" w:name="DESCRIPTORALFABETICO174"/>
      <w:r w:rsidRPr="00BA1B56">
        <w:rPr>
          <w:rStyle w:val="TextoNormalNegritaCaracter"/>
        </w:rPr>
        <w:lastRenderedPageBreak/>
        <w:t>Exclusión de un sindicato del proceso de negociación colectiva</w:t>
      </w:r>
      <w:bookmarkEnd w:id="1706"/>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6.</w:t>
      </w:r>
    </w:p>
    <w:p w:rsidR="00BA1B56" w:rsidRPr="00BA1B56" w:rsidRDefault="00BA1B56" w:rsidP="00BA1B56">
      <w:pPr>
        <w:pStyle w:val="TextoNormalSangraFrancesa"/>
        <w:rPr>
          <w:rStyle w:val="TextoNormalCaracter"/>
        </w:rPr>
      </w:pPr>
      <w:bookmarkStart w:id="1707" w:name="DESCRIPTORALFABETICO130"/>
      <w:r w:rsidRPr="00BA1B56">
        <w:rPr>
          <w:rStyle w:val="TextoNormalNegritaCaracter"/>
        </w:rPr>
        <w:t>Exclusión de votos nulos</w:t>
      </w:r>
      <w:bookmarkEnd w:id="1707"/>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12, 14.</w:t>
      </w:r>
    </w:p>
    <w:p w:rsidR="00BA1B56" w:rsidRPr="00BA1B56" w:rsidRDefault="00BA1B56" w:rsidP="00BA1B56">
      <w:pPr>
        <w:pStyle w:val="TextoNormalSangraFrancesa"/>
        <w:rPr>
          <w:rStyle w:val="TextoNormalCaracter"/>
        </w:rPr>
      </w:pPr>
      <w:bookmarkStart w:id="1708" w:name="DESCRIPTORALFABETICO823"/>
      <w:r w:rsidRPr="00BA1B56">
        <w:rPr>
          <w:rStyle w:val="TextoNormalNegritaCaracter"/>
        </w:rPr>
        <w:t>Exención de prestación de servicios</w:t>
      </w:r>
      <w:bookmarkEnd w:id="1708"/>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5, 7.</w:t>
      </w:r>
    </w:p>
    <w:p w:rsidR="00BA1B56" w:rsidRPr="00BA1B56" w:rsidRDefault="00BA1B56" w:rsidP="00BA1B56">
      <w:pPr>
        <w:pStyle w:val="TextoNormalSangraFrancesa"/>
        <w:rPr>
          <w:rStyle w:val="TextoNormalCaracter"/>
        </w:rPr>
      </w:pPr>
      <w:bookmarkStart w:id="1709" w:name="DESCRIPTORALFABETICO339"/>
      <w:r w:rsidRPr="00BA1B56">
        <w:rPr>
          <w:rStyle w:val="TextoNormalNegritaCaracter"/>
        </w:rPr>
        <w:t>Exigencias del juicio de relevancia</w:t>
      </w:r>
      <w:bookmarkEnd w:id="1709"/>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10" w:name="DESCRIPTORALFABETICO361"/>
      <w:r w:rsidRPr="00BA1B56">
        <w:rPr>
          <w:rStyle w:val="TextoNormalNegritaCaracter"/>
        </w:rPr>
        <w:t>Existencia de invocación del derecho vulnerado</w:t>
      </w:r>
      <w:bookmarkEnd w:id="1710"/>
      <w:r w:rsidRPr="00BA1B56">
        <w:rPr>
          <w:rStyle w:val="TextoNormalCaracter"/>
        </w:rPr>
        <w:t xml:space="preserve">, Sentencia </w:t>
      </w:r>
      <w:hyperlink w:anchor="SENTENCIA_2012_53" w:history="1">
        <w:r w:rsidRPr="00BA1B56">
          <w:rPr>
            <w:rStyle w:val="TextoNormalCaracter"/>
          </w:rPr>
          <w:t>53/2012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11" w:name="DESCRIPTORALFABETICO164"/>
      <w:r w:rsidRPr="00BA1B56">
        <w:rPr>
          <w:rStyle w:val="TextoNormalNegritaCaracter"/>
        </w:rPr>
        <w:t>Expectativa de privacidad</w:t>
      </w:r>
      <w:bookmarkEnd w:id="1711"/>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12" w:name="DESCRIPTORALFABETICO629"/>
      <w:r w:rsidRPr="00BA1B56">
        <w:rPr>
          <w:rStyle w:val="TextoNormalNegritaCaracter"/>
        </w:rPr>
        <w:t>Experiencia docente</w:t>
      </w:r>
      <w:bookmarkEnd w:id="1712"/>
      <w:r w:rsidRPr="00BA1B56">
        <w:rPr>
          <w:rStyle w:val="TextoNormalCaracter"/>
        </w:rPr>
        <w:t xml:space="preserve">, Auto </w:t>
      </w:r>
      <w:hyperlink w:anchor="AUTO_2012_116" w:history="1">
        <w:r w:rsidRPr="00BA1B56">
          <w:rPr>
            <w:rStyle w:val="TextoNormalCaracter"/>
          </w:rPr>
          <w:t>116/2012</w:t>
        </w:r>
      </w:hyperlink>
      <w:r w:rsidRPr="00BA1B56">
        <w:rPr>
          <w:rStyle w:val="TextoNormalCaracter"/>
        </w:rPr>
        <w:t>, f. 1.</w:t>
      </w:r>
    </w:p>
    <w:p w:rsidR="00BA1B56" w:rsidRPr="00BA1B56" w:rsidRDefault="00BA1B56" w:rsidP="00BA1B56">
      <w:pPr>
        <w:pStyle w:val="TextoNormalSangraFrancesa"/>
        <w:rPr>
          <w:rStyle w:val="TextoNormalCaracter"/>
        </w:rPr>
      </w:pPr>
      <w:bookmarkStart w:id="1713" w:name="DESCRIPTORALFABETICO645"/>
      <w:r w:rsidRPr="00BA1B56">
        <w:rPr>
          <w:rStyle w:val="TextoNormalNegritaCaracter"/>
        </w:rPr>
        <w:t>Experiencia profesional</w:t>
      </w:r>
      <w:bookmarkEnd w:id="1713"/>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ff. 4, 7, 8.</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68" w:history="1">
        <w:r w:rsidRPr="00BA1B56">
          <w:rPr>
            <w:rStyle w:val="TextoNormalCaracter"/>
          </w:rPr>
          <w:t>68/2012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714" w:name="DESCRIPTORALFABETICO571"/>
      <w:r w:rsidRPr="00BA1B56">
        <w:rPr>
          <w:rStyle w:val="TextoNormalNegritaCaracter"/>
        </w:rPr>
        <w:t>Expoliación</w:t>
      </w:r>
      <w:bookmarkEnd w:id="1714"/>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ff. 5, 7.</w:t>
      </w:r>
    </w:p>
    <w:p w:rsidR="00BA1B56" w:rsidRPr="00BA1B56" w:rsidRDefault="00BA1B56" w:rsidP="00BA1B56">
      <w:pPr>
        <w:pStyle w:val="TextoNormalSangraFrancesa"/>
        <w:rPr>
          <w:rStyle w:val="TextoNormalCaracter"/>
        </w:rPr>
      </w:pPr>
      <w:bookmarkStart w:id="1715" w:name="DESCRIPTORALFABETICO501"/>
      <w:r w:rsidRPr="00BA1B56">
        <w:rPr>
          <w:rStyle w:val="TextoNormalNegritaCaracter"/>
        </w:rPr>
        <w:t>Expulsión de extranjeros</w:t>
      </w:r>
      <w:bookmarkEnd w:id="1715"/>
      <w:r w:rsidRPr="00BA1B56">
        <w:rPr>
          <w:rStyle w:val="TextoNormalCaracter"/>
        </w:rPr>
        <w:t xml:space="preserve">, Auto </w:t>
      </w:r>
      <w:hyperlink w:anchor="AUTO_2012_66" w:history="1">
        <w:r w:rsidRPr="00BA1B56">
          <w:rPr>
            <w:rStyle w:val="TextoNormalCaracter"/>
          </w:rPr>
          <w:t>66/2012</w:t>
        </w:r>
      </w:hyperlink>
      <w:r w:rsidRPr="00BA1B56">
        <w:rPr>
          <w:rStyle w:val="TextoNormalCaracter"/>
        </w:rPr>
        <w:t>, f. 1.</w:t>
      </w:r>
    </w:p>
    <w:p w:rsidR="00BA1B56" w:rsidRPr="00BA1B56" w:rsidRDefault="00BA1B56" w:rsidP="00BA1B56">
      <w:pPr>
        <w:pStyle w:val="TextoNormalSangraFrancesa"/>
        <w:rPr>
          <w:rStyle w:val="TextoNormalNegritaCaracter"/>
        </w:rPr>
      </w:pPr>
      <w:r w:rsidRPr="00BA1B56">
        <w:rPr>
          <w:rStyle w:val="TextoNormalCursivaCaracter"/>
        </w:rPr>
        <w:t>Extemporaneidad de la demanda de amparo</w:t>
      </w:r>
      <w:r>
        <w:t xml:space="preserve"> véase </w:t>
      </w:r>
      <w:hyperlink w:anchor="DESCRIPTORALFABETICO376" w:history="1">
        <w:r w:rsidRPr="00BA1B56">
          <w:rPr>
            <w:rStyle w:val="TextoNormalNegritaCaracter"/>
          </w:rPr>
          <w:t>Extemporaneidad del recurso de amparo</w:t>
        </w:r>
      </w:hyperlink>
    </w:p>
    <w:p w:rsidR="00BA1B56" w:rsidRPr="00BA1B56" w:rsidRDefault="00BA1B56" w:rsidP="00BA1B56">
      <w:pPr>
        <w:pStyle w:val="TextoNormalSangraFrancesa"/>
        <w:rPr>
          <w:rStyle w:val="TextoNormalCaracter"/>
        </w:rPr>
      </w:pPr>
      <w:bookmarkStart w:id="1716" w:name="DESCRIPTORALFABETICO376"/>
      <w:r w:rsidRPr="00BA1B56">
        <w:rPr>
          <w:rStyle w:val="TextoNormalNegritaCaracter"/>
        </w:rPr>
        <w:t>Extemporaneidad del recurso de amparo</w:t>
      </w:r>
      <w:bookmarkEnd w:id="1716"/>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 3; </w:t>
      </w:r>
      <w:hyperlink w:anchor="SENTENCIA_2012_23" w:history="1">
        <w:r w:rsidRPr="00BA1B56">
          <w:rPr>
            <w:rStyle w:val="TextoNormalCaracter"/>
          </w:rPr>
          <w:t>23/2012</w:t>
        </w:r>
      </w:hyperlink>
      <w:r w:rsidRPr="00BA1B56">
        <w:rPr>
          <w:rStyle w:val="TextoNormalCaracter"/>
        </w:rPr>
        <w:t xml:space="preserve">, f. 3; </w:t>
      </w:r>
      <w:hyperlink w:anchor="SENTENCIA_2012_109" w:history="1">
        <w:r w:rsidRPr="00BA1B56">
          <w:rPr>
            <w:rStyle w:val="TextoNormalCaracter"/>
          </w:rPr>
          <w:t>109/2012</w:t>
        </w:r>
      </w:hyperlink>
      <w:r w:rsidRPr="00BA1B56">
        <w:rPr>
          <w:rStyle w:val="TextoNormalCaracter"/>
        </w:rPr>
        <w:t xml:space="preserve">, f. 2; </w:t>
      </w:r>
      <w:hyperlink w:anchor="SENTENCIA_2012_113" w:history="1">
        <w:r w:rsidRPr="00BA1B56">
          <w:rPr>
            <w:rStyle w:val="TextoNormalCaracter"/>
          </w:rPr>
          <w:t>113/2012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32" w:history="1">
        <w:r w:rsidRPr="00BA1B56">
          <w:rPr>
            <w:rStyle w:val="TextoNormalCaracter"/>
          </w:rPr>
          <w:t>132/2012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717" w:name="DESCRIPTORALFABETICO329"/>
      <w:r w:rsidRPr="00BA1B56">
        <w:rPr>
          <w:rStyle w:val="TextoNormalNegritaCaracter"/>
        </w:rPr>
        <w:t>Extinción de cuestión de inconstitucionalidad</w:t>
      </w:r>
      <w:bookmarkEnd w:id="1717"/>
      <w:r w:rsidRPr="00BA1B56">
        <w:rPr>
          <w:rStyle w:val="TextoNormalCaracter"/>
        </w:rPr>
        <w:t xml:space="preserve">, Autos </w:t>
      </w:r>
      <w:hyperlink w:anchor="AUTO_2012_4" w:history="1">
        <w:r w:rsidRPr="00BA1B56">
          <w:rPr>
            <w:rStyle w:val="TextoNormalCaracter"/>
          </w:rPr>
          <w:t>4/2012</w:t>
        </w:r>
      </w:hyperlink>
      <w:r w:rsidRPr="00BA1B56">
        <w:rPr>
          <w:rStyle w:val="TextoNormalCaracter"/>
        </w:rPr>
        <w:t xml:space="preserve">, f. único; </w:t>
      </w:r>
      <w:hyperlink w:anchor="AUTO_2012_5" w:history="1">
        <w:r w:rsidRPr="00BA1B56">
          <w:rPr>
            <w:rStyle w:val="TextoNormalCaracter"/>
          </w:rPr>
          <w:t>5/2012</w:t>
        </w:r>
      </w:hyperlink>
      <w:r w:rsidRPr="00BA1B56">
        <w:rPr>
          <w:rStyle w:val="TextoNormalCaracter"/>
        </w:rPr>
        <w:t xml:space="preserve">, f. único; </w:t>
      </w:r>
      <w:hyperlink w:anchor="AUTO_2012_6" w:history="1">
        <w:r w:rsidRPr="00BA1B56">
          <w:rPr>
            <w:rStyle w:val="TextoNormalCaracter"/>
          </w:rPr>
          <w:t>6/2012</w:t>
        </w:r>
      </w:hyperlink>
      <w:r w:rsidRPr="00BA1B56">
        <w:rPr>
          <w:rStyle w:val="TextoNormalCaracter"/>
        </w:rPr>
        <w:t xml:space="preserve">, f. único; </w:t>
      </w:r>
      <w:hyperlink w:anchor="AUTO_2012_31" w:history="1">
        <w:r w:rsidRPr="00BA1B56">
          <w:rPr>
            <w:rStyle w:val="TextoNormalCaracter"/>
          </w:rPr>
          <w:t>31/2012</w:t>
        </w:r>
      </w:hyperlink>
      <w:r w:rsidRPr="00BA1B56">
        <w:rPr>
          <w:rStyle w:val="TextoNormalCaracter"/>
        </w:rPr>
        <w:t xml:space="preserve">, ff. 4, 5; </w:t>
      </w:r>
      <w:hyperlink w:anchor="AUTO_2012_48" w:history="1">
        <w:r w:rsidRPr="00BA1B56">
          <w:rPr>
            <w:rStyle w:val="TextoNormalCaracter"/>
          </w:rPr>
          <w:t>48/2012</w:t>
        </w:r>
      </w:hyperlink>
      <w:r w:rsidRPr="00BA1B56">
        <w:rPr>
          <w:rStyle w:val="TextoNormalCaracter"/>
        </w:rPr>
        <w:t xml:space="preserve">, f. único; </w:t>
      </w:r>
      <w:hyperlink w:anchor="AUTO_2012_51" w:history="1">
        <w:r w:rsidRPr="00BA1B56">
          <w:rPr>
            <w:rStyle w:val="TextoNormalCaracter"/>
          </w:rPr>
          <w:t>51/2012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718" w:name="DESCRIPTORALFABETICO831"/>
      <w:r w:rsidRPr="00BA1B56">
        <w:rPr>
          <w:rStyle w:val="TextoNormalNegritaCaracter"/>
        </w:rPr>
        <w:t>Extinción del contrato de trabajo</w:t>
      </w:r>
      <w:bookmarkEnd w:id="1718"/>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719" w:name="DESCRIPTORALFABETICO962"/>
      <w:r w:rsidRPr="00BA1B56">
        <w:rPr>
          <w:rStyle w:val="TextoNormalNegritaCaracter"/>
        </w:rPr>
        <w:t>Extradición</w:t>
      </w:r>
      <w:bookmarkEnd w:id="1719"/>
      <w:r w:rsidRPr="00BA1B56">
        <w:rPr>
          <w:rStyle w:val="TextoNormalCaracter"/>
        </w:rPr>
        <w:t xml:space="preserve">, Auto </w:t>
      </w:r>
      <w:hyperlink w:anchor="AUTO_2012_131" w:history="1">
        <w:r w:rsidRPr="00BA1B56">
          <w:rPr>
            <w:rStyle w:val="TextoNormalCaracter"/>
          </w:rPr>
          <w:t>131/2012</w:t>
        </w:r>
      </w:hyperlink>
      <w:r w:rsidRPr="00BA1B56">
        <w:rPr>
          <w:rStyle w:val="TextoNormalCaracter"/>
        </w:rPr>
        <w:t>, f. 1.</w:t>
      </w:r>
    </w:p>
    <w:p w:rsidR="00BA1B56" w:rsidRPr="00BA1B56" w:rsidRDefault="00BA1B56" w:rsidP="00BA1B56">
      <w:pPr>
        <w:pStyle w:val="TextoNormalSangraFrancesa"/>
        <w:rPr>
          <w:rStyle w:val="TextoNormalNegritaCaracter"/>
        </w:rPr>
      </w:pPr>
      <w:r w:rsidRPr="00BA1B56">
        <w:rPr>
          <w:rStyle w:val="TextoNormalCursivaCaracter"/>
        </w:rPr>
        <w:t>Extradición pasiva</w:t>
      </w:r>
      <w:r>
        <w:t xml:space="preserve"> véase </w:t>
      </w:r>
      <w:hyperlink w:anchor="DESCRIPTORALFABETICO962" w:history="1">
        <w:r w:rsidRPr="00BA1B56">
          <w:rPr>
            <w:rStyle w:val="TextoNormalNegritaCaracter"/>
          </w:rPr>
          <w:t>Extradición</w:t>
        </w:r>
      </w:hyperlink>
    </w:p>
    <w:p w:rsidR="00BA1B56" w:rsidRPr="00BA1B56" w:rsidRDefault="00BA1B56" w:rsidP="00BA1B56">
      <w:pPr>
        <w:pStyle w:val="TextoNormalSangraFrancesa"/>
        <w:rPr>
          <w:rStyle w:val="TextoNormalCaracter"/>
        </w:rPr>
      </w:pPr>
      <w:bookmarkStart w:id="1720" w:name="DESCRIPTORALFABETICO1002"/>
      <w:r w:rsidRPr="00BA1B56">
        <w:rPr>
          <w:rStyle w:val="TextoNormalNegritaCaracter"/>
        </w:rPr>
        <w:t>Extremadura</w:t>
      </w:r>
      <w:bookmarkEnd w:id="1720"/>
      <w:r w:rsidRPr="00BA1B56">
        <w:rPr>
          <w:rStyle w:val="TextoNormalCaracter"/>
        </w:rPr>
        <w:t xml:space="preserve">, Auto </w:t>
      </w:r>
      <w:hyperlink w:anchor="AUTO_2012_68" w:history="1">
        <w:r w:rsidRPr="00BA1B56">
          <w:rPr>
            <w:rStyle w:val="TextoNormalCaracter"/>
          </w:rPr>
          <w:t>68/2012</w:t>
        </w:r>
      </w:hyperlink>
      <w:r w:rsidRPr="00BA1B56">
        <w:rPr>
          <w:rStyle w:val="TextoNormalCaracter"/>
        </w:rPr>
        <w:t>, ff. 1 a 4.</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F</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NegritaCaracter"/>
        </w:rPr>
      </w:pPr>
      <w:r w:rsidRPr="00BA1B56">
        <w:rPr>
          <w:rStyle w:val="TextoNormalCursivaCaracter"/>
        </w:rPr>
        <w:t>Facultad sancionadora</w:t>
      </w:r>
      <w:r>
        <w:t xml:space="preserve"> véase </w:t>
      </w:r>
      <w:hyperlink w:anchor="DESCRIPTORALFABETICO428" w:history="1">
        <w:r w:rsidRPr="00BA1B56">
          <w:rPr>
            <w:rStyle w:val="TextoNormalNegritaCaracter"/>
          </w:rPr>
          <w:t>Potestad sancionadora</w:t>
        </w:r>
      </w:hyperlink>
    </w:p>
    <w:p w:rsidR="00BA1B56" w:rsidRPr="00BA1B56" w:rsidRDefault="00BA1B56" w:rsidP="00BA1B56">
      <w:pPr>
        <w:pStyle w:val="TextoNormalSangraFrancesa"/>
        <w:rPr>
          <w:rStyle w:val="TextoNormalCaracter"/>
        </w:rPr>
      </w:pPr>
      <w:bookmarkStart w:id="1721" w:name="DESCRIPTORALFABETICO462"/>
      <w:r w:rsidRPr="00BA1B56">
        <w:rPr>
          <w:rStyle w:val="TextoNormalNegritaCaracter"/>
        </w:rPr>
        <w:t>Facultades de la Mesa para la admisión de documentos</w:t>
      </w:r>
      <w:bookmarkEnd w:id="1721"/>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Facultades ejecutivas</w:t>
      </w:r>
      <w:r>
        <w:t xml:space="preserve"> véase </w:t>
      </w:r>
      <w:hyperlink w:anchor="DESCRIPTORALFABETICO15" w:history="1">
        <w:r w:rsidRPr="00BA1B56">
          <w:rPr>
            <w:rStyle w:val="TextoNormalNegritaCaracter"/>
          </w:rPr>
          <w:t>Potestades ejecutivas</w:t>
        </w:r>
      </w:hyperlink>
    </w:p>
    <w:p w:rsidR="00BA1B56" w:rsidRPr="00BA1B56" w:rsidRDefault="00BA1B56" w:rsidP="00BA1B56">
      <w:pPr>
        <w:pStyle w:val="TextoNormalSangraFrancesa"/>
        <w:rPr>
          <w:rStyle w:val="TextoNormalCaracter"/>
        </w:rPr>
      </w:pPr>
      <w:bookmarkStart w:id="1722" w:name="DESCRIPTORALFABETICO390"/>
      <w:r w:rsidRPr="00BA1B56">
        <w:rPr>
          <w:rStyle w:val="TextoNormalNegritaCaracter"/>
        </w:rPr>
        <w:t>Falta de agotamiento de la vía judicial</w:t>
      </w:r>
      <w:bookmarkEnd w:id="1722"/>
      <w:r w:rsidRPr="00BA1B56">
        <w:rPr>
          <w:rStyle w:val="TextoNormalCaracter"/>
        </w:rPr>
        <w:t xml:space="preserve">, Sentencias </w:t>
      </w:r>
      <w:hyperlink w:anchor="SENTENCIA_2012_58" w:history="1">
        <w:r w:rsidRPr="00BA1B56">
          <w:rPr>
            <w:rStyle w:val="TextoNormalCaracter"/>
          </w:rPr>
          <w:t>58/2012</w:t>
        </w:r>
      </w:hyperlink>
      <w:r w:rsidRPr="00BA1B56">
        <w:rPr>
          <w:rStyle w:val="TextoNormalCaracter"/>
        </w:rPr>
        <w:t xml:space="preserve">, f. 3; </w:t>
      </w:r>
      <w:hyperlink w:anchor="SENTENCIA_2012_60" w:history="1">
        <w:r w:rsidRPr="00BA1B56">
          <w:rPr>
            <w:rStyle w:val="TextoNormalCaracter"/>
          </w:rPr>
          <w:t>60/2012</w:t>
        </w:r>
      </w:hyperlink>
      <w:r w:rsidRPr="00BA1B56">
        <w:rPr>
          <w:rStyle w:val="TextoNormalCaracter"/>
        </w:rPr>
        <w:t xml:space="preserve">, f. 3; </w:t>
      </w:r>
      <w:hyperlink w:anchor="SENTENCIA_2012_63" w:history="1">
        <w:r w:rsidRPr="00BA1B56">
          <w:rPr>
            <w:rStyle w:val="TextoNormalCaracter"/>
          </w:rPr>
          <w:t>63/2012</w:t>
        </w:r>
      </w:hyperlink>
      <w:r w:rsidRPr="00BA1B56">
        <w:rPr>
          <w:rStyle w:val="TextoNormalCaracter"/>
        </w:rPr>
        <w:t xml:space="preserve">, f. 3;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30" w:history="1">
        <w:r w:rsidRPr="00BA1B56">
          <w:rPr>
            <w:rStyle w:val="TextoNormalCaracter"/>
          </w:rPr>
          <w:t>130/2012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723" w:name="DESCRIPTORALFABETICO767"/>
      <w:r w:rsidRPr="00BA1B56">
        <w:rPr>
          <w:rStyle w:val="TextoNormalNegritaCaracter"/>
        </w:rPr>
        <w:t>Falta de consentimiento del interesado</w:t>
      </w:r>
      <w:bookmarkEnd w:id="1723"/>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4 a 8.</w:t>
      </w:r>
    </w:p>
    <w:p w:rsidR="00BA1B56" w:rsidRPr="00BA1B56" w:rsidRDefault="00BA1B56" w:rsidP="00BA1B56">
      <w:pPr>
        <w:pStyle w:val="TextoNormalSangraFrancesa"/>
        <w:rPr>
          <w:rStyle w:val="TextoNormalCaracter"/>
        </w:rPr>
      </w:pPr>
      <w:bookmarkStart w:id="1724" w:name="DESCRIPTORALFABETICO930"/>
      <w:r w:rsidRPr="00BA1B56">
        <w:rPr>
          <w:rStyle w:val="TextoNormalNegritaCaracter"/>
        </w:rPr>
        <w:t>Falta de contradicción inicial</w:t>
      </w:r>
      <w:bookmarkEnd w:id="1724"/>
      <w:r w:rsidRPr="00BA1B56">
        <w:rPr>
          <w:rStyle w:val="TextoNormalCaracter"/>
        </w:rPr>
        <w:t xml:space="preserve">, Sentencias </w:t>
      </w:r>
      <w:hyperlink w:anchor="SENTENCIA_2012_47" w:history="1">
        <w:r w:rsidRPr="00BA1B56">
          <w:rPr>
            <w:rStyle w:val="TextoNormalCaracter"/>
          </w:rPr>
          <w:t>47/2012</w:t>
        </w:r>
      </w:hyperlink>
      <w:r w:rsidRPr="00BA1B56">
        <w:rPr>
          <w:rStyle w:val="TextoNormalCaracter"/>
        </w:rPr>
        <w:t xml:space="preserve">, f. 2; </w:t>
      </w:r>
      <w:hyperlink w:anchor="SENTENCIA_2012_50" w:history="1">
        <w:r w:rsidRPr="00BA1B56">
          <w:rPr>
            <w:rStyle w:val="TextoNormalCaracter"/>
          </w:rPr>
          <w:t>50/2012</w:t>
        </w:r>
      </w:hyperlink>
      <w:r w:rsidRPr="00BA1B56">
        <w:rPr>
          <w:rStyle w:val="TextoNormalCaracter"/>
        </w:rPr>
        <w:t xml:space="preserve">, f. 2; </w:t>
      </w:r>
      <w:hyperlink w:anchor="SENTENCIA_2012_55" w:history="1">
        <w:r w:rsidRPr="00BA1B56">
          <w:rPr>
            <w:rStyle w:val="TextoNormalCaracter"/>
          </w:rPr>
          <w:t>55/2012</w:t>
        </w:r>
      </w:hyperlink>
      <w:r w:rsidRPr="00BA1B56">
        <w:rPr>
          <w:rStyle w:val="TextoNormalCaracter"/>
        </w:rPr>
        <w:t xml:space="preserve">, f. 3; </w:t>
      </w:r>
      <w:hyperlink w:anchor="SENTENCIA_2012_108" w:history="1">
        <w:r w:rsidRPr="00BA1B56">
          <w:rPr>
            <w:rStyle w:val="TextoNormalCaracter"/>
          </w:rPr>
          <w:t>108/2012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25" w:name="DESCRIPTORALFABETICO890"/>
      <w:r w:rsidRPr="00BA1B56">
        <w:rPr>
          <w:rStyle w:val="TextoNormalNegritaCaracter"/>
        </w:rPr>
        <w:t>Falta de diligencia de los órganos judiciales</w:t>
      </w:r>
      <w:bookmarkEnd w:id="1725"/>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26" w:name="DESCRIPTORALFABETICO891"/>
      <w:r w:rsidRPr="00BA1B56">
        <w:rPr>
          <w:rStyle w:val="TextoNormalNegritaCaracter"/>
        </w:rPr>
        <w:t>Falta de diligencia procesal</w:t>
      </w:r>
      <w:bookmarkEnd w:id="1726"/>
      <w:r w:rsidRPr="00BA1B56">
        <w:rPr>
          <w:rStyle w:val="TextoNormalCaracter"/>
        </w:rPr>
        <w:t xml:space="preserve">, Sentencia </w:t>
      </w:r>
      <w:hyperlink w:anchor="SENTENCIA_2012_31" w:history="1">
        <w:r w:rsidRPr="00BA1B56">
          <w:rPr>
            <w:rStyle w:val="TextoNormalCaracter"/>
          </w:rPr>
          <w:t>31/2012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27" w:name="DESCRIPTORALFABETICO870"/>
      <w:r w:rsidRPr="00BA1B56">
        <w:rPr>
          <w:rStyle w:val="TextoNormalNegritaCaracter"/>
        </w:rPr>
        <w:t>Falta de emplazamiento personal sin relevancia constitucional</w:t>
      </w:r>
      <w:bookmarkEnd w:id="1727"/>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1728" w:name="DESCRIPTORALFABETICO879"/>
      <w:r w:rsidRPr="00BA1B56">
        <w:rPr>
          <w:rStyle w:val="TextoNormalNegritaCaracter"/>
        </w:rPr>
        <w:t>Falta de identidad procesal</w:t>
      </w:r>
      <w:bookmarkEnd w:id="1728"/>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29" w:name="DESCRIPTORALFABETICO362"/>
      <w:r w:rsidRPr="00BA1B56">
        <w:rPr>
          <w:rStyle w:val="TextoNormalNegritaCaracter"/>
        </w:rPr>
        <w:t>Falta de invocación del derecho vulnerado</w:t>
      </w:r>
      <w:bookmarkEnd w:id="1729"/>
      <w:r w:rsidRPr="00BA1B56">
        <w:rPr>
          <w:rStyle w:val="TextoNormalCaracter"/>
        </w:rPr>
        <w:t xml:space="preserve">, Sentencias </w:t>
      </w:r>
      <w:hyperlink w:anchor="SENTENCIA_2012_61" w:history="1">
        <w:r w:rsidRPr="00BA1B56">
          <w:rPr>
            <w:rStyle w:val="TextoNormalCaracter"/>
          </w:rPr>
          <w:t>61/2012</w:t>
        </w:r>
      </w:hyperlink>
      <w:r w:rsidRPr="00BA1B56">
        <w:rPr>
          <w:rStyle w:val="TextoNormalCaracter"/>
        </w:rPr>
        <w:t xml:space="preserve">, f. 5; </w:t>
      </w:r>
      <w:hyperlink w:anchor="SENTENCIA_2012_65" w:history="1">
        <w:r w:rsidRPr="00BA1B56">
          <w:rPr>
            <w:rStyle w:val="TextoNormalCaracter"/>
          </w:rPr>
          <w:t>65/2012</w:t>
        </w:r>
      </w:hyperlink>
      <w:r w:rsidRPr="00BA1B56">
        <w:rPr>
          <w:rStyle w:val="TextoNormalCaracter"/>
        </w:rPr>
        <w:t xml:space="preserve">, f. 2; </w:t>
      </w:r>
      <w:hyperlink w:anchor="SENTENCIA_2012_69" w:history="1">
        <w:r w:rsidRPr="00BA1B56">
          <w:rPr>
            <w:rStyle w:val="TextoNormalCaracter"/>
          </w:rPr>
          <w:t>69/2012</w:t>
        </w:r>
      </w:hyperlink>
      <w:r w:rsidRPr="00BA1B56">
        <w:rPr>
          <w:rStyle w:val="TextoNormalCaracter"/>
        </w:rPr>
        <w:t xml:space="preserve">, f. 2; </w:t>
      </w:r>
      <w:hyperlink w:anchor="SENTENCIA_2012_113" w:history="1">
        <w:r w:rsidRPr="00BA1B56">
          <w:rPr>
            <w:rStyle w:val="TextoNormalCaracter"/>
          </w:rPr>
          <w:t>113/2012</w:t>
        </w:r>
      </w:hyperlink>
      <w:r w:rsidRPr="00BA1B56">
        <w:rPr>
          <w:rStyle w:val="TextoNormalCaracter"/>
        </w:rPr>
        <w:t xml:space="preserve">, f. 4; </w:t>
      </w:r>
      <w:hyperlink w:anchor="SENTENCIA_2012_116" w:history="1">
        <w:r w:rsidRPr="00BA1B56">
          <w:rPr>
            <w:rStyle w:val="TextoNormalCaracter"/>
          </w:rPr>
          <w:t>116/2012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30" w:name="DESCRIPTORALFABETICO157"/>
      <w:r w:rsidRPr="00BA1B56">
        <w:rPr>
          <w:rStyle w:val="TextoNormalNegritaCaracter"/>
        </w:rPr>
        <w:t>Falta de justificación razonable del tratamiento diferenciado</w:t>
      </w:r>
      <w:bookmarkEnd w:id="1730"/>
      <w:r w:rsidRPr="00BA1B56">
        <w:rPr>
          <w:rStyle w:val="TextoNormalCaracter"/>
        </w:rPr>
        <w:t xml:space="preserve">, Sentencia </w:t>
      </w:r>
      <w:hyperlink w:anchor="SENTENCIA_2012_78" w:history="1">
        <w:r w:rsidRPr="00BA1B56">
          <w:rPr>
            <w:rStyle w:val="TextoNormalCaracter"/>
          </w:rPr>
          <w:t>78/2012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31" w:name="DESCRIPTORALFABETICO302"/>
      <w:r w:rsidRPr="00BA1B56">
        <w:rPr>
          <w:rStyle w:val="TextoNormalNegritaCaracter"/>
        </w:rPr>
        <w:t>Falta de legitimación en conflictos en defensa de la autonomía local</w:t>
      </w:r>
      <w:bookmarkEnd w:id="1731"/>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732" w:name="DESCRIPTORALFABETICO209"/>
      <w:r w:rsidRPr="00BA1B56">
        <w:rPr>
          <w:rStyle w:val="TextoNormalNegritaCaracter"/>
        </w:rPr>
        <w:lastRenderedPageBreak/>
        <w:t>Falta de motivación de las resoluciones judiciales</w:t>
      </w:r>
      <w:bookmarkEnd w:id="1732"/>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9.</w:t>
      </w:r>
    </w:p>
    <w:p w:rsidR="00BA1B56" w:rsidRPr="00BA1B56" w:rsidRDefault="00BA1B56" w:rsidP="00BA1B56">
      <w:pPr>
        <w:pStyle w:val="TextoNormalSangraFrancesa"/>
        <w:rPr>
          <w:rStyle w:val="TextoNormalCaracter"/>
        </w:rPr>
      </w:pPr>
      <w:bookmarkStart w:id="1733" w:name="DESCRIPTORALFABETICO777"/>
      <w:r w:rsidRPr="00BA1B56">
        <w:rPr>
          <w:rStyle w:val="TextoNormalNegritaCaracter"/>
        </w:rPr>
        <w:t>Falta de notificación administrativa</w:t>
      </w:r>
      <w:bookmarkEnd w:id="1733"/>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34" w:name="DESCRIPTORALFABETICO333"/>
      <w:r w:rsidRPr="00BA1B56">
        <w:rPr>
          <w:rStyle w:val="TextoNormalNegritaCaracter"/>
        </w:rPr>
        <w:t>Falta de viabilidad de la cuestión de inconstitucionalidad</w:t>
      </w:r>
      <w:bookmarkEnd w:id="1734"/>
      <w:r w:rsidRPr="00BA1B56">
        <w:rPr>
          <w:rStyle w:val="TextoNormalCaracter"/>
        </w:rPr>
        <w:t xml:space="preserve">, Sentencia </w:t>
      </w:r>
      <w:hyperlink w:anchor="SENTENCIA_2012_9" w:history="1">
        <w:r w:rsidRPr="00BA1B56">
          <w:rPr>
            <w:rStyle w:val="TextoNormalCaracter"/>
          </w:rPr>
          <w:t>9/2012</w:t>
        </w:r>
      </w:hyperlink>
      <w:r w:rsidRPr="00BA1B56">
        <w:rPr>
          <w:rStyle w:val="TextoNormalCaracter"/>
        </w:rPr>
        <w:t>, VP I.</w:t>
      </w:r>
    </w:p>
    <w:p w:rsidR="00BA1B56" w:rsidRPr="00BA1B56" w:rsidRDefault="00BA1B56" w:rsidP="00BA1B56">
      <w:pPr>
        <w:pStyle w:val="TextoNormalSangraFrancesa"/>
        <w:rPr>
          <w:rStyle w:val="TextoNormalCaracter"/>
        </w:rPr>
      </w:pPr>
      <w:bookmarkStart w:id="1735" w:name="DESCRIPTORALFABETICO531"/>
      <w:r w:rsidRPr="00BA1B56">
        <w:rPr>
          <w:rStyle w:val="TextoNormalNegritaCaracter"/>
        </w:rPr>
        <w:t>Farmacéuticos</w:t>
      </w:r>
      <w:bookmarkEnd w:id="1735"/>
      <w:r w:rsidRPr="00BA1B56">
        <w:rPr>
          <w:rStyle w:val="TextoNormalCaracter"/>
        </w:rPr>
        <w:t xml:space="preserve">, Sentencia </w:t>
      </w:r>
      <w:hyperlink w:anchor="SENTENCIA_2012_78" w:history="1">
        <w:r w:rsidRPr="00BA1B56">
          <w:rPr>
            <w:rStyle w:val="TextoNormalCaracter"/>
          </w:rPr>
          <w:t>78/2012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1736" w:name="DESCRIPTORALFABETICO635"/>
      <w:r w:rsidRPr="00BA1B56">
        <w:rPr>
          <w:rStyle w:val="TextoNormalNegritaCaracter"/>
        </w:rPr>
        <w:t>Fe pública</w:t>
      </w:r>
      <w:bookmarkEnd w:id="1736"/>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7.</w:t>
      </w:r>
    </w:p>
    <w:p w:rsidR="00BA1B56" w:rsidRPr="00BA1B56" w:rsidRDefault="00BA1B56" w:rsidP="00BA1B56">
      <w:pPr>
        <w:pStyle w:val="TextoNormalSangraFrancesa"/>
        <w:rPr>
          <w:rStyle w:val="TextoNormalCaracter"/>
        </w:rPr>
      </w:pPr>
      <w:bookmarkStart w:id="1737" w:name="DESCRIPTORALFABETICO581"/>
      <w:r w:rsidRPr="00BA1B56">
        <w:rPr>
          <w:rStyle w:val="TextoNormalNegritaCaracter"/>
        </w:rPr>
        <w:t>Federaciones deportivas</w:t>
      </w:r>
      <w:bookmarkEnd w:id="1737"/>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ff. 9, 10; </w:t>
      </w:r>
      <w:hyperlink w:anchor="SENTENCIA_2012_110" w:history="1">
        <w:r w:rsidRPr="00BA1B56">
          <w:rPr>
            <w:rStyle w:val="TextoNormalCaracter"/>
          </w:rPr>
          <w:t>110/2012</w:t>
        </w:r>
      </w:hyperlink>
      <w:r w:rsidRPr="00BA1B56">
        <w:rPr>
          <w:rStyle w:val="TextoNormalCaracter"/>
        </w:rPr>
        <w:t>, ff. 3 a 7.</w:t>
      </w:r>
    </w:p>
    <w:p w:rsidR="00BA1B56" w:rsidRPr="00BA1B56" w:rsidRDefault="00BA1B56" w:rsidP="00BA1B56">
      <w:pPr>
        <w:pStyle w:val="TextoNormalSangraFrancesa"/>
        <w:rPr>
          <w:rStyle w:val="TextoNormalCaracter"/>
        </w:rPr>
      </w:pPr>
      <w:bookmarkStart w:id="1738" w:name="DESCRIPTORALFABETICO973"/>
      <w:r w:rsidRPr="00BA1B56">
        <w:rPr>
          <w:rStyle w:val="TextoNormalNegritaCaracter"/>
        </w:rPr>
        <w:t>Fijación de fecha de licenciamiento definitivo</w:t>
      </w:r>
      <w:bookmarkEnd w:id="1738"/>
      <w:r w:rsidRPr="00BA1B56">
        <w:rPr>
          <w:rStyle w:val="TextoNormalCaracter"/>
        </w:rPr>
        <w:t xml:space="preserve">, Autos </w:t>
      </w:r>
      <w:hyperlink w:anchor="AUTO_2012_27" w:history="1">
        <w:r w:rsidRPr="00BA1B56">
          <w:rPr>
            <w:rStyle w:val="TextoNormalCaracter"/>
          </w:rPr>
          <w:t>27/2012</w:t>
        </w:r>
      </w:hyperlink>
      <w:r w:rsidRPr="00BA1B56">
        <w:rPr>
          <w:rStyle w:val="TextoNormalCaracter"/>
        </w:rPr>
        <w:t xml:space="preserve">, f. 3; </w:t>
      </w:r>
      <w:hyperlink w:anchor="AUTO_2012_71" w:history="1">
        <w:r w:rsidRPr="00BA1B56">
          <w:rPr>
            <w:rStyle w:val="TextoNormalCaracter"/>
          </w:rPr>
          <w:t>71/2012</w:t>
        </w:r>
      </w:hyperlink>
      <w:r w:rsidRPr="00BA1B56">
        <w:rPr>
          <w:rStyle w:val="TextoNormalCaracter"/>
        </w:rPr>
        <w:t xml:space="preserve">, f. único; </w:t>
      </w:r>
      <w:hyperlink w:anchor="AUTO_2012_72" w:history="1">
        <w:r w:rsidRPr="00BA1B56">
          <w:rPr>
            <w:rStyle w:val="TextoNormalCaracter"/>
          </w:rPr>
          <w:t>72/2012</w:t>
        </w:r>
      </w:hyperlink>
      <w:r w:rsidRPr="00BA1B56">
        <w:rPr>
          <w:rStyle w:val="TextoNormalCaracter"/>
        </w:rPr>
        <w:t xml:space="preserve">, f. único; </w:t>
      </w:r>
      <w:hyperlink w:anchor="AUTO_2012_73" w:history="1">
        <w:r w:rsidRPr="00BA1B56">
          <w:rPr>
            <w:rStyle w:val="TextoNormalCaracter"/>
          </w:rPr>
          <w:t>73/2012</w:t>
        </w:r>
      </w:hyperlink>
      <w:r w:rsidRPr="00BA1B56">
        <w:rPr>
          <w:rStyle w:val="TextoNormalCaracter"/>
        </w:rPr>
        <w:t xml:space="preserve">, f. único; </w:t>
      </w:r>
      <w:hyperlink w:anchor="AUTO_2012_74" w:history="1">
        <w:r w:rsidRPr="00BA1B56">
          <w:rPr>
            <w:rStyle w:val="TextoNormalCaracter"/>
          </w:rPr>
          <w:t>74/2012</w:t>
        </w:r>
      </w:hyperlink>
      <w:r w:rsidRPr="00BA1B56">
        <w:rPr>
          <w:rStyle w:val="TextoNormalCaracter"/>
        </w:rPr>
        <w:t xml:space="preserve">, f. único; </w:t>
      </w:r>
      <w:hyperlink w:anchor="AUTO_2012_75" w:history="1">
        <w:r w:rsidRPr="00BA1B56">
          <w:rPr>
            <w:rStyle w:val="TextoNormalCaracter"/>
          </w:rPr>
          <w:t>75/2012</w:t>
        </w:r>
      </w:hyperlink>
      <w:r w:rsidRPr="00BA1B56">
        <w:rPr>
          <w:rStyle w:val="TextoNormalCaracter"/>
        </w:rPr>
        <w:t xml:space="preserve">, f. único; </w:t>
      </w:r>
      <w:hyperlink w:anchor="AUTO_2012_78" w:history="1">
        <w:r w:rsidRPr="00BA1B56">
          <w:rPr>
            <w:rStyle w:val="TextoNormalCaracter"/>
          </w:rPr>
          <w:t>78/2012</w:t>
        </w:r>
      </w:hyperlink>
      <w:r w:rsidRPr="00BA1B56">
        <w:rPr>
          <w:rStyle w:val="TextoNormalCaracter"/>
        </w:rPr>
        <w:t xml:space="preserve">, f. único; </w:t>
      </w:r>
      <w:hyperlink w:anchor="AUTO_2012_79" w:history="1">
        <w:r w:rsidRPr="00BA1B56">
          <w:rPr>
            <w:rStyle w:val="TextoNormalCaracter"/>
          </w:rPr>
          <w:t>79/2012</w:t>
        </w:r>
      </w:hyperlink>
      <w:r w:rsidRPr="00BA1B56">
        <w:rPr>
          <w:rStyle w:val="TextoNormalCaracter"/>
        </w:rPr>
        <w:t xml:space="preserve">, f. único; </w:t>
      </w:r>
      <w:hyperlink w:anchor="AUTO_2012_88" w:history="1">
        <w:r w:rsidRPr="00BA1B56">
          <w:rPr>
            <w:rStyle w:val="TextoNormalCaracter"/>
          </w:rPr>
          <w:t>88/2012</w:t>
        </w:r>
      </w:hyperlink>
      <w:r w:rsidRPr="00BA1B56">
        <w:rPr>
          <w:rStyle w:val="TextoNormalCaracter"/>
        </w:rPr>
        <w:t xml:space="preserve">, f. único; </w:t>
      </w:r>
      <w:hyperlink w:anchor="AUTO_2012_89" w:history="1">
        <w:r w:rsidRPr="00BA1B56">
          <w:rPr>
            <w:rStyle w:val="TextoNormalCaracter"/>
          </w:rPr>
          <w:t>89/2012</w:t>
        </w:r>
      </w:hyperlink>
      <w:r w:rsidRPr="00BA1B56">
        <w:rPr>
          <w:rStyle w:val="TextoNormalCaracter"/>
        </w:rPr>
        <w:t xml:space="preserve">, f. único; </w:t>
      </w:r>
      <w:hyperlink w:anchor="AUTO_2012_90" w:history="1">
        <w:r w:rsidRPr="00BA1B56">
          <w:rPr>
            <w:rStyle w:val="TextoNormalCaracter"/>
          </w:rPr>
          <w:t>90/2012</w:t>
        </w:r>
      </w:hyperlink>
      <w:r w:rsidRPr="00BA1B56">
        <w:rPr>
          <w:rStyle w:val="TextoNormalCaracter"/>
        </w:rPr>
        <w:t xml:space="preserve">, f. único; </w:t>
      </w:r>
      <w:hyperlink w:anchor="AUTO_2012_91" w:history="1">
        <w:r w:rsidRPr="00BA1B56">
          <w:rPr>
            <w:rStyle w:val="TextoNormalCaracter"/>
          </w:rPr>
          <w:t>91/2012</w:t>
        </w:r>
      </w:hyperlink>
      <w:r w:rsidRPr="00BA1B56">
        <w:rPr>
          <w:rStyle w:val="TextoNormalCaracter"/>
        </w:rPr>
        <w:t xml:space="preserve">, f. único; </w:t>
      </w:r>
      <w:hyperlink w:anchor="AUTO_2012_92" w:history="1">
        <w:r w:rsidRPr="00BA1B56">
          <w:rPr>
            <w:rStyle w:val="TextoNormalCaracter"/>
          </w:rPr>
          <w:t>92/2012</w:t>
        </w:r>
      </w:hyperlink>
      <w:r w:rsidRPr="00BA1B56">
        <w:rPr>
          <w:rStyle w:val="TextoNormalCaracter"/>
        </w:rPr>
        <w:t xml:space="preserve">, f. único; </w:t>
      </w:r>
      <w:hyperlink w:anchor="AUTO_2012_93" w:history="1">
        <w:r w:rsidRPr="00BA1B56">
          <w:rPr>
            <w:rStyle w:val="TextoNormalCaracter"/>
          </w:rPr>
          <w:t>93/2012</w:t>
        </w:r>
      </w:hyperlink>
      <w:r w:rsidRPr="00BA1B56">
        <w:rPr>
          <w:rStyle w:val="TextoNormalCaracter"/>
        </w:rPr>
        <w:t xml:space="preserve">, f. único; </w:t>
      </w:r>
      <w:hyperlink w:anchor="AUTO_2012_94" w:history="1">
        <w:r w:rsidRPr="00BA1B56">
          <w:rPr>
            <w:rStyle w:val="TextoNormalCaracter"/>
          </w:rPr>
          <w:t>94/2012</w:t>
        </w:r>
      </w:hyperlink>
      <w:r w:rsidRPr="00BA1B56">
        <w:rPr>
          <w:rStyle w:val="TextoNormalCaracter"/>
        </w:rPr>
        <w:t xml:space="preserve">, f. único; </w:t>
      </w:r>
      <w:hyperlink w:anchor="AUTO_2012_95" w:history="1">
        <w:r w:rsidRPr="00BA1B56">
          <w:rPr>
            <w:rStyle w:val="TextoNormalCaracter"/>
          </w:rPr>
          <w:t>95/2012</w:t>
        </w:r>
      </w:hyperlink>
      <w:r w:rsidRPr="00BA1B56">
        <w:rPr>
          <w:rStyle w:val="TextoNormalCaracter"/>
        </w:rPr>
        <w:t xml:space="preserve">, f. único; </w:t>
      </w:r>
      <w:hyperlink w:anchor="AUTO_2012_96" w:history="1">
        <w:r w:rsidRPr="00BA1B56">
          <w:rPr>
            <w:rStyle w:val="TextoNormalCaracter"/>
          </w:rPr>
          <w:t>96/2012</w:t>
        </w:r>
      </w:hyperlink>
      <w:r w:rsidRPr="00BA1B56">
        <w:rPr>
          <w:rStyle w:val="TextoNormalCaracter"/>
        </w:rPr>
        <w:t xml:space="preserve">, f. único; </w:t>
      </w:r>
      <w:hyperlink w:anchor="AUTO_2012_97" w:history="1">
        <w:r w:rsidRPr="00BA1B56">
          <w:rPr>
            <w:rStyle w:val="TextoNormalCaracter"/>
          </w:rPr>
          <w:t>97/2012</w:t>
        </w:r>
      </w:hyperlink>
      <w:r w:rsidRPr="00BA1B56">
        <w:rPr>
          <w:rStyle w:val="TextoNormalCaracter"/>
        </w:rPr>
        <w:t xml:space="preserve">, f. único; </w:t>
      </w:r>
      <w:hyperlink w:anchor="AUTO_2012_98" w:history="1">
        <w:r w:rsidRPr="00BA1B56">
          <w:rPr>
            <w:rStyle w:val="TextoNormalCaracter"/>
          </w:rPr>
          <w:t>98/2012</w:t>
        </w:r>
      </w:hyperlink>
      <w:r w:rsidRPr="00BA1B56">
        <w:rPr>
          <w:rStyle w:val="TextoNormalCaracter"/>
        </w:rPr>
        <w:t xml:space="preserve">, f. único; </w:t>
      </w:r>
      <w:hyperlink w:anchor="AUTO_2012_99" w:history="1">
        <w:r w:rsidRPr="00BA1B56">
          <w:rPr>
            <w:rStyle w:val="TextoNormalCaracter"/>
          </w:rPr>
          <w:t>99/2012</w:t>
        </w:r>
      </w:hyperlink>
      <w:r w:rsidRPr="00BA1B56">
        <w:rPr>
          <w:rStyle w:val="TextoNormalCaracter"/>
        </w:rPr>
        <w:t xml:space="preserve">, f. único; </w:t>
      </w:r>
      <w:hyperlink w:anchor="AUTO_2012_113" w:history="1">
        <w:r w:rsidRPr="00BA1B56">
          <w:rPr>
            <w:rStyle w:val="TextoNormalCaracter"/>
          </w:rPr>
          <w:t>113/2012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739" w:name="DESCRIPTORALFABETICO89"/>
      <w:r w:rsidRPr="00BA1B56">
        <w:rPr>
          <w:rStyle w:val="TextoNormalNegritaCaracter"/>
        </w:rPr>
        <w:t>Finalidad de los tributos</w:t>
      </w:r>
      <w:bookmarkEnd w:id="1739"/>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40" w:name="DESCRIPTORALFABETICO967"/>
      <w:r w:rsidRPr="00BA1B56">
        <w:rPr>
          <w:rStyle w:val="TextoNormalNegritaCaracter"/>
        </w:rPr>
        <w:t>Finalidad legitimadora de la prisión provisional</w:t>
      </w:r>
      <w:bookmarkEnd w:id="1740"/>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ff. 3, 5.</w:t>
      </w:r>
    </w:p>
    <w:p w:rsidR="00BA1B56" w:rsidRPr="00BA1B56" w:rsidRDefault="00BA1B56" w:rsidP="00BA1B56">
      <w:pPr>
        <w:pStyle w:val="TextoNormalSangraFrancesa"/>
        <w:rPr>
          <w:rStyle w:val="TextoNormalCaracter"/>
        </w:rPr>
      </w:pPr>
      <w:bookmarkStart w:id="1741" w:name="DESCRIPTORALFABETICO367"/>
      <w:r w:rsidRPr="00BA1B56">
        <w:rPr>
          <w:rStyle w:val="TextoNormalNegritaCaracter"/>
        </w:rPr>
        <w:t>Finalidad reparadora del recurso de amparo</w:t>
      </w:r>
      <w:bookmarkEnd w:id="1741"/>
      <w:r w:rsidRPr="00BA1B56">
        <w:rPr>
          <w:rStyle w:val="TextoNormalCaracter"/>
        </w:rPr>
        <w:t xml:space="preserve">, Sentencia </w:t>
      </w:r>
      <w:hyperlink w:anchor="SENTENCIA_2012_18" w:history="1">
        <w:r w:rsidRPr="00BA1B56">
          <w:rPr>
            <w:rStyle w:val="TextoNormalCaracter"/>
          </w:rPr>
          <w:t>18/2012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Finalidad retributiva de la prisión provisional</w:t>
      </w:r>
      <w:r>
        <w:t xml:space="preserve"> véase </w:t>
      </w:r>
      <w:hyperlink w:anchor="DESCRIPTORALFABETICO967" w:history="1">
        <w:r w:rsidRPr="00BA1B56">
          <w:rPr>
            <w:rStyle w:val="TextoNormalNegritaCaracter"/>
          </w:rPr>
          <w:t>Finalidad legitimadora de la prisión provisional</w:t>
        </w:r>
      </w:hyperlink>
    </w:p>
    <w:p w:rsidR="00BA1B56" w:rsidRPr="00BA1B56" w:rsidRDefault="00BA1B56" w:rsidP="00BA1B56">
      <w:pPr>
        <w:pStyle w:val="TextoNormalSangraFrancesa"/>
        <w:rPr>
          <w:rStyle w:val="TextoNormalCaracter"/>
        </w:rPr>
      </w:pPr>
      <w:bookmarkStart w:id="1742" w:name="DESCRIPTORALFABETICO70"/>
      <w:r w:rsidRPr="00BA1B56">
        <w:rPr>
          <w:rStyle w:val="TextoNormalNegritaCaracter"/>
        </w:rPr>
        <w:t>Financiación autonómica</w:t>
      </w:r>
      <w:bookmarkEnd w:id="1742"/>
      <w:r w:rsidRPr="00BA1B56">
        <w:rPr>
          <w:rStyle w:val="TextoNormalCaracter"/>
        </w:rPr>
        <w:t xml:space="preserve">, Sentencia </w:t>
      </w:r>
      <w:hyperlink w:anchor="SENTENCIA_2012_35" w:history="1">
        <w:r w:rsidRPr="00BA1B56">
          <w:rPr>
            <w:rStyle w:val="TextoNormalCaracter"/>
          </w:rPr>
          <w:t>35/2012</w:t>
        </w:r>
      </w:hyperlink>
      <w:r w:rsidRPr="00BA1B56">
        <w:rPr>
          <w:rStyle w:val="TextoNormalCaracter"/>
        </w:rPr>
        <w:t>, ff. 7 a 9.</w:t>
      </w:r>
    </w:p>
    <w:p w:rsidR="00BA1B56" w:rsidRPr="00BA1B56" w:rsidRDefault="00BA1B56" w:rsidP="00BA1B56">
      <w:pPr>
        <w:pStyle w:val="TextoNormalSangraFrancesa"/>
        <w:rPr>
          <w:rStyle w:val="TextoNormalCaracter"/>
        </w:rPr>
      </w:pPr>
      <w:bookmarkStart w:id="1743" w:name="DESCRIPTORALFABETICO939"/>
      <w:r w:rsidRPr="00BA1B56">
        <w:rPr>
          <w:rStyle w:val="TextoNormalNegritaCaracter"/>
        </w:rPr>
        <w:t>Firmeza de las resoluciones judiciales</w:t>
      </w:r>
      <w:bookmarkEnd w:id="1743"/>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5, 7, 8; </w:t>
      </w:r>
      <w:hyperlink w:anchor="SENTENCIA_2012_40" w:history="1">
        <w:r w:rsidRPr="00BA1B56">
          <w:rPr>
            <w:rStyle w:val="TextoNormalCaracter"/>
          </w:rPr>
          <w:t>40/2012</w:t>
        </w:r>
      </w:hyperlink>
      <w:r w:rsidRPr="00BA1B56">
        <w:rPr>
          <w:rStyle w:val="TextoNormalCaracter"/>
        </w:rPr>
        <w:t xml:space="preserve">, ff. 8, 10; </w:t>
      </w:r>
      <w:hyperlink w:anchor="SENTENCIA_2012_41" w:history="1">
        <w:r w:rsidRPr="00BA1B56">
          <w:rPr>
            <w:rStyle w:val="TextoNormalCaracter"/>
          </w:rPr>
          <w:t>41/2012</w:t>
        </w:r>
      </w:hyperlink>
      <w:r w:rsidRPr="00BA1B56">
        <w:rPr>
          <w:rStyle w:val="TextoNormalCaracter"/>
        </w:rPr>
        <w:t xml:space="preserve">, f. 9, VP I, VP II, VP IV; </w:t>
      </w:r>
      <w:hyperlink w:anchor="SENTENCIA_2012_42" w:history="1">
        <w:r w:rsidRPr="00BA1B56">
          <w:rPr>
            <w:rStyle w:val="TextoNormalCaracter"/>
          </w:rPr>
          <w:t>42/2012</w:t>
        </w:r>
      </w:hyperlink>
      <w:r w:rsidRPr="00BA1B56">
        <w:rPr>
          <w:rStyle w:val="TextoNormalCaracter"/>
        </w:rPr>
        <w:t xml:space="preserve">, ff. 8, 9; </w:t>
      </w:r>
      <w:hyperlink w:anchor="SENTENCIA_2012_43" w:history="1">
        <w:r w:rsidRPr="00BA1B56">
          <w:rPr>
            <w:rStyle w:val="TextoNormalCaracter"/>
          </w:rPr>
          <w:t>43/2012</w:t>
        </w:r>
      </w:hyperlink>
      <w:r w:rsidRPr="00BA1B56">
        <w:rPr>
          <w:rStyle w:val="TextoNormalCaracter"/>
        </w:rPr>
        <w:t xml:space="preserve">, ff. 6 a 8; </w:t>
      </w:r>
      <w:hyperlink w:anchor="SENTENCIA_2012_44" w:history="1">
        <w:r w:rsidRPr="00BA1B56">
          <w:rPr>
            <w:rStyle w:val="TextoNormalCaracter"/>
          </w:rPr>
          <w:t>44/2012</w:t>
        </w:r>
      </w:hyperlink>
      <w:r w:rsidRPr="00BA1B56">
        <w:rPr>
          <w:rStyle w:val="TextoNormalCaracter"/>
        </w:rPr>
        <w:t xml:space="preserve">, ff. 4 a 6; </w:t>
      </w:r>
      <w:hyperlink w:anchor="SENTENCIA_2012_45" w:history="1">
        <w:r w:rsidRPr="00BA1B56">
          <w:rPr>
            <w:rStyle w:val="TextoNormalCaracter"/>
          </w:rPr>
          <w:t>45/2012</w:t>
        </w:r>
      </w:hyperlink>
      <w:r w:rsidRPr="00BA1B56">
        <w:rPr>
          <w:rStyle w:val="TextoNormalCaracter"/>
        </w:rPr>
        <w:t xml:space="preserve">, ff. 4 a 6; </w:t>
      </w:r>
      <w:hyperlink w:anchor="SENTENCIA_2012_46" w:history="1">
        <w:r w:rsidRPr="00BA1B56">
          <w:rPr>
            <w:rStyle w:val="TextoNormalCaracter"/>
          </w:rPr>
          <w:t>46/2012</w:t>
        </w:r>
      </w:hyperlink>
      <w:r w:rsidRPr="00BA1B56">
        <w:rPr>
          <w:rStyle w:val="TextoNormalCaracter"/>
        </w:rPr>
        <w:t xml:space="preserve">, ff. 6 a 8; </w:t>
      </w:r>
      <w:hyperlink w:anchor="SENTENCIA_2012_47" w:history="1">
        <w:r w:rsidRPr="00BA1B56">
          <w:rPr>
            <w:rStyle w:val="TextoNormalCaracter"/>
          </w:rPr>
          <w:t>47/2012</w:t>
        </w:r>
      </w:hyperlink>
      <w:r w:rsidRPr="00BA1B56">
        <w:rPr>
          <w:rStyle w:val="TextoNormalCaracter"/>
        </w:rPr>
        <w:t xml:space="preserve">, f. 6; </w:t>
      </w:r>
      <w:hyperlink w:anchor="SENTENCIA_2012_48" w:history="1">
        <w:r w:rsidRPr="00BA1B56">
          <w:rPr>
            <w:rStyle w:val="TextoNormalCaracter"/>
          </w:rPr>
          <w:t>48/2012</w:t>
        </w:r>
      </w:hyperlink>
      <w:r w:rsidRPr="00BA1B56">
        <w:rPr>
          <w:rStyle w:val="TextoNormalCaracter"/>
        </w:rPr>
        <w:t xml:space="preserve">, f. 7; </w:t>
      </w:r>
      <w:hyperlink w:anchor="SENTENCIA_2012_49" w:history="1">
        <w:r w:rsidRPr="00BA1B56">
          <w:rPr>
            <w:rStyle w:val="TextoNormalCaracter"/>
          </w:rPr>
          <w:t>49/2012</w:t>
        </w:r>
      </w:hyperlink>
      <w:r w:rsidRPr="00BA1B56">
        <w:rPr>
          <w:rStyle w:val="TextoNormalCaracter"/>
        </w:rPr>
        <w:t xml:space="preserve">, f. 7; </w:t>
      </w:r>
      <w:hyperlink w:anchor="SENTENCIA_2012_50" w:history="1">
        <w:r w:rsidRPr="00BA1B56">
          <w:rPr>
            <w:rStyle w:val="TextoNormalCaracter"/>
          </w:rPr>
          <w:t>50/2012</w:t>
        </w:r>
      </w:hyperlink>
      <w:r w:rsidRPr="00BA1B56">
        <w:rPr>
          <w:rStyle w:val="TextoNormalCaracter"/>
        </w:rPr>
        <w:t xml:space="preserve">, f. 6; </w:t>
      </w:r>
      <w:hyperlink w:anchor="SENTENCIA_2012_51" w:history="1">
        <w:r w:rsidRPr="00BA1B56">
          <w:rPr>
            <w:rStyle w:val="TextoNormalCaracter"/>
          </w:rPr>
          <w:t>51/2012</w:t>
        </w:r>
      </w:hyperlink>
      <w:r w:rsidRPr="00BA1B56">
        <w:rPr>
          <w:rStyle w:val="TextoNormalCaracter"/>
        </w:rPr>
        <w:t xml:space="preserve">, ff. 5 a 7; </w:t>
      </w:r>
      <w:hyperlink w:anchor="SENTENCIA_2012_52" w:history="1">
        <w:r w:rsidRPr="00BA1B56">
          <w:rPr>
            <w:rStyle w:val="TextoNormalCaracter"/>
          </w:rPr>
          <w:t>52/2012</w:t>
        </w:r>
      </w:hyperlink>
      <w:r w:rsidRPr="00BA1B56">
        <w:rPr>
          <w:rStyle w:val="TextoNormalCaracter"/>
        </w:rPr>
        <w:t xml:space="preserve">, ff. 4 a 6; </w:t>
      </w:r>
      <w:hyperlink w:anchor="SENTENCIA_2012_53" w:history="1">
        <w:r w:rsidRPr="00BA1B56">
          <w:rPr>
            <w:rStyle w:val="TextoNormalCaracter"/>
          </w:rPr>
          <w:t>53/2012</w:t>
        </w:r>
      </w:hyperlink>
      <w:r w:rsidRPr="00BA1B56">
        <w:rPr>
          <w:rStyle w:val="TextoNormalCaracter"/>
        </w:rPr>
        <w:t xml:space="preserve">, ff. 5 a 7; </w:t>
      </w:r>
      <w:hyperlink w:anchor="SENTENCIA_2012_54" w:history="1">
        <w:r w:rsidRPr="00BA1B56">
          <w:rPr>
            <w:rStyle w:val="TextoNormalCaracter"/>
          </w:rPr>
          <w:t>54/2012</w:t>
        </w:r>
      </w:hyperlink>
      <w:r w:rsidRPr="00BA1B56">
        <w:rPr>
          <w:rStyle w:val="TextoNormalCaracter"/>
        </w:rPr>
        <w:t xml:space="preserve">, ff. 6 a 8; </w:t>
      </w:r>
      <w:hyperlink w:anchor="SENTENCIA_2012_55" w:history="1">
        <w:r w:rsidRPr="00BA1B56">
          <w:rPr>
            <w:rStyle w:val="TextoNormalCaracter"/>
          </w:rPr>
          <w:t>55/2012</w:t>
        </w:r>
      </w:hyperlink>
      <w:r w:rsidRPr="00BA1B56">
        <w:rPr>
          <w:rStyle w:val="TextoNormalCaracter"/>
        </w:rPr>
        <w:t xml:space="preserve">, f. 8; </w:t>
      </w:r>
      <w:hyperlink w:anchor="SENTENCIA_2012_56" w:history="1">
        <w:r w:rsidRPr="00BA1B56">
          <w:rPr>
            <w:rStyle w:val="TextoNormalCaracter"/>
          </w:rPr>
          <w:t>56/2012</w:t>
        </w:r>
      </w:hyperlink>
      <w:r w:rsidRPr="00BA1B56">
        <w:rPr>
          <w:rStyle w:val="TextoNormalCaracter"/>
        </w:rPr>
        <w:t xml:space="preserve">, ff. 3 a 5; </w:t>
      </w:r>
      <w:hyperlink w:anchor="SENTENCIA_2012_57" w:history="1">
        <w:r w:rsidRPr="00BA1B56">
          <w:rPr>
            <w:rStyle w:val="TextoNormalCaracter"/>
          </w:rPr>
          <w:t>57/2012</w:t>
        </w:r>
      </w:hyperlink>
      <w:r w:rsidRPr="00BA1B56">
        <w:rPr>
          <w:rStyle w:val="TextoNormalCaracter"/>
        </w:rPr>
        <w:t xml:space="preserve">, ff. 4, 5, 7, 8; </w:t>
      </w:r>
      <w:hyperlink w:anchor="SENTENCIA_2012_59" w:history="1">
        <w:r w:rsidRPr="00BA1B56">
          <w:rPr>
            <w:rStyle w:val="TextoNormalCaracter"/>
          </w:rPr>
          <w:t>59/2012</w:t>
        </w:r>
      </w:hyperlink>
      <w:r w:rsidRPr="00BA1B56">
        <w:rPr>
          <w:rStyle w:val="TextoNormalCaracter"/>
        </w:rPr>
        <w:t xml:space="preserve">, ff. 3 a 5; </w:t>
      </w:r>
      <w:hyperlink w:anchor="SENTENCIA_2012_61" w:history="1">
        <w:r w:rsidRPr="00BA1B56">
          <w:rPr>
            <w:rStyle w:val="TextoNormalCaracter"/>
          </w:rPr>
          <w:t>61/2012</w:t>
        </w:r>
      </w:hyperlink>
      <w:r w:rsidRPr="00BA1B56">
        <w:rPr>
          <w:rStyle w:val="TextoNormalCaracter"/>
        </w:rPr>
        <w:t xml:space="preserve">, ff. 5, 6; </w:t>
      </w:r>
      <w:hyperlink w:anchor="SENTENCIA_2012_62" w:history="1">
        <w:r w:rsidRPr="00BA1B56">
          <w:rPr>
            <w:rStyle w:val="TextoNormalCaracter"/>
          </w:rPr>
          <w:t>62/2012</w:t>
        </w:r>
      </w:hyperlink>
      <w:r w:rsidRPr="00BA1B56">
        <w:rPr>
          <w:rStyle w:val="TextoNormalCaracter"/>
        </w:rPr>
        <w:t xml:space="preserve">, ff. 2, 3; </w:t>
      </w:r>
      <w:hyperlink w:anchor="SENTENCIA_2012_64" w:history="1">
        <w:r w:rsidRPr="00BA1B56">
          <w:rPr>
            <w:rStyle w:val="TextoNormalCaracter"/>
          </w:rPr>
          <w:t>64/2012</w:t>
        </w:r>
      </w:hyperlink>
      <w:r w:rsidRPr="00BA1B56">
        <w:rPr>
          <w:rStyle w:val="TextoNormalCaracter"/>
        </w:rPr>
        <w:t xml:space="preserve">, ff. 5 a 7; </w:t>
      </w:r>
      <w:hyperlink w:anchor="SENTENCIA_2012_65" w:history="1">
        <w:r w:rsidRPr="00BA1B56">
          <w:rPr>
            <w:rStyle w:val="TextoNormalCaracter"/>
          </w:rPr>
          <w:t>65/2012</w:t>
        </w:r>
      </w:hyperlink>
      <w:r w:rsidRPr="00BA1B56">
        <w:rPr>
          <w:rStyle w:val="TextoNormalCaracter"/>
        </w:rPr>
        <w:t xml:space="preserve">, ff. 6 a 8; </w:t>
      </w:r>
      <w:hyperlink w:anchor="SENTENCIA_2012_66" w:history="1">
        <w:r w:rsidRPr="00BA1B56">
          <w:rPr>
            <w:rStyle w:val="TextoNormalCaracter"/>
          </w:rPr>
          <w:t>66/2012</w:t>
        </w:r>
      </w:hyperlink>
      <w:r w:rsidRPr="00BA1B56">
        <w:rPr>
          <w:rStyle w:val="TextoNormalCaracter"/>
        </w:rPr>
        <w:t xml:space="preserve">, ff. 4 a 6; </w:t>
      </w:r>
      <w:hyperlink w:anchor="SENTENCIA_2012_67" w:history="1">
        <w:r w:rsidRPr="00BA1B56">
          <w:rPr>
            <w:rStyle w:val="TextoNormalCaracter"/>
          </w:rPr>
          <w:t>67/2012</w:t>
        </w:r>
      </w:hyperlink>
      <w:r w:rsidRPr="00BA1B56">
        <w:rPr>
          <w:rStyle w:val="TextoNormalCaracter"/>
        </w:rPr>
        <w:t xml:space="preserve">, ff. 5 a 7; </w:t>
      </w:r>
      <w:hyperlink w:anchor="SENTENCIA_2012_68" w:history="1">
        <w:r w:rsidRPr="00BA1B56">
          <w:rPr>
            <w:rStyle w:val="TextoNormalCaracter"/>
          </w:rPr>
          <w:t>68/2012</w:t>
        </w:r>
      </w:hyperlink>
      <w:r w:rsidRPr="00BA1B56">
        <w:rPr>
          <w:rStyle w:val="TextoNormalCaracter"/>
        </w:rPr>
        <w:t xml:space="preserve">, ff. 4 a 6; </w:t>
      </w:r>
      <w:hyperlink w:anchor="SENTENCIA_2012_69" w:history="1">
        <w:r w:rsidRPr="00BA1B56">
          <w:rPr>
            <w:rStyle w:val="TextoNormalCaracter"/>
          </w:rPr>
          <w:t>69/2012</w:t>
        </w:r>
      </w:hyperlink>
      <w:r w:rsidRPr="00BA1B56">
        <w:rPr>
          <w:rStyle w:val="TextoNormalCaracter"/>
        </w:rPr>
        <w:t xml:space="preserve">, ff. 6 a 8; </w:t>
      </w:r>
      <w:hyperlink w:anchor="SENTENCIA_2012_108" w:history="1">
        <w:r w:rsidRPr="00BA1B56">
          <w:rPr>
            <w:rStyle w:val="TextoNormalCaracter"/>
          </w:rPr>
          <w:t>108/2012</w:t>
        </w:r>
      </w:hyperlink>
      <w:r w:rsidRPr="00BA1B56">
        <w:rPr>
          <w:rStyle w:val="TextoNormalCaracter"/>
        </w:rPr>
        <w:t xml:space="preserve">, ff. 2, 3; </w:t>
      </w:r>
      <w:hyperlink w:anchor="SENTENCIA_2012_113" w:history="1">
        <w:r w:rsidRPr="00BA1B56">
          <w:rPr>
            <w:rStyle w:val="TextoNormalCaracter"/>
          </w:rPr>
          <w:t>113/2012</w:t>
        </w:r>
      </w:hyperlink>
      <w:r w:rsidRPr="00BA1B56">
        <w:rPr>
          <w:rStyle w:val="TextoNormalCaracter"/>
        </w:rPr>
        <w:t xml:space="preserve">, ff. 9, 11, 12; </w:t>
      </w:r>
      <w:hyperlink w:anchor="SENTENCIA_2012_114" w:history="1">
        <w:r w:rsidRPr="00BA1B56">
          <w:rPr>
            <w:rStyle w:val="TextoNormalCaracter"/>
          </w:rPr>
          <w:t>114/2012</w:t>
        </w:r>
      </w:hyperlink>
      <w:r w:rsidRPr="00BA1B56">
        <w:rPr>
          <w:rStyle w:val="TextoNormalCaracter"/>
        </w:rPr>
        <w:t>, ff. 5, 6.</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15" w:history="1">
        <w:r w:rsidRPr="00BA1B56">
          <w:rPr>
            <w:rStyle w:val="TextoNormalCaracter"/>
          </w:rPr>
          <w:t>15/2012</w:t>
        </w:r>
      </w:hyperlink>
      <w:r w:rsidRPr="00BA1B56">
        <w:rPr>
          <w:rStyle w:val="TextoNormalCaracter"/>
        </w:rPr>
        <w:t xml:space="preserve">, f. 3; </w:t>
      </w:r>
      <w:hyperlink w:anchor="AUTO_2012_22" w:history="1">
        <w:r w:rsidRPr="00BA1B56">
          <w:rPr>
            <w:rStyle w:val="TextoNormalCaracter"/>
          </w:rPr>
          <w:t>22/2012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744" w:name="DESCRIPTORALFABETICO363"/>
      <w:r w:rsidRPr="00BA1B56">
        <w:rPr>
          <w:rStyle w:val="TextoNormalNegritaCaracter"/>
        </w:rPr>
        <w:t>Flexibilidad del requisito de invocación del derecho vulnerado</w:t>
      </w:r>
      <w:bookmarkEnd w:id="1744"/>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45" w:name="DESCRIPTORALFABETICO471"/>
      <w:r w:rsidRPr="00BA1B56">
        <w:rPr>
          <w:rStyle w:val="TextoNormalNegritaCaracter"/>
        </w:rPr>
        <w:t>Fondos comunitarios</w:t>
      </w:r>
      <w:bookmarkEnd w:id="1745"/>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6.</w:t>
      </w:r>
    </w:p>
    <w:p w:rsidR="00BA1B56" w:rsidRPr="00BA1B56" w:rsidRDefault="00BA1B56" w:rsidP="00BA1B56">
      <w:pPr>
        <w:pStyle w:val="TextoNormalSangraFrancesa"/>
        <w:rPr>
          <w:rStyle w:val="TextoNormalCaracter"/>
        </w:rPr>
      </w:pPr>
      <w:bookmarkStart w:id="1746" w:name="DESCRIPTORALFABETICO834"/>
      <w:r w:rsidRPr="00BA1B56">
        <w:rPr>
          <w:rStyle w:val="TextoNormalNegritaCaracter"/>
        </w:rPr>
        <w:t>Formación continua</w:t>
      </w:r>
      <w:bookmarkEnd w:id="1746"/>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3, 7.</w:t>
      </w:r>
    </w:p>
    <w:p w:rsidR="00BA1B56" w:rsidRPr="00BA1B56" w:rsidRDefault="00BA1B56" w:rsidP="00BA1B56">
      <w:pPr>
        <w:pStyle w:val="TextoNormalSangraFrancesa"/>
        <w:rPr>
          <w:rStyle w:val="TextoNormalCaracter"/>
        </w:rPr>
      </w:pPr>
      <w:bookmarkStart w:id="1747" w:name="DESCRIPTORALFABETICO832"/>
      <w:r w:rsidRPr="00BA1B56">
        <w:rPr>
          <w:rStyle w:val="TextoNormalNegritaCaracter"/>
        </w:rPr>
        <w:t>Formación de los trabajadores</w:t>
      </w:r>
      <w:bookmarkEnd w:id="1747"/>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3, 12.</w:t>
      </w:r>
    </w:p>
    <w:p w:rsidR="00BA1B56" w:rsidRPr="00BA1B56" w:rsidRDefault="00BA1B56" w:rsidP="00BA1B56">
      <w:pPr>
        <w:pStyle w:val="TextoNormalSangraFrancesa"/>
        <w:rPr>
          <w:rStyle w:val="TextoNormalCaracter"/>
        </w:rPr>
      </w:pPr>
      <w:bookmarkStart w:id="1748" w:name="DESCRIPTORALFABETICO835"/>
      <w:r w:rsidRPr="00BA1B56">
        <w:rPr>
          <w:rStyle w:val="TextoNormalNegritaCaracter"/>
        </w:rPr>
        <w:t>Formación ocupacional</w:t>
      </w:r>
      <w:bookmarkEnd w:id="1748"/>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3, 7.</w:t>
      </w:r>
    </w:p>
    <w:p w:rsidR="00BA1B56" w:rsidRPr="00BA1B56" w:rsidRDefault="00BA1B56" w:rsidP="00BA1B56">
      <w:pPr>
        <w:pStyle w:val="TextoNormalSangraFrancesa"/>
        <w:rPr>
          <w:rStyle w:val="TextoNormalCaracter"/>
        </w:rPr>
      </w:pPr>
      <w:bookmarkStart w:id="1749" w:name="DESCRIPTORALFABETICO602"/>
      <w:r w:rsidRPr="00BA1B56">
        <w:rPr>
          <w:rStyle w:val="TextoNormalNegritaCaracter"/>
        </w:rPr>
        <w:t>Formación profesional</w:t>
      </w:r>
      <w:bookmarkEnd w:id="1749"/>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Concepto, </w:t>
      </w:r>
      <w:r w:rsidRPr="00BA1B56">
        <w:rPr>
          <w:rStyle w:val="TextoNormalCaracter"/>
        </w:rPr>
        <w:t xml:space="preserve">Sentencia </w:t>
      </w:r>
      <w:hyperlink w:anchor="SENTENCIA_2012_111" w:history="1">
        <w:r w:rsidRPr="00BA1B56">
          <w:rPr>
            <w:rStyle w:val="TextoNormalCaracter"/>
          </w:rPr>
          <w:t>111/2012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Formación profesional para el empleo</w:t>
      </w:r>
      <w:r>
        <w:t xml:space="preserve"> véase </w:t>
      </w:r>
      <w:hyperlink w:anchor="DESCRIPTORALFABETICO832" w:history="1">
        <w:r w:rsidRPr="00BA1B56">
          <w:rPr>
            <w:rStyle w:val="TextoNormalNegritaCaracter"/>
          </w:rPr>
          <w:t>Formación de los trabajadores</w:t>
        </w:r>
      </w:hyperlink>
    </w:p>
    <w:p w:rsidR="00BA1B56" w:rsidRPr="00BA1B56" w:rsidRDefault="00BA1B56" w:rsidP="00BA1B56">
      <w:pPr>
        <w:pStyle w:val="TextoNormalSangraFrancesa"/>
        <w:rPr>
          <w:rStyle w:val="TextoNormalCaracter"/>
        </w:rPr>
      </w:pPr>
      <w:bookmarkStart w:id="1750" w:name="DESCRIPTORALFABETICO463"/>
      <w:r w:rsidRPr="00BA1B56">
        <w:rPr>
          <w:rStyle w:val="TextoNormalNegritaCaracter"/>
        </w:rPr>
        <w:t>Función calificadora de la Mesa</w:t>
      </w:r>
      <w:bookmarkEnd w:id="1750"/>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51" w:name="DESCRIPTORALFABETICO627"/>
      <w:r w:rsidRPr="00BA1B56">
        <w:rPr>
          <w:rStyle w:val="TextoNormalNegritaCaracter"/>
        </w:rPr>
        <w:t>Función pública</w:t>
      </w:r>
      <w:bookmarkEnd w:id="1751"/>
      <w:r w:rsidRPr="00BA1B56">
        <w:rPr>
          <w:rStyle w:val="TextoNormalCaracter"/>
        </w:rPr>
        <w:t xml:space="preserve">, Auto </w:t>
      </w:r>
      <w:hyperlink w:anchor="AUTO_2012_68" w:history="1">
        <w:r w:rsidRPr="00BA1B56">
          <w:rPr>
            <w:rStyle w:val="TextoNormalCaracter"/>
          </w:rPr>
          <w:t>68/2012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752" w:name="DESCRIPTORALFABETICO803"/>
      <w:r w:rsidRPr="00BA1B56">
        <w:rPr>
          <w:rStyle w:val="TextoNormalNegritaCaracter"/>
        </w:rPr>
        <w:t>Funcionamiento anormal de la Administración de justicia</w:t>
      </w:r>
      <w:bookmarkEnd w:id="1752"/>
      <w:r w:rsidRPr="00BA1B56">
        <w:rPr>
          <w:rStyle w:val="TextoNormalCaracter"/>
        </w:rPr>
        <w:t xml:space="preserve">, Auto </w:t>
      </w:r>
      <w:hyperlink w:anchor="AUTO_2012_120" w:history="1">
        <w:r w:rsidRPr="00BA1B56">
          <w:rPr>
            <w:rStyle w:val="TextoNormalCaracter"/>
          </w:rPr>
          <w:t>120/2012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753" w:name="DESCRIPTORALFABETICO300"/>
      <w:r w:rsidRPr="00BA1B56">
        <w:rPr>
          <w:rStyle w:val="TextoNormalNegritaCaracter"/>
        </w:rPr>
        <w:t>Funcionamiento anormal en la tramitación de procesos constitucionales</w:t>
      </w:r>
      <w:bookmarkEnd w:id="1753"/>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Acepta, </w:t>
      </w:r>
      <w:r w:rsidRPr="00BA1B56">
        <w:rPr>
          <w:rStyle w:val="TextoNormalCaracter"/>
        </w:rPr>
        <w:t xml:space="preserve">Auto </w:t>
      </w:r>
      <w:hyperlink w:anchor="AUTO_2012_106" w:history="1">
        <w:r w:rsidRPr="00BA1B56">
          <w:rPr>
            <w:rStyle w:val="TextoNormalCaracter"/>
          </w:rPr>
          <w:t>106/2012</w:t>
        </w:r>
      </w:hyperlink>
      <w:r w:rsidRPr="00BA1B56">
        <w:rPr>
          <w:rStyle w:val="TextoNormalCaracter"/>
        </w:rPr>
        <w:t>, f. 6.</w:t>
      </w:r>
    </w:p>
    <w:p w:rsidR="00BA1B56" w:rsidRPr="00BA1B56" w:rsidRDefault="00BA1B56" w:rsidP="00BA1B56">
      <w:pPr>
        <w:pStyle w:val="TextoNormalSangraFrancesa"/>
        <w:rPr>
          <w:rStyle w:val="TextoNormalCaracter"/>
        </w:rPr>
      </w:pPr>
      <w:r w:rsidRPr="00BA1B56">
        <w:rPr>
          <w:rStyle w:val="TextoNormalCursivaCaracter"/>
        </w:rPr>
        <w:t xml:space="preserve">    Deniega, </w:t>
      </w:r>
      <w:r w:rsidRPr="00BA1B56">
        <w:rPr>
          <w:rStyle w:val="TextoNormalCaracter"/>
        </w:rPr>
        <w:t xml:space="preserve">Auto </w:t>
      </w:r>
      <w:hyperlink w:anchor="AUTO_2012_120" w:history="1">
        <w:r w:rsidRPr="00BA1B56">
          <w:rPr>
            <w:rStyle w:val="TextoNormalCaracter"/>
          </w:rPr>
          <w:t>120/2012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754" w:name="DESCRIPTORALFABETICO519"/>
      <w:r w:rsidRPr="00BA1B56">
        <w:rPr>
          <w:rStyle w:val="TextoNormalNegritaCaracter"/>
        </w:rPr>
        <w:t>Funcionamiento democrático de los órganos de gobierno de las corporaciones locales</w:t>
      </w:r>
      <w:bookmarkEnd w:id="1754"/>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755" w:name="DESCRIPTORALFABETICO633"/>
      <w:r w:rsidRPr="00BA1B56">
        <w:rPr>
          <w:rStyle w:val="TextoNormalNegritaCaracter"/>
        </w:rPr>
        <w:t>Funcionarios interinos</w:t>
      </w:r>
      <w:bookmarkEnd w:id="1755"/>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ff. 4 a 10.</w:t>
      </w:r>
    </w:p>
    <w:p w:rsidR="00BA1B56" w:rsidRPr="00BA1B56" w:rsidRDefault="00BA1B56" w:rsidP="00BA1B56">
      <w:pPr>
        <w:pStyle w:val="TextoNormalSangraFrancesa"/>
        <w:rPr>
          <w:rStyle w:val="TextoNormalCaracter"/>
        </w:rPr>
      </w:pPr>
      <w:bookmarkStart w:id="1756" w:name="DESCRIPTORALFABETICO632"/>
      <w:r w:rsidRPr="00BA1B56">
        <w:rPr>
          <w:rStyle w:val="TextoNormalNegritaCaracter"/>
        </w:rPr>
        <w:t>Funcionarios locales con habilitación nacional</w:t>
      </w:r>
      <w:bookmarkEnd w:id="1756"/>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7.</w:t>
      </w:r>
    </w:p>
    <w:p w:rsidR="00BA1B56" w:rsidRPr="00BA1B56" w:rsidRDefault="00BA1B56" w:rsidP="00BA1B56">
      <w:pPr>
        <w:pStyle w:val="TextoNormalSangraFrancesa"/>
        <w:rPr>
          <w:rStyle w:val="TextoNormalCaracter"/>
        </w:rPr>
      </w:pPr>
      <w:bookmarkStart w:id="1757" w:name="DESCRIPTORALFABETICO631"/>
      <w:r w:rsidRPr="00BA1B56">
        <w:rPr>
          <w:rStyle w:val="TextoNormalNegritaCaracter"/>
        </w:rPr>
        <w:t>Funcionarios públicos</w:t>
      </w:r>
      <w:bookmarkEnd w:id="1757"/>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xml:space="preserve">, ff. 5, 6; </w:t>
      </w:r>
      <w:hyperlink w:anchor="SENTENCIA_2012_118" w:history="1">
        <w:r w:rsidRPr="00BA1B56">
          <w:rPr>
            <w:rStyle w:val="TextoNormalCaracter"/>
          </w:rPr>
          <w:t>118/2012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758" w:name="DESCRIPTORALFABETICO634"/>
      <w:r w:rsidRPr="00BA1B56">
        <w:rPr>
          <w:rStyle w:val="TextoNormalNegritaCaracter"/>
        </w:rPr>
        <w:t>Funciones administrativas</w:t>
      </w:r>
      <w:bookmarkEnd w:id="1758"/>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7.</w:t>
      </w:r>
    </w:p>
    <w:p w:rsidR="00BA1B56" w:rsidRPr="00BA1B56" w:rsidRDefault="00BA1B56" w:rsidP="00BA1B56">
      <w:pPr>
        <w:pStyle w:val="TextoNormalSangraFrancesa"/>
        <w:rPr>
          <w:rStyle w:val="TextoNormalCaracter"/>
        </w:rPr>
      </w:pPr>
      <w:bookmarkStart w:id="1759" w:name="DESCRIPTORALFABETICO853"/>
      <w:r w:rsidRPr="00BA1B56">
        <w:rPr>
          <w:rStyle w:val="TextoNormalNegritaCaracter"/>
        </w:rPr>
        <w:t>Funciones gubernativas de jueces y magistrados</w:t>
      </w:r>
      <w:bookmarkEnd w:id="1759"/>
      <w:r w:rsidRPr="00BA1B56">
        <w:rPr>
          <w:rStyle w:val="TextoNormalCaracter"/>
        </w:rPr>
        <w:t xml:space="preserve">, Sentencia </w:t>
      </w:r>
      <w:hyperlink w:anchor="SENTENCIA_2012_7" w:history="1">
        <w:r w:rsidRPr="00BA1B56">
          <w:rPr>
            <w:rStyle w:val="TextoNormalCaracter"/>
          </w:rPr>
          <w:t>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60" w:name="DESCRIPTORALFABETICO465"/>
      <w:r w:rsidRPr="00BA1B56">
        <w:rPr>
          <w:rStyle w:val="TextoNormalNegritaCaracter"/>
        </w:rPr>
        <w:lastRenderedPageBreak/>
        <w:t>Funciones representativas</w:t>
      </w:r>
      <w:bookmarkEnd w:id="1760"/>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f. 4, VP I; </w:t>
      </w:r>
      <w:hyperlink w:anchor="SENTENCIA_2012_88" w:history="1">
        <w:r w:rsidRPr="00BA1B56">
          <w:rPr>
            <w:rStyle w:val="TextoNormalCaracter"/>
          </w:rPr>
          <w:t>88/2012</w:t>
        </w:r>
      </w:hyperlink>
      <w:r w:rsidRPr="00BA1B56">
        <w:rPr>
          <w:rStyle w:val="TextoNormalCaracter"/>
        </w:rPr>
        <w:t>, ff. 2 a 4.</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G</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761" w:name="DESCRIPTORALFABETICO1003"/>
      <w:r w:rsidRPr="00BA1B56">
        <w:rPr>
          <w:rStyle w:val="TextoNormalNegritaCaracter"/>
        </w:rPr>
        <w:t>Galicia</w:t>
      </w:r>
      <w:bookmarkEnd w:id="1761"/>
      <w:r w:rsidRPr="00BA1B56">
        <w:rPr>
          <w:rStyle w:val="TextoNormalCaracter"/>
        </w:rPr>
        <w:t xml:space="preserve">, Sentencias </w:t>
      </w:r>
      <w:hyperlink w:anchor="SENTENCIA_2012_38" w:history="1">
        <w:r w:rsidRPr="00BA1B56">
          <w:rPr>
            <w:rStyle w:val="TextoNormalCaracter"/>
          </w:rPr>
          <w:t>38/2012</w:t>
        </w:r>
      </w:hyperlink>
      <w:r w:rsidRPr="00BA1B56">
        <w:rPr>
          <w:rStyle w:val="TextoNormalCaracter"/>
        </w:rPr>
        <w:t xml:space="preserve">, ff. 3, 9;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62" w:name="DESCRIPTORALFABETICO409"/>
      <w:r w:rsidRPr="00BA1B56">
        <w:rPr>
          <w:rStyle w:val="TextoNormalNegritaCaracter"/>
        </w:rPr>
        <w:t>Garante supremo de los derechos y libertades</w:t>
      </w:r>
      <w:bookmarkEnd w:id="1762"/>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ff. 1, 12, VP I.</w:t>
      </w:r>
    </w:p>
    <w:p w:rsidR="00BA1B56" w:rsidRPr="00BA1B56" w:rsidRDefault="00BA1B56" w:rsidP="00BA1B56">
      <w:pPr>
        <w:pStyle w:val="TextoNormalSangraFrancesa"/>
        <w:rPr>
          <w:rStyle w:val="TextoNormalNegritaCaracter"/>
        </w:rPr>
      </w:pPr>
      <w:r w:rsidRPr="00BA1B56">
        <w:rPr>
          <w:rStyle w:val="TextoNormalCursivaCaracter"/>
        </w:rPr>
        <w:t>Garantía indemnizatoria</w:t>
      </w:r>
      <w:r>
        <w:t xml:space="preserve"> véase </w:t>
      </w:r>
      <w:hyperlink w:anchor="DESCRIPTORALFABETICO799" w:history="1">
        <w:r w:rsidRPr="00BA1B56">
          <w:rPr>
            <w:rStyle w:val="TextoNormalNegritaCaracter"/>
          </w:rPr>
          <w:t>Indemnización</w:t>
        </w:r>
      </w:hyperlink>
    </w:p>
    <w:p w:rsidR="00BA1B56" w:rsidRPr="00BA1B56" w:rsidRDefault="00BA1B56" w:rsidP="00BA1B56">
      <w:pPr>
        <w:pStyle w:val="TextoNormalSangraFrancesa"/>
        <w:rPr>
          <w:rStyle w:val="TextoNormalCaracter"/>
        </w:rPr>
      </w:pPr>
      <w:bookmarkStart w:id="1763" w:name="DESCRIPTORALFABETICO497"/>
      <w:r w:rsidRPr="00BA1B56">
        <w:rPr>
          <w:rStyle w:val="TextoNormalNegritaCaracter"/>
        </w:rPr>
        <w:t>Garantías constitucionales</w:t>
      </w:r>
      <w:bookmarkEnd w:id="1763"/>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1, 12, VP I; </w:t>
      </w:r>
      <w:hyperlink w:anchor="SENTENCIA_2012_138" w:history="1">
        <w:r w:rsidRPr="00BA1B56">
          <w:rPr>
            <w:rStyle w:val="TextoNormalCaracter"/>
          </w:rPr>
          <w:t>138/2012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764" w:name="DESCRIPTORALFABETICO480"/>
      <w:r w:rsidRPr="00BA1B56">
        <w:rPr>
          <w:rStyle w:val="TextoNormalNegritaCaracter"/>
        </w:rPr>
        <w:t>Garantías formales del principio de legalidad penal</w:t>
      </w:r>
      <w:bookmarkEnd w:id="1764"/>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ff. 3, 5, 6.</w:t>
      </w:r>
    </w:p>
    <w:p w:rsidR="00BA1B56" w:rsidRPr="00BA1B56" w:rsidRDefault="00BA1B56" w:rsidP="00BA1B56">
      <w:pPr>
        <w:pStyle w:val="TextoNormalSangraFrancesa"/>
        <w:rPr>
          <w:rStyle w:val="TextoNormalNegritaCaracter"/>
        </w:rPr>
      </w:pPr>
      <w:r w:rsidRPr="00BA1B56">
        <w:rPr>
          <w:rStyle w:val="TextoNormalCursivaCaracter"/>
        </w:rPr>
        <w:t>Garantías jurisdiccionales</w:t>
      </w:r>
      <w:r>
        <w:t xml:space="preserve"> véase </w:t>
      </w:r>
      <w:hyperlink w:anchor="DESCRIPTORALFABETICO227" w:history="1">
        <w:r w:rsidRPr="00BA1B56">
          <w:rPr>
            <w:rStyle w:val="TextoNormalNegritaCaracter"/>
          </w:rPr>
          <w:t>Garantías procesales</w:t>
        </w:r>
      </w:hyperlink>
    </w:p>
    <w:p w:rsidR="00BA1B56" w:rsidRPr="00BA1B56" w:rsidRDefault="00BA1B56" w:rsidP="00BA1B56">
      <w:pPr>
        <w:pStyle w:val="TextoNormalSangraFrancesa"/>
        <w:rPr>
          <w:rStyle w:val="TextoNormalCaracter"/>
        </w:rPr>
      </w:pPr>
      <w:bookmarkStart w:id="1765" w:name="DESCRIPTORALFABETICO481"/>
      <w:r w:rsidRPr="00BA1B56">
        <w:rPr>
          <w:rStyle w:val="TextoNormalNegritaCaracter"/>
        </w:rPr>
        <w:t>Garantías materiales del principio de legalidad penal</w:t>
      </w:r>
      <w:bookmarkEnd w:id="1765"/>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66" w:name="DESCRIPTORALFABETICO227"/>
      <w:r w:rsidRPr="00BA1B56">
        <w:rPr>
          <w:rStyle w:val="TextoNormalNegritaCaracter"/>
        </w:rPr>
        <w:t>Garantías procesales</w:t>
      </w:r>
      <w:bookmarkEnd w:id="1766"/>
      <w:r w:rsidRPr="00BA1B56">
        <w:rPr>
          <w:rStyle w:val="TextoNormalCaracter"/>
        </w:rPr>
        <w:t xml:space="preserve">, Sentencias </w:t>
      </w:r>
      <w:hyperlink w:anchor="SENTENCIA_2012_70" w:history="1">
        <w:r w:rsidRPr="00BA1B56">
          <w:rPr>
            <w:rStyle w:val="TextoNormalCaracter"/>
          </w:rPr>
          <w:t>70/2012</w:t>
        </w:r>
      </w:hyperlink>
      <w:r w:rsidRPr="00BA1B56">
        <w:rPr>
          <w:rStyle w:val="TextoNormalCaracter"/>
        </w:rPr>
        <w:t xml:space="preserve">, f. 5;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23" w:history="1">
        <w:r w:rsidRPr="00BA1B56">
          <w:rPr>
            <w:rStyle w:val="TextoNormalCaracter"/>
          </w:rPr>
          <w:t>123/2012</w:t>
        </w:r>
      </w:hyperlink>
      <w:r w:rsidRPr="00BA1B56">
        <w:rPr>
          <w:rStyle w:val="TextoNormalCaracter"/>
        </w:rPr>
        <w:t>, f. 2.</w:t>
      </w:r>
    </w:p>
    <w:p w:rsidR="00BA1B56" w:rsidRPr="00BA1B56" w:rsidRDefault="00BA1B56" w:rsidP="00BA1B56">
      <w:pPr>
        <w:pStyle w:val="TextoNormalSangraFrancesa"/>
        <w:rPr>
          <w:rStyle w:val="TextoNormalCaracter"/>
        </w:rPr>
      </w:pPr>
      <w:bookmarkStart w:id="1767" w:name="DESCRIPTORALFABETICO228"/>
      <w:r w:rsidRPr="00BA1B56">
        <w:rPr>
          <w:rStyle w:val="TextoNormalNegritaCaracter"/>
        </w:rPr>
        <w:t>Garantías procesales en el procedimiento administrativo sancionador</w:t>
      </w:r>
      <w:bookmarkEnd w:id="1767"/>
      <w:r w:rsidRPr="00BA1B56">
        <w:rPr>
          <w:rStyle w:val="TextoNormalCaracter"/>
        </w:rPr>
        <w:t xml:space="preserve">, Sentencia </w:t>
      </w:r>
      <w:hyperlink w:anchor="SENTENCIA_2012_90" w:history="1">
        <w:r w:rsidRPr="00BA1B56">
          <w:rPr>
            <w:rStyle w:val="TextoNormalCaracter"/>
          </w:rPr>
          <w:t>90/2012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768" w:name="DESCRIPTORALFABETICO607"/>
      <w:r w:rsidRPr="00BA1B56">
        <w:rPr>
          <w:rStyle w:val="TextoNormalNegritaCaracter"/>
        </w:rPr>
        <w:t>Gas</w:t>
      </w:r>
      <w:bookmarkEnd w:id="1768"/>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769" w:name="DESCRIPTORALFABETICO68"/>
      <w:r w:rsidRPr="00BA1B56">
        <w:rPr>
          <w:rStyle w:val="TextoNormalNegritaCaracter"/>
        </w:rPr>
        <w:t>Gasto público</w:t>
      </w:r>
      <w:bookmarkEnd w:id="1769"/>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7, 9, VP; </w:t>
      </w:r>
      <w:hyperlink w:anchor="SENTENCIA_2012_38" w:history="1">
        <w:r w:rsidRPr="00BA1B56">
          <w:rPr>
            <w:rStyle w:val="TextoNormalCaracter"/>
          </w:rPr>
          <w:t>38/2012</w:t>
        </w:r>
      </w:hyperlink>
      <w:r w:rsidRPr="00BA1B56">
        <w:rPr>
          <w:rStyle w:val="TextoNormalCaracter"/>
        </w:rPr>
        <w:t xml:space="preserve">, ff. 5 a 8;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 4; </w:t>
      </w:r>
      <w:hyperlink w:anchor="SENTENCIA_2012_77" w:history="1">
        <w:r w:rsidRPr="00BA1B56">
          <w:rPr>
            <w:rStyle w:val="TextoNormalCaracter"/>
          </w:rPr>
          <w:t>77/2012</w:t>
        </w:r>
      </w:hyperlink>
      <w:r w:rsidRPr="00BA1B56">
        <w:rPr>
          <w:rStyle w:val="TextoNormalCaracter"/>
        </w:rPr>
        <w:t xml:space="preserve">, f. 4; </w:t>
      </w:r>
      <w:hyperlink w:anchor="SENTENCIA_2012_89" w:history="1">
        <w:r w:rsidRPr="00BA1B56">
          <w:rPr>
            <w:rStyle w:val="TextoNormalCaracter"/>
          </w:rPr>
          <w:t>89/2012</w:t>
        </w:r>
      </w:hyperlink>
      <w:r w:rsidRPr="00BA1B56">
        <w:rPr>
          <w:rStyle w:val="TextoNormalCaracter"/>
        </w:rPr>
        <w:t>, ff. 6, 7.</w:t>
      </w:r>
    </w:p>
    <w:p w:rsidR="00BA1B56" w:rsidRPr="00BA1B56" w:rsidRDefault="00BA1B56" w:rsidP="00BA1B56">
      <w:pPr>
        <w:pStyle w:val="TextoNormalSangraFrancesa"/>
        <w:rPr>
          <w:rStyle w:val="TextoNormalCaracter"/>
        </w:rPr>
      </w:pPr>
      <w:bookmarkStart w:id="1770" w:name="DESCRIPTORALFABETICO621"/>
      <w:r w:rsidRPr="00BA1B56">
        <w:rPr>
          <w:rStyle w:val="TextoNormalNegritaCaracter"/>
        </w:rPr>
        <w:t>Gestión autonómica de subvenciones públicas</w:t>
      </w:r>
      <w:bookmarkEnd w:id="1770"/>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3, 7, 8, 9, 10, VP; </w:t>
      </w:r>
      <w:hyperlink w:anchor="SENTENCIA_2012_38" w:history="1">
        <w:r w:rsidRPr="00BA1B56">
          <w:rPr>
            <w:rStyle w:val="TextoNormalCaracter"/>
          </w:rPr>
          <w:t>38/2012</w:t>
        </w:r>
      </w:hyperlink>
      <w:r w:rsidRPr="00BA1B56">
        <w:rPr>
          <w:rStyle w:val="TextoNormalCaracter"/>
        </w:rPr>
        <w:t xml:space="preserve">, ff. 4 a 8; </w:t>
      </w:r>
      <w:hyperlink w:anchor="SENTENCIA_2012_72" w:history="1">
        <w:r w:rsidRPr="00BA1B56">
          <w:rPr>
            <w:rStyle w:val="TextoNormalCaracter"/>
          </w:rPr>
          <w:t>72/2012</w:t>
        </w:r>
      </w:hyperlink>
      <w:r w:rsidRPr="00BA1B56">
        <w:rPr>
          <w:rStyle w:val="TextoNormalCaracter"/>
        </w:rPr>
        <w:t xml:space="preserve">, ff. 4, 5; </w:t>
      </w:r>
      <w:hyperlink w:anchor="SENTENCIA_2012_73" w:history="1">
        <w:r w:rsidRPr="00BA1B56">
          <w:rPr>
            <w:rStyle w:val="TextoNormalCaracter"/>
          </w:rPr>
          <w:t>73/2012</w:t>
        </w:r>
      </w:hyperlink>
      <w:r w:rsidRPr="00BA1B56">
        <w:rPr>
          <w:rStyle w:val="TextoNormalCaracter"/>
        </w:rPr>
        <w:t xml:space="preserve">, f. 4; </w:t>
      </w:r>
      <w:hyperlink w:anchor="SENTENCIA_2012_77" w:history="1">
        <w:r w:rsidRPr="00BA1B56">
          <w:rPr>
            <w:rStyle w:val="TextoNormalCaracter"/>
          </w:rPr>
          <w:t>77/2012</w:t>
        </w:r>
      </w:hyperlink>
      <w:r w:rsidRPr="00BA1B56">
        <w:rPr>
          <w:rStyle w:val="TextoNormalCaracter"/>
        </w:rPr>
        <w:t xml:space="preserve">, ff. 4, 7; </w:t>
      </w:r>
      <w:hyperlink w:anchor="SENTENCIA_2012_89" w:history="1">
        <w:r w:rsidRPr="00BA1B56">
          <w:rPr>
            <w:rStyle w:val="TextoNormalCaracter"/>
          </w:rPr>
          <w:t>89/2012</w:t>
        </w:r>
      </w:hyperlink>
      <w:r w:rsidRPr="00BA1B56">
        <w:rPr>
          <w:rStyle w:val="TextoNormalCaracter"/>
        </w:rPr>
        <w:t xml:space="preserve">, ff. 2 a 7; </w:t>
      </w:r>
      <w:hyperlink w:anchor="SENTENCIA_2012_99" w:history="1">
        <w:r w:rsidRPr="00BA1B56">
          <w:rPr>
            <w:rStyle w:val="TextoNormalCaracter"/>
          </w:rPr>
          <w:t>99/2012</w:t>
        </w:r>
      </w:hyperlink>
      <w:r w:rsidRPr="00BA1B56">
        <w:rPr>
          <w:rStyle w:val="TextoNormalCaracter"/>
        </w:rPr>
        <w:t>, ff. 3, 8.</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49" w:history="1">
        <w:r w:rsidRPr="00BA1B56">
          <w:rPr>
            <w:rStyle w:val="TextoNormalCaracter"/>
          </w:rPr>
          <w:t>49/2012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771" w:name="DESCRIPTORALFABETICO620"/>
      <w:r w:rsidRPr="00BA1B56">
        <w:rPr>
          <w:rStyle w:val="TextoNormalNegritaCaracter"/>
        </w:rPr>
        <w:t>Gestión de subvenciones públicas</w:t>
      </w:r>
      <w:bookmarkEnd w:id="1771"/>
      <w:r w:rsidRPr="00BA1B56">
        <w:rPr>
          <w:rStyle w:val="TextoNormalCaracter"/>
        </w:rPr>
        <w:t xml:space="preserve">, Sentencia </w:t>
      </w:r>
      <w:hyperlink w:anchor="SENTENCIA_2012_89" w:history="1">
        <w:r w:rsidRPr="00BA1B56">
          <w:rPr>
            <w:rStyle w:val="TextoNormalCaracter"/>
          </w:rPr>
          <w:t>89/2012</w:t>
        </w:r>
      </w:hyperlink>
      <w:r w:rsidRPr="00BA1B56">
        <w:rPr>
          <w:rStyle w:val="TextoNormalCaracter"/>
        </w:rPr>
        <w:t>, ff. 3, 4, 6.</w:t>
      </w:r>
    </w:p>
    <w:p w:rsidR="00BA1B56" w:rsidRPr="00BA1B56" w:rsidRDefault="00BA1B56" w:rsidP="00BA1B56">
      <w:pPr>
        <w:pStyle w:val="TextoNormalSangraFrancesa"/>
        <w:rPr>
          <w:rStyle w:val="TextoNormalCaracter"/>
        </w:rPr>
      </w:pPr>
      <w:bookmarkStart w:id="1772" w:name="DESCRIPTORALFABETICO824"/>
      <w:r w:rsidRPr="00BA1B56">
        <w:rPr>
          <w:rStyle w:val="TextoNormalNegritaCaracter"/>
        </w:rPr>
        <w:t>Grabaciones audiovisuales ocultas</w:t>
      </w:r>
      <w:bookmarkEnd w:id="1772"/>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ff. 6, 7; </w:t>
      </w:r>
      <w:hyperlink w:anchor="SENTENCIA_2012_17" w:history="1">
        <w:r w:rsidRPr="00BA1B56">
          <w:rPr>
            <w:rStyle w:val="TextoNormalCaracter"/>
          </w:rPr>
          <w:t>17/2012</w:t>
        </w:r>
      </w:hyperlink>
      <w:r w:rsidRPr="00BA1B56">
        <w:rPr>
          <w:rStyle w:val="TextoNormalCaracter"/>
        </w:rPr>
        <w:t xml:space="preserve">, f. 1; </w:t>
      </w:r>
      <w:hyperlink w:anchor="SENTENCIA_2012_23" w:history="1">
        <w:r w:rsidRPr="00BA1B56">
          <w:rPr>
            <w:rStyle w:val="TextoNormalCaracter"/>
          </w:rPr>
          <w:t>23/2012</w:t>
        </w:r>
      </w:hyperlink>
      <w:r w:rsidRPr="00BA1B56">
        <w:rPr>
          <w:rStyle w:val="TextoNormalCaracter"/>
        </w:rPr>
        <w:t xml:space="preserve">, f. 1; </w:t>
      </w:r>
      <w:hyperlink w:anchor="SENTENCIA_2012_24" w:history="1">
        <w:r w:rsidRPr="00BA1B56">
          <w:rPr>
            <w:rStyle w:val="TextoNormalCaracter"/>
          </w:rPr>
          <w:t>24/2012</w:t>
        </w:r>
      </w:hyperlink>
      <w:r w:rsidRPr="00BA1B56">
        <w:rPr>
          <w:rStyle w:val="TextoNormalCaracter"/>
        </w:rPr>
        <w:t xml:space="preserve">, ff. 2, 3; </w:t>
      </w:r>
      <w:hyperlink w:anchor="SENTENCIA_2012_74" w:history="1">
        <w:r w:rsidRPr="00BA1B56">
          <w:rPr>
            <w:rStyle w:val="TextoNormalCaracter"/>
          </w:rPr>
          <w:t>74/2012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773" w:name="DESCRIPTORALFABETICO491"/>
      <w:r w:rsidRPr="00BA1B56">
        <w:rPr>
          <w:rStyle w:val="TextoNormalNegritaCaracter"/>
        </w:rPr>
        <w:t>Graduación de la sanción administrativa</w:t>
      </w:r>
      <w:bookmarkEnd w:id="1773"/>
      <w:r w:rsidRPr="00BA1B56">
        <w:rPr>
          <w:rStyle w:val="TextoNormalCaracter"/>
        </w:rPr>
        <w:t xml:space="preserve">, Auto </w:t>
      </w:r>
      <w:hyperlink w:anchor="AUTO_2012_34" w:history="1">
        <w:r w:rsidRPr="00BA1B56">
          <w:rPr>
            <w:rStyle w:val="TextoNormalCaracter"/>
          </w:rPr>
          <w:t>34/2012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774" w:name="DESCRIPTORALFABETICO550"/>
      <w:r w:rsidRPr="00BA1B56">
        <w:rPr>
          <w:rStyle w:val="TextoNormalNegritaCaracter"/>
        </w:rPr>
        <w:t>Grandes establecimientos comerciales</w:t>
      </w:r>
      <w:bookmarkEnd w:id="1774"/>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ff. 1 a 7.</w:t>
      </w:r>
    </w:p>
    <w:p w:rsidR="00BA1B56" w:rsidRPr="00BA1B56" w:rsidRDefault="00BA1B56" w:rsidP="00BA1B56">
      <w:pPr>
        <w:pStyle w:val="TextoNormalSangraFrancesa"/>
        <w:rPr>
          <w:rStyle w:val="TextoNormalNegritaCaracter"/>
        </w:rPr>
      </w:pPr>
      <w:r w:rsidRPr="00BA1B56">
        <w:rPr>
          <w:rStyle w:val="TextoNormalCursivaCaracter"/>
        </w:rPr>
        <w:t>Grandes superficies comerciales</w:t>
      </w:r>
      <w:r>
        <w:t xml:space="preserve"> véase </w:t>
      </w:r>
      <w:hyperlink w:anchor="DESCRIPTORALFABETICO550" w:history="1">
        <w:r w:rsidRPr="00BA1B56">
          <w:rPr>
            <w:rStyle w:val="TextoNormalNegritaCaracter"/>
          </w:rPr>
          <w:t>Grandes establecimientos comerciales</w:t>
        </w:r>
      </w:hyperlink>
    </w:p>
    <w:p w:rsidR="00BA1B56" w:rsidRPr="00BA1B56" w:rsidRDefault="00BA1B56" w:rsidP="00BA1B56">
      <w:pPr>
        <w:pStyle w:val="TextoNormalSangraFrancesa"/>
        <w:rPr>
          <w:rStyle w:val="TextoNormalCaracter"/>
        </w:rPr>
      </w:pPr>
      <w:bookmarkStart w:id="1775" w:name="DESCRIPTORALFABETICO290"/>
      <w:r w:rsidRPr="00BA1B56">
        <w:rPr>
          <w:rStyle w:val="TextoNormalNegritaCaracter"/>
        </w:rPr>
        <w:t>Gravedad de la pena</w:t>
      </w:r>
      <w:bookmarkEnd w:id="1775"/>
      <w:r w:rsidRPr="00BA1B56">
        <w:rPr>
          <w:rStyle w:val="TextoNormalCaracter"/>
        </w:rPr>
        <w:t xml:space="preserve">, Autos </w:t>
      </w:r>
      <w:hyperlink w:anchor="AUTO_2012_25" w:history="1">
        <w:r w:rsidRPr="00BA1B56">
          <w:rPr>
            <w:rStyle w:val="TextoNormalCaracter"/>
          </w:rPr>
          <w:t>25/2012</w:t>
        </w:r>
      </w:hyperlink>
      <w:r w:rsidRPr="00BA1B56">
        <w:rPr>
          <w:rStyle w:val="TextoNormalCaracter"/>
        </w:rPr>
        <w:t xml:space="preserve">, f. 3; </w:t>
      </w:r>
      <w:hyperlink w:anchor="AUTO_2012_44" w:history="1">
        <w:r w:rsidRPr="00BA1B56">
          <w:rPr>
            <w:rStyle w:val="TextoNormalCaracter"/>
          </w:rPr>
          <w:t>44/2012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776" w:name="DESCRIPTORALFABETICO523"/>
      <w:r w:rsidRPr="00BA1B56">
        <w:rPr>
          <w:rStyle w:val="TextoNormalNegritaCaracter"/>
        </w:rPr>
        <w:t>Grupo municipal mixto</w:t>
      </w:r>
      <w:bookmarkEnd w:id="1776"/>
      <w:r w:rsidRPr="00BA1B56">
        <w:rPr>
          <w:rStyle w:val="TextoNormalCaracter"/>
        </w:rPr>
        <w:t xml:space="preserve">, Sentencia </w:t>
      </w:r>
      <w:hyperlink w:anchor="SENTENCIA_2012_117" w:history="1">
        <w:r w:rsidRPr="00BA1B56">
          <w:rPr>
            <w:rStyle w:val="TextoNormalCaracter"/>
          </w:rPr>
          <w:t>117/2012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777" w:name="DESCRIPTORALFABETICO522"/>
      <w:r w:rsidRPr="00BA1B56">
        <w:rPr>
          <w:rStyle w:val="TextoNormalNegritaCaracter"/>
        </w:rPr>
        <w:t>Grupos municipales</w:t>
      </w:r>
      <w:bookmarkEnd w:id="1777"/>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 8.</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H</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778" w:name="DESCRIPTORALFABETICO166"/>
      <w:r w:rsidRPr="00BA1B56">
        <w:rPr>
          <w:rStyle w:val="TextoNormalNegritaCaracter"/>
          <w:i/>
        </w:rPr>
        <w:t>Habeas corpus</w:t>
      </w:r>
      <w:bookmarkEnd w:id="1778"/>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779" w:name="DESCRIPTORALFABETICO186"/>
      <w:r w:rsidRPr="00BA1B56">
        <w:rPr>
          <w:rStyle w:val="TextoNormalNegritaCaracter"/>
          <w:i/>
        </w:rPr>
        <w:t>Habeas data</w:t>
      </w:r>
      <w:bookmarkEnd w:id="1779"/>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6.</w:t>
      </w:r>
    </w:p>
    <w:p w:rsidR="00BA1B56" w:rsidRPr="00BA1B56" w:rsidRDefault="00BA1B56" w:rsidP="00BA1B56">
      <w:pPr>
        <w:pStyle w:val="TextoNormalSangraFrancesa"/>
        <w:rPr>
          <w:rStyle w:val="TextoNormalCaracter"/>
        </w:rPr>
      </w:pPr>
      <w:bookmarkStart w:id="1780" w:name="DESCRIPTORALFABETICO75"/>
      <w:r w:rsidRPr="00BA1B56">
        <w:rPr>
          <w:rStyle w:val="TextoNormalNegritaCaracter"/>
        </w:rPr>
        <w:t>Hacienda estatal</w:t>
      </w:r>
      <w:bookmarkEnd w:id="1780"/>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2, 4, 5.</w:t>
      </w:r>
    </w:p>
    <w:p w:rsidR="00BA1B56" w:rsidRPr="00BA1B56" w:rsidRDefault="00BA1B56" w:rsidP="00BA1B56">
      <w:pPr>
        <w:pStyle w:val="TextoNormalSangraFrancesa"/>
        <w:rPr>
          <w:rStyle w:val="TextoNormalCaracter"/>
        </w:rPr>
      </w:pPr>
      <w:bookmarkStart w:id="1781" w:name="DESCRIPTORALFABETICO76"/>
      <w:r w:rsidRPr="00BA1B56">
        <w:rPr>
          <w:rStyle w:val="TextoNormalNegritaCaracter"/>
        </w:rPr>
        <w:t>Hacienda general</w:t>
      </w:r>
      <w:bookmarkEnd w:id="1781"/>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2, 4, 5.</w:t>
      </w:r>
    </w:p>
    <w:p w:rsidR="00BA1B56" w:rsidRPr="00BA1B56" w:rsidRDefault="00BA1B56" w:rsidP="00BA1B56">
      <w:pPr>
        <w:pStyle w:val="TextoNormalSangraFrancesa"/>
        <w:rPr>
          <w:rStyle w:val="TextoNormalCaracter"/>
        </w:rPr>
      </w:pPr>
      <w:bookmarkStart w:id="1782" w:name="DESCRIPTORALFABETICO77"/>
      <w:r w:rsidRPr="00BA1B56">
        <w:rPr>
          <w:rStyle w:val="TextoNormalNegritaCaracter"/>
        </w:rPr>
        <w:t>Hacienda local</w:t>
      </w:r>
      <w:bookmarkEnd w:id="1782"/>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 6.</w:t>
      </w:r>
    </w:p>
    <w:p w:rsidR="00BA1B56" w:rsidRPr="00BA1B56" w:rsidRDefault="00BA1B56" w:rsidP="00BA1B56">
      <w:pPr>
        <w:pStyle w:val="TextoNormalSangraFrancesa"/>
        <w:rPr>
          <w:rStyle w:val="TextoNormalCaracter"/>
        </w:rPr>
      </w:pPr>
      <w:bookmarkStart w:id="1783" w:name="DESCRIPTORALFABETICO87"/>
      <w:r w:rsidRPr="00BA1B56">
        <w:rPr>
          <w:rStyle w:val="TextoNormalNegritaCaracter"/>
        </w:rPr>
        <w:t>Hecho imponible</w:t>
      </w:r>
      <w:bookmarkEnd w:id="1783"/>
      <w:r w:rsidRPr="00BA1B56">
        <w:rPr>
          <w:rStyle w:val="TextoNormalCaracter"/>
        </w:rPr>
        <w:t xml:space="preserve">, Sentencias </w:t>
      </w:r>
      <w:hyperlink w:anchor="SENTENCIA_2012_122" w:history="1">
        <w:r w:rsidRPr="00BA1B56">
          <w:rPr>
            <w:rStyle w:val="TextoNormalCaracter"/>
          </w:rPr>
          <w:t>122/2012</w:t>
        </w:r>
      </w:hyperlink>
      <w:r w:rsidRPr="00BA1B56">
        <w:rPr>
          <w:rStyle w:val="TextoNormalCaracter"/>
        </w:rPr>
        <w:t xml:space="preserve">, ff. 3 a 5; </w:t>
      </w:r>
      <w:hyperlink w:anchor="SENTENCIA_2012_136" w:history="1">
        <w:r w:rsidRPr="00BA1B56">
          <w:rPr>
            <w:rStyle w:val="TextoNormalCaracter"/>
          </w:rPr>
          <w:t>136/2012</w:t>
        </w:r>
      </w:hyperlink>
      <w:r w:rsidRPr="00BA1B56">
        <w:rPr>
          <w:rStyle w:val="TextoNormalCaracter"/>
        </w:rPr>
        <w:t>, ff. 7, 8.</w:t>
      </w:r>
    </w:p>
    <w:p w:rsidR="00BA1B56" w:rsidRPr="00BA1B56" w:rsidRDefault="00BA1B56" w:rsidP="00BA1B56">
      <w:pPr>
        <w:pStyle w:val="TextoNormalSangraFrancesa"/>
        <w:rPr>
          <w:rStyle w:val="TextoNormalCaracter"/>
        </w:rPr>
      </w:pPr>
      <w:bookmarkStart w:id="1784" w:name="DESCRIPTORALFABETICO604"/>
      <w:r w:rsidRPr="00BA1B56">
        <w:rPr>
          <w:rStyle w:val="TextoNormalNegritaCaracter"/>
        </w:rPr>
        <w:t>Homologación de títulos académicos</w:t>
      </w:r>
      <w:bookmarkEnd w:id="1784"/>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85" w:name="DESCRIPTORALFABETICO551"/>
      <w:r w:rsidRPr="00BA1B56">
        <w:rPr>
          <w:rStyle w:val="TextoNormalNegritaCaracter"/>
        </w:rPr>
        <w:t>Horarios comerciales</w:t>
      </w:r>
      <w:bookmarkEnd w:id="1785"/>
      <w:r w:rsidRPr="00BA1B56">
        <w:rPr>
          <w:rStyle w:val="TextoNormalCaracter"/>
        </w:rPr>
        <w:t xml:space="preserve">, Sentencias </w:t>
      </w:r>
      <w:hyperlink w:anchor="SENTENCIA_2012_26" w:history="1">
        <w:r w:rsidRPr="00BA1B56">
          <w:rPr>
            <w:rStyle w:val="TextoNormalCaracter"/>
          </w:rPr>
          <w:t>26/2012</w:t>
        </w:r>
      </w:hyperlink>
      <w:r w:rsidRPr="00BA1B56">
        <w:rPr>
          <w:rStyle w:val="TextoNormalCaracter"/>
        </w:rPr>
        <w:t xml:space="preserve">, ff. 6 a 9; </w:t>
      </w:r>
      <w:hyperlink w:anchor="SENTENCIA_2012_86" w:history="1">
        <w:r w:rsidRPr="00BA1B56">
          <w:rPr>
            <w:rStyle w:val="TextoNormalCaracter"/>
          </w:rPr>
          <w:t>86/2012</w:t>
        </w:r>
      </w:hyperlink>
      <w:r w:rsidRPr="00BA1B56">
        <w:rPr>
          <w:rStyle w:val="TextoNormalCaracter"/>
        </w:rPr>
        <w:t>, f. 3.</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I</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786" w:name="DESCRIPTORALFABETICO488"/>
      <w:r w:rsidRPr="00BA1B56">
        <w:rPr>
          <w:rStyle w:val="TextoNormalNegritaCaracter"/>
        </w:rPr>
        <w:t>Identidad subjetiva</w:t>
      </w:r>
      <w:bookmarkEnd w:id="1786"/>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ff. 1 a 3.</w:t>
      </w:r>
    </w:p>
    <w:p w:rsidR="00BA1B56" w:rsidRPr="00BA1B56" w:rsidRDefault="00BA1B56" w:rsidP="00BA1B56">
      <w:pPr>
        <w:pStyle w:val="TextoNormalSangraFrancesa"/>
        <w:rPr>
          <w:rStyle w:val="TextoNormalNegritaCaracter"/>
        </w:rPr>
      </w:pPr>
      <w:r w:rsidRPr="00BA1B56">
        <w:rPr>
          <w:rStyle w:val="TextoNormalCursivaCaracter"/>
        </w:rPr>
        <w:t>Igualdad básica de los españoles</w:t>
      </w:r>
      <w:r>
        <w:t xml:space="preserve"> véase </w:t>
      </w:r>
      <w:hyperlink w:anchor="DESCRIPTORALFABETICO57" w:history="1">
        <w:r w:rsidRPr="00BA1B56">
          <w:rPr>
            <w:rStyle w:val="TextoNormalNegritaCaracter"/>
          </w:rPr>
          <w:t>Competencias en materia de regulación de condiciones básicas de igualdad</w:t>
        </w:r>
      </w:hyperlink>
    </w:p>
    <w:p w:rsidR="00BA1B56" w:rsidRPr="00BA1B56" w:rsidRDefault="00BA1B56" w:rsidP="00BA1B56">
      <w:pPr>
        <w:pStyle w:val="TextoNormalSangraFrancesa"/>
        <w:rPr>
          <w:rStyle w:val="TextoNormalCaracter"/>
        </w:rPr>
      </w:pPr>
      <w:bookmarkStart w:id="1787" w:name="DESCRIPTORALFABETICO249"/>
      <w:r w:rsidRPr="00BA1B56">
        <w:rPr>
          <w:rStyle w:val="TextoNormalNegritaCaracter"/>
        </w:rPr>
        <w:t>Igualdad de trato de los sindicatos</w:t>
      </w:r>
      <w:bookmarkEnd w:id="1787"/>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6, 7.</w:t>
      </w:r>
    </w:p>
    <w:p w:rsidR="00BA1B56" w:rsidRPr="00BA1B56" w:rsidRDefault="00BA1B56" w:rsidP="00BA1B56">
      <w:pPr>
        <w:pStyle w:val="TextoNormalSangraFrancesa"/>
        <w:rPr>
          <w:rStyle w:val="TextoNormalCaracter"/>
        </w:rPr>
      </w:pPr>
      <w:bookmarkStart w:id="1788" w:name="DESCRIPTORALFABETICO145"/>
      <w:r w:rsidRPr="00BA1B56">
        <w:rPr>
          <w:rStyle w:val="TextoNormalNegritaCaracter"/>
        </w:rPr>
        <w:t>Igualdad en el acceso a la función pública</w:t>
      </w:r>
      <w:bookmarkEnd w:id="1788"/>
      <w:r w:rsidRPr="00BA1B56">
        <w:rPr>
          <w:rStyle w:val="TextoNormalCaracter"/>
        </w:rPr>
        <w:t xml:space="preserve">, Sentencias </w:t>
      </w:r>
      <w:hyperlink w:anchor="SENTENCIA_2012_27" w:history="1">
        <w:r w:rsidRPr="00BA1B56">
          <w:rPr>
            <w:rStyle w:val="TextoNormalCaracter"/>
          </w:rPr>
          <w:t>27/2012</w:t>
        </w:r>
      </w:hyperlink>
      <w:r w:rsidRPr="00BA1B56">
        <w:rPr>
          <w:rStyle w:val="TextoNormalCaracter"/>
        </w:rPr>
        <w:t xml:space="preserve">, ff. 5, 6, 10; </w:t>
      </w:r>
      <w:hyperlink w:anchor="SENTENCIA_2012_29" w:history="1">
        <w:r w:rsidRPr="00BA1B56">
          <w:rPr>
            <w:rStyle w:val="TextoNormalCaracter"/>
          </w:rPr>
          <w:t>29/2012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1789" w:name="DESCRIPTORALFABETICO151"/>
      <w:r w:rsidRPr="00BA1B56">
        <w:rPr>
          <w:rStyle w:val="TextoNormalNegritaCaracter"/>
        </w:rPr>
        <w:t>Igualdad en el ejercicio de cargos públicos</w:t>
      </w:r>
      <w:bookmarkEnd w:id="1789"/>
      <w:r w:rsidRPr="00BA1B56">
        <w:rPr>
          <w:rStyle w:val="TextoNormalCaracter"/>
        </w:rPr>
        <w:t xml:space="preserve">, Sentencia </w:t>
      </w:r>
      <w:hyperlink w:anchor="SENTENCIA_2012_9" w:history="1">
        <w:r w:rsidRPr="00BA1B56">
          <w:rPr>
            <w:rStyle w:val="TextoNormalCaracter"/>
          </w:rPr>
          <w:t>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790" w:name="DESCRIPTORALFABETICO154"/>
      <w:r w:rsidRPr="00BA1B56">
        <w:rPr>
          <w:rStyle w:val="TextoNormalNegritaCaracter"/>
        </w:rPr>
        <w:t>Igualdad en la ley</w:t>
      </w:r>
      <w:bookmarkEnd w:id="1790"/>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6.</w:t>
      </w:r>
    </w:p>
    <w:p w:rsidR="00BA1B56" w:rsidRPr="00BA1B56" w:rsidRDefault="00BA1B56" w:rsidP="00BA1B56">
      <w:pPr>
        <w:pStyle w:val="TextoNormalSangraFrancesa"/>
        <w:rPr>
          <w:rStyle w:val="TextoNormalNegritaCaracter"/>
        </w:rPr>
      </w:pPr>
      <w:r w:rsidRPr="00BA1B56">
        <w:rPr>
          <w:rStyle w:val="TextoNormalCursivaCaracter"/>
        </w:rPr>
        <w:t>Igualdad en materia tributaria</w:t>
      </w:r>
      <w:r>
        <w:t xml:space="preserve"> véase </w:t>
      </w:r>
      <w:hyperlink w:anchor="DESCRIPTORALFABETICO474" w:history="1">
        <w:r w:rsidRPr="00BA1B56">
          <w:rPr>
            <w:rStyle w:val="TextoNormalNegritaCaracter"/>
          </w:rPr>
          <w:t>Igualdad tributaria</w:t>
        </w:r>
      </w:hyperlink>
    </w:p>
    <w:p w:rsidR="00BA1B56" w:rsidRPr="00BA1B56" w:rsidRDefault="00BA1B56" w:rsidP="00BA1B56">
      <w:pPr>
        <w:pStyle w:val="TextoNormalSangraFrancesa"/>
        <w:rPr>
          <w:rStyle w:val="TextoNormalCaracter"/>
        </w:rPr>
      </w:pPr>
      <w:bookmarkStart w:id="1791" w:name="DESCRIPTORALFABETICO474"/>
      <w:r w:rsidRPr="00BA1B56">
        <w:rPr>
          <w:rStyle w:val="TextoNormalNegritaCaracter"/>
        </w:rPr>
        <w:t>Igualdad tributaria</w:t>
      </w:r>
      <w:bookmarkEnd w:id="1791"/>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3 a 9.</w:t>
      </w:r>
    </w:p>
    <w:p w:rsidR="00BA1B56" w:rsidRPr="00BA1B56" w:rsidRDefault="00BA1B56" w:rsidP="00BA1B56">
      <w:pPr>
        <w:pStyle w:val="TextoNormalSangraFrancesa"/>
        <w:rPr>
          <w:rStyle w:val="TextoNormalCaracter"/>
        </w:rPr>
      </w:pPr>
      <w:bookmarkStart w:id="1792" w:name="DESCRIPTORALFABETICO416"/>
      <w:r w:rsidRPr="00BA1B56">
        <w:rPr>
          <w:rStyle w:val="TextoNormalNegritaCaracter"/>
        </w:rPr>
        <w:t>Ilegalización de partidos políticos</w:t>
      </w:r>
      <w:bookmarkEnd w:id="1792"/>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3, 6, 9 a 15, VP I, VP II, VP III.</w:t>
      </w:r>
    </w:p>
    <w:p w:rsidR="00BA1B56" w:rsidRPr="00BA1B56" w:rsidRDefault="00BA1B56" w:rsidP="00BA1B56">
      <w:pPr>
        <w:pStyle w:val="TextoNormalSangraFrancesa"/>
        <w:rPr>
          <w:rStyle w:val="TextoNormalCaracter"/>
        </w:rPr>
      </w:pPr>
      <w:bookmarkStart w:id="1793" w:name="DESCRIPTORALFABETICO485"/>
      <w:r w:rsidRPr="00BA1B56">
        <w:rPr>
          <w:rStyle w:val="TextoNormalNegritaCaracter"/>
        </w:rPr>
        <w:t>Ilícito administrativo</w:t>
      </w:r>
      <w:bookmarkEnd w:id="1793"/>
      <w:r w:rsidRPr="00BA1B56">
        <w:rPr>
          <w:rStyle w:val="TextoNormalCaracter"/>
        </w:rPr>
        <w:t xml:space="preserve">, Sentencia </w:t>
      </w:r>
      <w:hyperlink w:anchor="SENTENCIA_2012_90" w:history="1">
        <w:r w:rsidRPr="00BA1B56">
          <w:rPr>
            <w:rStyle w:val="TextoNormalCaracter"/>
          </w:rPr>
          <w:t>90/2012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94" w:name="DESCRIPTORALFABETICO180"/>
      <w:r w:rsidRPr="00BA1B56">
        <w:rPr>
          <w:rStyle w:val="TextoNormalNegritaCaracter"/>
        </w:rPr>
        <w:t>Imagen profesional</w:t>
      </w:r>
      <w:bookmarkEnd w:id="1794"/>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 5.</w:t>
      </w:r>
    </w:p>
    <w:p w:rsidR="00BA1B56" w:rsidRPr="00BA1B56" w:rsidRDefault="00BA1B56" w:rsidP="00BA1B56">
      <w:pPr>
        <w:pStyle w:val="TextoNormalSangraFrancesa"/>
        <w:rPr>
          <w:rStyle w:val="TextoNormalCaracter"/>
        </w:rPr>
      </w:pPr>
      <w:bookmarkStart w:id="1795" w:name="DESCRIPTORALFABETICO495"/>
      <w:r w:rsidRPr="00BA1B56">
        <w:rPr>
          <w:rStyle w:val="TextoNormalNegritaCaracter"/>
        </w:rPr>
        <w:t>Imperio de la ley</w:t>
      </w:r>
      <w:bookmarkEnd w:id="1795"/>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 5; </w:t>
      </w:r>
      <w:hyperlink w:anchor="SENTENCIA_2012_75" w:history="1">
        <w:r w:rsidRPr="00BA1B56">
          <w:rPr>
            <w:rStyle w:val="TextoNormalCaracter"/>
          </w:rPr>
          <w:t>75/2012</w:t>
        </w:r>
      </w:hyperlink>
      <w:r w:rsidRPr="00BA1B56">
        <w:rPr>
          <w:rStyle w:val="TextoNormalCaracter"/>
        </w:rPr>
        <w:t xml:space="preserve">, f. 3; </w:t>
      </w:r>
      <w:hyperlink w:anchor="SENTENCIA_2012_91" w:history="1">
        <w:r w:rsidRPr="00BA1B56">
          <w:rPr>
            <w:rStyle w:val="TextoNormalCaracter"/>
          </w:rPr>
          <w:t>91/2012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Imposición de costas procesales</w:t>
      </w:r>
      <w:r>
        <w:t xml:space="preserve"> véase </w:t>
      </w:r>
      <w:hyperlink w:anchor="DESCRIPTORALFABETICO881" w:history="1">
        <w:r w:rsidRPr="00BA1B56">
          <w:rPr>
            <w:rStyle w:val="TextoNormalNegritaCaracter"/>
          </w:rPr>
          <w:t>Condena en costas procesales</w:t>
        </w:r>
      </w:hyperlink>
    </w:p>
    <w:p w:rsidR="00BA1B56" w:rsidRPr="00BA1B56" w:rsidRDefault="00BA1B56" w:rsidP="00BA1B56">
      <w:pPr>
        <w:pStyle w:val="TextoNormalSangraFrancesa"/>
        <w:rPr>
          <w:rStyle w:val="TextoNormalCaracter"/>
        </w:rPr>
      </w:pPr>
      <w:bookmarkStart w:id="1796" w:name="DESCRIPTORALFABETICO104"/>
      <w:r w:rsidRPr="00BA1B56">
        <w:rPr>
          <w:rStyle w:val="TextoNormalNegritaCaracter"/>
        </w:rPr>
        <w:t>Impuesto sobre actividades económicas</w:t>
      </w:r>
      <w:bookmarkEnd w:id="1796"/>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ff. 6, 7.</w:t>
      </w:r>
    </w:p>
    <w:p w:rsidR="00BA1B56" w:rsidRPr="00BA1B56" w:rsidRDefault="00BA1B56" w:rsidP="00BA1B56">
      <w:pPr>
        <w:pStyle w:val="TextoNormalSangraFrancesa"/>
        <w:rPr>
          <w:rStyle w:val="TextoNormalCaracter"/>
        </w:rPr>
      </w:pPr>
      <w:bookmarkStart w:id="1797" w:name="DESCRIPTORALFABETICO105"/>
      <w:r w:rsidRPr="00BA1B56">
        <w:rPr>
          <w:rStyle w:val="TextoNormalNegritaCaracter"/>
        </w:rPr>
        <w:t>Impuesto sobre bienes inmuebles</w:t>
      </w:r>
      <w:bookmarkEnd w:id="1797"/>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ff. 1, 5, 7.</w:t>
      </w:r>
    </w:p>
    <w:p w:rsidR="00BA1B56" w:rsidRPr="00BA1B56" w:rsidRDefault="00BA1B56" w:rsidP="00BA1B56">
      <w:pPr>
        <w:pStyle w:val="TextoNormalSangraFrancesa"/>
        <w:rPr>
          <w:rStyle w:val="TextoNormalCaracter"/>
        </w:rPr>
      </w:pPr>
      <w:bookmarkStart w:id="1798" w:name="DESCRIPTORALFABETICO106"/>
      <w:r w:rsidRPr="00BA1B56">
        <w:rPr>
          <w:rStyle w:val="TextoNormalNegritaCaracter"/>
        </w:rPr>
        <w:t>Impuesto sobre grandes establecimientos comerciales</w:t>
      </w:r>
      <w:bookmarkEnd w:id="1798"/>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ff. 1, 2, 5 a 7.</w:t>
      </w:r>
    </w:p>
    <w:p w:rsidR="00BA1B56" w:rsidRPr="00BA1B56" w:rsidRDefault="00BA1B56" w:rsidP="00BA1B56">
      <w:pPr>
        <w:pStyle w:val="TextoNormalSangraFrancesa"/>
        <w:rPr>
          <w:rStyle w:val="TextoNormalCaracter"/>
        </w:rPr>
      </w:pPr>
      <w:bookmarkStart w:id="1799" w:name="DESCRIPTORALFABETICO107"/>
      <w:r w:rsidRPr="00BA1B56">
        <w:rPr>
          <w:rStyle w:val="TextoNormalNegritaCaracter"/>
        </w:rPr>
        <w:t>Impuesto sobre instalaciones que incidan en el medio ambiente</w:t>
      </w:r>
      <w:bookmarkEnd w:id="1799"/>
      <w:r w:rsidRPr="00BA1B56">
        <w:rPr>
          <w:rStyle w:val="TextoNormalCaracter"/>
        </w:rPr>
        <w:t xml:space="preserve">, Sentencia </w:t>
      </w:r>
      <w:hyperlink w:anchor="SENTENCIA_2012_13" w:history="1">
        <w:r w:rsidRPr="00BA1B56">
          <w:rPr>
            <w:rStyle w:val="TextoNormalCaracter"/>
          </w:rPr>
          <w:t>13/2012</w:t>
        </w:r>
      </w:hyperlink>
      <w:r w:rsidRPr="00BA1B56">
        <w:rPr>
          <w:rStyle w:val="TextoNormalCaracter"/>
        </w:rPr>
        <w:t>, ff. 3 a 5.</w:t>
      </w:r>
    </w:p>
    <w:p w:rsidR="00BA1B56" w:rsidRPr="00BA1B56" w:rsidRDefault="00BA1B56" w:rsidP="00BA1B56">
      <w:pPr>
        <w:pStyle w:val="TextoNormalSangraFrancesa"/>
        <w:rPr>
          <w:rStyle w:val="TextoNormalCaracter"/>
        </w:rPr>
      </w:pPr>
      <w:bookmarkStart w:id="1800" w:name="DESCRIPTORALFABETICO108"/>
      <w:r w:rsidRPr="00BA1B56">
        <w:rPr>
          <w:rStyle w:val="TextoNormalNegritaCaracter"/>
        </w:rPr>
        <w:t>Impuesto sobre la renta de las personas físicas</w:t>
      </w:r>
      <w:bookmarkEnd w:id="1800"/>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3, 4, 5, 6, 7, 8, 9.</w:t>
      </w:r>
    </w:p>
    <w:p w:rsidR="00BA1B56" w:rsidRPr="00BA1B56" w:rsidRDefault="00BA1B56" w:rsidP="00BA1B56">
      <w:pPr>
        <w:pStyle w:val="TextoNormalSangraFrancesa"/>
        <w:rPr>
          <w:rStyle w:val="TextoNormalCaracter"/>
        </w:rPr>
      </w:pPr>
      <w:bookmarkStart w:id="1801" w:name="DESCRIPTORALFABETICO102"/>
      <w:r w:rsidRPr="00BA1B56">
        <w:rPr>
          <w:rStyle w:val="TextoNormalNegritaCaracter"/>
        </w:rPr>
        <w:t>Impuestos</w:t>
      </w:r>
      <w:bookmarkEnd w:id="1801"/>
      <w:r w:rsidRPr="00BA1B56">
        <w:rPr>
          <w:rStyle w:val="TextoNormalCaracter"/>
        </w:rPr>
        <w:t xml:space="preserve">, Sentencia </w:t>
      </w:r>
      <w:hyperlink w:anchor="SENTENCIA_2012_35" w:history="1">
        <w:r w:rsidRPr="00BA1B56">
          <w:rPr>
            <w:rStyle w:val="TextoNormalCaracter"/>
          </w:rPr>
          <w:t>35/2012</w:t>
        </w:r>
      </w:hyperlink>
      <w:r w:rsidRPr="00BA1B56">
        <w:rPr>
          <w:rStyle w:val="TextoNormalCaracter"/>
        </w:rPr>
        <w:t>, ff. 6 a 9.</w:t>
      </w:r>
    </w:p>
    <w:p w:rsidR="00BA1B56" w:rsidRPr="00BA1B56" w:rsidRDefault="00BA1B56" w:rsidP="00BA1B56">
      <w:pPr>
        <w:pStyle w:val="TextoNormalSangraFrancesa"/>
        <w:rPr>
          <w:rStyle w:val="TextoNormalCaracter"/>
        </w:rPr>
      </w:pPr>
      <w:bookmarkStart w:id="1802" w:name="DESCRIPTORALFABETICO123"/>
      <w:r w:rsidRPr="00BA1B56">
        <w:rPr>
          <w:rStyle w:val="TextoNormalNegritaCaracter"/>
        </w:rPr>
        <w:t>Impuestos autonómicos</w:t>
      </w:r>
      <w:bookmarkEnd w:id="1802"/>
      <w:r w:rsidRPr="00BA1B56">
        <w:rPr>
          <w:rStyle w:val="TextoNormalCaracter"/>
        </w:rPr>
        <w:t xml:space="preserve">, Sentencias </w:t>
      </w:r>
      <w:hyperlink w:anchor="SENTENCIA_2012_35" w:history="1">
        <w:r w:rsidRPr="00BA1B56">
          <w:rPr>
            <w:rStyle w:val="TextoNormalCaracter"/>
          </w:rPr>
          <w:t>35/2012</w:t>
        </w:r>
      </w:hyperlink>
      <w:r w:rsidRPr="00BA1B56">
        <w:rPr>
          <w:rStyle w:val="TextoNormalCaracter"/>
        </w:rPr>
        <w:t xml:space="preserve">, ff. 6 a 9; </w:t>
      </w:r>
      <w:hyperlink w:anchor="SENTENCIA_2012_122" w:history="1">
        <w:r w:rsidRPr="00BA1B56">
          <w:rPr>
            <w:rStyle w:val="TextoNormalCaracter"/>
          </w:rPr>
          <w:t>122/2012</w:t>
        </w:r>
      </w:hyperlink>
      <w:r w:rsidRPr="00BA1B56">
        <w:rPr>
          <w:rStyle w:val="TextoNormalCaracter"/>
        </w:rPr>
        <w:t>, ff. 1, 2, 5 a 7.</w:t>
      </w:r>
    </w:p>
    <w:p w:rsidR="00BA1B56" w:rsidRPr="00BA1B56" w:rsidRDefault="00BA1B56" w:rsidP="00BA1B56">
      <w:pPr>
        <w:pStyle w:val="TextoNormalSangraFrancesa"/>
        <w:rPr>
          <w:rStyle w:val="TextoNormalNegritaCaracter"/>
        </w:rPr>
      </w:pPr>
      <w:r w:rsidRPr="00BA1B56">
        <w:rPr>
          <w:rStyle w:val="TextoNormalCursivaCaracter"/>
        </w:rPr>
        <w:t>Impuestos propios</w:t>
      </w:r>
      <w:r>
        <w:t xml:space="preserve"> véase </w:t>
      </w:r>
      <w:hyperlink w:anchor="DESCRIPTORALFABETICO123" w:history="1">
        <w:r w:rsidRPr="00BA1B56">
          <w:rPr>
            <w:rStyle w:val="TextoNormalNegritaCaracter"/>
          </w:rPr>
          <w:t>Impuestos autonómicos</w:t>
        </w:r>
      </w:hyperlink>
    </w:p>
    <w:p w:rsidR="00BA1B56" w:rsidRPr="00BA1B56" w:rsidRDefault="00BA1B56" w:rsidP="00BA1B56">
      <w:pPr>
        <w:pStyle w:val="TextoNormalSangraFrancesa"/>
        <w:rPr>
          <w:rStyle w:val="TextoNormalCaracter"/>
        </w:rPr>
      </w:pPr>
      <w:bookmarkStart w:id="1803" w:name="DESCRIPTORALFABETICO371"/>
      <w:r w:rsidRPr="00BA1B56">
        <w:rPr>
          <w:rStyle w:val="TextoNormalNegritaCaracter"/>
        </w:rPr>
        <w:t>Impugnación indirecta de reglamentos</w:t>
      </w:r>
      <w:bookmarkEnd w:id="1803"/>
      <w:r w:rsidRPr="00BA1B56">
        <w:rPr>
          <w:rStyle w:val="TextoNormalCaracter"/>
        </w:rPr>
        <w:t xml:space="preserve">, Sentencia </w:t>
      </w:r>
      <w:hyperlink w:anchor="SENTENCIA_2012_106" w:history="1">
        <w:r w:rsidRPr="00BA1B56">
          <w:rPr>
            <w:rStyle w:val="TextoNormalCaracter"/>
          </w:rPr>
          <w:t>106/2012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04" w:name="DESCRIPTORALFABETICO301"/>
      <w:r w:rsidRPr="00BA1B56">
        <w:rPr>
          <w:rStyle w:val="TextoNormalNegritaCaracter"/>
        </w:rPr>
        <w:t>Inadecuación de procedimiento constitucional</w:t>
      </w:r>
      <w:bookmarkEnd w:id="1804"/>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 f. 5.</w:t>
      </w:r>
    </w:p>
    <w:p w:rsidR="00BA1B56" w:rsidRPr="00BA1B56" w:rsidRDefault="00BA1B56" w:rsidP="00BA1B56">
      <w:pPr>
        <w:pStyle w:val="TextoNormalSangraFrancesa"/>
        <w:rPr>
          <w:rStyle w:val="TextoNormalCaracter"/>
        </w:rPr>
      </w:pPr>
      <w:bookmarkStart w:id="1805" w:name="DESCRIPTORALFABETICO169"/>
      <w:r w:rsidRPr="00BA1B56">
        <w:rPr>
          <w:rStyle w:val="TextoNormalNegritaCaracter"/>
        </w:rPr>
        <w:t xml:space="preserve">Inadmisión a trámite de </w:t>
      </w:r>
      <w:r w:rsidRPr="00BA1B56">
        <w:rPr>
          <w:rStyle w:val="TextoNormalNegritaCaracter"/>
          <w:i/>
        </w:rPr>
        <w:t>habeas corpus</w:t>
      </w:r>
      <w:bookmarkEnd w:id="1805"/>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ff. 4, 7.</w:t>
      </w:r>
    </w:p>
    <w:p w:rsidR="00BA1B56" w:rsidRPr="00BA1B56" w:rsidRDefault="00BA1B56" w:rsidP="00BA1B56">
      <w:pPr>
        <w:pStyle w:val="TextoNormalSangraFrancesa"/>
        <w:rPr>
          <w:rStyle w:val="TextoNormalCaracter"/>
        </w:rPr>
      </w:pPr>
      <w:bookmarkStart w:id="1806" w:name="DESCRIPTORALFABETICO319"/>
      <w:r w:rsidRPr="00BA1B56">
        <w:rPr>
          <w:rStyle w:val="TextoNormalNegritaCaracter"/>
        </w:rPr>
        <w:t>Inadmisión de conflictos en defensa de la autonomía local</w:t>
      </w:r>
      <w:bookmarkEnd w:id="1806"/>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2, 3, 4.</w:t>
      </w:r>
    </w:p>
    <w:p w:rsidR="00BA1B56" w:rsidRPr="00BA1B56" w:rsidRDefault="00BA1B56" w:rsidP="00BA1B56">
      <w:pPr>
        <w:pStyle w:val="TextoNormalSangraFrancesa"/>
        <w:rPr>
          <w:rStyle w:val="TextoNormalCaracter"/>
        </w:rPr>
      </w:pPr>
      <w:bookmarkStart w:id="1807" w:name="DESCRIPTORALFABETICO330"/>
      <w:r w:rsidRPr="00BA1B56">
        <w:rPr>
          <w:rStyle w:val="TextoNormalNegritaCaracter"/>
        </w:rPr>
        <w:t>Inadmisión de cuestión de inconstitucionalidad</w:t>
      </w:r>
      <w:bookmarkEnd w:id="1807"/>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39" w:history="1">
        <w:r w:rsidRPr="00BA1B56">
          <w:rPr>
            <w:rStyle w:val="TextoNormalCaracter"/>
          </w:rPr>
          <w:t>39/2012</w:t>
        </w:r>
      </w:hyperlink>
      <w:r w:rsidRPr="00BA1B56">
        <w:rPr>
          <w:rStyle w:val="TextoNormalCaracter"/>
        </w:rPr>
        <w:t xml:space="preserve">, ff. 4, 5; </w:t>
      </w:r>
      <w:hyperlink w:anchor="AUTO_2012_109" w:history="1">
        <w:r w:rsidRPr="00BA1B56">
          <w:rPr>
            <w:rStyle w:val="TextoNormalCaracter"/>
          </w:rPr>
          <w:t>109/2012</w:t>
        </w:r>
      </w:hyperlink>
      <w:r w:rsidRPr="00BA1B56">
        <w:rPr>
          <w:rStyle w:val="TextoNormalCaracter"/>
        </w:rPr>
        <w:t xml:space="preserve">, f. 3; </w:t>
      </w:r>
      <w:hyperlink w:anchor="AUTO_2012_110" w:history="1">
        <w:r w:rsidRPr="00BA1B56">
          <w:rPr>
            <w:rStyle w:val="TextoNormalCaracter"/>
          </w:rPr>
          <w:t>110/2012</w:t>
        </w:r>
      </w:hyperlink>
      <w:r w:rsidRPr="00BA1B56">
        <w:rPr>
          <w:rStyle w:val="TextoNormalCaracter"/>
        </w:rPr>
        <w:t xml:space="preserve">, f. 3; </w:t>
      </w:r>
      <w:hyperlink w:anchor="AUTO_2012_119" w:history="1">
        <w:r w:rsidRPr="00BA1B56">
          <w:rPr>
            <w:rStyle w:val="TextoNormalCaracter"/>
          </w:rPr>
          <w:t>119/2012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08" w:name="DESCRIPTORALFABETICO334"/>
      <w:r w:rsidRPr="00BA1B56">
        <w:rPr>
          <w:rStyle w:val="TextoNormalNegritaCaracter"/>
        </w:rPr>
        <w:t>Inadmisión de cuestión de inconstitucionalidad por falta de requisitos procesales</w:t>
      </w:r>
      <w:bookmarkEnd w:id="1808"/>
      <w:r w:rsidRPr="00BA1B56">
        <w:rPr>
          <w:rStyle w:val="TextoNormalCaracter"/>
        </w:rPr>
        <w:t xml:space="preserve">, Autos </w:t>
      </w:r>
      <w:hyperlink w:anchor="AUTO_2012_35" w:history="1">
        <w:r w:rsidRPr="00BA1B56">
          <w:rPr>
            <w:rStyle w:val="TextoNormalCaracter"/>
          </w:rPr>
          <w:t>35/2012</w:t>
        </w:r>
      </w:hyperlink>
      <w:r w:rsidRPr="00BA1B56">
        <w:rPr>
          <w:rStyle w:val="TextoNormalCaracter"/>
        </w:rPr>
        <w:t xml:space="preserve">, f. 2; </w:t>
      </w:r>
      <w:hyperlink w:anchor="AUTO_2012_109" w:history="1">
        <w:r w:rsidRPr="00BA1B56">
          <w:rPr>
            <w:rStyle w:val="TextoNormalCaracter"/>
          </w:rPr>
          <w:t>109/2012</w:t>
        </w:r>
      </w:hyperlink>
      <w:r w:rsidRPr="00BA1B56">
        <w:rPr>
          <w:rStyle w:val="TextoNormalCaracter"/>
        </w:rPr>
        <w:t xml:space="preserve">, f. 3; </w:t>
      </w:r>
      <w:hyperlink w:anchor="AUTO_2012_110" w:history="1">
        <w:r w:rsidRPr="00BA1B56">
          <w:rPr>
            <w:rStyle w:val="TextoNormalCaracter"/>
          </w:rPr>
          <w:t>110/2012</w:t>
        </w:r>
      </w:hyperlink>
      <w:r w:rsidRPr="00BA1B56">
        <w:rPr>
          <w:rStyle w:val="TextoNormalCaracter"/>
        </w:rPr>
        <w:t xml:space="preserve">, f. 3; </w:t>
      </w:r>
      <w:hyperlink w:anchor="AUTO_2012_127" w:history="1">
        <w:r w:rsidRPr="00BA1B56">
          <w:rPr>
            <w:rStyle w:val="TextoNormalCaracter"/>
          </w:rPr>
          <w:t>127/2012</w:t>
        </w:r>
      </w:hyperlink>
      <w:r w:rsidRPr="00BA1B56">
        <w:rPr>
          <w:rStyle w:val="TextoNormalCaracter"/>
        </w:rPr>
        <w:t xml:space="preserve">, f. 2; </w:t>
      </w:r>
      <w:hyperlink w:anchor="AUTO_2012_128" w:history="1">
        <w:r w:rsidRPr="00BA1B56">
          <w:rPr>
            <w:rStyle w:val="TextoNormalCaracter"/>
          </w:rPr>
          <w:t>128/2012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09" w:name="DESCRIPTORALFABETICO335"/>
      <w:r w:rsidRPr="00BA1B56">
        <w:rPr>
          <w:rStyle w:val="TextoNormalNegritaCaracter"/>
        </w:rPr>
        <w:t>Inadmisión de cuestión de inconstitucionalidad por sentencia</w:t>
      </w:r>
      <w:bookmarkEnd w:id="1809"/>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10" w:name="DESCRIPTORALFABETICO943"/>
      <w:r w:rsidRPr="00BA1B56">
        <w:rPr>
          <w:rStyle w:val="TextoNormalNegritaCaracter"/>
        </w:rPr>
        <w:t>Inadmisión de demanda civil</w:t>
      </w:r>
      <w:bookmarkEnd w:id="1810"/>
      <w:r w:rsidRPr="00BA1B56">
        <w:rPr>
          <w:rStyle w:val="TextoNormalCaracter"/>
        </w:rPr>
        <w:t xml:space="preserve">, Sentencia </w:t>
      </w:r>
      <w:hyperlink w:anchor="SENTENCIA_2012_20" w:history="1">
        <w:r w:rsidRPr="00BA1B56">
          <w:rPr>
            <w:rStyle w:val="TextoNormalCaracter"/>
          </w:rPr>
          <w:t>20/2012</w:t>
        </w:r>
      </w:hyperlink>
      <w:r w:rsidRPr="00BA1B56">
        <w:rPr>
          <w:rStyle w:val="TextoNormalCaracter"/>
        </w:rPr>
        <w:t>, ff. 3, 5 a 9, 11.</w:t>
      </w:r>
    </w:p>
    <w:p w:rsidR="00BA1B56" w:rsidRPr="00BA1B56" w:rsidRDefault="00BA1B56" w:rsidP="00BA1B56">
      <w:pPr>
        <w:pStyle w:val="TextoNormalSangraFrancesa"/>
        <w:rPr>
          <w:rStyle w:val="TextoNormalCaracter"/>
        </w:rPr>
      </w:pPr>
      <w:bookmarkStart w:id="1811" w:name="DESCRIPTORALFABETICO953"/>
      <w:r w:rsidRPr="00BA1B56">
        <w:rPr>
          <w:rStyle w:val="TextoNormalNegritaCaracter"/>
        </w:rPr>
        <w:t>Inadmisión de recurso contencioso-administrativo</w:t>
      </w:r>
      <w:bookmarkEnd w:id="1811"/>
      <w:r w:rsidRPr="00BA1B56">
        <w:rPr>
          <w:rStyle w:val="TextoNormalCaracter"/>
        </w:rPr>
        <w:t xml:space="preserve">, Sentencia </w:t>
      </w:r>
      <w:hyperlink w:anchor="SENTENCIA_2012_116" w:history="1">
        <w:r w:rsidRPr="00BA1B56">
          <w:rPr>
            <w:rStyle w:val="TextoNormalCaracter"/>
          </w:rPr>
          <w:t>116/2012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12" w:name="DESCRIPTORALFABETICO387"/>
      <w:r w:rsidRPr="00BA1B56">
        <w:rPr>
          <w:rStyle w:val="TextoNormalNegritaCaracter"/>
        </w:rPr>
        <w:t>Inadmisión de recurso de amparo</w:t>
      </w:r>
      <w:bookmarkEnd w:id="1812"/>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ff. 2, 3; </w:t>
      </w:r>
      <w:hyperlink w:anchor="SENTENCIA_2012_23" w:history="1">
        <w:r w:rsidRPr="00BA1B56">
          <w:rPr>
            <w:rStyle w:val="TextoNormalCaracter"/>
          </w:rPr>
          <w:t>23/2012</w:t>
        </w:r>
      </w:hyperlink>
      <w:r w:rsidRPr="00BA1B56">
        <w:rPr>
          <w:rStyle w:val="TextoNormalCaracter"/>
        </w:rPr>
        <w:t xml:space="preserve">, f. 3; </w:t>
      </w:r>
      <w:hyperlink w:anchor="SENTENCIA_2012_58" w:history="1">
        <w:r w:rsidRPr="00BA1B56">
          <w:rPr>
            <w:rStyle w:val="TextoNormalCaracter"/>
          </w:rPr>
          <w:t>58/2012</w:t>
        </w:r>
      </w:hyperlink>
      <w:r w:rsidRPr="00BA1B56">
        <w:rPr>
          <w:rStyle w:val="TextoNormalCaracter"/>
        </w:rPr>
        <w:t xml:space="preserve">, f. 3; </w:t>
      </w:r>
      <w:hyperlink w:anchor="SENTENCIA_2012_60" w:history="1">
        <w:r w:rsidRPr="00BA1B56">
          <w:rPr>
            <w:rStyle w:val="TextoNormalCaracter"/>
          </w:rPr>
          <w:t>60/2012</w:t>
        </w:r>
      </w:hyperlink>
      <w:r w:rsidRPr="00BA1B56">
        <w:rPr>
          <w:rStyle w:val="TextoNormalCaracter"/>
        </w:rPr>
        <w:t xml:space="preserve">, f. 3; </w:t>
      </w:r>
      <w:hyperlink w:anchor="SENTENCIA_2012_63" w:history="1">
        <w:r w:rsidRPr="00BA1B56">
          <w:rPr>
            <w:rStyle w:val="TextoNormalCaracter"/>
          </w:rPr>
          <w:t>63/2012</w:t>
        </w:r>
      </w:hyperlink>
      <w:r w:rsidRPr="00BA1B56">
        <w:rPr>
          <w:rStyle w:val="TextoNormalCaracter"/>
        </w:rPr>
        <w:t xml:space="preserve">, f. 3; </w:t>
      </w:r>
      <w:hyperlink w:anchor="SENTENCIA_2012_113" w:history="1">
        <w:r w:rsidRPr="00BA1B56">
          <w:rPr>
            <w:rStyle w:val="TextoNormalCaracter"/>
          </w:rPr>
          <w:t>113/2012</w:t>
        </w:r>
      </w:hyperlink>
      <w:r w:rsidRPr="00BA1B56">
        <w:rPr>
          <w:rStyle w:val="TextoNormalCaracter"/>
        </w:rPr>
        <w:t xml:space="preserve">, f. 2;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7" w:history="1">
        <w:r w:rsidRPr="00BA1B56">
          <w:rPr>
            <w:rStyle w:val="TextoNormalCaracter"/>
          </w:rPr>
          <w:t>7/2012</w:t>
        </w:r>
      </w:hyperlink>
      <w:r w:rsidRPr="00BA1B56">
        <w:rPr>
          <w:rStyle w:val="TextoNormalCaracter"/>
        </w:rPr>
        <w:t xml:space="preserve">, f. 2; </w:t>
      </w:r>
      <w:hyperlink w:anchor="AUTO_2012_11" w:history="1">
        <w:r w:rsidRPr="00BA1B56">
          <w:rPr>
            <w:rStyle w:val="TextoNormalCaracter"/>
          </w:rPr>
          <w:t>11/2012</w:t>
        </w:r>
      </w:hyperlink>
      <w:r w:rsidRPr="00BA1B56">
        <w:rPr>
          <w:rStyle w:val="TextoNormalCaracter"/>
        </w:rPr>
        <w:t xml:space="preserve">, f. 2; </w:t>
      </w:r>
      <w:hyperlink w:anchor="AUTO_2012_26" w:history="1">
        <w:r w:rsidRPr="00BA1B56">
          <w:rPr>
            <w:rStyle w:val="TextoNormalCaracter"/>
          </w:rPr>
          <w:t>26/2012</w:t>
        </w:r>
      </w:hyperlink>
      <w:r w:rsidRPr="00BA1B56">
        <w:rPr>
          <w:rStyle w:val="TextoNormalCaracter"/>
        </w:rPr>
        <w:t xml:space="preserve">, f. 3; </w:t>
      </w:r>
      <w:hyperlink w:anchor="AUTO_2012_42" w:history="1">
        <w:r w:rsidRPr="00BA1B56">
          <w:rPr>
            <w:rStyle w:val="TextoNormalCaracter"/>
          </w:rPr>
          <w:t>42/2012</w:t>
        </w:r>
      </w:hyperlink>
      <w:r w:rsidRPr="00BA1B56">
        <w:rPr>
          <w:rStyle w:val="TextoNormalCaracter"/>
        </w:rPr>
        <w:t xml:space="preserve">, ff. 2, 3; </w:t>
      </w:r>
      <w:hyperlink w:anchor="AUTO_2012_106" w:history="1">
        <w:r w:rsidRPr="00BA1B56">
          <w:rPr>
            <w:rStyle w:val="TextoNormalCaracter"/>
          </w:rPr>
          <w:t>106/2012</w:t>
        </w:r>
      </w:hyperlink>
      <w:r w:rsidRPr="00BA1B56">
        <w:rPr>
          <w:rStyle w:val="TextoNormalCaracter"/>
        </w:rPr>
        <w:t xml:space="preserve">, f. 5; </w:t>
      </w:r>
      <w:hyperlink w:anchor="AUTO_2012_130" w:history="1">
        <w:r w:rsidRPr="00BA1B56">
          <w:rPr>
            <w:rStyle w:val="TextoNormalCaracter"/>
          </w:rPr>
          <w:t>130/2012</w:t>
        </w:r>
      </w:hyperlink>
      <w:r w:rsidRPr="00BA1B56">
        <w:rPr>
          <w:rStyle w:val="TextoNormalCaracter"/>
        </w:rPr>
        <w:t xml:space="preserve">, f. único; </w:t>
      </w:r>
      <w:hyperlink w:anchor="AUTO_2012_132" w:history="1">
        <w:r w:rsidRPr="00BA1B56">
          <w:rPr>
            <w:rStyle w:val="TextoNormalCaracter"/>
          </w:rPr>
          <w:t>132/2012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813" w:name="DESCRIPTORALFABETICO391"/>
      <w:r w:rsidRPr="00BA1B56">
        <w:rPr>
          <w:rStyle w:val="TextoNormalNegritaCaracter"/>
        </w:rPr>
        <w:lastRenderedPageBreak/>
        <w:t>Inadmisión de recurso de amparo por Auto</w:t>
      </w:r>
      <w:bookmarkEnd w:id="1813"/>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 5.</w:t>
      </w:r>
    </w:p>
    <w:p w:rsidR="00BA1B56" w:rsidRPr="00BA1B56" w:rsidRDefault="00BA1B56" w:rsidP="00BA1B56">
      <w:pPr>
        <w:pStyle w:val="TextoNormalSangraFrancesa"/>
        <w:rPr>
          <w:rStyle w:val="TextoNormalCaracter"/>
        </w:rPr>
      </w:pPr>
      <w:bookmarkStart w:id="1814" w:name="DESCRIPTORALFABETICO392"/>
      <w:r w:rsidRPr="00BA1B56">
        <w:rPr>
          <w:rStyle w:val="TextoNormalNegritaCaracter"/>
        </w:rPr>
        <w:t>Inadmisión de recurso de amparo por sentencia</w:t>
      </w:r>
      <w:bookmarkEnd w:id="1814"/>
      <w:r w:rsidRPr="00BA1B56">
        <w:rPr>
          <w:rStyle w:val="TextoNormalCaracter"/>
        </w:rPr>
        <w:t xml:space="preserve">, Sentencias </w:t>
      </w:r>
      <w:hyperlink w:anchor="SENTENCIA_2012_58" w:history="1">
        <w:r w:rsidRPr="00BA1B56">
          <w:rPr>
            <w:rStyle w:val="TextoNormalCaracter"/>
          </w:rPr>
          <w:t>58/2012</w:t>
        </w:r>
      </w:hyperlink>
      <w:r w:rsidRPr="00BA1B56">
        <w:rPr>
          <w:rStyle w:val="TextoNormalCaracter"/>
        </w:rPr>
        <w:t xml:space="preserve">, ff. 2, 3; </w:t>
      </w:r>
      <w:hyperlink w:anchor="SENTENCIA_2012_60" w:history="1">
        <w:r w:rsidRPr="00BA1B56">
          <w:rPr>
            <w:rStyle w:val="TextoNormalCaracter"/>
          </w:rPr>
          <w:t>60/2012</w:t>
        </w:r>
      </w:hyperlink>
      <w:r w:rsidRPr="00BA1B56">
        <w:rPr>
          <w:rStyle w:val="TextoNormalCaracter"/>
        </w:rPr>
        <w:t xml:space="preserve">, ff. 2, 3; </w:t>
      </w:r>
      <w:hyperlink w:anchor="SENTENCIA_2012_63" w:history="1">
        <w:r w:rsidRPr="00BA1B56">
          <w:rPr>
            <w:rStyle w:val="TextoNormalCaracter"/>
          </w:rPr>
          <w:t>63/2012</w:t>
        </w:r>
      </w:hyperlink>
      <w:r w:rsidRPr="00BA1B56">
        <w:rPr>
          <w:rStyle w:val="TextoNormalCaracter"/>
        </w:rPr>
        <w:t xml:space="preserve">, ff. 2, 3;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15" w:name="DESCRIPTORALFABETICO950"/>
      <w:r w:rsidRPr="00BA1B56">
        <w:rPr>
          <w:rStyle w:val="TextoNormalNegritaCaracter"/>
        </w:rPr>
        <w:t>Inadmisión de recurso de apelación civil</w:t>
      </w:r>
      <w:bookmarkEnd w:id="1815"/>
      <w:r w:rsidRPr="00BA1B56">
        <w:rPr>
          <w:rStyle w:val="TextoNormalCaracter"/>
        </w:rPr>
        <w:t xml:space="preserve">, Sentencias </w:t>
      </w:r>
      <w:hyperlink w:anchor="SENTENCIA_2012_79" w:history="1">
        <w:r w:rsidRPr="00BA1B56">
          <w:rPr>
            <w:rStyle w:val="TextoNormalCaracter"/>
          </w:rPr>
          <w:t>79/2012</w:t>
        </w:r>
      </w:hyperlink>
      <w:r w:rsidRPr="00BA1B56">
        <w:rPr>
          <w:rStyle w:val="TextoNormalCaracter"/>
        </w:rPr>
        <w:t xml:space="preserve">, f. 6; </w:t>
      </w:r>
      <w:hyperlink w:anchor="SENTENCIA_2012_85" w:history="1">
        <w:r w:rsidRPr="00BA1B56">
          <w:rPr>
            <w:rStyle w:val="TextoNormalCaracter"/>
          </w:rPr>
          <w:t>85/2012</w:t>
        </w:r>
      </w:hyperlink>
      <w:r w:rsidRPr="00BA1B56">
        <w:rPr>
          <w:rStyle w:val="TextoNormalCaracter"/>
        </w:rPr>
        <w:t xml:space="preserve">, f. 3; </w:t>
      </w:r>
      <w:hyperlink w:anchor="SENTENCIA_2012_103" w:history="1">
        <w:r w:rsidRPr="00BA1B56">
          <w:rPr>
            <w:rStyle w:val="TextoNormalCaracter"/>
          </w:rPr>
          <w:t>103/2012</w:t>
        </w:r>
      </w:hyperlink>
      <w:r w:rsidRPr="00BA1B56">
        <w:rPr>
          <w:rStyle w:val="TextoNormalCaracter"/>
        </w:rPr>
        <w:t xml:space="preserve">, ff. 3, 4; </w:t>
      </w:r>
      <w:hyperlink w:anchor="SENTENCIA_2012_104" w:history="1">
        <w:r w:rsidRPr="00BA1B56">
          <w:rPr>
            <w:rStyle w:val="TextoNormalCaracter"/>
          </w:rPr>
          <w:t>104/2012</w:t>
        </w:r>
      </w:hyperlink>
      <w:r w:rsidRPr="00BA1B56">
        <w:rPr>
          <w:rStyle w:val="TextoNormalCaracter"/>
        </w:rPr>
        <w:t xml:space="preserve">, ff. 2, 3; </w:t>
      </w:r>
      <w:hyperlink w:anchor="SENTENCIA_2012_115" w:history="1">
        <w:r w:rsidRPr="00BA1B56">
          <w:rPr>
            <w:rStyle w:val="TextoNormalCaracter"/>
          </w:rPr>
          <w:t>115/2012</w:t>
        </w:r>
      </w:hyperlink>
      <w:r w:rsidRPr="00BA1B56">
        <w:rPr>
          <w:rStyle w:val="TextoNormalCaracter"/>
        </w:rPr>
        <w:t xml:space="preserve">, ff. 2, 3; </w:t>
      </w:r>
      <w:hyperlink w:anchor="SENTENCIA_2012_125" w:history="1">
        <w:r w:rsidRPr="00BA1B56">
          <w:rPr>
            <w:rStyle w:val="TextoNormalCaracter"/>
          </w:rPr>
          <w:t>125/2012</w:t>
        </w:r>
      </w:hyperlink>
      <w:r w:rsidRPr="00BA1B56">
        <w:rPr>
          <w:rStyle w:val="TextoNormalCaracter"/>
        </w:rPr>
        <w:t xml:space="preserve">, f. 4; </w:t>
      </w:r>
      <w:hyperlink w:anchor="SENTENCIA_2012_129" w:history="1">
        <w:r w:rsidRPr="00BA1B56">
          <w:rPr>
            <w:rStyle w:val="TextoNormalCaracter"/>
          </w:rPr>
          <w:t>129/2012</w:t>
        </w:r>
      </w:hyperlink>
      <w:r w:rsidRPr="00BA1B56">
        <w:rPr>
          <w:rStyle w:val="TextoNormalCaracter"/>
        </w:rPr>
        <w:t xml:space="preserve">, ff. 2, 3; </w:t>
      </w:r>
      <w:hyperlink w:anchor="SENTENCIA_2012_130" w:history="1">
        <w:r w:rsidRPr="00BA1B56">
          <w:rPr>
            <w:rStyle w:val="TextoNormalCaracter"/>
          </w:rPr>
          <w:t>130/2012</w:t>
        </w:r>
      </w:hyperlink>
      <w:r w:rsidRPr="00BA1B56">
        <w:rPr>
          <w:rStyle w:val="TextoNormalCaracter"/>
        </w:rPr>
        <w:t>, ff. 2, 3.</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56" w:history="1">
        <w:r w:rsidRPr="00BA1B56">
          <w:rPr>
            <w:rStyle w:val="TextoNormalCaracter"/>
          </w:rPr>
          <w:t>56/2012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16" w:name="DESCRIPTORALFABETICO976"/>
      <w:r w:rsidRPr="00BA1B56">
        <w:rPr>
          <w:rStyle w:val="TextoNormalNegritaCaracter"/>
        </w:rPr>
        <w:t>Inadmisión de recurso de casación penal</w:t>
      </w:r>
      <w:bookmarkEnd w:id="1816"/>
      <w:r w:rsidRPr="00BA1B56">
        <w:rPr>
          <w:rStyle w:val="TextoNormalCaracter"/>
        </w:rPr>
        <w:t xml:space="preserve">, Sentencia </w:t>
      </w:r>
      <w:hyperlink w:anchor="SENTENCIA_2012_59" w:history="1">
        <w:r w:rsidRPr="00BA1B56">
          <w:rPr>
            <w:rStyle w:val="TextoNormalCaracter"/>
          </w:rPr>
          <w:t>59/2012</w:t>
        </w:r>
      </w:hyperlink>
      <w:r w:rsidRPr="00BA1B56">
        <w:rPr>
          <w:rStyle w:val="TextoNormalCaracter"/>
        </w:rPr>
        <w:t>, f. 6.</w:t>
      </w:r>
    </w:p>
    <w:p w:rsidR="00BA1B56" w:rsidRPr="00BA1B56" w:rsidRDefault="00BA1B56" w:rsidP="00BA1B56">
      <w:pPr>
        <w:pStyle w:val="TextoNormalSangraFrancesa"/>
        <w:rPr>
          <w:rStyle w:val="TextoNormalCaracter"/>
        </w:rPr>
      </w:pPr>
      <w:bookmarkStart w:id="1817" w:name="DESCRIPTORALFABETICO460"/>
      <w:r w:rsidRPr="00BA1B56">
        <w:rPr>
          <w:rStyle w:val="TextoNormalNegritaCaracter"/>
        </w:rPr>
        <w:t>Inadmisión de solicitud de creación de comisión de investigación</w:t>
      </w:r>
      <w:bookmarkEnd w:id="1817"/>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2 a 6.</w:t>
      </w:r>
    </w:p>
    <w:p w:rsidR="00BA1B56" w:rsidRPr="00BA1B56" w:rsidRDefault="00BA1B56" w:rsidP="00BA1B56">
      <w:pPr>
        <w:pStyle w:val="TextoNormalSangraFrancesa"/>
        <w:rPr>
          <w:rStyle w:val="TextoNormalCaracter"/>
        </w:rPr>
      </w:pPr>
      <w:bookmarkStart w:id="1818" w:name="DESCRIPTORALFABETICO816"/>
      <w:r w:rsidRPr="00BA1B56">
        <w:rPr>
          <w:rStyle w:val="TextoNormalNegritaCaracter"/>
        </w:rPr>
        <w:t>Incapacidad laboral temporal</w:t>
      </w:r>
      <w:bookmarkEnd w:id="1818"/>
      <w:r w:rsidRPr="00BA1B56">
        <w:rPr>
          <w:rStyle w:val="TextoNormalCaracter"/>
        </w:rPr>
        <w:t xml:space="preserve">, Sentencia </w:t>
      </w:r>
      <w:hyperlink w:anchor="SENTENCIA_2012_31" w:history="1">
        <w:r w:rsidRPr="00BA1B56">
          <w:rPr>
            <w:rStyle w:val="TextoNormalCaracter"/>
          </w:rPr>
          <w:t>31/2012</w:t>
        </w:r>
      </w:hyperlink>
      <w:r w:rsidRPr="00BA1B56">
        <w:rPr>
          <w:rStyle w:val="TextoNormalCaracter"/>
        </w:rPr>
        <w:t>, ff. 1, 3, 5.</w:t>
      </w:r>
    </w:p>
    <w:p w:rsidR="00BA1B56" w:rsidRPr="00BA1B56" w:rsidRDefault="00BA1B56" w:rsidP="00BA1B56">
      <w:pPr>
        <w:pStyle w:val="TextoNormalSangraFrancesa"/>
        <w:rPr>
          <w:rStyle w:val="TextoNormalCaracter"/>
        </w:rPr>
      </w:pPr>
      <w:bookmarkStart w:id="1819" w:name="DESCRIPTORALFABETICO908"/>
      <w:r w:rsidRPr="00BA1B56">
        <w:rPr>
          <w:rStyle w:val="TextoNormalNegritaCaracter"/>
        </w:rPr>
        <w:t>Incidente de nulidad de actuaciones</w:t>
      </w:r>
      <w:bookmarkEnd w:id="1819"/>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 3; </w:t>
      </w:r>
      <w:hyperlink w:anchor="SENTENCIA_2012_23" w:history="1">
        <w:r w:rsidRPr="00BA1B56">
          <w:rPr>
            <w:rStyle w:val="TextoNormalCaracter"/>
          </w:rPr>
          <w:t>23/2012</w:t>
        </w:r>
      </w:hyperlink>
      <w:r w:rsidRPr="00BA1B56">
        <w:rPr>
          <w:rStyle w:val="TextoNormalCaracter"/>
        </w:rPr>
        <w:t xml:space="preserve">, f. 3; </w:t>
      </w:r>
      <w:hyperlink w:anchor="SENTENCIA_2012_31" w:history="1">
        <w:r w:rsidRPr="00BA1B56">
          <w:rPr>
            <w:rStyle w:val="TextoNormalCaracter"/>
          </w:rPr>
          <w:t>31/2012</w:t>
        </w:r>
      </w:hyperlink>
      <w:r w:rsidRPr="00BA1B56">
        <w:rPr>
          <w:rStyle w:val="TextoNormalCaracter"/>
        </w:rPr>
        <w:t>, ff. 3,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31" w:history="1">
        <w:r w:rsidRPr="00BA1B56">
          <w:rPr>
            <w:rStyle w:val="TextoNormalCaracter"/>
          </w:rPr>
          <w:t>131/2012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820" w:name="DESCRIPTORALFABETICO909"/>
      <w:r w:rsidRPr="00BA1B56">
        <w:rPr>
          <w:rStyle w:val="TextoNormalNegritaCaracter"/>
        </w:rPr>
        <w:t>Incidente de nulidad de actuaciones improcedente</w:t>
      </w:r>
      <w:bookmarkEnd w:id="1820"/>
      <w:r w:rsidRPr="00BA1B56">
        <w:rPr>
          <w:rStyle w:val="TextoNormalCaracter"/>
        </w:rPr>
        <w:t xml:space="preserve">, Sentencia </w:t>
      </w:r>
      <w:hyperlink w:anchor="SENTENCIA_2012_76" w:history="1">
        <w:r w:rsidRPr="00BA1B56">
          <w:rPr>
            <w:rStyle w:val="TextoNormalCaracter"/>
          </w:rPr>
          <w:t>76/2012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21" w:name="DESCRIPTORALFABETICO910"/>
      <w:r w:rsidRPr="00BA1B56">
        <w:rPr>
          <w:rStyle w:val="TextoNormalNegritaCaracter"/>
        </w:rPr>
        <w:t>Incidente de nulidad de actuaciones manifiestamente improcedente</w:t>
      </w:r>
      <w:bookmarkEnd w:id="1821"/>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ff. 3, 4; </w:t>
      </w:r>
      <w:hyperlink w:anchor="SENTENCIA_2012_23" w:history="1">
        <w:r w:rsidRPr="00BA1B56">
          <w:rPr>
            <w:rStyle w:val="TextoNormalCaracter"/>
          </w:rPr>
          <w:t>23/2012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1822" w:name="DESCRIPTORALFABETICO911"/>
      <w:r w:rsidRPr="00BA1B56">
        <w:rPr>
          <w:rStyle w:val="TextoNormalNegritaCaracter"/>
        </w:rPr>
        <w:t>Incidente de nulidad de actuaciones por incongruencia exigible</w:t>
      </w:r>
      <w:bookmarkEnd w:id="1822"/>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23" w:name="DESCRIPTORALFABETICO912"/>
      <w:r w:rsidRPr="00BA1B56">
        <w:rPr>
          <w:rStyle w:val="TextoNormalNegritaCaracter"/>
        </w:rPr>
        <w:t>Incidente de rectificación de errores</w:t>
      </w:r>
      <w:bookmarkEnd w:id="1823"/>
      <w:r w:rsidRPr="00BA1B56">
        <w:rPr>
          <w:rStyle w:val="TextoNormalCaracter"/>
        </w:rPr>
        <w:t xml:space="preserve">, Auto </w:t>
      </w:r>
      <w:hyperlink w:anchor="AUTO_2012_130" w:history="1">
        <w:r w:rsidRPr="00BA1B56">
          <w:rPr>
            <w:rStyle w:val="TextoNormalCaracter"/>
          </w:rPr>
          <w:t>130/2012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824" w:name="DESCRIPTORALFABETICO198"/>
      <w:r w:rsidRPr="00BA1B56">
        <w:rPr>
          <w:rStyle w:val="TextoNormalNegritaCaracter"/>
        </w:rPr>
        <w:t>Incongruencia de las resoluciones judiciales</w:t>
      </w:r>
      <w:bookmarkEnd w:id="1824"/>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31" w:history="1">
        <w:r w:rsidRPr="00BA1B56">
          <w:rPr>
            <w:rStyle w:val="TextoNormalCaracter"/>
          </w:rPr>
          <w:t>131/2012</w:t>
        </w:r>
      </w:hyperlink>
      <w:r w:rsidRPr="00BA1B56">
        <w:rPr>
          <w:rStyle w:val="TextoNormalCaracter"/>
        </w:rPr>
        <w:t>, ff. 1, 2.</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25" w:history="1">
        <w:r w:rsidRPr="00BA1B56">
          <w:rPr>
            <w:rStyle w:val="TextoNormalCaracter"/>
          </w:rPr>
          <w:t>25/2012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25" w:name="DESCRIPTORALFABETICO199"/>
      <w:r w:rsidRPr="00BA1B56">
        <w:rPr>
          <w:rStyle w:val="TextoNormalNegritaCaracter"/>
        </w:rPr>
        <w:t>Incongruencia de las sentencias</w:t>
      </w:r>
      <w:bookmarkEnd w:id="1825"/>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 </w:t>
      </w:r>
      <w:hyperlink w:anchor="SENTENCIA_2012_25" w:history="1">
        <w:r w:rsidRPr="00BA1B56">
          <w:rPr>
            <w:rStyle w:val="TextoNormalCaracter"/>
          </w:rPr>
          <w:t>25/2012</w:t>
        </w:r>
      </w:hyperlink>
      <w:r w:rsidRPr="00BA1B56">
        <w:rPr>
          <w:rStyle w:val="TextoNormalCaracter"/>
        </w:rPr>
        <w:t>, ff. 1, 3, 5.</w:t>
      </w:r>
    </w:p>
    <w:p w:rsidR="00BA1B56" w:rsidRPr="00BA1B56" w:rsidRDefault="00BA1B56" w:rsidP="00BA1B56">
      <w:pPr>
        <w:pStyle w:val="TextoNormalSangraFrancesa"/>
        <w:rPr>
          <w:rStyle w:val="TextoNormalCaracter"/>
        </w:rPr>
      </w:pPr>
      <w:bookmarkStart w:id="1826" w:name="DESCRIPTORALFABETICO200"/>
      <w:r w:rsidRPr="00BA1B56">
        <w:rPr>
          <w:rStyle w:val="TextoNormalNegritaCaracter"/>
        </w:rPr>
        <w:t xml:space="preserve">Incongruencia </w:t>
      </w:r>
      <w:r w:rsidRPr="00BA1B56">
        <w:rPr>
          <w:rStyle w:val="TextoNormalNegritaCaracter"/>
          <w:i/>
        </w:rPr>
        <w:t>extra petita</w:t>
      </w:r>
      <w:bookmarkEnd w:id="1826"/>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5.</w:t>
      </w:r>
    </w:p>
    <w:p w:rsidR="00BA1B56" w:rsidRPr="00BA1B56" w:rsidRDefault="00BA1B56" w:rsidP="00BA1B56">
      <w:pPr>
        <w:pStyle w:val="TextoNormalSangraFrancesa"/>
        <w:rPr>
          <w:rStyle w:val="TextoNormalCaracter"/>
        </w:rPr>
      </w:pPr>
      <w:bookmarkStart w:id="1827" w:name="DESCRIPTORALFABETICO201"/>
      <w:r w:rsidRPr="00BA1B56">
        <w:rPr>
          <w:rStyle w:val="TextoNormalNegritaCaracter"/>
        </w:rPr>
        <w:t>Incongruencia omisiva</w:t>
      </w:r>
      <w:bookmarkEnd w:id="1827"/>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ff. 1 a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31" w:history="1">
        <w:r w:rsidRPr="00BA1B56">
          <w:rPr>
            <w:rStyle w:val="TextoNormalCaracter"/>
          </w:rPr>
          <w:t>131/2012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828" w:name="DESCRIPTORALFABETICO353"/>
      <w:r w:rsidRPr="00BA1B56">
        <w:rPr>
          <w:rStyle w:val="TextoNormalNegritaCaracter"/>
        </w:rPr>
        <w:t>Inconstitucionalidad por omisión</w:t>
      </w:r>
      <w:bookmarkEnd w:id="1828"/>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5.</w:t>
      </w:r>
    </w:p>
    <w:p w:rsidR="00BA1B56" w:rsidRPr="00BA1B56" w:rsidRDefault="00BA1B56" w:rsidP="00BA1B56">
      <w:pPr>
        <w:pStyle w:val="TextoNormalSangraFrancesa"/>
        <w:rPr>
          <w:rStyle w:val="TextoNormalCaracter"/>
        </w:rPr>
      </w:pPr>
      <w:bookmarkStart w:id="1829" w:name="DESCRIPTORALFABETICO349"/>
      <w:r w:rsidRPr="00BA1B56">
        <w:rPr>
          <w:rStyle w:val="TextoNormalNegritaCaracter"/>
        </w:rPr>
        <w:t>Inconstitucionalidad sin nulidad</w:t>
      </w:r>
      <w:bookmarkEnd w:id="1829"/>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7.</w:t>
      </w:r>
    </w:p>
    <w:p w:rsidR="00BA1B56" w:rsidRPr="00BA1B56" w:rsidRDefault="00BA1B56" w:rsidP="00BA1B56">
      <w:pPr>
        <w:pStyle w:val="TextoNormalSangraFrancesa"/>
        <w:rPr>
          <w:rStyle w:val="TextoNormalNegritaCaracter"/>
        </w:rPr>
      </w:pPr>
      <w:r w:rsidRPr="00BA1B56">
        <w:rPr>
          <w:rStyle w:val="TextoNormalCursivaCaracter"/>
        </w:rPr>
        <w:t>Incrementos y disminuciones patrimoniales</w:t>
      </w:r>
      <w:r>
        <w:t xml:space="preserve"> véase </w:t>
      </w:r>
      <w:hyperlink w:anchor="DESCRIPTORALFABETICO115" w:history="1">
        <w:r w:rsidRPr="00BA1B56">
          <w:rPr>
            <w:rStyle w:val="TextoNormalNegritaCaracter"/>
          </w:rPr>
          <w:t>Variaciones patrimoniales</w:t>
        </w:r>
      </w:hyperlink>
    </w:p>
    <w:p w:rsidR="00BA1B56" w:rsidRPr="00BA1B56" w:rsidRDefault="00BA1B56" w:rsidP="00BA1B56">
      <w:pPr>
        <w:pStyle w:val="TextoNormalSangraFrancesa"/>
        <w:rPr>
          <w:rStyle w:val="TextoNormalCaracter"/>
        </w:rPr>
      </w:pPr>
      <w:bookmarkStart w:id="1830" w:name="DESCRIPTORALFABETICO383"/>
      <w:r w:rsidRPr="00BA1B56">
        <w:rPr>
          <w:rStyle w:val="TextoNormalNegritaCaracter"/>
        </w:rPr>
        <w:t>Incumplimiento generalizado de la doctrina constitucional</w:t>
      </w:r>
      <w:bookmarkEnd w:id="1830"/>
      <w:r w:rsidRPr="00BA1B56">
        <w:rPr>
          <w:rStyle w:val="TextoNormalCaracter"/>
        </w:rPr>
        <w:t xml:space="preserve">, Auto </w:t>
      </w:r>
      <w:hyperlink w:anchor="AUTO_2012_123" w:history="1">
        <w:r w:rsidRPr="00BA1B56">
          <w:rPr>
            <w:rStyle w:val="TextoNormalCaracter"/>
          </w:rPr>
          <w:t>123/2012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1831" w:name="DESCRIPTORALFABETICO217"/>
      <w:r w:rsidRPr="00BA1B56">
        <w:rPr>
          <w:rStyle w:val="TextoNormalNegritaCaracter"/>
        </w:rPr>
        <w:t>Indefensión imputable al recurrente</w:t>
      </w:r>
      <w:bookmarkEnd w:id="1831"/>
      <w:r w:rsidRPr="00BA1B56">
        <w:rPr>
          <w:rStyle w:val="TextoNormalCaracter"/>
        </w:rPr>
        <w:t xml:space="preserve">, Sentencias </w:t>
      </w:r>
      <w:hyperlink w:anchor="SENTENCIA_2012_57" w:history="1">
        <w:r w:rsidRPr="00BA1B56">
          <w:rPr>
            <w:rStyle w:val="TextoNormalCaracter"/>
          </w:rPr>
          <w:t>57/2012</w:t>
        </w:r>
      </w:hyperlink>
      <w:r w:rsidRPr="00BA1B56">
        <w:rPr>
          <w:rStyle w:val="TextoNormalCaracter"/>
        </w:rPr>
        <w:t xml:space="preserve">, f. 2; </w:t>
      </w:r>
      <w:hyperlink w:anchor="SENTENCIA_2012_115" w:history="1">
        <w:r w:rsidRPr="00BA1B56">
          <w:rPr>
            <w:rStyle w:val="TextoNormalCaracter"/>
          </w:rPr>
          <w:t>115/2012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32" w:name="DESCRIPTORALFABETICO218"/>
      <w:r w:rsidRPr="00BA1B56">
        <w:rPr>
          <w:rStyle w:val="TextoNormalNegritaCaracter"/>
        </w:rPr>
        <w:t>Indefensión material</w:t>
      </w:r>
      <w:bookmarkEnd w:id="1832"/>
      <w:r w:rsidRPr="00BA1B56">
        <w:rPr>
          <w:rStyle w:val="TextoNormalCaracter"/>
        </w:rPr>
        <w:t xml:space="preserve">, Sentencia </w:t>
      </w:r>
      <w:hyperlink w:anchor="SENTENCIA_2012_57" w:history="1">
        <w:r w:rsidRPr="00BA1B56">
          <w:rPr>
            <w:rStyle w:val="TextoNormalCaracter"/>
          </w:rPr>
          <w:t>57/2012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33" w:name="DESCRIPTORALFABETICO799"/>
      <w:r w:rsidRPr="00BA1B56">
        <w:rPr>
          <w:rStyle w:val="TextoNormalNegritaCaracter"/>
        </w:rPr>
        <w:t>Indemnización</w:t>
      </w:r>
      <w:bookmarkEnd w:id="1833"/>
      <w:r w:rsidRPr="00BA1B56">
        <w:rPr>
          <w:rStyle w:val="TextoNormalCaracter"/>
        </w:rPr>
        <w:t xml:space="preserve">, Auto </w:t>
      </w:r>
      <w:hyperlink w:anchor="AUTO_2012_106" w:history="1">
        <w:r w:rsidRPr="00BA1B56">
          <w:rPr>
            <w:rStyle w:val="TextoNormalCaracter"/>
          </w:rPr>
          <w:t>106/2012</w:t>
        </w:r>
      </w:hyperlink>
      <w:r w:rsidRPr="00BA1B56">
        <w:rPr>
          <w:rStyle w:val="TextoNormalCaracter"/>
        </w:rPr>
        <w:t>, ff. 2, 3, 4.</w:t>
      </w:r>
    </w:p>
    <w:p w:rsidR="00BA1B56" w:rsidRPr="00BA1B56" w:rsidRDefault="00BA1B56" w:rsidP="00BA1B56">
      <w:pPr>
        <w:pStyle w:val="TextoNormalSangraFrancesa"/>
        <w:rPr>
          <w:rStyle w:val="TextoNormalCaracter"/>
        </w:rPr>
      </w:pPr>
      <w:bookmarkStart w:id="1834" w:name="DESCRIPTORALFABETICO802"/>
      <w:r w:rsidRPr="00BA1B56">
        <w:rPr>
          <w:rStyle w:val="TextoNormalNegritaCaracter"/>
        </w:rPr>
        <w:t>Indemnización frente a la Administración</w:t>
      </w:r>
      <w:bookmarkEnd w:id="1834"/>
      <w:r w:rsidRPr="00BA1B56">
        <w:rPr>
          <w:rStyle w:val="TextoNormalCaracter"/>
        </w:rPr>
        <w:t xml:space="preserve">, Auto </w:t>
      </w:r>
      <w:hyperlink w:anchor="AUTO_2012_120" w:history="1">
        <w:r w:rsidRPr="00BA1B56">
          <w:rPr>
            <w:rStyle w:val="TextoNormalCaracter"/>
          </w:rPr>
          <w:t>120/2012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835" w:name="DESCRIPTORALFABETICO438"/>
      <w:r w:rsidRPr="00BA1B56">
        <w:rPr>
          <w:rStyle w:val="TextoNormalNegritaCaracter"/>
        </w:rPr>
        <w:t>Independencia judicial</w:t>
      </w:r>
      <w:bookmarkEnd w:id="1835"/>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4, 5, VP I; </w:t>
      </w:r>
      <w:hyperlink w:anchor="SENTENCIA_2012_75" w:history="1">
        <w:r w:rsidRPr="00BA1B56">
          <w:rPr>
            <w:rStyle w:val="TextoNormalCaracter"/>
          </w:rPr>
          <w:t>75/2012</w:t>
        </w:r>
      </w:hyperlink>
      <w:r w:rsidRPr="00BA1B56">
        <w:rPr>
          <w:rStyle w:val="TextoNormalCaracter"/>
        </w:rPr>
        <w:t xml:space="preserve">, f. 3; </w:t>
      </w:r>
      <w:hyperlink w:anchor="SENTENCIA_2012_91" w:history="1">
        <w:r w:rsidRPr="00BA1B56">
          <w:rPr>
            <w:rStyle w:val="TextoNormalCaracter"/>
          </w:rPr>
          <w:t>91/2012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836" w:name="DESCRIPTORALFABETICO229"/>
      <w:r w:rsidRPr="00BA1B56">
        <w:rPr>
          <w:rStyle w:val="TextoNormalNegritaCaracter"/>
        </w:rPr>
        <w:t>Información de derechos</w:t>
      </w:r>
      <w:bookmarkEnd w:id="1836"/>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37" w:name="DESCRIPTORALFABETICO527"/>
      <w:r w:rsidRPr="00BA1B56">
        <w:rPr>
          <w:rStyle w:val="TextoNormalNegritaCaracter"/>
        </w:rPr>
        <w:t>Informes preceptivos</w:t>
      </w:r>
      <w:bookmarkEnd w:id="1837"/>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 7.</w:t>
      </w:r>
    </w:p>
    <w:p w:rsidR="00BA1B56" w:rsidRPr="00BA1B56" w:rsidRDefault="00BA1B56" w:rsidP="00BA1B56">
      <w:pPr>
        <w:pStyle w:val="TextoNormalSangraFrancesa"/>
        <w:rPr>
          <w:rStyle w:val="TextoNormalCaracter"/>
        </w:rPr>
      </w:pPr>
      <w:bookmarkStart w:id="1838" w:name="DESCRIPTORALFABETICO410"/>
      <w:r w:rsidRPr="00BA1B56">
        <w:rPr>
          <w:rStyle w:val="TextoNormalNegritaCaracter"/>
        </w:rPr>
        <w:t>Informes preceptivos del Consejo de Estado</w:t>
      </w:r>
      <w:bookmarkEnd w:id="1838"/>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39" w:name="DESCRIPTORALFABETICO582"/>
      <w:r w:rsidRPr="00BA1B56">
        <w:rPr>
          <w:rStyle w:val="TextoNormalNegritaCaracter"/>
        </w:rPr>
        <w:t>Infracciones administrativas</w:t>
      </w:r>
      <w:bookmarkEnd w:id="1839"/>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40" w:name="DESCRIPTORALFABETICO827"/>
      <w:r w:rsidRPr="00BA1B56">
        <w:rPr>
          <w:rStyle w:val="TextoNormalNegritaCaracter"/>
        </w:rPr>
        <w:t>Infraestructuras de telecomunicaciones</w:t>
      </w:r>
      <w:bookmarkEnd w:id="1840"/>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9.</w:t>
      </w:r>
    </w:p>
    <w:p w:rsidR="00BA1B56" w:rsidRPr="00BA1B56" w:rsidRDefault="00BA1B56" w:rsidP="00BA1B56">
      <w:pPr>
        <w:pStyle w:val="TextoNormalSangraFrancesa"/>
        <w:rPr>
          <w:rStyle w:val="TextoNormalCaracter"/>
        </w:rPr>
      </w:pPr>
      <w:bookmarkStart w:id="1841" w:name="DESCRIPTORALFABETICO753"/>
      <w:r w:rsidRPr="00BA1B56">
        <w:rPr>
          <w:rStyle w:val="TextoNormalNegritaCaracter"/>
        </w:rPr>
        <w:t>Inhabilitación absoluta</w:t>
      </w:r>
      <w:bookmarkEnd w:id="1841"/>
      <w:r w:rsidRPr="00BA1B56">
        <w:rPr>
          <w:rStyle w:val="TextoNormalCaracter"/>
        </w:rPr>
        <w:t xml:space="preserve">, Auto </w:t>
      </w:r>
      <w:hyperlink w:anchor="AUTO_2012_102" w:history="1">
        <w:r w:rsidRPr="00BA1B56">
          <w:rPr>
            <w:rStyle w:val="TextoNormalCaracter"/>
          </w:rPr>
          <w:t>102/2012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42" w:name="DESCRIPTORALFABETICO754"/>
      <w:r w:rsidRPr="00BA1B56">
        <w:rPr>
          <w:rStyle w:val="TextoNormalNegritaCaracter"/>
        </w:rPr>
        <w:t>Inhabilitación especial para el derecho de sufragio pasivo</w:t>
      </w:r>
      <w:bookmarkEnd w:id="1842"/>
      <w:r w:rsidRPr="00BA1B56">
        <w:rPr>
          <w:rStyle w:val="TextoNormalCaracter"/>
        </w:rPr>
        <w:t xml:space="preserve">, Autos </w:t>
      </w:r>
      <w:hyperlink w:anchor="AUTO_2012_44" w:history="1">
        <w:r w:rsidRPr="00BA1B56">
          <w:rPr>
            <w:rStyle w:val="TextoNormalCaracter"/>
          </w:rPr>
          <w:t>44/2012</w:t>
        </w:r>
      </w:hyperlink>
      <w:r w:rsidRPr="00BA1B56">
        <w:rPr>
          <w:rStyle w:val="TextoNormalCaracter"/>
        </w:rPr>
        <w:t xml:space="preserve">, f. 3; </w:t>
      </w:r>
      <w:hyperlink w:anchor="AUTO_2012_58" w:history="1">
        <w:r w:rsidRPr="00BA1B56">
          <w:rPr>
            <w:rStyle w:val="TextoNormalCaracter"/>
          </w:rPr>
          <w:t>58/2012</w:t>
        </w:r>
      </w:hyperlink>
      <w:r w:rsidRPr="00BA1B56">
        <w:rPr>
          <w:rStyle w:val="TextoNormalCaracter"/>
        </w:rPr>
        <w:t xml:space="preserve">, f. 2; </w:t>
      </w:r>
      <w:hyperlink w:anchor="AUTO_2012_101" w:history="1">
        <w:r w:rsidRPr="00BA1B56">
          <w:rPr>
            <w:rStyle w:val="TextoNormalCaracter"/>
          </w:rPr>
          <w:t>101/2012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43" w:name="DESCRIPTORALFABETICO755"/>
      <w:r w:rsidRPr="00BA1B56">
        <w:rPr>
          <w:rStyle w:val="TextoNormalNegritaCaracter"/>
        </w:rPr>
        <w:t>Inhabilitación especial para profesión</w:t>
      </w:r>
      <w:bookmarkEnd w:id="1843"/>
      <w:r w:rsidRPr="00BA1B56">
        <w:rPr>
          <w:rStyle w:val="TextoNormalCaracter"/>
        </w:rPr>
        <w:t xml:space="preserve">, Autos </w:t>
      </w:r>
      <w:hyperlink w:anchor="AUTO_2012_44" w:history="1">
        <w:r w:rsidRPr="00BA1B56">
          <w:rPr>
            <w:rStyle w:val="TextoNormalCaracter"/>
          </w:rPr>
          <w:t>44/2012</w:t>
        </w:r>
      </w:hyperlink>
      <w:r w:rsidRPr="00BA1B56">
        <w:rPr>
          <w:rStyle w:val="TextoNormalCaracter"/>
        </w:rPr>
        <w:t xml:space="preserve">, f. 3; </w:t>
      </w:r>
      <w:hyperlink w:anchor="AUTO_2012_76" w:history="1">
        <w:r w:rsidRPr="00BA1B56">
          <w:rPr>
            <w:rStyle w:val="TextoNormalCaracter"/>
          </w:rPr>
          <w:t>76/2012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44" w:name="DESCRIPTORALFABETICO418"/>
      <w:r w:rsidRPr="00BA1B56">
        <w:rPr>
          <w:rStyle w:val="TextoNormalNegritaCaracter"/>
        </w:rPr>
        <w:t>Inscripción de partidos políticos</w:t>
      </w:r>
      <w:bookmarkEnd w:id="1844"/>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4 a 6, 10, 11, 16, VP II, VP III.</w:t>
      </w:r>
    </w:p>
    <w:p w:rsidR="00BA1B56" w:rsidRPr="00BA1B56" w:rsidRDefault="00BA1B56" w:rsidP="00BA1B56">
      <w:pPr>
        <w:pStyle w:val="TextoNormalSangraFrancesa"/>
        <w:rPr>
          <w:rStyle w:val="TextoNormalCaracter"/>
        </w:rPr>
      </w:pPr>
      <w:bookmarkStart w:id="1845" w:name="DESCRIPTORALFABETICO836"/>
      <w:r w:rsidRPr="00BA1B56">
        <w:rPr>
          <w:rStyle w:val="TextoNormalNegritaCaracter"/>
        </w:rPr>
        <w:lastRenderedPageBreak/>
        <w:t>Inserción laboral</w:t>
      </w:r>
      <w:bookmarkEnd w:id="1845"/>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46" w:name="DESCRIPTORALFABETICO808"/>
      <w:r w:rsidRPr="00BA1B56">
        <w:rPr>
          <w:rStyle w:val="TextoNormalNegritaCaracter"/>
        </w:rPr>
        <w:t>Inspección sanitaria</w:t>
      </w:r>
      <w:bookmarkEnd w:id="1846"/>
      <w:r w:rsidRPr="00BA1B56">
        <w:rPr>
          <w:rStyle w:val="TextoNormalCaracter"/>
        </w:rPr>
        <w:t xml:space="preserve">, Sentencia </w:t>
      </w:r>
      <w:hyperlink w:anchor="SENTENCIA_2012_22" w:history="1">
        <w:r w:rsidRPr="00BA1B56">
          <w:rPr>
            <w:rStyle w:val="TextoNormalCaracter"/>
          </w:rPr>
          <w:t>22/2012</w:t>
        </w:r>
      </w:hyperlink>
      <w:r w:rsidRPr="00BA1B56">
        <w:rPr>
          <w:rStyle w:val="TextoNormalCaracter"/>
        </w:rPr>
        <w:t>, ff. 3 a 5, 7.</w:t>
      </w:r>
    </w:p>
    <w:p w:rsidR="00BA1B56" w:rsidRPr="00BA1B56" w:rsidRDefault="00BA1B56" w:rsidP="00BA1B56">
      <w:pPr>
        <w:pStyle w:val="TextoNormalSangraFrancesa"/>
        <w:rPr>
          <w:rStyle w:val="TextoNormalCaracter"/>
        </w:rPr>
      </w:pPr>
      <w:bookmarkStart w:id="1847" w:name="DESCRIPTORALFABETICO624"/>
      <w:r w:rsidRPr="00BA1B56">
        <w:rPr>
          <w:rStyle w:val="TextoNormalNegritaCaracter"/>
        </w:rPr>
        <w:t>Instalaciones militares</w:t>
      </w:r>
      <w:bookmarkEnd w:id="1847"/>
      <w:r w:rsidRPr="00BA1B56">
        <w:rPr>
          <w:rStyle w:val="TextoNormalCaracter"/>
        </w:rPr>
        <w:t xml:space="preserve">, Sentencia </w:t>
      </w:r>
      <w:hyperlink w:anchor="SENTENCIA_2012_82" w:history="1">
        <w:r w:rsidRPr="00BA1B56">
          <w:rPr>
            <w:rStyle w:val="TextoNormalCaracter"/>
          </w:rPr>
          <w:t>82/2012</w:t>
        </w:r>
      </w:hyperlink>
      <w:r w:rsidRPr="00BA1B56">
        <w:rPr>
          <w:rStyle w:val="TextoNormalCaracter"/>
        </w:rPr>
        <w:t>, ff. 1, 2, 5, VP I, VP II.</w:t>
      </w:r>
    </w:p>
    <w:p w:rsidR="00BA1B56" w:rsidRPr="00BA1B56" w:rsidRDefault="00BA1B56" w:rsidP="00BA1B56">
      <w:pPr>
        <w:pStyle w:val="TextoNormalSangraFrancesa"/>
        <w:rPr>
          <w:rStyle w:val="TextoNormalCaracter"/>
        </w:rPr>
      </w:pPr>
      <w:bookmarkStart w:id="1848" w:name="DESCRIPTORALFABETICO202"/>
      <w:r w:rsidRPr="00BA1B56">
        <w:rPr>
          <w:rStyle w:val="TextoNormalNegritaCaracter"/>
        </w:rPr>
        <w:t>Intangibilidad de las resoluciones judiciales</w:t>
      </w:r>
      <w:bookmarkEnd w:id="1848"/>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5, 7, 8; </w:t>
      </w:r>
      <w:hyperlink w:anchor="SENTENCIA_2012_40" w:history="1">
        <w:r w:rsidRPr="00BA1B56">
          <w:rPr>
            <w:rStyle w:val="TextoNormalCaracter"/>
          </w:rPr>
          <w:t>40/2012</w:t>
        </w:r>
      </w:hyperlink>
      <w:r w:rsidRPr="00BA1B56">
        <w:rPr>
          <w:rStyle w:val="TextoNormalCaracter"/>
        </w:rPr>
        <w:t xml:space="preserve">, ff. 8, 10; </w:t>
      </w:r>
      <w:hyperlink w:anchor="SENTENCIA_2012_41" w:history="1">
        <w:r w:rsidRPr="00BA1B56">
          <w:rPr>
            <w:rStyle w:val="TextoNormalCaracter"/>
          </w:rPr>
          <w:t>41/2012</w:t>
        </w:r>
      </w:hyperlink>
      <w:r w:rsidRPr="00BA1B56">
        <w:rPr>
          <w:rStyle w:val="TextoNormalCaracter"/>
        </w:rPr>
        <w:t xml:space="preserve">, f. 9, VP I, VP II, VP IV; </w:t>
      </w:r>
      <w:hyperlink w:anchor="SENTENCIA_2012_42" w:history="1">
        <w:r w:rsidRPr="00BA1B56">
          <w:rPr>
            <w:rStyle w:val="TextoNormalCaracter"/>
          </w:rPr>
          <w:t>42/2012</w:t>
        </w:r>
      </w:hyperlink>
      <w:r w:rsidRPr="00BA1B56">
        <w:rPr>
          <w:rStyle w:val="TextoNormalCaracter"/>
        </w:rPr>
        <w:t xml:space="preserve">, ff. 8, 9; </w:t>
      </w:r>
      <w:hyperlink w:anchor="SENTENCIA_2012_43" w:history="1">
        <w:r w:rsidRPr="00BA1B56">
          <w:rPr>
            <w:rStyle w:val="TextoNormalCaracter"/>
          </w:rPr>
          <w:t>43/2012</w:t>
        </w:r>
      </w:hyperlink>
      <w:r w:rsidRPr="00BA1B56">
        <w:rPr>
          <w:rStyle w:val="TextoNormalCaracter"/>
        </w:rPr>
        <w:t xml:space="preserve">, ff. 6 a 8; </w:t>
      </w:r>
      <w:hyperlink w:anchor="SENTENCIA_2012_44" w:history="1">
        <w:r w:rsidRPr="00BA1B56">
          <w:rPr>
            <w:rStyle w:val="TextoNormalCaracter"/>
          </w:rPr>
          <w:t>44/2012</w:t>
        </w:r>
      </w:hyperlink>
      <w:r w:rsidRPr="00BA1B56">
        <w:rPr>
          <w:rStyle w:val="TextoNormalCaracter"/>
        </w:rPr>
        <w:t xml:space="preserve">, ff. 4 a 6; </w:t>
      </w:r>
      <w:hyperlink w:anchor="SENTENCIA_2012_45" w:history="1">
        <w:r w:rsidRPr="00BA1B56">
          <w:rPr>
            <w:rStyle w:val="TextoNormalCaracter"/>
          </w:rPr>
          <w:t>45/2012</w:t>
        </w:r>
      </w:hyperlink>
      <w:r w:rsidRPr="00BA1B56">
        <w:rPr>
          <w:rStyle w:val="TextoNormalCaracter"/>
        </w:rPr>
        <w:t xml:space="preserve">, ff. 4 a 6; </w:t>
      </w:r>
      <w:hyperlink w:anchor="SENTENCIA_2012_46" w:history="1">
        <w:r w:rsidRPr="00BA1B56">
          <w:rPr>
            <w:rStyle w:val="TextoNormalCaracter"/>
          </w:rPr>
          <w:t>46/2012</w:t>
        </w:r>
      </w:hyperlink>
      <w:r w:rsidRPr="00BA1B56">
        <w:rPr>
          <w:rStyle w:val="TextoNormalCaracter"/>
        </w:rPr>
        <w:t xml:space="preserve">, ff. 6 a 8; </w:t>
      </w:r>
      <w:hyperlink w:anchor="SENTENCIA_2012_47" w:history="1">
        <w:r w:rsidRPr="00BA1B56">
          <w:rPr>
            <w:rStyle w:val="TextoNormalCaracter"/>
          </w:rPr>
          <w:t>47/2012</w:t>
        </w:r>
      </w:hyperlink>
      <w:r w:rsidRPr="00BA1B56">
        <w:rPr>
          <w:rStyle w:val="TextoNormalCaracter"/>
        </w:rPr>
        <w:t xml:space="preserve">, f. 6; </w:t>
      </w:r>
      <w:hyperlink w:anchor="SENTENCIA_2012_48" w:history="1">
        <w:r w:rsidRPr="00BA1B56">
          <w:rPr>
            <w:rStyle w:val="TextoNormalCaracter"/>
          </w:rPr>
          <w:t>48/2012</w:t>
        </w:r>
      </w:hyperlink>
      <w:r w:rsidRPr="00BA1B56">
        <w:rPr>
          <w:rStyle w:val="TextoNormalCaracter"/>
        </w:rPr>
        <w:t xml:space="preserve">, f. 7; </w:t>
      </w:r>
      <w:hyperlink w:anchor="SENTENCIA_2012_49" w:history="1">
        <w:r w:rsidRPr="00BA1B56">
          <w:rPr>
            <w:rStyle w:val="TextoNormalCaracter"/>
          </w:rPr>
          <w:t>49/2012</w:t>
        </w:r>
      </w:hyperlink>
      <w:r w:rsidRPr="00BA1B56">
        <w:rPr>
          <w:rStyle w:val="TextoNormalCaracter"/>
        </w:rPr>
        <w:t xml:space="preserve">, f. 7; </w:t>
      </w:r>
      <w:hyperlink w:anchor="SENTENCIA_2012_50" w:history="1">
        <w:r w:rsidRPr="00BA1B56">
          <w:rPr>
            <w:rStyle w:val="TextoNormalCaracter"/>
          </w:rPr>
          <w:t>50/2012</w:t>
        </w:r>
      </w:hyperlink>
      <w:r w:rsidRPr="00BA1B56">
        <w:rPr>
          <w:rStyle w:val="TextoNormalCaracter"/>
        </w:rPr>
        <w:t xml:space="preserve">, f. 6; </w:t>
      </w:r>
      <w:hyperlink w:anchor="SENTENCIA_2012_51" w:history="1">
        <w:r w:rsidRPr="00BA1B56">
          <w:rPr>
            <w:rStyle w:val="TextoNormalCaracter"/>
          </w:rPr>
          <w:t>51/2012</w:t>
        </w:r>
      </w:hyperlink>
      <w:r w:rsidRPr="00BA1B56">
        <w:rPr>
          <w:rStyle w:val="TextoNormalCaracter"/>
        </w:rPr>
        <w:t xml:space="preserve">, ff. 5 a 7; </w:t>
      </w:r>
      <w:hyperlink w:anchor="SENTENCIA_2012_52" w:history="1">
        <w:r w:rsidRPr="00BA1B56">
          <w:rPr>
            <w:rStyle w:val="TextoNormalCaracter"/>
          </w:rPr>
          <w:t>52/2012</w:t>
        </w:r>
      </w:hyperlink>
      <w:r w:rsidRPr="00BA1B56">
        <w:rPr>
          <w:rStyle w:val="TextoNormalCaracter"/>
        </w:rPr>
        <w:t xml:space="preserve">, ff. 4 a 6; </w:t>
      </w:r>
      <w:hyperlink w:anchor="SENTENCIA_2012_53" w:history="1">
        <w:r w:rsidRPr="00BA1B56">
          <w:rPr>
            <w:rStyle w:val="TextoNormalCaracter"/>
          </w:rPr>
          <w:t>53/2012</w:t>
        </w:r>
      </w:hyperlink>
      <w:r w:rsidRPr="00BA1B56">
        <w:rPr>
          <w:rStyle w:val="TextoNormalCaracter"/>
        </w:rPr>
        <w:t xml:space="preserve">, ff. 5 a 7; </w:t>
      </w:r>
      <w:hyperlink w:anchor="SENTENCIA_2012_54" w:history="1">
        <w:r w:rsidRPr="00BA1B56">
          <w:rPr>
            <w:rStyle w:val="TextoNormalCaracter"/>
          </w:rPr>
          <w:t>54/2012</w:t>
        </w:r>
      </w:hyperlink>
      <w:r w:rsidRPr="00BA1B56">
        <w:rPr>
          <w:rStyle w:val="TextoNormalCaracter"/>
        </w:rPr>
        <w:t xml:space="preserve">, ff. 6 a 8; </w:t>
      </w:r>
      <w:hyperlink w:anchor="SENTENCIA_2012_55" w:history="1">
        <w:r w:rsidRPr="00BA1B56">
          <w:rPr>
            <w:rStyle w:val="TextoNormalCaracter"/>
          </w:rPr>
          <w:t>55/2012</w:t>
        </w:r>
      </w:hyperlink>
      <w:r w:rsidRPr="00BA1B56">
        <w:rPr>
          <w:rStyle w:val="TextoNormalCaracter"/>
        </w:rPr>
        <w:t xml:space="preserve">, ff. 7, 8; </w:t>
      </w:r>
      <w:hyperlink w:anchor="SENTENCIA_2012_56" w:history="1">
        <w:r w:rsidRPr="00BA1B56">
          <w:rPr>
            <w:rStyle w:val="TextoNormalCaracter"/>
          </w:rPr>
          <w:t>56/2012</w:t>
        </w:r>
      </w:hyperlink>
      <w:r w:rsidRPr="00BA1B56">
        <w:rPr>
          <w:rStyle w:val="TextoNormalCaracter"/>
        </w:rPr>
        <w:t xml:space="preserve">, ff. 3 a 5; </w:t>
      </w:r>
      <w:hyperlink w:anchor="SENTENCIA_2012_57" w:history="1">
        <w:r w:rsidRPr="00BA1B56">
          <w:rPr>
            <w:rStyle w:val="TextoNormalCaracter"/>
          </w:rPr>
          <w:t>57/2012</w:t>
        </w:r>
      </w:hyperlink>
      <w:r w:rsidRPr="00BA1B56">
        <w:rPr>
          <w:rStyle w:val="TextoNormalCaracter"/>
        </w:rPr>
        <w:t xml:space="preserve">, ff. 4, 5, 7, 8; </w:t>
      </w:r>
      <w:hyperlink w:anchor="SENTENCIA_2012_59" w:history="1">
        <w:r w:rsidRPr="00BA1B56">
          <w:rPr>
            <w:rStyle w:val="TextoNormalCaracter"/>
          </w:rPr>
          <w:t>59/2012</w:t>
        </w:r>
      </w:hyperlink>
      <w:r w:rsidRPr="00BA1B56">
        <w:rPr>
          <w:rStyle w:val="TextoNormalCaracter"/>
        </w:rPr>
        <w:t xml:space="preserve">, ff. 3 a 5; </w:t>
      </w:r>
      <w:hyperlink w:anchor="SENTENCIA_2012_61" w:history="1">
        <w:r w:rsidRPr="00BA1B56">
          <w:rPr>
            <w:rStyle w:val="TextoNormalCaracter"/>
          </w:rPr>
          <w:t>61/2012</w:t>
        </w:r>
      </w:hyperlink>
      <w:r w:rsidRPr="00BA1B56">
        <w:rPr>
          <w:rStyle w:val="TextoNormalCaracter"/>
        </w:rPr>
        <w:t xml:space="preserve">, ff. 5, 6; </w:t>
      </w:r>
      <w:hyperlink w:anchor="SENTENCIA_2012_62" w:history="1">
        <w:r w:rsidRPr="00BA1B56">
          <w:rPr>
            <w:rStyle w:val="TextoNormalCaracter"/>
          </w:rPr>
          <w:t>62/2012</w:t>
        </w:r>
      </w:hyperlink>
      <w:r w:rsidRPr="00BA1B56">
        <w:rPr>
          <w:rStyle w:val="TextoNormalCaracter"/>
        </w:rPr>
        <w:t xml:space="preserve">, ff. 2, 3; </w:t>
      </w:r>
      <w:hyperlink w:anchor="SENTENCIA_2012_64" w:history="1">
        <w:r w:rsidRPr="00BA1B56">
          <w:rPr>
            <w:rStyle w:val="TextoNormalCaracter"/>
          </w:rPr>
          <w:t>64/2012</w:t>
        </w:r>
      </w:hyperlink>
      <w:r w:rsidRPr="00BA1B56">
        <w:rPr>
          <w:rStyle w:val="TextoNormalCaracter"/>
        </w:rPr>
        <w:t xml:space="preserve">, ff. 5, 6, 7; </w:t>
      </w:r>
      <w:hyperlink w:anchor="SENTENCIA_2012_65" w:history="1">
        <w:r w:rsidRPr="00BA1B56">
          <w:rPr>
            <w:rStyle w:val="TextoNormalCaracter"/>
          </w:rPr>
          <w:t>65/2012</w:t>
        </w:r>
      </w:hyperlink>
      <w:r w:rsidRPr="00BA1B56">
        <w:rPr>
          <w:rStyle w:val="TextoNormalCaracter"/>
        </w:rPr>
        <w:t xml:space="preserve">, ff. 6, 7, 8; </w:t>
      </w:r>
      <w:hyperlink w:anchor="SENTENCIA_2012_66" w:history="1">
        <w:r w:rsidRPr="00BA1B56">
          <w:rPr>
            <w:rStyle w:val="TextoNormalCaracter"/>
          </w:rPr>
          <w:t>66/2012</w:t>
        </w:r>
      </w:hyperlink>
      <w:r w:rsidRPr="00BA1B56">
        <w:rPr>
          <w:rStyle w:val="TextoNormalCaracter"/>
        </w:rPr>
        <w:t xml:space="preserve">, ff. 4, 5, 6; </w:t>
      </w:r>
      <w:hyperlink w:anchor="SENTENCIA_2012_67" w:history="1">
        <w:r w:rsidRPr="00BA1B56">
          <w:rPr>
            <w:rStyle w:val="TextoNormalCaracter"/>
          </w:rPr>
          <w:t>67/2012</w:t>
        </w:r>
      </w:hyperlink>
      <w:r w:rsidRPr="00BA1B56">
        <w:rPr>
          <w:rStyle w:val="TextoNormalCaracter"/>
        </w:rPr>
        <w:t xml:space="preserve">, ff. 5, 6, 7; </w:t>
      </w:r>
      <w:hyperlink w:anchor="SENTENCIA_2012_68" w:history="1">
        <w:r w:rsidRPr="00BA1B56">
          <w:rPr>
            <w:rStyle w:val="TextoNormalCaracter"/>
          </w:rPr>
          <w:t>68/2012</w:t>
        </w:r>
      </w:hyperlink>
      <w:r w:rsidRPr="00BA1B56">
        <w:rPr>
          <w:rStyle w:val="TextoNormalCaracter"/>
        </w:rPr>
        <w:t xml:space="preserve">, ff. 4 a 6; </w:t>
      </w:r>
      <w:hyperlink w:anchor="SENTENCIA_2012_69" w:history="1">
        <w:r w:rsidRPr="00BA1B56">
          <w:rPr>
            <w:rStyle w:val="TextoNormalCaracter"/>
          </w:rPr>
          <w:t>69/2012</w:t>
        </w:r>
      </w:hyperlink>
      <w:r w:rsidRPr="00BA1B56">
        <w:rPr>
          <w:rStyle w:val="TextoNormalCaracter"/>
        </w:rPr>
        <w:t xml:space="preserve">, ff. 6, 7, 8; </w:t>
      </w:r>
      <w:hyperlink w:anchor="SENTENCIA_2012_108" w:history="1">
        <w:r w:rsidRPr="00BA1B56">
          <w:rPr>
            <w:rStyle w:val="TextoNormalCaracter"/>
          </w:rPr>
          <w:t>108/2012</w:t>
        </w:r>
      </w:hyperlink>
      <w:r w:rsidRPr="00BA1B56">
        <w:rPr>
          <w:rStyle w:val="TextoNormalCaracter"/>
        </w:rPr>
        <w:t xml:space="preserve">, ff. 2, 3; </w:t>
      </w:r>
      <w:hyperlink w:anchor="SENTENCIA_2012_113" w:history="1">
        <w:r w:rsidRPr="00BA1B56">
          <w:rPr>
            <w:rStyle w:val="TextoNormalCaracter"/>
          </w:rPr>
          <w:t>113/2012</w:t>
        </w:r>
      </w:hyperlink>
      <w:r w:rsidRPr="00BA1B56">
        <w:rPr>
          <w:rStyle w:val="TextoNormalCaracter"/>
        </w:rPr>
        <w:t xml:space="preserve">, ff. 9, 11, 12; </w:t>
      </w:r>
      <w:hyperlink w:anchor="SENTENCIA_2012_114" w:history="1">
        <w:r w:rsidRPr="00BA1B56">
          <w:rPr>
            <w:rStyle w:val="TextoNormalCaracter"/>
          </w:rPr>
          <w:t>114/2012</w:t>
        </w:r>
      </w:hyperlink>
      <w:r w:rsidRPr="00BA1B56">
        <w:rPr>
          <w:rStyle w:val="TextoNormalCaracter"/>
        </w:rPr>
        <w:t>, ff. 5, 6.</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15" w:history="1">
        <w:r w:rsidRPr="00BA1B56">
          <w:rPr>
            <w:rStyle w:val="TextoNormalCaracter"/>
          </w:rPr>
          <w:t>15/2012</w:t>
        </w:r>
      </w:hyperlink>
      <w:r w:rsidRPr="00BA1B56">
        <w:rPr>
          <w:rStyle w:val="TextoNormalCaracter"/>
        </w:rPr>
        <w:t xml:space="preserve">, f. 3; </w:t>
      </w:r>
      <w:hyperlink w:anchor="AUTO_2012_22" w:history="1">
        <w:r w:rsidRPr="00BA1B56">
          <w:rPr>
            <w:rStyle w:val="TextoNormalCaracter"/>
          </w:rPr>
          <w:t>22/2012</w:t>
        </w:r>
      </w:hyperlink>
      <w:r w:rsidRPr="00BA1B56">
        <w:rPr>
          <w:rStyle w:val="TextoNormalCaracter"/>
        </w:rPr>
        <w:t>, f. único.</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Sentencias </w:t>
      </w:r>
      <w:hyperlink w:anchor="SENTENCIA_2012_40" w:history="1">
        <w:r w:rsidRPr="00BA1B56">
          <w:rPr>
            <w:rStyle w:val="TextoNormalCaracter"/>
          </w:rPr>
          <w:t>40/2012</w:t>
        </w:r>
      </w:hyperlink>
      <w:r w:rsidRPr="00BA1B56">
        <w:rPr>
          <w:rStyle w:val="TextoNormalCaracter"/>
        </w:rPr>
        <w:t xml:space="preserve">, ff. 8, 10, VP II; </w:t>
      </w:r>
      <w:hyperlink w:anchor="SENTENCIA_2012_42" w:history="1">
        <w:r w:rsidRPr="00BA1B56">
          <w:rPr>
            <w:rStyle w:val="TextoNormalCaracter"/>
          </w:rPr>
          <w:t>42/2012</w:t>
        </w:r>
      </w:hyperlink>
      <w:r w:rsidRPr="00BA1B56">
        <w:rPr>
          <w:rStyle w:val="TextoNormalCaracter"/>
        </w:rPr>
        <w:t xml:space="preserve">, ff. 8, 9; </w:t>
      </w:r>
      <w:hyperlink w:anchor="SENTENCIA_2012_43" w:history="1">
        <w:r w:rsidRPr="00BA1B56">
          <w:rPr>
            <w:rStyle w:val="TextoNormalCaracter"/>
          </w:rPr>
          <w:t>43/2012</w:t>
        </w:r>
      </w:hyperlink>
      <w:r w:rsidRPr="00BA1B56">
        <w:rPr>
          <w:rStyle w:val="TextoNormalCaracter"/>
        </w:rPr>
        <w:t xml:space="preserve">, ff. 6 a 8; </w:t>
      </w:r>
      <w:hyperlink w:anchor="SENTENCIA_2012_44" w:history="1">
        <w:r w:rsidRPr="00BA1B56">
          <w:rPr>
            <w:rStyle w:val="TextoNormalCaracter"/>
          </w:rPr>
          <w:t>44/2012</w:t>
        </w:r>
      </w:hyperlink>
      <w:r w:rsidRPr="00BA1B56">
        <w:rPr>
          <w:rStyle w:val="TextoNormalCaracter"/>
        </w:rPr>
        <w:t xml:space="preserve">, ff. 4 a 6; </w:t>
      </w:r>
      <w:hyperlink w:anchor="SENTENCIA_2012_45" w:history="1">
        <w:r w:rsidRPr="00BA1B56">
          <w:rPr>
            <w:rStyle w:val="TextoNormalCaracter"/>
          </w:rPr>
          <w:t>45/2012</w:t>
        </w:r>
      </w:hyperlink>
      <w:r w:rsidRPr="00BA1B56">
        <w:rPr>
          <w:rStyle w:val="TextoNormalCaracter"/>
        </w:rPr>
        <w:t xml:space="preserve">, ff. 4 a 6; </w:t>
      </w:r>
      <w:hyperlink w:anchor="SENTENCIA_2012_47" w:history="1">
        <w:r w:rsidRPr="00BA1B56">
          <w:rPr>
            <w:rStyle w:val="TextoNormalCaracter"/>
          </w:rPr>
          <w:t>47/2012</w:t>
        </w:r>
      </w:hyperlink>
      <w:r w:rsidRPr="00BA1B56">
        <w:rPr>
          <w:rStyle w:val="TextoNormalCaracter"/>
        </w:rPr>
        <w:t xml:space="preserve">, f. 6, VP II; </w:t>
      </w:r>
      <w:hyperlink w:anchor="SENTENCIA_2012_48" w:history="1">
        <w:r w:rsidRPr="00BA1B56">
          <w:rPr>
            <w:rStyle w:val="TextoNormalCaracter"/>
          </w:rPr>
          <w:t>48/2012</w:t>
        </w:r>
      </w:hyperlink>
      <w:r w:rsidRPr="00BA1B56">
        <w:rPr>
          <w:rStyle w:val="TextoNormalCaracter"/>
        </w:rPr>
        <w:t xml:space="preserve">, ff. 6, 7; </w:t>
      </w:r>
      <w:hyperlink w:anchor="SENTENCIA_2012_49" w:history="1">
        <w:r w:rsidRPr="00BA1B56">
          <w:rPr>
            <w:rStyle w:val="TextoNormalCaracter"/>
          </w:rPr>
          <w:t>49/2012</w:t>
        </w:r>
      </w:hyperlink>
      <w:r w:rsidRPr="00BA1B56">
        <w:rPr>
          <w:rStyle w:val="TextoNormalCaracter"/>
        </w:rPr>
        <w:t xml:space="preserve">, ff. 6, 7; </w:t>
      </w:r>
      <w:hyperlink w:anchor="SENTENCIA_2012_50" w:history="1">
        <w:r w:rsidRPr="00BA1B56">
          <w:rPr>
            <w:rStyle w:val="TextoNormalCaracter"/>
          </w:rPr>
          <w:t>50/2012</w:t>
        </w:r>
      </w:hyperlink>
      <w:r w:rsidRPr="00BA1B56">
        <w:rPr>
          <w:rStyle w:val="TextoNormalCaracter"/>
        </w:rPr>
        <w:t xml:space="preserve">, f. 6; </w:t>
      </w:r>
      <w:hyperlink w:anchor="SENTENCIA_2012_51" w:history="1">
        <w:r w:rsidRPr="00BA1B56">
          <w:rPr>
            <w:rStyle w:val="TextoNormalCaracter"/>
          </w:rPr>
          <w:t>51/2012</w:t>
        </w:r>
      </w:hyperlink>
      <w:r w:rsidRPr="00BA1B56">
        <w:rPr>
          <w:rStyle w:val="TextoNormalCaracter"/>
        </w:rPr>
        <w:t xml:space="preserve">, ff. 5 a 7; </w:t>
      </w:r>
      <w:hyperlink w:anchor="SENTENCIA_2012_52" w:history="1">
        <w:r w:rsidRPr="00BA1B56">
          <w:rPr>
            <w:rStyle w:val="TextoNormalCaracter"/>
          </w:rPr>
          <w:t>52/2012</w:t>
        </w:r>
      </w:hyperlink>
      <w:r w:rsidRPr="00BA1B56">
        <w:rPr>
          <w:rStyle w:val="TextoNormalCaracter"/>
        </w:rPr>
        <w:t xml:space="preserve">, ff. 4 a 6; </w:t>
      </w:r>
      <w:hyperlink w:anchor="SENTENCIA_2012_53" w:history="1">
        <w:r w:rsidRPr="00BA1B56">
          <w:rPr>
            <w:rStyle w:val="TextoNormalCaracter"/>
          </w:rPr>
          <w:t>53/2012</w:t>
        </w:r>
      </w:hyperlink>
      <w:r w:rsidRPr="00BA1B56">
        <w:rPr>
          <w:rStyle w:val="TextoNormalCaracter"/>
        </w:rPr>
        <w:t xml:space="preserve">, ff. 3, 5 a 7; </w:t>
      </w:r>
      <w:hyperlink w:anchor="SENTENCIA_2012_54" w:history="1">
        <w:r w:rsidRPr="00BA1B56">
          <w:rPr>
            <w:rStyle w:val="TextoNormalCaracter"/>
          </w:rPr>
          <w:t>54/2012</w:t>
        </w:r>
      </w:hyperlink>
      <w:r w:rsidRPr="00BA1B56">
        <w:rPr>
          <w:rStyle w:val="TextoNormalCaracter"/>
        </w:rPr>
        <w:t xml:space="preserve">, ff. 6 a 8; </w:t>
      </w:r>
      <w:hyperlink w:anchor="SENTENCIA_2012_55" w:history="1">
        <w:r w:rsidRPr="00BA1B56">
          <w:rPr>
            <w:rStyle w:val="TextoNormalCaracter"/>
          </w:rPr>
          <w:t>55/2012</w:t>
        </w:r>
      </w:hyperlink>
      <w:r w:rsidRPr="00BA1B56">
        <w:rPr>
          <w:rStyle w:val="TextoNormalCaracter"/>
        </w:rPr>
        <w:t xml:space="preserve">, ff. 7, 8; </w:t>
      </w:r>
      <w:hyperlink w:anchor="SENTENCIA_2012_56" w:history="1">
        <w:r w:rsidRPr="00BA1B56">
          <w:rPr>
            <w:rStyle w:val="TextoNormalCaracter"/>
          </w:rPr>
          <w:t>56/2012</w:t>
        </w:r>
      </w:hyperlink>
      <w:r w:rsidRPr="00BA1B56">
        <w:rPr>
          <w:rStyle w:val="TextoNormalCaracter"/>
        </w:rPr>
        <w:t xml:space="preserve">, ff. 3 a 5; </w:t>
      </w:r>
      <w:hyperlink w:anchor="SENTENCIA_2012_59" w:history="1">
        <w:r w:rsidRPr="00BA1B56">
          <w:rPr>
            <w:rStyle w:val="TextoNormalCaracter"/>
          </w:rPr>
          <w:t>59/2012</w:t>
        </w:r>
      </w:hyperlink>
      <w:r w:rsidRPr="00BA1B56">
        <w:rPr>
          <w:rStyle w:val="TextoNormalCaracter"/>
        </w:rPr>
        <w:t xml:space="preserve">, ff. 3 a 5; </w:t>
      </w:r>
      <w:hyperlink w:anchor="SENTENCIA_2012_61" w:history="1">
        <w:r w:rsidRPr="00BA1B56">
          <w:rPr>
            <w:rStyle w:val="TextoNormalCaracter"/>
          </w:rPr>
          <w:t>61/2012</w:t>
        </w:r>
      </w:hyperlink>
      <w:r w:rsidRPr="00BA1B56">
        <w:rPr>
          <w:rStyle w:val="TextoNormalCaracter"/>
        </w:rPr>
        <w:t xml:space="preserve">, f. 6; </w:t>
      </w:r>
      <w:hyperlink w:anchor="SENTENCIA_2012_64" w:history="1">
        <w:r w:rsidRPr="00BA1B56">
          <w:rPr>
            <w:rStyle w:val="TextoNormalCaracter"/>
          </w:rPr>
          <w:t>64/2012</w:t>
        </w:r>
      </w:hyperlink>
      <w:r w:rsidRPr="00BA1B56">
        <w:rPr>
          <w:rStyle w:val="TextoNormalCaracter"/>
        </w:rPr>
        <w:t xml:space="preserve">, ff. 5 a 7; </w:t>
      </w:r>
      <w:hyperlink w:anchor="SENTENCIA_2012_65" w:history="1">
        <w:r w:rsidRPr="00BA1B56">
          <w:rPr>
            <w:rStyle w:val="TextoNormalCaracter"/>
          </w:rPr>
          <w:t>65/2012</w:t>
        </w:r>
      </w:hyperlink>
      <w:r w:rsidRPr="00BA1B56">
        <w:rPr>
          <w:rStyle w:val="TextoNormalCaracter"/>
        </w:rPr>
        <w:t xml:space="preserve">, ff. 6 a 8; </w:t>
      </w:r>
      <w:hyperlink w:anchor="SENTENCIA_2012_66" w:history="1">
        <w:r w:rsidRPr="00BA1B56">
          <w:rPr>
            <w:rStyle w:val="TextoNormalCaracter"/>
          </w:rPr>
          <w:t>66/2012</w:t>
        </w:r>
      </w:hyperlink>
      <w:r w:rsidRPr="00BA1B56">
        <w:rPr>
          <w:rStyle w:val="TextoNormalCaracter"/>
        </w:rPr>
        <w:t xml:space="preserve">, ff. 4 a 6; </w:t>
      </w:r>
      <w:hyperlink w:anchor="SENTENCIA_2012_67" w:history="1">
        <w:r w:rsidRPr="00BA1B56">
          <w:rPr>
            <w:rStyle w:val="TextoNormalCaracter"/>
          </w:rPr>
          <w:t>67/2012</w:t>
        </w:r>
      </w:hyperlink>
      <w:r w:rsidRPr="00BA1B56">
        <w:rPr>
          <w:rStyle w:val="TextoNormalCaracter"/>
        </w:rPr>
        <w:t xml:space="preserve">, ff. 5 a 7; </w:t>
      </w:r>
      <w:hyperlink w:anchor="SENTENCIA_2012_68" w:history="1">
        <w:r w:rsidRPr="00BA1B56">
          <w:rPr>
            <w:rStyle w:val="TextoNormalCaracter"/>
          </w:rPr>
          <w:t>68/2012</w:t>
        </w:r>
      </w:hyperlink>
      <w:r w:rsidRPr="00BA1B56">
        <w:rPr>
          <w:rStyle w:val="TextoNormalCaracter"/>
        </w:rPr>
        <w:t xml:space="preserve">, ff. 4 a 6; </w:t>
      </w:r>
      <w:hyperlink w:anchor="SENTENCIA_2012_69" w:history="1">
        <w:r w:rsidRPr="00BA1B56">
          <w:rPr>
            <w:rStyle w:val="TextoNormalCaracter"/>
          </w:rPr>
          <w:t>69/2012</w:t>
        </w:r>
      </w:hyperlink>
      <w:r w:rsidRPr="00BA1B56">
        <w:rPr>
          <w:rStyle w:val="TextoNormalCaracter"/>
        </w:rPr>
        <w:t xml:space="preserve">, ff. 6 a 8; </w:t>
      </w:r>
      <w:hyperlink w:anchor="SENTENCIA_2012_108" w:history="1">
        <w:r w:rsidRPr="00BA1B56">
          <w:rPr>
            <w:rStyle w:val="TextoNormalCaracter"/>
          </w:rPr>
          <w:t>108/2012</w:t>
        </w:r>
      </w:hyperlink>
      <w:r w:rsidRPr="00BA1B56">
        <w:rPr>
          <w:rStyle w:val="TextoNormalCaracter"/>
        </w:rPr>
        <w:t xml:space="preserve">, ff. 2, 3; </w:t>
      </w:r>
      <w:hyperlink w:anchor="SENTENCIA_2012_114" w:history="1">
        <w:r w:rsidRPr="00BA1B56">
          <w:rPr>
            <w:rStyle w:val="TextoNormalCaracter"/>
          </w:rPr>
          <w:t>114/2012</w:t>
        </w:r>
      </w:hyperlink>
      <w:r w:rsidRPr="00BA1B56">
        <w:rPr>
          <w:rStyle w:val="TextoNormalCaracter"/>
        </w:rPr>
        <w:t>, ff. 5, 6.</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39" w:history="1">
        <w:r w:rsidRPr="00BA1B56">
          <w:rPr>
            <w:rStyle w:val="TextoNormalCaracter"/>
          </w:rPr>
          <w:t>39/2012</w:t>
        </w:r>
      </w:hyperlink>
      <w:r w:rsidRPr="00BA1B56">
        <w:rPr>
          <w:rStyle w:val="TextoNormalCaracter"/>
        </w:rPr>
        <w:t xml:space="preserve">, f. 7; </w:t>
      </w:r>
      <w:hyperlink w:anchor="SENTENCIA_2012_57" w:history="1">
        <w:r w:rsidRPr="00BA1B56">
          <w:rPr>
            <w:rStyle w:val="TextoNormalCaracter"/>
          </w:rPr>
          <w:t>57/2012</w:t>
        </w:r>
      </w:hyperlink>
      <w:r w:rsidRPr="00BA1B56">
        <w:rPr>
          <w:rStyle w:val="TextoNormalCaracter"/>
        </w:rPr>
        <w:t xml:space="preserve">, ff. 2, 4, 5, 7; </w:t>
      </w:r>
      <w:hyperlink w:anchor="SENTENCIA_2012_62" w:history="1">
        <w:r w:rsidRPr="00BA1B56">
          <w:rPr>
            <w:rStyle w:val="TextoNormalCaracter"/>
          </w:rPr>
          <w:t>62/2012</w:t>
        </w:r>
      </w:hyperlink>
      <w:r w:rsidRPr="00BA1B56">
        <w:rPr>
          <w:rStyle w:val="TextoNormalCaracter"/>
        </w:rPr>
        <w:t xml:space="preserve">, ff. 1 a 3; </w:t>
      </w:r>
      <w:hyperlink w:anchor="SENTENCIA_2012_113" w:history="1">
        <w:r w:rsidRPr="00BA1B56">
          <w:rPr>
            <w:rStyle w:val="TextoNormalCaracter"/>
          </w:rPr>
          <w:t>113/2012</w:t>
        </w:r>
      </w:hyperlink>
      <w:r w:rsidRPr="00BA1B56">
        <w:rPr>
          <w:rStyle w:val="TextoNormalCaracter"/>
        </w:rPr>
        <w:t>, ff. 9, 11.</w:t>
      </w:r>
    </w:p>
    <w:p w:rsidR="00BA1B56" w:rsidRPr="00BA1B56" w:rsidRDefault="00BA1B56" w:rsidP="00BA1B56">
      <w:pPr>
        <w:pStyle w:val="TextoNormalSangraFrancesa"/>
        <w:rPr>
          <w:rStyle w:val="TextoNormalNegritaCaracter"/>
        </w:rPr>
      </w:pPr>
      <w:r w:rsidRPr="00BA1B56">
        <w:rPr>
          <w:rStyle w:val="TextoNormalCursivaCaracter"/>
        </w:rPr>
        <w:t>Interdicción de la arbitrariedad de los poderes públicos</w:t>
      </w:r>
      <w:r>
        <w:t xml:space="preserve"> véase </w:t>
      </w:r>
      <w:hyperlink w:anchor="DESCRIPTORALFABETICO475" w:history="1">
        <w:r w:rsidRPr="00BA1B56">
          <w:rPr>
            <w:rStyle w:val="TextoNormalNegritaCaracter"/>
          </w:rPr>
          <w:t>Principio de interdicción de la arbitrariedad</w:t>
        </w:r>
      </w:hyperlink>
    </w:p>
    <w:p w:rsidR="00BA1B56" w:rsidRPr="00BA1B56" w:rsidRDefault="00BA1B56" w:rsidP="00BA1B56">
      <w:pPr>
        <w:pStyle w:val="TextoNormalSangraFrancesa"/>
        <w:rPr>
          <w:rStyle w:val="TextoNormalCaracter"/>
        </w:rPr>
      </w:pPr>
      <w:bookmarkStart w:id="1849" w:name="DESCRIPTORALFABETICO504"/>
      <w:r w:rsidRPr="00BA1B56">
        <w:rPr>
          <w:rStyle w:val="TextoNormalNegritaCaracter"/>
        </w:rPr>
        <w:t>Interés general</w:t>
      </w:r>
      <w:bookmarkEnd w:id="1849"/>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1850" w:name="DESCRIPTORALFABETICO923"/>
      <w:r w:rsidRPr="00BA1B56">
        <w:rPr>
          <w:rStyle w:val="TextoNormalNegritaCaracter"/>
        </w:rPr>
        <w:t>Interés legítimo</w:t>
      </w:r>
      <w:bookmarkEnd w:id="1850"/>
      <w:r w:rsidRPr="00BA1B56">
        <w:rPr>
          <w:rStyle w:val="TextoNormalCaracter"/>
        </w:rPr>
        <w:t xml:space="preserve">, Sentencia </w:t>
      </w:r>
      <w:hyperlink w:anchor="SENTENCIA_2012_15" w:history="1">
        <w:r w:rsidRPr="00BA1B56">
          <w:rPr>
            <w:rStyle w:val="TextoNormalCaracter"/>
          </w:rPr>
          <w:t>15/2012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51" w:name="DESCRIPTORALFABETICO374"/>
      <w:r w:rsidRPr="00BA1B56">
        <w:rPr>
          <w:rStyle w:val="TextoNormalNegritaCaracter"/>
        </w:rPr>
        <w:t>Interés legítimo en el recurso de amparo</w:t>
      </w:r>
      <w:bookmarkEnd w:id="1851"/>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Interés procesal</w:t>
      </w:r>
      <w:r>
        <w:t xml:space="preserve"> véase </w:t>
      </w:r>
      <w:hyperlink w:anchor="DESCRIPTORALFABETICO923" w:history="1">
        <w:r w:rsidRPr="00BA1B56">
          <w:rPr>
            <w:rStyle w:val="TextoNormalNegritaCaracter"/>
          </w:rPr>
          <w:t>Interés legítimo</w:t>
        </w:r>
      </w:hyperlink>
    </w:p>
    <w:p w:rsidR="00BA1B56" w:rsidRPr="00BA1B56" w:rsidRDefault="00BA1B56" w:rsidP="00BA1B56">
      <w:pPr>
        <w:pStyle w:val="TextoNormalSangraFrancesa"/>
        <w:rPr>
          <w:rStyle w:val="TextoNormalNegritaCaracter"/>
        </w:rPr>
      </w:pPr>
      <w:r w:rsidRPr="00BA1B56">
        <w:rPr>
          <w:rStyle w:val="TextoNormalCursivaCaracter"/>
        </w:rPr>
        <w:t>Interés propio</w:t>
      </w:r>
      <w:r>
        <w:t xml:space="preserve"> véase </w:t>
      </w:r>
      <w:hyperlink w:anchor="DESCRIPTORALFABETICO923" w:history="1">
        <w:r w:rsidRPr="00BA1B56">
          <w:rPr>
            <w:rStyle w:val="TextoNormalNegritaCaracter"/>
          </w:rPr>
          <w:t>Interés legítimo</w:t>
        </w:r>
      </w:hyperlink>
    </w:p>
    <w:p w:rsidR="00BA1B56" w:rsidRPr="00BA1B56" w:rsidRDefault="00BA1B56" w:rsidP="00BA1B56">
      <w:pPr>
        <w:pStyle w:val="TextoNormalSangraFrancesa"/>
        <w:rPr>
          <w:rStyle w:val="TextoNormalNegritaCaracter"/>
        </w:rPr>
      </w:pPr>
      <w:r w:rsidRPr="00BA1B56">
        <w:rPr>
          <w:rStyle w:val="TextoNormalCursivaCaracter"/>
        </w:rPr>
        <w:t>Interés público</w:t>
      </w:r>
      <w:r>
        <w:t xml:space="preserve"> véase </w:t>
      </w:r>
      <w:hyperlink w:anchor="DESCRIPTORALFABETICO504" w:history="1">
        <w:r w:rsidRPr="00BA1B56">
          <w:rPr>
            <w:rStyle w:val="TextoNormalNegritaCaracter"/>
          </w:rPr>
          <w:t>Interés general</w:t>
        </w:r>
      </w:hyperlink>
    </w:p>
    <w:p w:rsidR="00BA1B56" w:rsidRPr="00BA1B56" w:rsidRDefault="00BA1B56" w:rsidP="00BA1B56">
      <w:pPr>
        <w:pStyle w:val="TextoNormalSangraFrancesa"/>
        <w:rPr>
          <w:rStyle w:val="TextoNormalNegritaCaracter"/>
        </w:rPr>
      </w:pPr>
      <w:r w:rsidRPr="00BA1B56">
        <w:rPr>
          <w:rStyle w:val="TextoNormalCursivaCaracter"/>
        </w:rPr>
        <w:t>Interés público de la información</w:t>
      </w:r>
      <w:r>
        <w:t xml:space="preserve"> véase </w:t>
      </w:r>
      <w:hyperlink w:anchor="DESCRIPTORALFABETICO245" w:history="1">
        <w:r w:rsidRPr="00BA1B56">
          <w:rPr>
            <w:rStyle w:val="TextoNormalNegritaCaracter"/>
          </w:rPr>
          <w:t>Relevancia pública de la información</w:t>
        </w:r>
      </w:hyperlink>
    </w:p>
    <w:p w:rsidR="00BA1B56" w:rsidRPr="00BA1B56" w:rsidRDefault="00BA1B56" w:rsidP="00BA1B56">
      <w:pPr>
        <w:pStyle w:val="TextoNormalSangraFrancesa"/>
        <w:rPr>
          <w:rStyle w:val="TextoNormalCaracter"/>
        </w:rPr>
      </w:pPr>
      <w:bookmarkStart w:id="1852" w:name="DESCRIPTORALFABETICO733"/>
      <w:r w:rsidRPr="00BA1B56">
        <w:rPr>
          <w:rStyle w:val="TextoNormalNegritaCaracter"/>
        </w:rPr>
        <w:t>Interpretación conforme a la Constitución</w:t>
      </w:r>
      <w:bookmarkEnd w:id="1852"/>
      <w:r w:rsidRPr="00BA1B56">
        <w:rPr>
          <w:rStyle w:val="TextoNormalCaracter"/>
        </w:rPr>
        <w:t xml:space="preserve">, Sentencias </w:t>
      </w:r>
      <w:hyperlink w:anchor="SENTENCIA_2012_80" w:history="1">
        <w:r w:rsidRPr="00BA1B56">
          <w:rPr>
            <w:rStyle w:val="TextoNormalCaracter"/>
          </w:rPr>
          <w:t>80/2012</w:t>
        </w:r>
      </w:hyperlink>
      <w:r w:rsidRPr="00BA1B56">
        <w:rPr>
          <w:rStyle w:val="TextoNormalCaracter"/>
        </w:rPr>
        <w:t xml:space="preserve">, ff. 10, 11, VP I, VP II; </w:t>
      </w:r>
      <w:hyperlink w:anchor="SENTENCIA_2012_105" w:history="1">
        <w:r w:rsidRPr="00BA1B56">
          <w:rPr>
            <w:rStyle w:val="TextoNormalCaracter"/>
          </w:rPr>
          <w:t>105/2012</w:t>
        </w:r>
      </w:hyperlink>
      <w:r w:rsidRPr="00BA1B56">
        <w:rPr>
          <w:rStyle w:val="TextoNormalCaracter"/>
        </w:rPr>
        <w:t xml:space="preserve">, f. 9; </w:t>
      </w:r>
      <w:hyperlink w:anchor="SENTENCIA_2012_110" w:history="1">
        <w:r w:rsidRPr="00BA1B56">
          <w:rPr>
            <w:rStyle w:val="TextoNormalCaracter"/>
          </w:rPr>
          <w:t>110/2012</w:t>
        </w:r>
      </w:hyperlink>
      <w:r w:rsidRPr="00BA1B56">
        <w:rPr>
          <w:rStyle w:val="TextoNormalCaracter"/>
        </w:rPr>
        <w:t>, f. 6.</w:t>
      </w:r>
    </w:p>
    <w:p w:rsidR="00BA1B56" w:rsidRPr="00BA1B56" w:rsidRDefault="00BA1B56" w:rsidP="00BA1B56">
      <w:pPr>
        <w:pStyle w:val="TextoNormalSangraFrancesa"/>
        <w:rPr>
          <w:rStyle w:val="TextoNormalCaracter"/>
        </w:rPr>
      </w:pPr>
      <w:bookmarkStart w:id="1853" w:name="DESCRIPTORALFABETICO732"/>
      <w:r w:rsidRPr="00BA1B56">
        <w:rPr>
          <w:rStyle w:val="TextoNormalNegritaCaracter"/>
        </w:rPr>
        <w:t>Interpretación de las normas jurídicas</w:t>
      </w:r>
      <w:bookmarkEnd w:id="1853"/>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 4, VP I; </w:t>
      </w:r>
      <w:hyperlink w:anchor="SENTENCIA_2012_75" w:history="1">
        <w:r w:rsidRPr="00BA1B56">
          <w:rPr>
            <w:rStyle w:val="TextoNormalCaracter"/>
          </w:rPr>
          <w:t>75/2012</w:t>
        </w:r>
      </w:hyperlink>
      <w:r w:rsidRPr="00BA1B56">
        <w:rPr>
          <w:rStyle w:val="TextoNormalCaracter"/>
        </w:rPr>
        <w:t xml:space="preserve">, f. 3; </w:t>
      </w:r>
      <w:hyperlink w:anchor="SENTENCIA_2012_91" w:history="1">
        <w:r w:rsidRPr="00BA1B56">
          <w:rPr>
            <w:rStyle w:val="TextoNormalCaracter"/>
          </w:rPr>
          <w:t>91/2012</w:t>
        </w:r>
      </w:hyperlink>
      <w:r w:rsidRPr="00BA1B56">
        <w:rPr>
          <w:rStyle w:val="TextoNormalCaracter"/>
        </w:rPr>
        <w:t xml:space="preserve">, f. 3; </w:t>
      </w:r>
      <w:hyperlink w:anchor="SENTENCIA_2012_92" w:history="1">
        <w:r w:rsidRPr="00BA1B56">
          <w:rPr>
            <w:rStyle w:val="TextoNormalCaracter"/>
          </w:rPr>
          <w:t>92/2012</w:t>
        </w:r>
      </w:hyperlink>
      <w:r w:rsidRPr="00BA1B56">
        <w:rPr>
          <w:rStyle w:val="TextoNormalCaracter"/>
        </w:rPr>
        <w:t xml:space="preserve">, f. 4; </w:t>
      </w:r>
      <w:hyperlink w:anchor="SENTENCIA_2012_94" w:history="1">
        <w:r w:rsidRPr="00BA1B56">
          <w:rPr>
            <w:rStyle w:val="TextoNormalCaracter"/>
          </w:rPr>
          <w:t>94/2012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854" w:name="DESCRIPTORALFABETICO734"/>
      <w:r w:rsidRPr="00BA1B56">
        <w:rPr>
          <w:rStyle w:val="TextoNormalNegritaCaracter"/>
        </w:rPr>
        <w:t>Interpretación de las normas más favorable a los derechos fundamentales</w:t>
      </w:r>
      <w:bookmarkEnd w:id="1854"/>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9, 16.</w:t>
      </w:r>
    </w:p>
    <w:p w:rsidR="00BA1B56" w:rsidRPr="00BA1B56" w:rsidRDefault="00BA1B56" w:rsidP="00BA1B56">
      <w:pPr>
        <w:pStyle w:val="TextoNormalSangraFrancesa"/>
        <w:rPr>
          <w:rStyle w:val="TextoNormalCaracter"/>
        </w:rPr>
      </w:pPr>
      <w:bookmarkStart w:id="1855" w:name="DESCRIPTORALFABETICO735"/>
      <w:r w:rsidRPr="00BA1B56">
        <w:rPr>
          <w:rStyle w:val="TextoNormalNegritaCaracter"/>
        </w:rPr>
        <w:t>Interpretación extensiva del tipo</w:t>
      </w:r>
      <w:bookmarkEnd w:id="1855"/>
      <w:r w:rsidRPr="00BA1B56">
        <w:rPr>
          <w:rStyle w:val="TextoNormalCaracter"/>
        </w:rPr>
        <w:t xml:space="preserve">, Sentencias </w:t>
      </w:r>
      <w:hyperlink w:anchor="SENTENCIA_2012_90" w:history="1">
        <w:r w:rsidRPr="00BA1B56">
          <w:rPr>
            <w:rStyle w:val="TextoNormalCaracter"/>
          </w:rPr>
          <w:t>90/2012</w:t>
        </w:r>
      </w:hyperlink>
      <w:r w:rsidRPr="00BA1B56">
        <w:rPr>
          <w:rStyle w:val="TextoNormalCaracter"/>
        </w:rPr>
        <w:t xml:space="preserve">, f. 5; </w:t>
      </w:r>
      <w:hyperlink w:anchor="SENTENCIA_2012_109" w:history="1">
        <w:r w:rsidRPr="00BA1B56">
          <w:rPr>
            <w:rStyle w:val="TextoNormalCaracter"/>
          </w:rPr>
          <w:t>109/2012</w:t>
        </w:r>
      </w:hyperlink>
      <w:r w:rsidRPr="00BA1B56">
        <w:rPr>
          <w:rStyle w:val="TextoNormalCaracter"/>
        </w:rPr>
        <w:t xml:space="preserve">, f. 3; </w:t>
      </w:r>
      <w:hyperlink w:anchor="SENTENCIA_2012_127" w:history="1">
        <w:r w:rsidRPr="00BA1B56">
          <w:rPr>
            <w:rStyle w:val="TextoNormalCaracter"/>
          </w:rPr>
          <w:t>127/2012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56" w:name="DESCRIPTORALFABETICO736"/>
      <w:r w:rsidRPr="00BA1B56">
        <w:rPr>
          <w:rStyle w:val="TextoNormalNegritaCaracter"/>
        </w:rPr>
        <w:t>Interpretación rigorista</w:t>
      </w:r>
      <w:bookmarkEnd w:id="1856"/>
      <w:r w:rsidRPr="00BA1B56">
        <w:rPr>
          <w:rStyle w:val="TextoNormalCaracter"/>
        </w:rPr>
        <w:t xml:space="preserve">, Sentencia </w:t>
      </w:r>
      <w:hyperlink w:anchor="SENTENCIA_2012_76" w:history="1">
        <w:r w:rsidRPr="00BA1B56">
          <w:rPr>
            <w:rStyle w:val="TextoNormalCaracter"/>
          </w:rPr>
          <w:t>76/2012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57" w:name="DESCRIPTORALFABETICO775"/>
      <w:r w:rsidRPr="00BA1B56">
        <w:rPr>
          <w:rStyle w:val="TextoNormalNegritaCaracter"/>
        </w:rPr>
        <w:t>Interrupción de la prescripción</w:t>
      </w:r>
      <w:bookmarkEnd w:id="1857"/>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58" w:name="DESCRIPTORALFABETICO231"/>
      <w:r w:rsidRPr="00BA1B56">
        <w:rPr>
          <w:rStyle w:val="TextoNormalNegritaCaracter"/>
        </w:rPr>
        <w:t>Intervención de las comunicaciones</w:t>
      </w:r>
      <w:bookmarkEnd w:id="1858"/>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6.</w:t>
      </w:r>
    </w:p>
    <w:p w:rsidR="00BA1B56" w:rsidRPr="00BA1B56" w:rsidRDefault="00BA1B56" w:rsidP="00BA1B56">
      <w:pPr>
        <w:pStyle w:val="TextoNormalSangraFrancesa"/>
        <w:rPr>
          <w:rStyle w:val="TextoNormalCaracter"/>
        </w:rPr>
      </w:pPr>
      <w:bookmarkStart w:id="1859" w:name="DESCRIPTORALFABETICO789"/>
      <w:r w:rsidRPr="00BA1B56">
        <w:rPr>
          <w:rStyle w:val="TextoNormalNegritaCaracter"/>
        </w:rPr>
        <w:t>Intervención de las comunicaciones de un recluso remitida a la autoridad judicial</w:t>
      </w:r>
      <w:bookmarkEnd w:id="1859"/>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5.</w:t>
      </w:r>
    </w:p>
    <w:p w:rsidR="00BA1B56" w:rsidRPr="00BA1B56" w:rsidRDefault="00BA1B56" w:rsidP="00BA1B56">
      <w:pPr>
        <w:pStyle w:val="TextoNormalSangraFrancesa"/>
        <w:rPr>
          <w:rStyle w:val="TextoNormalCaracter"/>
        </w:rPr>
      </w:pPr>
      <w:bookmarkStart w:id="1860" w:name="DESCRIPTORALFABETICO963"/>
      <w:r w:rsidRPr="00BA1B56">
        <w:rPr>
          <w:rStyle w:val="TextoNormalNegritaCaracter"/>
        </w:rPr>
        <w:t>Investigación insuficiente</w:t>
      </w:r>
      <w:bookmarkEnd w:id="1860"/>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3, 6.</w:t>
      </w:r>
    </w:p>
    <w:p w:rsidR="00BA1B56" w:rsidRPr="00BA1B56" w:rsidRDefault="00BA1B56" w:rsidP="00BA1B56">
      <w:pPr>
        <w:pStyle w:val="TextoNormalSangraFrancesa"/>
        <w:rPr>
          <w:rStyle w:val="TextoNormalCaracter"/>
        </w:rPr>
      </w:pPr>
      <w:bookmarkStart w:id="1861" w:name="DESCRIPTORALFABETICO364"/>
      <w:r w:rsidRPr="00BA1B56">
        <w:rPr>
          <w:rStyle w:val="TextoNormalNegritaCaracter"/>
        </w:rPr>
        <w:t xml:space="preserve">Invocación </w:t>
      </w:r>
      <w:r w:rsidRPr="00BA1B56">
        <w:rPr>
          <w:rStyle w:val="TextoNormalNegritaCaracter"/>
          <w:i/>
        </w:rPr>
        <w:t>per saltum</w:t>
      </w:r>
      <w:bookmarkEnd w:id="1861"/>
      <w:r w:rsidRPr="00BA1B56">
        <w:rPr>
          <w:rStyle w:val="TextoNormalCaracter"/>
        </w:rPr>
        <w:t xml:space="preserve">, Sentencias </w:t>
      </w:r>
      <w:hyperlink w:anchor="SENTENCIA_2012_40" w:history="1">
        <w:r w:rsidRPr="00BA1B56">
          <w:rPr>
            <w:rStyle w:val="TextoNormalCaracter"/>
          </w:rPr>
          <w:t>40/2012</w:t>
        </w:r>
      </w:hyperlink>
      <w:r w:rsidRPr="00BA1B56">
        <w:rPr>
          <w:rStyle w:val="TextoNormalCaracter"/>
        </w:rPr>
        <w:t xml:space="preserve">, ff. 2, 3; </w:t>
      </w:r>
      <w:hyperlink w:anchor="SENTENCIA_2012_41" w:history="1">
        <w:r w:rsidRPr="00BA1B56">
          <w:rPr>
            <w:rStyle w:val="TextoNormalCaracter"/>
          </w:rPr>
          <w:t>41/2012</w:t>
        </w:r>
      </w:hyperlink>
      <w:r w:rsidRPr="00BA1B56">
        <w:rPr>
          <w:rStyle w:val="TextoNormalCaracter"/>
        </w:rPr>
        <w:t xml:space="preserve">, ff. 3, 4; </w:t>
      </w:r>
      <w:hyperlink w:anchor="SENTENCIA_2012_42" w:history="1">
        <w:r w:rsidRPr="00BA1B56">
          <w:rPr>
            <w:rStyle w:val="TextoNormalCaracter"/>
          </w:rPr>
          <w:t>42/2012</w:t>
        </w:r>
      </w:hyperlink>
      <w:r w:rsidRPr="00BA1B56">
        <w:rPr>
          <w:rStyle w:val="TextoNormalCaracter"/>
        </w:rPr>
        <w:t xml:space="preserve">, f. 3; </w:t>
      </w:r>
      <w:hyperlink w:anchor="SENTENCIA_2012_43" w:history="1">
        <w:r w:rsidRPr="00BA1B56">
          <w:rPr>
            <w:rStyle w:val="TextoNormalCaracter"/>
          </w:rPr>
          <w:t>43/2012</w:t>
        </w:r>
      </w:hyperlink>
      <w:r w:rsidRPr="00BA1B56">
        <w:rPr>
          <w:rStyle w:val="TextoNormalCaracter"/>
        </w:rPr>
        <w:t xml:space="preserve">, f. 2; </w:t>
      </w:r>
      <w:hyperlink w:anchor="SENTENCIA_2012_44" w:history="1">
        <w:r w:rsidRPr="00BA1B56">
          <w:rPr>
            <w:rStyle w:val="TextoNormalCaracter"/>
          </w:rPr>
          <w:t>44/2012</w:t>
        </w:r>
      </w:hyperlink>
      <w:r w:rsidRPr="00BA1B56">
        <w:rPr>
          <w:rStyle w:val="TextoNormalCaracter"/>
        </w:rPr>
        <w:t xml:space="preserve">, f. 2; </w:t>
      </w:r>
      <w:hyperlink w:anchor="SENTENCIA_2012_45" w:history="1">
        <w:r w:rsidRPr="00BA1B56">
          <w:rPr>
            <w:rStyle w:val="TextoNormalCaracter"/>
          </w:rPr>
          <w:t>45/2012</w:t>
        </w:r>
      </w:hyperlink>
      <w:r w:rsidRPr="00BA1B56">
        <w:rPr>
          <w:rStyle w:val="TextoNormalCaracter"/>
        </w:rPr>
        <w:t xml:space="preserve">, f. 2; </w:t>
      </w:r>
      <w:hyperlink w:anchor="SENTENCIA_2012_46" w:history="1">
        <w:r w:rsidRPr="00BA1B56">
          <w:rPr>
            <w:rStyle w:val="TextoNormalCaracter"/>
          </w:rPr>
          <w:t>46/2012</w:t>
        </w:r>
      </w:hyperlink>
      <w:r w:rsidRPr="00BA1B56">
        <w:rPr>
          <w:rStyle w:val="TextoNormalCaracter"/>
        </w:rPr>
        <w:t xml:space="preserve">, f. 2; </w:t>
      </w:r>
      <w:hyperlink w:anchor="SENTENCIA_2012_48" w:history="1">
        <w:r w:rsidRPr="00BA1B56">
          <w:rPr>
            <w:rStyle w:val="TextoNormalCaracter"/>
          </w:rPr>
          <w:t>48/2012</w:t>
        </w:r>
      </w:hyperlink>
      <w:r w:rsidRPr="00BA1B56">
        <w:rPr>
          <w:rStyle w:val="TextoNormalCaracter"/>
        </w:rPr>
        <w:t xml:space="preserve">, f. 3; </w:t>
      </w:r>
      <w:hyperlink w:anchor="SENTENCIA_2012_49" w:history="1">
        <w:r w:rsidRPr="00BA1B56">
          <w:rPr>
            <w:rStyle w:val="TextoNormalCaracter"/>
          </w:rPr>
          <w:t>49/2012</w:t>
        </w:r>
      </w:hyperlink>
      <w:r w:rsidRPr="00BA1B56">
        <w:rPr>
          <w:rStyle w:val="TextoNormalCaracter"/>
        </w:rPr>
        <w:t xml:space="preserve">, f. 2; </w:t>
      </w:r>
      <w:hyperlink w:anchor="SENTENCIA_2012_51" w:history="1">
        <w:r w:rsidRPr="00BA1B56">
          <w:rPr>
            <w:rStyle w:val="TextoNormalCaracter"/>
          </w:rPr>
          <w:t>51/2012</w:t>
        </w:r>
      </w:hyperlink>
      <w:r w:rsidRPr="00BA1B56">
        <w:rPr>
          <w:rStyle w:val="TextoNormalCaracter"/>
        </w:rPr>
        <w:t xml:space="preserve">, f. 3; </w:t>
      </w:r>
      <w:hyperlink w:anchor="SENTENCIA_2012_52" w:history="1">
        <w:r w:rsidRPr="00BA1B56">
          <w:rPr>
            <w:rStyle w:val="TextoNormalCaracter"/>
          </w:rPr>
          <w:t>52/2012</w:t>
        </w:r>
      </w:hyperlink>
      <w:r w:rsidRPr="00BA1B56">
        <w:rPr>
          <w:rStyle w:val="TextoNormalCaracter"/>
        </w:rPr>
        <w:t xml:space="preserve">, f. 2; </w:t>
      </w:r>
      <w:hyperlink w:anchor="SENTENCIA_2012_105" w:history="1">
        <w:r w:rsidRPr="00BA1B56">
          <w:rPr>
            <w:rStyle w:val="TextoNormalCaracter"/>
          </w:rPr>
          <w:t>105/2012</w:t>
        </w:r>
      </w:hyperlink>
      <w:r w:rsidRPr="00BA1B56">
        <w:rPr>
          <w:rStyle w:val="TextoNormalCaracter"/>
        </w:rPr>
        <w:t>, f. 11.</w:t>
      </w:r>
    </w:p>
    <w:p w:rsidR="00BA1B56" w:rsidRPr="00BA1B56" w:rsidRDefault="00BA1B56" w:rsidP="00BA1B56">
      <w:pPr>
        <w:pStyle w:val="TextoNormalSangraFrancesa"/>
        <w:rPr>
          <w:rStyle w:val="TextoNormalCaracter"/>
        </w:rPr>
      </w:pPr>
      <w:bookmarkStart w:id="1862" w:name="DESCRIPTORALFABETICO203"/>
      <w:r w:rsidRPr="00BA1B56">
        <w:rPr>
          <w:rStyle w:val="TextoNormalNegritaCaracter"/>
        </w:rPr>
        <w:t>Irrazonabilidad de las resoluciones judiciales</w:t>
      </w:r>
      <w:bookmarkEnd w:id="1862"/>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 </w:t>
      </w:r>
      <w:hyperlink w:anchor="SENTENCIA_2012_46" w:history="1">
        <w:r w:rsidRPr="00BA1B56">
          <w:rPr>
            <w:rStyle w:val="TextoNormalCaracter"/>
          </w:rPr>
          <w:t>46/2012</w:t>
        </w:r>
      </w:hyperlink>
      <w:r w:rsidRPr="00BA1B56">
        <w:rPr>
          <w:rStyle w:val="TextoNormalCaracter"/>
        </w:rPr>
        <w:t>, ff. 6 a 8.</w:t>
      </w:r>
    </w:p>
    <w:p w:rsidR="00BA1B56" w:rsidRPr="00BA1B56" w:rsidRDefault="00BA1B56" w:rsidP="00BA1B56">
      <w:pPr>
        <w:pStyle w:val="TextoNormalSangraFrancesa"/>
        <w:rPr>
          <w:rStyle w:val="TextoNormalNegritaCaracter"/>
        </w:rPr>
      </w:pPr>
      <w:r w:rsidRPr="00BA1B56">
        <w:rPr>
          <w:rStyle w:val="TextoNormalCursivaCaracter"/>
        </w:rPr>
        <w:lastRenderedPageBreak/>
        <w:t>Irregularidades en el procedimiento legislativo</w:t>
      </w:r>
      <w:r>
        <w:t xml:space="preserve"> véase </w:t>
      </w:r>
      <w:hyperlink w:anchor="DESCRIPTORALFABETICO452" w:history="1">
        <w:r w:rsidRPr="00BA1B56">
          <w:rPr>
            <w:rStyle w:val="TextoNormalNegritaCaracter"/>
          </w:rPr>
          <w:t>Vicios en el procedimiento legislativo</w:t>
        </w:r>
      </w:hyperlink>
    </w:p>
    <w:p w:rsidR="00BA1B56" w:rsidRPr="00BA1B56" w:rsidRDefault="00BA1B56" w:rsidP="00BA1B56">
      <w:pPr>
        <w:pStyle w:val="TextoNormalSangraFrancesa"/>
        <w:rPr>
          <w:rStyle w:val="TextoNormalCaracter"/>
        </w:rPr>
      </w:pPr>
      <w:bookmarkStart w:id="1863" w:name="DESCRIPTORALFABETICO136"/>
      <w:r w:rsidRPr="00BA1B56">
        <w:rPr>
          <w:rStyle w:val="TextoNormalNegritaCaracter"/>
        </w:rPr>
        <w:t>Irregularidades no determinantes del resultado</w:t>
      </w:r>
      <w:bookmarkEnd w:id="1863"/>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16 a 19.</w:t>
      </w:r>
    </w:p>
    <w:p w:rsidR="00BA1B56" w:rsidRPr="00BA1B56" w:rsidRDefault="00BA1B56" w:rsidP="00BA1B56">
      <w:pPr>
        <w:pStyle w:val="TextoNormalSangraFrancesa"/>
        <w:rPr>
          <w:rStyle w:val="TextoNormalCaracter"/>
        </w:rPr>
      </w:pPr>
      <w:bookmarkStart w:id="1864" w:name="DESCRIPTORALFABETICO688"/>
      <w:r w:rsidRPr="00BA1B56">
        <w:rPr>
          <w:rStyle w:val="TextoNormalNegritaCaracter"/>
        </w:rPr>
        <w:t>Ius contrahendi</w:t>
      </w:r>
      <w:bookmarkEnd w:id="1864"/>
      <w:r w:rsidRPr="00BA1B56">
        <w:rPr>
          <w:rStyle w:val="TextoNormalCaracter"/>
        </w:rPr>
        <w:t xml:space="preserve">, Sentencia </w:t>
      </w:r>
      <w:hyperlink w:anchor="SENTENCIA_2012_80" w:history="1">
        <w:r w:rsidRPr="00BA1B56">
          <w:rPr>
            <w:rStyle w:val="TextoNormalCaracter"/>
          </w:rPr>
          <w:t>80/2012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65" w:name="DESCRIPTORALFABETICO152"/>
      <w:r w:rsidRPr="00BA1B56">
        <w:rPr>
          <w:rStyle w:val="TextoNormalNegritaCaracter"/>
          <w:i/>
        </w:rPr>
        <w:t>Ius in officium</w:t>
      </w:r>
      <w:bookmarkEnd w:id="1865"/>
      <w:r w:rsidRPr="00BA1B56">
        <w:rPr>
          <w:rStyle w:val="TextoNormalCaracter"/>
        </w:rPr>
        <w:t xml:space="preserve">, Sentencias </w:t>
      </w:r>
      <w:hyperlink w:anchor="SENTENCIA_2012_81" w:history="1">
        <w:r w:rsidRPr="00BA1B56">
          <w:rPr>
            <w:rStyle w:val="TextoNormalCaracter"/>
          </w:rPr>
          <w:t>81/2012</w:t>
        </w:r>
      </w:hyperlink>
      <w:r w:rsidRPr="00BA1B56">
        <w:rPr>
          <w:rStyle w:val="TextoNormalCaracter"/>
        </w:rPr>
        <w:t xml:space="preserve">, f. 3; </w:t>
      </w:r>
      <w:hyperlink w:anchor="SENTENCIA_2012_88" w:history="1">
        <w:r w:rsidRPr="00BA1B56">
          <w:rPr>
            <w:rStyle w:val="TextoNormalCaracter"/>
          </w:rPr>
          <w:t>88/2012</w:t>
        </w:r>
      </w:hyperlink>
      <w:r w:rsidRPr="00BA1B56">
        <w:rPr>
          <w:rStyle w:val="TextoNormalCaracter"/>
        </w:rPr>
        <w:t xml:space="preserve">, ff. 2, 3; </w:t>
      </w:r>
      <w:hyperlink w:anchor="SENTENCIA_2012_117" w:history="1">
        <w:r w:rsidRPr="00BA1B56">
          <w:rPr>
            <w:rStyle w:val="TextoNormalCaracter"/>
          </w:rPr>
          <w:t>117/2012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66" w:name="DESCRIPTORALFABETICO262"/>
      <w:r w:rsidRPr="00BA1B56">
        <w:rPr>
          <w:rStyle w:val="TextoNormalNegritaCaracter"/>
          <w:i/>
        </w:rPr>
        <w:t>Ius superveniens</w:t>
      </w:r>
      <w:bookmarkEnd w:id="1866"/>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 5; </w:t>
      </w:r>
      <w:hyperlink w:anchor="SENTENCIA_2012_33" w:history="1">
        <w:r w:rsidRPr="00BA1B56">
          <w:rPr>
            <w:rStyle w:val="TextoNormalCaracter"/>
          </w:rPr>
          <w:t>33/2012</w:t>
        </w:r>
      </w:hyperlink>
      <w:r w:rsidRPr="00BA1B56">
        <w:rPr>
          <w:rStyle w:val="TextoNormalCaracter"/>
        </w:rPr>
        <w:t xml:space="preserve">, f. 3; </w:t>
      </w:r>
      <w:hyperlink w:anchor="SENTENCIA_2012_34" w:history="1">
        <w:r w:rsidRPr="00BA1B56">
          <w:rPr>
            <w:rStyle w:val="TextoNormalCaracter"/>
          </w:rPr>
          <w:t>34/2012</w:t>
        </w:r>
      </w:hyperlink>
      <w:r w:rsidRPr="00BA1B56">
        <w:rPr>
          <w:rStyle w:val="TextoNormalCaracter"/>
        </w:rPr>
        <w:t xml:space="preserve">, f. 4; </w:t>
      </w:r>
      <w:hyperlink w:anchor="SENTENCIA_2012_83" w:history="1">
        <w:r w:rsidRPr="00BA1B56">
          <w:rPr>
            <w:rStyle w:val="TextoNormalCaracter"/>
          </w:rPr>
          <w:t>83/2012</w:t>
        </w:r>
      </w:hyperlink>
      <w:r w:rsidRPr="00BA1B56">
        <w:rPr>
          <w:rStyle w:val="TextoNormalCaracter"/>
        </w:rPr>
        <w:t xml:space="preserve">, f. 2; </w:t>
      </w:r>
      <w:hyperlink w:anchor="SENTENCIA_2012_86" w:history="1">
        <w:r w:rsidRPr="00BA1B56">
          <w:rPr>
            <w:rStyle w:val="TextoNormalCaracter"/>
          </w:rPr>
          <w:t>86/2012</w:t>
        </w:r>
      </w:hyperlink>
      <w:r w:rsidRPr="00BA1B56">
        <w:rPr>
          <w:rStyle w:val="TextoNormalCaracter"/>
        </w:rPr>
        <w:t xml:space="preserve">, f. 3; </w:t>
      </w:r>
      <w:hyperlink w:anchor="SENTENCIA_2012_111" w:history="1">
        <w:r w:rsidRPr="00BA1B56">
          <w:rPr>
            <w:rStyle w:val="TextoNormalCaracter"/>
          </w:rPr>
          <w:t>111/2012</w:t>
        </w:r>
      </w:hyperlink>
      <w:r w:rsidRPr="00BA1B56">
        <w:rPr>
          <w:rStyle w:val="TextoNormalCaracter"/>
        </w:rPr>
        <w:t xml:space="preserve">, f. 2; </w:t>
      </w:r>
      <w:hyperlink w:anchor="SENTENCIA_2012_134" w:history="1">
        <w:r w:rsidRPr="00BA1B56">
          <w:rPr>
            <w:rStyle w:val="TextoNormalCaracter"/>
          </w:rPr>
          <w:t>134/2012</w:t>
        </w:r>
      </w:hyperlink>
      <w:r w:rsidRPr="00BA1B56">
        <w:rPr>
          <w:rStyle w:val="TextoNormalCaracter"/>
        </w:rPr>
        <w:t>, f. 3.</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J</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867" w:name="DESCRIPTORALFABETICO439"/>
      <w:r w:rsidRPr="00BA1B56">
        <w:rPr>
          <w:rStyle w:val="TextoNormalNegritaCaracter"/>
        </w:rPr>
        <w:t>Jueces y magistrados</w:t>
      </w:r>
      <w:bookmarkEnd w:id="1867"/>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 2; </w:t>
      </w:r>
      <w:hyperlink w:anchor="SENTENCIA_2012_37" w:history="1">
        <w:r w:rsidRPr="00BA1B56">
          <w:rPr>
            <w:rStyle w:val="TextoNormalCaracter"/>
          </w:rPr>
          <w:t>37/2012</w:t>
        </w:r>
      </w:hyperlink>
      <w:r w:rsidRPr="00BA1B56">
        <w:rPr>
          <w:rStyle w:val="TextoNormalCaracter"/>
        </w:rPr>
        <w:t xml:space="preserve">, f. 4; </w:t>
      </w:r>
      <w:hyperlink w:anchor="SENTENCIA_2012_75" w:history="1">
        <w:r w:rsidRPr="00BA1B56">
          <w:rPr>
            <w:rStyle w:val="TextoNormalCaracter"/>
          </w:rPr>
          <w:t>75/2012</w:t>
        </w:r>
      </w:hyperlink>
      <w:r w:rsidRPr="00BA1B56">
        <w:rPr>
          <w:rStyle w:val="TextoNormalCaracter"/>
        </w:rPr>
        <w:t xml:space="preserve">, f. 3; </w:t>
      </w:r>
      <w:hyperlink w:anchor="SENTENCIA_2012_91" w:history="1">
        <w:r w:rsidRPr="00BA1B56">
          <w:rPr>
            <w:rStyle w:val="TextoNormalCaracter"/>
          </w:rPr>
          <w:t>91/2012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16" w:history="1">
        <w:r w:rsidRPr="00BA1B56">
          <w:rPr>
            <w:rStyle w:val="TextoNormalCaracter"/>
          </w:rPr>
          <w:t>116/2012</w:t>
        </w:r>
      </w:hyperlink>
      <w:r w:rsidRPr="00BA1B56">
        <w:rPr>
          <w:rStyle w:val="TextoNormalCaracter"/>
        </w:rPr>
        <w:t>, f. 1.</w:t>
      </w:r>
    </w:p>
    <w:p w:rsidR="00BA1B56" w:rsidRPr="00BA1B56" w:rsidRDefault="00BA1B56" w:rsidP="00BA1B56">
      <w:pPr>
        <w:pStyle w:val="TextoNormalSangraFrancesa"/>
        <w:rPr>
          <w:rStyle w:val="TextoNormalNegritaCaracter"/>
        </w:rPr>
      </w:pPr>
      <w:r w:rsidRPr="00BA1B56">
        <w:rPr>
          <w:rStyle w:val="TextoNormalCursivaCaracter"/>
        </w:rPr>
        <w:t>Juego</w:t>
      </w:r>
      <w:r>
        <w:t xml:space="preserve"> véase </w:t>
      </w:r>
      <w:hyperlink w:anchor="DESCRIPTORALFABETICO653" w:history="1">
        <w:r w:rsidRPr="00BA1B56">
          <w:rPr>
            <w:rStyle w:val="TextoNormalNegritaCaracter"/>
          </w:rPr>
          <w:t>Juegos de azar</w:t>
        </w:r>
      </w:hyperlink>
    </w:p>
    <w:p w:rsidR="00BA1B56" w:rsidRPr="00BA1B56" w:rsidRDefault="00BA1B56" w:rsidP="00BA1B56">
      <w:pPr>
        <w:pStyle w:val="TextoNormalSangraFrancesa"/>
        <w:rPr>
          <w:rStyle w:val="TextoNormalCaracter"/>
        </w:rPr>
      </w:pPr>
      <w:bookmarkStart w:id="1868" w:name="DESCRIPTORALFABETICO653"/>
      <w:r w:rsidRPr="00BA1B56">
        <w:rPr>
          <w:rStyle w:val="TextoNormalNegritaCaracter"/>
        </w:rPr>
        <w:t>Juegos de azar</w:t>
      </w:r>
      <w:bookmarkEnd w:id="1868"/>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 7; </w:t>
      </w:r>
      <w:hyperlink w:anchor="SENTENCIA_2012_35" w:history="1">
        <w:r w:rsidRPr="00BA1B56">
          <w:rPr>
            <w:rStyle w:val="TextoNormalCaracter"/>
          </w:rPr>
          <w:t>35/2012</w:t>
        </w:r>
      </w:hyperlink>
      <w:r w:rsidRPr="00BA1B56">
        <w:rPr>
          <w:rStyle w:val="TextoNormalCaracter"/>
        </w:rPr>
        <w:t xml:space="preserve">, ff. 2, 3, 4, 7, 8, 9, 10; </w:t>
      </w:r>
      <w:hyperlink w:anchor="SENTENCIA_2012_83" w:history="1">
        <w:r w:rsidRPr="00BA1B56">
          <w:rPr>
            <w:rStyle w:val="TextoNormalCaracter"/>
          </w:rPr>
          <w:t>83/2012</w:t>
        </w:r>
      </w:hyperlink>
      <w:r w:rsidRPr="00BA1B56">
        <w:rPr>
          <w:rStyle w:val="TextoNormalCaracter"/>
        </w:rPr>
        <w:t xml:space="preserve">, ff. 1, 3; </w:t>
      </w:r>
      <w:hyperlink w:anchor="SENTENCIA_2012_123" w:history="1">
        <w:r w:rsidRPr="00BA1B56">
          <w:rPr>
            <w:rStyle w:val="TextoNormalCaracter"/>
          </w:rPr>
          <w:t>123/2012</w:t>
        </w:r>
      </w:hyperlink>
      <w:r w:rsidRPr="00BA1B56">
        <w:rPr>
          <w:rStyle w:val="TextoNormalCaracter"/>
        </w:rPr>
        <w:t xml:space="preserve">, ff. 4 a 6; </w:t>
      </w:r>
      <w:hyperlink w:anchor="SENTENCIA_2012_134" w:history="1">
        <w:r w:rsidRPr="00BA1B56">
          <w:rPr>
            <w:rStyle w:val="TextoNormalCaracter"/>
          </w:rPr>
          <w:t>134/2012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869" w:name="DESCRIPTORALFABETICO945"/>
      <w:r w:rsidRPr="00BA1B56">
        <w:rPr>
          <w:rStyle w:val="TextoNormalNegritaCaracter"/>
        </w:rPr>
        <w:t>Juicio cambiario</w:t>
      </w:r>
      <w:bookmarkEnd w:id="1869"/>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70" w:name="DESCRIPTORALFABETICO337"/>
      <w:r w:rsidRPr="00BA1B56">
        <w:rPr>
          <w:rStyle w:val="TextoNormalNegritaCaracter"/>
        </w:rPr>
        <w:t>Juicio de aplicabilidad</w:t>
      </w:r>
      <w:bookmarkEnd w:id="1870"/>
      <w:r w:rsidRPr="00BA1B56">
        <w:rPr>
          <w:rStyle w:val="TextoNormalCaracter"/>
        </w:rPr>
        <w:t xml:space="preserve">, Autos </w:t>
      </w:r>
      <w:hyperlink w:anchor="AUTO_2012_39" w:history="1">
        <w:r w:rsidRPr="00BA1B56">
          <w:rPr>
            <w:rStyle w:val="TextoNormalCaracter"/>
          </w:rPr>
          <w:t>39/2012</w:t>
        </w:r>
      </w:hyperlink>
      <w:r w:rsidRPr="00BA1B56">
        <w:rPr>
          <w:rStyle w:val="TextoNormalCaracter"/>
        </w:rPr>
        <w:t xml:space="preserve">, ff. 4, 5; </w:t>
      </w:r>
      <w:hyperlink w:anchor="AUTO_2012_128" w:history="1">
        <w:r w:rsidRPr="00BA1B56">
          <w:rPr>
            <w:rStyle w:val="TextoNormalCaracter"/>
          </w:rPr>
          <w:t>128/2012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Juicio de constitucionalidad</w:t>
      </w:r>
      <w:r>
        <w:t xml:space="preserve"> véase </w:t>
      </w:r>
      <w:hyperlink w:anchor="DESCRIPTORALFABETICO260" w:history="1">
        <w:r w:rsidRPr="00BA1B56">
          <w:rPr>
            <w:rStyle w:val="TextoNormalNegritaCaracter"/>
          </w:rPr>
          <w:t>Control de constitucionalidad de las normas jurídicas</w:t>
        </w:r>
      </w:hyperlink>
    </w:p>
    <w:p w:rsidR="00BA1B56" w:rsidRPr="00BA1B56" w:rsidRDefault="00BA1B56" w:rsidP="00BA1B56">
      <w:pPr>
        <w:pStyle w:val="TextoNormalSangraFrancesa"/>
        <w:rPr>
          <w:rStyle w:val="TextoNormalCaracter"/>
        </w:rPr>
      </w:pPr>
      <w:bookmarkStart w:id="1871" w:name="DESCRIPTORALFABETICO964"/>
      <w:r w:rsidRPr="00BA1B56">
        <w:rPr>
          <w:rStyle w:val="TextoNormalNegritaCaracter"/>
        </w:rPr>
        <w:t>Juicio de faltas</w:t>
      </w:r>
      <w:bookmarkEnd w:id="1871"/>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NegritaCaracter"/>
        </w:rPr>
      </w:pPr>
      <w:r w:rsidRPr="00BA1B56">
        <w:rPr>
          <w:rStyle w:val="TextoNormalCursivaCaracter"/>
        </w:rPr>
        <w:t>Juicio de inconstitucionalidad</w:t>
      </w:r>
      <w:r>
        <w:t xml:space="preserve"> véase </w:t>
      </w:r>
      <w:hyperlink w:anchor="DESCRIPTORALFABETICO260" w:history="1">
        <w:r w:rsidRPr="00BA1B56">
          <w:rPr>
            <w:rStyle w:val="TextoNormalNegritaCaracter"/>
          </w:rPr>
          <w:t>Control de constitucionalidad de las normas jurídicas</w:t>
        </w:r>
      </w:hyperlink>
    </w:p>
    <w:p w:rsidR="00BA1B56" w:rsidRPr="00BA1B56" w:rsidRDefault="00BA1B56" w:rsidP="00BA1B56">
      <w:pPr>
        <w:pStyle w:val="TextoNormalSangraFrancesa"/>
        <w:rPr>
          <w:rStyle w:val="TextoNormalCaracter"/>
        </w:rPr>
      </w:pPr>
      <w:bookmarkStart w:id="1872" w:name="DESCRIPTORALFABETICO338"/>
      <w:r w:rsidRPr="00BA1B56">
        <w:rPr>
          <w:rStyle w:val="TextoNormalNegritaCaracter"/>
        </w:rPr>
        <w:t>Juicio de relevancia</w:t>
      </w:r>
      <w:bookmarkEnd w:id="1872"/>
      <w:r w:rsidRPr="00BA1B56">
        <w:rPr>
          <w:rStyle w:val="TextoNormalCaracter"/>
        </w:rPr>
        <w:t xml:space="preserve">, Sentencias </w:t>
      </w:r>
      <w:hyperlink w:anchor="SENTENCIA_2012_3" w:history="1">
        <w:r w:rsidRPr="00BA1B56">
          <w:rPr>
            <w:rStyle w:val="TextoNormalCaracter"/>
          </w:rPr>
          <w:t>3/2012</w:t>
        </w:r>
      </w:hyperlink>
      <w:r w:rsidRPr="00BA1B56">
        <w:rPr>
          <w:rStyle w:val="TextoNormalCaracter"/>
        </w:rPr>
        <w:t xml:space="preserve">, f. 3; </w:t>
      </w:r>
      <w:hyperlink w:anchor="SENTENCIA_2012_4" w:history="1">
        <w:r w:rsidRPr="00BA1B56">
          <w:rPr>
            <w:rStyle w:val="TextoNormalCaracter"/>
          </w:rPr>
          <w:t>4/2012</w:t>
        </w:r>
      </w:hyperlink>
      <w:r w:rsidRPr="00BA1B56">
        <w:rPr>
          <w:rStyle w:val="TextoNormalCaracter"/>
        </w:rPr>
        <w:t xml:space="preserve">, f. 3; </w:t>
      </w:r>
      <w:hyperlink w:anchor="SENTENCIA_2012_20" w:history="1">
        <w:r w:rsidRPr="00BA1B56">
          <w:rPr>
            <w:rStyle w:val="TextoNormalCaracter"/>
          </w:rPr>
          <w:t>20/2012</w:t>
        </w:r>
      </w:hyperlink>
      <w:r w:rsidRPr="00BA1B56">
        <w:rPr>
          <w:rStyle w:val="TextoNormalCaracter"/>
        </w:rPr>
        <w:t xml:space="preserve">, f. 4; </w:t>
      </w:r>
      <w:hyperlink w:anchor="SENTENCIA_2012_27" w:history="1">
        <w:r w:rsidRPr="00BA1B56">
          <w:rPr>
            <w:rStyle w:val="TextoNormalCaracter"/>
          </w:rPr>
          <w:t>27/2012</w:t>
        </w:r>
      </w:hyperlink>
      <w:r w:rsidRPr="00BA1B56">
        <w:rPr>
          <w:rStyle w:val="TextoNormalCaracter"/>
        </w:rPr>
        <w:t xml:space="preserve">, f. 2; </w:t>
      </w:r>
      <w:hyperlink w:anchor="SENTENCIA_2012_86" w:history="1">
        <w:r w:rsidRPr="00BA1B56">
          <w:rPr>
            <w:rStyle w:val="TextoNormalCaracter"/>
          </w:rPr>
          <w:t>86/2012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1" w:history="1">
        <w:r w:rsidRPr="00BA1B56">
          <w:rPr>
            <w:rStyle w:val="TextoNormalCaracter"/>
          </w:rPr>
          <w:t>31/2012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73" w:name="DESCRIPTORALFABETICO340"/>
      <w:r w:rsidRPr="00BA1B56">
        <w:rPr>
          <w:rStyle w:val="TextoNormalNegritaCaracter"/>
        </w:rPr>
        <w:t>Juicio de relevancia inconsistente</w:t>
      </w:r>
      <w:bookmarkEnd w:id="1873"/>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39" w:history="1">
        <w:r w:rsidRPr="00BA1B56">
          <w:rPr>
            <w:rStyle w:val="TextoNormalCaracter"/>
          </w:rPr>
          <w:t>39/2012</w:t>
        </w:r>
      </w:hyperlink>
      <w:r w:rsidRPr="00BA1B56">
        <w:rPr>
          <w:rStyle w:val="TextoNormalCaracter"/>
        </w:rPr>
        <w:t xml:space="preserve">, ff. 4, 5; </w:t>
      </w:r>
      <w:hyperlink w:anchor="AUTO_2012_109" w:history="1">
        <w:r w:rsidRPr="00BA1B56">
          <w:rPr>
            <w:rStyle w:val="TextoNormalCaracter"/>
          </w:rPr>
          <w:t>109/2012</w:t>
        </w:r>
      </w:hyperlink>
      <w:r w:rsidRPr="00BA1B56">
        <w:rPr>
          <w:rStyle w:val="TextoNormalCaracter"/>
        </w:rPr>
        <w:t xml:space="preserve">, f. 3; </w:t>
      </w:r>
      <w:hyperlink w:anchor="AUTO_2012_110" w:history="1">
        <w:r w:rsidRPr="00BA1B56">
          <w:rPr>
            <w:rStyle w:val="TextoNormalCaracter"/>
          </w:rPr>
          <w:t>110/2012</w:t>
        </w:r>
      </w:hyperlink>
      <w:r w:rsidRPr="00BA1B56">
        <w:rPr>
          <w:rStyle w:val="TextoNormalCaracter"/>
        </w:rPr>
        <w:t xml:space="preserve">, f. 3; </w:t>
      </w:r>
      <w:hyperlink w:anchor="AUTO_2012_119" w:history="1">
        <w:r w:rsidRPr="00BA1B56">
          <w:rPr>
            <w:rStyle w:val="TextoNormalCaracter"/>
          </w:rPr>
          <w:t>119/2012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74" w:name="DESCRIPTORALFABETICO341"/>
      <w:r w:rsidRPr="00BA1B56">
        <w:rPr>
          <w:rStyle w:val="TextoNormalNegritaCaracter"/>
        </w:rPr>
        <w:t>Juicio de relevancia suficiente</w:t>
      </w:r>
      <w:bookmarkEnd w:id="1874"/>
      <w:r w:rsidRPr="00BA1B56">
        <w:rPr>
          <w:rStyle w:val="TextoNormalCaracter"/>
        </w:rPr>
        <w:t xml:space="preserve">, Sentencia </w:t>
      </w:r>
      <w:hyperlink w:anchor="SENTENCIA_2012_87" w:history="1">
        <w:r w:rsidRPr="00BA1B56">
          <w:rPr>
            <w:rStyle w:val="TextoNormalCaracter"/>
          </w:rPr>
          <w:t>87/2012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75" w:name="DESCRIPTORALFABETICO946"/>
      <w:r w:rsidRPr="00BA1B56">
        <w:rPr>
          <w:rStyle w:val="TextoNormalNegritaCaracter"/>
        </w:rPr>
        <w:t>Juicio declarativo tras proceso ejecutivo</w:t>
      </w:r>
      <w:bookmarkEnd w:id="1875"/>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876" w:name="DESCRIPTORALFABETICO944"/>
      <w:r w:rsidRPr="00BA1B56">
        <w:rPr>
          <w:rStyle w:val="TextoNormalNegritaCaracter"/>
        </w:rPr>
        <w:t>Juicio ejecutivo</w:t>
      </w:r>
      <w:bookmarkEnd w:id="1876"/>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ff. 1 a 4.</w:t>
      </w:r>
    </w:p>
    <w:p w:rsidR="00BA1B56" w:rsidRPr="00BA1B56" w:rsidRDefault="00BA1B56" w:rsidP="00BA1B56">
      <w:pPr>
        <w:pStyle w:val="TextoNormalSangraFrancesa"/>
        <w:rPr>
          <w:rStyle w:val="TextoNormalCaracter"/>
        </w:rPr>
      </w:pPr>
      <w:bookmarkStart w:id="1877" w:name="DESCRIPTORALFABETICO854"/>
      <w:r w:rsidRPr="00BA1B56">
        <w:rPr>
          <w:rStyle w:val="TextoNormalNegritaCaracter"/>
        </w:rPr>
        <w:t>Jurisdicción civil</w:t>
      </w:r>
      <w:bookmarkEnd w:id="1877"/>
      <w:r w:rsidRPr="00BA1B56">
        <w:rPr>
          <w:rStyle w:val="TextoNormalCaracter"/>
        </w:rPr>
        <w:t xml:space="preserve">, Sentencias </w:t>
      </w:r>
      <w:hyperlink w:anchor="SENTENCIA_2012_20" w:history="1">
        <w:r w:rsidRPr="00BA1B56">
          <w:rPr>
            <w:rStyle w:val="TextoNormalCaracter"/>
          </w:rPr>
          <w:t>20/2012</w:t>
        </w:r>
      </w:hyperlink>
      <w:r w:rsidRPr="00BA1B56">
        <w:rPr>
          <w:rStyle w:val="TextoNormalCaracter"/>
        </w:rPr>
        <w:t xml:space="preserve">, ff. 3 a 12; </w:t>
      </w:r>
      <w:hyperlink w:anchor="SENTENCIA_2012_79" w:history="1">
        <w:r w:rsidRPr="00BA1B56">
          <w:rPr>
            <w:rStyle w:val="TextoNormalCaracter"/>
          </w:rPr>
          <w:t>79/2012</w:t>
        </w:r>
      </w:hyperlink>
      <w:r w:rsidRPr="00BA1B56">
        <w:rPr>
          <w:rStyle w:val="TextoNormalCaracter"/>
        </w:rPr>
        <w:t xml:space="preserve">, ff. 1 a 8; </w:t>
      </w:r>
      <w:hyperlink w:anchor="SENTENCIA_2012_85" w:history="1">
        <w:r w:rsidRPr="00BA1B56">
          <w:rPr>
            <w:rStyle w:val="TextoNormalCaracter"/>
          </w:rPr>
          <w:t>85/2012</w:t>
        </w:r>
      </w:hyperlink>
      <w:r w:rsidRPr="00BA1B56">
        <w:rPr>
          <w:rStyle w:val="TextoNormalCaracter"/>
        </w:rPr>
        <w:t xml:space="preserve">, f. 3; </w:t>
      </w:r>
      <w:hyperlink w:anchor="SENTENCIA_2012_103" w:history="1">
        <w:r w:rsidRPr="00BA1B56">
          <w:rPr>
            <w:rStyle w:val="TextoNormalCaracter"/>
          </w:rPr>
          <w:t>103/2012</w:t>
        </w:r>
      </w:hyperlink>
      <w:r w:rsidRPr="00BA1B56">
        <w:rPr>
          <w:rStyle w:val="TextoNormalCaracter"/>
        </w:rPr>
        <w:t xml:space="preserve">, ff. 3, 4; </w:t>
      </w:r>
      <w:hyperlink w:anchor="SENTENCIA_2012_104" w:history="1">
        <w:r w:rsidRPr="00BA1B56">
          <w:rPr>
            <w:rStyle w:val="TextoNormalCaracter"/>
          </w:rPr>
          <w:t>104/2012</w:t>
        </w:r>
      </w:hyperlink>
      <w:r w:rsidRPr="00BA1B56">
        <w:rPr>
          <w:rStyle w:val="TextoNormalCaracter"/>
        </w:rPr>
        <w:t xml:space="preserve">, ff. 2, 3; </w:t>
      </w:r>
      <w:hyperlink w:anchor="SENTENCIA_2012_115" w:history="1">
        <w:r w:rsidRPr="00BA1B56">
          <w:rPr>
            <w:rStyle w:val="TextoNormalCaracter"/>
          </w:rPr>
          <w:t>115/2012</w:t>
        </w:r>
      </w:hyperlink>
      <w:r w:rsidRPr="00BA1B56">
        <w:rPr>
          <w:rStyle w:val="TextoNormalCaracter"/>
        </w:rPr>
        <w:t xml:space="preserve">, f. 3; </w:t>
      </w:r>
      <w:hyperlink w:anchor="SENTENCIA_2012_125" w:history="1">
        <w:r w:rsidRPr="00BA1B56">
          <w:rPr>
            <w:rStyle w:val="TextoNormalCaracter"/>
          </w:rPr>
          <w:t>125/2012</w:t>
        </w:r>
      </w:hyperlink>
      <w:r w:rsidRPr="00BA1B56">
        <w:rPr>
          <w:rStyle w:val="TextoNormalCaracter"/>
        </w:rPr>
        <w:t>, ff. 1 a 8.</w:t>
      </w:r>
    </w:p>
    <w:p w:rsidR="00BA1B56" w:rsidRPr="00BA1B56" w:rsidRDefault="00BA1B56" w:rsidP="00BA1B56">
      <w:pPr>
        <w:pStyle w:val="TextoNormalSangraFrancesa"/>
        <w:rPr>
          <w:rStyle w:val="TextoNormalCaracter"/>
        </w:rPr>
      </w:pPr>
      <w:bookmarkStart w:id="1878" w:name="DESCRIPTORALFABETICO263"/>
      <w:r w:rsidRPr="00BA1B56">
        <w:rPr>
          <w:rStyle w:val="TextoNormalNegritaCaracter"/>
        </w:rPr>
        <w:t>Jurisdicción constitucional</w:t>
      </w:r>
      <w:bookmarkEnd w:id="1878"/>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2, VP I, VP II.</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80" w:history="1">
        <w:r w:rsidRPr="00BA1B56">
          <w:rPr>
            <w:rStyle w:val="TextoNormalCaracter"/>
          </w:rPr>
          <w:t>80/2012</w:t>
        </w:r>
      </w:hyperlink>
      <w:r w:rsidRPr="00BA1B56">
        <w:rPr>
          <w:rStyle w:val="TextoNormalCaracter"/>
        </w:rPr>
        <w:t>, f. 1.</w:t>
      </w:r>
    </w:p>
    <w:p w:rsidR="00BA1B56" w:rsidRPr="00BA1B56" w:rsidRDefault="00BA1B56" w:rsidP="00BA1B56">
      <w:pPr>
        <w:pStyle w:val="TextoNormalSangraFrancesa"/>
        <w:rPr>
          <w:rStyle w:val="TextoNormalCaracter"/>
        </w:rPr>
      </w:pPr>
      <w:bookmarkStart w:id="1879" w:name="DESCRIPTORALFABETICO856"/>
      <w:r w:rsidRPr="00BA1B56">
        <w:rPr>
          <w:rStyle w:val="TextoNormalNegritaCaracter"/>
        </w:rPr>
        <w:t>Jurisdicción contencioso-administrativa</w:t>
      </w:r>
      <w:bookmarkEnd w:id="1879"/>
      <w:r w:rsidRPr="00BA1B56">
        <w:rPr>
          <w:rStyle w:val="TextoNormalCaracter"/>
        </w:rPr>
        <w:t xml:space="preserve">, Sentencia </w:t>
      </w:r>
      <w:hyperlink w:anchor="SENTENCIA_2012_116" w:history="1">
        <w:r w:rsidRPr="00BA1B56">
          <w:rPr>
            <w:rStyle w:val="TextoNormalCaracter"/>
          </w:rPr>
          <w:t>116/2012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Jurisdicción del Tribunal Constitucional</w:t>
      </w:r>
      <w:r>
        <w:t xml:space="preserve"> véase </w:t>
      </w:r>
      <w:hyperlink w:anchor="DESCRIPTORALFABETICO263" w:history="1">
        <w:r w:rsidRPr="00BA1B56">
          <w:rPr>
            <w:rStyle w:val="TextoNormalNegritaCaracter"/>
          </w:rPr>
          <w:t>Jurisdicción constitucional</w:t>
        </w:r>
      </w:hyperlink>
    </w:p>
    <w:p w:rsidR="00BA1B56" w:rsidRPr="00BA1B56" w:rsidRDefault="00BA1B56" w:rsidP="00BA1B56">
      <w:pPr>
        <w:pStyle w:val="TextoNormalSangraFrancesa"/>
        <w:rPr>
          <w:rStyle w:val="TextoNormalCaracter"/>
        </w:rPr>
      </w:pPr>
      <w:bookmarkStart w:id="1880" w:name="DESCRIPTORALFABETICO855"/>
      <w:r w:rsidRPr="00BA1B56">
        <w:rPr>
          <w:rStyle w:val="TextoNormalNegritaCaracter"/>
        </w:rPr>
        <w:t>Jurisdicción voluntaria</w:t>
      </w:r>
      <w:bookmarkEnd w:id="1880"/>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881" w:name="DESCRIPTORALFABETICO990"/>
      <w:r w:rsidRPr="00BA1B56">
        <w:rPr>
          <w:rStyle w:val="TextoNormalNegritaCaracter"/>
        </w:rPr>
        <w:t>Jurisprudencia constitucional</w:t>
      </w:r>
      <w:bookmarkEnd w:id="1881"/>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882" w:name="DESCRIPTORALFABETICO913"/>
      <w:r w:rsidRPr="00BA1B56">
        <w:rPr>
          <w:rStyle w:val="TextoNormalNegritaCaracter"/>
        </w:rPr>
        <w:t>Justicia gratuita</w:t>
      </w:r>
      <w:bookmarkEnd w:id="1882"/>
      <w:r w:rsidRPr="00BA1B56">
        <w:rPr>
          <w:rStyle w:val="TextoNormalCaracter"/>
        </w:rPr>
        <w:t xml:space="preserve">, Auto </w:t>
      </w:r>
      <w:hyperlink w:anchor="AUTO_2012_80" w:history="1">
        <w:r w:rsidRPr="00BA1B56">
          <w:rPr>
            <w:rStyle w:val="TextoNormalCaracter"/>
          </w:rPr>
          <w:t>80/2012</w:t>
        </w:r>
      </w:hyperlink>
      <w:r w:rsidRPr="00BA1B56">
        <w:rPr>
          <w:rStyle w:val="TextoNormalCaracter"/>
        </w:rPr>
        <w:t>, f. 1.</w:t>
      </w:r>
    </w:p>
    <w:p w:rsidR="00BA1B56" w:rsidRPr="00BA1B56" w:rsidRDefault="00BA1B56" w:rsidP="00BA1B56">
      <w:pPr>
        <w:pStyle w:val="TextoNormalSangraFrancesa"/>
        <w:rPr>
          <w:rStyle w:val="TextoNormalCaracter"/>
        </w:rPr>
      </w:pPr>
      <w:bookmarkStart w:id="1883" w:name="DESCRIPTORALFABETICO384"/>
      <w:r w:rsidRPr="00BA1B56">
        <w:rPr>
          <w:rStyle w:val="TextoNormalNegritaCaracter"/>
        </w:rPr>
        <w:t>Justificación de la especial trascendencia constitucional</w:t>
      </w:r>
      <w:bookmarkEnd w:id="1883"/>
      <w:r w:rsidRPr="00BA1B56">
        <w:rPr>
          <w:rStyle w:val="TextoNormalCaracter"/>
        </w:rPr>
        <w:t xml:space="preserve">, Sentencias </w:t>
      </w:r>
      <w:hyperlink w:anchor="SENTENCIA_2012_105" w:history="1">
        <w:r w:rsidRPr="00BA1B56">
          <w:rPr>
            <w:rStyle w:val="TextoNormalCaracter"/>
          </w:rPr>
          <w:t>105/2012</w:t>
        </w:r>
      </w:hyperlink>
      <w:r w:rsidRPr="00BA1B56">
        <w:rPr>
          <w:rStyle w:val="TextoNormalCaracter"/>
        </w:rPr>
        <w:t xml:space="preserve">, f. 3; </w:t>
      </w:r>
      <w:hyperlink w:anchor="SENTENCIA_2012_107" w:history="1">
        <w:r w:rsidRPr="00BA1B56">
          <w:rPr>
            <w:rStyle w:val="TextoNormalCaracter"/>
          </w:rPr>
          <w:t>107/2012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26" w:history="1">
        <w:r w:rsidRPr="00BA1B56">
          <w:rPr>
            <w:rStyle w:val="TextoNormalCaracter"/>
          </w:rPr>
          <w:t>26/2012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84" w:name="DESCRIPTORALFABETICO919"/>
      <w:r w:rsidRPr="00BA1B56">
        <w:rPr>
          <w:rStyle w:val="TextoNormalNegritaCaracter"/>
        </w:rPr>
        <w:t>Justificación de las medidas cautelares</w:t>
      </w:r>
      <w:bookmarkEnd w:id="1884"/>
      <w:r w:rsidRPr="00BA1B56">
        <w:rPr>
          <w:rStyle w:val="TextoNormalCaracter"/>
        </w:rPr>
        <w:t xml:space="preserve">, Auto </w:t>
      </w:r>
      <w:hyperlink w:anchor="AUTO_2012_18" w:history="1">
        <w:r w:rsidRPr="00BA1B56">
          <w:rPr>
            <w:rStyle w:val="TextoNormalCaracter"/>
          </w:rPr>
          <w:t>18/2012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885" w:name="DESCRIPTORALFABETICO385"/>
      <w:r w:rsidRPr="00BA1B56">
        <w:rPr>
          <w:rStyle w:val="TextoNormalNegritaCaracter"/>
        </w:rPr>
        <w:t>Justificación insuficiente de la especial trascendencia constitucional</w:t>
      </w:r>
      <w:bookmarkEnd w:id="1885"/>
      <w:r w:rsidRPr="00BA1B56">
        <w:rPr>
          <w:rStyle w:val="TextoNormalCaracter"/>
        </w:rPr>
        <w:t xml:space="preserve">, Auto </w:t>
      </w:r>
      <w:hyperlink w:anchor="AUTO_2012_42" w:history="1">
        <w:r w:rsidRPr="00BA1B56">
          <w:rPr>
            <w:rStyle w:val="TextoNormalCaracter"/>
          </w:rPr>
          <w:t>42/2012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886" w:name="DESCRIPTORALFABETICO156"/>
      <w:r w:rsidRPr="00BA1B56">
        <w:rPr>
          <w:rStyle w:val="TextoNormalNegritaCaracter"/>
        </w:rPr>
        <w:lastRenderedPageBreak/>
        <w:t>Justificación razonable del tratamiento diferenciado</w:t>
      </w:r>
      <w:bookmarkEnd w:id="1886"/>
      <w:r w:rsidRPr="00BA1B56">
        <w:rPr>
          <w:rStyle w:val="TextoNormalCaracter"/>
        </w:rPr>
        <w:t xml:space="preserve">, Sentencias </w:t>
      </w:r>
      <w:hyperlink w:anchor="SENTENCIA_2012_29" w:history="1">
        <w:r w:rsidRPr="00BA1B56">
          <w:rPr>
            <w:rStyle w:val="TextoNormalCaracter"/>
          </w:rPr>
          <w:t>29/2012</w:t>
        </w:r>
      </w:hyperlink>
      <w:r w:rsidRPr="00BA1B56">
        <w:rPr>
          <w:rStyle w:val="TextoNormalCaracter"/>
        </w:rPr>
        <w:t xml:space="preserve">, f. 6; </w:t>
      </w:r>
      <w:hyperlink w:anchor="SENTENCIA_2012_135" w:history="1">
        <w:r w:rsidRPr="00BA1B56">
          <w:rPr>
            <w:rStyle w:val="TextoNormalCaracter"/>
          </w:rPr>
          <w:t>135/2012</w:t>
        </w:r>
      </w:hyperlink>
      <w:r w:rsidRPr="00BA1B56">
        <w:rPr>
          <w:rStyle w:val="TextoNormalCaracter"/>
        </w:rPr>
        <w:t>, f. 6.</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L</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887" w:name="DESCRIPTORALFABETICO1004"/>
      <w:r w:rsidRPr="00BA1B56">
        <w:rPr>
          <w:rStyle w:val="TextoNormalNegritaCaracter"/>
        </w:rPr>
        <w:t>La Rioja</w:t>
      </w:r>
      <w:bookmarkEnd w:id="1887"/>
      <w:r w:rsidRPr="00BA1B56">
        <w:rPr>
          <w:rStyle w:val="TextoNormalCaracter"/>
        </w:rPr>
        <w:t xml:space="preserve">, Sentencia </w:t>
      </w:r>
      <w:hyperlink w:anchor="SENTENCIA_2012_36" w:history="1">
        <w:r w:rsidRPr="00BA1B56">
          <w:rPr>
            <w:rStyle w:val="TextoNormalCaracter"/>
          </w:rPr>
          <w:t>36/2012</w:t>
        </w:r>
      </w:hyperlink>
      <w:r w:rsidRPr="00BA1B56">
        <w:rPr>
          <w:rStyle w:val="TextoNormalCaracter"/>
        </w:rPr>
        <w:t>, f. 4.</w:t>
      </w:r>
    </w:p>
    <w:p w:rsidR="00BA1B56" w:rsidRPr="00BA1B56" w:rsidRDefault="00BA1B56" w:rsidP="00BA1B56">
      <w:pPr>
        <w:pStyle w:val="TextoNormalSangraFrancesa"/>
        <w:rPr>
          <w:rStyle w:val="TextoNormalCaracter"/>
        </w:rPr>
      </w:pPr>
      <w:bookmarkStart w:id="1888" w:name="DESCRIPTORALFABETICO737"/>
      <w:r w:rsidRPr="00BA1B56">
        <w:rPr>
          <w:rStyle w:val="TextoNormalNegritaCaracter"/>
        </w:rPr>
        <w:t>Lagunas legales</w:t>
      </w:r>
      <w:bookmarkEnd w:id="1888"/>
      <w:r w:rsidRPr="00BA1B56">
        <w:rPr>
          <w:rStyle w:val="TextoNormalCaracter"/>
        </w:rPr>
        <w:t xml:space="preserve">, Sentencia </w:t>
      </w:r>
      <w:hyperlink w:anchor="SENTENCIA_2012_90" w:history="1">
        <w:r w:rsidRPr="00BA1B56">
          <w:rPr>
            <w:rStyle w:val="TextoNormalCaracter"/>
          </w:rPr>
          <w:t>90/2012</w:t>
        </w:r>
      </w:hyperlink>
      <w:r w:rsidRPr="00BA1B56">
        <w:rPr>
          <w:rStyle w:val="TextoNormalCaracter"/>
        </w:rPr>
        <w:t>, f. 6.</w:t>
      </w:r>
    </w:p>
    <w:p w:rsidR="00BA1B56" w:rsidRPr="00BA1B56" w:rsidRDefault="00BA1B56" w:rsidP="00BA1B56">
      <w:pPr>
        <w:pStyle w:val="TextoNormalSangraFrancesa"/>
        <w:rPr>
          <w:rStyle w:val="TextoNormalCaracter"/>
        </w:rPr>
      </w:pPr>
      <w:bookmarkStart w:id="1889" w:name="DESCRIPTORALFABETICO698"/>
      <w:r w:rsidRPr="00BA1B56">
        <w:rPr>
          <w:rStyle w:val="TextoNormalNegritaCaracter"/>
        </w:rPr>
        <w:t>Legislación autonómica</w:t>
      </w:r>
      <w:bookmarkEnd w:id="1889"/>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2 a 9.</w:t>
      </w:r>
    </w:p>
    <w:p w:rsidR="00BA1B56" w:rsidRPr="00BA1B56" w:rsidRDefault="00BA1B56" w:rsidP="00BA1B56">
      <w:pPr>
        <w:pStyle w:val="TextoNormalSangraFrancesa"/>
        <w:rPr>
          <w:rStyle w:val="TextoNormalCaracter"/>
        </w:rPr>
      </w:pPr>
      <w:bookmarkStart w:id="1890" w:name="DESCRIPTORALFABETICO699"/>
      <w:r w:rsidRPr="00BA1B56">
        <w:rPr>
          <w:rStyle w:val="TextoNormalNegritaCaracter"/>
        </w:rPr>
        <w:t>Legislación básica</w:t>
      </w:r>
      <w:bookmarkEnd w:id="1890"/>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 3; </w:t>
      </w:r>
      <w:hyperlink w:anchor="SENTENCIA_2012_3" w:history="1">
        <w:r w:rsidRPr="00BA1B56">
          <w:rPr>
            <w:rStyle w:val="TextoNormalCaracter"/>
          </w:rPr>
          <w:t>3/2012</w:t>
        </w:r>
      </w:hyperlink>
      <w:r w:rsidRPr="00BA1B56">
        <w:rPr>
          <w:rStyle w:val="TextoNormalCaracter"/>
        </w:rPr>
        <w:t xml:space="preserve">, f. 4; </w:t>
      </w:r>
      <w:hyperlink w:anchor="SENTENCIA_2012_4" w:history="1">
        <w:r w:rsidRPr="00BA1B56">
          <w:rPr>
            <w:rStyle w:val="TextoNormalCaracter"/>
          </w:rPr>
          <w:t>4/2012</w:t>
        </w:r>
      </w:hyperlink>
      <w:r w:rsidRPr="00BA1B56">
        <w:rPr>
          <w:rStyle w:val="TextoNormalCaracter"/>
        </w:rPr>
        <w:t xml:space="preserve">, f. 5; </w:t>
      </w:r>
      <w:hyperlink w:anchor="SENTENCIA_2012_7" w:history="1">
        <w:r w:rsidRPr="00BA1B56">
          <w:rPr>
            <w:rStyle w:val="TextoNormalCaracter"/>
          </w:rPr>
          <w:t>7/2012</w:t>
        </w:r>
      </w:hyperlink>
      <w:r w:rsidRPr="00BA1B56">
        <w:rPr>
          <w:rStyle w:val="TextoNormalCaracter"/>
        </w:rPr>
        <w:t xml:space="preserve">, ff. 4 a 7; </w:t>
      </w:r>
      <w:hyperlink w:anchor="SENTENCIA_2012_22" w:history="1">
        <w:r w:rsidRPr="00BA1B56">
          <w:rPr>
            <w:rStyle w:val="TextoNormalCaracter"/>
          </w:rPr>
          <w:t>22/2012</w:t>
        </w:r>
      </w:hyperlink>
      <w:r w:rsidRPr="00BA1B56">
        <w:rPr>
          <w:rStyle w:val="TextoNormalCaracter"/>
        </w:rPr>
        <w:t xml:space="preserve">, ff. 3, 6, 7; </w:t>
      </w:r>
      <w:hyperlink w:anchor="SENTENCIA_2012_26" w:history="1">
        <w:r w:rsidRPr="00BA1B56">
          <w:rPr>
            <w:rStyle w:val="TextoNormalCaracter"/>
          </w:rPr>
          <w:t>26/2012</w:t>
        </w:r>
      </w:hyperlink>
      <w:r w:rsidRPr="00BA1B56">
        <w:rPr>
          <w:rStyle w:val="TextoNormalCaracter"/>
        </w:rPr>
        <w:t xml:space="preserve">, ff. 6 a 9; </w:t>
      </w:r>
      <w:hyperlink w:anchor="SENTENCIA_2012_34" w:history="1">
        <w:r w:rsidRPr="00BA1B56">
          <w:rPr>
            <w:rStyle w:val="TextoNormalCaracter"/>
          </w:rPr>
          <w:t>34/2012</w:t>
        </w:r>
      </w:hyperlink>
      <w:r w:rsidRPr="00BA1B56">
        <w:rPr>
          <w:rStyle w:val="TextoNormalCaracter"/>
        </w:rPr>
        <w:t xml:space="preserve">, ff. 4, 6; </w:t>
      </w:r>
      <w:hyperlink w:anchor="SENTENCIA_2012_86" w:history="1">
        <w:r w:rsidRPr="00BA1B56">
          <w:rPr>
            <w:rStyle w:val="TextoNormalCaracter"/>
          </w:rPr>
          <w:t>86/2012</w:t>
        </w:r>
      </w:hyperlink>
      <w:r w:rsidRPr="00BA1B56">
        <w:rPr>
          <w:rStyle w:val="TextoNormalCaracter"/>
        </w:rPr>
        <w:t xml:space="preserve">, f. 3; </w:t>
      </w:r>
      <w:hyperlink w:anchor="SENTENCIA_2012_87" w:history="1">
        <w:r w:rsidRPr="00BA1B56">
          <w:rPr>
            <w:rStyle w:val="TextoNormalCaracter"/>
          </w:rPr>
          <w:t>87/2012</w:t>
        </w:r>
      </w:hyperlink>
      <w:r w:rsidRPr="00BA1B56">
        <w:rPr>
          <w:rStyle w:val="TextoNormalCaracter"/>
        </w:rPr>
        <w:t xml:space="preserve">, ff. 4, 5; </w:t>
      </w:r>
      <w:hyperlink w:anchor="SENTENCIA_2012_120" w:history="1">
        <w:r w:rsidRPr="00BA1B56">
          <w:rPr>
            <w:rStyle w:val="TextoNormalCaracter"/>
          </w:rPr>
          <w:t>120/2012</w:t>
        </w:r>
      </w:hyperlink>
      <w:r w:rsidRPr="00BA1B56">
        <w:rPr>
          <w:rStyle w:val="TextoNormalCaracter"/>
        </w:rPr>
        <w:t xml:space="preserve">, ff. 4, 6; </w:t>
      </w:r>
      <w:hyperlink w:anchor="SENTENCIA_2012_121" w:history="1">
        <w:r w:rsidRPr="00BA1B56">
          <w:rPr>
            <w:rStyle w:val="TextoNormalCaracter"/>
          </w:rPr>
          <w:t>121/2012</w:t>
        </w:r>
      </w:hyperlink>
      <w:r w:rsidRPr="00BA1B56">
        <w:rPr>
          <w:rStyle w:val="TextoNormalCaracter"/>
        </w:rPr>
        <w:t xml:space="preserve">, ff. 7, 8; </w:t>
      </w:r>
      <w:hyperlink w:anchor="SENTENCIA_2012_132" w:history="1">
        <w:r w:rsidRPr="00BA1B56">
          <w:rPr>
            <w:rStyle w:val="TextoNormalCaracter"/>
          </w:rPr>
          <w:t>132/2012</w:t>
        </w:r>
      </w:hyperlink>
      <w:r w:rsidRPr="00BA1B56">
        <w:rPr>
          <w:rStyle w:val="TextoNormalCaracter"/>
        </w:rPr>
        <w:t xml:space="preserve">, ff. 3 a 7, VP I; </w:t>
      </w:r>
      <w:hyperlink w:anchor="SENTENCIA_2012_136" w:history="1">
        <w:r w:rsidRPr="00BA1B56">
          <w:rPr>
            <w:rStyle w:val="TextoNormalCaracter"/>
          </w:rPr>
          <w:t>136/2012</w:t>
        </w:r>
      </w:hyperlink>
      <w:r w:rsidRPr="00BA1B56">
        <w:rPr>
          <w:rStyle w:val="TextoNormalCaracter"/>
        </w:rPr>
        <w:t xml:space="preserve">, ff. 2 a 5;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Caracter"/>
        </w:rPr>
      </w:pPr>
      <w:bookmarkStart w:id="1891" w:name="DESCRIPTORALFABETICO706"/>
      <w:r w:rsidRPr="00BA1B56">
        <w:rPr>
          <w:rStyle w:val="TextoNormalNegritaCaracter"/>
        </w:rPr>
        <w:t>Legislación civil</w:t>
      </w:r>
      <w:bookmarkEnd w:id="1891"/>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892" w:name="DESCRIPTORALFABETICO708"/>
      <w:r w:rsidRPr="00BA1B56">
        <w:rPr>
          <w:rStyle w:val="TextoNormalNegritaCaracter"/>
        </w:rPr>
        <w:t>Legislación electoral</w:t>
      </w:r>
      <w:bookmarkEnd w:id="1892"/>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893" w:name="DESCRIPTORALFABETICO709"/>
      <w:r w:rsidRPr="00BA1B56">
        <w:rPr>
          <w:rStyle w:val="TextoNormalNegritaCaracter"/>
        </w:rPr>
        <w:t>Legislación laboral</w:t>
      </w:r>
      <w:bookmarkEnd w:id="1893"/>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7.</w:t>
      </w:r>
    </w:p>
    <w:p w:rsidR="00BA1B56" w:rsidRPr="00BA1B56" w:rsidRDefault="00BA1B56" w:rsidP="00BA1B56">
      <w:pPr>
        <w:pStyle w:val="TextoNormalSangraFrancesa"/>
        <w:rPr>
          <w:rStyle w:val="TextoNormalCaracter"/>
        </w:rPr>
      </w:pPr>
      <w:bookmarkStart w:id="1894" w:name="DESCRIPTORALFABETICO710"/>
      <w:r w:rsidRPr="00BA1B56">
        <w:rPr>
          <w:rStyle w:val="TextoNormalNegritaCaracter"/>
        </w:rPr>
        <w:t>Legislación mercantil</w:t>
      </w:r>
      <w:bookmarkEnd w:id="1894"/>
      <w:r w:rsidRPr="00BA1B56">
        <w:rPr>
          <w:rStyle w:val="TextoNormalCaracter"/>
        </w:rPr>
        <w:t xml:space="preserve">, Sentencias </w:t>
      </w:r>
      <w:hyperlink w:anchor="SENTENCIA_2012_26" w:history="1">
        <w:r w:rsidRPr="00BA1B56">
          <w:rPr>
            <w:rStyle w:val="TextoNormalCaracter"/>
          </w:rPr>
          <w:t>26/2012</w:t>
        </w:r>
      </w:hyperlink>
      <w:r w:rsidRPr="00BA1B56">
        <w:rPr>
          <w:rStyle w:val="TextoNormalCaracter"/>
        </w:rPr>
        <w:t xml:space="preserve">, ff. 4, 10, 12; </w:t>
      </w:r>
      <w:hyperlink w:anchor="SENTENCIA_2012_33" w:history="1">
        <w:r w:rsidRPr="00BA1B56">
          <w:rPr>
            <w:rStyle w:val="TextoNormalCaracter"/>
          </w:rPr>
          <w:t>33/2012</w:t>
        </w:r>
      </w:hyperlink>
      <w:r w:rsidRPr="00BA1B56">
        <w:rPr>
          <w:rStyle w:val="TextoNormalCaracter"/>
        </w:rPr>
        <w:t>, ff. 5 a 8.</w:t>
      </w:r>
    </w:p>
    <w:p w:rsidR="00BA1B56" w:rsidRPr="00BA1B56" w:rsidRDefault="00BA1B56" w:rsidP="00BA1B56">
      <w:pPr>
        <w:pStyle w:val="TextoNormalSangraFrancesa"/>
        <w:rPr>
          <w:rStyle w:val="TextoNormalCaracter"/>
        </w:rPr>
      </w:pPr>
      <w:bookmarkStart w:id="1895" w:name="DESCRIPTORALFABETICO712"/>
      <w:r w:rsidRPr="00BA1B56">
        <w:rPr>
          <w:rStyle w:val="TextoNormalNegritaCaracter"/>
        </w:rPr>
        <w:t>Legislación tributaria</w:t>
      </w:r>
      <w:bookmarkEnd w:id="1895"/>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10.</w:t>
      </w:r>
    </w:p>
    <w:p w:rsidR="00BA1B56" w:rsidRPr="00BA1B56" w:rsidRDefault="00BA1B56" w:rsidP="00BA1B56">
      <w:pPr>
        <w:pStyle w:val="TextoNormalSangraFrancesa"/>
        <w:rPr>
          <w:rStyle w:val="TextoNormalCaracter"/>
        </w:rPr>
      </w:pPr>
      <w:bookmarkStart w:id="1896" w:name="DESCRIPTORALFABETICO457"/>
      <w:r w:rsidRPr="00BA1B56">
        <w:rPr>
          <w:rStyle w:val="TextoNormalNegritaCaracter"/>
        </w:rPr>
        <w:t>Legislatura finalizada</w:t>
      </w:r>
      <w:bookmarkEnd w:id="1896"/>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 6.</w:t>
      </w:r>
    </w:p>
    <w:p w:rsidR="00BA1B56" w:rsidRPr="00BA1B56" w:rsidRDefault="00BA1B56" w:rsidP="00BA1B56">
      <w:pPr>
        <w:pStyle w:val="TextoNormalSangraFrancesa"/>
        <w:rPr>
          <w:rStyle w:val="TextoNormalCaracter"/>
        </w:rPr>
      </w:pPr>
      <w:bookmarkStart w:id="1897" w:name="DESCRIPTORALFABETICO375"/>
      <w:r w:rsidRPr="00BA1B56">
        <w:rPr>
          <w:rStyle w:val="TextoNormalNegritaCaracter"/>
        </w:rPr>
        <w:t>Legitimación activa en el recurso de amparo</w:t>
      </w:r>
      <w:bookmarkEnd w:id="1897"/>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5.</w:t>
      </w:r>
    </w:p>
    <w:p w:rsidR="00BA1B56" w:rsidRPr="00BA1B56" w:rsidRDefault="00BA1B56" w:rsidP="00BA1B56">
      <w:pPr>
        <w:pStyle w:val="TextoNormalSangraFrancesa"/>
        <w:rPr>
          <w:rStyle w:val="TextoNormalCaracter"/>
        </w:rPr>
      </w:pPr>
      <w:bookmarkStart w:id="1898" w:name="DESCRIPTORALFABETICO841"/>
      <w:r w:rsidRPr="00BA1B56">
        <w:rPr>
          <w:rStyle w:val="TextoNormalNegritaCaracter"/>
        </w:rPr>
        <w:t>Legitimación para negociar convenios colectivos</w:t>
      </w:r>
      <w:bookmarkEnd w:id="1898"/>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6, 7.</w:t>
      </w:r>
    </w:p>
    <w:p w:rsidR="00BA1B56" w:rsidRPr="00BA1B56" w:rsidRDefault="00BA1B56" w:rsidP="00BA1B56">
      <w:pPr>
        <w:pStyle w:val="TextoNormalSangraFrancesa"/>
        <w:rPr>
          <w:rStyle w:val="TextoNormalCaracter"/>
        </w:rPr>
      </w:pPr>
      <w:bookmarkStart w:id="1899" w:name="DESCRIPTORALFABETICO292"/>
      <w:r w:rsidRPr="00BA1B56">
        <w:rPr>
          <w:rStyle w:val="TextoNormalNegritaCaracter"/>
        </w:rPr>
        <w:t>Levantamiento de la suspensión de disposiciones de las Comunidades Autónomas</w:t>
      </w:r>
      <w:bookmarkEnd w:id="1899"/>
      <w:r w:rsidRPr="00BA1B56">
        <w:rPr>
          <w:rStyle w:val="TextoNormalCaracter"/>
        </w:rPr>
        <w:t xml:space="preserve">, Autos </w:t>
      </w:r>
      <w:hyperlink w:anchor="AUTO_2012_69" w:history="1">
        <w:r w:rsidRPr="00BA1B56">
          <w:rPr>
            <w:rStyle w:val="TextoNormalCaracter"/>
          </w:rPr>
          <w:t>69/2012</w:t>
        </w:r>
      </w:hyperlink>
      <w:r w:rsidRPr="00BA1B56">
        <w:rPr>
          <w:rStyle w:val="TextoNormalCaracter"/>
        </w:rPr>
        <w:t xml:space="preserve">, f. 3; </w:t>
      </w:r>
      <w:hyperlink w:anchor="AUTO_2012_85" w:history="1">
        <w:r w:rsidRPr="00BA1B56">
          <w:rPr>
            <w:rStyle w:val="TextoNormalCaracter"/>
          </w:rPr>
          <w:t>85/2012</w:t>
        </w:r>
      </w:hyperlink>
      <w:r w:rsidRPr="00BA1B56">
        <w:rPr>
          <w:rStyle w:val="TextoNormalCaracter"/>
        </w:rPr>
        <w:t xml:space="preserve">, ff. 2 a 6; </w:t>
      </w:r>
      <w:hyperlink w:anchor="AUTO_2012_86" w:history="1">
        <w:r w:rsidRPr="00BA1B56">
          <w:rPr>
            <w:rStyle w:val="TextoNormalCaracter"/>
          </w:rPr>
          <w:t>86/2012</w:t>
        </w:r>
      </w:hyperlink>
      <w:r w:rsidRPr="00BA1B56">
        <w:rPr>
          <w:rStyle w:val="TextoNormalCaracter"/>
        </w:rPr>
        <w:t>, ff. 2 a 6.</w:t>
      </w:r>
    </w:p>
    <w:p w:rsidR="00BA1B56" w:rsidRPr="00BA1B56" w:rsidRDefault="00BA1B56" w:rsidP="00BA1B56">
      <w:pPr>
        <w:pStyle w:val="TextoNormalSangraFrancesa"/>
        <w:rPr>
          <w:rStyle w:val="TextoNormalCaracter"/>
        </w:rPr>
      </w:pPr>
      <w:bookmarkStart w:id="1900" w:name="DESCRIPTORALFABETICO293"/>
      <w:r w:rsidRPr="00BA1B56">
        <w:rPr>
          <w:rStyle w:val="TextoNormalNegritaCaracter"/>
        </w:rPr>
        <w:t>Levantamiento parcial de la suspensión</w:t>
      </w:r>
      <w:bookmarkEnd w:id="1900"/>
      <w:r w:rsidRPr="00BA1B56">
        <w:rPr>
          <w:rStyle w:val="TextoNormalCaracter"/>
        </w:rPr>
        <w:t xml:space="preserve">, Auto </w:t>
      </w:r>
      <w:hyperlink w:anchor="AUTO_2012_87" w:history="1">
        <w:r w:rsidRPr="00BA1B56">
          <w:rPr>
            <w:rStyle w:val="TextoNormalCaracter"/>
          </w:rPr>
          <w:t>87/2012</w:t>
        </w:r>
      </w:hyperlink>
      <w:r w:rsidRPr="00BA1B56">
        <w:rPr>
          <w:rStyle w:val="TextoNormalCaracter"/>
        </w:rPr>
        <w:t>, ff. 1 a 5.</w:t>
      </w:r>
    </w:p>
    <w:p w:rsidR="00BA1B56" w:rsidRPr="00BA1B56" w:rsidRDefault="00BA1B56" w:rsidP="00BA1B56">
      <w:pPr>
        <w:pStyle w:val="TextoNormalSangraFrancesa"/>
        <w:rPr>
          <w:rStyle w:val="TextoNormalNegritaCaracter"/>
        </w:rPr>
      </w:pPr>
      <w:r w:rsidRPr="00BA1B56">
        <w:rPr>
          <w:rStyle w:val="TextoNormalCursivaCaracter"/>
        </w:rPr>
        <w:t>Lex certa</w:t>
      </w:r>
      <w:r>
        <w:t xml:space="preserve"> véase </w:t>
      </w:r>
      <w:hyperlink w:anchor="DESCRIPTORALFABETICO482" w:history="1">
        <w:r w:rsidRPr="00BA1B56">
          <w:rPr>
            <w:rStyle w:val="TextoNormalNegritaCaracter"/>
          </w:rPr>
          <w:t>Principio de taxatividad</w:t>
        </w:r>
      </w:hyperlink>
    </w:p>
    <w:p w:rsidR="00BA1B56" w:rsidRPr="00BA1B56" w:rsidRDefault="00BA1B56" w:rsidP="00BA1B56">
      <w:pPr>
        <w:pStyle w:val="TextoNormalSangraFrancesa"/>
        <w:rPr>
          <w:rStyle w:val="TextoNormalNegritaCaracter"/>
        </w:rPr>
      </w:pPr>
      <w:r w:rsidRPr="00BA1B56">
        <w:rPr>
          <w:rStyle w:val="TextoNormalCursivaCaracter"/>
        </w:rPr>
        <w:t>Lex repetita</w:t>
      </w:r>
      <w:r>
        <w:t xml:space="preserve"> véase </w:t>
      </w:r>
      <w:hyperlink w:anchor="DESCRIPTORALFABETICO713" w:history="1">
        <w:r w:rsidRPr="00BA1B56">
          <w:rPr>
            <w:rStyle w:val="TextoNormalNegritaCaracter"/>
          </w:rPr>
          <w:t>Reproducción de normas estatales</w:t>
        </w:r>
      </w:hyperlink>
    </w:p>
    <w:p w:rsidR="00BA1B56" w:rsidRPr="00BA1B56" w:rsidRDefault="00BA1B56" w:rsidP="00BA1B56">
      <w:pPr>
        <w:pStyle w:val="TextoNormalSangraFrancesa"/>
        <w:rPr>
          <w:rStyle w:val="TextoNormalCaracter"/>
        </w:rPr>
      </w:pPr>
      <w:bookmarkStart w:id="1901" w:name="DESCRIPTORALFABETICO714"/>
      <w:r w:rsidRPr="00BA1B56">
        <w:rPr>
          <w:rStyle w:val="TextoNormalNegritaCaracter"/>
        </w:rPr>
        <w:t>Leyes de acompañamiento</w:t>
      </w:r>
      <w:bookmarkEnd w:id="1901"/>
      <w:r w:rsidRPr="00BA1B56">
        <w:rPr>
          <w:rStyle w:val="TextoNormalCaracter"/>
        </w:rPr>
        <w:t xml:space="preserve">, Sentencias </w:t>
      </w:r>
      <w:hyperlink w:anchor="SENTENCIA_2012_102" w:history="1">
        <w:r w:rsidRPr="00BA1B56">
          <w:rPr>
            <w:rStyle w:val="TextoNormalCaracter"/>
          </w:rPr>
          <w:t>102/2012</w:t>
        </w:r>
      </w:hyperlink>
      <w:r w:rsidRPr="00BA1B56">
        <w:rPr>
          <w:rStyle w:val="TextoNormalCaracter"/>
        </w:rPr>
        <w:t xml:space="preserve">, f. 2; </w:t>
      </w:r>
      <w:hyperlink w:anchor="SENTENCIA_2012_120" w:history="1">
        <w:r w:rsidRPr="00BA1B56">
          <w:rPr>
            <w:rStyle w:val="TextoNormalCaracter"/>
          </w:rPr>
          <w:t>120/2012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Leyes de bases</w:t>
      </w:r>
      <w:r>
        <w:t xml:space="preserve"> véase </w:t>
      </w:r>
      <w:hyperlink w:anchor="DESCRIPTORALFABETICO699" w:history="1">
        <w:r w:rsidRPr="00BA1B56">
          <w:rPr>
            <w:rStyle w:val="TextoNormalNegritaCaracter"/>
          </w:rPr>
          <w:t>Legislación básica</w:t>
        </w:r>
      </w:hyperlink>
    </w:p>
    <w:p w:rsidR="00BA1B56" w:rsidRPr="00BA1B56" w:rsidRDefault="00BA1B56" w:rsidP="00BA1B56">
      <w:pPr>
        <w:pStyle w:val="TextoNormalSangraFrancesa"/>
        <w:rPr>
          <w:rStyle w:val="TextoNormalCaracter"/>
        </w:rPr>
      </w:pPr>
      <w:bookmarkStart w:id="1902" w:name="DESCRIPTORALFABETICO719"/>
      <w:r w:rsidRPr="00BA1B56">
        <w:rPr>
          <w:rStyle w:val="TextoNormalNegritaCaracter"/>
        </w:rPr>
        <w:t>Leyes de destinatario único</w:t>
      </w:r>
      <w:bookmarkEnd w:id="1902"/>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3, 4.</w:t>
      </w:r>
    </w:p>
    <w:p w:rsidR="00BA1B56" w:rsidRPr="00BA1B56" w:rsidRDefault="00BA1B56" w:rsidP="00BA1B56">
      <w:pPr>
        <w:pStyle w:val="TextoNormalSangraFrancesa"/>
        <w:rPr>
          <w:rStyle w:val="TextoNormalNegritaCaracter"/>
        </w:rPr>
      </w:pPr>
      <w:r w:rsidRPr="00BA1B56">
        <w:rPr>
          <w:rStyle w:val="TextoNormalCursivaCaracter"/>
        </w:rPr>
        <w:t>Leyes ómnibus</w:t>
      </w:r>
      <w:r>
        <w:t xml:space="preserve"> véase </w:t>
      </w:r>
      <w:hyperlink w:anchor="DESCRIPTORALFABETICO739" w:history="1">
        <w:r w:rsidRPr="00BA1B56">
          <w:rPr>
            <w:rStyle w:val="TextoNormalNegritaCaracter"/>
          </w:rPr>
          <w:t>Normas de contenido heterogéneo</w:t>
        </w:r>
      </w:hyperlink>
    </w:p>
    <w:p w:rsidR="00BA1B56" w:rsidRPr="00BA1B56" w:rsidRDefault="00BA1B56" w:rsidP="00BA1B56">
      <w:pPr>
        <w:pStyle w:val="TextoNormalSangraFrancesa"/>
        <w:rPr>
          <w:rStyle w:val="TextoNormalCaracter"/>
        </w:rPr>
      </w:pPr>
      <w:bookmarkStart w:id="1903" w:name="DESCRIPTORALFABETICO715"/>
      <w:r w:rsidRPr="00BA1B56">
        <w:rPr>
          <w:rStyle w:val="TextoNormalNegritaCaracter"/>
        </w:rPr>
        <w:t>Leyes penales en blanco</w:t>
      </w:r>
      <w:bookmarkEnd w:id="1903"/>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04" w:name="DESCRIPTORALFABETICO718"/>
      <w:r w:rsidRPr="00BA1B56">
        <w:rPr>
          <w:rStyle w:val="TextoNormalNegritaCaracter"/>
        </w:rPr>
        <w:t>Leyes singulares</w:t>
      </w:r>
      <w:bookmarkEnd w:id="1904"/>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Concepto, </w:t>
      </w:r>
      <w:r w:rsidRPr="00BA1B56">
        <w:rPr>
          <w:rStyle w:val="TextoNormalCaracter"/>
        </w:rPr>
        <w:t xml:space="preserve">Sentencia </w:t>
      </w:r>
      <w:hyperlink w:anchor="SENTENCIA_2012_121" w:history="1">
        <w:r w:rsidRPr="00BA1B56">
          <w:rPr>
            <w:rStyle w:val="TextoNormalCaracter"/>
          </w:rPr>
          <w:t>121/2012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Leyes transversales</w:t>
      </w:r>
      <w:r>
        <w:t xml:space="preserve"> véase </w:t>
      </w:r>
      <w:hyperlink w:anchor="DESCRIPTORALFABETICO739" w:history="1">
        <w:r w:rsidRPr="00BA1B56">
          <w:rPr>
            <w:rStyle w:val="TextoNormalNegritaCaracter"/>
          </w:rPr>
          <w:t>Normas de contenido heterogéneo</w:t>
        </w:r>
      </w:hyperlink>
    </w:p>
    <w:p w:rsidR="00BA1B56" w:rsidRPr="00BA1B56" w:rsidRDefault="00BA1B56" w:rsidP="00BA1B56">
      <w:pPr>
        <w:pStyle w:val="TextoNormalSangraFrancesa"/>
        <w:rPr>
          <w:rStyle w:val="TextoNormalNegritaCaracter"/>
        </w:rPr>
      </w:pPr>
      <w:r w:rsidRPr="00BA1B56">
        <w:rPr>
          <w:rStyle w:val="TextoNormalCursivaCaracter"/>
        </w:rPr>
        <w:t>Leyes tributarias</w:t>
      </w:r>
      <w:r>
        <w:t xml:space="preserve"> véase </w:t>
      </w:r>
      <w:hyperlink w:anchor="DESCRIPTORALFABETICO712" w:history="1">
        <w:r w:rsidRPr="00BA1B56">
          <w:rPr>
            <w:rStyle w:val="TextoNormalNegritaCaracter"/>
          </w:rPr>
          <w:t>Legislación tributaria</w:t>
        </w:r>
      </w:hyperlink>
    </w:p>
    <w:p w:rsidR="00BA1B56" w:rsidRPr="00BA1B56" w:rsidRDefault="00BA1B56" w:rsidP="00BA1B56">
      <w:pPr>
        <w:pStyle w:val="TextoNormalSangraFrancesa"/>
        <w:rPr>
          <w:rStyle w:val="TextoNormalCaracter"/>
        </w:rPr>
      </w:pPr>
      <w:bookmarkStart w:id="1905" w:name="DESCRIPTORALFABETICO822"/>
      <w:r w:rsidRPr="00BA1B56">
        <w:rPr>
          <w:rStyle w:val="TextoNormalNegritaCaracter"/>
        </w:rPr>
        <w:t>Liberados sindicales</w:t>
      </w:r>
      <w:bookmarkEnd w:id="1905"/>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5, 7.</w:t>
      </w:r>
    </w:p>
    <w:p w:rsidR="00BA1B56" w:rsidRPr="00BA1B56" w:rsidRDefault="00BA1B56" w:rsidP="00BA1B56">
      <w:pPr>
        <w:pStyle w:val="TextoNormalSangraFrancesa"/>
        <w:rPr>
          <w:rStyle w:val="TextoNormalCaracter"/>
        </w:rPr>
      </w:pPr>
      <w:bookmarkStart w:id="1906" w:name="DESCRIPTORALFABETICO237"/>
      <w:r w:rsidRPr="00BA1B56">
        <w:rPr>
          <w:rStyle w:val="TextoNormalNegritaCaracter"/>
        </w:rPr>
        <w:t>Libertad de circulación</w:t>
      </w:r>
      <w:bookmarkEnd w:id="1906"/>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07" w:name="DESCRIPTORALFABETICO238"/>
      <w:r w:rsidRPr="00BA1B56">
        <w:rPr>
          <w:rStyle w:val="TextoNormalNegritaCaracter"/>
        </w:rPr>
        <w:t>Libertad de circulación de bienes</w:t>
      </w:r>
      <w:bookmarkEnd w:id="1907"/>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ff. 4, 5.</w:t>
      </w:r>
    </w:p>
    <w:p w:rsidR="00BA1B56" w:rsidRPr="00BA1B56" w:rsidRDefault="00BA1B56" w:rsidP="00BA1B56">
      <w:pPr>
        <w:pStyle w:val="TextoNormalSangraFrancesa"/>
        <w:rPr>
          <w:rStyle w:val="TextoNormalNegritaCaracter"/>
        </w:rPr>
      </w:pPr>
      <w:r w:rsidRPr="00BA1B56">
        <w:rPr>
          <w:rStyle w:val="TextoNormalCursivaCaracter"/>
        </w:rPr>
        <w:t>Libertad de competencia</w:t>
      </w:r>
      <w:r>
        <w:t xml:space="preserve"> véase </w:t>
      </w:r>
      <w:hyperlink w:anchor="DESCRIPTORALFABETICO241" w:history="1">
        <w:r w:rsidRPr="00BA1B56">
          <w:rPr>
            <w:rStyle w:val="TextoNormalNegritaCaracter"/>
          </w:rPr>
          <w:t>Libre competencia</w:t>
        </w:r>
      </w:hyperlink>
    </w:p>
    <w:p w:rsidR="00BA1B56" w:rsidRPr="00BA1B56" w:rsidRDefault="00BA1B56" w:rsidP="00BA1B56">
      <w:pPr>
        <w:pStyle w:val="TextoNormalSangraFrancesa"/>
        <w:rPr>
          <w:rStyle w:val="TextoNormalCaracter"/>
        </w:rPr>
      </w:pPr>
      <w:bookmarkStart w:id="1908" w:name="DESCRIPTORALFABETICO445"/>
      <w:r w:rsidRPr="00BA1B56">
        <w:rPr>
          <w:rStyle w:val="TextoNormalNegritaCaracter"/>
        </w:rPr>
        <w:t>Libertad de configuración del legislador</w:t>
      </w:r>
      <w:bookmarkEnd w:id="1908"/>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ff. 3, 4, 7, 9; </w:t>
      </w:r>
      <w:hyperlink w:anchor="SENTENCIA_2012_92" w:history="1">
        <w:r w:rsidRPr="00BA1B56">
          <w:rPr>
            <w:rStyle w:val="TextoNormalCaracter"/>
          </w:rPr>
          <w:t>92/2012</w:t>
        </w:r>
      </w:hyperlink>
      <w:r w:rsidRPr="00BA1B56">
        <w:rPr>
          <w:rStyle w:val="TextoNormalCaracter"/>
        </w:rPr>
        <w:t xml:space="preserve">, f. 5; </w:t>
      </w:r>
      <w:hyperlink w:anchor="SENTENCIA_2012_105" w:history="1">
        <w:r w:rsidRPr="00BA1B56">
          <w:rPr>
            <w:rStyle w:val="TextoNormalCaracter"/>
          </w:rPr>
          <w:t>105/2012</w:t>
        </w:r>
      </w:hyperlink>
      <w:r w:rsidRPr="00BA1B56">
        <w:rPr>
          <w:rStyle w:val="TextoNormalCaracter"/>
        </w:rPr>
        <w:t>, ff. 7, 8, 10, VP.</w:t>
      </w:r>
    </w:p>
    <w:p w:rsidR="00BA1B56" w:rsidRPr="00BA1B56" w:rsidRDefault="00BA1B56" w:rsidP="00BA1B56">
      <w:pPr>
        <w:pStyle w:val="TextoNormalSangraFrancesa"/>
        <w:rPr>
          <w:rStyle w:val="TextoNormalCaracter"/>
        </w:rPr>
      </w:pPr>
      <w:bookmarkStart w:id="1909" w:name="DESCRIPTORALFABETICO233"/>
      <w:r w:rsidRPr="00BA1B56">
        <w:rPr>
          <w:rStyle w:val="TextoNormalNegritaCaracter"/>
        </w:rPr>
        <w:t>Libertad de creación de partidos políticos</w:t>
      </w:r>
      <w:bookmarkEnd w:id="1909"/>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3, 4, 5, 6, 14, 16, VP II.</w:t>
      </w:r>
    </w:p>
    <w:p w:rsidR="00BA1B56" w:rsidRPr="00BA1B56" w:rsidRDefault="00BA1B56" w:rsidP="00BA1B56">
      <w:pPr>
        <w:pStyle w:val="TextoNormalSangraFrancesa"/>
        <w:rPr>
          <w:rStyle w:val="TextoNormalCaracter"/>
        </w:rPr>
      </w:pPr>
      <w:bookmarkStart w:id="1910" w:name="DESCRIPTORALFABETICO239"/>
      <w:r w:rsidRPr="00BA1B56">
        <w:rPr>
          <w:rStyle w:val="TextoNormalNegritaCaracter"/>
        </w:rPr>
        <w:t>Libertad de empresa</w:t>
      </w:r>
      <w:bookmarkEnd w:id="1910"/>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135" w:history="1">
        <w:r w:rsidRPr="00BA1B56">
          <w:rPr>
            <w:rStyle w:val="TextoNormalCaracter"/>
          </w:rPr>
          <w:t>135/2012</w:t>
        </w:r>
      </w:hyperlink>
      <w:r w:rsidRPr="00BA1B56">
        <w:rPr>
          <w:rStyle w:val="TextoNormalCaracter"/>
        </w:rPr>
        <w:t>, f. 5.</w:t>
      </w:r>
    </w:p>
    <w:p w:rsidR="00BA1B56" w:rsidRPr="00BA1B56" w:rsidRDefault="00BA1B56" w:rsidP="00BA1B56">
      <w:pPr>
        <w:pStyle w:val="TextoNormalSangraFrancesa"/>
        <w:rPr>
          <w:rStyle w:val="TextoNormalCaracter"/>
        </w:rPr>
      </w:pPr>
      <w:bookmarkStart w:id="1911" w:name="DESCRIPTORALFABETICO684"/>
      <w:r w:rsidRPr="00BA1B56">
        <w:rPr>
          <w:rStyle w:val="TextoNormalNegritaCaracter"/>
        </w:rPr>
        <w:lastRenderedPageBreak/>
        <w:t>Libertad de establecimiento</w:t>
      </w:r>
      <w:bookmarkEnd w:id="1911"/>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 5.</w:t>
      </w:r>
    </w:p>
    <w:p w:rsidR="00BA1B56" w:rsidRPr="00BA1B56" w:rsidRDefault="00BA1B56" w:rsidP="00BA1B56">
      <w:pPr>
        <w:pStyle w:val="TextoNormalSangraFrancesa"/>
        <w:rPr>
          <w:rStyle w:val="TextoNormalCaracter"/>
        </w:rPr>
      </w:pPr>
      <w:bookmarkStart w:id="1912" w:name="DESCRIPTORALFABETICO240"/>
      <w:r w:rsidRPr="00BA1B56">
        <w:rPr>
          <w:rStyle w:val="TextoNormalNegritaCaracter"/>
        </w:rPr>
        <w:t>Libertad de horarios</w:t>
      </w:r>
      <w:bookmarkEnd w:id="1912"/>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ff. 7, 9.</w:t>
      </w:r>
    </w:p>
    <w:p w:rsidR="00BA1B56" w:rsidRPr="00BA1B56" w:rsidRDefault="00BA1B56" w:rsidP="00BA1B56">
      <w:pPr>
        <w:pStyle w:val="TextoNormalSangraFrancesa"/>
        <w:rPr>
          <w:rStyle w:val="TextoNormalCaracter"/>
        </w:rPr>
      </w:pPr>
      <w:bookmarkStart w:id="1913" w:name="DESCRIPTORALFABETICO242"/>
      <w:r w:rsidRPr="00BA1B56">
        <w:rPr>
          <w:rStyle w:val="TextoNormalNegritaCaracter"/>
        </w:rPr>
        <w:t>Libertad de información</w:t>
      </w:r>
      <w:bookmarkEnd w:id="1913"/>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ff. 4, 6.</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12" w:history="1">
        <w:r w:rsidRPr="00BA1B56">
          <w:rPr>
            <w:rStyle w:val="TextoNormalCaracter"/>
          </w:rPr>
          <w:t>12/2012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14" w:name="DESCRIPTORALFABETICO246"/>
      <w:r w:rsidRPr="00BA1B56">
        <w:rPr>
          <w:rStyle w:val="TextoNormalNegritaCaracter"/>
        </w:rPr>
        <w:t>Libertad sindical</w:t>
      </w:r>
      <w:bookmarkEnd w:id="1914"/>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3, 4, 6, 7.</w:t>
      </w:r>
    </w:p>
    <w:p w:rsidR="00BA1B56" w:rsidRPr="00BA1B56" w:rsidRDefault="00BA1B56" w:rsidP="00BA1B56">
      <w:pPr>
        <w:pStyle w:val="TextoNormalSangraFrancesa"/>
        <w:rPr>
          <w:rStyle w:val="TextoNormalCaracter"/>
        </w:rPr>
      </w:pPr>
      <w:bookmarkStart w:id="1915" w:name="DESCRIPTORALFABETICO241"/>
      <w:r w:rsidRPr="00BA1B56">
        <w:rPr>
          <w:rStyle w:val="TextoNormalNegritaCaracter"/>
        </w:rPr>
        <w:t>Libre competencia</w:t>
      </w:r>
      <w:bookmarkEnd w:id="1915"/>
      <w:r w:rsidRPr="00BA1B56">
        <w:rPr>
          <w:rStyle w:val="TextoNormalCaracter"/>
        </w:rPr>
        <w:t xml:space="preserve">, Sentencia </w:t>
      </w:r>
      <w:hyperlink w:anchor="SENTENCIA_2012_71" w:history="1">
        <w:r w:rsidRPr="00BA1B56">
          <w:rPr>
            <w:rStyle w:val="TextoNormalCaracter"/>
          </w:rPr>
          <w:t>71/2012</w:t>
        </w:r>
      </w:hyperlink>
      <w:r w:rsidRPr="00BA1B56">
        <w:rPr>
          <w:rStyle w:val="TextoNormalCaracter"/>
        </w:rPr>
        <w:t>, ff. 3 a 6.</w:t>
      </w:r>
    </w:p>
    <w:p w:rsidR="00BA1B56" w:rsidRPr="00BA1B56" w:rsidRDefault="00BA1B56" w:rsidP="00BA1B56">
      <w:pPr>
        <w:pStyle w:val="TextoNormalSangraFrancesa"/>
        <w:rPr>
          <w:rStyle w:val="TextoNormalCaracter"/>
        </w:rPr>
      </w:pPr>
      <w:bookmarkStart w:id="1916" w:name="DESCRIPTORALFABETICO972"/>
      <w:r w:rsidRPr="00BA1B56">
        <w:rPr>
          <w:rStyle w:val="TextoNormalNegritaCaracter"/>
        </w:rPr>
        <w:t>Licenciamiento definitivo del penado</w:t>
      </w:r>
      <w:bookmarkEnd w:id="1916"/>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6 a 8; </w:t>
      </w:r>
      <w:hyperlink w:anchor="SENTENCIA_2012_40" w:history="1">
        <w:r w:rsidRPr="00BA1B56">
          <w:rPr>
            <w:rStyle w:val="TextoNormalCaracter"/>
          </w:rPr>
          <w:t>40/2012</w:t>
        </w:r>
      </w:hyperlink>
      <w:r w:rsidRPr="00BA1B56">
        <w:rPr>
          <w:rStyle w:val="TextoNormalCaracter"/>
        </w:rPr>
        <w:t xml:space="preserve">, f. 6; </w:t>
      </w:r>
      <w:hyperlink w:anchor="SENTENCIA_2012_41" w:history="1">
        <w:r w:rsidRPr="00BA1B56">
          <w:rPr>
            <w:rStyle w:val="TextoNormalCaracter"/>
          </w:rPr>
          <w:t>41/2012</w:t>
        </w:r>
      </w:hyperlink>
      <w:r w:rsidRPr="00BA1B56">
        <w:rPr>
          <w:rStyle w:val="TextoNormalCaracter"/>
        </w:rPr>
        <w:t xml:space="preserve">, f. 6; </w:t>
      </w:r>
      <w:hyperlink w:anchor="SENTENCIA_2012_42" w:history="1">
        <w:r w:rsidRPr="00BA1B56">
          <w:rPr>
            <w:rStyle w:val="TextoNormalCaracter"/>
          </w:rPr>
          <w:t>42/2012</w:t>
        </w:r>
      </w:hyperlink>
      <w:r w:rsidRPr="00BA1B56">
        <w:rPr>
          <w:rStyle w:val="TextoNormalCaracter"/>
        </w:rPr>
        <w:t xml:space="preserve">, ff. 6, 7; </w:t>
      </w:r>
      <w:hyperlink w:anchor="SENTENCIA_2012_43" w:history="1">
        <w:r w:rsidRPr="00BA1B56">
          <w:rPr>
            <w:rStyle w:val="TextoNormalCaracter"/>
          </w:rPr>
          <w:t>43/2012</w:t>
        </w:r>
      </w:hyperlink>
      <w:r w:rsidRPr="00BA1B56">
        <w:rPr>
          <w:rStyle w:val="TextoNormalCaracter"/>
        </w:rPr>
        <w:t xml:space="preserve">, ff. 4, 5;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ff. 4, 5;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4" w:history="1">
        <w:r w:rsidRPr="00BA1B56">
          <w:rPr>
            <w:rStyle w:val="TextoNormalCaracter"/>
          </w:rPr>
          <w:t>54/2012</w:t>
        </w:r>
      </w:hyperlink>
      <w:r w:rsidRPr="00BA1B56">
        <w:rPr>
          <w:rStyle w:val="TextoNormalCaracter"/>
        </w:rPr>
        <w:t xml:space="preserve">, ff. 4, 7; </w:t>
      </w:r>
      <w:hyperlink w:anchor="SENTENCIA_2012_56" w:history="1">
        <w:r w:rsidRPr="00BA1B56">
          <w:rPr>
            <w:rStyle w:val="TextoNormalCaracter"/>
          </w:rPr>
          <w:t>56/2012</w:t>
        </w:r>
      </w:hyperlink>
      <w:r w:rsidRPr="00BA1B56">
        <w:rPr>
          <w:rStyle w:val="TextoNormalCaracter"/>
        </w:rPr>
        <w:t xml:space="preserve">, ff. 2, 4; </w:t>
      </w:r>
      <w:hyperlink w:anchor="SENTENCIA_2012_57" w:history="1">
        <w:r w:rsidRPr="00BA1B56">
          <w:rPr>
            <w:rStyle w:val="TextoNormalCaracter"/>
          </w:rPr>
          <w:t>57/2012</w:t>
        </w:r>
      </w:hyperlink>
      <w:r w:rsidRPr="00BA1B56">
        <w:rPr>
          <w:rStyle w:val="TextoNormalCaracter"/>
        </w:rPr>
        <w:t xml:space="preserve">, ff. 2, 6 a 8; </w:t>
      </w:r>
      <w:hyperlink w:anchor="SENTENCIA_2012_58" w:history="1">
        <w:r w:rsidRPr="00BA1B56">
          <w:rPr>
            <w:rStyle w:val="TextoNormalCaracter"/>
          </w:rPr>
          <w:t>58/2012</w:t>
        </w:r>
      </w:hyperlink>
      <w:r w:rsidRPr="00BA1B56">
        <w:rPr>
          <w:rStyle w:val="TextoNormalCaracter"/>
        </w:rPr>
        <w:t xml:space="preserve">, ff. 1, 3; </w:t>
      </w:r>
      <w:hyperlink w:anchor="SENTENCIA_2012_59" w:history="1">
        <w:r w:rsidRPr="00BA1B56">
          <w:rPr>
            <w:rStyle w:val="TextoNormalCaracter"/>
          </w:rPr>
          <w:t>59/2012</w:t>
        </w:r>
      </w:hyperlink>
      <w:r w:rsidRPr="00BA1B56">
        <w:rPr>
          <w:rStyle w:val="TextoNormalCaracter"/>
        </w:rPr>
        <w:t xml:space="preserve">, f. 4; </w:t>
      </w:r>
      <w:hyperlink w:anchor="SENTENCIA_2012_60" w:history="1">
        <w:r w:rsidRPr="00BA1B56">
          <w:rPr>
            <w:rStyle w:val="TextoNormalCaracter"/>
          </w:rPr>
          <w:t>60/2012</w:t>
        </w:r>
      </w:hyperlink>
      <w:r w:rsidRPr="00BA1B56">
        <w:rPr>
          <w:rStyle w:val="TextoNormalCaracter"/>
        </w:rPr>
        <w:t xml:space="preserve">, ff. 1, 3; </w:t>
      </w:r>
      <w:hyperlink w:anchor="SENTENCIA_2012_61" w:history="1">
        <w:r w:rsidRPr="00BA1B56">
          <w:rPr>
            <w:rStyle w:val="TextoNormalCaracter"/>
          </w:rPr>
          <w:t>61/2012</w:t>
        </w:r>
      </w:hyperlink>
      <w:r w:rsidRPr="00BA1B56">
        <w:rPr>
          <w:rStyle w:val="TextoNormalCaracter"/>
        </w:rPr>
        <w:t xml:space="preserve">, ff. 3, 4, 6; </w:t>
      </w:r>
      <w:hyperlink w:anchor="SENTENCIA_2012_62" w:history="1">
        <w:r w:rsidRPr="00BA1B56">
          <w:rPr>
            <w:rStyle w:val="TextoNormalCaracter"/>
          </w:rPr>
          <w:t>62/2012</w:t>
        </w:r>
      </w:hyperlink>
      <w:r w:rsidRPr="00BA1B56">
        <w:rPr>
          <w:rStyle w:val="TextoNormalCaracter"/>
        </w:rPr>
        <w:t xml:space="preserve">, ff. 1 a 3; </w:t>
      </w:r>
      <w:hyperlink w:anchor="SENTENCIA_2012_63" w:history="1">
        <w:r w:rsidRPr="00BA1B56">
          <w:rPr>
            <w:rStyle w:val="TextoNormalCaracter"/>
          </w:rPr>
          <w:t>63/2012</w:t>
        </w:r>
      </w:hyperlink>
      <w:r w:rsidRPr="00BA1B56">
        <w:rPr>
          <w:rStyle w:val="TextoNormalCaracter"/>
        </w:rPr>
        <w:t xml:space="preserve">, ff. 1, 3; </w:t>
      </w:r>
      <w:hyperlink w:anchor="SENTENCIA_2012_64" w:history="1">
        <w:r w:rsidRPr="00BA1B56">
          <w:rPr>
            <w:rStyle w:val="TextoNormalCaracter"/>
          </w:rPr>
          <w:t>64/2012</w:t>
        </w:r>
      </w:hyperlink>
      <w:r w:rsidRPr="00BA1B56">
        <w:rPr>
          <w:rStyle w:val="TextoNormalCaracter"/>
        </w:rPr>
        <w:t xml:space="preserve">, ff. 3, 4, 6, 7; </w:t>
      </w:r>
      <w:hyperlink w:anchor="SENTENCIA_2012_65" w:history="1">
        <w:r w:rsidRPr="00BA1B56">
          <w:rPr>
            <w:rStyle w:val="TextoNormalCaracter"/>
          </w:rPr>
          <w:t>65/2012</w:t>
        </w:r>
      </w:hyperlink>
      <w:r w:rsidRPr="00BA1B56">
        <w:rPr>
          <w:rStyle w:val="TextoNormalCaracter"/>
        </w:rPr>
        <w:t xml:space="preserve">, ff. 4, 5, 7, 8; </w:t>
      </w:r>
      <w:hyperlink w:anchor="SENTENCIA_2012_66" w:history="1">
        <w:r w:rsidRPr="00BA1B56">
          <w:rPr>
            <w:rStyle w:val="TextoNormalCaracter"/>
          </w:rPr>
          <w:t>66/2012</w:t>
        </w:r>
      </w:hyperlink>
      <w:r w:rsidRPr="00BA1B56">
        <w:rPr>
          <w:rStyle w:val="TextoNormalCaracter"/>
        </w:rPr>
        <w:t xml:space="preserve">, ff. 3 a 6; </w:t>
      </w:r>
      <w:hyperlink w:anchor="SENTENCIA_2012_67" w:history="1">
        <w:r w:rsidRPr="00BA1B56">
          <w:rPr>
            <w:rStyle w:val="TextoNormalCaracter"/>
          </w:rPr>
          <w:t>67/2012</w:t>
        </w:r>
      </w:hyperlink>
      <w:r w:rsidRPr="00BA1B56">
        <w:rPr>
          <w:rStyle w:val="TextoNormalCaracter"/>
        </w:rPr>
        <w:t xml:space="preserve">, ff. 3, 4, 6, 7; </w:t>
      </w:r>
      <w:hyperlink w:anchor="SENTENCIA_2012_68" w:history="1">
        <w:r w:rsidRPr="00BA1B56">
          <w:rPr>
            <w:rStyle w:val="TextoNormalCaracter"/>
          </w:rPr>
          <w:t>68/2012</w:t>
        </w:r>
      </w:hyperlink>
      <w:r w:rsidRPr="00BA1B56">
        <w:rPr>
          <w:rStyle w:val="TextoNormalCaracter"/>
        </w:rPr>
        <w:t xml:space="preserve">, ff. 3, 5; </w:t>
      </w:r>
      <w:hyperlink w:anchor="SENTENCIA_2012_69" w:history="1">
        <w:r w:rsidRPr="00BA1B56">
          <w:rPr>
            <w:rStyle w:val="TextoNormalCaracter"/>
          </w:rPr>
          <w:t>69/2012</w:t>
        </w:r>
      </w:hyperlink>
      <w:r w:rsidRPr="00BA1B56">
        <w:rPr>
          <w:rStyle w:val="TextoNormalCaracter"/>
        </w:rPr>
        <w:t xml:space="preserve">, ff. 4, 5, 7, 8; </w:t>
      </w:r>
      <w:hyperlink w:anchor="SENTENCIA_2012_108" w:history="1">
        <w:r w:rsidRPr="00BA1B56">
          <w:rPr>
            <w:rStyle w:val="TextoNormalCaracter"/>
          </w:rPr>
          <w:t>108/2012</w:t>
        </w:r>
      </w:hyperlink>
      <w:r w:rsidRPr="00BA1B56">
        <w:rPr>
          <w:rStyle w:val="TextoNormalCaracter"/>
        </w:rPr>
        <w:t xml:space="preserve">, ff. 2 a 4; </w:t>
      </w:r>
      <w:hyperlink w:anchor="SENTENCIA_2012_113" w:history="1">
        <w:r w:rsidRPr="00BA1B56">
          <w:rPr>
            <w:rStyle w:val="TextoNormalCaracter"/>
          </w:rPr>
          <w:t>113/2012</w:t>
        </w:r>
      </w:hyperlink>
      <w:r w:rsidRPr="00BA1B56">
        <w:rPr>
          <w:rStyle w:val="TextoNormalCaracter"/>
        </w:rPr>
        <w:t xml:space="preserve">, ff. 7, 8, 12; </w:t>
      </w:r>
      <w:hyperlink w:anchor="SENTENCIA_2012_114" w:history="1">
        <w:r w:rsidRPr="00BA1B56">
          <w:rPr>
            <w:rStyle w:val="TextoNormalCaracter"/>
          </w:rPr>
          <w:t>114/2012</w:t>
        </w:r>
      </w:hyperlink>
      <w:r w:rsidRPr="00BA1B56">
        <w:rPr>
          <w:rStyle w:val="TextoNormalCaracter"/>
        </w:rPr>
        <w:t xml:space="preserve">, ff. 3, 4, 6; </w:t>
      </w:r>
      <w:hyperlink w:anchor="SENTENCIA_2012_128" w:history="1">
        <w:r w:rsidRPr="00BA1B56">
          <w:rPr>
            <w:rStyle w:val="TextoNormalCaracter"/>
          </w:rPr>
          <w:t>128/2012</w:t>
        </w:r>
      </w:hyperlink>
      <w:r w:rsidRPr="00BA1B56">
        <w:rPr>
          <w:rStyle w:val="TextoNormalCaracter"/>
        </w:rPr>
        <w:t>, ff. 1,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15" w:history="1">
        <w:r w:rsidRPr="00BA1B56">
          <w:rPr>
            <w:rStyle w:val="TextoNormalCaracter"/>
          </w:rPr>
          <w:t>15/2012</w:t>
        </w:r>
      </w:hyperlink>
      <w:r w:rsidRPr="00BA1B56">
        <w:rPr>
          <w:rStyle w:val="TextoNormalCaracter"/>
        </w:rPr>
        <w:t xml:space="preserve">, f. 3; </w:t>
      </w:r>
      <w:hyperlink w:anchor="AUTO_2012_22" w:history="1">
        <w:r w:rsidRPr="00BA1B56">
          <w:rPr>
            <w:rStyle w:val="TextoNormalCaracter"/>
          </w:rPr>
          <w:t>22/2012</w:t>
        </w:r>
      </w:hyperlink>
      <w:r w:rsidRPr="00BA1B56">
        <w:rPr>
          <w:rStyle w:val="TextoNormalCaracter"/>
        </w:rPr>
        <w:t xml:space="preserve">, f. único; </w:t>
      </w:r>
      <w:hyperlink w:anchor="AUTO_2012_23" w:history="1">
        <w:r w:rsidRPr="00BA1B56">
          <w:rPr>
            <w:rStyle w:val="TextoNormalCaracter"/>
          </w:rPr>
          <w:t>23/2012</w:t>
        </w:r>
      </w:hyperlink>
      <w:r w:rsidRPr="00BA1B56">
        <w:rPr>
          <w:rStyle w:val="TextoNormalCaracter"/>
        </w:rPr>
        <w:t xml:space="preserve">, f. único; </w:t>
      </w:r>
      <w:hyperlink w:anchor="AUTO_2012_25" w:history="1">
        <w:r w:rsidRPr="00BA1B56">
          <w:rPr>
            <w:rStyle w:val="TextoNormalCaracter"/>
          </w:rPr>
          <w:t>25/2012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17" w:name="DESCRIPTORALFABETICO528"/>
      <w:r w:rsidRPr="00BA1B56">
        <w:rPr>
          <w:rStyle w:val="TextoNormalNegritaCaracter"/>
        </w:rPr>
        <w:t>Licencias urbanísticas</w:t>
      </w:r>
      <w:bookmarkEnd w:id="1917"/>
      <w:r w:rsidRPr="00BA1B56">
        <w:rPr>
          <w:rStyle w:val="TextoNormalCaracter"/>
        </w:rPr>
        <w:t xml:space="preserve">, Auto </w:t>
      </w:r>
      <w:hyperlink w:anchor="AUTO_2012_122" w:history="1">
        <w:r w:rsidRPr="00BA1B56">
          <w:rPr>
            <w:rStyle w:val="TextoNormalCaracter"/>
          </w:rPr>
          <w:t>122/2012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1918" w:name="DESCRIPTORALFABETICO253"/>
      <w:r w:rsidRPr="00BA1B56">
        <w:rPr>
          <w:rStyle w:val="TextoNormalNegritaCaracter"/>
        </w:rPr>
        <w:t>Limitación de derechos fundamentales</w:t>
      </w:r>
      <w:bookmarkEnd w:id="1918"/>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7 a 9.</w:t>
      </w:r>
    </w:p>
    <w:p w:rsidR="00BA1B56" w:rsidRPr="00BA1B56" w:rsidRDefault="00BA1B56" w:rsidP="00BA1B56">
      <w:pPr>
        <w:pStyle w:val="TextoNormalSangraFrancesa"/>
        <w:rPr>
          <w:rStyle w:val="TextoNormalCaracter"/>
        </w:rPr>
      </w:pPr>
      <w:bookmarkStart w:id="1919" w:name="DESCRIPTORALFABETICO204"/>
      <w:r w:rsidRPr="00BA1B56">
        <w:rPr>
          <w:rStyle w:val="TextoNormalNegritaCaracter"/>
        </w:rPr>
        <w:t>Limitaciones al ejercicio del derecho a la tutela judicial efectiva</w:t>
      </w:r>
      <w:bookmarkEnd w:id="1919"/>
      <w:r w:rsidRPr="00BA1B56">
        <w:rPr>
          <w:rStyle w:val="TextoNormalCaracter"/>
        </w:rPr>
        <w:t xml:space="preserve">, Sentencia </w:t>
      </w:r>
      <w:hyperlink w:anchor="SENTENCIA_2012_20" w:history="1">
        <w:r w:rsidRPr="00BA1B56">
          <w:rPr>
            <w:rStyle w:val="TextoNormalCaracter"/>
          </w:rPr>
          <w:t>20/2012</w:t>
        </w:r>
      </w:hyperlink>
      <w:r w:rsidRPr="00BA1B56">
        <w:rPr>
          <w:rStyle w:val="TextoNormalCaracter"/>
        </w:rPr>
        <w:t>, ff. 11, 12.</w:t>
      </w:r>
    </w:p>
    <w:p w:rsidR="00BA1B56" w:rsidRPr="00BA1B56" w:rsidRDefault="00BA1B56" w:rsidP="00BA1B56">
      <w:pPr>
        <w:pStyle w:val="TextoNormalSangraFrancesa"/>
        <w:rPr>
          <w:rStyle w:val="TextoNormalNegritaCaracter"/>
        </w:rPr>
      </w:pPr>
      <w:r w:rsidRPr="00BA1B56">
        <w:rPr>
          <w:rStyle w:val="TextoNormalCursivaCaracter"/>
        </w:rPr>
        <w:t>Límite de derechos fundamentales</w:t>
      </w:r>
      <w:r>
        <w:t xml:space="preserve"> véase </w:t>
      </w:r>
      <w:hyperlink w:anchor="DESCRIPTORALFABETICO253" w:history="1">
        <w:r w:rsidRPr="00BA1B56">
          <w:rPr>
            <w:rStyle w:val="TextoNormalNegritaCaracter"/>
          </w:rPr>
          <w:t>Limitación de derechos fundamentales</w:t>
        </w:r>
      </w:hyperlink>
    </w:p>
    <w:p w:rsidR="00BA1B56" w:rsidRPr="00BA1B56" w:rsidRDefault="00BA1B56" w:rsidP="00BA1B56">
      <w:pPr>
        <w:pStyle w:val="TextoNormalSangraFrancesa"/>
        <w:rPr>
          <w:rStyle w:val="TextoNormalCaracter"/>
        </w:rPr>
      </w:pPr>
      <w:bookmarkStart w:id="1920" w:name="DESCRIPTORALFABETICO693"/>
      <w:r w:rsidRPr="00BA1B56">
        <w:rPr>
          <w:rStyle w:val="TextoNormalNegritaCaracter"/>
        </w:rPr>
        <w:t>Límite material de los decretos-leyes</w:t>
      </w:r>
      <w:bookmarkEnd w:id="1920"/>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f. 12, VP I; </w:t>
      </w:r>
      <w:hyperlink w:anchor="SENTENCIA_2012_100" w:history="1">
        <w:r w:rsidRPr="00BA1B56">
          <w:rPr>
            <w:rStyle w:val="TextoNormalCaracter"/>
          </w:rPr>
          <w:t>100/2012</w:t>
        </w:r>
      </w:hyperlink>
      <w:r w:rsidRPr="00BA1B56">
        <w:rPr>
          <w:rStyle w:val="TextoNormalCaracter"/>
        </w:rPr>
        <w:t>, f. 9.</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21" w:name="DESCRIPTORALFABETICO982"/>
      <w:r w:rsidRPr="00BA1B56">
        <w:rPr>
          <w:rStyle w:val="TextoNormalNegritaCaracter"/>
        </w:rPr>
        <w:t>Límite máximo de cumplimiento de condenas acumuladas</w:t>
      </w:r>
      <w:bookmarkEnd w:id="1921"/>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7, VP II; </w:t>
      </w:r>
      <w:hyperlink w:anchor="SENTENCIA_2012_40" w:history="1">
        <w:r w:rsidRPr="00BA1B56">
          <w:rPr>
            <w:rStyle w:val="TextoNormalCaracter"/>
          </w:rPr>
          <w:t>40/2012</w:t>
        </w:r>
      </w:hyperlink>
      <w:r w:rsidRPr="00BA1B56">
        <w:rPr>
          <w:rStyle w:val="TextoNormalCaracter"/>
        </w:rPr>
        <w:t xml:space="preserve">, f. 6, VP II; </w:t>
      </w:r>
      <w:hyperlink w:anchor="SENTENCIA_2012_41" w:history="1">
        <w:r w:rsidRPr="00BA1B56">
          <w:rPr>
            <w:rStyle w:val="TextoNormalCaracter"/>
          </w:rPr>
          <w:t>41/2012</w:t>
        </w:r>
      </w:hyperlink>
      <w:r w:rsidRPr="00BA1B56">
        <w:rPr>
          <w:rStyle w:val="TextoNormalCaracter"/>
        </w:rPr>
        <w:t xml:space="preserve">, f. 6, VP I, VP II, VP IV; </w:t>
      </w:r>
      <w:hyperlink w:anchor="SENTENCIA_2012_42" w:history="1">
        <w:r w:rsidRPr="00BA1B56">
          <w:rPr>
            <w:rStyle w:val="TextoNormalCaracter"/>
          </w:rPr>
          <w:t>42/2012</w:t>
        </w:r>
      </w:hyperlink>
      <w:r w:rsidRPr="00BA1B56">
        <w:rPr>
          <w:rStyle w:val="TextoNormalCaracter"/>
        </w:rPr>
        <w:t xml:space="preserve">, f. 6; </w:t>
      </w:r>
      <w:hyperlink w:anchor="SENTENCIA_2012_43" w:history="1">
        <w:r w:rsidRPr="00BA1B56">
          <w:rPr>
            <w:rStyle w:val="TextoNormalCaracter"/>
          </w:rPr>
          <w:t>43/2012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 4; </w:t>
      </w:r>
      <w:hyperlink w:anchor="SENTENCIA_2012_47" w:history="1">
        <w:r w:rsidRPr="00BA1B56">
          <w:rPr>
            <w:rStyle w:val="TextoNormalCaracter"/>
          </w:rPr>
          <w:t>47/2012</w:t>
        </w:r>
      </w:hyperlink>
      <w:r w:rsidRPr="00BA1B56">
        <w:rPr>
          <w:rStyle w:val="TextoNormalCaracter"/>
        </w:rPr>
        <w:t xml:space="preserve">, f. 5, VP II; </w:t>
      </w:r>
      <w:hyperlink w:anchor="SENTENCIA_2012_48" w:history="1">
        <w:r w:rsidRPr="00BA1B56">
          <w:rPr>
            <w:rStyle w:val="TextoNormalCaracter"/>
          </w:rPr>
          <w:t>48/2012</w:t>
        </w:r>
      </w:hyperlink>
      <w:r w:rsidRPr="00BA1B56">
        <w:rPr>
          <w:rStyle w:val="TextoNormalCaracter"/>
        </w:rPr>
        <w:t xml:space="preserve">, f. 5; </w:t>
      </w:r>
      <w:hyperlink w:anchor="SENTENCIA_2012_49" w:history="1">
        <w:r w:rsidRPr="00BA1B56">
          <w:rPr>
            <w:rStyle w:val="TextoNormalCaracter"/>
          </w:rPr>
          <w:t>49/2012</w:t>
        </w:r>
      </w:hyperlink>
      <w:r w:rsidRPr="00BA1B56">
        <w:rPr>
          <w:rStyle w:val="TextoNormalCaracter"/>
        </w:rPr>
        <w:t xml:space="preserve">, f. 5; </w:t>
      </w:r>
      <w:hyperlink w:anchor="SENTENCIA_2012_50" w:history="1">
        <w:r w:rsidRPr="00BA1B56">
          <w:rPr>
            <w:rStyle w:val="TextoNormalCaracter"/>
          </w:rPr>
          <w:t>50/2012</w:t>
        </w:r>
      </w:hyperlink>
      <w:r w:rsidRPr="00BA1B56">
        <w:rPr>
          <w:rStyle w:val="TextoNormalCaracter"/>
        </w:rPr>
        <w:t xml:space="preserve">, f. 5;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ff. 3, 5 a 7; </w:t>
      </w:r>
      <w:hyperlink w:anchor="SENTENCIA_2012_54" w:history="1">
        <w:r w:rsidRPr="00BA1B56">
          <w:rPr>
            <w:rStyle w:val="TextoNormalCaracter"/>
          </w:rPr>
          <w:t>54/2012</w:t>
        </w:r>
      </w:hyperlink>
      <w:r w:rsidRPr="00BA1B56">
        <w:rPr>
          <w:rStyle w:val="TextoNormalCaracter"/>
        </w:rPr>
        <w:t xml:space="preserve">, ff. 2, 4, 6, 7; </w:t>
      </w:r>
      <w:hyperlink w:anchor="SENTENCIA_2012_55" w:history="1">
        <w:r w:rsidRPr="00BA1B56">
          <w:rPr>
            <w:rStyle w:val="TextoNormalCaracter"/>
          </w:rPr>
          <w:t>55/2012</w:t>
        </w:r>
      </w:hyperlink>
      <w:r w:rsidRPr="00BA1B56">
        <w:rPr>
          <w:rStyle w:val="TextoNormalCaracter"/>
        </w:rPr>
        <w:t xml:space="preserve">, f. 6; </w:t>
      </w:r>
      <w:hyperlink w:anchor="SENTENCIA_2012_56" w:history="1">
        <w:r w:rsidRPr="00BA1B56">
          <w:rPr>
            <w:rStyle w:val="TextoNormalCaracter"/>
          </w:rPr>
          <w:t>56/2012</w:t>
        </w:r>
      </w:hyperlink>
      <w:r w:rsidRPr="00BA1B56">
        <w:rPr>
          <w:rStyle w:val="TextoNormalCaracter"/>
        </w:rPr>
        <w:t xml:space="preserve">, ff. 2 a 4; </w:t>
      </w:r>
      <w:hyperlink w:anchor="SENTENCIA_2012_57" w:history="1">
        <w:r w:rsidRPr="00BA1B56">
          <w:rPr>
            <w:rStyle w:val="TextoNormalCaracter"/>
          </w:rPr>
          <w:t>57/2012</w:t>
        </w:r>
      </w:hyperlink>
      <w:r w:rsidRPr="00BA1B56">
        <w:rPr>
          <w:rStyle w:val="TextoNormalCaracter"/>
        </w:rPr>
        <w:t xml:space="preserve">, ff. 3, 7, 8; </w:t>
      </w:r>
      <w:hyperlink w:anchor="SENTENCIA_2012_58" w:history="1">
        <w:r w:rsidRPr="00BA1B56">
          <w:rPr>
            <w:rStyle w:val="TextoNormalCaracter"/>
          </w:rPr>
          <w:t>58/2012</w:t>
        </w:r>
      </w:hyperlink>
      <w:r w:rsidRPr="00BA1B56">
        <w:rPr>
          <w:rStyle w:val="TextoNormalCaracter"/>
        </w:rPr>
        <w:t xml:space="preserve">, f. 3; </w:t>
      </w:r>
      <w:hyperlink w:anchor="SENTENCIA_2012_59" w:history="1">
        <w:r w:rsidRPr="00BA1B56">
          <w:rPr>
            <w:rStyle w:val="TextoNormalCaracter"/>
          </w:rPr>
          <w:t>59/2012</w:t>
        </w:r>
      </w:hyperlink>
      <w:r w:rsidRPr="00BA1B56">
        <w:rPr>
          <w:rStyle w:val="TextoNormalCaracter"/>
        </w:rPr>
        <w:t xml:space="preserve">, ff. 2 a 4; </w:t>
      </w:r>
      <w:hyperlink w:anchor="SENTENCIA_2012_60" w:history="1">
        <w:r w:rsidRPr="00BA1B56">
          <w:rPr>
            <w:rStyle w:val="TextoNormalCaracter"/>
          </w:rPr>
          <w:t>60/2012</w:t>
        </w:r>
      </w:hyperlink>
      <w:r w:rsidRPr="00BA1B56">
        <w:rPr>
          <w:rStyle w:val="TextoNormalCaracter"/>
        </w:rPr>
        <w:t xml:space="preserve">, f. 3; </w:t>
      </w:r>
      <w:hyperlink w:anchor="SENTENCIA_2012_61" w:history="1">
        <w:r w:rsidRPr="00BA1B56">
          <w:rPr>
            <w:rStyle w:val="TextoNormalCaracter"/>
          </w:rPr>
          <w:t>61/2012</w:t>
        </w:r>
      </w:hyperlink>
      <w:r w:rsidRPr="00BA1B56">
        <w:rPr>
          <w:rStyle w:val="TextoNormalCaracter"/>
        </w:rPr>
        <w:t xml:space="preserve">, ff. 3, 4, 6; </w:t>
      </w:r>
      <w:hyperlink w:anchor="SENTENCIA_2012_63" w:history="1">
        <w:r w:rsidRPr="00BA1B56">
          <w:rPr>
            <w:rStyle w:val="TextoNormalCaracter"/>
          </w:rPr>
          <w:t>63/2012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ff. 3, 4, 6; </w:t>
      </w:r>
      <w:hyperlink w:anchor="SENTENCIA_2012_65" w:history="1">
        <w:r w:rsidRPr="00BA1B56">
          <w:rPr>
            <w:rStyle w:val="TextoNormalCaracter"/>
          </w:rPr>
          <w:t>65/2012</w:t>
        </w:r>
      </w:hyperlink>
      <w:r w:rsidRPr="00BA1B56">
        <w:rPr>
          <w:rStyle w:val="TextoNormalCaracter"/>
        </w:rPr>
        <w:t xml:space="preserve">, ff. 4, 5, 7; </w:t>
      </w:r>
      <w:hyperlink w:anchor="SENTENCIA_2012_66" w:history="1">
        <w:r w:rsidRPr="00BA1B56">
          <w:rPr>
            <w:rStyle w:val="TextoNormalCaracter"/>
          </w:rPr>
          <w:t>66/2012</w:t>
        </w:r>
      </w:hyperlink>
      <w:r w:rsidRPr="00BA1B56">
        <w:rPr>
          <w:rStyle w:val="TextoNormalCaracter"/>
        </w:rPr>
        <w:t xml:space="preserve">, ff. 3 a 5; </w:t>
      </w:r>
      <w:hyperlink w:anchor="SENTENCIA_2012_67" w:history="1">
        <w:r w:rsidRPr="00BA1B56">
          <w:rPr>
            <w:rStyle w:val="TextoNormalCaracter"/>
          </w:rPr>
          <w:t>67/2012</w:t>
        </w:r>
      </w:hyperlink>
      <w:r w:rsidRPr="00BA1B56">
        <w:rPr>
          <w:rStyle w:val="TextoNormalCaracter"/>
        </w:rPr>
        <w:t xml:space="preserve">, ff. 3, 4, 6; </w:t>
      </w:r>
      <w:hyperlink w:anchor="SENTENCIA_2012_68" w:history="1">
        <w:r w:rsidRPr="00BA1B56">
          <w:rPr>
            <w:rStyle w:val="TextoNormalCaracter"/>
          </w:rPr>
          <w:t>68/2012</w:t>
        </w:r>
      </w:hyperlink>
      <w:r w:rsidRPr="00BA1B56">
        <w:rPr>
          <w:rStyle w:val="TextoNormalCaracter"/>
        </w:rPr>
        <w:t xml:space="preserve">, ff. 2 a 5; </w:t>
      </w:r>
      <w:hyperlink w:anchor="SENTENCIA_2012_69" w:history="1">
        <w:r w:rsidRPr="00BA1B56">
          <w:rPr>
            <w:rStyle w:val="TextoNormalCaracter"/>
          </w:rPr>
          <w:t>69/2012</w:t>
        </w:r>
      </w:hyperlink>
      <w:r w:rsidRPr="00BA1B56">
        <w:rPr>
          <w:rStyle w:val="TextoNormalCaracter"/>
        </w:rPr>
        <w:t xml:space="preserve">, ff. 4, 5, 7; </w:t>
      </w:r>
      <w:hyperlink w:anchor="SENTENCIA_2012_108" w:history="1">
        <w:r w:rsidRPr="00BA1B56">
          <w:rPr>
            <w:rStyle w:val="TextoNormalCaracter"/>
          </w:rPr>
          <w:t>108/2012</w:t>
        </w:r>
      </w:hyperlink>
      <w:r w:rsidRPr="00BA1B56">
        <w:rPr>
          <w:rStyle w:val="TextoNormalCaracter"/>
        </w:rPr>
        <w:t xml:space="preserve">, ff. 2 a 4; </w:t>
      </w:r>
      <w:hyperlink w:anchor="SENTENCIA_2012_113" w:history="1">
        <w:r w:rsidRPr="00BA1B56">
          <w:rPr>
            <w:rStyle w:val="TextoNormalCaracter"/>
          </w:rPr>
          <w:t>113/2012</w:t>
        </w:r>
      </w:hyperlink>
      <w:r w:rsidRPr="00BA1B56">
        <w:rPr>
          <w:rStyle w:val="TextoNormalCaracter"/>
        </w:rPr>
        <w:t xml:space="preserve">, ff. 6, 8, 11, 12; </w:t>
      </w:r>
      <w:hyperlink w:anchor="SENTENCIA_2012_114" w:history="1">
        <w:r w:rsidRPr="00BA1B56">
          <w:rPr>
            <w:rStyle w:val="TextoNormalCaracter"/>
          </w:rPr>
          <w:t>114/2012</w:t>
        </w:r>
      </w:hyperlink>
      <w:r w:rsidRPr="00BA1B56">
        <w:rPr>
          <w:rStyle w:val="TextoNormalCaracter"/>
        </w:rPr>
        <w:t xml:space="preserve">, ff. 3, 4, 6;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22" w:name="DESCRIPTORALFABETICO960"/>
      <w:r w:rsidRPr="00BA1B56">
        <w:rPr>
          <w:rStyle w:val="TextoNormalNegritaCaracter"/>
        </w:rPr>
        <w:t>Límite relativo de la detención preventiva</w:t>
      </w:r>
      <w:bookmarkEnd w:id="1922"/>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 2.</w:t>
      </w:r>
    </w:p>
    <w:p w:rsidR="00BA1B56" w:rsidRPr="00BA1B56" w:rsidRDefault="00BA1B56" w:rsidP="00BA1B56">
      <w:pPr>
        <w:pStyle w:val="TextoNormalSangraFrancesa"/>
        <w:rPr>
          <w:rStyle w:val="TextoNormalCaracter"/>
        </w:rPr>
      </w:pPr>
      <w:bookmarkStart w:id="1923" w:name="DESCRIPTORALFABETICO72"/>
      <w:r w:rsidRPr="00BA1B56">
        <w:rPr>
          <w:rStyle w:val="TextoNormalNegritaCaracter"/>
        </w:rPr>
        <w:t>Límites a la autonomía financiera</w:t>
      </w:r>
      <w:bookmarkEnd w:id="1923"/>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ff. 5 a 7; </w:t>
      </w:r>
      <w:hyperlink w:anchor="SENTENCIA_2012_36" w:history="1">
        <w:r w:rsidRPr="00BA1B56">
          <w:rPr>
            <w:rStyle w:val="TextoNormalCaracter"/>
          </w:rPr>
          <w:t>36/2012</w:t>
        </w:r>
      </w:hyperlink>
      <w:r w:rsidRPr="00BA1B56">
        <w:rPr>
          <w:rStyle w:val="TextoNormalCaracter"/>
        </w:rPr>
        <w:t xml:space="preserve">, f. 7; </w:t>
      </w:r>
      <w:hyperlink w:anchor="SENTENCIA_2012_72" w:history="1">
        <w:r w:rsidRPr="00BA1B56">
          <w:rPr>
            <w:rStyle w:val="TextoNormalCaracter"/>
          </w:rPr>
          <w:t>72/2012</w:t>
        </w:r>
      </w:hyperlink>
      <w:r w:rsidRPr="00BA1B56">
        <w:rPr>
          <w:rStyle w:val="TextoNormalCaracter"/>
        </w:rPr>
        <w:t xml:space="preserve">, f. 4; </w:t>
      </w:r>
      <w:hyperlink w:anchor="SENTENCIA_2012_73" w:history="1">
        <w:r w:rsidRPr="00BA1B56">
          <w:rPr>
            <w:rStyle w:val="TextoNormalCaracter"/>
          </w:rPr>
          <w:t>73/2012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24" w:name="DESCRIPTORALFABETICO271"/>
      <w:r w:rsidRPr="00BA1B56">
        <w:rPr>
          <w:rStyle w:val="TextoNormalNegritaCaracter"/>
        </w:rPr>
        <w:t>Límites a la competencia en cuestión de inconstitucionalidad</w:t>
      </w:r>
      <w:bookmarkEnd w:id="1924"/>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 12; </w:t>
      </w:r>
      <w:hyperlink w:anchor="SENTENCIA_2012_75" w:history="1">
        <w:r w:rsidRPr="00BA1B56">
          <w:rPr>
            <w:rStyle w:val="TextoNormalCaracter"/>
          </w:rPr>
          <w:t>75/2012</w:t>
        </w:r>
      </w:hyperlink>
      <w:r w:rsidRPr="00BA1B56">
        <w:rPr>
          <w:rStyle w:val="TextoNormalCaracter"/>
        </w:rPr>
        <w:t xml:space="preserve">, f. 4; </w:t>
      </w:r>
      <w:hyperlink w:anchor="SENTENCIA_2012_91" w:history="1">
        <w:r w:rsidRPr="00BA1B56">
          <w:rPr>
            <w:rStyle w:val="TextoNormalCaracter"/>
          </w:rPr>
          <w:t>91/2012</w:t>
        </w:r>
      </w:hyperlink>
      <w:r w:rsidRPr="00BA1B56">
        <w:rPr>
          <w:rStyle w:val="TextoNormalCaracter"/>
        </w:rPr>
        <w:t xml:space="preserve">, f. 4; </w:t>
      </w:r>
      <w:hyperlink w:anchor="SENTENCIA_2012_93" w:history="1">
        <w:r w:rsidRPr="00BA1B56">
          <w:rPr>
            <w:rStyle w:val="TextoNormalCaracter"/>
          </w:rPr>
          <w:t>93/2012</w:t>
        </w:r>
      </w:hyperlink>
      <w:r w:rsidRPr="00BA1B56">
        <w:rPr>
          <w:rStyle w:val="TextoNormalCaracter"/>
        </w:rPr>
        <w:t xml:space="preserve">, f. 4; </w:t>
      </w:r>
      <w:hyperlink w:anchor="SENTENCIA_2012_94" w:history="1">
        <w:r w:rsidRPr="00BA1B56">
          <w:rPr>
            <w:rStyle w:val="TextoNormalCaracter"/>
          </w:rPr>
          <w:t>94/2012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25" w:name="DESCRIPTORALFABETICO272"/>
      <w:r w:rsidRPr="00BA1B56">
        <w:rPr>
          <w:rStyle w:val="TextoNormalNegritaCaracter"/>
        </w:rPr>
        <w:t>Límites a la competencia en recurso de amparo</w:t>
      </w:r>
      <w:bookmarkEnd w:id="1925"/>
      <w:r w:rsidRPr="00BA1B56">
        <w:rPr>
          <w:rStyle w:val="TextoNormalCaracter"/>
        </w:rPr>
        <w:t xml:space="preserve">, Auto </w:t>
      </w:r>
      <w:hyperlink w:anchor="AUTO_2012_112" w:history="1">
        <w:r w:rsidRPr="00BA1B56">
          <w:rPr>
            <w:rStyle w:val="TextoNormalCaracter"/>
          </w:rPr>
          <w:t>112/2012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1926" w:name="DESCRIPTORALFABETICO244"/>
      <w:r w:rsidRPr="00BA1B56">
        <w:rPr>
          <w:rStyle w:val="TextoNormalNegritaCaracter"/>
        </w:rPr>
        <w:t>Límites a la libertad de información</w:t>
      </w:r>
      <w:bookmarkEnd w:id="1926"/>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 6; </w:t>
      </w:r>
      <w:hyperlink w:anchor="SENTENCIA_2012_24" w:history="1">
        <w:r w:rsidRPr="00BA1B56">
          <w:rPr>
            <w:rStyle w:val="TextoNormalCaracter"/>
          </w:rPr>
          <w:t>24/2012</w:t>
        </w:r>
      </w:hyperlink>
      <w:r w:rsidRPr="00BA1B56">
        <w:rPr>
          <w:rStyle w:val="TextoNormalCaracter"/>
        </w:rPr>
        <w:t xml:space="preserve">, ff. 2, 3; </w:t>
      </w:r>
      <w:hyperlink w:anchor="SENTENCIA_2012_74" w:history="1">
        <w:r w:rsidRPr="00BA1B56">
          <w:rPr>
            <w:rStyle w:val="TextoNormalCaracter"/>
          </w:rPr>
          <w:t>74/2012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927" w:name="DESCRIPTORALFABETICO187"/>
      <w:r w:rsidRPr="00BA1B56">
        <w:rPr>
          <w:rStyle w:val="TextoNormalNegritaCaracter"/>
        </w:rPr>
        <w:t>Límites a la protección de datos personales</w:t>
      </w:r>
      <w:bookmarkEnd w:id="1927"/>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7, 8.</w:t>
      </w:r>
    </w:p>
    <w:p w:rsidR="00BA1B56" w:rsidRPr="00BA1B56" w:rsidRDefault="00BA1B56" w:rsidP="00BA1B56">
      <w:pPr>
        <w:pStyle w:val="TextoNormalSangraFrancesa"/>
        <w:rPr>
          <w:rStyle w:val="TextoNormalCaracter"/>
        </w:rPr>
      </w:pPr>
      <w:bookmarkStart w:id="1928" w:name="DESCRIPTORALFABETICO524"/>
      <w:r w:rsidRPr="00BA1B56">
        <w:rPr>
          <w:rStyle w:val="TextoNormalNegritaCaracter"/>
        </w:rPr>
        <w:t>Límites a la soberanía estatal</w:t>
      </w:r>
      <w:bookmarkEnd w:id="1928"/>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7.</w:t>
      </w:r>
    </w:p>
    <w:p w:rsidR="00BA1B56" w:rsidRPr="00BA1B56" w:rsidRDefault="00BA1B56" w:rsidP="00BA1B56">
      <w:pPr>
        <w:pStyle w:val="TextoNormalSangraFrancesa"/>
        <w:rPr>
          <w:rStyle w:val="TextoNormalNegritaCaracter"/>
        </w:rPr>
      </w:pPr>
      <w:r w:rsidRPr="00BA1B56">
        <w:rPr>
          <w:rStyle w:val="TextoNormalCursivaCaracter"/>
        </w:rPr>
        <w:t>Límites de edad</w:t>
      </w:r>
      <w:r>
        <w:t xml:space="preserve"> véase </w:t>
      </w:r>
      <w:hyperlink w:anchor="DESCRIPTORALFABETICO768" w:history="1">
        <w:r w:rsidRPr="00BA1B56">
          <w:rPr>
            <w:rStyle w:val="TextoNormalNegritaCaracter"/>
          </w:rPr>
          <w:t>Requisito de edad</w:t>
        </w:r>
      </w:hyperlink>
    </w:p>
    <w:p w:rsidR="00BA1B56" w:rsidRPr="00BA1B56" w:rsidRDefault="00BA1B56" w:rsidP="00BA1B56">
      <w:pPr>
        <w:pStyle w:val="TextoNormalSangraFrancesa"/>
        <w:rPr>
          <w:rStyle w:val="TextoNormalNegritaCaracter"/>
        </w:rPr>
      </w:pPr>
      <w:r w:rsidRPr="00BA1B56">
        <w:rPr>
          <w:rStyle w:val="TextoNormalCursivaCaracter"/>
        </w:rPr>
        <w:t>Límites en el ejercicio de derechos fundamentales</w:t>
      </w:r>
      <w:r>
        <w:t xml:space="preserve"> véase </w:t>
      </w:r>
      <w:hyperlink w:anchor="DESCRIPTORALFABETICO253" w:history="1">
        <w:r w:rsidRPr="00BA1B56">
          <w:rPr>
            <w:rStyle w:val="TextoNormalNegritaCaracter"/>
          </w:rPr>
          <w:t>Limitación de derechos fundamentales</w:t>
        </w:r>
      </w:hyperlink>
    </w:p>
    <w:p w:rsidR="00BA1B56" w:rsidRPr="00BA1B56" w:rsidRDefault="00BA1B56" w:rsidP="00BA1B56">
      <w:pPr>
        <w:pStyle w:val="TextoNormalSangraFrancesa"/>
        <w:rPr>
          <w:rStyle w:val="TextoNormalCaracter"/>
        </w:rPr>
      </w:pPr>
      <w:bookmarkStart w:id="1929" w:name="DESCRIPTORALFABETICO983"/>
      <w:r w:rsidRPr="00BA1B56">
        <w:rPr>
          <w:rStyle w:val="TextoNormalNegritaCaracter"/>
        </w:rPr>
        <w:t>Liquidación de condena</w:t>
      </w:r>
      <w:bookmarkEnd w:id="1929"/>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8, VP II; </w:t>
      </w:r>
      <w:hyperlink w:anchor="SENTENCIA_2012_40" w:history="1">
        <w:r w:rsidRPr="00BA1B56">
          <w:rPr>
            <w:rStyle w:val="TextoNormalCaracter"/>
          </w:rPr>
          <w:t>40/2012</w:t>
        </w:r>
      </w:hyperlink>
      <w:r w:rsidRPr="00BA1B56">
        <w:rPr>
          <w:rStyle w:val="TextoNormalCaracter"/>
        </w:rPr>
        <w:t xml:space="preserve">, ff. 5, 6, VP II; </w:t>
      </w:r>
      <w:hyperlink w:anchor="SENTENCIA_2012_41" w:history="1">
        <w:r w:rsidRPr="00BA1B56">
          <w:rPr>
            <w:rStyle w:val="TextoNormalCaracter"/>
          </w:rPr>
          <w:t>41/2012</w:t>
        </w:r>
      </w:hyperlink>
      <w:r w:rsidRPr="00BA1B56">
        <w:rPr>
          <w:rStyle w:val="TextoNormalCaracter"/>
        </w:rPr>
        <w:t xml:space="preserve">, f. 6, VP I; </w:t>
      </w:r>
      <w:hyperlink w:anchor="SENTENCIA_2012_42" w:history="1">
        <w:r w:rsidRPr="00BA1B56">
          <w:rPr>
            <w:rStyle w:val="TextoNormalCaracter"/>
          </w:rPr>
          <w:t>42/2012</w:t>
        </w:r>
      </w:hyperlink>
      <w:r w:rsidRPr="00BA1B56">
        <w:rPr>
          <w:rStyle w:val="TextoNormalCaracter"/>
        </w:rPr>
        <w:t xml:space="preserve">, f. 5; </w:t>
      </w:r>
      <w:hyperlink w:anchor="SENTENCIA_2012_43" w:history="1">
        <w:r w:rsidRPr="00BA1B56">
          <w:rPr>
            <w:rStyle w:val="TextoNormalCaracter"/>
          </w:rPr>
          <w:t>43/2012</w:t>
        </w:r>
      </w:hyperlink>
      <w:r w:rsidRPr="00BA1B56">
        <w:rPr>
          <w:rStyle w:val="TextoNormalCaracter"/>
        </w:rPr>
        <w:t xml:space="preserve">, f. 3; </w:t>
      </w:r>
      <w:hyperlink w:anchor="SENTENCIA_2012_44" w:history="1">
        <w:r w:rsidRPr="00BA1B56">
          <w:rPr>
            <w:rStyle w:val="TextoNormalCaracter"/>
          </w:rPr>
          <w:t>44/2012</w:t>
        </w:r>
      </w:hyperlink>
      <w:r w:rsidRPr="00BA1B56">
        <w:rPr>
          <w:rStyle w:val="TextoNormalCaracter"/>
        </w:rPr>
        <w:t xml:space="preserve">, ff. 3, 6; </w:t>
      </w:r>
      <w:hyperlink w:anchor="SENTENCIA_2012_45" w:history="1">
        <w:r w:rsidRPr="00BA1B56">
          <w:rPr>
            <w:rStyle w:val="TextoNormalCaracter"/>
          </w:rPr>
          <w:t>45/2012</w:t>
        </w:r>
      </w:hyperlink>
      <w:r w:rsidRPr="00BA1B56">
        <w:rPr>
          <w:rStyle w:val="TextoNormalCaracter"/>
        </w:rPr>
        <w:t xml:space="preserve">, ff. 3, 6; </w:t>
      </w:r>
      <w:hyperlink w:anchor="SENTENCIA_2012_46" w:history="1">
        <w:r w:rsidRPr="00BA1B56">
          <w:rPr>
            <w:rStyle w:val="TextoNormalCaracter"/>
          </w:rPr>
          <w:t>46/2012</w:t>
        </w:r>
      </w:hyperlink>
      <w:r w:rsidRPr="00BA1B56">
        <w:rPr>
          <w:rStyle w:val="TextoNormalCaracter"/>
        </w:rPr>
        <w:t xml:space="preserve">, f. 3; </w:t>
      </w:r>
      <w:hyperlink w:anchor="SENTENCIA_2012_47" w:history="1">
        <w:r w:rsidRPr="00BA1B56">
          <w:rPr>
            <w:rStyle w:val="TextoNormalCaracter"/>
          </w:rPr>
          <w:t>47/2012</w:t>
        </w:r>
      </w:hyperlink>
      <w:r w:rsidRPr="00BA1B56">
        <w:rPr>
          <w:rStyle w:val="TextoNormalCaracter"/>
        </w:rPr>
        <w:t xml:space="preserve">, ff. 3, 4, VP II;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ff. 3, 4;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 3; </w:t>
      </w:r>
      <w:hyperlink w:anchor="SENTENCIA_2012_54" w:history="1">
        <w:r w:rsidRPr="00BA1B56">
          <w:rPr>
            <w:rStyle w:val="TextoNormalCaracter"/>
          </w:rPr>
          <w:t>54/2012</w:t>
        </w:r>
      </w:hyperlink>
      <w:r w:rsidRPr="00BA1B56">
        <w:rPr>
          <w:rStyle w:val="TextoNormalCaracter"/>
        </w:rPr>
        <w:t xml:space="preserve">, ff. 7, 8; </w:t>
      </w:r>
      <w:hyperlink w:anchor="SENTENCIA_2012_55" w:history="1">
        <w:r w:rsidRPr="00BA1B56">
          <w:rPr>
            <w:rStyle w:val="TextoNormalCaracter"/>
          </w:rPr>
          <w:t>55/2012</w:t>
        </w:r>
      </w:hyperlink>
      <w:r w:rsidRPr="00BA1B56">
        <w:rPr>
          <w:rStyle w:val="TextoNormalCaracter"/>
        </w:rPr>
        <w:t xml:space="preserve">, f. 5; </w:t>
      </w:r>
      <w:hyperlink w:anchor="SENTENCIA_2012_56" w:history="1">
        <w:r w:rsidRPr="00BA1B56">
          <w:rPr>
            <w:rStyle w:val="TextoNormalCaracter"/>
          </w:rPr>
          <w:t>56/2012</w:t>
        </w:r>
      </w:hyperlink>
      <w:r w:rsidRPr="00BA1B56">
        <w:rPr>
          <w:rStyle w:val="TextoNormalCaracter"/>
        </w:rPr>
        <w:t xml:space="preserve">, ff. 4, 5; </w:t>
      </w:r>
      <w:hyperlink w:anchor="SENTENCIA_2012_57" w:history="1">
        <w:r w:rsidRPr="00BA1B56">
          <w:rPr>
            <w:rStyle w:val="TextoNormalCaracter"/>
          </w:rPr>
          <w:t>57/2012</w:t>
        </w:r>
      </w:hyperlink>
      <w:r w:rsidRPr="00BA1B56">
        <w:rPr>
          <w:rStyle w:val="TextoNormalCaracter"/>
        </w:rPr>
        <w:t xml:space="preserve">, ff. 3, 8; </w:t>
      </w:r>
      <w:hyperlink w:anchor="SENTENCIA_2012_58" w:history="1">
        <w:r w:rsidRPr="00BA1B56">
          <w:rPr>
            <w:rStyle w:val="TextoNormalCaracter"/>
          </w:rPr>
          <w:t>58/2012</w:t>
        </w:r>
      </w:hyperlink>
      <w:r w:rsidRPr="00BA1B56">
        <w:rPr>
          <w:rStyle w:val="TextoNormalCaracter"/>
        </w:rPr>
        <w:t xml:space="preserve">, f. 3; </w:t>
      </w:r>
      <w:hyperlink w:anchor="SENTENCIA_2012_59" w:history="1">
        <w:r w:rsidRPr="00BA1B56">
          <w:rPr>
            <w:rStyle w:val="TextoNormalCaracter"/>
          </w:rPr>
          <w:t>59/2012</w:t>
        </w:r>
      </w:hyperlink>
      <w:r w:rsidRPr="00BA1B56">
        <w:rPr>
          <w:rStyle w:val="TextoNormalCaracter"/>
        </w:rPr>
        <w:t xml:space="preserve">, ff. 4, 5; </w:t>
      </w:r>
      <w:hyperlink w:anchor="SENTENCIA_2012_60" w:history="1">
        <w:r w:rsidRPr="00BA1B56">
          <w:rPr>
            <w:rStyle w:val="TextoNormalCaracter"/>
          </w:rPr>
          <w:t>60/2012</w:t>
        </w:r>
      </w:hyperlink>
      <w:r w:rsidRPr="00BA1B56">
        <w:rPr>
          <w:rStyle w:val="TextoNormalCaracter"/>
        </w:rPr>
        <w:t xml:space="preserve">, f. 3; </w:t>
      </w:r>
      <w:hyperlink w:anchor="SENTENCIA_2012_61" w:history="1">
        <w:r w:rsidRPr="00BA1B56">
          <w:rPr>
            <w:rStyle w:val="TextoNormalCaracter"/>
          </w:rPr>
          <w:t>61/2012</w:t>
        </w:r>
      </w:hyperlink>
      <w:r w:rsidRPr="00BA1B56">
        <w:rPr>
          <w:rStyle w:val="TextoNormalCaracter"/>
        </w:rPr>
        <w:t xml:space="preserve">, f. 3; </w:t>
      </w:r>
      <w:hyperlink w:anchor="SENTENCIA_2012_62" w:history="1">
        <w:r w:rsidRPr="00BA1B56">
          <w:rPr>
            <w:rStyle w:val="TextoNormalCaracter"/>
          </w:rPr>
          <w:t>62/2012</w:t>
        </w:r>
      </w:hyperlink>
      <w:r w:rsidRPr="00BA1B56">
        <w:rPr>
          <w:rStyle w:val="TextoNormalCaracter"/>
        </w:rPr>
        <w:t xml:space="preserve">, f. 1; </w:t>
      </w:r>
      <w:hyperlink w:anchor="SENTENCIA_2012_63" w:history="1">
        <w:r w:rsidRPr="00BA1B56">
          <w:rPr>
            <w:rStyle w:val="TextoNormalCaracter"/>
          </w:rPr>
          <w:t>63/2012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 4; </w:t>
      </w:r>
      <w:hyperlink w:anchor="SENTENCIA_2012_65" w:history="1">
        <w:r w:rsidRPr="00BA1B56">
          <w:rPr>
            <w:rStyle w:val="TextoNormalCaracter"/>
          </w:rPr>
          <w:t>65/2012</w:t>
        </w:r>
      </w:hyperlink>
      <w:r w:rsidRPr="00BA1B56">
        <w:rPr>
          <w:rStyle w:val="TextoNormalCaracter"/>
        </w:rPr>
        <w:t xml:space="preserve">, f. 5; </w:t>
      </w:r>
      <w:hyperlink w:anchor="SENTENCIA_2012_66" w:history="1">
        <w:r w:rsidRPr="00BA1B56">
          <w:rPr>
            <w:rStyle w:val="TextoNormalCaracter"/>
          </w:rPr>
          <w:t>66/2012</w:t>
        </w:r>
      </w:hyperlink>
      <w:r w:rsidRPr="00BA1B56">
        <w:rPr>
          <w:rStyle w:val="TextoNormalCaracter"/>
        </w:rPr>
        <w:t xml:space="preserve">, ff. 3 a 5; </w:t>
      </w:r>
      <w:hyperlink w:anchor="SENTENCIA_2012_67" w:history="1">
        <w:r w:rsidRPr="00BA1B56">
          <w:rPr>
            <w:rStyle w:val="TextoNormalCaracter"/>
          </w:rPr>
          <w:t>67/2012</w:t>
        </w:r>
      </w:hyperlink>
      <w:r w:rsidRPr="00BA1B56">
        <w:rPr>
          <w:rStyle w:val="TextoNormalCaracter"/>
        </w:rPr>
        <w:t xml:space="preserve">, f. 4; </w:t>
      </w:r>
      <w:hyperlink w:anchor="SENTENCIA_2012_68" w:history="1">
        <w:r w:rsidRPr="00BA1B56">
          <w:rPr>
            <w:rStyle w:val="TextoNormalCaracter"/>
          </w:rPr>
          <w:t>68/2012</w:t>
        </w:r>
      </w:hyperlink>
      <w:r w:rsidRPr="00BA1B56">
        <w:rPr>
          <w:rStyle w:val="TextoNormalCaracter"/>
        </w:rPr>
        <w:t xml:space="preserve">, </w:t>
      </w:r>
      <w:r w:rsidRPr="00BA1B56">
        <w:rPr>
          <w:rStyle w:val="TextoNormalCaracter"/>
        </w:rPr>
        <w:lastRenderedPageBreak/>
        <w:t xml:space="preserve">ff. 5, 6; </w:t>
      </w:r>
      <w:hyperlink w:anchor="SENTENCIA_2012_69" w:history="1">
        <w:r w:rsidRPr="00BA1B56">
          <w:rPr>
            <w:rStyle w:val="TextoNormalCaracter"/>
          </w:rPr>
          <w:t>69/2012</w:t>
        </w:r>
      </w:hyperlink>
      <w:r w:rsidRPr="00BA1B56">
        <w:rPr>
          <w:rStyle w:val="TextoNormalCaracter"/>
        </w:rPr>
        <w:t xml:space="preserve">, f. 5; </w:t>
      </w:r>
      <w:hyperlink w:anchor="SENTENCIA_2012_108" w:history="1">
        <w:r w:rsidRPr="00BA1B56">
          <w:rPr>
            <w:rStyle w:val="TextoNormalCaracter"/>
          </w:rPr>
          <w:t>108/2012</w:t>
        </w:r>
      </w:hyperlink>
      <w:r w:rsidRPr="00BA1B56">
        <w:rPr>
          <w:rStyle w:val="TextoNormalCaracter"/>
        </w:rPr>
        <w:t xml:space="preserve">, ff. 2, 3; </w:t>
      </w:r>
      <w:hyperlink w:anchor="SENTENCIA_2012_113" w:history="1">
        <w:r w:rsidRPr="00BA1B56">
          <w:rPr>
            <w:rStyle w:val="TextoNormalCaracter"/>
          </w:rPr>
          <w:t>113/2012</w:t>
        </w:r>
      </w:hyperlink>
      <w:r w:rsidRPr="00BA1B56">
        <w:rPr>
          <w:rStyle w:val="TextoNormalCaracter"/>
        </w:rPr>
        <w:t xml:space="preserve">, ff. 8, 12; </w:t>
      </w:r>
      <w:hyperlink w:anchor="SENTENCIA_2012_114" w:history="1">
        <w:r w:rsidRPr="00BA1B56">
          <w:rPr>
            <w:rStyle w:val="TextoNormalCaracter"/>
          </w:rPr>
          <w:t>114/2012</w:t>
        </w:r>
      </w:hyperlink>
      <w:r w:rsidRPr="00BA1B56">
        <w:rPr>
          <w:rStyle w:val="TextoNormalCaracter"/>
        </w:rPr>
        <w:t xml:space="preserve">, f. 4;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30" w:name="DESCRIPTORALFABETICO91"/>
      <w:r w:rsidRPr="00BA1B56">
        <w:rPr>
          <w:rStyle w:val="TextoNormalNegritaCaracter"/>
        </w:rPr>
        <w:t>Liquidaciones tributarias firmes</w:t>
      </w:r>
      <w:bookmarkEnd w:id="1930"/>
      <w:r w:rsidRPr="00BA1B56">
        <w:rPr>
          <w:rStyle w:val="TextoNormalCaracter"/>
        </w:rPr>
        <w:t xml:space="preserve">, Sentencia </w:t>
      </w:r>
      <w:hyperlink w:anchor="SENTENCIA_2012_13" w:history="1">
        <w:r w:rsidRPr="00BA1B56">
          <w:rPr>
            <w:rStyle w:val="TextoNormalCaracter"/>
          </w:rPr>
          <w:t>13/2012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31" w:name="DESCRIPTORALFABETICO655"/>
      <w:r w:rsidRPr="00BA1B56">
        <w:rPr>
          <w:rStyle w:val="TextoNormalNegritaCaracter"/>
        </w:rPr>
        <w:t>Lotería Nacional</w:t>
      </w:r>
      <w:bookmarkEnd w:id="1931"/>
      <w:r w:rsidRPr="00BA1B56">
        <w:rPr>
          <w:rStyle w:val="TextoNormalCaracter"/>
        </w:rPr>
        <w:t xml:space="preserve">, Sentencia </w:t>
      </w:r>
      <w:hyperlink w:anchor="SENTENCIA_2012_32" w:history="1">
        <w:r w:rsidRPr="00BA1B56">
          <w:rPr>
            <w:rStyle w:val="TextoNormalCaracter"/>
          </w:rPr>
          <w:t>32/2012</w:t>
        </w:r>
      </w:hyperlink>
      <w:r w:rsidRPr="00BA1B56">
        <w:rPr>
          <w:rStyle w:val="TextoNormalCaracter"/>
        </w:rPr>
        <w:t>, ff. 4, 7.</w:t>
      </w:r>
    </w:p>
    <w:p w:rsidR="00BA1B56" w:rsidRPr="00BA1B56" w:rsidRDefault="00BA1B56" w:rsidP="00BA1B56">
      <w:pPr>
        <w:pStyle w:val="TextoNormalSangraFrancesa"/>
        <w:rPr>
          <w:rStyle w:val="TextoNormalCaracter"/>
        </w:rPr>
      </w:pPr>
      <w:bookmarkStart w:id="1932" w:name="DESCRIPTORALFABETICO654"/>
      <w:r w:rsidRPr="00BA1B56">
        <w:rPr>
          <w:rStyle w:val="TextoNormalNegritaCaracter"/>
        </w:rPr>
        <w:t>Loterías</w:t>
      </w:r>
      <w:bookmarkEnd w:id="1932"/>
      <w:r w:rsidRPr="00BA1B56">
        <w:rPr>
          <w:rStyle w:val="TextoNormalCaracter"/>
        </w:rPr>
        <w:t xml:space="preserve">, Sentencia </w:t>
      </w:r>
      <w:hyperlink w:anchor="SENTENCIA_2012_32" w:history="1">
        <w:r w:rsidRPr="00BA1B56">
          <w:rPr>
            <w:rStyle w:val="TextoNormalCaracter"/>
          </w:rPr>
          <w:t>32/2012</w:t>
        </w:r>
      </w:hyperlink>
      <w:r w:rsidRPr="00BA1B56">
        <w:rPr>
          <w:rStyle w:val="TextoNormalCaracter"/>
        </w:rPr>
        <w:t>, ff. 4, 7, 8.</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M</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933" w:name="DESCRIPTORALFABETICO281"/>
      <w:r w:rsidRPr="00BA1B56">
        <w:rPr>
          <w:rStyle w:val="TextoNormalNegritaCaracter"/>
        </w:rPr>
        <w:t>Mantenimiento de la suspensión del acto que origina el amparo</w:t>
      </w:r>
      <w:bookmarkEnd w:id="1933"/>
      <w:r w:rsidRPr="00BA1B56">
        <w:rPr>
          <w:rStyle w:val="TextoNormalCaracter"/>
        </w:rPr>
        <w:t xml:space="preserve">, Autos </w:t>
      </w:r>
      <w:hyperlink w:anchor="AUTO_2012_19" w:history="1">
        <w:r w:rsidRPr="00BA1B56">
          <w:rPr>
            <w:rStyle w:val="TextoNormalCaracter"/>
          </w:rPr>
          <w:t>19/2012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934" w:name="DESCRIPTORALFABETICO88"/>
      <w:r w:rsidRPr="00BA1B56">
        <w:rPr>
          <w:rStyle w:val="TextoNormalNegritaCaracter"/>
        </w:rPr>
        <w:t>Materia imponible</w:t>
      </w:r>
      <w:bookmarkEnd w:id="1934"/>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35" w:name="DESCRIPTORALFABETICO812"/>
      <w:r w:rsidRPr="00BA1B56">
        <w:rPr>
          <w:rStyle w:val="TextoNormalNegritaCaracter"/>
        </w:rPr>
        <w:t>Medicamentos</w:t>
      </w:r>
      <w:bookmarkEnd w:id="1935"/>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36" w:name="DESCRIPTORALFABETICO917"/>
      <w:r w:rsidRPr="00BA1B56">
        <w:rPr>
          <w:rStyle w:val="TextoNormalNegritaCaracter"/>
        </w:rPr>
        <w:t>Medidas cautelares</w:t>
      </w:r>
      <w:bookmarkEnd w:id="1936"/>
      <w:r w:rsidRPr="00BA1B56">
        <w:rPr>
          <w:rStyle w:val="TextoNormalCaracter"/>
        </w:rPr>
        <w:t xml:space="preserve">, Sentencia </w:t>
      </w:r>
      <w:hyperlink w:anchor="SENTENCIA_2012_16" w:history="1">
        <w:r w:rsidRPr="00BA1B56">
          <w:rPr>
            <w:rStyle w:val="TextoNormalCaracter"/>
          </w:rPr>
          <w:t>16/2012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937" w:name="DESCRIPTORALFABETICO920"/>
      <w:r w:rsidRPr="00BA1B56">
        <w:rPr>
          <w:rStyle w:val="TextoNormalNegritaCaracter"/>
        </w:rPr>
        <w:t>Medidas cautelares de oficio</w:t>
      </w:r>
      <w:bookmarkEnd w:id="1937"/>
      <w:r w:rsidRPr="00BA1B56">
        <w:rPr>
          <w:rStyle w:val="TextoNormalCaracter"/>
        </w:rPr>
        <w:t xml:space="preserve">, Auto </w:t>
      </w:r>
      <w:hyperlink w:anchor="AUTO_2012_115" w:history="1">
        <w:r w:rsidRPr="00BA1B56">
          <w:rPr>
            <w:rStyle w:val="TextoNormalCaracter"/>
          </w:rPr>
          <w:t>115/2012</w:t>
        </w:r>
      </w:hyperlink>
      <w:r w:rsidRPr="00BA1B56">
        <w:rPr>
          <w:rStyle w:val="TextoNormalCaracter"/>
        </w:rPr>
        <w:t>, ff. 1, 2.</w:t>
      </w:r>
    </w:p>
    <w:p w:rsidR="00BA1B56" w:rsidRPr="00BA1B56" w:rsidRDefault="00BA1B56" w:rsidP="00BA1B56">
      <w:pPr>
        <w:pStyle w:val="TextoNormalSangraFrancesa"/>
        <w:rPr>
          <w:rStyle w:val="TextoNormalNegritaCaracter"/>
        </w:rPr>
      </w:pPr>
      <w:r w:rsidRPr="00BA1B56">
        <w:rPr>
          <w:rStyle w:val="TextoNormalCursivaCaracter"/>
        </w:rPr>
        <w:t>Medidas de reinserción social</w:t>
      </w:r>
      <w:r>
        <w:t xml:space="preserve"> véase </w:t>
      </w:r>
      <w:hyperlink w:anchor="DESCRIPTORALFABETICO759" w:history="1">
        <w:r w:rsidRPr="00BA1B56">
          <w:rPr>
            <w:rStyle w:val="TextoNormalNegritaCaracter"/>
          </w:rPr>
          <w:t>Reinserción social</w:t>
        </w:r>
      </w:hyperlink>
    </w:p>
    <w:p w:rsidR="00BA1B56" w:rsidRPr="00BA1B56" w:rsidRDefault="00BA1B56" w:rsidP="00BA1B56">
      <w:pPr>
        <w:pStyle w:val="TextoNormalSangraFrancesa"/>
        <w:rPr>
          <w:rStyle w:val="TextoNormalNegritaCaracter"/>
        </w:rPr>
      </w:pPr>
      <w:r w:rsidRPr="00BA1B56">
        <w:rPr>
          <w:rStyle w:val="TextoNormalCursivaCaracter"/>
        </w:rPr>
        <w:t>Medidas penitenciarias</w:t>
      </w:r>
      <w:r>
        <w:t xml:space="preserve"> véase </w:t>
      </w:r>
      <w:hyperlink w:anchor="DESCRIPTORALFABETICO786" w:history="1">
        <w:r w:rsidRPr="00BA1B56">
          <w:rPr>
            <w:rStyle w:val="TextoNormalNegritaCaracter"/>
          </w:rPr>
          <w:t>Régimen penitenciario</w:t>
        </w:r>
      </w:hyperlink>
    </w:p>
    <w:p w:rsidR="00BA1B56" w:rsidRPr="00BA1B56" w:rsidRDefault="00BA1B56" w:rsidP="00BA1B56">
      <w:pPr>
        <w:pStyle w:val="TextoNormalSangraFrancesa"/>
        <w:rPr>
          <w:rStyle w:val="TextoNormalCaracter"/>
        </w:rPr>
      </w:pPr>
      <w:bookmarkStart w:id="1938" w:name="DESCRIPTORALFABETICO656"/>
      <w:r w:rsidRPr="00BA1B56">
        <w:rPr>
          <w:rStyle w:val="TextoNormalNegritaCaracter"/>
        </w:rPr>
        <w:t>Medio ambiente</w:t>
      </w:r>
      <w:bookmarkEnd w:id="1938"/>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ff. 4 a 7; </w:t>
      </w:r>
      <w:hyperlink w:anchor="SENTENCIA_2012_38" w:history="1">
        <w:r w:rsidRPr="00BA1B56">
          <w:rPr>
            <w:rStyle w:val="TextoNormalCaracter"/>
          </w:rPr>
          <w:t>38/2012</w:t>
        </w:r>
      </w:hyperlink>
      <w:r w:rsidRPr="00BA1B56">
        <w:rPr>
          <w:rStyle w:val="TextoNormalCaracter"/>
        </w:rPr>
        <w:t xml:space="preserve">, ff. 6, 8; </w:t>
      </w:r>
      <w:hyperlink w:anchor="SENTENCIA_2012_87" w:history="1">
        <w:r w:rsidRPr="00BA1B56">
          <w:rPr>
            <w:rStyle w:val="TextoNormalCaracter"/>
          </w:rPr>
          <w:t>87/2012</w:t>
        </w:r>
      </w:hyperlink>
      <w:r w:rsidRPr="00BA1B56">
        <w:rPr>
          <w:rStyle w:val="TextoNormalCaracter"/>
        </w:rPr>
        <w:t xml:space="preserve">, f. 5;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939" w:name="DESCRIPTORALFABETICO665"/>
      <w:r w:rsidRPr="00BA1B56">
        <w:rPr>
          <w:rStyle w:val="TextoNormalNegritaCaracter"/>
        </w:rPr>
        <w:t>Medios de comunicación</w:t>
      </w:r>
      <w:bookmarkEnd w:id="1939"/>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ff. 6, 7; </w:t>
      </w:r>
      <w:hyperlink w:anchor="SENTENCIA_2012_17" w:history="1">
        <w:r w:rsidRPr="00BA1B56">
          <w:rPr>
            <w:rStyle w:val="TextoNormalCaracter"/>
          </w:rPr>
          <w:t>17/2012</w:t>
        </w:r>
      </w:hyperlink>
      <w:r w:rsidRPr="00BA1B56">
        <w:rPr>
          <w:rStyle w:val="TextoNormalCaracter"/>
        </w:rPr>
        <w:t xml:space="preserve">, f. 1; </w:t>
      </w:r>
      <w:hyperlink w:anchor="SENTENCIA_2012_23" w:history="1">
        <w:r w:rsidRPr="00BA1B56">
          <w:rPr>
            <w:rStyle w:val="TextoNormalCaracter"/>
          </w:rPr>
          <w:t>23/2012</w:t>
        </w:r>
      </w:hyperlink>
      <w:r w:rsidRPr="00BA1B56">
        <w:rPr>
          <w:rStyle w:val="TextoNormalCaracter"/>
        </w:rPr>
        <w:t xml:space="preserve">, f. 1; </w:t>
      </w:r>
      <w:hyperlink w:anchor="SENTENCIA_2012_24" w:history="1">
        <w:r w:rsidRPr="00BA1B56">
          <w:rPr>
            <w:rStyle w:val="TextoNormalCaracter"/>
          </w:rPr>
          <w:t>24/2012</w:t>
        </w:r>
      </w:hyperlink>
      <w:r w:rsidRPr="00BA1B56">
        <w:rPr>
          <w:rStyle w:val="TextoNormalCaracter"/>
        </w:rPr>
        <w:t xml:space="preserve">, ff. 2, 3; </w:t>
      </w:r>
      <w:hyperlink w:anchor="SENTENCIA_2012_74" w:history="1">
        <w:r w:rsidRPr="00BA1B56">
          <w:rPr>
            <w:rStyle w:val="TextoNormalCaracter"/>
          </w:rPr>
          <w:t>74/2012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940" w:name="DESCRIPTORALFABETICO74"/>
      <w:r w:rsidRPr="00BA1B56">
        <w:rPr>
          <w:rStyle w:val="TextoNormalNegritaCaracter"/>
        </w:rPr>
        <w:t>Mercado interior</w:t>
      </w:r>
      <w:bookmarkEnd w:id="1940"/>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941" w:name="DESCRIPTORALFABETICO520"/>
      <w:r w:rsidRPr="00BA1B56">
        <w:rPr>
          <w:rStyle w:val="TextoNormalNegritaCaracter"/>
        </w:rPr>
        <w:t>Miembros del gobierno de entes locales no electos</w:t>
      </w:r>
      <w:bookmarkEnd w:id="1941"/>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ff. 4, 5, VP I.</w:t>
      </w:r>
    </w:p>
    <w:p w:rsidR="00BA1B56" w:rsidRPr="00BA1B56" w:rsidRDefault="00BA1B56" w:rsidP="00BA1B56">
      <w:pPr>
        <w:pStyle w:val="TextoNormalSangraFrancesa"/>
        <w:rPr>
          <w:rStyle w:val="TextoNormalCaracter"/>
        </w:rPr>
      </w:pPr>
      <w:bookmarkStart w:id="1942" w:name="DESCRIPTORALFABETICO112"/>
      <w:r w:rsidRPr="00BA1B56">
        <w:rPr>
          <w:rStyle w:val="TextoNormalNegritaCaracter"/>
        </w:rPr>
        <w:t>Mínimo personal y familiar</w:t>
      </w:r>
      <w:bookmarkEnd w:id="1942"/>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943" w:name="DESCRIPTORALFABETICO456"/>
      <w:r w:rsidRPr="00BA1B56">
        <w:rPr>
          <w:rStyle w:val="TextoNormalNegritaCaracter"/>
        </w:rPr>
        <w:t>Moción de censura</w:t>
      </w:r>
      <w:bookmarkEnd w:id="1943"/>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3, 4, VP.</w:t>
      </w:r>
    </w:p>
    <w:p w:rsidR="00BA1B56" w:rsidRPr="00BA1B56" w:rsidRDefault="00BA1B56" w:rsidP="00BA1B56">
      <w:pPr>
        <w:pStyle w:val="TextoNormalSangraFrancesa"/>
        <w:rPr>
          <w:rStyle w:val="TextoNormalCaracter"/>
        </w:rPr>
      </w:pPr>
      <w:bookmarkStart w:id="1944" w:name="DESCRIPTORALFABETICO622"/>
      <w:r w:rsidRPr="00BA1B56">
        <w:rPr>
          <w:rStyle w:val="TextoNormalNegritaCaracter"/>
        </w:rPr>
        <w:t>Modelo de solicitud de subvención</w:t>
      </w:r>
      <w:bookmarkEnd w:id="1944"/>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 10; </w:t>
      </w:r>
      <w:hyperlink w:anchor="SENTENCIA_2012_73" w:history="1">
        <w:r w:rsidRPr="00BA1B56">
          <w:rPr>
            <w:rStyle w:val="TextoNormalCaracter"/>
          </w:rPr>
          <w:t>73/2012</w:t>
        </w:r>
      </w:hyperlink>
      <w:r w:rsidRPr="00BA1B56">
        <w:rPr>
          <w:rStyle w:val="TextoNormalCaracter"/>
        </w:rPr>
        <w:t xml:space="preserve">, f. 5; </w:t>
      </w:r>
      <w:hyperlink w:anchor="SENTENCIA_2012_89" w:history="1">
        <w:r w:rsidRPr="00BA1B56">
          <w:rPr>
            <w:rStyle w:val="TextoNormalCaracter"/>
          </w:rPr>
          <w:t>89/2012</w:t>
        </w:r>
      </w:hyperlink>
      <w:r w:rsidRPr="00BA1B56">
        <w:rPr>
          <w:rStyle w:val="TextoNormalCaracter"/>
        </w:rPr>
        <w:t>, f. 9.</w:t>
      </w:r>
    </w:p>
    <w:p w:rsidR="00BA1B56" w:rsidRPr="00BA1B56" w:rsidRDefault="00BA1B56" w:rsidP="00BA1B56">
      <w:pPr>
        <w:pStyle w:val="TextoNormalSangraFrancesa"/>
        <w:rPr>
          <w:rStyle w:val="TextoNormalNegritaCaracter"/>
        </w:rPr>
      </w:pPr>
      <w:r w:rsidRPr="00BA1B56">
        <w:rPr>
          <w:rStyle w:val="TextoNormalCursivaCaracter"/>
        </w:rPr>
        <w:t>Modificación de Estatutos de autonomía</w:t>
      </w:r>
      <w:r>
        <w:t xml:space="preserve"> véase </w:t>
      </w:r>
      <w:hyperlink w:anchor="DESCRIPTORALFABETICO691" w:history="1">
        <w:r w:rsidRPr="00BA1B56">
          <w:rPr>
            <w:rStyle w:val="TextoNormalNegritaCaracter"/>
          </w:rPr>
          <w:t>Reforma de los Estatutos de Autonomía</w:t>
        </w:r>
      </w:hyperlink>
    </w:p>
    <w:p w:rsidR="00BA1B56" w:rsidRPr="00BA1B56" w:rsidRDefault="00BA1B56" w:rsidP="00BA1B56">
      <w:pPr>
        <w:pStyle w:val="TextoNormalSangraFrancesa"/>
        <w:rPr>
          <w:rStyle w:val="TextoNormalCaracter"/>
        </w:rPr>
      </w:pPr>
      <w:bookmarkStart w:id="1945" w:name="DESCRIPTORALFABETICO393"/>
      <w:r w:rsidRPr="00BA1B56">
        <w:rPr>
          <w:rStyle w:val="TextoNormalNegritaCaracter"/>
        </w:rPr>
        <w:t>Momento en que rigen los requisitos de admisibilidad</w:t>
      </w:r>
      <w:bookmarkEnd w:id="1945"/>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 2; </w:t>
      </w:r>
      <w:hyperlink w:anchor="SENTENCIA_2012_23" w:history="1">
        <w:r w:rsidRPr="00BA1B56">
          <w:rPr>
            <w:rStyle w:val="TextoNormalCaracter"/>
          </w:rPr>
          <w:t>23/2012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46" w:name="DESCRIPTORALFABETICO345"/>
      <w:r w:rsidRPr="00BA1B56">
        <w:rPr>
          <w:rStyle w:val="TextoNormalNegritaCaracter"/>
        </w:rPr>
        <w:t>Momento procesal para plantear la cuestión de inconstitucionalidad</w:t>
      </w:r>
      <w:bookmarkEnd w:id="1946"/>
      <w:r w:rsidRPr="00BA1B56">
        <w:rPr>
          <w:rStyle w:val="TextoNormalCaracter"/>
        </w:rPr>
        <w:t xml:space="preserve">, Autos </w:t>
      </w:r>
      <w:hyperlink w:anchor="AUTO_2012_109" w:history="1">
        <w:r w:rsidRPr="00BA1B56">
          <w:rPr>
            <w:rStyle w:val="TextoNormalCaracter"/>
          </w:rPr>
          <w:t>109/2012</w:t>
        </w:r>
      </w:hyperlink>
      <w:r w:rsidRPr="00BA1B56">
        <w:rPr>
          <w:rStyle w:val="TextoNormalCaracter"/>
        </w:rPr>
        <w:t xml:space="preserve">, f. 4; </w:t>
      </w:r>
      <w:hyperlink w:anchor="AUTO_2012_110" w:history="1">
        <w:r w:rsidRPr="00BA1B56">
          <w:rPr>
            <w:rStyle w:val="TextoNormalCaracter"/>
          </w:rPr>
          <w:t>110/2012</w:t>
        </w:r>
      </w:hyperlink>
      <w:r w:rsidRPr="00BA1B56">
        <w:rPr>
          <w:rStyle w:val="TextoNormalCaracter"/>
        </w:rPr>
        <w:t xml:space="preserve">, f. 4; </w:t>
      </w:r>
      <w:hyperlink w:anchor="AUTO_2012_127" w:history="1">
        <w:r w:rsidRPr="00BA1B56">
          <w:rPr>
            <w:rStyle w:val="TextoNormalCaracter"/>
          </w:rPr>
          <w:t>127/2012</w:t>
        </w:r>
      </w:hyperlink>
      <w:r w:rsidRPr="00BA1B56">
        <w:rPr>
          <w:rStyle w:val="TextoNormalCaracter"/>
        </w:rPr>
        <w:t>, ff. 2, 3.</w:t>
      </w:r>
    </w:p>
    <w:p w:rsidR="00BA1B56" w:rsidRPr="00BA1B56" w:rsidRDefault="00BA1B56" w:rsidP="00BA1B56">
      <w:pPr>
        <w:pStyle w:val="TextoNormalSangraFrancesa"/>
        <w:rPr>
          <w:rStyle w:val="TextoNormalNegritaCaracter"/>
        </w:rPr>
      </w:pPr>
      <w:r w:rsidRPr="00BA1B56">
        <w:rPr>
          <w:rStyle w:val="TextoNormalCursivaCaracter"/>
        </w:rPr>
        <w:t>Motivación de actos administrativos</w:t>
      </w:r>
      <w:r>
        <w:t xml:space="preserve"> véase </w:t>
      </w:r>
      <w:hyperlink w:anchor="DESCRIPTORALFABETICO529" w:history="1">
        <w:r w:rsidRPr="00BA1B56">
          <w:rPr>
            <w:rStyle w:val="TextoNormalNegritaCaracter"/>
          </w:rPr>
          <w:t>Motivación de las resoluciones administrativas</w:t>
        </w:r>
      </w:hyperlink>
    </w:p>
    <w:p w:rsidR="00BA1B56" w:rsidRPr="00BA1B56" w:rsidRDefault="00BA1B56" w:rsidP="00BA1B56">
      <w:pPr>
        <w:pStyle w:val="TextoNormalSangraFrancesa"/>
        <w:rPr>
          <w:rStyle w:val="TextoNormalCaracter"/>
        </w:rPr>
      </w:pPr>
      <w:bookmarkStart w:id="1947" w:name="DESCRIPTORALFABETICO697"/>
      <w:r w:rsidRPr="00BA1B56">
        <w:rPr>
          <w:rStyle w:val="TextoNormalNegritaCaracter"/>
        </w:rPr>
        <w:t>Motivación de la extraordinaria y urgente necesidad</w:t>
      </w:r>
      <w:bookmarkEnd w:id="1947"/>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6, 10 a 12.</w:t>
      </w:r>
    </w:p>
    <w:p w:rsidR="00BA1B56" w:rsidRPr="00BA1B56" w:rsidRDefault="00BA1B56" w:rsidP="00BA1B56">
      <w:pPr>
        <w:pStyle w:val="TextoNormalSangraFrancesa"/>
        <w:rPr>
          <w:rStyle w:val="TextoNormalCaracter"/>
        </w:rPr>
      </w:pPr>
      <w:bookmarkStart w:id="1948" w:name="DESCRIPTORALFABETICO529"/>
      <w:r w:rsidRPr="00BA1B56">
        <w:rPr>
          <w:rStyle w:val="TextoNormalNegritaCaracter"/>
        </w:rPr>
        <w:t>Motivación de las resoluciones administrativas</w:t>
      </w:r>
      <w:bookmarkEnd w:id="1948"/>
      <w:r w:rsidRPr="00BA1B56">
        <w:rPr>
          <w:rStyle w:val="TextoNormalCaracter"/>
        </w:rPr>
        <w:t xml:space="preserve">, Sentencias </w:t>
      </w:r>
      <w:hyperlink w:anchor="SENTENCIA_2012_93" w:history="1">
        <w:r w:rsidRPr="00BA1B56">
          <w:rPr>
            <w:rStyle w:val="TextoNormalCaracter"/>
          </w:rPr>
          <w:t>93/2012</w:t>
        </w:r>
      </w:hyperlink>
      <w:r w:rsidRPr="00BA1B56">
        <w:rPr>
          <w:rStyle w:val="TextoNormalCaracter"/>
        </w:rPr>
        <w:t xml:space="preserve">, f. 3; </w:t>
      </w:r>
      <w:hyperlink w:anchor="SENTENCIA_2012_98" w:history="1">
        <w:r w:rsidRPr="00BA1B56">
          <w:rPr>
            <w:rStyle w:val="TextoNormalCaracter"/>
          </w:rPr>
          <w:t>98/2012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49" w:name="DESCRIPTORALFABETICO205"/>
      <w:r w:rsidRPr="00BA1B56">
        <w:rPr>
          <w:rStyle w:val="TextoNormalNegritaCaracter"/>
        </w:rPr>
        <w:t>Motivación de las resoluciones administrativas sancionadoras</w:t>
      </w:r>
      <w:bookmarkEnd w:id="1949"/>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 </w:t>
      </w:r>
      <w:hyperlink w:anchor="SENTENCIA_2012_105" w:history="1">
        <w:r w:rsidRPr="00BA1B56">
          <w:rPr>
            <w:rStyle w:val="TextoNormalCaracter"/>
          </w:rPr>
          <w:t>105/2012</w:t>
        </w:r>
      </w:hyperlink>
      <w:r w:rsidRPr="00BA1B56">
        <w:rPr>
          <w:rStyle w:val="TextoNormalCaracter"/>
        </w:rPr>
        <w:t>, f. 5.</w:t>
      </w:r>
    </w:p>
    <w:p w:rsidR="00BA1B56" w:rsidRPr="00BA1B56" w:rsidRDefault="00BA1B56" w:rsidP="00BA1B56">
      <w:pPr>
        <w:pStyle w:val="TextoNormalSangraFrancesa"/>
        <w:rPr>
          <w:rStyle w:val="TextoNormalCaracter"/>
        </w:rPr>
      </w:pPr>
      <w:bookmarkStart w:id="1950" w:name="DESCRIPTORALFABETICO206"/>
      <w:r w:rsidRPr="00BA1B56">
        <w:rPr>
          <w:rStyle w:val="TextoNormalNegritaCaracter"/>
        </w:rPr>
        <w:t>Motivación de las resoluciones judiciales</w:t>
      </w:r>
      <w:bookmarkEnd w:id="1950"/>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 </w:t>
      </w:r>
      <w:hyperlink w:anchor="SENTENCIA_2012_11" w:history="1">
        <w:r w:rsidRPr="00BA1B56">
          <w:rPr>
            <w:rStyle w:val="TextoNormalCaracter"/>
          </w:rPr>
          <w:t>11/2012</w:t>
        </w:r>
      </w:hyperlink>
      <w:r w:rsidRPr="00BA1B56">
        <w:rPr>
          <w:rStyle w:val="TextoNormalCaracter"/>
        </w:rPr>
        <w:t>, f. 4.</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96" w:history="1">
        <w:r w:rsidRPr="00BA1B56">
          <w:rPr>
            <w:rStyle w:val="TextoNormalCaracter"/>
          </w:rPr>
          <w:t>96/2012</w:t>
        </w:r>
      </w:hyperlink>
      <w:r w:rsidRPr="00BA1B56">
        <w:rPr>
          <w:rStyle w:val="TextoNormalCaracter"/>
        </w:rPr>
        <w:t xml:space="preserve">, f. 11; </w:t>
      </w:r>
      <w:hyperlink w:anchor="SENTENCIA_2012_131" w:history="1">
        <w:r w:rsidRPr="00BA1B56">
          <w:rPr>
            <w:rStyle w:val="TextoNormalCaracter"/>
          </w:rPr>
          <w:t>131/2012</w:t>
        </w:r>
      </w:hyperlink>
      <w:r w:rsidRPr="00BA1B56">
        <w:rPr>
          <w:rStyle w:val="TextoNormalCaracter"/>
        </w:rPr>
        <w:t>, ff. 2, 6.</w:t>
      </w:r>
    </w:p>
    <w:p w:rsidR="00BA1B56" w:rsidRPr="00BA1B56" w:rsidRDefault="00BA1B56" w:rsidP="00BA1B56">
      <w:pPr>
        <w:pStyle w:val="TextoNormalSangraFrancesa"/>
        <w:rPr>
          <w:rStyle w:val="TextoNormalCaracter"/>
        </w:rPr>
      </w:pPr>
      <w:bookmarkStart w:id="1951" w:name="DESCRIPTORALFABETICO210"/>
      <w:r w:rsidRPr="00BA1B56">
        <w:rPr>
          <w:rStyle w:val="TextoNormalNegritaCaracter"/>
        </w:rPr>
        <w:t>Motivación insuficiente de resoluciones judiciales</w:t>
      </w:r>
      <w:bookmarkEnd w:id="1951"/>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52" w:name="DESCRIPTORALFABETICO255"/>
      <w:r w:rsidRPr="00BA1B56">
        <w:rPr>
          <w:rStyle w:val="TextoNormalNegritaCaracter"/>
        </w:rPr>
        <w:t>Motivación insuficiente de resoluciones restrictivas de derechos fundamentales</w:t>
      </w:r>
      <w:bookmarkEnd w:id="1952"/>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 9.</w:t>
      </w:r>
    </w:p>
    <w:p w:rsidR="00BA1B56" w:rsidRPr="00BA1B56" w:rsidRDefault="00BA1B56" w:rsidP="00BA1B56">
      <w:pPr>
        <w:pStyle w:val="TextoNormalSangraFrancesa"/>
        <w:rPr>
          <w:rStyle w:val="TextoNormalCaracter"/>
        </w:rPr>
      </w:pPr>
      <w:bookmarkStart w:id="1953" w:name="DESCRIPTORALFABETICO211"/>
      <w:r w:rsidRPr="00BA1B56">
        <w:rPr>
          <w:rStyle w:val="TextoNormalNegritaCaracter"/>
        </w:rPr>
        <w:t>Motivación tácita de resoluciones judiciales</w:t>
      </w:r>
      <w:bookmarkEnd w:id="1953"/>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54" w:name="DESCRIPTORALFABETICO830"/>
      <w:r w:rsidRPr="00BA1B56">
        <w:rPr>
          <w:rStyle w:val="TextoNormalNegritaCaracter"/>
        </w:rPr>
        <w:t>Movilidad geográfica</w:t>
      </w:r>
      <w:bookmarkEnd w:id="1954"/>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55" w:name="DESCRIPTORALFABETICO756"/>
      <w:r w:rsidRPr="00BA1B56">
        <w:rPr>
          <w:rStyle w:val="TextoNormalNegritaCaracter"/>
        </w:rPr>
        <w:lastRenderedPageBreak/>
        <w:t>Multa</w:t>
      </w:r>
      <w:bookmarkEnd w:id="1955"/>
      <w:r w:rsidRPr="00BA1B56">
        <w:rPr>
          <w:rStyle w:val="TextoNormalCaracter"/>
        </w:rPr>
        <w:t xml:space="preserve">, Auto </w:t>
      </w:r>
      <w:hyperlink w:anchor="AUTO_2012_76" w:history="1">
        <w:r w:rsidRPr="00BA1B56">
          <w:rPr>
            <w:rStyle w:val="TextoNormalCaracter"/>
          </w:rPr>
          <w:t>76/2012</w:t>
        </w:r>
      </w:hyperlink>
      <w:r w:rsidRPr="00BA1B56">
        <w:rPr>
          <w:rStyle w:val="TextoNormalCaracter"/>
        </w:rPr>
        <w:t>, f. 2.</w:t>
      </w:r>
    </w:p>
    <w:p w:rsidR="00BA1B56" w:rsidRPr="00BA1B56" w:rsidRDefault="00BA1B56" w:rsidP="00BA1B56">
      <w:pPr>
        <w:pStyle w:val="TextoNormalSangraFrancesa"/>
        <w:rPr>
          <w:rStyle w:val="TextoNormalCaracter"/>
        </w:rPr>
      </w:pPr>
      <w:bookmarkStart w:id="1956" w:name="DESCRIPTORALFABETICO757"/>
      <w:r w:rsidRPr="00BA1B56">
        <w:rPr>
          <w:rStyle w:val="TextoNormalNegritaCaracter"/>
        </w:rPr>
        <w:t>Multa cuantiosa</w:t>
      </w:r>
      <w:bookmarkEnd w:id="1956"/>
      <w:r w:rsidRPr="00BA1B56">
        <w:rPr>
          <w:rStyle w:val="TextoNormalCaracter"/>
        </w:rPr>
        <w:t xml:space="preserve">, Auto </w:t>
      </w:r>
      <w:hyperlink w:anchor="AUTO_2012_101" w:history="1">
        <w:r w:rsidRPr="00BA1B56">
          <w:rPr>
            <w:rStyle w:val="TextoNormalCaracter"/>
          </w:rPr>
          <w:t>101/2012</w:t>
        </w:r>
      </w:hyperlink>
      <w:r w:rsidRPr="00BA1B56">
        <w:rPr>
          <w:rStyle w:val="TextoNormalCaracter"/>
        </w:rPr>
        <w:t>, f. 2.</w:t>
      </w:r>
    </w:p>
    <w:p w:rsidR="00BA1B56" w:rsidRPr="00BA1B56" w:rsidRDefault="00BA1B56" w:rsidP="00BA1B56">
      <w:pPr>
        <w:pStyle w:val="TextoNormalSangraFrancesa"/>
        <w:rPr>
          <w:rStyle w:val="TextoNormalCaracter"/>
        </w:rPr>
      </w:pPr>
      <w:bookmarkStart w:id="1957" w:name="DESCRIPTORALFABETICO588"/>
      <w:r w:rsidRPr="00BA1B56">
        <w:rPr>
          <w:rStyle w:val="TextoNormalNegritaCaracter"/>
        </w:rPr>
        <w:t>Multas de tráfico</w:t>
      </w:r>
      <w:bookmarkEnd w:id="1957"/>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ff. 1, 8, VP III.</w:t>
      </w:r>
    </w:p>
    <w:p w:rsidR="00BA1B56" w:rsidRPr="00BA1B56" w:rsidRDefault="00BA1B56" w:rsidP="00BA1B56">
      <w:pPr>
        <w:pStyle w:val="TextoNormalSangraFrancesa"/>
        <w:rPr>
          <w:rStyle w:val="TextoNormalCaracter"/>
        </w:rPr>
      </w:pPr>
      <w:bookmarkStart w:id="1958" w:name="DESCRIPTORALFABETICO814"/>
      <w:r w:rsidRPr="00BA1B56">
        <w:rPr>
          <w:rStyle w:val="TextoNormalNegritaCaracter"/>
        </w:rPr>
        <w:t>Mutualidades de funcionarios</w:t>
      </w:r>
      <w:bookmarkEnd w:id="1958"/>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ff. 1 a 8.</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N</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959" w:name="DESCRIPTORALFABETICO1005"/>
      <w:r w:rsidRPr="00BA1B56">
        <w:rPr>
          <w:rStyle w:val="TextoNormalNegritaCaracter"/>
        </w:rPr>
        <w:t>Navarra</w:t>
      </w:r>
      <w:bookmarkEnd w:id="1959"/>
      <w:r w:rsidRPr="00BA1B56">
        <w:rPr>
          <w:rStyle w:val="TextoNormalCaracter"/>
        </w:rPr>
        <w:t xml:space="preserve">, Sentencia </w:t>
      </w:r>
      <w:hyperlink w:anchor="SENTENCIA_2012_82" w:history="1">
        <w:r w:rsidRPr="00BA1B56">
          <w:rPr>
            <w:rStyle w:val="TextoNormalCaracter"/>
          </w:rPr>
          <w:t>82/2012</w:t>
        </w:r>
      </w:hyperlink>
      <w:r w:rsidRPr="00BA1B56">
        <w:rPr>
          <w:rStyle w:val="TextoNormalCaracter"/>
        </w:rPr>
        <w:t>, ff. 1, 2, VP I, VP II.</w:t>
      </w:r>
    </w:p>
    <w:p w:rsidR="00BA1B56" w:rsidRPr="00BA1B56" w:rsidRDefault="00BA1B56" w:rsidP="00BA1B56">
      <w:pPr>
        <w:pStyle w:val="TextoNormalSangraFrancesa"/>
        <w:rPr>
          <w:rStyle w:val="TextoNormalCaracter"/>
        </w:rPr>
      </w:pPr>
      <w:bookmarkStart w:id="1960" w:name="DESCRIPTORALFABETICO386"/>
      <w:r w:rsidRPr="00BA1B56">
        <w:rPr>
          <w:rStyle w:val="TextoNormalNegritaCaracter"/>
        </w:rPr>
        <w:t>Negativa judicial de acatamiento de la doctrina constitucional</w:t>
      </w:r>
      <w:bookmarkEnd w:id="1960"/>
      <w:r w:rsidRPr="00BA1B56">
        <w:rPr>
          <w:rStyle w:val="TextoNormalCaracter"/>
        </w:rPr>
        <w:t xml:space="preserve">, Auto </w:t>
      </w:r>
      <w:hyperlink w:anchor="AUTO_2012_26" w:history="1">
        <w:r w:rsidRPr="00BA1B56">
          <w:rPr>
            <w:rStyle w:val="TextoNormalCaracter"/>
          </w:rPr>
          <w:t>26/2012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61" w:name="DESCRIPTORALFABETICO838"/>
      <w:r w:rsidRPr="00BA1B56">
        <w:rPr>
          <w:rStyle w:val="TextoNormalNegritaCaracter"/>
        </w:rPr>
        <w:t>Negociación colectiva</w:t>
      </w:r>
      <w:bookmarkEnd w:id="1961"/>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5, 6.</w:t>
      </w:r>
    </w:p>
    <w:p w:rsidR="00BA1B56" w:rsidRPr="00BA1B56" w:rsidRDefault="00BA1B56" w:rsidP="00BA1B56">
      <w:pPr>
        <w:pStyle w:val="TextoNormalSangraFrancesa"/>
        <w:rPr>
          <w:rStyle w:val="TextoNormalCaracter"/>
        </w:rPr>
      </w:pPr>
      <w:bookmarkStart w:id="1962" w:name="DESCRIPTORALFABETICO636"/>
      <w:r w:rsidRPr="00BA1B56">
        <w:rPr>
          <w:rStyle w:val="TextoNormalNegritaCaracter"/>
        </w:rPr>
        <w:t>Nombramiento de funcionarios públicos</w:t>
      </w:r>
      <w:bookmarkEnd w:id="1962"/>
      <w:r w:rsidRPr="00BA1B56">
        <w:rPr>
          <w:rStyle w:val="TextoNormalCaracter"/>
        </w:rPr>
        <w:t xml:space="preserve">, Autos </w:t>
      </w:r>
      <w:hyperlink w:anchor="AUTO_2012_19" w:history="1">
        <w:r w:rsidRPr="00BA1B56">
          <w:rPr>
            <w:rStyle w:val="TextoNormalCaracter"/>
          </w:rPr>
          <w:t>19/2012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963" w:name="DESCRIPTORALFABETICO4"/>
      <w:r w:rsidRPr="00BA1B56">
        <w:rPr>
          <w:rStyle w:val="TextoNormalNegritaCaracter"/>
        </w:rPr>
        <w:t>Normas atributivas de competencias</w:t>
      </w:r>
      <w:bookmarkEnd w:id="1963"/>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7.</w:t>
      </w:r>
    </w:p>
    <w:p w:rsidR="00BA1B56" w:rsidRPr="00BA1B56" w:rsidRDefault="00BA1B56" w:rsidP="00BA1B56">
      <w:pPr>
        <w:pStyle w:val="TextoNormalSangraFrancesa"/>
        <w:rPr>
          <w:rStyle w:val="TextoNormalCaracter"/>
        </w:rPr>
      </w:pPr>
      <w:bookmarkStart w:id="1964" w:name="DESCRIPTORALFABETICO703"/>
      <w:r w:rsidRPr="00BA1B56">
        <w:rPr>
          <w:rStyle w:val="TextoNormalNegritaCaracter"/>
        </w:rPr>
        <w:t>Normas básicas en forma de decreto-ley</w:t>
      </w:r>
      <w:bookmarkEnd w:id="1964"/>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4, 5, 7, 9 a 12, VP I.</w:t>
      </w:r>
    </w:p>
    <w:p w:rsidR="00BA1B56" w:rsidRPr="00BA1B56" w:rsidRDefault="00BA1B56" w:rsidP="00BA1B56">
      <w:pPr>
        <w:pStyle w:val="TextoNormalSangraFrancesa"/>
        <w:rPr>
          <w:rStyle w:val="TextoNormalCaracter"/>
        </w:rPr>
      </w:pPr>
      <w:bookmarkStart w:id="1965" w:name="DESCRIPTORALFABETICO704"/>
      <w:r w:rsidRPr="00BA1B56">
        <w:rPr>
          <w:rStyle w:val="TextoNormalNegritaCaracter"/>
        </w:rPr>
        <w:t>Normas básicas en forma de reglamento</w:t>
      </w:r>
      <w:bookmarkEnd w:id="1965"/>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6.</w:t>
      </w:r>
    </w:p>
    <w:p w:rsidR="00BA1B56" w:rsidRPr="00BA1B56" w:rsidRDefault="00BA1B56" w:rsidP="00BA1B56">
      <w:pPr>
        <w:pStyle w:val="TextoNormalSangraFrancesa"/>
        <w:rPr>
          <w:rStyle w:val="TextoNormalCaracter"/>
        </w:rPr>
      </w:pPr>
      <w:bookmarkStart w:id="1966" w:name="DESCRIPTORALFABETICO739"/>
      <w:r w:rsidRPr="00BA1B56">
        <w:rPr>
          <w:rStyle w:val="TextoNormalNegritaCaracter"/>
        </w:rPr>
        <w:t>Normas de contenido heterogéneo</w:t>
      </w:r>
      <w:bookmarkEnd w:id="1966"/>
      <w:r w:rsidRPr="00BA1B56">
        <w:rPr>
          <w:rStyle w:val="TextoNormalCaracter"/>
        </w:rPr>
        <w:t xml:space="preserve">, Sentencias </w:t>
      </w:r>
      <w:hyperlink w:anchor="SENTENCIA_2012_102" w:history="1">
        <w:r w:rsidRPr="00BA1B56">
          <w:rPr>
            <w:rStyle w:val="TextoNormalCaracter"/>
          </w:rPr>
          <w:t>102/2012</w:t>
        </w:r>
      </w:hyperlink>
      <w:r w:rsidRPr="00BA1B56">
        <w:rPr>
          <w:rStyle w:val="TextoNormalCaracter"/>
        </w:rPr>
        <w:t xml:space="preserve">, f. 2; </w:t>
      </w:r>
      <w:hyperlink w:anchor="SENTENCIA_2012_120" w:history="1">
        <w:r w:rsidRPr="00BA1B56">
          <w:rPr>
            <w:rStyle w:val="TextoNormalCaracter"/>
          </w:rPr>
          <w:t>120/2012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Normas derogadas</w:t>
      </w:r>
      <w:r>
        <w:t xml:space="preserve"> véase </w:t>
      </w:r>
      <w:hyperlink w:anchor="DESCRIPTORALFABETICO726" w:history="1">
        <w:r w:rsidRPr="00BA1B56">
          <w:rPr>
            <w:rStyle w:val="TextoNormalNegritaCaracter"/>
          </w:rPr>
          <w:t>Derogación de normas jurídicas</w:t>
        </w:r>
      </w:hyperlink>
    </w:p>
    <w:p w:rsidR="00BA1B56" w:rsidRPr="00BA1B56" w:rsidRDefault="00BA1B56" w:rsidP="00BA1B56">
      <w:pPr>
        <w:pStyle w:val="TextoNormalSangraFrancesa"/>
        <w:rPr>
          <w:rStyle w:val="TextoNormalNegritaCaracter"/>
        </w:rPr>
      </w:pPr>
      <w:r w:rsidRPr="00BA1B56">
        <w:rPr>
          <w:rStyle w:val="TextoNormalCursivaCaracter"/>
        </w:rPr>
        <w:t>Normas heterogéneas</w:t>
      </w:r>
      <w:r>
        <w:t xml:space="preserve"> véase </w:t>
      </w:r>
      <w:hyperlink w:anchor="DESCRIPTORALFABETICO739" w:history="1">
        <w:r w:rsidRPr="00BA1B56">
          <w:rPr>
            <w:rStyle w:val="TextoNormalNegritaCaracter"/>
          </w:rPr>
          <w:t>Normas de contenido heterogéneo</w:t>
        </w:r>
      </w:hyperlink>
    </w:p>
    <w:p w:rsidR="00BA1B56" w:rsidRPr="00BA1B56" w:rsidRDefault="00BA1B56" w:rsidP="00BA1B56">
      <w:pPr>
        <w:pStyle w:val="TextoNormalSangraFrancesa"/>
        <w:rPr>
          <w:rStyle w:val="TextoNormalCaracter"/>
        </w:rPr>
      </w:pPr>
      <w:bookmarkStart w:id="1967" w:name="DESCRIPTORALFABETICO721"/>
      <w:r w:rsidRPr="00BA1B56">
        <w:rPr>
          <w:rStyle w:val="TextoNormalNegritaCaracter"/>
        </w:rPr>
        <w:t>Normas jurídicas</w:t>
      </w:r>
      <w:bookmarkEnd w:id="1967"/>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968" w:name="DESCRIPTORALFABETICO711"/>
      <w:r w:rsidRPr="00BA1B56">
        <w:rPr>
          <w:rStyle w:val="TextoNormalNegritaCaracter"/>
        </w:rPr>
        <w:t>Normas procesales autonómicas</w:t>
      </w:r>
      <w:bookmarkEnd w:id="1968"/>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1 a 8, VP I.</w:t>
      </w:r>
    </w:p>
    <w:p w:rsidR="00BA1B56" w:rsidRPr="00BA1B56" w:rsidRDefault="00BA1B56" w:rsidP="00BA1B56">
      <w:pPr>
        <w:pStyle w:val="TextoNormalSangraFrancesa"/>
        <w:rPr>
          <w:rStyle w:val="TextoNormalNegritaCaracter"/>
        </w:rPr>
      </w:pPr>
      <w:r w:rsidRPr="00BA1B56">
        <w:rPr>
          <w:rStyle w:val="TextoNormalCursivaCaracter"/>
        </w:rPr>
        <w:t>Normas procesales derivadas de las particularidades del Derecho sustantivo autonómico</w:t>
      </w:r>
      <w:r>
        <w:t xml:space="preserve"> véase </w:t>
      </w:r>
      <w:hyperlink w:anchor="DESCRIPTORALFABETICO711" w:history="1">
        <w:r w:rsidRPr="00BA1B56">
          <w:rPr>
            <w:rStyle w:val="TextoNormalNegritaCaracter"/>
          </w:rPr>
          <w:t>Normas procesales autonómicas</w:t>
        </w:r>
      </w:hyperlink>
    </w:p>
    <w:p w:rsidR="00BA1B56" w:rsidRPr="00BA1B56" w:rsidRDefault="00BA1B56" w:rsidP="00BA1B56">
      <w:pPr>
        <w:pStyle w:val="TextoNormalSangraFrancesa"/>
        <w:rPr>
          <w:rStyle w:val="TextoNormalNegritaCaracter"/>
        </w:rPr>
      </w:pPr>
      <w:r w:rsidRPr="00BA1B56">
        <w:rPr>
          <w:rStyle w:val="TextoNormalCursivaCaracter"/>
        </w:rPr>
        <w:t>Normas tributarias</w:t>
      </w:r>
      <w:r>
        <w:t xml:space="preserve"> véase </w:t>
      </w:r>
      <w:hyperlink w:anchor="DESCRIPTORALFABETICO712" w:history="1">
        <w:r w:rsidRPr="00BA1B56">
          <w:rPr>
            <w:rStyle w:val="TextoNormalNegritaCaracter"/>
          </w:rPr>
          <w:t>Legislación tributaria</w:t>
        </w:r>
      </w:hyperlink>
    </w:p>
    <w:p w:rsidR="00BA1B56" w:rsidRPr="00BA1B56" w:rsidRDefault="00BA1B56" w:rsidP="00BA1B56">
      <w:pPr>
        <w:pStyle w:val="TextoNormalSangraFrancesa"/>
        <w:rPr>
          <w:rStyle w:val="TextoNormalNegritaCaracter"/>
        </w:rPr>
      </w:pPr>
      <w:r w:rsidRPr="00BA1B56">
        <w:rPr>
          <w:rStyle w:val="TextoNormalCursivaCaracter"/>
        </w:rPr>
        <w:t>Normas tributarias retroactivas</w:t>
      </w:r>
      <w:r>
        <w:t xml:space="preserve"> véase </w:t>
      </w:r>
      <w:hyperlink w:anchor="DESCRIPTORALFABETICO731" w:history="1">
        <w:r w:rsidRPr="00BA1B56">
          <w:rPr>
            <w:rStyle w:val="TextoNormalNegritaCaracter"/>
          </w:rPr>
          <w:t>Retroactividad de normas tributarias</w:t>
        </w:r>
      </w:hyperlink>
    </w:p>
    <w:p w:rsidR="00BA1B56" w:rsidRPr="00BA1B56" w:rsidRDefault="00BA1B56" w:rsidP="00BA1B56">
      <w:pPr>
        <w:pStyle w:val="TextoNormalSangraFrancesa"/>
        <w:rPr>
          <w:rStyle w:val="TextoNormalNegritaCaracter"/>
        </w:rPr>
      </w:pPr>
      <w:r w:rsidRPr="00BA1B56">
        <w:rPr>
          <w:rStyle w:val="TextoNormalCursivaCaracter"/>
        </w:rPr>
        <w:t>Normativa electoral</w:t>
      </w:r>
      <w:r>
        <w:t xml:space="preserve"> véase </w:t>
      </w:r>
      <w:hyperlink w:anchor="DESCRIPTORALFABETICO708" w:history="1">
        <w:r w:rsidRPr="00BA1B56">
          <w:rPr>
            <w:rStyle w:val="TextoNormalNegritaCaracter"/>
          </w:rPr>
          <w:t>Legislación electoral</w:t>
        </w:r>
      </w:hyperlink>
    </w:p>
    <w:p w:rsidR="00BA1B56" w:rsidRPr="00BA1B56" w:rsidRDefault="00BA1B56" w:rsidP="00BA1B56">
      <w:pPr>
        <w:pStyle w:val="TextoNormalSangraFrancesa"/>
        <w:rPr>
          <w:rStyle w:val="TextoNormalCaracter"/>
        </w:rPr>
      </w:pPr>
      <w:bookmarkStart w:id="1969" w:name="DESCRIPTORALFABETICO776"/>
      <w:r w:rsidRPr="00BA1B56">
        <w:rPr>
          <w:rStyle w:val="TextoNormalNegritaCaracter"/>
        </w:rPr>
        <w:t>Notificación administrativa</w:t>
      </w:r>
      <w:bookmarkEnd w:id="1969"/>
      <w:r w:rsidRPr="00BA1B56">
        <w:rPr>
          <w:rStyle w:val="TextoNormalCaracter"/>
        </w:rPr>
        <w:t xml:space="preserve">, Sentencia </w:t>
      </w:r>
      <w:hyperlink w:anchor="SENTENCIA_2012_13" w:history="1">
        <w:r w:rsidRPr="00BA1B56">
          <w:rPr>
            <w:rStyle w:val="TextoNormalCaracter"/>
          </w:rPr>
          <w:t>13/2012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970" w:name="DESCRIPTORALFABETICO778"/>
      <w:r w:rsidRPr="00BA1B56">
        <w:rPr>
          <w:rStyle w:val="TextoNormalNegritaCaracter"/>
        </w:rPr>
        <w:t>Notificación administrativa a personas jurídicas</w:t>
      </w:r>
      <w:bookmarkEnd w:id="1970"/>
      <w:r w:rsidRPr="00BA1B56">
        <w:rPr>
          <w:rStyle w:val="TextoNormalCaracter"/>
        </w:rPr>
        <w:t xml:space="preserve">, Sentencia </w:t>
      </w:r>
      <w:hyperlink w:anchor="SENTENCIA_2012_13" w:history="1">
        <w:r w:rsidRPr="00BA1B56">
          <w:rPr>
            <w:rStyle w:val="TextoNormalCaracter"/>
          </w:rPr>
          <w:t>13/2012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971" w:name="DESCRIPTORALFABETICO871"/>
      <w:r w:rsidRPr="00BA1B56">
        <w:rPr>
          <w:rStyle w:val="TextoNormalNegritaCaracter"/>
        </w:rPr>
        <w:t>Notificación defectuosa</w:t>
      </w:r>
      <w:bookmarkEnd w:id="1971"/>
      <w:r w:rsidRPr="00BA1B56">
        <w:rPr>
          <w:rStyle w:val="TextoNormalCaracter"/>
        </w:rPr>
        <w:t xml:space="preserve">, Sentencia </w:t>
      </w:r>
      <w:hyperlink w:anchor="SENTENCIA_2012_97" w:history="1">
        <w:r w:rsidRPr="00BA1B56">
          <w:rPr>
            <w:rStyle w:val="TextoNormalCaracter"/>
          </w:rPr>
          <w:t>97/2012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972" w:name="DESCRIPTORALFABETICO135"/>
      <w:r w:rsidRPr="00BA1B56">
        <w:rPr>
          <w:rStyle w:val="TextoNormalNegritaCaracter"/>
        </w:rPr>
        <w:t>Nueva convocatoria de elecciones</w:t>
      </w:r>
      <w:bookmarkEnd w:id="1972"/>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14 a 17, 20, VP.</w:t>
      </w:r>
    </w:p>
    <w:p w:rsidR="00BA1B56" w:rsidRPr="00BA1B56" w:rsidRDefault="00BA1B56" w:rsidP="00BA1B56">
      <w:pPr>
        <w:pStyle w:val="TextoNormalSangraFrancesa"/>
        <w:rPr>
          <w:rStyle w:val="TextoNormalCaracter"/>
        </w:rPr>
      </w:pPr>
      <w:bookmarkStart w:id="1973" w:name="DESCRIPTORALFABETICO904"/>
      <w:r w:rsidRPr="00BA1B56">
        <w:rPr>
          <w:rStyle w:val="TextoNormalNegritaCaracter"/>
        </w:rPr>
        <w:t>Nueva valoración de la prueba en segunda instancia</w:t>
      </w:r>
      <w:bookmarkEnd w:id="1973"/>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 5.</w:t>
      </w:r>
    </w:p>
    <w:p w:rsidR="00BA1B56" w:rsidRPr="00BA1B56" w:rsidRDefault="00BA1B56" w:rsidP="00BA1B56">
      <w:pPr>
        <w:pStyle w:val="TextoNormalSangraFrancesa"/>
        <w:rPr>
          <w:rStyle w:val="TextoNormalCaracter"/>
        </w:rPr>
      </w:pPr>
      <w:bookmarkStart w:id="1974" w:name="DESCRIPTORALFABETICO905"/>
      <w:r w:rsidRPr="00BA1B56">
        <w:rPr>
          <w:rStyle w:val="TextoNormalNegritaCaracter"/>
        </w:rPr>
        <w:t>Nueva valoración de la prueba personal sin inmediación</w:t>
      </w:r>
      <w:bookmarkEnd w:id="1974"/>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1975" w:name="DESCRIPTORALFABETICO402"/>
      <w:r w:rsidRPr="00BA1B56">
        <w:rPr>
          <w:rStyle w:val="TextoNormalNegritaCaracter"/>
        </w:rPr>
        <w:t>Nulidad de resolución sin retroacción de actuaciones</w:t>
      </w:r>
      <w:bookmarkEnd w:id="1975"/>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7.</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O</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976" w:name="DESCRIPTORALFABETICO623"/>
      <w:r w:rsidRPr="00BA1B56">
        <w:rPr>
          <w:rStyle w:val="TextoNormalNegritaCaracter"/>
        </w:rPr>
        <w:t>Objeto de las subvenciones públicas</w:t>
      </w:r>
      <w:bookmarkEnd w:id="1976"/>
      <w:r w:rsidRPr="00BA1B56">
        <w:rPr>
          <w:rStyle w:val="TextoNormalCaracter"/>
        </w:rPr>
        <w:t xml:space="preserve">, Sentencia </w:t>
      </w:r>
      <w:hyperlink w:anchor="SENTENCIA_2012_89" w:history="1">
        <w:r w:rsidRPr="00BA1B56">
          <w:rPr>
            <w:rStyle w:val="TextoNormalCaracter"/>
          </w:rPr>
          <w:t>89/2012</w:t>
        </w:r>
      </w:hyperlink>
      <w:r w:rsidRPr="00BA1B56">
        <w:rPr>
          <w:rStyle w:val="TextoNormalCaracter"/>
        </w:rPr>
        <w:t>, f. 9.</w:t>
      </w:r>
    </w:p>
    <w:p w:rsidR="00BA1B56" w:rsidRPr="00BA1B56" w:rsidRDefault="00BA1B56" w:rsidP="00BA1B56">
      <w:pPr>
        <w:pStyle w:val="TextoNormalSangraFrancesa"/>
        <w:rPr>
          <w:rStyle w:val="TextoNormalCaracter"/>
        </w:rPr>
      </w:pPr>
      <w:bookmarkStart w:id="1977" w:name="DESCRIPTORALFABETICO324"/>
      <w:r w:rsidRPr="00BA1B56">
        <w:rPr>
          <w:rStyle w:val="TextoNormalNegritaCaracter"/>
        </w:rPr>
        <w:t>Objeto idóneo</w:t>
      </w:r>
      <w:bookmarkEnd w:id="1977"/>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Objeto imponible</w:t>
      </w:r>
      <w:r>
        <w:t xml:space="preserve"> véase </w:t>
      </w:r>
      <w:hyperlink w:anchor="DESCRIPTORALFABETICO88" w:history="1">
        <w:r w:rsidRPr="00BA1B56">
          <w:rPr>
            <w:rStyle w:val="TextoNormalNegritaCaracter"/>
          </w:rPr>
          <w:t>Materia imponible</w:t>
        </w:r>
      </w:hyperlink>
    </w:p>
    <w:p w:rsidR="00BA1B56" w:rsidRPr="00BA1B56" w:rsidRDefault="00BA1B56" w:rsidP="00BA1B56">
      <w:pPr>
        <w:pStyle w:val="TextoNormalSangraFrancesa"/>
        <w:rPr>
          <w:rStyle w:val="TextoNormalCaracter"/>
        </w:rPr>
      </w:pPr>
      <w:bookmarkStart w:id="1978" w:name="DESCRIPTORALFABETICO671"/>
      <w:r w:rsidRPr="00BA1B56">
        <w:rPr>
          <w:rStyle w:val="TextoNormalNegritaCaracter"/>
        </w:rPr>
        <w:t>Obras públicas</w:t>
      </w:r>
      <w:bookmarkEnd w:id="1978"/>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1 a 6.</w:t>
      </w:r>
    </w:p>
    <w:p w:rsidR="00BA1B56" w:rsidRPr="00BA1B56" w:rsidRDefault="00BA1B56" w:rsidP="00BA1B56">
      <w:pPr>
        <w:pStyle w:val="TextoNormalSangraFrancesa"/>
        <w:rPr>
          <w:rStyle w:val="TextoNormalCaracter"/>
        </w:rPr>
      </w:pPr>
      <w:bookmarkStart w:id="1979" w:name="DESCRIPTORALFABETICO560"/>
      <w:r w:rsidRPr="00BA1B56">
        <w:rPr>
          <w:rStyle w:val="TextoNormalNegritaCaracter"/>
        </w:rPr>
        <w:t>Ofrecimiento de pago</w:t>
      </w:r>
      <w:bookmarkEnd w:id="1979"/>
      <w:r w:rsidRPr="00BA1B56">
        <w:rPr>
          <w:rStyle w:val="TextoNormalCaracter"/>
        </w:rPr>
        <w:t xml:space="preserve">, Sentencia </w:t>
      </w:r>
      <w:hyperlink w:anchor="SENTENCIA_2012_11" w:history="1">
        <w:r w:rsidRPr="00BA1B56">
          <w:rPr>
            <w:rStyle w:val="TextoNormalCaracter"/>
          </w:rPr>
          <w:t>11/2012</w:t>
        </w:r>
      </w:hyperlink>
      <w:r w:rsidRPr="00BA1B56">
        <w:rPr>
          <w:rStyle w:val="TextoNormalCaracter"/>
        </w:rPr>
        <w:t>, ff. 3, 4.</w:t>
      </w:r>
    </w:p>
    <w:p w:rsidR="00BA1B56" w:rsidRPr="00BA1B56" w:rsidRDefault="00BA1B56" w:rsidP="00BA1B56">
      <w:pPr>
        <w:pStyle w:val="TextoNormalSangraFrancesa"/>
        <w:rPr>
          <w:rStyle w:val="TextoNormalNegritaCaracter"/>
        </w:rPr>
      </w:pPr>
      <w:r w:rsidRPr="00BA1B56">
        <w:rPr>
          <w:rStyle w:val="TextoNormalCursivaCaracter"/>
        </w:rPr>
        <w:t>Omisión legislativa</w:t>
      </w:r>
      <w:r>
        <w:t xml:space="preserve"> véase </w:t>
      </w:r>
      <w:hyperlink w:anchor="DESCRIPTORALFABETICO737" w:history="1">
        <w:r w:rsidRPr="00BA1B56">
          <w:rPr>
            <w:rStyle w:val="TextoNormalNegritaCaracter"/>
          </w:rPr>
          <w:t>Lagunas legales</w:t>
        </w:r>
      </w:hyperlink>
    </w:p>
    <w:p w:rsidR="00BA1B56" w:rsidRPr="00BA1B56" w:rsidRDefault="00BA1B56" w:rsidP="00BA1B56">
      <w:pPr>
        <w:pStyle w:val="TextoNormalSangraFrancesa"/>
        <w:rPr>
          <w:rStyle w:val="TextoNormalCaracter"/>
        </w:rPr>
      </w:pPr>
      <w:bookmarkStart w:id="1980" w:name="DESCRIPTORALFABETICO828"/>
      <w:r w:rsidRPr="00BA1B56">
        <w:rPr>
          <w:rStyle w:val="TextoNormalNegritaCaracter"/>
        </w:rPr>
        <w:t>Operadores de telecomunicaciones</w:t>
      </w:r>
      <w:bookmarkEnd w:id="1980"/>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ff. 6, 7, 9.</w:t>
      </w:r>
    </w:p>
    <w:p w:rsidR="00BA1B56" w:rsidRPr="00BA1B56" w:rsidRDefault="00BA1B56" w:rsidP="00BA1B56">
      <w:pPr>
        <w:pStyle w:val="TextoNormalSangraFrancesa"/>
        <w:rPr>
          <w:rStyle w:val="TextoNormalCaracter"/>
        </w:rPr>
      </w:pPr>
      <w:bookmarkStart w:id="1981" w:name="DESCRIPTORALFABETICO2"/>
      <w:r w:rsidRPr="00BA1B56">
        <w:rPr>
          <w:rStyle w:val="TextoNormalNegritaCaracter"/>
        </w:rPr>
        <w:lastRenderedPageBreak/>
        <w:t>Orden constitucional de competencias</w:t>
      </w:r>
      <w:bookmarkEnd w:id="1981"/>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ff. 3, 4; </w:t>
      </w:r>
      <w:hyperlink w:anchor="SENTENCIA_2012_8" w:history="1">
        <w:r w:rsidRPr="00BA1B56">
          <w:rPr>
            <w:rStyle w:val="TextoNormalCaracter"/>
          </w:rPr>
          <w:t>8/2012</w:t>
        </w:r>
      </w:hyperlink>
      <w:r w:rsidRPr="00BA1B56">
        <w:rPr>
          <w:rStyle w:val="TextoNormalCaracter"/>
        </w:rPr>
        <w:t xml:space="preserve">, f. 3; </w:t>
      </w:r>
      <w:hyperlink w:anchor="SENTENCIA_2012_22" w:history="1">
        <w:r w:rsidRPr="00BA1B56">
          <w:rPr>
            <w:rStyle w:val="TextoNormalCaracter"/>
          </w:rPr>
          <w:t>22/2012</w:t>
        </w:r>
      </w:hyperlink>
      <w:r w:rsidRPr="00BA1B56">
        <w:rPr>
          <w:rStyle w:val="TextoNormalCaracter"/>
        </w:rPr>
        <w:t xml:space="preserve">, ff. 2 a 9; </w:t>
      </w:r>
      <w:hyperlink w:anchor="SENTENCIA_2012_35" w:history="1">
        <w:r w:rsidRPr="00BA1B56">
          <w:rPr>
            <w:rStyle w:val="TextoNormalCaracter"/>
          </w:rPr>
          <w:t>35/2012</w:t>
        </w:r>
      </w:hyperlink>
      <w:r w:rsidRPr="00BA1B56">
        <w:rPr>
          <w:rStyle w:val="TextoNormalCaracter"/>
        </w:rPr>
        <w:t xml:space="preserve">, ff. 3, 4, 7; </w:t>
      </w:r>
      <w:hyperlink w:anchor="SENTENCIA_2012_83" w:history="1">
        <w:r w:rsidRPr="00BA1B56">
          <w:rPr>
            <w:rStyle w:val="TextoNormalCaracter"/>
          </w:rPr>
          <w:t>83/2012</w:t>
        </w:r>
      </w:hyperlink>
      <w:r w:rsidRPr="00BA1B56">
        <w:rPr>
          <w:rStyle w:val="TextoNormalCaracter"/>
        </w:rPr>
        <w:t xml:space="preserve">, ff. 1, 3; </w:t>
      </w:r>
      <w:hyperlink w:anchor="SENTENCIA_2012_99" w:history="1">
        <w:r w:rsidRPr="00BA1B56">
          <w:rPr>
            <w:rStyle w:val="TextoNormalCaracter"/>
          </w:rPr>
          <w:t>99/2012</w:t>
        </w:r>
      </w:hyperlink>
      <w:r w:rsidRPr="00BA1B56">
        <w:rPr>
          <w:rStyle w:val="TextoNormalCaracter"/>
        </w:rPr>
        <w:t xml:space="preserve">, ff. 2, 5, 8; </w:t>
      </w:r>
      <w:hyperlink w:anchor="SENTENCIA_2012_111" w:history="1">
        <w:r w:rsidRPr="00BA1B56">
          <w:rPr>
            <w:rStyle w:val="TextoNormalCaracter"/>
          </w:rPr>
          <w:t>111/2012</w:t>
        </w:r>
      </w:hyperlink>
      <w:r w:rsidRPr="00BA1B56">
        <w:rPr>
          <w:rStyle w:val="TextoNormalCaracter"/>
        </w:rPr>
        <w:t xml:space="preserve">, f. 11; </w:t>
      </w:r>
      <w:hyperlink w:anchor="SENTENCIA_2012_120" w:history="1">
        <w:r w:rsidRPr="00BA1B56">
          <w:rPr>
            <w:rStyle w:val="TextoNormalCaracter"/>
          </w:rPr>
          <w:t>120/2012</w:t>
        </w:r>
      </w:hyperlink>
      <w:r w:rsidRPr="00BA1B56">
        <w:rPr>
          <w:rStyle w:val="TextoNormalCaracter"/>
        </w:rPr>
        <w:t xml:space="preserve">, ff. 5, 7, 8; </w:t>
      </w:r>
      <w:hyperlink w:anchor="SENTENCIA_2012_122" w:history="1">
        <w:r w:rsidRPr="00BA1B56">
          <w:rPr>
            <w:rStyle w:val="TextoNormalCaracter"/>
          </w:rPr>
          <w:t>122/2012</w:t>
        </w:r>
      </w:hyperlink>
      <w:r w:rsidRPr="00BA1B56">
        <w:rPr>
          <w:rStyle w:val="TextoNormalCaracter"/>
        </w:rPr>
        <w:t xml:space="preserve">, ff. 1, 2; </w:t>
      </w:r>
      <w:hyperlink w:anchor="SENTENCIA_2012_123" w:history="1">
        <w:r w:rsidRPr="00BA1B56">
          <w:rPr>
            <w:rStyle w:val="TextoNormalCaracter"/>
          </w:rPr>
          <w:t>123/2012</w:t>
        </w:r>
      </w:hyperlink>
      <w:r w:rsidRPr="00BA1B56">
        <w:rPr>
          <w:rStyle w:val="TextoNormalCaracter"/>
        </w:rPr>
        <w:t xml:space="preserve">, ff. 4 a 6; </w:t>
      </w:r>
      <w:hyperlink w:anchor="SENTENCIA_2012_134" w:history="1">
        <w:r w:rsidRPr="00BA1B56">
          <w:rPr>
            <w:rStyle w:val="TextoNormalCaracter"/>
          </w:rPr>
          <w:t>134/2012</w:t>
        </w:r>
      </w:hyperlink>
      <w:r w:rsidRPr="00BA1B56">
        <w:rPr>
          <w:rStyle w:val="TextoNormalCaracter"/>
        </w:rPr>
        <w:t xml:space="preserve">, ff. 4, 5; </w:t>
      </w:r>
      <w:hyperlink w:anchor="SENTENCIA_2012_136" w:history="1">
        <w:r w:rsidRPr="00BA1B56">
          <w:rPr>
            <w:rStyle w:val="TextoNormalCaracter"/>
          </w:rPr>
          <w:t>136/2012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82" w:name="DESCRIPTORALFABETICO921"/>
      <w:r w:rsidRPr="00BA1B56">
        <w:rPr>
          <w:rStyle w:val="TextoNormalNegritaCaracter"/>
        </w:rPr>
        <w:t>Orden de alejamiento</w:t>
      </w:r>
      <w:bookmarkEnd w:id="1982"/>
      <w:r w:rsidRPr="00BA1B56">
        <w:rPr>
          <w:rStyle w:val="TextoNormalCaracter"/>
        </w:rPr>
        <w:t xml:space="preserve">, Sentencia </w:t>
      </w:r>
      <w:hyperlink w:anchor="SENTENCIA_2012_16" w:history="1">
        <w:r w:rsidRPr="00BA1B56">
          <w:rPr>
            <w:rStyle w:val="TextoNormalCaracter"/>
          </w:rPr>
          <w:t>16/2012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1983" w:name="DESCRIPTORALFABETICO372"/>
      <w:r w:rsidRPr="00BA1B56">
        <w:rPr>
          <w:rStyle w:val="TextoNormalNegritaCaracter"/>
        </w:rPr>
        <w:t>Orden de análisis del recurso de amparo</w:t>
      </w:r>
      <w:bookmarkEnd w:id="1983"/>
      <w:r w:rsidRPr="00BA1B56">
        <w:rPr>
          <w:rStyle w:val="TextoNormalCaracter"/>
        </w:rPr>
        <w:t xml:space="preserve">, Sentencias </w:t>
      </w:r>
      <w:hyperlink w:anchor="SENTENCIA_2012_57" w:history="1">
        <w:r w:rsidRPr="00BA1B56">
          <w:rPr>
            <w:rStyle w:val="TextoNormalCaracter"/>
          </w:rPr>
          <w:t>57/2012</w:t>
        </w:r>
      </w:hyperlink>
      <w:r w:rsidRPr="00BA1B56">
        <w:rPr>
          <w:rStyle w:val="TextoNormalCaracter"/>
        </w:rPr>
        <w:t xml:space="preserve">, f. 2; </w:t>
      </w:r>
      <w:hyperlink w:anchor="SENTENCIA_2012_107" w:history="1">
        <w:r w:rsidRPr="00BA1B56">
          <w:rPr>
            <w:rStyle w:val="TextoNormalCaracter"/>
          </w:rPr>
          <w:t>107/2012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84" w:name="DESCRIPTORALFABETICO373"/>
      <w:r w:rsidRPr="00BA1B56">
        <w:rPr>
          <w:rStyle w:val="TextoNormalNegritaCaracter"/>
        </w:rPr>
        <w:t>Orden de análisis distinto al sugerido en la demanda</w:t>
      </w:r>
      <w:bookmarkEnd w:id="1984"/>
      <w:r w:rsidRPr="00BA1B56">
        <w:rPr>
          <w:rStyle w:val="TextoNormalCaracter"/>
        </w:rPr>
        <w:t xml:space="preserve">, Sentencia </w:t>
      </w:r>
      <w:hyperlink w:anchor="SENTENCIA_2012_113" w:history="1">
        <w:r w:rsidRPr="00BA1B56">
          <w:rPr>
            <w:rStyle w:val="TextoNormalCaracter"/>
          </w:rPr>
          <w:t>113/2012</w:t>
        </w:r>
      </w:hyperlink>
      <w:r w:rsidRPr="00BA1B56">
        <w:rPr>
          <w:rStyle w:val="TextoNormalCaracter"/>
        </w:rPr>
        <w:t>, f. 3.</w:t>
      </w:r>
    </w:p>
    <w:p w:rsidR="00BA1B56" w:rsidRPr="00BA1B56" w:rsidRDefault="00BA1B56" w:rsidP="00BA1B56">
      <w:pPr>
        <w:pStyle w:val="TextoNormalSangraFrancesa"/>
        <w:rPr>
          <w:rStyle w:val="TextoNormalCaracter"/>
        </w:rPr>
      </w:pPr>
      <w:bookmarkStart w:id="1985" w:name="DESCRIPTORALFABETICO829"/>
      <w:r w:rsidRPr="00BA1B56">
        <w:rPr>
          <w:rStyle w:val="TextoNormalNegritaCaracter"/>
        </w:rPr>
        <w:t>Ordenación de instalaciones de radiocomunicaciones</w:t>
      </w:r>
      <w:bookmarkEnd w:id="1985"/>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ff. 4, 6.</w:t>
      </w:r>
    </w:p>
    <w:p w:rsidR="00BA1B56" w:rsidRPr="00BA1B56" w:rsidRDefault="00BA1B56" w:rsidP="00BA1B56">
      <w:pPr>
        <w:pStyle w:val="TextoNormalSangraFrancesa"/>
        <w:rPr>
          <w:rStyle w:val="TextoNormalCaracter"/>
        </w:rPr>
      </w:pPr>
      <w:bookmarkStart w:id="1986" w:name="DESCRIPTORALFABETICO81"/>
      <w:r w:rsidRPr="00BA1B56">
        <w:rPr>
          <w:rStyle w:val="TextoNormalNegritaCaracter"/>
        </w:rPr>
        <w:t>Ordenación del crédito</w:t>
      </w:r>
      <w:bookmarkEnd w:id="1986"/>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4, 5, 6.</w:t>
      </w:r>
    </w:p>
    <w:p w:rsidR="00BA1B56" w:rsidRPr="00BA1B56" w:rsidRDefault="00BA1B56" w:rsidP="00BA1B56">
      <w:pPr>
        <w:pStyle w:val="TextoNormalSangraFrancesa"/>
        <w:rPr>
          <w:rStyle w:val="TextoNormalCaracter"/>
        </w:rPr>
      </w:pPr>
      <w:bookmarkStart w:id="1987" w:name="DESCRIPTORALFABETICO679"/>
      <w:r w:rsidRPr="00BA1B56">
        <w:rPr>
          <w:rStyle w:val="TextoNormalNegritaCaracter"/>
        </w:rPr>
        <w:t>Ordenación del territorio</w:t>
      </w:r>
      <w:bookmarkEnd w:id="1987"/>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ff. 2, 6, 7; </w:t>
      </w:r>
      <w:hyperlink w:anchor="SENTENCIA_2012_8" w:history="1">
        <w:r w:rsidRPr="00BA1B56">
          <w:rPr>
            <w:rStyle w:val="TextoNormalCaracter"/>
          </w:rPr>
          <w:t>8/2012</w:t>
        </w:r>
      </w:hyperlink>
      <w:r w:rsidRPr="00BA1B56">
        <w:rPr>
          <w:rStyle w:val="TextoNormalCaracter"/>
        </w:rPr>
        <w:t xml:space="preserve">, ff. 3, 8; </w:t>
      </w:r>
      <w:hyperlink w:anchor="SENTENCIA_2012_87" w:history="1">
        <w:r w:rsidRPr="00BA1B56">
          <w:rPr>
            <w:rStyle w:val="TextoNormalCaracter"/>
          </w:rPr>
          <w:t>87/2012</w:t>
        </w:r>
      </w:hyperlink>
      <w:r w:rsidRPr="00BA1B56">
        <w:rPr>
          <w:rStyle w:val="TextoNormalCaracter"/>
        </w:rPr>
        <w:t xml:space="preserve">, f. 5;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1988" w:name="DESCRIPTORALFABETICO80"/>
      <w:r w:rsidRPr="00BA1B56">
        <w:rPr>
          <w:rStyle w:val="TextoNormalNegritaCaracter"/>
        </w:rPr>
        <w:t>Ordenación general de la economía</w:t>
      </w:r>
      <w:bookmarkEnd w:id="1988"/>
      <w:r w:rsidRPr="00BA1B56">
        <w:rPr>
          <w:rStyle w:val="TextoNormalCaracter"/>
        </w:rPr>
        <w:t xml:space="preserve">, Sentencias </w:t>
      </w:r>
      <w:hyperlink w:anchor="SENTENCIA_2012_99" w:history="1">
        <w:r w:rsidRPr="00BA1B56">
          <w:rPr>
            <w:rStyle w:val="TextoNormalCaracter"/>
          </w:rPr>
          <w:t>99/2012</w:t>
        </w:r>
      </w:hyperlink>
      <w:r w:rsidRPr="00BA1B56">
        <w:rPr>
          <w:rStyle w:val="TextoNormalCaracter"/>
        </w:rPr>
        <w:t xml:space="preserve">, ff. 2, 3; </w:t>
      </w:r>
      <w:hyperlink w:anchor="SENTENCIA_2012_120" w:history="1">
        <w:r w:rsidRPr="00BA1B56">
          <w:rPr>
            <w:rStyle w:val="TextoNormalCaracter"/>
          </w:rPr>
          <w:t>120/2012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89" w:name="DESCRIPTORALFABETICO989"/>
      <w:r w:rsidRPr="00BA1B56">
        <w:rPr>
          <w:rStyle w:val="TextoNormalNegritaCaracter"/>
        </w:rPr>
        <w:t>Organización Nacional de Ciegos</w:t>
      </w:r>
      <w:bookmarkEnd w:id="1989"/>
      <w:r w:rsidRPr="00BA1B56">
        <w:rPr>
          <w:rStyle w:val="TextoNormalCaracter"/>
        </w:rPr>
        <w:t xml:space="preserve">, Sentencia </w:t>
      </w:r>
      <w:hyperlink w:anchor="SENTENCIA_2012_32" w:history="1">
        <w:r w:rsidRPr="00BA1B56">
          <w:rPr>
            <w:rStyle w:val="TextoNormalCaracter"/>
          </w:rPr>
          <w:t>32/2012</w:t>
        </w:r>
      </w:hyperlink>
      <w:r w:rsidRPr="00BA1B56">
        <w:rPr>
          <w:rStyle w:val="TextoNormalCaracter"/>
        </w:rPr>
        <w:t>, f. 8.</w:t>
      </w:r>
    </w:p>
    <w:p w:rsidR="00BA1B56" w:rsidRPr="00BA1B56" w:rsidRDefault="00BA1B56" w:rsidP="00BA1B56">
      <w:pPr>
        <w:pStyle w:val="TextoNormalSangraFrancesa"/>
        <w:rPr>
          <w:rStyle w:val="TextoNormalCaracter"/>
        </w:rPr>
      </w:pPr>
      <w:bookmarkStart w:id="1990" w:name="DESCRIPTORALFABETICO444"/>
      <w:r w:rsidRPr="00BA1B56">
        <w:rPr>
          <w:rStyle w:val="TextoNormalNegritaCaracter"/>
        </w:rPr>
        <w:t>Órgano jurisdiccional superior</w:t>
      </w:r>
      <w:bookmarkEnd w:id="1990"/>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ff. 4, 7, 12, VP I.</w:t>
      </w:r>
    </w:p>
    <w:p w:rsidR="00BA1B56" w:rsidRPr="00BA1B56" w:rsidRDefault="00BA1B56" w:rsidP="00BA1B56">
      <w:pPr>
        <w:pStyle w:val="TextoNormalSangraFrancesa"/>
        <w:rPr>
          <w:rStyle w:val="TextoNormalCaracter"/>
        </w:rPr>
      </w:pPr>
      <w:bookmarkStart w:id="1991" w:name="DESCRIPTORALFABETICO434"/>
      <w:r w:rsidRPr="00BA1B56">
        <w:rPr>
          <w:rStyle w:val="TextoNormalNegritaCaracter"/>
        </w:rPr>
        <w:t>Órganos ambientales</w:t>
      </w:r>
      <w:bookmarkEnd w:id="1991"/>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ff. 7, 12; </w:t>
      </w:r>
      <w:hyperlink w:anchor="SENTENCIA_2012_34" w:history="1">
        <w:r w:rsidRPr="00BA1B56">
          <w:rPr>
            <w:rStyle w:val="TextoNormalCaracter"/>
          </w:rPr>
          <w:t>34/2012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992" w:name="DESCRIPTORALFABETICO540"/>
      <w:r w:rsidRPr="00BA1B56">
        <w:rPr>
          <w:rStyle w:val="TextoNormalNegritaCaracter"/>
        </w:rPr>
        <w:t>Órganos de gobierno de cajas de ahorros</w:t>
      </w:r>
      <w:bookmarkEnd w:id="1992"/>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6 a 9.</w:t>
      </w:r>
    </w:p>
    <w:p w:rsidR="00BA1B56" w:rsidRPr="00BA1B56" w:rsidRDefault="00BA1B56" w:rsidP="00BA1B56">
      <w:pPr>
        <w:pStyle w:val="TextoNormalSangraFrancesa"/>
        <w:rPr>
          <w:rStyle w:val="TextoNormalCaracter"/>
        </w:rPr>
      </w:pPr>
      <w:bookmarkStart w:id="1993" w:name="DESCRIPTORALFABETICO510"/>
      <w:r w:rsidRPr="00BA1B56">
        <w:rPr>
          <w:rStyle w:val="TextoNormalNegritaCaracter"/>
        </w:rPr>
        <w:t>Órganos de los consejos insulares</w:t>
      </w:r>
      <w:bookmarkEnd w:id="1993"/>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ff. 2 a 7.</w:t>
      </w:r>
    </w:p>
    <w:p w:rsidR="00BA1B56" w:rsidRPr="00BA1B56" w:rsidRDefault="00BA1B56" w:rsidP="00BA1B56">
      <w:pPr>
        <w:pStyle w:val="TextoNormalSangraFrancesa"/>
        <w:rPr>
          <w:rStyle w:val="TextoNormalCaracter"/>
        </w:rPr>
      </w:pPr>
      <w:bookmarkStart w:id="1994" w:name="DESCRIPTORALFABETICO435"/>
      <w:r w:rsidRPr="00BA1B56">
        <w:rPr>
          <w:rStyle w:val="TextoNormalNegritaCaracter"/>
        </w:rPr>
        <w:t>Órganos ejecutivos</w:t>
      </w:r>
      <w:bookmarkEnd w:id="1994"/>
      <w:r w:rsidRPr="00BA1B56">
        <w:rPr>
          <w:rStyle w:val="TextoNormalCaracter"/>
        </w:rPr>
        <w:t xml:space="preserve">, Sentencia </w:t>
      </w:r>
      <w:hyperlink w:anchor="SENTENCIA_2012_132" w:history="1">
        <w:r w:rsidRPr="00BA1B56">
          <w:rPr>
            <w:rStyle w:val="TextoNormalCaracter"/>
          </w:rPr>
          <w:t>132/2012</w:t>
        </w:r>
      </w:hyperlink>
      <w:r w:rsidRPr="00BA1B56">
        <w:rPr>
          <w:rStyle w:val="TextoNormalCaracter"/>
        </w:rPr>
        <w:t>, f. 4.</w:t>
      </w:r>
    </w:p>
    <w:p w:rsidR="00BA1B56" w:rsidRPr="00BA1B56" w:rsidRDefault="00BA1B56" w:rsidP="00BA1B56">
      <w:pPr>
        <w:pStyle w:val="TextoNormalSangraFrancesa"/>
        <w:rPr>
          <w:rStyle w:val="TextoNormalCaracter"/>
        </w:rPr>
      </w:pPr>
      <w:bookmarkStart w:id="1995" w:name="DESCRIPTORALFABETICO441"/>
      <w:r w:rsidRPr="00BA1B56">
        <w:rPr>
          <w:rStyle w:val="TextoNormalNegritaCaracter"/>
        </w:rPr>
        <w:t>Órganos judiciales</w:t>
      </w:r>
      <w:bookmarkEnd w:id="1995"/>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 5.</w:t>
      </w:r>
    </w:p>
    <w:p w:rsidR="00BA1B56" w:rsidRPr="00BA1B56" w:rsidRDefault="00BA1B56" w:rsidP="00BA1B56">
      <w:pPr>
        <w:pStyle w:val="TextoNormalSangraFrancesa"/>
        <w:rPr>
          <w:rStyle w:val="TextoNormalCaracter"/>
        </w:rPr>
      </w:pPr>
      <w:bookmarkStart w:id="1996" w:name="DESCRIPTORALFABETICO521"/>
      <w:r w:rsidRPr="00BA1B56">
        <w:rPr>
          <w:rStyle w:val="TextoNormalNegritaCaracter"/>
        </w:rPr>
        <w:t>Órganos representativos de los entes locales</w:t>
      </w:r>
      <w:bookmarkEnd w:id="1996"/>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3, 4, VP.</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P</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1997" w:name="DESCRIPTORALFABETICO92"/>
      <w:r w:rsidRPr="00BA1B56">
        <w:rPr>
          <w:rStyle w:val="TextoNormalNegritaCaracter"/>
        </w:rPr>
        <w:t>Pago de tributos</w:t>
      </w:r>
      <w:bookmarkEnd w:id="1997"/>
      <w:r w:rsidRPr="00BA1B56">
        <w:rPr>
          <w:rStyle w:val="TextoNormalCaracter"/>
        </w:rPr>
        <w:t xml:space="preserve">, Sentencias </w:t>
      </w:r>
      <w:hyperlink w:anchor="SENTENCIA_2012_20" w:history="1">
        <w:r w:rsidRPr="00BA1B56">
          <w:rPr>
            <w:rStyle w:val="TextoNormalCaracter"/>
          </w:rPr>
          <w:t>20/2012</w:t>
        </w:r>
      </w:hyperlink>
      <w:r w:rsidRPr="00BA1B56">
        <w:rPr>
          <w:rStyle w:val="TextoNormalCaracter"/>
        </w:rPr>
        <w:t xml:space="preserve">, ff. 6 a 9; </w:t>
      </w:r>
      <w:hyperlink w:anchor="SENTENCIA_2012_79" w:history="1">
        <w:r w:rsidRPr="00BA1B56">
          <w:rPr>
            <w:rStyle w:val="TextoNormalCaracter"/>
          </w:rPr>
          <w:t>79/2012</w:t>
        </w:r>
      </w:hyperlink>
      <w:r w:rsidRPr="00BA1B56">
        <w:rPr>
          <w:rStyle w:val="TextoNormalCaracter"/>
        </w:rPr>
        <w:t xml:space="preserve">, f. 8; </w:t>
      </w:r>
      <w:hyperlink w:anchor="SENTENCIA_2012_116" w:history="1">
        <w:r w:rsidRPr="00BA1B56">
          <w:rPr>
            <w:rStyle w:val="TextoNormalCaracter"/>
          </w:rPr>
          <w:t>116/2012</w:t>
        </w:r>
      </w:hyperlink>
      <w:r w:rsidRPr="00BA1B56">
        <w:rPr>
          <w:rStyle w:val="TextoNormalCaracter"/>
        </w:rPr>
        <w:t>, f. 6.</w:t>
      </w:r>
    </w:p>
    <w:p w:rsidR="00BA1B56" w:rsidRPr="00BA1B56" w:rsidRDefault="00BA1B56" w:rsidP="00BA1B56">
      <w:pPr>
        <w:pStyle w:val="TextoNormalSangraFrancesa"/>
        <w:rPr>
          <w:rStyle w:val="TextoNormalCaracter"/>
        </w:rPr>
      </w:pPr>
      <w:bookmarkStart w:id="1998" w:name="DESCRIPTORALFABETICO559"/>
      <w:r w:rsidRPr="00BA1B56">
        <w:rPr>
          <w:rStyle w:val="TextoNormalNegritaCaracter"/>
        </w:rPr>
        <w:t>Pago de una cantidad</w:t>
      </w:r>
      <w:bookmarkEnd w:id="1998"/>
      <w:r w:rsidRPr="00BA1B56">
        <w:rPr>
          <w:rStyle w:val="TextoNormalCaracter"/>
        </w:rPr>
        <w:t xml:space="preserve">, Autos </w:t>
      </w:r>
      <w:hyperlink w:anchor="AUTO_2012_55" w:history="1">
        <w:r w:rsidRPr="00BA1B56">
          <w:rPr>
            <w:rStyle w:val="TextoNormalCaracter"/>
          </w:rPr>
          <w:t>55/2012</w:t>
        </w:r>
      </w:hyperlink>
      <w:r w:rsidRPr="00BA1B56">
        <w:rPr>
          <w:rStyle w:val="TextoNormalCaracter"/>
        </w:rPr>
        <w:t xml:space="preserve">, f. 2; </w:t>
      </w:r>
      <w:hyperlink w:anchor="AUTO_2012_124" w:history="1">
        <w:r w:rsidRPr="00BA1B56">
          <w:rPr>
            <w:rStyle w:val="TextoNormalCaracter"/>
          </w:rPr>
          <w:t>124/2012</w:t>
        </w:r>
      </w:hyperlink>
      <w:r w:rsidRPr="00BA1B56">
        <w:rPr>
          <w:rStyle w:val="TextoNormalCaracter"/>
        </w:rPr>
        <w:t>, f. 2.</w:t>
      </w:r>
    </w:p>
    <w:p w:rsidR="00BA1B56" w:rsidRPr="00BA1B56" w:rsidRDefault="00BA1B56" w:rsidP="00BA1B56">
      <w:pPr>
        <w:pStyle w:val="TextoNormalSangraFrancesa"/>
        <w:rPr>
          <w:rStyle w:val="TextoNormalCaracter"/>
        </w:rPr>
      </w:pPr>
      <w:bookmarkStart w:id="1999" w:name="DESCRIPTORALFABETICO1006"/>
      <w:r w:rsidRPr="00BA1B56">
        <w:rPr>
          <w:rStyle w:val="TextoNormalNegritaCaracter"/>
        </w:rPr>
        <w:t>País Vasco</w:t>
      </w:r>
      <w:bookmarkEnd w:id="1999"/>
      <w:r w:rsidRPr="00BA1B56">
        <w:rPr>
          <w:rStyle w:val="TextoNormalCaracter"/>
        </w:rPr>
        <w:t xml:space="preserve">, Sentencia </w:t>
      </w:r>
      <w:hyperlink w:anchor="SENTENCIA_2012_80" w:history="1">
        <w:r w:rsidRPr="00BA1B56">
          <w:rPr>
            <w:rStyle w:val="TextoNormalCaracter"/>
          </w:rPr>
          <w:t>80/2012</w:t>
        </w:r>
      </w:hyperlink>
      <w:r w:rsidRPr="00BA1B56">
        <w:rPr>
          <w:rStyle w:val="TextoNormalCaracter"/>
        </w:rPr>
        <w:t>, ff. 6 a 11.</w:t>
      </w:r>
    </w:p>
    <w:p w:rsidR="00BA1B56" w:rsidRPr="00BA1B56" w:rsidRDefault="00BA1B56" w:rsidP="00BA1B56">
      <w:pPr>
        <w:pStyle w:val="TextoNormalSangraFrancesa"/>
        <w:rPr>
          <w:rStyle w:val="TextoNormalCaracter"/>
        </w:rPr>
      </w:pPr>
      <w:bookmarkStart w:id="2000" w:name="DESCRIPTORALFABETICO177"/>
      <w:r w:rsidRPr="00BA1B56">
        <w:rPr>
          <w:rStyle w:val="TextoNormalNegritaCaracter"/>
        </w:rPr>
        <w:t>Participación política</w:t>
      </w:r>
      <w:bookmarkEnd w:id="2000"/>
      <w:r w:rsidRPr="00BA1B56">
        <w:rPr>
          <w:rStyle w:val="TextoNormalCaracter"/>
        </w:rPr>
        <w:t xml:space="preserve">, Sentencia </w:t>
      </w:r>
      <w:hyperlink w:anchor="SENTENCIA_2012_117" w:history="1">
        <w:r w:rsidRPr="00BA1B56">
          <w:rPr>
            <w:rStyle w:val="TextoNormalCaracter"/>
          </w:rPr>
          <w:t>117/2012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2001" w:name="DESCRIPTORALFABETICO411"/>
      <w:r w:rsidRPr="00BA1B56">
        <w:rPr>
          <w:rStyle w:val="TextoNormalNegritaCaracter"/>
        </w:rPr>
        <w:t>Partidos políticos</w:t>
      </w:r>
      <w:bookmarkEnd w:id="2001"/>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3, 4, 5, 12, 14, 16.</w:t>
      </w:r>
    </w:p>
    <w:p w:rsidR="00BA1B56" w:rsidRPr="00BA1B56" w:rsidRDefault="00BA1B56" w:rsidP="00BA1B56">
      <w:pPr>
        <w:pStyle w:val="TextoNormalSangraFrancesa"/>
        <w:rPr>
          <w:rStyle w:val="TextoNormalCaracter"/>
        </w:rPr>
      </w:pPr>
      <w:bookmarkStart w:id="2002" w:name="DESCRIPTORALFABETICO572"/>
      <w:r w:rsidRPr="00BA1B56">
        <w:rPr>
          <w:rStyle w:val="TextoNormalNegritaCaracter"/>
        </w:rPr>
        <w:t>Patrimonio cultural</w:t>
      </w:r>
      <w:bookmarkEnd w:id="2002"/>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ff. 1 a 8.</w:t>
      </w:r>
    </w:p>
    <w:p w:rsidR="00BA1B56" w:rsidRPr="00BA1B56" w:rsidRDefault="00BA1B56" w:rsidP="00BA1B56">
      <w:pPr>
        <w:pStyle w:val="TextoNormalSangraFrancesa"/>
        <w:rPr>
          <w:rStyle w:val="TextoNormalCaracter"/>
        </w:rPr>
      </w:pPr>
      <w:bookmarkStart w:id="2003" w:name="DESCRIPTORALFABETICO569"/>
      <w:r w:rsidRPr="00BA1B56">
        <w:rPr>
          <w:rStyle w:val="TextoNormalNegritaCaracter"/>
        </w:rPr>
        <w:t>Patrimonio histórico</w:t>
      </w:r>
      <w:bookmarkEnd w:id="2003"/>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ff. 3, 4, 5.</w:t>
      </w:r>
    </w:p>
    <w:p w:rsidR="00BA1B56" w:rsidRPr="00BA1B56" w:rsidRDefault="00BA1B56" w:rsidP="00BA1B56">
      <w:pPr>
        <w:pStyle w:val="TextoNormalSangraFrancesa"/>
        <w:rPr>
          <w:rStyle w:val="TextoNormalCaracter"/>
        </w:rPr>
      </w:pPr>
      <w:bookmarkStart w:id="2004" w:name="DESCRIPTORALFABETICO750"/>
      <w:r w:rsidRPr="00BA1B56">
        <w:rPr>
          <w:rStyle w:val="TextoNormalNegritaCaracter"/>
        </w:rPr>
        <w:t>Pena de alejamiento</w:t>
      </w:r>
      <w:bookmarkEnd w:id="2004"/>
      <w:r w:rsidRPr="00BA1B56">
        <w:rPr>
          <w:rStyle w:val="TextoNormalCaracter"/>
        </w:rPr>
        <w:t xml:space="preserve">, Auto </w:t>
      </w:r>
      <w:hyperlink w:anchor="AUTO_2012_12" w:history="1">
        <w:r w:rsidRPr="00BA1B56">
          <w:rPr>
            <w:rStyle w:val="TextoNormalCaracter"/>
          </w:rPr>
          <w:t>12/2012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05" w:name="DESCRIPTORALFABETICO758"/>
      <w:r w:rsidRPr="00BA1B56">
        <w:rPr>
          <w:rStyle w:val="TextoNormalNegritaCaracter"/>
        </w:rPr>
        <w:t>Penas privativas de libertad</w:t>
      </w:r>
      <w:bookmarkEnd w:id="2005"/>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ff. 3, 7, VP II; </w:t>
      </w:r>
      <w:hyperlink w:anchor="SENTENCIA_2012_40" w:history="1">
        <w:r w:rsidRPr="00BA1B56">
          <w:rPr>
            <w:rStyle w:val="TextoNormalCaracter"/>
          </w:rPr>
          <w:t>40/2012</w:t>
        </w:r>
      </w:hyperlink>
      <w:r w:rsidRPr="00BA1B56">
        <w:rPr>
          <w:rStyle w:val="TextoNormalCaracter"/>
        </w:rPr>
        <w:t xml:space="preserve">, f. 6, VP II; </w:t>
      </w:r>
      <w:hyperlink w:anchor="SENTENCIA_2012_41" w:history="1">
        <w:r w:rsidRPr="00BA1B56">
          <w:rPr>
            <w:rStyle w:val="TextoNormalCaracter"/>
          </w:rPr>
          <w:t>41/2012</w:t>
        </w:r>
      </w:hyperlink>
      <w:r w:rsidRPr="00BA1B56">
        <w:rPr>
          <w:rStyle w:val="TextoNormalCaracter"/>
        </w:rPr>
        <w:t xml:space="preserve">, f. 6, VP I, VP II, VP IV; </w:t>
      </w:r>
      <w:hyperlink w:anchor="SENTENCIA_2012_42" w:history="1">
        <w:r w:rsidRPr="00BA1B56">
          <w:rPr>
            <w:rStyle w:val="TextoNormalCaracter"/>
          </w:rPr>
          <w:t>42/2012</w:t>
        </w:r>
      </w:hyperlink>
      <w:r w:rsidRPr="00BA1B56">
        <w:rPr>
          <w:rStyle w:val="TextoNormalCaracter"/>
        </w:rPr>
        <w:t xml:space="preserve">, f. 6; </w:t>
      </w:r>
      <w:hyperlink w:anchor="SENTENCIA_2012_43" w:history="1">
        <w:r w:rsidRPr="00BA1B56">
          <w:rPr>
            <w:rStyle w:val="TextoNormalCaracter"/>
          </w:rPr>
          <w:t>43/2012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 4; </w:t>
      </w:r>
      <w:hyperlink w:anchor="SENTENCIA_2012_47" w:history="1">
        <w:r w:rsidRPr="00BA1B56">
          <w:rPr>
            <w:rStyle w:val="TextoNormalCaracter"/>
          </w:rPr>
          <w:t>47/2012</w:t>
        </w:r>
      </w:hyperlink>
      <w:r w:rsidRPr="00BA1B56">
        <w:rPr>
          <w:rStyle w:val="TextoNormalCaracter"/>
        </w:rPr>
        <w:t xml:space="preserve">, f. 5, VP II; </w:t>
      </w:r>
      <w:hyperlink w:anchor="SENTENCIA_2012_48" w:history="1">
        <w:r w:rsidRPr="00BA1B56">
          <w:rPr>
            <w:rStyle w:val="TextoNormalCaracter"/>
          </w:rPr>
          <w:t>48/2012</w:t>
        </w:r>
      </w:hyperlink>
      <w:r w:rsidRPr="00BA1B56">
        <w:rPr>
          <w:rStyle w:val="TextoNormalCaracter"/>
        </w:rPr>
        <w:t xml:space="preserve">, f. 5; </w:t>
      </w:r>
      <w:hyperlink w:anchor="SENTENCIA_2012_49" w:history="1">
        <w:r w:rsidRPr="00BA1B56">
          <w:rPr>
            <w:rStyle w:val="TextoNormalCaracter"/>
          </w:rPr>
          <w:t>49/2012</w:t>
        </w:r>
      </w:hyperlink>
      <w:r w:rsidRPr="00BA1B56">
        <w:rPr>
          <w:rStyle w:val="TextoNormalCaracter"/>
        </w:rPr>
        <w:t xml:space="preserve">, f. 5; </w:t>
      </w:r>
      <w:hyperlink w:anchor="SENTENCIA_2012_50" w:history="1">
        <w:r w:rsidRPr="00BA1B56">
          <w:rPr>
            <w:rStyle w:val="TextoNormalCaracter"/>
          </w:rPr>
          <w:t>50/2012</w:t>
        </w:r>
      </w:hyperlink>
      <w:r w:rsidRPr="00BA1B56">
        <w:rPr>
          <w:rStyle w:val="TextoNormalCaracter"/>
        </w:rPr>
        <w:t xml:space="preserve">, f. 5;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ff. 3, 5 a 7; </w:t>
      </w:r>
      <w:hyperlink w:anchor="SENTENCIA_2012_54" w:history="1">
        <w:r w:rsidRPr="00BA1B56">
          <w:rPr>
            <w:rStyle w:val="TextoNormalCaracter"/>
          </w:rPr>
          <w:t>54/2012</w:t>
        </w:r>
      </w:hyperlink>
      <w:r w:rsidRPr="00BA1B56">
        <w:rPr>
          <w:rStyle w:val="TextoNormalCaracter"/>
        </w:rPr>
        <w:t xml:space="preserve">, ff. 2, 4, 6, 7; </w:t>
      </w:r>
      <w:hyperlink w:anchor="SENTENCIA_2012_55" w:history="1">
        <w:r w:rsidRPr="00BA1B56">
          <w:rPr>
            <w:rStyle w:val="TextoNormalCaracter"/>
          </w:rPr>
          <w:t>55/2012</w:t>
        </w:r>
      </w:hyperlink>
      <w:r w:rsidRPr="00BA1B56">
        <w:rPr>
          <w:rStyle w:val="TextoNormalCaracter"/>
        </w:rPr>
        <w:t xml:space="preserve">, f. 6; </w:t>
      </w:r>
      <w:hyperlink w:anchor="SENTENCIA_2012_56" w:history="1">
        <w:r w:rsidRPr="00BA1B56">
          <w:rPr>
            <w:rStyle w:val="TextoNormalCaracter"/>
          </w:rPr>
          <w:t>56/2012</w:t>
        </w:r>
      </w:hyperlink>
      <w:r w:rsidRPr="00BA1B56">
        <w:rPr>
          <w:rStyle w:val="TextoNormalCaracter"/>
        </w:rPr>
        <w:t xml:space="preserve">, ff. 2 a 4; </w:t>
      </w:r>
      <w:hyperlink w:anchor="SENTENCIA_2012_57" w:history="1">
        <w:r w:rsidRPr="00BA1B56">
          <w:rPr>
            <w:rStyle w:val="TextoNormalCaracter"/>
          </w:rPr>
          <w:t>57/2012</w:t>
        </w:r>
      </w:hyperlink>
      <w:r w:rsidRPr="00BA1B56">
        <w:rPr>
          <w:rStyle w:val="TextoNormalCaracter"/>
        </w:rPr>
        <w:t xml:space="preserve">, ff. 3, 7, 8; </w:t>
      </w:r>
      <w:hyperlink w:anchor="SENTENCIA_2012_58" w:history="1">
        <w:r w:rsidRPr="00BA1B56">
          <w:rPr>
            <w:rStyle w:val="TextoNormalCaracter"/>
          </w:rPr>
          <w:t>58/2012</w:t>
        </w:r>
      </w:hyperlink>
      <w:r w:rsidRPr="00BA1B56">
        <w:rPr>
          <w:rStyle w:val="TextoNormalCaracter"/>
        </w:rPr>
        <w:t xml:space="preserve">, f. 3; </w:t>
      </w:r>
      <w:hyperlink w:anchor="SENTENCIA_2012_59" w:history="1">
        <w:r w:rsidRPr="00BA1B56">
          <w:rPr>
            <w:rStyle w:val="TextoNormalCaracter"/>
          </w:rPr>
          <w:t>59/2012</w:t>
        </w:r>
      </w:hyperlink>
      <w:r w:rsidRPr="00BA1B56">
        <w:rPr>
          <w:rStyle w:val="TextoNormalCaracter"/>
        </w:rPr>
        <w:t xml:space="preserve">, ff. 2 a 4; </w:t>
      </w:r>
      <w:hyperlink w:anchor="SENTENCIA_2012_60" w:history="1">
        <w:r w:rsidRPr="00BA1B56">
          <w:rPr>
            <w:rStyle w:val="TextoNormalCaracter"/>
          </w:rPr>
          <w:t>60/2012</w:t>
        </w:r>
      </w:hyperlink>
      <w:r w:rsidRPr="00BA1B56">
        <w:rPr>
          <w:rStyle w:val="TextoNormalCaracter"/>
        </w:rPr>
        <w:t xml:space="preserve">, f. 3; </w:t>
      </w:r>
      <w:hyperlink w:anchor="SENTENCIA_2012_61" w:history="1">
        <w:r w:rsidRPr="00BA1B56">
          <w:rPr>
            <w:rStyle w:val="TextoNormalCaracter"/>
          </w:rPr>
          <w:t>61/2012</w:t>
        </w:r>
      </w:hyperlink>
      <w:r w:rsidRPr="00BA1B56">
        <w:rPr>
          <w:rStyle w:val="TextoNormalCaracter"/>
        </w:rPr>
        <w:t xml:space="preserve">, ff. 3, 4, 6; </w:t>
      </w:r>
      <w:hyperlink w:anchor="SENTENCIA_2012_63" w:history="1">
        <w:r w:rsidRPr="00BA1B56">
          <w:rPr>
            <w:rStyle w:val="TextoNormalCaracter"/>
          </w:rPr>
          <w:t>63/2012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ff. 3, 4, 6; </w:t>
      </w:r>
      <w:hyperlink w:anchor="SENTENCIA_2012_65" w:history="1">
        <w:r w:rsidRPr="00BA1B56">
          <w:rPr>
            <w:rStyle w:val="TextoNormalCaracter"/>
          </w:rPr>
          <w:t>65/2012</w:t>
        </w:r>
      </w:hyperlink>
      <w:r w:rsidRPr="00BA1B56">
        <w:rPr>
          <w:rStyle w:val="TextoNormalCaracter"/>
        </w:rPr>
        <w:t xml:space="preserve">, ff. 4, 5, 7; </w:t>
      </w:r>
      <w:hyperlink w:anchor="SENTENCIA_2012_66" w:history="1">
        <w:r w:rsidRPr="00BA1B56">
          <w:rPr>
            <w:rStyle w:val="TextoNormalCaracter"/>
          </w:rPr>
          <w:t>66/2012</w:t>
        </w:r>
      </w:hyperlink>
      <w:r w:rsidRPr="00BA1B56">
        <w:rPr>
          <w:rStyle w:val="TextoNormalCaracter"/>
        </w:rPr>
        <w:t xml:space="preserve">, ff. 3 a 5; </w:t>
      </w:r>
      <w:hyperlink w:anchor="SENTENCIA_2012_67" w:history="1">
        <w:r w:rsidRPr="00BA1B56">
          <w:rPr>
            <w:rStyle w:val="TextoNormalCaracter"/>
          </w:rPr>
          <w:t>67/2012</w:t>
        </w:r>
      </w:hyperlink>
      <w:r w:rsidRPr="00BA1B56">
        <w:rPr>
          <w:rStyle w:val="TextoNormalCaracter"/>
        </w:rPr>
        <w:t xml:space="preserve">, ff. 3, 4, 6; </w:t>
      </w:r>
      <w:hyperlink w:anchor="SENTENCIA_2012_68" w:history="1">
        <w:r w:rsidRPr="00BA1B56">
          <w:rPr>
            <w:rStyle w:val="TextoNormalCaracter"/>
          </w:rPr>
          <w:t>68/2012</w:t>
        </w:r>
      </w:hyperlink>
      <w:r w:rsidRPr="00BA1B56">
        <w:rPr>
          <w:rStyle w:val="TextoNormalCaracter"/>
        </w:rPr>
        <w:t xml:space="preserve">, ff. 2 a 5; </w:t>
      </w:r>
      <w:hyperlink w:anchor="SENTENCIA_2012_69" w:history="1">
        <w:r w:rsidRPr="00BA1B56">
          <w:rPr>
            <w:rStyle w:val="TextoNormalCaracter"/>
          </w:rPr>
          <w:t>69/2012</w:t>
        </w:r>
      </w:hyperlink>
      <w:r w:rsidRPr="00BA1B56">
        <w:rPr>
          <w:rStyle w:val="TextoNormalCaracter"/>
        </w:rPr>
        <w:t xml:space="preserve">, ff. 4, 5, 7; </w:t>
      </w:r>
      <w:hyperlink w:anchor="SENTENCIA_2012_108" w:history="1">
        <w:r w:rsidRPr="00BA1B56">
          <w:rPr>
            <w:rStyle w:val="TextoNormalCaracter"/>
          </w:rPr>
          <w:t>108/2012</w:t>
        </w:r>
      </w:hyperlink>
      <w:r w:rsidRPr="00BA1B56">
        <w:rPr>
          <w:rStyle w:val="TextoNormalCaracter"/>
        </w:rPr>
        <w:t xml:space="preserve">, ff. 2 a 4; </w:t>
      </w:r>
      <w:hyperlink w:anchor="SENTENCIA_2012_113" w:history="1">
        <w:r w:rsidRPr="00BA1B56">
          <w:rPr>
            <w:rStyle w:val="TextoNormalCaracter"/>
          </w:rPr>
          <w:t>113/2012</w:t>
        </w:r>
      </w:hyperlink>
      <w:r w:rsidRPr="00BA1B56">
        <w:rPr>
          <w:rStyle w:val="TextoNormalCaracter"/>
        </w:rPr>
        <w:t xml:space="preserve">, ff. 6, 8, 11, 12; </w:t>
      </w:r>
      <w:hyperlink w:anchor="SENTENCIA_2012_114" w:history="1">
        <w:r w:rsidRPr="00BA1B56">
          <w:rPr>
            <w:rStyle w:val="TextoNormalCaracter"/>
          </w:rPr>
          <w:t>114/2012</w:t>
        </w:r>
      </w:hyperlink>
      <w:r w:rsidRPr="00BA1B56">
        <w:rPr>
          <w:rStyle w:val="TextoNormalCaracter"/>
        </w:rPr>
        <w:t xml:space="preserve">, ff. 3, 4, 6;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12" w:history="1">
        <w:r w:rsidRPr="00BA1B56">
          <w:rPr>
            <w:rStyle w:val="TextoNormalCaracter"/>
          </w:rPr>
          <w:t>12/2012</w:t>
        </w:r>
      </w:hyperlink>
      <w:r w:rsidRPr="00BA1B56">
        <w:rPr>
          <w:rStyle w:val="TextoNormalCaracter"/>
        </w:rPr>
        <w:t xml:space="preserve">, ff. 1 a 3; </w:t>
      </w:r>
      <w:hyperlink w:anchor="AUTO_2012_58" w:history="1">
        <w:r w:rsidRPr="00BA1B56">
          <w:rPr>
            <w:rStyle w:val="TextoNormalCaracter"/>
          </w:rPr>
          <w:t>58/2012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06" w:name="DESCRIPTORALFABETICO380"/>
      <w:r w:rsidRPr="00BA1B56">
        <w:rPr>
          <w:rStyle w:val="TextoNormalNegritaCaracter"/>
        </w:rPr>
        <w:t>Pendencia de recursos judiciales</w:t>
      </w:r>
      <w:bookmarkEnd w:id="2006"/>
      <w:r w:rsidRPr="00BA1B56">
        <w:rPr>
          <w:rStyle w:val="TextoNormalCaracter"/>
        </w:rPr>
        <w:t xml:space="preserve">, Auto </w:t>
      </w:r>
      <w:hyperlink w:anchor="AUTO_2012_130" w:history="1">
        <w:r w:rsidRPr="00BA1B56">
          <w:rPr>
            <w:rStyle w:val="TextoNormalCaracter"/>
          </w:rPr>
          <w:t>130/2012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007" w:name="DESCRIPTORALFABETICO933"/>
      <w:r w:rsidRPr="00BA1B56">
        <w:rPr>
          <w:rStyle w:val="TextoNormalNegritaCaracter"/>
        </w:rPr>
        <w:t>Pérdida de objeto del recurso de casación</w:t>
      </w:r>
      <w:bookmarkEnd w:id="2007"/>
      <w:r w:rsidRPr="00BA1B56">
        <w:rPr>
          <w:rStyle w:val="TextoNormalCaracter"/>
        </w:rPr>
        <w:t xml:space="preserve">, Sentencia </w:t>
      </w:r>
      <w:hyperlink w:anchor="SENTENCIA_2012_18" w:history="1">
        <w:r w:rsidRPr="00BA1B56">
          <w:rPr>
            <w:rStyle w:val="TextoNormalCaracter"/>
          </w:rPr>
          <w:t>18/2012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08" w:name="DESCRIPTORALFABETICO343"/>
      <w:r w:rsidRPr="00BA1B56">
        <w:rPr>
          <w:rStyle w:val="TextoNormalNegritaCaracter"/>
        </w:rPr>
        <w:t>Pérdida sobrevenida de objeto de la cuestión de inconstitucionalidad</w:t>
      </w:r>
      <w:bookmarkEnd w:id="2008"/>
      <w:r w:rsidRPr="00BA1B56">
        <w:rPr>
          <w:rStyle w:val="TextoNormalCaracter"/>
        </w:rPr>
        <w:t xml:space="preserve">, Auto </w:t>
      </w:r>
      <w:hyperlink w:anchor="AUTO_2012_4" w:history="1">
        <w:r w:rsidRPr="00BA1B56">
          <w:rPr>
            <w:rStyle w:val="TextoNormalCaracter"/>
          </w:rPr>
          <w:t>4/2012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009" w:name="DESCRIPTORALFABETICO323"/>
      <w:r w:rsidRPr="00BA1B56">
        <w:rPr>
          <w:rStyle w:val="TextoNormalNegritaCaracter"/>
        </w:rPr>
        <w:lastRenderedPageBreak/>
        <w:t>Pérdida sobrevenida de objeto del conflicto positivo de competencia</w:t>
      </w:r>
      <w:bookmarkEnd w:id="2009"/>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8.</w:t>
      </w:r>
    </w:p>
    <w:p w:rsidR="00BA1B56" w:rsidRPr="00BA1B56" w:rsidRDefault="00BA1B56" w:rsidP="00BA1B56">
      <w:pPr>
        <w:pStyle w:val="TextoNormalSangraFrancesa"/>
        <w:rPr>
          <w:rStyle w:val="TextoNormalCaracter"/>
        </w:rPr>
      </w:pPr>
      <w:bookmarkStart w:id="2010" w:name="DESCRIPTORALFABETICO280"/>
      <w:r w:rsidRPr="00BA1B56">
        <w:rPr>
          <w:rStyle w:val="TextoNormalNegritaCaracter"/>
        </w:rPr>
        <w:t>Pérdida sobrevenida de objeto del incidente de suspensión cautelar</w:t>
      </w:r>
      <w:bookmarkEnd w:id="2010"/>
      <w:r w:rsidRPr="00BA1B56">
        <w:rPr>
          <w:rStyle w:val="TextoNormalCaracter"/>
        </w:rPr>
        <w:t xml:space="preserve">, Autos </w:t>
      </w:r>
      <w:hyperlink w:anchor="AUTO_2012_77" w:history="1">
        <w:r w:rsidRPr="00BA1B56">
          <w:rPr>
            <w:rStyle w:val="TextoNormalCaracter"/>
          </w:rPr>
          <w:t>77/2012</w:t>
        </w:r>
      </w:hyperlink>
      <w:r w:rsidRPr="00BA1B56">
        <w:rPr>
          <w:rStyle w:val="TextoNormalCaracter"/>
        </w:rPr>
        <w:t xml:space="preserve">, f. único; </w:t>
      </w:r>
      <w:hyperlink w:anchor="AUTO_2012_102" w:history="1">
        <w:r w:rsidRPr="00BA1B56">
          <w:rPr>
            <w:rStyle w:val="TextoNormalCaracter"/>
          </w:rPr>
          <w:t>102/2012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11" w:name="DESCRIPTORALFABETICO303"/>
      <w:r w:rsidRPr="00BA1B56">
        <w:rPr>
          <w:rStyle w:val="TextoNormalNegritaCaracter"/>
        </w:rPr>
        <w:t>Pérdida sobrevenida de objeto por declaración de inconstitucionalidad de la norma</w:t>
      </w:r>
      <w:bookmarkEnd w:id="2011"/>
      <w:r w:rsidRPr="00BA1B56">
        <w:rPr>
          <w:rStyle w:val="TextoNormalCaracter"/>
        </w:rPr>
        <w:t xml:space="preserve">, Sentencia </w:t>
      </w:r>
      <w:hyperlink w:anchor="SENTENCIA_2012_86" w:history="1">
        <w:r w:rsidRPr="00BA1B56">
          <w:rPr>
            <w:rStyle w:val="TextoNormalCaracter"/>
          </w:rPr>
          <w:t>86/2012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5" w:history="1">
        <w:r w:rsidRPr="00BA1B56">
          <w:rPr>
            <w:rStyle w:val="TextoNormalCaracter"/>
          </w:rPr>
          <w:t>5/2012</w:t>
        </w:r>
      </w:hyperlink>
      <w:r w:rsidRPr="00BA1B56">
        <w:rPr>
          <w:rStyle w:val="TextoNormalCaracter"/>
        </w:rPr>
        <w:t xml:space="preserve">, f. único; </w:t>
      </w:r>
      <w:hyperlink w:anchor="AUTO_2012_6" w:history="1">
        <w:r w:rsidRPr="00BA1B56">
          <w:rPr>
            <w:rStyle w:val="TextoNormalCaracter"/>
          </w:rPr>
          <w:t>6/2012</w:t>
        </w:r>
      </w:hyperlink>
      <w:r w:rsidRPr="00BA1B56">
        <w:rPr>
          <w:rStyle w:val="TextoNormalCaracter"/>
        </w:rPr>
        <w:t xml:space="preserve">, f. único; </w:t>
      </w:r>
      <w:hyperlink w:anchor="AUTO_2012_48" w:history="1">
        <w:r w:rsidRPr="00BA1B56">
          <w:rPr>
            <w:rStyle w:val="TextoNormalCaracter"/>
          </w:rPr>
          <w:t>48/2012</w:t>
        </w:r>
      </w:hyperlink>
      <w:r w:rsidRPr="00BA1B56">
        <w:rPr>
          <w:rStyle w:val="TextoNormalCaracter"/>
        </w:rPr>
        <w:t xml:space="preserve">, f. único; </w:t>
      </w:r>
      <w:hyperlink w:anchor="AUTO_2012_51" w:history="1">
        <w:r w:rsidRPr="00BA1B56">
          <w:rPr>
            <w:rStyle w:val="TextoNormalCaracter"/>
          </w:rPr>
          <w:t>51/2012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012" w:name="DESCRIPTORALFABETICO304"/>
      <w:r w:rsidRPr="00BA1B56">
        <w:rPr>
          <w:rStyle w:val="TextoNormalNegritaCaracter"/>
        </w:rPr>
        <w:t>Pérdida sobrevenida de objeto por derogación de la norma</w:t>
      </w:r>
      <w:bookmarkEnd w:id="2012"/>
      <w:r w:rsidRPr="00BA1B56">
        <w:rPr>
          <w:rStyle w:val="TextoNormalCaracter"/>
        </w:rPr>
        <w:t xml:space="preserve">, Autos </w:t>
      </w:r>
      <w:hyperlink w:anchor="AUTO_2012_3" w:history="1">
        <w:r w:rsidRPr="00BA1B56">
          <w:rPr>
            <w:rStyle w:val="TextoNormalCaracter"/>
          </w:rPr>
          <w:t>3/2012</w:t>
        </w:r>
      </w:hyperlink>
      <w:r w:rsidRPr="00BA1B56">
        <w:rPr>
          <w:rStyle w:val="TextoNormalCaracter"/>
        </w:rPr>
        <w:t xml:space="preserve">, ff. 1, 2; </w:t>
      </w:r>
      <w:hyperlink w:anchor="AUTO_2012_47" w:history="1">
        <w:r w:rsidRPr="00BA1B56">
          <w:rPr>
            <w:rStyle w:val="TextoNormalCaracter"/>
          </w:rPr>
          <w:t>47/2012</w:t>
        </w:r>
      </w:hyperlink>
      <w:r w:rsidRPr="00BA1B56">
        <w:rPr>
          <w:rStyle w:val="TextoNormalCaracter"/>
        </w:rPr>
        <w:t xml:space="preserve">, f. único; </w:t>
      </w:r>
      <w:hyperlink w:anchor="AUTO_2012_50" w:history="1">
        <w:r w:rsidRPr="00BA1B56">
          <w:rPr>
            <w:rStyle w:val="TextoNormalCaracter"/>
          </w:rPr>
          <w:t>50/2012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013" w:name="DESCRIPTORALFABETICO305"/>
      <w:r w:rsidRPr="00BA1B56">
        <w:rPr>
          <w:rStyle w:val="TextoNormalNegritaCaracter"/>
        </w:rPr>
        <w:t>Pérdida sobrevenida de objeto por modificación de la norma</w:t>
      </w:r>
      <w:bookmarkEnd w:id="2013"/>
      <w:r w:rsidRPr="00BA1B56">
        <w:rPr>
          <w:rStyle w:val="TextoNormalCaracter"/>
        </w:rPr>
        <w:t xml:space="preserve">, Autos </w:t>
      </w:r>
      <w:hyperlink w:anchor="AUTO_2012_49" w:history="1">
        <w:r w:rsidRPr="00BA1B56">
          <w:rPr>
            <w:rStyle w:val="TextoNormalCaracter"/>
          </w:rPr>
          <w:t>49/2012</w:t>
        </w:r>
      </w:hyperlink>
      <w:r w:rsidRPr="00BA1B56">
        <w:rPr>
          <w:rStyle w:val="TextoNormalCaracter"/>
        </w:rPr>
        <w:t xml:space="preserve">, f. 2; </w:t>
      </w:r>
      <w:hyperlink w:anchor="AUTO_2012_118" w:history="1">
        <w:r w:rsidRPr="00BA1B56">
          <w:rPr>
            <w:rStyle w:val="TextoNormalCaracter"/>
          </w:rPr>
          <w:t>118/2012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14" w:name="DESCRIPTORALFABETICO306"/>
      <w:r w:rsidRPr="00BA1B56">
        <w:rPr>
          <w:rStyle w:val="TextoNormalNegritaCaracter"/>
        </w:rPr>
        <w:t>Pérdida sobrevenida de objeto por pérdida de relevancia</w:t>
      </w:r>
      <w:bookmarkEnd w:id="2014"/>
      <w:r w:rsidRPr="00BA1B56">
        <w:rPr>
          <w:rStyle w:val="TextoNormalCaracter"/>
        </w:rPr>
        <w:t xml:space="preserve">, Auto </w:t>
      </w:r>
      <w:hyperlink w:anchor="AUTO_2012_31" w:history="1">
        <w:r w:rsidRPr="00BA1B56">
          <w:rPr>
            <w:rStyle w:val="TextoNormalCaracter"/>
          </w:rPr>
          <w:t>31/2012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2015" w:name="DESCRIPTORALFABETICO273"/>
      <w:r w:rsidRPr="00BA1B56">
        <w:rPr>
          <w:rStyle w:val="TextoNormalNegritaCaracter"/>
        </w:rPr>
        <w:t>Perjuicios irreparables</w:t>
      </w:r>
      <w:bookmarkEnd w:id="2015"/>
      <w:r w:rsidRPr="00BA1B56">
        <w:rPr>
          <w:rStyle w:val="TextoNormalCaracter"/>
        </w:rPr>
        <w:t xml:space="preserve">, Autos </w:t>
      </w:r>
      <w:hyperlink w:anchor="AUTO_2012_19" w:history="1">
        <w:r w:rsidRPr="00BA1B56">
          <w:rPr>
            <w:rStyle w:val="TextoNormalCaracter"/>
          </w:rPr>
          <w:t>19/2012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xml:space="preserve">, f. 2; </w:t>
      </w:r>
      <w:hyperlink w:anchor="AUTO_2012_115" w:history="1">
        <w:r w:rsidRPr="00BA1B56">
          <w:rPr>
            <w:rStyle w:val="TextoNormalCaracter"/>
          </w:rPr>
          <w:t>115/2012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16" w:name="DESCRIPTORALFABETICO274"/>
      <w:r w:rsidRPr="00BA1B56">
        <w:rPr>
          <w:rStyle w:val="TextoNormalNegritaCaracter"/>
        </w:rPr>
        <w:t>Perjuicios reparables</w:t>
      </w:r>
      <w:bookmarkEnd w:id="2016"/>
      <w:r w:rsidRPr="00BA1B56">
        <w:rPr>
          <w:rStyle w:val="TextoNormalCaracter"/>
        </w:rPr>
        <w:t xml:space="preserve">, Auto </w:t>
      </w:r>
      <w:hyperlink w:anchor="AUTO_2012_124" w:history="1">
        <w:r w:rsidRPr="00BA1B56">
          <w:rPr>
            <w:rStyle w:val="TextoNormalCaracter"/>
          </w:rPr>
          <w:t>124/2012</w:t>
        </w:r>
      </w:hyperlink>
      <w:r w:rsidRPr="00BA1B56">
        <w:rPr>
          <w:rStyle w:val="TextoNormalCaracter"/>
        </w:rPr>
        <w:t>, f. 1.</w:t>
      </w:r>
    </w:p>
    <w:p w:rsidR="00BA1B56" w:rsidRPr="00BA1B56" w:rsidRDefault="00BA1B56" w:rsidP="00BA1B56">
      <w:pPr>
        <w:pStyle w:val="TextoNormalSangraFrancesa"/>
        <w:rPr>
          <w:rStyle w:val="TextoNormalCaracter"/>
        </w:rPr>
      </w:pPr>
      <w:bookmarkStart w:id="2017" w:name="DESCRIPTORALFABETICO898"/>
      <w:r w:rsidRPr="00BA1B56">
        <w:rPr>
          <w:rStyle w:val="TextoNormalNegritaCaracter"/>
        </w:rPr>
        <w:t>Personación</w:t>
      </w:r>
      <w:bookmarkEnd w:id="2017"/>
      <w:r w:rsidRPr="00BA1B56">
        <w:rPr>
          <w:rStyle w:val="TextoNormalCaracter"/>
        </w:rPr>
        <w:t xml:space="preserve">, Auto </w:t>
      </w:r>
      <w:hyperlink w:anchor="AUTO_2012_120" w:history="1">
        <w:r w:rsidRPr="00BA1B56">
          <w:rPr>
            <w:rStyle w:val="TextoNormalCaracter"/>
          </w:rPr>
          <w:t>120/2012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018" w:name="DESCRIPTORALFABETICO638"/>
      <w:r w:rsidRPr="00BA1B56">
        <w:rPr>
          <w:rStyle w:val="TextoNormalNegritaCaracter"/>
        </w:rPr>
        <w:t>Personal al servicio de la Administración autonómica</w:t>
      </w:r>
      <w:bookmarkEnd w:id="2018"/>
      <w:r w:rsidRPr="00BA1B56">
        <w:rPr>
          <w:rStyle w:val="TextoNormalCaracter"/>
        </w:rPr>
        <w:t xml:space="preserve">, Auto </w:t>
      </w:r>
      <w:hyperlink w:anchor="AUTO_2012_87" w:history="1">
        <w:r w:rsidRPr="00BA1B56">
          <w:rPr>
            <w:rStyle w:val="TextoNormalCaracter"/>
          </w:rPr>
          <w:t>87/2012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19" w:name="DESCRIPTORALFABETICO422"/>
      <w:r w:rsidRPr="00BA1B56">
        <w:rPr>
          <w:rStyle w:val="TextoNormalNegritaCaracter"/>
        </w:rPr>
        <w:t>Personal al servicio de la Administración de justicia</w:t>
      </w:r>
      <w:bookmarkEnd w:id="2019"/>
      <w:r w:rsidRPr="00BA1B56">
        <w:rPr>
          <w:rStyle w:val="TextoNormalCaracter"/>
        </w:rPr>
        <w:t xml:space="preserve">, Auto </w:t>
      </w:r>
      <w:hyperlink w:anchor="AUTO_2012_87" w:history="1">
        <w:r w:rsidRPr="00BA1B56">
          <w:rPr>
            <w:rStyle w:val="TextoNormalCaracter"/>
          </w:rPr>
          <w:t>87/2012</w:t>
        </w:r>
      </w:hyperlink>
      <w:r w:rsidRPr="00BA1B56">
        <w:rPr>
          <w:rStyle w:val="TextoNormalCaracter"/>
        </w:rPr>
        <w:t>, ff. 3, 6.</w:t>
      </w:r>
    </w:p>
    <w:p w:rsidR="00BA1B56" w:rsidRPr="00BA1B56" w:rsidRDefault="00BA1B56" w:rsidP="00BA1B56">
      <w:pPr>
        <w:pStyle w:val="TextoNormalSangraFrancesa"/>
        <w:rPr>
          <w:rStyle w:val="TextoNormalCaracter"/>
        </w:rPr>
      </w:pPr>
      <w:bookmarkStart w:id="2020" w:name="DESCRIPTORALFABETICO637"/>
      <w:r w:rsidRPr="00BA1B56">
        <w:rPr>
          <w:rStyle w:val="TextoNormalNegritaCaracter"/>
        </w:rPr>
        <w:t>Personal al servicio de las Administraciones públicas</w:t>
      </w:r>
      <w:bookmarkEnd w:id="2020"/>
      <w:r w:rsidRPr="00BA1B56">
        <w:rPr>
          <w:rStyle w:val="TextoNormalCaracter"/>
        </w:rPr>
        <w:t xml:space="preserve">, Autos </w:t>
      </w:r>
      <w:hyperlink w:anchor="AUTO_2012_8" w:history="1">
        <w:r w:rsidRPr="00BA1B56">
          <w:rPr>
            <w:rStyle w:val="TextoNormalCaracter"/>
          </w:rPr>
          <w:t>8/2012</w:t>
        </w:r>
      </w:hyperlink>
      <w:r w:rsidRPr="00BA1B56">
        <w:rPr>
          <w:rStyle w:val="TextoNormalCaracter"/>
        </w:rPr>
        <w:t xml:space="preserve">, ff. 1 a 3; </w:t>
      </w:r>
      <w:hyperlink w:anchor="AUTO_2012_87" w:history="1">
        <w:r w:rsidRPr="00BA1B56">
          <w:rPr>
            <w:rStyle w:val="TextoNormalCaracter"/>
          </w:rPr>
          <w:t>87/2012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21" w:name="DESCRIPTORALFABETICO770"/>
      <w:r w:rsidRPr="00BA1B56">
        <w:rPr>
          <w:rStyle w:val="TextoNormalNegritaCaracter"/>
        </w:rPr>
        <w:t>Personas jurídicas</w:t>
      </w:r>
      <w:bookmarkEnd w:id="2021"/>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22" w:name="DESCRIPTORALFABETICO307"/>
      <w:r w:rsidRPr="00BA1B56">
        <w:rPr>
          <w:rStyle w:val="TextoNormalNegritaCaracter"/>
        </w:rPr>
        <w:t>Pervivencia del objeto pese a la derogación de la norma</w:t>
      </w:r>
      <w:bookmarkEnd w:id="2022"/>
      <w:r w:rsidRPr="00BA1B56">
        <w:rPr>
          <w:rStyle w:val="TextoNormalCaracter"/>
        </w:rPr>
        <w:t xml:space="preserve">, Sentencias </w:t>
      </w:r>
      <w:hyperlink w:anchor="SENTENCIA_2012_21" w:history="1">
        <w:r w:rsidRPr="00BA1B56">
          <w:rPr>
            <w:rStyle w:val="TextoNormalCaracter"/>
          </w:rPr>
          <w:t>21/2012</w:t>
        </w:r>
      </w:hyperlink>
      <w:r w:rsidRPr="00BA1B56">
        <w:rPr>
          <w:rStyle w:val="TextoNormalCaracter"/>
        </w:rPr>
        <w:t xml:space="preserve">, f. 2; </w:t>
      </w:r>
      <w:hyperlink w:anchor="SENTENCIA_2012_36" w:history="1">
        <w:r w:rsidRPr="00BA1B56">
          <w:rPr>
            <w:rStyle w:val="TextoNormalCaracter"/>
          </w:rPr>
          <w:t>36/2012</w:t>
        </w:r>
      </w:hyperlink>
      <w:r w:rsidRPr="00BA1B56">
        <w:rPr>
          <w:rStyle w:val="TextoNormalCaracter"/>
        </w:rPr>
        <w:t xml:space="preserve">, f. 2; </w:t>
      </w:r>
      <w:hyperlink w:anchor="SENTENCIA_2012_72" w:history="1">
        <w:r w:rsidRPr="00BA1B56">
          <w:rPr>
            <w:rStyle w:val="TextoNormalCaracter"/>
          </w:rPr>
          <w:t>72/2012</w:t>
        </w:r>
      </w:hyperlink>
      <w:r w:rsidRPr="00BA1B56">
        <w:rPr>
          <w:rStyle w:val="TextoNormalCaracter"/>
        </w:rPr>
        <w:t xml:space="preserve">, f. 2; </w:t>
      </w:r>
      <w:hyperlink w:anchor="SENTENCIA_2012_73" w:history="1">
        <w:r w:rsidRPr="00BA1B56">
          <w:rPr>
            <w:rStyle w:val="TextoNormalCaracter"/>
          </w:rPr>
          <w:t>73/2012</w:t>
        </w:r>
      </w:hyperlink>
      <w:r w:rsidRPr="00BA1B56">
        <w:rPr>
          <w:rStyle w:val="TextoNormalCaracter"/>
        </w:rPr>
        <w:t xml:space="preserve">, f. 2; </w:t>
      </w:r>
      <w:hyperlink w:anchor="SENTENCIA_2012_77" w:history="1">
        <w:r w:rsidRPr="00BA1B56">
          <w:rPr>
            <w:rStyle w:val="TextoNormalCaracter"/>
          </w:rPr>
          <w:t>77/2012</w:t>
        </w:r>
      </w:hyperlink>
      <w:r w:rsidRPr="00BA1B56">
        <w:rPr>
          <w:rStyle w:val="TextoNormalCaracter"/>
        </w:rPr>
        <w:t xml:space="preserve">, f. 2; </w:t>
      </w:r>
      <w:hyperlink w:anchor="SENTENCIA_2012_99" w:history="1">
        <w:r w:rsidRPr="00BA1B56">
          <w:rPr>
            <w:rStyle w:val="TextoNormalCaracter"/>
          </w:rPr>
          <w:t>99/2012</w:t>
        </w:r>
      </w:hyperlink>
      <w:r w:rsidRPr="00BA1B56">
        <w:rPr>
          <w:rStyle w:val="TextoNormalCaracter"/>
        </w:rPr>
        <w:t>, ff. 2, 8.</w:t>
      </w:r>
    </w:p>
    <w:p w:rsidR="00BA1B56" w:rsidRPr="00BA1B56" w:rsidRDefault="00BA1B56" w:rsidP="00BA1B56">
      <w:pPr>
        <w:pStyle w:val="TextoNormalSangraFrancesa"/>
        <w:rPr>
          <w:rStyle w:val="TextoNormalCaracter"/>
        </w:rPr>
      </w:pPr>
      <w:bookmarkStart w:id="2023" w:name="DESCRIPTORALFABETICO308"/>
      <w:r w:rsidRPr="00BA1B56">
        <w:rPr>
          <w:rStyle w:val="TextoNormalNegritaCaracter"/>
        </w:rPr>
        <w:t>Pervivencia del objeto pese a la modificación de la norma</w:t>
      </w:r>
      <w:bookmarkEnd w:id="2023"/>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 2; </w:t>
      </w:r>
      <w:hyperlink w:anchor="SENTENCIA_2012_33" w:history="1">
        <w:r w:rsidRPr="00BA1B56">
          <w:rPr>
            <w:rStyle w:val="TextoNormalCaracter"/>
          </w:rPr>
          <w:t>33/2012</w:t>
        </w:r>
      </w:hyperlink>
      <w:r w:rsidRPr="00BA1B56">
        <w:rPr>
          <w:rStyle w:val="TextoNormalCaracter"/>
        </w:rPr>
        <w:t xml:space="preserve">, f. 3; </w:t>
      </w:r>
      <w:hyperlink w:anchor="SENTENCIA_2012_83" w:history="1">
        <w:r w:rsidRPr="00BA1B56">
          <w:rPr>
            <w:rStyle w:val="TextoNormalCaracter"/>
          </w:rPr>
          <w:t>83/2012</w:t>
        </w:r>
      </w:hyperlink>
      <w:r w:rsidRPr="00BA1B56">
        <w:rPr>
          <w:rStyle w:val="TextoNormalCaracter"/>
        </w:rPr>
        <w:t xml:space="preserve">, f. 2; </w:t>
      </w:r>
      <w:hyperlink w:anchor="SENTENCIA_2012_87" w:history="1">
        <w:r w:rsidRPr="00BA1B56">
          <w:rPr>
            <w:rStyle w:val="TextoNormalCaracter"/>
          </w:rPr>
          <w:t>87/2012</w:t>
        </w:r>
      </w:hyperlink>
      <w:r w:rsidRPr="00BA1B56">
        <w:rPr>
          <w:rStyle w:val="TextoNormalCaracter"/>
        </w:rPr>
        <w:t xml:space="preserve">, f. 3; </w:t>
      </w:r>
      <w:hyperlink w:anchor="SENTENCIA_2012_122" w:history="1">
        <w:r w:rsidRPr="00BA1B56">
          <w:rPr>
            <w:rStyle w:val="TextoNormalCaracter"/>
          </w:rPr>
          <w:t>122/2012</w:t>
        </w:r>
      </w:hyperlink>
      <w:r w:rsidRPr="00BA1B56">
        <w:rPr>
          <w:rStyle w:val="TextoNormalCaracter"/>
        </w:rPr>
        <w:t xml:space="preserve">, ff. 1 a 3; </w:t>
      </w:r>
      <w:hyperlink w:anchor="SENTENCIA_2012_134" w:history="1">
        <w:r w:rsidRPr="00BA1B56">
          <w:rPr>
            <w:rStyle w:val="TextoNormalCaracter"/>
          </w:rPr>
          <w:t>134/2012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24" w:name="DESCRIPTORALFABETICO309"/>
      <w:r w:rsidRPr="00BA1B56">
        <w:rPr>
          <w:rStyle w:val="TextoNormalNegritaCaracter"/>
        </w:rPr>
        <w:t>Pervivencia del objeto pese a la pérdida de vigencia de la norma</w:t>
      </w:r>
      <w:bookmarkEnd w:id="2024"/>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25" w:name="DESCRIPTORALFABETICO677"/>
      <w:r w:rsidRPr="00BA1B56">
        <w:rPr>
          <w:rStyle w:val="TextoNormalNegritaCaracter"/>
        </w:rPr>
        <w:t>Plan general de carreteras</w:t>
      </w:r>
      <w:bookmarkEnd w:id="2025"/>
      <w:r w:rsidRPr="00BA1B56">
        <w:rPr>
          <w:rStyle w:val="TextoNormalCaracter"/>
        </w:rPr>
        <w:t xml:space="preserve">, Sentencia </w:t>
      </w:r>
      <w:hyperlink w:anchor="SENTENCIA_2012_112" w:history="1">
        <w:r w:rsidRPr="00BA1B56">
          <w:rPr>
            <w:rStyle w:val="TextoNormalCaracter"/>
          </w:rPr>
          <w:t>112/2012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26" w:name="DESCRIPTORALFABETICO344"/>
      <w:r w:rsidRPr="00BA1B56">
        <w:rPr>
          <w:rStyle w:val="TextoNormalNegritaCaracter"/>
        </w:rPr>
        <w:t>Planteamiento de cuestión de inconstitucionalidad</w:t>
      </w:r>
      <w:bookmarkEnd w:id="2026"/>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27" w:name="DESCRIPTORALFABETICO346"/>
      <w:r w:rsidRPr="00BA1B56">
        <w:rPr>
          <w:rStyle w:val="TextoNormalNegritaCaracter"/>
        </w:rPr>
        <w:t>Planteamiento en fase de ejecución de resoluciones judiciales</w:t>
      </w:r>
      <w:bookmarkEnd w:id="2027"/>
      <w:r w:rsidRPr="00BA1B56">
        <w:rPr>
          <w:rStyle w:val="TextoNormalCaracter"/>
        </w:rPr>
        <w:t xml:space="preserve">, Auto </w:t>
      </w:r>
      <w:hyperlink w:anchor="AUTO_2012_119" w:history="1">
        <w:r w:rsidRPr="00BA1B56">
          <w:rPr>
            <w:rStyle w:val="TextoNormalCaracter"/>
          </w:rPr>
          <w:t>119/2012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28" w:name="DESCRIPTORALFABETICO377"/>
      <w:r w:rsidRPr="00BA1B56">
        <w:rPr>
          <w:rStyle w:val="TextoNormalNegritaCaracter"/>
        </w:rPr>
        <w:t>Plazo de interposición del recurso de amparo</w:t>
      </w:r>
      <w:bookmarkEnd w:id="2028"/>
      <w:r w:rsidRPr="00BA1B56">
        <w:rPr>
          <w:rStyle w:val="TextoNormalCaracter"/>
        </w:rPr>
        <w:t xml:space="preserve">, Sentencias </w:t>
      </w:r>
      <w:hyperlink w:anchor="SENTENCIA_2012_17" w:history="1">
        <w:r w:rsidRPr="00BA1B56">
          <w:rPr>
            <w:rStyle w:val="TextoNormalCaracter"/>
          </w:rPr>
          <w:t>17/2012</w:t>
        </w:r>
      </w:hyperlink>
      <w:r w:rsidRPr="00BA1B56">
        <w:rPr>
          <w:rStyle w:val="TextoNormalCaracter"/>
        </w:rPr>
        <w:t xml:space="preserve">, f. 3; </w:t>
      </w:r>
      <w:hyperlink w:anchor="SENTENCIA_2012_23" w:history="1">
        <w:r w:rsidRPr="00BA1B56">
          <w:rPr>
            <w:rStyle w:val="TextoNormalCaracter"/>
          </w:rPr>
          <w:t>23/2012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29" w:name="DESCRIPTORALFABETICO862"/>
      <w:r w:rsidRPr="00BA1B56">
        <w:rPr>
          <w:rStyle w:val="TextoNormalNegritaCaracter"/>
        </w:rPr>
        <w:t>Plazo de prescripción de acciones</w:t>
      </w:r>
      <w:bookmarkEnd w:id="2029"/>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30" w:name="DESCRIPTORALFABETICO887"/>
      <w:r w:rsidRPr="00BA1B56">
        <w:rPr>
          <w:rStyle w:val="TextoNormalNegritaCaracter"/>
        </w:rPr>
        <w:t>Plazo de subsanación de defectos procesales</w:t>
      </w:r>
      <w:bookmarkEnd w:id="2030"/>
      <w:r w:rsidRPr="00BA1B56">
        <w:rPr>
          <w:rStyle w:val="TextoNormalCaracter"/>
        </w:rPr>
        <w:t xml:space="preserve">, Sentencia </w:t>
      </w:r>
      <w:hyperlink w:anchor="SENTENCIA_2012_125" w:history="1">
        <w:r w:rsidRPr="00BA1B56">
          <w:rPr>
            <w:rStyle w:val="TextoNormalCaracter"/>
          </w:rPr>
          <w:t>125/2012</w:t>
        </w:r>
      </w:hyperlink>
      <w:r w:rsidRPr="00BA1B56">
        <w:rPr>
          <w:rStyle w:val="TextoNormalCaracter"/>
        </w:rPr>
        <w:t>, f. 5.</w:t>
      </w:r>
    </w:p>
    <w:p w:rsidR="00BA1B56" w:rsidRPr="00BA1B56" w:rsidRDefault="00BA1B56" w:rsidP="00BA1B56">
      <w:pPr>
        <w:pStyle w:val="TextoNormalSangraFrancesa"/>
        <w:rPr>
          <w:rStyle w:val="TextoNormalCaracter"/>
        </w:rPr>
      </w:pPr>
      <w:bookmarkStart w:id="2031" w:name="DESCRIPTORALFABETICO687"/>
      <w:r w:rsidRPr="00BA1B56">
        <w:rPr>
          <w:rStyle w:val="TextoNormalNegritaCaracter"/>
        </w:rPr>
        <w:t>Plazo de transposición de directivas de la Unión Europea</w:t>
      </w:r>
      <w:bookmarkEnd w:id="2031"/>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5 a 13.</w:t>
      </w:r>
    </w:p>
    <w:p w:rsidR="00BA1B56" w:rsidRPr="00BA1B56" w:rsidRDefault="00BA1B56" w:rsidP="00BA1B56">
      <w:pPr>
        <w:pStyle w:val="TextoNormalSangraFrancesa"/>
        <w:rPr>
          <w:rStyle w:val="TextoNormalCaracter"/>
        </w:rPr>
      </w:pPr>
      <w:bookmarkStart w:id="2032" w:name="DESCRIPTORALFABETICO924"/>
      <w:r w:rsidRPr="00BA1B56">
        <w:rPr>
          <w:rStyle w:val="TextoNormalNegritaCaracter"/>
        </w:rPr>
        <w:t>Plazos procesales</w:t>
      </w:r>
      <w:bookmarkEnd w:id="2032"/>
      <w:r w:rsidRPr="00BA1B56">
        <w:rPr>
          <w:rStyle w:val="TextoNormalCaracter"/>
        </w:rPr>
        <w:t xml:space="preserve">, Sentencia </w:t>
      </w:r>
      <w:hyperlink w:anchor="SENTENCIA_2012_76" w:history="1">
        <w:r w:rsidRPr="00BA1B56">
          <w:rPr>
            <w:rStyle w:val="TextoNormalCaracter"/>
          </w:rPr>
          <w:t>76/2012</w:t>
        </w:r>
      </w:hyperlink>
      <w:r w:rsidRPr="00BA1B56">
        <w:rPr>
          <w:rStyle w:val="TextoNormalCaracter"/>
        </w:rPr>
        <w:t>, ff. 3, 5.</w:t>
      </w:r>
    </w:p>
    <w:p w:rsidR="00BA1B56" w:rsidRPr="00BA1B56" w:rsidRDefault="00BA1B56" w:rsidP="00BA1B56">
      <w:pPr>
        <w:pStyle w:val="TextoNormalSangraFrancesa"/>
        <w:rPr>
          <w:rStyle w:val="TextoNormalCaracter"/>
        </w:rPr>
      </w:pPr>
      <w:bookmarkStart w:id="2033" w:name="DESCRIPTORALFABETICO69"/>
      <w:r w:rsidRPr="00BA1B56">
        <w:rPr>
          <w:rStyle w:val="TextoNormalNegritaCaracter"/>
        </w:rPr>
        <w:t>Poder de gasto del Estado</w:t>
      </w:r>
      <w:bookmarkEnd w:id="2033"/>
      <w:r w:rsidRPr="00BA1B56">
        <w:rPr>
          <w:rStyle w:val="TextoNormalCaracter"/>
        </w:rPr>
        <w:t xml:space="preserve">, Sentencias </w:t>
      </w:r>
      <w:hyperlink w:anchor="SENTENCIA_2012_89" w:history="1">
        <w:r w:rsidRPr="00BA1B56">
          <w:rPr>
            <w:rStyle w:val="TextoNormalCaracter"/>
          </w:rPr>
          <w:t>89/2012</w:t>
        </w:r>
      </w:hyperlink>
      <w:r w:rsidRPr="00BA1B56">
        <w:rPr>
          <w:rStyle w:val="TextoNormalCaracter"/>
        </w:rPr>
        <w:t xml:space="preserve">, f. 4; </w:t>
      </w:r>
      <w:hyperlink w:anchor="SENTENCIA_2012_99" w:history="1">
        <w:r w:rsidRPr="00BA1B56">
          <w:rPr>
            <w:rStyle w:val="TextoNormalCaracter"/>
          </w:rPr>
          <w:t>99/2012</w:t>
        </w:r>
      </w:hyperlink>
      <w:r w:rsidRPr="00BA1B56">
        <w:rPr>
          <w:rStyle w:val="TextoNormalCaracter"/>
        </w:rPr>
        <w:t>, ff. 3, 6.</w:t>
      </w:r>
    </w:p>
    <w:p w:rsidR="00BA1B56" w:rsidRPr="00BA1B56" w:rsidRDefault="00BA1B56" w:rsidP="00BA1B56">
      <w:pPr>
        <w:pStyle w:val="TextoNormalSangraFrancesa"/>
        <w:rPr>
          <w:rStyle w:val="TextoNormalCaracter"/>
        </w:rPr>
      </w:pPr>
      <w:bookmarkStart w:id="2034" w:name="DESCRIPTORALFABETICO436"/>
      <w:r w:rsidRPr="00BA1B56">
        <w:rPr>
          <w:rStyle w:val="TextoNormalNegritaCaracter"/>
        </w:rPr>
        <w:t>Poder judicial</w:t>
      </w:r>
      <w:bookmarkEnd w:id="2034"/>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 5; </w:t>
      </w:r>
      <w:hyperlink w:anchor="SENTENCIA_2012_75" w:history="1">
        <w:r w:rsidRPr="00BA1B56">
          <w:rPr>
            <w:rStyle w:val="TextoNormalCaracter"/>
          </w:rPr>
          <w:t>75/2012</w:t>
        </w:r>
      </w:hyperlink>
      <w:r w:rsidRPr="00BA1B56">
        <w:rPr>
          <w:rStyle w:val="TextoNormalCaracter"/>
        </w:rPr>
        <w:t xml:space="preserve">, f. 3; </w:t>
      </w:r>
      <w:hyperlink w:anchor="SENTENCIA_2012_91" w:history="1">
        <w:r w:rsidRPr="00BA1B56">
          <w:rPr>
            <w:rStyle w:val="TextoNormalCaracter"/>
          </w:rPr>
          <w:t>91/2012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35" w:name="DESCRIPTORALFABETICO625"/>
      <w:r w:rsidRPr="00BA1B56">
        <w:rPr>
          <w:rStyle w:val="TextoNormalNegritaCaracter"/>
        </w:rPr>
        <w:t>Policía local</w:t>
      </w:r>
      <w:bookmarkEnd w:id="2035"/>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xml:space="preserve">, ff. 5, 6; </w:t>
      </w:r>
      <w:hyperlink w:anchor="SENTENCIA_2012_29" w:history="1">
        <w:r w:rsidRPr="00BA1B56">
          <w:rPr>
            <w:rStyle w:val="TextoNormalCaracter"/>
          </w:rPr>
          <w:t>29/2012</w:t>
        </w:r>
      </w:hyperlink>
      <w:r w:rsidRPr="00BA1B56">
        <w:rPr>
          <w:rStyle w:val="TextoNormalCaracter"/>
        </w:rPr>
        <w:t>, ff. 1 a 6.</w:t>
      </w:r>
    </w:p>
    <w:p w:rsidR="00BA1B56" w:rsidRPr="00BA1B56" w:rsidRDefault="00BA1B56" w:rsidP="00BA1B56">
      <w:pPr>
        <w:pStyle w:val="TextoNormalSangraFrancesa"/>
        <w:rPr>
          <w:rStyle w:val="TextoNormalCaracter"/>
        </w:rPr>
      </w:pPr>
      <w:bookmarkStart w:id="2036" w:name="DESCRIPTORALFABETICO256"/>
      <w:r w:rsidRPr="00BA1B56">
        <w:rPr>
          <w:rStyle w:val="TextoNormalNegritaCaracter"/>
        </w:rPr>
        <w:t>Ponderación entre el derecho a la intimidad y la libertad de información</w:t>
      </w:r>
      <w:bookmarkEnd w:id="2036"/>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ff. 5, 7.</w:t>
      </w:r>
    </w:p>
    <w:p w:rsidR="00BA1B56" w:rsidRPr="00BA1B56" w:rsidRDefault="00BA1B56" w:rsidP="00BA1B56">
      <w:pPr>
        <w:pStyle w:val="TextoNormalSangraFrancesa"/>
        <w:rPr>
          <w:rStyle w:val="TextoNormalCaracter"/>
        </w:rPr>
      </w:pPr>
      <w:bookmarkStart w:id="2037" w:name="DESCRIPTORALFABETICO257"/>
      <w:r w:rsidRPr="00BA1B56">
        <w:rPr>
          <w:rStyle w:val="TextoNormalNegritaCaracter"/>
        </w:rPr>
        <w:t>Ponderación entre el derecho a la propia imagen y la libertad de información</w:t>
      </w:r>
      <w:bookmarkEnd w:id="2037"/>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 5; </w:t>
      </w:r>
      <w:hyperlink w:anchor="SENTENCIA_2012_24" w:history="1">
        <w:r w:rsidRPr="00BA1B56">
          <w:rPr>
            <w:rStyle w:val="TextoNormalCaracter"/>
          </w:rPr>
          <w:t>24/2012</w:t>
        </w:r>
      </w:hyperlink>
      <w:r w:rsidRPr="00BA1B56">
        <w:rPr>
          <w:rStyle w:val="TextoNormalCaracter"/>
        </w:rPr>
        <w:t xml:space="preserve">, ff. 2, 3; </w:t>
      </w:r>
      <w:hyperlink w:anchor="SENTENCIA_2012_74" w:history="1">
        <w:r w:rsidRPr="00BA1B56">
          <w:rPr>
            <w:rStyle w:val="TextoNormalCaracter"/>
          </w:rPr>
          <w:t>74/2012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38" w:name="DESCRIPTORALFABETICO94"/>
      <w:r w:rsidRPr="00BA1B56">
        <w:rPr>
          <w:rStyle w:val="TextoNormalNegritaCaracter"/>
        </w:rPr>
        <w:t>Potestad originaria del Estado en materia tributaria</w:t>
      </w:r>
      <w:bookmarkEnd w:id="2038"/>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 11; </w:t>
      </w:r>
      <w:hyperlink w:anchor="SENTENCIA_2012_35" w:history="1">
        <w:r w:rsidRPr="00BA1B56">
          <w:rPr>
            <w:rStyle w:val="TextoNormalCaracter"/>
          </w:rPr>
          <w:t>35/2012</w:t>
        </w:r>
      </w:hyperlink>
      <w:r w:rsidRPr="00BA1B56">
        <w:rPr>
          <w:rStyle w:val="TextoNormalCaracter"/>
        </w:rPr>
        <w:t xml:space="preserve">, f. 7; </w:t>
      </w:r>
      <w:hyperlink w:anchor="SENTENCIA_2012_100" w:history="1">
        <w:r w:rsidRPr="00BA1B56">
          <w:rPr>
            <w:rStyle w:val="TextoNormalCaracter"/>
          </w:rPr>
          <w:t>100/2012</w:t>
        </w:r>
      </w:hyperlink>
      <w:r w:rsidRPr="00BA1B56">
        <w:rPr>
          <w:rStyle w:val="TextoNormalCaracter"/>
        </w:rPr>
        <w:t>, f. 7.</w:t>
      </w:r>
    </w:p>
    <w:p w:rsidR="00BA1B56" w:rsidRPr="00BA1B56" w:rsidRDefault="00BA1B56" w:rsidP="00BA1B56">
      <w:pPr>
        <w:pStyle w:val="TextoNormalSangraFrancesa"/>
        <w:rPr>
          <w:rStyle w:val="TextoNormalCaracter"/>
        </w:rPr>
      </w:pPr>
      <w:bookmarkStart w:id="2039" w:name="DESCRIPTORALFABETICO428"/>
      <w:r w:rsidRPr="00BA1B56">
        <w:rPr>
          <w:rStyle w:val="TextoNormalNegritaCaracter"/>
        </w:rPr>
        <w:t>Potestad sancionadora</w:t>
      </w:r>
      <w:bookmarkEnd w:id="2039"/>
      <w:r w:rsidRPr="00BA1B56">
        <w:rPr>
          <w:rStyle w:val="TextoNormalCaracter"/>
        </w:rPr>
        <w:t xml:space="preserve">, Sentencias </w:t>
      </w:r>
      <w:hyperlink w:anchor="SENTENCIA_2012_5" w:history="1">
        <w:r w:rsidRPr="00BA1B56">
          <w:rPr>
            <w:rStyle w:val="TextoNormalCaracter"/>
          </w:rPr>
          <w:t>5/2012</w:t>
        </w:r>
      </w:hyperlink>
      <w:r w:rsidRPr="00BA1B56">
        <w:rPr>
          <w:rStyle w:val="TextoNormalCaracter"/>
        </w:rPr>
        <w:t xml:space="preserve">, f. 4; </w:t>
      </w:r>
      <w:hyperlink w:anchor="SENTENCIA_2012_8" w:history="1">
        <w:r w:rsidRPr="00BA1B56">
          <w:rPr>
            <w:rStyle w:val="TextoNormalCaracter"/>
          </w:rPr>
          <w:t>8/2012</w:t>
        </w:r>
      </w:hyperlink>
      <w:r w:rsidRPr="00BA1B56">
        <w:rPr>
          <w:rStyle w:val="TextoNormalCaracter"/>
        </w:rPr>
        <w:t>, f. 11.</w:t>
      </w:r>
    </w:p>
    <w:p w:rsidR="00BA1B56" w:rsidRPr="00BA1B56" w:rsidRDefault="00BA1B56" w:rsidP="00BA1B56">
      <w:pPr>
        <w:pStyle w:val="TextoNormalSangraFrancesa"/>
        <w:rPr>
          <w:rStyle w:val="TextoNormalCaracter"/>
        </w:rPr>
      </w:pPr>
      <w:bookmarkStart w:id="2040" w:name="DESCRIPTORALFABETICO774"/>
      <w:r w:rsidRPr="00BA1B56">
        <w:rPr>
          <w:rStyle w:val="TextoNormalNegritaCaracter"/>
        </w:rPr>
        <w:t>Potestad sancionadora de los colegios profesionales</w:t>
      </w:r>
      <w:bookmarkEnd w:id="2040"/>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 7.</w:t>
      </w:r>
    </w:p>
    <w:p w:rsidR="00BA1B56" w:rsidRPr="00BA1B56" w:rsidRDefault="00BA1B56" w:rsidP="00BA1B56">
      <w:pPr>
        <w:pStyle w:val="TextoNormalSangraFrancesa"/>
        <w:rPr>
          <w:rStyle w:val="TextoNormalCaracter"/>
        </w:rPr>
      </w:pPr>
      <w:bookmarkStart w:id="2041" w:name="DESCRIPTORALFABETICO93"/>
      <w:r w:rsidRPr="00BA1B56">
        <w:rPr>
          <w:rStyle w:val="TextoNormalNegritaCaracter"/>
        </w:rPr>
        <w:t>Potestad tributaria</w:t>
      </w:r>
      <w:bookmarkEnd w:id="2041"/>
      <w:r w:rsidRPr="00BA1B56">
        <w:rPr>
          <w:rStyle w:val="TextoNormalCaracter"/>
        </w:rPr>
        <w:t xml:space="preserve">, Sentencia </w:t>
      </w:r>
      <w:hyperlink w:anchor="SENTENCIA_2012_122" w:history="1">
        <w:r w:rsidRPr="00BA1B56">
          <w:rPr>
            <w:rStyle w:val="TextoNormalCaracter"/>
          </w:rPr>
          <w:t>122/2012</w:t>
        </w:r>
      </w:hyperlink>
      <w:r w:rsidRPr="00BA1B56">
        <w:rPr>
          <w:rStyle w:val="TextoNormalCaracter"/>
        </w:rPr>
        <w:t>, ff. 1, 2.</w:t>
      </w:r>
    </w:p>
    <w:p w:rsidR="00BA1B56" w:rsidRPr="00BA1B56" w:rsidRDefault="00BA1B56" w:rsidP="00BA1B56">
      <w:pPr>
        <w:pStyle w:val="TextoNormalSangraFrancesa"/>
        <w:rPr>
          <w:rStyle w:val="TextoNormalCaracter"/>
        </w:rPr>
      </w:pPr>
      <w:bookmarkStart w:id="2042" w:name="DESCRIPTORALFABETICO15"/>
      <w:r w:rsidRPr="00BA1B56">
        <w:rPr>
          <w:rStyle w:val="TextoNormalNegritaCaracter"/>
        </w:rPr>
        <w:t>Potestades ejecutivas</w:t>
      </w:r>
      <w:bookmarkEnd w:id="2042"/>
      <w:r w:rsidRPr="00BA1B56">
        <w:rPr>
          <w:rStyle w:val="TextoNormalCaracter"/>
        </w:rPr>
        <w:t xml:space="preserve">, Sentencias </w:t>
      </w:r>
      <w:hyperlink w:anchor="SENTENCIA_2012_71" w:history="1">
        <w:r w:rsidRPr="00BA1B56">
          <w:rPr>
            <w:rStyle w:val="TextoNormalCaracter"/>
          </w:rPr>
          <w:t>71/2012</w:t>
        </w:r>
      </w:hyperlink>
      <w:r w:rsidRPr="00BA1B56">
        <w:rPr>
          <w:rStyle w:val="TextoNormalCaracter"/>
        </w:rPr>
        <w:t xml:space="preserve">, f. 5, VP; </w:t>
      </w:r>
      <w:hyperlink w:anchor="SENTENCIA_2012_120" w:history="1">
        <w:r w:rsidRPr="00BA1B56">
          <w:rPr>
            <w:rStyle w:val="TextoNormalCaracter"/>
          </w:rPr>
          <w:t>120/2012</w:t>
        </w:r>
      </w:hyperlink>
      <w:r w:rsidRPr="00BA1B56">
        <w:rPr>
          <w:rStyle w:val="TextoNormalCaracter"/>
        </w:rPr>
        <w:t>, f. 5.</w:t>
      </w:r>
    </w:p>
    <w:p w:rsidR="00BA1B56" w:rsidRPr="00BA1B56" w:rsidRDefault="00BA1B56" w:rsidP="00BA1B56">
      <w:pPr>
        <w:pStyle w:val="TextoNormalSangraFrancesa"/>
        <w:rPr>
          <w:rStyle w:val="TextoNormalCaracter"/>
        </w:rPr>
      </w:pPr>
      <w:bookmarkStart w:id="2043" w:name="DESCRIPTORALFABETICO576"/>
      <w:r w:rsidRPr="00BA1B56">
        <w:rPr>
          <w:rStyle w:val="TextoNormalNegritaCaracter"/>
        </w:rPr>
        <w:t>Prácticas restrictivas de la competencia</w:t>
      </w:r>
      <w:bookmarkEnd w:id="2043"/>
      <w:r w:rsidRPr="00BA1B56">
        <w:rPr>
          <w:rStyle w:val="TextoNormalCaracter"/>
        </w:rPr>
        <w:t xml:space="preserve">, Sentencia </w:t>
      </w:r>
      <w:hyperlink w:anchor="SENTENCIA_2012_71" w:history="1">
        <w:r w:rsidRPr="00BA1B56">
          <w:rPr>
            <w:rStyle w:val="TextoNormalCaracter"/>
          </w:rPr>
          <w:t>71/2012</w:t>
        </w:r>
      </w:hyperlink>
      <w:r w:rsidRPr="00BA1B56">
        <w:rPr>
          <w:rStyle w:val="TextoNormalCaracter"/>
        </w:rPr>
        <w:t>, ff. 4 a 6, VP.</w:t>
      </w:r>
    </w:p>
    <w:p w:rsidR="00BA1B56" w:rsidRPr="00BA1B56" w:rsidRDefault="00BA1B56" w:rsidP="00BA1B56">
      <w:pPr>
        <w:pStyle w:val="TextoNormalSangraFrancesa"/>
        <w:rPr>
          <w:rStyle w:val="TextoNormalCaracter"/>
        </w:rPr>
      </w:pPr>
      <w:bookmarkStart w:id="2044" w:name="DESCRIPTORALFABETICO746"/>
      <w:r w:rsidRPr="00BA1B56">
        <w:rPr>
          <w:rStyle w:val="TextoNormalNegritaCaracter"/>
        </w:rPr>
        <w:lastRenderedPageBreak/>
        <w:t>Preámbulo de textos legales</w:t>
      </w:r>
      <w:bookmarkEnd w:id="2044"/>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45" w:name="DESCRIPTORALFABETICO857"/>
      <w:r w:rsidRPr="00BA1B56">
        <w:rPr>
          <w:rStyle w:val="TextoNormalNegritaCaracter"/>
        </w:rPr>
        <w:t>Preferencia de la jurisdicción penal</w:t>
      </w:r>
      <w:bookmarkEnd w:id="2045"/>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46" w:name="DESCRIPTORALFABETICO863"/>
      <w:r w:rsidRPr="00BA1B56">
        <w:rPr>
          <w:rStyle w:val="TextoNormalNegritaCaracter"/>
        </w:rPr>
        <w:t>Prescripción de acción de responsabilidad civil</w:t>
      </w:r>
      <w:bookmarkEnd w:id="2046"/>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47" w:name="DESCRIPTORALFABETICO583"/>
      <w:r w:rsidRPr="00BA1B56">
        <w:rPr>
          <w:rStyle w:val="TextoNormalNegritaCaracter"/>
        </w:rPr>
        <w:t>Prescripción de infracciones administrativas</w:t>
      </w:r>
      <w:bookmarkEnd w:id="2047"/>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1, 2, 8, 10, 12, VP I, VP II, VP III, VP IV; </w:t>
      </w:r>
      <w:hyperlink w:anchor="SENTENCIA_2012_75" w:history="1">
        <w:r w:rsidRPr="00BA1B56">
          <w:rPr>
            <w:rStyle w:val="TextoNormalCaracter"/>
          </w:rPr>
          <w:t>75/2012</w:t>
        </w:r>
      </w:hyperlink>
      <w:r w:rsidRPr="00BA1B56">
        <w:rPr>
          <w:rStyle w:val="TextoNormalCaracter"/>
        </w:rPr>
        <w:t xml:space="preserve">, f. 4; </w:t>
      </w:r>
      <w:hyperlink w:anchor="SENTENCIA_2012_91" w:history="1">
        <w:r w:rsidRPr="00BA1B56">
          <w:rPr>
            <w:rStyle w:val="TextoNormalCaracter"/>
          </w:rPr>
          <w:t>91/2012</w:t>
        </w:r>
      </w:hyperlink>
      <w:r w:rsidRPr="00BA1B56">
        <w:rPr>
          <w:rStyle w:val="TextoNormalCaracter"/>
        </w:rPr>
        <w:t xml:space="preserve">, f. 4; </w:t>
      </w:r>
      <w:hyperlink w:anchor="SENTENCIA_2012_93" w:history="1">
        <w:r w:rsidRPr="00BA1B56">
          <w:rPr>
            <w:rStyle w:val="TextoNormalCaracter"/>
          </w:rPr>
          <w:t>93/2012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48" w:name="DESCRIPTORALFABETICO589"/>
      <w:r w:rsidRPr="00BA1B56">
        <w:rPr>
          <w:rStyle w:val="TextoNormalNegritaCaracter"/>
        </w:rPr>
        <w:t>Prescripción de sanciones administrativas</w:t>
      </w:r>
      <w:bookmarkEnd w:id="2048"/>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1, 2, 8, 10, 12, VP I, VP II, VP III, VP IV; </w:t>
      </w:r>
      <w:hyperlink w:anchor="SENTENCIA_2012_75" w:history="1">
        <w:r w:rsidRPr="00BA1B56">
          <w:rPr>
            <w:rStyle w:val="TextoNormalCaracter"/>
          </w:rPr>
          <w:t>75/2012</w:t>
        </w:r>
      </w:hyperlink>
      <w:r w:rsidRPr="00BA1B56">
        <w:rPr>
          <w:rStyle w:val="TextoNormalCaracter"/>
        </w:rPr>
        <w:t xml:space="preserve">, f. 4; </w:t>
      </w:r>
      <w:hyperlink w:anchor="SENTENCIA_2012_91" w:history="1">
        <w:r w:rsidRPr="00BA1B56">
          <w:rPr>
            <w:rStyle w:val="TextoNormalCaracter"/>
          </w:rPr>
          <w:t>91/2012</w:t>
        </w:r>
      </w:hyperlink>
      <w:r w:rsidRPr="00BA1B56">
        <w:rPr>
          <w:rStyle w:val="TextoNormalCaracter"/>
        </w:rPr>
        <w:t xml:space="preserve">, f. 4; </w:t>
      </w:r>
      <w:hyperlink w:anchor="SENTENCIA_2012_93" w:history="1">
        <w:r w:rsidRPr="00BA1B56">
          <w:rPr>
            <w:rStyle w:val="TextoNormalCaracter"/>
          </w:rPr>
          <w:t>93/2012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49" w:name="DESCRIPTORALFABETICO860"/>
      <w:r w:rsidRPr="00BA1B56">
        <w:rPr>
          <w:rStyle w:val="TextoNormalNegritaCaracter"/>
        </w:rPr>
        <w:t>Prescripción y caducidad de acciones</w:t>
      </w:r>
      <w:bookmarkEnd w:id="2049"/>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50" w:name="DESCRIPTORALFABETICO817"/>
      <w:r w:rsidRPr="00BA1B56">
        <w:rPr>
          <w:rStyle w:val="TextoNormalNegritaCaracter"/>
        </w:rPr>
        <w:t>Prestaciones de la Seguridad Social</w:t>
      </w:r>
      <w:bookmarkEnd w:id="2050"/>
      <w:r w:rsidRPr="00BA1B56">
        <w:rPr>
          <w:rStyle w:val="TextoNormalCaracter"/>
        </w:rPr>
        <w:t xml:space="preserve">, Auto </w:t>
      </w:r>
      <w:hyperlink w:anchor="AUTO_2012_49" w:history="1">
        <w:r w:rsidRPr="00BA1B56">
          <w:rPr>
            <w:rStyle w:val="TextoNormalCaracter"/>
          </w:rPr>
          <w:t>49/2012</w:t>
        </w:r>
      </w:hyperlink>
      <w:r w:rsidRPr="00BA1B56">
        <w:rPr>
          <w:rStyle w:val="TextoNormalCaracter"/>
        </w:rPr>
        <w:t>, ff. 1, 2.</w:t>
      </w:r>
    </w:p>
    <w:p w:rsidR="00BA1B56" w:rsidRPr="00BA1B56" w:rsidRDefault="00BA1B56" w:rsidP="00BA1B56">
      <w:pPr>
        <w:pStyle w:val="TextoNormalSangraFrancesa"/>
        <w:rPr>
          <w:rStyle w:val="TextoNormalNegritaCaracter"/>
        </w:rPr>
      </w:pPr>
      <w:r w:rsidRPr="00BA1B56">
        <w:rPr>
          <w:rStyle w:val="TextoNormalCursivaCaracter"/>
        </w:rPr>
        <w:t>Presunción de inocencia</w:t>
      </w:r>
      <w:r>
        <w:t xml:space="preserve"> véase </w:t>
      </w:r>
      <w:hyperlink w:anchor="DESCRIPTORALFABETICO178" w:history="1">
        <w:r w:rsidRPr="00BA1B56">
          <w:rPr>
            <w:rStyle w:val="TextoNormalNegritaCaracter"/>
          </w:rPr>
          <w:t>Derecho a la presunción de inocencia</w:t>
        </w:r>
      </w:hyperlink>
    </w:p>
    <w:p w:rsidR="00BA1B56" w:rsidRPr="00BA1B56" w:rsidRDefault="00BA1B56" w:rsidP="00BA1B56">
      <w:pPr>
        <w:pStyle w:val="TextoNormalSangraFrancesa"/>
        <w:rPr>
          <w:rStyle w:val="TextoNormalCaracter"/>
        </w:rPr>
      </w:pPr>
      <w:bookmarkStart w:id="2051" w:name="DESCRIPTORALFABETICO170"/>
      <w:r w:rsidRPr="00BA1B56">
        <w:rPr>
          <w:rStyle w:val="TextoNormalNegritaCaracter"/>
        </w:rPr>
        <w:t>Presupuesto fáctico de situación de privación de libertad</w:t>
      </w:r>
      <w:bookmarkEnd w:id="2051"/>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52" w:name="DESCRIPTORALFABETICO694"/>
      <w:r w:rsidRPr="00BA1B56">
        <w:rPr>
          <w:rStyle w:val="TextoNormalNegritaCaracter"/>
        </w:rPr>
        <w:t>Presupuesto habilitante</w:t>
      </w:r>
      <w:bookmarkEnd w:id="2052"/>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4, 6, 7, 10, 12.</w:t>
      </w:r>
    </w:p>
    <w:p w:rsidR="00BA1B56" w:rsidRPr="00BA1B56" w:rsidRDefault="00BA1B56" w:rsidP="00BA1B56">
      <w:pPr>
        <w:pStyle w:val="TextoNormalSangraFrancesa"/>
        <w:rPr>
          <w:rStyle w:val="TextoNormalNegritaCaracter"/>
        </w:rPr>
      </w:pPr>
      <w:r w:rsidRPr="00BA1B56">
        <w:rPr>
          <w:rStyle w:val="TextoNormalCursivaCaracter"/>
        </w:rPr>
        <w:t>Presupuestos procesales</w:t>
      </w:r>
      <w:r>
        <w:t xml:space="preserve"> véase </w:t>
      </w:r>
      <w:hyperlink w:anchor="DESCRIPTORALFABETICO938" w:history="1">
        <w:r w:rsidRPr="00BA1B56">
          <w:rPr>
            <w:rStyle w:val="TextoNormalNegritaCaracter"/>
          </w:rPr>
          <w:t>Requisitos procesales</w:t>
        </w:r>
      </w:hyperlink>
    </w:p>
    <w:p w:rsidR="00BA1B56" w:rsidRPr="00BA1B56" w:rsidRDefault="00BA1B56" w:rsidP="00BA1B56">
      <w:pPr>
        <w:pStyle w:val="TextoNormalSangraFrancesa"/>
        <w:rPr>
          <w:rStyle w:val="TextoNormalNegritaCaracter"/>
        </w:rPr>
      </w:pPr>
      <w:r w:rsidRPr="00BA1B56">
        <w:rPr>
          <w:rStyle w:val="TextoNormalCursivaCaracter"/>
        </w:rPr>
        <w:t>Prevalencia del orden penal</w:t>
      </w:r>
      <w:r>
        <w:t xml:space="preserve"> véase </w:t>
      </w:r>
      <w:hyperlink w:anchor="DESCRIPTORALFABETICO857" w:history="1">
        <w:r w:rsidRPr="00BA1B56">
          <w:rPr>
            <w:rStyle w:val="TextoNormalNegritaCaracter"/>
          </w:rPr>
          <w:t>Preferencia de la jurisdicción penal</w:t>
        </w:r>
      </w:hyperlink>
    </w:p>
    <w:p w:rsidR="00BA1B56" w:rsidRPr="00BA1B56" w:rsidRDefault="00BA1B56" w:rsidP="00BA1B56">
      <w:pPr>
        <w:pStyle w:val="TextoNormalSangraFrancesa"/>
        <w:rPr>
          <w:rStyle w:val="TextoNormalCaracter"/>
        </w:rPr>
      </w:pPr>
      <w:bookmarkStart w:id="2053" w:name="DESCRIPTORALFABETICO17"/>
      <w:r w:rsidRPr="00BA1B56">
        <w:rPr>
          <w:rStyle w:val="TextoNormalNegritaCaracter"/>
        </w:rPr>
        <w:t>Prevalencia del título específico sobre el genérico</w:t>
      </w:r>
      <w:bookmarkEnd w:id="2053"/>
      <w:r w:rsidRPr="00BA1B56">
        <w:rPr>
          <w:rStyle w:val="TextoNormalCaracter"/>
        </w:rPr>
        <w:t xml:space="preserve">, Sentencia </w:t>
      </w:r>
      <w:hyperlink w:anchor="SENTENCIA_2012_82" w:history="1">
        <w:r w:rsidRPr="00BA1B56">
          <w:rPr>
            <w:rStyle w:val="TextoNormalCaracter"/>
          </w:rPr>
          <w:t>82/2012</w:t>
        </w:r>
      </w:hyperlink>
      <w:r w:rsidRPr="00BA1B56">
        <w:rPr>
          <w:rStyle w:val="TextoNormalCaracter"/>
        </w:rPr>
        <w:t>, ff. 4, 5 VP II.</w:t>
      </w:r>
    </w:p>
    <w:p w:rsidR="00BA1B56" w:rsidRPr="00BA1B56" w:rsidRDefault="00BA1B56" w:rsidP="00BA1B56">
      <w:pPr>
        <w:pStyle w:val="TextoNormalSangraFrancesa"/>
        <w:rPr>
          <w:rStyle w:val="TextoNormalCaracter"/>
        </w:rPr>
      </w:pPr>
      <w:bookmarkStart w:id="2054" w:name="DESCRIPTORALFABETICO791"/>
      <w:r w:rsidRPr="00BA1B56">
        <w:rPr>
          <w:rStyle w:val="TextoNormalNegritaCaracter"/>
        </w:rPr>
        <w:t>Primer grado de tratamiento penitenciario</w:t>
      </w:r>
      <w:bookmarkEnd w:id="2054"/>
      <w:r w:rsidRPr="00BA1B56">
        <w:rPr>
          <w:rStyle w:val="TextoNormalCaracter"/>
        </w:rPr>
        <w:t xml:space="preserve">, Sentencia </w:t>
      </w:r>
      <w:hyperlink w:anchor="SENTENCIA_2012_106" w:history="1">
        <w:r w:rsidRPr="00BA1B56">
          <w:rPr>
            <w:rStyle w:val="TextoNormalCaracter"/>
          </w:rPr>
          <w:t>106/2012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55" w:name="DESCRIPTORALFABETICO95"/>
      <w:r w:rsidRPr="00BA1B56">
        <w:rPr>
          <w:rStyle w:val="TextoNormalNegritaCaracter"/>
        </w:rPr>
        <w:t>Principio de capacidad económica</w:t>
      </w:r>
      <w:bookmarkEnd w:id="2055"/>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3, 4, 7 a 9.</w:t>
      </w:r>
    </w:p>
    <w:p w:rsidR="00BA1B56" w:rsidRPr="00BA1B56" w:rsidRDefault="00BA1B56" w:rsidP="00BA1B56">
      <w:pPr>
        <w:pStyle w:val="TextoNormalSangraFrancesa"/>
        <w:rPr>
          <w:rStyle w:val="TextoNormalCaracter"/>
        </w:rPr>
      </w:pPr>
      <w:bookmarkStart w:id="2056" w:name="DESCRIPTORALFABETICO429"/>
      <w:r w:rsidRPr="00BA1B56">
        <w:rPr>
          <w:rStyle w:val="TextoNormalNegritaCaracter"/>
        </w:rPr>
        <w:t>Principio de colaboración</w:t>
      </w:r>
      <w:bookmarkEnd w:id="2056"/>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Principio de colaboración administrativa</w:t>
      </w:r>
      <w:r>
        <w:t xml:space="preserve"> véase </w:t>
      </w:r>
      <w:hyperlink w:anchor="DESCRIPTORALFABETICO429" w:history="1">
        <w:r w:rsidRPr="00BA1B56">
          <w:rPr>
            <w:rStyle w:val="TextoNormalNegritaCaracter"/>
          </w:rPr>
          <w:t>Principio de colaboración</w:t>
        </w:r>
      </w:hyperlink>
    </w:p>
    <w:p w:rsidR="00BA1B56" w:rsidRPr="00BA1B56" w:rsidRDefault="00BA1B56" w:rsidP="00BA1B56">
      <w:pPr>
        <w:pStyle w:val="TextoNormalSangraFrancesa"/>
        <w:rPr>
          <w:rStyle w:val="TextoNormalCaracter"/>
        </w:rPr>
      </w:pPr>
      <w:bookmarkStart w:id="2057" w:name="DESCRIPTORALFABETICO137"/>
      <w:r w:rsidRPr="00BA1B56">
        <w:rPr>
          <w:rStyle w:val="TextoNormalNegritaCaracter"/>
        </w:rPr>
        <w:t>Principio de conservación de los actos electorales</w:t>
      </w:r>
      <w:bookmarkEnd w:id="2057"/>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7, 16.</w:t>
      </w:r>
    </w:p>
    <w:p w:rsidR="00BA1B56" w:rsidRPr="00BA1B56" w:rsidRDefault="00BA1B56" w:rsidP="00BA1B56">
      <w:pPr>
        <w:pStyle w:val="TextoNormalSangraFrancesa"/>
        <w:rPr>
          <w:rStyle w:val="TextoNormalCaracter"/>
        </w:rPr>
      </w:pPr>
      <w:bookmarkStart w:id="2058" w:name="DESCRIPTORALFABETICO473"/>
      <w:r w:rsidRPr="00BA1B56">
        <w:rPr>
          <w:rStyle w:val="TextoNormalNegritaCaracter"/>
        </w:rPr>
        <w:t>Principio de igualdad</w:t>
      </w:r>
      <w:bookmarkEnd w:id="2058"/>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ff. 3 a 9; </w:t>
      </w:r>
      <w:hyperlink w:anchor="SENTENCIA_2012_105" w:history="1">
        <w:r w:rsidRPr="00BA1B56">
          <w:rPr>
            <w:rStyle w:val="TextoNormalCaracter"/>
          </w:rPr>
          <w:t>105/2012</w:t>
        </w:r>
      </w:hyperlink>
      <w:r w:rsidRPr="00BA1B56">
        <w:rPr>
          <w:rStyle w:val="TextoNormalCaracter"/>
        </w:rPr>
        <w:t>, f. 6.</w:t>
      </w:r>
    </w:p>
    <w:p w:rsidR="00BA1B56" w:rsidRPr="00BA1B56" w:rsidRDefault="00BA1B56" w:rsidP="00BA1B56">
      <w:pPr>
        <w:pStyle w:val="TextoNormalSangraFrancesa"/>
        <w:rPr>
          <w:rStyle w:val="TextoNormalNegritaCaracter"/>
        </w:rPr>
      </w:pPr>
      <w:r w:rsidRPr="00BA1B56">
        <w:rPr>
          <w:rStyle w:val="TextoNormalCursivaCaracter"/>
        </w:rPr>
        <w:t>Principio de igualdad tributaria</w:t>
      </w:r>
      <w:r>
        <w:t xml:space="preserve"> véase </w:t>
      </w:r>
      <w:hyperlink w:anchor="DESCRIPTORALFABETICO474" w:history="1">
        <w:r w:rsidRPr="00BA1B56">
          <w:rPr>
            <w:rStyle w:val="TextoNormalNegritaCaracter"/>
          </w:rPr>
          <w:t>Igualdad tributaria</w:t>
        </w:r>
      </w:hyperlink>
    </w:p>
    <w:p w:rsidR="00BA1B56" w:rsidRPr="00BA1B56" w:rsidRDefault="00BA1B56" w:rsidP="00BA1B56">
      <w:pPr>
        <w:pStyle w:val="TextoNormalSangraFrancesa"/>
        <w:rPr>
          <w:rStyle w:val="TextoNormalCaracter"/>
        </w:rPr>
      </w:pPr>
      <w:bookmarkStart w:id="2059" w:name="DESCRIPTORALFABETICO931"/>
      <w:r w:rsidRPr="00BA1B56">
        <w:rPr>
          <w:rStyle w:val="TextoNormalNegritaCaracter"/>
        </w:rPr>
        <w:t>Principio de inmediación</w:t>
      </w:r>
      <w:bookmarkEnd w:id="2059"/>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ff. 3,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23" w:history="1">
        <w:r w:rsidRPr="00BA1B56">
          <w:rPr>
            <w:rStyle w:val="TextoNormalCaracter"/>
          </w:rPr>
          <w:t>123/2012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60" w:name="DESCRIPTORALFABETICO475"/>
      <w:r w:rsidRPr="00BA1B56">
        <w:rPr>
          <w:rStyle w:val="TextoNormalNegritaCaracter"/>
        </w:rPr>
        <w:t>Principio de interdicción de la arbitrariedad</w:t>
      </w:r>
      <w:bookmarkEnd w:id="2060"/>
      <w:r w:rsidRPr="00BA1B56">
        <w:rPr>
          <w:rStyle w:val="TextoNormalCaracter"/>
        </w:rPr>
        <w:t xml:space="preserve">, Sentencias </w:t>
      </w:r>
      <w:hyperlink w:anchor="SENTENCIA_2012_93" w:history="1">
        <w:r w:rsidRPr="00BA1B56">
          <w:rPr>
            <w:rStyle w:val="TextoNormalCaracter"/>
          </w:rPr>
          <w:t>93/2012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xml:space="preserve">, f. 4; </w:t>
      </w:r>
      <w:hyperlink w:anchor="SENTENCIA_2012_102" w:history="1">
        <w:r w:rsidRPr="00BA1B56">
          <w:rPr>
            <w:rStyle w:val="TextoNormalCaracter"/>
          </w:rPr>
          <w:t>102/2012</w:t>
        </w:r>
      </w:hyperlink>
      <w:r w:rsidRPr="00BA1B56">
        <w:rPr>
          <w:rStyle w:val="TextoNormalCaracter"/>
        </w:rPr>
        <w:t xml:space="preserve">, f. 4; </w:t>
      </w:r>
      <w:hyperlink w:anchor="SENTENCIA_2012_135" w:history="1">
        <w:r w:rsidRPr="00BA1B56">
          <w:rPr>
            <w:rStyle w:val="TextoNormalCaracter"/>
          </w:rPr>
          <w:t>135/2012</w:t>
        </w:r>
      </w:hyperlink>
      <w:r w:rsidRPr="00BA1B56">
        <w:rPr>
          <w:rStyle w:val="TextoNormalCaracter"/>
        </w:rPr>
        <w:t>, f. 6.</w:t>
      </w:r>
    </w:p>
    <w:p w:rsidR="00BA1B56" w:rsidRPr="00BA1B56" w:rsidRDefault="00BA1B56" w:rsidP="00BA1B56">
      <w:pPr>
        <w:pStyle w:val="TextoNormalSangraFrancesa"/>
        <w:rPr>
          <w:rStyle w:val="TextoNormalCaracter"/>
        </w:rPr>
      </w:pPr>
      <w:bookmarkStart w:id="2061" w:name="DESCRIPTORALFABETICO477"/>
      <w:r w:rsidRPr="00BA1B56">
        <w:rPr>
          <w:rStyle w:val="TextoNormalNegritaCaracter"/>
        </w:rPr>
        <w:t>Principio de irretroactividad</w:t>
      </w:r>
      <w:bookmarkEnd w:id="2061"/>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10.</w:t>
      </w:r>
    </w:p>
    <w:p w:rsidR="00BA1B56" w:rsidRPr="00BA1B56" w:rsidRDefault="00BA1B56" w:rsidP="00BA1B56">
      <w:pPr>
        <w:pStyle w:val="TextoNormalSangraFrancesa"/>
        <w:rPr>
          <w:rStyle w:val="TextoNormalCaracter"/>
        </w:rPr>
      </w:pPr>
      <w:bookmarkStart w:id="2062" w:name="DESCRIPTORALFABETICO478"/>
      <w:r w:rsidRPr="00BA1B56">
        <w:rPr>
          <w:rStyle w:val="TextoNormalNegritaCaracter"/>
        </w:rPr>
        <w:t>Principio de lealtad constitucional</w:t>
      </w:r>
      <w:bookmarkEnd w:id="2062"/>
      <w:r w:rsidRPr="00BA1B56">
        <w:rPr>
          <w:rStyle w:val="TextoNormalCaracter"/>
        </w:rPr>
        <w:t xml:space="preserve">, Sentencia </w:t>
      </w:r>
      <w:hyperlink w:anchor="SENTENCIA_2012_123" w:history="1">
        <w:r w:rsidRPr="00BA1B56">
          <w:rPr>
            <w:rStyle w:val="TextoNormalCaracter"/>
          </w:rPr>
          <w:t>123/2012</w:t>
        </w:r>
      </w:hyperlink>
      <w:r w:rsidRPr="00BA1B56">
        <w:rPr>
          <w:rStyle w:val="TextoNormalCaracter"/>
        </w:rPr>
        <w:t>, f. 8.</w:t>
      </w:r>
    </w:p>
    <w:p w:rsidR="00BA1B56" w:rsidRPr="00BA1B56" w:rsidRDefault="00BA1B56" w:rsidP="00BA1B56">
      <w:pPr>
        <w:pStyle w:val="TextoNormalSangraFrancesa"/>
        <w:rPr>
          <w:rStyle w:val="TextoNormalCaracter"/>
        </w:rPr>
      </w:pPr>
      <w:bookmarkStart w:id="2063" w:name="DESCRIPTORALFABETICO479"/>
      <w:r w:rsidRPr="00BA1B56">
        <w:rPr>
          <w:rStyle w:val="TextoNormalNegritaCaracter"/>
        </w:rPr>
        <w:t>Principio de legalidad penal</w:t>
      </w:r>
      <w:bookmarkEnd w:id="2063"/>
      <w:r w:rsidRPr="00BA1B56">
        <w:rPr>
          <w:rStyle w:val="TextoNormalCaracter"/>
        </w:rPr>
        <w:t xml:space="preserve">, Sentencias </w:t>
      </w:r>
      <w:hyperlink w:anchor="SENTENCIA_2012_40" w:history="1">
        <w:r w:rsidRPr="00BA1B56">
          <w:rPr>
            <w:rStyle w:val="TextoNormalCaracter"/>
          </w:rPr>
          <w:t>40/2012</w:t>
        </w:r>
      </w:hyperlink>
      <w:r w:rsidRPr="00BA1B56">
        <w:rPr>
          <w:rStyle w:val="TextoNormalCaracter"/>
        </w:rPr>
        <w:t xml:space="preserve">, ff. 3, 5, 6, 8, VP I, VP II; </w:t>
      </w:r>
      <w:hyperlink w:anchor="SENTENCIA_2012_41" w:history="1">
        <w:r w:rsidRPr="00BA1B56">
          <w:rPr>
            <w:rStyle w:val="TextoNormalCaracter"/>
          </w:rPr>
          <w:t>41/2012</w:t>
        </w:r>
      </w:hyperlink>
      <w:r w:rsidRPr="00BA1B56">
        <w:rPr>
          <w:rStyle w:val="TextoNormalCaracter"/>
        </w:rPr>
        <w:t xml:space="preserve">, ff. 4, 6, VP I; </w:t>
      </w:r>
      <w:hyperlink w:anchor="SENTENCIA_2012_42" w:history="1">
        <w:r w:rsidRPr="00BA1B56">
          <w:rPr>
            <w:rStyle w:val="TextoNormalCaracter"/>
          </w:rPr>
          <w:t>42/2012</w:t>
        </w:r>
      </w:hyperlink>
      <w:r w:rsidRPr="00BA1B56">
        <w:rPr>
          <w:rStyle w:val="TextoNormalCaracter"/>
        </w:rPr>
        <w:t xml:space="preserve">, ff. 3, 6, 8; </w:t>
      </w:r>
      <w:hyperlink w:anchor="SENTENCIA_2012_43" w:history="1">
        <w:r w:rsidRPr="00BA1B56">
          <w:rPr>
            <w:rStyle w:val="TextoNormalCaracter"/>
          </w:rPr>
          <w:t>43/2012</w:t>
        </w:r>
      </w:hyperlink>
      <w:r w:rsidRPr="00BA1B56">
        <w:rPr>
          <w:rStyle w:val="TextoNormalCaracter"/>
        </w:rPr>
        <w:t xml:space="preserve">, ff. 3, 4, 6, 7, 8; </w:t>
      </w:r>
      <w:hyperlink w:anchor="SENTENCIA_2012_44" w:history="1">
        <w:r w:rsidRPr="00BA1B56">
          <w:rPr>
            <w:rStyle w:val="TextoNormalCaracter"/>
          </w:rPr>
          <w:t>44/2012</w:t>
        </w:r>
      </w:hyperlink>
      <w:r w:rsidRPr="00BA1B56">
        <w:rPr>
          <w:rStyle w:val="TextoNormalCaracter"/>
        </w:rPr>
        <w:t xml:space="preserve">, ff. 3, 4, 5, 6; </w:t>
      </w:r>
      <w:hyperlink w:anchor="SENTENCIA_2012_45" w:history="1">
        <w:r w:rsidRPr="00BA1B56">
          <w:rPr>
            <w:rStyle w:val="TextoNormalCaracter"/>
          </w:rPr>
          <w:t>45/2012</w:t>
        </w:r>
      </w:hyperlink>
      <w:r w:rsidRPr="00BA1B56">
        <w:rPr>
          <w:rStyle w:val="TextoNormalCaracter"/>
        </w:rPr>
        <w:t xml:space="preserve">, ff. 3, 4, 5, 6; </w:t>
      </w:r>
      <w:hyperlink w:anchor="SENTENCIA_2012_46" w:history="1">
        <w:r w:rsidRPr="00BA1B56">
          <w:rPr>
            <w:rStyle w:val="TextoNormalCaracter"/>
          </w:rPr>
          <w:t>46/2012</w:t>
        </w:r>
      </w:hyperlink>
      <w:r w:rsidRPr="00BA1B56">
        <w:rPr>
          <w:rStyle w:val="TextoNormalCaracter"/>
        </w:rPr>
        <w:t xml:space="preserve">, ff. 3, 4, 6, 7, 8; </w:t>
      </w:r>
      <w:hyperlink w:anchor="SENTENCIA_2012_47" w:history="1">
        <w:r w:rsidRPr="00BA1B56">
          <w:rPr>
            <w:rStyle w:val="TextoNormalCaracter"/>
          </w:rPr>
          <w:t>47/2012</w:t>
        </w:r>
      </w:hyperlink>
      <w:r w:rsidRPr="00BA1B56">
        <w:rPr>
          <w:rStyle w:val="TextoNormalCaracter"/>
        </w:rPr>
        <w:t xml:space="preserve">, f. 4, VP II; </w:t>
      </w:r>
      <w:hyperlink w:anchor="SENTENCIA_2012_48" w:history="1">
        <w:r w:rsidRPr="00BA1B56">
          <w:rPr>
            <w:rStyle w:val="TextoNormalCaracter"/>
          </w:rPr>
          <w:t>48/2012</w:t>
        </w:r>
      </w:hyperlink>
      <w:r w:rsidRPr="00BA1B56">
        <w:rPr>
          <w:rStyle w:val="TextoNormalCaracter"/>
        </w:rPr>
        <w:t xml:space="preserve">, ff. 4, 6; </w:t>
      </w:r>
      <w:hyperlink w:anchor="SENTENCIA_2012_49" w:history="1">
        <w:r w:rsidRPr="00BA1B56">
          <w:rPr>
            <w:rStyle w:val="TextoNormalCaracter"/>
          </w:rPr>
          <w:t>49/2012</w:t>
        </w:r>
      </w:hyperlink>
      <w:r w:rsidRPr="00BA1B56">
        <w:rPr>
          <w:rStyle w:val="TextoNormalCaracter"/>
        </w:rPr>
        <w:t xml:space="preserve">, ff. 4, 6; </w:t>
      </w:r>
      <w:hyperlink w:anchor="SENTENCIA_2012_50" w:history="1">
        <w:r w:rsidRPr="00BA1B56">
          <w:rPr>
            <w:rStyle w:val="TextoNormalCaracter"/>
          </w:rPr>
          <w:t>50/2012</w:t>
        </w:r>
      </w:hyperlink>
      <w:r w:rsidRPr="00BA1B56">
        <w:rPr>
          <w:rStyle w:val="TextoNormalCaracter"/>
        </w:rPr>
        <w:t xml:space="preserve">, f. 4; </w:t>
      </w:r>
      <w:hyperlink w:anchor="SENTENCIA_2012_51" w:history="1">
        <w:r w:rsidRPr="00BA1B56">
          <w:rPr>
            <w:rStyle w:val="TextoNormalCaracter"/>
          </w:rPr>
          <w:t>51/2012</w:t>
        </w:r>
      </w:hyperlink>
      <w:r w:rsidRPr="00BA1B56">
        <w:rPr>
          <w:rStyle w:val="TextoNormalCaracter"/>
        </w:rPr>
        <w:t xml:space="preserve">, ff. 4, 5, 6, 7; </w:t>
      </w:r>
      <w:hyperlink w:anchor="SENTENCIA_2012_52" w:history="1">
        <w:r w:rsidRPr="00BA1B56">
          <w:rPr>
            <w:rStyle w:val="TextoNormalCaracter"/>
          </w:rPr>
          <w:t>52/2012</w:t>
        </w:r>
      </w:hyperlink>
      <w:r w:rsidRPr="00BA1B56">
        <w:rPr>
          <w:rStyle w:val="TextoNormalCaracter"/>
        </w:rPr>
        <w:t xml:space="preserve">, ff. 3, 4, 5, 6; </w:t>
      </w:r>
      <w:hyperlink w:anchor="SENTENCIA_2012_53" w:history="1">
        <w:r w:rsidRPr="00BA1B56">
          <w:rPr>
            <w:rStyle w:val="TextoNormalCaracter"/>
          </w:rPr>
          <w:t>53/2012</w:t>
        </w:r>
      </w:hyperlink>
      <w:r w:rsidRPr="00BA1B56">
        <w:rPr>
          <w:rStyle w:val="TextoNormalCaracter"/>
        </w:rPr>
        <w:t xml:space="preserve">, ff. 3, 5, 6; </w:t>
      </w:r>
      <w:hyperlink w:anchor="SENTENCIA_2012_54" w:history="1">
        <w:r w:rsidRPr="00BA1B56">
          <w:rPr>
            <w:rStyle w:val="TextoNormalCaracter"/>
          </w:rPr>
          <w:t>54/2012</w:t>
        </w:r>
      </w:hyperlink>
      <w:r w:rsidRPr="00BA1B56">
        <w:rPr>
          <w:rStyle w:val="TextoNormalCaracter"/>
        </w:rPr>
        <w:t xml:space="preserve">, ff. 4, 6, 7, 8; </w:t>
      </w:r>
      <w:hyperlink w:anchor="SENTENCIA_2012_55" w:history="1">
        <w:r w:rsidRPr="00BA1B56">
          <w:rPr>
            <w:rStyle w:val="TextoNormalCaracter"/>
          </w:rPr>
          <w:t>55/2012</w:t>
        </w:r>
      </w:hyperlink>
      <w:r w:rsidRPr="00BA1B56">
        <w:rPr>
          <w:rStyle w:val="TextoNormalCaracter"/>
        </w:rPr>
        <w:t xml:space="preserve">, ff. 5, 7; </w:t>
      </w:r>
      <w:hyperlink w:anchor="SENTENCIA_2012_56" w:history="1">
        <w:r w:rsidRPr="00BA1B56">
          <w:rPr>
            <w:rStyle w:val="TextoNormalCaracter"/>
          </w:rPr>
          <w:t>56/2012</w:t>
        </w:r>
      </w:hyperlink>
      <w:r w:rsidRPr="00BA1B56">
        <w:rPr>
          <w:rStyle w:val="TextoNormalCaracter"/>
        </w:rPr>
        <w:t xml:space="preserve">, ff. 2, 3, 4, 5; </w:t>
      </w:r>
      <w:hyperlink w:anchor="SENTENCIA_2012_59" w:history="1">
        <w:r w:rsidRPr="00BA1B56">
          <w:rPr>
            <w:rStyle w:val="TextoNormalCaracter"/>
          </w:rPr>
          <w:t>59/2012</w:t>
        </w:r>
      </w:hyperlink>
      <w:r w:rsidRPr="00BA1B56">
        <w:rPr>
          <w:rStyle w:val="TextoNormalCaracter"/>
        </w:rPr>
        <w:t xml:space="preserve">, ff. 3 a 5; </w:t>
      </w:r>
      <w:hyperlink w:anchor="SENTENCIA_2012_61" w:history="1">
        <w:r w:rsidRPr="00BA1B56">
          <w:rPr>
            <w:rStyle w:val="TextoNormalCaracter"/>
          </w:rPr>
          <w:t>61/2012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ff. 3, 5, 7; </w:t>
      </w:r>
      <w:hyperlink w:anchor="SENTENCIA_2012_65" w:history="1">
        <w:r w:rsidRPr="00BA1B56">
          <w:rPr>
            <w:rStyle w:val="TextoNormalCaracter"/>
          </w:rPr>
          <w:t>65/2012</w:t>
        </w:r>
      </w:hyperlink>
      <w:r w:rsidRPr="00BA1B56">
        <w:rPr>
          <w:rStyle w:val="TextoNormalCaracter"/>
        </w:rPr>
        <w:t xml:space="preserve">, ff. 4, 6, 8; </w:t>
      </w:r>
      <w:hyperlink w:anchor="SENTENCIA_2012_66" w:history="1">
        <w:r w:rsidRPr="00BA1B56">
          <w:rPr>
            <w:rStyle w:val="TextoNormalCaracter"/>
          </w:rPr>
          <w:t>66/2012</w:t>
        </w:r>
      </w:hyperlink>
      <w:r w:rsidRPr="00BA1B56">
        <w:rPr>
          <w:rStyle w:val="TextoNormalCaracter"/>
        </w:rPr>
        <w:t xml:space="preserve">, ff. 3, 6; </w:t>
      </w:r>
      <w:hyperlink w:anchor="SENTENCIA_2012_67" w:history="1">
        <w:r w:rsidRPr="00BA1B56">
          <w:rPr>
            <w:rStyle w:val="TextoNormalCaracter"/>
          </w:rPr>
          <w:t>67/2012</w:t>
        </w:r>
      </w:hyperlink>
      <w:r w:rsidRPr="00BA1B56">
        <w:rPr>
          <w:rStyle w:val="TextoNormalCaracter"/>
        </w:rPr>
        <w:t xml:space="preserve">, ff. 3, 5, 7; </w:t>
      </w:r>
      <w:hyperlink w:anchor="SENTENCIA_2012_68" w:history="1">
        <w:r w:rsidRPr="00BA1B56">
          <w:rPr>
            <w:rStyle w:val="TextoNormalCaracter"/>
          </w:rPr>
          <w:t>68/2012</w:t>
        </w:r>
      </w:hyperlink>
      <w:r w:rsidRPr="00BA1B56">
        <w:rPr>
          <w:rStyle w:val="TextoNormalCaracter"/>
        </w:rPr>
        <w:t xml:space="preserve">, ff. 3, 4, 5, 6; </w:t>
      </w:r>
      <w:hyperlink w:anchor="SENTENCIA_2012_69" w:history="1">
        <w:r w:rsidRPr="00BA1B56">
          <w:rPr>
            <w:rStyle w:val="TextoNormalCaracter"/>
          </w:rPr>
          <w:t>69/2012</w:t>
        </w:r>
      </w:hyperlink>
      <w:r w:rsidRPr="00BA1B56">
        <w:rPr>
          <w:rStyle w:val="TextoNormalCaracter"/>
        </w:rPr>
        <w:t xml:space="preserve">, ff. 4, 6, 8; </w:t>
      </w:r>
      <w:hyperlink w:anchor="SENTENCIA_2012_90" w:history="1">
        <w:r w:rsidRPr="00BA1B56">
          <w:rPr>
            <w:rStyle w:val="TextoNormalCaracter"/>
          </w:rPr>
          <w:t>90/2012</w:t>
        </w:r>
      </w:hyperlink>
      <w:r w:rsidRPr="00BA1B56">
        <w:rPr>
          <w:rStyle w:val="TextoNormalCaracter"/>
        </w:rPr>
        <w:t xml:space="preserve">, f. 5; </w:t>
      </w:r>
      <w:hyperlink w:anchor="SENTENCIA_2012_108" w:history="1">
        <w:r w:rsidRPr="00BA1B56">
          <w:rPr>
            <w:rStyle w:val="TextoNormalCaracter"/>
          </w:rPr>
          <w:t>108/2012</w:t>
        </w:r>
      </w:hyperlink>
      <w:r w:rsidRPr="00BA1B56">
        <w:rPr>
          <w:rStyle w:val="TextoNormalCaracter"/>
        </w:rPr>
        <w:t xml:space="preserve">, ff. 3, 4; </w:t>
      </w:r>
      <w:hyperlink w:anchor="SENTENCIA_2012_113" w:history="1">
        <w:r w:rsidRPr="00BA1B56">
          <w:rPr>
            <w:rStyle w:val="TextoNormalCaracter"/>
          </w:rPr>
          <w:t>113/2012</w:t>
        </w:r>
      </w:hyperlink>
      <w:r w:rsidRPr="00BA1B56">
        <w:rPr>
          <w:rStyle w:val="TextoNormalCaracter"/>
        </w:rPr>
        <w:t xml:space="preserve">, ff. 6, 9; </w:t>
      </w:r>
      <w:hyperlink w:anchor="SENTENCIA_2012_114" w:history="1">
        <w:r w:rsidRPr="00BA1B56">
          <w:rPr>
            <w:rStyle w:val="TextoNormalCaracter"/>
          </w:rPr>
          <w:t>114/2012</w:t>
        </w:r>
      </w:hyperlink>
      <w:r w:rsidRPr="00BA1B56">
        <w:rPr>
          <w:rStyle w:val="TextoNormalCaracter"/>
        </w:rPr>
        <w:t>, ff. 3, 5, 6.</w:t>
      </w:r>
    </w:p>
    <w:p w:rsidR="00BA1B56" w:rsidRPr="00BA1B56" w:rsidRDefault="00BA1B56" w:rsidP="00BA1B56">
      <w:pPr>
        <w:pStyle w:val="TextoNormalSangraFrancesa"/>
        <w:rPr>
          <w:rStyle w:val="TextoNormalCaracter"/>
        </w:rPr>
      </w:pPr>
      <w:bookmarkStart w:id="2064" w:name="DESCRIPTORALFABETICO489"/>
      <w:r w:rsidRPr="00BA1B56">
        <w:rPr>
          <w:rStyle w:val="TextoNormalNegritaCaracter"/>
        </w:rPr>
        <w:t>Principio de legalidad sancionadora</w:t>
      </w:r>
      <w:bookmarkEnd w:id="2064"/>
      <w:r w:rsidRPr="00BA1B56">
        <w:rPr>
          <w:rStyle w:val="TextoNormalCaracter"/>
        </w:rPr>
        <w:t xml:space="preserve">, Sentencias </w:t>
      </w:r>
      <w:hyperlink w:anchor="SENTENCIA_2012_8" w:history="1">
        <w:r w:rsidRPr="00BA1B56">
          <w:rPr>
            <w:rStyle w:val="TextoNormalCaracter"/>
          </w:rPr>
          <w:t>8/2012</w:t>
        </w:r>
      </w:hyperlink>
      <w:r w:rsidRPr="00BA1B56">
        <w:rPr>
          <w:rStyle w:val="TextoNormalCaracter"/>
        </w:rPr>
        <w:t xml:space="preserve">, f. 11; </w:t>
      </w:r>
      <w:hyperlink w:anchor="SENTENCIA_2012_31" w:history="1">
        <w:r w:rsidRPr="00BA1B56">
          <w:rPr>
            <w:rStyle w:val="TextoNormalCaracter"/>
          </w:rPr>
          <w:t>31/2012</w:t>
        </w:r>
      </w:hyperlink>
      <w:r w:rsidRPr="00BA1B56">
        <w:rPr>
          <w:rStyle w:val="TextoNormalCaracter"/>
        </w:rPr>
        <w:t xml:space="preserve">, ff. 2, 6; </w:t>
      </w:r>
      <w:hyperlink w:anchor="SENTENCIA_2012_90" w:history="1">
        <w:r w:rsidRPr="00BA1B56">
          <w:rPr>
            <w:rStyle w:val="TextoNormalCaracter"/>
          </w:rPr>
          <w:t>90/2012</w:t>
        </w:r>
      </w:hyperlink>
      <w:r w:rsidRPr="00BA1B56">
        <w:rPr>
          <w:rStyle w:val="TextoNormalCaracter"/>
        </w:rPr>
        <w:t xml:space="preserve">, ff. 1, 2, 3, 4, 5, 6; </w:t>
      </w:r>
      <w:hyperlink w:anchor="SENTENCIA_2012_109" w:history="1">
        <w:r w:rsidRPr="00BA1B56">
          <w:rPr>
            <w:rStyle w:val="TextoNormalCaracter"/>
          </w:rPr>
          <w:t>109/2012</w:t>
        </w:r>
      </w:hyperlink>
      <w:r w:rsidRPr="00BA1B56">
        <w:rPr>
          <w:rStyle w:val="TextoNormalCaracter"/>
        </w:rPr>
        <w:t xml:space="preserve">, f. 3; </w:t>
      </w:r>
      <w:hyperlink w:anchor="SENTENCIA_2012_127" w:history="1">
        <w:r w:rsidRPr="00BA1B56">
          <w:rPr>
            <w:rStyle w:val="TextoNormalCaracter"/>
          </w:rPr>
          <w:t>127/2012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4" w:history="1">
        <w:r w:rsidRPr="00BA1B56">
          <w:rPr>
            <w:rStyle w:val="TextoNormalCaracter"/>
          </w:rPr>
          <w:t>34/2012</w:t>
        </w:r>
      </w:hyperlink>
      <w:r w:rsidRPr="00BA1B56">
        <w:rPr>
          <w:rStyle w:val="TextoNormalCaracter"/>
        </w:rPr>
        <w:t>, ff. 2, 3, 4.</w:t>
      </w:r>
    </w:p>
    <w:p w:rsidR="00BA1B56" w:rsidRPr="00BA1B56" w:rsidRDefault="00BA1B56" w:rsidP="00BA1B56">
      <w:pPr>
        <w:pStyle w:val="TextoNormalSangraFrancesa"/>
        <w:rPr>
          <w:rStyle w:val="TextoNormalCaracter"/>
        </w:rPr>
      </w:pPr>
      <w:bookmarkStart w:id="2065" w:name="DESCRIPTORALFABETICO138"/>
      <w:r w:rsidRPr="00BA1B56">
        <w:rPr>
          <w:rStyle w:val="TextoNormalNegritaCaracter"/>
        </w:rPr>
        <w:t>Principio de primacía de la verdad material</w:t>
      </w:r>
      <w:bookmarkEnd w:id="2065"/>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 7.</w:t>
      </w:r>
    </w:p>
    <w:p w:rsidR="00BA1B56" w:rsidRPr="00BA1B56" w:rsidRDefault="00BA1B56" w:rsidP="00BA1B56">
      <w:pPr>
        <w:pStyle w:val="TextoNormalSangraFrancesa"/>
        <w:rPr>
          <w:rStyle w:val="TextoNormalCaracter"/>
        </w:rPr>
      </w:pPr>
      <w:bookmarkStart w:id="2066" w:name="DESCRIPTORALFABETICO96"/>
      <w:r w:rsidRPr="00BA1B56">
        <w:rPr>
          <w:rStyle w:val="TextoNormalNegritaCaracter"/>
        </w:rPr>
        <w:t>Principio de progresividad</w:t>
      </w:r>
      <w:bookmarkEnd w:id="2066"/>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3, 4, 7.</w:t>
      </w:r>
    </w:p>
    <w:p w:rsidR="00BA1B56" w:rsidRPr="00BA1B56" w:rsidRDefault="00BA1B56" w:rsidP="00BA1B56">
      <w:pPr>
        <w:pStyle w:val="TextoNormalSangraFrancesa"/>
        <w:rPr>
          <w:rStyle w:val="TextoNormalCaracter"/>
        </w:rPr>
      </w:pPr>
      <w:bookmarkStart w:id="2067" w:name="DESCRIPTORALFABETICO492"/>
      <w:r w:rsidRPr="00BA1B56">
        <w:rPr>
          <w:rStyle w:val="TextoNormalNegritaCaracter"/>
        </w:rPr>
        <w:t>Principio de proporcionalidad</w:t>
      </w:r>
      <w:bookmarkEnd w:id="2067"/>
      <w:r w:rsidRPr="00BA1B56">
        <w:rPr>
          <w:rStyle w:val="TextoNormalCaracter"/>
        </w:rPr>
        <w:t xml:space="preserve">, Sentencias </w:t>
      </w:r>
      <w:hyperlink w:anchor="SENTENCIA_2012_96" w:history="1">
        <w:r w:rsidRPr="00BA1B56">
          <w:rPr>
            <w:rStyle w:val="TextoNormalCaracter"/>
          </w:rPr>
          <w:t>96/2012</w:t>
        </w:r>
      </w:hyperlink>
      <w:r w:rsidRPr="00BA1B56">
        <w:rPr>
          <w:rStyle w:val="TextoNormalCaracter"/>
        </w:rPr>
        <w:t xml:space="preserve">, ff. 8 a 11; </w:t>
      </w:r>
      <w:hyperlink w:anchor="SENTENCIA_2012_105" w:history="1">
        <w:r w:rsidRPr="00BA1B56">
          <w:rPr>
            <w:rStyle w:val="TextoNormalCaracter"/>
          </w:rPr>
          <w:t>105/2012</w:t>
        </w:r>
      </w:hyperlink>
      <w:r w:rsidRPr="00BA1B56">
        <w:rPr>
          <w:rStyle w:val="TextoNormalCaracter"/>
        </w:rPr>
        <w:t xml:space="preserve">, f. 16; </w:t>
      </w:r>
      <w:hyperlink w:anchor="SENTENCIA_2012_121" w:history="1">
        <w:r w:rsidRPr="00BA1B56">
          <w:rPr>
            <w:rStyle w:val="TextoNormalCaracter"/>
          </w:rPr>
          <w:t>121/2012</w:t>
        </w:r>
      </w:hyperlink>
      <w:r w:rsidRPr="00BA1B56">
        <w:rPr>
          <w:rStyle w:val="TextoNormalCaracter"/>
        </w:rPr>
        <w:t>, ff. 6 a 8.</w:t>
      </w:r>
    </w:p>
    <w:p w:rsidR="00BA1B56" w:rsidRPr="00BA1B56" w:rsidRDefault="00BA1B56" w:rsidP="00BA1B56">
      <w:pPr>
        <w:pStyle w:val="TextoNormalSangraFrancesa"/>
        <w:rPr>
          <w:rStyle w:val="TextoNormalCaracter"/>
        </w:rPr>
      </w:pPr>
      <w:bookmarkStart w:id="2068" w:name="DESCRIPTORALFABETICO493"/>
      <w:r w:rsidRPr="00BA1B56">
        <w:rPr>
          <w:rStyle w:val="TextoNormalNegritaCaracter"/>
        </w:rPr>
        <w:t>Principio de seguridad jurídica</w:t>
      </w:r>
      <w:bookmarkEnd w:id="2068"/>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 10; </w:t>
      </w:r>
      <w:hyperlink w:anchor="SENTENCIA_2012_37" w:history="1">
        <w:r w:rsidRPr="00BA1B56">
          <w:rPr>
            <w:rStyle w:val="TextoNormalCaracter"/>
          </w:rPr>
          <w:t>37/2012</w:t>
        </w:r>
      </w:hyperlink>
      <w:r w:rsidRPr="00BA1B56">
        <w:rPr>
          <w:rStyle w:val="TextoNormalCaracter"/>
        </w:rPr>
        <w:t xml:space="preserve">, f. 8, VP I; </w:t>
      </w:r>
      <w:hyperlink w:anchor="SENTENCIA_2012_40" w:history="1">
        <w:r w:rsidRPr="00BA1B56">
          <w:rPr>
            <w:rStyle w:val="TextoNormalCaracter"/>
          </w:rPr>
          <w:t>40/2012</w:t>
        </w:r>
      </w:hyperlink>
      <w:r w:rsidRPr="00BA1B56">
        <w:rPr>
          <w:rStyle w:val="TextoNormalCaracter"/>
        </w:rPr>
        <w:t xml:space="preserve">, ff. 3, 8, 10, VP I, VP II; </w:t>
      </w:r>
      <w:hyperlink w:anchor="SENTENCIA_2012_41" w:history="1">
        <w:r w:rsidRPr="00BA1B56">
          <w:rPr>
            <w:rStyle w:val="TextoNormalCaracter"/>
          </w:rPr>
          <w:t>41/2012</w:t>
        </w:r>
      </w:hyperlink>
      <w:r w:rsidRPr="00BA1B56">
        <w:rPr>
          <w:rStyle w:val="TextoNormalCaracter"/>
        </w:rPr>
        <w:t xml:space="preserve">, ff. 4, 9, VP I, VP II, VP IV; </w:t>
      </w:r>
      <w:hyperlink w:anchor="SENTENCIA_2012_42" w:history="1">
        <w:r w:rsidRPr="00BA1B56">
          <w:rPr>
            <w:rStyle w:val="TextoNormalCaracter"/>
          </w:rPr>
          <w:t>42/2012</w:t>
        </w:r>
      </w:hyperlink>
      <w:r w:rsidRPr="00BA1B56">
        <w:rPr>
          <w:rStyle w:val="TextoNormalCaracter"/>
        </w:rPr>
        <w:t xml:space="preserve">, ff. 3, 8, 9; </w:t>
      </w:r>
      <w:hyperlink w:anchor="SENTENCIA_2012_43" w:history="1">
        <w:r w:rsidRPr="00BA1B56">
          <w:rPr>
            <w:rStyle w:val="TextoNormalCaracter"/>
          </w:rPr>
          <w:t>43/2012</w:t>
        </w:r>
      </w:hyperlink>
      <w:r w:rsidRPr="00BA1B56">
        <w:rPr>
          <w:rStyle w:val="TextoNormalCaracter"/>
        </w:rPr>
        <w:t xml:space="preserve">, ff. 6 a 8; </w:t>
      </w:r>
      <w:hyperlink w:anchor="SENTENCIA_2012_44" w:history="1">
        <w:r w:rsidRPr="00BA1B56">
          <w:rPr>
            <w:rStyle w:val="TextoNormalCaracter"/>
          </w:rPr>
          <w:t>44/2012</w:t>
        </w:r>
      </w:hyperlink>
      <w:r w:rsidRPr="00BA1B56">
        <w:rPr>
          <w:rStyle w:val="TextoNormalCaracter"/>
        </w:rPr>
        <w:t xml:space="preserve">, ff. 4 a 6; </w:t>
      </w:r>
      <w:hyperlink w:anchor="SENTENCIA_2012_45" w:history="1">
        <w:r w:rsidRPr="00BA1B56">
          <w:rPr>
            <w:rStyle w:val="TextoNormalCaracter"/>
          </w:rPr>
          <w:t>45/2012</w:t>
        </w:r>
      </w:hyperlink>
      <w:r w:rsidRPr="00BA1B56">
        <w:rPr>
          <w:rStyle w:val="TextoNormalCaracter"/>
        </w:rPr>
        <w:t xml:space="preserve">, ff. 4 a 6; </w:t>
      </w:r>
      <w:hyperlink w:anchor="SENTENCIA_2012_46" w:history="1">
        <w:r w:rsidRPr="00BA1B56">
          <w:rPr>
            <w:rStyle w:val="TextoNormalCaracter"/>
          </w:rPr>
          <w:t>46/2012</w:t>
        </w:r>
      </w:hyperlink>
      <w:r w:rsidRPr="00BA1B56">
        <w:rPr>
          <w:rStyle w:val="TextoNormalCaracter"/>
        </w:rPr>
        <w:t xml:space="preserve">, ff. 6 a 8; </w:t>
      </w:r>
      <w:hyperlink w:anchor="SENTENCIA_2012_47" w:history="1">
        <w:r w:rsidRPr="00BA1B56">
          <w:rPr>
            <w:rStyle w:val="TextoNormalCaracter"/>
          </w:rPr>
          <w:t>47/2012</w:t>
        </w:r>
      </w:hyperlink>
      <w:r w:rsidRPr="00BA1B56">
        <w:rPr>
          <w:rStyle w:val="TextoNormalCaracter"/>
        </w:rPr>
        <w:t xml:space="preserve">, VP II; </w:t>
      </w:r>
      <w:hyperlink w:anchor="SENTENCIA_2012_48" w:history="1">
        <w:r w:rsidRPr="00BA1B56">
          <w:rPr>
            <w:rStyle w:val="TextoNormalCaracter"/>
          </w:rPr>
          <w:t>48/2012</w:t>
        </w:r>
      </w:hyperlink>
      <w:r w:rsidRPr="00BA1B56">
        <w:rPr>
          <w:rStyle w:val="TextoNormalCaracter"/>
        </w:rPr>
        <w:t xml:space="preserve">, </w:t>
      </w:r>
      <w:r w:rsidRPr="00BA1B56">
        <w:rPr>
          <w:rStyle w:val="TextoNormalCaracter"/>
        </w:rPr>
        <w:lastRenderedPageBreak/>
        <w:t xml:space="preserve">f. 6; </w:t>
      </w:r>
      <w:hyperlink w:anchor="SENTENCIA_2012_49" w:history="1">
        <w:r w:rsidRPr="00BA1B56">
          <w:rPr>
            <w:rStyle w:val="TextoNormalCaracter"/>
          </w:rPr>
          <w:t>49/2012</w:t>
        </w:r>
      </w:hyperlink>
      <w:r w:rsidRPr="00BA1B56">
        <w:rPr>
          <w:rStyle w:val="TextoNormalCaracter"/>
        </w:rPr>
        <w:t xml:space="preserve">, f. 6; </w:t>
      </w:r>
      <w:hyperlink w:anchor="SENTENCIA_2012_51" w:history="1">
        <w:r w:rsidRPr="00BA1B56">
          <w:rPr>
            <w:rStyle w:val="TextoNormalCaracter"/>
          </w:rPr>
          <w:t>51/2012</w:t>
        </w:r>
      </w:hyperlink>
      <w:r w:rsidRPr="00BA1B56">
        <w:rPr>
          <w:rStyle w:val="TextoNormalCaracter"/>
        </w:rPr>
        <w:t xml:space="preserve">, ff. 5 a 7; </w:t>
      </w:r>
      <w:hyperlink w:anchor="SENTENCIA_2012_52" w:history="1">
        <w:r w:rsidRPr="00BA1B56">
          <w:rPr>
            <w:rStyle w:val="TextoNormalCaracter"/>
          </w:rPr>
          <w:t>52/2012</w:t>
        </w:r>
      </w:hyperlink>
      <w:r w:rsidRPr="00BA1B56">
        <w:rPr>
          <w:rStyle w:val="TextoNormalCaracter"/>
        </w:rPr>
        <w:t xml:space="preserve">, ff. 4 a 6; </w:t>
      </w:r>
      <w:hyperlink w:anchor="SENTENCIA_2012_53" w:history="1">
        <w:r w:rsidRPr="00BA1B56">
          <w:rPr>
            <w:rStyle w:val="TextoNormalCaracter"/>
          </w:rPr>
          <w:t>53/2012</w:t>
        </w:r>
      </w:hyperlink>
      <w:r w:rsidRPr="00BA1B56">
        <w:rPr>
          <w:rStyle w:val="TextoNormalCaracter"/>
        </w:rPr>
        <w:t xml:space="preserve">, ff. 5, 6, 7; </w:t>
      </w:r>
      <w:hyperlink w:anchor="SENTENCIA_2012_54" w:history="1">
        <w:r w:rsidRPr="00BA1B56">
          <w:rPr>
            <w:rStyle w:val="TextoNormalCaracter"/>
          </w:rPr>
          <w:t>54/2012</w:t>
        </w:r>
      </w:hyperlink>
      <w:r w:rsidRPr="00BA1B56">
        <w:rPr>
          <w:rStyle w:val="TextoNormalCaracter"/>
        </w:rPr>
        <w:t xml:space="preserve">, ff. 6 a 8; </w:t>
      </w:r>
      <w:hyperlink w:anchor="SENTENCIA_2012_55" w:history="1">
        <w:r w:rsidRPr="00BA1B56">
          <w:rPr>
            <w:rStyle w:val="TextoNormalCaracter"/>
          </w:rPr>
          <w:t>55/2012</w:t>
        </w:r>
      </w:hyperlink>
      <w:r w:rsidRPr="00BA1B56">
        <w:rPr>
          <w:rStyle w:val="TextoNormalCaracter"/>
        </w:rPr>
        <w:t xml:space="preserve">, f. 7; </w:t>
      </w:r>
      <w:hyperlink w:anchor="SENTENCIA_2012_56" w:history="1">
        <w:r w:rsidRPr="00BA1B56">
          <w:rPr>
            <w:rStyle w:val="TextoNormalCaracter"/>
          </w:rPr>
          <w:t>56/2012</w:t>
        </w:r>
      </w:hyperlink>
      <w:r w:rsidRPr="00BA1B56">
        <w:rPr>
          <w:rStyle w:val="TextoNormalCaracter"/>
        </w:rPr>
        <w:t xml:space="preserve">, ff. 3 a 5; </w:t>
      </w:r>
      <w:hyperlink w:anchor="SENTENCIA_2012_59" w:history="1">
        <w:r w:rsidRPr="00BA1B56">
          <w:rPr>
            <w:rStyle w:val="TextoNormalCaracter"/>
          </w:rPr>
          <w:t>59/2012</w:t>
        </w:r>
      </w:hyperlink>
      <w:r w:rsidRPr="00BA1B56">
        <w:rPr>
          <w:rStyle w:val="TextoNormalCaracter"/>
        </w:rPr>
        <w:t xml:space="preserve">, ff. 3 a 5; </w:t>
      </w:r>
      <w:hyperlink w:anchor="SENTENCIA_2012_64" w:history="1">
        <w:r w:rsidRPr="00BA1B56">
          <w:rPr>
            <w:rStyle w:val="TextoNormalCaracter"/>
          </w:rPr>
          <w:t>64/2012</w:t>
        </w:r>
      </w:hyperlink>
      <w:r w:rsidRPr="00BA1B56">
        <w:rPr>
          <w:rStyle w:val="TextoNormalCaracter"/>
        </w:rPr>
        <w:t xml:space="preserve">, f. 5; </w:t>
      </w:r>
      <w:hyperlink w:anchor="SENTENCIA_2012_65" w:history="1">
        <w:r w:rsidRPr="00BA1B56">
          <w:rPr>
            <w:rStyle w:val="TextoNormalCaracter"/>
          </w:rPr>
          <w:t>65/2012</w:t>
        </w:r>
      </w:hyperlink>
      <w:r w:rsidRPr="00BA1B56">
        <w:rPr>
          <w:rStyle w:val="TextoNormalCaracter"/>
        </w:rPr>
        <w:t xml:space="preserve">, f. 6; </w:t>
      </w:r>
      <w:hyperlink w:anchor="SENTENCIA_2012_66" w:history="1">
        <w:r w:rsidRPr="00BA1B56">
          <w:rPr>
            <w:rStyle w:val="TextoNormalCaracter"/>
          </w:rPr>
          <w:t>66/2012</w:t>
        </w:r>
      </w:hyperlink>
      <w:r w:rsidRPr="00BA1B56">
        <w:rPr>
          <w:rStyle w:val="TextoNormalCaracter"/>
        </w:rPr>
        <w:t xml:space="preserve">, f. 4; </w:t>
      </w:r>
      <w:hyperlink w:anchor="SENTENCIA_2012_67" w:history="1">
        <w:r w:rsidRPr="00BA1B56">
          <w:rPr>
            <w:rStyle w:val="TextoNormalCaracter"/>
          </w:rPr>
          <w:t>67/2012</w:t>
        </w:r>
      </w:hyperlink>
      <w:r w:rsidRPr="00BA1B56">
        <w:rPr>
          <w:rStyle w:val="TextoNormalCaracter"/>
        </w:rPr>
        <w:t xml:space="preserve">, f. 5; </w:t>
      </w:r>
      <w:hyperlink w:anchor="SENTENCIA_2012_68" w:history="1">
        <w:r w:rsidRPr="00BA1B56">
          <w:rPr>
            <w:rStyle w:val="TextoNormalCaracter"/>
          </w:rPr>
          <w:t>68/2012</w:t>
        </w:r>
      </w:hyperlink>
      <w:r w:rsidRPr="00BA1B56">
        <w:rPr>
          <w:rStyle w:val="TextoNormalCaracter"/>
        </w:rPr>
        <w:t xml:space="preserve">, ff. 4 a 6; </w:t>
      </w:r>
      <w:hyperlink w:anchor="SENTENCIA_2012_69" w:history="1">
        <w:r w:rsidRPr="00BA1B56">
          <w:rPr>
            <w:rStyle w:val="TextoNormalCaracter"/>
          </w:rPr>
          <w:t>69/2012</w:t>
        </w:r>
      </w:hyperlink>
      <w:r w:rsidRPr="00BA1B56">
        <w:rPr>
          <w:rStyle w:val="TextoNormalCaracter"/>
        </w:rPr>
        <w:t xml:space="preserve">, f. 6; </w:t>
      </w:r>
      <w:hyperlink w:anchor="SENTENCIA_2012_75" w:history="1">
        <w:r w:rsidRPr="00BA1B56">
          <w:rPr>
            <w:rStyle w:val="TextoNormalCaracter"/>
          </w:rPr>
          <w:t>75/2012</w:t>
        </w:r>
      </w:hyperlink>
      <w:r w:rsidRPr="00BA1B56">
        <w:rPr>
          <w:rStyle w:val="TextoNormalCaracter"/>
        </w:rPr>
        <w:t xml:space="preserve">, ff. 3, 4; </w:t>
      </w:r>
      <w:hyperlink w:anchor="SENTENCIA_2012_91" w:history="1">
        <w:r w:rsidRPr="00BA1B56">
          <w:rPr>
            <w:rStyle w:val="TextoNormalCaracter"/>
          </w:rPr>
          <w:t>91/2012</w:t>
        </w:r>
      </w:hyperlink>
      <w:r w:rsidRPr="00BA1B56">
        <w:rPr>
          <w:rStyle w:val="TextoNormalCaracter"/>
        </w:rPr>
        <w:t xml:space="preserve">, ff. 3, 4; </w:t>
      </w:r>
      <w:hyperlink w:anchor="SENTENCIA_2012_93" w:history="1">
        <w:r w:rsidRPr="00BA1B56">
          <w:rPr>
            <w:rStyle w:val="TextoNormalCaracter"/>
          </w:rPr>
          <w:t>93/2012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xml:space="preserve">, ff. 3, 4; </w:t>
      </w:r>
      <w:hyperlink w:anchor="SENTENCIA_2012_100" w:history="1">
        <w:r w:rsidRPr="00BA1B56">
          <w:rPr>
            <w:rStyle w:val="TextoNormalCaracter"/>
          </w:rPr>
          <w:t>100/2012</w:t>
        </w:r>
      </w:hyperlink>
      <w:r w:rsidRPr="00BA1B56">
        <w:rPr>
          <w:rStyle w:val="TextoNormalCaracter"/>
        </w:rPr>
        <w:t xml:space="preserve">, f. 10; </w:t>
      </w:r>
      <w:hyperlink w:anchor="SENTENCIA_2012_101" w:history="1">
        <w:r w:rsidRPr="00BA1B56">
          <w:rPr>
            <w:rStyle w:val="TextoNormalCaracter"/>
          </w:rPr>
          <w:t>101/2012</w:t>
        </w:r>
      </w:hyperlink>
      <w:r w:rsidRPr="00BA1B56">
        <w:rPr>
          <w:rStyle w:val="TextoNormalCaracter"/>
        </w:rPr>
        <w:t xml:space="preserve">, ff. 3, 6; </w:t>
      </w:r>
      <w:hyperlink w:anchor="SENTENCIA_2012_102" w:history="1">
        <w:r w:rsidRPr="00BA1B56">
          <w:rPr>
            <w:rStyle w:val="TextoNormalCaracter"/>
          </w:rPr>
          <w:t>102/2012</w:t>
        </w:r>
      </w:hyperlink>
      <w:r w:rsidRPr="00BA1B56">
        <w:rPr>
          <w:rStyle w:val="TextoNormalCaracter"/>
        </w:rPr>
        <w:t xml:space="preserve">, f. 2; </w:t>
      </w:r>
      <w:hyperlink w:anchor="SENTENCIA_2012_113" w:history="1">
        <w:r w:rsidRPr="00BA1B56">
          <w:rPr>
            <w:rStyle w:val="TextoNormalCaracter"/>
          </w:rPr>
          <w:t>113/2012</w:t>
        </w:r>
      </w:hyperlink>
      <w:r w:rsidRPr="00BA1B56">
        <w:rPr>
          <w:rStyle w:val="TextoNormalCaracter"/>
        </w:rPr>
        <w:t xml:space="preserve">, f. 9; </w:t>
      </w:r>
      <w:hyperlink w:anchor="SENTENCIA_2012_114" w:history="1">
        <w:r w:rsidRPr="00BA1B56">
          <w:rPr>
            <w:rStyle w:val="TextoNormalCaracter"/>
          </w:rPr>
          <w:t>114/2012</w:t>
        </w:r>
      </w:hyperlink>
      <w:r w:rsidRPr="00BA1B56">
        <w:rPr>
          <w:rStyle w:val="TextoNormalCaracter"/>
        </w:rPr>
        <w:t xml:space="preserve">, f. 5; </w:t>
      </w:r>
      <w:hyperlink w:anchor="SENTENCIA_2012_120" w:history="1">
        <w:r w:rsidRPr="00BA1B56">
          <w:rPr>
            <w:rStyle w:val="TextoNormalCaracter"/>
          </w:rPr>
          <w:t>120/2012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ursivaCaracter"/>
        </w:rPr>
        <w:t xml:space="preserve">    Alcance, </w:t>
      </w:r>
      <w:r w:rsidRPr="00BA1B56">
        <w:rPr>
          <w:rStyle w:val="TextoNormalCaracter"/>
        </w:rPr>
        <w:t xml:space="preserve">Sentencia </w:t>
      </w:r>
      <w:hyperlink w:anchor="SENTENCIA_2012_37" w:history="1">
        <w:r w:rsidRPr="00BA1B56">
          <w:rPr>
            <w:rStyle w:val="TextoNormalCaracter"/>
          </w:rPr>
          <w:t>37/2012</w:t>
        </w:r>
      </w:hyperlink>
      <w:r w:rsidRPr="00BA1B56">
        <w:rPr>
          <w:rStyle w:val="TextoNormalCaracter"/>
        </w:rPr>
        <w:t>, VP II.</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37" w:history="1">
        <w:r w:rsidRPr="00BA1B56">
          <w:rPr>
            <w:rStyle w:val="TextoNormalCaracter"/>
          </w:rPr>
          <w:t>37/2012</w:t>
        </w:r>
      </w:hyperlink>
      <w:r w:rsidRPr="00BA1B56">
        <w:rPr>
          <w:rStyle w:val="TextoNormalCaracter"/>
        </w:rPr>
        <w:t>, VP II.</w:t>
      </w:r>
    </w:p>
    <w:p w:rsidR="00BA1B56" w:rsidRPr="00BA1B56" w:rsidRDefault="00BA1B56" w:rsidP="00BA1B56">
      <w:pPr>
        <w:pStyle w:val="TextoNormalSangraFrancesa"/>
        <w:rPr>
          <w:rStyle w:val="TextoNormalCaracter"/>
        </w:rPr>
      </w:pPr>
      <w:bookmarkStart w:id="2069" w:name="DESCRIPTORALFABETICO494"/>
      <w:r w:rsidRPr="00BA1B56">
        <w:rPr>
          <w:rStyle w:val="TextoNormalNegritaCaracter"/>
        </w:rPr>
        <w:t>Principio de solidaridad</w:t>
      </w:r>
      <w:bookmarkEnd w:id="2069"/>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2070" w:name="DESCRIPTORALFABETICO79"/>
      <w:r w:rsidRPr="00BA1B56">
        <w:rPr>
          <w:rStyle w:val="TextoNormalNegritaCaracter"/>
        </w:rPr>
        <w:t>Principio de suficiencia financiera</w:t>
      </w:r>
      <w:bookmarkEnd w:id="2070"/>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 7; </w:t>
      </w:r>
      <w:hyperlink w:anchor="SENTENCIA_2012_123" w:history="1">
        <w:r w:rsidRPr="00BA1B56">
          <w:rPr>
            <w:rStyle w:val="TextoNormalCaracter"/>
          </w:rPr>
          <w:t>123/2012</w:t>
        </w:r>
      </w:hyperlink>
      <w:r w:rsidRPr="00BA1B56">
        <w:rPr>
          <w:rStyle w:val="TextoNormalCaracter"/>
        </w:rPr>
        <w:t xml:space="preserve">, f. 7; </w:t>
      </w:r>
      <w:hyperlink w:anchor="SENTENCIA_2012_133" w:history="1">
        <w:r w:rsidRPr="00BA1B56">
          <w:rPr>
            <w:rStyle w:val="TextoNormalCaracter"/>
          </w:rPr>
          <w:t>133/2012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71" w:name="DESCRIPTORALFABETICO482"/>
      <w:r w:rsidRPr="00BA1B56">
        <w:rPr>
          <w:rStyle w:val="TextoNormalNegritaCaracter"/>
        </w:rPr>
        <w:t>Principio de taxatividad</w:t>
      </w:r>
      <w:bookmarkEnd w:id="2071"/>
      <w:r w:rsidRPr="00BA1B56">
        <w:rPr>
          <w:rStyle w:val="TextoNormalCaracter"/>
        </w:rPr>
        <w:t xml:space="preserve">, Sentencias </w:t>
      </w:r>
      <w:hyperlink w:anchor="SENTENCIA_2012_101" w:history="1">
        <w:r w:rsidRPr="00BA1B56">
          <w:rPr>
            <w:rStyle w:val="TextoNormalCaracter"/>
          </w:rPr>
          <w:t>101/2012</w:t>
        </w:r>
      </w:hyperlink>
      <w:r w:rsidRPr="00BA1B56">
        <w:rPr>
          <w:rStyle w:val="TextoNormalCaracter"/>
        </w:rPr>
        <w:t xml:space="preserve">, ff. 3, 5, 6; </w:t>
      </w:r>
      <w:hyperlink w:anchor="SENTENCIA_2012_109" w:history="1">
        <w:r w:rsidRPr="00BA1B56">
          <w:rPr>
            <w:rStyle w:val="TextoNormalCaracter"/>
          </w:rPr>
          <w:t>109/2012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72" w:name="DESCRIPTORALFABETICO483"/>
      <w:r w:rsidRPr="00BA1B56">
        <w:rPr>
          <w:rStyle w:val="TextoNormalNegritaCaracter"/>
        </w:rPr>
        <w:t>Principio de taxatividad en el ámbito sancionador</w:t>
      </w:r>
      <w:bookmarkEnd w:id="2072"/>
      <w:r w:rsidRPr="00BA1B56">
        <w:rPr>
          <w:rStyle w:val="TextoNormalCaracter"/>
        </w:rPr>
        <w:t xml:space="preserve">, Sentencias </w:t>
      </w:r>
      <w:hyperlink w:anchor="SENTENCIA_2012_90" w:history="1">
        <w:r w:rsidRPr="00BA1B56">
          <w:rPr>
            <w:rStyle w:val="TextoNormalCaracter"/>
          </w:rPr>
          <w:t>90/2012</w:t>
        </w:r>
      </w:hyperlink>
      <w:r w:rsidRPr="00BA1B56">
        <w:rPr>
          <w:rStyle w:val="TextoNormalCaracter"/>
        </w:rPr>
        <w:t xml:space="preserve">, ff. 4, 5; </w:t>
      </w:r>
      <w:hyperlink w:anchor="SENTENCIA_2012_127" w:history="1">
        <w:r w:rsidRPr="00BA1B56">
          <w:rPr>
            <w:rStyle w:val="TextoNormalCaracter"/>
          </w:rPr>
          <w:t>127/2012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73" w:name="DESCRIPTORALFABETICO484"/>
      <w:r w:rsidRPr="00BA1B56">
        <w:rPr>
          <w:rStyle w:val="TextoNormalNegritaCaracter"/>
        </w:rPr>
        <w:t>Principio de tipicidad</w:t>
      </w:r>
      <w:bookmarkEnd w:id="2073"/>
      <w:r w:rsidRPr="00BA1B56">
        <w:rPr>
          <w:rStyle w:val="TextoNormalCaracter"/>
        </w:rPr>
        <w:t xml:space="preserve">, Sentencias </w:t>
      </w:r>
      <w:hyperlink w:anchor="SENTENCIA_2012_90" w:history="1">
        <w:r w:rsidRPr="00BA1B56">
          <w:rPr>
            <w:rStyle w:val="TextoNormalCaracter"/>
          </w:rPr>
          <w:t>90/2012</w:t>
        </w:r>
      </w:hyperlink>
      <w:r w:rsidRPr="00BA1B56">
        <w:rPr>
          <w:rStyle w:val="TextoNormalCaracter"/>
        </w:rPr>
        <w:t xml:space="preserve">, f. 5; </w:t>
      </w:r>
      <w:hyperlink w:anchor="SENTENCIA_2012_109" w:history="1">
        <w:r w:rsidRPr="00BA1B56">
          <w:rPr>
            <w:rStyle w:val="TextoNormalCaracter"/>
          </w:rPr>
          <w:t>109/2012</w:t>
        </w:r>
      </w:hyperlink>
      <w:r w:rsidRPr="00BA1B56">
        <w:rPr>
          <w:rStyle w:val="TextoNormalCaracter"/>
        </w:rPr>
        <w:t xml:space="preserve">, f. 3; </w:t>
      </w:r>
      <w:hyperlink w:anchor="SENTENCIA_2012_127" w:history="1">
        <w:r w:rsidRPr="00BA1B56">
          <w:rPr>
            <w:rStyle w:val="TextoNormalCaracter"/>
          </w:rPr>
          <w:t>127/2012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74" w:name="DESCRIPTORALFABETICO498"/>
      <w:r w:rsidRPr="00BA1B56">
        <w:rPr>
          <w:rStyle w:val="TextoNormalNegritaCaracter"/>
        </w:rPr>
        <w:t>Principio democrático</w:t>
      </w:r>
      <w:bookmarkEnd w:id="2074"/>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7 a 9.</w:t>
      </w:r>
    </w:p>
    <w:p w:rsidR="00BA1B56" w:rsidRPr="00BA1B56" w:rsidRDefault="00BA1B56" w:rsidP="00BA1B56">
      <w:pPr>
        <w:pStyle w:val="TextoNormalSangraFrancesa"/>
        <w:rPr>
          <w:rStyle w:val="TextoNormalNegritaCaracter"/>
        </w:rPr>
      </w:pPr>
      <w:r w:rsidRPr="00BA1B56">
        <w:rPr>
          <w:rStyle w:val="TextoNormalCursivaCaracter"/>
        </w:rPr>
        <w:t>Principio favor actionis</w:t>
      </w:r>
      <w:r>
        <w:t xml:space="preserve"> véase </w:t>
      </w:r>
      <w:hyperlink w:anchor="DESCRIPTORALFABETICO932" w:history="1">
        <w:r w:rsidRPr="00BA1B56">
          <w:rPr>
            <w:rStyle w:val="TextoNormalNegritaCaracter"/>
          </w:rPr>
          <w:t xml:space="preserve">Principio </w:t>
        </w:r>
        <w:r w:rsidRPr="00BA1B56">
          <w:rPr>
            <w:rStyle w:val="TextoNormalNegritaCaracter"/>
            <w:i/>
          </w:rPr>
          <w:t>pro actione</w:t>
        </w:r>
      </w:hyperlink>
    </w:p>
    <w:p w:rsidR="00BA1B56" w:rsidRPr="00BA1B56" w:rsidRDefault="00BA1B56" w:rsidP="00BA1B56">
      <w:pPr>
        <w:pStyle w:val="TextoNormalSangraFrancesa"/>
        <w:rPr>
          <w:rStyle w:val="TextoNormalCaracter"/>
        </w:rPr>
      </w:pPr>
      <w:bookmarkStart w:id="2075" w:name="DESCRIPTORALFABETICO487"/>
      <w:r w:rsidRPr="00BA1B56">
        <w:rPr>
          <w:rStyle w:val="TextoNormalNegritaCaracter"/>
        </w:rPr>
        <w:t xml:space="preserve">Principio </w:t>
      </w:r>
      <w:r w:rsidRPr="00BA1B56">
        <w:rPr>
          <w:rStyle w:val="TextoNormalNegritaCaracter"/>
          <w:i/>
        </w:rPr>
        <w:t>non bis in idem</w:t>
      </w:r>
      <w:bookmarkEnd w:id="2075"/>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76" w:name="DESCRIPTORALFABETICO932"/>
      <w:r w:rsidRPr="00BA1B56">
        <w:rPr>
          <w:rStyle w:val="TextoNormalNegritaCaracter"/>
        </w:rPr>
        <w:t xml:space="preserve">Principio </w:t>
      </w:r>
      <w:r w:rsidRPr="00BA1B56">
        <w:rPr>
          <w:rStyle w:val="TextoNormalNegritaCaracter"/>
          <w:i/>
        </w:rPr>
        <w:t>pro actione</w:t>
      </w:r>
      <w:bookmarkEnd w:id="2076"/>
      <w:r w:rsidRPr="00BA1B56">
        <w:rPr>
          <w:rStyle w:val="TextoNormalCaracter"/>
        </w:rPr>
        <w:t xml:space="preserve">, Sentencias </w:t>
      </w:r>
      <w:hyperlink w:anchor="SENTENCIA_2012_10" w:history="1">
        <w:r w:rsidRPr="00BA1B56">
          <w:rPr>
            <w:rStyle w:val="TextoNormalCaracter"/>
          </w:rPr>
          <w:t>10/2012</w:t>
        </w:r>
      </w:hyperlink>
      <w:r w:rsidRPr="00BA1B56">
        <w:rPr>
          <w:rStyle w:val="TextoNormalCaracter"/>
        </w:rPr>
        <w:t xml:space="preserve">, ff. 3, 4; </w:t>
      </w:r>
      <w:hyperlink w:anchor="SENTENCIA_2012_20" w:history="1">
        <w:r w:rsidRPr="00BA1B56">
          <w:rPr>
            <w:rStyle w:val="TextoNormalCaracter"/>
          </w:rPr>
          <w:t>20/2012</w:t>
        </w:r>
      </w:hyperlink>
      <w:r w:rsidRPr="00BA1B56">
        <w:rPr>
          <w:rStyle w:val="TextoNormalCaracter"/>
        </w:rPr>
        <w:t xml:space="preserve">, ff. 5 a 8, 10, 11; </w:t>
      </w:r>
      <w:hyperlink w:anchor="SENTENCIA_2012_76" w:history="1">
        <w:r w:rsidRPr="00BA1B56">
          <w:rPr>
            <w:rStyle w:val="TextoNormalCaracter"/>
          </w:rPr>
          <w:t>76/2012</w:t>
        </w:r>
      </w:hyperlink>
      <w:r w:rsidRPr="00BA1B56">
        <w:rPr>
          <w:rStyle w:val="TextoNormalCaracter"/>
        </w:rPr>
        <w:t xml:space="preserve">, ff. 3, 5; </w:t>
      </w:r>
      <w:hyperlink w:anchor="SENTENCIA_2012_79" w:history="1">
        <w:r w:rsidRPr="00BA1B56">
          <w:rPr>
            <w:rStyle w:val="TextoNormalCaracter"/>
          </w:rPr>
          <w:t>79/2012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77" w:name="DESCRIPTORALFABETICO432"/>
      <w:r w:rsidRPr="00BA1B56">
        <w:rPr>
          <w:rStyle w:val="TextoNormalNegritaCaracter"/>
        </w:rPr>
        <w:t>Principios de mérito y capacidad</w:t>
      </w:r>
      <w:bookmarkEnd w:id="2077"/>
      <w:r w:rsidRPr="00BA1B56">
        <w:rPr>
          <w:rStyle w:val="TextoNormalCaracter"/>
        </w:rPr>
        <w:t xml:space="preserve">, Sentencias </w:t>
      </w:r>
      <w:hyperlink w:anchor="SENTENCIA_2012_27" w:history="1">
        <w:r w:rsidRPr="00BA1B56">
          <w:rPr>
            <w:rStyle w:val="TextoNormalCaracter"/>
          </w:rPr>
          <w:t>27/2012</w:t>
        </w:r>
      </w:hyperlink>
      <w:r w:rsidRPr="00BA1B56">
        <w:rPr>
          <w:rStyle w:val="TextoNormalCaracter"/>
        </w:rPr>
        <w:t xml:space="preserve">, f. 3; </w:t>
      </w:r>
      <w:hyperlink w:anchor="SENTENCIA_2012_29" w:history="1">
        <w:r w:rsidRPr="00BA1B56">
          <w:rPr>
            <w:rStyle w:val="TextoNormalCaracter"/>
          </w:rPr>
          <w:t>29/2012</w:t>
        </w:r>
      </w:hyperlink>
      <w:r w:rsidRPr="00BA1B56">
        <w:rPr>
          <w:rStyle w:val="TextoNormalCaracter"/>
        </w:rPr>
        <w:t>, ff. 4, 6.</w:t>
      </w:r>
    </w:p>
    <w:p w:rsidR="00BA1B56" w:rsidRPr="00BA1B56" w:rsidRDefault="00BA1B56" w:rsidP="00BA1B56">
      <w:pPr>
        <w:pStyle w:val="TextoNormalSangraFrancesa"/>
        <w:rPr>
          <w:rStyle w:val="TextoNormalNegritaCaracter"/>
        </w:rPr>
      </w:pPr>
      <w:r w:rsidRPr="00BA1B56">
        <w:rPr>
          <w:rStyle w:val="TextoNormalCursivaCaracter"/>
        </w:rPr>
        <w:t>Prioridad de la jurisdicción penal</w:t>
      </w:r>
      <w:r>
        <w:t xml:space="preserve"> véase </w:t>
      </w:r>
      <w:hyperlink w:anchor="DESCRIPTORALFABETICO857" w:history="1">
        <w:r w:rsidRPr="00BA1B56">
          <w:rPr>
            <w:rStyle w:val="TextoNormalNegritaCaracter"/>
          </w:rPr>
          <w:t>Preferencia de la jurisdicción penal</w:t>
        </w:r>
      </w:hyperlink>
    </w:p>
    <w:p w:rsidR="00BA1B56" w:rsidRPr="00BA1B56" w:rsidRDefault="00BA1B56" w:rsidP="00BA1B56">
      <w:pPr>
        <w:pStyle w:val="TextoNormalSangraFrancesa"/>
        <w:rPr>
          <w:rStyle w:val="TextoNormalCaracter"/>
        </w:rPr>
      </w:pPr>
      <w:bookmarkStart w:id="2078" w:name="DESCRIPTORALFABETICO760"/>
      <w:r w:rsidRPr="00BA1B56">
        <w:rPr>
          <w:rStyle w:val="TextoNormalNegritaCaracter"/>
        </w:rPr>
        <w:t>Prisión de nueve meses</w:t>
      </w:r>
      <w:bookmarkEnd w:id="2078"/>
      <w:r w:rsidRPr="00BA1B56">
        <w:rPr>
          <w:rStyle w:val="TextoNormalCaracter"/>
        </w:rPr>
        <w:t xml:space="preserve">, Auto </w:t>
      </w:r>
      <w:hyperlink w:anchor="AUTO_2012_76" w:history="1">
        <w:r w:rsidRPr="00BA1B56">
          <w:rPr>
            <w:rStyle w:val="TextoNormalCaracter"/>
          </w:rPr>
          <w:t>76/2012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79" w:name="DESCRIPTORALFABETICO761"/>
      <w:r w:rsidRPr="00BA1B56">
        <w:rPr>
          <w:rStyle w:val="TextoNormalNegritaCaracter"/>
        </w:rPr>
        <w:t>Prisión de dos años</w:t>
      </w:r>
      <w:bookmarkEnd w:id="2079"/>
      <w:r w:rsidRPr="00BA1B56">
        <w:rPr>
          <w:rStyle w:val="TextoNormalCaracter"/>
        </w:rPr>
        <w:t xml:space="preserve">, Auto </w:t>
      </w:r>
      <w:hyperlink w:anchor="AUTO_2012_58" w:history="1">
        <w:r w:rsidRPr="00BA1B56">
          <w:rPr>
            <w:rStyle w:val="TextoNormalCaracter"/>
          </w:rPr>
          <w:t>58/2012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80" w:name="DESCRIPTORALFABETICO762"/>
      <w:r w:rsidRPr="00BA1B56">
        <w:rPr>
          <w:rStyle w:val="TextoNormalNegritaCaracter"/>
        </w:rPr>
        <w:t>Prisión de cinco años</w:t>
      </w:r>
      <w:bookmarkEnd w:id="2080"/>
      <w:r w:rsidRPr="00BA1B56">
        <w:rPr>
          <w:rStyle w:val="TextoNormalCaracter"/>
        </w:rPr>
        <w:t xml:space="preserve">, Auto </w:t>
      </w:r>
      <w:hyperlink w:anchor="AUTO_2012_101" w:history="1">
        <w:r w:rsidRPr="00BA1B56">
          <w:rPr>
            <w:rStyle w:val="TextoNormalCaracter"/>
          </w:rPr>
          <w:t>101/2012</w:t>
        </w:r>
      </w:hyperlink>
      <w:r w:rsidRPr="00BA1B56">
        <w:rPr>
          <w:rStyle w:val="TextoNormalCaracter"/>
        </w:rPr>
        <w:t>, f. 2.</w:t>
      </w:r>
    </w:p>
    <w:p w:rsidR="00BA1B56" w:rsidRPr="00BA1B56" w:rsidRDefault="00BA1B56" w:rsidP="00BA1B56">
      <w:pPr>
        <w:pStyle w:val="TextoNormalSangraFrancesa"/>
        <w:rPr>
          <w:rStyle w:val="TextoNormalCaracter"/>
        </w:rPr>
      </w:pPr>
      <w:bookmarkStart w:id="2081" w:name="DESCRIPTORALFABETICO763"/>
      <w:r w:rsidRPr="00BA1B56">
        <w:rPr>
          <w:rStyle w:val="TextoNormalNegritaCaracter"/>
        </w:rPr>
        <w:t>Prisión de seis años</w:t>
      </w:r>
      <w:bookmarkEnd w:id="2081"/>
      <w:r w:rsidRPr="00BA1B56">
        <w:rPr>
          <w:rStyle w:val="TextoNormalCaracter"/>
        </w:rPr>
        <w:t xml:space="preserve">, Auto </w:t>
      </w:r>
      <w:hyperlink w:anchor="AUTO_2012_44" w:history="1">
        <w:r w:rsidRPr="00BA1B56">
          <w:rPr>
            <w:rStyle w:val="TextoNormalCaracter"/>
          </w:rPr>
          <w:t>44/2012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Prisión preventiva</w:t>
      </w:r>
      <w:r>
        <w:t xml:space="preserve"> véase </w:t>
      </w:r>
      <w:hyperlink w:anchor="DESCRIPTORALFABETICO966" w:history="1">
        <w:r w:rsidRPr="00BA1B56">
          <w:rPr>
            <w:rStyle w:val="TextoNormalNegritaCaracter"/>
          </w:rPr>
          <w:t>Prisión provisional</w:t>
        </w:r>
      </w:hyperlink>
    </w:p>
    <w:p w:rsidR="00BA1B56" w:rsidRPr="00BA1B56" w:rsidRDefault="00BA1B56" w:rsidP="00BA1B56">
      <w:pPr>
        <w:pStyle w:val="TextoNormalSangraFrancesa"/>
        <w:rPr>
          <w:rStyle w:val="TextoNormalCaracter"/>
        </w:rPr>
      </w:pPr>
      <w:bookmarkStart w:id="2082" w:name="DESCRIPTORALFABETICO966"/>
      <w:r w:rsidRPr="00BA1B56">
        <w:rPr>
          <w:rStyle w:val="TextoNormalNegritaCaracter"/>
        </w:rPr>
        <w:t>Prisión provisional</w:t>
      </w:r>
      <w:bookmarkEnd w:id="2082"/>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ff. 1, 2, 3, 4, 5, 6.</w:t>
      </w:r>
    </w:p>
    <w:p w:rsidR="00BA1B56" w:rsidRPr="00BA1B56" w:rsidRDefault="00BA1B56" w:rsidP="00BA1B56">
      <w:pPr>
        <w:pStyle w:val="TextoNormalSangraFrancesa"/>
        <w:rPr>
          <w:rStyle w:val="TextoNormalCaracter"/>
        </w:rPr>
      </w:pPr>
      <w:bookmarkStart w:id="2083" w:name="DESCRIPTORALFABETICO171"/>
      <w:r w:rsidRPr="00BA1B56">
        <w:rPr>
          <w:rStyle w:val="TextoNormalNegritaCaracter"/>
        </w:rPr>
        <w:t>Privación de libertad</w:t>
      </w:r>
      <w:bookmarkEnd w:id="2083"/>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2084" w:name="DESCRIPTORALFABETICO779"/>
      <w:r w:rsidRPr="00BA1B56">
        <w:rPr>
          <w:rStyle w:val="TextoNormalNegritaCaracter"/>
        </w:rPr>
        <w:t>Procedimiento administrativo común</w:t>
      </w:r>
      <w:bookmarkEnd w:id="2084"/>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8, 10; </w:t>
      </w:r>
      <w:hyperlink w:anchor="SENTENCIA_2012_77" w:history="1">
        <w:r w:rsidRPr="00BA1B56">
          <w:rPr>
            <w:rStyle w:val="TextoNormalCaracter"/>
          </w:rPr>
          <w:t>77/2012</w:t>
        </w:r>
      </w:hyperlink>
      <w:r w:rsidRPr="00BA1B56">
        <w:rPr>
          <w:rStyle w:val="TextoNormalCaracter"/>
        </w:rPr>
        <w:t>, f. 7.</w:t>
      </w:r>
    </w:p>
    <w:p w:rsidR="00BA1B56" w:rsidRPr="00BA1B56" w:rsidRDefault="00BA1B56" w:rsidP="00BA1B56">
      <w:pPr>
        <w:pStyle w:val="TextoNormalSangraFrancesa"/>
        <w:rPr>
          <w:rStyle w:val="TextoNormalCaracter"/>
        </w:rPr>
      </w:pPr>
      <w:bookmarkStart w:id="2085" w:name="DESCRIPTORALFABETICO585"/>
      <w:r w:rsidRPr="00BA1B56">
        <w:rPr>
          <w:rStyle w:val="TextoNormalNegritaCaracter"/>
        </w:rPr>
        <w:t>Procedimiento administrativo sancionador</w:t>
      </w:r>
      <w:bookmarkEnd w:id="2085"/>
      <w:r w:rsidRPr="00BA1B56">
        <w:rPr>
          <w:rStyle w:val="TextoNormalCaracter"/>
        </w:rPr>
        <w:t xml:space="preserve">, Sentencias </w:t>
      </w:r>
      <w:hyperlink w:anchor="SENTENCIA_2012_70" w:history="1">
        <w:r w:rsidRPr="00BA1B56">
          <w:rPr>
            <w:rStyle w:val="TextoNormalCaracter"/>
          </w:rPr>
          <w:t>70/2012</w:t>
        </w:r>
      </w:hyperlink>
      <w:r w:rsidRPr="00BA1B56">
        <w:rPr>
          <w:rStyle w:val="TextoNormalCaracter"/>
        </w:rPr>
        <w:t xml:space="preserve">, ff. 1, 2, 3, 4, 5; </w:t>
      </w:r>
      <w:hyperlink w:anchor="SENTENCIA_2012_71" w:history="1">
        <w:r w:rsidRPr="00BA1B56">
          <w:rPr>
            <w:rStyle w:val="TextoNormalCaracter"/>
          </w:rPr>
          <w:t>71/2012</w:t>
        </w:r>
      </w:hyperlink>
      <w:r w:rsidRPr="00BA1B56">
        <w:rPr>
          <w:rStyle w:val="TextoNormalCaracter"/>
        </w:rPr>
        <w:t>, ff. 3 a 6.</w:t>
      </w:r>
    </w:p>
    <w:p w:rsidR="00BA1B56" w:rsidRPr="00BA1B56" w:rsidRDefault="00BA1B56" w:rsidP="00BA1B56">
      <w:pPr>
        <w:pStyle w:val="TextoNormalSangraFrancesa"/>
        <w:rPr>
          <w:rStyle w:val="TextoNormalCaracter"/>
        </w:rPr>
      </w:pPr>
      <w:bookmarkStart w:id="2086" w:name="DESCRIPTORALFABETICO586"/>
      <w:r w:rsidRPr="00BA1B56">
        <w:rPr>
          <w:rStyle w:val="TextoNormalNegritaCaracter"/>
        </w:rPr>
        <w:t>Procedimiento administrativo sancionador paralelo al proceso penal</w:t>
      </w:r>
      <w:bookmarkEnd w:id="2086"/>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 3.</w:t>
      </w:r>
    </w:p>
    <w:p w:rsidR="00BA1B56" w:rsidRPr="00BA1B56" w:rsidRDefault="00BA1B56" w:rsidP="00BA1B56">
      <w:pPr>
        <w:pStyle w:val="TextoNormalSangraFrancesa"/>
        <w:rPr>
          <w:rStyle w:val="TextoNormalCaracter"/>
        </w:rPr>
      </w:pPr>
      <w:bookmarkStart w:id="2087" w:name="DESCRIPTORALFABETICO783"/>
      <w:r w:rsidRPr="00BA1B56">
        <w:rPr>
          <w:rStyle w:val="TextoNormalNegritaCaracter"/>
        </w:rPr>
        <w:t>Procedimiento concursal</w:t>
      </w:r>
      <w:bookmarkEnd w:id="2087"/>
      <w:r w:rsidRPr="00BA1B56">
        <w:rPr>
          <w:rStyle w:val="TextoNormalCaracter"/>
        </w:rPr>
        <w:t xml:space="preserve">, Sentencia </w:t>
      </w:r>
      <w:hyperlink w:anchor="SENTENCIA_2012_15" w:history="1">
        <w:r w:rsidRPr="00BA1B56">
          <w:rPr>
            <w:rStyle w:val="TextoNormalCaracter"/>
          </w:rPr>
          <w:t>15/2012</w:t>
        </w:r>
      </w:hyperlink>
      <w:r w:rsidRPr="00BA1B56">
        <w:rPr>
          <w:rStyle w:val="TextoNormalCaracter"/>
        </w:rPr>
        <w:t>, ff. 1, 3.</w:t>
      </w:r>
    </w:p>
    <w:p w:rsidR="00BA1B56" w:rsidRPr="00BA1B56" w:rsidRDefault="00BA1B56" w:rsidP="00BA1B56">
      <w:pPr>
        <w:pStyle w:val="TextoNormalSangraFrancesa"/>
        <w:rPr>
          <w:rStyle w:val="TextoNormalCaracter"/>
        </w:rPr>
      </w:pPr>
      <w:bookmarkStart w:id="2088" w:name="DESCRIPTORALFABETICO294"/>
      <w:r w:rsidRPr="00BA1B56">
        <w:rPr>
          <w:rStyle w:val="TextoNormalNegritaCaracter"/>
        </w:rPr>
        <w:t>Procedimiento constitucional</w:t>
      </w:r>
      <w:bookmarkEnd w:id="2088"/>
      <w:r w:rsidRPr="00BA1B56">
        <w:rPr>
          <w:rStyle w:val="TextoNormalCaracter"/>
        </w:rPr>
        <w:t xml:space="preserve">, Autos </w:t>
      </w:r>
      <w:hyperlink w:anchor="AUTO_2012_43" w:history="1">
        <w:r w:rsidRPr="00BA1B56">
          <w:rPr>
            <w:rStyle w:val="TextoNormalCaracter"/>
          </w:rPr>
          <w:t>43/2012</w:t>
        </w:r>
      </w:hyperlink>
      <w:r w:rsidRPr="00BA1B56">
        <w:rPr>
          <w:rStyle w:val="TextoNormalCaracter"/>
        </w:rPr>
        <w:t xml:space="preserve">, ff. 2, 3; </w:t>
      </w:r>
      <w:hyperlink w:anchor="AUTO_2012_106" w:history="1">
        <w:r w:rsidRPr="00BA1B56">
          <w:rPr>
            <w:rStyle w:val="TextoNormalCaracter"/>
          </w:rPr>
          <w:t>106/2012</w:t>
        </w:r>
      </w:hyperlink>
      <w:r w:rsidRPr="00BA1B56">
        <w:rPr>
          <w:rStyle w:val="TextoNormalCaracter"/>
        </w:rPr>
        <w:t>, f. 4.</w:t>
      </w:r>
    </w:p>
    <w:p w:rsidR="00BA1B56" w:rsidRPr="00BA1B56" w:rsidRDefault="00BA1B56" w:rsidP="00BA1B56">
      <w:pPr>
        <w:pStyle w:val="TextoNormalSangraFrancesa"/>
        <w:rPr>
          <w:rStyle w:val="TextoNormalCaracter"/>
        </w:rPr>
      </w:pPr>
      <w:bookmarkStart w:id="2089" w:name="DESCRIPTORALFABETICO664"/>
      <w:r w:rsidRPr="00BA1B56">
        <w:rPr>
          <w:rStyle w:val="TextoNormalNegritaCaracter"/>
        </w:rPr>
        <w:t>Procedimiento de evaluación de impacto ambiental</w:t>
      </w:r>
      <w:bookmarkEnd w:id="2089"/>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ff. 12, 14; </w:t>
      </w:r>
      <w:hyperlink w:anchor="SENTENCIA_2012_34" w:history="1">
        <w:r w:rsidRPr="00BA1B56">
          <w:rPr>
            <w:rStyle w:val="TextoNormalCaracter"/>
          </w:rPr>
          <w:t>34/2012</w:t>
        </w:r>
      </w:hyperlink>
      <w:r w:rsidRPr="00BA1B56">
        <w:rPr>
          <w:rStyle w:val="TextoNormalCaracter"/>
        </w:rPr>
        <w:t>, f. 5.</w:t>
      </w:r>
    </w:p>
    <w:p w:rsidR="00BA1B56" w:rsidRPr="00BA1B56" w:rsidRDefault="00BA1B56" w:rsidP="00BA1B56">
      <w:pPr>
        <w:pStyle w:val="TextoNormalSangraFrancesa"/>
        <w:rPr>
          <w:rStyle w:val="TextoNormalCaracter"/>
        </w:rPr>
      </w:pPr>
      <w:bookmarkStart w:id="2090" w:name="DESCRIPTORALFABETICO446"/>
      <w:r w:rsidRPr="00BA1B56">
        <w:rPr>
          <w:rStyle w:val="TextoNormalNegritaCaracter"/>
        </w:rPr>
        <w:t>Procedimiento de lectura única</w:t>
      </w:r>
      <w:bookmarkEnd w:id="2090"/>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3.</w:t>
      </w:r>
    </w:p>
    <w:p w:rsidR="00BA1B56" w:rsidRPr="00BA1B56" w:rsidRDefault="00BA1B56" w:rsidP="00BA1B56">
      <w:pPr>
        <w:pStyle w:val="TextoNormalSangraFrancesa"/>
        <w:rPr>
          <w:rStyle w:val="TextoNormalCaracter"/>
        </w:rPr>
      </w:pPr>
      <w:bookmarkStart w:id="2091" w:name="DESCRIPTORALFABETICO794"/>
      <w:r w:rsidRPr="00BA1B56">
        <w:rPr>
          <w:rStyle w:val="TextoNormalNegritaCaracter"/>
        </w:rPr>
        <w:t>Procedimiento disciplinario penitenciario</w:t>
      </w:r>
      <w:bookmarkEnd w:id="2091"/>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6.</w:t>
      </w:r>
    </w:p>
    <w:p w:rsidR="00BA1B56" w:rsidRPr="00BA1B56" w:rsidRDefault="00BA1B56" w:rsidP="00BA1B56">
      <w:pPr>
        <w:pStyle w:val="TextoNormalSangraFrancesa"/>
        <w:rPr>
          <w:rStyle w:val="TextoNormalCaracter"/>
        </w:rPr>
      </w:pPr>
      <w:bookmarkStart w:id="2092" w:name="DESCRIPTORALFABETICO133"/>
      <w:r w:rsidRPr="00BA1B56">
        <w:rPr>
          <w:rStyle w:val="TextoNormalNegritaCaracter"/>
        </w:rPr>
        <w:t>Procedimiento electoral</w:t>
      </w:r>
      <w:bookmarkEnd w:id="2092"/>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8, 9, 10, 13, 16, VP.</w:t>
      </w:r>
    </w:p>
    <w:p w:rsidR="00BA1B56" w:rsidRPr="00BA1B56" w:rsidRDefault="00BA1B56" w:rsidP="00BA1B56">
      <w:pPr>
        <w:pStyle w:val="TextoNormalSangraFrancesa"/>
        <w:rPr>
          <w:rStyle w:val="TextoNormalCaracter"/>
        </w:rPr>
      </w:pPr>
      <w:bookmarkStart w:id="2093" w:name="DESCRIPTORALFABETICO858"/>
      <w:r w:rsidRPr="00BA1B56">
        <w:rPr>
          <w:rStyle w:val="TextoNormalNegritaCaracter"/>
        </w:rPr>
        <w:t>Procedimiento judicial</w:t>
      </w:r>
      <w:bookmarkEnd w:id="2093"/>
      <w:r w:rsidRPr="00BA1B56">
        <w:rPr>
          <w:rStyle w:val="TextoNormalCaracter"/>
        </w:rPr>
        <w:t xml:space="preserve">, Auto </w:t>
      </w:r>
      <w:hyperlink w:anchor="AUTO_2012_115" w:history="1">
        <w:r w:rsidRPr="00BA1B56">
          <w:rPr>
            <w:rStyle w:val="TextoNormalCaracter"/>
          </w:rPr>
          <w:t>115/2012</w:t>
        </w:r>
      </w:hyperlink>
      <w:r w:rsidRPr="00BA1B56">
        <w:rPr>
          <w:rStyle w:val="TextoNormalCaracter"/>
        </w:rPr>
        <w:t>, f. 1.</w:t>
      </w:r>
    </w:p>
    <w:p w:rsidR="00BA1B56" w:rsidRPr="00BA1B56" w:rsidRDefault="00BA1B56" w:rsidP="00BA1B56">
      <w:pPr>
        <w:pStyle w:val="TextoNormalSangraFrancesa"/>
        <w:rPr>
          <w:rStyle w:val="TextoNormalCaracter"/>
        </w:rPr>
      </w:pPr>
      <w:bookmarkStart w:id="2094" w:name="DESCRIPTORALFABETICO447"/>
      <w:r w:rsidRPr="00BA1B56">
        <w:rPr>
          <w:rStyle w:val="TextoNormalNegritaCaracter"/>
        </w:rPr>
        <w:t>Procedimiento legislativo de urgencia</w:t>
      </w:r>
      <w:bookmarkEnd w:id="2094"/>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3, 4.</w:t>
      </w:r>
    </w:p>
    <w:p w:rsidR="00BA1B56" w:rsidRPr="00BA1B56" w:rsidRDefault="00BA1B56" w:rsidP="00BA1B56">
      <w:pPr>
        <w:pStyle w:val="TextoNormalSangraFrancesa"/>
        <w:rPr>
          <w:rStyle w:val="TextoNormalCaracter"/>
        </w:rPr>
      </w:pPr>
      <w:bookmarkStart w:id="2095" w:name="DESCRIPTORALFABETICO448"/>
      <w:r w:rsidRPr="00BA1B56">
        <w:rPr>
          <w:rStyle w:val="TextoNormalNegritaCaracter"/>
        </w:rPr>
        <w:t>Procedimiento legislativo ordinario</w:t>
      </w:r>
      <w:bookmarkEnd w:id="2095"/>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2, 4, 5.</w:t>
      </w:r>
    </w:p>
    <w:p w:rsidR="00BA1B56" w:rsidRPr="00BA1B56" w:rsidRDefault="00BA1B56" w:rsidP="00BA1B56">
      <w:pPr>
        <w:pStyle w:val="TextoNormalSangraFrancesa"/>
        <w:rPr>
          <w:rStyle w:val="TextoNormalNegritaCaracter"/>
        </w:rPr>
      </w:pPr>
      <w:r w:rsidRPr="00BA1B56">
        <w:rPr>
          <w:rStyle w:val="TextoNormalCursivaCaracter"/>
        </w:rPr>
        <w:t>Procedimiento penitenciario sancionador</w:t>
      </w:r>
      <w:r>
        <w:t xml:space="preserve"> véase </w:t>
      </w:r>
      <w:hyperlink w:anchor="DESCRIPTORALFABETICO794" w:history="1">
        <w:r w:rsidRPr="00BA1B56">
          <w:rPr>
            <w:rStyle w:val="TextoNormalNegritaCaracter"/>
          </w:rPr>
          <w:t>Procedimiento disciplinario penitenciario</w:t>
        </w:r>
      </w:hyperlink>
    </w:p>
    <w:p w:rsidR="00BA1B56" w:rsidRPr="00BA1B56" w:rsidRDefault="00BA1B56" w:rsidP="00BA1B56">
      <w:pPr>
        <w:pStyle w:val="TextoNormalSangraFrancesa"/>
        <w:rPr>
          <w:rStyle w:val="TextoNormalCaracter"/>
        </w:rPr>
      </w:pPr>
      <w:bookmarkStart w:id="2096" w:name="DESCRIPTORALFABETICO952"/>
      <w:r w:rsidRPr="00BA1B56">
        <w:rPr>
          <w:rStyle w:val="TextoNormalNegritaCaracter"/>
        </w:rPr>
        <w:t>Proceso contencioso-administrativo</w:t>
      </w:r>
      <w:bookmarkEnd w:id="2096"/>
      <w:r w:rsidRPr="00BA1B56">
        <w:rPr>
          <w:rStyle w:val="TextoNormalCaracter"/>
        </w:rPr>
        <w:t xml:space="preserve">, Sentencias </w:t>
      </w:r>
      <w:hyperlink w:anchor="SENTENCIA_2012_18" w:history="1">
        <w:r w:rsidRPr="00BA1B56">
          <w:rPr>
            <w:rStyle w:val="TextoNormalCaracter"/>
          </w:rPr>
          <w:t>18/2012</w:t>
        </w:r>
      </w:hyperlink>
      <w:r w:rsidRPr="00BA1B56">
        <w:rPr>
          <w:rStyle w:val="TextoNormalCaracter"/>
        </w:rPr>
        <w:t xml:space="preserve">, f. 2; </w:t>
      </w:r>
      <w:hyperlink w:anchor="SENTENCIA_2012_37" w:history="1">
        <w:r w:rsidRPr="00BA1B56">
          <w:rPr>
            <w:rStyle w:val="TextoNormalCaracter"/>
          </w:rPr>
          <w:t>37/2012</w:t>
        </w:r>
      </w:hyperlink>
      <w:r w:rsidRPr="00BA1B56">
        <w:rPr>
          <w:rStyle w:val="TextoNormalCaracter"/>
        </w:rPr>
        <w:t>, ff. 1, 12, VP I.</w:t>
      </w:r>
    </w:p>
    <w:p w:rsidR="00BA1B56" w:rsidRPr="00BA1B56" w:rsidRDefault="00BA1B56" w:rsidP="00BA1B56">
      <w:pPr>
        <w:pStyle w:val="TextoNormalSangraFrancesa"/>
        <w:rPr>
          <w:rStyle w:val="TextoNormalCaracter"/>
        </w:rPr>
      </w:pPr>
      <w:bookmarkStart w:id="2097" w:name="DESCRIPTORALFABETICO954"/>
      <w:r w:rsidRPr="00BA1B56">
        <w:rPr>
          <w:rStyle w:val="TextoNormalNegritaCaracter"/>
        </w:rPr>
        <w:t>Proceso contencioso-disciplinario militar</w:t>
      </w:r>
      <w:bookmarkEnd w:id="2097"/>
      <w:r w:rsidRPr="00BA1B56">
        <w:rPr>
          <w:rStyle w:val="TextoNormalCaracter"/>
        </w:rPr>
        <w:t xml:space="preserve">, Autos </w:t>
      </w:r>
      <w:hyperlink w:anchor="AUTO_2012_109" w:history="1">
        <w:r w:rsidRPr="00BA1B56">
          <w:rPr>
            <w:rStyle w:val="TextoNormalCaracter"/>
          </w:rPr>
          <w:t>109/2012</w:t>
        </w:r>
      </w:hyperlink>
      <w:r w:rsidRPr="00BA1B56">
        <w:rPr>
          <w:rStyle w:val="TextoNormalCaracter"/>
        </w:rPr>
        <w:t xml:space="preserve">, ff. 1 a 5; </w:t>
      </w:r>
      <w:hyperlink w:anchor="AUTO_2012_110" w:history="1">
        <w:r w:rsidRPr="00BA1B56">
          <w:rPr>
            <w:rStyle w:val="TextoNormalCaracter"/>
          </w:rPr>
          <w:t>110/2012</w:t>
        </w:r>
      </w:hyperlink>
      <w:r w:rsidRPr="00BA1B56">
        <w:rPr>
          <w:rStyle w:val="TextoNormalCaracter"/>
        </w:rPr>
        <w:t>, ff. 1 a 5.</w:t>
      </w:r>
    </w:p>
    <w:p w:rsidR="00BA1B56" w:rsidRPr="00BA1B56" w:rsidRDefault="00BA1B56" w:rsidP="00BA1B56">
      <w:pPr>
        <w:pStyle w:val="TextoNormalSangraFrancesa"/>
        <w:rPr>
          <w:rStyle w:val="TextoNormalCaracter"/>
        </w:rPr>
      </w:pPr>
      <w:bookmarkStart w:id="2098" w:name="DESCRIPTORALFABETICO947"/>
      <w:r w:rsidRPr="00BA1B56">
        <w:rPr>
          <w:rStyle w:val="TextoNormalNegritaCaracter"/>
        </w:rPr>
        <w:lastRenderedPageBreak/>
        <w:t>Proceso de ejecución especial en favor del Banco Hipotecario</w:t>
      </w:r>
      <w:bookmarkEnd w:id="2098"/>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4, 7.</w:t>
      </w:r>
    </w:p>
    <w:p w:rsidR="00BA1B56" w:rsidRPr="00BA1B56" w:rsidRDefault="00BA1B56" w:rsidP="00BA1B56">
      <w:pPr>
        <w:pStyle w:val="TextoNormalSangraFrancesa"/>
        <w:rPr>
          <w:rStyle w:val="TextoNormalCaracter"/>
        </w:rPr>
      </w:pPr>
      <w:bookmarkStart w:id="2099" w:name="DESCRIPTORALFABETICO955"/>
      <w:r w:rsidRPr="00BA1B56">
        <w:rPr>
          <w:rStyle w:val="TextoNormalNegritaCaracter"/>
        </w:rPr>
        <w:t>Proceso laboral</w:t>
      </w:r>
      <w:bookmarkEnd w:id="2099"/>
      <w:r w:rsidRPr="00BA1B56">
        <w:rPr>
          <w:rStyle w:val="TextoNormalCaracter"/>
        </w:rPr>
        <w:t xml:space="preserve">, Sentencia </w:t>
      </w:r>
      <w:hyperlink w:anchor="SENTENCIA_2012_31" w:history="1">
        <w:r w:rsidRPr="00BA1B56">
          <w:rPr>
            <w:rStyle w:val="TextoNormalCaracter"/>
          </w:rPr>
          <w:t>31/2012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100" w:name="DESCRIPTORALFABETICO949"/>
      <w:r w:rsidRPr="00BA1B56">
        <w:rPr>
          <w:rStyle w:val="TextoNormalNegritaCaracter"/>
        </w:rPr>
        <w:t>Proceso para la defensa de los intereses colectivos de consumidores y usuarios</w:t>
      </w:r>
      <w:bookmarkEnd w:id="2100"/>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1 a 11.</w:t>
      </w:r>
    </w:p>
    <w:p w:rsidR="00BA1B56" w:rsidRPr="00BA1B56" w:rsidRDefault="00BA1B56" w:rsidP="00BA1B56">
      <w:pPr>
        <w:pStyle w:val="TextoNormalSangraFrancesa"/>
        <w:rPr>
          <w:rStyle w:val="TextoNormalCaracter"/>
        </w:rPr>
      </w:pPr>
      <w:bookmarkStart w:id="2101" w:name="DESCRIPTORALFABETICO958"/>
      <w:r w:rsidRPr="00BA1B56">
        <w:rPr>
          <w:rStyle w:val="TextoNormalNegritaCaracter"/>
        </w:rPr>
        <w:t>Proceso penal</w:t>
      </w:r>
      <w:bookmarkEnd w:id="2101"/>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2; </w:t>
      </w:r>
      <w:hyperlink w:anchor="SENTENCIA_2012_40" w:history="1">
        <w:r w:rsidRPr="00BA1B56">
          <w:rPr>
            <w:rStyle w:val="TextoNormalCaracter"/>
          </w:rPr>
          <w:t>40/2012</w:t>
        </w:r>
      </w:hyperlink>
      <w:r w:rsidRPr="00BA1B56">
        <w:rPr>
          <w:rStyle w:val="TextoNormalCaracter"/>
        </w:rPr>
        <w:t xml:space="preserve">, f. 4; </w:t>
      </w:r>
      <w:hyperlink w:anchor="SENTENCIA_2012_41" w:history="1">
        <w:r w:rsidRPr="00BA1B56">
          <w:rPr>
            <w:rStyle w:val="TextoNormalCaracter"/>
          </w:rPr>
          <w:t>41/2012</w:t>
        </w:r>
      </w:hyperlink>
      <w:r w:rsidRPr="00BA1B56">
        <w:rPr>
          <w:rStyle w:val="TextoNormalCaracter"/>
        </w:rPr>
        <w:t xml:space="preserve">, f. 5; </w:t>
      </w:r>
      <w:hyperlink w:anchor="SENTENCIA_2012_42" w:history="1">
        <w:r w:rsidRPr="00BA1B56">
          <w:rPr>
            <w:rStyle w:val="TextoNormalCaracter"/>
          </w:rPr>
          <w:t>42/2012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2; </w:t>
      </w:r>
      <w:hyperlink w:anchor="SENTENCIA_2012_45" w:history="1">
        <w:r w:rsidRPr="00BA1B56">
          <w:rPr>
            <w:rStyle w:val="TextoNormalCaracter"/>
          </w:rPr>
          <w:t>45/2012</w:t>
        </w:r>
      </w:hyperlink>
      <w:r w:rsidRPr="00BA1B56">
        <w:rPr>
          <w:rStyle w:val="TextoNormalCaracter"/>
        </w:rPr>
        <w:t xml:space="preserve">, f. 2; </w:t>
      </w:r>
      <w:hyperlink w:anchor="SENTENCIA_2012_46" w:history="1">
        <w:r w:rsidRPr="00BA1B56">
          <w:rPr>
            <w:rStyle w:val="TextoNormalCaracter"/>
          </w:rPr>
          <w:t>46/2012</w:t>
        </w:r>
      </w:hyperlink>
      <w:r w:rsidRPr="00BA1B56">
        <w:rPr>
          <w:rStyle w:val="TextoNormalCaracter"/>
        </w:rPr>
        <w:t xml:space="preserve">, f. 2; </w:t>
      </w:r>
      <w:hyperlink w:anchor="SENTENCIA_2012_47" w:history="1">
        <w:r w:rsidRPr="00BA1B56">
          <w:rPr>
            <w:rStyle w:val="TextoNormalCaracter"/>
          </w:rPr>
          <w:t>47/2012</w:t>
        </w:r>
      </w:hyperlink>
      <w:r w:rsidRPr="00BA1B56">
        <w:rPr>
          <w:rStyle w:val="TextoNormalCaracter"/>
        </w:rPr>
        <w:t xml:space="preserve">, f. 2; </w:t>
      </w:r>
      <w:hyperlink w:anchor="SENTENCIA_2012_48" w:history="1">
        <w:r w:rsidRPr="00BA1B56">
          <w:rPr>
            <w:rStyle w:val="TextoNormalCaracter"/>
          </w:rPr>
          <w:t>48/2012</w:t>
        </w:r>
      </w:hyperlink>
      <w:r w:rsidRPr="00BA1B56">
        <w:rPr>
          <w:rStyle w:val="TextoNormalCaracter"/>
        </w:rPr>
        <w:t xml:space="preserve">, f. 3; </w:t>
      </w:r>
      <w:hyperlink w:anchor="SENTENCIA_2012_49" w:history="1">
        <w:r w:rsidRPr="00BA1B56">
          <w:rPr>
            <w:rStyle w:val="TextoNormalCaracter"/>
          </w:rPr>
          <w:t>49/2012</w:t>
        </w:r>
      </w:hyperlink>
      <w:r w:rsidRPr="00BA1B56">
        <w:rPr>
          <w:rStyle w:val="TextoNormalCaracter"/>
        </w:rPr>
        <w:t xml:space="preserve">, f. 2; </w:t>
      </w:r>
      <w:hyperlink w:anchor="SENTENCIA_2012_50" w:history="1">
        <w:r w:rsidRPr="00BA1B56">
          <w:rPr>
            <w:rStyle w:val="TextoNormalCaracter"/>
          </w:rPr>
          <w:t>50/2012</w:t>
        </w:r>
      </w:hyperlink>
      <w:r w:rsidRPr="00BA1B56">
        <w:rPr>
          <w:rStyle w:val="TextoNormalCaracter"/>
        </w:rPr>
        <w:t xml:space="preserve">, f. 2; </w:t>
      </w:r>
      <w:hyperlink w:anchor="SENTENCIA_2012_51" w:history="1">
        <w:r w:rsidRPr="00BA1B56">
          <w:rPr>
            <w:rStyle w:val="TextoNormalCaracter"/>
          </w:rPr>
          <w:t>51/2012</w:t>
        </w:r>
      </w:hyperlink>
      <w:r w:rsidRPr="00BA1B56">
        <w:rPr>
          <w:rStyle w:val="TextoNormalCaracter"/>
        </w:rPr>
        <w:t xml:space="preserve">, f. 3; </w:t>
      </w:r>
      <w:hyperlink w:anchor="SENTENCIA_2012_52" w:history="1">
        <w:r w:rsidRPr="00BA1B56">
          <w:rPr>
            <w:rStyle w:val="TextoNormalCaracter"/>
          </w:rPr>
          <w:t>52/2012</w:t>
        </w:r>
      </w:hyperlink>
      <w:r w:rsidRPr="00BA1B56">
        <w:rPr>
          <w:rStyle w:val="TextoNormalCaracter"/>
        </w:rPr>
        <w:t xml:space="preserve">, f. 2; </w:t>
      </w:r>
      <w:hyperlink w:anchor="SENTENCIA_2012_54" w:history="1">
        <w:r w:rsidRPr="00BA1B56">
          <w:rPr>
            <w:rStyle w:val="TextoNormalCaracter"/>
          </w:rPr>
          <w:t>54/2012</w:t>
        </w:r>
      </w:hyperlink>
      <w:r w:rsidRPr="00BA1B56">
        <w:rPr>
          <w:rStyle w:val="TextoNormalCaracter"/>
        </w:rPr>
        <w:t xml:space="preserve">, f. 3; </w:t>
      </w:r>
      <w:hyperlink w:anchor="SENTENCIA_2012_55" w:history="1">
        <w:r w:rsidRPr="00BA1B56">
          <w:rPr>
            <w:rStyle w:val="TextoNormalCaracter"/>
          </w:rPr>
          <w:t>55/2012</w:t>
        </w:r>
      </w:hyperlink>
      <w:r w:rsidRPr="00BA1B56">
        <w:rPr>
          <w:rStyle w:val="TextoNormalCaracter"/>
        </w:rPr>
        <w:t xml:space="preserve">, f. 3; </w:t>
      </w:r>
      <w:hyperlink w:anchor="SENTENCIA_2012_108" w:history="1">
        <w:r w:rsidRPr="00BA1B56">
          <w:rPr>
            <w:rStyle w:val="TextoNormalCaracter"/>
          </w:rPr>
          <w:t>108/2012</w:t>
        </w:r>
      </w:hyperlink>
      <w:r w:rsidRPr="00BA1B56">
        <w:rPr>
          <w:rStyle w:val="TextoNormalCaracter"/>
        </w:rPr>
        <w:t xml:space="preserve">, f. 5; </w:t>
      </w:r>
      <w:hyperlink w:anchor="SENTENCIA_2012_113" w:history="1">
        <w:r w:rsidRPr="00BA1B56">
          <w:rPr>
            <w:rStyle w:val="TextoNormalCaracter"/>
          </w:rPr>
          <w:t>113/2012</w:t>
        </w:r>
      </w:hyperlink>
      <w:r w:rsidRPr="00BA1B56">
        <w:rPr>
          <w:rStyle w:val="TextoNormalCaracter"/>
        </w:rPr>
        <w:t>, f.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25" w:history="1">
        <w:r w:rsidRPr="00BA1B56">
          <w:rPr>
            <w:rStyle w:val="TextoNormalCaracter"/>
          </w:rPr>
          <w:t>25/2012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02" w:name="DESCRIPTORALFABETICO969"/>
      <w:r w:rsidRPr="00BA1B56">
        <w:rPr>
          <w:rStyle w:val="TextoNormalNegritaCaracter"/>
        </w:rPr>
        <w:t>Proceso penal en rebeldía</w:t>
      </w:r>
      <w:bookmarkEnd w:id="2102"/>
      <w:r w:rsidRPr="00BA1B56">
        <w:rPr>
          <w:rStyle w:val="TextoNormalCaracter"/>
        </w:rPr>
        <w:t xml:space="preserve">, Auto </w:t>
      </w:r>
      <w:hyperlink w:anchor="AUTO_2012_11" w:history="1">
        <w:r w:rsidRPr="00BA1B56">
          <w:rPr>
            <w:rStyle w:val="TextoNormalCaracter"/>
          </w:rPr>
          <w:t>11/2012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03" w:name="DESCRIPTORALFABETICO317"/>
      <w:r w:rsidRPr="00BA1B56">
        <w:rPr>
          <w:rStyle w:val="TextoNormalNegritaCaracter"/>
        </w:rPr>
        <w:t>Procesos constitucionales</w:t>
      </w:r>
      <w:bookmarkEnd w:id="2103"/>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 f. 5.</w:t>
      </w:r>
    </w:p>
    <w:p w:rsidR="00BA1B56" w:rsidRPr="00BA1B56" w:rsidRDefault="00BA1B56" w:rsidP="00BA1B56">
      <w:pPr>
        <w:pStyle w:val="TextoNormalSangraFrancesa"/>
        <w:rPr>
          <w:rStyle w:val="TextoNormalCaracter"/>
        </w:rPr>
      </w:pPr>
      <w:bookmarkStart w:id="2104" w:name="DESCRIPTORALFABETICO640"/>
      <w:r w:rsidRPr="00BA1B56">
        <w:rPr>
          <w:rStyle w:val="TextoNormalNegritaCaracter"/>
        </w:rPr>
        <w:t>Procesos selectivos en la función pública</w:t>
      </w:r>
      <w:bookmarkEnd w:id="2104"/>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2105" w:name="DESCRIPTORALFABETICO139"/>
      <w:r w:rsidRPr="00BA1B56">
        <w:rPr>
          <w:rStyle w:val="TextoNormalNegritaCaracter"/>
        </w:rPr>
        <w:t>Proclamación de candidatos electos</w:t>
      </w:r>
      <w:bookmarkEnd w:id="2105"/>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2, 6, 20.</w:t>
      </w:r>
    </w:p>
    <w:p w:rsidR="00BA1B56" w:rsidRPr="00BA1B56" w:rsidRDefault="00BA1B56" w:rsidP="00BA1B56">
      <w:pPr>
        <w:pStyle w:val="TextoNormalSangraFrancesa"/>
        <w:rPr>
          <w:rStyle w:val="TextoNormalCaracter"/>
        </w:rPr>
      </w:pPr>
      <w:bookmarkStart w:id="2106" w:name="DESCRIPTORALFABETICO928"/>
      <w:r w:rsidRPr="00BA1B56">
        <w:rPr>
          <w:rStyle w:val="TextoNormalNegritaCaracter"/>
        </w:rPr>
        <w:t>Procuradores de los tribunales</w:t>
      </w:r>
      <w:bookmarkEnd w:id="2106"/>
      <w:r w:rsidRPr="00BA1B56">
        <w:rPr>
          <w:rStyle w:val="TextoNormalCaracter"/>
        </w:rPr>
        <w:t xml:space="preserve">, Auto </w:t>
      </w:r>
      <w:hyperlink w:anchor="AUTO_2012_43" w:history="1">
        <w:r w:rsidRPr="00BA1B56">
          <w:rPr>
            <w:rStyle w:val="TextoNormalCaracter"/>
          </w:rPr>
          <w:t>43/2012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07" w:name="DESCRIPTORALFABETICO530"/>
      <w:r w:rsidRPr="00BA1B56">
        <w:rPr>
          <w:rStyle w:val="TextoNormalNegritaCaracter"/>
        </w:rPr>
        <w:t>Profesiones tituladas</w:t>
      </w:r>
      <w:bookmarkEnd w:id="2107"/>
      <w:r w:rsidRPr="00BA1B56">
        <w:rPr>
          <w:rStyle w:val="TextoNormalCaracter"/>
        </w:rPr>
        <w:t xml:space="preserve">, Sentencias </w:t>
      </w:r>
      <w:hyperlink w:anchor="SENTENCIA_2012_33" w:history="1">
        <w:r w:rsidRPr="00BA1B56">
          <w:rPr>
            <w:rStyle w:val="TextoNormalCaracter"/>
          </w:rPr>
          <w:t>33/2012</w:t>
        </w:r>
      </w:hyperlink>
      <w:r w:rsidRPr="00BA1B56">
        <w:rPr>
          <w:rStyle w:val="TextoNormalCaracter"/>
        </w:rPr>
        <w:t xml:space="preserve">, ff. 3, 4; </w:t>
      </w:r>
      <w:hyperlink w:anchor="SENTENCIA_2012_70" w:history="1">
        <w:r w:rsidRPr="00BA1B56">
          <w:rPr>
            <w:rStyle w:val="TextoNormalCaracter"/>
          </w:rPr>
          <w:t>70/2012</w:t>
        </w:r>
      </w:hyperlink>
      <w:r w:rsidRPr="00BA1B56">
        <w:rPr>
          <w:rStyle w:val="TextoNormalCaracter"/>
        </w:rPr>
        <w:t>, f. 6.</w:t>
      </w:r>
    </w:p>
    <w:p w:rsidR="00BA1B56" w:rsidRPr="00BA1B56" w:rsidRDefault="00BA1B56" w:rsidP="00BA1B56">
      <w:pPr>
        <w:pStyle w:val="TextoNormalSangraFrancesa"/>
        <w:rPr>
          <w:rStyle w:val="TextoNormalCaracter"/>
        </w:rPr>
      </w:pPr>
      <w:bookmarkStart w:id="2108" w:name="DESCRIPTORALFABETICO669"/>
      <w:r w:rsidRPr="00BA1B56">
        <w:rPr>
          <w:rStyle w:val="TextoNormalNegritaCaracter"/>
        </w:rPr>
        <w:t>Programas de televisión</w:t>
      </w:r>
      <w:bookmarkEnd w:id="2108"/>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ff. 6, 7; </w:t>
      </w:r>
      <w:hyperlink w:anchor="SENTENCIA_2012_17" w:history="1">
        <w:r w:rsidRPr="00BA1B56">
          <w:rPr>
            <w:rStyle w:val="TextoNormalCaracter"/>
          </w:rPr>
          <w:t>17/2012</w:t>
        </w:r>
      </w:hyperlink>
      <w:r w:rsidRPr="00BA1B56">
        <w:rPr>
          <w:rStyle w:val="TextoNormalCaracter"/>
        </w:rPr>
        <w:t xml:space="preserve">, f. 1; </w:t>
      </w:r>
      <w:hyperlink w:anchor="SENTENCIA_2012_23" w:history="1">
        <w:r w:rsidRPr="00BA1B56">
          <w:rPr>
            <w:rStyle w:val="TextoNormalCaracter"/>
          </w:rPr>
          <w:t>23/2012</w:t>
        </w:r>
      </w:hyperlink>
      <w:r w:rsidRPr="00BA1B56">
        <w:rPr>
          <w:rStyle w:val="TextoNormalCaracter"/>
        </w:rPr>
        <w:t xml:space="preserve">, f. 1; </w:t>
      </w:r>
      <w:hyperlink w:anchor="SENTENCIA_2012_74" w:history="1">
        <w:r w:rsidRPr="00BA1B56">
          <w:rPr>
            <w:rStyle w:val="TextoNormalCaracter"/>
          </w:rPr>
          <w:t>74/2012</w:t>
        </w:r>
      </w:hyperlink>
      <w:r w:rsidRPr="00BA1B56">
        <w:rPr>
          <w:rStyle w:val="TextoNormalCaracter"/>
        </w:rPr>
        <w:t>, ff. 2, 3.</w:t>
      </w:r>
    </w:p>
    <w:p w:rsidR="00BA1B56" w:rsidRPr="00BA1B56" w:rsidRDefault="00BA1B56" w:rsidP="00BA1B56">
      <w:pPr>
        <w:pStyle w:val="TextoNormalSangraFrancesa"/>
        <w:rPr>
          <w:rStyle w:val="TextoNormalNegritaCaracter"/>
        </w:rPr>
      </w:pPr>
      <w:r w:rsidRPr="00BA1B56">
        <w:rPr>
          <w:rStyle w:val="TextoNormalCursivaCaracter"/>
        </w:rPr>
        <w:t>Progresividad tributaria</w:t>
      </w:r>
      <w:r>
        <w:t xml:space="preserve"> véase </w:t>
      </w:r>
      <w:hyperlink w:anchor="DESCRIPTORALFABETICO96" w:history="1">
        <w:r w:rsidRPr="00BA1B56">
          <w:rPr>
            <w:rStyle w:val="TextoNormalNegritaCaracter"/>
          </w:rPr>
          <w:t>Principio de progresividad</w:t>
        </w:r>
      </w:hyperlink>
    </w:p>
    <w:p w:rsidR="00BA1B56" w:rsidRPr="00BA1B56" w:rsidRDefault="00BA1B56" w:rsidP="00BA1B56">
      <w:pPr>
        <w:pStyle w:val="TextoNormalSangraFrancesa"/>
        <w:rPr>
          <w:rStyle w:val="TextoNormalCaracter"/>
        </w:rPr>
      </w:pPr>
      <w:bookmarkStart w:id="2109" w:name="DESCRIPTORALFABETICO751"/>
      <w:r w:rsidRPr="00BA1B56">
        <w:rPr>
          <w:rStyle w:val="TextoNormalNegritaCaracter"/>
        </w:rPr>
        <w:t>Prohibición de aproximación a la víctima</w:t>
      </w:r>
      <w:bookmarkEnd w:id="2109"/>
      <w:r w:rsidRPr="00BA1B56">
        <w:rPr>
          <w:rStyle w:val="TextoNormalCaracter"/>
        </w:rPr>
        <w:t xml:space="preserve">, Auto </w:t>
      </w:r>
      <w:hyperlink w:anchor="AUTO_2012_44" w:history="1">
        <w:r w:rsidRPr="00BA1B56">
          <w:rPr>
            <w:rStyle w:val="TextoNormalCaracter"/>
          </w:rPr>
          <w:t>44/2012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10" w:name="DESCRIPTORALFABETICO752"/>
      <w:r w:rsidRPr="00BA1B56">
        <w:rPr>
          <w:rStyle w:val="TextoNormalNegritaCaracter"/>
        </w:rPr>
        <w:t>Prohibición de comunicación con terceros</w:t>
      </w:r>
      <w:bookmarkEnd w:id="2110"/>
      <w:r w:rsidRPr="00BA1B56">
        <w:rPr>
          <w:rStyle w:val="TextoNormalCaracter"/>
        </w:rPr>
        <w:t xml:space="preserve">, Auto </w:t>
      </w:r>
      <w:hyperlink w:anchor="AUTO_2012_44" w:history="1">
        <w:r w:rsidRPr="00BA1B56">
          <w:rPr>
            <w:rStyle w:val="TextoNormalCaracter"/>
          </w:rPr>
          <w:t>44/2012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Prohibición de entrada en el territorio nacional</w:t>
      </w:r>
      <w:r>
        <w:t xml:space="preserve"> véase </w:t>
      </w:r>
      <w:hyperlink w:anchor="DESCRIPTORALFABETICO500" w:history="1">
        <w:r w:rsidRPr="00BA1B56">
          <w:rPr>
            <w:rStyle w:val="TextoNormalNegritaCaracter"/>
          </w:rPr>
          <w:t>Denegación de entrada en territorio nacional</w:t>
        </w:r>
      </w:hyperlink>
    </w:p>
    <w:p w:rsidR="00BA1B56" w:rsidRPr="00BA1B56" w:rsidRDefault="00BA1B56" w:rsidP="00BA1B56">
      <w:pPr>
        <w:pStyle w:val="TextoNormalSangraFrancesa"/>
        <w:rPr>
          <w:rStyle w:val="TextoNormalCaracter"/>
        </w:rPr>
      </w:pPr>
      <w:bookmarkStart w:id="2111" w:name="DESCRIPTORALFABETICO961"/>
      <w:r w:rsidRPr="00BA1B56">
        <w:rPr>
          <w:rStyle w:val="TextoNormalNegritaCaracter"/>
        </w:rPr>
        <w:t>Prolongación de la detención preventiva</w:t>
      </w:r>
      <w:bookmarkEnd w:id="2111"/>
      <w:r w:rsidRPr="00BA1B56">
        <w:rPr>
          <w:rStyle w:val="TextoNormalCaracter"/>
        </w:rPr>
        <w:t xml:space="preserve">, Sentencia </w:t>
      </w:r>
      <w:hyperlink w:anchor="SENTENCIA_2012_95" w:history="1">
        <w:r w:rsidRPr="00BA1B56">
          <w:rPr>
            <w:rStyle w:val="TextoNormalCaracter"/>
          </w:rPr>
          <w:t>95/2012</w:t>
        </w:r>
      </w:hyperlink>
      <w:r w:rsidRPr="00BA1B56">
        <w:rPr>
          <w:rStyle w:val="TextoNormalCaracter"/>
        </w:rPr>
        <w:t>, ff. 1 a 4.</w:t>
      </w:r>
    </w:p>
    <w:p w:rsidR="00BA1B56" w:rsidRPr="00BA1B56" w:rsidRDefault="00BA1B56" w:rsidP="00BA1B56">
      <w:pPr>
        <w:pStyle w:val="TextoNormalSangraFrancesa"/>
        <w:rPr>
          <w:rStyle w:val="TextoNormalNegritaCaracter"/>
        </w:rPr>
      </w:pPr>
      <w:r w:rsidRPr="00BA1B56">
        <w:rPr>
          <w:rStyle w:val="TextoNormalCursivaCaracter"/>
        </w:rPr>
        <w:t>Promoción de funcionarios</w:t>
      </w:r>
      <w:r>
        <w:t xml:space="preserve"> véase </w:t>
      </w:r>
      <w:hyperlink w:anchor="DESCRIPTORALFABETICO646" w:history="1">
        <w:r w:rsidRPr="00BA1B56">
          <w:rPr>
            <w:rStyle w:val="TextoNormalNegritaCaracter"/>
          </w:rPr>
          <w:t>Promoción interna</w:t>
        </w:r>
      </w:hyperlink>
    </w:p>
    <w:p w:rsidR="00BA1B56" w:rsidRPr="00BA1B56" w:rsidRDefault="00BA1B56" w:rsidP="00BA1B56">
      <w:pPr>
        <w:pStyle w:val="TextoNormalSangraFrancesa"/>
        <w:rPr>
          <w:rStyle w:val="TextoNormalCaracter"/>
        </w:rPr>
      </w:pPr>
      <w:bookmarkStart w:id="2112" w:name="DESCRIPTORALFABETICO646"/>
      <w:r w:rsidRPr="00BA1B56">
        <w:rPr>
          <w:rStyle w:val="TextoNormalNegritaCaracter"/>
        </w:rPr>
        <w:t>Promoción interna</w:t>
      </w:r>
      <w:bookmarkEnd w:id="2112"/>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2 a 4; </w:t>
      </w:r>
      <w:hyperlink w:anchor="SENTENCIA_2012_3" w:history="1">
        <w:r w:rsidRPr="00BA1B56">
          <w:rPr>
            <w:rStyle w:val="TextoNormalCaracter"/>
          </w:rPr>
          <w:t>3/2012</w:t>
        </w:r>
      </w:hyperlink>
      <w:r w:rsidRPr="00BA1B56">
        <w:rPr>
          <w:rStyle w:val="TextoNormalCaracter"/>
        </w:rPr>
        <w:t xml:space="preserve">, ff. 2, 3, 5; </w:t>
      </w:r>
      <w:hyperlink w:anchor="SENTENCIA_2012_4" w:history="1">
        <w:r w:rsidRPr="00BA1B56">
          <w:rPr>
            <w:rStyle w:val="TextoNormalCaracter"/>
          </w:rPr>
          <w:t>4/2012</w:t>
        </w:r>
      </w:hyperlink>
      <w:r w:rsidRPr="00BA1B56">
        <w:rPr>
          <w:rStyle w:val="TextoNormalCaracter"/>
        </w:rPr>
        <w:t xml:space="preserve">, ff. 2, 5; </w:t>
      </w:r>
      <w:hyperlink w:anchor="SENTENCIA_2012_29" w:history="1">
        <w:r w:rsidRPr="00BA1B56">
          <w:rPr>
            <w:rStyle w:val="TextoNormalCaracter"/>
          </w:rPr>
          <w:t>29/2012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2113" w:name="DESCRIPTORALFABETICO258"/>
      <w:r w:rsidRPr="00BA1B56">
        <w:rPr>
          <w:rStyle w:val="TextoNormalNegritaCaracter"/>
        </w:rPr>
        <w:t>Prórroga del estado de alarma</w:t>
      </w:r>
      <w:bookmarkEnd w:id="2113"/>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 f. 4, VP.</w:t>
      </w:r>
    </w:p>
    <w:p w:rsidR="00BA1B56" w:rsidRPr="00BA1B56" w:rsidRDefault="00BA1B56" w:rsidP="00BA1B56">
      <w:pPr>
        <w:pStyle w:val="TextoNormalSangraFrancesa"/>
        <w:rPr>
          <w:rStyle w:val="TextoNormalNegritaCaracter"/>
        </w:rPr>
      </w:pPr>
      <w:r w:rsidRPr="00BA1B56">
        <w:rPr>
          <w:rStyle w:val="TextoNormalCursivaCaracter"/>
        </w:rPr>
        <w:t>Protección de datos de carácter personal</w:t>
      </w:r>
      <w:r>
        <w:t xml:space="preserve"> véase </w:t>
      </w:r>
      <w:hyperlink w:anchor="DESCRIPTORALFABETICO182" w:history="1">
        <w:r w:rsidRPr="00BA1B56">
          <w:rPr>
            <w:rStyle w:val="TextoNormalNegritaCaracter"/>
          </w:rPr>
          <w:t>Derecho a la protección de datos personales</w:t>
        </w:r>
      </w:hyperlink>
    </w:p>
    <w:p w:rsidR="00BA1B56" w:rsidRPr="00BA1B56" w:rsidRDefault="00BA1B56" w:rsidP="00BA1B56">
      <w:pPr>
        <w:pStyle w:val="TextoNormalSangraFrancesa"/>
        <w:rPr>
          <w:rStyle w:val="TextoNormalNegritaCaracter"/>
        </w:rPr>
      </w:pPr>
      <w:r w:rsidRPr="00BA1B56">
        <w:rPr>
          <w:rStyle w:val="TextoNormalCursivaCaracter"/>
        </w:rPr>
        <w:t>Protección de datos personales</w:t>
      </w:r>
      <w:r>
        <w:t xml:space="preserve"> véase </w:t>
      </w:r>
      <w:hyperlink w:anchor="DESCRIPTORALFABETICO182" w:history="1">
        <w:r w:rsidRPr="00BA1B56">
          <w:rPr>
            <w:rStyle w:val="TextoNormalNegritaCaracter"/>
          </w:rPr>
          <w:t>Derecho a la protección de datos personales</w:t>
        </w:r>
      </w:hyperlink>
    </w:p>
    <w:p w:rsidR="00BA1B56" w:rsidRPr="00BA1B56" w:rsidRDefault="00BA1B56" w:rsidP="00BA1B56">
      <w:pPr>
        <w:pStyle w:val="TextoNormalSangraFrancesa"/>
        <w:rPr>
          <w:rStyle w:val="TextoNormalCaracter"/>
        </w:rPr>
      </w:pPr>
      <w:bookmarkStart w:id="2114" w:name="DESCRIPTORALFABETICO611"/>
      <w:r w:rsidRPr="00BA1B56">
        <w:rPr>
          <w:rStyle w:val="TextoNormalNegritaCaracter"/>
        </w:rPr>
        <w:t>Protección de la familia</w:t>
      </w:r>
      <w:bookmarkEnd w:id="2114"/>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4, 5.</w:t>
      </w:r>
    </w:p>
    <w:p w:rsidR="00BA1B56" w:rsidRPr="00BA1B56" w:rsidRDefault="00BA1B56" w:rsidP="00BA1B56">
      <w:pPr>
        <w:pStyle w:val="TextoNormalSangraFrancesa"/>
        <w:rPr>
          <w:rStyle w:val="TextoNormalCaracter"/>
        </w:rPr>
      </w:pPr>
      <w:bookmarkStart w:id="2115" w:name="DESCRIPTORALFABETICO690"/>
      <w:r w:rsidRPr="00BA1B56">
        <w:rPr>
          <w:rStyle w:val="TextoNormalNegritaCaracter"/>
        </w:rPr>
        <w:t>Protección de las víctimas</w:t>
      </w:r>
      <w:bookmarkEnd w:id="2115"/>
      <w:r w:rsidRPr="00BA1B56">
        <w:rPr>
          <w:rStyle w:val="TextoNormalCaracter"/>
        </w:rPr>
        <w:t xml:space="preserve">, Auto </w:t>
      </w:r>
      <w:hyperlink w:anchor="AUTO_2012_25" w:history="1">
        <w:r w:rsidRPr="00BA1B56">
          <w:rPr>
            <w:rStyle w:val="TextoNormalCaracter"/>
          </w:rPr>
          <w:t>25/2012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16" w:name="DESCRIPTORALFABETICO662"/>
      <w:r w:rsidRPr="00BA1B56">
        <w:rPr>
          <w:rStyle w:val="TextoNormalNegritaCaracter"/>
        </w:rPr>
        <w:t>Protección del medio ambiente</w:t>
      </w:r>
      <w:bookmarkEnd w:id="2116"/>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ff. 4, 5, 6, 7; </w:t>
      </w:r>
      <w:hyperlink w:anchor="SENTENCIA_2012_8" w:history="1">
        <w:r w:rsidRPr="00BA1B56">
          <w:rPr>
            <w:rStyle w:val="TextoNormalCaracter"/>
          </w:rPr>
          <w:t>8/2012</w:t>
        </w:r>
      </w:hyperlink>
      <w:r w:rsidRPr="00BA1B56">
        <w:rPr>
          <w:rStyle w:val="TextoNormalCaracter"/>
        </w:rPr>
        <w:t xml:space="preserve">, f. 6;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117" w:name="DESCRIPTORALFABETICO573"/>
      <w:r w:rsidRPr="00BA1B56">
        <w:rPr>
          <w:rStyle w:val="TextoNormalNegritaCaracter"/>
        </w:rPr>
        <w:t>Protección del patrimonio histórico</w:t>
      </w:r>
      <w:bookmarkEnd w:id="2117"/>
      <w:r w:rsidRPr="00BA1B56">
        <w:rPr>
          <w:rStyle w:val="TextoNormalCaracter"/>
        </w:rPr>
        <w:t xml:space="preserve">, Sentencia </w:t>
      </w:r>
      <w:hyperlink w:anchor="SENTENCIA_2012_6" w:history="1">
        <w:r w:rsidRPr="00BA1B56">
          <w:rPr>
            <w:rStyle w:val="TextoNormalCaracter"/>
          </w:rPr>
          <w:t>6/2012</w:t>
        </w:r>
      </w:hyperlink>
      <w:r w:rsidRPr="00BA1B56">
        <w:rPr>
          <w:rStyle w:val="TextoNormalCaracter"/>
        </w:rPr>
        <w:t>, f. 5.</w:t>
      </w:r>
    </w:p>
    <w:p w:rsidR="00BA1B56" w:rsidRPr="00BA1B56" w:rsidRDefault="00BA1B56" w:rsidP="00BA1B56">
      <w:pPr>
        <w:pStyle w:val="TextoNormalSangraFrancesa"/>
        <w:rPr>
          <w:rStyle w:val="TextoNormalNegritaCaracter"/>
        </w:rPr>
      </w:pPr>
      <w:r w:rsidRPr="00BA1B56">
        <w:rPr>
          <w:rStyle w:val="TextoNormalCursivaCaracter"/>
        </w:rPr>
        <w:t>Prueba de indicios</w:t>
      </w:r>
      <w:r>
        <w:t xml:space="preserve"> véase </w:t>
      </w:r>
      <w:hyperlink w:anchor="DESCRIPTORALFABETICO903" w:history="1">
        <w:r w:rsidRPr="00BA1B56">
          <w:rPr>
            <w:rStyle w:val="TextoNormalNegritaCaracter"/>
          </w:rPr>
          <w:t>Prueba indiciaria</w:t>
        </w:r>
      </w:hyperlink>
    </w:p>
    <w:p w:rsidR="00BA1B56" w:rsidRPr="00BA1B56" w:rsidRDefault="00BA1B56" w:rsidP="00BA1B56">
      <w:pPr>
        <w:pStyle w:val="TextoNormalSangraFrancesa"/>
        <w:rPr>
          <w:rStyle w:val="TextoNormalNegritaCaracter"/>
        </w:rPr>
      </w:pPr>
      <w:r w:rsidRPr="00BA1B56">
        <w:rPr>
          <w:rStyle w:val="TextoNormalCursivaCaracter"/>
        </w:rPr>
        <w:t>Prueba de irreparabilidad de los perjuicios</w:t>
      </w:r>
      <w:r>
        <w:t xml:space="preserve"> véase </w:t>
      </w:r>
      <w:hyperlink w:anchor="DESCRIPTORALFABETICO275" w:history="1">
        <w:r w:rsidRPr="00BA1B56">
          <w:rPr>
            <w:rStyle w:val="TextoNormalNegritaCaracter"/>
          </w:rPr>
          <w:t>Prueba del perjuicio</w:t>
        </w:r>
      </w:hyperlink>
    </w:p>
    <w:p w:rsidR="00BA1B56" w:rsidRPr="00BA1B56" w:rsidRDefault="00BA1B56" w:rsidP="00BA1B56">
      <w:pPr>
        <w:pStyle w:val="TextoNormalSangraFrancesa"/>
        <w:rPr>
          <w:rStyle w:val="TextoNormalCaracter"/>
        </w:rPr>
      </w:pPr>
      <w:bookmarkStart w:id="2118" w:name="DESCRIPTORALFABETICO275"/>
      <w:r w:rsidRPr="00BA1B56">
        <w:rPr>
          <w:rStyle w:val="TextoNormalNegritaCaracter"/>
        </w:rPr>
        <w:t>Prueba del perjuicio</w:t>
      </w:r>
      <w:bookmarkEnd w:id="2118"/>
      <w:r w:rsidRPr="00BA1B56">
        <w:rPr>
          <w:rStyle w:val="TextoNormalCaracter"/>
        </w:rPr>
        <w:t xml:space="preserve">, Auto </w:t>
      </w:r>
      <w:hyperlink w:anchor="AUTO_2012_81" w:history="1">
        <w:r w:rsidRPr="00BA1B56">
          <w:rPr>
            <w:rStyle w:val="TextoNormalCaracter"/>
          </w:rPr>
          <w:t>81/2012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19" w:name="DESCRIPTORALFABETICO901"/>
      <w:r w:rsidRPr="00BA1B56">
        <w:rPr>
          <w:rStyle w:val="TextoNormalNegritaCaracter"/>
        </w:rPr>
        <w:t>Prueba ilícita</w:t>
      </w:r>
      <w:bookmarkEnd w:id="2119"/>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6.</w:t>
      </w:r>
    </w:p>
    <w:p w:rsidR="00BA1B56" w:rsidRPr="00BA1B56" w:rsidRDefault="00BA1B56" w:rsidP="00BA1B56">
      <w:pPr>
        <w:pStyle w:val="TextoNormalSangraFrancesa"/>
        <w:rPr>
          <w:rStyle w:val="TextoNormalCaracter"/>
        </w:rPr>
      </w:pPr>
      <w:bookmarkStart w:id="2120" w:name="DESCRIPTORALFABETICO903"/>
      <w:r w:rsidRPr="00BA1B56">
        <w:rPr>
          <w:rStyle w:val="TextoNormalNegritaCaracter"/>
        </w:rPr>
        <w:t>Prueba indiciaria</w:t>
      </w:r>
      <w:bookmarkEnd w:id="2120"/>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9 a 11, VP I, VP II, VP III.</w:t>
      </w:r>
    </w:p>
    <w:p w:rsidR="00BA1B56" w:rsidRPr="00BA1B56" w:rsidRDefault="00BA1B56" w:rsidP="00BA1B56">
      <w:pPr>
        <w:pStyle w:val="TextoNormalSangraFrancesa"/>
        <w:rPr>
          <w:rStyle w:val="TextoNormalNegritaCaracter"/>
        </w:rPr>
      </w:pPr>
      <w:r w:rsidRPr="00BA1B56">
        <w:rPr>
          <w:rStyle w:val="TextoNormalCursivaCaracter"/>
        </w:rPr>
        <w:t>Prueba indirecta</w:t>
      </w:r>
      <w:r>
        <w:t xml:space="preserve"> véase </w:t>
      </w:r>
      <w:hyperlink w:anchor="DESCRIPTORALFABETICO903" w:history="1">
        <w:r w:rsidRPr="00BA1B56">
          <w:rPr>
            <w:rStyle w:val="TextoNormalNegritaCaracter"/>
          </w:rPr>
          <w:t>Prueba indiciaria</w:t>
        </w:r>
      </w:hyperlink>
    </w:p>
    <w:p w:rsidR="00BA1B56" w:rsidRPr="00BA1B56" w:rsidRDefault="00BA1B56" w:rsidP="00BA1B56">
      <w:pPr>
        <w:pStyle w:val="TextoNormalSangraFrancesa"/>
        <w:rPr>
          <w:rStyle w:val="TextoNormalCaracter"/>
        </w:rPr>
      </w:pPr>
      <w:bookmarkStart w:id="2121" w:name="DESCRIPTORALFABETICO902"/>
      <w:r w:rsidRPr="00BA1B56">
        <w:rPr>
          <w:rStyle w:val="TextoNormalNegritaCaracter"/>
        </w:rPr>
        <w:t>Pruebas obtenidas con vulneración de derechos fundamentales</w:t>
      </w:r>
      <w:bookmarkEnd w:id="2121"/>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6.</w:t>
      </w:r>
    </w:p>
    <w:p w:rsidR="00BA1B56" w:rsidRPr="00BA1B56" w:rsidRDefault="00BA1B56" w:rsidP="00BA1B56">
      <w:pPr>
        <w:pStyle w:val="TextoNormalSangraFrancesa"/>
        <w:rPr>
          <w:rStyle w:val="TextoNormalCaracter"/>
        </w:rPr>
      </w:pPr>
      <w:bookmarkStart w:id="2122" w:name="DESCRIPTORALFABETICO642"/>
      <w:r w:rsidRPr="00BA1B56">
        <w:rPr>
          <w:rStyle w:val="TextoNormalNegritaCaracter"/>
        </w:rPr>
        <w:t>Pruebas restringidas</w:t>
      </w:r>
      <w:bookmarkEnd w:id="2122"/>
      <w:r w:rsidRPr="00BA1B56">
        <w:rPr>
          <w:rStyle w:val="TextoNormalCaracter"/>
        </w:rPr>
        <w:t xml:space="preserve">, Auto </w:t>
      </w:r>
      <w:hyperlink w:anchor="AUTO_2012_68" w:history="1">
        <w:r w:rsidRPr="00BA1B56">
          <w:rPr>
            <w:rStyle w:val="TextoNormalCaracter"/>
          </w:rPr>
          <w:t>68/2012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23" w:name="DESCRIPTORALFABETICO567"/>
      <w:r w:rsidRPr="00BA1B56">
        <w:rPr>
          <w:rStyle w:val="TextoNormalNegritaCaracter"/>
        </w:rPr>
        <w:t>Publicidad de la convocatoria</w:t>
      </w:r>
      <w:bookmarkEnd w:id="2123"/>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8.</w:t>
      </w:r>
    </w:p>
    <w:p w:rsidR="00BA1B56" w:rsidRPr="00BA1B56" w:rsidRDefault="00BA1B56" w:rsidP="00BA1B56">
      <w:pPr>
        <w:pStyle w:val="TextoNormalSangraFrancesa"/>
        <w:rPr>
          <w:rStyle w:val="TextoNormalCaracter"/>
        </w:rPr>
      </w:pPr>
      <w:bookmarkStart w:id="2124" w:name="DESCRIPTORALFABETICO19"/>
      <w:r w:rsidRPr="00BA1B56">
        <w:rPr>
          <w:rStyle w:val="TextoNormalNegritaCaracter"/>
        </w:rPr>
        <w:t>Puntos de conexión para el ejercicio de competencias autonómicas</w:t>
      </w:r>
      <w:bookmarkEnd w:id="2124"/>
      <w:r w:rsidRPr="00BA1B56">
        <w:rPr>
          <w:rStyle w:val="TextoNormalCaracter"/>
        </w:rPr>
        <w:t xml:space="preserve">, Sentencias </w:t>
      </w:r>
      <w:hyperlink w:anchor="SENTENCIA_2012_5" w:history="1">
        <w:r w:rsidRPr="00BA1B56">
          <w:rPr>
            <w:rStyle w:val="TextoNormalCaracter"/>
          </w:rPr>
          <w:t>5/2012</w:t>
        </w:r>
      </w:hyperlink>
      <w:r w:rsidRPr="00BA1B56">
        <w:rPr>
          <w:rStyle w:val="TextoNormalCaracter"/>
        </w:rPr>
        <w:t xml:space="preserve">, f. 5; </w:t>
      </w:r>
      <w:hyperlink w:anchor="SENTENCIA_2012_35" w:history="1">
        <w:r w:rsidRPr="00BA1B56">
          <w:rPr>
            <w:rStyle w:val="TextoNormalCaracter"/>
          </w:rPr>
          <w:t>35/2012</w:t>
        </w:r>
      </w:hyperlink>
      <w:r w:rsidRPr="00BA1B56">
        <w:rPr>
          <w:rStyle w:val="TextoNormalCaracter"/>
        </w:rPr>
        <w:t>, f. 5.</w:t>
      </w:r>
    </w:p>
    <w:p w:rsidR="00BA1B56" w:rsidRPr="00BA1B56" w:rsidRDefault="00BA1B56" w:rsidP="00BA1B56">
      <w:pPr>
        <w:pStyle w:val="TextoNormalSangraFrancesa"/>
        <w:rPr>
          <w:rStyle w:val="TextoNormalCaracter"/>
        </w:rPr>
      </w:pPr>
      <w:bookmarkStart w:id="2125" w:name="DESCRIPTORALFABETICO643"/>
      <w:r w:rsidRPr="00BA1B56">
        <w:rPr>
          <w:rStyle w:val="TextoNormalNegritaCaracter"/>
        </w:rPr>
        <w:lastRenderedPageBreak/>
        <w:t>Puntuación en procedimiento de selección</w:t>
      </w:r>
      <w:bookmarkEnd w:id="2125"/>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 4.</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Q</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2126" w:name="DESCRIPTORALFABETICO650"/>
      <w:r w:rsidRPr="00BA1B56">
        <w:rPr>
          <w:rStyle w:val="TextoNormalNegritaCaracter"/>
        </w:rPr>
        <w:t>Quebrantamiento de medida cautelar</w:t>
      </w:r>
      <w:bookmarkEnd w:id="2126"/>
      <w:r w:rsidRPr="00BA1B56">
        <w:rPr>
          <w:rStyle w:val="TextoNormalCaracter"/>
        </w:rPr>
        <w:t xml:space="preserve">, Sentencia </w:t>
      </w:r>
      <w:hyperlink w:anchor="SENTENCIA_2012_16" w:history="1">
        <w:r w:rsidRPr="00BA1B56">
          <w:rPr>
            <w:rStyle w:val="TextoNormalCaracter"/>
          </w:rPr>
          <w:t>16/2012</w:t>
        </w:r>
      </w:hyperlink>
      <w:r w:rsidRPr="00BA1B56">
        <w:rPr>
          <w:rStyle w:val="TextoNormalCaracter"/>
        </w:rPr>
        <w:t>, ff. 1 a 6.</w:t>
      </w:r>
    </w:p>
    <w:p w:rsidR="00BA1B56" w:rsidRPr="00BA1B56" w:rsidRDefault="00BA1B56" w:rsidP="00BA1B56">
      <w:pPr>
        <w:pStyle w:val="TextoNormalSangraFrancesa"/>
        <w:rPr>
          <w:rStyle w:val="TextoNormalCaracter"/>
        </w:rPr>
      </w:pPr>
      <w:bookmarkStart w:id="2127" w:name="DESCRIPTORALFABETICO792"/>
      <w:r w:rsidRPr="00BA1B56">
        <w:rPr>
          <w:rStyle w:val="TextoNormalNegritaCaracter"/>
        </w:rPr>
        <w:t>Quejas de los reclusos</w:t>
      </w:r>
      <w:bookmarkEnd w:id="2127"/>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ff. 5, 6.</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R</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2128" w:name="DESCRIPTORALFABETICO843"/>
      <w:r w:rsidRPr="00BA1B56">
        <w:rPr>
          <w:rStyle w:val="TextoNormalNegritaCaracter"/>
        </w:rPr>
        <w:t>Readmisión de trabajadores</w:t>
      </w:r>
      <w:bookmarkEnd w:id="2128"/>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29" w:name="DESCRIPTORALFABETICO790"/>
      <w:r w:rsidRPr="00BA1B56">
        <w:rPr>
          <w:rStyle w:val="TextoNormalNegritaCaracter"/>
        </w:rPr>
        <w:t>Reclusos</w:t>
      </w:r>
      <w:bookmarkEnd w:id="2129"/>
      <w:r w:rsidRPr="00BA1B56">
        <w:rPr>
          <w:rStyle w:val="TextoNormalCaracter"/>
        </w:rPr>
        <w:t xml:space="preserve">, Sentencias </w:t>
      </w:r>
      <w:hyperlink w:anchor="SENTENCIA_2012_106" w:history="1">
        <w:r w:rsidRPr="00BA1B56">
          <w:rPr>
            <w:rStyle w:val="TextoNormalCaracter"/>
          </w:rPr>
          <w:t>106/2012</w:t>
        </w:r>
      </w:hyperlink>
      <w:r w:rsidRPr="00BA1B56">
        <w:rPr>
          <w:rStyle w:val="TextoNormalCaracter"/>
        </w:rPr>
        <w:t xml:space="preserve">, ff. 2 a 4; </w:t>
      </w:r>
      <w:hyperlink w:anchor="SENTENCIA_2012_107" w:history="1">
        <w:r w:rsidRPr="00BA1B56">
          <w:rPr>
            <w:rStyle w:val="TextoNormalCaracter"/>
          </w:rPr>
          <w:t>107/2012</w:t>
        </w:r>
      </w:hyperlink>
      <w:r w:rsidRPr="00BA1B56">
        <w:rPr>
          <w:rStyle w:val="TextoNormalCaracter"/>
        </w:rPr>
        <w:t>, ff. 3 a 6.</w:t>
      </w:r>
    </w:p>
    <w:p w:rsidR="00BA1B56" w:rsidRPr="00BA1B56" w:rsidRDefault="00BA1B56" w:rsidP="00BA1B56">
      <w:pPr>
        <w:pStyle w:val="TextoNormalSangraFrancesa"/>
        <w:rPr>
          <w:rStyle w:val="TextoNormalCaracter"/>
        </w:rPr>
      </w:pPr>
      <w:bookmarkStart w:id="2130" w:name="DESCRIPTORALFABETICO606"/>
      <w:r w:rsidRPr="00BA1B56">
        <w:rPr>
          <w:rStyle w:val="TextoNormalNegritaCaracter"/>
        </w:rPr>
        <w:t>Rectores universitarios</w:t>
      </w:r>
      <w:bookmarkEnd w:id="2130"/>
      <w:r w:rsidRPr="00BA1B56">
        <w:rPr>
          <w:rStyle w:val="TextoNormalCaracter"/>
        </w:rPr>
        <w:t xml:space="preserve">, Autos </w:t>
      </w:r>
      <w:hyperlink w:anchor="AUTO_2012_19" w:history="1">
        <w:r w:rsidRPr="00BA1B56">
          <w:rPr>
            <w:rStyle w:val="TextoNormalCaracter"/>
          </w:rPr>
          <w:t>19/2012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131" w:name="DESCRIPTORALFABETICO780"/>
      <w:r w:rsidRPr="00BA1B56">
        <w:rPr>
          <w:rStyle w:val="TextoNormalNegritaCaracter"/>
        </w:rPr>
        <w:t>Recurso de alzada</w:t>
      </w:r>
      <w:bookmarkEnd w:id="2131"/>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ff. 10, 11.</w:t>
      </w:r>
    </w:p>
    <w:p w:rsidR="00BA1B56" w:rsidRPr="00BA1B56" w:rsidRDefault="00BA1B56" w:rsidP="00BA1B56">
      <w:pPr>
        <w:pStyle w:val="TextoNormalSangraFrancesa"/>
        <w:rPr>
          <w:rStyle w:val="TextoNormalCaracter"/>
        </w:rPr>
      </w:pPr>
      <w:bookmarkStart w:id="2132" w:name="DESCRIPTORALFABETICO356"/>
      <w:r w:rsidRPr="00BA1B56">
        <w:rPr>
          <w:rStyle w:val="TextoNormalNegritaCaracter"/>
        </w:rPr>
        <w:t>Recurso de amparo</w:t>
      </w:r>
      <w:bookmarkEnd w:id="2132"/>
      <w:r w:rsidRPr="00BA1B56">
        <w:rPr>
          <w:rStyle w:val="TextoNormalCaracter"/>
        </w:rPr>
        <w:t xml:space="preserve">, Autos </w:t>
      </w:r>
      <w:hyperlink w:anchor="AUTO_2012_7" w:history="1">
        <w:r w:rsidRPr="00BA1B56">
          <w:rPr>
            <w:rStyle w:val="TextoNormalCaracter"/>
          </w:rPr>
          <w:t>7/2012</w:t>
        </w:r>
      </w:hyperlink>
      <w:r w:rsidRPr="00BA1B56">
        <w:rPr>
          <w:rStyle w:val="TextoNormalCaracter"/>
        </w:rPr>
        <w:t xml:space="preserve">, ff. 2, 3, VP; </w:t>
      </w:r>
      <w:hyperlink w:anchor="AUTO_2012_115" w:history="1">
        <w:r w:rsidRPr="00BA1B56">
          <w:rPr>
            <w:rStyle w:val="TextoNormalCaracter"/>
          </w:rPr>
          <w:t>115/2012</w:t>
        </w:r>
      </w:hyperlink>
      <w:r w:rsidRPr="00BA1B56">
        <w:rPr>
          <w:rStyle w:val="TextoNormalCaracter"/>
        </w:rPr>
        <w:t xml:space="preserve">, ff. 1, 2; </w:t>
      </w:r>
      <w:hyperlink w:anchor="AUTO_2012_131" w:history="1">
        <w:r w:rsidRPr="00BA1B56">
          <w:rPr>
            <w:rStyle w:val="TextoNormalCaracter"/>
          </w:rPr>
          <w:t>131/2012</w:t>
        </w:r>
      </w:hyperlink>
      <w:r w:rsidRPr="00BA1B56">
        <w:rPr>
          <w:rStyle w:val="TextoNormalCaracter"/>
        </w:rPr>
        <w:t>, f. 1.</w:t>
      </w:r>
    </w:p>
    <w:p w:rsidR="00BA1B56" w:rsidRPr="00BA1B56" w:rsidRDefault="00BA1B56" w:rsidP="00BA1B56">
      <w:pPr>
        <w:pStyle w:val="TextoNormalSangraFrancesa"/>
        <w:rPr>
          <w:rStyle w:val="TextoNormalNegritaCaracter"/>
        </w:rPr>
      </w:pPr>
      <w:r w:rsidRPr="00BA1B56">
        <w:rPr>
          <w:rStyle w:val="TextoNormalCursivaCaracter"/>
        </w:rPr>
        <w:t>Recurso de amparo contra actos del Congreso de los Diputados</w:t>
      </w:r>
      <w:r>
        <w:t xml:space="preserve"> véase </w:t>
      </w:r>
      <w:hyperlink w:anchor="DESCRIPTORALFABETICO378" w:history="1">
        <w:r w:rsidRPr="00BA1B56">
          <w:rPr>
            <w:rStyle w:val="TextoNormalNegritaCaracter"/>
          </w:rPr>
          <w:t>Recurso de amparo contra actos parlamentarios</w:t>
        </w:r>
      </w:hyperlink>
    </w:p>
    <w:p w:rsidR="00BA1B56" w:rsidRPr="00BA1B56" w:rsidRDefault="00BA1B56" w:rsidP="00BA1B56">
      <w:pPr>
        <w:pStyle w:val="TextoNormalSangraFrancesa"/>
        <w:rPr>
          <w:rStyle w:val="TextoNormalNegritaCaracter"/>
        </w:rPr>
      </w:pPr>
      <w:r w:rsidRPr="00BA1B56">
        <w:rPr>
          <w:rStyle w:val="TextoNormalCursivaCaracter"/>
        </w:rPr>
        <w:t>Recurso de amparo contra actos del Senado</w:t>
      </w:r>
      <w:r>
        <w:t xml:space="preserve"> véase </w:t>
      </w:r>
      <w:hyperlink w:anchor="DESCRIPTORALFABETICO378" w:history="1">
        <w:r w:rsidRPr="00BA1B56">
          <w:rPr>
            <w:rStyle w:val="TextoNormalNegritaCaracter"/>
          </w:rPr>
          <w:t>Recurso de amparo contra actos parlamentarios</w:t>
        </w:r>
      </w:hyperlink>
    </w:p>
    <w:p w:rsidR="00BA1B56" w:rsidRPr="00BA1B56" w:rsidRDefault="00BA1B56" w:rsidP="00BA1B56">
      <w:pPr>
        <w:pStyle w:val="TextoNormalSangraFrancesa"/>
        <w:rPr>
          <w:rStyle w:val="TextoNormalCaracter"/>
        </w:rPr>
      </w:pPr>
      <w:bookmarkStart w:id="2133" w:name="DESCRIPTORALFABETICO378"/>
      <w:r w:rsidRPr="00BA1B56">
        <w:rPr>
          <w:rStyle w:val="TextoNormalNegritaCaracter"/>
        </w:rPr>
        <w:t>Recurso de amparo contra actos parlamentarios</w:t>
      </w:r>
      <w:bookmarkEnd w:id="2133"/>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 ff. 2 a 4, VP.</w:t>
      </w:r>
    </w:p>
    <w:p w:rsidR="00BA1B56" w:rsidRPr="00BA1B56" w:rsidRDefault="00BA1B56" w:rsidP="00BA1B56">
      <w:pPr>
        <w:pStyle w:val="TextoNormalSangraFrancesa"/>
        <w:rPr>
          <w:rStyle w:val="TextoNormalNegritaCaracter"/>
        </w:rPr>
      </w:pPr>
      <w:r w:rsidRPr="00BA1B56">
        <w:rPr>
          <w:rStyle w:val="TextoNormalCursivaCaracter"/>
        </w:rPr>
        <w:t>Recurso de amparo contra actos sin fuerza de ley de los órganos legislativos</w:t>
      </w:r>
      <w:r>
        <w:t xml:space="preserve"> véase </w:t>
      </w:r>
      <w:hyperlink w:anchor="DESCRIPTORALFABETICO378" w:history="1">
        <w:r w:rsidRPr="00BA1B56">
          <w:rPr>
            <w:rStyle w:val="TextoNormalNegritaCaracter"/>
          </w:rPr>
          <w:t>Recurso de amparo contra actos parlamentarios</w:t>
        </w:r>
      </w:hyperlink>
    </w:p>
    <w:p w:rsidR="00BA1B56" w:rsidRPr="00BA1B56" w:rsidRDefault="00BA1B56" w:rsidP="00BA1B56">
      <w:pPr>
        <w:pStyle w:val="TextoNormalSangraFrancesa"/>
        <w:rPr>
          <w:rStyle w:val="TextoNormalCaracter"/>
        </w:rPr>
      </w:pPr>
      <w:bookmarkStart w:id="2134" w:name="DESCRIPTORALFABETICO368"/>
      <w:r w:rsidRPr="00BA1B56">
        <w:rPr>
          <w:rStyle w:val="TextoNormalNegritaCaracter"/>
        </w:rPr>
        <w:t>Recurso de amparo mixto</w:t>
      </w:r>
      <w:bookmarkEnd w:id="2134"/>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35" w:name="DESCRIPTORALFABETICO369"/>
      <w:r w:rsidRPr="00BA1B56">
        <w:rPr>
          <w:rStyle w:val="TextoNormalNegritaCaracter"/>
        </w:rPr>
        <w:t>Recurso de amparo prematuro</w:t>
      </w:r>
      <w:bookmarkEnd w:id="2135"/>
      <w:r w:rsidRPr="00BA1B56">
        <w:rPr>
          <w:rStyle w:val="TextoNormalCaracter"/>
        </w:rPr>
        <w:t xml:space="preserve">, Auto </w:t>
      </w:r>
      <w:hyperlink w:anchor="AUTO_2012_122" w:history="1">
        <w:r w:rsidRPr="00BA1B56">
          <w:rPr>
            <w:rStyle w:val="TextoNormalCaracter"/>
          </w:rPr>
          <w:t>122/2012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136" w:name="DESCRIPTORALFABETICO974"/>
      <w:r w:rsidRPr="00BA1B56">
        <w:rPr>
          <w:rStyle w:val="TextoNormalNegritaCaracter"/>
        </w:rPr>
        <w:t>Recurso de apelación penal</w:t>
      </w:r>
      <w:bookmarkEnd w:id="2136"/>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ff. 3 a 5.</w:t>
      </w:r>
    </w:p>
    <w:p w:rsidR="00BA1B56" w:rsidRPr="00BA1B56" w:rsidRDefault="00BA1B56" w:rsidP="00BA1B56">
      <w:pPr>
        <w:pStyle w:val="TextoNormalSangraFrancesa"/>
        <w:rPr>
          <w:rStyle w:val="TextoNormalCaracter"/>
        </w:rPr>
      </w:pPr>
      <w:bookmarkStart w:id="2137" w:name="DESCRIPTORALFABETICO951"/>
      <w:r w:rsidRPr="00BA1B56">
        <w:rPr>
          <w:rStyle w:val="TextoNormalNegritaCaracter"/>
        </w:rPr>
        <w:t>Recurso de casación civil</w:t>
      </w:r>
      <w:bookmarkEnd w:id="2137"/>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38" w:name="DESCRIPTORALFABETICO934"/>
      <w:r w:rsidRPr="00BA1B56">
        <w:rPr>
          <w:rStyle w:val="TextoNormalNegritaCaracter"/>
        </w:rPr>
        <w:t>Recurso de casación en interés de ley</w:t>
      </w:r>
      <w:bookmarkEnd w:id="2138"/>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1 a 12; </w:t>
      </w:r>
      <w:hyperlink w:anchor="SENTENCIA_2012_75" w:history="1">
        <w:r w:rsidRPr="00BA1B56">
          <w:rPr>
            <w:rStyle w:val="TextoNormalCaracter"/>
          </w:rPr>
          <w:t>75/2012</w:t>
        </w:r>
      </w:hyperlink>
      <w:r w:rsidRPr="00BA1B56">
        <w:rPr>
          <w:rStyle w:val="TextoNormalCaracter"/>
        </w:rPr>
        <w:t xml:space="preserve">, ff. 2 a 4; </w:t>
      </w:r>
      <w:hyperlink w:anchor="SENTENCIA_2012_91" w:history="1">
        <w:r w:rsidRPr="00BA1B56">
          <w:rPr>
            <w:rStyle w:val="TextoNormalCaracter"/>
          </w:rPr>
          <w:t>91/2012</w:t>
        </w:r>
      </w:hyperlink>
      <w:r w:rsidRPr="00BA1B56">
        <w:rPr>
          <w:rStyle w:val="TextoNormalCaracter"/>
        </w:rPr>
        <w:t xml:space="preserve">, ff. 2 a 4; </w:t>
      </w:r>
      <w:hyperlink w:anchor="SENTENCIA_2012_93" w:history="1">
        <w:r w:rsidRPr="00BA1B56">
          <w:rPr>
            <w:rStyle w:val="TextoNormalCaracter"/>
          </w:rPr>
          <w:t>93/2012</w:t>
        </w:r>
      </w:hyperlink>
      <w:r w:rsidRPr="00BA1B56">
        <w:rPr>
          <w:rStyle w:val="TextoNormalCaracter"/>
        </w:rPr>
        <w:t xml:space="preserve">, ff. 2 a 4; </w:t>
      </w:r>
      <w:hyperlink w:anchor="SENTENCIA_2012_94" w:history="1">
        <w:r w:rsidRPr="00BA1B56">
          <w:rPr>
            <w:rStyle w:val="TextoNormalCaracter"/>
          </w:rPr>
          <w:t>94/2012</w:t>
        </w:r>
      </w:hyperlink>
      <w:r w:rsidRPr="00BA1B56">
        <w:rPr>
          <w:rStyle w:val="TextoNormalCaracter"/>
        </w:rPr>
        <w:t xml:space="preserve">, ff. 3, 4; </w:t>
      </w:r>
      <w:hyperlink w:anchor="SENTENCIA_2012_98" w:history="1">
        <w:r w:rsidRPr="00BA1B56">
          <w:rPr>
            <w:rStyle w:val="TextoNormalCaracter"/>
          </w:rPr>
          <w:t>98/2012</w:t>
        </w:r>
      </w:hyperlink>
      <w:r w:rsidRPr="00BA1B56">
        <w:rPr>
          <w:rStyle w:val="TextoNormalCaracter"/>
        </w:rPr>
        <w:t xml:space="preserve">, ff. 2 a 4; </w:t>
      </w:r>
      <w:hyperlink w:anchor="SENTENCIA_2012_100" w:history="1">
        <w:r w:rsidRPr="00BA1B56">
          <w:rPr>
            <w:rStyle w:val="TextoNormalCaracter"/>
          </w:rPr>
          <w:t>100/2012</w:t>
        </w:r>
      </w:hyperlink>
      <w:r w:rsidRPr="00BA1B56">
        <w:rPr>
          <w:rStyle w:val="TextoNormalCaracter"/>
        </w:rPr>
        <w:t>, f. 10.</w:t>
      </w:r>
    </w:p>
    <w:p w:rsidR="00BA1B56" w:rsidRPr="00BA1B56" w:rsidRDefault="00BA1B56" w:rsidP="00BA1B56">
      <w:pPr>
        <w:pStyle w:val="TextoNormalSangraFrancesa"/>
        <w:rPr>
          <w:rStyle w:val="TextoNormalCaracter"/>
        </w:rPr>
      </w:pPr>
      <w:r w:rsidRPr="00BA1B56">
        <w:rPr>
          <w:rStyle w:val="TextoNormalCursivaCaracter"/>
        </w:rPr>
        <w:t xml:space="preserve">    Naturaleza, </w:t>
      </w:r>
      <w:r w:rsidRPr="00BA1B56">
        <w:rPr>
          <w:rStyle w:val="TextoNormalCaracter"/>
        </w:rPr>
        <w:t xml:space="preserve">Sentencias </w:t>
      </w:r>
      <w:hyperlink w:anchor="SENTENCIA_2012_37" w:history="1">
        <w:r w:rsidRPr="00BA1B56">
          <w:rPr>
            <w:rStyle w:val="TextoNormalCaracter"/>
          </w:rPr>
          <w:t>37/2012</w:t>
        </w:r>
      </w:hyperlink>
      <w:r w:rsidRPr="00BA1B56">
        <w:rPr>
          <w:rStyle w:val="TextoNormalCaracter"/>
        </w:rPr>
        <w:t xml:space="preserve">, f. 3; </w:t>
      </w:r>
      <w:hyperlink w:anchor="SENTENCIA_2012_75" w:history="1">
        <w:r w:rsidRPr="00BA1B56">
          <w:rPr>
            <w:rStyle w:val="TextoNormalCaracter"/>
          </w:rPr>
          <w:t>75/2012</w:t>
        </w:r>
      </w:hyperlink>
      <w:r w:rsidRPr="00BA1B56">
        <w:rPr>
          <w:rStyle w:val="TextoNormalCaracter"/>
        </w:rPr>
        <w:t xml:space="preserve">, f. 3; </w:t>
      </w:r>
      <w:hyperlink w:anchor="SENTENCIA_2012_91" w:history="1">
        <w:r w:rsidRPr="00BA1B56">
          <w:rPr>
            <w:rStyle w:val="TextoNormalCaracter"/>
          </w:rPr>
          <w:t>91/2012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39" w:name="DESCRIPTORALFABETICO975"/>
      <w:r w:rsidRPr="00BA1B56">
        <w:rPr>
          <w:rStyle w:val="TextoNormalNegritaCaracter"/>
        </w:rPr>
        <w:t>Recurso de casación penal</w:t>
      </w:r>
      <w:bookmarkEnd w:id="2139"/>
      <w:r w:rsidRPr="00BA1B56">
        <w:rPr>
          <w:rStyle w:val="TextoNormalCaracter"/>
        </w:rPr>
        <w:t xml:space="preserve">, Sentencia </w:t>
      </w:r>
      <w:hyperlink w:anchor="SENTENCIA_2012_108" w:history="1">
        <w:r w:rsidRPr="00BA1B56">
          <w:rPr>
            <w:rStyle w:val="TextoNormalCaracter"/>
          </w:rPr>
          <w:t>108/2012</w:t>
        </w:r>
      </w:hyperlink>
      <w:r w:rsidRPr="00BA1B56">
        <w:rPr>
          <w:rStyle w:val="TextoNormalCaracter"/>
        </w:rPr>
        <w:t>, f. 5.</w:t>
      </w:r>
    </w:p>
    <w:p w:rsidR="00BA1B56" w:rsidRPr="00BA1B56" w:rsidRDefault="00BA1B56" w:rsidP="00BA1B56">
      <w:pPr>
        <w:pStyle w:val="TextoNormalSangraFrancesa"/>
        <w:rPr>
          <w:rStyle w:val="TextoNormalCaracter"/>
        </w:rPr>
      </w:pPr>
      <w:bookmarkStart w:id="2140" w:name="DESCRIPTORALFABETICO977"/>
      <w:r w:rsidRPr="00BA1B56">
        <w:rPr>
          <w:rStyle w:val="TextoNormalNegritaCaracter"/>
        </w:rPr>
        <w:t>Recurso de casación penal exigible</w:t>
      </w:r>
      <w:bookmarkEnd w:id="2140"/>
      <w:r w:rsidRPr="00BA1B56">
        <w:rPr>
          <w:rStyle w:val="TextoNormalCaracter"/>
        </w:rPr>
        <w:t xml:space="preserve">, Sentencias </w:t>
      </w:r>
      <w:hyperlink w:anchor="SENTENCIA_2012_58" w:history="1">
        <w:r w:rsidRPr="00BA1B56">
          <w:rPr>
            <w:rStyle w:val="TextoNormalCaracter"/>
          </w:rPr>
          <w:t>58/2012</w:t>
        </w:r>
      </w:hyperlink>
      <w:r w:rsidRPr="00BA1B56">
        <w:rPr>
          <w:rStyle w:val="TextoNormalCaracter"/>
        </w:rPr>
        <w:t xml:space="preserve">, f. 3; </w:t>
      </w:r>
      <w:hyperlink w:anchor="SENTENCIA_2012_60" w:history="1">
        <w:r w:rsidRPr="00BA1B56">
          <w:rPr>
            <w:rStyle w:val="TextoNormalCaracter"/>
          </w:rPr>
          <w:t>60/2012</w:t>
        </w:r>
      </w:hyperlink>
      <w:r w:rsidRPr="00BA1B56">
        <w:rPr>
          <w:rStyle w:val="TextoNormalCaracter"/>
        </w:rPr>
        <w:t xml:space="preserve">, f. 3; </w:t>
      </w:r>
      <w:hyperlink w:anchor="SENTENCIA_2012_63" w:history="1">
        <w:r w:rsidRPr="00BA1B56">
          <w:rPr>
            <w:rStyle w:val="TextoNormalCaracter"/>
          </w:rPr>
          <w:t>63/2012</w:t>
        </w:r>
      </w:hyperlink>
      <w:r w:rsidRPr="00BA1B56">
        <w:rPr>
          <w:rStyle w:val="TextoNormalCaracter"/>
        </w:rPr>
        <w:t xml:space="preserve">, f. 3;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41" w:name="DESCRIPTORALFABETICO978"/>
      <w:r w:rsidRPr="00BA1B56">
        <w:rPr>
          <w:rStyle w:val="TextoNormalNegritaCaracter"/>
        </w:rPr>
        <w:t>Recurso de casación penal por infracción de ley</w:t>
      </w:r>
      <w:bookmarkEnd w:id="2141"/>
      <w:r w:rsidRPr="00BA1B56">
        <w:rPr>
          <w:rStyle w:val="TextoNormalCaracter"/>
        </w:rPr>
        <w:t xml:space="preserve">, Sentencias </w:t>
      </w:r>
      <w:hyperlink w:anchor="SENTENCIA_2012_58" w:history="1">
        <w:r w:rsidRPr="00BA1B56">
          <w:rPr>
            <w:rStyle w:val="TextoNormalCaracter"/>
          </w:rPr>
          <w:t>58/2012</w:t>
        </w:r>
      </w:hyperlink>
      <w:r w:rsidRPr="00BA1B56">
        <w:rPr>
          <w:rStyle w:val="TextoNormalCaracter"/>
        </w:rPr>
        <w:t xml:space="preserve">, f. 3; </w:t>
      </w:r>
      <w:hyperlink w:anchor="SENTENCIA_2012_60" w:history="1">
        <w:r w:rsidRPr="00BA1B56">
          <w:rPr>
            <w:rStyle w:val="TextoNormalCaracter"/>
          </w:rPr>
          <w:t>60/2012</w:t>
        </w:r>
      </w:hyperlink>
      <w:r w:rsidRPr="00BA1B56">
        <w:rPr>
          <w:rStyle w:val="TextoNormalCaracter"/>
        </w:rPr>
        <w:t xml:space="preserve">, f. 3; </w:t>
      </w:r>
      <w:hyperlink w:anchor="SENTENCIA_2012_63" w:history="1">
        <w:r w:rsidRPr="00BA1B56">
          <w:rPr>
            <w:rStyle w:val="TextoNormalCaracter"/>
          </w:rPr>
          <w:t>63/2012</w:t>
        </w:r>
      </w:hyperlink>
      <w:r w:rsidRPr="00BA1B56">
        <w:rPr>
          <w:rStyle w:val="TextoNormalCaracter"/>
        </w:rPr>
        <w:t xml:space="preserve">, f. 3; </w:t>
      </w:r>
      <w:hyperlink w:anchor="SENTENCIA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42" w:name="DESCRIPTORALFABETICO355"/>
      <w:r w:rsidRPr="00BA1B56">
        <w:rPr>
          <w:rStyle w:val="TextoNormalNegritaCaracter"/>
        </w:rPr>
        <w:t>Recurso de inconstitucionalidad</w:t>
      </w:r>
      <w:bookmarkEnd w:id="2142"/>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 2; </w:t>
      </w:r>
      <w:hyperlink w:anchor="SENTENCIA_2012_83" w:history="1">
        <w:r w:rsidRPr="00BA1B56">
          <w:rPr>
            <w:rStyle w:val="TextoNormalCaracter"/>
          </w:rPr>
          <w:t>83/2012</w:t>
        </w:r>
      </w:hyperlink>
      <w:r w:rsidRPr="00BA1B56">
        <w:rPr>
          <w:rStyle w:val="TextoNormalCaracter"/>
        </w:rPr>
        <w:t xml:space="preserve">, f. 2; </w:t>
      </w:r>
      <w:hyperlink w:anchor="SENTENCIA_2012_111" w:history="1">
        <w:r w:rsidRPr="00BA1B56">
          <w:rPr>
            <w:rStyle w:val="TextoNormalCaracter"/>
          </w:rPr>
          <w:t>111/2012</w:t>
        </w:r>
      </w:hyperlink>
      <w:r w:rsidRPr="00BA1B56">
        <w:rPr>
          <w:rStyle w:val="TextoNormalCaracter"/>
        </w:rPr>
        <w:t xml:space="preserve">, ff. 2, 13; </w:t>
      </w:r>
      <w:hyperlink w:anchor="SENTENCIA_2012_122" w:history="1">
        <w:r w:rsidRPr="00BA1B56">
          <w:rPr>
            <w:rStyle w:val="TextoNormalCaracter"/>
          </w:rPr>
          <w:t>122/2012</w:t>
        </w:r>
      </w:hyperlink>
      <w:r w:rsidRPr="00BA1B56">
        <w:rPr>
          <w:rStyle w:val="TextoNormalCaracter"/>
        </w:rPr>
        <w:t>, ff. 1 a 3.</w:t>
      </w:r>
    </w:p>
    <w:p w:rsidR="00BA1B56" w:rsidRPr="00BA1B56" w:rsidRDefault="00BA1B56" w:rsidP="00BA1B56">
      <w:pPr>
        <w:pStyle w:val="TextoNormalSangraFrancesa"/>
        <w:rPr>
          <w:rStyle w:val="TextoNormalCaracter"/>
        </w:rPr>
      </w:pPr>
      <w:r w:rsidRPr="00BA1B56">
        <w:rPr>
          <w:rStyle w:val="TextoNormalCaracter"/>
        </w:rPr>
        <w:t xml:space="preserve">    Autos </w:t>
      </w:r>
      <w:hyperlink w:anchor="AUTO_2012_49" w:history="1">
        <w:r w:rsidRPr="00BA1B56">
          <w:rPr>
            <w:rStyle w:val="TextoNormalCaracter"/>
          </w:rPr>
          <w:t>49/2012</w:t>
        </w:r>
      </w:hyperlink>
      <w:r w:rsidRPr="00BA1B56">
        <w:rPr>
          <w:rStyle w:val="TextoNormalCaracter"/>
        </w:rPr>
        <w:t xml:space="preserve">, f. 2; </w:t>
      </w:r>
      <w:hyperlink w:anchor="AUTO_2012_118" w:history="1">
        <w:r w:rsidRPr="00BA1B56">
          <w:rPr>
            <w:rStyle w:val="TextoNormalCaracter"/>
          </w:rPr>
          <w:t>118/2012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43" w:name="DESCRIPTORALFABETICO935"/>
      <w:r w:rsidRPr="00BA1B56">
        <w:rPr>
          <w:rStyle w:val="TextoNormalNegritaCaracter"/>
        </w:rPr>
        <w:t>Recurso de súplica</w:t>
      </w:r>
      <w:bookmarkEnd w:id="2143"/>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2; </w:t>
      </w:r>
      <w:hyperlink w:anchor="SENTENCIA_2012_40" w:history="1">
        <w:r w:rsidRPr="00BA1B56">
          <w:rPr>
            <w:rStyle w:val="TextoNormalCaracter"/>
          </w:rPr>
          <w:t>40/2012</w:t>
        </w:r>
      </w:hyperlink>
      <w:r w:rsidRPr="00BA1B56">
        <w:rPr>
          <w:rStyle w:val="TextoNormalCaracter"/>
        </w:rPr>
        <w:t xml:space="preserve">, f. 4; </w:t>
      </w:r>
      <w:hyperlink w:anchor="SENTENCIA_2012_41" w:history="1">
        <w:r w:rsidRPr="00BA1B56">
          <w:rPr>
            <w:rStyle w:val="TextoNormalCaracter"/>
          </w:rPr>
          <w:t>41/2012</w:t>
        </w:r>
      </w:hyperlink>
      <w:r w:rsidRPr="00BA1B56">
        <w:rPr>
          <w:rStyle w:val="TextoNormalCaracter"/>
        </w:rPr>
        <w:t xml:space="preserve">, f. 5; </w:t>
      </w:r>
      <w:hyperlink w:anchor="SENTENCIA_2012_42" w:history="1">
        <w:r w:rsidRPr="00BA1B56">
          <w:rPr>
            <w:rStyle w:val="TextoNormalCaracter"/>
          </w:rPr>
          <w:t>42/2012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2; </w:t>
      </w:r>
      <w:hyperlink w:anchor="SENTENCIA_2012_45" w:history="1">
        <w:r w:rsidRPr="00BA1B56">
          <w:rPr>
            <w:rStyle w:val="TextoNormalCaracter"/>
          </w:rPr>
          <w:t>45/2012</w:t>
        </w:r>
      </w:hyperlink>
      <w:r w:rsidRPr="00BA1B56">
        <w:rPr>
          <w:rStyle w:val="TextoNormalCaracter"/>
        </w:rPr>
        <w:t xml:space="preserve">, f. 2; </w:t>
      </w:r>
      <w:hyperlink w:anchor="SENTENCIA_2012_46" w:history="1">
        <w:r w:rsidRPr="00BA1B56">
          <w:rPr>
            <w:rStyle w:val="TextoNormalCaracter"/>
          </w:rPr>
          <w:t>46/2012</w:t>
        </w:r>
      </w:hyperlink>
      <w:r w:rsidRPr="00BA1B56">
        <w:rPr>
          <w:rStyle w:val="TextoNormalCaracter"/>
        </w:rPr>
        <w:t xml:space="preserve">, f. 2; </w:t>
      </w:r>
      <w:hyperlink w:anchor="SENTENCIA_2012_48" w:history="1">
        <w:r w:rsidRPr="00BA1B56">
          <w:rPr>
            <w:rStyle w:val="TextoNormalCaracter"/>
          </w:rPr>
          <w:t>48/2012</w:t>
        </w:r>
      </w:hyperlink>
      <w:r w:rsidRPr="00BA1B56">
        <w:rPr>
          <w:rStyle w:val="TextoNormalCaracter"/>
        </w:rPr>
        <w:t xml:space="preserve">, f. 3; </w:t>
      </w:r>
      <w:hyperlink w:anchor="SENTENCIA_2012_49" w:history="1">
        <w:r w:rsidRPr="00BA1B56">
          <w:rPr>
            <w:rStyle w:val="TextoNormalCaracter"/>
          </w:rPr>
          <w:t>49/2012</w:t>
        </w:r>
      </w:hyperlink>
      <w:r w:rsidRPr="00BA1B56">
        <w:rPr>
          <w:rStyle w:val="TextoNormalCaracter"/>
        </w:rPr>
        <w:t xml:space="preserve">, f. 2; </w:t>
      </w:r>
      <w:hyperlink w:anchor="SENTENCIA_2012_50" w:history="1">
        <w:r w:rsidRPr="00BA1B56">
          <w:rPr>
            <w:rStyle w:val="TextoNormalCaracter"/>
          </w:rPr>
          <w:t>50/2012</w:t>
        </w:r>
      </w:hyperlink>
      <w:r w:rsidRPr="00BA1B56">
        <w:rPr>
          <w:rStyle w:val="TextoNormalCaracter"/>
        </w:rPr>
        <w:t xml:space="preserve">, f. 2; </w:t>
      </w:r>
      <w:hyperlink w:anchor="SENTENCIA_2012_51" w:history="1">
        <w:r w:rsidRPr="00BA1B56">
          <w:rPr>
            <w:rStyle w:val="TextoNormalCaracter"/>
          </w:rPr>
          <w:t>51/2012</w:t>
        </w:r>
      </w:hyperlink>
      <w:r w:rsidRPr="00BA1B56">
        <w:rPr>
          <w:rStyle w:val="TextoNormalCaracter"/>
        </w:rPr>
        <w:t xml:space="preserve">, f. 3; </w:t>
      </w:r>
      <w:hyperlink w:anchor="SENTENCIA_2012_52" w:history="1">
        <w:r w:rsidRPr="00BA1B56">
          <w:rPr>
            <w:rStyle w:val="TextoNormalCaracter"/>
          </w:rPr>
          <w:t>52/2012</w:t>
        </w:r>
      </w:hyperlink>
      <w:r w:rsidRPr="00BA1B56">
        <w:rPr>
          <w:rStyle w:val="TextoNormalCaracter"/>
        </w:rPr>
        <w:t xml:space="preserve">, f. 2; </w:t>
      </w:r>
      <w:hyperlink w:anchor="SENTENCIA_2012_54" w:history="1">
        <w:r w:rsidRPr="00BA1B56">
          <w:rPr>
            <w:rStyle w:val="TextoNormalCaracter"/>
          </w:rPr>
          <w:t>54/2012</w:t>
        </w:r>
      </w:hyperlink>
      <w:r w:rsidRPr="00BA1B56">
        <w:rPr>
          <w:rStyle w:val="TextoNormalCaracter"/>
        </w:rPr>
        <w:t xml:space="preserve">, f. 3; </w:t>
      </w:r>
      <w:hyperlink w:anchor="SENTENCIA_2012_55" w:history="1">
        <w:r w:rsidRPr="00BA1B56">
          <w:rPr>
            <w:rStyle w:val="TextoNormalCaracter"/>
          </w:rPr>
          <w:t>55/2012</w:t>
        </w:r>
      </w:hyperlink>
      <w:r w:rsidRPr="00BA1B56">
        <w:rPr>
          <w:rStyle w:val="TextoNormalCaracter"/>
        </w:rPr>
        <w:t xml:space="preserve">, f. 3; </w:t>
      </w:r>
      <w:hyperlink w:anchor="SENTENCIA_2012_113" w:history="1">
        <w:r w:rsidRPr="00BA1B56">
          <w:rPr>
            <w:rStyle w:val="TextoNormalCaracter"/>
          </w:rPr>
          <w:t>113/2012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44" w:name="DESCRIPTORALFABETICO956"/>
      <w:r w:rsidRPr="00BA1B56">
        <w:rPr>
          <w:rStyle w:val="TextoNormalNegritaCaracter"/>
        </w:rPr>
        <w:t>Recurso de suplicación</w:t>
      </w:r>
      <w:bookmarkEnd w:id="2144"/>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45" w:name="DESCRIPTORALFABETICO937"/>
      <w:r w:rsidRPr="00BA1B56">
        <w:rPr>
          <w:rStyle w:val="TextoNormalNegritaCaracter"/>
        </w:rPr>
        <w:t>Recurso extraordinario por infracción procesal</w:t>
      </w:r>
      <w:bookmarkEnd w:id="2145"/>
      <w:r w:rsidRPr="00BA1B56">
        <w:rPr>
          <w:rStyle w:val="TextoNormalCaracter"/>
        </w:rPr>
        <w:t xml:space="preserve">, Sentencia </w:t>
      </w:r>
      <w:hyperlink w:anchor="SENTENCIA_2012_10" w:history="1">
        <w:r w:rsidRPr="00BA1B56">
          <w:rPr>
            <w:rStyle w:val="TextoNormalCaracter"/>
          </w:rPr>
          <w:t>10/2012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46" w:name="DESCRIPTORALFABETICO678"/>
      <w:r w:rsidRPr="00BA1B56">
        <w:rPr>
          <w:rStyle w:val="TextoNormalNegritaCaracter"/>
        </w:rPr>
        <w:t>Red de carreteras del Estado</w:t>
      </w:r>
      <w:bookmarkEnd w:id="2146"/>
      <w:r w:rsidRPr="00BA1B56">
        <w:rPr>
          <w:rStyle w:val="TextoNormalCaracter"/>
        </w:rPr>
        <w:t xml:space="preserve">, Sentencias </w:t>
      </w:r>
      <w:hyperlink w:anchor="SENTENCIA_2012_112" w:history="1">
        <w:r w:rsidRPr="00BA1B56">
          <w:rPr>
            <w:rStyle w:val="TextoNormalCaracter"/>
          </w:rPr>
          <w:t>112/2012</w:t>
        </w:r>
      </w:hyperlink>
      <w:r w:rsidRPr="00BA1B56">
        <w:rPr>
          <w:rStyle w:val="TextoNormalCaracter"/>
        </w:rPr>
        <w:t xml:space="preserve">, ff. 2, 4, 5; </w:t>
      </w:r>
      <w:hyperlink w:anchor="SENTENCIA_2012_124" w:history="1">
        <w:r w:rsidRPr="00BA1B56">
          <w:rPr>
            <w:rStyle w:val="TextoNormalCaracter"/>
          </w:rPr>
          <w:t>124/2012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47" w:name="DESCRIPTORALFABETICO764"/>
      <w:r w:rsidRPr="00BA1B56">
        <w:rPr>
          <w:rStyle w:val="TextoNormalNegritaCaracter"/>
        </w:rPr>
        <w:lastRenderedPageBreak/>
        <w:t>Redención de penas por el trabajo</w:t>
      </w:r>
      <w:bookmarkEnd w:id="2147"/>
      <w:r w:rsidRPr="00BA1B56">
        <w:rPr>
          <w:rStyle w:val="TextoNormalCaracter"/>
        </w:rPr>
        <w:t xml:space="preserve">, Sentencias </w:t>
      </w:r>
      <w:hyperlink w:anchor="SENTENCIA_2012_40" w:history="1">
        <w:r w:rsidRPr="00BA1B56">
          <w:rPr>
            <w:rStyle w:val="TextoNormalCaracter"/>
          </w:rPr>
          <w:t>40/2012</w:t>
        </w:r>
      </w:hyperlink>
      <w:r w:rsidRPr="00BA1B56">
        <w:rPr>
          <w:rStyle w:val="TextoNormalCaracter"/>
        </w:rPr>
        <w:t xml:space="preserve">, f. 11; </w:t>
      </w:r>
      <w:hyperlink w:anchor="SENTENCIA_2012_41" w:history="1">
        <w:r w:rsidRPr="00BA1B56">
          <w:rPr>
            <w:rStyle w:val="TextoNormalCaracter"/>
          </w:rPr>
          <w:t>41/2012</w:t>
        </w:r>
      </w:hyperlink>
      <w:r w:rsidRPr="00BA1B56">
        <w:rPr>
          <w:rStyle w:val="TextoNormalCaracter"/>
        </w:rPr>
        <w:t xml:space="preserve">, f. 10; </w:t>
      </w:r>
      <w:hyperlink w:anchor="SENTENCIA_2012_42" w:history="1">
        <w:r w:rsidRPr="00BA1B56">
          <w:rPr>
            <w:rStyle w:val="TextoNormalCaracter"/>
          </w:rPr>
          <w:t>42/2012</w:t>
        </w:r>
      </w:hyperlink>
      <w:r w:rsidRPr="00BA1B56">
        <w:rPr>
          <w:rStyle w:val="TextoNormalCaracter"/>
        </w:rPr>
        <w:t xml:space="preserve">, f. 10; </w:t>
      </w:r>
      <w:hyperlink w:anchor="SENTENCIA_2012_43" w:history="1">
        <w:r w:rsidRPr="00BA1B56">
          <w:rPr>
            <w:rStyle w:val="TextoNormalCaracter"/>
          </w:rPr>
          <w:t>43/2012</w:t>
        </w:r>
      </w:hyperlink>
      <w:r w:rsidRPr="00BA1B56">
        <w:rPr>
          <w:rStyle w:val="TextoNormalCaracter"/>
        </w:rPr>
        <w:t xml:space="preserve">, f. 9; </w:t>
      </w:r>
      <w:hyperlink w:anchor="SENTENCIA_2012_44" w:history="1">
        <w:r w:rsidRPr="00BA1B56">
          <w:rPr>
            <w:rStyle w:val="TextoNormalCaracter"/>
          </w:rPr>
          <w:t>44/2012</w:t>
        </w:r>
      </w:hyperlink>
      <w:r w:rsidRPr="00BA1B56">
        <w:rPr>
          <w:rStyle w:val="TextoNormalCaracter"/>
        </w:rPr>
        <w:t xml:space="preserve">, f. 7; </w:t>
      </w:r>
      <w:hyperlink w:anchor="SENTENCIA_2012_46" w:history="1">
        <w:r w:rsidRPr="00BA1B56">
          <w:rPr>
            <w:rStyle w:val="TextoNormalCaracter"/>
          </w:rPr>
          <w:t>46/2012</w:t>
        </w:r>
      </w:hyperlink>
      <w:r w:rsidRPr="00BA1B56">
        <w:rPr>
          <w:rStyle w:val="TextoNormalCaracter"/>
        </w:rPr>
        <w:t xml:space="preserve">, f. 9; </w:t>
      </w:r>
      <w:hyperlink w:anchor="SENTENCIA_2012_51" w:history="1">
        <w:r w:rsidRPr="00BA1B56">
          <w:rPr>
            <w:rStyle w:val="TextoNormalCaracter"/>
          </w:rPr>
          <w:t>51/2012</w:t>
        </w:r>
      </w:hyperlink>
      <w:r w:rsidRPr="00BA1B56">
        <w:rPr>
          <w:rStyle w:val="TextoNormalCaracter"/>
        </w:rPr>
        <w:t xml:space="preserve">, f. 8; </w:t>
      </w:r>
      <w:hyperlink w:anchor="SENTENCIA_2012_52" w:history="1">
        <w:r w:rsidRPr="00BA1B56">
          <w:rPr>
            <w:rStyle w:val="TextoNormalCaracter"/>
          </w:rPr>
          <w:t>52/2012</w:t>
        </w:r>
      </w:hyperlink>
      <w:r w:rsidRPr="00BA1B56">
        <w:rPr>
          <w:rStyle w:val="TextoNormalCaracter"/>
        </w:rPr>
        <w:t xml:space="preserve">, f. 7; </w:t>
      </w:r>
      <w:hyperlink w:anchor="SENTENCIA_2012_54" w:history="1">
        <w:r w:rsidRPr="00BA1B56">
          <w:rPr>
            <w:rStyle w:val="TextoNormalCaracter"/>
          </w:rPr>
          <w:t>54/2012</w:t>
        </w:r>
      </w:hyperlink>
      <w:r w:rsidRPr="00BA1B56">
        <w:rPr>
          <w:rStyle w:val="TextoNormalCaracter"/>
        </w:rPr>
        <w:t xml:space="preserve">, f. 2; </w:t>
      </w:r>
      <w:hyperlink w:anchor="SENTENCIA_2012_56" w:history="1">
        <w:r w:rsidRPr="00BA1B56">
          <w:rPr>
            <w:rStyle w:val="TextoNormalCaracter"/>
          </w:rPr>
          <w:t>56/2012</w:t>
        </w:r>
      </w:hyperlink>
      <w:r w:rsidRPr="00BA1B56">
        <w:rPr>
          <w:rStyle w:val="TextoNormalCaracter"/>
        </w:rPr>
        <w:t xml:space="preserve">, f. 6; </w:t>
      </w:r>
      <w:hyperlink w:anchor="SENTENCIA_2012_59" w:history="1">
        <w:r w:rsidRPr="00BA1B56">
          <w:rPr>
            <w:rStyle w:val="TextoNormalCaracter"/>
          </w:rPr>
          <w:t>59/2012</w:t>
        </w:r>
      </w:hyperlink>
      <w:r w:rsidRPr="00BA1B56">
        <w:rPr>
          <w:rStyle w:val="TextoNormalCaracter"/>
        </w:rPr>
        <w:t xml:space="preserve">, f. 2; </w:t>
      </w:r>
      <w:hyperlink w:anchor="SENTENCIA_2012_62" w:history="1">
        <w:r w:rsidRPr="00BA1B56">
          <w:rPr>
            <w:rStyle w:val="TextoNormalCaracter"/>
          </w:rPr>
          <w:t>62/2012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 8; </w:t>
      </w:r>
      <w:hyperlink w:anchor="SENTENCIA_2012_65" w:history="1">
        <w:r w:rsidRPr="00BA1B56">
          <w:rPr>
            <w:rStyle w:val="TextoNormalCaracter"/>
          </w:rPr>
          <w:t>65/2012</w:t>
        </w:r>
      </w:hyperlink>
      <w:r w:rsidRPr="00BA1B56">
        <w:rPr>
          <w:rStyle w:val="TextoNormalCaracter"/>
        </w:rPr>
        <w:t xml:space="preserve">, f. 9; </w:t>
      </w:r>
      <w:hyperlink w:anchor="SENTENCIA_2012_66" w:history="1">
        <w:r w:rsidRPr="00BA1B56">
          <w:rPr>
            <w:rStyle w:val="TextoNormalCaracter"/>
          </w:rPr>
          <w:t>66/2012</w:t>
        </w:r>
      </w:hyperlink>
      <w:r w:rsidRPr="00BA1B56">
        <w:rPr>
          <w:rStyle w:val="TextoNormalCaracter"/>
        </w:rPr>
        <w:t xml:space="preserve">, f. 2; </w:t>
      </w:r>
      <w:hyperlink w:anchor="SENTENCIA_2012_67" w:history="1">
        <w:r w:rsidRPr="00BA1B56">
          <w:rPr>
            <w:rStyle w:val="TextoNormalCaracter"/>
          </w:rPr>
          <w:t>67/2012</w:t>
        </w:r>
      </w:hyperlink>
      <w:r w:rsidRPr="00BA1B56">
        <w:rPr>
          <w:rStyle w:val="TextoNormalCaracter"/>
        </w:rPr>
        <w:t xml:space="preserve">, f. 8; </w:t>
      </w:r>
      <w:hyperlink w:anchor="SENTENCIA_2012_68" w:history="1">
        <w:r w:rsidRPr="00BA1B56">
          <w:rPr>
            <w:rStyle w:val="TextoNormalCaracter"/>
          </w:rPr>
          <w:t>68/2012</w:t>
        </w:r>
      </w:hyperlink>
      <w:r w:rsidRPr="00BA1B56">
        <w:rPr>
          <w:rStyle w:val="TextoNormalCaracter"/>
        </w:rPr>
        <w:t xml:space="preserve">, f. 2; </w:t>
      </w:r>
      <w:hyperlink w:anchor="SENTENCIA_2012_69" w:history="1">
        <w:r w:rsidRPr="00BA1B56">
          <w:rPr>
            <w:rStyle w:val="TextoNormalCaracter"/>
          </w:rPr>
          <w:t>69/2012</w:t>
        </w:r>
      </w:hyperlink>
      <w:r w:rsidRPr="00BA1B56">
        <w:rPr>
          <w:rStyle w:val="TextoNormalCaracter"/>
        </w:rPr>
        <w:t xml:space="preserve">, f. 9; </w:t>
      </w:r>
      <w:hyperlink w:anchor="SENTENCIA_2012_108" w:history="1">
        <w:r w:rsidRPr="00BA1B56">
          <w:rPr>
            <w:rStyle w:val="TextoNormalCaracter"/>
          </w:rPr>
          <w:t>108/2012</w:t>
        </w:r>
      </w:hyperlink>
      <w:r w:rsidRPr="00BA1B56">
        <w:rPr>
          <w:rStyle w:val="TextoNormalCaracter"/>
        </w:rPr>
        <w:t xml:space="preserve">, f. 6; </w:t>
      </w:r>
      <w:hyperlink w:anchor="SENTENCIA_2012_114" w:history="1">
        <w:r w:rsidRPr="00BA1B56">
          <w:rPr>
            <w:rStyle w:val="TextoNormalCaracter"/>
          </w:rPr>
          <w:t>114/2012</w:t>
        </w:r>
      </w:hyperlink>
      <w:r w:rsidRPr="00BA1B56">
        <w:rPr>
          <w:rStyle w:val="TextoNormalCaracter"/>
        </w:rPr>
        <w:t>, f. 7.</w:t>
      </w:r>
    </w:p>
    <w:p w:rsidR="00BA1B56" w:rsidRPr="00BA1B56" w:rsidRDefault="00BA1B56" w:rsidP="00BA1B56">
      <w:pPr>
        <w:pStyle w:val="TextoNormalSangraFrancesa"/>
        <w:rPr>
          <w:rStyle w:val="TextoNormalCaracter"/>
        </w:rPr>
      </w:pPr>
      <w:r w:rsidRPr="00BA1B56">
        <w:rPr>
          <w:rStyle w:val="TextoNormalCursivaCaracter"/>
        </w:rPr>
        <w:t xml:space="preserve">    Naturaleza, </w:t>
      </w:r>
      <w:r w:rsidRPr="00BA1B56">
        <w:rPr>
          <w:rStyle w:val="TextoNormalCaracter"/>
        </w:rPr>
        <w:t xml:space="preserve">Sentencias </w:t>
      </w:r>
      <w:hyperlink w:anchor="SENTENCIA_2012_40" w:history="1">
        <w:r w:rsidRPr="00BA1B56">
          <w:rPr>
            <w:rStyle w:val="TextoNormalCaracter"/>
          </w:rPr>
          <w:t>40/2012</w:t>
        </w:r>
      </w:hyperlink>
      <w:r w:rsidRPr="00BA1B56">
        <w:rPr>
          <w:rStyle w:val="TextoNormalCaracter"/>
        </w:rPr>
        <w:t xml:space="preserve">, f. 11; </w:t>
      </w:r>
      <w:hyperlink w:anchor="SENTENCIA_2012_41" w:history="1">
        <w:r w:rsidRPr="00BA1B56">
          <w:rPr>
            <w:rStyle w:val="TextoNormalCaracter"/>
          </w:rPr>
          <w:t>41/2012</w:t>
        </w:r>
      </w:hyperlink>
      <w:r w:rsidRPr="00BA1B56">
        <w:rPr>
          <w:rStyle w:val="TextoNormalCaracter"/>
        </w:rPr>
        <w:t xml:space="preserve">, f. 10; </w:t>
      </w:r>
      <w:hyperlink w:anchor="SENTENCIA_2012_42" w:history="1">
        <w:r w:rsidRPr="00BA1B56">
          <w:rPr>
            <w:rStyle w:val="TextoNormalCaracter"/>
          </w:rPr>
          <w:t>42/2012</w:t>
        </w:r>
      </w:hyperlink>
      <w:r w:rsidRPr="00BA1B56">
        <w:rPr>
          <w:rStyle w:val="TextoNormalCaracter"/>
        </w:rPr>
        <w:t xml:space="preserve">, f. 10; </w:t>
      </w:r>
      <w:hyperlink w:anchor="SENTENCIA_2012_43" w:history="1">
        <w:r w:rsidRPr="00BA1B56">
          <w:rPr>
            <w:rStyle w:val="TextoNormalCaracter"/>
          </w:rPr>
          <w:t>43/2012</w:t>
        </w:r>
      </w:hyperlink>
      <w:r w:rsidRPr="00BA1B56">
        <w:rPr>
          <w:rStyle w:val="TextoNormalCaracter"/>
        </w:rPr>
        <w:t xml:space="preserve">, f. 9; </w:t>
      </w:r>
      <w:hyperlink w:anchor="SENTENCIA_2012_44" w:history="1">
        <w:r w:rsidRPr="00BA1B56">
          <w:rPr>
            <w:rStyle w:val="TextoNormalCaracter"/>
          </w:rPr>
          <w:t>44/2012</w:t>
        </w:r>
      </w:hyperlink>
      <w:r w:rsidRPr="00BA1B56">
        <w:rPr>
          <w:rStyle w:val="TextoNormalCaracter"/>
        </w:rPr>
        <w:t xml:space="preserve">, f. 7; </w:t>
      </w:r>
      <w:hyperlink w:anchor="SENTENCIA_2012_46" w:history="1">
        <w:r w:rsidRPr="00BA1B56">
          <w:rPr>
            <w:rStyle w:val="TextoNormalCaracter"/>
          </w:rPr>
          <w:t>46/2012</w:t>
        </w:r>
      </w:hyperlink>
      <w:r w:rsidRPr="00BA1B56">
        <w:rPr>
          <w:rStyle w:val="TextoNormalCaracter"/>
        </w:rPr>
        <w:t xml:space="preserve">, f. 9; </w:t>
      </w:r>
      <w:hyperlink w:anchor="SENTENCIA_2012_47" w:history="1">
        <w:r w:rsidRPr="00BA1B56">
          <w:rPr>
            <w:rStyle w:val="TextoNormalCaracter"/>
          </w:rPr>
          <w:t>47/2012</w:t>
        </w:r>
      </w:hyperlink>
      <w:r w:rsidRPr="00BA1B56">
        <w:rPr>
          <w:rStyle w:val="TextoNormalCaracter"/>
        </w:rPr>
        <w:t xml:space="preserve">, f. 5; </w:t>
      </w:r>
      <w:hyperlink w:anchor="SENTENCIA_2012_48" w:history="1">
        <w:r w:rsidRPr="00BA1B56">
          <w:rPr>
            <w:rStyle w:val="TextoNormalCaracter"/>
          </w:rPr>
          <w:t>48/2012</w:t>
        </w:r>
      </w:hyperlink>
      <w:r w:rsidRPr="00BA1B56">
        <w:rPr>
          <w:rStyle w:val="TextoNormalCaracter"/>
        </w:rPr>
        <w:t xml:space="preserve">, f. 5; </w:t>
      </w:r>
      <w:hyperlink w:anchor="SENTENCIA_2012_49" w:history="1">
        <w:r w:rsidRPr="00BA1B56">
          <w:rPr>
            <w:rStyle w:val="TextoNormalCaracter"/>
          </w:rPr>
          <w:t>49/2012</w:t>
        </w:r>
      </w:hyperlink>
      <w:r w:rsidRPr="00BA1B56">
        <w:rPr>
          <w:rStyle w:val="TextoNormalCaracter"/>
        </w:rPr>
        <w:t xml:space="preserve">, f. 5; </w:t>
      </w:r>
      <w:hyperlink w:anchor="SENTENCIA_2012_50" w:history="1">
        <w:r w:rsidRPr="00BA1B56">
          <w:rPr>
            <w:rStyle w:val="TextoNormalCaracter"/>
          </w:rPr>
          <w:t>50/2012</w:t>
        </w:r>
      </w:hyperlink>
      <w:r w:rsidRPr="00BA1B56">
        <w:rPr>
          <w:rStyle w:val="TextoNormalCaracter"/>
        </w:rPr>
        <w:t xml:space="preserve">, f. 5; </w:t>
      </w:r>
      <w:hyperlink w:anchor="SENTENCIA_2012_51" w:history="1">
        <w:r w:rsidRPr="00BA1B56">
          <w:rPr>
            <w:rStyle w:val="TextoNormalCaracter"/>
          </w:rPr>
          <w:t>51/2012</w:t>
        </w:r>
      </w:hyperlink>
      <w:r w:rsidRPr="00BA1B56">
        <w:rPr>
          <w:rStyle w:val="TextoNormalCaracter"/>
        </w:rPr>
        <w:t xml:space="preserve">, f. 8; </w:t>
      </w:r>
      <w:hyperlink w:anchor="SENTENCIA_2012_52" w:history="1">
        <w:r w:rsidRPr="00BA1B56">
          <w:rPr>
            <w:rStyle w:val="TextoNormalCaracter"/>
          </w:rPr>
          <w:t>52/2012</w:t>
        </w:r>
      </w:hyperlink>
      <w:r w:rsidRPr="00BA1B56">
        <w:rPr>
          <w:rStyle w:val="TextoNormalCaracter"/>
        </w:rPr>
        <w:t xml:space="preserve">, f. 7; </w:t>
      </w:r>
      <w:hyperlink w:anchor="SENTENCIA_2012_55" w:history="1">
        <w:r w:rsidRPr="00BA1B56">
          <w:rPr>
            <w:rStyle w:val="TextoNormalCaracter"/>
          </w:rPr>
          <w:t>55/2012</w:t>
        </w:r>
      </w:hyperlink>
      <w:r w:rsidRPr="00BA1B56">
        <w:rPr>
          <w:rStyle w:val="TextoNormalCaracter"/>
        </w:rPr>
        <w:t xml:space="preserve">, f. 6; </w:t>
      </w:r>
      <w:hyperlink w:anchor="SENTENCIA_2012_61" w:history="1">
        <w:r w:rsidRPr="00BA1B56">
          <w:rPr>
            <w:rStyle w:val="TextoNormalCaracter"/>
          </w:rPr>
          <w:t>61/2012</w:t>
        </w:r>
      </w:hyperlink>
      <w:r w:rsidRPr="00BA1B56">
        <w:rPr>
          <w:rStyle w:val="TextoNormalCaracter"/>
        </w:rPr>
        <w:t xml:space="preserve">, f. 4; </w:t>
      </w:r>
      <w:hyperlink w:anchor="SENTENCIA_2012_64" w:history="1">
        <w:r w:rsidRPr="00BA1B56">
          <w:rPr>
            <w:rStyle w:val="TextoNormalCaracter"/>
          </w:rPr>
          <w:t>64/2012</w:t>
        </w:r>
      </w:hyperlink>
      <w:r w:rsidRPr="00BA1B56">
        <w:rPr>
          <w:rStyle w:val="TextoNormalCaracter"/>
        </w:rPr>
        <w:t xml:space="preserve">, f. 4; </w:t>
      </w:r>
      <w:hyperlink w:anchor="SENTENCIA_2012_65" w:history="1">
        <w:r w:rsidRPr="00BA1B56">
          <w:rPr>
            <w:rStyle w:val="TextoNormalCaracter"/>
          </w:rPr>
          <w:t>65/2012</w:t>
        </w:r>
      </w:hyperlink>
      <w:r w:rsidRPr="00BA1B56">
        <w:rPr>
          <w:rStyle w:val="TextoNormalCaracter"/>
        </w:rPr>
        <w:t xml:space="preserve">, f. 5; </w:t>
      </w:r>
      <w:hyperlink w:anchor="SENTENCIA_2012_67" w:history="1">
        <w:r w:rsidRPr="00BA1B56">
          <w:rPr>
            <w:rStyle w:val="TextoNormalCaracter"/>
          </w:rPr>
          <w:t>67/2012</w:t>
        </w:r>
      </w:hyperlink>
      <w:r w:rsidRPr="00BA1B56">
        <w:rPr>
          <w:rStyle w:val="TextoNormalCaracter"/>
        </w:rPr>
        <w:t xml:space="preserve">, f. 4; </w:t>
      </w:r>
      <w:hyperlink w:anchor="SENTENCIA_2012_69" w:history="1">
        <w:r w:rsidRPr="00BA1B56">
          <w:rPr>
            <w:rStyle w:val="TextoNormalCaracter"/>
          </w:rPr>
          <w:t>69/2012</w:t>
        </w:r>
      </w:hyperlink>
      <w:r w:rsidRPr="00BA1B56">
        <w:rPr>
          <w:rStyle w:val="TextoNormalCaracter"/>
        </w:rPr>
        <w:t xml:space="preserve">, f. 5; </w:t>
      </w:r>
      <w:hyperlink w:anchor="SENTENCIA_2012_114" w:history="1">
        <w:r w:rsidRPr="00BA1B56">
          <w:rPr>
            <w:rStyle w:val="TextoNormalCaracter"/>
          </w:rPr>
          <w:t>114/2012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48" w:name="DESCRIPTORALFABETICO537"/>
      <w:r w:rsidRPr="00BA1B56">
        <w:rPr>
          <w:rStyle w:val="TextoNormalNegritaCaracter"/>
        </w:rPr>
        <w:t>Redistribución de aguas de cuencas excedentarias</w:t>
      </w:r>
      <w:bookmarkEnd w:id="2148"/>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2149" w:name="DESCRIPTORALFABETICO114"/>
      <w:r w:rsidRPr="00BA1B56">
        <w:rPr>
          <w:rStyle w:val="TextoNormalNegritaCaracter"/>
        </w:rPr>
        <w:t>Reducciones en la base imponible</w:t>
      </w:r>
      <w:bookmarkEnd w:id="2149"/>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5.</w:t>
      </w:r>
    </w:p>
    <w:p w:rsidR="00BA1B56" w:rsidRPr="00BA1B56" w:rsidRDefault="00BA1B56" w:rsidP="00BA1B56">
      <w:pPr>
        <w:pStyle w:val="TextoNormalSangraFrancesa"/>
        <w:rPr>
          <w:rStyle w:val="TextoNormalNegritaCaracter"/>
        </w:rPr>
      </w:pPr>
      <w:r w:rsidRPr="00BA1B56">
        <w:rPr>
          <w:rStyle w:val="TextoNormalCursivaCaracter"/>
        </w:rPr>
        <w:t>Reeducación</w:t>
      </w:r>
      <w:r>
        <w:t xml:space="preserve"> véase </w:t>
      </w:r>
      <w:hyperlink w:anchor="DESCRIPTORALFABETICO759" w:history="1">
        <w:r w:rsidRPr="00BA1B56">
          <w:rPr>
            <w:rStyle w:val="TextoNormalNegritaCaracter"/>
          </w:rPr>
          <w:t>Reinserción social</w:t>
        </w:r>
      </w:hyperlink>
    </w:p>
    <w:p w:rsidR="00BA1B56" w:rsidRPr="00BA1B56" w:rsidRDefault="00BA1B56" w:rsidP="00BA1B56">
      <w:pPr>
        <w:pStyle w:val="TextoNormalSangraFrancesa"/>
        <w:rPr>
          <w:rStyle w:val="TextoNormalCaracter"/>
        </w:rPr>
      </w:pPr>
      <w:bookmarkStart w:id="2150" w:name="DESCRIPTORALFABETICO499"/>
      <w:r w:rsidRPr="00BA1B56">
        <w:rPr>
          <w:rStyle w:val="TextoNormalNegritaCaracter"/>
        </w:rPr>
        <w:t>Reforma constitucional</w:t>
      </w:r>
      <w:bookmarkEnd w:id="2150"/>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2, 3, 4, 5.</w:t>
      </w:r>
    </w:p>
    <w:p w:rsidR="00BA1B56" w:rsidRPr="00BA1B56" w:rsidRDefault="00BA1B56" w:rsidP="00BA1B56">
      <w:pPr>
        <w:pStyle w:val="TextoNormalSangraFrancesa"/>
        <w:rPr>
          <w:rStyle w:val="TextoNormalCaracter"/>
        </w:rPr>
      </w:pPr>
      <w:bookmarkStart w:id="2151" w:name="DESCRIPTORALFABETICO691"/>
      <w:r w:rsidRPr="00BA1B56">
        <w:rPr>
          <w:rStyle w:val="TextoNormalNegritaCaracter"/>
        </w:rPr>
        <w:t>Reforma de los Estatutos de Autonomía</w:t>
      </w:r>
      <w:bookmarkEnd w:id="2151"/>
      <w:r w:rsidRPr="00BA1B56">
        <w:rPr>
          <w:rStyle w:val="TextoNormalCaracter"/>
        </w:rPr>
        <w:t xml:space="preserve">, Sentencia </w:t>
      </w:r>
      <w:hyperlink w:anchor="SENTENCIA_2012_32" w:history="1">
        <w:r w:rsidRPr="00BA1B56">
          <w:rPr>
            <w:rStyle w:val="TextoNormalCaracter"/>
          </w:rPr>
          <w:t>32/2012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52" w:name="DESCRIPTORALFABETICO986"/>
      <w:r w:rsidRPr="00BA1B56">
        <w:rPr>
          <w:rStyle w:val="TextoNormalNegritaCaracter"/>
        </w:rPr>
        <w:t>Refundición de condenas</w:t>
      </w:r>
      <w:bookmarkEnd w:id="2152"/>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3; </w:t>
      </w:r>
      <w:hyperlink w:anchor="SENTENCIA_2012_40" w:history="1">
        <w:r w:rsidRPr="00BA1B56">
          <w:rPr>
            <w:rStyle w:val="TextoNormalCaracter"/>
          </w:rPr>
          <w:t>40/2012</w:t>
        </w:r>
      </w:hyperlink>
      <w:r w:rsidRPr="00BA1B56">
        <w:rPr>
          <w:rStyle w:val="TextoNormalCaracter"/>
        </w:rPr>
        <w:t xml:space="preserve">, ff. 5, 6; </w:t>
      </w:r>
      <w:hyperlink w:anchor="SENTENCIA_2012_41" w:history="1">
        <w:r w:rsidRPr="00BA1B56">
          <w:rPr>
            <w:rStyle w:val="TextoNormalCaracter"/>
          </w:rPr>
          <w:t>41/2012</w:t>
        </w:r>
      </w:hyperlink>
      <w:r w:rsidRPr="00BA1B56">
        <w:rPr>
          <w:rStyle w:val="TextoNormalCaracter"/>
        </w:rPr>
        <w:t xml:space="preserve">, f. 6, VP I; </w:t>
      </w:r>
      <w:hyperlink w:anchor="SENTENCIA_2012_42" w:history="1">
        <w:r w:rsidRPr="00BA1B56">
          <w:rPr>
            <w:rStyle w:val="TextoNormalCaracter"/>
          </w:rPr>
          <w:t>42/2012</w:t>
        </w:r>
      </w:hyperlink>
      <w:r w:rsidRPr="00BA1B56">
        <w:rPr>
          <w:rStyle w:val="TextoNormalCaracter"/>
        </w:rPr>
        <w:t xml:space="preserve">, f. 5; </w:t>
      </w:r>
      <w:hyperlink w:anchor="SENTENCIA_2012_43" w:history="1">
        <w:r w:rsidRPr="00BA1B56">
          <w:rPr>
            <w:rStyle w:val="TextoNormalCaracter"/>
          </w:rPr>
          <w:t>43/2012</w:t>
        </w:r>
      </w:hyperlink>
      <w:r w:rsidRPr="00BA1B56">
        <w:rPr>
          <w:rStyle w:val="TextoNormalCaracter"/>
        </w:rPr>
        <w:t xml:space="preserve">, f. 3;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 3; </w:t>
      </w:r>
      <w:hyperlink w:anchor="SENTENCIA_2012_47" w:history="1">
        <w:r w:rsidRPr="00BA1B56">
          <w:rPr>
            <w:rStyle w:val="TextoNormalCaracter"/>
          </w:rPr>
          <w:t>47/2012</w:t>
        </w:r>
      </w:hyperlink>
      <w:r w:rsidRPr="00BA1B56">
        <w:rPr>
          <w:rStyle w:val="TextoNormalCaracter"/>
        </w:rPr>
        <w:t xml:space="preserve">, f. 3;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 3;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 3; </w:t>
      </w:r>
      <w:hyperlink w:anchor="SENTENCIA_2012_55" w:history="1">
        <w:r w:rsidRPr="00BA1B56">
          <w:rPr>
            <w:rStyle w:val="TextoNormalCaracter"/>
          </w:rPr>
          <w:t>55/2012</w:t>
        </w:r>
      </w:hyperlink>
      <w:r w:rsidRPr="00BA1B56">
        <w:rPr>
          <w:rStyle w:val="TextoNormalCaracter"/>
        </w:rPr>
        <w:t xml:space="preserve">, f. 5; </w:t>
      </w:r>
      <w:hyperlink w:anchor="SENTENCIA_2012_62" w:history="1">
        <w:r w:rsidRPr="00BA1B56">
          <w:rPr>
            <w:rStyle w:val="TextoNormalCaracter"/>
          </w:rPr>
          <w:t>62/2012</w:t>
        </w:r>
      </w:hyperlink>
      <w:r w:rsidRPr="00BA1B56">
        <w:rPr>
          <w:rStyle w:val="TextoNormalCaracter"/>
        </w:rPr>
        <w:t xml:space="preserve">, f. 1; </w:t>
      </w:r>
      <w:hyperlink w:anchor="SENTENCIA_2012_64" w:history="1">
        <w:r w:rsidRPr="00BA1B56">
          <w:rPr>
            <w:rStyle w:val="TextoNormalCaracter"/>
          </w:rPr>
          <w:t>64/2012</w:t>
        </w:r>
      </w:hyperlink>
      <w:r w:rsidRPr="00BA1B56">
        <w:rPr>
          <w:rStyle w:val="TextoNormalCaracter"/>
        </w:rPr>
        <w:t xml:space="preserve">, f. 4; </w:t>
      </w:r>
      <w:hyperlink w:anchor="SENTENCIA_2012_65" w:history="1">
        <w:r w:rsidRPr="00BA1B56">
          <w:rPr>
            <w:rStyle w:val="TextoNormalCaracter"/>
          </w:rPr>
          <w:t>65/2012</w:t>
        </w:r>
      </w:hyperlink>
      <w:r w:rsidRPr="00BA1B56">
        <w:rPr>
          <w:rStyle w:val="TextoNormalCaracter"/>
        </w:rPr>
        <w:t xml:space="preserve">, f. 5; </w:t>
      </w:r>
      <w:hyperlink w:anchor="SENTENCIA_2012_67" w:history="1">
        <w:r w:rsidRPr="00BA1B56">
          <w:rPr>
            <w:rStyle w:val="TextoNormalCaracter"/>
          </w:rPr>
          <w:t>67/2012</w:t>
        </w:r>
      </w:hyperlink>
      <w:r w:rsidRPr="00BA1B56">
        <w:rPr>
          <w:rStyle w:val="TextoNormalCaracter"/>
        </w:rPr>
        <w:t xml:space="preserve">, f. 4; </w:t>
      </w:r>
      <w:hyperlink w:anchor="SENTENCIA_2012_69" w:history="1">
        <w:r w:rsidRPr="00BA1B56">
          <w:rPr>
            <w:rStyle w:val="TextoNormalCaracter"/>
          </w:rPr>
          <w:t>69/2012</w:t>
        </w:r>
      </w:hyperlink>
      <w:r w:rsidRPr="00BA1B56">
        <w:rPr>
          <w:rStyle w:val="TextoNormalCaracter"/>
        </w:rPr>
        <w:t xml:space="preserve">, f. 5; </w:t>
      </w:r>
      <w:hyperlink w:anchor="SENTENCIA_2012_113" w:history="1">
        <w:r w:rsidRPr="00BA1B56">
          <w:rPr>
            <w:rStyle w:val="TextoNormalCaracter"/>
          </w:rPr>
          <w:t>113/2012</w:t>
        </w:r>
      </w:hyperlink>
      <w:r w:rsidRPr="00BA1B56">
        <w:rPr>
          <w:rStyle w:val="TextoNormalCaracter"/>
        </w:rPr>
        <w:t xml:space="preserve">, f. 8; </w:t>
      </w:r>
      <w:hyperlink w:anchor="SENTENCIA_2012_114" w:history="1">
        <w:r w:rsidRPr="00BA1B56">
          <w:rPr>
            <w:rStyle w:val="TextoNormalCaracter"/>
          </w:rPr>
          <w:t>114/2012</w:t>
        </w:r>
      </w:hyperlink>
      <w:r w:rsidRPr="00BA1B56">
        <w:rPr>
          <w:rStyle w:val="TextoNormalCaracter"/>
        </w:rPr>
        <w:t>, f. 4.</w:t>
      </w:r>
    </w:p>
    <w:p w:rsidR="00BA1B56" w:rsidRPr="00BA1B56" w:rsidRDefault="00BA1B56" w:rsidP="00BA1B56">
      <w:pPr>
        <w:pStyle w:val="TextoNormalSangraFrancesa"/>
        <w:rPr>
          <w:rStyle w:val="TextoNormalNegritaCaracter"/>
        </w:rPr>
      </w:pPr>
      <w:r w:rsidRPr="00BA1B56">
        <w:rPr>
          <w:rStyle w:val="TextoNormalCursivaCaracter"/>
        </w:rPr>
        <w:t>Refundición de penas</w:t>
      </w:r>
      <w:r>
        <w:t xml:space="preserve"> véase </w:t>
      </w:r>
      <w:hyperlink w:anchor="DESCRIPTORALFABETICO986" w:history="1">
        <w:r w:rsidRPr="00BA1B56">
          <w:rPr>
            <w:rStyle w:val="TextoNormalNegritaCaracter"/>
          </w:rPr>
          <w:t>Refundición de condenas</w:t>
        </w:r>
      </w:hyperlink>
    </w:p>
    <w:p w:rsidR="00BA1B56" w:rsidRPr="00BA1B56" w:rsidRDefault="00BA1B56" w:rsidP="00BA1B56">
      <w:pPr>
        <w:pStyle w:val="TextoNormalSangraFrancesa"/>
        <w:rPr>
          <w:rStyle w:val="TextoNormalCaracter"/>
        </w:rPr>
      </w:pPr>
      <w:bookmarkStart w:id="2153" w:name="DESCRIPTORALFABETICO795"/>
      <w:r w:rsidRPr="00BA1B56">
        <w:rPr>
          <w:rStyle w:val="TextoNormalNegritaCaracter"/>
        </w:rPr>
        <w:t>Régimen cerrado</w:t>
      </w:r>
      <w:bookmarkEnd w:id="2153"/>
      <w:r w:rsidRPr="00BA1B56">
        <w:rPr>
          <w:rStyle w:val="TextoNormalCaracter"/>
        </w:rPr>
        <w:t xml:space="preserve">, Sentencia </w:t>
      </w:r>
      <w:hyperlink w:anchor="SENTENCIA_2012_106" w:history="1">
        <w:r w:rsidRPr="00BA1B56">
          <w:rPr>
            <w:rStyle w:val="TextoNormalCaracter"/>
          </w:rPr>
          <w:t>106/2012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154" w:name="DESCRIPTORALFABETICO616"/>
      <w:r w:rsidRPr="00BA1B56">
        <w:rPr>
          <w:rStyle w:val="TextoNormalNegritaCaracter"/>
        </w:rPr>
        <w:t>Régimen de concesión directa</w:t>
      </w:r>
      <w:bookmarkEnd w:id="2154"/>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 9; </w:t>
      </w:r>
      <w:hyperlink w:anchor="SENTENCIA_2012_72" w:history="1">
        <w:r w:rsidRPr="00BA1B56">
          <w:rPr>
            <w:rStyle w:val="TextoNormalCaracter"/>
          </w:rPr>
          <w:t>72/2012</w:t>
        </w:r>
      </w:hyperlink>
      <w:r w:rsidRPr="00BA1B56">
        <w:rPr>
          <w:rStyle w:val="TextoNormalCaracter"/>
        </w:rPr>
        <w:t>, f. 5.</w:t>
      </w:r>
    </w:p>
    <w:p w:rsidR="00BA1B56" w:rsidRPr="00BA1B56" w:rsidRDefault="00BA1B56" w:rsidP="00BA1B56">
      <w:pPr>
        <w:pStyle w:val="TextoNormalSangraFrancesa"/>
        <w:rPr>
          <w:rStyle w:val="TextoNormalCaracter"/>
        </w:rPr>
      </w:pPr>
      <w:bookmarkStart w:id="2155" w:name="DESCRIPTORALFABETICO793"/>
      <w:r w:rsidRPr="00BA1B56">
        <w:rPr>
          <w:rStyle w:val="TextoNormalNegritaCaracter"/>
        </w:rPr>
        <w:t>Régimen disciplinario penitenciario</w:t>
      </w:r>
      <w:bookmarkEnd w:id="2155"/>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6.</w:t>
      </w:r>
    </w:p>
    <w:p w:rsidR="00BA1B56" w:rsidRPr="00BA1B56" w:rsidRDefault="00BA1B56" w:rsidP="00BA1B56">
      <w:pPr>
        <w:pStyle w:val="TextoNormalSangraFrancesa"/>
        <w:rPr>
          <w:rStyle w:val="TextoNormalCaracter"/>
        </w:rPr>
      </w:pPr>
      <w:bookmarkStart w:id="2156" w:name="DESCRIPTORALFABETICO818"/>
      <w:r w:rsidRPr="00BA1B56">
        <w:rPr>
          <w:rStyle w:val="TextoNormalNegritaCaracter"/>
        </w:rPr>
        <w:t>Régimen económico de la Seguridad Social</w:t>
      </w:r>
      <w:bookmarkEnd w:id="2156"/>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57" w:name="DESCRIPTORALFABETICO97"/>
      <w:r w:rsidRPr="00BA1B56">
        <w:rPr>
          <w:rStyle w:val="TextoNormalNegritaCaracter"/>
        </w:rPr>
        <w:t>Régimen económico y fiscal de Canarias</w:t>
      </w:r>
      <w:bookmarkEnd w:id="2157"/>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2158" w:name="DESCRIPTORALFABETICO141"/>
      <w:r w:rsidRPr="00BA1B56">
        <w:rPr>
          <w:rStyle w:val="TextoNormalNegritaCaracter"/>
        </w:rPr>
        <w:t>Régimen electoral</w:t>
      </w:r>
      <w:bookmarkEnd w:id="2158"/>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159" w:name="DESCRIPTORALFABETICO609"/>
      <w:r w:rsidRPr="00BA1B56">
        <w:rPr>
          <w:rStyle w:val="TextoNormalNegritaCaracter"/>
        </w:rPr>
        <w:t>Régimen energético</w:t>
      </w:r>
      <w:bookmarkEnd w:id="2159"/>
      <w:r w:rsidRPr="00BA1B56">
        <w:rPr>
          <w:rStyle w:val="TextoNormalCaracter"/>
        </w:rPr>
        <w:t xml:space="preserve">, Sentencia </w:t>
      </w:r>
      <w:hyperlink w:anchor="SENTENCIA_2012_135" w:history="1">
        <w:r w:rsidRPr="00BA1B56">
          <w:rPr>
            <w:rStyle w:val="TextoNormalCaracter"/>
          </w:rPr>
          <w:t>135/2012</w:t>
        </w:r>
      </w:hyperlink>
      <w:r w:rsidRPr="00BA1B56">
        <w:rPr>
          <w:rStyle w:val="TextoNormalCaracter"/>
        </w:rPr>
        <w:t>, f. 5.</w:t>
      </w:r>
    </w:p>
    <w:p w:rsidR="00BA1B56" w:rsidRPr="00BA1B56" w:rsidRDefault="00BA1B56" w:rsidP="00BA1B56">
      <w:pPr>
        <w:pStyle w:val="TextoNormalSangraFrancesa"/>
        <w:rPr>
          <w:rStyle w:val="TextoNormalCaracter"/>
        </w:rPr>
      </w:pPr>
      <w:bookmarkStart w:id="2160" w:name="DESCRIPTORALFABETICO648"/>
      <w:r w:rsidRPr="00BA1B56">
        <w:rPr>
          <w:rStyle w:val="TextoNormalNegritaCaracter"/>
        </w:rPr>
        <w:t>Régimen estatutario de los funcionarios públicos</w:t>
      </w:r>
      <w:bookmarkEnd w:id="2160"/>
      <w:r w:rsidRPr="00BA1B56">
        <w:rPr>
          <w:rStyle w:val="TextoNormalCaracter"/>
        </w:rPr>
        <w:t xml:space="preserve">, Sentencias </w:t>
      </w:r>
      <w:hyperlink w:anchor="SENTENCIA_2012_2" w:history="1">
        <w:r w:rsidRPr="00BA1B56">
          <w:rPr>
            <w:rStyle w:val="TextoNormalCaracter"/>
          </w:rPr>
          <w:t>2/2012</w:t>
        </w:r>
      </w:hyperlink>
      <w:r w:rsidRPr="00BA1B56">
        <w:rPr>
          <w:rStyle w:val="TextoNormalCaracter"/>
        </w:rPr>
        <w:t xml:space="preserve">, ff. 3, 4; </w:t>
      </w:r>
      <w:hyperlink w:anchor="SENTENCIA_2012_3" w:history="1">
        <w:r w:rsidRPr="00BA1B56">
          <w:rPr>
            <w:rStyle w:val="TextoNormalCaracter"/>
          </w:rPr>
          <w:t>3/2012</w:t>
        </w:r>
      </w:hyperlink>
      <w:r w:rsidRPr="00BA1B56">
        <w:rPr>
          <w:rStyle w:val="TextoNormalCaracter"/>
        </w:rPr>
        <w:t xml:space="preserve">, ff. 4, 5; </w:t>
      </w:r>
      <w:hyperlink w:anchor="SENTENCIA_2012_4" w:history="1">
        <w:r w:rsidRPr="00BA1B56">
          <w:rPr>
            <w:rStyle w:val="TextoNormalCaracter"/>
          </w:rPr>
          <w:t>4/2012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2161" w:name="DESCRIPTORALFABETICO507"/>
      <w:r w:rsidRPr="00BA1B56">
        <w:rPr>
          <w:rStyle w:val="TextoNormalNegritaCaracter"/>
        </w:rPr>
        <w:t>Régimen local</w:t>
      </w:r>
      <w:bookmarkEnd w:id="2161"/>
      <w:r w:rsidRPr="00BA1B56">
        <w:rPr>
          <w:rStyle w:val="TextoNormalCaracter"/>
        </w:rPr>
        <w:t xml:space="preserve">, Sentencias </w:t>
      </w:r>
      <w:hyperlink w:anchor="SENTENCIA_2012_81" w:history="1">
        <w:r w:rsidRPr="00BA1B56">
          <w:rPr>
            <w:rStyle w:val="TextoNormalCaracter"/>
          </w:rPr>
          <w:t>81/2012</w:t>
        </w:r>
      </w:hyperlink>
      <w:r w:rsidRPr="00BA1B56">
        <w:rPr>
          <w:rStyle w:val="TextoNormalCaracter"/>
        </w:rPr>
        <w:t xml:space="preserve">, f. 3, VP; </w:t>
      </w:r>
      <w:hyperlink w:anchor="SENTENCIA_2012_132" w:history="1">
        <w:r w:rsidRPr="00BA1B56">
          <w:rPr>
            <w:rStyle w:val="TextoNormalCaracter"/>
          </w:rPr>
          <w:t>132/2012</w:t>
        </w:r>
      </w:hyperlink>
      <w:r w:rsidRPr="00BA1B56">
        <w:rPr>
          <w:rStyle w:val="TextoNormalCaracter"/>
        </w:rPr>
        <w:t>, ff. 2, 3, 4, 5, 6, 7, VP I.</w:t>
      </w:r>
    </w:p>
    <w:p w:rsidR="00BA1B56" w:rsidRPr="00BA1B56" w:rsidRDefault="00BA1B56" w:rsidP="00BA1B56">
      <w:pPr>
        <w:pStyle w:val="TextoNormalSangraFrancesa"/>
        <w:rPr>
          <w:rStyle w:val="TextoNormalCaracter"/>
        </w:rPr>
      </w:pPr>
      <w:bookmarkStart w:id="2162" w:name="DESCRIPTORALFABETICO786"/>
      <w:r w:rsidRPr="00BA1B56">
        <w:rPr>
          <w:rStyle w:val="TextoNormalNegritaCaracter"/>
        </w:rPr>
        <w:t>Régimen penitenciario</w:t>
      </w:r>
      <w:bookmarkEnd w:id="2162"/>
      <w:r w:rsidRPr="00BA1B56">
        <w:rPr>
          <w:rStyle w:val="TextoNormalCaracter"/>
        </w:rPr>
        <w:t xml:space="preserve">, Sentencias </w:t>
      </w:r>
      <w:hyperlink w:anchor="SENTENCIA_2012_40" w:history="1">
        <w:r w:rsidRPr="00BA1B56">
          <w:rPr>
            <w:rStyle w:val="TextoNormalCaracter"/>
          </w:rPr>
          <w:t>40/2012</w:t>
        </w:r>
      </w:hyperlink>
      <w:r w:rsidRPr="00BA1B56">
        <w:rPr>
          <w:rStyle w:val="TextoNormalCaracter"/>
        </w:rPr>
        <w:t xml:space="preserve">, f. 11; </w:t>
      </w:r>
      <w:hyperlink w:anchor="SENTENCIA_2012_41" w:history="1">
        <w:r w:rsidRPr="00BA1B56">
          <w:rPr>
            <w:rStyle w:val="TextoNormalCaracter"/>
          </w:rPr>
          <w:t>41/2012</w:t>
        </w:r>
      </w:hyperlink>
      <w:r w:rsidRPr="00BA1B56">
        <w:rPr>
          <w:rStyle w:val="TextoNormalCaracter"/>
        </w:rPr>
        <w:t xml:space="preserve">, f. 10; </w:t>
      </w:r>
      <w:hyperlink w:anchor="SENTENCIA_2012_42" w:history="1">
        <w:r w:rsidRPr="00BA1B56">
          <w:rPr>
            <w:rStyle w:val="TextoNormalCaracter"/>
          </w:rPr>
          <w:t>42/2012</w:t>
        </w:r>
      </w:hyperlink>
      <w:r w:rsidRPr="00BA1B56">
        <w:rPr>
          <w:rStyle w:val="TextoNormalCaracter"/>
        </w:rPr>
        <w:t xml:space="preserve">, f. 10; </w:t>
      </w:r>
      <w:hyperlink w:anchor="SENTENCIA_2012_43" w:history="1">
        <w:r w:rsidRPr="00BA1B56">
          <w:rPr>
            <w:rStyle w:val="TextoNormalCaracter"/>
          </w:rPr>
          <w:t>43/2012</w:t>
        </w:r>
      </w:hyperlink>
      <w:r w:rsidRPr="00BA1B56">
        <w:rPr>
          <w:rStyle w:val="TextoNormalCaracter"/>
        </w:rPr>
        <w:t xml:space="preserve">, f. 9; </w:t>
      </w:r>
      <w:hyperlink w:anchor="SENTENCIA_2012_44" w:history="1">
        <w:r w:rsidRPr="00BA1B56">
          <w:rPr>
            <w:rStyle w:val="TextoNormalCaracter"/>
          </w:rPr>
          <w:t>44/2012</w:t>
        </w:r>
      </w:hyperlink>
      <w:r w:rsidRPr="00BA1B56">
        <w:rPr>
          <w:rStyle w:val="TextoNormalCaracter"/>
        </w:rPr>
        <w:t xml:space="preserve">, f. 7; </w:t>
      </w:r>
      <w:hyperlink w:anchor="SENTENCIA_2012_46" w:history="1">
        <w:r w:rsidRPr="00BA1B56">
          <w:rPr>
            <w:rStyle w:val="TextoNormalCaracter"/>
          </w:rPr>
          <w:t>46/2012</w:t>
        </w:r>
      </w:hyperlink>
      <w:r w:rsidRPr="00BA1B56">
        <w:rPr>
          <w:rStyle w:val="TextoNormalCaracter"/>
        </w:rPr>
        <w:t xml:space="preserve">, f. 9; </w:t>
      </w:r>
      <w:hyperlink w:anchor="SENTENCIA_2012_51" w:history="1">
        <w:r w:rsidRPr="00BA1B56">
          <w:rPr>
            <w:rStyle w:val="TextoNormalCaracter"/>
          </w:rPr>
          <w:t>51/2012</w:t>
        </w:r>
      </w:hyperlink>
      <w:r w:rsidRPr="00BA1B56">
        <w:rPr>
          <w:rStyle w:val="TextoNormalCaracter"/>
        </w:rPr>
        <w:t xml:space="preserve">, f. 8; </w:t>
      </w:r>
      <w:hyperlink w:anchor="SENTENCIA_2012_52" w:history="1">
        <w:r w:rsidRPr="00BA1B56">
          <w:rPr>
            <w:rStyle w:val="TextoNormalCaracter"/>
          </w:rPr>
          <w:t>52/2012</w:t>
        </w:r>
      </w:hyperlink>
      <w:r w:rsidRPr="00BA1B56">
        <w:rPr>
          <w:rStyle w:val="TextoNormalCaracter"/>
        </w:rPr>
        <w:t xml:space="preserve">, f. 7; </w:t>
      </w:r>
      <w:hyperlink w:anchor="SENTENCIA_2012_54" w:history="1">
        <w:r w:rsidRPr="00BA1B56">
          <w:rPr>
            <w:rStyle w:val="TextoNormalCaracter"/>
          </w:rPr>
          <w:t>54/2012</w:t>
        </w:r>
      </w:hyperlink>
      <w:r w:rsidRPr="00BA1B56">
        <w:rPr>
          <w:rStyle w:val="TextoNormalCaracter"/>
        </w:rPr>
        <w:t xml:space="preserve">, f. 2; </w:t>
      </w:r>
      <w:hyperlink w:anchor="SENTENCIA_2012_56" w:history="1">
        <w:r w:rsidRPr="00BA1B56">
          <w:rPr>
            <w:rStyle w:val="TextoNormalCaracter"/>
          </w:rPr>
          <w:t>56/2012</w:t>
        </w:r>
      </w:hyperlink>
      <w:r w:rsidRPr="00BA1B56">
        <w:rPr>
          <w:rStyle w:val="TextoNormalCaracter"/>
        </w:rPr>
        <w:t xml:space="preserve">, f. 6; </w:t>
      </w:r>
      <w:hyperlink w:anchor="SENTENCIA_2012_59" w:history="1">
        <w:r w:rsidRPr="00BA1B56">
          <w:rPr>
            <w:rStyle w:val="TextoNormalCaracter"/>
          </w:rPr>
          <w:t>59/2012</w:t>
        </w:r>
      </w:hyperlink>
      <w:r w:rsidRPr="00BA1B56">
        <w:rPr>
          <w:rStyle w:val="TextoNormalCaracter"/>
        </w:rPr>
        <w:t xml:space="preserve">, f. 2; </w:t>
      </w:r>
      <w:hyperlink w:anchor="SENTENCIA_2012_64" w:history="1">
        <w:r w:rsidRPr="00BA1B56">
          <w:rPr>
            <w:rStyle w:val="TextoNormalCaracter"/>
          </w:rPr>
          <w:t>64/2012</w:t>
        </w:r>
      </w:hyperlink>
      <w:r w:rsidRPr="00BA1B56">
        <w:rPr>
          <w:rStyle w:val="TextoNormalCaracter"/>
        </w:rPr>
        <w:t xml:space="preserve">, f. 8; </w:t>
      </w:r>
      <w:hyperlink w:anchor="SENTENCIA_2012_65" w:history="1">
        <w:r w:rsidRPr="00BA1B56">
          <w:rPr>
            <w:rStyle w:val="TextoNormalCaracter"/>
          </w:rPr>
          <w:t>65/2012</w:t>
        </w:r>
      </w:hyperlink>
      <w:r w:rsidRPr="00BA1B56">
        <w:rPr>
          <w:rStyle w:val="TextoNormalCaracter"/>
        </w:rPr>
        <w:t xml:space="preserve">, f. 9; </w:t>
      </w:r>
      <w:hyperlink w:anchor="SENTENCIA_2012_66" w:history="1">
        <w:r w:rsidRPr="00BA1B56">
          <w:rPr>
            <w:rStyle w:val="TextoNormalCaracter"/>
          </w:rPr>
          <w:t>66/2012</w:t>
        </w:r>
      </w:hyperlink>
      <w:r w:rsidRPr="00BA1B56">
        <w:rPr>
          <w:rStyle w:val="TextoNormalCaracter"/>
        </w:rPr>
        <w:t xml:space="preserve">, f. 2; </w:t>
      </w:r>
      <w:hyperlink w:anchor="SENTENCIA_2012_67" w:history="1">
        <w:r w:rsidRPr="00BA1B56">
          <w:rPr>
            <w:rStyle w:val="TextoNormalCaracter"/>
          </w:rPr>
          <w:t>67/2012</w:t>
        </w:r>
      </w:hyperlink>
      <w:r w:rsidRPr="00BA1B56">
        <w:rPr>
          <w:rStyle w:val="TextoNormalCaracter"/>
        </w:rPr>
        <w:t xml:space="preserve">, f. 8; </w:t>
      </w:r>
      <w:hyperlink w:anchor="SENTENCIA_2012_68" w:history="1">
        <w:r w:rsidRPr="00BA1B56">
          <w:rPr>
            <w:rStyle w:val="TextoNormalCaracter"/>
          </w:rPr>
          <w:t>68/2012</w:t>
        </w:r>
      </w:hyperlink>
      <w:r w:rsidRPr="00BA1B56">
        <w:rPr>
          <w:rStyle w:val="TextoNormalCaracter"/>
        </w:rPr>
        <w:t xml:space="preserve">, f. 2; </w:t>
      </w:r>
      <w:hyperlink w:anchor="SENTENCIA_2012_69" w:history="1">
        <w:r w:rsidRPr="00BA1B56">
          <w:rPr>
            <w:rStyle w:val="TextoNormalCaracter"/>
          </w:rPr>
          <w:t>69/2012</w:t>
        </w:r>
      </w:hyperlink>
      <w:r w:rsidRPr="00BA1B56">
        <w:rPr>
          <w:rStyle w:val="TextoNormalCaracter"/>
        </w:rPr>
        <w:t xml:space="preserve">, f. 9; </w:t>
      </w:r>
      <w:hyperlink w:anchor="SENTENCIA_2012_106" w:history="1">
        <w:r w:rsidRPr="00BA1B56">
          <w:rPr>
            <w:rStyle w:val="TextoNormalCaracter"/>
          </w:rPr>
          <w:t>106/2012</w:t>
        </w:r>
      </w:hyperlink>
      <w:r w:rsidRPr="00BA1B56">
        <w:rPr>
          <w:rStyle w:val="TextoNormalCaracter"/>
        </w:rPr>
        <w:t xml:space="preserve">, ff. 3, 4; </w:t>
      </w:r>
      <w:hyperlink w:anchor="SENTENCIA_2012_107" w:history="1">
        <w:r w:rsidRPr="00BA1B56">
          <w:rPr>
            <w:rStyle w:val="TextoNormalCaracter"/>
          </w:rPr>
          <w:t>107/2012</w:t>
        </w:r>
      </w:hyperlink>
      <w:r w:rsidRPr="00BA1B56">
        <w:rPr>
          <w:rStyle w:val="TextoNormalCaracter"/>
        </w:rPr>
        <w:t xml:space="preserve">, ff. 4, 5; </w:t>
      </w:r>
      <w:hyperlink w:anchor="SENTENCIA_2012_108" w:history="1">
        <w:r w:rsidRPr="00BA1B56">
          <w:rPr>
            <w:rStyle w:val="TextoNormalCaracter"/>
          </w:rPr>
          <w:t>108/2012</w:t>
        </w:r>
      </w:hyperlink>
      <w:r w:rsidRPr="00BA1B56">
        <w:rPr>
          <w:rStyle w:val="TextoNormalCaracter"/>
        </w:rPr>
        <w:t xml:space="preserve">, f. 6; </w:t>
      </w:r>
      <w:hyperlink w:anchor="SENTENCIA_2012_114" w:history="1">
        <w:r w:rsidRPr="00BA1B56">
          <w:rPr>
            <w:rStyle w:val="TextoNormalCaracter"/>
          </w:rPr>
          <w:t>114/2012</w:t>
        </w:r>
      </w:hyperlink>
      <w:r w:rsidRPr="00BA1B56">
        <w:rPr>
          <w:rStyle w:val="TextoNormalCaracter"/>
        </w:rPr>
        <w:t>, f. 7.</w:t>
      </w:r>
    </w:p>
    <w:p w:rsidR="00BA1B56" w:rsidRPr="00BA1B56" w:rsidRDefault="00BA1B56" w:rsidP="00BA1B56">
      <w:pPr>
        <w:pStyle w:val="TextoNormalSangraFrancesa"/>
        <w:rPr>
          <w:rStyle w:val="TextoNormalCaracter"/>
        </w:rPr>
      </w:pPr>
      <w:bookmarkStart w:id="2163" w:name="DESCRIPTORALFABETICO425"/>
      <w:r w:rsidRPr="00BA1B56">
        <w:rPr>
          <w:rStyle w:val="TextoNormalNegritaCaracter"/>
        </w:rPr>
        <w:t>Registro de celda</w:t>
      </w:r>
      <w:bookmarkEnd w:id="2163"/>
      <w:r w:rsidRPr="00BA1B56">
        <w:rPr>
          <w:rStyle w:val="TextoNormalCaracter"/>
        </w:rPr>
        <w:t xml:space="preserve">, Sentencia </w:t>
      </w:r>
      <w:hyperlink w:anchor="SENTENCIA_2012_106" w:history="1">
        <w:r w:rsidRPr="00BA1B56">
          <w:rPr>
            <w:rStyle w:val="TextoNormalCaracter"/>
          </w:rPr>
          <w:t>106/2012</w:t>
        </w:r>
      </w:hyperlink>
      <w:r w:rsidRPr="00BA1B56">
        <w:rPr>
          <w:rStyle w:val="TextoNormalCaracter"/>
        </w:rPr>
        <w:t>, ff. 2, 3, 4.</w:t>
      </w:r>
    </w:p>
    <w:p w:rsidR="00BA1B56" w:rsidRPr="00BA1B56" w:rsidRDefault="00BA1B56" w:rsidP="00BA1B56">
      <w:pPr>
        <w:pStyle w:val="TextoNormalSangraFrancesa"/>
        <w:rPr>
          <w:rStyle w:val="TextoNormalCaracter"/>
        </w:rPr>
      </w:pPr>
      <w:bookmarkStart w:id="2164" w:name="DESCRIPTORALFABETICO426"/>
      <w:r w:rsidRPr="00BA1B56">
        <w:rPr>
          <w:rStyle w:val="TextoNormalNegritaCaracter"/>
        </w:rPr>
        <w:t>Registro de celda en ausencia del interno</w:t>
      </w:r>
      <w:bookmarkEnd w:id="2164"/>
      <w:r w:rsidRPr="00BA1B56">
        <w:rPr>
          <w:rStyle w:val="TextoNormalCaracter"/>
        </w:rPr>
        <w:t xml:space="preserve">, Sentencia </w:t>
      </w:r>
      <w:hyperlink w:anchor="SENTENCIA_2012_106" w:history="1">
        <w:r w:rsidRPr="00BA1B56">
          <w:rPr>
            <w:rStyle w:val="TextoNormalCaracter"/>
          </w:rPr>
          <w:t>106/2012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165" w:name="DESCRIPTORALFABETICO797"/>
      <w:r w:rsidRPr="00BA1B56">
        <w:rPr>
          <w:rStyle w:val="TextoNormalNegritaCaracter"/>
        </w:rPr>
        <w:t>Registro de partidos políticos</w:t>
      </w:r>
      <w:bookmarkEnd w:id="2165"/>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4 a 6, 10, 11, 16, VP II, VP III.</w:t>
      </w:r>
    </w:p>
    <w:p w:rsidR="00BA1B56" w:rsidRPr="00BA1B56" w:rsidRDefault="00BA1B56" w:rsidP="00BA1B56">
      <w:pPr>
        <w:pStyle w:val="TextoNormalSangraFrancesa"/>
        <w:rPr>
          <w:rStyle w:val="TextoNormalNegritaCaracter"/>
        </w:rPr>
      </w:pPr>
      <w:r w:rsidRPr="00BA1B56">
        <w:rPr>
          <w:rStyle w:val="TextoNormalCursivaCaracter"/>
        </w:rPr>
        <w:t>Reglamentos comunitarios</w:t>
      </w:r>
      <w:r>
        <w:t xml:space="preserve"> véase </w:t>
      </w:r>
      <w:hyperlink w:anchor="DESCRIPTORALFABETICO685" w:history="1">
        <w:r w:rsidRPr="00BA1B56">
          <w:rPr>
            <w:rStyle w:val="TextoNormalNegritaCaracter"/>
          </w:rPr>
          <w:t>Reglamentos de la Unión Europea</w:t>
        </w:r>
      </w:hyperlink>
    </w:p>
    <w:p w:rsidR="00BA1B56" w:rsidRPr="00BA1B56" w:rsidRDefault="00BA1B56" w:rsidP="00BA1B56">
      <w:pPr>
        <w:pStyle w:val="TextoNormalSangraFrancesa"/>
        <w:rPr>
          <w:rStyle w:val="TextoNormalCaracter"/>
        </w:rPr>
      </w:pPr>
      <w:bookmarkStart w:id="2166" w:name="DESCRIPTORALFABETICO685"/>
      <w:r w:rsidRPr="00BA1B56">
        <w:rPr>
          <w:rStyle w:val="TextoNormalNegritaCaracter"/>
        </w:rPr>
        <w:t>Reglamentos de la Unión Europea</w:t>
      </w:r>
      <w:bookmarkEnd w:id="2166"/>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ff. 7 a 9.</w:t>
      </w:r>
    </w:p>
    <w:p w:rsidR="00BA1B56" w:rsidRPr="00BA1B56" w:rsidRDefault="00BA1B56" w:rsidP="00BA1B56">
      <w:pPr>
        <w:pStyle w:val="TextoNormalSangraFrancesa"/>
        <w:rPr>
          <w:rStyle w:val="TextoNormalCaracter"/>
        </w:rPr>
      </w:pPr>
      <w:bookmarkStart w:id="2167" w:name="DESCRIPTORALFABETICO467"/>
      <w:r w:rsidRPr="00BA1B56">
        <w:rPr>
          <w:rStyle w:val="TextoNormalNegritaCaracter"/>
        </w:rPr>
        <w:t>Reglamentos parlamentarios</w:t>
      </w:r>
      <w:bookmarkEnd w:id="2167"/>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2, 4.</w:t>
      </w:r>
    </w:p>
    <w:p w:rsidR="00BA1B56" w:rsidRPr="00BA1B56" w:rsidRDefault="00BA1B56" w:rsidP="00BA1B56">
      <w:pPr>
        <w:pStyle w:val="TextoNormalSangraFrancesa"/>
        <w:rPr>
          <w:rStyle w:val="TextoNormalNegritaCaracter"/>
        </w:rPr>
      </w:pPr>
      <w:r w:rsidRPr="00BA1B56">
        <w:rPr>
          <w:rStyle w:val="TextoNormalCursivaCaracter"/>
        </w:rPr>
        <w:t>Reglas procesales</w:t>
      </w:r>
      <w:r>
        <w:t xml:space="preserve"> véase </w:t>
      </w:r>
      <w:hyperlink w:anchor="DESCRIPTORALFABETICO938" w:history="1">
        <w:r w:rsidRPr="00BA1B56">
          <w:rPr>
            <w:rStyle w:val="TextoNormalNegritaCaracter"/>
          </w:rPr>
          <w:t>Requisitos procesales</w:t>
        </w:r>
      </w:hyperlink>
    </w:p>
    <w:p w:rsidR="00BA1B56" w:rsidRPr="00BA1B56" w:rsidRDefault="00BA1B56" w:rsidP="00BA1B56">
      <w:pPr>
        <w:pStyle w:val="TextoNormalSangraFrancesa"/>
        <w:rPr>
          <w:rStyle w:val="TextoNormalCaracter"/>
        </w:rPr>
      </w:pPr>
      <w:bookmarkStart w:id="2168" w:name="DESCRIPTORALFABETICO584"/>
      <w:r w:rsidRPr="00BA1B56">
        <w:rPr>
          <w:rStyle w:val="TextoNormalNegritaCaracter"/>
        </w:rPr>
        <w:t>Reincidencia en la comisión de infracciones administrativas</w:t>
      </w:r>
      <w:bookmarkEnd w:id="2168"/>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 13.</w:t>
      </w:r>
    </w:p>
    <w:p w:rsidR="00BA1B56" w:rsidRPr="00BA1B56" w:rsidRDefault="00BA1B56" w:rsidP="00BA1B56">
      <w:pPr>
        <w:pStyle w:val="TextoNormalSangraFrancesa"/>
        <w:rPr>
          <w:rStyle w:val="TextoNormalNegritaCaracter"/>
        </w:rPr>
      </w:pPr>
      <w:r w:rsidRPr="00BA1B56">
        <w:rPr>
          <w:rStyle w:val="TextoNormalCursivaCaracter"/>
        </w:rPr>
        <w:t>Reingreso en la empresa</w:t>
      </w:r>
      <w:r>
        <w:t xml:space="preserve"> véase </w:t>
      </w:r>
      <w:hyperlink w:anchor="DESCRIPTORALFABETICO843" w:history="1">
        <w:r w:rsidRPr="00BA1B56">
          <w:rPr>
            <w:rStyle w:val="TextoNormalNegritaCaracter"/>
          </w:rPr>
          <w:t>Readmisión de trabajadores</w:t>
        </w:r>
      </w:hyperlink>
    </w:p>
    <w:p w:rsidR="00BA1B56" w:rsidRPr="00BA1B56" w:rsidRDefault="00BA1B56" w:rsidP="00BA1B56">
      <w:pPr>
        <w:pStyle w:val="TextoNormalSangraFrancesa"/>
        <w:rPr>
          <w:rStyle w:val="TextoNormalCaracter"/>
        </w:rPr>
      </w:pPr>
      <w:bookmarkStart w:id="2169" w:name="DESCRIPTORALFABETICO759"/>
      <w:r w:rsidRPr="00BA1B56">
        <w:rPr>
          <w:rStyle w:val="TextoNormalNegritaCaracter"/>
        </w:rPr>
        <w:t>Reinserción social</w:t>
      </w:r>
      <w:bookmarkEnd w:id="2169"/>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4; </w:t>
      </w:r>
      <w:hyperlink w:anchor="SENTENCIA_2012_40" w:history="1">
        <w:r w:rsidRPr="00BA1B56">
          <w:rPr>
            <w:rStyle w:val="TextoNormalCaracter"/>
          </w:rPr>
          <w:t>40/2012</w:t>
        </w:r>
      </w:hyperlink>
      <w:r w:rsidRPr="00BA1B56">
        <w:rPr>
          <w:rStyle w:val="TextoNormalCaracter"/>
        </w:rPr>
        <w:t xml:space="preserve">, ff. 7, 11; </w:t>
      </w:r>
      <w:hyperlink w:anchor="SENTENCIA_2012_41" w:history="1">
        <w:r w:rsidRPr="00BA1B56">
          <w:rPr>
            <w:rStyle w:val="TextoNormalCaracter"/>
          </w:rPr>
          <w:t>41/2012</w:t>
        </w:r>
      </w:hyperlink>
      <w:r w:rsidRPr="00BA1B56">
        <w:rPr>
          <w:rStyle w:val="TextoNormalCaracter"/>
        </w:rPr>
        <w:t xml:space="preserve">, f. 10; </w:t>
      </w:r>
      <w:hyperlink w:anchor="SENTENCIA_2012_42" w:history="1">
        <w:r w:rsidRPr="00BA1B56">
          <w:rPr>
            <w:rStyle w:val="TextoNormalCaracter"/>
          </w:rPr>
          <w:t>42/2012</w:t>
        </w:r>
      </w:hyperlink>
      <w:r w:rsidRPr="00BA1B56">
        <w:rPr>
          <w:rStyle w:val="TextoNormalCaracter"/>
        </w:rPr>
        <w:t xml:space="preserve">, f. 10; </w:t>
      </w:r>
      <w:hyperlink w:anchor="SENTENCIA_2012_43" w:history="1">
        <w:r w:rsidRPr="00BA1B56">
          <w:rPr>
            <w:rStyle w:val="TextoNormalCaracter"/>
          </w:rPr>
          <w:t>43/2012</w:t>
        </w:r>
      </w:hyperlink>
      <w:r w:rsidRPr="00BA1B56">
        <w:rPr>
          <w:rStyle w:val="TextoNormalCaracter"/>
        </w:rPr>
        <w:t xml:space="preserve">, f. 9; </w:t>
      </w:r>
      <w:hyperlink w:anchor="SENTENCIA_2012_44" w:history="1">
        <w:r w:rsidRPr="00BA1B56">
          <w:rPr>
            <w:rStyle w:val="TextoNormalCaracter"/>
          </w:rPr>
          <w:t>44/2012</w:t>
        </w:r>
      </w:hyperlink>
      <w:r w:rsidRPr="00BA1B56">
        <w:rPr>
          <w:rStyle w:val="TextoNormalCaracter"/>
        </w:rPr>
        <w:t xml:space="preserve">, f. 7; </w:t>
      </w:r>
      <w:hyperlink w:anchor="SENTENCIA_2012_46" w:history="1">
        <w:r w:rsidRPr="00BA1B56">
          <w:rPr>
            <w:rStyle w:val="TextoNormalCaracter"/>
          </w:rPr>
          <w:t>46/2012</w:t>
        </w:r>
      </w:hyperlink>
      <w:r w:rsidRPr="00BA1B56">
        <w:rPr>
          <w:rStyle w:val="TextoNormalCaracter"/>
        </w:rPr>
        <w:t xml:space="preserve">, f. 9; </w:t>
      </w:r>
      <w:hyperlink w:anchor="SENTENCIA_2012_47" w:history="1">
        <w:r w:rsidRPr="00BA1B56">
          <w:rPr>
            <w:rStyle w:val="TextoNormalCaracter"/>
          </w:rPr>
          <w:t>47/2012</w:t>
        </w:r>
      </w:hyperlink>
      <w:r w:rsidRPr="00BA1B56">
        <w:rPr>
          <w:rStyle w:val="TextoNormalCaracter"/>
        </w:rPr>
        <w:t xml:space="preserve">, f. 5; </w:t>
      </w:r>
      <w:hyperlink w:anchor="SENTENCIA_2012_48" w:history="1">
        <w:r w:rsidRPr="00BA1B56">
          <w:rPr>
            <w:rStyle w:val="TextoNormalCaracter"/>
          </w:rPr>
          <w:t>48/2012</w:t>
        </w:r>
      </w:hyperlink>
      <w:r w:rsidRPr="00BA1B56">
        <w:rPr>
          <w:rStyle w:val="TextoNormalCaracter"/>
        </w:rPr>
        <w:t xml:space="preserve">, f. 5; </w:t>
      </w:r>
      <w:hyperlink w:anchor="SENTENCIA_2012_49" w:history="1">
        <w:r w:rsidRPr="00BA1B56">
          <w:rPr>
            <w:rStyle w:val="TextoNormalCaracter"/>
          </w:rPr>
          <w:t>49/2012</w:t>
        </w:r>
      </w:hyperlink>
      <w:r w:rsidRPr="00BA1B56">
        <w:rPr>
          <w:rStyle w:val="TextoNormalCaracter"/>
        </w:rPr>
        <w:t xml:space="preserve">, f. 5; </w:t>
      </w:r>
      <w:hyperlink w:anchor="SENTENCIA_2012_50" w:history="1">
        <w:r w:rsidRPr="00BA1B56">
          <w:rPr>
            <w:rStyle w:val="TextoNormalCaracter"/>
          </w:rPr>
          <w:t>50/2012</w:t>
        </w:r>
      </w:hyperlink>
      <w:r w:rsidRPr="00BA1B56">
        <w:rPr>
          <w:rStyle w:val="TextoNormalCaracter"/>
        </w:rPr>
        <w:t xml:space="preserve">, f. 5; </w:t>
      </w:r>
      <w:hyperlink w:anchor="SENTENCIA_2012_51" w:history="1">
        <w:r w:rsidRPr="00BA1B56">
          <w:rPr>
            <w:rStyle w:val="TextoNormalCaracter"/>
          </w:rPr>
          <w:t>51/2012</w:t>
        </w:r>
      </w:hyperlink>
      <w:r w:rsidRPr="00BA1B56">
        <w:rPr>
          <w:rStyle w:val="TextoNormalCaracter"/>
        </w:rPr>
        <w:t xml:space="preserve">, f. 8; </w:t>
      </w:r>
      <w:hyperlink w:anchor="SENTENCIA_2012_52" w:history="1">
        <w:r w:rsidRPr="00BA1B56">
          <w:rPr>
            <w:rStyle w:val="TextoNormalCaracter"/>
          </w:rPr>
          <w:t>52/2012</w:t>
        </w:r>
      </w:hyperlink>
      <w:r w:rsidRPr="00BA1B56">
        <w:rPr>
          <w:rStyle w:val="TextoNormalCaracter"/>
        </w:rPr>
        <w:t xml:space="preserve">, f. 7; </w:t>
      </w:r>
      <w:hyperlink w:anchor="SENTENCIA_2012_54" w:history="1">
        <w:r w:rsidRPr="00BA1B56">
          <w:rPr>
            <w:rStyle w:val="TextoNormalCaracter"/>
          </w:rPr>
          <w:t>54/2012</w:t>
        </w:r>
      </w:hyperlink>
      <w:r w:rsidRPr="00BA1B56">
        <w:rPr>
          <w:rStyle w:val="TextoNormalCaracter"/>
        </w:rPr>
        <w:t xml:space="preserve">, f. 2; </w:t>
      </w:r>
      <w:hyperlink w:anchor="SENTENCIA_2012_55" w:history="1">
        <w:r w:rsidRPr="00BA1B56">
          <w:rPr>
            <w:rStyle w:val="TextoNormalCaracter"/>
          </w:rPr>
          <w:t>55/2012</w:t>
        </w:r>
      </w:hyperlink>
      <w:r w:rsidRPr="00BA1B56">
        <w:rPr>
          <w:rStyle w:val="TextoNormalCaracter"/>
        </w:rPr>
        <w:t xml:space="preserve">, f. 6; </w:t>
      </w:r>
      <w:hyperlink w:anchor="SENTENCIA_2012_56" w:history="1">
        <w:r w:rsidRPr="00BA1B56">
          <w:rPr>
            <w:rStyle w:val="TextoNormalCaracter"/>
          </w:rPr>
          <w:t>56/2012</w:t>
        </w:r>
      </w:hyperlink>
      <w:r w:rsidRPr="00BA1B56">
        <w:rPr>
          <w:rStyle w:val="TextoNormalCaracter"/>
        </w:rPr>
        <w:t xml:space="preserve">, f. 6; </w:t>
      </w:r>
      <w:hyperlink w:anchor="SENTENCIA_2012_59" w:history="1">
        <w:r w:rsidRPr="00BA1B56">
          <w:rPr>
            <w:rStyle w:val="TextoNormalCaracter"/>
          </w:rPr>
          <w:t>59/2012</w:t>
        </w:r>
      </w:hyperlink>
      <w:r w:rsidRPr="00BA1B56">
        <w:rPr>
          <w:rStyle w:val="TextoNormalCaracter"/>
        </w:rPr>
        <w:t xml:space="preserve">, f. 2; </w:t>
      </w:r>
      <w:hyperlink w:anchor="SENTENCIA_2012_61" w:history="1">
        <w:r w:rsidRPr="00BA1B56">
          <w:rPr>
            <w:rStyle w:val="TextoNormalCaracter"/>
          </w:rPr>
          <w:t>61/2012</w:t>
        </w:r>
      </w:hyperlink>
      <w:r w:rsidRPr="00BA1B56">
        <w:rPr>
          <w:rStyle w:val="TextoNormalCaracter"/>
        </w:rPr>
        <w:t xml:space="preserve">, f. 4; </w:t>
      </w:r>
      <w:hyperlink w:anchor="SENTENCIA_2012_64" w:history="1">
        <w:r w:rsidRPr="00BA1B56">
          <w:rPr>
            <w:rStyle w:val="TextoNormalCaracter"/>
          </w:rPr>
          <w:t>64/2012</w:t>
        </w:r>
      </w:hyperlink>
      <w:r w:rsidRPr="00BA1B56">
        <w:rPr>
          <w:rStyle w:val="TextoNormalCaracter"/>
        </w:rPr>
        <w:t xml:space="preserve">, ff. 4, 8; </w:t>
      </w:r>
      <w:hyperlink w:anchor="SENTENCIA_2012_65" w:history="1">
        <w:r w:rsidRPr="00BA1B56">
          <w:rPr>
            <w:rStyle w:val="TextoNormalCaracter"/>
          </w:rPr>
          <w:t>65/2012</w:t>
        </w:r>
      </w:hyperlink>
      <w:r w:rsidRPr="00BA1B56">
        <w:rPr>
          <w:rStyle w:val="TextoNormalCaracter"/>
        </w:rPr>
        <w:t xml:space="preserve">, ff. 5, 9; </w:t>
      </w:r>
      <w:hyperlink w:anchor="SENTENCIA_2012_66" w:history="1">
        <w:r w:rsidRPr="00BA1B56">
          <w:rPr>
            <w:rStyle w:val="TextoNormalCaracter"/>
          </w:rPr>
          <w:t>66/2012</w:t>
        </w:r>
      </w:hyperlink>
      <w:r w:rsidRPr="00BA1B56">
        <w:rPr>
          <w:rStyle w:val="TextoNormalCaracter"/>
        </w:rPr>
        <w:t xml:space="preserve">, ff. 2, 7; </w:t>
      </w:r>
      <w:hyperlink w:anchor="SENTENCIA_2012_67" w:history="1">
        <w:r w:rsidRPr="00BA1B56">
          <w:rPr>
            <w:rStyle w:val="TextoNormalCaracter"/>
          </w:rPr>
          <w:t>67/2012</w:t>
        </w:r>
      </w:hyperlink>
      <w:r w:rsidRPr="00BA1B56">
        <w:rPr>
          <w:rStyle w:val="TextoNormalCaracter"/>
        </w:rPr>
        <w:t xml:space="preserve">, ff. 4, 8; </w:t>
      </w:r>
      <w:hyperlink w:anchor="SENTENCIA_2012_68" w:history="1">
        <w:r w:rsidRPr="00BA1B56">
          <w:rPr>
            <w:rStyle w:val="TextoNormalCaracter"/>
          </w:rPr>
          <w:t>68/2012</w:t>
        </w:r>
      </w:hyperlink>
      <w:r w:rsidRPr="00BA1B56">
        <w:rPr>
          <w:rStyle w:val="TextoNormalCaracter"/>
        </w:rPr>
        <w:t xml:space="preserve">, f. 2; </w:t>
      </w:r>
      <w:hyperlink w:anchor="SENTENCIA_2012_69" w:history="1">
        <w:r w:rsidRPr="00BA1B56">
          <w:rPr>
            <w:rStyle w:val="TextoNormalCaracter"/>
          </w:rPr>
          <w:t>69/2012</w:t>
        </w:r>
      </w:hyperlink>
      <w:r w:rsidRPr="00BA1B56">
        <w:rPr>
          <w:rStyle w:val="TextoNormalCaracter"/>
        </w:rPr>
        <w:t xml:space="preserve">, ff. 5, 9; </w:t>
      </w:r>
      <w:hyperlink w:anchor="SENTENCIA_2012_108" w:history="1">
        <w:r w:rsidRPr="00BA1B56">
          <w:rPr>
            <w:rStyle w:val="TextoNormalCaracter"/>
          </w:rPr>
          <w:t>108/2012</w:t>
        </w:r>
      </w:hyperlink>
      <w:r w:rsidRPr="00BA1B56">
        <w:rPr>
          <w:rStyle w:val="TextoNormalCaracter"/>
        </w:rPr>
        <w:t xml:space="preserve">, f. 6; </w:t>
      </w:r>
      <w:hyperlink w:anchor="SENTENCIA_2012_113" w:history="1">
        <w:r w:rsidRPr="00BA1B56">
          <w:rPr>
            <w:rStyle w:val="TextoNormalCaracter"/>
          </w:rPr>
          <w:t>113/2012</w:t>
        </w:r>
      </w:hyperlink>
      <w:r w:rsidRPr="00BA1B56">
        <w:rPr>
          <w:rStyle w:val="TextoNormalCaracter"/>
        </w:rPr>
        <w:t xml:space="preserve">, f. 6; </w:t>
      </w:r>
      <w:hyperlink w:anchor="SENTENCIA_2012_114" w:history="1">
        <w:r w:rsidRPr="00BA1B56">
          <w:rPr>
            <w:rStyle w:val="TextoNormalCaracter"/>
          </w:rPr>
          <w:t>114/2012</w:t>
        </w:r>
      </w:hyperlink>
      <w:r w:rsidRPr="00BA1B56">
        <w:rPr>
          <w:rStyle w:val="TextoNormalCaracter"/>
        </w:rPr>
        <w:t>, ff. 4, 7.</w:t>
      </w:r>
    </w:p>
    <w:p w:rsidR="00BA1B56" w:rsidRPr="00BA1B56" w:rsidRDefault="00BA1B56" w:rsidP="00BA1B56">
      <w:pPr>
        <w:pStyle w:val="TextoNormalSangraFrancesa"/>
        <w:rPr>
          <w:rStyle w:val="TextoNormalNegritaCaracter"/>
        </w:rPr>
      </w:pPr>
      <w:r w:rsidRPr="00BA1B56">
        <w:rPr>
          <w:rStyle w:val="TextoNormalCursivaCaracter"/>
        </w:rPr>
        <w:t>Reintegro de cantidad</w:t>
      </w:r>
      <w:r>
        <w:t xml:space="preserve"> véase </w:t>
      </w:r>
      <w:hyperlink w:anchor="DESCRIPTORALFABETICO559" w:history="1">
        <w:r w:rsidRPr="00BA1B56">
          <w:rPr>
            <w:rStyle w:val="TextoNormalNegritaCaracter"/>
          </w:rPr>
          <w:t>Pago de una cantidad</w:t>
        </w:r>
      </w:hyperlink>
    </w:p>
    <w:p w:rsidR="00BA1B56" w:rsidRPr="00BA1B56" w:rsidRDefault="00BA1B56" w:rsidP="00BA1B56">
      <w:pPr>
        <w:pStyle w:val="TextoNormalSangraFrancesa"/>
        <w:rPr>
          <w:rStyle w:val="TextoNormalCaracter"/>
        </w:rPr>
      </w:pPr>
      <w:bookmarkStart w:id="2170" w:name="DESCRIPTORALFABETICO842"/>
      <w:r w:rsidRPr="00BA1B56">
        <w:rPr>
          <w:rStyle w:val="TextoNormalNegritaCaracter"/>
        </w:rPr>
        <w:lastRenderedPageBreak/>
        <w:t>Relaciones laborales</w:t>
      </w:r>
      <w:bookmarkEnd w:id="2170"/>
      <w:r w:rsidRPr="00BA1B56">
        <w:rPr>
          <w:rStyle w:val="TextoNormalCaracter"/>
        </w:rPr>
        <w:t xml:space="preserve">, Sentencia </w:t>
      </w:r>
      <w:hyperlink w:anchor="SENTENCIA_2012_84" w:history="1">
        <w:r w:rsidRPr="00BA1B56">
          <w:rPr>
            <w:rStyle w:val="TextoNormalCaracter"/>
          </w:rPr>
          <w:t>84/2012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71" w:name="DESCRIPTORALFABETICO245"/>
      <w:r w:rsidRPr="00BA1B56">
        <w:rPr>
          <w:rStyle w:val="TextoNormalNegritaCaracter"/>
        </w:rPr>
        <w:t>Relevancia pública de la información</w:t>
      </w:r>
      <w:bookmarkEnd w:id="2171"/>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ff. 4, 7.</w:t>
      </w:r>
    </w:p>
    <w:p w:rsidR="00BA1B56" w:rsidRPr="00BA1B56" w:rsidRDefault="00BA1B56" w:rsidP="00BA1B56">
      <w:pPr>
        <w:pStyle w:val="TextoNormalSangraFrancesa"/>
        <w:rPr>
          <w:rStyle w:val="TextoNormalCaracter"/>
        </w:rPr>
      </w:pPr>
      <w:bookmarkStart w:id="2172" w:name="DESCRIPTORALFABETICO740"/>
      <w:r w:rsidRPr="00BA1B56">
        <w:rPr>
          <w:rStyle w:val="TextoNormalNegritaCaracter"/>
        </w:rPr>
        <w:t>Remisión a leyes presupuestarias</w:t>
      </w:r>
      <w:bookmarkEnd w:id="2172"/>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10.</w:t>
      </w:r>
    </w:p>
    <w:p w:rsidR="00BA1B56" w:rsidRPr="00BA1B56" w:rsidRDefault="00BA1B56" w:rsidP="00BA1B56">
      <w:pPr>
        <w:pStyle w:val="TextoNormalSangraFrancesa"/>
        <w:rPr>
          <w:rStyle w:val="TextoNormalCaracter"/>
        </w:rPr>
      </w:pPr>
      <w:bookmarkStart w:id="2173" w:name="DESCRIPTORALFABETICO716"/>
      <w:r w:rsidRPr="00BA1B56">
        <w:rPr>
          <w:rStyle w:val="TextoNormalNegritaCaracter"/>
        </w:rPr>
        <w:t>Remisión a normas extrapenales</w:t>
      </w:r>
      <w:bookmarkEnd w:id="2173"/>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74" w:name="DESCRIPTORALFABETICO741"/>
      <w:r w:rsidRPr="00BA1B56">
        <w:rPr>
          <w:rStyle w:val="TextoNormalNegritaCaracter"/>
        </w:rPr>
        <w:t>Remisión a normas reglamentarias</w:t>
      </w:r>
      <w:bookmarkEnd w:id="2174"/>
      <w:r w:rsidRPr="00BA1B56">
        <w:rPr>
          <w:rStyle w:val="TextoNormalCaracter"/>
        </w:rPr>
        <w:t xml:space="preserve">, Sentencia </w:t>
      </w:r>
      <w:hyperlink w:anchor="SENTENCIA_2012_90" w:history="1">
        <w:r w:rsidRPr="00BA1B56">
          <w:rPr>
            <w:rStyle w:val="TextoNormalCaracter"/>
          </w:rPr>
          <w:t>90/2012</w:t>
        </w:r>
      </w:hyperlink>
      <w:r w:rsidRPr="00BA1B56">
        <w:rPr>
          <w:rStyle w:val="TextoNormalCaracter"/>
        </w:rPr>
        <w:t>, f.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4" w:history="1">
        <w:r w:rsidRPr="00BA1B56">
          <w:rPr>
            <w:rStyle w:val="TextoNormalCaracter"/>
          </w:rPr>
          <w:t>34/2012</w:t>
        </w:r>
      </w:hyperlink>
      <w:r w:rsidRPr="00BA1B56">
        <w:rPr>
          <w:rStyle w:val="TextoNormalCaracter"/>
        </w:rPr>
        <w:t>, ff. 2 a 4.</w:t>
      </w:r>
    </w:p>
    <w:p w:rsidR="00BA1B56" w:rsidRPr="00BA1B56" w:rsidRDefault="00BA1B56" w:rsidP="00BA1B56">
      <w:pPr>
        <w:pStyle w:val="TextoNormalSangraFrancesa"/>
        <w:rPr>
          <w:rStyle w:val="TextoNormalNegritaCaracter"/>
        </w:rPr>
      </w:pPr>
      <w:r w:rsidRPr="00BA1B56">
        <w:rPr>
          <w:rStyle w:val="TextoNormalCursivaCaracter"/>
        </w:rPr>
        <w:t>Remisión al reglamento</w:t>
      </w:r>
      <w:r>
        <w:t xml:space="preserve"> véase </w:t>
      </w:r>
      <w:hyperlink w:anchor="DESCRIPTORALFABETICO741" w:history="1">
        <w:r w:rsidRPr="00BA1B56">
          <w:rPr>
            <w:rStyle w:val="TextoNormalNegritaCaracter"/>
          </w:rPr>
          <w:t>Remisión a normas reglamentarias</w:t>
        </w:r>
      </w:hyperlink>
    </w:p>
    <w:p w:rsidR="00BA1B56" w:rsidRPr="00BA1B56" w:rsidRDefault="00BA1B56" w:rsidP="00BA1B56">
      <w:pPr>
        <w:pStyle w:val="TextoNormalSangraFrancesa"/>
        <w:rPr>
          <w:rStyle w:val="TextoNormalNegritaCaracter"/>
        </w:rPr>
      </w:pPr>
      <w:r w:rsidRPr="00BA1B56">
        <w:rPr>
          <w:rStyle w:val="TextoNormalCursivaCaracter"/>
        </w:rPr>
        <w:t>Remisión condicional de la pena</w:t>
      </w:r>
      <w:r>
        <w:t xml:space="preserve"> véase </w:t>
      </w:r>
      <w:hyperlink w:anchor="DESCRIPTORALFABETICO748" w:history="1">
        <w:r w:rsidRPr="00BA1B56">
          <w:rPr>
            <w:rStyle w:val="TextoNormalNegritaCaracter"/>
          </w:rPr>
          <w:t>Suspensión de la ejecución de la pena</w:t>
        </w:r>
      </w:hyperlink>
    </w:p>
    <w:p w:rsidR="00BA1B56" w:rsidRPr="00BA1B56" w:rsidRDefault="00BA1B56" w:rsidP="00BA1B56">
      <w:pPr>
        <w:pStyle w:val="TextoNormalSangraFrancesa"/>
        <w:rPr>
          <w:rStyle w:val="TextoNormalCaracter"/>
        </w:rPr>
      </w:pPr>
      <w:bookmarkStart w:id="2175" w:name="DESCRIPTORALFABETICO613"/>
      <w:r w:rsidRPr="00BA1B56">
        <w:rPr>
          <w:rStyle w:val="TextoNormalNegritaCaracter"/>
        </w:rPr>
        <w:t>Renta básica de emancipación</w:t>
      </w:r>
      <w:bookmarkEnd w:id="2175"/>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8 a 10; </w:t>
      </w:r>
      <w:hyperlink w:anchor="SENTENCIA_2012_72" w:history="1">
        <w:r w:rsidRPr="00BA1B56">
          <w:rPr>
            <w:rStyle w:val="TextoNormalCaracter"/>
          </w:rPr>
          <w:t>72/2012</w:t>
        </w:r>
      </w:hyperlink>
      <w:r w:rsidRPr="00BA1B56">
        <w:rPr>
          <w:rStyle w:val="TextoNormalCaracter"/>
        </w:rPr>
        <w:t xml:space="preserve">, f. 5; </w:t>
      </w:r>
      <w:hyperlink w:anchor="SENTENCIA_2012_73" w:history="1">
        <w:r w:rsidRPr="00BA1B56">
          <w:rPr>
            <w:rStyle w:val="TextoNormalCaracter"/>
          </w:rPr>
          <w:t>73/2012</w:t>
        </w:r>
      </w:hyperlink>
      <w:r w:rsidRPr="00BA1B56">
        <w:rPr>
          <w:rStyle w:val="TextoNormalCaracter"/>
        </w:rPr>
        <w:t xml:space="preserve">, ff. 3, 5; </w:t>
      </w:r>
      <w:hyperlink w:anchor="SENTENCIA_2012_77" w:history="1">
        <w:r w:rsidRPr="00BA1B56">
          <w:rPr>
            <w:rStyle w:val="TextoNormalCaracter"/>
          </w:rPr>
          <w:t>77/2012</w:t>
        </w:r>
      </w:hyperlink>
      <w:r w:rsidRPr="00BA1B56">
        <w:rPr>
          <w:rStyle w:val="TextoNormalCaracter"/>
        </w:rPr>
        <w:t>, ff. 2 a 8.</w:t>
      </w:r>
    </w:p>
    <w:p w:rsidR="00BA1B56" w:rsidRPr="00BA1B56" w:rsidRDefault="00BA1B56" w:rsidP="00BA1B56">
      <w:pPr>
        <w:pStyle w:val="TextoNormalSangraFrancesa"/>
        <w:rPr>
          <w:rStyle w:val="TextoNormalCaracter"/>
        </w:rPr>
      </w:pPr>
      <w:bookmarkStart w:id="2176" w:name="DESCRIPTORALFABETICO111"/>
      <w:r w:rsidRPr="00BA1B56">
        <w:rPr>
          <w:rStyle w:val="TextoNormalNegritaCaracter"/>
        </w:rPr>
        <w:t>Renta gravable</w:t>
      </w:r>
      <w:bookmarkEnd w:id="2176"/>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77" w:name="DESCRIPTORALFABETICO113"/>
      <w:r w:rsidRPr="00BA1B56">
        <w:rPr>
          <w:rStyle w:val="TextoNormalNegritaCaracter"/>
        </w:rPr>
        <w:t>Rentas en especie</w:t>
      </w:r>
      <w:bookmarkEnd w:id="2177"/>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8.</w:t>
      </w:r>
    </w:p>
    <w:p w:rsidR="00BA1B56" w:rsidRPr="00BA1B56" w:rsidRDefault="00BA1B56" w:rsidP="00BA1B56">
      <w:pPr>
        <w:pStyle w:val="TextoNormalSangraFrancesa"/>
        <w:rPr>
          <w:rStyle w:val="TextoNormalNegritaCaracter"/>
        </w:rPr>
      </w:pPr>
      <w:r w:rsidRPr="00BA1B56">
        <w:rPr>
          <w:rStyle w:val="TextoNormalCursivaCaracter"/>
        </w:rPr>
        <w:t>Renuncia de cargos públicos</w:t>
      </w:r>
      <w:r>
        <w:t xml:space="preserve"> véase </w:t>
      </w:r>
      <w:hyperlink w:anchor="DESCRIPTORALFABETICO150" w:history="1">
        <w:r w:rsidRPr="00BA1B56">
          <w:rPr>
            <w:rStyle w:val="TextoNormalNegritaCaracter"/>
          </w:rPr>
          <w:t>Renuncia de cargos públicos de representación política</w:t>
        </w:r>
      </w:hyperlink>
    </w:p>
    <w:p w:rsidR="00BA1B56" w:rsidRPr="00BA1B56" w:rsidRDefault="00BA1B56" w:rsidP="00BA1B56">
      <w:pPr>
        <w:pStyle w:val="TextoNormalSangraFrancesa"/>
        <w:rPr>
          <w:rStyle w:val="TextoNormalCaracter"/>
        </w:rPr>
      </w:pPr>
      <w:bookmarkStart w:id="2178" w:name="DESCRIPTORALFABETICO150"/>
      <w:r w:rsidRPr="00BA1B56">
        <w:rPr>
          <w:rStyle w:val="TextoNormalNegritaCaracter"/>
        </w:rPr>
        <w:t>Renuncia de cargos públicos de representación política</w:t>
      </w:r>
      <w:bookmarkEnd w:id="2178"/>
      <w:r w:rsidRPr="00BA1B56">
        <w:rPr>
          <w:rStyle w:val="TextoNormalCaracter"/>
        </w:rPr>
        <w:t xml:space="preserve">, Sentencia </w:t>
      </w:r>
      <w:hyperlink w:anchor="SENTENCIA_2012_9" w:history="1">
        <w:r w:rsidRPr="00BA1B56">
          <w:rPr>
            <w:rStyle w:val="TextoNormalCaracter"/>
          </w:rPr>
          <w:t>9/2012</w:t>
        </w:r>
      </w:hyperlink>
      <w:r w:rsidRPr="00BA1B56">
        <w:rPr>
          <w:rStyle w:val="TextoNormalCaracter"/>
        </w:rPr>
        <w:t>, ff. 2, 4.</w:t>
      </w:r>
    </w:p>
    <w:p w:rsidR="00BA1B56" w:rsidRPr="00BA1B56" w:rsidRDefault="00BA1B56" w:rsidP="00BA1B56">
      <w:pPr>
        <w:pStyle w:val="TextoNormalSangraFrancesa"/>
        <w:rPr>
          <w:rStyle w:val="TextoNormalCaracter"/>
        </w:rPr>
      </w:pPr>
      <w:bookmarkStart w:id="2179" w:name="DESCRIPTORALFABETICO347"/>
      <w:r w:rsidRPr="00BA1B56">
        <w:rPr>
          <w:rStyle w:val="TextoNormalNegritaCaracter"/>
        </w:rPr>
        <w:t>Replanteamiento de cuestión de inconstitucionalidad por el mismo órgano judicial</w:t>
      </w:r>
      <w:bookmarkEnd w:id="2179"/>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80" w:name="DESCRIPTORALFABETICO243"/>
      <w:r w:rsidRPr="00BA1B56">
        <w:rPr>
          <w:rStyle w:val="TextoNormalNegritaCaracter"/>
        </w:rPr>
        <w:t>Reportaje periodístico</w:t>
      </w:r>
      <w:bookmarkEnd w:id="2180"/>
      <w:r w:rsidRPr="00BA1B56">
        <w:rPr>
          <w:rStyle w:val="TextoNormalCaracter"/>
        </w:rPr>
        <w:t xml:space="preserve">, Sentencias </w:t>
      </w:r>
      <w:hyperlink w:anchor="SENTENCIA_2012_12" w:history="1">
        <w:r w:rsidRPr="00BA1B56">
          <w:rPr>
            <w:rStyle w:val="TextoNormalCaracter"/>
          </w:rPr>
          <w:t>12/2012</w:t>
        </w:r>
      </w:hyperlink>
      <w:r w:rsidRPr="00BA1B56">
        <w:rPr>
          <w:rStyle w:val="TextoNormalCaracter"/>
        </w:rPr>
        <w:t xml:space="preserve">, ff. 6, 7; </w:t>
      </w:r>
      <w:hyperlink w:anchor="SENTENCIA_2012_17" w:history="1">
        <w:r w:rsidRPr="00BA1B56">
          <w:rPr>
            <w:rStyle w:val="TextoNormalCaracter"/>
          </w:rPr>
          <w:t>17/2012</w:t>
        </w:r>
      </w:hyperlink>
      <w:r w:rsidRPr="00BA1B56">
        <w:rPr>
          <w:rStyle w:val="TextoNormalCaracter"/>
        </w:rPr>
        <w:t xml:space="preserve">, f. 1; </w:t>
      </w:r>
      <w:hyperlink w:anchor="SENTENCIA_2012_23" w:history="1">
        <w:r w:rsidRPr="00BA1B56">
          <w:rPr>
            <w:rStyle w:val="TextoNormalCaracter"/>
          </w:rPr>
          <w:t>23/2012</w:t>
        </w:r>
      </w:hyperlink>
      <w:r w:rsidRPr="00BA1B56">
        <w:rPr>
          <w:rStyle w:val="TextoNormalCaracter"/>
        </w:rPr>
        <w:t xml:space="preserve">, f. 1; </w:t>
      </w:r>
      <w:hyperlink w:anchor="SENTENCIA_2012_24" w:history="1">
        <w:r w:rsidRPr="00BA1B56">
          <w:rPr>
            <w:rStyle w:val="TextoNormalCaracter"/>
          </w:rPr>
          <w:t>24/2012</w:t>
        </w:r>
      </w:hyperlink>
      <w:r w:rsidRPr="00BA1B56">
        <w:rPr>
          <w:rStyle w:val="TextoNormalCaracter"/>
        </w:rPr>
        <w:t xml:space="preserve">, ff. 2, 3; </w:t>
      </w:r>
      <w:hyperlink w:anchor="SENTENCIA_2012_74" w:history="1">
        <w:r w:rsidRPr="00BA1B56">
          <w:rPr>
            <w:rStyle w:val="TextoNormalCaracter"/>
          </w:rPr>
          <w:t>74/2012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181" w:name="DESCRIPTORALFABETICO469"/>
      <w:r w:rsidRPr="00BA1B56">
        <w:rPr>
          <w:rStyle w:val="TextoNormalNegritaCaracter"/>
        </w:rPr>
        <w:t>Representación ciudadana</w:t>
      </w:r>
      <w:bookmarkEnd w:id="2181"/>
      <w:r w:rsidRPr="00BA1B56">
        <w:rPr>
          <w:rStyle w:val="TextoNormalCaracter"/>
        </w:rPr>
        <w:t xml:space="preserve">, Sentencias </w:t>
      </w:r>
      <w:hyperlink w:anchor="SENTENCIA_2012_30" w:history="1">
        <w:r w:rsidRPr="00BA1B56">
          <w:rPr>
            <w:rStyle w:val="TextoNormalCaracter"/>
          </w:rPr>
          <w:t>30/2012</w:t>
        </w:r>
      </w:hyperlink>
      <w:r w:rsidRPr="00BA1B56">
        <w:rPr>
          <w:rStyle w:val="TextoNormalCaracter"/>
        </w:rPr>
        <w:t xml:space="preserve">, f. 4; </w:t>
      </w:r>
      <w:hyperlink w:anchor="SENTENCIA_2012_81" w:history="1">
        <w:r w:rsidRPr="00BA1B56">
          <w:rPr>
            <w:rStyle w:val="TextoNormalCaracter"/>
          </w:rPr>
          <w:t>81/2012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82" w:name="DESCRIPTORALFABETICO468"/>
      <w:r w:rsidRPr="00BA1B56">
        <w:rPr>
          <w:rStyle w:val="TextoNormalNegritaCaracter"/>
        </w:rPr>
        <w:t>Representación política</w:t>
      </w:r>
      <w:bookmarkEnd w:id="2182"/>
      <w:r w:rsidRPr="00BA1B56">
        <w:rPr>
          <w:rStyle w:val="TextoNormalCaracter"/>
        </w:rPr>
        <w:t xml:space="preserve">, Sentencias </w:t>
      </w:r>
      <w:hyperlink w:anchor="SENTENCIA_2012_14" w:history="1">
        <w:r w:rsidRPr="00BA1B56">
          <w:rPr>
            <w:rStyle w:val="TextoNormalCaracter"/>
          </w:rPr>
          <w:t>14/2012</w:t>
        </w:r>
      </w:hyperlink>
      <w:r w:rsidRPr="00BA1B56">
        <w:rPr>
          <w:rStyle w:val="TextoNormalCaracter"/>
        </w:rPr>
        <w:t xml:space="preserve">, f. 2; </w:t>
      </w:r>
      <w:hyperlink w:anchor="SENTENCIA_2012_117" w:history="1">
        <w:r w:rsidRPr="00BA1B56">
          <w:rPr>
            <w:rStyle w:val="TextoNormalCaracter"/>
          </w:rPr>
          <w:t>117/2012</w:t>
        </w:r>
      </w:hyperlink>
      <w:r w:rsidRPr="00BA1B56">
        <w:rPr>
          <w:rStyle w:val="TextoNormalCaracter"/>
        </w:rPr>
        <w:t xml:space="preserve">, f. 4; </w:t>
      </w:r>
      <w:hyperlink w:anchor="SENTENCIA_2012_132" w:history="1">
        <w:r w:rsidRPr="00BA1B56">
          <w:rPr>
            <w:rStyle w:val="TextoNormalCaracter"/>
          </w:rPr>
          <w:t>132/2012</w:t>
        </w:r>
      </w:hyperlink>
      <w:r w:rsidRPr="00BA1B56">
        <w:rPr>
          <w:rStyle w:val="TextoNormalCaracter"/>
        </w:rPr>
        <w:t>, f. 4.</w:t>
      </w:r>
    </w:p>
    <w:p w:rsidR="00BA1B56" w:rsidRPr="00BA1B56" w:rsidRDefault="00BA1B56" w:rsidP="00BA1B56">
      <w:pPr>
        <w:pStyle w:val="TextoNormalSangraFrancesa"/>
        <w:rPr>
          <w:rStyle w:val="TextoNormalCaracter"/>
        </w:rPr>
      </w:pPr>
      <w:bookmarkStart w:id="2183" w:name="DESCRIPTORALFABETICO927"/>
      <w:r w:rsidRPr="00BA1B56">
        <w:rPr>
          <w:rStyle w:val="TextoNormalNegritaCaracter"/>
        </w:rPr>
        <w:t>Representación procesal</w:t>
      </w:r>
      <w:bookmarkEnd w:id="2183"/>
      <w:r w:rsidRPr="00BA1B56">
        <w:rPr>
          <w:rStyle w:val="TextoNormalCaracter"/>
        </w:rPr>
        <w:t xml:space="preserve">, Auto </w:t>
      </w:r>
      <w:hyperlink w:anchor="AUTO_2012_30" w:history="1">
        <w:r w:rsidRPr="00BA1B56">
          <w:rPr>
            <w:rStyle w:val="TextoNormalCaracter"/>
          </w:rPr>
          <w:t>30/2012</w:t>
        </w:r>
      </w:hyperlink>
      <w:r w:rsidRPr="00BA1B56">
        <w:rPr>
          <w:rStyle w:val="TextoNormalCaracter"/>
        </w:rPr>
        <w:t>, ff. 2, 3.</w:t>
      </w:r>
    </w:p>
    <w:p w:rsidR="00BA1B56" w:rsidRPr="00BA1B56" w:rsidRDefault="00BA1B56" w:rsidP="00BA1B56">
      <w:pPr>
        <w:pStyle w:val="TextoNormalSangraFrancesa"/>
        <w:rPr>
          <w:rStyle w:val="TextoNormalNegritaCaracter"/>
        </w:rPr>
      </w:pPr>
      <w:r w:rsidRPr="00BA1B56">
        <w:rPr>
          <w:rStyle w:val="TextoNormalCursivaCaracter"/>
        </w:rPr>
        <w:t>Representantes de los ciudadanos</w:t>
      </w:r>
      <w:r>
        <w:t xml:space="preserve"> véase </w:t>
      </w:r>
      <w:hyperlink w:anchor="DESCRIPTORALFABETICO469" w:history="1">
        <w:r w:rsidRPr="00BA1B56">
          <w:rPr>
            <w:rStyle w:val="TextoNormalNegritaCaracter"/>
          </w:rPr>
          <w:t>Representación ciudadana</w:t>
        </w:r>
      </w:hyperlink>
    </w:p>
    <w:p w:rsidR="00BA1B56" w:rsidRPr="00BA1B56" w:rsidRDefault="00BA1B56" w:rsidP="00BA1B56">
      <w:pPr>
        <w:pStyle w:val="TextoNormalSangraFrancesa"/>
        <w:rPr>
          <w:rStyle w:val="TextoNormalCaracter"/>
        </w:rPr>
      </w:pPr>
      <w:bookmarkStart w:id="2184" w:name="DESCRIPTORALFABETICO543"/>
      <w:r w:rsidRPr="00BA1B56">
        <w:rPr>
          <w:rStyle w:val="TextoNormalNegritaCaracter"/>
        </w:rPr>
        <w:t>Representantes de los fundadores de las cajas de ahorros</w:t>
      </w:r>
      <w:bookmarkEnd w:id="2184"/>
      <w:r w:rsidRPr="00BA1B56">
        <w:rPr>
          <w:rStyle w:val="TextoNormalCaracter"/>
        </w:rPr>
        <w:t xml:space="preserve">, Sentencia </w:t>
      </w:r>
      <w:hyperlink w:anchor="SENTENCIA_2012_121" w:history="1">
        <w:r w:rsidRPr="00BA1B56">
          <w:rPr>
            <w:rStyle w:val="TextoNormalCaracter"/>
          </w:rPr>
          <w:t>121/2012</w:t>
        </w:r>
      </w:hyperlink>
      <w:r w:rsidRPr="00BA1B56">
        <w:rPr>
          <w:rStyle w:val="TextoNormalCaracter"/>
        </w:rPr>
        <w:t>, ff. 8, 9.</w:t>
      </w:r>
    </w:p>
    <w:p w:rsidR="00BA1B56" w:rsidRPr="00BA1B56" w:rsidRDefault="00BA1B56" w:rsidP="00BA1B56">
      <w:pPr>
        <w:pStyle w:val="TextoNormalSangraFrancesa"/>
        <w:rPr>
          <w:rStyle w:val="TextoNormalCaracter"/>
        </w:rPr>
      </w:pPr>
      <w:bookmarkStart w:id="2185" w:name="DESCRIPTORALFABETICO821"/>
      <w:r w:rsidRPr="00BA1B56">
        <w:rPr>
          <w:rStyle w:val="TextoNormalNegritaCaracter"/>
        </w:rPr>
        <w:t>Representantes de los trabajadores</w:t>
      </w:r>
      <w:bookmarkEnd w:id="2185"/>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5, 7.</w:t>
      </w:r>
    </w:p>
    <w:p w:rsidR="00BA1B56" w:rsidRPr="00BA1B56" w:rsidRDefault="00BA1B56" w:rsidP="00BA1B56">
      <w:pPr>
        <w:pStyle w:val="TextoNormalSangraFrancesa"/>
        <w:rPr>
          <w:rStyle w:val="TextoNormalCaracter"/>
        </w:rPr>
      </w:pPr>
      <w:bookmarkStart w:id="2186" w:name="DESCRIPTORALFABETICO713"/>
      <w:r w:rsidRPr="00BA1B56">
        <w:rPr>
          <w:rStyle w:val="TextoNormalNegritaCaracter"/>
        </w:rPr>
        <w:t>Reproducción de normas estatales</w:t>
      </w:r>
      <w:bookmarkEnd w:id="2186"/>
      <w:r w:rsidRPr="00BA1B56">
        <w:rPr>
          <w:rStyle w:val="TextoNormalCaracter"/>
        </w:rPr>
        <w:t xml:space="preserve">, Sentencias </w:t>
      </w:r>
      <w:hyperlink w:anchor="SENTENCIA_2012_87" w:history="1">
        <w:r w:rsidRPr="00BA1B56">
          <w:rPr>
            <w:rStyle w:val="TextoNormalCaracter"/>
          </w:rPr>
          <w:t>87/2012</w:t>
        </w:r>
      </w:hyperlink>
      <w:r w:rsidRPr="00BA1B56">
        <w:rPr>
          <w:rStyle w:val="TextoNormalCaracter"/>
        </w:rPr>
        <w:t xml:space="preserve">, f. 5;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Caracter"/>
        </w:rPr>
      </w:pPr>
      <w:bookmarkStart w:id="2187" w:name="DESCRIPTORALFABETICO877"/>
      <w:r w:rsidRPr="00BA1B56">
        <w:rPr>
          <w:rStyle w:val="TextoNormalNegritaCaracter"/>
        </w:rPr>
        <w:t>Requerimiento al demandado para la determinación de afectados</w:t>
      </w:r>
      <w:bookmarkEnd w:id="2187"/>
      <w:r w:rsidRPr="00BA1B56">
        <w:rPr>
          <w:rStyle w:val="TextoNormalCaracter"/>
        </w:rPr>
        <w:t xml:space="preserve">, Sentencia </w:t>
      </w:r>
      <w:hyperlink w:anchor="SENTENCIA_2012_96" w:history="1">
        <w:r w:rsidRPr="00BA1B56">
          <w:rPr>
            <w:rStyle w:val="TextoNormalCaracter"/>
          </w:rPr>
          <w:t>96/2012</w:t>
        </w:r>
      </w:hyperlink>
      <w:r w:rsidRPr="00BA1B56">
        <w:rPr>
          <w:rStyle w:val="TextoNormalCaracter"/>
        </w:rPr>
        <w:t>, ff. 1 a 11.</w:t>
      </w:r>
    </w:p>
    <w:p w:rsidR="00BA1B56" w:rsidRPr="00BA1B56" w:rsidRDefault="00BA1B56" w:rsidP="00BA1B56">
      <w:pPr>
        <w:pStyle w:val="TextoNormalSangraFrancesa"/>
        <w:rPr>
          <w:rStyle w:val="TextoNormalCaracter"/>
        </w:rPr>
      </w:pPr>
      <w:bookmarkStart w:id="2188" w:name="DESCRIPTORALFABETICO768"/>
      <w:r w:rsidRPr="00BA1B56">
        <w:rPr>
          <w:rStyle w:val="TextoNormalNegritaCaracter"/>
        </w:rPr>
        <w:t>Requisito de edad</w:t>
      </w:r>
      <w:bookmarkEnd w:id="2188"/>
      <w:r w:rsidRPr="00BA1B56">
        <w:rPr>
          <w:rStyle w:val="TextoNormalCaracter"/>
        </w:rPr>
        <w:t xml:space="preserve">, Sentencia </w:t>
      </w:r>
      <w:hyperlink w:anchor="SENTENCIA_2012_78" w:history="1">
        <w:r w:rsidRPr="00BA1B56">
          <w:rPr>
            <w:rStyle w:val="TextoNormalCaracter"/>
          </w:rPr>
          <w:t>78/2012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2189" w:name="DESCRIPTORALFABETICO630"/>
      <w:r w:rsidRPr="00BA1B56">
        <w:rPr>
          <w:rStyle w:val="TextoNormalNegritaCaracter"/>
        </w:rPr>
        <w:t>Requisito de edad para el acceso a la función pública</w:t>
      </w:r>
      <w:bookmarkEnd w:id="2189"/>
      <w:r w:rsidRPr="00BA1B56">
        <w:rPr>
          <w:rStyle w:val="TextoNormalCaracter"/>
        </w:rPr>
        <w:t xml:space="preserve">, Sentencia </w:t>
      </w:r>
      <w:hyperlink w:anchor="SENTENCIA_2012_29" w:history="1">
        <w:r w:rsidRPr="00BA1B56">
          <w:rPr>
            <w:rStyle w:val="TextoNormalCaracter"/>
          </w:rPr>
          <w:t>29/2012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190" w:name="DESCRIPTORALFABETICO717"/>
      <w:r w:rsidRPr="00BA1B56">
        <w:rPr>
          <w:rStyle w:val="TextoNormalNegritaCaracter"/>
        </w:rPr>
        <w:t>Requisitos de validez de las leyes penales en blanco</w:t>
      </w:r>
      <w:bookmarkEnd w:id="2190"/>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91" w:name="DESCRIPTORALFABETICO702"/>
      <w:r w:rsidRPr="00BA1B56">
        <w:rPr>
          <w:rStyle w:val="TextoNormalNegritaCaracter"/>
        </w:rPr>
        <w:t>Requisitos formales de la normativa básica</w:t>
      </w:r>
      <w:bookmarkEnd w:id="2191"/>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6.</w:t>
      </w:r>
    </w:p>
    <w:p w:rsidR="00BA1B56" w:rsidRPr="00BA1B56" w:rsidRDefault="00BA1B56" w:rsidP="00BA1B56">
      <w:pPr>
        <w:pStyle w:val="TextoNormalSangraFrancesa"/>
        <w:rPr>
          <w:rStyle w:val="TextoNormalCaracter"/>
        </w:rPr>
      </w:pPr>
      <w:bookmarkStart w:id="2192" w:name="DESCRIPTORALFABETICO705"/>
      <w:r w:rsidRPr="00BA1B56">
        <w:rPr>
          <w:rStyle w:val="TextoNormalNegritaCaracter"/>
        </w:rPr>
        <w:t>Requisitos materiales de la normativa básica</w:t>
      </w:r>
      <w:bookmarkEnd w:id="2192"/>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6.</w:t>
      </w:r>
    </w:p>
    <w:p w:rsidR="00BA1B56" w:rsidRPr="00BA1B56" w:rsidRDefault="00BA1B56" w:rsidP="00BA1B56">
      <w:pPr>
        <w:pStyle w:val="TextoNormalSangraFrancesa"/>
        <w:rPr>
          <w:rStyle w:val="TextoNormalCaracter"/>
        </w:rPr>
      </w:pPr>
      <w:bookmarkStart w:id="2193" w:name="DESCRIPTORALFABETICO938"/>
      <w:r w:rsidRPr="00BA1B56">
        <w:rPr>
          <w:rStyle w:val="TextoNormalNegritaCaracter"/>
        </w:rPr>
        <w:t>Requisitos procesales</w:t>
      </w:r>
      <w:bookmarkEnd w:id="2193"/>
      <w:r w:rsidRPr="00BA1B56">
        <w:rPr>
          <w:rStyle w:val="TextoNormalCaracter"/>
        </w:rPr>
        <w:t xml:space="preserve">, Sentencias </w:t>
      </w:r>
      <w:hyperlink w:anchor="SENTENCIA_2012_20" w:history="1">
        <w:r w:rsidRPr="00BA1B56">
          <w:rPr>
            <w:rStyle w:val="TextoNormalCaracter"/>
          </w:rPr>
          <w:t>20/2012</w:t>
        </w:r>
      </w:hyperlink>
      <w:r w:rsidRPr="00BA1B56">
        <w:rPr>
          <w:rStyle w:val="TextoNormalCaracter"/>
        </w:rPr>
        <w:t xml:space="preserve">, ff. 5, 6, 7, 8, 9, 10, 11; </w:t>
      </w:r>
      <w:hyperlink w:anchor="SENTENCIA_2012_76" w:history="1">
        <w:r w:rsidRPr="00BA1B56">
          <w:rPr>
            <w:rStyle w:val="TextoNormalCaracter"/>
          </w:rPr>
          <w:t>76/2012</w:t>
        </w:r>
      </w:hyperlink>
      <w:r w:rsidRPr="00BA1B56">
        <w:rPr>
          <w:rStyle w:val="TextoNormalCaracter"/>
        </w:rPr>
        <w:t xml:space="preserve">, f. 3; </w:t>
      </w:r>
      <w:hyperlink w:anchor="SENTENCIA_2012_79" w:history="1">
        <w:r w:rsidRPr="00BA1B56">
          <w:rPr>
            <w:rStyle w:val="TextoNormalCaracter"/>
          </w:rPr>
          <w:t>79/2012</w:t>
        </w:r>
      </w:hyperlink>
      <w:r w:rsidRPr="00BA1B56">
        <w:rPr>
          <w:rStyle w:val="TextoNormalCaracter"/>
        </w:rPr>
        <w:t xml:space="preserve">, ff. 3, 4, 6; </w:t>
      </w:r>
      <w:hyperlink w:anchor="SENTENCIA_2012_85" w:history="1">
        <w:r w:rsidRPr="00BA1B56">
          <w:rPr>
            <w:rStyle w:val="TextoNormalCaracter"/>
          </w:rPr>
          <w:t>85/2012</w:t>
        </w:r>
      </w:hyperlink>
      <w:r w:rsidRPr="00BA1B56">
        <w:rPr>
          <w:rStyle w:val="TextoNormalCaracter"/>
        </w:rPr>
        <w:t xml:space="preserve">, f. 3; </w:t>
      </w:r>
      <w:hyperlink w:anchor="SENTENCIA_2012_103" w:history="1">
        <w:r w:rsidRPr="00BA1B56">
          <w:rPr>
            <w:rStyle w:val="TextoNormalCaracter"/>
          </w:rPr>
          <w:t>103/2012</w:t>
        </w:r>
      </w:hyperlink>
      <w:r w:rsidRPr="00BA1B56">
        <w:rPr>
          <w:rStyle w:val="TextoNormalCaracter"/>
        </w:rPr>
        <w:t xml:space="preserve">, ff. 3, 4; </w:t>
      </w:r>
      <w:hyperlink w:anchor="SENTENCIA_2012_104" w:history="1">
        <w:r w:rsidRPr="00BA1B56">
          <w:rPr>
            <w:rStyle w:val="TextoNormalCaracter"/>
          </w:rPr>
          <w:t>104/2012</w:t>
        </w:r>
      </w:hyperlink>
      <w:r w:rsidRPr="00BA1B56">
        <w:rPr>
          <w:rStyle w:val="TextoNormalCaracter"/>
        </w:rPr>
        <w:t xml:space="preserve">, ff. 2, 3; </w:t>
      </w:r>
      <w:hyperlink w:anchor="SENTENCIA_2012_113" w:history="1">
        <w:r w:rsidRPr="00BA1B56">
          <w:rPr>
            <w:rStyle w:val="TextoNormalCaracter"/>
          </w:rPr>
          <w:t>113/2012</w:t>
        </w:r>
      </w:hyperlink>
      <w:r w:rsidRPr="00BA1B56">
        <w:rPr>
          <w:rStyle w:val="TextoNormalCaracter"/>
        </w:rPr>
        <w:t xml:space="preserve">, f. 2; </w:t>
      </w:r>
      <w:hyperlink w:anchor="SENTENCIA_2012_115" w:history="1">
        <w:r w:rsidRPr="00BA1B56">
          <w:rPr>
            <w:rStyle w:val="TextoNormalCaracter"/>
          </w:rPr>
          <w:t>115/2012</w:t>
        </w:r>
      </w:hyperlink>
      <w:r w:rsidRPr="00BA1B56">
        <w:rPr>
          <w:rStyle w:val="TextoNormalCaracter"/>
        </w:rPr>
        <w:t xml:space="preserve">, ff. 2, 3; </w:t>
      </w:r>
      <w:hyperlink w:anchor="SENTENCIA_2012_116" w:history="1">
        <w:r w:rsidRPr="00BA1B56">
          <w:rPr>
            <w:rStyle w:val="TextoNormalCaracter"/>
          </w:rPr>
          <w:t>116/2012</w:t>
        </w:r>
      </w:hyperlink>
      <w:r w:rsidRPr="00BA1B56">
        <w:rPr>
          <w:rStyle w:val="TextoNormalCaracter"/>
        </w:rPr>
        <w:t xml:space="preserve">, f. 7; </w:t>
      </w:r>
      <w:hyperlink w:anchor="SENTENCIA_2012_125" w:history="1">
        <w:r w:rsidRPr="00BA1B56">
          <w:rPr>
            <w:rStyle w:val="TextoNormalCaracter"/>
          </w:rPr>
          <w:t>125/2012</w:t>
        </w:r>
      </w:hyperlink>
      <w:r w:rsidRPr="00BA1B56">
        <w:rPr>
          <w:rStyle w:val="TextoNormalCaracter"/>
        </w:rPr>
        <w:t xml:space="preserve">, ff. 4, 7, 8; </w:t>
      </w:r>
      <w:hyperlink w:anchor="SENTENCIA_2012_129" w:history="1">
        <w:r w:rsidRPr="00BA1B56">
          <w:rPr>
            <w:rStyle w:val="TextoNormalCaracter"/>
          </w:rPr>
          <w:t>129/2012</w:t>
        </w:r>
      </w:hyperlink>
      <w:r w:rsidRPr="00BA1B56">
        <w:rPr>
          <w:rStyle w:val="TextoNormalCaracter"/>
        </w:rPr>
        <w:t xml:space="preserve">, f. 2; </w:t>
      </w:r>
      <w:hyperlink w:anchor="SENTENCIA_2012_130" w:history="1">
        <w:r w:rsidRPr="00BA1B56">
          <w:rPr>
            <w:rStyle w:val="TextoNormalCaracter"/>
          </w:rPr>
          <w:t>130/2012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2194" w:name="DESCRIPTORALFABETICO807"/>
      <w:r w:rsidRPr="00BA1B56">
        <w:rPr>
          <w:rStyle w:val="TextoNormalNegritaCaracter"/>
        </w:rPr>
        <w:t>Requisitos técnicos de centros sanitarios</w:t>
      </w:r>
      <w:bookmarkEnd w:id="2194"/>
      <w:r w:rsidRPr="00BA1B56">
        <w:rPr>
          <w:rStyle w:val="TextoNormalCaracter"/>
        </w:rPr>
        <w:t xml:space="preserve">, Sentencia </w:t>
      </w:r>
      <w:hyperlink w:anchor="SENTENCIA_2012_22" w:history="1">
        <w:r w:rsidRPr="00BA1B56">
          <w:rPr>
            <w:rStyle w:val="TextoNormalCaracter"/>
          </w:rPr>
          <w:t>22/2012</w:t>
        </w:r>
      </w:hyperlink>
      <w:r w:rsidRPr="00BA1B56">
        <w:rPr>
          <w:rStyle w:val="TextoNormalCaracter"/>
        </w:rPr>
        <w:t>, ff. 4, 6.</w:t>
      </w:r>
    </w:p>
    <w:p w:rsidR="00BA1B56" w:rsidRPr="00BA1B56" w:rsidRDefault="00BA1B56" w:rsidP="00BA1B56">
      <w:pPr>
        <w:pStyle w:val="TextoNormalSangraFrancesa"/>
        <w:rPr>
          <w:rStyle w:val="TextoNormalCaracter"/>
        </w:rPr>
      </w:pPr>
      <w:bookmarkStart w:id="2195" w:name="DESCRIPTORALFABETICO743"/>
      <w:r w:rsidRPr="00BA1B56">
        <w:rPr>
          <w:rStyle w:val="TextoNormalNegritaCaracter"/>
        </w:rPr>
        <w:t>Reserva de ley</w:t>
      </w:r>
      <w:bookmarkEnd w:id="2195"/>
      <w:r w:rsidRPr="00BA1B56">
        <w:rPr>
          <w:rStyle w:val="TextoNormalCaracter"/>
        </w:rPr>
        <w:t xml:space="preserve">, Sentencias </w:t>
      </w:r>
      <w:hyperlink w:anchor="SENTENCIA_2012_70" w:history="1">
        <w:r w:rsidRPr="00BA1B56">
          <w:rPr>
            <w:rStyle w:val="TextoNormalCaracter"/>
          </w:rPr>
          <w:t>70/2012</w:t>
        </w:r>
      </w:hyperlink>
      <w:r w:rsidRPr="00BA1B56">
        <w:rPr>
          <w:rStyle w:val="TextoNormalCaracter"/>
        </w:rPr>
        <w:t xml:space="preserve">, f. 6; </w:t>
      </w:r>
      <w:hyperlink w:anchor="SENTENCIA_2012_101" w:history="1">
        <w:r w:rsidRPr="00BA1B56">
          <w:rPr>
            <w:rStyle w:val="TextoNormalCaracter"/>
          </w:rPr>
          <w:t>101/2012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96" w:name="DESCRIPTORALFABETICO744"/>
      <w:r w:rsidRPr="00BA1B56">
        <w:rPr>
          <w:rStyle w:val="TextoNormalNegritaCaracter"/>
        </w:rPr>
        <w:t>Reserva de ley orgánica</w:t>
      </w:r>
      <w:bookmarkEnd w:id="2196"/>
      <w:r w:rsidRPr="00BA1B56">
        <w:rPr>
          <w:rStyle w:val="TextoNormalCaracter"/>
        </w:rPr>
        <w:t xml:space="preserve">, Sentencia </w:t>
      </w:r>
      <w:hyperlink w:anchor="SENTENCIA_2012_81" w:history="1">
        <w:r w:rsidRPr="00BA1B56">
          <w:rPr>
            <w:rStyle w:val="TextoNormalCaracter"/>
          </w:rPr>
          <w:t>81/2012</w:t>
        </w:r>
      </w:hyperlink>
      <w:r w:rsidRPr="00BA1B56">
        <w:rPr>
          <w:rStyle w:val="TextoNormalCaracter"/>
        </w:rPr>
        <w:t>, f. 3.</w:t>
      </w:r>
    </w:p>
    <w:p w:rsidR="00BA1B56" w:rsidRPr="00BA1B56" w:rsidRDefault="00BA1B56" w:rsidP="00BA1B56">
      <w:pPr>
        <w:pStyle w:val="TextoNormalSangraFrancesa"/>
        <w:rPr>
          <w:rStyle w:val="TextoNormalCaracter"/>
        </w:rPr>
      </w:pPr>
      <w:bookmarkStart w:id="2197" w:name="DESCRIPTORALFABETICO213"/>
      <w:r w:rsidRPr="00BA1B56">
        <w:rPr>
          <w:rStyle w:val="TextoNormalNegritaCaracter"/>
        </w:rPr>
        <w:t xml:space="preserve">Resolución dictada </w:t>
      </w:r>
      <w:r w:rsidRPr="00BA1B56">
        <w:rPr>
          <w:rStyle w:val="TextoNormalNegritaCaracter"/>
          <w:i/>
        </w:rPr>
        <w:t>inaudita parte</w:t>
      </w:r>
      <w:bookmarkEnd w:id="2197"/>
      <w:r w:rsidRPr="00BA1B56">
        <w:rPr>
          <w:rStyle w:val="TextoNormalCaracter"/>
        </w:rPr>
        <w:t xml:space="preserve">, Auto </w:t>
      </w:r>
      <w:hyperlink w:anchor="AUTO_2012_115" w:history="1">
        <w:r w:rsidRPr="00BA1B56">
          <w:rPr>
            <w:rStyle w:val="TextoNormalCaracter"/>
          </w:rPr>
          <w:t>115/2012</w:t>
        </w:r>
      </w:hyperlink>
      <w:r w:rsidRPr="00BA1B56">
        <w:rPr>
          <w:rStyle w:val="TextoNormalCaracter"/>
        </w:rPr>
        <w:t>, f. 1.</w:t>
      </w:r>
    </w:p>
    <w:p w:rsidR="00BA1B56" w:rsidRPr="00BA1B56" w:rsidRDefault="00BA1B56" w:rsidP="00BA1B56">
      <w:pPr>
        <w:pStyle w:val="TextoNormalSangraFrancesa"/>
        <w:rPr>
          <w:rStyle w:val="TextoNormalCaracter"/>
        </w:rPr>
      </w:pPr>
      <w:bookmarkStart w:id="2198" w:name="DESCRIPTORALFABETICO212"/>
      <w:r w:rsidRPr="00BA1B56">
        <w:rPr>
          <w:rStyle w:val="TextoNormalNegritaCaracter"/>
        </w:rPr>
        <w:t>Resolución fundada en Derecho</w:t>
      </w:r>
      <w:bookmarkEnd w:id="2198"/>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Respetado, </w:t>
      </w:r>
      <w:r w:rsidRPr="00BA1B56">
        <w:rPr>
          <w:rStyle w:val="TextoNormalCaracter"/>
        </w:rPr>
        <w:t xml:space="preserve">Sentencias </w:t>
      </w:r>
      <w:hyperlink w:anchor="SENTENCIA_2012_11" w:history="1">
        <w:r w:rsidRPr="00BA1B56">
          <w:rPr>
            <w:rStyle w:val="TextoNormalCaracter"/>
          </w:rPr>
          <w:t>11/2012</w:t>
        </w:r>
      </w:hyperlink>
      <w:r w:rsidRPr="00BA1B56">
        <w:rPr>
          <w:rStyle w:val="TextoNormalCaracter"/>
        </w:rPr>
        <w:t xml:space="preserve">, f. 4; </w:t>
      </w:r>
      <w:hyperlink w:anchor="SENTENCIA_2012_13" w:history="1">
        <w:r w:rsidRPr="00BA1B56">
          <w:rPr>
            <w:rStyle w:val="TextoNormalCaracter"/>
          </w:rPr>
          <w:t>13/2012</w:t>
        </w:r>
      </w:hyperlink>
      <w:r w:rsidRPr="00BA1B56">
        <w:rPr>
          <w:rStyle w:val="TextoNormalCaracter"/>
        </w:rPr>
        <w:t>, ff. 3, 5.</w:t>
      </w:r>
    </w:p>
    <w:p w:rsidR="00BA1B56" w:rsidRPr="00BA1B56" w:rsidRDefault="00BA1B56" w:rsidP="00BA1B56">
      <w:pPr>
        <w:pStyle w:val="TextoNormalSangraFrancesa"/>
        <w:rPr>
          <w:rStyle w:val="TextoNormalCaracter"/>
        </w:rPr>
      </w:pPr>
      <w:bookmarkStart w:id="2199" w:name="DESCRIPTORALFABETICO798"/>
      <w:r w:rsidRPr="00BA1B56">
        <w:rPr>
          <w:rStyle w:val="TextoNormalNegritaCaracter"/>
        </w:rPr>
        <w:t>Responsabilidad civil</w:t>
      </w:r>
      <w:bookmarkEnd w:id="2199"/>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2200" w:name="DESCRIPTORALFABETICO801"/>
      <w:r w:rsidRPr="00BA1B56">
        <w:rPr>
          <w:rStyle w:val="TextoNormalNegritaCaracter"/>
        </w:rPr>
        <w:t>Responsabilidad patrimonial de las Administraciones públicas</w:t>
      </w:r>
      <w:bookmarkEnd w:id="2200"/>
      <w:r w:rsidRPr="00BA1B56">
        <w:rPr>
          <w:rStyle w:val="TextoNormalCaracter"/>
        </w:rPr>
        <w:t xml:space="preserve">, Auto </w:t>
      </w:r>
      <w:hyperlink w:anchor="AUTO_2012_106" w:history="1">
        <w:r w:rsidRPr="00BA1B56">
          <w:rPr>
            <w:rStyle w:val="TextoNormalCaracter"/>
          </w:rPr>
          <w:t>106/2012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Responsabilidad patrimonial del Estado</w:t>
      </w:r>
      <w:r>
        <w:t xml:space="preserve"> véase </w:t>
      </w:r>
      <w:hyperlink w:anchor="DESCRIPTORALFABETICO801" w:history="1">
        <w:r w:rsidRPr="00BA1B56">
          <w:rPr>
            <w:rStyle w:val="TextoNormalNegritaCaracter"/>
          </w:rPr>
          <w:t>Responsabilidad patrimonial de las Administraciones públicas</w:t>
        </w:r>
      </w:hyperlink>
    </w:p>
    <w:p w:rsidR="00BA1B56" w:rsidRPr="00BA1B56" w:rsidRDefault="00BA1B56" w:rsidP="00BA1B56">
      <w:pPr>
        <w:pStyle w:val="TextoNormalSangraFrancesa"/>
        <w:rPr>
          <w:rStyle w:val="TextoNormalCaracter"/>
        </w:rPr>
      </w:pPr>
      <w:bookmarkStart w:id="2201" w:name="DESCRIPTORALFABETICO594"/>
      <w:r w:rsidRPr="00BA1B56">
        <w:rPr>
          <w:rStyle w:val="TextoNormalNegritaCaracter"/>
        </w:rPr>
        <w:t>Retracto de comuneros</w:t>
      </w:r>
      <w:bookmarkEnd w:id="2201"/>
      <w:r w:rsidRPr="00BA1B56">
        <w:rPr>
          <w:rStyle w:val="TextoNormalCaracter"/>
        </w:rPr>
        <w:t xml:space="preserve">, Sentencia </w:t>
      </w:r>
      <w:hyperlink w:anchor="SENTENCIA_2012_28" w:history="1">
        <w:r w:rsidRPr="00BA1B56">
          <w:rPr>
            <w:rStyle w:val="TextoNormalCaracter"/>
          </w:rPr>
          <w:t>28/2012</w:t>
        </w:r>
      </w:hyperlink>
      <w:r w:rsidRPr="00BA1B56">
        <w:rPr>
          <w:rStyle w:val="TextoNormalCaracter"/>
        </w:rPr>
        <w:t>, ff. 4 a 6.</w:t>
      </w:r>
    </w:p>
    <w:p w:rsidR="00BA1B56" w:rsidRPr="00BA1B56" w:rsidRDefault="00BA1B56" w:rsidP="00BA1B56">
      <w:pPr>
        <w:pStyle w:val="TextoNormalSangraFrancesa"/>
        <w:rPr>
          <w:rStyle w:val="TextoNormalCaracter"/>
        </w:rPr>
      </w:pPr>
      <w:bookmarkStart w:id="2202" w:name="DESCRIPTORALFABETICO639"/>
      <w:r w:rsidRPr="00BA1B56">
        <w:rPr>
          <w:rStyle w:val="TextoNormalNegritaCaracter"/>
        </w:rPr>
        <w:t>Retribuciones de empleados públicos</w:t>
      </w:r>
      <w:bookmarkEnd w:id="2202"/>
      <w:r w:rsidRPr="00BA1B56">
        <w:rPr>
          <w:rStyle w:val="TextoNormalCaracter"/>
        </w:rPr>
        <w:t xml:space="preserve">, Autos </w:t>
      </w:r>
      <w:hyperlink w:anchor="AUTO_2012_8" w:history="1">
        <w:r w:rsidRPr="00BA1B56">
          <w:rPr>
            <w:rStyle w:val="TextoNormalCaracter"/>
          </w:rPr>
          <w:t>8/2012</w:t>
        </w:r>
      </w:hyperlink>
      <w:r w:rsidRPr="00BA1B56">
        <w:rPr>
          <w:rStyle w:val="TextoNormalCaracter"/>
        </w:rPr>
        <w:t xml:space="preserve">, ff. 1 a 3; </w:t>
      </w:r>
      <w:hyperlink w:anchor="AUTO_2012_87" w:history="1">
        <w:r w:rsidRPr="00BA1B56">
          <w:rPr>
            <w:rStyle w:val="TextoNormalCaracter"/>
          </w:rPr>
          <w:t>87/2012</w:t>
        </w:r>
      </w:hyperlink>
      <w:r w:rsidRPr="00BA1B56">
        <w:rPr>
          <w:rStyle w:val="TextoNormalCaracter"/>
        </w:rPr>
        <w:t>, f. 4.</w:t>
      </w:r>
    </w:p>
    <w:p w:rsidR="00BA1B56" w:rsidRPr="00BA1B56" w:rsidRDefault="00BA1B56" w:rsidP="00BA1B56">
      <w:pPr>
        <w:pStyle w:val="TextoNormalSangraFrancesa"/>
        <w:rPr>
          <w:rStyle w:val="TextoNormalNegritaCaracter"/>
        </w:rPr>
      </w:pPr>
      <w:r w:rsidRPr="00BA1B56">
        <w:rPr>
          <w:rStyle w:val="TextoNormalCursivaCaracter"/>
        </w:rPr>
        <w:lastRenderedPageBreak/>
        <w:t>Retribuciones de personal</w:t>
      </w:r>
      <w:r>
        <w:t xml:space="preserve"> véase </w:t>
      </w:r>
      <w:hyperlink w:anchor="DESCRIPTORALFABETICO639" w:history="1">
        <w:r w:rsidRPr="00BA1B56">
          <w:rPr>
            <w:rStyle w:val="TextoNormalNegritaCaracter"/>
          </w:rPr>
          <w:t>Retribuciones de empleados públicos</w:t>
        </w:r>
      </w:hyperlink>
    </w:p>
    <w:p w:rsidR="00BA1B56" w:rsidRPr="00BA1B56" w:rsidRDefault="00BA1B56" w:rsidP="00BA1B56">
      <w:pPr>
        <w:pStyle w:val="TextoNormalSangraFrancesa"/>
        <w:rPr>
          <w:rStyle w:val="TextoNormalNegritaCaracter"/>
        </w:rPr>
      </w:pPr>
      <w:r w:rsidRPr="00BA1B56">
        <w:rPr>
          <w:rStyle w:val="TextoNormalCursivaCaracter"/>
        </w:rPr>
        <w:t>Retribuciones en el sector público</w:t>
      </w:r>
      <w:r>
        <w:t xml:space="preserve"> véase </w:t>
      </w:r>
      <w:hyperlink w:anchor="DESCRIPTORALFABETICO639" w:history="1">
        <w:r w:rsidRPr="00BA1B56">
          <w:rPr>
            <w:rStyle w:val="TextoNormalNegritaCaracter"/>
          </w:rPr>
          <w:t>Retribuciones de empleados públicos</w:t>
        </w:r>
      </w:hyperlink>
    </w:p>
    <w:p w:rsidR="00BA1B56" w:rsidRPr="00BA1B56" w:rsidRDefault="00BA1B56" w:rsidP="00BA1B56">
      <w:pPr>
        <w:pStyle w:val="TextoNormalSangraFrancesa"/>
        <w:rPr>
          <w:rStyle w:val="TextoNormalCaracter"/>
        </w:rPr>
      </w:pPr>
      <w:bookmarkStart w:id="2203" w:name="DESCRIPTORALFABETICO730"/>
      <w:r w:rsidRPr="00BA1B56">
        <w:rPr>
          <w:rStyle w:val="TextoNormalNegritaCaracter"/>
        </w:rPr>
        <w:t>Retroactividad de la ley penal</w:t>
      </w:r>
      <w:bookmarkEnd w:id="2203"/>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7; </w:t>
      </w:r>
      <w:hyperlink w:anchor="SENTENCIA_2012_40" w:history="1">
        <w:r w:rsidRPr="00BA1B56">
          <w:rPr>
            <w:rStyle w:val="TextoNormalCaracter"/>
          </w:rPr>
          <w:t>40/2012</w:t>
        </w:r>
      </w:hyperlink>
      <w:r w:rsidRPr="00BA1B56">
        <w:rPr>
          <w:rStyle w:val="TextoNormalCaracter"/>
        </w:rPr>
        <w:t xml:space="preserve">, ff. 3, 5, 6, VP I; </w:t>
      </w:r>
      <w:hyperlink w:anchor="SENTENCIA_2012_41" w:history="1">
        <w:r w:rsidRPr="00BA1B56">
          <w:rPr>
            <w:rStyle w:val="TextoNormalCaracter"/>
          </w:rPr>
          <w:t>41/2012</w:t>
        </w:r>
      </w:hyperlink>
      <w:r w:rsidRPr="00BA1B56">
        <w:rPr>
          <w:rStyle w:val="TextoNormalCaracter"/>
        </w:rPr>
        <w:t xml:space="preserve">, ff. 4, 6, VP I, VP II, VP IV; </w:t>
      </w:r>
      <w:hyperlink w:anchor="SENTENCIA_2012_42" w:history="1">
        <w:r w:rsidRPr="00BA1B56">
          <w:rPr>
            <w:rStyle w:val="TextoNormalCaracter"/>
          </w:rPr>
          <w:t>42/2012</w:t>
        </w:r>
      </w:hyperlink>
      <w:r w:rsidRPr="00BA1B56">
        <w:rPr>
          <w:rStyle w:val="TextoNormalCaracter"/>
        </w:rPr>
        <w:t xml:space="preserve">, ff. 3, 5, 6; </w:t>
      </w:r>
      <w:hyperlink w:anchor="SENTENCIA_2012_43" w:history="1">
        <w:r w:rsidRPr="00BA1B56">
          <w:rPr>
            <w:rStyle w:val="TextoNormalCaracter"/>
          </w:rPr>
          <w:t>43/2012</w:t>
        </w:r>
      </w:hyperlink>
      <w:r w:rsidRPr="00BA1B56">
        <w:rPr>
          <w:rStyle w:val="TextoNormalCaracter"/>
        </w:rPr>
        <w:t xml:space="preserve">, ff. 3, 4;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ff. 3, 4; </w:t>
      </w:r>
      <w:hyperlink w:anchor="SENTENCIA_2012_47" w:history="1">
        <w:r w:rsidRPr="00BA1B56">
          <w:rPr>
            <w:rStyle w:val="TextoNormalCaracter"/>
          </w:rPr>
          <w:t>47/2012</w:t>
        </w:r>
      </w:hyperlink>
      <w:r w:rsidRPr="00BA1B56">
        <w:rPr>
          <w:rStyle w:val="TextoNormalCaracter"/>
        </w:rPr>
        <w:t xml:space="preserve">, f. 4;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 4;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 3; </w:t>
      </w:r>
      <w:hyperlink w:anchor="SENTENCIA_2012_54" w:history="1">
        <w:r w:rsidRPr="00BA1B56">
          <w:rPr>
            <w:rStyle w:val="TextoNormalCaracter"/>
          </w:rPr>
          <w:t>54/2012</w:t>
        </w:r>
      </w:hyperlink>
      <w:r w:rsidRPr="00BA1B56">
        <w:rPr>
          <w:rStyle w:val="TextoNormalCaracter"/>
        </w:rPr>
        <w:t xml:space="preserve">, f. 4; </w:t>
      </w:r>
      <w:hyperlink w:anchor="SENTENCIA_2012_55" w:history="1">
        <w:r w:rsidRPr="00BA1B56">
          <w:rPr>
            <w:rStyle w:val="TextoNormalCaracter"/>
          </w:rPr>
          <w:t>55/2012</w:t>
        </w:r>
      </w:hyperlink>
      <w:r w:rsidRPr="00BA1B56">
        <w:rPr>
          <w:rStyle w:val="TextoNormalCaracter"/>
        </w:rPr>
        <w:t xml:space="preserve">, f. 5; </w:t>
      </w:r>
      <w:hyperlink w:anchor="SENTENCIA_2012_56" w:history="1">
        <w:r w:rsidRPr="00BA1B56">
          <w:rPr>
            <w:rStyle w:val="TextoNormalCaracter"/>
          </w:rPr>
          <w:t>56/2012</w:t>
        </w:r>
      </w:hyperlink>
      <w:r w:rsidRPr="00BA1B56">
        <w:rPr>
          <w:rStyle w:val="TextoNormalCaracter"/>
        </w:rPr>
        <w:t xml:space="preserve">, f. 2; </w:t>
      </w:r>
      <w:hyperlink w:anchor="SENTENCIA_2012_57" w:history="1">
        <w:r w:rsidRPr="00BA1B56">
          <w:rPr>
            <w:rStyle w:val="TextoNormalCaracter"/>
          </w:rPr>
          <w:t>57/2012</w:t>
        </w:r>
      </w:hyperlink>
      <w:r w:rsidRPr="00BA1B56">
        <w:rPr>
          <w:rStyle w:val="TextoNormalCaracter"/>
        </w:rPr>
        <w:t xml:space="preserve">, f. 7; </w:t>
      </w:r>
      <w:hyperlink w:anchor="SENTENCIA_2012_61" w:history="1">
        <w:r w:rsidRPr="00BA1B56">
          <w:rPr>
            <w:rStyle w:val="TextoNormalCaracter"/>
          </w:rPr>
          <w:t>61/2012</w:t>
        </w:r>
      </w:hyperlink>
      <w:r w:rsidRPr="00BA1B56">
        <w:rPr>
          <w:rStyle w:val="TextoNormalCaracter"/>
        </w:rPr>
        <w:t xml:space="preserve">, f. 3; </w:t>
      </w:r>
      <w:hyperlink w:anchor="SENTENCIA_2012_64" w:history="1">
        <w:r w:rsidRPr="00BA1B56">
          <w:rPr>
            <w:rStyle w:val="TextoNormalCaracter"/>
          </w:rPr>
          <w:t>64/2012</w:t>
        </w:r>
      </w:hyperlink>
      <w:r w:rsidRPr="00BA1B56">
        <w:rPr>
          <w:rStyle w:val="TextoNormalCaracter"/>
        </w:rPr>
        <w:t xml:space="preserve">, ff. 3, 7; </w:t>
      </w:r>
      <w:hyperlink w:anchor="SENTENCIA_2012_65" w:history="1">
        <w:r w:rsidRPr="00BA1B56">
          <w:rPr>
            <w:rStyle w:val="TextoNormalCaracter"/>
          </w:rPr>
          <w:t>65/2012</w:t>
        </w:r>
      </w:hyperlink>
      <w:r w:rsidRPr="00BA1B56">
        <w:rPr>
          <w:rStyle w:val="TextoNormalCaracter"/>
        </w:rPr>
        <w:t xml:space="preserve">, ff. 4, 8; </w:t>
      </w:r>
      <w:hyperlink w:anchor="SENTENCIA_2012_66" w:history="1">
        <w:r w:rsidRPr="00BA1B56">
          <w:rPr>
            <w:rStyle w:val="TextoNormalCaracter"/>
          </w:rPr>
          <w:t>66/2012</w:t>
        </w:r>
      </w:hyperlink>
      <w:r w:rsidRPr="00BA1B56">
        <w:rPr>
          <w:rStyle w:val="TextoNormalCaracter"/>
        </w:rPr>
        <w:t xml:space="preserve">, ff. 3, 6; </w:t>
      </w:r>
      <w:hyperlink w:anchor="SENTENCIA_2012_67" w:history="1">
        <w:r w:rsidRPr="00BA1B56">
          <w:rPr>
            <w:rStyle w:val="TextoNormalCaracter"/>
          </w:rPr>
          <w:t>67/2012</w:t>
        </w:r>
      </w:hyperlink>
      <w:r w:rsidRPr="00BA1B56">
        <w:rPr>
          <w:rStyle w:val="TextoNormalCaracter"/>
        </w:rPr>
        <w:t xml:space="preserve">, ff. 3, 7; </w:t>
      </w:r>
      <w:hyperlink w:anchor="SENTENCIA_2012_68" w:history="1">
        <w:r w:rsidRPr="00BA1B56">
          <w:rPr>
            <w:rStyle w:val="TextoNormalCaracter"/>
          </w:rPr>
          <w:t>68/2012</w:t>
        </w:r>
      </w:hyperlink>
      <w:r w:rsidRPr="00BA1B56">
        <w:rPr>
          <w:rStyle w:val="TextoNormalCaracter"/>
        </w:rPr>
        <w:t xml:space="preserve">, f. 3; </w:t>
      </w:r>
      <w:hyperlink w:anchor="SENTENCIA_2012_69" w:history="1">
        <w:r w:rsidRPr="00BA1B56">
          <w:rPr>
            <w:rStyle w:val="TextoNormalCaracter"/>
          </w:rPr>
          <w:t>69/2012</w:t>
        </w:r>
      </w:hyperlink>
      <w:r w:rsidRPr="00BA1B56">
        <w:rPr>
          <w:rStyle w:val="TextoNormalCaracter"/>
        </w:rPr>
        <w:t xml:space="preserve">, ff. 4, 8; </w:t>
      </w:r>
      <w:hyperlink w:anchor="SENTENCIA_2012_108" w:history="1">
        <w:r w:rsidRPr="00BA1B56">
          <w:rPr>
            <w:rStyle w:val="TextoNormalCaracter"/>
          </w:rPr>
          <w:t>108/2012</w:t>
        </w:r>
      </w:hyperlink>
      <w:r w:rsidRPr="00BA1B56">
        <w:rPr>
          <w:rStyle w:val="TextoNormalCaracter"/>
        </w:rPr>
        <w:t xml:space="preserve">, ff. 3, 4; </w:t>
      </w:r>
      <w:hyperlink w:anchor="SENTENCIA_2012_113" w:history="1">
        <w:r w:rsidRPr="00BA1B56">
          <w:rPr>
            <w:rStyle w:val="TextoNormalCaracter"/>
          </w:rPr>
          <w:t>113/2012</w:t>
        </w:r>
      </w:hyperlink>
      <w:r w:rsidRPr="00BA1B56">
        <w:rPr>
          <w:rStyle w:val="TextoNormalCaracter"/>
        </w:rPr>
        <w:t xml:space="preserve">, ff. 6, 11; </w:t>
      </w:r>
      <w:hyperlink w:anchor="SENTENCIA_2012_114" w:history="1">
        <w:r w:rsidRPr="00BA1B56">
          <w:rPr>
            <w:rStyle w:val="TextoNormalCaracter"/>
          </w:rPr>
          <w:t>114/2012</w:t>
        </w:r>
      </w:hyperlink>
      <w:r w:rsidRPr="00BA1B56">
        <w:rPr>
          <w:rStyle w:val="TextoNormalCaracter"/>
        </w:rPr>
        <w:t>, ff. 3, 6.</w:t>
      </w:r>
    </w:p>
    <w:p w:rsidR="00BA1B56" w:rsidRPr="00BA1B56" w:rsidRDefault="00BA1B56" w:rsidP="00BA1B56">
      <w:pPr>
        <w:pStyle w:val="TextoNormalSangraFrancesa"/>
        <w:rPr>
          <w:rStyle w:val="TextoNormalNegritaCaracter"/>
        </w:rPr>
      </w:pPr>
      <w:r w:rsidRPr="00BA1B56">
        <w:rPr>
          <w:rStyle w:val="TextoNormalCursivaCaracter"/>
        </w:rPr>
        <w:t>Retroactividad de la ley penal más favorable</w:t>
      </w:r>
      <w:r>
        <w:t xml:space="preserve"> véase </w:t>
      </w:r>
      <w:hyperlink w:anchor="DESCRIPTORALFABETICO730" w:history="1">
        <w:r w:rsidRPr="00BA1B56">
          <w:rPr>
            <w:rStyle w:val="TextoNormalNegritaCaracter"/>
          </w:rPr>
          <w:t>Retroactividad de la ley penal</w:t>
        </w:r>
      </w:hyperlink>
    </w:p>
    <w:p w:rsidR="00BA1B56" w:rsidRPr="00BA1B56" w:rsidRDefault="00BA1B56" w:rsidP="00BA1B56">
      <w:pPr>
        <w:pStyle w:val="TextoNormalSangraFrancesa"/>
        <w:rPr>
          <w:rStyle w:val="TextoNormalCaracter"/>
        </w:rPr>
      </w:pPr>
      <w:bookmarkStart w:id="2204" w:name="DESCRIPTORALFABETICO731"/>
      <w:r w:rsidRPr="00BA1B56">
        <w:rPr>
          <w:rStyle w:val="TextoNormalNegritaCaracter"/>
        </w:rPr>
        <w:t>Retroactividad de normas tributarias</w:t>
      </w:r>
      <w:bookmarkEnd w:id="2204"/>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10.</w:t>
      </w:r>
    </w:p>
    <w:p w:rsidR="00BA1B56" w:rsidRPr="00BA1B56" w:rsidRDefault="00BA1B56" w:rsidP="00BA1B56">
      <w:pPr>
        <w:pStyle w:val="TextoNormalSangraFrancesa"/>
        <w:rPr>
          <w:rStyle w:val="TextoNormalCaracter"/>
        </w:rPr>
      </w:pPr>
      <w:bookmarkStart w:id="2205" w:name="DESCRIPTORALFABETICO875"/>
      <w:r w:rsidRPr="00BA1B56">
        <w:rPr>
          <w:rStyle w:val="TextoNormalNegritaCaracter"/>
        </w:rPr>
        <w:t>Revisión de diligencias de ordenación</w:t>
      </w:r>
      <w:bookmarkEnd w:id="2205"/>
      <w:r w:rsidRPr="00BA1B56">
        <w:rPr>
          <w:rStyle w:val="TextoNormalCaracter"/>
        </w:rPr>
        <w:t xml:space="preserve">, Auto </w:t>
      </w:r>
      <w:hyperlink w:anchor="AUTO_2012_43" w:history="1">
        <w:r w:rsidRPr="00BA1B56">
          <w:rPr>
            <w:rStyle w:val="TextoNormalCaracter"/>
          </w:rPr>
          <w:t>43/2012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206" w:name="DESCRIPTORALFABETICO987"/>
      <w:r w:rsidRPr="00BA1B56">
        <w:rPr>
          <w:rStyle w:val="TextoNormalNegritaCaracter"/>
        </w:rPr>
        <w:t>Revocación de sentencia absolutoria</w:t>
      </w:r>
      <w:bookmarkEnd w:id="2206"/>
      <w:r w:rsidRPr="00BA1B56">
        <w:rPr>
          <w:rStyle w:val="TextoNormalCaracter"/>
        </w:rPr>
        <w:t xml:space="preserve">, Sentencia </w:t>
      </w:r>
      <w:hyperlink w:anchor="SENTENCIA_2012_126" w:history="1">
        <w:r w:rsidRPr="00BA1B56">
          <w:rPr>
            <w:rStyle w:val="TextoNormalCaracter"/>
          </w:rPr>
          <w:t>126/2012</w:t>
        </w:r>
      </w:hyperlink>
      <w:r w:rsidRPr="00BA1B56">
        <w:rPr>
          <w:rStyle w:val="TextoNormalCaracter"/>
        </w:rPr>
        <w:t>, ff. 3, 4.</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S</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2207" w:name="DESCRIPTORALFABETICO804"/>
      <w:r w:rsidRPr="00BA1B56">
        <w:rPr>
          <w:rStyle w:val="TextoNormalNegritaCaracter"/>
        </w:rPr>
        <w:t>Salud pública</w:t>
      </w:r>
      <w:bookmarkEnd w:id="2207"/>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6.</w:t>
      </w:r>
    </w:p>
    <w:p w:rsidR="00BA1B56" w:rsidRPr="00BA1B56" w:rsidRDefault="00BA1B56" w:rsidP="00BA1B56">
      <w:pPr>
        <w:pStyle w:val="TextoNormalSangraFrancesa"/>
        <w:rPr>
          <w:rStyle w:val="TextoNormalCaracter"/>
        </w:rPr>
      </w:pPr>
      <w:bookmarkStart w:id="2208" w:name="DESCRIPTORALFABETICO796"/>
      <w:r w:rsidRPr="00BA1B56">
        <w:rPr>
          <w:rStyle w:val="TextoNormalNegritaCaracter"/>
        </w:rPr>
        <w:t>Sanción disciplinaria fundada en la intervención de las comunicaciones</w:t>
      </w:r>
      <w:bookmarkEnd w:id="2208"/>
      <w:r w:rsidRPr="00BA1B56">
        <w:rPr>
          <w:rStyle w:val="TextoNormalCaracter"/>
        </w:rPr>
        <w:t xml:space="preserve">, Sentencia </w:t>
      </w:r>
      <w:hyperlink w:anchor="SENTENCIA_2012_107" w:history="1">
        <w:r w:rsidRPr="00BA1B56">
          <w:rPr>
            <w:rStyle w:val="TextoNormalCaracter"/>
          </w:rPr>
          <w:t>107/2012</w:t>
        </w:r>
      </w:hyperlink>
      <w:r w:rsidRPr="00BA1B56">
        <w:rPr>
          <w:rStyle w:val="TextoNormalCaracter"/>
        </w:rPr>
        <w:t>, f. 6.</w:t>
      </w:r>
    </w:p>
    <w:p w:rsidR="00BA1B56" w:rsidRPr="00BA1B56" w:rsidRDefault="00BA1B56" w:rsidP="00BA1B56">
      <w:pPr>
        <w:pStyle w:val="TextoNormalSangraFrancesa"/>
        <w:rPr>
          <w:rStyle w:val="TextoNormalCaracter"/>
        </w:rPr>
      </w:pPr>
      <w:bookmarkStart w:id="2209" w:name="DESCRIPTORALFABETICO587"/>
      <w:r w:rsidRPr="00BA1B56">
        <w:rPr>
          <w:rStyle w:val="TextoNormalNegritaCaracter"/>
        </w:rPr>
        <w:t>Sanciones administrativas</w:t>
      </w:r>
      <w:bookmarkEnd w:id="2209"/>
      <w:r w:rsidRPr="00BA1B56">
        <w:rPr>
          <w:rStyle w:val="TextoNormalCaracter"/>
        </w:rPr>
        <w:t xml:space="preserve">, Sentencias </w:t>
      </w:r>
      <w:hyperlink w:anchor="SENTENCIA_2012_7" w:history="1">
        <w:r w:rsidRPr="00BA1B56">
          <w:rPr>
            <w:rStyle w:val="TextoNormalCaracter"/>
          </w:rPr>
          <w:t>7/2012</w:t>
        </w:r>
      </w:hyperlink>
      <w:r w:rsidRPr="00BA1B56">
        <w:rPr>
          <w:rStyle w:val="TextoNormalCaracter"/>
        </w:rPr>
        <w:t xml:space="preserve">, ff. 4 a 7; </w:t>
      </w:r>
      <w:hyperlink w:anchor="SENTENCIA_2012_31" w:history="1">
        <w:r w:rsidRPr="00BA1B56">
          <w:rPr>
            <w:rStyle w:val="TextoNormalCaracter"/>
          </w:rPr>
          <w:t>31/2012</w:t>
        </w:r>
      </w:hyperlink>
      <w:r w:rsidRPr="00BA1B56">
        <w:rPr>
          <w:rStyle w:val="TextoNormalCaracter"/>
        </w:rPr>
        <w:t xml:space="preserve">, ff. 2, 6; </w:t>
      </w:r>
      <w:hyperlink w:anchor="SENTENCIA_2012_37" w:history="1">
        <w:r w:rsidRPr="00BA1B56">
          <w:rPr>
            <w:rStyle w:val="TextoNormalCaracter"/>
          </w:rPr>
          <w:t>37/2012</w:t>
        </w:r>
      </w:hyperlink>
      <w:r w:rsidRPr="00BA1B56">
        <w:rPr>
          <w:rStyle w:val="TextoNormalCaracter"/>
        </w:rPr>
        <w:t xml:space="preserve">, f. 8, VP I; </w:t>
      </w:r>
      <w:hyperlink w:anchor="SENTENCIA_2012_75" w:history="1">
        <w:r w:rsidRPr="00BA1B56">
          <w:rPr>
            <w:rStyle w:val="TextoNormalCaracter"/>
          </w:rPr>
          <w:t>75/2012</w:t>
        </w:r>
      </w:hyperlink>
      <w:r w:rsidRPr="00BA1B56">
        <w:rPr>
          <w:rStyle w:val="TextoNormalCaracter"/>
        </w:rPr>
        <w:t xml:space="preserve">, ff. 3, 4; </w:t>
      </w:r>
      <w:hyperlink w:anchor="SENTENCIA_2012_90" w:history="1">
        <w:r w:rsidRPr="00BA1B56">
          <w:rPr>
            <w:rStyle w:val="TextoNormalCaracter"/>
          </w:rPr>
          <w:t>90/2012</w:t>
        </w:r>
      </w:hyperlink>
      <w:r w:rsidRPr="00BA1B56">
        <w:rPr>
          <w:rStyle w:val="TextoNormalCaracter"/>
        </w:rPr>
        <w:t xml:space="preserve">, ff. 1 a 6; </w:t>
      </w:r>
      <w:hyperlink w:anchor="SENTENCIA_2012_91" w:history="1">
        <w:r w:rsidRPr="00BA1B56">
          <w:rPr>
            <w:rStyle w:val="TextoNormalCaracter"/>
          </w:rPr>
          <w:t>91/2012</w:t>
        </w:r>
      </w:hyperlink>
      <w:r w:rsidRPr="00BA1B56">
        <w:rPr>
          <w:rStyle w:val="TextoNormalCaracter"/>
        </w:rPr>
        <w:t xml:space="preserve">, ff. 3, 4; </w:t>
      </w:r>
      <w:hyperlink w:anchor="SENTENCIA_2012_93" w:history="1">
        <w:r w:rsidRPr="00BA1B56">
          <w:rPr>
            <w:rStyle w:val="TextoNormalCaracter"/>
          </w:rPr>
          <w:t>93/2012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xml:space="preserve">, ff. 3, 4; </w:t>
      </w:r>
      <w:hyperlink w:anchor="SENTENCIA_2012_109" w:history="1">
        <w:r w:rsidRPr="00BA1B56">
          <w:rPr>
            <w:rStyle w:val="TextoNormalCaracter"/>
          </w:rPr>
          <w:t>109/2012</w:t>
        </w:r>
      </w:hyperlink>
      <w:r w:rsidRPr="00BA1B56">
        <w:rPr>
          <w:rStyle w:val="TextoNormalCaracter"/>
        </w:rPr>
        <w:t xml:space="preserve">, f. 3; </w:t>
      </w:r>
      <w:hyperlink w:anchor="SENTENCIA_2012_127" w:history="1">
        <w:r w:rsidRPr="00BA1B56">
          <w:rPr>
            <w:rStyle w:val="TextoNormalCaracter"/>
          </w:rPr>
          <w:t>127/2012</w:t>
        </w:r>
      </w:hyperlink>
      <w:r w:rsidRPr="00BA1B56">
        <w:rPr>
          <w:rStyle w:val="TextoNormalCaracter"/>
        </w:rPr>
        <w:t>, f. 3.</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4" w:history="1">
        <w:r w:rsidRPr="00BA1B56">
          <w:rPr>
            <w:rStyle w:val="TextoNormalCaracter"/>
          </w:rPr>
          <w:t>34/2012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210" w:name="DESCRIPTORALFABETICO805"/>
      <w:r w:rsidRPr="00BA1B56">
        <w:rPr>
          <w:rStyle w:val="TextoNormalNegritaCaracter"/>
        </w:rPr>
        <w:t>Sanidad</w:t>
      </w:r>
      <w:bookmarkEnd w:id="2210"/>
      <w:r w:rsidRPr="00BA1B56">
        <w:rPr>
          <w:rStyle w:val="TextoNormalCaracter"/>
        </w:rPr>
        <w:t xml:space="preserve">, Sentencias </w:t>
      </w:r>
      <w:hyperlink w:anchor="SENTENCIA_2012_22" w:history="1">
        <w:r w:rsidRPr="00BA1B56">
          <w:rPr>
            <w:rStyle w:val="TextoNormalCaracter"/>
          </w:rPr>
          <w:t>22/2012</w:t>
        </w:r>
      </w:hyperlink>
      <w:r w:rsidRPr="00BA1B56">
        <w:rPr>
          <w:rStyle w:val="TextoNormalCaracter"/>
        </w:rPr>
        <w:t xml:space="preserve">, ff. 2, 3, 4, 5, 6, 7, 8, 9; </w:t>
      </w:r>
      <w:hyperlink w:anchor="SENTENCIA_2012_136" w:history="1">
        <w:r w:rsidRPr="00BA1B56">
          <w:rPr>
            <w:rStyle w:val="TextoNormalCaracter"/>
          </w:rPr>
          <w:t>136/2012</w:t>
        </w:r>
      </w:hyperlink>
      <w:r w:rsidRPr="00BA1B56">
        <w:rPr>
          <w:rStyle w:val="TextoNormalCaracter"/>
        </w:rPr>
        <w:t>, ff. 2, 3, 4, 5.</w:t>
      </w:r>
    </w:p>
    <w:p w:rsidR="00BA1B56" w:rsidRPr="00BA1B56" w:rsidRDefault="00BA1B56" w:rsidP="00BA1B56">
      <w:pPr>
        <w:pStyle w:val="TextoNormalSangraFrancesa"/>
        <w:rPr>
          <w:rStyle w:val="TextoNormalNegritaCaracter"/>
        </w:rPr>
      </w:pPr>
      <w:r w:rsidRPr="00BA1B56">
        <w:rPr>
          <w:rStyle w:val="TextoNormalCursivaCaracter"/>
        </w:rPr>
        <w:t>Selección de funcionarios</w:t>
      </w:r>
      <w:r>
        <w:t xml:space="preserve"> véase </w:t>
      </w:r>
      <w:hyperlink w:anchor="DESCRIPTORALFABETICO640" w:history="1">
        <w:r w:rsidRPr="00BA1B56">
          <w:rPr>
            <w:rStyle w:val="TextoNormalNegritaCaracter"/>
          </w:rPr>
          <w:t>Procesos selectivos en la función pública</w:t>
        </w:r>
      </w:hyperlink>
    </w:p>
    <w:p w:rsidR="00BA1B56" w:rsidRPr="00BA1B56" w:rsidRDefault="00BA1B56" w:rsidP="00BA1B56">
      <w:pPr>
        <w:pStyle w:val="TextoNormalSangraFrancesa"/>
        <w:rPr>
          <w:rStyle w:val="TextoNormalCaracter"/>
        </w:rPr>
      </w:pPr>
      <w:bookmarkStart w:id="2211" w:name="DESCRIPTORALFABETICO400"/>
      <w:r w:rsidRPr="00BA1B56">
        <w:rPr>
          <w:rStyle w:val="TextoNormalNegritaCaracter"/>
        </w:rPr>
        <w:t>Sentencia de amparo</w:t>
      </w:r>
      <w:bookmarkEnd w:id="2211"/>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 6.</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6" w:history="1">
        <w:r w:rsidRPr="00BA1B56">
          <w:rPr>
            <w:rStyle w:val="TextoNormalCaracter"/>
          </w:rPr>
          <w:t>16/2012</w:t>
        </w:r>
      </w:hyperlink>
      <w:r w:rsidRPr="00BA1B56">
        <w:rPr>
          <w:rStyle w:val="TextoNormalCaracter"/>
        </w:rPr>
        <w:t>, f. 3.</w:t>
      </w:r>
    </w:p>
    <w:p w:rsidR="00BA1B56" w:rsidRPr="00BA1B56" w:rsidRDefault="00BA1B56" w:rsidP="00BA1B56">
      <w:pPr>
        <w:pStyle w:val="TextoNormalSangraFrancesa"/>
        <w:rPr>
          <w:rStyle w:val="TextoNormalCaracter"/>
        </w:rPr>
      </w:pPr>
      <w:bookmarkStart w:id="2212" w:name="DESCRIPTORALFABETICO214"/>
      <w:r w:rsidRPr="00BA1B56">
        <w:rPr>
          <w:rStyle w:val="TextoNormalNegritaCaracter"/>
        </w:rPr>
        <w:t>Sentencia fundada en Derecho</w:t>
      </w:r>
      <w:bookmarkEnd w:id="2212"/>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 5.</w:t>
      </w:r>
    </w:p>
    <w:p w:rsidR="00BA1B56" w:rsidRPr="00BA1B56" w:rsidRDefault="00BA1B56" w:rsidP="00BA1B56">
      <w:pPr>
        <w:pStyle w:val="TextoNormalSangraFrancesa"/>
        <w:rPr>
          <w:rStyle w:val="TextoNormalCaracter"/>
        </w:rPr>
      </w:pPr>
      <w:r w:rsidRPr="00BA1B56">
        <w:rPr>
          <w:rStyle w:val="TextoNormalCursivaCaracter"/>
        </w:rPr>
        <w:t xml:space="preserve">    Vulnerado, </w:t>
      </w:r>
      <w:r w:rsidRPr="00BA1B56">
        <w:rPr>
          <w:rStyle w:val="TextoNormalCaracter"/>
        </w:rPr>
        <w:t xml:space="preserve">Sentencias </w:t>
      </w:r>
      <w:hyperlink w:anchor="SENTENCIA_2012_18" w:history="1">
        <w:r w:rsidRPr="00BA1B56">
          <w:rPr>
            <w:rStyle w:val="TextoNormalCaracter"/>
          </w:rPr>
          <w:t>18/2012</w:t>
        </w:r>
      </w:hyperlink>
      <w:r w:rsidRPr="00BA1B56">
        <w:rPr>
          <w:rStyle w:val="TextoNormalCaracter"/>
        </w:rPr>
        <w:t xml:space="preserve">, f. 2; </w:t>
      </w:r>
      <w:hyperlink w:anchor="SENTENCIA_2012_119" w:history="1">
        <w:r w:rsidRPr="00BA1B56">
          <w:rPr>
            <w:rStyle w:val="TextoNormalCaracter"/>
          </w:rPr>
          <w:t>119/2012</w:t>
        </w:r>
      </w:hyperlink>
      <w:r w:rsidRPr="00BA1B56">
        <w:rPr>
          <w:rStyle w:val="TextoNormalCaracter"/>
        </w:rPr>
        <w:t>, ff. 1, 5.</w:t>
      </w:r>
    </w:p>
    <w:p w:rsidR="00BA1B56" w:rsidRPr="00BA1B56" w:rsidRDefault="00BA1B56" w:rsidP="00BA1B56">
      <w:pPr>
        <w:pStyle w:val="TextoNormalSangraFrancesa"/>
        <w:rPr>
          <w:rStyle w:val="TextoNormalCaracter"/>
        </w:rPr>
      </w:pPr>
      <w:bookmarkStart w:id="2213" w:name="DESCRIPTORALFABETICO398"/>
      <w:r w:rsidRPr="00BA1B56">
        <w:rPr>
          <w:rStyle w:val="TextoNormalNegritaCaracter"/>
        </w:rPr>
        <w:t>Sentencias del Tribunal Constitucional</w:t>
      </w:r>
      <w:bookmarkEnd w:id="2213"/>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 8.</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108" w:history="1">
        <w:r w:rsidRPr="00BA1B56">
          <w:rPr>
            <w:rStyle w:val="TextoNormalCaracter"/>
          </w:rPr>
          <w:t>108/2012</w:t>
        </w:r>
      </w:hyperlink>
      <w:r w:rsidRPr="00BA1B56">
        <w:rPr>
          <w:rStyle w:val="TextoNormalCaracter"/>
        </w:rPr>
        <w:t>.</w:t>
      </w:r>
    </w:p>
    <w:p w:rsidR="00BA1B56" w:rsidRPr="00BA1B56" w:rsidRDefault="00BA1B56" w:rsidP="00BA1B56">
      <w:pPr>
        <w:pStyle w:val="TextoNormalSangraFrancesa"/>
        <w:rPr>
          <w:rStyle w:val="TextoNormalCaracter"/>
        </w:rPr>
      </w:pPr>
      <w:bookmarkStart w:id="2214" w:name="DESCRIPTORALFABETICO610"/>
      <w:r w:rsidRPr="00BA1B56">
        <w:rPr>
          <w:rStyle w:val="TextoNormalNegritaCaracter"/>
        </w:rPr>
        <w:t>Separación de bienes</w:t>
      </w:r>
      <w:bookmarkEnd w:id="2214"/>
      <w:r w:rsidRPr="00BA1B56">
        <w:rPr>
          <w:rStyle w:val="TextoNormalCaracter"/>
        </w:rPr>
        <w:t xml:space="preserve">, Sentencia </w:t>
      </w:r>
      <w:hyperlink w:anchor="SENTENCIA_2012_21" w:history="1">
        <w:r w:rsidRPr="00BA1B56">
          <w:rPr>
            <w:rStyle w:val="TextoNormalCaracter"/>
          </w:rPr>
          <w:t>21/2012</w:t>
        </w:r>
      </w:hyperlink>
      <w:r w:rsidRPr="00BA1B56">
        <w:rPr>
          <w:rStyle w:val="TextoNormalCaracter"/>
        </w:rPr>
        <w:t>, ff. 1, 4, 7.</w:t>
      </w:r>
    </w:p>
    <w:p w:rsidR="00BA1B56" w:rsidRPr="00BA1B56" w:rsidRDefault="00BA1B56" w:rsidP="00BA1B56">
      <w:pPr>
        <w:pStyle w:val="TextoNormalSangraFrancesa"/>
        <w:rPr>
          <w:rStyle w:val="TextoNormalCaracter"/>
        </w:rPr>
      </w:pPr>
      <w:bookmarkStart w:id="2215" w:name="DESCRIPTORALFABETICO433"/>
      <w:r w:rsidRPr="00BA1B56">
        <w:rPr>
          <w:rStyle w:val="TextoNormalNegritaCaracter"/>
        </w:rPr>
        <w:t>Servicios prestados a la Administración</w:t>
      </w:r>
      <w:bookmarkEnd w:id="2215"/>
      <w:r w:rsidRPr="00BA1B56">
        <w:rPr>
          <w:rStyle w:val="TextoNormalCaracter"/>
        </w:rPr>
        <w:t xml:space="preserve">, Auto </w:t>
      </w:r>
      <w:hyperlink w:anchor="AUTO_2012_116" w:history="1">
        <w:r w:rsidRPr="00BA1B56">
          <w:rPr>
            <w:rStyle w:val="TextoNormalCaracter"/>
          </w:rPr>
          <w:t>116/2012</w:t>
        </w:r>
      </w:hyperlink>
      <w:r w:rsidRPr="00BA1B56">
        <w:rPr>
          <w:rStyle w:val="TextoNormalCaracter"/>
        </w:rPr>
        <w:t>, f. 1.</w:t>
      </w:r>
    </w:p>
    <w:p w:rsidR="00BA1B56" w:rsidRPr="00BA1B56" w:rsidRDefault="00BA1B56" w:rsidP="00BA1B56">
      <w:pPr>
        <w:pStyle w:val="TextoNormalSangraFrancesa"/>
        <w:rPr>
          <w:rStyle w:val="TextoNormalCaracter"/>
        </w:rPr>
      </w:pPr>
      <w:bookmarkStart w:id="2216" w:name="DESCRIPTORALFABETICO819"/>
      <w:r w:rsidRPr="00BA1B56">
        <w:rPr>
          <w:rStyle w:val="TextoNormalNegritaCaracter"/>
        </w:rPr>
        <w:t>Servicios públicos de salud</w:t>
      </w:r>
      <w:bookmarkEnd w:id="2216"/>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Servicios sanitarios</w:t>
      </w:r>
      <w:r>
        <w:t xml:space="preserve"> véase </w:t>
      </w:r>
      <w:hyperlink w:anchor="DESCRIPTORALFABETICO819" w:history="1">
        <w:r w:rsidRPr="00BA1B56">
          <w:rPr>
            <w:rStyle w:val="TextoNormalNegritaCaracter"/>
          </w:rPr>
          <w:t>Servicios públicos de salud</w:t>
        </w:r>
      </w:hyperlink>
    </w:p>
    <w:p w:rsidR="00BA1B56" w:rsidRPr="00BA1B56" w:rsidRDefault="00BA1B56" w:rsidP="00BA1B56">
      <w:pPr>
        <w:pStyle w:val="TextoNormalSangraFrancesa"/>
        <w:rPr>
          <w:rStyle w:val="TextoNormalCaracter"/>
        </w:rPr>
      </w:pPr>
      <w:bookmarkStart w:id="2217" w:name="DESCRIPTORALFABETICO591"/>
      <w:r w:rsidRPr="00BA1B56">
        <w:rPr>
          <w:rStyle w:val="TextoNormalNegritaCaracter"/>
        </w:rPr>
        <w:t>Servidumbre de protección de costas</w:t>
      </w:r>
      <w:bookmarkEnd w:id="2217"/>
      <w:r w:rsidRPr="00BA1B56">
        <w:rPr>
          <w:rStyle w:val="TextoNormalCaracter"/>
        </w:rPr>
        <w:t xml:space="preserve">, Sentencias </w:t>
      </w:r>
      <w:hyperlink w:anchor="SENTENCIA_2012_87" w:history="1">
        <w:r w:rsidRPr="00BA1B56">
          <w:rPr>
            <w:rStyle w:val="TextoNormalCaracter"/>
          </w:rPr>
          <w:t>87/2012</w:t>
        </w:r>
      </w:hyperlink>
      <w:r w:rsidRPr="00BA1B56">
        <w:rPr>
          <w:rStyle w:val="TextoNormalCaracter"/>
        </w:rPr>
        <w:t xml:space="preserve">, ff. 4, 5; </w:t>
      </w:r>
      <w:hyperlink w:anchor="SENTENCIA_2012_137" w:history="1">
        <w:r w:rsidRPr="00BA1B56">
          <w:rPr>
            <w:rStyle w:val="TextoNormalCaracter"/>
          </w:rPr>
          <w:t>137/2012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18" w:name="DESCRIPTORALFABETICO781"/>
      <w:r w:rsidRPr="00BA1B56">
        <w:rPr>
          <w:rStyle w:val="TextoNormalNegritaCaracter"/>
        </w:rPr>
        <w:t>Silencio administrativo</w:t>
      </w:r>
      <w:bookmarkEnd w:id="2218"/>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ff. 8 a 11; </w:t>
      </w:r>
      <w:hyperlink w:anchor="SENTENCIA_2012_75" w:history="1">
        <w:r w:rsidRPr="00BA1B56">
          <w:rPr>
            <w:rStyle w:val="TextoNormalCaracter"/>
          </w:rPr>
          <w:t>75/2012</w:t>
        </w:r>
      </w:hyperlink>
      <w:r w:rsidRPr="00BA1B56">
        <w:rPr>
          <w:rStyle w:val="TextoNormalCaracter"/>
        </w:rPr>
        <w:t xml:space="preserve">, f. 4; </w:t>
      </w:r>
      <w:hyperlink w:anchor="SENTENCIA_2012_91" w:history="1">
        <w:r w:rsidRPr="00BA1B56">
          <w:rPr>
            <w:rStyle w:val="TextoNormalCaracter"/>
          </w:rPr>
          <w:t>91/2012</w:t>
        </w:r>
      </w:hyperlink>
      <w:r w:rsidRPr="00BA1B56">
        <w:rPr>
          <w:rStyle w:val="TextoNormalCaracter"/>
        </w:rPr>
        <w:t xml:space="preserve">, f. 4; </w:t>
      </w:r>
      <w:hyperlink w:anchor="SENTENCIA_2012_93" w:history="1">
        <w:r w:rsidRPr="00BA1B56">
          <w:rPr>
            <w:rStyle w:val="TextoNormalCaracter"/>
          </w:rPr>
          <w:t>93/2012</w:t>
        </w:r>
      </w:hyperlink>
      <w:r w:rsidRPr="00BA1B56">
        <w:rPr>
          <w:rStyle w:val="TextoNormalCaracter"/>
        </w:rPr>
        <w:t xml:space="preserve">, f. 3; </w:t>
      </w:r>
      <w:hyperlink w:anchor="SENTENCIA_2012_94" w:history="1">
        <w:r w:rsidRPr="00BA1B56">
          <w:rPr>
            <w:rStyle w:val="TextoNormalCaracter"/>
          </w:rPr>
          <w:t>94/2012</w:t>
        </w:r>
      </w:hyperlink>
      <w:r w:rsidRPr="00BA1B56">
        <w:rPr>
          <w:rStyle w:val="TextoNormalCaracter"/>
        </w:rPr>
        <w:t xml:space="preserve">, f. 4; </w:t>
      </w:r>
      <w:hyperlink w:anchor="SENTENCIA_2012_98" w:history="1">
        <w:r w:rsidRPr="00BA1B56">
          <w:rPr>
            <w:rStyle w:val="TextoNormalCaracter"/>
          </w:rPr>
          <w:t>98/2012</w:t>
        </w:r>
      </w:hyperlink>
      <w:r w:rsidRPr="00BA1B56">
        <w:rPr>
          <w:rStyle w:val="TextoNormalCaracter"/>
        </w:rPr>
        <w:t>, f. 4.</w:t>
      </w:r>
    </w:p>
    <w:p w:rsidR="00BA1B56" w:rsidRPr="00BA1B56" w:rsidRDefault="00BA1B56" w:rsidP="00BA1B56">
      <w:pPr>
        <w:pStyle w:val="TextoNormalSangraFrancesa"/>
        <w:rPr>
          <w:rStyle w:val="TextoNormalCaracter"/>
        </w:rPr>
      </w:pPr>
      <w:bookmarkStart w:id="2219" w:name="DESCRIPTORALFABETICO782"/>
      <w:r w:rsidRPr="00BA1B56">
        <w:rPr>
          <w:rStyle w:val="TextoNormalNegritaCaracter"/>
        </w:rPr>
        <w:t>Silencio administrativo negativo</w:t>
      </w:r>
      <w:bookmarkEnd w:id="2219"/>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ff. 10, 11.</w:t>
      </w:r>
    </w:p>
    <w:p w:rsidR="00BA1B56" w:rsidRPr="00BA1B56" w:rsidRDefault="00BA1B56" w:rsidP="00BA1B56">
      <w:pPr>
        <w:pStyle w:val="TextoNormalSangraFrancesa"/>
        <w:rPr>
          <w:rStyle w:val="TextoNormalCaracter"/>
        </w:rPr>
      </w:pPr>
      <w:bookmarkStart w:id="2220" w:name="DESCRIPTORALFABETICO968"/>
      <w:r w:rsidRPr="00BA1B56">
        <w:rPr>
          <w:rStyle w:val="TextoNormalNegritaCaracter"/>
        </w:rPr>
        <w:t>Simultaneidad de la condición de preso preventivo y de penado</w:t>
      </w:r>
      <w:bookmarkEnd w:id="2220"/>
      <w:r w:rsidRPr="00BA1B56">
        <w:rPr>
          <w:rStyle w:val="TextoNormalCaracter"/>
        </w:rPr>
        <w:t xml:space="preserve">, Sentencia </w:t>
      </w:r>
      <w:hyperlink w:anchor="SENTENCIA_2012_92" w:history="1">
        <w:r w:rsidRPr="00BA1B56">
          <w:rPr>
            <w:rStyle w:val="TextoNormalCaracter"/>
          </w:rPr>
          <w:t>92/2012</w:t>
        </w:r>
      </w:hyperlink>
      <w:r w:rsidRPr="00BA1B56">
        <w:rPr>
          <w:rStyle w:val="TextoNormalCaracter"/>
        </w:rPr>
        <w:t>, ff. 3, 5.</w:t>
      </w:r>
    </w:p>
    <w:p w:rsidR="00BA1B56" w:rsidRPr="00BA1B56" w:rsidRDefault="00BA1B56" w:rsidP="00BA1B56">
      <w:pPr>
        <w:pStyle w:val="TextoNormalSangraFrancesa"/>
        <w:rPr>
          <w:rStyle w:val="TextoNormalCaracter"/>
        </w:rPr>
      </w:pPr>
      <w:bookmarkStart w:id="2221" w:name="DESCRIPTORALFABETICO603"/>
      <w:r w:rsidRPr="00BA1B56">
        <w:rPr>
          <w:rStyle w:val="TextoNormalNegritaCaracter"/>
        </w:rPr>
        <w:t>Sistema educativo</w:t>
      </w:r>
      <w:bookmarkEnd w:id="2221"/>
      <w:r w:rsidRPr="00BA1B56">
        <w:rPr>
          <w:rStyle w:val="TextoNormalCaracter"/>
        </w:rPr>
        <w:t xml:space="preserve">, Sentencia </w:t>
      </w:r>
      <w:hyperlink w:anchor="SENTENCIA_2012_111" w:history="1">
        <w:r w:rsidRPr="00BA1B56">
          <w:rPr>
            <w:rStyle w:val="TextoNormalCaracter"/>
          </w:rPr>
          <w:t>111/2012</w:t>
        </w:r>
      </w:hyperlink>
      <w:r w:rsidRPr="00BA1B56">
        <w:rPr>
          <w:rStyle w:val="TextoNormalCaracter"/>
        </w:rPr>
        <w:t>, ff. 1, 2, 3, 4, 5, 6, 7, 8, 9, 10, 11, 12, 13.</w:t>
      </w:r>
    </w:p>
    <w:p w:rsidR="00BA1B56" w:rsidRPr="00BA1B56" w:rsidRDefault="00BA1B56" w:rsidP="00BA1B56">
      <w:pPr>
        <w:pStyle w:val="TextoNormalSangraFrancesa"/>
        <w:rPr>
          <w:rStyle w:val="TextoNormalCaracter"/>
        </w:rPr>
      </w:pPr>
      <w:bookmarkStart w:id="2222" w:name="DESCRIPTORALFABETICO813"/>
      <w:r w:rsidRPr="00BA1B56">
        <w:rPr>
          <w:rStyle w:val="TextoNormalNegritaCaracter"/>
        </w:rPr>
        <w:t>Sistema normativo de la sanidad nacional</w:t>
      </w:r>
      <w:bookmarkEnd w:id="2222"/>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ff. 3, 5, 6.</w:t>
      </w:r>
    </w:p>
    <w:p w:rsidR="00BA1B56" w:rsidRPr="00BA1B56" w:rsidRDefault="00BA1B56" w:rsidP="00BA1B56">
      <w:pPr>
        <w:pStyle w:val="TextoNormalSangraFrancesa"/>
        <w:rPr>
          <w:rStyle w:val="TextoNormalNegritaCaracter"/>
        </w:rPr>
      </w:pPr>
      <w:r w:rsidRPr="00BA1B56">
        <w:rPr>
          <w:rStyle w:val="TextoNormalCursivaCaracter"/>
        </w:rPr>
        <w:t>Sistema retributivo</w:t>
      </w:r>
      <w:r>
        <w:t xml:space="preserve"> véase </w:t>
      </w:r>
      <w:hyperlink w:anchor="DESCRIPTORALFABETICO639" w:history="1">
        <w:r w:rsidRPr="00BA1B56">
          <w:rPr>
            <w:rStyle w:val="TextoNormalNegritaCaracter"/>
          </w:rPr>
          <w:t>Retribuciones de empleados públicos</w:t>
        </w:r>
      </w:hyperlink>
    </w:p>
    <w:p w:rsidR="00BA1B56" w:rsidRPr="00BA1B56" w:rsidRDefault="00BA1B56" w:rsidP="00BA1B56">
      <w:pPr>
        <w:pStyle w:val="TextoNormalSangraFrancesa"/>
        <w:rPr>
          <w:rStyle w:val="TextoNormalCaracter"/>
        </w:rPr>
      </w:pPr>
      <w:bookmarkStart w:id="2223" w:name="DESCRIPTORALFABETICO85"/>
      <w:r w:rsidRPr="00BA1B56">
        <w:rPr>
          <w:rStyle w:val="TextoNormalNegritaCaracter"/>
        </w:rPr>
        <w:t>Sistema tributario</w:t>
      </w:r>
      <w:bookmarkEnd w:id="2223"/>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ff. 3 a 9.</w:t>
      </w:r>
    </w:p>
    <w:p w:rsidR="00BA1B56" w:rsidRPr="00BA1B56" w:rsidRDefault="00BA1B56" w:rsidP="00BA1B56">
      <w:pPr>
        <w:pStyle w:val="TextoNormalSangraFrancesa"/>
        <w:rPr>
          <w:rStyle w:val="TextoNormalCaracter"/>
        </w:rPr>
      </w:pPr>
      <w:bookmarkStart w:id="2224" w:name="DESCRIPTORALFABETICO696"/>
      <w:r w:rsidRPr="00BA1B56">
        <w:rPr>
          <w:rStyle w:val="TextoNormalNegritaCaracter"/>
        </w:rPr>
        <w:t>Situación de extraordinaria y urgente necesidad</w:t>
      </w:r>
      <w:bookmarkEnd w:id="2224"/>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 8.</w:t>
      </w:r>
    </w:p>
    <w:p w:rsidR="00BA1B56" w:rsidRPr="00BA1B56" w:rsidRDefault="00BA1B56" w:rsidP="00BA1B56">
      <w:pPr>
        <w:pStyle w:val="TextoNormalSangraFrancesa"/>
        <w:rPr>
          <w:rStyle w:val="TextoNormalCaracter"/>
        </w:rPr>
      </w:pPr>
      <w:r w:rsidRPr="00BA1B56">
        <w:rPr>
          <w:rStyle w:val="TextoNormalCaracter"/>
        </w:rPr>
        <w:lastRenderedPageBreak/>
        <w:t xml:space="preserve">    Auto </w:t>
      </w:r>
      <w:hyperlink w:anchor="AUTO_2012_128" w:history="1">
        <w:r w:rsidRPr="00BA1B56">
          <w:rPr>
            <w:rStyle w:val="TextoNormalCaracter"/>
          </w:rPr>
          <w:t>128/2012</w:t>
        </w:r>
      </w:hyperlink>
      <w:r w:rsidRPr="00BA1B56">
        <w:rPr>
          <w:rStyle w:val="TextoNormalCaracter"/>
        </w:rPr>
        <w:t>, f. 3.</w:t>
      </w:r>
    </w:p>
    <w:p w:rsidR="00BA1B56" w:rsidRPr="00BA1B56" w:rsidRDefault="00BA1B56" w:rsidP="00BA1B56">
      <w:pPr>
        <w:pStyle w:val="TextoNormalSangraFrancesa"/>
        <w:rPr>
          <w:rStyle w:val="TextoNormalNegritaCaracter"/>
        </w:rPr>
      </w:pPr>
      <w:r w:rsidRPr="00BA1B56">
        <w:rPr>
          <w:rStyle w:val="TextoNormalCursivaCaracter"/>
        </w:rPr>
        <w:t>Solicitud de nulidad de actuaciones</w:t>
      </w:r>
      <w:r>
        <w:t xml:space="preserve"> véase </w:t>
      </w:r>
      <w:hyperlink w:anchor="DESCRIPTORALFABETICO908" w:history="1">
        <w:r w:rsidRPr="00BA1B56">
          <w:rPr>
            <w:rStyle w:val="TextoNormalNegritaCaracter"/>
          </w:rPr>
          <w:t>Incidente de nulidad de actuaciones</w:t>
        </w:r>
      </w:hyperlink>
    </w:p>
    <w:p w:rsidR="00BA1B56" w:rsidRPr="00BA1B56" w:rsidRDefault="00BA1B56" w:rsidP="00BA1B56">
      <w:pPr>
        <w:pStyle w:val="TextoNormalSangraFrancesa"/>
        <w:rPr>
          <w:rStyle w:val="TextoNormalCaracter"/>
        </w:rPr>
      </w:pPr>
      <w:bookmarkStart w:id="2225" w:name="DESCRIPTORALFABETICO991"/>
      <w:r w:rsidRPr="00BA1B56">
        <w:rPr>
          <w:rStyle w:val="TextoNormalNegritaCaracter"/>
        </w:rPr>
        <w:t>STC 129/2010</w:t>
      </w:r>
      <w:bookmarkEnd w:id="2225"/>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Apartamiento, </w:t>
      </w:r>
      <w:r w:rsidRPr="00BA1B56">
        <w:rPr>
          <w:rStyle w:val="TextoNormalCaracter"/>
        </w:rPr>
        <w:t xml:space="preserve">Sentencia </w:t>
      </w:r>
      <w:hyperlink w:anchor="SENTENCIA_2012_36" w:history="1">
        <w:r w:rsidRPr="00BA1B56">
          <w:rPr>
            <w:rStyle w:val="TextoNormalCaracter"/>
          </w:rPr>
          <w:t>36/2012</w:t>
        </w:r>
      </w:hyperlink>
      <w:r w:rsidRPr="00BA1B56">
        <w:rPr>
          <w:rStyle w:val="TextoNormalCaracter"/>
        </w:rPr>
        <w:t>, f. 5.</w:t>
      </w:r>
    </w:p>
    <w:p w:rsidR="00BA1B56" w:rsidRPr="00BA1B56" w:rsidRDefault="00BA1B56" w:rsidP="00BA1B56">
      <w:pPr>
        <w:pStyle w:val="TextoNormalSangraFrancesa"/>
        <w:rPr>
          <w:rStyle w:val="TextoNormalCaracter"/>
        </w:rPr>
      </w:pPr>
      <w:bookmarkStart w:id="2226" w:name="DESCRIPTORALFABETICO561"/>
      <w:r w:rsidRPr="00BA1B56">
        <w:rPr>
          <w:rStyle w:val="TextoNormalNegritaCaracter"/>
        </w:rPr>
        <w:t>Subrogación convencional</w:t>
      </w:r>
      <w:bookmarkEnd w:id="2226"/>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4, 6 a 8.</w:t>
      </w:r>
    </w:p>
    <w:p w:rsidR="00BA1B56" w:rsidRPr="00BA1B56" w:rsidRDefault="00BA1B56" w:rsidP="00BA1B56">
      <w:pPr>
        <w:pStyle w:val="TextoNormalSangraFrancesa"/>
        <w:rPr>
          <w:rStyle w:val="TextoNormalCaracter"/>
        </w:rPr>
      </w:pPr>
      <w:bookmarkStart w:id="2227" w:name="DESCRIPTORALFABETICO562"/>
      <w:r w:rsidRPr="00BA1B56">
        <w:rPr>
          <w:rStyle w:val="TextoNormalNegritaCaracter"/>
        </w:rPr>
        <w:t>Subrogación legal</w:t>
      </w:r>
      <w:bookmarkEnd w:id="2227"/>
      <w:r w:rsidRPr="00BA1B56">
        <w:rPr>
          <w:rStyle w:val="TextoNormalCaracter"/>
        </w:rPr>
        <w:t xml:space="preserve">, Sentencia </w:t>
      </w:r>
      <w:hyperlink w:anchor="SENTENCIA_2012_119" w:history="1">
        <w:r w:rsidRPr="00BA1B56">
          <w:rPr>
            <w:rStyle w:val="TextoNormalCaracter"/>
          </w:rPr>
          <w:t>119/2012</w:t>
        </w:r>
      </w:hyperlink>
      <w:r w:rsidRPr="00BA1B56">
        <w:rPr>
          <w:rStyle w:val="TextoNormalCaracter"/>
        </w:rPr>
        <w:t>, ff. 1 a 8.</w:t>
      </w:r>
    </w:p>
    <w:p w:rsidR="00BA1B56" w:rsidRPr="00BA1B56" w:rsidRDefault="00BA1B56" w:rsidP="00BA1B56">
      <w:pPr>
        <w:pStyle w:val="TextoNormalSangraFrancesa"/>
        <w:rPr>
          <w:rStyle w:val="TextoNormalNegritaCaracter"/>
        </w:rPr>
      </w:pPr>
      <w:r w:rsidRPr="00BA1B56">
        <w:rPr>
          <w:rStyle w:val="TextoNormalCursivaCaracter"/>
        </w:rPr>
        <w:t>Subsanabilidad de infracciones procesales</w:t>
      </w:r>
      <w:r>
        <w:t xml:space="preserve"> véase </w:t>
      </w:r>
      <w:hyperlink w:anchor="DESCRIPTORALFABETICO886" w:history="1">
        <w:r w:rsidRPr="00BA1B56">
          <w:rPr>
            <w:rStyle w:val="TextoNormalNegritaCaracter"/>
          </w:rPr>
          <w:t>Subsanación de defectos procesales</w:t>
        </w:r>
      </w:hyperlink>
    </w:p>
    <w:p w:rsidR="00BA1B56" w:rsidRPr="00BA1B56" w:rsidRDefault="00BA1B56" w:rsidP="00BA1B56">
      <w:pPr>
        <w:pStyle w:val="TextoNormalSangraFrancesa"/>
        <w:rPr>
          <w:rStyle w:val="TextoNormalCaracter"/>
        </w:rPr>
      </w:pPr>
      <w:bookmarkStart w:id="2228" w:name="DESCRIPTORALFABETICO888"/>
      <w:r w:rsidRPr="00BA1B56">
        <w:rPr>
          <w:rStyle w:val="TextoNormalNegritaCaracter"/>
        </w:rPr>
        <w:t>Subsanabilidad material</w:t>
      </w:r>
      <w:bookmarkEnd w:id="2228"/>
      <w:r w:rsidRPr="00BA1B56">
        <w:rPr>
          <w:rStyle w:val="TextoNormalCaracter"/>
        </w:rPr>
        <w:t xml:space="preserve">, Sentencia </w:t>
      </w:r>
      <w:hyperlink w:anchor="SENTENCIA_2012_113" w:history="1">
        <w:r w:rsidRPr="00BA1B56">
          <w:rPr>
            <w:rStyle w:val="TextoNormalCaracter"/>
          </w:rPr>
          <w:t>113/2012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29" w:name="DESCRIPTORALFABETICO886"/>
      <w:r w:rsidRPr="00BA1B56">
        <w:rPr>
          <w:rStyle w:val="TextoNormalNegritaCaracter"/>
        </w:rPr>
        <w:t>Subsanación de defectos procesales</w:t>
      </w:r>
      <w:bookmarkEnd w:id="2229"/>
      <w:r w:rsidRPr="00BA1B56">
        <w:rPr>
          <w:rStyle w:val="TextoNormalCaracter"/>
        </w:rPr>
        <w:t xml:space="preserve">, Sentencias </w:t>
      </w:r>
      <w:hyperlink w:anchor="SENTENCIA_2012_79" w:history="1">
        <w:r w:rsidRPr="00BA1B56">
          <w:rPr>
            <w:rStyle w:val="TextoNormalCaracter"/>
          </w:rPr>
          <w:t>79/2012</w:t>
        </w:r>
      </w:hyperlink>
      <w:r w:rsidRPr="00BA1B56">
        <w:rPr>
          <w:rStyle w:val="TextoNormalCaracter"/>
        </w:rPr>
        <w:t xml:space="preserve">, ff. 4, 6; </w:t>
      </w:r>
      <w:hyperlink w:anchor="SENTENCIA_2012_85" w:history="1">
        <w:r w:rsidRPr="00BA1B56">
          <w:rPr>
            <w:rStyle w:val="TextoNormalCaracter"/>
          </w:rPr>
          <w:t>85/2012</w:t>
        </w:r>
      </w:hyperlink>
      <w:r w:rsidRPr="00BA1B56">
        <w:rPr>
          <w:rStyle w:val="TextoNormalCaracter"/>
        </w:rPr>
        <w:t xml:space="preserve">, f. 3; </w:t>
      </w:r>
      <w:hyperlink w:anchor="SENTENCIA_2012_116" w:history="1">
        <w:r w:rsidRPr="00BA1B56">
          <w:rPr>
            <w:rStyle w:val="TextoNormalCaracter"/>
          </w:rPr>
          <w:t>116/2012</w:t>
        </w:r>
      </w:hyperlink>
      <w:r w:rsidRPr="00BA1B56">
        <w:rPr>
          <w:rStyle w:val="TextoNormalCaracter"/>
        </w:rPr>
        <w:t xml:space="preserve">, f. 7; </w:t>
      </w:r>
      <w:hyperlink w:anchor="SENTENCIA_2012_125" w:history="1">
        <w:r w:rsidRPr="00BA1B56">
          <w:rPr>
            <w:rStyle w:val="TextoNormalCaracter"/>
          </w:rPr>
          <w:t>125/2012</w:t>
        </w:r>
      </w:hyperlink>
      <w:r w:rsidRPr="00BA1B56">
        <w:rPr>
          <w:rStyle w:val="TextoNormalCaracter"/>
        </w:rPr>
        <w:t xml:space="preserve">, ff. 7, 8; </w:t>
      </w:r>
      <w:hyperlink w:anchor="SENTENCIA_2012_129" w:history="1">
        <w:r w:rsidRPr="00BA1B56">
          <w:rPr>
            <w:rStyle w:val="TextoNormalCaracter"/>
          </w:rPr>
          <w:t>129/2012</w:t>
        </w:r>
      </w:hyperlink>
      <w:r w:rsidRPr="00BA1B56">
        <w:rPr>
          <w:rStyle w:val="TextoNormalCaracter"/>
        </w:rPr>
        <w:t xml:space="preserve">, f. 2; </w:t>
      </w:r>
      <w:hyperlink w:anchor="SENTENCIA_2012_130" w:history="1">
        <w:r w:rsidRPr="00BA1B56">
          <w:rPr>
            <w:rStyle w:val="TextoNormalCaracter"/>
          </w:rPr>
          <w:t>130/2012</w:t>
        </w:r>
      </w:hyperlink>
      <w:r w:rsidRPr="00BA1B56">
        <w:rPr>
          <w:rStyle w:val="TextoNormalCaracter"/>
        </w:rPr>
        <w:t>, ff. 1 a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30" w:history="1">
        <w:r w:rsidRPr="00BA1B56">
          <w:rPr>
            <w:rStyle w:val="TextoNormalCaracter"/>
          </w:rPr>
          <w:t>30/2012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230" w:name="DESCRIPTORALFABETICO614"/>
      <w:r w:rsidRPr="00BA1B56">
        <w:rPr>
          <w:rStyle w:val="TextoNormalNegritaCaracter"/>
        </w:rPr>
        <w:t>Subvenciones públicas</w:t>
      </w:r>
      <w:bookmarkEnd w:id="2230"/>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ff. 8, 9, 10; </w:t>
      </w:r>
      <w:hyperlink w:anchor="SENTENCIA_2012_38" w:history="1">
        <w:r w:rsidRPr="00BA1B56">
          <w:rPr>
            <w:rStyle w:val="TextoNormalCaracter"/>
          </w:rPr>
          <w:t>38/2012</w:t>
        </w:r>
      </w:hyperlink>
      <w:r w:rsidRPr="00BA1B56">
        <w:rPr>
          <w:rStyle w:val="TextoNormalCaracter"/>
        </w:rPr>
        <w:t xml:space="preserve">, f. 4; </w:t>
      </w:r>
      <w:hyperlink w:anchor="SENTENCIA_2012_72" w:history="1">
        <w:r w:rsidRPr="00BA1B56">
          <w:rPr>
            <w:rStyle w:val="TextoNormalCaracter"/>
          </w:rPr>
          <w:t>72/2012</w:t>
        </w:r>
      </w:hyperlink>
      <w:r w:rsidRPr="00BA1B56">
        <w:rPr>
          <w:rStyle w:val="TextoNormalCaracter"/>
        </w:rPr>
        <w:t xml:space="preserve">, f. 5; </w:t>
      </w:r>
      <w:hyperlink w:anchor="SENTENCIA_2012_73" w:history="1">
        <w:r w:rsidRPr="00BA1B56">
          <w:rPr>
            <w:rStyle w:val="TextoNormalCaracter"/>
          </w:rPr>
          <w:t>73/2012</w:t>
        </w:r>
      </w:hyperlink>
      <w:r w:rsidRPr="00BA1B56">
        <w:rPr>
          <w:rStyle w:val="TextoNormalCaracter"/>
        </w:rPr>
        <w:t xml:space="preserve">, ff. 3, 5; </w:t>
      </w:r>
      <w:hyperlink w:anchor="SENTENCIA_2012_77" w:history="1">
        <w:r w:rsidRPr="00BA1B56">
          <w:rPr>
            <w:rStyle w:val="TextoNormalCaracter"/>
          </w:rPr>
          <w:t>77/2012</w:t>
        </w:r>
      </w:hyperlink>
      <w:r w:rsidRPr="00BA1B56">
        <w:rPr>
          <w:rStyle w:val="TextoNormalCaracter"/>
        </w:rPr>
        <w:t xml:space="preserve">, ff. 2, 3, 4, 5, 6, 7, 8; </w:t>
      </w:r>
      <w:hyperlink w:anchor="SENTENCIA_2012_89" w:history="1">
        <w:r w:rsidRPr="00BA1B56">
          <w:rPr>
            <w:rStyle w:val="TextoNormalCaracter"/>
          </w:rPr>
          <w:t>89/2012</w:t>
        </w:r>
      </w:hyperlink>
      <w:r w:rsidRPr="00BA1B56">
        <w:rPr>
          <w:rStyle w:val="TextoNormalCaracter"/>
        </w:rPr>
        <w:t xml:space="preserve">, ff. 4, 6, 7; </w:t>
      </w:r>
      <w:hyperlink w:anchor="SENTENCIA_2012_99" w:history="1">
        <w:r w:rsidRPr="00BA1B56">
          <w:rPr>
            <w:rStyle w:val="TextoNormalCaracter"/>
          </w:rPr>
          <w:t>99/2012</w:t>
        </w:r>
      </w:hyperlink>
      <w:r w:rsidRPr="00BA1B56">
        <w:rPr>
          <w:rStyle w:val="TextoNormalCaracter"/>
        </w:rPr>
        <w:t>, ff. 3, 6, 8.</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38" w:history="1">
        <w:r w:rsidRPr="00BA1B56">
          <w:rPr>
            <w:rStyle w:val="TextoNormalCaracter"/>
          </w:rPr>
          <w:t>38/2012</w:t>
        </w:r>
      </w:hyperlink>
      <w:r w:rsidRPr="00BA1B56">
        <w:rPr>
          <w:rStyle w:val="TextoNormalCaracter"/>
        </w:rPr>
        <w:t>, f. 4.</w:t>
      </w:r>
    </w:p>
    <w:p w:rsidR="00BA1B56" w:rsidRPr="00BA1B56" w:rsidRDefault="00BA1B56" w:rsidP="00BA1B56">
      <w:pPr>
        <w:pStyle w:val="TextoNormalSangraFrancesa"/>
        <w:rPr>
          <w:rStyle w:val="TextoNormalCaracter"/>
        </w:rPr>
      </w:pPr>
      <w:bookmarkStart w:id="2231" w:name="DESCRIPTORALFABETICO745"/>
      <w:r w:rsidRPr="00BA1B56">
        <w:rPr>
          <w:rStyle w:val="TextoNormalNegritaCaracter"/>
        </w:rPr>
        <w:t>Sucesión de normas penales</w:t>
      </w:r>
      <w:bookmarkEnd w:id="2231"/>
      <w:r w:rsidRPr="00BA1B56">
        <w:rPr>
          <w:rStyle w:val="TextoNormalCaracter"/>
        </w:rPr>
        <w:t xml:space="preserve">, Sentencias </w:t>
      </w:r>
      <w:hyperlink w:anchor="SENTENCIA_2012_39" w:history="1">
        <w:r w:rsidRPr="00BA1B56">
          <w:rPr>
            <w:rStyle w:val="TextoNormalCaracter"/>
          </w:rPr>
          <w:t>39/2012</w:t>
        </w:r>
      </w:hyperlink>
      <w:r w:rsidRPr="00BA1B56">
        <w:rPr>
          <w:rStyle w:val="TextoNormalCaracter"/>
        </w:rPr>
        <w:t xml:space="preserve">, f. 7; </w:t>
      </w:r>
      <w:hyperlink w:anchor="SENTENCIA_2012_40" w:history="1">
        <w:r w:rsidRPr="00BA1B56">
          <w:rPr>
            <w:rStyle w:val="TextoNormalCaracter"/>
          </w:rPr>
          <w:t>40/2012</w:t>
        </w:r>
      </w:hyperlink>
      <w:r w:rsidRPr="00BA1B56">
        <w:rPr>
          <w:rStyle w:val="TextoNormalCaracter"/>
        </w:rPr>
        <w:t xml:space="preserve">, ff. 5, 6; </w:t>
      </w:r>
      <w:hyperlink w:anchor="SENTENCIA_2012_41" w:history="1">
        <w:r w:rsidRPr="00BA1B56">
          <w:rPr>
            <w:rStyle w:val="TextoNormalCaracter"/>
          </w:rPr>
          <w:t>41/2012</w:t>
        </w:r>
      </w:hyperlink>
      <w:r w:rsidRPr="00BA1B56">
        <w:rPr>
          <w:rStyle w:val="TextoNormalCaracter"/>
        </w:rPr>
        <w:t xml:space="preserve">, f. 6, VP I, VP II, VP IV; </w:t>
      </w:r>
      <w:hyperlink w:anchor="SENTENCIA_2012_42" w:history="1">
        <w:r w:rsidRPr="00BA1B56">
          <w:rPr>
            <w:rStyle w:val="TextoNormalCaracter"/>
          </w:rPr>
          <w:t>42/2012</w:t>
        </w:r>
      </w:hyperlink>
      <w:r w:rsidRPr="00BA1B56">
        <w:rPr>
          <w:rStyle w:val="TextoNormalCaracter"/>
        </w:rPr>
        <w:t xml:space="preserve">, ff. 5, 6; </w:t>
      </w:r>
      <w:hyperlink w:anchor="SENTENCIA_2012_43" w:history="1">
        <w:r w:rsidRPr="00BA1B56">
          <w:rPr>
            <w:rStyle w:val="TextoNormalCaracter"/>
          </w:rPr>
          <w:t>43/2012</w:t>
        </w:r>
      </w:hyperlink>
      <w:r w:rsidRPr="00BA1B56">
        <w:rPr>
          <w:rStyle w:val="TextoNormalCaracter"/>
        </w:rPr>
        <w:t xml:space="preserve">, f. 4; </w:t>
      </w:r>
      <w:hyperlink w:anchor="SENTENCIA_2012_44" w:history="1">
        <w:r w:rsidRPr="00BA1B56">
          <w:rPr>
            <w:rStyle w:val="TextoNormalCaracter"/>
          </w:rPr>
          <w:t>44/2012</w:t>
        </w:r>
      </w:hyperlink>
      <w:r w:rsidRPr="00BA1B56">
        <w:rPr>
          <w:rStyle w:val="TextoNormalCaracter"/>
        </w:rPr>
        <w:t xml:space="preserve">, f. 3; </w:t>
      </w:r>
      <w:hyperlink w:anchor="SENTENCIA_2012_45" w:history="1">
        <w:r w:rsidRPr="00BA1B56">
          <w:rPr>
            <w:rStyle w:val="TextoNormalCaracter"/>
          </w:rPr>
          <w:t>45/2012</w:t>
        </w:r>
      </w:hyperlink>
      <w:r w:rsidRPr="00BA1B56">
        <w:rPr>
          <w:rStyle w:val="TextoNormalCaracter"/>
        </w:rPr>
        <w:t xml:space="preserve">, f. 3; </w:t>
      </w:r>
      <w:hyperlink w:anchor="SENTENCIA_2012_46" w:history="1">
        <w:r w:rsidRPr="00BA1B56">
          <w:rPr>
            <w:rStyle w:val="TextoNormalCaracter"/>
          </w:rPr>
          <w:t>46/2012</w:t>
        </w:r>
      </w:hyperlink>
      <w:r w:rsidRPr="00BA1B56">
        <w:rPr>
          <w:rStyle w:val="TextoNormalCaracter"/>
        </w:rPr>
        <w:t xml:space="preserve">, f. 4; </w:t>
      </w:r>
      <w:hyperlink w:anchor="SENTENCIA_2012_47" w:history="1">
        <w:r w:rsidRPr="00BA1B56">
          <w:rPr>
            <w:rStyle w:val="TextoNormalCaracter"/>
          </w:rPr>
          <w:t>47/2012</w:t>
        </w:r>
      </w:hyperlink>
      <w:r w:rsidRPr="00BA1B56">
        <w:rPr>
          <w:rStyle w:val="TextoNormalCaracter"/>
        </w:rPr>
        <w:t xml:space="preserve">, f. 4; </w:t>
      </w:r>
      <w:hyperlink w:anchor="SENTENCIA_2012_48" w:history="1">
        <w:r w:rsidRPr="00BA1B56">
          <w:rPr>
            <w:rStyle w:val="TextoNormalCaracter"/>
          </w:rPr>
          <w:t>48/2012</w:t>
        </w:r>
      </w:hyperlink>
      <w:r w:rsidRPr="00BA1B56">
        <w:rPr>
          <w:rStyle w:val="TextoNormalCaracter"/>
        </w:rPr>
        <w:t xml:space="preserve">, f. 4; </w:t>
      </w:r>
      <w:hyperlink w:anchor="SENTENCIA_2012_49" w:history="1">
        <w:r w:rsidRPr="00BA1B56">
          <w:rPr>
            <w:rStyle w:val="TextoNormalCaracter"/>
          </w:rPr>
          <w:t>49/2012</w:t>
        </w:r>
      </w:hyperlink>
      <w:r w:rsidRPr="00BA1B56">
        <w:rPr>
          <w:rStyle w:val="TextoNormalCaracter"/>
        </w:rPr>
        <w:t xml:space="preserve">, f. 4; </w:t>
      </w:r>
      <w:hyperlink w:anchor="SENTENCIA_2012_50" w:history="1">
        <w:r w:rsidRPr="00BA1B56">
          <w:rPr>
            <w:rStyle w:val="TextoNormalCaracter"/>
          </w:rPr>
          <w:t>50/2012</w:t>
        </w:r>
      </w:hyperlink>
      <w:r w:rsidRPr="00BA1B56">
        <w:rPr>
          <w:rStyle w:val="TextoNormalCaracter"/>
        </w:rPr>
        <w:t xml:space="preserve">, f. 4; </w:t>
      </w:r>
      <w:hyperlink w:anchor="SENTENCIA_2012_51" w:history="1">
        <w:r w:rsidRPr="00BA1B56">
          <w:rPr>
            <w:rStyle w:val="TextoNormalCaracter"/>
          </w:rPr>
          <w:t>51/2012</w:t>
        </w:r>
      </w:hyperlink>
      <w:r w:rsidRPr="00BA1B56">
        <w:rPr>
          <w:rStyle w:val="TextoNormalCaracter"/>
        </w:rPr>
        <w:t xml:space="preserve">, f. 4; </w:t>
      </w:r>
      <w:hyperlink w:anchor="SENTENCIA_2012_52" w:history="1">
        <w:r w:rsidRPr="00BA1B56">
          <w:rPr>
            <w:rStyle w:val="TextoNormalCaracter"/>
          </w:rPr>
          <w:t>52/2012</w:t>
        </w:r>
      </w:hyperlink>
      <w:r w:rsidRPr="00BA1B56">
        <w:rPr>
          <w:rStyle w:val="TextoNormalCaracter"/>
        </w:rPr>
        <w:t xml:space="preserve">, f. 3; </w:t>
      </w:r>
      <w:hyperlink w:anchor="SENTENCIA_2012_53" w:history="1">
        <w:r w:rsidRPr="00BA1B56">
          <w:rPr>
            <w:rStyle w:val="TextoNormalCaracter"/>
          </w:rPr>
          <w:t>53/2012</w:t>
        </w:r>
      </w:hyperlink>
      <w:r w:rsidRPr="00BA1B56">
        <w:rPr>
          <w:rStyle w:val="TextoNormalCaracter"/>
        </w:rPr>
        <w:t xml:space="preserve">, f. 3; </w:t>
      </w:r>
      <w:hyperlink w:anchor="SENTENCIA_2012_54" w:history="1">
        <w:r w:rsidRPr="00BA1B56">
          <w:rPr>
            <w:rStyle w:val="TextoNormalCaracter"/>
          </w:rPr>
          <w:t>54/2012</w:t>
        </w:r>
      </w:hyperlink>
      <w:r w:rsidRPr="00BA1B56">
        <w:rPr>
          <w:rStyle w:val="TextoNormalCaracter"/>
        </w:rPr>
        <w:t xml:space="preserve">, f. 4; </w:t>
      </w:r>
      <w:hyperlink w:anchor="SENTENCIA_2012_55" w:history="1">
        <w:r w:rsidRPr="00BA1B56">
          <w:rPr>
            <w:rStyle w:val="TextoNormalCaracter"/>
          </w:rPr>
          <w:t>55/2012</w:t>
        </w:r>
      </w:hyperlink>
      <w:r w:rsidRPr="00BA1B56">
        <w:rPr>
          <w:rStyle w:val="TextoNormalCaracter"/>
        </w:rPr>
        <w:t xml:space="preserve">, f. 5; </w:t>
      </w:r>
      <w:hyperlink w:anchor="SENTENCIA_2012_56" w:history="1">
        <w:r w:rsidRPr="00BA1B56">
          <w:rPr>
            <w:rStyle w:val="TextoNormalCaracter"/>
          </w:rPr>
          <w:t>56/2012</w:t>
        </w:r>
      </w:hyperlink>
      <w:r w:rsidRPr="00BA1B56">
        <w:rPr>
          <w:rStyle w:val="TextoNormalCaracter"/>
        </w:rPr>
        <w:t xml:space="preserve">, f. 2; </w:t>
      </w:r>
      <w:hyperlink w:anchor="SENTENCIA_2012_57" w:history="1">
        <w:r w:rsidRPr="00BA1B56">
          <w:rPr>
            <w:rStyle w:val="TextoNormalCaracter"/>
          </w:rPr>
          <w:t>57/2012</w:t>
        </w:r>
      </w:hyperlink>
      <w:r w:rsidRPr="00BA1B56">
        <w:rPr>
          <w:rStyle w:val="TextoNormalCaracter"/>
        </w:rPr>
        <w:t xml:space="preserve">, f. 7; </w:t>
      </w:r>
      <w:hyperlink w:anchor="SENTENCIA_2012_64" w:history="1">
        <w:r w:rsidRPr="00BA1B56">
          <w:rPr>
            <w:rStyle w:val="TextoNormalCaracter"/>
          </w:rPr>
          <w:t>64/2012</w:t>
        </w:r>
      </w:hyperlink>
      <w:r w:rsidRPr="00BA1B56">
        <w:rPr>
          <w:rStyle w:val="TextoNormalCaracter"/>
        </w:rPr>
        <w:t xml:space="preserve">, f. 3; </w:t>
      </w:r>
      <w:hyperlink w:anchor="SENTENCIA_2012_65" w:history="1">
        <w:r w:rsidRPr="00BA1B56">
          <w:rPr>
            <w:rStyle w:val="TextoNormalCaracter"/>
          </w:rPr>
          <w:t>65/2012</w:t>
        </w:r>
      </w:hyperlink>
      <w:r w:rsidRPr="00BA1B56">
        <w:rPr>
          <w:rStyle w:val="TextoNormalCaracter"/>
        </w:rPr>
        <w:t xml:space="preserve">, f. 4; </w:t>
      </w:r>
      <w:hyperlink w:anchor="SENTENCIA_2012_66" w:history="1">
        <w:r w:rsidRPr="00BA1B56">
          <w:rPr>
            <w:rStyle w:val="TextoNormalCaracter"/>
          </w:rPr>
          <w:t>66/2012</w:t>
        </w:r>
      </w:hyperlink>
      <w:r w:rsidRPr="00BA1B56">
        <w:rPr>
          <w:rStyle w:val="TextoNormalCaracter"/>
        </w:rPr>
        <w:t xml:space="preserve">, f. 3; </w:t>
      </w:r>
      <w:hyperlink w:anchor="SENTENCIA_2012_67" w:history="1">
        <w:r w:rsidRPr="00BA1B56">
          <w:rPr>
            <w:rStyle w:val="TextoNormalCaracter"/>
          </w:rPr>
          <w:t>67/2012</w:t>
        </w:r>
      </w:hyperlink>
      <w:r w:rsidRPr="00BA1B56">
        <w:rPr>
          <w:rStyle w:val="TextoNormalCaracter"/>
        </w:rPr>
        <w:t xml:space="preserve">, f. 3; </w:t>
      </w:r>
      <w:hyperlink w:anchor="SENTENCIA_2012_68" w:history="1">
        <w:r w:rsidRPr="00BA1B56">
          <w:rPr>
            <w:rStyle w:val="TextoNormalCaracter"/>
          </w:rPr>
          <w:t>68/2012</w:t>
        </w:r>
      </w:hyperlink>
      <w:r w:rsidRPr="00BA1B56">
        <w:rPr>
          <w:rStyle w:val="TextoNormalCaracter"/>
        </w:rPr>
        <w:t xml:space="preserve">, f. 3; </w:t>
      </w:r>
      <w:hyperlink w:anchor="SENTENCIA_2012_69" w:history="1">
        <w:r w:rsidRPr="00BA1B56">
          <w:rPr>
            <w:rStyle w:val="TextoNormalCaracter"/>
          </w:rPr>
          <w:t>69/2012</w:t>
        </w:r>
      </w:hyperlink>
      <w:r w:rsidRPr="00BA1B56">
        <w:rPr>
          <w:rStyle w:val="TextoNormalCaracter"/>
        </w:rPr>
        <w:t xml:space="preserve">, f. 4; </w:t>
      </w:r>
      <w:hyperlink w:anchor="SENTENCIA_2012_108" w:history="1">
        <w:r w:rsidRPr="00BA1B56">
          <w:rPr>
            <w:rStyle w:val="TextoNormalCaracter"/>
          </w:rPr>
          <w:t>108/2012</w:t>
        </w:r>
      </w:hyperlink>
      <w:r w:rsidRPr="00BA1B56">
        <w:rPr>
          <w:rStyle w:val="TextoNormalCaracter"/>
        </w:rPr>
        <w:t xml:space="preserve">, f. 4; </w:t>
      </w:r>
      <w:hyperlink w:anchor="SENTENCIA_2012_113" w:history="1">
        <w:r w:rsidRPr="00BA1B56">
          <w:rPr>
            <w:rStyle w:val="TextoNormalCaracter"/>
          </w:rPr>
          <w:t>113/2012</w:t>
        </w:r>
      </w:hyperlink>
      <w:r w:rsidRPr="00BA1B56">
        <w:rPr>
          <w:rStyle w:val="TextoNormalCaracter"/>
        </w:rPr>
        <w:t xml:space="preserve">, ff. 6, 11; </w:t>
      </w:r>
      <w:hyperlink w:anchor="SENTENCIA_2012_114" w:history="1">
        <w:r w:rsidRPr="00BA1B56">
          <w:rPr>
            <w:rStyle w:val="TextoNormalCaracter"/>
          </w:rPr>
          <w:t>114/2012</w:t>
        </w:r>
      </w:hyperlink>
      <w:r w:rsidRPr="00BA1B56">
        <w:rPr>
          <w:rStyle w:val="TextoNormalCaracter"/>
        </w:rPr>
        <w:t>, f. 3.</w:t>
      </w:r>
    </w:p>
    <w:p w:rsidR="00BA1B56" w:rsidRPr="00BA1B56" w:rsidRDefault="00BA1B56" w:rsidP="00BA1B56">
      <w:pPr>
        <w:pStyle w:val="TextoNormalSangraFrancesa"/>
        <w:rPr>
          <w:rStyle w:val="TextoNormalCaracter"/>
        </w:rPr>
      </w:pPr>
      <w:bookmarkStart w:id="2232" w:name="DESCRIPTORALFABETICO414"/>
      <w:r w:rsidRPr="00BA1B56">
        <w:rPr>
          <w:rStyle w:val="TextoNormalNegritaCaracter"/>
        </w:rPr>
        <w:t>Sucesión operativa de partidos políticos</w:t>
      </w:r>
      <w:bookmarkEnd w:id="2232"/>
      <w:r w:rsidRPr="00BA1B56">
        <w:rPr>
          <w:rStyle w:val="TextoNormalCaracter"/>
        </w:rPr>
        <w:t xml:space="preserve">, Sentencia </w:t>
      </w:r>
      <w:hyperlink w:anchor="SENTENCIA_2012_138" w:history="1">
        <w:r w:rsidRPr="00BA1B56">
          <w:rPr>
            <w:rStyle w:val="TextoNormalCaracter"/>
          </w:rPr>
          <w:t>138/2012</w:t>
        </w:r>
      </w:hyperlink>
      <w:r w:rsidRPr="00BA1B56">
        <w:rPr>
          <w:rStyle w:val="TextoNormalCaracter"/>
        </w:rPr>
        <w:t>, ff. 9 a 11.</w:t>
      </w:r>
    </w:p>
    <w:p w:rsidR="00BA1B56" w:rsidRPr="00BA1B56" w:rsidRDefault="00BA1B56" w:rsidP="00BA1B56">
      <w:pPr>
        <w:pStyle w:val="TextoNormalSangraFrancesa"/>
        <w:rPr>
          <w:rStyle w:val="TextoNormalCaracter"/>
        </w:rPr>
      </w:pPr>
      <w:bookmarkStart w:id="2233" w:name="DESCRIPTORALFABETICO235"/>
      <w:r w:rsidRPr="00BA1B56">
        <w:rPr>
          <w:rStyle w:val="TextoNormalNegritaCaracter"/>
        </w:rPr>
        <w:t>Sufragio activo</w:t>
      </w:r>
      <w:bookmarkEnd w:id="2233"/>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6 a 9, 12, 14 a 16, 20.</w:t>
      </w:r>
    </w:p>
    <w:p w:rsidR="00BA1B56" w:rsidRPr="00BA1B56" w:rsidRDefault="00BA1B56" w:rsidP="00BA1B56">
      <w:pPr>
        <w:pStyle w:val="TextoNormalSangraFrancesa"/>
        <w:rPr>
          <w:rStyle w:val="TextoNormalCaracter"/>
        </w:rPr>
      </w:pPr>
      <w:bookmarkStart w:id="2234" w:name="DESCRIPTORALFABETICO236"/>
      <w:r w:rsidRPr="00BA1B56">
        <w:rPr>
          <w:rStyle w:val="TextoNormalNegritaCaracter"/>
        </w:rPr>
        <w:t>Sufragio pasivo</w:t>
      </w:r>
      <w:bookmarkEnd w:id="2234"/>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6 a 9, 12, 14 a 16, 20.</w:t>
      </w:r>
    </w:p>
    <w:p w:rsidR="00BA1B56" w:rsidRPr="00BA1B56" w:rsidRDefault="00BA1B56" w:rsidP="00BA1B56">
      <w:pPr>
        <w:pStyle w:val="TextoNormalSangraFrancesa"/>
        <w:rPr>
          <w:rStyle w:val="TextoNormalCaracter"/>
        </w:rPr>
      </w:pPr>
      <w:bookmarkStart w:id="2235" w:name="DESCRIPTORALFABETICO284"/>
      <w:r w:rsidRPr="00BA1B56">
        <w:rPr>
          <w:rStyle w:val="TextoNormalNegritaCaracter"/>
        </w:rPr>
        <w:t>Suspensión cautelar de resoluciones civiles</w:t>
      </w:r>
      <w:bookmarkEnd w:id="2235"/>
      <w:r w:rsidRPr="00BA1B56">
        <w:rPr>
          <w:rStyle w:val="TextoNormalCaracter"/>
        </w:rPr>
        <w:t xml:space="preserve">, Autos </w:t>
      </w:r>
      <w:hyperlink w:anchor="AUTO_2012_56" w:history="1">
        <w:r w:rsidRPr="00BA1B56">
          <w:rPr>
            <w:rStyle w:val="TextoNormalCaracter"/>
          </w:rPr>
          <w:t>56/2012</w:t>
        </w:r>
      </w:hyperlink>
      <w:r w:rsidRPr="00BA1B56">
        <w:rPr>
          <w:rStyle w:val="TextoNormalCaracter"/>
        </w:rPr>
        <w:t xml:space="preserve">, f. 3; </w:t>
      </w:r>
      <w:hyperlink w:anchor="AUTO_2012_64" w:history="1">
        <w:r w:rsidRPr="00BA1B56">
          <w:rPr>
            <w:rStyle w:val="TextoNormalCaracter"/>
          </w:rPr>
          <w:t>64/2012</w:t>
        </w:r>
      </w:hyperlink>
      <w:r w:rsidRPr="00BA1B56">
        <w:rPr>
          <w:rStyle w:val="TextoNormalCaracter"/>
        </w:rPr>
        <w:t xml:space="preserve">, ff. 2 a 4; </w:t>
      </w:r>
      <w:hyperlink w:anchor="AUTO_2012_65" w:history="1">
        <w:r w:rsidRPr="00BA1B56">
          <w:rPr>
            <w:rStyle w:val="TextoNormalCaracter"/>
          </w:rPr>
          <w:t>65/2012</w:t>
        </w:r>
      </w:hyperlink>
      <w:r w:rsidRPr="00BA1B56">
        <w:rPr>
          <w:rStyle w:val="TextoNormalCaracter"/>
        </w:rPr>
        <w:t>, ff. 2 a 4.</w:t>
      </w:r>
    </w:p>
    <w:p w:rsidR="00BA1B56" w:rsidRPr="00BA1B56" w:rsidRDefault="00BA1B56" w:rsidP="00BA1B56">
      <w:pPr>
        <w:pStyle w:val="TextoNormalSangraFrancesa"/>
        <w:rPr>
          <w:rStyle w:val="TextoNormalCaracter"/>
        </w:rPr>
      </w:pPr>
      <w:r w:rsidRPr="00BA1B56">
        <w:rPr>
          <w:rStyle w:val="TextoNormalCursivaCaracter"/>
        </w:rPr>
        <w:t xml:space="preserve">    No suspende, </w:t>
      </w:r>
      <w:r w:rsidRPr="00BA1B56">
        <w:rPr>
          <w:rStyle w:val="TextoNormalCaracter"/>
        </w:rPr>
        <w:t xml:space="preserve">Autos </w:t>
      </w:r>
      <w:hyperlink w:anchor="AUTO_2012_64" w:history="1">
        <w:r w:rsidRPr="00BA1B56">
          <w:rPr>
            <w:rStyle w:val="TextoNormalCaracter"/>
          </w:rPr>
          <w:t>64/2012</w:t>
        </w:r>
      </w:hyperlink>
      <w:r w:rsidRPr="00BA1B56">
        <w:rPr>
          <w:rStyle w:val="TextoNormalCaracter"/>
        </w:rPr>
        <w:t xml:space="preserve">, ff. 3, 4; </w:t>
      </w:r>
      <w:hyperlink w:anchor="AUTO_2012_65" w:history="1">
        <w:r w:rsidRPr="00BA1B56">
          <w:rPr>
            <w:rStyle w:val="TextoNormalCaracter"/>
          </w:rPr>
          <w:t>65/2012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2236" w:name="DESCRIPTORALFABETICO286"/>
      <w:r w:rsidRPr="00BA1B56">
        <w:rPr>
          <w:rStyle w:val="TextoNormalNegritaCaracter"/>
        </w:rPr>
        <w:t>Suspensión cautelar de resoluciones contencioso-administrativas</w:t>
      </w:r>
      <w:bookmarkEnd w:id="2236"/>
      <w:r w:rsidRPr="00BA1B56">
        <w:rPr>
          <w:rStyle w:val="TextoNormalCaracter"/>
        </w:rPr>
        <w:t xml:space="preserve">, Autos </w:t>
      </w:r>
      <w:hyperlink w:anchor="AUTO_2012_66" w:history="1">
        <w:r w:rsidRPr="00BA1B56">
          <w:rPr>
            <w:rStyle w:val="TextoNormalCaracter"/>
          </w:rPr>
          <w:t>66/2012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ursivaCaracter"/>
        </w:rPr>
        <w:t xml:space="preserve">    Suspende, </w:t>
      </w:r>
      <w:r w:rsidRPr="00BA1B56">
        <w:rPr>
          <w:rStyle w:val="TextoNormalCaracter"/>
        </w:rPr>
        <w:t xml:space="preserve">Auto </w:t>
      </w:r>
      <w:hyperlink w:anchor="AUTO_2012_66" w:history="1">
        <w:r w:rsidRPr="00BA1B56">
          <w:rPr>
            <w:rStyle w:val="TextoNormalCaracter"/>
          </w:rPr>
          <w:t>66/2012</w:t>
        </w:r>
      </w:hyperlink>
      <w:r w:rsidRPr="00BA1B56">
        <w:rPr>
          <w:rStyle w:val="TextoNormalCaracter"/>
        </w:rPr>
        <w:t>, f. 1.</w:t>
      </w:r>
    </w:p>
    <w:p w:rsidR="00BA1B56" w:rsidRPr="00BA1B56" w:rsidRDefault="00BA1B56" w:rsidP="00BA1B56">
      <w:pPr>
        <w:pStyle w:val="TextoNormalSangraFrancesa"/>
        <w:rPr>
          <w:rStyle w:val="TextoNormalCaracter"/>
        </w:rPr>
      </w:pPr>
      <w:bookmarkStart w:id="2237" w:name="DESCRIPTORALFABETICO283"/>
      <w:r w:rsidRPr="00BA1B56">
        <w:rPr>
          <w:rStyle w:val="TextoNormalNegritaCaracter"/>
        </w:rPr>
        <w:t>Suspensión cautelar de resoluciones judiciales</w:t>
      </w:r>
      <w:bookmarkEnd w:id="2237"/>
      <w:r w:rsidRPr="00BA1B56">
        <w:rPr>
          <w:rStyle w:val="TextoNormalCaracter"/>
        </w:rPr>
        <w:t xml:space="preserve">, Autos </w:t>
      </w:r>
      <w:hyperlink w:anchor="AUTO_2012_19" w:history="1">
        <w:r w:rsidRPr="00BA1B56">
          <w:rPr>
            <w:rStyle w:val="TextoNormalCaracter"/>
          </w:rPr>
          <w:t>19/2012</w:t>
        </w:r>
      </w:hyperlink>
      <w:r w:rsidRPr="00BA1B56">
        <w:rPr>
          <w:rStyle w:val="TextoNormalCaracter"/>
        </w:rPr>
        <w:t xml:space="preserve">, f. 2; </w:t>
      </w:r>
      <w:hyperlink w:anchor="AUTO_2012_23" w:history="1">
        <w:r w:rsidRPr="00BA1B56">
          <w:rPr>
            <w:rStyle w:val="TextoNormalCaracter"/>
          </w:rPr>
          <w:t>23/2012</w:t>
        </w:r>
      </w:hyperlink>
      <w:r w:rsidRPr="00BA1B56">
        <w:rPr>
          <w:rStyle w:val="TextoNormalCaracter"/>
        </w:rPr>
        <w:t xml:space="preserve">, f. único; </w:t>
      </w:r>
      <w:hyperlink w:anchor="AUTO_2012_28" w:history="1">
        <w:r w:rsidRPr="00BA1B56">
          <w:rPr>
            <w:rStyle w:val="TextoNormalCaracter"/>
          </w:rPr>
          <w:t>28/2012</w:t>
        </w:r>
      </w:hyperlink>
      <w:r w:rsidRPr="00BA1B56">
        <w:rPr>
          <w:rStyle w:val="TextoNormalCaracter"/>
        </w:rPr>
        <w:t xml:space="preserve">, f. único; </w:t>
      </w:r>
      <w:hyperlink w:anchor="AUTO_2012_53" w:history="1">
        <w:r w:rsidRPr="00BA1B56">
          <w:rPr>
            <w:rStyle w:val="TextoNormalCaracter"/>
          </w:rPr>
          <w:t>53/2012</w:t>
        </w:r>
      </w:hyperlink>
      <w:r w:rsidRPr="00BA1B56">
        <w:rPr>
          <w:rStyle w:val="TextoNormalCaracter"/>
        </w:rPr>
        <w:t xml:space="preserve">, f. 2; </w:t>
      </w:r>
      <w:hyperlink w:anchor="AUTO_2012_78" w:history="1">
        <w:r w:rsidRPr="00BA1B56">
          <w:rPr>
            <w:rStyle w:val="TextoNormalCaracter"/>
          </w:rPr>
          <w:t>78/2012</w:t>
        </w:r>
      </w:hyperlink>
      <w:r w:rsidRPr="00BA1B56">
        <w:rPr>
          <w:rStyle w:val="TextoNormalCaracter"/>
        </w:rPr>
        <w:t xml:space="preserve">, f. único; </w:t>
      </w:r>
      <w:hyperlink w:anchor="AUTO_2012_79" w:history="1">
        <w:r w:rsidRPr="00BA1B56">
          <w:rPr>
            <w:rStyle w:val="TextoNormalCaracter"/>
          </w:rPr>
          <w:t>79/2012</w:t>
        </w:r>
      </w:hyperlink>
      <w:r w:rsidRPr="00BA1B56">
        <w:rPr>
          <w:rStyle w:val="TextoNormalCaracter"/>
        </w:rPr>
        <w:t xml:space="preserve">, f. único; </w:t>
      </w:r>
      <w:hyperlink w:anchor="AUTO_2012_101" w:history="1">
        <w:r w:rsidRPr="00BA1B56">
          <w:rPr>
            <w:rStyle w:val="TextoNormalCaracter"/>
          </w:rPr>
          <w:t>101/2012</w:t>
        </w:r>
      </w:hyperlink>
      <w:r w:rsidRPr="00BA1B56">
        <w:rPr>
          <w:rStyle w:val="TextoNormalCaracter"/>
        </w:rPr>
        <w:t xml:space="preserve">, f. 2; </w:t>
      </w:r>
      <w:hyperlink w:anchor="AUTO_2012_113" w:history="1">
        <w:r w:rsidRPr="00BA1B56">
          <w:rPr>
            <w:rStyle w:val="TextoNormalCaracter"/>
          </w:rPr>
          <w:t>113/2012</w:t>
        </w:r>
      </w:hyperlink>
      <w:r w:rsidRPr="00BA1B56">
        <w:rPr>
          <w:rStyle w:val="TextoNormalCaracter"/>
        </w:rPr>
        <w:t xml:space="preserve">, f. único; </w:t>
      </w:r>
      <w:hyperlink w:anchor="AUTO_2012_115" w:history="1">
        <w:r w:rsidRPr="00BA1B56">
          <w:rPr>
            <w:rStyle w:val="TextoNormalCaracter"/>
          </w:rPr>
          <w:t>115/2012</w:t>
        </w:r>
      </w:hyperlink>
      <w:r w:rsidRPr="00BA1B56">
        <w:rPr>
          <w:rStyle w:val="TextoNormalCaracter"/>
        </w:rPr>
        <w:t xml:space="preserve">, f. 2; </w:t>
      </w:r>
      <w:hyperlink w:anchor="AUTO_2012_122" w:history="1">
        <w:r w:rsidRPr="00BA1B56">
          <w:rPr>
            <w:rStyle w:val="TextoNormalCaracter"/>
          </w:rPr>
          <w:t>122/2012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238" w:name="DESCRIPTORALFABETICO288"/>
      <w:r w:rsidRPr="00BA1B56">
        <w:rPr>
          <w:rStyle w:val="TextoNormalNegritaCaracter"/>
        </w:rPr>
        <w:t>Suspensión cautelar de resoluciones penales</w:t>
      </w:r>
      <w:bookmarkEnd w:id="2238"/>
      <w:r w:rsidRPr="00BA1B56">
        <w:rPr>
          <w:rStyle w:val="TextoNormalCaracter"/>
        </w:rPr>
        <w:t xml:space="preserve">, Auto </w:t>
      </w:r>
      <w:hyperlink w:anchor="AUTO_2012_58" w:history="1">
        <w:r w:rsidRPr="00BA1B56">
          <w:rPr>
            <w:rStyle w:val="TextoNormalCaracter"/>
          </w:rPr>
          <w:t>58/2012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ursivaCaracter"/>
        </w:rPr>
        <w:t xml:space="preserve">    No suspende, </w:t>
      </w:r>
      <w:r w:rsidRPr="00BA1B56">
        <w:rPr>
          <w:rStyle w:val="TextoNormalCaracter"/>
        </w:rPr>
        <w:t xml:space="preserve">Autos </w:t>
      </w:r>
      <w:hyperlink w:anchor="AUTO_2012_27" w:history="1">
        <w:r w:rsidRPr="00BA1B56">
          <w:rPr>
            <w:rStyle w:val="TextoNormalCaracter"/>
          </w:rPr>
          <w:t>27/2012</w:t>
        </w:r>
      </w:hyperlink>
      <w:r w:rsidRPr="00BA1B56">
        <w:rPr>
          <w:rStyle w:val="TextoNormalCaracter"/>
        </w:rPr>
        <w:t xml:space="preserve">, f. 3; </w:t>
      </w:r>
      <w:hyperlink w:anchor="AUTO_2012_71" w:history="1">
        <w:r w:rsidRPr="00BA1B56">
          <w:rPr>
            <w:rStyle w:val="TextoNormalCaracter"/>
          </w:rPr>
          <w:t>71/2012</w:t>
        </w:r>
      </w:hyperlink>
      <w:r w:rsidRPr="00BA1B56">
        <w:rPr>
          <w:rStyle w:val="TextoNormalCaracter"/>
        </w:rPr>
        <w:t xml:space="preserve">, f. único; </w:t>
      </w:r>
      <w:hyperlink w:anchor="AUTO_2012_72" w:history="1">
        <w:r w:rsidRPr="00BA1B56">
          <w:rPr>
            <w:rStyle w:val="TextoNormalCaracter"/>
          </w:rPr>
          <w:t>72/2012</w:t>
        </w:r>
      </w:hyperlink>
      <w:r w:rsidRPr="00BA1B56">
        <w:rPr>
          <w:rStyle w:val="TextoNormalCaracter"/>
        </w:rPr>
        <w:t xml:space="preserve">, f. único; </w:t>
      </w:r>
      <w:hyperlink w:anchor="AUTO_2012_73" w:history="1">
        <w:r w:rsidRPr="00BA1B56">
          <w:rPr>
            <w:rStyle w:val="TextoNormalCaracter"/>
          </w:rPr>
          <w:t>73/2012</w:t>
        </w:r>
      </w:hyperlink>
      <w:r w:rsidRPr="00BA1B56">
        <w:rPr>
          <w:rStyle w:val="TextoNormalCaracter"/>
        </w:rPr>
        <w:t xml:space="preserve">, f. único; </w:t>
      </w:r>
      <w:hyperlink w:anchor="AUTO_2012_74" w:history="1">
        <w:r w:rsidRPr="00BA1B56">
          <w:rPr>
            <w:rStyle w:val="TextoNormalCaracter"/>
          </w:rPr>
          <w:t>74/2012</w:t>
        </w:r>
      </w:hyperlink>
      <w:r w:rsidRPr="00BA1B56">
        <w:rPr>
          <w:rStyle w:val="TextoNormalCaracter"/>
        </w:rPr>
        <w:t xml:space="preserve">, f. único; </w:t>
      </w:r>
      <w:hyperlink w:anchor="AUTO_2012_78" w:history="1">
        <w:r w:rsidRPr="00BA1B56">
          <w:rPr>
            <w:rStyle w:val="TextoNormalCaracter"/>
          </w:rPr>
          <w:t>78/2012</w:t>
        </w:r>
      </w:hyperlink>
      <w:r w:rsidRPr="00BA1B56">
        <w:rPr>
          <w:rStyle w:val="TextoNormalCaracter"/>
        </w:rPr>
        <w:t xml:space="preserve">, f. único; </w:t>
      </w:r>
      <w:hyperlink w:anchor="AUTO_2012_79" w:history="1">
        <w:r w:rsidRPr="00BA1B56">
          <w:rPr>
            <w:rStyle w:val="TextoNormalCaracter"/>
          </w:rPr>
          <w:t>79/2012</w:t>
        </w:r>
      </w:hyperlink>
      <w:r w:rsidRPr="00BA1B56">
        <w:rPr>
          <w:rStyle w:val="TextoNormalCaracter"/>
        </w:rPr>
        <w:t xml:space="preserve">, f. único; </w:t>
      </w:r>
      <w:hyperlink w:anchor="AUTO_2012_88" w:history="1">
        <w:r w:rsidRPr="00BA1B56">
          <w:rPr>
            <w:rStyle w:val="TextoNormalCaracter"/>
          </w:rPr>
          <w:t>88/2012</w:t>
        </w:r>
      </w:hyperlink>
      <w:r w:rsidRPr="00BA1B56">
        <w:rPr>
          <w:rStyle w:val="TextoNormalCaracter"/>
        </w:rPr>
        <w:t xml:space="preserve">, f. único; </w:t>
      </w:r>
      <w:hyperlink w:anchor="AUTO_2012_89" w:history="1">
        <w:r w:rsidRPr="00BA1B56">
          <w:rPr>
            <w:rStyle w:val="TextoNormalCaracter"/>
          </w:rPr>
          <w:t>89/2012</w:t>
        </w:r>
      </w:hyperlink>
      <w:r w:rsidRPr="00BA1B56">
        <w:rPr>
          <w:rStyle w:val="TextoNormalCaracter"/>
        </w:rPr>
        <w:t xml:space="preserve">, f. único; </w:t>
      </w:r>
      <w:hyperlink w:anchor="AUTO_2012_90" w:history="1">
        <w:r w:rsidRPr="00BA1B56">
          <w:rPr>
            <w:rStyle w:val="TextoNormalCaracter"/>
          </w:rPr>
          <w:t>90/2012</w:t>
        </w:r>
      </w:hyperlink>
      <w:r w:rsidRPr="00BA1B56">
        <w:rPr>
          <w:rStyle w:val="TextoNormalCaracter"/>
        </w:rPr>
        <w:t xml:space="preserve">, f. único; </w:t>
      </w:r>
      <w:hyperlink w:anchor="AUTO_2012_91" w:history="1">
        <w:r w:rsidRPr="00BA1B56">
          <w:rPr>
            <w:rStyle w:val="TextoNormalCaracter"/>
          </w:rPr>
          <w:t>91/2012</w:t>
        </w:r>
      </w:hyperlink>
      <w:r w:rsidRPr="00BA1B56">
        <w:rPr>
          <w:rStyle w:val="TextoNormalCaracter"/>
        </w:rPr>
        <w:t xml:space="preserve">, f. único; </w:t>
      </w:r>
      <w:hyperlink w:anchor="AUTO_2012_92" w:history="1">
        <w:r w:rsidRPr="00BA1B56">
          <w:rPr>
            <w:rStyle w:val="TextoNormalCaracter"/>
          </w:rPr>
          <w:t>92/2012</w:t>
        </w:r>
      </w:hyperlink>
      <w:r w:rsidRPr="00BA1B56">
        <w:rPr>
          <w:rStyle w:val="TextoNormalCaracter"/>
        </w:rPr>
        <w:t xml:space="preserve">, f. único; </w:t>
      </w:r>
      <w:hyperlink w:anchor="AUTO_2012_93" w:history="1">
        <w:r w:rsidRPr="00BA1B56">
          <w:rPr>
            <w:rStyle w:val="TextoNormalCaracter"/>
          </w:rPr>
          <w:t>93/2012</w:t>
        </w:r>
      </w:hyperlink>
      <w:r w:rsidRPr="00BA1B56">
        <w:rPr>
          <w:rStyle w:val="TextoNormalCaracter"/>
        </w:rPr>
        <w:t xml:space="preserve">, f. único; </w:t>
      </w:r>
      <w:hyperlink w:anchor="AUTO_2012_94" w:history="1">
        <w:r w:rsidRPr="00BA1B56">
          <w:rPr>
            <w:rStyle w:val="TextoNormalCaracter"/>
          </w:rPr>
          <w:t>94/2012</w:t>
        </w:r>
      </w:hyperlink>
      <w:r w:rsidRPr="00BA1B56">
        <w:rPr>
          <w:rStyle w:val="TextoNormalCaracter"/>
        </w:rPr>
        <w:t xml:space="preserve">, f. único; </w:t>
      </w:r>
      <w:hyperlink w:anchor="AUTO_2012_95" w:history="1">
        <w:r w:rsidRPr="00BA1B56">
          <w:rPr>
            <w:rStyle w:val="TextoNormalCaracter"/>
          </w:rPr>
          <w:t>95/2012</w:t>
        </w:r>
      </w:hyperlink>
      <w:r w:rsidRPr="00BA1B56">
        <w:rPr>
          <w:rStyle w:val="TextoNormalCaracter"/>
        </w:rPr>
        <w:t xml:space="preserve">, f. único; </w:t>
      </w:r>
      <w:hyperlink w:anchor="AUTO_2012_96" w:history="1">
        <w:r w:rsidRPr="00BA1B56">
          <w:rPr>
            <w:rStyle w:val="TextoNormalCaracter"/>
          </w:rPr>
          <w:t>96/2012</w:t>
        </w:r>
      </w:hyperlink>
      <w:r w:rsidRPr="00BA1B56">
        <w:rPr>
          <w:rStyle w:val="TextoNormalCaracter"/>
        </w:rPr>
        <w:t xml:space="preserve">, f. único; </w:t>
      </w:r>
      <w:hyperlink w:anchor="AUTO_2012_97" w:history="1">
        <w:r w:rsidRPr="00BA1B56">
          <w:rPr>
            <w:rStyle w:val="TextoNormalCaracter"/>
          </w:rPr>
          <w:t>97/2012</w:t>
        </w:r>
      </w:hyperlink>
      <w:r w:rsidRPr="00BA1B56">
        <w:rPr>
          <w:rStyle w:val="TextoNormalCaracter"/>
        </w:rPr>
        <w:t xml:space="preserve">, f. único; </w:t>
      </w:r>
      <w:hyperlink w:anchor="AUTO_2012_98" w:history="1">
        <w:r w:rsidRPr="00BA1B56">
          <w:rPr>
            <w:rStyle w:val="TextoNormalCaracter"/>
          </w:rPr>
          <w:t>98/2012</w:t>
        </w:r>
      </w:hyperlink>
      <w:r w:rsidRPr="00BA1B56">
        <w:rPr>
          <w:rStyle w:val="TextoNormalCaracter"/>
        </w:rPr>
        <w:t xml:space="preserve">, f. único; </w:t>
      </w:r>
      <w:hyperlink w:anchor="AUTO_2012_99" w:history="1">
        <w:r w:rsidRPr="00BA1B56">
          <w:rPr>
            <w:rStyle w:val="TextoNormalCaracter"/>
          </w:rPr>
          <w:t>99/2012</w:t>
        </w:r>
      </w:hyperlink>
      <w:r w:rsidRPr="00BA1B56">
        <w:rPr>
          <w:rStyle w:val="TextoNormalCaracter"/>
        </w:rPr>
        <w:t xml:space="preserve">, f. único; </w:t>
      </w:r>
      <w:hyperlink w:anchor="AUTO_2012_113" w:history="1">
        <w:r w:rsidRPr="00BA1B56">
          <w:rPr>
            <w:rStyle w:val="TextoNormalCaracter"/>
          </w:rPr>
          <w:t>113/2012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239" w:name="DESCRIPTORALFABETICO285"/>
      <w:r w:rsidRPr="00BA1B56">
        <w:rPr>
          <w:rStyle w:val="TextoNormalNegritaCaracter"/>
        </w:rPr>
        <w:t>Suspensión cautelar de sentencias civiles</w:t>
      </w:r>
      <w:bookmarkEnd w:id="2239"/>
      <w:r w:rsidRPr="00BA1B56">
        <w:rPr>
          <w:rStyle w:val="TextoNormalCaracter"/>
        </w:rPr>
        <w:t xml:space="preserve">, Autos </w:t>
      </w:r>
      <w:hyperlink w:anchor="AUTO_2012_53" w:history="1">
        <w:r w:rsidRPr="00BA1B56">
          <w:rPr>
            <w:rStyle w:val="TextoNormalCaracter"/>
          </w:rPr>
          <w:t>53/2012</w:t>
        </w:r>
      </w:hyperlink>
      <w:r w:rsidRPr="00BA1B56">
        <w:rPr>
          <w:rStyle w:val="TextoNormalCaracter"/>
        </w:rPr>
        <w:t xml:space="preserve">, ff. 1, 2; </w:t>
      </w:r>
      <w:hyperlink w:anchor="AUTO_2012_103" w:history="1">
        <w:r w:rsidRPr="00BA1B56">
          <w:rPr>
            <w:rStyle w:val="TextoNormalCaracter"/>
          </w:rPr>
          <w:t>103/2012</w:t>
        </w:r>
      </w:hyperlink>
      <w:r w:rsidRPr="00BA1B56">
        <w:rPr>
          <w:rStyle w:val="TextoNormalCaracter"/>
        </w:rPr>
        <w:t>, f. 1.</w:t>
      </w:r>
    </w:p>
    <w:p w:rsidR="00BA1B56" w:rsidRPr="00BA1B56" w:rsidRDefault="00BA1B56" w:rsidP="00BA1B56">
      <w:pPr>
        <w:pStyle w:val="TextoNormalSangraFrancesa"/>
        <w:rPr>
          <w:rStyle w:val="TextoNormalCaracter"/>
        </w:rPr>
      </w:pPr>
      <w:r w:rsidRPr="00BA1B56">
        <w:rPr>
          <w:rStyle w:val="TextoNormalCursivaCaracter"/>
        </w:rPr>
        <w:t xml:space="preserve">    No suspende, </w:t>
      </w:r>
      <w:r w:rsidRPr="00BA1B56">
        <w:rPr>
          <w:rStyle w:val="TextoNormalCaracter"/>
        </w:rPr>
        <w:t xml:space="preserve">Autos </w:t>
      </w:r>
      <w:hyperlink w:anchor="AUTO_2012_53" w:history="1">
        <w:r w:rsidRPr="00BA1B56">
          <w:rPr>
            <w:rStyle w:val="TextoNormalCaracter"/>
          </w:rPr>
          <w:t>53/2012</w:t>
        </w:r>
      </w:hyperlink>
      <w:r w:rsidRPr="00BA1B56">
        <w:rPr>
          <w:rStyle w:val="TextoNormalCaracter"/>
        </w:rPr>
        <w:t xml:space="preserve">, f. 2; </w:t>
      </w:r>
      <w:hyperlink w:anchor="AUTO_2012_55" w:history="1">
        <w:r w:rsidRPr="00BA1B56">
          <w:rPr>
            <w:rStyle w:val="TextoNormalCaracter"/>
          </w:rPr>
          <w:t>55/2012</w:t>
        </w:r>
      </w:hyperlink>
      <w:r w:rsidRPr="00BA1B56">
        <w:rPr>
          <w:rStyle w:val="TextoNormalCaracter"/>
        </w:rPr>
        <w:t xml:space="preserve">, f. 2; </w:t>
      </w:r>
      <w:hyperlink w:anchor="AUTO_2012_103" w:history="1">
        <w:r w:rsidRPr="00BA1B56">
          <w:rPr>
            <w:rStyle w:val="TextoNormalCaracter"/>
          </w:rPr>
          <w:t>103/2012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40" w:name="DESCRIPTORALFABETICO287"/>
      <w:r w:rsidRPr="00BA1B56">
        <w:rPr>
          <w:rStyle w:val="TextoNormalNegritaCaracter"/>
        </w:rPr>
        <w:t>Suspensión cautelar de sentencias contencioso-administrativas</w:t>
      </w:r>
      <w:bookmarkEnd w:id="2240"/>
      <w:r w:rsidRPr="00BA1B56">
        <w:rPr>
          <w:rStyle w:val="TextoNormalCaracter"/>
        </w:rPr>
        <w:t xml:space="preserve">, Autos </w:t>
      </w:r>
      <w:hyperlink w:anchor="AUTO_2012_81" w:history="1">
        <w:r w:rsidRPr="00BA1B56">
          <w:rPr>
            <w:rStyle w:val="TextoNormalCaracter"/>
          </w:rPr>
          <w:t>81/2012</w:t>
        </w:r>
      </w:hyperlink>
      <w:r w:rsidRPr="00BA1B56">
        <w:rPr>
          <w:rStyle w:val="TextoNormalCaracter"/>
        </w:rPr>
        <w:t xml:space="preserve">, f. 4; </w:t>
      </w:r>
      <w:hyperlink w:anchor="AUTO_2012_124" w:history="1">
        <w:r w:rsidRPr="00BA1B56">
          <w:rPr>
            <w:rStyle w:val="TextoNormalCaracter"/>
          </w:rPr>
          <w:t>124/2012</w:t>
        </w:r>
      </w:hyperlink>
      <w:r w:rsidRPr="00BA1B56">
        <w:rPr>
          <w:rStyle w:val="TextoNormalCaracter"/>
        </w:rPr>
        <w:t>, f. 1.</w:t>
      </w:r>
    </w:p>
    <w:p w:rsidR="00BA1B56" w:rsidRPr="00BA1B56" w:rsidRDefault="00BA1B56" w:rsidP="00BA1B56">
      <w:pPr>
        <w:pStyle w:val="TextoNormalSangraFrancesa"/>
        <w:rPr>
          <w:rStyle w:val="TextoNormalCaracter"/>
        </w:rPr>
      </w:pPr>
      <w:r w:rsidRPr="00BA1B56">
        <w:rPr>
          <w:rStyle w:val="TextoNormalCursivaCaracter"/>
        </w:rPr>
        <w:t xml:space="preserve">    No suspende, </w:t>
      </w:r>
      <w:r w:rsidRPr="00BA1B56">
        <w:rPr>
          <w:rStyle w:val="TextoNormalCaracter"/>
        </w:rPr>
        <w:t xml:space="preserve">Auto </w:t>
      </w:r>
      <w:hyperlink w:anchor="AUTO_2012_124" w:history="1">
        <w:r w:rsidRPr="00BA1B56">
          <w:rPr>
            <w:rStyle w:val="TextoNormalCaracter"/>
          </w:rPr>
          <w:t>124/2012</w:t>
        </w:r>
      </w:hyperlink>
      <w:r w:rsidRPr="00BA1B56">
        <w:rPr>
          <w:rStyle w:val="TextoNormalCaracter"/>
        </w:rPr>
        <w:t>, f. 2.</w:t>
      </w:r>
    </w:p>
    <w:p w:rsidR="00BA1B56" w:rsidRPr="00BA1B56" w:rsidRDefault="00BA1B56" w:rsidP="00BA1B56">
      <w:pPr>
        <w:pStyle w:val="TextoNormalSangraFrancesa"/>
        <w:rPr>
          <w:rStyle w:val="TextoNormalCaracter"/>
        </w:rPr>
      </w:pPr>
      <w:r w:rsidRPr="00BA1B56">
        <w:rPr>
          <w:rStyle w:val="TextoNormalCursivaCaracter"/>
        </w:rPr>
        <w:t xml:space="preserve">    Suspende, </w:t>
      </w:r>
      <w:r w:rsidRPr="00BA1B56">
        <w:rPr>
          <w:rStyle w:val="TextoNormalCaracter"/>
        </w:rPr>
        <w:t xml:space="preserve">Autos </w:t>
      </w:r>
      <w:hyperlink w:anchor="AUTO_2012_19" w:history="1">
        <w:r w:rsidRPr="00BA1B56">
          <w:rPr>
            <w:rStyle w:val="TextoNormalCaracter"/>
          </w:rPr>
          <w:t>19/2012</w:t>
        </w:r>
      </w:hyperlink>
      <w:r w:rsidRPr="00BA1B56">
        <w:rPr>
          <w:rStyle w:val="TextoNormalCaracter"/>
        </w:rPr>
        <w:t xml:space="preserve">, f. 2; </w:t>
      </w:r>
      <w:hyperlink w:anchor="AUTO_2012_104" w:history="1">
        <w:r w:rsidRPr="00BA1B56">
          <w:rPr>
            <w:rStyle w:val="TextoNormalCaracter"/>
          </w:rPr>
          <w:t>104/2012</w:t>
        </w:r>
      </w:hyperlink>
      <w:r w:rsidRPr="00BA1B56">
        <w:rPr>
          <w:rStyle w:val="TextoNormalCaracter"/>
        </w:rPr>
        <w:t>, ff. 2, 3.</w:t>
      </w:r>
    </w:p>
    <w:p w:rsidR="00BA1B56" w:rsidRPr="00BA1B56" w:rsidRDefault="00BA1B56" w:rsidP="00BA1B56">
      <w:pPr>
        <w:pStyle w:val="TextoNormalSangraFrancesa"/>
        <w:rPr>
          <w:rStyle w:val="TextoNormalCaracter"/>
        </w:rPr>
      </w:pPr>
      <w:bookmarkStart w:id="2241" w:name="DESCRIPTORALFABETICO289"/>
      <w:r w:rsidRPr="00BA1B56">
        <w:rPr>
          <w:rStyle w:val="TextoNormalNegritaCaracter"/>
        </w:rPr>
        <w:t>Suspensión cautelar de sentencias penales</w:t>
      </w:r>
      <w:bookmarkEnd w:id="2241"/>
      <w:r w:rsidRPr="00BA1B56">
        <w:rPr>
          <w:rStyle w:val="TextoNormalCaracter"/>
        </w:rPr>
        <w:t xml:space="preserve">, Autos </w:t>
      </w:r>
      <w:hyperlink w:anchor="AUTO_2012_12" w:history="1">
        <w:r w:rsidRPr="00BA1B56">
          <w:rPr>
            <w:rStyle w:val="TextoNormalCaracter"/>
          </w:rPr>
          <w:t>12/2012</w:t>
        </w:r>
      </w:hyperlink>
      <w:r w:rsidRPr="00BA1B56">
        <w:rPr>
          <w:rStyle w:val="TextoNormalCaracter"/>
        </w:rPr>
        <w:t xml:space="preserve">, ff. 1, 2; </w:t>
      </w:r>
      <w:hyperlink w:anchor="AUTO_2012_44" w:history="1">
        <w:r w:rsidRPr="00BA1B56">
          <w:rPr>
            <w:rStyle w:val="TextoNormalCaracter"/>
          </w:rPr>
          <w:t>44/2012</w:t>
        </w:r>
      </w:hyperlink>
      <w:r w:rsidRPr="00BA1B56">
        <w:rPr>
          <w:rStyle w:val="TextoNormalCaracter"/>
        </w:rPr>
        <w:t xml:space="preserve">, f. 3; </w:t>
      </w:r>
      <w:hyperlink w:anchor="AUTO_2012_77" w:history="1">
        <w:r w:rsidRPr="00BA1B56">
          <w:rPr>
            <w:rStyle w:val="TextoNormalCaracter"/>
          </w:rPr>
          <w:t>77/2012</w:t>
        </w:r>
      </w:hyperlink>
      <w:r w:rsidRPr="00BA1B56">
        <w:rPr>
          <w:rStyle w:val="TextoNormalCaracter"/>
        </w:rPr>
        <w:t xml:space="preserve">, f. único; </w:t>
      </w:r>
      <w:hyperlink w:anchor="AUTO_2012_101" w:history="1">
        <w:r w:rsidRPr="00BA1B56">
          <w:rPr>
            <w:rStyle w:val="TextoNormalCaracter"/>
          </w:rPr>
          <w:t>101/2012</w:t>
        </w:r>
      </w:hyperlink>
      <w:r w:rsidRPr="00BA1B56">
        <w:rPr>
          <w:rStyle w:val="TextoNormalCaracter"/>
        </w:rPr>
        <w:t xml:space="preserve">, ff. 1, 2; </w:t>
      </w:r>
      <w:hyperlink w:anchor="AUTO_2012_102" w:history="1">
        <w:r w:rsidRPr="00BA1B56">
          <w:rPr>
            <w:rStyle w:val="TextoNormalCaracter"/>
          </w:rPr>
          <w:t>102/2012</w:t>
        </w:r>
      </w:hyperlink>
      <w:r w:rsidRPr="00BA1B56">
        <w:rPr>
          <w:rStyle w:val="TextoNormalCaracter"/>
        </w:rPr>
        <w:t>, ff. 2, 3.</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Autos </w:t>
      </w:r>
      <w:hyperlink w:anchor="AUTO_2012_44" w:history="1">
        <w:r w:rsidRPr="00BA1B56">
          <w:rPr>
            <w:rStyle w:val="TextoNormalCaracter"/>
          </w:rPr>
          <w:t>44/2012</w:t>
        </w:r>
      </w:hyperlink>
      <w:r w:rsidRPr="00BA1B56">
        <w:rPr>
          <w:rStyle w:val="TextoNormalCaracter"/>
        </w:rPr>
        <w:t xml:space="preserve">, ff. 1 a 3; </w:t>
      </w:r>
      <w:hyperlink w:anchor="AUTO_2012_76" w:history="1">
        <w:r w:rsidRPr="00BA1B56">
          <w:rPr>
            <w:rStyle w:val="TextoNormalCaracter"/>
          </w:rPr>
          <w:t>76/2012</w:t>
        </w:r>
      </w:hyperlink>
      <w:r w:rsidRPr="00BA1B56">
        <w:rPr>
          <w:rStyle w:val="TextoNormalCaracter"/>
        </w:rPr>
        <w:t xml:space="preserve">, f. 1; </w:t>
      </w:r>
      <w:hyperlink w:anchor="AUTO_2012_101" w:history="1">
        <w:r w:rsidRPr="00BA1B56">
          <w:rPr>
            <w:rStyle w:val="TextoNormalCaracter"/>
          </w:rPr>
          <w:t>101/2012</w:t>
        </w:r>
      </w:hyperlink>
      <w:r w:rsidRPr="00BA1B56">
        <w:rPr>
          <w:rStyle w:val="TextoNormalCaracter"/>
        </w:rPr>
        <w:t>, f. 1.</w:t>
      </w:r>
    </w:p>
    <w:p w:rsidR="00BA1B56" w:rsidRPr="00BA1B56" w:rsidRDefault="00BA1B56" w:rsidP="00BA1B56">
      <w:pPr>
        <w:pStyle w:val="TextoNormalSangraFrancesa"/>
        <w:rPr>
          <w:rStyle w:val="TextoNormalCaracter"/>
        </w:rPr>
      </w:pPr>
      <w:r w:rsidRPr="00BA1B56">
        <w:rPr>
          <w:rStyle w:val="TextoNormalCursivaCaracter"/>
        </w:rPr>
        <w:lastRenderedPageBreak/>
        <w:t xml:space="preserve">    No suspende, </w:t>
      </w:r>
      <w:r w:rsidRPr="00BA1B56">
        <w:rPr>
          <w:rStyle w:val="TextoNormalCaracter"/>
        </w:rPr>
        <w:t xml:space="preserve">Autos </w:t>
      </w:r>
      <w:hyperlink w:anchor="AUTO_2012_12" w:history="1">
        <w:r w:rsidRPr="00BA1B56">
          <w:rPr>
            <w:rStyle w:val="TextoNormalCaracter"/>
          </w:rPr>
          <w:t>12/2012</w:t>
        </w:r>
      </w:hyperlink>
      <w:r w:rsidRPr="00BA1B56">
        <w:rPr>
          <w:rStyle w:val="TextoNormalCaracter"/>
        </w:rPr>
        <w:t xml:space="preserve">, f. 4; </w:t>
      </w:r>
      <w:hyperlink w:anchor="AUTO_2012_16" w:history="1">
        <w:r w:rsidRPr="00BA1B56">
          <w:rPr>
            <w:rStyle w:val="TextoNormalCaracter"/>
          </w:rPr>
          <w:t>16/2012</w:t>
        </w:r>
      </w:hyperlink>
      <w:r w:rsidRPr="00BA1B56">
        <w:rPr>
          <w:rStyle w:val="TextoNormalCaracter"/>
        </w:rPr>
        <w:t xml:space="preserve">, ff. 1 a 3; </w:t>
      </w:r>
      <w:hyperlink w:anchor="AUTO_2012_44" w:history="1">
        <w:r w:rsidRPr="00BA1B56">
          <w:rPr>
            <w:rStyle w:val="TextoNormalCaracter"/>
          </w:rPr>
          <w:t>44/2012</w:t>
        </w:r>
      </w:hyperlink>
      <w:r w:rsidRPr="00BA1B56">
        <w:rPr>
          <w:rStyle w:val="TextoNormalCaracter"/>
        </w:rPr>
        <w:t xml:space="preserve">, f. 3; </w:t>
      </w:r>
      <w:hyperlink w:anchor="AUTO_2012_75" w:history="1">
        <w:r w:rsidRPr="00BA1B56">
          <w:rPr>
            <w:rStyle w:val="TextoNormalCaracter"/>
          </w:rPr>
          <w:t>75/2012</w:t>
        </w:r>
      </w:hyperlink>
      <w:r w:rsidRPr="00BA1B56">
        <w:rPr>
          <w:rStyle w:val="TextoNormalCaracter"/>
        </w:rPr>
        <w:t xml:space="preserve">, f. único; </w:t>
      </w:r>
      <w:hyperlink w:anchor="AUTO_2012_76" w:history="1">
        <w:r w:rsidRPr="00BA1B56">
          <w:rPr>
            <w:rStyle w:val="TextoNormalCaracter"/>
          </w:rPr>
          <w:t>76/2012</w:t>
        </w:r>
      </w:hyperlink>
      <w:r w:rsidRPr="00BA1B56">
        <w:rPr>
          <w:rStyle w:val="TextoNormalCaracter"/>
        </w:rPr>
        <w:t xml:space="preserve">, f. 2; </w:t>
      </w:r>
      <w:hyperlink w:anchor="AUTO_2012_101" w:history="1">
        <w:r w:rsidRPr="00BA1B56">
          <w:rPr>
            <w:rStyle w:val="TextoNormalCaracter"/>
          </w:rPr>
          <w:t>101/2012</w:t>
        </w:r>
      </w:hyperlink>
      <w:r w:rsidRPr="00BA1B56">
        <w:rPr>
          <w:rStyle w:val="TextoNormalCaracter"/>
        </w:rPr>
        <w:t xml:space="preserve">, f. 2; </w:t>
      </w:r>
      <w:hyperlink w:anchor="AUTO_2012_102" w:history="1">
        <w:r w:rsidRPr="00BA1B56">
          <w:rPr>
            <w:rStyle w:val="TextoNormalCaracter"/>
          </w:rPr>
          <w:t>102/2012</w:t>
        </w:r>
      </w:hyperlink>
      <w:r w:rsidRPr="00BA1B56">
        <w:rPr>
          <w:rStyle w:val="TextoNormalCaracter"/>
        </w:rPr>
        <w:t>, ff. 3, 4.</w:t>
      </w:r>
    </w:p>
    <w:p w:rsidR="00BA1B56" w:rsidRPr="00BA1B56" w:rsidRDefault="00BA1B56" w:rsidP="00BA1B56">
      <w:pPr>
        <w:pStyle w:val="TextoNormalSangraFrancesa"/>
        <w:rPr>
          <w:rStyle w:val="TextoNormalCaracter"/>
        </w:rPr>
      </w:pPr>
      <w:r w:rsidRPr="00BA1B56">
        <w:rPr>
          <w:rStyle w:val="TextoNormalCursivaCaracter"/>
        </w:rPr>
        <w:t xml:space="preserve">    Suspende, </w:t>
      </w:r>
      <w:r w:rsidRPr="00BA1B56">
        <w:rPr>
          <w:rStyle w:val="TextoNormalCaracter"/>
        </w:rPr>
        <w:t xml:space="preserve">Autos </w:t>
      </w:r>
      <w:hyperlink w:anchor="AUTO_2012_58" w:history="1">
        <w:r w:rsidRPr="00BA1B56">
          <w:rPr>
            <w:rStyle w:val="TextoNormalCaracter"/>
          </w:rPr>
          <w:t>58/2012</w:t>
        </w:r>
      </w:hyperlink>
      <w:r w:rsidRPr="00BA1B56">
        <w:rPr>
          <w:rStyle w:val="TextoNormalCaracter"/>
        </w:rPr>
        <w:t xml:space="preserve">, f. 2; </w:t>
      </w:r>
      <w:hyperlink w:anchor="AUTO_2012_76" w:history="1">
        <w:r w:rsidRPr="00BA1B56">
          <w:rPr>
            <w:rStyle w:val="TextoNormalCaracter"/>
          </w:rPr>
          <w:t>76/2012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42" w:name="DESCRIPTORALFABETICO291"/>
      <w:r w:rsidRPr="00BA1B56">
        <w:rPr>
          <w:rStyle w:val="TextoNormalNegritaCaracter"/>
        </w:rPr>
        <w:t>Suspensión cautelar urgente</w:t>
      </w:r>
      <w:bookmarkEnd w:id="2242"/>
      <w:r w:rsidRPr="00BA1B56">
        <w:rPr>
          <w:rStyle w:val="TextoNormalCaracter"/>
        </w:rPr>
        <w:t xml:space="preserve">, Auto </w:t>
      </w:r>
      <w:hyperlink w:anchor="AUTO_2012_115" w:history="1">
        <w:r w:rsidRPr="00BA1B56">
          <w:rPr>
            <w:rStyle w:val="TextoNormalCaracter"/>
          </w:rPr>
          <w:t>115/2012</w:t>
        </w:r>
      </w:hyperlink>
      <w:r w:rsidRPr="00BA1B56">
        <w:rPr>
          <w:rStyle w:val="TextoNormalCaracter"/>
        </w:rPr>
        <w:t>, f. 1.</w:t>
      </w:r>
    </w:p>
    <w:p w:rsidR="00BA1B56" w:rsidRPr="00BA1B56" w:rsidRDefault="00BA1B56" w:rsidP="00BA1B56">
      <w:pPr>
        <w:pStyle w:val="TextoNormalSangraFrancesa"/>
        <w:rPr>
          <w:rStyle w:val="TextoNormalNegritaCaracter"/>
        </w:rPr>
      </w:pPr>
      <w:r w:rsidRPr="00BA1B56">
        <w:rPr>
          <w:rStyle w:val="TextoNormalCursivaCaracter"/>
        </w:rPr>
        <w:t>Suspensión condicional de la pena</w:t>
      </w:r>
      <w:r>
        <w:t xml:space="preserve"> véase </w:t>
      </w:r>
      <w:hyperlink w:anchor="DESCRIPTORALFABETICO748" w:history="1">
        <w:r w:rsidRPr="00BA1B56">
          <w:rPr>
            <w:rStyle w:val="TextoNormalNegritaCaracter"/>
          </w:rPr>
          <w:t>Suspensión de la ejecución de la pena</w:t>
        </w:r>
      </w:hyperlink>
    </w:p>
    <w:p w:rsidR="00BA1B56" w:rsidRPr="00BA1B56" w:rsidRDefault="00BA1B56" w:rsidP="00BA1B56">
      <w:pPr>
        <w:pStyle w:val="TextoNormalSangraFrancesa"/>
        <w:rPr>
          <w:rStyle w:val="TextoNormalCaracter"/>
        </w:rPr>
      </w:pPr>
      <w:bookmarkStart w:id="2243" w:name="DESCRIPTORALFABETICO882"/>
      <w:r w:rsidRPr="00BA1B56">
        <w:rPr>
          <w:rStyle w:val="TextoNormalNegritaCaracter"/>
        </w:rPr>
        <w:t>Suspensión de la condena en costas procesales</w:t>
      </w:r>
      <w:bookmarkEnd w:id="2243"/>
      <w:r w:rsidRPr="00BA1B56">
        <w:rPr>
          <w:rStyle w:val="TextoNormalCaracter"/>
        </w:rPr>
        <w:t xml:space="preserve">, Auto </w:t>
      </w:r>
      <w:hyperlink w:anchor="AUTO_2012_64" w:history="1">
        <w:r w:rsidRPr="00BA1B56">
          <w:rPr>
            <w:rStyle w:val="TextoNormalCaracter"/>
          </w:rPr>
          <w:t>64/2012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244" w:name="DESCRIPTORALFABETICO748"/>
      <w:r w:rsidRPr="00BA1B56">
        <w:rPr>
          <w:rStyle w:val="TextoNormalNegritaCaracter"/>
        </w:rPr>
        <w:t>Suspensión de la ejecución de la pena</w:t>
      </w:r>
      <w:bookmarkEnd w:id="2244"/>
      <w:r w:rsidRPr="00BA1B56">
        <w:rPr>
          <w:rStyle w:val="TextoNormalCaracter"/>
        </w:rPr>
        <w:t xml:space="preserve">, Autos </w:t>
      </w:r>
      <w:hyperlink w:anchor="AUTO_2012_12" w:history="1">
        <w:r w:rsidRPr="00BA1B56">
          <w:rPr>
            <w:rStyle w:val="TextoNormalCaracter"/>
          </w:rPr>
          <w:t>12/2012</w:t>
        </w:r>
      </w:hyperlink>
      <w:r w:rsidRPr="00BA1B56">
        <w:rPr>
          <w:rStyle w:val="TextoNormalCaracter"/>
        </w:rPr>
        <w:t xml:space="preserve">, ff. 1 a 3; </w:t>
      </w:r>
      <w:hyperlink w:anchor="AUTO_2012_58" w:history="1">
        <w:r w:rsidRPr="00BA1B56">
          <w:rPr>
            <w:rStyle w:val="TextoNormalCaracter"/>
          </w:rPr>
          <w:t>58/2012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45" w:name="DESCRIPTORALFABETICO276"/>
      <w:r w:rsidRPr="00BA1B56">
        <w:rPr>
          <w:rStyle w:val="TextoNormalNegritaCaracter"/>
        </w:rPr>
        <w:t>Suspensión de la ejecución del acto que origina el amparo</w:t>
      </w:r>
      <w:bookmarkEnd w:id="2245"/>
      <w:r w:rsidRPr="00BA1B56">
        <w:rPr>
          <w:rStyle w:val="TextoNormalCaracter"/>
        </w:rPr>
        <w:t xml:space="preserve">, </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Autos </w:t>
      </w:r>
      <w:hyperlink w:anchor="AUTO_2012_56" w:history="1">
        <w:r w:rsidRPr="00BA1B56">
          <w:rPr>
            <w:rStyle w:val="TextoNormalCaracter"/>
          </w:rPr>
          <w:t>56/2012</w:t>
        </w:r>
      </w:hyperlink>
      <w:r w:rsidRPr="00BA1B56">
        <w:rPr>
          <w:rStyle w:val="TextoNormalCaracter"/>
        </w:rPr>
        <w:t xml:space="preserve">, ff. 1 a 3; </w:t>
      </w:r>
      <w:hyperlink w:anchor="AUTO_2012_66" w:history="1">
        <w:r w:rsidRPr="00BA1B56">
          <w:rPr>
            <w:rStyle w:val="TextoNormalCaracter"/>
          </w:rPr>
          <w:t>66/2012</w:t>
        </w:r>
      </w:hyperlink>
      <w:r w:rsidRPr="00BA1B56">
        <w:rPr>
          <w:rStyle w:val="TextoNormalCaracter"/>
        </w:rPr>
        <w:t xml:space="preserve">, f. 1; </w:t>
      </w:r>
      <w:hyperlink w:anchor="AUTO_2012_81" w:history="1">
        <w:r w:rsidRPr="00BA1B56">
          <w:rPr>
            <w:rStyle w:val="TextoNormalCaracter"/>
          </w:rPr>
          <w:t>81/2012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2246" w:name="DESCRIPTORALFABETICO948"/>
      <w:r w:rsidRPr="00BA1B56">
        <w:rPr>
          <w:rStyle w:val="TextoNormalNegritaCaracter"/>
        </w:rPr>
        <w:t>Suspensión de la ejecución hipotecaria</w:t>
      </w:r>
      <w:bookmarkEnd w:id="2246"/>
      <w:r w:rsidRPr="00BA1B56">
        <w:rPr>
          <w:rStyle w:val="TextoNormalCaracter"/>
        </w:rPr>
        <w:t xml:space="preserve">, Auto </w:t>
      </w:r>
      <w:hyperlink w:anchor="AUTO_2012_64" w:history="1">
        <w:r w:rsidRPr="00BA1B56">
          <w:rPr>
            <w:rStyle w:val="TextoNormalCaracter"/>
          </w:rPr>
          <w:t>64/2012</w:t>
        </w:r>
      </w:hyperlink>
      <w:r w:rsidRPr="00BA1B56">
        <w:rPr>
          <w:rStyle w:val="TextoNormalCaracter"/>
        </w:rPr>
        <w:t>, f. 3.</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T</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2247" w:name="DESCRIPTORALFABETICO99"/>
      <w:r w:rsidRPr="00BA1B56">
        <w:rPr>
          <w:rStyle w:val="TextoNormalNegritaCaracter"/>
        </w:rPr>
        <w:t>Tarifa especial del arbitrio insular a la entrada de mercancías</w:t>
      </w:r>
      <w:bookmarkEnd w:id="2247"/>
      <w:r w:rsidRPr="00BA1B56">
        <w:rPr>
          <w:rStyle w:val="TextoNormalCaracter"/>
        </w:rPr>
        <w:t xml:space="preserve">, Sentencia </w:t>
      </w:r>
      <w:hyperlink w:anchor="SENTENCIA_2012_100" w:history="1">
        <w:r w:rsidRPr="00BA1B56">
          <w:rPr>
            <w:rStyle w:val="TextoNormalCaracter"/>
          </w:rPr>
          <w:t>100/2012</w:t>
        </w:r>
      </w:hyperlink>
      <w:r w:rsidRPr="00BA1B56">
        <w:rPr>
          <w:rStyle w:val="TextoNormalCaracter"/>
        </w:rPr>
        <w:t>, ff. 3 a 10.</w:t>
      </w:r>
    </w:p>
    <w:p w:rsidR="00BA1B56" w:rsidRPr="00BA1B56" w:rsidRDefault="00BA1B56" w:rsidP="00BA1B56">
      <w:pPr>
        <w:pStyle w:val="TextoNormalSangraFrancesa"/>
        <w:rPr>
          <w:rStyle w:val="TextoNormalCaracter"/>
        </w:rPr>
      </w:pPr>
      <w:bookmarkStart w:id="2248" w:name="DESCRIPTORALFABETICO118"/>
      <w:r w:rsidRPr="00BA1B56">
        <w:rPr>
          <w:rStyle w:val="TextoNormalNegritaCaracter"/>
        </w:rPr>
        <w:t>Tasa por aprovechamiento del dominio público hidráulico</w:t>
      </w:r>
      <w:bookmarkEnd w:id="2248"/>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2249" w:name="DESCRIPTORALFABETICO121"/>
      <w:r w:rsidRPr="00BA1B56">
        <w:rPr>
          <w:rStyle w:val="TextoNormalNegritaCaracter"/>
        </w:rPr>
        <w:t>Tasa sobre rifas</w:t>
      </w:r>
      <w:bookmarkEnd w:id="2249"/>
      <w:r w:rsidRPr="00BA1B56">
        <w:rPr>
          <w:rStyle w:val="TextoNormalCaracter"/>
        </w:rPr>
        <w:t xml:space="preserve">, Sentencia </w:t>
      </w:r>
      <w:hyperlink w:anchor="SENTENCIA_2012_35" w:history="1">
        <w:r w:rsidRPr="00BA1B56">
          <w:rPr>
            <w:rStyle w:val="TextoNormalCaracter"/>
          </w:rPr>
          <w:t>35/2012</w:t>
        </w:r>
      </w:hyperlink>
      <w:r w:rsidRPr="00BA1B56">
        <w:rPr>
          <w:rStyle w:val="TextoNormalCaracter"/>
        </w:rPr>
        <w:t>, ff. 6 a 9.</w:t>
      </w:r>
    </w:p>
    <w:p w:rsidR="00BA1B56" w:rsidRPr="00BA1B56" w:rsidRDefault="00BA1B56" w:rsidP="00BA1B56">
      <w:pPr>
        <w:pStyle w:val="TextoNormalSangraFrancesa"/>
        <w:rPr>
          <w:rStyle w:val="TextoNormalCaracter"/>
        </w:rPr>
      </w:pPr>
      <w:bookmarkStart w:id="2250" w:name="DESCRIPTORALFABETICO116"/>
      <w:r w:rsidRPr="00BA1B56">
        <w:rPr>
          <w:rStyle w:val="TextoNormalNegritaCaracter"/>
        </w:rPr>
        <w:t>Tasas</w:t>
      </w:r>
      <w:bookmarkEnd w:id="2250"/>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ff. 7, 8.</w:t>
      </w:r>
    </w:p>
    <w:p w:rsidR="00BA1B56" w:rsidRPr="00BA1B56" w:rsidRDefault="00BA1B56" w:rsidP="00BA1B56">
      <w:pPr>
        <w:pStyle w:val="TextoNormalSangraFrancesa"/>
        <w:rPr>
          <w:rStyle w:val="TextoNormalCaracter"/>
        </w:rPr>
      </w:pPr>
      <w:r w:rsidRPr="00BA1B56">
        <w:rPr>
          <w:rStyle w:val="TextoNormalCursivaCaracter"/>
        </w:rPr>
        <w:t xml:space="preserve">    Naturaleza, </w:t>
      </w:r>
      <w:r w:rsidRPr="00BA1B56">
        <w:rPr>
          <w:rStyle w:val="TextoNormalCaracter"/>
        </w:rPr>
        <w:t xml:space="preserve">Sentencias </w:t>
      </w:r>
      <w:hyperlink w:anchor="SENTENCIA_2012_35" w:history="1">
        <w:r w:rsidRPr="00BA1B56">
          <w:rPr>
            <w:rStyle w:val="TextoNormalCaracter"/>
          </w:rPr>
          <w:t>35/2012</w:t>
        </w:r>
      </w:hyperlink>
      <w:r w:rsidRPr="00BA1B56">
        <w:rPr>
          <w:rStyle w:val="TextoNormalCaracter"/>
        </w:rPr>
        <w:t xml:space="preserve">, f. 6;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2251" w:name="DESCRIPTORALFABETICO940"/>
      <w:r w:rsidRPr="00BA1B56">
        <w:rPr>
          <w:rStyle w:val="TextoNormalNegritaCaracter"/>
        </w:rPr>
        <w:t>Tasas judiciales</w:t>
      </w:r>
      <w:bookmarkEnd w:id="2251"/>
      <w:r w:rsidRPr="00BA1B56">
        <w:rPr>
          <w:rStyle w:val="TextoNormalCaracter"/>
        </w:rPr>
        <w:t xml:space="preserve">, Sentencias </w:t>
      </w:r>
      <w:hyperlink w:anchor="SENTENCIA_2012_20" w:history="1">
        <w:r w:rsidRPr="00BA1B56">
          <w:rPr>
            <w:rStyle w:val="TextoNormalCaracter"/>
          </w:rPr>
          <w:t>20/2012</w:t>
        </w:r>
      </w:hyperlink>
      <w:r w:rsidRPr="00BA1B56">
        <w:rPr>
          <w:rStyle w:val="TextoNormalCaracter"/>
        </w:rPr>
        <w:t xml:space="preserve">, ff. 1 a 12; </w:t>
      </w:r>
      <w:hyperlink w:anchor="SENTENCIA_2012_79" w:history="1">
        <w:r w:rsidRPr="00BA1B56">
          <w:rPr>
            <w:rStyle w:val="TextoNormalCaracter"/>
          </w:rPr>
          <w:t>79/2012</w:t>
        </w:r>
      </w:hyperlink>
      <w:r w:rsidRPr="00BA1B56">
        <w:rPr>
          <w:rStyle w:val="TextoNormalCaracter"/>
        </w:rPr>
        <w:t xml:space="preserve">, ff. 3, 5; </w:t>
      </w:r>
      <w:hyperlink w:anchor="SENTENCIA_2012_85" w:history="1">
        <w:r w:rsidRPr="00BA1B56">
          <w:rPr>
            <w:rStyle w:val="TextoNormalCaracter"/>
          </w:rPr>
          <w:t>85/2012</w:t>
        </w:r>
      </w:hyperlink>
      <w:r w:rsidRPr="00BA1B56">
        <w:rPr>
          <w:rStyle w:val="TextoNormalCaracter"/>
        </w:rPr>
        <w:t xml:space="preserve">, f. 3; </w:t>
      </w:r>
      <w:hyperlink w:anchor="SENTENCIA_2012_103" w:history="1">
        <w:r w:rsidRPr="00BA1B56">
          <w:rPr>
            <w:rStyle w:val="TextoNormalCaracter"/>
          </w:rPr>
          <w:t>103/2012</w:t>
        </w:r>
      </w:hyperlink>
      <w:r w:rsidRPr="00BA1B56">
        <w:rPr>
          <w:rStyle w:val="TextoNormalCaracter"/>
        </w:rPr>
        <w:t xml:space="preserve">, ff. 3 a 5; </w:t>
      </w:r>
      <w:hyperlink w:anchor="SENTENCIA_2012_104" w:history="1">
        <w:r w:rsidRPr="00BA1B56">
          <w:rPr>
            <w:rStyle w:val="TextoNormalCaracter"/>
          </w:rPr>
          <w:t>104/2012</w:t>
        </w:r>
      </w:hyperlink>
      <w:r w:rsidRPr="00BA1B56">
        <w:rPr>
          <w:rStyle w:val="TextoNormalCaracter"/>
        </w:rPr>
        <w:t xml:space="preserve">, ff. 2, 3; </w:t>
      </w:r>
      <w:hyperlink w:anchor="SENTENCIA_2012_115" w:history="1">
        <w:r w:rsidRPr="00BA1B56">
          <w:rPr>
            <w:rStyle w:val="TextoNormalCaracter"/>
          </w:rPr>
          <w:t>115/2012</w:t>
        </w:r>
      </w:hyperlink>
      <w:r w:rsidRPr="00BA1B56">
        <w:rPr>
          <w:rStyle w:val="TextoNormalCaracter"/>
        </w:rPr>
        <w:t xml:space="preserve">, f. 3; </w:t>
      </w:r>
      <w:hyperlink w:anchor="SENTENCIA_2012_116" w:history="1">
        <w:r w:rsidRPr="00BA1B56">
          <w:rPr>
            <w:rStyle w:val="TextoNormalCaracter"/>
          </w:rPr>
          <w:t>116/2012</w:t>
        </w:r>
      </w:hyperlink>
      <w:r w:rsidRPr="00BA1B56">
        <w:rPr>
          <w:rStyle w:val="TextoNormalCaracter"/>
        </w:rPr>
        <w:t xml:space="preserve">, f. 5; </w:t>
      </w:r>
      <w:hyperlink w:anchor="SENTENCIA_2012_125" w:history="1">
        <w:r w:rsidRPr="00BA1B56">
          <w:rPr>
            <w:rStyle w:val="TextoNormalCaracter"/>
          </w:rPr>
          <w:t>125/2012</w:t>
        </w:r>
      </w:hyperlink>
      <w:r w:rsidRPr="00BA1B56">
        <w:rPr>
          <w:rStyle w:val="TextoNormalCaracter"/>
        </w:rPr>
        <w:t>, ff. 1 a 8.</w:t>
      </w:r>
    </w:p>
    <w:p w:rsidR="00BA1B56" w:rsidRPr="00BA1B56" w:rsidRDefault="00BA1B56" w:rsidP="00BA1B56">
      <w:pPr>
        <w:pStyle w:val="TextoNormalSangraFrancesa"/>
        <w:rPr>
          <w:rStyle w:val="TextoNormalCaracter"/>
        </w:rPr>
      </w:pPr>
      <w:bookmarkStart w:id="2252" w:name="DESCRIPTORALFABETICO119"/>
      <w:r w:rsidRPr="00BA1B56">
        <w:rPr>
          <w:rStyle w:val="TextoNormalNegritaCaracter"/>
        </w:rPr>
        <w:t>Tasas sanitarias</w:t>
      </w:r>
      <w:bookmarkEnd w:id="2252"/>
      <w:r w:rsidRPr="00BA1B56">
        <w:rPr>
          <w:rStyle w:val="TextoNormalCaracter"/>
        </w:rPr>
        <w:t xml:space="preserve">, Sentencia </w:t>
      </w:r>
      <w:hyperlink w:anchor="SENTENCIA_2012_136" w:history="1">
        <w:r w:rsidRPr="00BA1B56">
          <w:rPr>
            <w:rStyle w:val="TextoNormalCaracter"/>
          </w:rPr>
          <w:t>136/2012</w:t>
        </w:r>
      </w:hyperlink>
      <w:r w:rsidRPr="00BA1B56">
        <w:rPr>
          <w:rStyle w:val="TextoNormalCaracter"/>
        </w:rPr>
        <w:t>, ff. 1 a 8.</w:t>
      </w:r>
    </w:p>
    <w:p w:rsidR="00BA1B56" w:rsidRPr="00BA1B56" w:rsidRDefault="00BA1B56" w:rsidP="00BA1B56">
      <w:pPr>
        <w:pStyle w:val="TextoNormalSangraFrancesa"/>
        <w:rPr>
          <w:rStyle w:val="TextoNormalNegritaCaracter"/>
        </w:rPr>
      </w:pPr>
      <w:r w:rsidRPr="00BA1B56">
        <w:rPr>
          <w:rStyle w:val="TextoNormalCursivaCaracter"/>
        </w:rPr>
        <w:t>Tasas sobre rifas, tómbolas, apuestas y combinaciones aleatorias</w:t>
      </w:r>
      <w:r>
        <w:t xml:space="preserve"> véase </w:t>
      </w:r>
      <w:hyperlink w:anchor="DESCRIPTORALFABETICO121" w:history="1">
        <w:r w:rsidRPr="00BA1B56">
          <w:rPr>
            <w:rStyle w:val="TextoNormalNegritaCaracter"/>
          </w:rPr>
          <w:t>Tasa sobre rifas</w:t>
        </w:r>
      </w:hyperlink>
    </w:p>
    <w:p w:rsidR="00BA1B56" w:rsidRPr="00BA1B56" w:rsidRDefault="00BA1B56" w:rsidP="00BA1B56">
      <w:pPr>
        <w:pStyle w:val="TextoNormalSangraFrancesa"/>
        <w:rPr>
          <w:rStyle w:val="TextoNormalCaracter"/>
        </w:rPr>
      </w:pPr>
      <w:bookmarkStart w:id="2253" w:name="DESCRIPTORALFABETICO574"/>
      <w:r w:rsidRPr="00BA1B56">
        <w:rPr>
          <w:rStyle w:val="TextoNormalNegritaCaracter"/>
        </w:rPr>
        <w:t>Teatro</w:t>
      </w:r>
      <w:bookmarkEnd w:id="2253"/>
      <w:r w:rsidRPr="00BA1B56">
        <w:rPr>
          <w:rStyle w:val="TextoNormalCaracter"/>
        </w:rPr>
        <w:t xml:space="preserve">, Sentencia </w:t>
      </w:r>
      <w:hyperlink w:anchor="SENTENCIA_2012_89" w:history="1">
        <w:r w:rsidRPr="00BA1B56">
          <w:rPr>
            <w:rStyle w:val="TextoNormalCaracter"/>
          </w:rPr>
          <w:t>89/2012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54" w:name="DESCRIPTORALFABETICO143"/>
      <w:r w:rsidRPr="00BA1B56">
        <w:rPr>
          <w:rStyle w:val="TextoNormalNegritaCaracter"/>
        </w:rPr>
        <w:t>Técnicas de ponderación estadística</w:t>
      </w:r>
      <w:bookmarkEnd w:id="2254"/>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15 a 20, VP.</w:t>
      </w:r>
    </w:p>
    <w:p w:rsidR="00BA1B56" w:rsidRPr="00BA1B56" w:rsidRDefault="00BA1B56" w:rsidP="00BA1B56">
      <w:pPr>
        <w:pStyle w:val="TextoNormalSangraFrancesa"/>
        <w:rPr>
          <w:rStyle w:val="TextoNormalCaracter"/>
        </w:rPr>
      </w:pPr>
      <w:bookmarkStart w:id="2255" w:name="DESCRIPTORALFABETICO825"/>
      <w:r w:rsidRPr="00BA1B56">
        <w:rPr>
          <w:rStyle w:val="TextoNormalNegritaCaracter"/>
        </w:rPr>
        <w:t>Telecomunicaciones</w:t>
      </w:r>
      <w:bookmarkEnd w:id="2255"/>
      <w:r w:rsidRPr="00BA1B56">
        <w:rPr>
          <w:rStyle w:val="TextoNormalCaracter"/>
        </w:rPr>
        <w:t xml:space="preserve">, Sentencia </w:t>
      </w:r>
      <w:hyperlink w:anchor="SENTENCIA_2012_8" w:history="1">
        <w:r w:rsidRPr="00BA1B56">
          <w:rPr>
            <w:rStyle w:val="TextoNormalCaracter"/>
          </w:rPr>
          <w:t>8/2012</w:t>
        </w:r>
      </w:hyperlink>
      <w:r w:rsidRPr="00BA1B56">
        <w:rPr>
          <w:rStyle w:val="TextoNormalCaracter"/>
        </w:rPr>
        <w:t>, f. 3.</w:t>
      </w:r>
    </w:p>
    <w:p w:rsidR="00BA1B56" w:rsidRPr="00BA1B56" w:rsidRDefault="00BA1B56" w:rsidP="00BA1B56">
      <w:pPr>
        <w:pStyle w:val="TextoNormalSangraFrancesa"/>
        <w:rPr>
          <w:rStyle w:val="TextoNormalCaracter"/>
        </w:rPr>
      </w:pPr>
      <w:bookmarkStart w:id="2256" w:name="DESCRIPTORALFABETICO667"/>
      <w:r w:rsidRPr="00BA1B56">
        <w:rPr>
          <w:rStyle w:val="TextoNormalNegritaCaracter"/>
        </w:rPr>
        <w:t>Televisión</w:t>
      </w:r>
      <w:bookmarkEnd w:id="2256"/>
      <w:r w:rsidRPr="00BA1B56">
        <w:rPr>
          <w:rStyle w:val="TextoNormalCaracter"/>
        </w:rPr>
        <w:t xml:space="preserve">, Sentencia </w:t>
      </w:r>
      <w:hyperlink w:anchor="SENTENCIA_2012_5" w:history="1">
        <w:r w:rsidRPr="00BA1B56">
          <w:rPr>
            <w:rStyle w:val="TextoNormalCaracter"/>
          </w:rPr>
          <w:t>5/2012</w:t>
        </w:r>
      </w:hyperlink>
      <w:r w:rsidRPr="00BA1B56">
        <w:rPr>
          <w:rStyle w:val="TextoNormalCaracter"/>
        </w:rPr>
        <w:t>, ff. 3, 4, 5, 6.</w:t>
      </w:r>
    </w:p>
    <w:p w:rsidR="00BA1B56" w:rsidRPr="00BA1B56" w:rsidRDefault="00BA1B56" w:rsidP="00BA1B56">
      <w:pPr>
        <w:pStyle w:val="TextoNormalSangraFrancesa"/>
        <w:rPr>
          <w:rStyle w:val="TextoNormalCaracter"/>
        </w:rPr>
      </w:pPr>
      <w:bookmarkStart w:id="2257" w:name="DESCRIPTORALFABETICO670"/>
      <w:r w:rsidRPr="00BA1B56">
        <w:rPr>
          <w:rStyle w:val="TextoNormalNegritaCaracter"/>
        </w:rPr>
        <w:t>Televisión local</w:t>
      </w:r>
      <w:bookmarkEnd w:id="2257"/>
      <w:r w:rsidRPr="00BA1B56">
        <w:rPr>
          <w:rStyle w:val="TextoNormalCaracter"/>
        </w:rPr>
        <w:t xml:space="preserve">, Sentencia </w:t>
      </w:r>
      <w:hyperlink w:anchor="SENTENCIA_2012_5" w:history="1">
        <w:r w:rsidRPr="00BA1B56">
          <w:rPr>
            <w:rStyle w:val="TextoNormalCaracter"/>
          </w:rPr>
          <w:t>5/2012</w:t>
        </w:r>
      </w:hyperlink>
      <w:r w:rsidRPr="00BA1B56">
        <w:rPr>
          <w:rStyle w:val="TextoNormalCaracter"/>
        </w:rPr>
        <w:t>, ff. 2 a 4, 6, 7.</w:t>
      </w:r>
    </w:p>
    <w:p w:rsidR="00BA1B56" w:rsidRPr="00BA1B56" w:rsidRDefault="00BA1B56" w:rsidP="00BA1B56">
      <w:pPr>
        <w:pStyle w:val="TextoNormalSangraFrancesa"/>
        <w:rPr>
          <w:rStyle w:val="TextoNormalCaracter"/>
        </w:rPr>
      </w:pPr>
      <w:bookmarkStart w:id="2258" w:name="DESCRIPTORALFABETICO250"/>
      <w:r w:rsidRPr="00BA1B56">
        <w:rPr>
          <w:rStyle w:val="TextoNormalNegritaCaracter"/>
        </w:rPr>
        <w:t>Teoría general de los derechos fundamentales</w:t>
      </w:r>
      <w:bookmarkEnd w:id="2258"/>
      <w:r w:rsidRPr="00BA1B56">
        <w:rPr>
          <w:rStyle w:val="TextoNormalCaracter"/>
        </w:rPr>
        <w:t xml:space="preserve">, Sentencias </w:t>
      </w:r>
      <w:hyperlink w:anchor="SENTENCIA_2012_92" w:history="1">
        <w:r w:rsidRPr="00BA1B56">
          <w:rPr>
            <w:rStyle w:val="TextoNormalCaracter"/>
          </w:rPr>
          <w:t>92/2012</w:t>
        </w:r>
      </w:hyperlink>
      <w:r w:rsidRPr="00BA1B56">
        <w:rPr>
          <w:rStyle w:val="TextoNormalCaracter"/>
        </w:rPr>
        <w:t xml:space="preserve">, f. 4; </w:t>
      </w:r>
      <w:hyperlink w:anchor="SENTENCIA_2012_105" w:history="1">
        <w:r w:rsidRPr="00BA1B56">
          <w:rPr>
            <w:rStyle w:val="TextoNormalCaracter"/>
          </w:rPr>
          <w:t>105/2012</w:t>
        </w:r>
      </w:hyperlink>
      <w:r w:rsidRPr="00BA1B56">
        <w:rPr>
          <w:rStyle w:val="TextoNormalCaracter"/>
        </w:rPr>
        <w:t>, f. 9.</w:t>
      </w:r>
    </w:p>
    <w:p w:rsidR="00BA1B56" w:rsidRPr="00BA1B56" w:rsidRDefault="00BA1B56" w:rsidP="00BA1B56">
      <w:pPr>
        <w:pStyle w:val="TextoNormalSangraFrancesa"/>
        <w:rPr>
          <w:rStyle w:val="TextoNormalCaracter"/>
        </w:rPr>
      </w:pPr>
      <w:bookmarkStart w:id="2259" w:name="DESCRIPTORALFABETICO926"/>
      <w:r w:rsidRPr="00BA1B56">
        <w:rPr>
          <w:rStyle w:val="TextoNormalNegritaCaracter"/>
        </w:rPr>
        <w:t>Término inicial</w:t>
      </w:r>
      <w:bookmarkEnd w:id="2259"/>
      <w:r w:rsidRPr="00BA1B56">
        <w:rPr>
          <w:rStyle w:val="TextoNormalCaracter"/>
        </w:rPr>
        <w:t xml:space="preserve">, Sentencia </w:t>
      </w:r>
      <w:hyperlink w:anchor="SENTENCIA_2012_25" w:history="1">
        <w:r w:rsidRPr="00BA1B56">
          <w:rPr>
            <w:rStyle w:val="TextoNormalCaracter"/>
          </w:rPr>
          <w:t>25/2012</w:t>
        </w:r>
      </w:hyperlink>
      <w:r w:rsidRPr="00BA1B56">
        <w:rPr>
          <w:rStyle w:val="TextoNormalCaracter"/>
        </w:rPr>
        <w:t>, f. 4.</w:t>
      </w:r>
    </w:p>
    <w:p w:rsidR="00BA1B56" w:rsidRPr="00BA1B56" w:rsidRDefault="00BA1B56" w:rsidP="00BA1B56">
      <w:pPr>
        <w:pStyle w:val="TextoNormalSangraFrancesa"/>
        <w:rPr>
          <w:rStyle w:val="TextoNormalCaracter"/>
        </w:rPr>
      </w:pPr>
      <w:bookmarkStart w:id="2260" w:name="DESCRIPTORALFABETICO84"/>
      <w:r w:rsidRPr="00BA1B56">
        <w:rPr>
          <w:rStyle w:val="TextoNormalNegritaCaracter"/>
        </w:rPr>
        <w:t>Territorialización de partidas presupuestarias</w:t>
      </w:r>
      <w:bookmarkEnd w:id="2260"/>
      <w:r w:rsidRPr="00BA1B56">
        <w:rPr>
          <w:rStyle w:val="TextoNormalCaracter"/>
        </w:rPr>
        <w:t xml:space="preserve">, Sentencias </w:t>
      </w:r>
      <w:hyperlink w:anchor="SENTENCIA_2012_36" w:history="1">
        <w:r w:rsidRPr="00BA1B56">
          <w:rPr>
            <w:rStyle w:val="TextoNormalCaracter"/>
          </w:rPr>
          <w:t>36/2012</w:t>
        </w:r>
      </w:hyperlink>
      <w:r w:rsidRPr="00BA1B56">
        <w:rPr>
          <w:rStyle w:val="TextoNormalCaracter"/>
        </w:rPr>
        <w:t xml:space="preserve">, f. 9; </w:t>
      </w:r>
      <w:hyperlink w:anchor="SENTENCIA_2012_38" w:history="1">
        <w:r w:rsidRPr="00BA1B56">
          <w:rPr>
            <w:rStyle w:val="TextoNormalCaracter"/>
          </w:rPr>
          <w:t>38/2012</w:t>
        </w:r>
      </w:hyperlink>
      <w:r w:rsidRPr="00BA1B56">
        <w:rPr>
          <w:rStyle w:val="TextoNormalCaracter"/>
        </w:rPr>
        <w:t xml:space="preserve">, ff. 5 a 8; </w:t>
      </w:r>
      <w:hyperlink w:anchor="SENTENCIA_2012_89" w:history="1">
        <w:r w:rsidRPr="00BA1B56">
          <w:rPr>
            <w:rStyle w:val="TextoNormalCaracter"/>
          </w:rPr>
          <w:t>89/2012</w:t>
        </w:r>
      </w:hyperlink>
      <w:r w:rsidRPr="00BA1B56">
        <w:rPr>
          <w:rStyle w:val="TextoNormalCaracter"/>
        </w:rPr>
        <w:t>, ff. 6, 7.</w:t>
      </w:r>
    </w:p>
    <w:p w:rsidR="00BA1B56" w:rsidRPr="00BA1B56" w:rsidRDefault="00BA1B56" w:rsidP="00BA1B56">
      <w:pPr>
        <w:pStyle w:val="TextoNormalSangraFrancesa"/>
        <w:rPr>
          <w:rStyle w:val="TextoNormalCaracter"/>
        </w:rPr>
      </w:pPr>
      <w:bookmarkStart w:id="2261" w:name="DESCRIPTORALFABETICO486"/>
      <w:r w:rsidRPr="00BA1B56">
        <w:rPr>
          <w:rStyle w:val="TextoNormalNegritaCaracter"/>
        </w:rPr>
        <w:t>Tipificación</w:t>
      </w:r>
      <w:bookmarkEnd w:id="2261"/>
      <w:r w:rsidRPr="00BA1B56">
        <w:rPr>
          <w:rStyle w:val="TextoNormalCaracter"/>
        </w:rPr>
        <w:t xml:space="preserve">, Sentencia </w:t>
      </w:r>
      <w:hyperlink w:anchor="SENTENCIA_2012_101" w:history="1">
        <w:r w:rsidRPr="00BA1B56">
          <w:rPr>
            <w:rStyle w:val="TextoNormalCaracter"/>
          </w:rPr>
          <w:t>101/2012</w:t>
        </w:r>
      </w:hyperlink>
      <w:r w:rsidRPr="00BA1B56">
        <w:rPr>
          <w:rStyle w:val="TextoNormalCaracter"/>
        </w:rPr>
        <w:t>, ff. 3 a 6.</w:t>
      </w:r>
    </w:p>
    <w:p w:rsidR="00BA1B56" w:rsidRPr="00BA1B56" w:rsidRDefault="00BA1B56" w:rsidP="00BA1B56">
      <w:pPr>
        <w:pStyle w:val="TextoNormalSangraFrancesa"/>
        <w:rPr>
          <w:rStyle w:val="TextoNormalCaracter"/>
        </w:rPr>
      </w:pPr>
      <w:bookmarkStart w:id="2262" w:name="DESCRIPTORALFABETICO20"/>
      <w:r w:rsidRPr="00BA1B56">
        <w:rPr>
          <w:rStyle w:val="TextoNormalNegritaCaracter"/>
        </w:rPr>
        <w:t>Titularidad de las competencias</w:t>
      </w:r>
      <w:bookmarkEnd w:id="2262"/>
      <w:r w:rsidRPr="00BA1B56">
        <w:rPr>
          <w:rStyle w:val="TextoNormalCaracter"/>
        </w:rPr>
        <w:t xml:space="preserve">, Sentencia </w:t>
      </w:r>
      <w:hyperlink w:anchor="SENTENCIA_2012_38" w:history="1">
        <w:r w:rsidRPr="00BA1B56">
          <w:rPr>
            <w:rStyle w:val="TextoNormalCaracter"/>
          </w:rPr>
          <w:t>38/2012</w:t>
        </w:r>
      </w:hyperlink>
      <w:r w:rsidRPr="00BA1B56">
        <w:rPr>
          <w:rStyle w:val="TextoNormalCaracter"/>
        </w:rPr>
        <w:t>, f. 9.</w:t>
      </w:r>
    </w:p>
    <w:p w:rsidR="00BA1B56" w:rsidRPr="00BA1B56" w:rsidRDefault="00BA1B56" w:rsidP="00BA1B56">
      <w:pPr>
        <w:pStyle w:val="TextoNormalSangraFrancesa"/>
        <w:rPr>
          <w:rStyle w:val="TextoNormalCaracter"/>
        </w:rPr>
      </w:pPr>
      <w:bookmarkStart w:id="2263" w:name="DESCRIPTORALFABETICO597"/>
      <w:r w:rsidRPr="00BA1B56">
        <w:rPr>
          <w:rStyle w:val="TextoNormalNegritaCaracter"/>
        </w:rPr>
        <w:t>Titularidad de los bienes de dominio público</w:t>
      </w:r>
      <w:bookmarkEnd w:id="2263"/>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5.</w:t>
      </w:r>
    </w:p>
    <w:p w:rsidR="00BA1B56" w:rsidRPr="00BA1B56" w:rsidRDefault="00BA1B56" w:rsidP="00BA1B56">
      <w:pPr>
        <w:pStyle w:val="TextoNormalSangraFrancesa"/>
        <w:rPr>
          <w:rStyle w:val="TextoNormalCaracter"/>
        </w:rPr>
      </w:pPr>
      <w:bookmarkStart w:id="2264" w:name="DESCRIPTORALFABETICO811"/>
      <w:r w:rsidRPr="00BA1B56">
        <w:rPr>
          <w:rStyle w:val="TextoNormalNegritaCaracter"/>
        </w:rPr>
        <w:t>Titularidad de oficinas de farmacia</w:t>
      </w:r>
      <w:bookmarkEnd w:id="2264"/>
      <w:r w:rsidRPr="00BA1B56">
        <w:rPr>
          <w:rStyle w:val="TextoNormalCaracter"/>
        </w:rPr>
        <w:t xml:space="preserve">, Sentencia </w:t>
      </w:r>
      <w:hyperlink w:anchor="SENTENCIA_2012_78" w:history="1">
        <w:r w:rsidRPr="00BA1B56">
          <w:rPr>
            <w:rStyle w:val="TextoNormalCaracter"/>
          </w:rPr>
          <w:t>78/2012</w:t>
        </w:r>
      </w:hyperlink>
      <w:r w:rsidRPr="00BA1B56">
        <w:rPr>
          <w:rStyle w:val="TextoNormalCaracter"/>
        </w:rPr>
        <w:t>, ff. 2 a 4.</w:t>
      </w:r>
    </w:p>
    <w:p w:rsidR="00BA1B56" w:rsidRPr="00BA1B56" w:rsidRDefault="00BA1B56" w:rsidP="00BA1B56">
      <w:pPr>
        <w:pStyle w:val="TextoNormalSangraFrancesa"/>
        <w:rPr>
          <w:rStyle w:val="TextoNormalCaracter"/>
        </w:rPr>
      </w:pPr>
      <w:bookmarkStart w:id="2265" w:name="DESCRIPTORALFABETICO21"/>
      <w:r w:rsidRPr="00BA1B56">
        <w:rPr>
          <w:rStyle w:val="TextoNormalNegritaCaracter"/>
        </w:rPr>
        <w:t>Títulos competenciales</w:t>
      </w:r>
      <w:bookmarkEnd w:id="2265"/>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ff. 4, 7; </w:t>
      </w:r>
      <w:hyperlink w:anchor="SENTENCIA_2012_36" w:history="1">
        <w:r w:rsidRPr="00BA1B56">
          <w:rPr>
            <w:rStyle w:val="TextoNormalCaracter"/>
          </w:rPr>
          <w:t>36/2012</w:t>
        </w:r>
      </w:hyperlink>
      <w:r w:rsidRPr="00BA1B56">
        <w:rPr>
          <w:rStyle w:val="TextoNormalCaracter"/>
        </w:rPr>
        <w:t xml:space="preserve">, f. 7, VP; </w:t>
      </w:r>
      <w:hyperlink w:anchor="SENTENCIA_2012_72" w:history="1">
        <w:r w:rsidRPr="00BA1B56">
          <w:rPr>
            <w:rStyle w:val="TextoNormalCaracter"/>
          </w:rPr>
          <w:t>72/2012</w:t>
        </w:r>
      </w:hyperlink>
      <w:r w:rsidRPr="00BA1B56">
        <w:rPr>
          <w:rStyle w:val="TextoNormalCaracter"/>
        </w:rPr>
        <w:t xml:space="preserve">, f. 3; </w:t>
      </w:r>
      <w:hyperlink w:anchor="SENTENCIA_2012_73" w:history="1">
        <w:r w:rsidRPr="00BA1B56">
          <w:rPr>
            <w:rStyle w:val="TextoNormalCaracter"/>
          </w:rPr>
          <w:t>73/2012</w:t>
        </w:r>
      </w:hyperlink>
      <w:r w:rsidRPr="00BA1B56">
        <w:rPr>
          <w:rStyle w:val="TextoNormalCaracter"/>
        </w:rPr>
        <w:t xml:space="preserve">, f. 4; </w:t>
      </w:r>
      <w:hyperlink w:anchor="SENTENCIA_2012_77" w:history="1">
        <w:r w:rsidRPr="00BA1B56">
          <w:rPr>
            <w:rStyle w:val="TextoNormalCaracter"/>
          </w:rPr>
          <w:t>77/2012</w:t>
        </w:r>
      </w:hyperlink>
      <w:r w:rsidRPr="00BA1B56">
        <w:rPr>
          <w:rStyle w:val="TextoNormalCaracter"/>
        </w:rPr>
        <w:t xml:space="preserve">, f. 4; </w:t>
      </w:r>
      <w:hyperlink w:anchor="SENTENCIA_2012_136" w:history="1">
        <w:r w:rsidRPr="00BA1B56">
          <w:rPr>
            <w:rStyle w:val="TextoNormalCaracter"/>
          </w:rPr>
          <w:t>136/2012</w:t>
        </w:r>
      </w:hyperlink>
      <w:r w:rsidRPr="00BA1B56">
        <w:rPr>
          <w:rStyle w:val="TextoNormalCaracter"/>
        </w:rPr>
        <w:t>, f. 3.</w:t>
      </w:r>
    </w:p>
    <w:p w:rsidR="00BA1B56" w:rsidRPr="00BA1B56" w:rsidRDefault="00BA1B56" w:rsidP="00BA1B56">
      <w:pPr>
        <w:pStyle w:val="TextoNormalSangraFrancesa"/>
        <w:rPr>
          <w:rStyle w:val="TextoNormalCaracter"/>
        </w:rPr>
      </w:pPr>
      <w:bookmarkStart w:id="2266" w:name="DESCRIPTORALFABETICO652"/>
      <w:r w:rsidRPr="00BA1B56">
        <w:rPr>
          <w:rStyle w:val="TextoNormalNegritaCaracter"/>
        </w:rPr>
        <w:t>Torturas</w:t>
      </w:r>
      <w:bookmarkEnd w:id="2266"/>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3, 4, 5.</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131" w:history="1">
        <w:r w:rsidRPr="00BA1B56">
          <w:rPr>
            <w:rStyle w:val="TextoNormalCaracter"/>
          </w:rPr>
          <w:t>131/2012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67" w:name="DESCRIPTORALFABETICO844"/>
      <w:r w:rsidRPr="00BA1B56">
        <w:rPr>
          <w:rStyle w:val="TextoNormalNegritaCaracter"/>
        </w:rPr>
        <w:t>Trabajadores</w:t>
      </w:r>
      <w:bookmarkEnd w:id="2267"/>
      <w:r w:rsidRPr="00BA1B56">
        <w:rPr>
          <w:rStyle w:val="TextoNormalCaracter"/>
        </w:rPr>
        <w:t xml:space="preserve">, Sentencia </w:t>
      </w:r>
      <w:hyperlink w:anchor="SENTENCIA_2012_15" w:history="1">
        <w:r w:rsidRPr="00BA1B56">
          <w:rPr>
            <w:rStyle w:val="TextoNormalCaracter"/>
          </w:rPr>
          <w:t>15/2012</w:t>
        </w:r>
      </w:hyperlink>
      <w:r w:rsidRPr="00BA1B56">
        <w:rPr>
          <w:rStyle w:val="TextoNormalCaracter"/>
        </w:rPr>
        <w:t>, ff. 1, 3.</w:t>
      </w:r>
    </w:p>
    <w:p w:rsidR="00BA1B56" w:rsidRPr="00BA1B56" w:rsidRDefault="00BA1B56" w:rsidP="00BA1B56">
      <w:pPr>
        <w:pStyle w:val="TextoNormalSangraFrancesa"/>
        <w:rPr>
          <w:rStyle w:val="TextoNormalCaracter"/>
        </w:rPr>
      </w:pPr>
      <w:bookmarkStart w:id="2268" w:name="DESCRIPTORALFABETICO847"/>
      <w:r w:rsidRPr="00BA1B56">
        <w:rPr>
          <w:rStyle w:val="TextoNormalNegritaCaracter"/>
        </w:rPr>
        <w:t>Tráfico</w:t>
      </w:r>
      <w:bookmarkEnd w:id="2268"/>
      <w:r w:rsidRPr="00BA1B56">
        <w:rPr>
          <w:rStyle w:val="TextoNormalCaracter"/>
        </w:rPr>
        <w:t xml:space="preserve">, Sentencia </w:t>
      </w:r>
      <w:hyperlink w:anchor="SENTENCIA_2012_37" w:history="1">
        <w:r w:rsidRPr="00BA1B56">
          <w:rPr>
            <w:rStyle w:val="TextoNormalCaracter"/>
          </w:rPr>
          <w:t>37/2012</w:t>
        </w:r>
      </w:hyperlink>
      <w:r w:rsidRPr="00BA1B56">
        <w:rPr>
          <w:rStyle w:val="TextoNormalCaracter"/>
        </w:rPr>
        <w:t>, ff. 1, 8, VP III.</w:t>
      </w:r>
    </w:p>
    <w:p w:rsidR="00BA1B56" w:rsidRPr="00BA1B56" w:rsidRDefault="00BA1B56" w:rsidP="00BA1B56">
      <w:pPr>
        <w:pStyle w:val="TextoNormalSangraFrancesa"/>
        <w:rPr>
          <w:rStyle w:val="TextoNormalCaracter"/>
        </w:rPr>
      </w:pPr>
      <w:bookmarkStart w:id="2269" w:name="DESCRIPTORALFABETICO451"/>
      <w:r w:rsidRPr="00BA1B56">
        <w:rPr>
          <w:rStyle w:val="TextoNormalNegritaCaracter"/>
        </w:rPr>
        <w:t>Tramitación de enmiendas</w:t>
      </w:r>
      <w:bookmarkEnd w:id="2269"/>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3 a 5.</w:t>
      </w:r>
    </w:p>
    <w:p w:rsidR="00BA1B56" w:rsidRPr="00BA1B56" w:rsidRDefault="00BA1B56" w:rsidP="00BA1B56">
      <w:pPr>
        <w:pStyle w:val="TextoNormalSangraFrancesa"/>
        <w:rPr>
          <w:rStyle w:val="TextoNormalCaracter"/>
        </w:rPr>
      </w:pPr>
      <w:bookmarkStart w:id="2270" w:name="DESCRIPTORALFABETICO450"/>
      <w:r w:rsidRPr="00BA1B56">
        <w:rPr>
          <w:rStyle w:val="TextoNormalNegritaCaracter"/>
        </w:rPr>
        <w:t>Tramitación de proyectos de ley</w:t>
      </w:r>
      <w:bookmarkEnd w:id="2270"/>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3.</w:t>
      </w:r>
    </w:p>
    <w:p w:rsidR="00BA1B56" w:rsidRPr="00BA1B56" w:rsidRDefault="00BA1B56" w:rsidP="00BA1B56">
      <w:pPr>
        <w:pStyle w:val="TextoNormalSangraFrancesa"/>
        <w:rPr>
          <w:rStyle w:val="TextoNormalCaracter"/>
        </w:rPr>
      </w:pPr>
      <w:bookmarkStart w:id="2271" w:name="DESCRIPTORALFABETICO325"/>
      <w:r w:rsidRPr="00BA1B56">
        <w:rPr>
          <w:rStyle w:val="TextoNormalNegritaCaracter"/>
        </w:rPr>
        <w:lastRenderedPageBreak/>
        <w:t>Tramitación del conflicto como recurso de inconstitucionalidad</w:t>
      </w:r>
      <w:bookmarkEnd w:id="2271"/>
      <w:r w:rsidRPr="00BA1B56">
        <w:rPr>
          <w:rStyle w:val="TextoNormalCaracter"/>
        </w:rPr>
        <w:t xml:space="preserve">, Sentencia </w:t>
      </w:r>
      <w:hyperlink w:anchor="SENTENCIA_2012_33" w:history="1">
        <w:r w:rsidRPr="00BA1B56">
          <w:rPr>
            <w:rStyle w:val="TextoNormalCaracter"/>
          </w:rPr>
          <w:t>33/2012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72" w:name="DESCRIPTORALFABETICO449"/>
      <w:r w:rsidRPr="00BA1B56">
        <w:rPr>
          <w:rStyle w:val="TextoNormalNegritaCaracter"/>
        </w:rPr>
        <w:t>Tramitación parlamentaria</w:t>
      </w:r>
      <w:bookmarkEnd w:id="2272"/>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 ff. 1, 3 a 5.</w:t>
      </w:r>
    </w:p>
    <w:p w:rsidR="00BA1B56" w:rsidRPr="00BA1B56" w:rsidRDefault="00BA1B56" w:rsidP="00BA1B56">
      <w:pPr>
        <w:pStyle w:val="TextoNormalSangraFrancesa"/>
        <w:rPr>
          <w:rStyle w:val="TextoNormalCaracter"/>
        </w:rPr>
      </w:pPr>
      <w:bookmarkStart w:id="2273" w:name="DESCRIPTORALFABETICO336"/>
      <w:r w:rsidRPr="00BA1B56">
        <w:rPr>
          <w:rStyle w:val="TextoNormalNegritaCaracter"/>
        </w:rPr>
        <w:t>Trámite de audiencia a las partes defectuoso</w:t>
      </w:r>
      <w:bookmarkEnd w:id="2273"/>
      <w:r w:rsidRPr="00BA1B56">
        <w:rPr>
          <w:rStyle w:val="TextoNormalCaracter"/>
        </w:rPr>
        <w:t xml:space="preserve">, Autos </w:t>
      </w:r>
      <w:hyperlink w:anchor="AUTO_2012_39" w:history="1">
        <w:r w:rsidRPr="00BA1B56">
          <w:rPr>
            <w:rStyle w:val="TextoNormalCaracter"/>
          </w:rPr>
          <w:t>39/2012</w:t>
        </w:r>
      </w:hyperlink>
      <w:r w:rsidRPr="00BA1B56">
        <w:rPr>
          <w:rStyle w:val="TextoNormalCaracter"/>
        </w:rPr>
        <w:t xml:space="preserve">, ff. 2, 3; </w:t>
      </w:r>
      <w:hyperlink w:anchor="AUTO_2012_128" w:history="1">
        <w:r w:rsidRPr="00BA1B56">
          <w:rPr>
            <w:rStyle w:val="TextoNormalCaracter"/>
          </w:rPr>
          <w:t>128/2012</w:t>
        </w:r>
      </w:hyperlink>
      <w:r w:rsidRPr="00BA1B56">
        <w:rPr>
          <w:rStyle w:val="TextoNormalCaracter"/>
        </w:rPr>
        <w:t>, f. 2.</w:t>
      </w:r>
    </w:p>
    <w:p w:rsidR="00BA1B56" w:rsidRPr="00BA1B56" w:rsidRDefault="00BA1B56" w:rsidP="00BA1B56">
      <w:pPr>
        <w:pStyle w:val="TextoNormalSangraFrancesa"/>
        <w:rPr>
          <w:rStyle w:val="TextoNormalNegritaCaracter"/>
        </w:rPr>
      </w:pPr>
      <w:r w:rsidRPr="00BA1B56">
        <w:rPr>
          <w:rStyle w:val="TextoNormalCursivaCaracter"/>
        </w:rPr>
        <w:t>Trámite de audiencia en cuestión de inconstitucionalidad</w:t>
      </w:r>
      <w:r>
        <w:t xml:space="preserve"> véase </w:t>
      </w:r>
      <w:hyperlink w:anchor="DESCRIPTORALFABETICO327" w:history="1">
        <w:r w:rsidRPr="00BA1B56">
          <w:rPr>
            <w:rStyle w:val="TextoNormalNegritaCaracter"/>
          </w:rPr>
          <w:t>Audiencia previa a las partes</w:t>
        </w:r>
      </w:hyperlink>
    </w:p>
    <w:p w:rsidR="00BA1B56" w:rsidRPr="00BA1B56" w:rsidRDefault="00BA1B56" w:rsidP="00BA1B56">
      <w:pPr>
        <w:pStyle w:val="TextoNormalSangraFrancesa"/>
        <w:rPr>
          <w:rStyle w:val="TextoNormalCaracter"/>
        </w:rPr>
      </w:pPr>
      <w:bookmarkStart w:id="2274" w:name="DESCRIPTORALFABETICO851"/>
      <w:r w:rsidRPr="00BA1B56">
        <w:rPr>
          <w:rStyle w:val="TextoNormalNegritaCaracter"/>
        </w:rPr>
        <w:t>Transporte de viajeros por carretera</w:t>
      </w:r>
      <w:bookmarkEnd w:id="2274"/>
      <w:r w:rsidRPr="00BA1B56">
        <w:rPr>
          <w:rStyle w:val="TextoNormalCaracter"/>
        </w:rPr>
        <w:t xml:space="preserve">, Sentencia </w:t>
      </w:r>
      <w:hyperlink w:anchor="SENTENCIA_2012_71" w:history="1">
        <w:r w:rsidRPr="00BA1B56">
          <w:rPr>
            <w:rStyle w:val="TextoNormalCaracter"/>
          </w:rPr>
          <w:t>71/2012</w:t>
        </w:r>
      </w:hyperlink>
      <w:r w:rsidRPr="00BA1B56">
        <w:rPr>
          <w:rStyle w:val="TextoNormalCaracter"/>
        </w:rPr>
        <w:t>, ff. 3 a 6.</w:t>
      </w:r>
    </w:p>
    <w:p w:rsidR="00BA1B56" w:rsidRPr="00BA1B56" w:rsidRDefault="00BA1B56" w:rsidP="00BA1B56">
      <w:pPr>
        <w:pStyle w:val="TextoNormalSangraFrancesa"/>
        <w:rPr>
          <w:rStyle w:val="TextoNormalCaracter"/>
        </w:rPr>
      </w:pPr>
      <w:bookmarkStart w:id="2275" w:name="DESCRIPTORALFABETICO849"/>
      <w:r w:rsidRPr="00BA1B56">
        <w:rPr>
          <w:rStyle w:val="TextoNormalNegritaCaracter"/>
        </w:rPr>
        <w:t>Transporte ferroviario</w:t>
      </w:r>
      <w:bookmarkEnd w:id="2275"/>
      <w:r w:rsidRPr="00BA1B56">
        <w:rPr>
          <w:rStyle w:val="TextoNormalCaracter"/>
        </w:rPr>
        <w:t xml:space="preserve">, Sentencia </w:t>
      </w:r>
      <w:hyperlink w:anchor="SENTENCIA_2012_88" w:history="1">
        <w:r w:rsidRPr="00BA1B56">
          <w:rPr>
            <w:rStyle w:val="TextoNormalCaracter"/>
          </w:rPr>
          <w:t>88/2012</w:t>
        </w:r>
      </w:hyperlink>
      <w:r w:rsidRPr="00BA1B56">
        <w:rPr>
          <w:rStyle w:val="TextoNormalCaracter"/>
        </w:rPr>
        <w:t>, ff. 1 a 6.</w:t>
      </w:r>
    </w:p>
    <w:p w:rsidR="00BA1B56" w:rsidRPr="00BA1B56" w:rsidRDefault="00BA1B56" w:rsidP="00BA1B56">
      <w:pPr>
        <w:pStyle w:val="TextoNormalSangraFrancesa"/>
        <w:rPr>
          <w:rStyle w:val="TextoNormalCaracter"/>
        </w:rPr>
      </w:pPr>
      <w:bookmarkStart w:id="2276" w:name="DESCRIPTORALFABETICO846"/>
      <w:r w:rsidRPr="00BA1B56">
        <w:rPr>
          <w:rStyle w:val="TextoNormalNegritaCaracter"/>
        </w:rPr>
        <w:t>Transporte internacional</w:t>
      </w:r>
      <w:bookmarkEnd w:id="2276"/>
      <w:r w:rsidRPr="00BA1B56">
        <w:rPr>
          <w:rStyle w:val="TextoNormalCaracter"/>
        </w:rPr>
        <w:t xml:space="preserve">, Sentencia </w:t>
      </w:r>
      <w:hyperlink w:anchor="SENTENCIA_2012_71" w:history="1">
        <w:r w:rsidRPr="00BA1B56">
          <w:rPr>
            <w:rStyle w:val="TextoNormalCaracter"/>
          </w:rPr>
          <w:t>71/2012</w:t>
        </w:r>
      </w:hyperlink>
      <w:r w:rsidRPr="00BA1B56">
        <w:rPr>
          <w:rStyle w:val="TextoNormalCaracter"/>
        </w:rPr>
        <w:t>, f. 6.</w:t>
      </w:r>
    </w:p>
    <w:p w:rsidR="00BA1B56" w:rsidRPr="00BA1B56" w:rsidRDefault="00BA1B56" w:rsidP="00BA1B56">
      <w:pPr>
        <w:pStyle w:val="TextoNormalSangraFrancesa"/>
        <w:rPr>
          <w:rStyle w:val="TextoNormalCaracter"/>
        </w:rPr>
      </w:pPr>
      <w:bookmarkStart w:id="2277" w:name="DESCRIPTORALFABETICO850"/>
      <w:r w:rsidRPr="00BA1B56">
        <w:rPr>
          <w:rStyle w:val="TextoNormalNegritaCaracter"/>
        </w:rPr>
        <w:t>Transporte por carretera</w:t>
      </w:r>
      <w:bookmarkEnd w:id="2277"/>
      <w:r w:rsidRPr="00BA1B56">
        <w:rPr>
          <w:rStyle w:val="TextoNormalCaracter"/>
        </w:rPr>
        <w:t xml:space="preserve">, Sentencia </w:t>
      </w:r>
      <w:hyperlink w:anchor="SENTENCIA_2012_71" w:history="1">
        <w:r w:rsidRPr="00BA1B56">
          <w:rPr>
            <w:rStyle w:val="TextoNormalCaracter"/>
          </w:rPr>
          <w:t>71/2012</w:t>
        </w:r>
      </w:hyperlink>
      <w:r w:rsidRPr="00BA1B56">
        <w:rPr>
          <w:rStyle w:val="TextoNormalCaracter"/>
        </w:rPr>
        <w:t>, ff. 3, 4, 5, 6.</w:t>
      </w:r>
    </w:p>
    <w:p w:rsidR="00BA1B56" w:rsidRPr="00BA1B56" w:rsidRDefault="00BA1B56" w:rsidP="00BA1B56">
      <w:pPr>
        <w:pStyle w:val="TextoNormalSangraFrancesa"/>
        <w:rPr>
          <w:rStyle w:val="TextoNormalCaracter"/>
        </w:rPr>
      </w:pPr>
      <w:bookmarkStart w:id="2278" w:name="DESCRIPTORALFABETICO686"/>
      <w:r w:rsidRPr="00BA1B56">
        <w:rPr>
          <w:rStyle w:val="TextoNormalNegritaCaracter"/>
        </w:rPr>
        <w:t>Transposición de directivas de la Unión Europea</w:t>
      </w:r>
      <w:bookmarkEnd w:id="2278"/>
      <w:r w:rsidRPr="00BA1B56">
        <w:rPr>
          <w:rStyle w:val="TextoNormalCaracter"/>
        </w:rPr>
        <w:t xml:space="preserve">, Sentencia </w:t>
      </w:r>
      <w:hyperlink w:anchor="SENTENCIA_2012_1" w:history="1">
        <w:r w:rsidRPr="00BA1B56">
          <w:rPr>
            <w:rStyle w:val="TextoNormalCaracter"/>
          </w:rPr>
          <w:t>1/2012</w:t>
        </w:r>
      </w:hyperlink>
      <w:r w:rsidRPr="00BA1B56">
        <w:rPr>
          <w:rStyle w:val="TextoNormalCaracter"/>
        </w:rPr>
        <w:t>, ff. 5, 9, 10.</w:t>
      </w:r>
    </w:p>
    <w:p w:rsidR="00BA1B56" w:rsidRPr="00BA1B56" w:rsidRDefault="00BA1B56" w:rsidP="00BA1B56">
      <w:pPr>
        <w:pStyle w:val="TextoNormalSangraFrancesa"/>
        <w:rPr>
          <w:rStyle w:val="TextoNormalCaracter"/>
        </w:rPr>
      </w:pPr>
      <w:bookmarkStart w:id="2279" w:name="DESCRIPTORALFABETICO538"/>
      <w:r w:rsidRPr="00BA1B56">
        <w:rPr>
          <w:rStyle w:val="TextoNormalNegritaCaracter"/>
        </w:rPr>
        <w:t>Trasvases entre cuencas</w:t>
      </w:r>
      <w:bookmarkEnd w:id="2279"/>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ff. 1 a 5.</w:t>
      </w:r>
    </w:p>
    <w:p w:rsidR="00BA1B56" w:rsidRPr="00BA1B56" w:rsidRDefault="00BA1B56" w:rsidP="00BA1B56">
      <w:pPr>
        <w:pStyle w:val="TextoNormalSangraFrancesa"/>
        <w:rPr>
          <w:rStyle w:val="TextoNormalCaracter"/>
        </w:rPr>
      </w:pPr>
      <w:bookmarkStart w:id="2280" w:name="DESCRIPTORALFABETICO155"/>
      <w:r w:rsidRPr="00BA1B56">
        <w:rPr>
          <w:rStyle w:val="TextoNormalNegritaCaracter"/>
        </w:rPr>
        <w:t>Tratamiento diferenciado</w:t>
      </w:r>
      <w:bookmarkEnd w:id="2280"/>
      <w:r w:rsidRPr="00BA1B56">
        <w:rPr>
          <w:rStyle w:val="TextoNormalCaracter"/>
        </w:rPr>
        <w:t xml:space="preserve">, Sentencia </w:t>
      </w:r>
      <w:hyperlink w:anchor="SENTENCIA_2012_118" w:history="1">
        <w:r w:rsidRPr="00BA1B56">
          <w:rPr>
            <w:rStyle w:val="TextoNormalCaracter"/>
          </w:rPr>
          <w:t>118/2012</w:t>
        </w:r>
      </w:hyperlink>
      <w:r w:rsidRPr="00BA1B56">
        <w:rPr>
          <w:rStyle w:val="TextoNormalCaracter"/>
        </w:rPr>
        <w:t>, ff. 4, 7.</w:t>
      </w:r>
    </w:p>
    <w:p w:rsidR="00BA1B56" w:rsidRPr="00BA1B56" w:rsidRDefault="00BA1B56" w:rsidP="00BA1B56">
      <w:pPr>
        <w:pStyle w:val="TextoNormalSangraFrancesa"/>
        <w:rPr>
          <w:rStyle w:val="TextoNormalCaracter"/>
        </w:rPr>
      </w:pPr>
      <w:bookmarkStart w:id="2281" w:name="DESCRIPTORALFABETICO160"/>
      <w:r w:rsidRPr="00BA1B56">
        <w:rPr>
          <w:rStyle w:val="TextoNormalNegritaCaracter"/>
        </w:rPr>
        <w:t>Tratos inhumanos o degradantes</w:t>
      </w:r>
      <w:bookmarkEnd w:id="2281"/>
      <w:r w:rsidRPr="00BA1B56">
        <w:rPr>
          <w:rStyle w:val="TextoNormalCaracter"/>
        </w:rPr>
        <w:t xml:space="preserve">, Sentencia </w:t>
      </w:r>
      <w:hyperlink w:anchor="SENTENCIA_2012_131" w:history="1">
        <w:r w:rsidRPr="00BA1B56">
          <w:rPr>
            <w:rStyle w:val="TextoNormalCaracter"/>
          </w:rPr>
          <w:t>131/2012</w:t>
        </w:r>
      </w:hyperlink>
      <w:r w:rsidRPr="00BA1B56">
        <w:rPr>
          <w:rStyle w:val="TextoNormalCaracter"/>
        </w:rPr>
        <w:t>, ff. 2, 4.</w:t>
      </w:r>
    </w:p>
    <w:p w:rsidR="00BA1B56" w:rsidRPr="00BA1B56" w:rsidRDefault="00BA1B56" w:rsidP="00BA1B56">
      <w:pPr>
        <w:pStyle w:val="TextoNormalSangraFrancesa"/>
        <w:rPr>
          <w:rStyle w:val="TextoNormalCaracter"/>
        </w:rPr>
      </w:pPr>
      <w:r w:rsidRPr="00BA1B56">
        <w:rPr>
          <w:rStyle w:val="TextoNormalCursivaCaracter"/>
        </w:rPr>
        <w:t xml:space="preserve">    Doctrina constitucional, </w:t>
      </w:r>
      <w:r w:rsidRPr="00BA1B56">
        <w:rPr>
          <w:rStyle w:val="TextoNormalCaracter"/>
        </w:rPr>
        <w:t xml:space="preserve">Sentencia </w:t>
      </w:r>
      <w:hyperlink w:anchor="SENTENCIA_2012_131" w:history="1">
        <w:r w:rsidRPr="00BA1B56">
          <w:rPr>
            <w:rStyle w:val="TextoNormalCaracter"/>
          </w:rPr>
          <w:t>131/2012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82" w:name="DESCRIPTORALFABETICO408"/>
      <w:r w:rsidRPr="00BA1B56">
        <w:rPr>
          <w:rStyle w:val="TextoNormalNegritaCaracter"/>
        </w:rPr>
        <w:t>Tribunal Constitucional</w:t>
      </w:r>
      <w:bookmarkEnd w:id="2282"/>
      <w:r w:rsidRPr="00BA1B56">
        <w:rPr>
          <w:rStyle w:val="TextoNormalCaracter"/>
        </w:rPr>
        <w:t xml:space="preserve">, Autos </w:t>
      </w:r>
      <w:hyperlink w:anchor="AUTO_2012_106" w:history="1">
        <w:r w:rsidRPr="00BA1B56">
          <w:rPr>
            <w:rStyle w:val="TextoNormalCaracter"/>
          </w:rPr>
          <w:t>106/2012</w:t>
        </w:r>
      </w:hyperlink>
      <w:r w:rsidRPr="00BA1B56">
        <w:rPr>
          <w:rStyle w:val="TextoNormalCaracter"/>
        </w:rPr>
        <w:t xml:space="preserve">, f. 6; </w:t>
      </w:r>
      <w:hyperlink w:anchor="AUTO_2012_120" w:history="1">
        <w:r w:rsidRPr="00BA1B56">
          <w:rPr>
            <w:rStyle w:val="TextoNormalCaracter"/>
          </w:rPr>
          <w:t>120/2012</w:t>
        </w:r>
      </w:hyperlink>
      <w:r w:rsidRPr="00BA1B56">
        <w:rPr>
          <w:rStyle w:val="TextoNormalCaracter"/>
        </w:rPr>
        <w:t>, f. único.</w:t>
      </w:r>
    </w:p>
    <w:p w:rsidR="00BA1B56" w:rsidRPr="00BA1B56" w:rsidRDefault="00BA1B56" w:rsidP="00BA1B56">
      <w:pPr>
        <w:pStyle w:val="TextoNormalSangraFrancesa"/>
        <w:rPr>
          <w:rStyle w:val="TextoNormalCaracter"/>
        </w:rPr>
      </w:pPr>
      <w:bookmarkStart w:id="2283" w:name="DESCRIPTORALFABETICO577"/>
      <w:r w:rsidRPr="00BA1B56">
        <w:rPr>
          <w:rStyle w:val="TextoNormalNegritaCaracter"/>
        </w:rPr>
        <w:t>Tribunal de Defensa de la Competencia</w:t>
      </w:r>
      <w:bookmarkEnd w:id="2283"/>
      <w:r w:rsidRPr="00BA1B56">
        <w:rPr>
          <w:rStyle w:val="TextoNormalCaracter"/>
        </w:rPr>
        <w:t xml:space="preserve">, Sentencia </w:t>
      </w:r>
      <w:hyperlink w:anchor="SENTENCIA_2012_71" w:history="1">
        <w:r w:rsidRPr="00BA1B56">
          <w:rPr>
            <w:rStyle w:val="TextoNormalCaracter"/>
          </w:rPr>
          <w:t>71/2012</w:t>
        </w:r>
      </w:hyperlink>
      <w:r w:rsidRPr="00BA1B56">
        <w:rPr>
          <w:rStyle w:val="TextoNormalCaracter"/>
        </w:rPr>
        <w:t>, ff. 5, 6.</w:t>
      </w:r>
    </w:p>
    <w:p w:rsidR="00BA1B56" w:rsidRPr="00BA1B56" w:rsidRDefault="00BA1B56" w:rsidP="00BA1B56">
      <w:pPr>
        <w:pStyle w:val="TextoNormalSangraFrancesa"/>
        <w:rPr>
          <w:rStyle w:val="TextoNormalCaracter"/>
        </w:rPr>
      </w:pPr>
      <w:bookmarkStart w:id="2284" w:name="DESCRIPTORALFABETICO120"/>
      <w:r w:rsidRPr="00BA1B56">
        <w:rPr>
          <w:rStyle w:val="TextoNormalNegritaCaracter"/>
        </w:rPr>
        <w:t>Tributación de los juegos de azar</w:t>
      </w:r>
      <w:bookmarkEnd w:id="2284"/>
      <w:r w:rsidRPr="00BA1B56">
        <w:rPr>
          <w:rStyle w:val="TextoNormalCaracter"/>
        </w:rPr>
        <w:t xml:space="preserve">, Sentencias </w:t>
      </w:r>
      <w:hyperlink w:anchor="SENTENCIA_2012_32" w:history="1">
        <w:r w:rsidRPr="00BA1B56">
          <w:rPr>
            <w:rStyle w:val="TextoNormalCaracter"/>
          </w:rPr>
          <w:t>32/2012</w:t>
        </w:r>
      </w:hyperlink>
      <w:r w:rsidRPr="00BA1B56">
        <w:rPr>
          <w:rStyle w:val="TextoNormalCaracter"/>
        </w:rPr>
        <w:t xml:space="preserve">, f. 7; </w:t>
      </w:r>
      <w:hyperlink w:anchor="SENTENCIA_2012_35" w:history="1">
        <w:r w:rsidRPr="00BA1B56">
          <w:rPr>
            <w:rStyle w:val="TextoNormalCaracter"/>
          </w:rPr>
          <w:t>35/2012</w:t>
        </w:r>
      </w:hyperlink>
      <w:r w:rsidRPr="00BA1B56">
        <w:rPr>
          <w:rStyle w:val="TextoNormalCaracter"/>
        </w:rPr>
        <w:t>, ff. 2, 7 a 10.</w:t>
      </w:r>
    </w:p>
    <w:p w:rsidR="00BA1B56" w:rsidRPr="00BA1B56" w:rsidRDefault="00BA1B56" w:rsidP="00BA1B56">
      <w:pPr>
        <w:pStyle w:val="TextoNormalSangraFrancesa"/>
        <w:rPr>
          <w:rStyle w:val="TextoNormalCaracter"/>
        </w:rPr>
      </w:pPr>
      <w:bookmarkStart w:id="2285" w:name="DESCRIPTORALFABETICO98"/>
      <w:r w:rsidRPr="00BA1B56">
        <w:rPr>
          <w:rStyle w:val="TextoNormalNegritaCaracter"/>
        </w:rPr>
        <w:t>Tributos</w:t>
      </w:r>
      <w:bookmarkEnd w:id="2285"/>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ff. 3, 4, 7, 8, 9, 10; </w:t>
      </w:r>
      <w:hyperlink w:anchor="SENTENCIA_2012_20" w:history="1">
        <w:r w:rsidRPr="00BA1B56">
          <w:rPr>
            <w:rStyle w:val="TextoNormalCaracter"/>
          </w:rPr>
          <w:t>20/2012</w:t>
        </w:r>
      </w:hyperlink>
      <w:r w:rsidRPr="00BA1B56">
        <w:rPr>
          <w:rStyle w:val="TextoNormalCaracter"/>
        </w:rPr>
        <w:t xml:space="preserve">, ff. 6 a 9; </w:t>
      </w:r>
      <w:hyperlink w:anchor="SENTENCIA_2012_79" w:history="1">
        <w:r w:rsidRPr="00BA1B56">
          <w:rPr>
            <w:rStyle w:val="TextoNormalCaracter"/>
          </w:rPr>
          <w:t>79/2012</w:t>
        </w:r>
      </w:hyperlink>
      <w:r w:rsidRPr="00BA1B56">
        <w:rPr>
          <w:rStyle w:val="TextoNormalCaracter"/>
        </w:rPr>
        <w:t xml:space="preserve">, f. 8; </w:t>
      </w:r>
      <w:hyperlink w:anchor="SENTENCIA_2012_100" w:history="1">
        <w:r w:rsidRPr="00BA1B56">
          <w:rPr>
            <w:rStyle w:val="TextoNormalCaracter"/>
          </w:rPr>
          <w:t>100/2012</w:t>
        </w:r>
      </w:hyperlink>
      <w:r w:rsidRPr="00BA1B56">
        <w:rPr>
          <w:rStyle w:val="TextoNormalCaracter"/>
        </w:rPr>
        <w:t xml:space="preserve">, ff. 3, 4, 5, 6, 7, 8, 9; </w:t>
      </w:r>
      <w:hyperlink w:anchor="SENTENCIA_2012_116" w:history="1">
        <w:r w:rsidRPr="00BA1B56">
          <w:rPr>
            <w:rStyle w:val="TextoNormalCaracter"/>
          </w:rPr>
          <w:t>116/2012</w:t>
        </w:r>
      </w:hyperlink>
      <w:r w:rsidRPr="00BA1B56">
        <w:rPr>
          <w:rStyle w:val="TextoNormalCaracter"/>
        </w:rPr>
        <w:t xml:space="preserve">, f. 6; </w:t>
      </w:r>
      <w:hyperlink w:anchor="SENTENCIA_2012_122" w:history="1">
        <w:r w:rsidRPr="00BA1B56">
          <w:rPr>
            <w:rStyle w:val="TextoNormalCaracter"/>
          </w:rPr>
          <w:t>122/2012</w:t>
        </w:r>
      </w:hyperlink>
      <w:r w:rsidRPr="00BA1B56">
        <w:rPr>
          <w:rStyle w:val="TextoNormalCaracter"/>
        </w:rPr>
        <w:t>, ff. 1, 2, 3, 4, 5, 6, 7.</w:t>
      </w:r>
    </w:p>
    <w:p w:rsidR="00BA1B56" w:rsidRPr="00BA1B56" w:rsidRDefault="00BA1B56" w:rsidP="00BA1B56">
      <w:pPr>
        <w:pStyle w:val="TextoNormalSangraFrancesa"/>
        <w:rPr>
          <w:rStyle w:val="TextoNormalCaracter"/>
        </w:rPr>
      </w:pPr>
      <w:bookmarkStart w:id="2286" w:name="DESCRIPTORALFABETICO122"/>
      <w:r w:rsidRPr="00BA1B56">
        <w:rPr>
          <w:rStyle w:val="TextoNormalNegritaCaracter"/>
        </w:rPr>
        <w:t>Tributos autonómicos</w:t>
      </w:r>
      <w:bookmarkEnd w:id="2286"/>
      <w:r w:rsidRPr="00BA1B56">
        <w:rPr>
          <w:rStyle w:val="TextoNormalCaracter"/>
        </w:rPr>
        <w:t xml:space="preserve">, Sentencias </w:t>
      </w:r>
      <w:hyperlink w:anchor="SENTENCIA_2012_122" w:history="1">
        <w:r w:rsidRPr="00BA1B56">
          <w:rPr>
            <w:rStyle w:val="TextoNormalCaracter"/>
          </w:rPr>
          <w:t>122/2012</w:t>
        </w:r>
      </w:hyperlink>
      <w:r w:rsidRPr="00BA1B56">
        <w:rPr>
          <w:rStyle w:val="TextoNormalCaracter"/>
        </w:rPr>
        <w:t xml:space="preserve">, f. 3; </w:t>
      </w:r>
      <w:hyperlink w:anchor="SENTENCIA_2012_123" w:history="1">
        <w:r w:rsidRPr="00BA1B56">
          <w:rPr>
            <w:rStyle w:val="TextoNormalCaracter"/>
          </w:rPr>
          <w:t>123/2012</w:t>
        </w:r>
      </w:hyperlink>
      <w:r w:rsidRPr="00BA1B56">
        <w:rPr>
          <w:rStyle w:val="TextoNormalCaracter"/>
        </w:rPr>
        <w:t>, f. 7.</w:t>
      </w:r>
    </w:p>
    <w:p w:rsidR="00BA1B56" w:rsidRPr="00BA1B56" w:rsidRDefault="00BA1B56" w:rsidP="00BA1B56">
      <w:pPr>
        <w:pStyle w:val="TextoNormalSangraFrancesa"/>
        <w:rPr>
          <w:rStyle w:val="TextoNormalCaracter"/>
        </w:rPr>
      </w:pPr>
      <w:bookmarkStart w:id="2287" w:name="DESCRIPTORALFABETICO124"/>
      <w:r w:rsidRPr="00BA1B56">
        <w:rPr>
          <w:rStyle w:val="TextoNormalNegritaCaracter"/>
        </w:rPr>
        <w:t>Tributos cedidos</w:t>
      </w:r>
      <w:bookmarkEnd w:id="2287"/>
      <w:r w:rsidRPr="00BA1B56">
        <w:rPr>
          <w:rStyle w:val="TextoNormalCaracter"/>
        </w:rPr>
        <w:t xml:space="preserve">, Sentencias </w:t>
      </w:r>
      <w:hyperlink w:anchor="SENTENCIA_2012_19" w:history="1">
        <w:r w:rsidRPr="00BA1B56">
          <w:rPr>
            <w:rStyle w:val="TextoNormalCaracter"/>
          </w:rPr>
          <w:t>19/2012</w:t>
        </w:r>
      </w:hyperlink>
      <w:r w:rsidRPr="00BA1B56">
        <w:rPr>
          <w:rStyle w:val="TextoNormalCaracter"/>
        </w:rPr>
        <w:t xml:space="preserve">, f. 11; </w:t>
      </w:r>
      <w:hyperlink w:anchor="SENTENCIA_2012_35" w:history="1">
        <w:r w:rsidRPr="00BA1B56">
          <w:rPr>
            <w:rStyle w:val="TextoNormalCaracter"/>
          </w:rPr>
          <w:t>35/2012</w:t>
        </w:r>
      </w:hyperlink>
      <w:r w:rsidRPr="00BA1B56">
        <w:rPr>
          <w:rStyle w:val="TextoNormalCaracter"/>
        </w:rPr>
        <w:t>, ff. 7, 8, 9.</w:t>
      </w:r>
    </w:p>
    <w:p w:rsidR="00BA1B56" w:rsidRPr="00BA1B56" w:rsidRDefault="00BA1B56" w:rsidP="00BA1B56">
      <w:pPr>
        <w:pStyle w:val="TextoNormalSangraFrancesa"/>
        <w:rPr>
          <w:rStyle w:val="TextoNormalNegritaCaracter"/>
        </w:rPr>
      </w:pPr>
      <w:r w:rsidRPr="00BA1B56">
        <w:rPr>
          <w:rStyle w:val="TextoNormalCursivaCaracter"/>
        </w:rPr>
        <w:t>Tributos propios</w:t>
      </w:r>
      <w:r>
        <w:t xml:space="preserve"> véase </w:t>
      </w:r>
      <w:hyperlink w:anchor="DESCRIPTORALFABETICO122" w:history="1">
        <w:r w:rsidRPr="00BA1B56">
          <w:rPr>
            <w:rStyle w:val="TextoNormalNegritaCaracter"/>
          </w:rPr>
          <w:t>Tributos autonómicos</w:t>
        </w:r>
      </w:hyperlink>
    </w:p>
    <w:p w:rsidR="00BA1B56" w:rsidRPr="00BA1B56" w:rsidRDefault="00BA1B56" w:rsidP="00BA1B56">
      <w:pPr>
        <w:pStyle w:val="TextoNormalSangraFrancesa"/>
        <w:rPr>
          <w:rStyle w:val="TextoNormalCaracter"/>
        </w:rPr>
      </w:pPr>
      <w:bookmarkStart w:id="2288" w:name="DESCRIPTORALFABETICO440"/>
      <w:r w:rsidRPr="00BA1B56">
        <w:rPr>
          <w:rStyle w:val="TextoNormalNegritaCaracter"/>
        </w:rPr>
        <w:t>Turno de juristas de reconocida competencia</w:t>
      </w:r>
      <w:bookmarkEnd w:id="2288"/>
      <w:r w:rsidRPr="00BA1B56">
        <w:rPr>
          <w:rStyle w:val="TextoNormalCaracter"/>
        </w:rPr>
        <w:t xml:space="preserve">, Auto </w:t>
      </w:r>
      <w:hyperlink w:anchor="AUTO_2012_116" w:history="1">
        <w:r w:rsidRPr="00BA1B56">
          <w:rPr>
            <w:rStyle w:val="TextoNormalCaracter"/>
          </w:rPr>
          <w:t>116/2012</w:t>
        </w:r>
      </w:hyperlink>
      <w:r w:rsidRPr="00BA1B56">
        <w:rPr>
          <w:rStyle w:val="TextoNormalCaracter"/>
        </w:rPr>
        <w:t>, f. 1.</w:t>
      </w:r>
    </w:p>
    <w:p w:rsidR="00BA1B56" w:rsidRPr="00BA1B56" w:rsidRDefault="00BA1B56" w:rsidP="00BA1B56">
      <w:pPr>
        <w:pStyle w:val="TextoNormalSangraFrancesa"/>
        <w:rPr>
          <w:rStyle w:val="TextoNormalCaracter"/>
        </w:rPr>
      </w:pPr>
      <w:bookmarkStart w:id="2289" w:name="DESCRIPTORALFABETICO73"/>
      <w:r w:rsidRPr="00BA1B56">
        <w:rPr>
          <w:rStyle w:val="TextoNormalNegritaCaracter"/>
        </w:rPr>
        <w:t>Tutela financiera de los Entes locales</w:t>
      </w:r>
      <w:bookmarkEnd w:id="2289"/>
      <w:r w:rsidRPr="00BA1B56">
        <w:rPr>
          <w:rStyle w:val="TextoNormalCaracter"/>
        </w:rPr>
        <w:t xml:space="preserve">, Sentencia </w:t>
      </w:r>
      <w:hyperlink w:anchor="SENTENCIA_2012_120" w:history="1">
        <w:r w:rsidRPr="00BA1B56">
          <w:rPr>
            <w:rStyle w:val="TextoNormalCaracter"/>
          </w:rPr>
          <w:t>120/2012</w:t>
        </w:r>
      </w:hyperlink>
      <w:r w:rsidRPr="00BA1B56">
        <w:rPr>
          <w:rStyle w:val="TextoNormalCaracter"/>
        </w:rPr>
        <w:t>, ff. 5, 7, 8.</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U</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2290" w:name="DESCRIPTORALFABETICO470"/>
      <w:r w:rsidRPr="00BA1B56">
        <w:rPr>
          <w:rStyle w:val="TextoNormalNegritaCaracter"/>
        </w:rPr>
        <w:t>Unión Europea</w:t>
      </w:r>
      <w:bookmarkEnd w:id="2290"/>
      <w:r w:rsidRPr="00BA1B56">
        <w:rPr>
          <w:rStyle w:val="TextoNormalCaracter"/>
        </w:rPr>
        <w:t xml:space="preserve">, Sentencias </w:t>
      </w:r>
      <w:hyperlink w:anchor="SENTENCIA_2012_100" w:history="1">
        <w:r w:rsidRPr="00BA1B56">
          <w:rPr>
            <w:rStyle w:val="TextoNormalCaracter"/>
          </w:rPr>
          <w:t>100/2012</w:t>
        </w:r>
      </w:hyperlink>
      <w:r w:rsidRPr="00BA1B56">
        <w:rPr>
          <w:rStyle w:val="TextoNormalCaracter"/>
        </w:rPr>
        <w:t xml:space="preserve">, f. 7; </w:t>
      </w:r>
      <w:hyperlink w:anchor="SENTENCIA_2012_111" w:history="1">
        <w:r w:rsidRPr="00BA1B56">
          <w:rPr>
            <w:rStyle w:val="TextoNormalCaracter"/>
          </w:rPr>
          <w:t>111/2012</w:t>
        </w:r>
      </w:hyperlink>
      <w:r w:rsidRPr="00BA1B56">
        <w:rPr>
          <w:rStyle w:val="TextoNormalCaracter"/>
        </w:rPr>
        <w:t>, ff. 3, 12.</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V</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NegritaCaracter"/>
        </w:rPr>
      </w:pPr>
      <w:r w:rsidRPr="00BA1B56">
        <w:rPr>
          <w:rStyle w:val="TextoNormalCursivaCaracter"/>
        </w:rPr>
        <w:t>Valor jurídico</w:t>
      </w:r>
      <w:r>
        <w:t xml:space="preserve"> véase </w:t>
      </w:r>
      <w:hyperlink w:anchor="DESCRIPTORALFABETICO747" w:history="1">
        <w:r w:rsidRPr="00BA1B56">
          <w:rPr>
            <w:rStyle w:val="TextoNormalNegritaCaracter"/>
          </w:rPr>
          <w:t>Valor normativo</w:t>
        </w:r>
      </w:hyperlink>
    </w:p>
    <w:p w:rsidR="00BA1B56" w:rsidRPr="00BA1B56" w:rsidRDefault="00BA1B56" w:rsidP="00BA1B56">
      <w:pPr>
        <w:pStyle w:val="TextoNormalSangraFrancesa"/>
        <w:rPr>
          <w:rStyle w:val="TextoNormalCaracter"/>
        </w:rPr>
      </w:pPr>
      <w:bookmarkStart w:id="2291" w:name="DESCRIPTORALFABETICO747"/>
      <w:r w:rsidRPr="00BA1B56">
        <w:rPr>
          <w:rStyle w:val="TextoNormalNegritaCaracter"/>
        </w:rPr>
        <w:t>Valor normativo</w:t>
      </w:r>
      <w:bookmarkEnd w:id="2291"/>
      <w:r w:rsidRPr="00BA1B56">
        <w:rPr>
          <w:rStyle w:val="TextoNormalCaracter"/>
        </w:rPr>
        <w:t xml:space="preserve">, Sentencia </w:t>
      </w:r>
      <w:hyperlink w:anchor="SENTENCIA_2012_99" w:history="1">
        <w:r w:rsidRPr="00BA1B56">
          <w:rPr>
            <w:rStyle w:val="TextoNormalCaracter"/>
          </w:rPr>
          <w:t>99/2012</w:t>
        </w:r>
      </w:hyperlink>
      <w:r w:rsidRPr="00BA1B56">
        <w:rPr>
          <w:rStyle w:val="TextoNormalCaracter"/>
        </w:rPr>
        <w:t>, f. 2.</w:t>
      </w:r>
    </w:p>
    <w:p w:rsidR="00BA1B56" w:rsidRPr="00BA1B56" w:rsidRDefault="00BA1B56" w:rsidP="00BA1B56">
      <w:pPr>
        <w:pStyle w:val="TextoNormalSangraFrancesa"/>
        <w:rPr>
          <w:rStyle w:val="TextoNormalCaracter"/>
        </w:rPr>
      </w:pPr>
      <w:bookmarkStart w:id="2292" w:name="DESCRIPTORALFABETICO906"/>
      <w:r w:rsidRPr="00BA1B56">
        <w:rPr>
          <w:rStyle w:val="TextoNormalNegritaCaracter"/>
        </w:rPr>
        <w:t>Valor probatorio de las actas de infracción</w:t>
      </w:r>
      <w:bookmarkEnd w:id="2292"/>
      <w:r w:rsidRPr="00BA1B56">
        <w:rPr>
          <w:rStyle w:val="TextoNormalCaracter"/>
        </w:rPr>
        <w:t xml:space="preserve">, Sentencia </w:t>
      </w:r>
      <w:hyperlink w:anchor="SENTENCIA_2012_70" w:history="1">
        <w:r w:rsidRPr="00BA1B56">
          <w:rPr>
            <w:rStyle w:val="TextoNormalCaracter"/>
          </w:rPr>
          <w:t>70/2012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2293" w:name="DESCRIPTORALFABETICO644"/>
      <w:r w:rsidRPr="00BA1B56">
        <w:rPr>
          <w:rStyle w:val="TextoNormalNegritaCaracter"/>
        </w:rPr>
        <w:t>Valoración de méritos</w:t>
      </w:r>
      <w:bookmarkEnd w:id="2293"/>
      <w:r w:rsidRPr="00BA1B56">
        <w:rPr>
          <w:rStyle w:val="TextoNormalCaracter"/>
        </w:rPr>
        <w:t xml:space="preserve">, Sentencia </w:t>
      </w:r>
      <w:hyperlink w:anchor="SENTENCIA_2012_27" w:history="1">
        <w:r w:rsidRPr="00BA1B56">
          <w:rPr>
            <w:rStyle w:val="TextoNormalCaracter"/>
          </w:rPr>
          <w:t>27/2012</w:t>
        </w:r>
      </w:hyperlink>
      <w:r w:rsidRPr="00BA1B56">
        <w:rPr>
          <w:rStyle w:val="TextoNormalCaracter"/>
        </w:rPr>
        <w:t>, f. 4.</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68" w:history="1">
        <w:r w:rsidRPr="00BA1B56">
          <w:rPr>
            <w:rStyle w:val="TextoNormalCaracter"/>
          </w:rPr>
          <w:t>68/2012</w:t>
        </w:r>
      </w:hyperlink>
      <w:r w:rsidRPr="00BA1B56">
        <w:rPr>
          <w:rStyle w:val="TextoNormalCaracter"/>
        </w:rPr>
        <w:t>, ff. 3, 4.</w:t>
      </w:r>
    </w:p>
    <w:p w:rsidR="00BA1B56" w:rsidRPr="00BA1B56" w:rsidRDefault="00BA1B56" w:rsidP="00BA1B56">
      <w:pPr>
        <w:pStyle w:val="TextoNormalSangraFrancesa"/>
        <w:rPr>
          <w:rStyle w:val="TextoNormalCaracter"/>
        </w:rPr>
      </w:pPr>
      <w:bookmarkStart w:id="2294" w:name="DESCRIPTORALFABETICO115"/>
      <w:r w:rsidRPr="00BA1B56">
        <w:rPr>
          <w:rStyle w:val="TextoNormalNegritaCaracter"/>
        </w:rPr>
        <w:t>Variaciones patrimoniales</w:t>
      </w:r>
      <w:bookmarkEnd w:id="2294"/>
      <w:r w:rsidRPr="00BA1B56">
        <w:rPr>
          <w:rStyle w:val="TextoNormalCaracter"/>
        </w:rPr>
        <w:t xml:space="preserve">, Sentencia </w:t>
      </w:r>
      <w:hyperlink w:anchor="SENTENCIA_2012_19" w:history="1">
        <w:r w:rsidRPr="00BA1B56">
          <w:rPr>
            <w:rStyle w:val="TextoNormalCaracter"/>
          </w:rPr>
          <w:t>19/2012</w:t>
        </w:r>
      </w:hyperlink>
      <w:r w:rsidRPr="00BA1B56">
        <w:rPr>
          <w:rStyle w:val="TextoNormalCaracter"/>
        </w:rPr>
        <w:t>, f. 7.</w:t>
      </w:r>
    </w:p>
    <w:p w:rsidR="00BA1B56" w:rsidRPr="00BA1B56" w:rsidRDefault="00BA1B56" w:rsidP="00BA1B56">
      <w:pPr>
        <w:pStyle w:val="TextoNormalSangraFrancesa"/>
        <w:rPr>
          <w:rStyle w:val="TextoNormalCaracter"/>
        </w:rPr>
      </w:pPr>
      <w:bookmarkStart w:id="2295" w:name="DESCRIPTORALFABETICO552"/>
      <w:r w:rsidRPr="00BA1B56">
        <w:rPr>
          <w:rStyle w:val="TextoNormalNegritaCaracter"/>
        </w:rPr>
        <w:t>Ventas a pérdida</w:t>
      </w:r>
      <w:bookmarkEnd w:id="2295"/>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 12.</w:t>
      </w:r>
    </w:p>
    <w:p w:rsidR="00BA1B56" w:rsidRPr="00BA1B56" w:rsidRDefault="00BA1B56" w:rsidP="00BA1B56">
      <w:pPr>
        <w:pStyle w:val="TextoNormalSangraFrancesa"/>
        <w:rPr>
          <w:rStyle w:val="TextoNormalCaracter"/>
        </w:rPr>
      </w:pPr>
      <w:bookmarkStart w:id="2296" w:name="DESCRIPTORALFABETICO553"/>
      <w:r w:rsidRPr="00BA1B56">
        <w:rPr>
          <w:rStyle w:val="TextoNormalNegritaCaracter"/>
        </w:rPr>
        <w:t>Ventas de promoción</w:t>
      </w:r>
      <w:bookmarkEnd w:id="2296"/>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 11.</w:t>
      </w:r>
    </w:p>
    <w:p w:rsidR="00BA1B56" w:rsidRPr="00BA1B56" w:rsidRDefault="00BA1B56" w:rsidP="00BA1B56">
      <w:pPr>
        <w:pStyle w:val="TextoNormalSangraFrancesa"/>
        <w:rPr>
          <w:rStyle w:val="TextoNormalCaracter"/>
        </w:rPr>
      </w:pPr>
      <w:bookmarkStart w:id="2297" w:name="DESCRIPTORALFABETICO554"/>
      <w:r w:rsidRPr="00BA1B56">
        <w:rPr>
          <w:rStyle w:val="TextoNormalNegritaCaracter"/>
        </w:rPr>
        <w:t>Ventas de saldos</w:t>
      </w:r>
      <w:bookmarkEnd w:id="2297"/>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 10.</w:t>
      </w:r>
    </w:p>
    <w:p w:rsidR="00BA1B56" w:rsidRPr="00BA1B56" w:rsidRDefault="00BA1B56" w:rsidP="00BA1B56">
      <w:pPr>
        <w:pStyle w:val="TextoNormalSangraFrancesa"/>
        <w:rPr>
          <w:rStyle w:val="TextoNormalCaracter"/>
        </w:rPr>
      </w:pPr>
      <w:bookmarkStart w:id="2298" w:name="DESCRIPTORALFABETICO555"/>
      <w:r w:rsidRPr="00BA1B56">
        <w:rPr>
          <w:rStyle w:val="TextoNormalNegritaCaracter"/>
        </w:rPr>
        <w:t>Ventas especiales</w:t>
      </w:r>
      <w:bookmarkEnd w:id="2298"/>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ff. 10, 11, 12.</w:t>
      </w:r>
    </w:p>
    <w:p w:rsidR="00BA1B56" w:rsidRPr="00BA1B56" w:rsidRDefault="00BA1B56" w:rsidP="00BA1B56">
      <w:pPr>
        <w:pStyle w:val="TextoNormalSangraFrancesa"/>
        <w:rPr>
          <w:rStyle w:val="TextoNormalCaracter"/>
        </w:rPr>
      </w:pPr>
      <w:bookmarkStart w:id="2299" w:name="DESCRIPTORALFABETICO452"/>
      <w:r w:rsidRPr="00BA1B56">
        <w:rPr>
          <w:rStyle w:val="TextoNormalNegritaCaracter"/>
        </w:rPr>
        <w:lastRenderedPageBreak/>
        <w:t>Vicios en el procedimiento legislativo</w:t>
      </w:r>
      <w:bookmarkEnd w:id="2299"/>
      <w:r w:rsidRPr="00BA1B56">
        <w:rPr>
          <w:rStyle w:val="TextoNormalCaracter"/>
        </w:rPr>
        <w:t xml:space="preserve">, Sentencia </w:t>
      </w:r>
      <w:hyperlink w:anchor="SENTENCIA_2012_102" w:history="1">
        <w:r w:rsidRPr="00BA1B56">
          <w:rPr>
            <w:rStyle w:val="TextoNormalCaracter"/>
          </w:rPr>
          <w:t>102/2012</w:t>
        </w:r>
      </w:hyperlink>
      <w:r w:rsidRPr="00BA1B56">
        <w:rPr>
          <w:rStyle w:val="TextoNormalCaracter"/>
        </w:rPr>
        <w:t>, f. 3.</w:t>
      </w:r>
    </w:p>
    <w:p w:rsidR="00BA1B56" w:rsidRPr="00BA1B56" w:rsidRDefault="00BA1B56" w:rsidP="00BA1B56">
      <w:pPr>
        <w:pStyle w:val="TextoNormalSangraFrancesa"/>
        <w:rPr>
          <w:rStyle w:val="TextoNormalCaracter"/>
        </w:rPr>
      </w:pPr>
      <w:bookmarkStart w:id="2300" w:name="DESCRIPTORALFABETICO769"/>
      <w:r w:rsidRPr="00BA1B56">
        <w:rPr>
          <w:rStyle w:val="TextoNormalNegritaCaracter"/>
        </w:rPr>
        <w:t>Vida privada</w:t>
      </w:r>
      <w:bookmarkEnd w:id="2300"/>
      <w:r w:rsidRPr="00BA1B56">
        <w:rPr>
          <w:rStyle w:val="TextoNormalCaracter"/>
        </w:rPr>
        <w:t xml:space="preserve">, Sentencia </w:t>
      </w:r>
      <w:hyperlink w:anchor="SENTENCIA_2012_12" w:history="1">
        <w:r w:rsidRPr="00BA1B56">
          <w:rPr>
            <w:rStyle w:val="TextoNormalCaracter"/>
          </w:rPr>
          <w:t>12/2012</w:t>
        </w:r>
      </w:hyperlink>
      <w:r w:rsidRPr="00BA1B56">
        <w:rPr>
          <w:rStyle w:val="TextoNormalCaracter"/>
        </w:rPr>
        <w:t>, f. 6.</w:t>
      </w:r>
    </w:p>
    <w:p w:rsidR="00BA1B56" w:rsidRPr="00BA1B56" w:rsidRDefault="00BA1B56" w:rsidP="00BA1B56">
      <w:pPr>
        <w:pStyle w:val="TextoNormalSangraFrancesa"/>
        <w:rPr>
          <w:rStyle w:val="TextoNormalCaracter"/>
        </w:rPr>
      </w:pPr>
      <w:bookmarkStart w:id="2301" w:name="DESCRIPTORALFABETICO922"/>
      <w:r w:rsidRPr="00BA1B56">
        <w:rPr>
          <w:rStyle w:val="TextoNormalNegritaCaracter"/>
        </w:rPr>
        <w:t>Vigencia de medidas cautelares</w:t>
      </w:r>
      <w:bookmarkEnd w:id="2301"/>
      <w:r w:rsidRPr="00BA1B56">
        <w:rPr>
          <w:rStyle w:val="TextoNormalCaracter"/>
        </w:rPr>
        <w:t xml:space="preserve">, Sentencia </w:t>
      </w:r>
      <w:hyperlink w:anchor="SENTENCIA_2012_16" w:history="1">
        <w:r w:rsidRPr="00BA1B56">
          <w:rPr>
            <w:rStyle w:val="TextoNormalCaracter"/>
          </w:rPr>
          <w:t>16/2012</w:t>
        </w:r>
      </w:hyperlink>
      <w:r w:rsidRPr="00BA1B56">
        <w:rPr>
          <w:rStyle w:val="TextoNormalCaracter"/>
        </w:rPr>
        <w:t>, ff. 4 a 6.</w:t>
      </w:r>
    </w:p>
    <w:p w:rsidR="00BA1B56" w:rsidRPr="00BA1B56" w:rsidRDefault="00BA1B56" w:rsidP="00BA1B56">
      <w:pPr>
        <w:pStyle w:val="TextoNormalSangraFrancesa"/>
        <w:rPr>
          <w:rStyle w:val="TextoNormalNegritaCaracter"/>
        </w:rPr>
      </w:pPr>
      <w:r w:rsidRPr="00BA1B56">
        <w:rPr>
          <w:rStyle w:val="TextoNormalCursivaCaracter"/>
        </w:rPr>
        <w:t>Vinos</w:t>
      </w:r>
      <w:r>
        <w:t xml:space="preserve"> véase </w:t>
      </w:r>
      <w:hyperlink w:anchor="DESCRIPTORALFABETICO533" w:history="1">
        <w:r w:rsidRPr="00BA1B56">
          <w:rPr>
            <w:rStyle w:val="TextoNormalNegritaCaracter"/>
          </w:rPr>
          <w:t>Viticultura</w:t>
        </w:r>
      </w:hyperlink>
    </w:p>
    <w:p w:rsidR="00BA1B56" w:rsidRPr="00BA1B56" w:rsidRDefault="00BA1B56" w:rsidP="00BA1B56">
      <w:pPr>
        <w:pStyle w:val="TextoNormalSangraFrancesa"/>
        <w:rPr>
          <w:rStyle w:val="TextoNormalCaracter"/>
        </w:rPr>
      </w:pPr>
      <w:bookmarkStart w:id="2302" w:name="DESCRIPTORALFABETICO533"/>
      <w:r w:rsidRPr="00BA1B56">
        <w:rPr>
          <w:rStyle w:val="TextoNormalNegritaCaracter"/>
        </w:rPr>
        <w:t>Viticultura</w:t>
      </w:r>
      <w:bookmarkEnd w:id="2302"/>
      <w:r w:rsidRPr="00BA1B56">
        <w:rPr>
          <w:rStyle w:val="TextoNormalCaracter"/>
        </w:rPr>
        <w:t xml:space="preserve">, Sentencias </w:t>
      </w:r>
      <w:hyperlink w:anchor="SENTENCIA_2012_90" w:history="1">
        <w:r w:rsidRPr="00BA1B56">
          <w:rPr>
            <w:rStyle w:val="TextoNormalCaracter"/>
          </w:rPr>
          <w:t>90/2012</w:t>
        </w:r>
      </w:hyperlink>
      <w:r w:rsidRPr="00BA1B56">
        <w:rPr>
          <w:rStyle w:val="TextoNormalCaracter"/>
        </w:rPr>
        <w:t xml:space="preserve">, ff. 1 a 6; </w:t>
      </w:r>
      <w:hyperlink w:anchor="SENTENCIA_2012_109" w:history="1">
        <w:r w:rsidRPr="00BA1B56">
          <w:rPr>
            <w:rStyle w:val="TextoNormalCaracter"/>
          </w:rPr>
          <w:t>109/2012</w:t>
        </w:r>
      </w:hyperlink>
      <w:r w:rsidRPr="00BA1B56">
        <w:rPr>
          <w:rStyle w:val="TextoNormalCaracter"/>
        </w:rPr>
        <w:t xml:space="preserve">, ff. 1 a 3; </w:t>
      </w:r>
      <w:hyperlink w:anchor="SENTENCIA_2012_127" w:history="1">
        <w:r w:rsidRPr="00BA1B56">
          <w:rPr>
            <w:rStyle w:val="TextoNormalCaracter"/>
          </w:rPr>
          <w:t>127/2012</w:t>
        </w:r>
      </w:hyperlink>
      <w:r w:rsidRPr="00BA1B56">
        <w:rPr>
          <w:rStyle w:val="TextoNormalCaracter"/>
        </w:rPr>
        <w:t>, ff. 1 a 3.</w:t>
      </w:r>
    </w:p>
    <w:p w:rsidR="00BA1B56" w:rsidRPr="00BA1B56" w:rsidRDefault="00BA1B56" w:rsidP="00BA1B56">
      <w:pPr>
        <w:pStyle w:val="TextoNormalSangraFrancesa"/>
        <w:rPr>
          <w:rStyle w:val="TextoNormalCaracter"/>
        </w:rPr>
      </w:pPr>
      <w:bookmarkStart w:id="2303" w:name="DESCRIPTORALFABETICO403"/>
      <w:r w:rsidRPr="00BA1B56">
        <w:rPr>
          <w:rStyle w:val="TextoNormalNegritaCaracter"/>
        </w:rPr>
        <w:t>Voto particular concurrente</w:t>
      </w:r>
      <w:bookmarkEnd w:id="2303"/>
      <w:r w:rsidRPr="00BA1B56">
        <w:rPr>
          <w:rStyle w:val="TextoNormalCaracter"/>
        </w:rPr>
        <w:t xml:space="preserve">, Sentencias </w:t>
      </w:r>
      <w:hyperlink w:anchor="SENTENCIA_2012_9" w:history="1">
        <w:r w:rsidRPr="00BA1B56">
          <w:rPr>
            <w:rStyle w:val="TextoNormalCaracter"/>
          </w:rPr>
          <w:t>9/2012</w:t>
        </w:r>
      </w:hyperlink>
      <w:r w:rsidRPr="00BA1B56">
        <w:rPr>
          <w:rStyle w:val="TextoNormalCaracter"/>
        </w:rPr>
        <w:t xml:space="preserve">; </w:t>
      </w:r>
      <w:hyperlink w:anchor="SENTENCIA_2012_36" w:history="1">
        <w:r w:rsidRPr="00BA1B56">
          <w:rPr>
            <w:rStyle w:val="TextoNormalCaracter"/>
          </w:rPr>
          <w:t>36/2012</w:t>
        </w:r>
      </w:hyperlink>
      <w:r w:rsidRPr="00BA1B56">
        <w:rPr>
          <w:rStyle w:val="TextoNormalCaracter"/>
        </w:rPr>
        <w:t xml:space="preserve">; </w:t>
      </w:r>
      <w:hyperlink w:anchor="SENTENCIA_2012_39" w:history="1">
        <w:r w:rsidRPr="00BA1B56">
          <w:rPr>
            <w:rStyle w:val="TextoNormalCaracter"/>
          </w:rPr>
          <w:t>39/2012</w:t>
        </w:r>
      </w:hyperlink>
      <w:r w:rsidRPr="00BA1B56">
        <w:rPr>
          <w:rStyle w:val="TextoNormalCaracter"/>
        </w:rPr>
        <w:t xml:space="preserve">; </w:t>
      </w:r>
      <w:hyperlink w:anchor="SENTENCIA_2012_57" w:history="1">
        <w:r w:rsidRPr="00BA1B56">
          <w:rPr>
            <w:rStyle w:val="TextoNormalCaracter"/>
          </w:rPr>
          <w:t>57/2012</w:t>
        </w:r>
      </w:hyperlink>
      <w:r w:rsidRPr="00BA1B56">
        <w:rPr>
          <w:rStyle w:val="TextoNormalCaracter"/>
        </w:rPr>
        <w:t xml:space="preserve">; </w:t>
      </w:r>
      <w:hyperlink w:anchor="SENTENCIA_2012_72" w:history="1">
        <w:r w:rsidRPr="00BA1B56">
          <w:rPr>
            <w:rStyle w:val="TextoNormalCaracter"/>
          </w:rPr>
          <w:t>72/2012</w:t>
        </w:r>
      </w:hyperlink>
      <w:r w:rsidRPr="00BA1B56">
        <w:rPr>
          <w:rStyle w:val="TextoNormalCaracter"/>
        </w:rPr>
        <w:t xml:space="preserve">; </w:t>
      </w:r>
      <w:hyperlink w:anchor="SENTENCIA_2012_81" w:history="1">
        <w:r w:rsidRPr="00BA1B56">
          <w:rPr>
            <w:rStyle w:val="TextoNormalCaracter"/>
          </w:rPr>
          <w:t>81/2012</w:t>
        </w:r>
      </w:hyperlink>
      <w:r w:rsidRPr="00BA1B56">
        <w:rPr>
          <w:rStyle w:val="TextoNormalCaracter"/>
        </w:rPr>
        <w:t>.</w:t>
      </w:r>
    </w:p>
    <w:p w:rsidR="00BA1B56" w:rsidRPr="00BA1B56" w:rsidRDefault="00BA1B56" w:rsidP="00BA1B56">
      <w:pPr>
        <w:pStyle w:val="TextoNormalSangraFrancesa"/>
        <w:rPr>
          <w:rStyle w:val="TextoNormalCaracter"/>
        </w:rPr>
      </w:pPr>
      <w:bookmarkStart w:id="2304" w:name="DESCRIPTORALFABETICO404"/>
      <w:r w:rsidRPr="00BA1B56">
        <w:rPr>
          <w:rStyle w:val="TextoNormalNegritaCaracter"/>
        </w:rPr>
        <w:t>Voto particular, formulado uno</w:t>
      </w:r>
      <w:bookmarkEnd w:id="2304"/>
      <w:r w:rsidRPr="00BA1B56">
        <w:rPr>
          <w:rStyle w:val="TextoNormalCaracter"/>
        </w:rPr>
        <w:t xml:space="preserve">, Sentencias </w:t>
      </w:r>
      <w:hyperlink w:anchor="SENTENCIA_2012_1" w:history="1">
        <w:r w:rsidRPr="00BA1B56">
          <w:rPr>
            <w:rStyle w:val="TextoNormalCaracter"/>
          </w:rPr>
          <w:t>1/2012</w:t>
        </w:r>
      </w:hyperlink>
      <w:r w:rsidRPr="00BA1B56">
        <w:rPr>
          <w:rStyle w:val="TextoNormalCaracter"/>
        </w:rPr>
        <w:t xml:space="preserve">; </w:t>
      </w:r>
      <w:hyperlink w:anchor="SENTENCIA_2012_9" w:history="1">
        <w:r w:rsidRPr="00BA1B56">
          <w:rPr>
            <w:rStyle w:val="TextoNormalCaracter"/>
          </w:rPr>
          <w:t>9/2012</w:t>
        </w:r>
      </w:hyperlink>
      <w:r w:rsidRPr="00BA1B56">
        <w:rPr>
          <w:rStyle w:val="TextoNormalCaracter"/>
        </w:rPr>
        <w:t xml:space="preserve">; </w:t>
      </w:r>
      <w:hyperlink w:anchor="SENTENCIA_2012_21" w:history="1">
        <w:r w:rsidRPr="00BA1B56">
          <w:rPr>
            <w:rStyle w:val="TextoNormalCaracter"/>
          </w:rPr>
          <w:t>21/2012</w:t>
        </w:r>
      </w:hyperlink>
      <w:r w:rsidRPr="00BA1B56">
        <w:rPr>
          <w:rStyle w:val="TextoNormalCaracter"/>
        </w:rPr>
        <w:t xml:space="preserve">; </w:t>
      </w:r>
      <w:hyperlink w:anchor="SENTENCIA_2012_36" w:history="1">
        <w:r w:rsidRPr="00BA1B56">
          <w:rPr>
            <w:rStyle w:val="TextoNormalCaracter"/>
          </w:rPr>
          <w:t>36/2012</w:t>
        </w:r>
      </w:hyperlink>
      <w:r w:rsidRPr="00BA1B56">
        <w:rPr>
          <w:rStyle w:val="TextoNormalCaracter"/>
        </w:rPr>
        <w:t xml:space="preserve">; </w:t>
      </w:r>
      <w:hyperlink w:anchor="SENTENCIA_2012_43" w:history="1">
        <w:r w:rsidRPr="00BA1B56">
          <w:rPr>
            <w:rStyle w:val="TextoNormalCaracter"/>
          </w:rPr>
          <w:t>43/2012</w:t>
        </w:r>
      </w:hyperlink>
      <w:r w:rsidRPr="00BA1B56">
        <w:rPr>
          <w:rStyle w:val="TextoNormalCaracter"/>
        </w:rPr>
        <w:t xml:space="preserve">; </w:t>
      </w:r>
      <w:hyperlink w:anchor="SENTENCIA_2012_44" w:history="1">
        <w:r w:rsidRPr="00BA1B56">
          <w:rPr>
            <w:rStyle w:val="TextoNormalCaracter"/>
          </w:rPr>
          <w:t>44/2012</w:t>
        </w:r>
      </w:hyperlink>
      <w:r w:rsidRPr="00BA1B56">
        <w:rPr>
          <w:rStyle w:val="TextoNormalCaracter"/>
        </w:rPr>
        <w:t xml:space="preserve">; </w:t>
      </w:r>
      <w:hyperlink w:anchor="SENTENCIA_2012_45" w:history="1">
        <w:r w:rsidRPr="00BA1B56">
          <w:rPr>
            <w:rStyle w:val="TextoNormalCaracter"/>
          </w:rPr>
          <w:t>45/2012</w:t>
        </w:r>
      </w:hyperlink>
      <w:r w:rsidRPr="00BA1B56">
        <w:rPr>
          <w:rStyle w:val="TextoNormalCaracter"/>
        </w:rPr>
        <w:t xml:space="preserve">; </w:t>
      </w:r>
      <w:hyperlink w:anchor="SENTENCIA_2012_46" w:history="1">
        <w:r w:rsidRPr="00BA1B56">
          <w:rPr>
            <w:rStyle w:val="TextoNormalCaracter"/>
          </w:rPr>
          <w:t>46/2012</w:t>
        </w:r>
      </w:hyperlink>
      <w:r w:rsidRPr="00BA1B56">
        <w:rPr>
          <w:rStyle w:val="TextoNormalCaracter"/>
        </w:rPr>
        <w:t xml:space="preserve">; </w:t>
      </w:r>
      <w:hyperlink w:anchor="SENTENCIA_2012_49" w:history="1">
        <w:r w:rsidRPr="00BA1B56">
          <w:rPr>
            <w:rStyle w:val="TextoNormalCaracter"/>
          </w:rPr>
          <w:t>49/2012</w:t>
        </w:r>
      </w:hyperlink>
      <w:r w:rsidRPr="00BA1B56">
        <w:rPr>
          <w:rStyle w:val="TextoNormalCaracter"/>
        </w:rPr>
        <w:t xml:space="preserve">; </w:t>
      </w:r>
      <w:hyperlink w:anchor="SENTENCIA_2012_52" w:history="1">
        <w:r w:rsidRPr="00BA1B56">
          <w:rPr>
            <w:rStyle w:val="TextoNormalCaracter"/>
          </w:rPr>
          <w:t>52/2012</w:t>
        </w:r>
      </w:hyperlink>
      <w:r w:rsidRPr="00BA1B56">
        <w:rPr>
          <w:rStyle w:val="TextoNormalCaracter"/>
        </w:rPr>
        <w:t xml:space="preserve">; </w:t>
      </w:r>
      <w:hyperlink w:anchor="SENTENCIA_2012_53" w:history="1">
        <w:r w:rsidRPr="00BA1B56">
          <w:rPr>
            <w:rStyle w:val="TextoNormalCaracter"/>
          </w:rPr>
          <w:t>53/2012</w:t>
        </w:r>
      </w:hyperlink>
      <w:r w:rsidRPr="00BA1B56">
        <w:rPr>
          <w:rStyle w:val="TextoNormalCaracter"/>
        </w:rPr>
        <w:t xml:space="preserve">; </w:t>
      </w:r>
      <w:hyperlink w:anchor="SENTENCIA_2012_54" w:history="1">
        <w:r w:rsidRPr="00BA1B56">
          <w:rPr>
            <w:rStyle w:val="TextoNormalCaracter"/>
          </w:rPr>
          <w:t>54/2012</w:t>
        </w:r>
      </w:hyperlink>
      <w:r w:rsidRPr="00BA1B56">
        <w:rPr>
          <w:rStyle w:val="TextoNormalCaracter"/>
        </w:rPr>
        <w:t xml:space="preserve">; </w:t>
      </w:r>
      <w:hyperlink w:anchor="SENTENCIA_2012_55" w:history="1">
        <w:r w:rsidRPr="00BA1B56">
          <w:rPr>
            <w:rStyle w:val="TextoNormalCaracter"/>
          </w:rPr>
          <w:t>55/2012</w:t>
        </w:r>
      </w:hyperlink>
      <w:r w:rsidRPr="00BA1B56">
        <w:rPr>
          <w:rStyle w:val="TextoNormalCaracter"/>
        </w:rPr>
        <w:t xml:space="preserve">; </w:t>
      </w:r>
      <w:hyperlink w:anchor="SENTENCIA_2012_59" w:history="1">
        <w:r w:rsidRPr="00BA1B56">
          <w:rPr>
            <w:rStyle w:val="TextoNormalCaracter"/>
          </w:rPr>
          <w:t>59/2012</w:t>
        </w:r>
      </w:hyperlink>
      <w:r w:rsidRPr="00BA1B56">
        <w:rPr>
          <w:rStyle w:val="TextoNormalCaracter"/>
        </w:rPr>
        <w:t xml:space="preserve">; </w:t>
      </w:r>
      <w:hyperlink w:anchor="SENTENCIA_2012_61" w:history="1">
        <w:r w:rsidRPr="00BA1B56">
          <w:rPr>
            <w:rStyle w:val="TextoNormalCaracter"/>
          </w:rPr>
          <w:t>61/2012</w:t>
        </w:r>
      </w:hyperlink>
      <w:r w:rsidRPr="00BA1B56">
        <w:rPr>
          <w:rStyle w:val="TextoNormalCaracter"/>
        </w:rPr>
        <w:t xml:space="preserve">; </w:t>
      </w:r>
      <w:hyperlink w:anchor="SENTENCIA_2012_65" w:history="1">
        <w:r w:rsidRPr="00BA1B56">
          <w:rPr>
            <w:rStyle w:val="TextoNormalCaracter"/>
          </w:rPr>
          <w:t>65/2012</w:t>
        </w:r>
      </w:hyperlink>
      <w:r w:rsidRPr="00BA1B56">
        <w:rPr>
          <w:rStyle w:val="TextoNormalCaracter"/>
        </w:rPr>
        <w:t xml:space="preserve">; </w:t>
      </w:r>
      <w:hyperlink w:anchor="SENTENCIA_2012_68" w:history="1">
        <w:r w:rsidRPr="00BA1B56">
          <w:rPr>
            <w:rStyle w:val="TextoNormalCaracter"/>
          </w:rPr>
          <w:t>68/2012</w:t>
        </w:r>
      </w:hyperlink>
      <w:r w:rsidRPr="00BA1B56">
        <w:rPr>
          <w:rStyle w:val="TextoNormalCaracter"/>
        </w:rPr>
        <w:t xml:space="preserve">; </w:t>
      </w:r>
      <w:hyperlink w:anchor="SENTENCIA_2012_69" w:history="1">
        <w:r w:rsidRPr="00BA1B56">
          <w:rPr>
            <w:rStyle w:val="TextoNormalCaracter"/>
          </w:rPr>
          <w:t>69/2012</w:t>
        </w:r>
      </w:hyperlink>
      <w:r w:rsidRPr="00BA1B56">
        <w:rPr>
          <w:rStyle w:val="TextoNormalCaracter"/>
        </w:rPr>
        <w:t xml:space="preserve">; </w:t>
      </w:r>
      <w:hyperlink w:anchor="SENTENCIA_2012_71" w:history="1">
        <w:r w:rsidRPr="00BA1B56">
          <w:rPr>
            <w:rStyle w:val="TextoNormalCaracter"/>
          </w:rPr>
          <w:t>71/2012</w:t>
        </w:r>
      </w:hyperlink>
      <w:r w:rsidRPr="00BA1B56">
        <w:rPr>
          <w:rStyle w:val="TextoNormalCaracter"/>
        </w:rPr>
        <w:t xml:space="preserve">; </w:t>
      </w:r>
      <w:hyperlink w:anchor="SENTENCIA_2012_72" w:history="1">
        <w:r w:rsidRPr="00BA1B56">
          <w:rPr>
            <w:rStyle w:val="TextoNormalCaracter"/>
          </w:rPr>
          <w:t>72/2012</w:t>
        </w:r>
      </w:hyperlink>
      <w:r w:rsidRPr="00BA1B56">
        <w:rPr>
          <w:rStyle w:val="TextoNormalCaracter"/>
        </w:rPr>
        <w:t xml:space="preserve">; </w:t>
      </w:r>
      <w:hyperlink w:anchor="SENTENCIA_2012_75" w:history="1">
        <w:r w:rsidRPr="00BA1B56">
          <w:rPr>
            <w:rStyle w:val="TextoNormalCaracter"/>
          </w:rPr>
          <w:t>75/2012</w:t>
        </w:r>
      </w:hyperlink>
      <w:r w:rsidRPr="00BA1B56">
        <w:rPr>
          <w:rStyle w:val="TextoNormalCaracter"/>
        </w:rPr>
        <w:t xml:space="preserve">; </w:t>
      </w:r>
      <w:hyperlink w:anchor="SENTENCIA_2012_81" w:history="1">
        <w:r w:rsidRPr="00BA1B56">
          <w:rPr>
            <w:rStyle w:val="TextoNormalCaracter"/>
          </w:rPr>
          <w:t>81/2012</w:t>
        </w:r>
      </w:hyperlink>
      <w:r w:rsidRPr="00BA1B56">
        <w:rPr>
          <w:rStyle w:val="TextoNormalCaracter"/>
        </w:rPr>
        <w:t xml:space="preserve">; </w:t>
      </w:r>
      <w:hyperlink w:anchor="SENTENCIA_2012_93" w:history="1">
        <w:r w:rsidRPr="00BA1B56">
          <w:rPr>
            <w:rStyle w:val="TextoNormalCaracter"/>
          </w:rPr>
          <w:t>93/2012</w:t>
        </w:r>
      </w:hyperlink>
      <w:r w:rsidRPr="00BA1B56">
        <w:rPr>
          <w:rStyle w:val="TextoNormalCaracter"/>
        </w:rPr>
        <w:t xml:space="preserve">; </w:t>
      </w:r>
      <w:hyperlink w:anchor="SENTENCIA_2012_98" w:history="1">
        <w:r w:rsidRPr="00BA1B56">
          <w:rPr>
            <w:rStyle w:val="TextoNormalCaracter"/>
          </w:rPr>
          <w:t>98/2012</w:t>
        </w:r>
      </w:hyperlink>
      <w:r w:rsidRPr="00BA1B56">
        <w:rPr>
          <w:rStyle w:val="TextoNormalCaracter"/>
        </w:rPr>
        <w:t xml:space="preserve">; </w:t>
      </w:r>
      <w:hyperlink w:anchor="SENTENCIA_2012_105" w:history="1">
        <w:r w:rsidRPr="00BA1B56">
          <w:rPr>
            <w:rStyle w:val="TextoNormalCaracter"/>
          </w:rPr>
          <w:t>105/2012</w:t>
        </w:r>
      </w:hyperlink>
      <w:r w:rsidRPr="00BA1B56">
        <w:rPr>
          <w:rStyle w:val="TextoNormalCaracter"/>
        </w:rPr>
        <w:t xml:space="preserve">; </w:t>
      </w:r>
      <w:hyperlink w:anchor="SENTENCIA_2012_114" w:history="1">
        <w:r w:rsidRPr="00BA1B56">
          <w:rPr>
            <w:rStyle w:val="TextoNormalCaracter"/>
          </w:rPr>
          <w:t>114/2012</w:t>
        </w:r>
      </w:hyperlink>
      <w:r w:rsidRPr="00BA1B56">
        <w:rPr>
          <w:rStyle w:val="TextoNormalCaracter"/>
        </w:rPr>
        <w:t xml:space="preserve">; </w:t>
      </w:r>
      <w:hyperlink w:anchor="SENTENCIA_2012_132" w:history="1">
        <w:r w:rsidRPr="00BA1B56">
          <w:rPr>
            <w:rStyle w:val="TextoNormalCaracter"/>
          </w:rPr>
          <w:t>132/2012</w:t>
        </w:r>
      </w:hyperlink>
      <w:r w:rsidRPr="00BA1B56">
        <w:rPr>
          <w:rStyle w:val="TextoNormalCaracter"/>
        </w:rPr>
        <w:t>.</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7" w:history="1">
        <w:r w:rsidRPr="00BA1B56">
          <w:rPr>
            <w:rStyle w:val="TextoNormalCaracter"/>
          </w:rPr>
          <w:t>7/2012</w:t>
        </w:r>
      </w:hyperlink>
      <w:r w:rsidRPr="00BA1B56">
        <w:rPr>
          <w:rStyle w:val="TextoNormalCaracter"/>
        </w:rPr>
        <w:t>.</w:t>
      </w:r>
    </w:p>
    <w:p w:rsidR="00BA1B56" w:rsidRPr="00BA1B56" w:rsidRDefault="00BA1B56" w:rsidP="00BA1B56">
      <w:pPr>
        <w:pStyle w:val="TextoNormalSangraFrancesa"/>
        <w:rPr>
          <w:rStyle w:val="TextoNormalCaracter"/>
        </w:rPr>
      </w:pPr>
      <w:bookmarkStart w:id="2305" w:name="DESCRIPTORALFABETICO140"/>
      <w:r w:rsidRPr="00BA1B56">
        <w:rPr>
          <w:rStyle w:val="TextoNormalNegritaCaracter"/>
        </w:rPr>
        <w:t>Voto por correo</w:t>
      </w:r>
      <w:bookmarkEnd w:id="2305"/>
      <w:r w:rsidRPr="00BA1B56">
        <w:rPr>
          <w:rStyle w:val="TextoNormalCaracter"/>
        </w:rPr>
        <w:t xml:space="preserve">, Sentencia </w:t>
      </w:r>
      <w:hyperlink w:anchor="SENTENCIA_2012_105" w:history="1">
        <w:r w:rsidRPr="00BA1B56">
          <w:rPr>
            <w:rStyle w:val="TextoNormalCaracter"/>
          </w:rPr>
          <w:t>105/2012</w:t>
        </w:r>
      </w:hyperlink>
      <w:r w:rsidRPr="00BA1B56">
        <w:rPr>
          <w:rStyle w:val="TextoNormalCaracter"/>
        </w:rPr>
        <w:t>, ff. 1 a 20.</w:t>
      </w:r>
    </w:p>
    <w:p w:rsidR="00BA1B56" w:rsidRPr="00BA1B56" w:rsidRDefault="00BA1B56" w:rsidP="00BA1B56">
      <w:pPr>
        <w:pStyle w:val="TextoNormalSangraFrancesa"/>
        <w:rPr>
          <w:rStyle w:val="TextoNormalCaracter"/>
        </w:rPr>
      </w:pPr>
      <w:bookmarkStart w:id="2306" w:name="DESCRIPTORALFABETICO405"/>
      <w:r w:rsidRPr="00BA1B56">
        <w:rPr>
          <w:rStyle w:val="TextoNormalNegritaCaracter"/>
        </w:rPr>
        <w:t>Votos particulares, formulados cuatro</w:t>
      </w:r>
      <w:bookmarkEnd w:id="2306"/>
      <w:r w:rsidRPr="00BA1B56">
        <w:rPr>
          <w:rStyle w:val="TextoNormalCaracter"/>
        </w:rPr>
        <w:t xml:space="preserve">, Sentencias </w:t>
      </w:r>
      <w:hyperlink w:anchor="SENTENCIA_2012_37" w:history="1">
        <w:r w:rsidRPr="00BA1B56">
          <w:rPr>
            <w:rStyle w:val="TextoNormalCaracter"/>
          </w:rPr>
          <w:t>37/2012</w:t>
        </w:r>
      </w:hyperlink>
      <w:r w:rsidRPr="00BA1B56">
        <w:rPr>
          <w:rStyle w:val="TextoNormalCaracter"/>
        </w:rPr>
        <w:t xml:space="preserve">; </w:t>
      </w:r>
      <w:hyperlink w:anchor="SENTENCIA_2012_41" w:history="1">
        <w:r w:rsidRPr="00BA1B56">
          <w:rPr>
            <w:rStyle w:val="TextoNormalCaracter"/>
          </w:rPr>
          <w:t>41/2012</w:t>
        </w:r>
      </w:hyperlink>
      <w:r w:rsidRPr="00BA1B56">
        <w:rPr>
          <w:rStyle w:val="TextoNormalCaracter"/>
        </w:rPr>
        <w:t xml:space="preserve">; </w:t>
      </w:r>
      <w:hyperlink w:anchor="SENTENCIA_2012_113" w:history="1">
        <w:r w:rsidRPr="00BA1B56">
          <w:rPr>
            <w:rStyle w:val="TextoNormalCaracter"/>
          </w:rPr>
          <w:t>113/2012</w:t>
        </w:r>
      </w:hyperlink>
      <w:r w:rsidRPr="00BA1B56">
        <w:rPr>
          <w:rStyle w:val="TextoNormalCaracter"/>
        </w:rPr>
        <w:t>.</w:t>
      </w:r>
    </w:p>
    <w:p w:rsidR="00BA1B56" w:rsidRPr="00BA1B56" w:rsidRDefault="00BA1B56" w:rsidP="00BA1B56">
      <w:pPr>
        <w:pStyle w:val="TextoNormalSangraFrancesa"/>
        <w:rPr>
          <w:rStyle w:val="TextoNormalCaracter"/>
        </w:rPr>
      </w:pPr>
      <w:bookmarkStart w:id="2307" w:name="DESCRIPTORALFABETICO406"/>
      <w:r w:rsidRPr="00BA1B56">
        <w:rPr>
          <w:rStyle w:val="TextoNormalNegritaCaracter"/>
        </w:rPr>
        <w:t xml:space="preserve">Votos particulares, formulados dos </w:t>
      </w:r>
      <w:bookmarkEnd w:id="2307"/>
      <w:r w:rsidRPr="00BA1B56">
        <w:rPr>
          <w:rStyle w:val="TextoNormalCaracter"/>
        </w:rPr>
        <w:t xml:space="preserve">, Sentencias </w:t>
      </w:r>
      <w:hyperlink w:anchor="SENTENCIA_2012_6" w:history="1">
        <w:r w:rsidRPr="00BA1B56">
          <w:rPr>
            <w:rStyle w:val="TextoNormalCaracter"/>
          </w:rPr>
          <w:t>6/2012</w:t>
        </w:r>
      </w:hyperlink>
      <w:r w:rsidRPr="00BA1B56">
        <w:rPr>
          <w:rStyle w:val="TextoNormalCaracter"/>
        </w:rPr>
        <w:t xml:space="preserve">; </w:t>
      </w:r>
      <w:hyperlink w:anchor="SENTENCIA_2012_39" w:history="1">
        <w:r w:rsidRPr="00BA1B56">
          <w:rPr>
            <w:rStyle w:val="TextoNormalCaracter"/>
          </w:rPr>
          <w:t>39/2012</w:t>
        </w:r>
      </w:hyperlink>
      <w:r w:rsidRPr="00BA1B56">
        <w:rPr>
          <w:rStyle w:val="TextoNormalCaracter"/>
        </w:rPr>
        <w:t xml:space="preserve">; </w:t>
      </w:r>
      <w:hyperlink w:anchor="SENTENCIA_2012_40" w:history="1">
        <w:r w:rsidRPr="00BA1B56">
          <w:rPr>
            <w:rStyle w:val="TextoNormalCaracter"/>
          </w:rPr>
          <w:t>40/2012</w:t>
        </w:r>
      </w:hyperlink>
      <w:r w:rsidRPr="00BA1B56">
        <w:rPr>
          <w:rStyle w:val="TextoNormalCaracter"/>
        </w:rPr>
        <w:t xml:space="preserve">; </w:t>
      </w:r>
      <w:hyperlink w:anchor="SENTENCIA_2012_42" w:history="1">
        <w:r w:rsidRPr="00BA1B56">
          <w:rPr>
            <w:rStyle w:val="TextoNormalCaracter"/>
          </w:rPr>
          <w:t>42/2012</w:t>
        </w:r>
      </w:hyperlink>
      <w:r w:rsidRPr="00BA1B56">
        <w:rPr>
          <w:rStyle w:val="TextoNormalCaracter"/>
        </w:rPr>
        <w:t xml:space="preserve">; </w:t>
      </w:r>
      <w:hyperlink w:anchor="SENTENCIA_2012_47" w:history="1">
        <w:r w:rsidRPr="00BA1B56">
          <w:rPr>
            <w:rStyle w:val="TextoNormalCaracter"/>
          </w:rPr>
          <w:t>47/2012</w:t>
        </w:r>
      </w:hyperlink>
      <w:r w:rsidRPr="00BA1B56">
        <w:rPr>
          <w:rStyle w:val="TextoNormalCaracter"/>
        </w:rPr>
        <w:t xml:space="preserve">; </w:t>
      </w:r>
      <w:hyperlink w:anchor="SENTENCIA_2012_50" w:history="1">
        <w:r w:rsidRPr="00BA1B56">
          <w:rPr>
            <w:rStyle w:val="TextoNormalCaracter"/>
          </w:rPr>
          <w:t>50/2012</w:t>
        </w:r>
      </w:hyperlink>
      <w:r w:rsidRPr="00BA1B56">
        <w:rPr>
          <w:rStyle w:val="TextoNormalCaracter"/>
        </w:rPr>
        <w:t xml:space="preserve">; </w:t>
      </w:r>
      <w:hyperlink w:anchor="SENTENCIA_2012_57" w:history="1">
        <w:r w:rsidRPr="00BA1B56">
          <w:rPr>
            <w:rStyle w:val="TextoNormalCaracter"/>
          </w:rPr>
          <w:t>57/2012</w:t>
        </w:r>
      </w:hyperlink>
      <w:r w:rsidRPr="00BA1B56">
        <w:rPr>
          <w:rStyle w:val="TextoNormalCaracter"/>
        </w:rPr>
        <w:t xml:space="preserve">; </w:t>
      </w:r>
      <w:hyperlink w:anchor="SENTENCIA_2012_64" w:history="1">
        <w:r w:rsidRPr="00BA1B56">
          <w:rPr>
            <w:rStyle w:val="TextoNormalCaracter"/>
          </w:rPr>
          <w:t>64/2012</w:t>
        </w:r>
      </w:hyperlink>
      <w:r w:rsidRPr="00BA1B56">
        <w:rPr>
          <w:rStyle w:val="TextoNormalCaracter"/>
        </w:rPr>
        <w:t xml:space="preserve">; </w:t>
      </w:r>
      <w:hyperlink w:anchor="SENTENCIA_2012_67" w:history="1">
        <w:r w:rsidRPr="00BA1B56">
          <w:rPr>
            <w:rStyle w:val="TextoNormalCaracter"/>
          </w:rPr>
          <w:t>67/2012</w:t>
        </w:r>
      </w:hyperlink>
      <w:r w:rsidRPr="00BA1B56">
        <w:rPr>
          <w:rStyle w:val="TextoNormalCaracter"/>
        </w:rPr>
        <w:t xml:space="preserve">; </w:t>
      </w:r>
      <w:hyperlink w:anchor="SENTENCIA_2012_80" w:history="1">
        <w:r w:rsidRPr="00BA1B56">
          <w:rPr>
            <w:rStyle w:val="TextoNormalCaracter"/>
          </w:rPr>
          <w:t>80/2012</w:t>
        </w:r>
      </w:hyperlink>
      <w:r w:rsidRPr="00BA1B56">
        <w:rPr>
          <w:rStyle w:val="TextoNormalCaracter"/>
        </w:rPr>
        <w:t xml:space="preserve">; </w:t>
      </w:r>
      <w:hyperlink w:anchor="SENTENCIA_2012_82" w:history="1">
        <w:r w:rsidRPr="00BA1B56">
          <w:rPr>
            <w:rStyle w:val="TextoNormalCaracter"/>
          </w:rPr>
          <w:t>82/2012</w:t>
        </w:r>
      </w:hyperlink>
      <w:r w:rsidRPr="00BA1B56">
        <w:rPr>
          <w:rStyle w:val="TextoNormalCaracter"/>
        </w:rPr>
        <w:t>.</w:t>
      </w:r>
    </w:p>
    <w:p w:rsidR="00BA1B56" w:rsidRPr="00BA1B56" w:rsidRDefault="00BA1B56" w:rsidP="00BA1B56">
      <w:pPr>
        <w:pStyle w:val="TextoNormalSangraFrancesa"/>
        <w:rPr>
          <w:rStyle w:val="TextoNormalCaracter"/>
        </w:rPr>
      </w:pPr>
      <w:bookmarkStart w:id="2308" w:name="DESCRIPTORALFABETICO407"/>
      <w:r w:rsidRPr="00BA1B56">
        <w:rPr>
          <w:rStyle w:val="TextoNormalNegritaCaracter"/>
        </w:rPr>
        <w:t>Votos particulares, formulados tres</w:t>
      </w:r>
      <w:bookmarkEnd w:id="2308"/>
      <w:r w:rsidRPr="00BA1B56">
        <w:rPr>
          <w:rStyle w:val="TextoNormalCaracter"/>
        </w:rPr>
        <w:t xml:space="preserve">, Sentencias </w:t>
      </w:r>
      <w:hyperlink w:anchor="SENTENCIA_2012_51" w:history="1">
        <w:r w:rsidRPr="00BA1B56">
          <w:rPr>
            <w:rStyle w:val="TextoNormalCaracter"/>
          </w:rPr>
          <w:t>51/2012</w:t>
        </w:r>
      </w:hyperlink>
      <w:r w:rsidRPr="00BA1B56">
        <w:rPr>
          <w:rStyle w:val="TextoNormalCaracter"/>
        </w:rPr>
        <w:t xml:space="preserve">; </w:t>
      </w:r>
      <w:hyperlink w:anchor="SENTENCIA_2012_56" w:history="1">
        <w:r w:rsidRPr="00BA1B56">
          <w:rPr>
            <w:rStyle w:val="TextoNormalCaracter"/>
          </w:rPr>
          <w:t>56/2012</w:t>
        </w:r>
      </w:hyperlink>
      <w:r w:rsidRPr="00BA1B56">
        <w:rPr>
          <w:rStyle w:val="TextoNormalCaracter"/>
        </w:rPr>
        <w:t xml:space="preserve">; </w:t>
      </w:r>
      <w:hyperlink w:anchor="SENTENCIA_2012_66" w:history="1">
        <w:r w:rsidRPr="00BA1B56">
          <w:rPr>
            <w:rStyle w:val="TextoNormalCaracter"/>
          </w:rPr>
          <w:t>66/2012</w:t>
        </w:r>
      </w:hyperlink>
      <w:r w:rsidRPr="00BA1B56">
        <w:rPr>
          <w:rStyle w:val="TextoNormalCaracter"/>
        </w:rPr>
        <w:t xml:space="preserve">; </w:t>
      </w:r>
      <w:hyperlink w:anchor="SENTENCIA_2012_138" w:history="1">
        <w:r w:rsidRPr="00BA1B56">
          <w:rPr>
            <w:rStyle w:val="TextoNormalCaracter"/>
          </w:rPr>
          <w:t>138/2012</w:t>
        </w:r>
      </w:hyperlink>
      <w:r w:rsidRPr="00BA1B56">
        <w:rPr>
          <w:rStyle w:val="TextoNormalCaracter"/>
        </w:rPr>
        <w:t>.</w:t>
      </w:r>
    </w:p>
    <w:p w:rsidR="00BA1B56" w:rsidRPr="00BA1B56" w:rsidRDefault="00BA1B56" w:rsidP="00BA1B56">
      <w:pPr>
        <w:pStyle w:val="TextoNormalSangraFrancesa"/>
        <w:rPr>
          <w:rStyle w:val="TextoNormalCaracter"/>
        </w:rPr>
      </w:pPr>
      <w:r w:rsidRPr="00BA1B56">
        <w:rPr>
          <w:rStyle w:val="TextoNormalCaracter"/>
        </w:rPr>
        <w:t xml:space="preserve">    Auto </w:t>
      </w:r>
      <w:hyperlink w:anchor="AUTO_2012_9" w:history="1">
        <w:r w:rsidRPr="00BA1B56">
          <w:rPr>
            <w:rStyle w:val="TextoNormalCaracter"/>
          </w:rPr>
          <w:t>9/2012</w:t>
        </w:r>
      </w:hyperlink>
      <w:r w:rsidRPr="00BA1B56">
        <w:rPr>
          <w:rStyle w:val="TextoNormalCaracter"/>
        </w:rPr>
        <w:t>.</w:t>
      </w:r>
    </w:p>
    <w:p w:rsidR="00BA1B56" w:rsidRDefault="00BA1B56" w:rsidP="00BA1B56">
      <w:pPr>
        <w:pStyle w:val="TextoNormalSangraFrancesa"/>
      </w:pPr>
    </w:p>
    <w:p w:rsidR="00BA1B56" w:rsidRDefault="00BA1B56" w:rsidP="00BA1B56">
      <w:pPr>
        <w:pStyle w:val="TextoNormalSangraFrancesa"/>
      </w:pPr>
    </w:p>
    <w:p w:rsidR="00BA1B56" w:rsidRDefault="00BA1B56" w:rsidP="00BA1B56">
      <w:pPr>
        <w:pStyle w:val="TextoNormalNegritaCentrado"/>
      </w:pPr>
      <w:r>
        <w:t>Z</w:t>
      </w:r>
    </w:p>
    <w:p w:rsidR="00BA1B56" w:rsidRDefault="00BA1B56" w:rsidP="00BA1B56">
      <w:pPr>
        <w:pStyle w:val="TextoNormalNegritaCentrado"/>
      </w:pPr>
    </w:p>
    <w:p w:rsidR="00BA1B56" w:rsidRDefault="00BA1B56" w:rsidP="00BA1B56">
      <w:pPr>
        <w:pStyle w:val="TextoNormalNegritaCentrado"/>
      </w:pPr>
    </w:p>
    <w:p w:rsidR="00BA1B56" w:rsidRDefault="00BA1B56" w:rsidP="00BA1B56">
      <w:pPr>
        <w:pStyle w:val="TextoNormalNegritaCentrado"/>
      </w:pPr>
    </w:p>
    <w:p w:rsidR="00BA1B56" w:rsidRPr="00BA1B56" w:rsidRDefault="00BA1B56" w:rsidP="00BA1B56">
      <w:pPr>
        <w:pStyle w:val="TextoNormalSangraFrancesa"/>
        <w:rPr>
          <w:rStyle w:val="TextoNormalCaracter"/>
        </w:rPr>
      </w:pPr>
      <w:bookmarkStart w:id="2309" w:name="DESCRIPTORALFABETICO660"/>
      <w:r w:rsidRPr="00BA1B56">
        <w:rPr>
          <w:rStyle w:val="TextoNormalNegritaCaracter"/>
        </w:rPr>
        <w:t>Zonas de protección especial</w:t>
      </w:r>
      <w:bookmarkEnd w:id="2309"/>
      <w:r w:rsidRPr="00BA1B56">
        <w:rPr>
          <w:rStyle w:val="TextoNormalCaracter"/>
        </w:rPr>
        <w:t xml:space="preserve">, Auto </w:t>
      </w:r>
      <w:hyperlink w:anchor="AUTO_2012_86" w:history="1">
        <w:r w:rsidRPr="00BA1B56">
          <w:rPr>
            <w:rStyle w:val="TextoNormalCaracter"/>
          </w:rPr>
          <w:t>86/2012</w:t>
        </w:r>
      </w:hyperlink>
      <w:r w:rsidRPr="00BA1B56">
        <w:rPr>
          <w:rStyle w:val="TextoNormalCaracter"/>
        </w:rPr>
        <w:t>, f. 5.</w:t>
      </w:r>
    </w:p>
    <w:p w:rsidR="00BA1B56" w:rsidRPr="00BA1B56" w:rsidRDefault="00BA1B56" w:rsidP="00BA1B56">
      <w:pPr>
        <w:pStyle w:val="TextoNormalSangraFrancesa"/>
        <w:rPr>
          <w:rStyle w:val="TextoNormalCaracter"/>
        </w:rPr>
      </w:pPr>
      <w:bookmarkStart w:id="2310" w:name="DESCRIPTORALFABETICO852"/>
      <w:r w:rsidRPr="00BA1B56">
        <w:rPr>
          <w:rStyle w:val="TextoNormalNegritaCaracter"/>
        </w:rPr>
        <w:t>Zonas turísticas</w:t>
      </w:r>
      <w:bookmarkEnd w:id="2310"/>
      <w:r w:rsidRPr="00BA1B56">
        <w:rPr>
          <w:rStyle w:val="TextoNormalCaracter"/>
        </w:rPr>
        <w:t xml:space="preserve">, Sentencia </w:t>
      </w:r>
      <w:hyperlink w:anchor="SENTENCIA_2012_26" w:history="1">
        <w:r w:rsidRPr="00BA1B56">
          <w:rPr>
            <w:rStyle w:val="TextoNormalCaracter"/>
          </w:rPr>
          <w:t>26/2012</w:t>
        </w:r>
      </w:hyperlink>
      <w:r w:rsidRPr="00BA1B56">
        <w:rPr>
          <w:rStyle w:val="TextoNormalCaracter"/>
        </w:rPr>
        <w:t>, f. 9.</w:t>
      </w:r>
    </w:p>
    <w:p w:rsidR="00BA1B56" w:rsidRDefault="00BA1B56">
      <w:pPr>
        <w:spacing w:after="160" w:line="259" w:lineRule="auto"/>
        <w:rPr>
          <w:rFonts w:ascii="Times New Roman" w:eastAsia="Times New Roman" w:hAnsi="Times New Roman" w:cs="Times New Roman"/>
          <w:sz w:val="24"/>
          <w:szCs w:val="24"/>
          <w:lang w:eastAsia="es-ES"/>
        </w:rPr>
      </w:pPr>
      <w:r>
        <w:br w:type="page"/>
      </w:r>
    </w:p>
    <w:p w:rsidR="00BA1B56" w:rsidRDefault="00BA1B56" w:rsidP="00BA1B56">
      <w:pPr>
        <w:pStyle w:val="TextoNormalSangraFrancesa"/>
      </w:pPr>
    </w:p>
    <w:p w:rsidR="00777CFE" w:rsidRDefault="00777CFE" w:rsidP="00777CFE">
      <w:pPr>
        <w:pStyle w:val="TextoNormalSangraFrancesa"/>
      </w:pPr>
    </w:p>
    <w:p w:rsidR="00777CFE" w:rsidRDefault="00777CFE" w:rsidP="00777CFE">
      <w:pPr>
        <w:pStyle w:val="TextoNormalSangraFrancesa"/>
      </w:pPr>
    </w:p>
    <w:p w:rsidR="00777CFE" w:rsidRDefault="00777CFE" w:rsidP="00777CFE">
      <w:pPr>
        <w:pStyle w:val="TextoNormalSangraFrancesa"/>
      </w:pPr>
    </w:p>
    <w:p w:rsidR="00777CFE" w:rsidRDefault="00777CFE" w:rsidP="00777CFE">
      <w:pPr>
        <w:pStyle w:val="TextoNormalSangraFrancesa"/>
      </w:pPr>
    </w:p>
    <w:p w:rsidR="00777CFE" w:rsidRDefault="00777CFE" w:rsidP="00777CFE">
      <w:pPr>
        <w:pStyle w:val="TextoNormalSangraFrancesa"/>
      </w:pPr>
    </w:p>
    <w:p w:rsidR="00777CFE" w:rsidRDefault="00777CFE" w:rsidP="00777CFE">
      <w:pPr>
        <w:pStyle w:val="TextoNormalSangraFrancesa"/>
      </w:pPr>
    </w:p>
    <w:p w:rsidR="00777CFE" w:rsidRDefault="00777CFE" w:rsidP="00777CFE">
      <w:pPr>
        <w:pStyle w:val="TextoNormalSangraFrancesa"/>
      </w:pPr>
    </w:p>
    <w:p w:rsidR="00777CFE" w:rsidRDefault="00777CFE" w:rsidP="00777CFE">
      <w:pPr>
        <w:pStyle w:val="Ttulondice"/>
      </w:pPr>
      <w:bookmarkStart w:id="2311" w:name="ACRONIMOS"/>
      <w:r>
        <w:t>8. ABREVIATURAS Y ACRÓNIMOS</w:t>
      </w:r>
    </w:p>
    <w:bookmarkEnd w:id="2311"/>
    <w:p w:rsidR="00777CFE" w:rsidRDefault="00777CFE" w:rsidP="00777CFE">
      <w:pPr>
        <w:pStyle w:val="Ttulondice"/>
      </w:pPr>
    </w:p>
    <w:p w:rsidR="00777CFE" w:rsidRDefault="00777CFE" w:rsidP="00777CFE">
      <w:pPr>
        <w:pStyle w:val="Ttulondice"/>
      </w:pPr>
    </w:p>
    <w:p w:rsidR="00777CFE" w:rsidRDefault="00777CFE" w:rsidP="00777CFE">
      <w:pPr>
        <w:pStyle w:val="Ttulondice"/>
      </w:pPr>
    </w:p>
    <w:p w:rsidR="00777CFE" w:rsidRDefault="00777CFE" w:rsidP="00777CFE">
      <w:pPr>
        <w:pStyle w:val="Ttulondice"/>
      </w:pPr>
    </w:p>
    <w:p w:rsidR="00777CFE" w:rsidRDefault="00777CFE" w:rsidP="00777CFE">
      <w:pPr>
        <w:pStyle w:val="TextoAbreviaturas"/>
      </w:pPr>
      <w:r>
        <w:t>§</w:t>
      </w:r>
      <w:r>
        <w:tab/>
        <w:t>Parágrafo (usual en SSTEDH)</w:t>
      </w:r>
    </w:p>
    <w:p w:rsidR="00777CFE" w:rsidRDefault="00777CFE" w:rsidP="00777CFE">
      <w:pPr>
        <w:pStyle w:val="TextoAbreviaturas"/>
      </w:pPr>
      <w:r>
        <w:t>§§</w:t>
      </w:r>
      <w:r>
        <w:tab/>
        <w:t>Parágrafos (usuales en SSTEDH)</w:t>
      </w:r>
    </w:p>
    <w:p w:rsidR="00777CFE" w:rsidRDefault="00777CFE" w:rsidP="00777CFE">
      <w:pPr>
        <w:pStyle w:val="TextoAbreviaturas"/>
      </w:pPr>
      <w:r>
        <w:t>AENA</w:t>
      </w:r>
      <w:r>
        <w:tab/>
        <w:t>Aeropuertos Españoles y Navegación Aérea</w:t>
      </w:r>
    </w:p>
    <w:p w:rsidR="00777CFE" w:rsidRDefault="00777CFE" w:rsidP="00777CFE">
      <w:pPr>
        <w:pStyle w:val="TextoAbreviaturas"/>
      </w:pPr>
      <w:r>
        <w:t>ATC</w:t>
      </w:r>
      <w:r>
        <w:tab/>
        <w:t>Auto del Tribunal Constitucional</w:t>
      </w:r>
    </w:p>
    <w:p w:rsidR="00777CFE" w:rsidRDefault="00777CFE" w:rsidP="00777CFE">
      <w:pPr>
        <w:pStyle w:val="TextoAbreviaturas"/>
      </w:pPr>
      <w:r>
        <w:t>AATC</w:t>
      </w:r>
      <w:r>
        <w:tab/>
        <w:t>Autos del Tribunal Constitucional</w:t>
      </w:r>
    </w:p>
    <w:p w:rsidR="00777CFE" w:rsidRDefault="00777CFE" w:rsidP="00777CFE">
      <w:pPr>
        <w:pStyle w:val="TextoAbreviaturas"/>
      </w:pPr>
      <w:r>
        <w:t>ATS</w:t>
      </w:r>
      <w:r>
        <w:tab/>
        <w:t>Auto del Tribunal Supremo</w:t>
      </w:r>
    </w:p>
    <w:p w:rsidR="00777CFE" w:rsidRDefault="00777CFE" w:rsidP="00777CFE">
      <w:pPr>
        <w:pStyle w:val="TextoAbreviaturas"/>
      </w:pPr>
      <w:r>
        <w:t>BBVA</w:t>
      </w:r>
      <w:r>
        <w:tab/>
        <w:t>Banco Bilbao Vizcaya Argentaria</w:t>
      </w:r>
    </w:p>
    <w:p w:rsidR="00777CFE" w:rsidRDefault="00777CFE" w:rsidP="00777CFE">
      <w:pPr>
        <w:pStyle w:val="TextoAbreviaturas"/>
      </w:pPr>
      <w:r>
        <w:t>BOE</w:t>
      </w:r>
      <w:r>
        <w:tab/>
        <w:t>Boletín Oficial del Estado</w:t>
      </w:r>
    </w:p>
    <w:p w:rsidR="00777CFE" w:rsidRDefault="00777CFE" w:rsidP="00777CFE">
      <w:pPr>
        <w:pStyle w:val="TextoAbreviaturas"/>
      </w:pPr>
      <w:r>
        <w:t>BOIB</w:t>
      </w:r>
      <w:r>
        <w:tab/>
        <w:t>Boletín Oficial de la Comunidad de las Islas Baleares</w:t>
      </w:r>
    </w:p>
    <w:p w:rsidR="00777CFE" w:rsidRDefault="00777CFE" w:rsidP="00777CFE">
      <w:pPr>
        <w:pStyle w:val="TextoAbreviaturas"/>
      </w:pPr>
      <w:r>
        <w:t>BOJA</w:t>
      </w:r>
      <w:r>
        <w:tab/>
        <w:t>Boletín Oficial de la Junta de Andalucía</w:t>
      </w:r>
    </w:p>
    <w:p w:rsidR="00777CFE" w:rsidRDefault="00777CFE" w:rsidP="00777CFE">
      <w:pPr>
        <w:pStyle w:val="TextoAbreviaturas"/>
      </w:pPr>
      <w:r>
        <w:t>CC</w:t>
      </w:r>
      <w:r>
        <w:tab/>
        <w:t>Código civil</w:t>
      </w:r>
    </w:p>
    <w:p w:rsidR="00777CFE" w:rsidRDefault="00777CFE" w:rsidP="00777CFE">
      <w:pPr>
        <w:pStyle w:val="TextoAbreviaturas"/>
      </w:pPr>
      <w:r>
        <w:t>CCom</w:t>
      </w:r>
      <w:r>
        <w:tab/>
        <w:t>Código de comercio</w:t>
      </w:r>
    </w:p>
    <w:p w:rsidR="00777CFE" w:rsidRDefault="00777CFE" w:rsidP="00777CFE">
      <w:pPr>
        <w:pStyle w:val="TextoAbreviaturas"/>
      </w:pPr>
      <w:r>
        <w:t>CCOO</w:t>
      </w:r>
      <w:r>
        <w:tab/>
        <w:t>Comisiones Obreras</w:t>
      </w:r>
    </w:p>
    <w:p w:rsidR="00777CFE" w:rsidRDefault="00777CFE" w:rsidP="00777CFE">
      <w:pPr>
        <w:pStyle w:val="TextoAbreviaturas"/>
      </w:pPr>
      <w:r>
        <w:t>CE</w:t>
      </w:r>
      <w:r>
        <w:tab/>
        <w:t>Constitución española</w:t>
      </w:r>
    </w:p>
    <w:p w:rsidR="00777CFE" w:rsidRDefault="00777CFE" w:rsidP="00777CFE">
      <w:pPr>
        <w:pStyle w:val="TextoAbreviaturas"/>
      </w:pPr>
      <w:r>
        <w:t>CEDH</w:t>
      </w:r>
      <w:r>
        <w:tab/>
        <w:t>Convenio europeo para la protección de los derechos humanos y de las libertades fundamentales</w:t>
      </w:r>
    </w:p>
    <w:p w:rsidR="00777CFE" w:rsidRDefault="00777CFE" w:rsidP="00777CFE">
      <w:pPr>
        <w:pStyle w:val="TextoAbreviaturas"/>
      </w:pPr>
      <w:r>
        <w:t>CEE</w:t>
      </w:r>
      <w:r>
        <w:tab/>
        <w:t>Comunidad Económica Europea</w:t>
      </w:r>
    </w:p>
    <w:p w:rsidR="00777CFE" w:rsidRDefault="00777CFE" w:rsidP="00777CFE">
      <w:pPr>
        <w:pStyle w:val="TextoAbreviaturas"/>
      </w:pPr>
      <w:r>
        <w:t>CP</w:t>
      </w:r>
      <w:r>
        <w:tab/>
        <w:t>Código penal</w:t>
      </w:r>
    </w:p>
    <w:p w:rsidR="00777CFE" w:rsidRDefault="00777CFE" w:rsidP="00777CFE">
      <w:pPr>
        <w:pStyle w:val="TextoAbreviaturas"/>
      </w:pPr>
      <w:r>
        <w:t>CSIF</w:t>
      </w:r>
      <w:r>
        <w:tab/>
        <w:t>Confederación Sindical Independiente de Funcionarios</w:t>
      </w:r>
    </w:p>
    <w:p w:rsidR="00777CFE" w:rsidRDefault="00777CFE" w:rsidP="00777CFE">
      <w:pPr>
        <w:pStyle w:val="TextoAbreviaturas"/>
      </w:pPr>
      <w:r>
        <w:t>DOGV</w:t>
      </w:r>
      <w:r>
        <w:tab/>
        <w:t>Diario Oficial de la Generalidad Valenciana</w:t>
      </w:r>
    </w:p>
    <w:p w:rsidR="00777CFE" w:rsidRDefault="00777CFE" w:rsidP="00777CFE">
      <w:pPr>
        <w:pStyle w:val="TextoAbreviaturas"/>
      </w:pPr>
      <w:r>
        <w:t>EAAnd</w:t>
      </w:r>
      <w:r>
        <w:tab/>
        <w:t>Estatuto de Autonomía para Andalucía</w:t>
      </w:r>
    </w:p>
    <w:p w:rsidR="00777CFE" w:rsidRDefault="00777CFE" w:rsidP="00777CFE">
      <w:pPr>
        <w:pStyle w:val="TextoAbreviaturas"/>
      </w:pPr>
      <w:r>
        <w:t>EAAr</w:t>
      </w:r>
      <w:r>
        <w:tab/>
        <w:t>Estatuto de Autonomía de Aragón</w:t>
      </w:r>
    </w:p>
    <w:p w:rsidR="00777CFE" w:rsidRDefault="00777CFE" w:rsidP="00777CFE">
      <w:pPr>
        <w:pStyle w:val="TextoAbreviaturas"/>
      </w:pPr>
      <w:r>
        <w:t>EAC</w:t>
      </w:r>
      <w:r>
        <w:tab/>
        <w:t>Estatuto de Autonomía de Cataluña</w:t>
      </w:r>
    </w:p>
    <w:p w:rsidR="00777CFE" w:rsidRDefault="00777CFE" w:rsidP="00777CFE">
      <w:pPr>
        <w:pStyle w:val="TextoAbreviaturas"/>
      </w:pPr>
      <w:r>
        <w:t>EACan</w:t>
      </w:r>
      <w:r>
        <w:tab/>
        <w:t>Estatuto de Autonomía de Canarias</w:t>
      </w:r>
    </w:p>
    <w:p w:rsidR="00777CFE" w:rsidRDefault="00777CFE" w:rsidP="00777CFE">
      <w:pPr>
        <w:pStyle w:val="TextoAbreviaturas"/>
      </w:pPr>
      <w:r>
        <w:t>EACM</w:t>
      </w:r>
      <w:r>
        <w:tab/>
        <w:t>Estatuto de Autonomía de Castilla-La Mancha</w:t>
      </w:r>
    </w:p>
    <w:p w:rsidR="00777CFE" w:rsidRDefault="00777CFE" w:rsidP="00777CFE">
      <w:pPr>
        <w:pStyle w:val="TextoAbreviaturas"/>
      </w:pPr>
      <w:r>
        <w:t>EAE</w:t>
      </w:r>
      <w:r>
        <w:tab/>
        <w:t>Estatuto de Autonomía de Extremadura</w:t>
      </w:r>
    </w:p>
    <w:p w:rsidR="00777CFE" w:rsidRDefault="00777CFE" w:rsidP="00777CFE">
      <w:pPr>
        <w:pStyle w:val="TextoAbreviaturas"/>
      </w:pPr>
      <w:r>
        <w:t>EAG</w:t>
      </w:r>
      <w:r>
        <w:tab/>
        <w:t>Estatuto de Autonomía para Galicia</w:t>
      </w:r>
    </w:p>
    <w:p w:rsidR="00777CFE" w:rsidRDefault="00777CFE" w:rsidP="00777CFE">
      <w:pPr>
        <w:pStyle w:val="TextoAbreviaturas"/>
      </w:pPr>
      <w:r>
        <w:t>EAIB</w:t>
      </w:r>
      <w:r>
        <w:tab/>
        <w:t>Estatuto de Autonomía de las Illes Balears</w:t>
      </w:r>
    </w:p>
    <w:p w:rsidR="00777CFE" w:rsidRDefault="00777CFE" w:rsidP="00777CFE">
      <w:pPr>
        <w:pStyle w:val="TextoAbreviaturas"/>
      </w:pPr>
      <w:r>
        <w:t>EAM</w:t>
      </w:r>
      <w:r>
        <w:tab/>
        <w:t>Estatuto de Autonomía de la Comunidad de Madrid</w:t>
      </w:r>
    </w:p>
    <w:p w:rsidR="00777CFE" w:rsidRDefault="00777CFE" w:rsidP="00777CFE">
      <w:pPr>
        <w:pStyle w:val="TextoAbreviaturas"/>
      </w:pPr>
      <w:r>
        <w:t>EAPV</w:t>
      </w:r>
      <w:r>
        <w:tab/>
        <w:t>Estatuto de Autonomía para el País Vasco</w:t>
      </w:r>
    </w:p>
    <w:p w:rsidR="00777CFE" w:rsidRDefault="00777CFE" w:rsidP="00777CFE">
      <w:pPr>
        <w:pStyle w:val="TextoAbreviaturas"/>
      </w:pPr>
      <w:r>
        <w:t>EAR</w:t>
      </w:r>
      <w:r>
        <w:tab/>
        <w:t>Estatuto de Autonomía de La Rioja</w:t>
      </w:r>
    </w:p>
    <w:p w:rsidR="00777CFE" w:rsidRDefault="00777CFE" w:rsidP="00777CFE">
      <w:pPr>
        <w:pStyle w:val="TextoAbreviaturas"/>
      </w:pPr>
      <w:r>
        <w:t>ESO</w:t>
      </w:r>
      <w:r>
        <w:tab/>
        <w:t>Enseñanza Secundaria Obligatoria</w:t>
      </w:r>
    </w:p>
    <w:p w:rsidR="00777CFE" w:rsidRDefault="00777CFE" w:rsidP="00777CFE">
      <w:pPr>
        <w:pStyle w:val="TextoAbreviaturas"/>
      </w:pPr>
      <w:r>
        <w:lastRenderedPageBreak/>
        <w:t>ETA</w:t>
      </w:r>
      <w:r>
        <w:tab/>
        <w:t>Euskadi Ta Askatasuna</w:t>
      </w:r>
    </w:p>
    <w:p w:rsidR="00777CFE" w:rsidRDefault="00777CFE" w:rsidP="00777CFE">
      <w:pPr>
        <w:pStyle w:val="TextoAbreviaturas"/>
      </w:pPr>
      <w:r>
        <w:t>FEOGA</w:t>
      </w:r>
      <w:r>
        <w:tab/>
        <w:t>Fondo Europeo de Orientación y de Garantía Agrícola</w:t>
      </w:r>
    </w:p>
    <w:p w:rsidR="00777CFE" w:rsidRDefault="00777CFE" w:rsidP="00777CFE">
      <w:pPr>
        <w:pStyle w:val="TextoAbreviaturas"/>
      </w:pPr>
      <w:r>
        <w:t>FJ</w:t>
      </w:r>
      <w:r>
        <w:tab/>
        <w:t>Fundamento jurídico</w:t>
      </w:r>
    </w:p>
    <w:p w:rsidR="00777CFE" w:rsidRDefault="00777CFE" w:rsidP="00777CFE">
      <w:pPr>
        <w:pStyle w:val="TextoAbreviaturas"/>
      </w:pPr>
      <w:r>
        <w:t>FFJJ</w:t>
      </w:r>
      <w:r>
        <w:tab/>
        <w:t>Fundamentos jurídicos</w:t>
      </w:r>
    </w:p>
    <w:p w:rsidR="00777CFE" w:rsidRDefault="00777CFE" w:rsidP="00777CFE">
      <w:pPr>
        <w:pStyle w:val="TextoAbreviaturas"/>
      </w:pPr>
      <w:r>
        <w:t>GAL</w:t>
      </w:r>
      <w:r>
        <w:tab/>
        <w:t>Grupos antiterroristas de liberación</w:t>
      </w:r>
    </w:p>
    <w:p w:rsidR="00777CFE" w:rsidRDefault="00777CFE" w:rsidP="00777CFE">
      <w:pPr>
        <w:pStyle w:val="TextoAbreviaturas"/>
      </w:pPr>
      <w:r>
        <w:t>IAE</w:t>
      </w:r>
      <w:r>
        <w:tab/>
        <w:t>Impuesto sobre actividades económicas</w:t>
      </w:r>
    </w:p>
    <w:p w:rsidR="00777CFE" w:rsidRDefault="00777CFE" w:rsidP="00777CFE">
      <w:pPr>
        <w:pStyle w:val="TextoAbreviaturas"/>
      </w:pPr>
      <w:r>
        <w:t>IBI</w:t>
      </w:r>
      <w:r>
        <w:tab/>
        <w:t>Impuesto sobre bienes inmuebles</w:t>
      </w:r>
    </w:p>
    <w:p w:rsidR="00777CFE" w:rsidRDefault="00777CFE" w:rsidP="00777CFE">
      <w:pPr>
        <w:pStyle w:val="TextoAbreviaturas"/>
      </w:pPr>
      <w:r>
        <w:t>IDEA</w:t>
      </w:r>
      <w:r>
        <w:tab/>
        <w:t>Instituto para la Diversificación y Ahorro de la Energía</w:t>
      </w:r>
    </w:p>
    <w:p w:rsidR="00777CFE" w:rsidRDefault="00777CFE" w:rsidP="00777CFE">
      <w:pPr>
        <w:pStyle w:val="TextoAbreviaturas"/>
      </w:pPr>
      <w:r>
        <w:t>INAEM</w:t>
      </w:r>
      <w:r>
        <w:tab/>
        <w:t>Instituto Nacional de las Artes Escénicas y de la Música</w:t>
      </w:r>
    </w:p>
    <w:p w:rsidR="00777CFE" w:rsidRDefault="00777CFE" w:rsidP="00777CFE">
      <w:pPr>
        <w:pStyle w:val="TextoAbreviaturas"/>
      </w:pPr>
      <w:r>
        <w:t>INEM</w:t>
      </w:r>
      <w:r>
        <w:tab/>
        <w:t>Instituto Nacional de Empleo</w:t>
      </w:r>
    </w:p>
    <w:p w:rsidR="00777CFE" w:rsidRDefault="00777CFE" w:rsidP="00777CFE">
      <w:pPr>
        <w:pStyle w:val="TextoAbreviaturas"/>
      </w:pPr>
      <w:r>
        <w:t>INSS</w:t>
      </w:r>
      <w:r>
        <w:tab/>
        <w:t>Instituto Nacional de la Seguridad Social</w:t>
      </w:r>
    </w:p>
    <w:p w:rsidR="00777CFE" w:rsidRDefault="00777CFE" w:rsidP="00777CFE">
      <w:pPr>
        <w:pStyle w:val="TextoAbreviaturas"/>
      </w:pPr>
      <w:r>
        <w:t>IPC</w:t>
      </w:r>
      <w:r>
        <w:tab/>
        <w:t>Índice de precios al consumo</w:t>
      </w:r>
    </w:p>
    <w:p w:rsidR="00777CFE" w:rsidRDefault="00777CFE" w:rsidP="00777CFE">
      <w:pPr>
        <w:pStyle w:val="TextoAbreviaturas"/>
      </w:pPr>
      <w:r>
        <w:t>IRPF</w:t>
      </w:r>
      <w:r>
        <w:tab/>
        <w:t>Impuesto sobre la renta de las personas físicas</w:t>
      </w:r>
    </w:p>
    <w:p w:rsidR="00777CFE" w:rsidRDefault="00777CFE" w:rsidP="00777CFE">
      <w:pPr>
        <w:pStyle w:val="TextoAbreviaturas"/>
      </w:pPr>
      <w:r>
        <w:t>JVP</w:t>
      </w:r>
      <w:r>
        <w:tab/>
        <w:t>Juzgado de Vigilancia Penitenciaria</w:t>
      </w:r>
    </w:p>
    <w:p w:rsidR="00777CFE" w:rsidRDefault="00777CFE" w:rsidP="00777CFE">
      <w:pPr>
        <w:pStyle w:val="TextoAbreviaturas"/>
      </w:pPr>
      <w:r>
        <w:t>LAJG</w:t>
      </w:r>
      <w:r>
        <w:tab/>
        <w:t>Ley de asistencia jurídica gratuita</w:t>
      </w:r>
    </w:p>
    <w:p w:rsidR="00777CFE" w:rsidRDefault="00777CFE" w:rsidP="00777CFE">
      <w:pPr>
        <w:pStyle w:val="TextoAbreviaturas"/>
      </w:pPr>
      <w:r>
        <w:t>LBRL</w:t>
      </w:r>
      <w:r>
        <w:tab/>
        <w:t>Ley reguladora de las bases de régimen local</w:t>
      </w:r>
    </w:p>
    <w:p w:rsidR="00777CFE" w:rsidRDefault="00777CFE" w:rsidP="00777CFE">
      <w:pPr>
        <w:pStyle w:val="TextoAbreviaturas"/>
      </w:pPr>
      <w:r>
        <w:t>LC</w:t>
      </w:r>
      <w:r>
        <w:tab/>
        <w:t>Ley de costas</w:t>
      </w:r>
    </w:p>
    <w:p w:rsidR="00777CFE" w:rsidRDefault="00777CFE" w:rsidP="00777CFE">
      <w:pPr>
        <w:pStyle w:val="TextoAbreviaturas"/>
      </w:pPr>
      <w:r>
        <w:t>LCEN</w:t>
      </w:r>
      <w:r>
        <w:tab/>
        <w:t>Ley de conservación de los espacios naturales y de la flora y fauna silvestres</w:t>
      </w:r>
    </w:p>
    <w:p w:rsidR="00777CFE" w:rsidRDefault="00777CFE" w:rsidP="00777CFE">
      <w:pPr>
        <w:pStyle w:val="TextoAbreviaturas"/>
      </w:pPr>
      <w:r>
        <w:t>LDC</w:t>
      </w:r>
      <w:r>
        <w:tab/>
        <w:t>Ley de defensa de la competencia</w:t>
      </w:r>
    </w:p>
    <w:p w:rsidR="00777CFE" w:rsidRDefault="00777CFE" w:rsidP="00777CFE">
      <w:pPr>
        <w:pStyle w:val="TextoAbreviaturas"/>
      </w:pPr>
      <w:r>
        <w:t>LEC</w:t>
      </w:r>
      <w:r>
        <w:tab/>
        <w:t>Ley de enjuiciamiento civil</w:t>
      </w:r>
    </w:p>
    <w:p w:rsidR="00777CFE" w:rsidRDefault="00777CFE" w:rsidP="00777CFE">
      <w:pPr>
        <w:pStyle w:val="TextoAbreviaturas"/>
      </w:pPr>
      <w:r>
        <w:t>LECrim</w:t>
      </w:r>
      <w:r>
        <w:tab/>
        <w:t>Ley de enjuiciamiento criminal</w:t>
      </w:r>
    </w:p>
    <w:p w:rsidR="00777CFE" w:rsidRDefault="00777CFE" w:rsidP="00777CFE">
      <w:pPr>
        <w:pStyle w:val="TextoAbreviaturas"/>
      </w:pPr>
      <w:r>
        <w:t>LEEP</w:t>
      </w:r>
      <w:r>
        <w:tab/>
        <w:t>Ley del estatuto básico del empleado público</w:t>
      </w:r>
    </w:p>
    <w:p w:rsidR="00777CFE" w:rsidRDefault="00777CFE" w:rsidP="00777CFE">
      <w:pPr>
        <w:pStyle w:val="TextoAbreviaturas"/>
      </w:pPr>
      <w:r>
        <w:t>LET</w:t>
      </w:r>
      <w:r>
        <w:tab/>
        <w:t>Ley del estatuto de los trabajadores</w:t>
      </w:r>
    </w:p>
    <w:p w:rsidR="00777CFE" w:rsidRDefault="00777CFE" w:rsidP="00777CFE">
      <w:pPr>
        <w:pStyle w:val="TextoAbreviaturas"/>
      </w:pPr>
      <w:r>
        <w:t>LGS</w:t>
      </w:r>
      <w:r>
        <w:tab/>
        <w:t>Ley general de sanidad</w:t>
      </w:r>
    </w:p>
    <w:p w:rsidR="00777CFE" w:rsidRDefault="00777CFE" w:rsidP="00777CFE">
      <w:pPr>
        <w:pStyle w:val="TextoAbreviaturas"/>
      </w:pPr>
      <w:r>
        <w:t>LGSS</w:t>
      </w:r>
      <w:r>
        <w:tab/>
        <w:t>Ley general de la Seguridad Social</w:t>
      </w:r>
    </w:p>
    <w:p w:rsidR="00777CFE" w:rsidRDefault="00777CFE" w:rsidP="00777CFE">
      <w:pPr>
        <w:pStyle w:val="TextoAbreviaturas"/>
      </w:pPr>
      <w:r>
        <w:t>LGT</w:t>
      </w:r>
      <w:r>
        <w:tab/>
        <w:t>Ley general tributaria</w:t>
      </w:r>
    </w:p>
    <w:p w:rsidR="00777CFE" w:rsidRDefault="00777CFE" w:rsidP="00777CFE">
      <w:pPr>
        <w:pStyle w:val="TextoAbreviaturas"/>
      </w:pPr>
      <w:r>
        <w:t>LH</w:t>
      </w:r>
      <w:r>
        <w:tab/>
        <w:t>Ley hipotecaria</w:t>
      </w:r>
    </w:p>
    <w:p w:rsidR="00777CFE" w:rsidRDefault="00777CFE" w:rsidP="00777CFE">
      <w:pPr>
        <w:pStyle w:val="TextoAbreviaturas"/>
      </w:pPr>
      <w:r>
        <w:t>LHL</w:t>
      </w:r>
      <w:r>
        <w:tab/>
        <w:t>Ley reguladora de haciendas locales</w:t>
      </w:r>
    </w:p>
    <w:p w:rsidR="00777CFE" w:rsidRDefault="00777CFE" w:rsidP="00777CFE">
      <w:pPr>
        <w:pStyle w:val="TextoAbreviaturas"/>
      </w:pPr>
      <w:r>
        <w:t>LJCA</w:t>
      </w:r>
      <w:r>
        <w:tab/>
        <w:t>Ley reguladora de la jurisdicción contencioso-administrativa</w:t>
      </w:r>
    </w:p>
    <w:p w:rsidR="00777CFE" w:rsidRDefault="00777CFE" w:rsidP="00777CFE">
      <w:pPr>
        <w:pStyle w:val="TextoAbreviaturas"/>
      </w:pPr>
      <w:r>
        <w:t>LMFP</w:t>
      </w:r>
      <w:r>
        <w:tab/>
        <w:t>Ley de medidas para la reforma de la función pública</w:t>
      </w:r>
    </w:p>
    <w:p w:rsidR="00777CFE" w:rsidRDefault="00777CFE" w:rsidP="00777CFE">
      <w:pPr>
        <w:pStyle w:val="TextoAbreviaturas"/>
      </w:pPr>
      <w:r>
        <w:t>LOFCA</w:t>
      </w:r>
      <w:r>
        <w:tab/>
        <w:t>Ley Orgánica de financiación de las Comunidades Autónomas</w:t>
      </w:r>
    </w:p>
    <w:p w:rsidR="00777CFE" w:rsidRDefault="00777CFE" w:rsidP="00777CFE">
      <w:pPr>
        <w:pStyle w:val="TextoAbreviaturas"/>
      </w:pPr>
      <w:r>
        <w:t>LOFCS</w:t>
      </w:r>
      <w:r>
        <w:tab/>
        <w:t>Ley Orgánica de las fuerzas y cuerpos de seguridad</w:t>
      </w:r>
    </w:p>
    <w:p w:rsidR="00777CFE" w:rsidRDefault="00777CFE" w:rsidP="00777CFE">
      <w:pPr>
        <w:pStyle w:val="TextoAbreviaturas"/>
      </w:pPr>
      <w:r>
        <w:t>LOGP</w:t>
      </w:r>
      <w:r>
        <w:tab/>
        <w:t>Ley Orgánica general penitenciaria</w:t>
      </w:r>
    </w:p>
    <w:p w:rsidR="00777CFE" w:rsidRDefault="00777CFE" w:rsidP="00777CFE">
      <w:pPr>
        <w:pStyle w:val="TextoAbreviaturas"/>
      </w:pPr>
      <w:r>
        <w:t>LOGSE</w:t>
      </w:r>
      <w:r>
        <w:tab/>
        <w:t>Ley Orgánica de ordenación general del sistema educativo</w:t>
      </w:r>
    </w:p>
    <w:p w:rsidR="00777CFE" w:rsidRDefault="00777CFE" w:rsidP="00777CFE">
      <w:pPr>
        <w:pStyle w:val="TextoAbreviaturas"/>
      </w:pPr>
      <w:r>
        <w:t>LOHC</w:t>
      </w:r>
      <w:r>
        <w:tab/>
        <w:t>Ley Orgánica de regulación del procedimiento de habeas corpus</w:t>
      </w:r>
    </w:p>
    <w:p w:rsidR="00777CFE" w:rsidRDefault="00777CFE" w:rsidP="00777CFE">
      <w:pPr>
        <w:pStyle w:val="TextoAbreviaturas"/>
      </w:pPr>
      <w:r>
        <w:t>LOPD</w:t>
      </w:r>
      <w:r>
        <w:tab/>
        <w:t>Ley Orgánica de protección de datos de carácter personal</w:t>
      </w:r>
    </w:p>
    <w:p w:rsidR="00777CFE" w:rsidRDefault="00777CFE" w:rsidP="00777CFE">
      <w:pPr>
        <w:pStyle w:val="TextoAbreviaturas"/>
      </w:pPr>
      <w:r>
        <w:t>LOPJ</w:t>
      </w:r>
      <w:r>
        <w:tab/>
        <w:t>Ley Orgánica del Poder Judicial</w:t>
      </w:r>
    </w:p>
    <w:p w:rsidR="00777CFE" w:rsidRDefault="00777CFE" w:rsidP="00777CFE">
      <w:pPr>
        <w:pStyle w:val="TextoAbreviaturas"/>
      </w:pPr>
      <w:r>
        <w:t>LOPP</w:t>
      </w:r>
      <w:r>
        <w:tab/>
        <w:t>Ley Orgánica de partidos políticos</w:t>
      </w:r>
    </w:p>
    <w:p w:rsidR="00777CFE" w:rsidRDefault="00777CFE" w:rsidP="00777CFE">
      <w:pPr>
        <w:pStyle w:val="TextoAbreviaturas"/>
      </w:pPr>
      <w:r>
        <w:t>LORAFNA</w:t>
      </w:r>
      <w:r>
        <w:tab/>
        <w:t>Ley Orgánica de reintegración y amejoramiento del régimen foral de Navarra</w:t>
      </w:r>
    </w:p>
    <w:p w:rsidR="00777CFE" w:rsidRDefault="00777CFE" w:rsidP="00777CFE">
      <w:pPr>
        <w:pStyle w:val="TextoAbreviaturas"/>
      </w:pPr>
      <w:r>
        <w:t>LORCA</w:t>
      </w:r>
      <w:r>
        <w:tab/>
        <w:t>Ley de órganos rectores de las cajas de ahorro</w:t>
      </w:r>
    </w:p>
    <w:p w:rsidR="00777CFE" w:rsidRDefault="00777CFE" w:rsidP="00777CFE">
      <w:pPr>
        <w:pStyle w:val="TextoAbreviaturas"/>
      </w:pPr>
      <w:r>
        <w:t>LOREG</w:t>
      </w:r>
      <w:r>
        <w:tab/>
        <w:t>Ley Orgánica del régimen electoral general</w:t>
      </w:r>
    </w:p>
    <w:p w:rsidR="00777CFE" w:rsidRDefault="00777CFE" w:rsidP="00777CFE">
      <w:pPr>
        <w:pStyle w:val="TextoAbreviaturas"/>
      </w:pPr>
      <w:r>
        <w:t>LOTC</w:t>
      </w:r>
      <w:r>
        <w:tab/>
        <w:t>Ley Orgánica del Tribunal Constitucional</w:t>
      </w:r>
    </w:p>
    <w:p w:rsidR="00777CFE" w:rsidRDefault="00777CFE" w:rsidP="00777CFE">
      <w:pPr>
        <w:pStyle w:val="TextoAbreviaturas"/>
      </w:pPr>
      <w:r>
        <w:t>LOTT</w:t>
      </w:r>
      <w:r>
        <w:tab/>
        <w:t>Ley de ordenación de los transportes terrestres</w:t>
      </w:r>
    </w:p>
    <w:p w:rsidR="00777CFE" w:rsidRDefault="00777CFE" w:rsidP="00777CFE">
      <w:pPr>
        <w:pStyle w:val="TextoAbreviaturas"/>
      </w:pPr>
      <w:r>
        <w:t>LPC</w:t>
      </w:r>
      <w:r>
        <w:tab/>
        <w:t>Ley de régimen jurídico de las Administraciones públicas y del procedimiento administrativo común</w:t>
      </w:r>
    </w:p>
    <w:p w:rsidR="00777CFE" w:rsidRDefault="00777CFE" w:rsidP="00777CFE">
      <w:pPr>
        <w:pStyle w:val="TextoAbreviaturas"/>
      </w:pPr>
      <w:r>
        <w:t>LPL</w:t>
      </w:r>
      <w:r>
        <w:tab/>
        <w:t>Ley de procedimiento laboral</w:t>
      </w:r>
    </w:p>
    <w:p w:rsidR="00777CFE" w:rsidRDefault="00777CFE" w:rsidP="00777CFE">
      <w:pPr>
        <w:pStyle w:val="TextoAbreviaturas"/>
      </w:pPr>
      <w:r>
        <w:lastRenderedPageBreak/>
        <w:t>LSV</w:t>
      </w:r>
      <w:r>
        <w:tab/>
        <w:t>Ley sobre tráfico, circulación de vehículos a motor y seguridad vial</w:t>
      </w:r>
    </w:p>
    <w:p w:rsidR="00777CFE" w:rsidRDefault="00777CFE" w:rsidP="00777CFE">
      <w:pPr>
        <w:pStyle w:val="TextoAbreviaturas"/>
      </w:pPr>
      <w:r>
        <w:t>MAPA</w:t>
      </w:r>
      <w:r>
        <w:tab/>
        <w:t>Ministerio de Agricultura, Pesca y Alimentación</w:t>
      </w:r>
    </w:p>
    <w:p w:rsidR="00777CFE" w:rsidRDefault="00777CFE" w:rsidP="00777CFE">
      <w:pPr>
        <w:pStyle w:val="TextoAbreviaturas"/>
      </w:pPr>
      <w:r>
        <w:t>MUFACE</w:t>
      </w:r>
      <w:r>
        <w:tab/>
        <w:t>Mutualidad de Funcionarios Civiles del Estado</w:t>
      </w:r>
    </w:p>
    <w:p w:rsidR="00777CFE" w:rsidRDefault="00777CFE" w:rsidP="00777CFE">
      <w:pPr>
        <w:pStyle w:val="TextoAbreviaturas"/>
      </w:pPr>
      <w:r>
        <w:t>ONCE</w:t>
      </w:r>
      <w:r>
        <w:tab/>
        <w:t>Organización Nacional de Ciegos Españoles</w:t>
      </w:r>
    </w:p>
    <w:p w:rsidR="00777CFE" w:rsidRDefault="00777CFE" w:rsidP="00777CFE">
      <w:pPr>
        <w:pStyle w:val="TextoAbreviaturas"/>
      </w:pPr>
      <w:r>
        <w:t>PIDCP</w:t>
      </w:r>
      <w:r>
        <w:tab/>
        <w:t>Pacto internacional de derechos civiles y políticos</w:t>
      </w:r>
    </w:p>
    <w:p w:rsidR="00777CFE" w:rsidRDefault="00777CFE" w:rsidP="00777CFE">
      <w:pPr>
        <w:pStyle w:val="TextoAbreviaturas"/>
      </w:pPr>
      <w:r>
        <w:t>PORN</w:t>
      </w:r>
      <w:r>
        <w:tab/>
        <w:t>Plan de ordenación de los recursos naturales</w:t>
      </w:r>
    </w:p>
    <w:p w:rsidR="00777CFE" w:rsidRDefault="00777CFE" w:rsidP="00777CFE">
      <w:pPr>
        <w:pStyle w:val="TextoAbreviaturas"/>
      </w:pPr>
      <w:r>
        <w:t>PP</w:t>
      </w:r>
      <w:r>
        <w:tab/>
        <w:t>Partido Popular</w:t>
      </w:r>
    </w:p>
    <w:p w:rsidR="00777CFE" w:rsidRDefault="00777CFE" w:rsidP="00777CFE">
      <w:pPr>
        <w:pStyle w:val="TextoAbreviaturas"/>
      </w:pPr>
      <w:r>
        <w:t>PSOE</w:t>
      </w:r>
      <w:r>
        <w:tab/>
        <w:t>Partido Socialista Obrero Español</w:t>
      </w:r>
    </w:p>
    <w:p w:rsidR="00777CFE" w:rsidRDefault="00777CFE" w:rsidP="00777CFE">
      <w:pPr>
        <w:pStyle w:val="TextoAbreviaturas"/>
      </w:pPr>
      <w:r>
        <w:t>RAM</w:t>
      </w:r>
      <w:r>
        <w:tab/>
        <w:t>Reglamento de la Asamblea de Madrid</w:t>
      </w:r>
    </w:p>
    <w:p w:rsidR="00777CFE" w:rsidRDefault="00777CFE" w:rsidP="00777CFE">
      <w:pPr>
        <w:pStyle w:val="TextoAbreviaturas"/>
      </w:pPr>
      <w:r>
        <w:t>RCD</w:t>
      </w:r>
      <w:r>
        <w:tab/>
        <w:t>Reglamento del Congreso de los Diputados</w:t>
      </w:r>
    </w:p>
    <w:p w:rsidR="00777CFE" w:rsidRDefault="00777CFE" w:rsidP="00777CFE">
      <w:pPr>
        <w:pStyle w:val="TextoAbreviaturas"/>
      </w:pPr>
      <w:r>
        <w:t>RDPH</w:t>
      </w:r>
      <w:r>
        <w:tab/>
        <w:t>Reglamento de dominio público hidráulico</w:t>
      </w:r>
    </w:p>
    <w:p w:rsidR="00777CFE" w:rsidRDefault="00777CFE" w:rsidP="00777CFE">
      <w:pPr>
        <w:pStyle w:val="TextoAbreviaturas"/>
      </w:pPr>
      <w:r>
        <w:t>RP</w:t>
      </w:r>
      <w:r>
        <w:tab/>
        <w:t>Reglamento penitenciario</w:t>
      </w:r>
    </w:p>
    <w:p w:rsidR="00777CFE" w:rsidRDefault="00777CFE" w:rsidP="00777CFE">
      <w:pPr>
        <w:pStyle w:val="TextoAbreviaturas"/>
      </w:pPr>
      <w:r>
        <w:t>SAS</w:t>
      </w:r>
      <w:r>
        <w:tab/>
        <w:t>Servicio Andaluz de Salud</w:t>
      </w:r>
    </w:p>
    <w:p w:rsidR="00777CFE" w:rsidRDefault="00777CFE" w:rsidP="00777CFE">
      <w:pPr>
        <w:pStyle w:val="TextoAbreviaturas"/>
      </w:pPr>
      <w:r>
        <w:t>SERGAS</w:t>
      </w:r>
      <w:r>
        <w:tab/>
        <w:t>Servicio Gallego de Salud</w:t>
      </w:r>
    </w:p>
    <w:p w:rsidR="00777CFE" w:rsidRDefault="00777CFE" w:rsidP="00777CFE">
      <w:pPr>
        <w:pStyle w:val="TextoAbreviaturas"/>
      </w:pPr>
      <w:r>
        <w:t>STC</w:t>
      </w:r>
      <w:r>
        <w:tab/>
        <w:t>Sentencia del Tribunal Constitucional</w:t>
      </w:r>
    </w:p>
    <w:p w:rsidR="00777CFE" w:rsidRDefault="00777CFE" w:rsidP="00777CFE">
      <w:pPr>
        <w:pStyle w:val="TextoAbreviaturas"/>
      </w:pPr>
      <w:r>
        <w:t>SSTC</w:t>
      </w:r>
      <w:r>
        <w:tab/>
        <w:t>Sentencias del Tribunal Constitucional</w:t>
      </w:r>
    </w:p>
    <w:p w:rsidR="00777CFE" w:rsidRDefault="00777CFE" w:rsidP="00777CFE">
      <w:pPr>
        <w:pStyle w:val="TextoAbreviaturas"/>
      </w:pPr>
      <w:r>
        <w:t>STEDH</w:t>
      </w:r>
      <w:r>
        <w:tab/>
        <w:t>Sentencia del Tribunal Europeo de Derechos Humanos</w:t>
      </w:r>
    </w:p>
    <w:p w:rsidR="00777CFE" w:rsidRDefault="00777CFE" w:rsidP="00777CFE">
      <w:pPr>
        <w:pStyle w:val="TextoAbreviaturas"/>
      </w:pPr>
      <w:r>
        <w:t>SSTEDH</w:t>
      </w:r>
      <w:r>
        <w:tab/>
        <w:t>Sentencias del Tribunal Europeo de Derechos Humanos</w:t>
      </w:r>
    </w:p>
    <w:p w:rsidR="00777CFE" w:rsidRDefault="00777CFE" w:rsidP="00777CFE">
      <w:pPr>
        <w:pStyle w:val="TextoAbreviaturas"/>
      </w:pPr>
      <w:r>
        <w:t>STJCE</w:t>
      </w:r>
      <w:r>
        <w:tab/>
        <w:t>Sentencia del Tribunal de Justicia de las Comunidades Europeas</w:t>
      </w:r>
    </w:p>
    <w:p w:rsidR="00777CFE" w:rsidRDefault="00777CFE" w:rsidP="00777CFE">
      <w:pPr>
        <w:pStyle w:val="TextoAbreviaturas"/>
      </w:pPr>
      <w:r>
        <w:t>STS</w:t>
      </w:r>
      <w:r>
        <w:tab/>
        <w:t>Sentencia del Tribunal Supremo</w:t>
      </w:r>
    </w:p>
    <w:p w:rsidR="00777CFE" w:rsidRDefault="00777CFE" w:rsidP="00777CFE">
      <w:pPr>
        <w:pStyle w:val="TextoAbreviaturas"/>
      </w:pPr>
      <w:r>
        <w:t>SSTS</w:t>
      </w:r>
      <w:r>
        <w:tab/>
        <w:t>Sentencias del Tribunal Supremo</w:t>
      </w:r>
    </w:p>
    <w:p w:rsidR="00777CFE" w:rsidRDefault="00777CFE" w:rsidP="00777CFE">
      <w:pPr>
        <w:pStyle w:val="TextoAbreviaturas"/>
      </w:pPr>
      <w:r>
        <w:t>UE</w:t>
      </w:r>
      <w:r>
        <w:tab/>
        <w:t>Unión Europea</w:t>
      </w:r>
    </w:p>
    <w:p w:rsidR="00777CFE" w:rsidRDefault="00777CFE" w:rsidP="00777CFE">
      <w:pPr>
        <w:pStyle w:val="TextoAbreviaturas"/>
      </w:pPr>
      <w:r>
        <w:t>UGT</w:t>
      </w:r>
      <w:r>
        <w:tab/>
        <w:t>Unión General de Trabajadores</w:t>
      </w:r>
    </w:p>
    <w:p w:rsidR="00777CFE" w:rsidRDefault="00777CFE" w:rsidP="00777CFE">
      <w:pPr>
        <w:pStyle w:val="TextoAbreviaturas"/>
      </w:pPr>
    </w:p>
    <w:sectPr w:rsidR="00777CFE" w:rsidSect="00294D4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A71" w:rsidRDefault="00733A71" w:rsidP="00D06117">
      <w:pPr>
        <w:spacing w:after="0" w:line="240" w:lineRule="auto"/>
      </w:pPr>
      <w:r>
        <w:separator/>
      </w:r>
    </w:p>
  </w:endnote>
  <w:endnote w:type="continuationSeparator" w:id="0">
    <w:p w:rsidR="00733A71" w:rsidRDefault="00733A71" w:rsidP="00D06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A71" w:rsidRDefault="00733A71" w:rsidP="00294D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693A">
      <w:rPr>
        <w:rStyle w:val="Nmerodepgina"/>
        <w:noProof/>
      </w:rPr>
      <w:t>3314</w:t>
    </w:r>
    <w:r>
      <w:rPr>
        <w:rStyle w:val="Nmerodepgina"/>
      </w:rPr>
      <w:fldChar w:fldCharType="end"/>
    </w:r>
  </w:p>
  <w:p w:rsidR="00733A71" w:rsidRDefault="00733A71" w:rsidP="00294D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A71" w:rsidRDefault="00733A71" w:rsidP="00294D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693A">
      <w:rPr>
        <w:rStyle w:val="Nmerodepgina"/>
        <w:noProof/>
      </w:rPr>
      <w:t>3316</w:t>
    </w:r>
    <w:r>
      <w:rPr>
        <w:rStyle w:val="Nmerodepgina"/>
      </w:rPr>
      <w:fldChar w:fldCharType="end"/>
    </w:r>
  </w:p>
  <w:p w:rsidR="00733A71" w:rsidRDefault="00733A71" w:rsidP="00294D4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A71" w:rsidRDefault="00733A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A71" w:rsidRDefault="00733A71" w:rsidP="00D06117">
      <w:pPr>
        <w:spacing w:after="0" w:line="240" w:lineRule="auto"/>
      </w:pPr>
      <w:r>
        <w:separator/>
      </w:r>
    </w:p>
  </w:footnote>
  <w:footnote w:type="continuationSeparator" w:id="0">
    <w:p w:rsidR="00733A71" w:rsidRDefault="00733A71" w:rsidP="00D061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A71" w:rsidRDefault="00733A7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A71" w:rsidRDefault="00733A71" w:rsidP="00294D44">
    <w:pPr>
      <w:pStyle w:val="Cabecera"/>
    </w:pPr>
    <w:r>
      <w:t>JURISPRUDENCIA CONSTITUCIONAL - Tomo: enero a junio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A71" w:rsidRDefault="00733A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B2"/>
    <w:rsid w:val="000376DD"/>
    <w:rsid w:val="00060BD2"/>
    <w:rsid w:val="00294D44"/>
    <w:rsid w:val="002A070C"/>
    <w:rsid w:val="002B0C93"/>
    <w:rsid w:val="0043655B"/>
    <w:rsid w:val="004859F0"/>
    <w:rsid w:val="004E7CFF"/>
    <w:rsid w:val="00590B39"/>
    <w:rsid w:val="0065687A"/>
    <w:rsid w:val="006F529C"/>
    <w:rsid w:val="00733A71"/>
    <w:rsid w:val="00777CFE"/>
    <w:rsid w:val="008D6D0B"/>
    <w:rsid w:val="0093719F"/>
    <w:rsid w:val="00942FD2"/>
    <w:rsid w:val="009610D1"/>
    <w:rsid w:val="00970E95"/>
    <w:rsid w:val="00A6693A"/>
    <w:rsid w:val="00A860DC"/>
    <w:rsid w:val="00AD4E5A"/>
    <w:rsid w:val="00BA1B56"/>
    <w:rsid w:val="00CF06EB"/>
    <w:rsid w:val="00D06117"/>
    <w:rsid w:val="00E3576C"/>
    <w:rsid w:val="00EA4558"/>
    <w:rsid w:val="00FB33B2"/>
    <w:rsid w:val="00FF48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E010001D-83F9-47F2-BFFB-193368BD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3B2"/>
    <w:pPr>
      <w:spacing w:after="200" w:line="276" w:lineRule="auto"/>
    </w:pPr>
  </w:style>
  <w:style w:type="paragraph" w:styleId="Ttulo1">
    <w:name w:val="heading 1"/>
    <w:basedOn w:val="Normal"/>
    <w:next w:val="Normal"/>
    <w:link w:val="Ttulo1Car"/>
    <w:uiPriority w:val="9"/>
    <w:rsid w:val="00FB33B2"/>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FB33B2"/>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FB33B2"/>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FB33B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FB33B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FB33B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33B2"/>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FB33B2"/>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FB33B2"/>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FB33B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B33B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B33B2"/>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FB33B2"/>
    <w:pPr>
      <w:spacing w:after="0" w:line="240" w:lineRule="auto"/>
    </w:pPr>
  </w:style>
  <w:style w:type="paragraph" w:styleId="Textocomentario">
    <w:name w:val="annotation text"/>
    <w:basedOn w:val="Normal"/>
    <w:link w:val="TextocomentarioCar"/>
    <w:uiPriority w:val="99"/>
    <w:semiHidden/>
    <w:rsid w:val="00FB33B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FB33B2"/>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FB33B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FB33B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FB33B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FB33B2"/>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FB33B2"/>
    <w:rPr>
      <w:rFonts w:ascii="Times New Roman" w:hAnsi="Times New Roman"/>
      <w:i w:val="0"/>
      <w:sz w:val="24"/>
    </w:rPr>
  </w:style>
  <w:style w:type="character" w:customStyle="1" w:styleId="TtuloBOECar">
    <w:name w:val="Título BOE Car"/>
    <w:basedOn w:val="Fuentedeprrafopredeter"/>
    <w:link w:val="TtuloBOE"/>
    <w:rsid w:val="00FB33B2"/>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FB33B2"/>
    <w:rPr>
      <w:rFonts w:ascii="Times New Roman" w:hAnsi="Times New Roman"/>
      <w:i/>
      <w:sz w:val="24"/>
    </w:rPr>
  </w:style>
  <w:style w:type="paragraph" w:customStyle="1" w:styleId="Extracto">
    <w:name w:val="Extracto"/>
    <w:basedOn w:val="Normal"/>
    <w:link w:val="ExtractoCar"/>
    <w:qFormat/>
    <w:rsid w:val="00FB33B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FB33B2"/>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FB33B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FB33B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FB33B2"/>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FB33B2"/>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FB33B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FB33B2"/>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FB33B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FB33B2"/>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FB33B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FB33B2"/>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FB33B2"/>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FB33B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FB33B2"/>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FB33B2"/>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FB33B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FB33B2"/>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FB33B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FB33B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FB33B2"/>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FB33B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FB33B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FB33B2"/>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FB33B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FB33B2"/>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FB33B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FB33B2"/>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FB33B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FB33B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FB33B2"/>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FB33B2"/>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FB33B2"/>
  </w:style>
  <w:style w:type="paragraph" w:customStyle="1" w:styleId="SntesisAnaltica">
    <w:name w:val="Síntesis Analítica"/>
    <w:basedOn w:val="ParrafoNormal"/>
    <w:link w:val="SntesisAnalticaCar"/>
    <w:qFormat/>
    <w:rsid w:val="00FB33B2"/>
    <w:rPr>
      <w:i/>
    </w:rPr>
  </w:style>
  <w:style w:type="character" w:customStyle="1" w:styleId="ParrafoNormalCar">
    <w:name w:val="Parrafo Normal Car"/>
    <w:basedOn w:val="Fuentedeprrafopredeter"/>
    <w:link w:val="ParrafoNormal"/>
    <w:rsid w:val="00FB33B2"/>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FB33B2"/>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FB33B2"/>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FB33B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FB33B2"/>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FB33B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FB33B2"/>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FB33B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FB33B2"/>
    <w:rPr>
      <w:rFonts w:ascii="Tahoma" w:eastAsia="Times New Roman" w:hAnsi="Tahoma" w:cs="Tahoma"/>
      <w:sz w:val="16"/>
      <w:szCs w:val="16"/>
      <w:lang w:eastAsia="es-ES"/>
    </w:rPr>
  </w:style>
  <w:style w:type="paragraph" w:customStyle="1" w:styleId="Portada1">
    <w:name w:val="Portada 1"/>
    <w:basedOn w:val="Normal"/>
    <w:link w:val="Portada1Car"/>
    <w:qFormat/>
    <w:rsid w:val="00FB33B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FB33B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FB33B2"/>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FB33B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FB33B2"/>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FB33B2"/>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FB33B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FB33B2"/>
    <w:rPr>
      <w:rFonts w:ascii="Times New Roman" w:hAnsi="Times New Roman"/>
      <w:sz w:val="24"/>
    </w:rPr>
  </w:style>
  <w:style w:type="paragraph" w:customStyle="1" w:styleId="Prueba">
    <w:name w:val="Prueba"/>
    <w:basedOn w:val="Normal"/>
    <w:link w:val="PruebaCar"/>
    <w:qFormat/>
    <w:rsid w:val="00FB33B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FB33B2"/>
    <w:rPr>
      <w:rFonts w:ascii="Times New Roman" w:hAnsi="Times New Roman" w:cs="Times New Roman"/>
      <w:sz w:val="24"/>
      <w:szCs w:val="24"/>
    </w:rPr>
  </w:style>
  <w:style w:type="paragraph" w:customStyle="1" w:styleId="Paginas">
    <w:name w:val="Paginas"/>
    <w:basedOn w:val="Prueba"/>
    <w:link w:val="PaginasCar"/>
    <w:qFormat/>
    <w:rsid w:val="00FB33B2"/>
  </w:style>
  <w:style w:type="character" w:customStyle="1" w:styleId="PaginasCar">
    <w:name w:val="Paginas Car"/>
    <w:basedOn w:val="PruebaCar"/>
    <w:link w:val="Paginas"/>
    <w:rsid w:val="00FB33B2"/>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FB33B2"/>
    <w:pPr>
      <w:ind w:left="568" w:hanging="284"/>
    </w:pPr>
  </w:style>
  <w:style w:type="paragraph" w:customStyle="1" w:styleId="SangriaIzquierdaArticulo">
    <w:name w:val="Sangria Izquierda Articulo"/>
    <w:basedOn w:val="SangriaFrancesaArticulo"/>
    <w:link w:val="SangriaIzquierdaArticuloCar"/>
    <w:qFormat/>
    <w:rsid w:val="00FB33B2"/>
    <w:pPr>
      <w:ind w:firstLine="0"/>
    </w:pPr>
  </w:style>
  <w:style w:type="character" w:customStyle="1" w:styleId="SangriaFrancesaArticuloCar">
    <w:name w:val="Sangria Francesa Articulo Car"/>
    <w:basedOn w:val="ParrafoNormalCar"/>
    <w:link w:val="SangriaFrancesaArticulo"/>
    <w:rsid w:val="00FB33B2"/>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FB33B2"/>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FB33B2"/>
    <w:pPr>
      <w:tabs>
        <w:tab w:val="left" w:pos="1134"/>
      </w:tabs>
      <w:ind w:left="-567"/>
    </w:pPr>
  </w:style>
  <w:style w:type="character" w:customStyle="1" w:styleId="DescriptoresJerarquicoNegritaCar">
    <w:name w:val="Descriptores Jerarquico Negrita Car"/>
    <w:basedOn w:val="TextoNormalNegritaCar"/>
    <w:link w:val="DescriptoresJerarquicoNegrita"/>
    <w:rsid w:val="00FB33B2"/>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FB33B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FB33B2"/>
    <w:rPr>
      <w:rFonts w:ascii="Times New Roman" w:hAnsi="Times New Roman"/>
      <w:b/>
      <w:i/>
      <w:sz w:val="24"/>
    </w:rPr>
  </w:style>
  <w:style w:type="paragraph" w:customStyle="1" w:styleId="EntradandiceSumario">
    <w:name w:val="Entrada Índice Sumario"/>
    <w:basedOn w:val="EntradandiceSentencia"/>
    <w:qFormat/>
    <w:rsid w:val="00FB33B2"/>
    <w:pPr>
      <w:tabs>
        <w:tab w:val="clear" w:pos="8080"/>
        <w:tab w:val="right" w:leader="dot" w:pos="7371"/>
      </w:tabs>
      <w:spacing w:line="260" w:lineRule="exact"/>
      <w:ind w:right="0"/>
    </w:pPr>
  </w:style>
  <w:style w:type="paragraph" w:customStyle="1" w:styleId="FechasPortadaGaceta">
    <w:name w:val="Fechas Portada Gaceta"/>
    <w:basedOn w:val="Normal"/>
    <w:qFormat/>
    <w:rsid w:val="00FB33B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FB33B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FB33B2"/>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FB33B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FB33B2"/>
    <w:rPr>
      <w:rFonts w:ascii="Times New Roman" w:hAnsi="Times New Roman"/>
      <w:i w:val="0"/>
      <w:color w:val="A7599E"/>
      <w:sz w:val="24"/>
    </w:rPr>
  </w:style>
  <w:style w:type="paragraph" w:customStyle="1" w:styleId="CabeceraGaceta">
    <w:name w:val="Cabecera Gaceta"/>
    <w:next w:val="Normal"/>
    <w:link w:val="CabeceraGacetaCar"/>
    <w:qFormat/>
    <w:rsid w:val="00FB33B2"/>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FB33B2"/>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FB33B2"/>
    <w:pPr>
      <w:spacing w:after="1800"/>
    </w:pPr>
  </w:style>
  <w:style w:type="character" w:styleId="nfasis">
    <w:name w:val="Emphasis"/>
    <w:basedOn w:val="Fuentedeprrafopredeter"/>
    <w:uiPriority w:val="20"/>
    <w:qFormat/>
    <w:rsid w:val="00FB33B2"/>
    <w:rPr>
      <w:i/>
      <w:iCs/>
    </w:rPr>
  </w:style>
  <w:style w:type="character" w:styleId="Hipervnculo">
    <w:name w:val="Hyperlink"/>
    <w:basedOn w:val="Fuentedeprrafopredeter"/>
    <w:uiPriority w:val="99"/>
    <w:unhideWhenUsed/>
    <w:rsid w:val="00FB33B2"/>
    <w:rPr>
      <w:b w:val="0"/>
      <w:color w:val="000000" w:themeColor="text1"/>
      <w:u w:val="none"/>
    </w:rPr>
  </w:style>
  <w:style w:type="paragraph" w:customStyle="1" w:styleId="SntesisDescriptivaConSeparacion">
    <w:name w:val="Síntesis Descriptiva Con Separacion"/>
    <w:basedOn w:val="SntesisDescriptiva"/>
    <w:qFormat/>
    <w:rsid w:val="00FB33B2"/>
    <w:pPr>
      <w:spacing w:after="600"/>
    </w:pPr>
  </w:style>
  <w:style w:type="paragraph" w:customStyle="1" w:styleId="SntesisAnalticaConSeparacin">
    <w:name w:val="Síntesis Analítica Con Separación"/>
    <w:basedOn w:val="SntesisAnaltica"/>
    <w:qFormat/>
    <w:rsid w:val="00FB33B2"/>
    <w:pPr>
      <w:spacing w:after="600"/>
    </w:pPr>
  </w:style>
  <w:style w:type="paragraph" w:customStyle="1" w:styleId="TtuloListado">
    <w:name w:val="Título Listado"/>
    <w:basedOn w:val="TextoNormal"/>
    <w:qFormat/>
    <w:rsid w:val="00FB33B2"/>
    <w:pPr>
      <w:spacing w:line="360" w:lineRule="auto"/>
      <w:jc w:val="center"/>
    </w:pPr>
    <w:rPr>
      <w:b/>
      <w:u w:val="single"/>
    </w:rPr>
  </w:style>
  <w:style w:type="paragraph" w:customStyle="1" w:styleId="TextoNormalCentradoCursiva">
    <w:name w:val="Texto Normal Centrado Cursiva"/>
    <w:basedOn w:val="TextoNormalCentrado"/>
    <w:qFormat/>
    <w:rsid w:val="00FB33B2"/>
    <w:rPr>
      <w:i/>
    </w:rPr>
  </w:style>
  <w:style w:type="paragraph" w:customStyle="1" w:styleId="TextoConBorde">
    <w:name w:val="Texto Con Borde"/>
    <w:qFormat/>
    <w:rsid w:val="00FB33B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FB33B2"/>
    <w:rPr>
      <w:sz w:val="148"/>
    </w:rPr>
  </w:style>
  <w:style w:type="paragraph" w:customStyle="1" w:styleId="TextoNormalNegritaCentradoSubrayado">
    <w:name w:val="Texto Normal Negrita Centrado Subrayado"/>
    <w:basedOn w:val="TextoNormalNegritaCentrado"/>
    <w:qFormat/>
    <w:rsid w:val="00FB33B2"/>
    <w:rPr>
      <w:sz w:val="28"/>
      <w:u w:val="single"/>
    </w:rPr>
  </w:style>
  <w:style w:type="paragraph" w:customStyle="1" w:styleId="TextoIndiceNivel2">
    <w:name w:val="TextoIndice Nivel2"/>
    <w:basedOn w:val="TextoNormalNegritaCentrado"/>
    <w:qFormat/>
    <w:rsid w:val="00FB33B2"/>
    <w:rPr>
      <w:sz w:val="36"/>
    </w:rPr>
  </w:style>
  <w:style w:type="character" w:customStyle="1" w:styleId="TextoNormalNegritaCentradoSombreado">
    <w:name w:val="Texto Normal Negrita Centrado Sombreado"/>
    <w:basedOn w:val="TextoNormalNegritaCaracter"/>
    <w:uiPriority w:val="1"/>
    <w:qFormat/>
    <w:rsid w:val="00FB33B2"/>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FB33B2"/>
    <w:rPr>
      <w:sz w:val="26"/>
    </w:rPr>
  </w:style>
  <w:style w:type="character" w:customStyle="1" w:styleId="ndiceJerrquicoDescriptor">
    <w:name w:val="Índice Jerárquico Descriptor"/>
    <w:basedOn w:val="TextoNormalCar"/>
    <w:uiPriority w:val="1"/>
    <w:qFormat/>
    <w:rsid w:val="00FB33B2"/>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FB33B2"/>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FB33B2"/>
    <w:pPr>
      <w:ind w:left="0"/>
    </w:pPr>
    <w:rPr>
      <w:sz w:val="28"/>
    </w:rPr>
  </w:style>
  <w:style w:type="character" w:styleId="Hipervnculovisitado">
    <w:name w:val="FollowedHyperlink"/>
    <w:basedOn w:val="Fuentedeprrafopredeter"/>
    <w:uiPriority w:val="99"/>
    <w:semiHidden/>
    <w:unhideWhenUsed/>
    <w:rsid w:val="00FB33B2"/>
    <w:rPr>
      <w:color w:val="auto"/>
      <w:u w:val="none"/>
    </w:rPr>
  </w:style>
  <w:style w:type="paragraph" w:customStyle="1" w:styleId="EntradandiceSumarioNivel2">
    <w:name w:val="Entrada Índice Sumario Nivel2"/>
    <w:basedOn w:val="EntradandiceSumario"/>
    <w:qFormat/>
    <w:rsid w:val="00FB33B2"/>
    <w:pPr>
      <w:spacing w:line="240" w:lineRule="exact"/>
      <w:ind w:firstLine="113"/>
    </w:pPr>
    <w:rPr>
      <w:sz w:val="23"/>
    </w:rPr>
  </w:style>
  <w:style w:type="paragraph" w:customStyle="1" w:styleId="TtuloSumariondices">
    <w:name w:val="Título Sumario Índices"/>
    <w:basedOn w:val="TextoNormal"/>
    <w:qFormat/>
    <w:rsid w:val="00FB33B2"/>
    <w:pPr>
      <w:ind w:firstLine="0"/>
      <w:jc w:val="center"/>
    </w:pPr>
    <w:rPr>
      <w:sz w:val="32"/>
    </w:rPr>
  </w:style>
  <w:style w:type="paragraph" w:styleId="Cierre">
    <w:name w:val="Closing"/>
    <w:basedOn w:val="Normal"/>
    <w:link w:val="CierreCar"/>
    <w:uiPriority w:val="99"/>
    <w:unhideWhenUsed/>
    <w:rsid w:val="00FB33B2"/>
    <w:pPr>
      <w:spacing w:after="0" w:line="240" w:lineRule="auto"/>
      <w:ind w:left="4252"/>
    </w:pPr>
  </w:style>
  <w:style w:type="character" w:customStyle="1" w:styleId="CierreCar">
    <w:name w:val="Cierre Car"/>
    <w:basedOn w:val="Fuentedeprrafopredeter"/>
    <w:link w:val="Cierre"/>
    <w:uiPriority w:val="99"/>
    <w:rsid w:val="00FB33B2"/>
  </w:style>
  <w:style w:type="paragraph" w:styleId="Cita">
    <w:name w:val="Quote"/>
    <w:basedOn w:val="Normal"/>
    <w:next w:val="Normal"/>
    <w:link w:val="CitaCar"/>
    <w:uiPriority w:val="29"/>
    <w:qFormat/>
    <w:rsid w:val="00FB33B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FB33B2"/>
    <w:rPr>
      <w:i/>
      <w:iCs/>
      <w:color w:val="404040" w:themeColor="text1" w:themeTint="BF"/>
    </w:rPr>
  </w:style>
  <w:style w:type="paragraph" w:customStyle="1" w:styleId="Cabecera">
    <w:name w:val="Cabecera"/>
    <w:link w:val="CabeceraCar"/>
    <w:qFormat/>
    <w:rsid w:val="00FB33B2"/>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FB33B2"/>
    <w:rPr>
      <w:rFonts w:ascii="Arial" w:hAnsi="Arial"/>
      <w:b/>
      <w:iCs/>
      <w:color w:val="538135"/>
      <w:sz w:val="20"/>
    </w:rPr>
  </w:style>
  <w:style w:type="paragraph" w:customStyle="1" w:styleId="TtuloSumarioResoluciones">
    <w:name w:val="Título Sumario Resoluciones"/>
    <w:basedOn w:val="TextoNormal"/>
    <w:link w:val="TtuloSumarioResolucionesCar"/>
    <w:qFormat/>
    <w:rsid w:val="00FB33B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FB33B2"/>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FB33B2"/>
    <w:rPr>
      <w:rFonts w:ascii="Times New Roman" w:hAnsi="Times New Roman"/>
      <w:b/>
      <w:color w:val="538135"/>
      <w:sz w:val="32"/>
    </w:rPr>
  </w:style>
  <w:style w:type="paragraph" w:styleId="Encabezado">
    <w:name w:val="header"/>
    <w:basedOn w:val="Normal"/>
    <w:link w:val="EncabezadoCar"/>
    <w:uiPriority w:val="99"/>
    <w:unhideWhenUsed/>
    <w:rsid w:val="00D061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6117"/>
  </w:style>
  <w:style w:type="paragraph" w:styleId="Piedepgina">
    <w:name w:val="footer"/>
    <w:basedOn w:val="Normal"/>
    <w:link w:val="PiedepginaCar"/>
    <w:uiPriority w:val="99"/>
    <w:unhideWhenUsed/>
    <w:rsid w:val="00D061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6117"/>
  </w:style>
  <w:style w:type="character" w:styleId="Nmerodepgina">
    <w:name w:val="page number"/>
    <w:basedOn w:val="Fuentedeprrafopredeter"/>
    <w:uiPriority w:val="99"/>
    <w:semiHidden/>
    <w:unhideWhenUsed/>
    <w:rsid w:val="00294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6</Pages>
  <Words>1685669</Words>
  <Characters>9271185</Characters>
  <Application>Microsoft Office Word</Application>
  <DocSecurity>0</DocSecurity>
  <Lines>77259</Lines>
  <Paragraphs>21869</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10934985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2019-03-08T08:19:00Z</cp:lastPrinted>
  <dcterms:created xsi:type="dcterms:W3CDTF">2017-03-23T14:34:00Z</dcterms:created>
  <dcterms:modified xsi:type="dcterms:W3CDTF">2019-03-08T08:21:00Z</dcterms:modified>
</cp:coreProperties>
</file>